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8B0BB">
      <w:pPr>
        <w:spacing w:line="240" w:lineRule="auto"/>
        <w:ind w:firstLine="0" w:firstLineChars="0"/>
        <w:rPr>
          <w:rFonts w:hint="eastAsia" w:ascii="华文楷体" w:hAnsi="华文楷体" w:eastAsia="华文楷体" w:cs="华文楷体"/>
          <w:b/>
          <w:snapToGrid w:val="0"/>
          <w:color w:val="auto"/>
          <w:kern w:val="0"/>
          <w:sz w:val="52"/>
          <w:szCs w:val="44"/>
        </w:rPr>
      </w:pPr>
      <w:bookmarkStart w:id="0" w:name="_Hlk138497602"/>
      <w:bookmarkEnd w:id="0"/>
      <w:bookmarkStart w:id="1" w:name="_Hlk69463378"/>
      <w:bookmarkStart w:id="2" w:name="_Hlk138775948"/>
      <w:bookmarkStart w:id="3" w:name="_Hlk17635536"/>
    </w:p>
    <w:p w14:paraId="1EA0E31B">
      <w:pPr>
        <w:spacing w:line="240" w:lineRule="auto"/>
        <w:ind w:firstLine="0" w:firstLineChars="0"/>
        <w:rPr>
          <w:rFonts w:hint="eastAsia" w:ascii="华文楷体" w:hAnsi="华文楷体" w:eastAsia="华文楷体" w:cs="华文楷体"/>
          <w:b/>
          <w:snapToGrid w:val="0"/>
          <w:color w:val="auto"/>
          <w:kern w:val="0"/>
          <w:sz w:val="52"/>
          <w:szCs w:val="44"/>
        </w:rPr>
      </w:pPr>
    </w:p>
    <w:p w14:paraId="1D354F3D">
      <w:pPr>
        <w:spacing w:line="240" w:lineRule="auto"/>
        <w:ind w:firstLine="0" w:firstLineChars="0"/>
        <w:jc w:val="center"/>
        <w:rPr>
          <w:rFonts w:hint="eastAsia" w:ascii="华文楷体" w:hAnsi="华文楷体" w:eastAsia="华文楷体" w:cs="华文楷体"/>
          <w:b/>
          <w:snapToGrid w:val="0"/>
          <w:color w:val="auto"/>
          <w:kern w:val="0"/>
          <w:sz w:val="52"/>
          <w:szCs w:val="44"/>
        </w:rPr>
      </w:pPr>
      <w:r>
        <w:rPr>
          <w:rFonts w:hint="eastAsia" w:ascii="华文楷体" w:hAnsi="华文楷体" w:eastAsia="华文楷体" w:cs="华文楷体"/>
          <w:b/>
          <w:snapToGrid w:val="0"/>
          <w:color w:val="auto"/>
          <w:kern w:val="0"/>
          <w:sz w:val="52"/>
          <w:szCs w:val="44"/>
        </w:rPr>
        <w:t>一道新材科技（连云港）有限公司</w:t>
      </w:r>
    </w:p>
    <w:p w14:paraId="212D9521">
      <w:pPr>
        <w:spacing w:line="240" w:lineRule="auto"/>
        <w:ind w:firstLine="0" w:firstLineChars="0"/>
        <w:jc w:val="center"/>
        <w:rPr>
          <w:rFonts w:hint="eastAsia" w:ascii="华文楷体" w:hAnsi="华文楷体" w:eastAsia="华文楷体" w:cs="华文楷体"/>
          <w:b/>
          <w:snapToGrid w:val="0"/>
          <w:color w:val="auto"/>
          <w:kern w:val="0"/>
          <w:sz w:val="52"/>
          <w:szCs w:val="44"/>
        </w:rPr>
      </w:pPr>
    </w:p>
    <w:p w14:paraId="6CBECEC7">
      <w:pPr>
        <w:spacing w:line="240" w:lineRule="auto"/>
        <w:ind w:firstLine="0" w:firstLineChars="0"/>
        <w:jc w:val="center"/>
        <w:rPr>
          <w:rFonts w:hint="eastAsia" w:ascii="华文楷体" w:hAnsi="华文楷体" w:eastAsia="华文楷体" w:cs="华文楷体"/>
          <w:b/>
          <w:snapToGrid w:val="0"/>
          <w:color w:val="auto"/>
          <w:kern w:val="0"/>
          <w:sz w:val="52"/>
          <w:szCs w:val="44"/>
        </w:rPr>
      </w:pPr>
      <w:r>
        <w:rPr>
          <w:rFonts w:hint="eastAsia" w:ascii="华文楷体" w:hAnsi="华文楷体" w:eastAsia="华文楷体" w:cs="华文楷体"/>
          <w:b/>
          <w:snapToGrid w:val="0"/>
          <w:color w:val="auto"/>
          <w:kern w:val="0"/>
          <w:sz w:val="52"/>
          <w:szCs w:val="44"/>
        </w:rPr>
        <w:t>光伏新材料研发中心及光伏</w:t>
      </w:r>
    </w:p>
    <w:p w14:paraId="6F0FA68B">
      <w:pPr>
        <w:spacing w:line="240" w:lineRule="auto"/>
        <w:ind w:firstLine="0" w:firstLineChars="0"/>
        <w:jc w:val="center"/>
        <w:rPr>
          <w:rFonts w:hint="eastAsia" w:ascii="华文楷体" w:hAnsi="华文楷体" w:eastAsia="华文楷体" w:cs="华文楷体"/>
          <w:b/>
          <w:snapToGrid w:val="0"/>
          <w:color w:val="auto"/>
          <w:kern w:val="0"/>
          <w:sz w:val="52"/>
          <w:szCs w:val="44"/>
        </w:rPr>
      </w:pPr>
      <w:r>
        <w:rPr>
          <w:rFonts w:hint="eastAsia" w:ascii="华文楷体" w:hAnsi="华文楷体" w:eastAsia="华文楷体" w:cs="华文楷体"/>
          <w:b/>
          <w:snapToGrid w:val="0"/>
          <w:color w:val="auto"/>
          <w:kern w:val="0"/>
          <w:sz w:val="52"/>
          <w:szCs w:val="44"/>
        </w:rPr>
        <w:t>组件制造</w:t>
      </w:r>
      <w:bookmarkEnd w:id="1"/>
    </w:p>
    <w:p w14:paraId="4675253F">
      <w:pPr>
        <w:ind w:firstLine="0" w:firstLineChars="0"/>
        <w:jc w:val="center"/>
        <w:rPr>
          <w:b/>
          <w:color w:val="auto"/>
          <w:sz w:val="44"/>
          <w:szCs w:val="44"/>
        </w:rPr>
      </w:pPr>
    </w:p>
    <w:p w14:paraId="1722BA61">
      <w:pPr>
        <w:ind w:firstLine="0" w:firstLineChars="0"/>
        <w:rPr>
          <w:b/>
          <w:color w:val="auto"/>
          <w:sz w:val="44"/>
          <w:szCs w:val="44"/>
        </w:rPr>
      </w:pPr>
    </w:p>
    <w:p w14:paraId="2A54E292">
      <w:pPr>
        <w:pStyle w:val="57"/>
        <w:pBdr>
          <w:bottom w:val="none" w:color="auto" w:sz="0" w:space="0"/>
        </w:pBdr>
        <w:tabs>
          <w:tab w:val="clear" w:pos="2054"/>
        </w:tabs>
        <w:spacing w:line="312" w:lineRule="auto"/>
        <w:rPr>
          <w:rFonts w:hint="eastAsia" w:ascii="华文新魏" w:hAnsi="华文新魏" w:eastAsia="华文新魏" w:cs="华文新魏"/>
          <w:b/>
          <w:color w:val="auto"/>
          <w:sz w:val="96"/>
          <w:szCs w:val="52"/>
        </w:rPr>
      </w:pPr>
      <w:r>
        <w:rPr>
          <w:rFonts w:hint="eastAsia" w:ascii="华文新魏" w:hAnsi="华文新魏" w:eastAsia="华文新魏" w:cs="华文新魏"/>
          <w:b/>
          <w:color w:val="auto"/>
          <w:sz w:val="96"/>
          <w:szCs w:val="52"/>
        </w:rPr>
        <w:t>环境影响报告书</w:t>
      </w:r>
    </w:p>
    <w:p w14:paraId="5AA4492B">
      <w:pPr>
        <w:pStyle w:val="57"/>
        <w:keepNext w:val="0"/>
        <w:keepLines w:val="0"/>
        <w:pageBreakBefore w:val="0"/>
        <w:widowControl w:val="0"/>
        <w:pBdr>
          <w:bottom w:val="none" w:color="auto" w:sz="0" w:space="0"/>
        </w:pBdr>
        <w:tabs>
          <w:tab w:val="clear" w:pos="2054"/>
        </w:tabs>
        <w:kinsoku/>
        <w:wordWrap/>
        <w:overflowPunct/>
        <w:topLinePunct w:val="0"/>
        <w:autoSpaceDE/>
        <w:autoSpaceDN/>
        <w:bidi w:val="0"/>
        <w:adjustRightInd w:val="0"/>
        <w:snapToGrid w:val="0"/>
        <w:spacing w:line="312" w:lineRule="auto"/>
        <w:textAlignment w:val="auto"/>
        <w:rPr>
          <w:rFonts w:hint="eastAsia" w:ascii="华文楷体" w:hAnsi="华文楷体" w:eastAsia="华文楷体" w:cs="华文楷体"/>
          <w:b/>
          <w:color w:val="auto"/>
          <w:sz w:val="48"/>
          <w:szCs w:val="32"/>
          <w:lang w:eastAsia="zh-CN"/>
        </w:rPr>
      </w:pPr>
      <w:r>
        <w:rPr>
          <w:rFonts w:hint="eastAsia" w:ascii="华文楷体" w:hAnsi="华文楷体" w:eastAsia="华文楷体" w:cs="华文楷体"/>
          <w:b/>
          <w:color w:val="auto"/>
          <w:sz w:val="48"/>
          <w:szCs w:val="32"/>
          <w:lang w:eastAsia="zh-CN"/>
        </w:rPr>
        <w:t>（</w:t>
      </w:r>
      <w:r>
        <w:rPr>
          <w:rFonts w:hint="eastAsia" w:ascii="华文楷体" w:hAnsi="华文楷体" w:eastAsia="华文楷体" w:cs="华文楷体"/>
          <w:b/>
          <w:color w:val="auto"/>
          <w:sz w:val="48"/>
          <w:szCs w:val="32"/>
          <w:lang w:val="en-US" w:eastAsia="zh-CN"/>
        </w:rPr>
        <w:t>公示本</w:t>
      </w:r>
      <w:r>
        <w:rPr>
          <w:rFonts w:hint="eastAsia" w:ascii="华文楷体" w:hAnsi="华文楷体" w:eastAsia="华文楷体" w:cs="华文楷体"/>
          <w:b/>
          <w:color w:val="auto"/>
          <w:sz w:val="48"/>
          <w:szCs w:val="32"/>
          <w:lang w:eastAsia="zh-CN"/>
        </w:rPr>
        <w:t>）</w:t>
      </w:r>
    </w:p>
    <w:p w14:paraId="1584D1E2">
      <w:pPr>
        <w:ind w:firstLine="0" w:firstLineChars="0"/>
        <w:rPr>
          <w:color w:val="auto"/>
          <w:sz w:val="44"/>
          <w:szCs w:val="44"/>
        </w:rPr>
      </w:pPr>
    </w:p>
    <w:p w14:paraId="23749296">
      <w:pPr>
        <w:ind w:firstLine="0" w:firstLineChars="0"/>
        <w:rPr>
          <w:color w:val="auto"/>
          <w:sz w:val="44"/>
          <w:szCs w:val="44"/>
        </w:rPr>
      </w:pPr>
    </w:p>
    <w:p w14:paraId="4A2842E8">
      <w:pPr>
        <w:ind w:firstLine="0" w:firstLineChars="0"/>
        <w:rPr>
          <w:color w:val="auto"/>
          <w:sz w:val="44"/>
          <w:szCs w:val="44"/>
        </w:rPr>
      </w:pPr>
    </w:p>
    <w:p w14:paraId="059BA3E3">
      <w:pPr>
        <w:pStyle w:val="57"/>
        <w:pBdr>
          <w:bottom w:val="none" w:color="auto" w:sz="0" w:space="0"/>
        </w:pBdr>
        <w:tabs>
          <w:tab w:val="clear" w:pos="2054"/>
        </w:tabs>
        <w:spacing w:line="312" w:lineRule="auto"/>
        <w:jc w:val="both"/>
        <w:rPr>
          <w:b/>
          <w:color w:val="auto"/>
          <w:sz w:val="32"/>
          <w:szCs w:val="52"/>
        </w:rPr>
      </w:pPr>
    </w:p>
    <w:p w14:paraId="3EEAFAA1">
      <w:pPr>
        <w:pStyle w:val="57"/>
        <w:pBdr>
          <w:bottom w:val="none" w:color="auto" w:sz="0" w:space="0"/>
        </w:pBdr>
        <w:tabs>
          <w:tab w:val="clear" w:pos="2054"/>
        </w:tabs>
        <w:spacing w:line="312" w:lineRule="auto"/>
        <w:jc w:val="both"/>
        <w:rPr>
          <w:b/>
          <w:color w:val="auto"/>
          <w:sz w:val="32"/>
          <w:szCs w:val="52"/>
        </w:rPr>
      </w:pPr>
    </w:p>
    <w:p w14:paraId="579DD10C">
      <w:pPr>
        <w:pStyle w:val="57"/>
        <w:pBdr>
          <w:bottom w:val="none" w:color="auto" w:sz="0" w:space="0"/>
        </w:pBdr>
        <w:tabs>
          <w:tab w:val="clear" w:pos="2054"/>
        </w:tabs>
        <w:spacing w:line="312" w:lineRule="auto"/>
        <w:jc w:val="both"/>
        <w:rPr>
          <w:b/>
          <w:color w:val="auto"/>
          <w:sz w:val="32"/>
          <w:szCs w:val="52"/>
        </w:rPr>
      </w:pPr>
    </w:p>
    <w:p w14:paraId="7CE79603">
      <w:pPr>
        <w:pStyle w:val="57"/>
        <w:pBdr>
          <w:bottom w:val="none" w:color="auto" w:sz="0" w:space="0"/>
        </w:pBdr>
        <w:tabs>
          <w:tab w:val="clear" w:pos="2054"/>
        </w:tabs>
        <w:spacing w:line="312" w:lineRule="auto"/>
        <w:jc w:val="both"/>
        <w:rPr>
          <w:b/>
          <w:color w:val="auto"/>
          <w:sz w:val="32"/>
          <w:szCs w:val="52"/>
        </w:rPr>
      </w:pPr>
      <w:bookmarkStart w:id="258" w:name="_GoBack"/>
      <w:bookmarkEnd w:id="258"/>
    </w:p>
    <w:p w14:paraId="5B72EB85">
      <w:pPr>
        <w:pStyle w:val="57"/>
        <w:pBdr>
          <w:bottom w:val="none" w:color="auto" w:sz="0" w:space="0"/>
        </w:pBdr>
        <w:tabs>
          <w:tab w:val="clear" w:pos="2054"/>
        </w:tabs>
        <w:spacing w:line="312" w:lineRule="auto"/>
        <w:rPr>
          <w:rFonts w:eastAsia="华文楷体"/>
          <w:b/>
          <w:color w:val="auto"/>
          <w:sz w:val="28"/>
          <w:szCs w:val="48"/>
        </w:rPr>
      </w:pPr>
      <w:r>
        <w:rPr>
          <w:rFonts w:eastAsia="华文楷体"/>
          <w:b/>
          <w:color w:val="auto"/>
          <w:sz w:val="28"/>
          <w:szCs w:val="48"/>
        </w:rPr>
        <w:t>建设单位：一道新材科技（连云港）有限公司</w:t>
      </w:r>
    </w:p>
    <w:p w14:paraId="3B95516C">
      <w:pPr>
        <w:pStyle w:val="57"/>
        <w:pBdr>
          <w:bottom w:val="none" w:color="auto" w:sz="0" w:space="0"/>
        </w:pBdr>
        <w:tabs>
          <w:tab w:val="clear" w:pos="2054"/>
        </w:tabs>
        <w:spacing w:line="312" w:lineRule="auto"/>
        <w:rPr>
          <w:rFonts w:eastAsia="华文楷体"/>
          <w:b/>
          <w:color w:val="auto"/>
          <w:sz w:val="28"/>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361" w:right="1361" w:bottom="1361" w:left="1361" w:header="851" w:footer="992" w:gutter="0"/>
          <w:cols w:space="0" w:num="1"/>
          <w:docGrid w:type="lines" w:linePitch="312" w:charSpace="0"/>
        </w:sectPr>
      </w:pPr>
      <w:r>
        <w:rPr>
          <w:rFonts w:eastAsia="华文楷体"/>
          <w:b/>
          <w:color w:val="auto"/>
          <w:sz w:val="28"/>
          <w:szCs w:val="48"/>
        </w:rPr>
        <w:t>202</w:t>
      </w:r>
      <w:r>
        <w:rPr>
          <w:rFonts w:hint="eastAsia" w:eastAsia="华文楷体"/>
          <w:b/>
          <w:color w:val="auto"/>
          <w:sz w:val="28"/>
          <w:szCs w:val="48"/>
        </w:rPr>
        <w:t>5</w:t>
      </w:r>
      <w:r>
        <w:rPr>
          <w:rFonts w:eastAsia="华文楷体"/>
          <w:b/>
          <w:color w:val="auto"/>
          <w:sz w:val="28"/>
          <w:szCs w:val="48"/>
        </w:rPr>
        <w:t>年</w:t>
      </w:r>
      <w:r>
        <w:rPr>
          <w:rFonts w:hint="eastAsia" w:eastAsia="华文楷体"/>
          <w:b/>
          <w:color w:val="auto"/>
          <w:sz w:val="28"/>
          <w:szCs w:val="48"/>
        </w:rPr>
        <w:t>1</w:t>
      </w:r>
      <w:r>
        <w:rPr>
          <w:rFonts w:eastAsia="华文楷体"/>
          <w:b/>
          <w:color w:val="auto"/>
          <w:sz w:val="28"/>
          <w:szCs w:val="48"/>
        </w:rPr>
        <w:t>月</w:t>
      </w:r>
    </w:p>
    <w:bookmarkEnd w:id="2"/>
    <w:p w14:paraId="520545EC">
      <w:pPr>
        <w:pStyle w:val="1407"/>
        <w:spacing w:before="0" w:line="260" w:lineRule="auto"/>
        <w:ind w:firstLine="0" w:firstLineChars="0"/>
        <w:jc w:val="center"/>
        <w:rPr>
          <w:rFonts w:ascii="Times New Roman" w:hAnsi="Times New Roman"/>
          <w:b/>
          <w:color w:val="auto"/>
        </w:rPr>
      </w:pPr>
      <w:r>
        <w:rPr>
          <w:rFonts w:ascii="Times New Roman" w:hAnsi="Times New Roman"/>
          <w:b/>
          <w:color w:val="auto"/>
          <w:lang w:val="zh-CN"/>
        </w:rPr>
        <w:t>目  录</w:t>
      </w:r>
    </w:p>
    <w:p w14:paraId="65294D7E">
      <w:pPr>
        <w:pStyle w:val="59"/>
        <w:tabs>
          <w:tab w:val="right" w:leader="dot" w:pos="9184"/>
          <w:tab w:val="clear" w:pos="9174"/>
        </w:tabs>
      </w:pPr>
      <w:r>
        <w:rPr>
          <w:color w:val="auto"/>
        </w:rPr>
        <w:fldChar w:fldCharType="begin"/>
      </w:r>
      <w:r>
        <w:rPr>
          <w:color w:val="auto"/>
        </w:rPr>
        <w:instrText xml:space="preserve"> TOC \o "1-2" \f \h \z \u </w:instrText>
      </w:r>
      <w:r>
        <w:rPr>
          <w:color w:val="auto"/>
        </w:rPr>
        <w:fldChar w:fldCharType="separate"/>
      </w:r>
      <w:r>
        <w:rPr>
          <w:color w:val="auto"/>
        </w:rPr>
        <w:fldChar w:fldCharType="begin"/>
      </w:r>
      <w:r>
        <w:instrText xml:space="preserve"> HYPERLINK \l _Toc13419 </w:instrText>
      </w:r>
      <w:r>
        <w:fldChar w:fldCharType="separate"/>
      </w:r>
      <w:r>
        <w:rPr>
          <w:szCs w:val="48"/>
        </w:rPr>
        <w:t>1 概述</w:t>
      </w:r>
      <w:r>
        <w:tab/>
      </w:r>
      <w:r>
        <w:fldChar w:fldCharType="begin"/>
      </w:r>
      <w:r>
        <w:instrText xml:space="preserve"> PAGEREF _Toc13419 \h </w:instrText>
      </w:r>
      <w:r>
        <w:fldChar w:fldCharType="separate"/>
      </w:r>
      <w:r>
        <w:t>1</w:t>
      </w:r>
      <w:r>
        <w:fldChar w:fldCharType="end"/>
      </w:r>
      <w:r>
        <w:rPr>
          <w:color w:val="auto"/>
        </w:rPr>
        <w:fldChar w:fldCharType="end"/>
      </w:r>
    </w:p>
    <w:p w14:paraId="70312BBB">
      <w:pPr>
        <w:pStyle w:val="73"/>
        <w:tabs>
          <w:tab w:val="right" w:leader="dot" w:pos="9184"/>
          <w:tab w:val="clear" w:pos="9174"/>
        </w:tabs>
      </w:pPr>
      <w:r>
        <w:rPr>
          <w:color w:val="auto"/>
        </w:rPr>
        <w:fldChar w:fldCharType="begin"/>
      </w:r>
      <w:r>
        <w:instrText xml:space="preserve"> HYPERLINK \l _Toc21327 </w:instrText>
      </w:r>
      <w:r>
        <w:fldChar w:fldCharType="separate"/>
      </w:r>
      <w:r>
        <w:rPr>
          <w:szCs w:val="30"/>
        </w:rPr>
        <w:t>1.1 项目由来</w:t>
      </w:r>
      <w:r>
        <w:tab/>
      </w:r>
      <w:r>
        <w:fldChar w:fldCharType="begin"/>
      </w:r>
      <w:r>
        <w:instrText xml:space="preserve"> PAGEREF _Toc21327 \h </w:instrText>
      </w:r>
      <w:r>
        <w:fldChar w:fldCharType="separate"/>
      </w:r>
      <w:r>
        <w:t>1</w:t>
      </w:r>
      <w:r>
        <w:fldChar w:fldCharType="end"/>
      </w:r>
      <w:r>
        <w:rPr>
          <w:color w:val="auto"/>
        </w:rPr>
        <w:fldChar w:fldCharType="end"/>
      </w:r>
    </w:p>
    <w:p w14:paraId="6391DF87">
      <w:pPr>
        <w:pStyle w:val="73"/>
        <w:tabs>
          <w:tab w:val="right" w:leader="dot" w:pos="9184"/>
          <w:tab w:val="clear" w:pos="9174"/>
        </w:tabs>
      </w:pPr>
      <w:r>
        <w:rPr>
          <w:color w:val="auto"/>
        </w:rPr>
        <w:fldChar w:fldCharType="begin"/>
      </w:r>
      <w:r>
        <w:instrText xml:space="preserve"> HYPERLINK \l _Toc11535 </w:instrText>
      </w:r>
      <w:r>
        <w:fldChar w:fldCharType="separate"/>
      </w:r>
      <w:r>
        <w:rPr>
          <w:szCs w:val="30"/>
        </w:rPr>
        <w:t>1.2 项目特点</w:t>
      </w:r>
      <w:r>
        <w:tab/>
      </w:r>
      <w:r>
        <w:fldChar w:fldCharType="begin"/>
      </w:r>
      <w:r>
        <w:instrText xml:space="preserve"> PAGEREF _Toc11535 \h </w:instrText>
      </w:r>
      <w:r>
        <w:fldChar w:fldCharType="separate"/>
      </w:r>
      <w:r>
        <w:t>2</w:t>
      </w:r>
      <w:r>
        <w:fldChar w:fldCharType="end"/>
      </w:r>
      <w:r>
        <w:rPr>
          <w:color w:val="auto"/>
        </w:rPr>
        <w:fldChar w:fldCharType="end"/>
      </w:r>
    </w:p>
    <w:p w14:paraId="2AAE2FD1">
      <w:pPr>
        <w:pStyle w:val="73"/>
        <w:tabs>
          <w:tab w:val="right" w:leader="dot" w:pos="9184"/>
          <w:tab w:val="clear" w:pos="9174"/>
        </w:tabs>
      </w:pPr>
      <w:r>
        <w:rPr>
          <w:color w:val="auto"/>
        </w:rPr>
        <w:fldChar w:fldCharType="begin"/>
      </w:r>
      <w:r>
        <w:instrText xml:space="preserve"> HYPERLINK \l _Toc56 </w:instrText>
      </w:r>
      <w:r>
        <w:fldChar w:fldCharType="separate"/>
      </w:r>
      <w:r>
        <w:rPr>
          <w:szCs w:val="30"/>
        </w:rPr>
        <w:t>1.3 工作过程</w:t>
      </w:r>
      <w:r>
        <w:tab/>
      </w:r>
      <w:r>
        <w:fldChar w:fldCharType="begin"/>
      </w:r>
      <w:r>
        <w:instrText xml:space="preserve"> PAGEREF _Toc56 \h </w:instrText>
      </w:r>
      <w:r>
        <w:fldChar w:fldCharType="separate"/>
      </w:r>
      <w:r>
        <w:t>2</w:t>
      </w:r>
      <w:r>
        <w:fldChar w:fldCharType="end"/>
      </w:r>
      <w:r>
        <w:rPr>
          <w:color w:val="auto"/>
        </w:rPr>
        <w:fldChar w:fldCharType="end"/>
      </w:r>
    </w:p>
    <w:p w14:paraId="0AECB090">
      <w:pPr>
        <w:pStyle w:val="73"/>
        <w:tabs>
          <w:tab w:val="right" w:leader="dot" w:pos="9184"/>
          <w:tab w:val="clear" w:pos="9174"/>
        </w:tabs>
      </w:pPr>
      <w:r>
        <w:rPr>
          <w:color w:val="auto"/>
        </w:rPr>
        <w:fldChar w:fldCharType="begin"/>
      </w:r>
      <w:r>
        <w:instrText xml:space="preserve"> HYPERLINK \l _Toc6770 </w:instrText>
      </w:r>
      <w:r>
        <w:fldChar w:fldCharType="separate"/>
      </w:r>
      <w:r>
        <w:rPr>
          <w:szCs w:val="30"/>
        </w:rPr>
        <w:t>1.4 初筛分析判定</w:t>
      </w:r>
      <w:r>
        <w:tab/>
      </w:r>
      <w:r>
        <w:fldChar w:fldCharType="begin"/>
      </w:r>
      <w:r>
        <w:instrText xml:space="preserve"> PAGEREF _Toc6770 \h </w:instrText>
      </w:r>
      <w:r>
        <w:fldChar w:fldCharType="separate"/>
      </w:r>
      <w:r>
        <w:t>4</w:t>
      </w:r>
      <w:r>
        <w:fldChar w:fldCharType="end"/>
      </w:r>
      <w:r>
        <w:rPr>
          <w:color w:val="auto"/>
        </w:rPr>
        <w:fldChar w:fldCharType="end"/>
      </w:r>
    </w:p>
    <w:p w14:paraId="030D0433">
      <w:pPr>
        <w:pStyle w:val="73"/>
        <w:tabs>
          <w:tab w:val="right" w:leader="dot" w:pos="9184"/>
          <w:tab w:val="clear" w:pos="9174"/>
        </w:tabs>
      </w:pPr>
      <w:r>
        <w:rPr>
          <w:color w:val="auto"/>
        </w:rPr>
        <w:fldChar w:fldCharType="begin"/>
      </w:r>
      <w:r>
        <w:instrText xml:space="preserve"> HYPERLINK \l _Toc12753 </w:instrText>
      </w:r>
      <w:r>
        <w:fldChar w:fldCharType="separate"/>
      </w:r>
      <w:r>
        <w:rPr>
          <w:szCs w:val="30"/>
        </w:rPr>
        <w:t>1.5 关注的主要环境问题</w:t>
      </w:r>
      <w:r>
        <w:tab/>
      </w:r>
      <w:r>
        <w:fldChar w:fldCharType="begin"/>
      </w:r>
      <w:r>
        <w:instrText xml:space="preserve"> PAGEREF _Toc12753 \h </w:instrText>
      </w:r>
      <w:r>
        <w:fldChar w:fldCharType="separate"/>
      </w:r>
      <w:r>
        <w:t>34</w:t>
      </w:r>
      <w:r>
        <w:fldChar w:fldCharType="end"/>
      </w:r>
      <w:r>
        <w:rPr>
          <w:color w:val="auto"/>
        </w:rPr>
        <w:fldChar w:fldCharType="end"/>
      </w:r>
    </w:p>
    <w:p w14:paraId="2DAB2C95">
      <w:pPr>
        <w:pStyle w:val="73"/>
        <w:tabs>
          <w:tab w:val="right" w:leader="dot" w:pos="9184"/>
          <w:tab w:val="clear" w:pos="9174"/>
        </w:tabs>
      </w:pPr>
      <w:r>
        <w:rPr>
          <w:color w:val="auto"/>
        </w:rPr>
        <w:fldChar w:fldCharType="begin"/>
      </w:r>
      <w:r>
        <w:instrText xml:space="preserve"> HYPERLINK \l _Toc5632 </w:instrText>
      </w:r>
      <w:r>
        <w:fldChar w:fldCharType="separate"/>
      </w:r>
      <w:r>
        <w:rPr>
          <w:szCs w:val="30"/>
        </w:rPr>
        <w:t xml:space="preserve">1.6 </w:t>
      </w:r>
      <w:r>
        <w:rPr>
          <w:rFonts w:hint="eastAsia"/>
          <w:szCs w:val="30"/>
        </w:rPr>
        <w:t>项目初筛</w:t>
      </w:r>
      <w:r>
        <w:rPr>
          <w:szCs w:val="30"/>
        </w:rPr>
        <w:t>结论</w:t>
      </w:r>
      <w:r>
        <w:tab/>
      </w:r>
      <w:r>
        <w:fldChar w:fldCharType="begin"/>
      </w:r>
      <w:r>
        <w:instrText xml:space="preserve"> PAGEREF _Toc5632 \h </w:instrText>
      </w:r>
      <w:r>
        <w:fldChar w:fldCharType="separate"/>
      </w:r>
      <w:r>
        <w:t>34</w:t>
      </w:r>
      <w:r>
        <w:fldChar w:fldCharType="end"/>
      </w:r>
      <w:r>
        <w:rPr>
          <w:color w:val="auto"/>
        </w:rPr>
        <w:fldChar w:fldCharType="end"/>
      </w:r>
    </w:p>
    <w:p w14:paraId="2EB01F9B">
      <w:pPr>
        <w:pStyle w:val="59"/>
        <w:tabs>
          <w:tab w:val="right" w:leader="dot" w:pos="9184"/>
          <w:tab w:val="clear" w:pos="9174"/>
        </w:tabs>
      </w:pPr>
      <w:r>
        <w:rPr>
          <w:color w:val="auto"/>
        </w:rPr>
        <w:fldChar w:fldCharType="begin"/>
      </w:r>
      <w:r>
        <w:instrText xml:space="preserve"> HYPERLINK \l _Toc5440 </w:instrText>
      </w:r>
      <w:r>
        <w:fldChar w:fldCharType="separate"/>
      </w:r>
      <w:r>
        <w:rPr>
          <w:szCs w:val="48"/>
        </w:rPr>
        <w:t>2 总则</w:t>
      </w:r>
      <w:r>
        <w:tab/>
      </w:r>
      <w:r>
        <w:fldChar w:fldCharType="begin"/>
      </w:r>
      <w:r>
        <w:instrText xml:space="preserve"> PAGEREF _Toc5440 \h </w:instrText>
      </w:r>
      <w:r>
        <w:fldChar w:fldCharType="separate"/>
      </w:r>
      <w:r>
        <w:t>35</w:t>
      </w:r>
      <w:r>
        <w:fldChar w:fldCharType="end"/>
      </w:r>
      <w:r>
        <w:rPr>
          <w:color w:val="auto"/>
        </w:rPr>
        <w:fldChar w:fldCharType="end"/>
      </w:r>
    </w:p>
    <w:p w14:paraId="69001F97">
      <w:pPr>
        <w:pStyle w:val="73"/>
        <w:tabs>
          <w:tab w:val="right" w:leader="dot" w:pos="9184"/>
          <w:tab w:val="clear" w:pos="9174"/>
        </w:tabs>
      </w:pPr>
      <w:r>
        <w:rPr>
          <w:color w:val="auto"/>
        </w:rPr>
        <w:fldChar w:fldCharType="begin"/>
      </w:r>
      <w:r>
        <w:instrText xml:space="preserve"> HYPERLINK \l _Toc21507 </w:instrText>
      </w:r>
      <w:r>
        <w:fldChar w:fldCharType="separate"/>
      </w:r>
      <w:r>
        <w:rPr>
          <w:szCs w:val="30"/>
        </w:rPr>
        <w:t>2.1 编制依据</w:t>
      </w:r>
      <w:r>
        <w:tab/>
      </w:r>
      <w:r>
        <w:fldChar w:fldCharType="begin"/>
      </w:r>
      <w:r>
        <w:instrText xml:space="preserve"> PAGEREF _Toc21507 \h </w:instrText>
      </w:r>
      <w:r>
        <w:fldChar w:fldCharType="separate"/>
      </w:r>
      <w:r>
        <w:t>35</w:t>
      </w:r>
      <w:r>
        <w:fldChar w:fldCharType="end"/>
      </w:r>
      <w:r>
        <w:rPr>
          <w:color w:val="auto"/>
        </w:rPr>
        <w:fldChar w:fldCharType="end"/>
      </w:r>
    </w:p>
    <w:p w14:paraId="3294D487">
      <w:pPr>
        <w:pStyle w:val="73"/>
        <w:tabs>
          <w:tab w:val="right" w:leader="dot" w:pos="9184"/>
          <w:tab w:val="clear" w:pos="9174"/>
        </w:tabs>
      </w:pPr>
      <w:r>
        <w:rPr>
          <w:color w:val="auto"/>
        </w:rPr>
        <w:fldChar w:fldCharType="begin"/>
      </w:r>
      <w:r>
        <w:instrText xml:space="preserve"> HYPERLINK \l _Toc25187 </w:instrText>
      </w:r>
      <w:r>
        <w:fldChar w:fldCharType="separate"/>
      </w:r>
      <w:r>
        <w:rPr>
          <w:szCs w:val="30"/>
        </w:rPr>
        <w:t>2.2 评价目的及评价工作原则</w:t>
      </w:r>
      <w:r>
        <w:tab/>
      </w:r>
      <w:r>
        <w:fldChar w:fldCharType="begin"/>
      </w:r>
      <w:r>
        <w:instrText xml:space="preserve"> PAGEREF _Toc25187 \h </w:instrText>
      </w:r>
      <w:r>
        <w:fldChar w:fldCharType="separate"/>
      </w:r>
      <w:r>
        <w:t>40</w:t>
      </w:r>
      <w:r>
        <w:fldChar w:fldCharType="end"/>
      </w:r>
      <w:r>
        <w:rPr>
          <w:color w:val="auto"/>
        </w:rPr>
        <w:fldChar w:fldCharType="end"/>
      </w:r>
    </w:p>
    <w:p w14:paraId="1A363A68">
      <w:pPr>
        <w:pStyle w:val="73"/>
        <w:tabs>
          <w:tab w:val="right" w:leader="dot" w:pos="9184"/>
          <w:tab w:val="clear" w:pos="9174"/>
        </w:tabs>
      </w:pPr>
      <w:r>
        <w:rPr>
          <w:color w:val="auto"/>
        </w:rPr>
        <w:fldChar w:fldCharType="begin"/>
      </w:r>
      <w:r>
        <w:instrText xml:space="preserve"> HYPERLINK \l _Toc5816 </w:instrText>
      </w:r>
      <w:r>
        <w:fldChar w:fldCharType="separate"/>
      </w:r>
      <w:r>
        <w:rPr>
          <w:szCs w:val="30"/>
        </w:rPr>
        <w:t>2.3 环境影响识别与评价因子</w:t>
      </w:r>
      <w:r>
        <w:tab/>
      </w:r>
      <w:r>
        <w:fldChar w:fldCharType="begin"/>
      </w:r>
      <w:r>
        <w:instrText xml:space="preserve"> PAGEREF _Toc5816 \h </w:instrText>
      </w:r>
      <w:r>
        <w:fldChar w:fldCharType="separate"/>
      </w:r>
      <w:r>
        <w:t>40</w:t>
      </w:r>
      <w:r>
        <w:fldChar w:fldCharType="end"/>
      </w:r>
      <w:r>
        <w:rPr>
          <w:color w:val="auto"/>
        </w:rPr>
        <w:fldChar w:fldCharType="end"/>
      </w:r>
    </w:p>
    <w:p w14:paraId="6954570B">
      <w:pPr>
        <w:pStyle w:val="73"/>
        <w:tabs>
          <w:tab w:val="right" w:leader="dot" w:pos="9184"/>
          <w:tab w:val="clear" w:pos="9174"/>
        </w:tabs>
      </w:pPr>
      <w:r>
        <w:rPr>
          <w:color w:val="auto"/>
        </w:rPr>
        <w:fldChar w:fldCharType="begin"/>
      </w:r>
      <w:r>
        <w:instrText xml:space="preserve"> HYPERLINK \l _Toc23821 </w:instrText>
      </w:r>
      <w:r>
        <w:fldChar w:fldCharType="separate"/>
      </w:r>
      <w:r>
        <w:rPr>
          <w:szCs w:val="30"/>
        </w:rPr>
        <w:t>2.4 环境功能区划与评价标准</w:t>
      </w:r>
      <w:r>
        <w:tab/>
      </w:r>
      <w:r>
        <w:fldChar w:fldCharType="begin"/>
      </w:r>
      <w:r>
        <w:instrText xml:space="preserve"> PAGEREF _Toc23821 \h </w:instrText>
      </w:r>
      <w:r>
        <w:fldChar w:fldCharType="separate"/>
      </w:r>
      <w:r>
        <w:t>43</w:t>
      </w:r>
      <w:r>
        <w:fldChar w:fldCharType="end"/>
      </w:r>
      <w:r>
        <w:rPr>
          <w:color w:val="auto"/>
        </w:rPr>
        <w:fldChar w:fldCharType="end"/>
      </w:r>
    </w:p>
    <w:p w14:paraId="0A27A5DC">
      <w:pPr>
        <w:pStyle w:val="73"/>
        <w:tabs>
          <w:tab w:val="right" w:leader="dot" w:pos="9184"/>
          <w:tab w:val="clear" w:pos="9174"/>
        </w:tabs>
      </w:pPr>
      <w:r>
        <w:rPr>
          <w:color w:val="auto"/>
        </w:rPr>
        <w:fldChar w:fldCharType="begin"/>
      </w:r>
      <w:r>
        <w:instrText xml:space="preserve"> HYPERLINK \l _Toc6920 </w:instrText>
      </w:r>
      <w:r>
        <w:fldChar w:fldCharType="separate"/>
      </w:r>
      <w:r>
        <w:rPr>
          <w:szCs w:val="30"/>
        </w:rPr>
        <w:t>2.5 评价工作等级和评价重点</w:t>
      </w:r>
      <w:r>
        <w:tab/>
      </w:r>
      <w:r>
        <w:fldChar w:fldCharType="begin"/>
      </w:r>
      <w:r>
        <w:instrText xml:space="preserve"> PAGEREF _Toc6920 \h </w:instrText>
      </w:r>
      <w:r>
        <w:fldChar w:fldCharType="separate"/>
      </w:r>
      <w:r>
        <w:t>50</w:t>
      </w:r>
      <w:r>
        <w:fldChar w:fldCharType="end"/>
      </w:r>
      <w:r>
        <w:rPr>
          <w:color w:val="auto"/>
        </w:rPr>
        <w:fldChar w:fldCharType="end"/>
      </w:r>
    </w:p>
    <w:p w14:paraId="7F7559C7">
      <w:pPr>
        <w:pStyle w:val="73"/>
        <w:tabs>
          <w:tab w:val="right" w:leader="dot" w:pos="9184"/>
          <w:tab w:val="clear" w:pos="9174"/>
        </w:tabs>
      </w:pPr>
      <w:r>
        <w:rPr>
          <w:color w:val="auto"/>
        </w:rPr>
        <w:fldChar w:fldCharType="begin"/>
      </w:r>
      <w:r>
        <w:instrText xml:space="preserve"> HYPERLINK \l _Toc15704 </w:instrText>
      </w:r>
      <w:r>
        <w:fldChar w:fldCharType="separate"/>
      </w:r>
      <w:r>
        <w:rPr>
          <w:szCs w:val="30"/>
        </w:rPr>
        <w:t>2.6 评价范围及环境保护目标</w:t>
      </w:r>
      <w:r>
        <w:tab/>
      </w:r>
      <w:r>
        <w:fldChar w:fldCharType="begin"/>
      </w:r>
      <w:r>
        <w:instrText xml:space="preserve"> PAGEREF _Toc15704 \h </w:instrText>
      </w:r>
      <w:r>
        <w:fldChar w:fldCharType="separate"/>
      </w:r>
      <w:r>
        <w:t>60</w:t>
      </w:r>
      <w:r>
        <w:fldChar w:fldCharType="end"/>
      </w:r>
      <w:r>
        <w:rPr>
          <w:color w:val="auto"/>
        </w:rPr>
        <w:fldChar w:fldCharType="end"/>
      </w:r>
    </w:p>
    <w:p w14:paraId="5CADD483">
      <w:pPr>
        <w:pStyle w:val="73"/>
        <w:tabs>
          <w:tab w:val="right" w:leader="dot" w:pos="9184"/>
          <w:tab w:val="clear" w:pos="9174"/>
        </w:tabs>
      </w:pPr>
      <w:r>
        <w:rPr>
          <w:color w:val="auto"/>
        </w:rPr>
        <w:fldChar w:fldCharType="begin"/>
      </w:r>
      <w:r>
        <w:instrText xml:space="preserve"> HYPERLINK \l _Toc21521 </w:instrText>
      </w:r>
      <w:r>
        <w:fldChar w:fldCharType="separate"/>
      </w:r>
      <w:r>
        <w:rPr>
          <w:rFonts w:hint="eastAsia"/>
          <w:szCs w:val="30"/>
        </w:rPr>
        <w:t>2.7 相关规划</w:t>
      </w:r>
      <w:r>
        <w:tab/>
      </w:r>
      <w:r>
        <w:fldChar w:fldCharType="begin"/>
      </w:r>
      <w:r>
        <w:instrText xml:space="preserve"> PAGEREF _Toc21521 \h </w:instrText>
      </w:r>
      <w:r>
        <w:fldChar w:fldCharType="separate"/>
      </w:r>
      <w:r>
        <w:t>63</w:t>
      </w:r>
      <w:r>
        <w:fldChar w:fldCharType="end"/>
      </w:r>
      <w:r>
        <w:rPr>
          <w:color w:val="auto"/>
        </w:rPr>
        <w:fldChar w:fldCharType="end"/>
      </w:r>
    </w:p>
    <w:p w14:paraId="15E213FA">
      <w:pPr>
        <w:pStyle w:val="59"/>
        <w:tabs>
          <w:tab w:val="right" w:leader="dot" w:pos="9184"/>
          <w:tab w:val="clear" w:pos="9174"/>
        </w:tabs>
      </w:pPr>
      <w:r>
        <w:rPr>
          <w:color w:val="auto"/>
        </w:rPr>
        <w:fldChar w:fldCharType="begin"/>
      </w:r>
      <w:r>
        <w:instrText xml:space="preserve"> HYPERLINK \l _Toc8088 </w:instrText>
      </w:r>
      <w:r>
        <w:fldChar w:fldCharType="separate"/>
      </w:r>
      <w:r>
        <w:rPr>
          <w:szCs w:val="48"/>
        </w:rPr>
        <w:t>3 现有项目</w:t>
      </w:r>
      <w:r>
        <w:rPr>
          <w:rFonts w:hint="eastAsia"/>
          <w:szCs w:val="48"/>
        </w:rPr>
        <w:t>回顾</w:t>
      </w:r>
      <w:r>
        <w:tab/>
      </w:r>
      <w:r>
        <w:fldChar w:fldCharType="begin"/>
      </w:r>
      <w:r>
        <w:instrText xml:space="preserve"> PAGEREF _Toc8088 \h </w:instrText>
      </w:r>
      <w:r>
        <w:fldChar w:fldCharType="separate"/>
      </w:r>
      <w:r>
        <w:t>76</w:t>
      </w:r>
      <w:r>
        <w:fldChar w:fldCharType="end"/>
      </w:r>
      <w:r>
        <w:rPr>
          <w:color w:val="auto"/>
        </w:rPr>
        <w:fldChar w:fldCharType="end"/>
      </w:r>
    </w:p>
    <w:p w14:paraId="4EEFF475">
      <w:pPr>
        <w:pStyle w:val="73"/>
        <w:tabs>
          <w:tab w:val="right" w:leader="dot" w:pos="9184"/>
          <w:tab w:val="clear" w:pos="9174"/>
        </w:tabs>
      </w:pPr>
      <w:r>
        <w:rPr>
          <w:color w:val="auto"/>
        </w:rPr>
        <w:fldChar w:fldCharType="begin"/>
      </w:r>
      <w:r>
        <w:instrText xml:space="preserve"> HYPERLINK \l _Toc13279 </w:instrText>
      </w:r>
      <w:r>
        <w:fldChar w:fldCharType="separate"/>
      </w:r>
      <w:r>
        <w:rPr>
          <w:szCs w:val="30"/>
        </w:rPr>
        <w:t>3.1 现有项目工程概况</w:t>
      </w:r>
      <w:r>
        <w:tab/>
      </w:r>
      <w:r>
        <w:fldChar w:fldCharType="begin"/>
      </w:r>
      <w:r>
        <w:instrText xml:space="preserve"> PAGEREF _Toc13279 \h </w:instrText>
      </w:r>
      <w:r>
        <w:fldChar w:fldCharType="separate"/>
      </w:r>
      <w:r>
        <w:t>76</w:t>
      </w:r>
      <w:r>
        <w:fldChar w:fldCharType="end"/>
      </w:r>
      <w:r>
        <w:rPr>
          <w:color w:val="auto"/>
        </w:rPr>
        <w:fldChar w:fldCharType="end"/>
      </w:r>
    </w:p>
    <w:p w14:paraId="5E78BB51">
      <w:pPr>
        <w:pStyle w:val="73"/>
        <w:tabs>
          <w:tab w:val="right" w:leader="dot" w:pos="9184"/>
          <w:tab w:val="clear" w:pos="9174"/>
        </w:tabs>
      </w:pPr>
      <w:r>
        <w:rPr>
          <w:color w:val="auto"/>
        </w:rPr>
        <w:fldChar w:fldCharType="begin"/>
      </w:r>
      <w:r>
        <w:instrText xml:space="preserve"> HYPERLINK \l _Toc24737 </w:instrText>
      </w:r>
      <w:r>
        <w:fldChar w:fldCharType="separate"/>
      </w:r>
      <w:r>
        <w:rPr>
          <w:bCs/>
          <w:szCs w:val="30"/>
        </w:rPr>
        <w:t>3.2 现有项目生产工艺流程</w:t>
      </w:r>
      <w:r>
        <w:rPr>
          <w:rFonts w:hint="eastAsia"/>
          <w:bCs/>
          <w:szCs w:val="30"/>
        </w:rPr>
        <w:t>及产污分析</w:t>
      </w:r>
      <w:r>
        <w:tab/>
      </w:r>
      <w:r>
        <w:fldChar w:fldCharType="begin"/>
      </w:r>
      <w:r>
        <w:instrText xml:space="preserve"> PAGEREF _Toc24737 \h </w:instrText>
      </w:r>
      <w:r>
        <w:fldChar w:fldCharType="separate"/>
      </w:r>
      <w:r>
        <w:t>78</w:t>
      </w:r>
      <w:r>
        <w:fldChar w:fldCharType="end"/>
      </w:r>
      <w:r>
        <w:rPr>
          <w:color w:val="auto"/>
        </w:rPr>
        <w:fldChar w:fldCharType="end"/>
      </w:r>
    </w:p>
    <w:p w14:paraId="3962FE79">
      <w:pPr>
        <w:pStyle w:val="73"/>
        <w:tabs>
          <w:tab w:val="right" w:leader="dot" w:pos="9184"/>
          <w:tab w:val="clear" w:pos="9174"/>
        </w:tabs>
      </w:pPr>
      <w:r>
        <w:rPr>
          <w:color w:val="auto"/>
        </w:rPr>
        <w:fldChar w:fldCharType="begin"/>
      </w:r>
      <w:r>
        <w:instrText xml:space="preserve"> HYPERLINK \l _Toc29447 </w:instrText>
      </w:r>
      <w:r>
        <w:fldChar w:fldCharType="separate"/>
      </w:r>
      <w:r>
        <w:rPr>
          <w:bCs/>
          <w:szCs w:val="30"/>
        </w:rPr>
        <w:t>3.</w:t>
      </w:r>
      <w:r>
        <w:rPr>
          <w:rFonts w:hint="eastAsia"/>
          <w:bCs/>
          <w:szCs w:val="30"/>
        </w:rPr>
        <w:t>3</w:t>
      </w:r>
      <w:r>
        <w:rPr>
          <w:bCs/>
          <w:szCs w:val="30"/>
        </w:rPr>
        <w:t xml:space="preserve"> 现有项目</w:t>
      </w:r>
      <w:r>
        <w:rPr>
          <w:rFonts w:hint="eastAsia"/>
          <w:bCs/>
          <w:szCs w:val="30"/>
        </w:rPr>
        <w:t>污染物产排情况及污染治理措施</w:t>
      </w:r>
      <w:r>
        <w:tab/>
      </w:r>
      <w:r>
        <w:fldChar w:fldCharType="begin"/>
      </w:r>
      <w:r>
        <w:instrText xml:space="preserve"> PAGEREF _Toc29447 \h </w:instrText>
      </w:r>
      <w:r>
        <w:fldChar w:fldCharType="separate"/>
      </w:r>
      <w:r>
        <w:t>78</w:t>
      </w:r>
      <w:r>
        <w:fldChar w:fldCharType="end"/>
      </w:r>
      <w:r>
        <w:rPr>
          <w:color w:val="auto"/>
        </w:rPr>
        <w:fldChar w:fldCharType="end"/>
      </w:r>
    </w:p>
    <w:p w14:paraId="17866E1E">
      <w:pPr>
        <w:pStyle w:val="73"/>
        <w:tabs>
          <w:tab w:val="right" w:leader="dot" w:pos="9184"/>
          <w:tab w:val="clear" w:pos="9174"/>
        </w:tabs>
      </w:pPr>
      <w:r>
        <w:rPr>
          <w:color w:val="auto"/>
        </w:rPr>
        <w:fldChar w:fldCharType="begin"/>
      </w:r>
      <w:r>
        <w:instrText xml:space="preserve"> HYPERLINK \l _Toc12672 </w:instrText>
      </w:r>
      <w:r>
        <w:fldChar w:fldCharType="separate"/>
      </w:r>
      <w:r>
        <w:rPr>
          <w:bCs/>
          <w:szCs w:val="30"/>
        </w:rPr>
        <w:t>3.</w:t>
      </w:r>
      <w:r>
        <w:rPr>
          <w:rFonts w:hint="eastAsia"/>
          <w:bCs/>
          <w:szCs w:val="30"/>
        </w:rPr>
        <w:t>4</w:t>
      </w:r>
      <w:r>
        <w:rPr>
          <w:bCs/>
          <w:szCs w:val="30"/>
        </w:rPr>
        <w:t xml:space="preserve"> 现有项目</w:t>
      </w:r>
      <w:r>
        <w:rPr>
          <w:rFonts w:hint="eastAsia"/>
          <w:bCs/>
          <w:szCs w:val="30"/>
        </w:rPr>
        <w:t>风险评价回顾</w:t>
      </w:r>
      <w:r>
        <w:tab/>
      </w:r>
      <w:r>
        <w:fldChar w:fldCharType="begin"/>
      </w:r>
      <w:r>
        <w:instrText xml:space="preserve"> PAGEREF _Toc12672 \h </w:instrText>
      </w:r>
      <w:r>
        <w:fldChar w:fldCharType="separate"/>
      </w:r>
      <w:r>
        <w:t>82</w:t>
      </w:r>
      <w:r>
        <w:fldChar w:fldCharType="end"/>
      </w:r>
      <w:r>
        <w:rPr>
          <w:color w:val="auto"/>
        </w:rPr>
        <w:fldChar w:fldCharType="end"/>
      </w:r>
    </w:p>
    <w:p w14:paraId="4AD4665C">
      <w:pPr>
        <w:pStyle w:val="73"/>
        <w:tabs>
          <w:tab w:val="right" w:leader="dot" w:pos="9184"/>
          <w:tab w:val="clear" w:pos="9174"/>
        </w:tabs>
      </w:pPr>
      <w:r>
        <w:rPr>
          <w:color w:val="auto"/>
        </w:rPr>
        <w:fldChar w:fldCharType="begin"/>
      </w:r>
      <w:r>
        <w:instrText xml:space="preserve"> HYPERLINK \l _Toc5635 </w:instrText>
      </w:r>
      <w:r>
        <w:fldChar w:fldCharType="separate"/>
      </w:r>
      <w:r>
        <w:rPr>
          <w:bCs/>
          <w:szCs w:val="30"/>
        </w:rPr>
        <w:t>3.</w:t>
      </w:r>
      <w:r>
        <w:rPr>
          <w:rFonts w:hint="eastAsia"/>
          <w:bCs/>
          <w:szCs w:val="30"/>
        </w:rPr>
        <w:t>5</w:t>
      </w:r>
      <w:r>
        <w:rPr>
          <w:bCs/>
          <w:szCs w:val="30"/>
        </w:rPr>
        <w:t xml:space="preserve"> 现</w:t>
      </w:r>
      <w:r>
        <w:rPr>
          <w:rFonts w:hint="eastAsia"/>
          <w:bCs/>
          <w:szCs w:val="30"/>
        </w:rPr>
        <w:t>有项目排污许可证手续办理情况</w:t>
      </w:r>
      <w:r>
        <w:tab/>
      </w:r>
      <w:r>
        <w:fldChar w:fldCharType="begin"/>
      </w:r>
      <w:r>
        <w:instrText xml:space="preserve"> PAGEREF _Toc5635 \h </w:instrText>
      </w:r>
      <w:r>
        <w:fldChar w:fldCharType="separate"/>
      </w:r>
      <w:r>
        <w:t>84</w:t>
      </w:r>
      <w:r>
        <w:fldChar w:fldCharType="end"/>
      </w:r>
      <w:r>
        <w:rPr>
          <w:color w:val="auto"/>
        </w:rPr>
        <w:fldChar w:fldCharType="end"/>
      </w:r>
    </w:p>
    <w:p w14:paraId="746F5FAC">
      <w:pPr>
        <w:pStyle w:val="73"/>
        <w:tabs>
          <w:tab w:val="right" w:leader="dot" w:pos="9184"/>
          <w:tab w:val="clear" w:pos="9174"/>
        </w:tabs>
      </w:pPr>
      <w:r>
        <w:rPr>
          <w:color w:val="auto"/>
        </w:rPr>
        <w:fldChar w:fldCharType="begin"/>
      </w:r>
      <w:r>
        <w:instrText xml:space="preserve"> HYPERLINK \l _Toc17892 </w:instrText>
      </w:r>
      <w:r>
        <w:fldChar w:fldCharType="separate"/>
      </w:r>
      <w:r>
        <w:rPr>
          <w:rFonts w:hint="eastAsia"/>
          <w:bCs/>
          <w:szCs w:val="30"/>
        </w:rPr>
        <w:t>3.6 环境风险隐患排查执行情况</w:t>
      </w:r>
      <w:r>
        <w:tab/>
      </w:r>
      <w:r>
        <w:fldChar w:fldCharType="begin"/>
      </w:r>
      <w:r>
        <w:instrText xml:space="preserve"> PAGEREF _Toc17892 \h </w:instrText>
      </w:r>
      <w:r>
        <w:fldChar w:fldCharType="separate"/>
      </w:r>
      <w:r>
        <w:t>84</w:t>
      </w:r>
      <w:r>
        <w:fldChar w:fldCharType="end"/>
      </w:r>
      <w:r>
        <w:rPr>
          <w:color w:val="auto"/>
        </w:rPr>
        <w:fldChar w:fldCharType="end"/>
      </w:r>
    </w:p>
    <w:p w14:paraId="21C73FEE">
      <w:pPr>
        <w:pStyle w:val="73"/>
        <w:tabs>
          <w:tab w:val="right" w:leader="dot" w:pos="9184"/>
          <w:tab w:val="clear" w:pos="9174"/>
        </w:tabs>
      </w:pPr>
      <w:r>
        <w:rPr>
          <w:color w:val="auto"/>
        </w:rPr>
        <w:fldChar w:fldCharType="begin"/>
      </w:r>
      <w:r>
        <w:instrText xml:space="preserve"> HYPERLINK \l _Toc9850 </w:instrText>
      </w:r>
      <w:r>
        <w:fldChar w:fldCharType="separate"/>
      </w:r>
      <w:r>
        <w:rPr>
          <w:bCs/>
          <w:szCs w:val="30"/>
        </w:rPr>
        <w:t>3.</w:t>
      </w:r>
      <w:r>
        <w:rPr>
          <w:rFonts w:hint="eastAsia"/>
          <w:bCs/>
          <w:szCs w:val="30"/>
        </w:rPr>
        <w:t>7</w:t>
      </w:r>
      <w:r>
        <w:rPr>
          <w:bCs/>
          <w:szCs w:val="30"/>
        </w:rPr>
        <w:t xml:space="preserve"> 现有项目</w:t>
      </w:r>
      <w:r>
        <w:rPr>
          <w:rFonts w:hint="eastAsia"/>
          <w:bCs/>
          <w:szCs w:val="30"/>
        </w:rPr>
        <w:t>存在问题及“以新带老”措施</w:t>
      </w:r>
      <w:r>
        <w:tab/>
      </w:r>
      <w:r>
        <w:fldChar w:fldCharType="begin"/>
      </w:r>
      <w:r>
        <w:instrText xml:space="preserve"> PAGEREF _Toc9850 \h </w:instrText>
      </w:r>
      <w:r>
        <w:fldChar w:fldCharType="separate"/>
      </w:r>
      <w:r>
        <w:t>84</w:t>
      </w:r>
      <w:r>
        <w:fldChar w:fldCharType="end"/>
      </w:r>
      <w:r>
        <w:rPr>
          <w:color w:val="auto"/>
        </w:rPr>
        <w:fldChar w:fldCharType="end"/>
      </w:r>
    </w:p>
    <w:p w14:paraId="3CB94636">
      <w:pPr>
        <w:pStyle w:val="73"/>
        <w:tabs>
          <w:tab w:val="right" w:leader="dot" w:pos="9184"/>
          <w:tab w:val="clear" w:pos="9174"/>
        </w:tabs>
      </w:pPr>
      <w:r>
        <w:rPr>
          <w:color w:val="auto"/>
        </w:rPr>
        <w:fldChar w:fldCharType="begin"/>
      </w:r>
      <w:r>
        <w:instrText xml:space="preserve"> HYPERLINK \l _Toc23224 </w:instrText>
      </w:r>
      <w:r>
        <w:fldChar w:fldCharType="separate"/>
      </w:r>
      <w:r>
        <w:rPr>
          <w:bCs/>
          <w:szCs w:val="30"/>
        </w:rPr>
        <w:t>3.</w:t>
      </w:r>
      <w:r>
        <w:rPr>
          <w:rFonts w:hint="eastAsia"/>
          <w:bCs/>
          <w:szCs w:val="30"/>
        </w:rPr>
        <w:t>8</w:t>
      </w:r>
      <w:r>
        <w:rPr>
          <w:bCs/>
          <w:szCs w:val="30"/>
        </w:rPr>
        <w:t xml:space="preserve"> 现有项目</w:t>
      </w:r>
      <w:r>
        <w:rPr>
          <w:rFonts w:hint="eastAsia"/>
          <w:bCs/>
          <w:szCs w:val="30"/>
        </w:rPr>
        <w:t>关停计划环境管理要求</w:t>
      </w:r>
      <w:r>
        <w:tab/>
      </w:r>
      <w:r>
        <w:fldChar w:fldCharType="begin"/>
      </w:r>
      <w:r>
        <w:instrText xml:space="preserve"> PAGEREF _Toc23224 \h </w:instrText>
      </w:r>
      <w:r>
        <w:fldChar w:fldCharType="separate"/>
      </w:r>
      <w:r>
        <w:t>85</w:t>
      </w:r>
      <w:r>
        <w:fldChar w:fldCharType="end"/>
      </w:r>
      <w:r>
        <w:rPr>
          <w:color w:val="auto"/>
        </w:rPr>
        <w:fldChar w:fldCharType="end"/>
      </w:r>
    </w:p>
    <w:p w14:paraId="0133EDB5">
      <w:pPr>
        <w:pStyle w:val="59"/>
        <w:tabs>
          <w:tab w:val="right" w:leader="dot" w:pos="9184"/>
          <w:tab w:val="clear" w:pos="9174"/>
        </w:tabs>
      </w:pPr>
      <w:r>
        <w:rPr>
          <w:color w:val="auto"/>
        </w:rPr>
        <w:fldChar w:fldCharType="begin"/>
      </w:r>
      <w:r>
        <w:instrText xml:space="preserve"> HYPERLINK \l _Toc2024 </w:instrText>
      </w:r>
      <w:r>
        <w:fldChar w:fldCharType="separate"/>
      </w:r>
      <w:r>
        <w:rPr>
          <w:szCs w:val="48"/>
        </w:rPr>
        <w:t xml:space="preserve">4 </w:t>
      </w:r>
      <w:r>
        <w:rPr>
          <w:rFonts w:hint="eastAsia"/>
          <w:szCs w:val="48"/>
        </w:rPr>
        <w:t>建设项目</w:t>
      </w:r>
      <w:r>
        <w:rPr>
          <w:szCs w:val="48"/>
        </w:rPr>
        <w:t>工程分析</w:t>
      </w:r>
      <w:r>
        <w:tab/>
      </w:r>
      <w:r>
        <w:fldChar w:fldCharType="begin"/>
      </w:r>
      <w:r>
        <w:instrText xml:space="preserve"> PAGEREF _Toc2024 \h </w:instrText>
      </w:r>
      <w:r>
        <w:fldChar w:fldCharType="separate"/>
      </w:r>
      <w:r>
        <w:t>90</w:t>
      </w:r>
      <w:r>
        <w:fldChar w:fldCharType="end"/>
      </w:r>
      <w:r>
        <w:rPr>
          <w:color w:val="auto"/>
        </w:rPr>
        <w:fldChar w:fldCharType="end"/>
      </w:r>
    </w:p>
    <w:p w14:paraId="0FC216F2">
      <w:pPr>
        <w:pStyle w:val="59"/>
        <w:tabs>
          <w:tab w:val="right" w:leader="dot" w:pos="9184"/>
          <w:tab w:val="clear" w:pos="9174"/>
        </w:tabs>
      </w:pPr>
      <w:r>
        <w:rPr>
          <w:color w:val="auto"/>
        </w:rPr>
        <w:fldChar w:fldCharType="begin"/>
      </w:r>
      <w:r>
        <w:instrText xml:space="preserve"> HYPERLINK \l _Toc32462 </w:instrText>
      </w:r>
      <w:r>
        <w:fldChar w:fldCharType="separate"/>
      </w:r>
      <w:r>
        <w:rPr>
          <w:rFonts w:hint="eastAsia"/>
          <w:szCs w:val="32"/>
        </w:rPr>
        <w:t>5</w:t>
      </w:r>
      <w:r>
        <w:rPr>
          <w:szCs w:val="32"/>
        </w:rPr>
        <w:t xml:space="preserve"> 环境现状调查与评价</w:t>
      </w:r>
      <w:r>
        <w:tab/>
      </w:r>
      <w:r>
        <w:fldChar w:fldCharType="begin"/>
      </w:r>
      <w:r>
        <w:instrText xml:space="preserve"> PAGEREF _Toc32462 \h </w:instrText>
      </w:r>
      <w:r>
        <w:fldChar w:fldCharType="separate"/>
      </w:r>
      <w:r>
        <w:t>91</w:t>
      </w:r>
      <w:r>
        <w:fldChar w:fldCharType="end"/>
      </w:r>
      <w:r>
        <w:rPr>
          <w:color w:val="auto"/>
        </w:rPr>
        <w:fldChar w:fldCharType="end"/>
      </w:r>
    </w:p>
    <w:p w14:paraId="35BC5DF0">
      <w:pPr>
        <w:pStyle w:val="73"/>
        <w:tabs>
          <w:tab w:val="right" w:leader="dot" w:pos="9184"/>
          <w:tab w:val="clear" w:pos="9174"/>
        </w:tabs>
      </w:pPr>
      <w:r>
        <w:rPr>
          <w:color w:val="auto"/>
        </w:rPr>
        <w:fldChar w:fldCharType="begin"/>
      </w:r>
      <w:r>
        <w:instrText xml:space="preserve"> HYPERLINK \l _Toc18992 </w:instrText>
      </w:r>
      <w:r>
        <w:fldChar w:fldCharType="separate"/>
      </w:r>
      <w:r>
        <w:rPr>
          <w:rFonts w:hint="eastAsia"/>
          <w:szCs w:val="30"/>
        </w:rPr>
        <w:t>5</w:t>
      </w:r>
      <w:r>
        <w:rPr>
          <w:szCs w:val="30"/>
        </w:rPr>
        <w:t xml:space="preserve">.1 </w:t>
      </w:r>
      <w:r>
        <w:rPr>
          <w:rFonts w:hint="eastAsia"/>
          <w:szCs w:val="30"/>
        </w:rPr>
        <w:t>区域</w:t>
      </w:r>
      <w:r>
        <w:rPr>
          <w:szCs w:val="30"/>
        </w:rPr>
        <w:t>自然环境概况</w:t>
      </w:r>
      <w:r>
        <w:tab/>
      </w:r>
      <w:r>
        <w:fldChar w:fldCharType="begin"/>
      </w:r>
      <w:r>
        <w:instrText xml:space="preserve"> PAGEREF _Toc18992 \h </w:instrText>
      </w:r>
      <w:r>
        <w:fldChar w:fldCharType="separate"/>
      </w:r>
      <w:r>
        <w:t>91</w:t>
      </w:r>
      <w:r>
        <w:fldChar w:fldCharType="end"/>
      </w:r>
      <w:r>
        <w:rPr>
          <w:color w:val="auto"/>
        </w:rPr>
        <w:fldChar w:fldCharType="end"/>
      </w:r>
    </w:p>
    <w:p w14:paraId="327BD1AA">
      <w:pPr>
        <w:pStyle w:val="73"/>
        <w:tabs>
          <w:tab w:val="right" w:leader="dot" w:pos="9184"/>
          <w:tab w:val="clear" w:pos="9174"/>
        </w:tabs>
      </w:pPr>
      <w:r>
        <w:rPr>
          <w:color w:val="auto"/>
        </w:rPr>
        <w:fldChar w:fldCharType="begin"/>
      </w:r>
      <w:r>
        <w:instrText xml:space="preserve"> HYPERLINK \l _Toc5501 </w:instrText>
      </w:r>
      <w:r>
        <w:fldChar w:fldCharType="separate"/>
      </w:r>
      <w:r>
        <w:rPr>
          <w:rFonts w:hint="eastAsia"/>
          <w:szCs w:val="30"/>
        </w:rPr>
        <w:t>5</w:t>
      </w:r>
      <w:r>
        <w:rPr>
          <w:szCs w:val="30"/>
        </w:rPr>
        <w:t>.</w:t>
      </w:r>
      <w:r>
        <w:rPr>
          <w:rFonts w:hint="eastAsia"/>
          <w:szCs w:val="30"/>
        </w:rPr>
        <w:t>2</w:t>
      </w:r>
      <w:r>
        <w:rPr>
          <w:szCs w:val="30"/>
        </w:rPr>
        <w:t xml:space="preserve"> </w:t>
      </w:r>
      <w:r>
        <w:rPr>
          <w:rFonts w:hint="eastAsia"/>
          <w:szCs w:val="30"/>
        </w:rPr>
        <w:t>环境质量现状调查与</w:t>
      </w:r>
      <w:r>
        <w:rPr>
          <w:szCs w:val="30"/>
        </w:rPr>
        <w:t>评价</w:t>
      </w:r>
      <w:r>
        <w:tab/>
      </w:r>
      <w:r>
        <w:fldChar w:fldCharType="begin"/>
      </w:r>
      <w:r>
        <w:instrText xml:space="preserve"> PAGEREF _Toc5501 \h </w:instrText>
      </w:r>
      <w:r>
        <w:fldChar w:fldCharType="separate"/>
      </w:r>
      <w:r>
        <w:t>104</w:t>
      </w:r>
      <w:r>
        <w:fldChar w:fldCharType="end"/>
      </w:r>
      <w:r>
        <w:rPr>
          <w:color w:val="auto"/>
        </w:rPr>
        <w:fldChar w:fldCharType="end"/>
      </w:r>
    </w:p>
    <w:p w14:paraId="03FB90E6">
      <w:pPr>
        <w:pStyle w:val="59"/>
        <w:tabs>
          <w:tab w:val="right" w:leader="dot" w:pos="9184"/>
          <w:tab w:val="clear" w:pos="9174"/>
        </w:tabs>
      </w:pPr>
      <w:r>
        <w:rPr>
          <w:color w:val="auto"/>
        </w:rPr>
        <w:fldChar w:fldCharType="begin"/>
      </w:r>
      <w:r>
        <w:instrText xml:space="preserve"> HYPERLINK \l _Toc12838 </w:instrText>
      </w:r>
      <w:r>
        <w:fldChar w:fldCharType="separate"/>
      </w:r>
      <w:r>
        <w:rPr>
          <w:rFonts w:hint="eastAsia"/>
        </w:rPr>
        <w:t>6</w:t>
      </w:r>
      <w:r>
        <w:t xml:space="preserve"> 环境影响预测与评价</w:t>
      </w:r>
      <w:r>
        <w:tab/>
      </w:r>
      <w:r>
        <w:fldChar w:fldCharType="begin"/>
      </w:r>
      <w:r>
        <w:instrText xml:space="preserve"> PAGEREF _Toc12838 \h </w:instrText>
      </w:r>
      <w:r>
        <w:fldChar w:fldCharType="separate"/>
      </w:r>
      <w:r>
        <w:t>122</w:t>
      </w:r>
      <w:r>
        <w:fldChar w:fldCharType="end"/>
      </w:r>
      <w:r>
        <w:rPr>
          <w:color w:val="auto"/>
        </w:rPr>
        <w:fldChar w:fldCharType="end"/>
      </w:r>
    </w:p>
    <w:p w14:paraId="57CB1D94">
      <w:pPr>
        <w:pStyle w:val="73"/>
        <w:tabs>
          <w:tab w:val="right" w:leader="dot" w:pos="9184"/>
          <w:tab w:val="clear" w:pos="9174"/>
        </w:tabs>
      </w:pPr>
      <w:r>
        <w:rPr>
          <w:color w:val="auto"/>
        </w:rPr>
        <w:fldChar w:fldCharType="begin"/>
      </w:r>
      <w:r>
        <w:instrText xml:space="preserve"> HYPERLINK \l _Toc2985 </w:instrText>
      </w:r>
      <w:r>
        <w:fldChar w:fldCharType="separate"/>
      </w:r>
      <w:r>
        <w:rPr>
          <w:rFonts w:hint="eastAsia"/>
          <w:szCs w:val="30"/>
        </w:rPr>
        <w:t>6</w:t>
      </w:r>
      <w:r>
        <w:rPr>
          <w:szCs w:val="30"/>
        </w:rPr>
        <w:t>.1 施工期环境影响分析</w:t>
      </w:r>
      <w:r>
        <w:tab/>
      </w:r>
      <w:r>
        <w:fldChar w:fldCharType="begin"/>
      </w:r>
      <w:r>
        <w:instrText xml:space="preserve"> PAGEREF _Toc2985 \h </w:instrText>
      </w:r>
      <w:r>
        <w:fldChar w:fldCharType="separate"/>
      </w:r>
      <w:r>
        <w:t>122</w:t>
      </w:r>
      <w:r>
        <w:fldChar w:fldCharType="end"/>
      </w:r>
      <w:r>
        <w:rPr>
          <w:color w:val="auto"/>
        </w:rPr>
        <w:fldChar w:fldCharType="end"/>
      </w:r>
    </w:p>
    <w:p w14:paraId="201FDC0B">
      <w:pPr>
        <w:pStyle w:val="73"/>
        <w:tabs>
          <w:tab w:val="right" w:leader="dot" w:pos="9184"/>
          <w:tab w:val="clear" w:pos="9174"/>
        </w:tabs>
      </w:pPr>
      <w:r>
        <w:rPr>
          <w:color w:val="auto"/>
        </w:rPr>
        <w:fldChar w:fldCharType="begin"/>
      </w:r>
      <w:r>
        <w:instrText xml:space="preserve"> HYPERLINK \l _Toc12058 </w:instrText>
      </w:r>
      <w:r>
        <w:fldChar w:fldCharType="separate"/>
      </w:r>
      <w:r>
        <w:rPr>
          <w:rFonts w:hint="eastAsia"/>
          <w:szCs w:val="30"/>
        </w:rPr>
        <w:t>6</w:t>
      </w:r>
      <w:r>
        <w:rPr>
          <w:szCs w:val="30"/>
        </w:rPr>
        <w:t>.2 运营期环境影响预测与评价</w:t>
      </w:r>
      <w:r>
        <w:tab/>
      </w:r>
      <w:r>
        <w:fldChar w:fldCharType="begin"/>
      </w:r>
      <w:r>
        <w:instrText xml:space="preserve"> PAGEREF _Toc12058 \h </w:instrText>
      </w:r>
      <w:r>
        <w:fldChar w:fldCharType="separate"/>
      </w:r>
      <w:r>
        <w:t>127</w:t>
      </w:r>
      <w:r>
        <w:fldChar w:fldCharType="end"/>
      </w:r>
      <w:r>
        <w:rPr>
          <w:color w:val="auto"/>
        </w:rPr>
        <w:fldChar w:fldCharType="end"/>
      </w:r>
    </w:p>
    <w:p w14:paraId="6E0C6332">
      <w:pPr>
        <w:pStyle w:val="59"/>
        <w:tabs>
          <w:tab w:val="right" w:leader="dot" w:pos="9184"/>
          <w:tab w:val="clear" w:pos="9174"/>
        </w:tabs>
      </w:pPr>
      <w:r>
        <w:rPr>
          <w:color w:val="auto"/>
        </w:rPr>
        <w:fldChar w:fldCharType="begin"/>
      </w:r>
      <w:r>
        <w:instrText xml:space="preserve"> HYPERLINK \l _Toc14732 </w:instrText>
      </w:r>
      <w:r>
        <w:fldChar w:fldCharType="separate"/>
      </w:r>
      <w:r>
        <w:rPr>
          <w:rFonts w:hint="eastAsia"/>
          <w:szCs w:val="48"/>
        </w:rPr>
        <w:t>7</w:t>
      </w:r>
      <w:r>
        <w:rPr>
          <w:szCs w:val="48"/>
        </w:rPr>
        <w:t xml:space="preserve"> 环境保护措施及其可行性论证</w:t>
      </w:r>
      <w:r>
        <w:tab/>
      </w:r>
      <w:r>
        <w:fldChar w:fldCharType="begin"/>
      </w:r>
      <w:r>
        <w:instrText xml:space="preserve"> PAGEREF _Toc14732 \h </w:instrText>
      </w:r>
      <w:r>
        <w:fldChar w:fldCharType="separate"/>
      </w:r>
      <w:r>
        <w:t>196</w:t>
      </w:r>
      <w:r>
        <w:fldChar w:fldCharType="end"/>
      </w:r>
      <w:r>
        <w:rPr>
          <w:color w:val="auto"/>
        </w:rPr>
        <w:fldChar w:fldCharType="end"/>
      </w:r>
    </w:p>
    <w:p w14:paraId="64C14C93">
      <w:pPr>
        <w:pStyle w:val="73"/>
        <w:tabs>
          <w:tab w:val="right" w:leader="dot" w:pos="9184"/>
          <w:tab w:val="clear" w:pos="9174"/>
        </w:tabs>
      </w:pPr>
      <w:r>
        <w:rPr>
          <w:color w:val="auto"/>
        </w:rPr>
        <w:fldChar w:fldCharType="begin"/>
      </w:r>
      <w:r>
        <w:instrText xml:space="preserve"> HYPERLINK \l _Toc28122 </w:instrText>
      </w:r>
      <w:r>
        <w:fldChar w:fldCharType="separate"/>
      </w:r>
      <w:r>
        <w:rPr>
          <w:rFonts w:hint="eastAsia"/>
          <w:szCs w:val="30"/>
        </w:rPr>
        <w:t>7</w:t>
      </w:r>
      <w:r>
        <w:rPr>
          <w:szCs w:val="30"/>
        </w:rPr>
        <w:t>.1 施工期污染治理措施评述</w:t>
      </w:r>
      <w:r>
        <w:tab/>
      </w:r>
      <w:r>
        <w:fldChar w:fldCharType="begin"/>
      </w:r>
      <w:r>
        <w:instrText xml:space="preserve"> PAGEREF _Toc28122 \h </w:instrText>
      </w:r>
      <w:r>
        <w:fldChar w:fldCharType="separate"/>
      </w:r>
      <w:r>
        <w:t>196</w:t>
      </w:r>
      <w:r>
        <w:fldChar w:fldCharType="end"/>
      </w:r>
      <w:r>
        <w:rPr>
          <w:color w:val="auto"/>
        </w:rPr>
        <w:fldChar w:fldCharType="end"/>
      </w:r>
    </w:p>
    <w:p w14:paraId="349E62FF">
      <w:pPr>
        <w:pStyle w:val="73"/>
        <w:tabs>
          <w:tab w:val="right" w:leader="dot" w:pos="9184"/>
          <w:tab w:val="clear" w:pos="9174"/>
        </w:tabs>
      </w:pPr>
      <w:r>
        <w:rPr>
          <w:color w:val="auto"/>
        </w:rPr>
        <w:fldChar w:fldCharType="begin"/>
      </w:r>
      <w:r>
        <w:instrText xml:space="preserve"> HYPERLINK \l _Toc49 </w:instrText>
      </w:r>
      <w:r>
        <w:fldChar w:fldCharType="separate"/>
      </w:r>
      <w:r>
        <w:rPr>
          <w:rFonts w:hint="eastAsia"/>
          <w:szCs w:val="30"/>
        </w:rPr>
        <w:t>7</w:t>
      </w:r>
      <w:r>
        <w:rPr>
          <w:szCs w:val="30"/>
        </w:rPr>
        <w:t>.2 运营期污染治理措施评述</w:t>
      </w:r>
      <w:r>
        <w:tab/>
      </w:r>
      <w:r>
        <w:fldChar w:fldCharType="begin"/>
      </w:r>
      <w:r>
        <w:instrText xml:space="preserve"> PAGEREF _Toc49 \h </w:instrText>
      </w:r>
      <w:r>
        <w:fldChar w:fldCharType="separate"/>
      </w:r>
      <w:r>
        <w:t>201</w:t>
      </w:r>
      <w:r>
        <w:fldChar w:fldCharType="end"/>
      </w:r>
      <w:r>
        <w:rPr>
          <w:color w:val="auto"/>
        </w:rPr>
        <w:fldChar w:fldCharType="end"/>
      </w:r>
    </w:p>
    <w:p w14:paraId="670F79A2">
      <w:pPr>
        <w:pStyle w:val="59"/>
        <w:tabs>
          <w:tab w:val="right" w:leader="dot" w:pos="9184"/>
          <w:tab w:val="clear" w:pos="9174"/>
        </w:tabs>
      </w:pPr>
      <w:r>
        <w:rPr>
          <w:color w:val="auto"/>
        </w:rPr>
        <w:fldChar w:fldCharType="begin"/>
      </w:r>
      <w:r>
        <w:instrText xml:space="preserve"> HYPERLINK \l _Toc31960 </w:instrText>
      </w:r>
      <w:r>
        <w:fldChar w:fldCharType="separate"/>
      </w:r>
      <w:r>
        <w:rPr>
          <w:rFonts w:hint="eastAsia"/>
          <w:szCs w:val="48"/>
        </w:rPr>
        <w:t>8</w:t>
      </w:r>
      <w:r>
        <w:rPr>
          <w:szCs w:val="48"/>
        </w:rPr>
        <w:t xml:space="preserve"> 环境影响经济损益分析</w:t>
      </w:r>
      <w:r>
        <w:tab/>
      </w:r>
      <w:r>
        <w:fldChar w:fldCharType="begin"/>
      </w:r>
      <w:r>
        <w:instrText xml:space="preserve"> PAGEREF _Toc31960 \h </w:instrText>
      </w:r>
      <w:r>
        <w:fldChar w:fldCharType="separate"/>
      </w:r>
      <w:r>
        <w:t>260</w:t>
      </w:r>
      <w:r>
        <w:fldChar w:fldCharType="end"/>
      </w:r>
      <w:r>
        <w:rPr>
          <w:color w:val="auto"/>
        </w:rPr>
        <w:fldChar w:fldCharType="end"/>
      </w:r>
    </w:p>
    <w:p w14:paraId="3F0BF6E3">
      <w:pPr>
        <w:pStyle w:val="73"/>
        <w:tabs>
          <w:tab w:val="right" w:leader="dot" w:pos="9184"/>
          <w:tab w:val="clear" w:pos="9174"/>
        </w:tabs>
      </w:pPr>
      <w:r>
        <w:rPr>
          <w:color w:val="auto"/>
        </w:rPr>
        <w:fldChar w:fldCharType="begin"/>
      </w:r>
      <w:r>
        <w:instrText xml:space="preserve"> HYPERLINK \l _Toc26513 </w:instrText>
      </w:r>
      <w:r>
        <w:fldChar w:fldCharType="separate"/>
      </w:r>
      <w:r>
        <w:rPr>
          <w:rFonts w:hint="eastAsia"/>
          <w:szCs w:val="30"/>
        </w:rPr>
        <w:t>8</w:t>
      </w:r>
      <w:r>
        <w:rPr>
          <w:szCs w:val="30"/>
        </w:rPr>
        <w:t>.1 环境影响经济损益分析</w:t>
      </w:r>
      <w:r>
        <w:tab/>
      </w:r>
      <w:r>
        <w:fldChar w:fldCharType="begin"/>
      </w:r>
      <w:r>
        <w:instrText xml:space="preserve"> PAGEREF _Toc26513 \h </w:instrText>
      </w:r>
      <w:r>
        <w:fldChar w:fldCharType="separate"/>
      </w:r>
      <w:r>
        <w:t>260</w:t>
      </w:r>
      <w:r>
        <w:fldChar w:fldCharType="end"/>
      </w:r>
      <w:r>
        <w:rPr>
          <w:color w:val="auto"/>
        </w:rPr>
        <w:fldChar w:fldCharType="end"/>
      </w:r>
    </w:p>
    <w:p w14:paraId="11398519">
      <w:pPr>
        <w:pStyle w:val="73"/>
        <w:tabs>
          <w:tab w:val="right" w:leader="dot" w:pos="9184"/>
          <w:tab w:val="clear" w:pos="9174"/>
        </w:tabs>
      </w:pPr>
      <w:r>
        <w:rPr>
          <w:color w:val="auto"/>
        </w:rPr>
        <w:fldChar w:fldCharType="begin"/>
      </w:r>
      <w:r>
        <w:instrText xml:space="preserve"> HYPERLINK \l _Toc21065 </w:instrText>
      </w:r>
      <w:r>
        <w:fldChar w:fldCharType="separate"/>
      </w:r>
      <w:r>
        <w:rPr>
          <w:rFonts w:hint="eastAsia"/>
          <w:szCs w:val="30"/>
        </w:rPr>
        <w:t>8</w:t>
      </w:r>
      <w:r>
        <w:rPr>
          <w:szCs w:val="30"/>
        </w:rPr>
        <w:t>.2 社会效益分析</w:t>
      </w:r>
      <w:r>
        <w:tab/>
      </w:r>
      <w:r>
        <w:fldChar w:fldCharType="begin"/>
      </w:r>
      <w:r>
        <w:instrText xml:space="preserve"> PAGEREF _Toc21065 \h </w:instrText>
      </w:r>
      <w:r>
        <w:fldChar w:fldCharType="separate"/>
      </w:r>
      <w:r>
        <w:t>260</w:t>
      </w:r>
      <w:r>
        <w:fldChar w:fldCharType="end"/>
      </w:r>
      <w:r>
        <w:rPr>
          <w:color w:val="auto"/>
        </w:rPr>
        <w:fldChar w:fldCharType="end"/>
      </w:r>
    </w:p>
    <w:p w14:paraId="588518F7">
      <w:pPr>
        <w:pStyle w:val="73"/>
        <w:tabs>
          <w:tab w:val="right" w:leader="dot" w:pos="9184"/>
          <w:tab w:val="clear" w:pos="9174"/>
        </w:tabs>
      </w:pPr>
      <w:r>
        <w:rPr>
          <w:color w:val="auto"/>
        </w:rPr>
        <w:fldChar w:fldCharType="begin"/>
      </w:r>
      <w:r>
        <w:instrText xml:space="preserve"> HYPERLINK \l _Toc27299 </w:instrText>
      </w:r>
      <w:r>
        <w:fldChar w:fldCharType="separate"/>
      </w:r>
      <w:r>
        <w:rPr>
          <w:rFonts w:hint="eastAsia"/>
          <w:szCs w:val="30"/>
        </w:rPr>
        <w:t>8</w:t>
      </w:r>
      <w:r>
        <w:rPr>
          <w:szCs w:val="30"/>
        </w:rPr>
        <w:t>.3 环境效益分析</w:t>
      </w:r>
      <w:r>
        <w:tab/>
      </w:r>
      <w:r>
        <w:fldChar w:fldCharType="begin"/>
      </w:r>
      <w:r>
        <w:instrText xml:space="preserve"> PAGEREF _Toc27299 \h </w:instrText>
      </w:r>
      <w:r>
        <w:fldChar w:fldCharType="separate"/>
      </w:r>
      <w:r>
        <w:t>261</w:t>
      </w:r>
      <w:r>
        <w:fldChar w:fldCharType="end"/>
      </w:r>
      <w:r>
        <w:rPr>
          <w:color w:val="auto"/>
        </w:rPr>
        <w:fldChar w:fldCharType="end"/>
      </w:r>
    </w:p>
    <w:p w14:paraId="1F2ABC54">
      <w:pPr>
        <w:pStyle w:val="73"/>
        <w:tabs>
          <w:tab w:val="right" w:leader="dot" w:pos="9184"/>
          <w:tab w:val="clear" w:pos="9174"/>
        </w:tabs>
      </w:pPr>
      <w:r>
        <w:rPr>
          <w:color w:val="auto"/>
        </w:rPr>
        <w:fldChar w:fldCharType="begin"/>
      </w:r>
      <w:r>
        <w:instrText xml:space="preserve"> HYPERLINK \l _Toc19582 </w:instrText>
      </w:r>
      <w:r>
        <w:fldChar w:fldCharType="separate"/>
      </w:r>
      <w:r>
        <w:rPr>
          <w:rFonts w:hint="eastAsia"/>
          <w:szCs w:val="30"/>
        </w:rPr>
        <w:t>8</w:t>
      </w:r>
      <w:r>
        <w:rPr>
          <w:szCs w:val="30"/>
        </w:rPr>
        <w:t>.4 小结</w:t>
      </w:r>
      <w:r>
        <w:tab/>
      </w:r>
      <w:r>
        <w:fldChar w:fldCharType="begin"/>
      </w:r>
      <w:r>
        <w:instrText xml:space="preserve"> PAGEREF _Toc19582 \h </w:instrText>
      </w:r>
      <w:r>
        <w:fldChar w:fldCharType="separate"/>
      </w:r>
      <w:r>
        <w:t>261</w:t>
      </w:r>
      <w:r>
        <w:fldChar w:fldCharType="end"/>
      </w:r>
      <w:r>
        <w:rPr>
          <w:color w:val="auto"/>
        </w:rPr>
        <w:fldChar w:fldCharType="end"/>
      </w:r>
    </w:p>
    <w:p w14:paraId="15F69444">
      <w:pPr>
        <w:pStyle w:val="59"/>
        <w:tabs>
          <w:tab w:val="right" w:leader="dot" w:pos="9184"/>
          <w:tab w:val="clear" w:pos="9174"/>
        </w:tabs>
      </w:pPr>
      <w:r>
        <w:rPr>
          <w:color w:val="auto"/>
        </w:rPr>
        <w:fldChar w:fldCharType="begin"/>
      </w:r>
      <w:r>
        <w:instrText xml:space="preserve"> HYPERLINK \l _Toc18658 </w:instrText>
      </w:r>
      <w:r>
        <w:fldChar w:fldCharType="separate"/>
      </w:r>
      <w:r>
        <w:rPr>
          <w:rFonts w:hint="eastAsia"/>
          <w:szCs w:val="48"/>
        </w:rPr>
        <w:t>9</w:t>
      </w:r>
      <w:r>
        <w:rPr>
          <w:szCs w:val="48"/>
        </w:rPr>
        <w:t xml:space="preserve"> 环境管理与监测计划</w:t>
      </w:r>
      <w:r>
        <w:tab/>
      </w:r>
      <w:r>
        <w:fldChar w:fldCharType="begin"/>
      </w:r>
      <w:r>
        <w:instrText xml:space="preserve"> PAGEREF _Toc18658 \h </w:instrText>
      </w:r>
      <w:r>
        <w:fldChar w:fldCharType="separate"/>
      </w:r>
      <w:r>
        <w:t>262</w:t>
      </w:r>
      <w:r>
        <w:fldChar w:fldCharType="end"/>
      </w:r>
      <w:r>
        <w:rPr>
          <w:color w:val="auto"/>
        </w:rPr>
        <w:fldChar w:fldCharType="end"/>
      </w:r>
    </w:p>
    <w:p w14:paraId="03C0CE64">
      <w:pPr>
        <w:pStyle w:val="73"/>
        <w:tabs>
          <w:tab w:val="right" w:leader="dot" w:pos="9184"/>
          <w:tab w:val="clear" w:pos="9174"/>
        </w:tabs>
      </w:pPr>
      <w:r>
        <w:rPr>
          <w:color w:val="auto"/>
        </w:rPr>
        <w:fldChar w:fldCharType="begin"/>
      </w:r>
      <w:r>
        <w:instrText xml:space="preserve"> HYPERLINK \l _Toc17863 </w:instrText>
      </w:r>
      <w:r>
        <w:fldChar w:fldCharType="separate"/>
      </w:r>
      <w:r>
        <w:rPr>
          <w:rFonts w:hint="eastAsia"/>
          <w:szCs w:val="30"/>
        </w:rPr>
        <w:t>9</w:t>
      </w:r>
      <w:r>
        <w:rPr>
          <w:szCs w:val="30"/>
        </w:rPr>
        <w:t>.1 环境管理</w:t>
      </w:r>
      <w:r>
        <w:tab/>
      </w:r>
      <w:r>
        <w:fldChar w:fldCharType="begin"/>
      </w:r>
      <w:r>
        <w:instrText xml:space="preserve"> PAGEREF _Toc17863 \h </w:instrText>
      </w:r>
      <w:r>
        <w:fldChar w:fldCharType="separate"/>
      </w:r>
      <w:r>
        <w:t>262</w:t>
      </w:r>
      <w:r>
        <w:fldChar w:fldCharType="end"/>
      </w:r>
      <w:r>
        <w:rPr>
          <w:color w:val="auto"/>
        </w:rPr>
        <w:fldChar w:fldCharType="end"/>
      </w:r>
    </w:p>
    <w:p w14:paraId="2E4B153D">
      <w:pPr>
        <w:pStyle w:val="73"/>
        <w:tabs>
          <w:tab w:val="right" w:leader="dot" w:pos="9184"/>
          <w:tab w:val="clear" w:pos="9174"/>
        </w:tabs>
      </w:pPr>
      <w:r>
        <w:rPr>
          <w:color w:val="auto"/>
        </w:rPr>
        <w:fldChar w:fldCharType="begin"/>
      </w:r>
      <w:r>
        <w:instrText xml:space="preserve"> HYPERLINK \l _Toc12568 </w:instrText>
      </w:r>
      <w:r>
        <w:fldChar w:fldCharType="separate"/>
      </w:r>
      <w:r>
        <w:rPr>
          <w:rFonts w:hint="eastAsia"/>
          <w:szCs w:val="30"/>
        </w:rPr>
        <w:t>9</w:t>
      </w:r>
      <w:r>
        <w:rPr>
          <w:szCs w:val="30"/>
        </w:rPr>
        <w:t>.2 环境监测计划</w:t>
      </w:r>
      <w:r>
        <w:tab/>
      </w:r>
      <w:r>
        <w:fldChar w:fldCharType="begin"/>
      </w:r>
      <w:r>
        <w:instrText xml:space="preserve"> PAGEREF _Toc12568 \h </w:instrText>
      </w:r>
      <w:r>
        <w:fldChar w:fldCharType="separate"/>
      </w:r>
      <w:r>
        <w:t>265</w:t>
      </w:r>
      <w:r>
        <w:fldChar w:fldCharType="end"/>
      </w:r>
      <w:r>
        <w:rPr>
          <w:color w:val="auto"/>
        </w:rPr>
        <w:fldChar w:fldCharType="end"/>
      </w:r>
    </w:p>
    <w:p w14:paraId="47213C7F">
      <w:pPr>
        <w:pStyle w:val="73"/>
        <w:tabs>
          <w:tab w:val="right" w:leader="dot" w:pos="9184"/>
          <w:tab w:val="clear" w:pos="9174"/>
        </w:tabs>
      </w:pPr>
      <w:r>
        <w:rPr>
          <w:color w:val="auto"/>
        </w:rPr>
        <w:fldChar w:fldCharType="begin"/>
      </w:r>
      <w:r>
        <w:instrText xml:space="preserve"> HYPERLINK \l _Toc24729 </w:instrText>
      </w:r>
      <w:r>
        <w:fldChar w:fldCharType="separate"/>
      </w:r>
      <w:r>
        <w:rPr>
          <w:rFonts w:hint="eastAsia"/>
          <w:szCs w:val="30"/>
        </w:rPr>
        <w:t>9</w:t>
      </w:r>
      <w:r>
        <w:rPr>
          <w:szCs w:val="30"/>
        </w:rPr>
        <w:t>.</w:t>
      </w:r>
      <w:r>
        <w:rPr>
          <w:rFonts w:hint="eastAsia"/>
          <w:szCs w:val="30"/>
        </w:rPr>
        <w:t>3</w:t>
      </w:r>
      <w:r>
        <w:rPr>
          <w:szCs w:val="30"/>
        </w:rPr>
        <w:t xml:space="preserve"> 污染物排放清单</w:t>
      </w:r>
      <w:r>
        <w:tab/>
      </w:r>
      <w:r>
        <w:fldChar w:fldCharType="begin"/>
      </w:r>
      <w:r>
        <w:instrText xml:space="preserve"> PAGEREF _Toc24729 \h </w:instrText>
      </w:r>
      <w:r>
        <w:fldChar w:fldCharType="separate"/>
      </w:r>
      <w:r>
        <w:t>270</w:t>
      </w:r>
      <w:r>
        <w:fldChar w:fldCharType="end"/>
      </w:r>
      <w:r>
        <w:rPr>
          <w:color w:val="auto"/>
        </w:rPr>
        <w:fldChar w:fldCharType="end"/>
      </w:r>
    </w:p>
    <w:p w14:paraId="7179CE40">
      <w:pPr>
        <w:pStyle w:val="59"/>
        <w:tabs>
          <w:tab w:val="right" w:leader="dot" w:pos="9184"/>
          <w:tab w:val="clear" w:pos="9174"/>
        </w:tabs>
      </w:pPr>
      <w:r>
        <w:rPr>
          <w:color w:val="auto"/>
        </w:rPr>
        <w:fldChar w:fldCharType="begin"/>
      </w:r>
      <w:r>
        <w:instrText xml:space="preserve"> HYPERLINK \l _Toc30573 </w:instrText>
      </w:r>
      <w:r>
        <w:fldChar w:fldCharType="separate"/>
      </w:r>
      <w:r>
        <w:rPr>
          <w:rFonts w:hint="eastAsia"/>
          <w:szCs w:val="48"/>
        </w:rPr>
        <w:t>10</w:t>
      </w:r>
      <w:r>
        <w:rPr>
          <w:szCs w:val="48"/>
        </w:rPr>
        <w:t xml:space="preserve"> 环境影响评价结论</w:t>
      </w:r>
      <w:r>
        <w:tab/>
      </w:r>
      <w:r>
        <w:fldChar w:fldCharType="begin"/>
      </w:r>
      <w:r>
        <w:instrText xml:space="preserve"> PAGEREF _Toc30573 \h </w:instrText>
      </w:r>
      <w:r>
        <w:fldChar w:fldCharType="separate"/>
      </w:r>
      <w:r>
        <w:t>287</w:t>
      </w:r>
      <w:r>
        <w:fldChar w:fldCharType="end"/>
      </w:r>
      <w:r>
        <w:rPr>
          <w:color w:val="auto"/>
        </w:rPr>
        <w:fldChar w:fldCharType="end"/>
      </w:r>
    </w:p>
    <w:p w14:paraId="20727DC4">
      <w:pPr>
        <w:pStyle w:val="73"/>
        <w:tabs>
          <w:tab w:val="right" w:leader="dot" w:pos="9184"/>
          <w:tab w:val="clear" w:pos="9174"/>
        </w:tabs>
      </w:pPr>
      <w:r>
        <w:rPr>
          <w:color w:val="auto"/>
        </w:rPr>
        <w:fldChar w:fldCharType="begin"/>
      </w:r>
      <w:r>
        <w:instrText xml:space="preserve"> HYPERLINK \l _Toc5592 </w:instrText>
      </w:r>
      <w:r>
        <w:fldChar w:fldCharType="separate"/>
      </w:r>
      <w:r>
        <w:rPr>
          <w:rFonts w:hint="eastAsia"/>
          <w:szCs w:val="30"/>
        </w:rPr>
        <w:t>10</w:t>
      </w:r>
      <w:r>
        <w:rPr>
          <w:szCs w:val="30"/>
        </w:rPr>
        <w:t>.1 项目概况</w:t>
      </w:r>
      <w:r>
        <w:tab/>
      </w:r>
      <w:r>
        <w:fldChar w:fldCharType="begin"/>
      </w:r>
      <w:r>
        <w:instrText xml:space="preserve"> PAGEREF _Toc5592 \h </w:instrText>
      </w:r>
      <w:r>
        <w:fldChar w:fldCharType="separate"/>
      </w:r>
      <w:r>
        <w:t>287</w:t>
      </w:r>
      <w:r>
        <w:fldChar w:fldCharType="end"/>
      </w:r>
      <w:r>
        <w:rPr>
          <w:color w:val="auto"/>
        </w:rPr>
        <w:fldChar w:fldCharType="end"/>
      </w:r>
    </w:p>
    <w:p w14:paraId="34B89D66">
      <w:pPr>
        <w:pStyle w:val="73"/>
        <w:tabs>
          <w:tab w:val="right" w:leader="dot" w:pos="9184"/>
          <w:tab w:val="clear" w:pos="9174"/>
        </w:tabs>
      </w:pPr>
      <w:r>
        <w:rPr>
          <w:color w:val="auto"/>
        </w:rPr>
        <w:fldChar w:fldCharType="begin"/>
      </w:r>
      <w:r>
        <w:instrText xml:space="preserve"> HYPERLINK \l _Toc22801 </w:instrText>
      </w:r>
      <w:r>
        <w:fldChar w:fldCharType="separate"/>
      </w:r>
      <w:r>
        <w:rPr>
          <w:rFonts w:hint="eastAsia"/>
          <w:szCs w:val="30"/>
        </w:rPr>
        <w:t>10</w:t>
      </w:r>
      <w:r>
        <w:rPr>
          <w:szCs w:val="30"/>
        </w:rPr>
        <w:t>.</w:t>
      </w:r>
      <w:r>
        <w:rPr>
          <w:rFonts w:hint="eastAsia"/>
          <w:szCs w:val="30"/>
        </w:rPr>
        <w:t>2</w:t>
      </w:r>
      <w:r>
        <w:rPr>
          <w:szCs w:val="30"/>
        </w:rPr>
        <w:t xml:space="preserve"> 环境质量现状</w:t>
      </w:r>
      <w:r>
        <w:tab/>
      </w:r>
      <w:r>
        <w:fldChar w:fldCharType="begin"/>
      </w:r>
      <w:r>
        <w:instrText xml:space="preserve"> PAGEREF _Toc22801 \h </w:instrText>
      </w:r>
      <w:r>
        <w:fldChar w:fldCharType="separate"/>
      </w:r>
      <w:r>
        <w:t>287</w:t>
      </w:r>
      <w:r>
        <w:fldChar w:fldCharType="end"/>
      </w:r>
      <w:r>
        <w:rPr>
          <w:color w:val="auto"/>
        </w:rPr>
        <w:fldChar w:fldCharType="end"/>
      </w:r>
    </w:p>
    <w:p w14:paraId="7D004481">
      <w:pPr>
        <w:pStyle w:val="73"/>
        <w:tabs>
          <w:tab w:val="right" w:leader="dot" w:pos="9184"/>
          <w:tab w:val="clear" w:pos="9174"/>
        </w:tabs>
      </w:pPr>
      <w:r>
        <w:rPr>
          <w:color w:val="auto"/>
        </w:rPr>
        <w:fldChar w:fldCharType="begin"/>
      </w:r>
      <w:r>
        <w:instrText xml:space="preserve"> HYPERLINK \l _Toc7789 </w:instrText>
      </w:r>
      <w:r>
        <w:fldChar w:fldCharType="separate"/>
      </w:r>
      <w:r>
        <w:rPr>
          <w:rFonts w:hint="eastAsia"/>
          <w:szCs w:val="30"/>
        </w:rPr>
        <w:t>10.3</w:t>
      </w:r>
      <w:r>
        <w:rPr>
          <w:szCs w:val="30"/>
        </w:rPr>
        <w:t xml:space="preserve"> 污染物排放</w:t>
      </w:r>
      <w:r>
        <w:rPr>
          <w:rFonts w:hint="eastAsia"/>
          <w:szCs w:val="30"/>
        </w:rPr>
        <w:t>总量满足控制要求</w:t>
      </w:r>
      <w:r>
        <w:tab/>
      </w:r>
      <w:r>
        <w:fldChar w:fldCharType="begin"/>
      </w:r>
      <w:r>
        <w:instrText xml:space="preserve"> PAGEREF _Toc7789 \h </w:instrText>
      </w:r>
      <w:r>
        <w:fldChar w:fldCharType="separate"/>
      </w:r>
      <w:r>
        <w:t>288</w:t>
      </w:r>
      <w:r>
        <w:fldChar w:fldCharType="end"/>
      </w:r>
      <w:r>
        <w:rPr>
          <w:color w:val="auto"/>
        </w:rPr>
        <w:fldChar w:fldCharType="end"/>
      </w:r>
    </w:p>
    <w:p w14:paraId="31285771">
      <w:pPr>
        <w:pStyle w:val="73"/>
        <w:tabs>
          <w:tab w:val="right" w:leader="dot" w:pos="9184"/>
          <w:tab w:val="clear" w:pos="9174"/>
        </w:tabs>
      </w:pPr>
      <w:r>
        <w:rPr>
          <w:color w:val="auto"/>
        </w:rPr>
        <w:fldChar w:fldCharType="begin"/>
      </w:r>
      <w:r>
        <w:instrText xml:space="preserve"> HYPERLINK \l _Toc8688 </w:instrText>
      </w:r>
      <w:r>
        <w:fldChar w:fldCharType="separate"/>
      </w:r>
      <w:r>
        <w:rPr>
          <w:rFonts w:hint="eastAsia"/>
          <w:szCs w:val="30"/>
        </w:rPr>
        <w:t>10.4</w:t>
      </w:r>
      <w:r>
        <w:rPr>
          <w:szCs w:val="30"/>
        </w:rPr>
        <w:t xml:space="preserve"> 污染物排放</w:t>
      </w:r>
      <w:r>
        <w:rPr>
          <w:rFonts w:hint="eastAsia"/>
          <w:szCs w:val="30"/>
        </w:rPr>
        <w:t>环境影响可接受</w:t>
      </w:r>
      <w:r>
        <w:tab/>
      </w:r>
      <w:r>
        <w:fldChar w:fldCharType="begin"/>
      </w:r>
      <w:r>
        <w:instrText xml:space="preserve"> PAGEREF _Toc8688 \h </w:instrText>
      </w:r>
      <w:r>
        <w:fldChar w:fldCharType="separate"/>
      </w:r>
      <w:r>
        <w:t>288</w:t>
      </w:r>
      <w:r>
        <w:fldChar w:fldCharType="end"/>
      </w:r>
      <w:r>
        <w:rPr>
          <w:color w:val="auto"/>
        </w:rPr>
        <w:fldChar w:fldCharType="end"/>
      </w:r>
    </w:p>
    <w:p w14:paraId="3B44AC91">
      <w:pPr>
        <w:pStyle w:val="73"/>
        <w:tabs>
          <w:tab w:val="right" w:leader="dot" w:pos="9184"/>
          <w:tab w:val="clear" w:pos="9174"/>
        </w:tabs>
      </w:pPr>
      <w:r>
        <w:rPr>
          <w:color w:val="auto"/>
        </w:rPr>
        <w:fldChar w:fldCharType="begin"/>
      </w:r>
      <w:r>
        <w:instrText xml:space="preserve"> HYPERLINK \l _Toc23188 </w:instrText>
      </w:r>
      <w:r>
        <w:fldChar w:fldCharType="separate"/>
      </w:r>
      <w:r>
        <w:rPr>
          <w:rFonts w:hint="eastAsia"/>
          <w:szCs w:val="30"/>
        </w:rPr>
        <w:t>10.5</w:t>
      </w:r>
      <w:r>
        <w:rPr>
          <w:szCs w:val="30"/>
        </w:rPr>
        <w:t xml:space="preserve"> </w:t>
      </w:r>
      <w:r>
        <w:rPr>
          <w:rFonts w:hint="eastAsia"/>
          <w:szCs w:val="30"/>
        </w:rPr>
        <w:t>环境保护措施可行性</w:t>
      </w:r>
      <w:r>
        <w:tab/>
      </w:r>
      <w:r>
        <w:fldChar w:fldCharType="begin"/>
      </w:r>
      <w:r>
        <w:instrText xml:space="preserve"> PAGEREF _Toc23188 \h </w:instrText>
      </w:r>
      <w:r>
        <w:fldChar w:fldCharType="separate"/>
      </w:r>
      <w:r>
        <w:t>289</w:t>
      </w:r>
      <w:r>
        <w:fldChar w:fldCharType="end"/>
      </w:r>
      <w:r>
        <w:rPr>
          <w:color w:val="auto"/>
        </w:rPr>
        <w:fldChar w:fldCharType="end"/>
      </w:r>
    </w:p>
    <w:p w14:paraId="7051CA6F">
      <w:pPr>
        <w:pStyle w:val="73"/>
        <w:tabs>
          <w:tab w:val="right" w:leader="dot" w:pos="9184"/>
          <w:tab w:val="clear" w:pos="9174"/>
        </w:tabs>
      </w:pPr>
      <w:r>
        <w:rPr>
          <w:color w:val="auto"/>
        </w:rPr>
        <w:fldChar w:fldCharType="begin"/>
      </w:r>
      <w:r>
        <w:instrText xml:space="preserve"> HYPERLINK \l _Toc27987 </w:instrText>
      </w:r>
      <w:r>
        <w:fldChar w:fldCharType="separate"/>
      </w:r>
      <w:r>
        <w:rPr>
          <w:rFonts w:hint="eastAsia"/>
          <w:szCs w:val="30"/>
        </w:rPr>
        <w:t>10.6</w:t>
      </w:r>
      <w:r>
        <w:rPr>
          <w:szCs w:val="30"/>
        </w:rPr>
        <w:t xml:space="preserve"> 环境影响经济损益分析</w:t>
      </w:r>
      <w:r>
        <w:tab/>
      </w:r>
      <w:r>
        <w:fldChar w:fldCharType="begin"/>
      </w:r>
      <w:r>
        <w:instrText xml:space="preserve"> PAGEREF _Toc27987 \h </w:instrText>
      </w:r>
      <w:r>
        <w:fldChar w:fldCharType="separate"/>
      </w:r>
      <w:r>
        <w:t>290</w:t>
      </w:r>
      <w:r>
        <w:fldChar w:fldCharType="end"/>
      </w:r>
      <w:r>
        <w:rPr>
          <w:color w:val="auto"/>
        </w:rPr>
        <w:fldChar w:fldCharType="end"/>
      </w:r>
    </w:p>
    <w:p w14:paraId="041A4466">
      <w:pPr>
        <w:pStyle w:val="73"/>
        <w:tabs>
          <w:tab w:val="right" w:leader="dot" w:pos="9184"/>
          <w:tab w:val="clear" w:pos="9174"/>
        </w:tabs>
      </w:pPr>
      <w:r>
        <w:rPr>
          <w:color w:val="auto"/>
        </w:rPr>
        <w:fldChar w:fldCharType="begin"/>
      </w:r>
      <w:r>
        <w:instrText xml:space="preserve"> HYPERLINK \l _Toc11393 </w:instrText>
      </w:r>
      <w:r>
        <w:fldChar w:fldCharType="separate"/>
      </w:r>
      <w:r>
        <w:rPr>
          <w:rFonts w:hint="eastAsia"/>
          <w:szCs w:val="30"/>
        </w:rPr>
        <w:t>10.7</w:t>
      </w:r>
      <w:r>
        <w:rPr>
          <w:szCs w:val="30"/>
        </w:rPr>
        <w:t xml:space="preserve"> 环境管理与监测计划</w:t>
      </w:r>
      <w:r>
        <w:tab/>
      </w:r>
      <w:r>
        <w:fldChar w:fldCharType="begin"/>
      </w:r>
      <w:r>
        <w:instrText xml:space="preserve"> PAGEREF _Toc11393 \h </w:instrText>
      </w:r>
      <w:r>
        <w:fldChar w:fldCharType="separate"/>
      </w:r>
      <w:r>
        <w:t>290</w:t>
      </w:r>
      <w:r>
        <w:fldChar w:fldCharType="end"/>
      </w:r>
      <w:r>
        <w:rPr>
          <w:color w:val="auto"/>
        </w:rPr>
        <w:fldChar w:fldCharType="end"/>
      </w:r>
    </w:p>
    <w:p w14:paraId="484DD7C7">
      <w:pPr>
        <w:pStyle w:val="73"/>
        <w:tabs>
          <w:tab w:val="right" w:leader="dot" w:pos="9184"/>
          <w:tab w:val="clear" w:pos="9174"/>
        </w:tabs>
      </w:pPr>
      <w:r>
        <w:rPr>
          <w:color w:val="auto"/>
        </w:rPr>
        <w:fldChar w:fldCharType="begin"/>
      </w:r>
      <w:r>
        <w:instrText xml:space="preserve"> HYPERLINK \l _Toc16488 </w:instrText>
      </w:r>
      <w:r>
        <w:fldChar w:fldCharType="separate"/>
      </w:r>
      <w:r>
        <w:rPr>
          <w:rFonts w:hint="eastAsia"/>
          <w:szCs w:val="30"/>
        </w:rPr>
        <w:t>10.8</w:t>
      </w:r>
      <w:r>
        <w:rPr>
          <w:szCs w:val="30"/>
        </w:rPr>
        <w:t xml:space="preserve"> 公众参与采纳情况</w:t>
      </w:r>
      <w:r>
        <w:tab/>
      </w:r>
      <w:r>
        <w:fldChar w:fldCharType="begin"/>
      </w:r>
      <w:r>
        <w:instrText xml:space="preserve"> PAGEREF _Toc16488 \h </w:instrText>
      </w:r>
      <w:r>
        <w:fldChar w:fldCharType="separate"/>
      </w:r>
      <w:r>
        <w:t>290</w:t>
      </w:r>
      <w:r>
        <w:fldChar w:fldCharType="end"/>
      </w:r>
      <w:r>
        <w:rPr>
          <w:color w:val="auto"/>
        </w:rPr>
        <w:fldChar w:fldCharType="end"/>
      </w:r>
    </w:p>
    <w:p w14:paraId="6BF77AFD">
      <w:pPr>
        <w:pStyle w:val="73"/>
        <w:tabs>
          <w:tab w:val="right" w:leader="dot" w:pos="9184"/>
          <w:tab w:val="clear" w:pos="9174"/>
        </w:tabs>
      </w:pPr>
      <w:r>
        <w:rPr>
          <w:color w:val="auto"/>
        </w:rPr>
        <w:fldChar w:fldCharType="begin"/>
      </w:r>
      <w:r>
        <w:instrText xml:space="preserve"> HYPERLINK \l _Toc10576 </w:instrText>
      </w:r>
      <w:r>
        <w:fldChar w:fldCharType="separate"/>
      </w:r>
      <w:r>
        <w:rPr>
          <w:rFonts w:hint="eastAsia"/>
          <w:szCs w:val="30"/>
        </w:rPr>
        <w:t>10.9</w:t>
      </w:r>
      <w:r>
        <w:rPr>
          <w:szCs w:val="30"/>
        </w:rPr>
        <w:t xml:space="preserve"> 总结论</w:t>
      </w:r>
      <w:r>
        <w:rPr>
          <w:rFonts w:hint="eastAsia"/>
          <w:szCs w:val="30"/>
        </w:rPr>
        <w:t>与建议</w:t>
      </w:r>
      <w:r>
        <w:tab/>
      </w:r>
      <w:r>
        <w:fldChar w:fldCharType="begin"/>
      </w:r>
      <w:r>
        <w:instrText xml:space="preserve"> PAGEREF _Toc10576 \h </w:instrText>
      </w:r>
      <w:r>
        <w:fldChar w:fldCharType="separate"/>
      </w:r>
      <w:r>
        <w:t>290</w:t>
      </w:r>
      <w:r>
        <w:fldChar w:fldCharType="end"/>
      </w:r>
      <w:r>
        <w:rPr>
          <w:color w:val="auto"/>
        </w:rPr>
        <w:fldChar w:fldCharType="end"/>
      </w:r>
    </w:p>
    <w:p w14:paraId="5B0071EF">
      <w:pPr>
        <w:tabs>
          <w:tab w:val="center" w:pos="4153"/>
          <w:tab w:val="right" w:pos="8306"/>
        </w:tabs>
        <w:ind w:firstLine="480"/>
        <w:rPr>
          <w:color w:val="auto"/>
        </w:rPr>
      </w:pPr>
      <w:r>
        <w:rPr>
          <w:color w:val="auto"/>
        </w:rPr>
        <w:fldChar w:fldCharType="end"/>
      </w:r>
      <w:r>
        <w:rPr>
          <w:color w:val="auto"/>
        </w:rPr>
        <w:br w:type="page"/>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7758"/>
      </w:tblGrid>
      <w:tr w14:paraId="4F6D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vAlign w:val="center"/>
          </w:tcPr>
          <w:p w14:paraId="3B1FD64F">
            <w:pPr>
              <w:spacing w:line="240" w:lineRule="auto"/>
              <w:ind w:firstLine="0" w:firstLineChars="0"/>
              <w:rPr>
                <w:b/>
                <w:bCs/>
                <w:color w:val="auto"/>
              </w:rPr>
            </w:pPr>
            <w:r>
              <w:rPr>
                <w:b/>
                <w:bCs/>
                <w:color w:val="auto"/>
              </w:rPr>
              <w:t>附图集：</w:t>
            </w:r>
          </w:p>
        </w:tc>
      </w:tr>
      <w:tr w14:paraId="7956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34A970A2">
            <w:pPr>
              <w:spacing w:line="240" w:lineRule="auto"/>
              <w:ind w:firstLine="0" w:firstLineChars="0"/>
              <w:rPr>
                <w:color w:val="auto"/>
              </w:rPr>
            </w:pPr>
            <w:r>
              <w:rPr>
                <w:color w:val="auto"/>
              </w:rPr>
              <w:t>附图1.4-1</w:t>
            </w:r>
          </w:p>
        </w:tc>
        <w:tc>
          <w:tcPr>
            <w:tcW w:w="7758" w:type="dxa"/>
          </w:tcPr>
          <w:p w14:paraId="6352C4DA">
            <w:pPr>
              <w:spacing w:line="240" w:lineRule="auto"/>
              <w:ind w:firstLine="0" w:firstLineChars="0"/>
              <w:rPr>
                <w:color w:val="auto"/>
              </w:rPr>
            </w:pPr>
            <w:r>
              <w:rPr>
                <w:rFonts w:hint="eastAsia"/>
                <w:color w:val="auto"/>
              </w:rPr>
              <w:t>本项目与连云港市国土空间总体规划（2021—2035年）相对位置关系图</w:t>
            </w:r>
          </w:p>
        </w:tc>
      </w:tr>
      <w:tr w14:paraId="7845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0F86BA20">
            <w:pPr>
              <w:spacing w:line="240" w:lineRule="auto"/>
              <w:ind w:firstLine="0" w:firstLineChars="0"/>
              <w:rPr>
                <w:color w:val="auto"/>
              </w:rPr>
            </w:pPr>
            <w:r>
              <w:rPr>
                <w:color w:val="auto"/>
              </w:rPr>
              <w:t>附图1.4-</w:t>
            </w:r>
            <w:r>
              <w:rPr>
                <w:rFonts w:hint="eastAsia"/>
                <w:color w:val="auto"/>
              </w:rPr>
              <w:t>2</w:t>
            </w:r>
          </w:p>
        </w:tc>
        <w:tc>
          <w:tcPr>
            <w:tcW w:w="7758" w:type="dxa"/>
          </w:tcPr>
          <w:p w14:paraId="3E9F1718">
            <w:pPr>
              <w:spacing w:line="240" w:lineRule="auto"/>
              <w:ind w:firstLine="0" w:firstLineChars="0"/>
              <w:rPr>
                <w:color w:val="auto"/>
              </w:rPr>
            </w:pPr>
            <w:r>
              <w:rPr>
                <w:color w:val="auto"/>
              </w:rPr>
              <w:t>本项目与江苏省生态空间保护区域分布图相对位置关系图</w:t>
            </w:r>
          </w:p>
        </w:tc>
      </w:tr>
      <w:tr w14:paraId="7298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2AC0438B">
            <w:pPr>
              <w:spacing w:line="240" w:lineRule="auto"/>
              <w:ind w:firstLine="0" w:firstLineChars="0"/>
              <w:rPr>
                <w:color w:val="auto"/>
              </w:rPr>
            </w:pPr>
            <w:r>
              <w:rPr>
                <w:color w:val="auto"/>
              </w:rPr>
              <w:t>附图1.4-</w:t>
            </w:r>
            <w:r>
              <w:rPr>
                <w:rFonts w:hint="eastAsia"/>
                <w:color w:val="auto"/>
              </w:rPr>
              <w:t>3</w:t>
            </w:r>
          </w:p>
        </w:tc>
        <w:tc>
          <w:tcPr>
            <w:tcW w:w="7758" w:type="dxa"/>
          </w:tcPr>
          <w:p w14:paraId="2CEBF168">
            <w:pPr>
              <w:spacing w:line="240" w:lineRule="auto"/>
              <w:ind w:firstLine="0" w:firstLineChars="0"/>
              <w:rPr>
                <w:color w:val="auto"/>
              </w:rPr>
            </w:pPr>
            <w:r>
              <w:rPr>
                <w:rFonts w:hint="eastAsia"/>
                <w:color w:val="auto"/>
              </w:rPr>
              <w:t>本项目与江苏省生态环境管控单元图相对位置关系图</w:t>
            </w:r>
          </w:p>
        </w:tc>
      </w:tr>
      <w:tr w14:paraId="45CD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6F15347A">
            <w:pPr>
              <w:spacing w:line="240" w:lineRule="auto"/>
              <w:ind w:firstLine="0" w:firstLineChars="0"/>
              <w:rPr>
                <w:color w:val="auto"/>
              </w:rPr>
            </w:pPr>
            <w:r>
              <w:rPr>
                <w:color w:val="auto"/>
              </w:rPr>
              <w:t>附图2.6-1</w:t>
            </w:r>
          </w:p>
        </w:tc>
        <w:tc>
          <w:tcPr>
            <w:tcW w:w="7758" w:type="dxa"/>
          </w:tcPr>
          <w:p w14:paraId="1B8B306C">
            <w:pPr>
              <w:spacing w:line="240" w:lineRule="auto"/>
              <w:ind w:firstLine="0" w:firstLineChars="0"/>
              <w:rPr>
                <w:color w:val="auto"/>
              </w:rPr>
            </w:pPr>
            <w:r>
              <w:rPr>
                <w:rFonts w:hint="eastAsia"/>
                <w:color w:val="auto"/>
              </w:rPr>
              <w:t>项目大气、风险评价范围及</w:t>
            </w:r>
            <w:r>
              <w:rPr>
                <w:color w:val="auto"/>
              </w:rPr>
              <w:t>环境保护目标分布图</w:t>
            </w:r>
          </w:p>
        </w:tc>
      </w:tr>
      <w:tr w14:paraId="5B95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7243D244">
            <w:pPr>
              <w:spacing w:line="240" w:lineRule="auto"/>
              <w:ind w:firstLine="0" w:firstLineChars="0"/>
              <w:rPr>
                <w:color w:val="auto"/>
              </w:rPr>
            </w:pPr>
            <w:r>
              <w:rPr>
                <w:rFonts w:hint="eastAsia"/>
                <w:color w:val="auto"/>
              </w:rPr>
              <w:t>附图2.7-1</w:t>
            </w:r>
          </w:p>
        </w:tc>
        <w:tc>
          <w:tcPr>
            <w:tcW w:w="7758" w:type="dxa"/>
          </w:tcPr>
          <w:p w14:paraId="2EE67EA7">
            <w:pPr>
              <w:spacing w:line="240" w:lineRule="auto"/>
              <w:ind w:firstLine="0" w:firstLineChars="0"/>
              <w:rPr>
                <w:color w:val="auto"/>
              </w:rPr>
            </w:pPr>
            <w:r>
              <w:rPr>
                <w:rFonts w:hint="eastAsia"/>
                <w:color w:val="auto"/>
              </w:rPr>
              <w:t>本项目与临港产业园区用地规划图相对位置关系图</w:t>
            </w:r>
          </w:p>
        </w:tc>
      </w:tr>
      <w:tr w14:paraId="05A8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1663E370">
            <w:pPr>
              <w:spacing w:line="240" w:lineRule="auto"/>
              <w:ind w:firstLine="0" w:firstLineChars="0"/>
              <w:rPr>
                <w:color w:val="auto"/>
              </w:rPr>
            </w:pPr>
            <w:r>
              <w:rPr>
                <w:rFonts w:hint="eastAsia"/>
                <w:color w:val="auto"/>
              </w:rPr>
              <w:t>附图2.7-2</w:t>
            </w:r>
          </w:p>
        </w:tc>
        <w:tc>
          <w:tcPr>
            <w:tcW w:w="7758" w:type="dxa"/>
          </w:tcPr>
          <w:p w14:paraId="1118F62A">
            <w:pPr>
              <w:spacing w:line="240" w:lineRule="auto"/>
              <w:ind w:firstLine="0" w:firstLineChars="0"/>
              <w:rPr>
                <w:color w:val="auto"/>
              </w:rPr>
            </w:pPr>
            <w:r>
              <w:rPr>
                <w:rFonts w:hint="eastAsia"/>
                <w:color w:val="auto"/>
              </w:rPr>
              <w:t>本项目所在地污水规划管网图</w:t>
            </w:r>
          </w:p>
        </w:tc>
      </w:tr>
      <w:tr w14:paraId="12EA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2748067B">
            <w:pPr>
              <w:spacing w:line="240" w:lineRule="auto"/>
              <w:ind w:firstLine="0" w:firstLineChars="0"/>
              <w:rPr>
                <w:color w:val="auto"/>
              </w:rPr>
            </w:pPr>
            <w:r>
              <w:rPr>
                <w:color w:val="auto"/>
              </w:rPr>
              <w:t>附图</w:t>
            </w:r>
            <w:r>
              <w:rPr>
                <w:rFonts w:hint="eastAsia"/>
                <w:color w:val="auto"/>
              </w:rPr>
              <w:t>4</w:t>
            </w:r>
            <w:r>
              <w:rPr>
                <w:color w:val="auto"/>
              </w:rPr>
              <w:t>.1-1</w:t>
            </w:r>
          </w:p>
        </w:tc>
        <w:tc>
          <w:tcPr>
            <w:tcW w:w="7758" w:type="dxa"/>
          </w:tcPr>
          <w:p w14:paraId="112D5389">
            <w:pPr>
              <w:spacing w:line="240" w:lineRule="auto"/>
              <w:ind w:firstLine="0" w:firstLineChars="0"/>
              <w:rPr>
                <w:color w:val="auto"/>
              </w:rPr>
            </w:pPr>
            <w:r>
              <w:rPr>
                <w:color w:val="auto"/>
              </w:rPr>
              <w:t>项目厂区平面布置图</w:t>
            </w:r>
          </w:p>
        </w:tc>
      </w:tr>
      <w:tr w14:paraId="7D79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tcPr>
          <w:p w14:paraId="448E5F25">
            <w:pPr>
              <w:spacing w:line="240" w:lineRule="auto"/>
              <w:ind w:firstLine="0" w:firstLineChars="0"/>
              <w:rPr>
                <w:color w:val="auto"/>
              </w:rPr>
            </w:pPr>
            <w:r>
              <w:rPr>
                <w:color w:val="auto"/>
              </w:rPr>
              <w:t>附图</w:t>
            </w:r>
            <w:r>
              <w:rPr>
                <w:rFonts w:hint="eastAsia"/>
                <w:color w:val="auto"/>
              </w:rPr>
              <w:t>4</w:t>
            </w:r>
            <w:r>
              <w:rPr>
                <w:color w:val="auto"/>
              </w:rPr>
              <w:t>.1-2</w:t>
            </w:r>
          </w:p>
        </w:tc>
        <w:tc>
          <w:tcPr>
            <w:tcW w:w="7758" w:type="dxa"/>
          </w:tcPr>
          <w:p w14:paraId="24E4ED87">
            <w:pPr>
              <w:spacing w:line="240" w:lineRule="auto"/>
              <w:ind w:firstLine="0" w:firstLineChars="0"/>
              <w:rPr>
                <w:color w:val="auto"/>
              </w:rPr>
            </w:pPr>
            <w:r>
              <w:rPr>
                <w:rFonts w:hint="eastAsia"/>
                <w:color w:val="auto"/>
              </w:rPr>
              <w:t>项目厂房平面布置图</w:t>
            </w:r>
          </w:p>
        </w:tc>
      </w:tr>
      <w:tr w14:paraId="15A8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2A0509C1">
            <w:pPr>
              <w:spacing w:line="240" w:lineRule="auto"/>
              <w:ind w:firstLine="0" w:firstLineChars="0"/>
              <w:rPr>
                <w:color w:val="auto"/>
              </w:rPr>
            </w:pPr>
            <w:r>
              <w:rPr>
                <w:color w:val="auto"/>
              </w:rPr>
              <w:t>附图</w:t>
            </w:r>
            <w:r>
              <w:rPr>
                <w:rFonts w:hint="eastAsia"/>
                <w:color w:val="auto"/>
              </w:rPr>
              <w:t>4</w:t>
            </w:r>
            <w:r>
              <w:rPr>
                <w:color w:val="auto"/>
              </w:rPr>
              <w:t>.1-</w:t>
            </w:r>
            <w:r>
              <w:rPr>
                <w:rFonts w:hint="eastAsia"/>
                <w:color w:val="auto"/>
              </w:rPr>
              <w:t>3</w:t>
            </w:r>
          </w:p>
        </w:tc>
        <w:tc>
          <w:tcPr>
            <w:tcW w:w="7758" w:type="dxa"/>
          </w:tcPr>
          <w:p w14:paraId="1E53F347">
            <w:pPr>
              <w:spacing w:line="240" w:lineRule="auto"/>
              <w:ind w:firstLine="0" w:firstLineChars="0"/>
              <w:rPr>
                <w:color w:val="auto"/>
              </w:rPr>
            </w:pPr>
            <w:r>
              <w:rPr>
                <w:color w:val="auto"/>
              </w:rPr>
              <w:t>项目周边概况图</w:t>
            </w:r>
          </w:p>
        </w:tc>
      </w:tr>
      <w:tr w14:paraId="3D4F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03089502">
            <w:pPr>
              <w:spacing w:line="240" w:lineRule="auto"/>
              <w:ind w:firstLine="0" w:firstLineChars="0"/>
              <w:rPr>
                <w:color w:val="auto"/>
              </w:rPr>
            </w:pPr>
            <w:r>
              <w:rPr>
                <w:color w:val="auto"/>
              </w:rPr>
              <w:t>附图</w:t>
            </w:r>
            <w:r>
              <w:rPr>
                <w:rFonts w:hint="eastAsia"/>
                <w:color w:val="auto"/>
              </w:rPr>
              <w:t>5</w:t>
            </w:r>
            <w:r>
              <w:rPr>
                <w:color w:val="auto"/>
              </w:rPr>
              <w:t>.1-1</w:t>
            </w:r>
          </w:p>
        </w:tc>
        <w:tc>
          <w:tcPr>
            <w:tcW w:w="7758" w:type="dxa"/>
          </w:tcPr>
          <w:p w14:paraId="7B49124A">
            <w:pPr>
              <w:spacing w:line="240" w:lineRule="auto"/>
              <w:ind w:firstLine="0" w:firstLineChars="0"/>
              <w:rPr>
                <w:color w:val="auto"/>
              </w:rPr>
            </w:pPr>
            <w:r>
              <w:rPr>
                <w:color w:val="auto"/>
              </w:rPr>
              <w:t>项目所在地理位置图</w:t>
            </w:r>
          </w:p>
        </w:tc>
      </w:tr>
      <w:tr w14:paraId="6B4D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416" w:type="dxa"/>
          </w:tcPr>
          <w:p w14:paraId="30D2C977">
            <w:pPr>
              <w:spacing w:line="240" w:lineRule="auto"/>
              <w:ind w:firstLine="0" w:firstLineChars="0"/>
              <w:rPr>
                <w:color w:val="auto"/>
              </w:rPr>
            </w:pPr>
            <w:r>
              <w:rPr>
                <w:color w:val="auto"/>
              </w:rPr>
              <w:t>附图</w:t>
            </w:r>
            <w:r>
              <w:rPr>
                <w:rFonts w:hint="eastAsia"/>
                <w:color w:val="auto"/>
              </w:rPr>
              <w:t>5</w:t>
            </w:r>
            <w:r>
              <w:rPr>
                <w:color w:val="auto"/>
              </w:rPr>
              <w:t>.1-</w:t>
            </w:r>
            <w:r>
              <w:rPr>
                <w:rFonts w:hint="eastAsia"/>
                <w:color w:val="auto"/>
              </w:rPr>
              <w:t>2</w:t>
            </w:r>
          </w:p>
        </w:tc>
        <w:tc>
          <w:tcPr>
            <w:tcW w:w="7758" w:type="dxa"/>
          </w:tcPr>
          <w:p w14:paraId="2187A190">
            <w:pPr>
              <w:spacing w:line="240" w:lineRule="auto"/>
              <w:ind w:firstLine="0" w:firstLineChars="0"/>
              <w:rPr>
                <w:color w:val="auto"/>
              </w:rPr>
            </w:pPr>
            <w:r>
              <w:rPr>
                <w:color w:val="auto"/>
              </w:rPr>
              <w:t>区域水系分布图</w:t>
            </w:r>
          </w:p>
        </w:tc>
      </w:tr>
      <w:tr w14:paraId="6FA7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416" w:type="dxa"/>
          </w:tcPr>
          <w:p w14:paraId="26D00E04">
            <w:pPr>
              <w:spacing w:line="240" w:lineRule="auto"/>
              <w:ind w:firstLine="0" w:firstLineChars="0"/>
              <w:rPr>
                <w:color w:val="auto"/>
              </w:rPr>
            </w:pPr>
            <w:r>
              <w:rPr>
                <w:rFonts w:hint="eastAsia"/>
                <w:color w:val="auto"/>
              </w:rPr>
              <w:t>附图5.2-1</w:t>
            </w:r>
          </w:p>
        </w:tc>
        <w:tc>
          <w:tcPr>
            <w:tcW w:w="7758" w:type="dxa"/>
          </w:tcPr>
          <w:p w14:paraId="16B66E05">
            <w:pPr>
              <w:spacing w:line="240" w:lineRule="auto"/>
              <w:ind w:firstLine="0" w:firstLineChars="0"/>
              <w:rPr>
                <w:color w:val="auto"/>
              </w:rPr>
            </w:pPr>
            <w:r>
              <w:rPr>
                <w:rFonts w:hint="eastAsia"/>
                <w:color w:val="auto"/>
              </w:rPr>
              <w:t>大气、声、地下水和土壤监测点位图</w:t>
            </w:r>
          </w:p>
        </w:tc>
      </w:tr>
      <w:tr w14:paraId="06C8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416" w:type="dxa"/>
          </w:tcPr>
          <w:p w14:paraId="08592790">
            <w:pPr>
              <w:spacing w:line="240" w:lineRule="auto"/>
              <w:ind w:firstLine="0" w:firstLineChars="0"/>
              <w:rPr>
                <w:color w:val="auto"/>
              </w:rPr>
            </w:pPr>
            <w:r>
              <w:rPr>
                <w:rFonts w:hint="eastAsia"/>
                <w:color w:val="auto"/>
              </w:rPr>
              <w:t>附图5.2-2</w:t>
            </w:r>
          </w:p>
        </w:tc>
        <w:tc>
          <w:tcPr>
            <w:tcW w:w="7758" w:type="dxa"/>
          </w:tcPr>
          <w:p w14:paraId="5F4F7855">
            <w:pPr>
              <w:spacing w:line="240" w:lineRule="auto"/>
              <w:ind w:firstLine="0" w:firstLineChars="0"/>
              <w:rPr>
                <w:color w:val="auto"/>
              </w:rPr>
            </w:pPr>
            <w:r>
              <w:rPr>
                <w:rFonts w:hint="eastAsia"/>
                <w:color w:val="auto"/>
              </w:rPr>
              <w:t>地表水监测点位图</w:t>
            </w:r>
          </w:p>
        </w:tc>
      </w:tr>
      <w:tr w14:paraId="001E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4A056B62">
            <w:pPr>
              <w:spacing w:line="240" w:lineRule="auto"/>
              <w:ind w:firstLine="0" w:firstLineChars="0"/>
              <w:rPr>
                <w:color w:val="auto"/>
              </w:rPr>
            </w:pPr>
            <w:r>
              <w:rPr>
                <w:color w:val="auto"/>
              </w:rPr>
              <w:t>附图</w:t>
            </w:r>
            <w:r>
              <w:rPr>
                <w:rFonts w:hint="eastAsia"/>
                <w:color w:val="auto"/>
              </w:rPr>
              <w:t>7.2-3</w:t>
            </w:r>
          </w:p>
        </w:tc>
        <w:tc>
          <w:tcPr>
            <w:tcW w:w="7758" w:type="dxa"/>
          </w:tcPr>
          <w:p w14:paraId="4CF5788D">
            <w:pPr>
              <w:spacing w:line="240" w:lineRule="auto"/>
              <w:ind w:firstLine="0" w:firstLineChars="0"/>
              <w:rPr>
                <w:color w:val="auto"/>
              </w:rPr>
            </w:pPr>
            <w:r>
              <w:rPr>
                <w:color w:val="auto"/>
              </w:rPr>
              <w:t>厂区分区防渗</w:t>
            </w:r>
            <w:r>
              <w:rPr>
                <w:rFonts w:hint="eastAsia"/>
                <w:color w:val="auto"/>
              </w:rPr>
              <w:t>示意</w:t>
            </w:r>
            <w:r>
              <w:rPr>
                <w:color w:val="auto"/>
              </w:rPr>
              <w:t>图</w:t>
            </w:r>
          </w:p>
        </w:tc>
      </w:tr>
      <w:tr w14:paraId="2168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2F10E917">
            <w:pPr>
              <w:spacing w:line="240" w:lineRule="auto"/>
              <w:ind w:firstLine="0" w:firstLineChars="0"/>
              <w:rPr>
                <w:color w:val="auto"/>
              </w:rPr>
            </w:pPr>
            <w:r>
              <w:rPr>
                <w:rFonts w:hint="eastAsia"/>
                <w:color w:val="auto"/>
              </w:rPr>
              <w:t>附图7.2-4</w:t>
            </w:r>
          </w:p>
        </w:tc>
        <w:tc>
          <w:tcPr>
            <w:tcW w:w="7758" w:type="dxa"/>
          </w:tcPr>
          <w:p w14:paraId="36CAE968">
            <w:pPr>
              <w:spacing w:line="240" w:lineRule="auto"/>
              <w:ind w:firstLine="0" w:firstLineChars="0"/>
              <w:rPr>
                <w:color w:val="auto"/>
              </w:rPr>
            </w:pPr>
            <w:r>
              <w:rPr>
                <w:rFonts w:hint="eastAsia"/>
                <w:color w:val="auto"/>
              </w:rPr>
              <w:t>项目事故状态下区域人员疏散和安置场所位置图</w:t>
            </w:r>
          </w:p>
        </w:tc>
      </w:tr>
      <w:tr w14:paraId="3A32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5318B9AC">
            <w:pPr>
              <w:spacing w:line="240" w:lineRule="auto"/>
              <w:ind w:firstLine="0" w:firstLineChars="0"/>
              <w:rPr>
                <w:color w:val="auto"/>
              </w:rPr>
            </w:pPr>
            <w:r>
              <w:rPr>
                <w:rFonts w:hint="eastAsia"/>
                <w:color w:val="auto"/>
              </w:rPr>
              <w:t>附图7.2-5</w:t>
            </w:r>
          </w:p>
        </w:tc>
        <w:tc>
          <w:tcPr>
            <w:tcW w:w="7758" w:type="dxa"/>
          </w:tcPr>
          <w:p w14:paraId="7697D77E">
            <w:pPr>
              <w:spacing w:line="240" w:lineRule="auto"/>
              <w:ind w:firstLine="0" w:firstLineChars="0"/>
              <w:rPr>
                <w:color w:val="auto"/>
              </w:rPr>
            </w:pPr>
            <w:r>
              <w:rPr>
                <w:rFonts w:hint="eastAsia"/>
                <w:color w:val="auto"/>
              </w:rPr>
              <w:t>厂区雨污水管网以及防止事故废水进入外环境的控制、封堵系统图</w:t>
            </w:r>
          </w:p>
        </w:tc>
      </w:tr>
      <w:tr w14:paraId="537C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517050F2">
            <w:pPr>
              <w:spacing w:line="240" w:lineRule="auto"/>
              <w:ind w:firstLine="0" w:firstLineChars="0"/>
              <w:rPr>
                <w:color w:val="auto"/>
              </w:rPr>
            </w:pPr>
            <w:r>
              <w:rPr>
                <w:rFonts w:hint="eastAsia"/>
                <w:color w:val="auto"/>
              </w:rPr>
              <w:t>附图7.2-6</w:t>
            </w:r>
          </w:p>
        </w:tc>
        <w:tc>
          <w:tcPr>
            <w:tcW w:w="7758" w:type="dxa"/>
          </w:tcPr>
          <w:p w14:paraId="5CDE33F8">
            <w:pPr>
              <w:spacing w:line="240" w:lineRule="auto"/>
              <w:ind w:firstLine="0" w:firstLineChars="0"/>
              <w:rPr>
                <w:color w:val="auto"/>
              </w:rPr>
            </w:pPr>
            <w:r>
              <w:rPr>
                <w:rFonts w:hint="eastAsia"/>
                <w:color w:val="auto"/>
              </w:rPr>
              <w:t>环境应急设施分布图</w:t>
            </w:r>
          </w:p>
        </w:tc>
      </w:tr>
      <w:tr w14:paraId="0E13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Pr>
          <w:p w14:paraId="70E14B55">
            <w:pPr>
              <w:spacing w:line="240" w:lineRule="auto"/>
              <w:ind w:firstLine="0" w:firstLineChars="0"/>
              <w:rPr>
                <w:b/>
                <w:bCs/>
                <w:color w:val="auto"/>
              </w:rPr>
            </w:pPr>
            <w:r>
              <w:rPr>
                <w:b/>
                <w:bCs/>
                <w:color w:val="auto"/>
              </w:rPr>
              <w:t>附件集：</w:t>
            </w:r>
          </w:p>
        </w:tc>
      </w:tr>
      <w:tr w14:paraId="29F8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tcPr>
          <w:p w14:paraId="2CE623F8">
            <w:pPr>
              <w:spacing w:line="240" w:lineRule="auto"/>
              <w:ind w:firstLine="0" w:firstLineChars="0"/>
              <w:rPr>
                <w:color w:val="auto"/>
              </w:rPr>
            </w:pPr>
            <w:r>
              <w:rPr>
                <w:color w:val="auto"/>
              </w:rPr>
              <w:t>附件1</w:t>
            </w:r>
          </w:p>
        </w:tc>
        <w:tc>
          <w:tcPr>
            <w:tcW w:w="7758" w:type="dxa"/>
          </w:tcPr>
          <w:p w14:paraId="13FE9DCA">
            <w:pPr>
              <w:spacing w:line="240" w:lineRule="auto"/>
              <w:ind w:firstLine="0" w:firstLineChars="0"/>
              <w:rPr>
                <w:color w:val="auto"/>
              </w:rPr>
            </w:pPr>
            <w:r>
              <w:rPr>
                <w:color w:val="auto"/>
              </w:rPr>
              <w:t>项目立项备案</w:t>
            </w:r>
          </w:p>
        </w:tc>
      </w:tr>
      <w:tr w14:paraId="1B79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tcPr>
          <w:p w14:paraId="2B29DE0F">
            <w:pPr>
              <w:spacing w:line="240" w:lineRule="auto"/>
              <w:ind w:firstLine="0" w:firstLineChars="0"/>
              <w:rPr>
                <w:color w:val="auto"/>
              </w:rPr>
            </w:pPr>
            <w:r>
              <w:rPr>
                <w:color w:val="auto"/>
              </w:rPr>
              <w:t>附件2</w:t>
            </w:r>
          </w:p>
        </w:tc>
        <w:tc>
          <w:tcPr>
            <w:tcW w:w="7758" w:type="dxa"/>
          </w:tcPr>
          <w:p w14:paraId="0038BB65">
            <w:pPr>
              <w:spacing w:line="240" w:lineRule="auto"/>
              <w:ind w:firstLine="0" w:firstLineChars="0"/>
              <w:rPr>
                <w:color w:val="auto"/>
              </w:rPr>
            </w:pPr>
            <w:r>
              <w:rPr>
                <w:color w:val="auto"/>
              </w:rPr>
              <w:t>营业执照及法人身份证</w:t>
            </w:r>
          </w:p>
        </w:tc>
      </w:tr>
      <w:tr w14:paraId="4B5B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2B84DDAA">
            <w:pPr>
              <w:spacing w:line="240" w:lineRule="auto"/>
              <w:ind w:firstLine="0" w:firstLineChars="0"/>
              <w:rPr>
                <w:color w:val="auto"/>
              </w:rPr>
            </w:pPr>
            <w:r>
              <w:rPr>
                <w:color w:val="auto"/>
              </w:rPr>
              <w:t>附件3</w:t>
            </w:r>
          </w:p>
        </w:tc>
        <w:tc>
          <w:tcPr>
            <w:tcW w:w="7758" w:type="dxa"/>
          </w:tcPr>
          <w:p w14:paraId="23388BE4">
            <w:pPr>
              <w:spacing w:line="240" w:lineRule="auto"/>
              <w:ind w:firstLine="0" w:firstLineChars="0"/>
              <w:rPr>
                <w:color w:val="auto"/>
              </w:rPr>
            </w:pPr>
            <w:r>
              <w:rPr>
                <w:rFonts w:hint="eastAsia"/>
                <w:color w:val="auto"/>
              </w:rPr>
              <w:t>现有项目环评批复</w:t>
            </w:r>
          </w:p>
        </w:tc>
      </w:tr>
      <w:tr w14:paraId="1A12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0CB53863">
            <w:pPr>
              <w:spacing w:line="240" w:lineRule="auto"/>
              <w:ind w:firstLine="0" w:firstLineChars="0"/>
              <w:rPr>
                <w:color w:val="auto"/>
              </w:rPr>
            </w:pPr>
            <w:r>
              <w:rPr>
                <w:color w:val="auto"/>
              </w:rPr>
              <w:t>附件4</w:t>
            </w:r>
          </w:p>
        </w:tc>
        <w:tc>
          <w:tcPr>
            <w:tcW w:w="7758" w:type="dxa"/>
          </w:tcPr>
          <w:p w14:paraId="1F40F560">
            <w:pPr>
              <w:spacing w:line="240" w:lineRule="auto"/>
              <w:ind w:firstLine="0" w:firstLineChars="0"/>
              <w:rPr>
                <w:color w:val="auto"/>
              </w:rPr>
            </w:pPr>
            <w:r>
              <w:rPr>
                <w:rFonts w:hint="eastAsia"/>
                <w:color w:val="auto"/>
              </w:rPr>
              <w:t>现有项目验收意见</w:t>
            </w:r>
          </w:p>
        </w:tc>
      </w:tr>
      <w:tr w14:paraId="20C0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43AF0283">
            <w:pPr>
              <w:spacing w:line="240" w:lineRule="auto"/>
              <w:ind w:firstLine="0" w:firstLineChars="0"/>
              <w:rPr>
                <w:color w:val="auto"/>
              </w:rPr>
            </w:pPr>
            <w:r>
              <w:rPr>
                <w:color w:val="auto"/>
              </w:rPr>
              <w:t>附件5</w:t>
            </w:r>
          </w:p>
        </w:tc>
        <w:tc>
          <w:tcPr>
            <w:tcW w:w="7758" w:type="dxa"/>
          </w:tcPr>
          <w:p w14:paraId="2C0040BF">
            <w:pPr>
              <w:spacing w:line="240" w:lineRule="auto"/>
              <w:ind w:firstLine="0" w:firstLineChars="0"/>
              <w:rPr>
                <w:color w:val="auto"/>
              </w:rPr>
            </w:pPr>
            <w:r>
              <w:rPr>
                <w:rFonts w:hint="eastAsia"/>
                <w:color w:val="auto"/>
              </w:rPr>
              <w:t>现有项目应急预案备案表</w:t>
            </w:r>
          </w:p>
        </w:tc>
      </w:tr>
      <w:tr w14:paraId="3F9E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180B2BBC">
            <w:pPr>
              <w:spacing w:line="240" w:lineRule="auto"/>
              <w:ind w:firstLine="0" w:firstLineChars="0"/>
              <w:rPr>
                <w:color w:val="auto"/>
              </w:rPr>
            </w:pPr>
            <w:r>
              <w:rPr>
                <w:color w:val="auto"/>
              </w:rPr>
              <w:t>附件6</w:t>
            </w:r>
          </w:p>
        </w:tc>
        <w:tc>
          <w:tcPr>
            <w:tcW w:w="7758" w:type="dxa"/>
          </w:tcPr>
          <w:p w14:paraId="7F99855D">
            <w:pPr>
              <w:spacing w:line="240" w:lineRule="auto"/>
              <w:ind w:firstLine="0" w:firstLineChars="0"/>
              <w:rPr>
                <w:color w:val="auto"/>
              </w:rPr>
            </w:pPr>
            <w:r>
              <w:rPr>
                <w:rFonts w:hint="eastAsia"/>
                <w:color w:val="auto"/>
              </w:rPr>
              <w:t>现有项目排污登记回执</w:t>
            </w:r>
          </w:p>
        </w:tc>
      </w:tr>
      <w:tr w14:paraId="7E3D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33DFAADD">
            <w:pPr>
              <w:spacing w:line="240" w:lineRule="auto"/>
              <w:ind w:firstLine="0" w:firstLineChars="0"/>
              <w:rPr>
                <w:color w:val="auto"/>
              </w:rPr>
            </w:pPr>
            <w:r>
              <w:rPr>
                <w:color w:val="auto"/>
              </w:rPr>
              <w:t>附件7</w:t>
            </w:r>
          </w:p>
        </w:tc>
        <w:tc>
          <w:tcPr>
            <w:tcW w:w="7758" w:type="dxa"/>
          </w:tcPr>
          <w:p w14:paraId="26AAB70E">
            <w:pPr>
              <w:spacing w:line="240" w:lineRule="auto"/>
              <w:ind w:firstLine="0" w:firstLineChars="0"/>
              <w:rPr>
                <w:color w:val="auto"/>
              </w:rPr>
            </w:pPr>
            <w:r>
              <w:rPr>
                <w:rFonts w:hint="eastAsia"/>
                <w:color w:val="auto"/>
              </w:rPr>
              <w:t>现有项目固废处置协议</w:t>
            </w:r>
          </w:p>
        </w:tc>
      </w:tr>
      <w:tr w14:paraId="26D6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11E35A7C">
            <w:pPr>
              <w:spacing w:line="240" w:lineRule="auto"/>
              <w:ind w:firstLine="0" w:firstLineChars="0"/>
              <w:rPr>
                <w:color w:val="auto"/>
              </w:rPr>
            </w:pPr>
            <w:r>
              <w:rPr>
                <w:color w:val="auto"/>
              </w:rPr>
              <w:t>附件8</w:t>
            </w:r>
          </w:p>
        </w:tc>
        <w:tc>
          <w:tcPr>
            <w:tcW w:w="7758" w:type="dxa"/>
            <w:shd w:val="clear" w:color="auto" w:fill="auto"/>
          </w:tcPr>
          <w:p w14:paraId="5A1305E9">
            <w:pPr>
              <w:spacing w:line="240" w:lineRule="auto"/>
              <w:ind w:firstLine="0" w:firstLineChars="0"/>
              <w:rPr>
                <w:color w:val="auto"/>
              </w:rPr>
            </w:pPr>
            <w:r>
              <w:rPr>
                <w:rFonts w:hint="eastAsia"/>
                <w:color w:val="auto"/>
              </w:rPr>
              <w:t>项目土地证</w:t>
            </w:r>
          </w:p>
        </w:tc>
      </w:tr>
      <w:tr w14:paraId="5FDE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13790D78">
            <w:pPr>
              <w:spacing w:line="240" w:lineRule="auto"/>
              <w:ind w:firstLine="0" w:firstLineChars="0"/>
              <w:rPr>
                <w:color w:val="auto"/>
              </w:rPr>
            </w:pPr>
            <w:r>
              <w:rPr>
                <w:color w:val="auto"/>
              </w:rPr>
              <w:t>附件9</w:t>
            </w:r>
          </w:p>
        </w:tc>
        <w:tc>
          <w:tcPr>
            <w:tcW w:w="7758" w:type="dxa"/>
            <w:shd w:val="clear" w:color="auto" w:fill="auto"/>
          </w:tcPr>
          <w:p w14:paraId="26066F0A">
            <w:pPr>
              <w:spacing w:line="240" w:lineRule="auto"/>
              <w:ind w:firstLine="0" w:firstLineChars="0"/>
              <w:rPr>
                <w:color w:val="auto"/>
              </w:rPr>
            </w:pPr>
            <w:r>
              <w:rPr>
                <w:color w:val="auto"/>
              </w:rPr>
              <w:t>环评委托书</w:t>
            </w:r>
          </w:p>
        </w:tc>
      </w:tr>
      <w:tr w14:paraId="631C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7AB404D6">
            <w:pPr>
              <w:spacing w:line="240" w:lineRule="auto"/>
              <w:ind w:firstLine="0" w:firstLineChars="0"/>
              <w:rPr>
                <w:color w:val="auto"/>
              </w:rPr>
            </w:pPr>
            <w:r>
              <w:rPr>
                <w:color w:val="auto"/>
              </w:rPr>
              <w:t>附件10</w:t>
            </w:r>
          </w:p>
        </w:tc>
        <w:tc>
          <w:tcPr>
            <w:tcW w:w="7758" w:type="dxa"/>
            <w:shd w:val="clear" w:color="auto" w:fill="auto"/>
          </w:tcPr>
          <w:p w14:paraId="672A76CF">
            <w:pPr>
              <w:spacing w:line="240" w:lineRule="auto"/>
              <w:ind w:firstLine="0" w:firstLineChars="0"/>
              <w:rPr>
                <w:color w:val="auto"/>
              </w:rPr>
            </w:pPr>
            <w:r>
              <w:rPr>
                <w:color w:val="auto"/>
              </w:rPr>
              <w:t>建设单位承诺书</w:t>
            </w:r>
          </w:p>
        </w:tc>
      </w:tr>
      <w:tr w14:paraId="2592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611CB3D6">
            <w:pPr>
              <w:spacing w:line="240" w:lineRule="auto"/>
              <w:ind w:firstLine="0" w:firstLineChars="0"/>
              <w:rPr>
                <w:color w:val="auto"/>
              </w:rPr>
            </w:pPr>
            <w:r>
              <w:rPr>
                <w:color w:val="auto"/>
              </w:rPr>
              <w:t>附件11</w:t>
            </w:r>
          </w:p>
        </w:tc>
        <w:tc>
          <w:tcPr>
            <w:tcW w:w="7758" w:type="dxa"/>
            <w:shd w:val="clear" w:color="auto" w:fill="auto"/>
          </w:tcPr>
          <w:p w14:paraId="252C0A43">
            <w:pPr>
              <w:spacing w:line="240" w:lineRule="auto"/>
              <w:ind w:firstLine="0" w:firstLineChars="0"/>
              <w:rPr>
                <w:color w:val="auto"/>
              </w:rPr>
            </w:pPr>
            <w:r>
              <w:rPr>
                <w:rFonts w:hint="eastAsia"/>
                <w:color w:val="auto"/>
              </w:rPr>
              <w:t>审批申请表</w:t>
            </w:r>
          </w:p>
        </w:tc>
      </w:tr>
      <w:tr w14:paraId="6B79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7C83BA4F">
            <w:pPr>
              <w:spacing w:line="240" w:lineRule="auto"/>
              <w:ind w:firstLine="0" w:firstLineChars="0"/>
              <w:rPr>
                <w:color w:val="auto"/>
              </w:rPr>
            </w:pPr>
            <w:r>
              <w:rPr>
                <w:color w:val="auto"/>
              </w:rPr>
              <w:t>附件12</w:t>
            </w:r>
          </w:p>
        </w:tc>
        <w:tc>
          <w:tcPr>
            <w:tcW w:w="7758" w:type="dxa"/>
            <w:shd w:val="clear" w:color="auto" w:fill="auto"/>
          </w:tcPr>
          <w:p w14:paraId="648F6095">
            <w:pPr>
              <w:spacing w:line="240" w:lineRule="auto"/>
              <w:ind w:firstLine="0" w:firstLineChars="0"/>
              <w:rPr>
                <w:color w:val="auto"/>
              </w:rPr>
            </w:pPr>
            <w:r>
              <w:rPr>
                <w:rFonts w:hint="eastAsia"/>
                <w:color w:val="auto"/>
              </w:rPr>
              <w:t>声明确认书</w:t>
            </w:r>
          </w:p>
        </w:tc>
      </w:tr>
      <w:tr w14:paraId="454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21B18B62">
            <w:pPr>
              <w:spacing w:line="240" w:lineRule="auto"/>
              <w:ind w:firstLine="0" w:firstLineChars="0"/>
              <w:rPr>
                <w:color w:val="auto"/>
              </w:rPr>
            </w:pPr>
            <w:r>
              <w:rPr>
                <w:color w:val="auto"/>
              </w:rPr>
              <w:t>附件13</w:t>
            </w:r>
          </w:p>
        </w:tc>
        <w:tc>
          <w:tcPr>
            <w:tcW w:w="7758" w:type="dxa"/>
            <w:shd w:val="clear" w:color="auto" w:fill="auto"/>
          </w:tcPr>
          <w:p w14:paraId="333CF9C1">
            <w:pPr>
              <w:spacing w:line="240" w:lineRule="auto"/>
              <w:ind w:firstLine="0" w:firstLineChars="0"/>
              <w:rPr>
                <w:color w:val="auto"/>
              </w:rPr>
            </w:pPr>
            <w:r>
              <w:rPr>
                <w:rFonts w:hint="eastAsia"/>
                <w:color w:val="auto"/>
              </w:rPr>
              <w:t>连云港市企业环保信用承诺表</w:t>
            </w:r>
          </w:p>
        </w:tc>
      </w:tr>
      <w:tr w14:paraId="4F08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33618807">
            <w:pPr>
              <w:spacing w:line="240" w:lineRule="auto"/>
              <w:ind w:firstLine="0" w:firstLineChars="0"/>
              <w:rPr>
                <w:color w:val="auto"/>
              </w:rPr>
            </w:pPr>
            <w:r>
              <w:rPr>
                <w:rFonts w:hint="eastAsia"/>
                <w:color w:val="auto"/>
              </w:rPr>
              <w:t>附件14</w:t>
            </w:r>
          </w:p>
        </w:tc>
        <w:tc>
          <w:tcPr>
            <w:tcW w:w="7758" w:type="dxa"/>
            <w:shd w:val="clear" w:color="auto" w:fill="auto"/>
          </w:tcPr>
          <w:p w14:paraId="3FAC4611">
            <w:pPr>
              <w:spacing w:line="240" w:lineRule="auto"/>
              <w:ind w:firstLine="0" w:firstLineChars="0"/>
              <w:rPr>
                <w:color w:val="auto"/>
              </w:rPr>
            </w:pPr>
            <w:r>
              <w:rPr>
                <w:rFonts w:hint="eastAsia"/>
                <w:color w:val="auto"/>
              </w:rPr>
              <w:t>研磨膏MSDS</w:t>
            </w:r>
          </w:p>
        </w:tc>
      </w:tr>
      <w:tr w14:paraId="3D0C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1E9287F5">
            <w:pPr>
              <w:spacing w:line="240" w:lineRule="auto"/>
              <w:ind w:firstLine="0" w:firstLineChars="0"/>
              <w:rPr>
                <w:color w:val="auto"/>
              </w:rPr>
            </w:pPr>
            <w:r>
              <w:rPr>
                <w:rFonts w:hint="eastAsia"/>
                <w:color w:val="auto"/>
              </w:rPr>
              <w:t>附件15-1</w:t>
            </w:r>
          </w:p>
        </w:tc>
        <w:tc>
          <w:tcPr>
            <w:tcW w:w="7758" w:type="dxa"/>
            <w:shd w:val="clear" w:color="auto" w:fill="auto"/>
          </w:tcPr>
          <w:p w14:paraId="76768D01">
            <w:pPr>
              <w:spacing w:line="240" w:lineRule="auto"/>
              <w:ind w:firstLine="0" w:firstLineChars="0"/>
              <w:rPr>
                <w:color w:val="auto"/>
              </w:rPr>
            </w:pPr>
            <w:r>
              <w:rPr>
                <w:rFonts w:hint="eastAsia"/>
                <w:color w:val="auto"/>
              </w:rPr>
              <w:t>碱蚀剂MSDS材料</w:t>
            </w:r>
          </w:p>
        </w:tc>
      </w:tr>
      <w:tr w14:paraId="1676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1DB57B1E">
            <w:pPr>
              <w:spacing w:line="240" w:lineRule="auto"/>
              <w:ind w:firstLine="0" w:firstLineChars="0"/>
              <w:rPr>
                <w:color w:val="auto"/>
              </w:rPr>
            </w:pPr>
            <w:r>
              <w:rPr>
                <w:rFonts w:hint="eastAsia"/>
                <w:color w:val="auto"/>
              </w:rPr>
              <w:t>附件15-2</w:t>
            </w:r>
          </w:p>
        </w:tc>
        <w:tc>
          <w:tcPr>
            <w:tcW w:w="7758" w:type="dxa"/>
            <w:shd w:val="clear" w:color="auto" w:fill="auto"/>
          </w:tcPr>
          <w:p w14:paraId="5640FEAC">
            <w:pPr>
              <w:spacing w:line="240" w:lineRule="auto"/>
              <w:ind w:firstLine="0" w:firstLineChars="0"/>
              <w:rPr>
                <w:color w:val="auto"/>
              </w:rPr>
            </w:pPr>
            <w:r>
              <w:rPr>
                <w:rFonts w:hint="eastAsia"/>
                <w:color w:val="auto"/>
              </w:rPr>
              <w:t>着色稳定剂MSDS材料</w:t>
            </w:r>
          </w:p>
        </w:tc>
      </w:tr>
      <w:tr w14:paraId="21A2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69551C7F">
            <w:pPr>
              <w:spacing w:line="240" w:lineRule="auto"/>
              <w:ind w:firstLine="0" w:firstLineChars="0"/>
              <w:rPr>
                <w:color w:val="auto"/>
              </w:rPr>
            </w:pPr>
            <w:r>
              <w:rPr>
                <w:rFonts w:hint="eastAsia"/>
                <w:color w:val="auto"/>
              </w:rPr>
              <w:t>附件15-3</w:t>
            </w:r>
          </w:p>
        </w:tc>
        <w:tc>
          <w:tcPr>
            <w:tcW w:w="7758" w:type="dxa"/>
            <w:shd w:val="clear" w:color="auto" w:fill="auto"/>
          </w:tcPr>
          <w:p w14:paraId="013321C3">
            <w:pPr>
              <w:spacing w:line="240" w:lineRule="auto"/>
              <w:ind w:firstLine="0" w:firstLineChars="0"/>
              <w:rPr>
                <w:color w:val="auto"/>
              </w:rPr>
            </w:pPr>
            <w:r>
              <w:rPr>
                <w:rFonts w:hint="eastAsia"/>
                <w:color w:val="auto"/>
              </w:rPr>
              <w:t>封孔剂MSDS材料</w:t>
            </w:r>
          </w:p>
        </w:tc>
      </w:tr>
      <w:tr w14:paraId="2979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005F4B4E">
            <w:pPr>
              <w:spacing w:line="240" w:lineRule="auto"/>
              <w:ind w:firstLine="0" w:firstLineChars="0"/>
              <w:rPr>
                <w:color w:val="auto"/>
              </w:rPr>
            </w:pPr>
            <w:r>
              <w:rPr>
                <w:color w:val="auto"/>
              </w:rPr>
              <w:t>附件1</w:t>
            </w:r>
            <w:r>
              <w:rPr>
                <w:rFonts w:hint="eastAsia"/>
                <w:color w:val="auto"/>
              </w:rPr>
              <w:t>6</w:t>
            </w:r>
          </w:p>
        </w:tc>
        <w:tc>
          <w:tcPr>
            <w:tcW w:w="7758" w:type="dxa"/>
            <w:shd w:val="clear" w:color="auto" w:fill="auto"/>
          </w:tcPr>
          <w:p w14:paraId="62D89283">
            <w:pPr>
              <w:spacing w:line="240" w:lineRule="auto"/>
              <w:ind w:firstLine="0" w:firstLineChars="0"/>
              <w:rPr>
                <w:color w:val="auto"/>
              </w:rPr>
            </w:pPr>
            <w:r>
              <w:rPr>
                <w:rFonts w:hint="eastAsia"/>
                <w:color w:val="auto"/>
              </w:rPr>
              <w:t>园区规划环评审查意见</w:t>
            </w:r>
          </w:p>
        </w:tc>
      </w:tr>
      <w:tr w14:paraId="1AB8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3A7D0951">
            <w:pPr>
              <w:spacing w:line="240" w:lineRule="auto"/>
              <w:ind w:firstLine="0" w:firstLineChars="0"/>
              <w:rPr>
                <w:color w:val="auto"/>
              </w:rPr>
            </w:pPr>
            <w:r>
              <w:rPr>
                <w:rFonts w:hint="eastAsia"/>
                <w:color w:val="auto"/>
              </w:rPr>
              <w:t>附件17</w:t>
            </w:r>
          </w:p>
        </w:tc>
        <w:tc>
          <w:tcPr>
            <w:tcW w:w="7758" w:type="dxa"/>
            <w:shd w:val="clear" w:color="auto" w:fill="auto"/>
          </w:tcPr>
          <w:p w14:paraId="69DB3CCB">
            <w:pPr>
              <w:spacing w:line="240" w:lineRule="auto"/>
              <w:ind w:firstLine="0" w:firstLineChars="0"/>
              <w:rPr>
                <w:color w:val="auto"/>
              </w:rPr>
            </w:pPr>
            <w:r>
              <w:rPr>
                <w:rFonts w:hint="eastAsia"/>
                <w:color w:val="auto"/>
              </w:rPr>
              <w:t xml:space="preserve">环境质量现状监测报告 </w:t>
            </w:r>
          </w:p>
        </w:tc>
      </w:tr>
      <w:tr w14:paraId="2AA1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6" w:type="dxa"/>
            <w:shd w:val="clear" w:color="auto" w:fill="auto"/>
          </w:tcPr>
          <w:p w14:paraId="258F963F">
            <w:pPr>
              <w:spacing w:line="240" w:lineRule="auto"/>
              <w:ind w:firstLine="0" w:firstLineChars="0"/>
              <w:rPr>
                <w:color w:val="auto"/>
              </w:rPr>
            </w:pPr>
            <w:r>
              <w:rPr>
                <w:rFonts w:hint="eastAsia"/>
                <w:color w:val="auto"/>
              </w:rPr>
              <w:t>附件18</w:t>
            </w:r>
          </w:p>
        </w:tc>
        <w:tc>
          <w:tcPr>
            <w:tcW w:w="7758" w:type="dxa"/>
            <w:shd w:val="clear" w:color="auto" w:fill="auto"/>
          </w:tcPr>
          <w:p w14:paraId="1083C821">
            <w:pPr>
              <w:spacing w:line="240" w:lineRule="auto"/>
              <w:ind w:firstLine="0" w:firstLineChars="0"/>
              <w:rPr>
                <w:color w:val="auto"/>
              </w:rPr>
            </w:pPr>
            <w:r>
              <w:rPr>
                <w:rFonts w:hint="eastAsia"/>
                <w:color w:val="auto"/>
              </w:rPr>
              <w:t>专家评审意见及签到表</w:t>
            </w:r>
          </w:p>
        </w:tc>
      </w:tr>
      <w:tr w14:paraId="50E7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0B1129CB">
            <w:pPr>
              <w:spacing w:line="240" w:lineRule="auto"/>
              <w:ind w:firstLine="0" w:firstLineChars="0"/>
              <w:rPr>
                <w:color w:val="auto"/>
              </w:rPr>
            </w:pPr>
            <w:r>
              <w:rPr>
                <w:rFonts w:hint="eastAsia"/>
                <w:color w:val="auto"/>
              </w:rPr>
              <w:t>附件19</w:t>
            </w:r>
          </w:p>
        </w:tc>
        <w:tc>
          <w:tcPr>
            <w:tcW w:w="7758" w:type="dxa"/>
            <w:shd w:val="clear" w:color="auto" w:fill="auto"/>
          </w:tcPr>
          <w:p w14:paraId="2C7CF59D">
            <w:pPr>
              <w:spacing w:line="240" w:lineRule="auto"/>
              <w:ind w:firstLine="0" w:firstLineChars="0"/>
              <w:rPr>
                <w:color w:val="auto"/>
              </w:rPr>
            </w:pPr>
            <w:r>
              <w:rPr>
                <w:rFonts w:hint="eastAsia"/>
                <w:color w:val="auto"/>
              </w:rPr>
              <w:t>专家意见修改清单</w:t>
            </w:r>
          </w:p>
        </w:tc>
      </w:tr>
      <w:tr w14:paraId="03DF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27FB576E">
            <w:pPr>
              <w:spacing w:line="240" w:lineRule="auto"/>
              <w:ind w:firstLine="0" w:firstLineChars="0"/>
              <w:rPr>
                <w:rFonts w:hint="eastAsia"/>
                <w:color w:val="auto"/>
              </w:rPr>
            </w:pPr>
            <w:r>
              <w:rPr>
                <w:rFonts w:hint="eastAsia"/>
                <w:color w:val="auto"/>
              </w:rPr>
              <w:t>附件20</w:t>
            </w:r>
          </w:p>
        </w:tc>
        <w:tc>
          <w:tcPr>
            <w:tcW w:w="7758" w:type="dxa"/>
            <w:shd w:val="clear" w:color="auto" w:fill="auto"/>
          </w:tcPr>
          <w:p w14:paraId="67A91F61">
            <w:pPr>
              <w:spacing w:line="240" w:lineRule="auto"/>
              <w:ind w:firstLine="0" w:firstLineChars="0"/>
              <w:rPr>
                <w:rFonts w:hint="default" w:eastAsia="宋体"/>
                <w:color w:val="auto"/>
                <w:lang w:val="en-US" w:eastAsia="zh-CN"/>
              </w:rPr>
            </w:pPr>
            <w:r>
              <w:rPr>
                <w:rFonts w:hint="eastAsia"/>
                <w:color w:val="auto"/>
                <w:lang w:val="en-US" w:eastAsia="zh-CN"/>
              </w:rPr>
              <w:t>专家复核意见及修改清单</w:t>
            </w:r>
          </w:p>
        </w:tc>
      </w:tr>
      <w:tr w14:paraId="1960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6" w:type="dxa"/>
            <w:shd w:val="clear" w:color="auto" w:fill="auto"/>
          </w:tcPr>
          <w:p w14:paraId="0F7B4A37">
            <w:pPr>
              <w:spacing w:line="240" w:lineRule="auto"/>
              <w:ind w:firstLine="0" w:firstLineChars="0"/>
              <w:rPr>
                <w:rFonts w:hint="default" w:eastAsia="宋体"/>
                <w:color w:val="auto"/>
                <w:lang w:val="en-US" w:eastAsia="zh-CN"/>
              </w:rPr>
            </w:pPr>
            <w:r>
              <w:rPr>
                <w:rFonts w:hint="eastAsia"/>
                <w:color w:val="auto"/>
                <w:lang w:val="en-US" w:eastAsia="zh-CN"/>
              </w:rPr>
              <w:t>附件21</w:t>
            </w:r>
          </w:p>
        </w:tc>
        <w:tc>
          <w:tcPr>
            <w:tcW w:w="7758" w:type="dxa"/>
            <w:shd w:val="clear" w:color="auto" w:fill="auto"/>
          </w:tcPr>
          <w:p w14:paraId="3CEF37AB">
            <w:pPr>
              <w:spacing w:line="240" w:lineRule="auto"/>
              <w:ind w:firstLine="0" w:firstLineChars="0"/>
              <w:rPr>
                <w:rFonts w:hint="eastAsia"/>
                <w:color w:val="auto"/>
              </w:rPr>
            </w:pPr>
            <w:r>
              <w:rPr>
                <w:color w:val="auto"/>
              </w:rPr>
              <w:t>建设项目环评审批基础信息表</w:t>
            </w:r>
          </w:p>
        </w:tc>
      </w:tr>
    </w:tbl>
    <w:p w14:paraId="0E0BC306">
      <w:pPr>
        <w:ind w:firstLine="0" w:firstLineChars="0"/>
        <w:rPr>
          <w:color w:val="auto"/>
        </w:rPr>
      </w:pPr>
    </w:p>
    <w:p w14:paraId="1905194F">
      <w:pPr>
        <w:ind w:firstLine="480"/>
        <w:rPr>
          <w:color w:val="auto"/>
        </w:rPr>
        <w:sectPr>
          <w:headerReference r:id="rId11" w:type="default"/>
          <w:footerReference r:id="rId12" w:type="default"/>
          <w:pgSz w:w="11906" w:h="16838"/>
          <w:pgMar w:top="1361" w:right="1361" w:bottom="1361" w:left="1361" w:header="851" w:footer="992" w:gutter="0"/>
          <w:pgNumType w:fmt="upperRoman" w:start="1"/>
          <w:cols w:space="720" w:num="1"/>
          <w:docGrid w:type="lines" w:linePitch="326" w:charSpace="0"/>
        </w:sectPr>
      </w:pPr>
    </w:p>
    <w:p w14:paraId="250E6514">
      <w:pPr>
        <w:pStyle w:val="3"/>
        <w:spacing w:before="163" w:beforeLines="50"/>
        <w:ind w:firstLine="0" w:firstLineChars="0"/>
        <w:rPr>
          <w:color w:val="auto"/>
          <w:sz w:val="32"/>
          <w:szCs w:val="48"/>
        </w:rPr>
      </w:pPr>
      <w:bookmarkStart w:id="4" w:name="_Toc13419"/>
      <w:r>
        <w:rPr>
          <w:color w:val="auto"/>
          <w:sz w:val="32"/>
          <w:szCs w:val="48"/>
        </w:rPr>
        <w:t>1 概述</w:t>
      </w:r>
      <w:bookmarkEnd w:id="4"/>
    </w:p>
    <w:p w14:paraId="344879C5">
      <w:pPr>
        <w:pStyle w:val="4"/>
        <w:spacing w:before="163" w:beforeLines="50" w:after="0"/>
        <w:ind w:firstLine="0" w:firstLineChars="0"/>
        <w:rPr>
          <w:color w:val="auto"/>
          <w:sz w:val="30"/>
          <w:szCs w:val="30"/>
        </w:rPr>
      </w:pPr>
      <w:bookmarkStart w:id="5" w:name="_Toc21327"/>
      <w:r>
        <w:rPr>
          <w:color w:val="auto"/>
          <w:sz w:val="30"/>
          <w:szCs w:val="30"/>
        </w:rPr>
        <w:t>1.1 项目由来</w:t>
      </w:r>
      <w:bookmarkEnd w:id="5"/>
    </w:p>
    <w:p w14:paraId="5B745BAC">
      <w:pPr>
        <w:ind w:firstLine="480"/>
        <w:rPr>
          <w:color w:val="auto"/>
        </w:rPr>
      </w:pPr>
      <w:r>
        <w:rPr>
          <w:rFonts w:hint="eastAsia"/>
          <w:color w:val="auto"/>
        </w:rPr>
        <w:t>一道新材科技（连云港）有限公司（以下简称“一道新材科技”）成立于2022年12月12日，注册地址为江苏省连云港经济技术开发区昌圩路18-2号，法人代表为曹媛泓。一道新材科技主要从事光伏设备及元器件销售、金属结构制造等经营内容。一道新材科技于连云港经济技术开发区昌圩路18-2号投资建设“一道光伏组件边框生产制造项目”，并于2024年1月19日取得连云港经济技术开发区行政审批局的批复（批复文号：连开审批复〔2024〕7号），于同年7月26日通过自主验收。</w:t>
      </w:r>
    </w:p>
    <w:p w14:paraId="19EDBEE9">
      <w:pPr>
        <w:ind w:firstLine="480"/>
        <w:rPr>
          <w:color w:val="auto"/>
        </w:rPr>
      </w:pPr>
      <w:r>
        <w:rPr>
          <w:color w:val="auto"/>
        </w:rPr>
        <w:t>近年来，在碳达峰、碳中和的顶层设计指引下，各项光伏行业支持性政策频出，通过指导装机规模、制定行业标准、提供财政补贴、政策优惠等途径扶持光伏行业的发展。目前，光伏行业是我国大力支持的战</w:t>
      </w:r>
      <w:r>
        <w:rPr>
          <w:rFonts w:hint="eastAsia"/>
          <w:color w:val="auto"/>
        </w:rPr>
        <w:t>略性</w:t>
      </w:r>
      <w:r>
        <w:rPr>
          <w:color w:val="auto"/>
        </w:rPr>
        <w:t>新兴产业。随着太阳能光伏产业快速发展，配套的光伏组件结构零部件需求量</w:t>
      </w:r>
      <w:r>
        <w:rPr>
          <w:rFonts w:hint="eastAsia"/>
          <w:color w:val="auto"/>
        </w:rPr>
        <w:t>也在</w:t>
      </w:r>
      <w:r>
        <w:rPr>
          <w:color w:val="auto"/>
        </w:rPr>
        <w:t>不断上升，发展前景广阔。</w:t>
      </w:r>
    </w:p>
    <w:p w14:paraId="50C1B9EC">
      <w:pPr>
        <w:ind w:firstLine="480"/>
        <w:rPr>
          <w:color w:val="auto"/>
        </w:rPr>
      </w:pPr>
      <w:r>
        <w:rPr>
          <w:color w:val="auto"/>
        </w:rPr>
        <w:t>光伏发电的基本原理是太阳能电池在光照下产生电流，一般而言</w:t>
      </w:r>
      <w:r>
        <w:rPr>
          <w:rFonts w:hint="eastAsia"/>
          <w:color w:val="auto"/>
        </w:rPr>
        <w:t>，</w:t>
      </w:r>
      <w:r>
        <w:rPr>
          <w:color w:val="auto"/>
        </w:rPr>
        <w:t>单体太阳能电池不直接作为电源使用，而是需要将其通过串、并联形式进行连接，再进行严密封装后方可作为光伏组件投入使用。为了保证电池片高效、可靠、长期工作，玻璃、背板、胶膜、铝边框、接线盒等辅材是光伏组件中必不可少的重要</w:t>
      </w:r>
      <w:r>
        <w:rPr>
          <w:rFonts w:hint="eastAsia"/>
          <w:color w:val="auto"/>
        </w:rPr>
        <w:t>材料</w:t>
      </w:r>
      <w:r>
        <w:rPr>
          <w:color w:val="auto"/>
        </w:rPr>
        <w:t>。</w:t>
      </w:r>
    </w:p>
    <w:p w14:paraId="3306854D">
      <w:pPr>
        <w:ind w:firstLine="480"/>
        <w:rPr>
          <w:color w:val="auto"/>
        </w:rPr>
      </w:pPr>
      <w:r>
        <w:rPr>
          <w:color w:val="auto"/>
        </w:rPr>
        <w:t>在此背景下，一道新材科技（连云港）有限公司从自身发展及市场需求出发，</w:t>
      </w:r>
      <w:r>
        <w:rPr>
          <w:rFonts w:hint="eastAsia"/>
          <w:color w:val="auto"/>
        </w:rPr>
        <w:t>投资</w:t>
      </w:r>
      <w:r>
        <w:rPr>
          <w:color w:val="auto"/>
        </w:rPr>
        <w:t>建设</w:t>
      </w:r>
      <w:r>
        <w:rPr>
          <w:rFonts w:hint="eastAsia"/>
          <w:color w:val="auto"/>
        </w:rPr>
        <w:t>“光伏新材料研发中心及光伏组件制造”项目，</w:t>
      </w:r>
      <w:r>
        <w:rPr>
          <w:color w:val="auto"/>
        </w:rPr>
        <w:t>拟</w:t>
      </w:r>
      <w:r>
        <w:rPr>
          <w:rFonts w:hint="eastAsia"/>
          <w:color w:val="auto"/>
        </w:rPr>
        <w:t>由现厂区搬迁至连云港经济技术开发区东至大浦路，南至盐池西路，西至项目边界，北至盐汇路</w:t>
      </w:r>
      <w:r>
        <w:rPr>
          <w:color w:val="auto"/>
        </w:rPr>
        <w:t>。项目实施后既可顺应当前光伏制造行业的发展趋势，又能提高企业产品规模和装备水平，发展优势产品，同时也响应国家和地方产业政策、环保节能的要求，具有极大的经济效益和社会效益。本项目选址位于连云港经济技术开发区</w:t>
      </w:r>
      <w:r>
        <w:rPr>
          <w:rFonts w:hint="eastAsia"/>
          <w:color w:val="auto"/>
        </w:rPr>
        <w:t>临港产业区西北片区</w:t>
      </w:r>
      <w:r>
        <w:rPr>
          <w:color w:val="auto"/>
        </w:rPr>
        <w:t>内，企业拟新建12.8万平方米厂房，新建镁铝合金智能制造基地。项目建成后，将形成年产光伏组件边框15GW（12万吨）。</w:t>
      </w:r>
    </w:p>
    <w:p w14:paraId="1C34AA66">
      <w:pPr>
        <w:ind w:firstLine="480"/>
        <w:rPr>
          <w:color w:val="auto"/>
        </w:rPr>
      </w:pPr>
      <w:r>
        <w:rPr>
          <w:color w:val="auto"/>
        </w:rPr>
        <w:t>本项目已取得连云港经济技术开发区行政审批局出具的备案证，项目代码：2305-320771-89-01-535013，备案证号：连行审备</w:t>
      </w:r>
      <w:r>
        <w:rPr>
          <w:rFonts w:hint="eastAsia"/>
          <w:color w:val="auto"/>
        </w:rPr>
        <w:t>〔</w:t>
      </w:r>
      <w:r>
        <w:rPr>
          <w:color w:val="auto"/>
        </w:rPr>
        <w:t>202</w:t>
      </w:r>
      <w:r>
        <w:rPr>
          <w:rFonts w:hint="eastAsia"/>
          <w:color w:val="auto"/>
        </w:rPr>
        <w:t>4〕303</w:t>
      </w:r>
      <w:r>
        <w:rPr>
          <w:color w:val="auto"/>
        </w:rPr>
        <w:t>号</w:t>
      </w:r>
      <w:r>
        <w:rPr>
          <w:rFonts w:hint="eastAsia"/>
          <w:color w:val="auto"/>
        </w:rPr>
        <w:t>（详见附件1）</w:t>
      </w:r>
      <w:r>
        <w:rPr>
          <w:color w:val="auto"/>
        </w:rPr>
        <w:t>。</w:t>
      </w:r>
    </w:p>
    <w:p w14:paraId="2B79D336">
      <w:pPr>
        <w:ind w:firstLine="480"/>
        <w:rPr>
          <w:color w:val="auto"/>
        </w:rPr>
      </w:pPr>
      <w:r>
        <w:rPr>
          <w:color w:val="auto"/>
        </w:rPr>
        <w:t>根据《中华人民共和国环境保护法</w:t>
      </w:r>
      <w:r>
        <w:rPr>
          <w:rFonts w:hint="eastAsia"/>
          <w:color w:val="auto"/>
        </w:rPr>
        <w:t>》《</w:t>
      </w:r>
      <w:r>
        <w:rPr>
          <w:color w:val="auto"/>
        </w:rPr>
        <w:t>中华人民共和国环境影响评价法》</w:t>
      </w:r>
      <w:r>
        <w:rPr>
          <w:rFonts w:hint="eastAsia"/>
          <w:color w:val="auto"/>
        </w:rPr>
        <w:t>和</w:t>
      </w:r>
      <w:r>
        <w:rPr>
          <w:color w:val="auto"/>
        </w:rPr>
        <w:t>《建设项目环境保护管理条例》（国务院682号令）等文件的规定，建设项目应当在项目开工建设前对项目进行环境影响评价工作。本项目</w:t>
      </w:r>
      <w:r>
        <w:rPr>
          <w:rFonts w:hint="eastAsia"/>
          <w:color w:val="auto"/>
        </w:rPr>
        <w:t>涉及</w:t>
      </w:r>
      <w:r>
        <w:rPr>
          <w:color w:val="auto"/>
        </w:rPr>
        <w:t>阳极氧化工艺，属于“三十、金属制品业33 结构性金属制品制造331”中的“有电镀工艺的”</w:t>
      </w:r>
      <w:r>
        <w:rPr>
          <w:rFonts w:hint="eastAsia"/>
          <w:color w:val="auto"/>
        </w:rPr>
        <w:t>。</w:t>
      </w:r>
      <w:r>
        <w:rPr>
          <w:color w:val="auto"/>
        </w:rPr>
        <w:t>对照《建设项目环境影响评价分类管理名录（2021年版）》，本项目应当</w:t>
      </w:r>
      <w:r>
        <w:rPr>
          <w:b/>
          <w:bCs/>
          <w:color w:val="auto"/>
        </w:rPr>
        <w:t>编制环境影响报告书</w:t>
      </w:r>
      <w:r>
        <w:rPr>
          <w:color w:val="auto"/>
        </w:rPr>
        <w:t>。为此，一道新材科技（连云港）有限公司委托</w:t>
      </w:r>
      <w:r>
        <w:rPr>
          <w:rFonts w:hint="eastAsia"/>
          <w:color w:val="auto"/>
        </w:rPr>
        <w:t>我</w:t>
      </w:r>
      <w:r>
        <w:rPr>
          <w:color w:val="auto"/>
        </w:rPr>
        <w:t>公司对该项目进行环境影响评价工作。环评单位在接受委托后，组织人员现场踏勘，在调查、收集有关资料的基础上，根据国家相关</w:t>
      </w:r>
      <w:r>
        <w:rPr>
          <w:rFonts w:hint="eastAsia"/>
          <w:color w:val="auto"/>
        </w:rPr>
        <w:t>法律法规</w:t>
      </w:r>
      <w:r>
        <w:rPr>
          <w:color w:val="auto"/>
        </w:rPr>
        <w:t>、标准及环境影响评价技术导则编制完成了《一道新材科技（连云港）有限公司光伏新材料研发中心及光伏组件制造项目环境影响报告书》，以便为项目决策和环境管理提供科学的依据。</w:t>
      </w:r>
    </w:p>
    <w:p w14:paraId="7BA89561">
      <w:pPr>
        <w:pStyle w:val="4"/>
        <w:spacing w:before="163" w:beforeLines="50" w:after="0"/>
        <w:ind w:firstLine="0" w:firstLineChars="0"/>
        <w:rPr>
          <w:color w:val="auto"/>
          <w:sz w:val="30"/>
          <w:szCs w:val="30"/>
        </w:rPr>
      </w:pPr>
      <w:bookmarkStart w:id="6" w:name="_Toc11535"/>
      <w:r>
        <w:rPr>
          <w:color w:val="auto"/>
          <w:sz w:val="30"/>
          <w:szCs w:val="30"/>
        </w:rPr>
        <w:t>1.2 项目特点</w:t>
      </w:r>
      <w:bookmarkEnd w:id="6"/>
    </w:p>
    <w:p w14:paraId="0D77B77B">
      <w:pPr>
        <w:ind w:firstLine="360" w:firstLineChars="150"/>
        <w:rPr>
          <w:color w:val="auto"/>
        </w:rPr>
      </w:pPr>
      <w:bookmarkStart w:id="7" w:name="_Hlk69906639"/>
      <w:r>
        <w:rPr>
          <w:color w:val="auto"/>
        </w:rPr>
        <w:t>本项目为</w:t>
      </w:r>
      <w:r>
        <w:rPr>
          <w:rFonts w:hint="eastAsia"/>
          <w:color w:val="auto"/>
        </w:rPr>
        <w:t>太阳能光伏铝边框制造</w:t>
      </w:r>
      <w:r>
        <w:rPr>
          <w:color w:val="auto"/>
        </w:rPr>
        <w:t>项目，主要有以下几个特点：</w:t>
      </w:r>
    </w:p>
    <w:p w14:paraId="44C6AC4B">
      <w:pPr>
        <w:numPr>
          <w:ilvl w:val="0"/>
          <w:numId w:val="1"/>
        </w:numPr>
        <w:ind w:firstLine="360" w:firstLineChars="150"/>
        <w:rPr>
          <w:color w:val="auto"/>
        </w:rPr>
      </w:pPr>
      <w:r>
        <w:rPr>
          <w:rFonts w:hint="eastAsia"/>
          <w:color w:val="auto"/>
        </w:rPr>
        <w:t>本项目位于连云港经济技术开发区临港产业区西北片区内，根据《连云港经济技术开发区（大浦片区、临港产业区西北片区、江宁工业城、一带一路国际物流园）产业发展规划环境影响报告书》及其《关于对连云港经济技术开发区（大浦片区、临港产业区西北片区、江宁工业城、一带一路国际物流园）产业发展规划（2021—2030年）环境影响报告书的审查意见》（连环发〔2024〕247号），本项目不属于园区禁止类产业。园区配套有供汽、供气和污水集中处理等基础设施，且项目周边500m范围内不涉及环境保护目标。</w:t>
      </w:r>
    </w:p>
    <w:p w14:paraId="14CCA572">
      <w:pPr>
        <w:numPr>
          <w:ilvl w:val="0"/>
          <w:numId w:val="1"/>
        </w:numPr>
        <w:ind w:firstLine="360" w:firstLineChars="150"/>
        <w:rPr>
          <w:color w:val="auto"/>
        </w:rPr>
      </w:pPr>
      <w:r>
        <w:rPr>
          <w:rFonts w:hint="eastAsia"/>
          <w:color w:val="auto"/>
        </w:rPr>
        <w:t>项目产品为太阳能光伏铝边框，符合国家产业政策。本项目生产工序涉及阳极氧化，经对照分析属于《电镀行业清洁生产评价指标体系》中的国内清洁生产先进水平，亦符合清洁生产要求；项目经落实各项污染防治措施后对外环境影响较小。</w:t>
      </w:r>
    </w:p>
    <w:p w14:paraId="09F3C4FC">
      <w:pPr>
        <w:ind w:firstLine="360" w:firstLineChars="150"/>
        <w:rPr>
          <w:color w:val="auto"/>
        </w:rPr>
      </w:pPr>
      <w:r>
        <w:rPr>
          <w:color w:val="auto"/>
        </w:rPr>
        <w:t>（</w:t>
      </w:r>
      <w:r>
        <w:rPr>
          <w:rFonts w:hint="eastAsia"/>
          <w:color w:val="auto"/>
        </w:rPr>
        <w:t>3</w:t>
      </w:r>
      <w:r>
        <w:rPr>
          <w:color w:val="auto"/>
        </w:rPr>
        <w:t>）项目使用</w:t>
      </w:r>
      <w:r>
        <w:rPr>
          <w:rFonts w:hint="eastAsia"/>
          <w:color w:val="auto"/>
        </w:rPr>
        <w:t>98%</w:t>
      </w:r>
      <w:r>
        <w:rPr>
          <w:color w:val="auto"/>
        </w:rPr>
        <w:t>浓硫酸、液碱等危险化学品，在生产、贮存等过程存在环境风险，需加强环境风险防控措施。</w:t>
      </w:r>
    </w:p>
    <w:p w14:paraId="67D89E5C">
      <w:pPr>
        <w:ind w:firstLine="360" w:firstLineChars="150"/>
        <w:rPr>
          <w:color w:val="auto"/>
        </w:rPr>
      </w:pPr>
      <w:r>
        <w:rPr>
          <w:color w:val="auto"/>
        </w:rPr>
        <w:t>（</w:t>
      </w:r>
      <w:r>
        <w:rPr>
          <w:rFonts w:hint="eastAsia"/>
          <w:color w:val="auto"/>
        </w:rPr>
        <w:t>4</w:t>
      </w:r>
      <w:r>
        <w:rPr>
          <w:color w:val="auto"/>
        </w:rPr>
        <w:t>）</w:t>
      </w:r>
      <w:r>
        <w:rPr>
          <w:rFonts w:hint="eastAsia"/>
          <w:color w:val="auto"/>
        </w:rPr>
        <w:t>项目依托园区供气、供汽；园区污水管网已配套到位，</w:t>
      </w:r>
      <w:r>
        <w:rPr>
          <w:color w:val="auto"/>
        </w:rPr>
        <w:t>项目</w:t>
      </w:r>
      <w:r>
        <w:rPr>
          <w:rFonts w:hint="eastAsia"/>
          <w:color w:val="auto"/>
        </w:rPr>
        <w:t>废水经处理后可</w:t>
      </w:r>
      <w:r>
        <w:rPr>
          <w:color w:val="auto"/>
        </w:rPr>
        <w:t>接管至</w:t>
      </w:r>
      <w:r>
        <w:rPr>
          <w:rFonts w:hint="eastAsia"/>
          <w:color w:val="auto"/>
        </w:rPr>
        <w:t>开发区临港</w:t>
      </w:r>
      <w:r>
        <w:rPr>
          <w:color w:val="auto"/>
        </w:rPr>
        <w:t>污水处理厂</w:t>
      </w:r>
      <w:r>
        <w:rPr>
          <w:rFonts w:hint="eastAsia"/>
          <w:color w:val="auto"/>
        </w:rPr>
        <w:t>，污水处理厂有能力处理本项目废水</w:t>
      </w:r>
      <w:r>
        <w:rPr>
          <w:color w:val="auto"/>
        </w:rPr>
        <w:t>。</w:t>
      </w:r>
    </w:p>
    <w:p w14:paraId="7C400CB4">
      <w:pPr>
        <w:ind w:firstLine="360" w:firstLineChars="150"/>
        <w:rPr>
          <w:color w:val="auto"/>
        </w:rPr>
      </w:pPr>
      <w:r>
        <w:rPr>
          <w:color w:val="auto"/>
        </w:rPr>
        <w:t>（</w:t>
      </w:r>
      <w:r>
        <w:rPr>
          <w:rFonts w:hint="eastAsia"/>
          <w:color w:val="auto"/>
        </w:rPr>
        <w:t>5</w:t>
      </w:r>
      <w:r>
        <w:rPr>
          <w:color w:val="auto"/>
        </w:rPr>
        <w:t>）项目变电站不在本次环评的评价范围之内。</w:t>
      </w:r>
    </w:p>
    <w:bookmarkEnd w:id="7"/>
    <w:p w14:paraId="40345B10">
      <w:pPr>
        <w:pStyle w:val="4"/>
        <w:spacing w:before="163" w:beforeLines="50" w:after="0"/>
        <w:ind w:firstLine="0" w:firstLineChars="0"/>
        <w:rPr>
          <w:color w:val="auto"/>
          <w:sz w:val="30"/>
          <w:szCs w:val="30"/>
        </w:rPr>
      </w:pPr>
      <w:bookmarkStart w:id="8" w:name="_Toc56"/>
      <w:r>
        <w:rPr>
          <w:color w:val="auto"/>
          <w:sz w:val="30"/>
          <w:szCs w:val="30"/>
        </w:rPr>
        <w:t>1.3 工作过程</w:t>
      </w:r>
      <w:bookmarkEnd w:id="8"/>
    </w:p>
    <w:p w14:paraId="33965073">
      <w:pPr>
        <w:ind w:firstLine="480"/>
        <w:rPr>
          <w:color w:val="auto"/>
        </w:rPr>
      </w:pPr>
      <w:r>
        <w:rPr>
          <w:color w:val="auto"/>
        </w:rPr>
        <w:t>在接受建设单位委托后，我单位在项目所在地开展了现场踏勘、调研，向建设单位收集了项目所采用的工艺技术资料及污染防治措施技术参数等。对照国家和地方有关环境保护法律法规、标准、政策、规范及规划，分析了开展环评的必要性，进而核实了项目的废气、废水、固体废物等污染物的产生和排放情况，以及各项环保治理措施的可达性。在此基础上，编制了该项目的环境影响报告书，为项目建设提供环保技术支持，为生态环境主管部门提供审批依据。</w:t>
      </w:r>
    </w:p>
    <w:p w14:paraId="28992B3D">
      <w:pPr>
        <w:ind w:firstLine="480"/>
        <w:rPr>
          <w:color w:val="auto"/>
        </w:rPr>
      </w:pPr>
      <w:r>
        <w:rPr>
          <w:color w:val="auto"/>
        </w:rPr>
        <w:t>根据《建设项目环境影响评价技术导则 总纲》（HJ2.1-2016）等相关技术规范的要求，本次环境影响评价的工作过程及程序见图1.3-1。</w:t>
      </w:r>
    </w:p>
    <w:p w14:paraId="171C8660">
      <w:pPr>
        <w:ind w:firstLine="0" w:firstLineChars="0"/>
        <w:jc w:val="center"/>
        <w:rPr>
          <w:color w:val="auto"/>
        </w:rPr>
      </w:pPr>
      <w:r>
        <w:rPr>
          <w:color w:val="auto"/>
        </w:rPr>
        <w:object>
          <v:shape id="_x0000_i1025" o:spt="75" type="#_x0000_t75" style="height:555.95pt;width:432pt;" o:ole="t" filled="f" o:preferrelative="t" stroked="f" coordsize="21600,21600">
            <v:path/>
            <v:fill on="f" focussize="0,0"/>
            <v:stroke on="f" joinstyle="miter"/>
            <v:imagedata r:id="rId21" cropleft="23089f" croptop="10336f" cropright="29537f" cropbottom="17170f" o:title=""/>
            <o:lock v:ext="edit" aspectratio="t"/>
            <w10:wrap type="none"/>
            <w10:anchorlock/>
          </v:shape>
          <o:OLEObject Type="Embed" ProgID="AutoCAD.Drawing.19" ShapeID="_x0000_i1025" DrawAspect="Content" ObjectID="_1468075725" r:id="rId20">
            <o:LockedField>false</o:LockedField>
          </o:OLEObject>
        </w:object>
      </w:r>
    </w:p>
    <w:p w14:paraId="3C5BC1BB">
      <w:pPr>
        <w:ind w:firstLine="0" w:firstLineChars="0"/>
        <w:jc w:val="center"/>
        <w:rPr>
          <w:b/>
          <w:color w:val="auto"/>
        </w:rPr>
      </w:pPr>
      <w:r>
        <w:rPr>
          <w:b/>
          <w:color w:val="auto"/>
        </w:rPr>
        <w:t>图1.3-1  建设项目环境影响评价工作程序图</w:t>
      </w:r>
      <w:r>
        <w:rPr>
          <w:b/>
          <w:color w:val="auto"/>
        </w:rPr>
        <w:br w:type="page"/>
      </w:r>
    </w:p>
    <w:p w14:paraId="2723E6E5">
      <w:pPr>
        <w:pStyle w:val="4"/>
        <w:spacing w:before="163" w:beforeLines="50" w:after="0"/>
        <w:ind w:firstLine="0" w:firstLineChars="0"/>
        <w:rPr>
          <w:color w:val="auto"/>
          <w:sz w:val="30"/>
          <w:szCs w:val="30"/>
        </w:rPr>
      </w:pPr>
      <w:bookmarkStart w:id="9" w:name="_Toc6770"/>
      <w:r>
        <w:rPr>
          <w:color w:val="auto"/>
          <w:sz w:val="30"/>
          <w:szCs w:val="30"/>
        </w:rPr>
        <w:t>1.4 初筛分析判定</w:t>
      </w:r>
      <w:bookmarkEnd w:id="9"/>
    </w:p>
    <w:p w14:paraId="275DAF5E">
      <w:pPr>
        <w:pStyle w:val="5"/>
        <w:spacing w:before="163" w:beforeLines="50" w:after="0"/>
        <w:ind w:firstLine="0" w:firstLineChars="0"/>
        <w:rPr>
          <w:color w:val="auto"/>
          <w:sz w:val="28"/>
          <w:szCs w:val="36"/>
        </w:rPr>
      </w:pPr>
      <w:r>
        <w:rPr>
          <w:color w:val="auto"/>
          <w:sz w:val="28"/>
          <w:szCs w:val="36"/>
        </w:rPr>
        <w:t>1.4.1 产业政策相符性</w:t>
      </w:r>
    </w:p>
    <w:p w14:paraId="501D6A43">
      <w:pPr>
        <w:ind w:firstLine="480"/>
        <w:rPr>
          <w:snapToGrid w:val="0"/>
          <w:color w:val="auto"/>
          <w:kern w:val="0"/>
        </w:rPr>
      </w:pPr>
      <w:r>
        <w:rPr>
          <w:rFonts w:hint="eastAsia"/>
          <w:snapToGrid w:val="0"/>
          <w:color w:val="auto"/>
          <w:kern w:val="0"/>
        </w:rPr>
        <w:t>本项目产品为太阳能光伏铝边框，行业类别为[C3311]金属结构制造。</w:t>
      </w:r>
      <w:r>
        <w:rPr>
          <w:snapToGrid w:val="0"/>
          <w:color w:val="auto"/>
          <w:kern w:val="0"/>
        </w:rPr>
        <w:t>经分析，本项目符合国家及地方产业政策，具体分析判定情况见表1.4-1。</w:t>
      </w:r>
    </w:p>
    <w:p w14:paraId="13826043">
      <w:pPr>
        <w:spacing w:line="240" w:lineRule="auto"/>
        <w:ind w:firstLine="482"/>
        <w:jc w:val="center"/>
        <w:rPr>
          <w:b/>
          <w:snapToGrid w:val="0"/>
          <w:color w:val="auto"/>
          <w:kern w:val="0"/>
        </w:rPr>
      </w:pPr>
      <w:r>
        <w:rPr>
          <w:b/>
          <w:snapToGrid w:val="0"/>
          <w:color w:val="auto"/>
          <w:kern w:val="0"/>
        </w:rPr>
        <w:t>表1.4-1  本项目与国家及地方产业政策相符性初判情况</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1"/>
        <w:gridCol w:w="3966"/>
        <w:gridCol w:w="4693"/>
      </w:tblGrid>
      <w:tr w14:paraId="2603C6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0BB3AE9A">
            <w:pPr>
              <w:spacing w:line="240" w:lineRule="auto"/>
              <w:ind w:firstLine="0" w:firstLineChars="0"/>
              <w:jc w:val="center"/>
              <w:rPr>
                <w:b/>
                <w:snapToGrid w:val="0"/>
                <w:color w:val="auto"/>
                <w:kern w:val="0"/>
                <w:sz w:val="21"/>
                <w:szCs w:val="20"/>
              </w:rPr>
            </w:pPr>
            <w:r>
              <w:rPr>
                <w:b/>
                <w:snapToGrid w:val="0"/>
                <w:color w:val="auto"/>
                <w:kern w:val="0"/>
                <w:sz w:val="21"/>
                <w:szCs w:val="20"/>
              </w:rPr>
              <w:t>序号</w:t>
            </w:r>
          </w:p>
        </w:tc>
        <w:tc>
          <w:tcPr>
            <w:tcW w:w="2109" w:type="pct"/>
            <w:vAlign w:val="center"/>
          </w:tcPr>
          <w:p w14:paraId="073E0FA2">
            <w:pPr>
              <w:spacing w:line="240" w:lineRule="auto"/>
              <w:ind w:firstLine="0" w:firstLineChars="0"/>
              <w:jc w:val="center"/>
              <w:rPr>
                <w:b/>
                <w:snapToGrid w:val="0"/>
                <w:color w:val="auto"/>
                <w:kern w:val="0"/>
                <w:sz w:val="21"/>
                <w:szCs w:val="20"/>
              </w:rPr>
            </w:pPr>
            <w:r>
              <w:rPr>
                <w:b/>
                <w:snapToGrid w:val="0"/>
                <w:color w:val="auto"/>
                <w:kern w:val="0"/>
                <w:sz w:val="21"/>
                <w:szCs w:val="20"/>
              </w:rPr>
              <w:t>文件</w:t>
            </w:r>
          </w:p>
        </w:tc>
        <w:tc>
          <w:tcPr>
            <w:tcW w:w="2496" w:type="pct"/>
            <w:vAlign w:val="center"/>
          </w:tcPr>
          <w:p w14:paraId="72EA6A7A">
            <w:pPr>
              <w:spacing w:line="240" w:lineRule="auto"/>
              <w:ind w:firstLine="0" w:firstLineChars="0"/>
              <w:jc w:val="center"/>
              <w:rPr>
                <w:b/>
                <w:snapToGrid w:val="0"/>
                <w:color w:val="auto"/>
                <w:kern w:val="0"/>
                <w:sz w:val="21"/>
                <w:szCs w:val="20"/>
              </w:rPr>
            </w:pPr>
            <w:r>
              <w:rPr>
                <w:b/>
                <w:snapToGrid w:val="0"/>
                <w:color w:val="auto"/>
                <w:kern w:val="0"/>
                <w:sz w:val="21"/>
                <w:szCs w:val="20"/>
              </w:rPr>
              <w:t>相符性分析</w:t>
            </w:r>
          </w:p>
        </w:tc>
      </w:tr>
      <w:tr w14:paraId="4C9CAD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79D3AFFB">
            <w:pPr>
              <w:spacing w:line="240" w:lineRule="auto"/>
              <w:ind w:firstLine="0" w:firstLineChars="0"/>
              <w:jc w:val="center"/>
              <w:rPr>
                <w:snapToGrid w:val="0"/>
                <w:color w:val="auto"/>
                <w:kern w:val="0"/>
                <w:sz w:val="21"/>
                <w:szCs w:val="20"/>
              </w:rPr>
            </w:pPr>
            <w:r>
              <w:rPr>
                <w:snapToGrid w:val="0"/>
                <w:color w:val="auto"/>
                <w:kern w:val="0"/>
                <w:sz w:val="21"/>
                <w:szCs w:val="20"/>
              </w:rPr>
              <w:t>1</w:t>
            </w:r>
          </w:p>
        </w:tc>
        <w:tc>
          <w:tcPr>
            <w:tcW w:w="2109" w:type="pct"/>
            <w:vAlign w:val="center"/>
          </w:tcPr>
          <w:p w14:paraId="49131689">
            <w:pPr>
              <w:spacing w:line="240" w:lineRule="auto"/>
              <w:ind w:firstLine="0" w:firstLineChars="0"/>
              <w:jc w:val="center"/>
              <w:rPr>
                <w:snapToGrid w:val="0"/>
                <w:color w:val="auto"/>
                <w:kern w:val="0"/>
                <w:sz w:val="21"/>
                <w:szCs w:val="20"/>
              </w:rPr>
            </w:pPr>
            <w:r>
              <w:rPr>
                <w:snapToGrid w:val="0"/>
                <w:color w:val="auto"/>
                <w:kern w:val="0"/>
                <w:sz w:val="21"/>
                <w:szCs w:val="20"/>
              </w:rPr>
              <w:t>《关于加强高耗能、高排放建设项目生态环境源头防控的指导意见》（环环评</w:t>
            </w:r>
            <w:r>
              <w:rPr>
                <w:rFonts w:hint="eastAsia"/>
                <w:snapToGrid w:val="0"/>
                <w:color w:val="auto"/>
                <w:kern w:val="0"/>
                <w:sz w:val="21"/>
                <w:szCs w:val="20"/>
              </w:rPr>
              <w:t>〔</w:t>
            </w:r>
            <w:r>
              <w:rPr>
                <w:snapToGrid w:val="0"/>
                <w:color w:val="auto"/>
                <w:kern w:val="0"/>
                <w:sz w:val="21"/>
                <w:szCs w:val="20"/>
              </w:rPr>
              <w:t>2021</w:t>
            </w:r>
            <w:r>
              <w:rPr>
                <w:rFonts w:hint="eastAsia"/>
                <w:snapToGrid w:val="0"/>
                <w:color w:val="auto"/>
                <w:kern w:val="0"/>
                <w:sz w:val="21"/>
                <w:szCs w:val="20"/>
              </w:rPr>
              <w:t>〕</w:t>
            </w:r>
            <w:r>
              <w:rPr>
                <w:snapToGrid w:val="0"/>
                <w:color w:val="auto"/>
                <w:kern w:val="0"/>
                <w:sz w:val="21"/>
                <w:szCs w:val="20"/>
              </w:rPr>
              <w:t>45号）</w:t>
            </w:r>
          </w:p>
        </w:tc>
        <w:tc>
          <w:tcPr>
            <w:tcW w:w="2496" w:type="pct"/>
            <w:vAlign w:val="center"/>
          </w:tcPr>
          <w:p w14:paraId="7C546467">
            <w:pPr>
              <w:spacing w:line="240" w:lineRule="auto"/>
              <w:ind w:firstLine="0" w:firstLineChars="0"/>
              <w:rPr>
                <w:snapToGrid w:val="0"/>
                <w:color w:val="auto"/>
                <w:kern w:val="0"/>
                <w:sz w:val="21"/>
                <w:szCs w:val="20"/>
              </w:rPr>
            </w:pPr>
            <w:r>
              <w:rPr>
                <w:snapToGrid w:val="0"/>
                <w:color w:val="auto"/>
                <w:kern w:val="0"/>
                <w:sz w:val="21"/>
                <w:szCs w:val="20"/>
              </w:rPr>
              <w:t>本项目不属于《关于加强高耗能、高排放建设项目生态环境源头防控的指导意见》（环环评</w:t>
            </w:r>
            <w:r>
              <w:rPr>
                <w:rFonts w:hint="eastAsia"/>
                <w:snapToGrid w:val="0"/>
                <w:color w:val="auto"/>
                <w:kern w:val="0"/>
                <w:sz w:val="21"/>
                <w:szCs w:val="20"/>
              </w:rPr>
              <w:t>〔</w:t>
            </w:r>
            <w:r>
              <w:rPr>
                <w:snapToGrid w:val="0"/>
                <w:color w:val="auto"/>
                <w:kern w:val="0"/>
                <w:sz w:val="21"/>
                <w:szCs w:val="20"/>
              </w:rPr>
              <w:t>2021</w:t>
            </w:r>
            <w:r>
              <w:rPr>
                <w:rFonts w:hint="eastAsia"/>
                <w:snapToGrid w:val="0"/>
                <w:color w:val="auto"/>
                <w:kern w:val="0"/>
                <w:sz w:val="21"/>
                <w:szCs w:val="20"/>
              </w:rPr>
              <w:t>〕</w:t>
            </w:r>
            <w:r>
              <w:rPr>
                <w:snapToGrid w:val="0"/>
                <w:color w:val="auto"/>
                <w:kern w:val="0"/>
                <w:sz w:val="21"/>
                <w:szCs w:val="20"/>
              </w:rPr>
              <w:t>45号）中高耗能、高排放建设项目。</w:t>
            </w:r>
          </w:p>
        </w:tc>
      </w:tr>
      <w:tr w14:paraId="25E06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31A84383">
            <w:pPr>
              <w:spacing w:line="240" w:lineRule="auto"/>
              <w:ind w:firstLine="0" w:firstLineChars="0"/>
              <w:jc w:val="center"/>
              <w:rPr>
                <w:snapToGrid w:val="0"/>
                <w:color w:val="auto"/>
                <w:kern w:val="0"/>
                <w:sz w:val="21"/>
                <w:szCs w:val="20"/>
              </w:rPr>
            </w:pPr>
            <w:r>
              <w:rPr>
                <w:snapToGrid w:val="0"/>
                <w:color w:val="auto"/>
                <w:kern w:val="0"/>
                <w:sz w:val="21"/>
                <w:szCs w:val="20"/>
              </w:rPr>
              <w:t>2</w:t>
            </w:r>
          </w:p>
        </w:tc>
        <w:tc>
          <w:tcPr>
            <w:tcW w:w="2109" w:type="pct"/>
            <w:vAlign w:val="center"/>
          </w:tcPr>
          <w:p w14:paraId="1F32C65E">
            <w:pPr>
              <w:spacing w:line="240" w:lineRule="auto"/>
              <w:ind w:firstLine="0" w:firstLineChars="0"/>
              <w:jc w:val="center"/>
              <w:rPr>
                <w:snapToGrid w:val="0"/>
                <w:color w:val="auto"/>
                <w:kern w:val="0"/>
                <w:sz w:val="21"/>
                <w:szCs w:val="20"/>
              </w:rPr>
            </w:pPr>
            <w:r>
              <w:rPr>
                <w:rFonts w:hint="eastAsia"/>
                <w:snapToGrid w:val="0"/>
                <w:color w:val="auto"/>
                <w:kern w:val="0"/>
                <w:sz w:val="21"/>
                <w:szCs w:val="20"/>
              </w:rPr>
              <w:t>《关于印发〈江苏省“两高”项目管理目录（2024年版）〉的通知》（苏发改规发〔2024〕4号）</w:t>
            </w:r>
          </w:p>
        </w:tc>
        <w:tc>
          <w:tcPr>
            <w:tcW w:w="2496" w:type="pct"/>
            <w:vAlign w:val="center"/>
          </w:tcPr>
          <w:p w14:paraId="79F0CC73">
            <w:pPr>
              <w:spacing w:line="240" w:lineRule="auto"/>
              <w:ind w:firstLine="0" w:firstLineChars="0"/>
              <w:rPr>
                <w:snapToGrid w:val="0"/>
                <w:color w:val="auto"/>
                <w:kern w:val="0"/>
                <w:sz w:val="21"/>
                <w:szCs w:val="20"/>
              </w:rPr>
            </w:pPr>
            <w:r>
              <w:rPr>
                <w:snapToGrid w:val="0"/>
                <w:color w:val="auto"/>
                <w:kern w:val="0"/>
                <w:sz w:val="21"/>
                <w:szCs w:val="20"/>
              </w:rPr>
              <w:t>本项目</w:t>
            </w:r>
            <w:r>
              <w:rPr>
                <w:rFonts w:hint="eastAsia"/>
                <w:snapToGrid w:val="0"/>
                <w:color w:val="auto"/>
                <w:kern w:val="0"/>
                <w:sz w:val="21"/>
                <w:szCs w:val="20"/>
              </w:rPr>
              <w:t>《关于印发〈江苏省“两高”项目管理目录（2024年版）〉的通知》（苏发改规发〔2024〕4号）</w:t>
            </w:r>
            <w:r>
              <w:rPr>
                <w:snapToGrid w:val="0"/>
                <w:color w:val="auto"/>
                <w:kern w:val="0"/>
                <w:sz w:val="21"/>
                <w:szCs w:val="20"/>
              </w:rPr>
              <w:t>不</w:t>
            </w:r>
            <w:r>
              <w:rPr>
                <w:rFonts w:hint="eastAsia"/>
                <w:snapToGrid w:val="0"/>
                <w:color w:val="auto"/>
                <w:kern w:val="0"/>
                <w:sz w:val="21"/>
                <w:szCs w:val="20"/>
              </w:rPr>
              <w:t>属于</w:t>
            </w:r>
            <w:r>
              <w:rPr>
                <w:snapToGrid w:val="0"/>
                <w:color w:val="auto"/>
                <w:kern w:val="0"/>
                <w:sz w:val="21"/>
                <w:szCs w:val="20"/>
              </w:rPr>
              <w:t>“两高”项目。</w:t>
            </w:r>
            <w:r>
              <w:rPr>
                <w:rFonts w:hint="eastAsia"/>
                <w:snapToGrid w:val="0"/>
                <w:color w:val="auto"/>
                <w:kern w:val="0"/>
                <w:sz w:val="21"/>
                <w:szCs w:val="20"/>
              </w:rPr>
              <w:t xml:space="preserve"> </w:t>
            </w:r>
          </w:p>
        </w:tc>
      </w:tr>
      <w:tr w14:paraId="15DC1C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94" w:type="pct"/>
            <w:vAlign w:val="center"/>
          </w:tcPr>
          <w:p w14:paraId="2C3CD71B">
            <w:pPr>
              <w:spacing w:line="240" w:lineRule="auto"/>
              <w:ind w:firstLine="0" w:firstLineChars="0"/>
              <w:jc w:val="center"/>
              <w:rPr>
                <w:snapToGrid w:val="0"/>
                <w:color w:val="auto"/>
                <w:kern w:val="0"/>
                <w:sz w:val="21"/>
                <w:szCs w:val="20"/>
              </w:rPr>
            </w:pPr>
            <w:r>
              <w:rPr>
                <w:snapToGrid w:val="0"/>
                <w:color w:val="auto"/>
                <w:kern w:val="0"/>
                <w:sz w:val="21"/>
                <w:szCs w:val="20"/>
              </w:rPr>
              <w:t>3</w:t>
            </w:r>
          </w:p>
        </w:tc>
        <w:tc>
          <w:tcPr>
            <w:tcW w:w="2109" w:type="pct"/>
            <w:vAlign w:val="center"/>
          </w:tcPr>
          <w:p w14:paraId="3514EA18">
            <w:pPr>
              <w:spacing w:line="240" w:lineRule="auto"/>
              <w:ind w:firstLine="0" w:firstLineChars="0"/>
              <w:jc w:val="center"/>
              <w:rPr>
                <w:snapToGrid w:val="0"/>
                <w:color w:val="auto"/>
                <w:kern w:val="0"/>
                <w:sz w:val="21"/>
                <w:szCs w:val="20"/>
              </w:rPr>
            </w:pPr>
            <w:r>
              <w:rPr>
                <w:snapToGrid w:val="0"/>
                <w:color w:val="auto"/>
                <w:kern w:val="0"/>
                <w:sz w:val="21"/>
                <w:szCs w:val="20"/>
              </w:rPr>
              <w:t>《市场准入负面清单》（2022年版）</w:t>
            </w:r>
          </w:p>
        </w:tc>
        <w:tc>
          <w:tcPr>
            <w:tcW w:w="2496" w:type="pct"/>
            <w:vAlign w:val="center"/>
          </w:tcPr>
          <w:p w14:paraId="7E6578E6">
            <w:pPr>
              <w:spacing w:line="240" w:lineRule="auto"/>
              <w:ind w:firstLine="0" w:firstLineChars="0"/>
              <w:rPr>
                <w:snapToGrid w:val="0"/>
                <w:color w:val="auto"/>
                <w:kern w:val="0"/>
                <w:sz w:val="21"/>
                <w:szCs w:val="20"/>
              </w:rPr>
            </w:pPr>
            <w:r>
              <w:rPr>
                <w:snapToGrid w:val="0"/>
                <w:color w:val="auto"/>
                <w:kern w:val="0"/>
                <w:sz w:val="21"/>
                <w:szCs w:val="20"/>
              </w:rPr>
              <w:t>本项目不在《市场准入负面清单》（2022年版）禁止准入类项目中。</w:t>
            </w:r>
          </w:p>
        </w:tc>
      </w:tr>
      <w:tr w14:paraId="523F09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382FA1CF">
            <w:pPr>
              <w:spacing w:line="240" w:lineRule="auto"/>
              <w:ind w:firstLine="0" w:firstLineChars="0"/>
              <w:jc w:val="center"/>
              <w:rPr>
                <w:snapToGrid w:val="0"/>
                <w:color w:val="auto"/>
                <w:kern w:val="0"/>
                <w:sz w:val="21"/>
                <w:szCs w:val="20"/>
              </w:rPr>
            </w:pPr>
            <w:r>
              <w:rPr>
                <w:snapToGrid w:val="0"/>
                <w:color w:val="auto"/>
                <w:kern w:val="0"/>
                <w:sz w:val="21"/>
                <w:szCs w:val="20"/>
              </w:rPr>
              <w:t>4</w:t>
            </w:r>
          </w:p>
        </w:tc>
        <w:tc>
          <w:tcPr>
            <w:tcW w:w="2109" w:type="pct"/>
            <w:vAlign w:val="center"/>
          </w:tcPr>
          <w:p w14:paraId="165F6628">
            <w:pPr>
              <w:spacing w:line="240" w:lineRule="auto"/>
              <w:ind w:firstLine="0" w:firstLineChars="0"/>
              <w:jc w:val="center"/>
              <w:rPr>
                <w:snapToGrid w:val="0"/>
                <w:color w:val="auto"/>
                <w:kern w:val="0"/>
                <w:sz w:val="21"/>
                <w:szCs w:val="20"/>
              </w:rPr>
            </w:pPr>
            <w:r>
              <w:rPr>
                <w:snapToGrid w:val="0"/>
                <w:color w:val="auto"/>
                <w:kern w:val="0"/>
                <w:sz w:val="21"/>
                <w:szCs w:val="20"/>
              </w:rPr>
              <w:t>《产业结构调整指导目录（20</w:t>
            </w:r>
            <w:r>
              <w:rPr>
                <w:rFonts w:hint="eastAsia"/>
                <w:snapToGrid w:val="0"/>
                <w:color w:val="auto"/>
                <w:kern w:val="0"/>
                <w:sz w:val="21"/>
                <w:szCs w:val="20"/>
              </w:rPr>
              <w:t>24</w:t>
            </w:r>
            <w:r>
              <w:rPr>
                <w:snapToGrid w:val="0"/>
                <w:color w:val="auto"/>
                <w:kern w:val="0"/>
                <w:sz w:val="21"/>
                <w:szCs w:val="20"/>
              </w:rPr>
              <w:t>年本）》</w:t>
            </w:r>
            <w:r>
              <w:rPr>
                <w:rFonts w:hint="eastAsia"/>
                <w:snapToGrid w:val="0"/>
                <w:color w:val="auto"/>
                <w:kern w:val="0"/>
                <w:sz w:val="21"/>
                <w:szCs w:val="20"/>
              </w:rPr>
              <w:t>（中华人民共和国国家发展和改革委员会令 第7号）</w:t>
            </w:r>
          </w:p>
        </w:tc>
        <w:tc>
          <w:tcPr>
            <w:tcW w:w="2496" w:type="pct"/>
            <w:vAlign w:val="center"/>
          </w:tcPr>
          <w:p w14:paraId="64DECBD8">
            <w:pPr>
              <w:spacing w:line="240" w:lineRule="auto"/>
              <w:ind w:firstLine="0" w:firstLineChars="0"/>
              <w:rPr>
                <w:snapToGrid w:val="0"/>
                <w:color w:val="auto"/>
                <w:kern w:val="0"/>
                <w:sz w:val="21"/>
                <w:szCs w:val="20"/>
              </w:rPr>
            </w:pPr>
            <w:r>
              <w:rPr>
                <w:snapToGrid w:val="0"/>
                <w:color w:val="auto"/>
                <w:kern w:val="0"/>
                <w:sz w:val="21"/>
                <w:szCs w:val="20"/>
              </w:rPr>
              <w:t>经对照项目</w:t>
            </w:r>
            <w:r>
              <w:rPr>
                <w:rFonts w:hint="eastAsia"/>
                <w:snapToGrid w:val="0"/>
                <w:color w:val="auto"/>
                <w:kern w:val="0"/>
                <w:sz w:val="21"/>
                <w:szCs w:val="20"/>
              </w:rPr>
              <w:t>不在</w:t>
            </w:r>
            <w:r>
              <w:rPr>
                <w:snapToGrid w:val="0"/>
                <w:color w:val="auto"/>
                <w:kern w:val="0"/>
                <w:sz w:val="21"/>
                <w:szCs w:val="20"/>
              </w:rPr>
              <w:t>《产业结构调整指导目录（20</w:t>
            </w:r>
            <w:r>
              <w:rPr>
                <w:rFonts w:hint="eastAsia"/>
                <w:snapToGrid w:val="0"/>
                <w:color w:val="auto"/>
                <w:kern w:val="0"/>
                <w:sz w:val="21"/>
                <w:szCs w:val="20"/>
              </w:rPr>
              <w:t>24</w:t>
            </w:r>
            <w:r>
              <w:rPr>
                <w:snapToGrid w:val="0"/>
                <w:color w:val="auto"/>
                <w:kern w:val="0"/>
                <w:sz w:val="21"/>
                <w:szCs w:val="20"/>
              </w:rPr>
              <w:t>年本）》</w:t>
            </w:r>
            <w:r>
              <w:rPr>
                <w:rFonts w:hint="eastAsia"/>
                <w:snapToGrid w:val="0"/>
                <w:color w:val="auto"/>
                <w:kern w:val="0"/>
                <w:sz w:val="21"/>
                <w:szCs w:val="20"/>
              </w:rPr>
              <w:t>“限制类”和“禁止类”目录中。</w:t>
            </w:r>
          </w:p>
        </w:tc>
      </w:tr>
      <w:tr w14:paraId="070E7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94" w:type="pct"/>
            <w:vAlign w:val="center"/>
          </w:tcPr>
          <w:p w14:paraId="576E232B">
            <w:pPr>
              <w:spacing w:line="240" w:lineRule="auto"/>
              <w:ind w:firstLine="0" w:firstLineChars="0"/>
              <w:jc w:val="center"/>
              <w:rPr>
                <w:snapToGrid w:val="0"/>
                <w:color w:val="auto"/>
                <w:kern w:val="0"/>
                <w:sz w:val="21"/>
                <w:szCs w:val="20"/>
              </w:rPr>
            </w:pPr>
            <w:r>
              <w:rPr>
                <w:snapToGrid w:val="0"/>
                <w:color w:val="auto"/>
                <w:kern w:val="0"/>
                <w:sz w:val="21"/>
                <w:szCs w:val="20"/>
              </w:rPr>
              <w:t>5</w:t>
            </w:r>
          </w:p>
        </w:tc>
        <w:tc>
          <w:tcPr>
            <w:tcW w:w="2109" w:type="pct"/>
            <w:vAlign w:val="center"/>
          </w:tcPr>
          <w:p w14:paraId="37480BAD">
            <w:pPr>
              <w:spacing w:line="240" w:lineRule="auto"/>
              <w:ind w:firstLine="0" w:firstLineChars="0"/>
              <w:jc w:val="center"/>
              <w:rPr>
                <w:snapToGrid w:val="0"/>
                <w:color w:val="auto"/>
                <w:kern w:val="0"/>
                <w:sz w:val="21"/>
                <w:szCs w:val="20"/>
              </w:rPr>
            </w:pPr>
            <w:r>
              <w:rPr>
                <w:snapToGrid w:val="0"/>
                <w:color w:val="auto"/>
                <w:kern w:val="0"/>
                <w:sz w:val="21"/>
                <w:szCs w:val="20"/>
              </w:rPr>
              <w:t>产业发展与转移指导目录（2018年本）</w:t>
            </w:r>
          </w:p>
        </w:tc>
        <w:tc>
          <w:tcPr>
            <w:tcW w:w="2496" w:type="pct"/>
            <w:vAlign w:val="center"/>
          </w:tcPr>
          <w:p w14:paraId="61F4CAA1">
            <w:pPr>
              <w:spacing w:line="240" w:lineRule="auto"/>
              <w:ind w:firstLine="0" w:firstLineChars="0"/>
              <w:rPr>
                <w:snapToGrid w:val="0"/>
                <w:color w:val="auto"/>
                <w:kern w:val="0"/>
                <w:sz w:val="21"/>
                <w:szCs w:val="20"/>
              </w:rPr>
            </w:pPr>
            <w:r>
              <w:rPr>
                <w:snapToGrid w:val="0"/>
                <w:color w:val="auto"/>
                <w:kern w:val="0"/>
                <w:sz w:val="21"/>
                <w:szCs w:val="20"/>
              </w:rPr>
              <w:t>本项目不属于《产业发展与转移指导目录（2018年本）》中优先承接发展、引导优化调整产业，为允许类的项目。</w:t>
            </w:r>
          </w:p>
        </w:tc>
      </w:tr>
      <w:tr w14:paraId="06217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516E00D8">
            <w:pPr>
              <w:spacing w:line="240" w:lineRule="auto"/>
              <w:ind w:firstLine="0" w:firstLineChars="0"/>
              <w:jc w:val="center"/>
              <w:rPr>
                <w:snapToGrid w:val="0"/>
                <w:color w:val="auto"/>
                <w:kern w:val="0"/>
                <w:sz w:val="21"/>
                <w:szCs w:val="20"/>
              </w:rPr>
            </w:pPr>
            <w:r>
              <w:rPr>
                <w:snapToGrid w:val="0"/>
                <w:color w:val="auto"/>
                <w:kern w:val="0"/>
                <w:sz w:val="21"/>
                <w:szCs w:val="20"/>
              </w:rPr>
              <w:t>6</w:t>
            </w:r>
          </w:p>
        </w:tc>
        <w:tc>
          <w:tcPr>
            <w:tcW w:w="2109" w:type="pct"/>
            <w:vAlign w:val="center"/>
          </w:tcPr>
          <w:p w14:paraId="0423456D">
            <w:pPr>
              <w:spacing w:line="240" w:lineRule="auto"/>
              <w:ind w:firstLine="0" w:firstLineChars="0"/>
              <w:jc w:val="center"/>
              <w:rPr>
                <w:snapToGrid w:val="0"/>
                <w:color w:val="auto"/>
                <w:kern w:val="0"/>
                <w:sz w:val="21"/>
                <w:szCs w:val="20"/>
              </w:rPr>
            </w:pPr>
            <w:bookmarkStart w:id="10" w:name="_Hlk149727708"/>
            <w:r>
              <w:rPr>
                <w:snapToGrid w:val="0"/>
                <w:color w:val="auto"/>
                <w:kern w:val="0"/>
                <w:sz w:val="21"/>
                <w:szCs w:val="20"/>
              </w:rPr>
              <w:t>《环境保护综合名录》（2021年版）</w:t>
            </w:r>
            <w:bookmarkEnd w:id="10"/>
          </w:p>
        </w:tc>
        <w:tc>
          <w:tcPr>
            <w:tcW w:w="2496" w:type="pct"/>
            <w:vAlign w:val="center"/>
          </w:tcPr>
          <w:p w14:paraId="582B09BD">
            <w:pPr>
              <w:spacing w:line="240" w:lineRule="auto"/>
              <w:ind w:firstLine="0" w:firstLineChars="0"/>
              <w:rPr>
                <w:snapToGrid w:val="0"/>
                <w:color w:val="auto"/>
                <w:kern w:val="0"/>
                <w:sz w:val="21"/>
                <w:szCs w:val="20"/>
              </w:rPr>
            </w:pPr>
            <w:r>
              <w:rPr>
                <w:bCs/>
                <w:color w:val="auto"/>
                <w:sz w:val="21"/>
                <w:szCs w:val="20"/>
              </w:rPr>
              <w:t>本项目行业类别为C3311金属结构制造，</w:t>
            </w:r>
            <w:r>
              <w:rPr>
                <w:rFonts w:hint="eastAsia"/>
                <w:bCs/>
                <w:color w:val="auto"/>
                <w:sz w:val="21"/>
                <w:szCs w:val="20"/>
              </w:rPr>
              <w:t>对应</w:t>
            </w:r>
            <w:r>
              <w:rPr>
                <w:bCs/>
                <w:color w:val="auto"/>
                <w:sz w:val="21"/>
                <w:szCs w:val="20"/>
              </w:rPr>
              <w:t>产品为</w:t>
            </w:r>
            <w:r>
              <w:rPr>
                <w:rFonts w:hint="eastAsia"/>
                <w:bCs/>
                <w:color w:val="auto"/>
                <w:sz w:val="21"/>
                <w:szCs w:val="20"/>
              </w:rPr>
              <w:t>太阳能光伏铝边框</w:t>
            </w:r>
            <w:r>
              <w:rPr>
                <w:bCs/>
                <w:color w:val="auto"/>
                <w:sz w:val="21"/>
                <w:szCs w:val="20"/>
              </w:rPr>
              <w:t>，不涉及其中的“高污染、高环境风险”产品。</w:t>
            </w:r>
          </w:p>
        </w:tc>
      </w:tr>
      <w:tr w14:paraId="093E12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4D22E0A0">
            <w:pPr>
              <w:spacing w:line="240" w:lineRule="auto"/>
              <w:ind w:firstLine="0" w:firstLineChars="0"/>
              <w:jc w:val="center"/>
              <w:rPr>
                <w:snapToGrid w:val="0"/>
                <w:color w:val="auto"/>
                <w:kern w:val="0"/>
                <w:sz w:val="21"/>
                <w:szCs w:val="20"/>
              </w:rPr>
            </w:pPr>
            <w:r>
              <w:rPr>
                <w:rFonts w:hint="eastAsia"/>
                <w:snapToGrid w:val="0"/>
                <w:color w:val="auto"/>
                <w:kern w:val="0"/>
                <w:sz w:val="21"/>
                <w:szCs w:val="20"/>
              </w:rPr>
              <w:t>7</w:t>
            </w:r>
          </w:p>
        </w:tc>
        <w:tc>
          <w:tcPr>
            <w:tcW w:w="2109" w:type="pct"/>
            <w:vAlign w:val="center"/>
          </w:tcPr>
          <w:p w14:paraId="4E1049C5">
            <w:pPr>
              <w:spacing w:line="240" w:lineRule="auto"/>
              <w:ind w:firstLine="0" w:firstLineChars="0"/>
              <w:jc w:val="center"/>
              <w:rPr>
                <w:snapToGrid w:val="0"/>
                <w:color w:val="auto"/>
                <w:kern w:val="0"/>
                <w:sz w:val="21"/>
                <w:szCs w:val="20"/>
              </w:rPr>
            </w:pPr>
            <w:r>
              <w:rPr>
                <w:rFonts w:hint="eastAsia"/>
                <w:snapToGrid w:val="0"/>
                <w:color w:val="auto"/>
                <w:kern w:val="0"/>
                <w:sz w:val="21"/>
                <w:szCs w:val="20"/>
              </w:rPr>
              <w:t>《关于印发〈自然资源要素支撑产业高质量发展指导目录（2024年本）〉的通知》（自然资发〔2024〕273号）</w:t>
            </w:r>
          </w:p>
        </w:tc>
        <w:tc>
          <w:tcPr>
            <w:tcW w:w="2496" w:type="pct"/>
            <w:vAlign w:val="center"/>
          </w:tcPr>
          <w:p w14:paraId="61EAD6C4">
            <w:pPr>
              <w:spacing w:line="240" w:lineRule="auto"/>
              <w:ind w:firstLine="0" w:firstLineChars="0"/>
              <w:rPr>
                <w:bCs/>
                <w:color w:val="auto"/>
                <w:sz w:val="21"/>
                <w:szCs w:val="20"/>
              </w:rPr>
            </w:pPr>
            <w:r>
              <w:rPr>
                <w:rFonts w:hint="eastAsia"/>
                <w:bCs/>
                <w:color w:val="auto"/>
                <w:sz w:val="21"/>
                <w:szCs w:val="20"/>
              </w:rPr>
              <w:t>本项目所属行业类别为C3311金属结构制造，对应产品为太阳能光伏铝边框，不属于其中的限制类和禁止类项目。</w:t>
            </w:r>
          </w:p>
        </w:tc>
      </w:tr>
      <w:tr w14:paraId="318A38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2D6B626E">
            <w:pPr>
              <w:spacing w:line="240" w:lineRule="auto"/>
              <w:ind w:firstLine="0" w:firstLineChars="0"/>
              <w:jc w:val="center"/>
              <w:rPr>
                <w:snapToGrid w:val="0"/>
                <w:color w:val="auto"/>
                <w:kern w:val="0"/>
                <w:sz w:val="21"/>
                <w:szCs w:val="20"/>
              </w:rPr>
            </w:pPr>
            <w:r>
              <w:rPr>
                <w:snapToGrid w:val="0"/>
                <w:color w:val="auto"/>
                <w:kern w:val="0"/>
                <w:sz w:val="21"/>
                <w:szCs w:val="20"/>
              </w:rPr>
              <w:t>8</w:t>
            </w:r>
          </w:p>
        </w:tc>
        <w:tc>
          <w:tcPr>
            <w:tcW w:w="2109" w:type="pct"/>
            <w:vAlign w:val="center"/>
          </w:tcPr>
          <w:p w14:paraId="0BABECBB">
            <w:pPr>
              <w:spacing w:line="240" w:lineRule="auto"/>
              <w:ind w:firstLine="0" w:firstLineChars="0"/>
              <w:jc w:val="center"/>
              <w:rPr>
                <w:snapToGrid w:val="0"/>
                <w:color w:val="auto"/>
                <w:kern w:val="0"/>
                <w:sz w:val="21"/>
                <w:szCs w:val="20"/>
              </w:rPr>
            </w:pPr>
            <w:r>
              <w:rPr>
                <w:snapToGrid w:val="0"/>
                <w:color w:val="auto"/>
                <w:kern w:val="0"/>
                <w:sz w:val="21"/>
                <w:szCs w:val="20"/>
              </w:rPr>
              <w:t>《江苏省限制用地项目目录（2013年本）》和《江苏省禁止用地项目目录（2013年本）》</w:t>
            </w:r>
          </w:p>
        </w:tc>
        <w:tc>
          <w:tcPr>
            <w:tcW w:w="2496" w:type="pct"/>
            <w:vAlign w:val="center"/>
          </w:tcPr>
          <w:p w14:paraId="5DA58272">
            <w:pPr>
              <w:spacing w:line="240" w:lineRule="auto"/>
              <w:ind w:firstLine="0" w:firstLineChars="0"/>
              <w:rPr>
                <w:snapToGrid w:val="0"/>
                <w:color w:val="auto"/>
                <w:kern w:val="0"/>
                <w:sz w:val="21"/>
                <w:szCs w:val="20"/>
              </w:rPr>
            </w:pPr>
            <w:r>
              <w:rPr>
                <w:snapToGrid w:val="0"/>
                <w:color w:val="auto"/>
                <w:kern w:val="0"/>
                <w:sz w:val="21"/>
                <w:szCs w:val="20"/>
              </w:rPr>
              <w:t>本项目不属于《江苏省限制用地项目目录（2013年本）》和《江苏省禁止用地项目目录（2013年本）》中涉及的行业及项目。</w:t>
            </w:r>
          </w:p>
        </w:tc>
      </w:tr>
      <w:tr w14:paraId="3DA23C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1E9F3A4B">
            <w:pPr>
              <w:spacing w:line="240" w:lineRule="auto"/>
              <w:ind w:firstLine="0" w:firstLineChars="0"/>
              <w:jc w:val="center"/>
              <w:rPr>
                <w:snapToGrid w:val="0"/>
                <w:color w:val="auto"/>
                <w:kern w:val="0"/>
                <w:sz w:val="21"/>
                <w:szCs w:val="20"/>
              </w:rPr>
            </w:pPr>
            <w:r>
              <w:rPr>
                <w:rFonts w:hint="eastAsia"/>
                <w:snapToGrid w:val="0"/>
                <w:color w:val="auto"/>
                <w:kern w:val="0"/>
                <w:sz w:val="21"/>
                <w:szCs w:val="20"/>
              </w:rPr>
              <w:t>9</w:t>
            </w:r>
          </w:p>
        </w:tc>
        <w:tc>
          <w:tcPr>
            <w:tcW w:w="2109" w:type="pct"/>
            <w:vAlign w:val="center"/>
          </w:tcPr>
          <w:p w14:paraId="5D8C11EE">
            <w:pPr>
              <w:spacing w:line="240" w:lineRule="auto"/>
              <w:ind w:firstLine="0" w:firstLineChars="0"/>
              <w:jc w:val="center"/>
              <w:rPr>
                <w:snapToGrid w:val="0"/>
                <w:color w:val="auto"/>
                <w:kern w:val="0"/>
                <w:sz w:val="21"/>
                <w:szCs w:val="20"/>
              </w:rPr>
            </w:pPr>
            <w:r>
              <w:rPr>
                <w:rFonts w:hint="eastAsia"/>
                <w:snapToGrid w:val="0"/>
                <w:color w:val="auto"/>
                <w:kern w:val="0"/>
                <w:sz w:val="21"/>
                <w:szCs w:val="20"/>
              </w:rPr>
              <w:t>《关于加快全省化工钢铁煤电行业转型升级高质量发展的实施意见》（苏办发〔2018〕32号）中的附件3：江苏省产业结构调整限制、淘汰和禁止项目。</w:t>
            </w:r>
          </w:p>
        </w:tc>
        <w:tc>
          <w:tcPr>
            <w:tcW w:w="2496" w:type="pct"/>
            <w:vAlign w:val="center"/>
          </w:tcPr>
          <w:p w14:paraId="6198CAA0">
            <w:pPr>
              <w:spacing w:line="240" w:lineRule="auto"/>
              <w:ind w:firstLine="0" w:firstLineChars="0"/>
              <w:rPr>
                <w:snapToGrid w:val="0"/>
                <w:color w:val="auto"/>
                <w:kern w:val="0"/>
                <w:sz w:val="21"/>
                <w:szCs w:val="20"/>
              </w:rPr>
            </w:pPr>
            <w:r>
              <w:rPr>
                <w:rFonts w:hint="eastAsia"/>
                <w:snapToGrid w:val="0"/>
                <w:color w:val="auto"/>
                <w:kern w:val="0"/>
                <w:sz w:val="21"/>
                <w:szCs w:val="20"/>
              </w:rPr>
              <w:t>本项目不属于该目录中的限制、淘汰和禁止项目和产品，符合江苏产业政策。</w:t>
            </w:r>
          </w:p>
        </w:tc>
      </w:tr>
      <w:tr w14:paraId="0046FB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94" w:type="pct"/>
            <w:vAlign w:val="center"/>
          </w:tcPr>
          <w:p w14:paraId="14086A61">
            <w:pPr>
              <w:spacing w:line="240" w:lineRule="auto"/>
              <w:ind w:firstLine="0" w:firstLineChars="0"/>
              <w:jc w:val="center"/>
              <w:rPr>
                <w:snapToGrid w:val="0"/>
                <w:color w:val="auto"/>
                <w:kern w:val="0"/>
                <w:sz w:val="21"/>
                <w:szCs w:val="20"/>
              </w:rPr>
            </w:pPr>
            <w:r>
              <w:rPr>
                <w:rFonts w:hint="eastAsia"/>
                <w:snapToGrid w:val="0"/>
                <w:color w:val="auto"/>
                <w:kern w:val="0"/>
                <w:sz w:val="21"/>
                <w:szCs w:val="20"/>
              </w:rPr>
              <w:t>10</w:t>
            </w:r>
          </w:p>
        </w:tc>
        <w:tc>
          <w:tcPr>
            <w:tcW w:w="2109" w:type="pct"/>
            <w:vAlign w:val="center"/>
          </w:tcPr>
          <w:p w14:paraId="21E5BEA4">
            <w:pPr>
              <w:spacing w:line="240" w:lineRule="auto"/>
              <w:ind w:firstLine="0" w:firstLineChars="0"/>
              <w:jc w:val="center"/>
              <w:rPr>
                <w:snapToGrid w:val="0"/>
                <w:color w:val="auto"/>
                <w:kern w:val="0"/>
                <w:sz w:val="21"/>
                <w:szCs w:val="20"/>
              </w:rPr>
            </w:pPr>
            <w:r>
              <w:rPr>
                <w:snapToGrid w:val="0"/>
                <w:color w:val="auto"/>
                <w:kern w:val="0"/>
                <w:sz w:val="21"/>
                <w:szCs w:val="20"/>
              </w:rPr>
              <w:t>《江苏省推动长江经济带发展领导小组办公室关于印发</w:t>
            </w:r>
            <w:r>
              <w:rPr>
                <w:rFonts w:hint="eastAsia"/>
                <w:snapToGrid w:val="0"/>
                <w:color w:val="auto"/>
                <w:kern w:val="0"/>
                <w:sz w:val="21"/>
                <w:szCs w:val="20"/>
              </w:rPr>
              <w:t>〈</w:t>
            </w:r>
            <w:r>
              <w:rPr>
                <w:snapToGrid w:val="0"/>
                <w:color w:val="auto"/>
                <w:kern w:val="0"/>
                <w:sz w:val="21"/>
                <w:szCs w:val="20"/>
              </w:rPr>
              <w:t>长江经济带发展负面清单指南（试行，2022年版）</w:t>
            </w:r>
            <w:r>
              <w:rPr>
                <w:rFonts w:hint="eastAsia"/>
                <w:snapToGrid w:val="0"/>
                <w:color w:val="auto"/>
                <w:kern w:val="0"/>
                <w:sz w:val="21"/>
                <w:szCs w:val="20"/>
              </w:rPr>
              <w:t>〉</w:t>
            </w:r>
            <w:r>
              <w:rPr>
                <w:snapToGrid w:val="0"/>
                <w:color w:val="auto"/>
                <w:kern w:val="0"/>
                <w:sz w:val="21"/>
                <w:szCs w:val="20"/>
              </w:rPr>
              <w:t>的通知》《江苏省推动长江经济带发展领导小组办公室关于印发</w:t>
            </w:r>
            <w:r>
              <w:rPr>
                <w:rFonts w:hint="eastAsia"/>
                <w:snapToGrid w:val="0"/>
                <w:color w:val="auto"/>
                <w:kern w:val="0"/>
                <w:sz w:val="21"/>
                <w:szCs w:val="20"/>
              </w:rPr>
              <w:t>〈</w:t>
            </w:r>
            <w:r>
              <w:rPr>
                <w:snapToGrid w:val="0"/>
                <w:color w:val="auto"/>
                <w:kern w:val="0"/>
                <w:sz w:val="21"/>
                <w:szCs w:val="20"/>
              </w:rPr>
              <w:t>长江经济带发展负面清单指南（试行，2022年版）</w:t>
            </w:r>
            <w:r>
              <w:rPr>
                <w:rFonts w:hint="eastAsia"/>
                <w:snapToGrid w:val="0"/>
                <w:color w:val="auto"/>
                <w:kern w:val="0"/>
                <w:sz w:val="21"/>
                <w:szCs w:val="20"/>
              </w:rPr>
              <w:t>〉</w:t>
            </w:r>
            <w:r>
              <w:rPr>
                <w:snapToGrid w:val="0"/>
                <w:color w:val="auto"/>
                <w:kern w:val="0"/>
                <w:sz w:val="21"/>
                <w:szCs w:val="20"/>
              </w:rPr>
              <w:t>江苏省实施细则（试行）的通知》）</w:t>
            </w:r>
            <w:r>
              <w:rPr>
                <w:rFonts w:hint="eastAsia"/>
                <w:snapToGrid w:val="0"/>
                <w:color w:val="auto"/>
                <w:kern w:val="0"/>
                <w:sz w:val="21"/>
                <w:szCs w:val="20"/>
              </w:rPr>
              <w:t>。</w:t>
            </w:r>
          </w:p>
        </w:tc>
        <w:tc>
          <w:tcPr>
            <w:tcW w:w="2496" w:type="pct"/>
            <w:vAlign w:val="center"/>
          </w:tcPr>
          <w:p w14:paraId="05CF6449">
            <w:pPr>
              <w:spacing w:line="240" w:lineRule="auto"/>
              <w:ind w:firstLine="0" w:firstLineChars="0"/>
              <w:rPr>
                <w:snapToGrid w:val="0"/>
                <w:color w:val="auto"/>
                <w:kern w:val="0"/>
                <w:sz w:val="21"/>
                <w:szCs w:val="20"/>
              </w:rPr>
            </w:pPr>
            <w:r>
              <w:rPr>
                <w:snapToGrid w:val="0"/>
                <w:color w:val="auto"/>
                <w:kern w:val="0"/>
                <w:sz w:val="21"/>
                <w:szCs w:val="20"/>
              </w:rPr>
              <w:t>本项目所属行业类别为</w:t>
            </w:r>
            <w:r>
              <w:rPr>
                <w:bCs/>
                <w:color w:val="auto"/>
                <w:sz w:val="21"/>
                <w:szCs w:val="20"/>
              </w:rPr>
              <w:t>C3311金属结构制造，</w:t>
            </w:r>
            <w:r>
              <w:rPr>
                <w:rFonts w:hint="eastAsia"/>
                <w:bCs/>
                <w:color w:val="auto"/>
                <w:sz w:val="21"/>
                <w:szCs w:val="20"/>
              </w:rPr>
              <w:t>对应</w:t>
            </w:r>
            <w:r>
              <w:rPr>
                <w:bCs/>
                <w:color w:val="auto"/>
                <w:sz w:val="21"/>
                <w:szCs w:val="20"/>
              </w:rPr>
              <w:t>产品为</w:t>
            </w:r>
            <w:r>
              <w:rPr>
                <w:rFonts w:hint="eastAsia"/>
                <w:bCs/>
                <w:color w:val="auto"/>
                <w:sz w:val="21"/>
                <w:szCs w:val="20"/>
              </w:rPr>
              <w:t>太阳能光伏铝边框</w:t>
            </w:r>
            <w:r>
              <w:rPr>
                <w:rFonts w:hint="eastAsia"/>
                <w:snapToGrid w:val="0"/>
                <w:color w:val="auto"/>
                <w:kern w:val="0"/>
                <w:sz w:val="21"/>
                <w:szCs w:val="20"/>
              </w:rPr>
              <w:t>。</w:t>
            </w:r>
            <w:r>
              <w:rPr>
                <w:snapToGrid w:val="0"/>
                <w:color w:val="auto"/>
                <w:kern w:val="0"/>
                <w:sz w:val="21"/>
                <w:szCs w:val="20"/>
              </w:rPr>
              <w:t>项目选址位于</w:t>
            </w:r>
            <w:r>
              <w:rPr>
                <w:rFonts w:hint="eastAsia"/>
                <w:snapToGrid w:val="0"/>
                <w:color w:val="auto"/>
                <w:kern w:val="0"/>
                <w:sz w:val="21"/>
                <w:szCs w:val="20"/>
              </w:rPr>
              <w:t>连云港经济技术开发区临港产业区西北片区内</w:t>
            </w:r>
            <w:r>
              <w:rPr>
                <w:snapToGrid w:val="0"/>
                <w:color w:val="auto"/>
                <w:kern w:val="0"/>
                <w:sz w:val="21"/>
                <w:szCs w:val="20"/>
              </w:rPr>
              <w:t>，项目用地性质为工业用地，不属于《江苏省推动长江经济带发展领导小组办公室关于印发</w:t>
            </w:r>
            <w:r>
              <w:rPr>
                <w:rFonts w:hint="eastAsia"/>
                <w:snapToGrid w:val="0"/>
                <w:color w:val="auto"/>
                <w:kern w:val="0"/>
                <w:sz w:val="21"/>
                <w:szCs w:val="20"/>
              </w:rPr>
              <w:t>〈</w:t>
            </w:r>
            <w:r>
              <w:rPr>
                <w:snapToGrid w:val="0"/>
                <w:color w:val="auto"/>
                <w:kern w:val="0"/>
                <w:sz w:val="21"/>
                <w:szCs w:val="20"/>
              </w:rPr>
              <w:t>长江经济带发展负面清单指南（试行，2022年版）</w:t>
            </w:r>
            <w:r>
              <w:rPr>
                <w:rFonts w:hint="eastAsia"/>
                <w:snapToGrid w:val="0"/>
                <w:color w:val="auto"/>
                <w:kern w:val="0"/>
                <w:sz w:val="21"/>
                <w:szCs w:val="20"/>
              </w:rPr>
              <w:t>〉</w:t>
            </w:r>
            <w:r>
              <w:rPr>
                <w:snapToGrid w:val="0"/>
                <w:color w:val="auto"/>
                <w:kern w:val="0"/>
                <w:sz w:val="21"/>
                <w:szCs w:val="20"/>
              </w:rPr>
              <w:t>的通知</w:t>
            </w:r>
            <w:r>
              <w:rPr>
                <w:rFonts w:hint="eastAsia"/>
                <w:snapToGrid w:val="0"/>
                <w:color w:val="auto"/>
                <w:kern w:val="0"/>
                <w:sz w:val="21"/>
                <w:szCs w:val="20"/>
              </w:rPr>
              <w:t>》《</w:t>
            </w:r>
            <w:r>
              <w:rPr>
                <w:snapToGrid w:val="0"/>
                <w:color w:val="auto"/>
                <w:kern w:val="0"/>
                <w:sz w:val="21"/>
                <w:szCs w:val="20"/>
              </w:rPr>
              <w:t>江苏省推动长江经济带发展领导小组办公室关于印发</w:t>
            </w:r>
            <w:r>
              <w:rPr>
                <w:rFonts w:hint="eastAsia"/>
                <w:snapToGrid w:val="0"/>
                <w:color w:val="auto"/>
                <w:kern w:val="0"/>
                <w:sz w:val="21"/>
                <w:szCs w:val="20"/>
              </w:rPr>
              <w:t>〈</w:t>
            </w:r>
            <w:r>
              <w:rPr>
                <w:snapToGrid w:val="0"/>
                <w:color w:val="auto"/>
                <w:kern w:val="0"/>
                <w:sz w:val="21"/>
                <w:szCs w:val="20"/>
              </w:rPr>
              <w:t>长江经济带发展负面清单指南（试行，2022年版）</w:t>
            </w:r>
            <w:r>
              <w:rPr>
                <w:rFonts w:hint="eastAsia"/>
                <w:snapToGrid w:val="0"/>
                <w:color w:val="auto"/>
                <w:kern w:val="0"/>
                <w:sz w:val="21"/>
                <w:szCs w:val="20"/>
              </w:rPr>
              <w:t>〉</w:t>
            </w:r>
            <w:r>
              <w:rPr>
                <w:snapToGrid w:val="0"/>
                <w:color w:val="auto"/>
                <w:kern w:val="0"/>
                <w:sz w:val="21"/>
                <w:szCs w:val="20"/>
              </w:rPr>
              <w:t>江苏省实施细则（试行）的通知》）中的负面清单内容，因此，本项目的建设符合文件要求。</w:t>
            </w:r>
          </w:p>
        </w:tc>
      </w:tr>
    </w:tbl>
    <w:p w14:paraId="3E319CF9">
      <w:pPr>
        <w:pStyle w:val="5"/>
        <w:spacing w:before="163" w:beforeLines="50" w:after="0"/>
        <w:ind w:firstLine="0" w:firstLineChars="0"/>
        <w:rPr>
          <w:color w:val="auto"/>
          <w:sz w:val="28"/>
          <w:szCs w:val="36"/>
        </w:rPr>
      </w:pPr>
      <w:r>
        <w:rPr>
          <w:color w:val="auto"/>
          <w:sz w:val="28"/>
          <w:szCs w:val="36"/>
        </w:rPr>
        <w:t xml:space="preserve">1.4.2 </w:t>
      </w:r>
      <w:r>
        <w:rPr>
          <w:rFonts w:hint="eastAsia"/>
          <w:color w:val="auto"/>
          <w:sz w:val="28"/>
          <w:szCs w:val="36"/>
        </w:rPr>
        <w:t>与</w:t>
      </w:r>
      <w:r>
        <w:rPr>
          <w:color w:val="auto"/>
          <w:sz w:val="28"/>
          <w:szCs w:val="36"/>
        </w:rPr>
        <w:t>规划相符性分析</w:t>
      </w:r>
      <w:r>
        <w:rPr>
          <w:rFonts w:hint="eastAsia"/>
          <w:color w:val="auto"/>
          <w:sz w:val="28"/>
          <w:szCs w:val="36"/>
        </w:rPr>
        <w:t>、选址合理性分析</w:t>
      </w:r>
    </w:p>
    <w:p w14:paraId="105FCBBC">
      <w:pPr>
        <w:spacing w:before="163" w:beforeLines="50"/>
        <w:ind w:firstLine="0" w:firstLineChars="0"/>
        <w:outlineLvl w:val="3"/>
        <w:rPr>
          <w:b/>
          <w:color w:val="auto"/>
        </w:rPr>
      </w:pPr>
      <w:r>
        <w:rPr>
          <w:b/>
          <w:color w:val="auto"/>
        </w:rPr>
        <w:t>1.4.</w:t>
      </w:r>
      <w:r>
        <w:rPr>
          <w:rFonts w:hint="eastAsia"/>
          <w:b/>
          <w:color w:val="auto"/>
        </w:rPr>
        <w:t>2</w:t>
      </w:r>
      <w:r>
        <w:rPr>
          <w:b/>
          <w:color w:val="auto"/>
        </w:rPr>
        <w:t>.1 与</w:t>
      </w:r>
      <w:r>
        <w:rPr>
          <w:rFonts w:hint="eastAsia"/>
          <w:b/>
          <w:color w:val="auto"/>
        </w:rPr>
        <w:t>开发区产业发展规划</w:t>
      </w:r>
      <w:r>
        <w:rPr>
          <w:b/>
          <w:color w:val="auto"/>
        </w:rPr>
        <w:t>相符性分析</w:t>
      </w:r>
    </w:p>
    <w:p w14:paraId="4617B3E7">
      <w:pPr>
        <w:ind w:firstLine="480"/>
        <w:rPr>
          <w:color w:val="auto"/>
        </w:rPr>
      </w:pPr>
      <w:r>
        <w:rPr>
          <w:rFonts w:hint="eastAsia"/>
          <w:color w:val="auto"/>
        </w:rPr>
        <w:t>《连云港经济技术开发区（大浦片区、临港产业区西北片区、江宁工业城）产业发展规划环境影响报告书》已于2024年10月21日通过连云港市生态环境局审查（连环发〔2024〕247号），在该发展规划中，临港产业区西北片区产业定位：临港产业区西北片区（含朝阳工业园）重点发展新医药（原料药项目严格控制在大浦路以西）、新材料、集成电路配套、装备制造、食品产业、新型建材、机械电子、仓储物流等。</w:t>
      </w:r>
    </w:p>
    <w:p w14:paraId="165D7F22">
      <w:pPr>
        <w:ind w:firstLine="480"/>
        <w:rPr>
          <w:color w:val="auto"/>
        </w:rPr>
      </w:pPr>
      <w:r>
        <w:rPr>
          <w:rFonts w:hint="eastAsia"/>
          <w:color w:val="auto"/>
        </w:rPr>
        <w:t>本项目选址位于连云港市连云港经济技术开发区东至大浦路，南至盐池西路，西至项目边界，北至盐汇路，属于连云港经济技术开发区中临港产业区西北片区，项目用地性质为工业用地。</w:t>
      </w:r>
    </w:p>
    <w:p w14:paraId="1BE30981">
      <w:pPr>
        <w:ind w:firstLine="480"/>
        <w:rPr>
          <w:color w:val="auto"/>
        </w:rPr>
      </w:pPr>
      <w:r>
        <w:rPr>
          <w:rFonts w:hint="eastAsia"/>
          <w:color w:val="auto"/>
        </w:rPr>
        <w:t>本项目行业类别为C3311金属结构制造，对应产品为太阳能光伏铝边框，该产品为光伏组件核心辅材，属于园区产业定位中的装备制造类项目。对照《连云港经济技术开发区（大浦片区、临港产业区西北片区、江宁工业城）产业发展规划环境影响报告书》及其审查意见（连环发〔2024〕247号），本</w:t>
      </w:r>
      <w:r>
        <w:rPr>
          <w:color w:val="auto"/>
        </w:rPr>
        <w:t>项目符合园区产业定位</w:t>
      </w:r>
      <w:r>
        <w:rPr>
          <w:rFonts w:hint="eastAsia"/>
          <w:color w:val="auto"/>
        </w:rPr>
        <w:t>。</w:t>
      </w:r>
    </w:p>
    <w:p w14:paraId="6FF05EA5">
      <w:pPr>
        <w:spacing w:before="163" w:beforeLines="50"/>
        <w:ind w:firstLine="0" w:firstLineChars="0"/>
        <w:outlineLvl w:val="3"/>
        <w:rPr>
          <w:b/>
          <w:color w:val="auto"/>
        </w:rPr>
      </w:pPr>
      <w:r>
        <w:rPr>
          <w:b/>
          <w:color w:val="auto"/>
        </w:rPr>
        <w:t>1.4.</w:t>
      </w:r>
      <w:r>
        <w:rPr>
          <w:rFonts w:hint="eastAsia"/>
          <w:b/>
          <w:color w:val="auto"/>
        </w:rPr>
        <w:t>2</w:t>
      </w:r>
      <w:r>
        <w:rPr>
          <w:b/>
          <w:color w:val="auto"/>
        </w:rPr>
        <w:t>.</w:t>
      </w:r>
      <w:r>
        <w:rPr>
          <w:rFonts w:hint="eastAsia"/>
          <w:b/>
          <w:color w:val="auto"/>
        </w:rPr>
        <w:t>2</w:t>
      </w:r>
      <w:r>
        <w:rPr>
          <w:b/>
          <w:color w:val="auto"/>
        </w:rPr>
        <w:t xml:space="preserve"> 与</w:t>
      </w:r>
      <w:r>
        <w:rPr>
          <w:rFonts w:hint="eastAsia"/>
          <w:b/>
          <w:color w:val="auto"/>
        </w:rPr>
        <w:t>《连云港市国土空间总体规划（2021—2035年）》</w:t>
      </w:r>
      <w:r>
        <w:rPr>
          <w:b/>
          <w:color w:val="auto"/>
        </w:rPr>
        <w:t>相符性分析</w:t>
      </w:r>
    </w:p>
    <w:p w14:paraId="736BD666">
      <w:pPr>
        <w:ind w:firstLine="480"/>
        <w:rPr>
          <w:color w:val="auto"/>
        </w:rPr>
      </w:pPr>
      <w:r>
        <w:rPr>
          <w:rFonts w:hint="eastAsia"/>
          <w:color w:val="auto"/>
        </w:rPr>
        <w:t>本项目位于连云港市连云港经济技术开发区东至大浦路，南至盐池西路，西至项目边界，北至盐汇路。根据《连云港市国土空间总体规划（2021—2035年）》，项目位于规划中的工业用地。因此，本项目的建设符合《连云港市国土空间总体规划（2021—2035年）》（详见附图1.4-1）。</w:t>
      </w:r>
    </w:p>
    <w:p w14:paraId="0B0D0E01">
      <w:pPr>
        <w:spacing w:before="163" w:beforeLines="50"/>
        <w:ind w:firstLine="0" w:firstLineChars="0"/>
        <w:outlineLvl w:val="3"/>
        <w:rPr>
          <w:b/>
          <w:color w:val="auto"/>
        </w:rPr>
      </w:pPr>
      <w:r>
        <w:rPr>
          <w:b/>
          <w:color w:val="auto"/>
        </w:rPr>
        <w:t>1.4.</w:t>
      </w:r>
      <w:r>
        <w:rPr>
          <w:rFonts w:hint="eastAsia"/>
          <w:b/>
          <w:color w:val="auto"/>
        </w:rPr>
        <w:t>2</w:t>
      </w:r>
      <w:r>
        <w:rPr>
          <w:b/>
          <w:color w:val="auto"/>
        </w:rPr>
        <w:t>.</w:t>
      </w:r>
      <w:r>
        <w:rPr>
          <w:rFonts w:hint="eastAsia"/>
          <w:b/>
          <w:color w:val="auto"/>
        </w:rPr>
        <w:t>3</w:t>
      </w:r>
      <w:r>
        <w:rPr>
          <w:b/>
          <w:color w:val="auto"/>
        </w:rPr>
        <w:t xml:space="preserve"> </w:t>
      </w:r>
      <w:r>
        <w:rPr>
          <w:rFonts w:hint="eastAsia"/>
          <w:b/>
          <w:color w:val="auto"/>
        </w:rPr>
        <w:t>选址合理性</w:t>
      </w:r>
      <w:r>
        <w:rPr>
          <w:b/>
          <w:color w:val="auto"/>
        </w:rPr>
        <w:t>分析</w:t>
      </w:r>
    </w:p>
    <w:p w14:paraId="0EDEF516">
      <w:pPr>
        <w:ind w:firstLine="480"/>
        <w:rPr>
          <w:color w:val="auto"/>
        </w:rPr>
      </w:pPr>
      <w:r>
        <w:rPr>
          <w:rFonts w:hint="eastAsia"/>
          <w:color w:val="auto"/>
        </w:rPr>
        <w:t>本项目用地性质属于工业用地，经对照分析符合园区产业定位，亦符合相关规划要求。本项目不属于《关于印发〈自然资源要素支撑产业高质量发展指导目录（2024年本）〉的通知》（自然资发〔2024〕273号）中限制类和禁止类项目，亦不属于《江苏省限制用地项目目录（2013年本）》《江苏省禁止用地项目目录（2013年本）》中所列项目：本项目用地亦不属于《江苏省人民政府关于印发江苏省生态空间管控区域规划的通知》（苏政发〔2020〕1号）《江苏省国家级生态保护红线规划（苏政发〔2018〕74号）》中生态保护红线区域。因此，本项目选址合理。</w:t>
      </w:r>
    </w:p>
    <w:p w14:paraId="71BF1E36">
      <w:pPr>
        <w:pStyle w:val="1356"/>
        <w:ind w:firstLine="0" w:firstLineChars="0"/>
        <w:rPr>
          <w:b/>
          <w:color w:val="auto"/>
        </w:rPr>
        <w:sectPr>
          <w:footerReference r:id="rId13" w:type="default"/>
          <w:pgSz w:w="11906" w:h="16838"/>
          <w:pgMar w:top="1361" w:right="1361" w:bottom="1361" w:left="1361" w:header="851" w:footer="992" w:gutter="0"/>
          <w:pgNumType w:start="1"/>
          <w:cols w:space="720" w:num="1"/>
          <w:docGrid w:type="lines" w:linePitch="326" w:charSpace="0"/>
        </w:sectPr>
      </w:pPr>
    </w:p>
    <w:p w14:paraId="659A8C07">
      <w:pPr>
        <w:pStyle w:val="5"/>
        <w:spacing w:before="164" w:beforeLines="50" w:after="0"/>
        <w:ind w:firstLine="0" w:firstLineChars="0"/>
        <w:rPr>
          <w:color w:val="auto"/>
          <w:sz w:val="28"/>
          <w:szCs w:val="36"/>
        </w:rPr>
      </w:pPr>
      <w:r>
        <w:rPr>
          <w:color w:val="auto"/>
          <w:sz w:val="28"/>
          <w:szCs w:val="36"/>
        </w:rPr>
        <w:t>1.4.3 相关环保</w:t>
      </w:r>
      <w:r>
        <w:rPr>
          <w:rFonts w:hint="eastAsia"/>
          <w:color w:val="auto"/>
          <w:sz w:val="28"/>
          <w:szCs w:val="36"/>
        </w:rPr>
        <w:t>法规、</w:t>
      </w:r>
      <w:r>
        <w:rPr>
          <w:color w:val="auto"/>
          <w:sz w:val="28"/>
          <w:szCs w:val="36"/>
        </w:rPr>
        <w:t>政策</w:t>
      </w:r>
      <w:r>
        <w:rPr>
          <w:rFonts w:hint="eastAsia"/>
          <w:color w:val="auto"/>
          <w:sz w:val="28"/>
          <w:szCs w:val="36"/>
        </w:rPr>
        <w:t>和规范</w:t>
      </w:r>
      <w:r>
        <w:rPr>
          <w:color w:val="auto"/>
          <w:sz w:val="28"/>
          <w:szCs w:val="36"/>
        </w:rPr>
        <w:t>相符性分析</w:t>
      </w:r>
    </w:p>
    <w:p w14:paraId="74FAD0FD">
      <w:pPr>
        <w:pStyle w:val="80"/>
        <w:widowControl w:val="0"/>
        <w:spacing w:before="0" w:beforeAutospacing="0" w:after="0" w:afterAutospacing="0" w:line="360" w:lineRule="auto"/>
        <w:ind w:firstLine="480"/>
        <w:rPr>
          <w:rFonts w:ascii="Times New Roman" w:hAnsi="Times New Roman"/>
          <w:b/>
          <w:color w:val="auto"/>
          <w:sz w:val="24"/>
        </w:rPr>
      </w:pPr>
      <w:r>
        <w:rPr>
          <w:rFonts w:ascii="Times New Roman" w:hAnsi="Times New Roman"/>
          <w:color w:val="auto"/>
          <w:sz w:val="24"/>
          <w:lang w:bidi="ar"/>
        </w:rPr>
        <w:t>本项目与产业政策、规划相符性分析见表1.4-2。</w:t>
      </w:r>
    </w:p>
    <w:p w14:paraId="5530820E">
      <w:pPr>
        <w:widowControl/>
        <w:spacing w:line="240" w:lineRule="auto"/>
        <w:ind w:firstLine="0" w:firstLineChars="0"/>
        <w:jc w:val="center"/>
        <w:rPr>
          <w:b/>
          <w:color w:val="auto"/>
        </w:rPr>
      </w:pPr>
      <w:r>
        <w:rPr>
          <w:b/>
          <w:color w:val="auto"/>
        </w:rPr>
        <w:t>表1.4-</w:t>
      </w:r>
      <w:r>
        <w:rPr>
          <w:rFonts w:hint="eastAsia"/>
          <w:b/>
          <w:color w:val="auto"/>
        </w:rPr>
        <w:t>2</w:t>
      </w:r>
      <w:r>
        <w:rPr>
          <w:b/>
          <w:color w:val="auto"/>
        </w:rPr>
        <w:t xml:space="preserve">  本项目与产业政策、规划相符性分析</w:t>
      </w:r>
    </w:p>
    <w:tbl>
      <w:tblPr>
        <w:tblStyle w:val="88"/>
        <w:tblW w:w="472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05"/>
        <w:gridCol w:w="797"/>
        <w:gridCol w:w="936"/>
        <w:gridCol w:w="4866"/>
        <w:gridCol w:w="4950"/>
      </w:tblGrid>
      <w:tr w14:paraId="7A0F2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tcBorders>
              <w:tl2br w:val="nil"/>
              <w:tr2bl w:val="nil"/>
            </w:tcBorders>
            <w:shd w:val="clear" w:color="auto" w:fill="auto"/>
            <w:vAlign w:val="center"/>
          </w:tcPr>
          <w:p w14:paraId="40FA2E93">
            <w:pPr>
              <w:spacing w:line="240" w:lineRule="auto"/>
              <w:ind w:firstLine="0" w:firstLineChars="0"/>
              <w:jc w:val="center"/>
              <w:rPr>
                <w:b/>
                <w:bCs/>
                <w:color w:val="auto"/>
                <w:sz w:val="21"/>
                <w:szCs w:val="21"/>
              </w:rPr>
            </w:pPr>
            <w:r>
              <w:rPr>
                <w:b/>
                <w:bCs/>
                <w:color w:val="auto"/>
                <w:kern w:val="0"/>
                <w:sz w:val="21"/>
                <w:szCs w:val="21"/>
                <w:lang w:bidi="ar"/>
              </w:rPr>
              <w:t>序号</w:t>
            </w:r>
          </w:p>
        </w:tc>
        <w:tc>
          <w:tcPr>
            <w:tcW w:w="2883" w:type="pct"/>
            <w:gridSpan w:val="4"/>
            <w:tcBorders>
              <w:tl2br w:val="nil"/>
              <w:tr2bl w:val="nil"/>
            </w:tcBorders>
            <w:shd w:val="clear" w:color="auto" w:fill="auto"/>
            <w:vAlign w:val="center"/>
          </w:tcPr>
          <w:p w14:paraId="58D98EEC">
            <w:pPr>
              <w:spacing w:line="240" w:lineRule="auto"/>
              <w:ind w:firstLine="0" w:firstLineChars="0"/>
              <w:jc w:val="center"/>
              <w:rPr>
                <w:b/>
                <w:bCs/>
                <w:color w:val="auto"/>
                <w:szCs w:val="21"/>
              </w:rPr>
            </w:pPr>
            <w:r>
              <w:rPr>
                <w:b/>
                <w:bCs/>
                <w:color w:val="auto"/>
                <w:kern w:val="0"/>
                <w:sz w:val="21"/>
                <w:szCs w:val="21"/>
                <w:lang w:bidi="ar"/>
              </w:rPr>
              <w:t>文件</w:t>
            </w:r>
            <w:r>
              <w:rPr>
                <w:rFonts w:hint="eastAsia"/>
                <w:b/>
                <w:bCs/>
                <w:color w:val="auto"/>
                <w:szCs w:val="21"/>
                <w:lang w:bidi="ar"/>
              </w:rPr>
              <w:t>及</w:t>
            </w:r>
            <w:r>
              <w:rPr>
                <w:b/>
                <w:bCs/>
                <w:color w:val="auto"/>
                <w:szCs w:val="21"/>
                <w:lang w:bidi="ar"/>
              </w:rPr>
              <w:t>要求</w:t>
            </w:r>
          </w:p>
        </w:tc>
        <w:tc>
          <w:tcPr>
            <w:tcW w:w="1829" w:type="pct"/>
            <w:tcBorders>
              <w:tl2br w:val="nil"/>
              <w:tr2bl w:val="nil"/>
            </w:tcBorders>
            <w:shd w:val="clear" w:color="auto" w:fill="auto"/>
            <w:vAlign w:val="center"/>
          </w:tcPr>
          <w:p w14:paraId="2D4CE58D">
            <w:pPr>
              <w:spacing w:line="240" w:lineRule="auto"/>
              <w:ind w:firstLine="0" w:firstLineChars="0"/>
              <w:jc w:val="center"/>
              <w:rPr>
                <w:b/>
                <w:bCs/>
                <w:color w:val="auto"/>
                <w:sz w:val="21"/>
                <w:szCs w:val="21"/>
              </w:rPr>
            </w:pPr>
            <w:r>
              <w:rPr>
                <w:b/>
                <w:bCs/>
                <w:color w:val="auto"/>
                <w:kern w:val="0"/>
                <w:sz w:val="21"/>
                <w:szCs w:val="21"/>
                <w:lang w:bidi="ar"/>
              </w:rPr>
              <w:t>相符性分析</w:t>
            </w:r>
          </w:p>
        </w:tc>
      </w:tr>
      <w:tr w14:paraId="2185C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restart"/>
            <w:tcBorders>
              <w:tl2br w:val="nil"/>
              <w:tr2bl w:val="nil"/>
            </w:tcBorders>
            <w:shd w:val="clear" w:color="auto" w:fill="auto"/>
            <w:vAlign w:val="center"/>
          </w:tcPr>
          <w:p w14:paraId="3298D94E">
            <w:pPr>
              <w:spacing w:line="240" w:lineRule="auto"/>
              <w:ind w:firstLine="0" w:firstLineChars="0"/>
              <w:jc w:val="center"/>
              <w:rPr>
                <w:color w:val="auto"/>
                <w:sz w:val="21"/>
                <w:szCs w:val="21"/>
              </w:rPr>
            </w:pPr>
            <w:r>
              <w:rPr>
                <w:rFonts w:hint="eastAsia"/>
                <w:color w:val="auto"/>
                <w:sz w:val="21"/>
                <w:szCs w:val="21"/>
              </w:rPr>
              <w:t>1</w:t>
            </w:r>
          </w:p>
        </w:tc>
        <w:tc>
          <w:tcPr>
            <w:tcW w:w="739" w:type="pct"/>
            <w:gridSpan w:val="2"/>
            <w:vMerge w:val="restart"/>
            <w:tcBorders>
              <w:tl2br w:val="nil"/>
              <w:tr2bl w:val="nil"/>
            </w:tcBorders>
            <w:shd w:val="clear" w:color="auto" w:fill="auto"/>
            <w:vAlign w:val="center"/>
          </w:tcPr>
          <w:p w14:paraId="2CD5586F">
            <w:pPr>
              <w:spacing w:line="240" w:lineRule="auto"/>
              <w:ind w:firstLine="0" w:firstLineChars="0"/>
              <w:jc w:val="center"/>
              <w:rPr>
                <w:color w:val="auto"/>
                <w:sz w:val="21"/>
                <w:szCs w:val="21"/>
              </w:rPr>
            </w:pPr>
            <w:r>
              <w:rPr>
                <w:rFonts w:hint="eastAsia"/>
                <w:color w:val="auto"/>
                <w:sz w:val="21"/>
                <w:szCs w:val="21"/>
              </w:rPr>
              <w:t>《关于印发〈</w:t>
            </w:r>
            <w:r>
              <w:rPr>
                <w:color w:val="auto"/>
                <w:sz w:val="21"/>
                <w:szCs w:val="21"/>
              </w:rPr>
              <w:t>苏中、苏北地区电镀企业环保整治方案</w:t>
            </w:r>
            <w:r>
              <w:rPr>
                <w:rFonts w:hint="eastAsia"/>
                <w:color w:val="auto"/>
                <w:sz w:val="21"/>
                <w:szCs w:val="21"/>
              </w:rPr>
              <w:t>〉的通知》（苏环委办〔2014〕29号）</w:t>
            </w:r>
          </w:p>
        </w:tc>
        <w:tc>
          <w:tcPr>
            <w:tcW w:w="2143" w:type="pct"/>
            <w:gridSpan w:val="2"/>
            <w:tcBorders>
              <w:tl2br w:val="nil"/>
              <w:tr2bl w:val="nil"/>
            </w:tcBorders>
            <w:shd w:val="clear" w:color="auto" w:fill="auto"/>
            <w:vAlign w:val="center"/>
          </w:tcPr>
          <w:p w14:paraId="0FAE5EA9">
            <w:pPr>
              <w:spacing w:line="240" w:lineRule="auto"/>
              <w:ind w:firstLine="0" w:firstLineChars="0"/>
              <w:rPr>
                <w:b/>
                <w:bCs/>
                <w:color w:val="auto"/>
                <w:sz w:val="21"/>
                <w:szCs w:val="21"/>
              </w:rPr>
            </w:pPr>
            <w:r>
              <w:rPr>
                <w:rFonts w:hint="eastAsia"/>
                <w:b/>
                <w:bCs/>
                <w:color w:val="auto"/>
                <w:sz w:val="21"/>
                <w:szCs w:val="21"/>
              </w:rPr>
              <w:t>（一）执行环保政策：</w:t>
            </w:r>
          </w:p>
          <w:p w14:paraId="2F72460C">
            <w:pPr>
              <w:spacing w:line="240" w:lineRule="auto"/>
              <w:ind w:firstLine="0" w:firstLineChars="0"/>
              <w:rPr>
                <w:color w:val="auto"/>
                <w:sz w:val="21"/>
                <w:szCs w:val="21"/>
              </w:rPr>
            </w:pPr>
            <w:r>
              <w:rPr>
                <w:rFonts w:hint="eastAsia"/>
                <w:color w:val="auto"/>
                <w:sz w:val="21"/>
                <w:szCs w:val="21"/>
              </w:rPr>
              <w:t>1、</w:t>
            </w:r>
            <w:r>
              <w:rPr>
                <w:color w:val="auto"/>
                <w:sz w:val="21"/>
                <w:szCs w:val="21"/>
              </w:rPr>
              <w:t>符合国家产业政策和地方行业准入条件，符合淘汰落后产能的相关要求。</w:t>
            </w:r>
          </w:p>
          <w:p w14:paraId="4DF60D3B">
            <w:pPr>
              <w:spacing w:line="240" w:lineRule="auto"/>
              <w:ind w:firstLine="0" w:firstLineChars="0"/>
              <w:rPr>
                <w:color w:val="auto"/>
                <w:sz w:val="21"/>
                <w:szCs w:val="21"/>
              </w:rPr>
            </w:pPr>
            <w:r>
              <w:rPr>
                <w:rFonts w:hint="eastAsia"/>
                <w:color w:val="auto"/>
                <w:sz w:val="21"/>
                <w:szCs w:val="21"/>
              </w:rPr>
              <w:t>2、</w:t>
            </w:r>
            <w:r>
              <w:rPr>
                <w:color w:val="auto"/>
                <w:sz w:val="21"/>
                <w:szCs w:val="21"/>
              </w:rPr>
              <w:t>严格执行环境影响评价制度和“三同时”制度。</w:t>
            </w:r>
          </w:p>
          <w:p w14:paraId="73666639">
            <w:pPr>
              <w:spacing w:line="240" w:lineRule="auto"/>
              <w:ind w:firstLine="0" w:firstLineChars="0"/>
              <w:rPr>
                <w:color w:val="auto"/>
                <w:sz w:val="21"/>
                <w:szCs w:val="21"/>
              </w:rPr>
            </w:pPr>
            <w:r>
              <w:rPr>
                <w:rFonts w:hint="eastAsia"/>
                <w:color w:val="auto"/>
                <w:sz w:val="21"/>
                <w:szCs w:val="21"/>
              </w:rPr>
              <w:t>3、</w:t>
            </w:r>
            <w:r>
              <w:rPr>
                <w:color w:val="auto"/>
                <w:sz w:val="21"/>
                <w:szCs w:val="21"/>
              </w:rPr>
              <w:t>依法办理排污许可证，并依照许可内容排污。</w:t>
            </w:r>
          </w:p>
        </w:tc>
        <w:tc>
          <w:tcPr>
            <w:tcW w:w="1829" w:type="pct"/>
            <w:tcBorders>
              <w:tl2br w:val="nil"/>
              <w:tr2bl w:val="nil"/>
            </w:tcBorders>
            <w:shd w:val="clear" w:color="auto" w:fill="auto"/>
            <w:vAlign w:val="center"/>
          </w:tcPr>
          <w:p w14:paraId="3A6C9816">
            <w:pPr>
              <w:pStyle w:val="80"/>
              <w:widowControl w:val="0"/>
              <w:numPr>
                <w:ilvl w:val="0"/>
                <w:numId w:val="2"/>
              </w:numPr>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rPr>
              <w:t>本项目属于[C33</w:t>
            </w:r>
            <w:r>
              <w:rPr>
                <w:rFonts w:hint="eastAsia" w:ascii="Times New Roman" w:hAnsi="Times New Roman"/>
                <w:color w:val="auto"/>
                <w:szCs w:val="21"/>
              </w:rPr>
              <w:t>11</w:t>
            </w:r>
            <w:r>
              <w:rPr>
                <w:rFonts w:ascii="Times New Roman" w:hAnsi="Times New Roman"/>
                <w:color w:val="auto"/>
                <w:szCs w:val="21"/>
              </w:rPr>
              <w:t>]金属</w:t>
            </w:r>
            <w:r>
              <w:rPr>
                <w:rFonts w:hint="eastAsia" w:ascii="Times New Roman" w:hAnsi="Times New Roman"/>
                <w:color w:val="auto"/>
                <w:szCs w:val="21"/>
              </w:rPr>
              <w:t>结构制造</w:t>
            </w:r>
            <w:r>
              <w:rPr>
                <w:rFonts w:ascii="Times New Roman" w:hAnsi="Times New Roman"/>
                <w:color w:val="auto"/>
                <w:szCs w:val="21"/>
              </w:rPr>
              <w:t>，主要从事</w:t>
            </w:r>
            <w:r>
              <w:rPr>
                <w:rFonts w:hint="eastAsia" w:ascii="Times New Roman" w:hAnsi="Times New Roman"/>
                <w:color w:val="auto"/>
                <w:szCs w:val="21"/>
              </w:rPr>
              <w:t>太阳能光伏铝边框生产</w:t>
            </w:r>
            <w:r>
              <w:rPr>
                <w:rFonts w:ascii="Times New Roman" w:hAnsi="Times New Roman"/>
                <w:color w:val="auto"/>
                <w:szCs w:val="21"/>
              </w:rPr>
              <w:t>，</w:t>
            </w:r>
            <w:r>
              <w:rPr>
                <w:rFonts w:hint="eastAsia" w:ascii="Times New Roman" w:hAnsi="Times New Roman"/>
                <w:color w:val="auto"/>
                <w:szCs w:val="21"/>
              </w:rPr>
              <w:t>项目涉及阳极氧化工序</w:t>
            </w:r>
            <w:r>
              <w:rPr>
                <w:rFonts w:ascii="Times New Roman" w:hAnsi="Times New Roman"/>
                <w:color w:val="auto"/>
                <w:szCs w:val="21"/>
              </w:rPr>
              <w:t>，符合国家</w:t>
            </w:r>
            <w:r>
              <w:rPr>
                <w:rFonts w:hint="eastAsia" w:ascii="Times New Roman" w:hAnsi="Times New Roman"/>
                <w:color w:val="auto"/>
                <w:szCs w:val="21"/>
              </w:rPr>
              <w:t>及地方</w:t>
            </w:r>
            <w:r>
              <w:rPr>
                <w:rFonts w:ascii="Times New Roman" w:hAnsi="Times New Roman"/>
                <w:color w:val="auto"/>
                <w:szCs w:val="21"/>
              </w:rPr>
              <w:t>产业政策。</w:t>
            </w:r>
          </w:p>
          <w:p w14:paraId="731355BC">
            <w:pPr>
              <w:pStyle w:val="80"/>
              <w:widowControl w:val="0"/>
              <w:numPr>
                <w:ilvl w:val="0"/>
                <w:numId w:val="2"/>
              </w:numPr>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rPr>
              <w:t>本项目将严格执行环境影响评价制度和“三同时”制度。</w:t>
            </w:r>
          </w:p>
          <w:p w14:paraId="47CD1405">
            <w:pPr>
              <w:pStyle w:val="80"/>
              <w:widowControl w:val="0"/>
              <w:numPr>
                <w:ilvl w:val="0"/>
                <w:numId w:val="2"/>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企业承诺在发生实际排污前，</w:t>
            </w:r>
            <w:r>
              <w:rPr>
                <w:rFonts w:ascii="Times New Roman" w:hAnsi="Times New Roman"/>
                <w:color w:val="auto"/>
                <w:szCs w:val="21"/>
              </w:rPr>
              <w:t>将依法</w:t>
            </w:r>
            <w:r>
              <w:rPr>
                <w:rFonts w:hint="eastAsia" w:ascii="Times New Roman" w:hAnsi="Times New Roman"/>
                <w:color w:val="auto"/>
                <w:szCs w:val="21"/>
              </w:rPr>
              <w:t>变更</w:t>
            </w:r>
            <w:r>
              <w:rPr>
                <w:rFonts w:ascii="Times New Roman" w:hAnsi="Times New Roman"/>
                <w:color w:val="auto"/>
                <w:szCs w:val="21"/>
              </w:rPr>
              <w:t>排污许可证。</w:t>
            </w:r>
          </w:p>
        </w:tc>
      </w:tr>
      <w:tr w14:paraId="1D9DE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253F629B">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0BB69487">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766CA5B4">
            <w:pPr>
              <w:spacing w:line="240" w:lineRule="auto"/>
              <w:ind w:firstLine="0" w:firstLineChars="0"/>
              <w:rPr>
                <w:b/>
                <w:bCs/>
                <w:color w:val="auto"/>
                <w:sz w:val="21"/>
                <w:szCs w:val="21"/>
              </w:rPr>
            </w:pPr>
            <w:r>
              <w:rPr>
                <w:rFonts w:hint="eastAsia"/>
                <w:b/>
                <w:bCs/>
                <w:color w:val="auto"/>
                <w:sz w:val="21"/>
                <w:szCs w:val="21"/>
              </w:rPr>
              <w:t>（二）工艺装备水平：</w:t>
            </w:r>
          </w:p>
          <w:p w14:paraId="411DE01A">
            <w:pPr>
              <w:spacing w:line="240" w:lineRule="auto"/>
              <w:ind w:firstLine="0" w:firstLineChars="0"/>
              <w:rPr>
                <w:color w:val="auto"/>
                <w:sz w:val="21"/>
                <w:szCs w:val="21"/>
              </w:rPr>
            </w:pPr>
            <w:r>
              <w:rPr>
                <w:rFonts w:hint="eastAsia"/>
                <w:color w:val="auto"/>
                <w:sz w:val="21"/>
                <w:szCs w:val="21"/>
              </w:rPr>
              <w:t>1、执行无氰电镀的相关政策规定，禁止使用高污染的电镀工艺，积极采用清洁生产工艺。</w:t>
            </w:r>
          </w:p>
          <w:p w14:paraId="322B2D13">
            <w:pPr>
              <w:spacing w:line="240" w:lineRule="auto"/>
              <w:ind w:firstLine="0" w:firstLineChars="0"/>
              <w:rPr>
                <w:color w:val="auto"/>
                <w:sz w:val="21"/>
                <w:szCs w:val="21"/>
              </w:rPr>
            </w:pPr>
            <w:r>
              <w:rPr>
                <w:rFonts w:hint="eastAsia"/>
                <w:color w:val="auto"/>
                <w:sz w:val="21"/>
                <w:szCs w:val="21"/>
              </w:rPr>
              <w:t>2、电镀生产中不使用含铅、镉、汞等重金属的化学品。</w:t>
            </w:r>
          </w:p>
          <w:p w14:paraId="3D6CED65">
            <w:pPr>
              <w:spacing w:line="240" w:lineRule="auto"/>
              <w:ind w:firstLine="0" w:firstLineChars="0"/>
              <w:rPr>
                <w:color w:val="auto"/>
                <w:sz w:val="21"/>
                <w:szCs w:val="21"/>
              </w:rPr>
            </w:pPr>
            <w:r>
              <w:rPr>
                <w:rFonts w:hint="eastAsia"/>
                <w:color w:val="auto"/>
                <w:sz w:val="21"/>
                <w:szCs w:val="21"/>
              </w:rPr>
              <w:t>3、淘汰手工电镀工艺，确需保留手工电镀生产线的，由企业申请，按审批权限报经信部门审核同意。</w:t>
            </w:r>
          </w:p>
          <w:p w14:paraId="16DC1E13">
            <w:pPr>
              <w:spacing w:line="240" w:lineRule="auto"/>
              <w:ind w:firstLine="0" w:firstLineChars="0"/>
              <w:rPr>
                <w:color w:val="auto"/>
                <w:sz w:val="21"/>
                <w:szCs w:val="21"/>
              </w:rPr>
            </w:pPr>
            <w:r>
              <w:rPr>
                <w:rFonts w:hint="eastAsia"/>
                <w:color w:val="auto"/>
                <w:sz w:val="21"/>
                <w:szCs w:val="21"/>
              </w:rPr>
              <w:t>4、淘汰单槽清洗等落后工艺，采用淋洗、喷洗、多级回收、逆流漂洗等节水型生产工艺。</w:t>
            </w:r>
          </w:p>
          <w:p w14:paraId="157A8556">
            <w:pPr>
              <w:spacing w:line="240" w:lineRule="auto"/>
              <w:ind w:firstLine="0" w:firstLineChars="0"/>
              <w:rPr>
                <w:color w:val="auto"/>
                <w:sz w:val="21"/>
                <w:szCs w:val="21"/>
              </w:rPr>
            </w:pPr>
            <w:r>
              <w:rPr>
                <w:rFonts w:hint="eastAsia"/>
                <w:color w:val="auto"/>
                <w:sz w:val="21"/>
                <w:szCs w:val="21"/>
              </w:rPr>
              <w:t>5、使用镀种有带出液回收工序，有铬雾回收利用装置。</w:t>
            </w:r>
          </w:p>
        </w:tc>
        <w:tc>
          <w:tcPr>
            <w:tcW w:w="1829" w:type="pct"/>
            <w:tcBorders>
              <w:tl2br w:val="nil"/>
              <w:tr2bl w:val="nil"/>
            </w:tcBorders>
            <w:shd w:val="clear" w:color="auto" w:fill="auto"/>
            <w:vAlign w:val="center"/>
          </w:tcPr>
          <w:p w14:paraId="185A0432">
            <w:pPr>
              <w:pStyle w:val="80"/>
              <w:widowControl w:val="0"/>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1、本项目阳极氧化不属于</w:t>
            </w:r>
            <w:r>
              <w:rPr>
                <w:rFonts w:hint="eastAsia"/>
                <w:color w:val="auto"/>
                <w:szCs w:val="21"/>
              </w:rPr>
              <w:t>无氰电镀及高污染电镀工艺</w:t>
            </w:r>
            <w:r>
              <w:rPr>
                <w:rFonts w:hint="eastAsia" w:ascii="Times New Roman" w:hAnsi="Times New Roman"/>
                <w:color w:val="auto"/>
                <w:szCs w:val="21"/>
              </w:rPr>
              <w:t>。</w:t>
            </w:r>
          </w:p>
          <w:p w14:paraId="505F9E5F">
            <w:pPr>
              <w:pStyle w:val="80"/>
              <w:widowControl w:val="0"/>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2、本项目不涉及含铅、镉、汞等重金属化学品。</w:t>
            </w:r>
          </w:p>
          <w:p w14:paraId="7F4B82CB">
            <w:pPr>
              <w:pStyle w:val="80"/>
              <w:widowControl w:val="0"/>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3、本项目生产过程中采用全自动生产工艺。</w:t>
            </w:r>
          </w:p>
          <w:p w14:paraId="0EE58F40">
            <w:pPr>
              <w:pStyle w:val="80"/>
              <w:widowControl w:val="0"/>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4、本项目清洗槽采用淋洗、喷洗、多级回收、逆流漂洗等节水型生产工艺。</w:t>
            </w:r>
          </w:p>
          <w:p w14:paraId="17B53423">
            <w:pPr>
              <w:pStyle w:val="80"/>
              <w:widowControl w:val="0"/>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5、本项目阳极氧化工段产生的酸回收利用，不涉及铬雾。</w:t>
            </w:r>
          </w:p>
        </w:tc>
      </w:tr>
      <w:tr w14:paraId="59042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4E4563E8">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5716A647">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1AF5DA52">
            <w:pPr>
              <w:spacing w:line="240" w:lineRule="auto"/>
              <w:ind w:firstLine="0" w:firstLineChars="0"/>
              <w:rPr>
                <w:b/>
                <w:bCs/>
                <w:color w:val="auto"/>
                <w:sz w:val="21"/>
                <w:szCs w:val="21"/>
              </w:rPr>
            </w:pPr>
            <w:r>
              <w:rPr>
                <w:rFonts w:hint="eastAsia"/>
                <w:b/>
                <w:bCs/>
                <w:color w:val="auto"/>
                <w:sz w:val="21"/>
                <w:szCs w:val="21"/>
              </w:rPr>
              <w:t>（三）环境卫生防护距离：</w:t>
            </w:r>
          </w:p>
          <w:p w14:paraId="64C53E2C">
            <w:pPr>
              <w:spacing w:line="240" w:lineRule="auto"/>
              <w:ind w:firstLine="0" w:firstLineChars="0"/>
              <w:rPr>
                <w:color w:val="auto"/>
                <w:sz w:val="21"/>
                <w:szCs w:val="21"/>
              </w:rPr>
            </w:pPr>
            <w:r>
              <w:rPr>
                <w:color w:val="auto"/>
                <w:sz w:val="21"/>
                <w:szCs w:val="21"/>
              </w:rPr>
              <w:t>电镀生产项目应对照环评批复，严格落实环境防护距离设置要求；环评报告或环评批复中未提出环境防护距离要求的，原则上应重新核算并报原环评审批部门备案。</w:t>
            </w:r>
          </w:p>
        </w:tc>
        <w:tc>
          <w:tcPr>
            <w:tcW w:w="1829" w:type="pct"/>
            <w:tcBorders>
              <w:tl2br w:val="nil"/>
              <w:tr2bl w:val="nil"/>
            </w:tcBorders>
            <w:shd w:val="clear" w:color="auto" w:fill="auto"/>
            <w:vAlign w:val="center"/>
          </w:tcPr>
          <w:p w14:paraId="7DEF1BA3">
            <w:pPr>
              <w:pStyle w:val="80"/>
              <w:widowControl w:val="0"/>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rPr>
              <w:t>项目</w:t>
            </w:r>
            <w:r>
              <w:rPr>
                <w:rFonts w:hint="eastAsia" w:ascii="Times New Roman" w:hAnsi="Times New Roman"/>
                <w:color w:val="auto"/>
                <w:szCs w:val="21"/>
                <w:lang w:eastAsia="zh-CN"/>
              </w:rPr>
              <w:t>无需</w:t>
            </w:r>
            <w:r>
              <w:rPr>
                <w:rFonts w:hint="eastAsia" w:ascii="Times New Roman" w:hAnsi="Times New Roman"/>
                <w:color w:val="auto"/>
                <w:szCs w:val="21"/>
              </w:rPr>
              <w:t>设置</w:t>
            </w:r>
            <w:r>
              <w:rPr>
                <w:rFonts w:ascii="Times New Roman" w:hAnsi="Times New Roman"/>
                <w:color w:val="auto"/>
                <w:szCs w:val="21"/>
              </w:rPr>
              <w:t>大气环境防护距离，以</w:t>
            </w:r>
            <w:r>
              <w:rPr>
                <w:rFonts w:ascii="Times New Roman" w:hAnsi="Times New Roman"/>
                <w:color w:val="auto"/>
              </w:rPr>
              <w:t>厂界为起点设置100米卫生防护距离</w:t>
            </w:r>
            <w:r>
              <w:rPr>
                <w:rFonts w:ascii="Times New Roman" w:hAnsi="Times New Roman"/>
                <w:color w:val="auto"/>
                <w:szCs w:val="21"/>
              </w:rPr>
              <w:t>。</w:t>
            </w:r>
          </w:p>
        </w:tc>
      </w:tr>
      <w:tr w14:paraId="657BD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1052A048">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4CDBABA5">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2254A957">
            <w:pPr>
              <w:spacing w:line="240" w:lineRule="auto"/>
              <w:ind w:firstLine="0" w:firstLineChars="0"/>
              <w:rPr>
                <w:b/>
                <w:bCs/>
                <w:color w:val="auto"/>
                <w:sz w:val="21"/>
                <w:szCs w:val="21"/>
              </w:rPr>
            </w:pPr>
            <w:r>
              <w:rPr>
                <w:rFonts w:hint="eastAsia"/>
                <w:b/>
                <w:bCs/>
                <w:color w:val="auto"/>
                <w:sz w:val="21"/>
                <w:szCs w:val="21"/>
              </w:rPr>
              <w:t>（四）厂区生产环境：</w:t>
            </w:r>
          </w:p>
          <w:p w14:paraId="24F144A0">
            <w:pPr>
              <w:numPr>
                <w:ilvl w:val="0"/>
                <w:numId w:val="3"/>
              </w:numPr>
              <w:spacing w:line="240" w:lineRule="auto"/>
              <w:ind w:firstLine="0" w:firstLineChars="0"/>
              <w:rPr>
                <w:color w:val="auto"/>
                <w:sz w:val="21"/>
                <w:szCs w:val="21"/>
              </w:rPr>
            </w:pPr>
            <w:r>
              <w:rPr>
                <w:rFonts w:hint="eastAsia"/>
                <w:color w:val="auto"/>
                <w:sz w:val="21"/>
                <w:szCs w:val="21"/>
              </w:rPr>
              <w:t>生产车间地面采取防渗、防漏和防腐措施，厂区道路经过硬化处理。</w:t>
            </w:r>
          </w:p>
          <w:p w14:paraId="56E275AE">
            <w:pPr>
              <w:numPr>
                <w:ilvl w:val="0"/>
                <w:numId w:val="3"/>
              </w:numPr>
              <w:spacing w:line="240" w:lineRule="auto"/>
              <w:ind w:firstLine="0" w:firstLineChars="0"/>
              <w:rPr>
                <w:color w:val="auto"/>
                <w:sz w:val="21"/>
                <w:szCs w:val="21"/>
              </w:rPr>
            </w:pPr>
            <w:r>
              <w:rPr>
                <w:color w:val="auto"/>
                <w:sz w:val="21"/>
                <w:szCs w:val="21"/>
              </w:rPr>
              <w:t>车间内实施干湿区分离，湿镀件作业在湿区进行，湿区废水、废液单独收集处理。</w:t>
            </w:r>
          </w:p>
          <w:p w14:paraId="48C97FF5">
            <w:pPr>
              <w:numPr>
                <w:ilvl w:val="0"/>
                <w:numId w:val="3"/>
              </w:numPr>
              <w:spacing w:line="240" w:lineRule="auto"/>
              <w:ind w:firstLine="0" w:firstLineChars="0"/>
              <w:rPr>
                <w:color w:val="auto"/>
                <w:sz w:val="21"/>
                <w:szCs w:val="21"/>
              </w:rPr>
            </w:pPr>
            <w:r>
              <w:rPr>
                <w:color w:val="auto"/>
                <w:sz w:val="21"/>
                <w:szCs w:val="21"/>
              </w:rPr>
              <w:t>电镀生产各独立项目或企业应单独安装水、电计量装置。</w:t>
            </w:r>
          </w:p>
          <w:p w14:paraId="753EBB7C">
            <w:pPr>
              <w:numPr>
                <w:ilvl w:val="0"/>
                <w:numId w:val="3"/>
              </w:numPr>
              <w:spacing w:line="240" w:lineRule="auto"/>
              <w:ind w:firstLine="0" w:firstLineChars="0"/>
              <w:rPr>
                <w:color w:val="auto"/>
                <w:sz w:val="21"/>
                <w:szCs w:val="21"/>
              </w:rPr>
            </w:pPr>
            <w:r>
              <w:rPr>
                <w:color w:val="auto"/>
                <w:sz w:val="21"/>
                <w:szCs w:val="21"/>
              </w:rPr>
              <w:t>生产现场无跑冒滴漏现象，环境整洁、管理有序。</w:t>
            </w:r>
          </w:p>
        </w:tc>
        <w:tc>
          <w:tcPr>
            <w:tcW w:w="1829" w:type="pct"/>
            <w:tcBorders>
              <w:tl2br w:val="nil"/>
              <w:tr2bl w:val="nil"/>
            </w:tcBorders>
            <w:shd w:val="clear" w:color="auto" w:fill="auto"/>
            <w:vAlign w:val="center"/>
          </w:tcPr>
          <w:p w14:paraId="02AB69F4">
            <w:pPr>
              <w:pStyle w:val="80"/>
              <w:widowControl w:val="0"/>
              <w:numPr>
                <w:ilvl w:val="0"/>
                <w:numId w:val="4"/>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项目采用分区防渗措施，重点防渗区为储罐区、模具处理车间、液氨储存区、阳极氧化线污水处理区、原料仓库、化学品库、事故池、</w:t>
            </w:r>
            <w:r>
              <w:rPr>
                <w:snapToGrid w:val="0"/>
                <w:color w:val="auto"/>
                <w:spacing w:val="-2"/>
                <w:szCs w:val="21"/>
              </w:rPr>
              <w:t>危废暂存间</w:t>
            </w:r>
            <w:r>
              <w:rPr>
                <w:rFonts w:hint="eastAsia"/>
                <w:snapToGrid w:val="0"/>
                <w:color w:val="auto"/>
                <w:spacing w:val="-2"/>
                <w:szCs w:val="21"/>
              </w:rPr>
              <w:t>、污泥堆场和管道等，</w:t>
            </w:r>
            <w:r>
              <w:rPr>
                <w:rFonts w:hint="eastAsia" w:ascii="Times New Roman" w:hAnsi="Times New Roman"/>
                <w:color w:val="auto"/>
                <w:szCs w:val="21"/>
              </w:rPr>
              <w:t>等效黏土防渗层Mb≥6.0m，K≤1×10</w:t>
            </w:r>
            <w:r>
              <w:rPr>
                <w:rFonts w:hint="eastAsia" w:ascii="Times New Roman" w:hAnsi="Times New Roman"/>
                <w:color w:val="auto"/>
                <w:szCs w:val="21"/>
                <w:vertAlign w:val="superscript"/>
              </w:rPr>
              <w:t>-7</w:t>
            </w:r>
            <w:r>
              <w:rPr>
                <w:rFonts w:hint="eastAsia" w:ascii="Times New Roman" w:hAnsi="Times New Roman"/>
                <w:color w:val="auto"/>
                <w:szCs w:val="21"/>
              </w:rPr>
              <w:t>cm/s，或者参照《危险废物贮存污染控制标准》（GB18597-2023）执行；厂区道路拟进行硬化处理；</w:t>
            </w:r>
          </w:p>
          <w:p w14:paraId="050C6A52">
            <w:pPr>
              <w:pStyle w:val="80"/>
              <w:widowControl w:val="0"/>
              <w:numPr>
                <w:ilvl w:val="0"/>
                <w:numId w:val="4"/>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项目阳极氧化车间位于单独的区域，产生的废水和废液单独收集处理处置，其中脱脂槽液、中和槽液妥善收集后作为危废处置，碱蚀和阳极氧化线碱液和酸液通过回收装置回收利用，着色和封孔槽液循环过滤使用，水洗废水妥善收集后送入厂区综合污水处理系统处理。</w:t>
            </w:r>
          </w:p>
          <w:p w14:paraId="48577381">
            <w:pPr>
              <w:pStyle w:val="80"/>
              <w:widowControl w:val="0"/>
              <w:numPr>
                <w:ilvl w:val="0"/>
                <w:numId w:val="4"/>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本项目各车间拟按照要求单独安装水、电计量装置。</w:t>
            </w:r>
          </w:p>
          <w:p w14:paraId="5DF6F0AC">
            <w:pPr>
              <w:pStyle w:val="80"/>
              <w:widowControl w:val="0"/>
              <w:numPr>
                <w:ilvl w:val="0"/>
                <w:numId w:val="4"/>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本项目将严格管理，杜绝生产现场跑冒滴漏现象，保持良好的环境，加强管理。</w:t>
            </w:r>
          </w:p>
        </w:tc>
      </w:tr>
      <w:tr w14:paraId="7C3D9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5B35C357">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3893B8CC">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16253BEF">
            <w:pPr>
              <w:spacing w:line="240" w:lineRule="auto"/>
              <w:ind w:firstLine="0" w:firstLineChars="0"/>
              <w:rPr>
                <w:b/>
                <w:bCs/>
                <w:color w:val="auto"/>
                <w:sz w:val="21"/>
                <w:szCs w:val="21"/>
              </w:rPr>
            </w:pPr>
            <w:r>
              <w:rPr>
                <w:rFonts w:hint="eastAsia"/>
                <w:b/>
                <w:bCs/>
                <w:color w:val="auto"/>
                <w:sz w:val="21"/>
                <w:szCs w:val="21"/>
              </w:rPr>
              <w:t>（五）废水处理：</w:t>
            </w:r>
          </w:p>
          <w:p w14:paraId="2D7900CA">
            <w:pPr>
              <w:numPr>
                <w:ilvl w:val="0"/>
                <w:numId w:val="5"/>
              </w:numPr>
              <w:spacing w:line="240" w:lineRule="auto"/>
              <w:ind w:firstLine="0" w:firstLineChars="0"/>
              <w:rPr>
                <w:color w:val="auto"/>
                <w:sz w:val="21"/>
                <w:szCs w:val="21"/>
              </w:rPr>
            </w:pPr>
            <w:r>
              <w:rPr>
                <w:rFonts w:hint="eastAsia"/>
                <w:color w:val="auto"/>
                <w:sz w:val="21"/>
                <w:szCs w:val="21"/>
              </w:rPr>
              <w:t>实行雨污分流。初期雨水收集池规范，满足初期雨量的容积要求；生产废水分质分流，废水管线采用明沟套明管或架空敷设。厂区雨水、污水收集和排放系统等各类管线设置清晰。</w:t>
            </w:r>
          </w:p>
          <w:p w14:paraId="16200B5E">
            <w:pPr>
              <w:numPr>
                <w:ilvl w:val="0"/>
                <w:numId w:val="5"/>
              </w:numPr>
              <w:spacing w:line="240" w:lineRule="auto"/>
              <w:ind w:firstLine="0" w:firstLineChars="0"/>
              <w:rPr>
                <w:color w:val="auto"/>
                <w:sz w:val="21"/>
                <w:szCs w:val="21"/>
              </w:rPr>
            </w:pPr>
            <w:r>
              <w:rPr>
                <w:color w:val="auto"/>
                <w:sz w:val="21"/>
                <w:szCs w:val="21"/>
              </w:rPr>
              <w:t>初期雨水和生活污水按规定进行处理；生产废水实行分质处理，并建有与生产能力和污染物种类配套的废水处理设施。</w:t>
            </w:r>
          </w:p>
          <w:p w14:paraId="6660E1A6">
            <w:pPr>
              <w:numPr>
                <w:ilvl w:val="0"/>
                <w:numId w:val="5"/>
              </w:numPr>
              <w:spacing w:line="240" w:lineRule="auto"/>
              <w:ind w:firstLine="0" w:firstLineChars="0"/>
              <w:rPr>
                <w:color w:val="auto"/>
                <w:sz w:val="21"/>
                <w:szCs w:val="21"/>
              </w:rPr>
            </w:pPr>
            <w:r>
              <w:rPr>
                <w:color w:val="auto"/>
                <w:sz w:val="21"/>
                <w:szCs w:val="21"/>
              </w:rPr>
              <w:t>废水处理设施正常运行，能够实现稳定达标排放。</w:t>
            </w:r>
          </w:p>
          <w:p w14:paraId="2DBD889A">
            <w:pPr>
              <w:numPr>
                <w:ilvl w:val="0"/>
                <w:numId w:val="5"/>
              </w:numPr>
              <w:spacing w:line="240" w:lineRule="auto"/>
              <w:ind w:firstLine="0" w:firstLineChars="0"/>
              <w:rPr>
                <w:color w:val="auto"/>
                <w:sz w:val="21"/>
                <w:szCs w:val="21"/>
              </w:rPr>
            </w:pPr>
            <w:r>
              <w:rPr>
                <w:color w:val="auto"/>
                <w:sz w:val="21"/>
                <w:szCs w:val="21"/>
              </w:rPr>
              <w:t>废水排放符合《电镀污染物排放标准》（GB21900-2008）中相应的排放限值要求。</w:t>
            </w:r>
          </w:p>
          <w:p w14:paraId="5B2E59FB">
            <w:pPr>
              <w:numPr>
                <w:ilvl w:val="0"/>
                <w:numId w:val="5"/>
              </w:numPr>
              <w:spacing w:line="240" w:lineRule="auto"/>
              <w:ind w:firstLine="0" w:firstLineChars="0"/>
              <w:rPr>
                <w:color w:val="auto"/>
                <w:sz w:val="21"/>
                <w:szCs w:val="21"/>
              </w:rPr>
            </w:pPr>
            <w:r>
              <w:rPr>
                <w:color w:val="auto"/>
                <w:sz w:val="21"/>
                <w:szCs w:val="21"/>
              </w:rPr>
              <w:t>生产废水排放口符合规范化整治要求，安装主要污染物的在线监控设备，雨水排放口设pH在线监控设备，并与环保部门联网。</w:t>
            </w:r>
          </w:p>
        </w:tc>
        <w:tc>
          <w:tcPr>
            <w:tcW w:w="1829" w:type="pct"/>
            <w:tcBorders>
              <w:tl2br w:val="nil"/>
              <w:tr2bl w:val="nil"/>
            </w:tcBorders>
            <w:shd w:val="clear" w:color="auto" w:fill="auto"/>
            <w:vAlign w:val="center"/>
          </w:tcPr>
          <w:p w14:paraId="1C3ECA74">
            <w:pPr>
              <w:pStyle w:val="80"/>
              <w:widowControl w:val="0"/>
              <w:numPr>
                <w:ilvl w:val="0"/>
                <w:numId w:val="6"/>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实行清污分流，雨污分流。本项目涉及阳极氧化工艺，参照电镀行业管理要求进行雨水管理，对照《江苏省重点行业工业企业雨水排放环境管理办法（试行）》要求，本项目将按要求制定雨水管理制度，已绘制管网分布图，标明雨水管网及排放口位置（具体见附图7.2-5），本项目实施雨污分流、清污分流，严禁将生产废水和生活污水接入雨水收集系统，或出现溢流、渗漏进入雨水收集管网的现象，对初期雨水进行收集，收集后的初期雨水与生产废水经厂区综合废水处理系统预处理达标后一起接入开发区临港污水处理厂，与文件要求相符。</w:t>
            </w:r>
          </w:p>
          <w:p w14:paraId="2FE97692">
            <w:pPr>
              <w:pStyle w:val="80"/>
              <w:widowControl w:val="0"/>
              <w:numPr>
                <w:ilvl w:val="0"/>
                <w:numId w:val="6"/>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生产废水和生活污水实行“分质处理”。酸碱废水、模具处理工艺废水、酸碱废气处理废水、氧化工段地面清洗废水、纯水制备装置反冲洗废水、纯水制备装置再生废水、循环冷却排水和初期雨水送入厂区综合污水处理系统处理（工艺为“调节+混凝反应+沉淀”），封孔废水先送入封孔废水处理系统（工艺为“调节+混凝反应+沉淀”），再送入综合废水处理系统处理；生活污水和食堂废水分别经化粪池、隔油池+化粪池预处理后接管至开发区临港污水处理厂进行处理；本项目废水处理站将严格按照要求运行，确保污染物实现稳定达标排放。</w:t>
            </w:r>
          </w:p>
          <w:p w14:paraId="2A767BE2">
            <w:pPr>
              <w:pStyle w:val="80"/>
              <w:widowControl w:val="0"/>
              <w:numPr>
                <w:ilvl w:val="0"/>
                <w:numId w:val="6"/>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生产废水排放符合《电镀污染物排放标准》（GB21900-2008）中相应的排放限值要求，其余废水经预处理后满足《污水排入城镇下水道水质标准》（GB/T31962-2015）表1中的A标准及符合开发区临港污水处理厂接管标准。</w:t>
            </w:r>
          </w:p>
          <w:p w14:paraId="1E7B5376">
            <w:pPr>
              <w:pStyle w:val="80"/>
              <w:widowControl w:val="0"/>
              <w:numPr>
                <w:ilvl w:val="0"/>
                <w:numId w:val="6"/>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生产废水排放口符合规范化整治要求，安装流量计、COD自动监控设备，并与环保部门联网。</w:t>
            </w:r>
          </w:p>
        </w:tc>
      </w:tr>
      <w:tr w14:paraId="552C0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6303C186">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222411AA">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5CC67462">
            <w:pPr>
              <w:spacing w:line="240" w:lineRule="auto"/>
              <w:ind w:firstLine="0" w:firstLineChars="0"/>
              <w:rPr>
                <w:b/>
                <w:bCs/>
                <w:color w:val="auto"/>
                <w:sz w:val="21"/>
                <w:szCs w:val="21"/>
              </w:rPr>
            </w:pPr>
            <w:r>
              <w:rPr>
                <w:rFonts w:hint="eastAsia"/>
                <w:b/>
                <w:bCs/>
                <w:color w:val="auto"/>
                <w:sz w:val="21"/>
                <w:szCs w:val="21"/>
              </w:rPr>
              <w:t>（六）废气处理：</w:t>
            </w:r>
          </w:p>
          <w:p w14:paraId="446BB456">
            <w:pPr>
              <w:numPr>
                <w:ilvl w:val="0"/>
                <w:numId w:val="7"/>
              </w:numPr>
              <w:spacing w:line="240" w:lineRule="auto"/>
              <w:ind w:firstLine="0" w:firstLineChars="0"/>
              <w:rPr>
                <w:color w:val="auto"/>
                <w:sz w:val="21"/>
                <w:szCs w:val="21"/>
              </w:rPr>
            </w:pPr>
            <w:r>
              <w:rPr>
                <w:rFonts w:hint="eastAsia"/>
                <w:color w:val="auto"/>
                <w:sz w:val="21"/>
                <w:szCs w:val="21"/>
              </w:rPr>
              <w:t>氢氰酸、铬酸雾排放的工段设置专门收集系统和处理设施，处理达标后高空排放。</w:t>
            </w:r>
          </w:p>
          <w:p w14:paraId="72F20DD2">
            <w:pPr>
              <w:numPr>
                <w:ilvl w:val="0"/>
                <w:numId w:val="7"/>
              </w:numPr>
              <w:spacing w:line="240" w:lineRule="auto"/>
              <w:ind w:firstLine="0" w:firstLineChars="0"/>
              <w:rPr>
                <w:color w:val="auto"/>
                <w:sz w:val="21"/>
                <w:szCs w:val="21"/>
              </w:rPr>
            </w:pPr>
            <w:r>
              <w:rPr>
                <w:color w:val="auto"/>
                <w:sz w:val="21"/>
                <w:szCs w:val="21"/>
              </w:rPr>
              <w:t>镀槽采用上吸式集气罩或侧吸式集气罩，按要求接入废气收集处理系统。</w:t>
            </w:r>
          </w:p>
          <w:p w14:paraId="4B09358A">
            <w:pPr>
              <w:numPr>
                <w:ilvl w:val="0"/>
                <w:numId w:val="7"/>
              </w:numPr>
              <w:spacing w:line="240" w:lineRule="auto"/>
              <w:ind w:firstLine="0" w:firstLineChars="0"/>
              <w:rPr>
                <w:color w:val="auto"/>
                <w:sz w:val="21"/>
                <w:szCs w:val="21"/>
              </w:rPr>
            </w:pPr>
            <w:r>
              <w:rPr>
                <w:color w:val="auto"/>
                <w:sz w:val="21"/>
                <w:szCs w:val="21"/>
              </w:rPr>
              <w:t>产生大气污染物的工艺装置均应设立气体收集和集中处理装置。废气处理设施要正常运行，定期检测，确保稳定达标。</w:t>
            </w:r>
          </w:p>
          <w:p w14:paraId="3B57B98A">
            <w:pPr>
              <w:numPr>
                <w:ilvl w:val="0"/>
                <w:numId w:val="7"/>
              </w:numPr>
              <w:spacing w:line="240" w:lineRule="auto"/>
              <w:ind w:firstLine="0" w:firstLineChars="0"/>
              <w:rPr>
                <w:color w:val="auto"/>
                <w:sz w:val="21"/>
                <w:szCs w:val="21"/>
              </w:rPr>
            </w:pPr>
            <w:r>
              <w:rPr>
                <w:color w:val="auto"/>
                <w:sz w:val="21"/>
                <w:szCs w:val="21"/>
              </w:rPr>
              <w:t>废气排放符合《电镀污染物排放标准》（GB21900-2008）中相应的排放限值要求。</w:t>
            </w:r>
          </w:p>
        </w:tc>
        <w:tc>
          <w:tcPr>
            <w:tcW w:w="1829" w:type="pct"/>
            <w:tcBorders>
              <w:tl2br w:val="nil"/>
              <w:tr2bl w:val="nil"/>
            </w:tcBorders>
            <w:shd w:val="clear" w:color="auto" w:fill="auto"/>
            <w:vAlign w:val="center"/>
          </w:tcPr>
          <w:p w14:paraId="2F75A4C5">
            <w:pPr>
              <w:pStyle w:val="80"/>
              <w:widowControl w:val="0"/>
              <w:numPr>
                <w:ilvl w:val="0"/>
                <w:numId w:val="8"/>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本项目不涉及氢氰酸、铬酸雾，产生的硫酸雾经收集处理后高空排放。</w:t>
            </w:r>
          </w:p>
          <w:p w14:paraId="4F3EF7E7">
            <w:pPr>
              <w:pStyle w:val="80"/>
              <w:widowControl w:val="0"/>
              <w:numPr>
                <w:ilvl w:val="0"/>
                <w:numId w:val="8"/>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阳极氧化槽上方设置侧吸+阴极梁吸风罩，密闭性较好，可按要求接入废气收集处理系统。</w:t>
            </w:r>
          </w:p>
          <w:p w14:paraId="3DB926B2">
            <w:pPr>
              <w:pStyle w:val="80"/>
              <w:widowControl w:val="0"/>
              <w:numPr>
                <w:ilvl w:val="0"/>
                <w:numId w:val="8"/>
              </w:numPr>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rPr>
              <w:t>本项目产生的大气污染物的工艺装置将按要求设立气体收集和集中处理装置。本项目将加强管理，确保废气处理</w:t>
            </w:r>
            <w:r>
              <w:rPr>
                <w:rFonts w:hint="eastAsia" w:ascii="Times New Roman" w:hAnsi="Times New Roman"/>
                <w:color w:val="auto"/>
                <w:szCs w:val="21"/>
              </w:rPr>
              <w:t>设施</w:t>
            </w:r>
            <w:r>
              <w:rPr>
                <w:rFonts w:ascii="Times New Roman" w:hAnsi="Times New Roman"/>
                <w:color w:val="auto"/>
                <w:szCs w:val="21"/>
              </w:rPr>
              <w:t>正常运行，并加强定期监测，确保废气稳定达标排放。</w:t>
            </w:r>
          </w:p>
          <w:p w14:paraId="030E42F9">
            <w:pPr>
              <w:pStyle w:val="80"/>
              <w:widowControl w:val="0"/>
              <w:numPr>
                <w:ilvl w:val="0"/>
                <w:numId w:val="8"/>
              </w:numPr>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rPr>
              <w:t>本项目废气排放满足《电镀污染物排放标准》（GB21900-2008）及</w:t>
            </w:r>
            <w:r>
              <w:rPr>
                <w:rFonts w:hint="eastAsia" w:ascii="Times New Roman" w:hAnsi="Times New Roman"/>
                <w:color w:val="auto"/>
                <w:szCs w:val="21"/>
              </w:rPr>
              <w:t>江苏省地方标准</w:t>
            </w:r>
            <w:r>
              <w:rPr>
                <w:rFonts w:ascii="Times New Roman" w:hAnsi="Times New Roman"/>
                <w:color w:val="auto"/>
                <w:szCs w:val="21"/>
              </w:rPr>
              <w:t>《大</w:t>
            </w:r>
            <w:r>
              <w:rPr>
                <w:rFonts w:hint="eastAsia" w:ascii="Times New Roman" w:hAnsi="Times New Roman"/>
                <w:color w:val="auto"/>
                <w:szCs w:val="21"/>
              </w:rPr>
              <w:t>气污</w:t>
            </w:r>
            <w:r>
              <w:rPr>
                <w:rFonts w:ascii="Times New Roman" w:hAnsi="Times New Roman"/>
                <w:color w:val="auto"/>
                <w:szCs w:val="21"/>
              </w:rPr>
              <w:t>染物综合排放标准》（DB32/4041-2021）中相关</w:t>
            </w:r>
            <w:r>
              <w:rPr>
                <w:rFonts w:hint="eastAsia" w:ascii="Times New Roman" w:hAnsi="Times New Roman"/>
                <w:color w:val="auto"/>
                <w:szCs w:val="21"/>
              </w:rPr>
              <w:t>标准</w:t>
            </w:r>
            <w:r>
              <w:rPr>
                <w:rFonts w:ascii="Times New Roman" w:hAnsi="Times New Roman"/>
                <w:color w:val="auto"/>
                <w:szCs w:val="21"/>
              </w:rPr>
              <w:t>要求。</w:t>
            </w:r>
          </w:p>
        </w:tc>
      </w:tr>
      <w:tr w14:paraId="08E8B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155A58C0">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460B71AD">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4014CEF7">
            <w:pPr>
              <w:spacing w:line="240" w:lineRule="auto"/>
              <w:ind w:firstLine="0" w:firstLineChars="0"/>
              <w:rPr>
                <w:b/>
                <w:bCs/>
                <w:color w:val="auto"/>
                <w:sz w:val="21"/>
                <w:szCs w:val="21"/>
              </w:rPr>
            </w:pPr>
            <w:r>
              <w:rPr>
                <w:rFonts w:hint="eastAsia"/>
                <w:b/>
                <w:bCs/>
                <w:color w:val="auto"/>
                <w:sz w:val="21"/>
                <w:szCs w:val="21"/>
              </w:rPr>
              <w:t>（七）固体废物管理：</w:t>
            </w:r>
          </w:p>
          <w:p w14:paraId="7954C0C1">
            <w:pPr>
              <w:spacing w:line="240" w:lineRule="auto"/>
              <w:ind w:firstLine="0" w:firstLineChars="0"/>
              <w:rPr>
                <w:color w:val="auto"/>
                <w:sz w:val="21"/>
                <w:szCs w:val="21"/>
              </w:rPr>
            </w:pPr>
            <w:r>
              <w:rPr>
                <w:rFonts w:hint="eastAsia"/>
                <w:color w:val="auto"/>
                <w:sz w:val="21"/>
                <w:szCs w:val="21"/>
              </w:rPr>
              <w:t>1、危险废物按照特性分类收集、贮存，贮存期限原则上不应超过一年，确需延长贮存期限的必须报请环保部门批准。</w:t>
            </w:r>
          </w:p>
          <w:p w14:paraId="4373A2F3">
            <w:pPr>
              <w:spacing w:line="240" w:lineRule="auto"/>
              <w:ind w:firstLine="0" w:firstLineChars="0"/>
              <w:rPr>
                <w:color w:val="auto"/>
                <w:sz w:val="21"/>
                <w:szCs w:val="21"/>
              </w:rPr>
            </w:pPr>
            <w:r>
              <w:rPr>
                <w:rFonts w:hint="eastAsia"/>
                <w:color w:val="auto"/>
                <w:sz w:val="21"/>
                <w:szCs w:val="21"/>
              </w:rPr>
              <w:t>2、危险废物贮存场所地面做硬化处理，有防水、防风、防渗措施，渗滤液纳入污水处理设施。</w:t>
            </w:r>
          </w:p>
          <w:p w14:paraId="463F216A">
            <w:pPr>
              <w:spacing w:line="240" w:lineRule="auto"/>
              <w:ind w:firstLine="0" w:firstLineChars="0"/>
              <w:rPr>
                <w:color w:val="auto"/>
                <w:sz w:val="21"/>
                <w:szCs w:val="21"/>
              </w:rPr>
            </w:pPr>
            <w:r>
              <w:rPr>
                <w:rFonts w:hint="eastAsia"/>
                <w:color w:val="auto"/>
                <w:sz w:val="21"/>
                <w:szCs w:val="21"/>
              </w:rPr>
              <w:t>3、贮存场所设置危险废物警示标志，危险废物容器和包装物上有危险废物明显标志。</w:t>
            </w:r>
          </w:p>
          <w:p w14:paraId="7EF1B0E0">
            <w:pPr>
              <w:spacing w:line="240" w:lineRule="auto"/>
              <w:ind w:firstLine="0" w:firstLineChars="0"/>
              <w:rPr>
                <w:color w:val="auto"/>
                <w:sz w:val="21"/>
                <w:szCs w:val="21"/>
              </w:rPr>
            </w:pPr>
            <w:r>
              <w:rPr>
                <w:rFonts w:hint="eastAsia"/>
                <w:color w:val="auto"/>
                <w:sz w:val="21"/>
                <w:szCs w:val="21"/>
              </w:rPr>
              <w:t>4、建立工业危险废物管理台账，如实记录危险废物贮存、利用处置相关情况；制定危险废物管理计划并报县级以上环保部门备案；及时进行危险废物网上动态申报，如实申报危险废物种类、产生量、流向、贮存、处置等有关资料。</w:t>
            </w:r>
          </w:p>
          <w:p w14:paraId="191B8B9F">
            <w:pPr>
              <w:spacing w:line="240" w:lineRule="auto"/>
              <w:ind w:firstLine="0" w:firstLineChars="0"/>
              <w:rPr>
                <w:color w:val="auto"/>
                <w:sz w:val="21"/>
                <w:szCs w:val="21"/>
              </w:rPr>
            </w:pPr>
            <w:r>
              <w:rPr>
                <w:rFonts w:hint="eastAsia"/>
                <w:color w:val="auto"/>
                <w:sz w:val="21"/>
                <w:szCs w:val="21"/>
              </w:rPr>
              <w:t>5、危险废物应当委托具有相应危险废物经营资质的单位利用处置，严格执行危险废物转移计划审批和转移联单制度（省内转移执行网上报告制度）。</w:t>
            </w:r>
          </w:p>
        </w:tc>
        <w:tc>
          <w:tcPr>
            <w:tcW w:w="1829" w:type="pct"/>
            <w:tcBorders>
              <w:tl2br w:val="nil"/>
              <w:tr2bl w:val="nil"/>
            </w:tcBorders>
            <w:shd w:val="clear" w:color="auto" w:fill="auto"/>
            <w:vAlign w:val="center"/>
          </w:tcPr>
          <w:p w14:paraId="50C80B2F">
            <w:pPr>
              <w:pStyle w:val="80"/>
              <w:widowControl w:val="0"/>
              <w:spacing w:before="0" w:beforeAutospacing="0" w:after="0" w:afterAutospacing="0"/>
              <w:ind w:firstLine="0" w:firstLineChars="0"/>
              <w:jc w:val="both"/>
              <w:rPr>
                <w:rFonts w:ascii="Times New Roman" w:hAnsi="Times New Roman"/>
                <w:color w:val="auto"/>
              </w:rPr>
            </w:pPr>
            <w:r>
              <w:rPr>
                <w:rFonts w:hint="eastAsia" w:ascii="Times New Roman" w:hAnsi="Times New Roman"/>
                <w:color w:val="auto"/>
                <w:szCs w:val="21"/>
              </w:rPr>
              <w:t>1、</w:t>
            </w:r>
            <w:r>
              <w:rPr>
                <w:rFonts w:ascii="Times New Roman" w:hAnsi="Times New Roman"/>
                <w:color w:val="auto"/>
                <w:szCs w:val="21"/>
              </w:rPr>
              <w:t>本项目危险废物收集、贮存、处置等均按照《省生态环境厅关于</w:t>
            </w:r>
            <w:r>
              <w:rPr>
                <w:rFonts w:hint="eastAsia" w:ascii="Times New Roman" w:hAnsi="Times New Roman"/>
                <w:color w:val="auto"/>
                <w:szCs w:val="21"/>
              </w:rPr>
              <w:t>〈</w:t>
            </w:r>
            <w:r>
              <w:rPr>
                <w:rFonts w:ascii="Times New Roman" w:hAnsi="Times New Roman"/>
                <w:color w:val="auto"/>
                <w:szCs w:val="21"/>
              </w:rPr>
              <w:t>进一步完善一般工业固体废物环境管理</w:t>
            </w:r>
            <w:r>
              <w:rPr>
                <w:rFonts w:hint="eastAsia" w:ascii="Times New Roman" w:hAnsi="Times New Roman"/>
                <w:color w:val="auto"/>
                <w:szCs w:val="21"/>
              </w:rPr>
              <w:t>〉</w:t>
            </w:r>
            <w:r>
              <w:rPr>
                <w:rFonts w:ascii="Times New Roman" w:hAnsi="Times New Roman"/>
                <w:color w:val="auto"/>
                <w:szCs w:val="21"/>
              </w:rPr>
              <w:t>的通知》（苏环办〔2023〕327号）和</w:t>
            </w:r>
            <w:r>
              <w:rPr>
                <w:rFonts w:ascii="Times New Roman" w:hAnsi="Times New Roman"/>
                <w:color w:val="auto"/>
              </w:rPr>
              <w:t>《省生态环境厅关于印发</w:t>
            </w:r>
            <w:r>
              <w:rPr>
                <w:rFonts w:hint="eastAsia" w:ascii="Times New Roman" w:hAnsi="Times New Roman"/>
                <w:color w:val="auto"/>
              </w:rPr>
              <w:t>〈</w:t>
            </w:r>
            <w:r>
              <w:rPr>
                <w:rFonts w:ascii="Times New Roman" w:hAnsi="Times New Roman"/>
                <w:color w:val="auto"/>
              </w:rPr>
              <w:t>江苏省</w:t>
            </w:r>
            <w:r>
              <w:rPr>
                <w:rFonts w:hint="eastAsia" w:ascii="Times New Roman" w:hAnsi="Times New Roman"/>
                <w:color w:val="auto"/>
              </w:rPr>
              <w:t>固体</w:t>
            </w:r>
            <w:r>
              <w:rPr>
                <w:rFonts w:ascii="Times New Roman" w:hAnsi="Times New Roman"/>
                <w:color w:val="auto"/>
              </w:rPr>
              <w:t>废物全过程环境监管工作意见</w:t>
            </w:r>
            <w:r>
              <w:rPr>
                <w:rFonts w:hint="eastAsia" w:ascii="Times New Roman" w:hAnsi="Times New Roman"/>
                <w:color w:val="auto"/>
              </w:rPr>
              <w:t>〉</w:t>
            </w:r>
            <w:r>
              <w:rPr>
                <w:rFonts w:ascii="Times New Roman" w:hAnsi="Times New Roman"/>
                <w:color w:val="auto"/>
              </w:rPr>
              <w:t>的通知》（苏环办〔2024〕16号）文件中相关要求执行</w:t>
            </w:r>
            <w:r>
              <w:rPr>
                <w:rFonts w:hint="eastAsia" w:ascii="Times New Roman" w:hAnsi="Times New Roman"/>
                <w:color w:val="auto"/>
              </w:rPr>
              <w:t>；本项目危险废物将按照特性分类收集、贮存，周期不超过一年。</w:t>
            </w:r>
          </w:p>
          <w:p w14:paraId="2561DB4C">
            <w:pPr>
              <w:pStyle w:val="80"/>
              <w:widowControl w:val="0"/>
              <w:spacing w:before="0" w:beforeAutospacing="0" w:after="0" w:afterAutospacing="0"/>
              <w:ind w:firstLine="0" w:firstLineChars="0"/>
              <w:jc w:val="both"/>
              <w:rPr>
                <w:rFonts w:ascii="Times New Roman" w:hAnsi="Times New Roman"/>
                <w:color w:val="auto"/>
              </w:rPr>
            </w:pPr>
            <w:r>
              <w:rPr>
                <w:rFonts w:hint="eastAsia" w:ascii="Times New Roman" w:hAnsi="Times New Roman"/>
                <w:color w:val="auto"/>
              </w:rPr>
              <w:t>2、本项目危险废物贮存场所地面拟作硬化处理，有防水、防风、防渗措施，渗滤液纳入污水处理设施。</w:t>
            </w:r>
          </w:p>
          <w:p w14:paraId="3626C88E">
            <w:pPr>
              <w:pStyle w:val="80"/>
              <w:widowControl w:val="0"/>
              <w:spacing w:before="0" w:beforeAutospacing="0" w:after="0" w:afterAutospacing="0"/>
              <w:ind w:firstLine="0" w:firstLineChars="0"/>
              <w:jc w:val="both"/>
              <w:rPr>
                <w:rFonts w:hint="eastAsia"/>
                <w:color w:val="auto"/>
              </w:rPr>
            </w:pPr>
            <w:r>
              <w:rPr>
                <w:rFonts w:hint="eastAsia" w:ascii="Times New Roman" w:hAnsi="Times New Roman"/>
                <w:color w:val="auto"/>
              </w:rPr>
              <w:t>3、本项目贮存场所将按要求设置危险废物警示标志，危险废物容器和包装物上具有危险废物明显标志。</w:t>
            </w:r>
          </w:p>
        </w:tc>
      </w:tr>
      <w:tr w14:paraId="17CDB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61BB77DA">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6FF1C74D">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2977BE66">
            <w:pPr>
              <w:numPr>
                <w:ilvl w:val="0"/>
                <w:numId w:val="9"/>
              </w:numPr>
              <w:spacing w:line="240" w:lineRule="auto"/>
              <w:ind w:firstLine="0" w:firstLineChars="0"/>
              <w:rPr>
                <w:b/>
                <w:bCs/>
                <w:color w:val="auto"/>
                <w:sz w:val="21"/>
                <w:szCs w:val="21"/>
              </w:rPr>
            </w:pPr>
            <w:r>
              <w:rPr>
                <w:rFonts w:hint="eastAsia"/>
                <w:b/>
                <w:bCs/>
                <w:color w:val="auto"/>
                <w:sz w:val="21"/>
                <w:szCs w:val="21"/>
              </w:rPr>
              <w:t>清洁生产：</w:t>
            </w:r>
          </w:p>
          <w:p w14:paraId="71D01868">
            <w:pPr>
              <w:spacing w:line="240" w:lineRule="auto"/>
              <w:ind w:firstLine="0" w:firstLineChars="0"/>
              <w:rPr>
                <w:color w:val="auto"/>
                <w:sz w:val="21"/>
                <w:szCs w:val="21"/>
              </w:rPr>
            </w:pPr>
            <w:r>
              <w:rPr>
                <w:color w:val="auto"/>
                <w:sz w:val="21"/>
                <w:szCs w:val="21"/>
              </w:rPr>
              <w:t>按照国家重金属“十二五”规划考核要求，每两年开展一轮强制性清洁生产审核且达到《电镀行业清洁生产标准》的相关要求。</w:t>
            </w:r>
          </w:p>
        </w:tc>
        <w:tc>
          <w:tcPr>
            <w:tcW w:w="1829" w:type="pct"/>
            <w:tcBorders>
              <w:tl2br w:val="nil"/>
              <w:tr2bl w:val="nil"/>
            </w:tcBorders>
            <w:shd w:val="clear" w:color="auto" w:fill="auto"/>
            <w:vAlign w:val="center"/>
          </w:tcPr>
          <w:p w14:paraId="57454750">
            <w:pPr>
              <w:pStyle w:val="80"/>
              <w:widowControl w:val="0"/>
              <w:spacing w:before="0" w:beforeAutospacing="0" w:after="0" w:afterAutospacing="0"/>
              <w:ind w:firstLine="0" w:firstLineChars="0"/>
              <w:jc w:val="center"/>
              <w:rPr>
                <w:rFonts w:ascii="Times New Roman" w:hAnsi="Times New Roman"/>
                <w:color w:val="auto"/>
                <w:szCs w:val="21"/>
              </w:rPr>
            </w:pPr>
            <w:r>
              <w:rPr>
                <w:rFonts w:hint="eastAsia" w:ascii="Times New Roman" w:hAnsi="Times New Roman"/>
                <w:color w:val="auto"/>
                <w:szCs w:val="21"/>
              </w:rPr>
              <w:t>企业承诺按规定开展清洁生产审核。</w:t>
            </w:r>
          </w:p>
        </w:tc>
      </w:tr>
      <w:tr w14:paraId="102CC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87" w:type="pct"/>
            <w:vMerge w:val="continue"/>
            <w:tcBorders>
              <w:tl2br w:val="nil"/>
              <w:tr2bl w:val="nil"/>
            </w:tcBorders>
            <w:shd w:val="clear" w:color="auto" w:fill="auto"/>
            <w:vAlign w:val="center"/>
          </w:tcPr>
          <w:p w14:paraId="4A60C335">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7D2D9341">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58771DFF">
            <w:pPr>
              <w:numPr>
                <w:ilvl w:val="0"/>
                <w:numId w:val="9"/>
              </w:numPr>
              <w:spacing w:line="240" w:lineRule="auto"/>
              <w:ind w:firstLine="0" w:firstLineChars="0"/>
              <w:rPr>
                <w:b/>
                <w:bCs/>
                <w:color w:val="auto"/>
                <w:sz w:val="21"/>
                <w:szCs w:val="21"/>
              </w:rPr>
            </w:pPr>
            <w:r>
              <w:rPr>
                <w:rFonts w:hint="eastAsia"/>
                <w:b/>
                <w:bCs/>
                <w:color w:val="auto"/>
                <w:sz w:val="21"/>
                <w:szCs w:val="21"/>
              </w:rPr>
              <w:t>风险应急管理：</w:t>
            </w:r>
          </w:p>
          <w:p w14:paraId="6CC6A35D">
            <w:pPr>
              <w:numPr>
                <w:ilvl w:val="0"/>
                <w:numId w:val="10"/>
              </w:numPr>
              <w:spacing w:line="240" w:lineRule="auto"/>
              <w:ind w:firstLine="0" w:firstLineChars="0"/>
              <w:rPr>
                <w:color w:val="auto"/>
                <w:sz w:val="21"/>
                <w:szCs w:val="21"/>
              </w:rPr>
            </w:pPr>
            <w:r>
              <w:rPr>
                <w:rFonts w:hint="eastAsia"/>
                <w:color w:val="auto"/>
                <w:sz w:val="21"/>
                <w:szCs w:val="21"/>
              </w:rPr>
              <w:t>危化品的使用经过审批，并有采购及使用等相关手续和记录。</w:t>
            </w:r>
          </w:p>
          <w:p w14:paraId="1B761DEC">
            <w:pPr>
              <w:numPr>
                <w:ilvl w:val="0"/>
                <w:numId w:val="10"/>
              </w:numPr>
              <w:spacing w:line="240" w:lineRule="auto"/>
              <w:ind w:firstLine="0" w:firstLineChars="0"/>
              <w:rPr>
                <w:color w:val="auto"/>
                <w:sz w:val="21"/>
                <w:szCs w:val="21"/>
              </w:rPr>
            </w:pPr>
            <w:r>
              <w:rPr>
                <w:color w:val="auto"/>
                <w:sz w:val="21"/>
                <w:szCs w:val="21"/>
              </w:rPr>
              <w:t>制定环境污染事故应急预案，并按要求备案，定期进行突发性环境污染事故应急演练。</w:t>
            </w:r>
          </w:p>
          <w:p w14:paraId="1D66B962">
            <w:pPr>
              <w:numPr>
                <w:ilvl w:val="0"/>
                <w:numId w:val="10"/>
              </w:numPr>
              <w:spacing w:line="240" w:lineRule="auto"/>
              <w:ind w:firstLine="0" w:firstLineChars="0"/>
              <w:rPr>
                <w:color w:val="auto"/>
                <w:sz w:val="21"/>
                <w:szCs w:val="21"/>
              </w:rPr>
            </w:pPr>
            <w:r>
              <w:rPr>
                <w:color w:val="auto"/>
                <w:sz w:val="21"/>
                <w:szCs w:val="21"/>
              </w:rPr>
              <w:t>按照预案要求配备相应的应急物资与设备。</w:t>
            </w:r>
          </w:p>
        </w:tc>
        <w:tc>
          <w:tcPr>
            <w:tcW w:w="1829" w:type="pct"/>
            <w:tcBorders>
              <w:tl2br w:val="nil"/>
              <w:tr2bl w:val="nil"/>
            </w:tcBorders>
            <w:shd w:val="clear" w:color="auto" w:fill="auto"/>
            <w:vAlign w:val="center"/>
          </w:tcPr>
          <w:p w14:paraId="08E2A57E">
            <w:pPr>
              <w:pStyle w:val="80"/>
              <w:widowControl w:val="0"/>
              <w:numPr>
                <w:ilvl w:val="0"/>
                <w:numId w:val="11"/>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企业承诺所有使用的危化品将通过正规渠道，并且将经过审批，并如实填写采购及使用等相关手续和记录。</w:t>
            </w:r>
          </w:p>
          <w:p w14:paraId="79F391C9">
            <w:pPr>
              <w:pStyle w:val="80"/>
              <w:widowControl w:val="0"/>
              <w:numPr>
                <w:ilvl w:val="0"/>
                <w:numId w:val="11"/>
              </w:numPr>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rPr>
              <w:t>本项目将在后一步制定环境污染事故应急预案，并按要求备案，定期进行突发性环境污染事故应急演练。</w:t>
            </w:r>
            <w:r>
              <w:rPr>
                <w:rFonts w:hint="eastAsia" w:ascii="Times New Roman" w:hAnsi="Times New Roman"/>
                <w:color w:val="auto"/>
                <w:szCs w:val="21"/>
              </w:rPr>
              <w:t>企业承诺将</w:t>
            </w:r>
            <w:r>
              <w:rPr>
                <w:rFonts w:ascii="Times New Roman" w:hAnsi="Times New Roman"/>
                <w:color w:val="auto"/>
                <w:szCs w:val="21"/>
              </w:rPr>
              <w:t>在投产前，配备齐全的应急物资与设备。</w:t>
            </w:r>
          </w:p>
        </w:tc>
      </w:tr>
      <w:tr w14:paraId="30096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l2br w:val="nil"/>
              <w:tr2bl w:val="nil"/>
            </w:tcBorders>
            <w:shd w:val="clear" w:color="auto" w:fill="auto"/>
            <w:vAlign w:val="center"/>
          </w:tcPr>
          <w:p w14:paraId="2041E84A">
            <w:pPr>
              <w:spacing w:line="240" w:lineRule="auto"/>
              <w:ind w:firstLine="0" w:firstLineChars="0"/>
              <w:jc w:val="center"/>
              <w:rPr>
                <w:color w:val="auto"/>
                <w:sz w:val="21"/>
                <w:szCs w:val="21"/>
              </w:rPr>
            </w:pPr>
          </w:p>
        </w:tc>
        <w:tc>
          <w:tcPr>
            <w:tcW w:w="739" w:type="pct"/>
            <w:gridSpan w:val="2"/>
            <w:vMerge w:val="continue"/>
            <w:tcBorders>
              <w:tl2br w:val="nil"/>
              <w:tr2bl w:val="nil"/>
            </w:tcBorders>
            <w:shd w:val="clear" w:color="auto" w:fill="auto"/>
            <w:vAlign w:val="center"/>
          </w:tcPr>
          <w:p w14:paraId="1B791A14">
            <w:pPr>
              <w:spacing w:line="240" w:lineRule="auto"/>
              <w:ind w:firstLine="0" w:firstLineChars="0"/>
              <w:jc w:val="center"/>
              <w:rPr>
                <w:color w:val="auto"/>
                <w:sz w:val="21"/>
                <w:szCs w:val="21"/>
              </w:rPr>
            </w:pPr>
          </w:p>
        </w:tc>
        <w:tc>
          <w:tcPr>
            <w:tcW w:w="2143" w:type="pct"/>
            <w:gridSpan w:val="2"/>
            <w:tcBorders>
              <w:tl2br w:val="nil"/>
              <w:tr2bl w:val="nil"/>
            </w:tcBorders>
            <w:shd w:val="clear" w:color="auto" w:fill="auto"/>
            <w:vAlign w:val="center"/>
          </w:tcPr>
          <w:p w14:paraId="0FEA37C7">
            <w:pPr>
              <w:numPr>
                <w:ilvl w:val="0"/>
                <w:numId w:val="9"/>
              </w:numPr>
              <w:spacing w:line="240" w:lineRule="auto"/>
              <w:ind w:firstLine="0" w:firstLineChars="0"/>
              <w:rPr>
                <w:b/>
                <w:bCs/>
                <w:color w:val="auto"/>
                <w:sz w:val="21"/>
                <w:szCs w:val="21"/>
              </w:rPr>
            </w:pPr>
            <w:r>
              <w:rPr>
                <w:rFonts w:hint="eastAsia"/>
                <w:b/>
                <w:bCs/>
                <w:color w:val="auto"/>
                <w:sz w:val="21"/>
                <w:szCs w:val="21"/>
              </w:rPr>
              <w:t>日常环保管理：</w:t>
            </w:r>
          </w:p>
          <w:p w14:paraId="276A7DD9">
            <w:pPr>
              <w:numPr>
                <w:ilvl w:val="0"/>
                <w:numId w:val="12"/>
              </w:numPr>
              <w:spacing w:line="240" w:lineRule="auto"/>
              <w:ind w:firstLine="0" w:firstLineChars="0"/>
              <w:rPr>
                <w:color w:val="auto"/>
                <w:sz w:val="21"/>
                <w:szCs w:val="21"/>
              </w:rPr>
            </w:pPr>
            <w:r>
              <w:rPr>
                <w:rFonts w:hint="eastAsia"/>
                <w:color w:val="auto"/>
                <w:sz w:val="21"/>
                <w:szCs w:val="21"/>
              </w:rPr>
              <w:t>监测能力建设。具备重金属污染物排放自行监测能力，制定重金属（特征污染因子）自行监测方案，实行日测月报制度。</w:t>
            </w:r>
          </w:p>
          <w:p w14:paraId="3B6ABC48">
            <w:pPr>
              <w:numPr>
                <w:ilvl w:val="0"/>
                <w:numId w:val="12"/>
              </w:numPr>
              <w:spacing w:line="240" w:lineRule="auto"/>
              <w:ind w:firstLine="0" w:firstLineChars="0"/>
              <w:rPr>
                <w:color w:val="auto"/>
                <w:sz w:val="21"/>
                <w:szCs w:val="21"/>
              </w:rPr>
            </w:pPr>
            <w:r>
              <w:rPr>
                <w:rFonts w:hint="eastAsia"/>
                <w:color w:val="auto"/>
                <w:sz w:val="21"/>
                <w:szCs w:val="21"/>
              </w:rPr>
              <w:t>规章制度齐全。设置专门的内部环保机构，建立企业领导、环境管理部门、车间负责人和专职环保员组成的企业环境管理责任体系。</w:t>
            </w:r>
          </w:p>
          <w:p w14:paraId="08C5F6D1">
            <w:pPr>
              <w:numPr>
                <w:ilvl w:val="0"/>
                <w:numId w:val="12"/>
              </w:numPr>
              <w:spacing w:line="240" w:lineRule="auto"/>
              <w:ind w:firstLine="0" w:firstLineChars="0"/>
              <w:rPr>
                <w:color w:val="auto"/>
                <w:sz w:val="21"/>
                <w:szCs w:val="21"/>
              </w:rPr>
            </w:pPr>
            <w:r>
              <w:rPr>
                <w:color w:val="auto"/>
                <w:sz w:val="21"/>
                <w:szCs w:val="21"/>
              </w:rPr>
              <w:t>资料档案齐全。每日的废水、废气处理设施运行、加药、电耗及维修记录、污染物监测</w:t>
            </w:r>
            <w:r>
              <w:rPr>
                <w:rFonts w:hint="eastAsia"/>
                <w:color w:val="auto"/>
                <w:sz w:val="21"/>
                <w:szCs w:val="21"/>
              </w:rPr>
              <w:t>台账</w:t>
            </w:r>
            <w:r>
              <w:rPr>
                <w:color w:val="auto"/>
                <w:sz w:val="21"/>
                <w:szCs w:val="21"/>
              </w:rPr>
              <w:t>等规范完备。</w:t>
            </w:r>
          </w:p>
        </w:tc>
        <w:tc>
          <w:tcPr>
            <w:tcW w:w="1829" w:type="pct"/>
            <w:tcBorders>
              <w:tl2br w:val="nil"/>
              <w:tr2bl w:val="nil"/>
            </w:tcBorders>
            <w:shd w:val="clear" w:color="auto" w:fill="auto"/>
            <w:vAlign w:val="center"/>
          </w:tcPr>
          <w:p w14:paraId="2D9A6F8B">
            <w:pPr>
              <w:pStyle w:val="80"/>
              <w:widowControl w:val="0"/>
              <w:numPr>
                <w:ilvl w:val="0"/>
                <w:numId w:val="13"/>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本项目不涉及。</w:t>
            </w:r>
          </w:p>
          <w:p w14:paraId="18B5E324">
            <w:pPr>
              <w:pStyle w:val="80"/>
              <w:widowControl w:val="0"/>
              <w:numPr>
                <w:ilvl w:val="0"/>
                <w:numId w:val="13"/>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本项目将制定齐全的规章制度，设置内部环保机构，并设置企业领导、环境管理部门、车间负责人和专职环保员组成的企业环境管理责任体系。</w:t>
            </w:r>
          </w:p>
          <w:p w14:paraId="14D7A609">
            <w:pPr>
              <w:pStyle w:val="80"/>
              <w:widowControl w:val="0"/>
              <w:numPr>
                <w:ilvl w:val="0"/>
                <w:numId w:val="13"/>
              </w:numPr>
              <w:spacing w:before="0" w:beforeAutospacing="0" w:after="0" w:afterAutospacing="0"/>
              <w:ind w:firstLine="0" w:firstLineChars="0"/>
              <w:jc w:val="both"/>
              <w:rPr>
                <w:rFonts w:ascii="Times New Roman" w:hAnsi="Times New Roman"/>
                <w:color w:val="auto"/>
                <w:szCs w:val="21"/>
              </w:rPr>
            </w:pPr>
            <w:r>
              <w:rPr>
                <w:rFonts w:hint="eastAsia" w:ascii="Times New Roman" w:hAnsi="Times New Roman"/>
                <w:color w:val="auto"/>
                <w:szCs w:val="21"/>
              </w:rPr>
              <w:t>本项目将制定完善的档案制度，将严格落实每日的废水、废气处理设施运行、加药、电耗及维修记录、污染物监测台账。</w:t>
            </w:r>
          </w:p>
        </w:tc>
      </w:tr>
      <w:tr w14:paraId="529D7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tcBorders>
              <w:tl2br w:val="nil"/>
              <w:tr2bl w:val="nil"/>
            </w:tcBorders>
            <w:shd w:val="clear" w:color="auto" w:fill="auto"/>
            <w:vAlign w:val="center"/>
          </w:tcPr>
          <w:p w14:paraId="73863090">
            <w:pPr>
              <w:spacing w:line="240" w:lineRule="auto"/>
              <w:ind w:firstLine="0" w:firstLineChars="0"/>
              <w:jc w:val="center"/>
              <w:rPr>
                <w:color w:val="auto"/>
                <w:sz w:val="21"/>
                <w:szCs w:val="21"/>
              </w:rPr>
            </w:pPr>
            <w:r>
              <w:rPr>
                <w:rFonts w:hint="eastAsia"/>
                <w:color w:val="auto"/>
                <w:sz w:val="21"/>
                <w:szCs w:val="21"/>
              </w:rPr>
              <w:t>2</w:t>
            </w:r>
          </w:p>
        </w:tc>
        <w:tc>
          <w:tcPr>
            <w:tcW w:w="739" w:type="pct"/>
            <w:gridSpan w:val="2"/>
            <w:tcBorders>
              <w:tl2br w:val="nil"/>
              <w:tr2bl w:val="nil"/>
            </w:tcBorders>
            <w:shd w:val="clear" w:color="auto" w:fill="auto"/>
            <w:vAlign w:val="center"/>
          </w:tcPr>
          <w:p w14:paraId="7E01F633">
            <w:pPr>
              <w:autoSpaceDE w:val="0"/>
              <w:autoSpaceDN w:val="0"/>
              <w:spacing w:line="240" w:lineRule="auto"/>
              <w:ind w:firstLine="0" w:firstLineChars="0"/>
              <w:jc w:val="center"/>
              <w:rPr>
                <w:color w:val="auto"/>
                <w:sz w:val="21"/>
                <w:szCs w:val="21"/>
              </w:rPr>
            </w:pPr>
            <w:r>
              <w:rPr>
                <w:color w:val="auto"/>
                <w:kern w:val="0"/>
                <w:sz w:val="21"/>
                <w:szCs w:val="21"/>
                <w:lang w:bidi="ar"/>
              </w:rPr>
              <w:t>《关于以改善环境质量为核心加强环境影响评价管理的通知》</w:t>
            </w:r>
          </w:p>
        </w:tc>
        <w:tc>
          <w:tcPr>
            <w:tcW w:w="2143" w:type="pct"/>
            <w:gridSpan w:val="2"/>
            <w:tcBorders>
              <w:tl2br w:val="nil"/>
              <w:tr2bl w:val="nil"/>
            </w:tcBorders>
            <w:shd w:val="clear" w:color="auto" w:fill="auto"/>
            <w:vAlign w:val="center"/>
          </w:tcPr>
          <w:p w14:paraId="2C4F0654">
            <w:pPr>
              <w:spacing w:line="240" w:lineRule="auto"/>
              <w:ind w:firstLine="0" w:firstLineChars="0"/>
              <w:rPr>
                <w:color w:val="auto"/>
                <w:sz w:val="21"/>
                <w:szCs w:val="21"/>
              </w:rPr>
            </w:pPr>
            <w:r>
              <w:rPr>
                <w:color w:val="auto"/>
                <w:kern w:val="0"/>
                <w:sz w:val="21"/>
                <w:szCs w:val="21"/>
                <w:lang w:bidi="ar"/>
              </w:rPr>
              <w:t>切实加强环境影响评价（以下简称环评）管理，落实“生态保护红线、环境质量底线、资源利用上线和环境准入负面清单”</w:t>
            </w:r>
            <w:r>
              <w:rPr>
                <w:rFonts w:hint="eastAsia"/>
                <w:color w:val="auto"/>
                <w:kern w:val="0"/>
                <w:sz w:val="21"/>
                <w:szCs w:val="21"/>
                <w:lang w:bidi="ar"/>
              </w:rPr>
              <w:t>（</w:t>
            </w:r>
            <w:r>
              <w:rPr>
                <w:color w:val="auto"/>
                <w:kern w:val="0"/>
                <w:sz w:val="21"/>
                <w:szCs w:val="21"/>
                <w:lang w:bidi="ar"/>
              </w:rPr>
              <w:t>以下简称“三线一单”</w:t>
            </w:r>
            <w:r>
              <w:rPr>
                <w:rFonts w:hint="eastAsia"/>
                <w:color w:val="auto"/>
                <w:kern w:val="0"/>
                <w:sz w:val="21"/>
                <w:szCs w:val="21"/>
                <w:lang w:bidi="ar"/>
              </w:rPr>
              <w:t>）</w:t>
            </w:r>
            <w:r>
              <w:rPr>
                <w:color w:val="auto"/>
                <w:kern w:val="0"/>
                <w:sz w:val="21"/>
                <w:szCs w:val="21"/>
                <w:lang w:bidi="ar"/>
              </w:rPr>
              <w:t>约束</w:t>
            </w:r>
            <w:r>
              <w:rPr>
                <w:rFonts w:hint="eastAsia"/>
                <w:color w:val="auto"/>
                <w:kern w:val="0"/>
                <w:sz w:val="21"/>
                <w:szCs w:val="21"/>
                <w:lang w:bidi="ar"/>
              </w:rPr>
              <w:t>。</w:t>
            </w:r>
          </w:p>
        </w:tc>
        <w:tc>
          <w:tcPr>
            <w:tcW w:w="1829" w:type="pct"/>
            <w:tcBorders>
              <w:tl2br w:val="nil"/>
              <w:tr2bl w:val="nil"/>
            </w:tcBorders>
            <w:shd w:val="clear" w:color="auto" w:fill="auto"/>
            <w:vAlign w:val="center"/>
          </w:tcPr>
          <w:p w14:paraId="6EB28B78">
            <w:pPr>
              <w:autoSpaceDE w:val="0"/>
              <w:autoSpaceDN w:val="0"/>
              <w:spacing w:line="240" w:lineRule="auto"/>
              <w:ind w:firstLine="0" w:firstLineChars="0"/>
              <w:rPr>
                <w:color w:val="auto"/>
                <w:sz w:val="21"/>
                <w:szCs w:val="21"/>
              </w:rPr>
            </w:pPr>
            <w:r>
              <w:rPr>
                <w:color w:val="auto"/>
                <w:kern w:val="0"/>
                <w:sz w:val="21"/>
                <w:szCs w:val="21"/>
                <w:lang w:bidi="ar"/>
              </w:rPr>
              <w:t>项目不在生态空间管控区域范围内；根据《</w:t>
            </w:r>
            <w:r>
              <w:rPr>
                <w:rFonts w:hint="eastAsia"/>
                <w:color w:val="auto"/>
                <w:kern w:val="0"/>
                <w:sz w:val="21"/>
                <w:szCs w:val="21"/>
                <w:lang w:bidi="ar"/>
              </w:rPr>
              <w:t>2023</w:t>
            </w:r>
            <w:r>
              <w:rPr>
                <w:color w:val="auto"/>
                <w:kern w:val="0"/>
                <w:sz w:val="21"/>
                <w:szCs w:val="21"/>
                <w:lang w:bidi="ar"/>
              </w:rPr>
              <w:t>年度</w:t>
            </w:r>
            <w:r>
              <w:rPr>
                <w:rFonts w:hint="eastAsia"/>
                <w:color w:val="auto"/>
                <w:kern w:val="0"/>
                <w:sz w:val="21"/>
                <w:szCs w:val="21"/>
                <w:lang w:bidi="ar"/>
              </w:rPr>
              <w:t>连云港市生态</w:t>
            </w:r>
            <w:r>
              <w:rPr>
                <w:color w:val="auto"/>
                <w:kern w:val="0"/>
                <w:sz w:val="21"/>
                <w:szCs w:val="21"/>
                <w:lang w:bidi="ar"/>
              </w:rPr>
              <w:t>环境状况公报》，</w:t>
            </w:r>
            <w:r>
              <w:rPr>
                <w:rFonts w:hint="eastAsia"/>
                <w:color w:val="auto"/>
                <w:kern w:val="0"/>
                <w:sz w:val="21"/>
                <w:szCs w:val="21"/>
                <w:lang w:bidi="ar"/>
              </w:rPr>
              <w:t>O</w:t>
            </w:r>
            <w:r>
              <w:rPr>
                <w:rFonts w:hint="eastAsia"/>
                <w:color w:val="auto"/>
                <w:kern w:val="0"/>
                <w:sz w:val="21"/>
                <w:szCs w:val="21"/>
                <w:vertAlign w:val="subscript"/>
                <w:lang w:bidi="ar"/>
              </w:rPr>
              <w:t>3</w:t>
            </w:r>
            <w:r>
              <w:rPr>
                <w:color w:val="auto"/>
                <w:kern w:val="0"/>
                <w:sz w:val="21"/>
                <w:szCs w:val="21"/>
                <w:lang w:bidi="ar"/>
              </w:rPr>
              <w:t>日最大8小时平均第90百分位数超过标准值，</w:t>
            </w:r>
            <w:r>
              <w:rPr>
                <w:rFonts w:hint="eastAsia"/>
                <w:color w:val="auto"/>
                <w:kern w:val="0"/>
                <w:sz w:val="21"/>
                <w:szCs w:val="21"/>
                <w:lang w:bidi="ar"/>
              </w:rPr>
              <w:t>连云港</w:t>
            </w:r>
            <w:r>
              <w:rPr>
                <w:color w:val="auto"/>
                <w:kern w:val="0"/>
                <w:sz w:val="21"/>
                <w:szCs w:val="21"/>
                <w:lang w:bidi="ar"/>
              </w:rPr>
              <w:t>市属于不达标区；为改善环境空气质量，</w:t>
            </w:r>
            <w:r>
              <w:rPr>
                <w:rFonts w:hint="eastAsia"/>
                <w:color w:val="auto"/>
                <w:kern w:val="0"/>
                <w:sz w:val="21"/>
                <w:szCs w:val="21"/>
                <w:lang w:bidi="ar"/>
              </w:rPr>
              <w:t>连云港市制定了《连云港市空气质量达标规划》《关于印发连云港市2024年大气污染防治工作计划的通知》（连污防指办〔2024〕34号）等相关治理方案文件，通过采取上述措施后，本项目所在地超标污染物能得到有效控制，大气环境质量状况可得到逐步改善。</w:t>
            </w:r>
            <w:r>
              <w:rPr>
                <w:color w:val="auto"/>
                <w:kern w:val="0"/>
                <w:sz w:val="21"/>
                <w:szCs w:val="21"/>
                <w:lang w:bidi="ar"/>
              </w:rPr>
              <w:t>项目评价范围内大气环境</w:t>
            </w:r>
            <w:r>
              <w:rPr>
                <w:rFonts w:hint="eastAsia"/>
                <w:color w:val="auto"/>
                <w:kern w:val="0"/>
                <w:sz w:val="21"/>
                <w:szCs w:val="21"/>
                <w:lang w:bidi="ar"/>
              </w:rPr>
              <w:t>引用</w:t>
            </w:r>
            <w:r>
              <w:rPr>
                <w:color w:val="auto"/>
                <w:kern w:val="0"/>
                <w:sz w:val="21"/>
                <w:szCs w:val="21"/>
                <w:lang w:bidi="ar"/>
              </w:rPr>
              <w:t>监测结果表明，</w:t>
            </w:r>
            <w:r>
              <w:rPr>
                <w:rFonts w:hint="eastAsia"/>
                <w:color w:val="auto"/>
                <w:kern w:val="0"/>
                <w:sz w:val="21"/>
                <w:szCs w:val="21"/>
                <w:lang w:bidi="ar"/>
              </w:rPr>
              <w:t>TSP、氨</w:t>
            </w:r>
            <w:r>
              <w:rPr>
                <w:color w:val="auto"/>
                <w:kern w:val="0"/>
                <w:sz w:val="21"/>
                <w:szCs w:val="21"/>
                <w:lang w:bidi="ar"/>
              </w:rPr>
              <w:t>和硫酸雾满足相应质量标准；</w:t>
            </w:r>
            <w:r>
              <w:rPr>
                <w:rFonts w:hint="eastAsia"/>
                <w:color w:val="auto"/>
                <w:kern w:val="0"/>
                <w:sz w:val="21"/>
                <w:szCs w:val="21"/>
                <w:lang w:bidi="ar"/>
              </w:rPr>
              <w:t>根据补充监测数据，大浦河排污通道和开泰河</w:t>
            </w:r>
            <w:r>
              <w:rPr>
                <w:color w:val="auto"/>
                <w:kern w:val="0"/>
                <w:sz w:val="21"/>
                <w:szCs w:val="21"/>
                <w:lang w:bidi="ar"/>
              </w:rPr>
              <w:t>各监测断面的因子均能够满足《地表水环境质量标准》（GB3838-2002）中</w:t>
            </w:r>
            <w:r>
              <w:rPr>
                <w:rFonts w:hint="eastAsia"/>
                <w:color w:val="auto"/>
                <w:kern w:val="0"/>
                <w:sz w:val="21"/>
                <w:szCs w:val="21"/>
                <w:lang w:bidi="ar"/>
              </w:rPr>
              <w:t>Ⅳ类</w:t>
            </w:r>
            <w:r>
              <w:rPr>
                <w:color w:val="auto"/>
                <w:kern w:val="0"/>
                <w:sz w:val="21"/>
                <w:szCs w:val="21"/>
                <w:lang w:bidi="ar"/>
              </w:rPr>
              <w:t>水质标准</w:t>
            </w:r>
            <w:r>
              <w:rPr>
                <w:rFonts w:hint="eastAsia"/>
                <w:color w:val="auto"/>
                <w:kern w:val="0"/>
                <w:sz w:val="21"/>
                <w:szCs w:val="21"/>
                <w:lang w:bidi="ar"/>
              </w:rPr>
              <w:t>，临洪河</w:t>
            </w:r>
            <w:r>
              <w:rPr>
                <w:color w:val="auto"/>
                <w:kern w:val="0"/>
                <w:sz w:val="21"/>
                <w:szCs w:val="21"/>
                <w:lang w:bidi="ar"/>
              </w:rPr>
              <w:t>各监测断面的因子均能够满足《地表水环境质量标准》（GB3838-2002）中</w:t>
            </w:r>
            <w:r>
              <w:rPr>
                <w:rFonts w:hint="eastAsia"/>
                <w:color w:val="auto"/>
                <w:kern w:val="0"/>
                <w:sz w:val="21"/>
                <w:szCs w:val="21"/>
                <w:lang w:eastAsia="zh-CN" w:bidi="ar"/>
              </w:rPr>
              <w:t>Ⅲ</w:t>
            </w:r>
            <w:r>
              <w:rPr>
                <w:rFonts w:hint="eastAsia"/>
                <w:color w:val="auto"/>
                <w:kern w:val="0"/>
                <w:sz w:val="21"/>
                <w:szCs w:val="21"/>
                <w:lang w:bidi="ar"/>
              </w:rPr>
              <w:t>类</w:t>
            </w:r>
            <w:r>
              <w:rPr>
                <w:color w:val="auto"/>
                <w:kern w:val="0"/>
                <w:sz w:val="21"/>
                <w:szCs w:val="21"/>
                <w:lang w:bidi="ar"/>
              </w:rPr>
              <w:t>水质标准；项目周边声环境情况良好；项目所在地监测点处土壤的各项指标均能达到《土壤环境质量建设用地</w:t>
            </w:r>
            <w:r>
              <w:rPr>
                <w:rFonts w:hint="eastAsia"/>
                <w:color w:val="auto"/>
                <w:kern w:val="0"/>
                <w:sz w:val="21"/>
                <w:szCs w:val="21"/>
                <w:lang w:bidi="ar"/>
              </w:rPr>
              <w:t xml:space="preserve"> </w:t>
            </w:r>
            <w:r>
              <w:rPr>
                <w:color w:val="auto"/>
                <w:kern w:val="0"/>
                <w:sz w:val="21"/>
                <w:szCs w:val="21"/>
                <w:lang w:bidi="ar"/>
              </w:rPr>
              <w:t>土壤污染风险管控标准（试行）》（GB36600-2018）中第二类用地筛选值标准。</w:t>
            </w:r>
            <w:r>
              <w:rPr>
                <w:rFonts w:hint="eastAsia"/>
                <w:color w:val="auto"/>
                <w:kern w:val="0"/>
                <w:sz w:val="21"/>
                <w:szCs w:val="21"/>
                <w:lang w:bidi="ar"/>
              </w:rPr>
              <w:t>项目</w:t>
            </w:r>
            <w:r>
              <w:rPr>
                <w:color w:val="auto"/>
                <w:kern w:val="0"/>
                <w:sz w:val="21"/>
                <w:szCs w:val="21"/>
                <w:lang w:bidi="ar"/>
              </w:rPr>
              <w:t>所在地地下水水质</w:t>
            </w:r>
            <w:r>
              <w:rPr>
                <w:rFonts w:hint="eastAsia"/>
                <w:color w:val="auto"/>
                <w:kern w:val="0"/>
                <w:sz w:val="21"/>
                <w:szCs w:val="21"/>
                <w:lang w:bidi="ar"/>
              </w:rPr>
              <w:t>达</w:t>
            </w:r>
            <w:r>
              <w:rPr>
                <w:color w:val="auto"/>
                <w:kern w:val="0"/>
                <w:sz w:val="21"/>
                <w:szCs w:val="21"/>
                <w:lang w:bidi="ar"/>
              </w:rPr>
              <w:t>Ⅳ类</w:t>
            </w:r>
            <w:r>
              <w:rPr>
                <w:rFonts w:hint="eastAsia"/>
                <w:color w:val="auto"/>
                <w:kern w:val="0"/>
                <w:sz w:val="21"/>
                <w:szCs w:val="21"/>
                <w:lang w:bidi="ar"/>
              </w:rPr>
              <w:t>及以上标准要求</w:t>
            </w:r>
            <w:r>
              <w:rPr>
                <w:color w:val="auto"/>
                <w:kern w:val="0"/>
                <w:sz w:val="21"/>
                <w:szCs w:val="21"/>
                <w:lang w:bidi="ar"/>
              </w:rPr>
              <w:t>。本项目位于</w:t>
            </w:r>
            <w:r>
              <w:rPr>
                <w:rFonts w:hint="eastAsia"/>
                <w:color w:val="auto"/>
                <w:kern w:val="0"/>
                <w:sz w:val="21"/>
                <w:szCs w:val="21"/>
                <w:lang w:bidi="ar"/>
              </w:rPr>
              <w:t>连云港经济技术开发区临港产业区西北片区内</w:t>
            </w:r>
            <w:r>
              <w:rPr>
                <w:color w:val="auto"/>
                <w:kern w:val="0"/>
                <w:sz w:val="21"/>
                <w:szCs w:val="21"/>
                <w:lang w:bidi="ar"/>
              </w:rPr>
              <w:t>，项目用水来源于区域自来水厂，用电由园区电网供给，蒸汽、天然气来自园区蒸汽、天然气管网，不会触碰资源利用上线；</w:t>
            </w:r>
            <w:r>
              <w:rPr>
                <w:rFonts w:hint="eastAsia"/>
                <w:color w:val="auto"/>
                <w:kern w:val="0"/>
                <w:sz w:val="21"/>
                <w:szCs w:val="21"/>
                <w:lang w:bidi="ar"/>
              </w:rPr>
              <w:t>对照《连云港经济技术开发区（大浦片区、临港产业区西北片区、江宁工业城）产业发展规划环境影响报告书》及其审查（连环发〔2024〕247号），本项目</w:t>
            </w:r>
            <w:r>
              <w:rPr>
                <w:color w:val="auto"/>
                <w:kern w:val="0"/>
                <w:sz w:val="21"/>
                <w:szCs w:val="21"/>
                <w:lang w:bidi="ar"/>
              </w:rPr>
              <w:t>不属于环境准入负面清单中内容。</w:t>
            </w:r>
          </w:p>
        </w:tc>
      </w:tr>
      <w:tr w14:paraId="51B1E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tcBorders>
              <w:tl2br w:val="nil"/>
              <w:tr2bl w:val="nil"/>
            </w:tcBorders>
            <w:shd w:val="clear" w:color="auto" w:fill="auto"/>
            <w:vAlign w:val="center"/>
          </w:tcPr>
          <w:p w14:paraId="7E90D506">
            <w:pPr>
              <w:spacing w:line="240" w:lineRule="auto"/>
              <w:ind w:firstLine="0" w:firstLineChars="0"/>
              <w:jc w:val="center"/>
              <w:rPr>
                <w:color w:val="auto"/>
                <w:sz w:val="21"/>
                <w:szCs w:val="21"/>
              </w:rPr>
            </w:pPr>
            <w:r>
              <w:rPr>
                <w:color w:val="auto"/>
                <w:kern w:val="0"/>
                <w:sz w:val="21"/>
                <w:szCs w:val="21"/>
                <w:lang w:bidi="ar"/>
              </w:rPr>
              <w:t>11</w:t>
            </w:r>
          </w:p>
        </w:tc>
        <w:tc>
          <w:tcPr>
            <w:tcW w:w="739" w:type="pct"/>
            <w:gridSpan w:val="2"/>
            <w:tcBorders>
              <w:tl2br w:val="nil"/>
              <w:tr2bl w:val="nil"/>
            </w:tcBorders>
            <w:shd w:val="clear" w:color="auto" w:fill="auto"/>
            <w:vAlign w:val="center"/>
          </w:tcPr>
          <w:p w14:paraId="15493806">
            <w:pPr>
              <w:spacing w:line="240" w:lineRule="auto"/>
              <w:ind w:firstLine="0" w:firstLineChars="0"/>
              <w:jc w:val="center"/>
              <w:rPr>
                <w:color w:val="auto"/>
                <w:sz w:val="21"/>
                <w:szCs w:val="21"/>
              </w:rPr>
            </w:pPr>
            <w:r>
              <w:rPr>
                <w:color w:val="auto"/>
                <w:kern w:val="0"/>
                <w:sz w:val="21"/>
                <w:szCs w:val="21"/>
                <w:lang w:bidi="ar"/>
              </w:rPr>
              <w:t>《长江经济带发展负面清单指南》（试行，2022年版）</w:t>
            </w:r>
          </w:p>
        </w:tc>
        <w:tc>
          <w:tcPr>
            <w:tcW w:w="2143" w:type="pct"/>
            <w:gridSpan w:val="2"/>
            <w:tcBorders>
              <w:tl2br w:val="nil"/>
              <w:tr2bl w:val="nil"/>
            </w:tcBorders>
            <w:shd w:val="clear" w:color="auto" w:fill="auto"/>
            <w:vAlign w:val="center"/>
          </w:tcPr>
          <w:p w14:paraId="34F706F0">
            <w:pPr>
              <w:autoSpaceDE w:val="0"/>
              <w:autoSpaceDN w:val="0"/>
              <w:spacing w:line="240" w:lineRule="auto"/>
              <w:ind w:firstLine="0" w:firstLineChars="0"/>
              <w:rPr>
                <w:color w:val="auto"/>
                <w:sz w:val="21"/>
                <w:szCs w:val="21"/>
              </w:rPr>
            </w:pPr>
            <w:r>
              <w:rPr>
                <w:color w:val="auto"/>
                <w:kern w:val="0"/>
                <w:sz w:val="21"/>
                <w:szCs w:val="21"/>
                <w:lang w:bidi="ar"/>
              </w:rPr>
              <w:t>1.禁止建设不符合全国和省级港口布局规划以及港口总体规划的码头项目，禁止建设不符合《长江</w:t>
            </w:r>
            <w:r>
              <w:rPr>
                <w:rFonts w:hint="eastAsia"/>
                <w:color w:val="auto"/>
                <w:kern w:val="0"/>
                <w:sz w:val="21"/>
                <w:szCs w:val="21"/>
                <w:lang w:bidi="ar"/>
              </w:rPr>
              <w:t>干线</w:t>
            </w:r>
            <w:r>
              <w:rPr>
                <w:color w:val="auto"/>
                <w:kern w:val="0"/>
                <w:sz w:val="21"/>
                <w:szCs w:val="21"/>
                <w:lang w:bidi="ar"/>
              </w:rPr>
              <w:t>过江通道布局规划》的过长江通道项目。</w:t>
            </w:r>
          </w:p>
          <w:p w14:paraId="03D1E6FB">
            <w:pPr>
              <w:autoSpaceDE w:val="0"/>
              <w:autoSpaceDN w:val="0"/>
              <w:spacing w:line="240" w:lineRule="auto"/>
              <w:ind w:firstLine="0" w:firstLineChars="0"/>
              <w:rPr>
                <w:color w:val="auto"/>
                <w:sz w:val="21"/>
                <w:szCs w:val="21"/>
              </w:rPr>
            </w:pPr>
            <w:r>
              <w:rPr>
                <w:color w:val="auto"/>
                <w:kern w:val="0"/>
                <w:sz w:val="21"/>
                <w:szCs w:val="21"/>
                <w:lang w:bidi="ar"/>
              </w:rPr>
              <w:t>2.禁止在自然保护区核心区、缓冲区的岸线和河段范围内投资建设旅游和生产经营项目。禁止在风景名胜区核心景区的岸线和河段范围内投资建设与风景名胜资源保护无关的项目。</w:t>
            </w:r>
          </w:p>
          <w:p w14:paraId="2696CABB">
            <w:pPr>
              <w:autoSpaceDE w:val="0"/>
              <w:autoSpaceDN w:val="0"/>
              <w:spacing w:line="240" w:lineRule="auto"/>
              <w:ind w:firstLine="0" w:firstLineChars="0"/>
              <w:rPr>
                <w:color w:val="auto"/>
                <w:sz w:val="21"/>
                <w:szCs w:val="21"/>
              </w:rPr>
            </w:pPr>
            <w:r>
              <w:rPr>
                <w:color w:val="auto"/>
                <w:kern w:val="0"/>
                <w:sz w:val="21"/>
                <w:szCs w:val="21"/>
                <w:lang w:bidi="ar"/>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p w14:paraId="01EC2D79">
            <w:pPr>
              <w:autoSpaceDE w:val="0"/>
              <w:autoSpaceDN w:val="0"/>
              <w:spacing w:line="240" w:lineRule="auto"/>
              <w:ind w:firstLine="0" w:firstLineChars="0"/>
              <w:rPr>
                <w:color w:val="auto"/>
                <w:sz w:val="21"/>
                <w:szCs w:val="21"/>
              </w:rPr>
            </w:pPr>
            <w:r>
              <w:rPr>
                <w:color w:val="auto"/>
                <w:kern w:val="0"/>
                <w:sz w:val="21"/>
                <w:szCs w:val="21"/>
                <w:lang w:bidi="ar"/>
              </w:rPr>
              <w:t>4.禁止在水产种质资源保护区的岸线和河段范围内新建围湖造田、围海造地或围填海等投资建设项目。禁止在国家湿地公</w:t>
            </w:r>
            <w:r>
              <w:rPr>
                <w:rFonts w:hint="eastAsia"/>
                <w:color w:val="auto"/>
                <w:kern w:val="0"/>
                <w:sz w:val="21"/>
                <w:szCs w:val="21"/>
                <w:lang w:bidi="ar"/>
              </w:rPr>
              <w:t>园</w:t>
            </w:r>
            <w:r>
              <w:rPr>
                <w:color w:val="auto"/>
                <w:kern w:val="0"/>
                <w:sz w:val="21"/>
                <w:szCs w:val="21"/>
                <w:lang w:bidi="ar"/>
              </w:rPr>
              <w:t>的岸线和河段范围内挖沙、采矿，以及任何不符合主体功能定位的投资建设项目。</w:t>
            </w:r>
          </w:p>
          <w:p w14:paraId="5C991DA6">
            <w:pPr>
              <w:autoSpaceDE w:val="0"/>
              <w:autoSpaceDN w:val="0"/>
              <w:spacing w:line="240" w:lineRule="auto"/>
              <w:ind w:firstLine="0" w:firstLineChars="0"/>
              <w:rPr>
                <w:color w:val="auto"/>
                <w:sz w:val="21"/>
                <w:szCs w:val="21"/>
              </w:rPr>
            </w:pPr>
            <w:r>
              <w:rPr>
                <w:color w:val="auto"/>
                <w:kern w:val="0"/>
                <w:sz w:val="21"/>
                <w:szCs w:val="21"/>
                <w:lang w:bidi="ar"/>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14:paraId="791346F7">
            <w:pPr>
              <w:autoSpaceDE w:val="0"/>
              <w:autoSpaceDN w:val="0"/>
              <w:spacing w:line="240" w:lineRule="auto"/>
              <w:ind w:firstLine="0" w:firstLineChars="0"/>
              <w:rPr>
                <w:color w:val="auto"/>
                <w:sz w:val="21"/>
                <w:szCs w:val="21"/>
              </w:rPr>
            </w:pPr>
            <w:r>
              <w:rPr>
                <w:color w:val="auto"/>
                <w:kern w:val="0"/>
                <w:sz w:val="21"/>
                <w:szCs w:val="21"/>
                <w:lang w:bidi="ar"/>
              </w:rPr>
              <w:t>6.禁止未经许可在长江支流及湖泊新设、改设或扩大排污口。</w:t>
            </w:r>
          </w:p>
          <w:p w14:paraId="73966485">
            <w:pPr>
              <w:autoSpaceDE w:val="0"/>
              <w:autoSpaceDN w:val="0"/>
              <w:spacing w:line="240" w:lineRule="auto"/>
              <w:ind w:firstLine="0" w:firstLineChars="0"/>
              <w:rPr>
                <w:color w:val="auto"/>
                <w:sz w:val="21"/>
                <w:szCs w:val="21"/>
              </w:rPr>
            </w:pPr>
            <w:r>
              <w:rPr>
                <w:color w:val="auto"/>
                <w:kern w:val="0"/>
                <w:sz w:val="21"/>
                <w:szCs w:val="21"/>
                <w:lang w:bidi="ar"/>
              </w:rPr>
              <w:t>7.禁止在“一江一口两湖七河”和332个水生生物保护区开展生产性捕捞。</w:t>
            </w:r>
          </w:p>
          <w:p w14:paraId="6B9B26A5">
            <w:pPr>
              <w:autoSpaceDE w:val="0"/>
              <w:autoSpaceDN w:val="0"/>
              <w:spacing w:line="240" w:lineRule="auto"/>
              <w:ind w:firstLine="0" w:firstLineChars="0"/>
              <w:rPr>
                <w:color w:val="auto"/>
                <w:sz w:val="21"/>
                <w:szCs w:val="21"/>
              </w:rPr>
            </w:pPr>
            <w:r>
              <w:rPr>
                <w:color w:val="auto"/>
                <w:kern w:val="0"/>
                <w:sz w:val="21"/>
                <w:szCs w:val="21"/>
                <w:lang w:bidi="ar"/>
              </w:rPr>
              <w:t>8.禁止在长江干支流、重要湖泊岸线一公里范围内新建、扩建化工园区和化工项目。禁止在长江</w:t>
            </w:r>
            <w:r>
              <w:rPr>
                <w:rFonts w:hint="eastAsia"/>
                <w:color w:val="auto"/>
                <w:kern w:val="0"/>
                <w:sz w:val="21"/>
                <w:szCs w:val="21"/>
                <w:lang w:bidi="ar"/>
              </w:rPr>
              <w:t>干流</w:t>
            </w:r>
            <w:r>
              <w:rPr>
                <w:color w:val="auto"/>
                <w:kern w:val="0"/>
                <w:sz w:val="21"/>
                <w:szCs w:val="21"/>
                <w:lang w:bidi="ar"/>
              </w:rPr>
              <w:t>岸线三公里范围内和重要支流岸线一公里范围内新建、改建、扩建尾矿库、冶炼渣库和磷石膏库，以提升安全、生态环境保护水平为目的的改建除外。</w:t>
            </w:r>
          </w:p>
          <w:p w14:paraId="3A266A2C">
            <w:pPr>
              <w:autoSpaceDE w:val="0"/>
              <w:autoSpaceDN w:val="0"/>
              <w:spacing w:line="240" w:lineRule="auto"/>
              <w:ind w:firstLine="0" w:firstLineChars="0"/>
              <w:rPr>
                <w:color w:val="auto"/>
                <w:sz w:val="21"/>
                <w:szCs w:val="21"/>
              </w:rPr>
            </w:pPr>
            <w:r>
              <w:rPr>
                <w:color w:val="auto"/>
                <w:kern w:val="0"/>
                <w:sz w:val="21"/>
                <w:szCs w:val="21"/>
                <w:lang w:bidi="ar"/>
              </w:rPr>
              <w:t>9.禁止在合规园区外新建、扩建钢铁、石化、化工、焦化、建材、有色、制浆造纸等高污染项目。</w:t>
            </w:r>
          </w:p>
          <w:p w14:paraId="6EC3F8EA">
            <w:pPr>
              <w:autoSpaceDE w:val="0"/>
              <w:autoSpaceDN w:val="0"/>
              <w:spacing w:line="240" w:lineRule="auto"/>
              <w:ind w:firstLine="0" w:firstLineChars="0"/>
              <w:rPr>
                <w:color w:val="auto"/>
                <w:sz w:val="21"/>
                <w:szCs w:val="21"/>
              </w:rPr>
            </w:pPr>
            <w:r>
              <w:rPr>
                <w:color w:val="auto"/>
                <w:kern w:val="0"/>
                <w:sz w:val="21"/>
                <w:szCs w:val="21"/>
                <w:lang w:bidi="ar"/>
              </w:rPr>
              <w:t>10.禁止新建、扩建不符合国家石化、现代煤化工等产业布局规划的项目。</w:t>
            </w:r>
          </w:p>
          <w:p w14:paraId="6F312E87">
            <w:pPr>
              <w:spacing w:line="240" w:lineRule="auto"/>
              <w:ind w:firstLine="0" w:firstLineChars="0"/>
              <w:rPr>
                <w:color w:val="auto"/>
                <w:sz w:val="21"/>
                <w:szCs w:val="21"/>
              </w:rPr>
            </w:pPr>
            <w:r>
              <w:rPr>
                <w:color w:val="auto"/>
                <w:kern w:val="0"/>
                <w:sz w:val="21"/>
                <w:szCs w:val="21"/>
                <w:lang w:bidi="ar"/>
              </w:rPr>
              <w:t>11.禁止新建、扩建法律法规和相关政策明令禁止的落后产能项目。禁止新建、扩建不符合国家产能置换要求的严重过剩产能行业的项目。禁止新建、扩建不符合要求的高耗能高排放项目。</w:t>
            </w:r>
          </w:p>
        </w:tc>
        <w:tc>
          <w:tcPr>
            <w:tcW w:w="1829" w:type="pct"/>
            <w:tcBorders>
              <w:tl2br w:val="nil"/>
              <w:tr2bl w:val="nil"/>
            </w:tcBorders>
            <w:shd w:val="clear" w:color="auto" w:fill="auto"/>
            <w:vAlign w:val="center"/>
          </w:tcPr>
          <w:p w14:paraId="4CD2E542">
            <w:pPr>
              <w:spacing w:line="240" w:lineRule="auto"/>
              <w:ind w:firstLine="0" w:firstLineChars="0"/>
              <w:jc w:val="center"/>
              <w:rPr>
                <w:color w:val="auto"/>
                <w:sz w:val="21"/>
                <w:szCs w:val="21"/>
              </w:rPr>
            </w:pPr>
            <w:r>
              <w:rPr>
                <w:rFonts w:hint="eastAsia"/>
                <w:color w:val="auto"/>
                <w:sz w:val="21"/>
                <w:szCs w:val="21"/>
              </w:rPr>
              <w:t>本项目不涉及。</w:t>
            </w:r>
          </w:p>
        </w:tc>
      </w:tr>
      <w:tr w14:paraId="4E346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tcBorders>
              <w:tl2br w:val="nil"/>
              <w:tr2bl w:val="nil"/>
            </w:tcBorders>
            <w:shd w:val="clear" w:color="auto" w:fill="auto"/>
            <w:vAlign w:val="center"/>
          </w:tcPr>
          <w:p w14:paraId="30912BB4">
            <w:pPr>
              <w:spacing w:line="240" w:lineRule="auto"/>
              <w:ind w:firstLine="0" w:firstLineChars="0"/>
              <w:jc w:val="center"/>
              <w:rPr>
                <w:color w:val="auto"/>
                <w:sz w:val="21"/>
                <w:szCs w:val="21"/>
              </w:rPr>
            </w:pPr>
            <w:r>
              <w:rPr>
                <w:color w:val="auto"/>
                <w:kern w:val="0"/>
                <w:sz w:val="21"/>
                <w:szCs w:val="21"/>
                <w:lang w:bidi="ar"/>
              </w:rPr>
              <w:t>12</w:t>
            </w:r>
          </w:p>
        </w:tc>
        <w:tc>
          <w:tcPr>
            <w:tcW w:w="739" w:type="pct"/>
            <w:gridSpan w:val="2"/>
            <w:tcBorders>
              <w:tl2br w:val="nil"/>
              <w:tr2bl w:val="nil"/>
            </w:tcBorders>
            <w:shd w:val="clear" w:color="auto" w:fill="auto"/>
            <w:vAlign w:val="center"/>
          </w:tcPr>
          <w:p w14:paraId="4C467347">
            <w:pPr>
              <w:spacing w:line="240" w:lineRule="auto"/>
              <w:ind w:firstLine="0" w:firstLineChars="0"/>
              <w:jc w:val="center"/>
              <w:rPr>
                <w:color w:val="auto"/>
                <w:sz w:val="21"/>
                <w:szCs w:val="21"/>
              </w:rPr>
            </w:pPr>
            <w:r>
              <w:rPr>
                <w:color w:val="auto"/>
                <w:kern w:val="0"/>
                <w:sz w:val="21"/>
                <w:szCs w:val="21"/>
                <w:lang w:bidi="ar"/>
              </w:rPr>
              <w:t>《</w:t>
            </w:r>
            <w:r>
              <w:rPr>
                <w:rFonts w:hint="eastAsia"/>
                <w:color w:val="auto"/>
                <w:kern w:val="0"/>
                <w:sz w:val="21"/>
                <w:szCs w:val="21"/>
                <w:lang w:bidi="ar"/>
              </w:rPr>
              <w:t>〈</w:t>
            </w:r>
            <w:r>
              <w:rPr>
                <w:color w:val="auto"/>
                <w:kern w:val="0"/>
                <w:sz w:val="21"/>
                <w:szCs w:val="21"/>
                <w:lang w:bidi="ar"/>
              </w:rPr>
              <w:t>长江经济带发展负面清单指南（</w:t>
            </w:r>
            <w:r>
              <w:rPr>
                <w:rFonts w:hint="eastAsia"/>
                <w:color w:val="auto"/>
                <w:kern w:val="0"/>
                <w:sz w:val="21"/>
                <w:szCs w:val="21"/>
                <w:lang w:bidi="ar"/>
              </w:rPr>
              <w:t>试</w:t>
            </w:r>
            <w:r>
              <w:rPr>
                <w:color w:val="auto"/>
                <w:kern w:val="0"/>
                <w:sz w:val="21"/>
                <w:szCs w:val="21"/>
                <w:lang w:bidi="ar"/>
              </w:rPr>
              <w:t>行，2022年版）</w:t>
            </w:r>
            <w:r>
              <w:rPr>
                <w:rFonts w:hint="eastAsia"/>
                <w:color w:val="auto"/>
                <w:kern w:val="0"/>
                <w:sz w:val="21"/>
                <w:szCs w:val="21"/>
                <w:lang w:bidi="ar"/>
              </w:rPr>
              <w:t>〉</w:t>
            </w:r>
            <w:r>
              <w:rPr>
                <w:color w:val="auto"/>
                <w:kern w:val="0"/>
                <w:sz w:val="21"/>
                <w:szCs w:val="21"/>
                <w:lang w:bidi="ar"/>
              </w:rPr>
              <w:t>江苏省实施细则》</w:t>
            </w:r>
          </w:p>
        </w:tc>
        <w:tc>
          <w:tcPr>
            <w:tcW w:w="2143" w:type="pct"/>
            <w:gridSpan w:val="2"/>
            <w:tcBorders>
              <w:tl2br w:val="nil"/>
              <w:tr2bl w:val="nil"/>
            </w:tcBorders>
            <w:shd w:val="clear" w:color="auto" w:fill="auto"/>
            <w:vAlign w:val="center"/>
          </w:tcPr>
          <w:p w14:paraId="45C1514B">
            <w:pPr>
              <w:numPr>
                <w:ilvl w:val="0"/>
                <w:numId w:val="14"/>
              </w:numPr>
              <w:spacing w:line="240" w:lineRule="auto"/>
              <w:ind w:firstLine="0" w:firstLineChars="0"/>
              <w:rPr>
                <w:b/>
                <w:bCs/>
                <w:color w:val="auto"/>
                <w:kern w:val="0"/>
                <w:sz w:val="21"/>
                <w:szCs w:val="21"/>
                <w:lang w:bidi="ar"/>
              </w:rPr>
            </w:pPr>
            <w:r>
              <w:rPr>
                <w:b/>
                <w:bCs/>
                <w:color w:val="auto"/>
                <w:kern w:val="0"/>
                <w:sz w:val="21"/>
                <w:szCs w:val="21"/>
                <w:lang w:bidi="ar"/>
              </w:rPr>
              <w:t>河岸利用与岸线开发</w:t>
            </w:r>
          </w:p>
          <w:p w14:paraId="245896AB">
            <w:pPr>
              <w:numPr>
                <w:ilvl w:val="0"/>
                <w:numId w:val="15"/>
              </w:numPr>
              <w:spacing w:line="240" w:lineRule="auto"/>
              <w:ind w:firstLine="0" w:firstLineChars="0"/>
              <w:rPr>
                <w:color w:val="auto"/>
                <w:kern w:val="0"/>
                <w:sz w:val="21"/>
                <w:szCs w:val="21"/>
                <w:lang w:bidi="ar"/>
              </w:rPr>
            </w:pPr>
            <w:r>
              <w:rPr>
                <w:rFonts w:hint="eastAsia"/>
                <w:color w:val="auto"/>
                <w:kern w:val="0"/>
                <w:sz w:val="21"/>
                <w:szCs w:val="21"/>
                <w:lang w:bidi="ar"/>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p w14:paraId="7598F197">
            <w:pPr>
              <w:spacing w:line="240" w:lineRule="auto"/>
              <w:ind w:firstLine="0" w:firstLineChars="0"/>
              <w:rPr>
                <w:color w:val="auto"/>
                <w:kern w:val="0"/>
                <w:sz w:val="21"/>
                <w:szCs w:val="21"/>
                <w:lang w:bidi="ar"/>
              </w:rPr>
            </w:pPr>
            <w:r>
              <w:rPr>
                <w:color w:val="auto"/>
                <w:kern w:val="0"/>
                <w:sz w:val="21"/>
                <w:szCs w:val="21"/>
                <w:lang w:bidi="ar"/>
              </w:rPr>
              <w:t>……</w:t>
            </w:r>
          </w:p>
          <w:p w14:paraId="07791509">
            <w:pPr>
              <w:spacing w:line="240" w:lineRule="auto"/>
              <w:ind w:firstLine="0" w:firstLineChars="0"/>
              <w:rPr>
                <w:color w:val="auto"/>
                <w:kern w:val="0"/>
                <w:sz w:val="21"/>
                <w:szCs w:val="21"/>
                <w:lang w:bidi="ar"/>
              </w:rPr>
            </w:pPr>
            <w:r>
              <w:rPr>
                <w:rFonts w:hint="eastAsia"/>
                <w:color w:val="auto"/>
                <w:kern w:val="0"/>
                <w:sz w:val="21"/>
                <w:szCs w:val="21"/>
                <w:lang w:bidi="ar"/>
              </w:rPr>
              <w:t>6、禁止未经许可在长江干支流及湖泊新设、改设或扩大排污口。</w:t>
            </w:r>
          </w:p>
          <w:p w14:paraId="4B28B264">
            <w:pPr>
              <w:numPr>
                <w:ilvl w:val="0"/>
                <w:numId w:val="14"/>
              </w:numPr>
              <w:spacing w:line="240" w:lineRule="auto"/>
              <w:ind w:firstLine="0" w:firstLineChars="0"/>
              <w:rPr>
                <w:b/>
                <w:bCs/>
                <w:color w:val="auto"/>
                <w:kern w:val="0"/>
                <w:sz w:val="21"/>
                <w:szCs w:val="21"/>
                <w:lang w:bidi="ar"/>
              </w:rPr>
            </w:pPr>
            <w:r>
              <w:rPr>
                <w:b/>
                <w:bCs/>
                <w:color w:val="auto"/>
                <w:kern w:val="0"/>
                <w:sz w:val="21"/>
                <w:szCs w:val="21"/>
                <w:lang w:bidi="ar"/>
              </w:rPr>
              <w:t>区域活动</w:t>
            </w:r>
          </w:p>
          <w:p w14:paraId="7350820A">
            <w:pPr>
              <w:spacing w:line="240" w:lineRule="auto"/>
              <w:ind w:firstLine="0" w:firstLineChars="0"/>
              <w:rPr>
                <w:color w:val="auto"/>
                <w:kern w:val="0"/>
                <w:sz w:val="21"/>
                <w:szCs w:val="21"/>
                <w:lang w:bidi="ar"/>
              </w:rPr>
            </w:pPr>
            <w:r>
              <w:rPr>
                <w:rFonts w:hint="eastAsia"/>
                <w:color w:val="auto"/>
                <w:kern w:val="0"/>
                <w:sz w:val="21"/>
                <w:szCs w:val="21"/>
                <w:lang w:bidi="ar"/>
              </w:rPr>
              <w:t>7、禁止长江、长江口、34个列入《率先全面禁捕的长江流域水生生物保护区名录》的水生生物保护区以及省规定的其他禁渔水域开展生产性捕捞。</w:t>
            </w:r>
          </w:p>
          <w:p w14:paraId="7299A00F">
            <w:pPr>
              <w:spacing w:line="240" w:lineRule="auto"/>
              <w:ind w:firstLine="0" w:firstLineChars="0"/>
              <w:rPr>
                <w:color w:val="auto"/>
                <w:kern w:val="0"/>
                <w:sz w:val="21"/>
                <w:szCs w:val="21"/>
                <w:lang w:bidi="ar"/>
              </w:rPr>
            </w:pPr>
            <w:r>
              <w:rPr>
                <w:rFonts w:hint="eastAsia"/>
                <w:color w:val="auto"/>
                <w:kern w:val="0"/>
                <w:sz w:val="21"/>
                <w:szCs w:val="21"/>
                <w:lang w:bidi="ar"/>
              </w:rPr>
              <w:t>8、禁止在距离长江干支流岸线一公里范围内新建、扩建化工园区和化工项目。长江干支流一公里按照长江干支流岸线边界（即水利部门河道管理范围边界）向陆域纵深一公里执行。</w:t>
            </w:r>
          </w:p>
          <w:p w14:paraId="0A9E44FB">
            <w:pPr>
              <w:spacing w:line="240" w:lineRule="auto"/>
              <w:ind w:firstLine="0" w:firstLineChars="0"/>
              <w:rPr>
                <w:color w:val="auto"/>
                <w:kern w:val="0"/>
                <w:sz w:val="21"/>
                <w:szCs w:val="21"/>
                <w:lang w:bidi="ar"/>
              </w:rPr>
            </w:pPr>
            <w:r>
              <w:rPr>
                <w:rFonts w:hint="eastAsia"/>
                <w:color w:val="auto"/>
                <w:kern w:val="0"/>
                <w:sz w:val="21"/>
                <w:szCs w:val="21"/>
                <w:lang w:bidi="ar"/>
              </w:rPr>
              <w:t>9、禁止在长江干流岸线三公里范围内新建、改建、扩建尾矿库、冶炼渣库和磷石膏库，以提升安全、生态环境保护水平为目的的改建除外。</w:t>
            </w:r>
          </w:p>
          <w:p w14:paraId="74C90974">
            <w:pPr>
              <w:spacing w:line="240" w:lineRule="auto"/>
              <w:ind w:firstLine="0" w:firstLineChars="0"/>
              <w:rPr>
                <w:color w:val="auto"/>
                <w:kern w:val="0"/>
                <w:sz w:val="21"/>
                <w:szCs w:val="21"/>
                <w:lang w:bidi="ar"/>
              </w:rPr>
            </w:pPr>
            <w:r>
              <w:rPr>
                <w:color w:val="auto"/>
                <w:kern w:val="0"/>
                <w:sz w:val="21"/>
                <w:szCs w:val="21"/>
                <w:lang w:bidi="ar"/>
              </w:rPr>
              <w:t>……</w:t>
            </w:r>
          </w:p>
          <w:p w14:paraId="5F7C90CA">
            <w:pPr>
              <w:spacing w:line="240" w:lineRule="auto"/>
              <w:ind w:firstLine="0" w:firstLineChars="0"/>
              <w:rPr>
                <w:color w:val="auto"/>
                <w:kern w:val="0"/>
                <w:sz w:val="21"/>
                <w:szCs w:val="21"/>
                <w:lang w:bidi="ar"/>
              </w:rPr>
            </w:pPr>
            <w:r>
              <w:rPr>
                <w:rFonts w:hint="eastAsia"/>
                <w:color w:val="auto"/>
                <w:kern w:val="0"/>
                <w:sz w:val="21"/>
                <w:szCs w:val="21"/>
                <w:lang w:bidi="ar"/>
              </w:rPr>
              <w:t>11、禁止在沿江地区新建、扩建未纳入国家和省布局规划的燃煤发电项目。</w:t>
            </w:r>
          </w:p>
          <w:p w14:paraId="48CB73B8">
            <w:pPr>
              <w:spacing w:line="240" w:lineRule="auto"/>
              <w:ind w:firstLine="0" w:firstLineChars="0"/>
              <w:rPr>
                <w:color w:val="auto"/>
                <w:kern w:val="0"/>
                <w:sz w:val="21"/>
                <w:szCs w:val="21"/>
                <w:lang w:bidi="ar"/>
              </w:rPr>
            </w:pPr>
            <w:r>
              <w:rPr>
                <w:rFonts w:hint="eastAsia"/>
                <w:color w:val="auto"/>
                <w:kern w:val="0"/>
                <w:sz w:val="21"/>
                <w:szCs w:val="21"/>
                <w:lang w:bidi="ar"/>
              </w:rPr>
              <w:t>12、禁止在合规园区外新建、扩建钢铁、石化、化工、焦化、建材、有色、制浆制造等高污染项目。合规园区名录按照《〈长江经济带负面发展清单指南（试行，2022年版）〉江苏省实施细则合规园区名录》执行。</w:t>
            </w:r>
          </w:p>
          <w:p w14:paraId="4023279F">
            <w:pPr>
              <w:spacing w:line="240" w:lineRule="auto"/>
              <w:ind w:firstLine="0" w:firstLineChars="0"/>
              <w:rPr>
                <w:color w:val="auto"/>
                <w:kern w:val="0"/>
                <w:sz w:val="21"/>
                <w:szCs w:val="21"/>
                <w:lang w:bidi="ar"/>
              </w:rPr>
            </w:pPr>
            <w:r>
              <w:rPr>
                <w:color w:val="auto"/>
                <w:kern w:val="0"/>
                <w:sz w:val="21"/>
                <w:szCs w:val="21"/>
                <w:lang w:bidi="ar"/>
              </w:rPr>
              <w:t>……</w:t>
            </w:r>
          </w:p>
          <w:p w14:paraId="1FB3C712">
            <w:pPr>
              <w:spacing w:line="240" w:lineRule="auto"/>
              <w:ind w:firstLine="0" w:firstLineChars="0"/>
              <w:rPr>
                <w:b/>
                <w:bCs/>
                <w:color w:val="auto"/>
                <w:sz w:val="21"/>
                <w:szCs w:val="21"/>
              </w:rPr>
            </w:pPr>
            <w:r>
              <w:rPr>
                <w:b/>
                <w:bCs/>
                <w:color w:val="auto"/>
                <w:kern w:val="0"/>
                <w:sz w:val="21"/>
                <w:szCs w:val="21"/>
                <w:lang w:bidi="ar"/>
              </w:rPr>
              <w:t>三、产业发展</w:t>
            </w:r>
          </w:p>
          <w:p w14:paraId="4EE8BBE1">
            <w:pPr>
              <w:spacing w:line="240" w:lineRule="auto"/>
              <w:ind w:firstLine="0" w:firstLineChars="0"/>
              <w:rPr>
                <w:color w:val="auto"/>
                <w:sz w:val="21"/>
                <w:szCs w:val="21"/>
              </w:rPr>
            </w:pPr>
            <w:r>
              <w:rPr>
                <w:color w:val="auto"/>
                <w:kern w:val="0"/>
                <w:sz w:val="21"/>
                <w:szCs w:val="21"/>
                <w:lang w:bidi="ar"/>
              </w:rPr>
              <w:t>15、禁止新建、扩建不符合国家和省产业政策的尿素、磷铵、电石、烧碱、聚氯乙烯、纯碱等行业新增产能项目。</w:t>
            </w:r>
          </w:p>
          <w:p w14:paraId="517C855F">
            <w:pPr>
              <w:spacing w:line="240" w:lineRule="auto"/>
              <w:ind w:firstLine="0" w:firstLineChars="0"/>
              <w:rPr>
                <w:color w:val="auto"/>
                <w:sz w:val="21"/>
                <w:szCs w:val="21"/>
              </w:rPr>
            </w:pPr>
            <w:r>
              <w:rPr>
                <w:color w:val="auto"/>
                <w:kern w:val="0"/>
                <w:sz w:val="21"/>
                <w:szCs w:val="21"/>
                <w:lang w:bidi="ar"/>
              </w:rPr>
              <w:t>16、禁止新建、改建、扩建高毒、高残留以及对环境影响大的农药原药（化学合成类）项目，禁止新建、扩建不符合国家和省产业政策的农药、医药和染料中间体化工项目，</w:t>
            </w:r>
          </w:p>
          <w:p w14:paraId="31157729">
            <w:pPr>
              <w:spacing w:line="240" w:lineRule="auto"/>
              <w:ind w:firstLine="0" w:firstLineChars="0"/>
              <w:rPr>
                <w:color w:val="auto"/>
                <w:sz w:val="21"/>
                <w:szCs w:val="21"/>
              </w:rPr>
            </w:pPr>
            <w:r>
              <w:rPr>
                <w:color w:val="auto"/>
                <w:kern w:val="0"/>
                <w:sz w:val="21"/>
                <w:szCs w:val="21"/>
                <w:lang w:bidi="ar"/>
              </w:rPr>
              <w:t>17、禁止新建、扩建不符合国家石化、现代煤化工等产业布局规划的项目、禁止新建独立焦化项目。</w:t>
            </w:r>
          </w:p>
          <w:p w14:paraId="1F893E15">
            <w:pPr>
              <w:spacing w:line="240" w:lineRule="auto"/>
              <w:ind w:firstLine="0" w:firstLineChars="0"/>
              <w:rPr>
                <w:color w:val="auto"/>
                <w:sz w:val="21"/>
                <w:szCs w:val="21"/>
              </w:rPr>
            </w:pPr>
            <w:r>
              <w:rPr>
                <w:color w:val="auto"/>
                <w:kern w:val="0"/>
                <w:sz w:val="21"/>
                <w:szCs w:val="21"/>
                <w:lang w:bidi="ar"/>
              </w:rPr>
              <w:t>18、禁止新建</w:t>
            </w:r>
            <w:r>
              <w:rPr>
                <w:rFonts w:hint="eastAsia"/>
                <w:color w:val="auto"/>
                <w:kern w:val="0"/>
                <w:sz w:val="21"/>
                <w:szCs w:val="21"/>
                <w:lang w:bidi="ar"/>
              </w:rPr>
              <w:t>、新</w:t>
            </w:r>
            <w:r>
              <w:rPr>
                <w:color w:val="auto"/>
                <w:kern w:val="0"/>
                <w:sz w:val="21"/>
                <w:szCs w:val="21"/>
                <w:lang w:bidi="ar"/>
              </w:rPr>
              <w:t>扩建国家《产业结构调整指导目录</w:t>
            </w:r>
            <w:r>
              <w:rPr>
                <w:rFonts w:hint="eastAsia"/>
                <w:color w:val="auto"/>
                <w:kern w:val="0"/>
                <w:sz w:val="21"/>
                <w:szCs w:val="21"/>
                <w:lang w:bidi="ar"/>
              </w:rPr>
              <w:t>》《</w:t>
            </w:r>
            <w:r>
              <w:rPr>
                <w:color w:val="auto"/>
                <w:kern w:val="0"/>
                <w:sz w:val="21"/>
                <w:szCs w:val="21"/>
                <w:lang w:bidi="ar"/>
              </w:rPr>
              <w:t>江苏省产业结构调整限制、淘汰和禁止目录》明确的限制类、淘汰类、禁止类项目，法律法规和相关政策明令禁止的落后产能项目，以及明令淘汰的安全生产落后工艺及装备项目。</w:t>
            </w:r>
          </w:p>
          <w:p w14:paraId="6F1F6B77">
            <w:pPr>
              <w:spacing w:line="240" w:lineRule="auto"/>
              <w:ind w:firstLine="0" w:firstLineChars="0"/>
              <w:rPr>
                <w:color w:val="auto"/>
                <w:sz w:val="21"/>
                <w:szCs w:val="21"/>
              </w:rPr>
            </w:pPr>
            <w:r>
              <w:rPr>
                <w:color w:val="auto"/>
                <w:kern w:val="0"/>
                <w:sz w:val="21"/>
                <w:szCs w:val="21"/>
                <w:lang w:bidi="ar"/>
              </w:rPr>
              <w:t>19、禁止新建、扩建不符合国家产能置换要求的严重过剩产能行业的项目。禁止新建、扩建不符合要求的高耗能高排放项目。</w:t>
            </w:r>
          </w:p>
        </w:tc>
        <w:tc>
          <w:tcPr>
            <w:tcW w:w="1829" w:type="pct"/>
            <w:tcBorders>
              <w:tl2br w:val="nil"/>
              <w:tr2bl w:val="nil"/>
            </w:tcBorders>
            <w:shd w:val="clear" w:color="auto" w:fill="auto"/>
            <w:vAlign w:val="center"/>
          </w:tcPr>
          <w:p w14:paraId="236AAB25">
            <w:pPr>
              <w:spacing w:line="240" w:lineRule="auto"/>
              <w:ind w:firstLine="0" w:firstLineChars="0"/>
              <w:jc w:val="center"/>
              <w:rPr>
                <w:color w:val="auto"/>
                <w:sz w:val="21"/>
                <w:szCs w:val="21"/>
              </w:rPr>
            </w:pPr>
            <w:r>
              <w:rPr>
                <w:rFonts w:hint="eastAsia"/>
                <w:color w:val="auto"/>
                <w:sz w:val="21"/>
                <w:szCs w:val="21"/>
              </w:rPr>
              <w:t>本项目不涉及。</w:t>
            </w:r>
          </w:p>
        </w:tc>
      </w:tr>
      <w:tr w14:paraId="2B8D1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87" w:type="pct"/>
            <w:vMerge w:val="restart"/>
            <w:tcBorders>
              <w:tl2br w:val="nil"/>
              <w:tr2bl w:val="nil"/>
            </w:tcBorders>
            <w:shd w:val="clear" w:color="auto" w:fill="auto"/>
            <w:vAlign w:val="center"/>
          </w:tcPr>
          <w:p w14:paraId="4B8AC074">
            <w:pPr>
              <w:spacing w:line="240" w:lineRule="auto"/>
              <w:ind w:firstLine="0" w:firstLineChars="0"/>
              <w:jc w:val="center"/>
              <w:rPr>
                <w:color w:val="auto"/>
                <w:sz w:val="21"/>
                <w:szCs w:val="21"/>
              </w:rPr>
            </w:pPr>
            <w:r>
              <w:rPr>
                <w:color w:val="auto"/>
                <w:kern w:val="0"/>
                <w:sz w:val="21"/>
                <w:szCs w:val="21"/>
                <w:lang w:bidi="ar"/>
              </w:rPr>
              <w:t>13</w:t>
            </w:r>
          </w:p>
        </w:tc>
        <w:tc>
          <w:tcPr>
            <w:tcW w:w="445" w:type="pct"/>
            <w:vMerge w:val="restart"/>
            <w:tcBorders>
              <w:tl2br w:val="nil"/>
              <w:tr2bl w:val="nil"/>
            </w:tcBorders>
            <w:shd w:val="clear" w:color="auto" w:fill="auto"/>
            <w:vAlign w:val="center"/>
          </w:tcPr>
          <w:p w14:paraId="25060A85">
            <w:pPr>
              <w:spacing w:line="240" w:lineRule="auto"/>
              <w:ind w:firstLine="0" w:firstLineChars="0"/>
              <w:rPr>
                <w:color w:val="auto"/>
                <w:sz w:val="21"/>
                <w:szCs w:val="21"/>
              </w:rPr>
            </w:pPr>
            <w:r>
              <w:rPr>
                <w:color w:val="auto"/>
                <w:kern w:val="0"/>
                <w:sz w:val="21"/>
                <w:szCs w:val="21"/>
                <w:lang w:bidi="ar"/>
              </w:rPr>
              <w:t>《江苏省政府关于印发江苏省“三线一单”生态环境分区管控方案的通知》</w:t>
            </w:r>
          </w:p>
        </w:tc>
        <w:tc>
          <w:tcPr>
            <w:tcW w:w="293" w:type="pct"/>
            <w:tcBorders>
              <w:tl2br w:val="nil"/>
              <w:tr2bl w:val="nil"/>
            </w:tcBorders>
            <w:shd w:val="clear" w:color="auto" w:fill="auto"/>
            <w:vAlign w:val="center"/>
          </w:tcPr>
          <w:p w14:paraId="73CE44C3">
            <w:pPr>
              <w:spacing w:line="240" w:lineRule="auto"/>
              <w:ind w:firstLine="0" w:firstLineChars="0"/>
              <w:jc w:val="center"/>
              <w:rPr>
                <w:color w:val="auto"/>
                <w:sz w:val="21"/>
                <w:szCs w:val="21"/>
              </w:rPr>
            </w:pPr>
            <w:r>
              <w:rPr>
                <w:color w:val="auto"/>
                <w:kern w:val="0"/>
                <w:sz w:val="21"/>
                <w:szCs w:val="21"/>
                <w:lang w:bidi="ar"/>
              </w:rPr>
              <w:t>江苏省省域生态环境管控要求</w:t>
            </w:r>
          </w:p>
        </w:tc>
        <w:tc>
          <w:tcPr>
            <w:tcW w:w="2143" w:type="pct"/>
            <w:gridSpan w:val="2"/>
            <w:tcBorders>
              <w:tl2br w:val="nil"/>
              <w:tr2bl w:val="nil"/>
            </w:tcBorders>
            <w:shd w:val="clear" w:color="auto" w:fill="auto"/>
            <w:vAlign w:val="center"/>
          </w:tcPr>
          <w:p w14:paraId="4B30F2BD">
            <w:pPr>
              <w:spacing w:line="240" w:lineRule="auto"/>
              <w:ind w:firstLine="0" w:firstLineChars="0"/>
              <w:rPr>
                <w:color w:val="auto"/>
                <w:sz w:val="21"/>
                <w:szCs w:val="21"/>
              </w:rPr>
            </w:pPr>
            <w:r>
              <w:rPr>
                <w:color w:val="auto"/>
                <w:kern w:val="0"/>
                <w:sz w:val="21"/>
                <w:szCs w:val="21"/>
                <w:lang w:bidi="ar"/>
              </w:rPr>
              <w:t>空间布局约束：</w:t>
            </w:r>
          </w:p>
          <w:p w14:paraId="2FDD06EA">
            <w:pPr>
              <w:spacing w:line="240" w:lineRule="auto"/>
              <w:ind w:firstLine="0" w:firstLineChars="0"/>
              <w:rPr>
                <w:color w:val="auto"/>
                <w:sz w:val="21"/>
                <w:szCs w:val="21"/>
              </w:rPr>
            </w:pPr>
            <w:r>
              <w:rPr>
                <w:color w:val="auto"/>
                <w:kern w:val="0"/>
                <w:sz w:val="21"/>
                <w:szCs w:val="21"/>
                <w:lang w:bidi="ar"/>
              </w:rPr>
              <w:t>1、按照《省政府关于印发江苏省生态空间管控区域规划的通知》（苏政发</w:t>
            </w:r>
            <w:r>
              <w:rPr>
                <w:rFonts w:hint="eastAsia"/>
                <w:color w:val="auto"/>
                <w:kern w:val="0"/>
                <w:sz w:val="21"/>
                <w:szCs w:val="21"/>
                <w:lang w:bidi="ar"/>
              </w:rPr>
              <w:t>〔</w:t>
            </w:r>
            <w:r>
              <w:rPr>
                <w:color w:val="auto"/>
                <w:kern w:val="0"/>
                <w:sz w:val="21"/>
                <w:szCs w:val="21"/>
                <w:lang w:bidi="ar"/>
              </w:rPr>
              <w:t>2020</w:t>
            </w:r>
            <w:r>
              <w:rPr>
                <w:rFonts w:hint="eastAsia"/>
                <w:color w:val="auto"/>
                <w:kern w:val="0"/>
                <w:sz w:val="21"/>
                <w:szCs w:val="21"/>
                <w:lang w:bidi="ar"/>
              </w:rPr>
              <w:t>〕</w:t>
            </w:r>
            <w:r>
              <w:rPr>
                <w:color w:val="auto"/>
                <w:kern w:val="0"/>
                <w:sz w:val="21"/>
                <w:szCs w:val="21"/>
                <w:lang w:bidi="ar"/>
              </w:rPr>
              <w:t>1号）、《省政府关于印发江苏省国家级生态保护红线规划的通知》（苏政发</w:t>
            </w:r>
            <w:r>
              <w:rPr>
                <w:rFonts w:hint="eastAsia"/>
                <w:color w:val="auto"/>
                <w:kern w:val="0"/>
                <w:sz w:val="21"/>
                <w:szCs w:val="21"/>
                <w:lang w:bidi="ar"/>
              </w:rPr>
              <w:t>〔</w:t>
            </w:r>
            <w:r>
              <w:rPr>
                <w:color w:val="auto"/>
                <w:kern w:val="0"/>
                <w:sz w:val="21"/>
                <w:szCs w:val="21"/>
                <w:lang w:bidi="ar"/>
              </w:rPr>
              <w:t>2018</w:t>
            </w:r>
            <w:r>
              <w:rPr>
                <w:rFonts w:hint="eastAsia"/>
                <w:color w:val="auto"/>
                <w:kern w:val="0"/>
                <w:sz w:val="21"/>
                <w:szCs w:val="21"/>
                <w:lang w:bidi="ar"/>
              </w:rPr>
              <w:t>〕</w:t>
            </w:r>
            <w:r>
              <w:rPr>
                <w:color w:val="auto"/>
                <w:kern w:val="0"/>
                <w:sz w:val="21"/>
                <w:szCs w:val="21"/>
                <w:lang w:bidi="ar"/>
              </w:rPr>
              <w:t>74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全省陆域生态空间总面积23216.24平方公里，占全省陆域国土面积的22.49%。其中国家级生态保护红线陆域面积为8474.27平方公里，占全省陆域国土面积的8.21%；生态空间管控区域面积为14741.97平方公里，占全省陆域国土面积的14.28%。</w:t>
            </w:r>
          </w:p>
          <w:p w14:paraId="4D5F1912">
            <w:pPr>
              <w:spacing w:line="240" w:lineRule="auto"/>
              <w:ind w:firstLine="0" w:firstLineChars="0"/>
              <w:rPr>
                <w:color w:val="auto"/>
                <w:sz w:val="21"/>
                <w:szCs w:val="21"/>
              </w:rPr>
            </w:pPr>
            <w:r>
              <w:rPr>
                <w:color w:val="auto"/>
                <w:kern w:val="0"/>
                <w:sz w:val="21"/>
                <w:szCs w:val="21"/>
                <w:lang w:bidi="ar"/>
              </w:rPr>
              <w:t>2、牢牢把握推动长江经济带发展“共抓大保护，不搞大开发”战略导向，对省域范围内需要重点保护的岸线、河段和区域实行严格管控，管住控好排放量大、耗能高、产能过剩的产业，推动长江经济带高质量发展。</w:t>
            </w:r>
          </w:p>
          <w:p w14:paraId="5451AE1D">
            <w:pPr>
              <w:spacing w:line="240" w:lineRule="auto"/>
              <w:ind w:firstLine="0" w:firstLineChars="0"/>
              <w:rPr>
                <w:color w:val="auto"/>
                <w:sz w:val="21"/>
                <w:szCs w:val="21"/>
              </w:rPr>
            </w:pPr>
            <w:r>
              <w:rPr>
                <w:color w:val="auto"/>
                <w:kern w:val="0"/>
                <w:sz w:val="21"/>
                <w:szCs w:val="21"/>
                <w:lang w:bidi="ar"/>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5C9181EC">
            <w:pPr>
              <w:spacing w:line="240" w:lineRule="auto"/>
              <w:ind w:firstLine="0" w:firstLineChars="0"/>
              <w:rPr>
                <w:color w:val="auto"/>
                <w:sz w:val="21"/>
                <w:szCs w:val="21"/>
              </w:rPr>
            </w:pPr>
            <w:r>
              <w:rPr>
                <w:color w:val="auto"/>
                <w:kern w:val="0"/>
                <w:sz w:val="21"/>
                <w:szCs w:val="21"/>
                <w:lang w:bidi="ar"/>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55323072">
            <w:pPr>
              <w:spacing w:line="240" w:lineRule="auto"/>
              <w:ind w:firstLine="0" w:firstLineChars="0"/>
              <w:rPr>
                <w:color w:val="auto"/>
                <w:sz w:val="21"/>
                <w:szCs w:val="21"/>
              </w:rPr>
            </w:pPr>
            <w:r>
              <w:rPr>
                <w:color w:val="auto"/>
                <w:kern w:val="0"/>
                <w:sz w:val="21"/>
                <w:szCs w:val="21"/>
                <w:lang w:bidi="ar"/>
              </w:rPr>
              <w:t>5、对列入国家和省规划，设计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p w14:paraId="01796CF8">
            <w:pPr>
              <w:spacing w:line="240" w:lineRule="auto"/>
              <w:ind w:firstLine="0" w:firstLineChars="0"/>
              <w:rPr>
                <w:color w:val="auto"/>
                <w:sz w:val="21"/>
                <w:szCs w:val="21"/>
              </w:rPr>
            </w:pPr>
            <w:r>
              <w:rPr>
                <w:color w:val="auto"/>
                <w:kern w:val="0"/>
                <w:sz w:val="21"/>
                <w:szCs w:val="21"/>
                <w:lang w:bidi="ar"/>
              </w:rPr>
              <w:t>污染物排放管控：</w:t>
            </w:r>
          </w:p>
          <w:p w14:paraId="2A561A9F">
            <w:pPr>
              <w:spacing w:line="240" w:lineRule="auto"/>
              <w:ind w:firstLine="0" w:firstLineChars="0"/>
              <w:rPr>
                <w:color w:val="auto"/>
                <w:sz w:val="21"/>
                <w:szCs w:val="21"/>
              </w:rPr>
            </w:pPr>
            <w:r>
              <w:rPr>
                <w:color w:val="auto"/>
                <w:kern w:val="0"/>
                <w:sz w:val="21"/>
                <w:szCs w:val="21"/>
                <w:lang w:bidi="ar"/>
              </w:rPr>
              <w:t>1、坚持生态环境质量只能更好，不能变坏，实施污染物总量控制，以环境容量定产业、定项目、定规模，确保开发建设行为不突破生态环境承载力。</w:t>
            </w:r>
          </w:p>
          <w:p w14:paraId="444805E7">
            <w:pPr>
              <w:spacing w:line="240" w:lineRule="auto"/>
              <w:ind w:firstLine="0" w:firstLineChars="0"/>
              <w:rPr>
                <w:color w:val="auto"/>
                <w:sz w:val="21"/>
                <w:szCs w:val="21"/>
              </w:rPr>
            </w:pPr>
            <w:r>
              <w:rPr>
                <w:color w:val="auto"/>
                <w:kern w:val="0"/>
                <w:sz w:val="21"/>
                <w:szCs w:val="21"/>
                <w:lang w:bidi="ar"/>
              </w:rPr>
              <w:t>2、2020年主要污染物排放总量要求：全省二氧化硫、氮氧化物、挥发性有机物、化学需氧量、氨氮、总氮、总磷排放总量分别为66.8万吨、85.4万吨、149.6万吨、91.2万吨、11.9万吨、29.2万吨、2.7万吨。</w:t>
            </w:r>
          </w:p>
          <w:p w14:paraId="1A17407B">
            <w:pPr>
              <w:spacing w:line="240" w:lineRule="auto"/>
              <w:ind w:firstLine="0" w:firstLineChars="0"/>
              <w:rPr>
                <w:color w:val="auto"/>
                <w:sz w:val="21"/>
                <w:szCs w:val="21"/>
              </w:rPr>
            </w:pPr>
            <w:r>
              <w:rPr>
                <w:color w:val="auto"/>
                <w:kern w:val="0"/>
                <w:sz w:val="21"/>
                <w:szCs w:val="21"/>
                <w:lang w:bidi="ar"/>
              </w:rPr>
              <w:t>环境风险防控：</w:t>
            </w:r>
          </w:p>
          <w:p w14:paraId="09116A7B">
            <w:pPr>
              <w:spacing w:line="240" w:lineRule="auto"/>
              <w:ind w:firstLine="0" w:firstLineChars="0"/>
              <w:rPr>
                <w:color w:val="auto"/>
                <w:sz w:val="21"/>
                <w:szCs w:val="21"/>
              </w:rPr>
            </w:pPr>
            <w:r>
              <w:rPr>
                <w:color w:val="auto"/>
                <w:kern w:val="0"/>
                <w:sz w:val="21"/>
                <w:szCs w:val="21"/>
                <w:lang w:bidi="ar"/>
              </w:rPr>
              <w:t>1、强化饮用水水源环境风险管控。县级以上城市全部建成应急水源或双源供水。</w:t>
            </w:r>
          </w:p>
          <w:p w14:paraId="7C2EA235">
            <w:pPr>
              <w:spacing w:line="240" w:lineRule="auto"/>
              <w:ind w:firstLine="0" w:firstLineChars="0"/>
              <w:rPr>
                <w:color w:val="auto"/>
                <w:sz w:val="21"/>
                <w:szCs w:val="21"/>
              </w:rPr>
            </w:pPr>
            <w:r>
              <w:rPr>
                <w:color w:val="auto"/>
                <w:kern w:val="0"/>
                <w:sz w:val="21"/>
                <w:szCs w:val="21"/>
                <w:lang w:bidi="ar"/>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2411CDEE">
            <w:pPr>
              <w:spacing w:line="240" w:lineRule="auto"/>
              <w:ind w:firstLine="0" w:firstLineChars="0"/>
              <w:rPr>
                <w:color w:val="auto"/>
                <w:sz w:val="21"/>
                <w:szCs w:val="21"/>
              </w:rPr>
            </w:pPr>
            <w:r>
              <w:rPr>
                <w:color w:val="auto"/>
                <w:kern w:val="0"/>
                <w:sz w:val="21"/>
                <w:szCs w:val="21"/>
                <w:lang w:bidi="ar"/>
              </w:rPr>
              <w:t>3、强化环境事故应急管理。深化跨部门、跨区域环境应急协调联动，分区域建立环境应急物资储备库。各级工业园区（集聚区）和企业的环境应急装备和储备物资应纳入储备体系。</w:t>
            </w:r>
          </w:p>
          <w:p w14:paraId="5A15F4E8">
            <w:pPr>
              <w:spacing w:line="240" w:lineRule="auto"/>
              <w:ind w:firstLine="0" w:firstLineChars="0"/>
              <w:rPr>
                <w:color w:val="auto"/>
                <w:sz w:val="21"/>
                <w:szCs w:val="21"/>
              </w:rPr>
            </w:pPr>
            <w:r>
              <w:rPr>
                <w:color w:val="auto"/>
                <w:kern w:val="0"/>
                <w:sz w:val="21"/>
                <w:szCs w:val="21"/>
                <w:lang w:bidi="ar"/>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p w14:paraId="17615322">
            <w:pPr>
              <w:spacing w:line="240" w:lineRule="auto"/>
              <w:ind w:firstLine="0" w:firstLineChars="0"/>
              <w:rPr>
                <w:color w:val="auto"/>
                <w:sz w:val="21"/>
                <w:szCs w:val="21"/>
              </w:rPr>
            </w:pPr>
            <w:r>
              <w:rPr>
                <w:color w:val="auto"/>
                <w:kern w:val="0"/>
                <w:sz w:val="21"/>
                <w:szCs w:val="21"/>
                <w:lang w:bidi="ar"/>
              </w:rPr>
              <w:t>资源利用效率要求：</w:t>
            </w:r>
          </w:p>
          <w:p w14:paraId="0BBEF395">
            <w:pPr>
              <w:spacing w:line="240" w:lineRule="auto"/>
              <w:ind w:firstLine="0" w:firstLineChars="0"/>
              <w:rPr>
                <w:color w:val="auto"/>
                <w:sz w:val="21"/>
                <w:szCs w:val="21"/>
              </w:rPr>
            </w:pPr>
            <w:r>
              <w:rPr>
                <w:color w:val="auto"/>
                <w:kern w:val="0"/>
                <w:sz w:val="21"/>
                <w:szCs w:val="21"/>
                <w:lang w:bidi="ar"/>
              </w:rPr>
              <w:t>1、水资源利用总量及效率要求；到2020年，全省用水总量不得超过524.15亿立方米。全省万元地区生产总值用水量、万元工业增加值用水量达到国家最严格水资源管理考核要求。到2020年，全省矿井水、洗煤废水70%以上综合利用，高耗水行业达到先进定额标准，工业水循环利用率达90%。</w:t>
            </w:r>
          </w:p>
          <w:p w14:paraId="37933F65">
            <w:pPr>
              <w:spacing w:line="240" w:lineRule="auto"/>
              <w:ind w:firstLine="0" w:firstLineChars="0"/>
              <w:rPr>
                <w:color w:val="auto"/>
                <w:sz w:val="21"/>
                <w:szCs w:val="21"/>
              </w:rPr>
            </w:pPr>
            <w:r>
              <w:rPr>
                <w:color w:val="auto"/>
                <w:kern w:val="0"/>
                <w:sz w:val="21"/>
                <w:szCs w:val="21"/>
                <w:lang w:bidi="ar"/>
              </w:rPr>
              <w:t>2、土地资源总量要求：到2020年，全省耕地保有量不低于456.87万公顷，永久基本农田保护面积不低于390.67万公顷。</w:t>
            </w:r>
          </w:p>
          <w:p w14:paraId="26F3DC3C">
            <w:pPr>
              <w:spacing w:line="240" w:lineRule="auto"/>
              <w:ind w:firstLine="0" w:firstLineChars="0"/>
              <w:rPr>
                <w:color w:val="auto"/>
                <w:sz w:val="21"/>
                <w:szCs w:val="21"/>
              </w:rPr>
            </w:pPr>
            <w:r>
              <w:rPr>
                <w:color w:val="auto"/>
                <w:kern w:val="0"/>
                <w:sz w:val="21"/>
                <w:szCs w:val="21"/>
                <w:lang w:bidi="ar"/>
              </w:rPr>
              <w:t>3、禁燃区要求，在禁燃区内，禁止销售、燃用高污染燃料；禁止新建、扩建燃用高污染燃料的设施，已建成的，应当在城市人民政府规定的期限</w:t>
            </w:r>
            <w:r>
              <w:rPr>
                <w:rFonts w:hint="eastAsia"/>
                <w:color w:val="auto"/>
                <w:kern w:val="0"/>
                <w:sz w:val="21"/>
                <w:szCs w:val="21"/>
                <w:lang w:bidi="ar"/>
              </w:rPr>
              <w:t>内</w:t>
            </w:r>
            <w:r>
              <w:rPr>
                <w:color w:val="auto"/>
                <w:kern w:val="0"/>
                <w:sz w:val="21"/>
                <w:szCs w:val="21"/>
                <w:lang w:bidi="ar"/>
              </w:rPr>
              <w:t>改用天然气、页岩气、液化石油气、电或者其他清洁能源。</w:t>
            </w:r>
          </w:p>
        </w:tc>
        <w:tc>
          <w:tcPr>
            <w:tcW w:w="1829" w:type="pct"/>
            <w:tcBorders>
              <w:tl2br w:val="nil"/>
              <w:tr2bl w:val="nil"/>
            </w:tcBorders>
            <w:shd w:val="clear" w:color="auto" w:fill="auto"/>
            <w:vAlign w:val="center"/>
          </w:tcPr>
          <w:p w14:paraId="7454BBC4">
            <w:pPr>
              <w:spacing w:line="240" w:lineRule="auto"/>
              <w:ind w:firstLine="0" w:firstLineChars="0"/>
              <w:rPr>
                <w:color w:val="auto"/>
                <w:sz w:val="21"/>
                <w:szCs w:val="21"/>
              </w:rPr>
            </w:pPr>
            <w:r>
              <w:rPr>
                <w:color w:val="auto"/>
                <w:kern w:val="0"/>
                <w:sz w:val="21"/>
                <w:szCs w:val="21"/>
                <w:lang w:bidi="ar"/>
              </w:rPr>
              <w:t>本项目位于</w:t>
            </w:r>
            <w:r>
              <w:rPr>
                <w:rFonts w:hint="eastAsia"/>
                <w:color w:val="auto"/>
                <w:kern w:val="0"/>
                <w:sz w:val="21"/>
                <w:szCs w:val="21"/>
                <w:lang w:bidi="ar"/>
              </w:rPr>
              <w:t>连云港经济技术开发区临港产业区西北片区内</w:t>
            </w:r>
            <w:r>
              <w:rPr>
                <w:color w:val="auto"/>
                <w:kern w:val="0"/>
                <w:sz w:val="21"/>
                <w:szCs w:val="21"/>
                <w:lang w:bidi="ar"/>
              </w:rPr>
              <w:t>，属于重点管控单元。</w:t>
            </w:r>
          </w:p>
          <w:p w14:paraId="71B44377">
            <w:pPr>
              <w:spacing w:line="240" w:lineRule="auto"/>
              <w:ind w:firstLine="0" w:firstLineChars="0"/>
              <w:rPr>
                <w:color w:val="auto"/>
              </w:rPr>
            </w:pPr>
            <w:r>
              <w:rPr>
                <w:rFonts w:hint="eastAsia"/>
                <w:color w:val="auto"/>
                <w:kern w:val="0"/>
                <w:sz w:val="21"/>
                <w:szCs w:val="21"/>
                <w:lang w:bidi="ar"/>
              </w:rPr>
              <w:t>项目与</w:t>
            </w:r>
            <w:r>
              <w:rPr>
                <w:rFonts w:hint="eastAsia"/>
                <w:color w:val="auto"/>
                <w:sz w:val="21"/>
                <w:szCs w:val="21"/>
              </w:rPr>
              <w:t>《江苏省2023年度生态环境分区管控动态更新成果公告》相符</w:t>
            </w:r>
            <w:r>
              <w:rPr>
                <w:color w:val="auto"/>
                <w:kern w:val="0"/>
                <w:sz w:val="21"/>
                <w:szCs w:val="21"/>
                <w:lang w:bidi="ar"/>
              </w:rPr>
              <w:t>。</w:t>
            </w:r>
          </w:p>
        </w:tc>
      </w:tr>
      <w:tr w14:paraId="1AB1C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tcBorders>
              <w:tl2br w:val="nil"/>
              <w:tr2bl w:val="nil"/>
            </w:tcBorders>
            <w:shd w:val="clear" w:color="auto" w:fill="auto"/>
            <w:vAlign w:val="center"/>
          </w:tcPr>
          <w:p w14:paraId="5DBB6070">
            <w:pPr>
              <w:spacing w:line="240" w:lineRule="auto"/>
              <w:ind w:firstLine="0" w:firstLineChars="0"/>
              <w:jc w:val="center"/>
              <w:rPr>
                <w:color w:val="auto"/>
                <w:sz w:val="20"/>
                <w:szCs w:val="20"/>
              </w:rPr>
            </w:pPr>
          </w:p>
        </w:tc>
        <w:tc>
          <w:tcPr>
            <w:tcW w:w="445" w:type="pct"/>
            <w:vMerge w:val="continue"/>
            <w:tcBorders>
              <w:tl2br w:val="nil"/>
              <w:tr2bl w:val="nil"/>
            </w:tcBorders>
            <w:shd w:val="clear" w:color="auto" w:fill="auto"/>
            <w:vAlign w:val="center"/>
          </w:tcPr>
          <w:p w14:paraId="786F8FC9">
            <w:pPr>
              <w:spacing w:line="240" w:lineRule="auto"/>
              <w:ind w:firstLine="0" w:firstLineChars="0"/>
              <w:rPr>
                <w:color w:val="auto"/>
                <w:sz w:val="20"/>
                <w:szCs w:val="20"/>
              </w:rPr>
            </w:pPr>
          </w:p>
        </w:tc>
        <w:tc>
          <w:tcPr>
            <w:tcW w:w="293" w:type="pct"/>
            <w:tcBorders>
              <w:tl2br w:val="nil"/>
              <w:tr2bl w:val="nil"/>
            </w:tcBorders>
            <w:shd w:val="clear" w:color="auto" w:fill="auto"/>
            <w:vAlign w:val="center"/>
          </w:tcPr>
          <w:p w14:paraId="6AEC0FD2">
            <w:pPr>
              <w:spacing w:line="240" w:lineRule="auto"/>
              <w:ind w:firstLine="0" w:firstLineChars="0"/>
              <w:jc w:val="center"/>
              <w:rPr>
                <w:color w:val="auto"/>
                <w:sz w:val="21"/>
                <w:szCs w:val="21"/>
              </w:rPr>
            </w:pPr>
            <w:r>
              <w:rPr>
                <w:color w:val="auto"/>
                <w:kern w:val="0"/>
                <w:sz w:val="21"/>
                <w:szCs w:val="21"/>
                <w:lang w:bidi="ar"/>
              </w:rPr>
              <w:t>江苏省重点区域（流域）生态环境分区管控要求</w:t>
            </w:r>
          </w:p>
        </w:tc>
        <w:tc>
          <w:tcPr>
            <w:tcW w:w="346" w:type="pct"/>
            <w:tcBorders>
              <w:tl2br w:val="nil"/>
              <w:tr2bl w:val="nil"/>
            </w:tcBorders>
            <w:shd w:val="clear" w:color="auto" w:fill="auto"/>
            <w:vAlign w:val="center"/>
          </w:tcPr>
          <w:p w14:paraId="7D27EA97">
            <w:pPr>
              <w:spacing w:line="240" w:lineRule="auto"/>
              <w:ind w:firstLine="0" w:firstLineChars="0"/>
              <w:jc w:val="center"/>
              <w:rPr>
                <w:color w:val="auto"/>
                <w:sz w:val="21"/>
                <w:szCs w:val="21"/>
              </w:rPr>
            </w:pPr>
            <w:r>
              <w:rPr>
                <w:color w:val="auto"/>
                <w:kern w:val="0"/>
                <w:sz w:val="21"/>
                <w:szCs w:val="21"/>
                <w:lang w:bidi="ar"/>
              </w:rPr>
              <w:t>淮河流域</w:t>
            </w:r>
          </w:p>
        </w:tc>
        <w:tc>
          <w:tcPr>
            <w:tcW w:w="1797" w:type="pct"/>
            <w:tcBorders>
              <w:tl2br w:val="nil"/>
              <w:tr2bl w:val="nil"/>
            </w:tcBorders>
            <w:shd w:val="clear" w:color="auto" w:fill="auto"/>
            <w:vAlign w:val="center"/>
          </w:tcPr>
          <w:p w14:paraId="7F5F9412">
            <w:pPr>
              <w:spacing w:line="240" w:lineRule="auto"/>
              <w:ind w:firstLine="0" w:firstLineChars="0"/>
              <w:rPr>
                <w:b/>
                <w:bCs/>
                <w:color w:val="auto"/>
                <w:sz w:val="21"/>
                <w:szCs w:val="21"/>
              </w:rPr>
            </w:pPr>
            <w:r>
              <w:rPr>
                <w:b/>
                <w:bCs/>
                <w:color w:val="auto"/>
                <w:kern w:val="0"/>
                <w:sz w:val="21"/>
                <w:szCs w:val="21"/>
                <w:lang w:bidi="ar"/>
              </w:rPr>
              <w:t>空间布局约束：</w:t>
            </w:r>
          </w:p>
          <w:p w14:paraId="10C06210">
            <w:pPr>
              <w:spacing w:line="240" w:lineRule="auto"/>
              <w:ind w:firstLine="0" w:firstLineChars="0"/>
              <w:rPr>
                <w:color w:val="auto"/>
                <w:sz w:val="21"/>
                <w:szCs w:val="21"/>
              </w:rPr>
            </w:pPr>
            <w:r>
              <w:rPr>
                <w:color w:val="auto"/>
                <w:kern w:val="0"/>
                <w:sz w:val="21"/>
                <w:szCs w:val="21"/>
                <w:lang w:bidi="ar"/>
              </w:rPr>
              <w:t>1、禁止在淮河流域新建化学制浆造纸企业，禁止在淮河流域新建制革、化工、印染、电镀、酿造等污染严重的小型企业。</w:t>
            </w:r>
          </w:p>
          <w:p w14:paraId="3F7ECC77">
            <w:pPr>
              <w:spacing w:line="240" w:lineRule="auto"/>
              <w:ind w:firstLine="0" w:firstLineChars="0"/>
              <w:rPr>
                <w:color w:val="auto"/>
                <w:sz w:val="21"/>
                <w:szCs w:val="21"/>
              </w:rPr>
            </w:pPr>
            <w:r>
              <w:rPr>
                <w:color w:val="auto"/>
                <w:kern w:val="0"/>
                <w:sz w:val="21"/>
                <w:szCs w:val="21"/>
                <w:lang w:bidi="ar"/>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14:paraId="7E76C419">
            <w:pPr>
              <w:spacing w:line="240" w:lineRule="auto"/>
              <w:ind w:firstLine="0" w:firstLineChars="0"/>
              <w:rPr>
                <w:color w:val="auto"/>
                <w:sz w:val="21"/>
                <w:szCs w:val="21"/>
              </w:rPr>
            </w:pPr>
            <w:r>
              <w:rPr>
                <w:color w:val="auto"/>
                <w:kern w:val="0"/>
                <w:sz w:val="21"/>
                <w:szCs w:val="21"/>
                <w:lang w:bidi="ar"/>
              </w:rPr>
              <w:t>3、在通榆河一级保护区，禁止新建、扩建直接或者间接向水体排放污染物的项目，禁止建设工业固体废物集中贮存、利用、处置设施或者场所以及城市生活垃圾填埋场，禁止新建规模化畜禽养殖场</w:t>
            </w:r>
            <w:r>
              <w:rPr>
                <w:rFonts w:hint="eastAsia"/>
                <w:color w:val="auto"/>
                <w:kern w:val="0"/>
                <w:sz w:val="21"/>
                <w:szCs w:val="21"/>
                <w:lang w:bidi="ar"/>
              </w:rPr>
              <w:t>。</w:t>
            </w:r>
          </w:p>
          <w:p w14:paraId="2D4DEF3D">
            <w:pPr>
              <w:spacing w:line="240" w:lineRule="auto"/>
              <w:ind w:firstLine="0" w:firstLineChars="0"/>
              <w:rPr>
                <w:b/>
                <w:bCs/>
                <w:color w:val="auto"/>
                <w:sz w:val="21"/>
                <w:szCs w:val="21"/>
              </w:rPr>
            </w:pPr>
            <w:r>
              <w:rPr>
                <w:b/>
                <w:bCs/>
                <w:color w:val="auto"/>
                <w:kern w:val="0"/>
                <w:sz w:val="21"/>
                <w:szCs w:val="21"/>
                <w:lang w:bidi="ar"/>
              </w:rPr>
              <w:t>污染物排放管控：</w:t>
            </w:r>
          </w:p>
          <w:p w14:paraId="21DFD041">
            <w:pPr>
              <w:spacing w:line="240" w:lineRule="auto"/>
              <w:ind w:firstLine="0" w:firstLineChars="0"/>
              <w:rPr>
                <w:color w:val="auto"/>
                <w:sz w:val="21"/>
                <w:szCs w:val="21"/>
              </w:rPr>
            </w:pPr>
            <w:r>
              <w:rPr>
                <w:color w:val="auto"/>
                <w:kern w:val="0"/>
                <w:sz w:val="21"/>
                <w:szCs w:val="21"/>
                <w:lang w:bidi="ar"/>
              </w:rPr>
              <w:t>按照《淮河流域水污染防治暂行条例》实施排污总量控制制度。</w:t>
            </w:r>
          </w:p>
          <w:p w14:paraId="2244FFF8">
            <w:pPr>
              <w:spacing w:line="240" w:lineRule="auto"/>
              <w:ind w:firstLine="0" w:firstLineChars="0"/>
              <w:rPr>
                <w:b/>
                <w:bCs/>
                <w:color w:val="auto"/>
                <w:sz w:val="21"/>
                <w:szCs w:val="21"/>
              </w:rPr>
            </w:pPr>
            <w:r>
              <w:rPr>
                <w:b/>
                <w:bCs/>
                <w:color w:val="auto"/>
                <w:kern w:val="0"/>
                <w:sz w:val="21"/>
                <w:szCs w:val="21"/>
                <w:lang w:bidi="ar"/>
              </w:rPr>
              <w:t>环境风险防控：</w:t>
            </w:r>
          </w:p>
          <w:p w14:paraId="4C1C82F7">
            <w:pPr>
              <w:spacing w:line="240" w:lineRule="auto"/>
              <w:ind w:firstLine="0" w:firstLineChars="0"/>
              <w:rPr>
                <w:color w:val="auto"/>
                <w:sz w:val="21"/>
                <w:szCs w:val="21"/>
              </w:rPr>
            </w:pPr>
            <w:r>
              <w:rPr>
                <w:color w:val="auto"/>
                <w:kern w:val="0"/>
                <w:sz w:val="21"/>
                <w:szCs w:val="21"/>
                <w:lang w:bidi="ar"/>
              </w:rPr>
              <w:t>禁止运输剧毒化学品以及国家规定禁止通过内河运输的其他危险化学品的船舶进入通榆河及主要供水河道。</w:t>
            </w:r>
          </w:p>
          <w:p w14:paraId="7CD92E92">
            <w:pPr>
              <w:spacing w:line="240" w:lineRule="auto"/>
              <w:ind w:firstLine="0" w:firstLineChars="0"/>
              <w:rPr>
                <w:b/>
                <w:bCs/>
                <w:color w:val="auto"/>
                <w:sz w:val="21"/>
                <w:szCs w:val="21"/>
              </w:rPr>
            </w:pPr>
            <w:r>
              <w:rPr>
                <w:b/>
                <w:bCs/>
                <w:color w:val="auto"/>
                <w:kern w:val="0"/>
                <w:sz w:val="21"/>
                <w:szCs w:val="21"/>
                <w:lang w:bidi="ar"/>
              </w:rPr>
              <w:t>资源利用效率要求：</w:t>
            </w:r>
          </w:p>
          <w:p w14:paraId="32DC8602">
            <w:pPr>
              <w:spacing w:line="240" w:lineRule="auto"/>
              <w:ind w:firstLine="0" w:firstLineChars="0"/>
              <w:rPr>
                <w:color w:val="auto"/>
                <w:sz w:val="21"/>
                <w:szCs w:val="21"/>
              </w:rPr>
            </w:pPr>
            <w:r>
              <w:rPr>
                <w:color w:val="auto"/>
                <w:kern w:val="0"/>
                <w:sz w:val="21"/>
                <w:szCs w:val="21"/>
                <w:lang w:bidi="ar"/>
              </w:rPr>
              <w:t>限制缺水地区发展耗水型产业，调整缺水地区的产业结构，严格控制高耗水、高耗能和重污染的建设项目。</w:t>
            </w:r>
          </w:p>
        </w:tc>
        <w:tc>
          <w:tcPr>
            <w:tcW w:w="1829" w:type="pct"/>
            <w:tcBorders>
              <w:tl2br w:val="nil"/>
              <w:tr2bl w:val="nil"/>
            </w:tcBorders>
            <w:shd w:val="clear" w:color="auto" w:fill="auto"/>
            <w:vAlign w:val="center"/>
          </w:tcPr>
          <w:p w14:paraId="510DD504">
            <w:pPr>
              <w:pStyle w:val="80"/>
              <w:widowControl w:val="0"/>
              <w:spacing w:before="0" w:beforeAutospacing="0" w:after="0" w:afterAutospacing="0"/>
              <w:ind w:firstLine="0" w:firstLineChars="0"/>
              <w:jc w:val="center"/>
              <w:rPr>
                <w:rFonts w:ascii="Times New Roman" w:hAnsi="Times New Roman"/>
                <w:b/>
                <w:bCs/>
                <w:color w:val="auto"/>
                <w:szCs w:val="21"/>
              </w:rPr>
            </w:pPr>
            <w:r>
              <w:rPr>
                <w:rFonts w:hint="eastAsia" w:ascii="Times New Roman" w:hAnsi="Times New Roman"/>
                <w:color w:val="auto"/>
                <w:szCs w:val="21"/>
              </w:rPr>
              <w:t>本项目不涉及。</w:t>
            </w:r>
          </w:p>
        </w:tc>
      </w:tr>
      <w:tr w14:paraId="08896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vAlign w:val="center"/>
          </w:tcPr>
          <w:p w14:paraId="3274FB11">
            <w:pPr>
              <w:spacing w:line="240" w:lineRule="auto"/>
              <w:ind w:firstLine="0" w:firstLineChars="0"/>
              <w:jc w:val="center"/>
              <w:rPr>
                <w:color w:val="auto"/>
                <w:sz w:val="20"/>
                <w:szCs w:val="20"/>
              </w:rPr>
            </w:pPr>
            <w:r>
              <w:rPr>
                <w:rFonts w:hint="eastAsia"/>
                <w:color w:val="auto"/>
                <w:sz w:val="20"/>
                <w:szCs w:val="20"/>
              </w:rPr>
              <w:t>14</w:t>
            </w:r>
          </w:p>
        </w:tc>
        <w:tc>
          <w:tcPr>
            <w:tcW w:w="739" w:type="pct"/>
            <w:gridSpan w:val="2"/>
            <w:tcBorders>
              <w:tl2br w:val="nil"/>
              <w:tr2bl w:val="nil"/>
            </w:tcBorders>
            <w:shd w:val="clear" w:color="auto" w:fill="auto"/>
            <w:vAlign w:val="center"/>
          </w:tcPr>
          <w:p w14:paraId="4CD08BA6">
            <w:pPr>
              <w:spacing w:line="240" w:lineRule="auto"/>
              <w:ind w:firstLine="0" w:firstLineChars="0"/>
              <w:rPr>
                <w:color w:val="auto"/>
                <w:kern w:val="0"/>
                <w:sz w:val="21"/>
                <w:szCs w:val="21"/>
                <w:lang w:bidi="ar"/>
              </w:rPr>
            </w:pPr>
            <w:r>
              <w:rPr>
                <w:color w:val="auto"/>
                <w:kern w:val="0"/>
                <w:sz w:val="21"/>
                <w:szCs w:val="21"/>
                <w:lang w:bidi="ar"/>
              </w:rPr>
              <w:t>《省生态环境厅关于进一步做好建设项目环评审批工作的通知》（苏环办</w:t>
            </w:r>
            <w:r>
              <w:rPr>
                <w:rFonts w:hint="eastAsia"/>
                <w:color w:val="auto"/>
                <w:kern w:val="0"/>
                <w:sz w:val="21"/>
                <w:szCs w:val="21"/>
                <w:lang w:bidi="ar"/>
              </w:rPr>
              <w:t>〔2019〕36号</w:t>
            </w:r>
            <w:r>
              <w:rPr>
                <w:color w:val="auto"/>
                <w:kern w:val="0"/>
                <w:sz w:val="21"/>
                <w:szCs w:val="21"/>
                <w:lang w:bidi="ar"/>
              </w:rPr>
              <w:t>）</w:t>
            </w:r>
          </w:p>
        </w:tc>
        <w:tc>
          <w:tcPr>
            <w:tcW w:w="2143" w:type="pct"/>
            <w:gridSpan w:val="2"/>
            <w:tcBorders>
              <w:tl2br w:val="nil"/>
              <w:tr2bl w:val="nil"/>
            </w:tcBorders>
            <w:shd w:val="clear" w:color="auto" w:fill="auto"/>
            <w:vAlign w:val="center"/>
          </w:tcPr>
          <w:p w14:paraId="778A3C4A">
            <w:pPr>
              <w:spacing w:line="240" w:lineRule="auto"/>
              <w:ind w:firstLine="0" w:firstLineChars="0"/>
              <w:rPr>
                <w:color w:val="auto"/>
                <w:sz w:val="21"/>
                <w:szCs w:val="21"/>
              </w:rPr>
            </w:pPr>
            <w:r>
              <w:rPr>
                <w:color w:val="auto"/>
                <w:kern w:val="0"/>
                <w:sz w:val="21"/>
                <w:szCs w:val="21"/>
                <w:lang w:bidi="ar"/>
              </w:rPr>
              <w:t>《建设项目环境保护管理条例》：</w:t>
            </w:r>
          </w:p>
          <w:p w14:paraId="0D37CCAF">
            <w:pPr>
              <w:spacing w:line="240" w:lineRule="auto"/>
              <w:ind w:firstLine="0" w:firstLineChars="0"/>
              <w:rPr>
                <w:color w:val="auto"/>
                <w:sz w:val="21"/>
                <w:szCs w:val="21"/>
              </w:rPr>
            </w:pPr>
            <w:r>
              <w:rPr>
                <w:color w:val="auto"/>
                <w:kern w:val="0"/>
                <w:sz w:val="21"/>
                <w:szCs w:val="21"/>
                <w:lang w:bidi="ar"/>
              </w:rPr>
              <w:t>一、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5）建设项目的环境影响报告书、环境影响报告表的基础资料数据明显不实，内容存在重大缺陷、遗漏</w:t>
            </w:r>
            <w:r>
              <w:rPr>
                <w:rFonts w:hint="eastAsia"/>
                <w:color w:val="auto"/>
                <w:kern w:val="0"/>
                <w:sz w:val="21"/>
                <w:szCs w:val="21"/>
                <w:lang w:bidi="ar"/>
              </w:rPr>
              <w:t>，或者</w:t>
            </w:r>
            <w:r>
              <w:rPr>
                <w:color w:val="auto"/>
                <w:kern w:val="0"/>
                <w:sz w:val="21"/>
                <w:szCs w:val="21"/>
                <w:lang w:bidi="ar"/>
              </w:rPr>
              <w:t>环境影响评价结论不明确、不合理。</w:t>
            </w:r>
          </w:p>
        </w:tc>
        <w:tc>
          <w:tcPr>
            <w:tcW w:w="1829" w:type="pct"/>
            <w:tcBorders>
              <w:tl2br w:val="nil"/>
              <w:tr2bl w:val="nil"/>
            </w:tcBorders>
            <w:shd w:val="clear" w:color="auto" w:fill="auto"/>
            <w:vAlign w:val="center"/>
          </w:tcPr>
          <w:p w14:paraId="30B41B55">
            <w:pPr>
              <w:pStyle w:val="80"/>
              <w:widowControl w:val="0"/>
              <w:spacing w:before="0" w:beforeAutospacing="0" w:after="0" w:afterAutospacing="0"/>
              <w:ind w:firstLine="0" w:firstLineChars="0"/>
              <w:jc w:val="both"/>
              <w:rPr>
                <w:rFonts w:ascii="Times New Roman" w:hAnsi="Times New Roman"/>
                <w:color w:val="auto"/>
                <w:szCs w:val="21"/>
              </w:rPr>
            </w:pPr>
            <w:r>
              <w:rPr>
                <w:rFonts w:ascii="Times New Roman" w:hAnsi="Times New Roman"/>
                <w:color w:val="auto"/>
                <w:szCs w:val="21"/>
                <w:lang w:bidi="ar"/>
              </w:rPr>
              <w:t>（1）建设项目类型及其选址、布局、规模等符合环境保护法律法规和相关法定规划；（2）建设项目拟采取的措施可以满足区域环境质量改善目标的管理要求（3）建设项目采取的污染防治措施，污染物排放可以达到国家和地方排放标准；（</w:t>
            </w:r>
            <w:r>
              <w:rPr>
                <w:rFonts w:hint="eastAsia" w:ascii="Times New Roman" w:hAnsi="Times New Roman"/>
                <w:color w:val="auto"/>
                <w:szCs w:val="21"/>
                <w:lang w:bidi="ar"/>
              </w:rPr>
              <w:t>4</w:t>
            </w:r>
            <w:r>
              <w:rPr>
                <w:rFonts w:ascii="Times New Roman" w:hAnsi="Times New Roman"/>
                <w:color w:val="auto"/>
                <w:szCs w:val="21"/>
                <w:lang w:bidi="ar"/>
              </w:rPr>
              <w:t>）建设项目的环境影响报告书的基础资料数据已与企业核对。</w:t>
            </w:r>
          </w:p>
        </w:tc>
      </w:tr>
      <w:tr w14:paraId="405E0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vAlign w:val="center"/>
          </w:tcPr>
          <w:p w14:paraId="1AAE2E68">
            <w:pPr>
              <w:spacing w:line="240" w:lineRule="auto"/>
              <w:ind w:firstLine="0" w:firstLineChars="0"/>
              <w:jc w:val="center"/>
              <w:rPr>
                <w:color w:val="auto"/>
                <w:sz w:val="20"/>
                <w:szCs w:val="20"/>
              </w:rPr>
            </w:pPr>
            <w:r>
              <w:rPr>
                <w:rFonts w:hint="eastAsia"/>
                <w:color w:val="auto"/>
                <w:sz w:val="20"/>
                <w:szCs w:val="20"/>
              </w:rPr>
              <w:t>15</w:t>
            </w:r>
          </w:p>
        </w:tc>
        <w:tc>
          <w:tcPr>
            <w:tcW w:w="739" w:type="pct"/>
            <w:gridSpan w:val="2"/>
            <w:tcBorders>
              <w:tl2br w:val="nil"/>
              <w:tr2bl w:val="nil"/>
            </w:tcBorders>
            <w:shd w:val="clear" w:color="auto" w:fill="auto"/>
            <w:vAlign w:val="center"/>
          </w:tcPr>
          <w:p w14:paraId="27370255">
            <w:pPr>
              <w:spacing w:line="240" w:lineRule="auto"/>
              <w:ind w:firstLine="0" w:firstLineChars="0"/>
              <w:rPr>
                <w:color w:val="auto"/>
                <w:sz w:val="21"/>
                <w:szCs w:val="21"/>
              </w:rPr>
            </w:pPr>
            <w:r>
              <w:rPr>
                <w:color w:val="auto"/>
                <w:kern w:val="0"/>
                <w:sz w:val="21"/>
                <w:szCs w:val="21"/>
                <w:lang w:bidi="ar"/>
              </w:rPr>
              <w:t>《省生态环境厅关于进一步加强建设项目环评审批和服务工作的指导意见》（苏环办</w:t>
            </w:r>
            <w:r>
              <w:rPr>
                <w:rFonts w:hint="eastAsia"/>
                <w:color w:val="auto"/>
                <w:kern w:val="0"/>
                <w:sz w:val="21"/>
                <w:szCs w:val="21"/>
                <w:lang w:bidi="ar"/>
              </w:rPr>
              <w:t>〔2020〕225号</w:t>
            </w:r>
            <w:r>
              <w:rPr>
                <w:color w:val="auto"/>
                <w:kern w:val="0"/>
                <w:sz w:val="21"/>
                <w:szCs w:val="21"/>
                <w:lang w:bidi="ar"/>
              </w:rPr>
              <w:t>）</w:t>
            </w:r>
          </w:p>
        </w:tc>
        <w:tc>
          <w:tcPr>
            <w:tcW w:w="2143" w:type="pct"/>
            <w:gridSpan w:val="2"/>
            <w:tcBorders>
              <w:tl2br w:val="nil"/>
              <w:tr2bl w:val="nil"/>
            </w:tcBorders>
            <w:shd w:val="clear" w:color="auto" w:fill="auto"/>
            <w:vAlign w:val="center"/>
          </w:tcPr>
          <w:p w14:paraId="0461335A">
            <w:pPr>
              <w:spacing w:line="240" w:lineRule="auto"/>
              <w:ind w:firstLine="0" w:firstLineChars="0"/>
              <w:rPr>
                <w:color w:val="auto"/>
                <w:sz w:val="21"/>
                <w:szCs w:val="21"/>
              </w:rPr>
            </w:pPr>
            <w:r>
              <w:rPr>
                <w:color w:val="auto"/>
                <w:kern w:val="0"/>
                <w:sz w:val="21"/>
                <w:szCs w:val="21"/>
                <w:lang w:bidi="ar"/>
              </w:rPr>
              <w:t>一、严守生态环境质量底线</w:t>
            </w:r>
          </w:p>
          <w:p w14:paraId="1FFBA737">
            <w:pPr>
              <w:spacing w:line="240" w:lineRule="auto"/>
              <w:ind w:firstLine="0" w:firstLineChars="0"/>
              <w:rPr>
                <w:color w:val="auto"/>
                <w:sz w:val="21"/>
                <w:szCs w:val="21"/>
              </w:rPr>
            </w:pPr>
            <w:r>
              <w:rPr>
                <w:color w:val="auto"/>
                <w:kern w:val="0"/>
                <w:sz w:val="21"/>
                <w:szCs w:val="21"/>
                <w:lang w:bidi="ar"/>
              </w:rPr>
              <w:t>坚持以改善环境质量为核心，开发建设活动不得突破区域生态环境承载能力，确保“生态环境质量只能更好、不能变坏”。</w:t>
            </w:r>
          </w:p>
          <w:p w14:paraId="144AA035">
            <w:pPr>
              <w:spacing w:line="240" w:lineRule="auto"/>
              <w:ind w:firstLine="0" w:firstLineChars="0"/>
              <w:rPr>
                <w:color w:val="auto"/>
                <w:sz w:val="21"/>
                <w:szCs w:val="21"/>
              </w:rPr>
            </w:pPr>
            <w:r>
              <w:rPr>
                <w:rFonts w:hint="eastAsia"/>
                <w:color w:val="auto"/>
                <w:kern w:val="0"/>
                <w:sz w:val="21"/>
                <w:szCs w:val="21"/>
                <w:lang w:bidi="ar"/>
              </w:rPr>
              <w:t>（一）</w:t>
            </w:r>
            <w:r>
              <w:rPr>
                <w:color w:val="auto"/>
                <w:kern w:val="0"/>
                <w:sz w:val="21"/>
                <w:szCs w:val="21"/>
                <w:lang w:bidi="ar"/>
              </w:rPr>
              <w:t>建设项目所在区域环境质量未达到国家或地方环境质量标准，且项目拟采取的污染防治措施不能满足区域环境质量改善目标管理要求的，一律不得审批。</w:t>
            </w:r>
          </w:p>
          <w:p w14:paraId="0DF0BFB6">
            <w:pPr>
              <w:spacing w:line="240" w:lineRule="auto"/>
              <w:ind w:firstLine="0" w:firstLineChars="0"/>
              <w:rPr>
                <w:color w:val="auto"/>
                <w:sz w:val="21"/>
                <w:szCs w:val="21"/>
              </w:rPr>
            </w:pPr>
            <w:r>
              <w:rPr>
                <w:color w:val="auto"/>
                <w:kern w:val="0"/>
                <w:sz w:val="21"/>
                <w:szCs w:val="21"/>
                <w:lang w:bidi="ar"/>
              </w:rPr>
              <w:t>（二）加强规划环评与</w:t>
            </w:r>
            <w:r>
              <w:rPr>
                <w:rFonts w:hint="eastAsia"/>
                <w:color w:val="auto"/>
                <w:kern w:val="0"/>
                <w:sz w:val="21"/>
                <w:szCs w:val="21"/>
                <w:lang w:bidi="ar"/>
              </w:rPr>
              <w:t>建设</w:t>
            </w:r>
            <w:r>
              <w:rPr>
                <w:color w:val="auto"/>
                <w:kern w:val="0"/>
                <w:sz w:val="21"/>
                <w:szCs w:val="21"/>
                <w:lang w:bidi="ar"/>
              </w:rPr>
              <w:t>项目环评联动，不符合规划环评结论及审查意见的项目环评，依法不予审批。规划所包含项目的环评内容，可根据规划环评结论和审查意见予以简化。</w:t>
            </w:r>
          </w:p>
          <w:p w14:paraId="67F77445">
            <w:pPr>
              <w:spacing w:line="240" w:lineRule="auto"/>
              <w:ind w:firstLine="0" w:firstLineChars="0"/>
              <w:rPr>
                <w:color w:val="auto"/>
                <w:sz w:val="21"/>
                <w:szCs w:val="21"/>
              </w:rPr>
            </w:pPr>
            <w:r>
              <w:rPr>
                <w:color w:val="auto"/>
                <w:kern w:val="0"/>
                <w:sz w:val="21"/>
                <w:szCs w:val="21"/>
                <w:lang w:bidi="ar"/>
              </w:rPr>
              <w:t>（三）切实加强区域环境容量、环境承载力研究，不得审批突破环境容量和环境承载力的建设项目。</w:t>
            </w:r>
          </w:p>
          <w:p w14:paraId="1B345C07">
            <w:pPr>
              <w:spacing w:line="240" w:lineRule="auto"/>
              <w:ind w:firstLine="0" w:firstLineChars="0"/>
              <w:rPr>
                <w:color w:val="auto"/>
                <w:sz w:val="21"/>
                <w:szCs w:val="21"/>
              </w:rPr>
            </w:pPr>
            <w:r>
              <w:rPr>
                <w:color w:val="auto"/>
                <w:kern w:val="0"/>
                <w:sz w:val="21"/>
                <w:szCs w:val="21"/>
                <w:lang w:bidi="ar"/>
              </w:rPr>
              <w:t>（四）应将“三线一单”作为建设项目环评审批的重要依据，严格落实生态环境分区管控要求，从严把好环境准入关。</w:t>
            </w:r>
          </w:p>
          <w:p w14:paraId="42BB2DAB">
            <w:pPr>
              <w:spacing w:line="240" w:lineRule="auto"/>
              <w:ind w:firstLine="0" w:firstLineChars="0"/>
              <w:rPr>
                <w:color w:val="auto"/>
                <w:sz w:val="21"/>
                <w:szCs w:val="21"/>
              </w:rPr>
            </w:pPr>
            <w:r>
              <w:rPr>
                <w:color w:val="auto"/>
                <w:kern w:val="0"/>
                <w:sz w:val="21"/>
                <w:szCs w:val="21"/>
                <w:lang w:bidi="ar"/>
              </w:rPr>
              <w:t>二、严格重点行业环评审批</w:t>
            </w:r>
          </w:p>
          <w:p w14:paraId="21D3CAA5">
            <w:pPr>
              <w:spacing w:line="240" w:lineRule="auto"/>
              <w:ind w:firstLine="0" w:firstLineChars="0"/>
              <w:rPr>
                <w:color w:val="auto"/>
                <w:sz w:val="21"/>
                <w:szCs w:val="21"/>
              </w:rPr>
            </w:pPr>
            <w:r>
              <w:rPr>
                <w:color w:val="auto"/>
                <w:kern w:val="0"/>
                <w:sz w:val="21"/>
                <w:szCs w:val="21"/>
                <w:lang w:bidi="ar"/>
              </w:rPr>
              <w:t>聚焦污染排放大、环境风险高的重点行业，实施清单化管理，严格建设项目环评审批，切实把好环境准入关。</w:t>
            </w:r>
          </w:p>
          <w:p w14:paraId="5511E765">
            <w:pPr>
              <w:spacing w:line="240" w:lineRule="auto"/>
              <w:ind w:firstLine="0" w:firstLineChars="0"/>
              <w:rPr>
                <w:color w:val="auto"/>
                <w:sz w:val="21"/>
                <w:szCs w:val="21"/>
              </w:rPr>
            </w:pPr>
            <w:r>
              <w:rPr>
                <w:color w:val="auto"/>
                <w:kern w:val="0"/>
                <w:sz w:val="21"/>
                <w:szCs w:val="21"/>
                <w:lang w:bidi="ar"/>
              </w:rPr>
              <w:t>（五）对纳入重点行业清单的建设项目，不适用告知承诺制和简化环评内容等改革试点措施。</w:t>
            </w:r>
          </w:p>
          <w:p w14:paraId="2AE6E429">
            <w:pPr>
              <w:spacing w:line="240" w:lineRule="auto"/>
              <w:ind w:firstLine="0" w:firstLineChars="0"/>
              <w:rPr>
                <w:color w:val="auto"/>
                <w:sz w:val="21"/>
                <w:szCs w:val="21"/>
              </w:rPr>
            </w:pPr>
            <w:r>
              <w:rPr>
                <w:color w:val="auto"/>
                <w:kern w:val="0"/>
                <w:sz w:val="21"/>
                <w:szCs w:val="21"/>
                <w:lang w:bidi="ar"/>
              </w:rPr>
              <w:t>（六）重点行业清洁生产水平原则上应达国内先进以上水平，按照国家和省有关要求，执行超低排放或特别排放限值标准。</w:t>
            </w:r>
          </w:p>
          <w:p w14:paraId="76CBC3E5">
            <w:pPr>
              <w:spacing w:line="240" w:lineRule="auto"/>
              <w:ind w:firstLine="0" w:firstLineChars="0"/>
              <w:rPr>
                <w:color w:val="auto"/>
                <w:sz w:val="21"/>
                <w:szCs w:val="21"/>
              </w:rPr>
            </w:pPr>
            <w:r>
              <w:rPr>
                <w:color w:val="auto"/>
                <w:kern w:val="0"/>
                <w:sz w:val="21"/>
                <w:szCs w:val="21"/>
                <w:lang w:bidi="ar"/>
              </w:rPr>
              <w:t>（七）严格执行《江苏省长江经济带发展负面清单实施细则（试行）》，禁止在合规园区外新建、扩建钢铁、石化、化工、焦化、建材、有色等行业中的高污染项目。禁止新建燃煤自备电厂。</w:t>
            </w:r>
          </w:p>
          <w:p w14:paraId="02272194">
            <w:pPr>
              <w:spacing w:line="240" w:lineRule="auto"/>
              <w:ind w:firstLine="0" w:firstLineChars="0"/>
              <w:rPr>
                <w:color w:val="auto"/>
                <w:sz w:val="21"/>
                <w:szCs w:val="21"/>
              </w:rPr>
            </w:pPr>
            <w:r>
              <w:rPr>
                <w:color w:val="auto"/>
                <w:kern w:val="0"/>
                <w:sz w:val="21"/>
                <w:szCs w:val="21"/>
                <w:lang w:bidi="ar"/>
              </w:rPr>
              <w:t>（八）统筹推动沿江产业战略性转型和在沿海战略性布局，坚持“规划引领、指标从严、政策衔接、产业先进”，推进钢铁、化工、煤电等行业有序转移，优化产业布局、调整产业结构，推动绿色发展。</w:t>
            </w:r>
          </w:p>
        </w:tc>
        <w:tc>
          <w:tcPr>
            <w:tcW w:w="1829" w:type="pct"/>
            <w:tcBorders>
              <w:tl2br w:val="nil"/>
              <w:tr2bl w:val="nil"/>
            </w:tcBorders>
            <w:shd w:val="clear" w:color="auto" w:fill="auto"/>
            <w:vAlign w:val="center"/>
          </w:tcPr>
          <w:p w14:paraId="323FE822">
            <w:pPr>
              <w:spacing w:line="240" w:lineRule="auto"/>
              <w:ind w:firstLine="0" w:firstLineChars="0"/>
              <w:rPr>
                <w:color w:val="auto"/>
                <w:sz w:val="21"/>
                <w:szCs w:val="21"/>
              </w:rPr>
            </w:pPr>
            <w:r>
              <w:rPr>
                <w:color w:val="auto"/>
                <w:kern w:val="0"/>
                <w:sz w:val="21"/>
                <w:szCs w:val="21"/>
                <w:lang w:bidi="ar"/>
              </w:rPr>
              <w:t>一、严守生态环境质量底线</w:t>
            </w:r>
          </w:p>
          <w:p w14:paraId="58B93120">
            <w:pPr>
              <w:spacing w:line="240" w:lineRule="auto"/>
              <w:ind w:firstLine="0" w:firstLineChars="0"/>
              <w:rPr>
                <w:color w:val="auto"/>
              </w:rPr>
            </w:pPr>
            <w:r>
              <w:rPr>
                <w:color w:val="auto"/>
                <w:kern w:val="0"/>
                <w:sz w:val="21"/>
                <w:szCs w:val="21"/>
                <w:lang w:bidi="ar"/>
              </w:rPr>
              <w:t>（一）</w:t>
            </w:r>
            <w:r>
              <w:rPr>
                <w:rFonts w:hint="eastAsia"/>
                <w:color w:val="auto"/>
                <w:kern w:val="0"/>
                <w:sz w:val="21"/>
                <w:szCs w:val="21"/>
                <w:lang w:bidi="ar"/>
              </w:rPr>
              <w:t>根据</w:t>
            </w:r>
            <w:r>
              <w:rPr>
                <w:color w:val="auto"/>
                <w:kern w:val="0"/>
                <w:sz w:val="21"/>
                <w:szCs w:val="21"/>
                <w:lang w:bidi="ar"/>
              </w:rPr>
              <w:t>《2023年度连云港市生态环境状况公报》，O</w:t>
            </w:r>
            <w:r>
              <w:rPr>
                <w:color w:val="auto"/>
                <w:kern w:val="0"/>
                <w:sz w:val="21"/>
                <w:szCs w:val="21"/>
                <w:vertAlign w:val="subscript"/>
                <w:lang w:bidi="ar"/>
              </w:rPr>
              <w:t>3</w:t>
            </w:r>
            <w:r>
              <w:rPr>
                <w:color w:val="auto"/>
                <w:kern w:val="0"/>
                <w:sz w:val="21"/>
                <w:szCs w:val="21"/>
                <w:lang w:bidi="ar"/>
              </w:rPr>
              <w:t>日最大8小时平均第90百分位数超过标准值，连云港市属于不达标区；为改善环境空气质量，连云港市制定了《连云港市空气质量达标规划</w:t>
            </w:r>
            <w:r>
              <w:rPr>
                <w:rFonts w:hint="eastAsia"/>
                <w:color w:val="auto"/>
                <w:kern w:val="0"/>
                <w:sz w:val="21"/>
                <w:szCs w:val="21"/>
                <w:lang w:bidi="ar"/>
              </w:rPr>
              <w:t>》《</w:t>
            </w:r>
            <w:r>
              <w:rPr>
                <w:color w:val="auto"/>
                <w:kern w:val="0"/>
                <w:sz w:val="21"/>
                <w:szCs w:val="21"/>
                <w:lang w:bidi="ar"/>
              </w:rPr>
              <w:t>关于印发连云港市2024年大气污染防治工作计划的通知》（连污防指办〔2024〕34号）等相关治理方案文件，通过采取上述措施后，本项目所在地超标污染物能得到有效控制，大气环境质量状况可得到逐步改善。项目评价范围内大气环境引用监测结果表明，TSP、氨和硫酸雾满足相应质量标准；根据补充监测数据，</w:t>
            </w:r>
            <w:r>
              <w:rPr>
                <w:rFonts w:hint="eastAsia"/>
                <w:color w:val="auto"/>
                <w:kern w:val="0"/>
                <w:sz w:val="21"/>
                <w:szCs w:val="21"/>
                <w:lang w:bidi="ar"/>
              </w:rPr>
              <w:t>大浦河排污通道和开泰河</w:t>
            </w:r>
            <w:r>
              <w:rPr>
                <w:color w:val="auto"/>
                <w:kern w:val="0"/>
                <w:sz w:val="21"/>
                <w:szCs w:val="21"/>
                <w:lang w:bidi="ar"/>
              </w:rPr>
              <w:t>监测断面的因子均能够满足《地表水环境质量标准》（GB3838-2002）中</w:t>
            </w:r>
            <w:r>
              <w:rPr>
                <w:rFonts w:hint="eastAsia"/>
                <w:color w:val="auto"/>
                <w:kern w:val="0"/>
                <w:sz w:val="21"/>
                <w:szCs w:val="21"/>
                <w:lang w:bidi="ar"/>
              </w:rPr>
              <w:t>Ⅳ类</w:t>
            </w:r>
            <w:r>
              <w:rPr>
                <w:color w:val="auto"/>
                <w:kern w:val="0"/>
                <w:sz w:val="21"/>
                <w:szCs w:val="21"/>
                <w:lang w:bidi="ar"/>
              </w:rPr>
              <w:t>水质标准</w:t>
            </w:r>
            <w:r>
              <w:rPr>
                <w:rFonts w:hint="eastAsia"/>
                <w:color w:val="auto"/>
                <w:kern w:val="0"/>
                <w:sz w:val="21"/>
                <w:szCs w:val="21"/>
                <w:lang w:bidi="ar"/>
              </w:rPr>
              <w:t>，临洪河</w:t>
            </w:r>
            <w:r>
              <w:rPr>
                <w:color w:val="auto"/>
                <w:kern w:val="0"/>
                <w:sz w:val="21"/>
                <w:szCs w:val="21"/>
                <w:lang w:bidi="ar"/>
              </w:rPr>
              <w:t>监测断面的因子均能够满足《地表水环境质量标准》（GB3838-2002）中</w:t>
            </w:r>
            <w:r>
              <w:rPr>
                <w:rFonts w:hint="eastAsia"/>
                <w:color w:val="auto"/>
                <w:kern w:val="0"/>
                <w:sz w:val="21"/>
                <w:szCs w:val="21"/>
                <w:lang w:eastAsia="zh-CN" w:bidi="ar"/>
              </w:rPr>
              <w:t>Ⅲ</w:t>
            </w:r>
            <w:r>
              <w:rPr>
                <w:rFonts w:hint="eastAsia"/>
                <w:color w:val="auto"/>
                <w:kern w:val="0"/>
                <w:sz w:val="21"/>
                <w:szCs w:val="21"/>
                <w:lang w:bidi="ar"/>
              </w:rPr>
              <w:t>类</w:t>
            </w:r>
            <w:r>
              <w:rPr>
                <w:color w:val="auto"/>
                <w:kern w:val="0"/>
                <w:sz w:val="21"/>
                <w:szCs w:val="21"/>
                <w:lang w:bidi="ar"/>
              </w:rPr>
              <w:t>水质标准；项目周边声环境情况良好；项目所在地监测点处土壤的各项指标均能达到《土壤环境质量建设用地 土壤污染风险管控标准（试行）》（GB36600-2018）中第二类用地筛选值标准。</w:t>
            </w:r>
            <w:r>
              <w:rPr>
                <w:rFonts w:hint="eastAsia"/>
                <w:color w:val="auto"/>
                <w:kern w:val="0"/>
                <w:sz w:val="21"/>
                <w:szCs w:val="21"/>
                <w:lang w:bidi="ar"/>
              </w:rPr>
              <w:t>项目</w:t>
            </w:r>
            <w:r>
              <w:rPr>
                <w:color w:val="auto"/>
                <w:kern w:val="0"/>
                <w:sz w:val="21"/>
                <w:szCs w:val="21"/>
                <w:lang w:bidi="ar"/>
              </w:rPr>
              <w:t>所在地地下水水质</w:t>
            </w:r>
            <w:r>
              <w:rPr>
                <w:rFonts w:hint="eastAsia"/>
                <w:color w:val="auto"/>
                <w:kern w:val="0"/>
                <w:sz w:val="21"/>
                <w:szCs w:val="21"/>
                <w:lang w:bidi="ar"/>
              </w:rPr>
              <w:t>未</w:t>
            </w:r>
            <w:r>
              <w:rPr>
                <w:color w:val="auto"/>
                <w:kern w:val="0"/>
                <w:sz w:val="21"/>
                <w:szCs w:val="21"/>
                <w:lang w:bidi="ar"/>
              </w:rPr>
              <w:t>达Ⅳ类及以上标准要求。本次环评要求项目拟采取的污染防治措施需满足区域环境质量改善目标管理要求。</w:t>
            </w:r>
          </w:p>
          <w:p w14:paraId="539E8220">
            <w:pPr>
              <w:spacing w:line="240" w:lineRule="auto"/>
              <w:ind w:firstLine="0" w:firstLineChars="0"/>
              <w:rPr>
                <w:color w:val="auto"/>
                <w:sz w:val="21"/>
                <w:szCs w:val="21"/>
              </w:rPr>
            </w:pPr>
            <w:r>
              <w:rPr>
                <w:color w:val="auto"/>
                <w:kern w:val="0"/>
                <w:sz w:val="21"/>
                <w:szCs w:val="21"/>
                <w:lang w:bidi="ar"/>
              </w:rPr>
              <w:t>（二）</w:t>
            </w:r>
            <w:r>
              <w:rPr>
                <w:rFonts w:hint="eastAsia"/>
                <w:color w:val="auto"/>
                <w:kern w:val="0"/>
                <w:sz w:val="21"/>
                <w:szCs w:val="21"/>
                <w:lang w:bidi="ar"/>
              </w:rPr>
              <w:t>对照</w:t>
            </w:r>
            <w:r>
              <w:rPr>
                <w:rFonts w:hint="eastAsia"/>
                <w:color w:val="auto"/>
                <w:sz w:val="21"/>
                <w:szCs w:val="21"/>
              </w:rPr>
              <w:t>《连云港经济技术开发区（大浦片区、临港产业区西北片区、江宁工业城）产业发展规划环境影响报告书》及其审查（连环发〔2024〕247号），</w:t>
            </w:r>
            <w:r>
              <w:rPr>
                <w:color w:val="auto"/>
                <w:kern w:val="0"/>
                <w:sz w:val="21"/>
                <w:szCs w:val="21"/>
                <w:lang w:bidi="ar"/>
              </w:rPr>
              <w:t>本项目的建设符合园区的产业定位。</w:t>
            </w:r>
          </w:p>
          <w:p w14:paraId="02F2D5E1">
            <w:pPr>
              <w:spacing w:line="240" w:lineRule="auto"/>
              <w:ind w:firstLine="0" w:firstLineChars="0"/>
              <w:rPr>
                <w:color w:val="auto"/>
                <w:sz w:val="21"/>
                <w:szCs w:val="21"/>
              </w:rPr>
            </w:pPr>
            <w:r>
              <w:rPr>
                <w:color w:val="auto"/>
                <w:kern w:val="0"/>
                <w:sz w:val="21"/>
                <w:szCs w:val="21"/>
                <w:lang w:bidi="ar"/>
              </w:rPr>
              <w:t>（三）本项目废气、废水排放总量在区域内平衡；固废排放量为零。</w:t>
            </w:r>
          </w:p>
          <w:p w14:paraId="3903BA75">
            <w:pPr>
              <w:spacing w:line="240" w:lineRule="auto"/>
              <w:ind w:firstLine="0" w:firstLineChars="0"/>
              <w:rPr>
                <w:color w:val="auto"/>
                <w:sz w:val="21"/>
                <w:szCs w:val="21"/>
              </w:rPr>
            </w:pPr>
            <w:r>
              <w:rPr>
                <w:color w:val="auto"/>
                <w:kern w:val="0"/>
                <w:sz w:val="21"/>
                <w:szCs w:val="21"/>
                <w:lang w:bidi="ar"/>
              </w:rPr>
              <w:t>（四）项目符合“三线一单”的管控要求。</w:t>
            </w:r>
          </w:p>
          <w:p w14:paraId="5F14EA4E">
            <w:pPr>
              <w:spacing w:line="240" w:lineRule="auto"/>
              <w:ind w:firstLine="0" w:firstLineChars="0"/>
              <w:rPr>
                <w:color w:val="auto"/>
                <w:sz w:val="21"/>
                <w:szCs w:val="21"/>
              </w:rPr>
            </w:pPr>
            <w:r>
              <w:rPr>
                <w:color w:val="auto"/>
                <w:kern w:val="0"/>
                <w:sz w:val="21"/>
                <w:szCs w:val="21"/>
                <w:lang w:bidi="ar"/>
              </w:rPr>
              <w:t>二、严格重点行业环评审批</w:t>
            </w:r>
          </w:p>
          <w:p w14:paraId="406D8DF9">
            <w:pPr>
              <w:spacing w:line="240" w:lineRule="auto"/>
              <w:ind w:firstLine="0" w:firstLineChars="0"/>
              <w:rPr>
                <w:color w:val="auto"/>
                <w:sz w:val="21"/>
                <w:szCs w:val="21"/>
              </w:rPr>
            </w:pPr>
            <w:r>
              <w:rPr>
                <w:color w:val="auto"/>
                <w:kern w:val="0"/>
                <w:sz w:val="21"/>
                <w:szCs w:val="21"/>
                <w:lang w:bidi="ar"/>
              </w:rPr>
              <w:t>（五）</w:t>
            </w:r>
            <w:r>
              <w:rPr>
                <w:rFonts w:hint="eastAsia"/>
                <w:color w:val="auto"/>
                <w:kern w:val="0"/>
                <w:sz w:val="21"/>
                <w:szCs w:val="21"/>
                <w:lang w:bidi="ar"/>
              </w:rPr>
              <w:t>本项目不涉及。</w:t>
            </w:r>
          </w:p>
          <w:p w14:paraId="45EC68EA">
            <w:pPr>
              <w:spacing w:line="240" w:lineRule="auto"/>
              <w:ind w:firstLine="0" w:firstLineChars="0"/>
              <w:rPr>
                <w:color w:val="auto"/>
                <w:sz w:val="21"/>
                <w:szCs w:val="21"/>
              </w:rPr>
            </w:pPr>
            <w:r>
              <w:rPr>
                <w:color w:val="auto"/>
                <w:kern w:val="0"/>
                <w:sz w:val="21"/>
                <w:szCs w:val="21"/>
                <w:lang w:bidi="ar"/>
              </w:rPr>
              <w:t>（六）项目阳极氧化清洁生产水平达到国内清洁生产先进水平。</w:t>
            </w:r>
          </w:p>
          <w:p w14:paraId="1981C296">
            <w:pPr>
              <w:spacing w:line="240" w:lineRule="auto"/>
              <w:ind w:firstLine="0" w:firstLineChars="0"/>
              <w:rPr>
                <w:color w:val="auto"/>
                <w:sz w:val="21"/>
                <w:szCs w:val="21"/>
              </w:rPr>
            </w:pPr>
            <w:r>
              <w:rPr>
                <w:color w:val="auto"/>
                <w:kern w:val="0"/>
                <w:sz w:val="21"/>
                <w:szCs w:val="21"/>
                <w:lang w:bidi="ar"/>
              </w:rPr>
              <w:t>（七）</w:t>
            </w:r>
            <w:r>
              <w:rPr>
                <w:rFonts w:hint="eastAsia"/>
                <w:color w:val="auto"/>
                <w:kern w:val="0"/>
                <w:sz w:val="21"/>
                <w:szCs w:val="21"/>
                <w:lang w:bidi="ar"/>
              </w:rPr>
              <w:t>本项目不涉及。</w:t>
            </w:r>
          </w:p>
          <w:p w14:paraId="2212A559">
            <w:pPr>
              <w:spacing w:line="240" w:lineRule="auto"/>
              <w:ind w:firstLine="0" w:firstLineChars="0"/>
              <w:rPr>
                <w:color w:val="auto"/>
                <w:sz w:val="21"/>
                <w:szCs w:val="21"/>
              </w:rPr>
            </w:pPr>
            <w:r>
              <w:rPr>
                <w:color w:val="auto"/>
                <w:kern w:val="0"/>
                <w:sz w:val="21"/>
                <w:szCs w:val="21"/>
                <w:lang w:bidi="ar"/>
              </w:rPr>
              <w:t>（八）</w:t>
            </w:r>
            <w:r>
              <w:rPr>
                <w:rFonts w:hint="eastAsia"/>
                <w:color w:val="auto"/>
                <w:kern w:val="0"/>
                <w:sz w:val="21"/>
                <w:szCs w:val="21"/>
                <w:lang w:bidi="ar"/>
              </w:rPr>
              <w:t>本项目不涉及。</w:t>
            </w:r>
          </w:p>
        </w:tc>
      </w:tr>
      <w:tr w14:paraId="38A51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vAlign w:val="center"/>
          </w:tcPr>
          <w:p w14:paraId="72E40C6B">
            <w:pPr>
              <w:spacing w:line="240" w:lineRule="auto"/>
              <w:ind w:firstLine="0" w:firstLineChars="0"/>
              <w:jc w:val="center"/>
              <w:rPr>
                <w:color w:val="auto"/>
                <w:sz w:val="20"/>
                <w:szCs w:val="20"/>
              </w:rPr>
            </w:pPr>
            <w:r>
              <w:rPr>
                <w:rFonts w:hint="eastAsia"/>
                <w:color w:val="auto"/>
                <w:sz w:val="20"/>
                <w:szCs w:val="20"/>
              </w:rPr>
              <w:t>16</w:t>
            </w:r>
          </w:p>
        </w:tc>
        <w:tc>
          <w:tcPr>
            <w:tcW w:w="739" w:type="pct"/>
            <w:gridSpan w:val="2"/>
            <w:tcBorders>
              <w:tl2br w:val="nil"/>
              <w:tr2bl w:val="nil"/>
            </w:tcBorders>
            <w:shd w:val="clear" w:color="auto" w:fill="auto"/>
            <w:vAlign w:val="center"/>
          </w:tcPr>
          <w:p w14:paraId="31BD4C59">
            <w:pPr>
              <w:spacing w:line="240" w:lineRule="auto"/>
              <w:ind w:firstLine="0" w:firstLineChars="0"/>
              <w:rPr>
                <w:color w:val="auto"/>
                <w:sz w:val="21"/>
                <w:szCs w:val="21"/>
              </w:rPr>
            </w:pPr>
            <w:r>
              <w:rPr>
                <w:color w:val="auto"/>
                <w:kern w:val="0"/>
                <w:sz w:val="21"/>
                <w:szCs w:val="21"/>
                <w:lang w:bidi="ar"/>
              </w:rPr>
              <w:t>《淮河流域水污染防治暂行条例》</w:t>
            </w:r>
          </w:p>
        </w:tc>
        <w:tc>
          <w:tcPr>
            <w:tcW w:w="2143" w:type="pct"/>
            <w:gridSpan w:val="2"/>
            <w:tcBorders>
              <w:tl2br w:val="nil"/>
              <w:tr2bl w:val="nil"/>
            </w:tcBorders>
            <w:shd w:val="clear" w:color="auto" w:fill="auto"/>
            <w:vAlign w:val="center"/>
          </w:tcPr>
          <w:p w14:paraId="4626C654">
            <w:pPr>
              <w:autoSpaceDE w:val="0"/>
              <w:autoSpaceDN w:val="0"/>
              <w:spacing w:line="240" w:lineRule="auto"/>
              <w:ind w:firstLine="0" w:firstLineChars="0"/>
              <w:rPr>
                <w:color w:val="auto"/>
                <w:sz w:val="21"/>
                <w:szCs w:val="21"/>
              </w:rPr>
            </w:pPr>
            <w:r>
              <w:rPr>
                <w:color w:val="auto"/>
                <w:kern w:val="0"/>
                <w:sz w:val="21"/>
                <w:szCs w:val="21"/>
                <w:lang w:bidi="ar"/>
              </w:rPr>
              <w:t>禁止在淮河流域新建化学制浆造纸企业。</w:t>
            </w:r>
          </w:p>
          <w:p w14:paraId="58934FBE">
            <w:pPr>
              <w:autoSpaceDE w:val="0"/>
              <w:autoSpaceDN w:val="0"/>
              <w:spacing w:line="240" w:lineRule="auto"/>
              <w:ind w:firstLine="0" w:firstLineChars="0"/>
              <w:rPr>
                <w:color w:val="auto"/>
                <w:sz w:val="21"/>
                <w:szCs w:val="21"/>
              </w:rPr>
            </w:pPr>
            <w:r>
              <w:rPr>
                <w:color w:val="auto"/>
                <w:kern w:val="0"/>
                <w:sz w:val="21"/>
                <w:szCs w:val="21"/>
                <w:lang w:bidi="ar"/>
              </w:rPr>
              <w:t>禁止在淮河流域新建制革、化工、印染、电镀、酿造等污染严重的小型企业。</w:t>
            </w:r>
          </w:p>
          <w:p w14:paraId="266713F3">
            <w:pPr>
              <w:autoSpaceDE w:val="0"/>
              <w:autoSpaceDN w:val="0"/>
              <w:spacing w:line="240" w:lineRule="auto"/>
              <w:ind w:firstLine="0" w:firstLineChars="0"/>
              <w:rPr>
                <w:color w:val="auto"/>
                <w:sz w:val="21"/>
              </w:rPr>
            </w:pPr>
            <w:r>
              <w:rPr>
                <w:color w:val="auto"/>
                <w:kern w:val="0"/>
                <w:sz w:val="21"/>
                <w:szCs w:val="21"/>
                <w:lang w:bidi="ar"/>
              </w:rPr>
              <w:t>严格限制在淮河流域新建前款所列大中型项目或者其他污染严重的项目；建设该类项目的，必须事先征得有关省人民政府环境保护行政主管部门的同意，并报国务院环境保护行政主管部门备案。</w:t>
            </w:r>
          </w:p>
        </w:tc>
        <w:tc>
          <w:tcPr>
            <w:tcW w:w="1829" w:type="pct"/>
            <w:tcBorders>
              <w:tl2br w:val="nil"/>
              <w:tr2bl w:val="nil"/>
            </w:tcBorders>
            <w:shd w:val="clear" w:color="auto" w:fill="auto"/>
            <w:vAlign w:val="center"/>
          </w:tcPr>
          <w:p w14:paraId="5B7528A4">
            <w:pPr>
              <w:spacing w:line="240" w:lineRule="auto"/>
              <w:ind w:firstLine="0" w:firstLineChars="0"/>
              <w:rPr>
                <w:color w:val="auto"/>
                <w:sz w:val="21"/>
              </w:rPr>
            </w:pPr>
            <w:r>
              <w:rPr>
                <w:color w:val="auto"/>
                <w:kern w:val="0"/>
                <w:sz w:val="21"/>
                <w:szCs w:val="21"/>
                <w:lang w:bidi="ar"/>
              </w:rPr>
              <w:t>拟建项目不属于污染严重的小型企业，因此符合《淮河流域水污染防治暂行条例》要求。</w:t>
            </w:r>
          </w:p>
        </w:tc>
      </w:tr>
      <w:tr w14:paraId="3E35D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vAlign w:val="center"/>
          </w:tcPr>
          <w:p w14:paraId="2FF6E70A">
            <w:pPr>
              <w:spacing w:line="240" w:lineRule="auto"/>
              <w:ind w:firstLine="0" w:firstLineChars="0"/>
              <w:jc w:val="center"/>
              <w:rPr>
                <w:color w:val="auto"/>
                <w:sz w:val="20"/>
                <w:szCs w:val="20"/>
              </w:rPr>
            </w:pPr>
            <w:r>
              <w:rPr>
                <w:rFonts w:hint="eastAsia"/>
                <w:color w:val="auto"/>
                <w:sz w:val="20"/>
                <w:szCs w:val="20"/>
              </w:rPr>
              <w:t>17</w:t>
            </w:r>
          </w:p>
        </w:tc>
        <w:tc>
          <w:tcPr>
            <w:tcW w:w="739" w:type="pct"/>
            <w:gridSpan w:val="2"/>
            <w:tcBorders>
              <w:tl2br w:val="nil"/>
              <w:tr2bl w:val="nil"/>
            </w:tcBorders>
            <w:shd w:val="clear" w:color="auto" w:fill="auto"/>
            <w:vAlign w:val="center"/>
          </w:tcPr>
          <w:p w14:paraId="2E0A2C7F">
            <w:pPr>
              <w:spacing w:line="240" w:lineRule="auto"/>
              <w:ind w:firstLine="0" w:firstLineChars="0"/>
              <w:rPr>
                <w:color w:val="auto"/>
                <w:sz w:val="21"/>
                <w:szCs w:val="21"/>
              </w:rPr>
            </w:pPr>
            <w:r>
              <w:rPr>
                <w:color w:val="auto"/>
                <w:kern w:val="0"/>
                <w:sz w:val="21"/>
                <w:szCs w:val="21"/>
                <w:lang w:bidi="ar"/>
              </w:rPr>
              <w:t>《中共中央</w:t>
            </w:r>
            <w:r>
              <w:rPr>
                <w:rFonts w:hint="eastAsia"/>
                <w:color w:val="auto"/>
                <w:kern w:val="0"/>
                <w:sz w:val="21"/>
                <w:szCs w:val="21"/>
                <w:lang w:val="en-US" w:eastAsia="zh-CN" w:bidi="ar"/>
              </w:rPr>
              <w:t xml:space="preserve"> </w:t>
            </w:r>
            <w:r>
              <w:rPr>
                <w:color w:val="auto"/>
                <w:kern w:val="0"/>
                <w:sz w:val="21"/>
                <w:szCs w:val="21"/>
                <w:lang w:bidi="ar"/>
              </w:rPr>
              <w:t>国务院关于深入打好污染防治攻坚战的意见》（2021年11月2日）</w:t>
            </w:r>
          </w:p>
        </w:tc>
        <w:tc>
          <w:tcPr>
            <w:tcW w:w="2143" w:type="pct"/>
            <w:gridSpan w:val="2"/>
            <w:tcBorders>
              <w:tl2br w:val="nil"/>
              <w:tr2bl w:val="nil"/>
            </w:tcBorders>
            <w:shd w:val="clear" w:color="auto" w:fill="auto"/>
            <w:vAlign w:val="center"/>
          </w:tcPr>
          <w:p w14:paraId="5759D103">
            <w:pPr>
              <w:autoSpaceDE w:val="0"/>
              <w:autoSpaceDN w:val="0"/>
              <w:spacing w:line="240" w:lineRule="auto"/>
              <w:ind w:firstLine="0" w:firstLineChars="0"/>
              <w:rPr>
                <w:color w:val="auto"/>
                <w:sz w:val="21"/>
                <w:szCs w:val="21"/>
              </w:rPr>
            </w:pPr>
            <w:r>
              <w:rPr>
                <w:color w:val="auto"/>
                <w:kern w:val="0"/>
                <w:sz w:val="21"/>
                <w:szCs w:val="21"/>
                <w:lang w:bidi="ar"/>
              </w:rPr>
              <w:t>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829" w:type="pct"/>
            <w:tcBorders>
              <w:tl2br w:val="nil"/>
              <w:tr2bl w:val="nil"/>
            </w:tcBorders>
            <w:shd w:val="clear" w:color="auto" w:fill="auto"/>
            <w:vAlign w:val="center"/>
          </w:tcPr>
          <w:p w14:paraId="2BB447DE">
            <w:pPr>
              <w:spacing w:line="240" w:lineRule="auto"/>
              <w:ind w:firstLine="0" w:firstLineChars="0"/>
              <w:rPr>
                <w:color w:val="auto"/>
                <w:sz w:val="21"/>
                <w:szCs w:val="21"/>
              </w:rPr>
            </w:pPr>
            <w:r>
              <w:rPr>
                <w:color w:val="auto"/>
                <w:kern w:val="0"/>
                <w:sz w:val="21"/>
                <w:szCs w:val="21"/>
                <w:lang w:bidi="ar"/>
              </w:rPr>
              <w:t>拟建项目不属于钢铁、焦化、水泥熟料、平板玻璃、电解铝、氧化铝、煤化工，符合要求。</w:t>
            </w:r>
          </w:p>
        </w:tc>
      </w:tr>
      <w:tr w14:paraId="0D37A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vAlign w:val="center"/>
          </w:tcPr>
          <w:p w14:paraId="32D5AE68">
            <w:pPr>
              <w:spacing w:line="240" w:lineRule="auto"/>
              <w:ind w:firstLine="0" w:firstLineChars="0"/>
              <w:jc w:val="center"/>
              <w:rPr>
                <w:color w:val="auto"/>
                <w:sz w:val="20"/>
                <w:szCs w:val="20"/>
              </w:rPr>
            </w:pPr>
            <w:r>
              <w:rPr>
                <w:rFonts w:hint="eastAsia"/>
                <w:color w:val="auto"/>
                <w:sz w:val="20"/>
                <w:szCs w:val="20"/>
              </w:rPr>
              <w:t>18</w:t>
            </w:r>
          </w:p>
        </w:tc>
        <w:tc>
          <w:tcPr>
            <w:tcW w:w="739" w:type="pct"/>
            <w:gridSpan w:val="2"/>
            <w:tcBorders>
              <w:tl2br w:val="nil"/>
              <w:tr2bl w:val="nil"/>
            </w:tcBorders>
            <w:shd w:val="clear" w:color="auto" w:fill="auto"/>
            <w:vAlign w:val="center"/>
          </w:tcPr>
          <w:p w14:paraId="4A9092F6">
            <w:pPr>
              <w:spacing w:line="240" w:lineRule="auto"/>
              <w:ind w:firstLine="0" w:firstLineChars="0"/>
              <w:jc w:val="center"/>
              <w:rPr>
                <w:bCs/>
                <w:color w:val="auto"/>
                <w:sz w:val="21"/>
                <w:szCs w:val="21"/>
              </w:rPr>
            </w:pPr>
            <w:r>
              <w:rPr>
                <w:bCs/>
                <w:color w:val="auto"/>
                <w:kern w:val="0"/>
                <w:sz w:val="21"/>
                <w:szCs w:val="21"/>
                <w:lang w:bidi="ar"/>
              </w:rPr>
              <w:t>《省生态环境厅关于做好安全生产专项整治工作实施方案》（苏环办</w:t>
            </w:r>
            <w:r>
              <w:rPr>
                <w:rFonts w:hint="eastAsia"/>
                <w:bCs/>
                <w:color w:val="auto"/>
                <w:kern w:val="0"/>
                <w:sz w:val="21"/>
                <w:szCs w:val="21"/>
                <w:lang w:bidi="ar"/>
              </w:rPr>
              <w:t>〔</w:t>
            </w:r>
            <w:r>
              <w:rPr>
                <w:bCs/>
                <w:color w:val="auto"/>
                <w:kern w:val="0"/>
                <w:sz w:val="21"/>
                <w:szCs w:val="21"/>
                <w:lang w:bidi="ar"/>
              </w:rPr>
              <w:t>2020</w:t>
            </w:r>
            <w:r>
              <w:rPr>
                <w:rFonts w:hint="eastAsia"/>
                <w:bCs/>
                <w:color w:val="auto"/>
                <w:kern w:val="0"/>
                <w:sz w:val="21"/>
                <w:szCs w:val="21"/>
                <w:lang w:bidi="ar"/>
              </w:rPr>
              <w:t>〕</w:t>
            </w:r>
            <w:r>
              <w:rPr>
                <w:bCs/>
                <w:color w:val="auto"/>
                <w:kern w:val="0"/>
                <w:sz w:val="21"/>
                <w:szCs w:val="21"/>
                <w:lang w:bidi="ar"/>
              </w:rPr>
              <w:t>16号）</w:t>
            </w:r>
          </w:p>
        </w:tc>
        <w:tc>
          <w:tcPr>
            <w:tcW w:w="2143" w:type="pct"/>
            <w:gridSpan w:val="2"/>
            <w:tcBorders>
              <w:tl2br w:val="nil"/>
              <w:tr2bl w:val="nil"/>
            </w:tcBorders>
            <w:shd w:val="clear" w:color="auto" w:fill="auto"/>
            <w:vAlign w:val="center"/>
          </w:tcPr>
          <w:p w14:paraId="2762D6A3">
            <w:pPr>
              <w:spacing w:line="240" w:lineRule="auto"/>
              <w:ind w:firstLine="0" w:firstLineChars="0"/>
              <w:rPr>
                <w:bCs/>
                <w:color w:val="auto"/>
                <w:sz w:val="21"/>
                <w:szCs w:val="21"/>
              </w:rPr>
            </w:pPr>
            <w:r>
              <w:rPr>
                <w:bCs/>
                <w:color w:val="auto"/>
                <w:kern w:val="0"/>
                <w:sz w:val="21"/>
                <w:szCs w:val="21"/>
                <w:lang w:bidi="ar"/>
              </w:rPr>
              <w:t>严格落实《</w:t>
            </w:r>
            <w:r>
              <w:rPr>
                <w:rFonts w:hint="eastAsia"/>
                <w:bCs/>
                <w:color w:val="auto"/>
                <w:kern w:val="0"/>
                <w:sz w:val="21"/>
                <w:szCs w:val="21"/>
                <w:lang w:bidi="ar"/>
              </w:rPr>
              <w:t>中华人民共和国环境影响评价法</w:t>
            </w:r>
            <w:r>
              <w:rPr>
                <w:bCs/>
                <w:color w:val="auto"/>
                <w:kern w:val="0"/>
                <w:sz w:val="21"/>
                <w:szCs w:val="21"/>
                <w:lang w:bidi="ar"/>
              </w:rPr>
              <w:t>》及相关法律法规对环评技术单位的管理要求，督促环评技术单位依法依规开展环境影响评价工作。在治理方案选择、工程设计和建设、运行管理过程中，要吸收建设项目安全评价的结论和建议。</w:t>
            </w:r>
          </w:p>
        </w:tc>
        <w:tc>
          <w:tcPr>
            <w:tcW w:w="1829" w:type="pct"/>
            <w:tcBorders>
              <w:tl2br w:val="nil"/>
              <w:tr2bl w:val="nil"/>
            </w:tcBorders>
            <w:shd w:val="clear" w:color="auto" w:fill="auto"/>
            <w:vAlign w:val="center"/>
          </w:tcPr>
          <w:p w14:paraId="15D0FAF1">
            <w:pPr>
              <w:spacing w:line="240" w:lineRule="auto"/>
              <w:ind w:firstLine="0" w:firstLineChars="0"/>
              <w:rPr>
                <w:bCs/>
                <w:color w:val="auto"/>
                <w:sz w:val="21"/>
                <w:szCs w:val="21"/>
              </w:rPr>
            </w:pPr>
            <w:r>
              <w:rPr>
                <w:bCs/>
                <w:color w:val="auto"/>
                <w:kern w:val="0"/>
                <w:sz w:val="21"/>
                <w:szCs w:val="21"/>
                <w:lang w:bidi="ar"/>
              </w:rPr>
              <w:t>本项目已按相关要求开展环境影响评价工作，</w:t>
            </w:r>
            <w:r>
              <w:rPr>
                <w:rFonts w:hint="eastAsia"/>
                <w:bCs/>
                <w:color w:val="auto"/>
                <w:kern w:val="0"/>
                <w:sz w:val="21"/>
                <w:szCs w:val="21"/>
                <w:lang w:bidi="ar"/>
              </w:rPr>
              <w:t>企业</w:t>
            </w:r>
            <w:r>
              <w:rPr>
                <w:bCs/>
                <w:color w:val="auto"/>
                <w:kern w:val="0"/>
                <w:sz w:val="21"/>
                <w:szCs w:val="21"/>
                <w:lang w:bidi="ar"/>
              </w:rPr>
              <w:t>已委托第三方开展本项目废水废气治理方案；</w:t>
            </w:r>
            <w:r>
              <w:rPr>
                <w:rFonts w:hint="eastAsia"/>
                <w:bCs/>
                <w:color w:val="auto"/>
                <w:kern w:val="0"/>
                <w:sz w:val="21"/>
                <w:szCs w:val="21"/>
                <w:lang w:bidi="ar"/>
              </w:rPr>
              <w:t>企业拟按照规范落实相关管理要求</w:t>
            </w:r>
            <w:r>
              <w:rPr>
                <w:bCs/>
                <w:color w:val="auto"/>
                <w:kern w:val="0"/>
                <w:sz w:val="21"/>
                <w:szCs w:val="21"/>
                <w:lang w:bidi="ar"/>
              </w:rPr>
              <w:t>。</w:t>
            </w:r>
          </w:p>
        </w:tc>
      </w:tr>
      <w:tr w14:paraId="5460C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tcBorders>
              <w:tl2br w:val="nil"/>
              <w:tr2bl w:val="nil"/>
            </w:tcBorders>
            <w:shd w:val="clear" w:color="auto" w:fill="auto"/>
            <w:vAlign w:val="center"/>
          </w:tcPr>
          <w:p w14:paraId="2BFD03A1">
            <w:pPr>
              <w:spacing w:line="240" w:lineRule="auto"/>
              <w:ind w:firstLine="0" w:firstLineChars="0"/>
              <w:jc w:val="center"/>
              <w:rPr>
                <w:color w:val="auto"/>
                <w:sz w:val="20"/>
                <w:szCs w:val="20"/>
              </w:rPr>
            </w:pPr>
            <w:r>
              <w:rPr>
                <w:rFonts w:hint="eastAsia"/>
                <w:color w:val="auto"/>
                <w:sz w:val="21"/>
                <w:szCs w:val="21"/>
              </w:rPr>
              <w:t>19</w:t>
            </w:r>
          </w:p>
        </w:tc>
        <w:tc>
          <w:tcPr>
            <w:tcW w:w="739" w:type="pct"/>
            <w:gridSpan w:val="2"/>
            <w:tcBorders>
              <w:tl2br w:val="nil"/>
              <w:tr2bl w:val="nil"/>
            </w:tcBorders>
            <w:shd w:val="clear" w:color="auto" w:fill="auto"/>
            <w:vAlign w:val="center"/>
          </w:tcPr>
          <w:p w14:paraId="2480F981">
            <w:pPr>
              <w:spacing w:line="240" w:lineRule="auto"/>
              <w:ind w:firstLine="0" w:firstLineChars="0"/>
              <w:jc w:val="center"/>
              <w:rPr>
                <w:bCs/>
                <w:color w:val="auto"/>
                <w:kern w:val="0"/>
                <w:sz w:val="21"/>
                <w:szCs w:val="21"/>
                <w:lang w:bidi="ar"/>
              </w:rPr>
            </w:pPr>
            <w:r>
              <w:rPr>
                <w:color w:val="auto"/>
                <w:kern w:val="0"/>
                <w:sz w:val="21"/>
                <w:szCs w:val="21"/>
                <w:lang w:bidi="ar"/>
              </w:rPr>
              <w:t>《关于做好生态环境和应急管理部门联动工作的意见》（苏环办</w:t>
            </w:r>
            <w:r>
              <w:rPr>
                <w:rFonts w:hint="eastAsia"/>
                <w:color w:val="auto"/>
                <w:kern w:val="0"/>
                <w:sz w:val="21"/>
                <w:szCs w:val="21"/>
                <w:lang w:bidi="ar"/>
              </w:rPr>
              <w:t>〔2020〕101号</w:t>
            </w:r>
            <w:r>
              <w:rPr>
                <w:color w:val="auto"/>
                <w:kern w:val="0"/>
                <w:sz w:val="21"/>
                <w:szCs w:val="21"/>
                <w:lang w:bidi="ar"/>
              </w:rPr>
              <w:t>）</w:t>
            </w:r>
          </w:p>
        </w:tc>
        <w:tc>
          <w:tcPr>
            <w:tcW w:w="2143" w:type="pct"/>
            <w:gridSpan w:val="2"/>
            <w:tcBorders>
              <w:tl2br w:val="nil"/>
              <w:tr2bl w:val="nil"/>
            </w:tcBorders>
            <w:shd w:val="clear" w:color="auto" w:fill="auto"/>
            <w:vAlign w:val="center"/>
          </w:tcPr>
          <w:p w14:paraId="02F07E51">
            <w:pPr>
              <w:spacing w:line="240" w:lineRule="auto"/>
              <w:ind w:firstLine="0" w:firstLineChars="0"/>
              <w:rPr>
                <w:color w:val="auto"/>
                <w:sz w:val="21"/>
                <w:szCs w:val="21"/>
              </w:rPr>
            </w:pPr>
            <w:r>
              <w:rPr>
                <w:color w:val="auto"/>
                <w:kern w:val="0"/>
                <w:sz w:val="21"/>
                <w:szCs w:val="21"/>
                <w:lang w:bidi="ar"/>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5F2AA298">
            <w:pPr>
              <w:spacing w:line="240" w:lineRule="auto"/>
              <w:ind w:firstLine="0" w:firstLineChars="0"/>
              <w:rPr>
                <w:bCs/>
                <w:color w:val="auto"/>
                <w:kern w:val="0"/>
                <w:sz w:val="21"/>
                <w:szCs w:val="21"/>
                <w:lang w:bidi="ar"/>
              </w:rPr>
            </w:pPr>
            <w:r>
              <w:rPr>
                <w:color w:val="auto"/>
                <w:kern w:val="0"/>
                <w:sz w:val="21"/>
                <w:szCs w:val="21"/>
                <w:lang w:bidi="ar"/>
              </w:rPr>
              <w:t>生态环境部门在上述六类环境治理设施的环评审批过程中，要督促企业开展安全风险辨别，并将已审批的环境治理设施项目及时通报应急管理部门。生态环境部门在日常环境监管中，将发现的安全隐患线索及时移送应急管理部门。</w:t>
            </w:r>
          </w:p>
        </w:tc>
        <w:tc>
          <w:tcPr>
            <w:tcW w:w="1829" w:type="pct"/>
            <w:tcBorders>
              <w:tl2br w:val="nil"/>
              <w:tr2bl w:val="nil"/>
            </w:tcBorders>
            <w:shd w:val="clear" w:color="auto" w:fill="auto"/>
            <w:vAlign w:val="center"/>
          </w:tcPr>
          <w:p w14:paraId="01AC91C4">
            <w:pPr>
              <w:pStyle w:val="80"/>
              <w:widowControl w:val="0"/>
              <w:spacing w:before="0" w:beforeAutospacing="0" w:after="0" w:afterAutospacing="0"/>
              <w:ind w:firstLine="0" w:firstLineChars="0"/>
              <w:jc w:val="both"/>
              <w:rPr>
                <w:rFonts w:hint="eastAsia"/>
                <w:bCs/>
                <w:color w:val="auto"/>
                <w:szCs w:val="21"/>
                <w:lang w:bidi="ar"/>
              </w:rPr>
            </w:pPr>
            <w:r>
              <w:rPr>
                <w:rFonts w:hint="eastAsia" w:ascii="Times New Roman" w:hAnsi="Times New Roman"/>
                <w:color w:val="auto"/>
                <w:szCs w:val="21"/>
                <w:lang w:bidi="ar"/>
              </w:rPr>
              <w:t>本次评价</w:t>
            </w:r>
            <w:r>
              <w:rPr>
                <w:rFonts w:ascii="Times New Roman" w:hAnsi="Times New Roman"/>
                <w:color w:val="auto"/>
                <w:szCs w:val="21"/>
                <w:lang w:bidi="ar"/>
              </w:rPr>
              <w:t>已要求企业需开展污水处理等环境治理设施安全风险辨识管控，健全内部污染防治设施稳定运行和管理责任制度，严格依据标准规范建设环境治理设施，确保环境治理设施安全、稳定、有效运行。</w:t>
            </w:r>
          </w:p>
        </w:tc>
      </w:tr>
      <w:tr w14:paraId="09E24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287" w:type="pct"/>
            <w:tcBorders>
              <w:tl2br w:val="nil"/>
              <w:tr2bl w:val="nil"/>
            </w:tcBorders>
            <w:shd w:val="clear" w:color="auto" w:fill="auto"/>
            <w:vAlign w:val="center"/>
          </w:tcPr>
          <w:p w14:paraId="21160BD3">
            <w:pPr>
              <w:spacing w:line="240" w:lineRule="auto"/>
              <w:ind w:firstLine="0" w:firstLineChars="0"/>
              <w:jc w:val="center"/>
              <w:rPr>
                <w:color w:val="auto"/>
                <w:sz w:val="20"/>
                <w:szCs w:val="20"/>
              </w:rPr>
            </w:pPr>
            <w:r>
              <w:rPr>
                <w:rFonts w:hint="eastAsia"/>
                <w:color w:val="auto"/>
                <w:kern w:val="0"/>
                <w:sz w:val="21"/>
                <w:szCs w:val="21"/>
                <w:lang w:bidi="ar"/>
              </w:rPr>
              <w:t>20</w:t>
            </w:r>
          </w:p>
        </w:tc>
        <w:tc>
          <w:tcPr>
            <w:tcW w:w="739" w:type="pct"/>
            <w:gridSpan w:val="2"/>
            <w:tcBorders>
              <w:tl2br w:val="nil"/>
              <w:tr2bl w:val="nil"/>
            </w:tcBorders>
            <w:shd w:val="clear" w:color="auto" w:fill="auto"/>
            <w:vAlign w:val="center"/>
          </w:tcPr>
          <w:p w14:paraId="65D05BC4">
            <w:pPr>
              <w:autoSpaceDE w:val="0"/>
              <w:autoSpaceDN w:val="0"/>
              <w:spacing w:line="240" w:lineRule="auto"/>
              <w:ind w:firstLine="0" w:firstLineChars="0"/>
              <w:rPr>
                <w:bCs/>
                <w:color w:val="auto"/>
                <w:kern w:val="0"/>
                <w:sz w:val="21"/>
                <w:szCs w:val="21"/>
                <w:lang w:bidi="ar"/>
              </w:rPr>
            </w:pPr>
            <w:r>
              <w:rPr>
                <w:bCs/>
                <w:color w:val="auto"/>
                <w:kern w:val="0"/>
                <w:sz w:val="21"/>
                <w:szCs w:val="21"/>
                <w:lang w:bidi="ar"/>
              </w:rPr>
              <w:t>《关于进一步加强重金属污染防控的意见》（环固体〔2022〕17号）</w:t>
            </w:r>
          </w:p>
        </w:tc>
        <w:tc>
          <w:tcPr>
            <w:tcW w:w="2143" w:type="pct"/>
            <w:gridSpan w:val="2"/>
            <w:vMerge w:val="restart"/>
            <w:tcBorders>
              <w:tl2br w:val="nil"/>
              <w:tr2bl w:val="nil"/>
            </w:tcBorders>
            <w:shd w:val="clear" w:color="auto" w:fill="auto"/>
            <w:vAlign w:val="center"/>
          </w:tcPr>
          <w:p w14:paraId="055D5E4D">
            <w:pPr>
              <w:spacing w:line="240" w:lineRule="auto"/>
              <w:ind w:firstLine="0" w:firstLineChars="0"/>
              <w:rPr>
                <w:bCs/>
                <w:color w:val="auto"/>
                <w:kern w:val="0"/>
                <w:sz w:val="21"/>
                <w:szCs w:val="21"/>
                <w:lang w:bidi="ar"/>
              </w:rPr>
            </w:pPr>
            <w:r>
              <w:rPr>
                <w:rFonts w:hint="eastAsia"/>
                <w:bCs/>
                <w:color w:val="auto"/>
                <w:kern w:val="0"/>
                <w:sz w:val="21"/>
                <w:szCs w:val="21"/>
                <w:lang w:bidi="ar"/>
              </w:rPr>
              <w:t>重点重金属污染物。重点防控的重金属污染物是铅、汞、镉、铬、砷、铊和锑，并对铅、汞、镉、铬和砷五种重点重金属污染物排放量实施总量控制。</w:t>
            </w:r>
          </w:p>
          <w:p w14:paraId="69F75942">
            <w:pPr>
              <w:spacing w:line="240" w:lineRule="auto"/>
              <w:ind w:firstLine="0" w:firstLineChars="0"/>
              <w:rPr>
                <w:bCs/>
                <w:color w:val="auto"/>
                <w:kern w:val="0"/>
                <w:sz w:val="21"/>
                <w:szCs w:val="21"/>
                <w:lang w:bidi="ar"/>
              </w:rPr>
            </w:pPr>
            <w:r>
              <w:rPr>
                <w:rFonts w:hint="eastAsia"/>
                <w:bCs/>
                <w:color w:val="auto"/>
                <w:kern w:val="0"/>
                <w:sz w:val="21"/>
                <w:szCs w:val="21"/>
                <w:lang w:bidi="ar"/>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w:t>
            </w:r>
          </w:p>
        </w:tc>
        <w:tc>
          <w:tcPr>
            <w:tcW w:w="1829" w:type="pct"/>
            <w:vMerge w:val="restart"/>
            <w:tcBorders>
              <w:tl2br w:val="nil"/>
              <w:tr2bl w:val="nil"/>
            </w:tcBorders>
            <w:shd w:val="clear" w:color="auto" w:fill="auto"/>
            <w:vAlign w:val="center"/>
          </w:tcPr>
          <w:p w14:paraId="51281609">
            <w:pPr>
              <w:spacing w:line="240" w:lineRule="auto"/>
              <w:ind w:firstLine="0" w:firstLineChars="0"/>
              <w:rPr>
                <w:bCs/>
                <w:color w:val="auto"/>
                <w:kern w:val="0"/>
                <w:sz w:val="21"/>
                <w:szCs w:val="21"/>
                <w:lang w:bidi="ar"/>
              </w:rPr>
            </w:pPr>
            <w:r>
              <w:rPr>
                <w:color w:val="auto"/>
                <w:kern w:val="0"/>
                <w:sz w:val="21"/>
                <w:szCs w:val="21"/>
                <w:lang w:bidi="ar"/>
              </w:rPr>
              <w:t>本项目为金属制品制造项目，含有阳极氧化工序，不属于</w:t>
            </w:r>
            <w:r>
              <w:rPr>
                <w:bCs/>
                <w:color w:val="auto"/>
                <w:kern w:val="0"/>
                <w:sz w:val="21"/>
                <w:szCs w:val="21"/>
                <w:lang w:bidi="ar"/>
              </w:rPr>
              <w:t>文件中划分的6个重点行业</w:t>
            </w:r>
            <w:r>
              <w:rPr>
                <w:rFonts w:hint="eastAsia"/>
                <w:bCs/>
                <w:color w:val="auto"/>
                <w:kern w:val="0"/>
                <w:sz w:val="21"/>
                <w:szCs w:val="21"/>
                <w:lang w:bidi="ar"/>
              </w:rPr>
              <w:t>；</w:t>
            </w:r>
            <w:r>
              <w:rPr>
                <w:color w:val="auto"/>
                <w:kern w:val="0"/>
                <w:sz w:val="21"/>
                <w:szCs w:val="21"/>
                <w:lang w:bidi="ar"/>
              </w:rPr>
              <w:t>项目建成后，</w:t>
            </w:r>
            <w:r>
              <w:rPr>
                <w:rFonts w:hint="eastAsia"/>
                <w:color w:val="auto"/>
                <w:kern w:val="0"/>
                <w:sz w:val="21"/>
                <w:szCs w:val="21"/>
                <w:lang w:bidi="ar"/>
              </w:rPr>
              <w:t>企业拟</w:t>
            </w:r>
            <w:r>
              <w:rPr>
                <w:color w:val="auto"/>
                <w:kern w:val="0"/>
                <w:sz w:val="21"/>
                <w:szCs w:val="21"/>
                <w:lang w:bidi="ar"/>
              </w:rPr>
              <w:t>在项目产生实际污染物排放之前，按照国家排污许可有关管理规定要求，</w:t>
            </w:r>
            <w:r>
              <w:rPr>
                <w:rFonts w:hint="eastAsia"/>
                <w:color w:val="auto"/>
                <w:kern w:val="0"/>
                <w:sz w:val="21"/>
                <w:szCs w:val="21"/>
                <w:lang w:bidi="ar"/>
              </w:rPr>
              <w:t>及时变更</w:t>
            </w:r>
            <w:r>
              <w:rPr>
                <w:color w:val="auto"/>
                <w:kern w:val="0"/>
                <w:sz w:val="21"/>
                <w:szCs w:val="21"/>
                <w:lang w:bidi="ar"/>
              </w:rPr>
              <w:t>排污许可。</w:t>
            </w:r>
            <w:r>
              <w:rPr>
                <w:bCs/>
                <w:color w:val="auto"/>
                <w:kern w:val="0"/>
                <w:sz w:val="21"/>
                <w:szCs w:val="21"/>
                <w:lang w:bidi="ar"/>
              </w:rPr>
              <w:t>本次环评要求企业应依法依规完善环境风险防范和环境安全隐患排查治理措施，制定环境应急预案，储备相关应急物资，定期开展应急演练。</w:t>
            </w:r>
          </w:p>
        </w:tc>
      </w:tr>
      <w:tr w14:paraId="2717F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287" w:type="pct"/>
            <w:tcBorders>
              <w:tl2br w:val="nil"/>
              <w:tr2bl w:val="nil"/>
            </w:tcBorders>
            <w:shd w:val="clear" w:color="auto" w:fill="auto"/>
            <w:vAlign w:val="center"/>
          </w:tcPr>
          <w:p w14:paraId="48F26945">
            <w:pPr>
              <w:spacing w:line="240" w:lineRule="auto"/>
              <w:ind w:firstLine="0" w:firstLineChars="0"/>
              <w:jc w:val="center"/>
              <w:rPr>
                <w:color w:val="auto"/>
                <w:kern w:val="0"/>
                <w:sz w:val="21"/>
                <w:szCs w:val="21"/>
                <w:lang w:bidi="ar"/>
              </w:rPr>
            </w:pPr>
            <w:r>
              <w:rPr>
                <w:rFonts w:hint="eastAsia"/>
                <w:color w:val="auto"/>
                <w:kern w:val="0"/>
                <w:sz w:val="21"/>
                <w:szCs w:val="21"/>
                <w:lang w:bidi="ar"/>
              </w:rPr>
              <w:t>21</w:t>
            </w:r>
          </w:p>
        </w:tc>
        <w:tc>
          <w:tcPr>
            <w:tcW w:w="739" w:type="pct"/>
            <w:gridSpan w:val="2"/>
            <w:tcBorders>
              <w:tl2br w:val="nil"/>
              <w:tr2bl w:val="nil"/>
            </w:tcBorders>
            <w:shd w:val="clear" w:color="auto" w:fill="auto"/>
            <w:vAlign w:val="center"/>
          </w:tcPr>
          <w:p w14:paraId="16BD5A67">
            <w:pPr>
              <w:autoSpaceDE w:val="0"/>
              <w:autoSpaceDN w:val="0"/>
              <w:spacing w:line="240" w:lineRule="auto"/>
              <w:ind w:firstLine="0" w:firstLineChars="0"/>
              <w:rPr>
                <w:bCs/>
                <w:color w:val="auto"/>
                <w:kern w:val="0"/>
                <w:sz w:val="21"/>
                <w:szCs w:val="21"/>
                <w:lang w:bidi="ar"/>
              </w:rPr>
            </w:pPr>
            <w:r>
              <w:rPr>
                <w:rFonts w:hint="eastAsia"/>
                <w:bCs/>
                <w:color w:val="auto"/>
                <w:kern w:val="0"/>
                <w:sz w:val="21"/>
                <w:szCs w:val="21"/>
                <w:lang w:bidi="ar"/>
              </w:rPr>
              <w:t>《省生态环境厅印发关于进一步加强重金属污染防控工作的实施方案的通知》（苏环办〔2022〕155号）</w:t>
            </w:r>
          </w:p>
        </w:tc>
        <w:tc>
          <w:tcPr>
            <w:tcW w:w="2143" w:type="pct"/>
            <w:gridSpan w:val="2"/>
            <w:vMerge w:val="continue"/>
            <w:tcBorders>
              <w:tl2br w:val="nil"/>
              <w:tr2bl w:val="nil"/>
            </w:tcBorders>
            <w:shd w:val="clear" w:color="auto" w:fill="auto"/>
            <w:vAlign w:val="center"/>
          </w:tcPr>
          <w:p w14:paraId="7941EF31">
            <w:pPr>
              <w:spacing w:line="240" w:lineRule="auto"/>
              <w:ind w:firstLine="0" w:firstLineChars="0"/>
              <w:rPr>
                <w:bCs/>
                <w:color w:val="auto"/>
                <w:kern w:val="0"/>
                <w:sz w:val="21"/>
                <w:szCs w:val="21"/>
                <w:lang w:bidi="ar"/>
              </w:rPr>
            </w:pPr>
          </w:p>
        </w:tc>
        <w:tc>
          <w:tcPr>
            <w:tcW w:w="1829" w:type="pct"/>
            <w:vMerge w:val="continue"/>
            <w:tcBorders>
              <w:tl2br w:val="nil"/>
              <w:tr2bl w:val="nil"/>
            </w:tcBorders>
            <w:shd w:val="clear" w:color="auto" w:fill="auto"/>
            <w:vAlign w:val="center"/>
          </w:tcPr>
          <w:p w14:paraId="71821978">
            <w:pPr>
              <w:spacing w:line="240" w:lineRule="auto"/>
              <w:ind w:firstLine="0" w:firstLineChars="0"/>
              <w:rPr>
                <w:color w:val="auto"/>
                <w:kern w:val="0"/>
                <w:sz w:val="21"/>
                <w:szCs w:val="21"/>
                <w:highlight w:val="yellow"/>
                <w:lang w:bidi="ar"/>
              </w:rPr>
            </w:pPr>
          </w:p>
        </w:tc>
      </w:tr>
      <w:tr w14:paraId="38C40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287" w:type="pct"/>
            <w:vMerge w:val="restart"/>
            <w:tcBorders>
              <w:tl2br w:val="nil"/>
              <w:tr2bl w:val="nil"/>
            </w:tcBorders>
            <w:shd w:val="clear" w:color="auto" w:fill="auto"/>
            <w:vAlign w:val="center"/>
          </w:tcPr>
          <w:p w14:paraId="5D2D2330">
            <w:pPr>
              <w:spacing w:line="240" w:lineRule="auto"/>
              <w:ind w:firstLine="0" w:firstLineChars="0"/>
              <w:jc w:val="center"/>
              <w:rPr>
                <w:color w:val="auto"/>
                <w:kern w:val="0"/>
                <w:sz w:val="21"/>
                <w:szCs w:val="21"/>
                <w:lang w:bidi="ar"/>
              </w:rPr>
            </w:pPr>
            <w:r>
              <w:rPr>
                <w:rFonts w:hint="eastAsia"/>
                <w:color w:val="auto"/>
                <w:kern w:val="0"/>
                <w:sz w:val="21"/>
                <w:szCs w:val="21"/>
                <w:lang w:bidi="ar"/>
              </w:rPr>
              <w:t>22</w:t>
            </w:r>
          </w:p>
        </w:tc>
        <w:tc>
          <w:tcPr>
            <w:tcW w:w="739" w:type="pct"/>
            <w:gridSpan w:val="2"/>
            <w:vMerge w:val="restart"/>
            <w:tcBorders>
              <w:tl2br w:val="nil"/>
              <w:tr2bl w:val="nil"/>
            </w:tcBorders>
            <w:shd w:val="clear" w:color="auto" w:fill="auto"/>
            <w:vAlign w:val="center"/>
          </w:tcPr>
          <w:p w14:paraId="27ABD4EF">
            <w:pPr>
              <w:autoSpaceDE w:val="0"/>
              <w:autoSpaceDN w:val="0"/>
              <w:spacing w:line="240" w:lineRule="auto"/>
              <w:ind w:firstLine="0" w:firstLineChars="0"/>
              <w:rPr>
                <w:bCs/>
                <w:color w:val="auto"/>
                <w:kern w:val="0"/>
                <w:sz w:val="21"/>
                <w:szCs w:val="21"/>
                <w:lang w:bidi="ar"/>
              </w:rPr>
            </w:pPr>
            <w:r>
              <w:rPr>
                <w:rFonts w:hint="eastAsia"/>
                <w:bCs/>
                <w:color w:val="auto"/>
                <w:kern w:val="0"/>
                <w:sz w:val="21"/>
                <w:szCs w:val="21"/>
                <w:lang w:bidi="ar"/>
              </w:rPr>
              <w:t>《关于加强高耗能、高排放建设项目生态环境源头防控的指导意见》（环环评〔2021〕45号）</w:t>
            </w:r>
          </w:p>
        </w:tc>
        <w:tc>
          <w:tcPr>
            <w:tcW w:w="2143" w:type="pct"/>
            <w:gridSpan w:val="2"/>
            <w:tcBorders>
              <w:tl2br w:val="nil"/>
              <w:tr2bl w:val="nil"/>
            </w:tcBorders>
            <w:shd w:val="clear" w:color="auto" w:fill="auto"/>
            <w:vAlign w:val="center"/>
          </w:tcPr>
          <w:p w14:paraId="0614AF44">
            <w:pPr>
              <w:spacing w:line="240" w:lineRule="auto"/>
              <w:ind w:firstLine="0" w:firstLineChars="0"/>
              <w:rPr>
                <w:b/>
                <w:color w:val="auto"/>
                <w:kern w:val="0"/>
                <w:sz w:val="21"/>
                <w:szCs w:val="21"/>
                <w:lang w:bidi="ar"/>
              </w:rPr>
            </w:pPr>
            <w:r>
              <w:rPr>
                <w:b/>
                <w:color w:val="auto"/>
                <w:kern w:val="0"/>
                <w:sz w:val="21"/>
                <w:szCs w:val="21"/>
                <w:lang w:bidi="ar"/>
              </w:rPr>
              <w:t>二、严格“两高”项目环评审批</w:t>
            </w:r>
          </w:p>
          <w:p w14:paraId="62948065">
            <w:pPr>
              <w:spacing w:line="240" w:lineRule="auto"/>
              <w:ind w:firstLine="0" w:firstLineChars="0"/>
              <w:rPr>
                <w:bCs/>
                <w:color w:val="auto"/>
                <w:kern w:val="0"/>
                <w:sz w:val="21"/>
                <w:szCs w:val="21"/>
                <w:lang w:bidi="ar"/>
              </w:rPr>
            </w:pPr>
            <w:r>
              <w:rPr>
                <w:rFonts w:hint="eastAsia"/>
                <w:bCs/>
                <w:color w:val="auto"/>
                <w:kern w:val="0"/>
                <w:sz w:val="21"/>
                <w:szCs w:val="21"/>
                <w:lang w:bidi="ar"/>
              </w:rPr>
              <w:t>（三）</w:t>
            </w:r>
            <w:r>
              <w:rPr>
                <w:bCs/>
                <w:color w:val="auto"/>
                <w:kern w:val="0"/>
                <w:sz w:val="21"/>
                <w:szCs w:val="21"/>
                <w:lang w:bidi="ar"/>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p w14:paraId="760E8179">
            <w:pPr>
              <w:spacing w:line="240" w:lineRule="auto"/>
              <w:ind w:firstLine="0" w:firstLineChars="0"/>
              <w:rPr>
                <w:bCs/>
                <w:color w:val="auto"/>
                <w:kern w:val="0"/>
                <w:sz w:val="21"/>
                <w:szCs w:val="21"/>
                <w:lang w:bidi="ar"/>
              </w:rPr>
            </w:pPr>
            <w:r>
              <w:rPr>
                <w:rFonts w:hint="eastAsia"/>
                <w:bCs/>
                <w:color w:val="auto"/>
                <w:kern w:val="0"/>
                <w:sz w:val="21"/>
                <w:szCs w:val="21"/>
                <w:lang w:bidi="ar"/>
              </w:rPr>
              <w:t>（四）</w:t>
            </w:r>
            <w:r>
              <w:rPr>
                <w:bCs/>
                <w:color w:val="auto"/>
                <w:kern w:val="0"/>
                <w:sz w:val="21"/>
                <w:szCs w:val="21"/>
                <w:lang w:bidi="ar"/>
              </w:rPr>
              <w:t>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w:t>
            </w:r>
            <w:r>
              <w:rPr>
                <w:rFonts w:hint="eastAsia"/>
                <w:bCs/>
                <w:color w:val="auto"/>
                <w:kern w:val="0"/>
                <w:sz w:val="21"/>
                <w:szCs w:val="21"/>
                <w:lang w:bidi="ar"/>
              </w:rPr>
              <w:t>（</w:t>
            </w:r>
            <w:r>
              <w:rPr>
                <w:bCs/>
                <w:color w:val="auto"/>
                <w:kern w:val="0"/>
                <w:sz w:val="21"/>
                <w:szCs w:val="21"/>
                <w:lang w:bidi="ar"/>
              </w:rPr>
              <w:t>以下称重点区域</w:t>
            </w:r>
            <w:r>
              <w:rPr>
                <w:rFonts w:hint="eastAsia"/>
                <w:bCs/>
                <w:color w:val="auto"/>
                <w:kern w:val="0"/>
                <w:sz w:val="21"/>
                <w:szCs w:val="21"/>
                <w:lang w:bidi="ar"/>
              </w:rPr>
              <w:t>）</w:t>
            </w:r>
            <w:r>
              <w:rPr>
                <w:bCs/>
                <w:color w:val="auto"/>
                <w:kern w:val="0"/>
                <w:sz w:val="21"/>
                <w:szCs w:val="21"/>
                <w:lang w:bidi="ar"/>
              </w:rPr>
              <w:t>内新建耗煤项目还应严格按规定采取煤炭消费减量替代措施，不得使用高污染燃料作为煤炭减量替代措施。</w:t>
            </w:r>
          </w:p>
        </w:tc>
        <w:tc>
          <w:tcPr>
            <w:tcW w:w="1829" w:type="pct"/>
            <w:tcBorders>
              <w:tl2br w:val="nil"/>
              <w:tr2bl w:val="nil"/>
            </w:tcBorders>
            <w:shd w:val="clear" w:color="auto" w:fill="auto"/>
            <w:vAlign w:val="center"/>
          </w:tcPr>
          <w:p w14:paraId="2589F68B">
            <w:pPr>
              <w:spacing w:line="240" w:lineRule="auto"/>
              <w:ind w:firstLine="0" w:firstLineChars="0"/>
              <w:rPr>
                <w:color w:val="auto"/>
                <w:kern w:val="0"/>
                <w:sz w:val="21"/>
                <w:szCs w:val="21"/>
                <w:lang w:bidi="ar"/>
              </w:rPr>
            </w:pPr>
            <w:r>
              <w:rPr>
                <w:rFonts w:hint="eastAsia"/>
                <w:color w:val="auto"/>
                <w:kern w:val="0"/>
                <w:sz w:val="21"/>
                <w:szCs w:val="21"/>
                <w:lang w:bidi="ar"/>
              </w:rPr>
              <w:t>本项目属于金属结构制造项目，不属于煤电、石化、化工、钢铁、有色金属冶炼、建材行业，另根据《关于印发〈江苏省“两高”项目管理目录（2024年版）〉的通知》（苏发改规发〔2024〕4号），本项目不属于其中的“两高”项目。</w:t>
            </w:r>
          </w:p>
        </w:tc>
      </w:tr>
      <w:tr w14:paraId="33A49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287" w:type="pct"/>
            <w:vMerge w:val="continue"/>
            <w:tcBorders>
              <w:tl2br w:val="nil"/>
              <w:tr2bl w:val="nil"/>
            </w:tcBorders>
            <w:shd w:val="clear" w:color="auto" w:fill="auto"/>
            <w:vAlign w:val="center"/>
          </w:tcPr>
          <w:p w14:paraId="538497A3">
            <w:pPr>
              <w:spacing w:line="240" w:lineRule="auto"/>
              <w:ind w:firstLine="0" w:firstLineChars="0"/>
              <w:jc w:val="center"/>
              <w:rPr>
                <w:color w:val="auto"/>
                <w:kern w:val="0"/>
                <w:sz w:val="21"/>
                <w:szCs w:val="21"/>
                <w:lang w:bidi="ar"/>
              </w:rPr>
            </w:pPr>
          </w:p>
        </w:tc>
        <w:tc>
          <w:tcPr>
            <w:tcW w:w="739" w:type="pct"/>
            <w:gridSpan w:val="2"/>
            <w:vMerge w:val="continue"/>
            <w:tcBorders>
              <w:tl2br w:val="nil"/>
              <w:tr2bl w:val="nil"/>
            </w:tcBorders>
            <w:shd w:val="clear" w:color="auto" w:fill="auto"/>
            <w:vAlign w:val="center"/>
          </w:tcPr>
          <w:p w14:paraId="20BA3816">
            <w:pPr>
              <w:autoSpaceDE w:val="0"/>
              <w:autoSpaceDN w:val="0"/>
              <w:spacing w:line="240" w:lineRule="auto"/>
              <w:ind w:firstLine="0" w:firstLineChars="0"/>
              <w:rPr>
                <w:bCs/>
                <w:color w:val="auto"/>
                <w:kern w:val="0"/>
                <w:sz w:val="21"/>
                <w:szCs w:val="21"/>
                <w:lang w:bidi="ar"/>
              </w:rPr>
            </w:pPr>
          </w:p>
        </w:tc>
        <w:tc>
          <w:tcPr>
            <w:tcW w:w="2143" w:type="pct"/>
            <w:gridSpan w:val="2"/>
            <w:tcBorders>
              <w:tl2br w:val="nil"/>
              <w:tr2bl w:val="nil"/>
            </w:tcBorders>
            <w:shd w:val="clear" w:color="auto" w:fill="auto"/>
            <w:vAlign w:val="center"/>
          </w:tcPr>
          <w:p w14:paraId="23065EBD">
            <w:pPr>
              <w:numPr>
                <w:ilvl w:val="0"/>
                <w:numId w:val="14"/>
              </w:numPr>
              <w:spacing w:line="240" w:lineRule="auto"/>
              <w:ind w:firstLine="0" w:firstLineChars="0"/>
              <w:rPr>
                <w:b/>
                <w:color w:val="auto"/>
                <w:kern w:val="0"/>
                <w:sz w:val="21"/>
                <w:szCs w:val="21"/>
                <w:lang w:bidi="ar"/>
              </w:rPr>
            </w:pPr>
            <w:r>
              <w:rPr>
                <w:b/>
                <w:color w:val="auto"/>
                <w:kern w:val="0"/>
                <w:sz w:val="21"/>
                <w:szCs w:val="21"/>
                <w:lang w:bidi="ar"/>
              </w:rPr>
              <w:t>推进“两高”行业减污降碳协同控制</w:t>
            </w:r>
          </w:p>
          <w:p w14:paraId="466D3BB9">
            <w:pPr>
              <w:spacing w:line="240" w:lineRule="auto"/>
              <w:ind w:firstLine="0" w:firstLineChars="0"/>
              <w:rPr>
                <w:bCs/>
                <w:color w:val="auto"/>
                <w:kern w:val="0"/>
                <w:sz w:val="21"/>
                <w:szCs w:val="21"/>
                <w:lang w:bidi="ar"/>
              </w:rPr>
            </w:pPr>
            <w:r>
              <w:rPr>
                <w:bCs/>
                <w:color w:val="auto"/>
                <w:kern w:val="0"/>
                <w:sz w:val="21"/>
                <w:szCs w:val="21"/>
                <w:lang w:bidi="ar"/>
              </w:rPr>
              <w:t>（六）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w:t>
            </w:r>
            <w:r>
              <w:rPr>
                <w:rFonts w:hint="eastAsia"/>
                <w:bCs/>
                <w:color w:val="auto"/>
                <w:kern w:val="0"/>
                <w:sz w:val="21"/>
                <w:szCs w:val="21"/>
                <w:lang w:bidi="ar"/>
              </w:rPr>
              <w:t>－</w:t>
            </w:r>
            <w:r>
              <w:rPr>
                <w:bCs/>
                <w:color w:val="auto"/>
                <w:kern w:val="0"/>
                <w:sz w:val="21"/>
                <w:szCs w:val="21"/>
                <w:lang w:bidi="ar"/>
              </w:rPr>
              <w:t>转炉长流程钢铁企业转型为电炉短流程企业。大宗物料优先采用铁路、管道或水路运输，短途接驳优先使用新能源车辆运输。</w:t>
            </w:r>
          </w:p>
          <w:p w14:paraId="6798F17C">
            <w:pPr>
              <w:spacing w:line="240" w:lineRule="auto"/>
              <w:ind w:firstLine="0" w:firstLineChars="0"/>
              <w:rPr>
                <w:bCs/>
                <w:color w:val="auto"/>
                <w:kern w:val="0"/>
                <w:sz w:val="21"/>
                <w:szCs w:val="21"/>
                <w:lang w:bidi="ar"/>
              </w:rPr>
            </w:pPr>
            <w:r>
              <w:rPr>
                <w:bCs/>
                <w:color w:val="auto"/>
                <w:kern w:val="0"/>
                <w:sz w:val="21"/>
                <w:szCs w:val="21"/>
                <w:lang w:bidi="ar"/>
              </w:rPr>
              <w:t>（七）将碳排放影响评价纳入环境影响评价体系。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1829" w:type="pct"/>
            <w:tcBorders>
              <w:tl2br w:val="nil"/>
              <w:tr2bl w:val="nil"/>
            </w:tcBorders>
            <w:shd w:val="clear" w:color="auto" w:fill="auto"/>
            <w:vAlign w:val="center"/>
          </w:tcPr>
          <w:p w14:paraId="7175149C">
            <w:pPr>
              <w:spacing w:line="240" w:lineRule="auto"/>
              <w:ind w:firstLine="0" w:firstLineChars="0"/>
              <w:rPr>
                <w:color w:val="auto"/>
                <w:kern w:val="0"/>
                <w:sz w:val="21"/>
                <w:szCs w:val="21"/>
                <w:lang w:bidi="ar"/>
              </w:rPr>
            </w:pPr>
            <w:r>
              <w:rPr>
                <w:rFonts w:hint="eastAsia"/>
                <w:color w:val="auto"/>
                <w:kern w:val="0"/>
                <w:sz w:val="21"/>
                <w:szCs w:val="21"/>
                <w:lang w:bidi="ar"/>
              </w:rPr>
              <w:t>本项目为太阳能光伏铝边框生产制造项目，国民经济行业代码为：C3311</w:t>
            </w:r>
            <w:r>
              <w:rPr>
                <w:bCs/>
                <w:color w:val="auto"/>
                <w:kern w:val="0"/>
                <w:sz w:val="21"/>
                <w:szCs w:val="21"/>
                <w:lang w:bidi="ar"/>
              </w:rPr>
              <w:t>金属</w:t>
            </w:r>
            <w:r>
              <w:rPr>
                <w:rFonts w:hint="eastAsia"/>
                <w:bCs/>
                <w:color w:val="auto"/>
                <w:kern w:val="0"/>
                <w:sz w:val="21"/>
                <w:szCs w:val="21"/>
                <w:lang w:bidi="ar"/>
              </w:rPr>
              <w:t>结构</w:t>
            </w:r>
            <w:r>
              <w:rPr>
                <w:bCs/>
                <w:color w:val="auto"/>
                <w:kern w:val="0"/>
                <w:sz w:val="21"/>
                <w:szCs w:val="21"/>
                <w:lang w:bidi="ar"/>
              </w:rPr>
              <w:t>制造</w:t>
            </w:r>
            <w:r>
              <w:rPr>
                <w:rFonts w:hint="eastAsia"/>
                <w:bCs/>
                <w:color w:val="auto"/>
                <w:kern w:val="0"/>
                <w:sz w:val="21"/>
                <w:szCs w:val="21"/>
                <w:lang w:bidi="ar"/>
              </w:rPr>
              <w:t>，位于连云港经济技术开发区临港产业区西北片区内。根据项目能评，项目折算年综合10527.6吨标煤（当量值）。对照《江苏省“两高”项目管理目录（2024年版）》，本项目产品不属于其中的“两高”产品。</w:t>
            </w:r>
          </w:p>
        </w:tc>
      </w:tr>
      <w:tr w14:paraId="716A5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287" w:type="pct"/>
            <w:tcBorders>
              <w:tl2br w:val="nil"/>
              <w:tr2bl w:val="nil"/>
            </w:tcBorders>
            <w:shd w:val="clear" w:color="auto" w:fill="auto"/>
            <w:vAlign w:val="center"/>
          </w:tcPr>
          <w:p w14:paraId="4CC66906">
            <w:pPr>
              <w:spacing w:line="240" w:lineRule="auto"/>
              <w:ind w:firstLine="0" w:firstLineChars="0"/>
              <w:jc w:val="center"/>
              <w:rPr>
                <w:color w:val="auto"/>
                <w:sz w:val="20"/>
                <w:szCs w:val="20"/>
              </w:rPr>
            </w:pPr>
            <w:r>
              <w:rPr>
                <w:rFonts w:hint="eastAsia"/>
                <w:color w:val="auto"/>
                <w:sz w:val="20"/>
                <w:szCs w:val="20"/>
              </w:rPr>
              <w:t>19</w:t>
            </w:r>
          </w:p>
        </w:tc>
        <w:tc>
          <w:tcPr>
            <w:tcW w:w="739" w:type="pct"/>
            <w:gridSpan w:val="2"/>
            <w:tcBorders>
              <w:tl2br w:val="nil"/>
              <w:tr2bl w:val="nil"/>
            </w:tcBorders>
            <w:shd w:val="clear" w:color="auto" w:fill="auto"/>
            <w:vAlign w:val="center"/>
          </w:tcPr>
          <w:p w14:paraId="72B7E1F2">
            <w:pPr>
              <w:autoSpaceDE w:val="0"/>
              <w:autoSpaceDN w:val="0"/>
              <w:spacing w:line="240" w:lineRule="auto"/>
              <w:ind w:firstLine="0" w:firstLineChars="0"/>
              <w:rPr>
                <w:bCs/>
                <w:color w:val="auto"/>
                <w:sz w:val="21"/>
                <w:szCs w:val="21"/>
              </w:rPr>
            </w:pPr>
            <w:r>
              <w:rPr>
                <w:bCs/>
                <w:color w:val="auto"/>
                <w:kern w:val="0"/>
                <w:sz w:val="21"/>
                <w:szCs w:val="21"/>
                <w:lang w:bidi="ar"/>
              </w:rPr>
              <w:t>《工业炉窑大气污染综合治理方案》</w:t>
            </w:r>
          </w:p>
        </w:tc>
        <w:tc>
          <w:tcPr>
            <w:tcW w:w="2143" w:type="pct"/>
            <w:gridSpan w:val="2"/>
            <w:tcBorders>
              <w:tl2br w:val="nil"/>
              <w:tr2bl w:val="nil"/>
            </w:tcBorders>
            <w:shd w:val="clear" w:color="auto" w:fill="auto"/>
            <w:vAlign w:val="center"/>
          </w:tcPr>
          <w:p w14:paraId="1363E7CB">
            <w:pPr>
              <w:spacing w:line="240" w:lineRule="auto"/>
              <w:ind w:firstLine="0" w:firstLineChars="0"/>
              <w:rPr>
                <w:bCs/>
                <w:color w:val="auto"/>
                <w:sz w:val="21"/>
                <w:szCs w:val="21"/>
              </w:rPr>
            </w:pPr>
            <w:r>
              <w:rPr>
                <w:bCs/>
                <w:color w:val="auto"/>
                <w:kern w:val="0"/>
                <w:sz w:val="21"/>
                <w:szCs w:val="21"/>
                <w:lang w:bidi="ar"/>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14:paraId="7AC0195B">
            <w:pPr>
              <w:spacing w:line="240" w:lineRule="auto"/>
              <w:ind w:firstLine="0" w:firstLineChars="0"/>
              <w:rPr>
                <w:bCs/>
                <w:color w:val="auto"/>
                <w:sz w:val="21"/>
                <w:szCs w:val="21"/>
              </w:rPr>
            </w:pPr>
            <w:r>
              <w:rPr>
                <w:bCs/>
                <w:color w:val="auto"/>
                <w:kern w:val="0"/>
                <w:sz w:val="21"/>
                <w:szCs w:val="21"/>
                <w:lang w:bidi="ar"/>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14:paraId="3699A442">
            <w:pPr>
              <w:spacing w:line="240" w:lineRule="auto"/>
              <w:ind w:firstLine="0" w:firstLineChars="0"/>
              <w:rPr>
                <w:bCs/>
                <w:color w:val="auto"/>
                <w:sz w:val="21"/>
                <w:szCs w:val="21"/>
              </w:rPr>
            </w:pPr>
            <w:r>
              <w:rPr>
                <w:bCs/>
                <w:color w:val="auto"/>
                <w:kern w:val="0"/>
                <w:sz w:val="21"/>
                <w:szCs w:val="21"/>
                <w:lang w:bidi="ar"/>
              </w:rPr>
              <w:t>（三）实施污染深度治理。推进工业炉窑全面达标排放。重点区域原则上按照颗粒物、二氧化硫、氮氧化物排放限值分别不高于30、200、300毫克/立方米实施改造；已制定更严格地方排放标准的地区，执行地方排放标准。全面加强无组织排放管理。推进重点行业污染深度治理。</w:t>
            </w:r>
          </w:p>
          <w:p w14:paraId="3F3F368B">
            <w:pPr>
              <w:spacing w:line="240" w:lineRule="auto"/>
              <w:ind w:firstLine="0" w:firstLineChars="0"/>
              <w:rPr>
                <w:bCs/>
                <w:color w:val="auto"/>
                <w:sz w:val="21"/>
                <w:szCs w:val="21"/>
              </w:rPr>
            </w:pPr>
            <w:r>
              <w:rPr>
                <w:bCs/>
                <w:color w:val="auto"/>
                <w:kern w:val="0"/>
                <w:sz w:val="21"/>
                <w:szCs w:val="21"/>
                <w:lang w:bidi="ar"/>
              </w:rPr>
              <w:t>（四）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p w14:paraId="771C3FAB">
            <w:pPr>
              <w:spacing w:line="240" w:lineRule="auto"/>
              <w:ind w:firstLine="0" w:firstLineChars="0"/>
              <w:rPr>
                <w:bCs/>
                <w:color w:val="auto"/>
                <w:sz w:val="21"/>
                <w:szCs w:val="21"/>
              </w:rPr>
            </w:pPr>
            <w:r>
              <w:rPr>
                <w:bCs/>
                <w:color w:val="auto"/>
                <w:kern w:val="0"/>
                <w:sz w:val="21"/>
                <w:szCs w:val="21"/>
                <w:lang w:bidi="ar"/>
              </w:rPr>
              <w:t>加强涉工业炉窑企业运输结构调整，京津冀及周边地区大宗货物年货运量150万吨及以上的，原则上全部修建铁路专用线；具有铁路专用线的，大宗货物铁路运输比例应达到80%以上。</w:t>
            </w:r>
          </w:p>
          <w:p w14:paraId="11C386C6">
            <w:pPr>
              <w:spacing w:line="240" w:lineRule="auto"/>
              <w:ind w:firstLine="0" w:firstLineChars="0"/>
              <w:rPr>
                <w:bCs/>
                <w:color w:val="auto"/>
                <w:sz w:val="21"/>
                <w:szCs w:val="21"/>
              </w:rPr>
            </w:pPr>
            <w:r>
              <w:rPr>
                <w:bCs/>
                <w:color w:val="auto"/>
                <w:kern w:val="0"/>
                <w:sz w:val="21"/>
                <w:szCs w:val="21"/>
                <w:lang w:bidi="ar"/>
              </w:rPr>
              <w:t>涉工业炉窑类产业集群主要包括陶瓷、玻璃、砖瓦、耐火材料、石灰、矿物棉、铸造、独立轧钢、铁合金、再生有色金属、炭素、化工等行业。各地应结合当地产业发展特征等自行确定。</w:t>
            </w:r>
          </w:p>
          <w:p w14:paraId="151612F4">
            <w:pPr>
              <w:spacing w:line="240" w:lineRule="auto"/>
              <w:ind w:firstLine="0" w:firstLineChars="0"/>
              <w:rPr>
                <w:bCs/>
                <w:color w:val="auto"/>
                <w:sz w:val="21"/>
                <w:szCs w:val="21"/>
              </w:rPr>
            </w:pPr>
            <w:r>
              <w:rPr>
                <w:bCs/>
                <w:color w:val="auto"/>
                <w:kern w:val="0"/>
                <w:sz w:val="21"/>
                <w:szCs w:val="21"/>
                <w:lang w:bidi="ar"/>
              </w:rPr>
              <w:t>（五）建立健全监测监控体系。加强重点污染源自动监控体系建设。排气口高度超过45米的高架源，纳入重点排污单位名录，督促企业安装烟气排放自动监控设施。钢铁、焦化、水泥、平板玻璃、陶瓷、氮肥、有色金属冶炼、再生有色金属等行业，严格按照排污许可管理规定安装和运行自动监控设施。加快其他行业工业炉窑大气污染物排放自动监控设施建设，重点区域内冲天炉、玻璃熔窑、以煤和煤矸石为燃料的砖瓦烧结窑、耐火材料焙烧窑（电窑除外）、炭素焙（煅）烧炉（窑）、石灰窑、铬盐焙烧窑、磷化工焙烧窑、铁合金矿热炉和精炼炉等，原则上应纳入重点排污单位名录，安装自动监控设施。</w:t>
            </w:r>
          </w:p>
        </w:tc>
        <w:tc>
          <w:tcPr>
            <w:tcW w:w="1829" w:type="pct"/>
            <w:tcBorders>
              <w:tl2br w:val="nil"/>
              <w:tr2bl w:val="nil"/>
            </w:tcBorders>
            <w:shd w:val="clear" w:color="auto" w:fill="auto"/>
            <w:vAlign w:val="center"/>
          </w:tcPr>
          <w:p w14:paraId="0AE1D6E3">
            <w:pPr>
              <w:spacing w:line="240" w:lineRule="auto"/>
              <w:ind w:firstLine="0" w:firstLineChars="0"/>
              <w:rPr>
                <w:bCs/>
                <w:color w:val="auto"/>
                <w:sz w:val="21"/>
                <w:szCs w:val="21"/>
              </w:rPr>
            </w:pPr>
            <w:r>
              <w:rPr>
                <w:bCs/>
                <w:color w:val="auto"/>
                <w:kern w:val="0"/>
                <w:sz w:val="21"/>
                <w:szCs w:val="21"/>
                <w:lang w:bidi="ar"/>
              </w:rPr>
              <w:t>（一）本项目为金属制品制造项目，厂内无燃料类煤气发生炉。</w:t>
            </w:r>
          </w:p>
          <w:p w14:paraId="14FD7771">
            <w:pPr>
              <w:spacing w:line="240" w:lineRule="auto"/>
              <w:ind w:firstLine="0" w:firstLineChars="0"/>
              <w:rPr>
                <w:bCs/>
                <w:color w:val="auto"/>
                <w:sz w:val="21"/>
                <w:szCs w:val="21"/>
              </w:rPr>
            </w:pPr>
            <w:r>
              <w:rPr>
                <w:bCs/>
                <w:color w:val="auto"/>
                <w:kern w:val="0"/>
                <w:sz w:val="21"/>
                <w:szCs w:val="21"/>
                <w:lang w:bidi="ar"/>
              </w:rPr>
              <w:t>（二）本项目</w:t>
            </w:r>
            <w:r>
              <w:rPr>
                <w:rFonts w:hint="eastAsia"/>
                <w:bCs/>
                <w:color w:val="auto"/>
                <w:kern w:val="0"/>
                <w:sz w:val="21"/>
                <w:szCs w:val="21"/>
                <w:lang w:bidi="ar"/>
              </w:rPr>
              <w:t>加热炉</w:t>
            </w:r>
            <w:r>
              <w:rPr>
                <w:bCs/>
                <w:color w:val="auto"/>
                <w:kern w:val="0"/>
                <w:sz w:val="21"/>
                <w:szCs w:val="21"/>
                <w:lang w:bidi="ar"/>
              </w:rPr>
              <w:t>、时效炉不属于《产业结构调整指导目录》中的淘汰类工业炉窑。本项目炉窑装备先进、自动化程度高，产生废气</w:t>
            </w:r>
            <w:r>
              <w:rPr>
                <w:rFonts w:hint="eastAsia"/>
                <w:bCs/>
                <w:color w:val="auto"/>
                <w:kern w:val="0"/>
                <w:sz w:val="21"/>
                <w:szCs w:val="21"/>
                <w:lang w:bidi="ar"/>
              </w:rPr>
              <w:t>经排气筒高空</w:t>
            </w:r>
            <w:r>
              <w:rPr>
                <w:bCs/>
                <w:color w:val="auto"/>
                <w:kern w:val="0"/>
                <w:sz w:val="21"/>
                <w:szCs w:val="21"/>
                <w:lang w:bidi="ar"/>
              </w:rPr>
              <w:t>排放。</w:t>
            </w:r>
          </w:p>
          <w:p w14:paraId="5ADBEDA3">
            <w:pPr>
              <w:spacing w:line="240" w:lineRule="auto"/>
              <w:ind w:firstLine="0" w:firstLineChars="0"/>
              <w:rPr>
                <w:bCs/>
                <w:color w:val="auto"/>
                <w:sz w:val="21"/>
                <w:szCs w:val="21"/>
              </w:rPr>
            </w:pPr>
            <w:r>
              <w:rPr>
                <w:bCs/>
                <w:color w:val="auto"/>
                <w:kern w:val="0"/>
                <w:sz w:val="21"/>
                <w:szCs w:val="21"/>
                <w:lang w:bidi="ar"/>
              </w:rPr>
              <w:t>（三）本项目使用管道天然气作为燃料，使用清洁能源，不</w:t>
            </w:r>
            <w:r>
              <w:rPr>
                <w:rFonts w:hint="eastAsia"/>
                <w:bCs/>
                <w:color w:val="auto"/>
                <w:kern w:val="0"/>
                <w:sz w:val="21"/>
                <w:szCs w:val="21"/>
                <w:lang w:bidi="ar"/>
              </w:rPr>
              <w:t>涉及</w:t>
            </w:r>
            <w:r>
              <w:rPr>
                <w:bCs/>
                <w:color w:val="auto"/>
                <w:kern w:val="0"/>
                <w:sz w:val="21"/>
                <w:szCs w:val="21"/>
                <w:lang w:bidi="ar"/>
              </w:rPr>
              <w:t>煤气发生炉。</w:t>
            </w:r>
          </w:p>
          <w:p w14:paraId="423859E9">
            <w:pPr>
              <w:spacing w:line="240" w:lineRule="auto"/>
              <w:ind w:firstLine="0" w:firstLineChars="0"/>
              <w:rPr>
                <w:bCs/>
                <w:color w:val="auto"/>
                <w:sz w:val="21"/>
                <w:szCs w:val="21"/>
              </w:rPr>
            </w:pPr>
            <w:r>
              <w:rPr>
                <w:bCs/>
                <w:color w:val="auto"/>
                <w:kern w:val="0"/>
                <w:sz w:val="21"/>
                <w:szCs w:val="21"/>
                <w:lang w:bidi="ar"/>
              </w:rPr>
              <w:t>（四）本项目工业炉窑排放废气颗粒物、二氧化硫、氮氧化物排放限值按照20、80、180毫克/立方米实施。</w:t>
            </w:r>
          </w:p>
          <w:p w14:paraId="06DE155E">
            <w:pPr>
              <w:spacing w:line="240" w:lineRule="auto"/>
              <w:ind w:firstLine="0" w:firstLineChars="0"/>
              <w:rPr>
                <w:bCs/>
                <w:color w:val="auto"/>
                <w:sz w:val="21"/>
                <w:szCs w:val="21"/>
              </w:rPr>
            </w:pPr>
            <w:r>
              <w:rPr>
                <w:bCs/>
                <w:color w:val="auto"/>
                <w:kern w:val="0"/>
                <w:sz w:val="21"/>
                <w:szCs w:val="21"/>
                <w:lang w:bidi="ar"/>
              </w:rPr>
              <w:t>本项目使用管道天然气作为热源，加热炉、时效炉能源利用率较高。本项目</w:t>
            </w:r>
            <w:r>
              <w:rPr>
                <w:rFonts w:hint="eastAsia"/>
                <w:bCs/>
                <w:color w:val="auto"/>
                <w:kern w:val="0"/>
                <w:sz w:val="21"/>
                <w:szCs w:val="21"/>
                <w:lang w:bidi="ar"/>
              </w:rPr>
              <w:t>天然气由园区供气管网供给</w:t>
            </w:r>
            <w:r>
              <w:rPr>
                <w:bCs/>
                <w:color w:val="auto"/>
                <w:kern w:val="0"/>
                <w:sz w:val="21"/>
                <w:szCs w:val="21"/>
                <w:lang w:bidi="ar"/>
              </w:rPr>
              <w:t>。</w:t>
            </w:r>
            <w:r>
              <w:rPr>
                <w:rFonts w:hint="eastAsia"/>
                <w:bCs/>
                <w:color w:val="auto"/>
                <w:kern w:val="0"/>
                <w:sz w:val="21"/>
                <w:szCs w:val="21"/>
                <w:lang w:bidi="ar"/>
              </w:rPr>
              <w:t>对照</w:t>
            </w:r>
            <w:r>
              <w:rPr>
                <w:rFonts w:hint="eastAsia"/>
                <w:color w:val="auto"/>
                <w:kern w:val="0"/>
                <w:sz w:val="21"/>
                <w:szCs w:val="21"/>
                <w:lang w:bidi="ar"/>
              </w:rPr>
              <w:t>《连云港经济技术开发区（大浦片区、临港产业区西北片区、江宁工业城）产业发展规划环境影响报告书》及其审查意见（连环发〔2024〕247号），</w:t>
            </w:r>
            <w:r>
              <w:rPr>
                <w:color w:val="auto"/>
                <w:kern w:val="0"/>
                <w:sz w:val="21"/>
                <w:szCs w:val="21"/>
                <w:lang w:bidi="ar"/>
              </w:rPr>
              <w:t>本项目的建设符合园区的产业定位。</w:t>
            </w:r>
          </w:p>
          <w:p w14:paraId="10E662D6">
            <w:pPr>
              <w:spacing w:line="240" w:lineRule="auto"/>
              <w:ind w:firstLine="0" w:firstLineChars="0"/>
              <w:rPr>
                <w:color w:val="auto"/>
                <w:sz w:val="21"/>
                <w:szCs w:val="21"/>
              </w:rPr>
            </w:pPr>
            <w:r>
              <w:rPr>
                <w:bCs/>
                <w:color w:val="auto"/>
                <w:kern w:val="0"/>
                <w:sz w:val="21"/>
                <w:szCs w:val="21"/>
                <w:lang w:bidi="ar"/>
              </w:rPr>
              <w:t>（五）本项目炉窑排气口高度为</w:t>
            </w:r>
            <w:r>
              <w:rPr>
                <w:rFonts w:hint="eastAsia"/>
                <w:bCs/>
                <w:color w:val="auto"/>
                <w:kern w:val="0"/>
                <w:sz w:val="21"/>
                <w:szCs w:val="21"/>
                <w:lang w:bidi="ar"/>
              </w:rPr>
              <w:t>15</w:t>
            </w:r>
            <w:r>
              <w:rPr>
                <w:bCs/>
                <w:color w:val="auto"/>
                <w:kern w:val="0"/>
                <w:sz w:val="21"/>
                <w:szCs w:val="21"/>
                <w:lang w:bidi="ar"/>
              </w:rPr>
              <w:t>米，项目不属于钢铁、焦化、水泥、平板玻璃、陶瓷、氮肥、有色金属冶炼、再生有色金属等，项目所用的</w:t>
            </w:r>
            <w:r>
              <w:rPr>
                <w:rFonts w:hint="eastAsia"/>
                <w:bCs/>
                <w:color w:val="auto"/>
                <w:kern w:val="0"/>
                <w:sz w:val="21"/>
                <w:szCs w:val="21"/>
                <w:lang w:bidi="ar"/>
              </w:rPr>
              <w:t>加热炉</w:t>
            </w:r>
            <w:r>
              <w:rPr>
                <w:bCs/>
                <w:color w:val="auto"/>
                <w:kern w:val="0"/>
                <w:sz w:val="21"/>
                <w:szCs w:val="21"/>
                <w:lang w:bidi="ar"/>
              </w:rPr>
              <w:t>、时效炉也不属于冲天炉、玻璃熔窑、以煤和煤矸石为燃料的砖瓦烧结窑、耐火材料焙烧窑（电窑除外）、炭素焙（煅）烧炉（窑）、石灰窑、铬盐焙烧窑、磷化工焙烧窑、铁合金矿热炉和精炼炉等中的任何一种炉窑。</w:t>
            </w:r>
          </w:p>
        </w:tc>
      </w:tr>
    </w:tbl>
    <w:p w14:paraId="183B5FDF">
      <w:pPr>
        <w:pStyle w:val="1356"/>
        <w:ind w:firstLine="0" w:firstLineChars="0"/>
        <w:rPr>
          <w:b/>
          <w:color w:val="auto"/>
        </w:rPr>
      </w:pPr>
    </w:p>
    <w:p w14:paraId="3FC05D97">
      <w:pPr>
        <w:pStyle w:val="1356"/>
        <w:ind w:firstLine="482"/>
        <w:rPr>
          <w:b/>
          <w:color w:val="auto"/>
        </w:rPr>
        <w:sectPr>
          <w:footerReference r:id="rId14" w:type="default"/>
          <w:pgSz w:w="16838" w:h="11906" w:orient="landscape"/>
          <w:pgMar w:top="1361" w:right="1361" w:bottom="1361" w:left="1361" w:header="851" w:footer="992" w:gutter="0"/>
          <w:cols w:space="0" w:num="1"/>
          <w:docGrid w:type="lines" w:linePitch="328" w:charSpace="0"/>
        </w:sectPr>
      </w:pPr>
    </w:p>
    <w:p w14:paraId="14031CD2">
      <w:pPr>
        <w:pStyle w:val="5"/>
        <w:spacing w:beforeLines="50" w:after="0"/>
        <w:ind w:firstLine="0" w:firstLineChars="0"/>
        <w:rPr>
          <w:color w:val="auto"/>
          <w:sz w:val="28"/>
          <w:szCs w:val="36"/>
        </w:rPr>
      </w:pPr>
      <w:r>
        <w:rPr>
          <w:color w:val="auto"/>
          <w:sz w:val="28"/>
          <w:szCs w:val="36"/>
        </w:rPr>
        <w:t>1.4.</w:t>
      </w:r>
      <w:r>
        <w:rPr>
          <w:rFonts w:hint="eastAsia"/>
          <w:color w:val="auto"/>
          <w:sz w:val="28"/>
          <w:szCs w:val="36"/>
        </w:rPr>
        <w:t>4</w:t>
      </w:r>
      <w:r>
        <w:rPr>
          <w:color w:val="auto"/>
          <w:sz w:val="28"/>
          <w:szCs w:val="36"/>
        </w:rPr>
        <w:t xml:space="preserve"> “三线一单”相符性</w:t>
      </w:r>
    </w:p>
    <w:p w14:paraId="567566C0">
      <w:pPr>
        <w:spacing w:before="120" w:beforeLines="50"/>
        <w:ind w:firstLine="0" w:firstLineChars="0"/>
        <w:outlineLvl w:val="3"/>
        <w:rPr>
          <w:b/>
          <w:color w:val="auto"/>
        </w:rPr>
      </w:pPr>
      <w:r>
        <w:rPr>
          <w:b/>
          <w:color w:val="auto"/>
        </w:rPr>
        <w:t>1.4.</w:t>
      </w:r>
      <w:r>
        <w:rPr>
          <w:rFonts w:hint="eastAsia"/>
          <w:b/>
          <w:color w:val="auto"/>
        </w:rPr>
        <w:t>4</w:t>
      </w:r>
      <w:r>
        <w:rPr>
          <w:b/>
          <w:color w:val="auto"/>
        </w:rPr>
        <w:t>.1 与生态</w:t>
      </w:r>
      <w:r>
        <w:rPr>
          <w:rFonts w:hint="eastAsia"/>
          <w:b/>
          <w:color w:val="auto"/>
        </w:rPr>
        <w:t>保护</w:t>
      </w:r>
      <w:r>
        <w:rPr>
          <w:b/>
          <w:color w:val="auto"/>
        </w:rPr>
        <w:t>红线相符性分析</w:t>
      </w:r>
    </w:p>
    <w:p w14:paraId="70F3B202">
      <w:pPr>
        <w:ind w:firstLine="482"/>
        <w:rPr>
          <w:b/>
          <w:bCs/>
          <w:color w:val="auto"/>
        </w:rPr>
      </w:pPr>
      <w:r>
        <w:rPr>
          <w:rFonts w:hint="eastAsia"/>
          <w:b/>
          <w:bCs/>
          <w:color w:val="auto"/>
        </w:rPr>
        <w:t>1、与《省政府关于印发江苏省生态空间管控区域规划的通知》（苏政发〔2020〕1号）、《省政府关于印发江苏省国家级生态保护红线规划的通知》（苏政发〔2018〕74号）要求的相符性分析</w:t>
      </w:r>
    </w:p>
    <w:p w14:paraId="5000E3E5">
      <w:pPr>
        <w:ind w:firstLine="480"/>
        <w:rPr>
          <w:color w:val="auto"/>
        </w:rPr>
      </w:pPr>
      <w:r>
        <w:rPr>
          <w:color w:val="auto"/>
        </w:rPr>
        <w:t>对照</w:t>
      </w:r>
      <w:r>
        <w:rPr>
          <w:color w:val="auto"/>
          <w:lang w:bidi="en-US"/>
        </w:rPr>
        <w:t>《江苏省国家级生态保护红线规划》（苏政发</w:t>
      </w:r>
      <w:r>
        <w:rPr>
          <w:rFonts w:hint="eastAsia"/>
          <w:color w:val="auto"/>
          <w:lang w:bidi="en-US"/>
        </w:rPr>
        <w:t>〔</w:t>
      </w:r>
      <w:r>
        <w:rPr>
          <w:color w:val="auto"/>
          <w:lang w:bidi="en-US"/>
        </w:rPr>
        <w:t>2018</w:t>
      </w:r>
      <w:r>
        <w:rPr>
          <w:rFonts w:hint="eastAsia"/>
          <w:color w:val="auto"/>
          <w:lang w:bidi="en-US"/>
        </w:rPr>
        <w:t>〕</w:t>
      </w:r>
      <w:r>
        <w:rPr>
          <w:color w:val="auto"/>
          <w:lang w:bidi="en-US"/>
        </w:rPr>
        <w:t>74号）以及</w:t>
      </w:r>
      <w:r>
        <w:rPr>
          <w:color w:val="auto"/>
        </w:rPr>
        <w:t>《江苏省生态空间管控区域规划》（苏政发</w:t>
      </w:r>
      <w:r>
        <w:rPr>
          <w:rFonts w:hint="eastAsia"/>
          <w:color w:val="auto"/>
        </w:rPr>
        <w:t>〔</w:t>
      </w:r>
      <w:r>
        <w:rPr>
          <w:color w:val="auto"/>
        </w:rPr>
        <w:t>2020</w:t>
      </w:r>
      <w:r>
        <w:rPr>
          <w:rFonts w:hint="eastAsia"/>
          <w:color w:val="auto"/>
        </w:rPr>
        <w:t>〕</w:t>
      </w:r>
      <w:r>
        <w:rPr>
          <w:color w:val="auto"/>
        </w:rPr>
        <w:t>1号），本项目不涉及江苏省国家级生态</w:t>
      </w:r>
      <w:r>
        <w:rPr>
          <w:rFonts w:hint="eastAsia"/>
          <w:color w:val="auto"/>
        </w:rPr>
        <w:t>保护</w:t>
      </w:r>
      <w:r>
        <w:rPr>
          <w:color w:val="auto"/>
        </w:rPr>
        <w:t>红线，距离本项目</w:t>
      </w:r>
      <w:r>
        <w:rPr>
          <w:rFonts w:hint="eastAsia"/>
          <w:color w:val="auto"/>
        </w:rPr>
        <w:t>最近的为</w:t>
      </w:r>
      <w:r>
        <w:rPr>
          <w:color w:val="auto"/>
        </w:rPr>
        <w:t>西侧</w:t>
      </w:r>
      <w:r>
        <w:rPr>
          <w:rFonts w:hint="eastAsia"/>
          <w:color w:val="auto"/>
        </w:rPr>
        <w:t>2.44</w:t>
      </w:r>
      <w:r>
        <w:rPr>
          <w:color w:val="auto"/>
        </w:rPr>
        <w:t>km连云港临洪河口省级湿地公园，</w:t>
      </w:r>
      <w:r>
        <w:rPr>
          <w:color w:val="auto"/>
          <w:szCs w:val="21"/>
        </w:rPr>
        <w:t>详见表1.4</w:t>
      </w:r>
      <w:r>
        <w:rPr>
          <w:rFonts w:hint="eastAsia"/>
          <w:color w:val="auto"/>
          <w:szCs w:val="21"/>
        </w:rPr>
        <w:t>.4</w:t>
      </w:r>
      <w:r>
        <w:rPr>
          <w:color w:val="auto"/>
          <w:szCs w:val="21"/>
        </w:rPr>
        <w:t>-</w:t>
      </w:r>
      <w:r>
        <w:rPr>
          <w:rFonts w:hint="eastAsia"/>
          <w:color w:val="auto"/>
          <w:szCs w:val="21"/>
        </w:rPr>
        <w:t>1</w:t>
      </w:r>
      <w:r>
        <w:rPr>
          <w:color w:val="auto"/>
          <w:szCs w:val="21"/>
        </w:rPr>
        <w:t>和附图1.4-</w:t>
      </w:r>
      <w:r>
        <w:rPr>
          <w:rFonts w:hint="eastAsia"/>
          <w:color w:val="auto"/>
          <w:szCs w:val="21"/>
        </w:rPr>
        <w:t>2</w:t>
      </w:r>
      <w:r>
        <w:rPr>
          <w:color w:val="auto"/>
        </w:rPr>
        <w:t>。</w:t>
      </w:r>
    </w:p>
    <w:p w14:paraId="4D33BB0E">
      <w:pPr>
        <w:ind w:firstLine="480"/>
        <w:rPr>
          <w:b/>
          <w:color w:val="auto"/>
        </w:rPr>
      </w:pPr>
      <w:r>
        <w:rPr>
          <w:color w:val="auto"/>
        </w:rPr>
        <w:t>本项目不占用江苏省国家级生态</w:t>
      </w:r>
      <w:r>
        <w:rPr>
          <w:rFonts w:hint="eastAsia"/>
          <w:color w:val="auto"/>
        </w:rPr>
        <w:t>保护</w:t>
      </w:r>
      <w:r>
        <w:rPr>
          <w:color w:val="auto"/>
        </w:rPr>
        <w:t>红线和江苏省生态空间保护区域，不会导致生态</w:t>
      </w:r>
      <w:r>
        <w:rPr>
          <w:rFonts w:hint="eastAsia"/>
          <w:color w:val="auto"/>
        </w:rPr>
        <w:t>保护</w:t>
      </w:r>
      <w:r>
        <w:rPr>
          <w:color w:val="auto"/>
        </w:rPr>
        <w:t>红线区域生态服务功能下降。因此，本项目的建设符合</w:t>
      </w:r>
      <w:r>
        <w:rPr>
          <w:color w:val="auto"/>
          <w:lang w:bidi="en-US"/>
        </w:rPr>
        <w:t>《江苏省国家级生态保护红线规划》以</w:t>
      </w:r>
      <w:r>
        <w:rPr>
          <w:color w:val="auto"/>
          <w:szCs w:val="21"/>
        </w:rPr>
        <w:t>及《江苏省生态空间管控区域规划</w:t>
      </w:r>
      <w:r>
        <w:rPr>
          <w:rFonts w:hint="eastAsia"/>
          <w:color w:val="auto"/>
          <w:szCs w:val="21"/>
        </w:rPr>
        <w:t>》的</w:t>
      </w:r>
      <w:r>
        <w:rPr>
          <w:color w:val="auto"/>
          <w:szCs w:val="21"/>
        </w:rPr>
        <w:t>相关要求。</w:t>
      </w:r>
    </w:p>
    <w:p w14:paraId="549BF362">
      <w:pPr>
        <w:pStyle w:val="1356"/>
        <w:spacing w:line="240" w:lineRule="auto"/>
        <w:ind w:firstLine="0" w:firstLineChars="0"/>
        <w:jc w:val="center"/>
        <w:rPr>
          <w:b/>
          <w:color w:val="auto"/>
        </w:rPr>
      </w:pPr>
      <w:r>
        <w:rPr>
          <w:b/>
          <w:color w:val="auto"/>
        </w:rPr>
        <w:t>表1.4</w:t>
      </w:r>
      <w:r>
        <w:rPr>
          <w:rFonts w:hint="eastAsia"/>
          <w:b/>
          <w:color w:val="auto"/>
        </w:rPr>
        <w:t>.4-1</w:t>
      </w:r>
      <w:r>
        <w:rPr>
          <w:b/>
          <w:color w:val="auto"/>
        </w:rPr>
        <w:t xml:space="preserve">  本项目周边生态空间保护区域</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45"/>
        <w:gridCol w:w="806"/>
        <w:gridCol w:w="782"/>
        <w:gridCol w:w="1108"/>
        <w:gridCol w:w="1877"/>
        <w:gridCol w:w="711"/>
        <w:gridCol w:w="1259"/>
        <w:gridCol w:w="989"/>
        <w:gridCol w:w="1113"/>
      </w:tblGrid>
      <w:tr w14:paraId="2F77EA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245" w:type="pct"/>
            <w:vMerge w:val="restart"/>
            <w:tcBorders>
              <w:tl2br w:val="nil"/>
              <w:tr2bl w:val="nil"/>
            </w:tcBorders>
            <w:shd w:val="clear" w:color="auto" w:fill="auto"/>
            <w:tcMar>
              <w:top w:w="10" w:type="dxa"/>
              <w:left w:w="10" w:type="dxa"/>
              <w:right w:w="10" w:type="dxa"/>
            </w:tcMar>
            <w:vAlign w:val="center"/>
          </w:tcPr>
          <w:p w14:paraId="7DD4D4A2">
            <w:pPr>
              <w:spacing w:line="240" w:lineRule="auto"/>
              <w:ind w:firstLine="0" w:firstLineChars="0"/>
              <w:jc w:val="center"/>
              <w:rPr>
                <w:b/>
                <w:color w:val="auto"/>
                <w:sz w:val="21"/>
                <w:szCs w:val="21"/>
              </w:rPr>
            </w:pPr>
            <w:r>
              <w:rPr>
                <w:b/>
                <w:bCs/>
                <w:color w:val="auto"/>
                <w:sz w:val="21"/>
                <w:szCs w:val="21"/>
              </w:rPr>
              <w:t>所在行政区域</w:t>
            </w:r>
          </w:p>
        </w:tc>
        <w:tc>
          <w:tcPr>
            <w:tcW w:w="443" w:type="pct"/>
            <w:vMerge w:val="restart"/>
            <w:tcBorders>
              <w:tl2br w:val="nil"/>
              <w:tr2bl w:val="nil"/>
            </w:tcBorders>
            <w:shd w:val="clear" w:color="auto" w:fill="auto"/>
            <w:tcMar>
              <w:top w:w="10" w:type="dxa"/>
              <w:left w:w="10" w:type="dxa"/>
              <w:right w:w="10" w:type="dxa"/>
            </w:tcMar>
            <w:vAlign w:val="center"/>
          </w:tcPr>
          <w:p w14:paraId="68EE497A">
            <w:pPr>
              <w:spacing w:line="240" w:lineRule="auto"/>
              <w:ind w:firstLine="0" w:firstLineChars="0"/>
              <w:jc w:val="center"/>
              <w:rPr>
                <w:b/>
                <w:color w:val="auto"/>
                <w:sz w:val="21"/>
                <w:szCs w:val="21"/>
              </w:rPr>
            </w:pPr>
            <w:r>
              <w:rPr>
                <w:b/>
                <w:color w:val="auto"/>
                <w:sz w:val="21"/>
                <w:szCs w:val="21"/>
              </w:rPr>
              <w:t>生态空间保护区域名称</w:t>
            </w:r>
          </w:p>
        </w:tc>
        <w:tc>
          <w:tcPr>
            <w:tcW w:w="430" w:type="pct"/>
            <w:vMerge w:val="restart"/>
            <w:tcBorders>
              <w:tl2br w:val="nil"/>
              <w:tr2bl w:val="nil"/>
            </w:tcBorders>
            <w:shd w:val="clear" w:color="auto" w:fill="auto"/>
            <w:tcMar>
              <w:top w:w="10" w:type="dxa"/>
              <w:left w:w="10" w:type="dxa"/>
              <w:right w:w="10" w:type="dxa"/>
            </w:tcMar>
            <w:vAlign w:val="center"/>
          </w:tcPr>
          <w:p w14:paraId="1885CCA0">
            <w:pPr>
              <w:spacing w:line="240" w:lineRule="auto"/>
              <w:ind w:firstLine="0" w:firstLineChars="0"/>
              <w:jc w:val="center"/>
              <w:rPr>
                <w:b/>
                <w:color w:val="auto"/>
                <w:sz w:val="21"/>
                <w:szCs w:val="21"/>
              </w:rPr>
            </w:pPr>
            <w:r>
              <w:rPr>
                <w:b/>
                <w:color w:val="auto"/>
                <w:sz w:val="21"/>
                <w:szCs w:val="21"/>
              </w:rPr>
              <w:t>主导生态功能</w:t>
            </w:r>
          </w:p>
        </w:tc>
        <w:tc>
          <w:tcPr>
            <w:tcW w:w="1641" w:type="pct"/>
            <w:gridSpan w:val="2"/>
            <w:tcBorders>
              <w:tl2br w:val="nil"/>
              <w:tr2bl w:val="nil"/>
            </w:tcBorders>
            <w:shd w:val="clear" w:color="auto" w:fill="auto"/>
            <w:tcMar>
              <w:top w:w="10" w:type="dxa"/>
              <w:left w:w="10" w:type="dxa"/>
              <w:right w:w="10" w:type="dxa"/>
            </w:tcMar>
            <w:vAlign w:val="center"/>
          </w:tcPr>
          <w:p w14:paraId="6007E0E7">
            <w:pPr>
              <w:spacing w:line="240" w:lineRule="auto"/>
              <w:ind w:firstLine="0" w:firstLineChars="0"/>
              <w:jc w:val="center"/>
              <w:rPr>
                <w:b/>
                <w:color w:val="auto"/>
                <w:sz w:val="21"/>
                <w:szCs w:val="21"/>
              </w:rPr>
            </w:pPr>
            <w:r>
              <w:rPr>
                <w:b/>
                <w:color w:val="auto"/>
                <w:sz w:val="21"/>
                <w:szCs w:val="21"/>
              </w:rPr>
              <w:t>范围</w:t>
            </w:r>
          </w:p>
        </w:tc>
        <w:tc>
          <w:tcPr>
            <w:tcW w:w="1627" w:type="pct"/>
            <w:gridSpan w:val="3"/>
            <w:tcBorders>
              <w:tl2br w:val="nil"/>
              <w:tr2bl w:val="nil"/>
            </w:tcBorders>
            <w:shd w:val="clear" w:color="auto" w:fill="auto"/>
            <w:tcMar>
              <w:top w:w="10" w:type="dxa"/>
              <w:left w:w="10" w:type="dxa"/>
              <w:right w:w="10" w:type="dxa"/>
            </w:tcMar>
            <w:vAlign w:val="center"/>
          </w:tcPr>
          <w:p w14:paraId="294BE266">
            <w:pPr>
              <w:spacing w:line="240" w:lineRule="auto"/>
              <w:ind w:firstLine="0" w:firstLineChars="0"/>
              <w:jc w:val="center"/>
              <w:rPr>
                <w:b/>
                <w:color w:val="auto"/>
                <w:sz w:val="21"/>
                <w:szCs w:val="21"/>
              </w:rPr>
            </w:pPr>
            <w:r>
              <w:rPr>
                <w:b/>
                <w:color w:val="auto"/>
                <w:sz w:val="21"/>
                <w:szCs w:val="21"/>
              </w:rPr>
              <w:t>面积（km</w:t>
            </w:r>
            <w:r>
              <w:rPr>
                <w:b/>
                <w:color w:val="auto"/>
                <w:sz w:val="21"/>
                <w:szCs w:val="21"/>
                <w:vertAlign w:val="superscript"/>
              </w:rPr>
              <w:t>2</w:t>
            </w:r>
            <w:r>
              <w:rPr>
                <w:b/>
                <w:color w:val="auto"/>
                <w:sz w:val="21"/>
                <w:szCs w:val="21"/>
              </w:rPr>
              <w:t>）</w:t>
            </w:r>
          </w:p>
        </w:tc>
        <w:tc>
          <w:tcPr>
            <w:tcW w:w="612" w:type="pct"/>
            <w:vMerge w:val="restart"/>
            <w:tcBorders>
              <w:tl2br w:val="nil"/>
              <w:tr2bl w:val="nil"/>
            </w:tcBorders>
            <w:shd w:val="clear" w:color="auto" w:fill="auto"/>
            <w:tcMar>
              <w:top w:w="10" w:type="dxa"/>
              <w:left w:w="10" w:type="dxa"/>
              <w:right w:w="10" w:type="dxa"/>
            </w:tcMar>
            <w:vAlign w:val="center"/>
          </w:tcPr>
          <w:p w14:paraId="5F392CC8">
            <w:pPr>
              <w:spacing w:line="240" w:lineRule="auto"/>
              <w:ind w:firstLine="0" w:firstLineChars="0"/>
              <w:jc w:val="center"/>
              <w:rPr>
                <w:b/>
                <w:color w:val="auto"/>
                <w:sz w:val="21"/>
                <w:szCs w:val="21"/>
              </w:rPr>
            </w:pPr>
            <w:r>
              <w:rPr>
                <w:b/>
                <w:color w:val="auto"/>
                <w:sz w:val="21"/>
                <w:szCs w:val="21"/>
              </w:rPr>
              <w:t>与本项目方位及最近距离</w:t>
            </w:r>
          </w:p>
        </w:tc>
      </w:tr>
      <w:tr w14:paraId="059C44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245" w:type="pct"/>
            <w:vMerge w:val="continue"/>
            <w:tcBorders>
              <w:tl2br w:val="nil"/>
              <w:tr2bl w:val="nil"/>
            </w:tcBorders>
            <w:shd w:val="clear" w:color="auto" w:fill="auto"/>
            <w:tcMar>
              <w:top w:w="10" w:type="dxa"/>
              <w:left w:w="10" w:type="dxa"/>
              <w:right w:w="10" w:type="dxa"/>
            </w:tcMar>
            <w:vAlign w:val="center"/>
          </w:tcPr>
          <w:p w14:paraId="26727F2F">
            <w:pPr>
              <w:widowControl/>
              <w:spacing w:line="240" w:lineRule="auto"/>
              <w:ind w:firstLine="0" w:firstLineChars="0"/>
              <w:jc w:val="center"/>
              <w:textAlignment w:val="center"/>
              <w:rPr>
                <w:b/>
                <w:color w:val="auto"/>
                <w:kern w:val="0"/>
                <w:sz w:val="21"/>
                <w:szCs w:val="21"/>
                <w:lang w:bidi="ar"/>
              </w:rPr>
            </w:pPr>
          </w:p>
        </w:tc>
        <w:tc>
          <w:tcPr>
            <w:tcW w:w="443" w:type="pct"/>
            <w:vMerge w:val="continue"/>
            <w:tcBorders>
              <w:tl2br w:val="nil"/>
              <w:tr2bl w:val="nil"/>
            </w:tcBorders>
            <w:shd w:val="clear" w:color="auto" w:fill="auto"/>
            <w:tcMar>
              <w:top w:w="10" w:type="dxa"/>
              <w:left w:w="10" w:type="dxa"/>
              <w:right w:w="10" w:type="dxa"/>
            </w:tcMar>
            <w:vAlign w:val="center"/>
          </w:tcPr>
          <w:p w14:paraId="1185F87B">
            <w:pPr>
              <w:widowControl/>
              <w:spacing w:line="240" w:lineRule="auto"/>
              <w:ind w:firstLine="0" w:firstLineChars="0"/>
              <w:jc w:val="center"/>
              <w:textAlignment w:val="center"/>
              <w:rPr>
                <w:b/>
                <w:color w:val="auto"/>
                <w:kern w:val="0"/>
                <w:sz w:val="21"/>
                <w:szCs w:val="21"/>
                <w:lang w:bidi="ar"/>
              </w:rPr>
            </w:pPr>
          </w:p>
        </w:tc>
        <w:tc>
          <w:tcPr>
            <w:tcW w:w="430" w:type="pct"/>
            <w:vMerge w:val="continue"/>
            <w:tcBorders>
              <w:tl2br w:val="nil"/>
              <w:tr2bl w:val="nil"/>
            </w:tcBorders>
            <w:shd w:val="clear" w:color="auto" w:fill="auto"/>
            <w:tcMar>
              <w:top w:w="10" w:type="dxa"/>
              <w:left w:w="10" w:type="dxa"/>
              <w:right w:w="10" w:type="dxa"/>
            </w:tcMar>
            <w:vAlign w:val="center"/>
          </w:tcPr>
          <w:p w14:paraId="5B9A4852">
            <w:pPr>
              <w:widowControl/>
              <w:spacing w:line="240" w:lineRule="auto"/>
              <w:ind w:firstLine="0" w:firstLineChars="0"/>
              <w:jc w:val="center"/>
              <w:textAlignment w:val="center"/>
              <w:rPr>
                <w:b/>
                <w:color w:val="auto"/>
                <w:kern w:val="0"/>
                <w:sz w:val="21"/>
                <w:szCs w:val="21"/>
                <w:lang w:bidi="ar"/>
              </w:rPr>
            </w:pPr>
          </w:p>
        </w:tc>
        <w:tc>
          <w:tcPr>
            <w:tcW w:w="609" w:type="pct"/>
            <w:tcBorders>
              <w:tl2br w:val="nil"/>
              <w:tr2bl w:val="nil"/>
            </w:tcBorders>
            <w:shd w:val="clear" w:color="auto" w:fill="auto"/>
            <w:tcMar>
              <w:top w:w="10" w:type="dxa"/>
              <w:left w:w="10" w:type="dxa"/>
              <w:right w:w="10" w:type="dxa"/>
            </w:tcMar>
            <w:vAlign w:val="center"/>
          </w:tcPr>
          <w:p w14:paraId="48D55020">
            <w:pPr>
              <w:spacing w:line="240" w:lineRule="auto"/>
              <w:ind w:firstLine="0" w:firstLineChars="0"/>
              <w:jc w:val="center"/>
              <w:rPr>
                <w:b/>
                <w:color w:val="auto"/>
                <w:sz w:val="21"/>
                <w:szCs w:val="21"/>
              </w:rPr>
            </w:pPr>
            <w:r>
              <w:rPr>
                <w:b/>
                <w:color w:val="auto"/>
                <w:sz w:val="21"/>
                <w:szCs w:val="21"/>
              </w:rPr>
              <w:t>国家级生态保护红线范围</w:t>
            </w:r>
          </w:p>
        </w:tc>
        <w:tc>
          <w:tcPr>
            <w:tcW w:w="1031" w:type="pct"/>
            <w:tcBorders>
              <w:tl2br w:val="nil"/>
              <w:tr2bl w:val="nil"/>
            </w:tcBorders>
            <w:shd w:val="clear" w:color="auto" w:fill="auto"/>
            <w:tcMar>
              <w:top w:w="10" w:type="dxa"/>
              <w:left w:w="10" w:type="dxa"/>
              <w:right w:w="10" w:type="dxa"/>
            </w:tcMar>
            <w:vAlign w:val="center"/>
          </w:tcPr>
          <w:p w14:paraId="3A6FA967">
            <w:pPr>
              <w:spacing w:line="240" w:lineRule="auto"/>
              <w:ind w:firstLine="0" w:firstLineChars="0"/>
              <w:jc w:val="center"/>
              <w:rPr>
                <w:b/>
                <w:color w:val="auto"/>
                <w:sz w:val="21"/>
                <w:szCs w:val="21"/>
              </w:rPr>
            </w:pPr>
            <w:r>
              <w:rPr>
                <w:b/>
                <w:color w:val="auto"/>
                <w:sz w:val="21"/>
                <w:szCs w:val="21"/>
              </w:rPr>
              <w:t>生态空间管控区域范围</w:t>
            </w:r>
          </w:p>
        </w:tc>
        <w:tc>
          <w:tcPr>
            <w:tcW w:w="391" w:type="pct"/>
            <w:tcBorders>
              <w:tl2br w:val="nil"/>
              <w:tr2bl w:val="nil"/>
            </w:tcBorders>
            <w:shd w:val="clear" w:color="auto" w:fill="auto"/>
            <w:tcMar>
              <w:top w:w="10" w:type="dxa"/>
              <w:left w:w="10" w:type="dxa"/>
              <w:right w:w="10" w:type="dxa"/>
            </w:tcMar>
            <w:vAlign w:val="center"/>
          </w:tcPr>
          <w:p w14:paraId="68C29CB9">
            <w:pPr>
              <w:spacing w:line="240" w:lineRule="auto"/>
              <w:ind w:firstLine="0" w:firstLineChars="0"/>
              <w:jc w:val="center"/>
              <w:rPr>
                <w:b/>
                <w:color w:val="auto"/>
                <w:sz w:val="21"/>
                <w:szCs w:val="21"/>
              </w:rPr>
            </w:pPr>
            <w:r>
              <w:rPr>
                <w:b/>
                <w:color w:val="auto"/>
                <w:sz w:val="21"/>
                <w:szCs w:val="21"/>
              </w:rPr>
              <w:t>国家级生态保护红线面积</w:t>
            </w:r>
          </w:p>
        </w:tc>
        <w:tc>
          <w:tcPr>
            <w:tcW w:w="692" w:type="pct"/>
            <w:tcBorders>
              <w:tl2br w:val="nil"/>
              <w:tr2bl w:val="nil"/>
            </w:tcBorders>
            <w:shd w:val="clear" w:color="auto" w:fill="auto"/>
            <w:tcMar>
              <w:top w:w="10" w:type="dxa"/>
              <w:left w:w="10" w:type="dxa"/>
              <w:right w:w="10" w:type="dxa"/>
            </w:tcMar>
            <w:vAlign w:val="center"/>
          </w:tcPr>
          <w:p w14:paraId="0D0349EA">
            <w:pPr>
              <w:spacing w:line="240" w:lineRule="auto"/>
              <w:ind w:firstLine="0" w:firstLineChars="0"/>
              <w:jc w:val="center"/>
              <w:rPr>
                <w:b/>
                <w:color w:val="auto"/>
                <w:sz w:val="21"/>
                <w:szCs w:val="21"/>
              </w:rPr>
            </w:pPr>
            <w:r>
              <w:rPr>
                <w:b/>
                <w:color w:val="auto"/>
                <w:sz w:val="21"/>
                <w:szCs w:val="21"/>
              </w:rPr>
              <w:t>生态空间管控区域面积</w:t>
            </w:r>
          </w:p>
        </w:tc>
        <w:tc>
          <w:tcPr>
            <w:tcW w:w="544" w:type="pct"/>
            <w:tcBorders>
              <w:tl2br w:val="nil"/>
              <w:tr2bl w:val="nil"/>
            </w:tcBorders>
            <w:shd w:val="clear" w:color="auto" w:fill="auto"/>
            <w:tcMar>
              <w:top w:w="10" w:type="dxa"/>
              <w:left w:w="10" w:type="dxa"/>
              <w:right w:w="10" w:type="dxa"/>
            </w:tcMar>
            <w:vAlign w:val="center"/>
          </w:tcPr>
          <w:p w14:paraId="52374E47">
            <w:pPr>
              <w:spacing w:line="240" w:lineRule="auto"/>
              <w:ind w:firstLine="0" w:firstLineChars="0"/>
              <w:jc w:val="center"/>
              <w:rPr>
                <w:b/>
                <w:color w:val="auto"/>
                <w:sz w:val="21"/>
                <w:szCs w:val="21"/>
              </w:rPr>
            </w:pPr>
            <w:r>
              <w:rPr>
                <w:b/>
                <w:color w:val="auto"/>
                <w:sz w:val="21"/>
                <w:szCs w:val="21"/>
              </w:rPr>
              <w:t>总面积</w:t>
            </w:r>
          </w:p>
        </w:tc>
        <w:tc>
          <w:tcPr>
            <w:tcW w:w="612" w:type="pct"/>
            <w:vMerge w:val="continue"/>
            <w:tcBorders>
              <w:tl2br w:val="nil"/>
              <w:tr2bl w:val="nil"/>
            </w:tcBorders>
            <w:shd w:val="clear" w:color="auto" w:fill="auto"/>
            <w:tcMar>
              <w:top w:w="10" w:type="dxa"/>
              <w:left w:w="10" w:type="dxa"/>
              <w:right w:w="10" w:type="dxa"/>
            </w:tcMar>
            <w:vAlign w:val="center"/>
          </w:tcPr>
          <w:p w14:paraId="2EC2E371">
            <w:pPr>
              <w:spacing w:line="240" w:lineRule="auto"/>
              <w:ind w:firstLine="0" w:firstLineChars="0"/>
              <w:jc w:val="center"/>
              <w:rPr>
                <w:b/>
                <w:color w:val="auto"/>
                <w:sz w:val="21"/>
                <w:szCs w:val="21"/>
              </w:rPr>
            </w:pPr>
          </w:p>
        </w:tc>
      </w:tr>
      <w:tr w14:paraId="23F0C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24" w:hRule="atLeast"/>
        </w:trPr>
        <w:tc>
          <w:tcPr>
            <w:tcW w:w="245" w:type="pct"/>
            <w:vMerge w:val="restart"/>
            <w:tcBorders>
              <w:tl2br w:val="nil"/>
              <w:tr2bl w:val="nil"/>
            </w:tcBorders>
            <w:shd w:val="clear" w:color="auto" w:fill="auto"/>
            <w:tcMar>
              <w:top w:w="10" w:type="dxa"/>
              <w:left w:w="10" w:type="dxa"/>
              <w:right w:w="10" w:type="dxa"/>
            </w:tcMar>
            <w:vAlign w:val="center"/>
          </w:tcPr>
          <w:p w14:paraId="56F297FF">
            <w:pPr>
              <w:widowControl/>
              <w:spacing w:line="240" w:lineRule="auto"/>
              <w:ind w:firstLine="0" w:firstLineChars="0"/>
              <w:jc w:val="center"/>
              <w:textAlignment w:val="center"/>
              <w:rPr>
                <w:color w:val="auto"/>
                <w:sz w:val="21"/>
                <w:szCs w:val="21"/>
              </w:rPr>
            </w:pPr>
            <w:r>
              <w:rPr>
                <w:color w:val="auto"/>
                <w:sz w:val="21"/>
                <w:szCs w:val="21"/>
              </w:rPr>
              <w:t>连云港市区</w:t>
            </w:r>
          </w:p>
        </w:tc>
        <w:tc>
          <w:tcPr>
            <w:tcW w:w="443" w:type="pct"/>
            <w:tcBorders>
              <w:tl2br w:val="nil"/>
              <w:tr2bl w:val="nil"/>
            </w:tcBorders>
            <w:shd w:val="clear" w:color="auto" w:fill="auto"/>
            <w:tcMar>
              <w:top w:w="10" w:type="dxa"/>
              <w:left w:w="10" w:type="dxa"/>
              <w:right w:w="10" w:type="dxa"/>
            </w:tcMar>
            <w:vAlign w:val="center"/>
          </w:tcPr>
          <w:p w14:paraId="33BE088D">
            <w:pPr>
              <w:spacing w:line="240" w:lineRule="auto"/>
              <w:ind w:firstLine="0" w:firstLineChars="0"/>
              <w:jc w:val="center"/>
              <w:textAlignment w:val="center"/>
              <w:rPr>
                <w:color w:val="auto"/>
                <w:sz w:val="21"/>
                <w:szCs w:val="21"/>
              </w:rPr>
            </w:pPr>
            <w:r>
              <w:rPr>
                <w:color w:val="auto"/>
                <w:sz w:val="21"/>
                <w:szCs w:val="21"/>
              </w:rPr>
              <w:t>连云港临洪河口省级湿地公园</w:t>
            </w:r>
          </w:p>
        </w:tc>
        <w:tc>
          <w:tcPr>
            <w:tcW w:w="430" w:type="pct"/>
            <w:tcBorders>
              <w:tl2br w:val="nil"/>
              <w:tr2bl w:val="nil"/>
            </w:tcBorders>
            <w:shd w:val="clear" w:color="auto" w:fill="auto"/>
            <w:tcMar>
              <w:top w:w="10" w:type="dxa"/>
              <w:left w:w="10" w:type="dxa"/>
              <w:right w:w="10" w:type="dxa"/>
            </w:tcMar>
            <w:vAlign w:val="center"/>
          </w:tcPr>
          <w:p w14:paraId="1C5AC6D1">
            <w:pPr>
              <w:spacing w:line="240" w:lineRule="auto"/>
              <w:ind w:firstLine="0" w:firstLineChars="0"/>
              <w:jc w:val="center"/>
              <w:textAlignment w:val="center"/>
              <w:rPr>
                <w:color w:val="auto"/>
                <w:sz w:val="21"/>
                <w:szCs w:val="21"/>
              </w:rPr>
            </w:pPr>
            <w:r>
              <w:rPr>
                <w:color w:val="auto"/>
                <w:sz w:val="21"/>
                <w:szCs w:val="21"/>
              </w:rPr>
              <w:t>湿地生态系统保护</w:t>
            </w:r>
          </w:p>
        </w:tc>
        <w:tc>
          <w:tcPr>
            <w:tcW w:w="609" w:type="pct"/>
            <w:tcBorders>
              <w:tl2br w:val="nil"/>
              <w:tr2bl w:val="nil"/>
            </w:tcBorders>
            <w:shd w:val="clear" w:color="auto" w:fill="auto"/>
            <w:tcMar>
              <w:top w:w="10" w:type="dxa"/>
              <w:left w:w="10" w:type="dxa"/>
              <w:right w:w="10" w:type="dxa"/>
            </w:tcMar>
            <w:vAlign w:val="center"/>
          </w:tcPr>
          <w:p w14:paraId="6189FF3D">
            <w:pPr>
              <w:spacing w:line="240" w:lineRule="auto"/>
              <w:ind w:firstLine="0" w:firstLineChars="0"/>
              <w:jc w:val="center"/>
              <w:rPr>
                <w:color w:val="auto"/>
                <w:sz w:val="21"/>
                <w:szCs w:val="21"/>
              </w:rPr>
            </w:pPr>
            <w:r>
              <w:rPr>
                <w:color w:val="auto"/>
                <w:sz w:val="21"/>
                <w:szCs w:val="21"/>
              </w:rPr>
              <w:t>连云港临洪河口省级湿地公园总体规划中确定的范围（包括湿地保育区和恢复重建区等）</w:t>
            </w:r>
          </w:p>
        </w:tc>
        <w:tc>
          <w:tcPr>
            <w:tcW w:w="1031" w:type="pct"/>
            <w:tcBorders>
              <w:tl2br w:val="nil"/>
              <w:tr2bl w:val="nil"/>
            </w:tcBorders>
            <w:shd w:val="clear" w:color="auto" w:fill="auto"/>
            <w:tcMar>
              <w:top w:w="10" w:type="dxa"/>
              <w:left w:w="10" w:type="dxa"/>
              <w:right w:w="10" w:type="dxa"/>
            </w:tcMar>
            <w:vAlign w:val="center"/>
          </w:tcPr>
          <w:p w14:paraId="0611B3A9">
            <w:pPr>
              <w:spacing w:line="240" w:lineRule="auto"/>
              <w:ind w:firstLine="0" w:firstLineChars="0"/>
              <w:jc w:val="center"/>
              <w:textAlignment w:val="center"/>
              <w:rPr>
                <w:color w:val="auto"/>
                <w:sz w:val="21"/>
                <w:szCs w:val="21"/>
              </w:rPr>
            </w:pPr>
            <w:r>
              <w:rPr>
                <w:color w:val="auto"/>
                <w:sz w:val="21"/>
                <w:szCs w:val="21"/>
              </w:rPr>
              <w:t>连云港临洪河口省级湿地公园总体规划中的合理利用区和宣教展示区范围</w:t>
            </w:r>
          </w:p>
        </w:tc>
        <w:tc>
          <w:tcPr>
            <w:tcW w:w="391" w:type="pct"/>
            <w:tcBorders>
              <w:tl2br w:val="nil"/>
              <w:tr2bl w:val="nil"/>
            </w:tcBorders>
            <w:shd w:val="clear" w:color="auto" w:fill="auto"/>
            <w:tcMar>
              <w:top w:w="10" w:type="dxa"/>
              <w:left w:w="10" w:type="dxa"/>
              <w:right w:w="10" w:type="dxa"/>
            </w:tcMar>
            <w:vAlign w:val="center"/>
          </w:tcPr>
          <w:p w14:paraId="70260E78">
            <w:pPr>
              <w:spacing w:line="240" w:lineRule="auto"/>
              <w:ind w:firstLine="0" w:firstLineChars="0"/>
              <w:jc w:val="center"/>
              <w:rPr>
                <w:color w:val="auto"/>
                <w:sz w:val="21"/>
                <w:szCs w:val="21"/>
              </w:rPr>
            </w:pPr>
            <w:r>
              <w:rPr>
                <w:color w:val="auto"/>
                <w:sz w:val="21"/>
                <w:szCs w:val="21"/>
              </w:rPr>
              <w:t>21.98</w:t>
            </w:r>
          </w:p>
        </w:tc>
        <w:tc>
          <w:tcPr>
            <w:tcW w:w="692" w:type="pct"/>
            <w:tcBorders>
              <w:tl2br w:val="nil"/>
              <w:tr2bl w:val="nil"/>
            </w:tcBorders>
            <w:shd w:val="clear" w:color="auto" w:fill="auto"/>
            <w:tcMar>
              <w:top w:w="10" w:type="dxa"/>
              <w:left w:w="10" w:type="dxa"/>
              <w:right w:w="10" w:type="dxa"/>
            </w:tcMar>
            <w:vAlign w:val="center"/>
          </w:tcPr>
          <w:p w14:paraId="7F05F4A5">
            <w:pPr>
              <w:spacing w:line="240" w:lineRule="auto"/>
              <w:ind w:firstLine="0" w:firstLineChars="0"/>
              <w:jc w:val="center"/>
              <w:textAlignment w:val="center"/>
              <w:rPr>
                <w:color w:val="auto"/>
                <w:sz w:val="21"/>
                <w:szCs w:val="21"/>
              </w:rPr>
            </w:pPr>
            <w:r>
              <w:rPr>
                <w:color w:val="auto"/>
                <w:sz w:val="21"/>
                <w:szCs w:val="21"/>
              </w:rPr>
              <w:t>1.55</w:t>
            </w:r>
          </w:p>
        </w:tc>
        <w:tc>
          <w:tcPr>
            <w:tcW w:w="544" w:type="pct"/>
            <w:tcBorders>
              <w:tl2br w:val="nil"/>
              <w:tr2bl w:val="nil"/>
            </w:tcBorders>
            <w:shd w:val="clear" w:color="auto" w:fill="auto"/>
            <w:tcMar>
              <w:top w:w="10" w:type="dxa"/>
              <w:left w:w="10" w:type="dxa"/>
              <w:right w:w="10" w:type="dxa"/>
            </w:tcMar>
            <w:vAlign w:val="center"/>
          </w:tcPr>
          <w:p w14:paraId="2287633E">
            <w:pPr>
              <w:spacing w:line="240" w:lineRule="auto"/>
              <w:ind w:firstLine="0" w:firstLineChars="0"/>
              <w:jc w:val="center"/>
              <w:textAlignment w:val="center"/>
              <w:rPr>
                <w:color w:val="auto"/>
                <w:sz w:val="21"/>
                <w:szCs w:val="21"/>
              </w:rPr>
            </w:pPr>
            <w:r>
              <w:rPr>
                <w:color w:val="auto"/>
                <w:sz w:val="21"/>
                <w:szCs w:val="21"/>
              </w:rPr>
              <w:t>23.53</w:t>
            </w:r>
          </w:p>
        </w:tc>
        <w:tc>
          <w:tcPr>
            <w:tcW w:w="612" w:type="pct"/>
            <w:tcBorders>
              <w:tl2br w:val="nil"/>
              <w:tr2bl w:val="nil"/>
            </w:tcBorders>
            <w:shd w:val="clear" w:color="auto" w:fill="auto"/>
            <w:tcMar>
              <w:top w:w="10" w:type="dxa"/>
              <w:left w:w="10" w:type="dxa"/>
              <w:right w:w="10" w:type="dxa"/>
            </w:tcMar>
            <w:vAlign w:val="center"/>
          </w:tcPr>
          <w:p w14:paraId="3EF6FA65">
            <w:pPr>
              <w:widowControl/>
              <w:spacing w:line="240" w:lineRule="auto"/>
              <w:ind w:firstLine="0" w:firstLineChars="0"/>
              <w:jc w:val="center"/>
              <w:textAlignment w:val="center"/>
              <w:rPr>
                <w:color w:val="auto"/>
                <w:sz w:val="21"/>
                <w:szCs w:val="21"/>
              </w:rPr>
            </w:pPr>
            <w:r>
              <w:rPr>
                <w:color w:val="auto"/>
                <w:sz w:val="21"/>
                <w:szCs w:val="21"/>
              </w:rPr>
              <w:t>W/2.44km</w:t>
            </w:r>
          </w:p>
        </w:tc>
      </w:tr>
      <w:tr w14:paraId="7661DB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5" w:type="pct"/>
            <w:vMerge w:val="continue"/>
            <w:tcBorders>
              <w:tl2br w:val="nil"/>
              <w:tr2bl w:val="nil"/>
            </w:tcBorders>
            <w:shd w:val="clear" w:color="auto" w:fill="auto"/>
            <w:tcMar>
              <w:top w:w="10" w:type="dxa"/>
              <w:left w:w="10" w:type="dxa"/>
              <w:right w:w="10" w:type="dxa"/>
            </w:tcMar>
            <w:vAlign w:val="center"/>
          </w:tcPr>
          <w:p w14:paraId="6769B200">
            <w:pPr>
              <w:widowControl/>
              <w:spacing w:line="240" w:lineRule="auto"/>
              <w:ind w:firstLine="0" w:firstLineChars="0"/>
              <w:jc w:val="center"/>
              <w:textAlignment w:val="center"/>
              <w:rPr>
                <w:color w:val="auto"/>
                <w:sz w:val="21"/>
                <w:szCs w:val="21"/>
              </w:rPr>
            </w:pPr>
          </w:p>
        </w:tc>
        <w:tc>
          <w:tcPr>
            <w:tcW w:w="443" w:type="pct"/>
            <w:tcBorders>
              <w:tl2br w:val="nil"/>
              <w:tr2bl w:val="nil"/>
            </w:tcBorders>
            <w:shd w:val="clear" w:color="auto" w:fill="auto"/>
            <w:tcMar>
              <w:top w:w="10" w:type="dxa"/>
              <w:left w:w="10" w:type="dxa"/>
              <w:right w:w="10" w:type="dxa"/>
            </w:tcMar>
            <w:vAlign w:val="center"/>
          </w:tcPr>
          <w:p w14:paraId="5CDE9333">
            <w:pPr>
              <w:widowControl/>
              <w:spacing w:line="240" w:lineRule="auto"/>
              <w:ind w:firstLine="0" w:firstLineChars="0"/>
              <w:jc w:val="center"/>
              <w:textAlignment w:val="center"/>
              <w:rPr>
                <w:color w:val="auto"/>
                <w:sz w:val="21"/>
                <w:szCs w:val="21"/>
              </w:rPr>
            </w:pPr>
            <w:r>
              <w:rPr>
                <w:color w:val="auto"/>
                <w:sz w:val="21"/>
                <w:szCs w:val="21"/>
              </w:rPr>
              <w:t>临洪河重要湿地</w:t>
            </w:r>
          </w:p>
        </w:tc>
        <w:tc>
          <w:tcPr>
            <w:tcW w:w="430" w:type="pct"/>
            <w:tcBorders>
              <w:tl2br w:val="nil"/>
              <w:tr2bl w:val="nil"/>
            </w:tcBorders>
            <w:shd w:val="clear" w:color="auto" w:fill="auto"/>
            <w:tcMar>
              <w:top w:w="10" w:type="dxa"/>
              <w:left w:w="10" w:type="dxa"/>
              <w:right w:w="10" w:type="dxa"/>
            </w:tcMar>
            <w:vAlign w:val="center"/>
          </w:tcPr>
          <w:p w14:paraId="61C1E644">
            <w:pPr>
              <w:widowControl/>
              <w:spacing w:line="240" w:lineRule="auto"/>
              <w:ind w:firstLine="0" w:firstLineChars="0"/>
              <w:jc w:val="center"/>
              <w:textAlignment w:val="center"/>
              <w:rPr>
                <w:color w:val="auto"/>
                <w:sz w:val="21"/>
                <w:szCs w:val="21"/>
              </w:rPr>
            </w:pPr>
            <w:r>
              <w:rPr>
                <w:color w:val="auto"/>
                <w:sz w:val="21"/>
                <w:szCs w:val="21"/>
              </w:rPr>
              <w:t>湿地生态系统保护</w:t>
            </w:r>
          </w:p>
        </w:tc>
        <w:tc>
          <w:tcPr>
            <w:tcW w:w="609" w:type="pct"/>
            <w:tcBorders>
              <w:tl2br w:val="nil"/>
              <w:tr2bl w:val="nil"/>
            </w:tcBorders>
            <w:shd w:val="clear" w:color="auto" w:fill="auto"/>
            <w:tcMar>
              <w:top w:w="10" w:type="dxa"/>
              <w:left w:w="10" w:type="dxa"/>
              <w:right w:w="10" w:type="dxa"/>
            </w:tcMar>
            <w:vAlign w:val="center"/>
          </w:tcPr>
          <w:p w14:paraId="66AB9744">
            <w:pPr>
              <w:widowControl/>
              <w:spacing w:line="240" w:lineRule="auto"/>
              <w:ind w:firstLine="0" w:firstLineChars="0"/>
              <w:jc w:val="center"/>
              <w:textAlignment w:val="center"/>
              <w:rPr>
                <w:color w:val="auto"/>
                <w:sz w:val="21"/>
                <w:szCs w:val="21"/>
              </w:rPr>
            </w:pPr>
            <w:r>
              <w:rPr>
                <w:color w:val="auto"/>
                <w:sz w:val="21"/>
                <w:szCs w:val="21"/>
              </w:rPr>
              <w:t>/</w:t>
            </w:r>
          </w:p>
        </w:tc>
        <w:tc>
          <w:tcPr>
            <w:tcW w:w="1031" w:type="pct"/>
            <w:tcBorders>
              <w:tl2br w:val="nil"/>
              <w:tr2bl w:val="nil"/>
            </w:tcBorders>
            <w:shd w:val="clear" w:color="auto" w:fill="auto"/>
            <w:tcMar>
              <w:top w:w="10" w:type="dxa"/>
              <w:left w:w="10" w:type="dxa"/>
              <w:right w:w="10" w:type="dxa"/>
            </w:tcMar>
            <w:vAlign w:val="center"/>
          </w:tcPr>
          <w:p w14:paraId="5FD7005D">
            <w:pPr>
              <w:widowControl/>
              <w:spacing w:line="240" w:lineRule="auto"/>
              <w:ind w:firstLine="0" w:firstLineChars="0"/>
              <w:jc w:val="center"/>
              <w:textAlignment w:val="center"/>
              <w:rPr>
                <w:color w:val="auto"/>
                <w:sz w:val="21"/>
                <w:szCs w:val="21"/>
              </w:rPr>
            </w:pPr>
            <w:r>
              <w:rPr>
                <w:color w:val="auto"/>
                <w:sz w:val="21"/>
                <w:szCs w:val="21"/>
              </w:rPr>
              <w:t>位于临洪河两侧，自太平庄闸至入海口，全长约14公里，宽1-2公里</w:t>
            </w:r>
          </w:p>
        </w:tc>
        <w:tc>
          <w:tcPr>
            <w:tcW w:w="391" w:type="pct"/>
            <w:tcBorders>
              <w:tl2br w:val="nil"/>
              <w:tr2bl w:val="nil"/>
            </w:tcBorders>
            <w:shd w:val="clear" w:color="auto" w:fill="auto"/>
            <w:tcMar>
              <w:top w:w="10" w:type="dxa"/>
              <w:left w:w="10" w:type="dxa"/>
              <w:right w:w="10" w:type="dxa"/>
            </w:tcMar>
            <w:vAlign w:val="center"/>
          </w:tcPr>
          <w:p w14:paraId="5635E8DE">
            <w:pPr>
              <w:widowControl/>
              <w:spacing w:line="240" w:lineRule="auto"/>
              <w:ind w:firstLine="0" w:firstLineChars="0"/>
              <w:jc w:val="center"/>
              <w:textAlignment w:val="center"/>
              <w:rPr>
                <w:color w:val="auto"/>
                <w:sz w:val="21"/>
                <w:szCs w:val="21"/>
              </w:rPr>
            </w:pPr>
            <w:r>
              <w:rPr>
                <w:color w:val="auto"/>
                <w:sz w:val="21"/>
                <w:szCs w:val="21"/>
              </w:rPr>
              <w:t>/</w:t>
            </w:r>
          </w:p>
        </w:tc>
        <w:tc>
          <w:tcPr>
            <w:tcW w:w="692" w:type="pct"/>
            <w:tcBorders>
              <w:tl2br w:val="nil"/>
              <w:tr2bl w:val="nil"/>
            </w:tcBorders>
            <w:shd w:val="clear" w:color="auto" w:fill="auto"/>
            <w:tcMar>
              <w:top w:w="10" w:type="dxa"/>
              <w:left w:w="10" w:type="dxa"/>
              <w:right w:w="10" w:type="dxa"/>
            </w:tcMar>
            <w:vAlign w:val="center"/>
          </w:tcPr>
          <w:p w14:paraId="6D337ADE">
            <w:pPr>
              <w:widowControl/>
              <w:spacing w:line="240" w:lineRule="auto"/>
              <w:ind w:firstLine="0" w:firstLineChars="0"/>
              <w:jc w:val="center"/>
              <w:textAlignment w:val="center"/>
              <w:rPr>
                <w:color w:val="auto"/>
                <w:sz w:val="21"/>
                <w:szCs w:val="21"/>
              </w:rPr>
            </w:pPr>
            <w:r>
              <w:rPr>
                <w:color w:val="auto"/>
                <w:sz w:val="21"/>
                <w:szCs w:val="21"/>
              </w:rPr>
              <w:t>28.00</w:t>
            </w:r>
          </w:p>
        </w:tc>
        <w:tc>
          <w:tcPr>
            <w:tcW w:w="544" w:type="pct"/>
            <w:tcBorders>
              <w:tl2br w:val="nil"/>
              <w:tr2bl w:val="nil"/>
            </w:tcBorders>
            <w:shd w:val="clear" w:color="auto" w:fill="auto"/>
            <w:tcMar>
              <w:top w:w="10" w:type="dxa"/>
              <w:left w:w="10" w:type="dxa"/>
              <w:right w:w="10" w:type="dxa"/>
            </w:tcMar>
            <w:vAlign w:val="center"/>
          </w:tcPr>
          <w:p w14:paraId="6AFD77E7">
            <w:pPr>
              <w:widowControl/>
              <w:spacing w:line="240" w:lineRule="auto"/>
              <w:ind w:firstLine="0" w:firstLineChars="0"/>
              <w:jc w:val="center"/>
              <w:textAlignment w:val="center"/>
              <w:rPr>
                <w:color w:val="auto"/>
                <w:sz w:val="21"/>
                <w:szCs w:val="21"/>
              </w:rPr>
            </w:pPr>
            <w:r>
              <w:rPr>
                <w:color w:val="auto"/>
                <w:sz w:val="21"/>
                <w:szCs w:val="21"/>
              </w:rPr>
              <w:t>28.00</w:t>
            </w:r>
          </w:p>
        </w:tc>
        <w:tc>
          <w:tcPr>
            <w:tcW w:w="612" w:type="pct"/>
            <w:tcBorders>
              <w:tl2br w:val="nil"/>
              <w:tr2bl w:val="nil"/>
            </w:tcBorders>
            <w:shd w:val="clear" w:color="auto" w:fill="auto"/>
            <w:tcMar>
              <w:top w:w="10" w:type="dxa"/>
              <w:left w:w="10" w:type="dxa"/>
              <w:right w:w="10" w:type="dxa"/>
            </w:tcMar>
            <w:vAlign w:val="center"/>
          </w:tcPr>
          <w:p w14:paraId="18EDD06E">
            <w:pPr>
              <w:widowControl/>
              <w:spacing w:line="240" w:lineRule="auto"/>
              <w:ind w:firstLine="0" w:firstLineChars="0"/>
              <w:jc w:val="center"/>
              <w:textAlignment w:val="center"/>
              <w:rPr>
                <w:color w:val="auto"/>
                <w:sz w:val="21"/>
                <w:szCs w:val="21"/>
              </w:rPr>
            </w:pPr>
            <w:r>
              <w:rPr>
                <w:color w:val="auto"/>
                <w:sz w:val="21"/>
                <w:szCs w:val="21"/>
              </w:rPr>
              <w:t>W/2.54km</w:t>
            </w:r>
          </w:p>
        </w:tc>
      </w:tr>
      <w:tr w14:paraId="6EA55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5" w:type="pct"/>
            <w:tcBorders>
              <w:tl2br w:val="nil"/>
              <w:tr2bl w:val="nil"/>
            </w:tcBorders>
            <w:shd w:val="clear" w:color="auto" w:fill="auto"/>
            <w:tcMar>
              <w:top w:w="10" w:type="dxa"/>
              <w:left w:w="10" w:type="dxa"/>
              <w:right w:w="10" w:type="dxa"/>
            </w:tcMar>
            <w:vAlign w:val="center"/>
          </w:tcPr>
          <w:p w14:paraId="231BCDC5">
            <w:pPr>
              <w:widowControl/>
              <w:spacing w:line="240" w:lineRule="auto"/>
              <w:ind w:firstLine="0" w:firstLineChars="0"/>
              <w:jc w:val="center"/>
              <w:textAlignment w:val="center"/>
              <w:rPr>
                <w:color w:val="auto"/>
                <w:sz w:val="21"/>
                <w:szCs w:val="21"/>
              </w:rPr>
            </w:pPr>
            <w:r>
              <w:rPr>
                <w:color w:val="auto"/>
                <w:sz w:val="21"/>
                <w:szCs w:val="21"/>
              </w:rPr>
              <w:t>赣榆区</w:t>
            </w:r>
          </w:p>
        </w:tc>
        <w:tc>
          <w:tcPr>
            <w:tcW w:w="443" w:type="pct"/>
            <w:tcBorders>
              <w:tl2br w:val="nil"/>
              <w:tr2bl w:val="nil"/>
            </w:tcBorders>
            <w:shd w:val="clear" w:color="auto" w:fill="auto"/>
            <w:tcMar>
              <w:top w:w="10" w:type="dxa"/>
              <w:left w:w="10" w:type="dxa"/>
              <w:right w:w="10" w:type="dxa"/>
            </w:tcMar>
            <w:vAlign w:val="center"/>
          </w:tcPr>
          <w:p w14:paraId="7CB1C3B9">
            <w:pPr>
              <w:widowControl/>
              <w:spacing w:line="240" w:lineRule="auto"/>
              <w:ind w:firstLine="0" w:firstLineChars="0"/>
              <w:jc w:val="center"/>
              <w:textAlignment w:val="center"/>
              <w:rPr>
                <w:color w:val="auto"/>
                <w:sz w:val="21"/>
                <w:szCs w:val="21"/>
              </w:rPr>
            </w:pPr>
            <w:r>
              <w:rPr>
                <w:color w:val="auto"/>
                <w:sz w:val="21"/>
                <w:szCs w:val="21"/>
              </w:rPr>
              <w:t>通榆河（赣榆区）清水通道维护区</w:t>
            </w:r>
          </w:p>
        </w:tc>
        <w:tc>
          <w:tcPr>
            <w:tcW w:w="430" w:type="pct"/>
            <w:tcBorders>
              <w:tl2br w:val="nil"/>
              <w:tr2bl w:val="nil"/>
            </w:tcBorders>
            <w:shd w:val="clear" w:color="auto" w:fill="auto"/>
            <w:tcMar>
              <w:top w:w="10" w:type="dxa"/>
              <w:left w:w="10" w:type="dxa"/>
              <w:right w:w="10" w:type="dxa"/>
            </w:tcMar>
            <w:vAlign w:val="center"/>
          </w:tcPr>
          <w:p w14:paraId="4AAE8326">
            <w:pPr>
              <w:widowControl/>
              <w:spacing w:line="240" w:lineRule="auto"/>
              <w:ind w:firstLine="0" w:firstLineChars="0"/>
              <w:jc w:val="center"/>
              <w:textAlignment w:val="center"/>
              <w:rPr>
                <w:color w:val="auto"/>
                <w:sz w:val="21"/>
                <w:szCs w:val="21"/>
              </w:rPr>
            </w:pPr>
            <w:r>
              <w:rPr>
                <w:color w:val="auto"/>
                <w:sz w:val="21"/>
                <w:szCs w:val="21"/>
              </w:rPr>
              <w:t>水源水质保护</w:t>
            </w:r>
          </w:p>
        </w:tc>
        <w:tc>
          <w:tcPr>
            <w:tcW w:w="609" w:type="pct"/>
            <w:tcBorders>
              <w:tl2br w:val="nil"/>
              <w:tr2bl w:val="nil"/>
            </w:tcBorders>
            <w:shd w:val="clear" w:color="auto" w:fill="auto"/>
            <w:tcMar>
              <w:top w:w="10" w:type="dxa"/>
              <w:left w:w="10" w:type="dxa"/>
              <w:right w:w="10" w:type="dxa"/>
            </w:tcMar>
            <w:vAlign w:val="center"/>
          </w:tcPr>
          <w:p w14:paraId="23EA14DC">
            <w:pPr>
              <w:widowControl/>
              <w:spacing w:line="240" w:lineRule="auto"/>
              <w:ind w:firstLine="0" w:firstLineChars="0"/>
              <w:jc w:val="center"/>
              <w:textAlignment w:val="center"/>
              <w:rPr>
                <w:color w:val="auto"/>
                <w:sz w:val="21"/>
                <w:szCs w:val="21"/>
              </w:rPr>
            </w:pPr>
            <w:r>
              <w:rPr>
                <w:color w:val="auto"/>
                <w:sz w:val="21"/>
                <w:szCs w:val="21"/>
              </w:rPr>
              <w:t>/</w:t>
            </w:r>
          </w:p>
        </w:tc>
        <w:tc>
          <w:tcPr>
            <w:tcW w:w="1031" w:type="pct"/>
            <w:tcBorders>
              <w:tl2br w:val="nil"/>
              <w:tr2bl w:val="nil"/>
            </w:tcBorders>
            <w:shd w:val="clear" w:color="auto" w:fill="auto"/>
            <w:tcMar>
              <w:top w:w="10" w:type="dxa"/>
              <w:left w:w="10" w:type="dxa"/>
              <w:right w:w="10" w:type="dxa"/>
            </w:tcMar>
            <w:vAlign w:val="center"/>
          </w:tcPr>
          <w:p w14:paraId="662EFD68">
            <w:pPr>
              <w:widowControl/>
              <w:spacing w:line="240" w:lineRule="auto"/>
              <w:ind w:firstLine="0" w:firstLineChars="0"/>
              <w:jc w:val="center"/>
              <w:textAlignment w:val="center"/>
              <w:rPr>
                <w:color w:val="auto"/>
                <w:sz w:val="21"/>
                <w:szCs w:val="21"/>
              </w:rPr>
            </w:pPr>
            <w:r>
              <w:rPr>
                <w:color w:val="auto"/>
                <w:sz w:val="21"/>
                <w:szCs w:val="21"/>
              </w:rPr>
              <w:t>括通榆河一级保护区和二级保护区。一级保护区：通榆河（赣榆段）南起沭北闸，北至东温庄水库，全长29公里及其两侧各1000米。二级保护区：新沭河北侧河道及其北侧1000米，与通榆河平交6个河道（范河、朱稽河、青口河、兴庄河、官庄河、韩口河）上游5000米及其两侧各1000米</w:t>
            </w:r>
          </w:p>
        </w:tc>
        <w:tc>
          <w:tcPr>
            <w:tcW w:w="391" w:type="pct"/>
            <w:tcBorders>
              <w:tl2br w:val="nil"/>
              <w:tr2bl w:val="nil"/>
            </w:tcBorders>
            <w:shd w:val="clear" w:color="auto" w:fill="auto"/>
            <w:tcMar>
              <w:top w:w="10" w:type="dxa"/>
              <w:left w:w="10" w:type="dxa"/>
              <w:right w:w="10" w:type="dxa"/>
            </w:tcMar>
            <w:vAlign w:val="center"/>
          </w:tcPr>
          <w:p w14:paraId="33BC758B">
            <w:pPr>
              <w:widowControl/>
              <w:spacing w:line="240" w:lineRule="auto"/>
              <w:ind w:firstLine="0" w:firstLineChars="0"/>
              <w:jc w:val="center"/>
              <w:textAlignment w:val="center"/>
              <w:rPr>
                <w:color w:val="auto"/>
                <w:sz w:val="21"/>
                <w:szCs w:val="21"/>
              </w:rPr>
            </w:pPr>
            <w:r>
              <w:rPr>
                <w:color w:val="auto"/>
                <w:sz w:val="21"/>
                <w:szCs w:val="21"/>
              </w:rPr>
              <w:t>/</w:t>
            </w:r>
          </w:p>
        </w:tc>
        <w:tc>
          <w:tcPr>
            <w:tcW w:w="692" w:type="pct"/>
            <w:tcBorders>
              <w:tl2br w:val="nil"/>
              <w:tr2bl w:val="nil"/>
            </w:tcBorders>
            <w:shd w:val="clear" w:color="auto" w:fill="auto"/>
            <w:tcMar>
              <w:top w:w="10" w:type="dxa"/>
              <w:left w:w="10" w:type="dxa"/>
              <w:right w:w="10" w:type="dxa"/>
            </w:tcMar>
            <w:vAlign w:val="center"/>
          </w:tcPr>
          <w:p w14:paraId="5FF62B83">
            <w:pPr>
              <w:widowControl/>
              <w:spacing w:line="240" w:lineRule="auto"/>
              <w:ind w:firstLine="0" w:firstLineChars="0"/>
              <w:jc w:val="center"/>
              <w:textAlignment w:val="center"/>
              <w:rPr>
                <w:color w:val="auto"/>
                <w:sz w:val="21"/>
                <w:szCs w:val="21"/>
              </w:rPr>
            </w:pPr>
            <w:r>
              <w:rPr>
                <w:color w:val="auto"/>
                <w:sz w:val="21"/>
                <w:szCs w:val="21"/>
              </w:rPr>
              <w:t>144.88</w:t>
            </w:r>
          </w:p>
        </w:tc>
        <w:tc>
          <w:tcPr>
            <w:tcW w:w="544" w:type="pct"/>
            <w:tcBorders>
              <w:tl2br w:val="nil"/>
              <w:tr2bl w:val="nil"/>
            </w:tcBorders>
            <w:shd w:val="clear" w:color="auto" w:fill="auto"/>
            <w:tcMar>
              <w:top w:w="10" w:type="dxa"/>
              <w:left w:w="10" w:type="dxa"/>
              <w:right w:w="10" w:type="dxa"/>
            </w:tcMar>
            <w:vAlign w:val="center"/>
          </w:tcPr>
          <w:p w14:paraId="01F02E84">
            <w:pPr>
              <w:widowControl/>
              <w:spacing w:line="240" w:lineRule="auto"/>
              <w:ind w:firstLine="0" w:firstLineChars="0"/>
              <w:jc w:val="center"/>
              <w:textAlignment w:val="center"/>
              <w:rPr>
                <w:color w:val="auto"/>
                <w:sz w:val="21"/>
                <w:szCs w:val="21"/>
              </w:rPr>
            </w:pPr>
            <w:r>
              <w:rPr>
                <w:color w:val="auto"/>
                <w:sz w:val="21"/>
                <w:szCs w:val="21"/>
              </w:rPr>
              <w:t>144.88</w:t>
            </w:r>
          </w:p>
        </w:tc>
        <w:tc>
          <w:tcPr>
            <w:tcW w:w="612" w:type="pct"/>
            <w:tcBorders>
              <w:tl2br w:val="nil"/>
              <w:tr2bl w:val="nil"/>
            </w:tcBorders>
            <w:shd w:val="clear" w:color="auto" w:fill="auto"/>
            <w:tcMar>
              <w:top w:w="10" w:type="dxa"/>
              <w:left w:w="10" w:type="dxa"/>
              <w:right w:w="10" w:type="dxa"/>
            </w:tcMar>
            <w:vAlign w:val="center"/>
          </w:tcPr>
          <w:p w14:paraId="76351CF8">
            <w:pPr>
              <w:widowControl/>
              <w:spacing w:line="240" w:lineRule="auto"/>
              <w:ind w:firstLine="0" w:firstLineChars="0"/>
              <w:jc w:val="center"/>
              <w:textAlignment w:val="center"/>
              <w:rPr>
                <w:color w:val="auto"/>
                <w:sz w:val="21"/>
                <w:szCs w:val="21"/>
              </w:rPr>
            </w:pPr>
            <w:r>
              <w:rPr>
                <w:color w:val="auto"/>
                <w:sz w:val="21"/>
                <w:szCs w:val="21"/>
              </w:rPr>
              <w:t>W/4.95km</w:t>
            </w:r>
          </w:p>
        </w:tc>
      </w:tr>
      <w:tr w14:paraId="7B32B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5" w:type="pct"/>
            <w:tcBorders>
              <w:tl2br w:val="nil"/>
              <w:tr2bl w:val="nil"/>
            </w:tcBorders>
            <w:shd w:val="clear" w:color="auto" w:fill="auto"/>
            <w:tcMar>
              <w:top w:w="10" w:type="dxa"/>
              <w:left w:w="10" w:type="dxa"/>
              <w:right w:w="10" w:type="dxa"/>
            </w:tcMar>
            <w:vAlign w:val="center"/>
          </w:tcPr>
          <w:p w14:paraId="5911BD17">
            <w:pPr>
              <w:widowControl/>
              <w:spacing w:line="240" w:lineRule="auto"/>
              <w:ind w:firstLine="0" w:firstLineChars="0"/>
              <w:jc w:val="center"/>
              <w:textAlignment w:val="center"/>
              <w:rPr>
                <w:color w:val="auto"/>
                <w:sz w:val="21"/>
                <w:szCs w:val="21"/>
              </w:rPr>
            </w:pPr>
            <w:r>
              <w:rPr>
                <w:color w:val="auto"/>
                <w:sz w:val="21"/>
                <w:szCs w:val="21"/>
              </w:rPr>
              <w:t>连云区</w:t>
            </w:r>
          </w:p>
        </w:tc>
        <w:tc>
          <w:tcPr>
            <w:tcW w:w="443" w:type="pct"/>
            <w:tcBorders>
              <w:tl2br w:val="nil"/>
              <w:tr2bl w:val="nil"/>
            </w:tcBorders>
            <w:shd w:val="clear" w:color="auto" w:fill="auto"/>
            <w:tcMar>
              <w:top w:w="10" w:type="dxa"/>
              <w:left w:w="10" w:type="dxa"/>
              <w:right w:w="10" w:type="dxa"/>
            </w:tcMar>
            <w:vAlign w:val="center"/>
          </w:tcPr>
          <w:p w14:paraId="189013C5">
            <w:pPr>
              <w:widowControl/>
              <w:spacing w:line="240" w:lineRule="auto"/>
              <w:ind w:firstLine="0" w:firstLineChars="0"/>
              <w:jc w:val="center"/>
              <w:textAlignment w:val="center"/>
              <w:rPr>
                <w:color w:val="auto"/>
                <w:sz w:val="21"/>
                <w:szCs w:val="21"/>
              </w:rPr>
            </w:pPr>
            <w:r>
              <w:rPr>
                <w:color w:val="auto"/>
                <w:sz w:val="21"/>
                <w:szCs w:val="21"/>
              </w:rPr>
              <w:t>云台山风景名胜区</w:t>
            </w:r>
          </w:p>
        </w:tc>
        <w:tc>
          <w:tcPr>
            <w:tcW w:w="430" w:type="pct"/>
            <w:tcBorders>
              <w:tl2br w:val="nil"/>
              <w:tr2bl w:val="nil"/>
            </w:tcBorders>
            <w:shd w:val="clear" w:color="auto" w:fill="auto"/>
            <w:tcMar>
              <w:top w:w="10" w:type="dxa"/>
              <w:left w:w="10" w:type="dxa"/>
              <w:right w:w="10" w:type="dxa"/>
            </w:tcMar>
            <w:vAlign w:val="center"/>
          </w:tcPr>
          <w:p w14:paraId="6A531C12">
            <w:pPr>
              <w:widowControl/>
              <w:spacing w:line="240" w:lineRule="auto"/>
              <w:ind w:firstLine="0" w:firstLineChars="0"/>
              <w:jc w:val="center"/>
              <w:textAlignment w:val="center"/>
              <w:rPr>
                <w:color w:val="auto"/>
                <w:sz w:val="21"/>
                <w:szCs w:val="21"/>
              </w:rPr>
            </w:pPr>
            <w:r>
              <w:rPr>
                <w:color w:val="auto"/>
                <w:sz w:val="21"/>
                <w:szCs w:val="21"/>
              </w:rPr>
              <w:t>生物多样性保护</w:t>
            </w:r>
          </w:p>
        </w:tc>
        <w:tc>
          <w:tcPr>
            <w:tcW w:w="609" w:type="pct"/>
            <w:tcBorders>
              <w:tl2br w:val="nil"/>
              <w:tr2bl w:val="nil"/>
            </w:tcBorders>
            <w:shd w:val="clear" w:color="auto" w:fill="auto"/>
            <w:tcMar>
              <w:top w:w="10" w:type="dxa"/>
              <w:left w:w="10" w:type="dxa"/>
              <w:right w:w="10" w:type="dxa"/>
            </w:tcMar>
            <w:vAlign w:val="center"/>
          </w:tcPr>
          <w:p w14:paraId="1168BE86">
            <w:pPr>
              <w:widowControl/>
              <w:spacing w:line="240" w:lineRule="auto"/>
              <w:ind w:firstLine="0" w:firstLineChars="0"/>
              <w:jc w:val="center"/>
              <w:textAlignment w:val="center"/>
              <w:rPr>
                <w:color w:val="auto"/>
                <w:sz w:val="21"/>
                <w:szCs w:val="21"/>
              </w:rPr>
            </w:pPr>
            <w:r>
              <w:rPr>
                <w:color w:val="auto"/>
                <w:sz w:val="21"/>
                <w:szCs w:val="21"/>
              </w:rPr>
              <w:t>云台山森林自然保护区的核心区、缓冲区和实验区</w:t>
            </w:r>
          </w:p>
        </w:tc>
        <w:tc>
          <w:tcPr>
            <w:tcW w:w="1031" w:type="pct"/>
            <w:tcBorders>
              <w:tl2br w:val="nil"/>
              <w:tr2bl w:val="nil"/>
            </w:tcBorders>
            <w:shd w:val="clear" w:color="auto" w:fill="auto"/>
            <w:tcMar>
              <w:top w:w="10" w:type="dxa"/>
              <w:left w:w="10" w:type="dxa"/>
              <w:right w:w="10" w:type="dxa"/>
            </w:tcMar>
            <w:vAlign w:val="center"/>
          </w:tcPr>
          <w:p w14:paraId="7A61E84D">
            <w:pPr>
              <w:widowControl/>
              <w:spacing w:line="240" w:lineRule="auto"/>
              <w:ind w:firstLine="0" w:firstLineChars="0"/>
              <w:jc w:val="center"/>
              <w:textAlignment w:val="center"/>
              <w:rPr>
                <w:color w:val="auto"/>
                <w:sz w:val="21"/>
                <w:szCs w:val="21"/>
              </w:rPr>
            </w:pPr>
            <w:r>
              <w:rPr>
                <w:color w:val="auto"/>
                <w:sz w:val="21"/>
                <w:szCs w:val="21"/>
              </w:rPr>
              <w:t>/</w:t>
            </w:r>
          </w:p>
        </w:tc>
        <w:tc>
          <w:tcPr>
            <w:tcW w:w="391" w:type="pct"/>
            <w:tcBorders>
              <w:tl2br w:val="nil"/>
              <w:tr2bl w:val="nil"/>
            </w:tcBorders>
            <w:shd w:val="clear" w:color="auto" w:fill="auto"/>
            <w:tcMar>
              <w:top w:w="10" w:type="dxa"/>
              <w:left w:w="10" w:type="dxa"/>
              <w:right w:w="10" w:type="dxa"/>
            </w:tcMar>
            <w:vAlign w:val="center"/>
          </w:tcPr>
          <w:p w14:paraId="1919D912">
            <w:pPr>
              <w:widowControl/>
              <w:spacing w:line="240" w:lineRule="auto"/>
              <w:ind w:firstLine="0" w:firstLineChars="0"/>
              <w:jc w:val="center"/>
              <w:textAlignment w:val="center"/>
              <w:rPr>
                <w:color w:val="auto"/>
                <w:sz w:val="21"/>
                <w:szCs w:val="21"/>
              </w:rPr>
            </w:pPr>
            <w:r>
              <w:rPr>
                <w:color w:val="auto"/>
                <w:sz w:val="21"/>
                <w:szCs w:val="21"/>
              </w:rPr>
              <w:t>0.67</w:t>
            </w:r>
          </w:p>
        </w:tc>
        <w:tc>
          <w:tcPr>
            <w:tcW w:w="692" w:type="pct"/>
            <w:tcBorders>
              <w:tl2br w:val="nil"/>
              <w:tr2bl w:val="nil"/>
            </w:tcBorders>
            <w:shd w:val="clear" w:color="auto" w:fill="auto"/>
            <w:tcMar>
              <w:top w:w="10" w:type="dxa"/>
              <w:left w:w="10" w:type="dxa"/>
              <w:right w:w="10" w:type="dxa"/>
            </w:tcMar>
            <w:vAlign w:val="center"/>
          </w:tcPr>
          <w:p w14:paraId="0FA94E33">
            <w:pPr>
              <w:widowControl/>
              <w:spacing w:line="240" w:lineRule="auto"/>
              <w:ind w:firstLine="0" w:firstLineChars="0"/>
              <w:jc w:val="center"/>
              <w:textAlignment w:val="center"/>
              <w:rPr>
                <w:color w:val="auto"/>
                <w:sz w:val="21"/>
                <w:szCs w:val="21"/>
              </w:rPr>
            </w:pPr>
            <w:r>
              <w:rPr>
                <w:color w:val="auto"/>
                <w:sz w:val="21"/>
                <w:szCs w:val="21"/>
              </w:rPr>
              <w:t>/</w:t>
            </w:r>
          </w:p>
        </w:tc>
        <w:tc>
          <w:tcPr>
            <w:tcW w:w="544" w:type="pct"/>
            <w:tcBorders>
              <w:tl2br w:val="nil"/>
              <w:tr2bl w:val="nil"/>
            </w:tcBorders>
            <w:shd w:val="clear" w:color="auto" w:fill="auto"/>
            <w:tcMar>
              <w:top w:w="10" w:type="dxa"/>
              <w:left w:w="10" w:type="dxa"/>
              <w:right w:w="10" w:type="dxa"/>
            </w:tcMar>
            <w:vAlign w:val="center"/>
          </w:tcPr>
          <w:p w14:paraId="6D29B904">
            <w:pPr>
              <w:widowControl/>
              <w:spacing w:line="240" w:lineRule="auto"/>
              <w:ind w:firstLine="0" w:firstLineChars="0"/>
              <w:jc w:val="center"/>
              <w:textAlignment w:val="center"/>
              <w:rPr>
                <w:color w:val="auto"/>
                <w:sz w:val="21"/>
                <w:szCs w:val="21"/>
              </w:rPr>
            </w:pPr>
            <w:r>
              <w:rPr>
                <w:color w:val="auto"/>
                <w:sz w:val="21"/>
                <w:szCs w:val="21"/>
              </w:rPr>
              <w:t>0.67</w:t>
            </w:r>
          </w:p>
        </w:tc>
        <w:tc>
          <w:tcPr>
            <w:tcW w:w="612" w:type="pct"/>
            <w:tcBorders>
              <w:tl2br w:val="nil"/>
              <w:tr2bl w:val="nil"/>
            </w:tcBorders>
            <w:shd w:val="clear" w:color="auto" w:fill="auto"/>
            <w:tcMar>
              <w:top w:w="10" w:type="dxa"/>
              <w:left w:w="10" w:type="dxa"/>
              <w:right w:w="10" w:type="dxa"/>
            </w:tcMar>
            <w:vAlign w:val="center"/>
          </w:tcPr>
          <w:p w14:paraId="74ABBB05">
            <w:pPr>
              <w:widowControl/>
              <w:spacing w:line="240" w:lineRule="auto"/>
              <w:ind w:firstLine="0" w:firstLineChars="0"/>
              <w:jc w:val="center"/>
              <w:textAlignment w:val="center"/>
              <w:rPr>
                <w:color w:val="auto"/>
                <w:sz w:val="21"/>
                <w:szCs w:val="21"/>
              </w:rPr>
            </w:pPr>
            <w:r>
              <w:rPr>
                <w:color w:val="auto"/>
                <w:sz w:val="21"/>
                <w:szCs w:val="21"/>
              </w:rPr>
              <w:t>SE/6.50km</w:t>
            </w:r>
          </w:p>
        </w:tc>
      </w:tr>
      <w:tr w14:paraId="5934F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5" w:type="pct"/>
            <w:tcBorders>
              <w:tl2br w:val="nil"/>
              <w:tr2bl w:val="nil"/>
            </w:tcBorders>
            <w:shd w:val="clear" w:color="auto" w:fill="auto"/>
            <w:tcMar>
              <w:top w:w="10" w:type="dxa"/>
              <w:left w:w="10" w:type="dxa"/>
              <w:right w:w="10" w:type="dxa"/>
            </w:tcMar>
            <w:vAlign w:val="center"/>
          </w:tcPr>
          <w:p w14:paraId="6396575F">
            <w:pPr>
              <w:widowControl/>
              <w:spacing w:line="240" w:lineRule="auto"/>
              <w:ind w:firstLine="0" w:firstLineChars="0"/>
              <w:jc w:val="center"/>
              <w:textAlignment w:val="center"/>
              <w:rPr>
                <w:color w:val="auto"/>
                <w:sz w:val="21"/>
                <w:szCs w:val="21"/>
              </w:rPr>
            </w:pPr>
            <w:r>
              <w:rPr>
                <w:color w:val="auto"/>
                <w:sz w:val="21"/>
                <w:szCs w:val="21"/>
              </w:rPr>
              <w:t>连云区</w:t>
            </w:r>
          </w:p>
        </w:tc>
        <w:tc>
          <w:tcPr>
            <w:tcW w:w="443" w:type="pct"/>
            <w:tcBorders>
              <w:tl2br w:val="nil"/>
              <w:tr2bl w:val="nil"/>
            </w:tcBorders>
            <w:shd w:val="clear" w:color="auto" w:fill="auto"/>
            <w:tcMar>
              <w:top w:w="10" w:type="dxa"/>
              <w:left w:w="10" w:type="dxa"/>
              <w:right w:w="10" w:type="dxa"/>
            </w:tcMar>
            <w:vAlign w:val="center"/>
          </w:tcPr>
          <w:p w14:paraId="19A2B998">
            <w:pPr>
              <w:widowControl/>
              <w:spacing w:line="240" w:lineRule="auto"/>
              <w:ind w:firstLine="0" w:firstLineChars="0"/>
              <w:jc w:val="center"/>
              <w:textAlignment w:val="center"/>
              <w:rPr>
                <w:color w:val="auto"/>
                <w:sz w:val="21"/>
                <w:szCs w:val="21"/>
              </w:rPr>
            </w:pPr>
            <w:r>
              <w:rPr>
                <w:color w:val="auto"/>
                <w:sz w:val="21"/>
                <w:szCs w:val="21"/>
              </w:rPr>
              <w:t>连云港港北固山省级森林公园</w:t>
            </w:r>
          </w:p>
        </w:tc>
        <w:tc>
          <w:tcPr>
            <w:tcW w:w="430" w:type="pct"/>
            <w:tcBorders>
              <w:tl2br w:val="nil"/>
              <w:tr2bl w:val="nil"/>
            </w:tcBorders>
            <w:shd w:val="clear" w:color="auto" w:fill="auto"/>
            <w:tcMar>
              <w:top w:w="10" w:type="dxa"/>
              <w:left w:w="10" w:type="dxa"/>
              <w:right w:w="10" w:type="dxa"/>
            </w:tcMar>
            <w:vAlign w:val="center"/>
          </w:tcPr>
          <w:p w14:paraId="12B6CD25">
            <w:pPr>
              <w:widowControl/>
              <w:spacing w:line="240" w:lineRule="auto"/>
              <w:ind w:firstLine="0" w:firstLineChars="0"/>
              <w:jc w:val="center"/>
              <w:textAlignment w:val="center"/>
              <w:rPr>
                <w:color w:val="auto"/>
                <w:sz w:val="21"/>
                <w:szCs w:val="21"/>
              </w:rPr>
            </w:pPr>
            <w:r>
              <w:rPr>
                <w:color w:val="auto"/>
                <w:sz w:val="21"/>
                <w:szCs w:val="21"/>
              </w:rPr>
              <w:t>自然与人文景观保护</w:t>
            </w:r>
          </w:p>
        </w:tc>
        <w:tc>
          <w:tcPr>
            <w:tcW w:w="609" w:type="pct"/>
            <w:tcBorders>
              <w:tl2br w:val="nil"/>
              <w:tr2bl w:val="nil"/>
            </w:tcBorders>
            <w:shd w:val="clear" w:color="auto" w:fill="auto"/>
            <w:tcMar>
              <w:top w:w="10" w:type="dxa"/>
              <w:left w:w="10" w:type="dxa"/>
              <w:right w:w="10" w:type="dxa"/>
            </w:tcMar>
            <w:vAlign w:val="center"/>
          </w:tcPr>
          <w:p w14:paraId="09E8BE84">
            <w:pPr>
              <w:widowControl/>
              <w:spacing w:line="240" w:lineRule="auto"/>
              <w:ind w:firstLine="0" w:firstLineChars="0"/>
              <w:jc w:val="center"/>
              <w:textAlignment w:val="center"/>
              <w:rPr>
                <w:color w:val="auto"/>
                <w:sz w:val="21"/>
                <w:szCs w:val="21"/>
              </w:rPr>
            </w:pPr>
            <w:r>
              <w:rPr>
                <w:color w:val="auto"/>
                <w:sz w:val="21"/>
                <w:szCs w:val="21"/>
              </w:rPr>
              <w:t>连云港北固山省级森林公园总体规划中确定的范围（包含生态保育区和核心景观区等）</w:t>
            </w:r>
          </w:p>
        </w:tc>
        <w:tc>
          <w:tcPr>
            <w:tcW w:w="1031" w:type="pct"/>
            <w:tcBorders>
              <w:tl2br w:val="nil"/>
              <w:tr2bl w:val="nil"/>
            </w:tcBorders>
            <w:shd w:val="clear" w:color="auto" w:fill="auto"/>
            <w:tcMar>
              <w:top w:w="10" w:type="dxa"/>
              <w:left w:w="10" w:type="dxa"/>
              <w:right w:w="10" w:type="dxa"/>
            </w:tcMar>
            <w:vAlign w:val="center"/>
          </w:tcPr>
          <w:p w14:paraId="40E178AA">
            <w:pPr>
              <w:widowControl/>
              <w:spacing w:line="240" w:lineRule="auto"/>
              <w:ind w:firstLine="0" w:firstLineChars="0"/>
              <w:jc w:val="center"/>
              <w:textAlignment w:val="center"/>
              <w:rPr>
                <w:color w:val="auto"/>
                <w:sz w:val="21"/>
                <w:szCs w:val="21"/>
              </w:rPr>
            </w:pPr>
            <w:r>
              <w:rPr>
                <w:color w:val="auto"/>
                <w:sz w:val="21"/>
                <w:szCs w:val="21"/>
              </w:rPr>
              <w:t>/</w:t>
            </w:r>
          </w:p>
        </w:tc>
        <w:tc>
          <w:tcPr>
            <w:tcW w:w="391" w:type="pct"/>
            <w:tcBorders>
              <w:tl2br w:val="nil"/>
              <w:tr2bl w:val="nil"/>
            </w:tcBorders>
            <w:shd w:val="clear" w:color="auto" w:fill="auto"/>
            <w:tcMar>
              <w:top w:w="10" w:type="dxa"/>
              <w:left w:w="10" w:type="dxa"/>
              <w:right w:w="10" w:type="dxa"/>
            </w:tcMar>
            <w:vAlign w:val="center"/>
          </w:tcPr>
          <w:p w14:paraId="24DED9C4">
            <w:pPr>
              <w:widowControl/>
              <w:spacing w:line="240" w:lineRule="auto"/>
              <w:ind w:firstLine="0" w:firstLineChars="0"/>
              <w:jc w:val="center"/>
              <w:textAlignment w:val="center"/>
              <w:rPr>
                <w:color w:val="auto"/>
                <w:sz w:val="21"/>
                <w:szCs w:val="21"/>
              </w:rPr>
            </w:pPr>
            <w:r>
              <w:rPr>
                <w:color w:val="auto"/>
                <w:sz w:val="21"/>
                <w:szCs w:val="21"/>
              </w:rPr>
              <w:t>4.54</w:t>
            </w:r>
          </w:p>
        </w:tc>
        <w:tc>
          <w:tcPr>
            <w:tcW w:w="692" w:type="pct"/>
            <w:tcBorders>
              <w:tl2br w:val="nil"/>
              <w:tr2bl w:val="nil"/>
            </w:tcBorders>
            <w:shd w:val="clear" w:color="auto" w:fill="auto"/>
            <w:tcMar>
              <w:top w:w="10" w:type="dxa"/>
              <w:left w:w="10" w:type="dxa"/>
              <w:right w:w="10" w:type="dxa"/>
            </w:tcMar>
            <w:vAlign w:val="center"/>
          </w:tcPr>
          <w:p w14:paraId="1454FD09">
            <w:pPr>
              <w:widowControl/>
              <w:spacing w:line="240" w:lineRule="auto"/>
              <w:ind w:firstLine="0" w:firstLineChars="0"/>
              <w:jc w:val="center"/>
              <w:textAlignment w:val="center"/>
              <w:rPr>
                <w:color w:val="auto"/>
                <w:sz w:val="21"/>
                <w:szCs w:val="21"/>
              </w:rPr>
            </w:pPr>
            <w:r>
              <w:rPr>
                <w:color w:val="auto"/>
                <w:sz w:val="21"/>
                <w:szCs w:val="21"/>
              </w:rPr>
              <w:t>/</w:t>
            </w:r>
          </w:p>
        </w:tc>
        <w:tc>
          <w:tcPr>
            <w:tcW w:w="544" w:type="pct"/>
            <w:tcBorders>
              <w:tl2br w:val="nil"/>
              <w:tr2bl w:val="nil"/>
            </w:tcBorders>
            <w:shd w:val="clear" w:color="auto" w:fill="auto"/>
            <w:tcMar>
              <w:top w:w="10" w:type="dxa"/>
              <w:left w:w="10" w:type="dxa"/>
              <w:right w:w="10" w:type="dxa"/>
            </w:tcMar>
            <w:vAlign w:val="center"/>
          </w:tcPr>
          <w:p w14:paraId="1B7C0B07">
            <w:pPr>
              <w:widowControl/>
              <w:spacing w:line="240" w:lineRule="auto"/>
              <w:ind w:firstLine="0" w:firstLineChars="0"/>
              <w:jc w:val="center"/>
              <w:textAlignment w:val="center"/>
              <w:rPr>
                <w:color w:val="auto"/>
                <w:sz w:val="21"/>
                <w:szCs w:val="21"/>
              </w:rPr>
            </w:pPr>
            <w:r>
              <w:rPr>
                <w:color w:val="auto"/>
                <w:sz w:val="21"/>
                <w:szCs w:val="21"/>
              </w:rPr>
              <w:t>4.54</w:t>
            </w:r>
          </w:p>
        </w:tc>
        <w:tc>
          <w:tcPr>
            <w:tcW w:w="612" w:type="pct"/>
            <w:tcBorders>
              <w:tl2br w:val="nil"/>
              <w:tr2bl w:val="nil"/>
            </w:tcBorders>
            <w:shd w:val="clear" w:color="auto" w:fill="auto"/>
            <w:tcMar>
              <w:top w:w="10" w:type="dxa"/>
              <w:left w:w="10" w:type="dxa"/>
              <w:right w:w="10" w:type="dxa"/>
            </w:tcMar>
            <w:vAlign w:val="center"/>
          </w:tcPr>
          <w:p w14:paraId="00BFCD56">
            <w:pPr>
              <w:widowControl/>
              <w:spacing w:line="240" w:lineRule="auto"/>
              <w:ind w:firstLine="0" w:firstLineChars="0"/>
              <w:jc w:val="center"/>
              <w:textAlignment w:val="center"/>
              <w:rPr>
                <w:color w:val="auto"/>
                <w:sz w:val="21"/>
                <w:szCs w:val="21"/>
              </w:rPr>
            </w:pPr>
            <w:r>
              <w:rPr>
                <w:color w:val="auto"/>
                <w:sz w:val="21"/>
                <w:szCs w:val="21"/>
              </w:rPr>
              <w:t>NE/10.44km</w:t>
            </w:r>
          </w:p>
        </w:tc>
      </w:tr>
    </w:tbl>
    <w:p w14:paraId="60AC39EA">
      <w:pPr>
        <w:ind w:firstLine="482"/>
        <w:rPr>
          <w:b/>
          <w:bCs/>
          <w:color w:val="auto"/>
          <w:kern w:val="21"/>
        </w:rPr>
      </w:pPr>
      <w:r>
        <w:rPr>
          <w:rFonts w:hint="eastAsia" w:cs="宋体"/>
          <w:b/>
          <w:bCs/>
          <w:color w:val="auto"/>
          <w:kern w:val="21"/>
          <w:lang w:bidi="ar"/>
        </w:rPr>
        <w:t>2、与《市生态环境局关于印发＜连云港市</w:t>
      </w:r>
      <w:r>
        <w:rPr>
          <w:b/>
          <w:bCs/>
          <w:color w:val="auto"/>
          <w:kern w:val="21"/>
          <w:lang w:bidi="ar"/>
        </w:rPr>
        <w:t>“</w:t>
      </w:r>
      <w:r>
        <w:rPr>
          <w:rFonts w:hint="eastAsia" w:cs="宋体"/>
          <w:b/>
          <w:bCs/>
          <w:color w:val="auto"/>
          <w:kern w:val="21"/>
          <w:lang w:bidi="ar"/>
        </w:rPr>
        <w:t>三线一单</w:t>
      </w:r>
      <w:r>
        <w:rPr>
          <w:b/>
          <w:bCs/>
          <w:color w:val="auto"/>
          <w:kern w:val="21"/>
          <w:lang w:bidi="ar"/>
        </w:rPr>
        <w:t>”</w:t>
      </w:r>
      <w:r>
        <w:rPr>
          <w:rFonts w:hint="eastAsia" w:cs="宋体"/>
          <w:b/>
          <w:bCs/>
          <w:color w:val="auto"/>
          <w:kern w:val="21"/>
          <w:lang w:bidi="ar"/>
        </w:rPr>
        <w:t>生态环境分区管控实施方案＞具体管控要求的通知》（连环发</w:t>
      </w:r>
      <w:r>
        <w:rPr>
          <w:rFonts w:hint="eastAsia"/>
          <w:b/>
          <w:bCs/>
          <w:color w:val="auto"/>
          <w:kern w:val="21"/>
          <w:lang w:bidi="ar"/>
        </w:rPr>
        <w:t>〔</w:t>
      </w:r>
      <w:r>
        <w:rPr>
          <w:b/>
          <w:bCs/>
          <w:color w:val="auto"/>
          <w:kern w:val="21"/>
          <w:lang w:bidi="ar"/>
        </w:rPr>
        <w:t>2021</w:t>
      </w:r>
      <w:r>
        <w:rPr>
          <w:rFonts w:hint="eastAsia"/>
          <w:b/>
          <w:bCs/>
          <w:color w:val="auto"/>
          <w:kern w:val="21"/>
          <w:lang w:bidi="ar"/>
        </w:rPr>
        <w:t>〕</w:t>
      </w:r>
      <w:r>
        <w:rPr>
          <w:b/>
          <w:bCs/>
          <w:color w:val="auto"/>
          <w:kern w:val="21"/>
          <w:lang w:bidi="ar"/>
        </w:rPr>
        <w:t>172</w:t>
      </w:r>
      <w:r>
        <w:rPr>
          <w:rFonts w:hint="eastAsia" w:cs="宋体"/>
          <w:b/>
          <w:bCs/>
          <w:color w:val="auto"/>
          <w:kern w:val="21"/>
          <w:lang w:bidi="ar"/>
        </w:rPr>
        <w:t>号）相符性分析</w:t>
      </w:r>
    </w:p>
    <w:p w14:paraId="4A36C0E4">
      <w:pPr>
        <w:ind w:firstLine="480"/>
        <w:rPr>
          <w:color w:val="auto"/>
        </w:rPr>
      </w:pPr>
      <w:r>
        <w:rPr>
          <w:rFonts w:hint="eastAsia" w:cs="宋体"/>
          <w:color w:val="auto"/>
          <w:kern w:val="21"/>
          <w:lang w:bidi="ar"/>
        </w:rPr>
        <w:t>对照《市生态环境局关于印发＜连云港市</w:t>
      </w:r>
      <w:r>
        <w:rPr>
          <w:color w:val="auto"/>
          <w:kern w:val="21"/>
          <w:lang w:bidi="ar"/>
        </w:rPr>
        <w:t>“</w:t>
      </w:r>
      <w:r>
        <w:rPr>
          <w:rFonts w:hint="eastAsia" w:cs="宋体"/>
          <w:color w:val="auto"/>
          <w:kern w:val="21"/>
          <w:lang w:bidi="ar"/>
        </w:rPr>
        <w:t>三线一单</w:t>
      </w:r>
      <w:r>
        <w:rPr>
          <w:color w:val="auto"/>
          <w:kern w:val="21"/>
          <w:lang w:bidi="ar"/>
        </w:rPr>
        <w:t>”</w:t>
      </w:r>
      <w:r>
        <w:rPr>
          <w:rFonts w:hint="eastAsia" w:cs="宋体"/>
          <w:color w:val="auto"/>
          <w:kern w:val="21"/>
          <w:lang w:bidi="ar"/>
        </w:rPr>
        <w:t>生态环境分区管控实施方案＞具体管控要求的通知》（连环发</w:t>
      </w:r>
      <w:r>
        <w:rPr>
          <w:rFonts w:hint="eastAsia"/>
          <w:color w:val="auto"/>
          <w:kern w:val="21"/>
          <w:lang w:bidi="ar"/>
        </w:rPr>
        <w:t>〔</w:t>
      </w:r>
      <w:r>
        <w:rPr>
          <w:color w:val="auto"/>
          <w:kern w:val="21"/>
          <w:lang w:bidi="ar"/>
        </w:rPr>
        <w:t>2021</w:t>
      </w:r>
      <w:r>
        <w:rPr>
          <w:rFonts w:hint="eastAsia"/>
          <w:color w:val="auto"/>
          <w:kern w:val="21"/>
          <w:lang w:bidi="ar"/>
        </w:rPr>
        <w:t>〕</w:t>
      </w:r>
      <w:r>
        <w:rPr>
          <w:color w:val="auto"/>
          <w:kern w:val="21"/>
          <w:lang w:bidi="ar"/>
        </w:rPr>
        <w:t>172</w:t>
      </w:r>
      <w:r>
        <w:rPr>
          <w:rFonts w:hint="eastAsia" w:cs="宋体"/>
          <w:color w:val="auto"/>
          <w:kern w:val="21"/>
          <w:lang w:bidi="ar"/>
        </w:rPr>
        <w:t>号），本项目位于连云港经济技术开发区中临港产业区西北片区，属于重点管控单元，本项目与生态环境准入清单相符性分析见表</w:t>
      </w:r>
      <w:r>
        <w:rPr>
          <w:rFonts w:hint="eastAsia"/>
          <w:color w:val="auto"/>
          <w:kern w:val="21"/>
          <w:lang w:bidi="ar"/>
        </w:rPr>
        <w:t>1.4.4-2</w:t>
      </w:r>
      <w:r>
        <w:rPr>
          <w:rFonts w:hint="eastAsia" w:cs="宋体"/>
          <w:color w:val="auto"/>
          <w:kern w:val="21"/>
          <w:lang w:bidi="ar"/>
        </w:rPr>
        <w:t>。</w:t>
      </w:r>
    </w:p>
    <w:p w14:paraId="3192C079">
      <w:pPr>
        <w:pStyle w:val="1356"/>
        <w:spacing w:line="240" w:lineRule="auto"/>
        <w:ind w:firstLine="0" w:firstLineChars="0"/>
        <w:jc w:val="center"/>
        <w:rPr>
          <w:b/>
          <w:color w:val="auto"/>
        </w:rPr>
      </w:pPr>
      <w:r>
        <w:rPr>
          <w:rFonts w:hint="eastAsia"/>
          <w:b/>
          <w:color w:val="auto"/>
        </w:rPr>
        <w:t>表</w:t>
      </w:r>
      <w:r>
        <w:rPr>
          <w:b/>
          <w:color w:val="auto"/>
        </w:rPr>
        <w:t>1</w:t>
      </w:r>
      <w:r>
        <w:rPr>
          <w:rFonts w:hint="eastAsia"/>
          <w:b/>
          <w:color w:val="auto"/>
        </w:rPr>
        <w:t>.4.4-2</w:t>
      </w:r>
      <w:r>
        <w:rPr>
          <w:b/>
          <w:color w:val="auto"/>
        </w:rPr>
        <w:t xml:space="preserve">  </w:t>
      </w:r>
      <w:r>
        <w:rPr>
          <w:rFonts w:hint="eastAsia"/>
          <w:b/>
          <w:color w:val="auto"/>
        </w:rPr>
        <w:t>本项目连环发〔</w:t>
      </w:r>
      <w:r>
        <w:rPr>
          <w:b/>
          <w:color w:val="auto"/>
        </w:rPr>
        <w:t>2021</w:t>
      </w:r>
      <w:r>
        <w:rPr>
          <w:rFonts w:hint="eastAsia"/>
          <w:b/>
          <w:color w:val="auto"/>
        </w:rPr>
        <w:t>〕</w:t>
      </w:r>
      <w:r>
        <w:rPr>
          <w:b/>
          <w:color w:val="auto"/>
        </w:rPr>
        <w:t>172</w:t>
      </w:r>
      <w:r>
        <w:rPr>
          <w:rFonts w:hint="eastAsia"/>
          <w:b/>
          <w:color w:val="auto"/>
        </w:rPr>
        <w:t>号相符性分析</w:t>
      </w:r>
    </w:p>
    <w:tbl>
      <w:tblPr>
        <w:tblStyle w:val="8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4686"/>
        <w:gridCol w:w="2428"/>
        <w:gridCol w:w="1046"/>
      </w:tblGrid>
      <w:tr w14:paraId="4B84F8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06" w:type="pct"/>
            <w:tcBorders>
              <w:top w:val="single" w:color="auto" w:sz="12" w:space="0"/>
              <w:left w:val="nil"/>
              <w:bottom w:val="single" w:color="auto" w:sz="4" w:space="0"/>
              <w:right w:val="single" w:color="auto" w:sz="4" w:space="0"/>
            </w:tcBorders>
            <w:shd w:val="clear" w:color="auto" w:fill="auto"/>
            <w:vAlign w:val="center"/>
          </w:tcPr>
          <w:p w14:paraId="65EEAD08">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管控类别</w:t>
            </w:r>
          </w:p>
        </w:tc>
        <w:tc>
          <w:tcPr>
            <w:tcW w:w="2522" w:type="pct"/>
            <w:tcBorders>
              <w:top w:val="single" w:color="auto" w:sz="12" w:space="0"/>
              <w:left w:val="single" w:color="auto" w:sz="4" w:space="0"/>
              <w:bottom w:val="single" w:color="auto" w:sz="4" w:space="0"/>
              <w:right w:val="single" w:color="auto" w:sz="4" w:space="0"/>
            </w:tcBorders>
            <w:shd w:val="clear" w:color="auto" w:fill="auto"/>
            <w:vAlign w:val="center"/>
          </w:tcPr>
          <w:p w14:paraId="10710C43">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相关要求</w:t>
            </w:r>
          </w:p>
        </w:tc>
        <w:tc>
          <w:tcPr>
            <w:tcW w:w="1307" w:type="pct"/>
            <w:tcBorders>
              <w:top w:val="single" w:color="auto" w:sz="12" w:space="0"/>
              <w:left w:val="single" w:color="auto" w:sz="4" w:space="0"/>
              <w:bottom w:val="single" w:color="auto" w:sz="4" w:space="0"/>
              <w:right w:val="single" w:color="auto" w:sz="4" w:space="0"/>
            </w:tcBorders>
            <w:shd w:val="clear" w:color="auto" w:fill="auto"/>
            <w:vAlign w:val="center"/>
          </w:tcPr>
          <w:p w14:paraId="5BF01F95">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563" w:type="pct"/>
            <w:tcBorders>
              <w:top w:val="single" w:color="auto" w:sz="12" w:space="0"/>
              <w:left w:val="single" w:color="auto" w:sz="4" w:space="0"/>
              <w:bottom w:val="single" w:color="auto" w:sz="4" w:space="0"/>
              <w:right w:val="nil"/>
            </w:tcBorders>
            <w:shd w:val="clear" w:color="auto" w:fill="auto"/>
            <w:vAlign w:val="center"/>
          </w:tcPr>
          <w:p w14:paraId="25F88EA4">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2AF784D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06" w:type="pct"/>
            <w:tcBorders>
              <w:top w:val="single" w:color="auto" w:sz="4" w:space="0"/>
              <w:left w:val="nil"/>
              <w:bottom w:val="single" w:color="auto" w:sz="4" w:space="0"/>
              <w:right w:val="single" w:color="auto" w:sz="4" w:space="0"/>
            </w:tcBorders>
            <w:shd w:val="clear" w:color="auto" w:fill="auto"/>
            <w:vAlign w:val="center"/>
          </w:tcPr>
          <w:p w14:paraId="4740244C">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空间布局约束</w:t>
            </w:r>
          </w:p>
        </w:tc>
        <w:tc>
          <w:tcPr>
            <w:tcW w:w="2522" w:type="pct"/>
            <w:tcBorders>
              <w:top w:val="single" w:color="auto" w:sz="4" w:space="0"/>
              <w:left w:val="single" w:color="auto" w:sz="4" w:space="0"/>
              <w:bottom w:val="single" w:color="auto" w:sz="4" w:space="0"/>
              <w:right w:val="single" w:color="auto" w:sz="4" w:space="0"/>
            </w:tcBorders>
            <w:shd w:val="clear" w:color="auto" w:fill="auto"/>
            <w:vAlign w:val="center"/>
          </w:tcPr>
          <w:p w14:paraId="02BD40BE">
            <w:pPr>
              <w:widowControl/>
              <w:numPr>
                <w:ilvl w:val="0"/>
                <w:numId w:val="16"/>
              </w:numPr>
              <w:spacing w:line="240" w:lineRule="auto"/>
              <w:ind w:firstLine="0" w:firstLineChars="0"/>
              <w:rPr>
                <w:color w:val="auto"/>
                <w:kern w:val="21"/>
                <w:sz w:val="21"/>
                <w:szCs w:val="21"/>
              </w:rPr>
            </w:pPr>
            <w:r>
              <w:rPr>
                <w:rFonts w:hint="eastAsia"/>
                <w:color w:val="auto"/>
                <w:kern w:val="21"/>
                <w:sz w:val="21"/>
                <w:szCs w:val="21"/>
              </w:rPr>
              <w:t>严格执行《连云港市基于空间控制单元的环境准入制度及负面清单管理办法（试行）》（连政办发〔2018〕9号）《连云港市化工产业建设项目环境准入管控要求（2018年本）》（连环发〔2018〕324号）等文件要求。</w:t>
            </w:r>
          </w:p>
          <w:p w14:paraId="3169774A">
            <w:pPr>
              <w:widowControl/>
              <w:numPr>
                <w:ilvl w:val="0"/>
                <w:numId w:val="16"/>
              </w:numPr>
              <w:spacing w:line="240" w:lineRule="auto"/>
              <w:ind w:firstLine="0" w:firstLineChars="0"/>
              <w:rPr>
                <w:color w:val="auto"/>
                <w:kern w:val="21"/>
                <w:sz w:val="21"/>
                <w:szCs w:val="21"/>
              </w:rPr>
            </w:pPr>
            <w:r>
              <w:rPr>
                <w:rFonts w:hint="eastAsia"/>
                <w:color w:val="auto"/>
                <w:kern w:val="21"/>
                <w:sz w:val="21"/>
                <w:szCs w:val="21"/>
              </w:rPr>
              <w:t>根据《连云港市基于空间控制单元的环境准入制度及负面清单管理办法（试行）》（连政办发〔2018〕9号），全市所有的建设项目选址应符合主体功能区划、产业发展规划、城市总体规划、土地利用规划、环境保护规划、生态保护红线等要求。新建有污染物排放的工业项目应按规划进入符合产业定位的工业园区或工业集中区：禁止开发区域内，禁止一切形式的建设活动。钢铁重点布局在赣榆临港产业园区，石化重点布局在徐圩新区，化工项目按不同园区的产业定位，布局在具有产业定位的园区内。重点建设徐圩IGCC和赣榆天然气热电联产电厂，其他地区原则上不再新建燃煤电厂：工业项目应符合产业政策不得采用国家、省和本市淘汰的或禁止使用的工艺、技术和设备，不得建设生产工艺或污染防治技术不成熟的项目：限制列入环境保护综合名录的高污染、高环境风险产品的生产。</w:t>
            </w:r>
          </w:p>
          <w:p w14:paraId="3612298D">
            <w:pPr>
              <w:widowControl/>
              <w:spacing w:line="240" w:lineRule="auto"/>
              <w:ind w:firstLine="0" w:firstLineChars="0"/>
              <w:rPr>
                <w:color w:val="auto"/>
                <w:kern w:val="21"/>
                <w:sz w:val="21"/>
                <w:szCs w:val="21"/>
              </w:rPr>
            </w:pPr>
            <w:r>
              <w:rPr>
                <w:rFonts w:hint="eastAsia"/>
                <w:color w:val="auto"/>
                <w:kern w:val="21"/>
                <w:sz w:val="21"/>
                <w:szCs w:val="21"/>
              </w:rPr>
              <w:t>3、根据《连云港市化工产业建设项目环境准入管控要求（2018年本）》（连环发〔2018〕324号），化工项目必须进入由市级以上政府批准且规划环评通过环保部门审查的产业园区（化工重点监测点的提升安全、环保、节能水平、结构调整的技改项目除外）。</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71D0E4A1">
            <w:pPr>
              <w:overflowPunct w:val="0"/>
              <w:spacing w:line="240" w:lineRule="auto"/>
              <w:ind w:firstLine="0" w:firstLineChars="0"/>
              <w:rPr>
                <w:color w:val="auto"/>
                <w:kern w:val="21"/>
                <w:sz w:val="21"/>
                <w:szCs w:val="21"/>
              </w:rPr>
            </w:pPr>
            <w:r>
              <w:rPr>
                <w:rFonts w:hint="eastAsia"/>
                <w:color w:val="auto"/>
                <w:kern w:val="21"/>
                <w:sz w:val="21"/>
                <w:szCs w:val="21"/>
              </w:rPr>
              <w:t>本项目严格执行《连云港市基于空间控制单元的环境准入制度及负面清单管理办法（试行）》（连政办发〔2018〕9号）等文件要求。项目选址符合主体功能区划、产业发展规划、城市总体规划、土地利用规划、环境保护规划、生态保护红线等要求。</w:t>
            </w:r>
          </w:p>
        </w:tc>
        <w:tc>
          <w:tcPr>
            <w:tcW w:w="563" w:type="pct"/>
            <w:tcBorders>
              <w:top w:val="single" w:color="auto" w:sz="4" w:space="0"/>
              <w:left w:val="single" w:color="auto" w:sz="4" w:space="0"/>
              <w:bottom w:val="single" w:color="auto" w:sz="4" w:space="0"/>
              <w:right w:val="nil"/>
            </w:tcBorders>
            <w:shd w:val="clear" w:color="auto" w:fill="auto"/>
            <w:vAlign w:val="center"/>
          </w:tcPr>
          <w:p w14:paraId="75DFEF98">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4B87A11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06" w:type="pct"/>
            <w:tcBorders>
              <w:top w:val="single" w:color="auto" w:sz="4" w:space="0"/>
              <w:left w:val="nil"/>
              <w:bottom w:val="single" w:color="auto" w:sz="4" w:space="0"/>
              <w:right w:val="single" w:color="auto" w:sz="4" w:space="0"/>
            </w:tcBorders>
            <w:shd w:val="clear" w:color="auto" w:fill="auto"/>
            <w:vAlign w:val="center"/>
          </w:tcPr>
          <w:p w14:paraId="74B01839">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污染物排放管控</w:t>
            </w:r>
          </w:p>
        </w:tc>
        <w:tc>
          <w:tcPr>
            <w:tcW w:w="2522" w:type="pct"/>
            <w:tcBorders>
              <w:top w:val="single" w:color="auto" w:sz="4" w:space="0"/>
              <w:left w:val="single" w:color="auto" w:sz="4" w:space="0"/>
              <w:bottom w:val="single" w:color="auto" w:sz="4" w:space="0"/>
              <w:right w:val="single" w:color="auto" w:sz="4" w:space="0"/>
            </w:tcBorders>
            <w:shd w:val="clear" w:color="auto" w:fill="auto"/>
            <w:vAlign w:val="center"/>
          </w:tcPr>
          <w:p w14:paraId="229E4708">
            <w:pPr>
              <w:widowControl/>
              <w:spacing w:line="240" w:lineRule="auto"/>
              <w:ind w:firstLine="0" w:firstLineChars="0"/>
              <w:rPr>
                <w:color w:val="auto"/>
                <w:kern w:val="21"/>
                <w:sz w:val="21"/>
                <w:szCs w:val="21"/>
              </w:rPr>
            </w:pPr>
            <w:r>
              <w:rPr>
                <w:rFonts w:hint="eastAsia"/>
                <w:color w:val="auto"/>
                <w:kern w:val="21"/>
                <w:sz w:val="21"/>
                <w:szCs w:val="21"/>
              </w:rPr>
              <w:t xml:space="preserve">根据《连云港市基于空间控制单元的环境准入制度及负面清单管理办法（试行）》（连政办发〔2018〕9号），全市工业项目排放污染物必须达到国家和地方规定的污染物排放标准，工业项目选址区域应有相应的环境容量，未按要求完成污染物总量削减任务的区域和流域，不得建设新增相应污染物排放量的工业项目。 </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2D17CF5B">
            <w:pPr>
              <w:overflowPunct w:val="0"/>
              <w:spacing w:line="240" w:lineRule="auto"/>
              <w:ind w:firstLine="0" w:firstLineChars="0"/>
              <w:rPr>
                <w:color w:val="auto"/>
                <w:kern w:val="21"/>
                <w:sz w:val="21"/>
                <w:szCs w:val="21"/>
              </w:rPr>
            </w:pPr>
            <w:r>
              <w:rPr>
                <w:rFonts w:hint="eastAsia"/>
                <w:color w:val="auto"/>
                <w:kern w:val="21"/>
                <w:sz w:val="21"/>
                <w:szCs w:val="21"/>
              </w:rPr>
              <w:t>项目污染物排放量满足国家和地方规定的污染物排放标准。项目选址区域有相应的环境容量。</w:t>
            </w:r>
          </w:p>
        </w:tc>
        <w:tc>
          <w:tcPr>
            <w:tcW w:w="563" w:type="pct"/>
            <w:tcBorders>
              <w:top w:val="single" w:color="auto" w:sz="4" w:space="0"/>
              <w:left w:val="single" w:color="auto" w:sz="4" w:space="0"/>
              <w:bottom w:val="single" w:color="auto" w:sz="4" w:space="0"/>
              <w:right w:val="nil"/>
            </w:tcBorders>
            <w:shd w:val="clear" w:color="auto" w:fill="auto"/>
            <w:vAlign w:val="center"/>
          </w:tcPr>
          <w:p w14:paraId="057A9A8C">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081D29B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06" w:type="pct"/>
            <w:tcBorders>
              <w:top w:val="single" w:color="auto" w:sz="4" w:space="0"/>
              <w:left w:val="nil"/>
              <w:bottom w:val="single" w:color="auto" w:sz="4" w:space="0"/>
              <w:right w:val="single" w:color="auto" w:sz="4" w:space="0"/>
            </w:tcBorders>
            <w:shd w:val="clear" w:color="auto" w:fill="auto"/>
            <w:vAlign w:val="center"/>
          </w:tcPr>
          <w:p w14:paraId="2D3B939F">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环境风险防控</w:t>
            </w:r>
          </w:p>
        </w:tc>
        <w:tc>
          <w:tcPr>
            <w:tcW w:w="2522" w:type="pct"/>
            <w:tcBorders>
              <w:top w:val="single" w:color="auto" w:sz="4" w:space="0"/>
              <w:left w:val="single" w:color="auto" w:sz="4" w:space="0"/>
              <w:bottom w:val="single" w:color="auto" w:sz="4" w:space="0"/>
              <w:right w:val="single" w:color="auto" w:sz="4" w:space="0"/>
            </w:tcBorders>
            <w:shd w:val="clear" w:color="auto" w:fill="auto"/>
            <w:vAlign w:val="center"/>
          </w:tcPr>
          <w:p w14:paraId="619B114D">
            <w:pPr>
              <w:overflowPunct w:val="0"/>
              <w:spacing w:line="240" w:lineRule="auto"/>
              <w:ind w:firstLine="0" w:firstLineChars="0"/>
              <w:rPr>
                <w:color w:val="auto"/>
                <w:kern w:val="21"/>
                <w:sz w:val="21"/>
                <w:szCs w:val="21"/>
              </w:rPr>
            </w:pPr>
            <w:r>
              <w:rPr>
                <w:rFonts w:hint="eastAsia"/>
                <w:color w:val="auto"/>
                <w:kern w:val="21"/>
                <w:sz w:val="21"/>
                <w:szCs w:val="21"/>
              </w:rPr>
              <w:t>根据《连云港市突发环境事件应急预案》（连政办发〔2015〕47号），建立突发环境事件预警防范体系，及时消除环境安全隐患，提高应急处置能力：强化部门沟通协作，充分发挥各部门专业优势，提高联防联控和快速反应能力。坚持属地为主，发挥地方政府职能作用，形成分级负责、分类指挥、综合协调、逐级响应的突发环境事件处置体系：整合现有环境应急救援力量和环境监测网络，发挥专业应急处置队伍和专家队伍的积极作用。充分做好应对突发环境事件的物资装备和技术准备，加强培训演练。</w:t>
            </w:r>
          </w:p>
        </w:tc>
        <w:tc>
          <w:tcPr>
            <w:tcW w:w="1307" w:type="pct"/>
            <w:tcBorders>
              <w:top w:val="single" w:color="auto" w:sz="4" w:space="0"/>
              <w:left w:val="single" w:color="auto" w:sz="4" w:space="0"/>
              <w:bottom w:val="single" w:color="auto" w:sz="4" w:space="0"/>
              <w:right w:val="single" w:color="auto" w:sz="4" w:space="0"/>
            </w:tcBorders>
            <w:shd w:val="clear" w:color="auto" w:fill="auto"/>
            <w:vAlign w:val="center"/>
          </w:tcPr>
          <w:p w14:paraId="14F3AF4F">
            <w:pPr>
              <w:overflowPunct w:val="0"/>
              <w:spacing w:line="240" w:lineRule="auto"/>
              <w:ind w:firstLine="0" w:firstLineChars="0"/>
              <w:jc w:val="center"/>
              <w:rPr>
                <w:color w:val="auto"/>
                <w:kern w:val="21"/>
                <w:sz w:val="21"/>
                <w:szCs w:val="21"/>
              </w:rPr>
            </w:pPr>
            <w:r>
              <w:rPr>
                <w:rFonts w:hint="eastAsia"/>
                <w:color w:val="auto"/>
                <w:kern w:val="21"/>
                <w:sz w:val="21"/>
                <w:szCs w:val="21"/>
              </w:rPr>
              <w:t>项目建成后，将编制突发环境事件应急预案，企业将按照预案要求建立突发环境事件预警防范体系，并定期组织培训演练。</w:t>
            </w:r>
          </w:p>
        </w:tc>
        <w:tc>
          <w:tcPr>
            <w:tcW w:w="563" w:type="pct"/>
            <w:tcBorders>
              <w:top w:val="single" w:color="auto" w:sz="4" w:space="0"/>
              <w:left w:val="single" w:color="auto" w:sz="4" w:space="0"/>
              <w:bottom w:val="single" w:color="auto" w:sz="4" w:space="0"/>
              <w:right w:val="nil"/>
            </w:tcBorders>
            <w:shd w:val="clear" w:color="auto" w:fill="auto"/>
            <w:vAlign w:val="center"/>
          </w:tcPr>
          <w:p w14:paraId="63993899">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49872A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06" w:type="pct"/>
            <w:tcBorders>
              <w:top w:val="single" w:color="auto" w:sz="4" w:space="0"/>
              <w:left w:val="nil"/>
              <w:bottom w:val="single" w:color="auto" w:sz="12" w:space="0"/>
              <w:right w:val="single" w:color="auto" w:sz="4" w:space="0"/>
            </w:tcBorders>
            <w:shd w:val="clear" w:color="auto" w:fill="auto"/>
            <w:vAlign w:val="center"/>
          </w:tcPr>
          <w:p w14:paraId="61D51230">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资源利用效率要求</w:t>
            </w:r>
          </w:p>
        </w:tc>
        <w:tc>
          <w:tcPr>
            <w:tcW w:w="2522" w:type="pct"/>
            <w:tcBorders>
              <w:top w:val="single" w:color="auto" w:sz="4" w:space="0"/>
              <w:left w:val="single" w:color="auto" w:sz="4" w:space="0"/>
              <w:bottom w:val="single" w:color="auto" w:sz="12" w:space="0"/>
              <w:right w:val="single" w:color="auto" w:sz="4" w:space="0"/>
            </w:tcBorders>
            <w:shd w:val="clear" w:color="auto" w:fill="auto"/>
            <w:vAlign w:val="center"/>
          </w:tcPr>
          <w:p w14:paraId="46279FB1">
            <w:pPr>
              <w:widowControl/>
              <w:spacing w:line="240" w:lineRule="auto"/>
              <w:ind w:firstLine="0" w:firstLineChars="0"/>
              <w:rPr>
                <w:color w:val="auto"/>
                <w:kern w:val="21"/>
                <w:sz w:val="21"/>
                <w:szCs w:val="21"/>
              </w:rPr>
            </w:pPr>
            <w:r>
              <w:rPr>
                <w:rFonts w:hint="eastAsia"/>
                <w:color w:val="auto"/>
                <w:kern w:val="21"/>
                <w:sz w:val="21"/>
                <w:szCs w:val="21"/>
              </w:rPr>
              <w:t>禁燃区内禁止销售使用燃料为“Ⅱ类”（较严），具体包括：1、除单台出力大于等于20蒸吨/小时锅炉以外燃用的煤炭及其制品。2、石油焦、油页岩、原油重油、渣油、煤焦油。3、根据《连云港市基于空间控制单元的环境准入制度及负面清单管理办法（试行）》（连政办发〔2018〕9号），新建企业生产技术和工艺、水耗、能耗、物耗、产排污情况及环境管理等方面应达到国内先进水平，扩建、改建的工业项目清洁生产水平不得低于国家清洁生产先进水平。</w:t>
            </w:r>
          </w:p>
        </w:tc>
        <w:tc>
          <w:tcPr>
            <w:tcW w:w="1307" w:type="pct"/>
            <w:tcBorders>
              <w:top w:val="single" w:color="auto" w:sz="4" w:space="0"/>
              <w:left w:val="single" w:color="auto" w:sz="4" w:space="0"/>
              <w:bottom w:val="single" w:color="auto" w:sz="12" w:space="0"/>
              <w:right w:val="single" w:color="auto" w:sz="4" w:space="0"/>
            </w:tcBorders>
            <w:shd w:val="clear" w:color="auto" w:fill="auto"/>
            <w:vAlign w:val="center"/>
          </w:tcPr>
          <w:p w14:paraId="7926247C">
            <w:pPr>
              <w:overflowPunct w:val="0"/>
              <w:spacing w:line="240" w:lineRule="auto"/>
              <w:ind w:firstLine="0" w:firstLineChars="0"/>
              <w:jc w:val="center"/>
              <w:rPr>
                <w:color w:val="auto"/>
                <w:sz w:val="21"/>
                <w:szCs w:val="21"/>
              </w:rPr>
            </w:pPr>
            <w:r>
              <w:rPr>
                <w:rFonts w:hint="eastAsia"/>
                <w:color w:val="auto"/>
                <w:sz w:val="21"/>
                <w:szCs w:val="21"/>
              </w:rPr>
              <w:t>项目不设置锅炉，不使用化工燃料，使用清洁能源电能。清洁生产水平达国内先进水平。</w:t>
            </w:r>
          </w:p>
        </w:tc>
        <w:tc>
          <w:tcPr>
            <w:tcW w:w="563" w:type="pct"/>
            <w:tcBorders>
              <w:top w:val="single" w:color="auto" w:sz="4" w:space="0"/>
              <w:left w:val="single" w:color="auto" w:sz="4" w:space="0"/>
              <w:bottom w:val="single" w:color="auto" w:sz="12" w:space="0"/>
              <w:right w:val="nil"/>
            </w:tcBorders>
            <w:shd w:val="clear" w:color="auto" w:fill="auto"/>
            <w:vAlign w:val="center"/>
          </w:tcPr>
          <w:p w14:paraId="4752AB6C">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bl>
    <w:p w14:paraId="6169AEF4">
      <w:pPr>
        <w:pStyle w:val="1356"/>
        <w:spacing w:before="120" w:beforeLines="50" w:line="240" w:lineRule="auto"/>
        <w:ind w:firstLine="0" w:firstLineChars="0"/>
        <w:jc w:val="center"/>
        <w:rPr>
          <w:b/>
          <w:color w:val="auto"/>
        </w:rPr>
      </w:pPr>
      <w:r>
        <w:rPr>
          <w:rFonts w:hint="eastAsia"/>
          <w:b/>
          <w:color w:val="auto"/>
        </w:rPr>
        <w:t>表</w:t>
      </w:r>
      <w:r>
        <w:rPr>
          <w:b/>
          <w:color w:val="auto"/>
        </w:rPr>
        <w:t>1</w:t>
      </w:r>
      <w:r>
        <w:rPr>
          <w:rFonts w:hint="eastAsia"/>
          <w:b/>
          <w:color w:val="auto"/>
        </w:rPr>
        <w:t>.4.4-3</w:t>
      </w:r>
      <w:r>
        <w:rPr>
          <w:b/>
          <w:color w:val="auto"/>
        </w:rPr>
        <w:t xml:space="preserve">  重点管控单元生态环境准入清单相符性分析</w:t>
      </w:r>
    </w:p>
    <w:tbl>
      <w:tblPr>
        <w:tblStyle w:val="8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158"/>
        <w:gridCol w:w="3591"/>
        <w:gridCol w:w="2747"/>
        <w:gridCol w:w="1043"/>
      </w:tblGrid>
      <w:tr w14:paraId="16B96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 w:hRule="atLeast"/>
          <w:jc w:val="center"/>
        </w:trPr>
        <w:tc>
          <w:tcPr>
            <w:tcW w:w="398" w:type="pct"/>
            <w:tcBorders>
              <w:tl2br w:val="nil"/>
              <w:tr2bl w:val="nil"/>
            </w:tcBorders>
            <w:shd w:val="clear" w:color="auto" w:fill="auto"/>
            <w:vAlign w:val="center"/>
          </w:tcPr>
          <w:p w14:paraId="2E699FBB">
            <w:pPr>
              <w:overflowPunct w:val="0"/>
              <w:spacing w:line="240" w:lineRule="auto"/>
              <w:ind w:firstLine="0" w:firstLineChars="0"/>
              <w:jc w:val="center"/>
              <w:rPr>
                <w:b/>
                <w:bCs/>
                <w:color w:val="auto"/>
                <w:kern w:val="21"/>
                <w:sz w:val="21"/>
                <w:szCs w:val="21"/>
              </w:rPr>
            </w:pPr>
            <w:r>
              <w:rPr>
                <w:rFonts w:hint="eastAsia"/>
                <w:b/>
                <w:bCs/>
                <w:color w:val="auto"/>
                <w:kern w:val="21"/>
                <w:sz w:val="21"/>
                <w:szCs w:val="21"/>
              </w:rPr>
              <w:t>环境管控单元</w:t>
            </w:r>
          </w:p>
        </w:tc>
        <w:tc>
          <w:tcPr>
            <w:tcW w:w="2559" w:type="pct"/>
            <w:gridSpan w:val="2"/>
            <w:tcBorders>
              <w:tl2br w:val="nil"/>
              <w:tr2bl w:val="nil"/>
            </w:tcBorders>
            <w:shd w:val="clear" w:color="auto" w:fill="auto"/>
            <w:vAlign w:val="center"/>
          </w:tcPr>
          <w:p w14:paraId="2521A1A7">
            <w:pPr>
              <w:overflowPunct w:val="0"/>
              <w:spacing w:line="240" w:lineRule="auto"/>
              <w:ind w:firstLine="0" w:firstLineChars="0"/>
              <w:jc w:val="center"/>
              <w:rPr>
                <w:b/>
                <w:bCs/>
                <w:color w:val="auto"/>
                <w:kern w:val="21"/>
                <w:sz w:val="21"/>
                <w:szCs w:val="21"/>
              </w:rPr>
            </w:pPr>
            <w:r>
              <w:rPr>
                <w:rFonts w:hint="eastAsia"/>
                <w:b/>
                <w:bCs/>
                <w:color w:val="auto"/>
                <w:kern w:val="21"/>
                <w:sz w:val="21"/>
                <w:szCs w:val="21"/>
              </w:rPr>
              <w:t>生态环境准入清单</w:t>
            </w:r>
          </w:p>
        </w:tc>
        <w:tc>
          <w:tcPr>
            <w:tcW w:w="1480" w:type="pct"/>
            <w:tcBorders>
              <w:tl2br w:val="nil"/>
              <w:tr2bl w:val="nil"/>
            </w:tcBorders>
            <w:shd w:val="clear" w:color="auto" w:fill="auto"/>
            <w:vAlign w:val="center"/>
          </w:tcPr>
          <w:p w14:paraId="1643398B">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562" w:type="pct"/>
            <w:tcBorders>
              <w:tl2br w:val="nil"/>
              <w:tr2bl w:val="nil"/>
            </w:tcBorders>
            <w:shd w:val="clear" w:color="auto" w:fill="auto"/>
            <w:vAlign w:val="center"/>
          </w:tcPr>
          <w:p w14:paraId="2C0353FA">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57516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98" w:type="pct"/>
            <w:vMerge w:val="restart"/>
            <w:tcBorders>
              <w:tl2br w:val="nil"/>
              <w:tr2bl w:val="nil"/>
            </w:tcBorders>
            <w:shd w:val="clear" w:color="auto" w:fill="auto"/>
            <w:vAlign w:val="center"/>
          </w:tcPr>
          <w:p w14:paraId="619B3DCF">
            <w:pPr>
              <w:overflowPunct w:val="0"/>
              <w:spacing w:line="240" w:lineRule="auto"/>
              <w:ind w:firstLine="0" w:firstLineChars="0"/>
              <w:jc w:val="center"/>
              <w:rPr>
                <w:color w:val="auto"/>
                <w:kern w:val="21"/>
                <w:sz w:val="21"/>
                <w:szCs w:val="21"/>
              </w:rPr>
            </w:pPr>
            <w:r>
              <w:rPr>
                <w:rFonts w:hint="eastAsia"/>
                <w:color w:val="auto"/>
                <w:kern w:val="21"/>
                <w:sz w:val="21"/>
                <w:szCs w:val="21"/>
              </w:rPr>
              <w:t>临港产业区西北片区</w:t>
            </w:r>
          </w:p>
        </w:tc>
        <w:tc>
          <w:tcPr>
            <w:tcW w:w="624" w:type="pct"/>
            <w:tcBorders>
              <w:tl2br w:val="nil"/>
              <w:tr2bl w:val="nil"/>
            </w:tcBorders>
            <w:shd w:val="clear" w:color="auto" w:fill="auto"/>
            <w:vAlign w:val="center"/>
          </w:tcPr>
          <w:p w14:paraId="1B9F22B7">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空间布局约束</w:t>
            </w:r>
          </w:p>
        </w:tc>
        <w:tc>
          <w:tcPr>
            <w:tcW w:w="1934" w:type="pct"/>
            <w:tcBorders>
              <w:tl2br w:val="nil"/>
              <w:tr2bl w:val="nil"/>
            </w:tcBorders>
            <w:shd w:val="clear" w:color="auto" w:fill="auto"/>
            <w:vAlign w:val="center"/>
          </w:tcPr>
          <w:p w14:paraId="43038B44">
            <w:pPr>
              <w:widowControl/>
              <w:spacing w:line="240" w:lineRule="auto"/>
              <w:ind w:firstLine="0" w:firstLineChars="0"/>
              <w:rPr>
                <w:color w:val="auto"/>
                <w:kern w:val="21"/>
                <w:sz w:val="21"/>
                <w:szCs w:val="21"/>
              </w:rPr>
            </w:pPr>
            <w:r>
              <w:rPr>
                <w:rFonts w:hint="eastAsia"/>
                <w:color w:val="auto"/>
                <w:kern w:val="21"/>
                <w:sz w:val="21"/>
                <w:szCs w:val="21"/>
              </w:rPr>
              <w:t>主导产业为：新医药、新材料、新能源、高端装备制造；园区禁止引进高污染类工业项目及排放含汞、砷、镉、铬、铅等重金属污染物项目；限制使用和排放有毒气体、恶臭物质类项目、使用高毒、高VOCs含量物质为主要生产原料，又无可靠有效的污染控制措施的项目、列入环境保护综合名录（2017年版）的高污染、高环境风险产品的生产。</w:t>
            </w:r>
          </w:p>
        </w:tc>
        <w:tc>
          <w:tcPr>
            <w:tcW w:w="1480" w:type="pct"/>
            <w:tcBorders>
              <w:tl2br w:val="nil"/>
              <w:tr2bl w:val="nil"/>
            </w:tcBorders>
            <w:shd w:val="clear" w:color="auto" w:fill="auto"/>
            <w:vAlign w:val="center"/>
          </w:tcPr>
          <w:p w14:paraId="7A027FCC">
            <w:pPr>
              <w:overflowPunct w:val="0"/>
              <w:spacing w:line="240" w:lineRule="auto"/>
              <w:ind w:firstLine="0" w:firstLineChars="0"/>
              <w:rPr>
                <w:color w:val="auto"/>
                <w:kern w:val="21"/>
                <w:sz w:val="21"/>
                <w:szCs w:val="21"/>
              </w:rPr>
            </w:pPr>
            <w:r>
              <w:rPr>
                <w:rFonts w:hint="eastAsia"/>
                <w:color w:val="auto"/>
                <w:kern w:val="21"/>
                <w:sz w:val="21"/>
                <w:szCs w:val="21"/>
              </w:rPr>
              <w:t>本项目行业类别为C3311金属结构制造，对应产品为太阳能光伏铝边框，该产品为光伏组件核心辅材，属于园区产业定位中的装备制造类项目。项目生产过程中不涉及高污染三类工业项目及排放含汞、砷、镉、铬、铅等重金属污染物，亦不属于《环境保护综合名录（2021年版）》中的高污染、高环境风险产品。项目拟采取各项污染防治措施来降低对周边大气环境影响，因此，本项目的建设符合临港产业园区西北片区的产业定位。</w:t>
            </w:r>
          </w:p>
        </w:tc>
        <w:tc>
          <w:tcPr>
            <w:tcW w:w="562" w:type="pct"/>
            <w:tcBorders>
              <w:tl2br w:val="nil"/>
              <w:tr2bl w:val="nil"/>
            </w:tcBorders>
            <w:shd w:val="clear" w:color="auto" w:fill="auto"/>
            <w:vAlign w:val="center"/>
          </w:tcPr>
          <w:p w14:paraId="4CEDBBFB">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11A12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98" w:type="pct"/>
            <w:vMerge w:val="continue"/>
            <w:tcBorders>
              <w:tl2br w:val="nil"/>
              <w:tr2bl w:val="nil"/>
            </w:tcBorders>
            <w:shd w:val="clear" w:color="auto" w:fill="auto"/>
            <w:vAlign w:val="center"/>
          </w:tcPr>
          <w:p w14:paraId="687EC8F4">
            <w:pPr>
              <w:overflowPunct w:val="0"/>
              <w:spacing w:line="240" w:lineRule="auto"/>
              <w:ind w:firstLine="0" w:firstLineChars="0"/>
              <w:jc w:val="center"/>
              <w:rPr>
                <w:color w:val="auto"/>
                <w:kern w:val="21"/>
                <w:sz w:val="21"/>
                <w:szCs w:val="21"/>
              </w:rPr>
            </w:pPr>
          </w:p>
        </w:tc>
        <w:tc>
          <w:tcPr>
            <w:tcW w:w="624" w:type="pct"/>
            <w:tcBorders>
              <w:tl2br w:val="nil"/>
              <w:tr2bl w:val="nil"/>
            </w:tcBorders>
            <w:shd w:val="clear" w:color="auto" w:fill="auto"/>
            <w:vAlign w:val="center"/>
          </w:tcPr>
          <w:p w14:paraId="62F02835">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污染物排放管控</w:t>
            </w:r>
          </w:p>
        </w:tc>
        <w:tc>
          <w:tcPr>
            <w:tcW w:w="1934" w:type="pct"/>
            <w:tcBorders>
              <w:tl2br w:val="nil"/>
              <w:tr2bl w:val="nil"/>
            </w:tcBorders>
            <w:shd w:val="clear" w:color="auto" w:fill="auto"/>
            <w:vAlign w:val="center"/>
          </w:tcPr>
          <w:p w14:paraId="324364DA">
            <w:pPr>
              <w:widowControl/>
              <w:spacing w:line="240" w:lineRule="auto"/>
              <w:ind w:firstLine="0" w:firstLineChars="0"/>
              <w:rPr>
                <w:color w:val="auto"/>
                <w:kern w:val="21"/>
                <w:sz w:val="21"/>
                <w:szCs w:val="21"/>
              </w:rPr>
            </w:pPr>
            <w:r>
              <w:rPr>
                <w:rFonts w:hint="eastAsia"/>
                <w:color w:val="auto"/>
                <w:kern w:val="21"/>
                <w:sz w:val="21"/>
                <w:szCs w:val="21"/>
              </w:rPr>
              <w:t>（1）废气污染物排放量：二氧化硫2.07吨/年、烟（粉）尘100.3吨/年、氮氧化物11.15吨/年、VOCs171.545吨/年。</w:t>
            </w:r>
          </w:p>
          <w:p w14:paraId="5E80D2BD">
            <w:pPr>
              <w:widowControl/>
              <w:spacing w:line="240" w:lineRule="auto"/>
              <w:ind w:firstLine="0" w:firstLineChars="0"/>
              <w:rPr>
                <w:color w:val="auto"/>
                <w:kern w:val="21"/>
                <w:sz w:val="21"/>
                <w:szCs w:val="21"/>
              </w:rPr>
            </w:pPr>
            <w:r>
              <w:rPr>
                <w:rFonts w:hint="eastAsia"/>
                <w:color w:val="auto"/>
                <w:kern w:val="21"/>
                <w:sz w:val="21"/>
                <w:szCs w:val="21"/>
              </w:rPr>
              <w:t>（2）废水污染物排放量：废水排放量：232.29万吨/年、COD 246.636吨/年、氨氮19.883吨/年、SS 90.404吨/年、总磷1.71吨/年。</w:t>
            </w:r>
          </w:p>
        </w:tc>
        <w:tc>
          <w:tcPr>
            <w:tcW w:w="1480" w:type="pct"/>
            <w:tcBorders>
              <w:tl2br w:val="nil"/>
              <w:tr2bl w:val="nil"/>
            </w:tcBorders>
            <w:shd w:val="clear" w:color="auto" w:fill="auto"/>
            <w:vAlign w:val="center"/>
          </w:tcPr>
          <w:p w14:paraId="0F218ACF">
            <w:pPr>
              <w:overflowPunct w:val="0"/>
              <w:spacing w:line="240" w:lineRule="auto"/>
              <w:ind w:firstLine="0" w:firstLineChars="0"/>
              <w:jc w:val="center"/>
              <w:rPr>
                <w:color w:val="auto"/>
                <w:kern w:val="21"/>
                <w:sz w:val="21"/>
                <w:szCs w:val="21"/>
              </w:rPr>
            </w:pPr>
            <w:r>
              <w:rPr>
                <w:color w:val="auto"/>
                <w:kern w:val="21"/>
                <w:sz w:val="21"/>
                <w:szCs w:val="21"/>
              </w:rPr>
              <w:t>本项目废气、废水排放总量在区域内平衡；固废排放量为零。</w:t>
            </w:r>
          </w:p>
        </w:tc>
        <w:tc>
          <w:tcPr>
            <w:tcW w:w="562" w:type="pct"/>
            <w:tcBorders>
              <w:tl2br w:val="nil"/>
              <w:tr2bl w:val="nil"/>
            </w:tcBorders>
            <w:shd w:val="clear" w:color="auto" w:fill="auto"/>
            <w:vAlign w:val="center"/>
          </w:tcPr>
          <w:p w14:paraId="14D6DB21">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31822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98" w:type="pct"/>
            <w:vMerge w:val="continue"/>
            <w:tcBorders>
              <w:tl2br w:val="nil"/>
              <w:tr2bl w:val="nil"/>
            </w:tcBorders>
            <w:shd w:val="clear" w:color="auto" w:fill="auto"/>
            <w:vAlign w:val="center"/>
          </w:tcPr>
          <w:p w14:paraId="6FB1730C">
            <w:pPr>
              <w:overflowPunct w:val="0"/>
              <w:spacing w:line="240" w:lineRule="auto"/>
              <w:ind w:firstLine="0" w:firstLineChars="0"/>
              <w:jc w:val="center"/>
              <w:rPr>
                <w:color w:val="auto"/>
                <w:kern w:val="21"/>
                <w:sz w:val="21"/>
                <w:szCs w:val="21"/>
              </w:rPr>
            </w:pPr>
          </w:p>
        </w:tc>
        <w:tc>
          <w:tcPr>
            <w:tcW w:w="624" w:type="pct"/>
            <w:tcBorders>
              <w:tl2br w:val="nil"/>
              <w:tr2bl w:val="nil"/>
            </w:tcBorders>
            <w:shd w:val="clear" w:color="auto" w:fill="auto"/>
            <w:vAlign w:val="center"/>
          </w:tcPr>
          <w:p w14:paraId="05978A33">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环境风险防控</w:t>
            </w:r>
          </w:p>
        </w:tc>
        <w:tc>
          <w:tcPr>
            <w:tcW w:w="1934" w:type="pct"/>
            <w:tcBorders>
              <w:tl2br w:val="nil"/>
              <w:tr2bl w:val="nil"/>
            </w:tcBorders>
            <w:shd w:val="clear" w:color="auto" w:fill="auto"/>
            <w:vAlign w:val="center"/>
          </w:tcPr>
          <w:p w14:paraId="219D7D4D">
            <w:pPr>
              <w:overflowPunct w:val="0"/>
              <w:spacing w:line="240" w:lineRule="auto"/>
              <w:ind w:firstLine="0" w:firstLineChars="0"/>
              <w:rPr>
                <w:color w:val="auto"/>
                <w:kern w:val="21"/>
                <w:sz w:val="21"/>
                <w:szCs w:val="21"/>
              </w:rPr>
            </w:pPr>
            <w:r>
              <w:rPr>
                <w:rFonts w:hint="eastAsia"/>
                <w:color w:val="auto"/>
                <w:kern w:val="21"/>
                <w:sz w:val="21"/>
                <w:szCs w:val="21"/>
              </w:rPr>
              <w:t>（1）完成区内较大及以上环境风险企业环境风险评估、应急预案修编及备案、“八查八改”和安全达标建设工作。（2）完成开发区环境风险评估和应急预案修编备案工作，定期演练，防止和减轻事故危害。</w:t>
            </w:r>
          </w:p>
        </w:tc>
        <w:tc>
          <w:tcPr>
            <w:tcW w:w="1480" w:type="pct"/>
            <w:tcBorders>
              <w:tl2br w:val="nil"/>
              <w:tr2bl w:val="nil"/>
            </w:tcBorders>
            <w:shd w:val="clear" w:color="auto" w:fill="auto"/>
            <w:vAlign w:val="center"/>
          </w:tcPr>
          <w:p w14:paraId="31DCC459">
            <w:pPr>
              <w:overflowPunct w:val="0"/>
              <w:spacing w:line="240" w:lineRule="auto"/>
              <w:ind w:firstLine="0" w:firstLineChars="0"/>
              <w:rPr>
                <w:color w:val="auto"/>
                <w:kern w:val="21"/>
                <w:sz w:val="21"/>
                <w:szCs w:val="21"/>
              </w:rPr>
            </w:pPr>
            <w:r>
              <w:rPr>
                <w:color w:val="auto"/>
                <w:kern w:val="21"/>
                <w:sz w:val="21"/>
                <w:szCs w:val="21"/>
              </w:rPr>
              <w:t>连云港经济技术开发区已于2022年1月发布应急预案。企业承诺本项目建成后将启动编制应急预案，与园区突发环境事件应急预案相衔接。</w:t>
            </w:r>
          </w:p>
        </w:tc>
        <w:tc>
          <w:tcPr>
            <w:tcW w:w="562" w:type="pct"/>
            <w:tcBorders>
              <w:tl2br w:val="nil"/>
              <w:tr2bl w:val="nil"/>
            </w:tcBorders>
            <w:shd w:val="clear" w:color="auto" w:fill="auto"/>
            <w:vAlign w:val="center"/>
          </w:tcPr>
          <w:p w14:paraId="7D6547D8">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3A05A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98" w:type="pct"/>
            <w:vMerge w:val="continue"/>
            <w:tcBorders>
              <w:tl2br w:val="nil"/>
              <w:tr2bl w:val="nil"/>
            </w:tcBorders>
            <w:shd w:val="clear" w:color="auto" w:fill="auto"/>
            <w:vAlign w:val="center"/>
          </w:tcPr>
          <w:p w14:paraId="6A4054BF">
            <w:pPr>
              <w:overflowPunct w:val="0"/>
              <w:spacing w:line="240" w:lineRule="auto"/>
              <w:ind w:firstLine="0" w:firstLineChars="0"/>
              <w:jc w:val="center"/>
              <w:rPr>
                <w:color w:val="auto"/>
                <w:kern w:val="21"/>
                <w:sz w:val="21"/>
                <w:szCs w:val="21"/>
              </w:rPr>
            </w:pPr>
          </w:p>
        </w:tc>
        <w:tc>
          <w:tcPr>
            <w:tcW w:w="624" w:type="pct"/>
            <w:tcBorders>
              <w:tl2br w:val="nil"/>
              <w:tr2bl w:val="nil"/>
            </w:tcBorders>
            <w:shd w:val="clear" w:color="auto" w:fill="auto"/>
            <w:vAlign w:val="center"/>
          </w:tcPr>
          <w:p w14:paraId="410023D0">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资源利用效率要求</w:t>
            </w:r>
          </w:p>
        </w:tc>
        <w:tc>
          <w:tcPr>
            <w:tcW w:w="1934" w:type="pct"/>
            <w:tcBorders>
              <w:tl2br w:val="nil"/>
              <w:tr2bl w:val="nil"/>
            </w:tcBorders>
            <w:shd w:val="clear" w:color="auto" w:fill="auto"/>
            <w:vAlign w:val="center"/>
          </w:tcPr>
          <w:p w14:paraId="3D6AC924">
            <w:pPr>
              <w:widowControl/>
              <w:spacing w:line="240" w:lineRule="auto"/>
              <w:ind w:firstLine="0" w:firstLineChars="0"/>
              <w:jc w:val="center"/>
              <w:rPr>
                <w:color w:val="auto"/>
                <w:kern w:val="21"/>
                <w:sz w:val="21"/>
                <w:szCs w:val="21"/>
              </w:rPr>
            </w:pPr>
            <w:r>
              <w:rPr>
                <w:rFonts w:hint="eastAsia"/>
                <w:color w:val="auto"/>
                <w:kern w:val="21"/>
                <w:sz w:val="21"/>
                <w:szCs w:val="21"/>
              </w:rPr>
              <w:t>单位工业增加值新鲜水耗（吨/万元）≦8、单位工业增加值能耗（吨标煤/万元）≦0.5。</w:t>
            </w:r>
          </w:p>
        </w:tc>
        <w:tc>
          <w:tcPr>
            <w:tcW w:w="1480" w:type="pct"/>
            <w:tcBorders>
              <w:tl2br w:val="nil"/>
              <w:tr2bl w:val="nil"/>
            </w:tcBorders>
            <w:shd w:val="clear" w:color="auto" w:fill="auto"/>
            <w:vAlign w:val="center"/>
          </w:tcPr>
          <w:p w14:paraId="44B3371B">
            <w:pPr>
              <w:overflowPunct w:val="0"/>
              <w:spacing w:line="240" w:lineRule="auto"/>
              <w:ind w:firstLine="0" w:firstLineChars="0"/>
              <w:jc w:val="center"/>
              <w:rPr>
                <w:color w:val="auto"/>
                <w:sz w:val="21"/>
                <w:szCs w:val="21"/>
              </w:rPr>
            </w:pPr>
            <w:r>
              <w:rPr>
                <w:color w:val="auto"/>
                <w:sz w:val="21"/>
                <w:szCs w:val="21"/>
              </w:rPr>
              <w:t>本项目采用先进的设备、更高效的原辅材料，清洁生产水平达到国内清洁生产先进水平；不涉及高污染燃料。</w:t>
            </w:r>
          </w:p>
        </w:tc>
        <w:tc>
          <w:tcPr>
            <w:tcW w:w="562" w:type="pct"/>
            <w:tcBorders>
              <w:tl2br w:val="nil"/>
              <w:tr2bl w:val="nil"/>
            </w:tcBorders>
            <w:shd w:val="clear" w:color="auto" w:fill="auto"/>
            <w:vAlign w:val="center"/>
          </w:tcPr>
          <w:p w14:paraId="2A55D629">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bl>
    <w:p w14:paraId="05749485">
      <w:pPr>
        <w:widowControl/>
        <w:ind w:firstLine="480"/>
        <w:rPr>
          <w:rFonts w:cs="宋体"/>
          <w:b/>
          <w:bCs/>
          <w:color w:val="auto"/>
          <w:sz w:val="21"/>
          <w:lang w:bidi="ar"/>
        </w:rPr>
      </w:pPr>
      <w:r>
        <w:rPr>
          <w:rFonts w:hint="eastAsia" w:cs="宋体"/>
          <w:color w:val="auto"/>
          <w:kern w:val="0"/>
          <w:lang w:bidi="ar"/>
        </w:rPr>
        <w:t>综上，本项目的选址符合《江苏省国家级生态保护红线规划》（苏政发〔2018〕74 号）、《江苏省生态空间管控区域规划》（苏政发〔2020〕1号）、《市生态环境局关于印发〈连云港市“三线一单”生态环境分区管控实施方案〉具体管控要求的通知》（连环发〔2021〕172号）的相关要求。</w:t>
      </w:r>
    </w:p>
    <w:p w14:paraId="64727274">
      <w:pPr>
        <w:ind w:firstLine="480"/>
        <w:rPr>
          <w:color w:val="auto"/>
        </w:rPr>
      </w:pPr>
      <w:r>
        <w:rPr>
          <w:rFonts w:hint="eastAsia"/>
          <w:color w:val="auto"/>
        </w:rPr>
        <w:t>本项目位于连云港经济技术开发区临港产业区西北片区内，属于淮河流域。经对照《江苏省2023年度生态环境分区管控动态更新成果公告》，具体分析情况见表1.4.4-4、附图1.4-3。</w:t>
      </w:r>
    </w:p>
    <w:p w14:paraId="159DB891">
      <w:pPr>
        <w:pStyle w:val="1356"/>
        <w:spacing w:line="240" w:lineRule="auto"/>
        <w:ind w:firstLine="0" w:firstLineChars="0"/>
        <w:jc w:val="center"/>
        <w:rPr>
          <w:b/>
          <w:color w:val="auto"/>
        </w:rPr>
      </w:pPr>
      <w:r>
        <w:rPr>
          <w:rFonts w:hint="eastAsia"/>
          <w:b/>
          <w:color w:val="auto"/>
        </w:rPr>
        <w:t>表</w:t>
      </w:r>
      <w:r>
        <w:rPr>
          <w:b/>
          <w:color w:val="auto"/>
        </w:rPr>
        <w:t>1</w:t>
      </w:r>
      <w:r>
        <w:rPr>
          <w:rFonts w:hint="eastAsia"/>
          <w:b/>
          <w:color w:val="auto"/>
        </w:rPr>
        <w:t>.4.4-4</w:t>
      </w:r>
      <w:r>
        <w:rPr>
          <w:b/>
          <w:color w:val="auto"/>
        </w:rPr>
        <w:t xml:space="preserve">  </w:t>
      </w:r>
      <w:r>
        <w:rPr>
          <w:rFonts w:hint="eastAsia"/>
          <w:b/>
          <w:color w:val="auto"/>
        </w:rPr>
        <w:t>本项目与《江苏省2023年度生态环境分区管控动态更新成果公告》</w:t>
      </w:r>
    </w:p>
    <w:p w14:paraId="5EBE3FC8">
      <w:pPr>
        <w:pStyle w:val="1356"/>
        <w:spacing w:line="240" w:lineRule="auto"/>
        <w:ind w:firstLine="0" w:firstLineChars="0"/>
        <w:jc w:val="center"/>
        <w:rPr>
          <w:b/>
          <w:color w:val="auto"/>
        </w:rPr>
      </w:pPr>
      <w:r>
        <w:rPr>
          <w:b/>
          <w:color w:val="auto"/>
        </w:rPr>
        <w:t>相符性分析</w:t>
      </w:r>
    </w:p>
    <w:tbl>
      <w:tblPr>
        <w:tblStyle w:val="88"/>
        <w:tblW w:w="45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4250"/>
        <w:gridCol w:w="2511"/>
        <w:gridCol w:w="707"/>
      </w:tblGrid>
      <w:tr w14:paraId="54DDC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115" w:type="pct"/>
            <w:gridSpan w:val="2"/>
            <w:tcBorders>
              <w:tl2br w:val="nil"/>
              <w:tr2bl w:val="nil"/>
            </w:tcBorders>
            <w:shd w:val="clear" w:color="auto" w:fill="auto"/>
            <w:vAlign w:val="center"/>
          </w:tcPr>
          <w:p w14:paraId="43A1C2D5">
            <w:pPr>
              <w:overflowPunct w:val="0"/>
              <w:spacing w:line="240" w:lineRule="auto"/>
              <w:ind w:firstLine="0" w:firstLineChars="0"/>
              <w:jc w:val="center"/>
              <w:rPr>
                <w:b/>
                <w:bCs/>
                <w:color w:val="auto"/>
                <w:kern w:val="21"/>
                <w:sz w:val="21"/>
                <w:szCs w:val="21"/>
              </w:rPr>
            </w:pPr>
            <w:r>
              <w:rPr>
                <w:rFonts w:hint="eastAsia"/>
                <w:b/>
                <w:bCs/>
                <w:color w:val="auto"/>
                <w:kern w:val="21"/>
                <w:sz w:val="21"/>
                <w:szCs w:val="21"/>
              </w:rPr>
              <w:t>重点管控要求</w:t>
            </w:r>
          </w:p>
        </w:tc>
        <w:tc>
          <w:tcPr>
            <w:tcW w:w="1471" w:type="pct"/>
            <w:tcBorders>
              <w:tl2br w:val="nil"/>
              <w:tr2bl w:val="nil"/>
            </w:tcBorders>
            <w:shd w:val="clear" w:color="auto" w:fill="auto"/>
            <w:vAlign w:val="center"/>
          </w:tcPr>
          <w:p w14:paraId="2FBC43CA">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412" w:type="pct"/>
            <w:tcBorders>
              <w:tl2br w:val="nil"/>
              <w:tr2bl w:val="nil"/>
            </w:tcBorders>
            <w:shd w:val="clear" w:color="auto" w:fill="auto"/>
            <w:vAlign w:val="center"/>
          </w:tcPr>
          <w:p w14:paraId="64817120">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2DC6C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5000" w:type="pct"/>
            <w:gridSpan w:val="4"/>
            <w:tcBorders>
              <w:tl2br w:val="nil"/>
              <w:tr2bl w:val="nil"/>
            </w:tcBorders>
            <w:shd w:val="clear" w:color="auto" w:fill="auto"/>
            <w:vAlign w:val="center"/>
          </w:tcPr>
          <w:p w14:paraId="5A955410">
            <w:pPr>
              <w:overflowPunct w:val="0"/>
              <w:spacing w:line="240" w:lineRule="auto"/>
              <w:ind w:firstLine="0" w:firstLineChars="0"/>
              <w:jc w:val="center"/>
              <w:rPr>
                <w:rFonts w:cs="宋体"/>
                <w:color w:val="auto"/>
                <w:sz w:val="21"/>
                <w:szCs w:val="21"/>
                <w:lang w:bidi="ar"/>
              </w:rPr>
            </w:pPr>
            <w:r>
              <w:rPr>
                <w:rFonts w:hint="eastAsia" w:cs="宋体"/>
                <w:b/>
                <w:bCs/>
                <w:color w:val="auto"/>
                <w:sz w:val="21"/>
                <w:szCs w:val="21"/>
                <w:lang w:bidi="ar"/>
              </w:rPr>
              <w:t>淮河流域</w:t>
            </w:r>
          </w:p>
        </w:tc>
      </w:tr>
      <w:tr w14:paraId="00293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25" w:type="pct"/>
            <w:tcBorders>
              <w:tl2br w:val="nil"/>
              <w:tr2bl w:val="nil"/>
            </w:tcBorders>
            <w:shd w:val="clear" w:color="auto" w:fill="auto"/>
            <w:vAlign w:val="center"/>
          </w:tcPr>
          <w:p w14:paraId="3D7D8D24">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空间布局约束</w:t>
            </w:r>
          </w:p>
        </w:tc>
        <w:tc>
          <w:tcPr>
            <w:tcW w:w="2490" w:type="pct"/>
            <w:tcBorders>
              <w:tl2br w:val="nil"/>
              <w:tr2bl w:val="nil"/>
            </w:tcBorders>
            <w:shd w:val="clear" w:color="auto" w:fill="auto"/>
            <w:vAlign w:val="center"/>
          </w:tcPr>
          <w:p w14:paraId="149C7E24">
            <w:pPr>
              <w:widowControl/>
              <w:spacing w:line="240" w:lineRule="auto"/>
              <w:ind w:firstLine="0" w:firstLineChars="0"/>
              <w:rPr>
                <w:color w:val="auto"/>
                <w:kern w:val="21"/>
                <w:sz w:val="21"/>
                <w:szCs w:val="21"/>
              </w:rPr>
            </w:pPr>
            <w:r>
              <w:rPr>
                <w:rFonts w:hint="eastAsia"/>
                <w:color w:val="auto"/>
                <w:kern w:val="21"/>
                <w:sz w:val="21"/>
                <w:szCs w:val="21"/>
              </w:rPr>
              <w:t>1．禁止在淮河流域新建化学制浆造纸企业，禁止在淮河流域新建制革、化工、印染、电镀、酿造等污染严重的小型企业。</w:t>
            </w:r>
          </w:p>
          <w:p w14:paraId="529FD94F">
            <w:pPr>
              <w:widowControl/>
              <w:spacing w:line="240" w:lineRule="auto"/>
              <w:ind w:firstLine="0" w:firstLineChars="0"/>
              <w:rPr>
                <w:color w:val="auto"/>
                <w:kern w:val="21"/>
                <w:sz w:val="21"/>
                <w:szCs w:val="21"/>
              </w:rPr>
            </w:pPr>
            <w:r>
              <w:rPr>
                <w:rFonts w:hint="eastAsia"/>
                <w:color w:val="auto"/>
                <w:kern w:val="21"/>
                <w:sz w:val="21"/>
                <w:szCs w:val="21"/>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14:paraId="5960884F">
            <w:pPr>
              <w:widowControl/>
              <w:spacing w:line="240" w:lineRule="auto"/>
              <w:ind w:firstLine="0" w:firstLineChars="0"/>
              <w:rPr>
                <w:color w:val="auto"/>
                <w:kern w:val="21"/>
                <w:sz w:val="21"/>
                <w:szCs w:val="21"/>
              </w:rPr>
            </w:pPr>
            <w:r>
              <w:rPr>
                <w:rFonts w:hint="eastAsia"/>
                <w:color w:val="auto"/>
                <w:kern w:val="21"/>
                <w:sz w:val="21"/>
                <w:szCs w:val="21"/>
              </w:rPr>
              <w:t>3、在通榆河一级保护区，禁止新建、扩建直接或者间接向水体排放污染物的项目，禁止建设工业固体废物集中贮存、利用、处置设施或者场所以及城市生活垃圾填埋场，禁止新建规模化畜禽养殖场。</w:t>
            </w:r>
          </w:p>
        </w:tc>
        <w:tc>
          <w:tcPr>
            <w:tcW w:w="1471" w:type="pct"/>
            <w:tcBorders>
              <w:tl2br w:val="nil"/>
              <w:tr2bl w:val="nil"/>
            </w:tcBorders>
            <w:shd w:val="clear" w:color="auto" w:fill="auto"/>
            <w:vAlign w:val="center"/>
          </w:tcPr>
          <w:p w14:paraId="675A2C04">
            <w:pPr>
              <w:overflowPunct w:val="0"/>
              <w:spacing w:line="240" w:lineRule="auto"/>
              <w:ind w:firstLine="0" w:firstLineChars="0"/>
              <w:rPr>
                <w:color w:val="auto"/>
                <w:kern w:val="21"/>
                <w:sz w:val="21"/>
                <w:szCs w:val="21"/>
              </w:rPr>
            </w:pPr>
            <w:r>
              <w:rPr>
                <w:rFonts w:hint="eastAsia"/>
                <w:color w:val="auto"/>
                <w:kern w:val="21"/>
                <w:sz w:val="21"/>
                <w:szCs w:val="21"/>
              </w:rPr>
              <w:t>本项目位于连云港经济技术开发区临港产业区西北片区内，不在通榆河一、二级保护区范围内。本项目属于C3311金属结构制造，对应产品为太阳能光伏铝边框，不属于上述污染严重的小型企业。</w:t>
            </w:r>
          </w:p>
        </w:tc>
        <w:tc>
          <w:tcPr>
            <w:tcW w:w="412" w:type="pct"/>
            <w:tcBorders>
              <w:tl2br w:val="nil"/>
              <w:tr2bl w:val="nil"/>
            </w:tcBorders>
            <w:shd w:val="clear" w:color="auto" w:fill="auto"/>
            <w:vAlign w:val="center"/>
          </w:tcPr>
          <w:p w14:paraId="0957962F">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71A1D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25" w:type="pct"/>
            <w:tcBorders>
              <w:tl2br w:val="nil"/>
              <w:tr2bl w:val="nil"/>
            </w:tcBorders>
            <w:shd w:val="clear" w:color="auto" w:fill="auto"/>
            <w:vAlign w:val="center"/>
          </w:tcPr>
          <w:p w14:paraId="495AFB04">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污染物排放管控</w:t>
            </w:r>
          </w:p>
        </w:tc>
        <w:tc>
          <w:tcPr>
            <w:tcW w:w="2490" w:type="pct"/>
            <w:tcBorders>
              <w:tl2br w:val="nil"/>
              <w:tr2bl w:val="nil"/>
            </w:tcBorders>
            <w:shd w:val="clear" w:color="auto" w:fill="auto"/>
            <w:vAlign w:val="center"/>
          </w:tcPr>
          <w:p w14:paraId="425C994D">
            <w:pPr>
              <w:widowControl/>
              <w:spacing w:line="240" w:lineRule="auto"/>
              <w:ind w:firstLine="0" w:firstLineChars="0"/>
              <w:rPr>
                <w:color w:val="auto"/>
                <w:kern w:val="21"/>
                <w:sz w:val="21"/>
                <w:szCs w:val="21"/>
              </w:rPr>
            </w:pPr>
            <w:r>
              <w:rPr>
                <w:rFonts w:hint="eastAsia"/>
                <w:color w:val="auto"/>
                <w:kern w:val="21"/>
                <w:sz w:val="21"/>
                <w:szCs w:val="21"/>
              </w:rPr>
              <w:t>按照《淮河流域水污染防治暂行条例》实施排污总量控制制度。</w:t>
            </w:r>
          </w:p>
        </w:tc>
        <w:tc>
          <w:tcPr>
            <w:tcW w:w="1471" w:type="pct"/>
            <w:tcBorders>
              <w:tl2br w:val="nil"/>
              <w:tr2bl w:val="nil"/>
            </w:tcBorders>
            <w:shd w:val="clear" w:color="auto" w:fill="auto"/>
            <w:vAlign w:val="center"/>
          </w:tcPr>
          <w:p w14:paraId="757206D2">
            <w:pPr>
              <w:overflowPunct w:val="0"/>
              <w:spacing w:line="240" w:lineRule="auto"/>
              <w:ind w:firstLine="0" w:firstLineChars="0"/>
              <w:jc w:val="center"/>
              <w:rPr>
                <w:color w:val="auto"/>
                <w:kern w:val="21"/>
                <w:sz w:val="21"/>
                <w:szCs w:val="21"/>
              </w:rPr>
            </w:pPr>
            <w:r>
              <w:rPr>
                <w:color w:val="auto"/>
                <w:kern w:val="21"/>
                <w:sz w:val="21"/>
                <w:szCs w:val="21"/>
              </w:rPr>
              <w:t>本项目废气、废水排放总量在区域内平衡；固废排放量为零。</w:t>
            </w:r>
          </w:p>
        </w:tc>
        <w:tc>
          <w:tcPr>
            <w:tcW w:w="412" w:type="pct"/>
            <w:tcBorders>
              <w:tl2br w:val="nil"/>
              <w:tr2bl w:val="nil"/>
            </w:tcBorders>
            <w:shd w:val="clear" w:color="auto" w:fill="auto"/>
            <w:vAlign w:val="center"/>
          </w:tcPr>
          <w:p w14:paraId="327C9D0D">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7CEB5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25" w:type="pct"/>
            <w:tcBorders>
              <w:tl2br w:val="nil"/>
              <w:tr2bl w:val="nil"/>
            </w:tcBorders>
            <w:shd w:val="clear" w:color="auto" w:fill="auto"/>
            <w:vAlign w:val="center"/>
          </w:tcPr>
          <w:p w14:paraId="67FB0D73">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环境风险防控</w:t>
            </w:r>
          </w:p>
        </w:tc>
        <w:tc>
          <w:tcPr>
            <w:tcW w:w="2490" w:type="pct"/>
            <w:tcBorders>
              <w:tl2br w:val="nil"/>
              <w:tr2bl w:val="nil"/>
            </w:tcBorders>
            <w:shd w:val="clear" w:color="auto" w:fill="auto"/>
            <w:vAlign w:val="center"/>
          </w:tcPr>
          <w:p w14:paraId="253FDC68">
            <w:pPr>
              <w:overflowPunct w:val="0"/>
              <w:spacing w:line="240" w:lineRule="auto"/>
              <w:ind w:firstLine="0" w:firstLineChars="0"/>
              <w:rPr>
                <w:color w:val="auto"/>
                <w:kern w:val="21"/>
                <w:sz w:val="21"/>
                <w:szCs w:val="21"/>
              </w:rPr>
            </w:pPr>
            <w:r>
              <w:rPr>
                <w:color w:val="auto"/>
                <w:kern w:val="21"/>
                <w:sz w:val="21"/>
                <w:szCs w:val="21"/>
              </w:rPr>
              <w:t>禁止运输剧毒化学品以及国家规定禁止通过内河运输的其他危险化学品的船舶进入通榆河及主要供水河道。</w:t>
            </w:r>
          </w:p>
        </w:tc>
        <w:tc>
          <w:tcPr>
            <w:tcW w:w="1471" w:type="pct"/>
            <w:tcBorders>
              <w:tl2br w:val="nil"/>
              <w:tr2bl w:val="nil"/>
            </w:tcBorders>
            <w:shd w:val="clear" w:color="auto" w:fill="auto"/>
            <w:vAlign w:val="center"/>
          </w:tcPr>
          <w:p w14:paraId="1DF73D47">
            <w:pPr>
              <w:overflowPunct w:val="0"/>
              <w:spacing w:line="240" w:lineRule="auto"/>
              <w:ind w:firstLine="0" w:firstLineChars="0"/>
              <w:jc w:val="center"/>
              <w:rPr>
                <w:color w:val="auto"/>
                <w:kern w:val="21"/>
                <w:sz w:val="21"/>
                <w:szCs w:val="21"/>
              </w:rPr>
            </w:pPr>
            <w:r>
              <w:rPr>
                <w:color w:val="auto"/>
                <w:kern w:val="21"/>
                <w:sz w:val="21"/>
                <w:szCs w:val="21"/>
              </w:rPr>
              <w:t>本项目不涉及航道运输剧毒化学品。</w:t>
            </w:r>
          </w:p>
        </w:tc>
        <w:tc>
          <w:tcPr>
            <w:tcW w:w="412" w:type="pct"/>
            <w:tcBorders>
              <w:tl2br w:val="nil"/>
              <w:tr2bl w:val="nil"/>
            </w:tcBorders>
            <w:shd w:val="clear" w:color="auto" w:fill="auto"/>
            <w:vAlign w:val="center"/>
          </w:tcPr>
          <w:p w14:paraId="30F688D0">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1CC6E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25" w:type="pct"/>
            <w:tcBorders>
              <w:tl2br w:val="nil"/>
              <w:tr2bl w:val="nil"/>
            </w:tcBorders>
            <w:shd w:val="clear" w:color="auto" w:fill="auto"/>
            <w:vAlign w:val="center"/>
          </w:tcPr>
          <w:p w14:paraId="6BE85B95">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资源利用效率要求</w:t>
            </w:r>
          </w:p>
        </w:tc>
        <w:tc>
          <w:tcPr>
            <w:tcW w:w="2490" w:type="pct"/>
            <w:tcBorders>
              <w:tl2br w:val="nil"/>
              <w:tr2bl w:val="nil"/>
            </w:tcBorders>
            <w:shd w:val="clear" w:color="auto" w:fill="auto"/>
            <w:vAlign w:val="center"/>
          </w:tcPr>
          <w:p w14:paraId="4C0E5C23">
            <w:pPr>
              <w:widowControl/>
              <w:spacing w:line="240" w:lineRule="auto"/>
              <w:ind w:firstLine="0" w:firstLineChars="0"/>
              <w:jc w:val="center"/>
              <w:rPr>
                <w:color w:val="auto"/>
                <w:kern w:val="21"/>
                <w:sz w:val="21"/>
                <w:szCs w:val="21"/>
              </w:rPr>
            </w:pPr>
            <w:r>
              <w:rPr>
                <w:color w:val="auto"/>
                <w:kern w:val="21"/>
                <w:sz w:val="21"/>
                <w:szCs w:val="21"/>
              </w:rPr>
              <w:t>限制缺水地区发展耗水型产业，调整缺水地区的产业结构，严格控制高耗水、高耗能和重污染的建设项目。</w:t>
            </w:r>
          </w:p>
        </w:tc>
        <w:tc>
          <w:tcPr>
            <w:tcW w:w="1471" w:type="pct"/>
            <w:tcBorders>
              <w:tl2br w:val="nil"/>
              <w:tr2bl w:val="nil"/>
            </w:tcBorders>
            <w:shd w:val="clear" w:color="auto" w:fill="auto"/>
            <w:vAlign w:val="center"/>
          </w:tcPr>
          <w:p w14:paraId="5DF1920A">
            <w:pPr>
              <w:overflowPunct w:val="0"/>
              <w:spacing w:line="240" w:lineRule="auto"/>
              <w:ind w:firstLine="0" w:firstLineChars="0"/>
              <w:jc w:val="center"/>
              <w:rPr>
                <w:color w:val="auto"/>
                <w:sz w:val="21"/>
                <w:szCs w:val="21"/>
              </w:rPr>
            </w:pPr>
            <w:r>
              <w:rPr>
                <w:color w:val="auto"/>
                <w:kern w:val="0"/>
                <w:sz w:val="21"/>
                <w:szCs w:val="21"/>
                <w:lang w:bidi="ar"/>
              </w:rPr>
              <w:t>项目所在地不属于缺水地区。</w:t>
            </w:r>
          </w:p>
        </w:tc>
        <w:tc>
          <w:tcPr>
            <w:tcW w:w="412" w:type="pct"/>
            <w:tcBorders>
              <w:tl2br w:val="nil"/>
              <w:tr2bl w:val="nil"/>
            </w:tcBorders>
            <w:shd w:val="clear" w:color="auto" w:fill="auto"/>
            <w:vAlign w:val="center"/>
          </w:tcPr>
          <w:p w14:paraId="177C75FB">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bl>
    <w:p w14:paraId="162626E0">
      <w:pPr>
        <w:spacing w:before="120" w:beforeLines="50"/>
        <w:ind w:firstLine="0" w:firstLineChars="0"/>
        <w:outlineLvl w:val="3"/>
        <w:rPr>
          <w:b/>
          <w:color w:val="auto"/>
        </w:rPr>
      </w:pPr>
      <w:r>
        <w:rPr>
          <w:rFonts w:hint="eastAsia"/>
          <w:b/>
          <w:color w:val="auto"/>
        </w:rPr>
        <w:t>1.4.4.2 与环境质量底线相符性分析</w:t>
      </w:r>
    </w:p>
    <w:p w14:paraId="50AE170C">
      <w:pPr>
        <w:ind w:firstLine="480"/>
        <w:rPr>
          <w:color w:val="auto"/>
        </w:rPr>
      </w:pPr>
      <w:r>
        <w:rPr>
          <w:rFonts w:hint="eastAsia" w:cs="宋体"/>
          <w:color w:val="auto"/>
          <w:lang w:bidi="ar"/>
        </w:rPr>
        <w:t>根据《关于印发连云港市环境质量底线管理办法（试行）的通知》（连政办发</w:t>
      </w:r>
      <w:r>
        <w:rPr>
          <w:rFonts w:hint="eastAsia"/>
          <w:color w:val="auto"/>
          <w:lang w:bidi="ar"/>
        </w:rPr>
        <w:t>〔</w:t>
      </w:r>
      <w:r>
        <w:rPr>
          <w:color w:val="auto"/>
          <w:lang w:bidi="ar"/>
        </w:rPr>
        <w:t>2018</w:t>
      </w:r>
      <w:r>
        <w:rPr>
          <w:rFonts w:hint="eastAsia"/>
          <w:color w:val="auto"/>
          <w:lang w:bidi="ar"/>
        </w:rPr>
        <w:t>〕</w:t>
      </w:r>
      <w:r>
        <w:rPr>
          <w:color w:val="auto"/>
          <w:lang w:bidi="ar"/>
        </w:rPr>
        <w:t>38</w:t>
      </w:r>
      <w:r>
        <w:rPr>
          <w:rFonts w:hint="eastAsia" w:cs="宋体"/>
          <w:color w:val="auto"/>
          <w:lang w:bidi="ar"/>
        </w:rPr>
        <w:t>号）要求，本环评对照该文件进行符合性分析，具体分析结果见表</w:t>
      </w:r>
      <w:r>
        <w:rPr>
          <w:color w:val="auto"/>
          <w:lang w:bidi="ar"/>
        </w:rPr>
        <w:t>1</w:t>
      </w:r>
      <w:r>
        <w:rPr>
          <w:rFonts w:hint="eastAsia"/>
          <w:color w:val="auto"/>
          <w:lang w:bidi="ar"/>
        </w:rPr>
        <w:t>.4.4-5</w:t>
      </w:r>
      <w:r>
        <w:rPr>
          <w:rFonts w:hint="eastAsia" w:cs="宋体"/>
          <w:color w:val="auto"/>
          <w:lang w:bidi="ar"/>
        </w:rPr>
        <w:t>。</w:t>
      </w:r>
    </w:p>
    <w:p w14:paraId="41B6FFA0">
      <w:pPr>
        <w:spacing w:line="240" w:lineRule="auto"/>
        <w:ind w:firstLine="0" w:firstLineChars="0"/>
        <w:jc w:val="center"/>
        <w:rPr>
          <w:b/>
          <w:bCs/>
          <w:color w:val="auto"/>
        </w:rPr>
      </w:pPr>
      <w:r>
        <w:rPr>
          <w:rFonts w:hint="eastAsia" w:cs="宋体"/>
          <w:b/>
          <w:bCs/>
          <w:color w:val="auto"/>
          <w:lang w:bidi="ar"/>
        </w:rPr>
        <w:t>表</w:t>
      </w:r>
      <w:r>
        <w:rPr>
          <w:b/>
          <w:bCs/>
          <w:color w:val="auto"/>
          <w:lang w:bidi="ar"/>
        </w:rPr>
        <w:t>1</w:t>
      </w:r>
      <w:r>
        <w:rPr>
          <w:rFonts w:hint="eastAsia"/>
          <w:b/>
          <w:bCs/>
          <w:color w:val="auto"/>
          <w:lang w:bidi="ar"/>
        </w:rPr>
        <w:t>.4.4-5</w:t>
      </w:r>
      <w:r>
        <w:rPr>
          <w:b/>
          <w:bCs/>
          <w:color w:val="auto"/>
          <w:lang w:bidi="ar"/>
        </w:rPr>
        <w:t xml:space="preserve">  </w:t>
      </w:r>
      <w:r>
        <w:rPr>
          <w:rFonts w:hint="eastAsia" w:cs="宋体"/>
          <w:b/>
          <w:bCs/>
          <w:color w:val="auto"/>
          <w:lang w:bidi="ar"/>
        </w:rPr>
        <w:t>项目与连政办发</w:t>
      </w:r>
      <w:r>
        <w:rPr>
          <w:rFonts w:hint="eastAsia"/>
          <w:b/>
          <w:bCs/>
          <w:color w:val="auto"/>
          <w:lang w:bidi="ar"/>
        </w:rPr>
        <w:t>〔</w:t>
      </w:r>
      <w:r>
        <w:rPr>
          <w:b/>
          <w:bCs/>
          <w:color w:val="auto"/>
          <w:lang w:bidi="ar"/>
        </w:rPr>
        <w:t>2018</w:t>
      </w:r>
      <w:r>
        <w:rPr>
          <w:rFonts w:hint="eastAsia"/>
          <w:b/>
          <w:bCs/>
          <w:color w:val="auto"/>
          <w:lang w:bidi="ar"/>
        </w:rPr>
        <w:t>〕</w:t>
      </w:r>
      <w:r>
        <w:rPr>
          <w:b/>
          <w:bCs/>
          <w:color w:val="auto"/>
          <w:lang w:bidi="ar"/>
        </w:rPr>
        <w:t>38</w:t>
      </w:r>
      <w:r>
        <w:rPr>
          <w:rFonts w:hint="eastAsia" w:cs="宋体"/>
          <w:b/>
          <w:bCs/>
          <w:color w:val="auto"/>
          <w:lang w:bidi="ar"/>
        </w:rPr>
        <w:t>号的符合性分析表</w:t>
      </w:r>
    </w:p>
    <w:tbl>
      <w:tblPr>
        <w:tblStyle w:val="8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4234"/>
        <w:gridCol w:w="3348"/>
        <w:gridCol w:w="892"/>
      </w:tblGrid>
      <w:tr w14:paraId="6BF0082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37" w:type="pct"/>
            <w:tcBorders>
              <w:top w:val="single" w:color="auto" w:sz="12" w:space="0"/>
              <w:left w:val="nil"/>
              <w:bottom w:val="single" w:color="auto" w:sz="4" w:space="0"/>
              <w:right w:val="single" w:color="auto" w:sz="4" w:space="0"/>
            </w:tcBorders>
            <w:shd w:val="clear" w:color="auto" w:fill="auto"/>
            <w:vAlign w:val="center"/>
          </w:tcPr>
          <w:p w14:paraId="247975EB">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环境要素</w:t>
            </w:r>
          </w:p>
        </w:tc>
        <w:tc>
          <w:tcPr>
            <w:tcW w:w="2279" w:type="pct"/>
            <w:tcBorders>
              <w:top w:val="single" w:color="auto" w:sz="12" w:space="0"/>
              <w:left w:val="single" w:color="auto" w:sz="4" w:space="0"/>
              <w:bottom w:val="single" w:color="auto" w:sz="4" w:space="0"/>
              <w:right w:val="single" w:color="auto" w:sz="4" w:space="0"/>
            </w:tcBorders>
            <w:shd w:val="clear" w:color="auto" w:fill="auto"/>
            <w:vAlign w:val="center"/>
          </w:tcPr>
          <w:p w14:paraId="62AD7536">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管控要求</w:t>
            </w:r>
          </w:p>
        </w:tc>
        <w:tc>
          <w:tcPr>
            <w:tcW w:w="1802" w:type="pct"/>
            <w:tcBorders>
              <w:top w:val="single" w:color="auto" w:sz="12" w:space="0"/>
              <w:left w:val="single" w:color="auto" w:sz="4" w:space="0"/>
              <w:bottom w:val="single" w:color="auto" w:sz="4" w:space="0"/>
              <w:right w:val="single" w:color="auto" w:sz="4" w:space="0"/>
            </w:tcBorders>
            <w:shd w:val="clear" w:color="auto" w:fill="auto"/>
            <w:vAlign w:val="center"/>
          </w:tcPr>
          <w:p w14:paraId="33768557">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480" w:type="pct"/>
            <w:tcBorders>
              <w:top w:val="single" w:color="auto" w:sz="12" w:space="0"/>
              <w:left w:val="single" w:color="auto" w:sz="4" w:space="0"/>
              <w:bottom w:val="single" w:color="auto" w:sz="4" w:space="0"/>
              <w:right w:val="nil"/>
            </w:tcBorders>
            <w:shd w:val="clear" w:color="auto" w:fill="auto"/>
            <w:vAlign w:val="center"/>
          </w:tcPr>
          <w:p w14:paraId="64E62395">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45AECE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37" w:type="pct"/>
            <w:tcBorders>
              <w:top w:val="single" w:color="auto" w:sz="4" w:space="0"/>
              <w:left w:val="nil"/>
              <w:bottom w:val="single" w:color="auto" w:sz="4" w:space="0"/>
              <w:right w:val="single" w:color="auto" w:sz="4" w:space="0"/>
            </w:tcBorders>
            <w:shd w:val="clear" w:color="auto" w:fill="auto"/>
            <w:vAlign w:val="center"/>
          </w:tcPr>
          <w:p w14:paraId="7276D2FB">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大气环境</w:t>
            </w:r>
          </w:p>
        </w:tc>
        <w:tc>
          <w:tcPr>
            <w:tcW w:w="2279" w:type="pct"/>
            <w:tcBorders>
              <w:top w:val="single" w:color="auto" w:sz="4" w:space="0"/>
              <w:left w:val="single" w:color="auto" w:sz="4" w:space="0"/>
              <w:bottom w:val="single" w:color="auto" w:sz="4" w:space="0"/>
              <w:right w:val="single" w:color="auto" w:sz="4" w:space="0"/>
            </w:tcBorders>
            <w:shd w:val="clear" w:color="auto" w:fill="auto"/>
            <w:vAlign w:val="center"/>
          </w:tcPr>
          <w:p w14:paraId="5388D434">
            <w:pPr>
              <w:widowControl/>
              <w:spacing w:line="240" w:lineRule="auto"/>
              <w:ind w:firstLine="0" w:firstLineChars="0"/>
              <w:rPr>
                <w:color w:val="auto"/>
                <w:kern w:val="21"/>
                <w:sz w:val="21"/>
                <w:szCs w:val="21"/>
              </w:rPr>
            </w:pPr>
            <w:r>
              <w:rPr>
                <w:rFonts w:hint="eastAsia"/>
                <w:color w:val="auto"/>
                <w:kern w:val="21"/>
                <w:sz w:val="21"/>
                <w:szCs w:val="21"/>
              </w:rPr>
              <w:t>（1）到2030年，大气环境污染物排放总量（不含船舶）SO</w:t>
            </w:r>
            <w:r>
              <w:rPr>
                <w:rFonts w:hint="eastAsia"/>
                <w:color w:val="auto"/>
                <w:kern w:val="21"/>
                <w:sz w:val="21"/>
                <w:szCs w:val="21"/>
                <w:vertAlign w:val="subscript"/>
              </w:rPr>
              <w:t>2</w:t>
            </w:r>
            <w:r>
              <w:rPr>
                <w:rFonts w:hint="eastAsia"/>
                <w:color w:val="auto"/>
                <w:kern w:val="21"/>
                <w:sz w:val="21"/>
                <w:szCs w:val="21"/>
              </w:rPr>
              <w:t>控制在2.6万吨，NOx控制在4.4万吨，一次PM</w:t>
            </w:r>
            <w:r>
              <w:rPr>
                <w:rFonts w:hint="eastAsia"/>
                <w:color w:val="auto"/>
                <w:kern w:val="21"/>
                <w:sz w:val="21"/>
                <w:szCs w:val="21"/>
                <w:vertAlign w:val="subscript"/>
              </w:rPr>
              <w:t>2.5</w:t>
            </w:r>
            <w:r>
              <w:rPr>
                <w:rFonts w:hint="eastAsia"/>
                <w:color w:val="auto"/>
                <w:kern w:val="21"/>
                <w:sz w:val="21"/>
                <w:szCs w:val="21"/>
              </w:rPr>
              <w:t>控制在1.6万吨，VOC控制在6.1万吨。</w:t>
            </w:r>
          </w:p>
          <w:p w14:paraId="4341B3D2">
            <w:pPr>
              <w:widowControl/>
              <w:spacing w:line="240" w:lineRule="auto"/>
              <w:ind w:firstLine="0" w:firstLineChars="0"/>
              <w:rPr>
                <w:color w:val="auto"/>
                <w:kern w:val="21"/>
                <w:sz w:val="21"/>
                <w:szCs w:val="21"/>
              </w:rPr>
            </w:pPr>
            <w:r>
              <w:rPr>
                <w:rFonts w:hint="eastAsia"/>
                <w:color w:val="auto"/>
                <w:kern w:val="21"/>
                <w:sz w:val="21"/>
                <w:szCs w:val="21"/>
              </w:rPr>
              <w:t>（2）全市新建排放二氧化硫、氮氧化物、工业烟粉尘、挥发性有机物的项目及通过排污权交易形式获得的排污指标实行现役源2倍削减替代。火电机组“可替代总量指标”原则上不得用于其他行业建设项目。涉及丙烯、甲苯、苯、对二甲苯、间二甲苯、乙苯、正庚烷、正己烷、邻二甲苯、苯乙烯、1，2，4-三甲苯、环己烷、4－乙基甲苯、1，3，5-三甲苯等我市14种主要臭氧前驱物新建项目的，应实施主要臭氧前驱物2倍削减替代（本市重大项目除外），主要臭氧前驱物有变化时，以市环保局公布的名单为准。</w:t>
            </w:r>
          </w:p>
        </w:tc>
        <w:tc>
          <w:tcPr>
            <w:tcW w:w="1802" w:type="pct"/>
            <w:tcBorders>
              <w:top w:val="single" w:color="auto" w:sz="4" w:space="0"/>
              <w:left w:val="single" w:color="auto" w:sz="4" w:space="0"/>
              <w:bottom w:val="single" w:color="auto" w:sz="4" w:space="0"/>
              <w:right w:val="single" w:color="auto" w:sz="4" w:space="0"/>
            </w:tcBorders>
            <w:shd w:val="clear" w:color="auto" w:fill="auto"/>
            <w:vAlign w:val="center"/>
          </w:tcPr>
          <w:p w14:paraId="4A9C4C77">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1、根据《2023年度连云港市生态环境状况公报》，项目所在区域大气环境为不达标区，超标因子为</w:t>
            </w:r>
            <w:r>
              <w:rPr>
                <w:color w:val="auto"/>
                <w:kern w:val="21"/>
                <w:sz w:val="21"/>
                <w:szCs w:val="21"/>
                <w:lang w:bidi="ar"/>
              </w:rPr>
              <w:t>O</w:t>
            </w:r>
            <w:r>
              <w:rPr>
                <w:color w:val="auto"/>
                <w:kern w:val="21"/>
                <w:sz w:val="21"/>
                <w:szCs w:val="21"/>
                <w:vertAlign w:val="subscript"/>
                <w:lang w:bidi="ar"/>
              </w:rPr>
              <w:t>3</w:t>
            </w:r>
            <w:r>
              <w:rPr>
                <w:rFonts w:hint="eastAsia" w:cs="宋体"/>
                <w:color w:val="auto"/>
                <w:kern w:val="21"/>
                <w:sz w:val="21"/>
                <w:szCs w:val="21"/>
                <w:lang w:bidi="ar"/>
              </w:rPr>
              <w:t>。为加快改善环境空气质量，连云港市制定了《连云港市空气质量达标规划》《关于印发连云港市2024年大气污染防治工作计划的通知》（连污防指办〔2024〕34号）等相关治理方案文件，通过采取上述措施后，本项目所在地超标污染物能得到有效控制，大气环境质量状况可得到逐步改善。</w:t>
            </w:r>
          </w:p>
          <w:p w14:paraId="692E4E84">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2、本项目为新建项目，项目新增大气污染物总量指标为：颗粒物1.848t/a、SO</w:t>
            </w:r>
            <w:r>
              <w:rPr>
                <w:rFonts w:hint="eastAsia" w:cs="宋体"/>
                <w:color w:val="auto"/>
                <w:kern w:val="21"/>
                <w:sz w:val="21"/>
                <w:szCs w:val="21"/>
                <w:vertAlign w:val="subscript"/>
                <w:lang w:bidi="ar"/>
              </w:rPr>
              <w:t>2</w:t>
            </w:r>
            <w:r>
              <w:rPr>
                <w:rFonts w:hint="eastAsia" w:cs="宋体"/>
                <w:color w:val="auto"/>
                <w:kern w:val="21"/>
                <w:sz w:val="21"/>
                <w:szCs w:val="21"/>
                <w:lang w:bidi="ar"/>
              </w:rPr>
              <w:t xml:space="preserve"> 0.768t/a和NOx 7.183t/a，污染物颗粒物、SO</w:t>
            </w:r>
            <w:r>
              <w:rPr>
                <w:rFonts w:hint="eastAsia" w:cs="宋体"/>
                <w:color w:val="auto"/>
                <w:kern w:val="21"/>
                <w:sz w:val="21"/>
                <w:szCs w:val="21"/>
                <w:vertAlign w:val="subscript"/>
                <w:lang w:bidi="ar"/>
              </w:rPr>
              <w:t>2</w:t>
            </w:r>
            <w:r>
              <w:rPr>
                <w:rFonts w:hint="eastAsia" w:cs="宋体"/>
                <w:color w:val="auto"/>
                <w:kern w:val="21"/>
                <w:sz w:val="21"/>
                <w:szCs w:val="21"/>
                <w:lang w:bidi="ar"/>
              </w:rPr>
              <w:t>和NOx将通过区域平衡获得。</w:t>
            </w:r>
          </w:p>
        </w:tc>
        <w:tc>
          <w:tcPr>
            <w:tcW w:w="480" w:type="pct"/>
            <w:tcBorders>
              <w:top w:val="single" w:color="auto" w:sz="4" w:space="0"/>
              <w:left w:val="single" w:color="auto" w:sz="4" w:space="0"/>
              <w:bottom w:val="single" w:color="auto" w:sz="4" w:space="0"/>
              <w:right w:val="nil"/>
            </w:tcBorders>
            <w:shd w:val="clear" w:color="auto" w:fill="auto"/>
            <w:vAlign w:val="center"/>
          </w:tcPr>
          <w:p w14:paraId="3086FD43">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01106A5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37" w:type="pct"/>
            <w:tcBorders>
              <w:top w:val="single" w:color="auto" w:sz="4" w:space="0"/>
              <w:left w:val="nil"/>
              <w:bottom w:val="single" w:color="auto" w:sz="4" w:space="0"/>
              <w:right w:val="single" w:color="auto" w:sz="4" w:space="0"/>
            </w:tcBorders>
            <w:shd w:val="clear" w:color="auto" w:fill="auto"/>
            <w:vAlign w:val="center"/>
          </w:tcPr>
          <w:p w14:paraId="5E472C47">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地表水环境</w:t>
            </w:r>
          </w:p>
        </w:tc>
        <w:tc>
          <w:tcPr>
            <w:tcW w:w="2279" w:type="pct"/>
            <w:tcBorders>
              <w:top w:val="single" w:color="auto" w:sz="4" w:space="0"/>
              <w:left w:val="single" w:color="auto" w:sz="4" w:space="0"/>
              <w:bottom w:val="single" w:color="auto" w:sz="4" w:space="0"/>
              <w:right w:val="single" w:color="auto" w:sz="4" w:space="0"/>
            </w:tcBorders>
            <w:shd w:val="clear" w:color="auto" w:fill="auto"/>
            <w:vAlign w:val="center"/>
          </w:tcPr>
          <w:p w14:paraId="6B7A895D">
            <w:pPr>
              <w:widowControl/>
              <w:spacing w:line="240" w:lineRule="auto"/>
              <w:ind w:firstLine="0" w:firstLineChars="0"/>
              <w:rPr>
                <w:color w:val="auto"/>
                <w:kern w:val="21"/>
                <w:sz w:val="21"/>
                <w:szCs w:val="21"/>
              </w:rPr>
            </w:pPr>
            <w:r>
              <w:rPr>
                <w:rFonts w:hint="eastAsia"/>
                <w:color w:val="auto"/>
                <w:kern w:val="21"/>
                <w:sz w:val="21"/>
                <w:szCs w:val="21"/>
              </w:rPr>
              <w:t>（1）以水环境质量持续改善为目标，与《水污染防治行动计划》《国务院关于实行最严格水资源管理制度的意见》相衔接，各地区、各流域水质优良比例不低于现状，向更好转变。</w:t>
            </w:r>
          </w:p>
          <w:p w14:paraId="56F4B25D">
            <w:pPr>
              <w:widowControl/>
              <w:spacing w:line="240" w:lineRule="auto"/>
              <w:ind w:firstLine="0" w:firstLineChars="0"/>
              <w:rPr>
                <w:color w:val="auto"/>
                <w:kern w:val="21"/>
                <w:sz w:val="21"/>
                <w:szCs w:val="21"/>
              </w:rPr>
            </w:pPr>
            <w:r>
              <w:rPr>
                <w:rFonts w:hint="eastAsia"/>
                <w:color w:val="auto"/>
                <w:kern w:val="21"/>
                <w:sz w:val="21"/>
                <w:szCs w:val="21"/>
              </w:rPr>
              <w:t>（2）实行严格的小流域控制断面水质与建设项目新增排污指标挂钩制度。全市新建排放化学需氧量（COD）、氨氮（NH</w:t>
            </w:r>
            <w:r>
              <w:rPr>
                <w:rFonts w:hint="eastAsia"/>
                <w:color w:val="auto"/>
                <w:kern w:val="21"/>
                <w:sz w:val="21"/>
                <w:szCs w:val="21"/>
                <w:vertAlign w:val="subscript"/>
              </w:rPr>
              <w:t>3</w:t>
            </w:r>
            <w:r>
              <w:rPr>
                <w:rFonts w:hint="eastAsia"/>
                <w:color w:val="auto"/>
                <w:kern w:val="21"/>
                <w:sz w:val="21"/>
                <w:szCs w:val="21"/>
              </w:rPr>
              <w:t>-N）、总磷（TP）、总氮（TN）为主要水污染物的项目，控制断面水质指标为</w:t>
            </w:r>
            <w:r>
              <w:rPr>
                <w:rFonts w:hint="eastAsia"/>
                <w:color w:val="auto"/>
                <w:kern w:val="21"/>
                <w:sz w:val="21"/>
                <w:szCs w:val="21"/>
                <w:lang w:eastAsia="zh-CN"/>
              </w:rPr>
              <w:t>Ⅲ</w:t>
            </w:r>
            <w:r>
              <w:rPr>
                <w:rFonts w:hint="eastAsia"/>
                <w:color w:val="auto"/>
                <w:kern w:val="21"/>
                <w:sz w:val="21"/>
                <w:szCs w:val="21"/>
              </w:rPr>
              <w:t>类水及以上的，其控制单元内行政区域新增建设项目水污染指标按1倍削减量替代；控制断面水质属于IV或V类的，其控制单元内行政区域新增建设项目水污染指标按1.5倍削减量替代；控制断面水质与上年相比下降或属于劣V类的，其控制单元内行政区域原则上不得新增主要水污染物指标，属市重大项目的，水污染指标按2倍削减量替代。</w:t>
            </w:r>
          </w:p>
        </w:tc>
        <w:tc>
          <w:tcPr>
            <w:tcW w:w="1802" w:type="pct"/>
            <w:tcBorders>
              <w:top w:val="single" w:color="auto" w:sz="4" w:space="0"/>
              <w:left w:val="single" w:color="auto" w:sz="4" w:space="0"/>
              <w:bottom w:val="single" w:color="auto" w:sz="4" w:space="0"/>
              <w:right w:val="single" w:color="auto" w:sz="4" w:space="0"/>
            </w:tcBorders>
            <w:shd w:val="clear" w:color="auto" w:fill="auto"/>
            <w:vAlign w:val="center"/>
          </w:tcPr>
          <w:p w14:paraId="046B841D">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1、根据地表水环境现状补充监测数据，</w:t>
            </w:r>
            <w:r>
              <w:rPr>
                <w:rFonts w:hint="eastAsia"/>
                <w:color w:val="auto"/>
                <w:kern w:val="0"/>
                <w:sz w:val="21"/>
                <w:szCs w:val="21"/>
                <w:lang w:bidi="ar"/>
              </w:rPr>
              <w:t>大浦河排污通道和开泰河</w:t>
            </w:r>
            <w:r>
              <w:rPr>
                <w:color w:val="auto"/>
                <w:kern w:val="0"/>
                <w:sz w:val="21"/>
                <w:szCs w:val="21"/>
                <w:lang w:bidi="ar"/>
              </w:rPr>
              <w:t>监测断面的因子均能够满足《地表水环境质量标准》（GB3838-2002）中</w:t>
            </w:r>
            <w:r>
              <w:rPr>
                <w:rFonts w:hint="eastAsia"/>
                <w:color w:val="auto"/>
                <w:kern w:val="0"/>
                <w:sz w:val="21"/>
                <w:szCs w:val="21"/>
                <w:lang w:bidi="ar"/>
              </w:rPr>
              <w:t>Ⅳ类</w:t>
            </w:r>
            <w:r>
              <w:rPr>
                <w:color w:val="auto"/>
                <w:kern w:val="0"/>
                <w:sz w:val="21"/>
                <w:szCs w:val="21"/>
                <w:lang w:bidi="ar"/>
              </w:rPr>
              <w:t>水质标准</w:t>
            </w:r>
            <w:r>
              <w:rPr>
                <w:rFonts w:hint="eastAsia"/>
                <w:color w:val="auto"/>
                <w:kern w:val="0"/>
                <w:sz w:val="21"/>
                <w:szCs w:val="21"/>
                <w:lang w:bidi="ar"/>
              </w:rPr>
              <w:t>，临洪河</w:t>
            </w:r>
            <w:r>
              <w:rPr>
                <w:color w:val="auto"/>
                <w:kern w:val="0"/>
                <w:sz w:val="21"/>
                <w:szCs w:val="21"/>
                <w:lang w:bidi="ar"/>
              </w:rPr>
              <w:t>监测断面的因子均能够满足《地表水环境质量标准》（GB3838-2002）中</w:t>
            </w:r>
            <w:r>
              <w:rPr>
                <w:rFonts w:hint="eastAsia"/>
                <w:color w:val="auto"/>
                <w:kern w:val="0"/>
                <w:sz w:val="21"/>
                <w:szCs w:val="21"/>
                <w:lang w:eastAsia="zh-CN" w:bidi="ar"/>
              </w:rPr>
              <w:t>Ⅲ</w:t>
            </w:r>
            <w:r>
              <w:rPr>
                <w:rFonts w:hint="eastAsia"/>
                <w:color w:val="auto"/>
                <w:kern w:val="0"/>
                <w:sz w:val="21"/>
                <w:szCs w:val="21"/>
                <w:lang w:bidi="ar"/>
              </w:rPr>
              <w:t>类</w:t>
            </w:r>
            <w:r>
              <w:rPr>
                <w:color w:val="auto"/>
                <w:kern w:val="0"/>
                <w:sz w:val="21"/>
                <w:szCs w:val="21"/>
                <w:lang w:bidi="ar"/>
              </w:rPr>
              <w:t>水质标准</w:t>
            </w:r>
            <w:r>
              <w:rPr>
                <w:rFonts w:hint="eastAsia" w:cs="宋体"/>
                <w:color w:val="auto"/>
                <w:kern w:val="21"/>
                <w:sz w:val="21"/>
                <w:szCs w:val="21"/>
                <w:lang w:bidi="ar"/>
              </w:rPr>
              <w:t>。</w:t>
            </w:r>
          </w:p>
          <w:p w14:paraId="2BB7F659">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2、全面落实《连云港市水污染防治工作方案》《连云港市近岸海域水污染防治方案》《连云港市地表水不达标考核断面水质达标方案》等系列方案，推进重点治污项目建设。开发区严格落实“管长制”责任，加大污水处理能力建设，加快主管网敷设和雨污分流改造，从源头上根治污水直接入河问题，尽力做到“晴天不排水、雨天无污水”。项目排放废水经厂区污水处理站处理达污水处理厂接管标准后排入至开发区临港污水处理厂，对地表水环境影响较小，对纳污水体临洪河的影响可接受。</w:t>
            </w:r>
          </w:p>
        </w:tc>
        <w:tc>
          <w:tcPr>
            <w:tcW w:w="480" w:type="pct"/>
            <w:tcBorders>
              <w:top w:val="single" w:color="auto" w:sz="4" w:space="0"/>
              <w:left w:val="single" w:color="auto" w:sz="4" w:space="0"/>
              <w:bottom w:val="single" w:color="auto" w:sz="4" w:space="0"/>
              <w:right w:val="nil"/>
            </w:tcBorders>
            <w:shd w:val="clear" w:color="auto" w:fill="auto"/>
            <w:vAlign w:val="center"/>
          </w:tcPr>
          <w:p w14:paraId="4B727572">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37FEAAB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37" w:type="pct"/>
            <w:tcBorders>
              <w:top w:val="single" w:color="auto" w:sz="4" w:space="0"/>
              <w:left w:val="nil"/>
              <w:bottom w:val="single" w:color="auto" w:sz="4" w:space="0"/>
              <w:right w:val="single" w:color="auto" w:sz="4" w:space="0"/>
            </w:tcBorders>
            <w:shd w:val="clear" w:color="auto" w:fill="auto"/>
            <w:vAlign w:val="center"/>
          </w:tcPr>
          <w:p w14:paraId="6DCC2980">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土壤环境管控要求</w:t>
            </w:r>
          </w:p>
        </w:tc>
        <w:tc>
          <w:tcPr>
            <w:tcW w:w="2279" w:type="pct"/>
            <w:tcBorders>
              <w:top w:val="single" w:color="auto" w:sz="4" w:space="0"/>
              <w:left w:val="single" w:color="auto" w:sz="4" w:space="0"/>
              <w:bottom w:val="single" w:color="auto" w:sz="4" w:space="0"/>
              <w:right w:val="single" w:color="auto" w:sz="4" w:space="0"/>
            </w:tcBorders>
            <w:shd w:val="clear" w:color="auto" w:fill="auto"/>
            <w:vAlign w:val="center"/>
          </w:tcPr>
          <w:p w14:paraId="4C60FF8C">
            <w:pPr>
              <w:overflowPunct w:val="0"/>
              <w:spacing w:line="240" w:lineRule="auto"/>
              <w:ind w:firstLine="0" w:firstLineChars="0"/>
              <w:rPr>
                <w:color w:val="auto"/>
                <w:kern w:val="21"/>
                <w:sz w:val="21"/>
                <w:szCs w:val="21"/>
              </w:rPr>
            </w:pPr>
            <w:r>
              <w:rPr>
                <w:rFonts w:hint="eastAsia"/>
                <w:color w:val="auto"/>
                <w:kern w:val="21"/>
                <w:sz w:val="21"/>
                <w:szCs w:val="21"/>
              </w:rPr>
              <w:t>以农用地土壤镉（Cd）、汞（Hg）、碑（As）、铅（Pb）、铭（Cr）等重金属和多环芳烃、石油烃等有机污染物含量为主要指标，设置农用地土壤环境质量底线指标，与国家有关土壤污染防治计划规划相衔接，各地区农用地土壤环境质量达标率不低于现状，向更好转变。条件成熟地区，应将城市、工矿等污染地块环境质量纳入底线管理。</w:t>
            </w:r>
          </w:p>
        </w:tc>
        <w:tc>
          <w:tcPr>
            <w:tcW w:w="1802" w:type="pct"/>
            <w:tcBorders>
              <w:top w:val="single" w:color="auto" w:sz="4" w:space="0"/>
              <w:left w:val="single" w:color="auto" w:sz="4" w:space="0"/>
              <w:bottom w:val="single" w:color="auto" w:sz="4" w:space="0"/>
              <w:right w:val="single" w:color="auto" w:sz="4" w:space="0"/>
            </w:tcBorders>
            <w:shd w:val="clear" w:color="auto" w:fill="auto"/>
            <w:vAlign w:val="center"/>
          </w:tcPr>
          <w:p w14:paraId="40388064">
            <w:pPr>
              <w:overflowPunct w:val="0"/>
              <w:spacing w:line="240" w:lineRule="auto"/>
              <w:ind w:firstLine="0" w:firstLineChars="0"/>
              <w:rPr>
                <w:color w:val="auto"/>
                <w:kern w:val="21"/>
                <w:sz w:val="21"/>
                <w:szCs w:val="21"/>
              </w:rPr>
            </w:pPr>
            <w:r>
              <w:rPr>
                <w:rFonts w:hint="eastAsia"/>
                <w:color w:val="auto"/>
                <w:kern w:val="21"/>
                <w:sz w:val="21"/>
                <w:szCs w:val="21"/>
              </w:rPr>
              <w:t>根据环境现状监测结果，本项目评价区域内土壤环境质量较好，各监测因子均可满足《土壤环境质量建设用地土壤污染风险管控标准（试行）》（GB36600-2018）第二类用地筛选值标准。另外，项目所在区域不涉及农用地土壤环境，同时不向土壤环境排放污染物，项目实施后不会改变土壤环境功能类别。</w:t>
            </w:r>
          </w:p>
        </w:tc>
        <w:tc>
          <w:tcPr>
            <w:tcW w:w="480" w:type="pct"/>
            <w:tcBorders>
              <w:top w:val="single" w:color="auto" w:sz="4" w:space="0"/>
              <w:left w:val="single" w:color="auto" w:sz="4" w:space="0"/>
              <w:bottom w:val="single" w:color="auto" w:sz="4" w:space="0"/>
              <w:right w:val="nil"/>
            </w:tcBorders>
            <w:shd w:val="clear" w:color="auto" w:fill="auto"/>
            <w:vAlign w:val="center"/>
          </w:tcPr>
          <w:p w14:paraId="52A250B2">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17F7A0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37" w:type="pct"/>
            <w:tcBorders>
              <w:top w:val="single" w:color="auto" w:sz="4" w:space="0"/>
              <w:left w:val="nil"/>
              <w:bottom w:val="single" w:color="auto" w:sz="4" w:space="0"/>
              <w:right w:val="single" w:color="auto" w:sz="4" w:space="0"/>
            </w:tcBorders>
            <w:shd w:val="clear" w:color="auto" w:fill="auto"/>
            <w:vAlign w:val="center"/>
          </w:tcPr>
          <w:p w14:paraId="3FE8C19E">
            <w:pPr>
              <w:overflowPunct w:val="0"/>
              <w:spacing w:line="240" w:lineRule="auto"/>
              <w:ind w:firstLine="0" w:firstLineChars="0"/>
              <w:jc w:val="center"/>
              <w:rPr>
                <w:rFonts w:cs="宋体"/>
                <w:color w:val="auto"/>
                <w:kern w:val="21"/>
                <w:sz w:val="21"/>
                <w:szCs w:val="21"/>
                <w:lang w:bidi="ar"/>
              </w:rPr>
            </w:pPr>
            <w:r>
              <w:rPr>
                <w:rFonts w:hint="eastAsia" w:cs="宋体"/>
                <w:color w:val="auto"/>
                <w:kern w:val="21"/>
                <w:sz w:val="21"/>
                <w:szCs w:val="21"/>
                <w:lang w:bidi="ar"/>
              </w:rPr>
              <w:t>4</w:t>
            </w:r>
          </w:p>
        </w:tc>
        <w:tc>
          <w:tcPr>
            <w:tcW w:w="2279" w:type="pct"/>
            <w:tcBorders>
              <w:top w:val="single" w:color="auto" w:sz="4" w:space="0"/>
              <w:left w:val="single" w:color="auto" w:sz="4" w:space="0"/>
              <w:bottom w:val="single" w:color="auto" w:sz="4" w:space="0"/>
              <w:right w:val="single" w:color="auto" w:sz="4" w:space="0"/>
            </w:tcBorders>
            <w:shd w:val="clear" w:color="auto" w:fill="auto"/>
            <w:vAlign w:val="center"/>
          </w:tcPr>
          <w:p w14:paraId="668A8ADD">
            <w:pPr>
              <w:overflowPunct w:val="0"/>
              <w:spacing w:line="240" w:lineRule="auto"/>
              <w:ind w:firstLine="0" w:firstLineChars="0"/>
              <w:rPr>
                <w:color w:val="auto"/>
                <w:kern w:val="21"/>
                <w:sz w:val="21"/>
                <w:szCs w:val="21"/>
              </w:rPr>
            </w:pPr>
            <w:r>
              <w:rPr>
                <w:rFonts w:hint="eastAsia"/>
                <w:color w:val="auto"/>
                <w:kern w:val="21"/>
                <w:sz w:val="21"/>
                <w:szCs w:val="21"/>
              </w:rPr>
              <w:t>实行严格的小流域控制断面水质与建设项目新增排污指标挂钩制度。全市新建排放化</w:t>
            </w:r>
          </w:p>
          <w:p w14:paraId="6BFE3AA4">
            <w:pPr>
              <w:overflowPunct w:val="0"/>
              <w:spacing w:line="240" w:lineRule="auto"/>
              <w:ind w:firstLine="0" w:firstLineChars="0"/>
              <w:rPr>
                <w:color w:val="auto"/>
                <w:kern w:val="21"/>
                <w:sz w:val="21"/>
                <w:szCs w:val="21"/>
              </w:rPr>
            </w:pPr>
            <w:r>
              <w:rPr>
                <w:rFonts w:hint="eastAsia"/>
                <w:color w:val="auto"/>
                <w:kern w:val="21"/>
                <w:sz w:val="21"/>
                <w:szCs w:val="21"/>
              </w:rPr>
              <w:t>学需氧量（COD）、氨氮（NH</w:t>
            </w:r>
            <w:r>
              <w:rPr>
                <w:rFonts w:hint="eastAsia"/>
                <w:color w:val="auto"/>
                <w:kern w:val="21"/>
                <w:sz w:val="21"/>
                <w:szCs w:val="21"/>
                <w:vertAlign w:val="subscript"/>
              </w:rPr>
              <w:t>3</w:t>
            </w:r>
            <w:r>
              <w:rPr>
                <w:rFonts w:hint="eastAsia"/>
                <w:color w:val="auto"/>
                <w:kern w:val="21"/>
                <w:sz w:val="21"/>
                <w:szCs w:val="21"/>
              </w:rPr>
              <w:t>-N）、总磷</w:t>
            </w:r>
          </w:p>
          <w:p w14:paraId="131C972C">
            <w:pPr>
              <w:overflowPunct w:val="0"/>
              <w:spacing w:line="240" w:lineRule="auto"/>
              <w:ind w:firstLine="0" w:firstLineChars="0"/>
              <w:rPr>
                <w:color w:val="auto"/>
                <w:kern w:val="21"/>
                <w:sz w:val="21"/>
                <w:szCs w:val="21"/>
              </w:rPr>
            </w:pPr>
            <w:r>
              <w:rPr>
                <w:rFonts w:hint="eastAsia"/>
                <w:color w:val="auto"/>
                <w:kern w:val="21"/>
                <w:sz w:val="21"/>
                <w:szCs w:val="21"/>
              </w:rPr>
              <w:t>（TP）、总氮（TN）为主要水污染物的项目，控制断面水质指标为Ⅲ类水及以上的，其控制单元内行政区域新增建设项目水污染指标按1倍削减量替代；控制断面水质属于Ⅳ或Ⅴ类的，其控制单元内行政区域新增建设项目水污染指标按1.5倍削减量替代。控制断面水质与上年相比下降或属于劣Ⅴ类的，其控制单元内行政区域原则上不得新增主要水污染物指标，属市重大项目的，水污染指标按2倍削减量替代。</w:t>
            </w:r>
          </w:p>
        </w:tc>
        <w:tc>
          <w:tcPr>
            <w:tcW w:w="1802" w:type="pct"/>
            <w:tcBorders>
              <w:top w:val="single" w:color="auto" w:sz="4" w:space="0"/>
              <w:left w:val="single" w:color="auto" w:sz="4" w:space="0"/>
              <w:bottom w:val="single" w:color="auto" w:sz="4" w:space="0"/>
              <w:right w:val="single" w:color="auto" w:sz="4" w:space="0"/>
            </w:tcBorders>
            <w:shd w:val="clear" w:color="auto" w:fill="auto"/>
            <w:vAlign w:val="center"/>
          </w:tcPr>
          <w:p w14:paraId="4AE0348C">
            <w:pPr>
              <w:overflowPunct w:val="0"/>
              <w:spacing w:line="240" w:lineRule="auto"/>
              <w:ind w:firstLine="0" w:firstLineChars="0"/>
              <w:rPr>
                <w:color w:val="auto"/>
                <w:kern w:val="21"/>
                <w:sz w:val="21"/>
                <w:szCs w:val="21"/>
              </w:rPr>
            </w:pPr>
            <w:r>
              <w:rPr>
                <w:rFonts w:hint="eastAsia"/>
                <w:color w:val="auto"/>
                <w:kern w:val="21"/>
                <w:sz w:val="21"/>
                <w:szCs w:val="21"/>
              </w:rPr>
              <w:t>本项目水污染物化学需氧量（COD）、氨氮（NH</w:t>
            </w:r>
            <w:r>
              <w:rPr>
                <w:rFonts w:hint="eastAsia"/>
                <w:color w:val="auto"/>
                <w:kern w:val="21"/>
                <w:sz w:val="21"/>
                <w:szCs w:val="21"/>
                <w:vertAlign w:val="subscript"/>
              </w:rPr>
              <w:t>3</w:t>
            </w:r>
            <w:r>
              <w:rPr>
                <w:rFonts w:hint="eastAsia"/>
                <w:color w:val="auto"/>
                <w:kern w:val="21"/>
                <w:sz w:val="21"/>
                <w:szCs w:val="21"/>
              </w:rPr>
              <w:t>-N）、总磷（TP）、总氮（TN）实行区域1.5倍削减量替代。</w:t>
            </w:r>
          </w:p>
        </w:tc>
        <w:tc>
          <w:tcPr>
            <w:tcW w:w="480" w:type="pct"/>
            <w:tcBorders>
              <w:top w:val="single" w:color="auto" w:sz="4" w:space="0"/>
              <w:left w:val="single" w:color="auto" w:sz="4" w:space="0"/>
              <w:bottom w:val="single" w:color="auto" w:sz="4" w:space="0"/>
              <w:right w:val="nil"/>
            </w:tcBorders>
            <w:shd w:val="clear" w:color="auto" w:fill="auto"/>
            <w:vAlign w:val="center"/>
          </w:tcPr>
          <w:p w14:paraId="164CB63B">
            <w:pPr>
              <w:overflowPunct w:val="0"/>
              <w:spacing w:line="240" w:lineRule="auto"/>
              <w:ind w:firstLine="0" w:firstLineChars="0"/>
              <w:jc w:val="center"/>
              <w:rPr>
                <w:rFonts w:cs="宋体"/>
                <w:color w:val="auto"/>
                <w:sz w:val="21"/>
                <w:szCs w:val="21"/>
                <w:lang w:bidi="ar"/>
              </w:rPr>
            </w:pPr>
          </w:p>
        </w:tc>
      </w:tr>
      <w:tr w14:paraId="32B546A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37" w:type="pct"/>
            <w:tcBorders>
              <w:top w:val="single" w:color="auto" w:sz="4" w:space="0"/>
              <w:left w:val="nil"/>
              <w:bottom w:val="single" w:color="auto" w:sz="12" w:space="0"/>
              <w:right w:val="single" w:color="auto" w:sz="4" w:space="0"/>
            </w:tcBorders>
            <w:shd w:val="clear" w:color="auto" w:fill="auto"/>
            <w:vAlign w:val="center"/>
          </w:tcPr>
          <w:p w14:paraId="11E71207">
            <w:pPr>
              <w:overflowPunct w:val="0"/>
              <w:spacing w:line="240" w:lineRule="auto"/>
              <w:ind w:firstLine="0" w:firstLineChars="0"/>
              <w:jc w:val="center"/>
              <w:rPr>
                <w:color w:val="auto"/>
                <w:kern w:val="21"/>
                <w:sz w:val="21"/>
                <w:szCs w:val="21"/>
              </w:rPr>
            </w:pPr>
            <w:r>
              <w:rPr>
                <w:rFonts w:hint="eastAsia"/>
                <w:color w:val="auto"/>
                <w:kern w:val="21"/>
                <w:sz w:val="21"/>
                <w:szCs w:val="21"/>
              </w:rPr>
              <w:t>5</w:t>
            </w:r>
          </w:p>
        </w:tc>
        <w:tc>
          <w:tcPr>
            <w:tcW w:w="2279" w:type="pct"/>
            <w:tcBorders>
              <w:top w:val="single" w:color="auto" w:sz="4" w:space="0"/>
              <w:left w:val="single" w:color="auto" w:sz="4" w:space="0"/>
              <w:bottom w:val="single" w:color="auto" w:sz="12" w:space="0"/>
              <w:right w:val="single" w:color="auto" w:sz="4" w:space="0"/>
            </w:tcBorders>
            <w:shd w:val="clear" w:color="auto" w:fill="auto"/>
            <w:vAlign w:val="center"/>
          </w:tcPr>
          <w:p w14:paraId="68AB5867">
            <w:pPr>
              <w:overflowPunct w:val="0"/>
              <w:spacing w:line="240" w:lineRule="auto"/>
              <w:ind w:firstLine="0" w:firstLineChars="0"/>
              <w:rPr>
                <w:color w:val="auto"/>
                <w:kern w:val="21"/>
                <w:sz w:val="21"/>
                <w:szCs w:val="21"/>
              </w:rPr>
            </w:pPr>
            <w:r>
              <w:rPr>
                <w:rFonts w:hint="eastAsia"/>
                <w:color w:val="auto"/>
                <w:kern w:val="21"/>
                <w:sz w:val="21"/>
                <w:szCs w:val="21"/>
              </w:rPr>
              <w:t>全市新建排放二氧化硫、氮氧化物、工业烟粉尘、挥发性有机物的项目及通过排污权交</w:t>
            </w:r>
          </w:p>
          <w:p w14:paraId="106B5AA9">
            <w:pPr>
              <w:overflowPunct w:val="0"/>
              <w:spacing w:line="240" w:lineRule="auto"/>
              <w:ind w:firstLine="0" w:firstLineChars="0"/>
              <w:rPr>
                <w:color w:val="auto"/>
                <w:kern w:val="21"/>
                <w:sz w:val="21"/>
                <w:szCs w:val="21"/>
              </w:rPr>
            </w:pPr>
            <w:r>
              <w:rPr>
                <w:rFonts w:hint="eastAsia"/>
                <w:color w:val="auto"/>
                <w:kern w:val="21"/>
                <w:sz w:val="21"/>
                <w:szCs w:val="21"/>
              </w:rPr>
              <w:t>易形式获得的排污指标实行现役源2倍削减替代。</w:t>
            </w:r>
          </w:p>
        </w:tc>
        <w:tc>
          <w:tcPr>
            <w:tcW w:w="1802" w:type="pct"/>
            <w:tcBorders>
              <w:top w:val="single" w:color="auto" w:sz="4" w:space="0"/>
              <w:left w:val="single" w:color="auto" w:sz="4" w:space="0"/>
              <w:bottom w:val="single" w:color="auto" w:sz="12" w:space="0"/>
              <w:right w:val="single" w:color="auto" w:sz="4" w:space="0"/>
            </w:tcBorders>
            <w:shd w:val="clear" w:color="auto" w:fill="auto"/>
            <w:vAlign w:val="center"/>
          </w:tcPr>
          <w:p w14:paraId="0181C6D0">
            <w:pPr>
              <w:overflowPunct w:val="0"/>
              <w:spacing w:line="240" w:lineRule="auto"/>
              <w:ind w:firstLine="0" w:firstLineChars="0"/>
              <w:jc w:val="center"/>
              <w:rPr>
                <w:color w:val="auto"/>
                <w:kern w:val="21"/>
                <w:sz w:val="21"/>
                <w:szCs w:val="21"/>
              </w:rPr>
            </w:pPr>
            <w:r>
              <w:rPr>
                <w:rFonts w:hint="eastAsia"/>
                <w:color w:val="auto"/>
                <w:kern w:val="21"/>
                <w:sz w:val="21"/>
                <w:szCs w:val="21"/>
              </w:rPr>
              <w:t>大气污染物挥发性有机物、颗粒物实行现役源2倍量削减替代，不足部分通过排污权交易获得。</w:t>
            </w:r>
          </w:p>
        </w:tc>
        <w:tc>
          <w:tcPr>
            <w:tcW w:w="480" w:type="pct"/>
            <w:tcBorders>
              <w:top w:val="single" w:color="auto" w:sz="4" w:space="0"/>
              <w:left w:val="single" w:color="auto" w:sz="4" w:space="0"/>
              <w:bottom w:val="single" w:color="auto" w:sz="12" w:space="0"/>
              <w:right w:val="nil"/>
            </w:tcBorders>
            <w:shd w:val="clear" w:color="auto" w:fill="auto"/>
            <w:vAlign w:val="center"/>
          </w:tcPr>
          <w:p w14:paraId="6AB4BCA0">
            <w:pPr>
              <w:overflowPunct w:val="0"/>
              <w:spacing w:line="240" w:lineRule="auto"/>
              <w:ind w:firstLine="0" w:firstLineChars="0"/>
              <w:jc w:val="center"/>
              <w:rPr>
                <w:color w:val="auto"/>
                <w:sz w:val="21"/>
                <w:szCs w:val="21"/>
              </w:rPr>
            </w:pPr>
            <w:r>
              <w:rPr>
                <w:rFonts w:hint="eastAsia" w:cs="宋体"/>
                <w:color w:val="auto"/>
                <w:sz w:val="21"/>
                <w:szCs w:val="21"/>
                <w:lang w:bidi="ar"/>
              </w:rPr>
              <w:t>相符</w:t>
            </w:r>
          </w:p>
        </w:tc>
      </w:tr>
    </w:tbl>
    <w:p w14:paraId="6F636122">
      <w:pPr>
        <w:ind w:firstLine="480"/>
        <w:rPr>
          <w:rFonts w:cs="宋体"/>
          <w:color w:val="auto"/>
          <w:lang w:bidi="ar"/>
        </w:rPr>
      </w:pPr>
      <w:r>
        <w:rPr>
          <w:rFonts w:hint="eastAsia" w:cs="宋体"/>
          <w:color w:val="auto"/>
          <w:lang w:bidi="ar"/>
        </w:rPr>
        <w:t>综上所述，本项目废水、废气、固废均得到合理处置，噪声对周边影响较小，不会突破项目所在地的环境质量底线，因此本项目的建设符合环境质量底线标准。</w:t>
      </w:r>
    </w:p>
    <w:p w14:paraId="52923C9A">
      <w:pPr>
        <w:spacing w:before="120" w:beforeLines="50"/>
        <w:ind w:firstLine="0" w:firstLineChars="0"/>
        <w:outlineLvl w:val="3"/>
        <w:rPr>
          <w:b/>
          <w:color w:val="auto"/>
        </w:rPr>
      </w:pPr>
      <w:r>
        <w:rPr>
          <w:rFonts w:hint="eastAsia"/>
          <w:b/>
          <w:color w:val="auto"/>
        </w:rPr>
        <w:t>1.4.4.3 与资源利用上线相符性分析</w:t>
      </w:r>
    </w:p>
    <w:p w14:paraId="4F2BC579">
      <w:pPr>
        <w:ind w:firstLine="480"/>
        <w:rPr>
          <w:color w:val="auto"/>
        </w:rPr>
      </w:pPr>
      <w:r>
        <w:rPr>
          <w:rFonts w:hint="eastAsia" w:cs="宋体"/>
          <w:color w:val="auto"/>
          <w:lang w:bidi="ar"/>
        </w:rPr>
        <w:t>根据《连云港市战略环境评价报告》中</w:t>
      </w:r>
      <w:r>
        <w:rPr>
          <w:color w:val="auto"/>
          <w:lang w:bidi="ar"/>
        </w:rPr>
        <w:t>“</w:t>
      </w:r>
      <w:r>
        <w:rPr>
          <w:rFonts w:hint="eastAsia" w:cs="宋体"/>
          <w:color w:val="auto"/>
          <w:lang w:bidi="ar"/>
        </w:rPr>
        <w:t>严控资源消耗上线</w:t>
      </w:r>
      <w:r>
        <w:rPr>
          <w:color w:val="auto"/>
          <w:lang w:bidi="ar"/>
        </w:rPr>
        <w:t>”</w:t>
      </w:r>
      <w:r>
        <w:rPr>
          <w:rFonts w:hint="eastAsia" w:cs="宋体"/>
          <w:color w:val="auto"/>
          <w:lang w:bidi="ar"/>
        </w:rPr>
        <w:t>内容，明确提出</w:t>
      </w:r>
      <w:r>
        <w:rPr>
          <w:color w:val="auto"/>
          <w:lang w:bidi="ar"/>
        </w:rPr>
        <w:t>“</w:t>
      </w:r>
      <w:r>
        <w:rPr>
          <w:rFonts w:hint="eastAsia" w:cs="宋体"/>
          <w:color w:val="auto"/>
          <w:lang w:bidi="ar"/>
        </w:rPr>
        <w:t>资源消耗上线</w:t>
      </w:r>
      <w:r>
        <w:rPr>
          <w:color w:val="auto"/>
          <w:lang w:bidi="ar"/>
        </w:rPr>
        <w:t>”</w:t>
      </w:r>
      <w:r>
        <w:rPr>
          <w:rFonts w:hint="eastAsia" w:cs="宋体"/>
          <w:color w:val="auto"/>
          <w:lang w:bidi="ar"/>
        </w:rPr>
        <w:t>管控内涵及指标设置要求，本环评对照该文件进行相符性分析，详见表</w:t>
      </w:r>
      <w:r>
        <w:rPr>
          <w:rFonts w:hint="eastAsia"/>
          <w:color w:val="auto"/>
          <w:lang w:bidi="ar"/>
        </w:rPr>
        <w:t>1.4.4-6</w:t>
      </w:r>
      <w:r>
        <w:rPr>
          <w:rFonts w:hint="eastAsia" w:cs="宋体"/>
          <w:color w:val="auto"/>
          <w:lang w:bidi="ar"/>
        </w:rPr>
        <w:t>。</w:t>
      </w:r>
    </w:p>
    <w:p w14:paraId="5D439184">
      <w:pPr>
        <w:spacing w:line="240" w:lineRule="auto"/>
        <w:ind w:firstLine="0" w:firstLineChars="0"/>
        <w:jc w:val="center"/>
        <w:rPr>
          <w:b/>
          <w:bCs/>
          <w:color w:val="auto"/>
        </w:rPr>
      </w:pPr>
      <w:r>
        <w:rPr>
          <w:rFonts w:hint="eastAsia" w:cs="宋体"/>
          <w:b/>
          <w:bCs/>
          <w:color w:val="auto"/>
          <w:lang w:bidi="ar"/>
        </w:rPr>
        <w:t>表</w:t>
      </w:r>
      <w:r>
        <w:rPr>
          <w:b/>
          <w:bCs/>
          <w:color w:val="auto"/>
          <w:lang w:bidi="ar"/>
        </w:rPr>
        <w:t>1</w:t>
      </w:r>
      <w:r>
        <w:rPr>
          <w:rFonts w:hint="eastAsia"/>
          <w:b/>
          <w:bCs/>
          <w:color w:val="auto"/>
          <w:lang w:bidi="ar"/>
        </w:rPr>
        <w:t>.4.4-6</w:t>
      </w:r>
      <w:r>
        <w:rPr>
          <w:b/>
          <w:bCs/>
          <w:color w:val="auto"/>
          <w:lang w:bidi="ar"/>
        </w:rPr>
        <w:t xml:space="preserve">  </w:t>
      </w:r>
      <w:r>
        <w:rPr>
          <w:rFonts w:hint="eastAsia" w:cs="宋体"/>
          <w:b/>
          <w:bCs/>
          <w:color w:val="auto"/>
          <w:lang w:bidi="ar"/>
        </w:rPr>
        <w:t>与《连云港市战略环境评价报告》中</w:t>
      </w:r>
      <w:r>
        <w:rPr>
          <w:b/>
          <w:bCs/>
          <w:color w:val="auto"/>
          <w:lang w:bidi="ar"/>
        </w:rPr>
        <w:t>“</w:t>
      </w:r>
      <w:r>
        <w:rPr>
          <w:rFonts w:hint="eastAsia" w:cs="宋体"/>
          <w:b/>
          <w:bCs/>
          <w:color w:val="auto"/>
          <w:lang w:bidi="ar"/>
        </w:rPr>
        <w:t>严控资源消耗上线</w:t>
      </w:r>
      <w:r>
        <w:rPr>
          <w:b/>
          <w:bCs/>
          <w:color w:val="auto"/>
          <w:lang w:bidi="ar"/>
        </w:rPr>
        <w:t>”</w:t>
      </w:r>
      <w:r>
        <w:rPr>
          <w:rFonts w:hint="eastAsia" w:cs="宋体"/>
          <w:b/>
          <w:bCs/>
          <w:color w:val="auto"/>
          <w:lang w:bidi="ar"/>
        </w:rPr>
        <w:t>相符性分析</w:t>
      </w:r>
    </w:p>
    <w:tbl>
      <w:tblPr>
        <w:tblStyle w:val="8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4097"/>
        <w:gridCol w:w="2977"/>
        <w:gridCol w:w="864"/>
      </w:tblGrid>
      <w:tr w14:paraId="201D94F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26" w:type="pct"/>
            <w:tcBorders>
              <w:top w:val="single" w:color="auto" w:sz="12" w:space="0"/>
              <w:left w:val="nil"/>
              <w:bottom w:val="single" w:color="auto" w:sz="4" w:space="0"/>
              <w:right w:val="single" w:color="auto" w:sz="4" w:space="0"/>
            </w:tcBorders>
            <w:shd w:val="clear" w:color="auto" w:fill="auto"/>
            <w:vAlign w:val="center"/>
          </w:tcPr>
          <w:p w14:paraId="043257A3">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指标设置</w:t>
            </w:r>
          </w:p>
        </w:tc>
        <w:tc>
          <w:tcPr>
            <w:tcW w:w="2205" w:type="pct"/>
            <w:tcBorders>
              <w:top w:val="single" w:color="auto" w:sz="12" w:space="0"/>
              <w:left w:val="single" w:color="auto" w:sz="4" w:space="0"/>
              <w:bottom w:val="single" w:color="auto" w:sz="4" w:space="0"/>
              <w:right w:val="single" w:color="auto" w:sz="4" w:space="0"/>
            </w:tcBorders>
            <w:shd w:val="clear" w:color="auto" w:fill="auto"/>
            <w:vAlign w:val="center"/>
          </w:tcPr>
          <w:p w14:paraId="1A58C429">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管控内涵</w:t>
            </w:r>
          </w:p>
        </w:tc>
        <w:tc>
          <w:tcPr>
            <w:tcW w:w="1602" w:type="pct"/>
            <w:tcBorders>
              <w:top w:val="single" w:color="auto" w:sz="12" w:space="0"/>
              <w:left w:val="single" w:color="auto" w:sz="4" w:space="0"/>
              <w:bottom w:val="single" w:color="auto" w:sz="4" w:space="0"/>
              <w:right w:val="single" w:color="auto" w:sz="4" w:space="0"/>
            </w:tcBorders>
            <w:shd w:val="clear" w:color="auto" w:fill="auto"/>
            <w:vAlign w:val="center"/>
          </w:tcPr>
          <w:p w14:paraId="5A6A185C">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465" w:type="pct"/>
            <w:tcBorders>
              <w:top w:val="single" w:color="auto" w:sz="12" w:space="0"/>
              <w:left w:val="single" w:color="auto" w:sz="4" w:space="0"/>
              <w:bottom w:val="single" w:color="auto" w:sz="4" w:space="0"/>
              <w:right w:val="nil"/>
            </w:tcBorders>
            <w:shd w:val="clear" w:color="auto" w:fill="auto"/>
            <w:vAlign w:val="center"/>
          </w:tcPr>
          <w:p w14:paraId="3335557E">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4EC095E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26" w:type="pct"/>
            <w:vMerge w:val="restart"/>
            <w:tcBorders>
              <w:top w:val="single" w:color="auto" w:sz="4" w:space="0"/>
              <w:left w:val="nil"/>
              <w:bottom w:val="single" w:color="auto" w:sz="4" w:space="0"/>
              <w:right w:val="single" w:color="auto" w:sz="4" w:space="0"/>
            </w:tcBorders>
            <w:shd w:val="clear" w:color="auto" w:fill="auto"/>
            <w:vAlign w:val="center"/>
          </w:tcPr>
          <w:p w14:paraId="29E8D1E6">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水资源总量红线</w:t>
            </w:r>
          </w:p>
        </w:tc>
        <w:tc>
          <w:tcPr>
            <w:tcW w:w="2205" w:type="pct"/>
            <w:tcBorders>
              <w:top w:val="single" w:color="auto" w:sz="4" w:space="0"/>
              <w:left w:val="single" w:color="auto" w:sz="4" w:space="0"/>
              <w:bottom w:val="single" w:color="auto" w:sz="4" w:space="0"/>
              <w:right w:val="single" w:color="auto" w:sz="4" w:space="0"/>
            </w:tcBorders>
            <w:shd w:val="clear" w:color="auto" w:fill="auto"/>
            <w:vAlign w:val="center"/>
          </w:tcPr>
          <w:p w14:paraId="63C93C4B">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以水资源配置、节约和保护为重点，强化生活、生产和生态用水需求和用水过程管理，严格控制用水总量，全面提高用水效率，加快节水型社会建设，促进水资源可持续利用和经济发展方式转变，推动经济社会发展与水资源载能力相协调。</w:t>
            </w:r>
          </w:p>
        </w:tc>
        <w:tc>
          <w:tcPr>
            <w:tcW w:w="1602" w:type="pct"/>
            <w:tcBorders>
              <w:top w:val="single" w:color="auto" w:sz="4" w:space="0"/>
              <w:left w:val="single" w:color="auto" w:sz="4" w:space="0"/>
              <w:bottom w:val="single" w:color="auto" w:sz="4" w:space="0"/>
              <w:right w:val="single" w:color="auto" w:sz="4" w:space="0"/>
            </w:tcBorders>
            <w:shd w:val="clear" w:color="auto" w:fill="auto"/>
            <w:vAlign w:val="center"/>
          </w:tcPr>
          <w:p w14:paraId="3A1AFDFC">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本项目建成后，拟用水量748138.41</w:t>
            </w:r>
            <w:r>
              <w:rPr>
                <w:color w:val="auto"/>
                <w:kern w:val="21"/>
                <w:sz w:val="21"/>
                <w:szCs w:val="21"/>
                <w:lang w:bidi="ar"/>
              </w:rPr>
              <w:t>m</w:t>
            </w:r>
            <w:r>
              <w:rPr>
                <w:color w:val="auto"/>
                <w:kern w:val="21"/>
                <w:sz w:val="21"/>
                <w:szCs w:val="21"/>
                <w:vertAlign w:val="superscript"/>
                <w:lang w:bidi="ar"/>
              </w:rPr>
              <w:t>3</w:t>
            </w:r>
            <w:r>
              <w:rPr>
                <w:color w:val="auto"/>
                <w:kern w:val="21"/>
                <w:sz w:val="21"/>
                <w:szCs w:val="21"/>
                <w:lang w:bidi="ar"/>
              </w:rPr>
              <w:t>/a</w:t>
            </w:r>
            <w:r>
              <w:rPr>
                <w:rFonts w:hint="eastAsia" w:cs="宋体"/>
                <w:color w:val="auto"/>
                <w:kern w:val="21"/>
                <w:sz w:val="21"/>
                <w:szCs w:val="21"/>
                <w:lang w:bidi="ar"/>
              </w:rPr>
              <w:t>。</w:t>
            </w:r>
          </w:p>
        </w:tc>
        <w:tc>
          <w:tcPr>
            <w:tcW w:w="465" w:type="pct"/>
            <w:tcBorders>
              <w:top w:val="single" w:color="auto" w:sz="4" w:space="0"/>
              <w:left w:val="single" w:color="auto" w:sz="4" w:space="0"/>
              <w:bottom w:val="single" w:color="auto" w:sz="4" w:space="0"/>
              <w:right w:val="nil"/>
            </w:tcBorders>
            <w:shd w:val="clear" w:color="auto" w:fill="auto"/>
            <w:vAlign w:val="center"/>
          </w:tcPr>
          <w:p w14:paraId="388E863D">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3E34179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26" w:type="pct"/>
            <w:vMerge w:val="continue"/>
            <w:tcBorders>
              <w:top w:val="single" w:color="auto" w:sz="4" w:space="0"/>
              <w:left w:val="nil"/>
              <w:bottom w:val="single" w:color="auto" w:sz="4" w:space="0"/>
              <w:right w:val="single" w:color="auto" w:sz="4" w:space="0"/>
            </w:tcBorders>
            <w:shd w:val="clear" w:color="auto" w:fill="auto"/>
            <w:vAlign w:val="center"/>
          </w:tcPr>
          <w:p w14:paraId="4D4353D3">
            <w:pPr>
              <w:spacing w:line="240" w:lineRule="auto"/>
              <w:ind w:firstLine="0" w:firstLineChars="0"/>
              <w:jc w:val="center"/>
              <w:rPr>
                <w:color w:val="auto"/>
                <w:sz w:val="21"/>
                <w:szCs w:val="21"/>
              </w:rPr>
            </w:pPr>
          </w:p>
        </w:tc>
        <w:tc>
          <w:tcPr>
            <w:tcW w:w="2205" w:type="pct"/>
            <w:tcBorders>
              <w:top w:val="single" w:color="auto" w:sz="4" w:space="0"/>
              <w:left w:val="single" w:color="auto" w:sz="4" w:space="0"/>
              <w:bottom w:val="single" w:color="auto" w:sz="4" w:space="0"/>
              <w:right w:val="single" w:color="auto" w:sz="4" w:space="0"/>
            </w:tcBorders>
            <w:shd w:val="clear" w:color="auto" w:fill="auto"/>
            <w:vAlign w:val="center"/>
          </w:tcPr>
          <w:p w14:paraId="2AF39321">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严格设定地下水开采总量指标。</w:t>
            </w:r>
          </w:p>
        </w:tc>
        <w:tc>
          <w:tcPr>
            <w:tcW w:w="1602" w:type="pct"/>
            <w:tcBorders>
              <w:top w:val="single" w:color="auto" w:sz="4" w:space="0"/>
              <w:left w:val="single" w:color="auto" w:sz="4" w:space="0"/>
              <w:bottom w:val="single" w:color="auto" w:sz="4" w:space="0"/>
              <w:right w:val="single" w:color="auto" w:sz="4" w:space="0"/>
            </w:tcBorders>
            <w:shd w:val="clear" w:color="auto" w:fill="auto"/>
            <w:vAlign w:val="center"/>
          </w:tcPr>
          <w:p w14:paraId="5D602BC8">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本项目不涉及开采地下水。</w:t>
            </w:r>
          </w:p>
        </w:tc>
        <w:tc>
          <w:tcPr>
            <w:tcW w:w="465" w:type="pct"/>
            <w:tcBorders>
              <w:top w:val="single" w:color="auto" w:sz="4" w:space="0"/>
              <w:left w:val="single" w:color="auto" w:sz="4" w:space="0"/>
              <w:bottom w:val="single" w:color="auto" w:sz="4" w:space="0"/>
              <w:right w:val="nil"/>
            </w:tcBorders>
            <w:shd w:val="clear" w:color="auto" w:fill="auto"/>
            <w:vAlign w:val="center"/>
          </w:tcPr>
          <w:p w14:paraId="4D7C8CD8">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6F08AFE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26" w:type="pct"/>
            <w:vMerge w:val="continue"/>
            <w:tcBorders>
              <w:top w:val="single" w:color="auto" w:sz="4" w:space="0"/>
              <w:left w:val="nil"/>
              <w:bottom w:val="single" w:color="auto" w:sz="4" w:space="0"/>
              <w:right w:val="single" w:color="auto" w:sz="4" w:space="0"/>
            </w:tcBorders>
            <w:shd w:val="clear" w:color="auto" w:fill="auto"/>
            <w:vAlign w:val="center"/>
          </w:tcPr>
          <w:p w14:paraId="6F7A66AE">
            <w:pPr>
              <w:spacing w:line="240" w:lineRule="auto"/>
              <w:ind w:firstLine="0" w:firstLineChars="0"/>
              <w:jc w:val="center"/>
              <w:rPr>
                <w:color w:val="auto"/>
                <w:sz w:val="21"/>
                <w:szCs w:val="21"/>
              </w:rPr>
            </w:pPr>
          </w:p>
        </w:tc>
        <w:tc>
          <w:tcPr>
            <w:tcW w:w="2205" w:type="pct"/>
            <w:tcBorders>
              <w:top w:val="single" w:color="auto" w:sz="4" w:space="0"/>
              <w:left w:val="single" w:color="auto" w:sz="4" w:space="0"/>
              <w:bottom w:val="single" w:color="auto" w:sz="4" w:space="0"/>
              <w:right w:val="single" w:color="auto" w:sz="4" w:space="0"/>
            </w:tcBorders>
            <w:shd w:val="clear" w:color="auto" w:fill="auto"/>
            <w:vAlign w:val="center"/>
          </w:tcPr>
          <w:p w14:paraId="45C20517">
            <w:pPr>
              <w:widowControl/>
              <w:spacing w:line="240" w:lineRule="auto"/>
              <w:ind w:firstLine="0" w:firstLineChars="0"/>
              <w:rPr>
                <w:color w:val="auto"/>
                <w:kern w:val="21"/>
                <w:sz w:val="21"/>
                <w:szCs w:val="21"/>
              </w:rPr>
            </w:pPr>
            <w:r>
              <w:rPr>
                <w:color w:val="auto"/>
                <w:kern w:val="21"/>
                <w:sz w:val="21"/>
                <w:szCs w:val="21"/>
                <w:lang w:bidi="ar"/>
              </w:rPr>
              <w:t>2020</w:t>
            </w:r>
            <w:r>
              <w:rPr>
                <w:rFonts w:hint="eastAsia" w:cs="宋体"/>
                <w:color w:val="auto"/>
                <w:kern w:val="21"/>
                <w:sz w:val="21"/>
                <w:szCs w:val="21"/>
                <w:lang w:bidi="ar"/>
              </w:rPr>
              <w:t>年，全市用水总量控制在</w:t>
            </w:r>
            <w:r>
              <w:rPr>
                <w:color w:val="auto"/>
                <w:kern w:val="21"/>
                <w:sz w:val="21"/>
                <w:szCs w:val="21"/>
                <w:lang w:bidi="ar"/>
              </w:rPr>
              <w:t>29.43</w:t>
            </w:r>
            <w:r>
              <w:rPr>
                <w:rFonts w:hint="eastAsia" w:cs="宋体"/>
                <w:color w:val="auto"/>
                <w:kern w:val="21"/>
                <w:sz w:val="21"/>
                <w:szCs w:val="21"/>
                <w:lang w:bidi="ar"/>
              </w:rPr>
              <w:t>亿立方米以内，万元工业增加值用水量控制在</w:t>
            </w:r>
            <w:r>
              <w:rPr>
                <w:color w:val="auto"/>
                <w:kern w:val="21"/>
                <w:sz w:val="21"/>
                <w:szCs w:val="21"/>
                <w:lang w:bidi="ar"/>
              </w:rPr>
              <w:t>18</w:t>
            </w:r>
            <w:r>
              <w:rPr>
                <w:rFonts w:hint="eastAsia" w:cs="宋体"/>
                <w:color w:val="auto"/>
                <w:kern w:val="21"/>
                <w:sz w:val="21"/>
                <w:szCs w:val="21"/>
                <w:lang w:bidi="ar"/>
              </w:rPr>
              <w:t>立方米以内。</w:t>
            </w:r>
          </w:p>
        </w:tc>
        <w:tc>
          <w:tcPr>
            <w:tcW w:w="160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4A2224">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本次新建项目，全厂新鲜用水量为748138.41</w:t>
            </w:r>
            <w:r>
              <w:rPr>
                <w:color w:val="auto"/>
                <w:kern w:val="21"/>
                <w:sz w:val="21"/>
                <w:szCs w:val="21"/>
                <w:lang w:bidi="ar"/>
              </w:rPr>
              <w:t>m</w:t>
            </w:r>
            <w:r>
              <w:rPr>
                <w:color w:val="auto"/>
                <w:kern w:val="21"/>
                <w:sz w:val="21"/>
                <w:szCs w:val="21"/>
                <w:vertAlign w:val="superscript"/>
                <w:lang w:bidi="ar"/>
              </w:rPr>
              <w:t>3</w:t>
            </w:r>
            <w:r>
              <w:rPr>
                <w:color w:val="auto"/>
                <w:kern w:val="21"/>
                <w:sz w:val="21"/>
                <w:szCs w:val="21"/>
                <w:lang w:bidi="ar"/>
              </w:rPr>
              <w:t>/a</w:t>
            </w:r>
            <w:r>
              <w:rPr>
                <w:rFonts w:hint="eastAsia" w:cs="宋体"/>
                <w:color w:val="auto"/>
                <w:kern w:val="21"/>
                <w:sz w:val="21"/>
                <w:szCs w:val="21"/>
                <w:lang w:bidi="ar"/>
              </w:rPr>
              <w:t>。</w:t>
            </w:r>
          </w:p>
        </w:tc>
        <w:tc>
          <w:tcPr>
            <w:tcW w:w="465" w:type="pct"/>
            <w:vMerge w:val="restart"/>
            <w:tcBorders>
              <w:top w:val="single" w:color="auto" w:sz="4" w:space="0"/>
              <w:left w:val="single" w:color="auto" w:sz="4" w:space="0"/>
              <w:bottom w:val="single" w:color="auto" w:sz="4" w:space="0"/>
              <w:right w:val="nil"/>
            </w:tcBorders>
            <w:shd w:val="clear" w:color="auto" w:fill="auto"/>
            <w:vAlign w:val="center"/>
          </w:tcPr>
          <w:p w14:paraId="1A0C904E">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65AA35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26" w:type="pct"/>
            <w:vMerge w:val="continue"/>
            <w:tcBorders>
              <w:top w:val="single" w:color="auto" w:sz="4" w:space="0"/>
              <w:left w:val="nil"/>
              <w:bottom w:val="single" w:color="auto" w:sz="4" w:space="0"/>
              <w:right w:val="single" w:color="auto" w:sz="4" w:space="0"/>
            </w:tcBorders>
            <w:shd w:val="clear" w:color="auto" w:fill="auto"/>
            <w:vAlign w:val="center"/>
          </w:tcPr>
          <w:p w14:paraId="3B518AF6">
            <w:pPr>
              <w:spacing w:line="240" w:lineRule="auto"/>
              <w:ind w:firstLine="0" w:firstLineChars="0"/>
              <w:jc w:val="center"/>
              <w:rPr>
                <w:color w:val="auto"/>
                <w:sz w:val="21"/>
                <w:szCs w:val="21"/>
              </w:rPr>
            </w:pPr>
          </w:p>
        </w:tc>
        <w:tc>
          <w:tcPr>
            <w:tcW w:w="2205" w:type="pct"/>
            <w:tcBorders>
              <w:top w:val="single" w:color="auto" w:sz="4" w:space="0"/>
              <w:left w:val="single" w:color="auto" w:sz="4" w:space="0"/>
              <w:bottom w:val="single" w:color="auto" w:sz="4" w:space="0"/>
              <w:right w:val="single" w:color="auto" w:sz="4" w:space="0"/>
            </w:tcBorders>
            <w:shd w:val="clear" w:color="auto" w:fill="auto"/>
            <w:vAlign w:val="center"/>
          </w:tcPr>
          <w:p w14:paraId="424CC906">
            <w:pPr>
              <w:overflowPunct w:val="0"/>
              <w:spacing w:line="240" w:lineRule="auto"/>
              <w:ind w:firstLine="0" w:firstLineChars="0"/>
              <w:rPr>
                <w:color w:val="auto"/>
                <w:kern w:val="21"/>
                <w:sz w:val="21"/>
                <w:szCs w:val="21"/>
              </w:rPr>
            </w:pPr>
            <w:r>
              <w:rPr>
                <w:color w:val="auto"/>
                <w:kern w:val="21"/>
                <w:sz w:val="21"/>
                <w:szCs w:val="21"/>
                <w:lang w:bidi="ar"/>
              </w:rPr>
              <w:t>2030</w:t>
            </w:r>
            <w:r>
              <w:rPr>
                <w:rFonts w:hint="eastAsia" w:cs="宋体"/>
                <w:color w:val="auto"/>
                <w:kern w:val="21"/>
                <w:sz w:val="21"/>
                <w:szCs w:val="21"/>
                <w:lang w:bidi="ar"/>
              </w:rPr>
              <w:t>年，全市用水总量控制在</w:t>
            </w:r>
            <w:r>
              <w:rPr>
                <w:color w:val="auto"/>
                <w:kern w:val="21"/>
                <w:sz w:val="21"/>
                <w:szCs w:val="21"/>
                <w:lang w:bidi="ar"/>
              </w:rPr>
              <w:t>31.4</w:t>
            </w:r>
            <w:r>
              <w:rPr>
                <w:rFonts w:hint="eastAsia" w:cs="宋体"/>
                <w:color w:val="auto"/>
                <w:kern w:val="21"/>
                <w:sz w:val="21"/>
                <w:szCs w:val="21"/>
                <w:lang w:bidi="ar"/>
              </w:rPr>
              <w:t>亿立方米以内，万元工业增加值用水量控制在</w:t>
            </w:r>
            <w:r>
              <w:rPr>
                <w:color w:val="auto"/>
                <w:kern w:val="21"/>
                <w:sz w:val="21"/>
                <w:szCs w:val="21"/>
                <w:lang w:bidi="ar"/>
              </w:rPr>
              <w:t>12</w:t>
            </w:r>
            <w:r>
              <w:rPr>
                <w:rFonts w:hint="eastAsia" w:cs="宋体"/>
                <w:color w:val="auto"/>
                <w:kern w:val="21"/>
                <w:sz w:val="21"/>
                <w:szCs w:val="21"/>
                <w:lang w:bidi="ar"/>
              </w:rPr>
              <w:t>立方米以内。</w:t>
            </w:r>
          </w:p>
        </w:tc>
        <w:tc>
          <w:tcPr>
            <w:tcW w:w="160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C8B3DD">
            <w:pPr>
              <w:spacing w:line="240" w:lineRule="auto"/>
              <w:ind w:firstLine="0" w:firstLineChars="0"/>
              <w:jc w:val="center"/>
              <w:rPr>
                <w:color w:val="auto"/>
                <w:sz w:val="21"/>
                <w:szCs w:val="21"/>
              </w:rPr>
            </w:pPr>
          </w:p>
        </w:tc>
        <w:tc>
          <w:tcPr>
            <w:tcW w:w="465" w:type="pct"/>
            <w:vMerge w:val="continue"/>
            <w:tcBorders>
              <w:top w:val="single" w:color="auto" w:sz="4" w:space="0"/>
              <w:left w:val="single" w:color="auto" w:sz="4" w:space="0"/>
              <w:bottom w:val="single" w:color="auto" w:sz="4" w:space="0"/>
              <w:right w:val="nil"/>
            </w:tcBorders>
            <w:shd w:val="clear" w:color="auto" w:fill="auto"/>
            <w:vAlign w:val="center"/>
          </w:tcPr>
          <w:p w14:paraId="2CA8E01B">
            <w:pPr>
              <w:spacing w:line="240" w:lineRule="auto"/>
              <w:ind w:firstLine="0" w:firstLineChars="0"/>
              <w:jc w:val="center"/>
              <w:rPr>
                <w:color w:val="auto"/>
                <w:sz w:val="21"/>
                <w:szCs w:val="21"/>
              </w:rPr>
            </w:pPr>
          </w:p>
        </w:tc>
      </w:tr>
      <w:tr w14:paraId="57AF326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26" w:type="pct"/>
            <w:tcBorders>
              <w:top w:val="single" w:color="auto" w:sz="4" w:space="0"/>
              <w:left w:val="nil"/>
              <w:bottom w:val="single" w:color="auto" w:sz="12" w:space="0"/>
              <w:right w:val="single" w:color="auto" w:sz="4" w:space="0"/>
            </w:tcBorders>
            <w:shd w:val="clear" w:color="auto" w:fill="auto"/>
            <w:vAlign w:val="center"/>
          </w:tcPr>
          <w:p w14:paraId="4DE03E44">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能源总量红线</w:t>
            </w:r>
          </w:p>
        </w:tc>
        <w:tc>
          <w:tcPr>
            <w:tcW w:w="2205" w:type="pct"/>
            <w:tcBorders>
              <w:top w:val="single" w:color="auto" w:sz="4" w:space="0"/>
              <w:left w:val="single" w:color="auto" w:sz="4" w:space="0"/>
              <w:bottom w:val="single" w:color="auto" w:sz="12" w:space="0"/>
              <w:right w:val="single" w:color="auto" w:sz="4" w:space="0"/>
            </w:tcBorders>
            <w:shd w:val="clear" w:color="auto" w:fill="auto"/>
            <w:vAlign w:val="center"/>
          </w:tcPr>
          <w:p w14:paraId="2EC18348">
            <w:pPr>
              <w:overflowPunct w:val="0"/>
              <w:spacing w:line="240" w:lineRule="auto"/>
              <w:ind w:firstLine="0" w:firstLineChars="0"/>
              <w:rPr>
                <w:color w:val="auto"/>
                <w:kern w:val="21"/>
                <w:sz w:val="21"/>
                <w:szCs w:val="21"/>
              </w:rPr>
            </w:pPr>
            <w:r>
              <w:rPr>
                <w:rFonts w:hint="eastAsia" w:cs="宋体"/>
                <w:color w:val="auto"/>
                <w:kern w:val="21"/>
                <w:sz w:val="21"/>
                <w:szCs w:val="21"/>
                <w:lang w:bidi="ar"/>
              </w:rPr>
              <w:t>考虑到连云港市经济发展现状情况，以及石化基地、精品钢基地及大港口的发展战略需求，综合能源消耗总量将在较长一段时间内，保持较高的增速，因此综合能源消耗总量增速控制</w:t>
            </w:r>
            <w:r>
              <w:rPr>
                <w:color w:val="auto"/>
                <w:kern w:val="21"/>
                <w:sz w:val="21"/>
                <w:szCs w:val="21"/>
                <w:lang w:bidi="ar"/>
              </w:rPr>
              <w:t>3.5%</w:t>
            </w:r>
            <w:r>
              <w:rPr>
                <w:rFonts w:hint="eastAsia"/>
                <w:color w:val="auto"/>
                <w:kern w:val="21"/>
                <w:sz w:val="21"/>
                <w:szCs w:val="21"/>
                <w:lang w:bidi="ar"/>
              </w:rPr>
              <w:t>～</w:t>
            </w:r>
            <w:r>
              <w:rPr>
                <w:color w:val="auto"/>
                <w:kern w:val="21"/>
                <w:sz w:val="21"/>
                <w:szCs w:val="21"/>
                <w:lang w:bidi="ar"/>
              </w:rPr>
              <w:t>5%</w:t>
            </w:r>
            <w:r>
              <w:rPr>
                <w:rFonts w:hint="eastAsia" w:cs="宋体"/>
                <w:color w:val="auto"/>
                <w:kern w:val="21"/>
                <w:sz w:val="21"/>
                <w:szCs w:val="21"/>
                <w:lang w:bidi="ar"/>
              </w:rPr>
              <w:t>，</w:t>
            </w:r>
            <w:r>
              <w:rPr>
                <w:color w:val="auto"/>
                <w:kern w:val="21"/>
                <w:sz w:val="21"/>
                <w:szCs w:val="21"/>
                <w:lang w:bidi="ar"/>
              </w:rPr>
              <w:t>2030</w:t>
            </w:r>
            <w:r>
              <w:rPr>
                <w:rFonts w:hint="eastAsia" w:cs="宋体"/>
                <w:color w:val="auto"/>
                <w:kern w:val="21"/>
                <w:sz w:val="21"/>
                <w:szCs w:val="21"/>
                <w:lang w:bidi="ar"/>
              </w:rPr>
              <w:t>年综合能源消耗总量控制在</w:t>
            </w:r>
            <w:r>
              <w:rPr>
                <w:color w:val="auto"/>
                <w:kern w:val="21"/>
                <w:sz w:val="21"/>
                <w:szCs w:val="21"/>
                <w:lang w:bidi="ar"/>
              </w:rPr>
              <w:t>3200</w:t>
            </w:r>
            <w:r>
              <w:rPr>
                <w:rFonts w:hint="eastAsia" w:cs="宋体"/>
                <w:color w:val="auto"/>
                <w:kern w:val="21"/>
                <w:sz w:val="21"/>
                <w:szCs w:val="21"/>
                <w:lang w:bidi="ar"/>
              </w:rPr>
              <w:t>万吨标准煤。</w:t>
            </w:r>
          </w:p>
        </w:tc>
        <w:tc>
          <w:tcPr>
            <w:tcW w:w="1602" w:type="pct"/>
            <w:tcBorders>
              <w:top w:val="single" w:color="auto" w:sz="4" w:space="0"/>
              <w:left w:val="single" w:color="auto" w:sz="4" w:space="0"/>
              <w:bottom w:val="single" w:color="auto" w:sz="12" w:space="0"/>
              <w:right w:val="single" w:color="auto" w:sz="4" w:space="0"/>
            </w:tcBorders>
            <w:shd w:val="clear" w:color="auto" w:fill="auto"/>
            <w:vAlign w:val="center"/>
          </w:tcPr>
          <w:p w14:paraId="50D62D0F">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本项目能源消耗为</w:t>
            </w:r>
            <w:r>
              <w:rPr>
                <w:rFonts w:hint="eastAsia"/>
                <w:color w:val="auto"/>
                <w:kern w:val="21"/>
                <w:sz w:val="21"/>
                <w:szCs w:val="21"/>
                <w:lang w:bidi="ar"/>
              </w:rPr>
              <w:t>22002.33</w:t>
            </w:r>
            <w:r>
              <w:rPr>
                <w:rFonts w:hint="eastAsia" w:cs="宋体"/>
                <w:color w:val="auto"/>
                <w:kern w:val="21"/>
                <w:sz w:val="21"/>
                <w:szCs w:val="21"/>
                <w:lang w:bidi="ar"/>
              </w:rPr>
              <w:t>吨标准煤（根据电、天然气消耗折算）。</w:t>
            </w:r>
          </w:p>
        </w:tc>
        <w:tc>
          <w:tcPr>
            <w:tcW w:w="465" w:type="pct"/>
            <w:tcBorders>
              <w:top w:val="single" w:color="auto" w:sz="4" w:space="0"/>
              <w:left w:val="single" w:color="auto" w:sz="4" w:space="0"/>
              <w:bottom w:val="single" w:color="auto" w:sz="12" w:space="0"/>
              <w:right w:val="nil"/>
            </w:tcBorders>
            <w:shd w:val="clear" w:color="auto" w:fill="auto"/>
            <w:vAlign w:val="center"/>
          </w:tcPr>
          <w:p w14:paraId="438B725D">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bl>
    <w:p w14:paraId="772E54DD">
      <w:pPr>
        <w:spacing w:line="240" w:lineRule="auto"/>
        <w:ind w:firstLine="0" w:firstLineChars="0"/>
        <w:rPr>
          <w:rFonts w:cs="宋体"/>
          <w:color w:val="auto"/>
          <w:sz w:val="18"/>
          <w:szCs w:val="21"/>
          <w:lang w:bidi="ar"/>
        </w:rPr>
      </w:pPr>
      <w:r>
        <w:rPr>
          <w:rFonts w:hint="eastAsia" w:cs="宋体"/>
          <w:b/>
          <w:bCs/>
          <w:color w:val="auto"/>
          <w:sz w:val="18"/>
          <w:szCs w:val="21"/>
          <w:lang w:bidi="ar"/>
        </w:rPr>
        <w:t>注：</w:t>
      </w:r>
      <w:r>
        <w:rPr>
          <w:rFonts w:hint="eastAsia" w:cs="宋体"/>
          <w:color w:val="auto"/>
          <w:sz w:val="18"/>
          <w:szCs w:val="21"/>
          <w:lang w:bidi="ar"/>
        </w:rPr>
        <w:t>本项目用电约14200万kWh/a、天然气用量为384.12万m</w:t>
      </w:r>
      <w:r>
        <w:rPr>
          <w:rFonts w:hint="eastAsia" w:cs="宋体"/>
          <w:color w:val="auto"/>
          <w:sz w:val="18"/>
          <w:szCs w:val="21"/>
          <w:vertAlign w:val="superscript"/>
          <w:lang w:bidi="ar"/>
        </w:rPr>
        <w:t>3</w:t>
      </w:r>
      <w:r>
        <w:rPr>
          <w:rFonts w:hint="eastAsia" w:cs="宋体"/>
          <w:color w:val="auto"/>
          <w:sz w:val="18"/>
          <w:szCs w:val="21"/>
          <w:lang w:bidi="ar"/>
        </w:rPr>
        <w:t>/a、蒸汽9504t/a、自来水748138.41m</w:t>
      </w:r>
      <w:r>
        <w:rPr>
          <w:rFonts w:hint="eastAsia" w:cs="宋体"/>
          <w:color w:val="auto"/>
          <w:sz w:val="18"/>
          <w:szCs w:val="21"/>
          <w:vertAlign w:val="superscript"/>
          <w:lang w:bidi="ar"/>
        </w:rPr>
        <w:t>3</w:t>
      </w:r>
      <w:r>
        <w:rPr>
          <w:rFonts w:hint="eastAsia" w:cs="宋体"/>
          <w:color w:val="auto"/>
          <w:sz w:val="18"/>
          <w:szCs w:val="21"/>
          <w:lang w:bidi="ar"/>
        </w:rPr>
        <w:t>/a，根据《综合能耗计算通则》（GB/T2589-2020）折标煤系数分别为：0.1229kgce/（kW.h）、1.1475kgce/m</w:t>
      </w:r>
      <w:r>
        <w:rPr>
          <w:rFonts w:hint="eastAsia" w:cs="宋体"/>
          <w:color w:val="auto"/>
          <w:sz w:val="18"/>
          <w:szCs w:val="21"/>
          <w:vertAlign w:val="superscript"/>
          <w:lang w:bidi="ar"/>
        </w:rPr>
        <w:t>3</w:t>
      </w:r>
      <w:r>
        <w:rPr>
          <w:rFonts w:hint="eastAsia" w:cs="宋体"/>
          <w:color w:val="auto"/>
          <w:sz w:val="18"/>
          <w:szCs w:val="21"/>
          <w:lang w:bidi="ar"/>
        </w:rPr>
        <w:t>、0.0949kgce/kg、0.1896kgce/t，则合计折标煤约22002.33t。</w:t>
      </w:r>
    </w:p>
    <w:p w14:paraId="477A9740">
      <w:pPr>
        <w:spacing w:before="120" w:beforeLines="50"/>
        <w:ind w:firstLine="480"/>
        <w:rPr>
          <w:rFonts w:cs="宋体"/>
          <w:b/>
          <w:bCs/>
          <w:color w:val="auto"/>
          <w:lang w:bidi="ar"/>
        </w:rPr>
      </w:pPr>
      <w:r>
        <w:rPr>
          <w:rFonts w:hint="eastAsia" w:cs="宋体"/>
          <w:color w:val="auto"/>
          <w:lang w:bidi="ar"/>
        </w:rPr>
        <w:t>同时，根据《关于印发连云港市资源利用上线管理办法（试行）的通知》（连政办发</w:t>
      </w:r>
      <w:r>
        <w:rPr>
          <w:rFonts w:hint="eastAsia"/>
          <w:color w:val="auto"/>
          <w:lang w:bidi="ar"/>
        </w:rPr>
        <w:t>〔</w:t>
      </w:r>
      <w:r>
        <w:rPr>
          <w:color w:val="auto"/>
          <w:lang w:bidi="ar"/>
        </w:rPr>
        <w:t>2018</w:t>
      </w:r>
      <w:r>
        <w:rPr>
          <w:rFonts w:hint="eastAsia"/>
          <w:color w:val="auto"/>
          <w:lang w:bidi="ar"/>
        </w:rPr>
        <w:t>〕</w:t>
      </w:r>
      <w:r>
        <w:rPr>
          <w:color w:val="auto"/>
          <w:lang w:bidi="ar"/>
        </w:rPr>
        <w:t>37</w:t>
      </w:r>
      <w:r>
        <w:rPr>
          <w:rFonts w:hint="eastAsia" w:cs="宋体"/>
          <w:color w:val="auto"/>
          <w:lang w:bidi="ar"/>
        </w:rPr>
        <w:t>号）要求，本环评对照该文件进行相符性分析，具体分析结果见表</w:t>
      </w:r>
      <w:r>
        <w:rPr>
          <w:rFonts w:hint="eastAsia"/>
          <w:color w:val="auto"/>
          <w:lang w:bidi="ar"/>
        </w:rPr>
        <w:t>1.4.4-7</w:t>
      </w:r>
      <w:r>
        <w:rPr>
          <w:rFonts w:hint="eastAsia" w:cs="宋体"/>
          <w:color w:val="auto"/>
          <w:lang w:bidi="ar"/>
        </w:rPr>
        <w:t>。</w:t>
      </w:r>
    </w:p>
    <w:p w14:paraId="45093A8E">
      <w:pPr>
        <w:spacing w:line="240" w:lineRule="auto"/>
        <w:ind w:firstLine="0" w:firstLineChars="0"/>
        <w:jc w:val="center"/>
        <w:rPr>
          <w:b/>
          <w:bCs/>
          <w:color w:val="auto"/>
        </w:rPr>
      </w:pPr>
      <w:r>
        <w:rPr>
          <w:rFonts w:hint="eastAsia" w:cs="宋体"/>
          <w:b/>
          <w:bCs/>
          <w:color w:val="auto"/>
          <w:lang w:bidi="ar"/>
        </w:rPr>
        <w:t>表</w:t>
      </w:r>
      <w:r>
        <w:rPr>
          <w:rFonts w:hint="eastAsia"/>
          <w:b/>
          <w:bCs/>
          <w:color w:val="auto"/>
          <w:lang w:bidi="ar"/>
        </w:rPr>
        <w:t>1.4.4-7</w:t>
      </w:r>
      <w:r>
        <w:rPr>
          <w:b/>
          <w:bCs/>
          <w:color w:val="auto"/>
          <w:lang w:bidi="ar"/>
        </w:rPr>
        <w:t xml:space="preserve">  </w:t>
      </w:r>
      <w:r>
        <w:rPr>
          <w:rFonts w:hint="eastAsia" w:cs="宋体"/>
          <w:b/>
          <w:bCs/>
          <w:color w:val="auto"/>
          <w:lang w:bidi="ar"/>
        </w:rPr>
        <w:t>本项目与连政办发</w:t>
      </w:r>
      <w:r>
        <w:rPr>
          <w:rFonts w:hint="eastAsia"/>
          <w:b/>
          <w:bCs/>
          <w:color w:val="auto"/>
          <w:lang w:bidi="ar"/>
        </w:rPr>
        <w:t>〔</w:t>
      </w:r>
      <w:r>
        <w:rPr>
          <w:b/>
          <w:bCs/>
          <w:color w:val="auto"/>
          <w:lang w:bidi="ar"/>
        </w:rPr>
        <w:t>2018</w:t>
      </w:r>
      <w:r>
        <w:rPr>
          <w:rFonts w:hint="eastAsia"/>
          <w:b/>
          <w:bCs/>
          <w:color w:val="auto"/>
          <w:lang w:bidi="ar"/>
        </w:rPr>
        <w:t>〕</w:t>
      </w:r>
      <w:r>
        <w:rPr>
          <w:b/>
          <w:bCs/>
          <w:color w:val="auto"/>
          <w:lang w:bidi="ar"/>
        </w:rPr>
        <w:t>37</w:t>
      </w:r>
      <w:r>
        <w:rPr>
          <w:rFonts w:hint="eastAsia" w:cs="宋体"/>
          <w:b/>
          <w:bCs/>
          <w:color w:val="auto"/>
          <w:lang w:bidi="ar"/>
        </w:rPr>
        <w:t>号文相符性分析一览表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520"/>
        <w:gridCol w:w="2355"/>
        <w:gridCol w:w="1053"/>
      </w:tblGrid>
      <w:tr w14:paraId="7C012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31" w:type="pct"/>
            <w:tcBorders>
              <w:tl2br w:val="nil"/>
              <w:tr2bl w:val="nil"/>
            </w:tcBorders>
            <w:shd w:val="clear" w:color="auto" w:fill="auto"/>
            <w:vAlign w:val="center"/>
          </w:tcPr>
          <w:p w14:paraId="0E183E4B">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文件名称</w:t>
            </w:r>
          </w:p>
        </w:tc>
        <w:tc>
          <w:tcPr>
            <w:tcW w:w="2433" w:type="pct"/>
            <w:tcBorders>
              <w:tl2br w:val="nil"/>
              <w:tr2bl w:val="nil"/>
            </w:tcBorders>
            <w:shd w:val="clear" w:color="auto" w:fill="auto"/>
            <w:vAlign w:val="center"/>
          </w:tcPr>
          <w:p w14:paraId="531A7B84">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管控要求</w:t>
            </w:r>
          </w:p>
        </w:tc>
        <w:tc>
          <w:tcPr>
            <w:tcW w:w="1268" w:type="pct"/>
            <w:tcBorders>
              <w:tl2br w:val="nil"/>
              <w:tr2bl w:val="nil"/>
            </w:tcBorders>
            <w:shd w:val="clear" w:color="auto" w:fill="auto"/>
            <w:vAlign w:val="center"/>
          </w:tcPr>
          <w:p w14:paraId="3A01609A">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567" w:type="pct"/>
            <w:tcBorders>
              <w:tl2br w:val="nil"/>
              <w:tr2bl w:val="nil"/>
            </w:tcBorders>
            <w:shd w:val="clear" w:color="auto" w:fill="auto"/>
            <w:vAlign w:val="center"/>
          </w:tcPr>
          <w:p w14:paraId="61E3D221">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4DB25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31" w:type="pct"/>
            <w:vMerge w:val="restart"/>
            <w:tcBorders>
              <w:tl2br w:val="nil"/>
              <w:tr2bl w:val="nil"/>
            </w:tcBorders>
            <w:shd w:val="clear" w:color="auto" w:fill="auto"/>
            <w:vAlign w:val="center"/>
          </w:tcPr>
          <w:p w14:paraId="52898259">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《关于印发连云港市资源利用上线管理办法（试行）的通知》（连政办发</w:t>
            </w:r>
            <w:r>
              <w:rPr>
                <w:rFonts w:hint="eastAsia"/>
                <w:color w:val="auto"/>
                <w:kern w:val="21"/>
                <w:sz w:val="21"/>
                <w:szCs w:val="21"/>
                <w:lang w:bidi="ar"/>
              </w:rPr>
              <w:t>〔</w:t>
            </w:r>
            <w:r>
              <w:rPr>
                <w:color w:val="auto"/>
                <w:kern w:val="21"/>
                <w:sz w:val="21"/>
                <w:szCs w:val="21"/>
                <w:lang w:bidi="ar"/>
              </w:rPr>
              <w:t>2018</w:t>
            </w:r>
            <w:r>
              <w:rPr>
                <w:rFonts w:hint="eastAsia"/>
                <w:color w:val="auto"/>
                <w:kern w:val="21"/>
                <w:sz w:val="21"/>
                <w:szCs w:val="21"/>
                <w:lang w:bidi="ar"/>
              </w:rPr>
              <w:t>〕</w:t>
            </w:r>
            <w:r>
              <w:rPr>
                <w:color w:val="auto"/>
                <w:kern w:val="21"/>
                <w:sz w:val="21"/>
                <w:szCs w:val="21"/>
                <w:lang w:bidi="ar"/>
              </w:rPr>
              <w:t>37</w:t>
            </w:r>
            <w:r>
              <w:rPr>
                <w:rFonts w:hint="eastAsia" w:cs="宋体"/>
                <w:color w:val="auto"/>
                <w:kern w:val="21"/>
                <w:sz w:val="21"/>
                <w:szCs w:val="21"/>
                <w:lang w:bidi="ar"/>
              </w:rPr>
              <w:t>号）</w:t>
            </w:r>
          </w:p>
        </w:tc>
        <w:tc>
          <w:tcPr>
            <w:tcW w:w="2433" w:type="pct"/>
            <w:tcBorders>
              <w:tl2br w:val="nil"/>
              <w:tr2bl w:val="nil"/>
            </w:tcBorders>
            <w:shd w:val="clear" w:color="auto" w:fill="auto"/>
            <w:vAlign w:val="center"/>
          </w:tcPr>
          <w:p w14:paraId="005A745E">
            <w:pPr>
              <w:widowControl/>
              <w:spacing w:line="240" w:lineRule="auto"/>
              <w:ind w:firstLine="0" w:firstLineChars="0"/>
              <w:rPr>
                <w:color w:val="auto"/>
                <w:kern w:val="21"/>
                <w:sz w:val="21"/>
                <w:szCs w:val="21"/>
              </w:rPr>
            </w:pPr>
            <w:r>
              <w:rPr>
                <w:color w:val="auto"/>
                <w:kern w:val="21"/>
                <w:sz w:val="21"/>
                <w:szCs w:val="21"/>
              </w:rPr>
              <w:t>严格控制全市水资源利用总量，到2020年，全市年用水总量控制在29.43亿立方米以内，其中地下水控制在2500万立方米以内</w:t>
            </w:r>
            <w:r>
              <w:rPr>
                <w:rFonts w:hint="eastAsia"/>
                <w:color w:val="auto"/>
                <w:kern w:val="21"/>
                <w:sz w:val="21"/>
                <w:szCs w:val="21"/>
              </w:rPr>
              <w:t>：</w:t>
            </w:r>
            <w:r>
              <w:rPr>
                <w:color w:val="auto"/>
                <w:kern w:val="21"/>
                <w:sz w:val="21"/>
                <w:szCs w:val="21"/>
              </w:rPr>
              <w:t>万元国内生产总值用水量、万元工业增加值用水量分别要比2015年下降28%和23%</w:t>
            </w:r>
            <w:r>
              <w:rPr>
                <w:rFonts w:hint="eastAsia"/>
                <w:color w:val="auto"/>
                <w:kern w:val="21"/>
                <w:sz w:val="21"/>
                <w:szCs w:val="21"/>
              </w:rPr>
              <w:t>；</w:t>
            </w:r>
            <w:r>
              <w:rPr>
                <w:color w:val="auto"/>
                <w:kern w:val="21"/>
                <w:sz w:val="21"/>
                <w:szCs w:val="21"/>
              </w:rPr>
              <w:t>农田灌溉水有效利用系数提高至0.60以上。工业、服务业和生活用水严格按照《江苏省工业、服务业和生活用水定额</w:t>
            </w:r>
            <w:r>
              <w:rPr>
                <w:rFonts w:hint="eastAsia"/>
                <w:color w:val="auto"/>
                <w:kern w:val="21"/>
                <w:sz w:val="21"/>
                <w:szCs w:val="21"/>
              </w:rPr>
              <w:t>（</w:t>
            </w:r>
            <w:r>
              <w:rPr>
                <w:color w:val="auto"/>
                <w:kern w:val="21"/>
                <w:sz w:val="21"/>
                <w:szCs w:val="21"/>
              </w:rPr>
              <w:t>2014年修订</w:t>
            </w:r>
            <w:r>
              <w:rPr>
                <w:rFonts w:hint="eastAsia"/>
                <w:color w:val="auto"/>
                <w:kern w:val="21"/>
                <w:sz w:val="21"/>
                <w:szCs w:val="21"/>
              </w:rPr>
              <w:t>）</w:t>
            </w:r>
            <w:r>
              <w:rPr>
                <w:color w:val="auto"/>
                <w:kern w:val="21"/>
                <w:sz w:val="21"/>
                <w:szCs w:val="21"/>
              </w:rPr>
              <w:t>》执行。到2030年，全市年用水总量控制在30.23亿立方米以内，提高河流生态流量保障力度。</w:t>
            </w:r>
          </w:p>
        </w:tc>
        <w:tc>
          <w:tcPr>
            <w:tcW w:w="1268" w:type="pct"/>
            <w:tcBorders>
              <w:tl2br w:val="nil"/>
              <w:tr2bl w:val="nil"/>
            </w:tcBorders>
            <w:shd w:val="clear" w:color="auto" w:fill="auto"/>
            <w:vAlign w:val="center"/>
          </w:tcPr>
          <w:p w14:paraId="292EDA12">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本项目全厂新鲜水用量为</w:t>
            </w:r>
            <w:r>
              <w:rPr>
                <w:rFonts w:hint="eastAsia" w:cs="宋体"/>
                <w:color w:val="auto"/>
                <w:sz w:val="21"/>
                <w:szCs w:val="21"/>
                <w:lang w:bidi="ar"/>
              </w:rPr>
              <w:t>748138.41</w:t>
            </w:r>
            <w:r>
              <w:rPr>
                <w:color w:val="auto"/>
                <w:kern w:val="21"/>
                <w:sz w:val="21"/>
                <w:szCs w:val="21"/>
                <w:lang w:bidi="ar"/>
              </w:rPr>
              <w:t>m</w:t>
            </w:r>
            <w:r>
              <w:rPr>
                <w:color w:val="auto"/>
                <w:kern w:val="21"/>
                <w:sz w:val="21"/>
                <w:szCs w:val="21"/>
                <w:vertAlign w:val="superscript"/>
                <w:lang w:bidi="ar"/>
              </w:rPr>
              <w:t>3</w:t>
            </w:r>
            <w:r>
              <w:rPr>
                <w:color w:val="auto"/>
                <w:kern w:val="21"/>
                <w:sz w:val="21"/>
                <w:szCs w:val="21"/>
                <w:lang w:bidi="ar"/>
              </w:rPr>
              <w:t>/a</w:t>
            </w:r>
            <w:r>
              <w:rPr>
                <w:rFonts w:hint="eastAsia" w:cs="宋体"/>
                <w:color w:val="auto"/>
                <w:kern w:val="21"/>
                <w:sz w:val="21"/>
                <w:szCs w:val="21"/>
                <w:lang w:bidi="ar"/>
              </w:rPr>
              <w:t>。本项目不涉及开采地下水，用水量符合《江苏省工业、</w:t>
            </w:r>
            <w:r>
              <w:rPr>
                <w:color w:val="auto"/>
                <w:kern w:val="21"/>
                <w:sz w:val="21"/>
                <w:szCs w:val="21"/>
              </w:rPr>
              <w:t>服务业和生活用水定额</w:t>
            </w:r>
            <w:r>
              <w:rPr>
                <w:rFonts w:hint="eastAsia"/>
                <w:color w:val="auto"/>
                <w:kern w:val="21"/>
                <w:sz w:val="21"/>
                <w:szCs w:val="21"/>
              </w:rPr>
              <w:t>（</w:t>
            </w:r>
            <w:r>
              <w:rPr>
                <w:color w:val="auto"/>
                <w:kern w:val="21"/>
                <w:sz w:val="21"/>
                <w:szCs w:val="21"/>
              </w:rPr>
              <w:t>201</w:t>
            </w:r>
            <w:r>
              <w:rPr>
                <w:rFonts w:hint="eastAsia"/>
                <w:color w:val="auto"/>
                <w:kern w:val="21"/>
                <w:sz w:val="21"/>
                <w:szCs w:val="21"/>
              </w:rPr>
              <w:t>9</w:t>
            </w:r>
            <w:r>
              <w:rPr>
                <w:color w:val="auto"/>
                <w:kern w:val="21"/>
                <w:sz w:val="21"/>
                <w:szCs w:val="21"/>
              </w:rPr>
              <w:t>年修订</w:t>
            </w:r>
            <w:r>
              <w:rPr>
                <w:rFonts w:hint="eastAsia"/>
                <w:color w:val="auto"/>
                <w:kern w:val="21"/>
                <w:sz w:val="21"/>
                <w:szCs w:val="21"/>
              </w:rPr>
              <w:t>）</w:t>
            </w:r>
            <w:r>
              <w:rPr>
                <w:rFonts w:hint="eastAsia" w:cs="宋体"/>
                <w:color w:val="auto"/>
                <w:kern w:val="21"/>
                <w:sz w:val="21"/>
                <w:szCs w:val="21"/>
                <w:lang w:bidi="ar"/>
              </w:rPr>
              <w:t>》。</w:t>
            </w:r>
          </w:p>
        </w:tc>
        <w:tc>
          <w:tcPr>
            <w:tcW w:w="567" w:type="pct"/>
            <w:tcBorders>
              <w:tl2br w:val="nil"/>
              <w:tr2bl w:val="nil"/>
            </w:tcBorders>
            <w:shd w:val="clear" w:color="auto" w:fill="auto"/>
            <w:vAlign w:val="center"/>
          </w:tcPr>
          <w:p w14:paraId="0570A68E">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6BD4E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31" w:type="pct"/>
            <w:vMerge w:val="continue"/>
            <w:tcBorders>
              <w:tl2br w:val="nil"/>
              <w:tr2bl w:val="nil"/>
            </w:tcBorders>
            <w:shd w:val="clear" w:color="auto" w:fill="auto"/>
            <w:vAlign w:val="center"/>
          </w:tcPr>
          <w:p w14:paraId="4DF701F9">
            <w:pPr>
              <w:spacing w:line="240" w:lineRule="auto"/>
              <w:ind w:firstLine="0" w:firstLineChars="0"/>
              <w:jc w:val="center"/>
              <w:rPr>
                <w:color w:val="auto"/>
                <w:sz w:val="21"/>
                <w:szCs w:val="21"/>
              </w:rPr>
            </w:pPr>
          </w:p>
        </w:tc>
        <w:tc>
          <w:tcPr>
            <w:tcW w:w="2433" w:type="pct"/>
            <w:tcBorders>
              <w:tl2br w:val="nil"/>
              <w:tr2bl w:val="nil"/>
            </w:tcBorders>
            <w:shd w:val="clear" w:color="auto" w:fill="auto"/>
            <w:vAlign w:val="center"/>
          </w:tcPr>
          <w:p w14:paraId="18138606">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第四条</w:t>
            </w:r>
            <w:r>
              <w:rPr>
                <w:color w:val="auto"/>
                <w:kern w:val="21"/>
                <w:sz w:val="21"/>
                <w:szCs w:val="21"/>
                <w:lang w:bidi="ar"/>
              </w:rPr>
              <w:t xml:space="preserve"> </w:t>
            </w:r>
            <w:r>
              <w:rPr>
                <w:rFonts w:hint="eastAsia" w:cs="宋体"/>
                <w:color w:val="auto"/>
                <w:kern w:val="21"/>
                <w:sz w:val="21"/>
                <w:szCs w:val="21"/>
                <w:lang w:bidi="ar"/>
              </w:rPr>
              <w:t>土地利用管控要求。优化国土空间发展格局，完善土地节约利用体制，全面推进节约集约用地，控制土地开发总体强度。国家级开发区、省级开发区和市区、其他工业集中区新建工业项目平均投资强度分别不低于</w:t>
            </w:r>
            <w:r>
              <w:rPr>
                <w:color w:val="auto"/>
                <w:kern w:val="21"/>
                <w:sz w:val="21"/>
                <w:szCs w:val="21"/>
                <w:lang w:bidi="ar"/>
              </w:rPr>
              <w:t>350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w:t>
            </w:r>
            <w:r>
              <w:rPr>
                <w:color w:val="auto"/>
                <w:kern w:val="21"/>
                <w:sz w:val="21"/>
                <w:szCs w:val="21"/>
                <w:lang w:bidi="ar"/>
              </w:rPr>
              <w:t>280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w:t>
            </w:r>
            <w:r>
              <w:rPr>
                <w:color w:val="auto"/>
                <w:kern w:val="21"/>
                <w:sz w:val="21"/>
                <w:szCs w:val="21"/>
                <w:lang w:bidi="ar"/>
              </w:rPr>
              <w:t>220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亩，项目达产后亩均产值分别不低于</w:t>
            </w:r>
            <w:r>
              <w:rPr>
                <w:color w:val="auto"/>
                <w:kern w:val="21"/>
                <w:sz w:val="21"/>
                <w:szCs w:val="21"/>
                <w:lang w:bidi="ar"/>
              </w:rPr>
              <w:t>520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w:t>
            </w:r>
            <w:r>
              <w:rPr>
                <w:color w:val="auto"/>
                <w:kern w:val="21"/>
                <w:sz w:val="21"/>
                <w:szCs w:val="21"/>
                <w:lang w:bidi="ar"/>
              </w:rPr>
              <w:t>400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w:t>
            </w:r>
            <w:r>
              <w:rPr>
                <w:color w:val="auto"/>
                <w:kern w:val="21"/>
                <w:sz w:val="21"/>
                <w:szCs w:val="21"/>
                <w:lang w:bidi="ar"/>
              </w:rPr>
              <w:t>280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亩，亩均税收不低于</w:t>
            </w:r>
            <w:r>
              <w:rPr>
                <w:color w:val="auto"/>
                <w:kern w:val="21"/>
                <w:sz w:val="21"/>
                <w:szCs w:val="21"/>
                <w:lang w:bidi="ar"/>
              </w:rPr>
              <w:t>30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w:t>
            </w:r>
            <w:r>
              <w:rPr>
                <w:color w:val="auto"/>
                <w:kern w:val="21"/>
                <w:sz w:val="21"/>
                <w:szCs w:val="21"/>
                <w:lang w:bidi="ar"/>
              </w:rPr>
              <w:t>20</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w:t>
            </w:r>
            <w:r>
              <w:rPr>
                <w:color w:val="auto"/>
                <w:kern w:val="21"/>
                <w:sz w:val="21"/>
                <w:szCs w:val="21"/>
                <w:lang w:bidi="ar"/>
              </w:rPr>
              <w:t>15</w:t>
            </w:r>
            <w:r>
              <w:rPr>
                <w:rFonts w:hint="eastAsia" w:cs="宋体"/>
                <w:color w:val="auto"/>
                <w:kern w:val="21"/>
                <w:sz w:val="21"/>
                <w:szCs w:val="21"/>
                <w:lang w:bidi="ar"/>
              </w:rPr>
              <w:t>万元</w:t>
            </w:r>
            <w:r>
              <w:rPr>
                <w:color w:val="auto"/>
                <w:kern w:val="21"/>
                <w:sz w:val="21"/>
                <w:szCs w:val="21"/>
                <w:lang w:bidi="ar"/>
              </w:rPr>
              <w:t>/</w:t>
            </w:r>
            <w:r>
              <w:rPr>
                <w:rFonts w:hint="eastAsia" w:cs="宋体"/>
                <w:color w:val="auto"/>
                <w:kern w:val="21"/>
                <w:sz w:val="21"/>
                <w:szCs w:val="21"/>
                <w:lang w:bidi="ar"/>
              </w:rPr>
              <w:t>亩。工业用地容积率不得低于</w:t>
            </w:r>
            <w:r>
              <w:rPr>
                <w:color w:val="auto"/>
                <w:kern w:val="21"/>
                <w:sz w:val="21"/>
                <w:szCs w:val="21"/>
                <w:lang w:bidi="ar"/>
              </w:rPr>
              <w:t>1.0</w:t>
            </w:r>
            <w:r>
              <w:rPr>
                <w:rFonts w:hint="eastAsia" w:cs="宋体"/>
                <w:color w:val="auto"/>
                <w:kern w:val="21"/>
                <w:sz w:val="21"/>
                <w:szCs w:val="21"/>
                <w:lang w:bidi="ar"/>
              </w:rPr>
              <w:t>，特殊行业容积率不得低于</w:t>
            </w:r>
            <w:r>
              <w:rPr>
                <w:color w:val="auto"/>
                <w:kern w:val="21"/>
                <w:sz w:val="21"/>
                <w:szCs w:val="21"/>
                <w:lang w:bidi="ar"/>
              </w:rPr>
              <w:t>0.8</w:t>
            </w:r>
            <w:r>
              <w:rPr>
                <w:rFonts w:hint="eastAsia" w:cs="宋体"/>
                <w:color w:val="auto"/>
                <w:kern w:val="21"/>
                <w:sz w:val="21"/>
                <w:szCs w:val="21"/>
                <w:lang w:bidi="ar"/>
              </w:rPr>
              <w:t>，化工行业用地容积率不得低于</w:t>
            </w:r>
            <w:r>
              <w:rPr>
                <w:color w:val="auto"/>
                <w:kern w:val="21"/>
                <w:sz w:val="21"/>
                <w:szCs w:val="21"/>
                <w:lang w:bidi="ar"/>
              </w:rPr>
              <w:t>0.6</w:t>
            </w:r>
            <w:r>
              <w:rPr>
                <w:rFonts w:hint="eastAsia" w:cs="宋体"/>
                <w:color w:val="auto"/>
                <w:kern w:val="21"/>
                <w:sz w:val="21"/>
                <w:szCs w:val="21"/>
                <w:lang w:bidi="ar"/>
              </w:rPr>
              <w:t>，标准厂房用地容积率不得低于</w:t>
            </w:r>
            <w:r>
              <w:rPr>
                <w:color w:val="auto"/>
                <w:kern w:val="21"/>
                <w:sz w:val="21"/>
                <w:szCs w:val="21"/>
                <w:lang w:bidi="ar"/>
              </w:rPr>
              <w:t>1.2</w:t>
            </w:r>
            <w:r>
              <w:rPr>
                <w:rFonts w:hint="eastAsia" w:cs="宋体"/>
                <w:color w:val="auto"/>
                <w:kern w:val="21"/>
                <w:sz w:val="21"/>
                <w:szCs w:val="21"/>
                <w:lang w:bidi="ar"/>
              </w:rPr>
              <w:t>，绿地率不得超过</w:t>
            </w:r>
            <w:r>
              <w:rPr>
                <w:color w:val="auto"/>
                <w:kern w:val="21"/>
                <w:sz w:val="21"/>
                <w:szCs w:val="21"/>
                <w:lang w:bidi="ar"/>
              </w:rPr>
              <w:t>15%</w:t>
            </w:r>
            <w:r>
              <w:rPr>
                <w:rFonts w:hint="eastAsia" w:cs="宋体"/>
                <w:color w:val="auto"/>
                <w:kern w:val="21"/>
                <w:sz w:val="21"/>
                <w:szCs w:val="21"/>
                <w:lang w:bidi="ar"/>
              </w:rPr>
              <w:t>，工业用地中企业内部行政办公用生活服务设施用地面积不得超过总用地面积的</w:t>
            </w:r>
            <w:r>
              <w:rPr>
                <w:color w:val="auto"/>
                <w:kern w:val="21"/>
                <w:sz w:val="21"/>
                <w:szCs w:val="21"/>
                <w:lang w:bidi="ar"/>
              </w:rPr>
              <w:t>7%</w:t>
            </w:r>
            <w:r>
              <w:rPr>
                <w:rFonts w:hint="eastAsia" w:cs="宋体"/>
                <w:color w:val="auto"/>
                <w:kern w:val="21"/>
                <w:sz w:val="21"/>
                <w:szCs w:val="21"/>
                <w:lang w:bidi="ar"/>
              </w:rPr>
              <w:t>，建筑面积不得超过总建筑面积的</w:t>
            </w:r>
            <w:r>
              <w:rPr>
                <w:color w:val="auto"/>
                <w:kern w:val="21"/>
                <w:sz w:val="21"/>
                <w:szCs w:val="21"/>
                <w:lang w:bidi="ar"/>
              </w:rPr>
              <w:t>15%</w:t>
            </w:r>
            <w:r>
              <w:rPr>
                <w:rFonts w:hint="eastAsia" w:cs="宋体"/>
                <w:color w:val="auto"/>
                <w:kern w:val="21"/>
                <w:sz w:val="21"/>
                <w:szCs w:val="21"/>
                <w:lang w:bidi="ar"/>
              </w:rPr>
              <w:t>。</w:t>
            </w:r>
          </w:p>
        </w:tc>
        <w:tc>
          <w:tcPr>
            <w:tcW w:w="1268" w:type="pct"/>
            <w:tcBorders>
              <w:tl2br w:val="nil"/>
              <w:tr2bl w:val="nil"/>
            </w:tcBorders>
            <w:shd w:val="clear" w:color="auto" w:fill="auto"/>
            <w:vAlign w:val="center"/>
          </w:tcPr>
          <w:p w14:paraId="4009627B">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本项目位于连云港经济技术开发区临港产业区西北片区内，利用规划工业用地建设项目，用地容积率为1.238，绿地率为4.95%，行政办公生活服务设施用地占比为4.69%，建筑面积为11.23%，满足相应的用地需求。</w:t>
            </w:r>
          </w:p>
        </w:tc>
        <w:tc>
          <w:tcPr>
            <w:tcW w:w="567" w:type="pct"/>
            <w:tcBorders>
              <w:tl2br w:val="nil"/>
              <w:tr2bl w:val="nil"/>
            </w:tcBorders>
            <w:shd w:val="clear" w:color="auto" w:fill="auto"/>
            <w:vAlign w:val="center"/>
          </w:tcPr>
          <w:p w14:paraId="4313DB68">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325A1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31" w:type="pct"/>
            <w:vMerge w:val="continue"/>
            <w:tcBorders>
              <w:tl2br w:val="nil"/>
              <w:tr2bl w:val="nil"/>
            </w:tcBorders>
            <w:shd w:val="clear" w:color="auto" w:fill="auto"/>
            <w:vAlign w:val="center"/>
          </w:tcPr>
          <w:p w14:paraId="62870A78">
            <w:pPr>
              <w:spacing w:line="240" w:lineRule="auto"/>
              <w:ind w:firstLine="0" w:firstLineChars="0"/>
              <w:jc w:val="center"/>
              <w:rPr>
                <w:color w:val="auto"/>
                <w:sz w:val="21"/>
                <w:szCs w:val="21"/>
              </w:rPr>
            </w:pPr>
          </w:p>
        </w:tc>
        <w:tc>
          <w:tcPr>
            <w:tcW w:w="2433" w:type="pct"/>
            <w:tcBorders>
              <w:tl2br w:val="nil"/>
              <w:tr2bl w:val="nil"/>
            </w:tcBorders>
            <w:shd w:val="clear" w:color="auto" w:fill="auto"/>
            <w:vAlign w:val="center"/>
          </w:tcPr>
          <w:p w14:paraId="71A9951A">
            <w:pPr>
              <w:widowControl/>
              <w:spacing w:line="240" w:lineRule="auto"/>
              <w:ind w:firstLine="0" w:firstLineChars="0"/>
              <w:jc w:val="center"/>
              <w:rPr>
                <w:color w:val="auto"/>
                <w:kern w:val="21"/>
                <w:sz w:val="21"/>
                <w:szCs w:val="21"/>
              </w:rPr>
            </w:pPr>
            <w:r>
              <w:rPr>
                <w:rFonts w:hint="eastAsia" w:cs="宋体"/>
                <w:color w:val="auto"/>
                <w:kern w:val="21"/>
                <w:sz w:val="21"/>
                <w:szCs w:val="21"/>
                <w:lang w:bidi="ar"/>
              </w:rPr>
              <w:t>第五条</w:t>
            </w:r>
            <w:r>
              <w:rPr>
                <w:color w:val="auto"/>
                <w:kern w:val="21"/>
                <w:sz w:val="21"/>
                <w:szCs w:val="21"/>
                <w:lang w:bidi="ar"/>
              </w:rPr>
              <w:t xml:space="preserve"> </w:t>
            </w:r>
            <w:r>
              <w:rPr>
                <w:rFonts w:hint="eastAsia" w:cs="宋体"/>
                <w:color w:val="auto"/>
                <w:kern w:val="21"/>
                <w:sz w:val="21"/>
                <w:szCs w:val="21"/>
                <w:lang w:bidi="ar"/>
              </w:rPr>
              <w:t>能源消耗管控要求。加强对全市能源消耗总量和强度</w:t>
            </w:r>
            <w:r>
              <w:rPr>
                <w:color w:val="auto"/>
                <w:kern w:val="21"/>
                <w:sz w:val="21"/>
                <w:szCs w:val="21"/>
                <w:lang w:bidi="ar"/>
              </w:rPr>
              <w:t>“</w:t>
            </w:r>
            <w:r>
              <w:rPr>
                <w:rFonts w:hint="eastAsia" w:cs="宋体"/>
                <w:color w:val="auto"/>
                <w:kern w:val="21"/>
                <w:sz w:val="21"/>
                <w:szCs w:val="21"/>
                <w:lang w:bidi="ar"/>
              </w:rPr>
              <w:t>双控</w:t>
            </w:r>
            <w:r>
              <w:rPr>
                <w:color w:val="auto"/>
                <w:kern w:val="21"/>
                <w:sz w:val="21"/>
                <w:szCs w:val="21"/>
                <w:lang w:bidi="ar"/>
              </w:rPr>
              <w:t>”</w:t>
            </w:r>
            <w:r>
              <w:rPr>
                <w:rFonts w:hint="eastAsia" w:cs="宋体"/>
                <w:color w:val="auto"/>
                <w:kern w:val="21"/>
                <w:sz w:val="21"/>
                <w:szCs w:val="21"/>
                <w:lang w:bidi="ar"/>
              </w:rPr>
              <w:t>管理，提高清洁能源使用比例。各行业现有企业能耗严格按照相应行业国家（或省级）标准中对应的单位产品能源消耗限额执行，新建企业能耗严格按照相应行业国家（或省级）标准中对应的单位产品能源消耗准入值执行。</w:t>
            </w:r>
          </w:p>
        </w:tc>
        <w:tc>
          <w:tcPr>
            <w:tcW w:w="1268" w:type="pct"/>
            <w:tcBorders>
              <w:tl2br w:val="nil"/>
              <w:tr2bl w:val="nil"/>
            </w:tcBorders>
            <w:shd w:val="clear" w:color="auto" w:fill="auto"/>
            <w:vAlign w:val="center"/>
          </w:tcPr>
          <w:p w14:paraId="11C9FBC9">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本项目能源消耗为</w:t>
            </w:r>
            <w:r>
              <w:rPr>
                <w:rFonts w:hint="eastAsia"/>
                <w:color w:val="auto"/>
                <w:kern w:val="21"/>
                <w:sz w:val="21"/>
                <w:szCs w:val="21"/>
                <w:lang w:bidi="ar"/>
              </w:rPr>
              <w:t>22002.33</w:t>
            </w:r>
            <w:r>
              <w:rPr>
                <w:rFonts w:hint="eastAsia" w:cs="宋体"/>
                <w:color w:val="auto"/>
                <w:kern w:val="21"/>
                <w:sz w:val="21"/>
                <w:szCs w:val="21"/>
                <w:lang w:bidi="ar"/>
              </w:rPr>
              <w:t>吨标准煤（根据电、天然气、蒸汽和新鲜水消耗折算）。</w:t>
            </w:r>
          </w:p>
        </w:tc>
        <w:tc>
          <w:tcPr>
            <w:tcW w:w="567" w:type="pct"/>
            <w:tcBorders>
              <w:tl2br w:val="nil"/>
              <w:tr2bl w:val="nil"/>
            </w:tcBorders>
            <w:shd w:val="clear" w:color="auto" w:fill="auto"/>
            <w:vAlign w:val="center"/>
          </w:tcPr>
          <w:p w14:paraId="0CCD12E2">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bl>
    <w:p w14:paraId="45767339">
      <w:pPr>
        <w:ind w:firstLine="480"/>
        <w:rPr>
          <w:color w:val="auto"/>
        </w:rPr>
      </w:pPr>
      <w:r>
        <w:rPr>
          <w:rFonts w:hint="eastAsia" w:cs="宋体"/>
          <w:color w:val="auto"/>
          <w:lang w:bidi="ar"/>
        </w:rPr>
        <w:t>综上，本项目建成后不会达到资源利用上线。</w:t>
      </w:r>
    </w:p>
    <w:p w14:paraId="6C2F2A1F">
      <w:pPr>
        <w:spacing w:before="120" w:beforeLines="50"/>
        <w:ind w:firstLine="0" w:firstLineChars="0"/>
        <w:outlineLvl w:val="3"/>
        <w:rPr>
          <w:b/>
          <w:color w:val="auto"/>
        </w:rPr>
      </w:pPr>
      <w:r>
        <w:rPr>
          <w:rFonts w:hint="eastAsia"/>
          <w:b/>
          <w:color w:val="auto"/>
        </w:rPr>
        <w:t>1.4.4.4 与环境准入负面清单相符性分析</w:t>
      </w:r>
    </w:p>
    <w:p w14:paraId="686FCDFC">
      <w:pPr>
        <w:ind w:firstLine="480"/>
        <w:rPr>
          <w:rFonts w:cs="宋体"/>
          <w:color w:val="auto"/>
          <w:lang w:bidi="ar"/>
        </w:rPr>
      </w:pPr>
      <w:r>
        <w:rPr>
          <w:rFonts w:hint="eastAsia" w:cs="宋体"/>
          <w:color w:val="auto"/>
          <w:lang w:bidi="ar"/>
        </w:rPr>
        <w:t>（1）本项目符合国家产业政策要求，不在《市场准入负面清单（2022年版）》《长江经济带发展负面清单指南（试行，2022年版）江苏省实施细则》（苏长江办发〔2022〕55号）等范围内。</w:t>
      </w:r>
    </w:p>
    <w:p w14:paraId="243E3DF3">
      <w:pPr>
        <w:ind w:firstLine="480"/>
        <w:rPr>
          <w:rFonts w:cs="宋体"/>
          <w:b/>
          <w:bCs/>
          <w:color w:val="auto"/>
          <w:lang w:bidi="ar"/>
        </w:rPr>
      </w:pPr>
      <w:r>
        <w:rPr>
          <w:rFonts w:hint="eastAsia" w:cs="宋体"/>
          <w:color w:val="auto"/>
          <w:lang w:bidi="ar"/>
        </w:rPr>
        <w:t>（2）根据《市政府办公室关于印发连云港市基于空间控制单元的环境准入制度及负面清单管理办法（试行）的通知》（连政办发</w:t>
      </w:r>
      <w:r>
        <w:rPr>
          <w:rFonts w:hint="eastAsia"/>
          <w:color w:val="auto"/>
          <w:lang w:bidi="ar"/>
        </w:rPr>
        <w:t>〔</w:t>
      </w:r>
      <w:r>
        <w:rPr>
          <w:color w:val="auto"/>
          <w:lang w:bidi="ar"/>
        </w:rPr>
        <w:t>2018</w:t>
      </w:r>
      <w:r>
        <w:rPr>
          <w:rFonts w:hint="eastAsia"/>
          <w:color w:val="auto"/>
          <w:lang w:bidi="ar"/>
        </w:rPr>
        <w:t>〕</w:t>
      </w:r>
      <w:r>
        <w:rPr>
          <w:color w:val="auto"/>
          <w:lang w:bidi="ar"/>
        </w:rPr>
        <w:t>9</w:t>
      </w:r>
      <w:r>
        <w:rPr>
          <w:rFonts w:hint="eastAsia" w:cs="宋体"/>
          <w:color w:val="auto"/>
          <w:lang w:bidi="ar"/>
        </w:rPr>
        <w:t>号）及连云港经济技术开发区经济发展局草拟的《连云港经济技术开发区产业投资项目负面清单（2019年版）》，本环评对照该文件进行相符性分析，具体分析结果见表</w:t>
      </w:r>
      <w:r>
        <w:rPr>
          <w:rFonts w:hint="eastAsia"/>
          <w:color w:val="auto"/>
          <w:lang w:bidi="ar"/>
        </w:rPr>
        <w:t>1.4.4-8</w:t>
      </w:r>
      <w:r>
        <w:rPr>
          <w:rFonts w:hint="eastAsia" w:cs="宋体"/>
          <w:color w:val="auto"/>
          <w:lang w:bidi="ar"/>
        </w:rPr>
        <w:t>。</w:t>
      </w:r>
    </w:p>
    <w:p w14:paraId="02DB615B">
      <w:pPr>
        <w:spacing w:line="240" w:lineRule="auto"/>
        <w:ind w:firstLine="0" w:firstLineChars="0"/>
        <w:jc w:val="center"/>
        <w:rPr>
          <w:b/>
          <w:bCs/>
          <w:color w:val="auto"/>
        </w:rPr>
      </w:pPr>
      <w:r>
        <w:rPr>
          <w:rFonts w:hint="eastAsia" w:cs="宋体"/>
          <w:b/>
          <w:bCs/>
          <w:color w:val="auto"/>
          <w:lang w:bidi="ar"/>
        </w:rPr>
        <w:t>表</w:t>
      </w:r>
      <w:r>
        <w:rPr>
          <w:rFonts w:hint="eastAsia"/>
          <w:b/>
          <w:bCs/>
          <w:color w:val="auto"/>
          <w:lang w:bidi="ar"/>
        </w:rPr>
        <w:t xml:space="preserve">1.4.4-8 </w:t>
      </w:r>
      <w:r>
        <w:rPr>
          <w:b/>
          <w:bCs/>
          <w:color w:val="auto"/>
          <w:lang w:bidi="ar"/>
        </w:rPr>
        <w:t xml:space="preserve"> </w:t>
      </w:r>
      <w:r>
        <w:rPr>
          <w:rFonts w:hint="eastAsia" w:cs="宋体"/>
          <w:b/>
          <w:bCs/>
          <w:color w:val="auto"/>
          <w:lang w:bidi="ar"/>
        </w:rPr>
        <w:t>本项目与环境准入有关要求相符性分析一览表</w:t>
      </w:r>
    </w:p>
    <w:tbl>
      <w:tblPr>
        <w:tblStyle w:val="88"/>
        <w:tblW w:w="50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416"/>
        <w:gridCol w:w="2574"/>
        <w:gridCol w:w="904"/>
      </w:tblGrid>
      <w:tr w14:paraId="46C5B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tcBorders>
              <w:tl2br w:val="nil"/>
              <w:tr2bl w:val="nil"/>
            </w:tcBorders>
            <w:shd w:val="clear" w:color="auto" w:fill="auto"/>
            <w:vAlign w:val="center"/>
          </w:tcPr>
          <w:p w14:paraId="35329DE0">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指标设置</w:t>
            </w:r>
          </w:p>
        </w:tc>
        <w:tc>
          <w:tcPr>
            <w:tcW w:w="2349" w:type="pct"/>
            <w:tcBorders>
              <w:tl2br w:val="nil"/>
              <w:tr2bl w:val="nil"/>
            </w:tcBorders>
            <w:shd w:val="clear" w:color="auto" w:fill="auto"/>
            <w:vAlign w:val="center"/>
          </w:tcPr>
          <w:p w14:paraId="71DF6E98">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管控内涵</w:t>
            </w:r>
          </w:p>
        </w:tc>
        <w:tc>
          <w:tcPr>
            <w:tcW w:w="1369" w:type="pct"/>
            <w:tcBorders>
              <w:tl2br w:val="nil"/>
              <w:tr2bl w:val="nil"/>
            </w:tcBorders>
            <w:shd w:val="clear" w:color="auto" w:fill="auto"/>
            <w:vAlign w:val="center"/>
          </w:tcPr>
          <w:p w14:paraId="23A2B45B">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本项目情况</w:t>
            </w:r>
          </w:p>
        </w:tc>
        <w:tc>
          <w:tcPr>
            <w:tcW w:w="481" w:type="pct"/>
            <w:tcBorders>
              <w:tl2br w:val="nil"/>
              <w:tr2bl w:val="nil"/>
            </w:tcBorders>
            <w:shd w:val="clear" w:color="auto" w:fill="auto"/>
            <w:vAlign w:val="center"/>
          </w:tcPr>
          <w:p w14:paraId="33EDD9B5">
            <w:pPr>
              <w:overflowPunct w:val="0"/>
              <w:spacing w:line="240" w:lineRule="auto"/>
              <w:ind w:firstLine="0" w:firstLineChars="0"/>
              <w:jc w:val="center"/>
              <w:rPr>
                <w:b/>
                <w:bCs/>
                <w:color w:val="auto"/>
                <w:kern w:val="21"/>
                <w:sz w:val="21"/>
                <w:szCs w:val="21"/>
              </w:rPr>
            </w:pPr>
            <w:r>
              <w:rPr>
                <w:rFonts w:hint="eastAsia" w:cs="宋体"/>
                <w:b/>
                <w:bCs/>
                <w:color w:val="auto"/>
                <w:kern w:val="21"/>
                <w:sz w:val="21"/>
                <w:szCs w:val="21"/>
                <w:lang w:bidi="ar"/>
              </w:rPr>
              <w:t>相符性</w:t>
            </w:r>
          </w:p>
        </w:tc>
      </w:tr>
      <w:tr w14:paraId="7C7EC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restart"/>
            <w:tcBorders>
              <w:tl2br w:val="nil"/>
              <w:tr2bl w:val="nil"/>
            </w:tcBorders>
            <w:shd w:val="clear" w:color="auto" w:fill="auto"/>
            <w:vAlign w:val="center"/>
          </w:tcPr>
          <w:p w14:paraId="29D639F5">
            <w:pPr>
              <w:widowControl/>
              <w:spacing w:line="240" w:lineRule="auto"/>
              <w:ind w:firstLine="0" w:firstLineChars="0"/>
              <w:jc w:val="center"/>
              <w:rPr>
                <w:color w:val="auto"/>
                <w:kern w:val="21"/>
                <w:sz w:val="21"/>
                <w:szCs w:val="21"/>
              </w:rPr>
            </w:pPr>
            <w:r>
              <w:rPr>
                <w:color w:val="auto"/>
                <w:kern w:val="21"/>
                <w:sz w:val="21"/>
                <w:szCs w:val="21"/>
                <w:lang w:bidi="ar"/>
              </w:rPr>
              <w:t>1</w:t>
            </w:r>
            <w:r>
              <w:rPr>
                <w:rFonts w:hint="eastAsia" w:cs="宋体"/>
                <w:color w:val="auto"/>
                <w:kern w:val="21"/>
                <w:sz w:val="21"/>
                <w:szCs w:val="21"/>
                <w:lang w:bidi="ar"/>
              </w:rPr>
              <w:t>、连云港市基于空间单元的环境准入要求及负面清单管理要求</w:t>
            </w:r>
          </w:p>
        </w:tc>
        <w:tc>
          <w:tcPr>
            <w:tcW w:w="2349" w:type="pct"/>
            <w:tcBorders>
              <w:tl2br w:val="nil"/>
              <w:tr2bl w:val="nil"/>
            </w:tcBorders>
            <w:shd w:val="clear" w:color="auto" w:fill="auto"/>
            <w:vAlign w:val="center"/>
          </w:tcPr>
          <w:p w14:paraId="1A7A3CA1">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1</w:t>
            </w:r>
            <w:r>
              <w:rPr>
                <w:rFonts w:hint="eastAsia" w:cs="宋体"/>
                <w:color w:val="auto"/>
                <w:kern w:val="21"/>
                <w:sz w:val="21"/>
                <w:szCs w:val="21"/>
                <w:lang w:bidi="ar"/>
              </w:rP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1369" w:type="pct"/>
            <w:tcBorders>
              <w:tl2br w:val="nil"/>
              <w:tr2bl w:val="nil"/>
            </w:tcBorders>
            <w:shd w:val="clear" w:color="auto" w:fill="auto"/>
            <w:vAlign w:val="center"/>
          </w:tcPr>
          <w:p w14:paraId="5E74B10C">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本项目行业类别为C3311金属制品制造，选址与规划及环境功能区划要求相符，本项目符合园区产业定位。</w:t>
            </w:r>
          </w:p>
        </w:tc>
        <w:tc>
          <w:tcPr>
            <w:tcW w:w="481" w:type="pct"/>
            <w:tcBorders>
              <w:tl2br w:val="nil"/>
              <w:tr2bl w:val="nil"/>
            </w:tcBorders>
            <w:shd w:val="clear" w:color="auto" w:fill="auto"/>
            <w:vAlign w:val="center"/>
          </w:tcPr>
          <w:p w14:paraId="3DB8FAEB">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7B548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799" w:type="pct"/>
            <w:vMerge w:val="continue"/>
            <w:tcBorders>
              <w:tl2br w:val="nil"/>
              <w:tr2bl w:val="nil"/>
            </w:tcBorders>
            <w:shd w:val="clear" w:color="auto" w:fill="auto"/>
            <w:vAlign w:val="center"/>
          </w:tcPr>
          <w:p w14:paraId="27F9C1A8">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3387187B">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2</w:t>
            </w:r>
            <w:r>
              <w:rPr>
                <w:rFonts w:hint="eastAsia" w:cs="宋体"/>
                <w:color w:val="auto"/>
                <w:kern w:val="21"/>
                <w:sz w:val="21"/>
                <w:szCs w:val="21"/>
                <w:lang w:bidi="ar"/>
              </w:rPr>
              <w:t>）依据空间管制红线，实行分级分类管控。禁止开发区域内，禁止一切形式的建设活动。风景名胜区、森林公园、重要湿地、饮用水源保护区、生态公益林、水源涵养区、洪水调蓄区、清水通道维护区、海洋保护区内实行有限准入的原则，严格限制有损主导生态功能的建设活动。</w:t>
            </w:r>
          </w:p>
        </w:tc>
        <w:tc>
          <w:tcPr>
            <w:tcW w:w="1369" w:type="pct"/>
            <w:tcBorders>
              <w:tl2br w:val="nil"/>
              <w:tr2bl w:val="nil"/>
            </w:tcBorders>
            <w:shd w:val="clear" w:color="auto" w:fill="auto"/>
            <w:vAlign w:val="center"/>
          </w:tcPr>
          <w:p w14:paraId="60C30757">
            <w:pPr>
              <w:overflowPunct w:val="0"/>
              <w:spacing w:line="240" w:lineRule="auto"/>
              <w:ind w:firstLine="0" w:firstLineChars="0"/>
              <w:rPr>
                <w:color w:val="auto"/>
                <w:kern w:val="21"/>
                <w:sz w:val="21"/>
                <w:szCs w:val="21"/>
              </w:rPr>
            </w:pPr>
            <w:r>
              <w:rPr>
                <w:color w:val="auto"/>
                <w:kern w:val="21"/>
                <w:sz w:val="21"/>
                <w:szCs w:val="21"/>
              </w:rPr>
              <w:t>本项目厂址位置不属于禁止开发区域，也不属于有限准入区域，本项目的建设不</w:t>
            </w:r>
            <w:r>
              <w:rPr>
                <w:rFonts w:hint="eastAsia"/>
                <w:color w:val="auto"/>
                <w:kern w:val="21"/>
                <w:sz w:val="21"/>
                <w:szCs w:val="21"/>
              </w:rPr>
              <w:t>损害</w:t>
            </w:r>
            <w:r>
              <w:rPr>
                <w:color w:val="auto"/>
                <w:kern w:val="21"/>
                <w:sz w:val="21"/>
                <w:szCs w:val="21"/>
              </w:rPr>
              <w:t>主导生态功能。</w:t>
            </w:r>
          </w:p>
        </w:tc>
        <w:tc>
          <w:tcPr>
            <w:tcW w:w="481" w:type="pct"/>
            <w:tcBorders>
              <w:tl2br w:val="nil"/>
              <w:tr2bl w:val="nil"/>
            </w:tcBorders>
            <w:shd w:val="clear" w:color="auto" w:fill="auto"/>
            <w:vAlign w:val="center"/>
          </w:tcPr>
          <w:p w14:paraId="34FD7A95">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503DC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74F770AB">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53AA34C0">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3</w:t>
            </w:r>
            <w:r>
              <w:rPr>
                <w:rFonts w:hint="eastAsia" w:cs="宋体"/>
                <w:color w:val="auto"/>
                <w:kern w:val="21"/>
                <w:sz w:val="21"/>
                <w:szCs w:val="21"/>
                <w:lang w:bidi="ar"/>
              </w:rPr>
              <w:t>）实施严格的流域准入控制。水环境综合整治区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1369" w:type="pct"/>
            <w:tcBorders>
              <w:tl2br w:val="nil"/>
              <w:tr2bl w:val="nil"/>
            </w:tcBorders>
            <w:shd w:val="clear" w:color="auto" w:fill="auto"/>
            <w:vAlign w:val="center"/>
          </w:tcPr>
          <w:p w14:paraId="43B6817E">
            <w:pPr>
              <w:overflowPunct w:val="0"/>
              <w:spacing w:line="240" w:lineRule="auto"/>
              <w:ind w:firstLine="0" w:firstLineChars="0"/>
              <w:rPr>
                <w:color w:val="auto"/>
                <w:kern w:val="21"/>
                <w:sz w:val="21"/>
                <w:szCs w:val="21"/>
              </w:rPr>
            </w:pPr>
            <w:r>
              <w:rPr>
                <w:color w:val="auto"/>
                <w:kern w:val="21"/>
                <w:sz w:val="21"/>
                <w:szCs w:val="21"/>
              </w:rPr>
              <w:t>本项目所在区域属于水环境综合整治区，本项目不属于表中所列水污染重的项目，不排放含汞、砷、镉、铬、铅等重金属污染物以及持久性有机污染物。</w:t>
            </w:r>
          </w:p>
        </w:tc>
        <w:tc>
          <w:tcPr>
            <w:tcW w:w="481" w:type="pct"/>
            <w:tcBorders>
              <w:tl2br w:val="nil"/>
              <w:tr2bl w:val="nil"/>
            </w:tcBorders>
            <w:shd w:val="clear" w:color="auto" w:fill="auto"/>
            <w:vAlign w:val="center"/>
          </w:tcPr>
          <w:p w14:paraId="4B928D26">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6D941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6CA7FFDF">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040FEFA6">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4</w:t>
            </w:r>
            <w:r>
              <w:rPr>
                <w:rFonts w:hint="eastAsia" w:cs="宋体"/>
                <w:color w:val="auto"/>
                <w:kern w:val="21"/>
                <w:sz w:val="21"/>
                <w:szCs w:val="21"/>
                <w:lang w:bidi="ar"/>
              </w:rPr>
              <w:t>）严控大气污染项目，落实禁燃区要求。大气环境质量红线区禁止新（扩）建大气污染严重的火电、冶炼、水泥项目以及燃煤锅炉。禁燃区禁止销售、使用一切高污染燃料项目。</w:t>
            </w:r>
          </w:p>
        </w:tc>
        <w:tc>
          <w:tcPr>
            <w:tcW w:w="1369" w:type="pct"/>
            <w:tcBorders>
              <w:tl2br w:val="nil"/>
              <w:tr2bl w:val="nil"/>
            </w:tcBorders>
            <w:shd w:val="clear" w:color="auto" w:fill="auto"/>
            <w:vAlign w:val="center"/>
          </w:tcPr>
          <w:p w14:paraId="72695A7D">
            <w:pPr>
              <w:overflowPunct w:val="0"/>
              <w:spacing w:line="240" w:lineRule="auto"/>
              <w:ind w:firstLine="0" w:firstLineChars="0"/>
              <w:jc w:val="center"/>
              <w:rPr>
                <w:color w:val="auto"/>
                <w:kern w:val="21"/>
                <w:sz w:val="21"/>
                <w:szCs w:val="21"/>
              </w:rPr>
            </w:pPr>
            <w:r>
              <w:rPr>
                <w:color w:val="auto"/>
                <w:kern w:val="21"/>
                <w:sz w:val="21"/>
                <w:szCs w:val="21"/>
              </w:rPr>
              <w:t>本项目所在地属于禁燃区，使用能源为电能</w:t>
            </w:r>
            <w:r>
              <w:rPr>
                <w:rFonts w:hint="eastAsia"/>
                <w:color w:val="auto"/>
                <w:kern w:val="21"/>
                <w:sz w:val="21"/>
                <w:szCs w:val="21"/>
              </w:rPr>
              <w:t>、天然气和蒸汽</w:t>
            </w:r>
            <w:r>
              <w:rPr>
                <w:color w:val="auto"/>
                <w:kern w:val="21"/>
                <w:sz w:val="21"/>
                <w:szCs w:val="21"/>
              </w:rPr>
              <w:t>，不属于大气环境质量红线区。</w:t>
            </w:r>
          </w:p>
        </w:tc>
        <w:tc>
          <w:tcPr>
            <w:tcW w:w="481" w:type="pct"/>
            <w:tcBorders>
              <w:tl2br w:val="nil"/>
              <w:tr2bl w:val="nil"/>
            </w:tcBorders>
            <w:shd w:val="clear" w:color="auto" w:fill="auto"/>
            <w:vAlign w:val="center"/>
          </w:tcPr>
          <w:p w14:paraId="4EC16D89">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30A7B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6482DBFE">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0B3E8B66">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5</w:t>
            </w:r>
            <w:r>
              <w:rPr>
                <w:rFonts w:hint="eastAsia" w:cs="宋体"/>
                <w:color w:val="auto"/>
                <w:kern w:val="21"/>
                <w:sz w:val="21"/>
                <w:szCs w:val="21"/>
                <w:lang w:bidi="ar"/>
              </w:rPr>
              <w:t>）人居安全保障区禁止新（扩）建存在重大环境安全隐患的工业项目。</w:t>
            </w:r>
          </w:p>
        </w:tc>
        <w:tc>
          <w:tcPr>
            <w:tcW w:w="1369" w:type="pct"/>
            <w:tcBorders>
              <w:tl2br w:val="nil"/>
              <w:tr2bl w:val="nil"/>
            </w:tcBorders>
            <w:shd w:val="clear" w:color="auto" w:fill="auto"/>
            <w:vAlign w:val="center"/>
          </w:tcPr>
          <w:p w14:paraId="79767FA6">
            <w:pPr>
              <w:overflowPunct w:val="0"/>
              <w:spacing w:line="240" w:lineRule="auto"/>
              <w:ind w:firstLine="0" w:firstLineChars="0"/>
              <w:jc w:val="center"/>
              <w:rPr>
                <w:color w:val="auto"/>
                <w:kern w:val="21"/>
                <w:sz w:val="21"/>
                <w:szCs w:val="21"/>
              </w:rPr>
            </w:pPr>
            <w:r>
              <w:rPr>
                <w:color w:val="auto"/>
                <w:kern w:val="21"/>
                <w:sz w:val="21"/>
                <w:szCs w:val="21"/>
              </w:rPr>
              <w:t>本项目不属于人居安全保障区。</w:t>
            </w:r>
          </w:p>
        </w:tc>
        <w:tc>
          <w:tcPr>
            <w:tcW w:w="481" w:type="pct"/>
            <w:tcBorders>
              <w:tl2br w:val="nil"/>
              <w:tr2bl w:val="nil"/>
            </w:tcBorders>
            <w:shd w:val="clear" w:color="auto" w:fill="auto"/>
            <w:vAlign w:val="center"/>
          </w:tcPr>
          <w:p w14:paraId="520BFAF7">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558BB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2C800048">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45978FEA">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6</w:t>
            </w:r>
            <w:r>
              <w:rPr>
                <w:rFonts w:hint="eastAsia" w:cs="宋体"/>
                <w:color w:val="auto"/>
                <w:kern w:val="21"/>
                <w:sz w:val="21"/>
                <w:szCs w:val="21"/>
                <w:lang w:bidi="ar"/>
              </w:rPr>
              <w:t>）严格管控钢铁、石化、化工、火电等重点产业布局。钢铁重点布局在赣榆临港产业区，石化重点布局在徐圩新区，化工项目按不同园区的产业定位，布局在具有其产业定位的园区内，严格执行《市政府关于印发连云港市深入推进化工行业转型发展实施细则的通知》（连政办发</w:t>
            </w:r>
            <w:r>
              <w:rPr>
                <w:rFonts w:hint="eastAsia"/>
                <w:color w:val="auto"/>
                <w:kern w:val="21"/>
                <w:sz w:val="21"/>
                <w:szCs w:val="21"/>
                <w:lang w:bidi="ar"/>
              </w:rPr>
              <w:t>〔</w:t>
            </w:r>
            <w:r>
              <w:rPr>
                <w:color w:val="auto"/>
                <w:kern w:val="21"/>
                <w:sz w:val="21"/>
                <w:szCs w:val="21"/>
                <w:lang w:bidi="ar"/>
              </w:rPr>
              <w:t>2017</w:t>
            </w:r>
            <w:r>
              <w:rPr>
                <w:rFonts w:hint="eastAsia"/>
                <w:color w:val="auto"/>
                <w:kern w:val="21"/>
                <w:sz w:val="21"/>
                <w:szCs w:val="21"/>
                <w:lang w:bidi="ar"/>
              </w:rPr>
              <w:t>〕</w:t>
            </w:r>
            <w:r>
              <w:rPr>
                <w:color w:val="auto"/>
                <w:kern w:val="21"/>
                <w:sz w:val="21"/>
                <w:szCs w:val="21"/>
                <w:lang w:bidi="ar"/>
              </w:rPr>
              <w:t>7</w:t>
            </w:r>
            <w:r>
              <w:rPr>
                <w:rFonts w:hint="eastAsia" w:cs="宋体"/>
                <w:color w:val="auto"/>
                <w:kern w:val="21"/>
                <w:sz w:val="21"/>
                <w:szCs w:val="21"/>
                <w:lang w:bidi="ar"/>
              </w:rPr>
              <w:t>号）和《关于印发连云港市化工产业建设项目环境准入管控要求和负面清单的通知》（连环发</w:t>
            </w:r>
            <w:r>
              <w:rPr>
                <w:rFonts w:hint="eastAsia"/>
                <w:color w:val="auto"/>
                <w:kern w:val="21"/>
                <w:sz w:val="21"/>
                <w:szCs w:val="21"/>
                <w:lang w:bidi="ar"/>
              </w:rPr>
              <w:t>〔</w:t>
            </w:r>
            <w:r>
              <w:rPr>
                <w:color w:val="auto"/>
                <w:kern w:val="21"/>
                <w:sz w:val="21"/>
                <w:szCs w:val="21"/>
                <w:lang w:bidi="ar"/>
              </w:rPr>
              <w:t>2017</w:t>
            </w:r>
            <w:r>
              <w:rPr>
                <w:rFonts w:hint="eastAsia"/>
                <w:color w:val="auto"/>
                <w:kern w:val="21"/>
                <w:sz w:val="21"/>
                <w:szCs w:val="21"/>
                <w:lang w:bidi="ar"/>
              </w:rPr>
              <w:t>〕</w:t>
            </w:r>
            <w:r>
              <w:rPr>
                <w:color w:val="auto"/>
                <w:kern w:val="21"/>
                <w:sz w:val="21"/>
                <w:szCs w:val="21"/>
                <w:lang w:bidi="ar"/>
              </w:rPr>
              <w:t>134</w:t>
            </w:r>
            <w:r>
              <w:rPr>
                <w:rFonts w:hint="eastAsia" w:cs="宋体"/>
                <w:color w:val="auto"/>
                <w:kern w:val="21"/>
                <w:sz w:val="21"/>
                <w:szCs w:val="21"/>
                <w:lang w:bidi="ar"/>
              </w:rPr>
              <w:t>号）。重点建设徐圩</w:t>
            </w:r>
            <w:r>
              <w:rPr>
                <w:color w:val="auto"/>
                <w:kern w:val="21"/>
                <w:sz w:val="21"/>
                <w:szCs w:val="21"/>
                <w:lang w:bidi="ar"/>
              </w:rPr>
              <w:t>IGCC</w:t>
            </w:r>
            <w:r>
              <w:rPr>
                <w:rFonts w:hint="eastAsia" w:cs="宋体"/>
                <w:color w:val="auto"/>
                <w:kern w:val="21"/>
                <w:sz w:val="21"/>
                <w:szCs w:val="21"/>
                <w:lang w:bidi="ar"/>
              </w:rPr>
              <w:t>和赣榆天然气热电联产电厂，其他地区原则上不再新建燃煤电厂。</w:t>
            </w:r>
          </w:p>
        </w:tc>
        <w:tc>
          <w:tcPr>
            <w:tcW w:w="1369" w:type="pct"/>
            <w:tcBorders>
              <w:tl2br w:val="nil"/>
              <w:tr2bl w:val="nil"/>
            </w:tcBorders>
            <w:shd w:val="clear" w:color="auto" w:fill="auto"/>
            <w:vAlign w:val="center"/>
          </w:tcPr>
          <w:p w14:paraId="6278E1F7">
            <w:pPr>
              <w:overflowPunct w:val="0"/>
              <w:spacing w:line="240" w:lineRule="auto"/>
              <w:ind w:firstLine="0" w:firstLineChars="0"/>
              <w:jc w:val="center"/>
              <w:rPr>
                <w:color w:val="auto"/>
                <w:kern w:val="21"/>
                <w:sz w:val="21"/>
                <w:szCs w:val="21"/>
              </w:rPr>
            </w:pPr>
            <w:r>
              <w:rPr>
                <w:rFonts w:hint="eastAsia" w:cs="宋体"/>
                <w:color w:val="auto"/>
                <w:kern w:val="21"/>
                <w:sz w:val="21"/>
                <w:szCs w:val="21"/>
                <w:lang w:bidi="ar"/>
              </w:rPr>
              <w:t>本项目不属于钢铁、石化、化工、火电类项目。</w:t>
            </w:r>
          </w:p>
        </w:tc>
        <w:tc>
          <w:tcPr>
            <w:tcW w:w="481" w:type="pct"/>
            <w:tcBorders>
              <w:tl2br w:val="nil"/>
              <w:tr2bl w:val="nil"/>
            </w:tcBorders>
            <w:shd w:val="clear" w:color="auto" w:fill="auto"/>
            <w:vAlign w:val="center"/>
          </w:tcPr>
          <w:p w14:paraId="5281B864">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64BB5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799" w:type="pct"/>
            <w:vMerge w:val="continue"/>
            <w:tcBorders>
              <w:tl2br w:val="nil"/>
              <w:tr2bl w:val="nil"/>
            </w:tcBorders>
            <w:shd w:val="clear" w:color="auto" w:fill="auto"/>
            <w:vAlign w:val="center"/>
          </w:tcPr>
          <w:p w14:paraId="6B1B53FD">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12720128">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7</w:t>
            </w:r>
            <w:r>
              <w:rPr>
                <w:rFonts w:hint="eastAsia" w:cs="宋体"/>
                <w:color w:val="auto"/>
                <w:kern w:val="21"/>
                <w:sz w:val="21"/>
                <w:szCs w:val="21"/>
                <w:lang w:bidi="ar"/>
              </w:rPr>
              <w:t>）工业项目应符合产业政策，不得采用国家、省和本市淘汰的或禁止使用的工艺、技术和设备，不得建设生产工艺或污染防治技术不成熟的项目；限制列入环境保护综合名录（</w:t>
            </w:r>
            <w:r>
              <w:rPr>
                <w:color w:val="auto"/>
                <w:kern w:val="21"/>
                <w:sz w:val="21"/>
                <w:szCs w:val="21"/>
                <w:lang w:bidi="ar"/>
              </w:rPr>
              <w:t>2015</w:t>
            </w:r>
            <w:r>
              <w:rPr>
                <w:rFonts w:hint="eastAsia" w:cs="宋体"/>
                <w:color w:val="auto"/>
                <w:kern w:val="21"/>
                <w:sz w:val="21"/>
                <w:szCs w:val="21"/>
                <w:lang w:bidi="ar"/>
              </w:rPr>
              <w:t>年版）的高污染、高环境风险产品的生产。</w:t>
            </w:r>
          </w:p>
        </w:tc>
        <w:tc>
          <w:tcPr>
            <w:tcW w:w="1369" w:type="pct"/>
            <w:tcBorders>
              <w:tl2br w:val="nil"/>
              <w:tr2bl w:val="nil"/>
            </w:tcBorders>
            <w:shd w:val="clear" w:color="auto" w:fill="auto"/>
            <w:vAlign w:val="center"/>
          </w:tcPr>
          <w:p w14:paraId="3AA312E7">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本项目的建设符合产业政策，亦未列入环境保护综合名录（</w:t>
            </w:r>
            <w:r>
              <w:rPr>
                <w:color w:val="auto"/>
                <w:kern w:val="21"/>
                <w:sz w:val="21"/>
                <w:szCs w:val="21"/>
                <w:lang w:bidi="ar"/>
              </w:rPr>
              <w:t>2021</w:t>
            </w:r>
            <w:r>
              <w:rPr>
                <w:rFonts w:hint="eastAsia" w:cs="宋体"/>
                <w:color w:val="auto"/>
                <w:kern w:val="21"/>
                <w:sz w:val="21"/>
                <w:szCs w:val="21"/>
                <w:lang w:bidi="ar"/>
              </w:rPr>
              <w:t>年版）的高污染、高环境风险产品。</w:t>
            </w:r>
          </w:p>
        </w:tc>
        <w:tc>
          <w:tcPr>
            <w:tcW w:w="481" w:type="pct"/>
            <w:tcBorders>
              <w:tl2br w:val="nil"/>
              <w:tr2bl w:val="nil"/>
            </w:tcBorders>
            <w:shd w:val="clear" w:color="auto" w:fill="auto"/>
            <w:vAlign w:val="center"/>
          </w:tcPr>
          <w:p w14:paraId="1D190AAD">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0EDA3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013C6130">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04691C86">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8</w:t>
            </w:r>
            <w:r>
              <w:rPr>
                <w:rFonts w:hint="eastAsia" w:cs="宋体"/>
                <w:color w:val="auto"/>
                <w:kern w:val="21"/>
                <w:sz w:val="21"/>
                <w:szCs w:val="21"/>
                <w:lang w:bidi="ar"/>
              </w:rPr>
              <w:t>）工业项目排放污染物必须达到国家和地方规定的污染物排放标准，新建企业生产技术和工艺、水耗、能耗、物耗、产排污情况及环境管理等方面应达到国内先进水平（有清洁生产标准的不得低于国内清洁生产先进水平，有国家效率指南的执行国家先进</w:t>
            </w:r>
            <w:r>
              <w:rPr>
                <w:color w:val="auto"/>
                <w:kern w:val="21"/>
                <w:sz w:val="21"/>
                <w:szCs w:val="21"/>
                <w:lang w:bidi="ar"/>
              </w:rPr>
              <w:t>/</w:t>
            </w:r>
            <w:r>
              <w:rPr>
                <w:rFonts w:hint="eastAsia" w:cs="宋体"/>
                <w:color w:val="auto"/>
                <w:kern w:val="21"/>
                <w:sz w:val="21"/>
                <w:szCs w:val="21"/>
                <w:lang w:bidi="ar"/>
              </w:rPr>
              <w:t>标杆水平），扩建、改建的工业项目清洁生产水平不得低于国家清洁生产先进水平。</w:t>
            </w:r>
          </w:p>
        </w:tc>
        <w:tc>
          <w:tcPr>
            <w:tcW w:w="1369" w:type="pct"/>
            <w:tcBorders>
              <w:tl2br w:val="nil"/>
              <w:tr2bl w:val="nil"/>
            </w:tcBorders>
            <w:shd w:val="clear" w:color="auto" w:fill="auto"/>
            <w:vAlign w:val="center"/>
          </w:tcPr>
          <w:p w14:paraId="4F77E8FE">
            <w:pPr>
              <w:overflowPunct w:val="0"/>
              <w:spacing w:line="240" w:lineRule="auto"/>
              <w:ind w:firstLine="0" w:firstLineChars="0"/>
              <w:rPr>
                <w:color w:val="auto"/>
                <w:kern w:val="21"/>
                <w:sz w:val="21"/>
                <w:szCs w:val="21"/>
              </w:rPr>
            </w:pPr>
            <w:r>
              <w:rPr>
                <w:color w:val="auto"/>
                <w:kern w:val="21"/>
                <w:sz w:val="21"/>
                <w:szCs w:val="21"/>
              </w:rPr>
              <w:t>本项目排放污染物达到国家和地方规定的污染物排放标准。</w:t>
            </w:r>
          </w:p>
        </w:tc>
        <w:tc>
          <w:tcPr>
            <w:tcW w:w="481" w:type="pct"/>
            <w:tcBorders>
              <w:tl2br w:val="nil"/>
              <w:tr2bl w:val="nil"/>
            </w:tcBorders>
            <w:shd w:val="clear" w:color="auto" w:fill="auto"/>
            <w:vAlign w:val="center"/>
          </w:tcPr>
          <w:p w14:paraId="463232F8">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7ADFC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64268FBA">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3664B494">
            <w:pPr>
              <w:widowControl/>
              <w:spacing w:line="240" w:lineRule="auto"/>
              <w:ind w:firstLine="0" w:firstLineChars="0"/>
              <w:rPr>
                <w:color w:val="auto"/>
                <w:kern w:val="21"/>
                <w:sz w:val="21"/>
                <w:szCs w:val="21"/>
              </w:rPr>
            </w:pPr>
            <w:r>
              <w:rPr>
                <w:rFonts w:hint="eastAsia" w:cs="宋体"/>
                <w:color w:val="auto"/>
                <w:kern w:val="21"/>
                <w:sz w:val="21"/>
                <w:szCs w:val="21"/>
                <w:lang w:bidi="ar"/>
              </w:rPr>
              <w:t>（</w:t>
            </w:r>
            <w:r>
              <w:rPr>
                <w:color w:val="auto"/>
                <w:kern w:val="21"/>
                <w:sz w:val="21"/>
                <w:szCs w:val="21"/>
                <w:lang w:bidi="ar"/>
              </w:rPr>
              <w:t>9</w:t>
            </w:r>
            <w:r>
              <w:rPr>
                <w:rFonts w:hint="eastAsia" w:cs="宋体"/>
                <w:color w:val="auto"/>
                <w:kern w:val="21"/>
                <w:sz w:val="21"/>
                <w:szCs w:val="21"/>
                <w:lang w:bidi="ar"/>
              </w:rPr>
              <w:t>）工业项目选址区域应有相应的环境容量，未按要求完成污染物总量削减任务的区域和流域，不得建设新增相应污染物排放量的工业项目。</w:t>
            </w:r>
          </w:p>
        </w:tc>
        <w:tc>
          <w:tcPr>
            <w:tcW w:w="1369" w:type="pct"/>
            <w:tcBorders>
              <w:tl2br w:val="nil"/>
              <w:tr2bl w:val="nil"/>
            </w:tcBorders>
            <w:shd w:val="clear" w:color="auto" w:fill="auto"/>
            <w:vAlign w:val="center"/>
          </w:tcPr>
          <w:p w14:paraId="50705BB8">
            <w:pPr>
              <w:overflowPunct w:val="0"/>
              <w:spacing w:line="240" w:lineRule="auto"/>
              <w:ind w:firstLine="0" w:firstLineChars="0"/>
              <w:rPr>
                <w:color w:val="auto"/>
                <w:kern w:val="21"/>
                <w:sz w:val="21"/>
                <w:szCs w:val="21"/>
              </w:rPr>
            </w:pPr>
            <w:r>
              <w:rPr>
                <w:rFonts w:hint="eastAsia" w:cs="宋体"/>
                <w:color w:val="auto"/>
                <w:kern w:val="21"/>
                <w:sz w:val="21"/>
                <w:szCs w:val="21"/>
                <w:lang w:bidi="ar"/>
              </w:rPr>
              <w:t>本项目大气污染物总量在区域内平衡，废水总量在开发区临港污水处理厂内平衡。</w:t>
            </w:r>
          </w:p>
        </w:tc>
        <w:tc>
          <w:tcPr>
            <w:tcW w:w="481" w:type="pct"/>
            <w:tcBorders>
              <w:tl2br w:val="nil"/>
              <w:tr2bl w:val="nil"/>
            </w:tcBorders>
            <w:shd w:val="clear" w:color="auto" w:fill="auto"/>
            <w:vAlign w:val="center"/>
          </w:tcPr>
          <w:p w14:paraId="017B8667">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06114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restart"/>
            <w:tcBorders>
              <w:tl2br w:val="nil"/>
              <w:tr2bl w:val="nil"/>
            </w:tcBorders>
            <w:shd w:val="clear" w:color="auto" w:fill="auto"/>
            <w:vAlign w:val="center"/>
          </w:tcPr>
          <w:p w14:paraId="75FF02A4">
            <w:pPr>
              <w:spacing w:line="240" w:lineRule="auto"/>
              <w:ind w:firstLine="0" w:firstLineChars="0"/>
              <w:jc w:val="center"/>
              <w:rPr>
                <w:color w:val="auto"/>
                <w:sz w:val="21"/>
                <w:szCs w:val="21"/>
              </w:rPr>
            </w:pPr>
            <w:r>
              <w:rPr>
                <w:rFonts w:hint="eastAsia"/>
                <w:color w:val="auto"/>
                <w:sz w:val="21"/>
                <w:szCs w:val="21"/>
              </w:rPr>
              <w:t>连云港经济技术开发区产业投资项目负面清单（2019年版）</w:t>
            </w:r>
          </w:p>
        </w:tc>
        <w:tc>
          <w:tcPr>
            <w:tcW w:w="2349" w:type="pct"/>
            <w:tcBorders>
              <w:tl2br w:val="nil"/>
              <w:tr2bl w:val="nil"/>
            </w:tcBorders>
            <w:shd w:val="clear" w:color="auto" w:fill="auto"/>
            <w:vAlign w:val="center"/>
          </w:tcPr>
          <w:p w14:paraId="5315368D">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（1）属国家发改委、商务部《外商投资准入特别管理措施（负面清单）（2019年版）》的项目，不予引进。</w:t>
            </w:r>
          </w:p>
        </w:tc>
        <w:tc>
          <w:tcPr>
            <w:tcW w:w="1369" w:type="pct"/>
            <w:tcBorders>
              <w:tl2br w:val="nil"/>
              <w:tr2bl w:val="nil"/>
            </w:tcBorders>
            <w:shd w:val="clear" w:color="auto" w:fill="auto"/>
            <w:vAlign w:val="center"/>
          </w:tcPr>
          <w:p w14:paraId="6FDAAB7E">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本项目不属于国家发展改革委、商务部《外商投资准入特别管理措施（负面清单）（2019年版）》的项目。</w:t>
            </w:r>
          </w:p>
        </w:tc>
        <w:tc>
          <w:tcPr>
            <w:tcW w:w="481" w:type="pct"/>
            <w:tcBorders>
              <w:tl2br w:val="nil"/>
              <w:tr2bl w:val="nil"/>
            </w:tcBorders>
            <w:shd w:val="clear" w:color="auto" w:fill="auto"/>
            <w:vAlign w:val="center"/>
          </w:tcPr>
          <w:p w14:paraId="32F1ECAC">
            <w:pPr>
              <w:overflowPunct w:val="0"/>
              <w:spacing w:line="240" w:lineRule="auto"/>
              <w:ind w:firstLine="0" w:firstLineChars="0"/>
              <w:jc w:val="center"/>
              <w:rPr>
                <w:rFonts w:cs="宋体"/>
                <w:color w:val="auto"/>
                <w:sz w:val="21"/>
                <w:szCs w:val="21"/>
                <w:lang w:bidi="ar"/>
              </w:rPr>
            </w:pPr>
            <w:r>
              <w:rPr>
                <w:rFonts w:hint="eastAsia" w:cs="宋体"/>
                <w:color w:val="auto"/>
                <w:sz w:val="21"/>
                <w:szCs w:val="21"/>
                <w:lang w:bidi="ar"/>
              </w:rPr>
              <w:t>符合</w:t>
            </w:r>
          </w:p>
        </w:tc>
      </w:tr>
      <w:tr w14:paraId="352AD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608BCACB">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6DEFA988">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（2）属国家发改委《产业结构调整指导目录（2019年本）》限制、淘汰类的项目，不予引进。</w:t>
            </w:r>
          </w:p>
        </w:tc>
        <w:tc>
          <w:tcPr>
            <w:tcW w:w="1369" w:type="pct"/>
            <w:tcBorders>
              <w:tl2br w:val="nil"/>
              <w:tr2bl w:val="nil"/>
            </w:tcBorders>
            <w:shd w:val="clear" w:color="auto" w:fill="auto"/>
            <w:vAlign w:val="center"/>
          </w:tcPr>
          <w:p w14:paraId="1E47B3CE">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本项目不属于《产业结构调整指导目录（2024年本）》限制、淘汰类的项目。</w:t>
            </w:r>
          </w:p>
        </w:tc>
        <w:tc>
          <w:tcPr>
            <w:tcW w:w="481" w:type="pct"/>
            <w:tcBorders>
              <w:tl2br w:val="nil"/>
              <w:tr2bl w:val="nil"/>
            </w:tcBorders>
            <w:shd w:val="clear" w:color="auto" w:fill="auto"/>
            <w:vAlign w:val="center"/>
          </w:tcPr>
          <w:p w14:paraId="3FC9A0CE">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2DC1F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477F59C1">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7BA30E70">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（3）属《长江经济带市场准入禁止限制目录（试行）》中禁止、限制类的项目，不予引进。</w:t>
            </w:r>
          </w:p>
        </w:tc>
        <w:tc>
          <w:tcPr>
            <w:tcW w:w="1369" w:type="pct"/>
            <w:tcBorders>
              <w:tl2br w:val="nil"/>
              <w:tr2bl w:val="nil"/>
            </w:tcBorders>
            <w:shd w:val="clear" w:color="auto" w:fill="auto"/>
            <w:vAlign w:val="center"/>
          </w:tcPr>
          <w:p w14:paraId="396DC9E9">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本项目不属于《长江经济带发展负面清单指南》（试行，2022年版）的通知（长江办〔2022〕7号）《长江经济带发展负面清单指南（试行，2022年版）江苏省实施细则》（苏长江办发〔2022〕55号）中禁止、限制类的项目。</w:t>
            </w:r>
          </w:p>
        </w:tc>
        <w:tc>
          <w:tcPr>
            <w:tcW w:w="481" w:type="pct"/>
            <w:tcBorders>
              <w:tl2br w:val="nil"/>
              <w:tr2bl w:val="nil"/>
            </w:tcBorders>
            <w:shd w:val="clear" w:color="auto" w:fill="auto"/>
            <w:vAlign w:val="center"/>
          </w:tcPr>
          <w:p w14:paraId="43E7C6C9">
            <w:pPr>
              <w:overflowPunct w:val="0"/>
              <w:spacing w:line="240" w:lineRule="auto"/>
              <w:ind w:firstLine="0" w:firstLineChars="0"/>
              <w:jc w:val="center"/>
              <w:rPr>
                <w:rFonts w:cs="宋体"/>
                <w:color w:val="auto"/>
                <w:sz w:val="21"/>
                <w:szCs w:val="21"/>
                <w:lang w:bidi="ar"/>
              </w:rPr>
            </w:pPr>
            <w:r>
              <w:rPr>
                <w:rFonts w:hint="eastAsia" w:cs="宋体"/>
                <w:color w:val="auto"/>
                <w:sz w:val="21"/>
                <w:szCs w:val="21"/>
                <w:lang w:bidi="ar"/>
              </w:rPr>
              <w:t>符合</w:t>
            </w:r>
          </w:p>
        </w:tc>
      </w:tr>
      <w:tr w14:paraId="4FAB6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042F672C">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2995C3B9">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4）属《关于利用综合标准依法依规推动落后产能退出的指导意见》（工信部联产业〔2017〕30号）、《省政府办公厅关于利用综合标准依法依规推动落后产能退出的实施意见》（苏政传发〔2017〕225号）和《市经信委关于利用综合标准依法依规推动落后产能退出工作的通知》连经信发〔2017〕196号）中落后产能行业的项目，不予引进。</w:t>
            </w:r>
          </w:p>
        </w:tc>
        <w:tc>
          <w:tcPr>
            <w:tcW w:w="1369" w:type="pct"/>
            <w:tcBorders>
              <w:tl2br w:val="nil"/>
              <w:tr2bl w:val="nil"/>
            </w:tcBorders>
            <w:shd w:val="clear" w:color="auto" w:fill="auto"/>
            <w:vAlign w:val="center"/>
          </w:tcPr>
          <w:p w14:paraId="718267A5">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本项目不属于《关于利用综合标准依法依规推动落后产能退出的指导意见》（工信部联产业〔2017〕30号）《省政府办公厅关于利用综合标准依法依规推动落后产能退出的实施意见》（苏政传发〔2017〕225号）和《市经信委关于利用综合标准依法依规推动落后产能退出工作的通知》连经信发〔2017〕196号）中落后产能行业的项目。</w:t>
            </w:r>
          </w:p>
        </w:tc>
        <w:tc>
          <w:tcPr>
            <w:tcW w:w="481" w:type="pct"/>
            <w:tcBorders>
              <w:tl2br w:val="nil"/>
              <w:tr2bl w:val="nil"/>
            </w:tcBorders>
            <w:shd w:val="clear" w:color="auto" w:fill="auto"/>
            <w:vAlign w:val="center"/>
          </w:tcPr>
          <w:p w14:paraId="32CF242C">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7779E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7EF26715">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34699E78">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（5）排放含汞、砷、镉、铬、铅等重金属污染物、持久性有机污染物以及列入环境保护综合名录（2017年版）的高污染、高环境风险产品的项目，不予引进。</w:t>
            </w:r>
          </w:p>
        </w:tc>
        <w:tc>
          <w:tcPr>
            <w:tcW w:w="1369" w:type="pct"/>
            <w:tcBorders>
              <w:tl2br w:val="nil"/>
              <w:tr2bl w:val="nil"/>
            </w:tcBorders>
            <w:shd w:val="clear" w:color="auto" w:fill="auto"/>
            <w:vAlign w:val="center"/>
          </w:tcPr>
          <w:p w14:paraId="52F13596">
            <w:pPr>
              <w:overflowPunct w:val="0"/>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本项目不排放含汞、砷、镉、铬、铅等重金属污染物、持久性有机污染物，不属于列入环境保护综合名录（2021年版）的高污染、高环境风险产品的项目。</w:t>
            </w:r>
          </w:p>
        </w:tc>
        <w:tc>
          <w:tcPr>
            <w:tcW w:w="481" w:type="pct"/>
            <w:tcBorders>
              <w:tl2br w:val="nil"/>
              <w:tr2bl w:val="nil"/>
            </w:tcBorders>
            <w:shd w:val="clear" w:color="auto" w:fill="auto"/>
            <w:vAlign w:val="center"/>
          </w:tcPr>
          <w:p w14:paraId="0AA1AD16">
            <w:pPr>
              <w:overflowPunct w:val="0"/>
              <w:spacing w:line="240" w:lineRule="auto"/>
              <w:ind w:firstLine="0" w:firstLineChars="0"/>
              <w:jc w:val="center"/>
              <w:rPr>
                <w:rFonts w:cs="宋体"/>
                <w:color w:val="auto"/>
                <w:sz w:val="21"/>
                <w:szCs w:val="21"/>
                <w:lang w:bidi="ar"/>
              </w:rPr>
            </w:pPr>
            <w:r>
              <w:rPr>
                <w:rFonts w:hint="eastAsia" w:cs="宋体"/>
                <w:color w:val="auto"/>
                <w:sz w:val="21"/>
                <w:szCs w:val="21"/>
                <w:lang w:bidi="ar"/>
              </w:rPr>
              <w:t>符合</w:t>
            </w:r>
          </w:p>
        </w:tc>
      </w:tr>
      <w:tr w14:paraId="3F68F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1A8EACF4">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6E8DDEAF">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（6）对食品、饮料、纺织、服装、家具、文体用品、医疗器械、电子电器、工艺品等适合多层厂房生产的项目，原则上不单独供地，可以租用区内多层标准厂房（对厂房建设有特殊要求的除外）。</w:t>
            </w:r>
          </w:p>
        </w:tc>
        <w:tc>
          <w:tcPr>
            <w:tcW w:w="1369" w:type="pct"/>
            <w:tcBorders>
              <w:tl2br w:val="nil"/>
              <w:tr2bl w:val="nil"/>
            </w:tcBorders>
            <w:shd w:val="clear" w:color="auto" w:fill="auto"/>
            <w:vAlign w:val="center"/>
          </w:tcPr>
          <w:p w14:paraId="53A4DBCE">
            <w:pPr>
              <w:overflowPunct w:val="0"/>
              <w:spacing w:line="240" w:lineRule="auto"/>
              <w:ind w:firstLine="0" w:firstLineChars="0"/>
              <w:jc w:val="center"/>
              <w:rPr>
                <w:rFonts w:cs="宋体"/>
                <w:color w:val="auto"/>
                <w:kern w:val="21"/>
                <w:sz w:val="21"/>
                <w:szCs w:val="21"/>
                <w:lang w:bidi="ar"/>
              </w:rPr>
            </w:pPr>
            <w:r>
              <w:rPr>
                <w:rFonts w:hint="eastAsia" w:cs="宋体"/>
                <w:color w:val="auto"/>
                <w:kern w:val="21"/>
                <w:sz w:val="21"/>
                <w:szCs w:val="21"/>
                <w:lang w:bidi="ar"/>
              </w:rPr>
              <w:t>本项目属于金属制品制造，厂房拟进行多层建设，且目前已取得土地证。</w:t>
            </w:r>
          </w:p>
        </w:tc>
        <w:tc>
          <w:tcPr>
            <w:tcW w:w="481" w:type="pct"/>
            <w:tcBorders>
              <w:tl2br w:val="nil"/>
              <w:tr2bl w:val="nil"/>
            </w:tcBorders>
            <w:shd w:val="clear" w:color="auto" w:fill="auto"/>
            <w:vAlign w:val="center"/>
          </w:tcPr>
          <w:p w14:paraId="76914DF7">
            <w:pPr>
              <w:overflowPunct w:val="0"/>
              <w:spacing w:line="240" w:lineRule="auto"/>
              <w:ind w:firstLine="0" w:firstLineChars="0"/>
              <w:jc w:val="center"/>
              <w:rPr>
                <w:color w:val="auto"/>
                <w:sz w:val="21"/>
                <w:szCs w:val="21"/>
              </w:rPr>
            </w:pPr>
            <w:r>
              <w:rPr>
                <w:rFonts w:hint="eastAsia" w:cs="宋体"/>
                <w:color w:val="auto"/>
                <w:sz w:val="21"/>
                <w:szCs w:val="21"/>
                <w:lang w:bidi="ar"/>
              </w:rPr>
              <w:t>符合</w:t>
            </w:r>
          </w:p>
        </w:tc>
      </w:tr>
      <w:tr w14:paraId="53343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799" w:type="pct"/>
            <w:vMerge w:val="continue"/>
            <w:tcBorders>
              <w:tl2br w:val="nil"/>
              <w:tr2bl w:val="nil"/>
            </w:tcBorders>
            <w:shd w:val="clear" w:color="auto" w:fill="auto"/>
            <w:vAlign w:val="center"/>
          </w:tcPr>
          <w:p w14:paraId="39FE4BAC">
            <w:pPr>
              <w:spacing w:line="240" w:lineRule="auto"/>
              <w:ind w:firstLine="0" w:firstLineChars="0"/>
              <w:jc w:val="center"/>
              <w:rPr>
                <w:color w:val="auto"/>
                <w:sz w:val="21"/>
                <w:szCs w:val="21"/>
              </w:rPr>
            </w:pPr>
          </w:p>
        </w:tc>
        <w:tc>
          <w:tcPr>
            <w:tcW w:w="2349" w:type="pct"/>
            <w:tcBorders>
              <w:tl2br w:val="nil"/>
              <w:tr2bl w:val="nil"/>
            </w:tcBorders>
            <w:shd w:val="clear" w:color="auto" w:fill="auto"/>
            <w:vAlign w:val="center"/>
          </w:tcPr>
          <w:p w14:paraId="6BA9DAC0">
            <w:pPr>
              <w:widowControl/>
              <w:spacing w:line="240" w:lineRule="auto"/>
              <w:ind w:firstLine="0" w:firstLineChars="0"/>
              <w:rPr>
                <w:rFonts w:cs="宋体"/>
                <w:color w:val="auto"/>
                <w:kern w:val="21"/>
                <w:sz w:val="21"/>
                <w:szCs w:val="21"/>
                <w:lang w:bidi="ar"/>
              </w:rPr>
            </w:pPr>
            <w:r>
              <w:rPr>
                <w:rFonts w:hint="eastAsia" w:cs="宋体"/>
                <w:color w:val="auto"/>
                <w:kern w:val="21"/>
                <w:sz w:val="21"/>
                <w:szCs w:val="21"/>
                <w:lang w:bidi="ar"/>
              </w:rPr>
              <w:t>（7）从开发区实际出发，对农副食品加工业、食品制造业、烟草制品业等29类产业项目原则上不予引进。其中化学纤维制造业中不可引进项目：化学纤维制造业：纤维素纤维原料及纤维制造，螺杆挤出机直径&lt;90mm、3000吨/年以下的涤纶再生纺短纤维生产装置。</w:t>
            </w:r>
          </w:p>
        </w:tc>
        <w:tc>
          <w:tcPr>
            <w:tcW w:w="1369" w:type="pct"/>
            <w:tcBorders>
              <w:tl2br w:val="nil"/>
              <w:tr2bl w:val="nil"/>
            </w:tcBorders>
            <w:shd w:val="clear" w:color="auto" w:fill="auto"/>
            <w:vAlign w:val="center"/>
          </w:tcPr>
          <w:p w14:paraId="6E39ECB6">
            <w:pPr>
              <w:overflowPunct w:val="0"/>
              <w:spacing w:line="240" w:lineRule="auto"/>
              <w:ind w:firstLine="0" w:firstLineChars="0"/>
              <w:jc w:val="center"/>
              <w:rPr>
                <w:rFonts w:cs="宋体"/>
                <w:color w:val="auto"/>
                <w:kern w:val="21"/>
                <w:sz w:val="21"/>
                <w:szCs w:val="21"/>
                <w:lang w:bidi="ar"/>
              </w:rPr>
            </w:pPr>
            <w:r>
              <w:rPr>
                <w:rFonts w:hint="eastAsia" w:cs="宋体"/>
                <w:color w:val="auto"/>
                <w:kern w:val="21"/>
                <w:sz w:val="21"/>
                <w:szCs w:val="21"/>
                <w:lang w:bidi="ar"/>
              </w:rPr>
              <w:t>本项目为金属制品制造，不涉及上述产业类型。</w:t>
            </w:r>
          </w:p>
        </w:tc>
        <w:tc>
          <w:tcPr>
            <w:tcW w:w="481" w:type="pct"/>
            <w:tcBorders>
              <w:tl2br w:val="nil"/>
              <w:tr2bl w:val="nil"/>
            </w:tcBorders>
            <w:shd w:val="clear" w:color="auto" w:fill="auto"/>
            <w:vAlign w:val="center"/>
          </w:tcPr>
          <w:p w14:paraId="3F3AF0C9">
            <w:pPr>
              <w:overflowPunct w:val="0"/>
              <w:spacing w:line="240" w:lineRule="auto"/>
              <w:ind w:firstLine="0" w:firstLineChars="0"/>
              <w:jc w:val="center"/>
              <w:rPr>
                <w:rFonts w:cs="宋体"/>
                <w:color w:val="auto"/>
                <w:sz w:val="21"/>
                <w:szCs w:val="21"/>
                <w:lang w:bidi="ar"/>
              </w:rPr>
            </w:pPr>
            <w:r>
              <w:rPr>
                <w:rFonts w:hint="eastAsia" w:cs="宋体"/>
                <w:color w:val="auto"/>
                <w:sz w:val="21"/>
                <w:szCs w:val="21"/>
                <w:lang w:bidi="ar"/>
              </w:rPr>
              <w:t>符合</w:t>
            </w:r>
          </w:p>
        </w:tc>
      </w:tr>
    </w:tbl>
    <w:p w14:paraId="14B3FEB7">
      <w:pPr>
        <w:numPr>
          <w:ilvl w:val="0"/>
          <w:numId w:val="1"/>
        </w:numPr>
        <w:ind w:firstLine="360" w:firstLineChars="150"/>
        <w:rPr>
          <w:rFonts w:cs="宋体"/>
          <w:color w:val="auto"/>
          <w:lang w:bidi="ar"/>
        </w:rPr>
      </w:pPr>
      <w:r>
        <w:rPr>
          <w:rFonts w:hint="eastAsia" w:cs="宋体"/>
          <w:color w:val="auto"/>
          <w:lang w:bidi="ar"/>
        </w:rPr>
        <w:t>《连云港经济技术开发区（大浦片区、临港产业区西北片区、江宁工业城、一带一路国际物流园）产业发展规划环评报告书》中规定连云港经济技术开发区环境准入负面清单内容如下，本项目与负面清单对照情况见表1.4.4-9。</w:t>
      </w:r>
    </w:p>
    <w:p w14:paraId="583F71A5">
      <w:pPr>
        <w:spacing w:line="240" w:lineRule="auto"/>
        <w:ind w:firstLine="0" w:firstLineChars="0"/>
        <w:jc w:val="center"/>
        <w:rPr>
          <w:rFonts w:cs="宋体"/>
          <w:b/>
          <w:bCs/>
          <w:color w:val="auto"/>
          <w:lang w:bidi="ar"/>
        </w:rPr>
      </w:pPr>
      <w:r>
        <w:rPr>
          <w:rFonts w:hint="eastAsia" w:cs="宋体"/>
          <w:b/>
          <w:bCs/>
          <w:color w:val="auto"/>
          <w:lang w:bidi="ar"/>
        </w:rPr>
        <w:t>表1.4.4-9  本项目与连云港经济技术开发区环境准入负面清单相符性分析</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45"/>
        <w:gridCol w:w="648"/>
        <w:gridCol w:w="4451"/>
        <w:gridCol w:w="2474"/>
        <w:gridCol w:w="1068"/>
      </w:tblGrid>
      <w:tr w14:paraId="3EC40A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4" w:hRule="atLeast"/>
        </w:trPr>
        <w:tc>
          <w:tcPr>
            <w:tcW w:w="696" w:type="pct"/>
            <w:gridSpan w:val="2"/>
            <w:shd w:val="clear" w:color="auto" w:fill="auto"/>
            <w:vAlign w:val="center"/>
          </w:tcPr>
          <w:p w14:paraId="14F7A581">
            <w:pPr>
              <w:spacing w:line="240" w:lineRule="auto"/>
              <w:ind w:firstLine="0" w:firstLineChars="0"/>
              <w:jc w:val="center"/>
              <w:rPr>
                <w:b/>
                <w:color w:val="auto"/>
                <w:sz w:val="21"/>
                <w:szCs w:val="21"/>
              </w:rPr>
            </w:pPr>
            <w:r>
              <w:rPr>
                <w:b/>
                <w:color w:val="auto"/>
                <w:sz w:val="21"/>
                <w:szCs w:val="21"/>
              </w:rPr>
              <w:t>类别</w:t>
            </w:r>
          </w:p>
        </w:tc>
        <w:tc>
          <w:tcPr>
            <w:tcW w:w="2396" w:type="pct"/>
            <w:shd w:val="clear" w:color="auto" w:fill="auto"/>
            <w:vAlign w:val="center"/>
          </w:tcPr>
          <w:p w14:paraId="7B95022D">
            <w:pPr>
              <w:spacing w:line="240" w:lineRule="auto"/>
              <w:ind w:firstLine="0" w:firstLineChars="0"/>
              <w:jc w:val="center"/>
              <w:rPr>
                <w:b/>
                <w:color w:val="auto"/>
                <w:sz w:val="21"/>
                <w:szCs w:val="21"/>
              </w:rPr>
            </w:pPr>
            <w:r>
              <w:rPr>
                <w:rFonts w:hint="eastAsia"/>
                <w:b/>
                <w:color w:val="auto"/>
                <w:sz w:val="21"/>
                <w:szCs w:val="21"/>
              </w:rPr>
              <w:t>准入</w:t>
            </w:r>
            <w:r>
              <w:rPr>
                <w:b/>
                <w:color w:val="auto"/>
                <w:sz w:val="21"/>
                <w:szCs w:val="21"/>
              </w:rPr>
              <w:t>内容</w:t>
            </w:r>
          </w:p>
        </w:tc>
        <w:tc>
          <w:tcPr>
            <w:tcW w:w="1332" w:type="pct"/>
            <w:vAlign w:val="center"/>
          </w:tcPr>
          <w:p w14:paraId="1E818105">
            <w:pPr>
              <w:spacing w:line="240" w:lineRule="auto"/>
              <w:ind w:firstLine="0" w:firstLineChars="0"/>
              <w:jc w:val="center"/>
              <w:rPr>
                <w:b/>
                <w:color w:val="auto"/>
                <w:sz w:val="21"/>
                <w:szCs w:val="21"/>
              </w:rPr>
            </w:pPr>
            <w:r>
              <w:rPr>
                <w:b/>
                <w:color w:val="auto"/>
                <w:sz w:val="21"/>
                <w:szCs w:val="21"/>
              </w:rPr>
              <w:t>项目情况</w:t>
            </w:r>
          </w:p>
        </w:tc>
        <w:tc>
          <w:tcPr>
            <w:tcW w:w="575" w:type="pct"/>
            <w:vAlign w:val="center"/>
          </w:tcPr>
          <w:p w14:paraId="693F5C47">
            <w:pPr>
              <w:spacing w:line="240" w:lineRule="auto"/>
              <w:ind w:firstLine="0" w:firstLineChars="0"/>
              <w:jc w:val="center"/>
              <w:rPr>
                <w:b/>
                <w:color w:val="auto"/>
                <w:sz w:val="21"/>
                <w:szCs w:val="21"/>
              </w:rPr>
            </w:pPr>
            <w:r>
              <w:rPr>
                <w:b/>
                <w:color w:val="auto"/>
                <w:sz w:val="21"/>
                <w:szCs w:val="21"/>
              </w:rPr>
              <w:t>相符性分析</w:t>
            </w:r>
          </w:p>
        </w:tc>
      </w:tr>
      <w:tr w14:paraId="56A5F8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trPr>
        <w:tc>
          <w:tcPr>
            <w:tcW w:w="347" w:type="pct"/>
            <w:vMerge w:val="restart"/>
            <w:shd w:val="clear" w:color="auto" w:fill="auto"/>
            <w:vAlign w:val="center"/>
          </w:tcPr>
          <w:p w14:paraId="01C92545">
            <w:pPr>
              <w:spacing w:line="240" w:lineRule="auto"/>
              <w:ind w:firstLine="0" w:firstLineChars="0"/>
              <w:jc w:val="center"/>
              <w:rPr>
                <w:color w:val="auto"/>
                <w:sz w:val="21"/>
                <w:szCs w:val="21"/>
              </w:rPr>
            </w:pPr>
            <w:r>
              <w:rPr>
                <w:rFonts w:hint="eastAsia"/>
                <w:color w:val="auto"/>
                <w:sz w:val="21"/>
                <w:szCs w:val="21"/>
              </w:rPr>
              <w:t>产业准入</w:t>
            </w:r>
          </w:p>
        </w:tc>
        <w:tc>
          <w:tcPr>
            <w:tcW w:w="348" w:type="pct"/>
            <w:shd w:val="clear" w:color="auto" w:fill="auto"/>
            <w:vAlign w:val="center"/>
          </w:tcPr>
          <w:p w14:paraId="1CA78583">
            <w:pPr>
              <w:spacing w:line="240" w:lineRule="auto"/>
              <w:ind w:firstLine="0" w:firstLineChars="0"/>
              <w:jc w:val="center"/>
              <w:rPr>
                <w:color w:val="auto"/>
                <w:sz w:val="21"/>
                <w:szCs w:val="21"/>
              </w:rPr>
            </w:pPr>
            <w:r>
              <w:rPr>
                <w:rFonts w:hint="eastAsia"/>
                <w:color w:val="auto"/>
                <w:sz w:val="21"/>
                <w:szCs w:val="21"/>
              </w:rPr>
              <w:t>优先引入</w:t>
            </w:r>
          </w:p>
        </w:tc>
        <w:tc>
          <w:tcPr>
            <w:tcW w:w="2396" w:type="pct"/>
            <w:shd w:val="clear" w:color="auto" w:fill="auto"/>
            <w:vAlign w:val="center"/>
          </w:tcPr>
          <w:p w14:paraId="61B9A3F8">
            <w:pPr>
              <w:spacing w:line="240" w:lineRule="auto"/>
              <w:ind w:firstLine="0" w:firstLineChars="0"/>
              <w:rPr>
                <w:color w:val="auto"/>
                <w:sz w:val="21"/>
                <w:szCs w:val="21"/>
              </w:rPr>
            </w:pPr>
            <w:r>
              <w:rPr>
                <w:rFonts w:hint="eastAsia"/>
                <w:color w:val="auto"/>
                <w:sz w:val="21"/>
                <w:szCs w:val="21"/>
              </w:rPr>
              <w:t>符合产业定位且属于《产业结构调整指导目录（2024年本）》《鼓励外商投资产业目录（2022年版）》《产业转移指导目录》等产业政策文件中属于鼓励类和重点发展行业中的产品、工艺和技术。</w:t>
            </w:r>
          </w:p>
        </w:tc>
        <w:tc>
          <w:tcPr>
            <w:tcW w:w="1332" w:type="pct"/>
            <w:vAlign w:val="center"/>
          </w:tcPr>
          <w:p w14:paraId="29D44679">
            <w:pPr>
              <w:spacing w:line="240" w:lineRule="auto"/>
              <w:ind w:firstLine="0" w:firstLineChars="0"/>
              <w:rPr>
                <w:color w:val="auto"/>
                <w:sz w:val="21"/>
                <w:szCs w:val="21"/>
              </w:rPr>
            </w:pPr>
            <w:r>
              <w:rPr>
                <w:rFonts w:hint="eastAsia"/>
                <w:color w:val="auto"/>
                <w:sz w:val="21"/>
                <w:szCs w:val="21"/>
              </w:rPr>
              <w:t>经对照，本项目不在《产业结构调整指导目录（2024年本）》“限制类”和“禁止类”目录中；本项目不属于外商投资项目。</w:t>
            </w:r>
          </w:p>
        </w:tc>
        <w:tc>
          <w:tcPr>
            <w:tcW w:w="575" w:type="pct"/>
            <w:vAlign w:val="center"/>
          </w:tcPr>
          <w:p w14:paraId="4FA06094">
            <w:pPr>
              <w:spacing w:line="240" w:lineRule="auto"/>
              <w:ind w:firstLine="0" w:firstLineChars="0"/>
              <w:jc w:val="center"/>
              <w:rPr>
                <w:color w:val="auto"/>
                <w:sz w:val="21"/>
                <w:szCs w:val="21"/>
              </w:rPr>
            </w:pPr>
            <w:r>
              <w:rPr>
                <w:rFonts w:hint="eastAsia"/>
                <w:color w:val="auto"/>
                <w:sz w:val="21"/>
                <w:szCs w:val="21"/>
              </w:rPr>
              <w:t>符合</w:t>
            </w:r>
          </w:p>
        </w:tc>
      </w:tr>
      <w:tr w14:paraId="194F8F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47" w:type="pct"/>
            <w:vMerge w:val="continue"/>
            <w:shd w:val="clear" w:color="auto" w:fill="auto"/>
            <w:vAlign w:val="center"/>
          </w:tcPr>
          <w:p w14:paraId="3842597F">
            <w:pPr>
              <w:spacing w:line="240" w:lineRule="auto"/>
              <w:ind w:firstLine="0" w:firstLineChars="0"/>
              <w:jc w:val="center"/>
              <w:rPr>
                <w:color w:val="auto"/>
                <w:sz w:val="21"/>
                <w:szCs w:val="21"/>
              </w:rPr>
            </w:pPr>
          </w:p>
        </w:tc>
        <w:tc>
          <w:tcPr>
            <w:tcW w:w="348" w:type="pct"/>
            <w:shd w:val="clear" w:color="auto" w:fill="auto"/>
            <w:vAlign w:val="center"/>
          </w:tcPr>
          <w:p w14:paraId="647023A4">
            <w:pPr>
              <w:spacing w:line="240" w:lineRule="auto"/>
              <w:ind w:firstLine="0" w:firstLineChars="0"/>
              <w:jc w:val="center"/>
              <w:rPr>
                <w:color w:val="auto"/>
                <w:sz w:val="21"/>
                <w:szCs w:val="21"/>
              </w:rPr>
            </w:pPr>
            <w:r>
              <w:rPr>
                <w:rFonts w:hint="eastAsia"/>
                <w:color w:val="auto"/>
                <w:sz w:val="21"/>
                <w:szCs w:val="21"/>
              </w:rPr>
              <w:t>禁止引入</w:t>
            </w:r>
          </w:p>
        </w:tc>
        <w:tc>
          <w:tcPr>
            <w:tcW w:w="2396" w:type="pct"/>
            <w:shd w:val="clear" w:color="auto" w:fill="auto"/>
            <w:vAlign w:val="center"/>
          </w:tcPr>
          <w:p w14:paraId="3D1447DC">
            <w:pPr>
              <w:spacing w:line="240" w:lineRule="auto"/>
              <w:ind w:firstLine="0" w:firstLineChars="0"/>
              <w:rPr>
                <w:color w:val="auto"/>
                <w:sz w:val="21"/>
                <w:szCs w:val="21"/>
              </w:rPr>
            </w:pPr>
            <w:r>
              <w:rPr>
                <w:rFonts w:hint="eastAsia"/>
                <w:color w:val="auto"/>
                <w:sz w:val="21"/>
                <w:szCs w:val="21"/>
              </w:rPr>
              <w:t>禁止化学中间体生产项目、没有成品制剂配套的单纯原料药制造项目（原料药不得单独外售）；</w:t>
            </w:r>
          </w:p>
          <w:p w14:paraId="4E15915F">
            <w:pPr>
              <w:spacing w:line="240" w:lineRule="auto"/>
              <w:ind w:firstLine="0" w:firstLineChars="0"/>
              <w:rPr>
                <w:color w:val="auto"/>
                <w:sz w:val="21"/>
                <w:szCs w:val="21"/>
              </w:rPr>
            </w:pPr>
            <w:r>
              <w:rPr>
                <w:rFonts w:hint="eastAsia"/>
                <w:color w:val="auto"/>
                <w:sz w:val="21"/>
                <w:szCs w:val="21"/>
              </w:rPr>
              <w:t>禁止引入使用不符合《低挥发性有机化合物含量涂料产品技术要求》的涂料、胶黏剂、清洗剂、油墨等有机溶剂项目（工艺及产品质量要求不具备替代条件的除外）；</w:t>
            </w:r>
          </w:p>
          <w:p w14:paraId="2C76CA2C">
            <w:pPr>
              <w:spacing w:line="240" w:lineRule="auto"/>
              <w:ind w:firstLine="0" w:firstLineChars="0"/>
              <w:rPr>
                <w:color w:val="auto"/>
                <w:sz w:val="21"/>
                <w:szCs w:val="21"/>
              </w:rPr>
            </w:pPr>
            <w:r>
              <w:rPr>
                <w:rFonts w:hint="eastAsia"/>
                <w:color w:val="auto"/>
                <w:sz w:val="21"/>
                <w:szCs w:val="21"/>
              </w:rPr>
              <w:t>禁止引入向外环境排放重点重金属的建设项目；</w:t>
            </w:r>
          </w:p>
          <w:p w14:paraId="6436B999">
            <w:pPr>
              <w:spacing w:line="240" w:lineRule="auto"/>
              <w:ind w:firstLine="0" w:firstLineChars="0"/>
              <w:rPr>
                <w:color w:val="auto"/>
                <w:sz w:val="21"/>
                <w:szCs w:val="21"/>
              </w:rPr>
            </w:pPr>
            <w:r>
              <w:rPr>
                <w:rFonts w:hint="eastAsia"/>
                <w:color w:val="auto"/>
                <w:sz w:val="21"/>
                <w:szCs w:val="21"/>
              </w:rPr>
              <w:t>禁止引入危险化学品集中贮存等可能引发重大环境风险的项目。</w:t>
            </w:r>
          </w:p>
        </w:tc>
        <w:tc>
          <w:tcPr>
            <w:tcW w:w="1332" w:type="pct"/>
            <w:vAlign w:val="center"/>
          </w:tcPr>
          <w:p w14:paraId="227B0497">
            <w:pPr>
              <w:spacing w:line="240" w:lineRule="auto"/>
              <w:ind w:firstLine="0" w:firstLineChars="0"/>
              <w:jc w:val="center"/>
              <w:rPr>
                <w:color w:val="auto"/>
                <w:sz w:val="21"/>
                <w:szCs w:val="21"/>
              </w:rPr>
            </w:pPr>
            <w:r>
              <w:rPr>
                <w:rFonts w:hint="eastAsia"/>
                <w:color w:val="auto"/>
                <w:sz w:val="21"/>
                <w:szCs w:val="21"/>
              </w:rPr>
              <w:t>本项目不涉及</w:t>
            </w:r>
          </w:p>
        </w:tc>
        <w:tc>
          <w:tcPr>
            <w:tcW w:w="575" w:type="pct"/>
            <w:vAlign w:val="center"/>
          </w:tcPr>
          <w:p w14:paraId="646BDECF">
            <w:pPr>
              <w:spacing w:line="240" w:lineRule="auto"/>
              <w:ind w:firstLine="0" w:firstLineChars="0"/>
              <w:jc w:val="center"/>
              <w:rPr>
                <w:color w:val="auto"/>
                <w:sz w:val="21"/>
                <w:szCs w:val="21"/>
              </w:rPr>
            </w:pPr>
            <w:r>
              <w:rPr>
                <w:rFonts w:hint="eastAsia"/>
                <w:color w:val="auto"/>
                <w:sz w:val="21"/>
                <w:szCs w:val="21"/>
              </w:rPr>
              <w:t>符合</w:t>
            </w:r>
          </w:p>
        </w:tc>
      </w:tr>
      <w:tr w14:paraId="199BB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trPr>
        <w:tc>
          <w:tcPr>
            <w:tcW w:w="696" w:type="pct"/>
            <w:gridSpan w:val="2"/>
            <w:shd w:val="clear" w:color="auto" w:fill="auto"/>
            <w:vAlign w:val="center"/>
          </w:tcPr>
          <w:p w14:paraId="1C4AAFD0">
            <w:pPr>
              <w:spacing w:line="240" w:lineRule="auto"/>
              <w:ind w:firstLine="0" w:firstLineChars="0"/>
              <w:jc w:val="center"/>
              <w:rPr>
                <w:color w:val="auto"/>
                <w:sz w:val="21"/>
                <w:szCs w:val="21"/>
              </w:rPr>
            </w:pPr>
            <w:r>
              <w:rPr>
                <w:rFonts w:hint="eastAsia"/>
                <w:color w:val="auto"/>
                <w:sz w:val="21"/>
                <w:szCs w:val="21"/>
              </w:rPr>
              <w:t>空间布局约束</w:t>
            </w:r>
          </w:p>
        </w:tc>
        <w:tc>
          <w:tcPr>
            <w:tcW w:w="2396" w:type="pct"/>
            <w:shd w:val="clear" w:color="auto" w:fill="auto"/>
            <w:vAlign w:val="center"/>
          </w:tcPr>
          <w:p w14:paraId="78478A16">
            <w:pPr>
              <w:spacing w:line="240" w:lineRule="auto"/>
              <w:ind w:firstLine="0" w:firstLineChars="0"/>
              <w:rPr>
                <w:color w:val="auto"/>
                <w:sz w:val="21"/>
                <w:szCs w:val="21"/>
              </w:rPr>
            </w:pPr>
            <w:r>
              <w:rPr>
                <w:rFonts w:hint="eastAsia"/>
                <w:color w:val="auto"/>
                <w:sz w:val="21"/>
                <w:szCs w:val="21"/>
              </w:rPr>
              <w:t>（1）各类开发建设活动应符合国土空间规划和环境保护相关法定规划等管理要求。（2）规划工业用地建设项目入区时，严格按照建设项目环评批复设置相应的卫生防护距离，确保该范围内不涉及规划居住区等敏感目标。（3）按照《基本农田保护条例》要求，对区内划定的基本农田实行严格保护，不得改变或者占用。（4）邻近二类工业用地的居住建筑周边应设置不少于50米的隔离带。</w:t>
            </w:r>
          </w:p>
        </w:tc>
        <w:tc>
          <w:tcPr>
            <w:tcW w:w="1332" w:type="pct"/>
            <w:vAlign w:val="center"/>
          </w:tcPr>
          <w:p w14:paraId="6B8971CA">
            <w:pPr>
              <w:spacing w:line="240" w:lineRule="auto"/>
              <w:ind w:firstLine="0" w:firstLineChars="0"/>
              <w:rPr>
                <w:color w:val="auto"/>
                <w:sz w:val="21"/>
                <w:szCs w:val="21"/>
              </w:rPr>
            </w:pPr>
            <w:r>
              <w:rPr>
                <w:rFonts w:hint="eastAsia"/>
                <w:color w:val="auto"/>
                <w:sz w:val="21"/>
                <w:szCs w:val="21"/>
              </w:rPr>
              <w:t>本项目为金属制品制造，选址位于连云港经济技术开发区临港产业区西北片区内，符合《连云港市国土空间总体规划（2021—2035年）》、环境保护规划、生态保护红线等要求。项目卫生防护距离内不涉及规划居住区等敏感目标。</w:t>
            </w:r>
          </w:p>
        </w:tc>
        <w:tc>
          <w:tcPr>
            <w:tcW w:w="575" w:type="pct"/>
            <w:vAlign w:val="center"/>
          </w:tcPr>
          <w:p w14:paraId="12DF3FB5">
            <w:pPr>
              <w:spacing w:line="240" w:lineRule="auto"/>
              <w:ind w:firstLine="0" w:firstLineChars="0"/>
              <w:jc w:val="center"/>
              <w:rPr>
                <w:color w:val="auto"/>
                <w:sz w:val="21"/>
                <w:szCs w:val="21"/>
              </w:rPr>
            </w:pPr>
            <w:r>
              <w:rPr>
                <w:rFonts w:hint="eastAsia"/>
                <w:color w:val="auto"/>
                <w:sz w:val="21"/>
                <w:szCs w:val="21"/>
              </w:rPr>
              <w:t>符合</w:t>
            </w:r>
          </w:p>
        </w:tc>
      </w:tr>
      <w:tr w14:paraId="241165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gridSpan w:val="2"/>
            <w:shd w:val="clear" w:color="auto" w:fill="auto"/>
            <w:vAlign w:val="center"/>
          </w:tcPr>
          <w:p w14:paraId="05C1C613">
            <w:pPr>
              <w:spacing w:line="240" w:lineRule="auto"/>
              <w:ind w:firstLine="0" w:firstLineChars="0"/>
              <w:jc w:val="center"/>
              <w:rPr>
                <w:color w:val="auto"/>
                <w:sz w:val="21"/>
                <w:szCs w:val="21"/>
              </w:rPr>
            </w:pPr>
            <w:r>
              <w:rPr>
                <w:rFonts w:hint="eastAsia"/>
                <w:color w:val="auto"/>
                <w:sz w:val="21"/>
                <w:szCs w:val="21"/>
              </w:rPr>
              <w:t>污染物排放管控</w:t>
            </w:r>
          </w:p>
        </w:tc>
        <w:tc>
          <w:tcPr>
            <w:tcW w:w="2396" w:type="pct"/>
            <w:shd w:val="clear" w:color="auto" w:fill="auto"/>
            <w:vAlign w:val="center"/>
          </w:tcPr>
          <w:p w14:paraId="75D87F52">
            <w:pPr>
              <w:spacing w:line="240" w:lineRule="auto"/>
              <w:ind w:firstLine="0" w:firstLineChars="0"/>
              <w:rPr>
                <w:color w:val="auto"/>
                <w:sz w:val="21"/>
                <w:szCs w:val="21"/>
              </w:rPr>
            </w:pPr>
            <w:r>
              <w:rPr>
                <w:rFonts w:hint="eastAsia"/>
                <w:color w:val="auto"/>
                <w:sz w:val="21"/>
                <w:szCs w:val="21"/>
              </w:rPr>
              <w:t>污染物排放总量：</w:t>
            </w:r>
          </w:p>
          <w:p w14:paraId="0D996461">
            <w:pPr>
              <w:spacing w:line="240" w:lineRule="auto"/>
              <w:ind w:firstLine="0" w:firstLineChars="0"/>
              <w:rPr>
                <w:color w:val="auto"/>
                <w:sz w:val="21"/>
                <w:szCs w:val="21"/>
              </w:rPr>
            </w:pPr>
            <w:r>
              <w:rPr>
                <w:rFonts w:hint="eastAsia"/>
                <w:color w:val="auto"/>
                <w:sz w:val="21"/>
                <w:szCs w:val="21"/>
              </w:rPr>
              <w:t>1、新建排放二氧化硫、氮氧化物、颗粒物、挥发性有机物的项目，按照相关文件要求进行总量平衡。</w:t>
            </w:r>
          </w:p>
          <w:p w14:paraId="50AC8CD1">
            <w:pPr>
              <w:spacing w:line="240" w:lineRule="auto"/>
              <w:ind w:firstLine="0" w:firstLineChars="0"/>
              <w:rPr>
                <w:color w:val="auto"/>
                <w:sz w:val="21"/>
                <w:szCs w:val="21"/>
              </w:rPr>
            </w:pPr>
            <w:r>
              <w:rPr>
                <w:rFonts w:hint="eastAsia"/>
                <w:color w:val="auto"/>
                <w:sz w:val="21"/>
                <w:szCs w:val="21"/>
              </w:rPr>
              <w:t>2、区域污染物控制总量不得突破下述总量控制要求：</w:t>
            </w:r>
          </w:p>
          <w:p w14:paraId="06A314E2">
            <w:pPr>
              <w:spacing w:line="240" w:lineRule="auto"/>
              <w:ind w:firstLine="0" w:firstLineChars="0"/>
              <w:rPr>
                <w:color w:val="auto"/>
                <w:sz w:val="21"/>
                <w:szCs w:val="21"/>
              </w:rPr>
            </w:pPr>
            <w:r>
              <w:rPr>
                <w:rFonts w:hint="eastAsia"/>
                <w:color w:val="auto"/>
                <w:sz w:val="21"/>
                <w:szCs w:val="21"/>
              </w:rPr>
              <w:t>临港产业区西北片区：</w:t>
            </w:r>
          </w:p>
          <w:p w14:paraId="3964C53E">
            <w:pPr>
              <w:spacing w:line="240" w:lineRule="auto"/>
              <w:ind w:firstLine="0" w:firstLineChars="0"/>
              <w:rPr>
                <w:color w:val="auto"/>
                <w:sz w:val="21"/>
                <w:szCs w:val="21"/>
              </w:rPr>
            </w:pPr>
            <w:r>
              <w:rPr>
                <w:rFonts w:hint="eastAsia"/>
                <w:color w:val="auto"/>
                <w:sz w:val="21"/>
                <w:szCs w:val="21"/>
              </w:rPr>
              <w:t>大气污染物排放量：二氧化硫34.259吨/年，氮氧化物86.3283吨/年，颗粒物149.84818吨/年，VOCs 85.05797吨/年。</w:t>
            </w:r>
          </w:p>
          <w:p w14:paraId="69EFBCA1">
            <w:pPr>
              <w:spacing w:line="240" w:lineRule="auto"/>
              <w:ind w:firstLine="0" w:firstLineChars="0"/>
              <w:rPr>
                <w:color w:val="auto"/>
                <w:sz w:val="21"/>
                <w:szCs w:val="21"/>
              </w:rPr>
            </w:pPr>
            <w:r>
              <w:rPr>
                <w:rFonts w:hint="eastAsia"/>
                <w:color w:val="auto"/>
                <w:sz w:val="21"/>
                <w:szCs w:val="21"/>
              </w:rPr>
              <w:t>近期，水污染物排放量（进入环境量）：废水量 829.2 万m</w:t>
            </w:r>
            <w:r>
              <w:rPr>
                <w:rFonts w:hint="eastAsia"/>
                <w:color w:val="auto"/>
                <w:sz w:val="21"/>
                <w:szCs w:val="21"/>
                <w:vertAlign w:val="superscript"/>
              </w:rPr>
              <w:t>3</w:t>
            </w:r>
            <w:r>
              <w:rPr>
                <w:rFonts w:hint="eastAsia"/>
                <w:color w:val="auto"/>
                <w:sz w:val="21"/>
                <w:szCs w:val="21"/>
              </w:rPr>
              <w:t>/a，COD 414.6t/a、NH</w:t>
            </w:r>
            <w:r>
              <w:rPr>
                <w:rFonts w:hint="eastAsia"/>
                <w:color w:val="auto"/>
                <w:sz w:val="21"/>
                <w:szCs w:val="21"/>
                <w:vertAlign w:val="subscript"/>
              </w:rPr>
              <w:t>3</w:t>
            </w:r>
            <w:r>
              <w:rPr>
                <w:rFonts w:hint="eastAsia"/>
                <w:color w:val="auto"/>
                <w:sz w:val="21"/>
                <w:szCs w:val="21"/>
              </w:rPr>
              <w:t>-N 41.46t/a、TN 124.38t/a、TP4.146t/a。</w:t>
            </w:r>
          </w:p>
          <w:p w14:paraId="2D2455EA">
            <w:pPr>
              <w:spacing w:line="240" w:lineRule="auto"/>
              <w:ind w:firstLine="0" w:firstLineChars="0"/>
              <w:rPr>
                <w:color w:val="auto"/>
                <w:sz w:val="21"/>
                <w:szCs w:val="21"/>
              </w:rPr>
            </w:pPr>
            <w:r>
              <w:rPr>
                <w:rFonts w:hint="eastAsia"/>
                <w:color w:val="auto"/>
                <w:sz w:val="21"/>
                <w:szCs w:val="21"/>
              </w:rPr>
              <w:t>远期，水污染物排放量（进入环境量）：废水量829.2万m</w:t>
            </w:r>
            <w:r>
              <w:rPr>
                <w:rFonts w:hint="eastAsia"/>
                <w:color w:val="auto"/>
                <w:sz w:val="21"/>
                <w:szCs w:val="21"/>
                <w:vertAlign w:val="superscript"/>
              </w:rPr>
              <w:t>3</w:t>
            </w:r>
            <w:r>
              <w:rPr>
                <w:rFonts w:hint="eastAsia"/>
                <w:color w:val="auto"/>
                <w:sz w:val="21"/>
                <w:szCs w:val="21"/>
              </w:rPr>
              <w:t>/a，COD 414.6t/a、NH</w:t>
            </w:r>
            <w:r>
              <w:rPr>
                <w:rFonts w:hint="eastAsia"/>
                <w:color w:val="auto"/>
                <w:sz w:val="21"/>
                <w:szCs w:val="21"/>
                <w:vertAlign w:val="subscript"/>
              </w:rPr>
              <w:t>3</w:t>
            </w:r>
            <w:r>
              <w:rPr>
                <w:rFonts w:hint="eastAsia"/>
                <w:color w:val="auto"/>
                <w:sz w:val="21"/>
                <w:szCs w:val="21"/>
              </w:rPr>
              <w:t>-N 40.03t/a、TN 109.79t/a、TP 4.146t/a。</w:t>
            </w:r>
          </w:p>
        </w:tc>
        <w:tc>
          <w:tcPr>
            <w:tcW w:w="1332" w:type="pct"/>
            <w:vAlign w:val="center"/>
          </w:tcPr>
          <w:p w14:paraId="6600BB49">
            <w:pPr>
              <w:spacing w:line="240" w:lineRule="auto"/>
              <w:ind w:firstLine="0" w:firstLineChars="0"/>
              <w:rPr>
                <w:color w:val="auto"/>
                <w:sz w:val="21"/>
                <w:szCs w:val="21"/>
              </w:rPr>
            </w:pPr>
            <w:r>
              <w:rPr>
                <w:rFonts w:hint="eastAsia"/>
                <w:color w:val="auto"/>
                <w:sz w:val="21"/>
                <w:szCs w:val="21"/>
              </w:rPr>
              <w:t>本项目新增废气污染物：颗粒物1.848t/a、SO</w:t>
            </w:r>
            <w:r>
              <w:rPr>
                <w:rFonts w:hint="eastAsia"/>
                <w:color w:val="auto"/>
                <w:sz w:val="21"/>
                <w:szCs w:val="21"/>
                <w:vertAlign w:val="subscript"/>
              </w:rPr>
              <w:t>2</w:t>
            </w:r>
            <w:r>
              <w:rPr>
                <w:rFonts w:hint="eastAsia"/>
                <w:color w:val="auto"/>
                <w:sz w:val="21"/>
                <w:szCs w:val="21"/>
              </w:rPr>
              <w:t xml:space="preserve"> 0.768t/a、NOx 7.183t/a，新增废水污染物：废水量290159.33m</w:t>
            </w:r>
            <w:r>
              <w:rPr>
                <w:rFonts w:hint="eastAsia"/>
                <w:color w:val="auto"/>
                <w:sz w:val="21"/>
                <w:szCs w:val="21"/>
                <w:vertAlign w:val="superscript"/>
              </w:rPr>
              <w:t>3</w:t>
            </w:r>
            <w:r>
              <w:rPr>
                <w:rFonts w:hint="eastAsia"/>
                <w:color w:val="auto"/>
                <w:sz w:val="21"/>
                <w:szCs w:val="21"/>
              </w:rPr>
              <w:t>/a、COD 14.508t/a、NH</w:t>
            </w:r>
            <w:r>
              <w:rPr>
                <w:rFonts w:hint="eastAsia"/>
                <w:color w:val="auto"/>
                <w:sz w:val="21"/>
                <w:szCs w:val="21"/>
                <w:vertAlign w:val="subscript"/>
              </w:rPr>
              <w:t>3</w:t>
            </w:r>
            <w:r>
              <w:rPr>
                <w:rFonts w:hint="eastAsia"/>
                <w:color w:val="auto"/>
                <w:sz w:val="21"/>
                <w:szCs w:val="21"/>
              </w:rPr>
              <w:t>-N 1.451t/a、TN 4.352t/a、TP 0.145t/a。本次项目建成后实施总量控制，废气污染物颗粒物、在厂区及区域内平衡；水污染物总量在区域内平衡，本项目新增污染物排放量较小，不突破生态环境承载力。</w:t>
            </w:r>
          </w:p>
        </w:tc>
        <w:tc>
          <w:tcPr>
            <w:tcW w:w="575" w:type="pct"/>
            <w:vAlign w:val="center"/>
          </w:tcPr>
          <w:p w14:paraId="451DD216">
            <w:pPr>
              <w:spacing w:line="240" w:lineRule="auto"/>
              <w:ind w:firstLine="0" w:firstLineChars="0"/>
              <w:jc w:val="center"/>
              <w:rPr>
                <w:color w:val="auto"/>
                <w:sz w:val="21"/>
                <w:szCs w:val="21"/>
              </w:rPr>
            </w:pPr>
            <w:r>
              <w:rPr>
                <w:rFonts w:hint="eastAsia"/>
                <w:color w:val="auto"/>
                <w:sz w:val="21"/>
                <w:szCs w:val="21"/>
              </w:rPr>
              <w:t>符合</w:t>
            </w:r>
          </w:p>
        </w:tc>
      </w:tr>
      <w:tr w14:paraId="370161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trPr>
        <w:tc>
          <w:tcPr>
            <w:tcW w:w="696" w:type="pct"/>
            <w:gridSpan w:val="2"/>
            <w:shd w:val="clear" w:color="auto" w:fill="auto"/>
            <w:vAlign w:val="center"/>
          </w:tcPr>
          <w:p w14:paraId="4A6C8207">
            <w:pPr>
              <w:spacing w:line="240" w:lineRule="auto"/>
              <w:ind w:firstLine="0" w:firstLineChars="0"/>
              <w:jc w:val="center"/>
              <w:rPr>
                <w:color w:val="auto"/>
                <w:sz w:val="21"/>
                <w:szCs w:val="21"/>
              </w:rPr>
            </w:pPr>
            <w:r>
              <w:rPr>
                <w:rFonts w:hint="eastAsia"/>
                <w:color w:val="auto"/>
                <w:sz w:val="21"/>
                <w:szCs w:val="21"/>
              </w:rPr>
              <w:t>环境风险管控</w:t>
            </w:r>
          </w:p>
        </w:tc>
        <w:tc>
          <w:tcPr>
            <w:tcW w:w="2396" w:type="pct"/>
            <w:shd w:val="clear" w:color="auto" w:fill="auto"/>
            <w:vAlign w:val="center"/>
          </w:tcPr>
          <w:p w14:paraId="3FC51D4F">
            <w:pPr>
              <w:spacing w:line="240" w:lineRule="auto"/>
              <w:ind w:firstLine="0" w:firstLineChars="0"/>
              <w:rPr>
                <w:color w:val="auto"/>
                <w:sz w:val="21"/>
                <w:szCs w:val="21"/>
              </w:rPr>
            </w:pPr>
            <w:r>
              <w:rPr>
                <w:rFonts w:hint="eastAsia"/>
                <w:color w:val="auto"/>
                <w:sz w:val="21"/>
                <w:szCs w:val="21"/>
              </w:rPr>
              <w:t>1、开发区建立突发水污染事件等环境应急防范体系，完善“企业－公共管网－区内水体”水污染三级防控基础设施建设，完善事故应急救援体系，加强应急队伍建设、应急物资装备储备，编制突发环境事件应急预案，定期开展演练。</w:t>
            </w:r>
          </w:p>
          <w:p w14:paraId="08024694">
            <w:pPr>
              <w:spacing w:line="240" w:lineRule="auto"/>
              <w:ind w:firstLine="0" w:firstLineChars="0"/>
              <w:rPr>
                <w:color w:val="auto"/>
                <w:sz w:val="21"/>
                <w:szCs w:val="21"/>
              </w:rPr>
            </w:pPr>
            <w:r>
              <w:rPr>
                <w:rFonts w:hint="eastAsia"/>
                <w:color w:val="auto"/>
                <w:sz w:val="21"/>
                <w:szCs w:val="21"/>
              </w:rPr>
              <w:t>2、对于符合《企业事业单位突发环境事件应急预案备案管理办法（试行）》中要求的企业，要求其编制环境风险应急预案，对重点风险源编制环境风险评估报告。</w:t>
            </w:r>
          </w:p>
          <w:p w14:paraId="5A5A5E4D">
            <w:pPr>
              <w:spacing w:line="240" w:lineRule="auto"/>
              <w:ind w:firstLine="0" w:firstLineChars="0"/>
              <w:rPr>
                <w:color w:val="auto"/>
                <w:sz w:val="21"/>
                <w:szCs w:val="21"/>
              </w:rPr>
            </w:pPr>
            <w:r>
              <w:rPr>
                <w:rFonts w:hint="eastAsia"/>
                <w:color w:val="auto"/>
                <w:sz w:val="21"/>
                <w:szCs w:val="21"/>
              </w:rPr>
              <w:t>3、①存储危险化学品及产生大量废水的企业，应配套有效措施，合理设置应急事故池，根据污水产生、排放、存放特点，划分污染防治区，提出和落实不同区域水平防渗方案，防止因渗漏污染地下水、土壤，以及因事故废水直排污染地表水体。</w:t>
            </w:r>
          </w:p>
          <w:p w14:paraId="57E09533">
            <w:pPr>
              <w:spacing w:line="240" w:lineRule="auto"/>
              <w:ind w:firstLine="0" w:firstLineChars="0"/>
              <w:rPr>
                <w:color w:val="auto"/>
                <w:sz w:val="21"/>
                <w:szCs w:val="21"/>
              </w:rPr>
            </w:pPr>
            <w:r>
              <w:rPr>
                <w:rFonts w:hint="eastAsia"/>
                <w:color w:val="auto"/>
                <w:sz w:val="21"/>
                <w:szCs w:val="21"/>
              </w:rPr>
              <w:t>②产生、利用或处置固体废物（含危险废物）的企业，在贮存、转移、利用、处置固体废物（含危险废物）过程中，应配套防扬散、防流失、防渗漏及其他防止污染环境的措施。</w:t>
            </w:r>
          </w:p>
          <w:p w14:paraId="5DC8AE93">
            <w:pPr>
              <w:spacing w:line="240" w:lineRule="auto"/>
              <w:ind w:firstLine="0" w:firstLineChars="0"/>
              <w:rPr>
                <w:color w:val="auto"/>
                <w:sz w:val="21"/>
                <w:szCs w:val="21"/>
              </w:rPr>
            </w:pPr>
            <w:r>
              <w:rPr>
                <w:rFonts w:hint="eastAsia"/>
                <w:color w:val="auto"/>
                <w:sz w:val="21"/>
                <w:szCs w:val="21"/>
              </w:rPr>
              <w:t>4、加强风险源布局管控，开发区内部的功能布局应充分考虑风险源对区内及周边环境的影响，储存危险化学品多的企业应远离区内人群聚集的办公楼及河流，以减少对其他项目的影响；开发区不同企业风险源之间应尽量远离，防止其中某一风险源发生风险事故引起其他风险源爆发带来的连锁反应，降低风险事故发生的范围。</w:t>
            </w:r>
          </w:p>
          <w:p w14:paraId="76DE3090">
            <w:pPr>
              <w:spacing w:line="240" w:lineRule="auto"/>
              <w:ind w:firstLine="0" w:firstLineChars="0"/>
              <w:rPr>
                <w:color w:val="auto"/>
                <w:sz w:val="21"/>
                <w:szCs w:val="21"/>
              </w:rPr>
            </w:pPr>
            <w:r>
              <w:rPr>
                <w:rFonts w:hint="eastAsia"/>
                <w:color w:val="auto"/>
                <w:sz w:val="21"/>
                <w:szCs w:val="21"/>
              </w:rPr>
              <w:t>5、开发区应构建与连云港市、连云区之间的联动应急响应体系，实行联防联控。</w:t>
            </w:r>
          </w:p>
        </w:tc>
        <w:tc>
          <w:tcPr>
            <w:tcW w:w="1332" w:type="pct"/>
            <w:vAlign w:val="center"/>
          </w:tcPr>
          <w:p w14:paraId="44FA0B7C">
            <w:pPr>
              <w:spacing w:line="240" w:lineRule="auto"/>
              <w:ind w:firstLine="0" w:firstLineChars="0"/>
              <w:rPr>
                <w:color w:val="auto"/>
                <w:sz w:val="21"/>
                <w:szCs w:val="21"/>
              </w:rPr>
            </w:pPr>
            <w:r>
              <w:rPr>
                <w:rFonts w:hint="eastAsia"/>
                <w:color w:val="auto"/>
                <w:sz w:val="21"/>
                <w:szCs w:val="21"/>
              </w:rPr>
              <w:t>1、企业建成后，将按照相关要求完善“企业－公共管网－区内水体”水污染三级防控基础设施建设，完善事故应急救援体系，加强应急队伍建设、应急物资装备储备，编制突发环境事件应急预案，定期开展演练。</w:t>
            </w:r>
          </w:p>
          <w:p w14:paraId="47976199">
            <w:pPr>
              <w:spacing w:line="240" w:lineRule="auto"/>
              <w:ind w:firstLine="0" w:firstLineChars="0"/>
              <w:rPr>
                <w:color w:val="auto"/>
                <w:sz w:val="21"/>
                <w:szCs w:val="21"/>
              </w:rPr>
            </w:pPr>
            <w:r>
              <w:rPr>
                <w:rFonts w:hint="eastAsia"/>
                <w:color w:val="auto"/>
                <w:sz w:val="21"/>
                <w:szCs w:val="21"/>
              </w:rPr>
              <w:t>2、企业拟配套综合废水处理设施，用于厂区生产废水，并在相应区域设置相应防渗措施，防止因渗漏污染地下水、土壤，以及因事故废水直排污染地表水体。</w:t>
            </w:r>
          </w:p>
          <w:p w14:paraId="15880459">
            <w:pPr>
              <w:spacing w:line="240" w:lineRule="auto"/>
              <w:ind w:firstLine="0" w:firstLineChars="0"/>
              <w:rPr>
                <w:color w:val="auto"/>
                <w:sz w:val="21"/>
                <w:szCs w:val="21"/>
              </w:rPr>
            </w:pPr>
            <w:r>
              <w:rPr>
                <w:rFonts w:hint="eastAsia"/>
                <w:color w:val="auto"/>
                <w:sz w:val="21"/>
                <w:szCs w:val="21"/>
              </w:rPr>
              <w:t>3、本项目产生的固废均得到合理处置，不会产生二次污染，并在危废贮存场所配套防扬散、防流失、防渗漏及其他防止污染环境的措施。</w:t>
            </w:r>
          </w:p>
          <w:p w14:paraId="1E1B950A">
            <w:pPr>
              <w:spacing w:line="240" w:lineRule="auto"/>
              <w:ind w:firstLine="0" w:firstLineChars="0"/>
              <w:rPr>
                <w:color w:val="auto"/>
                <w:sz w:val="21"/>
                <w:szCs w:val="21"/>
              </w:rPr>
            </w:pPr>
            <w:r>
              <w:rPr>
                <w:rFonts w:hint="eastAsia"/>
                <w:color w:val="auto"/>
                <w:sz w:val="21"/>
                <w:szCs w:val="21"/>
              </w:rPr>
              <w:t>4、本项目周边500m范围内不涉及环境保护目标，且相应化学品储存位置合理，可有效防止其中某一风险源发生风险事故引起其他风险源爆发带来的连锁反应，降低风险事故发生的范围。</w:t>
            </w:r>
          </w:p>
        </w:tc>
        <w:tc>
          <w:tcPr>
            <w:tcW w:w="575" w:type="pct"/>
            <w:vAlign w:val="center"/>
          </w:tcPr>
          <w:p w14:paraId="233157C8">
            <w:pPr>
              <w:spacing w:line="240" w:lineRule="auto"/>
              <w:ind w:firstLine="0" w:firstLineChars="0"/>
              <w:jc w:val="center"/>
              <w:rPr>
                <w:color w:val="auto"/>
                <w:sz w:val="21"/>
                <w:szCs w:val="21"/>
              </w:rPr>
            </w:pPr>
            <w:r>
              <w:rPr>
                <w:rFonts w:hint="eastAsia"/>
                <w:color w:val="auto"/>
                <w:sz w:val="21"/>
                <w:szCs w:val="21"/>
              </w:rPr>
              <w:t>符合</w:t>
            </w:r>
          </w:p>
        </w:tc>
      </w:tr>
      <w:tr w14:paraId="7A8C46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trPr>
        <w:tc>
          <w:tcPr>
            <w:tcW w:w="696" w:type="pct"/>
            <w:gridSpan w:val="2"/>
            <w:shd w:val="clear" w:color="auto" w:fill="auto"/>
            <w:vAlign w:val="center"/>
          </w:tcPr>
          <w:p w14:paraId="4B068780">
            <w:pPr>
              <w:spacing w:line="240" w:lineRule="auto"/>
              <w:ind w:firstLine="0" w:firstLineChars="0"/>
              <w:jc w:val="center"/>
              <w:rPr>
                <w:color w:val="auto"/>
                <w:sz w:val="21"/>
                <w:szCs w:val="21"/>
              </w:rPr>
            </w:pPr>
            <w:r>
              <w:rPr>
                <w:rFonts w:hint="eastAsia"/>
                <w:color w:val="auto"/>
                <w:sz w:val="21"/>
                <w:szCs w:val="21"/>
              </w:rPr>
              <w:t>资源开发利用要求</w:t>
            </w:r>
          </w:p>
        </w:tc>
        <w:tc>
          <w:tcPr>
            <w:tcW w:w="2396" w:type="pct"/>
            <w:shd w:val="clear" w:color="auto" w:fill="auto"/>
            <w:vAlign w:val="center"/>
          </w:tcPr>
          <w:p w14:paraId="54891A15">
            <w:pPr>
              <w:spacing w:line="240" w:lineRule="auto"/>
              <w:ind w:firstLine="0" w:firstLineChars="0"/>
              <w:rPr>
                <w:color w:val="auto"/>
                <w:sz w:val="21"/>
                <w:szCs w:val="21"/>
              </w:rPr>
            </w:pPr>
            <w:r>
              <w:rPr>
                <w:rFonts w:hint="eastAsia"/>
                <w:color w:val="auto"/>
                <w:sz w:val="21"/>
                <w:szCs w:val="21"/>
              </w:rPr>
              <w:t>1、规划期开发区水资源利用总量：0.5亿立方米/年。单位工业增加值新鲜水耗≤8立方米/万元。</w:t>
            </w:r>
          </w:p>
          <w:p w14:paraId="2ABA76A4">
            <w:pPr>
              <w:spacing w:line="240" w:lineRule="auto"/>
              <w:ind w:firstLine="0" w:firstLineChars="0"/>
              <w:rPr>
                <w:color w:val="auto"/>
                <w:sz w:val="21"/>
                <w:szCs w:val="21"/>
              </w:rPr>
            </w:pPr>
            <w:r>
              <w:rPr>
                <w:rFonts w:hint="eastAsia"/>
                <w:color w:val="auto"/>
                <w:sz w:val="21"/>
                <w:szCs w:val="21"/>
              </w:rPr>
              <w:t>2、规划期开发区规划范围总面积68.35平方公里，其中城市建设用地面积45.7716平方公里，规划期城市建设用地不得突破该规模。</w:t>
            </w:r>
          </w:p>
          <w:p w14:paraId="4E663157">
            <w:pPr>
              <w:spacing w:line="240" w:lineRule="auto"/>
              <w:ind w:firstLine="0" w:firstLineChars="0"/>
              <w:rPr>
                <w:color w:val="auto"/>
                <w:sz w:val="21"/>
                <w:szCs w:val="21"/>
              </w:rPr>
            </w:pPr>
            <w:r>
              <w:rPr>
                <w:rFonts w:hint="eastAsia"/>
                <w:color w:val="auto"/>
                <w:sz w:val="21"/>
                <w:szCs w:val="21"/>
              </w:rPr>
              <w:t>3、开发区企事业单位在集中供热设施覆盖范围内，须优先使用集中供热，区内企事业单位禁止配套新建自备燃煤锅炉，入园企事业单位因工艺需要自建加热设施的，需采用天然气等清洁能源。</w:t>
            </w:r>
          </w:p>
        </w:tc>
        <w:tc>
          <w:tcPr>
            <w:tcW w:w="1332" w:type="pct"/>
            <w:vAlign w:val="center"/>
          </w:tcPr>
          <w:p w14:paraId="417FC68C">
            <w:pPr>
              <w:spacing w:line="240" w:lineRule="auto"/>
              <w:ind w:firstLine="0" w:firstLineChars="0"/>
              <w:rPr>
                <w:color w:val="auto"/>
                <w:sz w:val="21"/>
                <w:szCs w:val="21"/>
              </w:rPr>
            </w:pPr>
            <w:r>
              <w:rPr>
                <w:rFonts w:hint="eastAsia"/>
                <w:color w:val="auto"/>
                <w:sz w:val="21"/>
                <w:szCs w:val="21"/>
              </w:rPr>
              <w:t>本次项目用水量为748138.41t</w:t>
            </w:r>
            <w:r>
              <w:rPr>
                <w:color w:val="auto"/>
                <w:sz w:val="21"/>
                <w:szCs w:val="21"/>
              </w:rPr>
              <w:t>/a</w:t>
            </w:r>
            <w:r>
              <w:rPr>
                <w:rFonts w:hint="eastAsia"/>
                <w:color w:val="auto"/>
                <w:sz w:val="21"/>
                <w:szCs w:val="21"/>
              </w:rPr>
              <w:t>，本项目使用区域集中供热及天然气，不涉及高污染燃料的使用。</w:t>
            </w:r>
          </w:p>
        </w:tc>
        <w:tc>
          <w:tcPr>
            <w:tcW w:w="575" w:type="pct"/>
            <w:vAlign w:val="center"/>
          </w:tcPr>
          <w:p w14:paraId="5DF0D0EF">
            <w:pPr>
              <w:spacing w:line="240" w:lineRule="auto"/>
              <w:ind w:firstLine="0" w:firstLineChars="0"/>
              <w:jc w:val="center"/>
              <w:rPr>
                <w:color w:val="auto"/>
                <w:sz w:val="21"/>
                <w:szCs w:val="21"/>
              </w:rPr>
            </w:pPr>
            <w:r>
              <w:rPr>
                <w:rFonts w:hint="eastAsia"/>
                <w:color w:val="auto"/>
                <w:sz w:val="21"/>
                <w:szCs w:val="21"/>
              </w:rPr>
              <w:t>符合</w:t>
            </w:r>
          </w:p>
        </w:tc>
      </w:tr>
    </w:tbl>
    <w:p w14:paraId="726B29A4">
      <w:pPr>
        <w:ind w:firstLine="480"/>
        <w:rPr>
          <w:rFonts w:cs="宋体"/>
          <w:color w:val="auto"/>
          <w:lang w:bidi="ar"/>
        </w:rPr>
      </w:pPr>
      <w:r>
        <w:rPr>
          <w:rFonts w:hint="eastAsia" w:cs="宋体"/>
          <w:color w:val="auto"/>
          <w:lang w:bidi="ar"/>
        </w:rPr>
        <w:t>综上，本项目符合</w:t>
      </w:r>
      <w:r>
        <w:rPr>
          <w:color w:val="auto"/>
          <w:lang w:bidi="ar"/>
        </w:rPr>
        <w:t>“</w:t>
      </w:r>
      <w:r>
        <w:rPr>
          <w:rFonts w:hint="eastAsia" w:cs="宋体"/>
          <w:color w:val="auto"/>
          <w:lang w:bidi="ar"/>
        </w:rPr>
        <w:t>三线一单</w:t>
      </w:r>
      <w:r>
        <w:rPr>
          <w:color w:val="auto"/>
          <w:lang w:bidi="ar"/>
        </w:rPr>
        <w:t>”</w:t>
      </w:r>
      <w:r>
        <w:rPr>
          <w:rFonts w:hint="eastAsia" w:cs="宋体"/>
          <w:color w:val="auto"/>
          <w:lang w:bidi="ar"/>
        </w:rPr>
        <w:t>相关要求。</w:t>
      </w:r>
    </w:p>
    <w:p w14:paraId="142967B3">
      <w:pPr>
        <w:ind w:firstLine="480"/>
        <w:rPr>
          <w:rFonts w:cs="宋体"/>
          <w:color w:val="auto"/>
          <w:lang w:bidi="ar"/>
        </w:rPr>
      </w:pPr>
    </w:p>
    <w:p w14:paraId="137BFFE4">
      <w:pPr>
        <w:pStyle w:val="4"/>
        <w:spacing w:beforeLines="50" w:after="0"/>
        <w:ind w:firstLine="0" w:firstLineChars="0"/>
        <w:rPr>
          <w:color w:val="auto"/>
          <w:sz w:val="30"/>
          <w:szCs w:val="30"/>
        </w:rPr>
      </w:pPr>
      <w:bookmarkStart w:id="11" w:name="_Toc12753"/>
      <w:r>
        <w:rPr>
          <w:color w:val="auto"/>
          <w:sz w:val="30"/>
          <w:szCs w:val="30"/>
        </w:rPr>
        <w:t>1.5 关注的主要环境问题</w:t>
      </w:r>
      <w:bookmarkEnd w:id="11"/>
    </w:p>
    <w:p w14:paraId="17149AB5">
      <w:pPr>
        <w:ind w:firstLine="480"/>
        <w:rPr>
          <w:color w:val="auto"/>
        </w:rPr>
      </w:pPr>
      <w:r>
        <w:rPr>
          <w:color w:val="auto"/>
        </w:rPr>
        <w:t>本次环境影响评价工作的重点是：工程分析、污染防治措施</w:t>
      </w:r>
      <w:r>
        <w:rPr>
          <w:rFonts w:hint="eastAsia"/>
          <w:color w:val="auto"/>
        </w:rPr>
        <w:t>评述</w:t>
      </w:r>
      <w:r>
        <w:rPr>
          <w:color w:val="auto"/>
        </w:rPr>
        <w:t>、环境影响预测。针对本项目工程特点和项目周围环境特点，本项目关注的主要环境问题及环境影响如下：</w:t>
      </w:r>
    </w:p>
    <w:p w14:paraId="0C7FD32B">
      <w:pPr>
        <w:ind w:firstLine="480"/>
        <w:rPr>
          <w:color w:val="auto"/>
        </w:rPr>
      </w:pPr>
      <w:r>
        <w:rPr>
          <w:color w:val="auto"/>
        </w:rPr>
        <w:t>（1）本项目废水接管排放可行性；</w:t>
      </w:r>
    </w:p>
    <w:p w14:paraId="1ED4E20E">
      <w:pPr>
        <w:ind w:firstLine="480"/>
        <w:rPr>
          <w:color w:val="auto"/>
        </w:rPr>
      </w:pPr>
      <w:r>
        <w:rPr>
          <w:color w:val="auto"/>
        </w:rPr>
        <w:t>（2）本项目废气收集措施和处理措施的可行性；</w:t>
      </w:r>
    </w:p>
    <w:p w14:paraId="67F0E6DC">
      <w:pPr>
        <w:ind w:firstLine="480"/>
        <w:rPr>
          <w:color w:val="auto"/>
        </w:rPr>
      </w:pPr>
      <w:r>
        <w:rPr>
          <w:color w:val="auto"/>
        </w:rPr>
        <w:t>（3）本项目固体废物</w:t>
      </w:r>
      <w:r>
        <w:rPr>
          <w:rFonts w:hint="eastAsia"/>
          <w:color w:val="auto"/>
        </w:rPr>
        <w:t>全过程管理的规范</w:t>
      </w:r>
      <w:r>
        <w:rPr>
          <w:color w:val="auto"/>
        </w:rPr>
        <w:t>性；</w:t>
      </w:r>
    </w:p>
    <w:p w14:paraId="1FD57378">
      <w:pPr>
        <w:ind w:firstLine="480"/>
        <w:rPr>
          <w:color w:val="auto"/>
        </w:rPr>
      </w:pPr>
      <w:r>
        <w:rPr>
          <w:color w:val="auto"/>
        </w:rPr>
        <w:t>（4）项目运营期的环境风险是否</w:t>
      </w:r>
      <w:r>
        <w:rPr>
          <w:rFonts w:hint="eastAsia"/>
          <w:color w:val="auto"/>
        </w:rPr>
        <w:t>可控。</w:t>
      </w:r>
    </w:p>
    <w:p w14:paraId="5ABB8B7F">
      <w:pPr>
        <w:pStyle w:val="4"/>
        <w:spacing w:beforeLines="50" w:after="0"/>
        <w:ind w:firstLine="0" w:firstLineChars="0"/>
        <w:rPr>
          <w:color w:val="auto"/>
          <w:sz w:val="30"/>
          <w:szCs w:val="30"/>
        </w:rPr>
      </w:pPr>
      <w:bookmarkStart w:id="12" w:name="_Toc5632"/>
      <w:r>
        <w:rPr>
          <w:color w:val="auto"/>
          <w:sz w:val="30"/>
          <w:szCs w:val="30"/>
        </w:rPr>
        <w:t xml:space="preserve">1.6 </w:t>
      </w:r>
      <w:r>
        <w:rPr>
          <w:rFonts w:hint="eastAsia"/>
          <w:color w:val="auto"/>
          <w:sz w:val="30"/>
          <w:szCs w:val="30"/>
        </w:rPr>
        <w:t>项目初筛</w:t>
      </w:r>
      <w:r>
        <w:rPr>
          <w:color w:val="auto"/>
          <w:sz w:val="30"/>
          <w:szCs w:val="30"/>
        </w:rPr>
        <w:t>结论</w:t>
      </w:r>
      <w:bookmarkEnd w:id="12"/>
    </w:p>
    <w:p w14:paraId="67E37D39">
      <w:pPr>
        <w:ind w:firstLine="480"/>
        <w:rPr>
          <w:color w:val="auto"/>
          <w:szCs w:val="28"/>
        </w:rPr>
      </w:pPr>
      <w:r>
        <w:rPr>
          <w:color w:val="auto"/>
          <w:szCs w:val="28"/>
        </w:rPr>
        <w:t>一道新材科技（连云港）有限公司光伏新材料研发中心及光伏组件制造项目位于</w:t>
      </w:r>
      <w:r>
        <w:rPr>
          <w:rFonts w:hint="eastAsia"/>
          <w:color w:val="auto"/>
          <w:szCs w:val="28"/>
        </w:rPr>
        <w:t>连云港经济技术开发区临港产业区西北片区内。经初步筛查，</w:t>
      </w:r>
      <w:r>
        <w:rPr>
          <w:color w:val="auto"/>
          <w:szCs w:val="28"/>
        </w:rPr>
        <w:t>本环评</w:t>
      </w:r>
      <w:r>
        <w:rPr>
          <w:rFonts w:hint="eastAsia"/>
          <w:color w:val="auto"/>
          <w:szCs w:val="28"/>
        </w:rPr>
        <w:t>得到初步结论如下：</w:t>
      </w:r>
      <w:r>
        <w:rPr>
          <w:color w:val="auto"/>
          <w:szCs w:val="28"/>
        </w:rPr>
        <w:t>项目符合国家和地方有关环境保护法律法规、标准、政策、规范及相关规划要求；生产过程中遵循清洁生产理念，所采用的各项污染防治措施技术可行、经济合理，能保证各类污染物长期稳定达标排放</w:t>
      </w:r>
      <w:r>
        <w:rPr>
          <w:rFonts w:hint="eastAsia"/>
          <w:color w:val="auto"/>
          <w:szCs w:val="28"/>
        </w:rPr>
        <w:t>，对外环境影响不大，不会降低区域功能类别；公众参与调查结果表明当地公众无人反对该项目建设；社会效益、经济效益较好；通过采取有针对性的风险防范措施并落实应急预案，项目的环境风险可防控。因此，从环保的角度看，本项目的建设是可行的。</w:t>
      </w:r>
      <w:r>
        <w:rPr>
          <w:color w:val="auto"/>
          <w:szCs w:val="28"/>
        </w:rPr>
        <w:br w:type="page"/>
      </w:r>
    </w:p>
    <w:p w14:paraId="1D47D7BD">
      <w:pPr>
        <w:pStyle w:val="3"/>
        <w:spacing w:before="120" w:beforeLines="50"/>
        <w:ind w:firstLine="0" w:firstLineChars="0"/>
        <w:rPr>
          <w:color w:val="auto"/>
          <w:sz w:val="32"/>
          <w:szCs w:val="48"/>
        </w:rPr>
      </w:pPr>
      <w:bookmarkStart w:id="13" w:name="_Toc5440"/>
      <w:r>
        <w:rPr>
          <w:color w:val="auto"/>
          <w:sz w:val="32"/>
          <w:szCs w:val="48"/>
        </w:rPr>
        <w:t>2 总则</w:t>
      </w:r>
      <w:bookmarkEnd w:id="13"/>
    </w:p>
    <w:p w14:paraId="682C33F1">
      <w:pPr>
        <w:pStyle w:val="4"/>
        <w:spacing w:beforeLines="50" w:after="0"/>
        <w:ind w:firstLine="0" w:firstLineChars="0"/>
        <w:rPr>
          <w:color w:val="auto"/>
          <w:sz w:val="30"/>
          <w:szCs w:val="30"/>
        </w:rPr>
      </w:pPr>
      <w:bookmarkStart w:id="14" w:name="_Toc21507"/>
      <w:r>
        <w:rPr>
          <w:color w:val="auto"/>
          <w:sz w:val="30"/>
          <w:szCs w:val="30"/>
        </w:rPr>
        <w:t>2.1 编制依据</w:t>
      </w:r>
      <w:bookmarkEnd w:id="14"/>
    </w:p>
    <w:p w14:paraId="02D18CEE">
      <w:pPr>
        <w:keepNext/>
        <w:keepLines/>
        <w:spacing w:before="120" w:beforeLines="50"/>
        <w:ind w:firstLine="0" w:firstLineChars="0"/>
        <w:outlineLvl w:val="2"/>
        <w:rPr>
          <w:b/>
          <w:bCs/>
          <w:color w:val="auto"/>
          <w:sz w:val="28"/>
          <w:szCs w:val="36"/>
        </w:rPr>
      </w:pPr>
      <w:r>
        <w:rPr>
          <w:b/>
          <w:bCs/>
          <w:color w:val="auto"/>
          <w:sz w:val="28"/>
          <w:szCs w:val="36"/>
        </w:rPr>
        <w:t>2.1.1 国家级</w:t>
      </w:r>
      <w:r>
        <w:rPr>
          <w:rFonts w:hint="eastAsia"/>
          <w:b/>
          <w:bCs/>
          <w:color w:val="auto"/>
          <w:sz w:val="28"/>
          <w:szCs w:val="36"/>
        </w:rPr>
        <w:t>法律法规</w:t>
      </w:r>
      <w:r>
        <w:rPr>
          <w:b/>
          <w:bCs/>
          <w:color w:val="auto"/>
          <w:sz w:val="28"/>
          <w:szCs w:val="36"/>
        </w:rPr>
        <w:t>及政策</w:t>
      </w:r>
    </w:p>
    <w:p w14:paraId="3C183AE9">
      <w:pPr>
        <w:numPr>
          <w:ilvl w:val="0"/>
          <w:numId w:val="17"/>
        </w:numPr>
        <w:ind w:left="0" w:firstLine="480"/>
        <w:rPr>
          <w:color w:val="auto"/>
        </w:rPr>
      </w:pPr>
      <w:bookmarkStart w:id="15" w:name="_Hlk515908752"/>
      <w:bookmarkStart w:id="16" w:name="_Hlk518224262"/>
      <w:r>
        <w:rPr>
          <w:color w:val="auto"/>
        </w:rPr>
        <w:t>《中华人民共和国环境保护法》，2014年4月24日修订；</w:t>
      </w:r>
    </w:p>
    <w:p w14:paraId="0898DC2F">
      <w:pPr>
        <w:numPr>
          <w:ilvl w:val="0"/>
          <w:numId w:val="17"/>
        </w:numPr>
        <w:ind w:left="0" w:firstLine="480"/>
        <w:rPr>
          <w:color w:val="auto"/>
        </w:rPr>
      </w:pPr>
      <w:r>
        <w:rPr>
          <w:color w:val="auto"/>
        </w:rPr>
        <w:t>《中华人民共和国水污染防治法》，2017年6月27日修订；</w:t>
      </w:r>
    </w:p>
    <w:p w14:paraId="6B43B1E4">
      <w:pPr>
        <w:numPr>
          <w:ilvl w:val="0"/>
          <w:numId w:val="17"/>
        </w:numPr>
        <w:ind w:left="0" w:firstLine="480"/>
        <w:rPr>
          <w:color w:val="auto"/>
        </w:rPr>
      </w:pPr>
      <w:r>
        <w:rPr>
          <w:color w:val="auto"/>
        </w:rPr>
        <w:t>《中华人民共和国大气污染防治法》，2018年10月26日修订；</w:t>
      </w:r>
    </w:p>
    <w:p w14:paraId="1F0C6839">
      <w:pPr>
        <w:numPr>
          <w:ilvl w:val="0"/>
          <w:numId w:val="17"/>
        </w:numPr>
        <w:ind w:left="0" w:firstLine="480"/>
        <w:rPr>
          <w:color w:val="auto"/>
        </w:rPr>
      </w:pPr>
      <w:r>
        <w:rPr>
          <w:color w:val="auto"/>
        </w:rPr>
        <w:t>《中华人民共和国噪声污染防治法（2021年修订）》，2022年6月5日起施行；</w:t>
      </w:r>
    </w:p>
    <w:p w14:paraId="3A0717DE">
      <w:pPr>
        <w:numPr>
          <w:ilvl w:val="0"/>
          <w:numId w:val="17"/>
        </w:numPr>
        <w:ind w:left="0" w:firstLine="480"/>
        <w:rPr>
          <w:color w:val="auto"/>
        </w:rPr>
      </w:pPr>
      <w:r>
        <w:rPr>
          <w:color w:val="auto"/>
        </w:rPr>
        <w:t>《中华人民共和国固体废物污染环境防治法》，2020年4月29日修订；</w:t>
      </w:r>
    </w:p>
    <w:p w14:paraId="3D2B6C3A">
      <w:pPr>
        <w:numPr>
          <w:ilvl w:val="0"/>
          <w:numId w:val="17"/>
        </w:numPr>
        <w:ind w:left="0" w:firstLine="480"/>
        <w:rPr>
          <w:color w:val="auto"/>
        </w:rPr>
      </w:pPr>
      <w:r>
        <w:rPr>
          <w:color w:val="auto"/>
        </w:rPr>
        <w:t>《中华人民共和国土壤污染防治法》，2019年1月1日起施行；</w:t>
      </w:r>
    </w:p>
    <w:p w14:paraId="45E3B8F9">
      <w:pPr>
        <w:numPr>
          <w:ilvl w:val="0"/>
          <w:numId w:val="17"/>
        </w:numPr>
        <w:ind w:left="0" w:firstLine="480"/>
        <w:rPr>
          <w:color w:val="auto"/>
        </w:rPr>
      </w:pPr>
      <w:r>
        <w:rPr>
          <w:color w:val="auto"/>
        </w:rPr>
        <w:t>《中华人民共和国环境影响评价法》，2018年12月29日；</w:t>
      </w:r>
    </w:p>
    <w:p w14:paraId="4C3C025F">
      <w:pPr>
        <w:numPr>
          <w:ilvl w:val="0"/>
          <w:numId w:val="17"/>
        </w:numPr>
        <w:ind w:left="0" w:firstLine="480"/>
        <w:rPr>
          <w:color w:val="auto"/>
        </w:rPr>
      </w:pPr>
      <w:r>
        <w:rPr>
          <w:color w:val="auto"/>
        </w:rPr>
        <w:tab/>
      </w:r>
      <w:r>
        <w:rPr>
          <w:color w:val="auto"/>
        </w:rPr>
        <w:t>《中华人民共和国清洁生产促进法》，2012年2月29日颁布；</w:t>
      </w:r>
    </w:p>
    <w:p w14:paraId="3533CF27">
      <w:pPr>
        <w:numPr>
          <w:ilvl w:val="0"/>
          <w:numId w:val="17"/>
        </w:numPr>
        <w:ind w:left="0" w:firstLine="480"/>
        <w:rPr>
          <w:color w:val="auto"/>
        </w:rPr>
      </w:pPr>
      <w:r>
        <w:rPr>
          <w:color w:val="auto"/>
        </w:rPr>
        <w:t>《建设项目环境保护管理条例》（国务院令第682号），2017年10月1日起施行；</w:t>
      </w:r>
    </w:p>
    <w:p w14:paraId="1F9EE070">
      <w:pPr>
        <w:numPr>
          <w:ilvl w:val="0"/>
          <w:numId w:val="17"/>
        </w:numPr>
        <w:ind w:left="0" w:firstLine="480"/>
        <w:rPr>
          <w:color w:val="auto"/>
        </w:rPr>
      </w:pPr>
      <w:r>
        <w:rPr>
          <w:color w:val="auto"/>
        </w:rPr>
        <w:t>《建设项目环境影响评价分类管理名录》（2021年版），2020年11月30日修订；</w:t>
      </w:r>
    </w:p>
    <w:p w14:paraId="2D14F74A">
      <w:pPr>
        <w:numPr>
          <w:ilvl w:val="0"/>
          <w:numId w:val="17"/>
        </w:numPr>
        <w:ind w:left="0" w:firstLine="480"/>
        <w:rPr>
          <w:color w:val="auto"/>
        </w:rPr>
      </w:pPr>
      <w:r>
        <w:rPr>
          <w:color w:val="auto"/>
        </w:rPr>
        <w:t>《危险化学品安全管理条例（2013年修正）》；</w:t>
      </w:r>
    </w:p>
    <w:p w14:paraId="185F9A1E">
      <w:pPr>
        <w:numPr>
          <w:ilvl w:val="0"/>
          <w:numId w:val="17"/>
        </w:numPr>
        <w:ind w:left="0" w:firstLine="480"/>
        <w:rPr>
          <w:color w:val="auto"/>
        </w:rPr>
      </w:pPr>
      <w:r>
        <w:rPr>
          <w:color w:val="auto"/>
        </w:rPr>
        <w:t>《国家危险废物名录（202</w:t>
      </w:r>
      <w:r>
        <w:rPr>
          <w:rFonts w:hint="eastAsia"/>
          <w:color w:val="auto"/>
        </w:rPr>
        <w:t>5</w:t>
      </w:r>
      <w:r>
        <w:rPr>
          <w:color w:val="auto"/>
        </w:rPr>
        <w:t>年版）》（部令第</w:t>
      </w:r>
      <w:r>
        <w:rPr>
          <w:rFonts w:hint="eastAsia"/>
          <w:color w:val="auto"/>
        </w:rPr>
        <w:t>36</w:t>
      </w:r>
      <w:r>
        <w:rPr>
          <w:color w:val="auto"/>
        </w:rPr>
        <w:t>号）；</w:t>
      </w:r>
    </w:p>
    <w:p w14:paraId="26A82846">
      <w:pPr>
        <w:numPr>
          <w:ilvl w:val="0"/>
          <w:numId w:val="17"/>
        </w:numPr>
        <w:ind w:left="0" w:firstLine="480"/>
        <w:rPr>
          <w:color w:val="auto"/>
        </w:rPr>
      </w:pPr>
      <w:bookmarkStart w:id="17" w:name="_Hlk29988733"/>
      <w:r>
        <w:rPr>
          <w:color w:val="auto"/>
        </w:rPr>
        <w:t>《产业结构调整指导目录（2024年本）》</w:t>
      </w:r>
      <w:bookmarkEnd w:id="17"/>
      <w:r>
        <w:rPr>
          <w:color w:val="auto"/>
        </w:rPr>
        <w:t>（</w:t>
      </w:r>
      <w:r>
        <w:rPr>
          <w:color w:val="auto"/>
        </w:rPr>
        <w:fldChar w:fldCharType="begin"/>
      </w:r>
      <w:r>
        <w:rPr>
          <w:color w:val="auto"/>
        </w:rPr>
        <w:instrText xml:space="preserve"> HYPERLINK "http://www.gov.cn/flfg/2011-04/26/content_1852729.htm" \t "_blank" </w:instrText>
      </w:r>
      <w:r>
        <w:rPr>
          <w:color w:val="auto"/>
        </w:rPr>
        <w:fldChar w:fldCharType="separate"/>
      </w:r>
      <w:r>
        <w:rPr>
          <w:color w:val="auto"/>
        </w:rPr>
        <w:t>中华人民共和国国家发展和改革委员会令2023年第7号令</w:t>
      </w:r>
      <w:r>
        <w:rPr>
          <w:color w:val="auto"/>
        </w:rPr>
        <w:fldChar w:fldCharType="end"/>
      </w:r>
      <w:r>
        <w:rPr>
          <w:color w:val="auto"/>
        </w:rPr>
        <w:t>）；</w:t>
      </w:r>
    </w:p>
    <w:p w14:paraId="1C1DC1D3">
      <w:pPr>
        <w:numPr>
          <w:ilvl w:val="0"/>
          <w:numId w:val="17"/>
        </w:numPr>
        <w:ind w:left="0" w:firstLine="480"/>
        <w:rPr>
          <w:color w:val="auto"/>
        </w:rPr>
      </w:pPr>
      <w:r>
        <w:rPr>
          <w:color w:val="auto"/>
        </w:rPr>
        <w:t>《关于印发</w:t>
      </w:r>
      <w:r>
        <w:rPr>
          <w:rFonts w:hint="eastAsia"/>
          <w:color w:val="auto"/>
        </w:rPr>
        <w:t>〈</w:t>
      </w:r>
      <w:r>
        <w:rPr>
          <w:color w:val="auto"/>
        </w:rPr>
        <w:t>“十四五”环境影响评价与排污许可工作实施方案</w:t>
      </w:r>
      <w:r>
        <w:rPr>
          <w:rFonts w:hint="eastAsia"/>
          <w:color w:val="auto"/>
        </w:rPr>
        <w:t>〉</w:t>
      </w:r>
      <w:r>
        <w:rPr>
          <w:color w:val="auto"/>
        </w:rPr>
        <w:t>的通知》（环环评</w:t>
      </w:r>
      <w:r>
        <w:rPr>
          <w:rFonts w:hint="eastAsia"/>
          <w:color w:val="auto"/>
        </w:rPr>
        <w:t>〔</w:t>
      </w:r>
      <w:r>
        <w:rPr>
          <w:color w:val="auto"/>
        </w:rPr>
        <w:t>2022</w:t>
      </w:r>
      <w:r>
        <w:rPr>
          <w:rFonts w:hint="eastAsia"/>
          <w:color w:val="auto"/>
        </w:rPr>
        <w:t>〕</w:t>
      </w:r>
      <w:r>
        <w:rPr>
          <w:color w:val="auto"/>
        </w:rPr>
        <w:t>26号）；</w:t>
      </w:r>
    </w:p>
    <w:p w14:paraId="3CA17E90">
      <w:pPr>
        <w:numPr>
          <w:ilvl w:val="0"/>
          <w:numId w:val="17"/>
        </w:numPr>
        <w:ind w:left="0" w:firstLine="480"/>
        <w:rPr>
          <w:color w:val="auto"/>
        </w:rPr>
      </w:pPr>
      <w:r>
        <w:rPr>
          <w:color w:val="auto"/>
        </w:rPr>
        <w:t>《国务院关于印发</w:t>
      </w:r>
      <w:r>
        <w:rPr>
          <w:rFonts w:hint="eastAsia"/>
          <w:color w:val="auto"/>
        </w:rPr>
        <w:t>〈</w:t>
      </w:r>
      <w:r>
        <w:rPr>
          <w:color w:val="auto"/>
        </w:rPr>
        <w:t>空气质量持续改善行动计划</w:t>
      </w:r>
      <w:r>
        <w:rPr>
          <w:rFonts w:hint="eastAsia"/>
          <w:color w:val="auto"/>
        </w:rPr>
        <w:t>〉</w:t>
      </w:r>
      <w:r>
        <w:rPr>
          <w:color w:val="auto"/>
        </w:rPr>
        <w:t>的通知》（国发</w:t>
      </w:r>
      <w:r>
        <w:rPr>
          <w:rFonts w:hint="eastAsia"/>
          <w:color w:val="auto"/>
        </w:rPr>
        <w:t>〔</w:t>
      </w:r>
      <w:r>
        <w:rPr>
          <w:color w:val="auto"/>
        </w:rPr>
        <w:t>2023</w:t>
      </w:r>
      <w:r>
        <w:rPr>
          <w:rFonts w:hint="eastAsia"/>
          <w:color w:val="auto"/>
        </w:rPr>
        <w:t>〕</w:t>
      </w:r>
      <w:r>
        <w:rPr>
          <w:color w:val="auto"/>
        </w:rPr>
        <w:t>24号），2023年12月07日；</w:t>
      </w:r>
    </w:p>
    <w:p w14:paraId="1A813C06">
      <w:pPr>
        <w:numPr>
          <w:ilvl w:val="0"/>
          <w:numId w:val="17"/>
        </w:numPr>
        <w:ind w:left="0" w:firstLine="480"/>
        <w:rPr>
          <w:color w:val="auto"/>
        </w:rPr>
      </w:pPr>
      <w:r>
        <w:rPr>
          <w:color w:val="auto"/>
        </w:rPr>
        <w:t>《“十四五”土壤、地下水和农村生态环境保护规划》（环土壤</w:t>
      </w:r>
      <w:r>
        <w:rPr>
          <w:rFonts w:hint="eastAsia"/>
          <w:color w:val="auto"/>
        </w:rPr>
        <w:t>〔</w:t>
      </w:r>
      <w:r>
        <w:rPr>
          <w:color w:val="auto"/>
        </w:rPr>
        <w:t>2021</w:t>
      </w:r>
      <w:r>
        <w:rPr>
          <w:rFonts w:hint="eastAsia"/>
          <w:color w:val="auto"/>
        </w:rPr>
        <w:t>〕</w:t>
      </w:r>
      <w:r>
        <w:rPr>
          <w:color w:val="auto"/>
        </w:rPr>
        <w:t>120号）；</w:t>
      </w:r>
    </w:p>
    <w:p w14:paraId="6AE86042">
      <w:pPr>
        <w:numPr>
          <w:ilvl w:val="0"/>
          <w:numId w:val="17"/>
        </w:numPr>
        <w:ind w:left="0" w:firstLine="480"/>
        <w:rPr>
          <w:color w:val="auto"/>
        </w:rPr>
      </w:pPr>
      <w:r>
        <w:rPr>
          <w:color w:val="auto"/>
        </w:rPr>
        <w:t>《关于以改善环境质量为核心加强环境影响评价管理的通知》（环环评</w:t>
      </w:r>
      <w:r>
        <w:rPr>
          <w:rFonts w:hint="eastAsia"/>
          <w:color w:val="auto"/>
        </w:rPr>
        <w:t>〔</w:t>
      </w:r>
      <w:r>
        <w:rPr>
          <w:color w:val="auto"/>
        </w:rPr>
        <w:t>2016</w:t>
      </w:r>
      <w:r>
        <w:rPr>
          <w:rFonts w:hint="eastAsia"/>
          <w:color w:val="auto"/>
        </w:rPr>
        <w:t>〕</w:t>
      </w:r>
      <w:r>
        <w:rPr>
          <w:color w:val="auto"/>
        </w:rPr>
        <w:t>150号），2016年10月27日；</w:t>
      </w:r>
    </w:p>
    <w:p w14:paraId="6FC1B903">
      <w:pPr>
        <w:numPr>
          <w:ilvl w:val="0"/>
          <w:numId w:val="17"/>
        </w:numPr>
        <w:ind w:left="0" w:firstLine="480"/>
        <w:rPr>
          <w:color w:val="auto"/>
        </w:rPr>
      </w:pPr>
      <w:r>
        <w:rPr>
          <w:color w:val="auto"/>
        </w:rPr>
        <w:t>《国务院办公厅关于印发控制污染物排放许可制实施方案的通知》（国办发</w:t>
      </w:r>
      <w:r>
        <w:rPr>
          <w:rFonts w:hint="eastAsia"/>
          <w:color w:val="auto"/>
        </w:rPr>
        <w:t>〔</w:t>
      </w:r>
      <w:r>
        <w:rPr>
          <w:color w:val="auto"/>
        </w:rPr>
        <w:t>2016</w:t>
      </w:r>
      <w:r>
        <w:rPr>
          <w:rFonts w:hint="eastAsia"/>
          <w:color w:val="auto"/>
        </w:rPr>
        <w:t>〕</w:t>
      </w:r>
      <w:r>
        <w:rPr>
          <w:color w:val="auto"/>
        </w:rPr>
        <w:t>81号），2016年11月10日；</w:t>
      </w:r>
    </w:p>
    <w:p w14:paraId="75E39DCD">
      <w:pPr>
        <w:numPr>
          <w:ilvl w:val="0"/>
          <w:numId w:val="17"/>
        </w:numPr>
        <w:ind w:left="0" w:firstLine="480"/>
        <w:rPr>
          <w:color w:val="auto"/>
        </w:rPr>
      </w:pPr>
      <w:r>
        <w:rPr>
          <w:color w:val="auto"/>
        </w:rPr>
        <w:tab/>
      </w:r>
      <w:r>
        <w:rPr>
          <w:color w:val="auto"/>
        </w:rPr>
        <w:t>《排污许可管理条例》（国务院令第736号），2021年3月1日起施行；</w:t>
      </w:r>
    </w:p>
    <w:p w14:paraId="3829A919">
      <w:pPr>
        <w:numPr>
          <w:ilvl w:val="0"/>
          <w:numId w:val="17"/>
        </w:numPr>
        <w:ind w:left="0" w:firstLine="480"/>
        <w:rPr>
          <w:color w:val="auto"/>
        </w:rPr>
      </w:pPr>
      <w:r>
        <w:rPr>
          <w:color w:val="auto"/>
        </w:rPr>
        <w:t>《关于启用</w:t>
      </w:r>
      <w:r>
        <w:rPr>
          <w:rFonts w:hint="eastAsia"/>
          <w:color w:val="auto"/>
        </w:rPr>
        <w:t>〈</w:t>
      </w:r>
      <w:r>
        <w:rPr>
          <w:color w:val="auto"/>
        </w:rPr>
        <w:t>建设项目环境影响报告书审批基础信息表</w:t>
      </w:r>
      <w:r>
        <w:rPr>
          <w:rFonts w:hint="eastAsia"/>
          <w:color w:val="auto"/>
        </w:rPr>
        <w:t>〉</w:t>
      </w:r>
      <w:r>
        <w:rPr>
          <w:color w:val="auto"/>
        </w:rPr>
        <w:t>的通知》（环办环评函〔2020〕711号），2021年4月1日；</w:t>
      </w:r>
    </w:p>
    <w:p w14:paraId="31490604">
      <w:pPr>
        <w:numPr>
          <w:ilvl w:val="0"/>
          <w:numId w:val="17"/>
        </w:numPr>
        <w:ind w:left="0" w:firstLine="480"/>
        <w:rPr>
          <w:color w:val="auto"/>
        </w:rPr>
      </w:pPr>
      <w:r>
        <w:rPr>
          <w:color w:val="auto"/>
        </w:rPr>
        <w:t>《国务院关于印发</w:t>
      </w:r>
      <w:r>
        <w:rPr>
          <w:rFonts w:hint="eastAsia"/>
          <w:color w:val="auto"/>
        </w:rPr>
        <w:t>〈</w:t>
      </w:r>
      <w:r>
        <w:rPr>
          <w:color w:val="auto"/>
        </w:rPr>
        <w:t>“十四五”节能减排综合工作方案</w:t>
      </w:r>
      <w:r>
        <w:rPr>
          <w:rFonts w:hint="eastAsia"/>
          <w:color w:val="auto"/>
        </w:rPr>
        <w:t>〉</w:t>
      </w:r>
      <w:r>
        <w:rPr>
          <w:color w:val="auto"/>
        </w:rPr>
        <w:t>的通知》（国发</w:t>
      </w:r>
      <w:r>
        <w:rPr>
          <w:rFonts w:hint="eastAsia"/>
          <w:color w:val="auto"/>
        </w:rPr>
        <w:t>〔</w:t>
      </w:r>
      <w:r>
        <w:rPr>
          <w:color w:val="auto"/>
        </w:rPr>
        <w:t>2021</w:t>
      </w:r>
      <w:r>
        <w:rPr>
          <w:rFonts w:hint="eastAsia"/>
          <w:color w:val="auto"/>
        </w:rPr>
        <w:t>〕</w:t>
      </w:r>
      <w:r>
        <w:rPr>
          <w:color w:val="auto"/>
        </w:rPr>
        <w:t>33号）；</w:t>
      </w:r>
    </w:p>
    <w:p w14:paraId="59788A70">
      <w:pPr>
        <w:numPr>
          <w:ilvl w:val="0"/>
          <w:numId w:val="17"/>
        </w:numPr>
        <w:ind w:left="0" w:firstLine="480"/>
        <w:rPr>
          <w:color w:val="auto"/>
        </w:rPr>
      </w:pPr>
      <w:bookmarkStart w:id="18" w:name="_Hlk29988716"/>
      <w:r>
        <w:rPr>
          <w:color w:val="auto"/>
        </w:rPr>
        <w:t>《固定污染源排污许可分类管理名录</w:t>
      </w:r>
      <w:r>
        <w:rPr>
          <w:rFonts w:hint="eastAsia"/>
          <w:color w:val="auto"/>
        </w:rPr>
        <w:t>（</w:t>
      </w:r>
      <w:r>
        <w:rPr>
          <w:color w:val="auto"/>
        </w:rPr>
        <w:t>2019年版</w:t>
      </w:r>
      <w:r>
        <w:rPr>
          <w:rFonts w:hint="eastAsia"/>
          <w:color w:val="auto"/>
        </w:rPr>
        <w:t>）</w:t>
      </w:r>
      <w:r>
        <w:rPr>
          <w:color w:val="auto"/>
        </w:rPr>
        <w:t>》</w:t>
      </w:r>
      <w:bookmarkEnd w:id="18"/>
      <w:r>
        <w:rPr>
          <w:color w:val="auto"/>
        </w:rPr>
        <w:t>，中华人民共和国生态环境部令第11号，2019年12月20日；</w:t>
      </w:r>
    </w:p>
    <w:p w14:paraId="0063D35E">
      <w:pPr>
        <w:numPr>
          <w:ilvl w:val="0"/>
          <w:numId w:val="17"/>
        </w:numPr>
        <w:ind w:left="0" w:firstLine="480"/>
        <w:rPr>
          <w:color w:val="auto"/>
        </w:rPr>
      </w:pPr>
      <w:r>
        <w:rPr>
          <w:color w:val="auto"/>
        </w:rPr>
        <w:t>《关于强化建设项目环境影响评价事中事后监管的实施意见》（环环评</w:t>
      </w:r>
      <w:r>
        <w:rPr>
          <w:rFonts w:hint="eastAsia"/>
          <w:color w:val="auto"/>
        </w:rPr>
        <w:t>〔</w:t>
      </w:r>
      <w:r>
        <w:rPr>
          <w:color w:val="auto"/>
        </w:rPr>
        <w:t>2018</w:t>
      </w:r>
      <w:r>
        <w:rPr>
          <w:rFonts w:hint="eastAsia"/>
          <w:color w:val="auto"/>
        </w:rPr>
        <w:t>〕</w:t>
      </w:r>
      <w:r>
        <w:rPr>
          <w:color w:val="auto"/>
        </w:rPr>
        <w:t>11号）；</w:t>
      </w:r>
    </w:p>
    <w:p w14:paraId="10B0671D">
      <w:pPr>
        <w:numPr>
          <w:ilvl w:val="0"/>
          <w:numId w:val="17"/>
        </w:numPr>
        <w:ind w:left="0" w:firstLine="480"/>
        <w:rPr>
          <w:color w:val="auto"/>
        </w:rPr>
      </w:pPr>
      <w:r>
        <w:rPr>
          <w:color w:val="auto"/>
        </w:rPr>
        <w:t>《工矿用地土壤环境管理办法（试行）》（生态环境部</w:t>
      </w:r>
      <w:r>
        <w:rPr>
          <w:rFonts w:hint="eastAsia"/>
          <w:color w:val="auto"/>
        </w:rPr>
        <w:t xml:space="preserve"> </w:t>
      </w:r>
      <w:r>
        <w:rPr>
          <w:color w:val="auto"/>
        </w:rPr>
        <w:t>部令第3号）；</w:t>
      </w:r>
    </w:p>
    <w:p w14:paraId="5A706C39">
      <w:pPr>
        <w:numPr>
          <w:ilvl w:val="0"/>
          <w:numId w:val="17"/>
        </w:numPr>
        <w:ind w:left="0" w:firstLine="480"/>
        <w:rPr>
          <w:color w:val="auto"/>
        </w:rPr>
      </w:pPr>
      <w:r>
        <w:rPr>
          <w:color w:val="auto"/>
        </w:rPr>
        <w:t>《长江保护修复攻坚战行动计划》（环水体</w:t>
      </w:r>
      <w:r>
        <w:rPr>
          <w:rFonts w:hint="eastAsia"/>
          <w:color w:val="auto"/>
        </w:rPr>
        <w:t>〔</w:t>
      </w:r>
      <w:r>
        <w:rPr>
          <w:color w:val="auto"/>
        </w:rPr>
        <w:t>2018</w:t>
      </w:r>
      <w:r>
        <w:rPr>
          <w:rFonts w:hint="eastAsia"/>
          <w:color w:val="auto"/>
        </w:rPr>
        <w:t>〕</w:t>
      </w:r>
      <w:r>
        <w:rPr>
          <w:color w:val="auto"/>
        </w:rPr>
        <w:t>181号）；</w:t>
      </w:r>
    </w:p>
    <w:p w14:paraId="25F4A0C1">
      <w:pPr>
        <w:numPr>
          <w:ilvl w:val="0"/>
          <w:numId w:val="17"/>
        </w:numPr>
        <w:ind w:left="0" w:firstLine="480"/>
        <w:rPr>
          <w:color w:val="auto"/>
        </w:rPr>
      </w:pPr>
      <w:r>
        <w:rPr>
          <w:color w:val="auto"/>
        </w:rPr>
        <w:t>《市场准入负面清单（2022年版）》（发改体改规</w:t>
      </w:r>
      <w:r>
        <w:rPr>
          <w:rFonts w:hint="eastAsia"/>
          <w:color w:val="auto"/>
        </w:rPr>
        <w:t>〔</w:t>
      </w:r>
      <w:r>
        <w:rPr>
          <w:color w:val="auto"/>
        </w:rPr>
        <w:t>2022</w:t>
      </w:r>
      <w:r>
        <w:rPr>
          <w:rFonts w:hint="eastAsia"/>
          <w:color w:val="auto"/>
        </w:rPr>
        <w:t>〕</w:t>
      </w:r>
      <w:r>
        <w:rPr>
          <w:color w:val="auto"/>
        </w:rPr>
        <w:t>397号），2022年3月12日起施行；</w:t>
      </w:r>
    </w:p>
    <w:p w14:paraId="34C7D432">
      <w:pPr>
        <w:numPr>
          <w:ilvl w:val="0"/>
          <w:numId w:val="17"/>
        </w:numPr>
        <w:ind w:left="0" w:firstLine="480"/>
        <w:rPr>
          <w:color w:val="auto"/>
        </w:rPr>
      </w:pPr>
      <w:r>
        <w:rPr>
          <w:color w:val="auto"/>
        </w:rPr>
        <w:t>《淮河流域水污染防治暂行条例》（国务院令第183号），2011年1月10日起施行；</w:t>
      </w:r>
    </w:p>
    <w:p w14:paraId="712451F6">
      <w:pPr>
        <w:numPr>
          <w:ilvl w:val="0"/>
          <w:numId w:val="17"/>
        </w:numPr>
        <w:ind w:left="0" w:firstLine="480"/>
        <w:rPr>
          <w:color w:val="auto"/>
        </w:rPr>
      </w:pPr>
      <w:r>
        <w:rPr>
          <w:color w:val="auto"/>
        </w:rPr>
        <w:t>《关于印发</w:t>
      </w:r>
      <w:r>
        <w:rPr>
          <w:rFonts w:hint="eastAsia"/>
          <w:color w:val="auto"/>
        </w:rPr>
        <w:t>〈</w:t>
      </w:r>
      <w:r>
        <w:rPr>
          <w:color w:val="auto"/>
        </w:rPr>
        <w:t>长江经济带发展负面清单指南</w:t>
      </w:r>
      <w:r>
        <w:rPr>
          <w:rFonts w:hint="eastAsia"/>
          <w:color w:val="auto"/>
        </w:rPr>
        <w:t>〉</w:t>
      </w:r>
      <w:r>
        <w:rPr>
          <w:color w:val="auto"/>
        </w:rPr>
        <w:t>（试行，2022年版）的通知》（长江办</w:t>
      </w:r>
      <w:r>
        <w:rPr>
          <w:rFonts w:hint="eastAsia"/>
          <w:color w:val="auto"/>
        </w:rPr>
        <w:t>〔</w:t>
      </w:r>
      <w:r>
        <w:rPr>
          <w:color w:val="auto"/>
        </w:rPr>
        <w:t>2022</w:t>
      </w:r>
      <w:r>
        <w:rPr>
          <w:rFonts w:hint="eastAsia"/>
          <w:color w:val="auto"/>
        </w:rPr>
        <w:t>〕</w:t>
      </w:r>
      <w:r>
        <w:rPr>
          <w:color w:val="auto"/>
        </w:rPr>
        <w:t>7号）；</w:t>
      </w:r>
    </w:p>
    <w:p w14:paraId="1969355E">
      <w:pPr>
        <w:numPr>
          <w:ilvl w:val="0"/>
          <w:numId w:val="17"/>
        </w:numPr>
        <w:ind w:left="0" w:firstLine="480"/>
        <w:rPr>
          <w:color w:val="auto"/>
        </w:rPr>
      </w:pPr>
      <w:r>
        <w:rPr>
          <w:color w:val="auto"/>
        </w:rPr>
        <w:t>《关于印发〈长江经济带发展负面清单指南（试行，2022年版）〉江苏省实施细则的通知》（苏长江办〔2022〕55号）；</w:t>
      </w:r>
    </w:p>
    <w:p w14:paraId="7431194F">
      <w:pPr>
        <w:numPr>
          <w:ilvl w:val="0"/>
          <w:numId w:val="17"/>
        </w:numPr>
        <w:ind w:left="0" w:firstLine="480"/>
        <w:rPr>
          <w:color w:val="auto"/>
        </w:rPr>
      </w:pPr>
      <w:r>
        <w:rPr>
          <w:color w:val="auto"/>
        </w:rPr>
        <w:t>《国家发展改革委商务部关于印发〈市场准入负面清单（2022年版）〉的通知》（发改体改规</w:t>
      </w:r>
      <w:r>
        <w:rPr>
          <w:rFonts w:hint="eastAsia"/>
          <w:color w:val="auto"/>
        </w:rPr>
        <w:t>〔</w:t>
      </w:r>
      <w:r>
        <w:rPr>
          <w:color w:val="auto"/>
        </w:rPr>
        <w:t>2022</w:t>
      </w:r>
      <w:r>
        <w:rPr>
          <w:rFonts w:hint="eastAsia"/>
          <w:color w:val="auto"/>
        </w:rPr>
        <w:t>〕</w:t>
      </w:r>
      <w:r>
        <w:rPr>
          <w:color w:val="auto"/>
        </w:rPr>
        <w:t>397号）；</w:t>
      </w:r>
    </w:p>
    <w:p w14:paraId="1AA4D474">
      <w:pPr>
        <w:numPr>
          <w:ilvl w:val="0"/>
          <w:numId w:val="17"/>
        </w:numPr>
        <w:ind w:left="0" w:firstLine="480"/>
        <w:rPr>
          <w:color w:val="auto"/>
        </w:rPr>
      </w:pPr>
      <w:r>
        <w:rPr>
          <w:color w:val="auto"/>
        </w:rPr>
        <w:t>《关于印发〈“十四五”环境影响评价与排污许可工作实施方案〉的通知》（环环评〔2022〕26号）；</w:t>
      </w:r>
    </w:p>
    <w:p w14:paraId="40771738">
      <w:pPr>
        <w:numPr>
          <w:ilvl w:val="0"/>
          <w:numId w:val="17"/>
        </w:numPr>
        <w:ind w:left="0" w:firstLine="480"/>
        <w:rPr>
          <w:color w:val="auto"/>
        </w:rPr>
      </w:pPr>
      <w:r>
        <w:rPr>
          <w:color w:val="auto"/>
        </w:rPr>
        <w:t>《关于印发〈“十四五”噪声污染防治行动计划〉的通知》（环大气〔2023〕1号）。</w:t>
      </w:r>
    </w:p>
    <w:bookmarkEnd w:id="15"/>
    <w:bookmarkEnd w:id="16"/>
    <w:p w14:paraId="33C29836">
      <w:pPr>
        <w:keepNext/>
        <w:keepLines/>
        <w:spacing w:before="120" w:beforeLines="50"/>
        <w:ind w:firstLine="0" w:firstLineChars="0"/>
        <w:outlineLvl w:val="2"/>
        <w:rPr>
          <w:b/>
          <w:bCs/>
          <w:color w:val="auto"/>
          <w:sz w:val="28"/>
          <w:szCs w:val="36"/>
        </w:rPr>
      </w:pPr>
      <w:r>
        <w:rPr>
          <w:b/>
          <w:bCs/>
          <w:color w:val="auto"/>
          <w:sz w:val="28"/>
          <w:szCs w:val="36"/>
        </w:rPr>
        <w:t>2.1.2 地</w:t>
      </w:r>
      <w:r>
        <w:rPr>
          <w:rFonts w:hint="eastAsia"/>
          <w:b/>
          <w:bCs/>
          <w:color w:val="auto"/>
          <w:sz w:val="28"/>
          <w:szCs w:val="36"/>
        </w:rPr>
        <w:t>方性</w:t>
      </w:r>
      <w:r>
        <w:rPr>
          <w:b/>
          <w:bCs/>
          <w:color w:val="auto"/>
          <w:sz w:val="28"/>
          <w:szCs w:val="36"/>
        </w:rPr>
        <w:t>法规及政策</w:t>
      </w:r>
    </w:p>
    <w:p w14:paraId="4B56136D">
      <w:pPr>
        <w:numPr>
          <w:ilvl w:val="0"/>
          <w:numId w:val="18"/>
        </w:numPr>
        <w:ind w:left="0" w:firstLine="480"/>
        <w:rPr>
          <w:color w:val="auto"/>
        </w:rPr>
      </w:pPr>
      <w:bookmarkStart w:id="19" w:name="_Hlk518224365"/>
      <w:bookmarkStart w:id="20" w:name="_Hlk60327397"/>
      <w:r>
        <w:rPr>
          <w:color w:val="auto"/>
        </w:rPr>
        <w:tab/>
      </w:r>
      <w:bookmarkStart w:id="21" w:name="_Hlk515908783"/>
      <w:r>
        <w:rPr>
          <w:color w:val="auto"/>
        </w:rPr>
        <w:t>《江苏省大气污染防治条例》，2018年11月23日修订；</w:t>
      </w:r>
      <w:bookmarkEnd w:id="21"/>
    </w:p>
    <w:p w14:paraId="40342533">
      <w:pPr>
        <w:numPr>
          <w:ilvl w:val="0"/>
          <w:numId w:val="18"/>
        </w:numPr>
        <w:ind w:left="0" w:firstLine="480"/>
        <w:rPr>
          <w:color w:val="auto"/>
        </w:rPr>
      </w:pPr>
      <w:r>
        <w:rPr>
          <w:color w:val="auto"/>
        </w:rPr>
        <w:tab/>
      </w:r>
      <w:r>
        <w:rPr>
          <w:color w:val="auto"/>
        </w:rPr>
        <w:t>《江苏省环境噪声污染防治条例》，2018年3月28日修订；</w:t>
      </w:r>
    </w:p>
    <w:p w14:paraId="2B83DEE2">
      <w:pPr>
        <w:numPr>
          <w:ilvl w:val="0"/>
          <w:numId w:val="18"/>
        </w:numPr>
        <w:ind w:left="0" w:firstLine="480"/>
        <w:rPr>
          <w:color w:val="auto"/>
        </w:rPr>
      </w:pPr>
      <w:r>
        <w:rPr>
          <w:color w:val="auto"/>
        </w:rPr>
        <w:tab/>
      </w:r>
      <w:r>
        <w:rPr>
          <w:color w:val="auto"/>
        </w:rPr>
        <w:t>《江苏省固体废物污染环境防治条例》，2018年3月28日修订；</w:t>
      </w:r>
    </w:p>
    <w:p w14:paraId="7D0A5745">
      <w:pPr>
        <w:numPr>
          <w:ilvl w:val="0"/>
          <w:numId w:val="18"/>
        </w:numPr>
        <w:ind w:left="0" w:firstLine="480"/>
        <w:rPr>
          <w:color w:val="auto"/>
        </w:rPr>
      </w:pPr>
      <w:r>
        <w:rPr>
          <w:color w:val="auto"/>
        </w:rPr>
        <w:t>《江苏省水污染防治条例（2021年修正版）》，2019年9月29日起施行；</w:t>
      </w:r>
    </w:p>
    <w:p w14:paraId="10C2E3BC">
      <w:pPr>
        <w:numPr>
          <w:ilvl w:val="0"/>
          <w:numId w:val="18"/>
        </w:numPr>
        <w:ind w:left="0" w:firstLine="480"/>
        <w:rPr>
          <w:color w:val="auto"/>
        </w:rPr>
      </w:pPr>
      <w:r>
        <w:rPr>
          <w:color w:val="auto"/>
        </w:rPr>
        <w:t>《关于印发</w:t>
      </w:r>
      <w:r>
        <w:rPr>
          <w:rFonts w:hint="eastAsia"/>
          <w:color w:val="auto"/>
        </w:rPr>
        <w:t>〈</w:t>
      </w:r>
      <w:r>
        <w:rPr>
          <w:color w:val="auto"/>
        </w:rPr>
        <w:t>江苏省地表水（环境）功能区划（2021</w:t>
      </w:r>
      <w:r>
        <w:rPr>
          <w:rFonts w:hint="eastAsia"/>
          <w:color w:val="auto"/>
        </w:rPr>
        <w:t>—</w:t>
      </w:r>
      <w:r>
        <w:rPr>
          <w:color w:val="auto"/>
        </w:rPr>
        <w:t>2030年）</w:t>
      </w:r>
      <w:r>
        <w:rPr>
          <w:rFonts w:hint="eastAsia"/>
          <w:color w:val="auto"/>
        </w:rPr>
        <w:t>〉</w:t>
      </w:r>
      <w:r>
        <w:rPr>
          <w:color w:val="auto"/>
        </w:rPr>
        <w:t>的通知》（苏政复</w:t>
      </w:r>
      <w:r>
        <w:rPr>
          <w:rFonts w:hint="eastAsia"/>
          <w:color w:val="auto"/>
        </w:rPr>
        <w:t>〔</w:t>
      </w:r>
      <w:r>
        <w:rPr>
          <w:color w:val="auto"/>
        </w:rPr>
        <w:t>2022</w:t>
      </w:r>
      <w:r>
        <w:rPr>
          <w:rFonts w:hint="eastAsia"/>
          <w:color w:val="auto"/>
        </w:rPr>
        <w:t>〕</w:t>
      </w:r>
      <w:r>
        <w:rPr>
          <w:color w:val="auto"/>
        </w:rPr>
        <w:t>82号），2022年3月16日起施行；</w:t>
      </w:r>
    </w:p>
    <w:p w14:paraId="1FA76BE8">
      <w:pPr>
        <w:numPr>
          <w:ilvl w:val="0"/>
          <w:numId w:val="18"/>
        </w:numPr>
        <w:ind w:left="0" w:firstLine="480"/>
        <w:rPr>
          <w:color w:val="auto"/>
        </w:rPr>
      </w:pPr>
      <w:r>
        <w:rPr>
          <w:color w:val="auto"/>
        </w:rPr>
        <w:t>《江苏省排污口设置及规范化整治管理办法》（苏环控</w:t>
      </w:r>
      <w:r>
        <w:rPr>
          <w:rFonts w:hint="eastAsia"/>
          <w:color w:val="auto"/>
        </w:rPr>
        <w:t>〔</w:t>
      </w:r>
      <w:r>
        <w:rPr>
          <w:color w:val="auto"/>
        </w:rPr>
        <w:t>1997</w:t>
      </w:r>
      <w:r>
        <w:rPr>
          <w:rFonts w:hint="eastAsia"/>
          <w:color w:val="auto"/>
        </w:rPr>
        <w:t>〕</w:t>
      </w:r>
      <w:r>
        <w:rPr>
          <w:color w:val="auto"/>
        </w:rPr>
        <w:t>122号）；</w:t>
      </w:r>
    </w:p>
    <w:p w14:paraId="74E35721">
      <w:pPr>
        <w:numPr>
          <w:ilvl w:val="0"/>
          <w:numId w:val="18"/>
        </w:numPr>
        <w:ind w:left="0" w:firstLine="480"/>
        <w:rPr>
          <w:color w:val="auto"/>
        </w:rPr>
      </w:pPr>
      <w:r>
        <w:rPr>
          <w:color w:val="auto"/>
        </w:rPr>
        <w:t>《关于印发</w:t>
      </w:r>
      <w:r>
        <w:rPr>
          <w:rFonts w:hint="eastAsia"/>
          <w:color w:val="auto"/>
        </w:rPr>
        <w:t>〈</w:t>
      </w:r>
      <w:r>
        <w:rPr>
          <w:color w:val="auto"/>
        </w:rPr>
        <w:t>江苏省生态空间管控区域规划</w:t>
      </w:r>
      <w:r>
        <w:rPr>
          <w:rFonts w:hint="eastAsia"/>
          <w:color w:val="auto"/>
        </w:rPr>
        <w:t>〉</w:t>
      </w:r>
      <w:r>
        <w:rPr>
          <w:color w:val="auto"/>
        </w:rPr>
        <w:t>的通知》（苏政发</w:t>
      </w:r>
      <w:r>
        <w:rPr>
          <w:rFonts w:hint="eastAsia"/>
          <w:color w:val="auto"/>
        </w:rPr>
        <w:t>〔</w:t>
      </w:r>
      <w:r>
        <w:rPr>
          <w:color w:val="auto"/>
        </w:rPr>
        <w:t>2020</w:t>
      </w:r>
      <w:r>
        <w:rPr>
          <w:rFonts w:hint="eastAsia"/>
          <w:color w:val="auto"/>
        </w:rPr>
        <w:t>〕</w:t>
      </w:r>
      <w:r>
        <w:rPr>
          <w:color w:val="auto"/>
        </w:rPr>
        <w:t>1号），江苏省人民政府，2020年1月8日；</w:t>
      </w:r>
    </w:p>
    <w:p w14:paraId="50928180">
      <w:pPr>
        <w:numPr>
          <w:ilvl w:val="0"/>
          <w:numId w:val="18"/>
        </w:numPr>
        <w:ind w:left="0" w:firstLine="480"/>
        <w:rPr>
          <w:color w:val="auto"/>
        </w:rPr>
      </w:pPr>
      <w:r>
        <w:rPr>
          <w:color w:val="auto"/>
        </w:rPr>
        <w:t>《关于深入打好污染防治攻坚战的实施意见》，中共江苏省委办公厅，2022年1月24日印发；</w:t>
      </w:r>
    </w:p>
    <w:p w14:paraId="1F7EF6BA">
      <w:pPr>
        <w:numPr>
          <w:ilvl w:val="0"/>
          <w:numId w:val="18"/>
        </w:numPr>
        <w:ind w:left="0" w:firstLine="480"/>
        <w:rPr>
          <w:color w:val="auto"/>
        </w:rPr>
      </w:pPr>
      <w:r>
        <w:rPr>
          <w:color w:val="auto"/>
        </w:rPr>
        <w:t>《关于落实省大气污染防治行动计划实施方案严格环境影响评价准入的通知》（苏环办</w:t>
      </w:r>
      <w:r>
        <w:rPr>
          <w:rFonts w:hint="eastAsia"/>
          <w:color w:val="auto"/>
        </w:rPr>
        <w:t>〔</w:t>
      </w:r>
      <w:r>
        <w:rPr>
          <w:color w:val="auto"/>
        </w:rPr>
        <w:t>2014</w:t>
      </w:r>
      <w:r>
        <w:rPr>
          <w:rFonts w:hint="eastAsia"/>
          <w:color w:val="auto"/>
        </w:rPr>
        <w:t>〕</w:t>
      </w:r>
      <w:r>
        <w:rPr>
          <w:color w:val="auto"/>
        </w:rPr>
        <w:t>104号）；</w:t>
      </w:r>
    </w:p>
    <w:p w14:paraId="64CBEE46">
      <w:pPr>
        <w:numPr>
          <w:ilvl w:val="0"/>
          <w:numId w:val="18"/>
        </w:numPr>
        <w:ind w:left="0" w:firstLine="480"/>
        <w:rPr>
          <w:color w:val="auto"/>
        </w:rPr>
      </w:pPr>
      <w:r>
        <w:rPr>
          <w:color w:val="auto"/>
        </w:rPr>
        <w:t>《省政府办公厅转发省经济和信息化委省发展改革委江苏省工业和信息产业结构调整限制淘汰目录和能耗限额的通知》</w:t>
      </w:r>
      <w:r>
        <w:rPr>
          <w:rFonts w:hint="eastAsia"/>
          <w:color w:val="auto"/>
        </w:rPr>
        <w:t>（</w:t>
      </w:r>
      <w:r>
        <w:rPr>
          <w:color w:val="auto"/>
        </w:rPr>
        <w:t>苏政办发</w:t>
      </w:r>
      <w:r>
        <w:rPr>
          <w:rFonts w:hint="eastAsia"/>
          <w:color w:val="auto"/>
        </w:rPr>
        <w:t>〔</w:t>
      </w:r>
      <w:r>
        <w:rPr>
          <w:color w:val="auto"/>
        </w:rPr>
        <w:t>2015</w:t>
      </w:r>
      <w:r>
        <w:rPr>
          <w:rFonts w:hint="eastAsia"/>
          <w:color w:val="auto"/>
        </w:rPr>
        <w:t>〕</w:t>
      </w:r>
      <w:r>
        <w:rPr>
          <w:color w:val="auto"/>
        </w:rPr>
        <w:t>118号</w:t>
      </w:r>
      <w:r>
        <w:rPr>
          <w:rFonts w:hint="eastAsia"/>
          <w:color w:val="auto"/>
        </w:rPr>
        <w:t>）</w:t>
      </w:r>
      <w:r>
        <w:rPr>
          <w:color w:val="auto"/>
        </w:rPr>
        <w:t>；</w:t>
      </w:r>
    </w:p>
    <w:p w14:paraId="7E80CFD0">
      <w:pPr>
        <w:numPr>
          <w:ilvl w:val="0"/>
          <w:numId w:val="18"/>
        </w:numPr>
        <w:ind w:left="0" w:firstLine="480"/>
        <w:rPr>
          <w:color w:val="auto"/>
        </w:rPr>
      </w:pPr>
      <w:r>
        <w:rPr>
          <w:color w:val="auto"/>
        </w:rPr>
        <w:t>《省政府关于印发江苏省水污染防治工作方案的通知》（苏政发</w:t>
      </w:r>
      <w:r>
        <w:rPr>
          <w:rFonts w:hint="eastAsia"/>
          <w:color w:val="auto"/>
        </w:rPr>
        <w:t>〔</w:t>
      </w:r>
      <w:r>
        <w:rPr>
          <w:color w:val="auto"/>
        </w:rPr>
        <w:t>2015</w:t>
      </w:r>
      <w:r>
        <w:rPr>
          <w:rFonts w:hint="eastAsia"/>
          <w:color w:val="auto"/>
        </w:rPr>
        <w:t>〕</w:t>
      </w:r>
      <w:r>
        <w:rPr>
          <w:color w:val="auto"/>
        </w:rPr>
        <w:t>175号），2015年12月28日；</w:t>
      </w:r>
    </w:p>
    <w:p w14:paraId="2EB15D58">
      <w:pPr>
        <w:numPr>
          <w:ilvl w:val="0"/>
          <w:numId w:val="18"/>
        </w:numPr>
        <w:ind w:left="0" w:firstLine="480"/>
        <w:rPr>
          <w:color w:val="auto"/>
        </w:rPr>
      </w:pPr>
      <w:r>
        <w:rPr>
          <w:color w:val="auto"/>
        </w:rPr>
        <w:t>《江苏省长江水污染防治条例》，2018年3月28日修订；</w:t>
      </w:r>
    </w:p>
    <w:p w14:paraId="6556B955">
      <w:pPr>
        <w:numPr>
          <w:ilvl w:val="0"/>
          <w:numId w:val="18"/>
        </w:numPr>
        <w:ind w:left="0" w:firstLine="480"/>
        <w:rPr>
          <w:color w:val="auto"/>
        </w:rPr>
      </w:pPr>
      <w:r>
        <w:rPr>
          <w:color w:val="auto"/>
        </w:rPr>
        <w:t>《江苏省国家级生态保护红线规划》（苏政发</w:t>
      </w:r>
      <w:r>
        <w:rPr>
          <w:rFonts w:hint="eastAsia"/>
          <w:color w:val="auto"/>
        </w:rPr>
        <w:t>〔</w:t>
      </w:r>
      <w:r>
        <w:rPr>
          <w:color w:val="auto"/>
        </w:rPr>
        <w:t>2018</w:t>
      </w:r>
      <w:r>
        <w:rPr>
          <w:rFonts w:hint="eastAsia"/>
          <w:color w:val="auto"/>
        </w:rPr>
        <w:t>〕</w:t>
      </w:r>
      <w:r>
        <w:rPr>
          <w:color w:val="auto"/>
        </w:rPr>
        <w:t>74号）；</w:t>
      </w:r>
    </w:p>
    <w:p w14:paraId="4B10CCD7">
      <w:pPr>
        <w:numPr>
          <w:ilvl w:val="0"/>
          <w:numId w:val="18"/>
        </w:numPr>
        <w:ind w:left="0" w:firstLine="480"/>
        <w:rPr>
          <w:color w:val="auto"/>
        </w:rPr>
      </w:pPr>
      <w:r>
        <w:rPr>
          <w:color w:val="auto"/>
        </w:rPr>
        <w:t>《省政府办公厅关于印发</w:t>
      </w:r>
      <w:r>
        <w:rPr>
          <w:rFonts w:hint="eastAsia"/>
          <w:color w:val="auto"/>
        </w:rPr>
        <w:t>〈</w:t>
      </w:r>
      <w:r>
        <w:rPr>
          <w:color w:val="auto"/>
        </w:rPr>
        <w:t>江苏省深入打好净土保卫战实施方案</w:t>
      </w:r>
      <w:r>
        <w:rPr>
          <w:rFonts w:hint="eastAsia"/>
          <w:color w:val="auto"/>
        </w:rPr>
        <w:t>〉</w:t>
      </w:r>
      <w:r>
        <w:rPr>
          <w:color w:val="auto"/>
        </w:rPr>
        <w:t>的通知》，苏政办发</w:t>
      </w:r>
      <w:r>
        <w:rPr>
          <w:rFonts w:hint="eastAsia"/>
          <w:color w:val="auto"/>
        </w:rPr>
        <w:t>〔</w:t>
      </w:r>
      <w:r>
        <w:rPr>
          <w:color w:val="auto"/>
        </w:rPr>
        <w:t>2022</w:t>
      </w:r>
      <w:r>
        <w:rPr>
          <w:rFonts w:hint="eastAsia"/>
          <w:color w:val="auto"/>
        </w:rPr>
        <w:t>〕</w:t>
      </w:r>
      <w:r>
        <w:rPr>
          <w:color w:val="auto"/>
        </w:rPr>
        <w:t>78号；</w:t>
      </w:r>
    </w:p>
    <w:p w14:paraId="5E8F4193">
      <w:pPr>
        <w:numPr>
          <w:ilvl w:val="0"/>
          <w:numId w:val="18"/>
        </w:numPr>
        <w:ind w:left="0" w:firstLine="480"/>
        <w:rPr>
          <w:color w:val="auto"/>
        </w:rPr>
      </w:pPr>
      <w:r>
        <w:rPr>
          <w:color w:val="auto"/>
        </w:rPr>
        <w:t>《省生态环境厅关于</w:t>
      </w:r>
      <w:r>
        <w:rPr>
          <w:rFonts w:hint="eastAsia"/>
          <w:color w:val="auto"/>
        </w:rPr>
        <w:t>印发〈江苏省固态废物全过程环境监管工作意见〉的通知</w:t>
      </w:r>
      <w:r>
        <w:rPr>
          <w:color w:val="auto"/>
        </w:rPr>
        <w:t>》（苏环办</w:t>
      </w:r>
      <w:r>
        <w:rPr>
          <w:rFonts w:hint="eastAsia"/>
          <w:color w:val="auto"/>
        </w:rPr>
        <w:t>〔</w:t>
      </w:r>
      <w:r>
        <w:rPr>
          <w:color w:val="auto"/>
        </w:rPr>
        <w:t>20</w:t>
      </w:r>
      <w:r>
        <w:rPr>
          <w:rFonts w:hint="eastAsia"/>
          <w:color w:val="auto"/>
        </w:rPr>
        <w:t>24〕16</w:t>
      </w:r>
      <w:r>
        <w:rPr>
          <w:color w:val="auto"/>
        </w:rPr>
        <w:t>号）；</w:t>
      </w:r>
    </w:p>
    <w:p w14:paraId="38D38CB4">
      <w:pPr>
        <w:numPr>
          <w:ilvl w:val="0"/>
          <w:numId w:val="18"/>
        </w:numPr>
        <w:ind w:left="0" w:firstLine="480"/>
        <w:rPr>
          <w:color w:val="auto"/>
        </w:rPr>
      </w:pPr>
      <w:r>
        <w:rPr>
          <w:color w:val="auto"/>
        </w:rPr>
        <w:t>《省生态环境厅关于进一步做好建设项目环评审批工作的通知》（苏环办</w:t>
      </w:r>
      <w:r>
        <w:rPr>
          <w:rFonts w:hint="eastAsia"/>
          <w:color w:val="auto"/>
        </w:rPr>
        <w:t>〔</w:t>
      </w:r>
      <w:r>
        <w:rPr>
          <w:color w:val="auto"/>
        </w:rPr>
        <w:t>2019</w:t>
      </w:r>
      <w:r>
        <w:rPr>
          <w:rFonts w:hint="eastAsia"/>
          <w:color w:val="auto"/>
        </w:rPr>
        <w:t>〕</w:t>
      </w:r>
      <w:r>
        <w:rPr>
          <w:color w:val="auto"/>
        </w:rPr>
        <w:t>36号）；</w:t>
      </w:r>
    </w:p>
    <w:p w14:paraId="26C9A93D">
      <w:pPr>
        <w:numPr>
          <w:ilvl w:val="0"/>
          <w:numId w:val="18"/>
        </w:numPr>
        <w:ind w:left="0" w:firstLine="480"/>
        <w:rPr>
          <w:color w:val="auto"/>
        </w:rPr>
      </w:pPr>
      <w:r>
        <w:rPr>
          <w:color w:val="auto"/>
        </w:rPr>
        <w:t>《省生态环境厅关于做好安全生产专项整治工作实施方案》（苏环办</w:t>
      </w:r>
      <w:r>
        <w:rPr>
          <w:rFonts w:hint="eastAsia"/>
          <w:color w:val="auto"/>
        </w:rPr>
        <w:t>〔</w:t>
      </w:r>
      <w:r>
        <w:rPr>
          <w:color w:val="auto"/>
        </w:rPr>
        <w:t>2020</w:t>
      </w:r>
      <w:r>
        <w:rPr>
          <w:rFonts w:hint="eastAsia"/>
          <w:color w:val="auto"/>
        </w:rPr>
        <w:t>〕</w:t>
      </w:r>
      <w:r>
        <w:rPr>
          <w:color w:val="auto"/>
        </w:rPr>
        <w:t>16号）；</w:t>
      </w:r>
    </w:p>
    <w:p w14:paraId="216E4674">
      <w:pPr>
        <w:numPr>
          <w:ilvl w:val="0"/>
          <w:numId w:val="18"/>
        </w:numPr>
        <w:ind w:left="0" w:firstLine="480"/>
        <w:rPr>
          <w:color w:val="auto"/>
        </w:rPr>
      </w:pPr>
      <w:r>
        <w:rPr>
          <w:color w:val="auto"/>
        </w:rPr>
        <w:t>《省生态环境厅关于印发江苏省环境影响评价文件环境应急相关内容编制要点的通知》（苏环办〔2022〕338号）；</w:t>
      </w:r>
    </w:p>
    <w:p w14:paraId="1E9199F3">
      <w:pPr>
        <w:numPr>
          <w:ilvl w:val="0"/>
          <w:numId w:val="18"/>
        </w:numPr>
        <w:ind w:left="0" w:firstLine="480"/>
        <w:rPr>
          <w:color w:val="auto"/>
        </w:rPr>
      </w:pPr>
      <w:r>
        <w:rPr>
          <w:color w:val="auto"/>
        </w:rPr>
        <w:t>《省政府关于印发江苏省“三线一单”生态环境分区管控方案的通知》（苏政发〔2020〕49号）；</w:t>
      </w:r>
    </w:p>
    <w:p w14:paraId="52CBAF88">
      <w:pPr>
        <w:numPr>
          <w:ilvl w:val="0"/>
          <w:numId w:val="18"/>
        </w:numPr>
        <w:ind w:left="0" w:firstLine="480"/>
        <w:rPr>
          <w:color w:val="auto"/>
        </w:rPr>
      </w:pPr>
      <w:r>
        <w:rPr>
          <w:color w:val="auto"/>
        </w:rPr>
        <w:t>《省生态环境厅关于加强涉变动项目环评与排污许可管理衔接的通知》（苏环办〔2021〕122号）；</w:t>
      </w:r>
    </w:p>
    <w:p w14:paraId="6B19CD58">
      <w:pPr>
        <w:numPr>
          <w:ilvl w:val="0"/>
          <w:numId w:val="18"/>
        </w:numPr>
        <w:ind w:left="0" w:firstLine="480"/>
        <w:rPr>
          <w:color w:val="auto"/>
        </w:rPr>
      </w:pPr>
      <w:r>
        <w:rPr>
          <w:color w:val="auto"/>
        </w:rPr>
        <w:t>《省生态环境厅关于印发</w:t>
      </w:r>
      <w:r>
        <w:rPr>
          <w:rFonts w:hint="eastAsia"/>
          <w:color w:val="auto"/>
        </w:rPr>
        <w:t>〈</w:t>
      </w:r>
      <w:r>
        <w:rPr>
          <w:color w:val="auto"/>
        </w:rPr>
        <w:t>江苏省危险废物集中收集体系建设工作方案（试行）</w:t>
      </w:r>
      <w:r>
        <w:rPr>
          <w:rFonts w:hint="eastAsia"/>
          <w:color w:val="auto"/>
        </w:rPr>
        <w:t>〉</w:t>
      </w:r>
      <w:r>
        <w:rPr>
          <w:color w:val="auto"/>
        </w:rPr>
        <w:t>的通知》（苏环办〔2021〕290号）；</w:t>
      </w:r>
    </w:p>
    <w:p w14:paraId="57E79A1C">
      <w:pPr>
        <w:numPr>
          <w:ilvl w:val="0"/>
          <w:numId w:val="18"/>
        </w:numPr>
        <w:ind w:left="0" w:firstLine="480"/>
        <w:rPr>
          <w:color w:val="auto"/>
        </w:rPr>
      </w:pPr>
      <w:r>
        <w:rPr>
          <w:color w:val="auto"/>
        </w:rPr>
        <w:t>《省政府办公厅关于印发江苏省强化危险废物监管和利用处置能力改革实施方案的通知》（苏政办发〔2022〕11号）；</w:t>
      </w:r>
    </w:p>
    <w:p w14:paraId="6B1008CC">
      <w:pPr>
        <w:numPr>
          <w:ilvl w:val="0"/>
          <w:numId w:val="18"/>
        </w:numPr>
        <w:ind w:left="0" w:firstLine="480"/>
        <w:rPr>
          <w:color w:val="auto"/>
        </w:rPr>
      </w:pPr>
      <w:r>
        <w:rPr>
          <w:color w:val="auto"/>
        </w:rPr>
        <w:t>《省政府办公厅关于加快推进城市污水处理能力建设全面提升污水集中收集处理率的实施意见》（苏政办发〔2022〕42号）；</w:t>
      </w:r>
    </w:p>
    <w:p w14:paraId="612E7823">
      <w:pPr>
        <w:numPr>
          <w:ilvl w:val="0"/>
          <w:numId w:val="18"/>
        </w:numPr>
        <w:ind w:left="0" w:firstLine="480"/>
        <w:rPr>
          <w:color w:val="auto"/>
        </w:rPr>
      </w:pPr>
      <w:r>
        <w:rPr>
          <w:color w:val="auto"/>
        </w:rPr>
        <w:t>《省生态环境厅关于印发江苏省环境影响评价文件环境应急相关内容编制要点的通知》（苏环办〔2022〕338号）；</w:t>
      </w:r>
    </w:p>
    <w:p w14:paraId="4EC3C4A2">
      <w:pPr>
        <w:numPr>
          <w:ilvl w:val="0"/>
          <w:numId w:val="18"/>
        </w:numPr>
        <w:ind w:left="0" w:firstLine="480"/>
        <w:rPr>
          <w:color w:val="auto"/>
        </w:rPr>
      </w:pPr>
      <w:r>
        <w:rPr>
          <w:color w:val="auto"/>
        </w:rPr>
        <w:t>《省政府关于进一步加强地下水保护管理工作的通知》（苏政规〔2023〕3号）；</w:t>
      </w:r>
    </w:p>
    <w:p w14:paraId="475B6699">
      <w:pPr>
        <w:numPr>
          <w:ilvl w:val="0"/>
          <w:numId w:val="18"/>
        </w:numPr>
        <w:ind w:left="0" w:firstLine="480"/>
        <w:rPr>
          <w:color w:val="auto"/>
        </w:rPr>
      </w:pPr>
      <w:r>
        <w:rPr>
          <w:color w:val="auto"/>
        </w:rPr>
        <w:t>《江苏省重点行业工业企业雨水排放环境管理办法（试行）》；</w:t>
      </w:r>
    </w:p>
    <w:p w14:paraId="187BDD11">
      <w:pPr>
        <w:numPr>
          <w:ilvl w:val="0"/>
          <w:numId w:val="18"/>
        </w:numPr>
        <w:ind w:left="0" w:firstLine="480"/>
        <w:rPr>
          <w:color w:val="auto"/>
        </w:rPr>
      </w:pPr>
      <w:r>
        <w:rPr>
          <w:rFonts w:hint="eastAsia"/>
          <w:color w:val="auto"/>
        </w:rPr>
        <w:t>《省生态环境厅关于〈进一步完善一般工业固体废物环境管理〉的通知》（苏环办〔2023〕327号）；</w:t>
      </w:r>
    </w:p>
    <w:p w14:paraId="62DC94B7">
      <w:pPr>
        <w:numPr>
          <w:ilvl w:val="0"/>
          <w:numId w:val="18"/>
        </w:numPr>
        <w:ind w:left="0" w:firstLine="480"/>
        <w:rPr>
          <w:color w:val="auto"/>
        </w:rPr>
      </w:pPr>
      <w:r>
        <w:rPr>
          <w:color w:val="auto"/>
        </w:rPr>
        <w:t>《关于印发连云港市环境空气质量功能区划分规定的通知》，连政发</w:t>
      </w:r>
      <w:r>
        <w:rPr>
          <w:rFonts w:hint="eastAsia"/>
          <w:color w:val="auto"/>
        </w:rPr>
        <w:t>〔</w:t>
      </w:r>
      <w:r>
        <w:rPr>
          <w:color w:val="auto"/>
        </w:rPr>
        <w:t>2012</w:t>
      </w:r>
      <w:r>
        <w:rPr>
          <w:rFonts w:hint="eastAsia"/>
          <w:color w:val="auto"/>
        </w:rPr>
        <w:t>〕</w:t>
      </w:r>
      <w:r>
        <w:rPr>
          <w:color w:val="auto"/>
        </w:rPr>
        <w:t>115号；</w:t>
      </w:r>
    </w:p>
    <w:p w14:paraId="43420B85">
      <w:pPr>
        <w:numPr>
          <w:ilvl w:val="0"/>
          <w:numId w:val="18"/>
        </w:numPr>
        <w:ind w:left="0" w:firstLine="480"/>
        <w:rPr>
          <w:color w:val="auto"/>
        </w:rPr>
      </w:pPr>
      <w:r>
        <w:rPr>
          <w:color w:val="auto"/>
        </w:rPr>
        <w:t>《连云港市市区声环境质量功能区划分规定</w:t>
      </w:r>
      <w:r>
        <w:rPr>
          <w:rFonts w:hint="eastAsia"/>
          <w:color w:val="auto"/>
        </w:rPr>
        <w:t>（</w:t>
      </w:r>
      <w:r>
        <w:rPr>
          <w:color w:val="auto"/>
        </w:rPr>
        <w:t>2021年修订版</w:t>
      </w:r>
      <w:r>
        <w:rPr>
          <w:rFonts w:hint="eastAsia"/>
          <w:color w:val="auto"/>
        </w:rPr>
        <w:t>）</w:t>
      </w:r>
      <w:r>
        <w:rPr>
          <w:color w:val="auto"/>
        </w:rPr>
        <w:t>》；</w:t>
      </w:r>
    </w:p>
    <w:p w14:paraId="57C0BB64">
      <w:pPr>
        <w:numPr>
          <w:ilvl w:val="0"/>
          <w:numId w:val="18"/>
        </w:numPr>
        <w:ind w:left="0" w:firstLine="480"/>
        <w:rPr>
          <w:color w:val="auto"/>
        </w:rPr>
      </w:pPr>
      <w:r>
        <w:rPr>
          <w:color w:val="auto"/>
        </w:rPr>
        <w:t>《关于加强污染源自动监控能力建设的通知》，连环发</w:t>
      </w:r>
      <w:r>
        <w:rPr>
          <w:rFonts w:hint="eastAsia"/>
          <w:color w:val="auto"/>
        </w:rPr>
        <w:t>〔</w:t>
      </w:r>
      <w:r>
        <w:rPr>
          <w:color w:val="auto"/>
        </w:rPr>
        <w:t>2017</w:t>
      </w:r>
      <w:r>
        <w:rPr>
          <w:rFonts w:hint="eastAsia"/>
          <w:color w:val="auto"/>
        </w:rPr>
        <w:t>〕</w:t>
      </w:r>
      <w:r>
        <w:rPr>
          <w:color w:val="auto"/>
        </w:rPr>
        <w:t>115号；</w:t>
      </w:r>
    </w:p>
    <w:p w14:paraId="17E1CF83">
      <w:pPr>
        <w:numPr>
          <w:ilvl w:val="0"/>
          <w:numId w:val="18"/>
        </w:numPr>
        <w:ind w:left="0" w:firstLine="480"/>
        <w:rPr>
          <w:color w:val="auto"/>
        </w:rPr>
      </w:pPr>
      <w:r>
        <w:rPr>
          <w:color w:val="auto"/>
        </w:rPr>
        <w:t>《市政府办公室关于印发连云港市基于空间控制单元的环境准入制度及负面清单管理办法（试行）的通知》（连政办发</w:t>
      </w:r>
      <w:r>
        <w:rPr>
          <w:rFonts w:hint="eastAsia"/>
          <w:color w:val="auto"/>
        </w:rPr>
        <w:t>〔</w:t>
      </w:r>
      <w:r>
        <w:rPr>
          <w:color w:val="auto"/>
        </w:rPr>
        <w:t>2018</w:t>
      </w:r>
      <w:r>
        <w:rPr>
          <w:rFonts w:hint="eastAsia"/>
          <w:color w:val="auto"/>
        </w:rPr>
        <w:t>〕</w:t>
      </w:r>
      <w:r>
        <w:rPr>
          <w:color w:val="auto"/>
        </w:rPr>
        <w:t>9号）；</w:t>
      </w:r>
    </w:p>
    <w:p w14:paraId="4CE28272">
      <w:pPr>
        <w:numPr>
          <w:ilvl w:val="0"/>
          <w:numId w:val="18"/>
        </w:numPr>
        <w:ind w:left="0" w:firstLine="480"/>
        <w:rPr>
          <w:color w:val="auto"/>
        </w:rPr>
      </w:pPr>
      <w:r>
        <w:rPr>
          <w:color w:val="auto"/>
        </w:rPr>
        <w:t>《市政府办公室关于印发连云港市资源利用上线管理办法（试行）的通知》（连政办发</w:t>
      </w:r>
      <w:r>
        <w:rPr>
          <w:rFonts w:hint="eastAsia"/>
          <w:color w:val="auto"/>
        </w:rPr>
        <w:t>〔</w:t>
      </w:r>
      <w:r>
        <w:rPr>
          <w:color w:val="auto"/>
        </w:rPr>
        <w:t>2018</w:t>
      </w:r>
      <w:r>
        <w:rPr>
          <w:rFonts w:hint="eastAsia"/>
          <w:color w:val="auto"/>
        </w:rPr>
        <w:t>〕</w:t>
      </w:r>
      <w:r>
        <w:rPr>
          <w:color w:val="auto"/>
        </w:rPr>
        <w:t>37号）；</w:t>
      </w:r>
    </w:p>
    <w:p w14:paraId="28B32F8C">
      <w:pPr>
        <w:numPr>
          <w:ilvl w:val="0"/>
          <w:numId w:val="18"/>
        </w:numPr>
        <w:ind w:left="0" w:firstLine="480"/>
        <w:rPr>
          <w:color w:val="auto"/>
        </w:rPr>
      </w:pPr>
      <w:r>
        <w:rPr>
          <w:color w:val="auto"/>
        </w:rPr>
        <w:t>《市政府办公室关于印发连云港市环境质量底线管理办法（试行）的通知》（连政办发</w:t>
      </w:r>
      <w:r>
        <w:rPr>
          <w:rFonts w:hint="eastAsia"/>
          <w:color w:val="auto"/>
        </w:rPr>
        <w:t>〔</w:t>
      </w:r>
      <w:r>
        <w:rPr>
          <w:color w:val="auto"/>
        </w:rPr>
        <w:t>2018</w:t>
      </w:r>
      <w:r>
        <w:rPr>
          <w:rFonts w:hint="eastAsia"/>
          <w:color w:val="auto"/>
        </w:rPr>
        <w:t>〕</w:t>
      </w:r>
      <w:r>
        <w:rPr>
          <w:color w:val="auto"/>
        </w:rPr>
        <w:t>38号）；</w:t>
      </w:r>
    </w:p>
    <w:p w14:paraId="7D33E96B">
      <w:pPr>
        <w:numPr>
          <w:ilvl w:val="0"/>
          <w:numId w:val="18"/>
        </w:numPr>
        <w:ind w:left="0" w:firstLine="480"/>
        <w:rPr>
          <w:color w:val="auto"/>
        </w:rPr>
      </w:pPr>
      <w:r>
        <w:rPr>
          <w:color w:val="auto"/>
        </w:rPr>
        <w:t>《市生态环境局关于印发〈连云港市固定污染源自动监控管理办法</w:t>
      </w:r>
      <w:r>
        <w:rPr>
          <w:rFonts w:hint="eastAsia"/>
          <w:color w:val="auto"/>
        </w:rPr>
        <w:t>（</w:t>
      </w:r>
      <w:r>
        <w:rPr>
          <w:color w:val="auto"/>
        </w:rPr>
        <w:t>试行</w:t>
      </w:r>
      <w:r>
        <w:rPr>
          <w:rFonts w:hint="eastAsia"/>
          <w:color w:val="auto"/>
        </w:rPr>
        <w:t>）</w:t>
      </w:r>
      <w:r>
        <w:rPr>
          <w:color w:val="auto"/>
        </w:rPr>
        <w:t>〉的通知》</w:t>
      </w:r>
      <w:r>
        <w:rPr>
          <w:rFonts w:hint="eastAsia"/>
          <w:color w:val="auto"/>
        </w:rPr>
        <w:t>（</w:t>
      </w:r>
      <w:r>
        <w:rPr>
          <w:color w:val="auto"/>
        </w:rPr>
        <w:t>连环发</w:t>
      </w:r>
      <w:r>
        <w:rPr>
          <w:rFonts w:hint="eastAsia"/>
          <w:color w:val="auto"/>
        </w:rPr>
        <w:t>〔</w:t>
      </w:r>
      <w:r>
        <w:rPr>
          <w:color w:val="auto"/>
        </w:rPr>
        <w:t>2021</w:t>
      </w:r>
      <w:r>
        <w:rPr>
          <w:rFonts w:hint="eastAsia"/>
          <w:color w:val="auto"/>
        </w:rPr>
        <w:t>〕</w:t>
      </w:r>
      <w:r>
        <w:rPr>
          <w:color w:val="auto"/>
        </w:rPr>
        <w:t>294号</w:t>
      </w:r>
      <w:r>
        <w:rPr>
          <w:rFonts w:hint="eastAsia"/>
          <w:color w:val="auto"/>
        </w:rPr>
        <w:t>）</w:t>
      </w:r>
      <w:r>
        <w:rPr>
          <w:color w:val="auto"/>
        </w:rPr>
        <w:t>；</w:t>
      </w:r>
    </w:p>
    <w:p w14:paraId="4B8EACB9">
      <w:pPr>
        <w:numPr>
          <w:ilvl w:val="0"/>
          <w:numId w:val="18"/>
        </w:numPr>
        <w:ind w:left="0" w:firstLine="480"/>
        <w:rPr>
          <w:color w:val="auto"/>
        </w:rPr>
      </w:pPr>
      <w:r>
        <w:rPr>
          <w:color w:val="auto"/>
        </w:rPr>
        <w:t>《市政府办公室关于印发</w:t>
      </w:r>
      <w:r>
        <w:rPr>
          <w:rFonts w:hint="eastAsia"/>
          <w:color w:val="auto"/>
        </w:rPr>
        <w:t>〈</w:t>
      </w:r>
      <w:r>
        <w:rPr>
          <w:color w:val="auto"/>
        </w:rPr>
        <w:t>连云港市“十四五”能源发展规划等专项规划</w:t>
      </w:r>
      <w:r>
        <w:rPr>
          <w:rFonts w:hint="eastAsia"/>
          <w:color w:val="auto"/>
        </w:rPr>
        <w:t>〉</w:t>
      </w:r>
      <w:r>
        <w:rPr>
          <w:color w:val="auto"/>
        </w:rPr>
        <w:t>的通知》，连政办发</w:t>
      </w:r>
      <w:r>
        <w:rPr>
          <w:rFonts w:hint="eastAsia"/>
          <w:color w:val="auto"/>
        </w:rPr>
        <w:t>〔</w:t>
      </w:r>
      <w:r>
        <w:rPr>
          <w:color w:val="auto"/>
        </w:rPr>
        <w:t>2022</w:t>
      </w:r>
      <w:r>
        <w:rPr>
          <w:rFonts w:hint="eastAsia"/>
          <w:color w:val="auto"/>
        </w:rPr>
        <w:t>〕</w:t>
      </w:r>
      <w:r>
        <w:rPr>
          <w:color w:val="auto"/>
        </w:rPr>
        <w:t>9号</w:t>
      </w:r>
      <w:r>
        <w:rPr>
          <w:rFonts w:hint="eastAsia"/>
          <w:color w:val="auto"/>
        </w:rPr>
        <w:t>；</w:t>
      </w:r>
    </w:p>
    <w:p w14:paraId="3B8522FA">
      <w:pPr>
        <w:numPr>
          <w:ilvl w:val="0"/>
          <w:numId w:val="18"/>
        </w:numPr>
        <w:ind w:left="0" w:firstLine="480"/>
        <w:rPr>
          <w:color w:val="auto"/>
        </w:rPr>
      </w:pPr>
      <w:r>
        <w:rPr>
          <w:rFonts w:hint="eastAsia"/>
          <w:color w:val="auto"/>
        </w:rPr>
        <w:t>《关于下达2020年和2030年全市实行最严格水资源管理制度控制指标的通知》（连水资办〔2017〕3号）。</w:t>
      </w:r>
    </w:p>
    <w:bookmarkEnd w:id="19"/>
    <w:bookmarkEnd w:id="20"/>
    <w:p w14:paraId="7D9BAEA1">
      <w:pPr>
        <w:keepNext/>
        <w:keepLines/>
        <w:spacing w:before="120" w:beforeLines="50"/>
        <w:ind w:firstLine="0" w:firstLineChars="0"/>
        <w:outlineLvl w:val="2"/>
        <w:rPr>
          <w:color w:val="auto"/>
        </w:rPr>
      </w:pPr>
      <w:r>
        <w:rPr>
          <w:b/>
          <w:bCs/>
          <w:color w:val="auto"/>
          <w:sz w:val="28"/>
          <w:szCs w:val="36"/>
        </w:rPr>
        <w:t>2.1.3相关规划及批复</w:t>
      </w:r>
      <w:bookmarkStart w:id="22" w:name="_Hlk60327935"/>
    </w:p>
    <w:p w14:paraId="58874036">
      <w:pPr>
        <w:numPr>
          <w:ilvl w:val="0"/>
          <w:numId w:val="19"/>
        </w:numPr>
        <w:ind w:left="0" w:firstLine="480"/>
        <w:rPr>
          <w:color w:val="auto"/>
        </w:rPr>
      </w:pPr>
      <w:r>
        <w:rPr>
          <w:rFonts w:hint="eastAsia"/>
          <w:bCs/>
          <w:color w:val="auto"/>
        </w:rPr>
        <w:t>《连云港市国土空间总体规划（2021—2035年）》</w:t>
      </w:r>
      <w:r>
        <w:rPr>
          <w:color w:val="auto"/>
        </w:rPr>
        <w:t>；</w:t>
      </w:r>
    </w:p>
    <w:p w14:paraId="57B73CD8">
      <w:pPr>
        <w:numPr>
          <w:ilvl w:val="0"/>
          <w:numId w:val="19"/>
        </w:numPr>
        <w:ind w:left="0" w:firstLine="480"/>
        <w:rPr>
          <w:color w:val="auto"/>
        </w:rPr>
      </w:pPr>
      <w:r>
        <w:rPr>
          <w:rFonts w:hint="eastAsia"/>
          <w:color w:val="auto"/>
        </w:rPr>
        <w:t>《连云港经济技术开发区（大浦片区、临港产业区西北片区、江宁工业城、一带一路国际物流园）产业发展规划环境影响报告书》及其《关于对连云港经济技术开发区（大浦片区、临港产业区西北片区、江宁工业城、一带一路国际物流园）产业发展规划（2021—2030年）环境影响报告书的审查意见》（连环发〔2024〕247号）；</w:t>
      </w:r>
    </w:p>
    <w:p w14:paraId="2BA61385">
      <w:pPr>
        <w:numPr>
          <w:ilvl w:val="0"/>
          <w:numId w:val="19"/>
        </w:numPr>
        <w:ind w:left="0" w:firstLine="480"/>
        <w:rPr>
          <w:color w:val="auto"/>
        </w:rPr>
      </w:pPr>
      <w:r>
        <w:rPr>
          <w:rFonts w:hint="eastAsia"/>
          <w:color w:val="auto"/>
        </w:rPr>
        <w:t>《连云港经济技术开发区（大浦片区、临港产业区西北片区、江宁工业城一带一路国际物流园）产业发展规划（2021—2030年）》。</w:t>
      </w:r>
    </w:p>
    <w:bookmarkEnd w:id="22"/>
    <w:p w14:paraId="1D47A21F">
      <w:pPr>
        <w:keepNext/>
        <w:keepLines/>
        <w:spacing w:before="120" w:beforeLines="50"/>
        <w:ind w:firstLine="0" w:firstLineChars="0"/>
        <w:outlineLvl w:val="2"/>
        <w:rPr>
          <w:b/>
          <w:bCs/>
          <w:color w:val="auto"/>
          <w:sz w:val="28"/>
          <w:szCs w:val="36"/>
        </w:rPr>
      </w:pPr>
      <w:r>
        <w:rPr>
          <w:b/>
          <w:bCs/>
          <w:color w:val="auto"/>
          <w:sz w:val="28"/>
          <w:szCs w:val="36"/>
        </w:rPr>
        <w:t>2.1.4 技术导则及技术规范</w:t>
      </w:r>
    </w:p>
    <w:p w14:paraId="602339B4">
      <w:pPr>
        <w:widowControl/>
        <w:numPr>
          <w:ilvl w:val="0"/>
          <w:numId w:val="20"/>
        </w:numPr>
        <w:ind w:left="0" w:firstLine="480"/>
        <w:rPr>
          <w:color w:val="auto"/>
          <w:szCs w:val="28"/>
        </w:rPr>
      </w:pPr>
      <w:bookmarkStart w:id="23" w:name="_Hlk515908980"/>
      <w:r>
        <w:rPr>
          <w:color w:val="auto"/>
          <w:szCs w:val="28"/>
        </w:rPr>
        <w:t>《建设项目环境影响评价技术导则 总纲》（HJ 2.1-2016）；</w:t>
      </w:r>
    </w:p>
    <w:p w14:paraId="4269A24E">
      <w:pPr>
        <w:widowControl/>
        <w:numPr>
          <w:ilvl w:val="0"/>
          <w:numId w:val="20"/>
        </w:numPr>
        <w:ind w:left="0" w:firstLine="480"/>
        <w:rPr>
          <w:color w:val="auto"/>
          <w:szCs w:val="28"/>
        </w:rPr>
      </w:pPr>
      <w:r>
        <w:rPr>
          <w:color w:val="auto"/>
          <w:szCs w:val="28"/>
        </w:rPr>
        <w:t>《环境影响评价技术导则 大气环境》（HJ2.2-2018）；</w:t>
      </w:r>
    </w:p>
    <w:p w14:paraId="69846419">
      <w:pPr>
        <w:widowControl/>
        <w:numPr>
          <w:ilvl w:val="0"/>
          <w:numId w:val="20"/>
        </w:numPr>
        <w:ind w:left="0" w:firstLine="480"/>
        <w:rPr>
          <w:color w:val="auto"/>
          <w:szCs w:val="28"/>
        </w:rPr>
      </w:pPr>
      <w:r>
        <w:rPr>
          <w:color w:val="auto"/>
          <w:szCs w:val="28"/>
        </w:rPr>
        <w:t>《环境影响评价技术导则 地表水环境》（HJ2.3-2018）；</w:t>
      </w:r>
    </w:p>
    <w:p w14:paraId="17010427">
      <w:pPr>
        <w:widowControl/>
        <w:numPr>
          <w:ilvl w:val="0"/>
          <w:numId w:val="20"/>
        </w:numPr>
        <w:ind w:left="0" w:firstLine="480"/>
        <w:rPr>
          <w:color w:val="auto"/>
          <w:szCs w:val="28"/>
        </w:rPr>
      </w:pPr>
      <w:r>
        <w:rPr>
          <w:color w:val="auto"/>
          <w:szCs w:val="28"/>
        </w:rPr>
        <w:t>《环境影响评价技术导则 声环境》（HJ2.4-2021）；</w:t>
      </w:r>
    </w:p>
    <w:p w14:paraId="1D090351">
      <w:pPr>
        <w:widowControl/>
        <w:numPr>
          <w:ilvl w:val="0"/>
          <w:numId w:val="20"/>
        </w:numPr>
        <w:ind w:left="0" w:firstLine="480"/>
        <w:rPr>
          <w:color w:val="auto"/>
          <w:szCs w:val="28"/>
        </w:rPr>
      </w:pPr>
      <w:r>
        <w:rPr>
          <w:color w:val="auto"/>
          <w:szCs w:val="28"/>
        </w:rPr>
        <w:t>《环境影响评价技术导则 地下水环境》（HJ610-2016）；</w:t>
      </w:r>
    </w:p>
    <w:p w14:paraId="7DD10846">
      <w:pPr>
        <w:widowControl/>
        <w:numPr>
          <w:ilvl w:val="0"/>
          <w:numId w:val="20"/>
        </w:numPr>
        <w:ind w:left="0" w:firstLine="480"/>
        <w:rPr>
          <w:color w:val="auto"/>
          <w:szCs w:val="28"/>
        </w:rPr>
      </w:pPr>
      <w:r>
        <w:rPr>
          <w:color w:val="auto"/>
          <w:szCs w:val="28"/>
        </w:rPr>
        <w:t>《环境影响评价技术导则 土壤环境（试行）》（HJ964-2018）；</w:t>
      </w:r>
    </w:p>
    <w:p w14:paraId="57375B11">
      <w:pPr>
        <w:widowControl/>
        <w:numPr>
          <w:ilvl w:val="0"/>
          <w:numId w:val="20"/>
        </w:numPr>
        <w:ind w:left="0" w:firstLine="480"/>
        <w:rPr>
          <w:color w:val="auto"/>
          <w:szCs w:val="28"/>
        </w:rPr>
      </w:pPr>
      <w:r>
        <w:rPr>
          <w:color w:val="auto"/>
          <w:szCs w:val="28"/>
        </w:rPr>
        <w:t>《环境影响评价技术导则 生态影响》（HJ19-2022）；</w:t>
      </w:r>
    </w:p>
    <w:p w14:paraId="01AD7BEA">
      <w:pPr>
        <w:widowControl/>
        <w:numPr>
          <w:ilvl w:val="0"/>
          <w:numId w:val="20"/>
        </w:numPr>
        <w:ind w:left="0" w:firstLine="480"/>
        <w:rPr>
          <w:color w:val="auto"/>
          <w:szCs w:val="28"/>
        </w:rPr>
      </w:pPr>
      <w:r>
        <w:rPr>
          <w:color w:val="auto"/>
          <w:szCs w:val="28"/>
        </w:rPr>
        <w:t>《建设项目环境风险评价技术导则》（HJ169-2018）；</w:t>
      </w:r>
    </w:p>
    <w:p w14:paraId="77776039">
      <w:pPr>
        <w:widowControl/>
        <w:numPr>
          <w:ilvl w:val="0"/>
          <w:numId w:val="20"/>
        </w:numPr>
        <w:ind w:left="0" w:firstLine="480"/>
        <w:rPr>
          <w:color w:val="auto"/>
          <w:szCs w:val="28"/>
        </w:rPr>
      </w:pPr>
      <w:r>
        <w:rPr>
          <w:color w:val="auto"/>
          <w:szCs w:val="28"/>
        </w:rPr>
        <w:t>《建设项目危险废物环境影响评价指南》（</w:t>
      </w:r>
      <w:r>
        <w:rPr>
          <w:rFonts w:hint="eastAsia"/>
          <w:color w:val="auto"/>
          <w:szCs w:val="28"/>
        </w:rPr>
        <w:t>环境保护</w:t>
      </w:r>
      <w:r>
        <w:rPr>
          <w:color w:val="auto"/>
          <w:szCs w:val="28"/>
        </w:rPr>
        <w:t>部公告2017第43号）；</w:t>
      </w:r>
    </w:p>
    <w:p w14:paraId="39B36EF5">
      <w:pPr>
        <w:widowControl/>
        <w:numPr>
          <w:ilvl w:val="0"/>
          <w:numId w:val="20"/>
        </w:numPr>
        <w:ind w:left="0" w:firstLine="480"/>
        <w:rPr>
          <w:color w:val="auto"/>
          <w:szCs w:val="28"/>
        </w:rPr>
      </w:pPr>
      <w:r>
        <w:rPr>
          <w:color w:val="auto"/>
          <w:szCs w:val="28"/>
        </w:rPr>
        <w:t>《固体废物鉴别标准通则》（GB34330-2017）；</w:t>
      </w:r>
    </w:p>
    <w:p w14:paraId="33B48E56">
      <w:pPr>
        <w:widowControl/>
        <w:numPr>
          <w:ilvl w:val="0"/>
          <w:numId w:val="20"/>
        </w:numPr>
        <w:ind w:left="0" w:firstLine="480"/>
        <w:rPr>
          <w:color w:val="auto"/>
          <w:szCs w:val="28"/>
        </w:rPr>
      </w:pPr>
      <w:r>
        <w:rPr>
          <w:color w:val="auto"/>
          <w:szCs w:val="28"/>
        </w:rPr>
        <w:t>《环境保护图形标志 固体废物贮存（处置）场》（GB15562.2-1995）及修改单（生态环境部公告2023年第5号）；</w:t>
      </w:r>
    </w:p>
    <w:p w14:paraId="30C55136">
      <w:pPr>
        <w:widowControl/>
        <w:numPr>
          <w:ilvl w:val="0"/>
          <w:numId w:val="20"/>
        </w:numPr>
        <w:ind w:left="0" w:firstLine="480"/>
        <w:rPr>
          <w:color w:val="auto"/>
          <w:szCs w:val="28"/>
        </w:rPr>
      </w:pPr>
      <w:r>
        <w:rPr>
          <w:color w:val="auto"/>
          <w:szCs w:val="28"/>
        </w:rPr>
        <w:t>《排污单位自行监测技术指南 总则》（HJ 819-2017）；</w:t>
      </w:r>
    </w:p>
    <w:p w14:paraId="1CC94189">
      <w:pPr>
        <w:widowControl/>
        <w:numPr>
          <w:ilvl w:val="0"/>
          <w:numId w:val="20"/>
        </w:numPr>
        <w:ind w:left="0" w:firstLine="480"/>
        <w:rPr>
          <w:color w:val="auto"/>
          <w:szCs w:val="28"/>
        </w:rPr>
      </w:pPr>
      <w:r>
        <w:rPr>
          <w:color w:val="auto"/>
          <w:szCs w:val="28"/>
        </w:rPr>
        <w:t>《排污许可证申请与核发技术规范 电镀工业》（HJ855-2017）；</w:t>
      </w:r>
    </w:p>
    <w:p w14:paraId="6FE3F218">
      <w:pPr>
        <w:numPr>
          <w:ilvl w:val="0"/>
          <w:numId w:val="20"/>
        </w:numPr>
        <w:ind w:left="0" w:firstLine="480"/>
        <w:rPr>
          <w:color w:val="auto"/>
          <w:szCs w:val="28"/>
        </w:rPr>
      </w:pPr>
      <w:r>
        <w:rPr>
          <w:color w:val="auto"/>
          <w:szCs w:val="28"/>
        </w:rPr>
        <w:t>《污染源源强核算技术指南 准则》（HJ884-2018）；</w:t>
      </w:r>
    </w:p>
    <w:p w14:paraId="16CB6DF2">
      <w:pPr>
        <w:numPr>
          <w:ilvl w:val="0"/>
          <w:numId w:val="20"/>
        </w:numPr>
        <w:ind w:left="0" w:firstLine="480"/>
        <w:rPr>
          <w:color w:val="auto"/>
          <w:szCs w:val="28"/>
        </w:rPr>
      </w:pPr>
      <w:r>
        <w:rPr>
          <w:color w:val="auto"/>
          <w:szCs w:val="28"/>
        </w:rPr>
        <w:t>《污染源源强核算技术指南 电镀》（HJ984-2018）；</w:t>
      </w:r>
    </w:p>
    <w:p w14:paraId="15458DB2">
      <w:pPr>
        <w:numPr>
          <w:ilvl w:val="0"/>
          <w:numId w:val="20"/>
        </w:numPr>
        <w:ind w:left="0" w:firstLine="480"/>
        <w:rPr>
          <w:color w:val="auto"/>
          <w:szCs w:val="28"/>
        </w:rPr>
      </w:pPr>
      <w:r>
        <w:rPr>
          <w:color w:val="auto"/>
          <w:szCs w:val="28"/>
        </w:rPr>
        <w:t>《排污单位自行监测技术指南 电镀工业》（HJ985-2018）。</w:t>
      </w:r>
    </w:p>
    <w:bookmarkEnd w:id="23"/>
    <w:p w14:paraId="2859A2A8">
      <w:pPr>
        <w:keepNext/>
        <w:keepLines/>
        <w:spacing w:before="120" w:beforeLines="50"/>
        <w:ind w:firstLine="0" w:firstLineChars="0"/>
        <w:outlineLvl w:val="2"/>
        <w:rPr>
          <w:b/>
          <w:bCs/>
          <w:color w:val="auto"/>
          <w:sz w:val="28"/>
          <w:szCs w:val="36"/>
        </w:rPr>
      </w:pPr>
      <w:r>
        <w:rPr>
          <w:b/>
          <w:bCs/>
          <w:color w:val="auto"/>
          <w:sz w:val="28"/>
          <w:szCs w:val="36"/>
        </w:rPr>
        <w:t>2.1.5 有关技术文件及工作文件</w:t>
      </w:r>
    </w:p>
    <w:p w14:paraId="11C1DB54">
      <w:pPr>
        <w:widowControl/>
        <w:ind w:left="480" w:leftChars="200" w:firstLine="0" w:firstLineChars="0"/>
        <w:rPr>
          <w:color w:val="auto"/>
          <w:szCs w:val="28"/>
        </w:rPr>
      </w:pPr>
      <w:r>
        <w:rPr>
          <w:color w:val="auto"/>
          <w:szCs w:val="28"/>
        </w:rPr>
        <w:t>（1）项目进行环境影响评价的委托书；</w:t>
      </w:r>
    </w:p>
    <w:p w14:paraId="5507E641">
      <w:pPr>
        <w:widowControl/>
        <w:ind w:left="480" w:leftChars="200" w:firstLine="0" w:firstLineChars="0"/>
        <w:rPr>
          <w:color w:val="auto"/>
          <w:szCs w:val="28"/>
        </w:rPr>
      </w:pPr>
      <w:r>
        <w:rPr>
          <w:color w:val="auto"/>
          <w:szCs w:val="28"/>
        </w:rPr>
        <w:t>（2）建设单位提供的可行性研究报告及备案证；</w:t>
      </w:r>
    </w:p>
    <w:p w14:paraId="2B19230E">
      <w:pPr>
        <w:widowControl/>
        <w:ind w:left="480" w:leftChars="200" w:firstLine="0" w:firstLineChars="0"/>
        <w:rPr>
          <w:color w:val="auto"/>
          <w:szCs w:val="28"/>
        </w:rPr>
      </w:pPr>
      <w:r>
        <w:rPr>
          <w:color w:val="auto"/>
          <w:szCs w:val="28"/>
        </w:rPr>
        <w:t>（3）项目方提供的其它有关的技术资料。</w:t>
      </w:r>
    </w:p>
    <w:p w14:paraId="7E62A8F3">
      <w:pPr>
        <w:pStyle w:val="4"/>
        <w:spacing w:beforeLines="50" w:after="0"/>
        <w:ind w:firstLine="0" w:firstLineChars="0"/>
        <w:rPr>
          <w:color w:val="auto"/>
          <w:sz w:val="30"/>
          <w:szCs w:val="30"/>
        </w:rPr>
      </w:pPr>
      <w:bookmarkStart w:id="24" w:name="_Toc25187"/>
      <w:r>
        <w:rPr>
          <w:color w:val="auto"/>
          <w:sz w:val="30"/>
          <w:szCs w:val="30"/>
        </w:rPr>
        <w:t>2.2 评价目的及评价工作原则</w:t>
      </w:r>
      <w:bookmarkEnd w:id="24"/>
    </w:p>
    <w:p w14:paraId="29F85C74">
      <w:pPr>
        <w:keepNext/>
        <w:keepLines/>
        <w:spacing w:before="120" w:beforeLines="50"/>
        <w:ind w:firstLine="0" w:firstLineChars="0"/>
        <w:outlineLvl w:val="2"/>
        <w:rPr>
          <w:b/>
          <w:bCs/>
          <w:color w:val="auto"/>
          <w:sz w:val="28"/>
          <w:szCs w:val="36"/>
        </w:rPr>
      </w:pPr>
      <w:r>
        <w:rPr>
          <w:b/>
          <w:bCs/>
          <w:color w:val="auto"/>
          <w:sz w:val="28"/>
          <w:szCs w:val="36"/>
        </w:rPr>
        <w:t>2.2.1 评价目的</w:t>
      </w:r>
    </w:p>
    <w:p w14:paraId="37FF9074">
      <w:pPr>
        <w:pStyle w:val="1356"/>
        <w:ind w:firstLine="480"/>
        <w:rPr>
          <w:color w:val="auto"/>
        </w:rPr>
      </w:pPr>
      <w:r>
        <w:rPr>
          <w:color w:val="auto"/>
        </w:rPr>
        <w:t>在调查项目所在地环境质量现状的基础上，通过工程分析，识别项目污染因子和环境影响因素，预测项目建成投产后对周围环境的影响范围和程度，论证项目实施的环境可行性，并对项目选址及总体布局的合理性、环保措施的</w:t>
      </w:r>
      <w:r>
        <w:rPr>
          <w:rFonts w:hint="eastAsia"/>
          <w:color w:val="auto"/>
        </w:rPr>
        <w:t>可行性作出评价</w:t>
      </w:r>
      <w:r>
        <w:rPr>
          <w:color w:val="auto"/>
        </w:rPr>
        <w:t>，提出减轻和防止污染的具体对策及要求，为工程设计、环保决策提供科学依据。</w:t>
      </w:r>
    </w:p>
    <w:p w14:paraId="62558276">
      <w:pPr>
        <w:keepNext/>
        <w:keepLines/>
        <w:spacing w:before="120" w:beforeLines="50"/>
        <w:ind w:firstLine="0" w:firstLineChars="0"/>
        <w:outlineLvl w:val="2"/>
        <w:rPr>
          <w:b/>
          <w:bCs/>
          <w:color w:val="auto"/>
          <w:sz w:val="28"/>
          <w:szCs w:val="36"/>
        </w:rPr>
      </w:pPr>
      <w:r>
        <w:rPr>
          <w:b/>
          <w:bCs/>
          <w:color w:val="auto"/>
          <w:sz w:val="28"/>
          <w:szCs w:val="36"/>
        </w:rPr>
        <w:t>2.2.1 评价工作原则</w:t>
      </w:r>
    </w:p>
    <w:p w14:paraId="057ADE49">
      <w:pPr>
        <w:pStyle w:val="1356"/>
        <w:ind w:firstLine="480"/>
        <w:rPr>
          <w:color w:val="auto"/>
        </w:rPr>
      </w:pPr>
      <w:r>
        <w:rPr>
          <w:color w:val="auto"/>
        </w:rPr>
        <w:t>突出环境影响评价的源头预防作用，坚持保护和改善环境质量。</w:t>
      </w:r>
    </w:p>
    <w:p w14:paraId="55AE3BD5">
      <w:pPr>
        <w:pStyle w:val="1356"/>
        <w:ind w:firstLine="480"/>
        <w:rPr>
          <w:color w:val="auto"/>
        </w:rPr>
      </w:pPr>
      <w:r>
        <w:rPr>
          <w:color w:val="auto"/>
        </w:rPr>
        <w:t>（1）依法评价</w:t>
      </w:r>
    </w:p>
    <w:p w14:paraId="183A45C1">
      <w:pPr>
        <w:pStyle w:val="1356"/>
        <w:ind w:firstLine="480"/>
        <w:rPr>
          <w:color w:val="auto"/>
        </w:rPr>
      </w:pPr>
      <w:r>
        <w:rPr>
          <w:color w:val="auto"/>
        </w:rPr>
        <w:t>贯彻执行我国环境保护相关法律法规、标准、政策和规划等，优化项目建设，服务环境管理。</w:t>
      </w:r>
    </w:p>
    <w:p w14:paraId="0E92BBC2">
      <w:pPr>
        <w:pStyle w:val="1356"/>
        <w:ind w:firstLine="480"/>
        <w:rPr>
          <w:color w:val="auto"/>
        </w:rPr>
      </w:pPr>
      <w:r>
        <w:rPr>
          <w:color w:val="auto"/>
        </w:rPr>
        <w:t>（2）科学评价</w:t>
      </w:r>
    </w:p>
    <w:p w14:paraId="2E39AF42">
      <w:pPr>
        <w:pStyle w:val="1356"/>
        <w:ind w:firstLine="480"/>
        <w:rPr>
          <w:color w:val="auto"/>
        </w:rPr>
      </w:pPr>
      <w:r>
        <w:rPr>
          <w:color w:val="auto"/>
        </w:rPr>
        <w:t>规范环境影响评价方法，科学分析项目建设对环境质量的影响。</w:t>
      </w:r>
    </w:p>
    <w:p w14:paraId="76055023">
      <w:pPr>
        <w:pStyle w:val="1356"/>
        <w:ind w:firstLine="480"/>
        <w:rPr>
          <w:color w:val="auto"/>
        </w:rPr>
      </w:pPr>
      <w:r>
        <w:rPr>
          <w:color w:val="auto"/>
        </w:rPr>
        <w:t>（3）突出重点</w:t>
      </w:r>
    </w:p>
    <w:p w14:paraId="44E054C3">
      <w:pPr>
        <w:pStyle w:val="1356"/>
        <w:ind w:firstLine="480"/>
        <w:rPr>
          <w:color w:val="auto"/>
        </w:rPr>
      </w:pPr>
      <w:r>
        <w:rPr>
          <w:color w:val="auto"/>
        </w:rPr>
        <w:t>根据建设项目的工程内容及其特点，明确与环境要素间的作用效应关系，根据规划环境影响评价结论和审查意见，充分利用符合时效的数据资料及成果，对建设项目主要 环境影响予以重点分析和评价。</w:t>
      </w:r>
    </w:p>
    <w:p w14:paraId="6D209507">
      <w:pPr>
        <w:pStyle w:val="4"/>
        <w:spacing w:beforeLines="50" w:after="0"/>
        <w:ind w:firstLine="0" w:firstLineChars="0"/>
        <w:rPr>
          <w:color w:val="auto"/>
          <w:sz w:val="30"/>
          <w:szCs w:val="30"/>
        </w:rPr>
      </w:pPr>
      <w:bookmarkStart w:id="25" w:name="_Toc5816"/>
      <w:r>
        <w:rPr>
          <w:color w:val="auto"/>
          <w:sz w:val="30"/>
          <w:szCs w:val="30"/>
        </w:rPr>
        <w:t>2.3 环境影响识别与评价因子</w:t>
      </w:r>
      <w:bookmarkEnd w:id="25"/>
    </w:p>
    <w:p w14:paraId="160225BB">
      <w:pPr>
        <w:keepNext/>
        <w:keepLines/>
        <w:spacing w:before="120" w:beforeLines="50"/>
        <w:ind w:firstLine="0" w:firstLineChars="0"/>
        <w:outlineLvl w:val="2"/>
        <w:rPr>
          <w:b/>
          <w:bCs/>
          <w:color w:val="auto"/>
          <w:sz w:val="28"/>
          <w:szCs w:val="36"/>
        </w:rPr>
      </w:pPr>
      <w:r>
        <w:rPr>
          <w:b/>
          <w:bCs/>
          <w:color w:val="auto"/>
          <w:sz w:val="28"/>
          <w:szCs w:val="36"/>
        </w:rPr>
        <w:t>2.3.1 环境影响因素识别</w:t>
      </w:r>
    </w:p>
    <w:p w14:paraId="6B6E37E5">
      <w:pPr>
        <w:widowControl/>
        <w:ind w:firstLine="480"/>
        <w:rPr>
          <w:color w:val="auto"/>
          <w:szCs w:val="28"/>
        </w:rPr>
      </w:pPr>
      <w:r>
        <w:rPr>
          <w:color w:val="auto"/>
          <w:szCs w:val="28"/>
        </w:rPr>
        <w:t>根据环境污染分析及周边区域环境状况，对本项目环境影响因素进行综合分析，结果见表2.3.1-1。</w:t>
      </w:r>
    </w:p>
    <w:p w14:paraId="08258C8E">
      <w:pPr>
        <w:tabs>
          <w:tab w:val="left" w:pos="0"/>
        </w:tabs>
        <w:spacing w:line="240" w:lineRule="auto"/>
        <w:ind w:firstLine="0" w:firstLineChars="0"/>
        <w:jc w:val="center"/>
        <w:rPr>
          <w:b/>
          <w:color w:val="auto"/>
          <w:szCs w:val="20"/>
        </w:rPr>
        <w:sectPr>
          <w:footerReference r:id="rId15" w:type="even"/>
          <w:pgSz w:w="11906" w:h="16838"/>
          <w:pgMar w:top="1418" w:right="1418" w:bottom="1418" w:left="1418" w:header="851" w:footer="992" w:gutter="0"/>
          <w:cols w:space="720" w:num="1"/>
          <w:docGrid w:linePitch="326" w:charSpace="0"/>
        </w:sectPr>
      </w:pPr>
    </w:p>
    <w:p w14:paraId="3F7CD2C9">
      <w:pPr>
        <w:tabs>
          <w:tab w:val="left" w:pos="0"/>
        </w:tabs>
        <w:spacing w:line="240" w:lineRule="auto"/>
        <w:ind w:firstLine="0" w:firstLineChars="0"/>
        <w:jc w:val="center"/>
        <w:rPr>
          <w:b/>
          <w:color w:val="auto"/>
          <w:szCs w:val="20"/>
        </w:rPr>
      </w:pPr>
      <w:r>
        <w:rPr>
          <w:b/>
          <w:color w:val="auto"/>
          <w:szCs w:val="20"/>
        </w:rPr>
        <w:t>表2.3.1-1  环境影响矩阵识别表</w:t>
      </w:r>
    </w:p>
    <w:tbl>
      <w:tblPr>
        <w:tblStyle w:val="88"/>
        <w:tblW w:w="140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1"/>
        <w:gridCol w:w="1222"/>
        <w:gridCol w:w="1184"/>
        <w:gridCol w:w="1283"/>
        <w:gridCol w:w="1418"/>
        <w:gridCol w:w="1418"/>
        <w:gridCol w:w="1421"/>
        <w:gridCol w:w="1407"/>
        <w:gridCol w:w="1418"/>
        <w:gridCol w:w="1309"/>
        <w:gridCol w:w="1359"/>
      </w:tblGrid>
      <w:tr w14:paraId="477E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1793" w:type="dxa"/>
            <w:gridSpan w:val="2"/>
            <w:vMerge w:val="restart"/>
            <w:tcBorders>
              <w:tl2br w:val="nil"/>
              <w:tr2bl w:val="nil"/>
            </w:tcBorders>
            <w:shd w:val="clear" w:color="auto" w:fill="auto"/>
            <w:vAlign w:val="center"/>
          </w:tcPr>
          <w:p w14:paraId="32AF3BF7">
            <w:pPr>
              <w:spacing w:line="240" w:lineRule="auto"/>
              <w:ind w:firstLine="0" w:firstLineChars="0"/>
              <w:jc w:val="center"/>
              <w:rPr>
                <w:b/>
                <w:color w:val="auto"/>
                <w:kern w:val="0"/>
                <w:sz w:val="21"/>
                <w:szCs w:val="21"/>
                <w:lang w:bidi="ar"/>
              </w:rPr>
            </w:pPr>
            <w:bookmarkStart w:id="26" w:name="_Hlk515909300"/>
            <w:r>
              <w:rPr>
                <w:color w:val="auto"/>
                <w:sz w:val="21"/>
              </w:rPr>
              <mc:AlternateContent>
                <mc:Choice Requires="wps">
                  <w:drawing>
                    <wp:anchor distT="0" distB="0" distL="114300" distR="114300" simplePos="0" relativeHeight="251665408" behindDoc="0" locked="0" layoutInCell="1" allowOverlap="1">
                      <wp:simplePos x="0" y="0"/>
                      <wp:positionH relativeFrom="column">
                        <wp:posOffset>18415</wp:posOffset>
                      </wp:positionH>
                      <wp:positionV relativeFrom="paragraph">
                        <wp:posOffset>-14605</wp:posOffset>
                      </wp:positionV>
                      <wp:extent cx="1111250" cy="539750"/>
                      <wp:effectExtent l="2540" t="5715" r="10160" b="6985"/>
                      <wp:wrapNone/>
                      <wp:docPr id="62" name="直接连接符 62"/>
                      <wp:cNvGraphicFramePr/>
                      <a:graphic xmlns:a="http://schemas.openxmlformats.org/drawingml/2006/main">
                        <a:graphicData uri="http://schemas.microsoft.com/office/word/2010/wordprocessingShape">
                          <wps:wsp>
                            <wps:cNvCnPr/>
                            <wps:spPr>
                              <a:xfrm flipH="1" flipV="1">
                                <a:off x="916305" y="1148715"/>
                                <a:ext cx="1111250" cy="5397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45pt;margin-top:-1.15pt;height:42.5pt;width:87.5pt;z-index:251665408;mso-width-relative:page;mso-height-relative:page;" filled="f" stroked="t" coordsize="21600,21600" o:gfxdata="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VDssHXAAAABwEAAA8AAAAAAAAAAQAgAAAAIgAAAGRycy9kb3du&#10;cmV2LnhtbFBLAQIUABQAAAAIAIdO4kA9bYaQAAIAANgDAAAOAAAAAAAAAAEAIAAAACYBAABkcnMv&#10;ZTJvRG9jLnhtbFBLBQYAAAAABgAGAFkBAACYBQAAAAA=&#10;">
                      <v:fill on="f" focussize="0,0"/>
                      <v:stroke weight="1pt" color="#000000 [3213]" miterlimit="8" joinstyle="miter"/>
                      <v:imagedata o:title=""/>
                      <o:lock v:ext="edit" aspectratio="f"/>
                    </v:line>
                  </w:pict>
                </mc:Fallback>
              </mc:AlternateContent>
            </w:r>
            <w:r>
              <w:rPr>
                <w:b/>
                <w:color w:val="auto"/>
                <w:kern w:val="0"/>
                <w:sz w:val="21"/>
                <w:szCs w:val="21"/>
                <w:lang w:bidi="ar"/>
              </w:rPr>
              <w:t>影响受体</w:t>
            </w:r>
          </w:p>
          <w:p w14:paraId="079C4F7F">
            <w:pPr>
              <w:spacing w:line="240" w:lineRule="auto"/>
              <w:ind w:firstLine="0" w:firstLineChars="0"/>
              <w:jc w:val="center"/>
              <w:rPr>
                <w:b/>
                <w:color w:val="auto"/>
                <w:kern w:val="0"/>
                <w:sz w:val="21"/>
                <w:szCs w:val="21"/>
                <w:lang w:bidi="ar"/>
              </w:rPr>
            </w:pPr>
          </w:p>
          <w:p w14:paraId="12A269AC">
            <w:pPr>
              <w:spacing w:line="240" w:lineRule="auto"/>
              <w:ind w:firstLine="0" w:firstLineChars="0"/>
              <w:rPr>
                <w:b/>
                <w:color w:val="auto"/>
                <w:sz w:val="21"/>
                <w:szCs w:val="21"/>
              </w:rPr>
            </w:pPr>
            <w:r>
              <w:rPr>
                <w:b/>
                <w:color w:val="auto"/>
                <w:kern w:val="0"/>
                <w:sz w:val="21"/>
                <w:szCs w:val="21"/>
                <w:lang w:bidi="ar"/>
              </w:rPr>
              <w:t>影响因素</w:t>
            </w:r>
          </w:p>
        </w:tc>
        <w:tc>
          <w:tcPr>
            <w:tcW w:w="6724" w:type="dxa"/>
            <w:gridSpan w:val="5"/>
            <w:tcBorders>
              <w:tl2br w:val="nil"/>
              <w:tr2bl w:val="nil"/>
            </w:tcBorders>
            <w:shd w:val="clear" w:color="auto" w:fill="auto"/>
            <w:vAlign w:val="center"/>
          </w:tcPr>
          <w:p w14:paraId="7BBC973D">
            <w:pPr>
              <w:spacing w:line="240" w:lineRule="auto"/>
              <w:ind w:firstLine="0" w:firstLineChars="0"/>
              <w:jc w:val="center"/>
              <w:rPr>
                <w:b/>
                <w:color w:val="auto"/>
                <w:sz w:val="21"/>
                <w:szCs w:val="21"/>
              </w:rPr>
            </w:pPr>
            <w:r>
              <w:rPr>
                <w:b/>
                <w:color w:val="auto"/>
                <w:kern w:val="0"/>
                <w:sz w:val="21"/>
                <w:szCs w:val="21"/>
                <w:lang w:bidi="ar"/>
              </w:rPr>
              <w:t>自然环境</w:t>
            </w:r>
          </w:p>
        </w:tc>
        <w:tc>
          <w:tcPr>
            <w:tcW w:w="5493" w:type="dxa"/>
            <w:gridSpan w:val="4"/>
            <w:tcBorders>
              <w:tl2br w:val="nil"/>
              <w:tr2bl w:val="nil"/>
            </w:tcBorders>
            <w:shd w:val="clear" w:color="auto" w:fill="auto"/>
            <w:vAlign w:val="center"/>
          </w:tcPr>
          <w:p w14:paraId="0D03025D">
            <w:pPr>
              <w:spacing w:line="240" w:lineRule="auto"/>
              <w:ind w:firstLine="0" w:firstLineChars="0"/>
              <w:jc w:val="center"/>
              <w:rPr>
                <w:b/>
                <w:color w:val="auto"/>
                <w:sz w:val="21"/>
                <w:szCs w:val="21"/>
              </w:rPr>
            </w:pPr>
            <w:r>
              <w:rPr>
                <w:b/>
                <w:color w:val="auto"/>
                <w:kern w:val="0"/>
                <w:sz w:val="21"/>
                <w:szCs w:val="21"/>
                <w:lang w:bidi="ar"/>
              </w:rPr>
              <w:t>生态环境</w:t>
            </w:r>
          </w:p>
        </w:tc>
      </w:tr>
      <w:tr w14:paraId="02A7F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93" w:type="dxa"/>
            <w:gridSpan w:val="2"/>
            <w:vMerge w:val="continue"/>
            <w:tcBorders>
              <w:tl2br w:val="nil"/>
              <w:tr2bl w:val="nil"/>
            </w:tcBorders>
            <w:shd w:val="clear" w:color="auto" w:fill="auto"/>
            <w:vAlign w:val="center"/>
          </w:tcPr>
          <w:p w14:paraId="561D2164">
            <w:pPr>
              <w:spacing w:line="240" w:lineRule="auto"/>
              <w:ind w:firstLine="0" w:firstLineChars="0"/>
              <w:jc w:val="center"/>
              <w:rPr>
                <w:b/>
                <w:color w:val="auto"/>
                <w:sz w:val="20"/>
                <w:szCs w:val="20"/>
              </w:rPr>
            </w:pPr>
          </w:p>
        </w:tc>
        <w:tc>
          <w:tcPr>
            <w:tcW w:w="1184" w:type="dxa"/>
            <w:tcBorders>
              <w:tl2br w:val="nil"/>
              <w:tr2bl w:val="nil"/>
            </w:tcBorders>
            <w:shd w:val="clear" w:color="auto" w:fill="auto"/>
            <w:vAlign w:val="center"/>
          </w:tcPr>
          <w:p w14:paraId="3696D26B">
            <w:pPr>
              <w:spacing w:line="240" w:lineRule="auto"/>
              <w:ind w:firstLine="0" w:firstLineChars="0"/>
              <w:jc w:val="center"/>
              <w:rPr>
                <w:b/>
                <w:color w:val="auto"/>
                <w:sz w:val="21"/>
                <w:szCs w:val="21"/>
              </w:rPr>
            </w:pPr>
            <w:r>
              <w:rPr>
                <w:b/>
                <w:color w:val="auto"/>
                <w:kern w:val="0"/>
                <w:sz w:val="21"/>
                <w:szCs w:val="21"/>
                <w:lang w:bidi="ar"/>
              </w:rPr>
              <w:t>环境空气</w:t>
            </w:r>
          </w:p>
        </w:tc>
        <w:tc>
          <w:tcPr>
            <w:tcW w:w="1283" w:type="dxa"/>
            <w:tcBorders>
              <w:tl2br w:val="nil"/>
              <w:tr2bl w:val="nil"/>
            </w:tcBorders>
            <w:shd w:val="clear" w:color="auto" w:fill="auto"/>
            <w:vAlign w:val="center"/>
          </w:tcPr>
          <w:p w14:paraId="53132B96">
            <w:pPr>
              <w:spacing w:line="240" w:lineRule="auto"/>
              <w:ind w:firstLine="0" w:firstLineChars="0"/>
              <w:jc w:val="center"/>
              <w:rPr>
                <w:b/>
                <w:color w:val="auto"/>
                <w:sz w:val="21"/>
                <w:szCs w:val="21"/>
              </w:rPr>
            </w:pPr>
            <w:r>
              <w:rPr>
                <w:b/>
                <w:color w:val="auto"/>
                <w:kern w:val="0"/>
                <w:sz w:val="21"/>
                <w:szCs w:val="21"/>
                <w:lang w:bidi="ar"/>
              </w:rPr>
              <w:t>地表水环境</w:t>
            </w:r>
          </w:p>
        </w:tc>
        <w:tc>
          <w:tcPr>
            <w:tcW w:w="1418" w:type="dxa"/>
            <w:tcBorders>
              <w:tl2br w:val="nil"/>
              <w:tr2bl w:val="nil"/>
            </w:tcBorders>
            <w:shd w:val="clear" w:color="auto" w:fill="auto"/>
            <w:vAlign w:val="center"/>
          </w:tcPr>
          <w:p w14:paraId="217BF5BB">
            <w:pPr>
              <w:spacing w:line="240" w:lineRule="auto"/>
              <w:ind w:firstLine="0" w:firstLineChars="0"/>
              <w:jc w:val="center"/>
              <w:rPr>
                <w:b/>
                <w:color w:val="auto"/>
                <w:sz w:val="21"/>
                <w:szCs w:val="21"/>
              </w:rPr>
            </w:pPr>
            <w:r>
              <w:rPr>
                <w:b/>
                <w:color w:val="auto"/>
                <w:kern w:val="0"/>
                <w:sz w:val="21"/>
                <w:szCs w:val="21"/>
                <w:lang w:bidi="ar"/>
              </w:rPr>
              <w:t>地下水环境</w:t>
            </w:r>
          </w:p>
        </w:tc>
        <w:tc>
          <w:tcPr>
            <w:tcW w:w="1418" w:type="dxa"/>
            <w:tcBorders>
              <w:tl2br w:val="nil"/>
              <w:tr2bl w:val="nil"/>
            </w:tcBorders>
            <w:shd w:val="clear" w:color="auto" w:fill="auto"/>
            <w:vAlign w:val="center"/>
          </w:tcPr>
          <w:p w14:paraId="2B8ED16A">
            <w:pPr>
              <w:spacing w:line="240" w:lineRule="auto"/>
              <w:ind w:firstLine="0" w:firstLineChars="0"/>
              <w:jc w:val="center"/>
              <w:rPr>
                <w:b/>
                <w:color w:val="auto"/>
                <w:sz w:val="21"/>
                <w:szCs w:val="21"/>
              </w:rPr>
            </w:pPr>
            <w:r>
              <w:rPr>
                <w:b/>
                <w:color w:val="auto"/>
                <w:kern w:val="0"/>
                <w:sz w:val="21"/>
                <w:szCs w:val="21"/>
                <w:lang w:bidi="ar"/>
              </w:rPr>
              <w:t>土壤环境</w:t>
            </w:r>
          </w:p>
        </w:tc>
        <w:tc>
          <w:tcPr>
            <w:tcW w:w="1421" w:type="dxa"/>
            <w:tcBorders>
              <w:tl2br w:val="nil"/>
              <w:tr2bl w:val="nil"/>
            </w:tcBorders>
            <w:shd w:val="clear" w:color="auto" w:fill="auto"/>
            <w:vAlign w:val="center"/>
          </w:tcPr>
          <w:p w14:paraId="2104981E">
            <w:pPr>
              <w:spacing w:line="240" w:lineRule="auto"/>
              <w:ind w:firstLine="0" w:firstLineChars="0"/>
              <w:jc w:val="center"/>
              <w:rPr>
                <w:b/>
                <w:color w:val="auto"/>
                <w:sz w:val="21"/>
                <w:szCs w:val="21"/>
              </w:rPr>
            </w:pPr>
            <w:r>
              <w:rPr>
                <w:b/>
                <w:color w:val="auto"/>
                <w:kern w:val="0"/>
                <w:sz w:val="21"/>
                <w:szCs w:val="21"/>
                <w:lang w:bidi="ar"/>
              </w:rPr>
              <w:t>声环境</w:t>
            </w:r>
          </w:p>
        </w:tc>
        <w:tc>
          <w:tcPr>
            <w:tcW w:w="1407" w:type="dxa"/>
            <w:tcBorders>
              <w:tl2br w:val="nil"/>
              <w:tr2bl w:val="nil"/>
            </w:tcBorders>
            <w:shd w:val="clear" w:color="auto" w:fill="auto"/>
            <w:vAlign w:val="center"/>
          </w:tcPr>
          <w:p w14:paraId="484C6AC0">
            <w:pPr>
              <w:spacing w:line="240" w:lineRule="auto"/>
              <w:ind w:firstLine="0" w:firstLineChars="0"/>
              <w:jc w:val="center"/>
              <w:rPr>
                <w:b/>
                <w:color w:val="auto"/>
                <w:sz w:val="21"/>
                <w:szCs w:val="21"/>
              </w:rPr>
            </w:pPr>
            <w:r>
              <w:rPr>
                <w:b/>
                <w:color w:val="auto"/>
                <w:kern w:val="0"/>
                <w:sz w:val="21"/>
                <w:szCs w:val="21"/>
                <w:lang w:bidi="ar"/>
              </w:rPr>
              <w:t>陆域环境</w:t>
            </w:r>
          </w:p>
        </w:tc>
        <w:tc>
          <w:tcPr>
            <w:tcW w:w="1418" w:type="dxa"/>
            <w:tcBorders>
              <w:tl2br w:val="nil"/>
              <w:tr2bl w:val="nil"/>
            </w:tcBorders>
            <w:shd w:val="clear" w:color="auto" w:fill="auto"/>
            <w:vAlign w:val="center"/>
          </w:tcPr>
          <w:p w14:paraId="36A815E7">
            <w:pPr>
              <w:spacing w:line="240" w:lineRule="auto"/>
              <w:ind w:firstLine="0" w:firstLineChars="0"/>
              <w:jc w:val="center"/>
              <w:rPr>
                <w:b/>
                <w:color w:val="auto"/>
                <w:sz w:val="21"/>
                <w:szCs w:val="21"/>
              </w:rPr>
            </w:pPr>
            <w:r>
              <w:rPr>
                <w:b/>
                <w:color w:val="auto"/>
                <w:kern w:val="0"/>
                <w:sz w:val="21"/>
                <w:szCs w:val="21"/>
                <w:lang w:bidi="ar"/>
              </w:rPr>
              <w:t>水生生物</w:t>
            </w:r>
          </w:p>
        </w:tc>
        <w:tc>
          <w:tcPr>
            <w:tcW w:w="1309" w:type="dxa"/>
            <w:tcBorders>
              <w:tl2br w:val="nil"/>
              <w:tr2bl w:val="nil"/>
            </w:tcBorders>
            <w:shd w:val="clear" w:color="auto" w:fill="auto"/>
            <w:vAlign w:val="center"/>
          </w:tcPr>
          <w:p w14:paraId="695D03B3">
            <w:pPr>
              <w:spacing w:line="240" w:lineRule="auto"/>
              <w:ind w:firstLine="0" w:firstLineChars="0"/>
              <w:jc w:val="center"/>
              <w:rPr>
                <w:b/>
                <w:color w:val="auto"/>
                <w:sz w:val="21"/>
                <w:szCs w:val="21"/>
              </w:rPr>
            </w:pPr>
            <w:r>
              <w:rPr>
                <w:b/>
                <w:color w:val="auto"/>
                <w:kern w:val="0"/>
                <w:sz w:val="21"/>
                <w:szCs w:val="21"/>
                <w:lang w:bidi="ar"/>
              </w:rPr>
              <w:t>渔业资源</w:t>
            </w:r>
          </w:p>
        </w:tc>
        <w:tc>
          <w:tcPr>
            <w:tcW w:w="1359" w:type="dxa"/>
            <w:tcBorders>
              <w:tl2br w:val="nil"/>
              <w:tr2bl w:val="nil"/>
            </w:tcBorders>
            <w:shd w:val="clear" w:color="auto" w:fill="auto"/>
            <w:vAlign w:val="center"/>
          </w:tcPr>
          <w:p w14:paraId="3063E07E">
            <w:pPr>
              <w:spacing w:line="240" w:lineRule="auto"/>
              <w:ind w:firstLine="0" w:firstLineChars="0"/>
              <w:jc w:val="center"/>
              <w:rPr>
                <w:b/>
                <w:color w:val="auto"/>
                <w:sz w:val="21"/>
                <w:szCs w:val="21"/>
              </w:rPr>
            </w:pPr>
            <w:r>
              <w:rPr>
                <w:b/>
                <w:color w:val="auto"/>
                <w:kern w:val="0"/>
                <w:sz w:val="21"/>
                <w:szCs w:val="21"/>
                <w:lang w:bidi="ar"/>
              </w:rPr>
              <w:t>主要生态保护区域</w:t>
            </w:r>
          </w:p>
        </w:tc>
      </w:tr>
      <w:tr w14:paraId="7D009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restart"/>
            <w:tcBorders>
              <w:tl2br w:val="nil"/>
              <w:tr2bl w:val="nil"/>
            </w:tcBorders>
            <w:shd w:val="clear" w:color="auto" w:fill="auto"/>
            <w:vAlign w:val="center"/>
          </w:tcPr>
          <w:p w14:paraId="01783E6A">
            <w:pPr>
              <w:spacing w:line="240" w:lineRule="auto"/>
              <w:ind w:firstLine="0" w:firstLineChars="0"/>
              <w:jc w:val="center"/>
              <w:rPr>
                <w:color w:val="auto"/>
                <w:sz w:val="21"/>
                <w:szCs w:val="21"/>
              </w:rPr>
            </w:pPr>
            <w:r>
              <w:rPr>
                <w:color w:val="auto"/>
                <w:kern w:val="0"/>
                <w:sz w:val="21"/>
                <w:szCs w:val="21"/>
                <w:lang w:bidi="ar"/>
              </w:rPr>
              <w:t>施工期</w:t>
            </w:r>
          </w:p>
        </w:tc>
        <w:tc>
          <w:tcPr>
            <w:tcW w:w="1222" w:type="dxa"/>
            <w:tcBorders>
              <w:tl2br w:val="nil"/>
              <w:tr2bl w:val="nil"/>
            </w:tcBorders>
            <w:shd w:val="clear" w:color="auto" w:fill="auto"/>
            <w:vAlign w:val="center"/>
          </w:tcPr>
          <w:p w14:paraId="7CFF2C64">
            <w:pPr>
              <w:spacing w:line="240" w:lineRule="auto"/>
              <w:ind w:firstLine="0" w:firstLineChars="0"/>
              <w:jc w:val="center"/>
              <w:rPr>
                <w:color w:val="auto"/>
                <w:sz w:val="21"/>
                <w:szCs w:val="21"/>
              </w:rPr>
            </w:pPr>
            <w:r>
              <w:rPr>
                <w:color w:val="auto"/>
                <w:kern w:val="0"/>
                <w:sz w:val="21"/>
                <w:szCs w:val="21"/>
                <w:lang w:bidi="ar"/>
              </w:rPr>
              <w:t>废水排放</w:t>
            </w:r>
          </w:p>
        </w:tc>
        <w:tc>
          <w:tcPr>
            <w:tcW w:w="1184" w:type="dxa"/>
            <w:tcBorders>
              <w:tl2br w:val="nil"/>
              <w:tr2bl w:val="nil"/>
            </w:tcBorders>
            <w:shd w:val="clear" w:color="auto" w:fill="auto"/>
            <w:vAlign w:val="center"/>
          </w:tcPr>
          <w:p w14:paraId="6456FEE4">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787D66B0">
            <w:pPr>
              <w:spacing w:line="240" w:lineRule="auto"/>
              <w:ind w:firstLine="0" w:firstLineChars="0"/>
              <w:jc w:val="center"/>
              <w:rPr>
                <w:color w:val="auto"/>
                <w:sz w:val="21"/>
                <w:szCs w:val="21"/>
              </w:rPr>
            </w:pPr>
            <w:r>
              <w:rPr>
                <w:color w:val="auto"/>
                <w:kern w:val="0"/>
                <w:sz w:val="21"/>
                <w:szCs w:val="21"/>
                <w:lang w:bidi="ar"/>
              </w:rPr>
              <w:t>-1S.R.ID.NC</w:t>
            </w:r>
          </w:p>
        </w:tc>
        <w:tc>
          <w:tcPr>
            <w:tcW w:w="1418" w:type="dxa"/>
            <w:tcBorders>
              <w:tl2br w:val="nil"/>
              <w:tr2bl w:val="nil"/>
            </w:tcBorders>
            <w:shd w:val="clear" w:color="auto" w:fill="auto"/>
            <w:vAlign w:val="center"/>
          </w:tcPr>
          <w:p w14:paraId="7DD9636C">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17C81F3F">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736374D9">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4986952E">
            <w:pPr>
              <w:spacing w:line="240" w:lineRule="auto"/>
              <w:ind w:firstLine="0" w:firstLineChars="0"/>
              <w:jc w:val="center"/>
              <w:rPr>
                <w:color w:val="auto"/>
                <w:sz w:val="21"/>
                <w:szCs w:val="21"/>
              </w:rPr>
            </w:pPr>
            <w:r>
              <w:rPr>
                <w:color w:val="auto"/>
                <w:kern w:val="0"/>
                <w:sz w:val="21"/>
                <w:szCs w:val="21"/>
                <w:lang w:bidi="ar"/>
              </w:rPr>
              <w:t>-1L.R.D.C</w:t>
            </w:r>
          </w:p>
        </w:tc>
        <w:tc>
          <w:tcPr>
            <w:tcW w:w="1418" w:type="dxa"/>
            <w:tcBorders>
              <w:tl2br w:val="nil"/>
              <w:tr2bl w:val="nil"/>
            </w:tcBorders>
            <w:shd w:val="clear" w:color="auto" w:fill="auto"/>
            <w:vAlign w:val="center"/>
          </w:tcPr>
          <w:p w14:paraId="4B15D25D">
            <w:pPr>
              <w:spacing w:line="240" w:lineRule="auto"/>
              <w:ind w:firstLine="0" w:firstLineChars="0"/>
              <w:jc w:val="center"/>
              <w:rPr>
                <w:color w:val="auto"/>
                <w:sz w:val="21"/>
                <w:szCs w:val="21"/>
              </w:rPr>
            </w:pPr>
            <w:r>
              <w:rPr>
                <w:color w:val="auto"/>
                <w:kern w:val="0"/>
                <w:sz w:val="21"/>
                <w:szCs w:val="21"/>
                <w:lang w:bidi="ar"/>
              </w:rPr>
              <w:t>-1L.R.D.C</w:t>
            </w:r>
          </w:p>
        </w:tc>
        <w:tc>
          <w:tcPr>
            <w:tcW w:w="1309" w:type="dxa"/>
            <w:tcBorders>
              <w:tl2br w:val="nil"/>
              <w:tr2bl w:val="nil"/>
            </w:tcBorders>
            <w:shd w:val="clear" w:color="auto" w:fill="auto"/>
            <w:vAlign w:val="center"/>
          </w:tcPr>
          <w:p w14:paraId="1F340CA8">
            <w:pPr>
              <w:spacing w:line="240" w:lineRule="auto"/>
              <w:ind w:firstLine="0" w:firstLineChars="0"/>
              <w:jc w:val="center"/>
              <w:rPr>
                <w:color w:val="auto"/>
                <w:sz w:val="21"/>
                <w:szCs w:val="21"/>
              </w:rPr>
            </w:pPr>
            <w:r>
              <w:rPr>
                <w:color w:val="auto"/>
                <w:kern w:val="0"/>
                <w:sz w:val="21"/>
                <w:szCs w:val="21"/>
                <w:lang w:bidi="ar"/>
              </w:rPr>
              <w:t>-1L.R.D.C</w:t>
            </w:r>
          </w:p>
        </w:tc>
        <w:tc>
          <w:tcPr>
            <w:tcW w:w="1359" w:type="dxa"/>
            <w:tcBorders>
              <w:tl2br w:val="nil"/>
              <w:tr2bl w:val="nil"/>
            </w:tcBorders>
            <w:shd w:val="clear" w:color="auto" w:fill="auto"/>
            <w:vAlign w:val="center"/>
          </w:tcPr>
          <w:p w14:paraId="2AD65ED3">
            <w:pPr>
              <w:spacing w:line="240" w:lineRule="auto"/>
              <w:ind w:firstLine="0" w:firstLineChars="0"/>
              <w:jc w:val="center"/>
              <w:rPr>
                <w:color w:val="auto"/>
                <w:sz w:val="21"/>
                <w:szCs w:val="21"/>
              </w:rPr>
            </w:pPr>
            <w:r>
              <w:rPr>
                <w:color w:val="auto"/>
                <w:kern w:val="0"/>
                <w:sz w:val="21"/>
                <w:szCs w:val="21"/>
                <w:lang w:bidi="ar"/>
              </w:rPr>
              <w:t>0</w:t>
            </w:r>
          </w:p>
        </w:tc>
      </w:tr>
      <w:tr w14:paraId="14DDA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1BAD7ADF">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694F7714">
            <w:pPr>
              <w:spacing w:line="240" w:lineRule="auto"/>
              <w:ind w:firstLine="0" w:firstLineChars="0"/>
              <w:jc w:val="center"/>
              <w:rPr>
                <w:color w:val="auto"/>
                <w:sz w:val="21"/>
                <w:szCs w:val="21"/>
              </w:rPr>
            </w:pPr>
            <w:r>
              <w:rPr>
                <w:color w:val="auto"/>
                <w:kern w:val="0"/>
                <w:sz w:val="21"/>
                <w:szCs w:val="21"/>
                <w:lang w:bidi="ar"/>
              </w:rPr>
              <w:t>废气排放</w:t>
            </w:r>
          </w:p>
        </w:tc>
        <w:tc>
          <w:tcPr>
            <w:tcW w:w="1184" w:type="dxa"/>
            <w:tcBorders>
              <w:tl2br w:val="nil"/>
              <w:tr2bl w:val="nil"/>
            </w:tcBorders>
            <w:shd w:val="clear" w:color="auto" w:fill="auto"/>
            <w:vAlign w:val="center"/>
          </w:tcPr>
          <w:p w14:paraId="289831B4">
            <w:pPr>
              <w:spacing w:line="240" w:lineRule="auto"/>
              <w:ind w:firstLine="0" w:firstLineChars="0"/>
              <w:jc w:val="center"/>
              <w:rPr>
                <w:color w:val="auto"/>
                <w:sz w:val="21"/>
                <w:szCs w:val="21"/>
              </w:rPr>
            </w:pPr>
            <w:r>
              <w:rPr>
                <w:color w:val="auto"/>
                <w:kern w:val="0"/>
                <w:sz w:val="21"/>
                <w:szCs w:val="21"/>
                <w:lang w:bidi="ar"/>
              </w:rPr>
              <w:t>-1S.R.D.NC</w:t>
            </w:r>
          </w:p>
        </w:tc>
        <w:tc>
          <w:tcPr>
            <w:tcW w:w="1283" w:type="dxa"/>
            <w:tcBorders>
              <w:tl2br w:val="nil"/>
              <w:tr2bl w:val="nil"/>
            </w:tcBorders>
            <w:shd w:val="clear" w:color="auto" w:fill="auto"/>
            <w:vAlign w:val="center"/>
          </w:tcPr>
          <w:p w14:paraId="71B78E65">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29DEA7E3">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5DDB7838">
            <w:pPr>
              <w:spacing w:line="240" w:lineRule="auto"/>
              <w:ind w:firstLine="0" w:firstLineChars="0"/>
              <w:jc w:val="center"/>
              <w:rPr>
                <w:color w:val="auto"/>
                <w:sz w:val="21"/>
                <w:szCs w:val="21"/>
              </w:rPr>
            </w:pPr>
            <w:r>
              <w:rPr>
                <w:color w:val="auto"/>
                <w:kern w:val="0"/>
                <w:sz w:val="21"/>
                <w:szCs w:val="21"/>
                <w:lang w:bidi="ar"/>
              </w:rPr>
              <w:t>-1S.R.ID.C</w:t>
            </w:r>
          </w:p>
        </w:tc>
        <w:tc>
          <w:tcPr>
            <w:tcW w:w="1421" w:type="dxa"/>
            <w:tcBorders>
              <w:tl2br w:val="nil"/>
              <w:tr2bl w:val="nil"/>
            </w:tcBorders>
            <w:shd w:val="clear" w:color="auto" w:fill="auto"/>
            <w:vAlign w:val="center"/>
          </w:tcPr>
          <w:p w14:paraId="479FE47E">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5C0DA20B">
            <w:pPr>
              <w:spacing w:line="240" w:lineRule="auto"/>
              <w:ind w:firstLine="0" w:firstLineChars="0"/>
              <w:jc w:val="center"/>
              <w:rPr>
                <w:color w:val="auto"/>
                <w:sz w:val="21"/>
                <w:szCs w:val="21"/>
              </w:rPr>
            </w:pPr>
            <w:r>
              <w:rPr>
                <w:color w:val="auto"/>
                <w:kern w:val="0"/>
                <w:sz w:val="21"/>
                <w:szCs w:val="21"/>
                <w:lang w:bidi="ar"/>
              </w:rPr>
              <w:t>-1L.R.D.C</w:t>
            </w:r>
          </w:p>
        </w:tc>
        <w:tc>
          <w:tcPr>
            <w:tcW w:w="1418" w:type="dxa"/>
            <w:tcBorders>
              <w:tl2br w:val="nil"/>
              <w:tr2bl w:val="nil"/>
            </w:tcBorders>
            <w:shd w:val="clear" w:color="auto" w:fill="auto"/>
            <w:vAlign w:val="center"/>
          </w:tcPr>
          <w:p w14:paraId="120E6BE5">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4E4DF93F">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205FC38D">
            <w:pPr>
              <w:spacing w:line="240" w:lineRule="auto"/>
              <w:ind w:firstLine="0" w:firstLineChars="0"/>
              <w:jc w:val="center"/>
              <w:rPr>
                <w:color w:val="auto"/>
                <w:sz w:val="21"/>
                <w:szCs w:val="21"/>
              </w:rPr>
            </w:pPr>
            <w:r>
              <w:rPr>
                <w:color w:val="auto"/>
                <w:kern w:val="0"/>
                <w:sz w:val="21"/>
                <w:szCs w:val="21"/>
                <w:lang w:bidi="ar"/>
              </w:rPr>
              <w:t>0</w:t>
            </w:r>
          </w:p>
        </w:tc>
      </w:tr>
      <w:tr w14:paraId="2999B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175B8057">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2C574493">
            <w:pPr>
              <w:spacing w:line="240" w:lineRule="auto"/>
              <w:ind w:firstLine="0" w:firstLineChars="0"/>
              <w:jc w:val="center"/>
              <w:rPr>
                <w:color w:val="auto"/>
                <w:sz w:val="21"/>
                <w:szCs w:val="21"/>
              </w:rPr>
            </w:pPr>
            <w:r>
              <w:rPr>
                <w:color w:val="auto"/>
                <w:kern w:val="0"/>
                <w:sz w:val="21"/>
                <w:szCs w:val="21"/>
                <w:lang w:bidi="ar"/>
              </w:rPr>
              <w:t>噪声排放</w:t>
            </w:r>
          </w:p>
        </w:tc>
        <w:tc>
          <w:tcPr>
            <w:tcW w:w="1184" w:type="dxa"/>
            <w:tcBorders>
              <w:tl2br w:val="nil"/>
              <w:tr2bl w:val="nil"/>
            </w:tcBorders>
            <w:shd w:val="clear" w:color="auto" w:fill="auto"/>
            <w:vAlign w:val="center"/>
          </w:tcPr>
          <w:p w14:paraId="2AEE935F">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1D98606E">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79B82949">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2914C0BE">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1C33102B">
            <w:pPr>
              <w:spacing w:line="240" w:lineRule="auto"/>
              <w:ind w:firstLine="0" w:firstLineChars="0"/>
              <w:jc w:val="center"/>
              <w:rPr>
                <w:color w:val="auto"/>
                <w:sz w:val="21"/>
                <w:szCs w:val="21"/>
              </w:rPr>
            </w:pPr>
            <w:r>
              <w:rPr>
                <w:color w:val="auto"/>
                <w:kern w:val="0"/>
                <w:sz w:val="21"/>
                <w:szCs w:val="21"/>
                <w:lang w:bidi="ar"/>
              </w:rPr>
              <w:t>-1L.R.D.C</w:t>
            </w:r>
          </w:p>
        </w:tc>
        <w:tc>
          <w:tcPr>
            <w:tcW w:w="1407" w:type="dxa"/>
            <w:tcBorders>
              <w:tl2br w:val="nil"/>
              <w:tr2bl w:val="nil"/>
            </w:tcBorders>
            <w:shd w:val="clear" w:color="auto" w:fill="auto"/>
            <w:vAlign w:val="center"/>
          </w:tcPr>
          <w:p w14:paraId="6DFFFE9C">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10D7A155">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3B54FAB1">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462236B6">
            <w:pPr>
              <w:spacing w:line="240" w:lineRule="auto"/>
              <w:ind w:firstLine="0" w:firstLineChars="0"/>
              <w:jc w:val="center"/>
              <w:rPr>
                <w:color w:val="auto"/>
                <w:sz w:val="21"/>
                <w:szCs w:val="21"/>
              </w:rPr>
            </w:pPr>
            <w:r>
              <w:rPr>
                <w:color w:val="auto"/>
                <w:kern w:val="0"/>
                <w:sz w:val="21"/>
                <w:szCs w:val="21"/>
                <w:lang w:bidi="ar"/>
              </w:rPr>
              <w:t>0</w:t>
            </w:r>
          </w:p>
        </w:tc>
      </w:tr>
      <w:tr w14:paraId="4586A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0955BA79">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38DF72AC">
            <w:pPr>
              <w:spacing w:line="240" w:lineRule="auto"/>
              <w:ind w:firstLine="0" w:firstLineChars="0"/>
              <w:jc w:val="center"/>
              <w:rPr>
                <w:color w:val="auto"/>
                <w:sz w:val="21"/>
                <w:szCs w:val="21"/>
              </w:rPr>
            </w:pPr>
            <w:r>
              <w:rPr>
                <w:color w:val="auto"/>
                <w:kern w:val="0"/>
                <w:sz w:val="21"/>
                <w:szCs w:val="21"/>
                <w:lang w:bidi="ar"/>
              </w:rPr>
              <w:t>固体废物</w:t>
            </w:r>
          </w:p>
        </w:tc>
        <w:tc>
          <w:tcPr>
            <w:tcW w:w="1184" w:type="dxa"/>
            <w:tcBorders>
              <w:tl2br w:val="nil"/>
              <w:tr2bl w:val="nil"/>
            </w:tcBorders>
            <w:shd w:val="clear" w:color="auto" w:fill="auto"/>
            <w:vAlign w:val="center"/>
          </w:tcPr>
          <w:p w14:paraId="6F3F0B98">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60ACC1A0">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5E8CF742">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60F67A8A">
            <w:pPr>
              <w:spacing w:line="240" w:lineRule="auto"/>
              <w:ind w:firstLine="0" w:firstLineChars="0"/>
              <w:jc w:val="center"/>
              <w:rPr>
                <w:color w:val="auto"/>
                <w:sz w:val="21"/>
                <w:szCs w:val="21"/>
              </w:rPr>
            </w:pPr>
            <w:r>
              <w:rPr>
                <w:color w:val="auto"/>
                <w:kern w:val="0"/>
                <w:sz w:val="21"/>
                <w:szCs w:val="21"/>
                <w:lang w:bidi="ar"/>
              </w:rPr>
              <w:t>-1S.R.D.NC</w:t>
            </w:r>
          </w:p>
        </w:tc>
        <w:tc>
          <w:tcPr>
            <w:tcW w:w="1421" w:type="dxa"/>
            <w:tcBorders>
              <w:tl2br w:val="nil"/>
              <w:tr2bl w:val="nil"/>
            </w:tcBorders>
            <w:shd w:val="clear" w:color="auto" w:fill="auto"/>
            <w:vAlign w:val="center"/>
          </w:tcPr>
          <w:p w14:paraId="6AC7D89F">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0FCE3976">
            <w:pPr>
              <w:spacing w:line="240" w:lineRule="auto"/>
              <w:ind w:firstLine="0" w:firstLineChars="0"/>
              <w:jc w:val="center"/>
              <w:rPr>
                <w:color w:val="auto"/>
                <w:sz w:val="21"/>
                <w:szCs w:val="21"/>
              </w:rPr>
            </w:pPr>
            <w:r>
              <w:rPr>
                <w:color w:val="auto"/>
                <w:kern w:val="0"/>
                <w:sz w:val="21"/>
                <w:szCs w:val="21"/>
                <w:lang w:bidi="ar"/>
              </w:rPr>
              <w:t>-1L.R.D.C</w:t>
            </w:r>
          </w:p>
        </w:tc>
        <w:tc>
          <w:tcPr>
            <w:tcW w:w="1418" w:type="dxa"/>
            <w:tcBorders>
              <w:tl2br w:val="nil"/>
              <w:tr2bl w:val="nil"/>
            </w:tcBorders>
            <w:shd w:val="clear" w:color="auto" w:fill="auto"/>
            <w:vAlign w:val="center"/>
          </w:tcPr>
          <w:p w14:paraId="757F1458">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273C61D1">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52814D7D">
            <w:pPr>
              <w:spacing w:line="240" w:lineRule="auto"/>
              <w:ind w:firstLine="0" w:firstLineChars="0"/>
              <w:jc w:val="center"/>
              <w:rPr>
                <w:color w:val="auto"/>
                <w:sz w:val="21"/>
                <w:szCs w:val="21"/>
              </w:rPr>
            </w:pPr>
            <w:r>
              <w:rPr>
                <w:color w:val="auto"/>
                <w:kern w:val="0"/>
                <w:sz w:val="21"/>
                <w:szCs w:val="21"/>
                <w:lang w:bidi="ar"/>
              </w:rPr>
              <w:t>0</w:t>
            </w:r>
          </w:p>
        </w:tc>
      </w:tr>
      <w:tr w14:paraId="3D1BB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59E5F290">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65975D9F">
            <w:pPr>
              <w:spacing w:line="240" w:lineRule="auto"/>
              <w:ind w:firstLine="0" w:firstLineChars="0"/>
              <w:jc w:val="center"/>
              <w:rPr>
                <w:color w:val="auto"/>
                <w:sz w:val="21"/>
                <w:szCs w:val="21"/>
              </w:rPr>
            </w:pPr>
            <w:r>
              <w:rPr>
                <w:color w:val="auto"/>
                <w:kern w:val="0"/>
                <w:sz w:val="21"/>
                <w:szCs w:val="21"/>
                <w:lang w:bidi="ar"/>
              </w:rPr>
              <w:t>事故风险</w:t>
            </w:r>
          </w:p>
        </w:tc>
        <w:tc>
          <w:tcPr>
            <w:tcW w:w="1184" w:type="dxa"/>
            <w:tcBorders>
              <w:tl2br w:val="nil"/>
              <w:tr2bl w:val="nil"/>
            </w:tcBorders>
            <w:shd w:val="clear" w:color="auto" w:fill="auto"/>
            <w:vAlign w:val="center"/>
          </w:tcPr>
          <w:p w14:paraId="7AEF7865">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4FEAC083">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7BE84B4F">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199E2138">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626D1D36">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0F067F7B">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07554384">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6D0BCA69">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78610578">
            <w:pPr>
              <w:spacing w:line="240" w:lineRule="auto"/>
              <w:ind w:firstLine="0" w:firstLineChars="0"/>
              <w:jc w:val="center"/>
              <w:rPr>
                <w:color w:val="auto"/>
                <w:sz w:val="21"/>
                <w:szCs w:val="21"/>
              </w:rPr>
            </w:pPr>
            <w:r>
              <w:rPr>
                <w:color w:val="auto"/>
                <w:kern w:val="0"/>
                <w:sz w:val="21"/>
                <w:szCs w:val="21"/>
                <w:lang w:bidi="ar"/>
              </w:rPr>
              <w:t>0</w:t>
            </w:r>
          </w:p>
        </w:tc>
      </w:tr>
      <w:tr w14:paraId="3982A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restart"/>
            <w:tcBorders>
              <w:tl2br w:val="nil"/>
              <w:tr2bl w:val="nil"/>
            </w:tcBorders>
            <w:shd w:val="clear" w:color="auto" w:fill="auto"/>
            <w:vAlign w:val="center"/>
          </w:tcPr>
          <w:p w14:paraId="6B95A1FF">
            <w:pPr>
              <w:spacing w:line="240" w:lineRule="auto"/>
              <w:ind w:firstLine="0" w:firstLineChars="0"/>
              <w:jc w:val="center"/>
              <w:rPr>
                <w:color w:val="auto"/>
                <w:sz w:val="21"/>
                <w:szCs w:val="21"/>
              </w:rPr>
            </w:pPr>
            <w:r>
              <w:rPr>
                <w:color w:val="auto"/>
                <w:kern w:val="0"/>
                <w:sz w:val="21"/>
                <w:szCs w:val="21"/>
                <w:lang w:bidi="ar"/>
              </w:rPr>
              <w:t>运行</w:t>
            </w:r>
          </w:p>
          <w:p w14:paraId="6674A1C8">
            <w:pPr>
              <w:spacing w:line="240" w:lineRule="auto"/>
              <w:ind w:firstLine="0" w:firstLineChars="0"/>
              <w:jc w:val="center"/>
              <w:rPr>
                <w:color w:val="auto"/>
                <w:sz w:val="21"/>
                <w:szCs w:val="21"/>
              </w:rPr>
            </w:pPr>
            <w:r>
              <w:rPr>
                <w:color w:val="auto"/>
                <w:kern w:val="0"/>
                <w:sz w:val="21"/>
                <w:szCs w:val="21"/>
                <w:lang w:bidi="ar"/>
              </w:rPr>
              <w:t>期</w:t>
            </w:r>
          </w:p>
        </w:tc>
        <w:tc>
          <w:tcPr>
            <w:tcW w:w="1222" w:type="dxa"/>
            <w:tcBorders>
              <w:tl2br w:val="nil"/>
              <w:tr2bl w:val="nil"/>
            </w:tcBorders>
            <w:shd w:val="clear" w:color="auto" w:fill="auto"/>
            <w:vAlign w:val="center"/>
          </w:tcPr>
          <w:p w14:paraId="236F5019">
            <w:pPr>
              <w:spacing w:line="240" w:lineRule="auto"/>
              <w:ind w:firstLine="0" w:firstLineChars="0"/>
              <w:jc w:val="center"/>
              <w:rPr>
                <w:color w:val="auto"/>
                <w:sz w:val="21"/>
                <w:szCs w:val="21"/>
              </w:rPr>
            </w:pPr>
            <w:r>
              <w:rPr>
                <w:color w:val="auto"/>
                <w:kern w:val="0"/>
                <w:sz w:val="21"/>
                <w:szCs w:val="21"/>
                <w:lang w:bidi="ar"/>
              </w:rPr>
              <w:t>废水排放</w:t>
            </w:r>
          </w:p>
        </w:tc>
        <w:tc>
          <w:tcPr>
            <w:tcW w:w="1184" w:type="dxa"/>
            <w:tcBorders>
              <w:tl2br w:val="nil"/>
              <w:tr2bl w:val="nil"/>
            </w:tcBorders>
            <w:shd w:val="clear" w:color="auto" w:fill="auto"/>
            <w:vAlign w:val="center"/>
          </w:tcPr>
          <w:p w14:paraId="00608BC7">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12DF09B8">
            <w:pPr>
              <w:spacing w:line="240" w:lineRule="auto"/>
              <w:ind w:firstLine="0" w:firstLineChars="0"/>
              <w:jc w:val="center"/>
              <w:rPr>
                <w:color w:val="auto"/>
                <w:sz w:val="21"/>
                <w:szCs w:val="21"/>
              </w:rPr>
            </w:pPr>
            <w:r>
              <w:rPr>
                <w:color w:val="auto"/>
                <w:kern w:val="0"/>
                <w:sz w:val="21"/>
                <w:szCs w:val="21"/>
                <w:lang w:bidi="ar"/>
              </w:rPr>
              <w:t>-1S.R.D.NC</w:t>
            </w:r>
          </w:p>
        </w:tc>
        <w:tc>
          <w:tcPr>
            <w:tcW w:w="1418" w:type="dxa"/>
            <w:tcBorders>
              <w:tl2br w:val="nil"/>
              <w:tr2bl w:val="nil"/>
            </w:tcBorders>
            <w:shd w:val="clear" w:color="auto" w:fill="auto"/>
            <w:vAlign w:val="center"/>
          </w:tcPr>
          <w:p w14:paraId="118482B5">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239717B4">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76751807">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0527CD71">
            <w:pPr>
              <w:spacing w:line="240" w:lineRule="auto"/>
              <w:ind w:firstLine="0" w:firstLineChars="0"/>
              <w:jc w:val="center"/>
              <w:rPr>
                <w:color w:val="auto"/>
                <w:sz w:val="21"/>
                <w:szCs w:val="21"/>
              </w:rPr>
            </w:pPr>
            <w:r>
              <w:rPr>
                <w:color w:val="auto"/>
                <w:kern w:val="0"/>
                <w:sz w:val="21"/>
                <w:szCs w:val="21"/>
                <w:lang w:bidi="ar"/>
              </w:rPr>
              <w:t>-1L.R.D.C</w:t>
            </w:r>
          </w:p>
        </w:tc>
        <w:tc>
          <w:tcPr>
            <w:tcW w:w="1418" w:type="dxa"/>
            <w:tcBorders>
              <w:tl2br w:val="nil"/>
              <w:tr2bl w:val="nil"/>
            </w:tcBorders>
            <w:shd w:val="clear" w:color="auto" w:fill="auto"/>
            <w:vAlign w:val="center"/>
          </w:tcPr>
          <w:p w14:paraId="63011621">
            <w:pPr>
              <w:spacing w:line="240" w:lineRule="auto"/>
              <w:ind w:firstLine="0" w:firstLineChars="0"/>
              <w:jc w:val="center"/>
              <w:rPr>
                <w:color w:val="auto"/>
                <w:sz w:val="21"/>
                <w:szCs w:val="21"/>
              </w:rPr>
            </w:pPr>
            <w:r>
              <w:rPr>
                <w:color w:val="auto"/>
                <w:kern w:val="0"/>
                <w:sz w:val="21"/>
                <w:szCs w:val="21"/>
                <w:lang w:bidi="ar"/>
              </w:rPr>
              <w:t>-1L.R.D.C</w:t>
            </w:r>
          </w:p>
        </w:tc>
        <w:tc>
          <w:tcPr>
            <w:tcW w:w="1309" w:type="dxa"/>
            <w:tcBorders>
              <w:tl2br w:val="nil"/>
              <w:tr2bl w:val="nil"/>
            </w:tcBorders>
            <w:shd w:val="clear" w:color="auto" w:fill="auto"/>
            <w:vAlign w:val="center"/>
          </w:tcPr>
          <w:p w14:paraId="3BBAE507">
            <w:pPr>
              <w:spacing w:line="240" w:lineRule="auto"/>
              <w:ind w:firstLine="0" w:firstLineChars="0"/>
              <w:jc w:val="center"/>
              <w:rPr>
                <w:color w:val="auto"/>
                <w:sz w:val="21"/>
                <w:szCs w:val="21"/>
              </w:rPr>
            </w:pPr>
            <w:r>
              <w:rPr>
                <w:color w:val="auto"/>
                <w:kern w:val="0"/>
                <w:sz w:val="21"/>
                <w:szCs w:val="21"/>
                <w:lang w:bidi="ar"/>
              </w:rPr>
              <w:t>-1L.R.D.C</w:t>
            </w:r>
          </w:p>
        </w:tc>
        <w:tc>
          <w:tcPr>
            <w:tcW w:w="1359" w:type="dxa"/>
            <w:tcBorders>
              <w:tl2br w:val="nil"/>
              <w:tr2bl w:val="nil"/>
            </w:tcBorders>
            <w:shd w:val="clear" w:color="auto" w:fill="auto"/>
            <w:vAlign w:val="center"/>
          </w:tcPr>
          <w:p w14:paraId="0BF10CBF">
            <w:pPr>
              <w:spacing w:line="240" w:lineRule="auto"/>
              <w:ind w:firstLine="0" w:firstLineChars="0"/>
              <w:jc w:val="center"/>
              <w:rPr>
                <w:color w:val="auto"/>
                <w:sz w:val="21"/>
                <w:szCs w:val="21"/>
              </w:rPr>
            </w:pPr>
            <w:r>
              <w:rPr>
                <w:color w:val="auto"/>
                <w:kern w:val="0"/>
                <w:sz w:val="21"/>
                <w:szCs w:val="21"/>
                <w:lang w:bidi="ar"/>
              </w:rPr>
              <w:t>0</w:t>
            </w:r>
          </w:p>
        </w:tc>
      </w:tr>
      <w:tr w14:paraId="658A2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65728658">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7598C3B8">
            <w:pPr>
              <w:spacing w:line="240" w:lineRule="auto"/>
              <w:ind w:firstLine="0" w:firstLineChars="0"/>
              <w:jc w:val="center"/>
              <w:rPr>
                <w:color w:val="auto"/>
                <w:sz w:val="21"/>
                <w:szCs w:val="21"/>
              </w:rPr>
            </w:pPr>
            <w:r>
              <w:rPr>
                <w:color w:val="auto"/>
                <w:kern w:val="0"/>
                <w:sz w:val="21"/>
                <w:szCs w:val="21"/>
                <w:lang w:bidi="ar"/>
              </w:rPr>
              <w:t>废气排放</w:t>
            </w:r>
          </w:p>
        </w:tc>
        <w:tc>
          <w:tcPr>
            <w:tcW w:w="1184" w:type="dxa"/>
            <w:tcBorders>
              <w:tl2br w:val="nil"/>
              <w:tr2bl w:val="nil"/>
            </w:tcBorders>
            <w:shd w:val="clear" w:color="auto" w:fill="auto"/>
            <w:vAlign w:val="center"/>
          </w:tcPr>
          <w:p w14:paraId="00995D50">
            <w:pPr>
              <w:spacing w:line="240" w:lineRule="auto"/>
              <w:ind w:firstLine="0" w:firstLineChars="0"/>
              <w:jc w:val="center"/>
              <w:rPr>
                <w:color w:val="auto"/>
                <w:sz w:val="21"/>
                <w:szCs w:val="21"/>
              </w:rPr>
            </w:pPr>
            <w:r>
              <w:rPr>
                <w:color w:val="auto"/>
                <w:kern w:val="0"/>
                <w:sz w:val="21"/>
                <w:szCs w:val="21"/>
                <w:lang w:bidi="ar"/>
              </w:rPr>
              <w:t>-1S.R.D.NC</w:t>
            </w:r>
          </w:p>
        </w:tc>
        <w:tc>
          <w:tcPr>
            <w:tcW w:w="1283" w:type="dxa"/>
            <w:tcBorders>
              <w:tl2br w:val="nil"/>
              <w:tr2bl w:val="nil"/>
            </w:tcBorders>
            <w:shd w:val="clear" w:color="auto" w:fill="auto"/>
            <w:vAlign w:val="center"/>
          </w:tcPr>
          <w:p w14:paraId="169D7618">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31C83AC2">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6982E0C1">
            <w:pPr>
              <w:spacing w:line="240" w:lineRule="auto"/>
              <w:ind w:firstLine="0" w:firstLineChars="0"/>
              <w:jc w:val="center"/>
              <w:rPr>
                <w:color w:val="auto"/>
                <w:sz w:val="21"/>
                <w:szCs w:val="21"/>
              </w:rPr>
            </w:pPr>
            <w:r>
              <w:rPr>
                <w:color w:val="auto"/>
                <w:kern w:val="0"/>
                <w:sz w:val="21"/>
                <w:szCs w:val="21"/>
                <w:lang w:bidi="ar"/>
              </w:rPr>
              <w:t>-1S.R.ID.C</w:t>
            </w:r>
          </w:p>
        </w:tc>
        <w:tc>
          <w:tcPr>
            <w:tcW w:w="1421" w:type="dxa"/>
            <w:tcBorders>
              <w:tl2br w:val="nil"/>
              <w:tr2bl w:val="nil"/>
            </w:tcBorders>
            <w:shd w:val="clear" w:color="auto" w:fill="auto"/>
            <w:vAlign w:val="center"/>
          </w:tcPr>
          <w:p w14:paraId="5CF53E1D">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475CD991">
            <w:pPr>
              <w:spacing w:line="240" w:lineRule="auto"/>
              <w:ind w:firstLine="0" w:firstLineChars="0"/>
              <w:jc w:val="center"/>
              <w:rPr>
                <w:color w:val="auto"/>
                <w:sz w:val="21"/>
                <w:szCs w:val="21"/>
              </w:rPr>
            </w:pPr>
            <w:r>
              <w:rPr>
                <w:color w:val="auto"/>
                <w:kern w:val="0"/>
                <w:sz w:val="21"/>
                <w:szCs w:val="21"/>
                <w:lang w:bidi="ar"/>
              </w:rPr>
              <w:t>-1L.R.D.C</w:t>
            </w:r>
          </w:p>
        </w:tc>
        <w:tc>
          <w:tcPr>
            <w:tcW w:w="1418" w:type="dxa"/>
            <w:tcBorders>
              <w:tl2br w:val="nil"/>
              <w:tr2bl w:val="nil"/>
            </w:tcBorders>
            <w:shd w:val="clear" w:color="auto" w:fill="auto"/>
            <w:vAlign w:val="center"/>
          </w:tcPr>
          <w:p w14:paraId="50137341">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15396DD1">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57369F4D">
            <w:pPr>
              <w:spacing w:line="240" w:lineRule="auto"/>
              <w:ind w:firstLine="0" w:firstLineChars="0"/>
              <w:jc w:val="center"/>
              <w:rPr>
                <w:color w:val="auto"/>
                <w:sz w:val="21"/>
                <w:szCs w:val="21"/>
              </w:rPr>
            </w:pPr>
            <w:r>
              <w:rPr>
                <w:color w:val="auto"/>
                <w:kern w:val="0"/>
                <w:sz w:val="21"/>
                <w:szCs w:val="21"/>
                <w:lang w:bidi="ar"/>
              </w:rPr>
              <w:t>-1L.R.D.C</w:t>
            </w:r>
          </w:p>
        </w:tc>
      </w:tr>
      <w:tr w14:paraId="563D2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7FCEED6E">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40778E0C">
            <w:pPr>
              <w:spacing w:line="240" w:lineRule="auto"/>
              <w:ind w:firstLine="0" w:firstLineChars="0"/>
              <w:jc w:val="center"/>
              <w:rPr>
                <w:color w:val="auto"/>
                <w:sz w:val="21"/>
                <w:szCs w:val="21"/>
              </w:rPr>
            </w:pPr>
            <w:r>
              <w:rPr>
                <w:color w:val="auto"/>
                <w:kern w:val="0"/>
                <w:sz w:val="21"/>
                <w:szCs w:val="21"/>
                <w:lang w:bidi="ar"/>
              </w:rPr>
              <w:t>噪声排放</w:t>
            </w:r>
          </w:p>
        </w:tc>
        <w:tc>
          <w:tcPr>
            <w:tcW w:w="1184" w:type="dxa"/>
            <w:tcBorders>
              <w:tl2br w:val="nil"/>
              <w:tr2bl w:val="nil"/>
            </w:tcBorders>
            <w:shd w:val="clear" w:color="auto" w:fill="auto"/>
            <w:vAlign w:val="center"/>
          </w:tcPr>
          <w:p w14:paraId="45912A37">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6D0D613C">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35583229">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13891003">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0C37F0A6">
            <w:pPr>
              <w:spacing w:line="240" w:lineRule="auto"/>
              <w:ind w:firstLine="0" w:firstLineChars="0"/>
              <w:jc w:val="center"/>
              <w:rPr>
                <w:color w:val="auto"/>
                <w:sz w:val="21"/>
                <w:szCs w:val="21"/>
              </w:rPr>
            </w:pPr>
            <w:r>
              <w:rPr>
                <w:color w:val="auto"/>
                <w:kern w:val="0"/>
                <w:sz w:val="21"/>
                <w:szCs w:val="21"/>
                <w:lang w:bidi="ar"/>
              </w:rPr>
              <w:t>-1L.R.D.C</w:t>
            </w:r>
          </w:p>
        </w:tc>
        <w:tc>
          <w:tcPr>
            <w:tcW w:w="1407" w:type="dxa"/>
            <w:tcBorders>
              <w:tl2br w:val="nil"/>
              <w:tr2bl w:val="nil"/>
            </w:tcBorders>
            <w:shd w:val="clear" w:color="auto" w:fill="auto"/>
            <w:vAlign w:val="center"/>
          </w:tcPr>
          <w:p w14:paraId="5917D490">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0242845D">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4CDC946A">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45367BEE">
            <w:pPr>
              <w:spacing w:line="240" w:lineRule="auto"/>
              <w:ind w:firstLine="0" w:firstLineChars="0"/>
              <w:jc w:val="center"/>
              <w:rPr>
                <w:color w:val="auto"/>
                <w:sz w:val="21"/>
                <w:szCs w:val="21"/>
              </w:rPr>
            </w:pPr>
            <w:r>
              <w:rPr>
                <w:color w:val="auto"/>
                <w:kern w:val="0"/>
                <w:sz w:val="21"/>
                <w:szCs w:val="21"/>
                <w:lang w:bidi="ar"/>
              </w:rPr>
              <w:t>0</w:t>
            </w:r>
          </w:p>
        </w:tc>
      </w:tr>
      <w:tr w14:paraId="0DB0B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03001881">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35B8C5CF">
            <w:pPr>
              <w:spacing w:line="240" w:lineRule="auto"/>
              <w:ind w:firstLine="0" w:firstLineChars="0"/>
              <w:jc w:val="center"/>
              <w:rPr>
                <w:color w:val="auto"/>
                <w:sz w:val="21"/>
                <w:szCs w:val="21"/>
              </w:rPr>
            </w:pPr>
            <w:r>
              <w:rPr>
                <w:color w:val="auto"/>
                <w:kern w:val="0"/>
                <w:sz w:val="21"/>
                <w:szCs w:val="21"/>
                <w:lang w:bidi="ar"/>
              </w:rPr>
              <w:t>固体废物</w:t>
            </w:r>
          </w:p>
        </w:tc>
        <w:tc>
          <w:tcPr>
            <w:tcW w:w="1184" w:type="dxa"/>
            <w:tcBorders>
              <w:tl2br w:val="nil"/>
              <w:tr2bl w:val="nil"/>
            </w:tcBorders>
            <w:shd w:val="clear" w:color="auto" w:fill="auto"/>
            <w:vAlign w:val="center"/>
          </w:tcPr>
          <w:p w14:paraId="0C8971D8">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0FE11535">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48F74C66">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523ABD18">
            <w:pPr>
              <w:spacing w:line="240" w:lineRule="auto"/>
              <w:ind w:firstLine="0" w:firstLineChars="0"/>
              <w:jc w:val="center"/>
              <w:rPr>
                <w:color w:val="auto"/>
                <w:sz w:val="21"/>
                <w:szCs w:val="21"/>
              </w:rPr>
            </w:pPr>
            <w:r>
              <w:rPr>
                <w:color w:val="auto"/>
                <w:kern w:val="0"/>
                <w:sz w:val="21"/>
                <w:szCs w:val="21"/>
                <w:lang w:bidi="ar"/>
              </w:rPr>
              <w:t>-1S.R.D.NC</w:t>
            </w:r>
          </w:p>
        </w:tc>
        <w:tc>
          <w:tcPr>
            <w:tcW w:w="1421" w:type="dxa"/>
            <w:tcBorders>
              <w:tl2br w:val="nil"/>
              <w:tr2bl w:val="nil"/>
            </w:tcBorders>
            <w:shd w:val="clear" w:color="auto" w:fill="auto"/>
            <w:vAlign w:val="center"/>
          </w:tcPr>
          <w:p w14:paraId="32752BF8">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5424924C">
            <w:pPr>
              <w:spacing w:line="240" w:lineRule="auto"/>
              <w:ind w:firstLine="0" w:firstLineChars="0"/>
              <w:jc w:val="center"/>
              <w:rPr>
                <w:color w:val="auto"/>
                <w:sz w:val="21"/>
                <w:szCs w:val="21"/>
              </w:rPr>
            </w:pPr>
            <w:r>
              <w:rPr>
                <w:color w:val="auto"/>
                <w:kern w:val="0"/>
                <w:sz w:val="21"/>
                <w:szCs w:val="21"/>
                <w:lang w:bidi="ar"/>
              </w:rPr>
              <w:t>-1L.R.D.C</w:t>
            </w:r>
          </w:p>
        </w:tc>
        <w:tc>
          <w:tcPr>
            <w:tcW w:w="1418" w:type="dxa"/>
            <w:tcBorders>
              <w:tl2br w:val="nil"/>
              <w:tr2bl w:val="nil"/>
            </w:tcBorders>
            <w:shd w:val="clear" w:color="auto" w:fill="auto"/>
            <w:vAlign w:val="center"/>
          </w:tcPr>
          <w:p w14:paraId="1A0D5936">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0D2419CD">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3CFE9541">
            <w:pPr>
              <w:spacing w:line="240" w:lineRule="auto"/>
              <w:ind w:firstLine="0" w:firstLineChars="0"/>
              <w:jc w:val="center"/>
              <w:rPr>
                <w:color w:val="auto"/>
                <w:sz w:val="21"/>
                <w:szCs w:val="21"/>
              </w:rPr>
            </w:pPr>
            <w:r>
              <w:rPr>
                <w:color w:val="auto"/>
                <w:kern w:val="0"/>
                <w:sz w:val="21"/>
                <w:szCs w:val="21"/>
                <w:lang w:bidi="ar"/>
              </w:rPr>
              <w:t>0</w:t>
            </w:r>
          </w:p>
        </w:tc>
      </w:tr>
      <w:tr w14:paraId="018CD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4FB24B09">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05F57F4D">
            <w:pPr>
              <w:spacing w:line="240" w:lineRule="auto"/>
              <w:ind w:firstLine="0" w:firstLineChars="0"/>
              <w:jc w:val="center"/>
              <w:rPr>
                <w:color w:val="auto"/>
                <w:sz w:val="21"/>
                <w:szCs w:val="21"/>
              </w:rPr>
            </w:pPr>
            <w:r>
              <w:rPr>
                <w:color w:val="auto"/>
                <w:kern w:val="0"/>
                <w:sz w:val="21"/>
                <w:szCs w:val="21"/>
                <w:lang w:bidi="ar"/>
              </w:rPr>
              <w:t>事故风险</w:t>
            </w:r>
          </w:p>
        </w:tc>
        <w:tc>
          <w:tcPr>
            <w:tcW w:w="1184" w:type="dxa"/>
            <w:tcBorders>
              <w:tl2br w:val="nil"/>
              <w:tr2bl w:val="nil"/>
            </w:tcBorders>
            <w:shd w:val="clear" w:color="auto" w:fill="auto"/>
            <w:vAlign w:val="center"/>
          </w:tcPr>
          <w:p w14:paraId="36215715">
            <w:pPr>
              <w:spacing w:line="240" w:lineRule="auto"/>
              <w:ind w:firstLine="0" w:firstLineChars="0"/>
              <w:jc w:val="center"/>
              <w:rPr>
                <w:color w:val="auto"/>
                <w:sz w:val="21"/>
                <w:szCs w:val="21"/>
              </w:rPr>
            </w:pPr>
            <w:r>
              <w:rPr>
                <w:color w:val="auto"/>
                <w:kern w:val="0"/>
                <w:sz w:val="21"/>
                <w:szCs w:val="21"/>
                <w:lang w:bidi="ar"/>
              </w:rPr>
              <w:t>-2S.R.D.NC</w:t>
            </w:r>
          </w:p>
        </w:tc>
        <w:tc>
          <w:tcPr>
            <w:tcW w:w="1283" w:type="dxa"/>
            <w:tcBorders>
              <w:tl2br w:val="nil"/>
              <w:tr2bl w:val="nil"/>
            </w:tcBorders>
            <w:shd w:val="clear" w:color="auto" w:fill="auto"/>
            <w:vAlign w:val="center"/>
          </w:tcPr>
          <w:p w14:paraId="38169D9E">
            <w:pPr>
              <w:spacing w:line="240" w:lineRule="auto"/>
              <w:ind w:firstLine="0" w:firstLineChars="0"/>
              <w:jc w:val="center"/>
              <w:rPr>
                <w:color w:val="auto"/>
                <w:sz w:val="21"/>
                <w:szCs w:val="21"/>
              </w:rPr>
            </w:pPr>
            <w:r>
              <w:rPr>
                <w:color w:val="auto"/>
                <w:kern w:val="0"/>
                <w:sz w:val="21"/>
                <w:szCs w:val="21"/>
                <w:lang w:bidi="ar"/>
              </w:rPr>
              <w:t>-1S.R.D.NC</w:t>
            </w:r>
          </w:p>
        </w:tc>
        <w:tc>
          <w:tcPr>
            <w:tcW w:w="1418" w:type="dxa"/>
            <w:tcBorders>
              <w:tl2br w:val="nil"/>
              <w:tr2bl w:val="nil"/>
            </w:tcBorders>
            <w:shd w:val="clear" w:color="auto" w:fill="auto"/>
            <w:vAlign w:val="center"/>
          </w:tcPr>
          <w:p w14:paraId="56A979D5">
            <w:pPr>
              <w:spacing w:line="240" w:lineRule="auto"/>
              <w:ind w:firstLine="0" w:firstLineChars="0"/>
              <w:jc w:val="center"/>
              <w:rPr>
                <w:color w:val="auto"/>
                <w:sz w:val="21"/>
                <w:szCs w:val="21"/>
              </w:rPr>
            </w:pPr>
            <w:r>
              <w:rPr>
                <w:color w:val="auto"/>
                <w:kern w:val="0"/>
                <w:sz w:val="21"/>
                <w:szCs w:val="21"/>
                <w:lang w:bidi="ar"/>
              </w:rPr>
              <w:t>-1S.R.D.NC</w:t>
            </w:r>
          </w:p>
        </w:tc>
        <w:tc>
          <w:tcPr>
            <w:tcW w:w="1418" w:type="dxa"/>
            <w:tcBorders>
              <w:tl2br w:val="nil"/>
              <w:tr2bl w:val="nil"/>
            </w:tcBorders>
            <w:shd w:val="clear" w:color="auto" w:fill="auto"/>
            <w:vAlign w:val="center"/>
          </w:tcPr>
          <w:p w14:paraId="3EB3CC80">
            <w:pPr>
              <w:spacing w:line="240" w:lineRule="auto"/>
              <w:ind w:firstLine="0" w:firstLineChars="0"/>
              <w:jc w:val="center"/>
              <w:rPr>
                <w:color w:val="auto"/>
                <w:sz w:val="21"/>
                <w:szCs w:val="21"/>
              </w:rPr>
            </w:pPr>
            <w:r>
              <w:rPr>
                <w:color w:val="auto"/>
                <w:kern w:val="0"/>
                <w:sz w:val="21"/>
                <w:szCs w:val="21"/>
                <w:lang w:bidi="ar"/>
              </w:rPr>
              <w:t>-1S.R.D.NC</w:t>
            </w:r>
          </w:p>
        </w:tc>
        <w:tc>
          <w:tcPr>
            <w:tcW w:w="1421" w:type="dxa"/>
            <w:tcBorders>
              <w:tl2br w:val="nil"/>
              <w:tr2bl w:val="nil"/>
            </w:tcBorders>
            <w:shd w:val="clear" w:color="auto" w:fill="auto"/>
            <w:vAlign w:val="center"/>
          </w:tcPr>
          <w:p w14:paraId="12B92877">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6452082A">
            <w:pPr>
              <w:spacing w:line="240" w:lineRule="auto"/>
              <w:ind w:firstLine="0" w:firstLineChars="0"/>
              <w:jc w:val="center"/>
              <w:rPr>
                <w:color w:val="auto"/>
                <w:sz w:val="21"/>
                <w:szCs w:val="21"/>
              </w:rPr>
            </w:pPr>
            <w:r>
              <w:rPr>
                <w:color w:val="auto"/>
                <w:kern w:val="0"/>
                <w:sz w:val="21"/>
                <w:szCs w:val="21"/>
                <w:lang w:bidi="ar"/>
              </w:rPr>
              <w:t>-2L.R.D.C</w:t>
            </w:r>
          </w:p>
        </w:tc>
        <w:tc>
          <w:tcPr>
            <w:tcW w:w="1418" w:type="dxa"/>
            <w:tcBorders>
              <w:tl2br w:val="nil"/>
              <w:tr2bl w:val="nil"/>
            </w:tcBorders>
            <w:shd w:val="clear" w:color="auto" w:fill="auto"/>
            <w:vAlign w:val="center"/>
          </w:tcPr>
          <w:p w14:paraId="3A10102B">
            <w:pPr>
              <w:spacing w:line="240" w:lineRule="auto"/>
              <w:ind w:firstLine="0" w:firstLineChars="0"/>
              <w:jc w:val="center"/>
              <w:rPr>
                <w:color w:val="auto"/>
                <w:sz w:val="21"/>
                <w:szCs w:val="21"/>
              </w:rPr>
            </w:pPr>
            <w:r>
              <w:rPr>
                <w:color w:val="auto"/>
                <w:kern w:val="0"/>
                <w:sz w:val="21"/>
                <w:szCs w:val="21"/>
                <w:lang w:bidi="ar"/>
              </w:rPr>
              <w:t>-1L.IR.D.NC</w:t>
            </w:r>
          </w:p>
        </w:tc>
        <w:tc>
          <w:tcPr>
            <w:tcW w:w="1309" w:type="dxa"/>
            <w:tcBorders>
              <w:tl2br w:val="nil"/>
              <w:tr2bl w:val="nil"/>
            </w:tcBorders>
            <w:shd w:val="clear" w:color="auto" w:fill="auto"/>
            <w:vAlign w:val="center"/>
          </w:tcPr>
          <w:p w14:paraId="15492474">
            <w:pPr>
              <w:spacing w:line="240" w:lineRule="auto"/>
              <w:ind w:firstLine="0" w:firstLineChars="0"/>
              <w:jc w:val="center"/>
              <w:rPr>
                <w:color w:val="auto"/>
                <w:sz w:val="21"/>
                <w:szCs w:val="21"/>
              </w:rPr>
            </w:pPr>
            <w:r>
              <w:rPr>
                <w:color w:val="auto"/>
                <w:kern w:val="0"/>
                <w:sz w:val="21"/>
                <w:szCs w:val="21"/>
                <w:lang w:bidi="ar"/>
              </w:rPr>
              <w:t>-1L.IR.D.NC</w:t>
            </w:r>
          </w:p>
        </w:tc>
        <w:tc>
          <w:tcPr>
            <w:tcW w:w="1359" w:type="dxa"/>
            <w:tcBorders>
              <w:tl2br w:val="nil"/>
              <w:tr2bl w:val="nil"/>
            </w:tcBorders>
            <w:shd w:val="clear" w:color="auto" w:fill="auto"/>
            <w:vAlign w:val="center"/>
          </w:tcPr>
          <w:p w14:paraId="32084005">
            <w:pPr>
              <w:spacing w:line="240" w:lineRule="auto"/>
              <w:ind w:firstLine="0" w:firstLineChars="0"/>
              <w:jc w:val="center"/>
              <w:rPr>
                <w:color w:val="auto"/>
                <w:sz w:val="21"/>
                <w:szCs w:val="21"/>
              </w:rPr>
            </w:pPr>
            <w:r>
              <w:rPr>
                <w:color w:val="auto"/>
                <w:kern w:val="0"/>
                <w:sz w:val="21"/>
                <w:szCs w:val="21"/>
                <w:lang w:bidi="ar"/>
              </w:rPr>
              <w:t>-1L.R.D.NC</w:t>
            </w:r>
          </w:p>
        </w:tc>
      </w:tr>
      <w:tr w14:paraId="4E18D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restart"/>
            <w:tcBorders>
              <w:tl2br w:val="nil"/>
              <w:tr2bl w:val="nil"/>
            </w:tcBorders>
            <w:shd w:val="clear" w:color="auto" w:fill="auto"/>
            <w:vAlign w:val="center"/>
          </w:tcPr>
          <w:p w14:paraId="14168D3D">
            <w:pPr>
              <w:spacing w:line="240" w:lineRule="auto"/>
              <w:ind w:firstLine="0" w:firstLineChars="0"/>
              <w:jc w:val="center"/>
              <w:rPr>
                <w:color w:val="auto"/>
                <w:sz w:val="21"/>
                <w:szCs w:val="21"/>
              </w:rPr>
            </w:pPr>
            <w:r>
              <w:rPr>
                <w:color w:val="auto"/>
                <w:kern w:val="0"/>
                <w:sz w:val="21"/>
                <w:szCs w:val="21"/>
                <w:lang w:bidi="ar"/>
              </w:rPr>
              <w:t>服务</w:t>
            </w:r>
          </w:p>
          <w:p w14:paraId="40352851">
            <w:pPr>
              <w:spacing w:line="240" w:lineRule="auto"/>
              <w:ind w:firstLine="0" w:firstLineChars="0"/>
              <w:jc w:val="center"/>
              <w:rPr>
                <w:color w:val="auto"/>
                <w:sz w:val="21"/>
                <w:szCs w:val="21"/>
              </w:rPr>
            </w:pPr>
            <w:r>
              <w:rPr>
                <w:color w:val="auto"/>
                <w:kern w:val="0"/>
                <w:sz w:val="21"/>
                <w:szCs w:val="21"/>
                <w:lang w:bidi="ar"/>
              </w:rPr>
              <w:t>期满</w:t>
            </w:r>
          </w:p>
          <w:p w14:paraId="52587185">
            <w:pPr>
              <w:spacing w:line="240" w:lineRule="auto"/>
              <w:ind w:firstLine="0" w:firstLineChars="0"/>
              <w:jc w:val="center"/>
              <w:rPr>
                <w:color w:val="auto"/>
                <w:sz w:val="21"/>
                <w:szCs w:val="21"/>
              </w:rPr>
            </w:pPr>
            <w:r>
              <w:rPr>
                <w:color w:val="auto"/>
                <w:kern w:val="0"/>
                <w:sz w:val="21"/>
                <w:szCs w:val="21"/>
                <w:lang w:bidi="ar"/>
              </w:rPr>
              <w:t>后</w:t>
            </w:r>
          </w:p>
        </w:tc>
        <w:tc>
          <w:tcPr>
            <w:tcW w:w="1222" w:type="dxa"/>
            <w:tcBorders>
              <w:tl2br w:val="nil"/>
              <w:tr2bl w:val="nil"/>
            </w:tcBorders>
            <w:shd w:val="clear" w:color="auto" w:fill="auto"/>
            <w:vAlign w:val="center"/>
          </w:tcPr>
          <w:p w14:paraId="2607E56B">
            <w:pPr>
              <w:spacing w:line="240" w:lineRule="auto"/>
              <w:ind w:firstLine="0" w:firstLineChars="0"/>
              <w:jc w:val="center"/>
              <w:rPr>
                <w:color w:val="auto"/>
                <w:sz w:val="21"/>
                <w:szCs w:val="21"/>
              </w:rPr>
            </w:pPr>
            <w:r>
              <w:rPr>
                <w:color w:val="auto"/>
                <w:kern w:val="0"/>
                <w:sz w:val="21"/>
                <w:szCs w:val="21"/>
                <w:lang w:bidi="ar"/>
              </w:rPr>
              <w:t>废水排放</w:t>
            </w:r>
          </w:p>
        </w:tc>
        <w:tc>
          <w:tcPr>
            <w:tcW w:w="1184" w:type="dxa"/>
            <w:tcBorders>
              <w:tl2br w:val="nil"/>
              <w:tr2bl w:val="nil"/>
            </w:tcBorders>
            <w:shd w:val="clear" w:color="auto" w:fill="auto"/>
            <w:vAlign w:val="center"/>
          </w:tcPr>
          <w:p w14:paraId="17F8F524">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44E1338E">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0E83A163">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6AD2FB6D">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3B0461BC">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32263ABF">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7FA875DE">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7CBEC699">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3DD5CCA6">
            <w:pPr>
              <w:spacing w:line="240" w:lineRule="auto"/>
              <w:ind w:firstLine="0" w:firstLineChars="0"/>
              <w:jc w:val="center"/>
              <w:rPr>
                <w:color w:val="auto"/>
                <w:sz w:val="21"/>
                <w:szCs w:val="21"/>
              </w:rPr>
            </w:pPr>
            <w:r>
              <w:rPr>
                <w:color w:val="auto"/>
                <w:kern w:val="0"/>
                <w:sz w:val="21"/>
                <w:szCs w:val="21"/>
                <w:lang w:bidi="ar"/>
              </w:rPr>
              <w:t>0</w:t>
            </w:r>
          </w:p>
        </w:tc>
      </w:tr>
      <w:tr w14:paraId="59ED8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2A6BD4A6">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05C9AF76">
            <w:pPr>
              <w:spacing w:line="240" w:lineRule="auto"/>
              <w:ind w:firstLine="0" w:firstLineChars="0"/>
              <w:jc w:val="center"/>
              <w:rPr>
                <w:color w:val="auto"/>
                <w:sz w:val="21"/>
                <w:szCs w:val="21"/>
              </w:rPr>
            </w:pPr>
            <w:r>
              <w:rPr>
                <w:color w:val="auto"/>
                <w:kern w:val="0"/>
                <w:sz w:val="21"/>
                <w:szCs w:val="21"/>
                <w:lang w:bidi="ar"/>
              </w:rPr>
              <w:t>废气排放</w:t>
            </w:r>
          </w:p>
        </w:tc>
        <w:tc>
          <w:tcPr>
            <w:tcW w:w="1184" w:type="dxa"/>
            <w:tcBorders>
              <w:tl2br w:val="nil"/>
              <w:tr2bl w:val="nil"/>
            </w:tcBorders>
            <w:shd w:val="clear" w:color="auto" w:fill="auto"/>
            <w:vAlign w:val="center"/>
          </w:tcPr>
          <w:p w14:paraId="255CFC77">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7B4E165A">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7DBC7294">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41848995">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149EEFAD">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305D6B75">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0AF03668">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3C63F186">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61356EEE">
            <w:pPr>
              <w:spacing w:line="240" w:lineRule="auto"/>
              <w:ind w:firstLine="0" w:firstLineChars="0"/>
              <w:jc w:val="center"/>
              <w:rPr>
                <w:color w:val="auto"/>
                <w:sz w:val="21"/>
                <w:szCs w:val="21"/>
              </w:rPr>
            </w:pPr>
            <w:r>
              <w:rPr>
                <w:color w:val="auto"/>
                <w:kern w:val="0"/>
                <w:sz w:val="21"/>
                <w:szCs w:val="21"/>
                <w:lang w:bidi="ar"/>
              </w:rPr>
              <w:t>0</w:t>
            </w:r>
          </w:p>
        </w:tc>
      </w:tr>
      <w:tr w14:paraId="3CE26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08093BAC">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6542EB22">
            <w:pPr>
              <w:spacing w:line="240" w:lineRule="auto"/>
              <w:ind w:firstLine="0" w:firstLineChars="0"/>
              <w:jc w:val="center"/>
              <w:rPr>
                <w:color w:val="auto"/>
                <w:sz w:val="21"/>
                <w:szCs w:val="21"/>
              </w:rPr>
            </w:pPr>
            <w:r>
              <w:rPr>
                <w:color w:val="auto"/>
                <w:kern w:val="0"/>
                <w:sz w:val="21"/>
                <w:szCs w:val="21"/>
                <w:lang w:bidi="ar"/>
              </w:rPr>
              <w:t>固体废物</w:t>
            </w:r>
          </w:p>
        </w:tc>
        <w:tc>
          <w:tcPr>
            <w:tcW w:w="1184" w:type="dxa"/>
            <w:tcBorders>
              <w:tl2br w:val="nil"/>
              <w:tr2bl w:val="nil"/>
            </w:tcBorders>
            <w:shd w:val="clear" w:color="auto" w:fill="auto"/>
            <w:vAlign w:val="center"/>
          </w:tcPr>
          <w:p w14:paraId="5343534A">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58DF12DA">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00E30E4A">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21A7DF3D">
            <w:pPr>
              <w:spacing w:line="240" w:lineRule="auto"/>
              <w:ind w:firstLine="0" w:firstLineChars="0"/>
              <w:jc w:val="center"/>
              <w:rPr>
                <w:color w:val="auto"/>
                <w:sz w:val="21"/>
                <w:szCs w:val="21"/>
              </w:rPr>
            </w:pPr>
            <w:r>
              <w:rPr>
                <w:color w:val="auto"/>
                <w:kern w:val="0"/>
                <w:sz w:val="21"/>
                <w:szCs w:val="21"/>
                <w:lang w:bidi="ar"/>
              </w:rPr>
              <w:t>-1S.R.D.C</w:t>
            </w:r>
          </w:p>
        </w:tc>
        <w:tc>
          <w:tcPr>
            <w:tcW w:w="1421" w:type="dxa"/>
            <w:tcBorders>
              <w:tl2br w:val="nil"/>
              <w:tr2bl w:val="nil"/>
            </w:tcBorders>
            <w:shd w:val="clear" w:color="auto" w:fill="auto"/>
            <w:vAlign w:val="center"/>
          </w:tcPr>
          <w:p w14:paraId="402BDD09">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6DCB783F">
            <w:pPr>
              <w:spacing w:line="240" w:lineRule="auto"/>
              <w:ind w:firstLine="0" w:firstLineChars="0"/>
              <w:jc w:val="center"/>
              <w:rPr>
                <w:color w:val="auto"/>
                <w:sz w:val="21"/>
                <w:szCs w:val="21"/>
              </w:rPr>
            </w:pPr>
            <w:r>
              <w:rPr>
                <w:color w:val="auto"/>
                <w:kern w:val="0"/>
                <w:sz w:val="21"/>
                <w:szCs w:val="21"/>
                <w:lang w:bidi="ar"/>
              </w:rPr>
              <w:t>-1S.R.D.C</w:t>
            </w:r>
          </w:p>
        </w:tc>
        <w:tc>
          <w:tcPr>
            <w:tcW w:w="1418" w:type="dxa"/>
            <w:tcBorders>
              <w:tl2br w:val="nil"/>
              <w:tr2bl w:val="nil"/>
            </w:tcBorders>
            <w:shd w:val="clear" w:color="auto" w:fill="auto"/>
            <w:vAlign w:val="center"/>
          </w:tcPr>
          <w:p w14:paraId="31D10678">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3AF1ED8E">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6E3330C2">
            <w:pPr>
              <w:spacing w:line="240" w:lineRule="auto"/>
              <w:ind w:firstLine="0" w:firstLineChars="0"/>
              <w:jc w:val="center"/>
              <w:rPr>
                <w:color w:val="auto"/>
                <w:sz w:val="21"/>
                <w:szCs w:val="21"/>
              </w:rPr>
            </w:pPr>
            <w:r>
              <w:rPr>
                <w:color w:val="auto"/>
                <w:kern w:val="0"/>
                <w:sz w:val="21"/>
                <w:szCs w:val="21"/>
                <w:lang w:bidi="ar"/>
              </w:rPr>
              <w:t>0</w:t>
            </w:r>
          </w:p>
        </w:tc>
      </w:tr>
      <w:tr w14:paraId="55597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71" w:type="dxa"/>
            <w:vMerge w:val="continue"/>
            <w:tcBorders>
              <w:tl2br w:val="nil"/>
              <w:tr2bl w:val="nil"/>
            </w:tcBorders>
            <w:shd w:val="clear" w:color="auto" w:fill="auto"/>
            <w:vAlign w:val="center"/>
          </w:tcPr>
          <w:p w14:paraId="550789A2">
            <w:pPr>
              <w:spacing w:line="240" w:lineRule="auto"/>
              <w:ind w:firstLine="0" w:firstLineChars="0"/>
              <w:jc w:val="center"/>
              <w:rPr>
                <w:color w:val="auto"/>
                <w:sz w:val="20"/>
                <w:szCs w:val="20"/>
              </w:rPr>
            </w:pPr>
          </w:p>
        </w:tc>
        <w:tc>
          <w:tcPr>
            <w:tcW w:w="1222" w:type="dxa"/>
            <w:tcBorders>
              <w:tl2br w:val="nil"/>
              <w:tr2bl w:val="nil"/>
            </w:tcBorders>
            <w:shd w:val="clear" w:color="auto" w:fill="auto"/>
            <w:vAlign w:val="center"/>
          </w:tcPr>
          <w:p w14:paraId="1D37FD72">
            <w:pPr>
              <w:spacing w:line="240" w:lineRule="auto"/>
              <w:ind w:firstLine="0" w:firstLineChars="0"/>
              <w:jc w:val="center"/>
              <w:rPr>
                <w:color w:val="auto"/>
                <w:sz w:val="21"/>
                <w:szCs w:val="21"/>
              </w:rPr>
            </w:pPr>
            <w:r>
              <w:rPr>
                <w:color w:val="auto"/>
                <w:kern w:val="0"/>
                <w:sz w:val="21"/>
                <w:szCs w:val="21"/>
                <w:lang w:bidi="ar"/>
              </w:rPr>
              <w:t>事故风险</w:t>
            </w:r>
          </w:p>
        </w:tc>
        <w:tc>
          <w:tcPr>
            <w:tcW w:w="1184" w:type="dxa"/>
            <w:tcBorders>
              <w:tl2br w:val="nil"/>
              <w:tr2bl w:val="nil"/>
            </w:tcBorders>
            <w:shd w:val="clear" w:color="auto" w:fill="auto"/>
            <w:vAlign w:val="center"/>
          </w:tcPr>
          <w:p w14:paraId="0802BFFB">
            <w:pPr>
              <w:spacing w:line="240" w:lineRule="auto"/>
              <w:ind w:firstLine="0" w:firstLineChars="0"/>
              <w:jc w:val="center"/>
              <w:rPr>
                <w:color w:val="auto"/>
                <w:sz w:val="21"/>
                <w:szCs w:val="21"/>
              </w:rPr>
            </w:pPr>
            <w:r>
              <w:rPr>
                <w:color w:val="auto"/>
                <w:kern w:val="0"/>
                <w:sz w:val="21"/>
                <w:szCs w:val="21"/>
                <w:lang w:bidi="ar"/>
              </w:rPr>
              <w:t>0</w:t>
            </w:r>
          </w:p>
        </w:tc>
        <w:tc>
          <w:tcPr>
            <w:tcW w:w="1283" w:type="dxa"/>
            <w:tcBorders>
              <w:tl2br w:val="nil"/>
              <w:tr2bl w:val="nil"/>
            </w:tcBorders>
            <w:shd w:val="clear" w:color="auto" w:fill="auto"/>
            <w:vAlign w:val="center"/>
          </w:tcPr>
          <w:p w14:paraId="6C8BB12F">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46195056">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542BBB3F">
            <w:pPr>
              <w:spacing w:line="240" w:lineRule="auto"/>
              <w:ind w:firstLine="0" w:firstLineChars="0"/>
              <w:jc w:val="center"/>
              <w:rPr>
                <w:color w:val="auto"/>
                <w:sz w:val="21"/>
                <w:szCs w:val="21"/>
              </w:rPr>
            </w:pPr>
            <w:r>
              <w:rPr>
                <w:color w:val="auto"/>
                <w:kern w:val="0"/>
                <w:sz w:val="21"/>
                <w:szCs w:val="21"/>
                <w:lang w:bidi="ar"/>
              </w:rPr>
              <w:t>0</w:t>
            </w:r>
          </w:p>
        </w:tc>
        <w:tc>
          <w:tcPr>
            <w:tcW w:w="1421" w:type="dxa"/>
            <w:tcBorders>
              <w:tl2br w:val="nil"/>
              <w:tr2bl w:val="nil"/>
            </w:tcBorders>
            <w:shd w:val="clear" w:color="auto" w:fill="auto"/>
            <w:vAlign w:val="center"/>
          </w:tcPr>
          <w:p w14:paraId="2CBB4F15">
            <w:pPr>
              <w:spacing w:line="240" w:lineRule="auto"/>
              <w:ind w:firstLine="0" w:firstLineChars="0"/>
              <w:jc w:val="center"/>
              <w:rPr>
                <w:color w:val="auto"/>
                <w:sz w:val="21"/>
                <w:szCs w:val="21"/>
              </w:rPr>
            </w:pPr>
            <w:r>
              <w:rPr>
                <w:color w:val="auto"/>
                <w:kern w:val="0"/>
                <w:sz w:val="21"/>
                <w:szCs w:val="21"/>
                <w:lang w:bidi="ar"/>
              </w:rPr>
              <w:t>0</w:t>
            </w:r>
          </w:p>
        </w:tc>
        <w:tc>
          <w:tcPr>
            <w:tcW w:w="1407" w:type="dxa"/>
            <w:tcBorders>
              <w:tl2br w:val="nil"/>
              <w:tr2bl w:val="nil"/>
            </w:tcBorders>
            <w:shd w:val="clear" w:color="auto" w:fill="auto"/>
            <w:vAlign w:val="center"/>
          </w:tcPr>
          <w:p w14:paraId="28D5A163">
            <w:pPr>
              <w:spacing w:line="240" w:lineRule="auto"/>
              <w:ind w:firstLine="0" w:firstLineChars="0"/>
              <w:jc w:val="center"/>
              <w:rPr>
                <w:color w:val="auto"/>
                <w:sz w:val="21"/>
                <w:szCs w:val="21"/>
              </w:rPr>
            </w:pPr>
            <w:r>
              <w:rPr>
                <w:color w:val="auto"/>
                <w:kern w:val="0"/>
                <w:sz w:val="21"/>
                <w:szCs w:val="21"/>
                <w:lang w:bidi="ar"/>
              </w:rPr>
              <w:t>0</w:t>
            </w:r>
          </w:p>
        </w:tc>
        <w:tc>
          <w:tcPr>
            <w:tcW w:w="1418" w:type="dxa"/>
            <w:tcBorders>
              <w:tl2br w:val="nil"/>
              <w:tr2bl w:val="nil"/>
            </w:tcBorders>
            <w:shd w:val="clear" w:color="auto" w:fill="auto"/>
            <w:vAlign w:val="center"/>
          </w:tcPr>
          <w:p w14:paraId="269D14C1">
            <w:pPr>
              <w:spacing w:line="240" w:lineRule="auto"/>
              <w:ind w:firstLine="0" w:firstLineChars="0"/>
              <w:jc w:val="center"/>
              <w:rPr>
                <w:color w:val="auto"/>
                <w:sz w:val="21"/>
                <w:szCs w:val="21"/>
              </w:rPr>
            </w:pPr>
            <w:r>
              <w:rPr>
                <w:color w:val="auto"/>
                <w:kern w:val="0"/>
                <w:sz w:val="21"/>
                <w:szCs w:val="21"/>
                <w:lang w:bidi="ar"/>
              </w:rPr>
              <w:t>0</w:t>
            </w:r>
          </w:p>
        </w:tc>
        <w:tc>
          <w:tcPr>
            <w:tcW w:w="1309" w:type="dxa"/>
            <w:tcBorders>
              <w:tl2br w:val="nil"/>
              <w:tr2bl w:val="nil"/>
            </w:tcBorders>
            <w:shd w:val="clear" w:color="auto" w:fill="auto"/>
            <w:vAlign w:val="center"/>
          </w:tcPr>
          <w:p w14:paraId="7331F605">
            <w:pPr>
              <w:spacing w:line="240" w:lineRule="auto"/>
              <w:ind w:firstLine="0" w:firstLineChars="0"/>
              <w:jc w:val="center"/>
              <w:rPr>
                <w:color w:val="auto"/>
                <w:sz w:val="21"/>
                <w:szCs w:val="21"/>
              </w:rPr>
            </w:pPr>
            <w:r>
              <w:rPr>
                <w:color w:val="auto"/>
                <w:kern w:val="0"/>
                <w:sz w:val="21"/>
                <w:szCs w:val="21"/>
                <w:lang w:bidi="ar"/>
              </w:rPr>
              <w:t>0</w:t>
            </w:r>
          </w:p>
        </w:tc>
        <w:tc>
          <w:tcPr>
            <w:tcW w:w="1359" w:type="dxa"/>
            <w:tcBorders>
              <w:tl2br w:val="nil"/>
              <w:tr2bl w:val="nil"/>
            </w:tcBorders>
            <w:shd w:val="clear" w:color="auto" w:fill="auto"/>
            <w:vAlign w:val="center"/>
          </w:tcPr>
          <w:p w14:paraId="5EB809B6">
            <w:pPr>
              <w:spacing w:line="240" w:lineRule="auto"/>
              <w:ind w:firstLine="0" w:firstLineChars="0"/>
              <w:jc w:val="center"/>
              <w:rPr>
                <w:color w:val="auto"/>
                <w:sz w:val="21"/>
                <w:szCs w:val="21"/>
              </w:rPr>
            </w:pPr>
            <w:r>
              <w:rPr>
                <w:color w:val="auto"/>
                <w:kern w:val="0"/>
                <w:sz w:val="21"/>
                <w:szCs w:val="21"/>
                <w:lang w:bidi="ar"/>
              </w:rPr>
              <w:t>0</w:t>
            </w:r>
          </w:p>
        </w:tc>
      </w:tr>
    </w:tbl>
    <w:p w14:paraId="4705E36D">
      <w:pPr>
        <w:pStyle w:val="80"/>
        <w:suppressAutoHyphens/>
        <w:spacing w:before="0" w:beforeAutospacing="0" w:after="0" w:afterAutospacing="0"/>
        <w:ind w:firstLine="0" w:firstLineChars="0"/>
        <w:jc w:val="both"/>
        <w:rPr>
          <w:rFonts w:ascii="Times New Roman" w:hAnsi="Times New Roman"/>
          <w:color w:val="auto"/>
          <w:sz w:val="28"/>
          <w:szCs w:val="28"/>
          <w:lang w:bidi="ar"/>
        </w:rPr>
        <w:sectPr>
          <w:pgSz w:w="16838" w:h="11906" w:orient="landscape"/>
          <w:pgMar w:top="1452" w:right="1418" w:bottom="1452" w:left="1418" w:header="851" w:footer="992" w:gutter="0"/>
          <w:paperSrc w:first="7" w:other="7"/>
          <w:cols w:space="0" w:num="1"/>
          <w:docGrid w:linePitch="326" w:charSpace="0"/>
        </w:sectPr>
      </w:pPr>
      <w:r>
        <w:rPr>
          <w:rFonts w:ascii="Times New Roman" w:hAnsi="Times New Roman"/>
          <w:color w:val="auto"/>
          <w:sz w:val="18"/>
          <w:szCs w:val="18"/>
          <w:lang w:bidi="ar"/>
        </w:rPr>
        <w:t>注：“+</w:t>
      </w:r>
      <w:r>
        <w:rPr>
          <w:rFonts w:hint="eastAsia" w:ascii="Times New Roman" w:hAnsi="Times New Roman"/>
          <w:color w:val="auto"/>
          <w:sz w:val="18"/>
          <w:szCs w:val="18"/>
          <w:lang w:bidi="ar"/>
        </w:rPr>
        <w:t>”“－</w:t>
      </w:r>
      <w:r>
        <w:rPr>
          <w:rFonts w:ascii="Times New Roman" w:hAnsi="Times New Roman"/>
          <w:color w:val="auto"/>
          <w:sz w:val="18"/>
          <w:szCs w:val="18"/>
          <w:lang w:bidi="ar"/>
        </w:rPr>
        <w:t>”表示有利、不利影响；“0</w:t>
      </w:r>
      <w:r>
        <w:rPr>
          <w:rFonts w:hint="eastAsia" w:ascii="Times New Roman" w:hAnsi="Times New Roman"/>
          <w:color w:val="auto"/>
          <w:sz w:val="18"/>
          <w:szCs w:val="18"/>
          <w:lang w:bidi="ar"/>
        </w:rPr>
        <w:t>”“</w:t>
      </w:r>
      <w:r>
        <w:rPr>
          <w:rFonts w:ascii="Times New Roman" w:hAnsi="Times New Roman"/>
          <w:color w:val="auto"/>
          <w:sz w:val="18"/>
          <w:szCs w:val="18"/>
          <w:lang w:bidi="ar"/>
        </w:rPr>
        <w:t>1</w:t>
      </w:r>
      <w:r>
        <w:rPr>
          <w:rFonts w:hint="eastAsia" w:ascii="Times New Roman" w:hAnsi="Times New Roman"/>
          <w:color w:val="auto"/>
          <w:sz w:val="18"/>
          <w:szCs w:val="18"/>
          <w:lang w:bidi="ar"/>
        </w:rPr>
        <w:t>”“</w:t>
      </w:r>
      <w:r>
        <w:rPr>
          <w:rFonts w:ascii="Times New Roman" w:hAnsi="Times New Roman"/>
          <w:color w:val="auto"/>
          <w:sz w:val="18"/>
          <w:szCs w:val="18"/>
          <w:lang w:bidi="ar"/>
        </w:rPr>
        <w:t>2</w:t>
      </w:r>
      <w:r>
        <w:rPr>
          <w:rFonts w:hint="eastAsia" w:ascii="Times New Roman" w:hAnsi="Times New Roman"/>
          <w:color w:val="auto"/>
          <w:sz w:val="18"/>
          <w:szCs w:val="18"/>
          <w:lang w:bidi="ar"/>
        </w:rPr>
        <w:t>”“</w:t>
      </w:r>
      <w:r>
        <w:rPr>
          <w:rFonts w:ascii="Times New Roman" w:hAnsi="Times New Roman"/>
          <w:color w:val="auto"/>
          <w:sz w:val="18"/>
          <w:szCs w:val="18"/>
          <w:lang w:bidi="ar"/>
        </w:rPr>
        <w:t>3”数值分别表示无影响、轻微影响、中等影响和重大影响；“L</w:t>
      </w:r>
      <w:r>
        <w:rPr>
          <w:rFonts w:hint="eastAsia" w:ascii="Times New Roman" w:hAnsi="Times New Roman"/>
          <w:color w:val="auto"/>
          <w:sz w:val="18"/>
          <w:szCs w:val="18"/>
          <w:lang w:bidi="ar"/>
        </w:rPr>
        <w:t>”“</w:t>
      </w:r>
      <w:r>
        <w:rPr>
          <w:rFonts w:ascii="Times New Roman" w:hAnsi="Times New Roman"/>
          <w:color w:val="auto"/>
          <w:sz w:val="18"/>
          <w:szCs w:val="18"/>
          <w:lang w:bidi="ar"/>
        </w:rPr>
        <w:t>S”分别表示长期、短期影响；“R</w:t>
      </w:r>
      <w:r>
        <w:rPr>
          <w:rFonts w:hint="eastAsia" w:ascii="Times New Roman" w:hAnsi="Times New Roman"/>
          <w:color w:val="auto"/>
          <w:sz w:val="18"/>
          <w:szCs w:val="18"/>
          <w:lang w:bidi="ar"/>
        </w:rPr>
        <w:t>”“</w:t>
      </w:r>
      <w:r>
        <w:rPr>
          <w:rFonts w:ascii="Times New Roman" w:hAnsi="Times New Roman"/>
          <w:color w:val="auto"/>
          <w:sz w:val="18"/>
          <w:szCs w:val="18"/>
          <w:lang w:bidi="ar"/>
        </w:rPr>
        <w:t>IR”分别表示可逆、不可逆影响；用 “D</w:t>
      </w:r>
      <w:r>
        <w:rPr>
          <w:rFonts w:hint="eastAsia" w:ascii="Times New Roman" w:hAnsi="Times New Roman"/>
          <w:color w:val="auto"/>
          <w:sz w:val="18"/>
          <w:szCs w:val="18"/>
          <w:lang w:bidi="ar"/>
        </w:rPr>
        <w:t>”“</w:t>
      </w:r>
      <w:r>
        <w:rPr>
          <w:rFonts w:ascii="Times New Roman" w:hAnsi="Times New Roman"/>
          <w:color w:val="auto"/>
          <w:sz w:val="18"/>
          <w:szCs w:val="18"/>
          <w:lang w:bidi="ar"/>
        </w:rPr>
        <w:t>ID”表示直接、间接影响；“ C</w:t>
      </w:r>
      <w:r>
        <w:rPr>
          <w:rFonts w:hint="eastAsia" w:ascii="Times New Roman" w:hAnsi="Times New Roman"/>
          <w:color w:val="auto"/>
          <w:sz w:val="18"/>
          <w:szCs w:val="18"/>
          <w:lang w:bidi="ar"/>
        </w:rPr>
        <w:t>”“</w:t>
      </w:r>
      <w:r>
        <w:rPr>
          <w:rFonts w:ascii="Times New Roman" w:hAnsi="Times New Roman"/>
          <w:color w:val="auto"/>
          <w:sz w:val="18"/>
          <w:szCs w:val="18"/>
          <w:lang w:bidi="ar"/>
        </w:rPr>
        <w:t>NC”分别表示累积与非累积影响。</w:t>
      </w:r>
    </w:p>
    <w:bookmarkEnd w:id="26"/>
    <w:p w14:paraId="038FD2C1">
      <w:pPr>
        <w:keepNext/>
        <w:keepLines/>
        <w:spacing w:before="120" w:beforeLines="50"/>
        <w:ind w:firstLine="0" w:firstLineChars="0"/>
        <w:outlineLvl w:val="2"/>
        <w:rPr>
          <w:b/>
          <w:bCs/>
          <w:color w:val="auto"/>
          <w:sz w:val="28"/>
          <w:szCs w:val="36"/>
        </w:rPr>
      </w:pPr>
      <w:r>
        <w:rPr>
          <w:b/>
          <w:bCs/>
          <w:color w:val="auto"/>
          <w:sz w:val="28"/>
          <w:szCs w:val="36"/>
        </w:rPr>
        <w:t>2.3.2 评价因子筛选</w:t>
      </w:r>
    </w:p>
    <w:p w14:paraId="3F94D6C8">
      <w:pPr>
        <w:ind w:firstLine="480"/>
        <w:rPr>
          <w:color w:val="auto"/>
          <w:szCs w:val="28"/>
        </w:rPr>
      </w:pPr>
      <w:r>
        <w:rPr>
          <w:color w:val="auto"/>
          <w:szCs w:val="28"/>
        </w:rPr>
        <w:t>根据项目特征及其原辅材料使用和相应的排污特征，对环境影响因子加以识别，识别结果详见表2.3.2-1。</w:t>
      </w:r>
    </w:p>
    <w:p w14:paraId="4C0097FD">
      <w:pPr>
        <w:tabs>
          <w:tab w:val="left" w:pos="0"/>
        </w:tabs>
        <w:spacing w:line="240" w:lineRule="auto"/>
        <w:ind w:firstLine="0" w:firstLineChars="0"/>
        <w:jc w:val="center"/>
        <w:rPr>
          <w:b/>
          <w:color w:val="auto"/>
          <w:szCs w:val="20"/>
        </w:rPr>
      </w:pPr>
      <w:r>
        <w:rPr>
          <w:b/>
          <w:color w:val="auto"/>
          <w:szCs w:val="20"/>
        </w:rPr>
        <w:t>表2.3.2-1  环境影响评价因子表</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3413"/>
        <w:gridCol w:w="2334"/>
        <w:gridCol w:w="1008"/>
        <w:gridCol w:w="1518"/>
      </w:tblGrid>
      <w:tr w14:paraId="675E6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2" w:type="pct"/>
            <w:vAlign w:val="center"/>
          </w:tcPr>
          <w:p w14:paraId="4DD39CE0">
            <w:pPr>
              <w:spacing w:line="240" w:lineRule="auto"/>
              <w:ind w:firstLine="0" w:firstLineChars="0"/>
              <w:jc w:val="center"/>
              <w:rPr>
                <w:b/>
                <w:color w:val="auto"/>
                <w:sz w:val="21"/>
                <w:szCs w:val="21"/>
              </w:rPr>
            </w:pPr>
            <w:r>
              <w:rPr>
                <w:b/>
                <w:color w:val="auto"/>
                <w:sz w:val="21"/>
                <w:szCs w:val="21"/>
              </w:rPr>
              <w:t>环境</w:t>
            </w:r>
          </w:p>
        </w:tc>
        <w:tc>
          <w:tcPr>
            <w:tcW w:w="1838" w:type="pct"/>
            <w:vAlign w:val="center"/>
          </w:tcPr>
          <w:p w14:paraId="4A3620A8">
            <w:pPr>
              <w:spacing w:line="240" w:lineRule="auto"/>
              <w:ind w:firstLine="0" w:firstLineChars="0"/>
              <w:jc w:val="center"/>
              <w:rPr>
                <w:b/>
                <w:color w:val="auto"/>
                <w:sz w:val="21"/>
                <w:szCs w:val="21"/>
              </w:rPr>
            </w:pPr>
            <w:r>
              <w:rPr>
                <w:b/>
                <w:color w:val="auto"/>
                <w:sz w:val="21"/>
                <w:szCs w:val="21"/>
              </w:rPr>
              <w:t>现状评价因子</w:t>
            </w:r>
          </w:p>
        </w:tc>
        <w:tc>
          <w:tcPr>
            <w:tcW w:w="1257" w:type="pct"/>
            <w:vAlign w:val="center"/>
          </w:tcPr>
          <w:p w14:paraId="198F9A5C">
            <w:pPr>
              <w:spacing w:line="240" w:lineRule="auto"/>
              <w:ind w:firstLine="0" w:firstLineChars="0"/>
              <w:jc w:val="center"/>
              <w:rPr>
                <w:b/>
                <w:color w:val="auto"/>
                <w:sz w:val="21"/>
                <w:szCs w:val="21"/>
              </w:rPr>
            </w:pPr>
            <w:r>
              <w:rPr>
                <w:b/>
                <w:color w:val="auto"/>
                <w:sz w:val="21"/>
                <w:szCs w:val="21"/>
              </w:rPr>
              <w:t>影响评价因子</w:t>
            </w:r>
          </w:p>
        </w:tc>
        <w:tc>
          <w:tcPr>
            <w:tcW w:w="543" w:type="pct"/>
            <w:vAlign w:val="center"/>
          </w:tcPr>
          <w:p w14:paraId="35218048">
            <w:pPr>
              <w:spacing w:line="240" w:lineRule="auto"/>
              <w:ind w:firstLine="0" w:firstLineChars="0"/>
              <w:jc w:val="center"/>
              <w:rPr>
                <w:b/>
                <w:color w:val="auto"/>
                <w:sz w:val="21"/>
                <w:szCs w:val="21"/>
              </w:rPr>
            </w:pPr>
            <w:r>
              <w:rPr>
                <w:b/>
                <w:color w:val="auto"/>
                <w:sz w:val="21"/>
                <w:szCs w:val="21"/>
              </w:rPr>
              <w:t>总量控制因子</w:t>
            </w:r>
          </w:p>
        </w:tc>
        <w:tc>
          <w:tcPr>
            <w:tcW w:w="817" w:type="pct"/>
            <w:vAlign w:val="center"/>
          </w:tcPr>
          <w:p w14:paraId="61432139">
            <w:pPr>
              <w:spacing w:line="240" w:lineRule="auto"/>
              <w:ind w:firstLine="0" w:firstLineChars="0"/>
              <w:jc w:val="center"/>
              <w:rPr>
                <w:b/>
                <w:color w:val="auto"/>
                <w:sz w:val="21"/>
                <w:szCs w:val="21"/>
              </w:rPr>
            </w:pPr>
            <w:r>
              <w:rPr>
                <w:rFonts w:hint="eastAsia"/>
                <w:b/>
                <w:color w:val="auto"/>
                <w:sz w:val="21"/>
                <w:szCs w:val="21"/>
              </w:rPr>
              <w:t>总量考核因子</w:t>
            </w:r>
          </w:p>
        </w:tc>
      </w:tr>
      <w:tr w14:paraId="09CCB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2" w:type="pct"/>
            <w:vAlign w:val="center"/>
          </w:tcPr>
          <w:p w14:paraId="2B32C523">
            <w:pPr>
              <w:spacing w:line="240" w:lineRule="auto"/>
              <w:ind w:firstLine="0" w:firstLineChars="0"/>
              <w:jc w:val="center"/>
              <w:rPr>
                <w:color w:val="auto"/>
                <w:sz w:val="21"/>
                <w:szCs w:val="21"/>
              </w:rPr>
            </w:pPr>
            <w:r>
              <w:rPr>
                <w:color w:val="auto"/>
                <w:sz w:val="21"/>
                <w:szCs w:val="21"/>
              </w:rPr>
              <w:t>大气环境</w:t>
            </w:r>
          </w:p>
        </w:tc>
        <w:tc>
          <w:tcPr>
            <w:tcW w:w="1838" w:type="pct"/>
            <w:vAlign w:val="center"/>
          </w:tcPr>
          <w:p w14:paraId="55C19014">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r>
              <w:rPr>
                <w:color w:val="auto"/>
                <w:sz w:val="21"/>
                <w:szCs w:val="21"/>
              </w:rPr>
              <w:t>、NO</w:t>
            </w:r>
            <w:r>
              <w:rPr>
                <w:color w:val="auto"/>
                <w:sz w:val="21"/>
                <w:szCs w:val="21"/>
                <w:vertAlign w:val="subscript"/>
              </w:rPr>
              <w:t>2</w:t>
            </w:r>
            <w:r>
              <w:rPr>
                <w:color w:val="auto"/>
                <w:sz w:val="21"/>
                <w:szCs w:val="21"/>
              </w:rPr>
              <w:t>、PM</w:t>
            </w:r>
            <w:r>
              <w:rPr>
                <w:color w:val="auto"/>
                <w:sz w:val="21"/>
                <w:szCs w:val="21"/>
                <w:vertAlign w:val="subscript"/>
              </w:rPr>
              <w:t>10</w:t>
            </w:r>
            <w:r>
              <w:rPr>
                <w:color w:val="auto"/>
                <w:sz w:val="21"/>
                <w:szCs w:val="21"/>
                <w:lang w:val="de-DE"/>
              </w:rPr>
              <w:t>、</w:t>
            </w:r>
            <w:r>
              <w:rPr>
                <w:color w:val="auto"/>
                <w:sz w:val="21"/>
                <w:szCs w:val="21"/>
              </w:rPr>
              <w:t>PM</w:t>
            </w:r>
            <w:r>
              <w:rPr>
                <w:color w:val="auto"/>
                <w:sz w:val="21"/>
                <w:szCs w:val="21"/>
                <w:vertAlign w:val="subscript"/>
              </w:rPr>
              <w:t>2.5</w:t>
            </w:r>
            <w:r>
              <w:rPr>
                <w:color w:val="auto"/>
                <w:sz w:val="21"/>
                <w:szCs w:val="21"/>
                <w:lang w:val="de-DE"/>
              </w:rPr>
              <w:t>、CO、O</w:t>
            </w:r>
            <w:r>
              <w:rPr>
                <w:color w:val="auto"/>
                <w:sz w:val="21"/>
                <w:szCs w:val="21"/>
                <w:vertAlign w:val="subscript"/>
                <w:lang w:val="de-DE"/>
              </w:rPr>
              <w:t>3</w:t>
            </w:r>
            <w:r>
              <w:rPr>
                <w:color w:val="auto"/>
                <w:sz w:val="21"/>
                <w:szCs w:val="21"/>
                <w:lang w:val="de-DE"/>
              </w:rPr>
              <w:t>、</w:t>
            </w:r>
            <w:r>
              <w:rPr>
                <w:rFonts w:hint="eastAsia"/>
                <w:color w:val="auto"/>
                <w:sz w:val="21"/>
                <w:szCs w:val="21"/>
              </w:rPr>
              <w:t>氨</w:t>
            </w:r>
            <w:r>
              <w:rPr>
                <w:color w:val="auto"/>
                <w:sz w:val="21"/>
                <w:szCs w:val="21"/>
              </w:rPr>
              <w:t>、TSP和硫酸雾</w:t>
            </w:r>
          </w:p>
        </w:tc>
        <w:tc>
          <w:tcPr>
            <w:tcW w:w="1257" w:type="pct"/>
            <w:vAlign w:val="center"/>
          </w:tcPr>
          <w:p w14:paraId="7DC12A3A">
            <w:pPr>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2</w:t>
            </w:r>
            <w:r>
              <w:rPr>
                <w:rFonts w:hint="eastAsia"/>
                <w:color w:val="auto"/>
                <w:sz w:val="21"/>
                <w:szCs w:val="21"/>
              </w:rPr>
              <w:t>、氨</w:t>
            </w:r>
            <w:r>
              <w:rPr>
                <w:color w:val="auto"/>
                <w:sz w:val="21"/>
                <w:szCs w:val="21"/>
              </w:rPr>
              <w:t>、TSP</w:t>
            </w:r>
            <w:r>
              <w:rPr>
                <w:rFonts w:hint="eastAsia"/>
                <w:color w:val="auto"/>
                <w:sz w:val="21"/>
                <w:szCs w:val="21"/>
              </w:rPr>
              <w:t>、</w:t>
            </w:r>
            <w:r>
              <w:rPr>
                <w:color w:val="auto"/>
                <w:sz w:val="21"/>
                <w:szCs w:val="21"/>
              </w:rPr>
              <w:t>硫酸雾</w:t>
            </w:r>
          </w:p>
        </w:tc>
        <w:tc>
          <w:tcPr>
            <w:tcW w:w="543" w:type="pct"/>
            <w:vAlign w:val="center"/>
          </w:tcPr>
          <w:p w14:paraId="767DE08A">
            <w:pPr>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r>
              <w:rPr>
                <w:rFonts w:hint="eastAsia"/>
                <w:color w:val="auto"/>
                <w:sz w:val="21"/>
                <w:szCs w:val="21"/>
              </w:rPr>
              <w:t>、NOx、颗粒物</w:t>
            </w:r>
          </w:p>
        </w:tc>
        <w:tc>
          <w:tcPr>
            <w:tcW w:w="817" w:type="pct"/>
            <w:vAlign w:val="center"/>
          </w:tcPr>
          <w:p w14:paraId="561BF682">
            <w:pPr>
              <w:spacing w:line="240" w:lineRule="auto"/>
              <w:ind w:firstLine="0" w:firstLineChars="0"/>
              <w:jc w:val="center"/>
              <w:rPr>
                <w:color w:val="auto"/>
                <w:sz w:val="21"/>
                <w:szCs w:val="21"/>
              </w:rPr>
            </w:pPr>
            <w:r>
              <w:rPr>
                <w:rFonts w:hint="eastAsia"/>
                <w:color w:val="auto"/>
                <w:sz w:val="21"/>
                <w:szCs w:val="21"/>
              </w:rPr>
              <w:t>氨和硫酸雾</w:t>
            </w:r>
          </w:p>
        </w:tc>
      </w:tr>
      <w:tr w14:paraId="4145D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14:paraId="0D26A30A">
            <w:pPr>
              <w:spacing w:line="240" w:lineRule="auto"/>
              <w:ind w:firstLine="0" w:firstLineChars="0"/>
              <w:jc w:val="center"/>
              <w:rPr>
                <w:color w:val="auto"/>
                <w:sz w:val="21"/>
                <w:szCs w:val="21"/>
              </w:rPr>
            </w:pPr>
            <w:r>
              <w:rPr>
                <w:color w:val="auto"/>
                <w:sz w:val="21"/>
                <w:szCs w:val="21"/>
              </w:rPr>
              <w:t>地表水环境</w:t>
            </w:r>
          </w:p>
        </w:tc>
        <w:tc>
          <w:tcPr>
            <w:tcW w:w="1838" w:type="pct"/>
            <w:vAlign w:val="center"/>
          </w:tcPr>
          <w:p w14:paraId="1E497CB1">
            <w:pPr>
              <w:spacing w:line="240" w:lineRule="auto"/>
              <w:ind w:firstLine="0" w:firstLineChars="0"/>
              <w:jc w:val="center"/>
              <w:rPr>
                <w:color w:val="auto"/>
                <w:sz w:val="21"/>
                <w:szCs w:val="21"/>
              </w:rPr>
            </w:pPr>
            <w:r>
              <w:rPr>
                <w:color w:val="auto"/>
                <w:sz w:val="21"/>
                <w:szCs w:val="21"/>
                <w:lang w:bidi="ar"/>
              </w:rPr>
              <w:t>pH、COD、BOD</w:t>
            </w:r>
            <w:r>
              <w:rPr>
                <w:color w:val="auto"/>
                <w:sz w:val="21"/>
                <w:szCs w:val="21"/>
                <w:vertAlign w:val="subscript"/>
                <w:lang w:bidi="ar"/>
              </w:rPr>
              <w:t>5</w:t>
            </w:r>
            <w:r>
              <w:rPr>
                <w:color w:val="auto"/>
                <w:sz w:val="21"/>
                <w:szCs w:val="21"/>
                <w:lang w:bidi="ar"/>
              </w:rPr>
              <w:t>、TN、TP、NH</w:t>
            </w:r>
            <w:r>
              <w:rPr>
                <w:color w:val="auto"/>
                <w:sz w:val="21"/>
                <w:szCs w:val="21"/>
                <w:vertAlign w:val="subscript"/>
                <w:lang w:bidi="ar"/>
              </w:rPr>
              <w:t>3</w:t>
            </w:r>
            <w:r>
              <w:rPr>
                <w:color w:val="auto"/>
                <w:sz w:val="21"/>
                <w:szCs w:val="21"/>
                <w:lang w:bidi="ar"/>
              </w:rPr>
              <w:t>-N、SS、高锰酸盐指数、石油类、LAS</w:t>
            </w:r>
          </w:p>
        </w:tc>
        <w:tc>
          <w:tcPr>
            <w:tcW w:w="1257" w:type="pct"/>
            <w:vAlign w:val="center"/>
          </w:tcPr>
          <w:p w14:paraId="044165C6">
            <w:pPr>
              <w:spacing w:line="240" w:lineRule="auto"/>
              <w:ind w:firstLine="0" w:firstLineChars="0"/>
              <w:jc w:val="center"/>
              <w:rPr>
                <w:color w:val="auto"/>
                <w:sz w:val="21"/>
                <w:szCs w:val="21"/>
              </w:rPr>
            </w:pPr>
            <w:r>
              <w:rPr>
                <w:rFonts w:hint="eastAsia"/>
                <w:color w:val="auto"/>
                <w:sz w:val="21"/>
                <w:szCs w:val="21"/>
              </w:rPr>
              <w:t>/</w:t>
            </w:r>
          </w:p>
        </w:tc>
        <w:tc>
          <w:tcPr>
            <w:tcW w:w="543" w:type="pct"/>
            <w:vAlign w:val="center"/>
          </w:tcPr>
          <w:p w14:paraId="5BEA1DBE">
            <w:pPr>
              <w:spacing w:line="240" w:lineRule="auto"/>
              <w:ind w:firstLine="0" w:firstLineChars="0"/>
              <w:jc w:val="center"/>
              <w:rPr>
                <w:color w:val="auto"/>
                <w:sz w:val="21"/>
                <w:szCs w:val="21"/>
              </w:rPr>
            </w:pPr>
            <w:r>
              <w:rPr>
                <w:color w:val="auto"/>
                <w:sz w:val="21"/>
                <w:szCs w:val="21"/>
              </w:rPr>
              <w:t>COD、</w:t>
            </w:r>
            <w:r>
              <w:rPr>
                <w:color w:val="auto"/>
                <w:sz w:val="21"/>
                <w:szCs w:val="21"/>
                <w:lang w:bidi="ar"/>
              </w:rPr>
              <w:t>NH</w:t>
            </w:r>
            <w:r>
              <w:rPr>
                <w:color w:val="auto"/>
                <w:sz w:val="21"/>
                <w:szCs w:val="21"/>
                <w:vertAlign w:val="subscript"/>
                <w:lang w:bidi="ar"/>
              </w:rPr>
              <w:t>3</w:t>
            </w:r>
            <w:r>
              <w:rPr>
                <w:color w:val="auto"/>
                <w:sz w:val="21"/>
                <w:szCs w:val="21"/>
                <w:lang w:bidi="ar"/>
              </w:rPr>
              <w:t>-N</w:t>
            </w:r>
            <w:r>
              <w:rPr>
                <w:color w:val="auto"/>
                <w:sz w:val="21"/>
                <w:szCs w:val="21"/>
              </w:rPr>
              <w:t>、TP、TN</w:t>
            </w:r>
          </w:p>
        </w:tc>
        <w:tc>
          <w:tcPr>
            <w:tcW w:w="817" w:type="pct"/>
            <w:vAlign w:val="center"/>
          </w:tcPr>
          <w:p w14:paraId="3F83E06F">
            <w:pPr>
              <w:spacing w:line="240" w:lineRule="auto"/>
              <w:ind w:firstLine="0" w:firstLineChars="0"/>
              <w:jc w:val="center"/>
              <w:rPr>
                <w:color w:val="auto"/>
                <w:sz w:val="21"/>
                <w:szCs w:val="21"/>
              </w:rPr>
            </w:pPr>
            <w:r>
              <w:rPr>
                <w:color w:val="auto"/>
                <w:sz w:val="21"/>
                <w:szCs w:val="21"/>
              </w:rPr>
              <w:t>SS、石油类、</w:t>
            </w:r>
            <w:r>
              <w:rPr>
                <w:rFonts w:hint="eastAsia"/>
                <w:color w:val="auto"/>
                <w:sz w:val="21"/>
                <w:szCs w:val="21"/>
              </w:rPr>
              <w:t>铝等</w:t>
            </w:r>
          </w:p>
        </w:tc>
      </w:tr>
      <w:tr w14:paraId="76D69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14:paraId="2F5891BA">
            <w:pPr>
              <w:spacing w:line="240" w:lineRule="auto"/>
              <w:ind w:firstLine="0" w:firstLineChars="0"/>
              <w:jc w:val="center"/>
              <w:rPr>
                <w:color w:val="auto"/>
                <w:sz w:val="21"/>
                <w:szCs w:val="21"/>
              </w:rPr>
            </w:pPr>
            <w:r>
              <w:rPr>
                <w:color w:val="auto"/>
                <w:sz w:val="21"/>
                <w:szCs w:val="21"/>
              </w:rPr>
              <w:t>地下水</w:t>
            </w:r>
          </w:p>
        </w:tc>
        <w:tc>
          <w:tcPr>
            <w:tcW w:w="1838" w:type="pct"/>
            <w:vAlign w:val="center"/>
          </w:tcPr>
          <w:p w14:paraId="73DB4B48">
            <w:pPr>
              <w:spacing w:line="240" w:lineRule="auto"/>
              <w:ind w:firstLine="0" w:firstLineChars="0"/>
              <w:rPr>
                <w:color w:val="auto"/>
                <w:sz w:val="21"/>
                <w:szCs w:val="21"/>
              </w:rPr>
            </w:pPr>
            <w:r>
              <w:rPr>
                <w:color w:val="auto"/>
                <w:sz w:val="21"/>
                <w:szCs w:val="21"/>
                <w:lang w:bidi="ar"/>
              </w:rPr>
              <w:t>K</w:t>
            </w:r>
            <w:r>
              <w:rPr>
                <w:color w:val="auto"/>
                <w:sz w:val="21"/>
                <w:szCs w:val="21"/>
                <w:vertAlign w:val="superscript"/>
                <w:lang w:bidi="ar"/>
              </w:rPr>
              <w:t>+</w:t>
            </w:r>
            <w:r>
              <w:rPr>
                <w:rFonts w:hint="eastAsia"/>
                <w:color w:val="auto"/>
                <w:sz w:val="21"/>
                <w:szCs w:val="21"/>
                <w:lang w:bidi="ar"/>
              </w:rPr>
              <w:t>、</w:t>
            </w:r>
            <w:r>
              <w:rPr>
                <w:color w:val="auto"/>
                <w:sz w:val="21"/>
                <w:szCs w:val="21"/>
                <w:lang w:bidi="ar"/>
              </w:rPr>
              <w:t>Na</w:t>
            </w:r>
            <w:r>
              <w:rPr>
                <w:color w:val="auto"/>
                <w:sz w:val="21"/>
                <w:szCs w:val="21"/>
                <w:vertAlign w:val="superscript"/>
                <w:lang w:bidi="ar"/>
              </w:rPr>
              <w:t>+</w:t>
            </w:r>
            <w:r>
              <w:rPr>
                <w:rFonts w:hint="eastAsia"/>
                <w:color w:val="auto"/>
                <w:sz w:val="21"/>
                <w:szCs w:val="21"/>
                <w:lang w:bidi="ar"/>
              </w:rPr>
              <w:t>、</w:t>
            </w:r>
            <w:r>
              <w:rPr>
                <w:color w:val="auto"/>
                <w:sz w:val="21"/>
                <w:szCs w:val="21"/>
                <w:lang w:bidi="ar"/>
              </w:rPr>
              <w:t>Ca</w:t>
            </w:r>
            <w:r>
              <w:rPr>
                <w:color w:val="auto"/>
                <w:sz w:val="21"/>
                <w:szCs w:val="21"/>
                <w:vertAlign w:val="superscript"/>
                <w:lang w:bidi="ar"/>
              </w:rPr>
              <w:t>2+</w:t>
            </w:r>
            <w:r>
              <w:rPr>
                <w:rFonts w:hint="eastAsia"/>
                <w:color w:val="auto"/>
                <w:sz w:val="21"/>
                <w:szCs w:val="21"/>
                <w:lang w:bidi="ar"/>
              </w:rPr>
              <w:t>、</w:t>
            </w:r>
            <w:r>
              <w:rPr>
                <w:color w:val="auto"/>
                <w:sz w:val="21"/>
                <w:szCs w:val="21"/>
                <w:lang w:bidi="ar"/>
              </w:rPr>
              <w:t>Mg</w:t>
            </w:r>
            <w:r>
              <w:rPr>
                <w:color w:val="auto"/>
                <w:sz w:val="21"/>
                <w:szCs w:val="21"/>
                <w:vertAlign w:val="superscript"/>
                <w:lang w:bidi="ar"/>
              </w:rPr>
              <w:t>2+</w:t>
            </w:r>
            <w:r>
              <w:rPr>
                <w:rFonts w:hint="eastAsia"/>
                <w:color w:val="auto"/>
                <w:sz w:val="21"/>
                <w:szCs w:val="21"/>
                <w:lang w:bidi="ar"/>
              </w:rPr>
              <w:t>、</w:t>
            </w:r>
            <w:r>
              <w:rPr>
                <w:color w:val="auto"/>
                <w:sz w:val="21"/>
                <w:szCs w:val="21"/>
                <w:lang w:bidi="ar"/>
              </w:rPr>
              <w:t>CO</w:t>
            </w:r>
            <w:r>
              <w:rPr>
                <w:color w:val="auto"/>
                <w:sz w:val="21"/>
                <w:szCs w:val="21"/>
                <w:vertAlign w:val="subscript"/>
                <w:lang w:bidi="ar"/>
              </w:rPr>
              <w:t>3</w:t>
            </w:r>
            <w:r>
              <w:rPr>
                <w:color w:val="auto"/>
                <w:sz w:val="21"/>
                <w:szCs w:val="21"/>
                <w:vertAlign w:val="superscript"/>
                <w:lang w:bidi="ar"/>
              </w:rPr>
              <w:t>2-</w:t>
            </w:r>
            <w:r>
              <w:rPr>
                <w:rFonts w:hint="eastAsia"/>
                <w:color w:val="auto"/>
                <w:sz w:val="21"/>
                <w:szCs w:val="21"/>
                <w:lang w:bidi="ar"/>
              </w:rPr>
              <w:t>、</w:t>
            </w:r>
            <w:r>
              <w:rPr>
                <w:color w:val="auto"/>
                <w:sz w:val="21"/>
                <w:szCs w:val="21"/>
                <w:lang w:bidi="ar"/>
              </w:rPr>
              <w:t>HCO</w:t>
            </w:r>
            <w:r>
              <w:rPr>
                <w:color w:val="auto"/>
                <w:sz w:val="21"/>
                <w:szCs w:val="21"/>
                <w:vertAlign w:val="subscript"/>
                <w:lang w:bidi="ar"/>
              </w:rPr>
              <w:t>3</w:t>
            </w:r>
            <w:r>
              <w:rPr>
                <w:color w:val="auto"/>
                <w:sz w:val="21"/>
                <w:szCs w:val="21"/>
                <w:vertAlign w:val="superscript"/>
                <w:lang w:bidi="ar"/>
              </w:rPr>
              <w:t>-</w:t>
            </w:r>
            <w:r>
              <w:rPr>
                <w:rFonts w:hint="eastAsia"/>
                <w:color w:val="auto"/>
                <w:sz w:val="21"/>
                <w:szCs w:val="21"/>
                <w:lang w:bidi="ar"/>
              </w:rPr>
              <w:t>、</w:t>
            </w:r>
            <w:r>
              <w:rPr>
                <w:color w:val="auto"/>
                <w:sz w:val="21"/>
                <w:szCs w:val="21"/>
                <w:lang w:bidi="ar"/>
              </w:rPr>
              <w:t>Cl</w:t>
            </w:r>
            <w:r>
              <w:rPr>
                <w:color w:val="auto"/>
                <w:sz w:val="21"/>
                <w:szCs w:val="21"/>
                <w:vertAlign w:val="superscript"/>
                <w:lang w:bidi="ar"/>
              </w:rPr>
              <w:t>-</w:t>
            </w:r>
            <w:r>
              <w:rPr>
                <w:rFonts w:hint="eastAsia"/>
                <w:color w:val="auto"/>
                <w:sz w:val="21"/>
                <w:szCs w:val="21"/>
                <w:lang w:bidi="ar"/>
              </w:rPr>
              <w:t>、</w:t>
            </w:r>
            <w:r>
              <w:rPr>
                <w:color w:val="auto"/>
                <w:sz w:val="21"/>
                <w:szCs w:val="21"/>
                <w:lang w:bidi="ar"/>
              </w:rPr>
              <w:t>SO</w:t>
            </w:r>
            <w:r>
              <w:rPr>
                <w:color w:val="auto"/>
                <w:sz w:val="21"/>
                <w:szCs w:val="21"/>
                <w:vertAlign w:val="subscript"/>
                <w:lang w:bidi="ar"/>
              </w:rPr>
              <w:t>4</w:t>
            </w:r>
            <w:r>
              <w:rPr>
                <w:color w:val="auto"/>
                <w:sz w:val="21"/>
                <w:szCs w:val="21"/>
                <w:vertAlign w:val="superscript"/>
                <w:lang w:bidi="ar"/>
              </w:rPr>
              <w:t>2-</w:t>
            </w:r>
            <w:r>
              <w:rPr>
                <w:rFonts w:hint="eastAsia"/>
                <w:color w:val="auto"/>
                <w:sz w:val="21"/>
                <w:szCs w:val="21"/>
                <w:lang w:bidi="ar"/>
              </w:rPr>
              <w:t>；</w:t>
            </w:r>
            <w:r>
              <w:rPr>
                <w:color w:val="auto"/>
                <w:sz w:val="21"/>
                <w:szCs w:val="21"/>
                <w:lang w:bidi="ar"/>
              </w:rPr>
              <w:t>pH</w:t>
            </w:r>
            <w:r>
              <w:rPr>
                <w:rFonts w:hint="eastAsia"/>
                <w:color w:val="auto"/>
                <w:sz w:val="21"/>
                <w:szCs w:val="21"/>
                <w:lang w:bidi="ar"/>
              </w:rPr>
              <w:t>、氨氮、硝酸盐、亚硝酸盐、挥发性酚类、氰化物、砷、汞、铬（六价）、总硬度、铅、氟化物、镉、铁、锰、溶解性总固体、耗氧量（</w:t>
            </w:r>
            <w:r>
              <w:rPr>
                <w:color w:val="auto"/>
                <w:sz w:val="21"/>
                <w:szCs w:val="21"/>
                <w:lang w:bidi="ar"/>
              </w:rPr>
              <w:t>COD</w:t>
            </w:r>
            <w:r>
              <w:rPr>
                <w:color w:val="auto"/>
                <w:sz w:val="21"/>
                <w:szCs w:val="21"/>
                <w:vertAlign w:val="subscript"/>
                <w:lang w:bidi="ar"/>
              </w:rPr>
              <w:t>Mn</w:t>
            </w:r>
            <w:r>
              <w:rPr>
                <w:rFonts w:hint="eastAsia"/>
                <w:color w:val="auto"/>
                <w:sz w:val="21"/>
                <w:szCs w:val="21"/>
                <w:lang w:bidi="ar"/>
              </w:rPr>
              <w:t>法）、硫酸盐、氯化物、总大肠菌群、细菌总数、硫化物、铜、镍、铝、</w:t>
            </w:r>
            <w:r>
              <w:rPr>
                <w:color w:val="auto"/>
                <w:sz w:val="21"/>
                <w:szCs w:val="21"/>
                <w:lang w:bidi="ar"/>
              </w:rPr>
              <w:t>LAS</w:t>
            </w:r>
            <w:r>
              <w:rPr>
                <w:rFonts w:hint="eastAsia"/>
                <w:color w:val="auto"/>
                <w:sz w:val="21"/>
                <w:szCs w:val="21"/>
                <w:lang w:bidi="ar"/>
              </w:rPr>
              <w:t>、水位、水温及其他有关水文要素</w:t>
            </w:r>
          </w:p>
        </w:tc>
        <w:tc>
          <w:tcPr>
            <w:tcW w:w="1257" w:type="pct"/>
            <w:vAlign w:val="center"/>
          </w:tcPr>
          <w:p w14:paraId="3EE40AA2">
            <w:pPr>
              <w:spacing w:line="240" w:lineRule="auto"/>
              <w:ind w:firstLine="0" w:firstLineChars="0"/>
              <w:jc w:val="center"/>
              <w:rPr>
                <w:color w:val="auto"/>
                <w:sz w:val="21"/>
                <w:szCs w:val="21"/>
              </w:rPr>
            </w:pPr>
            <w:r>
              <w:rPr>
                <w:rFonts w:hint="eastAsia"/>
                <w:color w:val="auto"/>
                <w:sz w:val="21"/>
                <w:szCs w:val="21"/>
              </w:rPr>
              <w:t>耗氧量、铝、锡</w:t>
            </w:r>
          </w:p>
        </w:tc>
        <w:tc>
          <w:tcPr>
            <w:tcW w:w="543" w:type="pct"/>
            <w:vAlign w:val="center"/>
          </w:tcPr>
          <w:p w14:paraId="4D78BDE5">
            <w:pPr>
              <w:spacing w:line="240" w:lineRule="auto"/>
              <w:ind w:firstLine="0" w:firstLineChars="0"/>
              <w:jc w:val="center"/>
              <w:rPr>
                <w:color w:val="auto"/>
                <w:sz w:val="21"/>
                <w:szCs w:val="21"/>
              </w:rPr>
            </w:pPr>
            <w:r>
              <w:rPr>
                <w:color w:val="auto"/>
                <w:sz w:val="21"/>
                <w:szCs w:val="21"/>
              </w:rPr>
              <w:t>/</w:t>
            </w:r>
          </w:p>
        </w:tc>
        <w:tc>
          <w:tcPr>
            <w:tcW w:w="817" w:type="pct"/>
            <w:vAlign w:val="center"/>
          </w:tcPr>
          <w:p w14:paraId="2C19DA40">
            <w:pPr>
              <w:spacing w:line="240" w:lineRule="auto"/>
              <w:ind w:firstLine="0" w:firstLineChars="0"/>
              <w:jc w:val="center"/>
              <w:rPr>
                <w:color w:val="auto"/>
                <w:sz w:val="21"/>
                <w:szCs w:val="21"/>
              </w:rPr>
            </w:pPr>
            <w:r>
              <w:rPr>
                <w:rFonts w:hint="eastAsia"/>
                <w:color w:val="auto"/>
                <w:sz w:val="21"/>
                <w:szCs w:val="21"/>
              </w:rPr>
              <w:t>/</w:t>
            </w:r>
          </w:p>
        </w:tc>
      </w:tr>
      <w:tr w14:paraId="1294F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14:paraId="22724415">
            <w:pPr>
              <w:spacing w:line="240" w:lineRule="auto"/>
              <w:ind w:firstLine="0" w:firstLineChars="0"/>
              <w:jc w:val="center"/>
              <w:rPr>
                <w:color w:val="auto"/>
                <w:sz w:val="21"/>
                <w:szCs w:val="21"/>
              </w:rPr>
            </w:pPr>
            <w:r>
              <w:rPr>
                <w:color w:val="auto"/>
                <w:sz w:val="21"/>
                <w:szCs w:val="21"/>
              </w:rPr>
              <w:t>声环境</w:t>
            </w:r>
          </w:p>
        </w:tc>
        <w:tc>
          <w:tcPr>
            <w:tcW w:w="1838" w:type="pct"/>
            <w:vAlign w:val="center"/>
          </w:tcPr>
          <w:p w14:paraId="14AAA097">
            <w:pPr>
              <w:spacing w:line="240" w:lineRule="auto"/>
              <w:ind w:firstLine="0" w:firstLineChars="0"/>
              <w:jc w:val="center"/>
              <w:rPr>
                <w:color w:val="auto"/>
                <w:sz w:val="21"/>
                <w:szCs w:val="21"/>
              </w:rPr>
            </w:pPr>
            <w:r>
              <w:rPr>
                <w:color w:val="auto"/>
                <w:sz w:val="21"/>
                <w:szCs w:val="21"/>
              </w:rPr>
              <w:t>连续等效A声级</w:t>
            </w:r>
          </w:p>
        </w:tc>
        <w:tc>
          <w:tcPr>
            <w:tcW w:w="1257" w:type="pct"/>
            <w:vAlign w:val="center"/>
          </w:tcPr>
          <w:p w14:paraId="70DF74DA">
            <w:pPr>
              <w:spacing w:line="240" w:lineRule="auto"/>
              <w:ind w:firstLine="0" w:firstLineChars="0"/>
              <w:jc w:val="center"/>
              <w:rPr>
                <w:color w:val="auto"/>
                <w:sz w:val="21"/>
                <w:szCs w:val="21"/>
              </w:rPr>
            </w:pPr>
            <w:r>
              <w:rPr>
                <w:color w:val="auto"/>
                <w:sz w:val="21"/>
                <w:szCs w:val="21"/>
              </w:rPr>
              <w:t>连续等效A声级</w:t>
            </w:r>
          </w:p>
        </w:tc>
        <w:tc>
          <w:tcPr>
            <w:tcW w:w="543" w:type="pct"/>
            <w:vAlign w:val="center"/>
          </w:tcPr>
          <w:p w14:paraId="4792D1A5">
            <w:pPr>
              <w:spacing w:line="240" w:lineRule="auto"/>
              <w:ind w:firstLine="0" w:firstLineChars="0"/>
              <w:jc w:val="center"/>
              <w:rPr>
                <w:color w:val="auto"/>
                <w:sz w:val="21"/>
                <w:szCs w:val="21"/>
              </w:rPr>
            </w:pPr>
            <w:r>
              <w:rPr>
                <w:color w:val="auto"/>
                <w:sz w:val="21"/>
                <w:szCs w:val="21"/>
              </w:rPr>
              <w:t>/</w:t>
            </w:r>
          </w:p>
        </w:tc>
        <w:tc>
          <w:tcPr>
            <w:tcW w:w="817" w:type="pct"/>
            <w:vAlign w:val="center"/>
          </w:tcPr>
          <w:p w14:paraId="668189EB">
            <w:pPr>
              <w:spacing w:line="240" w:lineRule="auto"/>
              <w:ind w:firstLine="0" w:firstLineChars="0"/>
              <w:jc w:val="center"/>
              <w:rPr>
                <w:color w:val="auto"/>
                <w:sz w:val="21"/>
                <w:szCs w:val="21"/>
              </w:rPr>
            </w:pPr>
            <w:r>
              <w:rPr>
                <w:rFonts w:hint="eastAsia"/>
                <w:color w:val="auto"/>
                <w:sz w:val="21"/>
                <w:szCs w:val="21"/>
              </w:rPr>
              <w:t>/</w:t>
            </w:r>
          </w:p>
        </w:tc>
      </w:tr>
      <w:tr w14:paraId="715E7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14:paraId="785CC890">
            <w:pPr>
              <w:spacing w:line="240" w:lineRule="auto"/>
              <w:ind w:firstLine="0" w:firstLineChars="0"/>
              <w:jc w:val="center"/>
              <w:rPr>
                <w:color w:val="auto"/>
                <w:sz w:val="21"/>
                <w:szCs w:val="21"/>
              </w:rPr>
            </w:pPr>
            <w:r>
              <w:rPr>
                <w:color w:val="auto"/>
                <w:sz w:val="21"/>
                <w:szCs w:val="21"/>
              </w:rPr>
              <w:t>固体废弃物</w:t>
            </w:r>
          </w:p>
        </w:tc>
        <w:tc>
          <w:tcPr>
            <w:tcW w:w="1838" w:type="pct"/>
            <w:vAlign w:val="center"/>
          </w:tcPr>
          <w:p w14:paraId="1A87383F">
            <w:pPr>
              <w:spacing w:line="240" w:lineRule="auto"/>
              <w:ind w:firstLine="0" w:firstLineChars="0"/>
              <w:jc w:val="center"/>
              <w:rPr>
                <w:color w:val="auto"/>
                <w:kern w:val="44"/>
                <w:sz w:val="21"/>
                <w:szCs w:val="21"/>
              </w:rPr>
            </w:pPr>
            <w:r>
              <w:rPr>
                <w:color w:val="auto"/>
                <w:kern w:val="44"/>
                <w:sz w:val="21"/>
                <w:szCs w:val="21"/>
              </w:rPr>
              <w:t>固体废弃物的发生量、综合利用量、处理处置量</w:t>
            </w:r>
          </w:p>
        </w:tc>
        <w:tc>
          <w:tcPr>
            <w:tcW w:w="1257" w:type="pct"/>
            <w:vAlign w:val="center"/>
          </w:tcPr>
          <w:p w14:paraId="50858D25">
            <w:pPr>
              <w:spacing w:line="240" w:lineRule="auto"/>
              <w:ind w:firstLine="0" w:firstLineChars="0"/>
              <w:jc w:val="center"/>
              <w:rPr>
                <w:color w:val="auto"/>
                <w:kern w:val="44"/>
                <w:sz w:val="21"/>
                <w:szCs w:val="21"/>
              </w:rPr>
            </w:pPr>
            <w:r>
              <w:rPr>
                <w:color w:val="auto"/>
                <w:kern w:val="44"/>
                <w:sz w:val="21"/>
                <w:szCs w:val="21"/>
              </w:rPr>
              <w:t>/</w:t>
            </w:r>
          </w:p>
        </w:tc>
        <w:tc>
          <w:tcPr>
            <w:tcW w:w="543" w:type="pct"/>
            <w:vAlign w:val="center"/>
          </w:tcPr>
          <w:p w14:paraId="2E84B07D">
            <w:pPr>
              <w:spacing w:line="240" w:lineRule="auto"/>
              <w:ind w:firstLine="0" w:firstLineChars="0"/>
              <w:jc w:val="center"/>
              <w:rPr>
                <w:color w:val="auto"/>
                <w:kern w:val="44"/>
                <w:sz w:val="21"/>
                <w:szCs w:val="21"/>
              </w:rPr>
            </w:pPr>
            <w:r>
              <w:rPr>
                <w:rFonts w:hint="eastAsia"/>
                <w:color w:val="auto"/>
                <w:kern w:val="44"/>
                <w:sz w:val="21"/>
                <w:szCs w:val="21"/>
              </w:rPr>
              <w:t>/</w:t>
            </w:r>
          </w:p>
        </w:tc>
        <w:tc>
          <w:tcPr>
            <w:tcW w:w="817" w:type="pct"/>
            <w:vAlign w:val="center"/>
          </w:tcPr>
          <w:p w14:paraId="33738267">
            <w:pPr>
              <w:spacing w:line="240" w:lineRule="auto"/>
              <w:ind w:firstLine="0" w:firstLineChars="0"/>
              <w:jc w:val="center"/>
              <w:rPr>
                <w:color w:val="auto"/>
                <w:kern w:val="44"/>
                <w:sz w:val="21"/>
                <w:szCs w:val="21"/>
              </w:rPr>
            </w:pPr>
            <w:r>
              <w:rPr>
                <w:rFonts w:hint="eastAsia"/>
                <w:color w:val="auto"/>
                <w:kern w:val="44"/>
                <w:sz w:val="21"/>
                <w:szCs w:val="21"/>
              </w:rPr>
              <w:t>/</w:t>
            </w:r>
          </w:p>
        </w:tc>
      </w:tr>
      <w:tr w14:paraId="5762D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2" w:type="pct"/>
            <w:vAlign w:val="center"/>
          </w:tcPr>
          <w:p w14:paraId="5134B447">
            <w:pPr>
              <w:spacing w:line="240" w:lineRule="auto"/>
              <w:ind w:firstLine="0" w:firstLineChars="0"/>
              <w:jc w:val="center"/>
              <w:rPr>
                <w:color w:val="auto"/>
                <w:sz w:val="21"/>
                <w:szCs w:val="21"/>
              </w:rPr>
            </w:pPr>
            <w:r>
              <w:rPr>
                <w:color w:val="auto"/>
                <w:sz w:val="21"/>
                <w:szCs w:val="21"/>
              </w:rPr>
              <w:t>土壤</w:t>
            </w:r>
          </w:p>
        </w:tc>
        <w:tc>
          <w:tcPr>
            <w:tcW w:w="1838" w:type="pct"/>
            <w:vAlign w:val="center"/>
          </w:tcPr>
          <w:p w14:paraId="6DF4EE38">
            <w:pPr>
              <w:spacing w:line="240" w:lineRule="auto"/>
              <w:ind w:firstLine="0" w:firstLineChars="0"/>
              <w:rPr>
                <w:color w:val="auto"/>
                <w:sz w:val="21"/>
                <w:szCs w:val="21"/>
              </w:rPr>
            </w:pPr>
            <w:r>
              <w:rPr>
                <w:color w:val="auto"/>
                <w:sz w:val="21"/>
                <w:szCs w:val="21"/>
                <w:lang w:bidi="ar"/>
              </w:rPr>
              <w:t>铅、汞、砷、铬（六价）、镉、铜、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pH、石油烃（C</w:t>
            </w:r>
            <w:r>
              <w:rPr>
                <w:color w:val="auto"/>
                <w:sz w:val="21"/>
                <w:szCs w:val="21"/>
                <w:vertAlign w:val="subscript"/>
                <w:lang w:bidi="ar"/>
              </w:rPr>
              <w:t>10</w:t>
            </w:r>
            <w:r>
              <w:rPr>
                <w:color w:val="auto"/>
                <w:sz w:val="21"/>
                <w:szCs w:val="21"/>
                <w:lang w:bidi="ar"/>
              </w:rPr>
              <w:t>-C</w:t>
            </w:r>
            <w:r>
              <w:rPr>
                <w:color w:val="auto"/>
                <w:sz w:val="21"/>
                <w:szCs w:val="21"/>
                <w:vertAlign w:val="subscript"/>
                <w:lang w:bidi="ar"/>
              </w:rPr>
              <w:t>40</w:t>
            </w:r>
            <w:r>
              <w:rPr>
                <w:color w:val="auto"/>
                <w:sz w:val="21"/>
                <w:szCs w:val="21"/>
                <w:lang w:bidi="ar"/>
              </w:rPr>
              <w:t>）、铝</w:t>
            </w:r>
          </w:p>
        </w:tc>
        <w:tc>
          <w:tcPr>
            <w:tcW w:w="1257" w:type="pct"/>
            <w:vAlign w:val="center"/>
          </w:tcPr>
          <w:p w14:paraId="6863BFCB">
            <w:pPr>
              <w:spacing w:line="240" w:lineRule="auto"/>
              <w:ind w:firstLine="0" w:firstLineChars="0"/>
              <w:jc w:val="center"/>
              <w:rPr>
                <w:color w:val="auto"/>
                <w:sz w:val="21"/>
                <w:szCs w:val="21"/>
              </w:rPr>
            </w:pPr>
            <w:r>
              <w:rPr>
                <w:rFonts w:hint="eastAsia"/>
                <w:color w:val="auto"/>
                <w:sz w:val="21"/>
                <w:szCs w:val="21"/>
              </w:rPr>
              <w:t>铝、pH值、土壤盐分含量</w:t>
            </w:r>
          </w:p>
        </w:tc>
        <w:tc>
          <w:tcPr>
            <w:tcW w:w="543" w:type="pct"/>
            <w:vAlign w:val="center"/>
          </w:tcPr>
          <w:p w14:paraId="55C1CCD9">
            <w:pPr>
              <w:spacing w:line="240" w:lineRule="auto"/>
              <w:ind w:firstLine="0" w:firstLineChars="0"/>
              <w:jc w:val="center"/>
              <w:rPr>
                <w:color w:val="auto"/>
                <w:sz w:val="21"/>
                <w:szCs w:val="21"/>
              </w:rPr>
            </w:pPr>
            <w:r>
              <w:rPr>
                <w:color w:val="auto"/>
                <w:kern w:val="44"/>
                <w:sz w:val="21"/>
                <w:szCs w:val="21"/>
              </w:rPr>
              <w:t>/</w:t>
            </w:r>
          </w:p>
        </w:tc>
        <w:tc>
          <w:tcPr>
            <w:tcW w:w="817" w:type="pct"/>
            <w:vAlign w:val="center"/>
          </w:tcPr>
          <w:p w14:paraId="06DC9593">
            <w:pPr>
              <w:spacing w:line="240" w:lineRule="auto"/>
              <w:ind w:firstLine="0" w:firstLineChars="0"/>
              <w:jc w:val="center"/>
              <w:rPr>
                <w:color w:val="auto"/>
                <w:kern w:val="44"/>
                <w:sz w:val="21"/>
                <w:szCs w:val="21"/>
              </w:rPr>
            </w:pPr>
            <w:r>
              <w:rPr>
                <w:rFonts w:hint="eastAsia"/>
                <w:color w:val="auto"/>
                <w:kern w:val="44"/>
                <w:sz w:val="21"/>
                <w:szCs w:val="21"/>
              </w:rPr>
              <w:t>/</w:t>
            </w:r>
          </w:p>
        </w:tc>
      </w:tr>
      <w:tr w14:paraId="3888B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2" w:type="pct"/>
            <w:vMerge w:val="restart"/>
            <w:vAlign w:val="center"/>
          </w:tcPr>
          <w:p w14:paraId="5A2EE684">
            <w:pPr>
              <w:spacing w:line="240" w:lineRule="auto"/>
              <w:ind w:firstLine="0" w:firstLineChars="0"/>
              <w:jc w:val="center"/>
              <w:rPr>
                <w:color w:val="auto"/>
                <w:sz w:val="21"/>
                <w:szCs w:val="21"/>
              </w:rPr>
            </w:pPr>
            <w:r>
              <w:rPr>
                <w:color w:val="auto"/>
                <w:sz w:val="21"/>
                <w:szCs w:val="21"/>
              </w:rPr>
              <w:t>环境风险</w:t>
            </w:r>
          </w:p>
        </w:tc>
        <w:tc>
          <w:tcPr>
            <w:tcW w:w="1838" w:type="pct"/>
            <w:vAlign w:val="center"/>
          </w:tcPr>
          <w:p w14:paraId="2D9DFB72">
            <w:pPr>
              <w:spacing w:line="240" w:lineRule="auto"/>
              <w:ind w:firstLine="0" w:firstLineChars="0"/>
              <w:jc w:val="center"/>
              <w:rPr>
                <w:rFonts w:hint="eastAsia" w:eastAsia="宋体"/>
                <w:color w:val="auto"/>
                <w:kern w:val="44"/>
                <w:sz w:val="21"/>
                <w:szCs w:val="21"/>
                <w:lang w:val="en-US" w:eastAsia="zh-CN"/>
              </w:rPr>
            </w:pPr>
            <w:r>
              <w:rPr>
                <w:rFonts w:hint="eastAsia"/>
                <w:color w:val="auto"/>
                <w:kern w:val="44"/>
                <w:sz w:val="21"/>
                <w:szCs w:val="21"/>
                <w:lang w:val="en-US" w:eastAsia="zh-CN"/>
              </w:rPr>
              <w:t>/</w:t>
            </w:r>
          </w:p>
        </w:tc>
        <w:tc>
          <w:tcPr>
            <w:tcW w:w="1257" w:type="pct"/>
            <w:vAlign w:val="center"/>
          </w:tcPr>
          <w:p w14:paraId="602783B0">
            <w:pPr>
              <w:spacing w:line="240" w:lineRule="auto"/>
              <w:ind w:firstLine="0" w:firstLineChars="0"/>
              <w:jc w:val="center"/>
              <w:rPr>
                <w:rFonts w:hint="default" w:eastAsia="宋体"/>
                <w:color w:val="auto"/>
                <w:kern w:val="44"/>
                <w:sz w:val="21"/>
                <w:szCs w:val="21"/>
                <w:lang w:val="en-US" w:eastAsia="zh-CN"/>
              </w:rPr>
            </w:pPr>
            <w:r>
              <w:rPr>
                <w:rFonts w:hint="eastAsia"/>
                <w:color w:val="auto"/>
                <w:kern w:val="44"/>
                <w:sz w:val="21"/>
                <w:szCs w:val="21"/>
                <w:lang w:val="en-US" w:eastAsia="zh-CN"/>
              </w:rPr>
              <w:t>大气：硫酸雾、液氨</w:t>
            </w:r>
          </w:p>
        </w:tc>
        <w:tc>
          <w:tcPr>
            <w:tcW w:w="543" w:type="pct"/>
            <w:vAlign w:val="center"/>
          </w:tcPr>
          <w:p w14:paraId="6EF0A656">
            <w:pPr>
              <w:spacing w:line="240" w:lineRule="auto"/>
              <w:ind w:firstLine="0" w:firstLineChars="0"/>
              <w:jc w:val="center"/>
              <w:rPr>
                <w:rFonts w:hint="eastAsia" w:eastAsia="宋体"/>
                <w:color w:val="auto"/>
                <w:kern w:val="44"/>
                <w:sz w:val="21"/>
                <w:szCs w:val="21"/>
                <w:lang w:val="en-US" w:eastAsia="zh-CN"/>
              </w:rPr>
            </w:pPr>
            <w:r>
              <w:rPr>
                <w:rFonts w:hint="eastAsia"/>
                <w:color w:val="auto"/>
                <w:kern w:val="44"/>
                <w:sz w:val="21"/>
                <w:szCs w:val="21"/>
                <w:lang w:val="en-US" w:eastAsia="zh-CN"/>
              </w:rPr>
              <w:t>/</w:t>
            </w:r>
          </w:p>
        </w:tc>
        <w:tc>
          <w:tcPr>
            <w:tcW w:w="817" w:type="pct"/>
            <w:vAlign w:val="center"/>
          </w:tcPr>
          <w:p w14:paraId="2047CA3F">
            <w:pPr>
              <w:spacing w:line="240" w:lineRule="auto"/>
              <w:ind w:firstLine="0" w:firstLineChars="0"/>
              <w:jc w:val="center"/>
              <w:rPr>
                <w:rFonts w:hint="eastAsia" w:eastAsia="宋体"/>
                <w:color w:val="auto"/>
                <w:kern w:val="44"/>
                <w:sz w:val="21"/>
                <w:szCs w:val="21"/>
                <w:lang w:val="en-US" w:eastAsia="zh-CN"/>
              </w:rPr>
            </w:pPr>
            <w:r>
              <w:rPr>
                <w:rFonts w:hint="eastAsia"/>
                <w:color w:val="auto"/>
                <w:kern w:val="44"/>
                <w:sz w:val="21"/>
                <w:szCs w:val="21"/>
                <w:lang w:val="en-US" w:eastAsia="zh-CN"/>
              </w:rPr>
              <w:t>/</w:t>
            </w:r>
          </w:p>
        </w:tc>
      </w:tr>
      <w:tr w14:paraId="3480F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2" w:type="pct"/>
            <w:vMerge w:val="continue"/>
            <w:vAlign w:val="center"/>
          </w:tcPr>
          <w:p w14:paraId="46661A31">
            <w:pPr>
              <w:spacing w:line="240" w:lineRule="auto"/>
              <w:ind w:firstLine="0" w:firstLineChars="0"/>
              <w:jc w:val="center"/>
              <w:rPr>
                <w:color w:val="auto"/>
                <w:sz w:val="21"/>
                <w:szCs w:val="21"/>
              </w:rPr>
            </w:pPr>
          </w:p>
        </w:tc>
        <w:tc>
          <w:tcPr>
            <w:tcW w:w="1838" w:type="pct"/>
            <w:vAlign w:val="center"/>
          </w:tcPr>
          <w:p w14:paraId="19D8865C">
            <w:pPr>
              <w:spacing w:line="240" w:lineRule="auto"/>
              <w:ind w:firstLine="0" w:firstLineChars="0"/>
              <w:jc w:val="center"/>
              <w:rPr>
                <w:rFonts w:hint="eastAsia" w:eastAsia="宋体"/>
                <w:color w:val="auto"/>
                <w:kern w:val="44"/>
                <w:sz w:val="21"/>
                <w:szCs w:val="21"/>
                <w:lang w:val="en-US" w:eastAsia="zh-CN"/>
              </w:rPr>
            </w:pPr>
            <w:r>
              <w:rPr>
                <w:rFonts w:hint="eastAsia"/>
                <w:color w:val="auto"/>
                <w:kern w:val="44"/>
                <w:sz w:val="21"/>
                <w:szCs w:val="21"/>
                <w:lang w:val="en-US" w:eastAsia="zh-CN"/>
              </w:rPr>
              <w:t>/</w:t>
            </w:r>
          </w:p>
        </w:tc>
        <w:tc>
          <w:tcPr>
            <w:tcW w:w="1257" w:type="pct"/>
            <w:vAlign w:val="center"/>
          </w:tcPr>
          <w:p w14:paraId="5AFA9597">
            <w:pPr>
              <w:spacing w:line="240" w:lineRule="auto"/>
              <w:ind w:firstLine="0" w:firstLineChars="0"/>
              <w:jc w:val="center"/>
              <w:rPr>
                <w:rFonts w:hint="default" w:eastAsia="宋体"/>
                <w:color w:val="auto"/>
                <w:kern w:val="44"/>
                <w:sz w:val="21"/>
                <w:szCs w:val="21"/>
                <w:lang w:val="en-US" w:eastAsia="zh-CN"/>
              </w:rPr>
            </w:pPr>
            <w:r>
              <w:rPr>
                <w:rFonts w:hint="eastAsia"/>
                <w:color w:val="auto"/>
                <w:kern w:val="44"/>
                <w:sz w:val="21"/>
                <w:szCs w:val="21"/>
                <w:lang w:val="en-US" w:eastAsia="zh-CN"/>
              </w:rPr>
              <w:t>地下水：耗氧量、总铝、总锡</w:t>
            </w:r>
          </w:p>
        </w:tc>
        <w:tc>
          <w:tcPr>
            <w:tcW w:w="543" w:type="pct"/>
            <w:vAlign w:val="center"/>
          </w:tcPr>
          <w:p w14:paraId="30AB2A61">
            <w:pPr>
              <w:spacing w:line="240" w:lineRule="auto"/>
              <w:ind w:firstLine="0" w:firstLineChars="0"/>
              <w:jc w:val="center"/>
              <w:rPr>
                <w:rFonts w:hint="eastAsia" w:eastAsia="宋体"/>
                <w:color w:val="auto"/>
                <w:kern w:val="44"/>
                <w:sz w:val="21"/>
                <w:szCs w:val="21"/>
                <w:lang w:val="en-US" w:eastAsia="zh-CN"/>
              </w:rPr>
            </w:pPr>
            <w:r>
              <w:rPr>
                <w:rFonts w:hint="eastAsia"/>
                <w:color w:val="auto"/>
                <w:kern w:val="44"/>
                <w:sz w:val="21"/>
                <w:szCs w:val="21"/>
                <w:lang w:val="en-US" w:eastAsia="zh-CN"/>
              </w:rPr>
              <w:t>/</w:t>
            </w:r>
          </w:p>
        </w:tc>
        <w:tc>
          <w:tcPr>
            <w:tcW w:w="817" w:type="pct"/>
            <w:vAlign w:val="center"/>
          </w:tcPr>
          <w:p w14:paraId="428DC10D">
            <w:pPr>
              <w:spacing w:line="240" w:lineRule="auto"/>
              <w:ind w:firstLine="0" w:firstLineChars="0"/>
              <w:jc w:val="center"/>
              <w:rPr>
                <w:rFonts w:hint="eastAsia" w:eastAsia="宋体"/>
                <w:color w:val="auto"/>
                <w:kern w:val="44"/>
                <w:sz w:val="21"/>
                <w:szCs w:val="21"/>
                <w:lang w:val="en-US" w:eastAsia="zh-CN"/>
              </w:rPr>
            </w:pPr>
            <w:r>
              <w:rPr>
                <w:rFonts w:hint="eastAsia"/>
                <w:color w:val="auto"/>
                <w:kern w:val="44"/>
                <w:sz w:val="21"/>
                <w:szCs w:val="21"/>
                <w:lang w:val="en-US" w:eastAsia="zh-CN"/>
              </w:rPr>
              <w:t>/</w:t>
            </w:r>
          </w:p>
        </w:tc>
      </w:tr>
    </w:tbl>
    <w:p w14:paraId="35DFA9A7">
      <w:pPr>
        <w:pStyle w:val="4"/>
        <w:spacing w:beforeLines="50" w:after="0"/>
        <w:ind w:firstLine="0" w:firstLineChars="0"/>
        <w:rPr>
          <w:color w:val="auto"/>
          <w:sz w:val="30"/>
          <w:szCs w:val="30"/>
        </w:rPr>
      </w:pPr>
      <w:bookmarkStart w:id="27" w:name="_Toc23821"/>
      <w:r>
        <w:rPr>
          <w:color w:val="auto"/>
          <w:sz w:val="30"/>
          <w:szCs w:val="30"/>
        </w:rPr>
        <w:t>2.4 环境功能区划与评价标准</w:t>
      </w:r>
      <w:bookmarkEnd w:id="27"/>
    </w:p>
    <w:p w14:paraId="607C3A7E">
      <w:pPr>
        <w:keepNext/>
        <w:keepLines/>
        <w:spacing w:before="120" w:beforeLines="50"/>
        <w:ind w:firstLine="0" w:firstLineChars="0"/>
        <w:outlineLvl w:val="2"/>
        <w:rPr>
          <w:b/>
          <w:bCs/>
          <w:color w:val="auto"/>
          <w:sz w:val="28"/>
          <w:szCs w:val="36"/>
        </w:rPr>
      </w:pPr>
      <w:r>
        <w:rPr>
          <w:b/>
          <w:bCs/>
          <w:color w:val="auto"/>
          <w:sz w:val="28"/>
          <w:szCs w:val="36"/>
        </w:rPr>
        <w:t>2.4.1 环境功能区划</w:t>
      </w:r>
    </w:p>
    <w:p w14:paraId="18DCD0E9">
      <w:pPr>
        <w:spacing w:before="120" w:beforeLines="50"/>
        <w:ind w:firstLine="0" w:firstLineChars="0"/>
        <w:outlineLvl w:val="3"/>
        <w:rPr>
          <w:b/>
          <w:color w:val="auto"/>
        </w:rPr>
      </w:pPr>
      <w:r>
        <w:rPr>
          <w:b/>
          <w:color w:val="auto"/>
        </w:rPr>
        <w:t>2.4.1.1 大气环境功能区划</w:t>
      </w:r>
    </w:p>
    <w:p w14:paraId="6A474C04">
      <w:pPr>
        <w:ind w:firstLine="480"/>
        <w:rPr>
          <w:color w:val="auto"/>
        </w:rPr>
      </w:pPr>
      <w:r>
        <w:rPr>
          <w:color w:val="auto"/>
        </w:rPr>
        <w:t>项目所在地区大气环境功能区划为二类区，环境空气质量执行《环境空气质量标准》（GB3095-2012）中的二级标准及其修改单。</w:t>
      </w:r>
    </w:p>
    <w:p w14:paraId="4C3C1955">
      <w:pPr>
        <w:spacing w:before="120" w:beforeLines="50"/>
        <w:ind w:firstLine="0" w:firstLineChars="0"/>
        <w:outlineLvl w:val="3"/>
        <w:rPr>
          <w:b/>
          <w:color w:val="auto"/>
        </w:rPr>
      </w:pPr>
      <w:r>
        <w:rPr>
          <w:b/>
          <w:color w:val="auto"/>
        </w:rPr>
        <w:t>2.4.1.2 地表水环境功能区划</w:t>
      </w:r>
    </w:p>
    <w:p w14:paraId="38A4B097">
      <w:pPr>
        <w:ind w:firstLine="480"/>
        <w:rPr>
          <w:color w:val="auto"/>
        </w:rPr>
      </w:pPr>
      <w:r>
        <w:rPr>
          <w:rFonts w:hint="eastAsia"/>
          <w:color w:val="auto"/>
        </w:rPr>
        <w:t>项目周边主要河流为大浦河排污通道和开泰河，水质标准均参考执行</w:t>
      </w:r>
      <w:r>
        <w:rPr>
          <w:color w:val="auto"/>
        </w:rPr>
        <w:t>《地表水环境质量标准》（GB3838-2002）中</w:t>
      </w:r>
      <w:r>
        <w:rPr>
          <w:rFonts w:hint="eastAsia"/>
          <w:color w:val="auto"/>
        </w:rPr>
        <w:t>Ⅳ类水标准</w:t>
      </w:r>
      <w:r>
        <w:rPr>
          <w:color w:val="auto"/>
        </w:rPr>
        <w:t>。</w:t>
      </w:r>
      <w:r>
        <w:rPr>
          <w:rFonts w:hint="eastAsia"/>
          <w:color w:val="auto"/>
        </w:rPr>
        <w:t>临洪河水质标准参考执行</w:t>
      </w:r>
      <w:r>
        <w:rPr>
          <w:color w:val="auto"/>
        </w:rPr>
        <w:t>《地表水环境质量标准》（GB3838-2002）中</w:t>
      </w:r>
      <w:r>
        <w:rPr>
          <w:rFonts w:hint="eastAsia"/>
          <w:color w:val="auto"/>
          <w:lang w:eastAsia="zh-CN"/>
        </w:rPr>
        <w:t>Ⅲ</w:t>
      </w:r>
      <w:r>
        <w:rPr>
          <w:rFonts w:hint="eastAsia"/>
          <w:color w:val="auto"/>
        </w:rPr>
        <w:t>类水标准。</w:t>
      </w:r>
    </w:p>
    <w:p w14:paraId="21175B1D">
      <w:pPr>
        <w:spacing w:before="120" w:beforeLines="50"/>
        <w:ind w:firstLine="0" w:firstLineChars="0"/>
        <w:outlineLvl w:val="3"/>
        <w:rPr>
          <w:b/>
          <w:color w:val="auto"/>
        </w:rPr>
      </w:pPr>
      <w:r>
        <w:rPr>
          <w:b/>
          <w:color w:val="auto"/>
        </w:rPr>
        <w:t>2.4.1.3 声环境功能区划</w:t>
      </w:r>
    </w:p>
    <w:p w14:paraId="180F1B3D">
      <w:pPr>
        <w:ind w:firstLine="480"/>
        <w:rPr>
          <w:color w:val="auto"/>
        </w:rPr>
      </w:pPr>
      <w:bookmarkStart w:id="28" w:name="_Hlk106115811"/>
      <w:bookmarkStart w:id="29" w:name="_Hlk105533203"/>
      <w:r>
        <w:rPr>
          <w:color w:val="auto"/>
        </w:rPr>
        <w:t>本码头选址位于连云港经济技术开发区临港产业</w:t>
      </w:r>
      <w:r>
        <w:rPr>
          <w:rFonts w:hint="eastAsia"/>
          <w:color w:val="auto"/>
        </w:rPr>
        <w:t>区西北片区</w:t>
      </w:r>
      <w:r>
        <w:rPr>
          <w:color w:val="auto"/>
        </w:rPr>
        <w:t>内，园区规划区域的声环境功能区未划定。本评价根据《声环境质量标准》（GB3096-2008）中按照区域使用功能特点和环境质量要求进行声环境功能区划分。</w:t>
      </w:r>
      <w:r>
        <w:rPr>
          <w:rFonts w:hint="eastAsia"/>
          <w:color w:val="auto"/>
        </w:rPr>
        <w:t>本项目所在区域</w:t>
      </w:r>
      <w:r>
        <w:rPr>
          <w:color w:val="auto"/>
        </w:rPr>
        <w:t>声环境功能区执行3类标准。</w:t>
      </w:r>
    </w:p>
    <w:bookmarkEnd w:id="28"/>
    <w:bookmarkEnd w:id="29"/>
    <w:p w14:paraId="1694B360">
      <w:pPr>
        <w:keepNext/>
        <w:keepLines/>
        <w:spacing w:before="120" w:beforeLines="50"/>
        <w:ind w:firstLine="0" w:firstLineChars="0"/>
        <w:outlineLvl w:val="2"/>
        <w:rPr>
          <w:b/>
          <w:bCs/>
          <w:color w:val="auto"/>
          <w:sz w:val="28"/>
          <w:szCs w:val="36"/>
        </w:rPr>
      </w:pPr>
      <w:r>
        <w:rPr>
          <w:b/>
          <w:bCs/>
          <w:color w:val="auto"/>
          <w:sz w:val="28"/>
          <w:szCs w:val="36"/>
        </w:rPr>
        <w:t>2.4.2 环境质量标准</w:t>
      </w:r>
    </w:p>
    <w:p w14:paraId="61B236E6">
      <w:pPr>
        <w:spacing w:before="120" w:beforeLines="50"/>
        <w:ind w:firstLine="0" w:firstLineChars="0"/>
        <w:outlineLvl w:val="3"/>
        <w:rPr>
          <w:b/>
          <w:color w:val="auto"/>
        </w:rPr>
      </w:pPr>
      <w:r>
        <w:rPr>
          <w:b/>
          <w:color w:val="auto"/>
        </w:rPr>
        <w:t>2.4.2.1 大气环境质量标准</w:t>
      </w:r>
    </w:p>
    <w:p w14:paraId="0CF10B45">
      <w:pPr>
        <w:ind w:firstLine="480"/>
        <w:rPr>
          <w:color w:val="auto"/>
        </w:rPr>
      </w:pPr>
      <w:bookmarkStart w:id="30" w:name="_Hlk525826443"/>
      <w:r>
        <w:rPr>
          <w:color w:val="auto"/>
        </w:rPr>
        <w:t>本项目所在地大气环境中SO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和TSP执行《环境空气质量标准》（GB3095-2012）二级标准及其修改单的要求；</w:t>
      </w:r>
      <w:r>
        <w:rPr>
          <w:rFonts w:hint="eastAsia"/>
          <w:color w:val="auto"/>
        </w:rPr>
        <w:t>氨</w:t>
      </w:r>
      <w:r>
        <w:rPr>
          <w:color w:val="auto"/>
        </w:rPr>
        <w:t>和硫酸雾执行《环境影响评价技术导则 大气导则》（HJ2.2-018）附录D中参考限值。具体见表2.4.2-1。</w:t>
      </w:r>
    </w:p>
    <w:p w14:paraId="164A1742">
      <w:pPr>
        <w:tabs>
          <w:tab w:val="left" w:pos="0"/>
        </w:tabs>
        <w:spacing w:line="240" w:lineRule="auto"/>
        <w:ind w:firstLine="0" w:firstLineChars="0"/>
        <w:jc w:val="center"/>
        <w:rPr>
          <w:b/>
          <w:color w:val="auto"/>
          <w:szCs w:val="20"/>
        </w:rPr>
      </w:pPr>
      <w:r>
        <w:rPr>
          <w:b/>
          <w:color w:val="auto"/>
          <w:szCs w:val="20"/>
        </w:rPr>
        <w:t>表2.4.2-1  环境空气质量标准</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73"/>
        <w:gridCol w:w="1965"/>
        <w:gridCol w:w="1475"/>
        <w:gridCol w:w="3773"/>
      </w:tblGrid>
      <w:tr w14:paraId="677CB2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116" w:type="pct"/>
            <w:vAlign w:val="center"/>
          </w:tcPr>
          <w:p w14:paraId="336AF381">
            <w:pPr>
              <w:spacing w:line="240" w:lineRule="auto"/>
              <w:ind w:firstLine="0" w:firstLineChars="0"/>
              <w:jc w:val="center"/>
              <w:rPr>
                <w:b/>
                <w:color w:val="auto"/>
                <w:sz w:val="21"/>
                <w:szCs w:val="21"/>
              </w:rPr>
            </w:pPr>
            <w:r>
              <w:rPr>
                <w:b/>
                <w:color w:val="auto"/>
                <w:sz w:val="21"/>
                <w:szCs w:val="21"/>
              </w:rPr>
              <w:t>污染物名称</w:t>
            </w:r>
          </w:p>
        </w:tc>
        <w:tc>
          <w:tcPr>
            <w:tcW w:w="1058" w:type="pct"/>
            <w:vAlign w:val="center"/>
          </w:tcPr>
          <w:p w14:paraId="290C5C01">
            <w:pPr>
              <w:spacing w:line="240" w:lineRule="auto"/>
              <w:ind w:firstLine="0" w:firstLineChars="0"/>
              <w:jc w:val="center"/>
              <w:rPr>
                <w:b/>
                <w:color w:val="auto"/>
                <w:sz w:val="21"/>
                <w:szCs w:val="21"/>
              </w:rPr>
            </w:pPr>
            <w:r>
              <w:rPr>
                <w:b/>
                <w:color w:val="auto"/>
                <w:sz w:val="21"/>
                <w:szCs w:val="21"/>
              </w:rPr>
              <w:t>取值时间</w:t>
            </w:r>
          </w:p>
        </w:tc>
        <w:tc>
          <w:tcPr>
            <w:tcW w:w="794" w:type="pct"/>
            <w:vAlign w:val="center"/>
          </w:tcPr>
          <w:p w14:paraId="5A32586C">
            <w:pPr>
              <w:spacing w:line="240" w:lineRule="auto"/>
              <w:ind w:firstLine="0" w:firstLineChars="0"/>
              <w:jc w:val="center"/>
              <w:rPr>
                <w:b/>
                <w:color w:val="auto"/>
                <w:sz w:val="21"/>
                <w:szCs w:val="21"/>
              </w:rPr>
            </w:pPr>
            <w:r>
              <w:rPr>
                <w:b/>
                <w:color w:val="auto"/>
                <w:sz w:val="21"/>
                <w:szCs w:val="21"/>
              </w:rPr>
              <w:t>浓度限值</w:t>
            </w:r>
            <w:r>
              <w:rPr>
                <w:b/>
                <w:color w:val="auto"/>
                <w:kern w:val="50"/>
                <w:sz w:val="21"/>
                <w:szCs w:val="21"/>
              </w:rPr>
              <w:t>（mg/m</w:t>
            </w:r>
            <w:r>
              <w:rPr>
                <w:b/>
                <w:color w:val="auto"/>
                <w:kern w:val="50"/>
                <w:sz w:val="21"/>
                <w:szCs w:val="21"/>
                <w:vertAlign w:val="superscript"/>
              </w:rPr>
              <w:t>3</w:t>
            </w:r>
            <w:r>
              <w:rPr>
                <w:b/>
                <w:color w:val="auto"/>
                <w:kern w:val="50"/>
                <w:sz w:val="21"/>
                <w:szCs w:val="21"/>
              </w:rPr>
              <w:t>）</w:t>
            </w:r>
          </w:p>
        </w:tc>
        <w:tc>
          <w:tcPr>
            <w:tcW w:w="2031" w:type="pct"/>
            <w:vAlign w:val="center"/>
          </w:tcPr>
          <w:p w14:paraId="5876FAB4">
            <w:pPr>
              <w:spacing w:line="240" w:lineRule="auto"/>
              <w:ind w:firstLine="0" w:firstLineChars="0"/>
              <w:jc w:val="center"/>
              <w:rPr>
                <w:b/>
                <w:color w:val="auto"/>
                <w:sz w:val="21"/>
                <w:szCs w:val="21"/>
              </w:rPr>
            </w:pPr>
            <w:r>
              <w:rPr>
                <w:b/>
                <w:color w:val="auto"/>
                <w:sz w:val="21"/>
                <w:szCs w:val="21"/>
              </w:rPr>
              <w:t>标准来源</w:t>
            </w:r>
          </w:p>
        </w:tc>
      </w:tr>
      <w:tr w14:paraId="554CC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restart"/>
            <w:vAlign w:val="center"/>
          </w:tcPr>
          <w:p w14:paraId="35DB4316">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058" w:type="pct"/>
            <w:vAlign w:val="center"/>
          </w:tcPr>
          <w:p w14:paraId="37A977BD">
            <w:pPr>
              <w:spacing w:line="240" w:lineRule="auto"/>
              <w:ind w:firstLine="0" w:firstLineChars="0"/>
              <w:jc w:val="center"/>
              <w:rPr>
                <w:color w:val="auto"/>
                <w:sz w:val="21"/>
                <w:szCs w:val="21"/>
              </w:rPr>
            </w:pPr>
            <w:r>
              <w:rPr>
                <w:color w:val="auto"/>
                <w:sz w:val="21"/>
                <w:szCs w:val="21"/>
              </w:rPr>
              <w:t>年平均</w:t>
            </w:r>
          </w:p>
        </w:tc>
        <w:tc>
          <w:tcPr>
            <w:tcW w:w="794" w:type="pct"/>
            <w:vAlign w:val="center"/>
          </w:tcPr>
          <w:p w14:paraId="7B6351D7">
            <w:pPr>
              <w:spacing w:line="240" w:lineRule="auto"/>
              <w:ind w:firstLine="0" w:firstLineChars="0"/>
              <w:jc w:val="center"/>
              <w:rPr>
                <w:color w:val="auto"/>
                <w:sz w:val="21"/>
                <w:szCs w:val="21"/>
              </w:rPr>
            </w:pPr>
            <w:r>
              <w:rPr>
                <w:color w:val="auto"/>
                <w:sz w:val="21"/>
                <w:szCs w:val="21"/>
              </w:rPr>
              <w:t>0.06</w:t>
            </w:r>
          </w:p>
        </w:tc>
        <w:tc>
          <w:tcPr>
            <w:tcW w:w="2031" w:type="pct"/>
            <w:vMerge w:val="restart"/>
            <w:vAlign w:val="center"/>
          </w:tcPr>
          <w:p w14:paraId="2C47B08C">
            <w:pPr>
              <w:spacing w:line="240" w:lineRule="auto"/>
              <w:ind w:firstLine="0" w:firstLineChars="0"/>
              <w:jc w:val="center"/>
              <w:rPr>
                <w:color w:val="auto"/>
                <w:sz w:val="21"/>
                <w:szCs w:val="21"/>
              </w:rPr>
            </w:pPr>
            <w:r>
              <w:rPr>
                <w:color w:val="auto"/>
                <w:sz w:val="21"/>
                <w:szCs w:val="21"/>
              </w:rPr>
              <w:t>《环境空气质量标准》（GB3095-2012）二级标准及其修改单</w:t>
            </w:r>
          </w:p>
        </w:tc>
      </w:tr>
      <w:tr w14:paraId="600580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continue"/>
            <w:vAlign w:val="center"/>
          </w:tcPr>
          <w:p w14:paraId="7D56965E">
            <w:pPr>
              <w:spacing w:line="240" w:lineRule="auto"/>
              <w:ind w:firstLine="0" w:firstLineChars="0"/>
              <w:jc w:val="center"/>
              <w:rPr>
                <w:color w:val="auto"/>
                <w:sz w:val="21"/>
                <w:szCs w:val="21"/>
              </w:rPr>
            </w:pPr>
          </w:p>
        </w:tc>
        <w:tc>
          <w:tcPr>
            <w:tcW w:w="1058" w:type="pct"/>
            <w:vAlign w:val="center"/>
          </w:tcPr>
          <w:p w14:paraId="7DD39672">
            <w:pPr>
              <w:spacing w:line="240" w:lineRule="auto"/>
              <w:ind w:firstLine="0" w:firstLineChars="0"/>
              <w:jc w:val="center"/>
              <w:rPr>
                <w:color w:val="auto"/>
                <w:sz w:val="21"/>
                <w:szCs w:val="21"/>
              </w:rPr>
            </w:pPr>
            <w:r>
              <w:rPr>
                <w:color w:val="auto"/>
                <w:sz w:val="21"/>
                <w:szCs w:val="21"/>
              </w:rPr>
              <w:t>24h平均</w:t>
            </w:r>
          </w:p>
        </w:tc>
        <w:tc>
          <w:tcPr>
            <w:tcW w:w="794" w:type="pct"/>
            <w:vAlign w:val="center"/>
          </w:tcPr>
          <w:p w14:paraId="393F8ED2">
            <w:pPr>
              <w:spacing w:line="240" w:lineRule="auto"/>
              <w:ind w:firstLine="0" w:firstLineChars="0"/>
              <w:jc w:val="center"/>
              <w:rPr>
                <w:color w:val="auto"/>
                <w:sz w:val="21"/>
                <w:szCs w:val="21"/>
              </w:rPr>
            </w:pPr>
            <w:r>
              <w:rPr>
                <w:color w:val="auto"/>
                <w:sz w:val="21"/>
                <w:szCs w:val="21"/>
              </w:rPr>
              <w:t>0.15</w:t>
            </w:r>
          </w:p>
        </w:tc>
        <w:tc>
          <w:tcPr>
            <w:tcW w:w="2031" w:type="pct"/>
            <w:vMerge w:val="continue"/>
            <w:vAlign w:val="center"/>
          </w:tcPr>
          <w:p w14:paraId="5656EE6C">
            <w:pPr>
              <w:spacing w:line="240" w:lineRule="auto"/>
              <w:ind w:firstLine="0" w:firstLineChars="0"/>
              <w:jc w:val="center"/>
              <w:rPr>
                <w:color w:val="auto"/>
                <w:sz w:val="21"/>
                <w:szCs w:val="21"/>
              </w:rPr>
            </w:pPr>
          </w:p>
        </w:tc>
      </w:tr>
      <w:tr w14:paraId="7EDE90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continue"/>
            <w:vAlign w:val="center"/>
          </w:tcPr>
          <w:p w14:paraId="4E2AEA99">
            <w:pPr>
              <w:spacing w:line="240" w:lineRule="auto"/>
              <w:ind w:firstLine="0" w:firstLineChars="0"/>
              <w:jc w:val="center"/>
              <w:rPr>
                <w:color w:val="auto"/>
                <w:kern w:val="44"/>
                <w:sz w:val="21"/>
                <w:szCs w:val="21"/>
              </w:rPr>
            </w:pPr>
          </w:p>
        </w:tc>
        <w:tc>
          <w:tcPr>
            <w:tcW w:w="1058" w:type="pct"/>
            <w:vAlign w:val="center"/>
          </w:tcPr>
          <w:p w14:paraId="5F76DD47">
            <w:pPr>
              <w:spacing w:line="240" w:lineRule="auto"/>
              <w:ind w:firstLine="0" w:firstLineChars="0"/>
              <w:jc w:val="center"/>
              <w:rPr>
                <w:color w:val="auto"/>
                <w:sz w:val="21"/>
                <w:szCs w:val="21"/>
              </w:rPr>
            </w:pPr>
            <w:r>
              <w:rPr>
                <w:color w:val="auto"/>
                <w:sz w:val="21"/>
                <w:szCs w:val="21"/>
              </w:rPr>
              <w:t>1小时平均</w:t>
            </w:r>
          </w:p>
        </w:tc>
        <w:tc>
          <w:tcPr>
            <w:tcW w:w="794" w:type="pct"/>
            <w:vAlign w:val="center"/>
          </w:tcPr>
          <w:p w14:paraId="6E13C3A2">
            <w:pPr>
              <w:spacing w:line="240" w:lineRule="auto"/>
              <w:ind w:firstLine="0" w:firstLineChars="0"/>
              <w:jc w:val="center"/>
              <w:rPr>
                <w:color w:val="auto"/>
                <w:sz w:val="21"/>
                <w:szCs w:val="21"/>
              </w:rPr>
            </w:pPr>
            <w:r>
              <w:rPr>
                <w:color w:val="auto"/>
                <w:sz w:val="21"/>
                <w:szCs w:val="21"/>
              </w:rPr>
              <w:t>0.50</w:t>
            </w:r>
          </w:p>
        </w:tc>
        <w:tc>
          <w:tcPr>
            <w:tcW w:w="2031" w:type="pct"/>
            <w:vMerge w:val="continue"/>
            <w:vAlign w:val="center"/>
          </w:tcPr>
          <w:p w14:paraId="07450BB3">
            <w:pPr>
              <w:spacing w:line="240" w:lineRule="auto"/>
              <w:ind w:firstLine="0" w:firstLineChars="0"/>
              <w:jc w:val="center"/>
              <w:rPr>
                <w:color w:val="auto"/>
                <w:kern w:val="44"/>
                <w:sz w:val="21"/>
                <w:szCs w:val="21"/>
              </w:rPr>
            </w:pPr>
          </w:p>
        </w:tc>
      </w:tr>
      <w:tr w14:paraId="1BCD97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restart"/>
            <w:vAlign w:val="center"/>
          </w:tcPr>
          <w:p w14:paraId="3B5DE465">
            <w:pPr>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2</w:t>
            </w:r>
          </w:p>
        </w:tc>
        <w:tc>
          <w:tcPr>
            <w:tcW w:w="1058" w:type="pct"/>
            <w:vAlign w:val="center"/>
          </w:tcPr>
          <w:p w14:paraId="1C0FD421">
            <w:pPr>
              <w:spacing w:line="240" w:lineRule="auto"/>
              <w:ind w:firstLine="0" w:firstLineChars="0"/>
              <w:jc w:val="center"/>
              <w:rPr>
                <w:color w:val="auto"/>
                <w:sz w:val="21"/>
                <w:szCs w:val="21"/>
              </w:rPr>
            </w:pPr>
            <w:r>
              <w:rPr>
                <w:color w:val="auto"/>
                <w:sz w:val="21"/>
                <w:szCs w:val="21"/>
              </w:rPr>
              <w:t>年平均</w:t>
            </w:r>
          </w:p>
        </w:tc>
        <w:tc>
          <w:tcPr>
            <w:tcW w:w="794" w:type="pct"/>
            <w:vAlign w:val="center"/>
          </w:tcPr>
          <w:p w14:paraId="2649BCDF">
            <w:pPr>
              <w:spacing w:line="240" w:lineRule="auto"/>
              <w:ind w:firstLine="0" w:firstLineChars="0"/>
              <w:jc w:val="center"/>
              <w:rPr>
                <w:color w:val="auto"/>
                <w:sz w:val="21"/>
                <w:szCs w:val="21"/>
              </w:rPr>
            </w:pPr>
            <w:r>
              <w:rPr>
                <w:color w:val="auto"/>
                <w:sz w:val="21"/>
                <w:szCs w:val="21"/>
              </w:rPr>
              <w:t>0.04</w:t>
            </w:r>
          </w:p>
        </w:tc>
        <w:tc>
          <w:tcPr>
            <w:tcW w:w="2031" w:type="pct"/>
            <w:vMerge w:val="continue"/>
            <w:vAlign w:val="center"/>
          </w:tcPr>
          <w:p w14:paraId="75DF8A67">
            <w:pPr>
              <w:spacing w:line="240" w:lineRule="auto"/>
              <w:ind w:firstLine="0" w:firstLineChars="0"/>
              <w:jc w:val="center"/>
              <w:rPr>
                <w:color w:val="auto"/>
                <w:kern w:val="44"/>
                <w:sz w:val="21"/>
                <w:szCs w:val="21"/>
              </w:rPr>
            </w:pPr>
          </w:p>
        </w:tc>
      </w:tr>
      <w:tr w14:paraId="74A2C0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continue"/>
            <w:vAlign w:val="center"/>
          </w:tcPr>
          <w:p w14:paraId="394CA771">
            <w:pPr>
              <w:spacing w:line="240" w:lineRule="auto"/>
              <w:ind w:firstLine="0" w:firstLineChars="0"/>
              <w:jc w:val="center"/>
              <w:rPr>
                <w:color w:val="auto"/>
                <w:sz w:val="21"/>
                <w:szCs w:val="21"/>
              </w:rPr>
            </w:pPr>
          </w:p>
        </w:tc>
        <w:tc>
          <w:tcPr>
            <w:tcW w:w="1058" w:type="pct"/>
            <w:vAlign w:val="center"/>
          </w:tcPr>
          <w:p w14:paraId="4CC06E6B">
            <w:pPr>
              <w:spacing w:line="240" w:lineRule="auto"/>
              <w:ind w:firstLine="0" w:firstLineChars="0"/>
              <w:jc w:val="center"/>
              <w:rPr>
                <w:color w:val="auto"/>
                <w:sz w:val="21"/>
                <w:szCs w:val="21"/>
              </w:rPr>
            </w:pPr>
            <w:r>
              <w:rPr>
                <w:color w:val="auto"/>
                <w:sz w:val="21"/>
                <w:szCs w:val="21"/>
              </w:rPr>
              <w:t>24h平均</w:t>
            </w:r>
          </w:p>
        </w:tc>
        <w:tc>
          <w:tcPr>
            <w:tcW w:w="794" w:type="pct"/>
            <w:vAlign w:val="center"/>
          </w:tcPr>
          <w:p w14:paraId="0D58ECF2">
            <w:pPr>
              <w:spacing w:line="240" w:lineRule="auto"/>
              <w:ind w:firstLine="0" w:firstLineChars="0"/>
              <w:jc w:val="center"/>
              <w:rPr>
                <w:color w:val="auto"/>
                <w:sz w:val="21"/>
                <w:szCs w:val="21"/>
              </w:rPr>
            </w:pPr>
            <w:r>
              <w:rPr>
                <w:color w:val="auto"/>
                <w:sz w:val="21"/>
                <w:szCs w:val="21"/>
              </w:rPr>
              <w:t>0.08</w:t>
            </w:r>
          </w:p>
        </w:tc>
        <w:tc>
          <w:tcPr>
            <w:tcW w:w="2031" w:type="pct"/>
            <w:vMerge w:val="continue"/>
            <w:vAlign w:val="center"/>
          </w:tcPr>
          <w:p w14:paraId="2786ACDF">
            <w:pPr>
              <w:spacing w:line="240" w:lineRule="auto"/>
              <w:ind w:firstLine="0" w:firstLineChars="0"/>
              <w:jc w:val="center"/>
              <w:rPr>
                <w:color w:val="auto"/>
                <w:kern w:val="44"/>
                <w:sz w:val="21"/>
                <w:szCs w:val="21"/>
              </w:rPr>
            </w:pPr>
          </w:p>
        </w:tc>
      </w:tr>
      <w:tr w14:paraId="0F3B1F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continue"/>
            <w:vAlign w:val="center"/>
          </w:tcPr>
          <w:p w14:paraId="22B63DE7">
            <w:pPr>
              <w:spacing w:line="240" w:lineRule="auto"/>
              <w:ind w:firstLine="0" w:firstLineChars="0"/>
              <w:jc w:val="center"/>
              <w:rPr>
                <w:color w:val="auto"/>
                <w:kern w:val="44"/>
                <w:sz w:val="21"/>
                <w:szCs w:val="21"/>
              </w:rPr>
            </w:pPr>
          </w:p>
        </w:tc>
        <w:tc>
          <w:tcPr>
            <w:tcW w:w="1058" w:type="pct"/>
            <w:vAlign w:val="center"/>
          </w:tcPr>
          <w:p w14:paraId="44719B10">
            <w:pPr>
              <w:spacing w:line="240" w:lineRule="auto"/>
              <w:ind w:firstLine="0" w:firstLineChars="0"/>
              <w:jc w:val="center"/>
              <w:rPr>
                <w:color w:val="auto"/>
                <w:sz w:val="21"/>
                <w:szCs w:val="21"/>
              </w:rPr>
            </w:pPr>
            <w:r>
              <w:rPr>
                <w:color w:val="auto"/>
                <w:sz w:val="21"/>
                <w:szCs w:val="21"/>
              </w:rPr>
              <w:t>1小时平均</w:t>
            </w:r>
          </w:p>
        </w:tc>
        <w:tc>
          <w:tcPr>
            <w:tcW w:w="794" w:type="pct"/>
            <w:vAlign w:val="center"/>
          </w:tcPr>
          <w:p w14:paraId="55568DFA">
            <w:pPr>
              <w:spacing w:line="240" w:lineRule="auto"/>
              <w:ind w:firstLine="0" w:firstLineChars="0"/>
              <w:jc w:val="center"/>
              <w:rPr>
                <w:color w:val="auto"/>
                <w:sz w:val="21"/>
                <w:szCs w:val="21"/>
              </w:rPr>
            </w:pPr>
            <w:r>
              <w:rPr>
                <w:color w:val="auto"/>
                <w:sz w:val="21"/>
                <w:szCs w:val="21"/>
              </w:rPr>
              <w:t>0.20</w:t>
            </w:r>
          </w:p>
        </w:tc>
        <w:tc>
          <w:tcPr>
            <w:tcW w:w="2031" w:type="pct"/>
            <w:vMerge w:val="continue"/>
            <w:vAlign w:val="center"/>
          </w:tcPr>
          <w:p w14:paraId="74918F80">
            <w:pPr>
              <w:spacing w:line="240" w:lineRule="auto"/>
              <w:ind w:firstLine="0" w:firstLineChars="0"/>
              <w:jc w:val="center"/>
              <w:rPr>
                <w:color w:val="auto"/>
                <w:kern w:val="44"/>
                <w:sz w:val="21"/>
                <w:szCs w:val="21"/>
              </w:rPr>
            </w:pPr>
          </w:p>
        </w:tc>
      </w:tr>
      <w:tr w14:paraId="7F0255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6" w:type="pct"/>
            <w:vMerge w:val="restart"/>
            <w:vAlign w:val="center"/>
          </w:tcPr>
          <w:p w14:paraId="6A46AB09">
            <w:pPr>
              <w:spacing w:line="240" w:lineRule="auto"/>
              <w:ind w:firstLine="0" w:firstLineChars="0"/>
              <w:jc w:val="center"/>
              <w:rPr>
                <w:color w:val="auto"/>
                <w:sz w:val="21"/>
                <w:szCs w:val="21"/>
                <w:vertAlign w:val="subscript"/>
              </w:rPr>
            </w:pPr>
            <w:r>
              <w:rPr>
                <w:color w:val="auto"/>
                <w:sz w:val="21"/>
                <w:szCs w:val="21"/>
              </w:rPr>
              <w:t>PM</w:t>
            </w:r>
            <w:r>
              <w:rPr>
                <w:color w:val="auto"/>
                <w:sz w:val="21"/>
                <w:szCs w:val="21"/>
                <w:vertAlign w:val="subscript"/>
              </w:rPr>
              <w:t>10</w:t>
            </w:r>
          </w:p>
        </w:tc>
        <w:tc>
          <w:tcPr>
            <w:tcW w:w="1058" w:type="pct"/>
            <w:vAlign w:val="center"/>
          </w:tcPr>
          <w:p w14:paraId="341C63B8">
            <w:pPr>
              <w:spacing w:line="240" w:lineRule="auto"/>
              <w:ind w:firstLine="0" w:firstLineChars="0"/>
              <w:jc w:val="center"/>
              <w:rPr>
                <w:color w:val="auto"/>
                <w:sz w:val="21"/>
                <w:szCs w:val="21"/>
              </w:rPr>
            </w:pPr>
            <w:r>
              <w:rPr>
                <w:color w:val="auto"/>
                <w:sz w:val="21"/>
                <w:szCs w:val="21"/>
              </w:rPr>
              <w:t>年平均</w:t>
            </w:r>
          </w:p>
        </w:tc>
        <w:tc>
          <w:tcPr>
            <w:tcW w:w="794" w:type="pct"/>
            <w:vAlign w:val="center"/>
          </w:tcPr>
          <w:p w14:paraId="402A4F74">
            <w:pPr>
              <w:spacing w:line="240" w:lineRule="auto"/>
              <w:ind w:firstLine="0" w:firstLineChars="0"/>
              <w:jc w:val="center"/>
              <w:rPr>
                <w:color w:val="auto"/>
                <w:sz w:val="21"/>
                <w:szCs w:val="21"/>
              </w:rPr>
            </w:pPr>
            <w:r>
              <w:rPr>
                <w:color w:val="auto"/>
                <w:sz w:val="21"/>
                <w:szCs w:val="21"/>
              </w:rPr>
              <w:t>0.07</w:t>
            </w:r>
          </w:p>
        </w:tc>
        <w:tc>
          <w:tcPr>
            <w:tcW w:w="2031" w:type="pct"/>
            <w:vMerge w:val="continue"/>
            <w:vAlign w:val="center"/>
          </w:tcPr>
          <w:p w14:paraId="3236E52A">
            <w:pPr>
              <w:spacing w:line="240" w:lineRule="auto"/>
              <w:ind w:firstLine="0" w:firstLineChars="0"/>
              <w:jc w:val="center"/>
              <w:rPr>
                <w:color w:val="auto"/>
                <w:kern w:val="44"/>
                <w:sz w:val="21"/>
                <w:szCs w:val="21"/>
              </w:rPr>
            </w:pPr>
          </w:p>
        </w:tc>
      </w:tr>
      <w:tr w14:paraId="6CBD9A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continue"/>
            <w:vAlign w:val="center"/>
          </w:tcPr>
          <w:p w14:paraId="17A24F46">
            <w:pPr>
              <w:spacing w:line="240" w:lineRule="auto"/>
              <w:ind w:firstLine="0" w:firstLineChars="0"/>
              <w:jc w:val="center"/>
              <w:rPr>
                <w:color w:val="auto"/>
                <w:kern w:val="44"/>
                <w:sz w:val="21"/>
                <w:szCs w:val="21"/>
              </w:rPr>
            </w:pPr>
          </w:p>
        </w:tc>
        <w:tc>
          <w:tcPr>
            <w:tcW w:w="1058" w:type="pct"/>
            <w:vAlign w:val="center"/>
          </w:tcPr>
          <w:p w14:paraId="48C7F417">
            <w:pPr>
              <w:spacing w:line="240" w:lineRule="auto"/>
              <w:ind w:firstLine="0" w:firstLineChars="0"/>
              <w:jc w:val="center"/>
              <w:rPr>
                <w:color w:val="auto"/>
                <w:sz w:val="21"/>
                <w:szCs w:val="21"/>
              </w:rPr>
            </w:pPr>
            <w:r>
              <w:rPr>
                <w:color w:val="auto"/>
                <w:sz w:val="21"/>
                <w:szCs w:val="21"/>
              </w:rPr>
              <w:t>24h平均</w:t>
            </w:r>
          </w:p>
        </w:tc>
        <w:tc>
          <w:tcPr>
            <w:tcW w:w="794" w:type="pct"/>
            <w:vAlign w:val="center"/>
          </w:tcPr>
          <w:p w14:paraId="39EBF105">
            <w:pPr>
              <w:spacing w:line="240" w:lineRule="auto"/>
              <w:ind w:firstLine="0" w:firstLineChars="0"/>
              <w:jc w:val="center"/>
              <w:rPr>
                <w:color w:val="auto"/>
                <w:sz w:val="21"/>
                <w:szCs w:val="21"/>
              </w:rPr>
            </w:pPr>
            <w:r>
              <w:rPr>
                <w:color w:val="auto"/>
                <w:sz w:val="21"/>
                <w:szCs w:val="21"/>
              </w:rPr>
              <w:t>0.15</w:t>
            </w:r>
          </w:p>
        </w:tc>
        <w:tc>
          <w:tcPr>
            <w:tcW w:w="2031" w:type="pct"/>
            <w:vMerge w:val="continue"/>
            <w:vAlign w:val="center"/>
          </w:tcPr>
          <w:p w14:paraId="2B8A1E6A">
            <w:pPr>
              <w:spacing w:line="240" w:lineRule="auto"/>
              <w:ind w:firstLine="0" w:firstLineChars="0"/>
              <w:jc w:val="center"/>
              <w:rPr>
                <w:color w:val="auto"/>
                <w:kern w:val="44"/>
                <w:sz w:val="21"/>
                <w:szCs w:val="21"/>
              </w:rPr>
            </w:pPr>
          </w:p>
        </w:tc>
      </w:tr>
      <w:tr w14:paraId="4168CD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restart"/>
            <w:vAlign w:val="center"/>
          </w:tcPr>
          <w:p w14:paraId="40ED6ECF">
            <w:pPr>
              <w:spacing w:line="240" w:lineRule="auto"/>
              <w:ind w:firstLine="0" w:firstLineChars="0"/>
              <w:jc w:val="center"/>
              <w:rPr>
                <w:color w:val="auto"/>
                <w:kern w:val="50"/>
                <w:sz w:val="21"/>
                <w:szCs w:val="21"/>
              </w:rPr>
            </w:pPr>
            <w:r>
              <w:rPr>
                <w:color w:val="auto"/>
                <w:kern w:val="50"/>
                <w:sz w:val="21"/>
                <w:szCs w:val="21"/>
              </w:rPr>
              <w:t>PM</w:t>
            </w:r>
            <w:r>
              <w:rPr>
                <w:color w:val="auto"/>
                <w:kern w:val="50"/>
                <w:sz w:val="21"/>
                <w:szCs w:val="21"/>
                <w:vertAlign w:val="subscript"/>
              </w:rPr>
              <w:t>2.5</w:t>
            </w:r>
          </w:p>
        </w:tc>
        <w:tc>
          <w:tcPr>
            <w:tcW w:w="1058" w:type="pct"/>
            <w:vAlign w:val="center"/>
          </w:tcPr>
          <w:p w14:paraId="6FC0C6A6">
            <w:pPr>
              <w:spacing w:line="240" w:lineRule="auto"/>
              <w:ind w:firstLine="0" w:firstLineChars="0"/>
              <w:jc w:val="center"/>
              <w:rPr>
                <w:color w:val="auto"/>
                <w:kern w:val="50"/>
                <w:sz w:val="21"/>
                <w:szCs w:val="21"/>
              </w:rPr>
            </w:pPr>
            <w:r>
              <w:rPr>
                <w:color w:val="auto"/>
                <w:sz w:val="21"/>
                <w:szCs w:val="21"/>
              </w:rPr>
              <w:t>年平均</w:t>
            </w:r>
          </w:p>
        </w:tc>
        <w:tc>
          <w:tcPr>
            <w:tcW w:w="794" w:type="pct"/>
            <w:vAlign w:val="center"/>
          </w:tcPr>
          <w:p w14:paraId="5191CB22">
            <w:pPr>
              <w:spacing w:line="240" w:lineRule="auto"/>
              <w:ind w:firstLine="0" w:firstLineChars="0"/>
              <w:jc w:val="center"/>
              <w:rPr>
                <w:color w:val="auto"/>
                <w:kern w:val="50"/>
                <w:sz w:val="21"/>
                <w:szCs w:val="21"/>
              </w:rPr>
            </w:pPr>
            <w:r>
              <w:rPr>
                <w:color w:val="auto"/>
                <w:kern w:val="50"/>
                <w:sz w:val="21"/>
                <w:szCs w:val="21"/>
              </w:rPr>
              <w:t>0.035</w:t>
            </w:r>
          </w:p>
        </w:tc>
        <w:tc>
          <w:tcPr>
            <w:tcW w:w="2031" w:type="pct"/>
            <w:vMerge w:val="continue"/>
            <w:vAlign w:val="center"/>
          </w:tcPr>
          <w:p w14:paraId="612AC8DE">
            <w:pPr>
              <w:spacing w:line="240" w:lineRule="auto"/>
              <w:ind w:firstLine="0" w:firstLineChars="0"/>
              <w:jc w:val="center"/>
              <w:rPr>
                <w:color w:val="auto"/>
                <w:kern w:val="44"/>
                <w:sz w:val="21"/>
                <w:szCs w:val="21"/>
              </w:rPr>
            </w:pPr>
          </w:p>
        </w:tc>
      </w:tr>
      <w:tr w14:paraId="610864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continue"/>
            <w:vAlign w:val="center"/>
          </w:tcPr>
          <w:p w14:paraId="6CA48ECB">
            <w:pPr>
              <w:spacing w:line="240" w:lineRule="auto"/>
              <w:ind w:firstLine="0" w:firstLineChars="0"/>
              <w:jc w:val="center"/>
              <w:rPr>
                <w:color w:val="auto"/>
                <w:kern w:val="44"/>
                <w:sz w:val="21"/>
                <w:szCs w:val="21"/>
              </w:rPr>
            </w:pPr>
          </w:p>
        </w:tc>
        <w:tc>
          <w:tcPr>
            <w:tcW w:w="1058" w:type="pct"/>
            <w:vAlign w:val="center"/>
          </w:tcPr>
          <w:p w14:paraId="0006F9A3">
            <w:pPr>
              <w:spacing w:line="240" w:lineRule="auto"/>
              <w:ind w:firstLine="0" w:firstLineChars="0"/>
              <w:jc w:val="center"/>
              <w:rPr>
                <w:color w:val="auto"/>
                <w:sz w:val="21"/>
                <w:szCs w:val="21"/>
              </w:rPr>
            </w:pPr>
            <w:r>
              <w:rPr>
                <w:color w:val="auto"/>
                <w:sz w:val="21"/>
                <w:szCs w:val="21"/>
              </w:rPr>
              <w:t>24h平均</w:t>
            </w:r>
          </w:p>
        </w:tc>
        <w:tc>
          <w:tcPr>
            <w:tcW w:w="794" w:type="pct"/>
            <w:vAlign w:val="center"/>
          </w:tcPr>
          <w:p w14:paraId="26A3874E">
            <w:pPr>
              <w:spacing w:line="240" w:lineRule="auto"/>
              <w:ind w:firstLine="0" w:firstLineChars="0"/>
              <w:jc w:val="center"/>
              <w:rPr>
                <w:color w:val="auto"/>
                <w:sz w:val="21"/>
                <w:szCs w:val="21"/>
              </w:rPr>
            </w:pPr>
            <w:r>
              <w:rPr>
                <w:color w:val="auto"/>
                <w:kern w:val="50"/>
                <w:sz w:val="21"/>
                <w:szCs w:val="21"/>
              </w:rPr>
              <w:t>0.075</w:t>
            </w:r>
          </w:p>
        </w:tc>
        <w:tc>
          <w:tcPr>
            <w:tcW w:w="2031" w:type="pct"/>
            <w:vMerge w:val="continue"/>
            <w:vAlign w:val="center"/>
          </w:tcPr>
          <w:p w14:paraId="6A8A91CD">
            <w:pPr>
              <w:spacing w:line="240" w:lineRule="auto"/>
              <w:ind w:firstLine="0" w:firstLineChars="0"/>
              <w:jc w:val="center"/>
              <w:rPr>
                <w:color w:val="auto"/>
                <w:kern w:val="44"/>
                <w:sz w:val="21"/>
                <w:szCs w:val="21"/>
              </w:rPr>
            </w:pPr>
          </w:p>
        </w:tc>
      </w:tr>
      <w:tr w14:paraId="5EFEF3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restart"/>
            <w:vAlign w:val="center"/>
          </w:tcPr>
          <w:p w14:paraId="1A037197">
            <w:pPr>
              <w:spacing w:line="240" w:lineRule="auto"/>
              <w:ind w:firstLine="0" w:firstLineChars="0"/>
              <w:jc w:val="center"/>
              <w:rPr>
                <w:color w:val="auto"/>
                <w:kern w:val="44"/>
                <w:sz w:val="21"/>
                <w:szCs w:val="21"/>
              </w:rPr>
            </w:pPr>
            <w:r>
              <w:rPr>
                <w:color w:val="auto"/>
                <w:kern w:val="44"/>
                <w:sz w:val="21"/>
                <w:szCs w:val="21"/>
              </w:rPr>
              <w:t>CO</w:t>
            </w:r>
          </w:p>
        </w:tc>
        <w:tc>
          <w:tcPr>
            <w:tcW w:w="1058" w:type="pct"/>
            <w:vAlign w:val="center"/>
          </w:tcPr>
          <w:p w14:paraId="11297C75">
            <w:pPr>
              <w:spacing w:line="240" w:lineRule="auto"/>
              <w:ind w:firstLine="0" w:firstLineChars="0"/>
              <w:jc w:val="center"/>
              <w:rPr>
                <w:color w:val="auto"/>
                <w:sz w:val="21"/>
                <w:szCs w:val="21"/>
              </w:rPr>
            </w:pPr>
            <w:r>
              <w:rPr>
                <w:color w:val="auto"/>
                <w:kern w:val="50"/>
                <w:sz w:val="21"/>
                <w:szCs w:val="21"/>
              </w:rPr>
              <w:t>日平均</w:t>
            </w:r>
          </w:p>
        </w:tc>
        <w:tc>
          <w:tcPr>
            <w:tcW w:w="794" w:type="pct"/>
            <w:vAlign w:val="center"/>
          </w:tcPr>
          <w:p w14:paraId="7F985CBB">
            <w:pPr>
              <w:spacing w:line="240" w:lineRule="auto"/>
              <w:ind w:firstLine="0" w:firstLineChars="0"/>
              <w:jc w:val="center"/>
              <w:rPr>
                <w:color w:val="auto"/>
                <w:sz w:val="21"/>
                <w:szCs w:val="21"/>
              </w:rPr>
            </w:pPr>
            <w:r>
              <w:rPr>
                <w:color w:val="auto"/>
                <w:kern w:val="50"/>
                <w:sz w:val="21"/>
                <w:szCs w:val="21"/>
              </w:rPr>
              <w:t>4</w:t>
            </w:r>
          </w:p>
        </w:tc>
        <w:tc>
          <w:tcPr>
            <w:tcW w:w="2031" w:type="pct"/>
            <w:vMerge w:val="continue"/>
            <w:vAlign w:val="center"/>
          </w:tcPr>
          <w:p w14:paraId="132A7609">
            <w:pPr>
              <w:spacing w:line="240" w:lineRule="auto"/>
              <w:ind w:firstLine="0" w:firstLineChars="0"/>
              <w:jc w:val="center"/>
              <w:rPr>
                <w:color w:val="auto"/>
                <w:kern w:val="44"/>
                <w:sz w:val="21"/>
                <w:szCs w:val="21"/>
              </w:rPr>
            </w:pPr>
          </w:p>
        </w:tc>
      </w:tr>
      <w:tr w14:paraId="6EC752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continue"/>
            <w:vAlign w:val="center"/>
          </w:tcPr>
          <w:p w14:paraId="75D96389">
            <w:pPr>
              <w:spacing w:line="240" w:lineRule="auto"/>
              <w:ind w:firstLine="0" w:firstLineChars="0"/>
              <w:jc w:val="center"/>
              <w:rPr>
                <w:color w:val="auto"/>
                <w:kern w:val="44"/>
                <w:sz w:val="21"/>
                <w:szCs w:val="21"/>
              </w:rPr>
            </w:pPr>
          </w:p>
        </w:tc>
        <w:tc>
          <w:tcPr>
            <w:tcW w:w="1058" w:type="pct"/>
            <w:vAlign w:val="center"/>
          </w:tcPr>
          <w:p w14:paraId="2FCC82B8">
            <w:pPr>
              <w:spacing w:line="240" w:lineRule="auto"/>
              <w:ind w:firstLine="0" w:firstLineChars="0"/>
              <w:jc w:val="center"/>
              <w:rPr>
                <w:color w:val="auto"/>
                <w:sz w:val="21"/>
                <w:szCs w:val="21"/>
              </w:rPr>
            </w:pPr>
            <w:r>
              <w:rPr>
                <w:color w:val="auto"/>
                <w:kern w:val="50"/>
                <w:sz w:val="21"/>
                <w:szCs w:val="21"/>
              </w:rPr>
              <w:t>1小时平均</w:t>
            </w:r>
          </w:p>
        </w:tc>
        <w:tc>
          <w:tcPr>
            <w:tcW w:w="794" w:type="pct"/>
            <w:vAlign w:val="center"/>
          </w:tcPr>
          <w:p w14:paraId="53BFA1BD">
            <w:pPr>
              <w:spacing w:line="240" w:lineRule="auto"/>
              <w:ind w:firstLine="0" w:firstLineChars="0"/>
              <w:jc w:val="center"/>
              <w:rPr>
                <w:color w:val="auto"/>
                <w:sz w:val="21"/>
                <w:szCs w:val="21"/>
              </w:rPr>
            </w:pPr>
            <w:r>
              <w:rPr>
                <w:color w:val="auto"/>
                <w:kern w:val="50"/>
                <w:sz w:val="21"/>
                <w:szCs w:val="21"/>
              </w:rPr>
              <w:t>10</w:t>
            </w:r>
          </w:p>
        </w:tc>
        <w:tc>
          <w:tcPr>
            <w:tcW w:w="2031" w:type="pct"/>
            <w:vMerge w:val="continue"/>
            <w:vAlign w:val="center"/>
          </w:tcPr>
          <w:p w14:paraId="79ACA1C7">
            <w:pPr>
              <w:spacing w:line="240" w:lineRule="auto"/>
              <w:ind w:firstLine="0" w:firstLineChars="0"/>
              <w:jc w:val="center"/>
              <w:rPr>
                <w:color w:val="auto"/>
                <w:kern w:val="44"/>
                <w:sz w:val="21"/>
                <w:szCs w:val="21"/>
              </w:rPr>
            </w:pPr>
          </w:p>
        </w:tc>
      </w:tr>
      <w:tr w14:paraId="59C4B7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restart"/>
            <w:vAlign w:val="center"/>
          </w:tcPr>
          <w:p w14:paraId="6FB487B5">
            <w:pPr>
              <w:spacing w:line="240" w:lineRule="auto"/>
              <w:ind w:firstLine="0" w:firstLineChars="0"/>
              <w:jc w:val="center"/>
              <w:rPr>
                <w:color w:val="auto"/>
                <w:kern w:val="44"/>
                <w:sz w:val="21"/>
                <w:szCs w:val="21"/>
              </w:rPr>
            </w:pPr>
            <w:r>
              <w:rPr>
                <w:color w:val="auto"/>
                <w:kern w:val="44"/>
                <w:sz w:val="21"/>
                <w:szCs w:val="21"/>
              </w:rPr>
              <w:t>O</w:t>
            </w:r>
            <w:r>
              <w:rPr>
                <w:color w:val="auto"/>
                <w:kern w:val="44"/>
                <w:sz w:val="21"/>
                <w:szCs w:val="21"/>
                <w:vertAlign w:val="subscript"/>
              </w:rPr>
              <w:t>3</w:t>
            </w:r>
          </w:p>
        </w:tc>
        <w:tc>
          <w:tcPr>
            <w:tcW w:w="1058" w:type="pct"/>
            <w:vAlign w:val="center"/>
          </w:tcPr>
          <w:p w14:paraId="7BC72628">
            <w:pPr>
              <w:spacing w:line="240" w:lineRule="auto"/>
              <w:ind w:firstLine="0" w:firstLineChars="0"/>
              <w:jc w:val="center"/>
              <w:rPr>
                <w:color w:val="auto"/>
                <w:sz w:val="21"/>
                <w:szCs w:val="21"/>
              </w:rPr>
            </w:pPr>
            <w:r>
              <w:rPr>
                <w:color w:val="auto"/>
                <w:kern w:val="50"/>
                <w:sz w:val="21"/>
                <w:szCs w:val="21"/>
              </w:rPr>
              <w:t>日最大8小时平均</w:t>
            </w:r>
          </w:p>
        </w:tc>
        <w:tc>
          <w:tcPr>
            <w:tcW w:w="794" w:type="pct"/>
            <w:vAlign w:val="center"/>
          </w:tcPr>
          <w:p w14:paraId="220FD308">
            <w:pPr>
              <w:spacing w:line="240" w:lineRule="auto"/>
              <w:ind w:firstLine="0" w:firstLineChars="0"/>
              <w:jc w:val="center"/>
              <w:rPr>
                <w:color w:val="auto"/>
                <w:sz w:val="21"/>
                <w:szCs w:val="21"/>
              </w:rPr>
            </w:pPr>
            <w:r>
              <w:rPr>
                <w:color w:val="auto"/>
                <w:kern w:val="50"/>
                <w:sz w:val="21"/>
                <w:szCs w:val="21"/>
              </w:rPr>
              <w:t>0.16</w:t>
            </w:r>
          </w:p>
        </w:tc>
        <w:tc>
          <w:tcPr>
            <w:tcW w:w="2031" w:type="pct"/>
            <w:vMerge w:val="continue"/>
            <w:vAlign w:val="center"/>
          </w:tcPr>
          <w:p w14:paraId="541F8F2E">
            <w:pPr>
              <w:spacing w:line="240" w:lineRule="auto"/>
              <w:ind w:firstLine="0" w:firstLineChars="0"/>
              <w:jc w:val="center"/>
              <w:rPr>
                <w:color w:val="auto"/>
                <w:kern w:val="44"/>
                <w:sz w:val="21"/>
                <w:szCs w:val="21"/>
              </w:rPr>
            </w:pPr>
          </w:p>
        </w:tc>
      </w:tr>
      <w:tr w14:paraId="1BA37A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continue"/>
            <w:vAlign w:val="center"/>
          </w:tcPr>
          <w:p w14:paraId="6AB3D631">
            <w:pPr>
              <w:spacing w:line="240" w:lineRule="auto"/>
              <w:ind w:firstLine="0" w:firstLineChars="0"/>
              <w:jc w:val="center"/>
              <w:rPr>
                <w:color w:val="auto"/>
                <w:kern w:val="44"/>
                <w:sz w:val="21"/>
                <w:szCs w:val="21"/>
              </w:rPr>
            </w:pPr>
          </w:p>
        </w:tc>
        <w:tc>
          <w:tcPr>
            <w:tcW w:w="1058" w:type="pct"/>
            <w:vAlign w:val="center"/>
          </w:tcPr>
          <w:p w14:paraId="102D1362">
            <w:pPr>
              <w:spacing w:line="240" w:lineRule="auto"/>
              <w:ind w:firstLine="0" w:firstLineChars="0"/>
              <w:jc w:val="center"/>
              <w:rPr>
                <w:color w:val="auto"/>
                <w:sz w:val="21"/>
                <w:szCs w:val="21"/>
              </w:rPr>
            </w:pPr>
            <w:r>
              <w:rPr>
                <w:color w:val="auto"/>
                <w:kern w:val="50"/>
                <w:sz w:val="21"/>
                <w:szCs w:val="21"/>
              </w:rPr>
              <w:t>1小时平均</w:t>
            </w:r>
          </w:p>
        </w:tc>
        <w:tc>
          <w:tcPr>
            <w:tcW w:w="794" w:type="pct"/>
            <w:vAlign w:val="center"/>
          </w:tcPr>
          <w:p w14:paraId="2C4D5A90">
            <w:pPr>
              <w:spacing w:line="240" w:lineRule="auto"/>
              <w:ind w:firstLine="0" w:firstLineChars="0"/>
              <w:jc w:val="center"/>
              <w:rPr>
                <w:color w:val="auto"/>
                <w:sz w:val="21"/>
                <w:szCs w:val="21"/>
              </w:rPr>
            </w:pPr>
            <w:r>
              <w:rPr>
                <w:color w:val="auto"/>
                <w:kern w:val="50"/>
                <w:sz w:val="21"/>
                <w:szCs w:val="21"/>
              </w:rPr>
              <w:t>0.20</w:t>
            </w:r>
          </w:p>
        </w:tc>
        <w:tc>
          <w:tcPr>
            <w:tcW w:w="2031" w:type="pct"/>
            <w:vMerge w:val="continue"/>
            <w:vAlign w:val="center"/>
          </w:tcPr>
          <w:p w14:paraId="2E98167D">
            <w:pPr>
              <w:spacing w:line="240" w:lineRule="auto"/>
              <w:ind w:firstLine="0" w:firstLineChars="0"/>
              <w:jc w:val="center"/>
              <w:rPr>
                <w:color w:val="auto"/>
                <w:kern w:val="44"/>
                <w:sz w:val="21"/>
                <w:szCs w:val="21"/>
              </w:rPr>
            </w:pPr>
          </w:p>
        </w:tc>
      </w:tr>
      <w:tr w14:paraId="159C08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restart"/>
            <w:vAlign w:val="center"/>
          </w:tcPr>
          <w:p w14:paraId="69A03A99">
            <w:pPr>
              <w:spacing w:line="240" w:lineRule="auto"/>
              <w:ind w:firstLine="0" w:firstLineChars="0"/>
              <w:jc w:val="center"/>
              <w:rPr>
                <w:color w:val="auto"/>
                <w:kern w:val="44"/>
                <w:sz w:val="21"/>
                <w:szCs w:val="21"/>
              </w:rPr>
            </w:pPr>
            <w:r>
              <w:rPr>
                <w:color w:val="auto"/>
                <w:kern w:val="44"/>
                <w:sz w:val="21"/>
                <w:szCs w:val="21"/>
              </w:rPr>
              <w:t>TSP</w:t>
            </w:r>
          </w:p>
        </w:tc>
        <w:tc>
          <w:tcPr>
            <w:tcW w:w="1058" w:type="pct"/>
            <w:vAlign w:val="center"/>
          </w:tcPr>
          <w:p w14:paraId="42F4EA35">
            <w:pPr>
              <w:spacing w:line="240" w:lineRule="auto"/>
              <w:ind w:firstLine="0" w:firstLineChars="0"/>
              <w:jc w:val="center"/>
              <w:rPr>
                <w:color w:val="auto"/>
                <w:kern w:val="50"/>
                <w:sz w:val="21"/>
                <w:szCs w:val="21"/>
              </w:rPr>
            </w:pPr>
            <w:r>
              <w:rPr>
                <w:color w:val="auto"/>
                <w:kern w:val="50"/>
                <w:sz w:val="21"/>
                <w:szCs w:val="21"/>
              </w:rPr>
              <w:t>年平均</w:t>
            </w:r>
          </w:p>
        </w:tc>
        <w:tc>
          <w:tcPr>
            <w:tcW w:w="794" w:type="pct"/>
            <w:vAlign w:val="center"/>
          </w:tcPr>
          <w:p w14:paraId="48C9B8F0">
            <w:pPr>
              <w:spacing w:line="240" w:lineRule="auto"/>
              <w:ind w:firstLine="0" w:firstLineChars="0"/>
              <w:jc w:val="center"/>
              <w:rPr>
                <w:color w:val="auto"/>
                <w:kern w:val="50"/>
                <w:sz w:val="21"/>
                <w:szCs w:val="21"/>
              </w:rPr>
            </w:pPr>
            <w:r>
              <w:rPr>
                <w:color w:val="auto"/>
                <w:kern w:val="50"/>
                <w:sz w:val="21"/>
                <w:szCs w:val="21"/>
              </w:rPr>
              <w:t>0.2</w:t>
            </w:r>
          </w:p>
        </w:tc>
        <w:tc>
          <w:tcPr>
            <w:tcW w:w="2031" w:type="pct"/>
            <w:vMerge w:val="continue"/>
            <w:vAlign w:val="center"/>
          </w:tcPr>
          <w:p w14:paraId="7DC8A62D">
            <w:pPr>
              <w:spacing w:line="240" w:lineRule="auto"/>
              <w:ind w:firstLine="0" w:firstLineChars="0"/>
              <w:jc w:val="center"/>
              <w:rPr>
                <w:color w:val="auto"/>
                <w:kern w:val="44"/>
                <w:sz w:val="21"/>
                <w:szCs w:val="21"/>
              </w:rPr>
            </w:pPr>
          </w:p>
        </w:tc>
      </w:tr>
      <w:tr w14:paraId="1D4FB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Merge w:val="continue"/>
            <w:vAlign w:val="center"/>
          </w:tcPr>
          <w:p w14:paraId="1DF0B687">
            <w:pPr>
              <w:spacing w:line="240" w:lineRule="auto"/>
              <w:ind w:firstLine="0" w:firstLineChars="0"/>
              <w:jc w:val="center"/>
              <w:rPr>
                <w:color w:val="auto"/>
                <w:kern w:val="44"/>
                <w:sz w:val="21"/>
                <w:szCs w:val="21"/>
              </w:rPr>
            </w:pPr>
          </w:p>
        </w:tc>
        <w:tc>
          <w:tcPr>
            <w:tcW w:w="1058" w:type="pct"/>
            <w:vAlign w:val="center"/>
          </w:tcPr>
          <w:p w14:paraId="36971908">
            <w:pPr>
              <w:spacing w:line="240" w:lineRule="auto"/>
              <w:ind w:firstLine="0" w:firstLineChars="0"/>
              <w:jc w:val="center"/>
              <w:rPr>
                <w:color w:val="auto"/>
                <w:kern w:val="50"/>
                <w:sz w:val="21"/>
                <w:szCs w:val="21"/>
              </w:rPr>
            </w:pPr>
            <w:r>
              <w:rPr>
                <w:color w:val="auto"/>
                <w:kern w:val="50"/>
                <w:sz w:val="21"/>
                <w:szCs w:val="21"/>
              </w:rPr>
              <w:t>24小时平均</w:t>
            </w:r>
          </w:p>
        </w:tc>
        <w:tc>
          <w:tcPr>
            <w:tcW w:w="794" w:type="pct"/>
            <w:vAlign w:val="center"/>
          </w:tcPr>
          <w:p w14:paraId="5DA82664">
            <w:pPr>
              <w:spacing w:line="240" w:lineRule="auto"/>
              <w:ind w:firstLine="0" w:firstLineChars="0"/>
              <w:jc w:val="center"/>
              <w:rPr>
                <w:color w:val="auto"/>
                <w:kern w:val="50"/>
                <w:sz w:val="21"/>
                <w:szCs w:val="21"/>
              </w:rPr>
            </w:pPr>
            <w:r>
              <w:rPr>
                <w:color w:val="auto"/>
                <w:kern w:val="50"/>
                <w:sz w:val="21"/>
                <w:szCs w:val="21"/>
              </w:rPr>
              <w:t>0.3</w:t>
            </w:r>
          </w:p>
        </w:tc>
        <w:tc>
          <w:tcPr>
            <w:tcW w:w="2031" w:type="pct"/>
            <w:vMerge w:val="continue"/>
            <w:vAlign w:val="center"/>
          </w:tcPr>
          <w:p w14:paraId="16D5A60B">
            <w:pPr>
              <w:spacing w:line="240" w:lineRule="auto"/>
              <w:ind w:firstLine="0" w:firstLineChars="0"/>
              <w:jc w:val="center"/>
              <w:rPr>
                <w:color w:val="auto"/>
                <w:kern w:val="44"/>
                <w:sz w:val="21"/>
                <w:szCs w:val="21"/>
              </w:rPr>
            </w:pPr>
          </w:p>
        </w:tc>
      </w:tr>
      <w:tr w14:paraId="0F70C4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Align w:val="center"/>
          </w:tcPr>
          <w:p w14:paraId="15BB88E8">
            <w:pPr>
              <w:spacing w:line="240" w:lineRule="auto"/>
              <w:ind w:firstLine="0" w:firstLineChars="0"/>
              <w:jc w:val="center"/>
              <w:rPr>
                <w:color w:val="auto"/>
                <w:kern w:val="44"/>
                <w:sz w:val="21"/>
                <w:szCs w:val="21"/>
              </w:rPr>
            </w:pPr>
            <w:r>
              <w:rPr>
                <w:color w:val="auto"/>
                <w:kern w:val="44"/>
                <w:sz w:val="21"/>
                <w:szCs w:val="21"/>
              </w:rPr>
              <w:t>氨</w:t>
            </w:r>
          </w:p>
        </w:tc>
        <w:tc>
          <w:tcPr>
            <w:tcW w:w="1058" w:type="pct"/>
            <w:vAlign w:val="center"/>
          </w:tcPr>
          <w:p w14:paraId="567FDD82">
            <w:pPr>
              <w:spacing w:line="240" w:lineRule="auto"/>
              <w:ind w:firstLine="0" w:firstLineChars="0"/>
              <w:jc w:val="center"/>
              <w:rPr>
                <w:color w:val="auto"/>
                <w:kern w:val="50"/>
                <w:sz w:val="21"/>
                <w:szCs w:val="21"/>
              </w:rPr>
            </w:pPr>
            <w:r>
              <w:rPr>
                <w:color w:val="auto"/>
                <w:kern w:val="50"/>
                <w:sz w:val="21"/>
                <w:szCs w:val="21"/>
              </w:rPr>
              <w:t>1小时平均</w:t>
            </w:r>
          </w:p>
        </w:tc>
        <w:tc>
          <w:tcPr>
            <w:tcW w:w="794" w:type="pct"/>
            <w:vAlign w:val="center"/>
          </w:tcPr>
          <w:p w14:paraId="0261AB08">
            <w:pPr>
              <w:spacing w:line="240" w:lineRule="auto"/>
              <w:ind w:firstLine="0" w:firstLineChars="0"/>
              <w:jc w:val="center"/>
              <w:rPr>
                <w:color w:val="auto"/>
                <w:kern w:val="50"/>
                <w:sz w:val="21"/>
                <w:szCs w:val="21"/>
              </w:rPr>
            </w:pPr>
            <w:r>
              <w:rPr>
                <w:color w:val="auto"/>
                <w:kern w:val="50"/>
                <w:sz w:val="21"/>
                <w:szCs w:val="21"/>
              </w:rPr>
              <w:t>0.2</w:t>
            </w:r>
          </w:p>
        </w:tc>
        <w:tc>
          <w:tcPr>
            <w:tcW w:w="2031" w:type="pct"/>
            <w:vMerge w:val="restart"/>
            <w:vAlign w:val="center"/>
          </w:tcPr>
          <w:p w14:paraId="77EB0D79">
            <w:pPr>
              <w:spacing w:line="240" w:lineRule="auto"/>
              <w:ind w:firstLine="0" w:firstLineChars="0"/>
              <w:jc w:val="center"/>
              <w:rPr>
                <w:color w:val="auto"/>
                <w:kern w:val="44"/>
                <w:sz w:val="21"/>
                <w:szCs w:val="21"/>
              </w:rPr>
            </w:pPr>
            <w:r>
              <w:rPr>
                <w:color w:val="auto"/>
                <w:kern w:val="44"/>
                <w:sz w:val="21"/>
                <w:szCs w:val="21"/>
              </w:rPr>
              <w:t>《环境影响评价技术导则 大气导则》（HJ2.2-018）附录D中参考限值</w:t>
            </w:r>
          </w:p>
        </w:tc>
      </w:tr>
      <w:tr w14:paraId="20545D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1116" w:type="pct"/>
            <w:vAlign w:val="center"/>
          </w:tcPr>
          <w:p w14:paraId="7427E416">
            <w:pPr>
              <w:spacing w:line="240" w:lineRule="auto"/>
              <w:ind w:firstLine="0" w:firstLineChars="0"/>
              <w:jc w:val="center"/>
              <w:rPr>
                <w:color w:val="auto"/>
                <w:kern w:val="44"/>
                <w:sz w:val="21"/>
                <w:szCs w:val="21"/>
              </w:rPr>
            </w:pPr>
            <w:r>
              <w:rPr>
                <w:color w:val="auto"/>
                <w:kern w:val="44"/>
                <w:sz w:val="21"/>
                <w:szCs w:val="21"/>
              </w:rPr>
              <w:t>硫酸</w:t>
            </w:r>
          </w:p>
        </w:tc>
        <w:tc>
          <w:tcPr>
            <w:tcW w:w="1058" w:type="pct"/>
            <w:vAlign w:val="center"/>
          </w:tcPr>
          <w:p w14:paraId="39661495">
            <w:pPr>
              <w:spacing w:line="240" w:lineRule="auto"/>
              <w:ind w:firstLine="0" w:firstLineChars="0"/>
              <w:jc w:val="center"/>
              <w:rPr>
                <w:color w:val="auto"/>
                <w:kern w:val="50"/>
                <w:sz w:val="21"/>
                <w:szCs w:val="21"/>
              </w:rPr>
            </w:pPr>
            <w:r>
              <w:rPr>
                <w:color w:val="auto"/>
                <w:kern w:val="50"/>
                <w:sz w:val="21"/>
                <w:szCs w:val="21"/>
              </w:rPr>
              <w:t>1小时平均</w:t>
            </w:r>
          </w:p>
        </w:tc>
        <w:tc>
          <w:tcPr>
            <w:tcW w:w="794" w:type="pct"/>
            <w:vAlign w:val="center"/>
          </w:tcPr>
          <w:p w14:paraId="1C3063E2">
            <w:pPr>
              <w:spacing w:line="240" w:lineRule="auto"/>
              <w:ind w:firstLine="0" w:firstLineChars="0"/>
              <w:jc w:val="center"/>
              <w:rPr>
                <w:color w:val="auto"/>
                <w:kern w:val="50"/>
                <w:sz w:val="21"/>
                <w:szCs w:val="21"/>
              </w:rPr>
            </w:pPr>
            <w:r>
              <w:rPr>
                <w:color w:val="auto"/>
                <w:kern w:val="50"/>
                <w:sz w:val="21"/>
                <w:szCs w:val="21"/>
              </w:rPr>
              <w:t>0.3</w:t>
            </w:r>
          </w:p>
        </w:tc>
        <w:tc>
          <w:tcPr>
            <w:tcW w:w="2031" w:type="pct"/>
            <w:vMerge w:val="continue"/>
            <w:vAlign w:val="center"/>
          </w:tcPr>
          <w:p w14:paraId="0774A115">
            <w:pPr>
              <w:spacing w:line="240" w:lineRule="auto"/>
              <w:ind w:firstLine="0" w:firstLineChars="0"/>
              <w:jc w:val="center"/>
              <w:rPr>
                <w:color w:val="auto"/>
                <w:kern w:val="44"/>
                <w:sz w:val="21"/>
                <w:szCs w:val="21"/>
              </w:rPr>
            </w:pPr>
          </w:p>
        </w:tc>
      </w:tr>
    </w:tbl>
    <w:p w14:paraId="5F864F52">
      <w:pPr>
        <w:spacing w:before="120" w:beforeLines="50"/>
        <w:ind w:firstLine="0" w:firstLineChars="0"/>
        <w:outlineLvl w:val="3"/>
        <w:rPr>
          <w:b/>
          <w:color w:val="auto"/>
        </w:rPr>
      </w:pPr>
      <w:r>
        <w:rPr>
          <w:b/>
          <w:color w:val="auto"/>
        </w:rPr>
        <w:t>2.4.2.2 地表水环境质量标准</w:t>
      </w:r>
    </w:p>
    <w:p w14:paraId="3E9DF8CC">
      <w:pPr>
        <w:ind w:firstLine="480"/>
        <w:rPr>
          <w:color w:val="auto"/>
        </w:rPr>
      </w:pPr>
      <w:r>
        <w:rPr>
          <w:color w:val="auto"/>
          <w:szCs w:val="28"/>
        </w:rPr>
        <w:t>区域内主要有</w:t>
      </w:r>
      <w:r>
        <w:rPr>
          <w:rFonts w:hint="eastAsia"/>
          <w:color w:val="auto"/>
          <w:szCs w:val="28"/>
        </w:rPr>
        <w:t>大浦河排污通道</w:t>
      </w:r>
      <w:r>
        <w:rPr>
          <w:color w:val="auto"/>
          <w:szCs w:val="28"/>
        </w:rPr>
        <w:t>和</w:t>
      </w:r>
      <w:r>
        <w:rPr>
          <w:rFonts w:hint="eastAsia"/>
          <w:color w:val="auto"/>
          <w:szCs w:val="28"/>
        </w:rPr>
        <w:t>开泰</w:t>
      </w:r>
      <w:r>
        <w:rPr>
          <w:color w:val="auto"/>
          <w:szCs w:val="28"/>
        </w:rPr>
        <w:t>河，</w:t>
      </w:r>
      <w:r>
        <w:rPr>
          <w:color w:val="auto"/>
        </w:rPr>
        <w:t>未明确功能区划，</w:t>
      </w:r>
      <w:r>
        <w:rPr>
          <w:rFonts w:hint="eastAsia"/>
          <w:color w:val="auto"/>
        </w:rPr>
        <w:t>水质标准均参考执行</w:t>
      </w:r>
      <w:r>
        <w:rPr>
          <w:color w:val="auto"/>
        </w:rPr>
        <w:t>《地表水环境质量标准》（GB3838-2002）中</w:t>
      </w:r>
      <w:r>
        <w:rPr>
          <w:rFonts w:hint="eastAsia"/>
          <w:color w:val="auto"/>
        </w:rPr>
        <w:t>Ⅳ类标准，</w:t>
      </w:r>
      <w:r>
        <w:rPr>
          <w:rFonts w:hint="eastAsia"/>
          <w:color w:val="auto"/>
          <w:szCs w:val="28"/>
        </w:rPr>
        <w:t>临洪河执行</w:t>
      </w:r>
      <w:r>
        <w:rPr>
          <w:color w:val="auto"/>
        </w:rPr>
        <w:t>《地表水环境质量标准》（GB3838-2002）中</w:t>
      </w:r>
      <w:r>
        <w:rPr>
          <w:rFonts w:hint="eastAsia"/>
          <w:color w:val="auto"/>
          <w:lang w:eastAsia="zh-CN"/>
        </w:rPr>
        <w:t>Ⅲ</w:t>
      </w:r>
      <w:r>
        <w:rPr>
          <w:rFonts w:hint="eastAsia"/>
          <w:color w:val="auto"/>
          <w:szCs w:val="28"/>
        </w:rPr>
        <w:t>类标准</w:t>
      </w:r>
      <w:r>
        <w:rPr>
          <w:color w:val="auto"/>
        </w:rPr>
        <w:t>。</w:t>
      </w:r>
      <w:r>
        <w:rPr>
          <w:color w:val="auto"/>
          <w:szCs w:val="28"/>
        </w:rPr>
        <w:t>具体</w:t>
      </w:r>
      <w:r>
        <w:rPr>
          <w:color w:val="auto"/>
        </w:rPr>
        <w:t>数据见表2.4.2-2。</w:t>
      </w:r>
    </w:p>
    <w:p w14:paraId="4D5E7530">
      <w:pPr>
        <w:tabs>
          <w:tab w:val="left" w:pos="0"/>
        </w:tabs>
        <w:spacing w:line="240" w:lineRule="auto"/>
        <w:ind w:firstLine="0" w:firstLineChars="0"/>
        <w:jc w:val="center"/>
        <w:rPr>
          <w:b/>
          <w:color w:val="auto"/>
          <w:szCs w:val="20"/>
        </w:rPr>
      </w:pPr>
      <w:r>
        <w:rPr>
          <w:b/>
          <w:color w:val="auto"/>
          <w:szCs w:val="20"/>
        </w:rPr>
        <w:t>表2.4.2-2  地表水环境质量标准    单位：mg/L、pH值无量纲</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2378"/>
        <w:gridCol w:w="2039"/>
        <w:gridCol w:w="1743"/>
        <w:gridCol w:w="1481"/>
        <w:gridCol w:w="1481"/>
      </w:tblGrid>
      <w:tr w14:paraId="7F8A7C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tblHeader/>
          <w:jc w:val="center"/>
        </w:trPr>
        <w:tc>
          <w:tcPr>
            <w:tcW w:w="1303" w:type="pct"/>
            <w:vAlign w:val="center"/>
          </w:tcPr>
          <w:p w14:paraId="3BC28C6D">
            <w:pPr>
              <w:spacing w:line="240" w:lineRule="auto"/>
              <w:ind w:firstLine="0" w:firstLineChars="0"/>
              <w:jc w:val="center"/>
              <w:rPr>
                <w:b/>
                <w:bCs/>
                <w:color w:val="auto"/>
                <w:sz w:val="21"/>
                <w:szCs w:val="18"/>
              </w:rPr>
            </w:pPr>
            <w:r>
              <w:rPr>
                <w:b/>
                <w:bCs/>
                <w:color w:val="auto"/>
                <w:sz w:val="21"/>
                <w:szCs w:val="18"/>
              </w:rPr>
              <w:t>执行标准</w:t>
            </w:r>
          </w:p>
        </w:tc>
        <w:tc>
          <w:tcPr>
            <w:tcW w:w="1117" w:type="pct"/>
            <w:vAlign w:val="center"/>
          </w:tcPr>
          <w:p w14:paraId="31921135">
            <w:pPr>
              <w:spacing w:line="240" w:lineRule="auto"/>
              <w:ind w:firstLine="0" w:firstLineChars="0"/>
              <w:jc w:val="center"/>
              <w:rPr>
                <w:b/>
                <w:bCs/>
                <w:color w:val="auto"/>
                <w:sz w:val="21"/>
                <w:szCs w:val="18"/>
              </w:rPr>
            </w:pPr>
            <w:r>
              <w:rPr>
                <w:b/>
                <w:bCs/>
                <w:color w:val="auto"/>
                <w:sz w:val="21"/>
                <w:szCs w:val="18"/>
              </w:rPr>
              <w:t>污染物指标</w:t>
            </w:r>
          </w:p>
        </w:tc>
        <w:tc>
          <w:tcPr>
            <w:tcW w:w="955" w:type="pct"/>
            <w:vAlign w:val="center"/>
          </w:tcPr>
          <w:p w14:paraId="4BAAEF67">
            <w:pPr>
              <w:spacing w:line="240" w:lineRule="auto"/>
              <w:ind w:firstLine="0" w:firstLineChars="0"/>
              <w:jc w:val="center"/>
              <w:rPr>
                <w:b/>
                <w:bCs/>
                <w:color w:val="auto"/>
                <w:sz w:val="21"/>
                <w:szCs w:val="18"/>
              </w:rPr>
            </w:pPr>
            <w:r>
              <w:rPr>
                <w:b/>
                <w:bCs/>
                <w:color w:val="auto"/>
                <w:sz w:val="21"/>
                <w:szCs w:val="18"/>
              </w:rPr>
              <w:t>单位</w:t>
            </w:r>
          </w:p>
        </w:tc>
        <w:tc>
          <w:tcPr>
            <w:tcW w:w="811" w:type="pct"/>
            <w:vAlign w:val="center"/>
          </w:tcPr>
          <w:p w14:paraId="77AF1164">
            <w:pPr>
              <w:pStyle w:val="1923"/>
              <w:spacing w:line="240" w:lineRule="auto"/>
              <w:ind w:firstLine="0" w:firstLineChars="0"/>
              <w:rPr>
                <w:b/>
                <w:bCs/>
                <w:color w:val="auto"/>
                <w:szCs w:val="18"/>
              </w:rPr>
            </w:pPr>
            <w:r>
              <w:rPr>
                <w:rFonts w:hint="eastAsia"/>
                <w:b/>
                <w:bCs/>
                <w:color w:val="auto"/>
                <w:szCs w:val="18"/>
                <w:lang w:eastAsia="zh-CN"/>
              </w:rPr>
              <w:t>Ⅲ</w:t>
            </w:r>
            <w:r>
              <w:rPr>
                <w:rFonts w:hint="eastAsia"/>
                <w:b/>
                <w:bCs/>
                <w:color w:val="auto"/>
                <w:szCs w:val="18"/>
              </w:rPr>
              <w:t>类标准</w:t>
            </w:r>
          </w:p>
        </w:tc>
        <w:tc>
          <w:tcPr>
            <w:tcW w:w="811" w:type="pct"/>
            <w:vAlign w:val="center"/>
          </w:tcPr>
          <w:p w14:paraId="123B1467">
            <w:pPr>
              <w:pStyle w:val="1923"/>
              <w:spacing w:line="240" w:lineRule="auto"/>
              <w:ind w:firstLine="0" w:firstLineChars="0"/>
              <w:rPr>
                <w:b/>
                <w:bCs/>
                <w:color w:val="auto"/>
                <w:szCs w:val="18"/>
              </w:rPr>
            </w:pPr>
            <w:r>
              <w:rPr>
                <w:rFonts w:hint="eastAsia"/>
                <w:b/>
                <w:bCs/>
                <w:color w:val="auto"/>
                <w:szCs w:val="18"/>
              </w:rPr>
              <w:t>Ⅳ类</w:t>
            </w:r>
            <w:r>
              <w:rPr>
                <w:b/>
                <w:bCs/>
                <w:color w:val="auto"/>
                <w:szCs w:val="18"/>
              </w:rPr>
              <w:t>标准</w:t>
            </w:r>
          </w:p>
        </w:tc>
      </w:tr>
      <w:tr w14:paraId="75B821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restart"/>
            <w:vAlign w:val="center"/>
          </w:tcPr>
          <w:p w14:paraId="7EDBCB5B">
            <w:pPr>
              <w:spacing w:line="240" w:lineRule="auto"/>
              <w:ind w:firstLine="0" w:firstLineChars="0"/>
              <w:jc w:val="center"/>
              <w:rPr>
                <w:color w:val="auto"/>
                <w:sz w:val="21"/>
                <w:szCs w:val="18"/>
              </w:rPr>
            </w:pPr>
            <w:r>
              <w:rPr>
                <w:color w:val="auto"/>
                <w:sz w:val="21"/>
                <w:szCs w:val="18"/>
              </w:rPr>
              <w:t>《地表水环境质量标准》（GB3838-2002）</w:t>
            </w:r>
          </w:p>
        </w:tc>
        <w:tc>
          <w:tcPr>
            <w:tcW w:w="1117" w:type="pct"/>
            <w:vAlign w:val="center"/>
          </w:tcPr>
          <w:p w14:paraId="51155BF7">
            <w:pPr>
              <w:spacing w:line="240" w:lineRule="auto"/>
              <w:ind w:firstLine="0" w:firstLineChars="0"/>
              <w:jc w:val="center"/>
              <w:rPr>
                <w:color w:val="auto"/>
                <w:sz w:val="21"/>
                <w:szCs w:val="18"/>
              </w:rPr>
            </w:pPr>
            <w:r>
              <w:rPr>
                <w:color w:val="auto"/>
                <w:sz w:val="21"/>
                <w:szCs w:val="18"/>
              </w:rPr>
              <w:t>pH</w:t>
            </w:r>
          </w:p>
        </w:tc>
        <w:tc>
          <w:tcPr>
            <w:tcW w:w="955" w:type="pct"/>
            <w:vAlign w:val="center"/>
          </w:tcPr>
          <w:p w14:paraId="3B7600F3">
            <w:pPr>
              <w:spacing w:line="240" w:lineRule="auto"/>
              <w:ind w:firstLine="0" w:firstLineChars="0"/>
              <w:jc w:val="center"/>
              <w:rPr>
                <w:color w:val="auto"/>
                <w:sz w:val="21"/>
                <w:szCs w:val="18"/>
              </w:rPr>
            </w:pPr>
            <w:r>
              <w:rPr>
                <w:color w:val="auto"/>
                <w:sz w:val="21"/>
                <w:szCs w:val="18"/>
              </w:rPr>
              <w:t>—</w:t>
            </w:r>
          </w:p>
        </w:tc>
        <w:tc>
          <w:tcPr>
            <w:tcW w:w="811" w:type="pct"/>
            <w:vAlign w:val="center"/>
          </w:tcPr>
          <w:p w14:paraId="390F4B89">
            <w:pPr>
              <w:pStyle w:val="1923"/>
              <w:spacing w:line="240" w:lineRule="auto"/>
              <w:ind w:firstLine="0" w:firstLineChars="0"/>
              <w:rPr>
                <w:color w:val="auto"/>
                <w:szCs w:val="18"/>
              </w:rPr>
            </w:pPr>
            <w:r>
              <w:rPr>
                <w:color w:val="auto"/>
                <w:szCs w:val="18"/>
              </w:rPr>
              <w:t>6</w:t>
            </w:r>
            <w:r>
              <w:rPr>
                <w:rFonts w:hint="eastAsia"/>
                <w:color w:val="auto"/>
                <w:szCs w:val="18"/>
              </w:rPr>
              <w:t>~</w:t>
            </w:r>
            <w:r>
              <w:rPr>
                <w:color w:val="auto"/>
                <w:szCs w:val="18"/>
              </w:rPr>
              <w:t>9</w:t>
            </w:r>
          </w:p>
        </w:tc>
        <w:tc>
          <w:tcPr>
            <w:tcW w:w="811" w:type="pct"/>
            <w:vAlign w:val="center"/>
          </w:tcPr>
          <w:p w14:paraId="1AD197C5">
            <w:pPr>
              <w:pStyle w:val="1923"/>
              <w:spacing w:line="240" w:lineRule="auto"/>
              <w:ind w:firstLine="0" w:firstLineChars="0"/>
              <w:rPr>
                <w:color w:val="auto"/>
                <w:szCs w:val="18"/>
              </w:rPr>
            </w:pPr>
            <w:r>
              <w:rPr>
                <w:color w:val="auto"/>
                <w:szCs w:val="18"/>
              </w:rPr>
              <w:t>6</w:t>
            </w:r>
            <w:r>
              <w:rPr>
                <w:rFonts w:hint="eastAsia"/>
                <w:color w:val="auto"/>
                <w:szCs w:val="18"/>
              </w:rPr>
              <w:t>~</w:t>
            </w:r>
            <w:r>
              <w:rPr>
                <w:color w:val="auto"/>
                <w:szCs w:val="18"/>
              </w:rPr>
              <w:t>9</w:t>
            </w:r>
          </w:p>
        </w:tc>
      </w:tr>
      <w:tr w14:paraId="7519A0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33EE0443">
            <w:pPr>
              <w:spacing w:line="240" w:lineRule="auto"/>
              <w:ind w:firstLine="0" w:firstLineChars="0"/>
              <w:jc w:val="center"/>
              <w:rPr>
                <w:color w:val="auto"/>
                <w:sz w:val="21"/>
                <w:szCs w:val="18"/>
              </w:rPr>
            </w:pPr>
          </w:p>
        </w:tc>
        <w:tc>
          <w:tcPr>
            <w:tcW w:w="1117" w:type="pct"/>
            <w:vAlign w:val="center"/>
          </w:tcPr>
          <w:p w14:paraId="4D2646CC">
            <w:pPr>
              <w:spacing w:line="240" w:lineRule="auto"/>
              <w:ind w:firstLine="0" w:firstLineChars="0"/>
              <w:jc w:val="center"/>
              <w:rPr>
                <w:color w:val="auto"/>
                <w:sz w:val="21"/>
                <w:szCs w:val="18"/>
              </w:rPr>
            </w:pPr>
            <w:r>
              <w:rPr>
                <w:color w:val="auto"/>
                <w:sz w:val="21"/>
                <w:szCs w:val="18"/>
              </w:rPr>
              <w:t>COD</w:t>
            </w:r>
          </w:p>
        </w:tc>
        <w:tc>
          <w:tcPr>
            <w:tcW w:w="955" w:type="pct"/>
            <w:vAlign w:val="center"/>
          </w:tcPr>
          <w:p w14:paraId="5076CC63">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788BC85B">
            <w:pPr>
              <w:pStyle w:val="1923"/>
              <w:spacing w:line="240" w:lineRule="auto"/>
              <w:ind w:firstLine="0" w:firstLineChars="0"/>
              <w:rPr>
                <w:color w:val="auto"/>
                <w:szCs w:val="18"/>
              </w:rPr>
            </w:pPr>
            <w:r>
              <w:rPr>
                <w:color w:val="auto"/>
                <w:szCs w:val="18"/>
              </w:rPr>
              <w:t>≤</w:t>
            </w:r>
            <w:r>
              <w:rPr>
                <w:rFonts w:hint="eastAsia"/>
                <w:color w:val="auto"/>
                <w:szCs w:val="18"/>
              </w:rPr>
              <w:t>20</w:t>
            </w:r>
          </w:p>
        </w:tc>
        <w:tc>
          <w:tcPr>
            <w:tcW w:w="811" w:type="pct"/>
            <w:vAlign w:val="center"/>
          </w:tcPr>
          <w:p w14:paraId="25923575">
            <w:pPr>
              <w:pStyle w:val="1923"/>
              <w:spacing w:line="240" w:lineRule="auto"/>
              <w:ind w:firstLine="0" w:firstLineChars="0"/>
              <w:rPr>
                <w:color w:val="auto"/>
                <w:szCs w:val="18"/>
              </w:rPr>
            </w:pPr>
            <w:r>
              <w:rPr>
                <w:color w:val="auto"/>
                <w:szCs w:val="18"/>
              </w:rPr>
              <w:t>≤30</w:t>
            </w:r>
          </w:p>
        </w:tc>
      </w:tr>
      <w:tr w14:paraId="2E6C34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7334BD4B">
            <w:pPr>
              <w:spacing w:line="240" w:lineRule="auto"/>
              <w:ind w:firstLine="0" w:firstLineChars="0"/>
              <w:jc w:val="center"/>
              <w:rPr>
                <w:color w:val="auto"/>
                <w:sz w:val="21"/>
                <w:szCs w:val="18"/>
              </w:rPr>
            </w:pPr>
          </w:p>
        </w:tc>
        <w:tc>
          <w:tcPr>
            <w:tcW w:w="1117" w:type="pct"/>
            <w:vAlign w:val="center"/>
          </w:tcPr>
          <w:p w14:paraId="494EE10E">
            <w:pPr>
              <w:spacing w:line="240" w:lineRule="auto"/>
              <w:ind w:firstLine="0" w:firstLineChars="0"/>
              <w:jc w:val="center"/>
              <w:rPr>
                <w:color w:val="auto"/>
                <w:sz w:val="21"/>
                <w:szCs w:val="18"/>
                <w:vertAlign w:val="subscript"/>
              </w:rPr>
            </w:pPr>
            <w:r>
              <w:rPr>
                <w:color w:val="auto"/>
                <w:sz w:val="21"/>
                <w:szCs w:val="18"/>
              </w:rPr>
              <w:t>高锰酸盐指数</w:t>
            </w:r>
          </w:p>
        </w:tc>
        <w:tc>
          <w:tcPr>
            <w:tcW w:w="955" w:type="pct"/>
            <w:vAlign w:val="center"/>
          </w:tcPr>
          <w:p w14:paraId="721CA4D5">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4FEC7BE9">
            <w:pPr>
              <w:pStyle w:val="1923"/>
              <w:spacing w:line="240" w:lineRule="auto"/>
              <w:ind w:firstLine="0" w:firstLineChars="0"/>
              <w:rPr>
                <w:color w:val="auto"/>
                <w:szCs w:val="18"/>
              </w:rPr>
            </w:pPr>
            <w:r>
              <w:rPr>
                <w:color w:val="auto"/>
                <w:szCs w:val="18"/>
              </w:rPr>
              <w:t>≤</w:t>
            </w:r>
            <w:r>
              <w:rPr>
                <w:rFonts w:hint="eastAsia"/>
                <w:color w:val="auto"/>
                <w:szCs w:val="18"/>
              </w:rPr>
              <w:t>6</w:t>
            </w:r>
          </w:p>
        </w:tc>
        <w:tc>
          <w:tcPr>
            <w:tcW w:w="811" w:type="pct"/>
            <w:vAlign w:val="center"/>
          </w:tcPr>
          <w:p w14:paraId="3E5A6F4A">
            <w:pPr>
              <w:pStyle w:val="1923"/>
              <w:spacing w:line="240" w:lineRule="auto"/>
              <w:ind w:firstLine="0" w:firstLineChars="0"/>
              <w:rPr>
                <w:color w:val="auto"/>
                <w:szCs w:val="18"/>
              </w:rPr>
            </w:pPr>
            <w:r>
              <w:rPr>
                <w:color w:val="auto"/>
                <w:szCs w:val="18"/>
              </w:rPr>
              <w:t>≤10</w:t>
            </w:r>
          </w:p>
        </w:tc>
      </w:tr>
      <w:tr w14:paraId="7DD78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08389B5C">
            <w:pPr>
              <w:spacing w:line="240" w:lineRule="auto"/>
              <w:ind w:firstLine="0" w:firstLineChars="0"/>
              <w:jc w:val="center"/>
              <w:rPr>
                <w:color w:val="auto"/>
                <w:sz w:val="21"/>
                <w:szCs w:val="18"/>
              </w:rPr>
            </w:pPr>
          </w:p>
        </w:tc>
        <w:tc>
          <w:tcPr>
            <w:tcW w:w="1117" w:type="pct"/>
            <w:shd w:val="clear" w:color="auto" w:fill="auto"/>
            <w:vAlign w:val="center"/>
          </w:tcPr>
          <w:p w14:paraId="7EACD1AA">
            <w:pPr>
              <w:spacing w:line="240" w:lineRule="auto"/>
              <w:ind w:firstLine="0" w:firstLineChars="0"/>
              <w:jc w:val="center"/>
              <w:rPr>
                <w:color w:val="auto"/>
                <w:sz w:val="21"/>
                <w:szCs w:val="18"/>
              </w:rPr>
            </w:pPr>
            <w:r>
              <w:rPr>
                <w:color w:val="auto"/>
                <w:sz w:val="21"/>
                <w:szCs w:val="18"/>
              </w:rPr>
              <w:t>氨氮</w:t>
            </w:r>
          </w:p>
        </w:tc>
        <w:tc>
          <w:tcPr>
            <w:tcW w:w="955" w:type="pct"/>
            <w:shd w:val="clear" w:color="auto" w:fill="auto"/>
            <w:vAlign w:val="center"/>
          </w:tcPr>
          <w:p w14:paraId="46F45E45">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27D14C1E">
            <w:pPr>
              <w:pStyle w:val="1923"/>
              <w:spacing w:line="240" w:lineRule="auto"/>
              <w:ind w:firstLine="0" w:firstLineChars="0"/>
              <w:rPr>
                <w:color w:val="auto"/>
                <w:szCs w:val="18"/>
              </w:rPr>
            </w:pPr>
            <w:r>
              <w:rPr>
                <w:color w:val="auto"/>
                <w:szCs w:val="18"/>
              </w:rPr>
              <w:t>≤1.</w:t>
            </w:r>
            <w:r>
              <w:rPr>
                <w:rFonts w:hint="eastAsia"/>
                <w:color w:val="auto"/>
                <w:szCs w:val="18"/>
              </w:rPr>
              <w:t>0</w:t>
            </w:r>
          </w:p>
        </w:tc>
        <w:tc>
          <w:tcPr>
            <w:tcW w:w="811" w:type="pct"/>
            <w:shd w:val="clear" w:color="auto" w:fill="auto"/>
            <w:vAlign w:val="center"/>
          </w:tcPr>
          <w:p w14:paraId="2361E694">
            <w:pPr>
              <w:pStyle w:val="1923"/>
              <w:spacing w:line="240" w:lineRule="auto"/>
              <w:ind w:firstLine="0" w:firstLineChars="0"/>
              <w:rPr>
                <w:color w:val="auto"/>
                <w:szCs w:val="18"/>
              </w:rPr>
            </w:pPr>
            <w:r>
              <w:rPr>
                <w:color w:val="auto"/>
                <w:szCs w:val="18"/>
              </w:rPr>
              <w:t>≤1.5</w:t>
            </w:r>
          </w:p>
        </w:tc>
      </w:tr>
      <w:tr w14:paraId="346CE9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4F7410EF">
            <w:pPr>
              <w:spacing w:line="240" w:lineRule="auto"/>
              <w:ind w:firstLine="0" w:firstLineChars="0"/>
              <w:jc w:val="center"/>
              <w:rPr>
                <w:color w:val="auto"/>
                <w:sz w:val="21"/>
                <w:szCs w:val="18"/>
              </w:rPr>
            </w:pPr>
          </w:p>
        </w:tc>
        <w:tc>
          <w:tcPr>
            <w:tcW w:w="1117" w:type="pct"/>
            <w:shd w:val="clear" w:color="auto" w:fill="auto"/>
            <w:vAlign w:val="center"/>
          </w:tcPr>
          <w:p w14:paraId="32BA74F8">
            <w:pPr>
              <w:pStyle w:val="1923"/>
              <w:spacing w:line="240" w:lineRule="auto"/>
              <w:ind w:firstLine="0" w:firstLineChars="0"/>
              <w:rPr>
                <w:color w:val="auto"/>
                <w:szCs w:val="18"/>
              </w:rPr>
            </w:pPr>
            <w:r>
              <w:rPr>
                <w:color w:val="auto"/>
                <w:szCs w:val="18"/>
              </w:rPr>
              <w:t>总磷</w:t>
            </w:r>
          </w:p>
        </w:tc>
        <w:tc>
          <w:tcPr>
            <w:tcW w:w="955" w:type="pct"/>
            <w:shd w:val="clear" w:color="auto" w:fill="auto"/>
            <w:vAlign w:val="center"/>
          </w:tcPr>
          <w:p w14:paraId="36262742">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70BCEEA8">
            <w:pPr>
              <w:pStyle w:val="1923"/>
              <w:spacing w:line="240" w:lineRule="auto"/>
              <w:ind w:firstLine="0" w:firstLineChars="0"/>
              <w:rPr>
                <w:color w:val="auto"/>
                <w:szCs w:val="18"/>
              </w:rPr>
            </w:pPr>
            <w:r>
              <w:rPr>
                <w:color w:val="auto"/>
                <w:szCs w:val="18"/>
              </w:rPr>
              <w:t>≤0.</w:t>
            </w:r>
            <w:r>
              <w:rPr>
                <w:rFonts w:hint="eastAsia"/>
                <w:color w:val="auto"/>
                <w:szCs w:val="18"/>
              </w:rPr>
              <w:t>2</w:t>
            </w:r>
          </w:p>
        </w:tc>
        <w:tc>
          <w:tcPr>
            <w:tcW w:w="811" w:type="pct"/>
            <w:shd w:val="clear" w:color="auto" w:fill="auto"/>
            <w:vAlign w:val="center"/>
          </w:tcPr>
          <w:p w14:paraId="1B1CA183">
            <w:pPr>
              <w:pStyle w:val="1923"/>
              <w:spacing w:line="240" w:lineRule="auto"/>
              <w:ind w:firstLine="0" w:firstLineChars="0"/>
              <w:rPr>
                <w:color w:val="auto"/>
                <w:szCs w:val="18"/>
              </w:rPr>
            </w:pPr>
            <w:r>
              <w:rPr>
                <w:color w:val="auto"/>
                <w:szCs w:val="18"/>
              </w:rPr>
              <w:t>≤0.3</w:t>
            </w:r>
          </w:p>
        </w:tc>
      </w:tr>
      <w:tr w14:paraId="65408C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51447F7F">
            <w:pPr>
              <w:spacing w:line="240" w:lineRule="auto"/>
              <w:ind w:firstLine="0" w:firstLineChars="0"/>
              <w:jc w:val="center"/>
              <w:rPr>
                <w:color w:val="auto"/>
                <w:sz w:val="21"/>
                <w:szCs w:val="18"/>
              </w:rPr>
            </w:pPr>
          </w:p>
        </w:tc>
        <w:tc>
          <w:tcPr>
            <w:tcW w:w="1117" w:type="pct"/>
            <w:shd w:val="clear" w:color="auto" w:fill="auto"/>
            <w:vAlign w:val="center"/>
          </w:tcPr>
          <w:p w14:paraId="4BDC171C">
            <w:pPr>
              <w:pStyle w:val="1923"/>
              <w:spacing w:line="240" w:lineRule="auto"/>
              <w:ind w:firstLine="0" w:firstLineChars="0"/>
              <w:rPr>
                <w:color w:val="auto"/>
                <w:szCs w:val="18"/>
              </w:rPr>
            </w:pPr>
            <w:r>
              <w:rPr>
                <w:color w:val="auto"/>
                <w:szCs w:val="18"/>
              </w:rPr>
              <w:t>石油类</w:t>
            </w:r>
          </w:p>
        </w:tc>
        <w:tc>
          <w:tcPr>
            <w:tcW w:w="955" w:type="pct"/>
            <w:shd w:val="clear" w:color="auto" w:fill="auto"/>
            <w:vAlign w:val="center"/>
          </w:tcPr>
          <w:p w14:paraId="556F5D32">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2C5720B4">
            <w:pPr>
              <w:pStyle w:val="1923"/>
              <w:spacing w:line="240" w:lineRule="auto"/>
              <w:ind w:firstLine="0" w:firstLineChars="0"/>
              <w:rPr>
                <w:color w:val="auto"/>
                <w:szCs w:val="18"/>
              </w:rPr>
            </w:pPr>
            <w:r>
              <w:rPr>
                <w:color w:val="auto"/>
                <w:szCs w:val="18"/>
              </w:rPr>
              <w:t>≤0.</w:t>
            </w:r>
            <w:r>
              <w:rPr>
                <w:rFonts w:hint="eastAsia"/>
                <w:color w:val="auto"/>
                <w:szCs w:val="18"/>
              </w:rPr>
              <w:t>05</w:t>
            </w:r>
          </w:p>
        </w:tc>
        <w:tc>
          <w:tcPr>
            <w:tcW w:w="811" w:type="pct"/>
            <w:shd w:val="clear" w:color="auto" w:fill="auto"/>
            <w:vAlign w:val="center"/>
          </w:tcPr>
          <w:p w14:paraId="258E758E">
            <w:pPr>
              <w:pStyle w:val="1923"/>
              <w:spacing w:line="240" w:lineRule="auto"/>
              <w:ind w:firstLine="0" w:firstLineChars="0"/>
              <w:rPr>
                <w:color w:val="auto"/>
                <w:szCs w:val="18"/>
              </w:rPr>
            </w:pPr>
            <w:r>
              <w:rPr>
                <w:color w:val="auto"/>
                <w:szCs w:val="18"/>
              </w:rPr>
              <w:t>≤0.5</w:t>
            </w:r>
          </w:p>
        </w:tc>
      </w:tr>
      <w:tr w14:paraId="7D2A6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784B67CE">
            <w:pPr>
              <w:spacing w:line="240" w:lineRule="auto"/>
              <w:ind w:firstLine="0" w:firstLineChars="0"/>
              <w:jc w:val="center"/>
              <w:rPr>
                <w:color w:val="auto"/>
                <w:sz w:val="21"/>
                <w:szCs w:val="18"/>
              </w:rPr>
            </w:pPr>
          </w:p>
        </w:tc>
        <w:tc>
          <w:tcPr>
            <w:tcW w:w="1117" w:type="pct"/>
            <w:shd w:val="clear" w:color="auto" w:fill="auto"/>
            <w:vAlign w:val="center"/>
          </w:tcPr>
          <w:p w14:paraId="7FDA4A09">
            <w:pPr>
              <w:pStyle w:val="1923"/>
              <w:spacing w:line="240" w:lineRule="auto"/>
              <w:ind w:firstLine="0" w:firstLineChars="0"/>
              <w:rPr>
                <w:color w:val="auto"/>
                <w:szCs w:val="18"/>
              </w:rPr>
            </w:pPr>
            <w:r>
              <w:rPr>
                <w:color w:val="auto"/>
                <w:szCs w:val="18"/>
              </w:rPr>
              <w:t>阴离子表面活性剂</w:t>
            </w:r>
          </w:p>
        </w:tc>
        <w:tc>
          <w:tcPr>
            <w:tcW w:w="955" w:type="pct"/>
            <w:shd w:val="clear" w:color="auto" w:fill="auto"/>
            <w:vAlign w:val="center"/>
          </w:tcPr>
          <w:p w14:paraId="74573360">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505AF0AC">
            <w:pPr>
              <w:pStyle w:val="1923"/>
              <w:spacing w:line="240" w:lineRule="auto"/>
              <w:ind w:firstLine="0" w:firstLineChars="0"/>
              <w:rPr>
                <w:color w:val="auto"/>
                <w:szCs w:val="18"/>
              </w:rPr>
            </w:pPr>
            <w:r>
              <w:rPr>
                <w:color w:val="auto"/>
                <w:szCs w:val="18"/>
              </w:rPr>
              <w:t>≤0.</w:t>
            </w:r>
            <w:r>
              <w:rPr>
                <w:rFonts w:hint="eastAsia"/>
                <w:color w:val="auto"/>
                <w:szCs w:val="18"/>
              </w:rPr>
              <w:t>2</w:t>
            </w:r>
          </w:p>
        </w:tc>
        <w:tc>
          <w:tcPr>
            <w:tcW w:w="811" w:type="pct"/>
            <w:shd w:val="clear" w:color="auto" w:fill="auto"/>
            <w:vAlign w:val="center"/>
          </w:tcPr>
          <w:p w14:paraId="4BCFC7A2">
            <w:pPr>
              <w:pStyle w:val="1923"/>
              <w:spacing w:line="240" w:lineRule="auto"/>
              <w:ind w:firstLine="0" w:firstLineChars="0"/>
              <w:rPr>
                <w:color w:val="auto"/>
                <w:szCs w:val="18"/>
              </w:rPr>
            </w:pPr>
            <w:r>
              <w:rPr>
                <w:color w:val="auto"/>
                <w:szCs w:val="18"/>
              </w:rPr>
              <w:t>≤0.</w:t>
            </w:r>
            <w:r>
              <w:rPr>
                <w:rFonts w:hint="eastAsia"/>
                <w:color w:val="auto"/>
                <w:szCs w:val="18"/>
              </w:rPr>
              <w:t>3</w:t>
            </w:r>
          </w:p>
        </w:tc>
      </w:tr>
      <w:tr w14:paraId="2B4C5D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3" w:hRule="exact"/>
          <w:jc w:val="center"/>
        </w:trPr>
        <w:tc>
          <w:tcPr>
            <w:tcW w:w="1303" w:type="pct"/>
            <w:vMerge w:val="continue"/>
            <w:vAlign w:val="center"/>
          </w:tcPr>
          <w:p w14:paraId="5DD169B9">
            <w:pPr>
              <w:spacing w:line="240" w:lineRule="auto"/>
              <w:ind w:firstLine="0" w:firstLineChars="0"/>
              <w:jc w:val="center"/>
              <w:rPr>
                <w:color w:val="auto"/>
                <w:sz w:val="21"/>
                <w:szCs w:val="18"/>
              </w:rPr>
            </w:pPr>
          </w:p>
        </w:tc>
        <w:tc>
          <w:tcPr>
            <w:tcW w:w="1117" w:type="pct"/>
            <w:vAlign w:val="center"/>
          </w:tcPr>
          <w:p w14:paraId="45D1CDC6">
            <w:pPr>
              <w:pStyle w:val="1923"/>
              <w:spacing w:line="240" w:lineRule="auto"/>
              <w:ind w:firstLine="0" w:firstLineChars="0"/>
              <w:rPr>
                <w:color w:val="auto"/>
                <w:szCs w:val="18"/>
              </w:rPr>
            </w:pPr>
            <w:r>
              <w:rPr>
                <w:rFonts w:hint="eastAsia"/>
                <w:color w:val="auto"/>
                <w:szCs w:val="18"/>
              </w:rPr>
              <w:t>总氮</w:t>
            </w:r>
          </w:p>
        </w:tc>
        <w:tc>
          <w:tcPr>
            <w:tcW w:w="955" w:type="pct"/>
            <w:vAlign w:val="center"/>
          </w:tcPr>
          <w:p w14:paraId="1CD01087">
            <w:pPr>
              <w:spacing w:line="240" w:lineRule="auto"/>
              <w:ind w:firstLine="0" w:firstLineChars="0"/>
              <w:jc w:val="center"/>
              <w:rPr>
                <w:color w:val="auto"/>
                <w:sz w:val="21"/>
                <w:szCs w:val="18"/>
              </w:rPr>
            </w:pPr>
            <w:r>
              <w:rPr>
                <w:color w:val="auto"/>
                <w:sz w:val="21"/>
                <w:szCs w:val="18"/>
              </w:rPr>
              <w:t>mg/L</w:t>
            </w:r>
          </w:p>
        </w:tc>
        <w:tc>
          <w:tcPr>
            <w:tcW w:w="811" w:type="pct"/>
            <w:shd w:val="clear" w:color="auto" w:fill="auto"/>
            <w:vAlign w:val="center"/>
          </w:tcPr>
          <w:p w14:paraId="7516DE96">
            <w:pPr>
              <w:pStyle w:val="1923"/>
              <w:spacing w:line="240" w:lineRule="auto"/>
              <w:ind w:firstLine="0" w:firstLineChars="0"/>
              <w:rPr>
                <w:color w:val="auto"/>
                <w:szCs w:val="18"/>
              </w:rPr>
            </w:pPr>
            <w:r>
              <w:rPr>
                <w:color w:val="auto"/>
                <w:szCs w:val="18"/>
              </w:rPr>
              <w:t>≤</w:t>
            </w:r>
            <w:r>
              <w:rPr>
                <w:rFonts w:hint="eastAsia"/>
                <w:color w:val="auto"/>
                <w:szCs w:val="18"/>
              </w:rPr>
              <w:t>1.0</w:t>
            </w:r>
          </w:p>
        </w:tc>
        <w:tc>
          <w:tcPr>
            <w:tcW w:w="811" w:type="pct"/>
            <w:vAlign w:val="center"/>
          </w:tcPr>
          <w:p w14:paraId="09660EA4">
            <w:pPr>
              <w:pStyle w:val="1923"/>
              <w:spacing w:line="240" w:lineRule="auto"/>
              <w:ind w:firstLine="0" w:firstLineChars="0"/>
              <w:rPr>
                <w:color w:val="auto"/>
                <w:szCs w:val="18"/>
              </w:rPr>
            </w:pPr>
            <w:r>
              <w:rPr>
                <w:color w:val="auto"/>
                <w:szCs w:val="18"/>
              </w:rPr>
              <w:t>≤</w:t>
            </w:r>
            <w:r>
              <w:rPr>
                <w:rFonts w:hint="eastAsia"/>
                <w:color w:val="auto"/>
                <w:szCs w:val="18"/>
              </w:rPr>
              <w:t>1.5</w:t>
            </w:r>
          </w:p>
        </w:tc>
      </w:tr>
    </w:tbl>
    <w:p w14:paraId="2BB1B2BA">
      <w:pPr>
        <w:spacing w:before="120" w:beforeLines="50"/>
        <w:ind w:firstLine="0" w:firstLineChars="0"/>
        <w:outlineLvl w:val="3"/>
        <w:rPr>
          <w:b/>
          <w:color w:val="auto"/>
        </w:rPr>
      </w:pPr>
      <w:r>
        <w:rPr>
          <w:b/>
          <w:color w:val="auto"/>
        </w:rPr>
        <w:t>2.4.2.3 地下水环境质量标准</w:t>
      </w:r>
    </w:p>
    <w:p w14:paraId="5B2241FD">
      <w:pPr>
        <w:ind w:firstLine="480"/>
        <w:rPr>
          <w:color w:val="auto"/>
          <w:szCs w:val="28"/>
        </w:rPr>
      </w:pPr>
      <w:bookmarkStart w:id="31" w:name="_Hlk40547748"/>
      <w:r>
        <w:rPr>
          <w:color w:val="auto"/>
          <w:szCs w:val="28"/>
        </w:rPr>
        <w:t>地下水执行《地下水质量标准》（GB/T14848-2017）标准，具体见表2.4.2-3。</w:t>
      </w:r>
    </w:p>
    <w:p w14:paraId="4C4A7E7F">
      <w:pPr>
        <w:tabs>
          <w:tab w:val="left" w:pos="0"/>
        </w:tabs>
        <w:spacing w:line="240" w:lineRule="auto"/>
        <w:ind w:firstLine="0" w:firstLineChars="0"/>
        <w:jc w:val="center"/>
        <w:rPr>
          <w:b/>
          <w:color w:val="auto"/>
        </w:rPr>
      </w:pPr>
      <w:r>
        <w:rPr>
          <w:b/>
          <w:color w:val="auto"/>
        </w:rPr>
        <w:t>表2.4.2-3  地下水环境质量标准     单位：mg/L，pH值无量纲</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654"/>
        <w:gridCol w:w="3233"/>
        <w:gridCol w:w="934"/>
        <w:gridCol w:w="934"/>
        <w:gridCol w:w="880"/>
        <w:gridCol w:w="1588"/>
        <w:gridCol w:w="1059"/>
      </w:tblGrid>
      <w:tr w14:paraId="5543F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blHeader/>
        </w:trPr>
        <w:tc>
          <w:tcPr>
            <w:tcW w:w="352" w:type="pct"/>
            <w:shd w:val="clear" w:color="auto" w:fill="auto"/>
            <w:vAlign w:val="center"/>
          </w:tcPr>
          <w:p w14:paraId="60E3A414">
            <w:pPr>
              <w:widowControl/>
              <w:spacing w:line="240" w:lineRule="auto"/>
              <w:ind w:firstLine="0" w:firstLineChars="0"/>
              <w:jc w:val="center"/>
              <w:rPr>
                <w:b/>
                <w:bCs/>
                <w:color w:val="auto"/>
                <w:kern w:val="0"/>
                <w:sz w:val="21"/>
                <w:szCs w:val="21"/>
              </w:rPr>
            </w:pPr>
            <w:bookmarkStart w:id="32" w:name="_Hlk515912086"/>
            <w:r>
              <w:rPr>
                <w:b/>
                <w:bCs/>
                <w:color w:val="auto"/>
                <w:kern w:val="0"/>
                <w:sz w:val="21"/>
                <w:szCs w:val="21"/>
              </w:rPr>
              <w:t>序号</w:t>
            </w:r>
          </w:p>
        </w:tc>
        <w:tc>
          <w:tcPr>
            <w:tcW w:w="1741" w:type="pct"/>
            <w:shd w:val="clear" w:color="auto" w:fill="auto"/>
            <w:vAlign w:val="center"/>
          </w:tcPr>
          <w:p w14:paraId="181A7A38">
            <w:pPr>
              <w:widowControl/>
              <w:spacing w:line="240" w:lineRule="auto"/>
              <w:ind w:firstLine="0" w:firstLineChars="0"/>
              <w:jc w:val="center"/>
              <w:rPr>
                <w:b/>
                <w:bCs/>
                <w:color w:val="auto"/>
                <w:kern w:val="0"/>
                <w:sz w:val="21"/>
                <w:szCs w:val="21"/>
              </w:rPr>
            </w:pPr>
            <w:r>
              <w:rPr>
                <w:b/>
                <w:bCs/>
                <w:color w:val="auto"/>
                <w:kern w:val="0"/>
                <w:sz w:val="21"/>
                <w:szCs w:val="21"/>
              </w:rPr>
              <w:t>项目</w:t>
            </w:r>
          </w:p>
        </w:tc>
        <w:tc>
          <w:tcPr>
            <w:tcW w:w="503" w:type="pct"/>
            <w:shd w:val="clear" w:color="auto" w:fill="auto"/>
            <w:vAlign w:val="center"/>
          </w:tcPr>
          <w:p w14:paraId="4ACF7FD9">
            <w:pPr>
              <w:widowControl/>
              <w:spacing w:line="240" w:lineRule="auto"/>
              <w:ind w:firstLine="0" w:firstLineChars="0"/>
              <w:jc w:val="center"/>
              <w:rPr>
                <w:b/>
                <w:bCs/>
                <w:color w:val="auto"/>
                <w:kern w:val="0"/>
                <w:sz w:val="21"/>
                <w:szCs w:val="21"/>
              </w:rPr>
            </w:pPr>
            <w:r>
              <w:rPr>
                <w:b/>
                <w:bCs/>
                <w:color w:val="auto"/>
                <w:kern w:val="0"/>
                <w:sz w:val="21"/>
                <w:szCs w:val="21"/>
              </w:rPr>
              <w:t>Ⅰ类</w:t>
            </w:r>
          </w:p>
        </w:tc>
        <w:tc>
          <w:tcPr>
            <w:tcW w:w="503" w:type="pct"/>
            <w:shd w:val="clear" w:color="auto" w:fill="auto"/>
            <w:vAlign w:val="center"/>
          </w:tcPr>
          <w:p w14:paraId="156888F1">
            <w:pPr>
              <w:widowControl/>
              <w:spacing w:line="240" w:lineRule="auto"/>
              <w:ind w:firstLine="0" w:firstLineChars="0"/>
              <w:jc w:val="center"/>
              <w:rPr>
                <w:b/>
                <w:bCs/>
                <w:color w:val="auto"/>
                <w:kern w:val="0"/>
                <w:sz w:val="21"/>
                <w:szCs w:val="21"/>
              </w:rPr>
            </w:pPr>
            <w:r>
              <w:rPr>
                <w:b/>
                <w:bCs/>
                <w:color w:val="auto"/>
                <w:kern w:val="0"/>
                <w:sz w:val="21"/>
                <w:szCs w:val="21"/>
              </w:rPr>
              <w:t>Ⅱ类</w:t>
            </w:r>
          </w:p>
        </w:tc>
        <w:tc>
          <w:tcPr>
            <w:tcW w:w="473" w:type="pct"/>
            <w:shd w:val="clear" w:color="auto" w:fill="auto"/>
            <w:vAlign w:val="center"/>
          </w:tcPr>
          <w:p w14:paraId="665A489C">
            <w:pPr>
              <w:widowControl/>
              <w:spacing w:line="240" w:lineRule="auto"/>
              <w:ind w:firstLine="0" w:firstLineChars="0"/>
              <w:jc w:val="center"/>
              <w:rPr>
                <w:b/>
                <w:bCs/>
                <w:color w:val="auto"/>
                <w:kern w:val="0"/>
                <w:sz w:val="21"/>
                <w:szCs w:val="21"/>
              </w:rPr>
            </w:pPr>
            <w:r>
              <w:rPr>
                <w:b/>
                <w:bCs/>
                <w:color w:val="auto"/>
                <w:kern w:val="0"/>
                <w:sz w:val="21"/>
                <w:szCs w:val="21"/>
              </w:rPr>
              <w:t>Ⅲ类</w:t>
            </w:r>
          </w:p>
        </w:tc>
        <w:tc>
          <w:tcPr>
            <w:tcW w:w="855" w:type="pct"/>
            <w:shd w:val="clear" w:color="auto" w:fill="auto"/>
            <w:vAlign w:val="center"/>
          </w:tcPr>
          <w:p w14:paraId="30A07851">
            <w:pPr>
              <w:widowControl/>
              <w:spacing w:line="240" w:lineRule="auto"/>
              <w:ind w:firstLine="0" w:firstLineChars="0"/>
              <w:jc w:val="center"/>
              <w:rPr>
                <w:b/>
                <w:bCs/>
                <w:color w:val="auto"/>
                <w:kern w:val="0"/>
                <w:sz w:val="21"/>
                <w:szCs w:val="21"/>
              </w:rPr>
            </w:pPr>
            <w:r>
              <w:rPr>
                <w:b/>
                <w:bCs/>
                <w:color w:val="auto"/>
                <w:kern w:val="0"/>
                <w:sz w:val="21"/>
                <w:szCs w:val="21"/>
              </w:rPr>
              <w:t>Ⅳ类</w:t>
            </w:r>
          </w:p>
        </w:tc>
        <w:tc>
          <w:tcPr>
            <w:tcW w:w="570" w:type="pct"/>
            <w:shd w:val="clear" w:color="auto" w:fill="auto"/>
            <w:vAlign w:val="center"/>
          </w:tcPr>
          <w:p w14:paraId="173487A1">
            <w:pPr>
              <w:widowControl/>
              <w:spacing w:line="240" w:lineRule="auto"/>
              <w:ind w:firstLine="0" w:firstLineChars="0"/>
              <w:jc w:val="center"/>
              <w:rPr>
                <w:b/>
                <w:bCs/>
                <w:color w:val="auto"/>
                <w:kern w:val="0"/>
                <w:sz w:val="21"/>
                <w:szCs w:val="21"/>
              </w:rPr>
            </w:pPr>
            <w:r>
              <w:rPr>
                <w:b/>
                <w:bCs/>
                <w:color w:val="auto"/>
                <w:kern w:val="0"/>
                <w:sz w:val="21"/>
                <w:szCs w:val="21"/>
              </w:rPr>
              <w:t>V类</w:t>
            </w:r>
          </w:p>
        </w:tc>
      </w:tr>
      <w:tr w14:paraId="242B7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72" w:hRule="atLeast"/>
        </w:trPr>
        <w:tc>
          <w:tcPr>
            <w:tcW w:w="352" w:type="pct"/>
            <w:shd w:val="clear" w:color="auto" w:fill="auto"/>
            <w:vAlign w:val="center"/>
          </w:tcPr>
          <w:p w14:paraId="2BFDAB2A">
            <w:pPr>
              <w:widowControl/>
              <w:spacing w:line="240" w:lineRule="auto"/>
              <w:ind w:firstLine="0" w:firstLineChars="0"/>
              <w:jc w:val="center"/>
              <w:rPr>
                <w:color w:val="auto"/>
                <w:kern w:val="0"/>
                <w:sz w:val="21"/>
                <w:szCs w:val="21"/>
              </w:rPr>
            </w:pPr>
            <w:r>
              <w:rPr>
                <w:color w:val="auto"/>
                <w:kern w:val="0"/>
                <w:sz w:val="21"/>
                <w:szCs w:val="21"/>
              </w:rPr>
              <w:t>1</w:t>
            </w:r>
          </w:p>
        </w:tc>
        <w:tc>
          <w:tcPr>
            <w:tcW w:w="1741" w:type="pct"/>
            <w:shd w:val="clear" w:color="auto" w:fill="auto"/>
            <w:vAlign w:val="center"/>
          </w:tcPr>
          <w:p w14:paraId="3D9C4106">
            <w:pPr>
              <w:widowControl/>
              <w:spacing w:line="240" w:lineRule="auto"/>
              <w:ind w:firstLine="0" w:firstLineChars="0"/>
              <w:jc w:val="center"/>
              <w:rPr>
                <w:color w:val="auto"/>
                <w:kern w:val="0"/>
                <w:sz w:val="21"/>
                <w:szCs w:val="21"/>
              </w:rPr>
            </w:pPr>
            <w:r>
              <w:rPr>
                <w:color w:val="auto"/>
                <w:kern w:val="0"/>
                <w:sz w:val="21"/>
                <w:szCs w:val="21"/>
              </w:rPr>
              <w:t>pH</w:t>
            </w:r>
          </w:p>
        </w:tc>
        <w:tc>
          <w:tcPr>
            <w:tcW w:w="1480" w:type="pct"/>
            <w:gridSpan w:val="3"/>
            <w:shd w:val="clear" w:color="auto" w:fill="auto"/>
            <w:vAlign w:val="center"/>
          </w:tcPr>
          <w:p w14:paraId="2E776A0F">
            <w:pPr>
              <w:widowControl/>
              <w:spacing w:line="240" w:lineRule="auto"/>
              <w:ind w:firstLine="0" w:firstLineChars="0"/>
              <w:jc w:val="center"/>
              <w:rPr>
                <w:color w:val="auto"/>
                <w:kern w:val="0"/>
                <w:sz w:val="21"/>
                <w:szCs w:val="21"/>
              </w:rPr>
            </w:pPr>
            <w:r>
              <w:rPr>
                <w:color w:val="auto"/>
                <w:kern w:val="0"/>
                <w:sz w:val="21"/>
                <w:szCs w:val="21"/>
              </w:rPr>
              <w:t>6.5~8.5</w:t>
            </w:r>
          </w:p>
        </w:tc>
        <w:tc>
          <w:tcPr>
            <w:tcW w:w="855" w:type="pct"/>
            <w:shd w:val="clear" w:color="auto" w:fill="auto"/>
            <w:vAlign w:val="center"/>
          </w:tcPr>
          <w:p w14:paraId="362C83FD">
            <w:pPr>
              <w:widowControl/>
              <w:spacing w:line="240" w:lineRule="auto"/>
              <w:ind w:firstLine="0" w:firstLineChars="0"/>
              <w:jc w:val="center"/>
              <w:rPr>
                <w:color w:val="auto"/>
                <w:kern w:val="0"/>
                <w:sz w:val="21"/>
                <w:szCs w:val="21"/>
              </w:rPr>
            </w:pPr>
            <w:r>
              <w:rPr>
                <w:color w:val="auto"/>
                <w:kern w:val="0"/>
                <w:sz w:val="21"/>
                <w:szCs w:val="21"/>
              </w:rPr>
              <w:t>5.5~6.5</w:t>
            </w:r>
            <w:r>
              <w:rPr>
                <w:rFonts w:hint="eastAsia"/>
                <w:color w:val="auto"/>
                <w:kern w:val="0"/>
                <w:sz w:val="21"/>
                <w:szCs w:val="21"/>
              </w:rPr>
              <w:t>,</w:t>
            </w:r>
            <w:r>
              <w:rPr>
                <w:color w:val="auto"/>
                <w:kern w:val="0"/>
                <w:sz w:val="21"/>
                <w:szCs w:val="21"/>
              </w:rPr>
              <w:t>8.5~9</w:t>
            </w:r>
          </w:p>
        </w:tc>
        <w:tc>
          <w:tcPr>
            <w:tcW w:w="570" w:type="pct"/>
            <w:shd w:val="clear" w:color="auto" w:fill="auto"/>
            <w:vAlign w:val="center"/>
          </w:tcPr>
          <w:p w14:paraId="64D03FC6">
            <w:pPr>
              <w:widowControl/>
              <w:spacing w:line="240" w:lineRule="auto"/>
              <w:ind w:firstLine="0" w:firstLineChars="0"/>
              <w:jc w:val="center"/>
              <w:rPr>
                <w:color w:val="auto"/>
                <w:kern w:val="0"/>
                <w:sz w:val="21"/>
                <w:szCs w:val="21"/>
              </w:rPr>
            </w:pPr>
            <w:r>
              <w:rPr>
                <w:color w:val="auto"/>
                <w:kern w:val="0"/>
                <w:sz w:val="21"/>
                <w:szCs w:val="21"/>
              </w:rPr>
              <w:t>&lt;5.5</w:t>
            </w:r>
            <w:r>
              <w:rPr>
                <w:rFonts w:hint="eastAsia"/>
                <w:color w:val="auto"/>
                <w:kern w:val="0"/>
                <w:sz w:val="21"/>
                <w:szCs w:val="21"/>
              </w:rPr>
              <w:t>,</w:t>
            </w:r>
            <w:r>
              <w:rPr>
                <w:color w:val="auto"/>
                <w:kern w:val="0"/>
                <w:sz w:val="21"/>
                <w:szCs w:val="21"/>
              </w:rPr>
              <w:t>&gt;9</w:t>
            </w:r>
          </w:p>
        </w:tc>
      </w:tr>
      <w:tr w14:paraId="66E51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32A6A4FC">
            <w:pPr>
              <w:widowControl/>
              <w:spacing w:line="240" w:lineRule="auto"/>
              <w:ind w:firstLine="0" w:firstLineChars="0"/>
              <w:jc w:val="center"/>
              <w:rPr>
                <w:color w:val="auto"/>
                <w:kern w:val="0"/>
                <w:sz w:val="21"/>
                <w:szCs w:val="21"/>
              </w:rPr>
            </w:pPr>
            <w:r>
              <w:rPr>
                <w:color w:val="auto"/>
                <w:kern w:val="0"/>
                <w:sz w:val="21"/>
                <w:szCs w:val="21"/>
              </w:rPr>
              <w:t>2</w:t>
            </w:r>
          </w:p>
        </w:tc>
        <w:tc>
          <w:tcPr>
            <w:tcW w:w="1741" w:type="pct"/>
            <w:shd w:val="clear" w:color="auto" w:fill="auto"/>
            <w:vAlign w:val="center"/>
          </w:tcPr>
          <w:p w14:paraId="3E14385B">
            <w:pPr>
              <w:widowControl/>
              <w:spacing w:line="240" w:lineRule="auto"/>
              <w:ind w:firstLine="0" w:firstLineChars="0"/>
              <w:jc w:val="center"/>
              <w:rPr>
                <w:color w:val="auto"/>
                <w:kern w:val="0"/>
                <w:sz w:val="21"/>
                <w:szCs w:val="21"/>
              </w:rPr>
            </w:pPr>
            <w:r>
              <w:rPr>
                <w:color w:val="auto"/>
                <w:kern w:val="0"/>
                <w:sz w:val="21"/>
                <w:szCs w:val="21"/>
              </w:rPr>
              <w:t>耗氧量</w:t>
            </w:r>
            <w:r>
              <w:rPr>
                <w:b/>
                <w:color w:val="auto"/>
                <w:kern w:val="0"/>
                <w:sz w:val="21"/>
                <w:szCs w:val="21"/>
                <w:vertAlign w:val="superscript"/>
              </w:rPr>
              <w:t>*</w:t>
            </w:r>
            <w:r>
              <w:rPr>
                <w:color w:val="auto"/>
                <w:kern w:val="0"/>
                <w:sz w:val="21"/>
                <w:szCs w:val="21"/>
              </w:rPr>
              <w:t>（COD</w:t>
            </w:r>
            <w:r>
              <w:rPr>
                <w:color w:val="auto"/>
                <w:kern w:val="0"/>
                <w:sz w:val="21"/>
                <w:szCs w:val="21"/>
                <w:vertAlign w:val="subscript"/>
              </w:rPr>
              <w:t>Mn</w:t>
            </w:r>
            <w:r>
              <w:rPr>
                <w:color w:val="auto"/>
                <w:kern w:val="0"/>
                <w:sz w:val="21"/>
                <w:szCs w:val="21"/>
              </w:rPr>
              <w:t>法，以O</w:t>
            </w:r>
            <w:r>
              <w:rPr>
                <w:color w:val="auto"/>
                <w:kern w:val="0"/>
                <w:sz w:val="21"/>
                <w:szCs w:val="21"/>
                <w:vertAlign w:val="subscript"/>
              </w:rPr>
              <w:t>2</w:t>
            </w:r>
            <w:r>
              <w:rPr>
                <w:color w:val="auto"/>
                <w:kern w:val="0"/>
                <w:sz w:val="21"/>
                <w:szCs w:val="21"/>
              </w:rPr>
              <w:t>计）</w:t>
            </w:r>
          </w:p>
        </w:tc>
        <w:tc>
          <w:tcPr>
            <w:tcW w:w="503" w:type="pct"/>
            <w:shd w:val="clear" w:color="auto" w:fill="auto"/>
            <w:vAlign w:val="center"/>
          </w:tcPr>
          <w:p w14:paraId="28C2C89C">
            <w:pPr>
              <w:widowControl/>
              <w:spacing w:line="240" w:lineRule="auto"/>
              <w:ind w:firstLine="0" w:firstLineChars="0"/>
              <w:jc w:val="center"/>
              <w:rPr>
                <w:color w:val="auto"/>
                <w:kern w:val="0"/>
                <w:sz w:val="21"/>
                <w:szCs w:val="21"/>
              </w:rPr>
            </w:pPr>
            <w:r>
              <w:rPr>
                <w:color w:val="auto"/>
                <w:kern w:val="0"/>
                <w:sz w:val="21"/>
                <w:szCs w:val="21"/>
              </w:rPr>
              <w:t>≤1.0</w:t>
            </w:r>
          </w:p>
        </w:tc>
        <w:tc>
          <w:tcPr>
            <w:tcW w:w="503" w:type="pct"/>
            <w:shd w:val="clear" w:color="auto" w:fill="auto"/>
            <w:vAlign w:val="center"/>
          </w:tcPr>
          <w:p w14:paraId="5396E26F">
            <w:pPr>
              <w:widowControl/>
              <w:spacing w:line="240" w:lineRule="auto"/>
              <w:ind w:firstLine="0" w:firstLineChars="0"/>
              <w:jc w:val="center"/>
              <w:rPr>
                <w:color w:val="auto"/>
                <w:kern w:val="0"/>
                <w:sz w:val="21"/>
                <w:szCs w:val="21"/>
              </w:rPr>
            </w:pPr>
            <w:r>
              <w:rPr>
                <w:color w:val="auto"/>
                <w:kern w:val="0"/>
                <w:sz w:val="21"/>
                <w:szCs w:val="21"/>
              </w:rPr>
              <w:t>≤2.0</w:t>
            </w:r>
          </w:p>
        </w:tc>
        <w:tc>
          <w:tcPr>
            <w:tcW w:w="473" w:type="pct"/>
            <w:shd w:val="clear" w:color="auto" w:fill="auto"/>
            <w:vAlign w:val="center"/>
          </w:tcPr>
          <w:p w14:paraId="5E79AD64">
            <w:pPr>
              <w:widowControl/>
              <w:spacing w:line="240" w:lineRule="auto"/>
              <w:ind w:firstLine="0" w:firstLineChars="0"/>
              <w:jc w:val="center"/>
              <w:rPr>
                <w:color w:val="auto"/>
                <w:kern w:val="0"/>
                <w:sz w:val="21"/>
                <w:szCs w:val="21"/>
              </w:rPr>
            </w:pPr>
            <w:r>
              <w:rPr>
                <w:color w:val="auto"/>
                <w:kern w:val="0"/>
                <w:sz w:val="21"/>
                <w:szCs w:val="21"/>
              </w:rPr>
              <w:t>≤3.0</w:t>
            </w:r>
          </w:p>
        </w:tc>
        <w:tc>
          <w:tcPr>
            <w:tcW w:w="855" w:type="pct"/>
            <w:shd w:val="clear" w:color="auto" w:fill="auto"/>
            <w:vAlign w:val="center"/>
          </w:tcPr>
          <w:p w14:paraId="7CFDB2D6">
            <w:pPr>
              <w:widowControl/>
              <w:spacing w:line="240" w:lineRule="auto"/>
              <w:ind w:firstLine="0" w:firstLineChars="0"/>
              <w:jc w:val="center"/>
              <w:rPr>
                <w:color w:val="auto"/>
                <w:kern w:val="0"/>
                <w:sz w:val="21"/>
                <w:szCs w:val="21"/>
              </w:rPr>
            </w:pPr>
            <w:r>
              <w:rPr>
                <w:color w:val="auto"/>
                <w:kern w:val="0"/>
                <w:sz w:val="21"/>
                <w:szCs w:val="21"/>
              </w:rPr>
              <w:t>≤10</w:t>
            </w:r>
          </w:p>
        </w:tc>
        <w:tc>
          <w:tcPr>
            <w:tcW w:w="570" w:type="pct"/>
            <w:shd w:val="clear" w:color="auto" w:fill="auto"/>
            <w:vAlign w:val="center"/>
          </w:tcPr>
          <w:p w14:paraId="2BC2AFF5">
            <w:pPr>
              <w:widowControl/>
              <w:spacing w:line="240" w:lineRule="auto"/>
              <w:ind w:firstLine="0" w:firstLineChars="0"/>
              <w:jc w:val="center"/>
              <w:rPr>
                <w:color w:val="auto"/>
                <w:kern w:val="0"/>
                <w:sz w:val="21"/>
                <w:szCs w:val="21"/>
              </w:rPr>
            </w:pPr>
            <w:r>
              <w:rPr>
                <w:color w:val="auto"/>
                <w:kern w:val="0"/>
                <w:sz w:val="21"/>
                <w:szCs w:val="21"/>
              </w:rPr>
              <w:t>&gt;10</w:t>
            </w:r>
          </w:p>
        </w:tc>
      </w:tr>
      <w:tr w14:paraId="14B8D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7E0A793E">
            <w:pPr>
              <w:widowControl/>
              <w:spacing w:line="240" w:lineRule="auto"/>
              <w:ind w:firstLine="0" w:firstLineChars="0"/>
              <w:jc w:val="center"/>
              <w:rPr>
                <w:color w:val="auto"/>
                <w:kern w:val="0"/>
                <w:sz w:val="21"/>
                <w:szCs w:val="21"/>
              </w:rPr>
            </w:pPr>
            <w:r>
              <w:rPr>
                <w:color w:val="auto"/>
                <w:kern w:val="0"/>
                <w:sz w:val="21"/>
                <w:szCs w:val="21"/>
              </w:rPr>
              <w:t>3</w:t>
            </w:r>
          </w:p>
        </w:tc>
        <w:tc>
          <w:tcPr>
            <w:tcW w:w="1741" w:type="pct"/>
            <w:shd w:val="clear" w:color="auto" w:fill="auto"/>
            <w:vAlign w:val="center"/>
          </w:tcPr>
          <w:p w14:paraId="72DA40C6">
            <w:pPr>
              <w:widowControl/>
              <w:spacing w:line="240" w:lineRule="auto"/>
              <w:ind w:firstLine="0" w:firstLineChars="0"/>
              <w:jc w:val="center"/>
              <w:rPr>
                <w:color w:val="auto"/>
                <w:kern w:val="0"/>
                <w:sz w:val="21"/>
                <w:szCs w:val="21"/>
              </w:rPr>
            </w:pPr>
            <w:r>
              <w:rPr>
                <w:color w:val="auto"/>
                <w:kern w:val="0"/>
                <w:sz w:val="21"/>
                <w:szCs w:val="21"/>
              </w:rPr>
              <w:t>氨氮</w:t>
            </w:r>
            <w:r>
              <w:rPr>
                <w:rFonts w:hint="eastAsia"/>
                <w:color w:val="auto"/>
                <w:kern w:val="0"/>
                <w:sz w:val="21"/>
                <w:szCs w:val="21"/>
              </w:rPr>
              <w:t>（</w:t>
            </w:r>
            <w:r>
              <w:rPr>
                <w:color w:val="auto"/>
                <w:kern w:val="0"/>
                <w:sz w:val="21"/>
                <w:szCs w:val="21"/>
              </w:rPr>
              <w:t>NH</w:t>
            </w:r>
            <w:r>
              <w:rPr>
                <w:color w:val="auto"/>
                <w:kern w:val="0"/>
                <w:sz w:val="21"/>
                <w:szCs w:val="21"/>
                <w:vertAlign w:val="subscript"/>
              </w:rPr>
              <w:t>4</w:t>
            </w:r>
            <w:r>
              <w:rPr>
                <w:rFonts w:hint="eastAsia"/>
                <w:color w:val="auto"/>
                <w:kern w:val="0"/>
                <w:sz w:val="21"/>
                <w:szCs w:val="21"/>
                <w:vertAlign w:val="subscript"/>
              </w:rPr>
              <w:t>）</w:t>
            </w:r>
          </w:p>
        </w:tc>
        <w:tc>
          <w:tcPr>
            <w:tcW w:w="503" w:type="pct"/>
            <w:shd w:val="clear" w:color="auto" w:fill="auto"/>
            <w:vAlign w:val="center"/>
          </w:tcPr>
          <w:p w14:paraId="39F3D282">
            <w:pPr>
              <w:widowControl/>
              <w:spacing w:line="240" w:lineRule="auto"/>
              <w:ind w:firstLine="0" w:firstLineChars="0"/>
              <w:jc w:val="center"/>
              <w:rPr>
                <w:color w:val="auto"/>
                <w:kern w:val="0"/>
                <w:sz w:val="21"/>
                <w:szCs w:val="21"/>
              </w:rPr>
            </w:pPr>
            <w:r>
              <w:rPr>
                <w:color w:val="auto"/>
                <w:kern w:val="0"/>
                <w:sz w:val="21"/>
                <w:szCs w:val="21"/>
              </w:rPr>
              <w:t>≤0.02</w:t>
            </w:r>
          </w:p>
        </w:tc>
        <w:tc>
          <w:tcPr>
            <w:tcW w:w="503" w:type="pct"/>
            <w:shd w:val="clear" w:color="auto" w:fill="auto"/>
            <w:vAlign w:val="center"/>
          </w:tcPr>
          <w:p w14:paraId="59DF9254">
            <w:pPr>
              <w:widowControl/>
              <w:spacing w:line="240" w:lineRule="auto"/>
              <w:ind w:firstLine="0" w:firstLineChars="0"/>
              <w:jc w:val="center"/>
              <w:rPr>
                <w:color w:val="auto"/>
                <w:kern w:val="0"/>
                <w:sz w:val="21"/>
                <w:szCs w:val="21"/>
              </w:rPr>
            </w:pPr>
            <w:r>
              <w:rPr>
                <w:color w:val="auto"/>
                <w:kern w:val="0"/>
                <w:sz w:val="21"/>
                <w:szCs w:val="21"/>
              </w:rPr>
              <w:t>≤0.1</w:t>
            </w:r>
          </w:p>
        </w:tc>
        <w:tc>
          <w:tcPr>
            <w:tcW w:w="473" w:type="pct"/>
            <w:shd w:val="clear" w:color="auto" w:fill="auto"/>
            <w:vAlign w:val="center"/>
          </w:tcPr>
          <w:p w14:paraId="70FD76D5">
            <w:pPr>
              <w:widowControl/>
              <w:spacing w:line="240" w:lineRule="auto"/>
              <w:ind w:firstLine="0" w:firstLineChars="0"/>
              <w:jc w:val="center"/>
              <w:rPr>
                <w:color w:val="auto"/>
                <w:kern w:val="0"/>
                <w:sz w:val="21"/>
                <w:szCs w:val="21"/>
              </w:rPr>
            </w:pPr>
            <w:r>
              <w:rPr>
                <w:color w:val="auto"/>
                <w:kern w:val="0"/>
                <w:sz w:val="21"/>
                <w:szCs w:val="21"/>
              </w:rPr>
              <w:t>≤0.5</w:t>
            </w:r>
          </w:p>
        </w:tc>
        <w:tc>
          <w:tcPr>
            <w:tcW w:w="855" w:type="pct"/>
            <w:shd w:val="clear" w:color="auto" w:fill="auto"/>
            <w:vAlign w:val="center"/>
          </w:tcPr>
          <w:p w14:paraId="46C4ACCF">
            <w:pPr>
              <w:widowControl/>
              <w:spacing w:line="240" w:lineRule="auto"/>
              <w:ind w:firstLine="0" w:firstLineChars="0"/>
              <w:jc w:val="center"/>
              <w:rPr>
                <w:color w:val="auto"/>
                <w:kern w:val="0"/>
                <w:sz w:val="21"/>
                <w:szCs w:val="21"/>
              </w:rPr>
            </w:pPr>
            <w:r>
              <w:rPr>
                <w:color w:val="auto"/>
                <w:kern w:val="0"/>
                <w:sz w:val="21"/>
                <w:szCs w:val="21"/>
              </w:rPr>
              <w:t>≤1.5</w:t>
            </w:r>
          </w:p>
        </w:tc>
        <w:tc>
          <w:tcPr>
            <w:tcW w:w="570" w:type="pct"/>
            <w:shd w:val="clear" w:color="auto" w:fill="auto"/>
            <w:vAlign w:val="center"/>
          </w:tcPr>
          <w:p w14:paraId="02265C8A">
            <w:pPr>
              <w:widowControl/>
              <w:spacing w:line="240" w:lineRule="auto"/>
              <w:ind w:firstLine="0" w:firstLineChars="0"/>
              <w:jc w:val="center"/>
              <w:rPr>
                <w:color w:val="auto"/>
                <w:kern w:val="0"/>
                <w:sz w:val="21"/>
                <w:szCs w:val="21"/>
              </w:rPr>
            </w:pPr>
            <w:r>
              <w:rPr>
                <w:color w:val="auto"/>
                <w:kern w:val="0"/>
                <w:sz w:val="21"/>
                <w:szCs w:val="21"/>
              </w:rPr>
              <w:t>&gt;1.5</w:t>
            </w:r>
          </w:p>
        </w:tc>
      </w:tr>
      <w:tr w14:paraId="52E32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131EAF8B">
            <w:pPr>
              <w:widowControl/>
              <w:spacing w:line="240" w:lineRule="auto"/>
              <w:ind w:firstLine="0" w:firstLineChars="0"/>
              <w:jc w:val="center"/>
              <w:rPr>
                <w:color w:val="auto"/>
                <w:kern w:val="0"/>
                <w:sz w:val="21"/>
                <w:szCs w:val="21"/>
              </w:rPr>
            </w:pPr>
            <w:r>
              <w:rPr>
                <w:color w:val="auto"/>
                <w:kern w:val="0"/>
                <w:sz w:val="21"/>
                <w:szCs w:val="21"/>
              </w:rPr>
              <w:t>4</w:t>
            </w:r>
          </w:p>
        </w:tc>
        <w:tc>
          <w:tcPr>
            <w:tcW w:w="1741" w:type="pct"/>
            <w:shd w:val="clear" w:color="auto" w:fill="auto"/>
            <w:vAlign w:val="center"/>
          </w:tcPr>
          <w:p w14:paraId="1B412DDB">
            <w:pPr>
              <w:widowControl/>
              <w:spacing w:line="240" w:lineRule="auto"/>
              <w:ind w:firstLine="0" w:firstLineChars="0"/>
              <w:jc w:val="center"/>
              <w:rPr>
                <w:color w:val="auto"/>
                <w:kern w:val="0"/>
                <w:sz w:val="21"/>
                <w:szCs w:val="21"/>
              </w:rPr>
            </w:pPr>
            <w:r>
              <w:rPr>
                <w:color w:val="auto"/>
                <w:kern w:val="0"/>
                <w:sz w:val="21"/>
                <w:szCs w:val="21"/>
              </w:rPr>
              <w:t>硝酸盐</w:t>
            </w:r>
            <w:r>
              <w:rPr>
                <w:rFonts w:hint="eastAsia"/>
                <w:color w:val="auto"/>
                <w:kern w:val="0"/>
                <w:sz w:val="21"/>
                <w:szCs w:val="21"/>
              </w:rPr>
              <w:t>（</w:t>
            </w:r>
            <w:r>
              <w:rPr>
                <w:color w:val="auto"/>
                <w:kern w:val="0"/>
                <w:sz w:val="21"/>
                <w:szCs w:val="21"/>
              </w:rPr>
              <w:t>以N计</w:t>
            </w:r>
            <w:r>
              <w:rPr>
                <w:rFonts w:hint="eastAsia"/>
                <w:color w:val="auto"/>
                <w:kern w:val="0"/>
                <w:sz w:val="21"/>
                <w:szCs w:val="21"/>
              </w:rPr>
              <w:t>）</w:t>
            </w:r>
          </w:p>
        </w:tc>
        <w:tc>
          <w:tcPr>
            <w:tcW w:w="503" w:type="pct"/>
            <w:shd w:val="clear" w:color="auto" w:fill="auto"/>
            <w:vAlign w:val="center"/>
          </w:tcPr>
          <w:p w14:paraId="2E88F38A">
            <w:pPr>
              <w:widowControl/>
              <w:spacing w:line="240" w:lineRule="auto"/>
              <w:ind w:firstLine="0" w:firstLineChars="0"/>
              <w:jc w:val="center"/>
              <w:rPr>
                <w:color w:val="auto"/>
                <w:kern w:val="0"/>
                <w:sz w:val="21"/>
                <w:szCs w:val="21"/>
              </w:rPr>
            </w:pPr>
            <w:r>
              <w:rPr>
                <w:color w:val="auto"/>
                <w:kern w:val="0"/>
                <w:sz w:val="21"/>
                <w:szCs w:val="21"/>
              </w:rPr>
              <w:t>≤2.0</w:t>
            </w:r>
          </w:p>
        </w:tc>
        <w:tc>
          <w:tcPr>
            <w:tcW w:w="503" w:type="pct"/>
            <w:shd w:val="clear" w:color="auto" w:fill="auto"/>
            <w:vAlign w:val="center"/>
          </w:tcPr>
          <w:p w14:paraId="56F3CBD3">
            <w:pPr>
              <w:widowControl/>
              <w:spacing w:line="240" w:lineRule="auto"/>
              <w:ind w:firstLine="0" w:firstLineChars="0"/>
              <w:jc w:val="center"/>
              <w:rPr>
                <w:color w:val="auto"/>
                <w:kern w:val="0"/>
                <w:sz w:val="21"/>
                <w:szCs w:val="21"/>
              </w:rPr>
            </w:pPr>
            <w:r>
              <w:rPr>
                <w:color w:val="auto"/>
                <w:kern w:val="0"/>
                <w:sz w:val="21"/>
                <w:szCs w:val="21"/>
              </w:rPr>
              <w:t>≤5.0</w:t>
            </w:r>
          </w:p>
        </w:tc>
        <w:tc>
          <w:tcPr>
            <w:tcW w:w="473" w:type="pct"/>
            <w:shd w:val="clear" w:color="auto" w:fill="auto"/>
            <w:vAlign w:val="center"/>
          </w:tcPr>
          <w:p w14:paraId="61DF3D8F">
            <w:pPr>
              <w:widowControl/>
              <w:spacing w:line="240" w:lineRule="auto"/>
              <w:ind w:firstLine="0" w:firstLineChars="0"/>
              <w:jc w:val="center"/>
              <w:rPr>
                <w:color w:val="auto"/>
                <w:kern w:val="0"/>
                <w:sz w:val="21"/>
                <w:szCs w:val="21"/>
              </w:rPr>
            </w:pPr>
            <w:r>
              <w:rPr>
                <w:color w:val="auto"/>
                <w:kern w:val="0"/>
                <w:sz w:val="21"/>
                <w:szCs w:val="21"/>
              </w:rPr>
              <w:t>≤20</w:t>
            </w:r>
          </w:p>
        </w:tc>
        <w:tc>
          <w:tcPr>
            <w:tcW w:w="855" w:type="pct"/>
            <w:shd w:val="clear" w:color="auto" w:fill="auto"/>
            <w:vAlign w:val="center"/>
          </w:tcPr>
          <w:p w14:paraId="4C4983F8">
            <w:pPr>
              <w:widowControl/>
              <w:spacing w:line="240" w:lineRule="auto"/>
              <w:ind w:firstLine="0" w:firstLineChars="0"/>
              <w:jc w:val="center"/>
              <w:rPr>
                <w:color w:val="auto"/>
                <w:kern w:val="0"/>
                <w:sz w:val="21"/>
                <w:szCs w:val="21"/>
              </w:rPr>
            </w:pPr>
            <w:r>
              <w:rPr>
                <w:color w:val="auto"/>
                <w:kern w:val="0"/>
                <w:sz w:val="21"/>
                <w:szCs w:val="21"/>
              </w:rPr>
              <w:t>≤30</w:t>
            </w:r>
          </w:p>
        </w:tc>
        <w:tc>
          <w:tcPr>
            <w:tcW w:w="570" w:type="pct"/>
            <w:shd w:val="clear" w:color="auto" w:fill="auto"/>
            <w:vAlign w:val="center"/>
          </w:tcPr>
          <w:p w14:paraId="3B58A5F3">
            <w:pPr>
              <w:widowControl/>
              <w:spacing w:line="240" w:lineRule="auto"/>
              <w:ind w:firstLine="0" w:firstLineChars="0"/>
              <w:jc w:val="center"/>
              <w:rPr>
                <w:color w:val="auto"/>
                <w:kern w:val="0"/>
                <w:sz w:val="21"/>
                <w:szCs w:val="21"/>
              </w:rPr>
            </w:pPr>
            <w:r>
              <w:rPr>
                <w:color w:val="auto"/>
                <w:kern w:val="0"/>
                <w:sz w:val="21"/>
                <w:szCs w:val="21"/>
              </w:rPr>
              <w:t>&gt;30</w:t>
            </w:r>
          </w:p>
        </w:tc>
      </w:tr>
      <w:tr w14:paraId="24C81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6E887373">
            <w:pPr>
              <w:widowControl/>
              <w:spacing w:line="240" w:lineRule="auto"/>
              <w:ind w:firstLine="0" w:firstLineChars="0"/>
              <w:jc w:val="center"/>
              <w:rPr>
                <w:color w:val="auto"/>
                <w:kern w:val="0"/>
                <w:sz w:val="21"/>
                <w:szCs w:val="21"/>
              </w:rPr>
            </w:pPr>
            <w:r>
              <w:rPr>
                <w:color w:val="auto"/>
                <w:kern w:val="0"/>
                <w:sz w:val="21"/>
                <w:szCs w:val="21"/>
              </w:rPr>
              <w:t>5</w:t>
            </w:r>
          </w:p>
        </w:tc>
        <w:tc>
          <w:tcPr>
            <w:tcW w:w="1741" w:type="pct"/>
            <w:shd w:val="clear" w:color="auto" w:fill="auto"/>
            <w:vAlign w:val="center"/>
          </w:tcPr>
          <w:p w14:paraId="03C20814">
            <w:pPr>
              <w:widowControl/>
              <w:spacing w:line="240" w:lineRule="auto"/>
              <w:ind w:firstLine="0" w:firstLineChars="0"/>
              <w:jc w:val="center"/>
              <w:rPr>
                <w:color w:val="auto"/>
                <w:kern w:val="0"/>
                <w:sz w:val="21"/>
                <w:szCs w:val="21"/>
              </w:rPr>
            </w:pPr>
            <w:r>
              <w:rPr>
                <w:color w:val="auto"/>
                <w:kern w:val="0"/>
                <w:sz w:val="21"/>
                <w:szCs w:val="21"/>
              </w:rPr>
              <w:t>亚硝酸盐</w:t>
            </w:r>
            <w:r>
              <w:rPr>
                <w:rFonts w:hint="eastAsia"/>
                <w:color w:val="auto"/>
                <w:kern w:val="0"/>
                <w:sz w:val="21"/>
                <w:szCs w:val="21"/>
              </w:rPr>
              <w:t>（</w:t>
            </w:r>
            <w:r>
              <w:rPr>
                <w:color w:val="auto"/>
                <w:kern w:val="0"/>
                <w:sz w:val="21"/>
                <w:szCs w:val="21"/>
              </w:rPr>
              <w:t>以N计</w:t>
            </w:r>
            <w:r>
              <w:rPr>
                <w:rFonts w:hint="eastAsia"/>
                <w:color w:val="auto"/>
                <w:kern w:val="0"/>
                <w:sz w:val="21"/>
                <w:szCs w:val="21"/>
              </w:rPr>
              <w:t>）</w:t>
            </w:r>
          </w:p>
        </w:tc>
        <w:tc>
          <w:tcPr>
            <w:tcW w:w="503" w:type="pct"/>
            <w:shd w:val="clear" w:color="auto" w:fill="auto"/>
            <w:vAlign w:val="center"/>
          </w:tcPr>
          <w:p w14:paraId="45BCA023">
            <w:pPr>
              <w:widowControl/>
              <w:spacing w:line="240" w:lineRule="auto"/>
              <w:ind w:firstLine="0" w:firstLineChars="0"/>
              <w:jc w:val="center"/>
              <w:rPr>
                <w:color w:val="auto"/>
                <w:kern w:val="0"/>
                <w:sz w:val="21"/>
                <w:szCs w:val="21"/>
              </w:rPr>
            </w:pPr>
            <w:r>
              <w:rPr>
                <w:color w:val="auto"/>
                <w:kern w:val="0"/>
                <w:sz w:val="21"/>
                <w:szCs w:val="21"/>
              </w:rPr>
              <w:t>≤0.01</w:t>
            </w:r>
          </w:p>
        </w:tc>
        <w:tc>
          <w:tcPr>
            <w:tcW w:w="503" w:type="pct"/>
            <w:shd w:val="clear" w:color="auto" w:fill="auto"/>
            <w:vAlign w:val="center"/>
          </w:tcPr>
          <w:p w14:paraId="70583362">
            <w:pPr>
              <w:widowControl/>
              <w:spacing w:line="240" w:lineRule="auto"/>
              <w:ind w:firstLine="0" w:firstLineChars="0"/>
              <w:jc w:val="center"/>
              <w:rPr>
                <w:color w:val="auto"/>
                <w:kern w:val="0"/>
                <w:sz w:val="21"/>
                <w:szCs w:val="21"/>
              </w:rPr>
            </w:pPr>
            <w:r>
              <w:rPr>
                <w:color w:val="auto"/>
                <w:kern w:val="0"/>
                <w:sz w:val="21"/>
                <w:szCs w:val="21"/>
              </w:rPr>
              <w:t>≤0.01</w:t>
            </w:r>
          </w:p>
        </w:tc>
        <w:tc>
          <w:tcPr>
            <w:tcW w:w="473" w:type="pct"/>
            <w:shd w:val="clear" w:color="auto" w:fill="auto"/>
            <w:vAlign w:val="center"/>
          </w:tcPr>
          <w:p w14:paraId="02B81A2F">
            <w:pPr>
              <w:widowControl/>
              <w:spacing w:line="240" w:lineRule="auto"/>
              <w:ind w:firstLine="0" w:firstLineChars="0"/>
              <w:jc w:val="center"/>
              <w:rPr>
                <w:color w:val="auto"/>
                <w:kern w:val="0"/>
                <w:sz w:val="21"/>
                <w:szCs w:val="21"/>
              </w:rPr>
            </w:pPr>
            <w:r>
              <w:rPr>
                <w:color w:val="auto"/>
                <w:kern w:val="0"/>
                <w:sz w:val="21"/>
                <w:szCs w:val="21"/>
              </w:rPr>
              <w:t>≤1</w:t>
            </w:r>
          </w:p>
        </w:tc>
        <w:tc>
          <w:tcPr>
            <w:tcW w:w="855" w:type="pct"/>
            <w:shd w:val="clear" w:color="auto" w:fill="auto"/>
            <w:vAlign w:val="center"/>
          </w:tcPr>
          <w:p w14:paraId="6BD13FFC">
            <w:pPr>
              <w:widowControl/>
              <w:spacing w:line="240" w:lineRule="auto"/>
              <w:ind w:firstLine="0" w:firstLineChars="0"/>
              <w:jc w:val="center"/>
              <w:rPr>
                <w:color w:val="auto"/>
                <w:kern w:val="0"/>
                <w:sz w:val="21"/>
                <w:szCs w:val="21"/>
              </w:rPr>
            </w:pPr>
            <w:r>
              <w:rPr>
                <w:color w:val="auto"/>
                <w:kern w:val="0"/>
                <w:sz w:val="21"/>
                <w:szCs w:val="21"/>
              </w:rPr>
              <w:t>≤4.8</w:t>
            </w:r>
          </w:p>
        </w:tc>
        <w:tc>
          <w:tcPr>
            <w:tcW w:w="570" w:type="pct"/>
            <w:shd w:val="clear" w:color="auto" w:fill="auto"/>
            <w:vAlign w:val="center"/>
          </w:tcPr>
          <w:p w14:paraId="55908841">
            <w:pPr>
              <w:widowControl/>
              <w:spacing w:line="240" w:lineRule="auto"/>
              <w:ind w:firstLine="0" w:firstLineChars="0"/>
              <w:jc w:val="center"/>
              <w:rPr>
                <w:color w:val="auto"/>
                <w:kern w:val="0"/>
                <w:sz w:val="21"/>
                <w:szCs w:val="21"/>
              </w:rPr>
            </w:pPr>
            <w:r>
              <w:rPr>
                <w:color w:val="auto"/>
                <w:kern w:val="0"/>
                <w:sz w:val="21"/>
                <w:szCs w:val="21"/>
              </w:rPr>
              <w:t>&gt;4.8</w:t>
            </w:r>
          </w:p>
        </w:tc>
      </w:tr>
      <w:tr w14:paraId="20542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2A46384B">
            <w:pPr>
              <w:widowControl/>
              <w:spacing w:line="240" w:lineRule="auto"/>
              <w:ind w:firstLine="0" w:firstLineChars="0"/>
              <w:jc w:val="center"/>
              <w:rPr>
                <w:color w:val="auto"/>
                <w:kern w:val="0"/>
                <w:sz w:val="21"/>
                <w:szCs w:val="21"/>
              </w:rPr>
            </w:pPr>
            <w:r>
              <w:rPr>
                <w:color w:val="auto"/>
                <w:kern w:val="0"/>
                <w:sz w:val="21"/>
                <w:szCs w:val="21"/>
              </w:rPr>
              <w:t>6</w:t>
            </w:r>
          </w:p>
        </w:tc>
        <w:tc>
          <w:tcPr>
            <w:tcW w:w="1741" w:type="pct"/>
            <w:shd w:val="clear" w:color="auto" w:fill="auto"/>
            <w:vAlign w:val="center"/>
          </w:tcPr>
          <w:p w14:paraId="62EA6126">
            <w:pPr>
              <w:widowControl/>
              <w:spacing w:line="240" w:lineRule="auto"/>
              <w:ind w:firstLine="0" w:firstLineChars="0"/>
              <w:jc w:val="center"/>
              <w:rPr>
                <w:color w:val="auto"/>
                <w:kern w:val="0"/>
                <w:sz w:val="21"/>
                <w:szCs w:val="21"/>
              </w:rPr>
            </w:pPr>
            <w:r>
              <w:rPr>
                <w:color w:val="auto"/>
                <w:kern w:val="0"/>
                <w:sz w:val="21"/>
                <w:szCs w:val="21"/>
              </w:rPr>
              <w:t>Na</w:t>
            </w:r>
            <w:r>
              <w:rPr>
                <w:color w:val="auto"/>
                <w:kern w:val="0"/>
                <w:sz w:val="21"/>
                <w:szCs w:val="21"/>
                <w:vertAlign w:val="superscript"/>
              </w:rPr>
              <w:t>+</w:t>
            </w:r>
          </w:p>
        </w:tc>
        <w:tc>
          <w:tcPr>
            <w:tcW w:w="503" w:type="pct"/>
            <w:shd w:val="clear" w:color="auto" w:fill="auto"/>
            <w:vAlign w:val="center"/>
          </w:tcPr>
          <w:p w14:paraId="549DC8B8">
            <w:pPr>
              <w:widowControl/>
              <w:spacing w:line="240" w:lineRule="auto"/>
              <w:ind w:firstLine="0" w:firstLineChars="0"/>
              <w:jc w:val="center"/>
              <w:rPr>
                <w:color w:val="auto"/>
                <w:kern w:val="0"/>
                <w:sz w:val="21"/>
                <w:szCs w:val="21"/>
              </w:rPr>
            </w:pPr>
            <w:r>
              <w:rPr>
                <w:color w:val="auto"/>
                <w:kern w:val="0"/>
                <w:sz w:val="21"/>
                <w:szCs w:val="21"/>
              </w:rPr>
              <w:t>≤100</w:t>
            </w:r>
          </w:p>
        </w:tc>
        <w:tc>
          <w:tcPr>
            <w:tcW w:w="503" w:type="pct"/>
            <w:shd w:val="clear" w:color="auto" w:fill="auto"/>
            <w:vAlign w:val="center"/>
          </w:tcPr>
          <w:p w14:paraId="442A137C">
            <w:pPr>
              <w:widowControl/>
              <w:spacing w:line="240" w:lineRule="auto"/>
              <w:ind w:firstLine="0" w:firstLineChars="0"/>
              <w:jc w:val="center"/>
              <w:rPr>
                <w:color w:val="auto"/>
                <w:kern w:val="0"/>
                <w:sz w:val="21"/>
                <w:szCs w:val="21"/>
              </w:rPr>
            </w:pPr>
            <w:r>
              <w:rPr>
                <w:color w:val="auto"/>
                <w:kern w:val="0"/>
                <w:sz w:val="21"/>
                <w:szCs w:val="21"/>
              </w:rPr>
              <w:t>≤150</w:t>
            </w:r>
          </w:p>
        </w:tc>
        <w:tc>
          <w:tcPr>
            <w:tcW w:w="473" w:type="pct"/>
            <w:shd w:val="clear" w:color="auto" w:fill="auto"/>
            <w:vAlign w:val="center"/>
          </w:tcPr>
          <w:p w14:paraId="1D3A5151">
            <w:pPr>
              <w:widowControl/>
              <w:spacing w:line="240" w:lineRule="auto"/>
              <w:ind w:firstLine="0" w:firstLineChars="0"/>
              <w:jc w:val="center"/>
              <w:rPr>
                <w:color w:val="auto"/>
                <w:kern w:val="0"/>
                <w:sz w:val="21"/>
                <w:szCs w:val="21"/>
              </w:rPr>
            </w:pPr>
            <w:r>
              <w:rPr>
                <w:color w:val="auto"/>
                <w:kern w:val="0"/>
                <w:sz w:val="21"/>
                <w:szCs w:val="21"/>
              </w:rPr>
              <w:t>≤200</w:t>
            </w:r>
          </w:p>
        </w:tc>
        <w:tc>
          <w:tcPr>
            <w:tcW w:w="855" w:type="pct"/>
            <w:shd w:val="clear" w:color="auto" w:fill="auto"/>
            <w:vAlign w:val="center"/>
          </w:tcPr>
          <w:p w14:paraId="614E5F06">
            <w:pPr>
              <w:widowControl/>
              <w:spacing w:line="240" w:lineRule="auto"/>
              <w:ind w:firstLine="0" w:firstLineChars="0"/>
              <w:jc w:val="center"/>
              <w:rPr>
                <w:color w:val="auto"/>
                <w:kern w:val="0"/>
                <w:sz w:val="21"/>
                <w:szCs w:val="21"/>
              </w:rPr>
            </w:pPr>
            <w:r>
              <w:rPr>
                <w:color w:val="auto"/>
                <w:kern w:val="0"/>
                <w:sz w:val="21"/>
                <w:szCs w:val="21"/>
              </w:rPr>
              <w:t>≤400</w:t>
            </w:r>
          </w:p>
        </w:tc>
        <w:tc>
          <w:tcPr>
            <w:tcW w:w="570" w:type="pct"/>
            <w:shd w:val="clear" w:color="auto" w:fill="auto"/>
            <w:vAlign w:val="center"/>
          </w:tcPr>
          <w:p w14:paraId="16A057C7">
            <w:pPr>
              <w:widowControl/>
              <w:spacing w:line="240" w:lineRule="auto"/>
              <w:ind w:firstLine="0" w:firstLineChars="0"/>
              <w:jc w:val="center"/>
              <w:rPr>
                <w:color w:val="auto"/>
                <w:kern w:val="0"/>
                <w:sz w:val="21"/>
                <w:szCs w:val="21"/>
              </w:rPr>
            </w:pPr>
            <w:r>
              <w:rPr>
                <w:color w:val="auto"/>
                <w:kern w:val="0"/>
                <w:sz w:val="21"/>
                <w:szCs w:val="21"/>
              </w:rPr>
              <w:t>&gt;400</w:t>
            </w:r>
          </w:p>
        </w:tc>
      </w:tr>
      <w:tr w14:paraId="70F54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570F7083">
            <w:pPr>
              <w:widowControl/>
              <w:spacing w:line="240" w:lineRule="auto"/>
              <w:ind w:firstLine="0" w:firstLineChars="0"/>
              <w:jc w:val="center"/>
              <w:rPr>
                <w:color w:val="auto"/>
                <w:kern w:val="0"/>
                <w:sz w:val="21"/>
                <w:szCs w:val="21"/>
              </w:rPr>
            </w:pPr>
            <w:r>
              <w:rPr>
                <w:color w:val="auto"/>
                <w:kern w:val="0"/>
                <w:sz w:val="21"/>
                <w:szCs w:val="21"/>
              </w:rPr>
              <w:t>7</w:t>
            </w:r>
          </w:p>
        </w:tc>
        <w:tc>
          <w:tcPr>
            <w:tcW w:w="1741" w:type="pct"/>
            <w:shd w:val="clear" w:color="auto" w:fill="auto"/>
            <w:vAlign w:val="center"/>
          </w:tcPr>
          <w:p w14:paraId="065C3ADE">
            <w:pPr>
              <w:widowControl/>
              <w:tabs>
                <w:tab w:val="left" w:pos="-107"/>
              </w:tabs>
              <w:spacing w:line="240" w:lineRule="auto"/>
              <w:ind w:firstLine="0" w:firstLineChars="0"/>
              <w:jc w:val="center"/>
              <w:rPr>
                <w:color w:val="auto"/>
                <w:kern w:val="0"/>
                <w:sz w:val="21"/>
                <w:szCs w:val="21"/>
              </w:rPr>
            </w:pPr>
            <w:r>
              <w:rPr>
                <w:color w:val="auto"/>
                <w:kern w:val="0"/>
                <w:sz w:val="21"/>
                <w:szCs w:val="21"/>
              </w:rPr>
              <w:t>Cl</w:t>
            </w:r>
            <w:r>
              <w:rPr>
                <w:color w:val="auto"/>
                <w:kern w:val="0"/>
                <w:sz w:val="21"/>
                <w:szCs w:val="21"/>
                <w:vertAlign w:val="superscript"/>
              </w:rPr>
              <w:t>-</w:t>
            </w:r>
          </w:p>
        </w:tc>
        <w:tc>
          <w:tcPr>
            <w:tcW w:w="503" w:type="pct"/>
            <w:shd w:val="clear" w:color="auto" w:fill="auto"/>
            <w:vAlign w:val="center"/>
          </w:tcPr>
          <w:p w14:paraId="1B4B11FF">
            <w:pPr>
              <w:widowControl/>
              <w:spacing w:line="240" w:lineRule="auto"/>
              <w:ind w:firstLine="0" w:firstLineChars="0"/>
              <w:jc w:val="center"/>
              <w:rPr>
                <w:color w:val="auto"/>
                <w:kern w:val="0"/>
                <w:sz w:val="21"/>
                <w:szCs w:val="21"/>
              </w:rPr>
            </w:pPr>
            <w:r>
              <w:rPr>
                <w:color w:val="auto"/>
                <w:kern w:val="0"/>
                <w:sz w:val="21"/>
                <w:szCs w:val="21"/>
              </w:rPr>
              <w:t>≤50</w:t>
            </w:r>
          </w:p>
        </w:tc>
        <w:tc>
          <w:tcPr>
            <w:tcW w:w="503" w:type="pct"/>
            <w:shd w:val="clear" w:color="auto" w:fill="auto"/>
            <w:vAlign w:val="center"/>
          </w:tcPr>
          <w:p w14:paraId="29FE11B8">
            <w:pPr>
              <w:widowControl/>
              <w:spacing w:line="240" w:lineRule="auto"/>
              <w:ind w:firstLine="0" w:firstLineChars="0"/>
              <w:jc w:val="center"/>
              <w:rPr>
                <w:color w:val="auto"/>
                <w:kern w:val="0"/>
                <w:sz w:val="21"/>
                <w:szCs w:val="21"/>
              </w:rPr>
            </w:pPr>
            <w:r>
              <w:rPr>
                <w:color w:val="auto"/>
                <w:kern w:val="0"/>
                <w:sz w:val="21"/>
                <w:szCs w:val="21"/>
              </w:rPr>
              <w:t>≤150</w:t>
            </w:r>
          </w:p>
        </w:tc>
        <w:tc>
          <w:tcPr>
            <w:tcW w:w="473" w:type="pct"/>
            <w:shd w:val="clear" w:color="auto" w:fill="auto"/>
            <w:vAlign w:val="center"/>
          </w:tcPr>
          <w:p w14:paraId="12FA8E86">
            <w:pPr>
              <w:widowControl/>
              <w:spacing w:line="240" w:lineRule="auto"/>
              <w:ind w:firstLine="0" w:firstLineChars="0"/>
              <w:jc w:val="center"/>
              <w:rPr>
                <w:color w:val="auto"/>
                <w:kern w:val="0"/>
                <w:sz w:val="21"/>
                <w:szCs w:val="21"/>
              </w:rPr>
            </w:pPr>
            <w:r>
              <w:rPr>
                <w:color w:val="auto"/>
                <w:kern w:val="0"/>
                <w:sz w:val="21"/>
                <w:szCs w:val="21"/>
              </w:rPr>
              <w:t>≤250</w:t>
            </w:r>
          </w:p>
        </w:tc>
        <w:tc>
          <w:tcPr>
            <w:tcW w:w="855" w:type="pct"/>
            <w:shd w:val="clear" w:color="auto" w:fill="auto"/>
            <w:vAlign w:val="center"/>
          </w:tcPr>
          <w:p w14:paraId="313A5384">
            <w:pPr>
              <w:widowControl/>
              <w:spacing w:line="240" w:lineRule="auto"/>
              <w:ind w:firstLine="0" w:firstLineChars="0"/>
              <w:jc w:val="center"/>
              <w:rPr>
                <w:color w:val="auto"/>
                <w:kern w:val="0"/>
                <w:sz w:val="21"/>
                <w:szCs w:val="21"/>
              </w:rPr>
            </w:pPr>
            <w:r>
              <w:rPr>
                <w:color w:val="auto"/>
                <w:kern w:val="0"/>
                <w:sz w:val="21"/>
                <w:szCs w:val="21"/>
              </w:rPr>
              <w:t>≤350</w:t>
            </w:r>
          </w:p>
        </w:tc>
        <w:tc>
          <w:tcPr>
            <w:tcW w:w="570" w:type="pct"/>
            <w:shd w:val="clear" w:color="auto" w:fill="auto"/>
            <w:vAlign w:val="center"/>
          </w:tcPr>
          <w:p w14:paraId="25A2C892">
            <w:pPr>
              <w:widowControl/>
              <w:spacing w:line="240" w:lineRule="auto"/>
              <w:ind w:firstLine="0" w:firstLineChars="0"/>
              <w:jc w:val="center"/>
              <w:rPr>
                <w:color w:val="auto"/>
                <w:kern w:val="0"/>
                <w:sz w:val="21"/>
                <w:szCs w:val="21"/>
              </w:rPr>
            </w:pPr>
            <w:r>
              <w:rPr>
                <w:color w:val="auto"/>
                <w:kern w:val="0"/>
                <w:sz w:val="21"/>
                <w:szCs w:val="21"/>
              </w:rPr>
              <w:t>&gt;350</w:t>
            </w:r>
          </w:p>
        </w:tc>
      </w:tr>
      <w:tr w14:paraId="2C620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0C83D598">
            <w:pPr>
              <w:widowControl/>
              <w:spacing w:line="240" w:lineRule="auto"/>
              <w:ind w:firstLine="0" w:firstLineChars="0"/>
              <w:jc w:val="center"/>
              <w:rPr>
                <w:color w:val="auto"/>
                <w:kern w:val="0"/>
                <w:sz w:val="21"/>
                <w:szCs w:val="21"/>
              </w:rPr>
            </w:pPr>
            <w:r>
              <w:rPr>
                <w:color w:val="auto"/>
                <w:kern w:val="0"/>
                <w:sz w:val="21"/>
                <w:szCs w:val="21"/>
              </w:rPr>
              <w:t>8</w:t>
            </w:r>
          </w:p>
        </w:tc>
        <w:tc>
          <w:tcPr>
            <w:tcW w:w="1741" w:type="pct"/>
            <w:shd w:val="clear" w:color="auto" w:fill="auto"/>
            <w:vAlign w:val="center"/>
          </w:tcPr>
          <w:p w14:paraId="38A5CF1B">
            <w:pPr>
              <w:widowControl/>
              <w:tabs>
                <w:tab w:val="left" w:pos="-107"/>
              </w:tabs>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4</w:t>
            </w:r>
            <w:r>
              <w:rPr>
                <w:color w:val="auto"/>
                <w:kern w:val="0"/>
                <w:sz w:val="21"/>
                <w:szCs w:val="21"/>
                <w:vertAlign w:val="superscript"/>
              </w:rPr>
              <w:t>2-</w:t>
            </w:r>
          </w:p>
        </w:tc>
        <w:tc>
          <w:tcPr>
            <w:tcW w:w="503" w:type="pct"/>
            <w:shd w:val="clear" w:color="auto" w:fill="auto"/>
            <w:vAlign w:val="center"/>
          </w:tcPr>
          <w:p w14:paraId="4C072310">
            <w:pPr>
              <w:widowControl/>
              <w:spacing w:line="240" w:lineRule="auto"/>
              <w:ind w:firstLine="0" w:firstLineChars="0"/>
              <w:jc w:val="center"/>
              <w:rPr>
                <w:color w:val="auto"/>
                <w:kern w:val="0"/>
                <w:sz w:val="21"/>
                <w:szCs w:val="21"/>
              </w:rPr>
            </w:pPr>
            <w:r>
              <w:rPr>
                <w:color w:val="auto"/>
                <w:kern w:val="0"/>
                <w:sz w:val="21"/>
                <w:szCs w:val="21"/>
              </w:rPr>
              <w:t>≤50</w:t>
            </w:r>
          </w:p>
        </w:tc>
        <w:tc>
          <w:tcPr>
            <w:tcW w:w="503" w:type="pct"/>
            <w:shd w:val="clear" w:color="auto" w:fill="auto"/>
            <w:vAlign w:val="center"/>
          </w:tcPr>
          <w:p w14:paraId="48D8F800">
            <w:pPr>
              <w:widowControl/>
              <w:spacing w:line="240" w:lineRule="auto"/>
              <w:ind w:firstLine="0" w:firstLineChars="0"/>
              <w:jc w:val="center"/>
              <w:rPr>
                <w:color w:val="auto"/>
                <w:kern w:val="0"/>
                <w:sz w:val="21"/>
                <w:szCs w:val="21"/>
              </w:rPr>
            </w:pPr>
            <w:r>
              <w:rPr>
                <w:color w:val="auto"/>
                <w:kern w:val="0"/>
                <w:sz w:val="21"/>
                <w:szCs w:val="21"/>
              </w:rPr>
              <w:t>≤150</w:t>
            </w:r>
          </w:p>
        </w:tc>
        <w:tc>
          <w:tcPr>
            <w:tcW w:w="473" w:type="pct"/>
            <w:shd w:val="clear" w:color="auto" w:fill="auto"/>
            <w:vAlign w:val="center"/>
          </w:tcPr>
          <w:p w14:paraId="46AEF403">
            <w:pPr>
              <w:widowControl/>
              <w:spacing w:line="240" w:lineRule="auto"/>
              <w:ind w:firstLine="0" w:firstLineChars="0"/>
              <w:jc w:val="center"/>
              <w:rPr>
                <w:color w:val="auto"/>
                <w:kern w:val="0"/>
                <w:sz w:val="21"/>
                <w:szCs w:val="21"/>
              </w:rPr>
            </w:pPr>
            <w:r>
              <w:rPr>
                <w:color w:val="auto"/>
                <w:kern w:val="0"/>
                <w:sz w:val="21"/>
                <w:szCs w:val="21"/>
              </w:rPr>
              <w:t>≤250</w:t>
            </w:r>
          </w:p>
        </w:tc>
        <w:tc>
          <w:tcPr>
            <w:tcW w:w="855" w:type="pct"/>
            <w:shd w:val="clear" w:color="auto" w:fill="auto"/>
            <w:vAlign w:val="center"/>
          </w:tcPr>
          <w:p w14:paraId="40D3F307">
            <w:pPr>
              <w:widowControl/>
              <w:spacing w:line="240" w:lineRule="auto"/>
              <w:ind w:firstLine="0" w:firstLineChars="0"/>
              <w:jc w:val="center"/>
              <w:rPr>
                <w:color w:val="auto"/>
                <w:kern w:val="0"/>
                <w:sz w:val="21"/>
                <w:szCs w:val="21"/>
              </w:rPr>
            </w:pPr>
            <w:r>
              <w:rPr>
                <w:color w:val="auto"/>
                <w:kern w:val="0"/>
                <w:sz w:val="21"/>
                <w:szCs w:val="21"/>
              </w:rPr>
              <w:t>≤350</w:t>
            </w:r>
          </w:p>
        </w:tc>
        <w:tc>
          <w:tcPr>
            <w:tcW w:w="570" w:type="pct"/>
            <w:shd w:val="clear" w:color="auto" w:fill="auto"/>
            <w:vAlign w:val="center"/>
          </w:tcPr>
          <w:p w14:paraId="1E1F2884">
            <w:pPr>
              <w:widowControl/>
              <w:spacing w:line="240" w:lineRule="auto"/>
              <w:ind w:firstLine="0" w:firstLineChars="0"/>
              <w:jc w:val="center"/>
              <w:rPr>
                <w:color w:val="auto"/>
                <w:kern w:val="0"/>
                <w:sz w:val="21"/>
                <w:szCs w:val="21"/>
              </w:rPr>
            </w:pPr>
            <w:r>
              <w:rPr>
                <w:color w:val="auto"/>
                <w:kern w:val="0"/>
                <w:sz w:val="21"/>
                <w:szCs w:val="21"/>
              </w:rPr>
              <w:t>&gt;350</w:t>
            </w:r>
          </w:p>
        </w:tc>
      </w:tr>
      <w:tr w14:paraId="03FF4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470DA5ED">
            <w:pPr>
              <w:widowControl/>
              <w:spacing w:line="240" w:lineRule="auto"/>
              <w:ind w:firstLine="0" w:firstLineChars="0"/>
              <w:jc w:val="center"/>
              <w:rPr>
                <w:color w:val="auto"/>
                <w:kern w:val="0"/>
                <w:sz w:val="21"/>
                <w:szCs w:val="21"/>
              </w:rPr>
            </w:pPr>
            <w:r>
              <w:rPr>
                <w:color w:val="auto"/>
                <w:kern w:val="0"/>
                <w:sz w:val="21"/>
                <w:szCs w:val="21"/>
              </w:rPr>
              <w:t>9</w:t>
            </w:r>
          </w:p>
        </w:tc>
        <w:tc>
          <w:tcPr>
            <w:tcW w:w="1741" w:type="pct"/>
            <w:shd w:val="clear" w:color="auto" w:fill="auto"/>
            <w:vAlign w:val="center"/>
          </w:tcPr>
          <w:p w14:paraId="71A35155">
            <w:pPr>
              <w:widowControl/>
              <w:tabs>
                <w:tab w:val="left" w:pos="-107"/>
              </w:tabs>
              <w:spacing w:line="240" w:lineRule="auto"/>
              <w:ind w:firstLine="0" w:firstLineChars="0"/>
              <w:jc w:val="center"/>
              <w:rPr>
                <w:color w:val="auto"/>
                <w:kern w:val="0"/>
                <w:sz w:val="21"/>
                <w:szCs w:val="21"/>
              </w:rPr>
            </w:pPr>
            <w:r>
              <w:rPr>
                <w:color w:val="auto"/>
                <w:kern w:val="0"/>
                <w:sz w:val="21"/>
                <w:szCs w:val="21"/>
              </w:rPr>
              <w:t>氟化物</w:t>
            </w:r>
          </w:p>
        </w:tc>
        <w:tc>
          <w:tcPr>
            <w:tcW w:w="503" w:type="pct"/>
            <w:shd w:val="clear" w:color="auto" w:fill="auto"/>
            <w:vAlign w:val="center"/>
          </w:tcPr>
          <w:p w14:paraId="21741AB9">
            <w:pPr>
              <w:widowControl/>
              <w:spacing w:line="240" w:lineRule="auto"/>
              <w:ind w:firstLine="0" w:firstLineChars="0"/>
              <w:jc w:val="center"/>
              <w:rPr>
                <w:color w:val="auto"/>
                <w:kern w:val="0"/>
                <w:sz w:val="21"/>
                <w:szCs w:val="21"/>
              </w:rPr>
            </w:pPr>
            <w:r>
              <w:rPr>
                <w:color w:val="auto"/>
                <w:kern w:val="0"/>
                <w:sz w:val="21"/>
                <w:szCs w:val="21"/>
              </w:rPr>
              <w:t>≤1</w:t>
            </w:r>
          </w:p>
        </w:tc>
        <w:tc>
          <w:tcPr>
            <w:tcW w:w="503" w:type="pct"/>
            <w:shd w:val="clear" w:color="auto" w:fill="auto"/>
            <w:vAlign w:val="center"/>
          </w:tcPr>
          <w:p w14:paraId="7E31F3F5">
            <w:pPr>
              <w:widowControl/>
              <w:spacing w:line="240" w:lineRule="auto"/>
              <w:ind w:firstLine="0" w:firstLineChars="0"/>
              <w:jc w:val="center"/>
              <w:rPr>
                <w:color w:val="auto"/>
                <w:kern w:val="0"/>
                <w:sz w:val="21"/>
                <w:szCs w:val="21"/>
              </w:rPr>
            </w:pPr>
            <w:r>
              <w:rPr>
                <w:color w:val="auto"/>
                <w:kern w:val="0"/>
                <w:sz w:val="21"/>
                <w:szCs w:val="21"/>
              </w:rPr>
              <w:t>≤1</w:t>
            </w:r>
          </w:p>
        </w:tc>
        <w:tc>
          <w:tcPr>
            <w:tcW w:w="473" w:type="pct"/>
            <w:shd w:val="clear" w:color="auto" w:fill="auto"/>
            <w:vAlign w:val="center"/>
          </w:tcPr>
          <w:p w14:paraId="5D690C84">
            <w:pPr>
              <w:widowControl/>
              <w:spacing w:line="240" w:lineRule="auto"/>
              <w:ind w:firstLine="0" w:firstLineChars="0"/>
              <w:jc w:val="center"/>
              <w:rPr>
                <w:color w:val="auto"/>
                <w:kern w:val="0"/>
                <w:sz w:val="21"/>
                <w:szCs w:val="21"/>
              </w:rPr>
            </w:pPr>
            <w:r>
              <w:rPr>
                <w:color w:val="auto"/>
                <w:kern w:val="0"/>
                <w:sz w:val="21"/>
                <w:szCs w:val="21"/>
              </w:rPr>
              <w:t>≤1</w:t>
            </w:r>
          </w:p>
        </w:tc>
        <w:tc>
          <w:tcPr>
            <w:tcW w:w="855" w:type="pct"/>
            <w:shd w:val="clear" w:color="auto" w:fill="auto"/>
            <w:vAlign w:val="center"/>
          </w:tcPr>
          <w:p w14:paraId="22121060">
            <w:pPr>
              <w:widowControl/>
              <w:spacing w:line="240" w:lineRule="auto"/>
              <w:ind w:firstLine="0" w:firstLineChars="0"/>
              <w:jc w:val="center"/>
              <w:rPr>
                <w:color w:val="auto"/>
                <w:kern w:val="0"/>
                <w:sz w:val="21"/>
                <w:szCs w:val="21"/>
              </w:rPr>
            </w:pPr>
            <w:r>
              <w:rPr>
                <w:color w:val="auto"/>
                <w:kern w:val="0"/>
                <w:sz w:val="21"/>
                <w:szCs w:val="21"/>
              </w:rPr>
              <w:t>≤2</w:t>
            </w:r>
          </w:p>
        </w:tc>
        <w:tc>
          <w:tcPr>
            <w:tcW w:w="570" w:type="pct"/>
            <w:shd w:val="clear" w:color="auto" w:fill="auto"/>
            <w:vAlign w:val="center"/>
          </w:tcPr>
          <w:p w14:paraId="2A0B0659">
            <w:pPr>
              <w:widowControl/>
              <w:spacing w:line="240" w:lineRule="auto"/>
              <w:ind w:firstLine="0" w:firstLineChars="0"/>
              <w:jc w:val="center"/>
              <w:rPr>
                <w:color w:val="auto"/>
                <w:kern w:val="0"/>
                <w:sz w:val="21"/>
                <w:szCs w:val="21"/>
              </w:rPr>
            </w:pPr>
            <w:r>
              <w:rPr>
                <w:color w:val="auto"/>
                <w:kern w:val="0"/>
                <w:sz w:val="21"/>
                <w:szCs w:val="21"/>
              </w:rPr>
              <w:t>&gt;2</w:t>
            </w:r>
          </w:p>
        </w:tc>
      </w:tr>
      <w:tr w14:paraId="67DEF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730C7AD9">
            <w:pPr>
              <w:widowControl/>
              <w:spacing w:line="240" w:lineRule="auto"/>
              <w:ind w:firstLine="0" w:firstLineChars="0"/>
              <w:jc w:val="center"/>
              <w:rPr>
                <w:color w:val="auto"/>
                <w:kern w:val="0"/>
                <w:sz w:val="21"/>
                <w:szCs w:val="21"/>
              </w:rPr>
            </w:pPr>
            <w:r>
              <w:rPr>
                <w:color w:val="auto"/>
                <w:kern w:val="0"/>
                <w:sz w:val="21"/>
                <w:szCs w:val="21"/>
              </w:rPr>
              <w:t>10</w:t>
            </w:r>
          </w:p>
        </w:tc>
        <w:tc>
          <w:tcPr>
            <w:tcW w:w="1741" w:type="pct"/>
            <w:shd w:val="clear" w:color="auto" w:fill="auto"/>
            <w:vAlign w:val="center"/>
          </w:tcPr>
          <w:p w14:paraId="40D1D1F1">
            <w:pPr>
              <w:widowControl/>
              <w:tabs>
                <w:tab w:val="left" w:pos="-107"/>
              </w:tabs>
              <w:spacing w:line="240" w:lineRule="auto"/>
              <w:ind w:firstLine="0" w:firstLineChars="0"/>
              <w:jc w:val="center"/>
              <w:rPr>
                <w:color w:val="auto"/>
                <w:kern w:val="0"/>
                <w:sz w:val="21"/>
                <w:szCs w:val="21"/>
              </w:rPr>
            </w:pPr>
            <w:r>
              <w:rPr>
                <w:color w:val="auto"/>
                <w:kern w:val="0"/>
                <w:sz w:val="21"/>
                <w:szCs w:val="21"/>
              </w:rPr>
              <w:t>挥发酚</w:t>
            </w:r>
          </w:p>
        </w:tc>
        <w:tc>
          <w:tcPr>
            <w:tcW w:w="503" w:type="pct"/>
            <w:shd w:val="clear" w:color="auto" w:fill="auto"/>
            <w:vAlign w:val="center"/>
          </w:tcPr>
          <w:p w14:paraId="4C6FCECF">
            <w:pPr>
              <w:widowControl/>
              <w:spacing w:line="240" w:lineRule="auto"/>
              <w:ind w:firstLine="0" w:firstLineChars="0"/>
              <w:jc w:val="center"/>
              <w:rPr>
                <w:color w:val="auto"/>
                <w:kern w:val="0"/>
                <w:sz w:val="21"/>
                <w:szCs w:val="21"/>
              </w:rPr>
            </w:pPr>
            <w:r>
              <w:rPr>
                <w:color w:val="auto"/>
                <w:kern w:val="0"/>
                <w:sz w:val="21"/>
                <w:szCs w:val="21"/>
              </w:rPr>
              <w:t>≤0.001</w:t>
            </w:r>
          </w:p>
        </w:tc>
        <w:tc>
          <w:tcPr>
            <w:tcW w:w="503" w:type="pct"/>
            <w:shd w:val="clear" w:color="auto" w:fill="auto"/>
            <w:vAlign w:val="center"/>
          </w:tcPr>
          <w:p w14:paraId="785DC73E">
            <w:pPr>
              <w:widowControl/>
              <w:spacing w:line="240" w:lineRule="auto"/>
              <w:ind w:firstLine="0" w:firstLineChars="0"/>
              <w:jc w:val="center"/>
              <w:rPr>
                <w:color w:val="auto"/>
                <w:kern w:val="0"/>
                <w:sz w:val="21"/>
                <w:szCs w:val="21"/>
              </w:rPr>
            </w:pPr>
            <w:r>
              <w:rPr>
                <w:color w:val="auto"/>
                <w:kern w:val="0"/>
                <w:sz w:val="21"/>
                <w:szCs w:val="21"/>
              </w:rPr>
              <w:t>≤0.001</w:t>
            </w:r>
          </w:p>
        </w:tc>
        <w:tc>
          <w:tcPr>
            <w:tcW w:w="473" w:type="pct"/>
            <w:shd w:val="clear" w:color="auto" w:fill="auto"/>
            <w:vAlign w:val="center"/>
          </w:tcPr>
          <w:p w14:paraId="40B192E1">
            <w:pPr>
              <w:widowControl/>
              <w:spacing w:line="240" w:lineRule="auto"/>
              <w:ind w:firstLine="0" w:firstLineChars="0"/>
              <w:jc w:val="center"/>
              <w:rPr>
                <w:color w:val="auto"/>
                <w:kern w:val="0"/>
                <w:sz w:val="21"/>
                <w:szCs w:val="21"/>
              </w:rPr>
            </w:pPr>
            <w:r>
              <w:rPr>
                <w:color w:val="auto"/>
                <w:kern w:val="0"/>
                <w:sz w:val="21"/>
                <w:szCs w:val="21"/>
              </w:rPr>
              <w:t>≤.0.002</w:t>
            </w:r>
          </w:p>
        </w:tc>
        <w:tc>
          <w:tcPr>
            <w:tcW w:w="855" w:type="pct"/>
            <w:shd w:val="clear" w:color="auto" w:fill="auto"/>
            <w:vAlign w:val="center"/>
          </w:tcPr>
          <w:p w14:paraId="775C973A">
            <w:pPr>
              <w:widowControl/>
              <w:spacing w:line="240" w:lineRule="auto"/>
              <w:ind w:firstLine="0" w:firstLineChars="0"/>
              <w:jc w:val="center"/>
              <w:rPr>
                <w:color w:val="auto"/>
                <w:kern w:val="0"/>
                <w:sz w:val="21"/>
                <w:szCs w:val="21"/>
              </w:rPr>
            </w:pPr>
            <w:r>
              <w:rPr>
                <w:color w:val="auto"/>
                <w:kern w:val="0"/>
                <w:sz w:val="21"/>
                <w:szCs w:val="21"/>
              </w:rPr>
              <w:t>≤0.01</w:t>
            </w:r>
          </w:p>
        </w:tc>
        <w:tc>
          <w:tcPr>
            <w:tcW w:w="570" w:type="pct"/>
            <w:shd w:val="clear" w:color="auto" w:fill="auto"/>
            <w:vAlign w:val="center"/>
          </w:tcPr>
          <w:p w14:paraId="362295F0">
            <w:pPr>
              <w:widowControl/>
              <w:spacing w:line="240" w:lineRule="auto"/>
              <w:ind w:firstLine="0" w:firstLineChars="0"/>
              <w:jc w:val="center"/>
              <w:rPr>
                <w:color w:val="auto"/>
                <w:kern w:val="0"/>
                <w:sz w:val="21"/>
                <w:szCs w:val="21"/>
              </w:rPr>
            </w:pPr>
            <w:r>
              <w:rPr>
                <w:color w:val="auto"/>
                <w:kern w:val="0"/>
                <w:sz w:val="21"/>
                <w:szCs w:val="21"/>
              </w:rPr>
              <w:t>&gt;0.01</w:t>
            </w:r>
          </w:p>
        </w:tc>
      </w:tr>
      <w:tr w14:paraId="52918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7039B9BA">
            <w:pPr>
              <w:widowControl/>
              <w:spacing w:line="240" w:lineRule="auto"/>
              <w:ind w:firstLine="0" w:firstLineChars="0"/>
              <w:jc w:val="center"/>
              <w:rPr>
                <w:color w:val="auto"/>
                <w:kern w:val="0"/>
                <w:sz w:val="21"/>
                <w:szCs w:val="21"/>
              </w:rPr>
            </w:pPr>
            <w:r>
              <w:rPr>
                <w:color w:val="auto"/>
                <w:kern w:val="0"/>
                <w:sz w:val="21"/>
                <w:szCs w:val="21"/>
              </w:rPr>
              <w:t>11</w:t>
            </w:r>
          </w:p>
        </w:tc>
        <w:tc>
          <w:tcPr>
            <w:tcW w:w="1741" w:type="pct"/>
            <w:shd w:val="clear" w:color="auto" w:fill="auto"/>
            <w:vAlign w:val="center"/>
          </w:tcPr>
          <w:p w14:paraId="7197131F">
            <w:pPr>
              <w:widowControl/>
              <w:tabs>
                <w:tab w:val="left" w:pos="-107"/>
              </w:tabs>
              <w:spacing w:line="240" w:lineRule="auto"/>
              <w:ind w:firstLine="0" w:firstLineChars="0"/>
              <w:jc w:val="center"/>
              <w:rPr>
                <w:color w:val="auto"/>
                <w:kern w:val="0"/>
                <w:sz w:val="21"/>
                <w:szCs w:val="21"/>
              </w:rPr>
            </w:pPr>
            <w:r>
              <w:rPr>
                <w:color w:val="auto"/>
                <w:kern w:val="0"/>
                <w:sz w:val="21"/>
                <w:szCs w:val="21"/>
              </w:rPr>
              <w:t>氰化物</w:t>
            </w:r>
          </w:p>
        </w:tc>
        <w:tc>
          <w:tcPr>
            <w:tcW w:w="503" w:type="pct"/>
            <w:shd w:val="clear" w:color="auto" w:fill="auto"/>
            <w:vAlign w:val="center"/>
          </w:tcPr>
          <w:p w14:paraId="4BC58485">
            <w:pPr>
              <w:widowControl/>
              <w:spacing w:line="240" w:lineRule="auto"/>
              <w:ind w:firstLine="0" w:firstLineChars="0"/>
              <w:jc w:val="center"/>
              <w:rPr>
                <w:color w:val="auto"/>
                <w:kern w:val="0"/>
                <w:sz w:val="21"/>
                <w:szCs w:val="21"/>
              </w:rPr>
            </w:pPr>
            <w:r>
              <w:rPr>
                <w:color w:val="auto"/>
                <w:kern w:val="0"/>
                <w:sz w:val="21"/>
                <w:szCs w:val="21"/>
              </w:rPr>
              <w:t>≤0.001</w:t>
            </w:r>
          </w:p>
        </w:tc>
        <w:tc>
          <w:tcPr>
            <w:tcW w:w="503" w:type="pct"/>
            <w:shd w:val="clear" w:color="auto" w:fill="auto"/>
            <w:vAlign w:val="center"/>
          </w:tcPr>
          <w:p w14:paraId="7379D0AF">
            <w:pPr>
              <w:widowControl/>
              <w:spacing w:line="240" w:lineRule="auto"/>
              <w:ind w:firstLine="0" w:firstLineChars="0"/>
              <w:jc w:val="center"/>
              <w:rPr>
                <w:color w:val="auto"/>
                <w:kern w:val="0"/>
                <w:sz w:val="21"/>
                <w:szCs w:val="21"/>
              </w:rPr>
            </w:pPr>
            <w:r>
              <w:rPr>
                <w:color w:val="auto"/>
                <w:kern w:val="0"/>
                <w:sz w:val="21"/>
                <w:szCs w:val="21"/>
              </w:rPr>
              <w:t>≤0.01</w:t>
            </w:r>
          </w:p>
        </w:tc>
        <w:tc>
          <w:tcPr>
            <w:tcW w:w="473" w:type="pct"/>
            <w:shd w:val="clear" w:color="auto" w:fill="auto"/>
            <w:vAlign w:val="center"/>
          </w:tcPr>
          <w:p w14:paraId="2347B8C5">
            <w:pPr>
              <w:widowControl/>
              <w:spacing w:line="240" w:lineRule="auto"/>
              <w:ind w:firstLine="0" w:firstLineChars="0"/>
              <w:jc w:val="center"/>
              <w:rPr>
                <w:color w:val="auto"/>
                <w:kern w:val="0"/>
                <w:sz w:val="21"/>
                <w:szCs w:val="21"/>
              </w:rPr>
            </w:pPr>
            <w:r>
              <w:rPr>
                <w:color w:val="auto"/>
                <w:kern w:val="0"/>
                <w:sz w:val="21"/>
                <w:szCs w:val="21"/>
              </w:rPr>
              <w:t>≤0.05</w:t>
            </w:r>
          </w:p>
        </w:tc>
        <w:tc>
          <w:tcPr>
            <w:tcW w:w="855" w:type="pct"/>
            <w:shd w:val="clear" w:color="auto" w:fill="auto"/>
            <w:vAlign w:val="center"/>
          </w:tcPr>
          <w:p w14:paraId="11882653">
            <w:pPr>
              <w:widowControl/>
              <w:spacing w:line="240" w:lineRule="auto"/>
              <w:ind w:firstLine="0" w:firstLineChars="0"/>
              <w:jc w:val="center"/>
              <w:rPr>
                <w:color w:val="auto"/>
                <w:kern w:val="0"/>
                <w:sz w:val="21"/>
                <w:szCs w:val="21"/>
              </w:rPr>
            </w:pPr>
            <w:r>
              <w:rPr>
                <w:color w:val="auto"/>
                <w:kern w:val="0"/>
                <w:sz w:val="21"/>
                <w:szCs w:val="21"/>
              </w:rPr>
              <w:t>≤0.1</w:t>
            </w:r>
          </w:p>
        </w:tc>
        <w:tc>
          <w:tcPr>
            <w:tcW w:w="570" w:type="pct"/>
            <w:shd w:val="clear" w:color="auto" w:fill="auto"/>
            <w:vAlign w:val="center"/>
          </w:tcPr>
          <w:p w14:paraId="2F32FFF1">
            <w:pPr>
              <w:widowControl/>
              <w:spacing w:line="240" w:lineRule="auto"/>
              <w:ind w:firstLine="0" w:firstLineChars="0"/>
              <w:jc w:val="center"/>
              <w:rPr>
                <w:color w:val="auto"/>
                <w:kern w:val="0"/>
                <w:sz w:val="21"/>
                <w:szCs w:val="21"/>
              </w:rPr>
            </w:pPr>
            <w:r>
              <w:rPr>
                <w:color w:val="auto"/>
                <w:kern w:val="0"/>
                <w:sz w:val="21"/>
                <w:szCs w:val="21"/>
              </w:rPr>
              <w:t>&gt;0.1</w:t>
            </w:r>
          </w:p>
        </w:tc>
      </w:tr>
      <w:tr w14:paraId="2E1E7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33E02267">
            <w:pPr>
              <w:widowControl/>
              <w:spacing w:line="240" w:lineRule="auto"/>
              <w:ind w:firstLine="0" w:firstLineChars="0"/>
              <w:jc w:val="center"/>
              <w:rPr>
                <w:color w:val="auto"/>
                <w:kern w:val="0"/>
                <w:sz w:val="21"/>
                <w:szCs w:val="21"/>
              </w:rPr>
            </w:pPr>
            <w:r>
              <w:rPr>
                <w:color w:val="auto"/>
                <w:kern w:val="0"/>
                <w:sz w:val="21"/>
                <w:szCs w:val="21"/>
              </w:rPr>
              <w:t>12</w:t>
            </w:r>
          </w:p>
        </w:tc>
        <w:tc>
          <w:tcPr>
            <w:tcW w:w="1741" w:type="pct"/>
            <w:shd w:val="clear" w:color="auto" w:fill="auto"/>
            <w:vAlign w:val="center"/>
          </w:tcPr>
          <w:p w14:paraId="38949279">
            <w:pPr>
              <w:widowControl/>
              <w:tabs>
                <w:tab w:val="left" w:pos="-107"/>
              </w:tabs>
              <w:spacing w:line="240" w:lineRule="auto"/>
              <w:ind w:firstLine="0" w:firstLineChars="0"/>
              <w:jc w:val="center"/>
              <w:rPr>
                <w:color w:val="auto"/>
                <w:kern w:val="0"/>
                <w:sz w:val="21"/>
                <w:szCs w:val="21"/>
              </w:rPr>
            </w:pPr>
            <w:r>
              <w:rPr>
                <w:color w:val="auto"/>
                <w:kern w:val="0"/>
                <w:sz w:val="21"/>
                <w:szCs w:val="21"/>
              </w:rPr>
              <w:t>砷</w:t>
            </w:r>
          </w:p>
        </w:tc>
        <w:tc>
          <w:tcPr>
            <w:tcW w:w="503" w:type="pct"/>
            <w:shd w:val="clear" w:color="auto" w:fill="auto"/>
            <w:vAlign w:val="center"/>
          </w:tcPr>
          <w:p w14:paraId="36C4099E">
            <w:pPr>
              <w:widowControl/>
              <w:spacing w:line="240" w:lineRule="auto"/>
              <w:ind w:firstLine="0" w:firstLineChars="0"/>
              <w:jc w:val="center"/>
              <w:rPr>
                <w:color w:val="auto"/>
                <w:kern w:val="0"/>
                <w:sz w:val="21"/>
                <w:szCs w:val="21"/>
              </w:rPr>
            </w:pPr>
            <w:r>
              <w:rPr>
                <w:color w:val="auto"/>
                <w:kern w:val="0"/>
                <w:sz w:val="21"/>
                <w:szCs w:val="21"/>
              </w:rPr>
              <w:t>≤0.001</w:t>
            </w:r>
          </w:p>
        </w:tc>
        <w:tc>
          <w:tcPr>
            <w:tcW w:w="503" w:type="pct"/>
            <w:shd w:val="clear" w:color="auto" w:fill="auto"/>
            <w:vAlign w:val="center"/>
          </w:tcPr>
          <w:p w14:paraId="19B1CE30">
            <w:pPr>
              <w:widowControl/>
              <w:spacing w:line="240" w:lineRule="auto"/>
              <w:ind w:firstLine="0" w:firstLineChars="0"/>
              <w:jc w:val="center"/>
              <w:rPr>
                <w:color w:val="auto"/>
                <w:kern w:val="0"/>
                <w:sz w:val="21"/>
                <w:szCs w:val="21"/>
              </w:rPr>
            </w:pPr>
            <w:r>
              <w:rPr>
                <w:color w:val="auto"/>
                <w:kern w:val="0"/>
                <w:sz w:val="21"/>
                <w:szCs w:val="21"/>
              </w:rPr>
              <w:t>≤0.001</w:t>
            </w:r>
          </w:p>
        </w:tc>
        <w:tc>
          <w:tcPr>
            <w:tcW w:w="473" w:type="pct"/>
            <w:shd w:val="clear" w:color="auto" w:fill="auto"/>
            <w:vAlign w:val="center"/>
          </w:tcPr>
          <w:p w14:paraId="553FCE78">
            <w:pPr>
              <w:widowControl/>
              <w:spacing w:line="240" w:lineRule="auto"/>
              <w:ind w:firstLine="0" w:firstLineChars="0"/>
              <w:jc w:val="center"/>
              <w:rPr>
                <w:color w:val="auto"/>
                <w:kern w:val="0"/>
                <w:sz w:val="21"/>
                <w:szCs w:val="21"/>
              </w:rPr>
            </w:pPr>
            <w:r>
              <w:rPr>
                <w:color w:val="auto"/>
                <w:kern w:val="0"/>
                <w:sz w:val="21"/>
                <w:szCs w:val="21"/>
              </w:rPr>
              <w:t>≤0.01</w:t>
            </w:r>
          </w:p>
        </w:tc>
        <w:tc>
          <w:tcPr>
            <w:tcW w:w="855" w:type="pct"/>
            <w:shd w:val="clear" w:color="auto" w:fill="auto"/>
            <w:vAlign w:val="center"/>
          </w:tcPr>
          <w:p w14:paraId="0BE0B2EE">
            <w:pPr>
              <w:widowControl/>
              <w:spacing w:line="240" w:lineRule="auto"/>
              <w:ind w:firstLine="0" w:firstLineChars="0"/>
              <w:jc w:val="center"/>
              <w:rPr>
                <w:color w:val="auto"/>
                <w:kern w:val="0"/>
                <w:sz w:val="21"/>
                <w:szCs w:val="21"/>
              </w:rPr>
            </w:pPr>
            <w:r>
              <w:rPr>
                <w:color w:val="auto"/>
                <w:kern w:val="0"/>
                <w:sz w:val="21"/>
                <w:szCs w:val="21"/>
              </w:rPr>
              <w:t>≤0.05</w:t>
            </w:r>
          </w:p>
        </w:tc>
        <w:tc>
          <w:tcPr>
            <w:tcW w:w="570" w:type="pct"/>
            <w:shd w:val="clear" w:color="auto" w:fill="auto"/>
            <w:vAlign w:val="center"/>
          </w:tcPr>
          <w:p w14:paraId="463D0610">
            <w:pPr>
              <w:widowControl/>
              <w:spacing w:line="240" w:lineRule="auto"/>
              <w:ind w:firstLine="0" w:firstLineChars="0"/>
              <w:jc w:val="center"/>
              <w:rPr>
                <w:color w:val="auto"/>
                <w:kern w:val="0"/>
                <w:sz w:val="21"/>
                <w:szCs w:val="21"/>
              </w:rPr>
            </w:pPr>
            <w:r>
              <w:rPr>
                <w:color w:val="auto"/>
                <w:kern w:val="0"/>
                <w:sz w:val="21"/>
                <w:szCs w:val="21"/>
              </w:rPr>
              <w:t>&gt;0.05</w:t>
            </w:r>
          </w:p>
        </w:tc>
      </w:tr>
      <w:tr w14:paraId="717D9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61CBA10B">
            <w:pPr>
              <w:widowControl/>
              <w:spacing w:line="240" w:lineRule="auto"/>
              <w:ind w:firstLine="0" w:firstLineChars="0"/>
              <w:jc w:val="center"/>
              <w:rPr>
                <w:color w:val="auto"/>
                <w:kern w:val="0"/>
                <w:sz w:val="21"/>
                <w:szCs w:val="21"/>
              </w:rPr>
            </w:pPr>
            <w:r>
              <w:rPr>
                <w:color w:val="auto"/>
                <w:kern w:val="0"/>
                <w:sz w:val="21"/>
                <w:szCs w:val="21"/>
              </w:rPr>
              <w:t>13</w:t>
            </w:r>
          </w:p>
        </w:tc>
        <w:tc>
          <w:tcPr>
            <w:tcW w:w="1741" w:type="pct"/>
            <w:shd w:val="clear" w:color="auto" w:fill="auto"/>
            <w:vAlign w:val="center"/>
          </w:tcPr>
          <w:p w14:paraId="5BEE0E38">
            <w:pPr>
              <w:widowControl/>
              <w:tabs>
                <w:tab w:val="left" w:pos="-107"/>
              </w:tabs>
              <w:spacing w:line="240" w:lineRule="auto"/>
              <w:ind w:firstLine="0" w:firstLineChars="0"/>
              <w:jc w:val="center"/>
              <w:rPr>
                <w:color w:val="auto"/>
                <w:kern w:val="0"/>
                <w:sz w:val="21"/>
                <w:szCs w:val="21"/>
              </w:rPr>
            </w:pPr>
            <w:r>
              <w:rPr>
                <w:color w:val="auto"/>
                <w:kern w:val="0"/>
                <w:sz w:val="21"/>
                <w:szCs w:val="21"/>
              </w:rPr>
              <w:t>汞</w:t>
            </w:r>
          </w:p>
        </w:tc>
        <w:tc>
          <w:tcPr>
            <w:tcW w:w="503" w:type="pct"/>
            <w:shd w:val="clear" w:color="auto" w:fill="auto"/>
            <w:vAlign w:val="center"/>
          </w:tcPr>
          <w:p w14:paraId="56A45169">
            <w:pPr>
              <w:widowControl/>
              <w:spacing w:line="240" w:lineRule="auto"/>
              <w:ind w:firstLine="0" w:firstLineChars="0"/>
              <w:jc w:val="center"/>
              <w:rPr>
                <w:color w:val="auto"/>
                <w:kern w:val="0"/>
                <w:sz w:val="21"/>
                <w:szCs w:val="21"/>
              </w:rPr>
            </w:pPr>
            <w:r>
              <w:rPr>
                <w:color w:val="auto"/>
                <w:kern w:val="0"/>
                <w:sz w:val="21"/>
                <w:szCs w:val="21"/>
              </w:rPr>
              <w:t>≤0.0001</w:t>
            </w:r>
          </w:p>
        </w:tc>
        <w:tc>
          <w:tcPr>
            <w:tcW w:w="503" w:type="pct"/>
            <w:shd w:val="clear" w:color="auto" w:fill="auto"/>
            <w:vAlign w:val="center"/>
          </w:tcPr>
          <w:p w14:paraId="78D40587">
            <w:pPr>
              <w:widowControl/>
              <w:spacing w:line="240" w:lineRule="auto"/>
              <w:ind w:firstLine="0" w:firstLineChars="0"/>
              <w:jc w:val="center"/>
              <w:rPr>
                <w:color w:val="auto"/>
                <w:kern w:val="0"/>
                <w:sz w:val="21"/>
                <w:szCs w:val="21"/>
              </w:rPr>
            </w:pPr>
            <w:r>
              <w:rPr>
                <w:color w:val="auto"/>
                <w:kern w:val="0"/>
                <w:sz w:val="21"/>
                <w:szCs w:val="21"/>
              </w:rPr>
              <w:t>≤0.0001</w:t>
            </w:r>
          </w:p>
        </w:tc>
        <w:tc>
          <w:tcPr>
            <w:tcW w:w="473" w:type="pct"/>
            <w:shd w:val="clear" w:color="auto" w:fill="auto"/>
            <w:vAlign w:val="center"/>
          </w:tcPr>
          <w:p w14:paraId="78E50AD2">
            <w:pPr>
              <w:widowControl/>
              <w:spacing w:line="240" w:lineRule="auto"/>
              <w:ind w:firstLine="0" w:firstLineChars="0"/>
              <w:jc w:val="center"/>
              <w:rPr>
                <w:color w:val="auto"/>
                <w:kern w:val="0"/>
                <w:sz w:val="21"/>
                <w:szCs w:val="21"/>
              </w:rPr>
            </w:pPr>
            <w:r>
              <w:rPr>
                <w:color w:val="auto"/>
                <w:kern w:val="0"/>
                <w:sz w:val="21"/>
                <w:szCs w:val="21"/>
              </w:rPr>
              <w:t>≤0.001</w:t>
            </w:r>
          </w:p>
        </w:tc>
        <w:tc>
          <w:tcPr>
            <w:tcW w:w="855" w:type="pct"/>
            <w:shd w:val="clear" w:color="auto" w:fill="auto"/>
            <w:vAlign w:val="center"/>
          </w:tcPr>
          <w:p w14:paraId="05DD0105">
            <w:pPr>
              <w:widowControl/>
              <w:spacing w:line="240" w:lineRule="auto"/>
              <w:ind w:firstLine="0" w:firstLineChars="0"/>
              <w:jc w:val="center"/>
              <w:rPr>
                <w:color w:val="auto"/>
                <w:kern w:val="0"/>
                <w:sz w:val="21"/>
                <w:szCs w:val="21"/>
              </w:rPr>
            </w:pPr>
            <w:r>
              <w:rPr>
                <w:color w:val="auto"/>
                <w:kern w:val="0"/>
                <w:sz w:val="21"/>
                <w:szCs w:val="21"/>
              </w:rPr>
              <w:t>≤0.002</w:t>
            </w:r>
          </w:p>
        </w:tc>
        <w:tc>
          <w:tcPr>
            <w:tcW w:w="570" w:type="pct"/>
            <w:shd w:val="clear" w:color="auto" w:fill="auto"/>
            <w:vAlign w:val="center"/>
          </w:tcPr>
          <w:p w14:paraId="0A7CD17F">
            <w:pPr>
              <w:widowControl/>
              <w:spacing w:line="240" w:lineRule="auto"/>
              <w:ind w:firstLine="0" w:firstLineChars="0"/>
              <w:jc w:val="center"/>
              <w:rPr>
                <w:color w:val="auto"/>
                <w:kern w:val="0"/>
                <w:sz w:val="21"/>
                <w:szCs w:val="21"/>
              </w:rPr>
            </w:pPr>
            <w:r>
              <w:rPr>
                <w:color w:val="auto"/>
                <w:kern w:val="0"/>
                <w:sz w:val="21"/>
                <w:szCs w:val="21"/>
              </w:rPr>
              <w:t>&gt;0.002</w:t>
            </w:r>
          </w:p>
        </w:tc>
      </w:tr>
      <w:tr w14:paraId="4F0E3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7AF71502">
            <w:pPr>
              <w:widowControl/>
              <w:spacing w:line="240" w:lineRule="auto"/>
              <w:ind w:firstLine="0" w:firstLineChars="0"/>
              <w:jc w:val="center"/>
              <w:rPr>
                <w:color w:val="auto"/>
                <w:kern w:val="0"/>
                <w:sz w:val="21"/>
                <w:szCs w:val="21"/>
              </w:rPr>
            </w:pPr>
            <w:r>
              <w:rPr>
                <w:color w:val="auto"/>
                <w:kern w:val="0"/>
                <w:sz w:val="21"/>
                <w:szCs w:val="21"/>
              </w:rPr>
              <w:t>14</w:t>
            </w:r>
          </w:p>
        </w:tc>
        <w:tc>
          <w:tcPr>
            <w:tcW w:w="1741" w:type="pct"/>
            <w:shd w:val="clear" w:color="auto" w:fill="auto"/>
            <w:vAlign w:val="center"/>
          </w:tcPr>
          <w:p w14:paraId="73EDE862">
            <w:pPr>
              <w:widowControl/>
              <w:tabs>
                <w:tab w:val="left" w:pos="-107"/>
              </w:tabs>
              <w:spacing w:line="240" w:lineRule="auto"/>
              <w:ind w:firstLine="0" w:firstLineChars="0"/>
              <w:jc w:val="center"/>
              <w:rPr>
                <w:color w:val="auto"/>
                <w:kern w:val="0"/>
                <w:sz w:val="21"/>
                <w:szCs w:val="21"/>
              </w:rPr>
            </w:pPr>
            <w:r>
              <w:rPr>
                <w:color w:val="auto"/>
                <w:kern w:val="0"/>
                <w:sz w:val="21"/>
                <w:szCs w:val="21"/>
              </w:rPr>
              <w:t>铬</w:t>
            </w:r>
          </w:p>
        </w:tc>
        <w:tc>
          <w:tcPr>
            <w:tcW w:w="503" w:type="pct"/>
            <w:shd w:val="clear" w:color="auto" w:fill="auto"/>
            <w:vAlign w:val="center"/>
          </w:tcPr>
          <w:p w14:paraId="08F8DEC8">
            <w:pPr>
              <w:widowControl/>
              <w:spacing w:line="240" w:lineRule="auto"/>
              <w:ind w:firstLine="0" w:firstLineChars="0"/>
              <w:jc w:val="center"/>
              <w:rPr>
                <w:color w:val="auto"/>
                <w:kern w:val="0"/>
                <w:sz w:val="21"/>
                <w:szCs w:val="21"/>
              </w:rPr>
            </w:pPr>
            <w:r>
              <w:rPr>
                <w:color w:val="auto"/>
                <w:kern w:val="0"/>
                <w:sz w:val="21"/>
                <w:szCs w:val="21"/>
              </w:rPr>
              <w:t>≤0.005</w:t>
            </w:r>
          </w:p>
        </w:tc>
        <w:tc>
          <w:tcPr>
            <w:tcW w:w="503" w:type="pct"/>
            <w:shd w:val="clear" w:color="auto" w:fill="auto"/>
            <w:vAlign w:val="center"/>
          </w:tcPr>
          <w:p w14:paraId="4E8756C7">
            <w:pPr>
              <w:widowControl/>
              <w:spacing w:line="240" w:lineRule="auto"/>
              <w:ind w:firstLine="0" w:firstLineChars="0"/>
              <w:jc w:val="center"/>
              <w:rPr>
                <w:color w:val="auto"/>
                <w:kern w:val="0"/>
                <w:sz w:val="21"/>
                <w:szCs w:val="21"/>
              </w:rPr>
            </w:pPr>
            <w:r>
              <w:rPr>
                <w:color w:val="auto"/>
                <w:kern w:val="0"/>
                <w:sz w:val="21"/>
                <w:szCs w:val="21"/>
              </w:rPr>
              <w:t>≤0.01</w:t>
            </w:r>
          </w:p>
        </w:tc>
        <w:tc>
          <w:tcPr>
            <w:tcW w:w="473" w:type="pct"/>
            <w:shd w:val="clear" w:color="auto" w:fill="auto"/>
            <w:vAlign w:val="center"/>
          </w:tcPr>
          <w:p w14:paraId="3918EC02">
            <w:pPr>
              <w:widowControl/>
              <w:spacing w:line="240" w:lineRule="auto"/>
              <w:ind w:firstLine="0" w:firstLineChars="0"/>
              <w:jc w:val="center"/>
              <w:rPr>
                <w:color w:val="auto"/>
                <w:kern w:val="0"/>
                <w:sz w:val="21"/>
                <w:szCs w:val="21"/>
              </w:rPr>
            </w:pPr>
            <w:r>
              <w:rPr>
                <w:color w:val="auto"/>
                <w:kern w:val="0"/>
                <w:sz w:val="21"/>
                <w:szCs w:val="21"/>
              </w:rPr>
              <w:t>≤0.05</w:t>
            </w:r>
          </w:p>
        </w:tc>
        <w:tc>
          <w:tcPr>
            <w:tcW w:w="855" w:type="pct"/>
            <w:shd w:val="clear" w:color="auto" w:fill="auto"/>
            <w:vAlign w:val="center"/>
          </w:tcPr>
          <w:p w14:paraId="0C22C8CB">
            <w:pPr>
              <w:widowControl/>
              <w:spacing w:line="240" w:lineRule="auto"/>
              <w:ind w:firstLine="0" w:firstLineChars="0"/>
              <w:jc w:val="center"/>
              <w:rPr>
                <w:color w:val="auto"/>
                <w:kern w:val="0"/>
                <w:sz w:val="21"/>
                <w:szCs w:val="21"/>
              </w:rPr>
            </w:pPr>
            <w:r>
              <w:rPr>
                <w:color w:val="auto"/>
                <w:kern w:val="0"/>
                <w:sz w:val="21"/>
                <w:szCs w:val="21"/>
              </w:rPr>
              <w:t>≤0.1</w:t>
            </w:r>
          </w:p>
        </w:tc>
        <w:tc>
          <w:tcPr>
            <w:tcW w:w="570" w:type="pct"/>
            <w:shd w:val="clear" w:color="auto" w:fill="auto"/>
            <w:vAlign w:val="center"/>
          </w:tcPr>
          <w:p w14:paraId="2D7DD2D6">
            <w:pPr>
              <w:widowControl/>
              <w:spacing w:line="240" w:lineRule="auto"/>
              <w:ind w:firstLine="0" w:firstLineChars="0"/>
              <w:jc w:val="center"/>
              <w:rPr>
                <w:color w:val="auto"/>
                <w:kern w:val="0"/>
                <w:sz w:val="21"/>
                <w:szCs w:val="21"/>
              </w:rPr>
            </w:pPr>
            <w:r>
              <w:rPr>
                <w:color w:val="auto"/>
                <w:kern w:val="0"/>
                <w:sz w:val="21"/>
                <w:szCs w:val="21"/>
              </w:rPr>
              <w:t>&gt;0.1</w:t>
            </w:r>
          </w:p>
        </w:tc>
      </w:tr>
      <w:tr w14:paraId="3C808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6ED42AAE">
            <w:pPr>
              <w:widowControl/>
              <w:spacing w:line="240" w:lineRule="auto"/>
              <w:ind w:firstLine="0" w:firstLineChars="0"/>
              <w:jc w:val="center"/>
              <w:rPr>
                <w:color w:val="auto"/>
                <w:kern w:val="0"/>
                <w:sz w:val="21"/>
                <w:szCs w:val="21"/>
              </w:rPr>
            </w:pPr>
            <w:r>
              <w:rPr>
                <w:color w:val="auto"/>
                <w:kern w:val="0"/>
                <w:sz w:val="21"/>
                <w:szCs w:val="21"/>
              </w:rPr>
              <w:t>15</w:t>
            </w:r>
          </w:p>
        </w:tc>
        <w:tc>
          <w:tcPr>
            <w:tcW w:w="1741" w:type="pct"/>
            <w:shd w:val="clear" w:color="auto" w:fill="auto"/>
            <w:vAlign w:val="center"/>
          </w:tcPr>
          <w:p w14:paraId="5C763724">
            <w:pPr>
              <w:widowControl/>
              <w:tabs>
                <w:tab w:val="left" w:pos="-107"/>
              </w:tabs>
              <w:spacing w:line="240" w:lineRule="auto"/>
              <w:ind w:firstLine="0" w:firstLineChars="0"/>
              <w:jc w:val="center"/>
              <w:rPr>
                <w:color w:val="auto"/>
                <w:kern w:val="0"/>
                <w:sz w:val="21"/>
                <w:szCs w:val="21"/>
              </w:rPr>
            </w:pPr>
            <w:r>
              <w:rPr>
                <w:color w:val="auto"/>
                <w:kern w:val="0"/>
                <w:sz w:val="21"/>
                <w:szCs w:val="21"/>
              </w:rPr>
              <w:t>铅</w:t>
            </w:r>
          </w:p>
        </w:tc>
        <w:tc>
          <w:tcPr>
            <w:tcW w:w="503" w:type="pct"/>
            <w:shd w:val="clear" w:color="auto" w:fill="auto"/>
            <w:vAlign w:val="center"/>
          </w:tcPr>
          <w:p w14:paraId="3E2E4981">
            <w:pPr>
              <w:widowControl/>
              <w:spacing w:line="240" w:lineRule="auto"/>
              <w:ind w:firstLine="0" w:firstLineChars="0"/>
              <w:jc w:val="center"/>
              <w:rPr>
                <w:color w:val="auto"/>
                <w:kern w:val="0"/>
                <w:sz w:val="21"/>
                <w:szCs w:val="21"/>
              </w:rPr>
            </w:pPr>
            <w:r>
              <w:rPr>
                <w:color w:val="auto"/>
                <w:kern w:val="0"/>
                <w:sz w:val="21"/>
                <w:szCs w:val="21"/>
              </w:rPr>
              <w:t>≤0.005</w:t>
            </w:r>
          </w:p>
        </w:tc>
        <w:tc>
          <w:tcPr>
            <w:tcW w:w="503" w:type="pct"/>
            <w:shd w:val="clear" w:color="auto" w:fill="auto"/>
            <w:vAlign w:val="center"/>
          </w:tcPr>
          <w:p w14:paraId="10C6A325">
            <w:pPr>
              <w:widowControl/>
              <w:spacing w:line="240" w:lineRule="auto"/>
              <w:ind w:firstLine="0" w:firstLineChars="0"/>
              <w:jc w:val="center"/>
              <w:rPr>
                <w:color w:val="auto"/>
                <w:kern w:val="0"/>
                <w:sz w:val="21"/>
                <w:szCs w:val="21"/>
              </w:rPr>
            </w:pPr>
            <w:r>
              <w:rPr>
                <w:color w:val="auto"/>
                <w:kern w:val="0"/>
                <w:sz w:val="21"/>
                <w:szCs w:val="21"/>
              </w:rPr>
              <w:t>≤0.005</w:t>
            </w:r>
          </w:p>
        </w:tc>
        <w:tc>
          <w:tcPr>
            <w:tcW w:w="473" w:type="pct"/>
            <w:shd w:val="clear" w:color="auto" w:fill="auto"/>
            <w:vAlign w:val="center"/>
          </w:tcPr>
          <w:p w14:paraId="2F6D8EA5">
            <w:pPr>
              <w:widowControl/>
              <w:spacing w:line="240" w:lineRule="auto"/>
              <w:ind w:firstLine="0" w:firstLineChars="0"/>
              <w:jc w:val="center"/>
              <w:rPr>
                <w:color w:val="auto"/>
                <w:kern w:val="0"/>
                <w:sz w:val="21"/>
                <w:szCs w:val="21"/>
              </w:rPr>
            </w:pPr>
            <w:r>
              <w:rPr>
                <w:color w:val="auto"/>
                <w:kern w:val="0"/>
                <w:sz w:val="21"/>
                <w:szCs w:val="21"/>
              </w:rPr>
              <w:t>≤0.01</w:t>
            </w:r>
          </w:p>
        </w:tc>
        <w:tc>
          <w:tcPr>
            <w:tcW w:w="855" w:type="pct"/>
            <w:shd w:val="clear" w:color="auto" w:fill="auto"/>
            <w:vAlign w:val="center"/>
          </w:tcPr>
          <w:p w14:paraId="19061F5E">
            <w:pPr>
              <w:widowControl/>
              <w:spacing w:line="240" w:lineRule="auto"/>
              <w:ind w:firstLine="0" w:firstLineChars="0"/>
              <w:jc w:val="center"/>
              <w:rPr>
                <w:color w:val="auto"/>
                <w:kern w:val="0"/>
                <w:sz w:val="21"/>
                <w:szCs w:val="21"/>
              </w:rPr>
            </w:pPr>
            <w:r>
              <w:rPr>
                <w:color w:val="auto"/>
                <w:kern w:val="0"/>
                <w:sz w:val="21"/>
                <w:szCs w:val="21"/>
              </w:rPr>
              <w:t>≤0.1</w:t>
            </w:r>
          </w:p>
        </w:tc>
        <w:tc>
          <w:tcPr>
            <w:tcW w:w="570" w:type="pct"/>
            <w:shd w:val="clear" w:color="auto" w:fill="auto"/>
            <w:vAlign w:val="center"/>
          </w:tcPr>
          <w:p w14:paraId="1AEE214F">
            <w:pPr>
              <w:widowControl/>
              <w:spacing w:line="240" w:lineRule="auto"/>
              <w:ind w:firstLine="0" w:firstLineChars="0"/>
              <w:jc w:val="center"/>
              <w:rPr>
                <w:color w:val="auto"/>
                <w:kern w:val="0"/>
                <w:sz w:val="21"/>
                <w:szCs w:val="21"/>
              </w:rPr>
            </w:pPr>
            <w:r>
              <w:rPr>
                <w:color w:val="auto"/>
                <w:kern w:val="0"/>
                <w:sz w:val="21"/>
                <w:szCs w:val="21"/>
              </w:rPr>
              <w:t>&gt;0.1</w:t>
            </w:r>
          </w:p>
        </w:tc>
      </w:tr>
      <w:tr w14:paraId="7E505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2958C053">
            <w:pPr>
              <w:widowControl/>
              <w:spacing w:line="240" w:lineRule="auto"/>
              <w:ind w:firstLine="0" w:firstLineChars="0"/>
              <w:jc w:val="center"/>
              <w:rPr>
                <w:color w:val="auto"/>
                <w:kern w:val="0"/>
                <w:sz w:val="21"/>
                <w:szCs w:val="21"/>
              </w:rPr>
            </w:pPr>
            <w:r>
              <w:rPr>
                <w:color w:val="auto"/>
                <w:kern w:val="0"/>
                <w:sz w:val="21"/>
                <w:szCs w:val="21"/>
              </w:rPr>
              <w:t>16</w:t>
            </w:r>
          </w:p>
        </w:tc>
        <w:tc>
          <w:tcPr>
            <w:tcW w:w="1741" w:type="pct"/>
            <w:shd w:val="clear" w:color="auto" w:fill="auto"/>
            <w:vAlign w:val="center"/>
          </w:tcPr>
          <w:p w14:paraId="4CD6F2B0">
            <w:pPr>
              <w:widowControl/>
              <w:tabs>
                <w:tab w:val="left" w:pos="-107"/>
              </w:tabs>
              <w:spacing w:line="240" w:lineRule="auto"/>
              <w:ind w:firstLine="0" w:firstLineChars="0"/>
              <w:jc w:val="center"/>
              <w:rPr>
                <w:color w:val="auto"/>
                <w:kern w:val="0"/>
                <w:sz w:val="21"/>
                <w:szCs w:val="21"/>
              </w:rPr>
            </w:pPr>
            <w:r>
              <w:rPr>
                <w:color w:val="auto"/>
                <w:kern w:val="0"/>
                <w:sz w:val="21"/>
                <w:szCs w:val="21"/>
              </w:rPr>
              <w:t>镉</w:t>
            </w:r>
          </w:p>
        </w:tc>
        <w:tc>
          <w:tcPr>
            <w:tcW w:w="503" w:type="pct"/>
            <w:shd w:val="clear" w:color="auto" w:fill="auto"/>
            <w:vAlign w:val="center"/>
          </w:tcPr>
          <w:p w14:paraId="6D292F2A">
            <w:pPr>
              <w:widowControl/>
              <w:spacing w:line="240" w:lineRule="auto"/>
              <w:ind w:firstLine="0" w:firstLineChars="0"/>
              <w:jc w:val="center"/>
              <w:rPr>
                <w:color w:val="auto"/>
                <w:kern w:val="0"/>
                <w:sz w:val="21"/>
                <w:szCs w:val="21"/>
              </w:rPr>
            </w:pPr>
            <w:r>
              <w:rPr>
                <w:color w:val="auto"/>
                <w:kern w:val="0"/>
                <w:sz w:val="21"/>
                <w:szCs w:val="21"/>
              </w:rPr>
              <w:t>≤0.0001</w:t>
            </w:r>
          </w:p>
        </w:tc>
        <w:tc>
          <w:tcPr>
            <w:tcW w:w="503" w:type="pct"/>
            <w:shd w:val="clear" w:color="auto" w:fill="auto"/>
            <w:vAlign w:val="center"/>
          </w:tcPr>
          <w:p w14:paraId="6003474E">
            <w:pPr>
              <w:widowControl/>
              <w:spacing w:line="240" w:lineRule="auto"/>
              <w:ind w:firstLine="0" w:firstLineChars="0"/>
              <w:jc w:val="center"/>
              <w:rPr>
                <w:color w:val="auto"/>
                <w:kern w:val="0"/>
                <w:sz w:val="21"/>
                <w:szCs w:val="21"/>
              </w:rPr>
            </w:pPr>
            <w:r>
              <w:rPr>
                <w:color w:val="auto"/>
                <w:kern w:val="0"/>
                <w:sz w:val="21"/>
                <w:szCs w:val="21"/>
              </w:rPr>
              <w:t>≤0.001</w:t>
            </w:r>
          </w:p>
        </w:tc>
        <w:tc>
          <w:tcPr>
            <w:tcW w:w="473" w:type="pct"/>
            <w:shd w:val="clear" w:color="auto" w:fill="auto"/>
            <w:vAlign w:val="center"/>
          </w:tcPr>
          <w:p w14:paraId="78D36EA6">
            <w:pPr>
              <w:widowControl/>
              <w:spacing w:line="240" w:lineRule="auto"/>
              <w:ind w:firstLine="0" w:firstLineChars="0"/>
              <w:jc w:val="center"/>
              <w:rPr>
                <w:color w:val="auto"/>
                <w:kern w:val="0"/>
                <w:sz w:val="21"/>
                <w:szCs w:val="21"/>
              </w:rPr>
            </w:pPr>
            <w:r>
              <w:rPr>
                <w:color w:val="auto"/>
                <w:kern w:val="0"/>
                <w:sz w:val="21"/>
                <w:szCs w:val="21"/>
              </w:rPr>
              <w:t>≤0.005</w:t>
            </w:r>
          </w:p>
        </w:tc>
        <w:tc>
          <w:tcPr>
            <w:tcW w:w="855" w:type="pct"/>
            <w:shd w:val="clear" w:color="auto" w:fill="auto"/>
            <w:vAlign w:val="center"/>
          </w:tcPr>
          <w:p w14:paraId="6248C50C">
            <w:pPr>
              <w:widowControl/>
              <w:spacing w:line="240" w:lineRule="auto"/>
              <w:ind w:firstLine="0" w:firstLineChars="0"/>
              <w:jc w:val="center"/>
              <w:rPr>
                <w:color w:val="auto"/>
                <w:kern w:val="0"/>
                <w:sz w:val="21"/>
                <w:szCs w:val="21"/>
              </w:rPr>
            </w:pPr>
            <w:r>
              <w:rPr>
                <w:color w:val="auto"/>
                <w:kern w:val="0"/>
                <w:sz w:val="21"/>
                <w:szCs w:val="21"/>
              </w:rPr>
              <w:t>≤0.01</w:t>
            </w:r>
          </w:p>
        </w:tc>
        <w:tc>
          <w:tcPr>
            <w:tcW w:w="570" w:type="pct"/>
            <w:shd w:val="clear" w:color="auto" w:fill="auto"/>
            <w:vAlign w:val="center"/>
          </w:tcPr>
          <w:p w14:paraId="1CBC492F">
            <w:pPr>
              <w:widowControl/>
              <w:spacing w:line="240" w:lineRule="auto"/>
              <w:ind w:firstLine="0" w:firstLineChars="0"/>
              <w:jc w:val="center"/>
              <w:rPr>
                <w:color w:val="auto"/>
                <w:kern w:val="0"/>
                <w:sz w:val="21"/>
                <w:szCs w:val="21"/>
              </w:rPr>
            </w:pPr>
            <w:r>
              <w:rPr>
                <w:color w:val="auto"/>
                <w:kern w:val="0"/>
                <w:sz w:val="21"/>
                <w:szCs w:val="21"/>
              </w:rPr>
              <w:t>&gt;0.01</w:t>
            </w:r>
          </w:p>
        </w:tc>
      </w:tr>
      <w:tr w14:paraId="0CEDD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6A6CD0AC">
            <w:pPr>
              <w:widowControl/>
              <w:spacing w:line="240" w:lineRule="auto"/>
              <w:ind w:firstLine="0" w:firstLineChars="0"/>
              <w:jc w:val="center"/>
              <w:rPr>
                <w:color w:val="auto"/>
                <w:kern w:val="0"/>
                <w:sz w:val="21"/>
                <w:szCs w:val="21"/>
              </w:rPr>
            </w:pPr>
            <w:r>
              <w:rPr>
                <w:color w:val="auto"/>
                <w:kern w:val="0"/>
                <w:sz w:val="21"/>
                <w:szCs w:val="21"/>
              </w:rPr>
              <w:t>17</w:t>
            </w:r>
          </w:p>
        </w:tc>
        <w:tc>
          <w:tcPr>
            <w:tcW w:w="1741" w:type="pct"/>
            <w:shd w:val="clear" w:color="auto" w:fill="auto"/>
            <w:vAlign w:val="center"/>
          </w:tcPr>
          <w:p w14:paraId="6B8E5855">
            <w:pPr>
              <w:widowControl/>
              <w:tabs>
                <w:tab w:val="left" w:pos="-107"/>
              </w:tabs>
              <w:spacing w:line="240" w:lineRule="auto"/>
              <w:ind w:firstLine="0" w:firstLineChars="0"/>
              <w:jc w:val="center"/>
              <w:rPr>
                <w:color w:val="auto"/>
                <w:kern w:val="0"/>
                <w:sz w:val="21"/>
                <w:szCs w:val="21"/>
              </w:rPr>
            </w:pPr>
            <w:r>
              <w:rPr>
                <w:color w:val="auto"/>
                <w:kern w:val="0"/>
                <w:sz w:val="21"/>
                <w:szCs w:val="21"/>
              </w:rPr>
              <w:t>铁</w:t>
            </w:r>
          </w:p>
        </w:tc>
        <w:tc>
          <w:tcPr>
            <w:tcW w:w="503" w:type="pct"/>
            <w:shd w:val="clear" w:color="auto" w:fill="auto"/>
            <w:vAlign w:val="center"/>
          </w:tcPr>
          <w:p w14:paraId="4EDFACC3">
            <w:pPr>
              <w:widowControl/>
              <w:spacing w:line="240" w:lineRule="auto"/>
              <w:ind w:firstLine="0" w:firstLineChars="0"/>
              <w:jc w:val="center"/>
              <w:rPr>
                <w:color w:val="auto"/>
                <w:kern w:val="0"/>
                <w:sz w:val="21"/>
                <w:szCs w:val="21"/>
              </w:rPr>
            </w:pPr>
            <w:r>
              <w:rPr>
                <w:color w:val="auto"/>
                <w:kern w:val="0"/>
                <w:sz w:val="21"/>
                <w:szCs w:val="21"/>
              </w:rPr>
              <w:t>≤0.1</w:t>
            </w:r>
          </w:p>
        </w:tc>
        <w:tc>
          <w:tcPr>
            <w:tcW w:w="503" w:type="pct"/>
            <w:shd w:val="clear" w:color="auto" w:fill="auto"/>
            <w:vAlign w:val="center"/>
          </w:tcPr>
          <w:p w14:paraId="75F3A6A7">
            <w:pPr>
              <w:widowControl/>
              <w:spacing w:line="240" w:lineRule="auto"/>
              <w:ind w:firstLine="0" w:firstLineChars="0"/>
              <w:jc w:val="center"/>
              <w:rPr>
                <w:color w:val="auto"/>
                <w:kern w:val="0"/>
                <w:sz w:val="21"/>
                <w:szCs w:val="21"/>
              </w:rPr>
            </w:pPr>
            <w:r>
              <w:rPr>
                <w:color w:val="auto"/>
                <w:kern w:val="0"/>
                <w:sz w:val="21"/>
                <w:szCs w:val="21"/>
              </w:rPr>
              <w:t>≤0.2</w:t>
            </w:r>
          </w:p>
        </w:tc>
        <w:tc>
          <w:tcPr>
            <w:tcW w:w="473" w:type="pct"/>
            <w:shd w:val="clear" w:color="auto" w:fill="auto"/>
            <w:vAlign w:val="center"/>
          </w:tcPr>
          <w:p w14:paraId="1F4D5180">
            <w:pPr>
              <w:widowControl/>
              <w:spacing w:line="240" w:lineRule="auto"/>
              <w:ind w:firstLine="0" w:firstLineChars="0"/>
              <w:jc w:val="center"/>
              <w:rPr>
                <w:color w:val="auto"/>
                <w:kern w:val="0"/>
                <w:sz w:val="21"/>
                <w:szCs w:val="21"/>
              </w:rPr>
            </w:pPr>
            <w:r>
              <w:rPr>
                <w:color w:val="auto"/>
                <w:kern w:val="0"/>
                <w:sz w:val="21"/>
                <w:szCs w:val="21"/>
              </w:rPr>
              <w:t>≤0.3</w:t>
            </w:r>
          </w:p>
        </w:tc>
        <w:tc>
          <w:tcPr>
            <w:tcW w:w="855" w:type="pct"/>
            <w:shd w:val="clear" w:color="auto" w:fill="auto"/>
            <w:vAlign w:val="center"/>
          </w:tcPr>
          <w:p w14:paraId="743C66A6">
            <w:pPr>
              <w:widowControl/>
              <w:spacing w:line="240" w:lineRule="auto"/>
              <w:ind w:firstLine="0" w:firstLineChars="0"/>
              <w:jc w:val="center"/>
              <w:rPr>
                <w:color w:val="auto"/>
                <w:kern w:val="0"/>
                <w:sz w:val="21"/>
                <w:szCs w:val="21"/>
              </w:rPr>
            </w:pPr>
            <w:r>
              <w:rPr>
                <w:color w:val="auto"/>
                <w:kern w:val="0"/>
                <w:sz w:val="21"/>
                <w:szCs w:val="21"/>
              </w:rPr>
              <w:t>≤2</w:t>
            </w:r>
          </w:p>
        </w:tc>
        <w:tc>
          <w:tcPr>
            <w:tcW w:w="570" w:type="pct"/>
            <w:shd w:val="clear" w:color="auto" w:fill="auto"/>
            <w:vAlign w:val="center"/>
          </w:tcPr>
          <w:p w14:paraId="4C3AF5A0">
            <w:pPr>
              <w:widowControl/>
              <w:spacing w:line="240" w:lineRule="auto"/>
              <w:ind w:firstLine="0" w:firstLineChars="0"/>
              <w:jc w:val="center"/>
              <w:rPr>
                <w:color w:val="auto"/>
                <w:kern w:val="0"/>
                <w:sz w:val="21"/>
                <w:szCs w:val="21"/>
              </w:rPr>
            </w:pPr>
            <w:r>
              <w:rPr>
                <w:color w:val="auto"/>
                <w:kern w:val="0"/>
                <w:sz w:val="21"/>
                <w:szCs w:val="21"/>
              </w:rPr>
              <w:t>&gt;2</w:t>
            </w:r>
          </w:p>
        </w:tc>
      </w:tr>
      <w:tr w14:paraId="76E2A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1B54D64D">
            <w:pPr>
              <w:widowControl/>
              <w:spacing w:line="240" w:lineRule="auto"/>
              <w:ind w:firstLine="0" w:firstLineChars="0"/>
              <w:jc w:val="center"/>
              <w:rPr>
                <w:color w:val="auto"/>
                <w:kern w:val="0"/>
                <w:sz w:val="21"/>
                <w:szCs w:val="21"/>
              </w:rPr>
            </w:pPr>
            <w:r>
              <w:rPr>
                <w:color w:val="auto"/>
                <w:kern w:val="0"/>
                <w:sz w:val="21"/>
                <w:szCs w:val="21"/>
              </w:rPr>
              <w:t>18</w:t>
            </w:r>
          </w:p>
        </w:tc>
        <w:tc>
          <w:tcPr>
            <w:tcW w:w="1741" w:type="pct"/>
            <w:shd w:val="clear" w:color="auto" w:fill="auto"/>
            <w:vAlign w:val="center"/>
          </w:tcPr>
          <w:p w14:paraId="20AE0B30">
            <w:pPr>
              <w:widowControl/>
              <w:tabs>
                <w:tab w:val="left" w:pos="-107"/>
              </w:tabs>
              <w:spacing w:line="240" w:lineRule="auto"/>
              <w:ind w:firstLine="0" w:firstLineChars="0"/>
              <w:jc w:val="center"/>
              <w:rPr>
                <w:color w:val="auto"/>
                <w:kern w:val="0"/>
                <w:sz w:val="21"/>
                <w:szCs w:val="21"/>
              </w:rPr>
            </w:pPr>
            <w:r>
              <w:rPr>
                <w:color w:val="auto"/>
                <w:kern w:val="0"/>
                <w:sz w:val="21"/>
                <w:szCs w:val="21"/>
              </w:rPr>
              <w:t>锰</w:t>
            </w:r>
          </w:p>
        </w:tc>
        <w:tc>
          <w:tcPr>
            <w:tcW w:w="503" w:type="pct"/>
            <w:shd w:val="clear" w:color="auto" w:fill="auto"/>
            <w:vAlign w:val="center"/>
          </w:tcPr>
          <w:p w14:paraId="4FEFE14A">
            <w:pPr>
              <w:widowControl/>
              <w:spacing w:line="240" w:lineRule="auto"/>
              <w:ind w:firstLine="0" w:firstLineChars="0"/>
              <w:jc w:val="center"/>
              <w:rPr>
                <w:color w:val="auto"/>
                <w:kern w:val="0"/>
                <w:sz w:val="21"/>
                <w:szCs w:val="21"/>
              </w:rPr>
            </w:pPr>
            <w:r>
              <w:rPr>
                <w:color w:val="auto"/>
                <w:kern w:val="0"/>
                <w:sz w:val="21"/>
                <w:szCs w:val="21"/>
              </w:rPr>
              <w:t>≤0.05</w:t>
            </w:r>
          </w:p>
        </w:tc>
        <w:tc>
          <w:tcPr>
            <w:tcW w:w="503" w:type="pct"/>
            <w:shd w:val="clear" w:color="auto" w:fill="auto"/>
            <w:vAlign w:val="center"/>
          </w:tcPr>
          <w:p w14:paraId="40A2BE35">
            <w:pPr>
              <w:widowControl/>
              <w:spacing w:line="240" w:lineRule="auto"/>
              <w:ind w:firstLine="0" w:firstLineChars="0"/>
              <w:jc w:val="center"/>
              <w:rPr>
                <w:color w:val="auto"/>
                <w:kern w:val="0"/>
                <w:sz w:val="21"/>
                <w:szCs w:val="21"/>
              </w:rPr>
            </w:pPr>
            <w:r>
              <w:rPr>
                <w:color w:val="auto"/>
                <w:kern w:val="0"/>
                <w:sz w:val="21"/>
                <w:szCs w:val="21"/>
              </w:rPr>
              <w:t>≤0.05</w:t>
            </w:r>
          </w:p>
        </w:tc>
        <w:tc>
          <w:tcPr>
            <w:tcW w:w="473" w:type="pct"/>
            <w:shd w:val="clear" w:color="auto" w:fill="auto"/>
            <w:vAlign w:val="center"/>
          </w:tcPr>
          <w:p w14:paraId="3E67C76D">
            <w:pPr>
              <w:widowControl/>
              <w:spacing w:line="240" w:lineRule="auto"/>
              <w:ind w:firstLine="0" w:firstLineChars="0"/>
              <w:jc w:val="center"/>
              <w:rPr>
                <w:color w:val="auto"/>
                <w:kern w:val="0"/>
                <w:sz w:val="21"/>
                <w:szCs w:val="21"/>
              </w:rPr>
            </w:pPr>
            <w:r>
              <w:rPr>
                <w:color w:val="auto"/>
                <w:kern w:val="0"/>
                <w:sz w:val="21"/>
                <w:szCs w:val="21"/>
              </w:rPr>
              <w:t>≤0.1</w:t>
            </w:r>
          </w:p>
        </w:tc>
        <w:tc>
          <w:tcPr>
            <w:tcW w:w="855" w:type="pct"/>
            <w:shd w:val="clear" w:color="auto" w:fill="auto"/>
            <w:vAlign w:val="center"/>
          </w:tcPr>
          <w:p w14:paraId="2E5A8813">
            <w:pPr>
              <w:widowControl/>
              <w:spacing w:line="240" w:lineRule="auto"/>
              <w:ind w:firstLine="0" w:firstLineChars="0"/>
              <w:jc w:val="center"/>
              <w:rPr>
                <w:color w:val="auto"/>
                <w:kern w:val="0"/>
                <w:sz w:val="21"/>
                <w:szCs w:val="21"/>
              </w:rPr>
            </w:pPr>
            <w:r>
              <w:rPr>
                <w:color w:val="auto"/>
                <w:kern w:val="0"/>
                <w:sz w:val="21"/>
                <w:szCs w:val="21"/>
              </w:rPr>
              <w:t>≤1.5</w:t>
            </w:r>
          </w:p>
        </w:tc>
        <w:tc>
          <w:tcPr>
            <w:tcW w:w="570" w:type="pct"/>
            <w:shd w:val="clear" w:color="auto" w:fill="auto"/>
            <w:vAlign w:val="center"/>
          </w:tcPr>
          <w:p w14:paraId="622314D2">
            <w:pPr>
              <w:widowControl/>
              <w:spacing w:line="240" w:lineRule="auto"/>
              <w:ind w:firstLine="0" w:firstLineChars="0"/>
              <w:jc w:val="center"/>
              <w:rPr>
                <w:color w:val="auto"/>
                <w:kern w:val="0"/>
                <w:sz w:val="21"/>
                <w:szCs w:val="21"/>
              </w:rPr>
            </w:pPr>
            <w:r>
              <w:rPr>
                <w:color w:val="auto"/>
                <w:kern w:val="0"/>
                <w:sz w:val="21"/>
                <w:szCs w:val="21"/>
              </w:rPr>
              <w:t>&gt;1.5</w:t>
            </w:r>
          </w:p>
        </w:tc>
      </w:tr>
      <w:tr w14:paraId="0FCF4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702A24B0">
            <w:pPr>
              <w:widowControl/>
              <w:spacing w:line="240" w:lineRule="auto"/>
              <w:ind w:firstLine="0" w:firstLineChars="0"/>
              <w:jc w:val="center"/>
              <w:rPr>
                <w:color w:val="auto"/>
                <w:kern w:val="0"/>
                <w:sz w:val="21"/>
                <w:szCs w:val="21"/>
              </w:rPr>
            </w:pPr>
            <w:r>
              <w:rPr>
                <w:color w:val="auto"/>
                <w:kern w:val="0"/>
                <w:sz w:val="21"/>
                <w:szCs w:val="21"/>
              </w:rPr>
              <w:t>19</w:t>
            </w:r>
          </w:p>
        </w:tc>
        <w:tc>
          <w:tcPr>
            <w:tcW w:w="1741" w:type="pct"/>
            <w:shd w:val="clear" w:color="auto" w:fill="auto"/>
            <w:vAlign w:val="center"/>
          </w:tcPr>
          <w:p w14:paraId="1BCE7172">
            <w:pPr>
              <w:widowControl/>
              <w:tabs>
                <w:tab w:val="left" w:pos="-107"/>
              </w:tabs>
              <w:spacing w:line="240" w:lineRule="auto"/>
              <w:ind w:firstLine="0" w:firstLineChars="0"/>
              <w:jc w:val="center"/>
              <w:rPr>
                <w:color w:val="auto"/>
                <w:kern w:val="0"/>
                <w:sz w:val="21"/>
                <w:szCs w:val="21"/>
              </w:rPr>
            </w:pPr>
            <w:r>
              <w:rPr>
                <w:color w:val="auto"/>
                <w:kern w:val="0"/>
                <w:sz w:val="21"/>
                <w:szCs w:val="21"/>
              </w:rPr>
              <w:t>总硬度</w:t>
            </w:r>
          </w:p>
        </w:tc>
        <w:tc>
          <w:tcPr>
            <w:tcW w:w="503" w:type="pct"/>
            <w:shd w:val="clear" w:color="auto" w:fill="auto"/>
            <w:vAlign w:val="center"/>
          </w:tcPr>
          <w:p w14:paraId="59E2DF7B">
            <w:pPr>
              <w:widowControl/>
              <w:spacing w:line="240" w:lineRule="auto"/>
              <w:ind w:firstLine="0" w:firstLineChars="0"/>
              <w:jc w:val="center"/>
              <w:rPr>
                <w:color w:val="auto"/>
                <w:kern w:val="0"/>
                <w:sz w:val="21"/>
                <w:szCs w:val="21"/>
              </w:rPr>
            </w:pPr>
            <w:r>
              <w:rPr>
                <w:color w:val="auto"/>
                <w:kern w:val="0"/>
                <w:sz w:val="21"/>
                <w:szCs w:val="21"/>
              </w:rPr>
              <w:t>≤150</w:t>
            </w:r>
          </w:p>
        </w:tc>
        <w:tc>
          <w:tcPr>
            <w:tcW w:w="503" w:type="pct"/>
            <w:shd w:val="clear" w:color="auto" w:fill="auto"/>
            <w:vAlign w:val="center"/>
          </w:tcPr>
          <w:p w14:paraId="6FA44CF2">
            <w:pPr>
              <w:widowControl/>
              <w:spacing w:line="240" w:lineRule="auto"/>
              <w:ind w:firstLine="0" w:firstLineChars="0"/>
              <w:jc w:val="center"/>
              <w:rPr>
                <w:color w:val="auto"/>
                <w:kern w:val="0"/>
                <w:sz w:val="21"/>
                <w:szCs w:val="21"/>
              </w:rPr>
            </w:pPr>
            <w:r>
              <w:rPr>
                <w:color w:val="auto"/>
                <w:kern w:val="0"/>
                <w:sz w:val="21"/>
                <w:szCs w:val="21"/>
              </w:rPr>
              <w:t>≤300</w:t>
            </w:r>
          </w:p>
        </w:tc>
        <w:tc>
          <w:tcPr>
            <w:tcW w:w="473" w:type="pct"/>
            <w:shd w:val="clear" w:color="auto" w:fill="auto"/>
            <w:vAlign w:val="center"/>
          </w:tcPr>
          <w:p w14:paraId="0D28C2E6">
            <w:pPr>
              <w:widowControl/>
              <w:spacing w:line="240" w:lineRule="auto"/>
              <w:ind w:firstLine="0" w:firstLineChars="0"/>
              <w:jc w:val="center"/>
              <w:rPr>
                <w:color w:val="auto"/>
                <w:kern w:val="0"/>
                <w:sz w:val="21"/>
                <w:szCs w:val="21"/>
              </w:rPr>
            </w:pPr>
            <w:r>
              <w:rPr>
                <w:color w:val="auto"/>
                <w:kern w:val="0"/>
                <w:sz w:val="21"/>
                <w:szCs w:val="21"/>
              </w:rPr>
              <w:t>≤450</w:t>
            </w:r>
          </w:p>
        </w:tc>
        <w:tc>
          <w:tcPr>
            <w:tcW w:w="855" w:type="pct"/>
            <w:shd w:val="clear" w:color="auto" w:fill="auto"/>
            <w:vAlign w:val="center"/>
          </w:tcPr>
          <w:p w14:paraId="6FC9A314">
            <w:pPr>
              <w:widowControl/>
              <w:spacing w:line="240" w:lineRule="auto"/>
              <w:ind w:firstLine="0" w:firstLineChars="0"/>
              <w:jc w:val="center"/>
              <w:rPr>
                <w:color w:val="auto"/>
                <w:kern w:val="0"/>
                <w:sz w:val="21"/>
                <w:szCs w:val="21"/>
              </w:rPr>
            </w:pPr>
            <w:r>
              <w:rPr>
                <w:color w:val="auto"/>
                <w:kern w:val="0"/>
                <w:sz w:val="21"/>
                <w:szCs w:val="21"/>
              </w:rPr>
              <w:t>≤650</w:t>
            </w:r>
          </w:p>
        </w:tc>
        <w:tc>
          <w:tcPr>
            <w:tcW w:w="570" w:type="pct"/>
            <w:shd w:val="clear" w:color="auto" w:fill="auto"/>
            <w:vAlign w:val="center"/>
          </w:tcPr>
          <w:p w14:paraId="258238F1">
            <w:pPr>
              <w:widowControl/>
              <w:spacing w:line="240" w:lineRule="auto"/>
              <w:ind w:firstLine="0" w:firstLineChars="0"/>
              <w:jc w:val="center"/>
              <w:rPr>
                <w:color w:val="auto"/>
                <w:kern w:val="0"/>
                <w:sz w:val="21"/>
                <w:szCs w:val="21"/>
              </w:rPr>
            </w:pPr>
            <w:r>
              <w:rPr>
                <w:color w:val="auto"/>
                <w:kern w:val="0"/>
                <w:sz w:val="21"/>
                <w:szCs w:val="21"/>
              </w:rPr>
              <w:t>&gt;650</w:t>
            </w:r>
          </w:p>
        </w:tc>
      </w:tr>
      <w:tr w14:paraId="578A6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1DE38F7D">
            <w:pPr>
              <w:widowControl/>
              <w:spacing w:line="240" w:lineRule="auto"/>
              <w:ind w:firstLine="0" w:firstLineChars="0"/>
              <w:jc w:val="center"/>
              <w:rPr>
                <w:color w:val="auto"/>
                <w:kern w:val="0"/>
                <w:sz w:val="21"/>
                <w:szCs w:val="21"/>
              </w:rPr>
            </w:pPr>
            <w:r>
              <w:rPr>
                <w:color w:val="auto"/>
                <w:kern w:val="0"/>
                <w:sz w:val="21"/>
                <w:szCs w:val="21"/>
              </w:rPr>
              <w:t>20</w:t>
            </w:r>
          </w:p>
        </w:tc>
        <w:tc>
          <w:tcPr>
            <w:tcW w:w="1741" w:type="pct"/>
            <w:shd w:val="clear" w:color="auto" w:fill="auto"/>
            <w:vAlign w:val="center"/>
          </w:tcPr>
          <w:p w14:paraId="3E0462A3">
            <w:pPr>
              <w:widowControl/>
              <w:tabs>
                <w:tab w:val="left" w:pos="-107"/>
              </w:tabs>
              <w:spacing w:line="240" w:lineRule="auto"/>
              <w:ind w:firstLine="0" w:firstLineChars="0"/>
              <w:jc w:val="center"/>
              <w:rPr>
                <w:color w:val="auto"/>
                <w:kern w:val="0"/>
                <w:sz w:val="21"/>
                <w:szCs w:val="21"/>
              </w:rPr>
            </w:pPr>
            <w:r>
              <w:rPr>
                <w:color w:val="auto"/>
                <w:kern w:val="0"/>
                <w:sz w:val="21"/>
                <w:szCs w:val="21"/>
              </w:rPr>
              <w:t>溶解性总固体</w:t>
            </w:r>
          </w:p>
        </w:tc>
        <w:tc>
          <w:tcPr>
            <w:tcW w:w="503" w:type="pct"/>
            <w:shd w:val="clear" w:color="auto" w:fill="auto"/>
            <w:vAlign w:val="center"/>
          </w:tcPr>
          <w:p w14:paraId="4948D1D8">
            <w:pPr>
              <w:widowControl/>
              <w:spacing w:line="240" w:lineRule="auto"/>
              <w:ind w:firstLine="0" w:firstLineChars="0"/>
              <w:jc w:val="center"/>
              <w:rPr>
                <w:color w:val="auto"/>
                <w:kern w:val="0"/>
                <w:sz w:val="21"/>
                <w:szCs w:val="21"/>
              </w:rPr>
            </w:pPr>
            <w:r>
              <w:rPr>
                <w:color w:val="auto"/>
                <w:kern w:val="0"/>
                <w:sz w:val="21"/>
                <w:szCs w:val="21"/>
              </w:rPr>
              <w:t>≤300</w:t>
            </w:r>
          </w:p>
        </w:tc>
        <w:tc>
          <w:tcPr>
            <w:tcW w:w="503" w:type="pct"/>
            <w:shd w:val="clear" w:color="auto" w:fill="auto"/>
            <w:vAlign w:val="center"/>
          </w:tcPr>
          <w:p w14:paraId="09A72204">
            <w:pPr>
              <w:widowControl/>
              <w:spacing w:line="240" w:lineRule="auto"/>
              <w:ind w:firstLine="0" w:firstLineChars="0"/>
              <w:jc w:val="center"/>
              <w:rPr>
                <w:color w:val="auto"/>
                <w:kern w:val="0"/>
                <w:sz w:val="21"/>
                <w:szCs w:val="21"/>
              </w:rPr>
            </w:pPr>
            <w:r>
              <w:rPr>
                <w:color w:val="auto"/>
                <w:kern w:val="0"/>
                <w:sz w:val="21"/>
                <w:szCs w:val="21"/>
              </w:rPr>
              <w:t>≤500</w:t>
            </w:r>
          </w:p>
        </w:tc>
        <w:tc>
          <w:tcPr>
            <w:tcW w:w="473" w:type="pct"/>
            <w:shd w:val="clear" w:color="auto" w:fill="auto"/>
            <w:vAlign w:val="center"/>
          </w:tcPr>
          <w:p w14:paraId="6BD09F0F">
            <w:pPr>
              <w:widowControl/>
              <w:spacing w:line="240" w:lineRule="auto"/>
              <w:ind w:firstLine="0" w:firstLineChars="0"/>
              <w:jc w:val="center"/>
              <w:rPr>
                <w:color w:val="auto"/>
                <w:kern w:val="0"/>
                <w:sz w:val="21"/>
                <w:szCs w:val="21"/>
              </w:rPr>
            </w:pPr>
            <w:r>
              <w:rPr>
                <w:color w:val="auto"/>
                <w:kern w:val="0"/>
                <w:sz w:val="21"/>
                <w:szCs w:val="21"/>
              </w:rPr>
              <w:t>≤1000</w:t>
            </w:r>
          </w:p>
        </w:tc>
        <w:tc>
          <w:tcPr>
            <w:tcW w:w="855" w:type="pct"/>
            <w:shd w:val="clear" w:color="auto" w:fill="auto"/>
            <w:vAlign w:val="center"/>
          </w:tcPr>
          <w:p w14:paraId="3D72F7B6">
            <w:pPr>
              <w:widowControl/>
              <w:spacing w:line="240" w:lineRule="auto"/>
              <w:ind w:firstLine="0" w:firstLineChars="0"/>
              <w:jc w:val="center"/>
              <w:rPr>
                <w:color w:val="auto"/>
                <w:kern w:val="0"/>
                <w:sz w:val="21"/>
                <w:szCs w:val="21"/>
              </w:rPr>
            </w:pPr>
            <w:r>
              <w:rPr>
                <w:color w:val="auto"/>
                <w:kern w:val="0"/>
                <w:sz w:val="21"/>
                <w:szCs w:val="21"/>
              </w:rPr>
              <w:t>≤2000</w:t>
            </w:r>
          </w:p>
        </w:tc>
        <w:tc>
          <w:tcPr>
            <w:tcW w:w="570" w:type="pct"/>
            <w:shd w:val="clear" w:color="auto" w:fill="auto"/>
            <w:vAlign w:val="center"/>
          </w:tcPr>
          <w:p w14:paraId="7E95E54B">
            <w:pPr>
              <w:widowControl/>
              <w:spacing w:line="240" w:lineRule="auto"/>
              <w:ind w:firstLine="0" w:firstLineChars="0"/>
              <w:jc w:val="center"/>
              <w:rPr>
                <w:color w:val="auto"/>
                <w:kern w:val="0"/>
                <w:sz w:val="21"/>
                <w:szCs w:val="21"/>
              </w:rPr>
            </w:pPr>
            <w:r>
              <w:rPr>
                <w:color w:val="auto"/>
                <w:kern w:val="0"/>
                <w:sz w:val="21"/>
                <w:szCs w:val="21"/>
              </w:rPr>
              <w:t>&gt;2000</w:t>
            </w:r>
          </w:p>
        </w:tc>
      </w:tr>
      <w:tr w14:paraId="09DB7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73E46D25">
            <w:pPr>
              <w:widowControl/>
              <w:spacing w:line="240" w:lineRule="auto"/>
              <w:ind w:firstLine="0" w:firstLineChars="0"/>
              <w:jc w:val="center"/>
              <w:rPr>
                <w:color w:val="auto"/>
                <w:kern w:val="0"/>
                <w:sz w:val="21"/>
                <w:szCs w:val="21"/>
              </w:rPr>
            </w:pPr>
            <w:r>
              <w:rPr>
                <w:color w:val="auto"/>
                <w:kern w:val="0"/>
                <w:sz w:val="21"/>
                <w:szCs w:val="21"/>
              </w:rPr>
              <w:t>21</w:t>
            </w:r>
          </w:p>
        </w:tc>
        <w:tc>
          <w:tcPr>
            <w:tcW w:w="1741" w:type="pct"/>
            <w:shd w:val="clear" w:color="auto" w:fill="auto"/>
            <w:vAlign w:val="center"/>
          </w:tcPr>
          <w:p w14:paraId="1D3C265F">
            <w:pPr>
              <w:widowControl/>
              <w:tabs>
                <w:tab w:val="left" w:pos="-107"/>
              </w:tabs>
              <w:spacing w:line="240" w:lineRule="auto"/>
              <w:ind w:firstLine="0" w:firstLineChars="0"/>
              <w:jc w:val="center"/>
              <w:rPr>
                <w:color w:val="auto"/>
                <w:kern w:val="0"/>
                <w:sz w:val="21"/>
                <w:szCs w:val="21"/>
              </w:rPr>
            </w:pPr>
            <w:r>
              <w:rPr>
                <w:color w:val="auto"/>
                <w:kern w:val="0"/>
                <w:sz w:val="21"/>
                <w:szCs w:val="21"/>
              </w:rPr>
              <w:t>总大肠菌群</w:t>
            </w:r>
          </w:p>
        </w:tc>
        <w:tc>
          <w:tcPr>
            <w:tcW w:w="503" w:type="pct"/>
            <w:shd w:val="clear" w:color="auto" w:fill="auto"/>
            <w:vAlign w:val="center"/>
          </w:tcPr>
          <w:p w14:paraId="2798BCCA">
            <w:pPr>
              <w:widowControl/>
              <w:spacing w:line="240" w:lineRule="auto"/>
              <w:ind w:firstLine="0" w:firstLineChars="0"/>
              <w:jc w:val="center"/>
              <w:rPr>
                <w:color w:val="auto"/>
                <w:kern w:val="0"/>
                <w:sz w:val="21"/>
                <w:szCs w:val="21"/>
              </w:rPr>
            </w:pPr>
            <w:r>
              <w:rPr>
                <w:color w:val="auto"/>
                <w:kern w:val="0"/>
                <w:sz w:val="21"/>
                <w:szCs w:val="21"/>
              </w:rPr>
              <w:t>≤3</w:t>
            </w:r>
          </w:p>
        </w:tc>
        <w:tc>
          <w:tcPr>
            <w:tcW w:w="503" w:type="pct"/>
            <w:shd w:val="clear" w:color="auto" w:fill="auto"/>
            <w:vAlign w:val="center"/>
          </w:tcPr>
          <w:p w14:paraId="298F66A7">
            <w:pPr>
              <w:widowControl/>
              <w:spacing w:line="240" w:lineRule="auto"/>
              <w:ind w:firstLine="0" w:firstLineChars="0"/>
              <w:jc w:val="center"/>
              <w:rPr>
                <w:color w:val="auto"/>
                <w:kern w:val="0"/>
                <w:sz w:val="21"/>
                <w:szCs w:val="21"/>
              </w:rPr>
            </w:pPr>
            <w:r>
              <w:rPr>
                <w:color w:val="auto"/>
                <w:kern w:val="0"/>
                <w:sz w:val="21"/>
                <w:szCs w:val="21"/>
              </w:rPr>
              <w:t>≤3</w:t>
            </w:r>
          </w:p>
        </w:tc>
        <w:tc>
          <w:tcPr>
            <w:tcW w:w="473" w:type="pct"/>
            <w:shd w:val="clear" w:color="auto" w:fill="auto"/>
            <w:vAlign w:val="center"/>
          </w:tcPr>
          <w:p w14:paraId="7D61E344">
            <w:pPr>
              <w:widowControl/>
              <w:spacing w:line="240" w:lineRule="auto"/>
              <w:ind w:firstLine="0" w:firstLineChars="0"/>
              <w:jc w:val="center"/>
              <w:rPr>
                <w:color w:val="auto"/>
                <w:kern w:val="0"/>
                <w:sz w:val="21"/>
                <w:szCs w:val="21"/>
              </w:rPr>
            </w:pPr>
            <w:r>
              <w:rPr>
                <w:color w:val="auto"/>
                <w:kern w:val="0"/>
                <w:sz w:val="21"/>
                <w:szCs w:val="21"/>
              </w:rPr>
              <w:t>≤3</w:t>
            </w:r>
          </w:p>
        </w:tc>
        <w:tc>
          <w:tcPr>
            <w:tcW w:w="855" w:type="pct"/>
            <w:shd w:val="clear" w:color="auto" w:fill="auto"/>
            <w:vAlign w:val="center"/>
          </w:tcPr>
          <w:p w14:paraId="2F58964C">
            <w:pPr>
              <w:widowControl/>
              <w:spacing w:line="240" w:lineRule="auto"/>
              <w:ind w:firstLine="0" w:firstLineChars="0"/>
              <w:jc w:val="center"/>
              <w:rPr>
                <w:color w:val="auto"/>
                <w:kern w:val="0"/>
                <w:sz w:val="21"/>
                <w:szCs w:val="21"/>
              </w:rPr>
            </w:pPr>
            <w:r>
              <w:rPr>
                <w:color w:val="auto"/>
                <w:kern w:val="0"/>
                <w:sz w:val="21"/>
                <w:szCs w:val="21"/>
              </w:rPr>
              <w:t>≤100</w:t>
            </w:r>
          </w:p>
        </w:tc>
        <w:tc>
          <w:tcPr>
            <w:tcW w:w="570" w:type="pct"/>
            <w:shd w:val="clear" w:color="auto" w:fill="auto"/>
            <w:vAlign w:val="center"/>
          </w:tcPr>
          <w:p w14:paraId="748ABF57">
            <w:pPr>
              <w:widowControl/>
              <w:spacing w:line="240" w:lineRule="auto"/>
              <w:ind w:firstLine="0" w:firstLineChars="0"/>
              <w:jc w:val="center"/>
              <w:rPr>
                <w:color w:val="auto"/>
                <w:kern w:val="0"/>
                <w:sz w:val="21"/>
                <w:szCs w:val="21"/>
              </w:rPr>
            </w:pPr>
            <w:r>
              <w:rPr>
                <w:color w:val="auto"/>
                <w:kern w:val="0"/>
                <w:sz w:val="21"/>
                <w:szCs w:val="21"/>
              </w:rPr>
              <w:t>&gt;100</w:t>
            </w:r>
          </w:p>
        </w:tc>
      </w:tr>
      <w:tr w14:paraId="01647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352" w:type="pct"/>
            <w:shd w:val="clear" w:color="auto" w:fill="auto"/>
            <w:vAlign w:val="center"/>
          </w:tcPr>
          <w:p w14:paraId="434023A2">
            <w:pPr>
              <w:widowControl/>
              <w:spacing w:line="240" w:lineRule="auto"/>
              <w:ind w:firstLine="0" w:firstLineChars="0"/>
              <w:jc w:val="center"/>
              <w:rPr>
                <w:color w:val="auto"/>
                <w:kern w:val="0"/>
                <w:sz w:val="21"/>
                <w:szCs w:val="21"/>
              </w:rPr>
            </w:pPr>
            <w:r>
              <w:rPr>
                <w:color w:val="auto"/>
                <w:kern w:val="0"/>
                <w:sz w:val="21"/>
                <w:szCs w:val="21"/>
              </w:rPr>
              <w:t>22</w:t>
            </w:r>
          </w:p>
        </w:tc>
        <w:tc>
          <w:tcPr>
            <w:tcW w:w="1741" w:type="pct"/>
            <w:shd w:val="clear" w:color="auto" w:fill="auto"/>
            <w:vAlign w:val="center"/>
          </w:tcPr>
          <w:p w14:paraId="0EA3C723">
            <w:pPr>
              <w:widowControl/>
              <w:tabs>
                <w:tab w:val="left" w:pos="-107"/>
              </w:tabs>
              <w:spacing w:line="240" w:lineRule="auto"/>
              <w:ind w:firstLine="0" w:firstLineChars="0"/>
              <w:jc w:val="center"/>
              <w:rPr>
                <w:color w:val="auto"/>
                <w:kern w:val="0"/>
                <w:sz w:val="21"/>
                <w:szCs w:val="21"/>
              </w:rPr>
            </w:pPr>
            <w:r>
              <w:rPr>
                <w:color w:val="auto"/>
                <w:kern w:val="0"/>
                <w:sz w:val="21"/>
                <w:szCs w:val="21"/>
              </w:rPr>
              <w:t>细菌总数</w:t>
            </w:r>
          </w:p>
        </w:tc>
        <w:tc>
          <w:tcPr>
            <w:tcW w:w="503" w:type="pct"/>
            <w:shd w:val="clear" w:color="auto" w:fill="auto"/>
            <w:vAlign w:val="center"/>
          </w:tcPr>
          <w:p w14:paraId="3C1B2F8E">
            <w:pPr>
              <w:widowControl/>
              <w:spacing w:line="240" w:lineRule="auto"/>
              <w:ind w:firstLine="0" w:firstLineChars="0"/>
              <w:jc w:val="center"/>
              <w:rPr>
                <w:color w:val="auto"/>
                <w:kern w:val="0"/>
                <w:sz w:val="21"/>
                <w:szCs w:val="21"/>
              </w:rPr>
            </w:pPr>
            <w:r>
              <w:rPr>
                <w:color w:val="auto"/>
                <w:kern w:val="0"/>
                <w:sz w:val="21"/>
                <w:szCs w:val="21"/>
              </w:rPr>
              <w:t>≤100</w:t>
            </w:r>
          </w:p>
        </w:tc>
        <w:tc>
          <w:tcPr>
            <w:tcW w:w="503" w:type="pct"/>
            <w:shd w:val="clear" w:color="auto" w:fill="auto"/>
            <w:vAlign w:val="center"/>
          </w:tcPr>
          <w:p w14:paraId="79FC2A02">
            <w:pPr>
              <w:widowControl/>
              <w:spacing w:line="240" w:lineRule="auto"/>
              <w:ind w:firstLine="0" w:firstLineChars="0"/>
              <w:jc w:val="center"/>
              <w:rPr>
                <w:color w:val="auto"/>
                <w:kern w:val="0"/>
                <w:sz w:val="21"/>
                <w:szCs w:val="21"/>
              </w:rPr>
            </w:pPr>
            <w:r>
              <w:rPr>
                <w:color w:val="auto"/>
                <w:kern w:val="0"/>
                <w:sz w:val="21"/>
                <w:szCs w:val="21"/>
              </w:rPr>
              <w:t>≤100</w:t>
            </w:r>
          </w:p>
        </w:tc>
        <w:tc>
          <w:tcPr>
            <w:tcW w:w="473" w:type="pct"/>
            <w:shd w:val="clear" w:color="auto" w:fill="auto"/>
            <w:vAlign w:val="center"/>
          </w:tcPr>
          <w:p w14:paraId="59E47D3F">
            <w:pPr>
              <w:widowControl/>
              <w:spacing w:line="240" w:lineRule="auto"/>
              <w:ind w:firstLine="0" w:firstLineChars="0"/>
              <w:jc w:val="center"/>
              <w:rPr>
                <w:color w:val="auto"/>
                <w:kern w:val="0"/>
                <w:sz w:val="21"/>
                <w:szCs w:val="21"/>
              </w:rPr>
            </w:pPr>
            <w:r>
              <w:rPr>
                <w:color w:val="auto"/>
                <w:kern w:val="0"/>
                <w:sz w:val="21"/>
                <w:szCs w:val="21"/>
              </w:rPr>
              <w:t>≤100</w:t>
            </w:r>
          </w:p>
        </w:tc>
        <w:tc>
          <w:tcPr>
            <w:tcW w:w="855" w:type="pct"/>
            <w:shd w:val="clear" w:color="auto" w:fill="auto"/>
            <w:vAlign w:val="center"/>
          </w:tcPr>
          <w:p w14:paraId="2DA5B0BB">
            <w:pPr>
              <w:widowControl/>
              <w:spacing w:line="240" w:lineRule="auto"/>
              <w:ind w:firstLine="0" w:firstLineChars="0"/>
              <w:jc w:val="center"/>
              <w:rPr>
                <w:color w:val="auto"/>
                <w:kern w:val="0"/>
                <w:sz w:val="21"/>
                <w:szCs w:val="21"/>
              </w:rPr>
            </w:pPr>
            <w:r>
              <w:rPr>
                <w:color w:val="auto"/>
                <w:kern w:val="0"/>
                <w:sz w:val="21"/>
                <w:szCs w:val="21"/>
              </w:rPr>
              <w:t>≤1000</w:t>
            </w:r>
          </w:p>
        </w:tc>
        <w:tc>
          <w:tcPr>
            <w:tcW w:w="570" w:type="pct"/>
            <w:shd w:val="clear" w:color="auto" w:fill="auto"/>
            <w:vAlign w:val="center"/>
          </w:tcPr>
          <w:p w14:paraId="4879BD6A">
            <w:pPr>
              <w:widowControl/>
              <w:spacing w:line="240" w:lineRule="auto"/>
              <w:ind w:firstLine="0" w:firstLineChars="0"/>
              <w:jc w:val="center"/>
              <w:rPr>
                <w:color w:val="auto"/>
                <w:kern w:val="0"/>
                <w:sz w:val="21"/>
                <w:szCs w:val="21"/>
              </w:rPr>
            </w:pPr>
            <w:r>
              <w:rPr>
                <w:color w:val="auto"/>
                <w:kern w:val="0"/>
                <w:sz w:val="21"/>
                <w:szCs w:val="21"/>
              </w:rPr>
              <w:t>&gt;1000</w:t>
            </w:r>
          </w:p>
        </w:tc>
      </w:tr>
      <w:bookmarkEnd w:id="31"/>
      <w:bookmarkEnd w:id="32"/>
    </w:tbl>
    <w:p w14:paraId="05348620">
      <w:pPr>
        <w:spacing w:before="120" w:beforeLines="50"/>
        <w:ind w:firstLine="0" w:firstLineChars="0"/>
        <w:outlineLvl w:val="3"/>
        <w:rPr>
          <w:b/>
          <w:color w:val="auto"/>
        </w:rPr>
      </w:pPr>
      <w:r>
        <w:rPr>
          <w:b/>
          <w:color w:val="auto"/>
        </w:rPr>
        <w:t>2.4.3.4 噪声环境质量标准</w:t>
      </w:r>
    </w:p>
    <w:p w14:paraId="4B0A38CA">
      <w:pPr>
        <w:ind w:firstLine="480"/>
        <w:rPr>
          <w:color w:val="auto"/>
        </w:rPr>
      </w:pPr>
      <w:r>
        <w:rPr>
          <w:color w:val="auto"/>
        </w:rPr>
        <w:t>本项目位于连云港经济技术开发区</w:t>
      </w:r>
      <w:r>
        <w:rPr>
          <w:rFonts w:hint="eastAsia"/>
          <w:color w:val="auto"/>
        </w:rPr>
        <w:t>临港产业区西北片区</w:t>
      </w:r>
      <w:r>
        <w:rPr>
          <w:color w:val="auto"/>
        </w:rPr>
        <w:t>内，所在区域声环境质量执行《声环境质量标准》（GB3096-2008）3类区标准。具体见</w:t>
      </w:r>
      <w:r>
        <w:rPr>
          <w:color w:val="auto"/>
          <w:szCs w:val="28"/>
        </w:rPr>
        <w:t>2.4.2-4。</w:t>
      </w:r>
    </w:p>
    <w:p w14:paraId="62318770">
      <w:pPr>
        <w:tabs>
          <w:tab w:val="left" w:pos="0"/>
        </w:tabs>
        <w:spacing w:line="240" w:lineRule="auto"/>
        <w:ind w:firstLine="0" w:firstLineChars="0"/>
        <w:jc w:val="center"/>
        <w:rPr>
          <w:b/>
          <w:color w:val="auto"/>
        </w:rPr>
      </w:pPr>
      <w:r>
        <w:rPr>
          <w:b/>
          <w:color w:val="auto"/>
        </w:rPr>
        <w:t>表2.4.2-4  声环境质量标准    单位：dB(A)</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1884"/>
        <w:gridCol w:w="2322"/>
        <w:gridCol w:w="2318"/>
      </w:tblGrid>
      <w:tr w14:paraId="727AA52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7" w:type="pct"/>
          </w:tcPr>
          <w:p w14:paraId="2125BD6A">
            <w:pPr>
              <w:spacing w:line="240" w:lineRule="auto"/>
              <w:ind w:firstLine="422"/>
              <w:jc w:val="center"/>
              <w:rPr>
                <w:b/>
                <w:bCs/>
                <w:color w:val="auto"/>
                <w:kern w:val="44"/>
                <w:sz w:val="21"/>
                <w:szCs w:val="20"/>
              </w:rPr>
            </w:pPr>
            <w:r>
              <w:rPr>
                <w:b/>
                <w:bCs/>
                <w:color w:val="auto"/>
                <w:kern w:val="44"/>
                <w:sz w:val="21"/>
                <w:szCs w:val="20"/>
              </w:rPr>
              <w:t>厂界</w:t>
            </w:r>
          </w:p>
        </w:tc>
        <w:tc>
          <w:tcPr>
            <w:tcW w:w="1014" w:type="pct"/>
            <w:shd w:val="clear" w:color="auto" w:fill="auto"/>
            <w:vAlign w:val="center"/>
          </w:tcPr>
          <w:p w14:paraId="3FE04A4C">
            <w:pPr>
              <w:spacing w:line="240" w:lineRule="auto"/>
              <w:ind w:firstLine="422"/>
              <w:jc w:val="center"/>
              <w:rPr>
                <w:b/>
                <w:bCs/>
                <w:color w:val="auto"/>
                <w:kern w:val="44"/>
                <w:sz w:val="21"/>
                <w:szCs w:val="20"/>
              </w:rPr>
            </w:pPr>
            <w:r>
              <w:rPr>
                <w:b/>
                <w:bCs/>
                <w:color w:val="auto"/>
                <w:kern w:val="44"/>
                <w:sz w:val="21"/>
                <w:szCs w:val="20"/>
              </w:rPr>
              <w:t>类别</w:t>
            </w:r>
          </w:p>
        </w:tc>
        <w:tc>
          <w:tcPr>
            <w:tcW w:w="1250" w:type="pct"/>
            <w:shd w:val="clear" w:color="auto" w:fill="auto"/>
            <w:vAlign w:val="center"/>
          </w:tcPr>
          <w:p w14:paraId="1A8F27B1">
            <w:pPr>
              <w:spacing w:line="240" w:lineRule="auto"/>
              <w:ind w:firstLine="422"/>
              <w:jc w:val="center"/>
              <w:rPr>
                <w:b/>
                <w:bCs/>
                <w:color w:val="auto"/>
                <w:kern w:val="44"/>
                <w:sz w:val="21"/>
                <w:szCs w:val="20"/>
              </w:rPr>
            </w:pPr>
            <w:r>
              <w:rPr>
                <w:b/>
                <w:bCs/>
                <w:color w:val="auto"/>
                <w:kern w:val="44"/>
                <w:sz w:val="21"/>
                <w:szCs w:val="20"/>
              </w:rPr>
              <w:t>昼间</w:t>
            </w:r>
          </w:p>
        </w:tc>
        <w:tc>
          <w:tcPr>
            <w:tcW w:w="1248" w:type="pct"/>
            <w:shd w:val="clear" w:color="auto" w:fill="auto"/>
            <w:vAlign w:val="center"/>
          </w:tcPr>
          <w:p w14:paraId="00F2823A">
            <w:pPr>
              <w:spacing w:line="240" w:lineRule="auto"/>
              <w:ind w:firstLine="422"/>
              <w:jc w:val="center"/>
              <w:rPr>
                <w:b/>
                <w:bCs/>
                <w:color w:val="auto"/>
                <w:kern w:val="44"/>
                <w:sz w:val="21"/>
                <w:szCs w:val="20"/>
              </w:rPr>
            </w:pPr>
            <w:r>
              <w:rPr>
                <w:b/>
                <w:bCs/>
                <w:color w:val="auto"/>
                <w:kern w:val="44"/>
                <w:sz w:val="21"/>
                <w:szCs w:val="20"/>
              </w:rPr>
              <w:t>夜间</w:t>
            </w:r>
          </w:p>
        </w:tc>
      </w:tr>
      <w:tr w14:paraId="1386CB9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7" w:type="pct"/>
          </w:tcPr>
          <w:p w14:paraId="661E2726">
            <w:pPr>
              <w:spacing w:line="240" w:lineRule="auto"/>
              <w:ind w:firstLine="420"/>
              <w:jc w:val="center"/>
              <w:rPr>
                <w:color w:val="auto"/>
                <w:kern w:val="44"/>
                <w:sz w:val="21"/>
                <w:szCs w:val="20"/>
              </w:rPr>
            </w:pPr>
            <w:r>
              <w:rPr>
                <w:color w:val="auto"/>
                <w:kern w:val="44"/>
                <w:sz w:val="21"/>
                <w:szCs w:val="20"/>
              </w:rPr>
              <w:t>东、南、西、北厂界</w:t>
            </w:r>
          </w:p>
        </w:tc>
        <w:tc>
          <w:tcPr>
            <w:tcW w:w="1014" w:type="pct"/>
            <w:shd w:val="clear" w:color="auto" w:fill="auto"/>
            <w:vAlign w:val="center"/>
          </w:tcPr>
          <w:p w14:paraId="2DD0D6B7">
            <w:pPr>
              <w:spacing w:line="240" w:lineRule="auto"/>
              <w:ind w:firstLine="420"/>
              <w:jc w:val="center"/>
              <w:rPr>
                <w:color w:val="auto"/>
                <w:kern w:val="44"/>
                <w:sz w:val="21"/>
                <w:szCs w:val="20"/>
              </w:rPr>
            </w:pPr>
            <w:r>
              <w:rPr>
                <w:color w:val="auto"/>
                <w:kern w:val="44"/>
                <w:sz w:val="21"/>
                <w:szCs w:val="20"/>
              </w:rPr>
              <w:t>3</w:t>
            </w:r>
          </w:p>
        </w:tc>
        <w:tc>
          <w:tcPr>
            <w:tcW w:w="1250" w:type="pct"/>
            <w:shd w:val="clear" w:color="auto" w:fill="auto"/>
            <w:vAlign w:val="center"/>
          </w:tcPr>
          <w:p w14:paraId="3FC9F243">
            <w:pPr>
              <w:spacing w:line="240" w:lineRule="auto"/>
              <w:ind w:firstLine="420"/>
              <w:jc w:val="center"/>
              <w:rPr>
                <w:color w:val="auto"/>
                <w:kern w:val="44"/>
                <w:sz w:val="21"/>
                <w:szCs w:val="20"/>
              </w:rPr>
            </w:pPr>
            <w:r>
              <w:rPr>
                <w:color w:val="auto"/>
                <w:kern w:val="44"/>
                <w:sz w:val="21"/>
                <w:szCs w:val="20"/>
              </w:rPr>
              <w:t>65</w:t>
            </w:r>
          </w:p>
        </w:tc>
        <w:tc>
          <w:tcPr>
            <w:tcW w:w="1248" w:type="pct"/>
            <w:shd w:val="clear" w:color="auto" w:fill="auto"/>
            <w:vAlign w:val="center"/>
          </w:tcPr>
          <w:p w14:paraId="415FCEA1">
            <w:pPr>
              <w:spacing w:line="240" w:lineRule="auto"/>
              <w:ind w:firstLine="420"/>
              <w:jc w:val="center"/>
              <w:rPr>
                <w:color w:val="auto"/>
                <w:kern w:val="44"/>
                <w:sz w:val="21"/>
                <w:szCs w:val="20"/>
              </w:rPr>
            </w:pPr>
            <w:r>
              <w:rPr>
                <w:color w:val="auto"/>
                <w:kern w:val="44"/>
                <w:sz w:val="21"/>
                <w:szCs w:val="20"/>
              </w:rPr>
              <w:t>55</w:t>
            </w:r>
          </w:p>
        </w:tc>
      </w:tr>
    </w:tbl>
    <w:p w14:paraId="353DE056">
      <w:pPr>
        <w:spacing w:before="120" w:beforeLines="50"/>
        <w:ind w:firstLine="0" w:firstLineChars="0"/>
        <w:outlineLvl w:val="3"/>
        <w:rPr>
          <w:b/>
          <w:color w:val="auto"/>
        </w:rPr>
      </w:pPr>
      <w:r>
        <w:rPr>
          <w:b/>
          <w:color w:val="auto"/>
        </w:rPr>
        <w:t>2.4.3.5 土壤环境质量标准</w:t>
      </w:r>
    </w:p>
    <w:p w14:paraId="21D413B8">
      <w:pPr>
        <w:ind w:firstLine="480"/>
        <w:rPr>
          <w:color w:val="auto"/>
          <w:szCs w:val="28"/>
        </w:rPr>
      </w:pPr>
      <w:bookmarkStart w:id="33" w:name="_Hlk525826610"/>
      <w:r>
        <w:rPr>
          <w:color w:val="auto"/>
        </w:rPr>
        <w:t>本项目所在地土壤执行《土壤环境质量 建设用地土壤污染风险管控标准（试行）》（GB36600-2018）第二类用地类型标准</w:t>
      </w:r>
      <w:r>
        <w:rPr>
          <w:color w:val="auto"/>
          <w:szCs w:val="28"/>
        </w:rPr>
        <w:t>，具体见表2.4.2-5。</w:t>
      </w:r>
    </w:p>
    <w:p w14:paraId="60053077">
      <w:pPr>
        <w:tabs>
          <w:tab w:val="left" w:pos="0"/>
        </w:tabs>
        <w:spacing w:line="240" w:lineRule="auto"/>
        <w:ind w:firstLine="0" w:firstLineChars="0"/>
        <w:jc w:val="center"/>
        <w:rPr>
          <w:b/>
          <w:color w:val="auto"/>
        </w:rPr>
      </w:pPr>
      <w:r>
        <w:rPr>
          <w:b/>
          <w:color w:val="auto"/>
        </w:rPr>
        <w:t>表2.4.2-5  土壤环境质量标准    单位：mg/kg</w:t>
      </w:r>
    </w:p>
    <w:tbl>
      <w:tblPr>
        <w:tblStyle w:val="88"/>
        <w:tblW w:w="5000" w:type="pct"/>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005"/>
        <w:gridCol w:w="2152"/>
        <w:gridCol w:w="2414"/>
        <w:gridCol w:w="1857"/>
        <w:gridCol w:w="1858"/>
      </w:tblGrid>
      <w:tr w14:paraId="562B7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vMerge w:val="restart"/>
            <w:shd w:val="clear" w:color="auto" w:fill="auto"/>
            <w:vAlign w:val="center"/>
          </w:tcPr>
          <w:p w14:paraId="42212F08">
            <w:pPr>
              <w:spacing w:line="240" w:lineRule="auto"/>
              <w:ind w:firstLine="0" w:firstLineChars="0"/>
              <w:jc w:val="center"/>
              <w:rPr>
                <w:b/>
                <w:bCs/>
                <w:color w:val="auto"/>
                <w:sz w:val="21"/>
                <w:szCs w:val="21"/>
              </w:rPr>
            </w:pPr>
            <w:r>
              <w:rPr>
                <w:b/>
                <w:bCs/>
                <w:color w:val="auto"/>
                <w:sz w:val="21"/>
                <w:szCs w:val="21"/>
              </w:rPr>
              <w:t>序号</w:t>
            </w:r>
          </w:p>
        </w:tc>
        <w:tc>
          <w:tcPr>
            <w:tcW w:w="1159" w:type="pct"/>
            <w:vMerge w:val="restart"/>
            <w:shd w:val="clear" w:color="auto" w:fill="auto"/>
            <w:vAlign w:val="center"/>
          </w:tcPr>
          <w:p w14:paraId="0E160BAB">
            <w:pPr>
              <w:spacing w:line="240" w:lineRule="auto"/>
              <w:ind w:firstLine="0" w:firstLineChars="0"/>
              <w:jc w:val="center"/>
              <w:rPr>
                <w:b/>
                <w:bCs/>
                <w:color w:val="auto"/>
                <w:sz w:val="21"/>
                <w:szCs w:val="21"/>
              </w:rPr>
            </w:pPr>
            <w:r>
              <w:rPr>
                <w:b/>
                <w:bCs/>
                <w:color w:val="auto"/>
                <w:sz w:val="21"/>
                <w:szCs w:val="21"/>
              </w:rPr>
              <w:t>污染物项目</w:t>
            </w:r>
          </w:p>
        </w:tc>
        <w:tc>
          <w:tcPr>
            <w:tcW w:w="1300" w:type="pct"/>
            <w:vMerge w:val="restart"/>
            <w:shd w:val="clear" w:color="auto" w:fill="auto"/>
            <w:vAlign w:val="center"/>
          </w:tcPr>
          <w:p w14:paraId="7ECA56B7">
            <w:pPr>
              <w:spacing w:line="240" w:lineRule="auto"/>
              <w:ind w:firstLine="0" w:firstLineChars="0"/>
              <w:jc w:val="center"/>
              <w:rPr>
                <w:b/>
                <w:bCs/>
                <w:color w:val="auto"/>
                <w:sz w:val="21"/>
                <w:szCs w:val="21"/>
              </w:rPr>
            </w:pPr>
            <w:r>
              <w:rPr>
                <w:b/>
                <w:bCs/>
                <w:color w:val="auto"/>
                <w:sz w:val="21"/>
                <w:szCs w:val="21"/>
              </w:rPr>
              <w:t>CAS编号</w:t>
            </w:r>
          </w:p>
        </w:tc>
        <w:tc>
          <w:tcPr>
            <w:tcW w:w="1000" w:type="pct"/>
            <w:shd w:val="clear" w:color="auto" w:fill="auto"/>
            <w:vAlign w:val="center"/>
          </w:tcPr>
          <w:p w14:paraId="336DA224">
            <w:pPr>
              <w:spacing w:line="240" w:lineRule="auto"/>
              <w:ind w:firstLine="0" w:firstLineChars="0"/>
              <w:jc w:val="center"/>
              <w:rPr>
                <w:b/>
                <w:bCs/>
                <w:color w:val="auto"/>
                <w:sz w:val="21"/>
                <w:szCs w:val="21"/>
              </w:rPr>
            </w:pPr>
            <w:r>
              <w:rPr>
                <w:b/>
                <w:bCs/>
                <w:color w:val="auto"/>
                <w:sz w:val="21"/>
                <w:szCs w:val="21"/>
              </w:rPr>
              <w:t>筛选值</w:t>
            </w:r>
          </w:p>
        </w:tc>
        <w:tc>
          <w:tcPr>
            <w:tcW w:w="1000" w:type="pct"/>
            <w:shd w:val="clear" w:color="auto" w:fill="auto"/>
            <w:vAlign w:val="center"/>
          </w:tcPr>
          <w:p w14:paraId="0FF21C11">
            <w:pPr>
              <w:spacing w:line="240" w:lineRule="auto"/>
              <w:ind w:firstLine="0" w:firstLineChars="0"/>
              <w:jc w:val="center"/>
              <w:rPr>
                <w:b/>
                <w:bCs/>
                <w:color w:val="auto"/>
                <w:sz w:val="21"/>
                <w:szCs w:val="21"/>
              </w:rPr>
            </w:pPr>
            <w:r>
              <w:rPr>
                <w:b/>
                <w:bCs/>
                <w:color w:val="auto"/>
                <w:sz w:val="21"/>
                <w:szCs w:val="21"/>
              </w:rPr>
              <w:t>管制值</w:t>
            </w:r>
          </w:p>
        </w:tc>
      </w:tr>
      <w:tr w14:paraId="478F1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vMerge w:val="continue"/>
            <w:shd w:val="clear" w:color="auto" w:fill="auto"/>
            <w:vAlign w:val="center"/>
          </w:tcPr>
          <w:p w14:paraId="5D31FBCB">
            <w:pPr>
              <w:spacing w:line="240" w:lineRule="auto"/>
              <w:ind w:firstLine="0" w:firstLineChars="0"/>
              <w:jc w:val="center"/>
              <w:rPr>
                <w:b/>
                <w:bCs/>
                <w:color w:val="auto"/>
                <w:sz w:val="21"/>
                <w:szCs w:val="21"/>
              </w:rPr>
            </w:pPr>
          </w:p>
        </w:tc>
        <w:tc>
          <w:tcPr>
            <w:tcW w:w="1159" w:type="pct"/>
            <w:vMerge w:val="continue"/>
            <w:shd w:val="clear" w:color="auto" w:fill="auto"/>
            <w:vAlign w:val="center"/>
          </w:tcPr>
          <w:p w14:paraId="619578B4">
            <w:pPr>
              <w:spacing w:line="240" w:lineRule="auto"/>
              <w:ind w:firstLine="0" w:firstLineChars="0"/>
              <w:jc w:val="center"/>
              <w:rPr>
                <w:b/>
                <w:bCs/>
                <w:color w:val="auto"/>
                <w:sz w:val="21"/>
                <w:szCs w:val="21"/>
              </w:rPr>
            </w:pPr>
          </w:p>
        </w:tc>
        <w:tc>
          <w:tcPr>
            <w:tcW w:w="1300" w:type="pct"/>
            <w:vMerge w:val="continue"/>
            <w:shd w:val="clear" w:color="auto" w:fill="auto"/>
            <w:vAlign w:val="center"/>
          </w:tcPr>
          <w:p w14:paraId="3E44890D">
            <w:pPr>
              <w:spacing w:line="240" w:lineRule="auto"/>
              <w:ind w:firstLine="0" w:firstLineChars="0"/>
              <w:jc w:val="center"/>
              <w:rPr>
                <w:b/>
                <w:bCs/>
                <w:color w:val="auto"/>
                <w:sz w:val="21"/>
                <w:szCs w:val="21"/>
              </w:rPr>
            </w:pPr>
          </w:p>
        </w:tc>
        <w:tc>
          <w:tcPr>
            <w:tcW w:w="1000" w:type="pct"/>
            <w:shd w:val="clear" w:color="auto" w:fill="auto"/>
            <w:vAlign w:val="center"/>
          </w:tcPr>
          <w:p w14:paraId="664A94A2">
            <w:pPr>
              <w:spacing w:line="240" w:lineRule="auto"/>
              <w:ind w:firstLine="0" w:firstLineChars="0"/>
              <w:jc w:val="center"/>
              <w:rPr>
                <w:b/>
                <w:bCs/>
                <w:color w:val="auto"/>
                <w:sz w:val="21"/>
                <w:szCs w:val="21"/>
              </w:rPr>
            </w:pPr>
            <w:r>
              <w:rPr>
                <w:b/>
                <w:bCs/>
                <w:color w:val="auto"/>
                <w:sz w:val="21"/>
                <w:szCs w:val="21"/>
              </w:rPr>
              <w:t>第二类用地</w:t>
            </w:r>
          </w:p>
        </w:tc>
        <w:tc>
          <w:tcPr>
            <w:tcW w:w="1000" w:type="pct"/>
            <w:shd w:val="clear" w:color="auto" w:fill="auto"/>
            <w:vAlign w:val="center"/>
          </w:tcPr>
          <w:p w14:paraId="5634EDAE">
            <w:pPr>
              <w:spacing w:line="240" w:lineRule="auto"/>
              <w:ind w:firstLine="0" w:firstLineChars="0"/>
              <w:jc w:val="center"/>
              <w:rPr>
                <w:b/>
                <w:bCs/>
                <w:color w:val="auto"/>
                <w:sz w:val="21"/>
                <w:szCs w:val="21"/>
              </w:rPr>
            </w:pPr>
            <w:r>
              <w:rPr>
                <w:b/>
                <w:bCs/>
                <w:color w:val="auto"/>
                <w:sz w:val="21"/>
                <w:szCs w:val="21"/>
              </w:rPr>
              <w:t>第二类用地</w:t>
            </w:r>
          </w:p>
        </w:tc>
      </w:tr>
      <w:tr w14:paraId="2D889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000" w:type="pct"/>
            <w:gridSpan w:val="5"/>
            <w:shd w:val="clear" w:color="auto" w:fill="auto"/>
            <w:vAlign w:val="center"/>
          </w:tcPr>
          <w:p w14:paraId="58436BBA">
            <w:pPr>
              <w:spacing w:line="240" w:lineRule="auto"/>
              <w:ind w:firstLine="0" w:firstLineChars="0"/>
              <w:jc w:val="center"/>
              <w:rPr>
                <w:b/>
                <w:bCs/>
                <w:color w:val="auto"/>
                <w:sz w:val="21"/>
                <w:szCs w:val="21"/>
              </w:rPr>
            </w:pPr>
            <w:r>
              <w:rPr>
                <w:b/>
                <w:bCs/>
                <w:color w:val="auto"/>
                <w:sz w:val="21"/>
                <w:szCs w:val="21"/>
              </w:rPr>
              <w:t>重金属和无机物</w:t>
            </w:r>
          </w:p>
        </w:tc>
      </w:tr>
      <w:tr w14:paraId="44B69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B8B2E7B">
            <w:pPr>
              <w:spacing w:line="240" w:lineRule="auto"/>
              <w:ind w:firstLine="0" w:firstLineChars="0"/>
              <w:jc w:val="center"/>
              <w:rPr>
                <w:color w:val="auto"/>
                <w:sz w:val="21"/>
                <w:szCs w:val="21"/>
              </w:rPr>
            </w:pPr>
            <w:r>
              <w:rPr>
                <w:color w:val="auto"/>
                <w:sz w:val="21"/>
                <w:szCs w:val="21"/>
              </w:rPr>
              <w:t>1</w:t>
            </w:r>
          </w:p>
        </w:tc>
        <w:tc>
          <w:tcPr>
            <w:tcW w:w="1159" w:type="pct"/>
            <w:shd w:val="clear" w:color="auto" w:fill="auto"/>
            <w:vAlign w:val="center"/>
          </w:tcPr>
          <w:p w14:paraId="558305A4">
            <w:pPr>
              <w:spacing w:line="240" w:lineRule="auto"/>
              <w:ind w:firstLine="0" w:firstLineChars="0"/>
              <w:jc w:val="center"/>
              <w:rPr>
                <w:color w:val="auto"/>
                <w:sz w:val="21"/>
                <w:szCs w:val="21"/>
              </w:rPr>
            </w:pPr>
            <w:r>
              <w:rPr>
                <w:color w:val="auto"/>
                <w:sz w:val="21"/>
                <w:szCs w:val="21"/>
              </w:rPr>
              <w:t>砷</w:t>
            </w:r>
          </w:p>
        </w:tc>
        <w:tc>
          <w:tcPr>
            <w:tcW w:w="1300" w:type="pct"/>
            <w:shd w:val="clear" w:color="auto" w:fill="auto"/>
            <w:vAlign w:val="center"/>
          </w:tcPr>
          <w:p w14:paraId="1E7C4038">
            <w:pPr>
              <w:spacing w:line="240" w:lineRule="auto"/>
              <w:ind w:firstLine="0" w:firstLineChars="0"/>
              <w:jc w:val="center"/>
              <w:rPr>
                <w:color w:val="auto"/>
                <w:sz w:val="21"/>
                <w:szCs w:val="21"/>
              </w:rPr>
            </w:pPr>
            <w:r>
              <w:rPr>
                <w:color w:val="auto"/>
                <w:sz w:val="21"/>
                <w:szCs w:val="21"/>
              </w:rPr>
              <w:t>7440-38-2</w:t>
            </w:r>
          </w:p>
        </w:tc>
        <w:tc>
          <w:tcPr>
            <w:tcW w:w="1000" w:type="pct"/>
            <w:shd w:val="clear" w:color="auto" w:fill="auto"/>
            <w:vAlign w:val="center"/>
          </w:tcPr>
          <w:p w14:paraId="1FB85D71">
            <w:pPr>
              <w:spacing w:line="240" w:lineRule="auto"/>
              <w:ind w:firstLine="0" w:firstLineChars="0"/>
              <w:jc w:val="center"/>
              <w:rPr>
                <w:color w:val="auto"/>
                <w:sz w:val="21"/>
                <w:szCs w:val="21"/>
              </w:rPr>
            </w:pPr>
            <w:r>
              <w:rPr>
                <w:color w:val="auto"/>
                <w:sz w:val="21"/>
                <w:szCs w:val="21"/>
              </w:rPr>
              <w:t>60</w:t>
            </w:r>
          </w:p>
        </w:tc>
        <w:tc>
          <w:tcPr>
            <w:tcW w:w="1000" w:type="pct"/>
            <w:shd w:val="clear" w:color="auto" w:fill="auto"/>
            <w:vAlign w:val="center"/>
          </w:tcPr>
          <w:p w14:paraId="7EE57B42">
            <w:pPr>
              <w:spacing w:line="240" w:lineRule="auto"/>
              <w:ind w:firstLine="0" w:firstLineChars="0"/>
              <w:jc w:val="center"/>
              <w:rPr>
                <w:color w:val="auto"/>
                <w:sz w:val="21"/>
                <w:szCs w:val="21"/>
              </w:rPr>
            </w:pPr>
            <w:r>
              <w:rPr>
                <w:color w:val="auto"/>
                <w:sz w:val="21"/>
                <w:szCs w:val="21"/>
              </w:rPr>
              <w:t>140</w:t>
            </w:r>
          </w:p>
        </w:tc>
      </w:tr>
      <w:tr w14:paraId="044C8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AD481E9">
            <w:pPr>
              <w:spacing w:line="240" w:lineRule="auto"/>
              <w:ind w:firstLine="0" w:firstLineChars="0"/>
              <w:jc w:val="center"/>
              <w:rPr>
                <w:color w:val="auto"/>
                <w:sz w:val="21"/>
                <w:szCs w:val="21"/>
              </w:rPr>
            </w:pPr>
            <w:r>
              <w:rPr>
                <w:color w:val="auto"/>
                <w:sz w:val="21"/>
                <w:szCs w:val="21"/>
              </w:rPr>
              <w:t>2</w:t>
            </w:r>
          </w:p>
        </w:tc>
        <w:tc>
          <w:tcPr>
            <w:tcW w:w="1159" w:type="pct"/>
            <w:shd w:val="clear" w:color="auto" w:fill="auto"/>
            <w:vAlign w:val="center"/>
          </w:tcPr>
          <w:p w14:paraId="358897D2">
            <w:pPr>
              <w:spacing w:line="240" w:lineRule="auto"/>
              <w:ind w:firstLine="0" w:firstLineChars="0"/>
              <w:jc w:val="center"/>
              <w:rPr>
                <w:color w:val="auto"/>
                <w:sz w:val="21"/>
                <w:szCs w:val="21"/>
              </w:rPr>
            </w:pPr>
            <w:r>
              <w:rPr>
                <w:color w:val="auto"/>
                <w:sz w:val="21"/>
                <w:szCs w:val="21"/>
              </w:rPr>
              <w:t>镉</w:t>
            </w:r>
          </w:p>
        </w:tc>
        <w:tc>
          <w:tcPr>
            <w:tcW w:w="1300" w:type="pct"/>
            <w:shd w:val="clear" w:color="auto" w:fill="auto"/>
            <w:vAlign w:val="center"/>
          </w:tcPr>
          <w:p w14:paraId="54351467">
            <w:pPr>
              <w:spacing w:line="240" w:lineRule="auto"/>
              <w:ind w:firstLine="0" w:firstLineChars="0"/>
              <w:jc w:val="center"/>
              <w:rPr>
                <w:color w:val="auto"/>
                <w:sz w:val="21"/>
                <w:szCs w:val="21"/>
              </w:rPr>
            </w:pPr>
            <w:r>
              <w:rPr>
                <w:color w:val="auto"/>
                <w:sz w:val="21"/>
                <w:szCs w:val="21"/>
              </w:rPr>
              <w:t>7440-43-9</w:t>
            </w:r>
          </w:p>
        </w:tc>
        <w:tc>
          <w:tcPr>
            <w:tcW w:w="1000" w:type="pct"/>
            <w:shd w:val="clear" w:color="auto" w:fill="auto"/>
            <w:vAlign w:val="center"/>
          </w:tcPr>
          <w:p w14:paraId="135C8757">
            <w:pPr>
              <w:spacing w:line="240" w:lineRule="auto"/>
              <w:ind w:firstLine="0" w:firstLineChars="0"/>
              <w:jc w:val="center"/>
              <w:rPr>
                <w:color w:val="auto"/>
                <w:sz w:val="21"/>
                <w:szCs w:val="21"/>
              </w:rPr>
            </w:pPr>
            <w:r>
              <w:rPr>
                <w:color w:val="auto"/>
                <w:sz w:val="21"/>
                <w:szCs w:val="21"/>
              </w:rPr>
              <w:t>65</w:t>
            </w:r>
          </w:p>
        </w:tc>
        <w:tc>
          <w:tcPr>
            <w:tcW w:w="1000" w:type="pct"/>
            <w:shd w:val="clear" w:color="auto" w:fill="auto"/>
            <w:vAlign w:val="center"/>
          </w:tcPr>
          <w:p w14:paraId="5FC0D8DD">
            <w:pPr>
              <w:spacing w:line="240" w:lineRule="auto"/>
              <w:ind w:firstLine="0" w:firstLineChars="0"/>
              <w:jc w:val="center"/>
              <w:rPr>
                <w:color w:val="auto"/>
                <w:sz w:val="21"/>
                <w:szCs w:val="21"/>
              </w:rPr>
            </w:pPr>
            <w:r>
              <w:rPr>
                <w:color w:val="auto"/>
                <w:sz w:val="21"/>
                <w:szCs w:val="21"/>
              </w:rPr>
              <w:t>172</w:t>
            </w:r>
          </w:p>
        </w:tc>
      </w:tr>
      <w:tr w14:paraId="47B66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0630CDE0">
            <w:pPr>
              <w:spacing w:line="240" w:lineRule="auto"/>
              <w:ind w:firstLine="0" w:firstLineChars="0"/>
              <w:jc w:val="center"/>
              <w:rPr>
                <w:color w:val="auto"/>
                <w:sz w:val="21"/>
                <w:szCs w:val="21"/>
              </w:rPr>
            </w:pPr>
            <w:r>
              <w:rPr>
                <w:color w:val="auto"/>
                <w:sz w:val="21"/>
                <w:szCs w:val="21"/>
              </w:rPr>
              <w:t>3</w:t>
            </w:r>
          </w:p>
        </w:tc>
        <w:tc>
          <w:tcPr>
            <w:tcW w:w="1159" w:type="pct"/>
            <w:shd w:val="clear" w:color="auto" w:fill="auto"/>
            <w:vAlign w:val="center"/>
          </w:tcPr>
          <w:p w14:paraId="1956B96F">
            <w:pPr>
              <w:spacing w:line="240" w:lineRule="auto"/>
              <w:ind w:firstLine="0" w:firstLineChars="0"/>
              <w:jc w:val="center"/>
              <w:rPr>
                <w:color w:val="auto"/>
                <w:sz w:val="21"/>
                <w:szCs w:val="21"/>
              </w:rPr>
            </w:pPr>
            <w:r>
              <w:rPr>
                <w:color w:val="auto"/>
                <w:sz w:val="21"/>
                <w:szCs w:val="21"/>
              </w:rPr>
              <w:t>铬（六价）</w:t>
            </w:r>
          </w:p>
        </w:tc>
        <w:tc>
          <w:tcPr>
            <w:tcW w:w="1300" w:type="pct"/>
            <w:shd w:val="clear" w:color="auto" w:fill="auto"/>
            <w:vAlign w:val="center"/>
          </w:tcPr>
          <w:p w14:paraId="2F148D80">
            <w:pPr>
              <w:spacing w:line="240" w:lineRule="auto"/>
              <w:ind w:firstLine="0" w:firstLineChars="0"/>
              <w:jc w:val="center"/>
              <w:rPr>
                <w:color w:val="auto"/>
                <w:sz w:val="21"/>
                <w:szCs w:val="21"/>
              </w:rPr>
            </w:pPr>
            <w:r>
              <w:rPr>
                <w:color w:val="auto"/>
                <w:sz w:val="21"/>
                <w:szCs w:val="21"/>
              </w:rPr>
              <w:t>18540-29-3</w:t>
            </w:r>
          </w:p>
        </w:tc>
        <w:tc>
          <w:tcPr>
            <w:tcW w:w="1000" w:type="pct"/>
            <w:shd w:val="clear" w:color="auto" w:fill="auto"/>
            <w:vAlign w:val="center"/>
          </w:tcPr>
          <w:p w14:paraId="4285277D">
            <w:pPr>
              <w:spacing w:line="240" w:lineRule="auto"/>
              <w:ind w:firstLine="0" w:firstLineChars="0"/>
              <w:jc w:val="center"/>
              <w:rPr>
                <w:color w:val="auto"/>
                <w:sz w:val="21"/>
                <w:szCs w:val="21"/>
              </w:rPr>
            </w:pPr>
            <w:r>
              <w:rPr>
                <w:color w:val="auto"/>
                <w:sz w:val="21"/>
                <w:szCs w:val="21"/>
              </w:rPr>
              <w:t>5.7</w:t>
            </w:r>
          </w:p>
        </w:tc>
        <w:tc>
          <w:tcPr>
            <w:tcW w:w="1000" w:type="pct"/>
            <w:shd w:val="clear" w:color="auto" w:fill="auto"/>
            <w:vAlign w:val="center"/>
          </w:tcPr>
          <w:p w14:paraId="0948C4E6">
            <w:pPr>
              <w:spacing w:line="240" w:lineRule="auto"/>
              <w:ind w:firstLine="0" w:firstLineChars="0"/>
              <w:jc w:val="center"/>
              <w:rPr>
                <w:color w:val="auto"/>
                <w:sz w:val="21"/>
                <w:szCs w:val="21"/>
              </w:rPr>
            </w:pPr>
            <w:r>
              <w:rPr>
                <w:color w:val="auto"/>
                <w:sz w:val="21"/>
                <w:szCs w:val="21"/>
              </w:rPr>
              <w:t>78</w:t>
            </w:r>
          </w:p>
        </w:tc>
      </w:tr>
      <w:tr w14:paraId="1E079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3AB06458">
            <w:pPr>
              <w:spacing w:line="240" w:lineRule="auto"/>
              <w:ind w:firstLine="0" w:firstLineChars="0"/>
              <w:jc w:val="center"/>
              <w:rPr>
                <w:color w:val="auto"/>
                <w:sz w:val="21"/>
                <w:szCs w:val="21"/>
              </w:rPr>
            </w:pPr>
            <w:r>
              <w:rPr>
                <w:color w:val="auto"/>
                <w:sz w:val="21"/>
                <w:szCs w:val="21"/>
              </w:rPr>
              <w:t>4</w:t>
            </w:r>
          </w:p>
        </w:tc>
        <w:tc>
          <w:tcPr>
            <w:tcW w:w="1159" w:type="pct"/>
            <w:shd w:val="clear" w:color="auto" w:fill="auto"/>
            <w:vAlign w:val="center"/>
          </w:tcPr>
          <w:p w14:paraId="1C06696D">
            <w:pPr>
              <w:spacing w:line="240" w:lineRule="auto"/>
              <w:ind w:firstLine="0" w:firstLineChars="0"/>
              <w:jc w:val="center"/>
              <w:rPr>
                <w:color w:val="auto"/>
                <w:sz w:val="21"/>
                <w:szCs w:val="21"/>
              </w:rPr>
            </w:pPr>
            <w:r>
              <w:rPr>
                <w:color w:val="auto"/>
                <w:sz w:val="21"/>
                <w:szCs w:val="21"/>
              </w:rPr>
              <w:t>铜</w:t>
            </w:r>
          </w:p>
        </w:tc>
        <w:tc>
          <w:tcPr>
            <w:tcW w:w="1300" w:type="pct"/>
            <w:shd w:val="clear" w:color="auto" w:fill="auto"/>
            <w:vAlign w:val="center"/>
          </w:tcPr>
          <w:p w14:paraId="3D072BD3">
            <w:pPr>
              <w:spacing w:line="240" w:lineRule="auto"/>
              <w:ind w:firstLine="0" w:firstLineChars="0"/>
              <w:jc w:val="center"/>
              <w:rPr>
                <w:color w:val="auto"/>
                <w:sz w:val="21"/>
                <w:szCs w:val="21"/>
              </w:rPr>
            </w:pPr>
            <w:r>
              <w:rPr>
                <w:color w:val="auto"/>
                <w:sz w:val="21"/>
                <w:szCs w:val="21"/>
              </w:rPr>
              <w:t>7440-50-8</w:t>
            </w:r>
          </w:p>
        </w:tc>
        <w:tc>
          <w:tcPr>
            <w:tcW w:w="1000" w:type="pct"/>
            <w:shd w:val="clear" w:color="auto" w:fill="auto"/>
            <w:vAlign w:val="center"/>
          </w:tcPr>
          <w:p w14:paraId="57292474">
            <w:pPr>
              <w:spacing w:line="240" w:lineRule="auto"/>
              <w:ind w:firstLine="0" w:firstLineChars="0"/>
              <w:jc w:val="center"/>
              <w:rPr>
                <w:color w:val="auto"/>
                <w:sz w:val="21"/>
                <w:szCs w:val="21"/>
              </w:rPr>
            </w:pPr>
            <w:r>
              <w:rPr>
                <w:color w:val="auto"/>
                <w:sz w:val="21"/>
                <w:szCs w:val="21"/>
              </w:rPr>
              <w:t>18000</w:t>
            </w:r>
          </w:p>
        </w:tc>
        <w:tc>
          <w:tcPr>
            <w:tcW w:w="1000" w:type="pct"/>
            <w:shd w:val="clear" w:color="auto" w:fill="auto"/>
            <w:vAlign w:val="center"/>
          </w:tcPr>
          <w:p w14:paraId="60685812">
            <w:pPr>
              <w:spacing w:line="240" w:lineRule="auto"/>
              <w:ind w:firstLine="0" w:firstLineChars="0"/>
              <w:jc w:val="center"/>
              <w:rPr>
                <w:color w:val="auto"/>
                <w:sz w:val="21"/>
                <w:szCs w:val="21"/>
              </w:rPr>
            </w:pPr>
            <w:r>
              <w:rPr>
                <w:color w:val="auto"/>
                <w:sz w:val="21"/>
                <w:szCs w:val="21"/>
              </w:rPr>
              <w:t>36000</w:t>
            </w:r>
          </w:p>
        </w:tc>
      </w:tr>
      <w:tr w14:paraId="4E4A2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3C15424">
            <w:pPr>
              <w:spacing w:line="240" w:lineRule="auto"/>
              <w:ind w:firstLine="0" w:firstLineChars="0"/>
              <w:jc w:val="center"/>
              <w:rPr>
                <w:color w:val="auto"/>
                <w:sz w:val="21"/>
                <w:szCs w:val="21"/>
              </w:rPr>
            </w:pPr>
            <w:r>
              <w:rPr>
                <w:color w:val="auto"/>
                <w:sz w:val="21"/>
                <w:szCs w:val="21"/>
              </w:rPr>
              <w:t>5</w:t>
            </w:r>
          </w:p>
        </w:tc>
        <w:tc>
          <w:tcPr>
            <w:tcW w:w="1159" w:type="pct"/>
            <w:shd w:val="clear" w:color="auto" w:fill="auto"/>
            <w:vAlign w:val="center"/>
          </w:tcPr>
          <w:p w14:paraId="4AC5B967">
            <w:pPr>
              <w:spacing w:line="240" w:lineRule="auto"/>
              <w:ind w:firstLine="0" w:firstLineChars="0"/>
              <w:jc w:val="center"/>
              <w:rPr>
                <w:color w:val="auto"/>
                <w:sz w:val="21"/>
                <w:szCs w:val="21"/>
              </w:rPr>
            </w:pPr>
            <w:r>
              <w:rPr>
                <w:color w:val="auto"/>
                <w:sz w:val="21"/>
                <w:szCs w:val="21"/>
              </w:rPr>
              <w:t>铅</w:t>
            </w:r>
          </w:p>
        </w:tc>
        <w:tc>
          <w:tcPr>
            <w:tcW w:w="1300" w:type="pct"/>
            <w:shd w:val="clear" w:color="auto" w:fill="auto"/>
            <w:vAlign w:val="center"/>
          </w:tcPr>
          <w:p w14:paraId="1E667378">
            <w:pPr>
              <w:spacing w:line="240" w:lineRule="auto"/>
              <w:ind w:firstLine="0" w:firstLineChars="0"/>
              <w:jc w:val="center"/>
              <w:rPr>
                <w:color w:val="auto"/>
                <w:sz w:val="21"/>
                <w:szCs w:val="21"/>
              </w:rPr>
            </w:pPr>
            <w:r>
              <w:rPr>
                <w:color w:val="auto"/>
                <w:sz w:val="21"/>
                <w:szCs w:val="21"/>
              </w:rPr>
              <w:t>7439-92-1</w:t>
            </w:r>
          </w:p>
        </w:tc>
        <w:tc>
          <w:tcPr>
            <w:tcW w:w="1000" w:type="pct"/>
            <w:shd w:val="clear" w:color="auto" w:fill="auto"/>
            <w:vAlign w:val="center"/>
          </w:tcPr>
          <w:p w14:paraId="5B688E45">
            <w:pPr>
              <w:spacing w:line="240" w:lineRule="auto"/>
              <w:ind w:firstLine="0" w:firstLineChars="0"/>
              <w:jc w:val="center"/>
              <w:rPr>
                <w:color w:val="auto"/>
                <w:sz w:val="21"/>
                <w:szCs w:val="21"/>
              </w:rPr>
            </w:pPr>
            <w:r>
              <w:rPr>
                <w:color w:val="auto"/>
                <w:sz w:val="21"/>
                <w:szCs w:val="21"/>
              </w:rPr>
              <w:t>800</w:t>
            </w:r>
          </w:p>
        </w:tc>
        <w:tc>
          <w:tcPr>
            <w:tcW w:w="1000" w:type="pct"/>
            <w:shd w:val="clear" w:color="auto" w:fill="auto"/>
            <w:vAlign w:val="center"/>
          </w:tcPr>
          <w:p w14:paraId="5526D870">
            <w:pPr>
              <w:spacing w:line="240" w:lineRule="auto"/>
              <w:ind w:firstLine="0" w:firstLineChars="0"/>
              <w:jc w:val="center"/>
              <w:rPr>
                <w:color w:val="auto"/>
                <w:sz w:val="21"/>
                <w:szCs w:val="21"/>
              </w:rPr>
            </w:pPr>
            <w:r>
              <w:rPr>
                <w:color w:val="auto"/>
                <w:sz w:val="21"/>
                <w:szCs w:val="21"/>
              </w:rPr>
              <w:t>2500</w:t>
            </w:r>
          </w:p>
        </w:tc>
      </w:tr>
      <w:tr w14:paraId="05D42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0D94CB73">
            <w:pPr>
              <w:spacing w:line="240" w:lineRule="auto"/>
              <w:ind w:firstLine="0" w:firstLineChars="0"/>
              <w:jc w:val="center"/>
              <w:rPr>
                <w:color w:val="auto"/>
                <w:sz w:val="21"/>
                <w:szCs w:val="21"/>
              </w:rPr>
            </w:pPr>
            <w:r>
              <w:rPr>
                <w:color w:val="auto"/>
                <w:sz w:val="21"/>
                <w:szCs w:val="21"/>
              </w:rPr>
              <w:t>6</w:t>
            </w:r>
          </w:p>
        </w:tc>
        <w:tc>
          <w:tcPr>
            <w:tcW w:w="1159" w:type="pct"/>
            <w:shd w:val="clear" w:color="auto" w:fill="auto"/>
            <w:vAlign w:val="center"/>
          </w:tcPr>
          <w:p w14:paraId="204DAD95">
            <w:pPr>
              <w:spacing w:line="240" w:lineRule="auto"/>
              <w:ind w:firstLine="0" w:firstLineChars="0"/>
              <w:jc w:val="center"/>
              <w:rPr>
                <w:color w:val="auto"/>
                <w:sz w:val="21"/>
                <w:szCs w:val="21"/>
              </w:rPr>
            </w:pPr>
            <w:r>
              <w:rPr>
                <w:color w:val="auto"/>
                <w:sz w:val="21"/>
                <w:szCs w:val="21"/>
              </w:rPr>
              <w:t>汞</w:t>
            </w:r>
          </w:p>
        </w:tc>
        <w:tc>
          <w:tcPr>
            <w:tcW w:w="1300" w:type="pct"/>
            <w:shd w:val="clear" w:color="auto" w:fill="auto"/>
            <w:vAlign w:val="center"/>
          </w:tcPr>
          <w:p w14:paraId="5F08E673">
            <w:pPr>
              <w:spacing w:line="240" w:lineRule="auto"/>
              <w:ind w:firstLine="0" w:firstLineChars="0"/>
              <w:jc w:val="center"/>
              <w:rPr>
                <w:color w:val="auto"/>
                <w:sz w:val="21"/>
                <w:szCs w:val="21"/>
              </w:rPr>
            </w:pPr>
            <w:r>
              <w:rPr>
                <w:color w:val="auto"/>
                <w:sz w:val="21"/>
                <w:szCs w:val="21"/>
              </w:rPr>
              <w:t>7439-97-6</w:t>
            </w:r>
          </w:p>
        </w:tc>
        <w:tc>
          <w:tcPr>
            <w:tcW w:w="1000" w:type="pct"/>
            <w:shd w:val="clear" w:color="auto" w:fill="auto"/>
            <w:vAlign w:val="center"/>
          </w:tcPr>
          <w:p w14:paraId="737DA1E4">
            <w:pPr>
              <w:spacing w:line="240" w:lineRule="auto"/>
              <w:ind w:firstLine="0" w:firstLineChars="0"/>
              <w:jc w:val="center"/>
              <w:rPr>
                <w:color w:val="auto"/>
                <w:sz w:val="21"/>
                <w:szCs w:val="21"/>
              </w:rPr>
            </w:pPr>
            <w:r>
              <w:rPr>
                <w:color w:val="auto"/>
                <w:sz w:val="21"/>
                <w:szCs w:val="21"/>
              </w:rPr>
              <w:t>38</w:t>
            </w:r>
          </w:p>
        </w:tc>
        <w:tc>
          <w:tcPr>
            <w:tcW w:w="1000" w:type="pct"/>
            <w:shd w:val="clear" w:color="auto" w:fill="auto"/>
            <w:vAlign w:val="center"/>
          </w:tcPr>
          <w:p w14:paraId="35B8990C">
            <w:pPr>
              <w:spacing w:line="240" w:lineRule="auto"/>
              <w:ind w:firstLine="0" w:firstLineChars="0"/>
              <w:jc w:val="center"/>
              <w:rPr>
                <w:color w:val="auto"/>
                <w:sz w:val="21"/>
                <w:szCs w:val="21"/>
              </w:rPr>
            </w:pPr>
            <w:r>
              <w:rPr>
                <w:color w:val="auto"/>
                <w:sz w:val="21"/>
                <w:szCs w:val="21"/>
              </w:rPr>
              <w:t>82</w:t>
            </w:r>
          </w:p>
        </w:tc>
      </w:tr>
      <w:tr w14:paraId="60C61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36D688E5">
            <w:pPr>
              <w:spacing w:line="240" w:lineRule="auto"/>
              <w:ind w:firstLine="0" w:firstLineChars="0"/>
              <w:jc w:val="center"/>
              <w:rPr>
                <w:color w:val="auto"/>
                <w:sz w:val="21"/>
                <w:szCs w:val="21"/>
              </w:rPr>
            </w:pPr>
            <w:r>
              <w:rPr>
                <w:color w:val="auto"/>
                <w:sz w:val="21"/>
                <w:szCs w:val="21"/>
              </w:rPr>
              <w:t>7</w:t>
            </w:r>
          </w:p>
        </w:tc>
        <w:tc>
          <w:tcPr>
            <w:tcW w:w="1159" w:type="pct"/>
            <w:shd w:val="clear" w:color="auto" w:fill="auto"/>
            <w:vAlign w:val="center"/>
          </w:tcPr>
          <w:p w14:paraId="5F4E8518">
            <w:pPr>
              <w:spacing w:line="240" w:lineRule="auto"/>
              <w:ind w:firstLine="0" w:firstLineChars="0"/>
              <w:jc w:val="center"/>
              <w:rPr>
                <w:color w:val="auto"/>
                <w:sz w:val="21"/>
                <w:szCs w:val="21"/>
              </w:rPr>
            </w:pPr>
            <w:r>
              <w:rPr>
                <w:color w:val="auto"/>
                <w:sz w:val="21"/>
                <w:szCs w:val="21"/>
              </w:rPr>
              <w:t>镍</w:t>
            </w:r>
          </w:p>
        </w:tc>
        <w:tc>
          <w:tcPr>
            <w:tcW w:w="1300" w:type="pct"/>
            <w:shd w:val="clear" w:color="auto" w:fill="auto"/>
            <w:vAlign w:val="center"/>
          </w:tcPr>
          <w:p w14:paraId="6254C3A2">
            <w:pPr>
              <w:spacing w:line="240" w:lineRule="auto"/>
              <w:ind w:firstLine="0" w:firstLineChars="0"/>
              <w:jc w:val="center"/>
              <w:rPr>
                <w:color w:val="auto"/>
                <w:sz w:val="21"/>
                <w:szCs w:val="21"/>
              </w:rPr>
            </w:pPr>
            <w:r>
              <w:rPr>
                <w:color w:val="auto"/>
                <w:sz w:val="21"/>
                <w:szCs w:val="21"/>
              </w:rPr>
              <w:t>7440-02-0</w:t>
            </w:r>
          </w:p>
        </w:tc>
        <w:tc>
          <w:tcPr>
            <w:tcW w:w="1000" w:type="pct"/>
            <w:shd w:val="clear" w:color="auto" w:fill="auto"/>
            <w:vAlign w:val="center"/>
          </w:tcPr>
          <w:p w14:paraId="68E1F67D">
            <w:pPr>
              <w:spacing w:line="240" w:lineRule="auto"/>
              <w:ind w:firstLine="0" w:firstLineChars="0"/>
              <w:jc w:val="center"/>
              <w:rPr>
                <w:color w:val="auto"/>
                <w:sz w:val="21"/>
                <w:szCs w:val="21"/>
              </w:rPr>
            </w:pPr>
            <w:r>
              <w:rPr>
                <w:color w:val="auto"/>
                <w:sz w:val="21"/>
                <w:szCs w:val="21"/>
              </w:rPr>
              <w:t>900</w:t>
            </w:r>
          </w:p>
        </w:tc>
        <w:tc>
          <w:tcPr>
            <w:tcW w:w="1000" w:type="pct"/>
            <w:shd w:val="clear" w:color="auto" w:fill="auto"/>
            <w:vAlign w:val="center"/>
          </w:tcPr>
          <w:p w14:paraId="3FBA150B">
            <w:pPr>
              <w:spacing w:line="240" w:lineRule="auto"/>
              <w:ind w:firstLine="0" w:firstLineChars="0"/>
              <w:jc w:val="center"/>
              <w:rPr>
                <w:color w:val="auto"/>
                <w:sz w:val="21"/>
                <w:szCs w:val="21"/>
              </w:rPr>
            </w:pPr>
            <w:r>
              <w:rPr>
                <w:color w:val="auto"/>
                <w:sz w:val="21"/>
                <w:szCs w:val="21"/>
              </w:rPr>
              <w:t>2000</w:t>
            </w:r>
          </w:p>
        </w:tc>
      </w:tr>
      <w:tr w14:paraId="280A4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000" w:type="pct"/>
            <w:gridSpan w:val="5"/>
            <w:shd w:val="clear" w:color="auto" w:fill="auto"/>
            <w:vAlign w:val="center"/>
          </w:tcPr>
          <w:p w14:paraId="2A3756D1">
            <w:pPr>
              <w:spacing w:line="240" w:lineRule="auto"/>
              <w:ind w:firstLine="0" w:firstLineChars="0"/>
              <w:jc w:val="center"/>
              <w:rPr>
                <w:b/>
                <w:bCs/>
                <w:color w:val="auto"/>
                <w:sz w:val="21"/>
                <w:szCs w:val="21"/>
              </w:rPr>
            </w:pPr>
            <w:r>
              <w:rPr>
                <w:b/>
                <w:bCs/>
                <w:color w:val="auto"/>
                <w:sz w:val="21"/>
                <w:szCs w:val="21"/>
              </w:rPr>
              <w:t>挥发性有机物</w:t>
            </w:r>
          </w:p>
        </w:tc>
      </w:tr>
      <w:tr w14:paraId="04515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D5E115E">
            <w:pPr>
              <w:spacing w:line="240" w:lineRule="auto"/>
              <w:ind w:firstLine="0" w:firstLineChars="0"/>
              <w:jc w:val="center"/>
              <w:rPr>
                <w:color w:val="auto"/>
                <w:sz w:val="21"/>
                <w:szCs w:val="21"/>
              </w:rPr>
            </w:pPr>
            <w:r>
              <w:rPr>
                <w:color w:val="auto"/>
                <w:sz w:val="21"/>
                <w:szCs w:val="21"/>
              </w:rPr>
              <w:t>8</w:t>
            </w:r>
          </w:p>
        </w:tc>
        <w:tc>
          <w:tcPr>
            <w:tcW w:w="1159" w:type="pct"/>
            <w:shd w:val="clear" w:color="auto" w:fill="auto"/>
            <w:vAlign w:val="center"/>
          </w:tcPr>
          <w:p w14:paraId="0CCD0610">
            <w:pPr>
              <w:spacing w:line="240" w:lineRule="auto"/>
              <w:ind w:firstLine="0" w:firstLineChars="0"/>
              <w:jc w:val="center"/>
              <w:rPr>
                <w:color w:val="auto"/>
                <w:sz w:val="21"/>
                <w:szCs w:val="21"/>
              </w:rPr>
            </w:pPr>
            <w:r>
              <w:rPr>
                <w:color w:val="auto"/>
                <w:sz w:val="21"/>
                <w:szCs w:val="21"/>
              </w:rPr>
              <w:t>四氯化碳</w:t>
            </w:r>
          </w:p>
        </w:tc>
        <w:tc>
          <w:tcPr>
            <w:tcW w:w="1300" w:type="pct"/>
            <w:shd w:val="clear" w:color="auto" w:fill="auto"/>
            <w:vAlign w:val="center"/>
          </w:tcPr>
          <w:p w14:paraId="306E4F28">
            <w:pPr>
              <w:spacing w:line="240" w:lineRule="auto"/>
              <w:ind w:firstLine="0" w:firstLineChars="0"/>
              <w:jc w:val="center"/>
              <w:rPr>
                <w:color w:val="auto"/>
                <w:sz w:val="21"/>
                <w:szCs w:val="21"/>
              </w:rPr>
            </w:pPr>
            <w:r>
              <w:rPr>
                <w:color w:val="auto"/>
                <w:sz w:val="21"/>
                <w:szCs w:val="21"/>
              </w:rPr>
              <w:t>56-23-5</w:t>
            </w:r>
          </w:p>
        </w:tc>
        <w:tc>
          <w:tcPr>
            <w:tcW w:w="1000" w:type="pct"/>
            <w:shd w:val="clear" w:color="auto" w:fill="auto"/>
            <w:vAlign w:val="center"/>
          </w:tcPr>
          <w:p w14:paraId="12DF85FB">
            <w:pPr>
              <w:spacing w:line="240" w:lineRule="auto"/>
              <w:ind w:firstLine="0" w:firstLineChars="0"/>
              <w:jc w:val="center"/>
              <w:rPr>
                <w:color w:val="auto"/>
                <w:sz w:val="21"/>
                <w:szCs w:val="21"/>
              </w:rPr>
            </w:pPr>
            <w:r>
              <w:rPr>
                <w:color w:val="auto"/>
                <w:sz w:val="21"/>
                <w:szCs w:val="21"/>
              </w:rPr>
              <w:t>2.8</w:t>
            </w:r>
          </w:p>
        </w:tc>
        <w:tc>
          <w:tcPr>
            <w:tcW w:w="1000" w:type="pct"/>
            <w:shd w:val="clear" w:color="auto" w:fill="auto"/>
            <w:vAlign w:val="center"/>
          </w:tcPr>
          <w:p w14:paraId="2423967F">
            <w:pPr>
              <w:spacing w:line="240" w:lineRule="auto"/>
              <w:ind w:firstLine="0" w:firstLineChars="0"/>
              <w:jc w:val="center"/>
              <w:rPr>
                <w:color w:val="auto"/>
                <w:sz w:val="21"/>
                <w:szCs w:val="21"/>
              </w:rPr>
            </w:pPr>
            <w:r>
              <w:rPr>
                <w:color w:val="auto"/>
                <w:sz w:val="21"/>
                <w:szCs w:val="21"/>
              </w:rPr>
              <w:t>36</w:t>
            </w:r>
          </w:p>
        </w:tc>
      </w:tr>
      <w:tr w14:paraId="0522D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3F439DDB">
            <w:pPr>
              <w:spacing w:line="240" w:lineRule="auto"/>
              <w:ind w:firstLine="0" w:firstLineChars="0"/>
              <w:jc w:val="center"/>
              <w:rPr>
                <w:color w:val="auto"/>
                <w:sz w:val="21"/>
                <w:szCs w:val="21"/>
              </w:rPr>
            </w:pPr>
            <w:r>
              <w:rPr>
                <w:color w:val="auto"/>
                <w:sz w:val="21"/>
                <w:szCs w:val="21"/>
              </w:rPr>
              <w:t>9</w:t>
            </w:r>
          </w:p>
        </w:tc>
        <w:tc>
          <w:tcPr>
            <w:tcW w:w="1159" w:type="pct"/>
            <w:shd w:val="clear" w:color="auto" w:fill="auto"/>
            <w:vAlign w:val="center"/>
          </w:tcPr>
          <w:p w14:paraId="200BBDB1">
            <w:pPr>
              <w:spacing w:line="240" w:lineRule="auto"/>
              <w:ind w:firstLine="0" w:firstLineChars="0"/>
              <w:jc w:val="center"/>
              <w:rPr>
                <w:color w:val="auto"/>
                <w:sz w:val="21"/>
                <w:szCs w:val="21"/>
              </w:rPr>
            </w:pPr>
            <w:r>
              <w:rPr>
                <w:color w:val="auto"/>
                <w:sz w:val="21"/>
                <w:szCs w:val="21"/>
              </w:rPr>
              <w:t>氯仿</w:t>
            </w:r>
          </w:p>
        </w:tc>
        <w:tc>
          <w:tcPr>
            <w:tcW w:w="1300" w:type="pct"/>
            <w:shd w:val="clear" w:color="auto" w:fill="auto"/>
            <w:vAlign w:val="center"/>
          </w:tcPr>
          <w:p w14:paraId="7D78EEB0">
            <w:pPr>
              <w:spacing w:line="240" w:lineRule="auto"/>
              <w:ind w:firstLine="0" w:firstLineChars="0"/>
              <w:jc w:val="center"/>
              <w:rPr>
                <w:color w:val="auto"/>
                <w:sz w:val="21"/>
                <w:szCs w:val="21"/>
              </w:rPr>
            </w:pPr>
            <w:r>
              <w:rPr>
                <w:color w:val="auto"/>
                <w:sz w:val="21"/>
                <w:szCs w:val="21"/>
              </w:rPr>
              <w:t>67-66-3</w:t>
            </w:r>
          </w:p>
        </w:tc>
        <w:tc>
          <w:tcPr>
            <w:tcW w:w="1000" w:type="pct"/>
            <w:shd w:val="clear" w:color="auto" w:fill="auto"/>
            <w:vAlign w:val="center"/>
          </w:tcPr>
          <w:p w14:paraId="2369C967">
            <w:pPr>
              <w:spacing w:line="240" w:lineRule="auto"/>
              <w:ind w:firstLine="0" w:firstLineChars="0"/>
              <w:jc w:val="center"/>
              <w:rPr>
                <w:color w:val="auto"/>
                <w:sz w:val="21"/>
                <w:szCs w:val="21"/>
              </w:rPr>
            </w:pPr>
            <w:r>
              <w:rPr>
                <w:color w:val="auto"/>
                <w:sz w:val="21"/>
                <w:szCs w:val="21"/>
              </w:rPr>
              <w:t>0.9</w:t>
            </w:r>
          </w:p>
        </w:tc>
        <w:tc>
          <w:tcPr>
            <w:tcW w:w="1000" w:type="pct"/>
            <w:shd w:val="clear" w:color="auto" w:fill="auto"/>
            <w:vAlign w:val="center"/>
          </w:tcPr>
          <w:p w14:paraId="2C604AD0">
            <w:pPr>
              <w:spacing w:line="240" w:lineRule="auto"/>
              <w:ind w:firstLine="0" w:firstLineChars="0"/>
              <w:jc w:val="center"/>
              <w:rPr>
                <w:color w:val="auto"/>
                <w:sz w:val="21"/>
                <w:szCs w:val="21"/>
              </w:rPr>
            </w:pPr>
            <w:r>
              <w:rPr>
                <w:color w:val="auto"/>
                <w:sz w:val="21"/>
                <w:szCs w:val="21"/>
              </w:rPr>
              <w:t>10</w:t>
            </w:r>
          </w:p>
        </w:tc>
      </w:tr>
      <w:tr w14:paraId="5A726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3CFB1BA">
            <w:pPr>
              <w:spacing w:line="240" w:lineRule="auto"/>
              <w:ind w:firstLine="0" w:firstLineChars="0"/>
              <w:jc w:val="center"/>
              <w:rPr>
                <w:color w:val="auto"/>
                <w:sz w:val="21"/>
                <w:szCs w:val="21"/>
              </w:rPr>
            </w:pPr>
            <w:r>
              <w:rPr>
                <w:color w:val="auto"/>
                <w:sz w:val="21"/>
                <w:szCs w:val="21"/>
              </w:rPr>
              <w:t>10</w:t>
            </w:r>
          </w:p>
        </w:tc>
        <w:tc>
          <w:tcPr>
            <w:tcW w:w="1159" w:type="pct"/>
            <w:shd w:val="clear" w:color="auto" w:fill="auto"/>
            <w:vAlign w:val="center"/>
          </w:tcPr>
          <w:p w14:paraId="71E1E98F">
            <w:pPr>
              <w:spacing w:line="240" w:lineRule="auto"/>
              <w:ind w:firstLine="0" w:firstLineChars="0"/>
              <w:jc w:val="center"/>
              <w:rPr>
                <w:color w:val="auto"/>
                <w:sz w:val="21"/>
                <w:szCs w:val="21"/>
              </w:rPr>
            </w:pPr>
            <w:r>
              <w:rPr>
                <w:color w:val="auto"/>
                <w:sz w:val="21"/>
                <w:szCs w:val="21"/>
              </w:rPr>
              <w:t>氯甲烷</w:t>
            </w:r>
          </w:p>
        </w:tc>
        <w:tc>
          <w:tcPr>
            <w:tcW w:w="1300" w:type="pct"/>
            <w:shd w:val="clear" w:color="auto" w:fill="auto"/>
            <w:vAlign w:val="center"/>
          </w:tcPr>
          <w:p w14:paraId="02CA0D9C">
            <w:pPr>
              <w:spacing w:line="240" w:lineRule="auto"/>
              <w:ind w:firstLine="0" w:firstLineChars="0"/>
              <w:jc w:val="center"/>
              <w:rPr>
                <w:color w:val="auto"/>
                <w:sz w:val="21"/>
                <w:szCs w:val="21"/>
              </w:rPr>
            </w:pPr>
            <w:r>
              <w:rPr>
                <w:color w:val="auto"/>
                <w:sz w:val="21"/>
                <w:szCs w:val="21"/>
              </w:rPr>
              <w:t>74-87-3</w:t>
            </w:r>
          </w:p>
        </w:tc>
        <w:tc>
          <w:tcPr>
            <w:tcW w:w="1000" w:type="pct"/>
            <w:shd w:val="clear" w:color="auto" w:fill="auto"/>
            <w:vAlign w:val="center"/>
          </w:tcPr>
          <w:p w14:paraId="1C78DA7D">
            <w:pPr>
              <w:spacing w:line="240" w:lineRule="auto"/>
              <w:ind w:firstLine="0" w:firstLineChars="0"/>
              <w:jc w:val="center"/>
              <w:rPr>
                <w:color w:val="auto"/>
                <w:sz w:val="21"/>
                <w:szCs w:val="21"/>
              </w:rPr>
            </w:pPr>
            <w:r>
              <w:rPr>
                <w:color w:val="auto"/>
                <w:sz w:val="21"/>
                <w:szCs w:val="21"/>
              </w:rPr>
              <w:t>37</w:t>
            </w:r>
          </w:p>
        </w:tc>
        <w:tc>
          <w:tcPr>
            <w:tcW w:w="1000" w:type="pct"/>
            <w:shd w:val="clear" w:color="auto" w:fill="auto"/>
            <w:vAlign w:val="center"/>
          </w:tcPr>
          <w:p w14:paraId="6362A575">
            <w:pPr>
              <w:spacing w:line="240" w:lineRule="auto"/>
              <w:ind w:firstLine="0" w:firstLineChars="0"/>
              <w:jc w:val="center"/>
              <w:rPr>
                <w:color w:val="auto"/>
                <w:sz w:val="21"/>
                <w:szCs w:val="21"/>
              </w:rPr>
            </w:pPr>
            <w:r>
              <w:rPr>
                <w:color w:val="auto"/>
                <w:sz w:val="21"/>
                <w:szCs w:val="21"/>
              </w:rPr>
              <w:t>120</w:t>
            </w:r>
          </w:p>
        </w:tc>
      </w:tr>
      <w:tr w14:paraId="39CC1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1A329BB">
            <w:pPr>
              <w:spacing w:line="240" w:lineRule="auto"/>
              <w:ind w:firstLine="0" w:firstLineChars="0"/>
              <w:jc w:val="center"/>
              <w:rPr>
                <w:color w:val="auto"/>
                <w:sz w:val="21"/>
                <w:szCs w:val="21"/>
              </w:rPr>
            </w:pPr>
            <w:r>
              <w:rPr>
                <w:color w:val="auto"/>
                <w:sz w:val="21"/>
                <w:szCs w:val="21"/>
              </w:rPr>
              <w:t>11</w:t>
            </w:r>
          </w:p>
        </w:tc>
        <w:tc>
          <w:tcPr>
            <w:tcW w:w="1159" w:type="pct"/>
            <w:shd w:val="clear" w:color="auto" w:fill="auto"/>
            <w:vAlign w:val="center"/>
          </w:tcPr>
          <w:p w14:paraId="1B84D0D7">
            <w:pPr>
              <w:spacing w:line="240" w:lineRule="auto"/>
              <w:ind w:firstLine="0" w:firstLineChars="0"/>
              <w:jc w:val="center"/>
              <w:rPr>
                <w:color w:val="auto"/>
                <w:sz w:val="21"/>
                <w:szCs w:val="21"/>
              </w:rPr>
            </w:pPr>
            <w:r>
              <w:rPr>
                <w:color w:val="auto"/>
                <w:sz w:val="21"/>
                <w:szCs w:val="21"/>
              </w:rPr>
              <w:t>1,1-二氯乙烷</w:t>
            </w:r>
          </w:p>
        </w:tc>
        <w:tc>
          <w:tcPr>
            <w:tcW w:w="1300" w:type="pct"/>
            <w:shd w:val="clear" w:color="auto" w:fill="auto"/>
            <w:vAlign w:val="center"/>
          </w:tcPr>
          <w:p w14:paraId="514C7CC8">
            <w:pPr>
              <w:spacing w:line="240" w:lineRule="auto"/>
              <w:ind w:firstLine="0" w:firstLineChars="0"/>
              <w:jc w:val="center"/>
              <w:rPr>
                <w:color w:val="auto"/>
                <w:sz w:val="21"/>
                <w:szCs w:val="21"/>
              </w:rPr>
            </w:pPr>
            <w:r>
              <w:rPr>
                <w:color w:val="auto"/>
                <w:sz w:val="21"/>
                <w:szCs w:val="21"/>
              </w:rPr>
              <w:t>75-34-3</w:t>
            </w:r>
          </w:p>
        </w:tc>
        <w:tc>
          <w:tcPr>
            <w:tcW w:w="1000" w:type="pct"/>
            <w:shd w:val="clear" w:color="auto" w:fill="auto"/>
            <w:vAlign w:val="center"/>
          </w:tcPr>
          <w:p w14:paraId="7E5BD2BA">
            <w:pPr>
              <w:spacing w:line="240" w:lineRule="auto"/>
              <w:ind w:firstLine="0" w:firstLineChars="0"/>
              <w:jc w:val="center"/>
              <w:rPr>
                <w:color w:val="auto"/>
                <w:sz w:val="21"/>
                <w:szCs w:val="21"/>
              </w:rPr>
            </w:pPr>
            <w:r>
              <w:rPr>
                <w:color w:val="auto"/>
                <w:sz w:val="21"/>
                <w:szCs w:val="21"/>
              </w:rPr>
              <w:t>9</w:t>
            </w:r>
          </w:p>
        </w:tc>
        <w:tc>
          <w:tcPr>
            <w:tcW w:w="1000" w:type="pct"/>
            <w:shd w:val="clear" w:color="auto" w:fill="auto"/>
            <w:vAlign w:val="center"/>
          </w:tcPr>
          <w:p w14:paraId="23B0341D">
            <w:pPr>
              <w:spacing w:line="240" w:lineRule="auto"/>
              <w:ind w:firstLine="0" w:firstLineChars="0"/>
              <w:jc w:val="center"/>
              <w:rPr>
                <w:color w:val="auto"/>
                <w:sz w:val="21"/>
                <w:szCs w:val="21"/>
              </w:rPr>
            </w:pPr>
            <w:r>
              <w:rPr>
                <w:color w:val="auto"/>
                <w:sz w:val="21"/>
                <w:szCs w:val="21"/>
              </w:rPr>
              <w:t>100</w:t>
            </w:r>
          </w:p>
        </w:tc>
      </w:tr>
      <w:tr w14:paraId="2ECFA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4AE7C1D">
            <w:pPr>
              <w:spacing w:line="240" w:lineRule="auto"/>
              <w:ind w:firstLine="0" w:firstLineChars="0"/>
              <w:jc w:val="center"/>
              <w:rPr>
                <w:color w:val="auto"/>
                <w:sz w:val="21"/>
                <w:szCs w:val="21"/>
              </w:rPr>
            </w:pPr>
            <w:r>
              <w:rPr>
                <w:color w:val="auto"/>
                <w:sz w:val="21"/>
                <w:szCs w:val="21"/>
              </w:rPr>
              <w:t>12</w:t>
            </w:r>
          </w:p>
        </w:tc>
        <w:tc>
          <w:tcPr>
            <w:tcW w:w="1159" w:type="pct"/>
            <w:shd w:val="clear" w:color="auto" w:fill="auto"/>
            <w:vAlign w:val="center"/>
          </w:tcPr>
          <w:p w14:paraId="14DC6258">
            <w:pPr>
              <w:spacing w:line="240" w:lineRule="auto"/>
              <w:ind w:firstLine="0" w:firstLineChars="0"/>
              <w:jc w:val="center"/>
              <w:rPr>
                <w:color w:val="auto"/>
                <w:sz w:val="21"/>
                <w:szCs w:val="21"/>
              </w:rPr>
            </w:pPr>
            <w:r>
              <w:rPr>
                <w:color w:val="auto"/>
                <w:sz w:val="21"/>
                <w:szCs w:val="21"/>
              </w:rPr>
              <w:t>1,2-二氯乙烷</w:t>
            </w:r>
          </w:p>
        </w:tc>
        <w:tc>
          <w:tcPr>
            <w:tcW w:w="1300" w:type="pct"/>
            <w:shd w:val="clear" w:color="auto" w:fill="auto"/>
            <w:vAlign w:val="center"/>
          </w:tcPr>
          <w:p w14:paraId="65B57C78">
            <w:pPr>
              <w:spacing w:line="240" w:lineRule="auto"/>
              <w:ind w:firstLine="0" w:firstLineChars="0"/>
              <w:jc w:val="center"/>
              <w:rPr>
                <w:color w:val="auto"/>
                <w:sz w:val="21"/>
                <w:szCs w:val="21"/>
              </w:rPr>
            </w:pPr>
            <w:r>
              <w:rPr>
                <w:color w:val="auto"/>
                <w:sz w:val="21"/>
                <w:szCs w:val="21"/>
              </w:rPr>
              <w:t>107-06-2</w:t>
            </w:r>
          </w:p>
        </w:tc>
        <w:tc>
          <w:tcPr>
            <w:tcW w:w="1000" w:type="pct"/>
            <w:shd w:val="clear" w:color="auto" w:fill="auto"/>
            <w:vAlign w:val="center"/>
          </w:tcPr>
          <w:p w14:paraId="7E74F1C3">
            <w:pPr>
              <w:spacing w:line="240" w:lineRule="auto"/>
              <w:ind w:firstLine="0" w:firstLineChars="0"/>
              <w:jc w:val="center"/>
              <w:rPr>
                <w:color w:val="auto"/>
                <w:sz w:val="21"/>
                <w:szCs w:val="21"/>
              </w:rPr>
            </w:pPr>
            <w:r>
              <w:rPr>
                <w:color w:val="auto"/>
                <w:sz w:val="21"/>
                <w:szCs w:val="21"/>
              </w:rPr>
              <w:t>5</w:t>
            </w:r>
          </w:p>
        </w:tc>
        <w:tc>
          <w:tcPr>
            <w:tcW w:w="1000" w:type="pct"/>
            <w:shd w:val="clear" w:color="auto" w:fill="auto"/>
            <w:vAlign w:val="center"/>
          </w:tcPr>
          <w:p w14:paraId="676BD4CD">
            <w:pPr>
              <w:spacing w:line="240" w:lineRule="auto"/>
              <w:ind w:firstLine="0" w:firstLineChars="0"/>
              <w:jc w:val="center"/>
              <w:rPr>
                <w:color w:val="auto"/>
                <w:sz w:val="21"/>
                <w:szCs w:val="21"/>
              </w:rPr>
            </w:pPr>
            <w:r>
              <w:rPr>
                <w:color w:val="auto"/>
                <w:sz w:val="21"/>
                <w:szCs w:val="21"/>
              </w:rPr>
              <w:t>21</w:t>
            </w:r>
          </w:p>
        </w:tc>
      </w:tr>
      <w:tr w14:paraId="26C13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00DA6F8">
            <w:pPr>
              <w:spacing w:line="240" w:lineRule="auto"/>
              <w:ind w:firstLine="0" w:firstLineChars="0"/>
              <w:jc w:val="center"/>
              <w:rPr>
                <w:color w:val="auto"/>
                <w:sz w:val="21"/>
                <w:szCs w:val="21"/>
              </w:rPr>
            </w:pPr>
            <w:r>
              <w:rPr>
                <w:color w:val="auto"/>
                <w:sz w:val="21"/>
                <w:szCs w:val="21"/>
              </w:rPr>
              <w:t>13</w:t>
            </w:r>
          </w:p>
        </w:tc>
        <w:tc>
          <w:tcPr>
            <w:tcW w:w="1159" w:type="pct"/>
            <w:shd w:val="clear" w:color="auto" w:fill="auto"/>
            <w:vAlign w:val="center"/>
          </w:tcPr>
          <w:p w14:paraId="56CB69C2">
            <w:pPr>
              <w:spacing w:line="240" w:lineRule="auto"/>
              <w:ind w:firstLine="0" w:firstLineChars="0"/>
              <w:jc w:val="center"/>
              <w:rPr>
                <w:color w:val="auto"/>
                <w:sz w:val="21"/>
                <w:szCs w:val="21"/>
              </w:rPr>
            </w:pPr>
            <w:r>
              <w:rPr>
                <w:color w:val="auto"/>
                <w:sz w:val="21"/>
                <w:szCs w:val="21"/>
              </w:rPr>
              <w:t>1,1-二氯乙烯</w:t>
            </w:r>
          </w:p>
        </w:tc>
        <w:tc>
          <w:tcPr>
            <w:tcW w:w="1300" w:type="pct"/>
            <w:shd w:val="clear" w:color="auto" w:fill="auto"/>
            <w:vAlign w:val="center"/>
          </w:tcPr>
          <w:p w14:paraId="54A52672">
            <w:pPr>
              <w:spacing w:line="240" w:lineRule="auto"/>
              <w:ind w:firstLine="0" w:firstLineChars="0"/>
              <w:jc w:val="center"/>
              <w:rPr>
                <w:color w:val="auto"/>
                <w:sz w:val="21"/>
                <w:szCs w:val="21"/>
              </w:rPr>
            </w:pPr>
            <w:r>
              <w:rPr>
                <w:color w:val="auto"/>
                <w:sz w:val="21"/>
                <w:szCs w:val="21"/>
              </w:rPr>
              <w:t>75-35-4</w:t>
            </w:r>
          </w:p>
        </w:tc>
        <w:tc>
          <w:tcPr>
            <w:tcW w:w="1000" w:type="pct"/>
            <w:shd w:val="clear" w:color="auto" w:fill="auto"/>
            <w:vAlign w:val="center"/>
          </w:tcPr>
          <w:p w14:paraId="5EC0BDA0">
            <w:pPr>
              <w:spacing w:line="240" w:lineRule="auto"/>
              <w:ind w:firstLine="0" w:firstLineChars="0"/>
              <w:jc w:val="center"/>
              <w:rPr>
                <w:color w:val="auto"/>
                <w:sz w:val="21"/>
                <w:szCs w:val="21"/>
              </w:rPr>
            </w:pPr>
            <w:r>
              <w:rPr>
                <w:color w:val="auto"/>
                <w:sz w:val="21"/>
                <w:szCs w:val="21"/>
              </w:rPr>
              <w:t>66</w:t>
            </w:r>
          </w:p>
        </w:tc>
        <w:tc>
          <w:tcPr>
            <w:tcW w:w="1000" w:type="pct"/>
            <w:shd w:val="clear" w:color="auto" w:fill="auto"/>
            <w:vAlign w:val="center"/>
          </w:tcPr>
          <w:p w14:paraId="233797A4">
            <w:pPr>
              <w:spacing w:line="240" w:lineRule="auto"/>
              <w:ind w:firstLine="0" w:firstLineChars="0"/>
              <w:jc w:val="center"/>
              <w:rPr>
                <w:color w:val="auto"/>
                <w:sz w:val="21"/>
                <w:szCs w:val="21"/>
              </w:rPr>
            </w:pPr>
            <w:r>
              <w:rPr>
                <w:color w:val="auto"/>
                <w:sz w:val="21"/>
                <w:szCs w:val="21"/>
              </w:rPr>
              <w:t>200</w:t>
            </w:r>
          </w:p>
        </w:tc>
      </w:tr>
      <w:tr w14:paraId="495A1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5CDC46E2">
            <w:pPr>
              <w:spacing w:line="240" w:lineRule="auto"/>
              <w:ind w:firstLine="0" w:firstLineChars="0"/>
              <w:jc w:val="center"/>
              <w:rPr>
                <w:color w:val="auto"/>
                <w:sz w:val="21"/>
                <w:szCs w:val="21"/>
              </w:rPr>
            </w:pPr>
            <w:r>
              <w:rPr>
                <w:color w:val="auto"/>
                <w:sz w:val="21"/>
                <w:szCs w:val="21"/>
              </w:rPr>
              <w:t>14</w:t>
            </w:r>
          </w:p>
        </w:tc>
        <w:tc>
          <w:tcPr>
            <w:tcW w:w="1159" w:type="pct"/>
            <w:shd w:val="clear" w:color="auto" w:fill="auto"/>
            <w:vAlign w:val="center"/>
          </w:tcPr>
          <w:p w14:paraId="09982C9D">
            <w:pPr>
              <w:spacing w:line="240" w:lineRule="auto"/>
              <w:ind w:firstLine="0" w:firstLineChars="0"/>
              <w:jc w:val="center"/>
              <w:rPr>
                <w:color w:val="auto"/>
                <w:sz w:val="21"/>
                <w:szCs w:val="21"/>
              </w:rPr>
            </w:pPr>
            <w:r>
              <w:rPr>
                <w:color w:val="auto"/>
                <w:sz w:val="21"/>
                <w:szCs w:val="21"/>
              </w:rPr>
              <w:t>顺-1,2-二氯乙烯</w:t>
            </w:r>
          </w:p>
        </w:tc>
        <w:tc>
          <w:tcPr>
            <w:tcW w:w="1300" w:type="pct"/>
            <w:shd w:val="clear" w:color="auto" w:fill="auto"/>
            <w:vAlign w:val="center"/>
          </w:tcPr>
          <w:p w14:paraId="2DF434B7">
            <w:pPr>
              <w:spacing w:line="240" w:lineRule="auto"/>
              <w:ind w:firstLine="0" w:firstLineChars="0"/>
              <w:jc w:val="center"/>
              <w:rPr>
                <w:color w:val="auto"/>
                <w:sz w:val="21"/>
                <w:szCs w:val="21"/>
              </w:rPr>
            </w:pPr>
            <w:r>
              <w:rPr>
                <w:color w:val="auto"/>
                <w:sz w:val="21"/>
                <w:szCs w:val="21"/>
              </w:rPr>
              <w:t>156-59-2</w:t>
            </w:r>
          </w:p>
        </w:tc>
        <w:tc>
          <w:tcPr>
            <w:tcW w:w="1000" w:type="pct"/>
            <w:shd w:val="clear" w:color="auto" w:fill="auto"/>
            <w:vAlign w:val="center"/>
          </w:tcPr>
          <w:p w14:paraId="0C97145E">
            <w:pPr>
              <w:spacing w:line="240" w:lineRule="auto"/>
              <w:ind w:firstLine="0" w:firstLineChars="0"/>
              <w:jc w:val="center"/>
              <w:rPr>
                <w:color w:val="auto"/>
                <w:sz w:val="21"/>
                <w:szCs w:val="21"/>
              </w:rPr>
            </w:pPr>
            <w:r>
              <w:rPr>
                <w:color w:val="auto"/>
                <w:sz w:val="21"/>
                <w:szCs w:val="21"/>
              </w:rPr>
              <w:t>596</w:t>
            </w:r>
          </w:p>
        </w:tc>
        <w:tc>
          <w:tcPr>
            <w:tcW w:w="1000" w:type="pct"/>
            <w:shd w:val="clear" w:color="auto" w:fill="auto"/>
            <w:vAlign w:val="center"/>
          </w:tcPr>
          <w:p w14:paraId="1AF5235B">
            <w:pPr>
              <w:spacing w:line="240" w:lineRule="auto"/>
              <w:ind w:firstLine="0" w:firstLineChars="0"/>
              <w:jc w:val="center"/>
              <w:rPr>
                <w:color w:val="auto"/>
                <w:sz w:val="21"/>
                <w:szCs w:val="21"/>
              </w:rPr>
            </w:pPr>
            <w:r>
              <w:rPr>
                <w:color w:val="auto"/>
                <w:sz w:val="21"/>
                <w:szCs w:val="21"/>
              </w:rPr>
              <w:t>2000</w:t>
            </w:r>
          </w:p>
        </w:tc>
      </w:tr>
      <w:tr w14:paraId="27008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16F53CB">
            <w:pPr>
              <w:spacing w:line="240" w:lineRule="auto"/>
              <w:ind w:firstLine="0" w:firstLineChars="0"/>
              <w:jc w:val="center"/>
              <w:rPr>
                <w:color w:val="auto"/>
                <w:sz w:val="21"/>
                <w:szCs w:val="21"/>
              </w:rPr>
            </w:pPr>
            <w:r>
              <w:rPr>
                <w:color w:val="auto"/>
                <w:sz w:val="21"/>
                <w:szCs w:val="21"/>
              </w:rPr>
              <w:t>15</w:t>
            </w:r>
          </w:p>
        </w:tc>
        <w:tc>
          <w:tcPr>
            <w:tcW w:w="1159" w:type="pct"/>
            <w:shd w:val="clear" w:color="auto" w:fill="auto"/>
            <w:vAlign w:val="center"/>
          </w:tcPr>
          <w:p w14:paraId="46EE5A87">
            <w:pPr>
              <w:spacing w:line="240" w:lineRule="auto"/>
              <w:ind w:firstLine="0" w:firstLineChars="0"/>
              <w:jc w:val="center"/>
              <w:rPr>
                <w:color w:val="auto"/>
                <w:sz w:val="21"/>
                <w:szCs w:val="21"/>
              </w:rPr>
            </w:pPr>
            <w:r>
              <w:rPr>
                <w:color w:val="auto"/>
                <w:sz w:val="21"/>
                <w:szCs w:val="21"/>
              </w:rPr>
              <w:t>反-1,2-二氯乙烯</w:t>
            </w:r>
          </w:p>
        </w:tc>
        <w:tc>
          <w:tcPr>
            <w:tcW w:w="1300" w:type="pct"/>
            <w:shd w:val="clear" w:color="auto" w:fill="auto"/>
            <w:vAlign w:val="center"/>
          </w:tcPr>
          <w:p w14:paraId="4113C755">
            <w:pPr>
              <w:spacing w:line="240" w:lineRule="auto"/>
              <w:ind w:firstLine="0" w:firstLineChars="0"/>
              <w:jc w:val="center"/>
              <w:rPr>
                <w:color w:val="auto"/>
                <w:sz w:val="21"/>
                <w:szCs w:val="21"/>
              </w:rPr>
            </w:pPr>
            <w:r>
              <w:rPr>
                <w:color w:val="auto"/>
                <w:sz w:val="21"/>
                <w:szCs w:val="21"/>
              </w:rPr>
              <w:t>156-60-5</w:t>
            </w:r>
          </w:p>
        </w:tc>
        <w:tc>
          <w:tcPr>
            <w:tcW w:w="1000" w:type="pct"/>
            <w:shd w:val="clear" w:color="auto" w:fill="auto"/>
            <w:vAlign w:val="center"/>
          </w:tcPr>
          <w:p w14:paraId="2ED2DD00">
            <w:pPr>
              <w:spacing w:line="240" w:lineRule="auto"/>
              <w:ind w:firstLine="0" w:firstLineChars="0"/>
              <w:jc w:val="center"/>
              <w:rPr>
                <w:color w:val="auto"/>
                <w:sz w:val="21"/>
                <w:szCs w:val="21"/>
              </w:rPr>
            </w:pPr>
            <w:r>
              <w:rPr>
                <w:color w:val="auto"/>
                <w:sz w:val="21"/>
                <w:szCs w:val="21"/>
              </w:rPr>
              <w:t>54</w:t>
            </w:r>
          </w:p>
        </w:tc>
        <w:tc>
          <w:tcPr>
            <w:tcW w:w="1000" w:type="pct"/>
            <w:shd w:val="clear" w:color="auto" w:fill="auto"/>
            <w:vAlign w:val="center"/>
          </w:tcPr>
          <w:p w14:paraId="6A7509A9">
            <w:pPr>
              <w:spacing w:line="240" w:lineRule="auto"/>
              <w:ind w:firstLine="0" w:firstLineChars="0"/>
              <w:jc w:val="center"/>
              <w:rPr>
                <w:color w:val="auto"/>
                <w:sz w:val="21"/>
                <w:szCs w:val="21"/>
              </w:rPr>
            </w:pPr>
            <w:r>
              <w:rPr>
                <w:color w:val="auto"/>
                <w:sz w:val="21"/>
                <w:szCs w:val="21"/>
              </w:rPr>
              <w:t>163</w:t>
            </w:r>
          </w:p>
        </w:tc>
      </w:tr>
      <w:tr w14:paraId="11396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5B83A76B">
            <w:pPr>
              <w:spacing w:line="240" w:lineRule="auto"/>
              <w:ind w:firstLine="0" w:firstLineChars="0"/>
              <w:jc w:val="center"/>
              <w:rPr>
                <w:color w:val="auto"/>
                <w:sz w:val="21"/>
                <w:szCs w:val="21"/>
              </w:rPr>
            </w:pPr>
            <w:r>
              <w:rPr>
                <w:color w:val="auto"/>
                <w:sz w:val="21"/>
                <w:szCs w:val="21"/>
              </w:rPr>
              <w:t>16</w:t>
            </w:r>
          </w:p>
        </w:tc>
        <w:tc>
          <w:tcPr>
            <w:tcW w:w="1159" w:type="pct"/>
            <w:shd w:val="clear" w:color="auto" w:fill="auto"/>
            <w:vAlign w:val="center"/>
          </w:tcPr>
          <w:p w14:paraId="64BA9DAB">
            <w:pPr>
              <w:spacing w:line="240" w:lineRule="auto"/>
              <w:ind w:firstLine="0" w:firstLineChars="0"/>
              <w:jc w:val="center"/>
              <w:rPr>
                <w:color w:val="auto"/>
                <w:sz w:val="21"/>
                <w:szCs w:val="21"/>
              </w:rPr>
            </w:pPr>
            <w:r>
              <w:rPr>
                <w:color w:val="auto"/>
                <w:sz w:val="21"/>
                <w:szCs w:val="21"/>
              </w:rPr>
              <w:t>二氯甲烷</w:t>
            </w:r>
          </w:p>
        </w:tc>
        <w:tc>
          <w:tcPr>
            <w:tcW w:w="1300" w:type="pct"/>
            <w:shd w:val="clear" w:color="auto" w:fill="auto"/>
            <w:vAlign w:val="center"/>
          </w:tcPr>
          <w:p w14:paraId="663F953E">
            <w:pPr>
              <w:spacing w:line="240" w:lineRule="auto"/>
              <w:ind w:firstLine="0" w:firstLineChars="0"/>
              <w:jc w:val="center"/>
              <w:rPr>
                <w:color w:val="auto"/>
                <w:sz w:val="21"/>
                <w:szCs w:val="21"/>
              </w:rPr>
            </w:pPr>
            <w:r>
              <w:rPr>
                <w:color w:val="auto"/>
                <w:sz w:val="21"/>
                <w:szCs w:val="21"/>
              </w:rPr>
              <w:t>75-09-2</w:t>
            </w:r>
          </w:p>
        </w:tc>
        <w:tc>
          <w:tcPr>
            <w:tcW w:w="1000" w:type="pct"/>
            <w:shd w:val="clear" w:color="auto" w:fill="auto"/>
            <w:vAlign w:val="center"/>
          </w:tcPr>
          <w:p w14:paraId="304D497C">
            <w:pPr>
              <w:spacing w:line="240" w:lineRule="auto"/>
              <w:ind w:firstLine="0" w:firstLineChars="0"/>
              <w:jc w:val="center"/>
              <w:rPr>
                <w:color w:val="auto"/>
                <w:sz w:val="21"/>
                <w:szCs w:val="21"/>
              </w:rPr>
            </w:pPr>
            <w:r>
              <w:rPr>
                <w:color w:val="auto"/>
                <w:sz w:val="21"/>
                <w:szCs w:val="21"/>
              </w:rPr>
              <w:t>616</w:t>
            </w:r>
          </w:p>
        </w:tc>
        <w:tc>
          <w:tcPr>
            <w:tcW w:w="1000" w:type="pct"/>
            <w:shd w:val="clear" w:color="auto" w:fill="auto"/>
            <w:vAlign w:val="center"/>
          </w:tcPr>
          <w:p w14:paraId="2008EB59">
            <w:pPr>
              <w:spacing w:line="240" w:lineRule="auto"/>
              <w:ind w:firstLine="0" w:firstLineChars="0"/>
              <w:jc w:val="center"/>
              <w:rPr>
                <w:color w:val="auto"/>
                <w:sz w:val="21"/>
                <w:szCs w:val="21"/>
              </w:rPr>
            </w:pPr>
            <w:r>
              <w:rPr>
                <w:color w:val="auto"/>
                <w:sz w:val="21"/>
                <w:szCs w:val="21"/>
              </w:rPr>
              <w:t>2000</w:t>
            </w:r>
          </w:p>
        </w:tc>
      </w:tr>
      <w:tr w14:paraId="1D743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2EC7991">
            <w:pPr>
              <w:spacing w:line="240" w:lineRule="auto"/>
              <w:ind w:firstLine="0" w:firstLineChars="0"/>
              <w:jc w:val="center"/>
              <w:rPr>
                <w:color w:val="auto"/>
                <w:sz w:val="21"/>
                <w:szCs w:val="21"/>
              </w:rPr>
            </w:pPr>
            <w:r>
              <w:rPr>
                <w:color w:val="auto"/>
                <w:sz w:val="21"/>
                <w:szCs w:val="21"/>
              </w:rPr>
              <w:t>17</w:t>
            </w:r>
          </w:p>
        </w:tc>
        <w:tc>
          <w:tcPr>
            <w:tcW w:w="1159" w:type="pct"/>
            <w:shd w:val="clear" w:color="auto" w:fill="auto"/>
            <w:vAlign w:val="center"/>
          </w:tcPr>
          <w:p w14:paraId="25009FEC">
            <w:pPr>
              <w:spacing w:line="240" w:lineRule="auto"/>
              <w:ind w:firstLine="0" w:firstLineChars="0"/>
              <w:jc w:val="center"/>
              <w:rPr>
                <w:color w:val="auto"/>
                <w:sz w:val="21"/>
                <w:szCs w:val="21"/>
              </w:rPr>
            </w:pPr>
            <w:r>
              <w:rPr>
                <w:color w:val="auto"/>
                <w:sz w:val="21"/>
                <w:szCs w:val="21"/>
              </w:rPr>
              <w:t>1.2-二氯丙烷</w:t>
            </w:r>
          </w:p>
        </w:tc>
        <w:tc>
          <w:tcPr>
            <w:tcW w:w="1300" w:type="pct"/>
            <w:shd w:val="clear" w:color="auto" w:fill="auto"/>
            <w:vAlign w:val="center"/>
          </w:tcPr>
          <w:p w14:paraId="2403D7F5">
            <w:pPr>
              <w:spacing w:line="240" w:lineRule="auto"/>
              <w:ind w:firstLine="0" w:firstLineChars="0"/>
              <w:jc w:val="center"/>
              <w:rPr>
                <w:color w:val="auto"/>
                <w:sz w:val="21"/>
                <w:szCs w:val="21"/>
              </w:rPr>
            </w:pPr>
            <w:r>
              <w:rPr>
                <w:color w:val="auto"/>
                <w:sz w:val="21"/>
                <w:szCs w:val="21"/>
              </w:rPr>
              <w:t>78-87-5</w:t>
            </w:r>
          </w:p>
        </w:tc>
        <w:tc>
          <w:tcPr>
            <w:tcW w:w="1000" w:type="pct"/>
            <w:shd w:val="clear" w:color="auto" w:fill="auto"/>
            <w:vAlign w:val="center"/>
          </w:tcPr>
          <w:p w14:paraId="4280A6D3">
            <w:pPr>
              <w:spacing w:line="240" w:lineRule="auto"/>
              <w:ind w:firstLine="0" w:firstLineChars="0"/>
              <w:jc w:val="center"/>
              <w:rPr>
                <w:color w:val="auto"/>
                <w:sz w:val="21"/>
                <w:szCs w:val="21"/>
              </w:rPr>
            </w:pPr>
            <w:r>
              <w:rPr>
                <w:color w:val="auto"/>
                <w:sz w:val="21"/>
                <w:szCs w:val="21"/>
              </w:rPr>
              <w:t>5</w:t>
            </w:r>
          </w:p>
        </w:tc>
        <w:tc>
          <w:tcPr>
            <w:tcW w:w="1000" w:type="pct"/>
            <w:shd w:val="clear" w:color="auto" w:fill="auto"/>
            <w:vAlign w:val="center"/>
          </w:tcPr>
          <w:p w14:paraId="5C8CB7CE">
            <w:pPr>
              <w:spacing w:line="240" w:lineRule="auto"/>
              <w:ind w:firstLine="0" w:firstLineChars="0"/>
              <w:jc w:val="center"/>
              <w:rPr>
                <w:color w:val="auto"/>
                <w:sz w:val="21"/>
                <w:szCs w:val="21"/>
              </w:rPr>
            </w:pPr>
            <w:r>
              <w:rPr>
                <w:color w:val="auto"/>
                <w:sz w:val="21"/>
                <w:szCs w:val="21"/>
              </w:rPr>
              <w:t>47</w:t>
            </w:r>
          </w:p>
        </w:tc>
      </w:tr>
      <w:tr w14:paraId="57BCF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0F00593D">
            <w:pPr>
              <w:spacing w:line="240" w:lineRule="auto"/>
              <w:ind w:firstLine="0" w:firstLineChars="0"/>
              <w:jc w:val="center"/>
              <w:rPr>
                <w:color w:val="auto"/>
                <w:sz w:val="21"/>
                <w:szCs w:val="21"/>
              </w:rPr>
            </w:pPr>
            <w:r>
              <w:rPr>
                <w:color w:val="auto"/>
                <w:sz w:val="21"/>
                <w:szCs w:val="21"/>
              </w:rPr>
              <w:t>18</w:t>
            </w:r>
          </w:p>
        </w:tc>
        <w:tc>
          <w:tcPr>
            <w:tcW w:w="1159" w:type="pct"/>
            <w:shd w:val="clear" w:color="auto" w:fill="auto"/>
            <w:vAlign w:val="center"/>
          </w:tcPr>
          <w:p w14:paraId="1B6C2452">
            <w:pPr>
              <w:spacing w:line="240" w:lineRule="auto"/>
              <w:ind w:firstLine="0" w:firstLineChars="0"/>
              <w:jc w:val="center"/>
              <w:rPr>
                <w:color w:val="auto"/>
                <w:sz w:val="21"/>
                <w:szCs w:val="21"/>
              </w:rPr>
            </w:pPr>
            <w:r>
              <w:rPr>
                <w:color w:val="auto"/>
                <w:sz w:val="21"/>
                <w:szCs w:val="21"/>
              </w:rPr>
              <w:t>1,1,1,2-四氯乙烷</w:t>
            </w:r>
          </w:p>
        </w:tc>
        <w:tc>
          <w:tcPr>
            <w:tcW w:w="1300" w:type="pct"/>
            <w:shd w:val="clear" w:color="auto" w:fill="auto"/>
            <w:vAlign w:val="center"/>
          </w:tcPr>
          <w:p w14:paraId="1EBA293F">
            <w:pPr>
              <w:spacing w:line="240" w:lineRule="auto"/>
              <w:ind w:firstLine="0" w:firstLineChars="0"/>
              <w:jc w:val="center"/>
              <w:rPr>
                <w:color w:val="auto"/>
                <w:sz w:val="21"/>
                <w:szCs w:val="21"/>
              </w:rPr>
            </w:pPr>
            <w:r>
              <w:rPr>
                <w:color w:val="auto"/>
                <w:sz w:val="21"/>
                <w:szCs w:val="21"/>
              </w:rPr>
              <w:t>630-20-6</w:t>
            </w:r>
          </w:p>
        </w:tc>
        <w:tc>
          <w:tcPr>
            <w:tcW w:w="1000" w:type="pct"/>
            <w:shd w:val="clear" w:color="auto" w:fill="auto"/>
            <w:vAlign w:val="center"/>
          </w:tcPr>
          <w:p w14:paraId="66CD05FD">
            <w:pPr>
              <w:spacing w:line="240" w:lineRule="auto"/>
              <w:ind w:firstLine="0" w:firstLineChars="0"/>
              <w:jc w:val="center"/>
              <w:rPr>
                <w:color w:val="auto"/>
                <w:sz w:val="21"/>
                <w:szCs w:val="21"/>
              </w:rPr>
            </w:pPr>
            <w:r>
              <w:rPr>
                <w:color w:val="auto"/>
                <w:sz w:val="21"/>
                <w:szCs w:val="21"/>
              </w:rPr>
              <w:t>10</w:t>
            </w:r>
          </w:p>
        </w:tc>
        <w:tc>
          <w:tcPr>
            <w:tcW w:w="1000" w:type="pct"/>
            <w:shd w:val="clear" w:color="auto" w:fill="auto"/>
            <w:vAlign w:val="center"/>
          </w:tcPr>
          <w:p w14:paraId="626BAC46">
            <w:pPr>
              <w:spacing w:line="240" w:lineRule="auto"/>
              <w:ind w:firstLine="0" w:firstLineChars="0"/>
              <w:jc w:val="center"/>
              <w:rPr>
                <w:color w:val="auto"/>
                <w:sz w:val="21"/>
                <w:szCs w:val="21"/>
              </w:rPr>
            </w:pPr>
            <w:r>
              <w:rPr>
                <w:color w:val="auto"/>
                <w:sz w:val="21"/>
                <w:szCs w:val="21"/>
              </w:rPr>
              <w:t>100</w:t>
            </w:r>
          </w:p>
        </w:tc>
      </w:tr>
      <w:tr w14:paraId="3F2B2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06BBF94C">
            <w:pPr>
              <w:spacing w:line="240" w:lineRule="auto"/>
              <w:ind w:firstLine="0" w:firstLineChars="0"/>
              <w:jc w:val="center"/>
              <w:rPr>
                <w:color w:val="auto"/>
                <w:sz w:val="21"/>
                <w:szCs w:val="21"/>
              </w:rPr>
            </w:pPr>
            <w:r>
              <w:rPr>
                <w:color w:val="auto"/>
                <w:sz w:val="21"/>
                <w:szCs w:val="21"/>
              </w:rPr>
              <w:t>19</w:t>
            </w:r>
          </w:p>
        </w:tc>
        <w:tc>
          <w:tcPr>
            <w:tcW w:w="1159" w:type="pct"/>
            <w:shd w:val="clear" w:color="auto" w:fill="auto"/>
            <w:vAlign w:val="center"/>
          </w:tcPr>
          <w:p w14:paraId="74578304">
            <w:pPr>
              <w:spacing w:line="240" w:lineRule="auto"/>
              <w:ind w:firstLine="0" w:firstLineChars="0"/>
              <w:jc w:val="center"/>
              <w:rPr>
                <w:color w:val="auto"/>
                <w:sz w:val="21"/>
                <w:szCs w:val="21"/>
              </w:rPr>
            </w:pPr>
            <w:r>
              <w:rPr>
                <w:color w:val="auto"/>
                <w:sz w:val="21"/>
                <w:szCs w:val="21"/>
              </w:rPr>
              <w:t>1,1,2,2-四氯乙烷</w:t>
            </w:r>
          </w:p>
        </w:tc>
        <w:tc>
          <w:tcPr>
            <w:tcW w:w="1300" w:type="pct"/>
            <w:shd w:val="clear" w:color="auto" w:fill="auto"/>
            <w:vAlign w:val="center"/>
          </w:tcPr>
          <w:p w14:paraId="5C4A2950">
            <w:pPr>
              <w:spacing w:line="240" w:lineRule="auto"/>
              <w:ind w:firstLine="0" w:firstLineChars="0"/>
              <w:jc w:val="center"/>
              <w:rPr>
                <w:color w:val="auto"/>
                <w:sz w:val="21"/>
                <w:szCs w:val="21"/>
              </w:rPr>
            </w:pPr>
            <w:r>
              <w:rPr>
                <w:color w:val="auto"/>
                <w:sz w:val="21"/>
                <w:szCs w:val="21"/>
              </w:rPr>
              <w:t>79-34-5</w:t>
            </w:r>
          </w:p>
        </w:tc>
        <w:tc>
          <w:tcPr>
            <w:tcW w:w="1000" w:type="pct"/>
            <w:shd w:val="clear" w:color="auto" w:fill="auto"/>
            <w:vAlign w:val="center"/>
          </w:tcPr>
          <w:p w14:paraId="241FBB74">
            <w:pPr>
              <w:spacing w:line="240" w:lineRule="auto"/>
              <w:ind w:firstLine="0" w:firstLineChars="0"/>
              <w:jc w:val="center"/>
              <w:rPr>
                <w:color w:val="auto"/>
                <w:sz w:val="21"/>
                <w:szCs w:val="21"/>
              </w:rPr>
            </w:pPr>
            <w:r>
              <w:rPr>
                <w:color w:val="auto"/>
                <w:sz w:val="21"/>
                <w:szCs w:val="21"/>
              </w:rPr>
              <w:t>6.8</w:t>
            </w:r>
          </w:p>
        </w:tc>
        <w:tc>
          <w:tcPr>
            <w:tcW w:w="1000" w:type="pct"/>
            <w:shd w:val="clear" w:color="auto" w:fill="auto"/>
            <w:vAlign w:val="center"/>
          </w:tcPr>
          <w:p w14:paraId="70671F5D">
            <w:pPr>
              <w:spacing w:line="240" w:lineRule="auto"/>
              <w:ind w:firstLine="0" w:firstLineChars="0"/>
              <w:jc w:val="center"/>
              <w:rPr>
                <w:color w:val="auto"/>
                <w:sz w:val="21"/>
                <w:szCs w:val="21"/>
              </w:rPr>
            </w:pPr>
            <w:r>
              <w:rPr>
                <w:color w:val="auto"/>
                <w:sz w:val="21"/>
                <w:szCs w:val="21"/>
              </w:rPr>
              <w:t>50</w:t>
            </w:r>
          </w:p>
        </w:tc>
      </w:tr>
      <w:tr w14:paraId="75AB5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5337DF8">
            <w:pPr>
              <w:spacing w:line="240" w:lineRule="auto"/>
              <w:ind w:firstLine="0" w:firstLineChars="0"/>
              <w:jc w:val="center"/>
              <w:rPr>
                <w:color w:val="auto"/>
                <w:sz w:val="21"/>
                <w:szCs w:val="21"/>
              </w:rPr>
            </w:pPr>
            <w:r>
              <w:rPr>
                <w:color w:val="auto"/>
                <w:sz w:val="21"/>
                <w:szCs w:val="21"/>
              </w:rPr>
              <w:t>20</w:t>
            </w:r>
          </w:p>
        </w:tc>
        <w:tc>
          <w:tcPr>
            <w:tcW w:w="1159" w:type="pct"/>
            <w:shd w:val="clear" w:color="auto" w:fill="auto"/>
            <w:vAlign w:val="center"/>
          </w:tcPr>
          <w:p w14:paraId="53747AF2">
            <w:pPr>
              <w:spacing w:line="240" w:lineRule="auto"/>
              <w:ind w:firstLine="0" w:firstLineChars="0"/>
              <w:jc w:val="center"/>
              <w:rPr>
                <w:color w:val="auto"/>
                <w:sz w:val="21"/>
                <w:szCs w:val="21"/>
              </w:rPr>
            </w:pPr>
            <w:r>
              <w:rPr>
                <w:color w:val="auto"/>
                <w:sz w:val="21"/>
                <w:szCs w:val="21"/>
              </w:rPr>
              <w:t>四氯乙烯</w:t>
            </w:r>
          </w:p>
        </w:tc>
        <w:tc>
          <w:tcPr>
            <w:tcW w:w="1300" w:type="pct"/>
            <w:shd w:val="clear" w:color="auto" w:fill="auto"/>
            <w:vAlign w:val="center"/>
          </w:tcPr>
          <w:p w14:paraId="369D6676">
            <w:pPr>
              <w:spacing w:line="240" w:lineRule="auto"/>
              <w:ind w:firstLine="0" w:firstLineChars="0"/>
              <w:jc w:val="center"/>
              <w:rPr>
                <w:color w:val="auto"/>
                <w:sz w:val="21"/>
                <w:szCs w:val="21"/>
              </w:rPr>
            </w:pPr>
            <w:r>
              <w:rPr>
                <w:color w:val="auto"/>
                <w:sz w:val="21"/>
                <w:szCs w:val="21"/>
              </w:rPr>
              <w:t>127-18-4</w:t>
            </w:r>
          </w:p>
        </w:tc>
        <w:tc>
          <w:tcPr>
            <w:tcW w:w="1000" w:type="pct"/>
            <w:shd w:val="clear" w:color="auto" w:fill="auto"/>
            <w:vAlign w:val="center"/>
          </w:tcPr>
          <w:p w14:paraId="4F70A0D2">
            <w:pPr>
              <w:spacing w:line="240" w:lineRule="auto"/>
              <w:ind w:firstLine="0" w:firstLineChars="0"/>
              <w:jc w:val="center"/>
              <w:rPr>
                <w:color w:val="auto"/>
                <w:sz w:val="21"/>
                <w:szCs w:val="21"/>
              </w:rPr>
            </w:pPr>
            <w:r>
              <w:rPr>
                <w:color w:val="auto"/>
                <w:sz w:val="21"/>
                <w:szCs w:val="21"/>
              </w:rPr>
              <w:t>53</w:t>
            </w:r>
          </w:p>
        </w:tc>
        <w:tc>
          <w:tcPr>
            <w:tcW w:w="1000" w:type="pct"/>
            <w:shd w:val="clear" w:color="auto" w:fill="auto"/>
            <w:vAlign w:val="center"/>
          </w:tcPr>
          <w:p w14:paraId="2ED67DF8">
            <w:pPr>
              <w:spacing w:line="240" w:lineRule="auto"/>
              <w:ind w:firstLine="0" w:firstLineChars="0"/>
              <w:jc w:val="center"/>
              <w:rPr>
                <w:color w:val="auto"/>
                <w:sz w:val="21"/>
                <w:szCs w:val="21"/>
              </w:rPr>
            </w:pPr>
            <w:r>
              <w:rPr>
                <w:color w:val="auto"/>
                <w:sz w:val="21"/>
                <w:szCs w:val="21"/>
              </w:rPr>
              <w:t>183</w:t>
            </w:r>
          </w:p>
        </w:tc>
      </w:tr>
      <w:tr w14:paraId="6F1A1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498AE082">
            <w:pPr>
              <w:spacing w:line="240" w:lineRule="auto"/>
              <w:ind w:firstLine="0" w:firstLineChars="0"/>
              <w:jc w:val="center"/>
              <w:rPr>
                <w:color w:val="auto"/>
                <w:sz w:val="21"/>
                <w:szCs w:val="21"/>
              </w:rPr>
            </w:pPr>
            <w:r>
              <w:rPr>
                <w:color w:val="auto"/>
                <w:sz w:val="21"/>
                <w:szCs w:val="21"/>
              </w:rPr>
              <w:t>21</w:t>
            </w:r>
          </w:p>
        </w:tc>
        <w:tc>
          <w:tcPr>
            <w:tcW w:w="1159" w:type="pct"/>
            <w:shd w:val="clear" w:color="auto" w:fill="auto"/>
            <w:vAlign w:val="center"/>
          </w:tcPr>
          <w:p w14:paraId="6FD3BE5B">
            <w:pPr>
              <w:spacing w:line="240" w:lineRule="auto"/>
              <w:ind w:firstLine="0" w:firstLineChars="0"/>
              <w:jc w:val="center"/>
              <w:rPr>
                <w:color w:val="auto"/>
                <w:sz w:val="21"/>
                <w:szCs w:val="21"/>
              </w:rPr>
            </w:pPr>
            <w:r>
              <w:rPr>
                <w:color w:val="auto"/>
                <w:sz w:val="21"/>
                <w:szCs w:val="21"/>
              </w:rPr>
              <w:t>1,1,1-三氯乙烷</w:t>
            </w:r>
          </w:p>
        </w:tc>
        <w:tc>
          <w:tcPr>
            <w:tcW w:w="1300" w:type="pct"/>
            <w:shd w:val="clear" w:color="auto" w:fill="auto"/>
            <w:vAlign w:val="center"/>
          </w:tcPr>
          <w:p w14:paraId="293A8ED0">
            <w:pPr>
              <w:spacing w:line="240" w:lineRule="auto"/>
              <w:ind w:firstLine="0" w:firstLineChars="0"/>
              <w:jc w:val="center"/>
              <w:rPr>
                <w:color w:val="auto"/>
                <w:sz w:val="21"/>
                <w:szCs w:val="21"/>
              </w:rPr>
            </w:pPr>
            <w:r>
              <w:rPr>
                <w:color w:val="auto"/>
                <w:sz w:val="21"/>
                <w:szCs w:val="21"/>
              </w:rPr>
              <w:t>71-55-6</w:t>
            </w:r>
          </w:p>
        </w:tc>
        <w:tc>
          <w:tcPr>
            <w:tcW w:w="1000" w:type="pct"/>
            <w:shd w:val="clear" w:color="auto" w:fill="auto"/>
            <w:vAlign w:val="center"/>
          </w:tcPr>
          <w:p w14:paraId="46858ED0">
            <w:pPr>
              <w:spacing w:line="240" w:lineRule="auto"/>
              <w:ind w:firstLine="0" w:firstLineChars="0"/>
              <w:jc w:val="center"/>
              <w:rPr>
                <w:color w:val="auto"/>
                <w:sz w:val="21"/>
                <w:szCs w:val="21"/>
              </w:rPr>
            </w:pPr>
            <w:r>
              <w:rPr>
                <w:color w:val="auto"/>
                <w:sz w:val="21"/>
                <w:szCs w:val="21"/>
              </w:rPr>
              <w:t>840</w:t>
            </w:r>
          </w:p>
        </w:tc>
        <w:tc>
          <w:tcPr>
            <w:tcW w:w="1000" w:type="pct"/>
            <w:shd w:val="clear" w:color="auto" w:fill="auto"/>
            <w:vAlign w:val="center"/>
          </w:tcPr>
          <w:p w14:paraId="0CC4A5D2">
            <w:pPr>
              <w:spacing w:line="240" w:lineRule="auto"/>
              <w:ind w:firstLine="0" w:firstLineChars="0"/>
              <w:jc w:val="center"/>
              <w:rPr>
                <w:color w:val="auto"/>
                <w:sz w:val="21"/>
                <w:szCs w:val="21"/>
              </w:rPr>
            </w:pPr>
            <w:r>
              <w:rPr>
                <w:color w:val="auto"/>
                <w:sz w:val="21"/>
                <w:szCs w:val="21"/>
              </w:rPr>
              <w:t>840</w:t>
            </w:r>
          </w:p>
        </w:tc>
      </w:tr>
      <w:tr w14:paraId="06089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58021A8C">
            <w:pPr>
              <w:spacing w:line="240" w:lineRule="auto"/>
              <w:ind w:firstLine="0" w:firstLineChars="0"/>
              <w:jc w:val="center"/>
              <w:rPr>
                <w:color w:val="auto"/>
                <w:sz w:val="21"/>
                <w:szCs w:val="21"/>
              </w:rPr>
            </w:pPr>
            <w:r>
              <w:rPr>
                <w:color w:val="auto"/>
                <w:sz w:val="21"/>
                <w:szCs w:val="21"/>
              </w:rPr>
              <w:t>22</w:t>
            </w:r>
          </w:p>
        </w:tc>
        <w:tc>
          <w:tcPr>
            <w:tcW w:w="1159" w:type="pct"/>
            <w:shd w:val="clear" w:color="auto" w:fill="auto"/>
            <w:vAlign w:val="center"/>
          </w:tcPr>
          <w:p w14:paraId="63C148CB">
            <w:pPr>
              <w:spacing w:line="240" w:lineRule="auto"/>
              <w:ind w:firstLine="0" w:firstLineChars="0"/>
              <w:jc w:val="center"/>
              <w:rPr>
                <w:color w:val="auto"/>
                <w:sz w:val="21"/>
                <w:szCs w:val="21"/>
              </w:rPr>
            </w:pPr>
            <w:r>
              <w:rPr>
                <w:color w:val="auto"/>
                <w:sz w:val="21"/>
                <w:szCs w:val="21"/>
              </w:rPr>
              <w:t>1,1,2-三氯乙烷</w:t>
            </w:r>
          </w:p>
        </w:tc>
        <w:tc>
          <w:tcPr>
            <w:tcW w:w="1300" w:type="pct"/>
            <w:shd w:val="clear" w:color="auto" w:fill="auto"/>
            <w:vAlign w:val="center"/>
          </w:tcPr>
          <w:p w14:paraId="09128F15">
            <w:pPr>
              <w:spacing w:line="240" w:lineRule="auto"/>
              <w:ind w:firstLine="0" w:firstLineChars="0"/>
              <w:jc w:val="center"/>
              <w:rPr>
                <w:color w:val="auto"/>
                <w:sz w:val="21"/>
                <w:szCs w:val="21"/>
              </w:rPr>
            </w:pPr>
            <w:r>
              <w:rPr>
                <w:color w:val="auto"/>
                <w:sz w:val="21"/>
                <w:szCs w:val="21"/>
              </w:rPr>
              <w:t>79-00-5</w:t>
            </w:r>
          </w:p>
        </w:tc>
        <w:tc>
          <w:tcPr>
            <w:tcW w:w="1000" w:type="pct"/>
            <w:shd w:val="clear" w:color="auto" w:fill="auto"/>
            <w:vAlign w:val="center"/>
          </w:tcPr>
          <w:p w14:paraId="2807CB5B">
            <w:pPr>
              <w:spacing w:line="240" w:lineRule="auto"/>
              <w:ind w:firstLine="0" w:firstLineChars="0"/>
              <w:jc w:val="center"/>
              <w:rPr>
                <w:color w:val="auto"/>
                <w:sz w:val="21"/>
                <w:szCs w:val="21"/>
              </w:rPr>
            </w:pPr>
            <w:r>
              <w:rPr>
                <w:color w:val="auto"/>
                <w:sz w:val="21"/>
                <w:szCs w:val="21"/>
              </w:rPr>
              <w:t>2.8</w:t>
            </w:r>
          </w:p>
        </w:tc>
        <w:tc>
          <w:tcPr>
            <w:tcW w:w="1000" w:type="pct"/>
            <w:shd w:val="clear" w:color="auto" w:fill="auto"/>
            <w:vAlign w:val="center"/>
          </w:tcPr>
          <w:p w14:paraId="4E113AC6">
            <w:pPr>
              <w:spacing w:line="240" w:lineRule="auto"/>
              <w:ind w:firstLine="0" w:firstLineChars="0"/>
              <w:jc w:val="center"/>
              <w:rPr>
                <w:color w:val="auto"/>
                <w:sz w:val="21"/>
                <w:szCs w:val="21"/>
              </w:rPr>
            </w:pPr>
            <w:r>
              <w:rPr>
                <w:color w:val="auto"/>
                <w:sz w:val="21"/>
                <w:szCs w:val="21"/>
              </w:rPr>
              <w:t>15</w:t>
            </w:r>
          </w:p>
        </w:tc>
      </w:tr>
      <w:tr w14:paraId="75EAE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130F2E1A">
            <w:pPr>
              <w:spacing w:line="240" w:lineRule="auto"/>
              <w:ind w:firstLine="0" w:firstLineChars="0"/>
              <w:jc w:val="center"/>
              <w:rPr>
                <w:color w:val="auto"/>
                <w:sz w:val="21"/>
                <w:szCs w:val="21"/>
              </w:rPr>
            </w:pPr>
            <w:r>
              <w:rPr>
                <w:color w:val="auto"/>
                <w:sz w:val="21"/>
                <w:szCs w:val="21"/>
              </w:rPr>
              <w:t>23</w:t>
            </w:r>
          </w:p>
        </w:tc>
        <w:tc>
          <w:tcPr>
            <w:tcW w:w="1159" w:type="pct"/>
            <w:shd w:val="clear" w:color="auto" w:fill="auto"/>
            <w:vAlign w:val="center"/>
          </w:tcPr>
          <w:p w14:paraId="4868640D">
            <w:pPr>
              <w:spacing w:line="240" w:lineRule="auto"/>
              <w:ind w:firstLine="0" w:firstLineChars="0"/>
              <w:jc w:val="center"/>
              <w:rPr>
                <w:color w:val="auto"/>
                <w:sz w:val="21"/>
                <w:szCs w:val="21"/>
              </w:rPr>
            </w:pPr>
            <w:r>
              <w:rPr>
                <w:color w:val="auto"/>
                <w:sz w:val="21"/>
                <w:szCs w:val="21"/>
              </w:rPr>
              <w:t>三氯乙烯</w:t>
            </w:r>
          </w:p>
        </w:tc>
        <w:tc>
          <w:tcPr>
            <w:tcW w:w="1300" w:type="pct"/>
            <w:shd w:val="clear" w:color="auto" w:fill="auto"/>
            <w:vAlign w:val="center"/>
          </w:tcPr>
          <w:p w14:paraId="67D320EF">
            <w:pPr>
              <w:spacing w:line="240" w:lineRule="auto"/>
              <w:ind w:firstLine="0" w:firstLineChars="0"/>
              <w:jc w:val="center"/>
              <w:rPr>
                <w:color w:val="auto"/>
                <w:sz w:val="21"/>
                <w:szCs w:val="21"/>
              </w:rPr>
            </w:pPr>
            <w:r>
              <w:rPr>
                <w:color w:val="auto"/>
                <w:sz w:val="21"/>
                <w:szCs w:val="21"/>
              </w:rPr>
              <w:t>79-01-6</w:t>
            </w:r>
          </w:p>
        </w:tc>
        <w:tc>
          <w:tcPr>
            <w:tcW w:w="1000" w:type="pct"/>
            <w:shd w:val="clear" w:color="auto" w:fill="auto"/>
            <w:vAlign w:val="center"/>
          </w:tcPr>
          <w:p w14:paraId="29A36557">
            <w:pPr>
              <w:spacing w:line="240" w:lineRule="auto"/>
              <w:ind w:firstLine="0" w:firstLineChars="0"/>
              <w:jc w:val="center"/>
              <w:rPr>
                <w:color w:val="auto"/>
                <w:sz w:val="21"/>
                <w:szCs w:val="21"/>
              </w:rPr>
            </w:pPr>
            <w:r>
              <w:rPr>
                <w:color w:val="auto"/>
                <w:sz w:val="21"/>
                <w:szCs w:val="21"/>
              </w:rPr>
              <w:t>2.8</w:t>
            </w:r>
          </w:p>
        </w:tc>
        <w:tc>
          <w:tcPr>
            <w:tcW w:w="1000" w:type="pct"/>
            <w:shd w:val="clear" w:color="auto" w:fill="auto"/>
            <w:vAlign w:val="center"/>
          </w:tcPr>
          <w:p w14:paraId="7C737F63">
            <w:pPr>
              <w:spacing w:line="240" w:lineRule="auto"/>
              <w:ind w:firstLine="0" w:firstLineChars="0"/>
              <w:jc w:val="center"/>
              <w:rPr>
                <w:color w:val="auto"/>
                <w:sz w:val="21"/>
                <w:szCs w:val="21"/>
              </w:rPr>
            </w:pPr>
            <w:r>
              <w:rPr>
                <w:color w:val="auto"/>
                <w:sz w:val="21"/>
                <w:szCs w:val="21"/>
              </w:rPr>
              <w:t>20</w:t>
            </w:r>
          </w:p>
        </w:tc>
      </w:tr>
      <w:tr w14:paraId="200CD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50F0092E">
            <w:pPr>
              <w:spacing w:line="240" w:lineRule="auto"/>
              <w:ind w:firstLine="0" w:firstLineChars="0"/>
              <w:jc w:val="center"/>
              <w:rPr>
                <w:color w:val="auto"/>
                <w:sz w:val="21"/>
                <w:szCs w:val="21"/>
              </w:rPr>
            </w:pPr>
            <w:r>
              <w:rPr>
                <w:color w:val="auto"/>
                <w:sz w:val="21"/>
                <w:szCs w:val="21"/>
              </w:rPr>
              <w:t>24</w:t>
            </w:r>
          </w:p>
        </w:tc>
        <w:tc>
          <w:tcPr>
            <w:tcW w:w="1159" w:type="pct"/>
            <w:shd w:val="clear" w:color="auto" w:fill="auto"/>
            <w:vAlign w:val="center"/>
          </w:tcPr>
          <w:p w14:paraId="239D08CC">
            <w:pPr>
              <w:spacing w:line="240" w:lineRule="auto"/>
              <w:ind w:firstLine="0" w:firstLineChars="0"/>
              <w:jc w:val="center"/>
              <w:rPr>
                <w:color w:val="auto"/>
                <w:sz w:val="21"/>
                <w:szCs w:val="21"/>
              </w:rPr>
            </w:pPr>
            <w:r>
              <w:rPr>
                <w:color w:val="auto"/>
                <w:sz w:val="21"/>
                <w:szCs w:val="21"/>
              </w:rPr>
              <w:t>1,2,3-三氯丙烷</w:t>
            </w:r>
          </w:p>
        </w:tc>
        <w:tc>
          <w:tcPr>
            <w:tcW w:w="1300" w:type="pct"/>
            <w:shd w:val="clear" w:color="auto" w:fill="auto"/>
            <w:vAlign w:val="center"/>
          </w:tcPr>
          <w:p w14:paraId="5A6740D7">
            <w:pPr>
              <w:spacing w:line="240" w:lineRule="auto"/>
              <w:ind w:firstLine="0" w:firstLineChars="0"/>
              <w:jc w:val="center"/>
              <w:rPr>
                <w:color w:val="auto"/>
                <w:sz w:val="21"/>
                <w:szCs w:val="21"/>
              </w:rPr>
            </w:pPr>
            <w:r>
              <w:rPr>
                <w:color w:val="auto"/>
                <w:sz w:val="21"/>
                <w:szCs w:val="21"/>
              </w:rPr>
              <w:t>96-18-4</w:t>
            </w:r>
          </w:p>
        </w:tc>
        <w:tc>
          <w:tcPr>
            <w:tcW w:w="1000" w:type="pct"/>
            <w:shd w:val="clear" w:color="auto" w:fill="auto"/>
            <w:vAlign w:val="center"/>
          </w:tcPr>
          <w:p w14:paraId="462F63ED">
            <w:pPr>
              <w:spacing w:line="240" w:lineRule="auto"/>
              <w:ind w:firstLine="0" w:firstLineChars="0"/>
              <w:jc w:val="center"/>
              <w:rPr>
                <w:color w:val="auto"/>
                <w:sz w:val="21"/>
                <w:szCs w:val="21"/>
              </w:rPr>
            </w:pPr>
            <w:r>
              <w:rPr>
                <w:color w:val="auto"/>
                <w:sz w:val="21"/>
                <w:szCs w:val="21"/>
              </w:rPr>
              <w:t>0.5</w:t>
            </w:r>
          </w:p>
        </w:tc>
        <w:tc>
          <w:tcPr>
            <w:tcW w:w="1000" w:type="pct"/>
            <w:shd w:val="clear" w:color="auto" w:fill="auto"/>
            <w:vAlign w:val="center"/>
          </w:tcPr>
          <w:p w14:paraId="2319638D">
            <w:pPr>
              <w:spacing w:line="240" w:lineRule="auto"/>
              <w:ind w:firstLine="0" w:firstLineChars="0"/>
              <w:jc w:val="center"/>
              <w:rPr>
                <w:color w:val="auto"/>
                <w:sz w:val="21"/>
                <w:szCs w:val="21"/>
              </w:rPr>
            </w:pPr>
            <w:r>
              <w:rPr>
                <w:color w:val="auto"/>
                <w:sz w:val="21"/>
                <w:szCs w:val="21"/>
              </w:rPr>
              <w:t>5</w:t>
            </w:r>
          </w:p>
        </w:tc>
      </w:tr>
      <w:tr w14:paraId="212AE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72015FE">
            <w:pPr>
              <w:spacing w:line="240" w:lineRule="auto"/>
              <w:ind w:firstLine="0" w:firstLineChars="0"/>
              <w:jc w:val="center"/>
              <w:rPr>
                <w:color w:val="auto"/>
                <w:sz w:val="21"/>
                <w:szCs w:val="21"/>
              </w:rPr>
            </w:pPr>
            <w:r>
              <w:rPr>
                <w:color w:val="auto"/>
                <w:sz w:val="21"/>
                <w:szCs w:val="21"/>
              </w:rPr>
              <w:t>25</w:t>
            </w:r>
          </w:p>
        </w:tc>
        <w:tc>
          <w:tcPr>
            <w:tcW w:w="1159" w:type="pct"/>
            <w:shd w:val="clear" w:color="auto" w:fill="auto"/>
            <w:vAlign w:val="center"/>
          </w:tcPr>
          <w:p w14:paraId="14F87BD4">
            <w:pPr>
              <w:spacing w:line="240" w:lineRule="auto"/>
              <w:ind w:firstLine="0" w:firstLineChars="0"/>
              <w:jc w:val="center"/>
              <w:rPr>
                <w:color w:val="auto"/>
                <w:sz w:val="21"/>
                <w:szCs w:val="21"/>
              </w:rPr>
            </w:pPr>
            <w:r>
              <w:rPr>
                <w:color w:val="auto"/>
                <w:sz w:val="21"/>
                <w:szCs w:val="21"/>
              </w:rPr>
              <w:t>氯乙烯</w:t>
            </w:r>
          </w:p>
        </w:tc>
        <w:tc>
          <w:tcPr>
            <w:tcW w:w="1300" w:type="pct"/>
            <w:shd w:val="clear" w:color="auto" w:fill="auto"/>
            <w:vAlign w:val="center"/>
          </w:tcPr>
          <w:p w14:paraId="1BB34398">
            <w:pPr>
              <w:spacing w:line="240" w:lineRule="auto"/>
              <w:ind w:firstLine="0" w:firstLineChars="0"/>
              <w:jc w:val="center"/>
              <w:rPr>
                <w:color w:val="auto"/>
                <w:sz w:val="21"/>
                <w:szCs w:val="21"/>
              </w:rPr>
            </w:pPr>
            <w:r>
              <w:rPr>
                <w:color w:val="auto"/>
                <w:sz w:val="21"/>
                <w:szCs w:val="21"/>
              </w:rPr>
              <w:t>75-01-4</w:t>
            </w:r>
          </w:p>
        </w:tc>
        <w:tc>
          <w:tcPr>
            <w:tcW w:w="1000" w:type="pct"/>
            <w:shd w:val="clear" w:color="auto" w:fill="auto"/>
            <w:vAlign w:val="center"/>
          </w:tcPr>
          <w:p w14:paraId="4734CDF3">
            <w:pPr>
              <w:spacing w:line="240" w:lineRule="auto"/>
              <w:ind w:firstLine="0" w:firstLineChars="0"/>
              <w:jc w:val="center"/>
              <w:rPr>
                <w:color w:val="auto"/>
                <w:sz w:val="21"/>
                <w:szCs w:val="21"/>
              </w:rPr>
            </w:pPr>
            <w:r>
              <w:rPr>
                <w:color w:val="auto"/>
                <w:sz w:val="21"/>
                <w:szCs w:val="21"/>
              </w:rPr>
              <w:t>0.43</w:t>
            </w:r>
          </w:p>
        </w:tc>
        <w:tc>
          <w:tcPr>
            <w:tcW w:w="1000" w:type="pct"/>
            <w:shd w:val="clear" w:color="auto" w:fill="auto"/>
            <w:vAlign w:val="center"/>
          </w:tcPr>
          <w:p w14:paraId="4FCDB1CD">
            <w:pPr>
              <w:spacing w:line="240" w:lineRule="auto"/>
              <w:ind w:firstLine="0" w:firstLineChars="0"/>
              <w:jc w:val="center"/>
              <w:rPr>
                <w:color w:val="auto"/>
                <w:sz w:val="21"/>
                <w:szCs w:val="21"/>
              </w:rPr>
            </w:pPr>
            <w:r>
              <w:rPr>
                <w:color w:val="auto"/>
                <w:sz w:val="21"/>
                <w:szCs w:val="21"/>
              </w:rPr>
              <w:t>4.3</w:t>
            </w:r>
          </w:p>
        </w:tc>
      </w:tr>
      <w:tr w14:paraId="79EDF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06D6B9F1">
            <w:pPr>
              <w:spacing w:line="240" w:lineRule="auto"/>
              <w:ind w:firstLine="0" w:firstLineChars="0"/>
              <w:jc w:val="center"/>
              <w:rPr>
                <w:color w:val="auto"/>
                <w:sz w:val="21"/>
                <w:szCs w:val="21"/>
              </w:rPr>
            </w:pPr>
            <w:r>
              <w:rPr>
                <w:color w:val="auto"/>
                <w:sz w:val="21"/>
                <w:szCs w:val="21"/>
              </w:rPr>
              <w:t>26</w:t>
            </w:r>
          </w:p>
        </w:tc>
        <w:tc>
          <w:tcPr>
            <w:tcW w:w="1159" w:type="pct"/>
            <w:shd w:val="clear" w:color="auto" w:fill="auto"/>
            <w:vAlign w:val="center"/>
          </w:tcPr>
          <w:p w14:paraId="76A80E91">
            <w:pPr>
              <w:spacing w:line="240" w:lineRule="auto"/>
              <w:ind w:firstLine="0" w:firstLineChars="0"/>
              <w:jc w:val="center"/>
              <w:rPr>
                <w:color w:val="auto"/>
                <w:sz w:val="21"/>
                <w:szCs w:val="21"/>
              </w:rPr>
            </w:pPr>
            <w:r>
              <w:rPr>
                <w:color w:val="auto"/>
                <w:sz w:val="21"/>
                <w:szCs w:val="21"/>
              </w:rPr>
              <w:t>苯</w:t>
            </w:r>
          </w:p>
        </w:tc>
        <w:tc>
          <w:tcPr>
            <w:tcW w:w="1300" w:type="pct"/>
            <w:shd w:val="clear" w:color="auto" w:fill="auto"/>
            <w:vAlign w:val="center"/>
          </w:tcPr>
          <w:p w14:paraId="2843BD79">
            <w:pPr>
              <w:spacing w:line="240" w:lineRule="auto"/>
              <w:ind w:firstLine="0" w:firstLineChars="0"/>
              <w:jc w:val="center"/>
              <w:rPr>
                <w:color w:val="auto"/>
                <w:sz w:val="21"/>
                <w:szCs w:val="21"/>
              </w:rPr>
            </w:pPr>
            <w:r>
              <w:rPr>
                <w:color w:val="auto"/>
                <w:sz w:val="21"/>
                <w:szCs w:val="21"/>
              </w:rPr>
              <w:t>71-43-2</w:t>
            </w:r>
          </w:p>
        </w:tc>
        <w:tc>
          <w:tcPr>
            <w:tcW w:w="1000" w:type="pct"/>
            <w:shd w:val="clear" w:color="auto" w:fill="auto"/>
            <w:vAlign w:val="center"/>
          </w:tcPr>
          <w:p w14:paraId="49C89AE8">
            <w:pPr>
              <w:spacing w:line="240" w:lineRule="auto"/>
              <w:ind w:firstLine="0" w:firstLineChars="0"/>
              <w:jc w:val="center"/>
              <w:rPr>
                <w:color w:val="auto"/>
                <w:sz w:val="21"/>
                <w:szCs w:val="21"/>
              </w:rPr>
            </w:pPr>
            <w:r>
              <w:rPr>
                <w:color w:val="auto"/>
                <w:sz w:val="21"/>
                <w:szCs w:val="21"/>
              </w:rPr>
              <w:t>4</w:t>
            </w:r>
          </w:p>
        </w:tc>
        <w:tc>
          <w:tcPr>
            <w:tcW w:w="1000" w:type="pct"/>
            <w:shd w:val="clear" w:color="auto" w:fill="auto"/>
            <w:vAlign w:val="center"/>
          </w:tcPr>
          <w:p w14:paraId="2FEB88DB">
            <w:pPr>
              <w:spacing w:line="240" w:lineRule="auto"/>
              <w:ind w:firstLine="0" w:firstLineChars="0"/>
              <w:jc w:val="center"/>
              <w:rPr>
                <w:color w:val="auto"/>
                <w:sz w:val="21"/>
                <w:szCs w:val="21"/>
              </w:rPr>
            </w:pPr>
            <w:r>
              <w:rPr>
                <w:color w:val="auto"/>
                <w:sz w:val="21"/>
                <w:szCs w:val="21"/>
              </w:rPr>
              <w:t>40</w:t>
            </w:r>
          </w:p>
        </w:tc>
      </w:tr>
      <w:tr w14:paraId="0F4EE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38A278D2">
            <w:pPr>
              <w:spacing w:line="240" w:lineRule="auto"/>
              <w:ind w:firstLine="0" w:firstLineChars="0"/>
              <w:jc w:val="center"/>
              <w:rPr>
                <w:color w:val="auto"/>
                <w:sz w:val="21"/>
                <w:szCs w:val="21"/>
              </w:rPr>
            </w:pPr>
            <w:r>
              <w:rPr>
                <w:color w:val="auto"/>
                <w:sz w:val="21"/>
                <w:szCs w:val="21"/>
              </w:rPr>
              <w:t>27</w:t>
            </w:r>
          </w:p>
        </w:tc>
        <w:tc>
          <w:tcPr>
            <w:tcW w:w="1159" w:type="pct"/>
            <w:shd w:val="clear" w:color="auto" w:fill="auto"/>
            <w:vAlign w:val="center"/>
          </w:tcPr>
          <w:p w14:paraId="4C01E089">
            <w:pPr>
              <w:spacing w:line="240" w:lineRule="auto"/>
              <w:ind w:firstLine="0" w:firstLineChars="0"/>
              <w:jc w:val="center"/>
              <w:rPr>
                <w:color w:val="auto"/>
                <w:sz w:val="21"/>
                <w:szCs w:val="21"/>
              </w:rPr>
            </w:pPr>
            <w:r>
              <w:rPr>
                <w:color w:val="auto"/>
                <w:sz w:val="21"/>
                <w:szCs w:val="21"/>
              </w:rPr>
              <w:t>氯苯</w:t>
            </w:r>
          </w:p>
        </w:tc>
        <w:tc>
          <w:tcPr>
            <w:tcW w:w="1300" w:type="pct"/>
            <w:shd w:val="clear" w:color="auto" w:fill="auto"/>
            <w:vAlign w:val="center"/>
          </w:tcPr>
          <w:p w14:paraId="7F0FD636">
            <w:pPr>
              <w:spacing w:line="240" w:lineRule="auto"/>
              <w:ind w:firstLine="0" w:firstLineChars="0"/>
              <w:jc w:val="center"/>
              <w:rPr>
                <w:color w:val="auto"/>
                <w:sz w:val="21"/>
                <w:szCs w:val="21"/>
              </w:rPr>
            </w:pPr>
            <w:r>
              <w:rPr>
                <w:color w:val="auto"/>
                <w:sz w:val="21"/>
                <w:szCs w:val="21"/>
              </w:rPr>
              <w:t>108-90-7</w:t>
            </w:r>
          </w:p>
        </w:tc>
        <w:tc>
          <w:tcPr>
            <w:tcW w:w="1000" w:type="pct"/>
            <w:shd w:val="clear" w:color="auto" w:fill="auto"/>
            <w:vAlign w:val="center"/>
          </w:tcPr>
          <w:p w14:paraId="1D99CBC8">
            <w:pPr>
              <w:spacing w:line="240" w:lineRule="auto"/>
              <w:ind w:firstLine="0" w:firstLineChars="0"/>
              <w:jc w:val="center"/>
              <w:rPr>
                <w:color w:val="auto"/>
                <w:sz w:val="21"/>
                <w:szCs w:val="21"/>
              </w:rPr>
            </w:pPr>
            <w:r>
              <w:rPr>
                <w:color w:val="auto"/>
                <w:sz w:val="21"/>
                <w:szCs w:val="21"/>
              </w:rPr>
              <w:t>270</w:t>
            </w:r>
          </w:p>
        </w:tc>
        <w:tc>
          <w:tcPr>
            <w:tcW w:w="1000" w:type="pct"/>
            <w:shd w:val="clear" w:color="auto" w:fill="auto"/>
            <w:vAlign w:val="center"/>
          </w:tcPr>
          <w:p w14:paraId="302B7C5E">
            <w:pPr>
              <w:spacing w:line="240" w:lineRule="auto"/>
              <w:ind w:firstLine="0" w:firstLineChars="0"/>
              <w:jc w:val="center"/>
              <w:rPr>
                <w:color w:val="auto"/>
                <w:sz w:val="21"/>
                <w:szCs w:val="21"/>
              </w:rPr>
            </w:pPr>
            <w:r>
              <w:rPr>
                <w:color w:val="auto"/>
                <w:sz w:val="21"/>
                <w:szCs w:val="21"/>
              </w:rPr>
              <w:t>1000</w:t>
            </w:r>
          </w:p>
        </w:tc>
      </w:tr>
      <w:tr w14:paraId="26A4D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1A4E76C">
            <w:pPr>
              <w:spacing w:line="240" w:lineRule="auto"/>
              <w:ind w:firstLine="0" w:firstLineChars="0"/>
              <w:jc w:val="center"/>
              <w:rPr>
                <w:color w:val="auto"/>
                <w:sz w:val="21"/>
                <w:szCs w:val="21"/>
              </w:rPr>
            </w:pPr>
            <w:r>
              <w:rPr>
                <w:color w:val="auto"/>
                <w:sz w:val="21"/>
                <w:szCs w:val="21"/>
              </w:rPr>
              <w:t>28</w:t>
            </w:r>
          </w:p>
        </w:tc>
        <w:tc>
          <w:tcPr>
            <w:tcW w:w="1159" w:type="pct"/>
            <w:shd w:val="clear" w:color="auto" w:fill="auto"/>
            <w:vAlign w:val="center"/>
          </w:tcPr>
          <w:p w14:paraId="0E4EF1E7">
            <w:pPr>
              <w:spacing w:line="240" w:lineRule="auto"/>
              <w:ind w:firstLine="0" w:firstLineChars="0"/>
              <w:jc w:val="center"/>
              <w:rPr>
                <w:color w:val="auto"/>
                <w:sz w:val="21"/>
                <w:szCs w:val="21"/>
              </w:rPr>
            </w:pPr>
            <w:r>
              <w:rPr>
                <w:color w:val="auto"/>
                <w:sz w:val="21"/>
                <w:szCs w:val="21"/>
              </w:rPr>
              <w:t>1,2-二氯苯</w:t>
            </w:r>
          </w:p>
        </w:tc>
        <w:tc>
          <w:tcPr>
            <w:tcW w:w="1300" w:type="pct"/>
            <w:shd w:val="clear" w:color="auto" w:fill="auto"/>
            <w:vAlign w:val="center"/>
          </w:tcPr>
          <w:p w14:paraId="05A2F254">
            <w:pPr>
              <w:spacing w:line="240" w:lineRule="auto"/>
              <w:ind w:firstLine="0" w:firstLineChars="0"/>
              <w:jc w:val="center"/>
              <w:rPr>
                <w:color w:val="auto"/>
                <w:sz w:val="21"/>
                <w:szCs w:val="21"/>
              </w:rPr>
            </w:pPr>
            <w:r>
              <w:rPr>
                <w:color w:val="auto"/>
                <w:sz w:val="21"/>
                <w:szCs w:val="21"/>
              </w:rPr>
              <w:t>95-50-1</w:t>
            </w:r>
          </w:p>
        </w:tc>
        <w:tc>
          <w:tcPr>
            <w:tcW w:w="1000" w:type="pct"/>
            <w:shd w:val="clear" w:color="auto" w:fill="auto"/>
            <w:vAlign w:val="center"/>
          </w:tcPr>
          <w:p w14:paraId="573737F6">
            <w:pPr>
              <w:spacing w:line="240" w:lineRule="auto"/>
              <w:ind w:firstLine="0" w:firstLineChars="0"/>
              <w:jc w:val="center"/>
              <w:rPr>
                <w:color w:val="auto"/>
                <w:sz w:val="21"/>
                <w:szCs w:val="21"/>
              </w:rPr>
            </w:pPr>
            <w:r>
              <w:rPr>
                <w:color w:val="auto"/>
                <w:sz w:val="21"/>
                <w:szCs w:val="21"/>
              </w:rPr>
              <w:t>560</w:t>
            </w:r>
          </w:p>
        </w:tc>
        <w:tc>
          <w:tcPr>
            <w:tcW w:w="1000" w:type="pct"/>
            <w:shd w:val="clear" w:color="auto" w:fill="auto"/>
            <w:vAlign w:val="center"/>
          </w:tcPr>
          <w:p w14:paraId="7C6AC216">
            <w:pPr>
              <w:spacing w:line="240" w:lineRule="auto"/>
              <w:ind w:firstLine="0" w:firstLineChars="0"/>
              <w:jc w:val="center"/>
              <w:rPr>
                <w:color w:val="auto"/>
                <w:sz w:val="21"/>
                <w:szCs w:val="21"/>
              </w:rPr>
            </w:pPr>
            <w:r>
              <w:rPr>
                <w:color w:val="auto"/>
                <w:sz w:val="21"/>
                <w:szCs w:val="21"/>
              </w:rPr>
              <w:t>560</w:t>
            </w:r>
          </w:p>
        </w:tc>
      </w:tr>
      <w:tr w14:paraId="4CF6E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1C064A76">
            <w:pPr>
              <w:spacing w:line="240" w:lineRule="auto"/>
              <w:ind w:firstLine="0" w:firstLineChars="0"/>
              <w:jc w:val="center"/>
              <w:rPr>
                <w:color w:val="auto"/>
                <w:sz w:val="21"/>
                <w:szCs w:val="21"/>
              </w:rPr>
            </w:pPr>
            <w:r>
              <w:rPr>
                <w:color w:val="auto"/>
                <w:sz w:val="21"/>
                <w:szCs w:val="21"/>
              </w:rPr>
              <w:t>29</w:t>
            </w:r>
          </w:p>
        </w:tc>
        <w:tc>
          <w:tcPr>
            <w:tcW w:w="1159" w:type="pct"/>
            <w:shd w:val="clear" w:color="auto" w:fill="auto"/>
            <w:vAlign w:val="center"/>
          </w:tcPr>
          <w:p w14:paraId="3863495D">
            <w:pPr>
              <w:spacing w:line="240" w:lineRule="auto"/>
              <w:ind w:firstLine="0" w:firstLineChars="0"/>
              <w:jc w:val="center"/>
              <w:rPr>
                <w:color w:val="auto"/>
                <w:sz w:val="21"/>
                <w:szCs w:val="21"/>
              </w:rPr>
            </w:pPr>
            <w:r>
              <w:rPr>
                <w:color w:val="auto"/>
                <w:sz w:val="21"/>
                <w:szCs w:val="21"/>
              </w:rPr>
              <w:t>1,4-二氯苯</w:t>
            </w:r>
          </w:p>
        </w:tc>
        <w:tc>
          <w:tcPr>
            <w:tcW w:w="1300" w:type="pct"/>
            <w:shd w:val="clear" w:color="auto" w:fill="auto"/>
            <w:vAlign w:val="center"/>
          </w:tcPr>
          <w:p w14:paraId="54024CFA">
            <w:pPr>
              <w:spacing w:line="240" w:lineRule="auto"/>
              <w:ind w:firstLine="0" w:firstLineChars="0"/>
              <w:jc w:val="center"/>
              <w:rPr>
                <w:color w:val="auto"/>
                <w:sz w:val="21"/>
                <w:szCs w:val="21"/>
              </w:rPr>
            </w:pPr>
            <w:r>
              <w:rPr>
                <w:color w:val="auto"/>
                <w:sz w:val="21"/>
                <w:szCs w:val="21"/>
              </w:rPr>
              <w:t>106-46-7</w:t>
            </w:r>
          </w:p>
        </w:tc>
        <w:tc>
          <w:tcPr>
            <w:tcW w:w="1000" w:type="pct"/>
            <w:shd w:val="clear" w:color="auto" w:fill="auto"/>
            <w:vAlign w:val="center"/>
          </w:tcPr>
          <w:p w14:paraId="774FE4A4">
            <w:pPr>
              <w:spacing w:line="240" w:lineRule="auto"/>
              <w:ind w:firstLine="0" w:firstLineChars="0"/>
              <w:jc w:val="center"/>
              <w:rPr>
                <w:color w:val="auto"/>
                <w:sz w:val="21"/>
                <w:szCs w:val="21"/>
              </w:rPr>
            </w:pPr>
            <w:r>
              <w:rPr>
                <w:color w:val="auto"/>
                <w:sz w:val="21"/>
                <w:szCs w:val="21"/>
              </w:rPr>
              <w:t>20</w:t>
            </w:r>
          </w:p>
        </w:tc>
        <w:tc>
          <w:tcPr>
            <w:tcW w:w="1000" w:type="pct"/>
            <w:shd w:val="clear" w:color="auto" w:fill="auto"/>
            <w:vAlign w:val="center"/>
          </w:tcPr>
          <w:p w14:paraId="4F034EE7">
            <w:pPr>
              <w:spacing w:line="240" w:lineRule="auto"/>
              <w:ind w:firstLine="0" w:firstLineChars="0"/>
              <w:jc w:val="center"/>
              <w:rPr>
                <w:color w:val="auto"/>
                <w:sz w:val="21"/>
                <w:szCs w:val="21"/>
              </w:rPr>
            </w:pPr>
            <w:r>
              <w:rPr>
                <w:color w:val="auto"/>
                <w:sz w:val="21"/>
                <w:szCs w:val="21"/>
              </w:rPr>
              <w:t>200</w:t>
            </w:r>
          </w:p>
        </w:tc>
      </w:tr>
      <w:tr w14:paraId="70FEE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36093D14">
            <w:pPr>
              <w:spacing w:line="240" w:lineRule="auto"/>
              <w:ind w:firstLine="0" w:firstLineChars="0"/>
              <w:jc w:val="center"/>
              <w:rPr>
                <w:color w:val="auto"/>
                <w:sz w:val="21"/>
                <w:szCs w:val="21"/>
              </w:rPr>
            </w:pPr>
            <w:r>
              <w:rPr>
                <w:color w:val="auto"/>
                <w:sz w:val="21"/>
                <w:szCs w:val="21"/>
              </w:rPr>
              <w:t>30</w:t>
            </w:r>
          </w:p>
        </w:tc>
        <w:tc>
          <w:tcPr>
            <w:tcW w:w="1159" w:type="pct"/>
            <w:shd w:val="clear" w:color="auto" w:fill="auto"/>
            <w:vAlign w:val="center"/>
          </w:tcPr>
          <w:p w14:paraId="1B78E915">
            <w:pPr>
              <w:spacing w:line="240" w:lineRule="auto"/>
              <w:ind w:firstLine="0" w:firstLineChars="0"/>
              <w:jc w:val="center"/>
              <w:rPr>
                <w:color w:val="auto"/>
                <w:sz w:val="21"/>
                <w:szCs w:val="21"/>
              </w:rPr>
            </w:pPr>
            <w:r>
              <w:rPr>
                <w:color w:val="auto"/>
                <w:sz w:val="21"/>
                <w:szCs w:val="21"/>
              </w:rPr>
              <w:t>乙苯</w:t>
            </w:r>
          </w:p>
        </w:tc>
        <w:tc>
          <w:tcPr>
            <w:tcW w:w="1300" w:type="pct"/>
            <w:shd w:val="clear" w:color="auto" w:fill="auto"/>
            <w:vAlign w:val="center"/>
          </w:tcPr>
          <w:p w14:paraId="089282AE">
            <w:pPr>
              <w:spacing w:line="240" w:lineRule="auto"/>
              <w:ind w:firstLine="0" w:firstLineChars="0"/>
              <w:jc w:val="center"/>
              <w:rPr>
                <w:color w:val="auto"/>
                <w:sz w:val="21"/>
                <w:szCs w:val="21"/>
              </w:rPr>
            </w:pPr>
            <w:r>
              <w:rPr>
                <w:color w:val="auto"/>
                <w:sz w:val="21"/>
                <w:szCs w:val="21"/>
              </w:rPr>
              <w:t>100-41-4</w:t>
            </w:r>
          </w:p>
        </w:tc>
        <w:tc>
          <w:tcPr>
            <w:tcW w:w="1000" w:type="pct"/>
            <w:shd w:val="clear" w:color="auto" w:fill="auto"/>
            <w:vAlign w:val="center"/>
          </w:tcPr>
          <w:p w14:paraId="77ABFB97">
            <w:pPr>
              <w:spacing w:line="240" w:lineRule="auto"/>
              <w:ind w:firstLine="0" w:firstLineChars="0"/>
              <w:jc w:val="center"/>
              <w:rPr>
                <w:color w:val="auto"/>
                <w:sz w:val="21"/>
                <w:szCs w:val="21"/>
              </w:rPr>
            </w:pPr>
            <w:r>
              <w:rPr>
                <w:color w:val="auto"/>
                <w:sz w:val="21"/>
                <w:szCs w:val="21"/>
              </w:rPr>
              <w:t>28</w:t>
            </w:r>
          </w:p>
        </w:tc>
        <w:tc>
          <w:tcPr>
            <w:tcW w:w="1000" w:type="pct"/>
            <w:shd w:val="clear" w:color="auto" w:fill="auto"/>
            <w:vAlign w:val="center"/>
          </w:tcPr>
          <w:p w14:paraId="1BDFBA68">
            <w:pPr>
              <w:spacing w:line="240" w:lineRule="auto"/>
              <w:ind w:firstLine="0" w:firstLineChars="0"/>
              <w:jc w:val="center"/>
              <w:rPr>
                <w:color w:val="auto"/>
                <w:sz w:val="21"/>
                <w:szCs w:val="21"/>
              </w:rPr>
            </w:pPr>
            <w:r>
              <w:rPr>
                <w:color w:val="auto"/>
                <w:sz w:val="21"/>
                <w:szCs w:val="21"/>
              </w:rPr>
              <w:t>280</w:t>
            </w:r>
          </w:p>
        </w:tc>
      </w:tr>
      <w:tr w14:paraId="6D0BE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DE330FD">
            <w:pPr>
              <w:spacing w:line="240" w:lineRule="auto"/>
              <w:ind w:firstLine="0" w:firstLineChars="0"/>
              <w:jc w:val="center"/>
              <w:rPr>
                <w:color w:val="auto"/>
                <w:sz w:val="21"/>
                <w:szCs w:val="21"/>
              </w:rPr>
            </w:pPr>
            <w:r>
              <w:rPr>
                <w:color w:val="auto"/>
                <w:sz w:val="21"/>
                <w:szCs w:val="21"/>
              </w:rPr>
              <w:t>31</w:t>
            </w:r>
          </w:p>
        </w:tc>
        <w:tc>
          <w:tcPr>
            <w:tcW w:w="1159" w:type="pct"/>
            <w:shd w:val="clear" w:color="auto" w:fill="auto"/>
            <w:vAlign w:val="center"/>
          </w:tcPr>
          <w:p w14:paraId="0FDB4D3A">
            <w:pPr>
              <w:spacing w:line="240" w:lineRule="auto"/>
              <w:ind w:firstLine="0" w:firstLineChars="0"/>
              <w:jc w:val="center"/>
              <w:rPr>
                <w:color w:val="auto"/>
                <w:sz w:val="21"/>
                <w:szCs w:val="21"/>
              </w:rPr>
            </w:pPr>
            <w:r>
              <w:rPr>
                <w:color w:val="auto"/>
                <w:sz w:val="21"/>
                <w:szCs w:val="21"/>
              </w:rPr>
              <w:t>苯乙烯</w:t>
            </w:r>
          </w:p>
        </w:tc>
        <w:tc>
          <w:tcPr>
            <w:tcW w:w="1300" w:type="pct"/>
            <w:shd w:val="clear" w:color="auto" w:fill="auto"/>
            <w:vAlign w:val="center"/>
          </w:tcPr>
          <w:p w14:paraId="6B2E7286">
            <w:pPr>
              <w:spacing w:line="240" w:lineRule="auto"/>
              <w:ind w:firstLine="0" w:firstLineChars="0"/>
              <w:jc w:val="center"/>
              <w:rPr>
                <w:color w:val="auto"/>
                <w:sz w:val="21"/>
                <w:szCs w:val="21"/>
              </w:rPr>
            </w:pPr>
            <w:r>
              <w:rPr>
                <w:color w:val="auto"/>
                <w:sz w:val="21"/>
                <w:szCs w:val="21"/>
              </w:rPr>
              <w:t>100-42-5</w:t>
            </w:r>
          </w:p>
        </w:tc>
        <w:tc>
          <w:tcPr>
            <w:tcW w:w="1000" w:type="pct"/>
            <w:shd w:val="clear" w:color="auto" w:fill="auto"/>
            <w:vAlign w:val="center"/>
          </w:tcPr>
          <w:p w14:paraId="6FEC7151">
            <w:pPr>
              <w:spacing w:line="240" w:lineRule="auto"/>
              <w:ind w:firstLine="0" w:firstLineChars="0"/>
              <w:jc w:val="center"/>
              <w:rPr>
                <w:color w:val="auto"/>
                <w:sz w:val="21"/>
                <w:szCs w:val="21"/>
              </w:rPr>
            </w:pPr>
            <w:r>
              <w:rPr>
                <w:color w:val="auto"/>
                <w:sz w:val="21"/>
                <w:szCs w:val="21"/>
              </w:rPr>
              <w:t>1290</w:t>
            </w:r>
          </w:p>
        </w:tc>
        <w:tc>
          <w:tcPr>
            <w:tcW w:w="1000" w:type="pct"/>
            <w:shd w:val="clear" w:color="auto" w:fill="auto"/>
            <w:vAlign w:val="center"/>
          </w:tcPr>
          <w:p w14:paraId="5CC42D54">
            <w:pPr>
              <w:spacing w:line="240" w:lineRule="auto"/>
              <w:ind w:firstLine="0" w:firstLineChars="0"/>
              <w:jc w:val="center"/>
              <w:rPr>
                <w:color w:val="auto"/>
                <w:sz w:val="21"/>
                <w:szCs w:val="21"/>
              </w:rPr>
            </w:pPr>
            <w:r>
              <w:rPr>
                <w:color w:val="auto"/>
                <w:sz w:val="21"/>
                <w:szCs w:val="21"/>
              </w:rPr>
              <w:t>1290</w:t>
            </w:r>
          </w:p>
        </w:tc>
      </w:tr>
      <w:tr w14:paraId="3F7AE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CCD44F6">
            <w:pPr>
              <w:spacing w:line="240" w:lineRule="auto"/>
              <w:ind w:firstLine="0" w:firstLineChars="0"/>
              <w:jc w:val="center"/>
              <w:rPr>
                <w:color w:val="auto"/>
                <w:sz w:val="21"/>
                <w:szCs w:val="21"/>
              </w:rPr>
            </w:pPr>
            <w:r>
              <w:rPr>
                <w:color w:val="auto"/>
                <w:sz w:val="21"/>
                <w:szCs w:val="21"/>
              </w:rPr>
              <w:t>32</w:t>
            </w:r>
          </w:p>
        </w:tc>
        <w:tc>
          <w:tcPr>
            <w:tcW w:w="1159" w:type="pct"/>
            <w:shd w:val="clear" w:color="auto" w:fill="auto"/>
            <w:vAlign w:val="center"/>
          </w:tcPr>
          <w:p w14:paraId="69DB97DC">
            <w:pPr>
              <w:spacing w:line="240" w:lineRule="auto"/>
              <w:ind w:firstLine="0" w:firstLineChars="0"/>
              <w:jc w:val="center"/>
              <w:rPr>
                <w:color w:val="auto"/>
                <w:sz w:val="21"/>
                <w:szCs w:val="21"/>
              </w:rPr>
            </w:pPr>
            <w:r>
              <w:rPr>
                <w:color w:val="auto"/>
                <w:sz w:val="21"/>
                <w:szCs w:val="21"/>
              </w:rPr>
              <w:t>甲苯</w:t>
            </w:r>
          </w:p>
        </w:tc>
        <w:tc>
          <w:tcPr>
            <w:tcW w:w="1300" w:type="pct"/>
            <w:shd w:val="clear" w:color="auto" w:fill="auto"/>
            <w:vAlign w:val="center"/>
          </w:tcPr>
          <w:p w14:paraId="285DD4ED">
            <w:pPr>
              <w:spacing w:line="240" w:lineRule="auto"/>
              <w:ind w:firstLine="0" w:firstLineChars="0"/>
              <w:jc w:val="center"/>
              <w:rPr>
                <w:color w:val="auto"/>
                <w:sz w:val="21"/>
                <w:szCs w:val="21"/>
              </w:rPr>
            </w:pPr>
            <w:r>
              <w:rPr>
                <w:color w:val="auto"/>
                <w:sz w:val="21"/>
                <w:szCs w:val="21"/>
              </w:rPr>
              <w:t>108-88-3</w:t>
            </w:r>
          </w:p>
        </w:tc>
        <w:tc>
          <w:tcPr>
            <w:tcW w:w="1000" w:type="pct"/>
            <w:shd w:val="clear" w:color="auto" w:fill="auto"/>
            <w:vAlign w:val="center"/>
          </w:tcPr>
          <w:p w14:paraId="32BE4132">
            <w:pPr>
              <w:spacing w:line="240" w:lineRule="auto"/>
              <w:ind w:firstLine="0" w:firstLineChars="0"/>
              <w:jc w:val="center"/>
              <w:rPr>
                <w:color w:val="auto"/>
                <w:sz w:val="21"/>
                <w:szCs w:val="21"/>
              </w:rPr>
            </w:pPr>
            <w:r>
              <w:rPr>
                <w:color w:val="auto"/>
                <w:sz w:val="21"/>
                <w:szCs w:val="21"/>
              </w:rPr>
              <w:t>1200</w:t>
            </w:r>
          </w:p>
        </w:tc>
        <w:tc>
          <w:tcPr>
            <w:tcW w:w="1000" w:type="pct"/>
            <w:shd w:val="clear" w:color="auto" w:fill="auto"/>
            <w:vAlign w:val="center"/>
          </w:tcPr>
          <w:p w14:paraId="47D7DE60">
            <w:pPr>
              <w:spacing w:line="240" w:lineRule="auto"/>
              <w:ind w:firstLine="0" w:firstLineChars="0"/>
              <w:jc w:val="center"/>
              <w:rPr>
                <w:color w:val="auto"/>
                <w:sz w:val="21"/>
                <w:szCs w:val="21"/>
              </w:rPr>
            </w:pPr>
            <w:r>
              <w:rPr>
                <w:color w:val="auto"/>
                <w:sz w:val="21"/>
                <w:szCs w:val="21"/>
              </w:rPr>
              <w:t>1200</w:t>
            </w:r>
          </w:p>
        </w:tc>
      </w:tr>
      <w:tr w14:paraId="00449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7F3BCAD">
            <w:pPr>
              <w:spacing w:line="240" w:lineRule="auto"/>
              <w:ind w:firstLine="0" w:firstLineChars="0"/>
              <w:jc w:val="center"/>
              <w:rPr>
                <w:color w:val="auto"/>
                <w:sz w:val="21"/>
                <w:szCs w:val="21"/>
              </w:rPr>
            </w:pPr>
            <w:r>
              <w:rPr>
                <w:color w:val="auto"/>
                <w:sz w:val="21"/>
                <w:szCs w:val="21"/>
              </w:rPr>
              <w:t>33</w:t>
            </w:r>
          </w:p>
        </w:tc>
        <w:tc>
          <w:tcPr>
            <w:tcW w:w="1159" w:type="pct"/>
            <w:shd w:val="clear" w:color="auto" w:fill="auto"/>
            <w:vAlign w:val="center"/>
          </w:tcPr>
          <w:p w14:paraId="0C9A2F63">
            <w:pPr>
              <w:spacing w:line="240" w:lineRule="auto"/>
              <w:ind w:firstLine="0" w:firstLineChars="0"/>
              <w:jc w:val="center"/>
              <w:rPr>
                <w:color w:val="auto"/>
                <w:sz w:val="21"/>
                <w:szCs w:val="21"/>
              </w:rPr>
            </w:pPr>
            <w:r>
              <w:rPr>
                <w:color w:val="auto"/>
                <w:sz w:val="21"/>
                <w:szCs w:val="21"/>
              </w:rPr>
              <w:t>间二甲苯+对二甲苯</w:t>
            </w:r>
          </w:p>
        </w:tc>
        <w:tc>
          <w:tcPr>
            <w:tcW w:w="1300" w:type="pct"/>
            <w:shd w:val="clear" w:color="auto" w:fill="auto"/>
            <w:vAlign w:val="center"/>
          </w:tcPr>
          <w:p w14:paraId="1218AA15">
            <w:pPr>
              <w:spacing w:line="240" w:lineRule="auto"/>
              <w:ind w:firstLine="0" w:firstLineChars="0"/>
              <w:jc w:val="center"/>
              <w:rPr>
                <w:color w:val="auto"/>
                <w:sz w:val="21"/>
                <w:szCs w:val="21"/>
              </w:rPr>
            </w:pPr>
            <w:r>
              <w:rPr>
                <w:color w:val="auto"/>
                <w:sz w:val="21"/>
                <w:szCs w:val="21"/>
              </w:rPr>
              <w:t>108-38-3,106-42-3</w:t>
            </w:r>
          </w:p>
        </w:tc>
        <w:tc>
          <w:tcPr>
            <w:tcW w:w="1000" w:type="pct"/>
            <w:shd w:val="clear" w:color="auto" w:fill="auto"/>
            <w:vAlign w:val="center"/>
          </w:tcPr>
          <w:p w14:paraId="5741952F">
            <w:pPr>
              <w:spacing w:line="240" w:lineRule="auto"/>
              <w:ind w:firstLine="0" w:firstLineChars="0"/>
              <w:jc w:val="center"/>
              <w:rPr>
                <w:color w:val="auto"/>
                <w:sz w:val="21"/>
                <w:szCs w:val="21"/>
              </w:rPr>
            </w:pPr>
            <w:r>
              <w:rPr>
                <w:color w:val="auto"/>
                <w:sz w:val="21"/>
                <w:szCs w:val="21"/>
              </w:rPr>
              <w:t>570</w:t>
            </w:r>
          </w:p>
        </w:tc>
        <w:tc>
          <w:tcPr>
            <w:tcW w:w="1000" w:type="pct"/>
            <w:shd w:val="clear" w:color="auto" w:fill="auto"/>
            <w:vAlign w:val="center"/>
          </w:tcPr>
          <w:p w14:paraId="0A0516B3">
            <w:pPr>
              <w:spacing w:line="240" w:lineRule="auto"/>
              <w:ind w:firstLine="0" w:firstLineChars="0"/>
              <w:jc w:val="center"/>
              <w:rPr>
                <w:color w:val="auto"/>
                <w:sz w:val="21"/>
                <w:szCs w:val="21"/>
              </w:rPr>
            </w:pPr>
            <w:r>
              <w:rPr>
                <w:color w:val="auto"/>
                <w:sz w:val="21"/>
                <w:szCs w:val="21"/>
              </w:rPr>
              <w:t>570</w:t>
            </w:r>
          </w:p>
        </w:tc>
      </w:tr>
      <w:tr w14:paraId="4F205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2569B1B">
            <w:pPr>
              <w:spacing w:line="240" w:lineRule="auto"/>
              <w:ind w:firstLine="0" w:firstLineChars="0"/>
              <w:jc w:val="center"/>
              <w:rPr>
                <w:color w:val="auto"/>
                <w:sz w:val="21"/>
                <w:szCs w:val="21"/>
              </w:rPr>
            </w:pPr>
            <w:r>
              <w:rPr>
                <w:color w:val="auto"/>
                <w:sz w:val="21"/>
                <w:szCs w:val="21"/>
              </w:rPr>
              <w:t>34</w:t>
            </w:r>
          </w:p>
        </w:tc>
        <w:tc>
          <w:tcPr>
            <w:tcW w:w="1159" w:type="pct"/>
            <w:shd w:val="clear" w:color="auto" w:fill="auto"/>
            <w:vAlign w:val="center"/>
          </w:tcPr>
          <w:p w14:paraId="2F895698">
            <w:pPr>
              <w:spacing w:line="240" w:lineRule="auto"/>
              <w:ind w:firstLine="0" w:firstLineChars="0"/>
              <w:jc w:val="center"/>
              <w:rPr>
                <w:color w:val="auto"/>
                <w:sz w:val="21"/>
                <w:szCs w:val="21"/>
              </w:rPr>
            </w:pPr>
            <w:r>
              <w:rPr>
                <w:color w:val="auto"/>
                <w:sz w:val="21"/>
                <w:szCs w:val="21"/>
              </w:rPr>
              <w:t>邻二甲苯</w:t>
            </w:r>
          </w:p>
        </w:tc>
        <w:tc>
          <w:tcPr>
            <w:tcW w:w="1300" w:type="pct"/>
            <w:shd w:val="clear" w:color="auto" w:fill="auto"/>
            <w:vAlign w:val="center"/>
          </w:tcPr>
          <w:p w14:paraId="42CBC9C7">
            <w:pPr>
              <w:spacing w:line="240" w:lineRule="auto"/>
              <w:ind w:firstLine="0" w:firstLineChars="0"/>
              <w:jc w:val="center"/>
              <w:rPr>
                <w:color w:val="auto"/>
                <w:sz w:val="21"/>
                <w:szCs w:val="21"/>
              </w:rPr>
            </w:pPr>
            <w:r>
              <w:rPr>
                <w:color w:val="auto"/>
                <w:sz w:val="21"/>
                <w:szCs w:val="21"/>
              </w:rPr>
              <w:t>95-47-6</w:t>
            </w:r>
          </w:p>
        </w:tc>
        <w:tc>
          <w:tcPr>
            <w:tcW w:w="1000" w:type="pct"/>
            <w:shd w:val="clear" w:color="auto" w:fill="auto"/>
            <w:vAlign w:val="center"/>
          </w:tcPr>
          <w:p w14:paraId="1F08B8DA">
            <w:pPr>
              <w:spacing w:line="240" w:lineRule="auto"/>
              <w:ind w:firstLine="0" w:firstLineChars="0"/>
              <w:jc w:val="center"/>
              <w:rPr>
                <w:color w:val="auto"/>
                <w:sz w:val="21"/>
                <w:szCs w:val="21"/>
              </w:rPr>
            </w:pPr>
            <w:r>
              <w:rPr>
                <w:color w:val="auto"/>
                <w:sz w:val="21"/>
                <w:szCs w:val="21"/>
              </w:rPr>
              <w:t>640</w:t>
            </w:r>
          </w:p>
        </w:tc>
        <w:tc>
          <w:tcPr>
            <w:tcW w:w="1000" w:type="pct"/>
            <w:shd w:val="clear" w:color="auto" w:fill="auto"/>
            <w:vAlign w:val="center"/>
          </w:tcPr>
          <w:p w14:paraId="2CA849B4">
            <w:pPr>
              <w:spacing w:line="240" w:lineRule="auto"/>
              <w:ind w:firstLine="0" w:firstLineChars="0"/>
              <w:jc w:val="center"/>
              <w:rPr>
                <w:color w:val="auto"/>
                <w:sz w:val="21"/>
                <w:szCs w:val="21"/>
              </w:rPr>
            </w:pPr>
            <w:r>
              <w:rPr>
                <w:color w:val="auto"/>
                <w:sz w:val="21"/>
                <w:szCs w:val="21"/>
              </w:rPr>
              <w:t>640</w:t>
            </w:r>
          </w:p>
        </w:tc>
      </w:tr>
      <w:tr w14:paraId="05A84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000" w:type="pct"/>
            <w:gridSpan w:val="5"/>
            <w:shd w:val="clear" w:color="auto" w:fill="auto"/>
            <w:vAlign w:val="center"/>
          </w:tcPr>
          <w:p w14:paraId="26758627">
            <w:pPr>
              <w:spacing w:line="240" w:lineRule="auto"/>
              <w:ind w:firstLine="0" w:firstLineChars="0"/>
              <w:jc w:val="center"/>
              <w:rPr>
                <w:b/>
                <w:bCs/>
                <w:color w:val="auto"/>
                <w:sz w:val="21"/>
                <w:szCs w:val="21"/>
              </w:rPr>
            </w:pPr>
            <w:r>
              <w:rPr>
                <w:b/>
                <w:bCs/>
                <w:color w:val="auto"/>
                <w:sz w:val="21"/>
                <w:szCs w:val="21"/>
              </w:rPr>
              <w:t>半挥发性有机物</w:t>
            </w:r>
          </w:p>
        </w:tc>
      </w:tr>
      <w:tr w14:paraId="17300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2BDD4D9">
            <w:pPr>
              <w:spacing w:line="240" w:lineRule="auto"/>
              <w:ind w:firstLine="0" w:firstLineChars="0"/>
              <w:jc w:val="center"/>
              <w:rPr>
                <w:color w:val="auto"/>
                <w:sz w:val="21"/>
                <w:szCs w:val="21"/>
              </w:rPr>
            </w:pPr>
            <w:r>
              <w:rPr>
                <w:color w:val="auto"/>
                <w:sz w:val="21"/>
                <w:szCs w:val="21"/>
              </w:rPr>
              <w:t>35</w:t>
            </w:r>
          </w:p>
        </w:tc>
        <w:tc>
          <w:tcPr>
            <w:tcW w:w="1159" w:type="pct"/>
            <w:shd w:val="clear" w:color="auto" w:fill="auto"/>
            <w:vAlign w:val="center"/>
          </w:tcPr>
          <w:p w14:paraId="679B4479">
            <w:pPr>
              <w:spacing w:line="240" w:lineRule="auto"/>
              <w:ind w:firstLine="0" w:firstLineChars="0"/>
              <w:jc w:val="center"/>
              <w:rPr>
                <w:color w:val="auto"/>
                <w:sz w:val="21"/>
                <w:szCs w:val="21"/>
              </w:rPr>
            </w:pPr>
            <w:r>
              <w:rPr>
                <w:color w:val="auto"/>
                <w:sz w:val="21"/>
                <w:szCs w:val="21"/>
              </w:rPr>
              <w:t>硝基苯</w:t>
            </w:r>
          </w:p>
        </w:tc>
        <w:tc>
          <w:tcPr>
            <w:tcW w:w="1300" w:type="pct"/>
            <w:shd w:val="clear" w:color="auto" w:fill="auto"/>
            <w:vAlign w:val="center"/>
          </w:tcPr>
          <w:p w14:paraId="4A9EC646">
            <w:pPr>
              <w:spacing w:line="240" w:lineRule="auto"/>
              <w:ind w:firstLine="0" w:firstLineChars="0"/>
              <w:jc w:val="center"/>
              <w:rPr>
                <w:color w:val="auto"/>
                <w:sz w:val="21"/>
                <w:szCs w:val="21"/>
              </w:rPr>
            </w:pPr>
            <w:r>
              <w:rPr>
                <w:color w:val="auto"/>
                <w:sz w:val="21"/>
                <w:szCs w:val="21"/>
              </w:rPr>
              <w:t>98-95-3</w:t>
            </w:r>
          </w:p>
        </w:tc>
        <w:tc>
          <w:tcPr>
            <w:tcW w:w="1000" w:type="pct"/>
            <w:shd w:val="clear" w:color="auto" w:fill="auto"/>
            <w:vAlign w:val="center"/>
          </w:tcPr>
          <w:p w14:paraId="48294FFC">
            <w:pPr>
              <w:spacing w:line="240" w:lineRule="auto"/>
              <w:ind w:firstLine="0" w:firstLineChars="0"/>
              <w:jc w:val="center"/>
              <w:rPr>
                <w:color w:val="auto"/>
                <w:sz w:val="21"/>
                <w:szCs w:val="21"/>
              </w:rPr>
            </w:pPr>
            <w:r>
              <w:rPr>
                <w:color w:val="auto"/>
                <w:sz w:val="21"/>
                <w:szCs w:val="21"/>
              </w:rPr>
              <w:t>76</w:t>
            </w:r>
          </w:p>
        </w:tc>
        <w:tc>
          <w:tcPr>
            <w:tcW w:w="1000" w:type="pct"/>
            <w:shd w:val="clear" w:color="auto" w:fill="auto"/>
            <w:vAlign w:val="center"/>
          </w:tcPr>
          <w:p w14:paraId="73EE473E">
            <w:pPr>
              <w:spacing w:line="240" w:lineRule="auto"/>
              <w:ind w:firstLine="0" w:firstLineChars="0"/>
              <w:jc w:val="center"/>
              <w:rPr>
                <w:color w:val="auto"/>
                <w:sz w:val="21"/>
                <w:szCs w:val="21"/>
              </w:rPr>
            </w:pPr>
            <w:r>
              <w:rPr>
                <w:color w:val="auto"/>
                <w:sz w:val="21"/>
                <w:szCs w:val="21"/>
              </w:rPr>
              <w:t>760</w:t>
            </w:r>
          </w:p>
        </w:tc>
      </w:tr>
      <w:tr w14:paraId="2E52E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8994AF2">
            <w:pPr>
              <w:spacing w:line="240" w:lineRule="auto"/>
              <w:ind w:firstLine="0" w:firstLineChars="0"/>
              <w:jc w:val="center"/>
              <w:rPr>
                <w:color w:val="auto"/>
                <w:sz w:val="21"/>
                <w:szCs w:val="21"/>
              </w:rPr>
            </w:pPr>
            <w:r>
              <w:rPr>
                <w:color w:val="auto"/>
                <w:sz w:val="21"/>
                <w:szCs w:val="21"/>
              </w:rPr>
              <w:t>36</w:t>
            </w:r>
          </w:p>
        </w:tc>
        <w:tc>
          <w:tcPr>
            <w:tcW w:w="1159" w:type="pct"/>
            <w:shd w:val="clear" w:color="auto" w:fill="auto"/>
            <w:vAlign w:val="center"/>
          </w:tcPr>
          <w:p w14:paraId="1BDCECCC">
            <w:pPr>
              <w:spacing w:line="240" w:lineRule="auto"/>
              <w:ind w:firstLine="0" w:firstLineChars="0"/>
              <w:jc w:val="center"/>
              <w:rPr>
                <w:color w:val="auto"/>
                <w:sz w:val="21"/>
                <w:szCs w:val="21"/>
              </w:rPr>
            </w:pPr>
            <w:r>
              <w:rPr>
                <w:color w:val="auto"/>
                <w:sz w:val="21"/>
                <w:szCs w:val="21"/>
              </w:rPr>
              <w:t>苯胺</w:t>
            </w:r>
          </w:p>
        </w:tc>
        <w:tc>
          <w:tcPr>
            <w:tcW w:w="1300" w:type="pct"/>
            <w:shd w:val="clear" w:color="auto" w:fill="auto"/>
            <w:vAlign w:val="center"/>
          </w:tcPr>
          <w:p w14:paraId="05752182">
            <w:pPr>
              <w:spacing w:line="240" w:lineRule="auto"/>
              <w:ind w:firstLine="0" w:firstLineChars="0"/>
              <w:jc w:val="center"/>
              <w:rPr>
                <w:color w:val="auto"/>
                <w:sz w:val="21"/>
                <w:szCs w:val="21"/>
              </w:rPr>
            </w:pPr>
            <w:r>
              <w:rPr>
                <w:color w:val="auto"/>
                <w:sz w:val="21"/>
                <w:szCs w:val="21"/>
              </w:rPr>
              <w:t>62-53-3</w:t>
            </w:r>
          </w:p>
        </w:tc>
        <w:tc>
          <w:tcPr>
            <w:tcW w:w="1000" w:type="pct"/>
            <w:shd w:val="clear" w:color="auto" w:fill="auto"/>
            <w:vAlign w:val="center"/>
          </w:tcPr>
          <w:p w14:paraId="79933211">
            <w:pPr>
              <w:spacing w:line="240" w:lineRule="auto"/>
              <w:ind w:firstLine="0" w:firstLineChars="0"/>
              <w:jc w:val="center"/>
              <w:rPr>
                <w:color w:val="auto"/>
                <w:sz w:val="21"/>
                <w:szCs w:val="21"/>
              </w:rPr>
            </w:pPr>
            <w:r>
              <w:rPr>
                <w:color w:val="auto"/>
                <w:sz w:val="21"/>
                <w:szCs w:val="21"/>
              </w:rPr>
              <w:t>260</w:t>
            </w:r>
          </w:p>
        </w:tc>
        <w:tc>
          <w:tcPr>
            <w:tcW w:w="1000" w:type="pct"/>
            <w:shd w:val="clear" w:color="auto" w:fill="auto"/>
            <w:vAlign w:val="center"/>
          </w:tcPr>
          <w:p w14:paraId="1EF4BF12">
            <w:pPr>
              <w:spacing w:line="240" w:lineRule="auto"/>
              <w:ind w:firstLine="0" w:firstLineChars="0"/>
              <w:jc w:val="center"/>
              <w:rPr>
                <w:color w:val="auto"/>
                <w:sz w:val="21"/>
                <w:szCs w:val="21"/>
              </w:rPr>
            </w:pPr>
            <w:r>
              <w:rPr>
                <w:color w:val="auto"/>
                <w:sz w:val="21"/>
                <w:szCs w:val="21"/>
              </w:rPr>
              <w:t>663</w:t>
            </w:r>
          </w:p>
        </w:tc>
      </w:tr>
      <w:tr w14:paraId="1FFD0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3DE73739">
            <w:pPr>
              <w:spacing w:line="240" w:lineRule="auto"/>
              <w:ind w:firstLine="0" w:firstLineChars="0"/>
              <w:jc w:val="center"/>
              <w:rPr>
                <w:color w:val="auto"/>
                <w:sz w:val="21"/>
                <w:szCs w:val="21"/>
              </w:rPr>
            </w:pPr>
            <w:r>
              <w:rPr>
                <w:color w:val="auto"/>
                <w:sz w:val="21"/>
                <w:szCs w:val="21"/>
              </w:rPr>
              <w:t>37</w:t>
            </w:r>
          </w:p>
        </w:tc>
        <w:tc>
          <w:tcPr>
            <w:tcW w:w="1159" w:type="pct"/>
            <w:shd w:val="clear" w:color="auto" w:fill="auto"/>
            <w:vAlign w:val="center"/>
          </w:tcPr>
          <w:p w14:paraId="6A3E54E7">
            <w:pPr>
              <w:spacing w:line="240" w:lineRule="auto"/>
              <w:ind w:firstLine="0" w:firstLineChars="0"/>
              <w:jc w:val="center"/>
              <w:rPr>
                <w:color w:val="auto"/>
                <w:sz w:val="21"/>
                <w:szCs w:val="21"/>
              </w:rPr>
            </w:pPr>
            <w:r>
              <w:rPr>
                <w:color w:val="auto"/>
                <w:sz w:val="21"/>
                <w:szCs w:val="21"/>
              </w:rPr>
              <w:t>2-氯酚</w:t>
            </w:r>
          </w:p>
        </w:tc>
        <w:tc>
          <w:tcPr>
            <w:tcW w:w="1300" w:type="pct"/>
            <w:shd w:val="clear" w:color="auto" w:fill="auto"/>
            <w:vAlign w:val="center"/>
          </w:tcPr>
          <w:p w14:paraId="744C21E5">
            <w:pPr>
              <w:spacing w:line="240" w:lineRule="auto"/>
              <w:ind w:firstLine="0" w:firstLineChars="0"/>
              <w:jc w:val="center"/>
              <w:rPr>
                <w:color w:val="auto"/>
                <w:sz w:val="21"/>
                <w:szCs w:val="21"/>
              </w:rPr>
            </w:pPr>
            <w:r>
              <w:rPr>
                <w:color w:val="auto"/>
                <w:sz w:val="21"/>
                <w:szCs w:val="21"/>
              </w:rPr>
              <w:t>95-57-8</w:t>
            </w:r>
          </w:p>
        </w:tc>
        <w:tc>
          <w:tcPr>
            <w:tcW w:w="1000" w:type="pct"/>
            <w:shd w:val="clear" w:color="auto" w:fill="auto"/>
            <w:vAlign w:val="center"/>
          </w:tcPr>
          <w:p w14:paraId="27BD3153">
            <w:pPr>
              <w:spacing w:line="240" w:lineRule="auto"/>
              <w:ind w:firstLine="0" w:firstLineChars="0"/>
              <w:jc w:val="center"/>
              <w:rPr>
                <w:color w:val="auto"/>
                <w:sz w:val="21"/>
                <w:szCs w:val="21"/>
              </w:rPr>
            </w:pPr>
            <w:r>
              <w:rPr>
                <w:color w:val="auto"/>
                <w:sz w:val="21"/>
                <w:szCs w:val="21"/>
              </w:rPr>
              <w:t>2256</w:t>
            </w:r>
          </w:p>
        </w:tc>
        <w:tc>
          <w:tcPr>
            <w:tcW w:w="1000" w:type="pct"/>
            <w:shd w:val="clear" w:color="auto" w:fill="auto"/>
            <w:vAlign w:val="center"/>
          </w:tcPr>
          <w:p w14:paraId="2019FC9E">
            <w:pPr>
              <w:spacing w:line="240" w:lineRule="auto"/>
              <w:ind w:firstLine="0" w:firstLineChars="0"/>
              <w:jc w:val="center"/>
              <w:rPr>
                <w:color w:val="auto"/>
                <w:sz w:val="21"/>
                <w:szCs w:val="21"/>
              </w:rPr>
            </w:pPr>
            <w:r>
              <w:rPr>
                <w:color w:val="auto"/>
                <w:sz w:val="21"/>
                <w:szCs w:val="21"/>
              </w:rPr>
              <w:t>4500</w:t>
            </w:r>
          </w:p>
        </w:tc>
      </w:tr>
      <w:tr w14:paraId="009EA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49FA86CA">
            <w:pPr>
              <w:spacing w:line="240" w:lineRule="auto"/>
              <w:ind w:firstLine="0" w:firstLineChars="0"/>
              <w:jc w:val="center"/>
              <w:rPr>
                <w:color w:val="auto"/>
                <w:sz w:val="21"/>
                <w:szCs w:val="21"/>
              </w:rPr>
            </w:pPr>
            <w:r>
              <w:rPr>
                <w:color w:val="auto"/>
                <w:sz w:val="21"/>
                <w:szCs w:val="21"/>
              </w:rPr>
              <w:t>38</w:t>
            </w:r>
          </w:p>
        </w:tc>
        <w:tc>
          <w:tcPr>
            <w:tcW w:w="1159" w:type="pct"/>
            <w:shd w:val="clear" w:color="auto" w:fill="auto"/>
            <w:vAlign w:val="center"/>
          </w:tcPr>
          <w:p w14:paraId="2B11D730">
            <w:pPr>
              <w:spacing w:line="240" w:lineRule="auto"/>
              <w:ind w:firstLine="0" w:firstLineChars="0"/>
              <w:jc w:val="center"/>
              <w:rPr>
                <w:color w:val="auto"/>
                <w:sz w:val="21"/>
                <w:szCs w:val="21"/>
              </w:rPr>
            </w:pPr>
            <w:r>
              <w:rPr>
                <w:color w:val="auto"/>
                <w:sz w:val="21"/>
                <w:szCs w:val="21"/>
              </w:rPr>
              <w:t>苯并[a]蒽</w:t>
            </w:r>
          </w:p>
        </w:tc>
        <w:tc>
          <w:tcPr>
            <w:tcW w:w="1300" w:type="pct"/>
            <w:shd w:val="clear" w:color="auto" w:fill="auto"/>
            <w:vAlign w:val="center"/>
          </w:tcPr>
          <w:p w14:paraId="6679242D">
            <w:pPr>
              <w:spacing w:line="240" w:lineRule="auto"/>
              <w:ind w:firstLine="0" w:firstLineChars="0"/>
              <w:jc w:val="center"/>
              <w:rPr>
                <w:color w:val="auto"/>
                <w:sz w:val="21"/>
                <w:szCs w:val="21"/>
              </w:rPr>
            </w:pPr>
            <w:r>
              <w:rPr>
                <w:color w:val="auto"/>
                <w:sz w:val="21"/>
                <w:szCs w:val="21"/>
              </w:rPr>
              <w:t>56-55-3</w:t>
            </w:r>
          </w:p>
        </w:tc>
        <w:tc>
          <w:tcPr>
            <w:tcW w:w="1000" w:type="pct"/>
            <w:shd w:val="clear" w:color="auto" w:fill="auto"/>
            <w:vAlign w:val="center"/>
          </w:tcPr>
          <w:p w14:paraId="506DC716">
            <w:pPr>
              <w:spacing w:line="240" w:lineRule="auto"/>
              <w:ind w:firstLine="0" w:firstLineChars="0"/>
              <w:jc w:val="center"/>
              <w:rPr>
                <w:color w:val="auto"/>
                <w:sz w:val="21"/>
                <w:szCs w:val="21"/>
              </w:rPr>
            </w:pPr>
            <w:r>
              <w:rPr>
                <w:color w:val="auto"/>
                <w:sz w:val="21"/>
                <w:szCs w:val="21"/>
              </w:rPr>
              <w:t>15</w:t>
            </w:r>
          </w:p>
        </w:tc>
        <w:tc>
          <w:tcPr>
            <w:tcW w:w="1000" w:type="pct"/>
            <w:shd w:val="clear" w:color="auto" w:fill="auto"/>
            <w:vAlign w:val="center"/>
          </w:tcPr>
          <w:p w14:paraId="1E7B70AF">
            <w:pPr>
              <w:spacing w:line="240" w:lineRule="auto"/>
              <w:ind w:firstLine="0" w:firstLineChars="0"/>
              <w:jc w:val="center"/>
              <w:rPr>
                <w:color w:val="auto"/>
                <w:sz w:val="21"/>
                <w:szCs w:val="21"/>
              </w:rPr>
            </w:pPr>
            <w:r>
              <w:rPr>
                <w:color w:val="auto"/>
                <w:sz w:val="21"/>
                <w:szCs w:val="21"/>
              </w:rPr>
              <w:t>151</w:t>
            </w:r>
          </w:p>
        </w:tc>
      </w:tr>
      <w:tr w14:paraId="5BDEB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626B9154">
            <w:pPr>
              <w:spacing w:line="240" w:lineRule="auto"/>
              <w:ind w:firstLine="0" w:firstLineChars="0"/>
              <w:jc w:val="center"/>
              <w:rPr>
                <w:color w:val="auto"/>
                <w:sz w:val="21"/>
                <w:szCs w:val="21"/>
              </w:rPr>
            </w:pPr>
            <w:r>
              <w:rPr>
                <w:color w:val="auto"/>
                <w:sz w:val="21"/>
                <w:szCs w:val="21"/>
              </w:rPr>
              <w:t>39</w:t>
            </w:r>
          </w:p>
        </w:tc>
        <w:tc>
          <w:tcPr>
            <w:tcW w:w="1159" w:type="pct"/>
            <w:shd w:val="clear" w:color="auto" w:fill="auto"/>
            <w:vAlign w:val="center"/>
          </w:tcPr>
          <w:p w14:paraId="53B3375B">
            <w:pPr>
              <w:spacing w:line="240" w:lineRule="auto"/>
              <w:ind w:firstLine="0" w:firstLineChars="0"/>
              <w:jc w:val="center"/>
              <w:rPr>
                <w:color w:val="auto"/>
                <w:sz w:val="21"/>
                <w:szCs w:val="21"/>
              </w:rPr>
            </w:pPr>
            <w:r>
              <w:rPr>
                <w:color w:val="auto"/>
                <w:sz w:val="21"/>
                <w:szCs w:val="21"/>
              </w:rPr>
              <w:t>苯并[a]芘</w:t>
            </w:r>
          </w:p>
        </w:tc>
        <w:tc>
          <w:tcPr>
            <w:tcW w:w="1300" w:type="pct"/>
            <w:shd w:val="clear" w:color="auto" w:fill="auto"/>
            <w:vAlign w:val="center"/>
          </w:tcPr>
          <w:p w14:paraId="1D5F7C52">
            <w:pPr>
              <w:spacing w:line="240" w:lineRule="auto"/>
              <w:ind w:firstLine="0" w:firstLineChars="0"/>
              <w:jc w:val="center"/>
              <w:rPr>
                <w:color w:val="auto"/>
                <w:sz w:val="21"/>
                <w:szCs w:val="21"/>
              </w:rPr>
            </w:pPr>
            <w:r>
              <w:rPr>
                <w:color w:val="auto"/>
                <w:sz w:val="21"/>
                <w:szCs w:val="21"/>
              </w:rPr>
              <w:t>50-32-8</w:t>
            </w:r>
          </w:p>
        </w:tc>
        <w:tc>
          <w:tcPr>
            <w:tcW w:w="1000" w:type="pct"/>
            <w:shd w:val="clear" w:color="auto" w:fill="auto"/>
            <w:vAlign w:val="center"/>
          </w:tcPr>
          <w:p w14:paraId="73311C98">
            <w:pPr>
              <w:spacing w:line="240" w:lineRule="auto"/>
              <w:ind w:firstLine="0" w:firstLineChars="0"/>
              <w:jc w:val="center"/>
              <w:rPr>
                <w:color w:val="auto"/>
                <w:sz w:val="21"/>
                <w:szCs w:val="21"/>
              </w:rPr>
            </w:pPr>
            <w:r>
              <w:rPr>
                <w:color w:val="auto"/>
                <w:sz w:val="21"/>
                <w:szCs w:val="21"/>
              </w:rPr>
              <w:t>1.5</w:t>
            </w:r>
          </w:p>
        </w:tc>
        <w:tc>
          <w:tcPr>
            <w:tcW w:w="1000" w:type="pct"/>
            <w:shd w:val="clear" w:color="auto" w:fill="auto"/>
            <w:vAlign w:val="center"/>
          </w:tcPr>
          <w:p w14:paraId="3E22E602">
            <w:pPr>
              <w:spacing w:line="240" w:lineRule="auto"/>
              <w:ind w:firstLine="0" w:firstLineChars="0"/>
              <w:jc w:val="center"/>
              <w:rPr>
                <w:color w:val="auto"/>
                <w:sz w:val="21"/>
                <w:szCs w:val="21"/>
              </w:rPr>
            </w:pPr>
            <w:r>
              <w:rPr>
                <w:color w:val="auto"/>
                <w:sz w:val="21"/>
                <w:szCs w:val="21"/>
              </w:rPr>
              <w:t>15</w:t>
            </w:r>
          </w:p>
        </w:tc>
      </w:tr>
      <w:tr w14:paraId="41F69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0B545E3F">
            <w:pPr>
              <w:spacing w:line="240" w:lineRule="auto"/>
              <w:ind w:firstLine="0" w:firstLineChars="0"/>
              <w:jc w:val="center"/>
              <w:rPr>
                <w:color w:val="auto"/>
                <w:sz w:val="21"/>
                <w:szCs w:val="21"/>
              </w:rPr>
            </w:pPr>
            <w:r>
              <w:rPr>
                <w:color w:val="auto"/>
                <w:sz w:val="21"/>
                <w:szCs w:val="21"/>
              </w:rPr>
              <w:t>40</w:t>
            </w:r>
          </w:p>
        </w:tc>
        <w:tc>
          <w:tcPr>
            <w:tcW w:w="1159" w:type="pct"/>
            <w:shd w:val="clear" w:color="auto" w:fill="auto"/>
            <w:vAlign w:val="center"/>
          </w:tcPr>
          <w:p w14:paraId="3EB0486A">
            <w:pPr>
              <w:spacing w:line="240" w:lineRule="auto"/>
              <w:ind w:firstLine="0" w:firstLineChars="0"/>
              <w:jc w:val="center"/>
              <w:rPr>
                <w:color w:val="auto"/>
                <w:sz w:val="21"/>
                <w:szCs w:val="21"/>
              </w:rPr>
            </w:pPr>
            <w:r>
              <w:rPr>
                <w:color w:val="auto"/>
                <w:sz w:val="21"/>
                <w:szCs w:val="21"/>
              </w:rPr>
              <w:t>苯并[b]荧蒽</w:t>
            </w:r>
          </w:p>
        </w:tc>
        <w:tc>
          <w:tcPr>
            <w:tcW w:w="1300" w:type="pct"/>
            <w:shd w:val="clear" w:color="auto" w:fill="auto"/>
            <w:vAlign w:val="center"/>
          </w:tcPr>
          <w:p w14:paraId="0BD6E6D3">
            <w:pPr>
              <w:spacing w:line="240" w:lineRule="auto"/>
              <w:ind w:firstLine="0" w:firstLineChars="0"/>
              <w:jc w:val="center"/>
              <w:rPr>
                <w:color w:val="auto"/>
                <w:sz w:val="21"/>
                <w:szCs w:val="21"/>
              </w:rPr>
            </w:pPr>
            <w:r>
              <w:rPr>
                <w:color w:val="auto"/>
                <w:sz w:val="21"/>
                <w:szCs w:val="21"/>
              </w:rPr>
              <w:t>205-99-2</w:t>
            </w:r>
          </w:p>
        </w:tc>
        <w:tc>
          <w:tcPr>
            <w:tcW w:w="1000" w:type="pct"/>
            <w:shd w:val="clear" w:color="auto" w:fill="auto"/>
            <w:vAlign w:val="center"/>
          </w:tcPr>
          <w:p w14:paraId="4E61D7BC">
            <w:pPr>
              <w:spacing w:line="240" w:lineRule="auto"/>
              <w:ind w:firstLine="0" w:firstLineChars="0"/>
              <w:jc w:val="center"/>
              <w:rPr>
                <w:color w:val="auto"/>
                <w:sz w:val="21"/>
                <w:szCs w:val="21"/>
              </w:rPr>
            </w:pPr>
            <w:r>
              <w:rPr>
                <w:color w:val="auto"/>
                <w:sz w:val="21"/>
                <w:szCs w:val="21"/>
              </w:rPr>
              <w:t>15</w:t>
            </w:r>
          </w:p>
        </w:tc>
        <w:tc>
          <w:tcPr>
            <w:tcW w:w="1000" w:type="pct"/>
            <w:shd w:val="clear" w:color="auto" w:fill="auto"/>
            <w:vAlign w:val="center"/>
          </w:tcPr>
          <w:p w14:paraId="1A9E3226">
            <w:pPr>
              <w:spacing w:line="240" w:lineRule="auto"/>
              <w:ind w:firstLine="0" w:firstLineChars="0"/>
              <w:jc w:val="center"/>
              <w:rPr>
                <w:color w:val="auto"/>
                <w:sz w:val="21"/>
                <w:szCs w:val="21"/>
              </w:rPr>
            </w:pPr>
            <w:r>
              <w:rPr>
                <w:color w:val="auto"/>
                <w:sz w:val="21"/>
                <w:szCs w:val="21"/>
              </w:rPr>
              <w:t>151</w:t>
            </w:r>
          </w:p>
        </w:tc>
      </w:tr>
      <w:tr w14:paraId="10890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2B004D89">
            <w:pPr>
              <w:spacing w:line="240" w:lineRule="auto"/>
              <w:ind w:firstLine="0" w:firstLineChars="0"/>
              <w:jc w:val="center"/>
              <w:rPr>
                <w:color w:val="auto"/>
                <w:sz w:val="21"/>
                <w:szCs w:val="21"/>
              </w:rPr>
            </w:pPr>
            <w:r>
              <w:rPr>
                <w:color w:val="auto"/>
                <w:sz w:val="21"/>
                <w:szCs w:val="21"/>
              </w:rPr>
              <w:t>41</w:t>
            </w:r>
          </w:p>
        </w:tc>
        <w:tc>
          <w:tcPr>
            <w:tcW w:w="1159" w:type="pct"/>
            <w:shd w:val="clear" w:color="auto" w:fill="auto"/>
            <w:vAlign w:val="center"/>
          </w:tcPr>
          <w:p w14:paraId="45AB5750">
            <w:pPr>
              <w:spacing w:line="240" w:lineRule="auto"/>
              <w:ind w:firstLine="0" w:firstLineChars="0"/>
              <w:jc w:val="center"/>
              <w:rPr>
                <w:color w:val="auto"/>
                <w:sz w:val="21"/>
                <w:szCs w:val="21"/>
              </w:rPr>
            </w:pPr>
            <w:r>
              <w:rPr>
                <w:color w:val="auto"/>
                <w:sz w:val="21"/>
                <w:szCs w:val="21"/>
              </w:rPr>
              <w:t>苯并[k]荧蒽</w:t>
            </w:r>
          </w:p>
        </w:tc>
        <w:tc>
          <w:tcPr>
            <w:tcW w:w="1300" w:type="pct"/>
            <w:shd w:val="clear" w:color="auto" w:fill="auto"/>
            <w:vAlign w:val="center"/>
          </w:tcPr>
          <w:p w14:paraId="59416A08">
            <w:pPr>
              <w:spacing w:line="240" w:lineRule="auto"/>
              <w:ind w:firstLine="0" w:firstLineChars="0"/>
              <w:jc w:val="center"/>
              <w:rPr>
                <w:color w:val="auto"/>
                <w:sz w:val="21"/>
                <w:szCs w:val="21"/>
              </w:rPr>
            </w:pPr>
            <w:r>
              <w:rPr>
                <w:color w:val="auto"/>
                <w:sz w:val="21"/>
                <w:szCs w:val="21"/>
              </w:rPr>
              <w:t>207-08-9</w:t>
            </w:r>
          </w:p>
        </w:tc>
        <w:tc>
          <w:tcPr>
            <w:tcW w:w="1000" w:type="pct"/>
            <w:shd w:val="clear" w:color="auto" w:fill="auto"/>
            <w:vAlign w:val="center"/>
          </w:tcPr>
          <w:p w14:paraId="3D8DAA2B">
            <w:pPr>
              <w:spacing w:line="240" w:lineRule="auto"/>
              <w:ind w:firstLine="0" w:firstLineChars="0"/>
              <w:jc w:val="center"/>
              <w:rPr>
                <w:color w:val="auto"/>
                <w:sz w:val="21"/>
                <w:szCs w:val="21"/>
              </w:rPr>
            </w:pPr>
            <w:r>
              <w:rPr>
                <w:color w:val="auto"/>
                <w:sz w:val="21"/>
                <w:szCs w:val="21"/>
              </w:rPr>
              <w:t>151</w:t>
            </w:r>
          </w:p>
        </w:tc>
        <w:tc>
          <w:tcPr>
            <w:tcW w:w="1000" w:type="pct"/>
            <w:shd w:val="clear" w:color="auto" w:fill="auto"/>
            <w:vAlign w:val="center"/>
          </w:tcPr>
          <w:p w14:paraId="7EC617B9">
            <w:pPr>
              <w:spacing w:line="240" w:lineRule="auto"/>
              <w:ind w:firstLine="0" w:firstLineChars="0"/>
              <w:jc w:val="center"/>
              <w:rPr>
                <w:color w:val="auto"/>
                <w:sz w:val="21"/>
                <w:szCs w:val="21"/>
              </w:rPr>
            </w:pPr>
            <w:r>
              <w:rPr>
                <w:color w:val="auto"/>
                <w:sz w:val="21"/>
                <w:szCs w:val="21"/>
              </w:rPr>
              <w:t>1500</w:t>
            </w:r>
          </w:p>
        </w:tc>
      </w:tr>
      <w:tr w14:paraId="67FF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3FDE79D">
            <w:pPr>
              <w:spacing w:line="240" w:lineRule="auto"/>
              <w:ind w:firstLine="0" w:firstLineChars="0"/>
              <w:jc w:val="center"/>
              <w:rPr>
                <w:color w:val="auto"/>
                <w:sz w:val="21"/>
                <w:szCs w:val="21"/>
              </w:rPr>
            </w:pPr>
            <w:r>
              <w:rPr>
                <w:color w:val="auto"/>
                <w:sz w:val="21"/>
                <w:szCs w:val="21"/>
              </w:rPr>
              <w:t>42</w:t>
            </w:r>
          </w:p>
        </w:tc>
        <w:tc>
          <w:tcPr>
            <w:tcW w:w="1159" w:type="pct"/>
            <w:shd w:val="clear" w:color="auto" w:fill="auto"/>
            <w:vAlign w:val="center"/>
          </w:tcPr>
          <w:p w14:paraId="6EAB7A8D">
            <w:pPr>
              <w:spacing w:line="240" w:lineRule="auto"/>
              <w:ind w:firstLine="0" w:firstLineChars="0"/>
              <w:jc w:val="center"/>
              <w:rPr>
                <w:color w:val="auto"/>
                <w:sz w:val="21"/>
                <w:szCs w:val="21"/>
              </w:rPr>
            </w:pPr>
            <w:r>
              <w:rPr>
                <w:color w:val="auto"/>
                <w:sz w:val="21"/>
                <w:szCs w:val="21"/>
              </w:rPr>
              <w:t>䓛</w:t>
            </w:r>
          </w:p>
        </w:tc>
        <w:tc>
          <w:tcPr>
            <w:tcW w:w="1300" w:type="pct"/>
            <w:shd w:val="clear" w:color="auto" w:fill="auto"/>
            <w:vAlign w:val="center"/>
          </w:tcPr>
          <w:p w14:paraId="438971A0">
            <w:pPr>
              <w:spacing w:line="240" w:lineRule="auto"/>
              <w:ind w:firstLine="0" w:firstLineChars="0"/>
              <w:jc w:val="center"/>
              <w:rPr>
                <w:color w:val="auto"/>
                <w:sz w:val="21"/>
                <w:szCs w:val="21"/>
              </w:rPr>
            </w:pPr>
            <w:r>
              <w:rPr>
                <w:color w:val="auto"/>
                <w:sz w:val="21"/>
                <w:szCs w:val="21"/>
              </w:rPr>
              <w:t>218-01-9</w:t>
            </w:r>
          </w:p>
        </w:tc>
        <w:tc>
          <w:tcPr>
            <w:tcW w:w="1000" w:type="pct"/>
            <w:shd w:val="clear" w:color="auto" w:fill="auto"/>
            <w:vAlign w:val="center"/>
          </w:tcPr>
          <w:p w14:paraId="0AD8F174">
            <w:pPr>
              <w:spacing w:line="240" w:lineRule="auto"/>
              <w:ind w:firstLine="0" w:firstLineChars="0"/>
              <w:jc w:val="center"/>
              <w:rPr>
                <w:color w:val="auto"/>
                <w:sz w:val="21"/>
                <w:szCs w:val="21"/>
              </w:rPr>
            </w:pPr>
            <w:r>
              <w:rPr>
                <w:color w:val="auto"/>
                <w:sz w:val="21"/>
                <w:szCs w:val="21"/>
              </w:rPr>
              <w:t>1293</w:t>
            </w:r>
          </w:p>
        </w:tc>
        <w:tc>
          <w:tcPr>
            <w:tcW w:w="1000" w:type="pct"/>
            <w:shd w:val="clear" w:color="auto" w:fill="auto"/>
            <w:vAlign w:val="center"/>
          </w:tcPr>
          <w:p w14:paraId="3FB398F3">
            <w:pPr>
              <w:spacing w:line="240" w:lineRule="auto"/>
              <w:ind w:firstLine="0" w:firstLineChars="0"/>
              <w:jc w:val="center"/>
              <w:rPr>
                <w:color w:val="auto"/>
                <w:sz w:val="21"/>
                <w:szCs w:val="21"/>
              </w:rPr>
            </w:pPr>
            <w:r>
              <w:rPr>
                <w:color w:val="auto"/>
                <w:sz w:val="21"/>
                <w:szCs w:val="21"/>
              </w:rPr>
              <w:t>12900</w:t>
            </w:r>
          </w:p>
        </w:tc>
      </w:tr>
      <w:tr w14:paraId="4CF52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51548508">
            <w:pPr>
              <w:spacing w:line="240" w:lineRule="auto"/>
              <w:ind w:firstLine="0" w:firstLineChars="0"/>
              <w:jc w:val="center"/>
              <w:rPr>
                <w:color w:val="auto"/>
                <w:sz w:val="21"/>
                <w:szCs w:val="21"/>
              </w:rPr>
            </w:pPr>
            <w:r>
              <w:rPr>
                <w:color w:val="auto"/>
                <w:sz w:val="21"/>
                <w:szCs w:val="21"/>
              </w:rPr>
              <w:t>43</w:t>
            </w:r>
          </w:p>
        </w:tc>
        <w:tc>
          <w:tcPr>
            <w:tcW w:w="1159" w:type="pct"/>
            <w:shd w:val="clear" w:color="auto" w:fill="auto"/>
            <w:vAlign w:val="center"/>
          </w:tcPr>
          <w:p w14:paraId="32806E88">
            <w:pPr>
              <w:spacing w:line="240" w:lineRule="auto"/>
              <w:ind w:firstLine="0" w:firstLineChars="0"/>
              <w:jc w:val="center"/>
              <w:rPr>
                <w:color w:val="auto"/>
                <w:sz w:val="21"/>
                <w:szCs w:val="21"/>
              </w:rPr>
            </w:pPr>
            <w:r>
              <w:rPr>
                <w:color w:val="auto"/>
                <w:sz w:val="21"/>
                <w:szCs w:val="21"/>
              </w:rPr>
              <w:t>二苯并[a,h]蒽</w:t>
            </w:r>
          </w:p>
        </w:tc>
        <w:tc>
          <w:tcPr>
            <w:tcW w:w="1300" w:type="pct"/>
            <w:shd w:val="clear" w:color="auto" w:fill="auto"/>
            <w:vAlign w:val="center"/>
          </w:tcPr>
          <w:p w14:paraId="041D1D18">
            <w:pPr>
              <w:spacing w:line="240" w:lineRule="auto"/>
              <w:ind w:firstLine="0" w:firstLineChars="0"/>
              <w:jc w:val="center"/>
              <w:rPr>
                <w:color w:val="auto"/>
                <w:sz w:val="21"/>
                <w:szCs w:val="21"/>
              </w:rPr>
            </w:pPr>
            <w:r>
              <w:rPr>
                <w:color w:val="auto"/>
                <w:sz w:val="21"/>
                <w:szCs w:val="21"/>
              </w:rPr>
              <w:t>53-70-3</w:t>
            </w:r>
          </w:p>
        </w:tc>
        <w:tc>
          <w:tcPr>
            <w:tcW w:w="1000" w:type="pct"/>
            <w:shd w:val="clear" w:color="auto" w:fill="auto"/>
            <w:vAlign w:val="center"/>
          </w:tcPr>
          <w:p w14:paraId="6BF1D258">
            <w:pPr>
              <w:spacing w:line="240" w:lineRule="auto"/>
              <w:ind w:firstLine="0" w:firstLineChars="0"/>
              <w:jc w:val="center"/>
              <w:rPr>
                <w:color w:val="auto"/>
                <w:sz w:val="21"/>
                <w:szCs w:val="21"/>
              </w:rPr>
            </w:pPr>
            <w:r>
              <w:rPr>
                <w:color w:val="auto"/>
                <w:sz w:val="21"/>
                <w:szCs w:val="21"/>
              </w:rPr>
              <w:t>1.5</w:t>
            </w:r>
          </w:p>
        </w:tc>
        <w:tc>
          <w:tcPr>
            <w:tcW w:w="1000" w:type="pct"/>
            <w:shd w:val="clear" w:color="auto" w:fill="auto"/>
            <w:vAlign w:val="center"/>
          </w:tcPr>
          <w:p w14:paraId="371F75C0">
            <w:pPr>
              <w:spacing w:line="240" w:lineRule="auto"/>
              <w:ind w:firstLine="0" w:firstLineChars="0"/>
              <w:jc w:val="center"/>
              <w:rPr>
                <w:color w:val="auto"/>
                <w:sz w:val="21"/>
                <w:szCs w:val="21"/>
              </w:rPr>
            </w:pPr>
            <w:r>
              <w:rPr>
                <w:color w:val="auto"/>
                <w:sz w:val="21"/>
                <w:szCs w:val="21"/>
              </w:rPr>
              <w:t>15</w:t>
            </w:r>
          </w:p>
        </w:tc>
      </w:tr>
      <w:tr w14:paraId="70A00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73578DDE">
            <w:pPr>
              <w:spacing w:line="240" w:lineRule="auto"/>
              <w:ind w:firstLine="0" w:firstLineChars="0"/>
              <w:jc w:val="center"/>
              <w:rPr>
                <w:color w:val="auto"/>
                <w:sz w:val="21"/>
                <w:szCs w:val="21"/>
              </w:rPr>
            </w:pPr>
            <w:r>
              <w:rPr>
                <w:color w:val="auto"/>
                <w:sz w:val="21"/>
                <w:szCs w:val="21"/>
              </w:rPr>
              <w:t>44</w:t>
            </w:r>
          </w:p>
        </w:tc>
        <w:tc>
          <w:tcPr>
            <w:tcW w:w="1159" w:type="pct"/>
            <w:shd w:val="clear" w:color="auto" w:fill="auto"/>
            <w:vAlign w:val="center"/>
          </w:tcPr>
          <w:p w14:paraId="00EA8280">
            <w:pPr>
              <w:spacing w:line="240" w:lineRule="auto"/>
              <w:ind w:firstLine="0" w:firstLineChars="0"/>
              <w:jc w:val="center"/>
              <w:rPr>
                <w:color w:val="auto"/>
                <w:sz w:val="21"/>
                <w:szCs w:val="21"/>
              </w:rPr>
            </w:pPr>
            <w:r>
              <w:rPr>
                <w:color w:val="auto"/>
                <w:sz w:val="21"/>
                <w:szCs w:val="21"/>
              </w:rPr>
              <w:t>茚并[1,2,3-cd]芘</w:t>
            </w:r>
          </w:p>
        </w:tc>
        <w:tc>
          <w:tcPr>
            <w:tcW w:w="1300" w:type="pct"/>
            <w:shd w:val="clear" w:color="auto" w:fill="auto"/>
            <w:vAlign w:val="center"/>
          </w:tcPr>
          <w:p w14:paraId="3F9D1DED">
            <w:pPr>
              <w:spacing w:line="240" w:lineRule="auto"/>
              <w:ind w:firstLine="0" w:firstLineChars="0"/>
              <w:jc w:val="center"/>
              <w:rPr>
                <w:color w:val="auto"/>
                <w:sz w:val="21"/>
                <w:szCs w:val="21"/>
              </w:rPr>
            </w:pPr>
            <w:r>
              <w:rPr>
                <w:color w:val="auto"/>
                <w:sz w:val="21"/>
                <w:szCs w:val="21"/>
              </w:rPr>
              <w:t>193-39-5</w:t>
            </w:r>
          </w:p>
        </w:tc>
        <w:tc>
          <w:tcPr>
            <w:tcW w:w="1000" w:type="pct"/>
            <w:shd w:val="clear" w:color="auto" w:fill="auto"/>
            <w:vAlign w:val="center"/>
          </w:tcPr>
          <w:p w14:paraId="0991D422">
            <w:pPr>
              <w:spacing w:line="240" w:lineRule="auto"/>
              <w:ind w:firstLine="0" w:firstLineChars="0"/>
              <w:jc w:val="center"/>
              <w:rPr>
                <w:color w:val="auto"/>
                <w:sz w:val="21"/>
                <w:szCs w:val="21"/>
              </w:rPr>
            </w:pPr>
            <w:r>
              <w:rPr>
                <w:color w:val="auto"/>
                <w:sz w:val="21"/>
                <w:szCs w:val="21"/>
              </w:rPr>
              <w:t>15</w:t>
            </w:r>
          </w:p>
        </w:tc>
        <w:tc>
          <w:tcPr>
            <w:tcW w:w="1000" w:type="pct"/>
            <w:shd w:val="clear" w:color="auto" w:fill="auto"/>
            <w:vAlign w:val="center"/>
          </w:tcPr>
          <w:p w14:paraId="3A83E2C9">
            <w:pPr>
              <w:spacing w:line="240" w:lineRule="auto"/>
              <w:ind w:firstLine="0" w:firstLineChars="0"/>
              <w:jc w:val="center"/>
              <w:rPr>
                <w:color w:val="auto"/>
                <w:sz w:val="21"/>
                <w:szCs w:val="21"/>
              </w:rPr>
            </w:pPr>
            <w:r>
              <w:rPr>
                <w:color w:val="auto"/>
                <w:sz w:val="21"/>
                <w:szCs w:val="21"/>
              </w:rPr>
              <w:t>151</w:t>
            </w:r>
          </w:p>
        </w:tc>
      </w:tr>
      <w:tr w14:paraId="4A2F0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7" w:hRule="atLeast"/>
        </w:trPr>
        <w:tc>
          <w:tcPr>
            <w:tcW w:w="541" w:type="pct"/>
            <w:shd w:val="clear" w:color="auto" w:fill="auto"/>
            <w:vAlign w:val="center"/>
          </w:tcPr>
          <w:p w14:paraId="4684E4AA">
            <w:pPr>
              <w:spacing w:line="240" w:lineRule="auto"/>
              <w:ind w:firstLine="0" w:firstLineChars="0"/>
              <w:jc w:val="center"/>
              <w:rPr>
                <w:color w:val="auto"/>
                <w:sz w:val="21"/>
                <w:szCs w:val="21"/>
              </w:rPr>
            </w:pPr>
            <w:r>
              <w:rPr>
                <w:color w:val="auto"/>
                <w:sz w:val="21"/>
                <w:szCs w:val="21"/>
              </w:rPr>
              <w:t>45</w:t>
            </w:r>
          </w:p>
        </w:tc>
        <w:tc>
          <w:tcPr>
            <w:tcW w:w="1159" w:type="pct"/>
            <w:shd w:val="clear" w:color="auto" w:fill="auto"/>
            <w:vAlign w:val="center"/>
          </w:tcPr>
          <w:p w14:paraId="73452E30">
            <w:pPr>
              <w:spacing w:line="240" w:lineRule="auto"/>
              <w:ind w:firstLine="0" w:firstLineChars="0"/>
              <w:jc w:val="center"/>
              <w:rPr>
                <w:color w:val="auto"/>
                <w:sz w:val="21"/>
                <w:szCs w:val="21"/>
              </w:rPr>
            </w:pPr>
            <w:r>
              <w:rPr>
                <w:color w:val="auto"/>
                <w:sz w:val="21"/>
                <w:szCs w:val="21"/>
              </w:rPr>
              <w:t>萘</w:t>
            </w:r>
          </w:p>
        </w:tc>
        <w:tc>
          <w:tcPr>
            <w:tcW w:w="1300" w:type="pct"/>
            <w:shd w:val="clear" w:color="auto" w:fill="auto"/>
            <w:vAlign w:val="center"/>
          </w:tcPr>
          <w:p w14:paraId="4009DEE0">
            <w:pPr>
              <w:spacing w:line="240" w:lineRule="auto"/>
              <w:ind w:firstLine="0" w:firstLineChars="0"/>
              <w:jc w:val="center"/>
              <w:rPr>
                <w:color w:val="auto"/>
                <w:sz w:val="21"/>
                <w:szCs w:val="21"/>
              </w:rPr>
            </w:pPr>
            <w:r>
              <w:rPr>
                <w:color w:val="auto"/>
                <w:sz w:val="21"/>
                <w:szCs w:val="21"/>
              </w:rPr>
              <w:t>91-20-3</w:t>
            </w:r>
          </w:p>
        </w:tc>
        <w:tc>
          <w:tcPr>
            <w:tcW w:w="1000" w:type="pct"/>
            <w:shd w:val="clear" w:color="auto" w:fill="auto"/>
            <w:vAlign w:val="center"/>
          </w:tcPr>
          <w:p w14:paraId="55B7FF88">
            <w:pPr>
              <w:spacing w:line="240" w:lineRule="auto"/>
              <w:ind w:firstLine="0" w:firstLineChars="0"/>
              <w:jc w:val="center"/>
              <w:rPr>
                <w:color w:val="auto"/>
                <w:sz w:val="21"/>
                <w:szCs w:val="21"/>
              </w:rPr>
            </w:pPr>
            <w:r>
              <w:rPr>
                <w:color w:val="auto"/>
                <w:sz w:val="21"/>
                <w:szCs w:val="21"/>
              </w:rPr>
              <w:t>70</w:t>
            </w:r>
          </w:p>
        </w:tc>
        <w:tc>
          <w:tcPr>
            <w:tcW w:w="1000" w:type="pct"/>
            <w:shd w:val="clear" w:color="auto" w:fill="auto"/>
            <w:vAlign w:val="center"/>
          </w:tcPr>
          <w:p w14:paraId="0ED2DB2D">
            <w:pPr>
              <w:spacing w:line="240" w:lineRule="auto"/>
              <w:ind w:firstLine="0" w:firstLineChars="0"/>
              <w:jc w:val="center"/>
              <w:rPr>
                <w:color w:val="auto"/>
                <w:sz w:val="21"/>
                <w:szCs w:val="21"/>
              </w:rPr>
            </w:pPr>
            <w:r>
              <w:rPr>
                <w:color w:val="auto"/>
                <w:sz w:val="21"/>
                <w:szCs w:val="21"/>
              </w:rPr>
              <w:t>700</w:t>
            </w:r>
          </w:p>
        </w:tc>
      </w:tr>
      <w:bookmarkEnd w:id="33"/>
    </w:tbl>
    <w:p w14:paraId="0A3399D3">
      <w:pPr>
        <w:keepNext/>
        <w:keepLines/>
        <w:spacing w:before="120" w:beforeLines="50"/>
        <w:ind w:firstLine="0" w:firstLineChars="0"/>
        <w:outlineLvl w:val="2"/>
        <w:rPr>
          <w:b/>
          <w:bCs/>
          <w:color w:val="auto"/>
          <w:sz w:val="28"/>
          <w:szCs w:val="36"/>
        </w:rPr>
      </w:pPr>
      <w:r>
        <w:rPr>
          <w:b/>
          <w:bCs/>
          <w:color w:val="auto"/>
          <w:sz w:val="28"/>
          <w:szCs w:val="36"/>
        </w:rPr>
        <w:t>2.4.3 污染物排放标准</w:t>
      </w:r>
    </w:p>
    <w:p w14:paraId="78A0F284">
      <w:pPr>
        <w:spacing w:before="120" w:beforeLines="50"/>
        <w:ind w:firstLine="0" w:firstLineChars="0"/>
        <w:outlineLvl w:val="3"/>
        <w:rPr>
          <w:b/>
          <w:color w:val="auto"/>
        </w:rPr>
      </w:pPr>
      <w:bookmarkStart w:id="34" w:name="_Hlk145423178"/>
      <w:r>
        <w:rPr>
          <w:b/>
          <w:color w:val="auto"/>
        </w:rPr>
        <w:t xml:space="preserve">2.4.3.1 </w:t>
      </w:r>
      <w:r>
        <w:rPr>
          <w:rFonts w:hint="eastAsia"/>
          <w:b/>
          <w:color w:val="auto"/>
        </w:rPr>
        <w:t>废气</w:t>
      </w:r>
      <w:r>
        <w:rPr>
          <w:b/>
          <w:color w:val="auto"/>
        </w:rPr>
        <w:t>排放标准</w:t>
      </w:r>
      <w:bookmarkEnd w:id="34"/>
    </w:p>
    <w:p w14:paraId="51849B00">
      <w:pPr>
        <w:ind w:firstLine="482"/>
        <w:rPr>
          <w:b/>
          <w:bCs/>
          <w:color w:val="auto"/>
        </w:rPr>
      </w:pPr>
      <w:bookmarkStart w:id="35" w:name="_Hlk70589137"/>
      <w:r>
        <w:rPr>
          <w:b/>
          <w:bCs/>
          <w:color w:val="auto"/>
        </w:rPr>
        <w:t>1、施工期</w:t>
      </w:r>
    </w:p>
    <w:p w14:paraId="673B4250">
      <w:pPr>
        <w:ind w:firstLine="480"/>
        <w:rPr>
          <w:color w:val="auto"/>
        </w:rPr>
      </w:pPr>
      <w:r>
        <w:rPr>
          <w:color w:val="auto"/>
        </w:rPr>
        <w:t>本项目施工期施工场地扬尘执行《施工场地扬尘排放标准》（DB32/4437-2022）表1中标准。具体见表2.4.3-1。</w:t>
      </w:r>
    </w:p>
    <w:p w14:paraId="676BE5CE">
      <w:pPr>
        <w:spacing w:line="240" w:lineRule="auto"/>
        <w:ind w:firstLine="0" w:firstLineChars="0"/>
        <w:jc w:val="center"/>
        <w:rPr>
          <w:b/>
          <w:color w:val="auto"/>
        </w:rPr>
      </w:pPr>
    </w:p>
    <w:p w14:paraId="315BFB82">
      <w:pPr>
        <w:spacing w:line="240" w:lineRule="auto"/>
        <w:ind w:firstLine="0" w:firstLineChars="0"/>
        <w:jc w:val="center"/>
        <w:rPr>
          <w:b/>
          <w:color w:val="auto"/>
        </w:rPr>
      </w:pPr>
    </w:p>
    <w:p w14:paraId="30CC84BE">
      <w:pPr>
        <w:spacing w:line="240" w:lineRule="auto"/>
        <w:ind w:firstLine="0" w:firstLineChars="0"/>
        <w:jc w:val="center"/>
        <w:rPr>
          <w:b/>
          <w:color w:val="auto"/>
        </w:rPr>
      </w:pPr>
      <w:r>
        <w:rPr>
          <w:b/>
          <w:color w:val="auto"/>
        </w:rPr>
        <w:t>表2.4.3-1  施工场地扬尘排放浓度限值</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32"/>
        <w:gridCol w:w="4532"/>
      </w:tblGrid>
      <w:tr w14:paraId="550AE9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4532" w:type="dxa"/>
            <w:tcBorders>
              <w:bottom w:val="nil"/>
              <w:right w:val="nil"/>
              <w:tl2br w:val="nil"/>
              <w:tr2bl w:val="nil"/>
            </w:tcBorders>
          </w:tcPr>
          <w:p w14:paraId="310D30AF">
            <w:pPr>
              <w:spacing w:line="240" w:lineRule="auto"/>
              <w:ind w:firstLine="422"/>
              <w:jc w:val="center"/>
              <w:rPr>
                <w:b/>
                <w:iCs/>
                <w:color w:val="auto"/>
                <w:sz w:val="21"/>
                <w:szCs w:val="20"/>
              </w:rPr>
            </w:pPr>
            <w:r>
              <w:rPr>
                <w:b/>
                <w:iCs/>
                <w:color w:val="auto"/>
                <w:sz w:val="21"/>
                <w:szCs w:val="20"/>
              </w:rPr>
              <w:t>监测项目</w:t>
            </w:r>
          </w:p>
        </w:tc>
        <w:tc>
          <w:tcPr>
            <w:tcW w:w="4532" w:type="dxa"/>
            <w:tcBorders>
              <w:bottom w:val="nil"/>
            </w:tcBorders>
          </w:tcPr>
          <w:p w14:paraId="6211843C">
            <w:pPr>
              <w:spacing w:line="240" w:lineRule="auto"/>
              <w:ind w:firstLine="422"/>
              <w:jc w:val="center"/>
              <w:rPr>
                <w:b/>
                <w:iCs/>
                <w:color w:val="auto"/>
                <w:sz w:val="21"/>
                <w:szCs w:val="20"/>
              </w:rPr>
            </w:pPr>
            <w:r>
              <w:rPr>
                <w:b/>
                <w:iCs/>
                <w:color w:val="auto"/>
                <w:sz w:val="21"/>
                <w:szCs w:val="20"/>
              </w:rPr>
              <w:t>浓度限值（μg/m</w:t>
            </w:r>
            <w:r>
              <w:rPr>
                <w:b/>
                <w:iCs/>
                <w:color w:val="auto"/>
                <w:sz w:val="21"/>
                <w:szCs w:val="20"/>
                <w:vertAlign w:val="superscript"/>
              </w:rPr>
              <w:t>3</w:t>
            </w:r>
            <w:r>
              <w:rPr>
                <w:b/>
                <w:iCs/>
                <w:color w:val="auto"/>
                <w:sz w:val="21"/>
                <w:szCs w:val="20"/>
              </w:rPr>
              <w:t>）</w:t>
            </w:r>
          </w:p>
        </w:tc>
      </w:tr>
      <w:tr w14:paraId="17A97F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32" w:type="dxa"/>
            <w:tcBorders>
              <w:right w:val="nil"/>
              <w:tl2br w:val="nil"/>
              <w:tr2bl w:val="nil"/>
            </w:tcBorders>
          </w:tcPr>
          <w:p w14:paraId="1EB689E6">
            <w:pPr>
              <w:spacing w:line="240" w:lineRule="auto"/>
              <w:ind w:firstLine="420"/>
              <w:jc w:val="center"/>
              <w:rPr>
                <w:color w:val="auto"/>
                <w:sz w:val="21"/>
                <w:szCs w:val="20"/>
              </w:rPr>
            </w:pPr>
            <w:r>
              <w:rPr>
                <w:color w:val="auto"/>
                <w:sz w:val="21"/>
                <w:szCs w:val="20"/>
              </w:rPr>
              <w:t>TSP</w:t>
            </w:r>
            <w:r>
              <w:rPr>
                <w:color w:val="auto"/>
                <w:sz w:val="21"/>
                <w:szCs w:val="20"/>
                <w:vertAlign w:val="superscript"/>
              </w:rPr>
              <w:t>a</w:t>
            </w:r>
          </w:p>
        </w:tc>
        <w:tc>
          <w:tcPr>
            <w:tcW w:w="4532" w:type="dxa"/>
          </w:tcPr>
          <w:p w14:paraId="5BD50EE6">
            <w:pPr>
              <w:spacing w:line="240" w:lineRule="auto"/>
              <w:ind w:firstLine="420"/>
              <w:jc w:val="center"/>
              <w:rPr>
                <w:color w:val="auto"/>
                <w:sz w:val="21"/>
                <w:szCs w:val="20"/>
              </w:rPr>
            </w:pPr>
            <w:r>
              <w:rPr>
                <w:color w:val="auto"/>
                <w:sz w:val="21"/>
                <w:szCs w:val="20"/>
              </w:rPr>
              <w:t>500</w:t>
            </w:r>
          </w:p>
        </w:tc>
      </w:tr>
      <w:tr w14:paraId="359A19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32" w:type="dxa"/>
            <w:tcBorders>
              <w:right w:val="nil"/>
              <w:tl2br w:val="nil"/>
              <w:tr2bl w:val="nil"/>
            </w:tcBorders>
          </w:tcPr>
          <w:p w14:paraId="5C85561B">
            <w:pPr>
              <w:spacing w:line="240" w:lineRule="auto"/>
              <w:ind w:firstLine="420"/>
              <w:jc w:val="center"/>
              <w:rPr>
                <w:color w:val="auto"/>
                <w:sz w:val="21"/>
                <w:szCs w:val="20"/>
              </w:rPr>
            </w:pPr>
            <w:r>
              <w:rPr>
                <w:color w:val="auto"/>
                <w:sz w:val="21"/>
                <w:szCs w:val="20"/>
              </w:rPr>
              <w:t>PM</w:t>
            </w:r>
            <w:r>
              <w:rPr>
                <w:color w:val="auto"/>
                <w:sz w:val="21"/>
                <w:szCs w:val="20"/>
                <w:vertAlign w:val="subscript"/>
              </w:rPr>
              <w:t>10</w:t>
            </w:r>
            <w:r>
              <w:rPr>
                <w:color w:val="auto"/>
                <w:sz w:val="21"/>
                <w:szCs w:val="20"/>
                <w:vertAlign w:val="superscript"/>
              </w:rPr>
              <w:t>b</w:t>
            </w:r>
          </w:p>
        </w:tc>
        <w:tc>
          <w:tcPr>
            <w:tcW w:w="4532" w:type="dxa"/>
          </w:tcPr>
          <w:p w14:paraId="02453F4D">
            <w:pPr>
              <w:spacing w:line="240" w:lineRule="auto"/>
              <w:ind w:firstLine="420"/>
              <w:jc w:val="center"/>
              <w:rPr>
                <w:color w:val="auto"/>
                <w:sz w:val="21"/>
                <w:szCs w:val="20"/>
              </w:rPr>
            </w:pPr>
            <w:r>
              <w:rPr>
                <w:color w:val="auto"/>
                <w:sz w:val="21"/>
                <w:szCs w:val="20"/>
              </w:rPr>
              <w:t>80</w:t>
            </w:r>
          </w:p>
        </w:tc>
      </w:tr>
      <w:tr w14:paraId="35271A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64" w:type="dxa"/>
            <w:gridSpan w:val="2"/>
            <w:tcBorders>
              <w:right w:val="nil"/>
              <w:tl2br w:val="nil"/>
              <w:tr2bl w:val="nil"/>
            </w:tcBorders>
          </w:tcPr>
          <w:p w14:paraId="73C7B9DD">
            <w:pPr>
              <w:spacing w:line="240" w:lineRule="auto"/>
              <w:ind w:firstLine="0" w:firstLineChars="0"/>
              <w:jc w:val="left"/>
              <w:rPr>
                <w:color w:val="auto"/>
                <w:sz w:val="21"/>
                <w:szCs w:val="20"/>
              </w:rPr>
            </w:pPr>
            <w:r>
              <w:rPr>
                <w:color w:val="auto"/>
                <w:sz w:val="21"/>
                <w:szCs w:val="20"/>
              </w:rPr>
              <w:t>a任一监控点</w:t>
            </w:r>
            <w:r>
              <w:rPr>
                <w:rFonts w:hint="eastAsia"/>
                <w:color w:val="auto"/>
                <w:sz w:val="21"/>
                <w:szCs w:val="20"/>
              </w:rPr>
              <w:t>（</w:t>
            </w:r>
            <w:r>
              <w:rPr>
                <w:color w:val="auto"/>
                <w:sz w:val="21"/>
                <w:szCs w:val="20"/>
              </w:rPr>
              <w:t>TSP自动监测</w:t>
            </w:r>
            <w:r>
              <w:rPr>
                <w:rFonts w:hint="eastAsia"/>
                <w:color w:val="auto"/>
                <w:sz w:val="21"/>
                <w:szCs w:val="20"/>
              </w:rPr>
              <w:t>）</w:t>
            </w:r>
            <w:r>
              <w:rPr>
                <w:color w:val="auto"/>
                <w:sz w:val="21"/>
                <w:szCs w:val="20"/>
              </w:rPr>
              <w:t>自整时起依次顺延15min的总悬浮颗粒物浓度平均值不应超过的限值。根据HJ633判定设区市AQI在200~300之间且首要污染物为PM</w:t>
            </w:r>
            <w:r>
              <w:rPr>
                <w:color w:val="auto"/>
                <w:sz w:val="21"/>
                <w:szCs w:val="20"/>
                <w:vertAlign w:val="subscript"/>
              </w:rPr>
              <w:t>10</w:t>
            </w:r>
            <w:r>
              <w:rPr>
                <w:color w:val="auto"/>
                <w:sz w:val="21"/>
                <w:szCs w:val="20"/>
              </w:rPr>
              <w:t>或PM</w:t>
            </w:r>
            <w:r>
              <w:rPr>
                <w:color w:val="auto"/>
                <w:sz w:val="21"/>
                <w:szCs w:val="20"/>
                <w:vertAlign w:val="subscript"/>
              </w:rPr>
              <w:t>2.5</w:t>
            </w:r>
            <w:r>
              <w:rPr>
                <w:color w:val="auto"/>
                <w:sz w:val="21"/>
                <w:szCs w:val="20"/>
              </w:rPr>
              <w:t>时，TSP实测值扣除200μg/m</w:t>
            </w:r>
            <w:r>
              <w:rPr>
                <w:color w:val="auto"/>
                <w:sz w:val="21"/>
                <w:szCs w:val="20"/>
                <w:vertAlign w:val="superscript"/>
              </w:rPr>
              <w:t>3</w:t>
            </w:r>
            <w:r>
              <w:rPr>
                <w:color w:val="auto"/>
                <w:sz w:val="21"/>
                <w:szCs w:val="20"/>
              </w:rPr>
              <w:t>后再进行评价。</w:t>
            </w:r>
          </w:p>
          <w:p w14:paraId="50324FAA">
            <w:pPr>
              <w:spacing w:line="240" w:lineRule="auto"/>
              <w:ind w:firstLine="0" w:firstLineChars="0"/>
              <w:jc w:val="left"/>
              <w:rPr>
                <w:color w:val="auto"/>
                <w:sz w:val="21"/>
                <w:szCs w:val="20"/>
              </w:rPr>
            </w:pPr>
            <w:r>
              <w:rPr>
                <w:color w:val="auto"/>
                <w:sz w:val="21"/>
                <w:szCs w:val="20"/>
              </w:rPr>
              <w:t>b任一监控点</w:t>
            </w:r>
            <w:r>
              <w:rPr>
                <w:rFonts w:hint="eastAsia"/>
                <w:color w:val="auto"/>
                <w:sz w:val="21"/>
                <w:szCs w:val="20"/>
              </w:rPr>
              <w:t>（</w:t>
            </w:r>
            <w:r>
              <w:rPr>
                <w:color w:val="auto"/>
                <w:sz w:val="21"/>
                <w:szCs w:val="20"/>
              </w:rPr>
              <w:t>PM</w:t>
            </w:r>
            <w:r>
              <w:rPr>
                <w:color w:val="auto"/>
                <w:sz w:val="21"/>
                <w:szCs w:val="20"/>
                <w:vertAlign w:val="subscript"/>
              </w:rPr>
              <w:t>10</w:t>
            </w:r>
            <w:r>
              <w:rPr>
                <w:color w:val="auto"/>
                <w:sz w:val="21"/>
                <w:szCs w:val="20"/>
              </w:rPr>
              <w:t>自动监测</w:t>
            </w:r>
            <w:r>
              <w:rPr>
                <w:rFonts w:hint="eastAsia"/>
                <w:color w:val="auto"/>
                <w:sz w:val="21"/>
                <w:szCs w:val="20"/>
              </w:rPr>
              <w:t>）</w:t>
            </w:r>
            <w:r>
              <w:rPr>
                <w:color w:val="auto"/>
                <w:sz w:val="21"/>
                <w:szCs w:val="20"/>
              </w:rPr>
              <w:t>自整时起依次顺延1h的PM</w:t>
            </w:r>
            <w:r>
              <w:rPr>
                <w:color w:val="auto"/>
                <w:sz w:val="21"/>
                <w:szCs w:val="20"/>
                <w:vertAlign w:val="subscript"/>
              </w:rPr>
              <w:t>10</w:t>
            </w:r>
            <w:r>
              <w:rPr>
                <w:color w:val="auto"/>
                <w:sz w:val="21"/>
                <w:szCs w:val="20"/>
              </w:rPr>
              <w:t>浓度平均值与同时段所属设区市PM</w:t>
            </w:r>
            <w:r>
              <w:rPr>
                <w:color w:val="auto"/>
                <w:sz w:val="21"/>
                <w:szCs w:val="20"/>
                <w:vertAlign w:val="subscript"/>
              </w:rPr>
              <w:t>10</w:t>
            </w:r>
            <w:r>
              <w:rPr>
                <w:color w:val="auto"/>
                <w:sz w:val="21"/>
                <w:szCs w:val="20"/>
              </w:rPr>
              <w:t>小时平均浓度的差值不应超过的限值。</w:t>
            </w:r>
          </w:p>
        </w:tc>
      </w:tr>
    </w:tbl>
    <w:p w14:paraId="38374A98">
      <w:pPr>
        <w:spacing w:before="120" w:beforeLines="50"/>
        <w:ind w:firstLine="482"/>
        <w:rPr>
          <w:b/>
          <w:bCs/>
          <w:color w:val="auto"/>
        </w:rPr>
      </w:pPr>
      <w:r>
        <w:rPr>
          <w:b/>
          <w:bCs/>
          <w:color w:val="auto"/>
        </w:rPr>
        <w:t>2、运营期</w:t>
      </w:r>
    </w:p>
    <w:p w14:paraId="3C358AB3">
      <w:pPr>
        <w:tabs>
          <w:tab w:val="left" w:pos="2227"/>
        </w:tabs>
        <w:ind w:firstLine="480"/>
        <w:rPr>
          <w:color w:val="auto"/>
        </w:rPr>
      </w:pPr>
      <w:r>
        <w:rPr>
          <w:color w:val="auto"/>
        </w:rPr>
        <w:t>本项目废气来源</w:t>
      </w:r>
      <w:r>
        <w:rPr>
          <w:rFonts w:hint="eastAsia"/>
          <w:color w:val="auto"/>
        </w:rPr>
        <w:t>于太阳能光伏铝边框生产的前处理棒炉和时效炉产生的天然气燃烧废气（主要污染物为颗粒物、SO</w:t>
      </w:r>
      <w:r>
        <w:rPr>
          <w:rFonts w:hint="eastAsia"/>
          <w:color w:val="auto"/>
          <w:vertAlign w:val="subscript"/>
        </w:rPr>
        <w:t>2</w:t>
      </w:r>
      <w:r>
        <w:rPr>
          <w:rFonts w:hint="eastAsia"/>
          <w:color w:val="auto"/>
        </w:rPr>
        <w:t>、NOx）、喷砂粉尘（以颗粒物计），阳极氧化线产生的碱蚀废气（以碱雾计）以及脱脂、中和、氧化和着色工序产生的酸雾（以硫酸雾计），深加工线产生的锯切、冲孔粉尘（以颗粒物计）；模具氮化废气（以NH</w:t>
      </w:r>
      <w:r>
        <w:rPr>
          <w:rFonts w:hint="eastAsia"/>
          <w:color w:val="auto"/>
          <w:vertAlign w:val="subscript"/>
        </w:rPr>
        <w:t>3</w:t>
      </w:r>
      <w:r>
        <w:rPr>
          <w:rFonts w:hint="eastAsia"/>
          <w:color w:val="auto"/>
        </w:rPr>
        <w:t>计）、喷砂产生的粉尘（以颗粒物计）；硫酸储罐贮存产生的“大小呼吸”废气（以硫酸雾计）、食堂废气（以油烟计）。</w:t>
      </w:r>
    </w:p>
    <w:p w14:paraId="6D16DAED">
      <w:pPr>
        <w:ind w:firstLine="480"/>
        <w:rPr>
          <w:color w:val="auto"/>
          <w:szCs w:val="30"/>
        </w:rPr>
      </w:pPr>
      <w:r>
        <w:rPr>
          <w:color w:val="auto"/>
        </w:rPr>
        <w:t>其中挤压加工线的加热和时效工序产生的</w:t>
      </w:r>
      <w:r>
        <w:rPr>
          <w:color w:val="auto"/>
          <w:szCs w:val="30"/>
        </w:rPr>
        <w:t>天然气燃烧废气，其主要污染物为颗粒物、SO</w:t>
      </w:r>
      <w:r>
        <w:rPr>
          <w:color w:val="auto"/>
          <w:szCs w:val="30"/>
          <w:vertAlign w:val="subscript"/>
        </w:rPr>
        <w:t>2</w:t>
      </w:r>
      <w:r>
        <w:rPr>
          <w:color w:val="auto"/>
          <w:szCs w:val="30"/>
        </w:rPr>
        <w:t>和NO</w:t>
      </w:r>
      <w:r>
        <w:rPr>
          <w:color w:val="auto"/>
          <w:szCs w:val="30"/>
          <w:vertAlign w:val="subscript"/>
        </w:rPr>
        <w:t>X</w:t>
      </w:r>
      <w:r>
        <w:rPr>
          <w:color w:val="auto"/>
          <w:szCs w:val="30"/>
        </w:rPr>
        <w:t>有组织排放执行江苏省地方标准《工业炉窑大气污染物排放标准》（DB32/3728-2020）表1中标准限值。</w:t>
      </w:r>
    </w:p>
    <w:p w14:paraId="20D9B780">
      <w:pPr>
        <w:ind w:firstLine="480"/>
        <w:rPr>
          <w:color w:val="auto"/>
          <w:szCs w:val="30"/>
        </w:rPr>
      </w:pPr>
      <w:r>
        <w:rPr>
          <w:rFonts w:hint="eastAsia"/>
          <w:color w:val="auto"/>
          <w:szCs w:val="30"/>
        </w:rPr>
        <w:t>喷砂、</w:t>
      </w:r>
      <w:r>
        <w:rPr>
          <w:color w:val="auto"/>
          <w:szCs w:val="30"/>
        </w:rPr>
        <w:t>锯切、冲孔工序产生的粉尘（以颗粒物计）无组织排放执行江苏省地方标准《大气污染物综合排放标准》（DB32/4041-2021）表3中标准限值。</w:t>
      </w:r>
    </w:p>
    <w:p w14:paraId="5B6177A6">
      <w:pPr>
        <w:ind w:firstLine="480"/>
        <w:rPr>
          <w:color w:val="auto"/>
          <w:szCs w:val="30"/>
        </w:rPr>
      </w:pPr>
      <w:r>
        <w:rPr>
          <w:color w:val="auto"/>
          <w:szCs w:val="30"/>
        </w:rPr>
        <w:t>脱脂、中和、氧化和着色工序产生的硫酸雾有组织排放执行《电镀污染物排放标准》（GB21900-2008）表5标准；无组织排放执行江苏省地方标准《大气污染物综合排放标准》（DB32/4041-2021）表3中标准限值</w:t>
      </w:r>
      <w:r>
        <w:rPr>
          <w:rFonts w:hint="eastAsia"/>
          <w:color w:val="auto"/>
          <w:szCs w:val="30"/>
        </w:rPr>
        <w:t>。</w:t>
      </w:r>
    </w:p>
    <w:p w14:paraId="45380674">
      <w:pPr>
        <w:ind w:firstLine="480"/>
        <w:rPr>
          <w:color w:val="auto"/>
        </w:rPr>
      </w:pPr>
      <w:r>
        <w:rPr>
          <w:color w:val="auto"/>
        </w:rPr>
        <w:t>模具氮化废气（</w:t>
      </w:r>
      <w:r>
        <w:rPr>
          <w:color w:val="auto"/>
          <w:szCs w:val="30"/>
        </w:rPr>
        <w:t>以NH</w:t>
      </w:r>
      <w:r>
        <w:rPr>
          <w:color w:val="auto"/>
          <w:szCs w:val="30"/>
          <w:vertAlign w:val="subscript"/>
        </w:rPr>
        <w:t>3</w:t>
      </w:r>
      <w:r>
        <w:rPr>
          <w:color w:val="auto"/>
          <w:szCs w:val="30"/>
        </w:rPr>
        <w:t>计</w:t>
      </w:r>
      <w:r>
        <w:rPr>
          <w:color w:val="auto"/>
        </w:rPr>
        <w:t>）有组织排放执行《恶臭污染物排放标准》（GB14554-93）表2中标准限值，模具氮化废气（</w:t>
      </w:r>
      <w:r>
        <w:rPr>
          <w:color w:val="auto"/>
          <w:szCs w:val="30"/>
        </w:rPr>
        <w:t>以NH</w:t>
      </w:r>
      <w:r>
        <w:rPr>
          <w:color w:val="auto"/>
          <w:szCs w:val="30"/>
          <w:vertAlign w:val="subscript"/>
        </w:rPr>
        <w:t>3</w:t>
      </w:r>
      <w:r>
        <w:rPr>
          <w:color w:val="auto"/>
          <w:szCs w:val="30"/>
        </w:rPr>
        <w:t>计</w:t>
      </w:r>
      <w:r>
        <w:rPr>
          <w:color w:val="auto"/>
        </w:rPr>
        <w:t>）无组织排放执行《恶臭污染物排放标准》（GB14554-93）表1中标准限值。</w:t>
      </w:r>
    </w:p>
    <w:p w14:paraId="115C603E">
      <w:pPr>
        <w:ind w:firstLine="480"/>
        <w:rPr>
          <w:color w:val="auto"/>
          <w:lang w:bidi="ar"/>
        </w:rPr>
      </w:pPr>
      <w:r>
        <w:rPr>
          <w:color w:val="auto"/>
          <w:lang w:bidi="ar"/>
        </w:rPr>
        <w:t>食堂油烟排放执行《饮食业油烟排放标准》（试行）（GB18483-2001）表2的大型规模标准。</w:t>
      </w:r>
    </w:p>
    <w:p w14:paraId="1FE4E4AC">
      <w:pPr>
        <w:ind w:firstLine="480"/>
        <w:rPr>
          <w:b/>
          <w:color w:val="auto"/>
          <w:szCs w:val="28"/>
        </w:rPr>
      </w:pPr>
      <w:r>
        <w:rPr>
          <w:color w:val="auto"/>
        </w:rPr>
        <w:t>具体见表2.4.3-2</w:t>
      </w:r>
      <w:bookmarkStart w:id="36" w:name="_Hlk69908421"/>
      <w:r>
        <w:rPr>
          <w:rFonts w:hint="eastAsia"/>
          <w:color w:val="auto"/>
        </w:rPr>
        <w:t>。</w:t>
      </w:r>
    </w:p>
    <w:p w14:paraId="2B254C2A">
      <w:pPr>
        <w:spacing w:line="240" w:lineRule="auto"/>
        <w:ind w:firstLine="0" w:firstLineChars="0"/>
        <w:jc w:val="center"/>
        <w:rPr>
          <w:b/>
          <w:color w:val="auto"/>
          <w:szCs w:val="28"/>
        </w:rPr>
      </w:pPr>
      <w:r>
        <w:rPr>
          <w:b/>
          <w:color w:val="auto"/>
          <w:szCs w:val="28"/>
        </w:rPr>
        <w:t>表2.4.3-2   大气污染物排放标</w:t>
      </w:r>
      <w:r>
        <w:rPr>
          <w:b/>
          <w:color w:val="auto"/>
        </w:rPr>
        <w:t>准</w:t>
      </w:r>
      <w:r>
        <w:rPr>
          <w:rStyle w:val="146"/>
          <w:rFonts w:hint="eastAsia"/>
          <w:b/>
          <w:color w:val="auto"/>
          <w:sz w:val="24"/>
          <w:szCs w:val="24"/>
        </w:rPr>
        <w:t>限值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7"/>
        <w:gridCol w:w="829"/>
        <w:gridCol w:w="1238"/>
        <w:gridCol w:w="1489"/>
        <w:gridCol w:w="718"/>
        <w:gridCol w:w="1300"/>
        <w:gridCol w:w="834"/>
        <w:gridCol w:w="2391"/>
      </w:tblGrid>
      <w:tr w14:paraId="30AB81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7" w:type="dxa"/>
            <w:vMerge w:val="restart"/>
            <w:vAlign w:val="center"/>
          </w:tcPr>
          <w:p w14:paraId="50E7AB24">
            <w:pPr>
              <w:spacing w:line="240" w:lineRule="auto"/>
              <w:ind w:firstLine="0" w:firstLineChars="0"/>
              <w:jc w:val="center"/>
              <w:rPr>
                <w:b/>
                <w:color w:val="auto"/>
                <w:sz w:val="21"/>
                <w:szCs w:val="28"/>
              </w:rPr>
            </w:pPr>
            <w:r>
              <w:rPr>
                <w:b/>
                <w:color w:val="auto"/>
                <w:sz w:val="21"/>
                <w:szCs w:val="28"/>
              </w:rPr>
              <w:t>序号</w:t>
            </w:r>
          </w:p>
        </w:tc>
        <w:tc>
          <w:tcPr>
            <w:tcW w:w="829" w:type="dxa"/>
            <w:vMerge w:val="restart"/>
            <w:vAlign w:val="center"/>
          </w:tcPr>
          <w:p w14:paraId="629D73A5">
            <w:pPr>
              <w:spacing w:line="240" w:lineRule="auto"/>
              <w:ind w:firstLine="0" w:firstLineChars="0"/>
              <w:jc w:val="center"/>
              <w:rPr>
                <w:b/>
                <w:color w:val="auto"/>
                <w:sz w:val="21"/>
                <w:szCs w:val="28"/>
              </w:rPr>
            </w:pPr>
            <w:r>
              <w:rPr>
                <w:b/>
                <w:color w:val="auto"/>
                <w:sz w:val="21"/>
                <w:szCs w:val="28"/>
              </w:rPr>
              <w:t>污染物名称</w:t>
            </w:r>
          </w:p>
        </w:tc>
        <w:tc>
          <w:tcPr>
            <w:tcW w:w="3445" w:type="dxa"/>
            <w:gridSpan w:val="3"/>
            <w:vAlign w:val="center"/>
          </w:tcPr>
          <w:p w14:paraId="4D6A6C8A">
            <w:pPr>
              <w:spacing w:line="240" w:lineRule="auto"/>
              <w:ind w:firstLine="0" w:firstLineChars="0"/>
              <w:jc w:val="center"/>
              <w:rPr>
                <w:b/>
                <w:color w:val="auto"/>
                <w:sz w:val="21"/>
                <w:szCs w:val="28"/>
              </w:rPr>
            </w:pPr>
            <w:r>
              <w:rPr>
                <w:b/>
                <w:color w:val="auto"/>
                <w:sz w:val="21"/>
                <w:szCs w:val="28"/>
              </w:rPr>
              <w:t>有组织排放限值</w:t>
            </w:r>
          </w:p>
        </w:tc>
        <w:tc>
          <w:tcPr>
            <w:tcW w:w="2134" w:type="dxa"/>
            <w:gridSpan w:val="2"/>
            <w:vAlign w:val="center"/>
          </w:tcPr>
          <w:p w14:paraId="06D2BDAF">
            <w:pPr>
              <w:spacing w:line="240" w:lineRule="auto"/>
              <w:ind w:firstLine="0" w:firstLineChars="0"/>
              <w:jc w:val="center"/>
              <w:rPr>
                <w:b/>
                <w:color w:val="auto"/>
                <w:sz w:val="21"/>
                <w:szCs w:val="28"/>
              </w:rPr>
            </w:pPr>
            <w:r>
              <w:rPr>
                <w:b/>
                <w:color w:val="auto"/>
                <w:sz w:val="21"/>
                <w:szCs w:val="28"/>
              </w:rPr>
              <w:t>无组织排放监控浓度限值</w:t>
            </w:r>
          </w:p>
        </w:tc>
        <w:tc>
          <w:tcPr>
            <w:tcW w:w="2391" w:type="dxa"/>
            <w:vMerge w:val="restart"/>
            <w:vAlign w:val="center"/>
          </w:tcPr>
          <w:p w14:paraId="5DC383FE">
            <w:pPr>
              <w:spacing w:line="240" w:lineRule="auto"/>
              <w:ind w:firstLine="0" w:firstLineChars="0"/>
              <w:jc w:val="center"/>
              <w:rPr>
                <w:b/>
                <w:color w:val="auto"/>
                <w:sz w:val="21"/>
                <w:szCs w:val="28"/>
              </w:rPr>
            </w:pPr>
            <w:r>
              <w:rPr>
                <w:b/>
                <w:color w:val="auto"/>
                <w:sz w:val="21"/>
                <w:szCs w:val="28"/>
              </w:rPr>
              <w:t>标准来源</w:t>
            </w:r>
          </w:p>
        </w:tc>
      </w:tr>
      <w:tr w14:paraId="74AB62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7" w:type="dxa"/>
            <w:vMerge w:val="continue"/>
            <w:vAlign w:val="center"/>
          </w:tcPr>
          <w:p w14:paraId="3E96466E">
            <w:pPr>
              <w:spacing w:line="240" w:lineRule="auto"/>
              <w:ind w:firstLine="0" w:firstLineChars="0"/>
              <w:jc w:val="center"/>
              <w:rPr>
                <w:b/>
                <w:color w:val="auto"/>
                <w:sz w:val="21"/>
                <w:szCs w:val="28"/>
              </w:rPr>
            </w:pPr>
          </w:p>
        </w:tc>
        <w:tc>
          <w:tcPr>
            <w:tcW w:w="829" w:type="dxa"/>
            <w:vMerge w:val="continue"/>
            <w:vAlign w:val="center"/>
          </w:tcPr>
          <w:p w14:paraId="2618D0FD">
            <w:pPr>
              <w:spacing w:line="240" w:lineRule="auto"/>
              <w:ind w:firstLine="0" w:firstLineChars="0"/>
              <w:jc w:val="center"/>
              <w:rPr>
                <w:b/>
                <w:color w:val="auto"/>
                <w:sz w:val="21"/>
                <w:szCs w:val="28"/>
              </w:rPr>
            </w:pPr>
          </w:p>
        </w:tc>
        <w:tc>
          <w:tcPr>
            <w:tcW w:w="1238" w:type="dxa"/>
            <w:vAlign w:val="center"/>
          </w:tcPr>
          <w:p w14:paraId="21164A63">
            <w:pPr>
              <w:spacing w:line="240" w:lineRule="auto"/>
              <w:ind w:firstLine="0" w:firstLineChars="0"/>
              <w:jc w:val="center"/>
              <w:rPr>
                <w:b/>
                <w:color w:val="auto"/>
                <w:sz w:val="21"/>
                <w:szCs w:val="28"/>
              </w:rPr>
            </w:pPr>
            <w:r>
              <w:rPr>
                <w:b/>
                <w:color w:val="auto"/>
                <w:sz w:val="21"/>
                <w:szCs w:val="28"/>
              </w:rPr>
              <w:t>最高允许排放浓度（mg/m</w:t>
            </w:r>
            <w:r>
              <w:rPr>
                <w:b/>
                <w:color w:val="auto"/>
                <w:sz w:val="21"/>
                <w:szCs w:val="28"/>
                <w:vertAlign w:val="superscript"/>
              </w:rPr>
              <w:t>3</w:t>
            </w:r>
            <w:r>
              <w:rPr>
                <w:b/>
                <w:color w:val="auto"/>
                <w:sz w:val="21"/>
                <w:szCs w:val="28"/>
              </w:rPr>
              <w:t>）</w:t>
            </w:r>
          </w:p>
        </w:tc>
        <w:tc>
          <w:tcPr>
            <w:tcW w:w="1489" w:type="dxa"/>
            <w:vAlign w:val="center"/>
          </w:tcPr>
          <w:p w14:paraId="6F306E96">
            <w:pPr>
              <w:spacing w:line="240" w:lineRule="auto"/>
              <w:ind w:firstLine="0" w:firstLineChars="0"/>
              <w:jc w:val="center"/>
              <w:rPr>
                <w:b/>
                <w:color w:val="auto"/>
                <w:sz w:val="21"/>
                <w:szCs w:val="28"/>
              </w:rPr>
            </w:pPr>
            <w:r>
              <w:rPr>
                <w:b/>
                <w:color w:val="auto"/>
                <w:sz w:val="21"/>
                <w:szCs w:val="28"/>
              </w:rPr>
              <w:t>最高允许排放速率（kg/h）</w:t>
            </w:r>
          </w:p>
        </w:tc>
        <w:tc>
          <w:tcPr>
            <w:tcW w:w="718" w:type="dxa"/>
            <w:vAlign w:val="center"/>
          </w:tcPr>
          <w:p w14:paraId="300F5A4B">
            <w:pPr>
              <w:spacing w:line="240" w:lineRule="auto"/>
              <w:ind w:firstLine="0" w:firstLineChars="0"/>
              <w:jc w:val="center"/>
              <w:rPr>
                <w:b/>
                <w:color w:val="auto"/>
                <w:sz w:val="21"/>
                <w:szCs w:val="28"/>
              </w:rPr>
            </w:pPr>
            <w:r>
              <w:rPr>
                <w:b/>
                <w:color w:val="auto"/>
                <w:sz w:val="21"/>
                <w:szCs w:val="28"/>
              </w:rPr>
              <w:t>监控位置</w:t>
            </w:r>
          </w:p>
        </w:tc>
        <w:tc>
          <w:tcPr>
            <w:tcW w:w="1300" w:type="dxa"/>
            <w:vAlign w:val="center"/>
          </w:tcPr>
          <w:p w14:paraId="5807B501">
            <w:pPr>
              <w:spacing w:line="240" w:lineRule="auto"/>
              <w:ind w:firstLine="0" w:firstLineChars="0"/>
              <w:jc w:val="center"/>
              <w:rPr>
                <w:b/>
                <w:color w:val="auto"/>
                <w:sz w:val="21"/>
                <w:szCs w:val="28"/>
              </w:rPr>
            </w:pPr>
            <w:r>
              <w:rPr>
                <w:b/>
                <w:color w:val="auto"/>
                <w:sz w:val="21"/>
                <w:szCs w:val="28"/>
              </w:rPr>
              <w:t>厂界监控限值（mg/m</w:t>
            </w:r>
            <w:r>
              <w:rPr>
                <w:b/>
                <w:color w:val="auto"/>
                <w:sz w:val="21"/>
                <w:szCs w:val="28"/>
                <w:vertAlign w:val="superscript"/>
              </w:rPr>
              <w:t>3</w:t>
            </w:r>
            <w:r>
              <w:rPr>
                <w:b/>
                <w:color w:val="auto"/>
                <w:sz w:val="21"/>
                <w:szCs w:val="28"/>
              </w:rPr>
              <w:t>）</w:t>
            </w:r>
          </w:p>
        </w:tc>
        <w:tc>
          <w:tcPr>
            <w:tcW w:w="834" w:type="dxa"/>
            <w:vAlign w:val="center"/>
          </w:tcPr>
          <w:p w14:paraId="3AB7C553">
            <w:pPr>
              <w:spacing w:line="240" w:lineRule="auto"/>
              <w:ind w:firstLine="0" w:firstLineChars="0"/>
              <w:jc w:val="center"/>
              <w:rPr>
                <w:b/>
                <w:color w:val="auto"/>
                <w:sz w:val="21"/>
                <w:szCs w:val="28"/>
              </w:rPr>
            </w:pPr>
            <w:r>
              <w:rPr>
                <w:b/>
                <w:color w:val="auto"/>
                <w:sz w:val="21"/>
                <w:szCs w:val="28"/>
              </w:rPr>
              <w:t>监控位置</w:t>
            </w:r>
          </w:p>
        </w:tc>
        <w:tc>
          <w:tcPr>
            <w:tcW w:w="2391" w:type="dxa"/>
            <w:vMerge w:val="continue"/>
            <w:vAlign w:val="center"/>
          </w:tcPr>
          <w:p w14:paraId="3719D273">
            <w:pPr>
              <w:spacing w:line="240" w:lineRule="auto"/>
              <w:ind w:firstLine="0" w:firstLineChars="0"/>
              <w:jc w:val="center"/>
              <w:rPr>
                <w:b/>
                <w:color w:val="auto"/>
                <w:sz w:val="21"/>
                <w:szCs w:val="28"/>
              </w:rPr>
            </w:pPr>
          </w:p>
        </w:tc>
      </w:tr>
      <w:tr w14:paraId="6B3401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9" w:hRule="atLeast"/>
        </w:trPr>
        <w:tc>
          <w:tcPr>
            <w:tcW w:w="427" w:type="dxa"/>
            <w:shd w:val="clear" w:color="auto" w:fill="auto"/>
            <w:vAlign w:val="center"/>
          </w:tcPr>
          <w:p w14:paraId="6DF5DCC4">
            <w:pPr>
              <w:spacing w:line="240" w:lineRule="auto"/>
              <w:ind w:firstLine="0" w:firstLineChars="0"/>
              <w:jc w:val="center"/>
              <w:rPr>
                <w:color w:val="auto"/>
                <w:sz w:val="21"/>
                <w:szCs w:val="28"/>
              </w:rPr>
            </w:pPr>
            <w:r>
              <w:rPr>
                <w:color w:val="auto"/>
                <w:sz w:val="21"/>
                <w:szCs w:val="28"/>
              </w:rPr>
              <w:t>1</w:t>
            </w:r>
          </w:p>
        </w:tc>
        <w:tc>
          <w:tcPr>
            <w:tcW w:w="829" w:type="dxa"/>
            <w:shd w:val="clear" w:color="auto" w:fill="auto"/>
            <w:vAlign w:val="center"/>
          </w:tcPr>
          <w:p w14:paraId="0C233B86">
            <w:pPr>
              <w:spacing w:line="240" w:lineRule="auto"/>
              <w:ind w:firstLine="0" w:firstLineChars="0"/>
              <w:jc w:val="center"/>
              <w:rPr>
                <w:color w:val="auto"/>
                <w:sz w:val="21"/>
                <w:szCs w:val="28"/>
              </w:rPr>
            </w:pPr>
            <w:r>
              <w:rPr>
                <w:color w:val="auto"/>
                <w:sz w:val="21"/>
                <w:szCs w:val="28"/>
              </w:rPr>
              <w:t>颗粒物</w:t>
            </w:r>
          </w:p>
        </w:tc>
        <w:tc>
          <w:tcPr>
            <w:tcW w:w="1238" w:type="dxa"/>
            <w:shd w:val="clear" w:color="auto" w:fill="auto"/>
            <w:vAlign w:val="center"/>
          </w:tcPr>
          <w:p w14:paraId="3EAF41F2">
            <w:pPr>
              <w:spacing w:line="240" w:lineRule="auto"/>
              <w:ind w:firstLine="0" w:firstLineChars="0"/>
              <w:jc w:val="center"/>
              <w:rPr>
                <w:color w:val="auto"/>
                <w:sz w:val="21"/>
                <w:szCs w:val="28"/>
              </w:rPr>
            </w:pPr>
            <w:r>
              <w:rPr>
                <w:color w:val="auto"/>
                <w:sz w:val="21"/>
                <w:szCs w:val="28"/>
              </w:rPr>
              <w:t>20</w:t>
            </w:r>
          </w:p>
        </w:tc>
        <w:tc>
          <w:tcPr>
            <w:tcW w:w="1489" w:type="dxa"/>
            <w:vAlign w:val="center"/>
          </w:tcPr>
          <w:p w14:paraId="6481B894">
            <w:pPr>
              <w:spacing w:line="240" w:lineRule="auto"/>
              <w:ind w:firstLine="0" w:firstLineChars="0"/>
              <w:jc w:val="center"/>
              <w:rPr>
                <w:color w:val="auto"/>
                <w:sz w:val="21"/>
                <w:szCs w:val="28"/>
              </w:rPr>
            </w:pPr>
            <w:r>
              <w:rPr>
                <w:rFonts w:hint="eastAsia"/>
                <w:color w:val="auto"/>
                <w:sz w:val="21"/>
                <w:szCs w:val="28"/>
              </w:rPr>
              <w:t>/</w:t>
            </w:r>
          </w:p>
        </w:tc>
        <w:tc>
          <w:tcPr>
            <w:tcW w:w="718" w:type="dxa"/>
            <w:vMerge w:val="restart"/>
            <w:vAlign w:val="center"/>
          </w:tcPr>
          <w:p w14:paraId="5F92F389">
            <w:pPr>
              <w:spacing w:line="240" w:lineRule="auto"/>
              <w:ind w:firstLine="0" w:firstLineChars="0"/>
              <w:jc w:val="center"/>
              <w:rPr>
                <w:color w:val="auto"/>
                <w:sz w:val="21"/>
                <w:szCs w:val="28"/>
              </w:rPr>
            </w:pPr>
            <w:r>
              <w:rPr>
                <w:color w:val="auto"/>
                <w:sz w:val="21"/>
                <w:szCs w:val="28"/>
              </w:rPr>
              <w:t>车间或生产设施排气筒</w:t>
            </w:r>
          </w:p>
        </w:tc>
        <w:tc>
          <w:tcPr>
            <w:tcW w:w="1300" w:type="dxa"/>
            <w:shd w:val="clear" w:color="auto" w:fill="auto"/>
            <w:vAlign w:val="center"/>
          </w:tcPr>
          <w:p w14:paraId="2395AC95">
            <w:pPr>
              <w:spacing w:line="240" w:lineRule="auto"/>
              <w:ind w:firstLine="0" w:firstLineChars="0"/>
              <w:jc w:val="center"/>
              <w:rPr>
                <w:color w:val="auto"/>
                <w:sz w:val="21"/>
                <w:szCs w:val="28"/>
              </w:rPr>
            </w:pPr>
            <w:r>
              <w:rPr>
                <w:rFonts w:hint="eastAsia"/>
                <w:color w:val="auto"/>
                <w:sz w:val="21"/>
                <w:szCs w:val="28"/>
              </w:rPr>
              <w:t>/</w:t>
            </w:r>
          </w:p>
        </w:tc>
        <w:tc>
          <w:tcPr>
            <w:tcW w:w="834" w:type="dxa"/>
            <w:shd w:val="clear" w:color="auto" w:fill="auto"/>
            <w:vAlign w:val="center"/>
          </w:tcPr>
          <w:p w14:paraId="400A937D">
            <w:pPr>
              <w:spacing w:line="240" w:lineRule="auto"/>
              <w:ind w:firstLine="0" w:firstLineChars="0"/>
              <w:jc w:val="center"/>
              <w:rPr>
                <w:color w:val="auto"/>
                <w:sz w:val="21"/>
                <w:szCs w:val="28"/>
              </w:rPr>
            </w:pPr>
            <w:r>
              <w:rPr>
                <w:rFonts w:hint="eastAsia"/>
                <w:color w:val="auto"/>
                <w:sz w:val="21"/>
                <w:szCs w:val="28"/>
              </w:rPr>
              <w:t>/</w:t>
            </w:r>
          </w:p>
        </w:tc>
        <w:tc>
          <w:tcPr>
            <w:tcW w:w="2391" w:type="dxa"/>
            <w:vMerge w:val="restart"/>
            <w:shd w:val="clear" w:color="auto" w:fill="auto"/>
            <w:vAlign w:val="center"/>
          </w:tcPr>
          <w:p w14:paraId="70C90790">
            <w:pPr>
              <w:spacing w:line="240" w:lineRule="auto"/>
              <w:ind w:firstLine="0" w:firstLineChars="0"/>
              <w:jc w:val="center"/>
              <w:rPr>
                <w:color w:val="auto"/>
                <w:sz w:val="21"/>
                <w:szCs w:val="28"/>
              </w:rPr>
            </w:pPr>
            <w:r>
              <w:rPr>
                <w:color w:val="auto"/>
                <w:sz w:val="21"/>
                <w:szCs w:val="28"/>
              </w:rPr>
              <w:t>江苏省地方标准《工业炉窑大气污染物排放标准》（DB32/3728-2020）表1中标准限值</w:t>
            </w:r>
          </w:p>
        </w:tc>
      </w:tr>
      <w:tr w14:paraId="6F3993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9" w:hRule="atLeast"/>
        </w:trPr>
        <w:tc>
          <w:tcPr>
            <w:tcW w:w="427" w:type="dxa"/>
            <w:shd w:val="clear" w:color="auto" w:fill="auto"/>
            <w:vAlign w:val="center"/>
          </w:tcPr>
          <w:p w14:paraId="452650B0">
            <w:pPr>
              <w:spacing w:line="240" w:lineRule="auto"/>
              <w:ind w:firstLine="0" w:firstLineChars="0"/>
              <w:jc w:val="center"/>
              <w:rPr>
                <w:color w:val="auto"/>
                <w:sz w:val="21"/>
                <w:szCs w:val="28"/>
              </w:rPr>
            </w:pPr>
            <w:r>
              <w:rPr>
                <w:rFonts w:hint="eastAsia"/>
                <w:color w:val="auto"/>
                <w:sz w:val="21"/>
                <w:szCs w:val="28"/>
              </w:rPr>
              <w:t>2</w:t>
            </w:r>
          </w:p>
        </w:tc>
        <w:tc>
          <w:tcPr>
            <w:tcW w:w="829" w:type="dxa"/>
            <w:shd w:val="clear" w:color="auto" w:fill="auto"/>
            <w:vAlign w:val="center"/>
          </w:tcPr>
          <w:p w14:paraId="69F25769">
            <w:pPr>
              <w:spacing w:line="240" w:lineRule="auto"/>
              <w:ind w:firstLine="0" w:firstLineChars="0"/>
              <w:jc w:val="center"/>
              <w:rPr>
                <w:color w:val="auto"/>
                <w:sz w:val="21"/>
                <w:szCs w:val="28"/>
              </w:rPr>
            </w:pPr>
            <w:r>
              <w:rPr>
                <w:color w:val="auto"/>
                <w:sz w:val="21"/>
                <w:szCs w:val="28"/>
              </w:rPr>
              <w:t>SO</w:t>
            </w:r>
            <w:r>
              <w:rPr>
                <w:color w:val="auto"/>
                <w:sz w:val="21"/>
                <w:szCs w:val="28"/>
                <w:vertAlign w:val="subscript"/>
              </w:rPr>
              <w:t>2</w:t>
            </w:r>
          </w:p>
        </w:tc>
        <w:tc>
          <w:tcPr>
            <w:tcW w:w="1238" w:type="dxa"/>
            <w:shd w:val="clear" w:color="auto" w:fill="auto"/>
            <w:vAlign w:val="center"/>
          </w:tcPr>
          <w:p w14:paraId="1110516E">
            <w:pPr>
              <w:spacing w:line="240" w:lineRule="auto"/>
              <w:ind w:firstLine="0" w:firstLineChars="0"/>
              <w:jc w:val="center"/>
              <w:rPr>
                <w:color w:val="auto"/>
                <w:sz w:val="21"/>
                <w:szCs w:val="28"/>
              </w:rPr>
            </w:pPr>
            <w:r>
              <w:rPr>
                <w:color w:val="auto"/>
                <w:sz w:val="21"/>
                <w:szCs w:val="28"/>
              </w:rPr>
              <w:t>80</w:t>
            </w:r>
          </w:p>
        </w:tc>
        <w:tc>
          <w:tcPr>
            <w:tcW w:w="1489" w:type="dxa"/>
            <w:vAlign w:val="center"/>
          </w:tcPr>
          <w:p w14:paraId="3A10AD39">
            <w:pPr>
              <w:spacing w:line="240" w:lineRule="auto"/>
              <w:ind w:firstLine="0" w:firstLineChars="0"/>
              <w:jc w:val="center"/>
              <w:rPr>
                <w:color w:val="auto"/>
                <w:sz w:val="21"/>
                <w:szCs w:val="28"/>
              </w:rPr>
            </w:pPr>
            <w:r>
              <w:rPr>
                <w:rFonts w:hint="eastAsia"/>
                <w:color w:val="auto"/>
                <w:sz w:val="21"/>
                <w:szCs w:val="28"/>
              </w:rPr>
              <w:t>/</w:t>
            </w:r>
          </w:p>
        </w:tc>
        <w:tc>
          <w:tcPr>
            <w:tcW w:w="718" w:type="dxa"/>
            <w:vMerge w:val="continue"/>
            <w:vAlign w:val="center"/>
          </w:tcPr>
          <w:p w14:paraId="2CD22964">
            <w:pPr>
              <w:spacing w:line="240" w:lineRule="auto"/>
              <w:ind w:firstLine="0" w:firstLineChars="0"/>
              <w:jc w:val="center"/>
              <w:rPr>
                <w:color w:val="auto"/>
                <w:sz w:val="21"/>
                <w:szCs w:val="28"/>
              </w:rPr>
            </w:pPr>
          </w:p>
        </w:tc>
        <w:tc>
          <w:tcPr>
            <w:tcW w:w="1300" w:type="dxa"/>
            <w:shd w:val="clear" w:color="auto" w:fill="auto"/>
            <w:vAlign w:val="center"/>
          </w:tcPr>
          <w:p w14:paraId="158AB853">
            <w:pPr>
              <w:spacing w:line="240" w:lineRule="auto"/>
              <w:ind w:firstLine="0" w:firstLineChars="0"/>
              <w:jc w:val="center"/>
              <w:rPr>
                <w:color w:val="auto"/>
                <w:sz w:val="21"/>
                <w:szCs w:val="28"/>
              </w:rPr>
            </w:pPr>
            <w:r>
              <w:rPr>
                <w:rFonts w:hint="eastAsia"/>
                <w:color w:val="auto"/>
                <w:sz w:val="21"/>
                <w:szCs w:val="28"/>
              </w:rPr>
              <w:t>/</w:t>
            </w:r>
          </w:p>
        </w:tc>
        <w:tc>
          <w:tcPr>
            <w:tcW w:w="834" w:type="dxa"/>
            <w:shd w:val="clear" w:color="auto" w:fill="auto"/>
            <w:vAlign w:val="center"/>
          </w:tcPr>
          <w:p w14:paraId="05CDF736">
            <w:pPr>
              <w:spacing w:line="240" w:lineRule="auto"/>
              <w:ind w:firstLine="0" w:firstLineChars="0"/>
              <w:jc w:val="center"/>
              <w:rPr>
                <w:color w:val="auto"/>
                <w:sz w:val="21"/>
                <w:szCs w:val="28"/>
              </w:rPr>
            </w:pPr>
            <w:r>
              <w:rPr>
                <w:rFonts w:hint="eastAsia"/>
                <w:color w:val="auto"/>
                <w:sz w:val="21"/>
                <w:szCs w:val="28"/>
              </w:rPr>
              <w:t>/</w:t>
            </w:r>
          </w:p>
        </w:tc>
        <w:tc>
          <w:tcPr>
            <w:tcW w:w="2391" w:type="dxa"/>
            <w:vMerge w:val="continue"/>
            <w:vAlign w:val="center"/>
          </w:tcPr>
          <w:p w14:paraId="499188CA">
            <w:pPr>
              <w:spacing w:line="240" w:lineRule="auto"/>
              <w:ind w:firstLine="0" w:firstLineChars="0"/>
              <w:jc w:val="center"/>
              <w:rPr>
                <w:color w:val="auto"/>
                <w:sz w:val="21"/>
                <w:szCs w:val="28"/>
              </w:rPr>
            </w:pPr>
          </w:p>
        </w:tc>
      </w:tr>
      <w:tr w14:paraId="402443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9" w:hRule="atLeast"/>
        </w:trPr>
        <w:tc>
          <w:tcPr>
            <w:tcW w:w="427" w:type="dxa"/>
            <w:shd w:val="clear" w:color="auto" w:fill="auto"/>
            <w:vAlign w:val="center"/>
          </w:tcPr>
          <w:p w14:paraId="0EE571C9">
            <w:pPr>
              <w:spacing w:line="240" w:lineRule="auto"/>
              <w:ind w:firstLine="0" w:firstLineChars="0"/>
              <w:jc w:val="center"/>
              <w:rPr>
                <w:color w:val="auto"/>
                <w:sz w:val="21"/>
                <w:szCs w:val="28"/>
              </w:rPr>
            </w:pPr>
            <w:r>
              <w:rPr>
                <w:rFonts w:hint="eastAsia"/>
                <w:color w:val="auto"/>
                <w:sz w:val="21"/>
                <w:szCs w:val="28"/>
              </w:rPr>
              <w:t>3</w:t>
            </w:r>
          </w:p>
        </w:tc>
        <w:tc>
          <w:tcPr>
            <w:tcW w:w="829" w:type="dxa"/>
            <w:shd w:val="clear" w:color="auto" w:fill="auto"/>
            <w:vAlign w:val="center"/>
          </w:tcPr>
          <w:p w14:paraId="134AE172">
            <w:pPr>
              <w:spacing w:line="240" w:lineRule="auto"/>
              <w:ind w:firstLine="0" w:firstLineChars="0"/>
              <w:jc w:val="center"/>
              <w:rPr>
                <w:color w:val="auto"/>
                <w:sz w:val="21"/>
                <w:szCs w:val="28"/>
              </w:rPr>
            </w:pPr>
            <w:r>
              <w:rPr>
                <w:color w:val="auto"/>
                <w:sz w:val="21"/>
                <w:szCs w:val="28"/>
              </w:rPr>
              <w:t>NOx</w:t>
            </w:r>
          </w:p>
        </w:tc>
        <w:tc>
          <w:tcPr>
            <w:tcW w:w="1238" w:type="dxa"/>
            <w:shd w:val="clear" w:color="auto" w:fill="auto"/>
            <w:vAlign w:val="center"/>
          </w:tcPr>
          <w:p w14:paraId="3AB79972">
            <w:pPr>
              <w:spacing w:line="240" w:lineRule="auto"/>
              <w:ind w:firstLine="0" w:firstLineChars="0"/>
              <w:jc w:val="center"/>
              <w:rPr>
                <w:color w:val="auto"/>
                <w:sz w:val="21"/>
                <w:szCs w:val="28"/>
              </w:rPr>
            </w:pPr>
            <w:r>
              <w:rPr>
                <w:color w:val="auto"/>
                <w:sz w:val="21"/>
                <w:szCs w:val="28"/>
              </w:rPr>
              <w:t>180</w:t>
            </w:r>
          </w:p>
        </w:tc>
        <w:tc>
          <w:tcPr>
            <w:tcW w:w="1489" w:type="dxa"/>
            <w:vAlign w:val="center"/>
          </w:tcPr>
          <w:p w14:paraId="30868BBF">
            <w:pPr>
              <w:spacing w:line="240" w:lineRule="auto"/>
              <w:ind w:firstLine="0" w:firstLineChars="0"/>
              <w:jc w:val="center"/>
              <w:rPr>
                <w:color w:val="auto"/>
                <w:sz w:val="21"/>
                <w:szCs w:val="28"/>
              </w:rPr>
            </w:pPr>
            <w:r>
              <w:rPr>
                <w:rFonts w:hint="eastAsia"/>
                <w:color w:val="auto"/>
                <w:sz w:val="21"/>
                <w:szCs w:val="28"/>
              </w:rPr>
              <w:t>/</w:t>
            </w:r>
          </w:p>
        </w:tc>
        <w:tc>
          <w:tcPr>
            <w:tcW w:w="718" w:type="dxa"/>
            <w:vMerge w:val="continue"/>
            <w:vAlign w:val="center"/>
          </w:tcPr>
          <w:p w14:paraId="34ABF65B">
            <w:pPr>
              <w:spacing w:line="240" w:lineRule="auto"/>
              <w:ind w:firstLine="0" w:firstLineChars="0"/>
              <w:jc w:val="center"/>
              <w:rPr>
                <w:color w:val="auto"/>
                <w:sz w:val="21"/>
                <w:szCs w:val="28"/>
              </w:rPr>
            </w:pPr>
          </w:p>
        </w:tc>
        <w:tc>
          <w:tcPr>
            <w:tcW w:w="1300" w:type="dxa"/>
            <w:shd w:val="clear" w:color="auto" w:fill="auto"/>
            <w:vAlign w:val="center"/>
          </w:tcPr>
          <w:p w14:paraId="4416BDFA">
            <w:pPr>
              <w:spacing w:line="240" w:lineRule="auto"/>
              <w:ind w:firstLine="0" w:firstLineChars="0"/>
              <w:jc w:val="center"/>
              <w:rPr>
                <w:color w:val="auto"/>
                <w:sz w:val="21"/>
                <w:szCs w:val="28"/>
              </w:rPr>
            </w:pPr>
            <w:r>
              <w:rPr>
                <w:rFonts w:hint="eastAsia"/>
                <w:color w:val="auto"/>
                <w:sz w:val="21"/>
                <w:szCs w:val="28"/>
              </w:rPr>
              <w:t>/</w:t>
            </w:r>
          </w:p>
        </w:tc>
        <w:tc>
          <w:tcPr>
            <w:tcW w:w="834" w:type="dxa"/>
            <w:shd w:val="clear" w:color="auto" w:fill="auto"/>
            <w:vAlign w:val="center"/>
          </w:tcPr>
          <w:p w14:paraId="3782ED26">
            <w:pPr>
              <w:spacing w:line="240" w:lineRule="auto"/>
              <w:ind w:firstLine="0" w:firstLineChars="0"/>
              <w:jc w:val="center"/>
              <w:rPr>
                <w:color w:val="auto"/>
                <w:sz w:val="21"/>
                <w:szCs w:val="28"/>
              </w:rPr>
            </w:pPr>
            <w:r>
              <w:rPr>
                <w:rFonts w:hint="eastAsia"/>
                <w:color w:val="auto"/>
                <w:sz w:val="21"/>
                <w:szCs w:val="28"/>
              </w:rPr>
              <w:t>/</w:t>
            </w:r>
          </w:p>
        </w:tc>
        <w:tc>
          <w:tcPr>
            <w:tcW w:w="2391" w:type="dxa"/>
            <w:vMerge w:val="continue"/>
            <w:vAlign w:val="center"/>
          </w:tcPr>
          <w:p w14:paraId="34D08FAA">
            <w:pPr>
              <w:spacing w:line="240" w:lineRule="auto"/>
              <w:ind w:firstLine="0" w:firstLineChars="0"/>
              <w:jc w:val="center"/>
              <w:rPr>
                <w:color w:val="auto"/>
                <w:sz w:val="21"/>
                <w:szCs w:val="28"/>
              </w:rPr>
            </w:pPr>
          </w:p>
        </w:tc>
      </w:tr>
      <w:tr w14:paraId="674E1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7" w:type="dxa"/>
            <w:shd w:val="clear" w:color="auto" w:fill="auto"/>
            <w:vAlign w:val="center"/>
          </w:tcPr>
          <w:p w14:paraId="4A4AD20A">
            <w:pPr>
              <w:spacing w:line="240" w:lineRule="auto"/>
              <w:ind w:firstLine="0" w:firstLineChars="0"/>
              <w:jc w:val="center"/>
              <w:rPr>
                <w:color w:val="auto"/>
                <w:sz w:val="21"/>
                <w:szCs w:val="28"/>
              </w:rPr>
            </w:pPr>
            <w:r>
              <w:rPr>
                <w:rFonts w:hint="eastAsia"/>
                <w:color w:val="auto"/>
                <w:sz w:val="21"/>
                <w:szCs w:val="28"/>
              </w:rPr>
              <w:t>4</w:t>
            </w:r>
          </w:p>
        </w:tc>
        <w:tc>
          <w:tcPr>
            <w:tcW w:w="829" w:type="dxa"/>
            <w:shd w:val="clear" w:color="auto" w:fill="auto"/>
            <w:vAlign w:val="center"/>
          </w:tcPr>
          <w:p w14:paraId="3368A20D">
            <w:pPr>
              <w:spacing w:line="240" w:lineRule="auto"/>
              <w:ind w:firstLine="0" w:firstLineChars="0"/>
              <w:jc w:val="center"/>
              <w:rPr>
                <w:color w:val="auto"/>
                <w:sz w:val="21"/>
                <w:szCs w:val="28"/>
              </w:rPr>
            </w:pPr>
            <w:r>
              <w:rPr>
                <w:color w:val="auto"/>
                <w:sz w:val="21"/>
                <w:szCs w:val="28"/>
              </w:rPr>
              <w:t>烟气黑度</w:t>
            </w:r>
          </w:p>
        </w:tc>
        <w:tc>
          <w:tcPr>
            <w:tcW w:w="1238" w:type="dxa"/>
            <w:shd w:val="clear" w:color="auto" w:fill="auto"/>
            <w:vAlign w:val="center"/>
          </w:tcPr>
          <w:p w14:paraId="501D8D16">
            <w:pPr>
              <w:spacing w:line="240" w:lineRule="auto"/>
              <w:ind w:firstLine="0" w:firstLineChars="0"/>
              <w:jc w:val="center"/>
              <w:rPr>
                <w:color w:val="auto"/>
                <w:sz w:val="21"/>
                <w:szCs w:val="28"/>
              </w:rPr>
            </w:pPr>
            <w:r>
              <w:rPr>
                <w:color w:val="auto"/>
                <w:sz w:val="21"/>
                <w:szCs w:val="28"/>
              </w:rPr>
              <w:t>林格曼黑度1级</w:t>
            </w:r>
          </w:p>
        </w:tc>
        <w:tc>
          <w:tcPr>
            <w:tcW w:w="1489" w:type="dxa"/>
            <w:vAlign w:val="center"/>
          </w:tcPr>
          <w:p w14:paraId="18BA5FF5">
            <w:pPr>
              <w:spacing w:line="240" w:lineRule="auto"/>
              <w:ind w:firstLine="0" w:firstLineChars="0"/>
              <w:jc w:val="center"/>
              <w:rPr>
                <w:color w:val="auto"/>
                <w:sz w:val="21"/>
                <w:szCs w:val="28"/>
              </w:rPr>
            </w:pPr>
            <w:r>
              <w:rPr>
                <w:rFonts w:hint="eastAsia"/>
                <w:color w:val="auto"/>
                <w:sz w:val="21"/>
                <w:szCs w:val="28"/>
              </w:rPr>
              <w:t>/</w:t>
            </w:r>
          </w:p>
        </w:tc>
        <w:tc>
          <w:tcPr>
            <w:tcW w:w="718" w:type="dxa"/>
            <w:vMerge w:val="continue"/>
            <w:vAlign w:val="center"/>
          </w:tcPr>
          <w:p w14:paraId="4100011C">
            <w:pPr>
              <w:spacing w:line="240" w:lineRule="auto"/>
              <w:ind w:firstLine="0" w:firstLineChars="0"/>
              <w:jc w:val="center"/>
              <w:rPr>
                <w:color w:val="auto"/>
                <w:sz w:val="21"/>
                <w:szCs w:val="28"/>
              </w:rPr>
            </w:pPr>
          </w:p>
        </w:tc>
        <w:tc>
          <w:tcPr>
            <w:tcW w:w="1300" w:type="dxa"/>
            <w:shd w:val="clear" w:color="auto" w:fill="auto"/>
            <w:vAlign w:val="center"/>
          </w:tcPr>
          <w:p w14:paraId="38377779">
            <w:pPr>
              <w:spacing w:line="240" w:lineRule="auto"/>
              <w:ind w:firstLine="0" w:firstLineChars="0"/>
              <w:jc w:val="center"/>
              <w:rPr>
                <w:color w:val="auto"/>
                <w:sz w:val="21"/>
                <w:szCs w:val="28"/>
              </w:rPr>
            </w:pPr>
            <w:r>
              <w:rPr>
                <w:rFonts w:hint="eastAsia"/>
                <w:color w:val="auto"/>
                <w:sz w:val="21"/>
                <w:szCs w:val="28"/>
              </w:rPr>
              <w:t>/</w:t>
            </w:r>
          </w:p>
        </w:tc>
        <w:tc>
          <w:tcPr>
            <w:tcW w:w="834" w:type="dxa"/>
            <w:shd w:val="clear" w:color="auto" w:fill="auto"/>
            <w:vAlign w:val="center"/>
          </w:tcPr>
          <w:p w14:paraId="42EF30CD">
            <w:pPr>
              <w:spacing w:line="240" w:lineRule="auto"/>
              <w:ind w:firstLine="0" w:firstLineChars="0"/>
              <w:jc w:val="center"/>
              <w:rPr>
                <w:color w:val="auto"/>
                <w:sz w:val="21"/>
                <w:szCs w:val="28"/>
              </w:rPr>
            </w:pPr>
            <w:r>
              <w:rPr>
                <w:rFonts w:hint="eastAsia"/>
                <w:color w:val="auto"/>
                <w:sz w:val="21"/>
                <w:szCs w:val="28"/>
              </w:rPr>
              <w:t>/</w:t>
            </w:r>
          </w:p>
        </w:tc>
        <w:tc>
          <w:tcPr>
            <w:tcW w:w="2391" w:type="dxa"/>
            <w:vMerge w:val="continue"/>
            <w:vAlign w:val="center"/>
          </w:tcPr>
          <w:p w14:paraId="6D300C20">
            <w:pPr>
              <w:spacing w:line="240" w:lineRule="auto"/>
              <w:ind w:firstLine="0" w:firstLineChars="0"/>
              <w:jc w:val="center"/>
              <w:rPr>
                <w:color w:val="auto"/>
                <w:sz w:val="21"/>
                <w:szCs w:val="28"/>
              </w:rPr>
            </w:pPr>
          </w:p>
        </w:tc>
      </w:tr>
      <w:tr w14:paraId="6EA99F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9" w:hRule="atLeast"/>
        </w:trPr>
        <w:tc>
          <w:tcPr>
            <w:tcW w:w="427" w:type="dxa"/>
            <w:shd w:val="clear" w:color="auto" w:fill="auto"/>
            <w:vAlign w:val="center"/>
          </w:tcPr>
          <w:p w14:paraId="39F39D70">
            <w:pPr>
              <w:spacing w:line="240" w:lineRule="auto"/>
              <w:ind w:firstLine="0" w:firstLineChars="0"/>
              <w:jc w:val="center"/>
              <w:rPr>
                <w:color w:val="auto"/>
                <w:sz w:val="21"/>
                <w:szCs w:val="28"/>
              </w:rPr>
            </w:pPr>
            <w:r>
              <w:rPr>
                <w:rFonts w:hint="eastAsia"/>
                <w:color w:val="auto"/>
                <w:sz w:val="21"/>
                <w:szCs w:val="28"/>
              </w:rPr>
              <w:t>5</w:t>
            </w:r>
          </w:p>
        </w:tc>
        <w:tc>
          <w:tcPr>
            <w:tcW w:w="829" w:type="dxa"/>
            <w:vAlign w:val="center"/>
          </w:tcPr>
          <w:p w14:paraId="51EBB198">
            <w:pPr>
              <w:spacing w:line="240" w:lineRule="auto"/>
              <w:ind w:firstLine="0" w:firstLineChars="0"/>
              <w:jc w:val="center"/>
              <w:rPr>
                <w:color w:val="auto"/>
                <w:sz w:val="21"/>
                <w:szCs w:val="28"/>
              </w:rPr>
            </w:pPr>
            <w:r>
              <w:rPr>
                <w:color w:val="auto"/>
                <w:sz w:val="21"/>
                <w:szCs w:val="28"/>
              </w:rPr>
              <w:t>颗粒物</w:t>
            </w:r>
          </w:p>
        </w:tc>
        <w:tc>
          <w:tcPr>
            <w:tcW w:w="1238" w:type="dxa"/>
            <w:vAlign w:val="center"/>
          </w:tcPr>
          <w:p w14:paraId="5A09013D">
            <w:pPr>
              <w:spacing w:line="240" w:lineRule="auto"/>
              <w:ind w:firstLine="0" w:firstLineChars="0"/>
              <w:jc w:val="center"/>
              <w:rPr>
                <w:color w:val="auto"/>
                <w:sz w:val="21"/>
                <w:szCs w:val="28"/>
              </w:rPr>
            </w:pPr>
            <w:r>
              <w:rPr>
                <w:color w:val="auto"/>
                <w:sz w:val="21"/>
                <w:szCs w:val="28"/>
              </w:rPr>
              <w:t>20</w:t>
            </w:r>
          </w:p>
        </w:tc>
        <w:tc>
          <w:tcPr>
            <w:tcW w:w="1489" w:type="dxa"/>
            <w:vAlign w:val="center"/>
          </w:tcPr>
          <w:p w14:paraId="26816604">
            <w:pPr>
              <w:spacing w:line="240" w:lineRule="auto"/>
              <w:ind w:firstLine="0" w:firstLineChars="0"/>
              <w:jc w:val="center"/>
              <w:rPr>
                <w:color w:val="auto"/>
                <w:sz w:val="21"/>
                <w:szCs w:val="28"/>
              </w:rPr>
            </w:pPr>
            <w:r>
              <w:rPr>
                <w:color w:val="auto"/>
                <w:sz w:val="21"/>
                <w:szCs w:val="28"/>
              </w:rPr>
              <w:t>1</w:t>
            </w:r>
          </w:p>
        </w:tc>
        <w:tc>
          <w:tcPr>
            <w:tcW w:w="718" w:type="dxa"/>
            <w:vMerge w:val="restart"/>
            <w:vAlign w:val="center"/>
          </w:tcPr>
          <w:p w14:paraId="4D336DA9">
            <w:pPr>
              <w:spacing w:line="240" w:lineRule="auto"/>
              <w:ind w:firstLine="0" w:firstLineChars="0"/>
              <w:jc w:val="center"/>
              <w:rPr>
                <w:color w:val="auto"/>
                <w:sz w:val="21"/>
                <w:szCs w:val="28"/>
              </w:rPr>
            </w:pPr>
            <w:r>
              <w:rPr>
                <w:color w:val="auto"/>
                <w:sz w:val="21"/>
                <w:szCs w:val="28"/>
              </w:rPr>
              <w:t>车间排气筒出口或生产设施排气筒出口</w:t>
            </w:r>
          </w:p>
        </w:tc>
        <w:tc>
          <w:tcPr>
            <w:tcW w:w="1300" w:type="dxa"/>
            <w:vAlign w:val="center"/>
          </w:tcPr>
          <w:p w14:paraId="4902CDCD">
            <w:pPr>
              <w:spacing w:line="240" w:lineRule="auto"/>
              <w:ind w:firstLine="0" w:firstLineChars="0"/>
              <w:jc w:val="center"/>
              <w:rPr>
                <w:color w:val="auto"/>
                <w:sz w:val="21"/>
                <w:szCs w:val="28"/>
              </w:rPr>
            </w:pPr>
            <w:r>
              <w:rPr>
                <w:color w:val="auto"/>
                <w:sz w:val="21"/>
                <w:szCs w:val="28"/>
              </w:rPr>
              <w:t>0.5</w:t>
            </w:r>
          </w:p>
        </w:tc>
        <w:tc>
          <w:tcPr>
            <w:tcW w:w="834" w:type="dxa"/>
            <w:vMerge w:val="restart"/>
            <w:vAlign w:val="center"/>
          </w:tcPr>
          <w:p w14:paraId="0B9E1069">
            <w:pPr>
              <w:spacing w:line="240" w:lineRule="auto"/>
              <w:ind w:firstLine="0" w:firstLineChars="0"/>
              <w:jc w:val="center"/>
              <w:rPr>
                <w:color w:val="auto"/>
                <w:sz w:val="21"/>
                <w:szCs w:val="28"/>
              </w:rPr>
            </w:pPr>
            <w:r>
              <w:rPr>
                <w:color w:val="auto"/>
                <w:sz w:val="21"/>
                <w:szCs w:val="28"/>
              </w:rPr>
              <w:t>边界外浓度最高点</w:t>
            </w:r>
          </w:p>
        </w:tc>
        <w:tc>
          <w:tcPr>
            <w:tcW w:w="2391" w:type="dxa"/>
            <w:vAlign w:val="center"/>
          </w:tcPr>
          <w:p w14:paraId="49E844F1">
            <w:pPr>
              <w:spacing w:line="240" w:lineRule="auto"/>
              <w:ind w:firstLine="0" w:firstLineChars="0"/>
              <w:jc w:val="center"/>
              <w:rPr>
                <w:color w:val="auto"/>
                <w:sz w:val="21"/>
                <w:szCs w:val="28"/>
              </w:rPr>
            </w:pPr>
            <w:r>
              <w:rPr>
                <w:color w:val="auto"/>
                <w:sz w:val="21"/>
                <w:szCs w:val="28"/>
              </w:rPr>
              <w:t>江苏省地方标准《大气污染物综合排放标准》（DB32/4041-2021）表1、3中标准限值</w:t>
            </w:r>
          </w:p>
        </w:tc>
      </w:tr>
      <w:tr w14:paraId="6B03BF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7" w:type="dxa"/>
            <w:shd w:val="clear" w:color="auto" w:fill="auto"/>
            <w:vAlign w:val="center"/>
          </w:tcPr>
          <w:p w14:paraId="7C4F41F3">
            <w:pPr>
              <w:spacing w:line="240" w:lineRule="auto"/>
              <w:ind w:firstLine="0" w:firstLineChars="0"/>
              <w:jc w:val="center"/>
              <w:rPr>
                <w:color w:val="auto"/>
                <w:sz w:val="21"/>
                <w:szCs w:val="28"/>
              </w:rPr>
            </w:pPr>
            <w:r>
              <w:rPr>
                <w:rFonts w:hint="eastAsia"/>
                <w:color w:val="auto"/>
                <w:sz w:val="21"/>
                <w:szCs w:val="28"/>
              </w:rPr>
              <w:t>6</w:t>
            </w:r>
          </w:p>
        </w:tc>
        <w:tc>
          <w:tcPr>
            <w:tcW w:w="829" w:type="dxa"/>
            <w:vAlign w:val="center"/>
          </w:tcPr>
          <w:p w14:paraId="07A1F01B">
            <w:pPr>
              <w:spacing w:line="240" w:lineRule="auto"/>
              <w:ind w:firstLine="0" w:firstLineChars="0"/>
              <w:jc w:val="center"/>
              <w:rPr>
                <w:color w:val="auto"/>
                <w:sz w:val="21"/>
                <w:szCs w:val="28"/>
              </w:rPr>
            </w:pPr>
            <w:r>
              <w:rPr>
                <w:color w:val="auto"/>
                <w:sz w:val="21"/>
                <w:szCs w:val="28"/>
              </w:rPr>
              <w:t>硫酸雾</w:t>
            </w:r>
          </w:p>
        </w:tc>
        <w:tc>
          <w:tcPr>
            <w:tcW w:w="1238" w:type="dxa"/>
            <w:vAlign w:val="center"/>
          </w:tcPr>
          <w:p w14:paraId="6A84F3C7">
            <w:pPr>
              <w:spacing w:line="240" w:lineRule="auto"/>
              <w:ind w:firstLine="0" w:firstLineChars="0"/>
              <w:jc w:val="center"/>
              <w:rPr>
                <w:color w:val="auto"/>
                <w:sz w:val="21"/>
                <w:szCs w:val="28"/>
              </w:rPr>
            </w:pPr>
            <w:r>
              <w:rPr>
                <w:color w:val="auto"/>
                <w:sz w:val="21"/>
                <w:szCs w:val="28"/>
              </w:rPr>
              <w:t>30</w:t>
            </w:r>
          </w:p>
        </w:tc>
        <w:tc>
          <w:tcPr>
            <w:tcW w:w="1489" w:type="dxa"/>
            <w:vAlign w:val="center"/>
          </w:tcPr>
          <w:p w14:paraId="09890D6F">
            <w:pPr>
              <w:spacing w:line="240" w:lineRule="auto"/>
              <w:ind w:firstLine="0" w:firstLineChars="0"/>
              <w:jc w:val="center"/>
              <w:rPr>
                <w:color w:val="auto"/>
                <w:sz w:val="21"/>
                <w:szCs w:val="28"/>
              </w:rPr>
            </w:pPr>
            <w:r>
              <w:rPr>
                <w:color w:val="auto"/>
                <w:sz w:val="21"/>
                <w:szCs w:val="28"/>
              </w:rPr>
              <w:t>-</w:t>
            </w:r>
          </w:p>
        </w:tc>
        <w:tc>
          <w:tcPr>
            <w:tcW w:w="718" w:type="dxa"/>
            <w:vMerge w:val="continue"/>
            <w:vAlign w:val="center"/>
          </w:tcPr>
          <w:p w14:paraId="69D523A1">
            <w:pPr>
              <w:spacing w:line="240" w:lineRule="auto"/>
              <w:ind w:firstLine="0" w:firstLineChars="0"/>
              <w:jc w:val="center"/>
              <w:rPr>
                <w:color w:val="auto"/>
                <w:sz w:val="21"/>
                <w:szCs w:val="28"/>
              </w:rPr>
            </w:pPr>
          </w:p>
        </w:tc>
        <w:tc>
          <w:tcPr>
            <w:tcW w:w="1300" w:type="dxa"/>
            <w:vAlign w:val="center"/>
          </w:tcPr>
          <w:p w14:paraId="30C4BC31">
            <w:pPr>
              <w:spacing w:line="240" w:lineRule="auto"/>
              <w:ind w:firstLine="0" w:firstLineChars="0"/>
              <w:jc w:val="center"/>
              <w:rPr>
                <w:color w:val="auto"/>
                <w:sz w:val="21"/>
                <w:szCs w:val="28"/>
              </w:rPr>
            </w:pPr>
            <w:r>
              <w:rPr>
                <w:color w:val="auto"/>
                <w:sz w:val="21"/>
                <w:szCs w:val="28"/>
              </w:rPr>
              <w:t>0.01</w:t>
            </w:r>
          </w:p>
        </w:tc>
        <w:tc>
          <w:tcPr>
            <w:tcW w:w="834" w:type="dxa"/>
            <w:vMerge w:val="continue"/>
            <w:vAlign w:val="center"/>
          </w:tcPr>
          <w:p w14:paraId="06748270">
            <w:pPr>
              <w:spacing w:line="240" w:lineRule="auto"/>
              <w:ind w:firstLine="0" w:firstLineChars="0"/>
              <w:jc w:val="center"/>
              <w:rPr>
                <w:color w:val="auto"/>
                <w:sz w:val="21"/>
                <w:szCs w:val="28"/>
              </w:rPr>
            </w:pPr>
          </w:p>
        </w:tc>
        <w:tc>
          <w:tcPr>
            <w:tcW w:w="2391" w:type="dxa"/>
            <w:vAlign w:val="center"/>
          </w:tcPr>
          <w:p w14:paraId="3EBCC5F9">
            <w:pPr>
              <w:spacing w:line="240" w:lineRule="auto"/>
              <w:ind w:firstLine="0" w:firstLineChars="0"/>
              <w:jc w:val="center"/>
              <w:rPr>
                <w:color w:val="auto"/>
                <w:sz w:val="21"/>
                <w:szCs w:val="28"/>
              </w:rPr>
            </w:pPr>
            <w:r>
              <w:rPr>
                <w:color w:val="auto"/>
                <w:sz w:val="21"/>
              </w:rPr>
              <w:t>《电镀污染物排放标准》（GB21900-2008）表5标准、</w:t>
            </w:r>
            <w:r>
              <w:rPr>
                <w:color w:val="auto"/>
                <w:sz w:val="21"/>
                <w:szCs w:val="28"/>
              </w:rPr>
              <w:t>江苏省地方标准《大气污染物综合排放标准》（DB32/4041-2021）表3中标准限值</w:t>
            </w:r>
          </w:p>
        </w:tc>
      </w:tr>
      <w:tr w14:paraId="37363C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4" w:hRule="atLeast"/>
        </w:trPr>
        <w:tc>
          <w:tcPr>
            <w:tcW w:w="427" w:type="dxa"/>
            <w:vAlign w:val="center"/>
          </w:tcPr>
          <w:p w14:paraId="09DBDCC9">
            <w:pPr>
              <w:spacing w:line="240" w:lineRule="auto"/>
              <w:ind w:firstLine="0" w:firstLineChars="0"/>
              <w:jc w:val="center"/>
              <w:rPr>
                <w:color w:val="auto"/>
                <w:sz w:val="21"/>
                <w:szCs w:val="28"/>
              </w:rPr>
            </w:pPr>
            <w:r>
              <w:rPr>
                <w:rFonts w:hint="eastAsia"/>
                <w:color w:val="auto"/>
                <w:sz w:val="21"/>
                <w:szCs w:val="28"/>
              </w:rPr>
              <w:t>7</w:t>
            </w:r>
          </w:p>
        </w:tc>
        <w:tc>
          <w:tcPr>
            <w:tcW w:w="829" w:type="dxa"/>
            <w:vAlign w:val="center"/>
          </w:tcPr>
          <w:p w14:paraId="52B1B534">
            <w:pPr>
              <w:spacing w:line="240" w:lineRule="auto"/>
              <w:ind w:firstLine="0" w:firstLineChars="0"/>
              <w:jc w:val="center"/>
              <w:rPr>
                <w:color w:val="auto"/>
                <w:sz w:val="21"/>
                <w:szCs w:val="28"/>
              </w:rPr>
            </w:pPr>
            <w:r>
              <w:rPr>
                <w:color w:val="auto"/>
                <w:sz w:val="21"/>
                <w:szCs w:val="28"/>
              </w:rPr>
              <w:t>NH</w:t>
            </w:r>
            <w:r>
              <w:rPr>
                <w:color w:val="auto"/>
                <w:sz w:val="21"/>
                <w:szCs w:val="28"/>
                <w:vertAlign w:val="subscript"/>
              </w:rPr>
              <w:t>3</w:t>
            </w:r>
          </w:p>
        </w:tc>
        <w:tc>
          <w:tcPr>
            <w:tcW w:w="1238" w:type="dxa"/>
            <w:vAlign w:val="center"/>
          </w:tcPr>
          <w:p w14:paraId="06816FD9">
            <w:pPr>
              <w:spacing w:line="240" w:lineRule="auto"/>
              <w:ind w:firstLine="0" w:firstLineChars="0"/>
              <w:jc w:val="center"/>
              <w:rPr>
                <w:color w:val="auto"/>
                <w:sz w:val="21"/>
                <w:szCs w:val="28"/>
              </w:rPr>
            </w:pPr>
            <w:r>
              <w:rPr>
                <w:color w:val="auto"/>
                <w:sz w:val="21"/>
                <w:szCs w:val="28"/>
              </w:rPr>
              <w:t>-</w:t>
            </w:r>
          </w:p>
        </w:tc>
        <w:tc>
          <w:tcPr>
            <w:tcW w:w="1489" w:type="dxa"/>
            <w:vAlign w:val="center"/>
          </w:tcPr>
          <w:p w14:paraId="2EAC9726">
            <w:pPr>
              <w:spacing w:line="240" w:lineRule="auto"/>
              <w:ind w:firstLine="0" w:firstLineChars="0"/>
              <w:jc w:val="center"/>
              <w:rPr>
                <w:color w:val="auto"/>
                <w:sz w:val="21"/>
                <w:szCs w:val="28"/>
              </w:rPr>
            </w:pPr>
            <w:r>
              <w:rPr>
                <w:color w:val="auto"/>
                <w:sz w:val="21"/>
                <w:szCs w:val="28"/>
              </w:rPr>
              <w:t>20</w:t>
            </w:r>
          </w:p>
        </w:tc>
        <w:tc>
          <w:tcPr>
            <w:tcW w:w="718" w:type="dxa"/>
            <w:vAlign w:val="center"/>
          </w:tcPr>
          <w:p w14:paraId="2E2F52F0">
            <w:pPr>
              <w:spacing w:line="240" w:lineRule="auto"/>
              <w:ind w:firstLine="0" w:firstLineChars="0"/>
              <w:jc w:val="center"/>
              <w:rPr>
                <w:color w:val="auto"/>
                <w:sz w:val="21"/>
                <w:szCs w:val="28"/>
              </w:rPr>
            </w:pPr>
            <w:r>
              <w:rPr>
                <w:color w:val="auto"/>
                <w:sz w:val="21"/>
                <w:szCs w:val="28"/>
              </w:rPr>
              <w:t>/</w:t>
            </w:r>
          </w:p>
        </w:tc>
        <w:tc>
          <w:tcPr>
            <w:tcW w:w="1300" w:type="dxa"/>
            <w:vAlign w:val="center"/>
          </w:tcPr>
          <w:p w14:paraId="688D9BA0">
            <w:pPr>
              <w:spacing w:line="240" w:lineRule="auto"/>
              <w:ind w:firstLine="0" w:firstLineChars="0"/>
              <w:jc w:val="center"/>
              <w:rPr>
                <w:color w:val="auto"/>
                <w:sz w:val="21"/>
                <w:szCs w:val="28"/>
              </w:rPr>
            </w:pPr>
            <w:r>
              <w:rPr>
                <w:color w:val="auto"/>
                <w:sz w:val="21"/>
                <w:szCs w:val="28"/>
              </w:rPr>
              <w:t>1.5</w:t>
            </w:r>
          </w:p>
        </w:tc>
        <w:tc>
          <w:tcPr>
            <w:tcW w:w="834" w:type="dxa"/>
            <w:vAlign w:val="center"/>
          </w:tcPr>
          <w:p w14:paraId="1B982C2F">
            <w:pPr>
              <w:spacing w:line="240" w:lineRule="auto"/>
              <w:ind w:firstLine="0" w:firstLineChars="0"/>
              <w:jc w:val="center"/>
              <w:rPr>
                <w:color w:val="auto"/>
                <w:sz w:val="21"/>
                <w:szCs w:val="28"/>
              </w:rPr>
            </w:pPr>
            <w:r>
              <w:rPr>
                <w:color w:val="auto"/>
                <w:sz w:val="21"/>
                <w:szCs w:val="28"/>
              </w:rPr>
              <w:t>-</w:t>
            </w:r>
          </w:p>
        </w:tc>
        <w:tc>
          <w:tcPr>
            <w:tcW w:w="2391" w:type="dxa"/>
            <w:vAlign w:val="center"/>
          </w:tcPr>
          <w:p w14:paraId="37E3BF7F">
            <w:pPr>
              <w:spacing w:line="240" w:lineRule="auto"/>
              <w:ind w:firstLine="0" w:firstLineChars="0"/>
              <w:jc w:val="center"/>
              <w:rPr>
                <w:color w:val="auto"/>
                <w:sz w:val="21"/>
                <w:szCs w:val="28"/>
              </w:rPr>
            </w:pPr>
            <w:r>
              <w:rPr>
                <w:color w:val="auto"/>
                <w:sz w:val="21"/>
                <w:szCs w:val="20"/>
              </w:rPr>
              <w:t>《恶臭污染物排放标准》（GB14554-93）表1、2中标准限值</w:t>
            </w:r>
          </w:p>
        </w:tc>
      </w:tr>
      <w:tr w14:paraId="1D1678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4" w:hRule="atLeast"/>
        </w:trPr>
        <w:tc>
          <w:tcPr>
            <w:tcW w:w="427" w:type="dxa"/>
            <w:vAlign w:val="center"/>
          </w:tcPr>
          <w:p w14:paraId="36B66B5E">
            <w:pPr>
              <w:spacing w:line="240" w:lineRule="auto"/>
              <w:ind w:firstLine="0" w:firstLineChars="0"/>
              <w:jc w:val="center"/>
              <w:rPr>
                <w:color w:val="auto"/>
                <w:sz w:val="21"/>
                <w:szCs w:val="28"/>
              </w:rPr>
            </w:pPr>
            <w:r>
              <w:rPr>
                <w:rFonts w:hint="eastAsia"/>
                <w:color w:val="auto"/>
                <w:sz w:val="21"/>
                <w:szCs w:val="28"/>
              </w:rPr>
              <w:t>8</w:t>
            </w:r>
          </w:p>
        </w:tc>
        <w:tc>
          <w:tcPr>
            <w:tcW w:w="829" w:type="dxa"/>
            <w:vAlign w:val="center"/>
          </w:tcPr>
          <w:p w14:paraId="0F41B5BD">
            <w:pPr>
              <w:spacing w:line="240" w:lineRule="auto"/>
              <w:ind w:firstLine="0" w:firstLineChars="0"/>
              <w:jc w:val="center"/>
              <w:rPr>
                <w:color w:val="auto"/>
                <w:sz w:val="21"/>
                <w:szCs w:val="28"/>
              </w:rPr>
            </w:pPr>
            <w:r>
              <w:rPr>
                <w:color w:val="auto"/>
                <w:sz w:val="21"/>
                <w:szCs w:val="28"/>
              </w:rPr>
              <w:t>油烟</w:t>
            </w:r>
          </w:p>
        </w:tc>
        <w:tc>
          <w:tcPr>
            <w:tcW w:w="1238" w:type="dxa"/>
            <w:vAlign w:val="center"/>
          </w:tcPr>
          <w:p w14:paraId="66E5DD2A">
            <w:pPr>
              <w:spacing w:line="240" w:lineRule="auto"/>
              <w:ind w:firstLine="0" w:firstLineChars="0"/>
              <w:jc w:val="center"/>
              <w:rPr>
                <w:color w:val="auto"/>
                <w:sz w:val="21"/>
                <w:szCs w:val="28"/>
              </w:rPr>
            </w:pPr>
            <w:r>
              <w:rPr>
                <w:color w:val="auto"/>
                <w:sz w:val="21"/>
                <w:szCs w:val="28"/>
              </w:rPr>
              <w:t>2.0</w:t>
            </w:r>
          </w:p>
        </w:tc>
        <w:tc>
          <w:tcPr>
            <w:tcW w:w="1489" w:type="dxa"/>
            <w:vAlign w:val="center"/>
          </w:tcPr>
          <w:p w14:paraId="1B62755E">
            <w:pPr>
              <w:spacing w:line="240" w:lineRule="auto"/>
              <w:ind w:firstLine="0" w:firstLineChars="0"/>
              <w:jc w:val="center"/>
              <w:rPr>
                <w:color w:val="auto"/>
                <w:sz w:val="21"/>
                <w:szCs w:val="28"/>
              </w:rPr>
            </w:pPr>
            <w:r>
              <w:rPr>
                <w:color w:val="auto"/>
                <w:sz w:val="21"/>
                <w:szCs w:val="28"/>
              </w:rPr>
              <w:t>-</w:t>
            </w:r>
          </w:p>
        </w:tc>
        <w:tc>
          <w:tcPr>
            <w:tcW w:w="718" w:type="dxa"/>
            <w:vAlign w:val="center"/>
          </w:tcPr>
          <w:p w14:paraId="2B3D5A36">
            <w:pPr>
              <w:spacing w:line="240" w:lineRule="auto"/>
              <w:ind w:firstLine="0" w:firstLineChars="0"/>
              <w:jc w:val="center"/>
              <w:rPr>
                <w:color w:val="auto"/>
                <w:sz w:val="21"/>
                <w:szCs w:val="28"/>
              </w:rPr>
            </w:pPr>
            <w:r>
              <w:rPr>
                <w:color w:val="auto"/>
                <w:sz w:val="21"/>
                <w:szCs w:val="28"/>
              </w:rPr>
              <w:t>/</w:t>
            </w:r>
          </w:p>
        </w:tc>
        <w:tc>
          <w:tcPr>
            <w:tcW w:w="1300" w:type="dxa"/>
            <w:vAlign w:val="center"/>
          </w:tcPr>
          <w:p w14:paraId="6BBA92E5">
            <w:pPr>
              <w:spacing w:line="240" w:lineRule="auto"/>
              <w:ind w:firstLine="0" w:firstLineChars="0"/>
              <w:jc w:val="center"/>
              <w:rPr>
                <w:color w:val="auto"/>
                <w:sz w:val="21"/>
                <w:szCs w:val="28"/>
              </w:rPr>
            </w:pPr>
            <w:r>
              <w:rPr>
                <w:color w:val="auto"/>
                <w:sz w:val="21"/>
                <w:szCs w:val="28"/>
              </w:rPr>
              <w:t>-</w:t>
            </w:r>
          </w:p>
        </w:tc>
        <w:tc>
          <w:tcPr>
            <w:tcW w:w="834" w:type="dxa"/>
            <w:vAlign w:val="center"/>
          </w:tcPr>
          <w:p w14:paraId="6FA24DC1">
            <w:pPr>
              <w:spacing w:line="240" w:lineRule="auto"/>
              <w:ind w:firstLine="0" w:firstLineChars="0"/>
              <w:jc w:val="center"/>
              <w:rPr>
                <w:color w:val="auto"/>
                <w:sz w:val="21"/>
                <w:szCs w:val="28"/>
              </w:rPr>
            </w:pPr>
            <w:r>
              <w:rPr>
                <w:color w:val="auto"/>
                <w:sz w:val="21"/>
                <w:szCs w:val="28"/>
              </w:rPr>
              <w:t>-</w:t>
            </w:r>
          </w:p>
        </w:tc>
        <w:tc>
          <w:tcPr>
            <w:tcW w:w="2391" w:type="dxa"/>
            <w:vAlign w:val="center"/>
          </w:tcPr>
          <w:p w14:paraId="408DDAFA">
            <w:pPr>
              <w:spacing w:line="240" w:lineRule="auto"/>
              <w:ind w:firstLine="0" w:firstLineChars="0"/>
              <w:jc w:val="center"/>
              <w:rPr>
                <w:color w:val="auto"/>
                <w:sz w:val="21"/>
                <w:szCs w:val="20"/>
              </w:rPr>
            </w:pPr>
            <w:r>
              <w:rPr>
                <w:color w:val="auto"/>
                <w:sz w:val="21"/>
                <w:szCs w:val="20"/>
              </w:rPr>
              <w:t>《饮食业油烟排放标准》（试行）（GB18483-2001）表2中标准限值</w:t>
            </w:r>
          </w:p>
        </w:tc>
      </w:tr>
      <w:bookmarkEnd w:id="30"/>
      <w:bookmarkEnd w:id="35"/>
      <w:bookmarkEnd w:id="36"/>
    </w:tbl>
    <w:p w14:paraId="0207316F">
      <w:pPr>
        <w:ind w:firstLine="480"/>
        <w:rPr>
          <w:bCs/>
          <w:color w:val="auto"/>
        </w:rPr>
      </w:pPr>
      <w:r>
        <w:rPr>
          <w:bCs/>
          <w:color w:val="auto"/>
        </w:rPr>
        <w:t>根据《电镀污染物排放标准》（GB21900-2008）表6中单位产品基准排气量，阳极氧化——基准排气量为18.6m</w:t>
      </w:r>
      <w:r>
        <w:rPr>
          <w:bCs/>
          <w:color w:val="auto"/>
          <w:vertAlign w:val="superscript"/>
        </w:rPr>
        <w:t>3</w:t>
      </w:r>
      <w:r>
        <w:rPr>
          <w:bCs/>
          <w:color w:val="auto"/>
        </w:rPr>
        <w:t>/m</w:t>
      </w:r>
      <w:r>
        <w:rPr>
          <w:bCs/>
          <w:color w:val="auto"/>
          <w:vertAlign w:val="superscript"/>
        </w:rPr>
        <w:t>2</w:t>
      </w:r>
      <w:r>
        <w:rPr>
          <w:bCs/>
          <w:color w:val="auto"/>
        </w:rPr>
        <w:t>（镀件镀层），排气量计量位置为车间或生产设施排气筒。</w:t>
      </w:r>
    </w:p>
    <w:p w14:paraId="69002C17">
      <w:pPr>
        <w:spacing w:before="120" w:beforeLines="50"/>
        <w:ind w:firstLine="0" w:firstLineChars="0"/>
        <w:outlineLvl w:val="3"/>
        <w:rPr>
          <w:b/>
          <w:color w:val="auto"/>
        </w:rPr>
      </w:pPr>
      <w:r>
        <w:rPr>
          <w:b/>
          <w:color w:val="auto"/>
        </w:rPr>
        <w:t>2.4.3.2 废水排放标准</w:t>
      </w:r>
    </w:p>
    <w:p w14:paraId="46A8541C">
      <w:pPr>
        <w:ind w:firstLine="482"/>
        <w:rPr>
          <w:b/>
          <w:bCs/>
          <w:color w:val="auto"/>
          <w:szCs w:val="28"/>
        </w:rPr>
      </w:pPr>
      <w:r>
        <w:rPr>
          <w:b/>
          <w:bCs/>
          <w:color w:val="auto"/>
          <w:szCs w:val="28"/>
        </w:rPr>
        <w:t>1、排放标准</w:t>
      </w:r>
    </w:p>
    <w:p w14:paraId="42AF9A47">
      <w:pPr>
        <w:ind w:firstLine="480"/>
        <w:rPr>
          <w:color w:val="auto"/>
          <w:szCs w:val="28"/>
        </w:rPr>
      </w:pPr>
      <w:r>
        <w:rPr>
          <w:color w:val="auto"/>
          <w:szCs w:val="28"/>
        </w:rPr>
        <w:t>本项目生产、</w:t>
      </w:r>
      <w:r>
        <w:rPr>
          <w:rFonts w:hint="eastAsia"/>
          <w:color w:val="auto"/>
          <w:szCs w:val="28"/>
        </w:rPr>
        <w:t>生活污水</w:t>
      </w:r>
      <w:r>
        <w:rPr>
          <w:color w:val="auto"/>
          <w:szCs w:val="28"/>
        </w:rPr>
        <w:t>实行分质处理。</w:t>
      </w:r>
      <w:r>
        <w:rPr>
          <w:rFonts w:hint="eastAsia"/>
          <w:color w:val="auto"/>
          <w:szCs w:val="28"/>
        </w:rPr>
        <w:t>根据《电镀污染物排放标准》（GB21900-2008）“建设项目拟向污水处理厂的排水系统排放废水时，有毒物质总镉、总银、六价铬、总铅、总铅、总镍、总汞在本标准规定的监控位置执行相应的排放限值；其他污染物的排放控制要求由企业与城镇污水处理厂根据其污水处理能力商定或执行相关标准，并报当地环境保护主管部门备案”，本项目生产废水排放因子为pH、COD、SS、氨氮、总磷、总氮、总铝、石油类、LAS、总锡，不涉及总镍、总镉、总银、六价铬、总铅、总汞。</w:t>
      </w:r>
    </w:p>
    <w:p w14:paraId="65BE630B">
      <w:pPr>
        <w:ind w:firstLine="480"/>
        <w:rPr>
          <w:color w:val="auto"/>
          <w:szCs w:val="28"/>
        </w:rPr>
      </w:pPr>
      <w:r>
        <w:rPr>
          <w:rFonts w:hint="eastAsia"/>
          <w:color w:val="auto"/>
          <w:szCs w:val="28"/>
        </w:rPr>
        <w:t>企业总排口总铝均</w:t>
      </w:r>
      <w:r>
        <w:rPr>
          <w:color w:val="auto"/>
          <w:szCs w:val="28"/>
        </w:rPr>
        <w:t>执行《电镀污染物排放标准》（GB21900-2008）表</w:t>
      </w:r>
      <w:r>
        <w:rPr>
          <w:rFonts w:hint="eastAsia"/>
          <w:color w:val="auto"/>
          <w:szCs w:val="28"/>
        </w:rPr>
        <w:t>3</w:t>
      </w:r>
      <w:r>
        <w:rPr>
          <w:color w:val="auto"/>
          <w:szCs w:val="28"/>
        </w:rPr>
        <w:t>标准；</w:t>
      </w:r>
      <w:r>
        <w:rPr>
          <w:rFonts w:hint="eastAsia"/>
          <w:color w:val="auto"/>
          <w:szCs w:val="28"/>
        </w:rPr>
        <w:t>总锡排放限值参照上海市地方标准《污水综合排放标准》（DB31/199-2018）表1中排放限值，总锡（以Sn计）排放限值为5.0mg/L。</w:t>
      </w:r>
      <w:r>
        <w:rPr>
          <w:color w:val="auto"/>
          <w:szCs w:val="28"/>
        </w:rPr>
        <w:t>本项目生产废水排口中的其他特征污染物以及生活污水排口执行《污水排入城镇下水道水质标准》（GB/T31962-2015）表1中的A标准，接管至开发区临港污水处理厂</w:t>
      </w:r>
      <w:r>
        <w:rPr>
          <w:rFonts w:hint="eastAsia"/>
          <w:color w:val="auto"/>
          <w:szCs w:val="28"/>
        </w:rPr>
        <w:t>（原开发区西北组团污水处理厂）</w:t>
      </w:r>
      <w:r>
        <w:rPr>
          <w:color w:val="auto"/>
          <w:szCs w:val="28"/>
        </w:rPr>
        <w:t>进行集中处理</w:t>
      </w:r>
      <w:r>
        <w:rPr>
          <w:rFonts w:hint="eastAsia"/>
          <w:color w:val="auto"/>
          <w:szCs w:val="28"/>
        </w:rPr>
        <w:t>，经由大浦河排污通道排入临洪河，最终排入黄海</w:t>
      </w:r>
      <w:r>
        <w:rPr>
          <w:color w:val="auto"/>
          <w:szCs w:val="28"/>
        </w:rPr>
        <w:t>；污水处理厂尾水排放执行《城镇污水处理厂污染物排放标准》（GB18918-2002）表1中一级A标准</w:t>
      </w:r>
      <w:r>
        <w:rPr>
          <w:rFonts w:hint="eastAsia"/>
          <w:color w:val="auto"/>
          <w:szCs w:val="28"/>
        </w:rPr>
        <w:t>。</w:t>
      </w:r>
      <w:r>
        <w:rPr>
          <w:color w:val="auto"/>
          <w:szCs w:val="28"/>
        </w:rPr>
        <w:t>具体见表2.4.</w:t>
      </w:r>
      <w:r>
        <w:rPr>
          <w:rFonts w:hint="eastAsia"/>
          <w:color w:val="auto"/>
          <w:szCs w:val="28"/>
        </w:rPr>
        <w:t>3-3</w:t>
      </w:r>
      <w:r>
        <w:rPr>
          <w:color w:val="auto"/>
          <w:szCs w:val="28"/>
        </w:rPr>
        <w:t>。</w:t>
      </w:r>
    </w:p>
    <w:p w14:paraId="53EA8140">
      <w:pPr>
        <w:spacing w:line="240" w:lineRule="auto"/>
        <w:ind w:firstLine="0" w:firstLineChars="0"/>
        <w:jc w:val="center"/>
        <w:rPr>
          <w:b/>
          <w:color w:val="auto"/>
          <w:szCs w:val="21"/>
        </w:rPr>
      </w:pPr>
      <w:r>
        <w:rPr>
          <w:b/>
          <w:color w:val="auto"/>
          <w:kern w:val="0"/>
          <w:szCs w:val="21"/>
          <w:lang w:bidi="ar"/>
        </w:rPr>
        <w:t>表2.</w:t>
      </w:r>
      <w:r>
        <w:rPr>
          <w:rFonts w:hint="eastAsia"/>
          <w:b/>
          <w:color w:val="auto"/>
          <w:kern w:val="0"/>
          <w:szCs w:val="21"/>
          <w:lang w:bidi="ar"/>
        </w:rPr>
        <w:t>4.3-3</w:t>
      </w:r>
      <w:r>
        <w:rPr>
          <w:b/>
          <w:color w:val="auto"/>
          <w:kern w:val="0"/>
          <w:szCs w:val="21"/>
          <w:lang w:bidi="ar"/>
        </w:rPr>
        <w:t xml:space="preserve">  污水排放标准限值</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2170"/>
        <w:gridCol w:w="1866"/>
        <w:gridCol w:w="3743"/>
      </w:tblGrid>
      <w:tr w14:paraId="27AB7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808" w:type="pct"/>
            <w:tcBorders>
              <w:tl2br w:val="nil"/>
              <w:tr2bl w:val="nil"/>
            </w:tcBorders>
            <w:shd w:val="clear" w:color="auto" w:fill="auto"/>
            <w:vAlign w:val="center"/>
          </w:tcPr>
          <w:p w14:paraId="666D4F70">
            <w:pPr>
              <w:spacing w:line="240" w:lineRule="auto"/>
              <w:ind w:firstLine="0" w:firstLineChars="0"/>
              <w:jc w:val="center"/>
              <w:rPr>
                <w:b/>
                <w:bCs/>
                <w:color w:val="auto"/>
                <w:sz w:val="21"/>
                <w:szCs w:val="21"/>
              </w:rPr>
            </w:pPr>
            <w:r>
              <w:rPr>
                <w:b/>
                <w:bCs/>
                <w:color w:val="auto"/>
                <w:kern w:val="0"/>
                <w:sz w:val="21"/>
                <w:szCs w:val="21"/>
                <w:lang w:bidi="ar"/>
              </w:rPr>
              <w:t>排放口</w:t>
            </w:r>
          </w:p>
        </w:tc>
        <w:tc>
          <w:tcPr>
            <w:tcW w:w="1169" w:type="pct"/>
            <w:tcBorders>
              <w:tl2br w:val="nil"/>
              <w:tr2bl w:val="nil"/>
            </w:tcBorders>
            <w:shd w:val="clear" w:color="auto" w:fill="auto"/>
            <w:vAlign w:val="center"/>
          </w:tcPr>
          <w:p w14:paraId="0A8D57B4">
            <w:pPr>
              <w:spacing w:line="240" w:lineRule="auto"/>
              <w:ind w:firstLine="0" w:firstLineChars="0"/>
              <w:jc w:val="center"/>
              <w:rPr>
                <w:b/>
                <w:bCs/>
                <w:color w:val="auto"/>
                <w:sz w:val="21"/>
                <w:szCs w:val="21"/>
              </w:rPr>
            </w:pPr>
            <w:r>
              <w:rPr>
                <w:b/>
                <w:bCs/>
                <w:color w:val="auto"/>
                <w:kern w:val="0"/>
                <w:sz w:val="21"/>
                <w:szCs w:val="21"/>
                <w:lang w:bidi="ar"/>
              </w:rPr>
              <w:t>污染物指标</w:t>
            </w:r>
          </w:p>
        </w:tc>
        <w:tc>
          <w:tcPr>
            <w:tcW w:w="1005" w:type="pct"/>
            <w:tcBorders>
              <w:tl2br w:val="nil"/>
              <w:tr2bl w:val="nil"/>
            </w:tcBorders>
            <w:shd w:val="clear" w:color="auto" w:fill="auto"/>
            <w:vAlign w:val="center"/>
          </w:tcPr>
          <w:p w14:paraId="6B6A49F6">
            <w:pPr>
              <w:spacing w:line="240" w:lineRule="auto"/>
              <w:ind w:firstLine="0" w:firstLineChars="0"/>
              <w:jc w:val="center"/>
              <w:rPr>
                <w:b/>
                <w:bCs/>
                <w:color w:val="auto"/>
                <w:sz w:val="21"/>
                <w:szCs w:val="21"/>
              </w:rPr>
            </w:pPr>
            <w:r>
              <w:rPr>
                <w:b/>
                <w:bCs/>
                <w:color w:val="auto"/>
                <w:kern w:val="0"/>
                <w:sz w:val="21"/>
                <w:szCs w:val="21"/>
                <w:lang w:bidi="ar"/>
              </w:rPr>
              <w:t>排放浓度限值（mg/L，pH无量纲）</w:t>
            </w:r>
          </w:p>
        </w:tc>
        <w:tc>
          <w:tcPr>
            <w:tcW w:w="2016" w:type="pct"/>
            <w:tcBorders>
              <w:tl2br w:val="nil"/>
              <w:tr2bl w:val="nil"/>
            </w:tcBorders>
            <w:shd w:val="clear" w:color="auto" w:fill="auto"/>
            <w:vAlign w:val="center"/>
          </w:tcPr>
          <w:p w14:paraId="67A45DB2">
            <w:pPr>
              <w:spacing w:line="240" w:lineRule="auto"/>
              <w:ind w:firstLine="0" w:firstLineChars="0"/>
              <w:jc w:val="center"/>
              <w:rPr>
                <w:b/>
                <w:bCs/>
                <w:color w:val="auto"/>
                <w:sz w:val="21"/>
                <w:szCs w:val="21"/>
              </w:rPr>
            </w:pPr>
            <w:r>
              <w:rPr>
                <w:b/>
                <w:bCs/>
                <w:color w:val="auto"/>
                <w:kern w:val="0"/>
                <w:sz w:val="21"/>
                <w:szCs w:val="21"/>
                <w:lang w:bidi="ar"/>
              </w:rPr>
              <w:t>标准来源</w:t>
            </w:r>
          </w:p>
        </w:tc>
      </w:tr>
      <w:tr w14:paraId="279F6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restart"/>
            <w:tcBorders>
              <w:tl2br w:val="nil"/>
              <w:tr2bl w:val="nil"/>
            </w:tcBorders>
            <w:shd w:val="clear" w:color="auto" w:fill="auto"/>
            <w:vAlign w:val="center"/>
          </w:tcPr>
          <w:p w14:paraId="77BE985A">
            <w:pPr>
              <w:spacing w:line="240" w:lineRule="auto"/>
              <w:ind w:firstLine="0" w:firstLineChars="0"/>
              <w:jc w:val="center"/>
              <w:rPr>
                <w:color w:val="auto"/>
                <w:sz w:val="21"/>
                <w:szCs w:val="21"/>
              </w:rPr>
            </w:pPr>
            <w:r>
              <w:rPr>
                <w:rFonts w:hint="eastAsia"/>
                <w:color w:val="auto"/>
                <w:sz w:val="21"/>
                <w:szCs w:val="21"/>
              </w:rPr>
              <w:t>接管标准</w:t>
            </w:r>
          </w:p>
        </w:tc>
        <w:tc>
          <w:tcPr>
            <w:tcW w:w="1169" w:type="pct"/>
            <w:tcBorders>
              <w:tl2br w:val="nil"/>
              <w:tr2bl w:val="nil"/>
            </w:tcBorders>
            <w:shd w:val="clear" w:color="auto" w:fill="auto"/>
            <w:vAlign w:val="center"/>
          </w:tcPr>
          <w:p w14:paraId="65E7AF0D">
            <w:pPr>
              <w:spacing w:line="240" w:lineRule="auto"/>
              <w:ind w:firstLine="0" w:firstLineChars="0"/>
              <w:jc w:val="center"/>
              <w:rPr>
                <w:color w:val="auto"/>
                <w:kern w:val="0"/>
                <w:sz w:val="21"/>
                <w:szCs w:val="21"/>
                <w:lang w:bidi="ar"/>
              </w:rPr>
            </w:pPr>
            <w:r>
              <w:rPr>
                <w:rFonts w:hint="eastAsia"/>
                <w:color w:val="auto"/>
                <w:kern w:val="0"/>
                <w:sz w:val="21"/>
                <w:szCs w:val="21"/>
                <w:lang w:bidi="ar"/>
              </w:rPr>
              <w:t>总锡</w:t>
            </w:r>
          </w:p>
        </w:tc>
        <w:tc>
          <w:tcPr>
            <w:tcW w:w="1005" w:type="pct"/>
            <w:tcBorders>
              <w:tl2br w:val="nil"/>
              <w:tr2bl w:val="nil"/>
            </w:tcBorders>
            <w:shd w:val="clear" w:color="auto" w:fill="auto"/>
            <w:vAlign w:val="center"/>
          </w:tcPr>
          <w:p w14:paraId="04337765">
            <w:pPr>
              <w:spacing w:line="240" w:lineRule="auto"/>
              <w:ind w:firstLine="0" w:firstLineChars="0"/>
              <w:jc w:val="center"/>
              <w:rPr>
                <w:color w:val="auto"/>
                <w:kern w:val="0"/>
                <w:sz w:val="21"/>
                <w:szCs w:val="21"/>
                <w:lang w:bidi="ar"/>
              </w:rPr>
            </w:pPr>
            <w:r>
              <w:rPr>
                <w:rFonts w:hint="eastAsia"/>
                <w:color w:val="auto"/>
                <w:kern w:val="0"/>
                <w:sz w:val="21"/>
                <w:szCs w:val="21"/>
                <w:lang w:bidi="ar"/>
              </w:rPr>
              <w:t>5.0</w:t>
            </w:r>
          </w:p>
        </w:tc>
        <w:tc>
          <w:tcPr>
            <w:tcW w:w="2016" w:type="pct"/>
            <w:tcBorders>
              <w:tl2br w:val="nil"/>
              <w:tr2bl w:val="nil"/>
            </w:tcBorders>
            <w:shd w:val="clear" w:color="auto" w:fill="auto"/>
            <w:vAlign w:val="center"/>
          </w:tcPr>
          <w:p w14:paraId="4577FFDC">
            <w:pPr>
              <w:spacing w:line="240" w:lineRule="auto"/>
              <w:ind w:firstLine="0" w:firstLineChars="0"/>
              <w:jc w:val="center"/>
              <w:rPr>
                <w:color w:val="auto"/>
                <w:kern w:val="0"/>
                <w:sz w:val="21"/>
                <w:szCs w:val="21"/>
                <w:lang w:bidi="ar"/>
              </w:rPr>
            </w:pPr>
            <w:r>
              <w:rPr>
                <w:rFonts w:hint="eastAsia"/>
                <w:color w:val="auto"/>
                <w:kern w:val="0"/>
                <w:sz w:val="21"/>
                <w:szCs w:val="21"/>
                <w:lang w:bidi="ar"/>
              </w:rPr>
              <w:t>上</w:t>
            </w:r>
            <w:r>
              <w:rPr>
                <w:color w:val="auto"/>
                <w:kern w:val="0"/>
                <w:sz w:val="21"/>
                <w:szCs w:val="21"/>
                <w:lang w:bidi="ar"/>
              </w:rPr>
              <w:t>海市地方标准《污水综合排放标准》（DB31/199-2018）</w:t>
            </w:r>
          </w:p>
        </w:tc>
      </w:tr>
      <w:tr w14:paraId="221D4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2A5239E5">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2F83CA9A">
            <w:pPr>
              <w:spacing w:line="240" w:lineRule="auto"/>
              <w:ind w:firstLine="0" w:firstLineChars="0"/>
              <w:jc w:val="center"/>
              <w:rPr>
                <w:color w:val="auto"/>
                <w:sz w:val="21"/>
                <w:szCs w:val="21"/>
              </w:rPr>
            </w:pPr>
            <w:r>
              <w:rPr>
                <w:color w:val="auto"/>
                <w:kern w:val="0"/>
                <w:sz w:val="21"/>
                <w:szCs w:val="21"/>
                <w:lang w:bidi="ar"/>
              </w:rPr>
              <w:t>pH</w:t>
            </w:r>
          </w:p>
        </w:tc>
        <w:tc>
          <w:tcPr>
            <w:tcW w:w="1005" w:type="pct"/>
            <w:tcBorders>
              <w:tl2br w:val="nil"/>
              <w:tr2bl w:val="nil"/>
            </w:tcBorders>
            <w:shd w:val="clear" w:color="auto" w:fill="auto"/>
            <w:vAlign w:val="center"/>
          </w:tcPr>
          <w:p w14:paraId="6E004990">
            <w:pPr>
              <w:spacing w:line="240" w:lineRule="auto"/>
              <w:ind w:firstLine="0" w:firstLineChars="0"/>
              <w:jc w:val="center"/>
              <w:rPr>
                <w:color w:val="auto"/>
                <w:sz w:val="21"/>
                <w:szCs w:val="21"/>
              </w:rPr>
            </w:pPr>
            <w:r>
              <w:rPr>
                <w:color w:val="auto"/>
                <w:kern w:val="0"/>
                <w:sz w:val="21"/>
                <w:szCs w:val="21"/>
                <w:lang w:bidi="ar"/>
              </w:rPr>
              <w:t>6~9</w:t>
            </w:r>
          </w:p>
        </w:tc>
        <w:tc>
          <w:tcPr>
            <w:tcW w:w="2016" w:type="pct"/>
            <w:vMerge w:val="restart"/>
            <w:tcBorders>
              <w:tl2br w:val="nil"/>
              <w:tr2bl w:val="nil"/>
            </w:tcBorders>
            <w:shd w:val="clear" w:color="auto" w:fill="auto"/>
            <w:vAlign w:val="center"/>
          </w:tcPr>
          <w:p w14:paraId="1C130E6E">
            <w:pPr>
              <w:spacing w:line="240" w:lineRule="auto"/>
              <w:ind w:firstLine="0" w:firstLineChars="0"/>
              <w:jc w:val="center"/>
              <w:rPr>
                <w:color w:val="auto"/>
                <w:sz w:val="21"/>
                <w:szCs w:val="21"/>
              </w:rPr>
            </w:pPr>
            <w:r>
              <w:rPr>
                <w:color w:val="auto"/>
                <w:sz w:val="21"/>
                <w:szCs w:val="21"/>
              </w:rPr>
              <w:t>《污水排入城镇下水道水质标准》（GB/T31962-2015）表1中的A标准</w:t>
            </w:r>
          </w:p>
        </w:tc>
      </w:tr>
      <w:tr w14:paraId="0066F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5773B191">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0C6FE710">
            <w:pPr>
              <w:spacing w:line="240" w:lineRule="auto"/>
              <w:ind w:firstLine="0" w:firstLineChars="0"/>
              <w:jc w:val="center"/>
              <w:rPr>
                <w:color w:val="auto"/>
                <w:sz w:val="21"/>
                <w:szCs w:val="21"/>
              </w:rPr>
            </w:pPr>
            <w:r>
              <w:rPr>
                <w:color w:val="auto"/>
                <w:kern w:val="0"/>
                <w:sz w:val="21"/>
                <w:szCs w:val="21"/>
                <w:lang w:bidi="ar"/>
              </w:rPr>
              <w:t>COD</w:t>
            </w:r>
          </w:p>
        </w:tc>
        <w:tc>
          <w:tcPr>
            <w:tcW w:w="1005" w:type="pct"/>
            <w:tcBorders>
              <w:tl2br w:val="nil"/>
              <w:tr2bl w:val="nil"/>
            </w:tcBorders>
            <w:shd w:val="clear" w:color="auto" w:fill="auto"/>
            <w:vAlign w:val="center"/>
          </w:tcPr>
          <w:p w14:paraId="3C000D0E">
            <w:pPr>
              <w:spacing w:line="240" w:lineRule="auto"/>
              <w:ind w:firstLine="0" w:firstLineChars="0"/>
              <w:jc w:val="center"/>
              <w:rPr>
                <w:color w:val="auto"/>
                <w:sz w:val="21"/>
                <w:szCs w:val="21"/>
              </w:rPr>
            </w:pPr>
            <w:r>
              <w:rPr>
                <w:rFonts w:hint="eastAsia"/>
                <w:color w:val="auto"/>
                <w:kern w:val="0"/>
                <w:sz w:val="21"/>
                <w:szCs w:val="21"/>
                <w:lang w:bidi="ar"/>
              </w:rPr>
              <w:t>500</w:t>
            </w:r>
          </w:p>
        </w:tc>
        <w:tc>
          <w:tcPr>
            <w:tcW w:w="2016" w:type="pct"/>
            <w:vMerge w:val="continue"/>
            <w:tcBorders>
              <w:tl2br w:val="nil"/>
              <w:tr2bl w:val="nil"/>
            </w:tcBorders>
            <w:shd w:val="clear" w:color="auto" w:fill="auto"/>
            <w:vAlign w:val="center"/>
          </w:tcPr>
          <w:p w14:paraId="6901AD6C">
            <w:pPr>
              <w:spacing w:line="240" w:lineRule="auto"/>
              <w:ind w:firstLine="0" w:firstLineChars="0"/>
              <w:jc w:val="center"/>
              <w:rPr>
                <w:color w:val="auto"/>
                <w:sz w:val="21"/>
                <w:szCs w:val="21"/>
              </w:rPr>
            </w:pPr>
          </w:p>
        </w:tc>
      </w:tr>
      <w:tr w14:paraId="3B72E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0865C8C6">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43D40349">
            <w:pPr>
              <w:spacing w:line="240" w:lineRule="auto"/>
              <w:ind w:firstLine="0" w:firstLineChars="0"/>
              <w:jc w:val="center"/>
              <w:rPr>
                <w:color w:val="auto"/>
                <w:sz w:val="21"/>
                <w:szCs w:val="21"/>
              </w:rPr>
            </w:pPr>
            <w:r>
              <w:rPr>
                <w:color w:val="auto"/>
                <w:kern w:val="0"/>
                <w:sz w:val="21"/>
                <w:szCs w:val="21"/>
                <w:lang w:bidi="ar"/>
              </w:rPr>
              <w:t>SS</w:t>
            </w:r>
          </w:p>
        </w:tc>
        <w:tc>
          <w:tcPr>
            <w:tcW w:w="1005" w:type="pct"/>
            <w:tcBorders>
              <w:tl2br w:val="nil"/>
              <w:tr2bl w:val="nil"/>
            </w:tcBorders>
            <w:shd w:val="clear" w:color="auto" w:fill="auto"/>
            <w:vAlign w:val="center"/>
          </w:tcPr>
          <w:p w14:paraId="378EE7F2">
            <w:pPr>
              <w:spacing w:line="240" w:lineRule="auto"/>
              <w:ind w:firstLine="0" w:firstLineChars="0"/>
              <w:jc w:val="center"/>
              <w:rPr>
                <w:color w:val="auto"/>
                <w:sz w:val="21"/>
                <w:szCs w:val="21"/>
              </w:rPr>
            </w:pPr>
            <w:r>
              <w:rPr>
                <w:rFonts w:hint="eastAsia"/>
                <w:color w:val="auto"/>
                <w:kern w:val="0"/>
                <w:sz w:val="21"/>
                <w:szCs w:val="21"/>
                <w:lang w:bidi="ar"/>
              </w:rPr>
              <w:t>400</w:t>
            </w:r>
          </w:p>
        </w:tc>
        <w:tc>
          <w:tcPr>
            <w:tcW w:w="2016" w:type="pct"/>
            <w:vMerge w:val="continue"/>
            <w:tcBorders>
              <w:tl2br w:val="nil"/>
              <w:tr2bl w:val="nil"/>
            </w:tcBorders>
            <w:shd w:val="clear" w:color="auto" w:fill="auto"/>
            <w:vAlign w:val="center"/>
          </w:tcPr>
          <w:p w14:paraId="0064F0B5">
            <w:pPr>
              <w:spacing w:line="240" w:lineRule="auto"/>
              <w:ind w:firstLine="0" w:firstLineChars="0"/>
              <w:jc w:val="center"/>
              <w:rPr>
                <w:color w:val="auto"/>
                <w:sz w:val="21"/>
                <w:szCs w:val="21"/>
              </w:rPr>
            </w:pPr>
          </w:p>
        </w:tc>
      </w:tr>
      <w:tr w14:paraId="4949E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43532282">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675FACAA">
            <w:pPr>
              <w:spacing w:line="240" w:lineRule="auto"/>
              <w:ind w:firstLine="0" w:firstLineChars="0"/>
              <w:jc w:val="center"/>
              <w:rPr>
                <w:color w:val="auto"/>
                <w:sz w:val="21"/>
                <w:szCs w:val="21"/>
              </w:rPr>
            </w:pPr>
            <w:r>
              <w:rPr>
                <w:color w:val="auto"/>
                <w:kern w:val="0"/>
                <w:sz w:val="21"/>
                <w:szCs w:val="21"/>
                <w:lang w:bidi="ar"/>
              </w:rPr>
              <w:t>氨氮</w:t>
            </w:r>
          </w:p>
        </w:tc>
        <w:tc>
          <w:tcPr>
            <w:tcW w:w="1005" w:type="pct"/>
            <w:tcBorders>
              <w:tl2br w:val="nil"/>
              <w:tr2bl w:val="nil"/>
            </w:tcBorders>
            <w:shd w:val="clear" w:color="auto" w:fill="auto"/>
            <w:vAlign w:val="center"/>
          </w:tcPr>
          <w:p w14:paraId="5C6FF4FC">
            <w:pPr>
              <w:spacing w:line="240" w:lineRule="auto"/>
              <w:ind w:firstLine="0" w:firstLineChars="0"/>
              <w:jc w:val="center"/>
              <w:rPr>
                <w:color w:val="auto"/>
                <w:sz w:val="21"/>
                <w:szCs w:val="21"/>
              </w:rPr>
            </w:pPr>
            <w:r>
              <w:rPr>
                <w:rFonts w:hint="eastAsia"/>
                <w:color w:val="auto"/>
                <w:kern w:val="0"/>
                <w:sz w:val="21"/>
                <w:szCs w:val="21"/>
                <w:lang w:bidi="ar"/>
              </w:rPr>
              <w:t>45</w:t>
            </w:r>
          </w:p>
        </w:tc>
        <w:tc>
          <w:tcPr>
            <w:tcW w:w="2016" w:type="pct"/>
            <w:vMerge w:val="continue"/>
            <w:tcBorders>
              <w:tl2br w:val="nil"/>
              <w:tr2bl w:val="nil"/>
            </w:tcBorders>
            <w:shd w:val="clear" w:color="auto" w:fill="auto"/>
            <w:vAlign w:val="center"/>
          </w:tcPr>
          <w:p w14:paraId="4E1651B8">
            <w:pPr>
              <w:spacing w:line="240" w:lineRule="auto"/>
              <w:ind w:firstLine="0" w:firstLineChars="0"/>
              <w:jc w:val="center"/>
              <w:rPr>
                <w:color w:val="auto"/>
                <w:sz w:val="21"/>
                <w:szCs w:val="21"/>
              </w:rPr>
            </w:pPr>
          </w:p>
        </w:tc>
      </w:tr>
      <w:tr w14:paraId="0D3A7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336726C5">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174726BD">
            <w:pPr>
              <w:spacing w:line="240" w:lineRule="auto"/>
              <w:ind w:firstLine="0" w:firstLineChars="0"/>
              <w:jc w:val="center"/>
              <w:rPr>
                <w:color w:val="auto"/>
                <w:sz w:val="21"/>
                <w:szCs w:val="21"/>
              </w:rPr>
            </w:pPr>
            <w:r>
              <w:rPr>
                <w:color w:val="auto"/>
                <w:kern w:val="0"/>
                <w:sz w:val="21"/>
                <w:szCs w:val="21"/>
                <w:lang w:bidi="ar"/>
              </w:rPr>
              <w:t>TP</w:t>
            </w:r>
          </w:p>
        </w:tc>
        <w:tc>
          <w:tcPr>
            <w:tcW w:w="1005" w:type="pct"/>
            <w:tcBorders>
              <w:tl2br w:val="nil"/>
              <w:tr2bl w:val="nil"/>
            </w:tcBorders>
            <w:shd w:val="clear" w:color="auto" w:fill="auto"/>
            <w:vAlign w:val="center"/>
          </w:tcPr>
          <w:p w14:paraId="1FA5EBF7">
            <w:pPr>
              <w:spacing w:line="240" w:lineRule="auto"/>
              <w:ind w:firstLine="0" w:firstLineChars="0"/>
              <w:jc w:val="center"/>
              <w:rPr>
                <w:color w:val="auto"/>
                <w:sz w:val="21"/>
                <w:szCs w:val="21"/>
              </w:rPr>
            </w:pPr>
            <w:r>
              <w:rPr>
                <w:rFonts w:hint="eastAsia"/>
                <w:color w:val="auto"/>
                <w:kern w:val="0"/>
                <w:sz w:val="21"/>
                <w:szCs w:val="21"/>
                <w:lang w:bidi="ar"/>
              </w:rPr>
              <w:t>8</w:t>
            </w:r>
          </w:p>
        </w:tc>
        <w:tc>
          <w:tcPr>
            <w:tcW w:w="2016" w:type="pct"/>
            <w:vMerge w:val="continue"/>
            <w:tcBorders>
              <w:tl2br w:val="nil"/>
              <w:tr2bl w:val="nil"/>
            </w:tcBorders>
            <w:shd w:val="clear" w:color="auto" w:fill="auto"/>
            <w:vAlign w:val="center"/>
          </w:tcPr>
          <w:p w14:paraId="3B5A2B43">
            <w:pPr>
              <w:spacing w:line="240" w:lineRule="auto"/>
              <w:ind w:firstLine="0" w:firstLineChars="0"/>
              <w:jc w:val="center"/>
              <w:rPr>
                <w:color w:val="auto"/>
                <w:sz w:val="21"/>
                <w:szCs w:val="21"/>
              </w:rPr>
            </w:pPr>
          </w:p>
        </w:tc>
      </w:tr>
      <w:tr w14:paraId="08FA2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808" w:type="pct"/>
            <w:vMerge w:val="continue"/>
            <w:tcBorders>
              <w:tl2br w:val="nil"/>
              <w:tr2bl w:val="nil"/>
            </w:tcBorders>
            <w:shd w:val="clear" w:color="auto" w:fill="auto"/>
            <w:vAlign w:val="center"/>
          </w:tcPr>
          <w:p w14:paraId="17CA58C4">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48BC1B9D">
            <w:pPr>
              <w:spacing w:line="240" w:lineRule="auto"/>
              <w:ind w:firstLine="0" w:firstLineChars="0"/>
              <w:jc w:val="center"/>
              <w:rPr>
                <w:color w:val="auto"/>
                <w:sz w:val="21"/>
                <w:szCs w:val="21"/>
              </w:rPr>
            </w:pPr>
            <w:r>
              <w:rPr>
                <w:color w:val="auto"/>
                <w:kern w:val="0"/>
                <w:sz w:val="21"/>
                <w:szCs w:val="21"/>
                <w:lang w:bidi="ar"/>
              </w:rPr>
              <w:t>TN</w:t>
            </w:r>
          </w:p>
        </w:tc>
        <w:tc>
          <w:tcPr>
            <w:tcW w:w="1005" w:type="pct"/>
            <w:tcBorders>
              <w:tl2br w:val="nil"/>
              <w:tr2bl w:val="nil"/>
            </w:tcBorders>
            <w:shd w:val="clear" w:color="auto" w:fill="auto"/>
            <w:vAlign w:val="center"/>
          </w:tcPr>
          <w:p w14:paraId="737C29A7">
            <w:pPr>
              <w:spacing w:line="240" w:lineRule="auto"/>
              <w:ind w:firstLine="0" w:firstLineChars="0"/>
              <w:jc w:val="center"/>
              <w:rPr>
                <w:color w:val="auto"/>
                <w:sz w:val="21"/>
                <w:szCs w:val="21"/>
              </w:rPr>
            </w:pPr>
            <w:r>
              <w:rPr>
                <w:rFonts w:hint="eastAsia"/>
                <w:color w:val="auto"/>
                <w:kern w:val="0"/>
                <w:sz w:val="21"/>
                <w:szCs w:val="21"/>
                <w:lang w:bidi="ar"/>
              </w:rPr>
              <w:t>70</w:t>
            </w:r>
          </w:p>
        </w:tc>
        <w:tc>
          <w:tcPr>
            <w:tcW w:w="2016" w:type="pct"/>
            <w:vMerge w:val="continue"/>
            <w:tcBorders>
              <w:tl2br w:val="nil"/>
              <w:tr2bl w:val="nil"/>
            </w:tcBorders>
            <w:shd w:val="clear" w:color="auto" w:fill="auto"/>
            <w:vAlign w:val="center"/>
          </w:tcPr>
          <w:p w14:paraId="7D56E0C7">
            <w:pPr>
              <w:spacing w:line="240" w:lineRule="auto"/>
              <w:ind w:firstLine="0" w:firstLineChars="0"/>
              <w:jc w:val="center"/>
              <w:rPr>
                <w:color w:val="auto"/>
                <w:sz w:val="21"/>
                <w:szCs w:val="21"/>
              </w:rPr>
            </w:pPr>
          </w:p>
        </w:tc>
      </w:tr>
      <w:tr w14:paraId="70918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808" w:type="pct"/>
            <w:vMerge w:val="continue"/>
            <w:tcBorders>
              <w:tl2br w:val="nil"/>
              <w:tr2bl w:val="nil"/>
            </w:tcBorders>
            <w:shd w:val="clear" w:color="auto" w:fill="auto"/>
            <w:vAlign w:val="center"/>
          </w:tcPr>
          <w:p w14:paraId="00E60A18">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141DFAB6">
            <w:pPr>
              <w:spacing w:line="240" w:lineRule="auto"/>
              <w:ind w:firstLine="0" w:firstLineChars="0"/>
              <w:jc w:val="center"/>
              <w:rPr>
                <w:color w:val="auto"/>
                <w:sz w:val="21"/>
                <w:szCs w:val="21"/>
              </w:rPr>
            </w:pPr>
            <w:r>
              <w:rPr>
                <w:color w:val="auto"/>
                <w:kern w:val="0"/>
                <w:sz w:val="21"/>
                <w:szCs w:val="21"/>
                <w:lang w:bidi="ar"/>
              </w:rPr>
              <w:t>石油类</w:t>
            </w:r>
          </w:p>
        </w:tc>
        <w:tc>
          <w:tcPr>
            <w:tcW w:w="1005" w:type="pct"/>
            <w:tcBorders>
              <w:tl2br w:val="nil"/>
              <w:tr2bl w:val="nil"/>
            </w:tcBorders>
            <w:shd w:val="clear" w:color="auto" w:fill="auto"/>
            <w:vAlign w:val="center"/>
          </w:tcPr>
          <w:p w14:paraId="5D27D03D">
            <w:pPr>
              <w:spacing w:line="240" w:lineRule="auto"/>
              <w:ind w:firstLine="0" w:firstLineChars="0"/>
              <w:jc w:val="center"/>
              <w:rPr>
                <w:color w:val="auto"/>
                <w:sz w:val="21"/>
                <w:szCs w:val="21"/>
              </w:rPr>
            </w:pPr>
            <w:r>
              <w:rPr>
                <w:color w:val="auto"/>
                <w:kern w:val="0"/>
                <w:sz w:val="21"/>
                <w:szCs w:val="21"/>
                <w:lang w:bidi="ar"/>
              </w:rPr>
              <w:t>1</w:t>
            </w:r>
            <w:r>
              <w:rPr>
                <w:rFonts w:hint="eastAsia"/>
                <w:color w:val="auto"/>
                <w:kern w:val="0"/>
                <w:sz w:val="21"/>
                <w:szCs w:val="21"/>
                <w:lang w:bidi="ar"/>
              </w:rPr>
              <w:t>5</w:t>
            </w:r>
          </w:p>
        </w:tc>
        <w:tc>
          <w:tcPr>
            <w:tcW w:w="2016" w:type="pct"/>
            <w:vMerge w:val="continue"/>
            <w:tcBorders>
              <w:tl2br w:val="nil"/>
              <w:tr2bl w:val="nil"/>
            </w:tcBorders>
            <w:shd w:val="clear" w:color="auto" w:fill="auto"/>
            <w:vAlign w:val="center"/>
          </w:tcPr>
          <w:p w14:paraId="5B6C9B5F">
            <w:pPr>
              <w:spacing w:line="240" w:lineRule="auto"/>
              <w:ind w:firstLine="0" w:firstLineChars="0"/>
              <w:jc w:val="center"/>
              <w:rPr>
                <w:color w:val="auto"/>
                <w:sz w:val="21"/>
                <w:szCs w:val="21"/>
              </w:rPr>
            </w:pPr>
          </w:p>
        </w:tc>
      </w:tr>
      <w:tr w14:paraId="43DE1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8" w:type="pct"/>
            <w:vMerge w:val="continue"/>
            <w:tcBorders>
              <w:tl2br w:val="nil"/>
              <w:tr2bl w:val="nil"/>
            </w:tcBorders>
            <w:shd w:val="clear" w:color="auto" w:fill="auto"/>
            <w:vAlign w:val="center"/>
          </w:tcPr>
          <w:p w14:paraId="18FD706D">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4DCEB8EC">
            <w:pPr>
              <w:spacing w:line="240" w:lineRule="auto"/>
              <w:ind w:firstLine="0" w:firstLineChars="0"/>
              <w:jc w:val="center"/>
              <w:rPr>
                <w:color w:val="auto"/>
                <w:kern w:val="0"/>
                <w:sz w:val="21"/>
                <w:szCs w:val="21"/>
                <w:lang w:bidi="ar"/>
              </w:rPr>
            </w:pPr>
            <w:r>
              <w:rPr>
                <w:rFonts w:hint="eastAsia"/>
                <w:color w:val="auto"/>
                <w:kern w:val="0"/>
                <w:sz w:val="21"/>
                <w:szCs w:val="21"/>
                <w:lang w:bidi="ar"/>
              </w:rPr>
              <w:t>LAS</w:t>
            </w:r>
          </w:p>
        </w:tc>
        <w:tc>
          <w:tcPr>
            <w:tcW w:w="1005" w:type="pct"/>
            <w:tcBorders>
              <w:tl2br w:val="nil"/>
              <w:tr2bl w:val="nil"/>
            </w:tcBorders>
            <w:shd w:val="clear" w:color="auto" w:fill="auto"/>
            <w:vAlign w:val="center"/>
          </w:tcPr>
          <w:p w14:paraId="0E991FD6">
            <w:pPr>
              <w:spacing w:line="240" w:lineRule="auto"/>
              <w:ind w:firstLine="0" w:firstLineChars="0"/>
              <w:jc w:val="center"/>
              <w:rPr>
                <w:color w:val="auto"/>
                <w:kern w:val="0"/>
                <w:sz w:val="21"/>
                <w:szCs w:val="21"/>
                <w:lang w:bidi="ar"/>
              </w:rPr>
            </w:pPr>
            <w:r>
              <w:rPr>
                <w:rFonts w:hint="eastAsia"/>
                <w:color w:val="auto"/>
                <w:kern w:val="0"/>
                <w:sz w:val="21"/>
                <w:szCs w:val="21"/>
                <w:lang w:bidi="ar"/>
              </w:rPr>
              <w:t>20</w:t>
            </w:r>
          </w:p>
        </w:tc>
        <w:tc>
          <w:tcPr>
            <w:tcW w:w="2016" w:type="pct"/>
            <w:vMerge w:val="continue"/>
            <w:tcBorders>
              <w:tl2br w:val="nil"/>
              <w:tr2bl w:val="nil"/>
            </w:tcBorders>
            <w:shd w:val="clear" w:color="auto" w:fill="auto"/>
            <w:vAlign w:val="center"/>
          </w:tcPr>
          <w:p w14:paraId="23671003">
            <w:pPr>
              <w:spacing w:line="240" w:lineRule="auto"/>
              <w:ind w:firstLine="0" w:firstLineChars="0"/>
              <w:jc w:val="center"/>
              <w:rPr>
                <w:color w:val="auto"/>
                <w:sz w:val="21"/>
                <w:szCs w:val="21"/>
              </w:rPr>
            </w:pPr>
          </w:p>
        </w:tc>
      </w:tr>
      <w:tr w14:paraId="3D166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392E5D79">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42C4B9C8">
            <w:pPr>
              <w:spacing w:line="240" w:lineRule="auto"/>
              <w:ind w:firstLine="0" w:firstLineChars="0"/>
              <w:jc w:val="center"/>
              <w:rPr>
                <w:color w:val="auto"/>
                <w:sz w:val="21"/>
                <w:szCs w:val="21"/>
              </w:rPr>
            </w:pPr>
            <w:r>
              <w:rPr>
                <w:rFonts w:hint="eastAsia"/>
                <w:color w:val="auto"/>
                <w:sz w:val="21"/>
                <w:szCs w:val="21"/>
              </w:rPr>
              <w:t>动植物油</w:t>
            </w:r>
          </w:p>
        </w:tc>
        <w:tc>
          <w:tcPr>
            <w:tcW w:w="1005" w:type="pct"/>
            <w:tcBorders>
              <w:tl2br w:val="nil"/>
              <w:tr2bl w:val="nil"/>
            </w:tcBorders>
            <w:shd w:val="clear" w:color="auto" w:fill="auto"/>
            <w:vAlign w:val="center"/>
          </w:tcPr>
          <w:p w14:paraId="10180ACC">
            <w:pPr>
              <w:spacing w:line="240" w:lineRule="auto"/>
              <w:ind w:firstLine="0" w:firstLineChars="0"/>
              <w:jc w:val="center"/>
              <w:rPr>
                <w:color w:val="auto"/>
                <w:sz w:val="21"/>
                <w:szCs w:val="21"/>
              </w:rPr>
            </w:pPr>
            <w:r>
              <w:rPr>
                <w:rFonts w:hint="eastAsia"/>
                <w:color w:val="auto"/>
                <w:sz w:val="21"/>
                <w:szCs w:val="21"/>
              </w:rPr>
              <w:t>100</w:t>
            </w:r>
          </w:p>
        </w:tc>
        <w:tc>
          <w:tcPr>
            <w:tcW w:w="2016" w:type="pct"/>
            <w:vMerge w:val="continue"/>
            <w:tcBorders>
              <w:tl2br w:val="nil"/>
              <w:tr2bl w:val="nil"/>
            </w:tcBorders>
            <w:shd w:val="clear" w:color="auto" w:fill="auto"/>
            <w:vAlign w:val="center"/>
          </w:tcPr>
          <w:p w14:paraId="0562DF1F">
            <w:pPr>
              <w:spacing w:line="240" w:lineRule="auto"/>
              <w:ind w:firstLine="0" w:firstLineChars="0"/>
              <w:jc w:val="center"/>
              <w:rPr>
                <w:color w:val="auto"/>
                <w:sz w:val="21"/>
                <w:szCs w:val="21"/>
              </w:rPr>
            </w:pPr>
          </w:p>
        </w:tc>
      </w:tr>
      <w:tr w14:paraId="136AB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1F4B6201">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29FB8A9E">
            <w:pPr>
              <w:spacing w:line="240" w:lineRule="auto"/>
              <w:ind w:firstLine="0" w:firstLineChars="0"/>
              <w:jc w:val="center"/>
              <w:rPr>
                <w:color w:val="auto"/>
                <w:sz w:val="21"/>
                <w:szCs w:val="21"/>
              </w:rPr>
            </w:pPr>
            <w:r>
              <w:rPr>
                <w:rFonts w:hint="eastAsia"/>
                <w:color w:val="auto"/>
                <w:sz w:val="21"/>
                <w:szCs w:val="21"/>
              </w:rPr>
              <w:t>TDS</w:t>
            </w:r>
          </w:p>
        </w:tc>
        <w:tc>
          <w:tcPr>
            <w:tcW w:w="1005" w:type="pct"/>
            <w:tcBorders>
              <w:tl2br w:val="nil"/>
              <w:tr2bl w:val="nil"/>
            </w:tcBorders>
            <w:shd w:val="clear" w:color="auto" w:fill="auto"/>
            <w:vAlign w:val="center"/>
          </w:tcPr>
          <w:p w14:paraId="3201A977">
            <w:pPr>
              <w:spacing w:line="240" w:lineRule="auto"/>
              <w:ind w:firstLine="0" w:firstLineChars="0"/>
              <w:jc w:val="center"/>
              <w:rPr>
                <w:color w:val="auto"/>
                <w:sz w:val="21"/>
                <w:szCs w:val="21"/>
              </w:rPr>
            </w:pPr>
            <w:r>
              <w:rPr>
                <w:rFonts w:hint="eastAsia"/>
                <w:color w:val="auto"/>
                <w:sz w:val="21"/>
                <w:szCs w:val="21"/>
              </w:rPr>
              <w:t>1500</w:t>
            </w:r>
          </w:p>
        </w:tc>
        <w:tc>
          <w:tcPr>
            <w:tcW w:w="2016" w:type="pct"/>
            <w:vMerge w:val="continue"/>
            <w:tcBorders>
              <w:tl2br w:val="nil"/>
              <w:tr2bl w:val="nil"/>
            </w:tcBorders>
            <w:shd w:val="clear" w:color="auto" w:fill="auto"/>
            <w:vAlign w:val="center"/>
          </w:tcPr>
          <w:p w14:paraId="04CEFA73">
            <w:pPr>
              <w:spacing w:line="240" w:lineRule="auto"/>
              <w:ind w:firstLine="0" w:firstLineChars="0"/>
              <w:jc w:val="center"/>
              <w:rPr>
                <w:color w:val="auto"/>
                <w:sz w:val="21"/>
                <w:szCs w:val="21"/>
              </w:rPr>
            </w:pPr>
          </w:p>
        </w:tc>
      </w:tr>
      <w:tr w14:paraId="50C5F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8" w:type="pct"/>
            <w:vMerge w:val="continue"/>
            <w:tcBorders>
              <w:tl2br w:val="nil"/>
              <w:tr2bl w:val="nil"/>
            </w:tcBorders>
            <w:shd w:val="clear" w:color="auto" w:fill="auto"/>
            <w:vAlign w:val="center"/>
          </w:tcPr>
          <w:p w14:paraId="7F992265">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30C98A9B">
            <w:pPr>
              <w:spacing w:line="240" w:lineRule="auto"/>
              <w:ind w:firstLine="0" w:firstLineChars="0"/>
              <w:jc w:val="center"/>
              <w:rPr>
                <w:color w:val="auto"/>
                <w:sz w:val="21"/>
                <w:szCs w:val="21"/>
              </w:rPr>
            </w:pPr>
            <w:r>
              <w:rPr>
                <w:rFonts w:hint="eastAsia"/>
                <w:color w:val="auto"/>
                <w:sz w:val="21"/>
                <w:szCs w:val="21"/>
              </w:rPr>
              <w:t>总铝</w:t>
            </w:r>
          </w:p>
        </w:tc>
        <w:tc>
          <w:tcPr>
            <w:tcW w:w="1005" w:type="pct"/>
            <w:tcBorders>
              <w:tl2br w:val="nil"/>
              <w:tr2bl w:val="nil"/>
            </w:tcBorders>
            <w:shd w:val="clear" w:color="auto" w:fill="auto"/>
            <w:vAlign w:val="center"/>
          </w:tcPr>
          <w:p w14:paraId="3ED73759">
            <w:pPr>
              <w:spacing w:line="240" w:lineRule="auto"/>
              <w:ind w:firstLine="0" w:firstLineChars="0"/>
              <w:jc w:val="center"/>
              <w:rPr>
                <w:color w:val="auto"/>
                <w:sz w:val="21"/>
                <w:szCs w:val="21"/>
              </w:rPr>
            </w:pPr>
            <w:r>
              <w:rPr>
                <w:rFonts w:hint="eastAsia"/>
                <w:color w:val="auto"/>
                <w:sz w:val="21"/>
                <w:szCs w:val="21"/>
              </w:rPr>
              <w:t>2.0</w:t>
            </w:r>
          </w:p>
        </w:tc>
        <w:tc>
          <w:tcPr>
            <w:tcW w:w="2016" w:type="pct"/>
            <w:tcBorders>
              <w:tl2br w:val="nil"/>
              <w:tr2bl w:val="nil"/>
            </w:tcBorders>
            <w:shd w:val="clear" w:color="auto" w:fill="auto"/>
            <w:vAlign w:val="center"/>
          </w:tcPr>
          <w:p w14:paraId="61731F68">
            <w:pPr>
              <w:spacing w:line="240" w:lineRule="auto"/>
              <w:ind w:firstLine="0" w:firstLineChars="0"/>
              <w:jc w:val="center"/>
              <w:rPr>
                <w:color w:val="auto"/>
                <w:kern w:val="0"/>
                <w:sz w:val="21"/>
                <w:szCs w:val="21"/>
                <w:lang w:bidi="ar"/>
              </w:rPr>
            </w:pPr>
            <w:r>
              <w:rPr>
                <w:color w:val="auto"/>
                <w:kern w:val="0"/>
                <w:sz w:val="21"/>
                <w:szCs w:val="21"/>
                <w:lang w:bidi="ar"/>
              </w:rPr>
              <w:t>《电镀污染物排放标准</w:t>
            </w:r>
            <w:r>
              <w:rPr>
                <w:rFonts w:hint="eastAsia"/>
                <w:color w:val="auto"/>
                <w:kern w:val="0"/>
                <w:sz w:val="21"/>
                <w:szCs w:val="21"/>
                <w:lang w:bidi="ar"/>
              </w:rPr>
              <w:t>》</w:t>
            </w:r>
          </w:p>
          <w:p w14:paraId="1888BCF7">
            <w:pPr>
              <w:spacing w:line="240" w:lineRule="auto"/>
              <w:ind w:firstLine="0" w:firstLineChars="0"/>
              <w:jc w:val="center"/>
              <w:rPr>
                <w:color w:val="auto"/>
                <w:kern w:val="0"/>
                <w:sz w:val="21"/>
                <w:szCs w:val="21"/>
                <w:lang w:bidi="ar"/>
              </w:rPr>
            </w:pPr>
            <w:r>
              <w:rPr>
                <w:rFonts w:hint="eastAsia"/>
                <w:color w:val="auto"/>
                <w:kern w:val="0"/>
                <w:sz w:val="21"/>
                <w:szCs w:val="21"/>
                <w:lang w:bidi="ar"/>
              </w:rPr>
              <w:t>(</w:t>
            </w:r>
            <w:r>
              <w:rPr>
                <w:color w:val="auto"/>
                <w:kern w:val="0"/>
                <w:sz w:val="21"/>
                <w:szCs w:val="21"/>
                <w:lang w:bidi="ar"/>
              </w:rPr>
              <w:t>GB21900-2008</w:t>
            </w:r>
            <w:r>
              <w:rPr>
                <w:rFonts w:hint="eastAsia"/>
                <w:color w:val="auto"/>
                <w:kern w:val="0"/>
                <w:sz w:val="21"/>
                <w:szCs w:val="21"/>
                <w:lang w:bidi="ar"/>
              </w:rPr>
              <w:t>)</w:t>
            </w:r>
          </w:p>
        </w:tc>
      </w:tr>
      <w:tr w14:paraId="7C183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8" w:type="pct"/>
            <w:vMerge w:val="restart"/>
            <w:tcBorders>
              <w:tl2br w:val="nil"/>
              <w:tr2bl w:val="nil"/>
            </w:tcBorders>
            <w:shd w:val="clear" w:color="auto" w:fill="auto"/>
            <w:vAlign w:val="center"/>
          </w:tcPr>
          <w:p w14:paraId="569E43A0">
            <w:pPr>
              <w:spacing w:line="240" w:lineRule="auto"/>
              <w:ind w:firstLine="0" w:firstLineChars="0"/>
              <w:jc w:val="center"/>
              <w:rPr>
                <w:color w:val="auto"/>
                <w:sz w:val="21"/>
                <w:szCs w:val="21"/>
              </w:rPr>
            </w:pPr>
            <w:r>
              <w:rPr>
                <w:rFonts w:hint="eastAsia"/>
                <w:color w:val="auto"/>
                <w:sz w:val="21"/>
                <w:szCs w:val="21"/>
              </w:rPr>
              <w:t>外排标准</w:t>
            </w:r>
          </w:p>
        </w:tc>
        <w:tc>
          <w:tcPr>
            <w:tcW w:w="1169" w:type="pct"/>
            <w:tcBorders>
              <w:tl2br w:val="nil"/>
              <w:tr2bl w:val="nil"/>
            </w:tcBorders>
            <w:shd w:val="clear" w:color="auto" w:fill="auto"/>
            <w:vAlign w:val="center"/>
          </w:tcPr>
          <w:p w14:paraId="10952CB1">
            <w:pPr>
              <w:spacing w:line="240" w:lineRule="auto"/>
              <w:ind w:firstLine="0" w:firstLineChars="0"/>
              <w:jc w:val="center"/>
              <w:rPr>
                <w:color w:val="auto"/>
                <w:sz w:val="21"/>
                <w:szCs w:val="21"/>
              </w:rPr>
            </w:pPr>
            <w:r>
              <w:rPr>
                <w:color w:val="auto"/>
                <w:kern w:val="0"/>
                <w:sz w:val="21"/>
                <w:szCs w:val="21"/>
                <w:lang w:bidi="ar"/>
              </w:rPr>
              <w:t>pH</w:t>
            </w:r>
          </w:p>
        </w:tc>
        <w:tc>
          <w:tcPr>
            <w:tcW w:w="1005" w:type="pct"/>
            <w:tcBorders>
              <w:tl2br w:val="nil"/>
              <w:tr2bl w:val="nil"/>
            </w:tcBorders>
            <w:shd w:val="clear" w:color="auto" w:fill="auto"/>
            <w:vAlign w:val="center"/>
          </w:tcPr>
          <w:p w14:paraId="45E0346E">
            <w:pPr>
              <w:spacing w:line="240" w:lineRule="auto"/>
              <w:ind w:firstLine="0" w:firstLineChars="0"/>
              <w:jc w:val="center"/>
              <w:rPr>
                <w:color w:val="auto"/>
                <w:sz w:val="21"/>
                <w:szCs w:val="21"/>
              </w:rPr>
            </w:pPr>
            <w:r>
              <w:rPr>
                <w:rFonts w:hint="eastAsia"/>
                <w:color w:val="auto"/>
                <w:sz w:val="21"/>
                <w:szCs w:val="21"/>
                <w:lang w:bidi="ar"/>
              </w:rPr>
              <w:t>6~9</w:t>
            </w:r>
          </w:p>
        </w:tc>
        <w:tc>
          <w:tcPr>
            <w:tcW w:w="2016" w:type="pct"/>
            <w:vMerge w:val="restart"/>
            <w:tcBorders>
              <w:tl2br w:val="nil"/>
              <w:tr2bl w:val="nil"/>
            </w:tcBorders>
            <w:shd w:val="clear" w:color="auto" w:fill="auto"/>
            <w:vAlign w:val="center"/>
          </w:tcPr>
          <w:p w14:paraId="4548274B">
            <w:pPr>
              <w:spacing w:line="240" w:lineRule="auto"/>
              <w:ind w:firstLine="0" w:firstLineChars="0"/>
              <w:jc w:val="center"/>
              <w:rPr>
                <w:color w:val="auto"/>
                <w:sz w:val="21"/>
                <w:szCs w:val="21"/>
              </w:rPr>
            </w:pPr>
            <w:r>
              <w:rPr>
                <w:color w:val="auto"/>
                <w:kern w:val="0"/>
                <w:sz w:val="21"/>
                <w:szCs w:val="21"/>
                <w:lang w:bidi="ar"/>
              </w:rPr>
              <w:t>《城镇污水处理厂污染物排放标准》（GB18918-2002）一级A标准</w:t>
            </w:r>
          </w:p>
        </w:tc>
      </w:tr>
      <w:tr w14:paraId="47EB7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49391CD6">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2F1422AC">
            <w:pPr>
              <w:spacing w:line="240" w:lineRule="auto"/>
              <w:ind w:firstLine="0" w:firstLineChars="0"/>
              <w:jc w:val="center"/>
              <w:rPr>
                <w:color w:val="auto"/>
                <w:sz w:val="21"/>
                <w:szCs w:val="21"/>
              </w:rPr>
            </w:pPr>
            <w:r>
              <w:rPr>
                <w:color w:val="auto"/>
                <w:kern w:val="0"/>
                <w:sz w:val="21"/>
                <w:szCs w:val="21"/>
                <w:lang w:bidi="ar"/>
              </w:rPr>
              <w:t>COD</w:t>
            </w:r>
          </w:p>
        </w:tc>
        <w:tc>
          <w:tcPr>
            <w:tcW w:w="1005" w:type="pct"/>
            <w:tcBorders>
              <w:tl2br w:val="nil"/>
              <w:tr2bl w:val="nil"/>
            </w:tcBorders>
            <w:shd w:val="clear" w:color="auto" w:fill="auto"/>
            <w:vAlign w:val="center"/>
          </w:tcPr>
          <w:p w14:paraId="3282EDA9">
            <w:pPr>
              <w:spacing w:line="240" w:lineRule="auto"/>
              <w:ind w:firstLine="0" w:firstLineChars="0"/>
              <w:jc w:val="center"/>
              <w:rPr>
                <w:color w:val="auto"/>
                <w:sz w:val="21"/>
                <w:szCs w:val="21"/>
              </w:rPr>
            </w:pPr>
            <w:r>
              <w:rPr>
                <w:color w:val="auto"/>
                <w:sz w:val="21"/>
                <w:szCs w:val="21"/>
                <w:lang w:bidi="ar"/>
              </w:rPr>
              <w:t>50</w:t>
            </w:r>
          </w:p>
        </w:tc>
        <w:tc>
          <w:tcPr>
            <w:tcW w:w="2016" w:type="pct"/>
            <w:vMerge w:val="continue"/>
            <w:tcBorders>
              <w:tl2br w:val="nil"/>
              <w:tr2bl w:val="nil"/>
            </w:tcBorders>
            <w:shd w:val="clear" w:color="auto" w:fill="auto"/>
            <w:vAlign w:val="center"/>
          </w:tcPr>
          <w:p w14:paraId="63E449AE">
            <w:pPr>
              <w:spacing w:line="240" w:lineRule="auto"/>
              <w:ind w:firstLine="0" w:firstLineChars="0"/>
              <w:jc w:val="center"/>
              <w:rPr>
                <w:color w:val="auto"/>
                <w:sz w:val="21"/>
                <w:szCs w:val="21"/>
              </w:rPr>
            </w:pPr>
          </w:p>
        </w:tc>
      </w:tr>
      <w:tr w14:paraId="51180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2F5504F4">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6BABE419">
            <w:pPr>
              <w:spacing w:line="240" w:lineRule="auto"/>
              <w:ind w:firstLine="0" w:firstLineChars="0"/>
              <w:jc w:val="center"/>
              <w:rPr>
                <w:color w:val="auto"/>
                <w:sz w:val="21"/>
                <w:szCs w:val="21"/>
              </w:rPr>
            </w:pPr>
            <w:r>
              <w:rPr>
                <w:color w:val="auto"/>
                <w:kern w:val="0"/>
                <w:sz w:val="21"/>
                <w:szCs w:val="21"/>
                <w:lang w:bidi="ar"/>
              </w:rPr>
              <w:t>SS</w:t>
            </w:r>
          </w:p>
        </w:tc>
        <w:tc>
          <w:tcPr>
            <w:tcW w:w="1005" w:type="pct"/>
            <w:tcBorders>
              <w:tl2br w:val="nil"/>
              <w:tr2bl w:val="nil"/>
            </w:tcBorders>
            <w:shd w:val="clear" w:color="auto" w:fill="auto"/>
            <w:vAlign w:val="center"/>
          </w:tcPr>
          <w:p w14:paraId="3C5A7CA8">
            <w:pPr>
              <w:spacing w:line="240" w:lineRule="auto"/>
              <w:ind w:firstLine="0" w:firstLineChars="0"/>
              <w:jc w:val="center"/>
              <w:rPr>
                <w:color w:val="auto"/>
                <w:sz w:val="21"/>
                <w:szCs w:val="21"/>
              </w:rPr>
            </w:pPr>
            <w:r>
              <w:rPr>
                <w:color w:val="auto"/>
                <w:sz w:val="21"/>
                <w:szCs w:val="21"/>
                <w:lang w:bidi="ar"/>
              </w:rPr>
              <w:t>10</w:t>
            </w:r>
          </w:p>
        </w:tc>
        <w:tc>
          <w:tcPr>
            <w:tcW w:w="2016" w:type="pct"/>
            <w:vMerge w:val="continue"/>
            <w:tcBorders>
              <w:tl2br w:val="nil"/>
              <w:tr2bl w:val="nil"/>
            </w:tcBorders>
            <w:shd w:val="clear" w:color="auto" w:fill="auto"/>
            <w:vAlign w:val="center"/>
          </w:tcPr>
          <w:p w14:paraId="766D1052">
            <w:pPr>
              <w:spacing w:line="240" w:lineRule="auto"/>
              <w:ind w:firstLine="0" w:firstLineChars="0"/>
              <w:jc w:val="center"/>
              <w:rPr>
                <w:color w:val="auto"/>
                <w:sz w:val="21"/>
                <w:szCs w:val="21"/>
              </w:rPr>
            </w:pPr>
          </w:p>
        </w:tc>
      </w:tr>
      <w:tr w14:paraId="04EB6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226DF0AF">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6EB72B0F">
            <w:pPr>
              <w:spacing w:line="240" w:lineRule="auto"/>
              <w:ind w:firstLine="0" w:firstLineChars="0"/>
              <w:jc w:val="center"/>
              <w:rPr>
                <w:color w:val="auto"/>
                <w:sz w:val="21"/>
                <w:szCs w:val="21"/>
              </w:rPr>
            </w:pPr>
            <w:r>
              <w:rPr>
                <w:color w:val="auto"/>
                <w:kern w:val="0"/>
                <w:sz w:val="21"/>
                <w:szCs w:val="21"/>
                <w:lang w:bidi="ar"/>
              </w:rPr>
              <w:t>氨氮</w:t>
            </w:r>
          </w:p>
        </w:tc>
        <w:tc>
          <w:tcPr>
            <w:tcW w:w="1005" w:type="pct"/>
            <w:tcBorders>
              <w:tl2br w:val="nil"/>
              <w:tr2bl w:val="nil"/>
            </w:tcBorders>
            <w:shd w:val="clear" w:color="auto" w:fill="auto"/>
            <w:vAlign w:val="center"/>
          </w:tcPr>
          <w:p w14:paraId="03FBD537">
            <w:pPr>
              <w:spacing w:line="240" w:lineRule="auto"/>
              <w:ind w:firstLine="0" w:firstLineChars="0"/>
              <w:jc w:val="center"/>
              <w:rPr>
                <w:color w:val="auto"/>
                <w:sz w:val="21"/>
                <w:szCs w:val="21"/>
              </w:rPr>
            </w:pPr>
            <w:r>
              <w:rPr>
                <w:color w:val="auto"/>
                <w:kern w:val="0"/>
                <w:sz w:val="21"/>
                <w:szCs w:val="21"/>
                <w:lang w:bidi="ar"/>
              </w:rPr>
              <w:t>5</w:t>
            </w:r>
            <w:r>
              <w:rPr>
                <w:rFonts w:hint="eastAsia"/>
                <w:color w:val="auto"/>
                <w:kern w:val="0"/>
                <w:sz w:val="21"/>
                <w:szCs w:val="21"/>
                <w:lang w:bidi="ar"/>
              </w:rPr>
              <w:t>(</w:t>
            </w:r>
            <w:r>
              <w:rPr>
                <w:color w:val="auto"/>
                <w:kern w:val="0"/>
                <w:sz w:val="21"/>
                <w:szCs w:val="21"/>
                <w:lang w:bidi="ar"/>
              </w:rPr>
              <w:t>8</w:t>
            </w:r>
            <w:r>
              <w:rPr>
                <w:rFonts w:hint="eastAsia"/>
                <w:color w:val="auto"/>
                <w:kern w:val="0"/>
                <w:sz w:val="21"/>
                <w:szCs w:val="21"/>
                <w:lang w:bidi="ar"/>
              </w:rPr>
              <w:t>)</w:t>
            </w:r>
            <w:r>
              <w:rPr>
                <w:color w:val="auto"/>
                <w:kern w:val="0"/>
                <w:sz w:val="21"/>
                <w:szCs w:val="21"/>
                <w:lang w:bidi="ar"/>
              </w:rPr>
              <w:t>*</w:t>
            </w:r>
          </w:p>
        </w:tc>
        <w:tc>
          <w:tcPr>
            <w:tcW w:w="2016" w:type="pct"/>
            <w:vMerge w:val="continue"/>
            <w:tcBorders>
              <w:tl2br w:val="nil"/>
              <w:tr2bl w:val="nil"/>
            </w:tcBorders>
            <w:shd w:val="clear" w:color="auto" w:fill="auto"/>
            <w:vAlign w:val="center"/>
          </w:tcPr>
          <w:p w14:paraId="6F2F4EB5">
            <w:pPr>
              <w:spacing w:line="240" w:lineRule="auto"/>
              <w:ind w:firstLine="0" w:firstLineChars="0"/>
              <w:jc w:val="center"/>
              <w:rPr>
                <w:color w:val="auto"/>
                <w:sz w:val="21"/>
                <w:szCs w:val="21"/>
              </w:rPr>
            </w:pPr>
          </w:p>
        </w:tc>
      </w:tr>
      <w:tr w14:paraId="032C9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5666FD34">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480C95BF">
            <w:pPr>
              <w:spacing w:line="240" w:lineRule="auto"/>
              <w:ind w:firstLine="0" w:firstLineChars="0"/>
              <w:jc w:val="center"/>
              <w:rPr>
                <w:color w:val="auto"/>
                <w:sz w:val="21"/>
                <w:szCs w:val="21"/>
              </w:rPr>
            </w:pPr>
            <w:r>
              <w:rPr>
                <w:color w:val="auto"/>
                <w:kern w:val="0"/>
                <w:sz w:val="21"/>
                <w:szCs w:val="21"/>
                <w:lang w:bidi="ar"/>
              </w:rPr>
              <w:t>TP</w:t>
            </w:r>
          </w:p>
        </w:tc>
        <w:tc>
          <w:tcPr>
            <w:tcW w:w="1005" w:type="pct"/>
            <w:tcBorders>
              <w:tl2br w:val="nil"/>
              <w:tr2bl w:val="nil"/>
            </w:tcBorders>
            <w:shd w:val="clear" w:color="auto" w:fill="auto"/>
            <w:vAlign w:val="center"/>
          </w:tcPr>
          <w:p w14:paraId="25D9A2C5">
            <w:pPr>
              <w:spacing w:line="240" w:lineRule="auto"/>
              <w:ind w:firstLine="0" w:firstLineChars="0"/>
              <w:jc w:val="center"/>
              <w:rPr>
                <w:color w:val="auto"/>
                <w:sz w:val="21"/>
                <w:szCs w:val="21"/>
              </w:rPr>
            </w:pPr>
            <w:r>
              <w:rPr>
                <w:color w:val="auto"/>
                <w:sz w:val="21"/>
                <w:szCs w:val="21"/>
                <w:lang w:bidi="ar"/>
              </w:rPr>
              <w:t>0.5</w:t>
            </w:r>
          </w:p>
        </w:tc>
        <w:tc>
          <w:tcPr>
            <w:tcW w:w="2016" w:type="pct"/>
            <w:vMerge w:val="continue"/>
            <w:tcBorders>
              <w:tl2br w:val="nil"/>
              <w:tr2bl w:val="nil"/>
            </w:tcBorders>
            <w:shd w:val="clear" w:color="auto" w:fill="auto"/>
            <w:vAlign w:val="center"/>
          </w:tcPr>
          <w:p w14:paraId="29462600">
            <w:pPr>
              <w:spacing w:line="240" w:lineRule="auto"/>
              <w:ind w:firstLine="0" w:firstLineChars="0"/>
              <w:jc w:val="center"/>
              <w:rPr>
                <w:color w:val="auto"/>
                <w:sz w:val="21"/>
                <w:szCs w:val="21"/>
              </w:rPr>
            </w:pPr>
          </w:p>
        </w:tc>
      </w:tr>
      <w:tr w14:paraId="2DCDB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61B445D9">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5BE8761E">
            <w:pPr>
              <w:spacing w:line="240" w:lineRule="auto"/>
              <w:ind w:firstLine="0" w:firstLineChars="0"/>
              <w:jc w:val="center"/>
              <w:rPr>
                <w:color w:val="auto"/>
                <w:sz w:val="21"/>
                <w:szCs w:val="21"/>
              </w:rPr>
            </w:pPr>
            <w:r>
              <w:rPr>
                <w:color w:val="auto"/>
                <w:kern w:val="0"/>
                <w:sz w:val="21"/>
                <w:szCs w:val="21"/>
                <w:lang w:bidi="ar"/>
              </w:rPr>
              <w:t>TN</w:t>
            </w:r>
          </w:p>
        </w:tc>
        <w:tc>
          <w:tcPr>
            <w:tcW w:w="1005" w:type="pct"/>
            <w:tcBorders>
              <w:tl2br w:val="nil"/>
              <w:tr2bl w:val="nil"/>
            </w:tcBorders>
            <w:shd w:val="clear" w:color="auto" w:fill="auto"/>
            <w:vAlign w:val="center"/>
          </w:tcPr>
          <w:p w14:paraId="0008370B">
            <w:pPr>
              <w:spacing w:line="240" w:lineRule="auto"/>
              <w:ind w:firstLine="0" w:firstLineChars="0"/>
              <w:jc w:val="center"/>
              <w:rPr>
                <w:color w:val="auto"/>
                <w:sz w:val="21"/>
                <w:szCs w:val="21"/>
              </w:rPr>
            </w:pPr>
            <w:r>
              <w:rPr>
                <w:color w:val="auto"/>
                <w:sz w:val="21"/>
                <w:szCs w:val="21"/>
                <w:lang w:bidi="ar"/>
              </w:rPr>
              <w:t>15</w:t>
            </w:r>
          </w:p>
        </w:tc>
        <w:tc>
          <w:tcPr>
            <w:tcW w:w="2016" w:type="pct"/>
            <w:vMerge w:val="continue"/>
            <w:tcBorders>
              <w:tl2br w:val="nil"/>
              <w:tr2bl w:val="nil"/>
            </w:tcBorders>
            <w:shd w:val="clear" w:color="auto" w:fill="auto"/>
            <w:vAlign w:val="center"/>
          </w:tcPr>
          <w:p w14:paraId="563441D0">
            <w:pPr>
              <w:spacing w:line="240" w:lineRule="auto"/>
              <w:ind w:firstLine="0" w:firstLineChars="0"/>
              <w:jc w:val="center"/>
              <w:rPr>
                <w:color w:val="auto"/>
                <w:sz w:val="21"/>
                <w:szCs w:val="21"/>
              </w:rPr>
            </w:pPr>
          </w:p>
        </w:tc>
      </w:tr>
      <w:tr w14:paraId="6998C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8" w:type="pct"/>
            <w:vMerge w:val="continue"/>
            <w:tcBorders>
              <w:tl2br w:val="nil"/>
              <w:tr2bl w:val="nil"/>
            </w:tcBorders>
            <w:shd w:val="clear" w:color="auto" w:fill="auto"/>
            <w:vAlign w:val="center"/>
          </w:tcPr>
          <w:p w14:paraId="481243BD">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7FBD8FEF">
            <w:pPr>
              <w:spacing w:line="240" w:lineRule="auto"/>
              <w:ind w:firstLine="0" w:firstLineChars="0"/>
              <w:jc w:val="center"/>
              <w:rPr>
                <w:color w:val="auto"/>
                <w:sz w:val="21"/>
                <w:szCs w:val="21"/>
              </w:rPr>
            </w:pPr>
            <w:r>
              <w:rPr>
                <w:color w:val="auto"/>
                <w:kern w:val="0"/>
                <w:sz w:val="21"/>
                <w:szCs w:val="21"/>
                <w:lang w:bidi="ar"/>
              </w:rPr>
              <w:t>石油类</w:t>
            </w:r>
          </w:p>
        </w:tc>
        <w:tc>
          <w:tcPr>
            <w:tcW w:w="1005" w:type="pct"/>
            <w:tcBorders>
              <w:tl2br w:val="nil"/>
              <w:tr2bl w:val="nil"/>
            </w:tcBorders>
            <w:shd w:val="clear" w:color="auto" w:fill="auto"/>
            <w:vAlign w:val="center"/>
          </w:tcPr>
          <w:p w14:paraId="2647C1B5">
            <w:pPr>
              <w:spacing w:line="240" w:lineRule="auto"/>
              <w:ind w:firstLine="0" w:firstLineChars="0"/>
              <w:jc w:val="center"/>
              <w:rPr>
                <w:color w:val="auto"/>
                <w:sz w:val="21"/>
                <w:szCs w:val="21"/>
              </w:rPr>
            </w:pPr>
            <w:r>
              <w:rPr>
                <w:color w:val="auto"/>
                <w:sz w:val="21"/>
                <w:szCs w:val="21"/>
                <w:lang w:bidi="ar"/>
              </w:rPr>
              <w:t>1</w:t>
            </w:r>
          </w:p>
        </w:tc>
        <w:tc>
          <w:tcPr>
            <w:tcW w:w="2016" w:type="pct"/>
            <w:vMerge w:val="continue"/>
            <w:tcBorders>
              <w:tl2br w:val="nil"/>
              <w:tr2bl w:val="nil"/>
            </w:tcBorders>
            <w:shd w:val="clear" w:color="auto" w:fill="auto"/>
            <w:vAlign w:val="center"/>
          </w:tcPr>
          <w:p w14:paraId="29DEF63A">
            <w:pPr>
              <w:spacing w:line="240" w:lineRule="auto"/>
              <w:ind w:firstLine="0" w:firstLineChars="0"/>
              <w:jc w:val="center"/>
              <w:rPr>
                <w:color w:val="auto"/>
                <w:sz w:val="21"/>
                <w:szCs w:val="21"/>
              </w:rPr>
            </w:pPr>
          </w:p>
        </w:tc>
      </w:tr>
      <w:tr w14:paraId="2EEB7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2640D174">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1FB014FA">
            <w:pPr>
              <w:spacing w:line="240" w:lineRule="auto"/>
              <w:ind w:firstLine="0" w:firstLineChars="0"/>
              <w:jc w:val="center"/>
              <w:rPr>
                <w:color w:val="auto"/>
                <w:sz w:val="21"/>
                <w:szCs w:val="21"/>
              </w:rPr>
            </w:pPr>
            <w:r>
              <w:rPr>
                <w:rFonts w:hint="eastAsia"/>
                <w:color w:val="auto"/>
                <w:sz w:val="21"/>
                <w:szCs w:val="21"/>
              </w:rPr>
              <w:t>动植物油</w:t>
            </w:r>
          </w:p>
        </w:tc>
        <w:tc>
          <w:tcPr>
            <w:tcW w:w="1005" w:type="pct"/>
            <w:tcBorders>
              <w:tl2br w:val="nil"/>
              <w:tr2bl w:val="nil"/>
            </w:tcBorders>
            <w:shd w:val="clear" w:color="auto" w:fill="auto"/>
            <w:vAlign w:val="center"/>
          </w:tcPr>
          <w:p w14:paraId="41217963">
            <w:pPr>
              <w:spacing w:line="240" w:lineRule="auto"/>
              <w:ind w:firstLine="0" w:firstLineChars="0"/>
              <w:jc w:val="center"/>
              <w:rPr>
                <w:color w:val="auto"/>
                <w:sz w:val="21"/>
                <w:szCs w:val="21"/>
              </w:rPr>
            </w:pPr>
            <w:r>
              <w:rPr>
                <w:rFonts w:hint="eastAsia"/>
                <w:color w:val="auto"/>
                <w:sz w:val="21"/>
                <w:szCs w:val="21"/>
              </w:rPr>
              <w:t>1</w:t>
            </w:r>
          </w:p>
        </w:tc>
        <w:tc>
          <w:tcPr>
            <w:tcW w:w="2016" w:type="pct"/>
            <w:vMerge w:val="continue"/>
            <w:tcBorders>
              <w:tl2br w:val="nil"/>
              <w:tr2bl w:val="nil"/>
            </w:tcBorders>
            <w:shd w:val="clear" w:color="auto" w:fill="auto"/>
            <w:vAlign w:val="center"/>
          </w:tcPr>
          <w:p w14:paraId="3C3A9824">
            <w:pPr>
              <w:spacing w:line="240" w:lineRule="auto"/>
              <w:ind w:firstLine="0" w:firstLineChars="0"/>
              <w:jc w:val="center"/>
              <w:rPr>
                <w:color w:val="auto"/>
                <w:sz w:val="21"/>
                <w:szCs w:val="21"/>
              </w:rPr>
            </w:pPr>
          </w:p>
        </w:tc>
      </w:tr>
      <w:tr w14:paraId="39C7A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1AC22119">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247C715C">
            <w:pPr>
              <w:spacing w:line="240" w:lineRule="auto"/>
              <w:ind w:firstLine="0" w:firstLineChars="0"/>
              <w:jc w:val="center"/>
              <w:rPr>
                <w:color w:val="auto"/>
                <w:sz w:val="21"/>
                <w:szCs w:val="21"/>
              </w:rPr>
            </w:pPr>
            <w:r>
              <w:rPr>
                <w:rFonts w:hint="eastAsia"/>
                <w:color w:val="auto"/>
                <w:sz w:val="21"/>
                <w:szCs w:val="21"/>
              </w:rPr>
              <w:t>LAS</w:t>
            </w:r>
          </w:p>
        </w:tc>
        <w:tc>
          <w:tcPr>
            <w:tcW w:w="1005" w:type="pct"/>
            <w:tcBorders>
              <w:tl2br w:val="nil"/>
              <w:tr2bl w:val="nil"/>
            </w:tcBorders>
            <w:shd w:val="clear" w:color="auto" w:fill="auto"/>
            <w:vAlign w:val="center"/>
          </w:tcPr>
          <w:p w14:paraId="55158F84">
            <w:pPr>
              <w:spacing w:line="240" w:lineRule="auto"/>
              <w:ind w:firstLine="0" w:firstLineChars="0"/>
              <w:jc w:val="center"/>
              <w:rPr>
                <w:color w:val="auto"/>
                <w:sz w:val="21"/>
                <w:szCs w:val="21"/>
              </w:rPr>
            </w:pPr>
            <w:r>
              <w:rPr>
                <w:rFonts w:hint="eastAsia"/>
                <w:color w:val="auto"/>
                <w:sz w:val="21"/>
                <w:szCs w:val="21"/>
              </w:rPr>
              <w:t>0.5</w:t>
            </w:r>
          </w:p>
        </w:tc>
        <w:tc>
          <w:tcPr>
            <w:tcW w:w="2016" w:type="pct"/>
            <w:vMerge w:val="continue"/>
            <w:tcBorders>
              <w:tl2br w:val="nil"/>
              <w:tr2bl w:val="nil"/>
            </w:tcBorders>
            <w:shd w:val="clear" w:color="auto" w:fill="auto"/>
            <w:vAlign w:val="center"/>
          </w:tcPr>
          <w:p w14:paraId="372FA487">
            <w:pPr>
              <w:spacing w:line="240" w:lineRule="auto"/>
              <w:ind w:firstLine="0" w:firstLineChars="0"/>
              <w:jc w:val="center"/>
              <w:rPr>
                <w:color w:val="auto"/>
                <w:sz w:val="21"/>
                <w:szCs w:val="21"/>
              </w:rPr>
            </w:pPr>
          </w:p>
        </w:tc>
      </w:tr>
      <w:tr w14:paraId="40DD0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3B421C4D">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72448625">
            <w:pPr>
              <w:spacing w:line="240" w:lineRule="auto"/>
              <w:ind w:firstLine="0" w:firstLineChars="0"/>
              <w:jc w:val="center"/>
              <w:rPr>
                <w:color w:val="auto"/>
                <w:sz w:val="21"/>
                <w:szCs w:val="21"/>
              </w:rPr>
            </w:pPr>
            <w:r>
              <w:rPr>
                <w:rFonts w:hint="eastAsia"/>
                <w:color w:val="auto"/>
                <w:sz w:val="21"/>
                <w:szCs w:val="21"/>
              </w:rPr>
              <w:t>总锡</w:t>
            </w:r>
          </w:p>
        </w:tc>
        <w:tc>
          <w:tcPr>
            <w:tcW w:w="1005" w:type="pct"/>
            <w:tcBorders>
              <w:tl2br w:val="nil"/>
              <w:tr2bl w:val="nil"/>
            </w:tcBorders>
            <w:shd w:val="clear" w:color="auto" w:fill="auto"/>
            <w:vAlign w:val="center"/>
          </w:tcPr>
          <w:p w14:paraId="49DB20EB">
            <w:pPr>
              <w:spacing w:line="240" w:lineRule="auto"/>
              <w:ind w:firstLine="0" w:firstLineChars="0"/>
              <w:jc w:val="center"/>
              <w:rPr>
                <w:color w:val="auto"/>
                <w:sz w:val="21"/>
                <w:szCs w:val="21"/>
              </w:rPr>
            </w:pPr>
            <w:r>
              <w:rPr>
                <w:rFonts w:hint="eastAsia"/>
                <w:color w:val="auto"/>
                <w:sz w:val="21"/>
                <w:szCs w:val="21"/>
              </w:rPr>
              <w:t>/</w:t>
            </w:r>
          </w:p>
        </w:tc>
        <w:tc>
          <w:tcPr>
            <w:tcW w:w="2016" w:type="pct"/>
            <w:vMerge w:val="continue"/>
            <w:tcBorders>
              <w:tl2br w:val="nil"/>
              <w:tr2bl w:val="nil"/>
            </w:tcBorders>
            <w:shd w:val="clear" w:color="auto" w:fill="auto"/>
            <w:vAlign w:val="center"/>
          </w:tcPr>
          <w:p w14:paraId="768AAB5D">
            <w:pPr>
              <w:spacing w:line="240" w:lineRule="auto"/>
              <w:ind w:firstLine="0" w:firstLineChars="0"/>
              <w:jc w:val="center"/>
              <w:rPr>
                <w:color w:val="auto"/>
                <w:sz w:val="21"/>
                <w:szCs w:val="21"/>
              </w:rPr>
            </w:pPr>
          </w:p>
        </w:tc>
      </w:tr>
      <w:tr w14:paraId="64A27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restart"/>
            <w:tcBorders>
              <w:tl2br w:val="nil"/>
              <w:tr2bl w:val="nil"/>
            </w:tcBorders>
            <w:shd w:val="clear" w:color="auto" w:fill="auto"/>
            <w:vAlign w:val="center"/>
          </w:tcPr>
          <w:p w14:paraId="79644ACC">
            <w:pPr>
              <w:spacing w:line="240" w:lineRule="auto"/>
              <w:ind w:firstLine="0" w:firstLineChars="0"/>
              <w:jc w:val="center"/>
              <w:rPr>
                <w:color w:val="auto"/>
                <w:sz w:val="21"/>
                <w:szCs w:val="21"/>
              </w:rPr>
            </w:pPr>
            <w:r>
              <w:rPr>
                <w:rFonts w:hint="eastAsia"/>
                <w:color w:val="auto"/>
                <w:sz w:val="21"/>
                <w:szCs w:val="21"/>
              </w:rPr>
              <w:t>外排标准（2026年3月起执行）</w:t>
            </w:r>
          </w:p>
        </w:tc>
        <w:tc>
          <w:tcPr>
            <w:tcW w:w="1169" w:type="pct"/>
            <w:tcBorders>
              <w:tl2br w:val="nil"/>
              <w:tr2bl w:val="nil"/>
            </w:tcBorders>
            <w:shd w:val="clear" w:color="auto" w:fill="auto"/>
            <w:vAlign w:val="center"/>
          </w:tcPr>
          <w:p w14:paraId="179671D8">
            <w:pPr>
              <w:spacing w:line="240" w:lineRule="auto"/>
              <w:ind w:firstLine="0" w:firstLineChars="0"/>
              <w:jc w:val="center"/>
              <w:rPr>
                <w:color w:val="auto"/>
                <w:sz w:val="21"/>
                <w:szCs w:val="21"/>
              </w:rPr>
            </w:pPr>
            <w:r>
              <w:rPr>
                <w:color w:val="auto"/>
                <w:kern w:val="0"/>
                <w:sz w:val="21"/>
                <w:szCs w:val="21"/>
                <w:lang w:bidi="ar"/>
              </w:rPr>
              <w:t>pH</w:t>
            </w:r>
          </w:p>
        </w:tc>
        <w:tc>
          <w:tcPr>
            <w:tcW w:w="1005" w:type="pct"/>
            <w:tcBorders>
              <w:tl2br w:val="nil"/>
              <w:tr2bl w:val="nil"/>
            </w:tcBorders>
            <w:shd w:val="clear" w:color="auto" w:fill="auto"/>
            <w:vAlign w:val="center"/>
          </w:tcPr>
          <w:p w14:paraId="019A1728">
            <w:pPr>
              <w:spacing w:line="240" w:lineRule="auto"/>
              <w:ind w:firstLine="0" w:firstLineChars="0"/>
              <w:jc w:val="center"/>
              <w:rPr>
                <w:color w:val="auto"/>
                <w:kern w:val="0"/>
                <w:sz w:val="21"/>
                <w:szCs w:val="21"/>
                <w:lang w:bidi="ar"/>
              </w:rPr>
            </w:pPr>
            <w:r>
              <w:rPr>
                <w:rFonts w:hint="eastAsia"/>
                <w:color w:val="auto"/>
                <w:sz w:val="21"/>
                <w:szCs w:val="21"/>
                <w:lang w:bidi="ar"/>
              </w:rPr>
              <w:t>6~9</w:t>
            </w:r>
          </w:p>
        </w:tc>
        <w:tc>
          <w:tcPr>
            <w:tcW w:w="2016" w:type="pct"/>
            <w:vMerge w:val="restart"/>
            <w:tcBorders>
              <w:tl2br w:val="nil"/>
              <w:tr2bl w:val="nil"/>
            </w:tcBorders>
            <w:shd w:val="clear" w:color="auto" w:fill="auto"/>
            <w:vAlign w:val="center"/>
          </w:tcPr>
          <w:p w14:paraId="0F77090A">
            <w:pPr>
              <w:spacing w:line="240" w:lineRule="auto"/>
              <w:ind w:firstLine="0" w:firstLineChars="0"/>
              <w:jc w:val="center"/>
              <w:rPr>
                <w:color w:val="auto"/>
                <w:sz w:val="21"/>
                <w:szCs w:val="21"/>
              </w:rPr>
            </w:pPr>
            <w:r>
              <w:rPr>
                <w:rFonts w:hint="eastAsia"/>
                <w:color w:val="auto"/>
                <w:sz w:val="21"/>
                <w:szCs w:val="21"/>
              </w:rPr>
              <w:t>江苏省地方标准《城镇污水处理厂污染物排放标准》（DB32/4440-2022）表1中C类标准</w:t>
            </w:r>
          </w:p>
        </w:tc>
      </w:tr>
      <w:tr w14:paraId="7F8E2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48D25CBE">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493CAE01">
            <w:pPr>
              <w:spacing w:line="240" w:lineRule="auto"/>
              <w:ind w:firstLine="0" w:firstLineChars="0"/>
              <w:jc w:val="center"/>
              <w:rPr>
                <w:color w:val="auto"/>
                <w:sz w:val="21"/>
                <w:szCs w:val="21"/>
              </w:rPr>
            </w:pPr>
            <w:r>
              <w:rPr>
                <w:color w:val="auto"/>
                <w:kern w:val="0"/>
                <w:sz w:val="21"/>
                <w:szCs w:val="21"/>
                <w:lang w:bidi="ar"/>
              </w:rPr>
              <w:t>COD</w:t>
            </w:r>
          </w:p>
        </w:tc>
        <w:tc>
          <w:tcPr>
            <w:tcW w:w="1005" w:type="pct"/>
            <w:tcBorders>
              <w:tl2br w:val="nil"/>
              <w:tr2bl w:val="nil"/>
            </w:tcBorders>
            <w:shd w:val="clear" w:color="auto" w:fill="auto"/>
            <w:vAlign w:val="center"/>
          </w:tcPr>
          <w:p w14:paraId="37EC330E">
            <w:pPr>
              <w:spacing w:line="240" w:lineRule="auto"/>
              <w:ind w:firstLine="0" w:firstLineChars="0"/>
              <w:jc w:val="center"/>
              <w:rPr>
                <w:color w:val="auto"/>
                <w:kern w:val="0"/>
                <w:sz w:val="21"/>
                <w:szCs w:val="21"/>
                <w:lang w:bidi="ar"/>
              </w:rPr>
            </w:pPr>
            <w:r>
              <w:rPr>
                <w:rFonts w:hint="eastAsia"/>
                <w:color w:val="auto"/>
                <w:kern w:val="0"/>
                <w:sz w:val="21"/>
                <w:szCs w:val="21"/>
                <w:lang w:bidi="ar"/>
              </w:rPr>
              <w:t>50</w:t>
            </w:r>
          </w:p>
        </w:tc>
        <w:tc>
          <w:tcPr>
            <w:tcW w:w="2016" w:type="pct"/>
            <w:vMerge w:val="continue"/>
            <w:tcBorders>
              <w:tl2br w:val="nil"/>
              <w:tr2bl w:val="nil"/>
            </w:tcBorders>
            <w:shd w:val="clear" w:color="auto" w:fill="auto"/>
            <w:vAlign w:val="center"/>
          </w:tcPr>
          <w:p w14:paraId="7B6F7FFE">
            <w:pPr>
              <w:spacing w:line="240" w:lineRule="auto"/>
              <w:ind w:firstLine="0" w:firstLineChars="0"/>
              <w:jc w:val="center"/>
              <w:rPr>
                <w:color w:val="auto"/>
                <w:sz w:val="21"/>
                <w:szCs w:val="21"/>
              </w:rPr>
            </w:pPr>
          </w:p>
        </w:tc>
      </w:tr>
      <w:tr w14:paraId="7C6B3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0A79C22E">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7C1B0598">
            <w:pPr>
              <w:spacing w:line="240" w:lineRule="auto"/>
              <w:ind w:firstLine="0" w:firstLineChars="0"/>
              <w:jc w:val="center"/>
              <w:rPr>
                <w:color w:val="auto"/>
                <w:sz w:val="21"/>
                <w:szCs w:val="21"/>
              </w:rPr>
            </w:pPr>
            <w:r>
              <w:rPr>
                <w:color w:val="auto"/>
                <w:kern w:val="0"/>
                <w:sz w:val="21"/>
                <w:szCs w:val="21"/>
                <w:lang w:bidi="ar"/>
              </w:rPr>
              <w:t>SS</w:t>
            </w:r>
          </w:p>
        </w:tc>
        <w:tc>
          <w:tcPr>
            <w:tcW w:w="1005" w:type="pct"/>
            <w:tcBorders>
              <w:tl2br w:val="nil"/>
              <w:tr2bl w:val="nil"/>
            </w:tcBorders>
            <w:shd w:val="clear" w:color="auto" w:fill="auto"/>
            <w:vAlign w:val="center"/>
          </w:tcPr>
          <w:p w14:paraId="33B2A2D6">
            <w:pPr>
              <w:spacing w:line="240" w:lineRule="auto"/>
              <w:ind w:firstLine="0" w:firstLineChars="0"/>
              <w:jc w:val="center"/>
              <w:rPr>
                <w:color w:val="auto"/>
                <w:kern w:val="0"/>
                <w:sz w:val="21"/>
                <w:szCs w:val="21"/>
                <w:lang w:bidi="ar"/>
              </w:rPr>
            </w:pPr>
            <w:r>
              <w:rPr>
                <w:rFonts w:hint="eastAsia"/>
                <w:color w:val="auto"/>
                <w:kern w:val="0"/>
                <w:sz w:val="21"/>
                <w:szCs w:val="21"/>
                <w:lang w:bidi="ar"/>
              </w:rPr>
              <w:t>10</w:t>
            </w:r>
          </w:p>
        </w:tc>
        <w:tc>
          <w:tcPr>
            <w:tcW w:w="2016" w:type="pct"/>
            <w:vMerge w:val="continue"/>
            <w:tcBorders>
              <w:tl2br w:val="nil"/>
              <w:tr2bl w:val="nil"/>
            </w:tcBorders>
            <w:shd w:val="clear" w:color="auto" w:fill="auto"/>
            <w:vAlign w:val="center"/>
          </w:tcPr>
          <w:p w14:paraId="671DC714">
            <w:pPr>
              <w:spacing w:line="240" w:lineRule="auto"/>
              <w:ind w:firstLine="0" w:firstLineChars="0"/>
              <w:jc w:val="center"/>
              <w:rPr>
                <w:color w:val="auto"/>
                <w:sz w:val="21"/>
                <w:szCs w:val="21"/>
              </w:rPr>
            </w:pPr>
          </w:p>
        </w:tc>
      </w:tr>
      <w:tr w14:paraId="7198B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37BEF5AD">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33E3C3A4">
            <w:pPr>
              <w:spacing w:line="240" w:lineRule="auto"/>
              <w:ind w:firstLine="0" w:firstLineChars="0"/>
              <w:jc w:val="center"/>
              <w:rPr>
                <w:color w:val="auto"/>
                <w:sz w:val="21"/>
                <w:szCs w:val="21"/>
              </w:rPr>
            </w:pPr>
            <w:r>
              <w:rPr>
                <w:color w:val="auto"/>
                <w:kern w:val="0"/>
                <w:sz w:val="21"/>
                <w:szCs w:val="21"/>
                <w:lang w:bidi="ar"/>
              </w:rPr>
              <w:t>氨氮</w:t>
            </w:r>
          </w:p>
        </w:tc>
        <w:tc>
          <w:tcPr>
            <w:tcW w:w="1005" w:type="pct"/>
            <w:tcBorders>
              <w:tl2br w:val="nil"/>
              <w:tr2bl w:val="nil"/>
            </w:tcBorders>
            <w:shd w:val="clear" w:color="auto" w:fill="auto"/>
            <w:vAlign w:val="center"/>
          </w:tcPr>
          <w:p w14:paraId="43D54398">
            <w:pPr>
              <w:spacing w:line="240" w:lineRule="auto"/>
              <w:ind w:firstLine="0" w:firstLineChars="0"/>
              <w:jc w:val="center"/>
              <w:rPr>
                <w:color w:val="auto"/>
                <w:kern w:val="0"/>
                <w:sz w:val="21"/>
                <w:szCs w:val="21"/>
                <w:lang w:bidi="ar"/>
              </w:rPr>
            </w:pPr>
            <w:r>
              <w:rPr>
                <w:rFonts w:hint="eastAsia"/>
                <w:color w:val="auto"/>
                <w:kern w:val="0"/>
                <w:sz w:val="21"/>
                <w:szCs w:val="21"/>
                <w:lang w:bidi="ar"/>
              </w:rPr>
              <w:t>4(6)**</w:t>
            </w:r>
          </w:p>
        </w:tc>
        <w:tc>
          <w:tcPr>
            <w:tcW w:w="2016" w:type="pct"/>
            <w:vMerge w:val="continue"/>
            <w:tcBorders>
              <w:tl2br w:val="nil"/>
              <w:tr2bl w:val="nil"/>
            </w:tcBorders>
            <w:shd w:val="clear" w:color="auto" w:fill="auto"/>
            <w:vAlign w:val="center"/>
          </w:tcPr>
          <w:p w14:paraId="678EEFF7">
            <w:pPr>
              <w:spacing w:line="240" w:lineRule="auto"/>
              <w:ind w:firstLine="0" w:firstLineChars="0"/>
              <w:jc w:val="center"/>
              <w:rPr>
                <w:color w:val="auto"/>
                <w:sz w:val="21"/>
                <w:szCs w:val="21"/>
              </w:rPr>
            </w:pPr>
          </w:p>
        </w:tc>
      </w:tr>
      <w:tr w14:paraId="5CABB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808" w:type="pct"/>
            <w:vMerge w:val="continue"/>
            <w:tcBorders>
              <w:tl2br w:val="nil"/>
              <w:tr2bl w:val="nil"/>
            </w:tcBorders>
            <w:shd w:val="clear" w:color="auto" w:fill="auto"/>
            <w:vAlign w:val="center"/>
          </w:tcPr>
          <w:p w14:paraId="0AB4B777">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51EEF612">
            <w:pPr>
              <w:spacing w:line="240" w:lineRule="auto"/>
              <w:ind w:firstLine="0" w:firstLineChars="0"/>
              <w:jc w:val="center"/>
              <w:rPr>
                <w:color w:val="auto"/>
                <w:sz w:val="21"/>
                <w:szCs w:val="21"/>
              </w:rPr>
            </w:pPr>
            <w:r>
              <w:rPr>
                <w:color w:val="auto"/>
                <w:kern w:val="0"/>
                <w:sz w:val="21"/>
                <w:szCs w:val="21"/>
                <w:lang w:bidi="ar"/>
              </w:rPr>
              <w:t>TP</w:t>
            </w:r>
          </w:p>
        </w:tc>
        <w:tc>
          <w:tcPr>
            <w:tcW w:w="1005" w:type="pct"/>
            <w:tcBorders>
              <w:tl2br w:val="nil"/>
              <w:tr2bl w:val="nil"/>
            </w:tcBorders>
            <w:shd w:val="clear" w:color="auto" w:fill="auto"/>
            <w:vAlign w:val="center"/>
          </w:tcPr>
          <w:p w14:paraId="5762DFF6">
            <w:pPr>
              <w:spacing w:line="240" w:lineRule="auto"/>
              <w:ind w:firstLine="0" w:firstLineChars="0"/>
              <w:jc w:val="center"/>
              <w:rPr>
                <w:color w:val="auto"/>
                <w:kern w:val="0"/>
                <w:sz w:val="21"/>
                <w:szCs w:val="21"/>
                <w:lang w:bidi="ar"/>
              </w:rPr>
            </w:pPr>
            <w:r>
              <w:rPr>
                <w:rFonts w:hint="eastAsia"/>
                <w:color w:val="auto"/>
                <w:kern w:val="0"/>
                <w:sz w:val="21"/>
                <w:szCs w:val="21"/>
                <w:lang w:bidi="ar"/>
              </w:rPr>
              <w:t>0.5</w:t>
            </w:r>
          </w:p>
        </w:tc>
        <w:tc>
          <w:tcPr>
            <w:tcW w:w="2016" w:type="pct"/>
            <w:vMerge w:val="continue"/>
            <w:tcBorders>
              <w:tl2br w:val="nil"/>
              <w:tr2bl w:val="nil"/>
            </w:tcBorders>
            <w:shd w:val="clear" w:color="auto" w:fill="auto"/>
            <w:vAlign w:val="center"/>
          </w:tcPr>
          <w:p w14:paraId="0736CEE4">
            <w:pPr>
              <w:spacing w:line="240" w:lineRule="auto"/>
              <w:ind w:firstLine="0" w:firstLineChars="0"/>
              <w:jc w:val="center"/>
              <w:rPr>
                <w:color w:val="auto"/>
                <w:sz w:val="21"/>
                <w:szCs w:val="21"/>
              </w:rPr>
            </w:pPr>
          </w:p>
        </w:tc>
      </w:tr>
      <w:tr w14:paraId="035E7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41BB0B4F">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3FADBE99">
            <w:pPr>
              <w:spacing w:line="240" w:lineRule="auto"/>
              <w:ind w:firstLine="0" w:firstLineChars="0"/>
              <w:jc w:val="center"/>
              <w:rPr>
                <w:color w:val="auto"/>
                <w:sz w:val="21"/>
                <w:szCs w:val="21"/>
              </w:rPr>
            </w:pPr>
            <w:r>
              <w:rPr>
                <w:color w:val="auto"/>
                <w:kern w:val="0"/>
                <w:sz w:val="21"/>
                <w:szCs w:val="21"/>
                <w:lang w:bidi="ar"/>
              </w:rPr>
              <w:t>TN</w:t>
            </w:r>
          </w:p>
        </w:tc>
        <w:tc>
          <w:tcPr>
            <w:tcW w:w="1005" w:type="pct"/>
            <w:tcBorders>
              <w:tl2br w:val="nil"/>
              <w:tr2bl w:val="nil"/>
            </w:tcBorders>
            <w:shd w:val="clear" w:color="auto" w:fill="auto"/>
            <w:vAlign w:val="center"/>
          </w:tcPr>
          <w:p w14:paraId="0775D8D0">
            <w:pPr>
              <w:spacing w:line="240" w:lineRule="auto"/>
              <w:ind w:firstLine="0" w:firstLineChars="0"/>
              <w:jc w:val="center"/>
              <w:rPr>
                <w:color w:val="auto"/>
                <w:kern w:val="0"/>
                <w:sz w:val="21"/>
                <w:szCs w:val="21"/>
                <w:lang w:bidi="ar"/>
              </w:rPr>
            </w:pPr>
            <w:r>
              <w:rPr>
                <w:rFonts w:hint="eastAsia"/>
                <w:color w:val="auto"/>
                <w:kern w:val="0"/>
                <w:sz w:val="21"/>
                <w:szCs w:val="21"/>
                <w:lang w:bidi="ar"/>
              </w:rPr>
              <w:t>12(15)**</w:t>
            </w:r>
          </w:p>
        </w:tc>
        <w:tc>
          <w:tcPr>
            <w:tcW w:w="2016" w:type="pct"/>
            <w:vMerge w:val="continue"/>
            <w:tcBorders>
              <w:tl2br w:val="nil"/>
              <w:tr2bl w:val="nil"/>
            </w:tcBorders>
            <w:shd w:val="clear" w:color="auto" w:fill="auto"/>
            <w:vAlign w:val="center"/>
          </w:tcPr>
          <w:p w14:paraId="4F0B6640">
            <w:pPr>
              <w:spacing w:line="240" w:lineRule="auto"/>
              <w:ind w:firstLine="0" w:firstLineChars="0"/>
              <w:jc w:val="center"/>
              <w:rPr>
                <w:color w:val="auto"/>
                <w:sz w:val="21"/>
                <w:szCs w:val="21"/>
              </w:rPr>
            </w:pPr>
          </w:p>
        </w:tc>
      </w:tr>
      <w:tr w14:paraId="644D0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594A3D87">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102757F6">
            <w:pPr>
              <w:spacing w:line="240" w:lineRule="auto"/>
              <w:ind w:firstLine="0" w:firstLineChars="0"/>
              <w:jc w:val="center"/>
              <w:rPr>
                <w:color w:val="auto"/>
                <w:sz w:val="21"/>
                <w:szCs w:val="21"/>
              </w:rPr>
            </w:pPr>
            <w:r>
              <w:rPr>
                <w:color w:val="auto"/>
                <w:kern w:val="0"/>
                <w:sz w:val="21"/>
                <w:szCs w:val="21"/>
                <w:lang w:bidi="ar"/>
              </w:rPr>
              <w:t>石油类</w:t>
            </w:r>
          </w:p>
        </w:tc>
        <w:tc>
          <w:tcPr>
            <w:tcW w:w="1005" w:type="pct"/>
            <w:tcBorders>
              <w:tl2br w:val="nil"/>
              <w:tr2bl w:val="nil"/>
            </w:tcBorders>
            <w:shd w:val="clear" w:color="auto" w:fill="auto"/>
            <w:vAlign w:val="center"/>
          </w:tcPr>
          <w:p w14:paraId="50662BC4">
            <w:pPr>
              <w:spacing w:line="240" w:lineRule="auto"/>
              <w:ind w:firstLine="0" w:firstLineChars="0"/>
              <w:jc w:val="center"/>
              <w:rPr>
                <w:color w:val="auto"/>
                <w:kern w:val="0"/>
                <w:sz w:val="21"/>
                <w:szCs w:val="21"/>
                <w:lang w:bidi="ar"/>
              </w:rPr>
            </w:pPr>
            <w:r>
              <w:rPr>
                <w:rFonts w:hint="eastAsia"/>
                <w:color w:val="auto"/>
                <w:kern w:val="0"/>
                <w:sz w:val="21"/>
                <w:szCs w:val="21"/>
                <w:lang w:bidi="ar"/>
              </w:rPr>
              <w:t>1</w:t>
            </w:r>
          </w:p>
        </w:tc>
        <w:tc>
          <w:tcPr>
            <w:tcW w:w="2016" w:type="pct"/>
            <w:vMerge w:val="continue"/>
            <w:tcBorders>
              <w:tl2br w:val="nil"/>
              <w:tr2bl w:val="nil"/>
            </w:tcBorders>
            <w:shd w:val="clear" w:color="auto" w:fill="auto"/>
            <w:vAlign w:val="center"/>
          </w:tcPr>
          <w:p w14:paraId="7AA9EF44">
            <w:pPr>
              <w:spacing w:line="240" w:lineRule="auto"/>
              <w:ind w:firstLine="0" w:firstLineChars="0"/>
              <w:jc w:val="center"/>
              <w:rPr>
                <w:color w:val="auto"/>
                <w:sz w:val="21"/>
                <w:szCs w:val="21"/>
              </w:rPr>
            </w:pPr>
          </w:p>
        </w:tc>
      </w:tr>
      <w:tr w14:paraId="0F597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08" w:type="pct"/>
            <w:vMerge w:val="continue"/>
            <w:tcBorders>
              <w:tl2br w:val="nil"/>
              <w:tr2bl w:val="nil"/>
            </w:tcBorders>
            <w:shd w:val="clear" w:color="auto" w:fill="auto"/>
            <w:vAlign w:val="center"/>
          </w:tcPr>
          <w:p w14:paraId="7A28869D">
            <w:pPr>
              <w:spacing w:line="240" w:lineRule="auto"/>
              <w:ind w:firstLine="0" w:firstLineChars="0"/>
              <w:jc w:val="center"/>
              <w:rPr>
                <w:color w:val="auto"/>
                <w:sz w:val="21"/>
                <w:szCs w:val="21"/>
              </w:rPr>
            </w:pPr>
          </w:p>
        </w:tc>
        <w:tc>
          <w:tcPr>
            <w:tcW w:w="1169" w:type="pct"/>
            <w:tcBorders>
              <w:tl2br w:val="nil"/>
              <w:tr2bl w:val="nil"/>
            </w:tcBorders>
            <w:shd w:val="clear" w:color="auto" w:fill="auto"/>
            <w:vAlign w:val="center"/>
          </w:tcPr>
          <w:p w14:paraId="7FC12AAB">
            <w:pPr>
              <w:spacing w:line="240" w:lineRule="auto"/>
              <w:ind w:firstLine="0" w:firstLineChars="0"/>
              <w:jc w:val="center"/>
              <w:rPr>
                <w:color w:val="auto"/>
                <w:sz w:val="21"/>
                <w:szCs w:val="21"/>
              </w:rPr>
            </w:pPr>
            <w:r>
              <w:rPr>
                <w:rFonts w:hint="eastAsia"/>
                <w:color w:val="auto"/>
                <w:sz w:val="21"/>
                <w:szCs w:val="21"/>
              </w:rPr>
              <w:t>动植物油</w:t>
            </w:r>
          </w:p>
        </w:tc>
        <w:tc>
          <w:tcPr>
            <w:tcW w:w="1005" w:type="pct"/>
            <w:tcBorders>
              <w:tl2br w:val="nil"/>
              <w:tr2bl w:val="nil"/>
            </w:tcBorders>
            <w:shd w:val="clear" w:color="auto" w:fill="auto"/>
            <w:vAlign w:val="center"/>
          </w:tcPr>
          <w:p w14:paraId="308EE938">
            <w:pPr>
              <w:spacing w:line="240" w:lineRule="auto"/>
              <w:ind w:firstLine="0" w:firstLineChars="0"/>
              <w:jc w:val="center"/>
              <w:rPr>
                <w:color w:val="auto"/>
                <w:kern w:val="0"/>
                <w:sz w:val="21"/>
                <w:szCs w:val="21"/>
                <w:lang w:bidi="ar"/>
              </w:rPr>
            </w:pPr>
            <w:r>
              <w:rPr>
                <w:rFonts w:hint="eastAsia"/>
                <w:color w:val="auto"/>
                <w:kern w:val="0"/>
                <w:sz w:val="21"/>
                <w:szCs w:val="21"/>
                <w:lang w:bidi="ar"/>
              </w:rPr>
              <w:t>1</w:t>
            </w:r>
          </w:p>
        </w:tc>
        <w:tc>
          <w:tcPr>
            <w:tcW w:w="2016" w:type="pct"/>
            <w:vMerge w:val="continue"/>
            <w:tcBorders>
              <w:tl2br w:val="nil"/>
              <w:tr2bl w:val="nil"/>
            </w:tcBorders>
            <w:shd w:val="clear" w:color="auto" w:fill="auto"/>
            <w:vAlign w:val="center"/>
          </w:tcPr>
          <w:p w14:paraId="7595D000">
            <w:pPr>
              <w:spacing w:line="240" w:lineRule="auto"/>
              <w:ind w:firstLine="0" w:firstLineChars="0"/>
              <w:jc w:val="center"/>
              <w:rPr>
                <w:color w:val="auto"/>
                <w:sz w:val="21"/>
                <w:szCs w:val="21"/>
              </w:rPr>
            </w:pPr>
          </w:p>
        </w:tc>
      </w:tr>
    </w:tbl>
    <w:p w14:paraId="75E4BBEA">
      <w:pPr>
        <w:pStyle w:val="80"/>
        <w:widowControl w:val="0"/>
        <w:spacing w:before="0" w:beforeAutospacing="0" w:after="0" w:afterAutospacing="0"/>
        <w:ind w:firstLine="0" w:firstLineChars="0"/>
        <w:jc w:val="both"/>
        <w:rPr>
          <w:rFonts w:ascii="Times New Roman" w:hAnsi="Times New Roman"/>
          <w:bCs/>
          <w:color w:val="auto"/>
          <w:szCs w:val="18"/>
          <w:lang w:bidi="ar"/>
        </w:rPr>
      </w:pPr>
      <w:r>
        <w:rPr>
          <w:rFonts w:ascii="Times New Roman" w:hAnsi="Times New Roman"/>
          <w:b/>
          <w:color w:val="auto"/>
          <w:szCs w:val="18"/>
          <w:lang w:bidi="ar"/>
        </w:rPr>
        <w:t>注：</w:t>
      </w:r>
      <w:r>
        <w:rPr>
          <w:rFonts w:ascii="Times New Roman" w:hAnsi="Times New Roman"/>
          <w:bCs/>
          <w:color w:val="auto"/>
          <w:szCs w:val="18"/>
          <w:lang w:bidi="ar"/>
        </w:rPr>
        <w:t>*括号外数值为水温＞12℃时的控制指标，括号内数值为水温≤12℃时的控制指标</w:t>
      </w:r>
      <w:r>
        <w:rPr>
          <w:rFonts w:hint="eastAsia" w:ascii="Times New Roman" w:hAnsi="Times New Roman"/>
          <w:bCs/>
          <w:color w:val="auto"/>
          <w:szCs w:val="18"/>
          <w:lang w:bidi="ar"/>
        </w:rPr>
        <w:t>；**每年11月1日至次年3月31日执行括号内排放限值。</w:t>
      </w:r>
    </w:p>
    <w:p w14:paraId="6309EF59">
      <w:pPr>
        <w:spacing w:before="120" w:beforeLines="50"/>
        <w:ind w:firstLine="0" w:firstLineChars="0"/>
        <w:outlineLvl w:val="3"/>
        <w:rPr>
          <w:b/>
          <w:color w:val="auto"/>
        </w:rPr>
      </w:pPr>
      <w:r>
        <w:rPr>
          <w:b/>
          <w:color w:val="auto"/>
        </w:rPr>
        <w:t>2.4.3.3 噪声排放标准</w:t>
      </w:r>
    </w:p>
    <w:p w14:paraId="0F30268A">
      <w:pPr>
        <w:ind w:firstLine="482"/>
        <w:rPr>
          <w:b/>
          <w:bCs/>
          <w:color w:val="auto"/>
        </w:rPr>
      </w:pPr>
      <w:r>
        <w:rPr>
          <w:b/>
          <w:bCs/>
          <w:color w:val="auto"/>
        </w:rPr>
        <w:t>1、施工期</w:t>
      </w:r>
    </w:p>
    <w:p w14:paraId="4543439D">
      <w:pPr>
        <w:ind w:firstLine="480"/>
        <w:jc w:val="left"/>
        <w:rPr>
          <w:color w:val="auto"/>
        </w:rPr>
      </w:pPr>
      <w:r>
        <w:rPr>
          <w:color w:val="auto"/>
        </w:rPr>
        <w:t>施工期噪声执行《建筑施工场界环境噪声排放标准》（GB12523-2011），噪声限值见表</w:t>
      </w:r>
      <w:r>
        <w:rPr>
          <w:color w:val="auto"/>
          <w:szCs w:val="28"/>
        </w:rPr>
        <w:t>2.4</w:t>
      </w:r>
      <w:r>
        <w:rPr>
          <w:rFonts w:hint="eastAsia"/>
          <w:color w:val="auto"/>
          <w:szCs w:val="28"/>
        </w:rPr>
        <w:t>.3-4</w:t>
      </w:r>
      <w:r>
        <w:rPr>
          <w:color w:val="auto"/>
          <w:szCs w:val="28"/>
        </w:rPr>
        <w:t>。</w:t>
      </w:r>
    </w:p>
    <w:p w14:paraId="4085C2D0">
      <w:pPr>
        <w:spacing w:line="240" w:lineRule="auto"/>
        <w:ind w:firstLine="0" w:firstLineChars="0"/>
        <w:jc w:val="center"/>
        <w:rPr>
          <w:b/>
          <w:color w:val="auto"/>
        </w:rPr>
      </w:pPr>
      <w:r>
        <w:rPr>
          <w:b/>
          <w:color w:val="auto"/>
        </w:rPr>
        <w:t>表2.4</w:t>
      </w:r>
      <w:r>
        <w:rPr>
          <w:rFonts w:hint="eastAsia"/>
          <w:b/>
          <w:color w:val="auto"/>
        </w:rPr>
        <w:t>.3-4</w:t>
      </w:r>
      <w:r>
        <w:rPr>
          <w:b/>
          <w:color w:val="auto"/>
        </w:rPr>
        <w:t xml:space="preserve">  建筑施工场界环境噪声排放标准   单位：dB(A)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4643"/>
        <w:gridCol w:w="4643"/>
      </w:tblGrid>
      <w:tr w14:paraId="2BDAA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 w:hRule="atLeast"/>
          <w:jc w:val="center"/>
        </w:trPr>
        <w:tc>
          <w:tcPr>
            <w:tcW w:w="5000" w:type="pct"/>
            <w:gridSpan w:val="2"/>
            <w:vAlign w:val="center"/>
          </w:tcPr>
          <w:p w14:paraId="668F8B2A">
            <w:pPr>
              <w:spacing w:line="240" w:lineRule="auto"/>
              <w:ind w:firstLine="0" w:firstLineChars="0"/>
              <w:jc w:val="center"/>
              <w:rPr>
                <w:b/>
                <w:color w:val="auto"/>
                <w:sz w:val="21"/>
                <w:szCs w:val="21"/>
              </w:rPr>
            </w:pPr>
            <w:r>
              <w:rPr>
                <w:b/>
                <w:color w:val="auto"/>
                <w:sz w:val="21"/>
                <w:szCs w:val="21"/>
              </w:rPr>
              <w:t>噪声限值</w:t>
            </w:r>
          </w:p>
        </w:tc>
      </w:tr>
      <w:tr w14:paraId="70C1D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0" w:hRule="atLeast"/>
          <w:jc w:val="center"/>
        </w:trPr>
        <w:tc>
          <w:tcPr>
            <w:tcW w:w="2500" w:type="pct"/>
            <w:vAlign w:val="center"/>
          </w:tcPr>
          <w:p w14:paraId="7F969093">
            <w:pPr>
              <w:spacing w:line="240" w:lineRule="auto"/>
              <w:ind w:firstLine="0" w:firstLineChars="0"/>
              <w:jc w:val="center"/>
              <w:rPr>
                <w:b/>
                <w:color w:val="auto"/>
                <w:sz w:val="21"/>
                <w:szCs w:val="21"/>
              </w:rPr>
            </w:pPr>
            <w:r>
              <w:rPr>
                <w:b/>
                <w:color w:val="auto"/>
                <w:sz w:val="21"/>
                <w:szCs w:val="21"/>
              </w:rPr>
              <w:t>昼间</w:t>
            </w:r>
          </w:p>
        </w:tc>
        <w:tc>
          <w:tcPr>
            <w:tcW w:w="2500" w:type="pct"/>
            <w:vAlign w:val="center"/>
          </w:tcPr>
          <w:p w14:paraId="4E356072">
            <w:pPr>
              <w:spacing w:line="240" w:lineRule="auto"/>
              <w:ind w:firstLine="0" w:firstLineChars="0"/>
              <w:jc w:val="center"/>
              <w:rPr>
                <w:b/>
                <w:color w:val="auto"/>
                <w:sz w:val="21"/>
                <w:szCs w:val="21"/>
              </w:rPr>
            </w:pPr>
            <w:r>
              <w:rPr>
                <w:b/>
                <w:color w:val="auto"/>
                <w:sz w:val="21"/>
                <w:szCs w:val="21"/>
              </w:rPr>
              <w:t>夜间</w:t>
            </w:r>
          </w:p>
        </w:tc>
      </w:tr>
      <w:tr w14:paraId="4A6FC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0" w:hRule="atLeast"/>
          <w:jc w:val="center"/>
        </w:trPr>
        <w:tc>
          <w:tcPr>
            <w:tcW w:w="2500" w:type="pct"/>
            <w:vAlign w:val="center"/>
          </w:tcPr>
          <w:p w14:paraId="5780738A">
            <w:pPr>
              <w:spacing w:line="240" w:lineRule="auto"/>
              <w:ind w:firstLine="0" w:firstLineChars="0"/>
              <w:jc w:val="center"/>
              <w:rPr>
                <w:color w:val="auto"/>
                <w:sz w:val="21"/>
                <w:szCs w:val="21"/>
              </w:rPr>
            </w:pPr>
            <w:r>
              <w:rPr>
                <w:color w:val="auto"/>
                <w:sz w:val="21"/>
                <w:szCs w:val="21"/>
              </w:rPr>
              <w:t>70</w:t>
            </w:r>
          </w:p>
        </w:tc>
        <w:tc>
          <w:tcPr>
            <w:tcW w:w="2500" w:type="pct"/>
            <w:vAlign w:val="center"/>
          </w:tcPr>
          <w:p w14:paraId="75DD6B71">
            <w:pPr>
              <w:spacing w:line="240" w:lineRule="auto"/>
              <w:ind w:firstLine="0" w:firstLineChars="0"/>
              <w:jc w:val="center"/>
              <w:rPr>
                <w:color w:val="auto"/>
                <w:sz w:val="21"/>
                <w:szCs w:val="21"/>
              </w:rPr>
            </w:pPr>
            <w:r>
              <w:rPr>
                <w:color w:val="auto"/>
                <w:sz w:val="21"/>
                <w:szCs w:val="21"/>
              </w:rPr>
              <w:t>55</w:t>
            </w:r>
          </w:p>
        </w:tc>
      </w:tr>
    </w:tbl>
    <w:p w14:paraId="3D3191FB">
      <w:pPr>
        <w:ind w:firstLine="482"/>
        <w:rPr>
          <w:b/>
          <w:bCs/>
          <w:color w:val="auto"/>
        </w:rPr>
      </w:pPr>
      <w:r>
        <w:rPr>
          <w:b/>
          <w:bCs/>
          <w:color w:val="auto"/>
        </w:rPr>
        <w:t>2、运营期</w:t>
      </w:r>
    </w:p>
    <w:p w14:paraId="31BA1B42">
      <w:pPr>
        <w:ind w:firstLine="480"/>
        <w:rPr>
          <w:b/>
          <w:color w:val="auto"/>
        </w:rPr>
      </w:pPr>
      <w:r>
        <w:rPr>
          <w:color w:val="auto"/>
        </w:rPr>
        <w:t>本项目位于</w:t>
      </w:r>
      <w:r>
        <w:rPr>
          <w:rFonts w:hint="eastAsia"/>
          <w:color w:val="auto"/>
        </w:rPr>
        <w:t>连云港经济技术开发区临港产业区西北片区内</w:t>
      </w:r>
      <w:r>
        <w:rPr>
          <w:color w:val="auto"/>
        </w:rPr>
        <w:t>，执行《工业企业厂界环境噪声排放标准》（GB12348-2008）3类区标准。具体见表2.4</w:t>
      </w:r>
      <w:r>
        <w:rPr>
          <w:rFonts w:hint="eastAsia"/>
          <w:color w:val="auto"/>
        </w:rPr>
        <w:t>.3-5</w:t>
      </w:r>
      <w:r>
        <w:rPr>
          <w:color w:val="auto"/>
        </w:rPr>
        <w:t>。</w:t>
      </w:r>
    </w:p>
    <w:p w14:paraId="4BB47AFB">
      <w:pPr>
        <w:spacing w:line="240" w:lineRule="auto"/>
        <w:ind w:firstLine="0" w:firstLineChars="0"/>
        <w:jc w:val="center"/>
        <w:rPr>
          <w:b/>
          <w:color w:val="auto"/>
        </w:rPr>
      </w:pPr>
      <w:r>
        <w:rPr>
          <w:b/>
          <w:color w:val="auto"/>
        </w:rPr>
        <w:t>表2.4</w:t>
      </w:r>
      <w:r>
        <w:rPr>
          <w:rFonts w:hint="eastAsia"/>
          <w:b/>
          <w:color w:val="auto"/>
        </w:rPr>
        <w:t>.3-5</w:t>
      </w:r>
      <w:r>
        <w:rPr>
          <w:b/>
          <w:color w:val="auto"/>
        </w:rPr>
        <w:t xml:space="preserve">  工业企业厂界环境噪声排放标准    单位：dB(A)</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1824"/>
        <w:gridCol w:w="2322"/>
        <w:gridCol w:w="2320"/>
      </w:tblGrid>
      <w:tr w14:paraId="02E79AC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8" w:type="pct"/>
          </w:tcPr>
          <w:p w14:paraId="65DEDE60">
            <w:pPr>
              <w:spacing w:line="240" w:lineRule="auto"/>
              <w:ind w:firstLine="422"/>
              <w:jc w:val="center"/>
              <w:rPr>
                <w:b/>
                <w:bCs/>
                <w:color w:val="auto"/>
                <w:kern w:val="44"/>
                <w:sz w:val="21"/>
                <w:szCs w:val="20"/>
              </w:rPr>
            </w:pPr>
            <w:r>
              <w:rPr>
                <w:b/>
                <w:bCs/>
                <w:color w:val="auto"/>
                <w:kern w:val="44"/>
                <w:sz w:val="21"/>
                <w:szCs w:val="20"/>
              </w:rPr>
              <w:t>厂界</w:t>
            </w:r>
          </w:p>
        </w:tc>
        <w:tc>
          <w:tcPr>
            <w:tcW w:w="982" w:type="pct"/>
            <w:shd w:val="clear" w:color="auto" w:fill="auto"/>
          </w:tcPr>
          <w:p w14:paraId="3205F7FF">
            <w:pPr>
              <w:spacing w:line="240" w:lineRule="auto"/>
              <w:ind w:firstLine="422"/>
              <w:jc w:val="center"/>
              <w:rPr>
                <w:b/>
                <w:bCs/>
                <w:color w:val="auto"/>
                <w:kern w:val="44"/>
                <w:sz w:val="21"/>
                <w:szCs w:val="20"/>
              </w:rPr>
            </w:pPr>
            <w:r>
              <w:rPr>
                <w:b/>
                <w:bCs/>
                <w:color w:val="auto"/>
                <w:kern w:val="44"/>
                <w:sz w:val="21"/>
                <w:szCs w:val="20"/>
              </w:rPr>
              <w:t>类别</w:t>
            </w:r>
          </w:p>
        </w:tc>
        <w:tc>
          <w:tcPr>
            <w:tcW w:w="1250" w:type="pct"/>
            <w:shd w:val="clear" w:color="auto" w:fill="auto"/>
          </w:tcPr>
          <w:p w14:paraId="2A07B36D">
            <w:pPr>
              <w:spacing w:line="240" w:lineRule="auto"/>
              <w:ind w:firstLine="422"/>
              <w:jc w:val="center"/>
              <w:rPr>
                <w:b/>
                <w:bCs/>
                <w:color w:val="auto"/>
                <w:kern w:val="44"/>
                <w:sz w:val="21"/>
                <w:szCs w:val="20"/>
              </w:rPr>
            </w:pPr>
            <w:r>
              <w:rPr>
                <w:b/>
                <w:bCs/>
                <w:color w:val="auto"/>
                <w:kern w:val="44"/>
                <w:sz w:val="21"/>
                <w:szCs w:val="20"/>
              </w:rPr>
              <w:t>昼间</w:t>
            </w:r>
          </w:p>
        </w:tc>
        <w:tc>
          <w:tcPr>
            <w:tcW w:w="1249" w:type="pct"/>
            <w:shd w:val="clear" w:color="auto" w:fill="auto"/>
          </w:tcPr>
          <w:p w14:paraId="047B2282">
            <w:pPr>
              <w:spacing w:line="240" w:lineRule="auto"/>
              <w:ind w:firstLine="422"/>
              <w:jc w:val="center"/>
              <w:rPr>
                <w:b/>
                <w:bCs/>
                <w:color w:val="auto"/>
                <w:kern w:val="44"/>
                <w:sz w:val="21"/>
                <w:szCs w:val="20"/>
              </w:rPr>
            </w:pPr>
            <w:r>
              <w:rPr>
                <w:b/>
                <w:bCs/>
                <w:color w:val="auto"/>
                <w:kern w:val="44"/>
                <w:sz w:val="21"/>
                <w:szCs w:val="20"/>
              </w:rPr>
              <w:t>夜间</w:t>
            </w:r>
          </w:p>
        </w:tc>
      </w:tr>
      <w:tr w14:paraId="0D5DCB6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8" w:type="pct"/>
            <w:vAlign w:val="center"/>
          </w:tcPr>
          <w:p w14:paraId="0A28F3E6">
            <w:pPr>
              <w:tabs>
                <w:tab w:val="center" w:pos="1404"/>
                <w:tab w:val="right" w:pos="2808"/>
              </w:tabs>
              <w:spacing w:line="240" w:lineRule="auto"/>
              <w:ind w:firstLine="420"/>
              <w:jc w:val="center"/>
              <w:rPr>
                <w:color w:val="auto"/>
                <w:kern w:val="44"/>
                <w:sz w:val="21"/>
                <w:szCs w:val="20"/>
              </w:rPr>
            </w:pPr>
            <w:r>
              <w:rPr>
                <w:color w:val="auto"/>
                <w:kern w:val="44"/>
                <w:sz w:val="21"/>
                <w:szCs w:val="20"/>
              </w:rPr>
              <w:t>东、南、西、北厂界</w:t>
            </w:r>
          </w:p>
        </w:tc>
        <w:tc>
          <w:tcPr>
            <w:tcW w:w="982" w:type="pct"/>
            <w:shd w:val="clear" w:color="auto" w:fill="auto"/>
            <w:vAlign w:val="center"/>
          </w:tcPr>
          <w:p w14:paraId="602175DA">
            <w:pPr>
              <w:tabs>
                <w:tab w:val="center" w:pos="1404"/>
                <w:tab w:val="right" w:pos="2808"/>
              </w:tabs>
              <w:spacing w:line="240" w:lineRule="auto"/>
              <w:ind w:firstLine="420"/>
              <w:jc w:val="center"/>
              <w:rPr>
                <w:color w:val="auto"/>
                <w:kern w:val="44"/>
                <w:sz w:val="21"/>
                <w:szCs w:val="20"/>
              </w:rPr>
            </w:pPr>
            <w:r>
              <w:rPr>
                <w:color w:val="auto"/>
                <w:kern w:val="44"/>
                <w:sz w:val="21"/>
                <w:szCs w:val="20"/>
              </w:rPr>
              <w:t>3</w:t>
            </w:r>
          </w:p>
        </w:tc>
        <w:tc>
          <w:tcPr>
            <w:tcW w:w="1250" w:type="pct"/>
            <w:shd w:val="clear" w:color="auto" w:fill="auto"/>
          </w:tcPr>
          <w:p w14:paraId="7EB31EF9">
            <w:pPr>
              <w:spacing w:line="240" w:lineRule="auto"/>
              <w:ind w:firstLine="420"/>
              <w:jc w:val="center"/>
              <w:rPr>
                <w:color w:val="auto"/>
                <w:kern w:val="44"/>
                <w:sz w:val="21"/>
                <w:szCs w:val="20"/>
              </w:rPr>
            </w:pPr>
            <w:r>
              <w:rPr>
                <w:color w:val="auto"/>
                <w:kern w:val="44"/>
                <w:sz w:val="21"/>
                <w:szCs w:val="20"/>
              </w:rPr>
              <w:t>65</w:t>
            </w:r>
          </w:p>
        </w:tc>
        <w:tc>
          <w:tcPr>
            <w:tcW w:w="1249" w:type="pct"/>
            <w:shd w:val="clear" w:color="auto" w:fill="auto"/>
          </w:tcPr>
          <w:p w14:paraId="38B831DD">
            <w:pPr>
              <w:spacing w:line="240" w:lineRule="auto"/>
              <w:ind w:firstLine="420"/>
              <w:jc w:val="center"/>
              <w:rPr>
                <w:color w:val="auto"/>
                <w:kern w:val="44"/>
                <w:sz w:val="21"/>
                <w:szCs w:val="20"/>
              </w:rPr>
            </w:pPr>
            <w:r>
              <w:rPr>
                <w:color w:val="auto"/>
                <w:kern w:val="44"/>
                <w:sz w:val="21"/>
                <w:szCs w:val="20"/>
              </w:rPr>
              <w:t>55</w:t>
            </w:r>
          </w:p>
        </w:tc>
      </w:tr>
    </w:tbl>
    <w:p w14:paraId="6251A36F">
      <w:pPr>
        <w:spacing w:before="120" w:beforeLines="50"/>
        <w:ind w:firstLine="0" w:firstLineChars="0"/>
        <w:outlineLvl w:val="3"/>
        <w:rPr>
          <w:b/>
          <w:color w:val="auto"/>
        </w:rPr>
      </w:pPr>
      <w:r>
        <w:rPr>
          <w:b/>
          <w:color w:val="auto"/>
        </w:rPr>
        <w:t>2.4.3.4 固体废物贮存标准</w:t>
      </w:r>
    </w:p>
    <w:p w14:paraId="70F7B1D0">
      <w:pPr>
        <w:numPr>
          <w:ilvl w:val="12"/>
          <w:numId w:val="0"/>
        </w:numPr>
        <w:overflowPunct w:val="0"/>
        <w:ind w:firstLine="480" w:firstLineChars="200"/>
        <w:textAlignment w:val="baseline"/>
        <w:rPr>
          <w:bCs/>
          <w:color w:val="auto"/>
          <w:kern w:val="0"/>
          <w:szCs w:val="20"/>
        </w:rPr>
      </w:pPr>
      <w:r>
        <w:rPr>
          <w:bCs/>
          <w:color w:val="auto"/>
          <w:kern w:val="0"/>
          <w:szCs w:val="20"/>
        </w:rPr>
        <w:t>项目产生的一般工业固体废物贮存执行《一般工业固体废物贮存和填埋污染控制标准》（GB18599-2020）要求；危险废物贮存执行《危险废物贮存污染控制标准》（GB18597-2023）、《危险废物识别标志设置技术规范》（HJ1276-2022）及《省生态环境厅关于</w:t>
      </w:r>
      <w:r>
        <w:rPr>
          <w:rFonts w:hint="eastAsia"/>
          <w:bCs/>
          <w:color w:val="auto"/>
          <w:kern w:val="0"/>
          <w:szCs w:val="20"/>
        </w:rPr>
        <w:t>印发〈江苏省固体废物全过程环境监管工作意见〉的通知</w:t>
      </w:r>
      <w:r>
        <w:rPr>
          <w:bCs/>
          <w:color w:val="auto"/>
          <w:kern w:val="0"/>
          <w:szCs w:val="20"/>
        </w:rPr>
        <w:t>》（苏环办〔20</w:t>
      </w:r>
      <w:r>
        <w:rPr>
          <w:rFonts w:hint="eastAsia"/>
          <w:bCs/>
          <w:color w:val="auto"/>
          <w:kern w:val="0"/>
          <w:szCs w:val="20"/>
        </w:rPr>
        <w:t>24</w:t>
      </w:r>
      <w:r>
        <w:rPr>
          <w:bCs/>
          <w:color w:val="auto"/>
          <w:kern w:val="0"/>
          <w:szCs w:val="20"/>
        </w:rPr>
        <w:t>〕</w:t>
      </w:r>
      <w:r>
        <w:rPr>
          <w:rFonts w:hint="eastAsia"/>
          <w:bCs/>
          <w:color w:val="auto"/>
          <w:kern w:val="0"/>
          <w:szCs w:val="20"/>
        </w:rPr>
        <w:t>16</w:t>
      </w:r>
      <w:r>
        <w:rPr>
          <w:bCs/>
          <w:color w:val="auto"/>
          <w:kern w:val="0"/>
          <w:szCs w:val="20"/>
        </w:rPr>
        <w:t>号）等要求；生活垃圾执行《城市生活垃圾管理办法》（建设部令第157号）。</w:t>
      </w:r>
    </w:p>
    <w:p w14:paraId="696D6641">
      <w:pPr>
        <w:pStyle w:val="4"/>
        <w:spacing w:beforeLines="50" w:after="0"/>
        <w:ind w:firstLine="0" w:firstLineChars="0"/>
        <w:rPr>
          <w:color w:val="auto"/>
          <w:sz w:val="30"/>
          <w:szCs w:val="30"/>
        </w:rPr>
      </w:pPr>
      <w:bookmarkStart w:id="37" w:name="_Toc6920"/>
      <w:r>
        <w:rPr>
          <w:color w:val="auto"/>
          <w:sz w:val="30"/>
          <w:szCs w:val="30"/>
        </w:rPr>
        <w:t>2.5 评价工作等级和评价重点</w:t>
      </w:r>
      <w:bookmarkEnd w:id="37"/>
    </w:p>
    <w:p w14:paraId="24F8C8D2">
      <w:pPr>
        <w:keepNext/>
        <w:keepLines/>
        <w:spacing w:before="120" w:beforeLines="50"/>
        <w:ind w:firstLine="0" w:firstLineChars="0"/>
        <w:outlineLvl w:val="2"/>
        <w:rPr>
          <w:b/>
          <w:bCs/>
          <w:color w:val="auto"/>
          <w:sz w:val="28"/>
          <w:szCs w:val="36"/>
        </w:rPr>
      </w:pPr>
      <w:r>
        <w:rPr>
          <w:b/>
          <w:bCs/>
          <w:color w:val="auto"/>
          <w:sz w:val="28"/>
          <w:szCs w:val="36"/>
        </w:rPr>
        <w:t>2.5.1 评价工作等级</w:t>
      </w:r>
    </w:p>
    <w:p w14:paraId="773CE7C5">
      <w:pPr>
        <w:spacing w:before="120" w:beforeLines="50"/>
        <w:ind w:firstLine="0" w:firstLineChars="0"/>
        <w:outlineLvl w:val="3"/>
        <w:rPr>
          <w:b/>
          <w:color w:val="auto"/>
        </w:rPr>
      </w:pPr>
      <w:r>
        <w:rPr>
          <w:b/>
          <w:color w:val="auto"/>
        </w:rPr>
        <w:t>2.5.1.1 大气评价工作等级</w:t>
      </w:r>
    </w:p>
    <w:p w14:paraId="76945558">
      <w:pPr>
        <w:widowControl/>
        <w:ind w:firstLine="482"/>
        <w:rPr>
          <w:b/>
          <w:color w:val="auto"/>
          <w:kern w:val="0"/>
          <w:szCs w:val="20"/>
        </w:rPr>
      </w:pPr>
      <w:bookmarkStart w:id="38" w:name="OLE_LINK8"/>
      <w:r>
        <w:rPr>
          <w:b/>
          <w:color w:val="auto"/>
          <w:kern w:val="0"/>
          <w:szCs w:val="20"/>
        </w:rPr>
        <w:t>1、大气评价等级</w:t>
      </w:r>
    </w:p>
    <w:p w14:paraId="339AF6A6">
      <w:pPr>
        <w:ind w:firstLine="480"/>
        <w:rPr>
          <w:bCs/>
          <w:color w:val="auto"/>
          <w:kern w:val="0"/>
          <w:szCs w:val="20"/>
        </w:rPr>
      </w:pPr>
      <w:r>
        <w:rPr>
          <w:bCs/>
          <w:color w:val="auto"/>
          <w:kern w:val="0"/>
        </w:rPr>
        <w:t>按照《环境影响评价技术导则 大气环境》（HJ2.2-</w:t>
      </w:r>
      <w:r>
        <w:rPr>
          <w:bCs/>
          <w:color w:val="auto"/>
          <w:kern w:val="0"/>
          <w:szCs w:val="20"/>
        </w:rPr>
        <w:t>2018）规定，分别计算项目正常运营工况下每一种污染物排放增量的最大落地浓度占标率P</w:t>
      </w:r>
      <w:r>
        <w:rPr>
          <w:bCs/>
          <w:color w:val="auto"/>
          <w:kern w:val="0"/>
          <w:szCs w:val="20"/>
          <w:vertAlign w:val="subscript"/>
        </w:rPr>
        <w:t>i</w:t>
      </w:r>
      <w:r>
        <w:rPr>
          <w:bCs/>
          <w:color w:val="auto"/>
          <w:kern w:val="0"/>
          <w:szCs w:val="20"/>
        </w:rPr>
        <w:t>（第i个污染物），及第i个污染物的地面浓度达标准限值10%时所对应的最远距离D10%，其中P</w:t>
      </w:r>
      <w:r>
        <w:rPr>
          <w:bCs/>
          <w:color w:val="auto"/>
          <w:kern w:val="0"/>
          <w:szCs w:val="20"/>
          <w:vertAlign w:val="subscript"/>
        </w:rPr>
        <w:t>i</w:t>
      </w:r>
      <w:r>
        <w:rPr>
          <w:bCs/>
          <w:color w:val="auto"/>
          <w:kern w:val="0"/>
          <w:szCs w:val="20"/>
        </w:rPr>
        <w:t>定义为：</w:t>
      </w:r>
    </w:p>
    <w:p w14:paraId="5AF50483">
      <w:pPr>
        <w:ind w:firstLine="0" w:firstLineChars="0"/>
        <w:jc w:val="center"/>
        <w:rPr>
          <w:color w:val="auto"/>
          <w:szCs w:val="28"/>
        </w:rPr>
      </w:pPr>
      <w:r>
        <w:rPr>
          <w:color w:val="auto"/>
          <w:szCs w:val="28"/>
        </w:rPr>
        <w:t>P</w:t>
      </w:r>
      <w:r>
        <w:rPr>
          <w:color w:val="auto"/>
          <w:szCs w:val="28"/>
          <w:vertAlign w:val="subscript"/>
        </w:rPr>
        <w:t>i</w:t>
      </w:r>
      <w:r>
        <w:rPr>
          <w:color w:val="auto"/>
          <w:szCs w:val="28"/>
        </w:rPr>
        <w:t>=C</w:t>
      </w:r>
      <w:r>
        <w:rPr>
          <w:color w:val="auto"/>
          <w:szCs w:val="28"/>
          <w:vertAlign w:val="subscript"/>
        </w:rPr>
        <w:t>i</w:t>
      </w:r>
      <w:r>
        <w:rPr>
          <w:color w:val="auto"/>
          <w:szCs w:val="28"/>
        </w:rPr>
        <w:t>/C</w:t>
      </w:r>
      <w:r>
        <w:rPr>
          <w:color w:val="auto"/>
          <w:szCs w:val="28"/>
          <w:vertAlign w:val="subscript"/>
        </w:rPr>
        <w:t>0i</w:t>
      </w:r>
    </w:p>
    <w:p w14:paraId="04BAF700">
      <w:pPr>
        <w:ind w:firstLine="480"/>
        <w:rPr>
          <w:color w:val="auto"/>
          <w:szCs w:val="28"/>
        </w:rPr>
      </w:pPr>
      <w:r>
        <w:rPr>
          <w:color w:val="auto"/>
          <w:szCs w:val="28"/>
        </w:rPr>
        <w:t>式中：Pi－第i个污染物的最大地面浓度占标率，%；C</w:t>
      </w:r>
      <w:r>
        <w:rPr>
          <w:color w:val="auto"/>
          <w:szCs w:val="28"/>
          <w:vertAlign w:val="subscript"/>
        </w:rPr>
        <w:t>i</w:t>
      </w:r>
      <w:r>
        <w:rPr>
          <w:color w:val="auto"/>
          <w:szCs w:val="28"/>
        </w:rPr>
        <w:t>－采用估算模式计算出的第i个污染物的最大地面浓度，mg/m</w:t>
      </w:r>
      <w:r>
        <w:rPr>
          <w:color w:val="auto"/>
          <w:szCs w:val="28"/>
          <w:vertAlign w:val="superscript"/>
        </w:rPr>
        <w:t>3</w:t>
      </w:r>
      <w:r>
        <w:rPr>
          <w:color w:val="auto"/>
          <w:szCs w:val="28"/>
        </w:rPr>
        <w:t>；C</w:t>
      </w:r>
      <w:r>
        <w:rPr>
          <w:color w:val="auto"/>
          <w:szCs w:val="28"/>
          <w:vertAlign w:val="subscript"/>
        </w:rPr>
        <w:t>0i</w:t>
      </w:r>
      <w:r>
        <w:rPr>
          <w:color w:val="auto"/>
          <w:szCs w:val="28"/>
        </w:rPr>
        <w:t>－第i个污染物的环境空气质量标准，mg/m</w:t>
      </w:r>
      <w:r>
        <w:rPr>
          <w:color w:val="auto"/>
          <w:szCs w:val="28"/>
          <w:vertAlign w:val="superscript"/>
        </w:rPr>
        <w:t>3</w:t>
      </w:r>
      <w:r>
        <w:rPr>
          <w:color w:val="auto"/>
          <w:szCs w:val="28"/>
        </w:rPr>
        <w:t>；C</w:t>
      </w:r>
      <w:r>
        <w:rPr>
          <w:color w:val="auto"/>
          <w:szCs w:val="28"/>
          <w:vertAlign w:val="subscript"/>
        </w:rPr>
        <w:t>0i</w:t>
      </w:r>
      <w:r>
        <w:rPr>
          <w:color w:val="auto"/>
          <w:szCs w:val="28"/>
        </w:rPr>
        <w:t>一般选用GB3095-2012中1小时平均取样时间的二级标准的浓度限值。估算模型参数见表2.5</w:t>
      </w:r>
      <w:r>
        <w:rPr>
          <w:rFonts w:hint="eastAsia"/>
          <w:color w:val="auto"/>
          <w:szCs w:val="28"/>
        </w:rPr>
        <w:t>.1-2</w:t>
      </w:r>
      <w:r>
        <w:rPr>
          <w:color w:val="auto"/>
          <w:szCs w:val="28"/>
        </w:rPr>
        <w:t>。</w:t>
      </w:r>
    </w:p>
    <w:p w14:paraId="13A27393">
      <w:pPr>
        <w:widowControl/>
        <w:spacing w:line="240" w:lineRule="auto"/>
        <w:ind w:firstLine="0" w:firstLineChars="0"/>
        <w:jc w:val="center"/>
        <w:rPr>
          <w:b/>
          <w:bCs/>
          <w:color w:val="auto"/>
          <w:kern w:val="0"/>
          <w:szCs w:val="20"/>
        </w:rPr>
      </w:pPr>
      <w:r>
        <w:rPr>
          <w:b/>
          <w:bCs/>
          <w:color w:val="auto"/>
          <w:kern w:val="0"/>
          <w:szCs w:val="20"/>
        </w:rPr>
        <w:t>表2.5</w:t>
      </w:r>
      <w:r>
        <w:rPr>
          <w:rFonts w:hint="eastAsia"/>
          <w:b/>
          <w:bCs/>
          <w:color w:val="auto"/>
          <w:kern w:val="0"/>
          <w:szCs w:val="20"/>
        </w:rPr>
        <w:t>.1</w:t>
      </w:r>
      <w:r>
        <w:rPr>
          <w:b/>
          <w:bCs/>
          <w:color w:val="auto"/>
          <w:kern w:val="0"/>
          <w:szCs w:val="20"/>
        </w:rPr>
        <w:t>-1  评价工作等级</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108" w:type="dxa"/>
          <w:bottom w:w="57" w:type="dxa"/>
          <w:right w:w="108" w:type="dxa"/>
        </w:tblCellMar>
      </w:tblPr>
      <w:tblGrid>
        <w:gridCol w:w="3118"/>
        <w:gridCol w:w="6168"/>
      </w:tblGrid>
      <w:tr w14:paraId="457C01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142" w:hRule="atLeast"/>
          <w:tblHeader/>
          <w:jc w:val="center"/>
        </w:trPr>
        <w:tc>
          <w:tcPr>
            <w:tcW w:w="3118" w:type="dxa"/>
            <w:vAlign w:val="center"/>
          </w:tcPr>
          <w:p w14:paraId="5A388732">
            <w:pPr>
              <w:spacing w:line="240" w:lineRule="auto"/>
              <w:ind w:firstLine="0" w:firstLineChars="0"/>
              <w:jc w:val="center"/>
              <w:textAlignment w:val="baseline"/>
              <w:rPr>
                <w:b/>
                <w:bCs/>
                <w:color w:val="auto"/>
                <w:kern w:val="0"/>
                <w:sz w:val="21"/>
                <w:szCs w:val="21"/>
              </w:rPr>
            </w:pPr>
            <w:r>
              <w:rPr>
                <w:b/>
                <w:bCs/>
                <w:color w:val="auto"/>
                <w:kern w:val="0"/>
                <w:sz w:val="21"/>
                <w:szCs w:val="21"/>
                <w:lang w:val="zh-CN"/>
              </w:rPr>
              <w:t>评级工作等级</w:t>
            </w:r>
          </w:p>
        </w:tc>
        <w:tc>
          <w:tcPr>
            <w:tcW w:w="6168" w:type="dxa"/>
            <w:vAlign w:val="center"/>
          </w:tcPr>
          <w:p w14:paraId="45A77D3A">
            <w:pPr>
              <w:spacing w:line="240" w:lineRule="auto"/>
              <w:ind w:firstLine="0" w:firstLineChars="0"/>
              <w:jc w:val="center"/>
              <w:textAlignment w:val="baseline"/>
              <w:rPr>
                <w:b/>
                <w:bCs/>
                <w:color w:val="auto"/>
                <w:kern w:val="0"/>
                <w:sz w:val="21"/>
                <w:szCs w:val="21"/>
              </w:rPr>
            </w:pPr>
            <w:r>
              <w:rPr>
                <w:b/>
                <w:bCs/>
                <w:color w:val="auto"/>
                <w:kern w:val="0"/>
                <w:sz w:val="21"/>
                <w:szCs w:val="21"/>
                <w:lang w:val="zh-CN"/>
              </w:rPr>
              <w:t>评价工作分级依据</w:t>
            </w:r>
          </w:p>
        </w:tc>
      </w:tr>
      <w:tr w14:paraId="5F57FC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jc w:val="center"/>
        </w:trPr>
        <w:tc>
          <w:tcPr>
            <w:tcW w:w="3118" w:type="dxa"/>
            <w:vAlign w:val="center"/>
          </w:tcPr>
          <w:p w14:paraId="415CCB64">
            <w:pPr>
              <w:spacing w:line="240" w:lineRule="auto"/>
              <w:ind w:firstLine="0" w:firstLineChars="0"/>
              <w:jc w:val="center"/>
              <w:textAlignment w:val="baseline"/>
              <w:rPr>
                <w:color w:val="auto"/>
                <w:kern w:val="0"/>
                <w:sz w:val="21"/>
                <w:szCs w:val="21"/>
              </w:rPr>
            </w:pPr>
            <w:r>
              <w:rPr>
                <w:color w:val="auto"/>
                <w:kern w:val="0"/>
                <w:sz w:val="21"/>
                <w:szCs w:val="21"/>
                <w:lang w:val="zh-CN"/>
              </w:rPr>
              <w:t>一级</w:t>
            </w:r>
          </w:p>
        </w:tc>
        <w:tc>
          <w:tcPr>
            <w:tcW w:w="6168" w:type="dxa"/>
            <w:vAlign w:val="center"/>
          </w:tcPr>
          <w:p w14:paraId="1FF39997">
            <w:pPr>
              <w:spacing w:line="240" w:lineRule="auto"/>
              <w:ind w:firstLine="0" w:firstLineChars="0"/>
              <w:jc w:val="center"/>
              <w:textAlignment w:val="baseline"/>
              <w:rPr>
                <w:color w:val="auto"/>
                <w:kern w:val="0"/>
                <w:sz w:val="21"/>
                <w:szCs w:val="21"/>
              </w:rPr>
            </w:pPr>
            <w:r>
              <w:rPr>
                <w:color w:val="auto"/>
                <w:kern w:val="0"/>
                <w:sz w:val="21"/>
                <w:szCs w:val="21"/>
                <w:lang w:val="zh-CN"/>
              </w:rPr>
              <w:t>P</w:t>
            </w:r>
            <w:r>
              <w:rPr>
                <w:color w:val="auto"/>
                <w:kern w:val="0"/>
                <w:sz w:val="21"/>
                <w:szCs w:val="21"/>
                <w:vertAlign w:val="subscript"/>
                <w:lang w:val="zh-CN"/>
              </w:rPr>
              <w:t>max</w:t>
            </w:r>
            <w:r>
              <w:rPr>
                <w:color w:val="auto"/>
                <w:kern w:val="0"/>
                <w:sz w:val="21"/>
                <w:szCs w:val="21"/>
                <w:lang w:val="zh-CN"/>
              </w:rPr>
              <w:t>≥10%</w:t>
            </w:r>
          </w:p>
        </w:tc>
      </w:tr>
      <w:tr w14:paraId="012706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jc w:val="center"/>
        </w:trPr>
        <w:tc>
          <w:tcPr>
            <w:tcW w:w="3118" w:type="dxa"/>
            <w:vAlign w:val="center"/>
          </w:tcPr>
          <w:p w14:paraId="4D84D22F">
            <w:pPr>
              <w:spacing w:line="240" w:lineRule="auto"/>
              <w:ind w:firstLine="0" w:firstLineChars="0"/>
              <w:jc w:val="center"/>
              <w:textAlignment w:val="baseline"/>
              <w:rPr>
                <w:color w:val="auto"/>
                <w:kern w:val="0"/>
                <w:sz w:val="21"/>
                <w:szCs w:val="21"/>
              </w:rPr>
            </w:pPr>
            <w:r>
              <w:rPr>
                <w:color w:val="auto"/>
                <w:kern w:val="0"/>
                <w:sz w:val="21"/>
                <w:szCs w:val="21"/>
                <w:lang w:val="zh-CN"/>
              </w:rPr>
              <w:t>二级</w:t>
            </w:r>
          </w:p>
        </w:tc>
        <w:tc>
          <w:tcPr>
            <w:tcW w:w="6168" w:type="dxa"/>
            <w:vAlign w:val="center"/>
          </w:tcPr>
          <w:p w14:paraId="7B803966">
            <w:pPr>
              <w:spacing w:line="240" w:lineRule="auto"/>
              <w:ind w:firstLine="0" w:firstLineChars="0"/>
              <w:jc w:val="center"/>
              <w:textAlignment w:val="baseline"/>
              <w:rPr>
                <w:color w:val="auto"/>
                <w:kern w:val="0"/>
                <w:sz w:val="21"/>
                <w:szCs w:val="21"/>
              </w:rPr>
            </w:pPr>
            <w:r>
              <w:rPr>
                <w:color w:val="auto"/>
                <w:kern w:val="0"/>
                <w:sz w:val="21"/>
                <w:szCs w:val="21"/>
                <w:lang w:val="zh-CN"/>
              </w:rPr>
              <w:t>1%≤P</w:t>
            </w:r>
            <w:r>
              <w:rPr>
                <w:color w:val="auto"/>
                <w:kern w:val="0"/>
                <w:sz w:val="21"/>
                <w:szCs w:val="21"/>
                <w:vertAlign w:val="subscript"/>
                <w:lang w:val="zh-CN"/>
              </w:rPr>
              <w:t>max</w:t>
            </w:r>
            <w:r>
              <w:rPr>
                <w:rFonts w:hint="eastAsia"/>
                <w:color w:val="auto"/>
                <w:kern w:val="0"/>
                <w:sz w:val="21"/>
                <w:szCs w:val="21"/>
                <w:lang w:val="zh-CN"/>
              </w:rPr>
              <w:t>&lt;</w:t>
            </w:r>
            <w:r>
              <w:rPr>
                <w:color w:val="auto"/>
                <w:kern w:val="0"/>
                <w:sz w:val="21"/>
                <w:szCs w:val="21"/>
                <w:lang w:val="zh-CN"/>
              </w:rPr>
              <w:t>10%</w:t>
            </w:r>
          </w:p>
        </w:tc>
      </w:tr>
      <w:tr w14:paraId="459D68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jc w:val="center"/>
        </w:trPr>
        <w:tc>
          <w:tcPr>
            <w:tcW w:w="3118" w:type="dxa"/>
            <w:vAlign w:val="center"/>
          </w:tcPr>
          <w:p w14:paraId="51340D71">
            <w:pPr>
              <w:spacing w:line="240" w:lineRule="auto"/>
              <w:ind w:firstLine="0" w:firstLineChars="0"/>
              <w:jc w:val="center"/>
              <w:textAlignment w:val="baseline"/>
              <w:rPr>
                <w:color w:val="auto"/>
                <w:kern w:val="0"/>
                <w:sz w:val="21"/>
                <w:szCs w:val="21"/>
              </w:rPr>
            </w:pPr>
            <w:r>
              <w:rPr>
                <w:color w:val="auto"/>
                <w:kern w:val="0"/>
                <w:sz w:val="21"/>
                <w:szCs w:val="21"/>
                <w:lang w:val="zh-CN"/>
              </w:rPr>
              <w:t>三级</w:t>
            </w:r>
          </w:p>
        </w:tc>
        <w:tc>
          <w:tcPr>
            <w:tcW w:w="6168" w:type="dxa"/>
            <w:vAlign w:val="center"/>
          </w:tcPr>
          <w:p w14:paraId="54F4924D">
            <w:pPr>
              <w:spacing w:line="240" w:lineRule="auto"/>
              <w:ind w:firstLine="0" w:firstLineChars="0"/>
              <w:jc w:val="center"/>
              <w:textAlignment w:val="baseline"/>
              <w:rPr>
                <w:color w:val="auto"/>
                <w:kern w:val="0"/>
                <w:sz w:val="21"/>
                <w:szCs w:val="21"/>
              </w:rPr>
            </w:pPr>
            <w:r>
              <w:rPr>
                <w:color w:val="auto"/>
                <w:kern w:val="0"/>
                <w:sz w:val="21"/>
                <w:szCs w:val="21"/>
                <w:lang w:val="zh-CN"/>
              </w:rPr>
              <w:t>P</w:t>
            </w:r>
            <w:r>
              <w:rPr>
                <w:color w:val="auto"/>
                <w:kern w:val="0"/>
                <w:sz w:val="21"/>
                <w:szCs w:val="21"/>
                <w:vertAlign w:val="subscript"/>
                <w:lang w:val="zh-CN"/>
              </w:rPr>
              <w:t>max</w:t>
            </w:r>
            <w:r>
              <w:rPr>
                <w:rFonts w:hint="eastAsia"/>
                <w:color w:val="auto"/>
                <w:kern w:val="0"/>
                <w:sz w:val="21"/>
                <w:szCs w:val="21"/>
                <w:vertAlign w:val="subscript"/>
                <w:lang w:val="zh-CN"/>
              </w:rPr>
              <w:t>&lt;</w:t>
            </w:r>
            <w:r>
              <w:rPr>
                <w:color w:val="auto"/>
                <w:kern w:val="0"/>
                <w:sz w:val="21"/>
                <w:szCs w:val="21"/>
                <w:lang w:val="zh-CN"/>
              </w:rPr>
              <w:t>1%</w:t>
            </w:r>
          </w:p>
        </w:tc>
      </w:tr>
    </w:tbl>
    <w:p w14:paraId="42C43F28">
      <w:pPr>
        <w:widowControl/>
        <w:spacing w:before="120" w:beforeLines="50" w:line="240" w:lineRule="auto"/>
        <w:ind w:firstLine="0" w:firstLineChars="0"/>
        <w:jc w:val="center"/>
        <w:rPr>
          <w:b/>
          <w:bCs/>
          <w:color w:val="auto"/>
          <w:kern w:val="0"/>
          <w:szCs w:val="20"/>
        </w:rPr>
      </w:pPr>
      <w:r>
        <w:rPr>
          <w:b/>
          <w:bCs/>
          <w:color w:val="auto"/>
          <w:kern w:val="0"/>
          <w:szCs w:val="20"/>
        </w:rPr>
        <w:t>表2.5</w:t>
      </w:r>
      <w:r>
        <w:rPr>
          <w:rFonts w:hint="eastAsia"/>
          <w:b/>
          <w:bCs/>
          <w:color w:val="auto"/>
          <w:kern w:val="0"/>
          <w:szCs w:val="20"/>
        </w:rPr>
        <w:t>.1</w:t>
      </w:r>
      <w:r>
        <w:rPr>
          <w:b/>
          <w:bCs/>
          <w:color w:val="auto"/>
          <w:kern w:val="0"/>
          <w:szCs w:val="20"/>
        </w:rPr>
        <w:t>-2  估算模型参数表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3447"/>
        <w:gridCol w:w="3100"/>
      </w:tblGrid>
      <w:tr w14:paraId="25AF9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31" w:type="pct"/>
            <w:gridSpan w:val="2"/>
            <w:tcBorders>
              <w:tl2br w:val="nil"/>
              <w:tr2bl w:val="nil"/>
            </w:tcBorders>
            <w:shd w:val="clear" w:color="auto" w:fill="auto"/>
            <w:vAlign w:val="center"/>
          </w:tcPr>
          <w:p w14:paraId="7DB7CABA">
            <w:pPr>
              <w:widowControl/>
              <w:spacing w:line="240" w:lineRule="auto"/>
              <w:ind w:firstLine="0" w:firstLineChars="0"/>
              <w:jc w:val="center"/>
              <w:rPr>
                <w:b/>
                <w:bCs/>
                <w:color w:val="auto"/>
                <w:kern w:val="0"/>
                <w:sz w:val="21"/>
                <w:szCs w:val="21"/>
              </w:rPr>
            </w:pPr>
            <w:r>
              <w:rPr>
                <w:b/>
                <w:bCs/>
                <w:color w:val="auto"/>
                <w:kern w:val="0"/>
                <w:sz w:val="21"/>
                <w:szCs w:val="21"/>
              </w:rPr>
              <w:t>选项</w:t>
            </w:r>
          </w:p>
        </w:tc>
        <w:tc>
          <w:tcPr>
            <w:tcW w:w="1669" w:type="pct"/>
            <w:tcBorders>
              <w:tl2br w:val="nil"/>
              <w:tr2bl w:val="nil"/>
            </w:tcBorders>
            <w:shd w:val="clear" w:color="auto" w:fill="auto"/>
            <w:noWrap/>
            <w:vAlign w:val="center"/>
          </w:tcPr>
          <w:p w14:paraId="0EE942AD">
            <w:pPr>
              <w:widowControl/>
              <w:spacing w:line="240" w:lineRule="auto"/>
              <w:ind w:firstLine="0" w:firstLineChars="0"/>
              <w:jc w:val="center"/>
              <w:rPr>
                <w:b/>
                <w:bCs/>
                <w:color w:val="auto"/>
                <w:kern w:val="0"/>
                <w:sz w:val="21"/>
                <w:szCs w:val="21"/>
              </w:rPr>
            </w:pPr>
            <w:r>
              <w:rPr>
                <w:b/>
                <w:bCs/>
                <w:color w:val="auto"/>
                <w:kern w:val="0"/>
                <w:sz w:val="21"/>
                <w:szCs w:val="21"/>
              </w:rPr>
              <w:t>参数</w:t>
            </w:r>
          </w:p>
        </w:tc>
      </w:tr>
      <w:tr w14:paraId="5D9B3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restart"/>
            <w:tcBorders>
              <w:tl2br w:val="nil"/>
              <w:tr2bl w:val="nil"/>
            </w:tcBorders>
            <w:shd w:val="clear" w:color="auto" w:fill="auto"/>
            <w:vAlign w:val="center"/>
          </w:tcPr>
          <w:p w14:paraId="5C9235E4">
            <w:pPr>
              <w:widowControl/>
              <w:spacing w:line="240" w:lineRule="auto"/>
              <w:ind w:firstLine="0" w:firstLineChars="0"/>
              <w:jc w:val="center"/>
              <w:rPr>
                <w:color w:val="auto"/>
                <w:kern w:val="0"/>
                <w:sz w:val="21"/>
                <w:szCs w:val="21"/>
              </w:rPr>
            </w:pPr>
            <w:r>
              <w:rPr>
                <w:color w:val="auto"/>
                <w:kern w:val="0"/>
                <w:sz w:val="21"/>
                <w:szCs w:val="21"/>
              </w:rPr>
              <w:t>城市/农村选项</w:t>
            </w:r>
          </w:p>
        </w:tc>
        <w:tc>
          <w:tcPr>
            <w:tcW w:w="1856" w:type="pct"/>
            <w:tcBorders>
              <w:tl2br w:val="nil"/>
              <w:tr2bl w:val="nil"/>
            </w:tcBorders>
            <w:shd w:val="clear" w:color="auto" w:fill="auto"/>
            <w:noWrap/>
            <w:vAlign w:val="center"/>
          </w:tcPr>
          <w:p w14:paraId="702A60CA">
            <w:pPr>
              <w:widowControl/>
              <w:spacing w:line="240" w:lineRule="auto"/>
              <w:ind w:firstLine="0" w:firstLineChars="0"/>
              <w:jc w:val="center"/>
              <w:rPr>
                <w:color w:val="auto"/>
                <w:kern w:val="0"/>
                <w:sz w:val="21"/>
                <w:szCs w:val="21"/>
              </w:rPr>
            </w:pPr>
            <w:r>
              <w:rPr>
                <w:color w:val="auto"/>
                <w:kern w:val="0"/>
                <w:sz w:val="21"/>
                <w:szCs w:val="21"/>
              </w:rPr>
              <w:t>城市/农村</w:t>
            </w:r>
          </w:p>
        </w:tc>
        <w:tc>
          <w:tcPr>
            <w:tcW w:w="1669" w:type="pct"/>
            <w:tcBorders>
              <w:tl2br w:val="nil"/>
              <w:tr2bl w:val="nil"/>
            </w:tcBorders>
            <w:shd w:val="clear" w:color="auto" w:fill="auto"/>
            <w:noWrap/>
            <w:vAlign w:val="center"/>
          </w:tcPr>
          <w:p w14:paraId="24D013FB">
            <w:pPr>
              <w:widowControl/>
              <w:spacing w:line="240" w:lineRule="auto"/>
              <w:ind w:firstLine="0" w:firstLineChars="0"/>
              <w:jc w:val="center"/>
              <w:rPr>
                <w:color w:val="auto"/>
                <w:kern w:val="0"/>
                <w:sz w:val="21"/>
                <w:szCs w:val="21"/>
              </w:rPr>
            </w:pPr>
            <w:r>
              <w:rPr>
                <w:rFonts w:hint="eastAsia"/>
                <w:color w:val="auto"/>
                <w:kern w:val="0"/>
                <w:sz w:val="21"/>
                <w:szCs w:val="21"/>
              </w:rPr>
              <w:t>城市</w:t>
            </w:r>
          </w:p>
        </w:tc>
      </w:tr>
      <w:tr w14:paraId="79BD7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continue"/>
            <w:tcBorders>
              <w:tl2br w:val="nil"/>
              <w:tr2bl w:val="nil"/>
            </w:tcBorders>
            <w:vAlign w:val="center"/>
          </w:tcPr>
          <w:p w14:paraId="27489958">
            <w:pPr>
              <w:widowControl/>
              <w:spacing w:line="240" w:lineRule="auto"/>
              <w:ind w:firstLine="0" w:firstLineChars="0"/>
              <w:jc w:val="center"/>
              <w:rPr>
                <w:color w:val="auto"/>
                <w:kern w:val="0"/>
                <w:sz w:val="21"/>
                <w:szCs w:val="21"/>
              </w:rPr>
            </w:pPr>
          </w:p>
        </w:tc>
        <w:tc>
          <w:tcPr>
            <w:tcW w:w="1856" w:type="pct"/>
            <w:tcBorders>
              <w:tl2br w:val="nil"/>
              <w:tr2bl w:val="nil"/>
            </w:tcBorders>
            <w:shd w:val="clear" w:color="auto" w:fill="auto"/>
            <w:noWrap/>
            <w:vAlign w:val="center"/>
          </w:tcPr>
          <w:p w14:paraId="272F87E2">
            <w:pPr>
              <w:widowControl/>
              <w:spacing w:line="240" w:lineRule="auto"/>
              <w:ind w:firstLine="0" w:firstLineChars="0"/>
              <w:jc w:val="center"/>
              <w:rPr>
                <w:color w:val="auto"/>
                <w:kern w:val="0"/>
                <w:sz w:val="21"/>
                <w:szCs w:val="21"/>
              </w:rPr>
            </w:pPr>
            <w:r>
              <w:rPr>
                <w:color w:val="auto"/>
                <w:kern w:val="0"/>
                <w:sz w:val="21"/>
                <w:szCs w:val="21"/>
              </w:rPr>
              <w:t>人口数（城市选项时）</w:t>
            </w:r>
          </w:p>
        </w:tc>
        <w:tc>
          <w:tcPr>
            <w:tcW w:w="1669" w:type="pct"/>
            <w:tcBorders>
              <w:tl2br w:val="nil"/>
              <w:tr2bl w:val="nil"/>
            </w:tcBorders>
            <w:shd w:val="clear" w:color="auto" w:fill="auto"/>
            <w:noWrap/>
            <w:vAlign w:val="center"/>
          </w:tcPr>
          <w:p w14:paraId="657CA471">
            <w:pPr>
              <w:widowControl/>
              <w:spacing w:line="240" w:lineRule="auto"/>
              <w:ind w:firstLine="0" w:firstLineChars="0"/>
              <w:jc w:val="center"/>
              <w:rPr>
                <w:color w:val="auto"/>
                <w:kern w:val="0"/>
                <w:sz w:val="21"/>
                <w:szCs w:val="21"/>
              </w:rPr>
            </w:pPr>
            <w:r>
              <w:rPr>
                <w:color w:val="auto"/>
                <w:kern w:val="0"/>
                <w:sz w:val="21"/>
                <w:szCs w:val="21"/>
              </w:rPr>
              <w:t>/</w:t>
            </w:r>
          </w:p>
        </w:tc>
      </w:tr>
      <w:tr w14:paraId="128DC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31" w:type="pct"/>
            <w:gridSpan w:val="2"/>
            <w:tcBorders>
              <w:tl2br w:val="nil"/>
              <w:tr2bl w:val="nil"/>
            </w:tcBorders>
            <w:shd w:val="clear" w:color="auto" w:fill="auto"/>
            <w:vAlign w:val="center"/>
          </w:tcPr>
          <w:p w14:paraId="75922F98">
            <w:pPr>
              <w:widowControl/>
              <w:spacing w:line="240" w:lineRule="auto"/>
              <w:ind w:firstLine="0" w:firstLineChars="0"/>
              <w:jc w:val="center"/>
              <w:rPr>
                <w:color w:val="auto"/>
                <w:kern w:val="0"/>
                <w:sz w:val="21"/>
                <w:szCs w:val="21"/>
              </w:rPr>
            </w:pPr>
            <w:r>
              <w:rPr>
                <w:color w:val="auto"/>
                <w:kern w:val="0"/>
                <w:sz w:val="21"/>
                <w:szCs w:val="21"/>
              </w:rPr>
              <w:t>最高环境温度/℃</w:t>
            </w:r>
          </w:p>
        </w:tc>
        <w:tc>
          <w:tcPr>
            <w:tcW w:w="1669" w:type="pct"/>
            <w:tcBorders>
              <w:tl2br w:val="nil"/>
              <w:tr2bl w:val="nil"/>
            </w:tcBorders>
            <w:shd w:val="clear" w:color="auto" w:fill="auto"/>
            <w:noWrap/>
            <w:vAlign w:val="center"/>
          </w:tcPr>
          <w:p w14:paraId="0438CFEF">
            <w:pPr>
              <w:widowControl/>
              <w:spacing w:line="240" w:lineRule="auto"/>
              <w:ind w:firstLine="0" w:firstLineChars="0"/>
              <w:jc w:val="center"/>
              <w:rPr>
                <w:color w:val="auto"/>
                <w:kern w:val="0"/>
                <w:sz w:val="21"/>
                <w:szCs w:val="21"/>
              </w:rPr>
            </w:pPr>
            <w:r>
              <w:rPr>
                <w:color w:val="auto"/>
                <w:kern w:val="0"/>
                <w:sz w:val="21"/>
                <w:szCs w:val="21"/>
              </w:rPr>
              <w:t>39.5</w:t>
            </w:r>
          </w:p>
        </w:tc>
      </w:tr>
      <w:tr w14:paraId="79769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31" w:type="pct"/>
            <w:gridSpan w:val="2"/>
            <w:tcBorders>
              <w:tl2br w:val="nil"/>
              <w:tr2bl w:val="nil"/>
            </w:tcBorders>
            <w:shd w:val="clear" w:color="auto" w:fill="auto"/>
            <w:vAlign w:val="center"/>
          </w:tcPr>
          <w:p w14:paraId="63CEBED9">
            <w:pPr>
              <w:widowControl/>
              <w:spacing w:line="240" w:lineRule="auto"/>
              <w:ind w:firstLine="0" w:firstLineChars="0"/>
              <w:jc w:val="center"/>
              <w:rPr>
                <w:color w:val="auto"/>
                <w:kern w:val="0"/>
                <w:sz w:val="21"/>
                <w:szCs w:val="21"/>
              </w:rPr>
            </w:pPr>
            <w:r>
              <w:rPr>
                <w:color w:val="auto"/>
                <w:kern w:val="0"/>
                <w:sz w:val="21"/>
                <w:szCs w:val="21"/>
              </w:rPr>
              <w:t>最低环境温度/℃</w:t>
            </w:r>
          </w:p>
        </w:tc>
        <w:tc>
          <w:tcPr>
            <w:tcW w:w="1669" w:type="pct"/>
            <w:tcBorders>
              <w:tl2br w:val="nil"/>
              <w:tr2bl w:val="nil"/>
            </w:tcBorders>
            <w:shd w:val="clear" w:color="auto" w:fill="auto"/>
            <w:noWrap/>
            <w:vAlign w:val="center"/>
          </w:tcPr>
          <w:p w14:paraId="0D7C6D37">
            <w:pPr>
              <w:widowControl/>
              <w:spacing w:line="240" w:lineRule="auto"/>
              <w:ind w:firstLine="0" w:firstLineChars="0"/>
              <w:jc w:val="center"/>
              <w:rPr>
                <w:color w:val="auto"/>
                <w:kern w:val="0"/>
                <w:sz w:val="21"/>
                <w:szCs w:val="21"/>
              </w:rPr>
            </w:pPr>
            <w:r>
              <w:rPr>
                <w:color w:val="auto"/>
                <w:kern w:val="0"/>
                <w:sz w:val="21"/>
                <w:szCs w:val="21"/>
              </w:rPr>
              <w:t>-19</w:t>
            </w:r>
          </w:p>
        </w:tc>
      </w:tr>
      <w:tr w14:paraId="2E867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31" w:type="pct"/>
            <w:gridSpan w:val="2"/>
            <w:tcBorders>
              <w:tl2br w:val="nil"/>
              <w:tr2bl w:val="nil"/>
            </w:tcBorders>
            <w:shd w:val="clear" w:color="auto" w:fill="auto"/>
            <w:vAlign w:val="center"/>
          </w:tcPr>
          <w:p w14:paraId="5681BB75">
            <w:pPr>
              <w:widowControl/>
              <w:spacing w:line="240" w:lineRule="auto"/>
              <w:ind w:firstLine="0" w:firstLineChars="0"/>
              <w:jc w:val="center"/>
              <w:rPr>
                <w:color w:val="auto"/>
                <w:kern w:val="0"/>
                <w:sz w:val="21"/>
                <w:szCs w:val="21"/>
              </w:rPr>
            </w:pPr>
            <w:r>
              <w:rPr>
                <w:color w:val="auto"/>
                <w:kern w:val="0"/>
                <w:sz w:val="21"/>
                <w:szCs w:val="21"/>
              </w:rPr>
              <w:t>土地利用类型</w:t>
            </w:r>
          </w:p>
        </w:tc>
        <w:tc>
          <w:tcPr>
            <w:tcW w:w="1669" w:type="pct"/>
            <w:tcBorders>
              <w:tl2br w:val="nil"/>
              <w:tr2bl w:val="nil"/>
            </w:tcBorders>
            <w:shd w:val="clear" w:color="auto" w:fill="auto"/>
            <w:noWrap/>
            <w:vAlign w:val="center"/>
          </w:tcPr>
          <w:p w14:paraId="4A014A26">
            <w:pPr>
              <w:widowControl/>
              <w:spacing w:line="240" w:lineRule="auto"/>
              <w:ind w:firstLine="0" w:firstLineChars="0"/>
              <w:jc w:val="center"/>
              <w:rPr>
                <w:color w:val="auto"/>
                <w:kern w:val="0"/>
                <w:sz w:val="21"/>
                <w:szCs w:val="21"/>
              </w:rPr>
            </w:pPr>
            <w:r>
              <w:rPr>
                <w:color w:val="auto"/>
                <w:kern w:val="0"/>
                <w:sz w:val="21"/>
                <w:szCs w:val="21"/>
              </w:rPr>
              <w:t>城市用地</w:t>
            </w:r>
          </w:p>
        </w:tc>
      </w:tr>
      <w:tr w14:paraId="2DD15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3331" w:type="pct"/>
            <w:gridSpan w:val="2"/>
            <w:tcBorders>
              <w:tl2br w:val="nil"/>
              <w:tr2bl w:val="nil"/>
            </w:tcBorders>
            <w:shd w:val="clear" w:color="auto" w:fill="auto"/>
            <w:vAlign w:val="center"/>
          </w:tcPr>
          <w:p w14:paraId="782BAD76">
            <w:pPr>
              <w:widowControl/>
              <w:spacing w:line="240" w:lineRule="auto"/>
              <w:ind w:firstLine="0" w:firstLineChars="0"/>
              <w:jc w:val="center"/>
              <w:rPr>
                <w:color w:val="auto"/>
                <w:kern w:val="0"/>
                <w:sz w:val="21"/>
                <w:szCs w:val="21"/>
              </w:rPr>
            </w:pPr>
            <w:r>
              <w:rPr>
                <w:color w:val="auto"/>
                <w:kern w:val="0"/>
                <w:sz w:val="21"/>
                <w:szCs w:val="21"/>
              </w:rPr>
              <w:t>区域湿度条件</w:t>
            </w:r>
          </w:p>
        </w:tc>
        <w:tc>
          <w:tcPr>
            <w:tcW w:w="1669" w:type="pct"/>
            <w:tcBorders>
              <w:tl2br w:val="nil"/>
              <w:tr2bl w:val="nil"/>
            </w:tcBorders>
            <w:shd w:val="clear" w:color="auto" w:fill="auto"/>
            <w:noWrap/>
            <w:vAlign w:val="center"/>
          </w:tcPr>
          <w:p w14:paraId="3EAA7EDB">
            <w:pPr>
              <w:widowControl/>
              <w:spacing w:line="240" w:lineRule="auto"/>
              <w:ind w:firstLine="0" w:firstLineChars="0"/>
              <w:jc w:val="center"/>
              <w:rPr>
                <w:color w:val="auto"/>
                <w:kern w:val="0"/>
                <w:sz w:val="21"/>
                <w:szCs w:val="21"/>
              </w:rPr>
            </w:pPr>
            <w:r>
              <w:rPr>
                <w:color w:val="auto"/>
                <w:kern w:val="0"/>
                <w:sz w:val="21"/>
                <w:szCs w:val="21"/>
              </w:rPr>
              <w:t>中等湿度气候</w:t>
            </w:r>
          </w:p>
        </w:tc>
      </w:tr>
      <w:tr w14:paraId="62430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restart"/>
            <w:tcBorders>
              <w:tl2br w:val="nil"/>
              <w:tr2bl w:val="nil"/>
            </w:tcBorders>
            <w:shd w:val="clear" w:color="auto" w:fill="auto"/>
            <w:vAlign w:val="center"/>
          </w:tcPr>
          <w:p w14:paraId="53C7CC74">
            <w:pPr>
              <w:widowControl/>
              <w:spacing w:line="240" w:lineRule="auto"/>
              <w:ind w:firstLine="0" w:firstLineChars="0"/>
              <w:jc w:val="center"/>
              <w:rPr>
                <w:color w:val="auto"/>
                <w:kern w:val="0"/>
                <w:sz w:val="21"/>
                <w:szCs w:val="21"/>
              </w:rPr>
            </w:pPr>
            <w:r>
              <w:rPr>
                <w:color w:val="auto"/>
                <w:kern w:val="0"/>
                <w:sz w:val="21"/>
                <w:szCs w:val="21"/>
              </w:rPr>
              <w:t>是否考虑地形</w:t>
            </w:r>
          </w:p>
        </w:tc>
        <w:tc>
          <w:tcPr>
            <w:tcW w:w="1856" w:type="pct"/>
            <w:tcBorders>
              <w:tl2br w:val="nil"/>
              <w:tr2bl w:val="nil"/>
            </w:tcBorders>
            <w:shd w:val="clear" w:color="auto" w:fill="auto"/>
            <w:noWrap/>
            <w:vAlign w:val="center"/>
          </w:tcPr>
          <w:p w14:paraId="32FB6B03">
            <w:pPr>
              <w:widowControl/>
              <w:spacing w:line="240" w:lineRule="auto"/>
              <w:ind w:firstLine="0" w:firstLineChars="0"/>
              <w:jc w:val="center"/>
              <w:rPr>
                <w:color w:val="auto"/>
                <w:kern w:val="0"/>
                <w:sz w:val="21"/>
                <w:szCs w:val="21"/>
              </w:rPr>
            </w:pPr>
            <w:r>
              <w:rPr>
                <w:color w:val="auto"/>
                <w:kern w:val="0"/>
                <w:sz w:val="21"/>
                <w:szCs w:val="21"/>
              </w:rPr>
              <w:t>考虑地形</w:t>
            </w:r>
          </w:p>
        </w:tc>
        <w:tc>
          <w:tcPr>
            <w:tcW w:w="1669" w:type="pct"/>
            <w:tcBorders>
              <w:tl2br w:val="nil"/>
              <w:tr2bl w:val="nil"/>
            </w:tcBorders>
            <w:shd w:val="clear" w:color="auto" w:fill="auto"/>
            <w:noWrap/>
            <w:vAlign w:val="center"/>
          </w:tcPr>
          <w:p w14:paraId="72452901">
            <w:pPr>
              <w:widowControl/>
              <w:spacing w:line="240" w:lineRule="auto"/>
              <w:ind w:firstLine="0" w:firstLineChars="0"/>
              <w:jc w:val="center"/>
              <w:rPr>
                <w:color w:val="auto"/>
                <w:kern w:val="0"/>
                <w:sz w:val="21"/>
                <w:szCs w:val="21"/>
              </w:rPr>
            </w:pPr>
            <w:r>
              <w:rPr>
                <w:color w:val="auto"/>
                <w:kern w:val="0"/>
                <w:sz w:val="21"/>
                <w:szCs w:val="21"/>
              </w:rPr>
              <w:t>√是   □否</w:t>
            </w:r>
          </w:p>
        </w:tc>
      </w:tr>
      <w:tr w14:paraId="39248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continue"/>
            <w:tcBorders>
              <w:tl2br w:val="nil"/>
              <w:tr2bl w:val="nil"/>
            </w:tcBorders>
            <w:vAlign w:val="center"/>
          </w:tcPr>
          <w:p w14:paraId="3F6A9F15">
            <w:pPr>
              <w:widowControl/>
              <w:spacing w:line="240" w:lineRule="auto"/>
              <w:ind w:firstLine="0" w:firstLineChars="0"/>
              <w:jc w:val="center"/>
              <w:rPr>
                <w:color w:val="auto"/>
                <w:kern w:val="0"/>
                <w:sz w:val="21"/>
                <w:szCs w:val="21"/>
              </w:rPr>
            </w:pPr>
          </w:p>
        </w:tc>
        <w:tc>
          <w:tcPr>
            <w:tcW w:w="1856" w:type="pct"/>
            <w:tcBorders>
              <w:tl2br w:val="nil"/>
              <w:tr2bl w:val="nil"/>
            </w:tcBorders>
            <w:shd w:val="clear" w:color="auto" w:fill="auto"/>
            <w:noWrap/>
            <w:vAlign w:val="center"/>
          </w:tcPr>
          <w:p w14:paraId="7865AF35">
            <w:pPr>
              <w:widowControl/>
              <w:spacing w:line="240" w:lineRule="auto"/>
              <w:ind w:firstLine="0" w:firstLineChars="0"/>
              <w:jc w:val="center"/>
              <w:rPr>
                <w:color w:val="auto"/>
                <w:kern w:val="0"/>
                <w:sz w:val="21"/>
                <w:szCs w:val="21"/>
              </w:rPr>
            </w:pPr>
            <w:r>
              <w:rPr>
                <w:color w:val="auto"/>
                <w:kern w:val="0"/>
                <w:sz w:val="21"/>
                <w:szCs w:val="21"/>
              </w:rPr>
              <w:t>地形数据分辨率/m</w:t>
            </w:r>
          </w:p>
        </w:tc>
        <w:tc>
          <w:tcPr>
            <w:tcW w:w="1669" w:type="pct"/>
            <w:tcBorders>
              <w:tl2br w:val="nil"/>
              <w:tr2bl w:val="nil"/>
            </w:tcBorders>
            <w:shd w:val="clear" w:color="auto" w:fill="auto"/>
            <w:noWrap/>
            <w:vAlign w:val="center"/>
          </w:tcPr>
          <w:p w14:paraId="6FFF8880">
            <w:pPr>
              <w:widowControl/>
              <w:spacing w:line="240" w:lineRule="auto"/>
              <w:ind w:firstLine="0" w:firstLineChars="0"/>
              <w:jc w:val="center"/>
              <w:rPr>
                <w:color w:val="auto"/>
                <w:kern w:val="0"/>
                <w:sz w:val="21"/>
                <w:szCs w:val="21"/>
              </w:rPr>
            </w:pPr>
            <w:r>
              <w:rPr>
                <w:color w:val="auto"/>
                <w:kern w:val="0"/>
                <w:sz w:val="21"/>
                <w:szCs w:val="21"/>
              </w:rPr>
              <w:t>90</w:t>
            </w:r>
          </w:p>
        </w:tc>
      </w:tr>
      <w:tr w14:paraId="3E34C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restart"/>
            <w:tcBorders>
              <w:tl2br w:val="nil"/>
              <w:tr2bl w:val="nil"/>
            </w:tcBorders>
            <w:shd w:val="clear" w:color="auto" w:fill="auto"/>
            <w:vAlign w:val="center"/>
          </w:tcPr>
          <w:p w14:paraId="496623C7">
            <w:pPr>
              <w:widowControl/>
              <w:spacing w:line="240" w:lineRule="auto"/>
              <w:ind w:firstLine="0" w:firstLineChars="0"/>
              <w:jc w:val="center"/>
              <w:rPr>
                <w:color w:val="auto"/>
                <w:kern w:val="0"/>
                <w:sz w:val="21"/>
                <w:szCs w:val="21"/>
              </w:rPr>
            </w:pPr>
            <w:r>
              <w:rPr>
                <w:color w:val="auto"/>
                <w:kern w:val="0"/>
                <w:sz w:val="21"/>
                <w:szCs w:val="21"/>
              </w:rPr>
              <w:t>是否考虑海岸线熏烟</w:t>
            </w:r>
          </w:p>
        </w:tc>
        <w:tc>
          <w:tcPr>
            <w:tcW w:w="1856" w:type="pct"/>
            <w:tcBorders>
              <w:tl2br w:val="nil"/>
              <w:tr2bl w:val="nil"/>
            </w:tcBorders>
            <w:shd w:val="clear" w:color="auto" w:fill="auto"/>
            <w:noWrap/>
            <w:vAlign w:val="center"/>
          </w:tcPr>
          <w:p w14:paraId="6E776E98">
            <w:pPr>
              <w:widowControl/>
              <w:spacing w:line="240" w:lineRule="auto"/>
              <w:ind w:firstLine="0" w:firstLineChars="0"/>
              <w:jc w:val="center"/>
              <w:rPr>
                <w:color w:val="auto"/>
                <w:kern w:val="0"/>
                <w:sz w:val="21"/>
                <w:szCs w:val="21"/>
              </w:rPr>
            </w:pPr>
            <w:r>
              <w:rPr>
                <w:color w:val="auto"/>
                <w:kern w:val="0"/>
                <w:sz w:val="21"/>
                <w:szCs w:val="21"/>
              </w:rPr>
              <w:t>考虑海岸线熏烟</w:t>
            </w:r>
          </w:p>
        </w:tc>
        <w:tc>
          <w:tcPr>
            <w:tcW w:w="1669" w:type="pct"/>
            <w:tcBorders>
              <w:tl2br w:val="nil"/>
              <w:tr2bl w:val="nil"/>
            </w:tcBorders>
            <w:shd w:val="clear" w:color="auto" w:fill="auto"/>
            <w:noWrap/>
            <w:vAlign w:val="center"/>
          </w:tcPr>
          <w:p w14:paraId="76DAAD3C">
            <w:pPr>
              <w:widowControl/>
              <w:spacing w:line="240" w:lineRule="auto"/>
              <w:ind w:firstLine="0" w:firstLineChars="0"/>
              <w:jc w:val="center"/>
              <w:rPr>
                <w:color w:val="auto"/>
                <w:kern w:val="0"/>
                <w:sz w:val="21"/>
                <w:szCs w:val="21"/>
              </w:rPr>
            </w:pPr>
            <w:r>
              <w:rPr>
                <w:color w:val="auto"/>
                <w:kern w:val="0"/>
                <w:sz w:val="21"/>
                <w:szCs w:val="21"/>
              </w:rPr>
              <w:t>□是   √否</w:t>
            </w:r>
          </w:p>
        </w:tc>
      </w:tr>
      <w:tr w14:paraId="28055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continue"/>
            <w:tcBorders>
              <w:tl2br w:val="nil"/>
              <w:tr2bl w:val="nil"/>
            </w:tcBorders>
            <w:vAlign w:val="center"/>
          </w:tcPr>
          <w:p w14:paraId="09998A3D">
            <w:pPr>
              <w:widowControl/>
              <w:spacing w:line="240" w:lineRule="auto"/>
              <w:ind w:firstLine="0" w:firstLineChars="0"/>
              <w:jc w:val="center"/>
              <w:rPr>
                <w:color w:val="auto"/>
                <w:kern w:val="0"/>
                <w:sz w:val="21"/>
                <w:szCs w:val="21"/>
              </w:rPr>
            </w:pPr>
          </w:p>
        </w:tc>
        <w:tc>
          <w:tcPr>
            <w:tcW w:w="1856" w:type="pct"/>
            <w:tcBorders>
              <w:tl2br w:val="nil"/>
              <w:tr2bl w:val="nil"/>
            </w:tcBorders>
            <w:shd w:val="clear" w:color="auto" w:fill="auto"/>
            <w:noWrap/>
            <w:vAlign w:val="center"/>
          </w:tcPr>
          <w:p w14:paraId="6258ECAC">
            <w:pPr>
              <w:widowControl/>
              <w:spacing w:line="240" w:lineRule="auto"/>
              <w:ind w:firstLine="0" w:firstLineChars="0"/>
              <w:jc w:val="center"/>
              <w:rPr>
                <w:color w:val="auto"/>
                <w:kern w:val="0"/>
                <w:sz w:val="21"/>
                <w:szCs w:val="21"/>
              </w:rPr>
            </w:pPr>
            <w:r>
              <w:rPr>
                <w:color w:val="auto"/>
                <w:kern w:val="0"/>
                <w:sz w:val="21"/>
                <w:szCs w:val="21"/>
              </w:rPr>
              <w:t>岸线距离/km</w:t>
            </w:r>
          </w:p>
        </w:tc>
        <w:tc>
          <w:tcPr>
            <w:tcW w:w="1669" w:type="pct"/>
            <w:tcBorders>
              <w:tl2br w:val="nil"/>
              <w:tr2bl w:val="nil"/>
            </w:tcBorders>
            <w:shd w:val="clear" w:color="auto" w:fill="auto"/>
            <w:noWrap/>
            <w:vAlign w:val="center"/>
          </w:tcPr>
          <w:p w14:paraId="087C6A44">
            <w:pPr>
              <w:widowControl/>
              <w:spacing w:line="240" w:lineRule="auto"/>
              <w:ind w:firstLine="0" w:firstLineChars="0"/>
              <w:jc w:val="center"/>
              <w:rPr>
                <w:color w:val="auto"/>
                <w:kern w:val="0"/>
                <w:sz w:val="21"/>
                <w:szCs w:val="21"/>
              </w:rPr>
            </w:pPr>
            <w:r>
              <w:rPr>
                <w:color w:val="auto"/>
                <w:kern w:val="0"/>
                <w:sz w:val="21"/>
                <w:szCs w:val="21"/>
              </w:rPr>
              <w:t>/</w:t>
            </w:r>
          </w:p>
        </w:tc>
      </w:tr>
      <w:tr w14:paraId="7A06B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75" w:type="pct"/>
            <w:vMerge w:val="continue"/>
            <w:tcBorders>
              <w:tl2br w:val="nil"/>
              <w:tr2bl w:val="nil"/>
            </w:tcBorders>
            <w:vAlign w:val="center"/>
          </w:tcPr>
          <w:p w14:paraId="6FB840B4">
            <w:pPr>
              <w:widowControl/>
              <w:spacing w:line="240" w:lineRule="auto"/>
              <w:ind w:firstLine="0" w:firstLineChars="0"/>
              <w:jc w:val="center"/>
              <w:rPr>
                <w:color w:val="auto"/>
                <w:kern w:val="0"/>
                <w:sz w:val="21"/>
                <w:szCs w:val="21"/>
              </w:rPr>
            </w:pPr>
          </w:p>
        </w:tc>
        <w:tc>
          <w:tcPr>
            <w:tcW w:w="1856" w:type="pct"/>
            <w:tcBorders>
              <w:tl2br w:val="nil"/>
              <w:tr2bl w:val="nil"/>
            </w:tcBorders>
            <w:shd w:val="clear" w:color="auto" w:fill="auto"/>
            <w:noWrap/>
            <w:vAlign w:val="center"/>
          </w:tcPr>
          <w:p w14:paraId="0A9726F0">
            <w:pPr>
              <w:widowControl/>
              <w:spacing w:line="240" w:lineRule="auto"/>
              <w:ind w:firstLine="0" w:firstLineChars="0"/>
              <w:jc w:val="center"/>
              <w:rPr>
                <w:color w:val="auto"/>
                <w:kern w:val="0"/>
                <w:sz w:val="21"/>
                <w:szCs w:val="21"/>
              </w:rPr>
            </w:pPr>
            <w:r>
              <w:rPr>
                <w:color w:val="auto"/>
                <w:kern w:val="0"/>
                <w:sz w:val="21"/>
                <w:szCs w:val="21"/>
              </w:rPr>
              <w:t>岸线方向/°</w:t>
            </w:r>
          </w:p>
        </w:tc>
        <w:tc>
          <w:tcPr>
            <w:tcW w:w="1669" w:type="pct"/>
            <w:tcBorders>
              <w:tl2br w:val="nil"/>
              <w:tr2bl w:val="nil"/>
            </w:tcBorders>
            <w:shd w:val="clear" w:color="auto" w:fill="auto"/>
            <w:noWrap/>
            <w:vAlign w:val="center"/>
          </w:tcPr>
          <w:p w14:paraId="63BD8E3E">
            <w:pPr>
              <w:widowControl/>
              <w:spacing w:line="240" w:lineRule="auto"/>
              <w:ind w:firstLine="0" w:firstLineChars="0"/>
              <w:jc w:val="center"/>
              <w:rPr>
                <w:color w:val="auto"/>
                <w:kern w:val="0"/>
                <w:sz w:val="21"/>
                <w:szCs w:val="21"/>
              </w:rPr>
            </w:pPr>
            <w:r>
              <w:rPr>
                <w:color w:val="auto"/>
                <w:kern w:val="0"/>
                <w:sz w:val="21"/>
                <w:szCs w:val="21"/>
              </w:rPr>
              <w:t>/</w:t>
            </w:r>
          </w:p>
        </w:tc>
      </w:tr>
    </w:tbl>
    <w:p w14:paraId="6FBAECDC">
      <w:pPr>
        <w:ind w:firstLine="480"/>
        <w:rPr>
          <w:color w:val="auto"/>
        </w:rPr>
      </w:pPr>
      <w:r>
        <w:rPr>
          <w:color w:val="auto"/>
        </w:rPr>
        <w:t>根据本项目废气污染源排放情况，估算大气污染物最大落地浓度C</w:t>
      </w:r>
      <w:r>
        <w:rPr>
          <w:color w:val="auto"/>
          <w:vertAlign w:val="subscript"/>
        </w:rPr>
        <w:t>m</w:t>
      </w:r>
      <w:r>
        <w:rPr>
          <w:color w:val="auto"/>
        </w:rPr>
        <w:t>（mg/m</w:t>
      </w:r>
      <w:r>
        <w:rPr>
          <w:color w:val="auto"/>
          <w:vertAlign w:val="superscript"/>
        </w:rPr>
        <w:t>3</w:t>
      </w:r>
      <w:r>
        <w:rPr>
          <w:color w:val="auto"/>
        </w:rPr>
        <w:t>）以及对应的占标率P</w:t>
      </w:r>
      <w:r>
        <w:rPr>
          <w:color w:val="auto"/>
          <w:vertAlign w:val="subscript"/>
        </w:rPr>
        <w:t>i</w:t>
      </w:r>
      <w:r>
        <w:rPr>
          <w:color w:val="auto"/>
        </w:rPr>
        <w:t>（%）、达标准限值10%时所对应的最远距离D</w:t>
      </w:r>
      <w:r>
        <w:rPr>
          <w:color w:val="auto"/>
          <w:vertAlign w:val="subscript"/>
        </w:rPr>
        <w:t>10%</w:t>
      </w:r>
      <w:r>
        <w:rPr>
          <w:color w:val="auto"/>
        </w:rPr>
        <w:t>（m），估算的预测结果如表2.5-3所示。计算得出：污染物中颗粒物最大占标率为</w:t>
      </w:r>
      <w:r>
        <w:rPr>
          <w:rFonts w:hint="eastAsia"/>
          <w:color w:val="auto"/>
        </w:rPr>
        <w:t>3.53</w:t>
      </w:r>
      <w:r>
        <w:rPr>
          <w:color w:val="auto"/>
        </w:rPr>
        <w:t>%，本项目大气环境影响评价等级为二级。</w:t>
      </w:r>
      <w:r>
        <w:rPr>
          <w:bCs/>
          <w:color w:val="auto"/>
          <w:kern w:val="0"/>
          <w:szCs w:val="20"/>
        </w:rPr>
        <w:t>按照《环境影响评价技术导则 大气环境》（HJ2.2-2018）规定，二级评价项目可直接引用估算模型预测结果进行评价，大气环境影响评价范围边长取5km。</w:t>
      </w:r>
    </w:p>
    <w:p w14:paraId="711DA164">
      <w:pPr>
        <w:widowControl/>
        <w:spacing w:line="240" w:lineRule="auto"/>
        <w:ind w:firstLine="0" w:firstLineChars="0"/>
        <w:jc w:val="center"/>
        <w:rPr>
          <w:b/>
          <w:bCs/>
          <w:color w:val="auto"/>
          <w:kern w:val="0"/>
          <w:szCs w:val="20"/>
        </w:rPr>
      </w:pPr>
      <w:r>
        <w:rPr>
          <w:b/>
          <w:bCs/>
          <w:color w:val="auto"/>
          <w:kern w:val="0"/>
          <w:szCs w:val="20"/>
        </w:rPr>
        <w:t>表2.5</w:t>
      </w:r>
      <w:r>
        <w:rPr>
          <w:rFonts w:hint="eastAsia"/>
          <w:b/>
          <w:bCs/>
          <w:color w:val="auto"/>
          <w:kern w:val="0"/>
          <w:szCs w:val="20"/>
        </w:rPr>
        <w:t>.1</w:t>
      </w:r>
      <w:r>
        <w:rPr>
          <w:b/>
          <w:bCs/>
          <w:color w:val="auto"/>
          <w:kern w:val="0"/>
          <w:szCs w:val="20"/>
        </w:rPr>
        <w:t>-3  废气排放估算模式计算结果表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69"/>
        <w:gridCol w:w="1004"/>
        <w:gridCol w:w="2803"/>
        <w:gridCol w:w="1852"/>
        <w:gridCol w:w="1858"/>
      </w:tblGrid>
      <w:tr w14:paraId="0B79F2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18C561B5">
            <w:pPr>
              <w:pStyle w:val="1209"/>
              <w:spacing w:before="0" w:line="240" w:lineRule="auto"/>
              <w:ind w:firstLine="0" w:firstLineChars="0"/>
              <w:jc w:val="center"/>
              <w:rPr>
                <w:b/>
                <w:bCs/>
                <w:color w:val="auto"/>
                <w:sz w:val="21"/>
                <w:szCs w:val="21"/>
              </w:rPr>
            </w:pPr>
            <w:r>
              <w:rPr>
                <w:b/>
                <w:bCs/>
                <w:color w:val="auto"/>
                <w:sz w:val="21"/>
                <w:szCs w:val="21"/>
              </w:rPr>
              <w:t>编号</w:t>
            </w:r>
          </w:p>
        </w:tc>
        <w:tc>
          <w:tcPr>
            <w:tcW w:w="1012" w:type="dxa"/>
            <w:vAlign w:val="center"/>
          </w:tcPr>
          <w:p w14:paraId="67421147">
            <w:pPr>
              <w:pStyle w:val="1209"/>
              <w:spacing w:before="0" w:line="240" w:lineRule="auto"/>
              <w:ind w:firstLine="0" w:firstLineChars="0"/>
              <w:jc w:val="center"/>
              <w:rPr>
                <w:b/>
                <w:bCs/>
                <w:color w:val="auto"/>
                <w:sz w:val="21"/>
                <w:szCs w:val="21"/>
              </w:rPr>
            </w:pPr>
            <w:r>
              <w:rPr>
                <w:b/>
                <w:bCs/>
                <w:color w:val="auto"/>
                <w:sz w:val="21"/>
                <w:szCs w:val="21"/>
              </w:rPr>
              <w:t>污染物名称</w:t>
            </w:r>
          </w:p>
        </w:tc>
        <w:tc>
          <w:tcPr>
            <w:tcW w:w="2838" w:type="dxa"/>
            <w:vAlign w:val="center"/>
          </w:tcPr>
          <w:p w14:paraId="6C9DB74B">
            <w:pPr>
              <w:pStyle w:val="1209"/>
              <w:spacing w:before="0" w:line="240" w:lineRule="auto"/>
              <w:ind w:firstLine="0" w:firstLineChars="0"/>
              <w:jc w:val="center"/>
              <w:rPr>
                <w:b/>
                <w:bCs/>
                <w:color w:val="auto"/>
                <w:sz w:val="21"/>
                <w:szCs w:val="21"/>
              </w:rPr>
            </w:pPr>
            <w:r>
              <w:rPr>
                <w:b/>
                <w:bCs/>
                <w:color w:val="auto"/>
                <w:sz w:val="21"/>
                <w:szCs w:val="21"/>
              </w:rPr>
              <w:t>下风向预测最大落地浓度（mg/m</w:t>
            </w:r>
            <w:r>
              <w:rPr>
                <w:b/>
                <w:bCs/>
                <w:color w:val="auto"/>
                <w:sz w:val="21"/>
                <w:szCs w:val="21"/>
                <w:vertAlign w:val="superscript"/>
              </w:rPr>
              <w:t>3</w:t>
            </w:r>
            <w:r>
              <w:rPr>
                <w:b/>
                <w:bCs/>
                <w:color w:val="auto"/>
                <w:sz w:val="21"/>
                <w:szCs w:val="21"/>
              </w:rPr>
              <w:t>）</w:t>
            </w:r>
          </w:p>
        </w:tc>
        <w:tc>
          <w:tcPr>
            <w:tcW w:w="1880" w:type="dxa"/>
            <w:vAlign w:val="center"/>
          </w:tcPr>
          <w:p w14:paraId="798DA4AA">
            <w:pPr>
              <w:pStyle w:val="1209"/>
              <w:spacing w:before="0" w:line="240" w:lineRule="auto"/>
              <w:ind w:firstLine="0" w:firstLineChars="0"/>
              <w:jc w:val="center"/>
              <w:rPr>
                <w:b/>
                <w:bCs/>
                <w:color w:val="auto"/>
                <w:sz w:val="21"/>
                <w:szCs w:val="21"/>
              </w:rPr>
            </w:pPr>
            <w:r>
              <w:rPr>
                <w:b/>
                <w:bCs/>
                <w:color w:val="auto"/>
                <w:sz w:val="21"/>
                <w:szCs w:val="21"/>
              </w:rPr>
              <w:t>浓度占标率</w:t>
            </w:r>
          </w:p>
        </w:tc>
        <w:tc>
          <w:tcPr>
            <w:tcW w:w="1881" w:type="dxa"/>
            <w:vAlign w:val="center"/>
          </w:tcPr>
          <w:p w14:paraId="49F307AA">
            <w:pPr>
              <w:pStyle w:val="1209"/>
              <w:spacing w:before="0" w:line="240" w:lineRule="auto"/>
              <w:ind w:firstLine="0" w:firstLineChars="0"/>
              <w:jc w:val="center"/>
              <w:rPr>
                <w:b/>
                <w:bCs/>
                <w:color w:val="auto"/>
                <w:sz w:val="21"/>
                <w:szCs w:val="21"/>
              </w:rPr>
            </w:pPr>
            <w:r>
              <w:rPr>
                <w:b/>
                <w:bCs/>
                <w:color w:val="auto"/>
                <w:sz w:val="21"/>
                <w:szCs w:val="21"/>
              </w:rPr>
              <w:t>下风向最大浓度距离（m）</w:t>
            </w:r>
          </w:p>
        </w:tc>
      </w:tr>
      <w:tr w14:paraId="271F3F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90" w:type="dxa"/>
            <w:vMerge w:val="restart"/>
            <w:vAlign w:val="center"/>
          </w:tcPr>
          <w:p w14:paraId="606B4213">
            <w:pPr>
              <w:pStyle w:val="1209"/>
              <w:spacing w:before="0" w:line="240" w:lineRule="auto"/>
              <w:ind w:firstLine="0" w:firstLineChars="0"/>
              <w:jc w:val="center"/>
              <w:rPr>
                <w:color w:val="auto"/>
                <w:sz w:val="21"/>
                <w:szCs w:val="21"/>
              </w:rPr>
            </w:pPr>
            <w:r>
              <w:rPr>
                <w:color w:val="auto"/>
                <w:sz w:val="21"/>
                <w:szCs w:val="21"/>
              </w:rPr>
              <w:t>DA001</w:t>
            </w:r>
          </w:p>
        </w:tc>
        <w:tc>
          <w:tcPr>
            <w:tcW w:w="1012" w:type="dxa"/>
            <w:vAlign w:val="center"/>
          </w:tcPr>
          <w:p w14:paraId="0DD2CA44">
            <w:pPr>
              <w:pStyle w:val="1209"/>
              <w:spacing w:before="0" w:line="240" w:lineRule="auto"/>
              <w:ind w:firstLine="0" w:firstLineChars="0"/>
              <w:jc w:val="center"/>
              <w:rPr>
                <w:color w:val="auto"/>
                <w:sz w:val="21"/>
                <w:szCs w:val="21"/>
              </w:rPr>
            </w:pPr>
            <w:r>
              <w:rPr>
                <w:color w:val="auto"/>
                <w:sz w:val="21"/>
                <w:szCs w:val="21"/>
              </w:rPr>
              <w:t>颗粒物</w:t>
            </w:r>
          </w:p>
        </w:tc>
        <w:tc>
          <w:tcPr>
            <w:tcW w:w="2838" w:type="dxa"/>
            <w:vAlign w:val="center"/>
          </w:tcPr>
          <w:p w14:paraId="6AA653BD">
            <w:pPr>
              <w:widowControl/>
              <w:spacing w:line="240" w:lineRule="auto"/>
              <w:ind w:firstLine="0" w:firstLineChars="0"/>
              <w:jc w:val="center"/>
              <w:rPr>
                <w:color w:val="auto"/>
                <w:sz w:val="21"/>
                <w:szCs w:val="21"/>
              </w:rPr>
            </w:pPr>
            <w:r>
              <w:rPr>
                <w:color w:val="auto"/>
                <w:kern w:val="0"/>
                <w:sz w:val="21"/>
                <w:szCs w:val="21"/>
              </w:rPr>
              <w:t>4.</w:t>
            </w:r>
            <w:r>
              <w:rPr>
                <w:rFonts w:hint="eastAsia"/>
                <w:color w:val="auto"/>
                <w:kern w:val="0"/>
                <w:sz w:val="21"/>
                <w:szCs w:val="21"/>
              </w:rPr>
              <w:t>11</w:t>
            </w:r>
            <w:r>
              <w:rPr>
                <w:color w:val="auto"/>
                <w:kern w:val="0"/>
                <w:sz w:val="21"/>
                <w:szCs w:val="21"/>
              </w:rPr>
              <w:t>E-04</w:t>
            </w:r>
          </w:p>
        </w:tc>
        <w:tc>
          <w:tcPr>
            <w:tcW w:w="1880" w:type="dxa"/>
            <w:vAlign w:val="center"/>
          </w:tcPr>
          <w:p w14:paraId="09E76CFA">
            <w:pPr>
              <w:widowControl/>
              <w:spacing w:line="240" w:lineRule="auto"/>
              <w:ind w:firstLine="0" w:firstLineChars="0"/>
              <w:jc w:val="center"/>
              <w:rPr>
                <w:color w:val="auto"/>
                <w:sz w:val="21"/>
                <w:szCs w:val="21"/>
              </w:rPr>
            </w:pPr>
            <w:r>
              <w:rPr>
                <w:color w:val="auto"/>
                <w:kern w:val="0"/>
                <w:sz w:val="21"/>
                <w:szCs w:val="21"/>
              </w:rPr>
              <w:t>0.</w:t>
            </w:r>
            <w:r>
              <w:rPr>
                <w:rFonts w:hint="eastAsia"/>
                <w:color w:val="auto"/>
                <w:kern w:val="0"/>
                <w:sz w:val="21"/>
                <w:szCs w:val="21"/>
              </w:rPr>
              <w:t>09</w:t>
            </w:r>
          </w:p>
        </w:tc>
        <w:tc>
          <w:tcPr>
            <w:tcW w:w="1881" w:type="dxa"/>
            <w:vAlign w:val="center"/>
          </w:tcPr>
          <w:p w14:paraId="0E4C7B34">
            <w:pPr>
              <w:pStyle w:val="1209"/>
              <w:spacing w:before="0" w:line="240" w:lineRule="auto"/>
              <w:ind w:firstLine="0" w:firstLineChars="0"/>
              <w:jc w:val="center"/>
              <w:rPr>
                <w:color w:val="auto"/>
                <w:sz w:val="21"/>
                <w:szCs w:val="21"/>
              </w:rPr>
            </w:pPr>
            <w:r>
              <w:rPr>
                <w:rFonts w:hint="eastAsia"/>
                <w:color w:val="auto"/>
                <w:sz w:val="21"/>
                <w:szCs w:val="21"/>
              </w:rPr>
              <w:t>50</w:t>
            </w:r>
          </w:p>
        </w:tc>
      </w:tr>
      <w:tr w14:paraId="3D27CB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90" w:type="dxa"/>
            <w:vMerge w:val="continue"/>
            <w:vAlign w:val="center"/>
          </w:tcPr>
          <w:p w14:paraId="74C8620A">
            <w:pPr>
              <w:pStyle w:val="1209"/>
              <w:spacing w:before="0" w:line="240" w:lineRule="auto"/>
              <w:ind w:firstLine="0" w:firstLineChars="0"/>
              <w:jc w:val="center"/>
              <w:rPr>
                <w:color w:val="auto"/>
                <w:sz w:val="21"/>
                <w:szCs w:val="21"/>
              </w:rPr>
            </w:pPr>
          </w:p>
        </w:tc>
        <w:tc>
          <w:tcPr>
            <w:tcW w:w="1012" w:type="dxa"/>
            <w:shd w:val="clear" w:color="auto" w:fill="auto"/>
            <w:vAlign w:val="center"/>
          </w:tcPr>
          <w:p w14:paraId="466603A8">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838" w:type="dxa"/>
            <w:vAlign w:val="center"/>
          </w:tcPr>
          <w:p w14:paraId="52A71EC5">
            <w:pPr>
              <w:widowControl/>
              <w:spacing w:line="240" w:lineRule="auto"/>
              <w:ind w:firstLine="0" w:firstLineChars="0"/>
              <w:jc w:val="center"/>
              <w:rPr>
                <w:color w:val="auto"/>
                <w:sz w:val="21"/>
                <w:szCs w:val="21"/>
              </w:rPr>
            </w:pPr>
            <w:r>
              <w:rPr>
                <w:rFonts w:hint="eastAsia"/>
                <w:color w:val="auto"/>
                <w:kern w:val="0"/>
                <w:sz w:val="21"/>
                <w:szCs w:val="21"/>
              </w:rPr>
              <w:t>2.89</w:t>
            </w:r>
            <w:r>
              <w:rPr>
                <w:color w:val="auto"/>
                <w:kern w:val="0"/>
                <w:sz w:val="21"/>
                <w:szCs w:val="21"/>
              </w:rPr>
              <w:t>E-0</w:t>
            </w:r>
            <w:r>
              <w:rPr>
                <w:rFonts w:hint="eastAsia"/>
                <w:color w:val="auto"/>
                <w:kern w:val="0"/>
                <w:sz w:val="21"/>
                <w:szCs w:val="21"/>
              </w:rPr>
              <w:t>4</w:t>
            </w:r>
          </w:p>
        </w:tc>
        <w:tc>
          <w:tcPr>
            <w:tcW w:w="1880" w:type="dxa"/>
            <w:vAlign w:val="center"/>
          </w:tcPr>
          <w:p w14:paraId="70544421">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6</w:t>
            </w:r>
          </w:p>
        </w:tc>
        <w:tc>
          <w:tcPr>
            <w:tcW w:w="1881" w:type="dxa"/>
            <w:vAlign w:val="center"/>
          </w:tcPr>
          <w:p w14:paraId="6BC69AA6">
            <w:pPr>
              <w:pStyle w:val="1209"/>
              <w:spacing w:before="0" w:line="240" w:lineRule="auto"/>
              <w:ind w:firstLine="0" w:firstLineChars="0"/>
              <w:jc w:val="center"/>
              <w:rPr>
                <w:color w:val="auto"/>
                <w:sz w:val="21"/>
                <w:szCs w:val="21"/>
              </w:rPr>
            </w:pPr>
            <w:r>
              <w:rPr>
                <w:rFonts w:hint="eastAsia"/>
                <w:color w:val="auto"/>
                <w:sz w:val="21"/>
                <w:szCs w:val="21"/>
              </w:rPr>
              <w:t>50</w:t>
            </w:r>
          </w:p>
        </w:tc>
      </w:tr>
      <w:tr w14:paraId="0C17AB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90" w:hRule="atLeast"/>
        </w:trPr>
        <w:tc>
          <w:tcPr>
            <w:tcW w:w="1790" w:type="dxa"/>
            <w:vMerge w:val="continue"/>
            <w:vAlign w:val="center"/>
          </w:tcPr>
          <w:p w14:paraId="3AB56321">
            <w:pPr>
              <w:pStyle w:val="1209"/>
              <w:spacing w:before="0" w:line="240" w:lineRule="auto"/>
              <w:ind w:firstLine="0" w:firstLineChars="0"/>
              <w:jc w:val="center"/>
              <w:rPr>
                <w:color w:val="auto"/>
                <w:sz w:val="21"/>
                <w:szCs w:val="21"/>
              </w:rPr>
            </w:pPr>
          </w:p>
        </w:tc>
        <w:tc>
          <w:tcPr>
            <w:tcW w:w="1012" w:type="dxa"/>
            <w:shd w:val="clear" w:color="auto" w:fill="auto"/>
            <w:vAlign w:val="center"/>
          </w:tcPr>
          <w:p w14:paraId="5BA8CD17">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838" w:type="dxa"/>
            <w:vAlign w:val="center"/>
          </w:tcPr>
          <w:p w14:paraId="75D0DEF8">
            <w:pPr>
              <w:widowControl/>
              <w:spacing w:line="240" w:lineRule="auto"/>
              <w:ind w:firstLine="0" w:firstLineChars="0"/>
              <w:jc w:val="center"/>
              <w:rPr>
                <w:color w:val="auto"/>
                <w:sz w:val="21"/>
                <w:szCs w:val="21"/>
              </w:rPr>
            </w:pPr>
            <w:r>
              <w:rPr>
                <w:rFonts w:hint="eastAsia"/>
                <w:color w:val="auto"/>
                <w:kern w:val="0"/>
                <w:sz w:val="21"/>
                <w:szCs w:val="21"/>
              </w:rPr>
              <w:t>2.89</w:t>
            </w:r>
            <w:r>
              <w:rPr>
                <w:color w:val="auto"/>
                <w:kern w:val="0"/>
                <w:sz w:val="21"/>
                <w:szCs w:val="21"/>
              </w:rPr>
              <w:t>E-03</w:t>
            </w:r>
          </w:p>
        </w:tc>
        <w:tc>
          <w:tcPr>
            <w:tcW w:w="1880" w:type="dxa"/>
            <w:vAlign w:val="center"/>
          </w:tcPr>
          <w:p w14:paraId="6906B458">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33</w:t>
            </w:r>
          </w:p>
        </w:tc>
        <w:tc>
          <w:tcPr>
            <w:tcW w:w="1881" w:type="dxa"/>
            <w:vAlign w:val="center"/>
          </w:tcPr>
          <w:p w14:paraId="414195AB">
            <w:pPr>
              <w:pStyle w:val="1209"/>
              <w:spacing w:before="0" w:line="240" w:lineRule="auto"/>
              <w:ind w:firstLine="0" w:firstLineChars="0"/>
              <w:jc w:val="center"/>
              <w:rPr>
                <w:color w:val="auto"/>
                <w:sz w:val="21"/>
                <w:szCs w:val="21"/>
              </w:rPr>
            </w:pPr>
            <w:r>
              <w:rPr>
                <w:rFonts w:hint="eastAsia"/>
                <w:color w:val="auto"/>
                <w:sz w:val="21"/>
                <w:szCs w:val="21"/>
              </w:rPr>
              <w:t>50</w:t>
            </w:r>
          </w:p>
        </w:tc>
      </w:tr>
      <w:tr w14:paraId="2EB56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restart"/>
            <w:vAlign w:val="center"/>
          </w:tcPr>
          <w:p w14:paraId="030AA53D">
            <w:pPr>
              <w:pStyle w:val="1209"/>
              <w:spacing w:before="0" w:line="240" w:lineRule="auto"/>
              <w:ind w:firstLine="0" w:firstLineChars="0"/>
              <w:jc w:val="center"/>
              <w:rPr>
                <w:color w:val="auto"/>
                <w:sz w:val="21"/>
                <w:szCs w:val="21"/>
              </w:rPr>
            </w:pPr>
            <w:r>
              <w:rPr>
                <w:color w:val="auto"/>
                <w:sz w:val="21"/>
                <w:szCs w:val="21"/>
              </w:rPr>
              <w:t>DA002</w:t>
            </w:r>
          </w:p>
        </w:tc>
        <w:tc>
          <w:tcPr>
            <w:tcW w:w="1012" w:type="dxa"/>
            <w:shd w:val="clear" w:color="auto" w:fill="auto"/>
            <w:vAlign w:val="center"/>
          </w:tcPr>
          <w:p w14:paraId="4A71C484">
            <w:pPr>
              <w:widowControl/>
              <w:spacing w:line="240" w:lineRule="auto"/>
              <w:ind w:firstLine="0" w:firstLineChars="0"/>
              <w:jc w:val="center"/>
              <w:rPr>
                <w:color w:val="auto"/>
                <w:kern w:val="0"/>
                <w:sz w:val="21"/>
                <w:szCs w:val="21"/>
              </w:rPr>
            </w:pPr>
            <w:r>
              <w:rPr>
                <w:color w:val="auto"/>
                <w:kern w:val="0"/>
                <w:sz w:val="21"/>
                <w:szCs w:val="21"/>
              </w:rPr>
              <w:t>颗粒物</w:t>
            </w:r>
          </w:p>
        </w:tc>
        <w:tc>
          <w:tcPr>
            <w:tcW w:w="2838" w:type="dxa"/>
            <w:vAlign w:val="center"/>
          </w:tcPr>
          <w:p w14:paraId="098CCE01">
            <w:pPr>
              <w:widowControl/>
              <w:spacing w:line="240" w:lineRule="auto"/>
              <w:ind w:firstLine="0" w:firstLineChars="0"/>
              <w:jc w:val="center"/>
              <w:rPr>
                <w:color w:val="auto"/>
                <w:sz w:val="21"/>
                <w:szCs w:val="21"/>
              </w:rPr>
            </w:pPr>
            <w:r>
              <w:rPr>
                <w:color w:val="auto"/>
                <w:kern w:val="0"/>
                <w:sz w:val="21"/>
                <w:szCs w:val="21"/>
              </w:rPr>
              <w:t>2.</w:t>
            </w:r>
            <w:r>
              <w:rPr>
                <w:rFonts w:hint="eastAsia"/>
                <w:color w:val="auto"/>
                <w:kern w:val="0"/>
                <w:sz w:val="21"/>
                <w:szCs w:val="21"/>
              </w:rPr>
              <w:t>74</w:t>
            </w:r>
            <w:r>
              <w:rPr>
                <w:color w:val="auto"/>
                <w:kern w:val="0"/>
                <w:sz w:val="21"/>
                <w:szCs w:val="21"/>
              </w:rPr>
              <w:t>E-04</w:t>
            </w:r>
          </w:p>
        </w:tc>
        <w:tc>
          <w:tcPr>
            <w:tcW w:w="1880" w:type="dxa"/>
            <w:vAlign w:val="center"/>
          </w:tcPr>
          <w:p w14:paraId="79C7C2DE">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6</w:t>
            </w:r>
          </w:p>
        </w:tc>
        <w:tc>
          <w:tcPr>
            <w:tcW w:w="1881" w:type="dxa"/>
            <w:vAlign w:val="center"/>
          </w:tcPr>
          <w:p w14:paraId="7F8BBBED">
            <w:pPr>
              <w:pStyle w:val="1209"/>
              <w:spacing w:before="0" w:line="240" w:lineRule="auto"/>
              <w:ind w:firstLine="0" w:firstLineChars="0"/>
              <w:jc w:val="center"/>
              <w:rPr>
                <w:color w:val="auto"/>
                <w:sz w:val="21"/>
                <w:szCs w:val="21"/>
              </w:rPr>
            </w:pPr>
            <w:r>
              <w:rPr>
                <w:rFonts w:hint="eastAsia"/>
                <w:color w:val="auto"/>
                <w:sz w:val="21"/>
                <w:szCs w:val="21"/>
              </w:rPr>
              <w:t>50</w:t>
            </w:r>
          </w:p>
        </w:tc>
      </w:tr>
      <w:tr w14:paraId="40710F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00603662">
            <w:pPr>
              <w:pStyle w:val="1209"/>
              <w:spacing w:before="0" w:line="240" w:lineRule="auto"/>
              <w:ind w:firstLine="0" w:firstLineChars="0"/>
              <w:jc w:val="center"/>
              <w:rPr>
                <w:color w:val="auto"/>
                <w:sz w:val="21"/>
                <w:szCs w:val="21"/>
              </w:rPr>
            </w:pPr>
          </w:p>
        </w:tc>
        <w:tc>
          <w:tcPr>
            <w:tcW w:w="1012" w:type="dxa"/>
            <w:shd w:val="clear" w:color="auto" w:fill="auto"/>
            <w:vAlign w:val="center"/>
          </w:tcPr>
          <w:p w14:paraId="0612EDD3">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838" w:type="dxa"/>
            <w:vAlign w:val="center"/>
          </w:tcPr>
          <w:p w14:paraId="1F3A6F2E">
            <w:pPr>
              <w:widowControl/>
              <w:spacing w:line="240" w:lineRule="auto"/>
              <w:ind w:firstLine="0" w:firstLineChars="0"/>
              <w:jc w:val="center"/>
              <w:rPr>
                <w:color w:val="auto"/>
                <w:sz w:val="21"/>
                <w:szCs w:val="21"/>
              </w:rPr>
            </w:pPr>
            <w:r>
              <w:rPr>
                <w:color w:val="auto"/>
                <w:sz w:val="21"/>
                <w:szCs w:val="21"/>
              </w:rPr>
              <w:t>1.</w:t>
            </w:r>
            <w:r>
              <w:rPr>
                <w:rFonts w:hint="eastAsia"/>
                <w:color w:val="auto"/>
                <w:sz w:val="21"/>
                <w:szCs w:val="21"/>
              </w:rPr>
              <w:t>98</w:t>
            </w:r>
            <w:r>
              <w:rPr>
                <w:color w:val="auto"/>
                <w:sz w:val="21"/>
                <w:szCs w:val="21"/>
              </w:rPr>
              <w:t>E-04</w:t>
            </w:r>
          </w:p>
        </w:tc>
        <w:tc>
          <w:tcPr>
            <w:tcW w:w="1880" w:type="dxa"/>
            <w:vAlign w:val="center"/>
          </w:tcPr>
          <w:p w14:paraId="1FC7EA0D">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4</w:t>
            </w:r>
          </w:p>
        </w:tc>
        <w:tc>
          <w:tcPr>
            <w:tcW w:w="1881" w:type="dxa"/>
            <w:vAlign w:val="center"/>
          </w:tcPr>
          <w:p w14:paraId="536ABA11">
            <w:pPr>
              <w:pStyle w:val="1209"/>
              <w:spacing w:before="0" w:line="240" w:lineRule="auto"/>
              <w:ind w:firstLine="0" w:firstLineChars="0"/>
              <w:jc w:val="center"/>
              <w:rPr>
                <w:color w:val="auto"/>
                <w:sz w:val="21"/>
                <w:szCs w:val="21"/>
              </w:rPr>
            </w:pPr>
            <w:r>
              <w:rPr>
                <w:rFonts w:hint="eastAsia"/>
                <w:color w:val="auto"/>
                <w:sz w:val="21"/>
                <w:szCs w:val="21"/>
              </w:rPr>
              <w:t>50</w:t>
            </w:r>
          </w:p>
        </w:tc>
      </w:tr>
      <w:tr w14:paraId="326852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4C66EAE1">
            <w:pPr>
              <w:pStyle w:val="1209"/>
              <w:spacing w:before="0" w:line="240" w:lineRule="auto"/>
              <w:ind w:firstLine="0" w:firstLineChars="0"/>
              <w:jc w:val="center"/>
              <w:rPr>
                <w:color w:val="auto"/>
                <w:sz w:val="21"/>
                <w:szCs w:val="21"/>
              </w:rPr>
            </w:pPr>
          </w:p>
        </w:tc>
        <w:tc>
          <w:tcPr>
            <w:tcW w:w="1012" w:type="dxa"/>
            <w:shd w:val="clear" w:color="auto" w:fill="auto"/>
            <w:vAlign w:val="center"/>
          </w:tcPr>
          <w:p w14:paraId="234D84E5">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838" w:type="dxa"/>
            <w:vAlign w:val="center"/>
          </w:tcPr>
          <w:p w14:paraId="6FEFFFC8">
            <w:pPr>
              <w:widowControl/>
              <w:spacing w:line="240" w:lineRule="auto"/>
              <w:ind w:firstLine="0" w:firstLineChars="0"/>
              <w:jc w:val="center"/>
              <w:rPr>
                <w:color w:val="auto"/>
                <w:sz w:val="21"/>
                <w:szCs w:val="21"/>
              </w:rPr>
            </w:pPr>
            <w:r>
              <w:rPr>
                <w:color w:val="auto"/>
                <w:kern w:val="0"/>
                <w:sz w:val="21"/>
                <w:szCs w:val="21"/>
              </w:rPr>
              <w:t>1</w:t>
            </w:r>
            <w:r>
              <w:rPr>
                <w:rFonts w:hint="eastAsia"/>
                <w:color w:val="auto"/>
                <w:kern w:val="0"/>
                <w:sz w:val="21"/>
                <w:szCs w:val="21"/>
              </w:rPr>
              <w:t>.81</w:t>
            </w:r>
            <w:r>
              <w:rPr>
                <w:color w:val="auto"/>
                <w:kern w:val="0"/>
                <w:sz w:val="21"/>
                <w:szCs w:val="21"/>
              </w:rPr>
              <w:t>E-03</w:t>
            </w:r>
          </w:p>
        </w:tc>
        <w:tc>
          <w:tcPr>
            <w:tcW w:w="1880" w:type="dxa"/>
            <w:vAlign w:val="center"/>
          </w:tcPr>
          <w:p w14:paraId="65349D81">
            <w:pPr>
              <w:widowControl/>
              <w:spacing w:line="240" w:lineRule="auto"/>
              <w:ind w:firstLine="0" w:firstLineChars="0"/>
              <w:jc w:val="center"/>
              <w:rPr>
                <w:color w:val="auto"/>
                <w:sz w:val="21"/>
                <w:szCs w:val="21"/>
              </w:rPr>
            </w:pPr>
            <w:r>
              <w:rPr>
                <w:color w:val="auto"/>
                <w:kern w:val="0"/>
                <w:sz w:val="21"/>
                <w:szCs w:val="21"/>
              </w:rPr>
              <w:t>0.</w:t>
            </w:r>
            <w:r>
              <w:rPr>
                <w:rFonts w:hint="eastAsia"/>
                <w:color w:val="auto"/>
                <w:kern w:val="0"/>
                <w:sz w:val="21"/>
                <w:szCs w:val="21"/>
              </w:rPr>
              <w:t>91</w:t>
            </w:r>
          </w:p>
        </w:tc>
        <w:tc>
          <w:tcPr>
            <w:tcW w:w="1881" w:type="dxa"/>
            <w:vAlign w:val="center"/>
          </w:tcPr>
          <w:p w14:paraId="2E8B55D3">
            <w:pPr>
              <w:pStyle w:val="1209"/>
              <w:spacing w:before="0" w:line="240" w:lineRule="auto"/>
              <w:ind w:firstLine="0" w:firstLineChars="0"/>
              <w:jc w:val="center"/>
              <w:rPr>
                <w:color w:val="auto"/>
                <w:sz w:val="21"/>
                <w:szCs w:val="21"/>
              </w:rPr>
            </w:pPr>
            <w:r>
              <w:rPr>
                <w:rFonts w:hint="eastAsia"/>
                <w:color w:val="auto"/>
                <w:sz w:val="21"/>
                <w:szCs w:val="21"/>
              </w:rPr>
              <w:t>50</w:t>
            </w:r>
          </w:p>
        </w:tc>
      </w:tr>
      <w:tr w14:paraId="2E29D6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restart"/>
            <w:vAlign w:val="center"/>
          </w:tcPr>
          <w:p w14:paraId="6721753F">
            <w:pPr>
              <w:pStyle w:val="1209"/>
              <w:spacing w:before="0" w:line="240" w:lineRule="auto"/>
              <w:ind w:firstLine="0" w:firstLineChars="0"/>
              <w:jc w:val="center"/>
              <w:rPr>
                <w:color w:val="auto"/>
                <w:sz w:val="21"/>
                <w:szCs w:val="21"/>
              </w:rPr>
            </w:pPr>
            <w:r>
              <w:rPr>
                <w:rFonts w:hint="eastAsia"/>
                <w:color w:val="auto"/>
                <w:sz w:val="21"/>
                <w:szCs w:val="21"/>
              </w:rPr>
              <w:t>DA003</w:t>
            </w:r>
          </w:p>
        </w:tc>
        <w:tc>
          <w:tcPr>
            <w:tcW w:w="1012" w:type="dxa"/>
            <w:shd w:val="clear" w:color="auto" w:fill="auto"/>
            <w:vAlign w:val="center"/>
          </w:tcPr>
          <w:p w14:paraId="099BE3A2">
            <w:pPr>
              <w:widowControl/>
              <w:spacing w:line="240" w:lineRule="auto"/>
              <w:ind w:firstLine="0" w:firstLineChars="0"/>
              <w:jc w:val="center"/>
              <w:rPr>
                <w:color w:val="auto"/>
                <w:kern w:val="0"/>
                <w:sz w:val="21"/>
                <w:szCs w:val="21"/>
              </w:rPr>
            </w:pPr>
            <w:r>
              <w:rPr>
                <w:color w:val="auto"/>
                <w:kern w:val="0"/>
                <w:sz w:val="21"/>
                <w:szCs w:val="21"/>
              </w:rPr>
              <w:t>颗粒物</w:t>
            </w:r>
          </w:p>
        </w:tc>
        <w:tc>
          <w:tcPr>
            <w:tcW w:w="2838" w:type="dxa"/>
            <w:shd w:val="clear" w:color="auto" w:fill="auto"/>
            <w:vAlign w:val="center"/>
          </w:tcPr>
          <w:p w14:paraId="3C7866FD">
            <w:pPr>
              <w:widowControl/>
              <w:spacing w:line="240" w:lineRule="auto"/>
              <w:ind w:firstLine="0" w:firstLineChars="0"/>
              <w:jc w:val="center"/>
              <w:rPr>
                <w:color w:val="auto"/>
                <w:sz w:val="21"/>
                <w:szCs w:val="21"/>
              </w:rPr>
            </w:pPr>
            <w:r>
              <w:rPr>
                <w:rFonts w:hint="eastAsia"/>
                <w:color w:val="auto"/>
                <w:kern w:val="0"/>
                <w:sz w:val="21"/>
                <w:szCs w:val="21"/>
              </w:rPr>
              <w:t>8.76</w:t>
            </w:r>
            <w:r>
              <w:rPr>
                <w:color w:val="auto"/>
                <w:kern w:val="0"/>
                <w:sz w:val="21"/>
                <w:szCs w:val="21"/>
              </w:rPr>
              <w:t>E-0</w:t>
            </w:r>
            <w:r>
              <w:rPr>
                <w:rFonts w:hint="eastAsia"/>
                <w:color w:val="auto"/>
                <w:kern w:val="0"/>
                <w:sz w:val="21"/>
                <w:szCs w:val="21"/>
              </w:rPr>
              <w:t>5</w:t>
            </w:r>
          </w:p>
        </w:tc>
        <w:tc>
          <w:tcPr>
            <w:tcW w:w="1880" w:type="dxa"/>
            <w:vAlign w:val="center"/>
          </w:tcPr>
          <w:p w14:paraId="7213C708">
            <w:pPr>
              <w:widowControl/>
              <w:spacing w:line="240" w:lineRule="auto"/>
              <w:ind w:firstLine="0" w:firstLineChars="0"/>
              <w:jc w:val="center"/>
              <w:rPr>
                <w:color w:val="auto"/>
                <w:kern w:val="0"/>
                <w:sz w:val="21"/>
                <w:szCs w:val="21"/>
              </w:rPr>
            </w:pPr>
            <w:r>
              <w:rPr>
                <w:rFonts w:hint="eastAsia"/>
                <w:color w:val="auto"/>
                <w:kern w:val="0"/>
                <w:sz w:val="21"/>
                <w:szCs w:val="21"/>
              </w:rPr>
              <w:t>0.02</w:t>
            </w:r>
          </w:p>
        </w:tc>
        <w:tc>
          <w:tcPr>
            <w:tcW w:w="1881" w:type="dxa"/>
            <w:vAlign w:val="center"/>
          </w:tcPr>
          <w:p w14:paraId="7BC776EA">
            <w:pPr>
              <w:pStyle w:val="1209"/>
              <w:spacing w:before="0" w:line="240" w:lineRule="auto"/>
              <w:ind w:firstLine="0" w:firstLineChars="0"/>
              <w:jc w:val="center"/>
              <w:rPr>
                <w:color w:val="auto"/>
                <w:sz w:val="21"/>
                <w:szCs w:val="21"/>
              </w:rPr>
            </w:pPr>
            <w:r>
              <w:rPr>
                <w:rFonts w:hint="eastAsia"/>
                <w:color w:val="auto"/>
                <w:sz w:val="21"/>
                <w:szCs w:val="21"/>
              </w:rPr>
              <w:t>35</w:t>
            </w:r>
          </w:p>
        </w:tc>
      </w:tr>
      <w:tr w14:paraId="38D254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1610674E">
            <w:pPr>
              <w:pStyle w:val="1209"/>
              <w:spacing w:before="0" w:line="240" w:lineRule="auto"/>
              <w:ind w:firstLine="0" w:firstLineChars="0"/>
              <w:jc w:val="center"/>
              <w:rPr>
                <w:color w:val="auto"/>
                <w:sz w:val="21"/>
                <w:szCs w:val="21"/>
              </w:rPr>
            </w:pPr>
          </w:p>
        </w:tc>
        <w:tc>
          <w:tcPr>
            <w:tcW w:w="1012" w:type="dxa"/>
            <w:shd w:val="clear" w:color="auto" w:fill="auto"/>
            <w:vAlign w:val="center"/>
          </w:tcPr>
          <w:p w14:paraId="0E57C872">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838" w:type="dxa"/>
            <w:shd w:val="clear" w:color="auto" w:fill="auto"/>
            <w:vAlign w:val="center"/>
          </w:tcPr>
          <w:p w14:paraId="58B17E3A">
            <w:pPr>
              <w:widowControl/>
              <w:spacing w:line="240" w:lineRule="auto"/>
              <w:ind w:firstLine="0" w:firstLineChars="0"/>
              <w:jc w:val="center"/>
              <w:rPr>
                <w:color w:val="auto"/>
                <w:sz w:val="21"/>
                <w:szCs w:val="21"/>
              </w:rPr>
            </w:pPr>
            <w:r>
              <w:rPr>
                <w:rFonts w:hint="eastAsia"/>
                <w:color w:val="auto"/>
                <w:sz w:val="21"/>
                <w:szCs w:val="21"/>
              </w:rPr>
              <w:t>6.35</w:t>
            </w:r>
            <w:r>
              <w:rPr>
                <w:color w:val="auto"/>
                <w:sz w:val="21"/>
                <w:szCs w:val="21"/>
              </w:rPr>
              <w:t>E-0</w:t>
            </w:r>
            <w:r>
              <w:rPr>
                <w:rFonts w:hint="eastAsia"/>
                <w:color w:val="auto"/>
                <w:sz w:val="21"/>
                <w:szCs w:val="21"/>
              </w:rPr>
              <w:t>5</w:t>
            </w:r>
          </w:p>
        </w:tc>
        <w:tc>
          <w:tcPr>
            <w:tcW w:w="1880" w:type="dxa"/>
            <w:vAlign w:val="center"/>
          </w:tcPr>
          <w:p w14:paraId="2C44557B">
            <w:pPr>
              <w:widowControl/>
              <w:spacing w:line="240" w:lineRule="auto"/>
              <w:ind w:firstLine="0" w:firstLineChars="0"/>
              <w:jc w:val="center"/>
              <w:rPr>
                <w:color w:val="auto"/>
                <w:kern w:val="0"/>
                <w:sz w:val="21"/>
                <w:szCs w:val="21"/>
              </w:rPr>
            </w:pPr>
            <w:r>
              <w:rPr>
                <w:rFonts w:hint="eastAsia"/>
                <w:color w:val="auto"/>
                <w:kern w:val="0"/>
                <w:sz w:val="21"/>
                <w:szCs w:val="21"/>
              </w:rPr>
              <w:t>0.01</w:t>
            </w:r>
          </w:p>
        </w:tc>
        <w:tc>
          <w:tcPr>
            <w:tcW w:w="1881" w:type="dxa"/>
            <w:vAlign w:val="center"/>
          </w:tcPr>
          <w:p w14:paraId="5490246D">
            <w:pPr>
              <w:pStyle w:val="1209"/>
              <w:spacing w:before="0" w:line="240" w:lineRule="auto"/>
              <w:ind w:firstLine="0" w:firstLineChars="0"/>
              <w:jc w:val="center"/>
              <w:rPr>
                <w:color w:val="auto"/>
                <w:sz w:val="21"/>
                <w:szCs w:val="21"/>
              </w:rPr>
            </w:pPr>
            <w:r>
              <w:rPr>
                <w:rFonts w:hint="eastAsia"/>
                <w:color w:val="auto"/>
                <w:sz w:val="21"/>
                <w:szCs w:val="21"/>
              </w:rPr>
              <w:t>35</w:t>
            </w:r>
          </w:p>
        </w:tc>
      </w:tr>
      <w:tr w14:paraId="0F6FC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77F2F484">
            <w:pPr>
              <w:pStyle w:val="1209"/>
              <w:spacing w:before="0" w:line="240" w:lineRule="auto"/>
              <w:ind w:firstLine="0" w:firstLineChars="0"/>
              <w:jc w:val="center"/>
              <w:rPr>
                <w:color w:val="auto"/>
                <w:sz w:val="21"/>
                <w:szCs w:val="21"/>
              </w:rPr>
            </w:pPr>
          </w:p>
        </w:tc>
        <w:tc>
          <w:tcPr>
            <w:tcW w:w="1012" w:type="dxa"/>
            <w:shd w:val="clear" w:color="auto" w:fill="auto"/>
            <w:vAlign w:val="center"/>
          </w:tcPr>
          <w:p w14:paraId="3E9B6D6E">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838" w:type="dxa"/>
            <w:shd w:val="clear" w:color="auto" w:fill="auto"/>
            <w:vAlign w:val="center"/>
          </w:tcPr>
          <w:p w14:paraId="6BC1EA01">
            <w:pPr>
              <w:widowControl/>
              <w:spacing w:line="240" w:lineRule="auto"/>
              <w:ind w:firstLine="0" w:firstLineChars="0"/>
              <w:jc w:val="center"/>
              <w:rPr>
                <w:color w:val="auto"/>
                <w:sz w:val="21"/>
                <w:szCs w:val="21"/>
              </w:rPr>
            </w:pPr>
            <w:r>
              <w:rPr>
                <w:rFonts w:hint="eastAsia"/>
                <w:color w:val="auto"/>
                <w:kern w:val="0"/>
                <w:sz w:val="21"/>
                <w:szCs w:val="21"/>
              </w:rPr>
              <w:t>6.01</w:t>
            </w:r>
            <w:r>
              <w:rPr>
                <w:color w:val="auto"/>
                <w:kern w:val="0"/>
                <w:sz w:val="21"/>
                <w:szCs w:val="21"/>
              </w:rPr>
              <w:t>E-0</w:t>
            </w:r>
            <w:r>
              <w:rPr>
                <w:rFonts w:hint="eastAsia"/>
                <w:color w:val="auto"/>
                <w:kern w:val="0"/>
                <w:sz w:val="21"/>
                <w:szCs w:val="21"/>
              </w:rPr>
              <w:t>4</w:t>
            </w:r>
          </w:p>
        </w:tc>
        <w:tc>
          <w:tcPr>
            <w:tcW w:w="1880" w:type="dxa"/>
            <w:vAlign w:val="center"/>
          </w:tcPr>
          <w:p w14:paraId="093B086D">
            <w:pPr>
              <w:widowControl/>
              <w:spacing w:line="240" w:lineRule="auto"/>
              <w:ind w:firstLine="0" w:firstLineChars="0"/>
              <w:jc w:val="center"/>
              <w:rPr>
                <w:color w:val="auto"/>
                <w:kern w:val="0"/>
                <w:sz w:val="21"/>
                <w:szCs w:val="21"/>
              </w:rPr>
            </w:pPr>
            <w:r>
              <w:rPr>
                <w:rFonts w:hint="eastAsia"/>
                <w:color w:val="auto"/>
                <w:kern w:val="0"/>
                <w:sz w:val="21"/>
                <w:szCs w:val="21"/>
              </w:rPr>
              <w:t>0.30</w:t>
            </w:r>
          </w:p>
        </w:tc>
        <w:tc>
          <w:tcPr>
            <w:tcW w:w="1881" w:type="dxa"/>
            <w:vAlign w:val="center"/>
          </w:tcPr>
          <w:p w14:paraId="38BEEBFB">
            <w:pPr>
              <w:pStyle w:val="1209"/>
              <w:spacing w:before="0" w:line="240" w:lineRule="auto"/>
              <w:ind w:firstLine="0" w:firstLineChars="0"/>
              <w:jc w:val="center"/>
              <w:rPr>
                <w:color w:val="auto"/>
                <w:sz w:val="21"/>
                <w:szCs w:val="21"/>
              </w:rPr>
            </w:pPr>
            <w:r>
              <w:rPr>
                <w:rFonts w:hint="eastAsia"/>
                <w:color w:val="auto"/>
                <w:sz w:val="21"/>
                <w:szCs w:val="21"/>
              </w:rPr>
              <w:t>35</w:t>
            </w:r>
          </w:p>
        </w:tc>
      </w:tr>
      <w:tr w14:paraId="125AA1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4D33BB3A">
            <w:pPr>
              <w:pStyle w:val="1209"/>
              <w:spacing w:before="0" w:line="240" w:lineRule="auto"/>
              <w:ind w:firstLine="0" w:firstLineChars="0"/>
              <w:jc w:val="center"/>
              <w:rPr>
                <w:color w:val="auto"/>
                <w:sz w:val="21"/>
                <w:szCs w:val="21"/>
              </w:rPr>
            </w:pPr>
            <w:r>
              <w:rPr>
                <w:color w:val="auto"/>
                <w:sz w:val="21"/>
                <w:szCs w:val="21"/>
              </w:rPr>
              <w:t>DA00</w:t>
            </w:r>
            <w:r>
              <w:rPr>
                <w:rFonts w:hint="eastAsia"/>
                <w:color w:val="auto"/>
                <w:sz w:val="21"/>
                <w:szCs w:val="21"/>
              </w:rPr>
              <w:t>4</w:t>
            </w:r>
          </w:p>
        </w:tc>
        <w:tc>
          <w:tcPr>
            <w:tcW w:w="1012" w:type="dxa"/>
            <w:vAlign w:val="center"/>
          </w:tcPr>
          <w:p w14:paraId="54A27B2F">
            <w:pPr>
              <w:pStyle w:val="1209"/>
              <w:spacing w:before="0" w:line="240" w:lineRule="auto"/>
              <w:ind w:firstLine="0" w:firstLineChars="0"/>
              <w:jc w:val="center"/>
              <w:rPr>
                <w:color w:val="auto"/>
                <w:sz w:val="21"/>
                <w:szCs w:val="21"/>
              </w:rPr>
            </w:pPr>
            <w:r>
              <w:rPr>
                <w:color w:val="auto"/>
                <w:sz w:val="21"/>
                <w:szCs w:val="21"/>
              </w:rPr>
              <w:t>颗粒物</w:t>
            </w:r>
          </w:p>
        </w:tc>
        <w:tc>
          <w:tcPr>
            <w:tcW w:w="2838" w:type="dxa"/>
            <w:vAlign w:val="center"/>
          </w:tcPr>
          <w:p w14:paraId="785C8F1D">
            <w:pPr>
              <w:widowControl/>
              <w:spacing w:line="240" w:lineRule="auto"/>
              <w:ind w:firstLine="0" w:firstLineChars="0"/>
              <w:jc w:val="center"/>
              <w:rPr>
                <w:color w:val="auto"/>
                <w:sz w:val="21"/>
                <w:szCs w:val="21"/>
              </w:rPr>
            </w:pPr>
            <w:r>
              <w:rPr>
                <w:color w:val="auto"/>
                <w:kern w:val="0"/>
                <w:sz w:val="21"/>
                <w:szCs w:val="21"/>
              </w:rPr>
              <w:t>4.61E-04</w:t>
            </w:r>
          </w:p>
        </w:tc>
        <w:tc>
          <w:tcPr>
            <w:tcW w:w="1880" w:type="dxa"/>
            <w:vAlign w:val="center"/>
          </w:tcPr>
          <w:p w14:paraId="11EB51F6">
            <w:pPr>
              <w:pStyle w:val="151"/>
              <w:jc w:val="center"/>
              <w:rPr>
                <w:rFonts w:ascii="Times New Roman" w:hAnsi="Times New Roman" w:cs="Times New Roman"/>
                <w:color w:val="auto"/>
                <w:sz w:val="21"/>
                <w:szCs w:val="21"/>
              </w:rPr>
            </w:pPr>
            <w:r>
              <w:rPr>
                <w:rFonts w:ascii="Times New Roman" w:hAnsi="Times New Roman" w:cs="Times New Roman"/>
                <w:color w:val="auto"/>
                <w:sz w:val="21"/>
                <w:szCs w:val="21"/>
              </w:rPr>
              <w:t>0.05</w:t>
            </w:r>
          </w:p>
        </w:tc>
        <w:tc>
          <w:tcPr>
            <w:tcW w:w="1881" w:type="dxa"/>
            <w:vAlign w:val="center"/>
          </w:tcPr>
          <w:p w14:paraId="0BB3F8C0">
            <w:pPr>
              <w:pStyle w:val="1209"/>
              <w:spacing w:before="0" w:line="240" w:lineRule="auto"/>
              <w:ind w:firstLine="0" w:firstLineChars="0"/>
              <w:jc w:val="center"/>
              <w:rPr>
                <w:color w:val="auto"/>
                <w:sz w:val="21"/>
                <w:szCs w:val="21"/>
              </w:rPr>
            </w:pPr>
            <w:r>
              <w:rPr>
                <w:rFonts w:hint="eastAsia"/>
                <w:color w:val="auto"/>
                <w:sz w:val="21"/>
                <w:szCs w:val="21"/>
              </w:rPr>
              <w:t>50</w:t>
            </w:r>
          </w:p>
        </w:tc>
      </w:tr>
      <w:tr w14:paraId="6EDFB9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3A0332E7">
            <w:pPr>
              <w:pStyle w:val="1209"/>
              <w:spacing w:before="0" w:line="240" w:lineRule="auto"/>
              <w:ind w:firstLine="0" w:firstLineChars="0"/>
              <w:jc w:val="center"/>
              <w:rPr>
                <w:color w:val="auto"/>
                <w:sz w:val="21"/>
                <w:szCs w:val="21"/>
              </w:rPr>
            </w:pPr>
            <w:r>
              <w:rPr>
                <w:color w:val="auto"/>
                <w:sz w:val="21"/>
                <w:szCs w:val="21"/>
              </w:rPr>
              <w:t>DA00</w:t>
            </w:r>
            <w:r>
              <w:rPr>
                <w:rFonts w:hint="eastAsia"/>
                <w:color w:val="auto"/>
                <w:sz w:val="21"/>
                <w:szCs w:val="21"/>
              </w:rPr>
              <w:t>6</w:t>
            </w:r>
          </w:p>
        </w:tc>
        <w:tc>
          <w:tcPr>
            <w:tcW w:w="1012" w:type="dxa"/>
            <w:vAlign w:val="center"/>
          </w:tcPr>
          <w:p w14:paraId="27C4A308">
            <w:pPr>
              <w:pStyle w:val="1209"/>
              <w:spacing w:before="0" w:line="240" w:lineRule="auto"/>
              <w:ind w:firstLine="0" w:firstLineChars="0"/>
              <w:jc w:val="center"/>
              <w:rPr>
                <w:color w:val="auto"/>
                <w:sz w:val="21"/>
                <w:szCs w:val="21"/>
              </w:rPr>
            </w:pPr>
            <w:r>
              <w:rPr>
                <w:rFonts w:hint="eastAsia"/>
                <w:color w:val="auto"/>
                <w:sz w:val="21"/>
                <w:szCs w:val="21"/>
              </w:rPr>
              <w:t>硫酸雾</w:t>
            </w:r>
          </w:p>
        </w:tc>
        <w:tc>
          <w:tcPr>
            <w:tcW w:w="2838" w:type="dxa"/>
            <w:vAlign w:val="center"/>
          </w:tcPr>
          <w:p w14:paraId="3DAF3EF3">
            <w:pPr>
              <w:widowControl/>
              <w:spacing w:line="240" w:lineRule="auto"/>
              <w:ind w:firstLine="0" w:firstLineChars="0"/>
              <w:jc w:val="center"/>
              <w:rPr>
                <w:color w:val="auto"/>
                <w:sz w:val="21"/>
                <w:szCs w:val="21"/>
              </w:rPr>
            </w:pPr>
            <w:r>
              <w:rPr>
                <w:rFonts w:hint="eastAsia"/>
                <w:color w:val="auto"/>
                <w:kern w:val="0"/>
                <w:sz w:val="21"/>
                <w:szCs w:val="21"/>
              </w:rPr>
              <w:t>2.13</w:t>
            </w:r>
            <w:r>
              <w:rPr>
                <w:color w:val="auto"/>
                <w:kern w:val="0"/>
                <w:sz w:val="21"/>
                <w:szCs w:val="21"/>
              </w:rPr>
              <w:t>E-0</w:t>
            </w:r>
            <w:r>
              <w:rPr>
                <w:rFonts w:hint="eastAsia"/>
                <w:color w:val="auto"/>
                <w:kern w:val="0"/>
                <w:sz w:val="21"/>
                <w:szCs w:val="21"/>
              </w:rPr>
              <w:t>3</w:t>
            </w:r>
          </w:p>
        </w:tc>
        <w:tc>
          <w:tcPr>
            <w:tcW w:w="1880" w:type="dxa"/>
            <w:vAlign w:val="center"/>
          </w:tcPr>
          <w:p w14:paraId="070ED057">
            <w:pPr>
              <w:widowControl/>
              <w:spacing w:line="240" w:lineRule="auto"/>
              <w:ind w:firstLine="0" w:firstLineChars="0"/>
              <w:jc w:val="center"/>
              <w:rPr>
                <w:color w:val="auto"/>
                <w:sz w:val="21"/>
                <w:szCs w:val="21"/>
              </w:rPr>
            </w:pPr>
            <w:r>
              <w:rPr>
                <w:rFonts w:hint="eastAsia"/>
                <w:color w:val="auto"/>
                <w:kern w:val="0"/>
                <w:sz w:val="21"/>
                <w:szCs w:val="21"/>
              </w:rPr>
              <w:t>0.71</w:t>
            </w:r>
          </w:p>
        </w:tc>
        <w:tc>
          <w:tcPr>
            <w:tcW w:w="1881" w:type="dxa"/>
            <w:vAlign w:val="center"/>
          </w:tcPr>
          <w:p w14:paraId="5E5B47D6">
            <w:pPr>
              <w:pStyle w:val="1209"/>
              <w:spacing w:before="0" w:line="240" w:lineRule="auto"/>
              <w:ind w:firstLine="0" w:firstLineChars="0"/>
              <w:jc w:val="center"/>
              <w:rPr>
                <w:color w:val="auto"/>
                <w:sz w:val="21"/>
                <w:szCs w:val="21"/>
              </w:rPr>
            </w:pPr>
            <w:r>
              <w:rPr>
                <w:rFonts w:hint="eastAsia"/>
                <w:color w:val="auto"/>
                <w:sz w:val="21"/>
                <w:szCs w:val="21"/>
              </w:rPr>
              <w:t>50</w:t>
            </w:r>
          </w:p>
        </w:tc>
      </w:tr>
      <w:tr w14:paraId="2C0E89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17D69F05">
            <w:pPr>
              <w:pStyle w:val="1209"/>
              <w:spacing w:before="0" w:line="240" w:lineRule="auto"/>
              <w:ind w:firstLine="0" w:firstLineChars="0"/>
              <w:jc w:val="center"/>
              <w:rPr>
                <w:color w:val="auto"/>
                <w:sz w:val="21"/>
                <w:szCs w:val="21"/>
              </w:rPr>
            </w:pPr>
            <w:r>
              <w:rPr>
                <w:color w:val="auto"/>
                <w:sz w:val="21"/>
                <w:szCs w:val="21"/>
              </w:rPr>
              <w:t>DA00</w:t>
            </w:r>
            <w:r>
              <w:rPr>
                <w:rFonts w:hint="eastAsia"/>
                <w:color w:val="auto"/>
                <w:sz w:val="21"/>
                <w:szCs w:val="21"/>
              </w:rPr>
              <w:t>8</w:t>
            </w:r>
          </w:p>
        </w:tc>
        <w:tc>
          <w:tcPr>
            <w:tcW w:w="1012" w:type="dxa"/>
            <w:vAlign w:val="center"/>
          </w:tcPr>
          <w:p w14:paraId="1F9F36E5">
            <w:pPr>
              <w:pStyle w:val="1209"/>
              <w:spacing w:before="0" w:line="240" w:lineRule="auto"/>
              <w:ind w:firstLine="0" w:firstLineChars="0"/>
              <w:jc w:val="center"/>
              <w:rPr>
                <w:color w:val="auto"/>
                <w:sz w:val="21"/>
                <w:szCs w:val="21"/>
              </w:rPr>
            </w:pPr>
            <w:r>
              <w:rPr>
                <w:rFonts w:hint="eastAsia"/>
                <w:color w:val="auto"/>
                <w:kern w:val="0"/>
                <w:sz w:val="21"/>
                <w:szCs w:val="21"/>
              </w:rPr>
              <w:t>NH</w:t>
            </w:r>
            <w:r>
              <w:rPr>
                <w:rFonts w:hint="eastAsia"/>
                <w:color w:val="auto"/>
                <w:kern w:val="0"/>
                <w:sz w:val="21"/>
                <w:szCs w:val="21"/>
                <w:vertAlign w:val="subscript"/>
              </w:rPr>
              <w:t>3</w:t>
            </w:r>
          </w:p>
        </w:tc>
        <w:tc>
          <w:tcPr>
            <w:tcW w:w="2838" w:type="dxa"/>
            <w:vAlign w:val="center"/>
          </w:tcPr>
          <w:p w14:paraId="3A09ABE2">
            <w:pPr>
              <w:widowControl/>
              <w:spacing w:line="240" w:lineRule="auto"/>
              <w:ind w:firstLine="0" w:firstLineChars="0"/>
              <w:jc w:val="center"/>
              <w:rPr>
                <w:color w:val="auto"/>
                <w:sz w:val="21"/>
                <w:szCs w:val="21"/>
              </w:rPr>
            </w:pPr>
            <w:r>
              <w:rPr>
                <w:color w:val="auto"/>
                <w:kern w:val="0"/>
                <w:sz w:val="21"/>
                <w:szCs w:val="21"/>
              </w:rPr>
              <w:t>2.67E-03</w:t>
            </w:r>
          </w:p>
        </w:tc>
        <w:tc>
          <w:tcPr>
            <w:tcW w:w="1880" w:type="dxa"/>
            <w:vAlign w:val="center"/>
          </w:tcPr>
          <w:p w14:paraId="2013DBE3">
            <w:pPr>
              <w:widowControl/>
              <w:spacing w:line="240" w:lineRule="auto"/>
              <w:ind w:firstLine="0" w:firstLineChars="0"/>
              <w:jc w:val="center"/>
              <w:rPr>
                <w:color w:val="auto"/>
                <w:sz w:val="21"/>
                <w:szCs w:val="21"/>
              </w:rPr>
            </w:pPr>
            <w:r>
              <w:rPr>
                <w:color w:val="auto"/>
                <w:kern w:val="0"/>
                <w:sz w:val="21"/>
                <w:szCs w:val="21"/>
              </w:rPr>
              <w:t>1.34</w:t>
            </w:r>
          </w:p>
        </w:tc>
        <w:tc>
          <w:tcPr>
            <w:tcW w:w="1881" w:type="dxa"/>
            <w:vAlign w:val="center"/>
          </w:tcPr>
          <w:p w14:paraId="34E764B0">
            <w:pPr>
              <w:pStyle w:val="1209"/>
              <w:spacing w:before="0" w:line="240" w:lineRule="auto"/>
              <w:ind w:firstLine="0" w:firstLineChars="0"/>
              <w:jc w:val="center"/>
              <w:rPr>
                <w:color w:val="auto"/>
                <w:sz w:val="21"/>
                <w:szCs w:val="21"/>
              </w:rPr>
            </w:pPr>
            <w:r>
              <w:rPr>
                <w:rFonts w:hint="eastAsia"/>
                <w:color w:val="auto"/>
                <w:sz w:val="21"/>
                <w:szCs w:val="21"/>
              </w:rPr>
              <w:t>35</w:t>
            </w:r>
          </w:p>
        </w:tc>
      </w:tr>
      <w:tr w14:paraId="089C88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90" w:type="dxa"/>
            <w:vMerge w:val="restart"/>
            <w:vAlign w:val="center"/>
          </w:tcPr>
          <w:p w14:paraId="44CC63B1">
            <w:pPr>
              <w:pStyle w:val="1209"/>
              <w:spacing w:before="0" w:line="240" w:lineRule="auto"/>
              <w:ind w:firstLine="0" w:firstLineChars="0"/>
              <w:jc w:val="center"/>
              <w:rPr>
                <w:color w:val="auto"/>
                <w:sz w:val="21"/>
                <w:szCs w:val="21"/>
              </w:rPr>
            </w:pPr>
            <w:r>
              <w:rPr>
                <w:rFonts w:hint="eastAsia"/>
                <w:color w:val="auto"/>
                <w:sz w:val="21"/>
                <w:szCs w:val="21"/>
              </w:rPr>
              <w:t>厂房</w:t>
            </w:r>
          </w:p>
        </w:tc>
        <w:tc>
          <w:tcPr>
            <w:tcW w:w="1012" w:type="dxa"/>
            <w:vAlign w:val="center"/>
          </w:tcPr>
          <w:p w14:paraId="701946CE">
            <w:pPr>
              <w:pStyle w:val="1209"/>
              <w:spacing w:before="0" w:line="240" w:lineRule="auto"/>
              <w:ind w:firstLine="0" w:firstLineChars="0"/>
              <w:jc w:val="center"/>
              <w:rPr>
                <w:color w:val="auto"/>
                <w:sz w:val="21"/>
                <w:szCs w:val="21"/>
              </w:rPr>
            </w:pPr>
            <w:r>
              <w:rPr>
                <w:color w:val="auto"/>
                <w:sz w:val="21"/>
                <w:szCs w:val="21"/>
              </w:rPr>
              <w:t>颗粒物</w:t>
            </w:r>
          </w:p>
        </w:tc>
        <w:tc>
          <w:tcPr>
            <w:tcW w:w="2838" w:type="dxa"/>
            <w:vAlign w:val="center"/>
          </w:tcPr>
          <w:p w14:paraId="14BE2DF2">
            <w:pPr>
              <w:widowControl/>
              <w:spacing w:line="240" w:lineRule="auto"/>
              <w:ind w:firstLine="0" w:firstLineChars="0"/>
              <w:jc w:val="center"/>
              <w:rPr>
                <w:color w:val="auto"/>
                <w:sz w:val="21"/>
                <w:szCs w:val="21"/>
              </w:rPr>
            </w:pPr>
            <w:r>
              <w:rPr>
                <w:rFonts w:hint="eastAsia"/>
                <w:color w:val="auto"/>
                <w:kern w:val="0"/>
                <w:sz w:val="21"/>
                <w:szCs w:val="21"/>
              </w:rPr>
              <w:t>6.70</w:t>
            </w:r>
            <w:r>
              <w:rPr>
                <w:color w:val="auto"/>
                <w:kern w:val="0"/>
                <w:sz w:val="21"/>
                <w:szCs w:val="21"/>
              </w:rPr>
              <w:t>E-0</w:t>
            </w:r>
            <w:r>
              <w:rPr>
                <w:rFonts w:hint="eastAsia"/>
                <w:color w:val="auto"/>
                <w:kern w:val="0"/>
                <w:sz w:val="21"/>
                <w:szCs w:val="21"/>
              </w:rPr>
              <w:t>3</w:t>
            </w:r>
          </w:p>
        </w:tc>
        <w:tc>
          <w:tcPr>
            <w:tcW w:w="1880" w:type="dxa"/>
            <w:vAlign w:val="center"/>
          </w:tcPr>
          <w:p w14:paraId="5EF55FF9">
            <w:pPr>
              <w:widowControl/>
              <w:spacing w:line="240" w:lineRule="auto"/>
              <w:ind w:firstLine="0" w:firstLineChars="0"/>
              <w:jc w:val="center"/>
              <w:rPr>
                <w:color w:val="auto"/>
                <w:sz w:val="21"/>
                <w:szCs w:val="21"/>
              </w:rPr>
            </w:pPr>
            <w:r>
              <w:rPr>
                <w:rFonts w:hint="eastAsia"/>
                <w:color w:val="auto"/>
                <w:sz w:val="21"/>
                <w:szCs w:val="21"/>
              </w:rPr>
              <w:t>0.74</w:t>
            </w:r>
          </w:p>
        </w:tc>
        <w:tc>
          <w:tcPr>
            <w:tcW w:w="1881" w:type="dxa"/>
            <w:vAlign w:val="center"/>
          </w:tcPr>
          <w:p w14:paraId="066FC31B">
            <w:pPr>
              <w:pStyle w:val="1209"/>
              <w:spacing w:before="0" w:line="240" w:lineRule="auto"/>
              <w:ind w:firstLine="0" w:firstLineChars="0"/>
              <w:jc w:val="center"/>
              <w:rPr>
                <w:color w:val="auto"/>
                <w:sz w:val="21"/>
                <w:szCs w:val="21"/>
              </w:rPr>
            </w:pPr>
            <w:r>
              <w:rPr>
                <w:rFonts w:hint="eastAsia"/>
                <w:color w:val="auto"/>
                <w:sz w:val="21"/>
                <w:szCs w:val="21"/>
              </w:rPr>
              <w:t>195</w:t>
            </w:r>
          </w:p>
        </w:tc>
      </w:tr>
      <w:tr w14:paraId="7FB1B9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783317BA">
            <w:pPr>
              <w:pStyle w:val="1209"/>
              <w:spacing w:before="0" w:line="240" w:lineRule="auto"/>
              <w:ind w:firstLine="0" w:firstLineChars="0"/>
              <w:jc w:val="center"/>
              <w:rPr>
                <w:color w:val="auto"/>
                <w:sz w:val="21"/>
                <w:szCs w:val="21"/>
              </w:rPr>
            </w:pPr>
          </w:p>
        </w:tc>
        <w:tc>
          <w:tcPr>
            <w:tcW w:w="1012" w:type="dxa"/>
            <w:vAlign w:val="center"/>
          </w:tcPr>
          <w:p w14:paraId="5B222917">
            <w:pPr>
              <w:pStyle w:val="1209"/>
              <w:spacing w:before="0" w:line="240" w:lineRule="auto"/>
              <w:ind w:firstLine="0" w:firstLineChars="0"/>
              <w:jc w:val="center"/>
              <w:rPr>
                <w:color w:val="auto"/>
                <w:sz w:val="21"/>
                <w:szCs w:val="21"/>
              </w:rPr>
            </w:pPr>
            <w:r>
              <w:rPr>
                <w:rFonts w:hint="eastAsia"/>
                <w:color w:val="auto"/>
                <w:sz w:val="21"/>
                <w:szCs w:val="21"/>
              </w:rPr>
              <w:t>硫酸雾</w:t>
            </w:r>
          </w:p>
        </w:tc>
        <w:tc>
          <w:tcPr>
            <w:tcW w:w="2838" w:type="dxa"/>
            <w:vAlign w:val="center"/>
          </w:tcPr>
          <w:p w14:paraId="488F2E32">
            <w:pPr>
              <w:widowControl/>
              <w:spacing w:line="240" w:lineRule="auto"/>
              <w:ind w:firstLine="0" w:firstLineChars="0"/>
              <w:jc w:val="center"/>
              <w:rPr>
                <w:color w:val="auto"/>
                <w:sz w:val="21"/>
                <w:szCs w:val="21"/>
              </w:rPr>
            </w:pPr>
            <w:r>
              <w:rPr>
                <w:rFonts w:hint="eastAsia"/>
                <w:color w:val="auto"/>
                <w:kern w:val="0"/>
                <w:sz w:val="21"/>
                <w:szCs w:val="21"/>
              </w:rPr>
              <w:t>1.06</w:t>
            </w:r>
            <w:r>
              <w:rPr>
                <w:color w:val="auto"/>
                <w:kern w:val="0"/>
                <w:sz w:val="21"/>
                <w:szCs w:val="21"/>
              </w:rPr>
              <w:t>E-02</w:t>
            </w:r>
          </w:p>
        </w:tc>
        <w:tc>
          <w:tcPr>
            <w:tcW w:w="1880" w:type="dxa"/>
            <w:vAlign w:val="center"/>
          </w:tcPr>
          <w:p w14:paraId="37EC2202">
            <w:pPr>
              <w:widowControl/>
              <w:spacing w:line="240" w:lineRule="auto"/>
              <w:ind w:firstLine="0" w:firstLineChars="0"/>
              <w:jc w:val="center"/>
              <w:rPr>
                <w:color w:val="auto"/>
                <w:sz w:val="21"/>
                <w:szCs w:val="21"/>
              </w:rPr>
            </w:pPr>
            <w:r>
              <w:rPr>
                <w:rFonts w:hint="eastAsia"/>
                <w:color w:val="auto"/>
                <w:sz w:val="21"/>
                <w:szCs w:val="21"/>
              </w:rPr>
              <w:t>3.53</w:t>
            </w:r>
          </w:p>
        </w:tc>
        <w:tc>
          <w:tcPr>
            <w:tcW w:w="1881" w:type="dxa"/>
            <w:vAlign w:val="center"/>
          </w:tcPr>
          <w:p w14:paraId="78E18B81">
            <w:pPr>
              <w:pStyle w:val="1209"/>
              <w:spacing w:before="0" w:line="240" w:lineRule="auto"/>
              <w:ind w:firstLine="0" w:firstLineChars="0"/>
              <w:jc w:val="center"/>
              <w:rPr>
                <w:color w:val="auto"/>
                <w:sz w:val="21"/>
                <w:szCs w:val="21"/>
              </w:rPr>
            </w:pPr>
            <w:r>
              <w:rPr>
                <w:rFonts w:hint="eastAsia"/>
                <w:color w:val="auto"/>
                <w:sz w:val="21"/>
                <w:szCs w:val="21"/>
              </w:rPr>
              <w:t>195</w:t>
            </w:r>
          </w:p>
        </w:tc>
      </w:tr>
      <w:tr w14:paraId="322DEE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6024EFC2">
            <w:pPr>
              <w:pStyle w:val="1209"/>
              <w:spacing w:before="0" w:line="240" w:lineRule="auto"/>
              <w:ind w:firstLine="0" w:firstLineChars="0"/>
              <w:jc w:val="center"/>
              <w:rPr>
                <w:color w:val="auto"/>
                <w:sz w:val="21"/>
                <w:szCs w:val="21"/>
              </w:rPr>
            </w:pPr>
          </w:p>
        </w:tc>
        <w:tc>
          <w:tcPr>
            <w:tcW w:w="1012" w:type="dxa"/>
            <w:vAlign w:val="center"/>
          </w:tcPr>
          <w:p w14:paraId="040EC41D">
            <w:pPr>
              <w:pStyle w:val="1209"/>
              <w:spacing w:before="0" w:line="240" w:lineRule="auto"/>
              <w:ind w:firstLine="0" w:firstLineChars="0"/>
              <w:jc w:val="center"/>
              <w:rPr>
                <w:color w:val="auto"/>
                <w:sz w:val="21"/>
                <w:szCs w:val="21"/>
              </w:rPr>
            </w:pPr>
            <w:r>
              <w:rPr>
                <w:rFonts w:hint="eastAsia"/>
                <w:color w:val="auto"/>
                <w:kern w:val="0"/>
                <w:sz w:val="21"/>
                <w:szCs w:val="21"/>
              </w:rPr>
              <w:t>NH</w:t>
            </w:r>
            <w:r>
              <w:rPr>
                <w:rFonts w:hint="eastAsia"/>
                <w:color w:val="auto"/>
                <w:kern w:val="0"/>
                <w:sz w:val="21"/>
                <w:szCs w:val="21"/>
                <w:vertAlign w:val="subscript"/>
              </w:rPr>
              <w:t>3</w:t>
            </w:r>
          </w:p>
        </w:tc>
        <w:tc>
          <w:tcPr>
            <w:tcW w:w="2838" w:type="dxa"/>
            <w:vAlign w:val="center"/>
          </w:tcPr>
          <w:p w14:paraId="45864FD2">
            <w:pPr>
              <w:widowControl/>
              <w:spacing w:line="240" w:lineRule="auto"/>
              <w:ind w:firstLine="0" w:firstLineChars="0"/>
              <w:jc w:val="center"/>
              <w:rPr>
                <w:color w:val="auto"/>
                <w:sz w:val="21"/>
                <w:szCs w:val="21"/>
              </w:rPr>
            </w:pPr>
            <w:r>
              <w:rPr>
                <w:rFonts w:hint="eastAsia"/>
                <w:color w:val="auto"/>
                <w:kern w:val="0"/>
                <w:sz w:val="21"/>
                <w:szCs w:val="21"/>
              </w:rPr>
              <w:t>2.85</w:t>
            </w:r>
            <w:r>
              <w:rPr>
                <w:color w:val="auto"/>
                <w:kern w:val="0"/>
                <w:sz w:val="21"/>
                <w:szCs w:val="21"/>
              </w:rPr>
              <w:t>E-0</w:t>
            </w:r>
            <w:r>
              <w:rPr>
                <w:rFonts w:hint="eastAsia"/>
                <w:color w:val="auto"/>
                <w:kern w:val="0"/>
                <w:sz w:val="21"/>
                <w:szCs w:val="21"/>
              </w:rPr>
              <w:t>3</w:t>
            </w:r>
          </w:p>
        </w:tc>
        <w:tc>
          <w:tcPr>
            <w:tcW w:w="1880" w:type="dxa"/>
            <w:vAlign w:val="center"/>
          </w:tcPr>
          <w:p w14:paraId="4CB10979">
            <w:pPr>
              <w:widowControl/>
              <w:spacing w:line="240" w:lineRule="auto"/>
              <w:ind w:firstLine="0" w:firstLineChars="0"/>
              <w:jc w:val="center"/>
              <w:rPr>
                <w:color w:val="auto"/>
                <w:sz w:val="21"/>
                <w:szCs w:val="21"/>
              </w:rPr>
            </w:pPr>
            <w:r>
              <w:rPr>
                <w:rFonts w:hint="eastAsia"/>
                <w:color w:val="auto"/>
                <w:sz w:val="21"/>
                <w:szCs w:val="21"/>
              </w:rPr>
              <w:t>1.42</w:t>
            </w:r>
          </w:p>
        </w:tc>
        <w:tc>
          <w:tcPr>
            <w:tcW w:w="1881" w:type="dxa"/>
            <w:vAlign w:val="center"/>
          </w:tcPr>
          <w:p w14:paraId="3EC54D29">
            <w:pPr>
              <w:pStyle w:val="1209"/>
              <w:spacing w:before="0" w:line="240" w:lineRule="auto"/>
              <w:ind w:firstLine="0" w:firstLineChars="0"/>
              <w:jc w:val="center"/>
              <w:rPr>
                <w:color w:val="auto"/>
                <w:sz w:val="21"/>
                <w:szCs w:val="21"/>
              </w:rPr>
            </w:pPr>
            <w:r>
              <w:rPr>
                <w:rFonts w:hint="eastAsia"/>
                <w:color w:val="auto"/>
                <w:sz w:val="21"/>
                <w:szCs w:val="21"/>
              </w:rPr>
              <w:t>195</w:t>
            </w:r>
          </w:p>
        </w:tc>
      </w:tr>
    </w:tbl>
    <w:p w14:paraId="27214902">
      <w:pPr>
        <w:tabs>
          <w:tab w:val="left" w:pos="0"/>
        </w:tabs>
        <w:spacing w:line="240" w:lineRule="auto"/>
        <w:ind w:firstLine="0" w:firstLineChars="0"/>
        <w:rPr>
          <w:b/>
          <w:color w:val="auto"/>
          <w:sz w:val="18"/>
          <w:szCs w:val="18"/>
        </w:rPr>
      </w:pPr>
      <w:r>
        <w:rPr>
          <w:b/>
          <w:color w:val="auto"/>
          <w:sz w:val="18"/>
          <w:szCs w:val="18"/>
        </w:rPr>
        <w:t>注：“/”表示最大落地浓度未达到标准值的10%。</w:t>
      </w:r>
    </w:p>
    <w:bookmarkEnd w:id="38"/>
    <w:p w14:paraId="42FA910B">
      <w:pPr>
        <w:spacing w:before="120" w:beforeLines="50"/>
        <w:ind w:firstLine="0" w:firstLineChars="0"/>
        <w:outlineLvl w:val="3"/>
        <w:rPr>
          <w:b/>
          <w:color w:val="auto"/>
        </w:rPr>
      </w:pPr>
      <w:r>
        <w:rPr>
          <w:b/>
          <w:color w:val="auto"/>
        </w:rPr>
        <w:t>2.5.1.2 地表水评价工作等级</w:t>
      </w:r>
    </w:p>
    <w:p w14:paraId="219B1922">
      <w:pPr>
        <w:ind w:firstLine="480"/>
        <w:rPr>
          <w:color w:val="auto"/>
          <w:kern w:val="0"/>
        </w:rPr>
      </w:pPr>
      <w:r>
        <w:rPr>
          <w:color w:val="auto"/>
          <w:lang w:bidi="ar"/>
        </w:rPr>
        <w:t>拟建项目废水经厂内预处理满足《电镀污染物排放标准》（GB21900</w:t>
      </w:r>
      <w:r>
        <w:rPr>
          <w:rFonts w:hint="eastAsia"/>
          <w:color w:val="auto"/>
          <w:lang w:bidi="ar"/>
        </w:rPr>
        <w:t>-</w:t>
      </w:r>
      <w:r>
        <w:rPr>
          <w:color w:val="auto"/>
          <w:lang w:bidi="ar"/>
        </w:rPr>
        <w:t>2008）、《污水综合排放标准》（GB8978-1996）、《污水排入城镇下水道水质标准》（GB/T31962-2015）</w:t>
      </w:r>
      <w:r>
        <w:rPr>
          <w:rFonts w:hint="eastAsia"/>
          <w:color w:val="auto"/>
          <w:lang w:bidi="ar"/>
        </w:rPr>
        <w:t>以及开发区临港污水</w:t>
      </w:r>
      <w:r>
        <w:rPr>
          <w:color w:val="auto"/>
          <w:lang w:bidi="ar"/>
        </w:rPr>
        <w:t>处理厂</w:t>
      </w:r>
      <w:r>
        <w:rPr>
          <w:rFonts w:hint="eastAsia"/>
          <w:color w:val="auto"/>
          <w:lang w:bidi="ar"/>
        </w:rPr>
        <w:t>（原开发区西北组团污水处理厂）</w:t>
      </w:r>
      <w:r>
        <w:rPr>
          <w:color w:val="auto"/>
          <w:lang w:bidi="ar"/>
        </w:rPr>
        <w:t>根据实际运行能力设定的接管要求后，通过区域污水管网接入</w:t>
      </w:r>
      <w:r>
        <w:rPr>
          <w:rFonts w:hint="eastAsia"/>
          <w:color w:val="auto"/>
          <w:lang w:bidi="ar"/>
        </w:rPr>
        <w:t>开发区临港</w:t>
      </w:r>
      <w:r>
        <w:rPr>
          <w:color w:val="auto"/>
          <w:lang w:bidi="ar"/>
        </w:rPr>
        <w:t>污水处理厂进行集中处理，</w:t>
      </w:r>
      <w:r>
        <w:rPr>
          <w:rFonts w:hint="eastAsia"/>
          <w:color w:val="auto"/>
          <w:lang w:bidi="ar"/>
        </w:rPr>
        <w:t>经由大浦河排污通道排入临洪河，</w:t>
      </w:r>
      <w:r>
        <w:rPr>
          <w:color w:val="auto"/>
          <w:lang w:bidi="ar"/>
        </w:rPr>
        <w:t>最终排入</w:t>
      </w:r>
      <w:r>
        <w:rPr>
          <w:rFonts w:hint="eastAsia"/>
          <w:color w:val="auto"/>
          <w:lang w:bidi="ar"/>
        </w:rPr>
        <w:t>黄海</w:t>
      </w:r>
      <w:r>
        <w:rPr>
          <w:color w:val="auto"/>
          <w:lang w:bidi="ar"/>
        </w:rPr>
        <w:t>。本项目为水污染影响型建设项目，废水采用间接排放方式，对照《环境影响评价技术导则 地表水环境》（HJ/T2.3-2018），判定拟建项目地表水环境影响评价工作等级为三级B</w:t>
      </w:r>
      <w:r>
        <w:rPr>
          <w:snapToGrid w:val="0"/>
          <w:color w:val="auto"/>
          <w:lang w:bidi="ar"/>
        </w:rPr>
        <w:t>。</w:t>
      </w:r>
    </w:p>
    <w:p w14:paraId="561FE16D">
      <w:pPr>
        <w:widowControl/>
        <w:spacing w:line="240" w:lineRule="auto"/>
        <w:ind w:firstLine="0" w:firstLineChars="0"/>
        <w:jc w:val="center"/>
        <w:rPr>
          <w:b/>
          <w:color w:val="auto"/>
          <w:kern w:val="0"/>
        </w:rPr>
      </w:pPr>
      <w:r>
        <w:rPr>
          <w:b/>
          <w:color w:val="auto"/>
          <w:kern w:val="0"/>
          <w:lang w:bidi="ar"/>
        </w:rPr>
        <w:t>表2.</w:t>
      </w:r>
      <w:r>
        <w:rPr>
          <w:rFonts w:hint="eastAsia"/>
          <w:b/>
          <w:color w:val="auto"/>
          <w:kern w:val="0"/>
          <w:lang w:bidi="ar"/>
        </w:rPr>
        <w:t>5</w:t>
      </w:r>
      <w:r>
        <w:rPr>
          <w:b/>
          <w:color w:val="auto"/>
          <w:kern w:val="0"/>
          <w:lang w:bidi="ar"/>
        </w:rPr>
        <w:t>.1-4  地表水评价等级判定依据</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3009"/>
        <w:gridCol w:w="4492"/>
      </w:tblGrid>
      <w:tr w14:paraId="4590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Merge w:val="restart"/>
            <w:tcBorders>
              <w:top w:val="single" w:color="auto" w:sz="12" w:space="0"/>
              <w:left w:val="nil"/>
              <w:bottom w:val="single" w:color="auto" w:sz="4" w:space="0"/>
              <w:right w:val="single" w:color="auto" w:sz="4" w:space="0"/>
            </w:tcBorders>
            <w:shd w:val="clear" w:color="auto" w:fill="auto"/>
            <w:vAlign w:val="center"/>
          </w:tcPr>
          <w:p w14:paraId="2017F5A8">
            <w:pPr>
              <w:spacing w:line="240" w:lineRule="auto"/>
              <w:ind w:firstLine="422"/>
              <w:jc w:val="center"/>
              <w:rPr>
                <w:b/>
                <w:color w:val="auto"/>
                <w:kern w:val="0"/>
                <w:szCs w:val="21"/>
              </w:rPr>
            </w:pPr>
            <w:r>
              <w:rPr>
                <w:b/>
                <w:color w:val="auto"/>
                <w:kern w:val="0"/>
                <w:sz w:val="21"/>
                <w:szCs w:val="21"/>
                <w:lang w:bidi="ar"/>
              </w:rPr>
              <w:t>评价等级</w:t>
            </w:r>
          </w:p>
        </w:tc>
        <w:tc>
          <w:tcPr>
            <w:tcW w:w="4038" w:type="pct"/>
            <w:gridSpan w:val="2"/>
            <w:tcBorders>
              <w:top w:val="single" w:color="auto" w:sz="12" w:space="0"/>
              <w:left w:val="single" w:color="auto" w:sz="4" w:space="0"/>
              <w:bottom w:val="single" w:color="auto" w:sz="4" w:space="0"/>
              <w:right w:val="nil"/>
            </w:tcBorders>
            <w:shd w:val="clear" w:color="auto" w:fill="auto"/>
            <w:vAlign w:val="center"/>
          </w:tcPr>
          <w:p w14:paraId="5237E674">
            <w:pPr>
              <w:spacing w:line="240" w:lineRule="auto"/>
              <w:ind w:firstLine="422"/>
              <w:jc w:val="center"/>
              <w:rPr>
                <w:b/>
                <w:color w:val="auto"/>
                <w:kern w:val="0"/>
                <w:szCs w:val="21"/>
              </w:rPr>
            </w:pPr>
            <w:r>
              <w:rPr>
                <w:b/>
                <w:color w:val="auto"/>
                <w:kern w:val="0"/>
                <w:sz w:val="21"/>
                <w:szCs w:val="21"/>
                <w:lang w:bidi="ar"/>
              </w:rPr>
              <w:t>判定依据</w:t>
            </w:r>
          </w:p>
        </w:tc>
      </w:tr>
      <w:tr w14:paraId="776C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Merge w:val="continue"/>
            <w:tcBorders>
              <w:top w:val="single" w:color="auto" w:sz="4" w:space="0"/>
              <w:left w:val="nil"/>
              <w:bottom w:val="single" w:color="auto" w:sz="4" w:space="0"/>
              <w:right w:val="single" w:color="auto" w:sz="4" w:space="0"/>
            </w:tcBorders>
            <w:shd w:val="clear" w:color="auto" w:fill="auto"/>
            <w:vAlign w:val="center"/>
          </w:tcPr>
          <w:p w14:paraId="5D56E2BA">
            <w:pPr>
              <w:spacing w:line="240" w:lineRule="auto"/>
              <w:ind w:firstLine="400"/>
              <w:rPr>
                <w:color w:val="auto"/>
                <w:sz w:val="20"/>
                <w:szCs w:val="20"/>
              </w:rPr>
            </w:pPr>
          </w:p>
        </w:tc>
        <w:tc>
          <w:tcPr>
            <w:tcW w:w="1620" w:type="pct"/>
            <w:tcBorders>
              <w:top w:val="single" w:color="auto" w:sz="4" w:space="0"/>
              <w:left w:val="single" w:color="auto" w:sz="4" w:space="0"/>
              <w:bottom w:val="single" w:color="auto" w:sz="4" w:space="0"/>
              <w:right w:val="single" w:color="auto" w:sz="4" w:space="0"/>
            </w:tcBorders>
            <w:shd w:val="clear" w:color="auto" w:fill="auto"/>
            <w:vAlign w:val="center"/>
          </w:tcPr>
          <w:p w14:paraId="6944E085">
            <w:pPr>
              <w:spacing w:line="240" w:lineRule="auto"/>
              <w:ind w:firstLine="422"/>
              <w:jc w:val="center"/>
              <w:rPr>
                <w:b/>
                <w:color w:val="auto"/>
                <w:kern w:val="0"/>
                <w:szCs w:val="21"/>
              </w:rPr>
            </w:pPr>
            <w:r>
              <w:rPr>
                <w:b/>
                <w:color w:val="auto"/>
                <w:kern w:val="0"/>
                <w:sz w:val="21"/>
                <w:szCs w:val="21"/>
                <w:lang w:bidi="ar"/>
              </w:rPr>
              <w:t>排放方式</w:t>
            </w:r>
          </w:p>
        </w:tc>
        <w:tc>
          <w:tcPr>
            <w:tcW w:w="2417" w:type="pct"/>
            <w:tcBorders>
              <w:top w:val="single" w:color="auto" w:sz="4" w:space="0"/>
              <w:left w:val="single" w:color="auto" w:sz="4" w:space="0"/>
              <w:bottom w:val="single" w:color="auto" w:sz="4" w:space="0"/>
              <w:right w:val="nil"/>
            </w:tcBorders>
            <w:shd w:val="clear" w:color="auto" w:fill="auto"/>
            <w:vAlign w:val="center"/>
          </w:tcPr>
          <w:p w14:paraId="12663E30">
            <w:pPr>
              <w:spacing w:line="240" w:lineRule="auto"/>
              <w:ind w:firstLine="422"/>
              <w:jc w:val="center"/>
              <w:rPr>
                <w:b/>
                <w:color w:val="auto"/>
                <w:kern w:val="0"/>
                <w:szCs w:val="21"/>
              </w:rPr>
            </w:pPr>
            <w:r>
              <w:rPr>
                <w:b/>
                <w:color w:val="auto"/>
                <w:kern w:val="0"/>
                <w:sz w:val="21"/>
                <w:szCs w:val="21"/>
                <w:lang w:bidi="ar"/>
              </w:rPr>
              <w:t>废水排放量Q/(m</w:t>
            </w:r>
            <w:r>
              <w:rPr>
                <w:b/>
                <w:color w:val="auto"/>
                <w:kern w:val="0"/>
                <w:sz w:val="21"/>
                <w:szCs w:val="21"/>
                <w:vertAlign w:val="superscript"/>
                <w:lang w:bidi="ar"/>
              </w:rPr>
              <w:t>3</w:t>
            </w:r>
            <w:r>
              <w:rPr>
                <w:b/>
                <w:color w:val="auto"/>
                <w:kern w:val="0"/>
                <w:sz w:val="21"/>
                <w:szCs w:val="21"/>
                <w:lang w:bidi="ar"/>
              </w:rPr>
              <w:t>/d)</w:t>
            </w:r>
            <w:r>
              <w:rPr>
                <w:rFonts w:hint="eastAsia"/>
                <w:b/>
                <w:color w:val="auto"/>
                <w:kern w:val="0"/>
                <w:sz w:val="21"/>
                <w:szCs w:val="21"/>
                <w:lang w:bidi="ar"/>
              </w:rPr>
              <w:t>；</w:t>
            </w:r>
            <w:r>
              <w:rPr>
                <w:b/>
                <w:color w:val="auto"/>
                <w:kern w:val="0"/>
                <w:sz w:val="21"/>
                <w:szCs w:val="21"/>
                <w:lang w:bidi="ar"/>
              </w:rPr>
              <w:t>水污染物当量数W/</w:t>
            </w:r>
            <w:r>
              <w:rPr>
                <w:rFonts w:hint="eastAsia"/>
                <w:b/>
                <w:color w:val="auto"/>
                <w:kern w:val="0"/>
                <w:sz w:val="21"/>
                <w:szCs w:val="21"/>
                <w:lang w:bidi="ar"/>
              </w:rPr>
              <w:t>（</w:t>
            </w:r>
            <w:r>
              <w:rPr>
                <w:b/>
                <w:color w:val="auto"/>
                <w:kern w:val="0"/>
                <w:sz w:val="21"/>
                <w:szCs w:val="21"/>
                <w:lang w:bidi="ar"/>
              </w:rPr>
              <w:t>无量纲</w:t>
            </w:r>
            <w:r>
              <w:rPr>
                <w:rFonts w:hint="eastAsia"/>
                <w:b/>
                <w:color w:val="auto"/>
                <w:kern w:val="0"/>
                <w:sz w:val="21"/>
                <w:szCs w:val="21"/>
                <w:lang w:bidi="ar"/>
              </w:rPr>
              <w:t>）</w:t>
            </w:r>
          </w:p>
        </w:tc>
      </w:tr>
      <w:tr w14:paraId="7253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nil"/>
              <w:bottom w:val="single" w:color="auto" w:sz="4" w:space="0"/>
              <w:right w:val="single" w:color="auto" w:sz="4" w:space="0"/>
            </w:tcBorders>
            <w:shd w:val="clear" w:color="auto" w:fill="auto"/>
            <w:vAlign w:val="center"/>
          </w:tcPr>
          <w:p w14:paraId="16653823">
            <w:pPr>
              <w:spacing w:line="240" w:lineRule="auto"/>
              <w:ind w:firstLine="420"/>
              <w:jc w:val="center"/>
              <w:rPr>
                <w:color w:val="auto"/>
                <w:kern w:val="0"/>
                <w:szCs w:val="21"/>
              </w:rPr>
            </w:pPr>
            <w:r>
              <w:rPr>
                <w:color w:val="auto"/>
                <w:kern w:val="0"/>
                <w:sz w:val="21"/>
                <w:szCs w:val="21"/>
                <w:lang w:bidi="ar"/>
              </w:rPr>
              <w:t>一级</w:t>
            </w:r>
          </w:p>
        </w:tc>
        <w:tc>
          <w:tcPr>
            <w:tcW w:w="1620" w:type="pct"/>
            <w:tcBorders>
              <w:top w:val="single" w:color="auto" w:sz="4" w:space="0"/>
              <w:left w:val="single" w:color="auto" w:sz="4" w:space="0"/>
              <w:bottom w:val="single" w:color="auto" w:sz="4" w:space="0"/>
              <w:right w:val="single" w:color="auto" w:sz="4" w:space="0"/>
            </w:tcBorders>
            <w:shd w:val="clear" w:color="auto" w:fill="auto"/>
            <w:vAlign w:val="center"/>
          </w:tcPr>
          <w:p w14:paraId="44276012">
            <w:pPr>
              <w:spacing w:line="240" w:lineRule="auto"/>
              <w:ind w:firstLine="420"/>
              <w:jc w:val="center"/>
              <w:rPr>
                <w:color w:val="auto"/>
                <w:kern w:val="0"/>
                <w:szCs w:val="21"/>
              </w:rPr>
            </w:pPr>
            <w:r>
              <w:rPr>
                <w:color w:val="auto"/>
                <w:kern w:val="0"/>
                <w:sz w:val="21"/>
                <w:szCs w:val="21"/>
                <w:lang w:bidi="ar"/>
              </w:rPr>
              <w:t>直接排放</w:t>
            </w:r>
          </w:p>
        </w:tc>
        <w:tc>
          <w:tcPr>
            <w:tcW w:w="2417" w:type="pct"/>
            <w:tcBorders>
              <w:top w:val="single" w:color="auto" w:sz="4" w:space="0"/>
              <w:left w:val="single" w:color="auto" w:sz="4" w:space="0"/>
              <w:bottom w:val="single" w:color="auto" w:sz="4" w:space="0"/>
              <w:right w:val="nil"/>
            </w:tcBorders>
            <w:shd w:val="clear" w:color="auto" w:fill="auto"/>
            <w:vAlign w:val="center"/>
          </w:tcPr>
          <w:p w14:paraId="359D65B6">
            <w:pPr>
              <w:spacing w:line="240" w:lineRule="auto"/>
              <w:ind w:firstLine="420"/>
              <w:jc w:val="center"/>
              <w:rPr>
                <w:color w:val="auto"/>
                <w:kern w:val="0"/>
                <w:szCs w:val="21"/>
              </w:rPr>
            </w:pPr>
            <w:r>
              <w:rPr>
                <w:color w:val="auto"/>
                <w:kern w:val="0"/>
                <w:sz w:val="21"/>
                <w:szCs w:val="21"/>
                <w:lang w:bidi="ar"/>
              </w:rPr>
              <w:t>Q≥20000或W≥600000</w:t>
            </w:r>
          </w:p>
        </w:tc>
      </w:tr>
      <w:tr w14:paraId="3B11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nil"/>
              <w:bottom w:val="single" w:color="auto" w:sz="4" w:space="0"/>
              <w:right w:val="single" w:color="auto" w:sz="4" w:space="0"/>
            </w:tcBorders>
            <w:shd w:val="clear" w:color="auto" w:fill="auto"/>
            <w:vAlign w:val="center"/>
          </w:tcPr>
          <w:p w14:paraId="125671C5">
            <w:pPr>
              <w:spacing w:line="240" w:lineRule="auto"/>
              <w:ind w:firstLine="420"/>
              <w:jc w:val="center"/>
              <w:rPr>
                <w:color w:val="auto"/>
                <w:kern w:val="0"/>
                <w:szCs w:val="21"/>
              </w:rPr>
            </w:pPr>
            <w:r>
              <w:rPr>
                <w:color w:val="auto"/>
                <w:kern w:val="0"/>
                <w:sz w:val="21"/>
                <w:szCs w:val="21"/>
                <w:lang w:bidi="ar"/>
              </w:rPr>
              <w:t>二级</w:t>
            </w:r>
          </w:p>
        </w:tc>
        <w:tc>
          <w:tcPr>
            <w:tcW w:w="1620" w:type="pct"/>
            <w:tcBorders>
              <w:top w:val="single" w:color="auto" w:sz="4" w:space="0"/>
              <w:left w:val="single" w:color="auto" w:sz="4" w:space="0"/>
              <w:bottom w:val="single" w:color="auto" w:sz="4" w:space="0"/>
              <w:right w:val="single" w:color="auto" w:sz="4" w:space="0"/>
            </w:tcBorders>
            <w:shd w:val="clear" w:color="auto" w:fill="auto"/>
            <w:vAlign w:val="center"/>
          </w:tcPr>
          <w:p w14:paraId="19573F73">
            <w:pPr>
              <w:spacing w:line="240" w:lineRule="auto"/>
              <w:ind w:firstLine="420"/>
              <w:jc w:val="center"/>
              <w:rPr>
                <w:color w:val="auto"/>
                <w:kern w:val="0"/>
                <w:szCs w:val="21"/>
              </w:rPr>
            </w:pPr>
            <w:r>
              <w:rPr>
                <w:color w:val="auto"/>
                <w:kern w:val="0"/>
                <w:sz w:val="21"/>
                <w:szCs w:val="21"/>
                <w:lang w:bidi="ar"/>
              </w:rPr>
              <w:t>直接排放</w:t>
            </w:r>
          </w:p>
        </w:tc>
        <w:tc>
          <w:tcPr>
            <w:tcW w:w="2417" w:type="pct"/>
            <w:tcBorders>
              <w:top w:val="single" w:color="auto" w:sz="4" w:space="0"/>
              <w:left w:val="single" w:color="auto" w:sz="4" w:space="0"/>
              <w:bottom w:val="single" w:color="auto" w:sz="4" w:space="0"/>
              <w:right w:val="nil"/>
            </w:tcBorders>
            <w:shd w:val="clear" w:color="auto" w:fill="auto"/>
            <w:vAlign w:val="center"/>
          </w:tcPr>
          <w:p w14:paraId="4329F10C">
            <w:pPr>
              <w:spacing w:line="240" w:lineRule="auto"/>
              <w:ind w:firstLine="420"/>
              <w:jc w:val="center"/>
              <w:rPr>
                <w:color w:val="auto"/>
                <w:kern w:val="0"/>
                <w:szCs w:val="21"/>
              </w:rPr>
            </w:pPr>
            <w:r>
              <w:rPr>
                <w:color w:val="auto"/>
                <w:kern w:val="0"/>
                <w:sz w:val="21"/>
                <w:szCs w:val="21"/>
                <w:lang w:bidi="ar"/>
              </w:rPr>
              <w:t>其他</w:t>
            </w:r>
          </w:p>
        </w:tc>
      </w:tr>
      <w:tr w14:paraId="66D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nil"/>
              <w:bottom w:val="single" w:color="auto" w:sz="4" w:space="0"/>
              <w:right w:val="single" w:color="auto" w:sz="4" w:space="0"/>
            </w:tcBorders>
            <w:shd w:val="clear" w:color="auto" w:fill="auto"/>
            <w:vAlign w:val="center"/>
          </w:tcPr>
          <w:p w14:paraId="206F9FF9">
            <w:pPr>
              <w:spacing w:line="240" w:lineRule="auto"/>
              <w:ind w:firstLine="420"/>
              <w:jc w:val="center"/>
              <w:rPr>
                <w:color w:val="auto"/>
                <w:kern w:val="0"/>
                <w:szCs w:val="21"/>
              </w:rPr>
            </w:pPr>
            <w:r>
              <w:rPr>
                <w:color w:val="auto"/>
                <w:kern w:val="0"/>
                <w:sz w:val="21"/>
                <w:szCs w:val="21"/>
                <w:lang w:bidi="ar"/>
              </w:rPr>
              <w:t>三级A</w:t>
            </w:r>
          </w:p>
        </w:tc>
        <w:tc>
          <w:tcPr>
            <w:tcW w:w="1620" w:type="pct"/>
            <w:tcBorders>
              <w:top w:val="single" w:color="auto" w:sz="4" w:space="0"/>
              <w:left w:val="single" w:color="auto" w:sz="4" w:space="0"/>
              <w:bottom w:val="single" w:color="auto" w:sz="4" w:space="0"/>
              <w:right w:val="single" w:color="auto" w:sz="4" w:space="0"/>
            </w:tcBorders>
            <w:shd w:val="clear" w:color="auto" w:fill="auto"/>
            <w:vAlign w:val="center"/>
          </w:tcPr>
          <w:p w14:paraId="7558E234">
            <w:pPr>
              <w:spacing w:line="240" w:lineRule="auto"/>
              <w:ind w:firstLine="420"/>
              <w:jc w:val="center"/>
              <w:rPr>
                <w:color w:val="auto"/>
                <w:kern w:val="0"/>
                <w:szCs w:val="21"/>
              </w:rPr>
            </w:pPr>
            <w:r>
              <w:rPr>
                <w:color w:val="auto"/>
                <w:kern w:val="0"/>
                <w:sz w:val="21"/>
                <w:szCs w:val="21"/>
                <w:lang w:bidi="ar"/>
              </w:rPr>
              <w:t>直接排放</w:t>
            </w:r>
          </w:p>
        </w:tc>
        <w:tc>
          <w:tcPr>
            <w:tcW w:w="2417" w:type="pct"/>
            <w:tcBorders>
              <w:top w:val="single" w:color="auto" w:sz="4" w:space="0"/>
              <w:left w:val="single" w:color="auto" w:sz="4" w:space="0"/>
              <w:bottom w:val="single" w:color="auto" w:sz="4" w:space="0"/>
              <w:right w:val="nil"/>
            </w:tcBorders>
            <w:shd w:val="clear" w:color="auto" w:fill="auto"/>
            <w:vAlign w:val="center"/>
          </w:tcPr>
          <w:p w14:paraId="6DEAE16B">
            <w:pPr>
              <w:spacing w:line="240" w:lineRule="auto"/>
              <w:ind w:firstLine="420"/>
              <w:jc w:val="center"/>
              <w:rPr>
                <w:color w:val="auto"/>
                <w:kern w:val="0"/>
                <w:szCs w:val="21"/>
              </w:rPr>
            </w:pPr>
            <w:r>
              <w:rPr>
                <w:color w:val="auto"/>
                <w:kern w:val="0"/>
                <w:sz w:val="21"/>
                <w:szCs w:val="21"/>
                <w:lang w:bidi="ar"/>
              </w:rPr>
              <w:t>Q&lt;200且W&lt;6000</w:t>
            </w:r>
          </w:p>
        </w:tc>
      </w:tr>
      <w:tr w14:paraId="235A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tcBorders>
              <w:top w:val="single" w:color="auto" w:sz="4" w:space="0"/>
              <w:left w:val="nil"/>
              <w:bottom w:val="single" w:color="auto" w:sz="12" w:space="0"/>
              <w:right w:val="single" w:color="auto" w:sz="4" w:space="0"/>
            </w:tcBorders>
            <w:shd w:val="clear" w:color="auto" w:fill="D9D9D9"/>
            <w:vAlign w:val="center"/>
          </w:tcPr>
          <w:p w14:paraId="57D89FE4">
            <w:pPr>
              <w:spacing w:line="240" w:lineRule="auto"/>
              <w:ind w:firstLine="420"/>
              <w:jc w:val="center"/>
              <w:rPr>
                <w:color w:val="auto"/>
                <w:kern w:val="0"/>
                <w:szCs w:val="21"/>
              </w:rPr>
            </w:pPr>
            <w:r>
              <w:rPr>
                <w:color w:val="auto"/>
                <w:kern w:val="0"/>
                <w:sz w:val="21"/>
                <w:szCs w:val="21"/>
                <w:lang w:bidi="ar"/>
              </w:rPr>
              <w:t>三级B</w:t>
            </w:r>
          </w:p>
        </w:tc>
        <w:tc>
          <w:tcPr>
            <w:tcW w:w="1620" w:type="pct"/>
            <w:tcBorders>
              <w:top w:val="single" w:color="auto" w:sz="4" w:space="0"/>
              <w:left w:val="single" w:color="auto" w:sz="4" w:space="0"/>
              <w:bottom w:val="single" w:color="auto" w:sz="12" w:space="0"/>
              <w:right w:val="single" w:color="auto" w:sz="4" w:space="0"/>
            </w:tcBorders>
            <w:shd w:val="clear" w:color="auto" w:fill="D9D9D9"/>
            <w:vAlign w:val="center"/>
          </w:tcPr>
          <w:p w14:paraId="2C7ACEC9">
            <w:pPr>
              <w:spacing w:line="240" w:lineRule="auto"/>
              <w:ind w:firstLine="420"/>
              <w:jc w:val="center"/>
              <w:rPr>
                <w:color w:val="auto"/>
                <w:kern w:val="0"/>
                <w:szCs w:val="21"/>
              </w:rPr>
            </w:pPr>
            <w:r>
              <w:rPr>
                <w:color w:val="auto"/>
                <w:kern w:val="0"/>
                <w:sz w:val="21"/>
                <w:szCs w:val="21"/>
                <w:lang w:bidi="ar"/>
              </w:rPr>
              <w:t>间接排放</w:t>
            </w:r>
          </w:p>
        </w:tc>
        <w:tc>
          <w:tcPr>
            <w:tcW w:w="2417" w:type="pct"/>
            <w:tcBorders>
              <w:top w:val="single" w:color="auto" w:sz="4" w:space="0"/>
              <w:left w:val="single" w:color="auto" w:sz="4" w:space="0"/>
              <w:bottom w:val="single" w:color="auto" w:sz="12" w:space="0"/>
              <w:right w:val="nil"/>
            </w:tcBorders>
            <w:shd w:val="clear" w:color="auto" w:fill="D9D9D9"/>
            <w:vAlign w:val="center"/>
          </w:tcPr>
          <w:p w14:paraId="7E5BD081">
            <w:pPr>
              <w:spacing w:line="240" w:lineRule="auto"/>
              <w:ind w:firstLine="420"/>
              <w:jc w:val="center"/>
              <w:rPr>
                <w:color w:val="auto"/>
                <w:kern w:val="0"/>
                <w:szCs w:val="21"/>
              </w:rPr>
            </w:pPr>
            <w:r>
              <w:rPr>
                <w:color w:val="auto"/>
                <w:kern w:val="0"/>
                <w:sz w:val="21"/>
                <w:szCs w:val="21"/>
                <w:lang w:bidi="ar"/>
              </w:rPr>
              <w:t>—</w:t>
            </w:r>
          </w:p>
        </w:tc>
      </w:tr>
    </w:tbl>
    <w:p w14:paraId="6FD37D33">
      <w:pPr>
        <w:spacing w:before="120" w:beforeLines="50"/>
        <w:ind w:firstLine="0" w:firstLineChars="0"/>
        <w:outlineLvl w:val="3"/>
        <w:rPr>
          <w:b/>
          <w:color w:val="auto"/>
        </w:rPr>
      </w:pPr>
      <w:r>
        <w:rPr>
          <w:b/>
          <w:color w:val="auto"/>
        </w:rPr>
        <w:t>2.5.1.3 地下水评价工作等级</w:t>
      </w:r>
    </w:p>
    <w:p w14:paraId="1F770A5C">
      <w:pPr>
        <w:ind w:firstLine="480"/>
        <w:rPr>
          <w:color w:val="auto"/>
        </w:rPr>
      </w:pPr>
      <w:r>
        <w:rPr>
          <w:color w:val="auto"/>
        </w:rPr>
        <w:t>根据《环境影响评价技术导则 地下水环境》（HJ610-2016）附录A地下水环境影响评价行业分类表，本项目属于</w:t>
      </w:r>
      <w:r>
        <w:rPr>
          <w:rFonts w:hint="eastAsia"/>
          <w:color w:val="auto"/>
          <w:kern w:val="24"/>
        </w:rPr>
        <w:t>I</w:t>
      </w:r>
      <w:r>
        <w:rPr>
          <w:color w:val="auto"/>
        </w:rPr>
        <w:t>类项目；项目所在地地下水环境敏感程度不属于导则中表1规定的敏感和较敏感地区范畴，该地区地下水环境敏感程度设为“不敏感”；根据导则表2评价工作等级分级表判定本项目地下水评价工作等级为</w:t>
      </w:r>
      <w:r>
        <w:rPr>
          <w:rFonts w:hint="eastAsia"/>
          <w:color w:val="auto"/>
        </w:rPr>
        <w:t>二</w:t>
      </w:r>
      <w:r>
        <w:rPr>
          <w:color w:val="auto"/>
        </w:rPr>
        <w:t>级。</w:t>
      </w:r>
    </w:p>
    <w:p w14:paraId="34D53693">
      <w:pPr>
        <w:ind w:firstLine="480"/>
        <w:rPr>
          <w:color w:val="auto"/>
        </w:rPr>
      </w:pPr>
      <w:r>
        <w:rPr>
          <w:color w:val="auto"/>
        </w:rPr>
        <w:t>本项目各要素具体判定依据详见表2.5</w:t>
      </w:r>
      <w:r>
        <w:rPr>
          <w:rFonts w:hint="eastAsia"/>
          <w:color w:val="auto"/>
        </w:rPr>
        <w:t>.1</w:t>
      </w:r>
      <w:r>
        <w:rPr>
          <w:color w:val="auto"/>
        </w:rPr>
        <w:t>-</w:t>
      </w:r>
      <w:r>
        <w:rPr>
          <w:rFonts w:hint="eastAsia"/>
          <w:color w:val="auto"/>
        </w:rPr>
        <w:t>5</w:t>
      </w:r>
      <w:r>
        <w:rPr>
          <w:color w:val="auto"/>
        </w:rPr>
        <w:t>和表2.5</w:t>
      </w:r>
      <w:r>
        <w:rPr>
          <w:rFonts w:hint="eastAsia"/>
          <w:color w:val="auto"/>
        </w:rPr>
        <w:t>.1</w:t>
      </w:r>
      <w:r>
        <w:rPr>
          <w:color w:val="auto"/>
        </w:rPr>
        <w:t>-</w:t>
      </w:r>
      <w:r>
        <w:rPr>
          <w:rFonts w:hint="eastAsia"/>
          <w:color w:val="auto"/>
        </w:rPr>
        <w:t>6</w:t>
      </w:r>
      <w:r>
        <w:rPr>
          <w:color w:val="auto"/>
        </w:rPr>
        <w:t>。</w:t>
      </w:r>
    </w:p>
    <w:p w14:paraId="729B865B">
      <w:pPr>
        <w:tabs>
          <w:tab w:val="left" w:pos="0"/>
        </w:tabs>
        <w:spacing w:line="240" w:lineRule="auto"/>
        <w:ind w:firstLine="0" w:firstLineChars="0"/>
        <w:jc w:val="center"/>
        <w:rPr>
          <w:b/>
          <w:color w:val="auto"/>
          <w:szCs w:val="20"/>
        </w:rPr>
      </w:pPr>
      <w:r>
        <w:rPr>
          <w:b/>
          <w:color w:val="auto"/>
          <w:szCs w:val="20"/>
        </w:rPr>
        <w:t>表2.5</w:t>
      </w:r>
      <w:r>
        <w:rPr>
          <w:rFonts w:hint="eastAsia"/>
          <w:b/>
          <w:color w:val="auto"/>
          <w:szCs w:val="20"/>
        </w:rPr>
        <w:t>.1</w:t>
      </w:r>
      <w:r>
        <w:rPr>
          <w:b/>
          <w:color w:val="auto"/>
          <w:szCs w:val="20"/>
        </w:rPr>
        <w:t>-</w:t>
      </w:r>
      <w:r>
        <w:rPr>
          <w:rFonts w:hint="eastAsia"/>
          <w:b/>
          <w:color w:val="auto"/>
          <w:szCs w:val="20"/>
        </w:rPr>
        <w:t>5</w:t>
      </w:r>
      <w:r>
        <w:rPr>
          <w:b/>
          <w:color w:val="auto"/>
          <w:szCs w:val="20"/>
        </w:rPr>
        <w:t xml:space="preserve">  地下水环境敏感程度分级</w:t>
      </w:r>
    </w:p>
    <w:tbl>
      <w:tblPr>
        <w:tblStyle w:val="88"/>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108" w:type="dxa"/>
          <w:bottom w:w="28" w:type="dxa"/>
          <w:right w:w="108" w:type="dxa"/>
        </w:tblCellMar>
      </w:tblPr>
      <w:tblGrid>
        <w:gridCol w:w="1369"/>
        <w:gridCol w:w="7915"/>
      </w:tblGrid>
      <w:tr w14:paraId="100DCA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251" w:hRule="atLeast"/>
          <w:tblHeader/>
        </w:trPr>
        <w:tc>
          <w:tcPr>
            <w:tcW w:w="737" w:type="pct"/>
            <w:vAlign w:val="center"/>
          </w:tcPr>
          <w:p w14:paraId="537E52E9">
            <w:pPr>
              <w:spacing w:line="240" w:lineRule="auto"/>
              <w:ind w:firstLine="0" w:firstLineChars="0"/>
              <w:jc w:val="center"/>
              <w:rPr>
                <w:b/>
                <w:color w:val="auto"/>
                <w:sz w:val="21"/>
                <w:szCs w:val="21"/>
              </w:rPr>
            </w:pPr>
            <w:r>
              <w:rPr>
                <w:b/>
                <w:color w:val="auto"/>
                <w:sz w:val="21"/>
                <w:szCs w:val="21"/>
              </w:rPr>
              <w:t>分级</w:t>
            </w:r>
          </w:p>
        </w:tc>
        <w:tc>
          <w:tcPr>
            <w:tcW w:w="4262" w:type="pct"/>
            <w:vAlign w:val="center"/>
          </w:tcPr>
          <w:p w14:paraId="303F863E">
            <w:pPr>
              <w:spacing w:line="240" w:lineRule="auto"/>
              <w:ind w:firstLine="0" w:firstLineChars="0"/>
              <w:jc w:val="center"/>
              <w:rPr>
                <w:b/>
                <w:color w:val="auto"/>
                <w:sz w:val="21"/>
                <w:szCs w:val="21"/>
              </w:rPr>
            </w:pPr>
            <w:r>
              <w:rPr>
                <w:b/>
                <w:color w:val="auto"/>
                <w:sz w:val="21"/>
                <w:szCs w:val="21"/>
              </w:rPr>
              <w:t>项目场地的地下水环境敏感特征</w:t>
            </w:r>
          </w:p>
        </w:tc>
      </w:tr>
      <w:tr w14:paraId="6AEEFB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c>
          <w:tcPr>
            <w:tcW w:w="737" w:type="pct"/>
            <w:tcBorders>
              <w:bottom w:val="single" w:color="000000" w:sz="6" w:space="0"/>
            </w:tcBorders>
            <w:vAlign w:val="center"/>
          </w:tcPr>
          <w:p w14:paraId="7C2F7842">
            <w:pPr>
              <w:spacing w:line="240" w:lineRule="auto"/>
              <w:ind w:firstLine="0" w:firstLineChars="0"/>
              <w:jc w:val="center"/>
              <w:rPr>
                <w:color w:val="auto"/>
                <w:sz w:val="21"/>
                <w:szCs w:val="21"/>
              </w:rPr>
            </w:pPr>
            <w:r>
              <w:rPr>
                <w:color w:val="auto"/>
                <w:sz w:val="21"/>
                <w:szCs w:val="21"/>
              </w:rPr>
              <w:t>敏感</w:t>
            </w:r>
          </w:p>
        </w:tc>
        <w:tc>
          <w:tcPr>
            <w:tcW w:w="4262" w:type="pct"/>
            <w:tcBorders>
              <w:bottom w:val="single" w:color="000000" w:sz="6" w:space="0"/>
            </w:tcBorders>
            <w:vAlign w:val="center"/>
          </w:tcPr>
          <w:p w14:paraId="44256DB8">
            <w:pPr>
              <w:spacing w:line="240" w:lineRule="auto"/>
              <w:ind w:firstLine="0" w:firstLineChars="0"/>
              <w:rPr>
                <w:color w:val="auto"/>
                <w:sz w:val="21"/>
                <w:szCs w:val="21"/>
              </w:rPr>
            </w:pPr>
            <w:r>
              <w:rPr>
                <w:color w:val="auto"/>
                <w:sz w:val="21"/>
                <w:szCs w:val="21"/>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14:paraId="4C0134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c>
          <w:tcPr>
            <w:tcW w:w="737" w:type="pct"/>
            <w:tcBorders>
              <w:top w:val="single" w:color="000000" w:sz="6" w:space="0"/>
              <w:bottom w:val="single" w:color="000000" w:sz="6" w:space="0"/>
            </w:tcBorders>
            <w:vAlign w:val="center"/>
          </w:tcPr>
          <w:p w14:paraId="6D32EDD5">
            <w:pPr>
              <w:spacing w:line="240" w:lineRule="auto"/>
              <w:ind w:firstLine="0" w:firstLineChars="0"/>
              <w:jc w:val="center"/>
              <w:rPr>
                <w:color w:val="auto"/>
                <w:sz w:val="21"/>
                <w:szCs w:val="21"/>
              </w:rPr>
            </w:pPr>
            <w:r>
              <w:rPr>
                <w:color w:val="auto"/>
                <w:sz w:val="21"/>
                <w:szCs w:val="21"/>
              </w:rPr>
              <w:t>较敏感</w:t>
            </w:r>
          </w:p>
        </w:tc>
        <w:tc>
          <w:tcPr>
            <w:tcW w:w="4262" w:type="pct"/>
            <w:tcBorders>
              <w:top w:val="single" w:color="000000" w:sz="6" w:space="0"/>
              <w:bottom w:val="single" w:color="000000" w:sz="6" w:space="0"/>
            </w:tcBorders>
            <w:vAlign w:val="center"/>
          </w:tcPr>
          <w:p w14:paraId="55DAF54B">
            <w:pPr>
              <w:spacing w:line="240" w:lineRule="auto"/>
              <w:ind w:firstLine="0" w:firstLineChars="0"/>
              <w:rPr>
                <w:color w:val="auto"/>
                <w:sz w:val="21"/>
                <w:szCs w:val="21"/>
              </w:rPr>
            </w:pPr>
            <w:r>
              <w:rPr>
                <w:color w:val="auto"/>
                <w:sz w:val="21"/>
                <w:szCs w:val="21"/>
              </w:rPr>
              <w:t>集中式饮用水水源地（包括已建成的在用、备用、应急水源地，在建和规划的水源地）准保护区以外的补给径流区；特殊地下水资源（如矿泉水、温泉等）保护区以外的分布区以及分布式居民饮用水水源等其它未列入上述敏感分级的环境敏感区。</w:t>
            </w:r>
          </w:p>
        </w:tc>
      </w:tr>
      <w:tr w14:paraId="673BB0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c>
          <w:tcPr>
            <w:tcW w:w="737" w:type="pct"/>
            <w:tcBorders>
              <w:top w:val="single" w:color="000000" w:sz="6" w:space="0"/>
              <w:bottom w:val="single" w:color="000000" w:sz="12" w:space="0"/>
            </w:tcBorders>
            <w:shd w:val="clear" w:color="auto" w:fill="D9D9D9"/>
            <w:vAlign w:val="center"/>
          </w:tcPr>
          <w:p w14:paraId="653EA509">
            <w:pPr>
              <w:spacing w:line="240" w:lineRule="auto"/>
              <w:ind w:firstLine="0" w:firstLineChars="0"/>
              <w:jc w:val="center"/>
              <w:rPr>
                <w:color w:val="auto"/>
                <w:sz w:val="21"/>
                <w:szCs w:val="21"/>
              </w:rPr>
            </w:pPr>
            <w:r>
              <w:rPr>
                <w:color w:val="auto"/>
                <w:sz w:val="21"/>
                <w:szCs w:val="21"/>
              </w:rPr>
              <w:t>不敏感</w:t>
            </w:r>
          </w:p>
        </w:tc>
        <w:tc>
          <w:tcPr>
            <w:tcW w:w="4262" w:type="pct"/>
            <w:tcBorders>
              <w:top w:val="single" w:color="000000" w:sz="6" w:space="0"/>
              <w:bottom w:val="single" w:color="000000" w:sz="12" w:space="0"/>
            </w:tcBorders>
            <w:shd w:val="clear" w:color="auto" w:fill="D9D9D9"/>
            <w:vAlign w:val="center"/>
          </w:tcPr>
          <w:p w14:paraId="2F4E3B0A">
            <w:pPr>
              <w:spacing w:line="240" w:lineRule="auto"/>
              <w:ind w:firstLine="0" w:firstLineChars="0"/>
              <w:rPr>
                <w:color w:val="auto"/>
                <w:sz w:val="21"/>
                <w:szCs w:val="21"/>
              </w:rPr>
            </w:pPr>
            <w:r>
              <w:rPr>
                <w:color w:val="auto"/>
                <w:sz w:val="21"/>
                <w:szCs w:val="21"/>
              </w:rPr>
              <w:t>上述地区之外的其它地区。</w:t>
            </w:r>
          </w:p>
        </w:tc>
      </w:tr>
    </w:tbl>
    <w:p w14:paraId="77E62566">
      <w:pPr>
        <w:tabs>
          <w:tab w:val="left" w:pos="0"/>
        </w:tabs>
        <w:spacing w:line="240" w:lineRule="auto"/>
        <w:ind w:firstLine="0" w:firstLineChars="0"/>
        <w:jc w:val="center"/>
        <w:rPr>
          <w:b/>
          <w:color w:val="auto"/>
          <w:szCs w:val="20"/>
        </w:rPr>
      </w:pPr>
      <w:r>
        <w:rPr>
          <w:b/>
          <w:color w:val="auto"/>
          <w:szCs w:val="20"/>
        </w:rPr>
        <w:t>表2.5</w:t>
      </w:r>
      <w:r>
        <w:rPr>
          <w:rFonts w:hint="eastAsia"/>
          <w:b/>
          <w:color w:val="auto"/>
          <w:szCs w:val="20"/>
        </w:rPr>
        <w:t>.1</w:t>
      </w:r>
      <w:r>
        <w:rPr>
          <w:b/>
          <w:color w:val="auto"/>
          <w:szCs w:val="20"/>
        </w:rPr>
        <w:t>-</w:t>
      </w:r>
      <w:r>
        <w:rPr>
          <w:rFonts w:hint="eastAsia"/>
          <w:b/>
          <w:color w:val="auto"/>
          <w:szCs w:val="20"/>
        </w:rPr>
        <w:t>6</w:t>
      </w:r>
      <w:r>
        <w:rPr>
          <w:b/>
          <w:color w:val="auto"/>
          <w:szCs w:val="20"/>
        </w:rPr>
        <w:t xml:space="preserve">  评价工作等级分级表</w:t>
      </w:r>
    </w:p>
    <w:tbl>
      <w:tblPr>
        <w:tblStyle w:val="88"/>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18"/>
        <w:gridCol w:w="2320"/>
        <w:gridCol w:w="2321"/>
        <w:gridCol w:w="2321"/>
      </w:tblGrid>
      <w:tr w14:paraId="3AAF76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249" w:type="pct"/>
            <w:tcBorders>
              <w:tl2br w:val="single" w:color="auto" w:sz="12" w:space="0"/>
            </w:tcBorders>
            <w:shd w:val="clear" w:color="auto" w:fill="auto"/>
            <w:vAlign w:val="center"/>
          </w:tcPr>
          <w:p w14:paraId="5335AE31">
            <w:pPr>
              <w:spacing w:line="240" w:lineRule="auto"/>
              <w:ind w:firstLine="0" w:firstLineChars="0"/>
              <w:jc w:val="center"/>
              <w:rPr>
                <w:b/>
                <w:color w:val="auto"/>
                <w:sz w:val="21"/>
                <w:szCs w:val="21"/>
              </w:rPr>
            </w:pPr>
            <w:r>
              <w:rPr>
                <w:b/>
                <w:color w:val="auto"/>
                <w:sz w:val="21"/>
                <w:szCs w:val="21"/>
              </w:rPr>
              <w:t>项目类别</w:t>
            </w:r>
          </w:p>
          <w:p w14:paraId="4D687C9F">
            <w:pPr>
              <w:spacing w:line="240" w:lineRule="auto"/>
              <w:ind w:firstLine="0" w:firstLineChars="0"/>
              <w:rPr>
                <w:b/>
                <w:color w:val="auto"/>
                <w:sz w:val="21"/>
                <w:szCs w:val="21"/>
              </w:rPr>
            </w:pPr>
            <w:r>
              <w:rPr>
                <w:b/>
                <w:color w:val="auto"/>
                <w:sz w:val="21"/>
                <w:szCs w:val="21"/>
              </w:rPr>
              <w:t>环境敏感程度</w:t>
            </w:r>
          </w:p>
        </w:tc>
        <w:tc>
          <w:tcPr>
            <w:tcW w:w="1250" w:type="pct"/>
            <w:shd w:val="clear" w:color="auto" w:fill="auto"/>
            <w:vAlign w:val="center"/>
          </w:tcPr>
          <w:p w14:paraId="3C81AC0A">
            <w:pPr>
              <w:spacing w:line="240" w:lineRule="auto"/>
              <w:ind w:firstLine="0" w:firstLineChars="0"/>
              <w:jc w:val="center"/>
              <w:rPr>
                <w:b/>
                <w:color w:val="auto"/>
                <w:sz w:val="21"/>
                <w:szCs w:val="21"/>
              </w:rPr>
            </w:pPr>
            <w:r>
              <w:rPr>
                <w:b/>
                <w:color w:val="auto"/>
                <w:sz w:val="21"/>
                <w:szCs w:val="21"/>
              </w:rPr>
              <w:t>Ⅰ类项目</w:t>
            </w:r>
          </w:p>
        </w:tc>
        <w:tc>
          <w:tcPr>
            <w:tcW w:w="1250" w:type="pct"/>
            <w:shd w:val="clear" w:color="auto" w:fill="auto"/>
            <w:vAlign w:val="center"/>
          </w:tcPr>
          <w:p w14:paraId="55B1D206">
            <w:pPr>
              <w:spacing w:line="240" w:lineRule="auto"/>
              <w:ind w:firstLine="0" w:firstLineChars="0"/>
              <w:jc w:val="center"/>
              <w:rPr>
                <w:b/>
                <w:color w:val="auto"/>
                <w:sz w:val="21"/>
                <w:szCs w:val="21"/>
              </w:rPr>
            </w:pPr>
            <w:r>
              <w:rPr>
                <w:b/>
                <w:color w:val="auto"/>
                <w:sz w:val="21"/>
                <w:szCs w:val="21"/>
              </w:rPr>
              <w:t>Ⅱ类项目</w:t>
            </w:r>
          </w:p>
        </w:tc>
        <w:tc>
          <w:tcPr>
            <w:tcW w:w="1250" w:type="pct"/>
            <w:shd w:val="clear" w:color="auto" w:fill="auto"/>
            <w:vAlign w:val="center"/>
          </w:tcPr>
          <w:p w14:paraId="21D31A94">
            <w:pPr>
              <w:spacing w:line="240" w:lineRule="auto"/>
              <w:ind w:firstLine="0" w:firstLineChars="0"/>
              <w:jc w:val="center"/>
              <w:rPr>
                <w:b/>
                <w:color w:val="auto"/>
                <w:sz w:val="21"/>
                <w:szCs w:val="21"/>
              </w:rPr>
            </w:pPr>
            <w:r>
              <w:rPr>
                <w:b/>
                <w:color w:val="auto"/>
                <w:sz w:val="21"/>
                <w:szCs w:val="21"/>
              </w:rPr>
              <w:t>Ⅲ类项目</w:t>
            </w:r>
          </w:p>
        </w:tc>
      </w:tr>
      <w:tr w14:paraId="515C5E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249" w:type="pct"/>
            <w:shd w:val="clear" w:color="auto" w:fill="auto"/>
            <w:vAlign w:val="center"/>
          </w:tcPr>
          <w:p w14:paraId="787185A2">
            <w:pPr>
              <w:spacing w:line="240" w:lineRule="auto"/>
              <w:ind w:firstLine="0" w:firstLineChars="0"/>
              <w:jc w:val="center"/>
              <w:rPr>
                <w:color w:val="auto"/>
                <w:sz w:val="21"/>
                <w:szCs w:val="21"/>
              </w:rPr>
            </w:pPr>
            <w:r>
              <w:rPr>
                <w:color w:val="auto"/>
                <w:sz w:val="21"/>
                <w:szCs w:val="21"/>
              </w:rPr>
              <w:t>敏感</w:t>
            </w:r>
          </w:p>
        </w:tc>
        <w:tc>
          <w:tcPr>
            <w:tcW w:w="1250" w:type="pct"/>
            <w:shd w:val="clear" w:color="auto" w:fill="auto"/>
            <w:vAlign w:val="center"/>
          </w:tcPr>
          <w:p w14:paraId="36209283">
            <w:pPr>
              <w:spacing w:line="240" w:lineRule="auto"/>
              <w:ind w:firstLine="0" w:firstLineChars="0"/>
              <w:jc w:val="center"/>
              <w:rPr>
                <w:color w:val="auto"/>
                <w:sz w:val="21"/>
                <w:szCs w:val="21"/>
              </w:rPr>
            </w:pPr>
            <w:r>
              <w:rPr>
                <w:color w:val="auto"/>
                <w:sz w:val="21"/>
                <w:szCs w:val="21"/>
              </w:rPr>
              <w:t>一</w:t>
            </w:r>
          </w:p>
        </w:tc>
        <w:tc>
          <w:tcPr>
            <w:tcW w:w="1250" w:type="pct"/>
            <w:shd w:val="clear" w:color="auto" w:fill="auto"/>
            <w:vAlign w:val="center"/>
          </w:tcPr>
          <w:p w14:paraId="1AA16C68">
            <w:pPr>
              <w:spacing w:line="240" w:lineRule="auto"/>
              <w:ind w:firstLine="0" w:firstLineChars="0"/>
              <w:jc w:val="center"/>
              <w:rPr>
                <w:color w:val="auto"/>
                <w:sz w:val="21"/>
                <w:szCs w:val="21"/>
              </w:rPr>
            </w:pPr>
            <w:r>
              <w:rPr>
                <w:color w:val="auto"/>
                <w:sz w:val="21"/>
                <w:szCs w:val="21"/>
              </w:rPr>
              <w:t>一</w:t>
            </w:r>
          </w:p>
        </w:tc>
        <w:tc>
          <w:tcPr>
            <w:tcW w:w="1250" w:type="pct"/>
            <w:shd w:val="clear" w:color="auto" w:fill="auto"/>
            <w:vAlign w:val="center"/>
          </w:tcPr>
          <w:p w14:paraId="3DC889D4">
            <w:pPr>
              <w:spacing w:line="240" w:lineRule="auto"/>
              <w:ind w:firstLine="0" w:firstLineChars="0"/>
              <w:jc w:val="center"/>
              <w:rPr>
                <w:color w:val="auto"/>
                <w:sz w:val="21"/>
                <w:szCs w:val="21"/>
              </w:rPr>
            </w:pPr>
            <w:r>
              <w:rPr>
                <w:color w:val="auto"/>
                <w:sz w:val="21"/>
                <w:szCs w:val="21"/>
              </w:rPr>
              <w:t>二</w:t>
            </w:r>
          </w:p>
        </w:tc>
      </w:tr>
      <w:tr w14:paraId="47E975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249" w:type="pct"/>
            <w:shd w:val="clear" w:color="auto" w:fill="auto"/>
            <w:vAlign w:val="center"/>
          </w:tcPr>
          <w:p w14:paraId="5FAC2306">
            <w:pPr>
              <w:spacing w:line="240" w:lineRule="auto"/>
              <w:ind w:firstLine="0" w:firstLineChars="0"/>
              <w:jc w:val="center"/>
              <w:rPr>
                <w:color w:val="auto"/>
                <w:sz w:val="21"/>
                <w:szCs w:val="21"/>
              </w:rPr>
            </w:pPr>
            <w:r>
              <w:rPr>
                <w:color w:val="auto"/>
                <w:sz w:val="21"/>
                <w:szCs w:val="21"/>
              </w:rPr>
              <w:t>较敏感</w:t>
            </w:r>
          </w:p>
        </w:tc>
        <w:tc>
          <w:tcPr>
            <w:tcW w:w="1250" w:type="pct"/>
            <w:shd w:val="clear" w:color="auto" w:fill="auto"/>
            <w:vAlign w:val="center"/>
          </w:tcPr>
          <w:p w14:paraId="69C88241">
            <w:pPr>
              <w:spacing w:line="240" w:lineRule="auto"/>
              <w:ind w:firstLine="0" w:firstLineChars="0"/>
              <w:jc w:val="center"/>
              <w:rPr>
                <w:color w:val="auto"/>
                <w:sz w:val="21"/>
                <w:szCs w:val="21"/>
              </w:rPr>
            </w:pPr>
            <w:r>
              <w:rPr>
                <w:color w:val="auto"/>
                <w:sz w:val="21"/>
                <w:szCs w:val="21"/>
              </w:rPr>
              <w:t>一</w:t>
            </w:r>
          </w:p>
        </w:tc>
        <w:tc>
          <w:tcPr>
            <w:tcW w:w="1250" w:type="pct"/>
            <w:shd w:val="clear" w:color="auto" w:fill="auto"/>
            <w:vAlign w:val="center"/>
          </w:tcPr>
          <w:p w14:paraId="4C39F917">
            <w:pPr>
              <w:spacing w:line="240" w:lineRule="auto"/>
              <w:ind w:firstLine="0" w:firstLineChars="0"/>
              <w:jc w:val="center"/>
              <w:rPr>
                <w:color w:val="auto"/>
                <w:sz w:val="21"/>
                <w:szCs w:val="21"/>
              </w:rPr>
            </w:pPr>
            <w:r>
              <w:rPr>
                <w:color w:val="auto"/>
                <w:sz w:val="21"/>
                <w:szCs w:val="21"/>
              </w:rPr>
              <w:t>二</w:t>
            </w:r>
          </w:p>
        </w:tc>
        <w:tc>
          <w:tcPr>
            <w:tcW w:w="1250" w:type="pct"/>
            <w:shd w:val="clear" w:color="auto" w:fill="auto"/>
            <w:vAlign w:val="center"/>
          </w:tcPr>
          <w:p w14:paraId="6715BC66">
            <w:pPr>
              <w:spacing w:line="240" w:lineRule="auto"/>
              <w:ind w:firstLine="0" w:firstLineChars="0"/>
              <w:jc w:val="center"/>
              <w:rPr>
                <w:color w:val="auto"/>
                <w:sz w:val="21"/>
                <w:szCs w:val="21"/>
              </w:rPr>
            </w:pPr>
            <w:r>
              <w:rPr>
                <w:color w:val="auto"/>
                <w:sz w:val="21"/>
                <w:szCs w:val="21"/>
              </w:rPr>
              <w:t>三</w:t>
            </w:r>
          </w:p>
        </w:tc>
      </w:tr>
      <w:tr w14:paraId="5BB57C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249" w:type="pct"/>
            <w:shd w:val="clear" w:color="auto" w:fill="auto"/>
            <w:vAlign w:val="center"/>
          </w:tcPr>
          <w:p w14:paraId="623EAE21">
            <w:pPr>
              <w:spacing w:line="240" w:lineRule="auto"/>
              <w:ind w:firstLine="0" w:firstLineChars="0"/>
              <w:jc w:val="center"/>
              <w:rPr>
                <w:color w:val="auto"/>
                <w:sz w:val="21"/>
                <w:szCs w:val="21"/>
              </w:rPr>
            </w:pPr>
            <w:r>
              <w:rPr>
                <w:color w:val="auto"/>
                <w:sz w:val="21"/>
                <w:szCs w:val="21"/>
              </w:rPr>
              <w:t>不敏感</w:t>
            </w:r>
          </w:p>
        </w:tc>
        <w:tc>
          <w:tcPr>
            <w:tcW w:w="1250" w:type="pct"/>
            <w:shd w:val="clear" w:color="auto" w:fill="E7E6E6" w:themeFill="background2"/>
            <w:vAlign w:val="center"/>
          </w:tcPr>
          <w:p w14:paraId="19AB049A">
            <w:pPr>
              <w:spacing w:line="240" w:lineRule="auto"/>
              <w:ind w:firstLine="0" w:firstLineChars="0"/>
              <w:jc w:val="center"/>
              <w:rPr>
                <w:color w:val="auto"/>
                <w:sz w:val="21"/>
                <w:szCs w:val="21"/>
              </w:rPr>
            </w:pPr>
            <w:r>
              <w:rPr>
                <w:color w:val="auto"/>
                <w:sz w:val="21"/>
                <w:szCs w:val="21"/>
              </w:rPr>
              <w:t>二</w:t>
            </w:r>
          </w:p>
        </w:tc>
        <w:tc>
          <w:tcPr>
            <w:tcW w:w="1250" w:type="pct"/>
            <w:shd w:val="clear" w:color="auto" w:fill="auto"/>
            <w:vAlign w:val="center"/>
          </w:tcPr>
          <w:p w14:paraId="50DC4EE7">
            <w:pPr>
              <w:spacing w:line="240" w:lineRule="auto"/>
              <w:ind w:firstLine="0" w:firstLineChars="0"/>
              <w:jc w:val="center"/>
              <w:rPr>
                <w:color w:val="auto"/>
                <w:sz w:val="21"/>
                <w:szCs w:val="21"/>
              </w:rPr>
            </w:pPr>
            <w:r>
              <w:rPr>
                <w:color w:val="auto"/>
                <w:sz w:val="21"/>
                <w:szCs w:val="21"/>
              </w:rPr>
              <w:t>三</w:t>
            </w:r>
          </w:p>
        </w:tc>
        <w:tc>
          <w:tcPr>
            <w:tcW w:w="1250" w:type="pct"/>
            <w:shd w:val="clear" w:color="auto" w:fill="auto"/>
            <w:vAlign w:val="center"/>
          </w:tcPr>
          <w:p w14:paraId="2ECBCE48">
            <w:pPr>
              <w:spacing w:line="240" w:lineRule="auto"/>
              <w:ind w:firstLine="0" w:firstLineChars="0"/>
              <w:jc w:val="center"/>
              <w:rPr>
                <w:color w:val="auto"/>
                <w:sz w:val="21"/>
                <w:szCs w:val="21"/>
              </w:rPr>
            </w:pPr>
            <w:r>
              <w:rPr>
                <w:color w:val="auto"/>
                <w:sz w:val="21"/>
                <w:szCs w:val="21"/>
              </w:rPr>
              <w:t>三</w:t>
            </w:r>
          </w:p>
        </w:tc>
      </w:tr>
    </w:tbl>
    <w:p w14:paraId="5C6C396D">
      <w:pPr>
        <w:spacing w:before="120" w:beforeLines="50"/>
        <w:ind w:firstLine="0" w:firstLineChars="0"/>
        <w:outlineLvl w:val="3"/>
        <w:rPr>
          <w:b/>
          <w:color w:val="auto"/>
        </w:rPr>
      </w:pPr>
      <w:r>
        <w:rPr>
          <w:b/>
          <w:color w:val="auto"/>
        </w:rPr>
        <w:t>2.5.1.4 噪声评价工作等级</w:t>
      </w:r>
    </w:p>
    <w:p w14:paraId="3EE401CF">
      <w:pPr>
        <w:ind w:firstLine="480"/>
        <w:rPr>
          <w:color w:val="auto"/>
        </w:rPr>
      </w:pPr>
      <w:r>
        <w:rPr>
          <w:color w:val="auto"/>
        </w:rPr>
        <w:t>根据《环境影响评价技术导则 声环境》（HJ2.4-2021）判定本项目声环境评价工作等级：</w:t>
      </w:r>
    </w:p>
    <w:p w14:paraId="4C263BAA">
      <w:pPr>
        <w:ind w:firstLine="480"/>
        <w:rPr>
          <w:color w:val="auto"/>
        </w:rPr>
      </w:pPr>
      <w:r>
        <w:rPr>
          <w:color w:val="auto"/>
        </w:rPr>
        <w:t>建设项目所在声环境功能区划适用于《声环境质量标准》（GB3096-2008）中的3类区域；周边200米范围内无居民点，建设项目建成后，受影响的噪声人口分布变化不大。</w:t>
      </w:r>
    </w:p>
    <w:p w14:paraId="71CBBDF3">
      <w:pPr>
        <w:ind w:firstLine="480"/>
        <w:rPr>
          <w:color w:val="auto"/>
        </w:rPr>
      </w:pPr>
      <w:r>
        <w:rPr>
          <w:color w:val="auto"/>
        </w:rPr>
        <w:t>项目所在地为工业用地，项目所在地及厂区四周噪声功能区划为3类区，项目建成后环境噪声变化小于3dB(A)，评价区内受影响人口较少，按照《环境影响评价技术导则 声环境》（HJ2.4-2021）中规定，确定本项目声环境影响评价等级为三级。</w:t>
      </w:r>
    </w:p>
    <w:p w14:paraId="30430146">
      <w:pPr>
        <w:spacing w:before="120" w:beforeLines="50"/>
        <w:ind w:firstLine="0" w:firstLineChars="0"/>
        <w:outlineLvl w:val="3"/>
        <w:rPr>
          <w:b/>
          <w:color w:val="auto"/>
        </w:rPr>
      </w:pPr>
      <w:r>
        <w:rPr>
          <w:b/>
          <w:color w:val="auto"/>
        </w:rPr>
        <w:t>2.5.1.5 土壤评价工作等级</w:t>
      </w:r>
    </w:p>
    <w:p w14:paraId="1594A6C9">
      <w:pPr>
        <w:ind w:firstLine="480"/>
        <w:rPr>
          <w:color w:val="auto"/>
          <w:kern w:val="0"/>
        </w:rPr>
      </w:pPr>
      <w:r>
        <w:rPr>
          <w:color w:val="auto"/>
          <w:kern w:val="0"/>
        </w:rPr>
        <w:t>根据《环境影响评价技术导则 土壤环境》（HJ964-2018）附录A土壤环境影响评价项目类别表，本项目</w:t>
      </w:r>
      <w:r>
        <w:rPr>
          <w:rFonts w:hint="eastAsia"/>
          <w:color w:val="auto"/>
          <w:kern w:val="0"/>
        </w:rPr>
        <w:t>行业类别为</w:t>
      </w:r>
      <w:r>
        <w:rPr>
          <w:color w:val="auto"/>
          <w:kern w:val="0"/>
        </w:rPr>
        <w:t>[C3311]金属结构制造，为“</w:t>
      </w:r>
      <w:r>
        <w:rPr>
          <w:rFonts w:hint="eastAsia"/>
          <w:color w:val="auto"/>
          <w:kern w:val="0"/>
        </w:rPr>
        <w:t>I</w:t>
      </w:r>
      <w:r>
        <w:rPr>
          <w:color w:val="auto"/>
          <w:kern w:val="0"/>
        </w:rPr>
        <w:t>类项目”；本项目厂区总占地面积为1</w:t>
      </w:r>
      <w:r>
        <w:rPr>
          <w:rFonts w:hint="eastAsia"/>
          <w:color w:val="auto"/>
          <w:kern w:val="0"/>
        </w:rPr>
        <w:t>0.6696</w:t>
      </w:r>
      <w:r>
        <w:rPr>
          <w:color w:val="auto"/>
          <w:kern w:val="0"/>
        </w:rPr>
        <w:t>公顷，为“</w:t>
      </w:r>
      <w:r>
        <w:rPr>
          <w:rFonts w:hint="eastAsia"/>
          <w:color w:val="auto"/>
          <w:kern w:val="0"/>
        </w:rPr>
        <w:t>中</w:t>
      </w:r>
      <w:r>
        <w:rPr>
          <w:color w:val="auto"/>
          <w:kern w:val="0"/>
        </w:rPr>
        <w:t>型规模”，</w:t>
      </w:r>
      <w:r>
        <w:rPr>
          <w:color w:val="auto"/>
          <w:kern w:val="0"/>
          <w:lang w:val="zh-CN"/>
        </w:rPr>
        <w:t>场地评价范围内及周边</w:t>
      </w:r>
      <w:r>
        <w:rPr>
          <w:rFonts w:hint="eastAsia"/>
          <w:color w:val="auto"/>
          <w:kern w:val="0"/>
        </w:rPr>
        <w:t>不</w:t>
      </w:r>
      <w:r>
        <w:rPr>
          <w:color w:val="auto"/>
          <w:kern w:val="0"/>
          <w:lang w:val="zh-CN"/>
        </w:rPr>
        <w:t>存在土壤环境敏感目标，</w:t>
      </w:r>
      <w:r>
        <w:rPr>
          <w:color w:val="auto"/>
          <w:kern w:val="0"/>
        </w:rPr>
        <w:t>项目所在地土壤环境敏感程度设为“</w:t>
      </w:r>
      <w:r>
        <w:rPr>
          <w:rFonts w:hint="eastAsia"/>
          <w:color w:val="auto"/>
          <w:kern w:val="0"/>
        </w:rPr>
        <w:t>不</w:t>
      </w:r>
      <w:r>
        <w:rPr>
          <w:color w:val="auto"/>
          <w:kern w:val="0"/>
        </w:rPr>
        <w:t>敏感”；根据导则判定本项目土壤评价工作等级为二级。</w:t>
      </w:r>
    </w:p>
    <w:p w14:paraId="02CF2405">
      <w:pPr>
        <w:ind w:firstLine="480"/>
        <w:rPr>
          <w:color w:val="auto"/>
          <w:kern w:val="0"/>
          <w:lang w:val="zh-CN"/>
        </w:rPr>
      </w:pPr>
      <w:r>
        <w:rPr>
          <w:color w:val="auto"/>
          <w:kern w:val="0"/>
          <w:lang w:val="zh-CN"/>
        </w:rPr>
        <w:t>项目土壤环境影响评价工作等级见表2.5</w:t>
      </w:r>
      <w:r>
        <w:rPr>
          <w:rFonts w:hint="eastAsia"/>
          <w:color w:val="auto"/>
          <w:kern w:val="0"/>
        </w:rPr>
        <w:t>.1</w:t>
      </w:r>
      <w:r>
        <w:rPr>
          <w:color w:val="auto"/>
          <w:kern w:val="0"/>
          <w:lang w:val="zh-CN"/>
        </w:rPr>
        <w:t>-</w:t>
      </w:r>
      <w:r>
        <w:rPr>
          <w:rFonts w:hint="eastAsia"/>
          <w:color w:val="auto"/>
          <w:kern w:val="0"/>
        </w:rPr>
        <w:t>7</w:t>
      </w:r>
      <w:r>
        <w:rPr>
          <w:color w:val="auto"/>
          <w:kern w:val="0"/>
          <w:lang w:val="zh-CN"/>
        </w:rPr>
        <w:t>。</w:t>
      </w:r>
    </w:p>
    <w:p w14:paraId="5FA593BB">
      <w:pPr>
        <w:spacing w:line="240" w:lineRule="auto"/>
        <w:ind w:firstLine="0" w:firstLineChars="0"/>
        <w:jc w:val="center"/>
        <w:rPr>
          <w:b/>
          <w:color w:val="auto"/>
          <w:kern w:val="0"/>
          <w:lang w:val="zh-CN"/>
        </w:rPr>
      </w:pPr>
      <w:r>
        <w:rPr>
          <w:b/>
          <w:color w:val="auto"/>
          <w:kern w:val="0"/>
          <w:lang w:val="zh-CN"/>
        </w:rPr>
        <w:t>表2.5</w:t>
      </w:r>
      <w:r>
        <w:rPr>
          <w:rFonts w:hint="eastAsia"/>
          <w:b/>
          <w:color w:val="auto"/>
          <w:kern w:val="0"/>
        </w:rPr>
        <w:t>.1</w:t>
      </w:r>
      <w:r>
        <w:rPr>
          <w:b/>
          <w:color w:val="auto"/>
          <w:kern w:val="0"/>
          <w:lang w:val="zh-CN"/>
        </w:rPr>
        <w:t>-</w:t>
      </w:r>
      <w:r>
        <w:rPr>
          <w:rFonts w:hint="eastAsia"/>
          <w:b/>
          <w:color w:val="auto"/>
          <w:kern w:val="0"/>
        </w:rPr>
        <w:t>7</w:t>
      </w:r>
      <w:r>
        <w:rPr>
          <w:b/>
          <w:color w:val="auto"/>
          <w:kern w:val="0"/>
          <w:lang w:val="zh-CN"/>
        </w:rPr>
        <w:t xml:space="preserve">  土壤环境影响评价工作等级划分依据表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765"/>
        <w:gridCol w:w="774"/>
        <w:gridCol w:w="674"/>
        <w:gridCol w:w="951"/>
        <w:gridCol w:w="953"/>
        <w:gridCol w:w="955"/>
        <w:gridCol w:w="823"/>
        <w:gridCol w:w="823"/>
        <w:gridCol w:w="830"/>
      </w:tblGrid>
      <w:tr w14:paraId="7BD5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36" w:type="pct"/>
            <w:vMerge w:val="restart"/>
            <w:tcBorders>
              <w:top w:val="single" w:color="auto" w:sz="12" w:space="0"/>
              <w:left w:val="nil"/>
              <w:right w:val="single" w:color="auto" w:sz="4" w:space="0"/>
              <w:tl2br w:val="single" w:color="auto" w:sz="4" w:space="0"/>
            </w:tcBorders>
            <w:shd w:val="clear" w:color="auto" w:fill="auto"/>
            <w:vAlign w:val="center"/>
          </w:tcPr>
          <w:p w14:paraId="6E214473">
            <w:pPr>
              <w:widowControl/>
              <w:spacing w:line="240" w:lineRule="auto"/>
              <w:ind w:firstLine="0" w:firstLineChars="0"/>
              <w:jc w:val="center"/>
              <w:rPr>
                <w:b/>
                <w:bCs/>
                <w:color w:val="auto"/>
                <w:kern w:val="0"/>
                <w:sz w:val="21"/>
                <w:szCs w:val="21"/>
              </w:rPr>
            </w:pPr>
            <w:r>
              <w:rPr>
                <w:b/>
                <w:bCs/>
                <w:color w:val="auto"/>
                <w:kern w:val="0"/>
                <w:sz w:val="21"/>
                <w:szCs w:val="21"/>
              </w:rPr>
              <w:t>占地规模</w:t>
            </w:r>
          </w:p>
          <w:p w14:paraId="0D4BE69E">
            <w:pPr>
              <w:widowControl/>
              <w:spacing w:line="240" w:lineRule="auto"/>
              <w:ind w:firstLine="0" w:firstLineChars="0"/>
              <w:jc w:val="center"/>
              <w:rPr>
                <w:b/>
                <w:bCs/>
                <w:color w:val="auto"/>
                <w:kern w:val="0"/>
                <w:sz w:val="21"/>
                <w:szCs w:val="21"/>
              </w:rPr>
            </w:pPr>
            <w:r>
              <w:rPr>
                <w:b/>
                <w:bCs/>
                <w:color w:val="auto"/>
                <w:kern w:val="0"/>
                <w:sz w:val="21"/>
                <w:szCs w:val="21"/>
              </w:rPr>
              <w:t>评价工作等级</w:t>
            </w:r>
          </w:p>
          <w:p w14:paraId="33DAF22C">
            <w:pPr>
              <w:widowControl/>
              <w:spacing w:line="240" w:lineRule="auto"/>
              <w:ind w:firstLine="0" w:firstLineChars="0"/>
              <w:jc w:val="center"/>
              <w:rPr>
                <w:b/>
                <w:bCs/>
                <w:color w:val="auto"/>
                <w:kern w:val="0"/>
                <w:sz w:val="21"/>
                <w:szCs w:val="21"/>
              </w:rPr>
            </w:pPr>
            <w:r>
              <w:rPr>
                <w:b/>
                <w:bCs/>
                <w:color w:val="auto"/>
                <w:kern w:val="0"/>
                <w:sz w:val="21"/>
                <w:szCs w:val="21"/>
              </w:rPr>
              <w:t>敏感程度</w:t>
            </w:r>
          </w:p>
        </w:tc>
        <w:tc>
          <w:tcPr>
            <w:tcW w:w="1192" w:type="pct"/>
            <w:gridSpan w:val="3"/>
            <w:tcBorders>
              <w:top w:val="single" w:color="auto" w:sz="12" w:space="0"/>
              <w:left w:val="single" w:color="auto" w:sz="4" w:space="0"/>
              <w:bottom w:val="single" w:color="auto" w:sz="4" w:space="0"/>
              <w:right w:val="single" w:color="auto" w:sz="4" w:space="0"/>
            </w:tcBorders>
            <w:shd w:val="clear" w:color="auto" w:fill="auto"/>
            <w:vAlign w:val="center"/>
          </w:tcPr>
          <w:p w14:paraId="7189535B">
            <w:pPr>
              <w:widowControl/>
              <w:spacing w:line="240" w:lineRule="auto"/>
              <w:ind w:firstLine="0" w:firstLineChars="0"/>
              <w:jc w:val="center"/>
              <w:rPr>
                <w:b/>
                <w:bCs/>
                <w:color w:val="auto"/>
                <w:kern w:val="0"/>
                <w:sz w:val="21"/>
                <w:szCs w:val="21"/>
              </w:rPr>
            </w:pPr>
            <w:r>
              <w:rPr>
                <w:b/>
                <w:bCs/>
                <w:color w:val="auto"/>
                <w:kern w:val="0"/>
                <w:sz w:val="21"/>
                <w:szCs w:val="21"/>
              </w:rPr>
              <w:t>Ⅰ类</w:t>
            </w:r>
          </w:p>
        </w:tc>
        <w:tc>
          <w:tcPr>
            <w:tcW w:w="1539" w:type="pct"/>
            <w:gridSpan w:val="3"/>
            <w:tcBorders>
              <w:top w:val="single" w:color="auto" w:sz="12" w:space="0"/>
              <w:left w:val="single" w:color="auto" w:sz="4" w:space="0"/>
              <w:bottom w:val="single" w:color="auto" w:sz="4" w:space="0"/>
              <w:right w:val="single" w:color="auto" w:sz="4" w:space="0"/>
            </w:tcBorders>
            <w:vAlign w:val="center"/>
          </w:tcPr>
          <w:p w14:paraId="3C4FADF0">
            <w:pPr>
              <w:widowControl/>
              <w:spacing w:line="240" w:lineRule="auto"/>
              <w:ind w:firstLine="0" w:firstLineChars="0"/>
              <w:jc w:val="center"/>
              <w:rPr>
                <w:b/>
                <w:bCs/>
                <w:color w:val="auto"/>
                <w:kern w:val="0"/>
                <w:sz w:val="21"/>
                <w:szCs w:val="21"/>
              </w:rPr>
            </w:pPr>
            <w:r>
              <w:rPr>
                <w:b/>
                <w:bCs/>
                <w:color w:val="auto"/>
                <w:kern w:val="0"/>
                <w:sz w:val="21"/>
                <w:szCs w:val="21"/>
              </w:rPr>
              <w:t>Ⅱ类</w:t>
            </w:r>
          </w:p>
        </w:tc>
        <w:tc>
          <w:tcPr>
            <w:tcW w:w="1331" w:type="pct"/>
            <w:gridSpan w:val="3"/>
            <w:tcBorders>
              <w:top w:val="single" w:color="auto" w:sz="12" w:space="0"/>
              <w:left w:val="single" w:color="auto" w:sz="4" w:space="0"/>
              <w:bottom w:val="single" w:color="auto" w:sz="4" w:space="0"/>
              <w:right w:val="nil"/>
            </w:tcBorders>
            <w:shd w:val="clear" w:color="auto" w:fill="auto"/>
            <w:vAlign w:val="center"/>
          </w:tcPr>
          <w:p w14:paraId="57D0AEF8">
            <w:pPr>
              <w:widowControl/>
              <w:spacing w:line="240" w:lineRule="auto"/>
              <w:ind w:firstLine="0" w:firstLineChars="0"/>
              <w:jc w:val="center"/>
              <w:rPr>
                <w:b/>
                <w:bCs/>
                <w:color w:val="auto"/>
                <w:kern w:val="0"/>
                <w:sz w:val="21"/>
                <w:szCs w:val="21"/>
              </w:rPr>
            </w:pPr>
            <w:r>
              <w:rPr>
                <w:b/>
                <w:bCs/>
                <w:color w:val="auto"/>
                <w:kern w:val="0"/>
                <w:sz w:val="21"/>
                <w:szCs w:val="21"/>
              </w:rPr>
              <w:t>Ⅲ类</w:t>
            </w:r>
          </w:p>
        </w:tc>
      </w:tr>
      <w:tr w14:paraId="188B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36" w:type="pct"/>
            <w:vMerge w:val="continue"/>
            <w:tcBorders>
              <w:left w:val="nil"/>
              <w:bottom w:val="single" w:color="auto" w:sz="4" w:space="0"/>
              <w:right w:val="single" w:color="auto" w:sz="4" w:space="0"/>
              <w:tl2br w:val="single" w:color="auto" w:sz="4" w:space="0"/>
            </w:tcBorders>
            <w:shd w:val="clear" w:color="auto" w:fill="auto"/>
            <w:vAlign w:val="center"/>
          </w:tcPr>
          <w:p w14:paraId="42918427">
            <w:pPr>
              <w:widowControl/>
              <w:spacing w:line="240" w:lineRule="auto"/>
              <w:ind w:firstLine="0" w:firstLineChars="0"/>
              <w:jc w:val="center"/>
              <w:rPr>
                <w:b/>
                <w:bCs/>
                <w:color w:val="auto"/>
                <w:kern w:val="0"/>
                <w:sz w:val="21"/>
                <w:szCs w:val="21"/>
              </w:rPr>
            </w:pPr>
          </w:p>
        </w:tc>
        <w:tc>
          <w:tcPr>
            <w:tcW w:w="412" w:type="pct"/>
            <w:tcBorders>
              <w:top w:val="single" w:color="auto" w:sz="4" w:space="0"/>
              <w:left w:val="single" w:color="auto" w:sz="4" w:space="0"/>
              <w:bottom w:val="single" w:color="auto" w:sz="4" w:space="0"/>
              <w:right w:val="single" w:color="auto" w:sz="4" w:space="0"/>
            </w:tcBorders>
            <w:vAlign w:val="center"/>
          </w:tcPr>
          <w:p w14:paraId="6387B331">
            <w:pPr>
              <w:widowControl/>
              <w:spacing w:line="240" w:lineRule="auto"/>
              <w:ind w:firstLine="0" w:firstLineChars="0"/>
              <w:jc w:val="center"/>
              <w:rPr>
                <w:b/>
                <w:bCs/>
                <w:color w:val="auto"/>
                <w:kern w:val="0"/>
                <w:sz w:val="21"/>
                <w:szCs w:val="21"/>
              </w:rPr>
            </w:pPr>
            <w:r>
              <w:rPr>
                <w:b/>
                <w:bCs/>
                <w:color w:val="auto"/>
                <w:kern w:val="0"/>
                <w:sz w:val="21"/>
                <w:szCs w:val="21"/>
              </w:rPr>
              <w:t>大</w:t>
            </w:r>
          </w:p>
        </w:tc>
        <w:tc>
          <w:tcPr>
            <w:tcW w:w="417" w:type="pct"/>
            <w:tcBorders>
              <w:top w:val="single" w:color="auto" w:sz="4" w:space="0"/>
              <w:left w:val="single" w:color="auto" w:sz="4" w:space="0"/>
              <w:bottom w:val="single" w:color="auto" w:sz="4" w:space="0"/>
              <w:right w:val="single" w:color="auto" w:sz="4" w:space="0"/>
            </w:tcBorders>
            <w:vAlign w:val="center"/>
          </w:tcPr>
          <w:p w14:paraId="67F255A3">
            <w:pPr>
              <w:widowControl/>
              <w:spacing w:line="240" w:lineRule="auto"/>
              <w:ind w:firstLine="0" w:firstLineChars="0"/>
              <w:jc w:val="center"/>
              <w:rPr>
                <w:b/>
                <w:bCs/>
                <w:color w:val="auto"/>
                <w:kern w:val="0"/>
                <w:sz w:val="21"/>
                <w:szCs w:val="21"/>
              </w:rPr>
            </w:pPr>
            <w:r>
              <w:rPr>
                <w:b/>
                <w:bCs/>
                <w:color w:val="auto"/>
                <w:kern w:val="0"/>
                <w:sz w:val="21"/>
                <w:szCs w:val="21"/>
              </w:rPr>
              <w:t>中</w:t>
            </w:r>
          </w:p>
        </w:tc>
        <w:tc>
          <w:tcPr>
            <w:tcW w:w="362" w:type="pct"/>
            <w:tcBorders>
              <w:top w:val="single" w:color="auto" w:sz="4" w:space="0"/>
              <w:left w:val="single" w:color="auto" w:sz="4" w:space="0"/>
              <w:bottom w:val="single" w:color="auto" w:sz="4" w:space="0"/>
              <w:right w:val="single" w:color="auto" w:sz="4" w:space="0"/>
            </w:tcBorders>
            <w:vAlign w:val="center"/>
          </w:tcPr>
          <w:p w14:paraId="56CC2B33">
            <w:pPr>
              <w:widowControl/>
              <w:spacing w:line="240" w:lineRule="auto"/>
              <w:ind w:firstLine="0" w:firstLineChars="0"/>
              <w:jc w:val="center"/>
              <w:rPr>
                <w:b/>
                <w:bCs/>
                <w:color w:val="auto"/>
                <w:kern w:val="0"/>
                <w:sz w:val="21"/>
                <w:szCs w:val="21"/>
              </w:rPr>
            </w:pPr>
            <w:r>
              <w:rPr>
                <w:b/>
                <w:bCs/>
                <w:color w:val="auto"/>
                <w:kern w:val="0"/>
                <w:sz w:val="21"/>
                <w:szCs w:val="21"/>
              </w:rPr>
              <w:t>小</w:t>
            </w:r>
          </w:p>
        </w:tc>
        <w:tc>
          <w:tcPr>
            <w:tcW w:w="512" w:type="pct"/>
            <w:tcBorders>
              <w:top w:val="single" w:color="auto" w:sz="4" w:space="0"/>
              <w:left w:val="single" w:color="auto" w:sz="4" w:space="0"/>
              <w:bottom w:val="single" w:color="auto" w:sz="4" w:space="0"/>
              <w:right w:val="single" w:color="auto" w:sz="4" w:space="0"/>
            </w:tcBorders>
            <w:vAlign w:val="center"/>
          </w:tcPr>
          <w:p w14:paraId="71A22D53">
            <w:pPr>
              <w:widowControl/>
              <w:spacing w:line="240" w:lineRule="auto"/>
              <w:ind w:firstLine="0" w:firstLineChars="0"/>
              <w:jc w:val="center"/>
              <w:rPr>
                <w:b/>
                <w:bCs/>
                <w:color w:val="auto"/>
                <w:kern w:val="0"/>
                <w:sz w:val="21"/>
                <w:szCs w:val="21"/>
              </w:rPr>
            </w:pPr>
            <w:r>
              <w:rPr>
                <w:b/>
                <w:bCs/>
                <w:color w:val="auto"/>
                <w:kern w:val="0"/>
                <w:sz w:val="21"/>
                <w:szCs w:val="21"/>
              </w:rPr>
              <w:t>大</w:t>
            </w:r>
          </w:p>
        </w:tc>
        <w:tc>
          <w:tcPr>
            <w:tcW w:w="513" w:type="pct"/>
            <w:tcBorders>
              <w:top w:val="single" w:color="auto" w:sz="4" w:space="0"/>
              <w:left w:val="single" w:color="auto" w:sz="4" w:space="0"/>
              <w:bottom w:val="single" w:color="auto" w:sz="4" w:space="0"/>
              <w:right w:val="single" w:color="auto" w:sz="4" w:space="0"/>
            </w:tcBorders>
            <w:vAlign w:val="center"/>
          </w:tcPr>
          <w:p w14:paraId="75B1B545">
            <w:pPr>
              <w:widowControl/>
              <w:spacing w:line="240" w:lineRule="auto"/>
              <w:ind w:firstLine="0" w:firstLineChars="0"/>
              <w:jc w:val="center"/>
              <w:rPr>
                <w:b/>
                <w:bCs/>
                <w:color w:val="auto"/>
                <w:kern w:val="0"/>
                <w:sz w:val="21"/>
                <w:szCs w:val="21"/>
              </w:rPr>
            </w:pPr>
            <w:r>
              <w:rPr>
                <w:b/>
                <w:bCs/>
                <w:color w:val="auto"/>
                <w:kern w:val="0"/>
                <w:sz w:val="21"/>
                <w:szCs w:val="21"/>
              </w:rPr>
              <w:t>中</w:t>
            </w:r>
          </w:p>
        </w:tc>
        <w:tc>
          <w:tcPr>
            <w:tcW w:w="514" w:type="pct"/>
            <w:tcBorders>
              <w:top w:val="single" w:color="auto" w:sz="4" w:space="0"/>
              <w:left w:val="single" w:color="auto" w:sz="4" w:space="0"/>
              <w:bottom w:val="single" w:color="auto" w:sz="4" w:space="0"/>
              <w:right w:val="single" w:color="auto" w:sz="4" w:space="0"/>
            </w:tcBorders>
            <w:vAlign w:val="center"/>
          </w:tcPr>
          <w:p w14:paraId="3D841C77">
            <w:pPr>
              <w:widowControl/>
              <w:spacing w:line="240" w:lineRule="auto"/>
              <w:ind w:firstLine="0" w:firstLineChars="0"/>
              <w:jc w:val="center"/>
              <w:rPr>
                <w:b/>
                <w:bCs/>
                <w:color w:val="auto"/>
                <w:kern w:val="0"/>
                <w:sz w:val="21"/>
                <w:szCs w:val="21"/>
              </w:rPr>
            </w:pPr>
            <w:r>
              <w:rPr>
                <w:b/>
                <w:bCs/>
                <w:color w:val="auto"/>
                <w:kern w:val="0"/>
                <w:sz w:val="21"/>
                <w:szCs w:val="21"/>
              </w:rPr>
              <w:t>小</w:t>
            </w:r>
          </w:p>
        </w:tc>
        <w:tc>
          <w:tcPr>
            <w:tcW w:w="443" w:type="pct"/>
            <w:tcBorders>
              <w:top w:val="single" w:color="auto" w:sz="4" w:space="0"/>
              <w:left w:val="single" w:color="auto" w:sz="4" w:space="0"/>
              <w:bottom w:val="single" w:color="auto" w:sz="4" w:space="0"/>
              <w:right w:val="single" w:color="auto" w:sz="4" w:space="0"/>
            </w:tcBorders>
            <w:vAlign w:val="center"/>
          </w:tcPr>
          <w:p w14:paraId="1044D993">
            <w:pPr>
              <w:widowControl/>
              <w:spacing w:line="240" w:lineRule="auto"/>
              <w:ind w:firstLine="0" w:firstLineChars="0"/>
              <w:jc w:val="center"/>
              <w:rPr>
                <w:b/>
                <w:bCs/>
                <w:color w:val="auto"/>
                <w:kern w:val="0"/>
                <w:sz w:val="21"/>
                <w:szCs w:val="21"/>
              </w:rPr>
            </w:pPr>
            <w:r>
              <w:rPr>
                <w:b/>
                <w:bCs/>
                <w:color w:val="auto"/>
                <w:kern w:val="0"/>
                <w:sz w:val="21"/>
                <w:szCs w:val="21"/>
              </w:rPr>
              <w:t>大</w:t>
            </w:r>
          </w:p>
        </w:tc>
        <w:tc>
          <w:tcPr>
            <w:tcW w:w="443" w:type="pct"/>
            <w:tcBorders>
              <w:top w:val="single" w:color="auto" w:sz="4" w:space="0"/>
              <w:left w:val="single" w:color="auto" w:sz="4" w:space="0"/>
              <w:bottom w:val="single" w:color="auto" w:sz="4" w:space="0"/>
              <w:right w:val="single" w:color="auto" w:sz="4" w:space="0"/>
            </w:tcBorders>
            <w:vAlign w:val="center"/>
          </w:tcPr>
          <w:p w14:paraId="3C5B95CC">
            <w:pPr>
              <w:widowControl/>
              <w:spacing w:line="240" w:lineRule="auto"/>
              <w:ind w:firstLine="0" w:firstLineChars="0"/>
              <w:jc w:val="center"/>
              <w:rPr>
                <w:b/>
                <w:bCs/>
                <w:color w:val="auto"/>
                <w:kern w:val="0"/>
                <w:sz w:val="21"/>
                <w:szCs w:val="21"/>
              </w:rPr>
            </w:pPr>
            <w:r>
              <w:rPr>
                <w:b/>
                <w:bCs/>
                <w:color w:val="auto"/>
                <w:kern w:val="0"/>
                <w:sz w:val="21"/>
                <w:szCs w:val="21"/>
              </w:rPr>
              <w:t>中</w:t>
            </w:r>
          </w:p>
        </w:tc>
        <w:tc>
          <w:tcPr>
            <w:tcW w:w="444" w:type="pct"/>
            <w:tcBorders>
              <w:top w:val="single" w:color="auto" w:sz="4" w:space="0"/>
              <w:left w:val="single" w:color="auto" w:sz="4" w:space="0"/>
              <w:bottom w:val="single" w:color="auto" w:sz="4" w:space="0"/>
              <w:right w:val="nil"/>
            </w:tcBorders>
            <w:vAlign w:val="center"/>
          </w:tcPr>
          <w:p w14:paraId="208E9232">
            <w:pPr>
              <w:widowControl/>
              <w:spacing w:line="240" w:lineRule="auto"/>
              <w:ind w:firstLine="0" w:firstLineChars="0"/>
              <w:jc w:val="center"/>
              <w:rPr>
                <w:b/>
                <w:bCs/>
                <w:color w:val="auto"/>
                <w:kern w:val="0"/>
                <w:sz w:val="21"/>
                <w:szCs w:val="21"/>
              </w:rPr>
            </w:pPr>
            <w:r>
              <w:rPr>
                <w:b/>
                <w:bCs/>
                <w:color w:val="auto"/>
                <w:kern w:val="0"/>
                <w:sz w:val="21"/>
                <w:szCs w:val="21"/>
              </w:rPr>
              <w:t>小</w:t>
            </w:r>
          </w:p>
        </w:tc>
      </w:tr>
      <w:tr w14:paraId="06C3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tcBorders>
              <w:top w:val="single" w:color="auto" w:sz="4" w:space="0"/>
              <w:left w:val="nil"/>
              <w:bottom w:val="single" w:color="auto" w:sz="4" w:space="0"/>
              <w:right w:val="single" w:color="auto" w:sz="4" w:space="0"/>
            </w:tcBorders>
            <w:vAlign w:val="center"/>
          </w:tcPr>
          <w:p w14:paraId="335E9304">
            <w:pPr>
              <w:widowControl/>
              <w:spacing w:line="240" w:lineRule="auto"/>
              <w:ind w:firstLine="0" w:firstLineChars="0"/>
              <w:jc w:val="center"/>
              <w:rPr>
                <w:color w:val="auto"/>
                <w:kern w:val="0"/>
                <w:sz w:val="21"/>
                <w:szCs w:val="21"/>
              </w:rPr>
            </w:pPr>
            <w:r>
              <w:rPr>
                <w:color w:val="auto"/>
                <w:kern w:val="0"/>
                <w:sz w:val="21"/>
                <w:szCs w:val="21"/>
              </w:rPr>
              <w:t>敏感</w:t>
            </w:r>
          </w:p>
        </w:tc>
        <w:tc>
          <w:tcPr>
            <w:tcW w:w="412" w:type="pct"/>
            <w:tcBorders>
              <w:top w:val="single" w:color="auto" w:sz="4" w:space="0"/>
              <w:left w:val="single" w:color="auto" w:sz="4" w:space="0"/>
              <w:bottom w:val="single" w:color="auto" w:sz="4" w:space="0"/>
              <w:right w:val="single" w:color="auto" w:sz="4" w:space="0"/>
            </w:tcBorders>
            <w:vAlign w:val="center"/>
          </w:tcPr>
          <w:p w14:paraId="4E3AC28A">
            <w:pPr>
              <w:widowControl/>
              <w:spacing w:line="240" w:lineRule="auto"/>
              <w:ind w:firstLine="0" w:firstLineChars="0"/>
              <w:jc w:val="center"/>
              <w:rPr>
                <w:color w:val="auto"/>
                <w:kern w:val="0"/>
                <w:sz w:val="21"/>
                <w:szCs w:val="21"/>
              </w:rPr>
            </w:pPr>
            <w:r>
              <w:rPr>
                <w:color w:val="auto"/>
                <w:kern w:val="0"/>
                <w:sz w:val="21"/>
                <w:szCs w:val="21"/>
              </w:rPr>
              <w:t>一级</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14:paraId="3F4609EA">
            <w:pPr>
              <w:widowControl/>
              <w:spacing w:line="240" w:lineRule="auto"/>
              <w:ind w:firstLine="0" w:firstLineChars="0"/>
              <w:jc w:val="center"/>
              <w:rPr>
                <w:color w:val="auto"/>
                <w:kern w:val="0"/>
                <w:sz w:val="21"/>
                <w:szCs w:val="21"/>
              </w:rPr>
            </w:pPr>
            <w:r>
              <w:rPr>
                <w:color w:val="auto"/>
                <w:kern w:val="0"/>
                <w:sz w:val="21"/>
                <w:szCs w:val="21"/>
              </w:rPr>
              <w:t>一级</w:t>
            </w:r>
          </w:p>
        </w:tc>
        <w:tc>
          <w:tcPr>
            <w:tcW w:w="362" w:type="pct"/>
            <w:tcBorders>
              <w:top w:val="single" w:color="auto" w:sz="4" w:space="0"/>
              <w:left w:val="single" w:color="auto" w:sz="4" w:space="0"/>
              <w:bottom w:val="single" w:color="auto" w:sz="4" w:space="0"/>
              <w:right w:val="single" w:color="auto" w:sz="4" w:space="0"/>
            </w:tcBorders>
            <w:vAlign w:val="center"/>
          </w:tcPr>
          <w:p w14:paraId="7CF7316B">
            <w:pPr>
              <w:widowControl/>
              <w:spacing w:line="240" w:lineRule="auto"/>
              <w:ind w:firstLine="0" w:firstLineChars="0"/>
              <w:jc w:val="center"/>
              <w:rPr>
                <w:color w:val="auto"/>
                <w:kern w:val="0"/>
                <w:sz w:val="21"/>
                <w:szCs w:val="21"/>
              </w:rPr>
            </w:pPr>
            <w:r>
              <w:rPr>
                <w:color w:val="auto"/>
                <w:kern w:val="0"/>
                <w:sz w:val="21"/>
                <w:szCs w:val="21"/>
              </w:rPr>
              <w:t>一级</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22FC6CA">
            <w:pPr>
              <w:widowControl/>
              <w:spacing w:line="240" w:lineRule="auto"/>
              <w:ind w:firstLine="0" w:firstLineChars="0"/>
              <w:jc w:val="center"/>
              <w:rPr>
                <w:color w:val="auto"/>
                <w:kern w:val="0"/>
                <w:sz w:val="21"/>
                <w:szCs w:val="21"/>
              </w:rPr>
            </w:pPr>
            <w:r>
              <w:rPr>
                <w:color w:val="auto"/>
                <w:kern w:val="0"/>
                <w:sz w:val="21"/>
                <w:szCs w:val="21"/>
              </w:rPr>
              <w:t>二级</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6DEA0307">
            <w:pPr>
              <w:widowControl/>
              <w:spacing w:line="240" w:lineRule="auto"/>
              <w:ind w:firstLine="0" w:firstLineChars="0"/>
              <w:jc w:val="center"/>
              <w:rPr>
                <w:color w:val="auto"/>
                <w:kern w:val="0"/>
                <w:sz w:val="21"/>
                <w:szCs w:val="21"/>
              </w:rPr>
            </w:pPr>
            <w:r>
              <w:rPr>
                <w:color w:val="auto"/>
                <w:kern w:val="0"/>
                <w:sz w:val="21"/>
                <w:szCs w:val="21"/>
              </w:rPr>
              <w:t>二级</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458326F8">
            <w:pPr>
              <w:widowControl/>
              <w:spacing w:line="240" w:lineRule="auto"/>
              <w:ind w:firstLine="0" w:firstLineChars="0"/>
              <w:jc w:val="center"/>
              <w:rPr>
                <w:color w:val="auto"/>
                <w:kern w:val="0"/>
                <w:sz w:val="21"/>
                <w:szCs w:val="21"/>
              </w:rPr>
            </w:pPr>
            <w:r>
              <w:rPr>
                <w:color w:val="auto"/>
                <w:kern w:val="0"/>
                <w:sz w:val="21"/>
                <w:szCs w:val="21"/>
              </w:rPr>
              <w:t>二级</w:t>
            </w:r>
          </w:p>
        </w:tc>
        <w:tc>
          <w:tcPr>
            <w:tcW w:w="443" w:type="pct"/>
            <w:tcBorders>
              <w:top w:val="single" w:color="auto" w:sz="4" w:space="0"/>
              <w:left w:val="single" w:color="auto" w:sz="4" w:space="0"/>
              <w:bottom w:val="single" w:color="auto" w:sz="4" w:space="0"/>
              <w:right w:val="single" w:color="auto" w:sz="4" w:space="0"/>
            </w:tcBorders>
            <w:vAlign w:val="center"/>
          </w:tcPr>
          <w:p w14:paraId="537AC2A6">
            <w:pPr>
              <w:widowControl/>
              <w:spacing w:line="240" w:lineRule="auto"/>
              <w:ind w:firstLine="0" w:firstLineChars="0"/>
              <w:jc w:val="center"/>
              <w:rPr>
                <w:color w:val="auto"/>
                <w:kern w:val="0"/>
                <w:sz w:val="21"/>
                <w:szCs w:val="21"/>
              </w:rPr>
            </w:pPr>
            <w:r>
              <w:rPr>
                <w:color w:val="auto"/>
                <w:kern w:val="0"/>
                <w:sz w:val="21"/>
                <w:szCs w:val="21"/>
              </w:rPr>
              <w:t>三级</w:t>
            </w:r>
          </w:p>
        </w:tc>
        <w:tc>
          <w:tcPr>
            <w:tcW w:w="443" w:type="pct"/>
            <w:tcBorders>
              <w:top w:val="single" w:color="auto" w:sz="4" w:space="0"/>
              <w:left w:val="single" w:color="auto" w:sz="4" w:space="0"/>
              <w:bottom w:val="single" w:color="auto" w:sz="4" w:space="0"/>
              <w:right w:val="single" w:color="auto" w:sz="4" w:space="0"/>
            </w:tcBorders>
            <w:vAlign w:val="center"/>
          </w:tcPr>
          <w:p w14:paraId="278A29E1">
            <w:pPr>
              <w:widowControl/>
              <w:spacing w:line="240" w:lineRule="auto"/>
              <w:ind w:firstLine="0" w:firstLineChars="0"/>
              <w:jc w:val="center"/>
              <w:rPr>
                <w:color w:val="auto"/>
                <w:kern w:val="0"/>
                <w:sz w:val="21"/>
                <w:szCs w:val="21"/>
              </w:rPr>
            </w:pPr>
            <w:r>
              <w:rPr>
                <w:color w:val="auto"/>
                <w:kern w:val="0"/>
                <w:sz w:val="21"/>
                <w:szCs w:val="21"/>
              </w:rPr>
              <w:t>三级</w:t>
            </w:r>
          </w:p>
        </w:tc>
        <w:tc>
          <w:tcPr>
            <w:tcW w:w="444" w:type="pct"/>
            <w:tcBorders>
              <w:top w:val="single" w:color="auto" w:sz="4" w:space="0"/>
              <w:left w:val="single" w:color="auto" w:sz="4" w:space="0"/>
              <w:bottom w:val="single" w:color="auto" w:sz="4" w:space="0"/>
              <w:right w:val="nil"/>
            </w:tcBorders>
            <w:vAlign w:val="center"/>
          </w:tcPr>
          <w:p w14:paraId="7A7572D4">
            <w:pPr>
              <w:widowControl/>
              <w:spacing w:line="240" w:lineRule="auto"/>
              <w:ind w:firstLine="0" w:firstLineChars="0"/>
              <w:jc w:val="center"/>
              <w:rPr>
                <w:color w:val="auto"/>
                <w:kern w:val="0"/>
                <w:sz w:val="21"/>
                <w:szCs w:val="21"/>
              </w:rPr>
            </w:pPr>
            <w:r>
              <w:rPr>
                <w:color w:val="auto"/>
                <w:kern w:val="0"/>
                <w:sz w:val="21"/>
                <w:szCs w:val="21"/>
              </w:rPr>
              <w:t>三级</w:t>
            </w:r>
          </w:p>
        </w:tc>
      </w:tr>
      <w:tr w14:paraId="1310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tcBorders>
              <w:top w:val="single" w:color="auto" w:sz="4" w:space="0"/>
              <w:left w:val="nil"/>
              <w:bottom w:val="single" w:color="auto" w:sz="4" w:space="0"/>
              <w:right w:val="single" w:color="auto" w:sz="4" w:space="0"/>
            </w:tcBorders>
            <w:vAlign w:val="center"/>
          </w:tcPr>
          <w:p w14:paraId="07453C8C">
            <w:pPr>
              <w:widowControl/>
              <w:spacing w:line="240" w:lineRule="auto"/>
              <w:ind w:firstLine="0" w:firstLineChars="0"/>
              <w:jc w:val="center"/>
              <w:rPr>
                <w:color w:val="auto"/>
                <w:kern w:val="0"/>
                <w:sz w:val="21"/>
                <w:szCs w:val="21"/>
              </w:rPr>
            </w:pPr>
            <w:r>
              <w:rPr>
                <w:color w:val="auto"/>
                <w:kern w:val="0"/>
                <w:sz w:val="21"/>
                <w:szCs w:val="21"/>
              </w:rPr>
              <w:t>较敏感</w:t>
            </w:r>
          </w:p>
        </w:tc>
        <w:tc>
          <w:tcPr>
            <w:tcW w:w="412" w:type="pct"/>
            <w:tcBorders>
              <w:top w:val="single" w:color="auto" w:sz="4" w:space="0"/>
              <w:left w:val="single" w:color="auto" w:sz="4" w:space="0"/>
              <w:bottom w:val="single" w:color="auto" w:sz="4" w:space="0"/>
              <w:right w:val="single" w:color="auto" w:sz="4" w:space="0"/>
            </w:tcBorders>
            <w:vAlign w:val="center"/>
          </w:tcPr>
          <w:p w14:paraId="0630825B">
            <w:pPr>
              <w:widowControl/>
              <w:spacing w:line="240" w:lineRule="auto"/>
              <w:ind w:firstLine="0" w:firstLineChars="0"/>
              <w:jc w:val="center"/>
              <w:rPr>
                <w:color w:val="auto"/>
                <w:kern w:val="0"/>
                <w:sz w:val="21"/>
                <w:szCs w:val="21"/>
              </w:rPr>
            </w:pPr>
            <w:r>
              <w:rPr>
                <w:color w:val="auto"/>
                <w:kern w:val="0"/>
                <w:sz w:val="21"/>
                <w:szCs w:val="21"/>
              </w:rPr>
              <w:t>一级</w:t>
            </w:r>
          </w:p>
        </w:tc>
        <w:tc>
          <w:tcPr>
            <w:tcW w:w="417" w:type="pct"/>
            <w:tcBorders>
              <w:top w:val="single" w:color="auto" w:sz="4" w:space="0"/>
              <w:left w:val="single" w:color="auto" w:sz="4" w:space="0"/>
              <w:bottom w:val="single" w:color="auto" w:sz="4" w:space="0"/>
              <w:right w:val="single" w:color="auto" w:sz="4" w:space="0"/>
            </w:tcBorders>
            <w:vAlign w:val="center"/>
          </w:tcPr>
          <w:p w14:paraId="0E059914">
            <w:pPr>
              <w:widowControl/>
              <w:spacing w:line="240" w:lineRule="auto"/>
              <w:ind w:firstLine="0" w:firstLineChars="0"/>
              <w:jc w:val="center"/>
              <w:rPr>
                <w:color w:val="auto"/>
                <w:kern w:val="0"/>
                <w:sz w:val="21"/>
                <w:szCs w:val="21"/>
              </w:rPr>
            </w:pPr>
            <w:r>
              <w:rPr>
                <w:color w:val="auto"/>
                <w:kern w:val="0"/>
                <w:sz w:val="21"/>
                <w:szCs w:val="21"/>
              </w:rPr>
              <w:t>一级</w:t>
            </w:r>
          </w:p>
        </w:tc>
        <w:tc>
          <w:tcPr>
            <w:tcW w:w="362" w:type="pct"/>
            <w:tcBorders>
              <w:top w:val="single" w:color="auto" w:sz="4" w:space="0"/>
              <w:left w:val="single" w:color="auto" w:sz="4" w:space="0"/>
              <w:bottom w:val="single" w:color="auto" w:sz="4" w:space="0"/>
              <w:right w:val="single" w:color="auto" w:sz="4" w:space="0"/>
            </w:tcBorders>
            <w:vAlign w:val="center"/>
          </w:tcPr>
          <w:p w14:paraId="07CE5AB4">
            <w:pPr>
              <w:widowControl/>
              <w:spacing w:line="240" w:lineRule="auto"/>
              <w:ind w:firstLine="0" w:firstLineChars="0"/>
              <w:jc w:val="center"/>
              <w:rPr>
                <w:color w:val="auto"/>
                <w:kern w:val="0"/>
                <w:sz w:val="21"/>
                <w:szCs w:val="21"/>
              </w:rPr>
            </w:pPr>
            <w:r>
              <w:rPr>
                <w:color w:val="auto"/>
                <w:kern w:val="0"/>
                <w:sz w:val="21"/>
                <w:szCs w:val="21"/>
              </w:rPr>
              <w:t>二级</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127A54FB">
            <w:pPr>
              <w:widowControl/>
              <w:spacing w:line="240" w:lineRule="auto"/>
              <w:ind w:firstLine="0" w:firstLineChars="0"/>
              <w:jc w:val="center"/>
              <w:rPr>
                <w:color w:val="auto"/>
                <w:kern w:val="0"/>
                <w:sz w:val="21"/>
                <w:szCs w:val="21"/>
              </w:rPr>
            </w:pPr>
            <w:r>
              <w:rPr>
                <w:color w:val="auto"/>
                <w:kern w:val="0"/>
                <w:sz w:val="21"/>
                <w:szCs w:val="21"/>
              </w:rPr>
              <w:t>二级</w:t>
            </w:r>
          </w:p>
        </w:tc>
        <w:tc>
          <w:tcPr>
            <w:tcW w:w="513" w:type="pct"/>
            <w:tcBorders>
              <w:top w:val="single" w:color="auto" w:sz="4" w:space="0"/>
              <w:left w:val="single" w:color="auto" w:sz="4" w:space="0"/>
              <w:bottom w:val="single" w:color="auto" w:sz="4" w:space="0"/>
              <w:right w:val="single" w:color="auto" w:sz="4" w:space="0"/>
            </w:tcBorders>
            <w:vAlign w:val="center"/>
          </w:tcPr>
          <w:p w14:paraId="7A1ACD63">
            <w:pPr>
              <w:widowControl/>
              <w:spacing w:line="240" w:lineRule="auto"/>
              <w:ind w:firstLine="0" w:firstLineChars="0"/>
              <w:jc w:val="center"/>
              <w:rPr>
                <w:color w:val="auto"/>
                <w:kern w:val="0"/>
                <w:sz w:val="21"/>
                <w:szCs w:val="21"/>
              </w:rPr>
            </w:pPr>
            <w:r>
              <w:rPr>
                <w:color w:val="auto"/>
                <w:kern w:val="0"/>
                <w:sz w:val="21"/>
                <w:szCs w:val="21"/>
              </w:rPr>
              <w:t>二级</w:t>
            </w:r>
          </w:p>
        </w:tc>
        <w:tc>
          <w:tcPr>
            <w:tcW w:w="514" w:type="pct"/>
            <w:tcBorders>
              <w:top w:val="single" w:color="auto" w:sz="4" w:space="0"/>
              <w:left w:val="single" w:color="auto" w:sz="4" w:space="0"/>
              <w:bottom w:val="single" w:color="auto" w:sz="4" w:space="0"/>
              <w:right w:val="single" w:color="auto" w:sz="4" w:space="0"/>
            </w:tcBorders>
            <w:vAlign w:val="center"/>
          </w:tcPr>
          <w:p w14:paraId="7146559C">
            <w:pPr>
              <w:widowControl/>
              <w:spacing w:line="240" w:lineRule="auto"/>
              <w:ind w:firstLine="0" w:firstLineChars="0"/>
              <w:jc w:val="center"/>
              <w:rPr>
                <w:color w:val="auto"/>
                <w:kern w:val="0"/>
                <w:sz w:val="21"/>
                <w:szCs w:val="21"/>
              </w:rPr>
            </w:pPr>
            <w:r>
              <w:rPr>
                <w:color w:val="auto"/>
                <w:kern w:val="0"/>
                <w:sz w:val="21"/>
                <w:szCs w:val="21"/>
              </w:rPr>
              <w:t>三级</w:t>
            </w:r>
          </w:p>
        </w:tc>
        <w:tc>
          <w:tcPr>
            <w:tcW w:w="443" w:type="pct"/>
            <w:tcBorders>
              <w:top w:val="single" w:color="auto" w:sz="4" w:space="0"/>
              <w:left w:val="single" w:color="auto" w:sz="4" w:space="0"/>
              <w:bottom w:val="single" w:color="auto" w:sz="4" w:space="0"/>
              <w:right w:val="single" w:color="auto" w:sz="4" w:space="0"/>
            </w:tcBorders>
            <w:vAlign w:val="center"/>
          </w:tcPr>
          <w:p w14:paraId="324F2B3F">
            <w:pPr>
              <w:widowControl/>
              <w:spacing w:line="240" w:lineRule="auto"/>
              <w:ind w:firstLine="0" w:firstLineChars="0"/>
              <w:jc w:val="center"/>
              <w:rPr>
                <w:color w:val="auto"/>
                <w:kern w:val="0"/>
                <w:sz w:val="21"/>
                <w:szCs w:val="21"/>
              </w:rPr>
            </w:pPr>
            <w:r>
              <w:rPr>
                <w:color w:val="auto"/>
                <w:kern w:val="0"/>
                <w:sz w:val="21"/>
                <w:szCs w:val="21"/>
              </w:rPr>
              <w:t>三级</w:t>
            </w:r>
          </w:p>
        </w:tc>
        <w:tc>
          <w:tcPr>
            <w:tcW w:w="443" w:type="pct"/>
            <w:tcBorders>
              <w:top w:val="single" w:color="auto" w:sz="4" w:space="0"/>
              <w:left w:val="single" w:color="auto" w:sz="4" w:space="0"/>
              <w:bottom w:val="single" w:color="auto" w:sz="4" w:space="0"/>
              <w:right w:val="single" w:color="auto" w:sz="4" w:space="0"/>
            </w:tcBorders>
            <w:vAlign w:val="center"/>
          </w:tcPr>
          <w:p w14:paraId="223AE72E">
            <w:pPr>
              <w:widowControl/>
              <w:spacing w:line="240" w:lineRule="auto"/>
              <w:ind w:firstLine="0" w:firstLineChars="0"/>
              <w:jc w:val="center"/>
              <w:rPr>
                <w:color w:val="auto"/>
                <w:kern w:val="0"/>
                <w:sz w:val="21"/>
                <w:szCs w:val="21"/>
              </w:rPr>
            </w:pPr>
            <w:r>
              <w:rPr>
                <w:color w:val="auto"/>
                <w:kern w:val="0"/>
                <w:sz w:val="21"/>
                <w:szCs w:val="21"/>
              </w:rPr>
              <w:t>三级</w:t>
            </w:r>
          </w:p>
        </w:tc>
        <w:tc>
          <w:tcPr>
            <w:tcW w:w="444" w:type="pct"/>
            <w:tcBorders>
              <w:top w:val="single" w:color="auto" w:sz="4" w:space="0"/>
              <w:left w:val="single" w:color="auto" w:sz="4" w:space="0"/>
              <w:bottom w:val="single" w:color="auto" w:sz="4" w:space="0"/>
              <w:right w:val="nil"/>
            </w:tcBorders>
            <w:vAlign w:val="center"/>
          </w:tcPr>
          <w:p w14:paraId="48C39AA4">
            <w:pPr>
              <w:widowControl/>
              <w:spacing w:line="240" w:lineRule="auto"/>
              <w:ind w:firstLine="0" w:firstLineChars="0"/>
              <w:jc w:val="center"/>
              <w:rPr>
                <w:color w:val="auto"/>
                <w:kern w:val="0"/>
                <w:sz w:val="21"/>
                <w:szCs w:val="21"/>
              </w:rPr>
            </w:pPr>
            <w:r>
              <w:rPr>
                <w:color w:val="auto"/>
                <w:kern w:val="0"/>
                <w:sz w:val="21"/>
                <w:szCs w:val="21"/>
              </w:rPr>
              <w:t>-</w:t>
            </w:r>
          </w:p>
        </w:tc>
      </w:tr>
      <w:tr w14:paraId="52BB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tcBorders>
              <w:top w:val="single" w:color="auto" w:sz="4" w:space="0"/>
              <w:left w:val="nil"/>
              <w:bottom w:val="single" w:color="auto" w:sz="4" w:space="0"/>
              <w:right w:val="single" w:color="auto" w:sz="4" w:space="0"/>
            </w:tcBorders>
            <w:vAlign w:val="center"/>
          </w:tcPr>
          <w:p w14:paraId="74187556">
            <w:pPr>
              <w:widowControl/>
              <w:spacing w:line="240" w:lineRule="auto"/>
              <w:ind w:firstLine="0" w:firstLineChars="0"/>
              <w:jc w:val="center"/>
              <w:rPr>
                <w:color w:val="auto"/>
                <w:kern w:val="0"/>
                <w:sz w:val="21"/>
                <w:szCs w:val="21"/>
              </w:rPr>
            </w:pPr>
            <w:r>
              <w:rPr>
                <w:color w:val="auto"/>
                <w:kern w:val="0"/>
                <w:sz w:val="21"/>
                <w:szCs w:val="21"/>
              </w:rPr>
              <w:t>不敏感</w:t>
            </w:r>
          </w:p>
        </w:tc>
        <w:tc>
          <w:tcPr>
            <w:tcW w:w="412" w:type="pct"/>
            <w:tcBorders>
              <w:top w:val="single" w:color="auto" w:sz="4" w:space="0"/>
              <w:left w:val="single" w:color="auto" w:sz="4" w:space="0"/>
              <w:bottom w:val="single" w:color="auto" w:sz="4" w:space="0"/>
              <w:right w:val="single" w:color="auto" w:sz="4" w:space="0"/>
            </w:tcBorders>
            <w:shd w:val="clear" w:color="auto" w:fill="auto"/>
            <w:vAlign w:val="center"/>
          </w:tcPr>
          <w:p w14:paraId="695A5B00">
            <w:pPr>
              <w:widowControl/>
              <w:spacing w:line="240" w:lineRule="auto"/>
              <w:ind w:firstLine="0" w:firstLineChars="0"/>
              <w:jc w:val="center"/>
              <w:rPr>
                <w:color w:val="auto"/>
                <w:kern w:val="0"/>
                <w:sz w:val="21"/>
                <w:szCs w:val="21"/>
              </w:rPr>
            </w:pPr>
            <w:r>
              <w:rPr>
                <w:color w:val="auto"/>
                <w:kern w:val="0"/>
                <w:sz w:val="21"/>
                <w:szCs w:val="21"/>
              </w:rPr>
              <w:t>一级</w:t>
            </w:r>
          </w:p>
        </w:tc>
        <w:tc>
          <w:tcPr>
            <w:tcW w:w="417"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4A620B75">
            <w:pPr>
              <w:widowControl/>
              <w:spacing w:line="240" w:lineRule="auto"/>
              <w:ind w:firstLine="0" w:firstLineChars="0"/>
              <w:jc w:val="center"/>
              <w:rPr>
                <w:color w:val="auto"/>
                <w:kern w:val="0"/>
                <w:sz w:val="21"/>
                <w:szCs w:val="21"/>
              </w:rPr>
            </w:pPr>
            <w:r>
              <w:rPr>
                <w:color w:val="auto"/>
                <w:kern w:val="0"/>
                <w:sz w:val="21"/>
                <w:szCs w:val="21"/>
              </w:rPr>
              <w:t>二级</w:t>
            </w:r>
          </w:p>
        </w:tc>
        <w:tc>
          <w:tcPr>
            <w:tcW w:w="362" w:type="pct"/>
            <w:tcBorders>
              <w:top w:val="single" w:color="auto" w:sz="4" w:space="0"/>
              <w:left w:val="single" w:color="auto" w:sz="4" w:space="0"/>
              <w:bottom w:val="single" w:color="auto" w:sz="4" w:space="0"/>
              <w:right w:val="single" w:color="auto" w:sz="4" w:space="0"/>
            </w:tcBorders>
            <w:vAlign w:val="center"/>
          </w:tcPr>
          <w:p w14:paraId="2E5E5608">
            <w:pPr>
              <w:widowControl/>
              <w:spacing w:line="240" w:lineRule="auto"/>
              <w:ind w:firstLine="0" w:firstLineChars="0"/>
              <w:jc w:val="center"/>
              <w:rPr>
                <w:color w:val="auto"/>
                <w:kern w:val="0"/>
                <w:sz w:val="21"/>
                <w:szCs w:val="21"/>
              </w:rPr>
            </w:pPr>
            <w:r>
              <w:rPr>
                <w:color w:val="auto"/>
                <w:kern w:val="0"/>
                <w:sz w:val="21"/>
                <w:szCs w:val="21"/>
              </w:rPr>
              <w:t>二级</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7417322A">
            <w:pPr>
              <w:widowControl/>
              <w:spacing w:line="240" w:lineRule="auto"/>
              <w:ind w:firstLine="0" w:firstLineChars="0"/>
              <w:jc w:val="center"/>
              <w:rPr>
                <w:color w:val="auto"/>
                <w:kern w:val="0"/>
                <w:sz w:val="21"/>
                <w:szCs w:val="21"/>
              </w:rPr>
            </w:pPr>
            <w:r>
              <w:rPr>
                <w:color w:val="auto"/>
                <w:kern w:val="0"/>
                <w:sz w:val="21"/>
                <w:szCs w:val="21"/>
              </w:rPr>
              <w:t>二级</w:t>
            </w:r>
          </w:p>
        </w:tc>
        <w:tc>
          <w:tcPr>
            <w:tcW w:w="513" w:type="pct"/>
            <w:tcBorders>
              <w:top w:val="single" w:color="auto" w:sz="4" w:space="0"/>
              <w:left w:val="single" w:color="auto" w:sz="4" w:space="0"/>
              <w:bottom w:val="single" w:color="auto" w:sz="4" w:space="0"/>
              <w:right w:val="single" w:color="auto" w:sz="4" w:space="0"/>
            </w:tcBorders>
            <w:vAlign w:val="center"/>
          </w:tcPr>
          <w:p w14:paraId="38EC7D7A">
            <w:pPr>
              <w:widowControl/>
              <w:spacing w:line="240" w:lineRule="auto"/>
              <w:ind w:firstLine="0" w:firstLineChars="0"/>
              <w:jc w:val="center"/>
              <w:rPr>
                <w:color w:val="auto"/>
                <w:kern w:val="0"/>
                <w:sz w:val="21"/>
                <w:szCs w:val="21"/>
              </w:rPr>
            </w:pPr>
            <w:r>
              <w:rPr>
                <w:color w:val="auto"/>
                <w:kern w:val="0"/>
                <w:sz w:val="21"/>
                <w:szCs w:val="21"/>
              </w:rPr>
              <w:t>三级</w:t>
            </w:r>
          </w:p>
        </w:tc>
        <w:tc>
          <w:tcPr>
            <w:tcW w:w="514" w:type="pct"/>
            <w:tcBorders>
              <w:top w:val="single" w:color="auto" w:sz="4" w:space="0"/>
              <w:left w:val="single" w:color="auto" w:sz="4" w:space="0"/>
              <w:bottom w:val="single" w:color="auto" w:sz="4" w:space="0"/>
              <w:right w:val="single" w:color="auto" w:sz="4" w:space="0"/>
            </w:tcBorders>
            <w:vAlign w:val="center"/>
          </w:tcPr>
          <w:p w14:paraId="639693D9">
            <w:pPr>
              <w:widowControl/>
              <w:spacing w:line="240" w:lineRule="auto"/>
              <w:ind w:firstLine="0" w:firstLineChars="0"/>
              <w:jc w:val="center"/>
              <w:rPr>
                <w:color w:val="auto"/>
                <w:kern w:val="0"/>
                <w:sz w:val="21"/>
                <w:szCs w:val="21"/>
              </w:rPr>
            </w:pPr>
            <w:r>
              <w:rPr>
                <w:color w:val="auto"/>
                <w:kern w:val="0"/>
                <w:sz w:val="21"/>
                <w:szCs w:val="21"/>
              </w:rPr>
              <w:t>三级</w:t>
            </w:r>
          </w:p>
        </w:tc>
        <w:tc>
          <w:tcPr>
            <w:tcW w:w="443" w:type="pct"/>
            <w:tcBorders>
              <w:top w:val="single" w:color="auto" w:sz="4" w:space="0"/>
              <w:left w:val="single" w:color="auto" w:sz="4" w:space="0"/>
              <w:bottom w:val="single" w:color="auto" w:sz="4" w:space="0"/>
              <w:right w:val="single" w:color="auto" w:sz="4" w:space="0"/>
            </w:tcBorders>
            <w:vAlign w:val="center"/>
          </w:tcPr>
          <w:p w14:paraId="22B2E691">
            <w:pPr>
              <w:widowControl/>
              <w:spacing w:line="240" w:lineRule="auto"/>
              <w:ind w:firstLine="0" w:firstLineChars="0"/>
              <w:jc w:val="center"/>
              <w:rPr>
                <w:color w:val="auto"/>
                <w:kern w:val="0"/>
                <w:sz w:val="21"/>
                <w:szCs w:val="21"/>
              </w:rPr>
            </w:pPr>
            <w:r>
              <w:rPr>
                <w:color w:val="auto"/>
                <w:kern w:val="0"/>
                <w:sz w:val="21"/>
                <w:szCs w:val="21"/>
              </w:rPr>
              <w:t>三级</w:t>
            </w:r>
          </w:p>
        </w:tc>
        <w:tc>
          <w:tcPr>
            <w:tcW w:w="443" w:type="pct"/>
            <w:tcBorders>
              <w:top w:val="single" w:color="auto" w:sz="4" w:space="0"/>
              <w:left w:val="single" w:color="auto" w:sz="4" w:space="0"/>
              <w:bottom w:val="single" w:color="auto" w:sz="4" w:space="0"/>
              <w:right w:val="single" w:color="auto" w:sz="4" w:space="0"/>
            </w:tcBorders>
            <w:vAlign w:val="center"/>
          </w:tcPr>
          <w:p w14:paraId="44441062">
            <w:pPr>
              <w:widowControl/>
              <w:spacing w:line="240" w:lineRule="auto"/>
              <w:ind w:firstLine="0" w:firstLineChars="0"/>
              <w:jc w:val="center"/>
              <w:rPr>
                <w:color w:val="auto"/>
                <w:kern w:val="0"/>
                <w:sz w:val="21"/>
                <w:szCs w:val="21"/>
              </w:rPr>
            </w:pPr>
            <w:r>
              <w:rPr>
                <w:color w:val="auto"/>
                <w:kern w:val="0"/>
                <w:sz w:val="21"/>
                <w:szCs w:val="21"/>
              </w:rPr>
              <w:t>-</w:t>
            </w:r>
          </w:p>
        </w:tc>
        <w:tc>
          <w:tcPr>
            <w:tcW w:w="444" w:type="pct"/>
            <w:tcBorders>
              <w:top w:val="single" w:color="auto" w:sz="4" w:space="0"/>
              <w:left w:val="single" w:color="auto" w:sz="4" w:space="0"/>
              <w:bottom w:val="single" w:color="auto" w:sz="4" w:space="0"/>
              <w:right w:val="nil"/>
            </w:tcBorders>
            <w:vAlign w:val="center"/>
          </w:tcPr>
          <w:p w14:paraId="023552ED">
            <w:pPr>
              <w:widowControl/>
              <w:spacing w:line="240" w:lineRule="auto"/>
              <w:ind w:firstLine="0" w:firstLineChars="0"/>
              <w:jc w:val="center"/>
              <w:rPr>
                <w:color w:val="auto"/>
                <w:kern w:val="0"/>
                <w:sz w:val="21"/>
                <w:szCs w:val="21"/>
              </w:rPr>
            </w:pPr>
            <w:r>
              <w:rPr>
                <w:color w:val="auto"/>
                <w:kern w:val="0"/>
                <w:sz w:val="21"/>
                <w:szCs w:val="21"/>
              </w:rPr>
              <w:t>-</w:t>
            </w:r>
          </w:p>
        </w:tc>
      </w:tr>
      <w:tr w14:paraId="744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op w:val="single" w:color="auto" w:sz="4" w:space="0"/>
              <w:left w:val="nil"/>
              <w:bottom w:val="single" w:color="auto" w:sz="12" w:space="0"/>
              <w:right w:val="nil"/>
            </w:tcBorders>
            <w:vAlign w:val="center"/>
          </w:tcPr>
          <w:p w14:paraId="6B21371C">
            <w:pPr>
              <w:widowControl/>
              <w:spacing w:line="240" w:lineRule="auto"/>
              <w:ind w:firstLine="0" w:firstLineChars="0"/>
              <w:rPr>
                <w:color w:val="auto"/>
                <w:kern w:val="0"/>
                <w:sz w:val="21"/>
                <w:szCs w:val="21"/>
              </w:rPr>
            </w:pPr>
            <w:r>
              <w:rPr>
                <w:color w:val="auto"/>
                <w:kern w:val="0"/>
                <w:sz w:val="21"/>
                <w:szCs w:val="21"/>
              </w:rPr>
              <w:t>注：“</w:t>
            </w:r>
            <w:r>
              <w:rPr>
                <w:rFonts w:hint="eastAsia"/>
                <w:color w:val="auto"/>
                <w:kern w:val="0"/>
                <w:sz w:val="21"/>
                <w:szCs w:val="21"/>
              </w:rPr>
              <w:t>－</w:t>
            </w:r>
            <w:r>
              <w:rPr>
                <w:color w:val="auto"/>
                <w:kern w:val="0"/>
                <w:sz w:val="21"/>
                <w:szCs w:val="21"/>
              </w:rPr>
              <w:t>”表示可不开展土壤环境影响评价工作。</w:t>
            </w:r>
          </w:p>
        </w:tc>
      </w:tr>
    </w:tbl>
    <w:p w14:paraId="26481226">
      <w:pPr>
        <w:spacing w:line="240" w:lineRule="auto"/>
        <w:ind w:firstLine="0" w:firstLineChars="0"/>
        <w:jc w:val="center"/>
        <w:rPr>
          <w:b/>
          <w:color w:val="auto"/>
          <w:kern w:val="0"/>
          <w:lang w:val="zh-CN"/>
        </w:rPr>
      </w:pPr>
      <w:r>
        <w:rPr>
          <w:b/>
          <w:color w:val="auto"/>
          <w:kern w:val="0"/>
          <w:lang w:val="zh-CN"/>
        </w:rPr>
        <w:t>表2.5</w:t>
      </w:r>
      <w:r>
        <w:rPr>
          <w:rFonts w:hint="eastAsia"/>
          <w:b/>
          <w:color w:val="auto"/>
          <w:kern w:val="0"/>
        </w:rPr>
        <w:t>.1</w:t>
      </w:r>
      <w:r>
        <w:rPr>
          <w:b/>
          <w:color w:val="auto"/>
          <w:kern w:val="0"/>
          <w:lang w:val="zh-CN"/>
        </w:rPr>
        <w:t>-</w:t>
      </w:r>
      <w:r>
        <w:rPr>
          <w:rFonts w:hint="eastAsia"/>
          <w:b/>
          <w:color w:val="auto"/>
          <w:kern w:val="0"/>
        </w:rPr>
        <w:t>8</w:t>
      </w:r>
      <w:r>
        <w:rPr>
          <w:b/>
          <w:color w:val="auto"/>
          <w:kern w:val="0"/>
          <w:lang w:val="zh-CN"/>
        </w:rPr>
        <w:t xml:space="preserve">  污染影响型敏感程度分级表</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7546"/>
      </w:tblGrid>
      <w:tr w14:paraId="2F3F4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vAlign w:val="center"/>
          </w:tcPr>
          <w:p w14:paraId="35ECFE44">
            <w:pPr>
              <w:spacing w:line="240" w:lineRule="auto"/>
              <w:ind w:firstLine="0" w:firstLineChars="0"/>
              <w:contextualSpacing/>
              <w:jc w:val="center"/>
              <w:rPr>
                <w:b/>
                <w:bCs/>
                <w:color w:val="auto"/>
                <w:kern w:val="0"/>
                <w:sz w:val="21"/>
                <w:lang w:val="zh-CN"/>
              </w:rPr>
            </w:pPr>
            <w:r>
              <w:rPr>
                <w:b/>
                <w:bCs/>
                <w:color w:val="auto"/>
                <w:kern w:val="0"/>
                <w:sz w:val="21"/>
                <w:lang w:val="zh-CN"/>
              </w:rPr>
              <w:t>敏感程度</w:t>
            </w:r>
          </w:p>
        </w:tc>
        <w:tc>
          <w:tcPr>
            <w:tcW w:w="4063" w:type="pct"/>
            <w:vAlign w:val="center"/>
          </w:tcPr>
          <w:p w14:paraId="5FE354F6">
            <w:pPr>
              <w:spacing w:line="240" w:lineRule="auto"/>
              <w:ind w:firstLine="0" w:firstLineChars="0"/>
              <w:contextualSpacing/>
              <w:jc w:val="center"/>
              <w:rPr>
                <w:b/>
                <w:bCs/>
                <w:color w:val="auto"/>
                <w:kern w:val="0"/>
                <w:sz w:val="21"/>
                <w:lang w:val="zh-CN"/>
              </w:rPr>
            </w:pPr>
            <w:r>
              <w:rPr>
                <w:b/>
                <w:bCs/>
                <w:color w:val="auto"/>
                <w:kern w:val="0"/>
                <w:sz w:val="21"/>
                <w:lang w:val="zh-CN"/>
              </w:rPr>
              <w:t>判别依据</w:t>
            </w:r>
          </w:p>
        </w:tc>
      </w:tr>
      <w:tr w14:paraId="44429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shd w:val="clear" w:color="auto" w:fill="auto"/>
            <w:vAlign w:val="center"/>
          </w:tcPr>
          <w:p w14:paraId="2AB4D090">
            <w:pPr>
              <w:spacing w:line="240" w:lineRule="auto"/>
              <w:ind w:firstLine="0" w:firstLineChars="0"/>
              <w:contextualSpacing/>
              <w:jc w:val="center"/>
              <w:rPr>
                <w:color w:val="auto"/>
                <w:kern w:val="0"/>
                <w:sz w:val="21"/>
                <w:lang w:val="zh-CN"/>
              </w:rPr>
            </w:pPr>
            <w:r>
              <w:rPr>
                <w:color w:val="auto"/>
                <w:kern w:val="0"/>
                <w:sz w:val="21"/>
                <w:lang w:val="zh-CN"/>
              </w:rPr>
              <w:t>敏感</w:t>
            </w:r>
          </w:p>
        </w:tc>
        <w:tc>
          <w:tcPr>
            <w:tcW w:w="4063" w:type="pct"/>
            <w:shd w:val="clear" w:color="auto" w:fill="auto"/>
            <w:vAlign w:val="center"/>
          </w:tcPr>
          <w:p w14:paraId="75B1E246">
            <w:pPr>
              <w:spacing w:line="240" w:lineRule="auto"/>
              <w:ind w:firstLine="0" w:firstLineChars="0"/>
              <w:contextualSpacing/>
              <w:jc w:val="center"/>
              <w:rPr>
                <w:color w:val="auto"/>
                <w:kern w:val="0"/>
                <w:sz w:val="21"/>
                <w:lang w:val="zh-CN"/>
              </w:rPr>
            </w:pPr>
            <w:r>
              <w:rPr>
                <w:color w:val="auto"/>
                <w:kern w:val="0"/>
                <w:sz w:val="21"/>
                <w:lang w:val="zh-CN"/>
              </w:rPr>
              <w:t>建设项目周边存在耕地、园地、牧草地、饮用水水源地或居民区、学校、医院、疗养院、养老院等土壤环境敏感目标的</w:t>
            </w:r>
          </w:p>
        </w:tc>
      </w:tr>
      <w:tr w14:paraId="0F1A5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vAlign w:val="center"/>
          </w:tcPr>
          <w:p w14:paraId="4AFF0551">
            <w:pPr>
              <w:spacing w:line="240" w:lineRule="auto"/>
              <w:ind w:firstLine="0" w:firstLineChars="0"/>
              <w:contextualSpacing/>
              <w:jc w:val="center"/>
              <w:rPr>
                <w:color w:val="auto"/>
                <w:kern w:val="0"/>
                <w:sz w:val="21"/>
                <w:lang w:val="zh-CN"/>
              </w:rPr>
            </w:pPr>
            <w:r>
              <w:rPr>
                <w:color w:val="auto"/>
                <w:kern w:val="0"/>
                <w:sz w:val="21"/>
                <w:lang w:val="zh-CN"/>
              </w:rPr>
              <w:t>较敏感</w:t>
            </w:r>
          </w:p>
        </w:tc>
        <w:tc>
          <w:tcPr>
            <w:tcW w:w="4063" w:type="pct"/>
            <w:vAlign w:val="center"/>
          </w:tcPr>
          <w:p w14:paraId="347BDEAD">
            <w:pPr>
              <w:spacing w:line="240" w:lineRule="auto"/>
              <w:ind w:firstLine="0" w:firstLineChars="0"/>
              <w:contextualSpacing/>
              <w:jc w:val="center"/>
              <w:rPr>
                <w:color w:val="auto"/>
                <w:kern w:val="0"/>
                <w:sz w:val="21"/>
                <w:lang w:val="zh-CN"/>
              </w:rPr>
            </w:pPr>
            <w:r>
              <w:rPr>
                <w:color w:val="auto"/>
                <w:kern w:val="0"/>
                <w:sz w:val="21"/>
                <w:lang w:val="zh-CN"/>
              </w:rPr>
              <w:t>建设项目周边存在其他土壤环境敏感目标的</w:t>
            </w:r>
          </w:p>
        </w:tc>
      </w:tr>
      <w:tr w14:paraId="3F7D4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pct"/>
            <w:shd w:val="clear" w:color="auto" w:fill="E7E6E6" w:themeFill="background2"/>
            <w:vAlign w:val="center"/>
          </w:tcPr>
          <w:p w14:paraId="014A4A53">
            <w:pPr>
              <w:spacing w:line="240" w:lineRule="auto"/>
              <w:ind w:firstLine="0" w:firstLineChars="0"/>
              <w:contextualSpacing/>
              <w:jc w:val="center"/>
              <w:rPr>
                <w:color w:val="auto"/>
                <w:kern w:val="0"/>
                <w:sz w:val="21"/>
                <w:lang w:val="zh-CN"/>
              </w:rPr>
            </w:pPr>
            <w:r>
              <w:rPr>
                <w:color w:val="auto"/>
                <w:kern w:val="0"/>
                <w:sz w:val="21"/>
                <w:lang w:val="zh-CN"/>
              </w:rPr>
              <w:t>不敏感</w:t>
            </w:r>
          </w:p>
        </w:tc>
        <w:tc>
          <w:tcPr>
            <w:tcW w:w="4063" w:type="pct"/>
            <w:shd w:val="clear" w:color="auto" w:fill="E7E6E6" w:themeFill="background2"/>
            <w:vAlign w:val="center"/>
          </w:tcPr>
          <w:p w14:paraId="1A11FF56">
            <w:pPr>
              <w:spacing w:line="240" w:lineRule="auto"/>
              <w:ind w:firstLine="0" w:firstLineChars="0"/>
              <w:contextualSpacing/>
              <w:jc w:val="center"/>
              <w:rPr>
                <w:color w:val="auto"/>
                <w:kern w:val="0"/>
                <w:sz w:val="21"/>
                <w:lang w:val="zh-CN"/>
              </w:rPr>
            </w:pPr>
            <w:r>
              <w:rPr>
                <w:color w:val="auto"/>
                <w:kern w:val="0"/>
                <w:sz w:val="21"/>
                <w:lang w:val="zh-CN"/>
              </w:rPr>
              <w:t>其他情况</w:t>
            </w:r>
          </w:p>
        </w:tc>
      </w:tr>
    </w:tbl>
    <w:p w14:paraId="452721F8">
      <w:pPr>
        <w:spacing w:before="120" w:beforeLines="50"/>
        <w:ind w:firstLine="0" w:firstLineChars="0"/>
        <w:outlineLvl w:val="3"/>
        <w:rPr>
          <w:b/>
          <w:color w:val="auto"/>
        </w:rPr>
      </w:pPr>
      <w:r>
        <w:rPr>
          <w:b/>
          <w:color w:val="auto"/>
        </w:rPr>
        <w:t>2.5.1.6 生态环境评价等级</w:t>
      </w:r>
    </w:p>
    <w:p w14:paraId="094F0AE7">
      <w:pPr>
        <w:pStyle w:val="1356"/>
        <w:ind w:firstLine="480"/>
        <w:rPr>
          <w:color w:val="auto"/>
        </w:rPr>
      </w:pPr>
      <w:r>
        <w:rPr>
          <w:color w:val="auto"/>
        </w:rPr>
        <w:t>根据《环境影响评价技术导则 生态影响》（HJ19-2022），位于已批准规划环评的产业园区内且符合规划环评要求、不涉及生态敏感区的污染影响类建设项目，可不确定评价等级，直接进行生态影响简单分析。</w:t>
      </w:r>
    </w:p>
    <w:p w14:paraId="3861F14C">
      <w:pPr>
        <w:pStyle w:val="1356"/>
        <w:ind w:firstLine="480"/>
        <w:rPr>
          <w:color w:val="auto"/>
        </w:rPr>
      </w:pPr>
      <w:r>
        <w:rPr>
          <w:color w:val="auto"/>
        </w:rPr>
        <w:t>本项目位于</w:t>
      </w:r>
      <w:r>
        <w:rPr>
          <w:rFonts w:hint="eastAsia"/>
          <w:color w:val="auto"/>
        </w:rPr>
        <w:t>连云港经济技术开发区临港产业区西北片区内</w:t>
      </w:r>
      <w:r>
        <w:rPr>
          <w:color w:val="auto"/>
        </w:rPr>
        <w:t>，已取得规划环评批复（</w:t>
      </w:r>
      <w:r>
        <w:rPr>
          <w:rFonts w:hint="eastAsia"/>
          <w:color w:val="auto"/>
        </w:rPr>
        <w:t>连环发〔2024〕247号</w:t>
      </w:r>
      <w:r>
        <w:rPr>
          <w:color w:val="auto"/>
        </w:rPr>
        <w:t>），企业用地范围内无生态敏感区，本项目生态影响评价等级为简单分析。</w:t>
      </w:r>
    </w:p>
    <w:p w14:paraId="2072BEFD">
      <w:pPr>
        <w:spacing w:before="120" w:beforeLines="50"/>
        <w:ind w:firstLine="0" w:firstLineChars="0"/>
        <w:outlineLvl w:val="3"/>
        <w:rPr>
          <w:b/>
          <w:color w:val="auto"/>
        </w:rPr>
      </w:pPr>
      <w:r>
        <w:rPr>
          <w:b/>
          <w:color w:val="auto"/>
        </w:rPr>
        <w:t>2.5.1.7 环境风险评价工作等级</w:t>
      </w:r>
    </w:p>
    <w:p w14:paraId="6D15A33C">
      <w:pPr>
        <w:ind w:firstLine="480"/>
        <w:rPr>
          <w:color w:val="auto"/>
        </w:rPr>
      </w:pPr>
      <w:bookmarkStart w:id="39" w:name="_Hlk63175853"/>
      <w:r>
        <w:rPr>
          <w:color w:val="auto"/>
          <w:lang w:bidi="ar"/>
        </w:rPr>
        <w:t>①</w:t>
      </w:r>
      <w:r>
        <w:rPr>
          <w:rFonts w:hint="eastAsia" w:cs="宋体"/>
          <w:color w:val="auto"/>
          <w:lang w:bidi="ar"/>
        </w:rPr>
        <w:t>风险潜势初判</w:t>
      </w:r>
    </w:p>
    <w:p w14:paraId="72241EE5">
      <w:pPr>
        <w:ind w:firstLine="480"/>
        <w:rPr>
          <w:color w:val="auto"/>
        </w:rPr>
      </w:pPr>
      <w:r>
        <w:rPr>
          <w:rFonts w:hint="eastAsia" w:cs="宋体"/>
          <w:color w:val="auto"/>
          <w:lang w:bidi="ar"/>
        </w:rPr>
        <w:t>根据《建设项目环境风险评价技术导则》（</w:t>
      </w:r>
      <w:r>
        <w:rPr>
          <w:color w:val="auto"/>
          <w:lang w:bidi="ar"/>
        </w:rPr>
        <w:t>HJ169-2018</w:t>
      </w:r>
      <w:r>
        <w:rPr>
          <w:rFonts w:hint="eastAsia" w:cs="宋体"/>
          <w:color w:val="auto"/>
          <w:lang w:bidi="ar"/>
        </w:rPr>
        <w:t>）附录</w:t>
      </w:r>
      <w:r>
        <w:rPr>
          <w:color w:val="auto"/>
          <w:lang w:bidi="ar"/>
        </w:rPr>
        <w:t>C.1.1</w:t>
      </w:r>
      <w:r>
        <w:rPr>
          <w:rFonts w:hint="eastAsia" w:cs="宋体"/>
          <w:color w:val="auto"/>
          <w:lang w:bidi="ar"/>
        </w:rPr>
        <w:t>需计算企业所涉及的每种危险物质在厂界内的最大存在总量与其在附录</w:t>
      </w:r>
      <w:r>
        <w:rPr>
          <w:color w:val="auto"/>
          <w:lang w:bidi="ar"/>
        </w:rPr>
        <w:t>B</w:t>
      </w:r>
      <w:r>
        <w:rPr>
          <w:rFonts w:hint="eastAsia" w:cs="宋体"/>
          <w:color w:val="auto"/>
          <w:lang w:bidi="ar"/>
        </w:rPr>
        <w:t>中对应临界量的比值</w:t>
      </w:r>
      <w:r>
        <w:rPr>
          <w:color w:val="auto"/>
          <w:lang w:bidi="ar"/>
        </w:rPr>
        <w:t>Q</w:t>
      </w:r>
      <w:r>
        <w:rPr>
          <w:rFonts w:hint="eastAsia" w:cs="宋体"/>
          <w:color w:val="auto"/>
          <w:lang w:bidi="ar"/>
        </w:rPr>
        <w:t>。</w:t>
      </w:r>
    </w:p>
    <w:p w14:paraId="6EC218D2">
      <w:pPr>
        <w:ind w:firstLine="480"/>
        <w:rPr>
          <w:color w:val="auto"/>
        </w:rPr>
      </w:pPr>
      <w:r>
        <w:rPr>
          <w:rFonts w:hint="eastAsia" w:cs="宋体"/>
          <w:color w:val="auto"/>
          <w:lang w:bidi="ar"/>
        </w:rPr>
        <w:t>当只涉及一种危险物质时，计算该物质的总量与其临界量比值，即为</w:t>
      </w:r>
      <w:r>
        <w:rPr>
          <w:color w:val="auto"/>
          <w:lang w:bidi="ar"/>
        </w:rPr>
        <w:t>Q</w:t>
      </w:r>
      <w:r>
        <w:rPr>
          <w:rFonts w:hint="eastAsia" w:cs="宋体"/>
          <w:color w:val="auto"/>
          <w:lang w:bidi="ar"/>
        </w:rPr>
        <w:t>；</w:t>
      </w:r>
    </w:p>
    <w:p w14:paraId="273F2434">
      <w:pPr>
        <w:ind w:firstLine="480"/>
        <w:rPr>
          <w:rFonts w:cs="宋体"/>
          <w:color w:val="auto"/>
          <w:lang w:bidi="ar"/>
        </w:rPr>
      </w:pPr>
      <w:r>
        <w:rPr>
          <w:rFonts w:hint="eastAsia" w:cs="宋体"/>
          <w:color w:val="auto"/>
          <w:lang w:bidi="ar"/>
        </w:rPr>
        <w:t>当存在多种危险物质时，则按下式计算物质总量与其临界量比值（</w:t>
      </w:r>
      <w:r>
        <w:rPr>
          <w:color w:val="auto"/>
          <w:lang w:bidi="ar"/>
        </w:rPr>
        <w:t>Q</w:t>
      </w:r>
      <w:r>
        <w:rPr>
          <w:rFonts w:hint="eastAsia" w:cs="宋体"/>
          <w:color w:val="auto"/>
          <w:lang w:bidi="ar"/>
        </w:rPr>
        <w:t>）：</w:t>
      </w:r>
    </w:p>
    <w:p w14:paraId="3C5CB8BB">
      <w:pPr>
        <w:ind w:firstLine="0" w:firstLineChars="0"/>
        <w:jc w:val="center"/>
        <w:rPr>
          <w:i/>
          <w:iCs/>
          <w:color w:val="auto"/>
        </w:rPr>
      </w:pPr>
      <m:oMathPara>
        <m:oMath>
          <m:r>
            <m:rPr/>
            <w:rPr>
              <w:rFonts w:ascii="Cambria Math" w:hAnsi="Cambria Math" w:cs="宋体"/>
              <w:color w:val="auto"/>
              <w:lang w:bidi="ar"/>
            </w:rPr>
            <m:t>Q=</m:t>
          </m:r>
          <m:f>
            <m:fPr>
              <m:ctrlPr>
                <w:rPr>
                  <w:rFonts w:ascii="Cambria Math" w:hAnsi="Cambria Math" w:cs="宋体"/>
                  <w:i/>
                  <w:iCs/>
                  <w:color w:val="auto"/>
                  <w:lang w:bidi="ar"/>
                </w:rPr>
              </m:ctrlPr>
            </m:fPr>
            <m:num>
              <m:sSub>
                <m:sSubPr>
                  <m:ctrlPr>
                    <w:rPr>
                      <w:rFonts w:ascii="Cambria Math" w:hAnsi="Cambria Math" w:cs="宋体"/>
                      <w:i/>
                      <w:iCs/>
                      <w:color w:val="auto"/>
                      <w:lang w:bidi="ar"/>
                    </w:rPr>
                  </m:ctrlPr>
                </m:sSubPr>
                <m:e>
                  <m:r>
                    <m:rPr/>
                    <w:rPr>
                      <w:rFonts w:ascii="Cambria Math" w:hAnsi="Cambria Math" w:cs="宋体"/>
                      <w:color w:val="auto"/>
                      <w:lang w:bidi="ar"/>
                    </w:rPr>
                    <m:t>q</m:t>
                  </m:r>
                  <m:ctrlPr>
                    <w:rPr>
                      <w:rFonts w:ascii="Cambria Math" w:hAnsi="Cambria Math" w:cs="宋体"/>
                      <w:i/>
                      <w:iCs/>
                      <w:color w:val="auto"/>
                      <w:lang w:bidi="ar"/>
                    </w:rPr>
                  </m:ctrlPr>
                </m:e>
                <m:sub>
                  <m:r>
                    <m:rPr/>
                    <w:rPr>
                      <w:rFonts w:ascii="Cambria Math" w:hAnsi="Cambria Math" w:cs="宋体"/>
                      <w:color w:val="auto"/>
                      <w:lang w:bidi="ar"/>
                    </w:rPr>
                    <m:t>1</m:t>
                  </m:r>
                  <m:ctrlPr>
                    <w:rPr>
                      <w:rFonts w:ascii="Cambria Math" w:hAnsi="Cambria Math" w:cs="宋体"/>
                      <w:i/>
                      <w:iCs/>
                      <w:color w:val="auto"/>
                      <w:lang w:bidi="ar"/>
                    </w:rPr>
                  </m:ctrlPr>
                </m:sub>
              </m:sSub>
              <m:ctrlPr>
                <w:rPr>
                  <w:rFonts w:ascii="Cambria Math" w:hAnsi="Cambria Math" w:cs="宋体"/>
                  <w:i/>
                  <w:iCs/>
                  <w:color w:val="auto"/>
                  <w:lang w:bidi="ar"/>
                </w:rPr>
              </m:ctrlPr>
            </m:num>
            <m:den>
              <m:sSub>
                <m:sSubPr>
                  <m:ctrlPr>
                    <w:rPr>
                      <w:rFonts w:ascii="Cambria Math" w:hAnsi="Cambria Math" w:cs="宋体"/>
                      <w:i/>
                      <w:iCs/>
                      <w:color w:val="auto"/>
                      <w:lang w:bidi="ar"/>
                    </w:rPr>
                  </m:ctrlPr>
                </m:sSubPr>
                <m:e>
                  <m:r>
                    <m:rPr/>
                    <w:rPr>
                      <w:rFonts w:ascii="Cambria Math" w:hAnsi="Cambria Math" w:cs="宋体"/>
                      <w:color w:val="auto"/>
                      <w:lang w:bidi="ar"/>
                    </w:rPr>
                    <m:t>Q</m:t>
                  </m:r>
                  <m:ctrlPr>
                    <w:rPr>
                      <w:rFonts w:ascii="Cambria Math" w:hAnsi="Cambria Math" w:cs="宋体"/>
                      <w:i/>
                      <w:iCs/>
                      <w:color w:val="auto"/>
                      <w:lang w:bidi="ar"/>
                    </w:rPr>
                  </m:ctrlPr>
                </m:e>
                <m:sub>
                  <m:r>
                    <m:rPr/>
                    <w:rPr>
                      <w:rFonts w:ascii="Cambria Math" w:hAnsi="Cambria Math" w:cs="宋体"/>
                      <w:color w:val="auto"/>
                      <w:lang w:bidi="ar"/>
                    </w:rPr>
                    <m:t>1</m:t>
                  </m:r>
                  <m:ctrlPr>
                    <w:rPr>
                      <w:rFonts w:ascii="Cambria Math" w:hAnsi="Cambria Math" w:cs="宋体"/>
                      <w:i/>
                      <w:iCs/>
                      <w:color w:val="auto"/>
                      <w:lang w:bidi="ar"/>
                    </w:rPr>
                  </m:ctrlPr>
                </m:sub>
              </m:sSub>
              <m:ctrlPr>
                <w:rPr>
                  <w:rFonts w:ascii="Cambria Math" w:hAnsi="Cambria Math" w:cs="宋体"/>
                  <w:i/>
                  <w:iCs/>
                  <w:color w:val="auto"/>
                  <w:lang w:bidi="ar"/>
                </w:rPr>
              </m:ctrlPr>
            </m:den>
          </m:f>
          <m:r>
            <m:rPr/>
            <w:rPr>
              <w:rFonts w:ascii="Cambria Math" w:hAnsi="Cambria Math" w:cs="Cambria Math"/>
              <w:color w:val="auto"/>
              <w:lang w:bidi="ar"/>
            </w:rPr>
            <m:t>+</m:t>
          </m:r>
          <m:f>
            <m:fPr>
              <m:ctrlPr>
                <w:rPr>
                  <w:rFonts w:ascii="Cambria Math" w:hAnsi="Cambria Math" w:cs="Cambria Math"/>
                  <w:i/>
                  <w:iCs/>
                  <w:color w:val="auto"/>
                  <w:lang w:bidi="ar"/>
                </w:rPr>
              </m:ctrlPr>
            </m:fPr>
            <m:num>
              <m:sSub>
                <m:sSubPr>
                  <m:ctrlPr>
                    <w:rPr>
                      <w:rFonts w:ascii="Cambria Math" w:hAnsi="Cambria Math" w:cs="Cambria Math"/>
                      <w:i/>
                      <w:iCs/>
                      <w:color w:val="auto"/>
                      <w:lang w:bidi="ar"/>
                    </w:rPr>
                  </m:ctrlPr>
                </m:sSubPr>
                <m:e>
                  <m:r>
                    <m:rPr/>
                    <w:rPr>
                      <w:rFonts w:ascii="Cambria Math" w:hAnsi="Cambria Math" w:cs="Cambria Math"/>
                      <w:color w:val="auto"/>
                      <w:lang w:bidi="ar"/>
                    </w:rPr>
                    <m:t>q</m:t>
                  </m:r>
                  <m:ctrlPr>
                    <w:rPr>
                      <w:rFonts w:ascii="Cambria Math" w:hAnsi="Cambria Math" w:cs="Cambria Math"/>
                      <w:i/>
                      <w:iCs/>
                      <w:color w:val="auto"/>
                      <w:lang w:bidi="ar"/>
                    </w:rPr>
                  </m:ctrlPr>
                </m:e>
                <m:sub>
                  <m:r>
                    <m:rPr/>
                    <w:rPr>
                      <w:rFonts w:ascii="Cambria Math" w:hAnsi="Cambria Math" w:cs="Cambria Math"/>
                      <w:color w:val="auto"/>
                      <w:lang w:bidi="ar"/>
                    </w:rPr>
                    <m:t>2</m:t>
                  </m:r>
                  <m:ctrlPr>
                    <w:rPr>
                      <w:rFonts w:ascii="Cambria Math" w:hAnsi="Cambria Math" w:cs="Cambria Math"/>
                      <w:i/>
                      <w:iCs/>
                      <w:color w:val="auto"/>
                      <w:lang w:bidi="ar"/>
                    </w:rPr>
                  </m:ctrlPr>
                </m:sub>
              </m:sSub>
              <m:ctrlPr>
                <w:rPr>
                  <w:rFonts w:ascii="Cambria Math" w:hAnsi="Cambria Math" w:cs="Cambria Math"/>
                  <w:i/>
                  <w:iCs/>
                  <w:color w:val="auto"/>
                  <w:lang w:bidi="ar"/>
                </w:rPr>
              </m:ctrlPr>
            </m:num>
            <m:den>
              <m:sSub>
                <m:sSubPr>
                  <m:ctrlPr>
                    <w:rPr>
                      <w:rFonts w:ascii="Cambria Math" w:hAnsi="Cambria Math" w:cs="Cambria Math"/>
                      <w:i/>
                      <w:iCs/>
                      <w:color w:val="auto"/>
                      <w:lang w:bidi="ar"/>
                    </w:rPr>
                  </m:ctrlPr>
                </m:sSubPr>
                <m:e>
                  <m:r>
                    <m:rPr/>
                    <w:rPr>
                      <w:rFonts w:ascii="Cambria Math" w:hAnsi="Cambria Math" w:cs="Cambria Math"/>
                      <w:color w:val="auto"/>
                      <w:lang w:bidi="ar"/>
                    </w:rPr>
                    <m:t>Q</m:t>
                  </m:r>
                  <m:ctrlPr>
                    <w:rPr>
                      <w:rFonts w:ascii="Cambria Math" w:hAnsi="Cambria Math" w:cs="Cambria Math"/>
                      <w:i/>
                      <w:iCs/>
                      <w:color w:val="auto"/>
                      <w:lang w:bidi="ar"/>
                    </w:rPr>
                  </m:ctrlPr>
                </m:e>
                <m:sub>
                  <m:r>
                    <m:rPr/>
                    <w:rPr>
                      <w:rFonts w:ascii="Cambria Math" w:hAnsi="Cambria Math" w:cs="Cambria Math"/>
                      <w:color w:val="auto"/>
                      <w:lang w:bidi="ar"/>
                    </w:rPr>
                    <m:t>2</m:t>
                  </m:r>
                  <m:ctrlPr>
                    <w:rPr>
                      <w:rFonts w:ascii="Cambria Math" w:hAnsi="Cambria Math" w:cs="Cambria Math"/>
                      <w:i/>
                      <w:iCs/>
                      <w:color w:val="auto"/>
                      <w:lang w:bidi="ar"/>
                    </w:rPr>
                  </m:ctrlPr>
                </m:sub>
              </m:sSub>
              <m:ctrlPr>
                <w:rPr>
                  <w:rFonts w:ascii="Cambria Math" w:hAnsi="Cambria Math" w:cs="Cambria Math"/>
                  <w:i/>
                  <w:iCs/>
                  <w:color w:val="auto"/>
                  <w:lang w:bidi="ar"/>
                </w:rPr>
              </m:ctrlPr>
            </m:den>
          </m:f>
          <m:r>
            <m:rPr/>
            <w:rPr>
              <w:rFonts w:ascii="Cambria Math" w:hAnsi="Cambria Math" w:cs="Cambria Math"/>
              <w:color w:val="auto"/>
              <w:lang w:bidi="ar"/>
            </w:rPr>
            <m:t>+⋯+</m:t>
          </m:r>
          <m:f>
            <m:fPr>
              <m:ctrlPr>
                <w:rPr>
                  <w:rFonts w:ascii="Cambria Math" w:hAnsi="Cambria Math" w:cs="Cambria Math"/>
                  <w:i/>
                  <w:iCs/>
                  <w:color w:val="auto"/>
                  <w:lang w:bidi="ar"/>
                </w:rPr>
              </m:ctrlPr>
            </m:fPr>
            <m:num>
              <m:sSub>
                <m:sSubPr>
                  <m:ctrlPr>
                    <w:rPr>
                      <w:rFonts w:ascii="Cambria Math" w:hAnsi="Cambria Math" w:cs="Cambria Math"/>
                      <w:i/>
                      <w:iCs/>
                      <w:color w:val="auto"/>
                      <w:lang w:bidi="ar"/>
                    </w:rPr>
                  </m:ctrlPr>
                </m:sSubPr>
                <m:e>
                  <m:r>
                    <m:rPr/>
                    <w:rPr>
                      <w:rFonts w:ascii="Cambria Math" w:hAnsi="Cambria Math" w:cs="Cambria Math"/>
                      <w:color w:val="auto"/>
                      <w:lang w:bidi="ar"/>
                    </w:rPr>
                    <m:t>q</m:t>
                  </m:r>
                  <m:ctrlPr>
                    <w:rPr>
                      <w:rFonts w:ascii="Cambria Math" w:hAnsi="Cambria Math" w:cs="Cambria Math"/>
                      <w:i/>
                      <w:iCs/>
                      <w:color w:val="auto"/>
                      <w:lang w:bidi="ar"/>
                    </w:rPr>
                  </m:ctrlPr>
                </m:e>
                <m:sub>
                  <m:r>
                    <m:rPr/>
                    <w:rPr>
                      <w:rFonts w:ascii="Cambria Math" w:hAnsi="Cambria Math" w:cs="Cambria Math"/>
                      <w:color w:val="auto"/>
                      <w:lang w:bidi="ar"/>
                    </w:rPr>
                    <m:t>n</m:t>
                  </m:r>
                  <m:ctrlPr>
                    <w:rPr>
                      <w:rFonts w:ascii="Cambria Math" w:hAnsi="Cambria Math" w:cs="Cambria Math"/>
                      <w:i/>
                      <w:iCs/>
                      <w:color w:val="auto"/>
                      <w:lang w:bidi="ar"/>
                    </w:rPr>
                  </m:ctrlPr>
                </m:sub>
              </m:sSub>
              <m:ctrlPr>
                <w:rPr>
                  <w:rFonts w:ascii="Cambria Math" w:hAnsi="Cambria Math" w:cs="Cambria Math"/>
                  <w:i/>
                  <w:iCs/>
                  <w:color w:val="auto"/>
                  <w:lang w:bidi="ar"/>
                </w:rPr>
              </m:ctrlPr>
            </m:num>
            <m:den>
              <m:sSub>
                <m:sSubPr>
                  <m:ctrlPr>
                    <w:rPr>
                      <w:rFonts w:ascii="Cambria Math" w:hAnsi="Cambria Math" w:cs="Cambria Math"/>
                      <w:i/>
                      <w:iCs/>
                      <w:color w:val="auto"/>
                      <w:lang w:bidi="ar"/>
                    </w:rPr>
                  </m:ctrlPr>
                </m:sSubPr>
                <m:e>
                  <m:r>
                    <m:rPr/>
                    <w:rPr>
                      <w:rFonts w:ascii="Cambria Math" w:hAnsi="Cambria Math" w:cs="Cambria Math"/>
                      <w:color w:val="auto"/>
                      <w:lang w:bidi="ar"/>
                    </w:rPr>
                    <m:t>Q</m:t>
                  </m:r>
                  <m:ctrlPr>
                    <w:rPr>
                      <w:rFonts w:ascii="Cambria Math" w:hAnsi="Cambria Math" w:cs="Cambria Math"/>
                      <w:i/>
                      <w:iCs/>
                      <w:color w:val="auto"/>
                      <w:lang w:bidi="ar"/>
                    </w:rPr>
                  </m:ctrlPr>
                </m:e>
                <m:sub>
                  <m:r>
                    <m:rPr/>
                    <w:rPr>
                      <w:rFonts w:ascii="Cambria Math" w:hAnsi="Cambria Math" w:cs="Cambria Math"/>
                      <w:color w:val="auto"/>
                      <w:lang w:bidi="ar"/>
                    </w:rPr>
                    <m:t>n</m:t>
                  </m:r>
                  <m:ctrlPr>
                    <w:rPr>
                      <w:rFonts w:ascii="Cambria Math" w:hAnsi="Cambria Math" w:cs="Cambria Math"/>
                      <w:i/>
                      <w:iCs/>
                      <w:color w:val="auto"/>
                      <w:lang w:bidi="ar"/>
                    </w:rPr>
                  </m:ctrlPr>
                </m:sub>
              </m:sSub>
              <m:ctrlPr>
                <w:rPr>
                  <w:rFonts w:ascii="Cambria Math" w:hAnsi="Cambria Math" w:cs="Cambria Math"/>
                  <w:i/>
                  <w:iCs/>
                  <w:color w:val="auto"/>
                  <w:lang w:bidi="ar"/>
                </w:rPr>
              </m:ctrlPr>
            </m:den>
          </m:f>
        </m:oMath>
      </m:oMathPara>
    </w:p>
    <w:p w14:paraId="4C27AF9B">
      <w:pPr>
        <w:ind w:firstLine="480"/>
        <w:rPr>
          <w:color w:val="auto"/>
        </w:rPr>
      </w:pPr>
      <w:r>
        <w:rPr>
          <w:rFonts w:hint="eastAsia" w:cs="宋体"/>
          <w:color w:val="auto"/>
          <w:lang w:bidi="ar"/>
        </w:rPr>
        <w:t>式中：</w:t>
      </w:r>
    </w:p>
    <w:p w14:paraId="2988A6B3">
      <w:pPr>
        <w:ind w:firstLine="480"/>
        <w:rPr>
          <w:color w:val="auto"/>
        </w:rPr>
      </w:pPr>
      <w:r>
        <w:rPr>
          <w:color w:val="auto"/>
          <w:lang w:bidi="ar"/>
        </w:rPr>
        <w:t>q</w:t>
      </w:r>
      <w:r>
        <w:rPr>
          <w:color w:val="auto"/>
          <w:vertAlign w:val="subscript"/>
          <w:lang w:bidi="ar"/>
        </w:rPr>
        <w:t>1</w:t>
      </w:r>
      <w:r>
        <w:rPr>
          <w:rFonts w:hint="eastAsia" w:cs="宋体"/>
          <w:color w:val="auto"/>
          <w:lang w:bidi="ar"/>
        </w:rPr>
        <w:t>，</w:t>
      </w:r>
      <w:r>
        <w:rPr>
          <w:color w:val="auto"/>
          <w:lang w:bidi="ar"/>
        </w:rPr>
        <w:t>q</w:t>
      </w:r>
      <w:r>
        <w:rPr>
          <w:color w:val="auto"/>
          <w:vertAlign w:val="subscript"/>
          <w:lang w:bidi="ar"/>
        </w:rPr>
        <w:t>2</w:t>
      </w:r>
      <w:r>
        <w:rPr>
          <w:rFonts w:hint="eastAsia" w:cs="宋体"/>
          <w:color w:val="auto"/>
          <w:lang w:bidi="ar"/>
        </w:rPr>
        <w:t>，</w:t>
      </w:r>
      <w:r>
        <w:rPr>
          <w:color w:val="auto"/>
          <w:lang w:bidi="ar"/>
        </w:rPr>
        <w:t>……</w:t>
      </w:r>
      <w:r>
        <w:rPr>
          <w:rFonts w:hint="eastAsia" w:cs="宋体"/>
          <w:color w:val="auto"/>
          <w:lang w:bidi="ar"/>
        </w:rPr>
        <w:t>，</w:t>
      </w:r>
      <w:r>
        <w:rPr>
          <w:color w:val="auto"/>
          <w:lang w:bidi="ar"/>
        </w:rPr>
        <w:t>q</w:t>
      </w:r>
      <w:r>
        <w:rPr>
          <w:color w:val="auto"/>
          <w:vertAlign w:val="subscript"/>
          <w:lang w:bidi="ar"/>
        </w:rPr>
        <w:t>n</w:t>
      </w:r>
      <w:r>
        <w:rPr>
          <w:color w:val="auto"/>
          <w:lang w:bidi="ar"/>
        </w:rPr>
        <w:t>—</w:t>
      </w:r>
      <w:r>
        <w:rPr>
          <w:rFonts w:hint="eastAsia" w:cs="宋体"/>
          <w:color w:val="auto"/>
          <w:lang w:bidi="ar"/>
        </w:rPr>
        <w:t>每种危险物质最大存在总量，</w:t>
      </w:r>
      <w:r>
        <w:rPr>
          <w:color w:val="auto"/>
          <w:lang w:bidi="ar"/>
        </w:rPr>
        <w:t>t</w:t>
      </w:r>
      <w:r>
        <w:rPr>
          <w:rFonts w:hint="eastAsia" w:cs="宋体"/>
          <w:color w:val="auto"/>
          <w:lang w:bidi="ar"/>
        </w:rPr>
        <w:t>；</w:t>
      </w:r>
    </w:p>
    <w:p w14:paraId="7A6FEF40">
      <w:pPr>
        <w:ind w:firstLine="480"/>
        <w:rPr>
          <w:color w:val="auto"/>
        </w:rPr>
      </w:pPr>
      <w:r>
        <w:rPr>
          <w:color w:val="auto"/>
          <w:lang w:bidi="ar"/>
        </w:rPr>
        <w:t>Q</w:t>
      </w:r>
      <w:r>
        <w:rPr>
          <w:color w:val="auto"/>
          <w:vertAlign w:val="subscript"/>
          <w:lang w:bidi="ar"/>
        </w:rPr>
        <w:t>1</w:t>
      </w:r>
      <w:r>
        <w:rPr>
          <w:rFonts w:hint="eastAsia" w:cs="宋体"/>
          <w:color w:val="auto"/>
          <w:lang w:bidi="ar"/>
        </w:rPr>
        <w:t>，</w:t>
      </w:r>
      <w:r>
        <w:rPr>
          <w:color w:val="auto"/>
          <w:lang w:bidi="ar"/>
        </w:rPr>
        <w:t>Q</w:t>
      </w:r>
      <w:r>
        <w:rPr>
          <w:color w:val="auto"/>
          <w:vertAlign w:val="subscript"/>
          <w:lang w:bidi="ar"/>
        </w:rPr>
        <w:t>2</w:t>
      </w:r>
      <w:r>
        <w:rPr>
          <w:rFonts w:hint="eastAsia" w:cs="宋体"/>
          <w:color w:val="auto"/>
          <w:lang w:bidi="ar"/>
        </w:rPr>
        <w:t>，</w:t>
      </w:r>
      <w:r>
        <w:rPr>
          <w:color w:val="auto"/>
          <w:lang w:bidi="ar"/>
        </w:rPr>
        <w:t>……</w:t>
      </w:r>
      <w:r>
        <w:rPr>
          <w:rFonts w:hint="eastAsia" w:cs="宋体"/>
          <w:color w:val="auto"/>
          <w:lang w:bidi="ar"/>
        </w:rPr>
        <w:t>，</w:t>
      </w:r>
      <w:r>
        <w:rPr>
          <w:color w:val="auto"/>
          <w:lang w:bidi="ar"/>
        </w:rPr>
        <w:t>Q</w:t>
      </w:r>
      <w:r>
        <w:rPr>
          <w:color w:val="auto"/>
          <w:vertAlign w:val="subscript"/>
          <w:lang w:bidi="ar"/>
        </w:rPr>
        <w:t>n</w:t>
      </w:r>
      <w:r>
        <w:rPr>
          <w:color w:val="auto"/>
          <w:lang w:bidi="ar"/>
        </w:rPr>
        <w:t>—</w:t>
      </w:r>
      <w:r>
        <w:rPr>
          <w:rFonts w:hint="eastAsia" w:cs="宋体"/>
          <w:color w:val="auto"/>
          <w:lang w:bidi="ar"/>
        </w:rPr>
        <w:t>每种危险物质的临界量，</w:t>
      </w:r>
      <w:r>
        <w:rPr>
          <w:color w:val="auto"/>
          <w:lang w:bidi="ar"/>
        </w:rPr>
        <w:t>t</w:t>
      </w:r>
      <w:r>
        <w:rPr>
          <w:rFonts w:hint="eastAsia" w:cs="宋体"/>
          <w:color w:val="auto"/>
          <w:lang w:bidi="ar"/>
        </w:rPr>
        <w:t>。</w:t>
      </w:r>
    </w:p>
    <w:p w14:paraId="333A5C5E">
      <w:pPr>
        <w:ind w:firstLine="480"/>
        <w:rPr>
          <w:color w:val="auto"/>
        </w:rPr>
      </w:pPr>
      <w:r>
        <w:rPr>
          <w:rFonts w:hint="eastAsia" w:cs="宋体"/>
          <w:color w:val="auto"/>
          <w:lang w:bidi="ar"/>
        </w:rPr>
        <w:t>当</w:t>
      </w:r>
      <w:r>
        <w:rPr>
          <w:color w:val="auto"/>
          <w:lang w:bidi="ar"/>
        </w:rPr>
        <w:t>Q</w:t>
      </w:r>
      <w:r>
        <w:rPr>
          <w:rFonts w:hint="eastAsia" w:cs="宋体"/>
          <w:color w:val="auto"/>
          <w:lang w:bidi="ar"/>
        </w:rPr>
        <w:t>＜</w:t>
      </w:r>
      <w:r>
        <w:rPr>
          <w:color w:val="auto"/>
          <w:lang w:bidi="ar"/>
        </w:rPr>
        <w:t>1</w:t>
      </w:r>
      <w:r>
        <w:rPr>
          <w:rFonts w:hint="eastAsia" w:cs="宋体"/>
          <w:color w:val="auto"/>
          <w:lang w:bidi="ar"/>
        </w:rPr>
        <w:t>时，该项目环境风险潜势为</w:t>
      </w:r>
      <w:r>
        <w:rPr>
          <w:color w:val="auto"/>
          <w:lang w:bidi="ar"/>
        </w:rPr>
        <w:t>Ⅰ</w:t>
      </w:r>
      <w:r>
        <w:rPr>
          <w:rFonts w:hint="eastAsia" w:cs="宋体"/>
          <w:color w:val="auto"/>
          <w:lang w:bidi="ar"/>
        </w:rPr>
        <w:t>。</w:t>
      </w:r>
    </w:p>
    <w:p w14:paraId="60F64E33">
      <w:pPr>
        <w:ind w:firstLine="480"/>
        <w:rPr>
          <w:color w:val="auto"/>
        </w:rPr>
      </w:pPr>
      <w:r>
        <w:rPr>
          <w:rFonts w:hint="eastAsia" w:cs="宋体"/>
          <w:color w:val="auto"/>
          <w:lang w:bidi="ar"/>
        </w:rPr>
        <w:t>当</w:t>
      </w:r>
      <w:r>
        <w:rPr>
          <w:color w:val="auto"/>
          <w:lang w:bidi="ar"/>
        </w:rPr>
        <w:t>Q≥1</w:t>
      </w:r>
      <w:r>
        <w:rPr>
          <w:rFonts w:hint="eastAsia" w:cs="宋体"/>
          <w:color w:val="auto"/>
          <w:lang w:bidi="ar"/>
        </w:rPr>
        <w:t>时，将</w:t>
      </w:r>
      <w:r>
        <w:rPr>
          <w:color w:val="auto"/>
          <w:lang w:bidi="ar"/>
        </w:rPr>
        <w:t>Q</w:t>
      </w:r>
      <w:r>
        <w:rPr>
          <w:rFonts w:hint="eastAsia" w:cs="宋体"/>
          <w:color w:val="auto"/>
          <w:lang w:bidi="ar"/>
        </w:rPr>
        <w:t>值划分为：</w:t>
      </w:r>
      <w:r>
        <w:rPr>
          <w:color w:val="auto"/>
          <w:lang w:bidi="ar"/>
        </w:rPr>
        <w:t>①1≤Q</w:t>
      </w:r>
      <w:r>
        <w:rPr>
          <w:rFonts w:hint="eastAsia" w:cs="宋体"/>
          <w:color w:val="auto"/>
          <w:lang w:bidi="ar"/>
        </w:rPr>
        <w:t>＜</w:t>
      </w:r>
      <w:r>
        <w:rPr>
          <w:color w:val="auto"/>
          <w:lang w:bidi="ar"/>
        </w:rPr>
        <w:t>10</w:t>
      </w:r>
      <w:r>
        <w:rPr>
          <w:rFonts w:hint="eastAsia" w:cs="宋体"/>
          <w:color w:val="auto"/>
          <w:lang w:bidi="ar"/>
        </w:rPr>
        <w:t>；</w:t>
      </w:r>
      <w:r>
        <w:rPr>
          <w:color w:val="auto"/>
          <w:lang w:bidi="ar"/>
        </w:rPr>
        <w:t>②10≤Q</w:t>
      </w:r>
      <w:r>
        <w:rPr>
          <w:rFonts w:hint="eastAsia" w:cs="宋体"/>
          <w:color w:val="auto"/>
          <w:lang w:bidi="ar"/>
        </w:rPr>
        <w:t>＜</w:t>
      </w:r>
      <w:r>
        <w:rPr>
          <w:color w:val="auto"/>
          <w:lang w:bidi="ar"/>
        </w:rPr>
        <w:t>100</w:t>
      </w:r>
      <w:r>
        <w:rPr>
          <w:rFonts w:hint="eastAsia" w:cs="宋体"/>
          <w:color w:val="auto"/>
          <w:lang w:bidi="ar"/>
        </w:rPr>
        <w:t>；</w:t>
      </w:r>
      <w:r>
        <w:rPr>
          <w:color w:val="auto"/>
          <w:lang w:bidi="ar"/>
        </w:rPr>
        <w:t>③Q≥100</w:t>
      </w:r>
      <w:r>
        <w:rPr>
          <w:rFonts w:hint="eastAsia" w:cs="宋体"/>
          <w:color w:val="auto"/>
          <w:lang w:bidi="ar"/>
        </w:rPr>
        <w:t>。</w:t>
      </w:r>
    </w:p>
    <w:p w14:paraId="6422E260">
      <w:pPr>
        <w:ind w:firstLine="480"/>
        <w:rPr>
          <w:b/>
          <w:color w:val="auto"/>
          <w:lang w:bidi="ar"/>
        </w:rPr>
      </w:pPr>
      <w:r>
        <w:rPr>
          <w:rFonts w:hint="eastAsia" w:cs="宋体"/>
          <w:color w:val="auto"/>
          <w:lang w:bidi="ar"/>
        </w:rPr>
        <w:t>本项目风险物质与临界量比值</w:t>
      </w:r>
      <w:r>
        <w:rPr>
          <w:color w:val="auto"/>
          <w:lang w:bidi="ar"/>
        </w:rPr>
        <w:t>Q</w:t>
      </w:r>
      <w:r>
        <w:rPr>
          <w:rFonts w:hint="eastAsia" w:cs="宋体"/>
          <w:color w:val="auto"/>
          <w:lang w:bidi="ar"/>
        </w:rPr>
        <w:t>见表</w:t>
      </w:r>
      <w:r>
        <w:rPr>
          <w:color w:val="auto"/>
          <w:lang w:bidi="ar"/>
        </w:rPr>
        <w:t>2.</w:t>
      </w:r>
      <w:r>
        <w:rPr>
          <w:rFonts w:hint="eastAsia"/>
          <w:color w:val="auto"/>
          <w:lang w:bidi="ar"/>
        </w:rPr>
        <w:t>5.1-9</w:t>
      </w:r>
      <w:r>
        <w:rPr>
          <w:rFonts w:hint="eastAsia" w:cs="宋体"/>
          <w:color w:val="auto"/>
          <w:lang w:bidi="ar"/>
        </w:rPr>
        <w:t>。</w:t>
      </w:r>
    </w:p>
    <w:p w14:paraId="295373A3">
      <w:pPr>
        <w:pStyle w:val="80"/>
        <w:widowControl w:val="0"/>
        <w:spacing w:before="0" w:beforeAutospacing="0" w:after="0" w:afterAutospacing="0"/>
        <w:ind w:firstLine="0" w:firstLineChars="0"/>
        <w:jc w:val="center"/>
        <w:rPr>
          <w:rFonts w:ascii="Times New Roman" w:hAnsi="Times New Roman"/>
          <w:b/>
          <w:color w:val="auto"/>
          <w:kern w:val="2"/>
          <w:sz w:val="24"/>
          <w:lang w:bidi="ar"/>
        </w:rPr>
      </w:pPr>
      <w:r>
        <w:rPr>
          <w:rFonts w:ascii="Times New Roman" w:hAnsi="Times New Roman"/>
          <w:b/>
          <w:color w:val="auto"/>
          <w:kern w:val="2"/>
          <w:sz w:val="24"/>
          <w:lang w:bidi="ar"/>
        </w:rPr>
        <w:t>表2.</w:t>
      </w:r>
      <w:r>
        <w:rPr>
          <w:rFonts w:hint="eastAsia" w:ascii="Times New Roman" w:hAnsi="Times New Roman"/>
          <w:b/>
          <w:color w:val="auto"/>
          <w:kern w:val="2"/>
          <w:sz w:val="24"/>
          <w:lang w:bidi="ar"/>
        </w:rPr>
        <w:t>5.1-9</w:t>
      </w:r>
      <w:r>
        <w:rPr>
          <w:rFonts w:ascii="Times New Roman" w:hAnsi="Times New Roman"/>
          <w:b/>
          <w:color w:val="auto"/>
          <w:kern w:val="2"/>
          <w:sz w:val="24"/>
          <w:lang w:bidi="ar"/>
        </w:rPr>
        <w:t xml:space="preserve">  本项目Q值确定表</w:t>
      </w:r>
    </w:p>
    <w:tbl>
      <w:tblPr>
        <w:tblStyle w:val="8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94"/>
        <w:gridCol w:w="1282"/>
        <w:gridCol w:w="2919"/>
        <w:gridCol w:w="1612"/>
        <w:gridCol w:w="1340"/>
        <w:gridCol w:w="1416"/>
      </w:tblGrid>
      <w:tr w14:paraId="46476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8" w:hRule="atLeast"/>
          <w:tblHeader/>
        </w:trPr>
        <w:tc>
          <w:tcPr>
            <w:tcW w:w="273" w:type="pct"/>
            <w:tcBorders>
              <w:left w:val="nil"/>
            </w:tcBorders>
            <w:vAlign w:val="center"/>
          </w:tcPr>
          <w:p w14:paraId="01880A3D">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707" w:type="pct"/>
            <w:vAlign w:val="center"/>
          </w:tcPr>
          <w:p w14:paraId="5AFD675A">
            <w:pPr>
              <w:widowControl/>
              <w:spacing w:line="240" w:lineRule="auto"/>
              <w:ind w:firstLine="0" w:firstLineChars="0"/>
              <w:jc w:val="center"/>
              <w:rPr>
                <w:b/>
                <w:bCs/>
                <w:color w:val="auto"/>
                <w:kern w:val="0"/>
                <w:sz w:val="21"/>
                <w:szCs w:val="21"/>
              </w:rPr>
            </w:pPr>
            <w:r>
              <w:rPr>
                <w:b/>
                <w:bCs/>
                <w:color w:val="auto"/>
                <w:kern w:val="0"/>
                <w:sz w:val="21"/>
                <w:szCs w:val="21"/>
              </w:rPr>
              <w:t>危险单元</w:t>
            </w:r>
          </w:p>
        </w:tc>
        <w:tc>
          <w:tcPr>
            <w:tcW w:w="1610" w:type="pct"/>
            <w:vAlign w:val="center"/>
          </w:tcPr>
          <w:p w14:paraId="4672D371">
            <w:pPr>
              <w:widowControl/>
              <w:spacing w:line="240" w:lineRule="auto"/>
              <w:ind w:firstLine="0" w:firstLineChars="0"/>
              <w:jc w:val="center"/>
              <w:rPr>
                <w:b/>
                <w:bCs/>
                <w:color w:val="auto"/>
                <w:kern w:val="0"/>
                <w:sz w:val="21"/>
                <w:szCs w:val="21"/>
              </w:rPr>
            </w:pPr>
            <w:r>
              <w:rPr>
                <w:b/>
                <w:bCs/>
                <w:color w:val="auto"/>
                <w:kern w:val="0"/>
                <w:sz w:val="21"/>
                <w:szCs w:val="21"/>
              </w:rPr>
              <w:t>危险物质</w:t>
            </w:r>
          </w:p>
        </w:tc>
        <w:tc>
          <w:tcPr>
            <w:tcW w:w="889" w:type="pct"/>
            <w:tcBorders>
              <w:right w:val="nil"/>
            </w:tcBorders>
            <w:vAlign w:val="center"/>
          </w:tcPr>
          <w:p w14:paraId="3E2682FF">
            <w:pPr>
              <w:widowControl/>
              <w:spacing w:line="240" w:lineRule="auto"/>
              <w:ind w:firstLine="0" w:firstLineChars="0"/>
              <w:jc w:val="center"/>
              <w:rPr>
                <w:b/>
                <w:bCs/>
                <w:color w:val="auto"/>
                <w:kern w:val="0"/>
                <w:sz w:val="21"/>
                <w:szCs w:val="21"/>
              </w:rPr>
            </w:pPr>
            <w:r>
              <w:rPr>
                <w:b/>
                <w:bCs/>
                <w:color w:val="auto"/>
                <w:kern w:val="0"/>
                <w:sz w:val="21"/>
                <w:szCs w:val="21"/>
              </w:rPr>
              <w:t>最大存在量（t）</w:t>
            </w:r>
          </w:p>
        </w:tc>
        <w:tc>
          <w:tcPr>
            <w:tcW w:w="738" w:type="pct"/>
            <w:tcBorders>
              <w:right w:val="nil"/>
            </w:tcBorders>
            <w:vAlign w:val="center"/>
          </w:tcPr>
          <w:p w14:paraId="667C4E85">
            <w:pPr>
              <w:widowControl/>
              <w:spacing w:line="240" w:lineRule="auto"/>
              <w:ind w:firstLine="0" w:firstLineChars="0"/>
              <w:jc w:val="center"/>
              <w:rPr>
                <w:b/>
                <w:bCs/>
                <w:color w:val="auto"/>
                <w:kern w:val="0"/>
                <w:sz w:val="21"/>
                <w:szCs w:val="21"/>
              </w:rPr>
            </w:pPr>
            <w:r>
              <w:rPr>
                <w:rFonts w:hint="eastAsia"/>
                <w:b/>
                <w:bCs/>
                <w:color w:val="auto"/>
                <w:kern w:val="0"/>
                <w:sz w:val="21"/>
                <w:szCs w:val="21"/>
              </w:rPr>
              <w:t>临界量</w:t>
            </w:r>
            <w:r>
              <w:rPr>
                <w:b/>
                <w:bCs/>
                <w:color w:val="auto"/>
                <w:sz w:val="21"/>
                <w:szCs w:val="21"/>
              </w:rPr>
              <w:t>Q</w:t>
            </w:r>
            <w:r>
              <w:rPr>
                <w:b/>
                <w:bCs/>
                <w:color w:val="auto"/>
                <w:sz w:val="21"/>
                <w:szCs w:val="21"/>
                <w:vertAlign w:val="subscript"/>
              </w:rPr>
              <w:t>n</w:t>
            </w:r>
            <w:r>
              <w:rPr>
                <w:b/>
                <w:bCs/>
                <w:color w:val="auto"/>
                <w:sz w:val="21"/>
                <w:szCs w:val="21"/>
              </w:rPr>
              <w:t>/t</w:t>
            </w:r>
          </w:p>
        </w:tc>
        <w:tc>
          <w:tcPr>
            <w:tcW w:w="781" w:type="pct"/>
            <w:tcBorders>
              <w:right w:val="nil"/>
            </w:tcBorders>
            <w:vAlign w:val="center"/>
          </w:tcPr>
          <w:p w14:paraId="49DD3502">
            <w:pPr>
              <w:widowControl/>
              <w:spacing w:line="240" w:lineRule="auto"/>
              <w:ind w:firstLine="0" w:firstLineChars="0"/>
              <w:jc w:val="center"/>
              <w:rPr>
                <w:b/>
                <w:bCs/>
                <w:color w:val="auto"/>
                <w:kern w:val="0"/>
                <w:sz w:val="21"/>
                <w:szCs w:val="21"/>
              </w:rPr>
            </w:pPr>
            <w:r>
              <w:rPr>
                <w:b/>
                <w:bCs/>
                <w:color w:val="auto"/>
                <w:sz w:val="21"/>
                <w:szCs w:val="21"/>
              </w:rPr>
              <w:t>该种危险物质Q值</w:t>
            </w:r>
          </w:p>
        </w:tc>
      </w:tr>
      <w:tr w14:paraId="4E224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restart"/>
            <w:tcBorders>
              <w:left w:val="nil"/>
            </w:tcBorders>
            <w:vAlign w:val="center"/>
          </w:tcPr>
          <w:p w14:paraId="3D70EAEF">
            <w:pPr>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6</w:t>
            </w:r>
          </w:p>
        </w:tc>
        <w:tc>
          <w:tcPr>
            <w:tcW w:w="707" w:type="pct"/>
            <w:vMerge w:val="restart"/>
            <w:vAlign w:val="center"/>
          </w:tcPr>
          <w:p w14:paraId="2FF1A03A">
            <w:pPr>
              <w:spacing w:line="240" w:lineRule="auto"/>
              <w:ind w:firstLine="0" w:firstLineChars="0"/>
              <w:jc w:val="center"/>
              <w:rPr>
                <w:color w:val="auto"/>
                <w:kern w:val="0"/>
                <w:sz w:val="21"/>
                <w:szCs w:val="21"/>
              </w:rPr>
            </w:pPr>
            <w:r>
              <w:rPr>
                <w:color w:val="auto"/>
                <w:kern w:val="0"/>
                <w:sz w:val="21"/>
                <w:szCs w:val="21"/>
              </w:rPr>
              <w:t>阳极氧化车间</w:t>
            </w:r>
          </w:p>
        </w:tc>
        <w:tc>
          <w:tcPr>
            <w:tcW w:w="1610" w:type="pct"/>
            <w:shd w:val="clear" w:color="auto" w:fill="auto"/>
            <w:vAlign w:val="center"/>
          </w:tcPr>
          <w:p w14:paraId="639C9CE5">
            <w:pPr>
              <w:widowControl/>
              <w:spacing w:line="240" w:lineRule="auto"/>
              <w:ind w:firstLine="0" w:firstLineChars="0"/>
              <w:jc w:val="center"/>
              <w:textAlignment w:val="center"/>
              <w:rPr>
                <w:color w:val="auto"/>
                <w:sz w:val="21"/>
                <w:szCs w:val="21"/>
              </w:rPr>
            </w:pPr>
            <w:r>
              <w:rPr>
                <w:rFonts w:hint="eastAsia"/>
                <w:color w:val="auto"/>
                <w:sz w:val="21"/>
                <w:szCs w:val="21"/>
              </w:rPr>
              <w:t>碱蚀添加剂</w:t>
            </w:r>
          </w:p>
        </w:tc>
        <w:tc>
          <w:tcPr>
            <w:tcW w:w="889" w:type="pct"/>
            <w:tcBorders>
              <w:right w:val="nil"/>
            </w:tcBorders>
            <w:shd w:val="clear" w:color="auto" w:fill="auto"/>
            <w:vAlign w:val="center"/>
          </w:tcPr>
          <w:p w14:paraId="0A3BF681">
            <w:pPr>
              <w:spacing w:line="240" w:lineRule="auto"/>
              <w:ind w:firstLine="0" w:firstLineChars="0"/>
              <w:jc w:val="center"/>
              <w:rPr>
                <w:color w:val="auto"/>
                <w:sz w:val="21"/>
                <w:szCs w:val="21"/>
              </w:rPr>
            </w:pPr>
            <w:r>
              <w:rPr>
                <w:rFonts w:hint="eastAsia"/>
                <w:color w:val="auto"/>
                <w:sz w:val="21"/>
                <w:szCs w:val="21"/>
              </w:rPr>
              <w:t>0.025</w:t>
            </w:r>
          </w:p>
        </w:tc>
        <w:tc>
          <w:tcPr>
            <w:tcW w:w="738" w:type="pct"/>
            <w:tcBorders>
              <w:right w:val="nil"/>
            </w:tcBorders>
            <w:shd w:val="clear" w:color="auto" w:fill="auto"/>
            <w:vAlign w:val="center"/>
          </w:tcPr>
          <w:p w14:paraId="396C6943">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shd w:val="clear" w:color="auto" w:fill="auto"/>
            <w:vAlign w:val="center"/>
          </w:tcPr>
          <w:p w14:paraId="0F0F043D">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0.0005</w:t>
            </w:r>
          </w:p>
        </w:tc>
      </w:tr>
      <w:tr w14:paraId="11491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13946B36">
            <w:pPr>
              <w:spacing w:line="240" w:lineRule="auto"/>
              <w:ind w:firstLine="0" w:firstLineChars="0"/>
              <w:jc w:val="center"/>
              <w:rPr>
                <w:color w:val="auto"/>
                <w:kern w:val="0"/>
                <w:sz w:val="21"/>
                <w:szCs w:val="21"/>
              </w:rPr>
            </w:pPr>
          </w:p>
        </w:tc>
        <w:tc>
          <w:tcPr>
            <w:tcW w:w="707" w:type="pct"/>
            <w:vMerge w:val="continue"/>
            <w:vAlign w:val="center"/>
          </w:tcPr>
          <w:p w14:paraId="3FE1AC1E">
            <w:pPr>
              <w:spacing w:line="240" w:lineRule="auto"/>
              <w:ind w:firstLine="0" w:firstLineChars="0"/>
              <w:jc w:val="center"/>
              <w:rPr>
                <w:color w:val="auto"/>
                <w:kern w:val="0"/>
                <w:sz w:val="21"/>
                <w:szCs w:val="21"/>
              </w:rPr>
            </w:pPr>
          </w:p>
        </w:tc>
        <w:tc>
          <w:tcPr>
            <w:tcW w:w="1610" w:type="pct"/>
            <w:shd w:val="clear" w:color="auto" w:fill="auto"/>
            <w:vAlign w:val="center"/>
          </w:tcPr>
          <w:p w14:paraId="4F94C8E6">
            <w:pPr>
              <w:widowControl/>
              <w:spacing w:line="240" w:lineRule="auto"/>
              <w:ind w:firstLine="0" w:firstLineChars="0"/>
              <w:jc w:val="center"/>
              <w:textAlignment w:val="center"/>
              <w:rPr>
                <w:color w:val="auto"/>
                <w:sz w:val="21"/>
                <w:szCs w:val="21"/>
              </w:rPr>
            </w:pPr>
            <w:r>
              <w:rPr>
                <w:rFonts w:hint="eastAsia"/>
                <w:color w:val="auto"/>
                <w:sz w:val="21"/>
                <w:szCs w:val="21"/>
              </w:rPr>
              <w:t>封孔添加剂</w:t>
            </w:r>
          </w:p>
        </w:tc>
        <w:tc>
          <w:tcPr>
            <w:tcW w:w="889" w:type="pct"/>
            <w:tcBorders>
              <w:right w:val="nil"/>
            </w:tcBorders>
            <w:shd w:val="clear" w:color="auto" w:fill="auto"/>
            <w:vAlign w:val="center"/>
          </w:tcPr>
          <w:p w14:paraId="19EBFCC5">
            <w:pPr>
              <w:spacing w:line="240" w:lineRule="auto"/>
              <w:ind w:firstLine="0" w:firstLineChars="0"/>
              <w:jc w:val="center"/>
              <w:rPr>
                <w:color w:val="auto"/>
                <w:sz w:val="21"/>
                <w:szCs w:val="21"/>
              </w:rPr>
            </w:pPr>
            <w:r>
              <w:rPr>
                <w:rFonts w:hint="eastAsia"/>
                <w:color w:val="auto"/>
                <w:sz w:val="21"/>
                <w:szCs w:val="21"/>
              </w:rPr>
              <w:t>0.025</w:t>
            </w:r>
          </w:p>
        </w:tc>
        <w:tc>
          <w:tcPr>
            <w:tcW w:w="738" w:type="pct"/>
            <w:tcBorders>
              <w:right w:val="nil"/>
            </w:tcBorders>
            <w:shd w:val="clear" w:color="auto" w:fill="auto"/>
            <w:vAlign w:val="center"/>
          </w:tcPr>
          <w:p w14:paraId="0D4CC38C">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shd w:val="clear" w:color="auto" w:fill="auto"/>
            <w:vAlign w:val="center"/>
          </w:tcPr>
          <w:p w14:paraId="54F68B41">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bidi="ar"/>
              </w:rPr>
              <w:t>0.0005</w:t>
            </w:r>
          </w:p>
        </w:tc>
      </w:tr>
      <w:tr w14:paraId="27261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3CB868C3">
            <w:pPr>
              <w:widowControl/>
              <w:spacing w:line="240" w:lineRule="auto"/>
              <w:ind w:firstLine="0" w:firstLineChars="0"/>
              <w:jc w:val="center"/>
              <w:rPr>
                <w:color w:val="auto"/>
                <w:kern w:val="0"/>
                <w:sz w:val="21"/>
                <w:szCs w:val="21"/>
              </w:rPr>
            </w:pPr>
          </w:p>
        </w:tc>
        <w:tc>
          <w:tcPr>
            <w:tcW w:w="707" w:type="pct"/>
            <w:vMerge w:val="continue"/>
            <w:vAlign w:val="center"/>
          </w:tcPr>
          <w:p w14:paraId="0997C64D">
            <w:pPr>
              <w:spacing w:line="240" w:lineRule="auto"/>
              <w:ind w:firstLine="0" w:firstLineChars="0"/>
              <w:jc w:val="center"/>
              <w:rPr>
                <w:color w:val="auto"/>
                <w:kern w:val="0"/>
                <w:sz w:val="21"/>
                <w:szCs w:val="21"/>
              </w:rPr>
            </w:pPr>
          </w:p>
        </w:tc>
        <w:tc>
          <w:tcPr>
            <w:tcW w:w="1610" w:type="pct"/>
            <w:shd w:val="clear" w:color="auto" w:fill="auto"/>
            <w:vAlign w:val="center"/>
          </w:tcPr>
          <w:p w14:paraId="1E9F3A10">
            <w:pPr>
              <w:widowControl/>
              <w:spacing w:line="240" w:lineRule="auto"/>
              <w:ind w:firstLine="0" w:firstLineChars="0"/>
              <w:jc w:val="center"/>
              <w:textAlignment w:val="center"/>
              <w:rPr>
                <w:color w:val="auto"/>
                <w:sz w:val="21"/>
                <w:szCs w:val="21"/>
              </w:rPr>
            </w:pPr>
            <w:r>
              <w:rPr>
                <w:rFonts w:hint="eastAsia"/>
                <w:color w:val="auto"/>
                <w:sz w:val="21"/>
                <w:szCs w:val="21"/>
              </w:rPr>
              <w:t>着色稳定剂</w:t>
            </w:r>
          </w:p>
        </w:tc>
        <w:tc>
          <w:tcPr>
            <w:tcW w:w="889" w:type="pct"/>
            <w:tcBorders>
              <w:right w:val="nil"/>
            </w:tcBorders>
            <w:shd w:val="clear" w:color="auto" w:fill="auto"/>
            <w:vAlign w:val="center"/>
          </w:tcPr>
          <w:p w14:paraId="5D83333B">
            <w:pPr>
              <w:spacing w:line="240" w:lineRule="auto"/>
              <w:ind w:firstLine="0" w:firstLineChars="0"/>
              <w:jc w:val="center"/>
              <w:rPr>
                <w:color w:val="auto"/>
                <w:sz w:val="21"/>
                <w:szCs w:val="21"/>
              </w:rPr>
            </w:pPr>
            <w:r>
              <w:rPr>
                <w:rFonts w:hint="eastAsia"/>
                <w:color w:val="auto"/>
                <w:sz w:val="21"/>
                <w:szCs w:val="21"/>
              </w:rPr>
              <w:t>0.025</w:t>
            </w:r>
          </w:p>
        </w:tc>
        <w:tc>
          <w:tcPr>
            <w:tcW w:w="738" w:type="pct"/>
            <w:tcBorders>
              <w:right w:val="nil"/>
            </w:tcBorders>
            <w:shd w:val="clear" w:color="auto" w:fill="auto"/>
            <w:vAlign w:val="center"/>
          </w:tcPr>
          <w:p w14:paraId="0D5139D9">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shd w:val="clear" w:color="auto" w:fill="auto"/>
            <w:vAlign w:val="center"/>
          </w:tcPr>
          <w:p w14:paraId="00250464">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0.0005</w:t>
            </w:r>
          </w:p>
        </w:tc>
      </w:tr>
      <w:tr w14:paraId="5EB8A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7BAE9939">
            <w:pPr>
              <w:widowControl/>
              <w:spacing w:line="240" w:lineRule="auto"/>
              <w:ind w:firstLine="0" w:firstLineChars="0"/>
              <w:jc w:val="center"/>
              <w:rPr>
                <w:color w:val="auto"/>
                <w:kern w:val="0"/>
                <w:sz w:val="21"/>
                <w:szCs w:val="21"/>
              </w:rPr>
            </w:pPr>
          </w:p>
        </w:tc>
        <w:tc>
          <w:tcPr>
            <w:tcW w:w="707" w:type="pct"/>
            <w:vMerge w:val="continue"/>
            <w:vAlign w:val="center"/>
          </w:tcPr>
          <w:p w14:paraId="743922FB">
            <w:pPr>
              <w:spacing w:line="240" w:lineRule="auto"/>
              <w:ind w:firstLine="0" w:firstLineChars="0"/>
              <w:jc w:val="center"/>
              <w:rPr>
                <w:color w:val="auto"/>
                <w:kern w:val="0"/>
                <w:sz w:val="21"/>
                <w:szCs w:val="21"/>
              </w:rPr>
            </w:pPr>
          </w:p>
        </w:tc>
        <w:tc>
          <w:tcPr>
            <w:tcW w:w="1610" w:type="pct"/>
            <w:shd w:val="clear" w:color="auto" w:fill="auto"/>
            <w:vAlign w:val="center"/>
          </w:tcPr>
          <w:p w14:paraId="4EFFDA03">
            <w:pPr>
              <w:widowControl/>
              <w:spacing w:line="240" w:lineRule="auto"/>
              <w:ind w:firstLine="0" w:firstLineChars="0"/>
              <w:jc w:val="center"/>
              <w:textAlignment w:val="center"/>
              <w:rPr>
                <w:bCs/>
                <w:color w:val="auto"/>
                <w:sz w:val="21"/>
                <w:szCs w:val="21"/>
              </w:rPr>
            </w:pPr>
            <w:r>
              <w:rPr>
                <w:color w:val="auto"/>
                <w:kern w:val="0"/>
                <w:sz w:val="21"/>
                <w:szCs w:val="21"/>
                <w:lang w:bidi="ar"/>
              </w:rPr>
              <w:t>油类物质</w:t>
            </w:r>
          </w:p>
        </w:tc>
        <w:tc>
          <w:tcPr>
            <w:tcW w:w="889" w:type="pct"/>
            <w:tcBorders>
              <w:right w:val="nil"/>
            </w:tcBorders>
            <w:shd w:val="clear" w:color="auto" w:fill="auto"/>
            <w:vAlign w:val="center"/>
          </w:tcPr>
          <w:p w14:paraId="485B9568">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1</w:t>
            </w:r>
          </w:p>
        </w:tc>
        <w:tc>
          <w:tcPr>
            <w:tcW w:w="738" w:type="pct"/>
            <w:tcBorders>
              <w:right w:val="nil"/>
            </w:tcBorders>
            <w:shd w:val="clear" w:color="auto" w:fill="auto"/>
            <w:vAlign w:val="center"/>
          </w:tcPr>
          <w:p w14:paraId="7C7F9B55">
            <w:pPr>
              <w:spacing w:line="240" w:lineRule="auto"/>
              <w:ind w:firstLine="0" w:firstLineChars="0"/>
              <w:jc w:val="center"/>
              <w:rPr>
                <w:color w:val="auto"/>
                <w:sz w:val="21"/>
                <w:szCs w:val="21"/>
              </w:rPr>
            </w:pPr>
            <w:r>
              <w:rPr>
                <w:rFonts w:hint="eastAsia"/>
                <w:color w:val="auto"/>
                <w:sz w:val="21"/>
                <w:szCs w:val="21"/>
              </w:rPr>
              <w:t>2500</w:t>
            </w:r>
          </w:p>
        </w:tc>
        <w:tc>
          <w:tcPr>
            <w:tcW w:w="781" w:type="pct"/>
            <w:tcBorders>
              <w:right w:val="nil"/>
            </w:tcBorders>
            <w:shd w:val="clear" w:color="auto" w:fill="auto"/>
            <w:vAlign w:val="center"/>
          </w:tcPr>
          <w:p w14:paraId="467702F1">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0.00004</w:t>
            </w:r>
          </w:p>
        </w:tc>
      </w:tr>
      <w:tr w14:paraId="015FE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6C57F392">
            <w:pPr>
              <w:widowControl/>
              <w:spacing w:line="240" w:lineRule="auto"/>
              <w:ind w:firstLine="0" w:firstLineChars="0"/>
              <w:jc w:val="center"/>
              <w:rPr>
                <w:color w:val="auto"/>
                <w:kern w:val="0"/>
                <w:sz w:val="21"/>
                <w:szCs w:val="21"/>
              </w:rPr>
            </w:pPr>
          </w:p>
        </w:tc>
        <w:tc>
          <w:tcPr>
            <w:tcW w:w="707" w:type="pct"/>
            <w:vMerge w:val="continue"/>
            <w:vAlign w:val="center"/>
          </w:tcPr>
          <w:p w14:paraId="0528112B">
            <w:pPr>
              <w:spacing w:line="240" w:lineRule="auto"/>
              <w:ind w:firstLine="0" w:firstLineChars="0"/>
              <w:jc w:val="center"/>
              <w:rPr>
                <w:color w:val="auto"/>
                <w:kern w:val="0"/>
                <w:sz w:val="21"/>
                <w:szCs w:val="21"/>
              </w:rPr>
            </w:pPr>
          </w:p>
        </w:tc>
        <w:tc>
          <w:tcPr>
            <w:tcW w:w="1610" w:type="pct"/>
            <w:shd w:val="clear" w:color="auto" w:fill="auto"/>
            <w:vAlign w:val="center"/>
          </w:tcPr>
          <w:p w14:paraId="6D274C1A">
            <w:pPr>
              <w:widowControl/>
              <w:spacing w:line="240" w:lineRule="auto"/>
              <w:ind w:firstLine="0" w:firstLineChars="0"/>
              <w:jc w:val="center"/>
              <w:textAlignment w:val="center"/>
              <w:rPr>
                <w:bCs/>
                <w:color w:val="auto"/>
                <w:sz w:val="21"/>
                <w:szCs w:val="21"/>
              </w:rPr>
            </w:pPr>
            <w:r>
              <w:rPr>
                <w:color w:val="auto"/>
                <w:kern w:val="0"/>
                <w:sz w:val="21"/>
                <w:szCs w:val="21"/>
                <w:lang w:bidi="ar"/>
              </w:rPr>
              <w:t>硫酸亚锡</w:t>
            </w:r>
          </w:p>
        </w:tc>
        <w:tc>
          <w:tcPr>
            <w:tcW w:w="889" w:type="pct"/>
            <w:tcBorders>
              <w:right w:val="nil"/>
            </w:tcBorders>
            <w:shd w:val="clear" w:color="auto" w:fill="auto"/>
            <w:vAlign w:val="center"/>
          </w:tcPr>
          <w:p w14:paraId="179F651A">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025</w:t>
            </w:r>
          </w:p>
        </w:tc>
        <w:tc>
          <w:tcPr>
            <w:tcW w:w="738" w:type="pct"/>
            <w:tcBorders>
              <w:right w:val="nil"/>
            </w:tcBorders>
            <w:shd w:val="clear" w:color="auto" w:fill="auto"/>
            <w:vAlign w:val="center"/>
          </w:tcPr>
          <w:p w14:paraId="58F66066">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shd w:val="clear" w:color="auto" w:fill="auto"/>
            <w:vAlign w:val="center"/>
          </w:tcPr>
          <w:p w14:paraId="7EDD0D9B">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0.0005</w:t>
            </w:r>
          </w:p>
        </w:tc>
      </w:tr>
      <w:tr w14:paraId="7B31A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restart"/>
            <w:tcBorders>
              <w:left w:val="nil"/>
            </w:tcBorders>
            <w:vAlign w:val="center"/>
          </w:tcPr>
          <w:p w14:paraId="57AF0A1D">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707" w:type="pct"/>
            <w:vMerge w:val="restart"/>
            <w:vAlign w:val="center"/>
          </w:tcPr>
          <w:p w14:paraId="7123DEF0">
            <w:pPr>
              <w:widowControl/>
              <w:spacing w:line="240" w:lineRule="auto"/>
              <w:ind w:firstLine="0" w:firstLineChars="0"/>
              <w:jc w:val="center"/>
              <w:rPr>
                <w:color w:val="auto"/>
                <w:kern w:val="0"/>
                <w:sz w:val="21"/>
                <w:szCs w:val="21"/>
              </w:rPr>
            </w:pPr>
            <w:r>
              <w:rPr>
                <w:rFonts w:hint="eastAsia"/>
                <w:color w:val="auto"/>
                <w:kern w:val="0"/>
                <w:sz w:val="21"/>
                <w:szCs w:val="21"/>
              </w:rPr>
              <w:t>储罐区</w:t>
            </w:r>
          </w:p>
        </w:tc>
        <w:tc>
          <w:tcPr>
            <w:tcW w:w="1610" w:type="pct"/>
            <w:shd w:val="clear" w:color="auto" w:fill="auto"/>
            <w:vAlign w:val="center"/>
          </w:tcPr>
          <w:p w14:paraId="082C91C8">
            <w:pPr>
              <w:widowControl/>
              <w:spacing w:line="240" w:lineRule="auto"/>
              <w:ind w:firstLine="0" w:firstLineChars="0"/>
              <w:jc w:val="center"/>
              <w:textAlignment w:val="center"/>
              <w:rPr>
                <w:bCs/>
                <w:color w:val="auto"/>
                <w:sz w:val="21"/>
                <w:szCs w:val="21"/>
              </w:rPr>
            </w:pPr>
            <w:r>
              <w:rPr>
                <w:color w:val="auto"/>
                <w:kern w:val="0"/>
                <w:sz w:val="21"/>
                <w:szCs w:val="21"/>
                <w:lang w:bidi="ar"/>
              </w:rPr>
              <w:t>硫酸</w:t>
            </w:r>
          </w:p>
        </w:tc>
        <w:tc>
          <w:tcPr>
            <w:tcW w:w="889" w:type="pct"/>
            <w:tcBorders>
              <w:right w:val="nil"/>
            </w:tcBorders>
            <w:shd w:val="clear" w:color="auto" w:fill="auto"/>
            <w:vAlign w:val="center"/>
          </w:tcPr>
          <w:p w14:paraId="30E14B0C">
            <w:pPr>
              <w:spacing w:line="240" w:lineRule="auto"/>
              <w:ind w:firstLine="0" w:firstLineChars="0"/>
              <w:jc w:val="center"/>
              <w:rPr>
                <w:bCs/>
                <w:color w:val="auto"/>
                <w:sz w:val="21"/>
                <w:szCs w:val="21"/>
              </w:rPr>
            </w:pPr>
            <w:r>
              <w:rPr>
                <w:rFonts w:hint="eastAsia"/>
                <w:bCs/>
                <w:color w:val="auto"/>
                <w:sz w:val="21"/>
                <w:szCs w:val="21"/>
              </w:rPr>
              <w:t>69.92</w:t>
            </w:r>
          </w:p>
        </w:tc>
        <w:tc>
          <w:tcPr>
            <w:tcW w:w="738" w:type="pct"/>
            <w:tcBorders>
              <w:right w:val="nil"/>
            </w:tcBorders>
            <w:shd w:val="clear" w:color="auto" w:fill="auto"/>
            <w:vAlign w:val="center"/>
          </w:tcPr>
          <w:p w14:paraId="4E08D756">
            <w:pPr>
              <w:spacing w:line="240" w:lineRule="auto"/>
              <w:ind w:firstLine="0" w:firstLineChars="0"/>
              <w:jc w:val="center"/>
              <w:rPr>
                <w:bCs/>
                <w:color w:val="auto"/>
                <w:sz w:val="21"/>
                <w:szCs w:val="21"/>
              </w:rPr>
            </w:pPr>
            <w:r>
              <w:rPr>
                <w:rFonts w:hint="eastAsia"/>
                <w:bCs/>
                <w:color w:val="auto"/>
                <w:sz w:val="21"/>
                <w:szCs w:val="21"/>
              </w:rPr>
              <w:t>10</w:t>
            </w:r>
          </w:p>
        </w:tc>
        <w:tc>
          <w:tcPr>
            <w:tcW w:w="781" w:type="pct"/>
            <w:tcBorders>
              <w:right w:val="nil"/>
            </w:tcBorders>
            <w:shd w:val="clear" w:color="auto" w:fill="auto"/>
            <w:vAlign w:val="center"/>
          </w:tcPr>
          <w:p w14:paraId="4439DF20">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6.992</w:t>
            </w:r>
          </w:p>
        </w:tc>
      </w:tr>
      <w:tr w14:paraId="098D0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3A4C9816">
            <w:pPr>
              <w:widowControl/>
              <w:spacing w:line="240" w:lineRule="auto"/>
              <w:ind w:firstLine="0" w:firstLineChars="0"/>
              <w:jc w:val="center"/>
              <w:rPr>
                <w:color w:val="auto"/>
                <w:kern w:val="0"/>
                <w:sz w:val="21"/>
                <w:szCs w:val="21"/>
              </w:rPr>
            </w:pPr>
          </w:p>
        </w:tc>
        <w:tc>
          <w:tcPr>
            <w:tcW w:w="707" w:type="pct"/>
            <w:vMerge w:val="continue"/>
            <w:vAlign w:val="center"/>
          </w:tcPr>
          <w:p w14:paraId="27734F26">
            <w:pPr>
              <w:widowControl/>
              <w:spacing w:line="240" w:lineRule="auto"/>
              <w:ind w:firstLine="0" w:firstLineChars="0"/>
              <w:jc w:val="center"/>
              <w:rPr>
                <w:color w:val="auto"/>
                <w:kern w:val="0"/>
                <w:sz w:val="21"/>
                <w:szCs w:val="21"/>
              </w:rPr>
            </w:pPr>
          </w:p>
        </w:tc>
        <w:tc>
          <w:tcPr>
            <w:tcW w:w="1610" w:type="pct"/>
            <w:shd w:val="clear" w:color="auto" w:fill="auto"/>
            <w:vAlign w:val="center"/>
          </w:tcPr>
          <w:p w14:paraId="0DB01F6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液碱</w:t>
            </w:r>
          </w:p>
        </w:tc>
        <w:tc>
          <w:tcPr>
            <w:tcW w:w="889" w:type="pct"/>
            <w:tcBorders>
              <w:right w:val="nil"/>
            </w:tcBorders>
            <w:shd w:val="clear" w:color="auto" w:fill="auto"/>
            <w:vAlign w:val="center"/>
          </w:tcPr>
          <w:p w14:paraId="38B1678B">
            <w:pPr>
              <w:spacing w:line="240" w:lineRule="auto"/>
              <w:ind w:firstLine="0" w:firstLineChars="0"/>
              <w:jc w:val="center"/>
              <w:rPr>
                <w:bCs/>
                <w:color w:val="auto"/>
                <w:sz w:val="21"/>
                <w:szCs w:val="21"/>
              </w:rPr>
            </w:pPr>
            <w:r>
              <w:rPr>
                <w:rFonts w:hint="eastAsia"/>
                <w:bCs/>
                <w:color w:val="auto"/>
                <w:sz w:val="21"/>
                <w:szCs w:val="21"/>
              </w:rPr>
              <w:t>50.54</w:t>
            </w:r>
          </w:p>
        </w:tc>
        <w:tc>
          <w:tcPr>
            <w:tcW w:w="738" w:type="pct"/>
            <w:tcBorders>
              <w:right w:val="nil"/>
            </w:tcBorders>
            <w:shd w:val="clear" w:color="auto" w:fill="auto"/>
            <w:vAlign w:val="center"/>
          </w:tcPr>
          <w:p w14:paraId="08DE1106">
            <w:pPr>
              <w:spacing w:line="240" w:lineRule="auto"/>
              <w:ind w:firstLine="0" w:firstLineChars="0"/>
              <w:jc w:val="center"/>
              <w:rPr>
                <w:bCs/>
                <w:color w:val="auto"/>
                <w:sz w:val="21"/>
                <w:szCs w:val="21"/>
              </w:rPr>
            </w:pPr>
            <w:r>
              <w:rPr>
                <w:rFonts w:hint="eastAsia"/>
                <w:bCs/>
                <w:color w:val="auto"/>
                <w:sz w:val="21"/>
                <w:szCs w:val="21"/>
              </w:rPr>
              <w:t>50</w:t>
            </w:r>
          </w:p>
        </w:tc>
        <w:tc>
          <w:tcPr>
            <w:tcW w:w="781" w:type="pct"/>
            <w:tcBorders>
              <w:right w:val="nil"/>
            </w:tcBorders>
            <w:shd w:val="clear" w:color="auto" w:fill="auto"/>
            <w:vAlign w:val="center"/>
          </w:tcPr>
          <w:p w14:paraId="4A3FB845">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1.0108</w:t>
            </w:r>
          </w:p>
        </w:tc>
      </w:tr>
      <w:tr w14:paraId="07044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restart"/>
            <w:tcBorders>
              <w:left w:val="nil"/>
            </w:tcBorders>
            <w:vAlign w:val="center"/>
          </w:tcPr>
          <w:p w14:paraId="021A23C7">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707" w:type="pct"/>
            <w:vMerge w:val="restart"/>
            <w:vAlign w:val="center"/>
          </w:tcPr>
          <w:p w14:paraId="3FDB35F3">
            <w:pPr>
              <w:widowControl/>
              <w:spacing w:line="240" w:lineRule="auto"/>
              <w:ind w:firstLine="0" w:firstLineChars="0"/>
              <w:jc w:val="center"/>
              <w:rPr>
                <w:color w:val="auto"/>
                <w:kern w:val="0"/>
                <w:sz w:val="21"/>
                <w:szCs w:val="21"/>
              </w:rPr>
            </w:pPr>
            <w:r>
              <w:rPr>
                <w:rFonts w:hint="eastAsia"/>
                <w:color w:val="auto"/>
                <w:kern w:val="0"/>
                <w:sz w:val="21"/>
                <w:szCs w:val="21"/>
              </w:rPr>
              <w:t>化学品仓库</w:t>
            </w:r>
          </w:p>
        </w:tc>
        <w:tc>
          <w:tcPr>
            <w:tcW w:w="1610" w:type="pct"/>
            <w:shd w:val="clear" w:color="auto" w:fill="auto"/>
            <w:vAlign w:val="center"/>
          </w:tcPr>
          <w:p w14:paraId="57B18F02">
            <w:pPr>
              <w:widowControl/>
              <w:spacing w:line="240" w:lineRule="auto"/>
              <w:ind w:firstLine="0" w:firstLineChars="0"/>
              <w:jc w:val="center"/>
              <w:textAlignment w:val="center"/>
              <w:rPr>
                <w:color w:val="auto"/>
                <w:sz w:val="21"/>
                <w:szCs w:val="21"/>
              </w:rPr>
            </w:pPr>
            <w:r>
              <w:rPr>
                <w:rFonts w:hint="eastAsia"/>
                <w:color w:val="auto"/>
                <w:sz w:val="21"/>
                <w:szCs w:val="21"/>
              </w:rPr>
              <w:t>碱蚀添加剂</w:t>
            </w:r>
          </w:p>
        </w:tc>
        <w:tc>
          <w:tcPr>
            <w:tcW w:w="889" w:type="pct"/>
            <w:tcBorders>
              <w:right w:val="nil"/>
            </w:tcBorders>
            <w:vAlign w:val="center"/>
          </w:tcPr>
          <w:p w14:paraId="51C82780">
            <w:pPr>
              <w:spacing w:line="240" w:lineRule="auto"/>
              <w:ind w:firstLine="0" w:firstLineChars="0"/>
              <w:jc w:val="center"/>
              <w:rPr>
                <w:color w:val="auto"/>
                <w:sz w:val="21"/>
                <w:szCs w:val="21"/>
              </w:rPr>
            </w:pPr>
            <w:r>
              <w:rPr>
                <w:rFonts w:hint="eastAsia"/>
                <w:color w:val="auto"/>
                <w:sz w:val="21"/>
                <w:szCs w:val="21"/>
              </w:rPr>
              <w:t>1.2</w:t>
            </w:r>
          </w:p>
        </w:tc>
        <w:tc>
          <w:tcPr>
            <w:tcW w:w="738" w:type="pct"/>
            <w:tcBorders>
              <w:right w:val="nil"/>
            </w:tcBorders>
            <w:vAlign w:val="center"/>
          </w:tcPr>
          <w:p w14:paraId="06A0494C">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vAlign w:val="center"/>
          </w:tcPr>
          <w:p w14:paraId="4E289C62">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0.024</w:t>
            </w:r>
          </w:p>
        </w:tc>
      </w:tr>
      <w:tr w14:paraId="04EDE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4A76FFB6">
            <w:pPr>
              <w:widowControl/>
              <w:spacing w:line="240" w:lineRule="auto"/>
              <w:ind w:firstLine="0" w:firstLineChars="0"/>
              <w:jc w:val="center"/>
              <w:rPr>
                <w:color w:val="auto"/>
                <w:kern w:val="0"/>
                <w:sz w:val="21"/>
                <w:szCs w:val="21"/>
              </w:rPr>
            </w:pPr>
          </w:p>
        </w:tc>
        <w:tc>
          <w:tcPr>
            <w:tcW w:w="707" w:type="pct"/>
            <w:vMerge w:val="continue"/>
            <w:vAlign w:val="center"/>
          </w:tcPr>
          <w:p w14:paraId="523CB8D7">
            <w:pPr>
              <w:widowControl/>
              <w:spacing w:line="240" w:lineRule="auto"/>
              <w:ind w:firstLine="0" w:firstLineChars="0"/>
              <w:jc w:val="center"/>
              <w:rPr>
                <w:color w:val="auto"/>
                <w:kern w:val="0"/>
                <w:sz w:val="21"/>
                <w:szCs w:val="21"/>
              </w:rPr>
            </w:pPr>
          </w:p>
        </w:tc>
        <w:tc>
          <w:tcPr>
            <w:tcW w:w="1610" w:type="pct"/>
            <w:shd w:val="clear" w:color="auto" w:fill="auto"/>
            <w:vAlign w:val="center"/>
          </w:tcPr>
          <w:p w14:paraId="7E8BF422">
            <w:pPr>
              <w:widowControl/>
              <w:spacing w:line="240" w:lineRule="auto"/>
              <w:ind w:firstLine="0" w:firstLineChars="0"/>
              <w:jc w:val="center"/>
              <w:textAlignment w:val="center"/>
              <w:rPr>
                <w:color w:val="auto"/>
                <w:sz w:val="21"/>
                <w:szCs w:val="21"/>
              </w:rPr>
            </w:pPr>
            <w:r>
              <w:rPr>
                <w:rFonts w:hint="eastAsia"/>
                <w:color w:val="auto"/>
                <w:sz w:val="21"/>
                <w:szCs w:val="21"/>
              </w:rPr>
              <w:t>着色稳定剂</w:t>
            </w:r>
          </w:p>
        </w:tc>
        <w:tc>
          <w:tcPr>
            <w:tcW w:w="889" w:type="pct"/>
            <w:tcBorders>
              <w:right w:val="nil"/>
            </w:tcBorders>
            <w:vAlign w:val="center"/>
          </w:tcPr>
          <w:p w14:paraId="5A21A8FF">
            <w:pPr>
              <w:spacing w:line="240" w:lineRule="auto"/>
              <w:ind w:firstLine="0" w:firstLineChars="0"/>
              <w:jc w:val="center"/>
              <w:rPr>
                <w:color w:val="auto"/>
                <w:sz w:val="21"/>
                <w:szCs w:val="21"/>
              </w:rPr>
            </w:pPr>
            <w:r>
              <w:rPr>
                <w:rFonts w:hint="eastAsia"/>
                <w:color w:val="auto"/>
                <w:sz w:val="21"/>
                <w:szCs w:val="21"/>
              </w:rPr>
              <w:t>3</w:t>
            </w:r>
          </w:p>
        </w:tc>
        <w:tc>
          <w:tcPr>
            <w:tcW w:w="738" w:type="pct"/>
            <w:tcBorders>
              <w:right w:val="nil"/>
            </w:tcBorders>
            <w:vAlign w:val="center"/>
          </w:tcPr>
          <w:p w14:paraId="585D2729">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vAlign w:val="center"/>
          </w:tcPr>
          <w:p w14:paraId="08B438A6">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0.06</w:t>
            </w:r>
          </w:p>
        </w:tc>
      </w:tr>
      <w:tr w14:paraId="21224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36196DBA">
            <w:pPr>
              <w:widowControl/>
              <w:spacing w:line="240" w:lineRule="auto"/>
              <w:ind w:firstLine="0" w:firstLineChars="0"/>
              <w:jc w:val="center"/>
              <w:rPr>
                <w:color w:val="auto"/>
                <w:kern w:val="0"/>
                <w:sz w:val="21"/>
                <w:szCs w:val="21"/>
              </w:rPr>
            </w:pPr>
          </w:p>
        </w:tc>
        <w:tc>
          <w:tcPr>
            <w:tcW w:w="707" w:type="pct"/>
            <w:vMerge w:val="continue"/>
            <w:vAlign w:val="center"/>
          </w:tcPr>
          <w:p w14:paraId="089344A0">
            <w:pPr>
              <w:widowControl/>
              <w:spacing w:line="240" w:lineRule="auto"/>
              <w:ind w:firstLine="0" w:firstLineChars="0"/>
              <w:jc w:val="center"/>
              <w:rPr>
                <w:color w:val="auto"/>
                <w:kern w:val="0"/>
                <w:sz w:val="21"/>
                <w:szCs w:val="21"/>
              </w:rPr>
            </w:pPr>
          </w:p>
        </w:tc>
        <w:tc>
          <w:tcPr>
            <w:tcW w:w="1610" w:type="pct"/>
            <w:shd w:val="clear" w:color="auto" w:fill="auto"/>
            <w:vAlign w:val="center"/>
          </w:tcPr>
          <w:p w14:paraId="14BC6F9E">
            <w:pPr>
              <w:widowControl/>
              <w:spacing w:line="240" w:lineRule="auto"/>
              <w:ind w:firstLine="0" w:firstLineChars="0"/>
              <w:jc w:val="center"/>
              <w:textAlignment w:val="center"/>
              <w:rPr>
                <w:bCs/>
                <w:color w:val="auto"/>
                <w:sz w:val="21"/>
                <w:szCs w:val="21"/>
              </w:rPr>
            </w:pPr>
            <w:r>
              <w:rPr>
                <w:color w:val="auto"/>
                <w:kern w:val="0"/>
                <w:sz w:val="21"/>
                <w:szCs w:val="21"/>
                <w:lang w:bidi="ar"/>
              </w:rPr>
              <w:t>油类物质</w:t>
            </w:r>
          </w:p>
        </w:tc>
        <w:tc>
          <w:tcPr>
            <w:tcW w:w="889" w:type="pct"/>
            <w:tcBorders>
              <w:right w:val="nil"/>
            </w:tcBorders>
            <w:vAlign w:val="center"/>
          </w:tcPr>
          <w:p w14:paraId="1C12AA70">
            <w:pPr>
              <w:spacing w:line="240" w:lineRule="auto"/>
              <w:ind w:firstLine="0" w:firstLineChars="0"/>
              <w:jc w:val="center"/>
              <w:rPr>
                <w:color w:val="auto"/>
                <w:sz w:val="21"/>
                <w:szCs w:val="21"/>
              </w:rPr>
            </w:pPr>
            <w:r>
              <w:rPr>
                <w:rFonts w:hint="eastAsia"/>
                <w:color w:val="auto"/>
                <w:sz w:val="21"/>
                <w:szCs w:val="21"/>
              </w:rPr>
              <w:t>0.2</w:t>
            </w:r>
          </w:p>
        </w:tc>
        <w:tc>
          <w:tcPr>
            <w:tcW w:w="738" w:type="pct"/>
            <w:tcBorders>
              <w:right w:val="nil"/>
            </w:tcBorders>
            <w:vAlign w:val="center"/>
          </w:tcPr>
          <w:p w14:paraId="13213A58">
            <w:pPr>
              <w:spacing w:line="240" w:lineRule="auto"/>
              <w:ind w:firstLine="0" w:firstLineChars="0"/>
              <w:jc w:val="center"/>
              <w:rPr>
                <w:color w:val="auto"/>
                <w:sz w:val="21"/>
                <w:szCs w:val="21"/>
              </w:rPr>
            </w:pPr>
            <w:r>
              <w:rPr>
                <w:rFonts w:hint="eastAsia"/>
                <w:color w:val="auto"/>
                <w:sz w:val="21"/>
                <w:szCs w:val="21"/>
              </w:rPr>
              <w:t>2500</w:t>
            </w:r>
          </w:p>
        </w:tc>
        <w:tc>
          <w:tcPr>
            <w:tcW w:w="781" w:type="pct"/>
            <w:tcBorders>
              <w:right w:val="nil"/>
            </w:tcBorders>
            <w:vAlign w:val="center"/>
          </w:tcPr>
          <w:p w14:paraId="7CC80986">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0.00008</w:t>
            </w:r>
          </w:p>
        </w:tc>
      </w:tr>
      <w:tr w14:paraId="38F06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3ACE483B">
            <w:pPr>
              <w:widowControl/>
              <w:spacing w:line="240" w:lineRule="auto"/>
              <w:ind w:firstLine="0" w:firstLineChars="0"/>
              <w:jc w:val="center"/>
              <w:rPr>
                <w:color w:val="auto"/>
                <w:kern w:val="0"/>
                <w:sz w:val="21"/>
                <w:szCs w:val="21"/>
              </w:rPr>
            </w:pPr>
          </w:p>
        </w:tc>
        <w:tc>
          <w:tcPr>
            <w:tcW w:w="707" w:type="pct"/>
            <w:vMerge w:val="continue"/>
            <w:vAlign w:val="center"/>
          </w:tcPr>
          <w:p w14:paraId="16B5CCEA">
            <w:pPr>
              <w:widowControl/>
              <w:spacing w:line="240" w:lineRule="auto"/>
              <w:ind w:firstLine="0" w:firstLineChars="0"/>
              <w:jc w:val="center"/>
              <w:rPr>
                <w:color w:val="auto"/>
                <w:kern w:val="0"/>
                <w:sz w:val="21"/>
                <w:szCs w:val="21"/>
              </w:rPr>
            </w:pPr>
          </w:p>
        </w:tc>
        <w:tc>
          <w:tcPr>
            <w:tcW w:w="1610" w:type="pct"/>
            <w:shd w:val="clear" w:color="auto" w:fill="auto"/>
            <w:vAlign w:val="center"/>
          </w:tcPr>
          <w:p w14:paraId="5782D970">
            <w:pPr>
              <w:widowControl/>
              <w:spacing w:line="240" w:lineRule="auto"/>
              <w:ind w:firstLine="0" w:firstLineChars="0"/>
              <w:jc w:val="center"/>
              <w:textAlignment w:val="center"/>
              <w:rPr>
                <w:bCs/>
                <w:color w:val="auto"/>
                <w:sz w:val="21"/>
                <w:szCs w:val="21"/>
              </w:rPr>
            </w:pPr>
            <w:r>
              <w:rPr>
                <w:color w:val="auto"/>
                <w:kern w:val="0"/>
                <w:sz w:val="21"/>
                <w:szCs w:val="21"/>
                <w:lang w:bidi="ar"/>
              </w:rPr>
              <w:t>硫酸亚锡</w:t>
            </w:r>
          </w:p>
        </w:tc>
        <w:tc>
          <w:tcPr>
            <w:tcW w:w="889" w:type="pct"/>
            <w:tcBorders>
              <w:right w:val="nil"/>
            </w:tcBorders>
            <w:vAlign w:val="center"/>
          </w:tcPr>
          <w:p w14:paraId="51DC92E0">
            <w:pPr>
              <w:spacing w:line="240" w:lineRule="auto"/>
              <w:ind w:firstLine="0" w:firstLineChars="0"/>
              <w:jc w:val="center"/>
              <w:rPr>
                <w:color w:val="auto"/>
                <w:sz w:val="21"/>
                <w:szCs w:val="21"/>
              </w:rPr>
            </w:pPr>
            <w:r>
              <w:rPr>
                <w:rFonts w:hint="eastAsia"/>
                <w:color w:val="auto"/>
                <w:sz w:val="21"/>
                <w:szCs w:val="21"/>
              </w:rPr>
              <w:t>0.05</w:t>
            </w:r>
          </w:p>
        </w:tc>
        <w:tc>
          <w:tcPr>
            <w:tcW w:w="738" w:type="pct"/>
            <w:tcBorders>
              <w:right w:val="nil"/>
            </w:tcBorders>
            <w:vAlign w:val="center"/>
          </w:tcPr>
          <w:p w14:paraId="15FB7884">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vAlign w:val="center"/>
          </w:tcPr>
          <w:p w14:paraId="6B4B0AF6">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0.001</w:t>
            </w:r>
          </w:p>
        </w:tc>
      </w:tr>
      <w:tr w14:paraId="0DF81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791C46AB">
            <w:pPr>
              <w:widowControl/>
              <w:spacing w:line="240" w:lineRule="auto"/>
              <w:ind w:firstLine="0" w:firstLineChars="0"/>
              <w:jc w:val="center"/>
              <w:rPr>
                <w:color w:val="auto"/>
                <w:kern w:val="0"/>
                <w:sz w:val="21"/>
                <w:szCs w:val="21"/>
              </w:rPr>
            </w:pPr>
          </w:p>
        </w:tc>
        <w:tc>
          <w:tcPr>
            <w:tcW w:w="707" w:type="pct"/>
            <w:vMerge w:val="continue"/>
            <w:vAlign w:val="center"/>
          </w:tcPr>
          <w:p w14:paraId="4CD005B5">
            <w:pPr>
              <w:widowControl/>
              <w:spacing w:line="240" w:lineRule="auto"/>
              <w:ind w:firstLine="0" w:firstLineChars="0"/>
              <w:jc w:val="center"/>
              <w:rPr>
                <w:color w:val="auto"/>
                <w:kern w:val="0"/>
                <w:sz w:val="21"/>
                <w:szCs w:val="21"/>
              </w:rPr>
            </w:pPr>
          </w:p>
        </w:tc>
        <w:tc>
          <w:tcPr>
            <w:tcW w:w="1610" w:type="pct"/>
            <w:shd w:val="clear" w:color="auto" w:fill="auto"/>
            <w:vAlign w:val="center"/>
          </w:tcPr>
          <w:p w14:paraId="6377C6B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封孔添加剂</w:t>
            </w:r>
          </w:p>
        </w:tc>
        <w:tc>
          <w:tcPr>
            <w:tcW w:w="889" w:type="pct"/>
            <w:tcBorders>
              <w:right w:val="nil"/>
            </w:tcBorders>
            <w:vAlign w:val="center"/>
          </w:tcPr>
          <w:p w14:paraId="050E819F">
            <w:pPr>
              <w:spacing w:line="240" w:lineRule="auto"/>
              <w:ind w:firstLine="0" w:firstLineChars="0"/>
              <w:jc w:val="center"/>
              <w:rPr>
                <w:color w:val="auto"/>
                <w:sz w:val="21"/>
                <w:szCs w:val="21"/>
              </w:rPr>
            </w:pPr>
            <w:r>
              <w:rPr>
                <w:rFonts w:hint="eastAsia"/>
                <w:color w:val="auto"/>
                <w:sz w:val="21"/>
                <w:szCs w:val="21"/>
              </w:rPr>
              <w:t>3</w:t>
            </w:r>
          </w:p>
        </w:tc>
        <w:tc>
          <w:tcPr>
            <w:tcW w:w="738" w:type="pct"/>
            <w:tcBorders>
              <w:right w:val="nil"/>
            </w:tcBorders>
            <w:vAlign w:val="center"/>
          </w:tcPr>
          <w:p w14:paraId="188F53E8">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vAlign w:val="center"/>
          </w:tcPr>
          <w:p w14:paraId="4D92A606">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0.06</w:t>
            </w:r>
          </w:p>
        </w:tc>
      </w:tr>
      <w:tr w14:paraId="4C606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02948C98">
            <w:pPr>
              <w:widowControl/>
              <w:spacing w:line="240" w:lineRule="auto"/>
              <w:ind w:firstLine="0" w:firstLineChars="0"/>
              <w:jc w:val="center"/>
              <w:rPr>
                <w:color w:val="auto"/>
                <w:kern w:val="0"/>
                <w:sz w:val="21"/>
                <w:szCs w:val="21"/>
              </w:rPr>
            </w:pPr>
          </w:p>
        </w:tc>
        <w:tc>
          <w:tcPr>
            <w:tcW w:w="707" w:type="pct"/>
            <w:vMerge w:val="continue"/>
            <w:vAlign w:val="center"/>
          </w:tcPr>
          <w:p w14:paraId="17E2490F">
            <w:pPr>
              <w:widowControl/>
              <w:spacing w:line="240" w:lineRule="auto"/>
              <w:ind w:firstLine="0" w:firstLineChars="0"/>
              <w:jc w:val="center"/>
              <w:rPr>
                <w:color w:val="auto"/>
                <w:kern w:val="0"/>
                <w:sz w:val="21"/>
                <w:szCs w:val="21"/>
              </w:rPr>
            </w:pPr>
          </w:p>
        </w:tc>
        <w:tc>
          <w:tcPr>
            <w:tcW w:w="1610" w:type="pct"/>
            <w:shd w:val="clear" w:color="auto" w:fill="auto"/>
            <w:vAlign w:val="center"/>
          </w:tcPr>
          <w:p w14:paraId="5F1993E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研磨膏</w:t>
            </w:r>
          </w:p>
        </w:tc>
        <w:tc>
          <w:tcPr>
            <w:tcW w:w="889" w:type="pct"/>
            <w:tcBorders>
              <w:right w:val="nil"/>
            </w:tcBorders>
            <w:vAlign w:val="center"/>
          </w:tcPr>
          <w:p w14:paraId="734AD788">
            <w:pPr>
              <w:spacing w:line="240" w:lineRule="auto"/>
              <w:ind w:firstLine="0" w:firstLineChars="0"/>
              <w:jc w:val="center"/>
              <w:rPr>
                <w:color w:val="auto"/>
                <w:sz w:val="21"/>
                <w:szCs w:val="21"/>
              </w:rPr>
            </w:pPr>
            <w:r>
              <w:rPr>
                <w:rFonts w:hint="eastAsia"/>
                <w:color w:val="auto"/>
                <w:sz w:val="21"/>
                <w:szCs w:val="21"/>
              </w:rPr>
              <w:t>0.01</w:t>
            </w:r>
          </w:p>
        </w:tc>
        <w:tc>
          <w:tcPr>
            <w:tcW w:w="738" w:type="pct"/>
            <w:tcBorders>
              <w:right w:val="nil"/>
            </w:tcBorders>
            <w:vAlign w:val="center"/>
          </w:tcPr>
          <w:p w14:paraId="193B7079">
            <w:pPr>
              <w:spacing w:line="240" w:lineRule="auto"/>
              <w:ind w:firstLine="0" w:firstLineChars="0"/>
              <w:jc w:val="center"/>
              <w:rPr>
                <w:color w:val="auto"/>
                <w:sz w:val="21"/>
                <w:szCs w:val="21"/>
              </w:rPr>
            </w:pPr>
            <w:r>
              <w:rPr>
                <w:rFonts w:hint="eastAsia"/>
                <w:color w:val="auto"/>
                <w:sz w:val="21"/>
                <w:szCs w:val="21"/>
              </w:rPr>
              <w:t>100</w:t>
            </w:r>
          </w:p>
        </w:tc>
        <w:tc>
          <w:tcPr>
            <w:tcW w:w="781" w:type="pct"/>
            <w:tcBorders>
              <w:right w:val="nil"/>
            </w:tcBorders>
            <w:vAlign w:val="center"/>
          </w:tcPr>
          <w:p w14:paraId="1856935F">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0.0001</w:t>
            </w:r>
          </w:p>
        </w:tc>
      </w:tr>
      <w:tr w14:paraId="36B30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2A4033B1">
            <w:pPr>
              <w:widowControl/>
              <w:spacing w:line="240" w:lineRule="auto"/>
              <w:ind w:firstLine="0" w:firstLineChars="0"/>
              <w:jc w:val="center"/>
              <w:rPr>
                <w:color w:val="auto"/>
                <w:kern w:val="0"/>
                <w:sz w:val="21"/>
                <w:szCs w:val="21"/>
              </w:rPr>
            </w:pPr>
          </w:p>
        </w:tc>
        <w:tc>
          <w:tcPr>
            <w:tcW w:w="707" w:type="pct"/>
            <w:vMerge w:val="continue"/>
            <w:vAlign w:val="center"/>
          </w:tcPr>
          <w:p w14:paraId="7C0BD47B">
            <w:pPr>
              <w:widowControl/>
              <w:spacing w:line="240" w:lineRule="auto"/>
              <w:ind w:firstLine="0" w:firstLineChars="0"/>
              <w:jc w:val="center"/>
              <w:rPr>
                <w:color w:val="auto"/>
                <w:kern w:val="0"/>
                <w:sz w:val="21"/>
                <w:szCs w:val="21"/>
              </w:rPr>
            </w:pPr>
          </w:p>
        </w:tc>
        <w:tc>
          <w:tcPr>
            <w:tcW w:w="1610" w:type="pct"/>
            <w:shd w:val="clear" w:color="auto" w:fill="auto"/>
            <w:vAlign w:val="center"/>
          </w:tcPr>
          <w:p w14:paraId="6CE361F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盐酸</w:t>
            </w:r>
          </w:p>
        </w:tc>
        <w:tc>
          <w:tcPr>
            <w:tcW w:w="889" w:type="pct"/>
            <w:tcBorders>
              <w:right w:val="nil"/>
            </w:tcBorders>
            <w:vAlign w:val="center"/>
          </w:tcPr>
          <w:p w14:paraId="6A319D70">
            <w:pPr>
              <w:spacing w:line="240" w:lineRule="auto"/>
              <w:ind w:firstLine="0" w:firstLineChars="0"/>
              <w:jc w:val="center"/>
              <w:rPr>
                <w:color w:val="auto"/>
                <w:sz w:val="21"/>
                <w:szCs w:val="21"/>
              </w:rPr>
            </w:pPr>
            <w:r>
              <w:rPr>
                <w:rFonts w:hint="eastAsia"/>
                <w:color w:val="auto"/>
                <w:sz w:val="21"/>
                <w:szCs w:val="21"/>
              </w:rPr>
              <w:t>0.86</w:t>
            </w:r>
          </w:p>
        </w:tc>
        <w:tc>
          <w:tcPr>
            <w:tcW w:w="738" w:type="pct"/>
            <w:tcBorders>
              <w:right w:val="nil"/>
            </w:tcBorders>
            <w:vAlign w:val="center"/>
          </w:tcPr>
          <w:p w14:paraId="0C71BCC3">
            <w:pPr>
              <w:spacing w:line="240" w:lineRule="auto"/>
              <w:ind w:firstLine="0" w:firstLineChars="0"/>
              <w:jc w:val="center"/>
              <w:rPr>
                <w:color w:val="auto"/>
                <w:sz w:val="21"/>
                <w:szCs w:val="21"/>
              </w:rPr>
            </w:pPr>
            <w:r>
              <w:rPr>
                <w:rFonts w:hint="eastAsia"/>
                <w:color w:val="auto"/>
                <w:sz w:val="21"/>
                <w:szCs w:val="21"/>
              </w:rPr>
              <w:t>7.5</w:t>
            </w:r>
          </w:p>
        </w:tc>
        <w:tc>
          <w:tcPr>
            <w:tcW w:w="781" w:type="pct"/>
            <w:tcBorders>
              <w:right w:val="nil"/>
            </w:tcBorders>
            <w:vAlign w:val="center"/>
          </w:tcPr>
          <w:p w14:paraId="02634DF9">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0.115</w:t>
            </w:r>
          </w:p>
        </w:tc>
      </w:tr>
      <w:tr w14:paraId="5CA02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0D3C1BE1">
            <w:pPr>
              <w:widowControl/>
              <w:spacing w:line="240" w:lineRule="auto"/>
              <w:ind w:firstLine="0" w:firstLineChars="0"/>
              <w:jc w:val="center"/>
              <w:rPr>
                <w:color w:val="auto"/>
                <w:kern w:val="0"/>
                <w:sz w:val="21"/>
                <w:szCs w:val="21"/>
              </w:rPr>
            </w:pPr>
          </w:p>
        </w:tc>
        <w:tc>
          <w:tcPr>
            <w:tcW w:w="707" w:type="pct"/>
            <w:vMerge w:val="continue"/>
            <w:vAlign w:val="center"/>
          </w:tcPr>
          <w:p w14:paraId="56063EC9">
            <w:pPr>
              <w:widowControl/>
              <w:spacing w:line="240" w:lineRule="auto"/>
              <w:ind w:firstLine="0" w:firstLineChars="0"/>
              <w:jc w:val="center"/>
              <w:rPr>
                <w:color w:val="auto"/>
                <w:kern w:val="0"/>
                <w:sz w:val="21"/>
                <w:szCs w:val="21"/>
              </w:rPr>
            </w:pPr>
          </w:p>
        </w:tc>
        <w:tc>
          <w:tcPr>
            <w:tcW w:w="1610" w:type="pct"/>
            <w:shd w:val="clear" w:color="auto" w:fill="auto"/>
            <w:vAlign w:val="center"/>
          </w:tcPr>
          <w:p w14:paraId="48A379C3">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PAC</w:t>
            </w:r>
          </w:p>
        </w:tc>
        <w:tc>
          <w:tcPr>
            <w:tcW w:w="889" w:type="pct"/>
            <w:tcBorders>
              <w:right w:val="nil"/>
            </w:tcBorders>
            <w:vAlign w:val="center"/>
          </w:tcPr>
          <w:p w14:paraId="42831863">
            <w:pPr>
              <w:spacing w:line="240" w:lineRule="auto"/>
              <w:ind w:firstLine="0" w:firstLineChars="0"/>
              <w:jc w:val="center"/>
              <w:rPr>
                <w:color w:val="auto"/>
                <w:sz w:val="21"/>
                <w:szCs w:val="21"/>
              </w:rPr>
            </w:pPr>
            <w:r>
              <w:rPr>
                <w:rFonts w:hint="eastAsia"/>
                <w:color w:val="auto"/>
                <w:sz w:val="21"/>
                <w:szCs w:val="21"/>
              </w:rPr>
              <w:t>0.05</w:t>
            </w:r>
          </w:p>
        </w:tc>
        <w:tc>
          <w:tcPr>
            <w:tcW w:w="738" w:type="pct"/>
            <w:tcBorders>
              <w:right w:val="nil"/>
            </w:tcBorders>
            <w:vAlign w:val="center"/>
          </w:tcPr>
          <w:p w14:paraId="3A4B730B">
            <w:pPr>
              <w:spacing w:line="240" w:lineRule="auto"/>
              <w:ind w:firstLine="0" w:firstLineChars="0"/>
              <w:jc w:val="center"/>
              <w:rPr>
                <w:color w:val="auto"/>
                <w:sz w:val="21"/>
                <w:szCs w:val="21"/>
              </w:rPr>
            </w:pPr>
            <w:r>
              <w:rPr>
                <w:rFonts w:hint="eastAsia"/>
                <w:color w:val="auto"/>
                <w:sz w:val="21"/>
                <w:szCs w:val="21"/>
              </w:rPr>
              <w:t>100</w:t>
            </w:r>
          </w:p>
        </w:tc>
        <w:tc>
          <w:tcPr>
            <w:tcW w:w="781" w:type="pct"/>
            <w:tcBorders>
              <w:right w:val="nil"/>
            </w:tcBorders>
            <w:vAlign w:val="center"/>
          </w:tcPr>
          <w:p w14:paraId="7B89481B">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0.0005</w:t>
            </w:r>
          </w:p>
        </w:tc>
      </w:tr>
      <w:tr w14:paraId="16CAE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0840311E">
            <w:pPr>
              <w:widowControl/>
              <w:spacing w:line="240" w:lineRule="auto"/>
              <w:ind w:firstLine="0" w:firstLineChars="0"/>
              <w:jc w:val="center"/>
              <w:rPr>
                <w:color w:val="auto"/>
                <w:kern w:val="0"/>
                <w:sz w:val="21"/>
                <w:szCs w:val="21"/>
              </w:rPr>
            </w:pPr>
          </w:p>
        </w:tc>
        <w:tc>
          <w:tcPr>
            <w:tcW w:w="707" w:type="pct"/>
            <w:vMerge w:val="continue"/>
            <w:vAlign w:val="center"/>
          </w:tcPr>
          <w:p w14:paraId="21A9011A">
            <w:pPr>
              <w:widowControl/>
              <w:spacing w:line="240" w:lineRule="auto"/>
              <w:ind w:firstLine="0" w:firstLineChars="0"/>
              <w:jc w:val="center"/>
              <w:rPr>
                <w:color w:val="auto"/>
                <w:kern w:val="0"/>
                <w:sz w:val="21"/>
                <w:szCs w:val="21"/>
              </w:rPr>
            </w:pPr>
          </w:p>
        </w:tc>
        <w:tc>
          <w:tcPr>
            <w:tcW w:w="1610" w:type="pct"/>
            <w:shd w:val="clear" w:color="auto" w:fill="auto"/>
            <w:vAlign w:val="center"/>
          </w:tcPr>
          <w:p w14:paraId="6B9BF492">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PAM</w:t>
            </w:r>
          </w:p>
        </w:tc>
        <w:tc>
          <w:tcPr>
            <w:tcW w:w="889" w:type="pct"/>
            <w:tcBorders>
              <w:right w:val="nil"/>
            </w:tcBorders>
            <w:vAlign w:val="center"/>
          </w:tcPr>
          <w:p w14:paraId="590272BC">
            <w:pPr>
              <w:spacing w:line="240" w:lineRule="auto"/>
              <w:ind w:firstLine="0" w:firstLineChars="0"/>
              <w:jc w:val="center"/>
              <w:rPr>
                <w:color w:val="auto"/>
                <w:sz w:val="21"/>
                <w:szCs w:val="21"/>
              </w:rPr>
            </w:pPr>
            <w:r>
              <w:rPr>
                <w:rFonts w:hint="eastAsia"/>
                <w:color w:val="auto"/>
                <w:sz w:val="21"/>
                <w:szCs w:val="21"/>
              </w:rPr>
              <w:t>0.025</w:t>
            </w:r>
          </w:p>
        </w:tc>
        <w:tc>
          <w:tcPr>
            <w:tcW w:w="738" w:type="pct"/>
            <w:tcBorders>
              <w:right w:val="nil"/>
            </w:tcBorders>
            <w:vAlign w:val="center"/>
          </w:tcPr>
          <w:p w14:paraId="4DF86D23">
            <w:pPr>
              <w:spacing w:line="240" w:lineRule="auto"/>
              <w:ind w:firstLine="0" w:firstLineChars="0"/>
              <w:jc w:val="center"/>
              <w:rPr>
                <w:color w:val="auto"/>
                <w:sz w:val="21"/>
                <w:szCs w:val="21"/>
              </w:rPr>
            </w:pPr>
            <w:r>
              <w:rPr>
                <w:rFonts w:hint="eastAsia"/>
                <w:color w:val="auto"/>
                <w:sz w:val="21"/>
                <w:szCs w:val="21"/>
              </w:rPr>
              <w:t>100</w:t>
            </w:r>
          </w:p>
        </w:tc>
        <w:tc>
          <w:tcPr>
            <w:tcW w:w="781" w:type="pct"/>
            <w:tcBorders>
              <w:right w:val="nil"/>
            </w:tcBorders>
            <w:vAlign w:val="center"/>
          </w:tcPr>
          <w:p w14:paraId="4E7FC58F">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0.00025</w:t>
            </w:r>
          </w:p>
        </w:tc>
      </w:tr>
      <w:tr w14:paraId="50D03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73" w:type="pct"/>
            <w:vMerge w:val="continue"/>
            <w:tcBorders>
              <w:left w:val="nil"/>
            </w:tcBorders>
            <w:vAlign w:val="center"/>
          </w:tcPr>
          <w:p w14:paraId="008F3C2D">
            <w:pPr>
              <w:widowControl/>
              <w:spacing w:line="240" w:lineRule="auto"/>
              <w:ind w:firstLine="0" w:firstLineChars="0"/>
              <w:jc w:val="center"/>
              <w:rPr>
                <w:color w:val="auto"/>
                <w:kern w:val="0"/>
                <w:sz w:val="21"/>
                <w:szCs w:val="21"/>
              </w:rPr>
            </w:pPr>
          </w:p>
        </w:tc>
        <w:tc>
          <w:tcPr>
            <w:tcW w:w="707" w:type="pct"/>
            <w:vMerge w:val="continue"/>
            <w:vAlign w:val="center"/>
          </w:tcPr>
          <w:p w14:paraId="12044984">
            <w:pPr>
              <w:widowControl/>
              <w:spacing w:line="240" w:lineRule="auto"/>
              <w:ind w:firstLine="0" w:firstLineChars="0"/>
              <w:jc w:val="center"/>
              <w:rPr>
                <w:color w:val="auto"/>
                <w:kern w:val="0"/>
                <w:sz w:val="21"/>
                <w:szCs w:val="21"/>
              </w:rPr>
            </w:pPr>
          </w:p>
        </w:tc>
        <w:tc>
          <w:tcPr>
            <w:tcW w:w="1610" w:type="pct"/>
            <w:shd w:val="clear" w:color="auto" w:fill="auto"/>
            <w:vAlign w:val="center"/>
          </w:tcPr>
          <w:p w14:paraId="49850526">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冰醋酸</w:t>
            </w:r>
          </w:p>
        </w:tc>
        <w:tc>
          <w:tcPr>
            <w:tcW w:w="889" w:type="pct"/>
            <w:tcBorders>
              <w:right w:val="nil"/>
            </w:tcBorders>
            <w:vAlign w:val="center"/>
          </w:tcPr>
          <w:p w14:paraId="0F2370FD">
            <w:pPr>
              <w:spacing w:line="240" w:lineRule="auto"/>
              <w:ind w:firstLine="0" w:firstLineChars="0"/>
              <w:jc w:val="center"/>
              <w:rPr>
                <w:color w:val="auto"/>
                <w:sz w:val="21"/>
                <w:szCs w:val="21"/>
              </w:rPr>
            </w:pPr>
            <w:r>
              <w:rPr>
                <w:rFonts w:hint="eastAsia"/>
                <w:color w:val="auto"/>
                <w:sz w:val="21"/>
                <w:szCs w:val="21"/>
              </w:rPr>
              <w:t>0.000525</w:t>
            </w:r>
          </w:p>
        </w:tc>
        <w:tc>
          <w:tcPr>
            <w:tcW w:w="738" w:type="pct"/>
            <w:tcBorders>
              <w:right w:val="nil"/>
            </w:tcBorders>
            <w:vAlign w:val="center"/>
          </w:tcPr>
          <w:p w14:paraId="5DB2648A">
            <w:pPr>
              <w:spacing w:line="240" w:lineRule="auto"/>
              <w:ind w:firstLine="0" w:firstLineChars="0"/>
              <w:jc w:val="center"/>
              <w:rPr>
                <w:color w:val="auto"/>
                <w:sz w:val="21"/>
                <w:szCs w:val="21"/>
              </w:rPr>
            </w:pPr>
            <w:r>
              <w:rPr>
                <w:rFonts w:hint="eastAsia"/>
                <w:color w:val="auto"/>
                <w:sz w:val="21"/>
                <w:szCs w:val="21"/>
              </w:rPr>
              <w:t>10</w:t>
            </w:r>
          </w:p>
        </w:tc>
        <w:tc>
          <w:tcPr>
            <w:tcW w:w="781" w:type="pct"/>
            <w:tcBorders>
              <w:right w:val="nil"/>
            </w:tcBorders>
            <w:vAlign w:val="center"/>
          </w:tcPr>
          <w:p w14:paraId="1FC7D8AD">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bidi="ar"/>
              </w:rPr>
              <w:t>0.0000525</w:t>
            </w:r>
          </w:p>
        </w:tc>
      </w:tr>
      <w:tr w14:paraId="3B60B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73" w:type="pct"/>
            <w:vMerge w:val="continue"/>
            <w:tcBorders>
              <w:left w:val="nil"/>
            </w:tcBorders>
            <w:vAlign w:val="center"/>
          </w:tcPr>
          <w:p w14:paraId="5ED3E530">
            <w:pPr>
              <w:widowControl/>
              <w:spacing w:line="240" w:lineRule="auto"/>
              <w:ind w:firstLine="0" w:firstLineChars="0"/>
              <w:jc w:val="center"/>
              <w:rPr>
                <w:color w:val="auto"/>
                <w:kern w:val="0"/>
                <w:sz w:val="21"/>
                <w:szCs w:val="21"/>
              </w:rPr>
            </w:pPr>
          </w:p>
        </w:tc>
        <w:tc>
          <w:tcPr>
            <w:tcW w:w="707" w:type="pct"/>
            <w:vMerge w:val="continue"/>
            <w:vAlign w:val="center"/>
          </w:tcPr>
          <w:p w14:paraId="020C468C">
            <w:pPr>
              <w:widowControl/>
              <w:spacing w:line="240" w:lineRule="auto"/>
              <w:ind w:firstLine="0" w:firstLineChars="0"/>
              <w:jc w:val="center"/>
              <w:rPr>
                <w:color w:val="auto"/>
                <w:kern w:val="0"/>
                <w:sz w:val="21"/>
                <w:szCs w:val="21"/>
              </w:rPr>
            </w:pPr>
          </w:p>
        </w:tc>
        <w:tc>
          <w:tcPr>
            <w:tcW w:w="1610" w:type="pct"/>
            <w:shd w:val="clear" w:color="auto" w:fill="auto"/>
            <w:vAlign w:val="center"/>
          </w:tcPr>
          <w:p w14:paraId="2BFB0FC0">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硫酸</w:t>
            </w:r>
          </w:p>
        </w:tc>
        <w:tc>
          <w:tcPr>
            <w:tcW w:w="889" w:type="pct"/>
            <w:tcBorders>
              <w:right w:val="nil"/>
            </w:tcBorders>
            <w:vAlign w:val="center"/>
          </w:tcPr>
          <w:p w14:paraId="5997F6A4">
            <w:pPr>
              <w:spacing w:line="240" w:lineRule="auto"/>
              <w:ind w:firstLine="0" w:firstLineChars="0"/>
              <w:jc w:val="center"/>
              <w:rPr>
                <w:color w:val="auto"/>
                <w:sz w:val="21"/>
                <w:szCs w:val="21"/>
              </w:rPr>
            </w:pPr>
            <w:r>
              <w:rPr>
                <w:rFonts w:hint="eastAsia"/>
                <w:color w:val="auto"/>
                <w:sz w:val="21"/>
                <w:szCs w:val="21"/>
              </w:rPr>
              <w:t>0.2</w:t>
            </w:r>
          </w:p>
        </w:tc>
        <w:tc>
          <w:tcPr>
            <w:tcW w:w="738" w:type="pct"/>
            <w:tcBorders>
              <w:right w:val="nil"/>
            </w:tcBorders>
            <w:vAlign w:val="center"/>
          </w:tcPr>
          <w:p w14:paraId="35DDE3C5">
            <w:pPr>
              <w:spacing w:line="240" w:lineRule="auto"/>
              <w:ind w:firstLine="0" w:firstLineChars="0"/>
              <w:jc w:val="center"/>
              <w:rPr>
                <w:color w:val="auto"/>
                <w:sz w:val="21"/>
                <w:szCs w:val="21"/>
              </w:rPr>
            </w:pPr>
            <w:r>
              <w:rPr>
                <w:rFonts w:hint="eastAsia"/>
                <w:color w:val="auto"/>
                <w:sz w:val="21"/>
                <w:szCs w:val="21"/>
              </w:rPr>
              <w:t>10</w:t>
            </w:r>
          </w:p>
        </w:tc>
        <w:tc>
          <w:tcPr>
            <w:tcW w:w="781" w:type="pct"/>
            <w:tcBorders>
              <w:right w:val="nil"/>
            </w:tcBorders>
            <w:vAlign w:val="center"/>
          </w:tcPr>
          <w:p w14:paraId="1C77CF84">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0.02</w:t>
            </w:r>
          </w:p>
        </w:tc>
      </w:tr>
      <w:tr w14:paraId="44A88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07809E98">
            <w:pPr>
              <w:widowControl/>
              <w:spacing w:line="240" w:lineRule="auto"/>
              <w:ind w:firstLine="0" w:firstLineChars="0"/>
              <w:jc w:val="center"/>
              <w:rPr>
                <w:color w:val="auto"/>
                <w:kern w:val="0"/>
                <w:sz w:val="21"/>
                <w:szCs w:val="21"/>
              </w:rPr>
            </w:pPr>
          </w:p>
        </w:tc>
        <w:tc>
          <w:tcPr>
            <w:tcW w:w="707" w:type="pct"/>
            <w:vMerge w:val="continue"/>
            <w:vAlign w:val="center"/>
          </w:tcPr>
          <w:p w14:paraId="6C50D8F9">
            <w:pPr>
              <w:widowControl/>
              <w:spacing w:line="240" w:lineRule="auto"/>
              <w:ind w:firstLine="0" w:firstLineChars="0"/>
              <w:jc w:val="center"/>
              <w:rPr>
                <w:color w:val="auto"/>
                <w:kern w:val="0"/>
                <w:sz w:val="21"/>
                <w:szCs w:val="21"/>
              </w:rPr>
            </w:pPr>
          </w:p>
        </w:tc>
        <w:tc>
          <w:tcPr>
            <w:tcW w:w="1610" w:type="pct"/>
            <w:shd w:val="clear" w:color="auto" w:fill="auto"/>
            <w:vAlign w:val="center"/>
          </w:tcPr>
          <w:p w14:paraId="74A0CBA7">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片碱</w:t>
            </w:r>
          </w:p>
        </w:tc>
        <w:tc>
          <w:tcPr>
            <w:tcW w:w="889" w:type="pct"/>
            <w:tcBorders>
              <w:right w:val="nil"/>
            </w:tcBorders>
            <w:vAlign w:val="center"/>
          </w:tcPr>
          <w:p w14:paraId="57B1C7F8">
            <w:pPr>
              <w:spacing w:line="240" w:lineRule="auto"/>
              <w:ind w:firstLine="0" w:firstLineChars="0"/>
              <w:jc w:val="center"/>
              <w:rPr>
                <w:color w:val="auto"/>
                <w:sz w:val="21"/>
                <w:szCs w:val="21"/>
              </w:rPr>
            </w:pPr>
            <w:r>
              <w:rPr>
                <w:rFonts w:hint="eastAsia"/>
                <w:color w:val="auto"/>
                <w:sz w:val="21"/>
                <w:szCs w:val="21"/>
              </w:rPr>
              <w:t>0.2</w:t>
            </w:r>
          </w:p>
        </w:tc>
        <w:tc>
          <w:tcPr>
            <w:tcW w:w="738" w:type="pct"/>
            <w:tcBorders>
              <w:right w:val="nil"/>
            </w:tcBorders>
            <w:vAlign w:val="center"/>
          </w:tcPr>
          <w:p w14:paraId="5A514A23">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vAlign w:val="center"/>
          </w:tcPr>
          <w:p w14:paraId="7B9600C5">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0.004</w:t>
            </w:r>
          </w:p>
        </w:tc>
      </w:tr>
      <w:tr w14:paraId="61566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73" w:type="pct"/>
            <w:tcBorders>
              <w:left w:val="nil"/>
            </w:tcBorders>
            <w:shd w:val="clear" w:color="auto" w:fill="auto"/>
            <w:vAlign w:val="center"/>
          </w:tcPr>
          <w:p w14:paraId="0F57715F">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707" w:type="pct"/>
            <w:vAlign w:val="center"/>
          </w:tcPr>
          <w:p w14:paraId="28A4F113">
            <w:pPr>
              <w:widowControl/>
              <w:spacing w:line="240" w:lineRule="auto"/>
              <w:ind w:firstLine="0" w:firstLineChars="0"/>
              <w:jc w:val="center"/>
              <w:rPr>
                <w:color w:val="auto"/>
                <w:kern w:val="0"/>
                <w:sz w:val="21"/>
                <w:szCs w:val="21"/>
              </w:rPr>
            </w:pPr>
            <w:r>
              <w:rPr>
                <w:rFonts w:hint="eastAsia"/>
                <w:color w:val="auto"/>
                <w:kern w:val="0"/>
                <w:sz w:val="21"/>
                <w:szCs w:val="21"/>
              </w:rPr>
              <w:t>液氨储存区</w:t>
            </w:r>
          </w:p>
        </w:tc>
        <w:tc>
          <w:tcPr>
            <w:tcW w:w="1610" w:type="pct"/>
            <w:shd w:val="clear" w:color="auto" w:fill="auto"/>
            <w:vAlign w:val="center"/>
          </w:tcPr>
          <w:p w14:paraId="5AC13C25">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液氨</w:t>
            </w:r>
          </w:p>
        </w:tc>
        <w:tc>
          <w:tcPr>
            <w:tcW w:w="889" w:type="pct"/>
            <w:tcBorders>
              <w:right w:val="nil"/>
            </w:tcBorders>
            <w:vAlign w:val="center"/>
          </w:tcPr>
          <w:p w14:paraId="422D33E7">
            <w:pPr>
              <w:spacing w:line="240" w:lineRule="auto"/>
              <w:ind w:firstLine="0" w:firstLineChars="0"/>
              <w:jc w:val="center"/>
              <w:rPr>
                <w:color w:val="auto"/>
                <w:sz w:val="21"/>
                <w:szCs w:val="21"/>
              </w:rPr>
            </w:pPr>
            <w:r>
              <w:rPr>
                <w:rFonts w:hint="eastAsia"/>
                <w:color w:val="auto"/>
                <w:sz w:val="21"/>
                <w:szCs w:val="21"/>
              </w:rPr>
              <w:t>1</w:t>
            </w:r>
          </w:p>
        </w:tc>
        <w:tc>
          <w:tcPr>
            <w:tcW w:w="738" w:type="pct"/>
            <w:tcBorders>
              <w:right w:val="nil"/>
            </w:tcBorders>
            <w:vAlign w:val="center"/>
          </w:tcPr>
          <w:p w14:paraId="5B2D044D">
            <w:pPr>
              <w:spacing w:line="240" w:lineRule="auto"/>
              <w:ind w:firstLine="0" w:firstLineChars="0"/>
              <w:jc w:val="center"/>
              <w:rPr>
                <w:color w:val="auto"/>
                <w:sz w:val="21"/>
                <w:szCs w:val="21"/>
              </w:rPr>
            </w:pPr>
            <w:r>
              <w:rPr>
                <w:rFonts w:hint="eastAsia"/>
                <w:color w:val="auto"/>
                <w:sz w:val="21"/>
                <w:szCs w:val="21"/>
              </w:rPr>
              <w:t>5</w:t>
            </w:r>
          </w:p>
        </w:tc>
        <w:tc>
          <w:tcPr>
            <w:tcW w:w="781" w:type="pct"/>
            <w:tcBorders>
              <w:right w:val="nil"/>
            </w:tcBorders>
            <w:vAlign w:val="center"/>
          </w:tcPr>
          <w:p w14:paraId="690AE093">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bidi="ar"/>
              </w:rPr>
              <w:t>0.2</w:t>
            </w:r>
          </w:p>
        </w:tc>
      </w:tr>
      <w:tr w14:paraId="7DB9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73" w:type="pct"/>
            <w:vMerge w:val="restart"/>
            <w:tcBorders>
              <w:left w:val="nil"/>
            </w:tcBorders>
            <w:vAlign w:val="center"/>
          </w:tcPr>
          <w:p w14:paraId="4B0AF465">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707" w:type="pct"/>
            <w:vMerge w:val="restart"/>
            <w:vAlign w:val="center"/>
          </w:tcPr>
          <w:p w14:paraId="7E4E9A62">
            <w:pPr>
              <w:widowControl/>
              <w:spacing w:line="240" w:lineRule="auto"/>
              <w:ind w:firstLine="0" w:firstLineChars="0"/>
              <w:jc w:val="center"/>
              <w:rPr>
                <w:color w:val="auto"/>
                <w:kern w:val="0"/>
                <w:sz w:val="21"/>
                <w:szCs w:val="21"/>
              </w:rPr>
            </w:pPr>
            <w:r>
              <w:rPr>
                <w:rFonts w:hint="eastAsia"/>
                <w:color w:val="auto"/>
                <w:kern w:val="0"/>
                <w:sz w:val="21"/>
                <w:szCs w:val="21"/>
              </w:rPr>
              <w:t>模具氮化间</w:t>
            </w:r>
          </w:p>
        </w:tc>
        <w:tc>
          <w:tcPr>
            <w:tcW w:w="1610" w:type="pct"/>
            <w:shd w:val="clear" w:color="auto" w:fill="auto"/>
            <w:vAlign w:val="center"/>
          </w:tcPr>
          <w:p w14:paraId="28859DA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液氨</w:t>
            </w:r>
          </w:p>
        </w:tc>
        <w:tc>
          <w:tcPr>
            <w:tcW w:w="889" w:type="pct"/>
            <w:tcBorders>
              <w:right w:val="nil"/>
            </w:tcBorders>
            <w:vAlign w:val="center"/>
          </w:tcPr>
          <w:p w14:paraId="28FF149F">
            <w:pPr>
              <w:spacing w:line="240" w:lineRule="auto"/>
              <w:ind w:firstLine="0" w:firstLineChars="0"/>
              <w:jc w:val="center"/>
              <w:rPr>
                <w:color w:val="auto"/>
                <w:sz w:val="21"/>
                <w:szCs w:val="21"/>
              </w:rPr>
            </w:pPr>
            <w:r>
              <w:rPr>
                <w:rFonts w:hint="eastAsia"/>
                <w:color w:val="auto"/>
                <w:sz w:val="21"/>
                <w:szCs w:val="21"/>
              </w:rPr>
              <w:t>0.5</w:t>
            </w:r>
          </w:p>
        </w:tc>
        <w:tc>
          <w:tcPr>
            <w:tcW w:w="738" w:type="pct"/>
            <w:tcBorders>
              <w:right w:val="nil"/>
            </w:tcBorders>
            <w:vAlign w:val="center"/>
          </w:tcPr>
          <w:p w14:paraId="5CC6EDA1">
            <w:pPr>
              <w:spacing w:line="240" w:lineRule="auto"/>
              <w:ind w:firstLine="0" w:firstLineChars="0"/>
              <w:jc w:val="center"/>
              <w:rPr>
                <w:color w:val="auto"/>
                <w:sz w:val="21"/>
                <w:szCs w:val="21"/>
              </w:rPr>
            </w:pPr>
            <w:r>
              <w:rPr>
                <w:rFonts w:hint="eastAsia"/>
                <w:color w:val="auto"/>
                <w:sz w:val="21"/>
                <w:szCs w:val="21"/>
              </w:rPr>
              <w:t>5</w:t>
            </w:r>
          </w:p>
        </w:tc>
        <w:tc>
          <w:tcPr>
            <w:tcW w:w="781" w:type="pct"/>
            <w:tcBorders>
              <w:right w:val="nil"/>
            </w:tcBorders>
            <w:vAlign w:val="center"/>
          </w:tcPr>
          <w:p w14:paraId="56971978">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0.1</w:t>
            </w:r>
          </w:p>
        </w:tc>
      </w:tr>
      <w:tr w14:paraId="5C514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shd w:val="clear" w:color="auto" w:fill="auto"/>
            <w:vAlign w:val="center"/>
          </w:tcPr>
          <w:p w14:paraId="3DF1A8DD">
            <w:pPr>
              <w:widowControl/>
              <w:spacing w:line="240" w:lineRule="auto"/>
              <w:ind w:firstLine="0" w:firstLineChars="0"/>
              <w:jc w:val="center"/>
              <w:rPr>
                <w:color w:val="auto"/>
                <w:kern w:val="0"/>
                <w:sz w:val="21"/>
                <w:szCs w:val="21"/>
              </w:rPr>
            </w:pPr>
          </w:p>
        </w:tc>
        <w:tc>
          <w:tcPr>
            <w:tcW w:w="707" w:type="pct"/>
            <w:vMerge w:val="continue"/>
            <w:vAlign w:val="center"/>
          </w:tcPr>
          <w:p w14:paraId="7AE7ECF0">
            <w:pPr>
              <w:widowControl/>
              <w:spacing w:line="240" w:lineRule="auto"/>
              <w:ind w:firstLine="0" w:firstLineChars="0"/>
              <w:jc w:val="center"/>
              <w:rPr>
                <w:color w:val="auto"/>
                <w:kern w:val="0"/>
                <w:sz w:val="21"/>
                <w:szCs w:val="21"/>
              </w:rPr>
            </w:pPr>
          </w:p>
        </w:tc>
        <w:tc>
          <w:tcPr>
            <w:tcW w:w="1610" w:type="pct"/>
            <w:shd w:val="clear" w:color="auto" w:fill="auto"/>
            <w:vAlign w:val="center"/>
          </w:tcPr>
          <w:p w14:paraId="2E79BE6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片碱</w:t>
            </w:r>
          </w:p>
        </w:tc>
        <w:tc>
          <w:tcPr>
            <w:tcW w:w="889" w:type="pct"/>
            <w:tcBorders>
              <w:right w:val="nil"/>
            </w:tcBorders>
            <w:vAlign w:val="center"/>
          </w:tcPr>
          <w:p w14:paraId="0F8A6224">
            <w:pPr>
              <w:spacing w:line="240" w:lineRule="auto"/>
              <w:ind w:firstLine="0" w:firstLineChars="0"/>
              <w:jc w:val="center"/>
              <w:rPr>
                <w:color w:val="auto"/>
                <w:sz w:val="21"/>
                <w:szCs w:val="21"/>
              </w:rPr>
            </w:pPr>
            <w:r>
              <w:rPr>
                <w:rFonts w:hint="eastAsia"/>
                <w:color w:val="auto"/>
                <w:sz w:val="21"/>
                <w:szCs w:val="21"/>
              </w:rPr>
              <w:t>15</w:t>
            </w:r>
          </w:p>
        </w:tc>
        <w:tc>
          <w:tcPr>
            <w:tcW w:w="738" w:type="pct"/>
            <w:tcBorders>
              <w:right w:val="nil"/>
            </w:tcBorders>
            <w:vAlign w:val="center"/>
          </w:tcPr>
          <w:p w14:paraId="4AE3C80F">
            <w:pPr>
              <w:spacing w:line="240" w:lineRule="auto"/>
              <w:ind w:firstLine="0" w:firstLineChars="0"/>
              <w:jc w:val="center"/>
              <w:rPr>
                <w:color w:val="auto"/>
                <w:sz w:val="21"/>
                <w:szCs w:val="21"/>
              </w:rPr>
            </w:pPr>
            <w:r>
              <w:rPr>
                <w:rFonts w:hint="eastAsia"/>
                <w:color w:val="auto"/>
                <w:sz w:val="21"/>
                <w:szCs w:val="21"/>
              </w:rPr>
              <w:t>50</w:t>
            </w:r>
          </w:p>
        </w:tc>
        <w:tc>
          <w:tcPr>
            <w:tcW w:w="781" w:type="pct"/>
            <w:tcBorders>
              <w:right w:val="nil"/>
            </w:tcBorders>
            <w:vAlign w:val="center"/>
          </w:tcPr>
          <w:p w14:paraId="1F7EBE25">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0.3</w:t>
            </w:r>
          </w:p>
        </w:tc>
      </w:tr>
      <w:tr w14:paraId="59551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restart"/>
            <w:tcBorders>
              <w:left w:val="nil"/>
            </w:tcBorders>
            <w:vAlign w:val="center"/>
          </w:tcPr>
          <w:p w14:paraId="35B69292">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707" w:type="pct"/>
            <w:vMerge w:val="restart"/>
            <w:vAlign w:val="center"/>
          </w:tcPr>
          <w:p w14:paraId="3821A988">
            <w:pPr>
              <w:widowControl/>
              <w:spacing w:line="240" w:lineRule="auto"/>
              <w:ind w:firstLine="0" w:firstLineChars="0"/>
              <w:jc w:val="center"/>
              <w:rPr>
                <w:color w:val="auto"/>
                <w:kern w:val="0"/>
                <w:sz w:val="21"/>
                <w:szCs w:val="21"/>
              </w:rPr>
            </w:pPr>
            <w:r>
              <w:rPr>
                <w:color w:val="auto"/>
                <w:kern w:val="0"/>
                <w:sz w:val="21"/>
                <w:szCs w:val="21"/>
              </w:rPr>
              <w:t>危废暂存间</w:t>
            </w:r>
          </w:p>
        </w:tc>
        <w:tc>
          <w:tcPr>
            <w:tcW w:w="1610" w:type="pct"/>
            <w:vAlign w:val="center"/>
          </w:tcPr>
          <w:p w14:paraId="7E718C9C">
            <w:pPr>
              <w:spacing w:line="240" w:lineRule="auto"/>
              <w:ind w:firstLine="0" w:firstLineChars="0"/>
              <w:jc w:val="center"/>
              <w:rPr>
                <w:color w:val="auto"/>
                <w:sz w:val="21"/>
                <w:szCs w:val="21"/>
              </w:rPr>
            </w:pPr>
            <w:r>
              <w:rPr>
                <w:rFonts w:hint="eastAsia"/>
                <w:color w:val="auto"/>
                <w:sz w:val="21"/>
                <w:szCs w:val="21"/>
              </w:rPr>
              <w:t>废研磨膏</w:t>
            </w:r>
          </w:p>
        </w:tc>
        <w:tc>
          <w:tcPr>
            <w:tcW w:w="889" w:type="pct"/>
            <w:tcBorders>
              <w:right w:val="nil"/>
            </w:tcBorders>
            <w:vAlign w:val="center"/>
          </w:tcPr>
          <w:p w14:paraId="652C447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0.005</w:t>
            </w:r>
          </w:p>
        </w:tc>
        <w:tc>
          <w:tcPr>
            <w:tcW w:w="738" w:type="pct"/>
            <w:tcBorders>
              <w:right w:val="nil"/>
            </w:tcBorders>
            <w:vAlign w:val="center"/>
          </w:tcPr>
          <w:p w14:paraId="6E4A81F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2500</w:t>
            </w:r>
          </w:p>
        </w:tc>
        <w:tc>
          <w:tcPr>
            <w:tcW w:w="781" w:type="pct"/>
            <w:tcBorders>
              <w:right w:val="nil"/>
            </w:tcBorders>
            <w:vAlign w:val="center"/>
          </w:tcPr>
          <w:p w14:paraId="3B697FB5">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0.000002</w:t>
            </w:r>
          </w:p>
        </w:tc>
      </w:tr>
      <w:tr w14:paraId="2BF25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2F6AD996">
            <w:pPr>
              <w:widowControl/>
              <w:spacing w:line="240" w:lineRule="auto"/>
              <w:ind w:firstLine="0" w:firstLineChars="0"/>
              <w:jc w:val="center"/>
              <w:rPr>
                <w:color w:val="auto"/>
                <w:kern w:val="0"/>
                <w:sz w:val="21"/>
                <w:szCs w:val="21"/>
              </w:rPr>
            </w:pPr>
          </w:p>
        </w:tc>
        <w:tc>
          <w:tcPr>
            <w:tcW w:w="707" w:type="pct"/>
            <w:vMerge w:val="continue"/>
            <w:vAlign w:val="center"/>
          </w:tcPr>
          <w:p w14:paraId="312A09B6">
            <w:pPr>
              <w:widowControl/>
              <w:spacing w:line="240" w:lineRule="auto"/>
              <w:ind w:firstLine="0" w:firstLineChars="0"/>
              <w:jc w:val="center"/>
              <w:rPr>
                <w:color w:val="auto"/>
                <w:kern w:val="0"/>
                <w:sz w:val="21"/>
                <w:szCs w:val="21"/>
              </w:rPr>
            </w:pPr>
          </w:p>
        </w:tc>
        <w:tc>
          <w:tcPr>
            <w:tcW w:w="1610" w:type="pct"/>
            <w:vAlign w:val="center"/>
          </w:tcPr>
          <w:p w14:paraId="34C36A21">
            <w:pPr>
              <w:spacing w:line="240" w:lineRule="auto"/>
              <w:ind w:firstLine="0" w:firstLineChars="0"/>
              <w:jc w:val="center"/>
              <w:rPr>
                <w:color w:val="auto"/>
                <w:sz w:val="21"/>
                <w:szCs w:val="21"/>
              </w:rPr>
            </w:pPr>
            <w:r>
              <w:rPr>
                <w:rFonts w:hint="eastAsia"/>
                <w:color w:val="auto"/>
                <w:sz w:val="21"/>
                <w:szCs w:val="21"/>
              </w:rPr>
              <w:t>废试剂瓶</w:t>
            </w:r>
          </w:p>
        </w:tc>
        <w:tc>
          <w:tcPr>
            <w:tcW w:w="889" w:type="pct"/>
            <w:tcBorders>
              <w:right w:val="nil"/>
            </w:tcBorders>
            <w:vAlign w:val="center"/>
          </w:tcPr>
          <w:p w14:paraId="47CB33C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0.00005</w:t>
            </w:r>
          </w:p>
        </w:tc>
        <w:tc>
          <w:tcPr>
            <w:tcW w:w="738" w:type="pct"/>
            <w:tcBorders>
              <w:right w:val="nil"/>
            </w:tcBorders>
            <w:vAlign w:val="center"/>
          </w:tcPr>
          <w:p w14:paraId="598D3CB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7.5</w:t>
            </w:r>
          </w:p>
        </w:tc>
        <w:tc>
          <w:tcPr>
            <w:tcW w:w="781" w:type="pct"/>
            <w:tcBorders>
              <w:right w:val="nil"/>
            </w:tcBorders>
            <w:vAlign w:val="center"/>
          </w:tcPr>
          <w:p w14:paraId="1A5E3A61">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 xml:space="preserve">0.000007 </w:t>
            </w:r>
          </w:p>
        </w:tc>
      </w:tr>
      <w:tr w14:paraId="338C2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0B7A605E">
            <w:pPr>
              <w:widowControl/>
              <w:spacing w:line="240" w:lineRule="auto"/>
              <w:ind w:firstLine="0" w:firstLineChars="0"/>
              <w:jc w:val="center"/>
              <w:rPr>
                <w:color w:val="auto"/>
                <w:kern w:val="0"/>
                <w:sz w:val="21"/>
                <w:szCs w:val="21"/>
              </w:rPr>
            </w:pPr>
          </w:p>
        </w:tc>
        <w:tc>
          <w:tcPr>
            <w:tcW w:w="707" w:type="pct"/>
            <w:vMerge w:val="continue"/>
            <w:vAlign w:val="center"/>
          </w:tcPr>
          <w:p w14:paraId="70CFBED4">
            <w:pPr>
              <w:widowControl/>
              <w:spacing w:line="240" w:lineRule="auto"/>
              <w:ind w:firstLine="0" w:firstLineChars="0"/>
              <w:jc w:val="center"/>
              <w:rPr>
                <w:color w:val="auto"/>
                <w:kern w:val="0"/>
                <w:sz w:val="21"/>
                <w:szCs w:val="21"/>
              </w:rPr>
            </w:pPr>
          </w:p>
        </w:tc>
        <w:tc>
          <w:tcPr>
            <w:tcW w:w="1610" w:type="pct"/>
            <w:vAlign w:val="center"/>
          </w:tcPr>
          <w:p w14:paraId="6CD8AC32">
            <w:pPr>
              <w:spacing w:line="240" w:lineRule="auto"/>
              <w:ind w:firstLine="0" w:firstLineChars="0"/>
              <w:jc w:val="center"/>
              <w:rPr>
                <w:color w:val="auto"/>
                <w:sz w:val="21"/>
                <w:szCs w:val="21"/>
              </w:rPr>
            </w:pPr>
            <w:r>
              <w:rPr>
                <w:rFonts w:hint="eastAsia"/>
                <w:color w:val="auto"/>
                <w:sz w:val="21"/>
                <w:szCs w:val="21"/>
              </w:rPr>
              <w:t>废试剂</w:t>
            </w:r>
          </w:p>
        </w:tc>
        <w:tc>
          <w:tcPr>
            <w:tcW w:w="889" w:type="pct"/>
            <w:tcBorders>
              <w:right w:val="nil"/>
            </w:tcBorders>
            <w:vAlign w:val="center"/>
          </w:tcPr>
          <w:p w14:paraId="4F52EAA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0.000009</w:t>
            </w:r>
          </w:p>
        </w:tc>
        <w:tc>
          <w:tcPr>
            <w:tcW w:w="738" w:type="pct"/>
            <w:tcBorders>
              <w:right w:val="nil"/>
            </w:tcBorders>
            <w:vAlign w:val="center"/>
          </w:tcPr>
          <w:p w14:paraId="3B00150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7.5</w:t>
            </w:r>
          </w:p>
        </w:tc>
        <w:tc>
          <w:tcPr>
            <w:tcW w:w="781" w:type="pct"/>
            <w:tcBorders>
              <w:right w:val="nil"/>
            </w:tcBorders>
            <w:vAlign w:val="center"/>
          </w:tcPr>
          <w:p w14:paraId="0D348983">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0.0000012</w:t>
            </w:r>
          </w:p>
        </w:tc>
      </w:tr>
      <w:tr w14:paraId="7EDFF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23EA2C28">
            <w:pPr>
              <w:widowControl/>
              <w:spacing w:line="240" w:lineRule="auto"/>
              <w:ind w:firstLine="0" w:firstLineChars="0"/>
              <w:jc w:val="center"/>
              <w:rPr>
                <w:color w:val="auto"/>
                <w:kern w:val="0"/>
                <w:sz w:val="21"/>
                <w:szCs w:val="21"/>
              </w:rPr>
            </w:pPr>
          </w:p>
        </w:tc>
        <w:tc>
          <w:tcPr>
            <w:tcW w:w="707" w:type="pct"/>
            <w:vMerge w:val="continue"/>
            <w:vAlign w:val="center"/>
          </w:tcPr>
          <w:p w14:paraId="69ACBB0B">
            <w:pPr>
              <w:widowControl/>
              <w:spacing w:line="240" w:lineRule="auto"/>
              <w:ind w:firstLine="0" w:firstLineChars="0"/>
              <w:jc w:val="center"/>
              <w:rPr>
                <w:color w:val="auto"/>
                <w:kern w:val="0"/>
                <w:sz w:val="21"/>
                <w:szCs w:val="21"/>
              </w:rPr>
            </w:pPr>
          </w:p>
        </w:tc>
        <w:tc>
          <w:tcPr>
            <w:tcW w:w="1610" w:type="pct"/>
            <w:vAlign w:val="center"/>
          </w:tcPr>
          <w:p w14:paraId="22907DE6">
            <w:pPr>
              <w:spacing w:line="240" w:lineRule="auto"/>
              <w:ind w:firstLine="0" w:firstLineChars="0"/>
              <w:jc w:val="center"/>
              <w:rPr>
                <w:color w:val="auto"/>
                <w:sz w:val="21"/>
                <w:szCs w:val="21"/>
              </w:rPr>
            </w:pPr>
            <w:r>
              <w:rPr>
                <w:color w:val="auto"/>
                <w:sz w:val="21"/>
                <w:szCs w:val="21"/>
              </w:rPr>
              <w:t>油类物质（</w:t>
            </w:r>
            <w:r>
              <w:rPr>
                <w:rFonts w:hint="eastAsia"/>
                <w:color w:val="auto"/>
                <w:kern w:val="0"/>
                <w:sz w:val="21"/>
                <w:szCs w:val="21"/>
                <w:lang w:bidi="ar"/>
              </w:rPr>
              <w:t>废液压油</w:t>
            </w:r>
            <w:r>
              <w:rPr>
                <w:color w:val="auto"/>
                <w:kern w:val="0"/>
                <w:sz w:val="21"/>
                <w:szCs w:val="21"/>
                <w:lang w:bidi="ar"/>
              </w:rPr>
              <w:t>、机油</w:t>
            </w:r>
            <w:r>
              <w:rPr>
                <w:color w:val="auto"/>
                <w:sz w:val="21"/>
                <w:szCs w:val="21"/>
              </w:rPr>
              <w:t>）</w:t>
            </w:r>
          </w:p>
        </w:tc>
        <w:tc>
          <w:tcPr>
            <w:tcW w:w="889" w:type="pct"/>
            <w:tcBorders>
              <w:right w:val="nil"/>
            </w:tcBorders>
            <w:vAlign w:val="center"/>
          </w:tcPr>
          <w:p w14:paraId="1C3A9F6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0.46</w:t>
            </w:r>
          </w:p>
        </w:tc>
        <w:tc>
          <w:tcPr>
            <w:tcW w:w="738" w:type="pct"/>
            <w:tcBorders>
              <w:right w:val="nil"/>
            </w:tcBorders>
            <w:vAlign w:val="center"/>
          </w:tcPr>
          <w:p w14:paraId="1002B4E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2500</w:t>
            </w:r>
          </w:p>
        </w:tc>
        <w:tc>
          <w:tcPr>
            <w:tcW w:w="781" w:type="pct"/>
            <w:tcBorders>
              <w:right w:val="nil"/>
            </w:tcBorders>
            <w:vAlign w:val="center"/>
          </w:tcPr>
          <w:p w14:paraId="52E38E89">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0.000184</w:t>
            </w:r>
          </w:p>
        </w:tc>
      </w:tr>
      <w:tr w14:paraId="3D718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72364150">
            <w:pPr>
              <w:widowControl/>
              <w:spacing w:line="240" w:lineRule="auto"/>
              <w:ind w:firstLine="0" w:firstLineChars="0"/>
              <w:jc w:val="center"/>
              <w:rPr>
                <w:color w:val="auto"/>
                <w:kern w:val="0"/>
                <w:sz w:val="21"/>
                <w:szCs w:val="21"/>
              </w:rPr>
            </w:pPr>
          </w:p>
        </w:tc>
        <w:tc>
          <w:tcPr>
            <w:tcW w:w="707" w:type="pct"/>
            <w:vMerge w:val="continue"/>
            <w:vAlign w:val="center"/>
          </w:tcPr>
          <w:p w14:paraId="26749A44">
            <w:pPr>
              <w:widowControl/>
              <w:spacing w:line="240" w:lineRule="auto"/>
              <w:ind w:firstLine="0" w:firstLineChars="0"/>
              <w:jc w:val="center"/>
              <w:rPr>
                <w:color w:val="auto"/>
                <w:kern w:val="0"/>
                <w:sz w:val="21"/>
                <w:szCs w:val="21"/>
              </w:rPr>
            </w:pPr>
          </w:p>
        </w:tc>
        <w:tc>
          <w:tcPr>
            <w:tcW w:w="1610" w:type="pct"/>
            <w:vAlign w:val="center"/>
          </w:tcPr>
          <w:p w14:paraId="624EF473">
            <w:pPr>
              <w:spacing w:line="240" w:lineRule="auto"/>
              <w:ind w:firstLine="0" w:firstLineChars="0"/>
              <w:jc w:val="center"/>
              <w:rPr>
                <w:color w:val="auto"/>
                <w:sz w:val="21"/>
                <w:szCs w:val="21"/>
              </w:rPr>
            </w:pPr>
            <w:r>
              <w:rPr>
                <w:rFonts w:hint="eastAsia"/>
                <w:color w:val="auto"/>
                <w:sz w:val="21"/>
                <w:szCs w:val="21"/>
              </w:rPr>
              <w:t>废化学品包装材料</w:t>
            </w:r>
          </w:p>
        </w:tc>
        <w:tc>
          <w:tcPr>
            <w:tcW w:w="889" w:type="pct"/>
            <w:tcBorders>
              <w:right w:val="nil"/>
            </w:tcBorders>
            <w:vAlign w:val="center"/>
          </w:tcPr>
          <w:p w14:paraId="0A04C024">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2.27</w:t>
            </w:r>
          </w:p>
        </w:tc>
        <w:tc>
          <w:tcPr>
            <w:tcW w:w="738" w:type="pct"/>
            <w:tcBorders>
              <w:right w:val="nil"/>
            </w:tcBorders>
            <w:vAlign w:val="center"/>
          </w:tcPr>
          <w:p w14:paraId="734BC8D1">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50</w:t>
            </w:r>
          </w:p>
        </w:tc>
        <w:tc>
          <w:tcPr>
            <w:tcW w:w="781" w:type="pct"/>
            <w:tcBorders>
              <w:right w:val="nil"/>
            </w:tcBorders>
            <w:vAlign w:val="center"/>
          </w:tcPr>
          <w:p w14:paraId="3D63EC6B">
            <w:pPr>
              <w:widowControl/>
              <w:spacing w:line="240" w:lineRule="auto"/>
              <w:ind w:firstLine="0" w:firstLineChars="0"/>
              <w:jc w:val="center"/>
              <w:textAlignment w:val="center"/>
              <w:rPr>
                <w:rFonts w:eastAsia="等线"/>
                <w:color w:val="auto"/>
                <w:kern w:val="0"/>
                <w:sz w:val="21"/>
                <w:szCs w:val="21"/>
              </w:rPr>
            </w:pPr>
            <w:r>
              <w:rPr>
                <w:rFonts w:hint="eastAsia" w:eastAsia="等线"/>
                <w:color w:val="auto"/>
                <w:kern w:val="0"/>
                <w:sz w:val="21"/>
                <w:szCs w:val="21"/>
                <w:lang w:bidi="ar"/>
              </w:rPr>
              <w:t>0.0454</w:t>
            </w:r>
          </w:p>
        </w:tc>
      </w:tr>
      <w:tr w14:paraId="6F07A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vAlign w:val="center"/>
          </w:tcPr>
          <w:p w14:paraId="48479BCB">
            <w:pPr>
              <w:widowControl/>
              <w:spacing w:line="240" w:lineRule="auto"/>
              <w:ind w:firstLine="0" w:firstLineChars="0"/>
              <w:jc w:val="center"/>
              <w:rPr>
                <w:color w:val="auto"/>
                <w:kern w:val="0"/>
                <w:sz w:val="21"/>
                <w:szCs w:val="21"/>
              </w:rPr>
            </w:pPr>
          </w:p>
        </w:tc>
        <w:tc>
          <w:tcPr>
            <w:tcW w:w="707" w:type="pct"/>
            <w:vMerge w:val="continue"/>
            <w:vAlign w:val="center"/>
          </w:tcPr>
          <w:p w14:paraId="7E309123">
            <w:pPr>
              <w:widowControl/>
              <w:spacing w:line="240" w:lineRule="auto"/>
              <w:ind w:firstLine="0" w:firstLineChars="0"/>
              <w:jc w:val="center"/>
              <w:rPr>
                <w:color w:val="auto"/>
                <w:kern w:val="0"/>
                <w:sz w:val="21"/>
                <w:szCs w:val="21"/>
              </w:rPr>
            </w:pPr>
          </w:p>
        </w:tc>
        <w:tc>
          <w:tcPr>
            <w:tcW w:w="1610" w:type="pct"/>
            <w:vAlign w:val="center"/>
          </w:tcPr>
          <w:p w14:paraId="283CD61D">
            <w:pPr>
              <w:spacing w:line="240" w:lineRule="auto"/>
              <w:ind w:firstLine="0" w:firstLineChars="0"/>
              <w:jc w:val="center"/>
              <w:rPr>
                <w:color w:val="auto"/>
                <w:sz w:val="21"/>
                <w:szCs w:val="21"/>
              </w:rPr>
            </w:pPr>
            <w:r>
              <w:rPr>
                <w:rFonts w:hint="eastAsia"/>
                <w:color w:val="auto"/>
                <w:sz w:val="21"/>
                <w:szCs w:val="21"/>
              </w:rPr>
              <w:t>废油桶</w:t>
            </w:r>
          </w:p>
        </w:tc>
        <w:tc>
          <w:tcPr>
            <w:tcW w:w="889" w:type="pct"/>
            <w:tcBorders>
              <w:right w:val="nil"/>
            </w:tcBorders>
            <w:vAlign w:val="center"/>
          </w:tcPr>
          <w:p w14:paraId="40EEEDAD">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0.49</w:t>
            </w:r>
          </w:p>
        </w:tc>
        <w:tc>
          <w:tcPr>
            <w:tcW w:w="738" w:type="pct"/>
            <w:tcBorders>
              <w:right w:val="nil"/>
            </w:tcBorders>
            <w:vAlign w:val="center"/>
          </w:tcPr>
          <w:p w14:paraId="2920E934">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2500</w:t>
            </w:r>
          </w:p>
        </w:tc>
        <w:tc>
          <w:tcPr>
            <w:tcW w:w="781" w:type="pct"/>
            <w:tcBorders>
              <w:right w:val="nil"/>
            </w:tcBorders>
            <w:vAlign w:val="center"/>
          </w:tcPr>
          <w:p w14:paraId="6E9F442F">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0.0002</w:t>
            </w:r>
          </w:p>
        </w:tc>
      </w:tr>
      <w:tr w14:paraId="6AFCC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vMerge w:val="continue"/>
            <w:tcBorders>
              <w:left w:val="nil"/>
            </w:tcBorders>
            <w:shd w:val="clear" w:color="auto" w:fill="auto"/>
            <w:vAlign w:val="center"/>
          </w:tcPr>
          <w:p w14:paraId="137EE3CB">
            <w:pPr>
              <w:widowControl/>
              <w:spacing w:line="240" w:lineRule="auto"/>
              <w:ind w:firstLine="0" w:firstLineChars="0"/>
              <w:jc w:val="center"/>
              <w:rPr>
                <w:color w:val="auto"/>
                <w:kern w:val="0"/>
                <w:sz w:val="21"/>
                <w:szCs w:val="21"/>
              </w:rPr>
            </w:pPr>
          </w:p>
        </w:tc>
        <w:tc>
          <w:tcPr>
            <w:tcW w:w="707" w:type="pct"/>
            <w:vMerge w:val="continue"/>
            <w:vAlign w:val="center"/>
          </w:tcPr>
          <w:p w14:paraId="05F59554">
            <w:pPr>
              <w:widowControl/>
              <w:spacing w:line="240" w:lineRule="auto"/>
              <w:ind w:firstLine="0" w:firstLineChars="0"/>
              <w:jc w:val="center"/>
              <w:rPr>
                <w:color w:val="auto"/>
                <w:kern w:val="0"/>
                <w:sz w:val="21"/>
                <w:szCs w:val="21"/>
              </w:rPr>
            </w:pPr>
          </w:p>
        </w:tc>
        <w:tc>
          <w:tcPr>
            <w:tcW w:w="1610" w:type="pct"/>
            <w:vAlign w:val="center"/>
          </w:tcPr>
          <w:p w14:paraId="396E5BEE">
            <w:pPr>
              <w:widowControl/>
              <w:spacing w:line="240" w:lineRule="auto"/>
              <w:ind w:firstLine="0" w:firstLineChars="0"/>
              <w:jc w:val="center"/>
              <w:rPr>
                <w:color w:val="auto"/>
                <w:kern w:val="0"/>
                <w:sz w:val="21"/>
                <w:szCs w:val="21"/>
              </w:rPr>
            </w:pPr>
            <w:r>
              <w:rPr>
                <w:rFonts w:hint="eastAsia"/>
                <w:color w:val="auto"/>
                <w:kern w:val="0"/>
                <w:sz w:val="21"/>
                <w:szCs w:val="21"/>
              </w:rPr>
              <w:t>废劳保用品</w:t>
            </w:r>
          </w:p>
        </w:tc>
        <w:tc>
          <w:tcPr>
            <w:tcW w:w="889" w:type="pct"/>
            <w:tcBorders>
              <w:right w:val="nil"/>
            </w:tcBorders>
            <w:vAlign w:val="center"/>
          </w:tcPr>
          <w:p w14:paraId="59C99DF0">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0.59</w:t>
            </w:r>
          </w:p>
        </w:tc>
        <w:tc>
          <w:tcPr>
            <w:tcW w:w="738" w:type="pct"/>
            <w:tcBorders>
              <w:right w:val="nil"/>
            </w:tcBorders>
            <w:vAlign w:val="center"/>
          </w:tcPr>
          <w:p w14:paraId="26BCF048">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2500</w:t>
            </w:r>
          </w:p>
        </w:tc>
        <w:tc>
          <w:tcPr>
            <w:tcW w:w="781" w:type="pct"/>
            <w:tcBorders>
              <w:right w:val="nil"/>
            </w:tcBorders>
            <w:vAlign w:val="center"/>
          </w:tcPr>
          <w:p w14:paraId="395AC9CE">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0.00024</w:t>
            </w:r>
          </w:p>
        </w:tc>
      </w:tr>
      <w:tr w14:paraId="15602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tcBorders>
              <w:left w:val="nil"/>
            </w:tcBorders>
            <w:vAlign w:val="center"/>
          </w:tcPr>
          <w:p w14:paraId="7D8101F4">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707" w:type="pct"/>
            <w:vAlign w:val="center"/>
          </w:tcPr>
          <w:p w14:paraId="5934FC14">
            <w:pPr>
              <w:widowControl/>
              <w:spacing w:line="240" w:lineRule="auto"/>
              <w:ind w:firstLine="0" w:firstLineChars="0"/>
              <w:jc w:val="center"/>
              <w:rPr>
                <w:color w:val="auto"/>
                <w:kern w:val="0"/>
                <w:sz w:val="21"/>
                <w:szCs w:val="21"/>
              </w:rPr>
            </w:pPr>
            <w:r>
              <w:rPr>
                <w:rFonts w:hint="eastAsia"/>
                <w:color w:val="auto"/>
                <w:kern w:val="0"/>
                <w:sz w:val="21"/>
                <w:szCs w:val="21"/>
              </w:rPr>
              <w:t>污泥堆场</w:t>
            </w:r>
          </w:p>
        </w:tc>
        <w:tc>
          <w:tcPr>
            <w:tcW w:w="1610" w:type="pct"/>
            <w:vAlign w:val="center"/>
          </w:tcPr>
          <w:p w14:paraId="60B770A4">
            <w:pPr>
              <w:widowControl/>
              <w:spacing w:line="240" w:lineRule="auto"/>
              <w:ind w:firstLine="0" w:firstLineChars="0"/>
              <w:jc w:val="center"/>
              <w:rPr>
                <w:color w:val="auto"/>
                <w:kern w:val="0"/>
                <w:sz w:val="21"/>
                <w:szCs w:val="21"/>
              </w:rPr>
            </w:pPr>
            <w:r>
              <w:rPr>
                <w:rFonts w:hint="eastAsia"/>
                <w:color w:val="auto"/>
                <w:kern w:val="0"/>
                <w:sz w:val="21"/>
                <w:szCs w:val="21"/>
              </w:rPr>
              <w:t>碱回收污泥</w:t>
            </w:r>
          </w:p>
        </w:tc>
        <w:tc>
          <w:tcPr>
            <w:tcW w:w="889" w:type="pct"/>
            <w:tcBorders>
              <w:right w:val="nil"/>
            </w:tcBorders>
            <w:vAlign w:val="center"/>
          </w:tcPr>
          <w:p w14:paraId="78693A90">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36.36</w:t>
            </w:r>
          </w:p>
        </w:tc>
        <w:tc>
          <w:tcPr>
            <w:tcW w:w="738" w:type="pct"/>
            <w:tcBorders>
              <w:right w:val="nil"/>
            </w:tcBorders>
            <w:vAlign w:val="center"/>
          </w:tcPr>
          <w:p w14:paraId="77F8913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100</w:t>
            </w:r>
          </w:p>
        </w:tc>
        <w:tc>
          <w:tcPr>
            <w:tcW w:w="781" w:type="pct"/>
            <w:tcBorders>
              <w:right w:val="nil"/>
            </w:tcBorders>
            <w:vAlign w:val="center"/>
          </w:tcPr>
          <w:p w14:paraId="15E88C6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0.3636</w:t>
            </w:r>
          </w:p>
        </w:tc>
      </w:tr>
      <w:tr w14:paraId="5DEE2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73" w:type="pct"/>
            <w:tcBorders>
              <w:left w:val="nil"/>
            </w:tcBorders>
            <w:vAlign w:val="center"/>
          </w:tcPr>
          <w:p w14:paraId="248BEC5B">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707" w:type="pct"/>
            <w:vAlign w:val="center"/>
          </w:tcPr>
          <w:p w14:paraId="26F729C4">
            <w:pPr>
              <w:widowControl/>
              <w:spacing w:line="240" w:lineRule="auto"/>
              <w:ind w:firstLine="0" w:firstLineChars="0"/>
              <w:jc w:val="center"/>
              <w:rPr>
                <w:color w:val="auto"/>
                <w:kern w:val="0"/>
                <w:sz w:val="21"/>
                <w:szCs w:val="21"/>
              </w:rPr>
            </w:pPr>
            <w:r>
              <w:rPr>
                <w:rFonts w:hint="eastAsia"/>
                <w:color w:val="auto"/>
                <w:kern w:val="0"/>
                <w:sz w:val="21"/>
                <w:szCs w:val="21"/>
              </w:rPr>
              <w:t>在线管道</w:t>
            </w:r>
          </w:p>
        </w:tc>
        <w:tc>
          <w:tcPr>
            <w:tcW w:w="1610" w:type="pct"/>
            <w:vAlign w:val="center"/>
          </w:tcPr>
          <w:p w14:paraId="7309FB59">
            <w:pPr>
              <w:widowControl/>
              <w:spacing w:line="240" w:lineRule="auto"/>
              <w:ind w:firstLine="0" w:firstLineChars="0"/>
              <w:jc w:val="center"/>
              <w:rPr>
                <w:color w:val="auto"/>
                <w:kern w:val="0"/>
                <w:sz w:val="21"/>
                <w:szCs w:val="21"/>
              </w:rPr>
            </w:pPr>
            <w:r>
              <w:rPr>
                <w:rFonts w:hint="eastAsia"/>
                <w:color w:val="auto"/>
                <w:kern w:val="0"/>
                <w:sz w:val="21"/>
                <w:szCs w:val="21"/>
              </w:rPr>
              <w:t>甲烷</w:t>
            </w:r>
          </w:p>
        </w:tc>
        <w:tc>
          <w:tcPr>
            <w:tcW w:w="889" w:type="pct"/>
            <w:tcBorders>
              <w:right w:val="nil"/>
            </w:tcBorders>
            <w:vAlign w:val="center"/>
          </w:tcPr>
          <w:p w14:paraId="60FC798B">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0.092</w:t>
            </w:r>
          </w:p>
        </w:tc>
        <w:tc>
          <w:tcPr>
            <w:tcW w:w="738" w:type="pct"/>
            <w:tcBorders>
              <w:right w:val="nil"/>
            </w:tcBorders>
            <w:vAlign w:val="center"/>
          </w:tcPr>
          <w:p w14:paraId="50CFBF35">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10</w:t>
            </w:r>
          </w:p>
        </w:tc>
        <w:tc>
          <w:tcPr>
            <w:tcW w:w="781" w:type="pct"/>
            <w:tcBorders>
              <w:right w:val="nil"/>
            </w:tcBorders>
            <w:vAlign w:val="center"/>
          </w:tcPr>
          <w:p w14:paraId="4CE73BCE">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0.0092</w:t>
            </w:r>
          </w:p>
        </w:tc>
      </w:tr>
      <w:tr w14:paraId="38968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218" w:type="pct"/>
            <w:gridSpan w:val="5"/>
            <w:tcBorders>
              <w:left w:val="nil"/>
              <w:right w:val="nil"/>
            </w:tcBorders>
            <w:vAlign w:val="center"/>
          </w:tcPr>
          <w:p w14:paraId="149D27B6">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合计</w:t>
            </w:r>
          </w:p>
        </w:tc>
        <w:tc>
          <w:tcPr>
            <w:tcW w:w="781" w:type="pct"/>
            <w:tcBorders>
              <w:right w:val="nil"/>
            </w:tcBorders>
            <w:vAlign w:val="center"/>
          </w:tcPr>
          <w:p w14:paraId="6C09372C">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9.308</w:t>
            </w:r>
          </w:p>
        </w:tc>
      </w:tr>
    </w:tbl>
    <w:p w14:paraId="02A51542">
      <w:pPr>
        <w:spacing w:line="240" w:lineRule="auto"/>
        <w:ind w:firstLine="0" w:firstLineChars="0"/>
        <w:rPr>
          <w:rFonts w:cs="宋体"/>
          <w:color w:val="auto"/>
          <w:sz w:val="22"/>
          <w:szCs w:val="22"/>
          <w:lang w:bidi="ar"/>
        </w:rPr>
      </w:pPr>
      <w:r>
        <w:rPr>
          <w:rFonts w:hint="eastAsia" w:cs="宋体"/>
          <w:b/>
          <w:bCs/>
          <w:color w:val="auto"/>
          <w:sz w:val="22"/>
          <w:szCs w:val="22"/>
          <w:lang w:bidi="ar"/>
        </w:rPr>
        <w:t>注：</w:t>
      </w:r>
      <w:r>
        <w:rPr>
          <w:rFonts w:hint="eastAsia" w:cs="宋体"/>
          <w:color w:val="auto"/>
          <w:sz w:val="22"/>
          <w:szCs w:val="22"/>
          <w:lang w:bidi="ar"/>
        </w:rPr>
        <w:t>根据企业提供资料，天然气管道管径0.5m，厂区管道长度约为650m，天然气密度为0.72kg/m</w:t>
      </w:r>
      <w:r>
        <w:rPr>
          <w:rFonts w:hint="eastAsia" w:cs="宋体"/>
          <w:color w:val="auto"/>
          <w:sz w:val="22"/>
          <w:szCs w:val="22"/>
          <w:vertAlign w:val="superscript"/>
          <w:lang w:bidi="ar"/>
        </w:rPr>
        <w:t>3</w:t>
      </w:r>
      <w:r>
        <w:rPr>
          <w:rFonts w:hint="eastAsia" w:cs="宋体"/>
          <w:color w:val="auto"/>
          <w:sz w:val="22"/>
          <w:szCs w:val="22"/>
          <w:lang w:bidi="ar"/>
        </w:rPr>
        <w:t>，据计算，天然气管道在线量为0.092t。</w:t>
      </w:r>
    </w:p>
    <w:p w14:paraId="122D2499">
      <w:pPr>
        <w:spacing w:before="120" w:beforeLines="50"/>
        <w:ind w:firstLine="480"/>
        <w:rPr>
          <w:rFonts w:cs="宋体"/>
          <w:color w:val="auto"/>
          <w:lang w:bidi="ar"/>
        </w:rPr>
      </w:pPr>
      <w:r>
        <w:rPr>
          <w:rFonts w:hint="eastAsia" w:cs="宋体"/>
          <w:color w:val="auto"/>
          <w:lang w:bidi="ar"/>
        </w:rPr>
        <w:t>根据上表，项目环境风险物质与临界量比值</w:t>
      </w:r>
      <w:r>
        <w:rPr>
          <w:color w:val="auto"/>
          <w:lang w:bidi="ar"/>
        </w:rPr>
        <w:t>Q</w:t>
      </w:r>
      <w:r>
        <w:rPr>
          <w:rFonts w:hint="eastAsia" w:cs="宋体"/>
          <w:color w:val="auto"/>
          <w:lang w:bidi="ar"/>
        </w:rPr>
        <w:t>为</w:t>
      </w:r>
      <w:r>
        <w:rPr>
          <w:rFonts w:hint="eastAsia"/>
          <w:color w:val="auto"/>
          <w:lang w:bidi="ar"/>
        </w:rPr>
        <w:t>9.208</w:t>
      </w:r>
      <w:r>
        <w:rPr>
          <w:rFonts w:hint="eastAsia" w:cs="宋体"/>
          <w:color w:val="auto"/>
          <w:lang w:bidi="ar"/>
        </w:rPr>
        <w:t>，</w:t>
      </w:r>
      <w:r>
        <w:rPr>
          <w:color w:val="auto"/>
          <w:lang w:bidi="ar"/>
        </w:rPr>
        <w:t>1≤Q</w:t>
      </w:r>
      <w:r>
        <w:rPr>
          <w:rFonts w:hint="eastAsia" w:cs="宋体"/>
          <w:color w:val="auto"/>
          <w:lang w:bidi="ar"/>
        </w:rPr>
        <w:t>＜</w:t>
      </w:r>
      <w:r>
        <w:rPr>
          <w:color w:val="auto"/>
          <w:lang w:bidi="ar"/>
        </w:rPr>
        <w:t>10</w:t>
      </w:r>
      <w:r>
        <w:rPr>
          <w:rFonts w:hint="eastAsia" w:cs="宋体"/>
          <w:color w:val="auto"/>
          <w:lang w:bidi="ar"/>
        </w:rPr>
        <w:t>。</w:t>
      </w:r>
    </w:p>
    <w:p w14:paraId="68E1CE16">
      <w:pPr>
        <w:ind w:firstLine="482"/>
        <w:rPr>
          <w:color w:val="auto"/>
          <w:lang w:bidi="ar"/>
        </w:rPr>
      </w:pPr>
      <w:r>
        <w:rPr>
          <w:rFonts w:hint="eastAsia" w:cs="宋体"/>
          <w:b/>
          <w:bCs/>
          <w:color w:val="auto"/>
          <w:lang w:bidi="ar"/>
        </w:rPr>
        <w:t>②行业及生产工艺（</w:t>
      </w:r>
      <w:r>
        <w:rPr>
          <w:b/>
          <w:bCs/>
          <w:color w:val="auto"/>
          <w:lang w:bidi="ar"/>
        </w:rPr>
        <w:t>M</w:t>
      </w:r>
      <w:r>
        <w:rPr>
          <w:rFonts w:hint="eastAsia" w:cs="宋体"/>
          <w:b/>
          <w:bCs/>
          <w:color w:val="auto"/>
          <w:lang w:bidi="ar"/>
        </w:rPr>
        <w:t>）</w:t>
      </w:r>
    </w:p>
    <w:p w14:paraId="39ABFDEE">
      <w:pPr>
        <w:ind w:firstLine="480"/>
        <w:jc w:val="left"/>
        <w:rPr>
          <w:color w:val="auto"/>
          <w:lang w:bidi="ar"/>
        </w:rPr>
      </w:pPr>
      <w:r>
        <w:rPr>
          <w:rFonts w:hint="eastAsia" w:cs="宋体"/>
          <w:color w:val="auto"/>
          <w:lang w:bidi="ar"/>
        </w:rPr>
        <w:t>具有多套工艺单元的项目，对每套生产工艺分别评分并求和。将</w:t>
      </w:r>
      <w:r>
        <w:rPr>
          <w:color w:val="auto"/>
          <w:lang w:bidi="ar"/>
        </w:rPr>
        <w:t>M</w:t>
      </w:r>
      <w:r>
        <w:rPr>
          <w:rFonts w:hint="eastAsia" w:cs="宋体"/>
          <w:color w:val="auto"/>
          <w:lang w:bidi="ar"/>
        </w:rPr>
        <w:t>划分为（</w:t>
      </w:r>
      <w:r>
        <w:rPr>
          <w:color w:val="auto"/>
          <w:lang w:bidi="ar"/>
        </w:rPr>
        <w:t>1</w:t>
      </w:r>
      <w:r>
        <w:rPr>
          <w:rFonts w:hint="eastAsia" w:cs="宋体"/>
          <w:color w:val="auto"/>
          <w:lang w:bidi="ar"/>
        </w:rPr>
        <w:t>）</w:t>
      </w:r>
      <w:r>
        <w:rPr>
          <w:color w:val="auto"/>
          <w:lang w:bidi="ar"/>
        </w:rPr>
        <w:t>M&gt;20</w:t>
      </w:r>
      <w:r>
        <w:rPr>
          <w:rFonts w:hint="eastAsia" w:cs="宋体"/>
          <w:color w:val="auto"/>
          <w:lang w:bidi="ar"/>
        </w:rPr>
        <w:t>；（</w:t>
      </w:r>
      <w:r>
        <w:rPr>
          <w:color w:val="auto"/>
          <w:lang w:bidi="ar"/>
        </w:rPr>
        <w:t>2</w:t>
      </w:r>
      <w:r>
        <w:rPr>
          <w:rFonts w:hint="eastAsia" w:cs="宋体"/>
          <w:color w:val="auto"/>
          <w:lang w:bidi="ar"/>
        </w:rPr>
        <w:t>）</w:t>
      </w:r>
      <w:r>
        <w:rPr>
          <w:color w:val="auto"/>
          <w:lang w:bidi="ar"/>
        </w:rPr>
        <w:t>10&lt;M</w:t>
      </w:r>
      <w:r>
        <w:rPr>
          <w:rFonts w:hint="eastAsia" w:cs="宋体"/>
          <w:color w:val="auto"/>
          <w:lang w:bidi="ar"/>
        </w:rPr>
        <w:t>≤</w:t>
      </w:r>
      <w:r>
        <w:rPr>
          <w:color w:val="auto"/>
          <w:lang w:bidi="ar"/>
        </w:rPr>
        <w:t>20</w:t>
      </w:r>
      <w:r>
        <w:rPr>
          <w:rFonts w:hint="eastAsia" w:cs="宋体"/>
          <w:color w:val="auto"/>
          <w:lang w:bidi="ar"/>
        </w:rPr>
        <w:t>；（</w:t>
      </w:r>
      <w:r>
        <w:rPr>
          <w:color w:val="auto"/>
          <w:lang w:bidi="ar"/>
        </w:rPr>
        <w:t>3</w:t>
      </w:r>
      <w:r>
        <w:rPr>
          <w:rFonts w:hint="eastAsia" w:cs="宋体"/>
          <w:color w:val="auto"/>
          <w:lang w:bidi="ar"/>
        </w:rPr>
        <w:t>）</w:t>
      </w:r>
      <w:r>
        <w:rPr>
          <w:color w:val="auto"/>
          <w:lang w:bidi="ar"/>
        </w:rPr>
        <w:t>5&lt;M</w:t>
      </w:r>
      <w:r>
        <w:rPr>
          <w:rFonts w:hint="eastAsia" w:cs="宋体"/>
          <w:color w:val="auto"/>
          <w:lang w:bidi="ar"/>
        </w:rPr>
        <w:t>≤</w:t>
      </w:r>
      <w:r>
        <w:rPr>
          <w:color w:val="auto"/>
          <w:lang w:bidi="ar"/>
        </w:rPr>
        <w:t>10</w:t>
      </w:r>
      <w:r>
        <w:rPr>
          <w:rFonts w:hint="eastAsia" w:cs="宋体"/>
          <w:color w:val="auto"/>
          <w:lang w:bidi="ar"/>
        </w:rPr>
        <w:t>；（</w:t>
      </w:r>
      <w:r>
        <w:rPr>
          <w:color w:val="auto"/>
          <w:lang w:bidi="ar"/>
        </w:rPr>
        <w:t>4</w:t>
      </w:r>
      <w:r>
        <w:rPr>
          <w:rFonts w:hint="eastAsia" w:cs="宋体"/>
          <w:color w:val="auto"/>
          <w:lang w:bidi="ar"/>
        </w:rPr>
        <w:t>）</w:t>
      </w:r>
      <w:r>
        <w:rPr>
          <w:color w:val="auto"/>
          <w:lang w:bidi="ar"/>
        </w:rPr>
        <w:t>M=5</w:t>
      </w:r>
      <w:r>
        <w:rPr>
          <w:rFonts w:hint="eastAsia" w:cs="宋体"/>
          <w:color w:val="auto"/>
          <w:lang w:bidi="ar"/>
        </w:rPr>
        <w:t>，分别以</w:t>
      </w:r>
      <w:r>
        <w:rPr>
          <w:color w:val="auto"/>
          <w:lang w:bidi="ar"/>
        </w:rPr>
        <w:t>M1</w:t>
      </w:r>
      <w:r>
        <w:rPr>
          <w:rFonts w:hint="eastAsia" w:cs="宋体"/>
          <w:color w:val="auto"/>
          <w:lang w:bidi="ar"/>
        </w:rPr>
        <w:t>、</w:t>
      </w:r>
      <w:r>
        <w:rPr>
          <w:color w:val="auto"/>
          <w:lang w:bidi="ar"/>
        </w:rPr>
        <w:t>M2</w:t>
      </w:r>
      <w:r>
        <w:rPr>
          <w:rFonts w:hint="eastAsia" w:cs="宋体"/>
          <w:color w:val="auto"/>
          <w:lang w:bidi="ar"/>
        </w:rPr>
        <w:t>、</w:t>
      </w:r>
      <w:r>
        <w:rPr>
          <w:color w:val="auto"/>
          <w:lang w:bidi="ar"/>
        </w:rPr>
        <w:t>M3</w:t>
      </w:r>
      <w:r>
        <w:rPr>
          <w:rFonts w:hint="eastAsia" w:cs="宋体"/>
          <w:color w:val="auto"/>
          <w:lang w:bidi="ar"/>
        </w:rPr>
        <w:t>和</w:t>
      </w:r>
      <w:r>
        <w:rPr>
          <w:color w:val="auto"/>
          <w:lang w:bidi="ar"/>
        </w:rPr>
        <w:t>M4</w:t>
      </w:r>
      <w:r>
        <w:rPr>
          <w:rFonts w:hint="eastAsia" w:cs="宋体"/>
          <w:color w:val="auto"/>
          <w:lang w:bidi="ar"/>
        </w:rPr>
        <w:t>表示。</w:t>
      </w:r>
    </w:p>
    <w:p w14:paraId="1639686F">
      <w:pPr>
        <w:spacing w:line="240" w:lineRule="auto"/>
        <w:ind w:firstLine="0" w:firstLineChars="0"/>
        <w:jc w:val="center"/>
        <w:rPr>
          <w:b/>
          <w:bCs/>
          <w:color w:val="auto"/>
          <w:lang w:bidi="ar"/>
        </w:rPr>
      </w:pPr>
      <w:r>
        <w:rPr>
          <w:rFonts w:hint="eastAsia" w:cs="宋体"/>
          <w:b/>
          <w:bCs/>
          <w:color w:val="auto"/>
          <w:lang w:bidi="ar"/>
        </w:rPr>
        <w:t>表</w:t>
      </w:r>
      <w:r>
        <w:rPr>
          <w:rFonts w:hint="eastAsia"/>
          <w:b/>
          <w:bCs/>
          <w:color w:val="auto"/>
          <w:lang w:bidi="ar"/>
        </w:rPr>
        <w:t>2.5.1-10</w:t>
      </w:r>
      <w:r>
        <w:rPr>
          <w:b/>
          <w:bCs/>
          <w:color w:val="auto"/>
          <w:lang w:bidi="ar"/>
        </w:rPr>
        <w:t xml:space="preserve">  </w:t>
      </w:r>
      <w:r>
        <w:rPr>
          <w:rFonts w:hint="eastAsia" w:cs="宋体"/>
          <w:b/>
          <w:bCs/>
          <w:color w:val="auto"/>
          <w:lang w:bidi="ar"/>
        </w:rPr>
        <w:t>行业及生产工艺（</w:t>
      </w:r>
      <w:r>
        <w:rPr>
          <w:b/>
          <w:bCs/>
          <w:color w:val="auto"/>
          <w:lang w:bidi="ar"/>
        </w:rPr>
        <w:t>M</w:t>
      </w:r>
      <w:r>
        <w:rPr>
          <w:rFonts w:hint="eastAsia" w:cs="宋体"/>
          <w:b/>
          <w:bCs/>
          <w:color w:val="auto"/>
          <w:lang w:bidi="ar"/>
        </w:rPr>
        <w:t>）</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5076"/>
        <w:gridCol w:w="653"/>
        <w:gridCol w:w="631"/>
        <w:gridCol w:w="1459"/>
      </w:tblGrid>
      <w:tr w14:paraId="64FF3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87" w:type="pct"/>
            <w:tcBorders>
              <w:top w:val="single" w:color="auto" w:sz="12" w:space="0"/>
              <w:left w:val="nil"/>
              <w:bottom w:val="single" w:color="auto" w:sz="4" w:space="0"/>
              <w:right w:val="single" w:color="auto" w:sz="4" w:space="0"/>
            </w:tcBorders>
            <w:shd w:val="clear" w:color="auto" w:fill="auto"/>
            <w:vAlign w:val="center"/>
          </w:tcPr>
          <w:p w14:paraId="33681D0D">
            <w:pPr>
              <w:spacing w:line="240" w:lineRule="auto"/>
              <w:ind w:firstLine="0" w:firstLineChars="0"/>
              <w:jc w:val="center"/>
              <w:rPr>
                <w:b/>
                <w:bCs/>
                <w:color w:val="auto"/>
                <w:sz w:val="21"/>
                <w:szCs w:val="21"/>
                <w:lang w:bidi="ar"/>
              </w:rPr>
            </w:pPr>
            <w:r>
              <w:rPr>
                <w:rFonts w:hint="eastAsia" w:cs="宋体"/>
                <w:b/>
                <w:bCs/>
                <w:color w:val="auto"/>
                <w:sz w:val="21"/>
                <w:szCs w:val="21"/>
                <w:lang w:bidi="ar"/>
              </w:rPr>
              <w:t>行业</w:t>
            </w:r>
          </w:p>
        </w:tc>
        <w:tc>
          <w:tcPr>
            <w:tcW w:w="2735" w:type="pct"/>
            <w:tcBorders>
              <w:top w:val="single" w:color="auto" w:sz="12" w:space="0"/>
              <w:left w:val="nil"/>
              <w:bottom w:val="single" w:color="auto" w:sz="4" w:space="0"/>
              <w:right w:val="single" w:color="auto" w:sz="4" w:space="0"/>
            </w:tcBorders>
            <w:shd w:val="clear" w:color="auto" w:fill="auto"/>
            <w:vAlign w:val="center"/>
          </w:tcPr>
          <w:p w14:paraId="3C2F5470">
            <w:pPr>
              <w:spacing w:line="240" w:lineRule="auto"/>
              <w:ind w:firstLine="0" w:firstLineChars="0"/>
              <w:jc w:val="center"/>
              <w:rPr>
                <w:b/>
                <w:bCs/>
                <w:color w:val="auto"/>
                <w:sz w:val="21"/>
                <w:szCs w:val="21"/>
              </w:rPr>
            </w:pPr>
            <w:r>
              <w:rPr>
                <w:rFonts w:hint="eastAsia" w:cs="宋体"/>
                <w:b/>
                <w:bCs/>
                <w:color w:val="auto"/>
                <w:sz w:val="21"/>
                <w:szCs w:val="21"/>
                <w:lang w:bidi="ar"/>
              </w:rPr>
              <w:t>评估依据</w:t>
            </w:r>
          </w:p>
        </w:tc>
        <w:tc>
          <w:tcPr>
            <w:tcW w:w="352" w:type="pct"/>
            <w:tcBorders>
              <w:top w:val="single" w:color="auto" w:sz="12" w:space="0"/>
              <w:left w:val="single" w:color="auto" w:sz="4" w:space="0"/>
              <w:bottom w:val="single" w:color="auto" w:sz="4" w:space="0"/>
              <w:right w:val="nil"/>
            </w:tcBorders>
            <w:shd w:val="clear" w:color="auto" w:fill="auto"/>
            <w:vAlign w:val="center"/>
          </w:tcPr>
          <w:p w14:paraId="7EC728EC">
            <w:pPr>
              <w:spacing w:line="240" w:lineRule="auto"/>
              <w:ind w:firstLine="0" w:firstLineChars="0"/>
              <w:jc w:val="center"/>
              <w:rPr>
                <w:b/>
                <w:bCs/>
                <w:color w:val="auto"/>
                <w:sz w:val="21"/>
                <w:szCs w:val="21"/>
              </w:rPr>
            </w:pPr>
            <w:r>
              <w:rPr>
                <w:rFonts w:hint="eastAsia" w:cs="宋体"/>
                <w:b/>
                <w:bCs/>
                <w:color w:val="auto"/>
                <w:sz w:val="21"/>
                <w:szCs w:val="21"/>
                <w:lang w:bidi="ar"/>
              </w:rPr>
              <w:t>分值</w:t>
            </w:r>
          </w:p>
        </w:tc>
        <w:tc>
          <w:tcPr>
            <w:tcW w:w="340" w:type="pct"/>
            <w:tcBorders>
              <w:top w:val="single" w:color="auto" w:sz="12" w:space="0"/>
              <w:left w:val="single" w:color="auto" w:sz="4" w:space="0"/>
              <w:bottom w:val="single" w:color="auto" w:sz="4" w:space="0"/>
              <w:right w:val="nil"/>
            </w:tcBorders>
            <w:shd w:val="clear" w:color="auto" w:fill="auto"/>
            <w:vAlign w:val="center"/>
          </w:tcPr>
          <w:p w14:paraId="3979D694">
            <w:pPr>
              <w:spacing w:line="240" w:lineRule="auto"/>
              <w:ind w:firstLine="0" w:firstLineChars="0"/>
              <w:jc w:val="center"/>
              <w:rPr>
                <w:b/>
                <w:bCs/>
                <w:color w:val="auto"/>
                <w:sz w:val="21"/>
                <w:szCs w:val="21"/>
              </w:rPr>
            </w:pPr>
            <w:r>
              <w:rPr>
                <w:rFonts w:hint="eastAsia" w:cs="宋体"/>
                <w:b/>
                <w:bCs/>
                <w:color w:val="auto"/>
                <w:sz w:val="21"/>
                <w:szCs w:val="21"/>
                <w:lang w:bidi="ar"/>
              </w:rPr>
              <w:t>得分</w:t>
            </w:r>
          </w:p>
        </w:tc>
        <w:tc>
          <w:tcPr>
            <w:tcW w:w="783" w:type="pct"/>
            <w:tcBorders>
              <w:top w:val="single" w:color="auto" w:sz="12" w:space="0"/>
              <w:left w:val="single" w:color="auto" w:sz="4" w:space="0"/>
              <w:bottom w:val="single" w:color="auto" w:sz="4" w:space="0"/>
              <w:right w:val="nil"/>
            </w:tcBorders>
            <w:shd w:val="clear" w:color="auto" w:fill="auto"/>
            <w:vAlign w:val="center"/>
          </w:tcPr>
          <w:p w14:paraId="1229B486">
            <w:pPr>
              <w:spacing w:line="240" w:lineRule="auto"/>
              <w:ind w:firstLine="0" w:firstLineChars="0"/>
              <w:jc w:val="center"/>
              <w:rPr>
                <w:b/>
                <w:bCs/>
                <w:color w:val="auto"/>
                <w:sz w:val="21"/>
                <w:szCs w:val="21"/>
              </w:rPr>
            </w:pPr>
            <w:r>
              <w:rPr>
                <w:rFonts w:hint="eastAsia" w:cs="宋体"/>
                <w:b/>
                <w:bCs/>
                <w:color w:val="auto"/>
                <w:sz w:val="21"/>
                <w:szCs w:val="21"/>
                <w:lang w:bidi="ar"/>
              </w:rPr>
              <w:t>备注</w:t>
            </w:r>
          </w:p>
        </w:tc>
      </w:tr>
      <w:tr w14:paraId="01E23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vMerge w:val="restart"/>
            <w:tcBorders>
              <w:top w:val="single" w:color="auto" w:sz="4" w:space="0"/>
              <w:left w:val="nil"/>
              <w:bottom w:val="single" w:color="auto" w:sz="4" w:space="0"/>
              <w:right w:val="single" w:color="auto" w:sz="4" w:space="0"/>
            </w:tcBorders>
            <w:shd w:val="clear" w:color="auto" w:fill="auto"/>
            <w:vAlign w:val="center"/>
          </w:tcPr>
          <w:p w14:paraId="2E72D381">
            <w:pPr>
              <w:spacing w:line="240" w:lineRule="auto"/>
              <w:ind w:firstLine="0" w:firstLineChars="0"/>
              <w:jc w:val="center"/>
              <w:rPr>
                <w:color w:val="auto"/>
                <w:sz w:val="21"/>
                <w:szCs w:val="21"/>
                <w:lang w:bidi="ar"/>
              </w:rPr>
            </w:pPr>
            <w:r>
              <w:rPr>
                <w:rFonts w:hint="eastAsia" w:cs="宋体"/>
                <w:color w:val="auto"/>
                <w:sz w:val="21"/>
                <w:szCs w:val="21"/>
                <w:lang w:bidi="ar"/>
              </w:rPr>
              <w:t>石化、化工、医药、轻工、化纤、有色冶炼等</w:t>
            </w:r>
          </w:p>
        </w:tc>
        <w:tc>
          <w:tcPr>
            <w:tcW w:w="2735" w:type="pct"/>
            <w:tcBorders>
              <w:top w:val="single" w:color="auto" w:sz="4" w:space="0"/>
              <w:left w:val="nil"/>
              <w:bottom w:val="single" w:color="auto" w:sz="4" w:space="0"/>
              <w:right w:val="single" w:color="auto" w:sz="4" w:space="0"/>
            </w:tcBorders>
            <w:shd w:val="clear" w:color="auto" w:fill="auto"/>
            <w:vAlign w:val="center"/>
          </w:tcPr>
          <w:p w14:paraId="0628C167">
            <w:pPr>
              <w:spacing w:line="240" w:lineRule="auto"/>
              <w:ind w:firstLine="0" w:firstLineChars="0"/>
              <w:jc w:val="center"/>
              <w:rPr>
                <w:color w:val="auto"/>
                <w:sz w:val="21"/>
                <w:szCs w:val="21"/>
              </w:rPr>
            </w:pPr>
            <w:r>
              <w:rPr>
                <w:rFonts w:hint="eastAsia" w:cs="宋体"/>
                <w:color w:val="auto"/>
                <w:sz w:val="21"/>
                <w:szCs w:val="21"/>
                <w:lang w:bidi="ar"/>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352" w:type="pct"/>
            <w:tcBorders>
              <w:top w:val="single" w:color="auto" w:sz="4" w:space="0"/>
              <w:left w:val="single" w:color="auto" w:sz="4" w:space="0"/>
              <w:bottom w:val="single" w:color="auto" w:sz="4" w:space="0"/>
              <w:right w:val="nil"/>
            </w:tcBorders>
            <w:shd w:val="clear" w:color="auto" w:fill="auto"/>
            <w:vAlign w:val="center"/>
          </w:tcPr>
          <w:p w14:paraId="64902F1C">
            <w:pPr>
              <w:spacing w:line="240" w:lineRule="auto"/>
              <w:ind w:firstLine="0" w:firstLineChars="0"/>
              <w:jc w:val="center"/>
              <w:rPr>
                <w:color w:val="auto"/>
                <w:sz w:val="21"/>
                <w:szCs w:val="21"/>
              </w:rPr>
            </w:pPr>
            <w:r>
              <w:rPr>
                <w:color w:val="auto"/>
                <w:sz w:val="21"/>
                <w:szCs w:val="21"/>
                <w:lang w:bidi="ar"/>
              </w:rPr>
              <w:t>10/</w:t>
            </w:r>
            <w:r>
              <w:rPr>
                <w:rFonts w:hint="eastAsia" w:cs="宋体"/>
                <w:color w:val="auto"/>
                <w:sz w:val="21"/>
                <w:szCs w:val="21"/>
                <w:lang w:bidi="ar"/>
              </w:rPr>
              <w:t>套</w:t>
            </w:r>
          </w:p>
        </w:tc>
        <w:tc>
          <w:tcPr>
            <w:tcW w:w="340" w:type="pct"/>
            <w:tcBorders>
              <w:top w:val="single" w:color="auto" w:sz="4" w:space="0"/>
              <w:left w:val="single" w:color="auto" w:sz="4" w:space="0"/>
              <w:bottom w:val="single" w:color="auto" w:sz="4" w:space="0"/>
              <w:right w:val="nil"/>
            </w:tcBorders>
            <w:shd w:val="clear" w:color="auto" w:fill="auto"/>
            <w:vAlign w:val="center"/>
          </w:tcPr>
          <w:p w14:paraId="0A6C22D6">
            <w:pPr>
              <w:spacing w:line="240" w:lineRule="auto"/>
              <w:ind w:firstLine="0" w:firstLineChars="0"/>
              <w:jc w:val="center"/>
              <w:rPr>
                <w:color w:val="auto"/>
                <w:sz w:val="21"/>
                <w:szCs w:val="21"/>
              </w:rPr>
            </w:pPr>
            <w:r>
              <w:rPr>
                <w:color w:val="auto"/>
                <w:sz w:val="21"/>
                <w:szCs w:val="21"/>
                <w:lang w:bidi="ar"/>
              </w:rPr>
              <w:t>0</w:t>
            </w:r>
          </w:p>
        </w:tc>
        <w:tc>
          <w:tcPr>
            <w:tcW w:w="783" w:type="pct"/>
            <w:tcBorders>
              <w:top w:val="single" w:color="auto" w:sz="4" w:space="0"/>
              <w:left w:val="single" w:color="auto" w:sz="4" w:space="0"/>
              <w:bottom w:val="single" w:color="auto" w:sz="4" w:space="0"/>
              <w:right w:val="nil"/>
            </w:tcBorders>
            <w:shd w:val="clear" w:color="auto" w:fill="auto"/>
            <w:vAlign w:val="center"/>
          </w:tcPr>
          <w:p w14:paraId="7181212A">
            <w:pPr>
              <w:spacing w:line="240" w:lineRule="auto"/>
              <w:ind w:firstLine="0" w:firstLineChars="0"/>
              <w:jc w:val="center"/>
              <w:rPr>
                <w:color w:val="auto"/>
                <w:sz w:val="21"/>
                <w:szCs w:val="21"/>
              </w:rPr>
            </w:pPr>
            <w:r>
              <w:rPr>
                <w:color w:val="auto"/>
                <w:sz w:val="21"/>
                <w:szCs w:val="21"/>
                <w:lang w:bidi="ar"/>
              </w:rPr>
              <w:t>/</w:t>
            </w:r>
          </w:p>
        </w:tc>
      </w:tr>
      <w:tr w14:paraId="2A45C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vMerge w:val="continue"/>
            <w:tcBorders>
              <w:top w:val="single" w:color="auto" w:sz="4" w:space="0"/>
              <w:left w:val="nil"/>
              <w:bottom w:val="single" w:color="auto" w:sz="4" w:space="0"/>
              <w:right w:val="single" w:color="auto" w:sz="4" w:space="0"/>
            </w:tcBorders>
            <w:shd w:val="clear" w:color="auto" w:fill="auto"/>
            <w:vAlign w:val="center"/>
          </w:tcPr>
          <w:p w14:paraId="5E312900">
            <w:pPr>
              <w:spacing w:line="240" w:lineRule="auto"/>
              <w:ind w:firstLine="400"/>
              <w:rPr>
                <w:color w:val="auto"/>
                <w:sz w:val="20"/>
                <w:szCs w:val="20"/>
              </w:rPr>
            </w:pPr>
          </w:p>
        </w:tc>
        <w:tc>
          <w:tcPr>
            <w:tcW w:w="2735" w:type="pct"/>
            <w:tcBorders>
              <w:top w:val="single" w:color="auto" w:sz="4" w:space="0"/>
              <w:left w:val="nil"/>
              <w:bottom w:val="single" w:color="auto" w:sz="4" w:space="0"/>
              <w:right w:val="single" w:color="auto" w:sz="4" w:space="0"/>
            </w:tcBorders>
            <w:shd w:val="clear" w:color="auto" w:fill="auto"/>
            <w:vAlign w:val="center"/>
          </w:tcPr>
          <w:p w14:paraId="1EFEBCF8">
            <w:pPr>
              <w:spacing w:line="240" w:lineRule="auto"/>
              <w:ind w:firstLine="0" w:firstLineChars="0"/>
              <w:jc w:val="center"/>
              <w:rPr>
                <w:color w:val="auto"/>
                <w:sz w:val="21"/>
                <w:szCs w:val="21"/>
                <w:lang w:bidi="ar"/>
              </w:rPr>
            </w:pPr>
            <w:r>
              <w:rPr>
                <w:rFonts w:hint="eastAsia" w:cs="宋体"/>
                <w:color w:val="auto"/>
                <w:sz w:val="21"/>
                <w:szCs w:val="21"/>
                <w:lang w:bidi="ar"/>
              </w:rPr>
              <w:t>无机酸制酸工艺、焦化工艺</w:t>
            </w:r>
          </w:p>
        </w:tc>
        <w:tc>
          <w:tcPr>
            <w:tcW w:w="352" w:type="pct"/>
            <w:tcBorders>
              <w:top w:val="single" w:color="auto" w:sz="4" w:space="0"/>
              <w:left w:val="single" w:color="auto" w:sz="4" w:space="0"/>
              <w:bottom w:val="single" w:color="auto" w:sz="4" w:space="0"/>
              <w:right w:val="nil"/>
            </w:tcBorders>
            <w:shd w:val="clear" w:color="auto" w:fill="auto"/>
            <w:vAlign w:val="center"/>
          </w:tcPr>
          <w:p w14:paraId="2DA44A04">
            <w:pPr>
              <w:spacing w:line="240" w:lineRule="auto"/>
              <w:ind w:firstLine="0" w:firstLineChars="0"/>
              <w:jc w:val="center"/>
              <w:rPr>
                <w:color w:val="auto"/>
                <w:sz w:val="21"/>
                <w:szCs w:val="21"/>
                <w:lang w:bidi="ar"/>
              </w:rPr>
            </w:pPr>
            <w:r>
              <w:rPr>
                <w:color w:val="auto"/>
                <w:sz w:val="21"/>
                <w:szCs w:val="21"/>
                <w:lang w:bidi="ar"/>
              </w:rPr>
              <w:t>5/</w:t>
            </w:r>
            <w:r>
              <w:rPr>
                <w:rFonts w:hint="eastAsia" w:cs="宋体"/>
                <w:color w:val="auto"/>
                <w:sz w:val="21"/>
                <w:szCs w:val="21"/>
                <w:lang w:bidi="ar"/>
              </w:rPr>
              <w:t>套</w:t>
            </w:r>
          </w:p>
        </w:tc>
        <w:tc>
          <w:tcPr>
            <w:tcW w:w="340" w:type="pct"/>
            <w:tcBorders>
              <w:top w:val="single" w:color="auto" w:sz="4" w:space="0"/>
              <w:left w:val="single" w:color="auto" w:sz="4" w:space="0"/>
              <w:bottom w:val="single" w:color="auto" w:sz="4" w:space="0"/>
              <w:right w:val="nil"/>
            </w:tcBorders>
            <w:shd w:val="clear" w:color="auto" w:fill="auto"/>
            <w:vAlign w:val="center"/>
          </w:tcPr>
          <w:p w14:paraId="12B83FB7">
            <w:pPr>
              <w:spacing w:line="240" w:lineRule="auto"/>
              <w:ind w:firstLine="0" w:firstLineChars="0"/>
              <w:jc w:val="center"/>
              <w:rPr>
                <w:color w:val="auto"/>
                <w:sz w:val="21"/>
                <w:szCs w:val="21"/>
                <w:lang w:bidi="ar"/>
              </w:rPr>
            </w:pPr>
            <w:r>
              <w:rPr>
                <w:color w:val="auto"/>
                <w:sz w:val="21"/>
                <w:szCs w:val="21"/>
                <w:lang w:bidi="ar"/>
              </w:rPr>
              <w:t>0</w:t>
            </w:r>
          </w:p>
        </w:tc>
        <w:tc>
          <w:tcPr>
            <w:tcW w:w="783" w:type="pct"/>
            <w:tcBorders>
              <w:top w:val="single" w:color="auto" w:sz="4" w:space="0"/>
              <w:left w:val="single" w:color="auto" w:sz="4" w:space="0"/>
              <w:bottom w:val="single" w:color="auto" w:sz="4" w:space="0"/>
              <w:right w:val="nil"/>
            </w:tcBorders>
            <w:shd w:val="clear" w:color="auto" w:fill="auto"/>
            <w:vAlign w:val="center"/>
          </w:tcPr>
          <w:p w14:paraId="4171152A">
            <w:pPr>
              <w:spacing w:line="240" w:lineRule="auto"/>
              <w:ind w:firstLine="0" w:firstLineChars="0"/>
              <w:jc w:val="center"/>
              <w:rPr>
                <w:color w:val="auto"/>
                <w:sz w:val="21"/>
                <w:szCs w:val="21"/>
                <w:lang w:bidi="ar"/>
              </w:rPr>
            </w:pPr>
            <w:r>
              <w:rPr>
                <w:color w:val="auto"/>
                <w:sz w:val="21"/>
                <w:szCs w:val="21"/>
                <w:lang w:bidi="ar"/>
              </w:rPr>
              <w:t>/</w:t>
            </w:r>
          </w:p>
        </w:tc>
      </w:tr>
      <w:tr w14:paraId="6C0CF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vMerge w:val="continue"/>
            <w:tcBorders>
              <w:top w:val="single" w:color="auto" w:sz="4" w:space="0"/>
              <w:left w:val="nil"/>
              <w:bottom w:val="single" w:color="auto" w:sz="4" w:space="0"/>
              <w:right w:val="single" w:color="auto" w:sz="4" w:space="0"/>
            </w:tcBorders>
            <w:shd w:val="clear" w:color="auto" w:fill="auto"/>
            <w:vAlign w:val="center"/>
          </w:tcPr>
          <w:p w14:paraId="516043AB">
            <w:pPr>
              <w:spacing w:line="240" w:lineRule="auto"/>
              <w:ind w:firstLine="400"/>
              <w:rPr>
                <w:color w:val="auto"/>
                <w:sz w:val="20"/>
                <w:szCs w:val="20"/>
              </w:rPr>
            </w:pPr>
          </w:p>
        </w:tc>
        <w:tc>
          <w:tcPr>
            <w:tcW w:w="2735" w:type="pct"/>
            <w:tcBorders>
              <w:top w:val="single" w:color="auto" w:sz="4" w:space="0"/>
              <w:left w:val="nil"/>
              <w:bottom w:val="single" w:color="auto" w:sz="4" w:space="0"/>
              <w:right w:val="single" w:color="auto" w:sz="4" w:space="0"/>
            </w:tcBorders>
            <w:shd w:val="clear" w:color="auto" w:fill="auto"/>
            <w:vAlign w:val="center"/>
          </w:tcPr>
          <w:p w14:paraId="7510D3A8">
            <w:pPr>
              <w:spacing w:line="240" w:lineRule="auto"/>
              <w:ind w:firstLine="0" w:firstLineChars="0"/>
              <w:jc w:val="center"/>
              <w:rPr>
                <w:color w:val="auto"/>
                <w:sz w:val="21"/>
                <w:szCs w:val="21"/>
                <w:lang w:bidi="ar"/>
              </w:rPr>
            </w:pPr>
            <w:r>
              <w:rPr>
                <w:rFonts w:hint="eastAsia" w:cs="宋体"/>
                <w:color w:val="auto"/>
                <w:sz w:val="21"/>
                <w:szCs w:val="21"/>
                <w:lang w:bidi="ar"/>
              </w:rPr>
              <w:t>其他高温或高压、涉及易燃易爆等物质的工艺过程</w:t>
            </w:r>
            <w:r>
              <w:rPr>
                <w:color w:val="auto"/>
                <w:sz w:val="21"/>
                <w:szCs w:val="21"/>
                <w:vertAlign w:val="superscript"/>
                <w:lang w:bidi="ar"/>
              </w:rPr>
              <w:t>a</w:t>
            </w:r>
          </w:p>
        </w:tc>
        <w:tc>
          <w:tcPr>
            <w:tcW w:w="352" w:type="pct"/>
            <w:tcBorders>
              <w:top w:val="single" w:color="auto" w:sz="4" w:space="0"/>
              <w:left w:val="single" w:color="auto" w:sz="4" w:space="0"/>
              <w:bottom w:val="single" w:color="auto" w:sz="4" w:space="0"/>
              <w:right w:val="nil"/>
            </w:tcBorders>
            <w:shd w:val="clear" w:color="auto" w:fill="auto"/>
            <w:vAlign w:val="center"/>
          </w:tcPr>
          <w:p w14:paraId="2194BA63">
            <w:pPr>
              <w:spacing w:line="240" w:lineRule="auto"/>
              <w:ind w:firstLine="0" w:firstLineChars="0"/>
              <w:jc w:val="center"/>
              <w:rPr>
                <w:color w:val="auto"/>
                <w:sz w:val="21"/>
                <w:szCs w:val="21"/>
                <w:lang w:bidi="ar"/>
              </w:rPr>
            </w:pPr>
            <w:r>
              <w:rPr>
                <w:color w:val="auto"/>
                <w:sz w:val="21"/>
                <w:szCs w:val="21"/>
                <w:lang w:bidi="ar"/>
              </w:rPr>
              <w:t>5/</w:t>
            </w:r>
            <w:r>
              <w:rPr>
                <w:rFonts w:hint="eastAsia" w:cs="宋体"/>
                <w:color w:val="auto"/>
                <w:sz w:val="21"/>
                <w:szCs w:val="21"/>
                <w:lang w:bidi="ar"/>
              </w:rPr>
              <w:t>套</w:t>
            </w:r>
          </w:p>
        </w:tc>
        <w:tc>
          <w:tcPr>
            <w:tcW w:w="340" w:type="pct"/>
            <w:tcBorders>
              <w:top w:val="single" w:color="auto" w:sz="4" w:space="0"/>
              <w:left w:val="single" w:color="auto" w:sz="4" w:space="0"/>
              <w:bottom w:val="single" w:color="auto" w:sz="4" w:space="0"/>
              <w:right w:val="nil"/>
            </w:tcBorders>
            <w:shd w:val="clear" w:color="auto" w:fill="auto"/>
            <w:vAlign w:val="center"/>
          </w:tcPr>
          <w:p w14:paraId="61BF203C">
            <w:pPr>
              <w:spacing w:line="240" w:lineRule="auto"/>
              <w:ind w:firstLine="0" w:firstLineChars="0"/>
              <w:jc w:val="center"/>
              <w:rPr>
                <w:color w:val="auto"/>
                <w:sz w:val="21"/>
                <w:szCs w:val="21"/>
              </w:rPr>
            </w:pPr>
            <w:r>
              <w:rPr>
                <w:color w:val="auto"/>
                <w:sz w:val="21"/>
                <w:szCs w:val="21"/>
                <w:lang w:bidi="ar"/>
              </w:rPr>
              <w:t>0</w:t>
            </w:r>
          </w:p>
        </w:tc>
        <w:tc>
          <w:tcPr>
            <w:tcW w:w="783" w:type="pct"/>
            <w:tcBorders>
              <w:top w:val="single" w:color="auto" w:sz="4" w:space="0"/>
              <w:left w:val="single" w:color="auto" w:sz="4" w:space="0"/>
              <w:bottom w:val="single" w:color="auto" w:sz="4" w:space="0"/>
              <w:right w:val="nil"/>
            </w:tcBorders>
            <w:shd w:val="clear" w:color="auto" w:fill="auto"/>
            <w:vAlign w:val="center"/>
          </w:tcPr>
          <w:p w14:paraId="7C448771">
            <w:pPr>
              <w:spacing w:line="240" w:lineRule="auto"/>
              <w:ind w:firstLine="0" w:firstLineChars="0"/>
              <w:jc w:val="center"/>
              <w:rPr>
                <w:color w:val="auto"/>
                <w:sz w:val="21"/>
                <w:szCs w:val="21"/>
                <w:lang w:bidi="ar"/>
              </w:rPr>
            </w:pPr>
            <w:r>
              <w:rPr>
                <w:color w:val="auto"/>
                <w:sz w:val="21"/>
                <w:szCs w:val="21"/>
                <w:lang w:bidi="ar"/>
              </w:rPr>
              <w:t>/</w:t>
            </w:r>
          </w:p>
        </w:tc>
      </w:tr>
      <w:tr w14:paraId="45EBE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tcBorders>
              <w:top w:val="single" w:color="auto" w:sz="4" w:space="0"/>
              <w:left w:val="nil"/>
              <w:bottom w:val="single" w:color="auto" w:sz="4" w:space="0"/>
              <w:right w:val="single" w:color="auto" w:sz="4" w:space="0"/>
            </w:tcBorders>
            <w:shd w:val="clear" w:color="auto" w:fill="auto"/>
            <w:vAlign w:val="center"/>
          </w:tcPr>
          <w:p w14:paraId="499019DC">
            <w:pPr>
              <w:spacing w:line="240" w:lineRule="auto"/>
              <w:ind w:firstLine="0" w:firstLineChars="0"/>
              <w:jc w:val="center"/>
              <w:rPr>
                <w:color w:val="auto"/>
                <w:sz w:val="21"/>
                <w:szCs w:val="21"/>
                <w:lang w:bidi="ar"/>
              </w:rPr>
            </w:pPr>
            <w:r>
              <w:rPr>
                <w:rFonts w:hint="eastAsia" w:cs="宋体"/>
                <w:color w:val="auto"/>
                <w:sz w:val="21"/>
                <w:szCs w:val="21"/>
                <w:lang w:bidi="ar"/>
              </w:rPr>
              <w:t>管道、港口</w:t>
            </w:r>
            <w:r>
              <w:rPr>
                <w:color w:val="auto"/>
                <w:sz w:val="21"/>
                <w:szCs w:val="21"/>
                <w:lang w:bidi="ar"/>
              </w:rPr>
              <w:t>/</w:t>
            </w:r>
            <w:r>
              <w:rPr>
                <w:rFonts w:hint="eastAsia" w:cs="宋体"/>
                <w:color w:val="auto"/>
                <w:sz w:val="21"/>
                <w:szCs w:val="21"/>
                <w:lang w:bidi="ar"/>
              </w:rPr>
              <w:t>码头等</w:t>
            </w:r>
          </w:p>
        </w:tc>
        <w:tc>
          <w:tcPr>
            <w:tcW w:w="2735" w:type="pct"/>
            <w:tcBorders>
              <w:top w:val="single" w:color="auto" w:sz="4" w:space="0"/>
              <w:left w:val="nil"/>
              <w:bottom w:val="single" w:color="auto" w:sz="4" w:space="0"/>
              <w:right w:val="single" w:color="auto" w:sz="4" w:space="0"/>
            </w:tcBorders>
            <w:shd w:val="clear" w:color="auto" w:fill="auto"/>
            <w:vAlign w:val="center"/>
          </w:tcPr>
          <w:p w14:paraId="383CE484">
            <w:pPr>
              <w:spacing w:line="240" w:lineRule="auto"/>
              <w:ind w:firstLine="0" w:firstLineChars="0"/>
              <w:jc w:val="center"/>
              <w:rPr>
                <w:color w:val="auto"/>
                <w:sz w:val="21"/>
                <w:szCs w:val="21"/>
              </w:rPr>
            </w:pPr>
            <w:r>
              <w:rPr>
                <w:rFonts w:hint="eastAsia" w:cs="宋体"/>
                <w:color w:val="auto"/>
                <w:sz w:val="21"/>
                <w:szCs w:val="21"/>
                <w:lang w:bidi="ar"/>
              </w:rPr>
              <w:t>涉及危险物质管道运输项目、港口</w:t>
            </w:r>
            <w:r>
              <w:rPr>
                <w:color w:val="auto"/>
                <w:sz w:val="21"/>
                <w:szCs w:val="21"/>
                <w:lang w:bidi="ar"/>
              </w:rPr>
              <w:t>/</w:t>
            </w:r>
            <w:r>
              <w:rPr>
                <w:rFonts w:hint="eastAsia" w:cs="宋体"/>
                <w:color w:val="auto"/>
                <w:sz w:val="21"/>
                <w:szCs w:val="21"/>
                <w:lang w:bidi="ar"/>
              </w:rPr>
              <w:t>码头等</w:t>
            </w:r>
          </w:p>
        </w:tc>
        <w:tc>
          <w:tcPr>
            <w:tcW w:w="352" w:type="pct"/>
            <w:tcBorders>
              <w:top w:val="single" w:color="auto" w:sz="4" w:space="0"/>
              <w:left w:val="single" w:color="auto" w:sz="4" w:space="0"/>
              <w:bottom w:val="single" w:color="auto" w:sz="4" w:space="0"/>
              <w:right w:val="nil"/>
            </w:tcBorders>
            <w:shd w:val="clear" w:color="auto" w:fill="auto"/>
            <w:vAlign w:val="center"/>
          </w:tcPr>
          <w:p w14:paraId="13175C65">
            <w:pPr>
              <w:spacing w:line="240" w:lineRule="auto"/>
              <w:ind w:firstLine="0" w:firstLineChars="0"/>
              <w:jc w:val="center"/>
              <w:rPr>
                <w:color w:val="auto"/>
                <w:sz w:val="21"/>
                <w:szCs w:val="21"/>
              </w:rPr>
            </w:pPr>
            <w:r>
              <w:rPr>
                <w:color w:val="auto"/>
                <w:sz w:val="21"/>
                <w:szCs w:val="21"/>
                <w:lang w:bidi="ar"/>
              </w:rPr>
              <w:t>10</w:t>
            </w:r>
          </w:p>
        </w:tc>
        <w:tc>
          <w:tcPr>
            <w:tcW w:w="340" w:type="pct"/>
            <w:tcBorders>
              <w:top w:val="single" w:color="auto" w:sz="4" w:space="0"/>
              <w:left w:val="single" w:color="auto" w:sz="4" w:space="0"/>
              <w:bottom w:val="single" w:color="auto" w:sz="4" w:space="0"/>
              <w:right w:val="nil"/>
            </w:tcBorders>
            <w:shd w:val="clear" w:color="auto" w:fill="auto"/>
            <w:vAlign w:val="center"/>
          </w:tcPr>
          <w:p w14:paraId="02404A43">
            <w:pPr>
              <w:spacing w:line="240" w:lineRule="auto"/>
              <w:ind w:firstLine="0" w:firstLineChars="0"/>
              <w:jc w:val="center"/>
              <w:rPr>
                <w:color w:val="auto"/>
                <w:sz w:val="21"/>
                <w:szCs w:val="21"/>
                <w:lang w:bidi="ar"/>
              </w:rPr>
            </w:pPr>
            <w:r>
              <w:rPr>
                <w:color w:val="auto"/>
                <w:sz w:val="21"/>
                <w:szCs w:val="21"/>
                <w:lang w:bidi="ar"/>
              </w:rPr>
              <w:t>0</w:t>
            </w:r>
          </w:p>
        </w:tc>
        <w:tc>
          <w:tcPr>
            <w:tcW w:w="783" w:type="pct"/>
            <w:tcBorders>
              <w:top w:val="single" w:color="auto" w:sz="4" w:space="0"/>
              <w:left w:val="single" w:color="auto" w:sz="4" w:space="0"/>
              <w:bottom w:val="single" w:color="auto" w:sz="4" w:space="0"/>
              <w:right w:val="nil"/>
            </w:tcBorders>
            <w:shd w:val="clear" w:color="auto" w:fill="auto"/>
            <w:vAlign w:val="center"/>
          </w:tcPr>
          <w:p w14:paraId="776DAF53">
            <w:pPr>
              <w:spacing w:line="240" w:lineRule="auto"/>
              <w:ind w:firstLine="0" w:firstLineChars="0"/>
              <w:jc w:val="center"/>
              <w:rPr>
                <w:color w:val="auto"/>
                <w:sz w:val="21"/>
                <w:szCs w:val="21"/>
              </w:rPr>
            </w:pPr>
            <w:r>
              <w:rPr>
                <w:color w:val="auto"/>
                <w:sz w:val="21"/>
                <w:szCs w:val="21"/>
                <w:lang w:bidi="ar"/>
              </w:rPr>
              <w:t>/</w:t>
            </w:r>
          </w:p>
        </w:tc>
      </w:tr>
      <w:tr w14:paraId="600ED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tcBorders>
              <w:top w:val="single" w:color="auto" w:sz="4" w:space="0"/>
              <w:left w:val="nil"/>
              <w:bottom w:val="single" w:color="auto" w:sz="4" w:space="0"/>
              <w:right w:val="single" w:color="auto" w:sz="4" w:space="0"/>
            </w:tcBorders>
            <w:shd w:val="clear" w:color="auto" w:fill="auto"/>
            <w:vAlign w:val="center"/>
          </w:tcPr>
          <w:p w14:paraId="06C30B58">
            <w:pPr>
              <w:spacing w:line="240" w:lineRule="auto"/>
              <w:ind w:firstLine="0" w:firstLineChars="0"/>
              <w:jc w:val="center"/>
              <w:rPr>
                <w:color w:val="auto"/>
                <w:sz w:val="21"/>
                <w:szCs w:val="21"/>
                <w:lang w:bidi="ar"/>
              </w:rPr>
            </w:pPr>
            <w:r>
              <w:rPr>
                <w:rFonts w:hint="eastAsia" w:cs="宋体"/>
                <w:color w:val="auto"/>
                <w:sz w:val="21"/>
                <w:szCs w:val="21"/>
                <w:lang w:bidi="ar"/>
              </w:rPr>
              <w:t>石油天然气</w:t>
            </w:r>
          </w:p>
        </w:tc>
        <w:tc>
          <w:tcPr>
            <w:tcW w:w="2735" w:type="pct"/>
            <w:tcBorders>
              <w:top w:val="single" w:color="auto" w:sz="4" w:space="0"/>
              <w:left w:val="nil"/>
              <w:bottom w:val="single" w:color="auto" w:sz="4" w:space="0"/>
              <w:right w:val="single" w:color="auto" w:sz="4" w:space="0"/>
            </w:tcBorders>
            <w:shd w:val="clear" w:color="auto" w:fill="auto"/>
            <w:vAlign w:val="center"/>
          </w:tcPr>
          <w:p w14:paraId="0396F4F5">
            <w:pPr>
              <w:spacing w:line="240" w:lineRule="auto"/>
              <w:ind w:firstLine="0" w:firstLineChars="0"/>
              <w:jc w:val="center"/>
              <w:rPr>
                <w:color w:val="auto"/>
                <w:sz w:val="21"/>
                <w:szCs w:val="21"/>
              </w:rPr>
            </w:pPr>
            <w:r>
              <w:rPr>
                <w:rFonts w:hint="eastAsia" w:cs="宋体"/>
                <w:color w:val="auto"/>
                <w:sz w:val="21"/>
                <w:szCs w:val="21"/>
                <w:lang w:bidi="ar"/>
              </w:rPr>
              <w:t>石油、天然气、页岩气开采（含净化），气库（不含加气站的气库），油库（不含加气站的油库）、油气管线</w:t>
            </w:r>
            <w:r>
              <w:rPr>
                <w:color w:val="auto"/>
                <w:sz w:val="21"/>
                <w:szCs w:val="21"/>
                <w:lang w:bidi="ar"/>
              </w:rPr>
              <w:t>b</w:t>
            </w:r>
            <w:r>
              <w:rPr>
                <w:rFonts w:hint="eastAsia" w:cs="宋体"/>
                <w:color w:val="auto"/>
                <w:sz w:val="21"/>
                <w:szCs w:val="21"/>
                <w:lang w:bidi="ar"/>
              </w:rPr>
              <w:t>（不含城镇燃气管线）</w:t>
            </w:r>
          </w:p>
        </w:tc>
        <w:tc>
          <w:tcPr>
            <w:tcW w:w="352" w:type="pct"/>
            <w:tcBorders>
              <w:top w:val="single" w:color="auto" w:sz="4" w:space="0"/>
              <w:left w:val="single" w:color="auto" w:sz="4" w:space="0"/>
              <w:bottom w:val="single" w:color="auto" w:sz="4" w:space="0"/>
              <w:right w:val="nil"/>
            </w:tcBorders>
            <w:shd w:val="clear" w:color="auto" w:fill="auto"/>
            <w:vAlign w:val="center"/>
          </w:tcPr>
          <w:p w14:paraId="51400124">
            <w:pPr>
              <w:spacing w:line="240" w:lineRule="auto"/>
              <w:ind w:firstLine="0" w:firstLineChars="0"/>
              <w:jc w:val="center"/>
              <w:rPr>
                <w:color w:val="auto"/>
                <w:sz w:val="21"/>
                <w:szCs w:val="21"/>
              </w:rPr>
            </w:pPr>
            <w:r>
              <w:rPr>
                <w:color w:val="auto"/>
                <w:sz w:val="21"/>
                <w:szCs w:val="21"/>
                <w:lang w:bidi="ar"/>
              </w:rPr>
              <w:t>10</w:t>
            </w:r>
          </w:p>
        </w:tc>
        <w:tc>
          <w:tcPr>
            <w:tcW w:w="340" w:type="pct"/>
            <w:tcBorders>
              <w:top w:val="single" w:color="auto" w:sz="4" w:space="0"/>
              <w:left w:val="single" w:color="auto" w:sz="4" w:space="0"/>
              <w:bottom w:val="single" w:color="auto" w:sz="4" w:space="0"/>
              <w:right w:val="nil"/>
            </w:tcBorders>
            <w:shd w:val="clear" w:color="auto" w:fill="auto"/>
            <w:vAlign w:val="center"/>
          </w:tcPr>
          <w:p w14:paraId="1F78AD61">
            <w:pPr>
              <w:spacing w:line="240" w:lineRule="auto"/>
              <w:ind w:firstLine="0" w:firstLineChars="0"/>
              <w:jc w:val="center"/>
              <w:rPr>
                <w:color w:val="auto"/>
                <w:sz w:val="21"/>
                <w:szCs w:val="21"/>
              </w:rPr>
            </w:pPr>
            <w:r>
              <w:rPr>
                <w:color w:val="auto"/>
                <w:sz w:val="21"/>
                <w:szCs w:val="21"/>
                <w:lang w:bidi="ar"/>
              </w:rPr>
              <w:t>0</w:t>
            </w:r>
          </w:p>
        </w:tc>
        <w:tc>
          <w:tcPr>
            <w:tcW w:w="783" w:type="pct"/>
            <w:tcBorders>
              <w:top w:val="single" w:color="auto" w:sz="4" w:space="0"/>
              <w:left w:val="single" w:color="auto" w:sz="4" w:space="0"/>
              <w:bottom w:val="single" w:color="auto" w:sz="4" w:space="0"/>
              <w:right w:val="nil"/>
            </w:tcBorders>
            <w:shd w:val="clear" w:color="auto" w:fill="auto"/>
            <w:vAlign w:val="center"/>
          </w:tcPr>
          <w:p w14:paraId="73A019E8">
            <w:pPr>
              <w:spacing w:line="240" w:lineRule="auto"/>
              <w:ind w:firstLine="0" w:firstLineChars="0"/>
              <w:jc w:val="center"/>
              <w:rPr>
                <w:color w:val="auto"/>
                <w:sz w:val="21"/>
                <w:szCs w:val="21"/>
              </w:rPr>
            </w:pPr>
            <w:r>
              <w:rPr>
                <w:color w:val="auto"/>
                <w:sz w:val="21"/>
                <w:szCs w:val="21"/>
                <w:lang w:bidi="ar"/>
              </w:rPr>
              <w:t>/</w:t>
            </w:r>
          </w:p>
        </w:tc>
      </w:tr>
      <w:tr w14:paraId="637FC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pct"/>
            <w:tcBorders>
              <w:top w:val="single" w:color="auto" w:sz="4" w:space="0"/>
              <w:left w:val="nil"/>
              <w:bottom w:val="single" w:color="auto" w:sz="4" w:space="0"/>
              <w:right w:val="single" w:color="auto" w:sz="4" w:space="0"/>
            </w:tcBorders>
            <w:shd w:val="clear" w:color="auto" w:fill="auto"/>
            <w:vAlign w:val="center"/>
          </w:tcPr>
          <w:p w14:paraId="347DDE96">
            <w:pPr>
              <w:spacing w:line="240" w:lineRule="auto"/>
              <w:ind w:firstLine="0" w:firstLineChars="0"/>
              <w:jc w:val="center"/>
              <w:rPr>
                <w:color w:val="auto"/>
                <w:sz w:val="21"/>
                <w:szCs w:val="21"/>
                <w:lang w:bidi="ar"/>
              </w:rPr>
            </w:pPr>
            <w:r>
              <w:rPr>
                <w:rFonts w:hint="eastAsia" w:cs="宋体"/>
                <w:color w:val="auto"/>
                <w:sz w:val="21"/>
                <w:szCs w:val="21"/>
                <w:lang w:bidi="ar"/>
              </w:rPr>
              <w:t>其他</w:t>
            </w:r>
          </w:p>
        </w:tc>
        <w:tc>
          <w:tcPr>
            <w:tcW w:w="2735" w:type="pct"/>
            <w:tcBorders>
              <w:top w:val="single" w:color="auto" w:sz="4" w:space="0"/>
              <w:left w:val="nil"/>
              <w:bottom w:val="single" w:color="auto" w:sz="4" w:space="0"/>
              <w:right w:val="single" w:color="auto" w:sz="4" w:space="0"/>
            </w:tcBorders>
            <w:shd w:val="clear" w:color="auto" w:fill="auto"/>
            <w:vAlign w:val="center"/>
          </w:tcPr>
          <w:p w14:paraId="5BD0EB45">
            <w:pPr>
              <w:spacing w:line="240" w:lineRule="auto"/>
              <w:ind w:firstLine="0" w:firstLineChars="0"/>
              <w:jc w:val="center"/>
              <w:rPr>
                <w:color w:val="auto"/>
                <w:sz w:val="21"/>
                <w:szCs w:val="21"/>
                <w:lang w:bidi="ar"/>
              </w:rPr>
            </w:pPr>
            <w:r>
              <w:rPr>
                <w:rFonts w:hint="eastAsia" w:cs="宋体"/>
                <w:color w:val="auto"/>
                <w:sz w:val="21"/>
                <w:szCs w:val="21"/>
                <w:lang w:bidi="ar"/>
              </w:rPr>
              <w:t>涉及危险物质使用、贮存的项目</w:t>
            </w:r>
          </w:p>
        </w:tc>
        <w:tc>
          <w:tcPr>
            <w:tcW w:w="352" w:type="pct"/>
            <w:tcBorders>
              <w:top w:val="single" w:color="auto" w:sz="4" w:space="0"/>
              <w:left w:val="single" w:color="auto" w:sz="4" w:space="0"/>
              <w:bottom w:val="single" w:color="auto" w:sz="4" w:space="0"/>
              <w:right w:val="nil"/>
            </w:tcBorders>
            <w:shd w:val="clear" w:color="auto" w:fill="auto"/>
            <w:vAlign w:val="center"/>
          </w:tcPr>
          <w:p w14:paraId="78DE9A8B">
            <w:pPr>
              <w:spacing w:line="240" w:lineRule="auto"/>
              <w:ind w:firstLine="0" w:firstLineChars="0"/>
              <w:jc w:val="center"/>
              <w:rPr>
                <w:color w:val="auto"/>
                <w:sz w:val="21"/>
                <w:szCs w:val="21"/>
                <w:lang w:bidi="ar"/>
              </w:rPr>
            </w:pPr>
            <w:r>
              <w:rPr>
                <w:color w:val="auto"/>
                <w:sz w:val="21"/>
                <w:szCs w:val="21"/>
                <w:lang w:bidi="ar"/>
              </w:rPr>
              <w:t>5</w:t>
            </w:r>
          </w:p>
        </w:tc>
        <w:tc>
          <w:tcPr>
            <w:tcW w:w="340" w:type="pct"/>
            <w:tcBorders>
              <w:top w:val="single" w:color="auto" w:sz="4" w:space="0"/>
              <w:left w:val="single" w:color="auto" w:sz="4" w:space="0"/>
              <w:bottom w:val="single" w:color="auto" w:sz="4" w:space="0"/>
              <w:right w:val="nil"/>
            </w:tcBorders>
            <w:shd w:val="clear" w:color="auto" w:fill="auto"/>
            <w:vAlign w:val="center"/>
          </w:tcPr>
          <w:p w14:paraId="0EDBB698">
            <w:pPr>
              <w:spacing w:line="240" w:lineRule="auto"/>
              <w:ind w:firstLine="0" w:firstLineChars="0"/>
              <w:jc w:val="center"/>
              <w:rPr>
                <w:color w:val="auto"/>
                <w:sz w:val="21"/>
                <w:szCs w:val="21"/>
                <w:lang w:bidi="ar"/>
              </w:rPr>
            </w:pPr>
            <w:r>
              <w:rPr>
                <w:color w:val="auto"/>
                <w:sz w:val="21"/>
                <w:szCs w:val="21"/>
                <w:lang w:bidi="ar"/>
              </w:rPr>
              <w:t>5</w:t>
            </w:r>
          </w:p>
        </w:tc>
        <w:tc>
          <w:tcPr>
            <w:tcW w:w="783" w:type="pct"/>
            <w:tcBorders>
              <w:top w:val="single" w:color="auto" w:sz="4" w:space="0"/>
              <w:left w:val="single" w:color="auto" w:sz="4" w:space="0"/>
              <w:bottom w:val="single" w:color="auto" w:sz="4" w:space="0"/>
              <w:right w:val="nil"/>
            </w:tcBorders>
            <w:shd w:val="clear" w:color="auto" w:fill="auto"/>
            <w:vAlign w:val="center"/>
          </w:tcPr>
          <w:p w14:paraId="1DF88E82">
            <w:pPr>
              <w:spacing w:line="240" w:lineRule="auto"/>
              <w:ind w:firstLine="0" w:firstLineChars="0"/>
              <w:jc w:val="center"/>
              <w:rPr>
                <w:color w:val="auto"/>
                <w:sz w:val="21"/>
                <w:szCs w:val="21"/>
                <w:lang w:bidi="ar"/>
              </w:rPr>
            </w:pPr>
            <w:r>
              <w:rPr>
                <w:rFonts w:hint="eastAsia" w:cs="宋体"/>
                <w:color w:val="auto"/>
                <w:sz w:val="21"/>
                <w:szCs w:val="21"/>
                <w:lang w:bidi="ar"/>
              </w:rPr>
              <w:t>危险物质贮存</w:t>
            </w:r>
          </w:p>
        </w:tc>
      </w:tr>
      <w:tr w14:paraId="37862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5"/>
            <w:tcBorders>
              <w:top w:val="single" w:color="auto" w:sz="4" w:space="0"/>
              <w:left w:val="nil"/>
              <w:bottom w:val="single" w:color="auto" w:sz="12" w:space="0"/>
              <w:right w:val="nil"/>
            </w:tcBorders>
            <w:shd w:val="clear" w:color="auto" w:fill="auto"/>
            <w:vAlign w:val="center"/>
          </w:tcPr>
          <w:p w14:paraId="38259981">
            <w:pPr>
              <w:spacing w:line="240" w:lineRule="auto"/>
              <w:ind w:firstLine="0" w:firstLineChars="0"/>
              <w:rPr>
                <w:color w:val="auto"/>
                <w:sz w:val="21"/>
                <w:szCs w:val="21"/>
              </w:rPr>
            </w:pPr>
            <w:r>
              <w:rPr>
                <w:color w:val="auto"/>
                <w:sz w:val="21"/>
                <w:szCs w:val="21"/>
                <w:lang w:bidi="ar"/>
              </w:rPr>
              <w:t xml:space="preserve">a </w:t>
            </w:r>
            <w:r>
              <w:rPr>
                <w:rFonts w:hint="eastAsia" w:cs="宋体"/>
                <w:color w:val="auto"/>
                <w:sz w:val="21"/>
                <w:szCs w:val="21"/>
                <w:lang w:bidi="ar"/>
              </w:rPr>
              <w:t>高温指工艺温度</w:t>
            </w:r>
            <w:r>
              <w:rPr>
                <w:color w:val="auto"/>
                <w:sz w:val="21"/>
                <w:szCs w:val="21"/>
                <w:lang w:bidi="ar"/>
              </w:rPr>
              <w:t>≥300℃</w:t>
            </w:r>
            <w:r>
              <w:rPr>
                <w:rFonts w:hint="eastAsia" w:cs="宋体"/>
                <w:color w:val="auto"/>
                <w:sz w:val="21"/>
                <w:szCs w:val="21"/>
                <w:lang w:bidi="ar"/>
              </w:rPr>
              <w:t>，高压指压力容器的设计压力（</w:t>
            </w:r>
            <w:r>
              <w:rPr>
                <w:color w:val="auto"/>
                <w:sz w:val="21"/>
                <w:szCs w:val="21"/>
                <w:lang w:bidi="ar"/>
              </w:rPr>
              <w:t>P</w:t>
            </w:r>
            <w:r>
              <w:rPr>
                <w:rFonts w:hint="eastAsia" w:cs="宋体"/>
                <w:color w:val="auto"/>
                <w:sz w:val="21"/>
                <w:szCs w:val="21"/>
                <w:lang w:bidi="ar"/>
              </w:rPr>
              <w:t>）</w:t>
            </w:r>
            <w:r>
              <w:rPr>
                <w:color w:val="auto"/>
                <w:sz w:val="21"/>
                <w:szCs w:val="21"/>
                <w:lang w:bidi="ar"/>
              </w:rPr>
              <w:t>≥10.0MPa</w:t>
            </w:r>
            <w:r>
              <w:rPr>
                <w:rFonts w:hint="eastAsia" w:cs="宋体"/>
                <w:color w:val="auto"/>
                <w:sz w:val="21"/>
                <w:szCs w:val="21"/>
                <w:lang w:bidi="ar"/>
              </w:rPr>
              <w:t>；</w:t>
            </w:r>
          </w:p>
          <w:p w14:paraId="157EAB81">
            <w:pPr>
              <w:spacing w:line="240" w:lineRule="auto"/>
              <w:ind w:firstLine="0" w:firstLineChars="0"/>
              <w:rPr>
                <w:color w:val="auto"/>
                <w:sz w:val="21"/>
                <w:szCs w:val="21"/>
              </w:rPr>
            </w:pPr>
            <w:r>
              <w:rPr>
                <w:color w:val="auto"/>
                <w:sz w:val="21"/>
                <w:szCs w:val="21"/>
                <w:lang w:bidi="ar"/>
              </w:rPr>
              <w:t>b</w:t>
            </w:r>
            <w:r>
              <w:rPr>
                <w:rFonts w:hint="eastAsia" w:cs="宋体"/>
                <w:color w:val="auto"/>
                <w:sz w:val="21"/>
                <w:szCs w:val="21"/>
                <w:lang w:bidi="ar"/>
              </w:rPr>
              <w:t>长输管道运输项目应按站场、管段分段进行评价。</w:t>
            </w:r>
          </w:p>
        </w:tc>
      </w:tr>
    </w:tbl>
    <w:p w14:paraId="314C7E85">
      <w:pPr>
        <w:ind w:firstLine="480"/>
        <w:jc w:val="left"/>
        <w:rPr>
          <w:color w:val="auto"/>
          <w:lang w:bidi="ar"/>
        </w:rPr>
      </w:pPr>
      <w:r>
        <w:rPr>
          <w:rFonts w:hint="eastAsia" w:cs="宋体"/>
          <w:color w:val="auto"/>
          <w:lang w:bidi="ar"/>
        </w:rPr>
        <w:t>由上表可知，本项目</w:t>
      </w:r>
      <w:r>
        <w:rPr>
          <w:color w:val="auto"/>
          <w:lang w:bidi="ar"/>
        </w:rPr>
        <w:t>M=5</w:t>
      </w:r>
      <w:r>
        <w:rPr>
          <w:rFonts w:hint="eastAsia" w:cs="宋体"/>
          <w:color w:val="auto"/>
          <w:lang w:bidi="ar"/>
        </w:rPr>
        <w:t>，为</w:t>
      </w:r>
      <w:r>
        <w:rPr>
          <w:color w:val="auto"/>
          <w:lang w:bidi="ar"/>
        </w:rPr>
        <w:t>M4</w:t>
      </w:r>
      <w:r>
        <w:rPr>
          <w:rFonts w:hint="eastAsia" w:cs="宋体"/>
          <w:color w:val="auto"/>
          <w:lang w:bidi="ar"/>
        </w:rPr>
        <w:t>。</w:t>
      </w:r>
    </w:p>
    <w:p w14:paraId="5E9E7C9F">
      <w:pPr>
        <w:ind w:firstLine="482"/>
        <w:jc w:val="left"/>
        <w:rPr>
          <w:b/>
          <w:bCs/>
          <w:color w:val="auto"/>
          <w:lang w:bidi="ar"/>
        </w:rPr>
      </w:pPr>
      <w:r>
        <w:rPr>
          <w:rFonts w:hint="eastAsia" w:cs="宋体"/>
          <w:b/>
          <w:bCs/>
          <w:color w:val="auto"/>
          <w:lang w:bidi="ar"/>
        </w:rPr>
        <w:t>③危险物质及工艺系统危险性（</w:t>
      </w:r>
      <w:r>
        <w:rPr>
          <w:b/>
          <w:bCs/>
          <w:color w:val="auto"/>
          <w:lang w:bidi="ar"/>
        </w:rPr>
        <w:t>P</w:t>
      </w:r>
      <w:r>
        <w:rPr>
          <w:rFonts w:hint="eastAsia" w:cs="宋体"/>
          <w:b/>
          <w:bCs/>
          <w:color w:val="auto"/>
          <w:lang w:bidi="ar"/>
        </w:rPr>
        <w:t>）分级</w:t>
      </w:r>
    </w:p>
    <w:p w14:paraId="011FC478">
      <w:pPr>
        <w:ind w:firstLine="480"/>
        <w:jc w:val="left"/>
        <w:rPr>
          <w:b/>
          <w:bCs/>
          <w:color w:val="auto"/>
          <w:lang w:bidi="ar"/>
        </w:rPr>
      </w:pPr>
      <w:r>
        <w:rPr>
          <w:rFonts w:hint="eastAsia" w:cs="宋体"/>
          <w:color w:val="auto"/>
          <w:lang w:bidi="ar"/>
        </w:rPr>
        <w:t>根据危险物质数量与临界量比值（</w:t>
      </w:r>
      <w:r>
        <w:rPr>
          <w:color w:val="auto"/>
          <w:lang w:bidi="ar"/>
        </w:rPr>
        <w:t>Q</w:t>
      </w:r>
      <w:r>
        <w:rPr>
          <w:rFonts w:hint="eastAsia" w:cs="宋体"/>
          <w:color w:val="auto"/>
          <w:lang w:bidi="ar"/>
        </w:rPr>
        <w:t>）和行业及生产工艺（</w:t>
      </w:r>
      <w:r>
        <w:rPr>
          <w:color w:val="auto"/>
          <w:lang w:bidi="ar"/>
        </w:rPr>
        <w:t>M</w:t>
      </w:r>
      <w:r>
        <w:rPr>
          <w:rFonts w:hint="eastAsia" w:cs="宋体"/>
          <w:color w:val="auto"/>
          <w:lang w:bidi="ar"/>
        </w:rPr>
        <w:t>）确定危险物质及工艺系统危险性（</w:t>
      </w:r>
      <w:r>
        <w:rPr>
          <w:color w:val="auto"/>
          <w:lang w:bidi="ar"/>
        </w:rPr>
        <w:t>P</w:t>
      </w:r>
      <w:r>
        <w:rPr>
          <w:rFonts w:hint="eastAsia" w:cs="宋体"/>
          <w:color w:val="auto"/>
          <w:lang w:bidi="ar"/>
        </w:rPr>
        <w:t>）等级。</w:t>
      </w:r>
    </w:p>
    <w:p w14:paraId="3AC0E7DE">
      <w:pPr>
        <w:spacing w:line="240" w:lineRule="auto"/>
        <w:ind w:firstLine="0" w:firstLineChars="0"/>
        <w:jc w:val="center"/>
        <w:rPr>
          <w:color w:val="auto"/>
          <w:lang w:bidi="ar"/>
        </w:rPr>
      </w:pPr>
      <w:r>
        <w:rPr>
          <w:rFonts w:hint="eastAsia" w:cs="宋体"/>
          <w:b/>
          <w:bCs/>
          <w:color w:val="auto"/>
          <w:lang w:bidi="ar"/>
        </w:rPr>
        <w:t>表</w:t>
      </w:r>
      <w:r>
        <w:rPr>
          <w:b/>
          <w:bCs/>
          <w:color w:val="auto"/>
          <w:lang w:bidi="ar"/>
        </w:rPr>
        <w:t>2.</w:t>
      </w:r>
      <w:r>
        <w:rPr>
          <w:rFonts w:hint="eastAsia"/>
          <w:b/>
          <w:bCs/>
          <w:color w:val="auto"/>
          <w:lang w:bidi="ar"/>
        </w:rPr>
        <w:t>5.1-11</w:t>
      </w:r>
      <w:r>
        <w:rPr>
          <w:b/>
          <w:bCs/>
          <w:color w:val="auto"/>
          <w:lang w:bidi="ar"/>
        </w:rPr>
        <w:t xml:space="preserve">  </w:t>
      </w:r>
      <w:r>
        <w:rPr>
          <w:rFonts w:hint="eastAsia" w:cs="宋体"/>
          <w:b/>
          <w:bCs/>
          <w:color w:val="auto"/>
          <w:lang w:bidi="ar"/>
        </w:rPr>
        <w:t>危险物质及工艺系统危险性等级判断（</w:t>
      </w:r>
      <w:r>
        <w:rPr>
          <w:b/>
          <w:bCs/>
          <w:color w:val="auto"/>
          <w:lang w:bidi="ar"/>
        </w:rPr>
        <w:t>P</w:t>
      </w:r>
      <w:r>
        <w:rPr>
          <w:rFonts w:hint="eastAsia" w:cs="宋体"/>
          <w:b/>
          <w:bCs/>
          <w:color w:val="auto"/>
          <w:lang w:bidi="ar"/>
        </w:rPr>
        <w:t>）</w:t>
      </w:r>
    </w:p>
    <w:tbl>
      <w:tblPr>
        <w:tblStyle w:val="89"/>
        <w:tblW w:w="5000" w:type="pct"/>
        <w:tblInd w:w="0" w:type="dxa"/>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1851"/>
        <w:gridCol w:w="1852"/>
        <w:gridCol w:w="1852"/>
        <w:gridCol w:w="1856"/>
      </w:tblGrid>
      <w:tr w14:paraId="01F99425">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1009" w:type="pct"/>
            <w:vMerge w:val="restart"/>
            <w:tcBorders>
              <w:top w:val="single" w:color="auto" w:sz="12" w:space="0"/>
              <w:left w:val="nil"/>
              <w:bottom w:val="single" w:color="auto" w:sz="4" w:space="0"/>
              <w:right w:val="single" w:color="auto" w:sz="4" w:space="0"/>
            </w:tcBorders>
            <w:shd w:val="clear" w:color="auto" w:fill="auto"/>
            <w:vAlign w:val="center"/>
          </w:tcPr>
          <w:p w14:paraId="158BF2F0">
            <w:pPr>
              <w:tabs>
                <w:tab w:val="left" w:pos="0"/>
              </w:tabs>
              <w:spacing w:line="240" w:lineRule="auto"/>
              <w:ind w:firstLine="0" w:firstLineChars="0"/>
              <w:jc w:val="center"/>
              <w:rPr>
                <w:b/>
                <w:bCs/>
                <w:color w:val="auto"/>
                <w:sz w:val="21"/>
                <w:szCs w:val="21"/>
              </w:rPr>
            </w:pPr>
            <w:r>
              <w:rPr>
                <w:rFonts w:hint="eastAsia" w:cs="宋体"/>
                <w:b/>
                <w:bCs/>
                <w:color w:val="auto"/>
                <w:sz w:val="21"/>
                <w:szCs w:val="21"/>
                <w:lang w:bidi="ar"/>
              </w:rPr>
              <w:t>危险物质数量与临界量比值（</w:t>
            </w:r>
            <w:r>
              <w:rPr>
                <w:b/>
                <w:bCs/>
                <w:color w:val="auto"/>
                <w:sz w:val="21"/>
                <w:szCs w:val="21"/>
                <w:lang w:bidi="ar"/>
              </w:rPr>
              <w:t>Q</w:t>
            </w:r>
            <w:r>
              <w:rPr>
                <w:rFonts w:hint="eastAsia" w:cs="宋体"/>
                <w:b/>
                <w:bCs/>
                <w:color w:val="auto"/>
                <w:sz w:val="21"/>
                <w:szCs w:val="21"/>
                <w:lang w:bidi="ar"/>
              </w:rPr>
              <w:t>）</w:t>
            </w:r>
          </w:p>
        </w:tc>
        <w:tc>
          <w:tcPr>
            <w:tcW w:w="3989" w:type="pct"/>
            <w:gridSpan w:val="4"/>
            <w:tcBorders>
              <w:top w:val="single" w:color="auto" w:sz="12" w:space="0"/>
              <w:left w:val="single" w:color="auto" w:sz="4" w:space="0"/>
              <w:bottom w:val="single" w:color="auto" w:sz="4" w:space="0"/>
              <w:right w:val="nil"/>
            </w:tcBorders>
            <w:shd w:val="clear" w:color="auto" w:fill="auto"/>
            <w:vAlign w:val="center"/>
          </w:tcPr>
          <w:p w14:paraId="34F3A479">
            <w:pPr>
              <w:tabs>
                <w:tab w:val="left" w:pos="0"/>
              </w:tabs>
              <w:spacing w:line="240" w:lineRule="auto"/>
              <w:ind w:firstLine="0" w:firstLineChars="0"/>
              <w:jc w:val="center"/>
              <w:rPr>
                <w:b/>
                <w:bCs/>
                <w:color w:val="auto"/>
                <w:sz w:val="21"/>
                <w:szCs w:val="21"/>
              </w:rPr>
            </w:pPr>
            <w:r>
              <w:rPr>
                <w:rFonts w:hint="eastAsia" w:cs="宋体"/>
                <w:b/>
                <w:bCs/>
                <w:color w:val="auto"/>
                <w:sz w:val="21"/>
                <w:szCs w:val="21"/>
                <w:lang w:bidi="ar"/>
              </w:rPr>
              <w:t>行业及生产工艺（</w:t>
            </w:r>
            <w:r>
              <w:rPr>
                <w:b/>
                <w:bCs/>
                <w:color w:val="auto"/>
                <w:sz w:val="21"/>
                <w:szCs w:val="21"/>
                <w:lang w:bidi="ar"/>
              </w:rPr>
              <w:t>M</w:t>
            </w:r>
            <w:r>
              <w:rPr>
                <w:rFonts w:hint="eastAsia" w:cs="宋体"/>
                <w:b/>
                <w:bCs/>
                <w:color w:val="auto"/>
                <w:sz w:val="21"/>
                <w:szCs w:val="21"/>
                <w:lang w:bidi="ar"/>
              </w:rPr>
              <w:t>）</w:t>
            </w:r>
          </w:p>
        </w:tc>
      </w:tr>
      <w:tr w14:paraId="3E3B8A60">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1009" w:type="pct"/>
            <w:vMerge w:val="continue"/>
            <w:tcBorders>
              <w:top w:val="single" w:color="auto" w:sz="12" w:space="0"/>
              <w:left w:val="nil"/>
              <w:bottom w:val="single" w:color="auto" w:sz="4" w:space="0"/>
              <w:right w:val="single" w:color="auto" w:sz="4" w:space="0"/>
            </w:tcBorders>
            <w:shd w:val="clear" w:color="auto" w:fill="auto"/>
            <w:vAlign w:val="center"/>
          </w:tcPr>
          <w:p w14:paraId="5EB50F47">
            <w:pPr>
              <w:ind w:firstLine="400"/>
              <w:rPr>
                <w:color w:val="auto"/>
                <w:sz w:val="20"/>
                <w:szCs w:val="20"/>
              </w:rPr>
            </w:pP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14:paraId="63180DB4">
            <w:pPr>
              <w:tabs>
                <w:tab w:val="left" w:pos="0"/>
              </w:tabs>
              <w:spacing w:line="240" w:lineRule="auto"/>
              <w:ind w:firstLine="0" w:firstLineChars="0"/>
              <w:jc w:val="center"/>
              <w:rPr>
                <w:b/>
                <w:bCs/>
                <w:color w:val="auto"/>
                <w:sz w:val="21"/>
                <w:szCs w:val="21"/>
              </w:rPr>
            </w:pPr>
            <w:r>
              <w:rPr>
                <w:b/>
                <w:bCs/>
                <w:color w:val="auto"/>
                <w:sz w:val="21"/>
                <w:szCs w:val="21"/>
                <w:lang w:bidi="ar"/>
              </w:rPr>
              <w:t>M1</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14:paraId="2CD2AD59">
            <w:pPr>
              <w:tabs>
                <w:tab w:val="left" w:pos="0"/>
              </w:tabs>
              <w:spacing w:line="240" w:lineRule="auto"/>
              <w:ind w:firstLine="0" w:firstLineChars="0"/>
              <w:jc w:val="center"/>
              <w:rPr>
                <w:b/>
                <w:bCs/>
                <w:color w:val="auto"/>
                <w:sz w:val="21"/>
                <w:szCs w:val="21"/>
              </w:rPr>
            </w:pPr>
            <w:r>
              <w:rPr>
                <w:b/>
                <w:bCs/>
                <w:color w:val="auto"/>
                <w:sz w:val="21"/>
                <w:szCs w:val="21"/>
                <w:lang w:bidi="ar"/>
              </w:rPr>
              <w:t>M2</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14:paraId="29510BF2">
            <w:pPr>
              <w:tabs>
                <w:tab w:val="left" w:pos="0"/>
              </w:tabs>
              <w:spacing w:line="240" w:lineRule="auto"/>
              <w:ind w:firstLine="0" w:firstLineChars="0"/>
              <w:jc w:val="center"/>
              <w:rPr>
                <w:b/>
                <w:bCs/>
                <w:color w:val="auto"/>
                <w:sz w:val="21"/>
                <w:szCs w:val="21"/>
              </w:rPr>
            </w:pPr>
            <w:r>
              <w:rPr>
                <w:b/>
                <w:bCs/>
                <w:color w:val="auto"/>
                <w:sz w:val="21"/>
                <w:szCs w:val="21"/>
                <w:lang w:bidi="ar"/>
              </w:rPr>
              <w:t>M3</w:t>
            </w:r>
          </w:p>
        </w:tc>
        <w:tc>
          <w:tcPr>
            <w:tcW w:w="997" w:type="pct"/>
            <w:tcBorders>
              <w:top w:val="single" w:color="auto" w:sz="4" w:space="0"/>
              <w:left w:val="single" w:color="auto" w:sz="4" w:space="0"/>
              <w:bottom w:val="single" w:color="auto" w:sz="4" w:space="0"/>
              <w:right w:val="nil"/>
            </w:tcBorders>
            <w:shd w:val="clear" w:color="auto" w:fill="auto"/>
            <w:vAlign w:val="center"/>
          </w:tcPr>
          <w:p w14:paraId="254409E0">
            <w:pPr>
              <w:tabs>
                <w:tab w:val="left" w:pos="0"/>
              </w:tabs>
              <w:spacing w:line="240" w:lineRule="auto"/>
              <w:ind w:firstLine="0" w:firstLineChars="0"/>
              <w:jc w:val="center"/>
              <w:rPr>
                <w:b/>
                <w:bCs/>
                <w:color w:val="auto"/>
                <w:sz w:val="21"/>
                <w:szCs w:val="21"/>
              </w:rPr>
            </w:pPr>
            <w:r>
              <w:rPr>
                <w:b/>
                <w:bCs/>
                <w:color w:val="auto"/>
                <w:sz w:val="21"/>
                <w:szCs w:val="21"/>
                <w:lang w:bidi="ar"/>
              </w:rPr>
              <w:t>M4</w:t>
            </w:r>
          </w:p>
        </w:tc>
      </w:tr>
      <w:tr w14:paraId="537D9F5B">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1009" w:type="pct"/>
            <w:tcBorders>
              <w:top w:val="single" w:color="auto" w:sz="4" w:space="0"/>
              <w:left w:val="nil"/>
              <w:bottom w:val="single" w:color="auto" w:sz="4" w:space="0"/>
              <w:right w:val="single" w:color="auto" w:sz="4" w:space="0"/>
            </w:tcBorders>
            <w:shd w:val="clear" w:color="auto" w:fill="auto"/>
            <w:vAlign w:val="center"/>
          </w:tcPr>
          <w:p w14:paraId="0D3860F7">
            <w:pPr>
              <w:tabs>
                <w:tab w:val="left" w:pos="0"/>
              </w:tabs>
              <w:spacing w:line="240" w:lineRule="auto"/>
              <w:ind w:firstLine="0" w:firstLineChars="0"/>
              <w:jc w:val="center"/>
              <w:rPr>
                <w:color w:val="auto"/>
                <w:sz w:val="21"/>
                <w:szCs w:val="21"/>
              </w:rPr>
            </w:pPr>
            <w:r>
              <w:rPr>
                <w:color w:val="auto"/>
                <w:sz w:val="21"/>
                <w:szCs w:val="21"/>
                <w:lang w:bidi="ar"/>
              </w:rPr>
              <w:t>Q</w:t>
            </w:r>
            <w:r>
              <w:rPr>
                <w:rFonts w:hint="eastAsia" w:cs="宋体"/>
                <w:color w:val="auto"/>
                <w:sz w:val="21"/>
                <w:szCs w:val="21"/>
                <w:lang w:bidi="ar"/>
              </w:rPr>
              <w:t>≥</w:t>
            </w:r>
            <w:r>
              <w:rPr>
                <w:color w:val="auto"/>
                <w:sz w:val="21"/>
                <w:szCs w:val="21"/>
                <w:lang w:bidi="ar"/>
              </w:rPr>
              <w:t>100</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14:paraId="46ECA046">
            <w:pPr>
              <w:tabs>
                <w:tab w:val="left" w:pos="0"/>
              </w:tabs>
              <w:spacing w:line="240" w:lineRule="auto"/>
              <w:ind w:firstLine="0" w:firstLineChars="0"/>
              <w:jc w:val="center"/>
              <w:rPr>
                <w:color w:val="auto"/>
                <w:sz w:val="21"/>
                <w:szCs w:val="21"/>
              </w:rPr>
            </w:pPr>
            <w:r>
              <w:rPr>
                <w:color w:val="auto"/>
                <w:sz w:val="21"/>
                <w:szCs w:val="21"/>
                <w:lang w:bidi="ar"/>
              </w:rPr>
              <w:t>P1</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14:paraId="7ECD6E46">
            <w:pPr>
              <w:tabs>
                <w:tab w:val="left" w:pos="0"/>
              </w:tabs>
              <w:spacing w:line="240" w:lineRule="auto"/>
              <w:ind w:firstLine="0" w:firstLineChars="0"/>
              <w:jc w:val="center"/>
              <w:rPr>
                <w:color w:val="auto"/>
                <w:sz w:val="21"/>
                <w:szCs w:val="21"/>
              </w:rPr>
            </w:pPr>
            <w:r>
              <w:rPr>
                <w:color w:val="auto"/>
                <w:sz w:val="21"/>
                <w:szCs w:val="21"/>
                <w:lang w:bidi="ar"/>
              </w:rPr>
              <w:t>P1</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14:paraId="2A0C7342">
            <w:pPr>
              <w:tabs>
                <w:tab w:val="left" w:pos="0"/>
              </w:tabs>
              <w:spacing w:line="240" w:lineRule="auto"/>
              <w:ind w:firstLine="0" w:firstLineChars="0"/>
              <w:jc w:val="center"/>
              <w:rPr>
                <w:color w:val="auto"/>
                <w:sz w:val="21"/>
                <w:szCs w:val="21"/>
              </w:rPr>
            </w:pPr>
            <w:r>
              <w:rPr>
                <w:color w:val="auto"/>
                <w:sz w:val="21"/>
                <w:szCs w:val="21"/>
                <w:lang w:bidi="ar"/>
              </w:rPr>
              <w:t>P2</w:t>
            </w:r>
          </w:p>
        </w:tc>
        <w:tc>
          <w:tcPr>
            <w:tcW w:w="997" w:type="pct"/>
            <w:tcBorders>
              <w:top w:val="single" w:color="auto" w:sz="4" w:space="0"/>
              <w:left w:val="single" w:color="auto" w:sz="4" w:space="0"/>
              <w:bottom w:val="single" w:color="auto" w:sz="4" w:space="0"/>
              <w:right w:val="nil"/>
            </w:tcBorders>
            <w:shd w:val="clear" w:color="auto" w:fill="auto"/>
            <w:vAlign w:val="center"/>
          </w:tcPr>
          <w:p w14:paraId="3AAE8052">
            <w:pPr>
              <w:tabs>
                <w:tab w:val="left" w:pos="0"/>
              </w:tabs>
              <w:spacing w:line="240" w:lineRule="auto"/>
              <w:ind w:firstLine="0" w:firstLineChars="0"/>
              <w:jc w:val="center"/>
              <w:rPr>
                <w:color w:val="auto"/>
                <w:sz w:val="21"/>
                <w:szCs w:val="21"/>
              </w:rPr>
            </w:pPr>
            <w:r>
              <w:rPr>
                <w:color w:val="auto"/>
                <w:sz w:val="21"/>
                <w:szCs w:val="21"/>
                <w:lang w:bidi="ar"/>
              </w:rPr>
              <w:t>P3</w:t>
            </w:r>
          </w:p>
        </w:tc>
      </w:tr>
      <w:tr w14:paraId="4F110A2A">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1009" w:type="pct"/>
            <w:tcBorders>
              <w:top w:val="single" w:color="auto" w:sz="4" w:space="0"/>
              <w:left w:val="nil"/>
              <w:bottom w:val="single" w:color="auto" w:sz="4" w:space="0"/>
              <w:right w:val="single" w:color="auto" w:sz="4" w:space="0"/>
            </w:tcBorders>
            <w:shd w:val="clear" w:color="auto" w:fill="auto"/>
            <w:vAlign w:val="center"/>
          </w:tcPr>
          <w:p w14:paraId="15575089">
            <w:pPr>
              <w:tabs>
                <w:tab w:val="left" w:pos="0"/>
              </w:tabs>
              <w:spacing w:line="240" w:lineRule="auto"/>
              <w:ind w:firstLine="0" w:firstLineChars="0"/>
              <w:jc w:val="center"/>
              <w:rPr>
                <w:color w:val="auto"/>
                <w:sz w:val="21"/>
                <w:szCs w:val="21"/>
              </w:rPr>
            </w:pPr>
            <w:r>
              <w:rPr>
                <w:color w:val="auto"/>
                <w:sz w:val="21"/>
                <w:szCs w:val="21"/>
                <w:lang w:bidi="ar"/>
              </w:rPr>
              <w:t>10</w:t>
            </w:r>
            <w:r>
              <w:rPr>
                <w:rFonts w:hint="eastAsia" w:cs="宋体"/>
                <w:color w:val="auto"/>
                <w:sz w:val="21"/>
                <w:szCs w:val="21"/>
                <w:lang w:bidi="ar"/>
              </w:rPr>
              <w:t>≤</w:t>
            </w:r>
            <w:r>
              <w:rPr>
                <w:color w:val="auto"/>
                <w:sz w:val="21"/>
                <w:szCs w:val="21"/>
                <w:lang w:bidi="ar"/>
              </w:rPr>
              <w:t>Q</w:t>
            </w:r>
            <w:r>
              <w:rPr>
                <w:rFonts w:hint="eastAsia"/>
                <w:color w:val="auto"/>
                <w:sz w:val="21"/>
                <w:szCs w:val="21"/>
                <w:lang w:bidi="ar"/>
              </w:rPr>
              <w:t>&lt;</w:t>
            </w:r>
            <w:r>
              <w:rPr>
                <w:color w:val="auto"/>
                <w:sz w:val="21"/>
                <w:szCs w:val="21"/>
                <w:lang w:bidi="ar"/>
              </w:rPr>
              <w:t>100</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14:paraId="51B94F84">
            <w:pPr>
              <w:tabs>
                <w:tab w:val="left" w:pos="0"/>
              </w:tabs>
              <w:spacing w:line="240" w:lineRule="auto"/>
              <w:ind w:firstLine="0" w:firstLineChars="0"/>
              <w:jc w:val="center"/>
              <w:rPr>
                <w:color w:val="auto"/>
                <w:sz w:val="21"/>
                <w:szCs w:val="21"/>
              </w:rPr>
            </w:pPr>
            <w:r>
              <w:rPr>
                <w:color w:val="auto"/>
                <w:sz w:val="21"/>
                <w:szCs w:val="21"/>
                <w:lang w:bidi="ar"/>
              </w:rPr>
              <w:t>P1</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14:paraId="4D2C5A30">
            <w:pPr>
              <w:tabs>
                <w:tab w:val="left" w:pos="0"/>
              </w:tabs>
              <w:spacing w:line="240" w:lineRule="auto"/>
              <w:ind w:firstLine="0" w:firstLineChars="0"/>
              <w:jc w:val="center"/>
              <w:rPr>
                <w:color w:val="auto"/>
                <w:sz w:val="21"/>
                <w:szCs w:val="21"/>
              </w:rPr>
            </w:pPr>
            <w:r>
              <w:rPr>
                <w:color w:val="auto"/>
                <w:sz w:val="21"/>
                <w:szCs w:val="21"/>
                <w:lang w:bidi="ar"/>
              </w:rPr>
              <w:t>P2</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14:paraId="398CB81B">
            <w:pPr>
              <w:tabs>
                <w:tab w:val="left" w:pos="0"/>
              </w:tabs>
              <w:spacing w:line="240" w:lineRule="auto"/>
              <w:ind w:firstLine="0" w:firstLineChars="0"/>
              <w:jc w:val="center"/>
              <w:rPr>
                <w:color w:val="auto"/>
                <w:sz w:val="21"/>
                <w:szCs w:val="21"/>
              </w:rPr>
            </w:pPr>
            <w:r>
              <w:rPr>
                <w:color w:val="auto"/>
                <w:sz w:val="21"/>
                <w:szCs w:val="21"/>
                <w:lang w:bidi="ar"/>
              </w:rPr>
              <w:t>P3</w:t>
            </w:r>
          </w:p>
        </w:tc>
        <w:tc>
          <w:tcPr>
            <w:tcW w:w="997" w:type="pct"/>
            <w:tcBorders>
              <w:top w:val="single" w:color="auto" w:sz="4" w:space="0"/>
              <w:left w:val="single" w:color="auto" w:sz="4" w:space="0"/>
              <w:bottom w:val="single" w:color="auto" w:sz="4" w:space="0"/>
              <w:right w:val="nil"/>
            </w:tcBorders>
            <w:shd w:val="clear" w:color="auto" w:fill="auto"/>
            <w:vAlign w:val="center"/>
          </w:tcPr>
          <w:p w14:paraId="667FC763">
            <w:pPr>
              <w:tabs>
                <w:tab w:val="left" w:pos="0"/>
              </w:tabs>
              <w:spacing w:line="240" w:lineRule="auto"/>
              <w:ind w:firstLine="0" w:firstLineChars="0"/>
              <w:jc w:val="center"/>
              <w:rPr>
                <w:color w:val="auto"/>
                <w:sz w:val="21"/>
                <w:szCs w:val="21"/>
              </w:rPr>
            </w:pPr>
            <w:r>
              <w:rPr>
                <w:color w:val="auto"/>
                <w:sz w:val="21"/>
                <w:szCs w:val="21"/>
                <w:lang w:bidi="ar"/>
              </w:rPr>
              <w:t>P4</w:t>
            </w:r>
          </w:p>
        </w:tc>
      </w:tr>
      <w:tr w14:paraId="34E6C607">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1009" w:type="pct"/>
            <w:tcBorders>
              <w:top w:val="single" w:color="auto" w:sz="4" w:space="0"/>
              <w:left w:val="nil"/>
              <w:bottom w:val="single" w:color="auto" w:sz="12" w:space="0"/>
              <w:right w:val="single" w:color="auto" w:sz="4" w:space="0"/>
            </w:tcBorders>
            <w:shd w:val="clear" w:color="auto" w:fill="auto"/>
            <w:vAlign w:val="center"/>
          </w:tcPr>
          <w:p w14:paraId="5BBFC7FF">
            <w:pPr>
              <w:tabs>
                <w:tab w:val="left" w:pos="0"/>
              </w:tabs>
              <w:spacing w:line="240" w:lineRule="auto"/>
              <w:ind w:firstLine="0" w:firstLineChars="0"/>
              <w:jc w:val="center"/>
              <w:rPr>
                <w:color w:val="auto"/>
                <w:sz w:val="21"/>
                <w:szCs w:val="21"/>
              </w:rPr>
            </w:pPr>
            <w:r>
              <w:rPr>
                <w:color w:val="auto"/>
                <w:sz w:val="21"/>
                <w:szCs w:val="21"/>
                <w:lang w:bidi="ar"/>
              </w:rPr>
              <w:t>1</w:t>
            </w:r>
            <w:r>
              <w:rPr>
                <w:rFonts w:hint="eastAsia" w:cs="宋体"/>
                <w:color w:val="auto"/>
                <w:sz w:val="21"/>
                <w:szCs w:val="21"/>
                <w:lang w:bidi="ar"/>
              </w:rPr>
              <w:t>≤</w:t>
            </w:r>
            <w:r>
              <w:rPr>
                <w:color w:val="auto"/>
                <w:sz w:val="21"/>
                <w:szCs w:val="21"/>
                <w:lang w:bidi="ar"/>
              </w:rPr>
              <w:t>Q</w:t>
            </w:r>
            <w:r>
              <w:rPr>
                <w:rFonts w:hint="eastAsia"/>
                <w:color w:val="auto"/>
                <w:sz w:val="21"/>
                <w:szCs w:val="21"/>
                <w:lang w:bidi="ar"/>
              </w:rPr>
              <w:t>&lt;</w:t>
            </w:r>
            <w:r>
              <w:rPr>
                <w:color w:val="auto"/>
                <w:sz w:val="21"/>
                <w:szCs w:val="21"/>
                <w:lang w:bidi="ar"/>
              </w:rPr>
              <w:t>10</w:t>
            </w:r>
          </w:p>
        </w:tc>
        <w:tc>
          <w:tcPr>
            <w:tcW w:w="996" w:type="pct"/>
            <w:tcBorders>
              <w:top w:val="single" w:color="auto" w:sz="4" w:space="0"/>
              <w:left w:val="single" w:color="auto" w:sz="4" w:space="0"/>
              <w:bottom w:val="single" w:color="auto" w:sz="12" w:space="0"/>
              <w:right w:val="single" w:color="auto" w:sz="4" w:space="0"/>
            </w:tcBorders>
            <w:shd w:val="clear" w:color="auto" w:fill="auto"/>
            <w:vAlign w:val="center"/>
          </w:tcPr>
          <w:p w14:paraId="67685A33">
            <w:pPr>
              <w:tabs>
                <w:tab w:val="left" w:pos="0"/>
              </w:tabs>
              <w:spacing w:line="240" w:lineRule="auto"/>
              <w:ind w:firstLine="0" w:firstLineChars="0"/>
              <w:jc w:val="center"/>
              <w:rPr>
                <w:color w:val="auto"/>
                <w:sz w:val="21"/>
                <w:szCs w:val="21"/>
              </w:rPr>
            </w:pPr>
            <w:r>
              <w:rPr>
                <w:color w:val="auto"/>
                <w:sz w:val="21"/>
                <w:szCs w:val="21"/>
                <w:lang w:bidi="ar"/>
              </w:rPr>
              <w:t>P2</w:t>
            </w:r>
          </w:p>
        </w:tc>
        <w:tc>
          <w:tcPr>
            <w:tcW w:w="997" w:type="pct"/>
            <w:tcBorders>
              <w:top w:val="single" w:color="auto" w:sz="4" w:space="0"/>
              <w:left w:val="single" w:color="auto" w:sz="4" w:space="0"/>
              <w:bottom w:val="single" w:color="auto" w:sz="12" w:space="0"/>
              <w:right w:val="single" w:color="auto" w:sz="4" w:space="0"/>
            </w:tcBorders>
            <w:shd w:val="clear" w:color="auto" w:fill="auto"/>
            <w:vAlign w:val="center"/>
          </w:tcPr>
          <w:p w14:paraId="29594B31">
            <w:pPr>
              <w:tabs>
                <w:tab w:val="left" w:pos="0"/>
              </w:tabs>
              <w:spacing w:line="240" w:lineRule="auto"/>
              <w:ind w:firstLine="0" w:firstLineChars="0"/>
              <w:jc w:val="center"/>
              <w:rPr>
                <w:color w:val="auto"/>
                <w:sz w:val="21"/>
                <w:szCs w:val="21"/>
              </w:rPr>
            </w:pPr>
            <w:r>
              <w:rPr>
                <w:color w:val="auto"/>
                <w:sz w:val="21"/>
                <w:szCs w:val="21"/>
                <w:lang w:bidi="ar"/>
              </w:rPr>
              <w:t>P3</w:t>
            </w:r>
          </w:p>
        </w:tc>
        <w:tc>
          <w:tcPr>
            <w:tcW w:w="997" w:type="pct"/>
            <w:tcBorders>
              <w:top w:val="single" w:color="auto" w:sz="4" w:space="0"/>
              <w:left w:val="single" w:color="auto" w:sz="4" w:space="0"/>
              <w:bottom w:val="single" w:color="auto" w:sz="12" w:space="0"/>
              <w:right w:val="single" w:color="auto" w:sz="4" w:space="0"/>
            </w:tcBorders>
            <w:shd w:val="clear" w:color="auto" w:fill="auto"/>
            <w:vAlign w:val="center"/>
          </w:tcPr>
          <w:p w14:paraId="61A66985">
            <w:pPr>
              <w:tabs>
                <w:tab w:val="left" w:pos="0"/>
              </w:tabs>
              <w:spacing w:line="240" w:lineRule="auto"/>
              <w:ind w:firstLine="0" w:firstLineChars="0"/>
              <w:jc w:val="center"/>
              <w:rPr>
                <w:color w:val="auto"/>
                <w:sz w:val="21"/>
                <w:szCs w:val="21"/>
              </w:rPr>
            </w:pPr>
            <w:r>
              <w:rPr>
                <w:color w:val="auto"/>
                <w:sz w:val="21"/>
                <w:szCs w:val="21"/>
                <w:lang w:bidi="ar"/>
              </w:rPr>
              <w:t>P4</w:t>
            </w:r>
          </w:p>
        </w:tc>
        <w:tc>
          <w:tcPr>
            <w:tcW w:w="997" w:type="pct"/>
            <w:tcBorders>
              <w:top w:val="single" w:color="auto" w:sz="4" w:space="0"/>
              <w:left w:val="single" w:color="auto" w:sz="4" w:space="0"/>
              <w:bottom w:val="single" w:color="auto" w:sz="12" w:space="0"/>
              <w:right w:val="nil"/>
            </w:tcBorders>
            <w:shd w:val="clear" w:color="auto" w:fill="D7D7D7" w:themeFill="background1" w:themeFillShade="D8"/>
            <w:vAlign w:val="center"/>
          </w:tcPr>
          <w:p w14:paraId="482B0189">
            <w:pPr>
              <w:tabs>
                <w:tab w:val="left" w:pos="0"/>
              </w:tabs>
              <w:spacing w:line="240" w:lineRule="auto"/>
              <w:ind w:firstLine="0" w:firstLineChars="0"/>
              <w:jc w:val="center"/>
              <w:rPr>
                <w:color w:val="auto"/>
                <w:sz w:val="21"/>
                <w:szCs w:val="21"/>
              </w:rPr>
            </w:pPr>
            <w:r>
              <w:rPr>
                <w:color w:val="auto"/>
                <w:sz w:val="21"/>
                <w:szCs w:val="21"/>
                <w:shd w:val="clear" w:color="auto" w:fill="D7D7D7" w:themeFill="background1" w:themeFillShade="D8"/>
                <w:lang w:bidi="ar"/>
              </w:rPr>
              <w:t>P4</w:t>
            </w:r>
          </w:p>
        </w:tc>
      </w:tr>
    </w:tbl>
    <w:p w14:paraId="1447CB8B">
      <w:pPr>
        <w:ind w:firstLine="480"/>
        <w:jc w:val="left"/>
        <w:rPr>
          <w:color w:val="auto"/>
          <w:lang w:bidi="ar"/>
        </w:rPr>
      </w:pPr>
      <w:r>
        <w:rPr>
          <w:rFonts w:hint="eastAsia" w:cs="宋体"/>
          <w:color w:val="auto"/>
          <w:lang w:bidi="ar"/>
        </w:rPr>
        <w:t>因此，本项目危险物质及工艺系统危险性等级判定为</w:t>
      </w:r>
      <w:r>
        <w:rPr>
          <w:color w:val="auto"/>
          <w:lang w:bidi="ar"/>
        </w:rPr>
        <w:t>P</w:t>
      </w:r>
      <w:r>
        <w:rPr>
          <w:rFonts w:hint="eastAsia"/>
          <w:color w:val="auto"/>
          <w:lang w:bidi="ar"/>
        </w:rPr>
        <w:t>4</w:t>
      </w:r>
      <w:r>
        <w:rPr>
          <w:rFonts w:hint="eastAsia" w:cs="宋体"/>
          <w:color w:val="auto"/>
          <w:lang w:bidi="ar"/>
        </w:rPr>
        <w:t>。</w:t>
      </w:r>
    </w:p>
    <w:p w14:paraId="21585489">
      <w:pPr>
        <w:ind w:firstLine="482"/>
        <w:jc w:val="left"/>
        <w:rPr>
          <w:color w:val="auto"/>
          <w:lang w:bidi="ar"/>
        </w:rPr>
      </w:pPr>
      <w:r>
        <w:rPr>
          <w:rFonts w:hint="eastAsia" w:cs="宋体"/>
          <w:b/>
          <w:bCs/>
          <w:color w:val="auto"/>
          <w:lang w:bidi="ar"/>
        </w:rPr>
        <w:t>④环境敏感程度（</w:t>
      </w:r>
      <w:r>
        <w:rPr>
          <w:b/>
          <w:bCs/>
          <w:color w:val="auto"/>
          <w:lang w:bidi="ar"/>
        </w:rPr>
        <w:t>E</w:t>
      </w:r>
      <w:r>
        <w:rPr>
          <w:rFonts w:hint="eastAsia" w:cs="宋体"/>
          <w:b/>
          <w:bCs/>
          <w:color w:val="auto"/>
          <w:lang w:bidi="ar"/>
        </w:rPr>
        <w:t>）的分级</w:t>
      </w:r>
    </w:p>
    <w:p w14:paraId="54AFD8B8">
      <w:pPr>
        <w:ind w:firstLine="480"/>
        <w:rPr>
          <w:color w:val="auto"/>
          <w:lang w:bidi="ar"/>
        </w:rPr>
      </w:pPr>
      <w:r>
        <w:rPr>
          <w:rFonts w:hint="eastAsia" w:cs="宋体"/>
          <w:color w:val="auto"/>
          <w:lang w:bidi="ar"/>
        </w:rPr>
        <w:t>本次评价调查了厂界周边</w:t>
      </w:r>
      <w:r>
        <w:rPr>
          <w:color w:val="auto"/>
          <w:lang w:bidi="ar"/>
        </w:rPr>
        <w:t>5km</w:t>
      </w:r>
      <w:r>
        <w:rPr>
          <w:rFonts w:hint="eastAsia" w:cs="宋体"/>
          <w:color w:val="auto"/>
          <w:lang w:bidi="ar"/>
        </w:rPr>
        <w:t>范围内的居民区、医院、学校及其他人口密集场所；厂址周边地表水体及其环境功能、下游环境敏感目标；地下水环境敏感特征等。</w:t>
      </w:r>
    </w:p>
    <w:p w14:paraId="7919F996">
      <w:pPr>
        <w:ind w:firstLine="480"/>
        <w:jc w:val="left"/>
        <w:rPr>
          <w:rFonts w:cs="宋体"/>
          <w:color w:val="auto"/>
          <w:lang w:bidi="ar"/>
        </w:rPr>
      </w:pPr>
      <w:r>
        <w:rPr>
          <w:rFonts w:hint="eastAsia" w:cs="宋体"/>
          <w:color w:val="auto"/>
          <w:lang w:bidi="ar"/>
        </w:rPr>
        <w:t>本项目环境敏感特征见表</w:t>
      </w:r>
      <w:r>
        <w:rPr>
          <w:color w:val="auto"/>
          <w:lang w:bidi="ar"/>
        </w:rPr>
        <w:t>2.</w:t>
      </w:r>
      <w:r>
        <w:rPr>
          <w:rFonts w:hint="eastAsia"/>
          <w:color w:val="auto"/>
          <w:lang w:bidi="ar"/>
        </w:rPr>
        <w:t>5.1-12</w:t>
      </w:r>
      <w:r>
        <w:rPr>
          <w:rFonts w:hint="eastAsia" w:cs="宋体"/>
          <w:color w:val="auto"/>
          <w:lang w:bidi="ar"/>
        </w:rPr>
        <w:t>及图</w:t>
      </w:r>
      <w:r>
        <w:rPr>
          <w:rFonts w:hint="eastAsia"/>
          <w:color w:val="auto"/>
          <w:lang w:bidi="ar"/>
        </w:rPr>
        <w:t>2.6-1</w:t>
      </w:r>
      <w:r>
        <w:rPr>
          <w:rFonts w:hint="eastAsia" w:cs="宋体"/>
          <w:color w:val="auto"/>
          <w:lang w:bidi="ar"/>
        </w:rPr>
        <w:t>。</w:t>
      </w:r>
    </w:p>
    <w:p w14:paraId="7488DB29">
      <w:pPr>
        <w:spacing w:line="240" w:lineRule="auto"/>
        <w:ind w:firstLine="0" w:firstLineChars="0"/>
        <w:jc w:val="center"/>
        <w:rPr>
          <w:color w:val="auto"/>
          <w:lang w:bidi="ar"/>
        </w:rPr>
      </w:pPr>
      <w:r>
        <w:rPr>
          <w:rFonts w:hint="eastAsia" w:cs="宋体"/>
          <w:b/>
          <w:bCs/>
          <w:color w:val="auto"/>
          <w:lang w:bidi="ar"/>
        </w:rPr>
        <w:t>表</w:t>
      </w:r>
      <w:r>
        <w:rPr>
          <w:b/>
          <w:bCs/>
          <w:color w:val="auto"/>
          <w:lang w:bidi="ar"/>
        </w:rPr>
        <w:t>2.</w:t>
      </w:r>
      <w:r>
        <w:rPr>
          <w:rFonts w:hint="eastAsia"/>
          <w:b/>
          <w:bCs/>
          <w:color w:val="auto"/>
          <w:lang w:bidi="ar"/>
        </w:rPr>
        <w:t>5.1-12</w:t>
      </w:r>
      <w:r>
        <w:rPr>
          <w:b/>
          <w:bCs/>
          <w:color w:val="auto"/>
          <w:lang w:bidi="ar"/>
        </w:rPr>
        <w:t xml:space="preserve">  </w:t>
      </w:r>
      <w:r>
        <w:rPr>
          <w:rFonts w:hint="eastAsia" w:cs="宋体"/>
          <w:b/>
          <w:bCs/>
          <w:color w:val="auto"/>
          <w:lang w:bidi="ar"/>
        </w:rPr>
        <w:t>本项目厂区环境敏感特征表</w:t>
      </w:r>
    </w:p>
    <w:tbl>
      <w:tblPr>
        <w:tblStyle w:val="88"/>
        <w:tblW w:w="5000" w:type="pct"/>
        <w:tblInd w:w="0" w:type="dxa"/>
        <w:tblLayout w:type="fixed"/>
        <w:tblCellMar>
          <w:top w:w="0" w:type="dxa"/>
          <w:left w:w="108" w:type="dxa"/>
          <w:bottom w:w="0" w:type="dxa"/>
          <w:right w:w="108" w:type="dxa"/>
        </w:tblCellMar>
      </w:tblPr>
      <w:tblGrid>
        <w:gridCol w:w="405"/>
        <w:gridCol w:w="644"/>
        <w:gridCol w:w="2673"/>
        <w:gridCol w:w="954"/>
        <w:gridCol w:w="1211"/>
        <w:gridCol w:w="2013"/>
        <w:gridCol w:w="1385"/>
      </w:tblGrid>
      <w:tr w14:paraId="666E6C47">
        <w:tblPrEx>
          <w:tblCellMar>
            <w:top w:w="0" w:type="dxa"/>
            <w:left w:w="108" w:type="dxa"/>
            <w:bottom w:w="0" w:type="dxa"/>
            <w:right w:w="108" w:type="dxa"/>
          </w:tblCellMar>
        </w:tblPrEx>
        <w:trPr>
          <w:trHeight w:val="23" w:hRule="atLeast"/>
        </w:trPr>
        <w:tc>
          <w:tcPr>
            <w:tcW w:w="218" w:type="pct"/>
            <w:vMerge w:val="restart"/>
            <w:tcBorders>
              <w:top w:val="single" w:color="auto" w:sz="12" w:space="0"/>
              <w:left w:val="nil"/>
              <w:bottom w:val="single" w:color="auto" w:sz="4" w:space="0"/>
              <w:right w:val="single" w:color="auto" w:sz="4" w:space="0"/>
            </w:tcBorders>
            <w:shd w:val="clear" w:color="auto" w:fill="auto"/>
            <w:vAlign w:val="center"/>
          </w:tcPr>
          <w:p w14:paraId="414CB4D9">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类别</w:t>
            </w:r>
          </w:p>
        </w:tc>
        <w:tc>
          <w:tcPr>
            <w:tcW w:w="4781" w:type="pct"/>
            <w:gridSpan w:val="6"/>
            <w:tcBorders>
              <w:top w:val="single" w:color="auto" w:sz="12" w:space="0"/>
              <w:left w:val="single" w:color="auto" w:sz="4" w:space="0"/>
              <w:bottom w:val="single" w:color="auto" w:sz="4" w:space="0"/>
              <w:right w:val="nil"/>
            </w:tcBorders>
            <w:shd w:val="clear" w:color="auto" w:fill="auto"/>
            <w:vAlign w:val="center"/>
          </w:tcPr>
          <w:p w14:paraId="36C2B389">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环境敏感特征</w:t>
            </w:r>
          </w:p>
        </w:tc>
      </w:tr>
      <w:tr w14:paraId="423E8095">
        <w:tblPrEx>
          <w:tblCellMar>
            <w:top w:w="0" w:type="dxa"/>
            <w:left w:w="108" w:type="dxa"/>
            <w:bottom w:w="0" w:type="dxa"/>
            <w:right w:w="108" w:type="dxa"/>
          </w:tblCellMar>
        </w:tblPrEx>
        <w:trPr>
          <w:trHeight w:val="23" w:hRule="atLeast"/>
        </w:trPr>
        <w:tc>
          <w:tcPr>
            <w:tcW w:w="218" w:type="pct"/>
            <w:vMerge w:val="continue"/>
            <w:tcBorders>
              <w:top w:val="single" w:color="auto" w:sz="12" w:space="0"/>
              <w:left w:val="nil"/>
              <w:bottom w:val="single" w:color="auto" w:sz="4" w:space="0"/>
              <w:right w:val="single" w:color="auto" w:sz="4" w:space="0"/>
            </w:tcBorders>
            <w:shd w:val="clear" w:color="auto" w:fill="auto"/>
            <w:vAlign w:val="center"/>
          </w:tcPr>
          <w:p w14:paraId="353CD402">
            <w:pPr>
              <w:ind w:firstLine="400"/>
              <w:rPr>
                <w:color w:val="auto"/>
                <w:sz w:val="20"/>
                <w:szCs w:val="20"/>
              </w:rPr>
            </w:pPr>
          </w:p>
        </w:tc>
        <w:tc>
          <w:tcPr>
            <w:tcW w:w="4781" w:type="pct"/>
            <w:gridSpan w:val="6"/>
            <w:tcBorders>
              <w:top w:val="single" w:color="auto" w:sz="4" w:space="0"/>
              <w:left w:val="single" w:color="auto" w:sz="4" w:space="0"/>
              <w:bottom w:val="single" w:color="auto" w:sz="4" w:space="0"/>
              <w:right w:val="nil"/>
            </w:tcBorders>
            <w:shd w:val="clear" w:color="auto" w:fill="auto"/>
            <w:vAlign w:val="center"/>
          </w:tcPr>
          <w:p w14:paraId="799E1FFF">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厂址周边</w:t>
            </w:r>
            <w:r>
              <w:rPr>
                <w:b/>
                <w:bCs/>
                <w:color w:val="auto"/>
                <w:sz w:val="21"/>
                <w:szCs w:val="21"/>
                <w:lang w:bidi="ar"/>
              </w:rPr>
              <w:t>5km</w:t>
            </w:r>
            <w:r>
              <w:rPr>
                <w:rFonts w:hint="eastAsia" w:cs="宋体"/>
                <w:b/>
                <w:bCs/>
                <w:color w:val="auto"/>
                <w:kern w:val="0"/>
                <w:sz w:val="21"/>
                <w:szCs w:val="21"/>
                <w:lang w:bidi="ar"/>
              </w:rPr>
              <w:t>范围内</w:t>
            </w:r>
          </w:p>
        </w:tc>
      </w:tr>
      <w:tr w14:paraId="7CE38D20">
        <w:tblPrEx>
          <w:tblCellMar>
            <w:top w:w="0" w:type="dxa"/>
            <w:left w:w="108" w:type="dxa"/>
            <w:bottom w:w="0" w:type="dxa"/>
            <w:right w:w="108" w:type="dxa"/>
          </w:tblCellMar>
        </w:tblPrEx>
        <w:trPr>
          <w:trHeight w:val="23" w:hRule="atLeast"/>
        </w:trPr>
        <w:tc>
          <w:tcPr>
            <w:tcW w:w="218" w:type="pct"/>
            <w:vMerge w:val="continue"/>
            <w:tcBorders>
              <w:top w:val="single" w:color="auto" w:sz="12" w:space="0"/>
              <w:left w:val="nil"/>
              <w:bottom w:val="single" w:color="auto" w:sz="4" w:space="0"/>
              <w:right w:val="single" w:color="auto" w:sz="4" w:space="0"/>
            </w:tcBorders>
            <w:shd w:val="clear" w:color="auto" w:fill="auto"/>
            <w:vAlign w:val="center"/>
          </w:tcPr>
          <w:p w14:paraId="72D7B336">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58030BB6">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序号</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07E530F1">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敏感目标</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7E934FA2">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相对方位</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746301FE">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距离</w:t>
            </w:r>
            <w:r>
              <w:rPr>
                <w:b/>
                <w:bCs/>
                <w:color w:val="auto"/>
                <w:kern w:val="0"/>
                <w:sz w:val="21"/>
                <w:szCs w:val="21"/>
                <w:lang w:bidi="ar"/>
              </w:rPr>
              <w:t>/m</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15506F21">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属性</w:t>
            </w:r>
          </w:p>
        </w:tc>
        <w:tc>
          <w:tcPr>
            <w:tcW w:w="745" w:type="pct"/>
            <w:tcBorders>
              <w:top w:val="single" w:color="auto" w:sz="4" w:space="0"/>
              <w:left w:val="single" w:color="auto" w:sz="4" w:space="0"/>
              <w:bottom w:val="single" w:color="auto" w:sz="4" w:space="0"/>
              <w:right w:val="nil"/>
            </w:tcBorders>
            <w:shd w:val="clear" w:color="auto" w:fill="auto"/>
            <w:vAlign w:val="center"/>
          </w:tcPr>
          <w:p w14:paraId="49C3F039">
            <w:pPr>
              <w:widowControl/>
              <w:spacing w:line="240" w:lineRule="auto"/>
              <w:ind w:firstLine="0" w:firstLineChars="0"/>
              <w:jc w:val="center"/>
              <w:textAlignment w:val="center"/>
              <w:rPr>
                <w:b/>
                <w:bCs/>
                <w:color w:val="auto"/>
                <w:sz w:val="21"/>
                <w:szCs w:val="21"/>
              </w:rPr>
            </w:pPr>
            <w:r>
              <w:rPr>
                <w:rFonts w:hint="eastAsia" w:cs="宋体"/>
                <w:b/>
                <w:bCs/>
                <w:color w:val="auto"/>
                <w:kern w:val="0"/>
                <w:sz w:val="21"/>
                <w:szCs w:val="21"/>
                <w:lang w:bidi="ar"/>
              </w:rPr>
              <w:t>人口数（人）</w:t>
            </w:r>
          </w:p>
        </w:tc>
      </w:tr>
      <w:tr w14:paraId="265532CB">
        <w:tblPrEx>
          <w:tblCellMar>
            <w:top w:w="0" w:type="dxa"/>
            <w:left w:w="108" w:type="dxa"/>
            <w:bottom w:w="0" w:type="dxa"/>
            <w:right w:w="108" w:type="dxa"/>
          </w:tblCellMar>
        </w:tblPrEx>
        <w:trPr>
          <w:trHeight w:val="23" w:hRule="atLeast"/>
        </w:trPr>
        <w:tc>
          <w:tcPr>
            <w:tcW w:w="218" w:type="pct"/>
            <w:vMerge w:val="restart"/>
            <w:tcBorders>
              <w:top w:val="single" w:color="auto" w:sz="4" w:space="0"/>
              <w:left w:val="nil"/>
              <w:bottom w:val="single" w:color="auto" w:sz="4" w:space="0"/>
              <w:right w:val="single" w:color="auto" w:sz="4" w:space="0"/>
            </w:tcBorders>
            <w:shd w:val="clear" w:color="auto" w:fill="auto"/>
            <w:vAlign w:val="center"/>
          </w:tcPr>
          <w:p w14:paraId="40A9FD56">
            <w:pPr>
              <w:widowControl/>
              <w:spacing w:line="240" w:lineRule="auto"/>
              <w:ind w:firstLine="0" w:firstLineChars="0"/>
              <w:jc w:val="center"/>
              <w:textAlignment w:val="center"/>
              <w:rPr>
                <w:color w:val="auto"/>
                <w:sz w:val="21"/>
                <w:szCs w:val="21"/>
              </w:rPr>
            </w:pPr>
            <w:r>
              <w:rPr>
                <w:rFonts w:hint="eastAsia" w:cs="宋体"/>
                <w:color w:val="auto"/>
                <w:kern w:val="0"/>
                <w:sz w:val="21"/>
                <w:szCs w:val="21"/>
                <w:lang w:bidi="ar"/>
              </w:rPr>
              <w:t>环境空气</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546897B2">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905E22">
            <w:pPr>
              <w:widowControl/>
              <w:spacing w:line="240" w:lineRule="auto"/>
              <w:ind w:firstLine="0" w:firstLineChars="0"/>
              <w:jc w:val="center"/>
              <w:textAlignment w:val="center"/>
              <w:rPr>
                <w:color w:val="auto"/>
                <w:sz w:val="21"/>
                <w:szCs w:val="21"/>
              </w:rPr>
            </w:pPr>
            <w:r>
              <w:rPr>
                <w:rFonts w:hint="eastAsia"/>
                <w:color w:val="auto"/>
                <w:sz w:val="21"/>
                <w:szCs w:val="21"/>
              </w:rPr>
              <w:t>连云港华杰高级中学</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78095A">
            <w:pPr>
              <w:widowControl/>
              <w:spacing w:line="240" w:lineRule="auto"/>
              <w:ind w:firstLine="0" w:firstLineChars="0"/>
              <w:jc w:val="center"/>
              <w:textAlignment w:val="center"/>
              <w:rPr>
                <w:color w:val="auto"/>
                <w:sz w:val="21"/>
                <w:szCs w:val="21"/>
              </w:rPr>
            </w:pPr>
            <w:r>
              <w:rPr>
                <w:rFonts w:hint="eastAsia"/>
                <w:color w:val="auto"/>
                <w:sz w:val="21"/>
                <w:szCs w:val="21"/>
              </w:rPr>
              <w:t>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240BBB15">
            <w:pPr>
              <w:widowControl/>
              <w:spacing w:line="240" w:lineRule="auto"/>
              <w:ind w:firstLine="0" w:firstLineChars="0"/>
              <w:jc w:val="center"/>
              <w:textAlignment w:val="center"/>
              <w:rPr>
                <w:color w:val="auto"/>
                <w:sz w:val="21"/>
                <w:szCs w:val="21"/>
              </w:rPr>
            </w:pPr>
            <w:r>
              <w:rPr>
                <w:rFonts w:hint="eastAsia"/>
                <w:color w:val="auto"/>
                <w:sz w:val="21"/>
                <w:szCs w:val="21"/>
              </w:rPr>
              <w:t>830</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14D1FE">
            <w:pPr>
              <w:widowControl/>
              <w:spacing w:line="240" w:lineRule="auto"/>
              <w:ind w:firstLine="0" w:firstLineChars="0"/>
              <w:jc w:val="center"/>
              <w:textAlignment w:val="center"/>
              <w:rPr>
                <w:color w:val="auto"/>
                <w:sz w:val="21"/>
                <w:szCs w:val="21"/>
              </w:rPr>
            </w:pPr>
            <w:r>
              <w:rPr>
                <w:rFonts w:hint="eastAsia"/>
                <w:color w:val="auto"/>
                <w:sz w:val="21"/>
                <w:szCs w:val="21"/>
              </w:rPr>
              <w:t>学校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46C8F469">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7C56AF50">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2D8A56A3">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2F2A6A3B">
            <w:pPr>
              <w:widowControl/>
              <w:spacing w:line="240" w:lineRule="auto"/>
              <w:ind w:firstLine="0" w:firstLineChars="0"/>
              <w:jc w:val="center"/>
              <w:textAlignment w:val="center"/>
              <w:rPr>
                <w:color w:val="auto"/>
                <w:sz w:val="21"/>
                <w:szCs w:val="21"/>
              </w:rPr>
            </w:pPr>
            <w:r>
              <w:rPr>
                <w:color w:val="auto"/>
                <w:kern w:val="0"/>
                <w:sz w:val="21"/>
                <w:szCs w:val="21"/>
                <w:lang w:bidi="ar"/>
              </w:rPr>
              <w:t>2</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3A2A0F">
            <w:pPr>
              <w:widowControl/>
              <w:spacing w:line="240" w:lineRule="auto"/>
              <w:ind w:firstLine="0" w:firstLineChars="0"/>
              <w:jc w:val="center"/>
              <w:textAlignment w:val="center"/>
              <w:rPr>
                <w:color w:val="auto"/>
                <w:sz w:val="21"/>
                <w:szCs w:val="21"/>
              </w:rPr>
            </w:pPr>
            <w:r>
              <w:rPr>
                <w:rFonts w:hint="eastAsia"/>
                <w:color w:val="auto"/>
                <w:sz w:val="21"/>
                <w:szCs w:val="21"/>
              </w:rPr>
              <w:t>南京师范大学华杰实验学校</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6C4603">
            <w:pPr>
              <w:widowControl/>
              <w:spacing w:line="240" w:lineRule="auto"/>
              <w:ind w:firstLine="0" w:firstLineChars="0"/>
              <w:jc w:val="center"/>
              <w:textAlignment w:val="center"/>
              <w:rPr>
                <w:color w:val="auto"/>
                <w:sz w:val="21"/>
                <w:szCs w:val="21"/>
              </w:rPr>
            </w:pPr>
            <w:r>
              <w:rPr>
                <w:rFonts w:hint="eastAsia"/>
                <w:color w:val="auto"/>
                <w:sz w:val="21"/>
                <w:szCs w:val="21"/>
              </w:rPr>
              <w:t>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2FC69C49">
            <w:pPr>
              <w:widowControl/>
              <w:spacing w:line="240" w:lineRule="auto"/>
              <w:ind w:firstLine="0" w:firstLineChars="0"/>
              <w:jc w:val="center"/>
              <w:textAlignment w:val="center"/>
              <w:rPr>
                <w:color w:val="auto"/>
                <w:sz w:val="21"/>
                <w:szCs w:val="21"/>
              </w:rPr>
            </w:pPr>
            <w:r>
              <w:rPr>
                <w:rFonts w:hint="eastAsia"/>
                <w:color w:val="auto"/>
                <w:sz w:val="21"/>
                <w:szCs w:val="21"/>
              </w:rPr>
              <w:t>1250</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666306">
            <w:pPr>
              <w:widowControl/>
              <w:spacing w:line="240" w:lineRule="auto"/>
              <w:ind w:firstLine="0" w:firstLineChars="0"/>
              <w:jc w:val="center"/>
              <w:textAlignment w:val="center"/>
              <w:rPr>
                <w:color w:val="auto"/>
                <w:sz w:val="21"/>
                <w:szCs w:val="21"/>
              </w:rPr>
            </w:pPr>
            <w:r>
              <w:rPr>
                <w:rFonts w:hint="eastAsia"/>
                <w:color w:val="auto"/>
                <w:sz w:val="21"/>
                <w:szCs w:val="21"/>
              </w:rPr>
              <w:t>学校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7FF1DA75">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7107E410">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24909729">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5A03C68D">
            <w:pPr>
              <w:widowControl/>
              <w:spacing w:line="240" w:lineRule="auto"/>
              <w:ind w:firstLine="0" w:firstLineChars="0"/>
              <w:jc w:val="center"/>
              <w:textAlignment w:val="center"/>
              <w:rPr>
                <w:color w:val="auto"/>
                <w:sz w:val="21"/>
                <w:szCs w:val="21"/>
              </w:rPr>
            </w:pPr>
            <w:r>
              <w:rPr>
                <w:color w:val="auto"/>
                <w:kern w:val="0"/>
                <w:sz w:val="21"/>
                <w:szCs w:val="21"/>
                <w:lang w:bidi="ar"/>
              </w:rPr>
              <w:t>3</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E4F413">
            <w:pPr>
              <w:widowControl/>
              <w:spacing w:line="240" w:lineRule="auto"/>
              <w:ind w:firstLine="0" w:firstLineChars="0"/>
              <w:jc w:val="center"/>
              <w:textAlignment w:val="center"/>
              <w:rPr>
                <w:color w:val="auto"/>
                <w:sz w:val="21"/>
                <w:szCs w:val="21"/>
              </w:rPr>
            </w:pPr>
            <w:r>
              <w:rPr>
                <w:rFonts w:hint="eastAsia"/>
                <w:color w:val="auto"/>
                <w:sz w:val="21"/>
                <w:szCs w:val="21"/>
              </w:rPr>
              <w:t>港逸花园小区</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746979">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13FF285E">
            <w:pPr>
              <w:widowControl/>
              <w:spacing w:line="240" w:lineRule="auto"/>
              <w:ind w:firstLine="0" w:firstLineChars="0"/>
              <w:jc w:val="center"/>
              <w:textAlignment w:val="center"/>
              <w:rPr>
                <w:color w:val="auto"/>
                <w:sz w:val="21"/>
                <w:szCs w:val="21"/>
              </w:rPr>
            </w:pPr>
            <w:r>
              <w:rPr>
                <w:rFonts w:hint="eastAsia"/>
                <w:color w:val="auto"/>
                <w:sz w:val="21"/>
                <w:szCs w:val="21"/>
              </w:rPr>
              <w:t>1020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3EBC56B8">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5A57B000">
            <w:pPr>
              <w:widowControl/>
              <w:spacing w:line="240" w:lineRule="auto"/>
              <w:ind w:firstLine="0" w:firstLineChars="0"/>
              <w:jc w:val="center"/>
              <w:textAlignment w:val="center"/>
              <w:rPr>
                <w:color w:val="auto"/>
                <w:sz w:val="21"/>
                <w:szCs w:val="21"/>
              </w:rPr>
            </w:pPr>
            <w:r>
              <w:rPr>
                <w:rFonts w:hint="eastAsia"/>
                <w:color w:val="auto"/>
                <w:sz w:val="21"/>
                <w:szCs w:val="21"/>
              </w:rPr>
              <w:t>2500</w:t>
            </w:r>
          </w:p>
        </w:tc>
      </w:tr>
      <w:tr w14:paraId="1A0229C1">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56C52183">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63A3876A">
            <w:pPr>
              <w:widowControl/>
              <w:spacing w:line="240" w:lineRule="auto"/>
              <w:ind w:firstLine="0" w:firstLineChars="0"/>
              <w:jc w:val="center"/>
              <w:textAlignment w:val="center"/>
              <w:rPr>
                <w:color w:val="auto"/>
                <w:sz w:val="21"/>
                <w:szCs w:val="21"/>
              </w:rPr>
            </w:pPr>
            <w:r>
              <w:rPr>
                <w:color w:val="auto"/>
                <w:kern w:val="0"/>
                <w:sz w:val="21"/>
                <w:szCs w:val="21"/>
                <w:lang w:bidi="ar"/>
              </w:rPr>
              <w:t>4</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8ECBC5">
            <w:pPr>
              <w:widowControl/>
              <w:spacing w:line="240" w:lineRule="auto"/>
              <w:ind w:firstLine="0" w:firstLineChars="0"/>
              <w:jc w:val="center"/>
              <w:textAlignment w:val="center"/>
              <w:rPr>
                <w:color w:val="auto"/>
                <w:sz w:val="21"/>
                <w:szCs w:val="21"/>
              </w:rPr>
            </w:pPr>
            <w:r>
              <w:rPr>
                <w:rFonts w:hint="eastAsia"/>
                <w:color w:val="auto"/>
                <w:sz w:val="21"/>
                <w:szCs w:val="21"/>
              </w:rPr>
              <w:t>恒大翡翠湾（在建）</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2C0B5F">
            <w:pPr>
              <w:widowControl/>
              <w:spacing w:line="240" w:lineRule="auto"/>
              <w:ind w:firstLine="0" w:firstLineChars="0"/>
              <w:jc w:val="center"/>
              <w:textAlignment w:val="center"/>
              <w:rPr>
                <w:color w:val="auto"/>
                <w:sz w:val="21"/>
                <w:szCs w:val="21"/>
              </w:rPr>
            </w:pPr>
            <w:r>
              <w:rPr>
                <w:rFonts w:hint="eastAsia"/>
                <w:color w:val="auto"/>
                <w:sz w:val="21"/>
                <w:szCs w:val="21"/>
              </w:rPr>
              <w:t>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7CBD2E4C">
            <w:pPr>
              <w:widowControl/>
              <w:spacing w:line="240" w:lineRule="auto"/>
              <w:ind w:firstLine="0" w:firstLineChars="0"/>
              <w:jc w:val="center"/>
              <w:textAlignment w:val="center"/>
              <w:rPr>
                <w:color w:val="auto"/>
                <w:sz w:val="21"/>
                <w:szCs w:val="21"/>
              </w:rPr>
            </w:pPr>
            <w:r>
              <w:rPr>
                <w:rFonts w:hint="eastAsia"/>
                <w:color w:val="auto"/>
                <w:sz w:val="21"/>
                <w:szCs w:val="21"/>
              </w:rPr>
              <w:t>1240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00A6244E">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00CB8035">
            <w:pPr>
              <w:widowControl/>
              <w:spacing w:line="240" w:lineRule="auto"/>
              <w:ind w:firstLine="0" w:firstLineChars="0"/>
              <w:jc w:val="center"/>
              <w:textAlignment w:val="center"/>
              <w:rPr>
                <w:color w:val="auto"/>
                <w:sz w:val="21"/>
                <w:szCs w:val="21"/>
              </w:rPr>
            </w:pPr>
            <w:r>
              <w:rPr>
                <w:rFonts w:hint="eastAsia"/>
                <w:color w:val="auto"/>
                <w:sz w:val="21"/>
                <w:szCs w:val="21"/>
              </w:rPr>
              <w:t>4000</w:t>
            </w:r>
          </w:p>
        </w:tc>
      </w:tr>
      <w:tr w14:paraId="2EEBAC5E">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60088E70">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434D4E85">
            <w:pPr>
              <w:widowControl/>
              <w:spacing w:line="240" w:lineRule="auto"/>
              <w:ind w:firstLine="0" w:firstLineChars="0"/>
              <w:jc w:val="center"/>
              <w:textAlignment w:val="center"/>
              <w:rPr>
                <w:color w:val="auto"/>
                <w:sz w:val="21"/>
                <w:szCs w:val="21"/>
              </w:rPr>
            </w:pPr>
            <w:r>
              <w:rPr>
                <w:color w:val="auto"/>
                <w:kern w:val="0"/>
                <w:sz w:val="21"/>
                <w:szCs w:val="21"/>
                <w:lang w:bidi="ar"/>
              </w:rPr>
              <w:t>5</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CA0ECD">
            <w:pPr>
              <w:widowControl/>
              <w:spacing w:line="240" w:lineRule="auto"/>
              <w:ind w:firstLine="0" w:firstLineChars="0"/>
              <w:jc w:val="center"/>
              <w:textAlignment w:val="center"/>
              <w:rPr>
                <w:color w:val="auto"/>
                <w:sz w:val="21"/>
                <w:szCs w:val="21"/>
              </w:rPr>
            </w:pPr>
            <w:r>
              <w:rPr>
                <w:rFonts w:hint="eastAsia"/>
                <w:color w:val="auto"/>
                <w:sz w:val="21"/>
                <w:szCs w:val="21"/>
              </w:rPr>
              <w:t>港逸幼儿园</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A670B6">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253EF6B2">
            <w:pPr>
              <w:widowControl/>
              <w:spacing w:line="240" w:lineRule="auto"/>
              <w:ind w:firstLine="0" w:firstLineChars="0"/>
              <w:jc w:val="center"/>
              <w:textAlignment w:val="center"/>
              <w:rPr>
                <w:color w:val="auto"/>
                <w:sz w:val="21"/>
                <w:szCs w:val="21"/>
              </w:rPr>
            </w:pPr>
            <w:r>
              <w:rPr>
                <w:rFonts w:hint="eastAsia"/>
                <w:color w:val="auto"/>
                <w:sz w:val="21"/>
                <w:szCs w:val="21"/>
              </w:rPr>
              <w:t>1229</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7B8AD8D0">
            <w:pPr>
              <w:widowControl/>
              <w:spacing w:line="240" w:lineRule="auto"/>
              <w:ind w:firstLine="0" w:firstLineChars="0"/>
              <w:jc w:val="center"/>
              <w:textAlignment w:val="center"/>
              <w:rPr>
                <w:color w:val="auto"/>
                <w:sz w:val="21"/>
                <w:szCs w:val="21"/>
              </w:rPr>
            </w:pPr>
            <w:r>
              <w:rPr>
                <w:rFonts w:hint="eastAsia"/>
                <w:color w:val="auto"/>
                <w:sz w:val="21"/>
                <w:szCs w:val="21"/>
              </w:rPr>
              <w:t>学校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18AC8EB6">
            <w:pPr>
              <w:widowControl/>
              <w:spacing w:line="240" w:lineRule="auto"/>
              <w:ind w:firstLine="0" w:firstLineChars="0"/>
              <w:jc w:val="center"/>
              <w:textAlignment w:val="center"/>
              <w:rPr>
                <w:color w:val="auto"/>
                <w:sz w:val="21"/>
                <w:szCs w:val="21"/>
              </w:rPr>
            </w:pPr>
            <w:r>
              <w:rPr>
                <w:rFonts w:hint="eastAsia"/>
                <w:color w:val="auto"/>
                <w:sz w:val="21"/>
                <w:szCs w:val="21"/>
              </w:rPr>
              <w:t>300</w:t>
            </w:r>
          </w:p>
        </w:tc>
      </w:tr>
      <w:tr w14:paraId="10890563">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22405A3B">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9D2593C">
            <w:pPr>
              <w:widowControl/>
              <w:spacing w:line="240" w:lineRule="auto"/>
              <w:ind w:firstLine="0" w:firstLineChars="0"/>
              <w:jc w:val="center"/>
              <w:textAlignment w:val="center"/>
              <w:rPr>
                <w:color w:val="auto"/>
                <w:sz w:val="21"/>
                <w:szCs w:val="21"/>
              </w:rPr>
            </w:pPr>
            <w:r>
              <w:rPr>
                <w:color w:val="auto"/>
                <w:kern w:val="0"/>
                <w:sz w:val="21"/>
                <w:szCs w:val="21"/>
                <w:lang w:bidi="ar"/>
              </w:rPr>
              <w:t>6</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B6176F">
            <w:pPr>
              <w:widowControl/>
              <w:spacing w:line="240" w:lineRule="auto"/>
              <w:ind w:firstLine="0" w:firstLineChars="0"/>
              <w:jc w:val="center"/>
              <w:textAlignment w:val="center"/>
              <w:rPr>
                <w:color w:val="auto"/>
                <w:sz w:val="21"/>
                <w:szCs w:val="21"/>
              </w:rPr>
            </w:pPr>
            <w:r>
              <w:rPr>
                <w:rFonts w:hint="eastAsia"/>
                <w:color w:val="auto"/>
                <w:sz w:val="21"/>
                <w:szCs w:val="21"/>
              </w:rPr>
              <w:t>昌圩派出所</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ADBF7D">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1597E0CD">
            <w:pPr>
              <w:widowControl/>
              <w:spacing w:line="240" w:lineRule="auto"/>
              <w:ind w:firstLine="0" w:firstLineChars="0"/>
              <w:jc w:val="center"/>
              <w:textAlignment w:val="center"/>
              <w:rPr>
                <w:color w:val="auto"/>
                <w:sz w:val="21"/>
                <w:szCs w:val="21"/>
              </w:rPr>
            </w:pPr>
            <w:r>
              <w:rPr>
                <w:rFonts w:hint="eastAsia"/>
                <w:color w:val="auto"/>
                <w:sz w:val="21"/>
                <w:szCs w:val="21"/>
              </w:rPr>
              <w:t>2540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7E97C966">
            <w:pPr>
              <w:widowControl/>
              <w:spacing w:line="240" w:lineRule="auto"/>
              <w:ind w:firstLine="0" w:firstLineChars="0"/>
              <w:jc w:val="center"/>
              <w:textAlignment w:val="center"/>
              <w:rPr>
                <w:color w:val="auto"/>
                <w:sz w:val="21"/>
                <w:szCs w:val="21"/>
              </w:rPr>
            </w:pPr>
            <w:r>
              <w:rPr>
                <w:rFonts w:hint="eastAsia"/>
                <w:color w:val="auto"/>
                <w:sz w:val="21"/>
                <w:szCs w:val="21"/>
              </w:rPr>
              <w:t>行政办公区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20163F59">
            <w:pPr>
              <w:widowControl/>
              <w:spacing w:line="240" w:lineRule="auto"/>
              <w:ind w:firstLine="0" w:firstLineChars="0"/>
              <w:jc w:val="center"/>
              <w:textAlignment w:val="center"/>
              <w:rPr>
                <w:color w:val="auto"/>
                <w:sz w:val="21"/>
                <w:szCs w:val="21"/>
              </w:rPr>
            </w:pPr>
            <w:r>
              <w:rPr>
                <w:rFonts w:hint="eastAsia"/>
                <w:color w:val="auto"/>
                <w:sz w:val="21"/>
                <w:szCs w:val="21"/>
              </w:rPr>
              <w:t>80</w:t>
            </w:r>
          </w:p>
        </w:tc>
      </w:tr>
      <w:tr w14:paraId="46FDC271">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3A06873">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6BD3FA89">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3F563A">
            <w:pPr>
              <w:widowControl/>
              <w:spacing w:line="240" w:lineRule="auto"/>
              <w:ind w:firstLine="0" w:firstLineChars="0"/>
              <w:jc w:val="center"/>
              <w:textAlignment w:val="center"/>
              <w:rPr>
                <w:color w:val="auto"/>
                <w:sz w:val="21"/>
                <w:szCs w:val="21"/>
              </w:rPr>
            </w:pPr>
            <w:r>
              <w:rPr>
                <w:rFonts w:hint="eastAsia"/>
                <w:color w:val="auto"/>
                <w:sz w:val="21"/>
                <w:szCs w:val="21"/>
              </w:rPr>
              <w:t>融盛状元府（在建）</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DBBDAC">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6F0837B6">
            <w:pPr>
              <w:widowControl/>
              <w:spacing w:line="240" w:lineRule="auto"/>
              <w:ind w:firstLine="0" w:firstLineChars="0"/>
              <w:jc w:val="center"/>
              <w:textAlignment w:val="center"/>
              <w:rPr>
                <w:color w:val="auto"/>
                <w:sz w:val="21"/>
                <w:szCs w:val="21"/>
              </w:rPr>
            </w:pPr>
            <w:r>
              <w:rPr>
                <w:rFonts w:hint="eastAsia"/>
                <w:color w:val="auto"/>
                <w:sz w:val="21"/>
                <w:szCs w:val="21"/>
              </w:rPr>
              <w:t>2448</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294E4538">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3AC231D0">
            <w:pPr>
              <w:widowControl/>
              <w:spacing w:line="240" w:lineRule="auto"/>
              <w:ind w:firstLine="0" w:firstLineChars="0"/>
              <w:jc w:val="center"/>
              <w:textAlignment w:val="center"/>
              <w:rPr>
                <w:color w:val="auto"/>
                <w:sz w:val="21"/>
                <w:szCs w:val="21"/>
              </w:rPr>
            </w:pPr>
            <w:r>
              <w:rPr>
                <w:rFonts w:hint="eastAsia"/>
                <w:color w:val="auto"/>
                <w:sz w:val="21"/>
                <w:szCs w:val="21"/>
              </w:rPr>
              <w:t>3500</w:t>
            </w:r>
          </w:p>
        </w:tc>
      </w:tr>
      <w:tr w14:paraId="16B6CC44">
        <w:tblPrEx>
          <w:tblCellMar>
            <w:top w:w="0" w:type="dxa"/>
            <w:left w:w="108" w:type="dxa"/>
            <w:bottom w:w="0" w:type="dxa"/>
            <w:right w:w="108" w:type="dxa"/>
          </w:tblCellMar>
        </w:tblPrEx>
        <w:trPr>
          <w:trHeight w:val="308"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101946A4">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34B7B009">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E9146D">
            <w:pPr>
              <w:widowControl/>
              <w:spacing w:line="240" w:lineRule="auto"/>
              <w:ind w:firstLine="0" w:firstLineChars="0"/>
              <w:jc w:val="center"/>
              <w:textAlignment w:val="center"/>
              <w:rPr>
                <w:color w:val="auto"/>
                <w:sz w:val="21"/>
                <w:szCs w:val="21"/>
              </w:rPr>
            </w:pPr>
            <w:r>
              <w:rPr>
                <w:rFonts w:hint="eastAsia"/>
                <w:color w:val="auto"/>
                <w:sz w:val="21"/>
                <w:szCs w:val="21"/>
              </w:rPr>
              <w:t>尚都未来城（在建）</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C15431">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68C7B749">
            <w:pPr>
              <w:widowControl/>
              <w:spacing w:line="240" w:lineRule="auto"/>
              <w:ind w:firstLine="0" w:firstLineChars="0"/>
              <w:jc w:val="center"/>
              <w:textAlignment w:val="center"/>
              <w:rPr>
                <w:color w:val="auto"/>
                <w:sz w:val="21"/>
                <w:szCs w:val="21"/>
              </w:rPr>
            </w:pPr>
            <w:r>
              <w:rPr>
                <w:rFonts w:hint="eastAsia"/>
                <w:color w:val="auto"/>
                <w:sz w:val="21"/>
                <w:szCs w:val="21"/>
              </w:rPr>
              <w:t>2338</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50CF6367">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3F25583C">
            <w:pPr>
              <w:widowControl/>
              <w:spacing w:line="240" w:lineRule="auto"/>
              <w:ind w:firstLine="0" w:firstLineChars="0"/>
              <w:jc w:val="center"/>
              <w:textAlignment w:val="center"/>
              <w:rPr>
                <w:color w:val="auto"/>
                <w:sz w:val="21"/>
                <w:szCs w:val="21"/>
              </w:rPr>
            </w:pPr>
            <w:r>
              <w:rPr>
                <w:rFonts w:hint="eastAsia"/>
                <w:color w:val="auto"/>
                <w:sz w:val="21"/>
                <w:szCs w:val="21"/>
              </w:rPr>
              <w:t>2000</w:t>
            </w:r>
          </w:p>
        </w:tc>
      </w:tr>
      <w:tr w14:paraId="1A8B7D09">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DC717B4">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59E54DC6">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E588A9">
            <w:pPr>
              <w:widowControl/>
              <w:spacing w:line="240" w:lineRule="auto"/>
              <w:ind w:firstLine="0" w:firstLineChars="0"/>
              <w:jc w:val="center"/>
              <w:textAlignment w:val="center"/>
              <w:rPr>
                <w:color w:val="auto"/>
                <w:sz w:val="21"/>
                <w:szCs w:val="21"/>
              </w:rPr>
            </w:pPr>
            <w:r>
              <w:rPr>
                <w:rFonts w:hint="eastAsia"/>
                <w:color w:val="auto"/>
                <w:sz w:val="21"/>
                <w:szCs w:val="21"/>
              </w:rPr>
              <w:t>连云港融盛双语学校</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B88C2B">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6EE6201D">
            <w:pPr>
              <w:widowControl/>
              <w:spacing w:line="240" w:lineRule="auto"/>
              <w:ind w:firstLine="0" w:firstLineChars="0"/>
              <w:jc w:val="center"/>
              <w:textAlignment w:val="center"/>
              <w:rPr>
                <w:color w:val="auto"/>
                <w:sz w:val="21"/>
                <w:szCs w:val="21"/>
              </w:rPr>
            </w:pPr>
            <w:r>
              <w:rPr>
                <w:rFonts w:hint="eastAsia"/>
                <w:color w:val="auto"/>
                <w:sz w:val="21"/>
                <w:szCs w:val="21"/>
              </w:rPr>
              <w:t>2668</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0D6AF837">
            <w:pPr>
              <w:widowControl/>
              <w:spacing w:line="240" w:lineRule="auto"/>
              <w:ind w:firstLine="0" w:firstLineChars="0"/>
              <w:jc w:val="center"/>
              <w:textAlignment w:val="center"/>
              <w:rPr>
                <w:color w:val="auto"/>
                <w:sz w:val="21"/>
                <w:szCs w:val="21"/>
              </w:rPr>
            </w:pPr>
            <w:r>
              <w:rPr>
                <w:rFonts w:hint="eastAsia"/>
                <w:color w:val="auto"/>
                <w:sz w:val="21"/>
                <w:szCs w:val="21"/>
              </w:rPr>
              <w:t>学校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5BC11D3C">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206F4851">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4488DDF">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E77886B">
            <w:pPr>
              <w:widowControl/>
              <w:spacing w:line="240" w:lineRule="auto"/>
              <w:ind w:firstLine="0" w:firstLineChars="0"/>
              <w:jc w:val="center"/>
              <w:textAlignment w:val="center"/>
              <w:rPr>
                <w:color w:val="auto"/>
                <w:sz w:val="21"/>
                <w:szCs w:val="21"/>
              </w:rPr>
            </w:pPr>
            <w:r>
              <w:rPr>
                <w:color w:val="auto"/>
                <w:kern w:val="0"/>
                <w:sz w:val="21"/>
                <w:szCs w:val="21"/>
                <w:lang w:bidi="ar"/>
              </w:rPr>
              <w:t>10</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B933A1">
            <w:pPr>
              <w:widowControl/>
              <w:spacing w:line="240" w:lineRule="auto"/>
              <w:ind w:firstLine="0" w:firstLineChars="0"/>
              <w:jc w:val="center"/>
              <w:textAlignment w:val="center"/>
              <w:rPr>
                <w:color w:val="auto"/>
                <w:sz w:val="21"/>
                <w:szCs w:val="21"/>
              </w:rPr>
            </w:pPr>
            <w:r>
              <w:rPr>
                <w:rFonts w:hint="eastAsia"/>
                <w:color w:val="auto"/>
                <w:sz w:val="21"/>
                <w:szCs w:val="21"/>
              </w:rPr>
              <w:t>金辉优步花园三期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FEA19F">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0C8B2D74">
            <w:pPr>
              <w:widowControl/>
              <w:spacing w:line="240" w:lineRule="auto"/>
              <w:ind w:firstLine="0" w:firstLineChars="0"/>
              <w:jc w:val="center"/>
              <w:textAlignment w:val="center"/>
              <w:rPr>
                <w:color w:val="auto"/>
                <w:sz w:val="21"/>
                <w:szCs w:val="21"/>
              </w:rPr>
            </w:pPr>
            <w:r>
              <w:rPr>
                <w:rFonts w:hint="eastAsia"/>
                <w:color w:val="auto"/>
                <w:sz w:val="21"/>
                <w:szCs w:val="21"/>
              </w:rPr>
              <w:t>2245</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525B62B4">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16E669A3">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183D06D1">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68360472">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7B556C04">
            <w:pPr>
              <w:widowControl/>
              <w:spacing w:line="240" w:lineRule="auto"/>
              <w:ind w:firstLine="0" w:firstLineChars="0"/>
              <w:jc w:val="center"/>
              <w:textAlignment w:val="center"/>
              <w:rPr>
                <w:color w:val="auto"/>
                <w:sz w:val="21"/>
                <w:szCs w:val="21"/>
              </w:rPr>
            </w:pPr>
            <w:r>
              <w:rPr>
                <w:color w:val="auto"/>
                <w:kern w:val="0"/>
                <w:sz w:val="21"/>
                <w:szCs w:val="21"/>
                <w:lang w:bidi="ar"/>
              </w:rPr>
              <w:t>11</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1DD728">
            <w:pPr>
              <w:widowControl/>
              <w:spacing w:line="240" w:lineRule="auto"/>
              <w:ind w:firstLine="0" w:firstLineChars="0"/>
              <w:jc w:val="center"/>
              <w:textAlignment w:val="center"/>
              <w:rPr>
                <w:color w:val="auto"/>
                <w:sz w:val="21"/>
                <w:szCs w:val="21"/>
              </w:rPr>
            </w:pPr>
            <w:r>
              <w:rPr>
                <w:rFonts w:hint="eastAsia"/>
                <w:color w:val="auto"/>
                <w:sz w:val="21"/>
                <w:szCs w:val="21"/>
              </w:rPr>
              <w:t>金辉优步花园一期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D3DD30">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50D97B77">
            <w:pPr>
              <w:widowControl/>
              <w:spacing w:line="240" w:lineRule="auto"/>
              <w:ind w:firstLine="0" w:firstLineChars="0"/>
              <w:jc w:val="center"/>
              <w:textAlignment w:val="center"/>
              <w:rPr>
                <w:color w:val="auto"/>
                <w:sz w:val="21"/>
                <w:szCs w:val="21"/>
              </w:rPr>
            </w:pPr>
            <w:r>
              <w:rPr>
                <w:rFonts w:hint="eastAsia"/>
                <w:color w:val="auto"/>
                <w:sz w:val="21"/>
                <w:szCs w:val="21"/>
              </w:rPr>
              <w:t>2444</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426255FA">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5189382D">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6DB3AC76">
        <w:tblPrEx>
          <w:tblCellMar>
            <w:top w:w="0" w:type="dxa"/>
            <w:left w:w="108" w:type="dxa"/>
            <w:bottom w:w="0" w:type="dxa"/>
            <w:right w:w="108" w:type="dxa"/>
          </w:tblCellMar>
        </w:tblPrEx>
        <w:trPr>
          <w:trHeight w:val="90"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83B4C0D">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5E17D8B">
            <w:pPr>
              <w:widowControl/>
              <w:spacing w:line="240" w:lineRule="auto"/>
              <w:ind w:firstLine="0" w:firstLineChars="0"/>
              <w:jc w:val="center"/>
              <w:textAlignment w:val="center"/>
              <w:rPr>
                <w:color w:val="auto"/>
                <w:sz w:val="21"/>
                <w:szCs w:val="21"/>
              </w:rPr>
            </w:pPr>
            <w:r>
              <w:rPr>
                <w:color w:val="auto"/>
                <w:kern w:val="0"/>
                <w:sz w:val="21"/>
                <w:szCs w:val="21"/>
                <w:lang w:bidi="ar"/>
              </w:rPr>
              <w:t>12</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9A09DA">
            <w:pPr>
              <w:widowControl/>
              <w:spacing w:line="240" w:lineRule="auto"/>
              <w:ind w:firstLine="0" w:firstLineChars="0"/>
              <w:jc w:val="center"/>
              <w:textAlignment w:val="center"/>
              <w:rPr>
                <w:color w:val="auto"/>
                <w:sz w:val="21"/>
                <w:szCs w:val="21"/>
              </w:rPr>
            </w:pPr>
            <w:r>
              <w:rPr>
                <w:rFonts w:hint="eastAsia"/>
                <w:color w:val="auto"/>
                <w:sz w:val="21"/>
                <w:szCs w:val="21"/>
              </w:rPr>
              <w:t>金辉优步花园二期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78A731">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55B2E914">
            <w:pPr>
              <w:widowControl/>
              <w:spacing w:line="240" w:lineRule="auto"/>
              <w:ind w:firstLine="0" w:firstLineChars="0"/>
              <w:jc w:val="center"/>
              <w:textAlignment w:val="center"/>
              <w:rPr>
                <w:color w:val="auto"/>
                <w:sz w:val="21"/>
                <w:szCs w:val="21"/>
              </w:rPr>
            </w:pPr>
            <w:r>
              <w:rPr>
                <w:rFonts w:hint="eastAsia"/>
                <w:color w:val="auto"/>
                <w:sz w:val="21"/>
                <w:szCs w:val="21"/>
              </w:rPr>
              <w:t>2734</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4BA47BC8">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002D877E">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74132689">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20EC13D8">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BC219C4">
            <w:pPr>
              <w:widowControl/>
              <w:spacing w:line="240" w:lineRule="auto"/>
              <w:ind w:firstLine="0" w:firstLineChars="0"/>
              <w:jc w:val="center"/>
              <w:textAlignment w:val="center"/>
              <w:rPr>
                <w:color w:val="auto"/>
                <w:sz w:val="21"/>
                <w:szCs w:val="21"/>
              </w:rPr>
            </w:pPr>
            <w:r>
              <w:rPr>
                <w:color w:val="auto"/>
                <w:kern w:val="0"/>
                <w:sz w:val="21"/>
                <w:szCs w:val="21"/>
                <w:lang w:bidi="ar"/>
              </w:rPr>
              <w:t>13</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6334F2">
            <w:pPr>
              <w:widowControl/>
              <w:spacing w:line="240" w:lineRule="auto"/>
              <w:ind w:firstLine="0" w:firstLineChars="0"/>
              <w:jc w:val="center"/>
              <w:textAlignment w:val="center"/>
              <w:rPr>
                <w:color w:val="auto"/>
                <w:sz w:val="21"/>
                <w:szCs w:val="21"/>
              </w:rPr>
            </w:pPr>
            <w:r>
              <w:rPr>
                <w:rFonts w:hint="eastAsia"/>
                <w:color w:val="auto"/>
                <w:sz w:val="21"/>
                <w:szCs w:val="21"/>
              </w:rPr>
              <w:t>同科城玉兰园（在建）</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F2D8FD">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177B6125">
            <w:pPr>
              <w:widowControl/>
              <w:spacing w:line="240" w:lineRule="auto"/>
              <w:ind w:firstLine="0" w:firstLineChars="0"/>
              <w:jc w:val="center"/>
              <w:textAlignment w:val="center"/>
              <w:rPr>
                <w:color w:val="auto"/>
                <w:sz w:val="21"/>
                <w:szCs w:val="21"/>
              </w:rPr>
            </w:pPr>
            <w:r>
              <w:rPr>
                <w:rFonts w:hint="eastAsia"/>
                <w:color w:val="auto"/>
                <w:sz w:val="21"/>
                <w:szCs w:val="21"/>
              </w:rPr>
              <w:t>2869</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4A7446">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0A5B853D">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420C4FE9">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1DBA4A83">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0EC93712">
            <w:pPr>
              <w:widowControl/>
              <w:spacing w:line="240" w:lineRule="auto"/>
              <w:ind w:firstLine="0" w:firstLineChars="0"/>
              <w:jc w:val="center"/>
              <w:textAlignment w:val="center"/>
              <w:rPr>
                <w:color w:val="auto"/>
                <w:sz w:val="21"/>
                <w:szCs w:val="21"/>
              </w:rPr>
            </w:pPr>
            <w:r>
              <w:rPr>
                <w:color w:val="auto"/>
                <w:kern w:val="0"/>
                <w:sz w:val="21"/>
                <w:szCs w:val="21"/>
                <w:lang w:bidi="ar"/>
              </w:rPr>
              <w:t>14</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5258D9">
            <w:pPr>
              <w:widowControl/>
              <w:spacing w:line="240" w:lineRule="auto"/>
              <w:ind w:firstLine="0" w:firstLineChars="0"/>
              <w:jc w:val="center"/>
              <w:textAlignment w:val="center"/>
              <w:rPr>
                <w:color w:val="auto"/>
                <w:sz w:val="21"/>
                <w:szCs w:val="21"/>
              </w:rPr>
            </w:pPr>
            <w:r>
              <w:rPr>
                <w:rFonts w:hint="eastAsia"/>
                <w:color w:val="auto"/>
                <w:sz w:val="21"/>
                <w:szCs w:val="21"/>
              </w:rPr>
              <w:t>瑞园青年公寓</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275638">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022396F0">
            <w:pPr>
              <w:widowControl/>
              <w:spacing w:line="240" w:lineRule="auto"/>
              <w:ind w:firstLine="0" w:firstLineChars="0"/>
              <w:jc w:val="center"/>
              <w:textAlignment w:val="center"/>
              <w:rPr>
                <w:color w:val="auto"/>
                <w:sz w:val="21"/>
                <w:szCs w:val="21"/>
              </w:rPr>
            </w:pPr>
            <w:r>
              <w:rPr>
                <w:rFonts w:hint="eastAsia"/>
                <w:color w:val="auto"/>
                <w:sz w:val="21"/>
                <w:szCs w:val="21"/>
              </w:rPr>
              <w:t>3270</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621A94">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10A26BC0">
            <w:pPr>
              <w:widowControl/>
              <w:spacing w:line="240" w:lineRule="auto"/>
              <w:ind w:firstLine="0" w:firstLineChars="0"/>
              <w:jc w:val="center"/>
              <w:textAlignment w:val="center"/>
              <w:rPr>
                <w:color w:val="auto"/>
                <w:sz w:val="21"/>
                <w:szCs w:val="21"/>
              </w:rPr>
            </w:pPr>
            <w:r>
              <w:rPr>
                <w:rFonts w:hint="eastAsia"/>
                <w:color w:val="auto"/>
                <w:sz w:val="21"/>
                <w:szCs w:val="21"/>
              </w:rPr>
              <w:t>3000</w:t>
            </w:r>
          </w:p>
        </w:tc>
      </w:tr>
      <w:tr w14:paraId="1B8EEA87">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6D626918">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7366BA8C">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0F7E60">
            <w:pPr>
              <w:widowControl/>
              <w:spacing w:line="240" w:lineRule="auto"/>
              <w:ind w:firstLine="0" w:firstLineChars="0"/>
              <w:jc w:val="center"/>
              <w:textAlignment w:val="center"/>
              <w:rPr>
                <w:color w:val="auto"/>
                <w:sz w:val="21"/>
                <w:szCs w:val="21"/>
              </w:rPr>
            </w:pPr>
            <w:r>
              <w:rPr>
                <w:rFonts w:hint="eastAsia"/>
                <w:color w:val="auto"/>
                <w:sz w:val="21"/>
                <w:szCs w:val="21"/>
              </w:rPr>
              <w:t>同科城玫瑰园（在建）</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7009E8">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3D38EBBD">
            <w:pPr>
              <w:widowControl/>
              <w:spacing w:line="240" w:lineRule="auto"/>
              <w:ind w:firstLine="0" w:firstLineChars="0"/>
              <w:jc w:val="center"/>
              <w:textAlignment w:val="center"/>
              <w:rPr>
                <w:color w:val="auto"/>
                <w:sz w:val="21"/>
                <w:szCs w:val="21"/>
              </w:rPr>
            </w:pPr>
            <w:r>
              <w:rPr>
                <w:rFonts w:hint="eastAsia"/>
                <w:color w:val="auto"/>
                <w:sz w:val="21"/>
                <w:szCs w:val="21"/>
              </w:rPr>
              <w:t>3400</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B87F10">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7FEF54A3">
            <w:pPr>
              <w:widowControl/>
              <w:spacing w:line="240" w:lineRule="auto"/>
              <w:ind w:firstLine="0" w:firstLineChars="0"/>
              <w:jc w:val="center"/>
              <w:textAlignment w:val="center"/>
              <w:rPr>
                <w:color w:val="auto"/>
                <w:sz w:val="21"/>
                <w:szCs w:val="21"/>
              </w:rPr>
            </w:pPr>
            <w:r>
              <w:rPr>
                <w:rFonts w:hint="eastAsia"/>
                <w:color w:val="auto"/>
                <w:sz w:val="21"/>
                <w:szCs w:val="21"/>
              </w:rPr>
              <w:t>4000</w:t>
            </w:r>
          </w:p>
        </w:tc>
      </w:tr>
      <w:tr w14:paraId="4B82F83D">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54C7F384">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5D5EAD1">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9E21ED">
            <w:pPr>
              <w:widowControl/>
              <w:spacing w:line="240" w:lineRule="auto"/>
              <w:ind w:firstLine="0" w:firstLineChars="0"/>
              <w:jc w:val="center"/>
              <w:textAlignment w:val="center"/>
              <w:rPr>
                <w:color w:val="auto"/>
                <w:sz w:val="21"/>
                <w:szCs w:val="21"/>
              </w:rPr>
            </w:pPr>
            <w:r>
              <w:rPr>
                <w:rFonts w:hint="eastAsia"/>
                <w:color w:val="auto"/>
                <w:sz w:val="21"/>
                <w:szCs w:val="21"/>
              </w:rPr>
              <w:t>新城花园</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885E4F">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1D96D50B">
            <w:pPr>
              <w:widowControl/>
              <w:spacing w:line="240" w:lineRule="auto"/>
              <w:ind w:firstLine="0" w:firstLineChars="0"/>
              <w:jc w:val="center"/>
              <w:textAlignment w:val="center"/>
              <w:rPr>
                <w:color w:val="auto"/>
                <w:sz w:val="21"/>
                <w:szCs w:val="21"/>
              </w:rPr>
            </w:pPr>
            <w:r>
              <w:rPr>
                <w:rFonts w:hint="eastAsia"/>
                <w:color w:val="auto"/>
                <w:sz w:val="21"/>
                <w:szCs w:val="21"/>
              </w:rPr>
              <w:t>4164</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77C064">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131C9B6A">
            <w:pPr>
              <w:widowControl/>
              <w:spacing w:line="240" w:lineRule="auto"/>
              <w:ind w:firstLine="0" w:firstLineChars="0"/>
              <w:jc w:val="center"/>
              <w:textAlignment w:val="center"/>
              <w:rPr>
                <w:color w:val="auto"/>
                <w:sz w:val="21"/>
                <w:szCs w:val="21"/>
              </w:rPr>
            </w:pPr>
            <w:r>
              <w:rPr>
                <w:rFonts w:hint="eastAsia"/>
                <w:color w:val="auto"/>
                <w:sz w:val="21"/>
                <w:szCs w:val="21"/>
              </w:rPr>
              <w:t>2000</w:t>
            </w:r>
          </w:p>
        </w:tc>
      </w:tr>
      <w:tr w14:paraId="08D53F2C">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A7A27FB">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3B5CB0A2">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F118C8">
            <w:pPr>
              <w:widowControl/>
              <w:spacing w:line="240" w:lineRule="auto"/>
              <w:ind w:firstLine="0" w:firstLineChars="0"/>
              <w:jc w:val="center"/>
              <w:textAlignment w:val="center"/>
              <w:rPr>
                <w:color w:val="auto"/>
                <w:sz w:val="21"/>
                <w:szCs w:val="21"/>
              </w:rPr>
            </w:pPr>
            <w:r>
              <w:rPr>
                <w:rFonts w:hint="eastAsia"/>
                <w:color w:val="auto"/>
                <w:sz w:val="21"/>
                <w:szCs w:val="21"/>
              </w:rPr>
              <w:t>昌圩湖花园</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509A01">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10310131">
            <w:pPr>
              <w:widowControl/>
              <w:spacing w:line="240" w:lineRule="auto"/>
              <w:ind w:firstLine="0" w:firstLineChars="0"/>
              <w:jc w:val="center"/>
              <w:textAlignment w:val="center"/>
              <w:rPr>
                <w:color w:val="auto"/>
                <w:sz w:val="21"/>
                <w:szCs w:val="21"/>
              </w:rPr>
            </w:pPr>
            <w:r>
              <w:rPr>
                <w:rFonts w:hint="eastAsia"/>
                <w:color w:val="auto"/>
                <w:sz w:val="21"/>
                <w:szCs w:val="21"/>
              </w:rPr>
              <w:t>4446</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43076CB3">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0EE1D5D7">
            <w:pPr>
              <w:widowControl/>
              <w:spacing w:line="240" w:lineRule="auto"/>
              <w:ind w:firstLine="0" w:firstLineChars="0"/>
              <w:jc w:val="center"/>
              <w:textAlignment w:val="center"/>
              <w:rPr>
                <w:color w:val="auto"/>
                <w:sz w:val="21"/>
                <w:szCs w:val="21"/>
              </w:rPr>
            </w:pPr>
            <w:r>
              <w:rPr>
                <w:rFonts w:hint="eastAsia"/>
                <w:color w:val="auto"/>
                <w:sz w:val="21"/>
                <w:szCs w:val="21"/>
              </w:rPr>
              <w:t>5000</w:t>
            </w:r>
          </w:p>
        </w:tc>
      </w:tr>
      <w:tr w14:paraId="2E0B1E8A">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7E538F2">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2FC6A46F">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18</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F0E5D">
            <w:pPr>
              <w:widowControl/>
              <w:spacing w:line="240" w:lineRule="auto"/>
              <w:ind w:firstLine="0" w:firstLineChars="0"/>
              <w:jc w:val="center"/>
              <w:textAlignment w:val="center"/>
              <w:rPr>
                <w:color w:val="auto"/>
                <w:sz w:val="21"/>
                <w:szCs w:val="21"/>
              </w:rPr>
            </w:pPr>
            <w:r>
              <w:rPr>
                <w:rFonts w:hint="eastAsia"/>
                <w:color w:val="auto"/>
                <w:sz w:val="21"/>
                <w:szCs w:val="21"/>
              </w:rPr>
              <w:t>连云港经济技术开发区管委会</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F6F008">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4E6352A0">
            <w:pPr>
              <w:widowControl/>
              <w:spacing w:line="240" w:lineRule="auto"/>
              <w:ind w:firstLine="0" w:firstLineChars="0"/>
              <w:jc w:val="center"/>
              <w:textAlignment w:val="center"/>
              <w:rPr>
                <w:color w:val="auto"/>
                <w:sz w:val="21"/>
                <w:szCs w:val="21"/>
              </w:rPr>
            </w:pPr>
            <w:r>
              <w:rPr>
                <w:rFonts w:hint="eastAsia"/>
                <w:color w:val="auto"/>
                <w:sz w:val="21"/>
                <w:szCs w:val="21"/>
              </w:rPr>
              <w:t>4150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5365974B">
            <w:pPr>
              <w:widowControl/>
              <w:spacing w:line="240" w:lineRule="auto"/>
              <w:ind w:firstLine="0" w:firstLineChars="0"/>
              <w:jc w:val="center"/>
              <w:textAlignment w:val="center"/>
              <w:rPr>
                <w:color w:val="auto"/>
                <w:sz w:val="21"/>
                <w:szCs w:val="21"/>
              </w:rPr>
            </w:pPr>
            <w:r>
              <w:rPr>
                <w:rFonts w:hint="eastAsia"/>
                <w:color w:val="auto"/>
                <w:sz w:val="21"/>
                <w:szCs w:val="21"/>
              </w:rPr>
              <w:t>行政办公区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7B6A09E9">
            <w:pPr>
              <w:widowControl/>
              <w:spacing w:line="240" w:lineRule="auto"/>
              <w:ind w:firstLine="0" w:firstLineChars="0"/>
              <w:jc w:val="center"/>
              <w:textAlignment w:val="center"/>
              <w:rPr>
                <w:color w:val="auto"/>
                <w:sz w:val="21"/>
                <w:szCs w:val="21"/>
              </w:rPr>
            </w:pPr>
            <w:r>
              <w:rPr>
                <w:rFonts w:hint="eastAsia"/>
                <w:color w:val="auto"/>
                <w:sz w:val="21"/>
                <w:szCs w:val="21"/>
              </w:rPr>
              <w:t>240</w:t>
            </w:r>
          </w:p>
        </w:tc>
      </w:tr>
      <w:tr w14:paraId="4023884E">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B9F6760">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2D4DC683">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C55427">
            <w:pPr>
              <w:widowControl/>
              <w:spacing w:line="240" w:lineRule="auto"/>
              <w:ind w:firstLine="0" w:firstLineChars="0"/>
              <w:jc w:val="center"/>
              <w:textAlignment w:val="center"/>
              <w:rPr>
                <w:color w:val="auto"/>
                <w:sz w:val="21"/>
                <w:szCs w:val="21"/>
              </w:rPr>
            </w:pPr>
            <w:r>
              <w:rPr>
                <w:rFonts w:hint="eastAsia"/>
                <w:color w:val="auto"/>
                <w:sz w:val="21"/>
                <w:szCs w:val="21"/>
              </w:rPr>
              <w:t>开发区实验小学</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3A175C">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5B9F114B">
            <w:pPr>
              <w:widowControl/>
              <w:spacing w:line="240" w:lineRule="auto"/>
              <w:ind w:firstLine="0" w:firstLineChars="0"/>
              <w:jc w:val="center"/>
              <w:textAlignment w:val="center"/>
              <w:rPr>
                <w:color w:val="auto"/>
                <w:sz w:val="21"/>
                <w:szCs w:val="21"/>
              </w:rPr>
            </w:pPr>
            <w:r>
              <w:rPr>
                <w:rFonts w:hint="eastAsia"/>
                <w:color w:val="auto"/>
                <w:sz w:val="21"/>
                <w:szCs w:val="21"/>
              </w:rPr>
              <w:t>4600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0067413E">
            <w:pPr>
              <w:widowControl/>
              <w:spacing w:line="240" w:lineRule="auto"/>
              <w:ind w:firstLine="0" w:firstLineChars="0"/>
              <w:jc w:val="center"/>
              <w:textAlignment w:val="center"/>
              <w:rPr>
                <w:color w:val="auto"/>
                <w:sz w:val="21"/>
                <w:szCs w:val="21"/>
              </w:rPr>
            </w:pPr>
            <w:r>
              <w:rPr>
                <w:rFonts w:hint="eastAsia"/>
                <w:color w:val="auto"/>
                <w:sz w:val="21"/>
                <w:szCs w:val="21"/>
              </w:rPr>
              <w:t>学校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143E9695">
            <w:pPr>
              <w:widowControl/>
              <w:spacing w:line="240" w:lineRule="auto"/>
              <w:ind w:firstLine="0" w:firstLineChars="0"/>
              <w:jc w:val="center"/>
              <w:textAlignment w:val="center"/>
              <w:rPr>
                <w:color w:val="auto"/>
                <w:sz w:val="21"/>
                <w:szCs w:val="21"/>
              </w:rPr>
            </w:pPr>
            <w:r>
              <w:rPr>
                <w:rFonts w:hint="eastAsia"/>
                <w:color w:val="auto"/>
                <w:sz w:val="21"/>
                <w:szCs w:val="21"/>
              </w:rPr>
              <w:t>1800</w:t>
            </w:r>
          </w:p>
        </w:tc>
      </w:tr>
      <w:tr w14:paraId="59D2D9AB">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2E30E6B2">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250EF5DC">
            <w:pPr>
              <w:widowControl/>
              <w:spacing w:line="240" w:lineRule="auto"/>
              <w:ind w:firstLine="0" w:firstLineChars="0"/>
              <w:jc w:val="center"/>
              <w:textAlignment w:val="center"/>
              <w:rPr>
                <w:color w:val="auto"/>
                <w:sz w:val="21"/>
                <w:szCs w:val="21"/>
              </w:rPr>
            </w:pPr>
            <w:r>
              <w:rPr>
                <w:color w:val="auto"/>
                <w:kern w:val="0"/>
                <w:sz w:val="21"/>
                <w:szCs w:val="21"/>
                <w:lang w:bidi="ar"/>
              </w:rPr>
              <w:t>19</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FABF6E">
            <w:pPr>
              <w:widowControl/>
              <w:spacing w:line="240" w:lineRule="auto"/>
              <w:ind w:firstLine="0" w:firstLineChars="0"/>
              <w:jc w:val="center"/>
              <w:textAlignment w:val="center"/>
              <w:rPr>
                <w:color w:val="auto"/>
                <w:sz w:val="21"/>
                <w:szCs w:val="21"/>
              </w:rPr>
            </w:pPr>
            <w:r>
              <w:rPr>
                <w:rFonts w:hint="eastAsia"/>
                <w:color w:val="auto"/>
                <w:sz w:val="21"/>
                <w:szCs w:val="21"/>
              </w:rPr>
              <w:t>绿地璀璨天城二期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8EB5E1">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04E44731">
            <w:pPr>
              <w:widowControl/>
              <w:spacing w:line="240" w:lineRule="auto"/>
              <w:ind w:firstLine="0" w:firstLineChars="0"/>
              <w:jc w:val="center"/>
              <w:textAlignment w:val="center"/>
              <w:rPr>
                <w:color w:val="auto"/>
                <w:sz w:val="21"/>
                <w:szCs w:val="21"/>
              </w:rPr>
            </w:pPr>
            <w:r>
              <w:rPr>
                <w:rFonts w:hint="eastAsia"/>
                <w:color w:val="auto"/>
                <w:sz w:val="21"/>
                <w:szCs w:val="21"/>
              </w:rPr>
              <w:t>3854</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8BDD18">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44ADC7B2">
            <w:pPr>
              <w:widowControl/>
              <w:spacing w:line="240" w:lineRule="auto"/>
              <w:ind w:firstLine="0" w:firstLineChars="0"/>
              <w:jc w:val="center"/>
              <w:textAlignment w:val="center"/>
              <w:rPr>
                <w:color w:val="auto"/>
                <w:sz w:val="21"/>
                <w:szCs w:val="21"/>
              </w:rPr>
            </w:pPr>
            <w:r>
              <w:rPr>
                <w:rFonts w:hint="eastAsia"/>
                <w:color w:val="auto"/>
                <w:sz w:val="21"/>
                <w:szCs w:val="21"/>
              </w:rPr>
              <w:t>6000</w:t>
            </w:r>
          </w:p>
        </w:tc>
      </w:tr>
      <w:tr w14:paraId="20CC3685">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08F56571">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49415E3E">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C94138">
            <w:pPr>
              <w:widowControl/>
              <w:spacing w:line="240" w:lineRule="auto"/>
              <w:ind w:firstLine="0" w:firstLineChars="0"/>
              <w:jc w:val="center"/>
              <w:textAlignment w:val="center"/>
              <w:rPr>
                <w:color w:val="auto"/>
                <w:sz w:val="21"/>
                <w:szCs w:val="21"/>
              </w:rPr>
            </w:pPr>
            <w:r>
              <w:rPr>
                <w:rFonts w:hint="eastAsia"/>
                <w:color w:val="auto"/>
                <w:sz w:val="21"/>
                <w:szCs w:val="21"/>
              </w:rPr>
              <w:t>绿地璀璨天城一期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D7F33D">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519B223B">
            <w:pPr>
              <w:widowControl/>
              <w:spacing w:line="240" w:lineRule="auto"/>
              <w:ind w:firstLine="0" w:firstLineChars="0"/>
              <w:jc w:val="center"/>
              <w:textAlignment w:val="center"/>
              <w:rPr>
                <w:color w:val="auto"/>
                <w:sz w:val="21"/>
                <w:szCs w:val="21"/>
              </w:rPr>
            </w:pPr>
            <w:r>
              <w:rPr>
                <w:rFonts w:hint="eastAsia"/>
                <w:color w:val="auto"/>
                <w:sz w:val="21"/>
                <w:szCs w:val="21"/>
              </w:rPr>
              <w:t>4000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477D1EAE">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260ECC9C">
            <w:pPr>
              <w:widowControl/>
              <w:spacing w:line="240" w:lineRule="auto"/>
              <w:ind w:firstLine="0" w:firstLineChars="0"/>
              <w:jc w:val="center"/>
              <w:textAlignment w:val="center"/>
              <w:rPr>
                <w:color w:val="auto"/>
                <w:sz w:val="21"/>
                <w:szCs w:val="21"/>
              </w:rPr>
            </w:pPr>
            <w:r>
              <w:rPr>
                <w:rFonts w:hint="eastAsia"/>
                <w:color w:val="auto"/>
                <w:sz w:val="21"/>
                <w:szCs w:val="21"/>
              </w:rPr>
              <w:t>7000</w:t>
            </w:r>
          </w:p>
        </w:tc>
      </w:tr>
      <w:tr w14:paraId="45236937">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5554487C">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D6D916B">
            <w:pPr>
              <w:widowControl/>
              <w:spacing w:line="240" w:lineRule="auto"/>
              <w:ind w:firstLine="0" w:firstLineChars="0"/>
              <w:jc w:val="center"/>
              <w:textAlignment w:val="center"/>
              <w:rPr>
                <w:color w:val="auto"/>
                <w:sz w:val="21"/>
                <w:szCs w:val="21"/>
              </w:rPr>
            </w:pPr>
            <w:r>
              <w:rPr>
                <w:color w:val="auto"/>
                <w:kern w:val="0"/>
                <w:sz w:val="21"/>
                <w:szCs w:val="21"/>
                <w:lang w:bidi="ar"/>
              </w:rPr>
              <w:t>21</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707D95">
            <w:pPr>
              <w:widowControl/>
              <w:spacing w:line="240" w:lineRule="auto"/>
              <w:ind w:firstLine="0" w:firstLineChars="0"/>
              <w:jc w:val="center"/>
              <w:textAlignment w:val="center"/>
              <w:rPr>
                <w:color w:val="auto"/>
                <w:sz w:val="21"/>
                <w:szCs w:val="21"/>
              </w:rPr>
            </w:pPr>
            <w:r>
              <w:rPr>
                <w:rFonts w:hint="eastAsia"/>
                <w:color w:val="auto"/>
                <w:sz w:val="21"/>
                <w:szCs w:val="21"/>
              </w:rPr>
              <w:t>香江悦湖春天</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8E6A15">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1788A73C">
            <w:pPr>
              <w:widowControl/>
              <w:spacing w:line="240" w:lineRule="auto"/>
              <w:ind w:firstLine="0" w:firstLineChars="0"/>
              <w:jc w:val="center"/>
              <w:textAlignment w:val="center"/>
              <w:rPr>
                <w:color w:val="auto"/>
                <w:sz w:val="21"/>
                <w:szCs w:val="21"/>
              </w:rPr>
            </w:pPr>
            <w:r>
              <w:rPr>
                <w:rFonts w:hint="eastAsia"/>
                <w:color w:val="auto"/>
                <w:sz w:val="21"/>
                <w:szCs w:val="21"/>
              </w:rPr>
              <w:t>4326</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70846915">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22C044FD">
            <w:pPr>
              <w:widowControl/>
              <w:spacing w:line="240" w:lineRule="auto"/>
              <w:ind w:firstLine="0" w:firstLineChars="0"/>
              <w:jc w:val="center"/>
              <w:textAlignment w:val="center"/>
              <w:rPr>
                <w:color w:val="auto"/>
                <w:sz w:val="21"/>
                <w:szCs w:val="21"/>
              </w:rPr>
            </w:pPr>
            <w:r>
              <w:rPr>
                <w:rFonts w:hint="eastAsia"/>
                <w:color w:val="auto"/>
                <w:sz w:val="21"/>
                <w:szCs w:val="21"/>
              </w:rPr>
              <w:t>2000</w:t>
            </w:r>
          </w:p>
        </w:tc>
      </w:tr>
      <w:tr w14:paraId="0A23324E">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A882B82">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54FA13D6">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14:paraId="18D7CB17">
            <w:pPr>
              <w:widowControl/>
              <w:spacing w:line="240" w:lineRule="auto"/>
              <w:ind w:firstLine="0" w:firstLineChars="0"/>
              <w:jc w:val="center"/>
              <w:textAlignment w:val="center"/>
              <w:rPr>
                <w:color w:val="auto"/>
                <w:sz w:val="21"/>
                <w:szCs w:val="21"/>
              </w:rPr>
            </w:pPr>
            <w:r>
              <w:rPr>
                <w:rFonts w:hint="eastAsia"/>
                <w:color w:val="auto"/>
                <w:sz w:val="21"/>
                <w:szCs w:val="21"/>
              </w:rPr>
              <w:t>绿地悦澜山二期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96FCBC">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206A87CC">
            <w:pPr>
              <w:widowControl/>
              <w:spacing w:line="240" w:lineRule="auto"/>
              <w:ind w:firstLine="0" w:firstLineChars="0"/>
              <w:jc w:val="center"/>
              <w:textAlignment w:val="center"/>
              <w:rPr>
                <w:color w:val="auto"/>
                <w:sz w:val="21"/>
                <w:szCs w:val="21"/>
              </w:rPr>
            </w:pPr>
            <w:r>
              <w:rPr>
                <w:rFonts w:hint="eastAsia"/>
                <w:color w:val="auto"/>
                <w:sz w:val="21"/>
                <w:szCs w:val="21"/>
              </w:rPr>
              <w:t>4485</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31E86C3C">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3C8D0C71">
            <w:pPr>
              <w:widowControl/>
              <w:spacing w:line="240" w:lineRule="auto"/>
              <w:ind w:firstLine="0" w:firstLineChars="0"/>
              <w:jc w:val="center"/>
              <w:textAlignment w:val="center"/>
              <w:rPr>
                <w:color w:val="auto"/>
                <w:sz w:val="21"/>
                <w:szCs w:val="21"/>
              </w:rPr>
            </w:pPr>
            <w:r>
              <w:rPr>
                <w:rFonts w:hint="eastAsia"/>
                <w:color w:val="auto"/>
                <w:sz w:val="21"/>
                <w:szCs w:val="21"/>
              </w:rPr>
              <w:t>5000</w:t>
            </w:r>
          </w:p>
        </w:tc>
      </w:tr>
      <w:tr w14:paraId="60604BE8">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034D995B">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5300E251">
            <w:pPr>
              <w:widowControl/>
              <w:spacing w:line="240" w:lineRule="auto"/>
              <w:ind w:firstLine="0" w:firstLineChars="0"/>
              <w:jc w:val="center"/>
              <w:textAlignment w:val="center"/>
              <w:rPr>
                <w:color w:val="auto"/>
                <w:sz w:val="21"/>
                <w:szCs w:val="21"/>
              </w:rPr>
            </w:pPr>
            <w:r>
              <w:rPr>
                <w:color w:val="auto"/>
                <w:kern w:val="0"/>
                <w:sz w:val="21"/>
                <w:szCs w:val="21"/>
                <w:lang w:bidi="ar"/>
              </w:rPr>
              <w:t>23</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F72859">
            <w:pPr>
              <w:widowControl/>
              <w:spacing w:line="240" w:lineRule="auto"/>
              <w:ind w:firstLine="0" w:firstLineChars="0"/>
              <w:jc w:val="center"/>
              <w:textAlignment w:val="center"/>
              <w:rPr>
                <w:color w:val="auto"/>
                <w:sz w:val="21"/>
                <w:szCs w:val="21"/>
              </w:rPr>
            </w:pPr>
            <w:r>
              <w:rPr>
                <w:rFonts w:hint="eastAsia"/>
                <w:color w:val="auto"/>
                <w:sz w:val="21"/>
                <w:szCs w:val="21"/>
              </w:rPr>
              <w:t>绿地悦澜山</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3D6E5">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28E7CCA2">
            <w:pPr>
              <w:widowControl/>
              <w:spacing w:line="240" w:lineRule="auto"/>
              <w:ind w:firstLine="0" w:firstLineChars="0"/>
              <w:jc w:val="center"/>
              <w:textAlignment w:val="center"/>
              <w:rPr>
                <w:color w:val="auto"/>
                <w:sz w:val="21"/>
                <w:szCs w:val="21"/>
              </w:rPr>
            </w:pPr>
            <w:r>
              <w:rPr>
                <w:rFonts w:hint="eastAsia"/>
                <w:color w:val="auto"/>
                <w:sz w:val="21"/>
                <w:szCs w:val="21"/>
              </w:rPr>
              <w:t>4296</w:t>
            </w:r>
          </w:p>
        </w:tc>
        <w:tc>
          <w:tcPr>
            <w:tcW w:w="10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A23A97">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6DAEA797">
            <w:pPr>
              <w:widowControl/>
              <w:spacing w:line="240" w:lineRule="auto"/>
              <w:ind w:firstLine="0" w:firstLineChars="0"/>
              <w:jc w:val="center"/>
              <w:textAlignment w:val="center"/>
              <w:rPr>
                <w:color w:val="auto"/>
                <w:sz w:val="21"/>
                <w:szCs w:val="21"/>
              </w:rPr>
            </w:pPr>
            <w:r>
              <w:rPr>
                <w:rFonts w:hint="eastAsia"/>
                <w:color w:val="auto"/>
                <w:sz w:val="21"/>
                <w:szCs w:val="21"/>
              </w:rPr>
              <w:t>4500</w:t>
            </w:r>
          </w:p>
        </w:tc>
      </w:tr>
      <w:tr w14:paraId="159A8D14">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694CED74">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473E63BE">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853961">
            <w:pPr>
              <w:widowControl/>
              <w:spacing w:line="240" w:lineRule="auto"/>
              <w:ind w:firstLine="0" w:firstLineChars="0"/>
              <w:jc w:val="center"/>
              <w:textAlignment w:val="center"/>
              <w:rPr>
                <w:color w:val="auto"/>
                <w:sz w:val="21"/>
                <w:szCs w:val="21"/>
              </w:rPr>
            </w:pPr>
            <w:r>
              <w:rPr>
                <w:rFonts w:hint="eastAsia"/>
                <w:color w:val="auto"/>
                <w:sz w:val="21"/>
                <w:szCs w:val="21"/>
              </w:rPr>
              <w:t>金辉云庭水岸</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F71168">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4563B473">
            <w:pPr>
              <w:widowControl/>
              <w:spacing w:line="240" w:lineRule="auto"/>
              <w:ind w:firstLine="0" w:firstLineChars="0"/>
              <w:jc w:val="center"/>
              <w:textAlignment w:val="center"/>
              <w:rPr>
                <w:color w:val="auto"/>
                <w:sz w:val="21"/>
                <w:szCs w:val="21"/>
              </w:rPr>
            </w:pPr>
            <w:r>
              <w:rPr>
                <w:rFonts w:hint="eastAsia"/>
                <w:color w:val="auto"/>
                <w:sz w:val="21"/>
                <w:szCs w:val="21"/>
              </w:rPr>
              <w:t>4241</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1D0E6863">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4CC751D1">
            <w:pPr>
              <w:widowControl/>
              <w:spacing w:line="240" w:lineRule="auto"/>
              <w:ind w:firstLine="0" w:firstLineChars="0"/>
              <w:jc w:val="center"/>
              <w:textAlignment w:val="center"/>
              <w:rPr>
                <w:color w:val="auto"/>
                <w:sz w:val="21"/>
                <w:szCs w:val="21"/>
              </w:rPr>
            </w:pPr>
            <w:r>
              <w:rPr>
                <w:rFonts w:hint="eastAsia"/>
                <w:color w:val="auto"/>
                <w:sz w:val="21"/>
                <w:szCs w:val="21"/>
              </w:rPr>
              <w:t>2500</w:t>
            </w:r>
          </w:p>
        </w:tc>
      </w:tr>
      <w:tr w14:paraId="74B22F3A">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6522FD0C">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0A52ABD3">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9677CD">
            <w:pPr>
              <w:widowControl/>
              <w:spacing w:line="240" w:lineRule="auto"/>
              <w:ind w:firstLine="0" w:firstLineChars="0"/>
              <w:jc w:val="center"/>
              <w:textAlignment w:val="center"/>
              <w:rPr>
                <w:color w:val="auto"/>
                <w:sz w:val="21"/>
                <w:szCs w:val="21"/>
              </w:rPr>
            </w:pPr>
            <w:r>
              <w:rPr>
                <w:rFonts w:hint="eastAsia"/>
                <w:color w:val="auto"/>
                <w:sz w:val="21"/>
                <w:szCs w:val="21"/>
              </w:rPr>
              <w:t>锦绣香江</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7EA526">
            <w:pPr>
              <w:widowControl/>
              <w:spacing w:line="240" w:lineRule="auto"/>
              <w:ind w:firstLine="0" w:firstLineChars="0"/>
              <w:jc w:val="center"/>
              <w:textAlignment w:val="center"/>
              <w:rPr>
                <w:color w:val="auto"/>
                <w:sz w:val="21"/>
                <w:szCs w:val="21"/>
              </w:rPr>
            </w:pPr>
            <w:r>
              <w:rPr>
                <w:rFonts w:hint="eastAsia"/>
                <w:color w:val="auto"/>
                <w:sz w:val="21"/>
                <w:szCs w:val="21"/>
              </w:rPr>
              <w:t>SE</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60928D0D">
            <w:pPr>
              <w:widowControl/>
              <w:spacing w:line="240" w:lineRule="auto"/>
              <w:ind w:firstLine="0" w:firstLineChars="0"/>
              <w:jc w:val="center"/>
              <w:textAlignment w:val="center"/>
              <w:rPr>
                <w:color w:val="auto"/>
                <w:sz w:val="21"/>
                <w:szCs w:val="21"/>
              </w:rPr>
            </w:pPr>
            <w:r>
              <w:rPr>
                <w:rFonts w:hint="eastAsia"/>
                <w:color w:val="auto"/>
                <w:sz w:val="21"/>
                <w:szCs w:val="21"/>
              </w:rPr>
              <w:t>4490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713A1B4A">
            <w:pPr>
              <w:widowControl/>
              <w:spacing w:line="240" w:lineRule="auto"/>
              <w:ind w:firstLine="0" w:firstLineChars="0"/>
              <w:jc w:val="center"/>
              <w:textAlignment w:val="center"/>
              <w:rPr>
                <w:color w:val="auto"/>
                <w:sz w:val="21"/>
                <w:szCs w:val="21"/>
              </w:rPr>
            </w:pPr>
            <w:r>
              <w:rPr>
                <w:rFonts w:hint="eastAsia"/>
                <w:color w:val="auto"/>
                <w:sz w:val="21"/>
                <w:szCs w:val="21"/>
              </w:rPr>
              <w:t>居民区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5D35D17A">
            <w:pPr>
              <w:widowControl/>
              <w:spacing w:line="240" w:lineRule="auto"/>
              <w:ind w:firstLine="0" w:firstLineChars="0"/>
              <w:jc w:val="center"/>
              <w:textAlignment w:val="center"/>
              <w:rPr>
                <w:color w:val="auto"/>
                <w:sz w:val="21"/>
                <w:szCs w:val="21"/>
              </w:rPr>
            </w:pPr>
            <w:r>
              <w:rPr>
                <w:rFonts w:hint="eastAsia"/>
                <w:color w:val="auto"/>
                <w:sz w:val="21"/>
                <w:szCs w:val="21"/>
              </w:rPr>
              <w:t>2000</w:t>
            </w:r>
          </w:p>
        </w:tc>
      </w:tr>
      <w:tr w14:paraId="44F1D9E5">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72CAB236">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6523C26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26</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E66601">
            <w:pPr>
              <w:widowControl/>
              <w:spacing w:line="240" w:lineRule="auto"/>
              <w:ind w:firstLine="0" w:firstLineChars="0"/>
              <w:jc w:val="center"/>
              <w:textAlignment w:val="center"/>
              <w:rPr>
                <w:color w:val="auto"/>
                <w:sz w:val="21"/>
                <w:szCs w:val="21"/>
              </w:rPr>
            </w:pPr>
            <w:r>
              <w:rPr>
                <w:rFonts w:hint="eastAsia"/>
                <w:color w:val="auto"/>
                <w:sz w:val="21"/>
                <w:szCs w:val="21"/>
              </w:rPr>
              <w:t>开发区公安分局</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E3F3C1">
            <w:pPr>
              <w:widowControl/>
              <w:spacing w:line="240" w:lineRule="auto"/>
              <w:ind w:firstLine="0" w:firstLineChars="0"/>
              <w:jc w:val="center"/>
              <w:textAlignment w:val="center"/>
              <w:rPr>
                <w:color w:val="auto"/>
                <w:sz w:val="21"/>
                <w:szCs w:val="21"/>
              </w:rPr>
            </w:pPr>
            <w:r>
              <w:rPr>
                <w:rFonts w:hint="eastAsia"/>
                <w:color w:val="auto"/>
                <w:sz w:val="21"/>
                <w:szCs w:val="21"/>
              </w:rPr>
              <w:t>NW</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600B0036">
            <w:pPr>
              <w:widowControl/>
              <w:spacing w:line="240" w:lineRule="auto"/>
              <w:ind w:firstLine="0" w:firstLineChars="0"/>
              <w:jc w:val="center"/>
              <w:textAlignment w:val="center"/>
              <w:rPr>
                <w:color w:val="auto"/>
                <w:sz w:val="21"/>
                <w:szCs w:val="21"/>
              </w:rPr>
            </w:pPr>
            <w:r>
              <w:rPr>
                <w:rFonts w:hint="eastAsia"/>
                <w:color w:val="auto"/>
                <w:sz w:val="21"/>
                <w:szCs w:val="21"/>
              </w:rPr>
              <w:t>2150</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2114144D">
            <w:pPr>
              <w:widowControl/>
              <w:spacing w:line="240" w:lineRule="auto"/>
              <w:ind w:firstLine="0" w:firstLineChars="0"/>
              <w:jc w:val="center"/>
              <w:textAlignment w:val="center"/>
              <w:rPr>
                <w:color w:val="auto"/>
                <w:sz w:val="21"/>
                <w:szCs w:val="21"/>
              </w:rPr>
            </w:pPr>
            <w:r>
              <w:rPr>
                <w:rFonts w:hint="eastAsia"/>
                <w:color w:val="auto"/>
                <w:sz w:val="21"/>
                <w:szCs w:val="21"/>
              </w:rPr>
              <w:t>行政办公区</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1A5B8B0B">
            <w:pPr>
              <w:widowControl/>
              <w:spacing w:line="240" w:lineRule="auto"/>
              <w:ind w:firstLine="0" w:firstLineChars="0"/>
              <w:jc w:val="center"/>
              <w:textAlignment w:val="center"/>
              <w:rPr>
                <w:color w:val="auto"/>
                <w:sz w:val="21"/>
                <w:szCs w:val="21"/>
              </w:rPr>
            </w:pPr>
            <w:r>
              <w:rPr>
                <w:rFonts w:hint="eastAsia"/>
                <w:color w:val="auto"/>
                <w:sz w:val="21"/>
                <w:szCs w:val="21"/>
              </w:rPr>
              <w:t>100</w:t>
            </w:r>
          </w:p>
        </w:tc>
      </w:tr>
      <w:tr w14:paraId="596EB47E">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0D41092D">
            <w:pPr>
              <w:ind w:firstLine="400"/>
              <w:rPr>
                <w:color w:val="auto"/>
                <w:sz w:val="20"/>
                <w:szCs w:val="20"/>
              </w:rPr>
            </w:pPr>
          </w:p>
        </w:tc>
        <w:tc>
          <w:tcPr>
            <w:tcW w:w="403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09B4CE">
            <w:pPr>
              <w:widowControl/>
              <w:spacing w:line="240" w:lineRule="auto"/>
              <w:ind w:firstLine="0" w:firstLineChars="0"/>
              <w:jc w:val="center"/>
              <w:textAlignment w:val="center"/>
              <w:rPr>
                <w:color w:val="auto"/>
                <w:sz w:val="21"/>
                <w:szCs w:val="21"/>
              </w:rPr>
            </w:pPr>
            <w:r>
              <w:rPr>
                <w:rFonts w:hint="eastAsia" w:cs="宋体"/>
                <w:color w:val="auto"/>
                <w:kern w:val="0"/>
                <w:sz w:val="21"/>
                <w:szCs w:val="21"/>
                <w:lang w:bidi="ar"/>
              </w:rPr>
              <w:t>厂址周边</w:t>
            </w:r>
            <w:r>
              <w:rPr>
                <w:color w:val="auto"/>
                <w:kern w:val="0"/>
                <w:sz w:val="21"/>
                <w:szCs w:val="21"/>
                <w:lang w:bidi="ar"/>
              </w:rPr>
              <w:t>500m</w:t>
            </w:r>
            <w:r>
              <w:rPr>
                <w:rFonts w:hint="eastAsia" w:cs="宋体"/>
                <w:color w:val="auto"/>
                <w:kern w:val="0"/>
                <w:sz w:val="21"/>
                <w:szCs w:val="21"/>
                <w:lang w:bidi="ar"/>
              </w:rPr>
              <w:t>范围内人口小计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7669F1D0">
            <w:pPr>
              <w:widowControl/>
              <w:spacing w:line="240" w:lineRule="auto"/>
              <w:ind w:firstLine="0" w:firstLineChars="0"/>
              <w:jc w:val="center"/>
              <w:textAlignment w:val="center"/>
              <w:rPr>
                <w:color w:val="auto"/>
                <w:sz w:val="21"/>
                <w:szCs w:val="21"/>
                <w:lang w:bidi="ar"/>
              </w:rPr>
            </w:pPr>
            <w:r>
              <w:rPr>
                <w:rFonts w:hint="eastAsia"/>
                <w:color w:val="auto"/>
                <w:sz w:val="21"/>
                <w:szCs w:val="21"/>
                <w:lang w:bidi="ar"/>
              </w:rPr>
              <w:t>无居民</w:t>
            </w:r>
          </w:p>
        </w:tc>
      </w:tr>
      <w:tr w14:paraId="1758AF2A">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070F3066">
            <w:pPr>
              <w:ind w:firstLine="400"/>
              <w:rPr>
                <w:color w:val="auto"/>
                <w:sz w:val="20"/>
                <w:szCs w:val="20"/>
              </w:rPr>
            </w:pPr>
          </w:p>
        </w:tc>
        <w:tc>
          <w:tcPr>
            <w:tcW w:w="403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6CC07EB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厂址周边</w:t>
            </w:r>
            <w:r>
              <w:rPr>
                <w:color w:val="auto"/>
                <w:kern w:val="0"/>
                <w:sz w:val="21"/>
                <w:szCs w:val="21"/>
                <w:lang w:bidi="ar"/>
              </w:rPr>
              <w:t>5km</w:t>
            </w:r>
            <w:r>
              <w:rPr>
                <w:rFonts w:hint="eastAsia" w:cs="宋体"/>
                <w:color w:val="auto"/>
                <w:kern w:val="0"/>
                <w:sz w:val="21"/>
                <w:szCs w:val="21"/>
                <w:lang w:bidi="ar"/>
              </w:rPr>
              <w:t>范围内人口数小计</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2FCAEFA7">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约</w:t>
            </w:r>
            <w:r>
              <w:rPr>
                <w:rFonts w:hint="eastAsia"/>
                <w:color w:val="auto"/>
                <w:kern w:val="0"/>
                <w:sz w:val="21"/>
                <w:szCs w:val="21"/>
                <w:lang w:bidi="ar"/>
              </w:rPr>
              <w:t>78520</w:t>
            </w:r>
            <w:r>
              <w:rPr>
                <w:rFonts w:hint="eastAsia" w:cs="宋体"/>
                <w:color w:val="auto"/>
                <w:kern w:val="0"/>
                <w:sz w:val="21"/>
                <w:szCs w:val="21"/>
                <w:lang w:bidi="ar"/>
              </w:rPr>
              <w:t>人</w:t>
            </w:r>
          </w:p>
        </w:tc>
      </w:tr>
      <w:tr w14:paraId="40C75E6E">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40449B66">
            <w:pPr>
              <w:ind w:firstLine="400"/>
              <w:rPr>
                <w:color w:val="auto"/>
                <w:sz w:val="20"/>
                <w:szCs w:val="20"/>
              </w:rPr>
            </w:pPr>
          </w:p>
        </w:tc>
        <w:tc>
          <w:tcPr>
            <w:tcW w:w="403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30A7A4A">
            <w:pPr>
              <w:widowControl/>
              <w:spacing w:line="240" w:lineRule="auto"/>
              <w:ind w:firstLine="0" w:firstLineChars="0"/>
              <w:jc w:val="center"/>
              <w:textAlignment w:val="center"/>
              <w:rPr>
                <w:b/>
                <w:bCs/>
                <w:color w:val="auto"/>
                <w:kern w:val="0"/>
                <w:sz w:val="21"/>
                <w:szCs w:val="21"/>
                <w:lang w:bidi="ar"/>
              </w:rPr>
            </w:pPr>
            <w:r>
              <w:rPr>
                <w:rFonts w:hint="eastAsia" w:cs="宋体"/>
                <w:b/>
                <w:bCs/>
                <w:color w:val="auto"/>
                <w:kern w:val="0"/>
                <w:sz w:val="21"/>
                <w:szCs w:val="21"/>
                <w:lang w:bidi="ar"/>
              </w:rPr>
              <w:t>大气环境敏感程度</w:t>
            </w:r>
            <w:r>
              <w:rPr>
                <w:b/>
                <w:bCs/>
                <w:color w:val="auto"/>
                <w:kern w:val="0"/>
                <w:sz w:val="21"/>
                <w:szCs w:val="21"/>
                <w:lang w:bidi="ar"/>
              </w:rPr>
              <w:t>E</w:t>
            </w:r>
            <w:r>
              <w:rPr>
                <w:rFonts w:hint="eastAsia" w:cs="宋体"/>
                <w:b/>
                <w:bCs/>
                <w:color w:val="auto"/>
                <w:kern w:val="0"/>
                <w:sz w:val="21"/>
                <w:szCs w:val="21"/>
                <w:lang w:bidi="ar"/>
              </w:rPr>
              <w:t>值</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64022160">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E1</w:t>
            </w:r>
          </w:p>
        </w:tc>
      </w:tr>
      <w:tr w14:paraId="350ED788">
        <w:tblPrEx>
          <w:tblCellMar>
            <w:top w:w="0" w:type="dxa"/>
            <w:left w:w="108" w:type="dxa"/>
            <w:bottom w:w="0" w:type="dxa"/>
            <w:right w:w="108" w:type="dxa"/>
          </w:tblCellMar>
        </w:tblPrEx>
        <w:trPr>
          <w:trHeight w:val="23" w:hRule="atLeast"/>
        </w:trPr>
        <w:tc>
          <w:tcPr>
            <w:tcW w:w="218" w:type="pct"/>
            <w:vMerge w:val="restart"/>
            <w:tcBorders>
              <w:top w:val="single" w:color="auto" w:sz="4" w:space="0"/>
              <w:left w:val="nil"/>
              <w:bottom w:val="single" w:color="auto" w:sz="4" w:space="0"/>
              <w:right w:val="single" w:color="auto" w:sz="4" w:space="0"/>
            </w:tcBorders>
            <w:shd w:val="clear" w:color="auto" w:fill="auto"/>
            <w:vAlign w:val="center"/>
          </w:tcPr>
          <w:p w14:paraId="3B7E73C9">
            <w:pPr>
              <w:widowControl/>
              <w:spacing w:line="240" w:lineRule="auto"/>
              <w:ind w:firstLine="0" w:firstLineChars="0"/>
              <w:jc w:val="center"/>
              <w:rPr>
                <w:color w:val="auto"/>
                <w:sz w:val="21"/>
                <w:szCs w:val="21"/>
              </w:rPr>
            </w:pPr>
            <w:r>
              <w:rPr>
                <w:rFonts w:hint="eastAsia" w:cs="宋体"/>
                <w:color w:val="auto"/>
                <w:sz w:val="21"/>
                <w:szCs w:val="21"/>
                <w:lang w:bidi="ar"/>
              </w:rPr>
              <w:t>地表水</w:t>
            </w:r>
          </w:p>
        </w:tc>
        <w:tc>
          <w:tcPr>
            <w:tcW w:w="4781" w:type="pct"/>
            <w:gridSpan w:val="6"/>
            <w:tcBorders>
              <w:top w:val="single" w:color="auto" w:sz="4" w:space="0"/>
              <w:left w:val="single" w:color="auto" w:sz="4" w:space="0"/>
              <w:bottom w:val="single" w:color="auto" w:sz="4" w:space="0"/>
              <w:right w:val="nil"/>
            </w:tcBorders>
            <w:shd w:val="clear" w:color="auto" w:fill="auto"/>
            <w:vAlign w:val="center"/>
          </w:tcPr>
          <w:p w14:paraId="7D2CA6F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受纳水体</w:t>
            </w:r>
          </w:p>
        </w:tc>
      </w:tr>
      <w:tr w14:paraId="504911CC">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156F4910">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69529751">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序号</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83FA9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受纳水体名称</w:t>
            </w:r>
          </w:p>
        </w:tc>
        <w:tc>
          <w:tcPr>
            <w:tcW w:w="116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230FF26">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排放点水域环境功能</w:t>
            </w:r>
          </w:p>
        </w:tc>
        <w:tc>
          <w:tcPr>
            <w:tcW w:w="1828" w:type="pct"/>
            <w:gridSpan w:val="2"/>
            <w:tcBorders>
              <w:top w:val="single" w:color="auto" w:sz="4" w:space="0"/>
              <w:left w:val="single" w:color="auto" w:sz="4" w:space="0"/>
              <w:bottom w:val="single" w:color="auto" w:sz="4" w:space="0"/>
              <w:right w:val="nil"/>
            </w:tcBorders>
            <w:shd w:val="clear" w:color="auto" w:fill="auto"/>
            <w:vAlign w:val="center"/>
          </w:tcPr>
          <w:p w14:paraId="2CB90031">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24h</w:t>
            </w:r>
            <w:r>
              <w:rPr>
                <w:rFonts w:hint="eastAsia" w:cs="宋体"/>
                <w:color w:val="auto"/>
                <w:kern w:val="0"/>
                <w:sz w:val="21"/>
                <w:szCs w:val="21"/>
                <w:lang w:bidi="ar"/>
              </w:rPr>
              <w:t>内流经范围</w:t>
            </w:r>
            <w:r>
              <w:rPr>
                <w:color w:val="auto"/>
                <w:kern w:val="0"/>
                <w:sz w:val="21"/>
                <w:szCs w:val="21"/>
                <w:lang w:bidi="ar"/>
              </w:rPr>
              <w:t>/km</w:t>
            </w:r>
          </w:p>
        </w:tc>
      </w:tr>
      <w:tr w14:paraId="72B43BD6">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1E3CA038">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6DB4768">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4F2A0F">
            <w:pPr>
              <w:spacing w:line="240" w:lineRule="auto"/>
              <w:ind w:firstLine="0" w:firstLineChars="0"/>
              <w:jc w:val="center"/>
              <w:rPr>
                <w:color w:val="auto"/>
                <w:kern w:val="0"/>
                <w:sz w:val="21"/>
                <w:szCs w:val="21"/>
                <w:lang w:bidi="ar"/>
              </w:rPr>
            </w:pPr>
            <w:r>
              <w:rPr>
                <w:rFonts w:hint="eastAsia" w:cs="宋体"/>
                <w:color w:val="auto"/>
                <w:sz w:val="21"/>
                <w:szCs w:val="21"/>
                <w:lang w:bidi="ar"/>
              </w:rPr>
              <w:t>本项目事故状态下，风险物质泄漏收集进入事故废水管网及应急事故池内，不会排入地表水体</w:t>
            </w:r>
          </w:p>
        </w:tc>
        <w:tc>
          <w:tcPr>
            <w:tcW w:w="1166" w:type="pct"/>
            <w:gridSpan w:val="2"/>
            <w:tcBorders>
              <w:top w:val="single" w:color="auto" w:sz="4" w:space="0"/>
              <w:left w:val="single" w:color="auto" w:sz="4" w:space="0"/>
              <w:bottom w:val="nil"/>
              <w:right w:val="single" w:color="auto" w:sz="4" w:space="0"/>
            </w:tcBorders>
            <w:shd w:val="clear" w:color="auto" w:fill="auto"/>
            <w:noWrap/>
            <w:vAlign w:val="center"/>
          </w:tcPr>
          <w:p w14:paraId="790D7403">
            <w:pPr>
              <w:widowControl/>
              <w:spacing w:line="240" w:lineRule="auto"/>
              <w:ind w:firstLine="0" w:firstLineChars="0"/>
              <w:jc w:val="center"/>
              <w:textAlignment w:val="center"/>
              <w:rPr>
                <w:color w:val="auto"/>
                <w:kern w:val="0"/>
                <w:sz w:val="21"/>
                <w:szCs w:val="21"/>
                <w:lang w:bidi="ar"/>
              </w:rPr>
            </w:pPr>
            <w:r>
              <w:rPr>
                <w:color w:val="auto"/>
                <w:sz w:val="21"/>
                <w:szCs w:val="21"/>
                <w:lang w:bidi="ar"/>
              </w:rPr>
              <w:t>/</w:t>
            </w:r>
          </w:p>
        </w:tc>
        <w:tc>
          <w:tcPr>
            <w:tcW w:w="1828" w:type="pct"/>
            <w:gridSpan w:val="2"/>
            <w:tcBorders>
              <w:top w:val="single" w:color="auto" w:sz="4" w:space="0"/>
              <w:left w:val="single" w:color="auto" w:sz="4" w:space="0"/>
              <w:bottom w:val="nil"/>
              <w:right w:val="nil"/>
            </w:tcBorders>
            <w:shd w:val="clear" w:color="auto" w:fill="auto"/>
            <w:vAlign w:val="center"/>
          </w:tcPr>
          <w:p w14:paraId="14288CF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r>
      <w:tr w14:paraId="3585DFB8">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076880B9">
            <w:pPr>
              <w:ind w:firstLine="400"/>
              <w:rPr>
                <w:color w:val="auto"/>
                <w:sz w:val="20"/>
                <w:szCs w:val="20"/>
              </w:rPr>
            </w:pPr>
          </w:p>
        </w:tc>
        <w:tc>
          <w:tcPr>
            <w:tcW w:w="403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F1EF5F9">
            <w:pPr>
              <w:widowControl/>
              <w:spacing w:line="240" w:lineRule="auto"/>
              <w:ind w:firstLine="0" w:firstLineChars="0"/>
              <w:jc w:val="center"/>
              <w:textAlignment w:val="center"/>
              <w:rPr>
                <w:b/>
                <w:bCs/>
                <w:color w:val="auto"/>
                <w:kern w:val="0"/>
                <w:sz w:val="21"/>
                <w:szCs w:val="21"/>
                <w:lang w:bidi="ar"/>
              </w:rPr>
            </w:pPr>
            <w:r>
              <w:rPr>
                <w:rFonts w:hint="eastAsia" w:cs="宋体"/>
                <w:b/>
                <w:bCs/>
                <w:color w:val="auto"/>
                <w:kern w:val="0"/>
                <w:sz w:val="21"/>
                <w:szCs w:val="21"/>
                <w:lang w:bidi="ar"/>
              </w:rPr>
              <w:t>地表水环境敏感程度</w:t>
            </w:r>
            <w:r>
              <w:rPr>
                <w:b/>
                <w:bCs/>
                <w:color w:val="auto"/>
                <w:kern w:val="0"/>
                <w:sz w:val="21"/>
                <w:szCs w:val="21"/>
                <w:lang w:bidi="ar"/>
              </w:rPr>
              <w:t>E</w:t>
            </w:r>
            <w:r>
              <w:rPr>
                <w:rFonts w:hint="eastAsia" w:cs="宋体"/>
                <w:b/>
                <w:bCs/>
                <w:color w:val="auto"/>
                <w:kern w:val="0"/>
                <w:sz w:val="21"/>
                <w:szCs w:val="21"/>
                <w:lang w:bidi="ar"/>
              </w:rPr>
              <w:t>值</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71CF3735">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E3</w:t>
            </w:r>
          </w:p>
        </w:tc>
      </w:tr>
      <w:tr w14:paraId="13D3454D">
        <w:tblPrEx>
          <w:tblCellMar>
            <w:top w:w="0" w:type="dxa"/>
            <w:left w:w="108" w:type="dxa"/>
            <w:bottom w:w="0" w:type="dxa"/>
            <w:right w:w="108" w:type="dxa"/>
          </w:tblCellMar>
        </w:tblPrEx>
        <w:trPr>
          <w:trHeight w:val="23" w:hRule="atLeast"/>
        </w:trPr>
        <w:tc>
          <w:tcPr>
            <w:tcW w:w="218" w:type="pct"/>
            <w:vMerge w:val="restart"/>
            <w:tcBorders>
              <w:top w:val="single" w:color="auto" w:sz="4" w:space="0"/>
              <w:left w:val="nil"/>
              <w:bottom w:val="single" w:color="auto" w:sz="4" w:space="0"/>
              <w:right w:val="single" w:color="auto" w:sz="4" w:space="0"/>
            </w:tcBorders>
            <w:shd w:val="clear" w:color="auto" w:fill="auto"/>
            <w:vAlign w:val="center"/>
          </w:tcPr>
          <w:p w14:paraId="6BE46C3C">
            <w:pPr>
              <w:widowControl/>
              <w:spacing w:line="240" w:lineRule="auto"/>
              <w:ind w:firstLine="0" w:firstLineChars="0"/>
              <w:jc w:val="center"/>
              <w:rPr>
                <w:color w:val="auto"/>
                <w:sz w:val="21"/>
                <w:szCs w:val="21"/>
              </w:rPr>
            </w:pPr>
            <w:r>
              <w:rPr>
                <w:rFonts w:hint="eastAsia" w:cs="宋体"/>
                <w:color w:val="auto"/>
                <w:sz w:val="21"/>
                <w:szCs w:val="21"/>
                <w:lang w:bidi="ar"/>
              </w:rPr>
              <w:t>地下水</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3519243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序号</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8E694F">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环境敏感区名称</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6AB8B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环境敏感特征</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233C3299">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水质目标</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576DD852">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包气带防污性能</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2C10993B">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与下游厂界距离</w:t>
            </w:r>
            <w:r>
              <w:rPr>
                <w:color w:val="auto"/>
                <w:kern w:val="0"/>
                <w:sz w:val="21"/>
                <w:szCs w:val="21"/>
                <w:lang w:bidi="ar"/>
              </w:rPr>
              <w:t>/m</w:t>
            </w:r>
          </w:p>
        </w:tc>
      </w:tr>
      <w:tr w14:paraId="4EA622E1">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2B165EC9">
            <w:pPr>
              <w:ind w:firstLine="400"/>
              <w:rPr>
                <w:color w:val="auto"/>
                <w:sz w:val="20"/>
                <w:szCs w:val="20"/>
              </w:rPr>
            </w:pP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14:paraId="143F074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w:t>
            </w:r>
          </w:p>
        </w:tc>
        <w:tc>
          <w:tcPr>
            <w:tcW w:w="143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063855">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本项目不在集中式饮用水源准保护区等地下水环境敏感区范围</w:t>
            </w:r>
          </w:p>
        </w:tc>
        <w:tc>
          <w:tcPr>
            <w:tcW w:w="5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ABE80C">
            <w:pPr>
              <w:widowControl/>
              <w:spacing w:line="240" w:lineRule="auto"/>
              <w:ind w:firstLine="0" w:firstLineChars="0"/>
              <w:jc w:val="center"/>
              <w:textAlignment w:val="center"/>
              <w:rPr>
                <w:color w:val="auto"/>
                <w:kern w:val="0"/>
                <w:sz w:val="21"/>
                <w:szCs w:val="21"/>
                <w:lang w:bidi="ar"/>
              </w:rPr>
            </w:pPr>
            <w:r>
              <w:rPr>
                <w:rFonts w:hint="eastAsia" w:cs="宋体"/>
                <w:color w:val="auto"/>
                <w:kern w:val="0"/>
                <w:sz w:val="21"/>
                <w:szCs w:val="21"/>
                <w:lang w:bidi="ar"/>
              </w:rPr>
              <w:t>不敏感</w:t>
            </w:r>
            <w:r>
              <w:rPr>
                <w:color w:val="auto"/>
                <w:kern w:val="0"/>
                <w:sz w:val="21"/>
                <w:szCs w:val="21"/>
                <w:lang w:bidi="ar"/>
              </w:rPr>
              <w:t>G3</w:t>
            </w:r>
          </w:p>
        </w:tc>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3BF2060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c>
          <w:tcPr>
            <w:tcW w:w="1082" w:type="pct"/>
            <w:tcBorders>
              <w:top w:val="single" w:color="auto" w:sz="4" w:space="0"/>
              <w:left w:val="single" w:color="auto" w:sz="4" w:space="0"/>
              <w:bottom w:val="single" w:color="auto" w:sz="4" w:space="0"/>
              <w:right w:val="single" w:color="auto" w:sz="4" w:space="0"/>
            </w:tcBorders>
            <w:shd w:val="clear" w:color="auto" w:fill="auto"/>
            <w:vAlign w:val="center"/>
          </w:tcPr>
          <w:p w14:paraId="4EDE032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K</w:t>
            </w:r>
            <w:r>
              <w:rPr>
                <w:rFonts w:hint="eastAsia" w:cs="宋体"/>
                <w:color w:val="auto"/>
                <w:kern w:val="0"/>
                <w:sz w:val="21"/>
                <w:szCs w:val="21"/>
                <w:lang w:bidi="ar"/>
              </w:rPr>
              <w:t>：</w:t>
            </w:r>
            <w:r>
              <w:rPr>
                <w:color w:val="auto"/>
                <w:kern w:val="0"/>
                <w:sz w:val="21"/>
                <w:szCs w:val="21"/>
                <w:lang w:bidi="ar"/>
              </w:rPr>
              <w:t>6.9</w:t>
            </w:r>
            <w:r>
              <w:rPr>
                <w:rFonts w:hint="eastAsia" w:cs="宋体"/>
                <w:color w:val="auto"/>
                <w:kern w:val="0"/>
                <w:sz w:val="21"/>
                <w:szCs w:val="21"/>
                <w:lang w:bidi="ar"/>
              </w:rPr>
              <w:t>×</w:t>
            </w:r>
            <w:r>
              <w:rPr>
                <w:color w:val="auto"/>
                <w:kern w:val="0"/>
                <w:sz w:val="21"/>
                <w:szCs w:val="21"/>
                <w:lang w:bidi="ar"/>
              </w:rPr>
              <w:t>10</w:t>
            </w:r>
            <w:r>
              <w:rPr>
                <w:color w:val="auto"/>
                <w:kern w:val="0"/>
                <w:sz w:val="21"/>
                <w:szCs w:val="21"/>
                <w:vertAlign w:val="superscript"/>
                <w:lang w:bidi="ar"/>
              </w:rPr>
              <w:t>-5</w:t>
            </w:r>
            <w:r>
              <w:rPr>
                <w:color w:val="auto"/>
                <w:kern w:val="0"/>
                <w:sz w:val="21"/>
                <w:szCs w:val="21"/>
                <w:lang w:bidi="ar"/>
              </w:rPr>
              <w:t>cm/s</w:t>
            </w:r>
          </w:p>
          <w:p w14:paraId="362BA305">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Mb</w:t>
            </w:r>
            <w:r>
              <w:rPr>
                <w:rFonts w:hint="eastAsia" w:cs="宋体"/>
                <w:color w:val="auto"/>
                <w:kern w:val="0"/>
                <w:sz w:val="21"/>
                <w:szCs w:val="21"/>
                <w:lang w:bidi="ar"/>
              </w:rPr>
              <w:t>：</w:t>
            </w:r>
            <w:r>
              <w:rPr>
                <w:color w:val="auto"/>
                <w:kern w:val="0"/>
                <w:sz w:val="21"/>
                <w:szCs w:val="21"/>
                <w:lang w:bidi="ar"/>
              </w:rPr>
              <w:t>≥3.6m</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4319C4F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w:t>
            </w:r>
          </w:p>
        </w:tc>
      </w:tr>
      <w:tr w14:paraId="4D5CBB21">
        <w:tblPrEx>
          <w:tblCellMar>
            <w:top w:w="0" w:type="dxa"/>
            <w:left w:w="108" w:type="dxa"/>
            <w:bottom w:w="0" w:type="dxa"/>
            <w:right w:w="108" w:type="dxa"/>
          </w:tblCellMar>
        </w:tblPrEx>
        <w:trPr>
          <w:trHeight w:val="23" w:hRule="atLeast"/>
        </w:trPr>
        <w:tc>
          <w:tcPr>
            <w:tcW w:w="218" w:type="pct"/>
            <w:vMerge w:val="continue"/>
            <w:tcBorders>
              <w:top w:val="single" w:color="auto" w:sz="4" w:space="0"/>
              <w:left w:val="nil"/>
              <w:bottom w:val="single" w:color="auto" w:sz="4" w:space="0"/>
              <w:right w:val="single" w:color="auto" w:sz="4" w:space="0"/>
            </w:tcBorders>
            <w:shd w:val="clear" w:color="auto" w:fill="auto"/>
            <w:vAlign w:val="center"/>
          </w:tcPr>
          <w:p w14:paraId="5694E1D6">
            <w:pPr>
              <w:ind w:firstLine="400"/>
              <w:rPr>
                <w:color w:val="auto"/>
                <w:sz w:val="20"/>
                <w:szCs w:val="20"/>
              </w:rPr>
            </w:pPr>
          </w:p>
        </w:tc>
        <w:tc>
          <w:tcPr>
            <w:tcW w:w="403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8A8AF40">
            <w:pPr>
              <w:widowControl/>
              <w:spacing w:line="240" w:lineRule="auto"/>
              <w:ind w:firstLine="0" w:firstLineChars="0"/>
              <w:jc w:val="center"/>
              <w:textAlignment w:val="center"/>
              <w:rPr>
                <w:b/>
                <w:bCs/>
                <w:color w:val="auto"/>
                <w:kern w:val="0"/>
                <w:sz w:val="21"/>
                <w:szCs w:val="21"/>
                <w:lang w:bidi="ar"/>
              </w:rPr>
            </w:pPr>
            <w:r>
              <w:rPr>
                <w:rFonts w:hint="eastAsia" w:cs="宋体"/>
                <w:b/>
                <w:bCs/>
                <w:color w:val="auto"/>
                <w:kern w:val="0"/>
                <w:sz w:val="21"/>
                <w:szCs w:val="21"/>
                <w:lang w:bidi="ar"/>
              </w:rPr>
              <w:t>地下水环境敏感程度</w:t>
            </w:r>
            <w:r>
              <w:rPr>
                <w:b/>
                <w:bCs/>
                <w:color w:val="auto"/>
                <w:kern w:val="0"/>
                <w:sz w:val="21"/>
                <w:szCs w:val="21"/>
                <w:lang w:bidi="ar"/>
              </w:rPr>
              <w:t>E</w:t>
            </w:r>
            <w:r>
              <w:rPr>
                <w:rFonts w:hint="eastAsia" w:cs="宋体"/>
                <w:b/>
                <w:bCs/>
                <w:color w:val="auto"/>
                <w:kern w:val="0"/>
                <w:sz w:val="21"/>
                <w:szCs w:val="21"/>
                <w:lang w:bidi="ar"/>
              </w:rPr>
              <w:t>值</w:t>
            </w:r>
          </w:p>
        </w:tc>
        <w:tc>
          <w:tcPr>
            <w:tcW w:w="745" w:type="pct"/>
            <w:tcBorders>
              <w:top w:val="single" w:color="auto" w:sz="4" w:space="0"/>
              <w:left w:val="single" w:color="auto" w:sz="4" w:space="0"/>
              <w:bottom w:val="single" w:color="auto" w:sz="4" w:space="0"/>
              <w:right w:val="nil"/>
            </w:tcBorders>
            <w:shd w:val="clear" w:color="auto" w:fill="auto"/>
            <w:noWrap/>
            <w:vAlign w:val="center"/>
          </w:tcPr>
          <w:p w14:paraId="6A58024A">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E3</w:t>
            </w:r>
          </w:p>
        </w:tc>
      </w:tr>
    </w:tbl>
    <w:p w14:paraId="7983D08E">
      <w:pPr>
        <w:spacing w:before="120" w:beforeLines="50"/>
        <w:ind w:firstLine="482"/>
        <w:rPr>
          <w:b/>
          <w:bCs/>
          <w:color w:val="auto"/>
          <w:lang w:bidi="ar"/>
        </w:rPr>
      </w:pPr>
      <w:r>
        <w:rPr>
          <w:b/>
          <w:bCs/>
          <w:color w:val="auto"/>
          <w:lang w:bidi="ar"/>
        </w:rPr>
        <w:t>a.</w:t>
      </w:r>
      <w:r>
        <w:rPr>
          <w:rFonts w:hint="eastAsia" w:cs="宋体"/>
          <w:b/>
          <w:bCs/>
          <w:color w:val="auto"/>
          <w:lang w:bidi="ar"/>
        </w:rPr>
        <w:t>大气环境</w:t>
      </w:r>
    </w:p>
    <w:p w14:paraId="50E4C32F">
      <w:pPr>
        <w:ind w:firstLine="480"/>
        <w:rPr>
          <w:color w:val="auto"/>
          <w:lang w:bidi="ar"/>
        </w:rPr>
      </w:pPr>
      <w:r>
        <w:rPr>
          <w:rFonts w:hint="eastAsia" w:cs="宋体"/>
          <w:color w:val="auto"/>
          <w:lang w:bidi="ar"/>
        </w:rPr>
        <w:t>根据《建设项目环境风险评价技术导则》（</w:t>
      </w:r>
      <w:r>
        <w:rPr>
          <w:color w:val="auto"/>
          <w:lang w:bidi="ar"/>
        </w:rPr>
        <w:t>HJ169-2018</w:t>
      </w:r>
      <w:r>
        <w:rPr>
          <w:rFonts w:hint="eastAsia" w:cs="宋体"/>
          <w:color w:val="auto"/>
          <w:lang w:bidi="ar"/>
        </w:rPr>
        <w:t>）附录</w:t>
      </w:r>
      <w:r>
        <w:rPr>
          <w:color w:val="auto"/>
          <w:lang w:bidi="ar"/>
        </w:rPr>
        <w:t>D</w:t>
      </w:r>
      <w:r>
        <w:rPr>
          <w:rFonts w:hint="eastAsia" w:cs="宋体"/>
          <w:color w:val="auto"/>
          <w:lang w:bidi="ar"/>
        </w:rPr>
        <w:t>中表</w:t>
      </w:r>
      <w:r>
        <w:rPr>
          <w:color w:val="auto"/>
          <w:lang w:bidi="ar"/>
        </w:rPr>
        <w:t>D.1</w:t>
      </w:r>
      <w:r>
        <w:rPr>
          <w:rFonts w:hint="eastAsia" w:cs="宋体"/>
          <w:color w:val="auto"/>
          <w:lang w:bidi="ar"/>
        </w:rPr>
        <w:t>大气环境敏感程度分级，经调查核实本项目</w:t>
      </w:r>
      <w:r>
        <w:rPr>
          <w:color w:val="auto"/>
          <w:lang w:bidi="ar"/>
        </w:rPr>
        <w:t>5km</w:t>
      </w:r>
      <w:r>
        <w:rPr>
          <w:rFonts w:hint="eastAsia" w:cs="宋体"/>
          <w:color w:val="auto"/>
          <w:lang w:bidi="ar"/>
        </w:rPr>
        <w:t>范围内总人口数约为</w:t>
      </w:r>
      <w:r>
        <w:rPr>
          <w:rFonts w:hint="eastAsia"/>
          <w:color w:val="auto"/>
          <w:lang w:bidi="ar"/>
        </w:rPr>
        <w:t>78280</w:t>
      </w:r>
      <w:r>
        <w:rPr>
          <w:rFonts w:hint="eastAsia" w:cs="宋体"/>
          <w:color w:val="auto"/>
          <w:lang w:bidi="ar"/>
        </w:rPr>
        <w:t>人，项目大气环境敏感程度为中度敏感区</w:t>
      </w:r>
      <w:r>
        <w:rPr>
          <w:color w:val="auto"/>
          <w:lang w:bidi="ar"/>
        </w:rPr>
        <w:t>E</w:t>
      </w:r>
      <w:r>
        <w:rPr>
          <w:rFonts w:hint="eastAsia"/>
          <w:color w:val="auto"/>
          <w:lang w:bidi="ar"/>
        </w:rPr>
        <w:t>1</w:t>
      </w:r>
      <w:r>
        <w:rPr>
          <w:rFonts w:hint="eastAsia" w:cs="宋体"/>
          <w:color w:val="auto"/>
          <w:lang w:bidi="ar"/>
        </w:rPr>
        <w:t>。</w:t>
      </w:r>
    </w:p>
    <w:p w14:paraId="7320B59E">
      <w:pPr>
        <w:spacing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5.1-13</w:t>
      </w:r>
      <w:r>
        <w:rPr>
          <w:b/>
          <w:color w:val="auto"/>
          <w:lang w:bidi="ar"/>
        </w:rPr>
        <w:t xml:space="preserve"> </w:t>
      </w:r>
      <w:r>
        <w:rPr>
          <w:rFonts w:hint="eastAsia"/>
          <w:b/>
          <w:color w:val="auto"/>
          <w:lang w:bidi="ar"/>
        </w:rPr>
        <w:t xml:space="preserve"> </w:t>
      </w:r>
      <w:r>
        <w:rPr>
          <w:rFonts w:hint="eastAsia" w:cs="宋体"/>
          <w:b/>
          <w:color w:val="auto"/>
          <w:lang w:bidi="ar"/>
        </w:rPr>
        <w:t>大气环境敏感程度分级（</w:t>
      </w:r>
      <w:r>
        <w:rPr>
          <w:b/>
          <w:color w:val="auto"/>
          <w:lang w:bidi="ar"/>
        </w:rPr>
        <w:t>E</w:t>
      </w:r>
      <w:r>
        <w:rPr>
          <w:rFonts w:hint="eastAsia" w:cs="宋体"/>
          <w:b/>
          <w:color w:val="auto"/>
          <w:lang w:bidi="ar"/>
        </w:rPr>
        <w:t>）表</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8042"/>
      </w:tblGrid>
      <w:tr w14:paraId="6D7925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670" w:type="pct"/>
            <w:tcBorders>
              <w:top w:val="single" w:color="auto" w:sz="12" w:space="0"/>
              <w:left w:val="nil"/>
              <w:bottom w:val="single" w:color="auto" w:sz="4" w:space="0"/>
              <w:right w:val="single" w:color="auto" w:sz="4" w:space="0"/>
            </w:tcBorders>
            <w:shd w:val="clear" w:color="auto" w:fill="auto"/>
            <w:vAlign w:val="center"/>
          </w:tcPr>
          <w:p w14:paraId="48E45C8B">
            <w:pPr>
              <w:spacing w:line="240" w:lineRule="auto"/>
              <w:ind w:firstLine="0" w:firstLineChars="0"/>
              <w:jc w:val="center"/>
              <w:rPr>
                <w:b/>
                <w:bCs/>
                <w:color w:val="auto"/>
                <w:sz w:val="21"/>
              </w:rPr>
            </w:pPr>
            <w:r>
              <w:rPr>
                <w:rFonts w:hint="eastAsia" w:cs="宋体"/>
                <w:b/>
                <w:bCs/>
                <w:color w:val="auto"/>
                <w:sz w:val="21"/>
                <w:lang w:bidi="ar"/>
              </w:rPr>
              <w:t>分级</w:t>
            </w:r>
          </w:p>
        </w:tc>
        <w:tc>
          <w:tcPr>
            <w:tcW w:w="4329" w:type="pct"/>
            <w:tcBorders>
              <w:top w:val="single" w:color="auto" w:sz="12" w:space="0"/>
              <w:left w:val="single" w:color="auto" w:sz="4" w:space="0"/>
              <w:bottom w:val="single" w:color="auto" w:sz="4" w:space="0"/>
              <w:right w:val="nil"/>
            </w:tcBorders>
            <w:shd w:val="clear" w:color="auto" w:fill="auto"/>
            <w:vAlign w:val="center"/>
          </w:tcPr>
          <w:p w14:paraId="7BBF1AEE">
            <w:pPr>
              <w:spacing w:line="240" w:lineRule="auto"/>
              <w:ind w:firstLine="0" w:firstLineChars="0"/>
              <w:jc w:val="center"/>
              <w:rPr>
                <w:b/>
                <w:bCs/>
                <w:color w:val="auto"/>
                <w:sz w:val="21"/>
              </w:rPr>
            </w:pPr>
            <w:r>
              <w:rPr>
                <w:rFonts w:hint="eastAsia" w:cs="宋体"/>
                <w:b/>
                <w:bCs/>
                <w:color w:val="auto"/>
                <w:sz w:val="21"/>
                <w:lang w:bidi="ar"/>
              </w:rPr>
              <w:t>大气环境敏感性</w:t>
            </w:r>
          </w:p>
        </w:tc>
      </w:tr>
      <w:tr w14:paraId="2247D78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0" w:type="pct"/>
            <w:tcBorders>
              <w:top w:val="single" w:color="auto" w:sz="4" w:space="0"/>
              <w:left w:val="nil"/>
              <w:bottom w:val="single" w:color="auto" w:sz="4" w:space="0"/>
              <w:right w:val="single" w:color="auto" w:sz="4" w:space="0"/>
            </w:tcBorders>
            <w:shd w:val="clear" w:color="auto" w:fill="E7E6E6" w:themeFill="background2"/>
            <w:vAlign w:val="center"/>
          </w:tcPr>
          <w:p w14:paraId="5BAF07AC">
            <w:pPr>
              <w:spacing w:line="240" w:lineRule="auto"/>
              <w:ind w:firstLine="0" w:firstLineChars="0"/>
              <w:jc w:val="center"/>
              <w:rPr>
                <w:color w:val="auto"/>
                <w:sz w:val="21"/>
                <w:lang w:bidi="ar"/>
              </w:rPr>
            </w:pPr>
            <w:r>
              <w:rPr>
                <w:color w:val="auto"/>
                <w:sz w:val="21"/>
                <w:lang w:bidi="ar"/>
              </w:rPr>
              <w:t>E1</w:t>
            </w:r>
          </w:p>
        </w:tc>
        <w:tc>
          <w:tcPr>
            <w:tcW w:w="4329" w:type="pct"/>
            <w:tcBorders>
              <w:top w:val="single" w:color="auto" w:sz="4" w:space="0"/>
              <w:left w:val="single" w:color="auto" w:sz="4" w:space="0"/>
              <w:bottom w:val="single" w:color="auto" w:sz="4" w:space="0"/>
              <w:right w:val="nil"/>
            </w:tcBorders>
            <w:shd w:val="clear" w:color="auto" w:fill="E7E6E6" w:themeFill="background2"/>
            <w:vAlign w:val="center"/>
          </w:tcPr>
          <w:p w14:paraId="64C630B7">
            <w:pPr>
              <w:spacing w:line="240" w:lineRule="auto"/>
              <w:ind w:firstLine="0" w:firstLineChars="0"/>
              <w:jc w:val="center"/>
              <w:rPr>
                <w:color w:val="auto"/>
                <w:sz w:val="21"/>
                <w:lang w:bidi="ar"/>
              </w:rPr>
            </w:pPr>
            <w:r>
              <w:rPr>
                <w:rFonts w:hint="eastAsia"/>
                <w:color w:val="auto"/>
                <w:sz w:val="21"/>
                <w:lang w:bidi="ar"/>
              </w:rPr>
              <w:t>周边</w:t>
            </w:r>
            <w:r>
              <w:rPr>
                <w:color w:val="auto"/>
                <w:sz w:val="21"/>
                <w:lang w:bidi="ar"/>
              </w:rPr>
              <w:t>5km</w:t>
            </w:r>
            <w:r>
              <w:rPr>
                <w:rFonts w:hint="eastAsia"/>
                <w:color w:val="auto"/>
                <w:sz w:val="21"/>
                <w:lang w:bidi="ar"/>
              </w:rPr>
              <w:t>范围内居住区、医疗卫生、文化教育、科研、行政办公等机构人口总数大于</w:t>
            </w:r>
            <w:r>
              <w:rPr>
                <w:color w:val="auto"/>
                <w:sz w:val="21"/>
                <w:lang w:bidi="ar"/>
              </w:rPr>
              <w:t>5</w:t>
            </w:r>
            <w:r>
              <w:rPr>
                <w:rFonts w:hint="eastAsia"/>
                <w:color w:val="auto"/>
                <w:sz w:val="21"/>
                <w:lang w:bidi="ar"/>
              </w:rPr>
              <w:t>万人，或其他需要特殊保护区域；或周边</w:t>
            </w:r>
            <w:r>
              <w:rPr>
                <w:color w:val="auto"/>
                <w:sz w:val="21"/>
                <w:lang w:bidi="ar"/>
              </w:rPr>
              <w:t>500m</w:t>
            </w:r>
            <w:r>
              <w:rPr>
                <w:rFonts w:hint="eastAsia"/>
                <w:color w:val="auto"/>
                <w:sz w:val="21"/>
                <w:lang w:bidi="ar"/>
              </w:rPr>
              <w:t>范围内人口总数大于</w:t>
            </w:r>
            <w:r>
              <w:rPr>
                <w:color w:val="auto"/>
                <w:sz w:val="21"/>
                <w:lang w:bidi="ar"/>
              </w:rPr>
              <w:t>1000</w:t>
            </w:r>
            <w:r>
              <w:rPr>
                <w:rFonts w:hint="eastAsia"/>
                <w:color w:val="auto"/>
                <w:sz w:val="21"/>
                <w:lang w:bidi="ar"/>
              </w:rPr>
              <w:t>人；油气、化学品输送管线管段周边</w:t>
            </w:r>
            <w:r>
              <w:rPr>
                <w:color w:val="auto"/>
                <w:sz w:val="21"/>
                <w:lang w:bidi="ar"/>
              </w:rPr>
              <w:t>200m</w:t>
            </w:r>
            <w:r>
              <w:rPr>
                <w:rFonts w:hint="eastAsia"/>
                <w:color w:val="auto"/>
                <w:sz w:val="21"/>
                <w:lang w:bidi="ar"/>
              </w:rPr>
              <w:t>范围内，每千米管段人口数大于</w:t>
            </w:r>
            <w:r>
              <w:rPr>
                <w:color w:val="auto"/>
                <w:sz w:val="21"/>
                <w:lang w:bidi="ar"/>
              </w:rPr>
              <w:t>200</w:t>
            </w:r>
            <w:r>
              <w:rPr>
                <w:rFonts w:hint="eastAsia"/>
                <w:color w:val="auto"/>
                <w:sz w:val="21"/>
                <w:lang w:bidi="ar"/>
              </w:rPr>
              <w:t>人</w:t>
            </w:r>
          </w:p>
        </w:tc>
      </w:tr>
      <w:tr w14:paraId="5AA8A50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670" w:type="pct"/>
            <w:tcBorders>
              <w:top w:val="single" w:color="auto" w:sz="4" w:space="0"/>
              <w:left w:val="nil"/>
              <w:bottom w:val="single" w:color="auto" w:sz="4" w:space="0"/>
              <w:right w:val="single" w:color="auto" w:sz="4" w:space="0"/>
            </w:tcBorders>
            <w:shd w:val="clear" w:color="auto" w:fill="auto"/>
            <w:vAlign w:val="center"/>
          </w:tcPr>
          <w:p w14:paraId="3923A02C">
            <w:pPr>
              <w:spacing w:line="240" w:lineRule="auto"/>
              <w:ind w:firstLine="0" w:firstLineChars="0"/>
              <w:jc w:val="center"/>
              <w:rPr>
                <w:color w:val="auto"/>
                <w:sz w:val="21"/>
              </w:rPr>
            </w:pPr>
            <w:r>
              <w:rPr>
                <w:color w:val="auto"/>
                <w:sz w:val="21"/>
                <w:lang w:bidi="ar"/>
              </w:rPr>
              <w:t>E2</w:t>
            </w:r>
          </w:p>
        </w:tc>
        <w:tc>
          <w:tcPr>
            <w:tcW w:w="4329" w:type="pct"/>
            <w:tcBorders>
              <w:top w:val="single" w:color="auto" w:sz="4" w:space="0"/>
              <w:left w:val="single" w:color="auto" w:sz="4" w:space="0"/>
              <w:bottom w:val="single" w:color="auto" w:sz="4" w:space="0"/>
              <w:right w:val="nil"/>
            </w:tcBorders>
            <w:shd w:val="clear" w:color="auto" w:fill="auto"/>
            <w:vAlign w:val="center"/>
          </w:tcPr>
          <w:p w14:paraId="26C47AD3">
            <w:pPr>
              <w:spacing w:line="240" w:lineRule="auto"/>
              <w:ind w:firstLine="0" w:firstLineChars="0"/>
              <w:rPr>
                <w:color w:val="auto"/>
                <w:sz w:val="21"/>
              </w:rPr>
            </w:pPr>
            <w:r>
              <w:rPr>
                <w:rFonts w:hint="eastAsia" w:cs="宋体"/>
                <w:color w:val="auto"/>
                <w:sz w:val="21"/>
                <w:lang w:bidi="ar"/>
              </w:rPr>
              <w:t>周边</w:t>
            </w:r>
            <w:r>
              <w:rPr>
                <w:color w:val="auto"/>
                <w:sz w:val="21"/>
                <w:lang w:bidi="ar"/>
              </w:rPr>
              <w:t>5km</w:t>
            </w:r>
            <w:r>
              <w:rPr>
                <w:rFonts w:hint="eastAsia" w:cs="宋体"/>
                <w:color w:val="auto"/>
                <w:sz w:val="21"/>
                <w:lang w:bidi="ar"/>
              </w:rPr>
              <w:t>范围内居住区、医疗卫生、文化教育、科研、行政办公等机构人口总数大于</w:t>
            </w:r>
            <w:r>
              <w:rPr>
                <w:color w:val="auto"/>
                <w:sz w:val="21"/>
                <w:lang w:bidi="ar"/>
              </w:rPr>
              <w:t>1</w:t>
            </w:r>
            <w:r>
              <w:rPr>
                <w:rFonts w:hint="eastAsia" w:cs="宋体"/>
                <w:color w:val="auto"/>
                <w:sz w:val="21"/>
                <w:lang w:bidi="ar"/>
              </w:rPr>
              <w:t>万人，小于</w:t>
            </w:r>
            <w:r>
              <w:rPr>
                <w:color w:val="auto"/>
                <w:sz w:val="21"/>
                <w:lang w:bidi="ar"/>
              </w:rPr>
              <w:t>5</w:t>
            </w:r>
            <w:r>
              <w:rPr>
                <w:rFonts w:hint="eastAsia" w:cs="宋体"/>
                <w:color w:val="auto"/>
                <w:sz w:val="21"/>
                <w:lang w:bidi="ar"/>
              </w:rPr>
              <w:t>万人；或周边</w:t>
            </w:r>
            <w:r>
              <w:rPr>
                <w:color w:val="auto"/>
                <w:sz w:val="21"/>
                <w:lang w:bidi="ar"/>
              </w:rPr>
              <w:t>500 m</w:t>
            </w:r>
            <w:r>
              <w:rPr>
                <w:rFonts w:hint="eastAsia" w:cs="宋体"/>
                <w:color w:val="auto"/>
                <w:sz w:val="21"/>
                <w:lang w:bidi="ar"/>
              </w:rPr>
              <w:t>范围内人口总数大于</w:t>
            </w:r>
            <w:r>
              <w:rPr>
                <w:color w:val="auto"/>
                <w:sz w:val="21"/>
                <w:lang w:bidi="ar"/>
              </w:rPr>
              <w:t>500</w:t>
            </w:r>
            <w:r>
              <w:rPr>
                <w:rFonts w:hint="eastAsia" w:cs="宋体"/>
                <w:color w:val="auto"/>
                <w:sz w:val="21"/>
                <w:lang w:bidi="ar"/>
              </w:rPr>
              <w:t>人，小于</w:t>
            </w:r>
            <w:r>
              <w:rPr>
                <w:color w:val="auto"/>
                <w:sz w:val="21"/>
                <w:lang w:bidi="ar"/>
              </w:rPr>
              <w:t>1000</w:t>
            </w:r>
            <w:r>
              <w:rPr>
                <w:rFonts w:hint="eastAsia" w:cs="宋体"/>
                <w:color w:val="auto"/>
                <w:sz w:val="21"/>
                <w:lang w:bidi="ar"/>
              </w:rPr>
              <w:t>人；油气、化学品输送管线管段周边</w:t>
            </w:r>
            <w:r>
              <w:rPr>
                <w:color w:val="auto"/>
                <w:sz w:val="21"/>
                <w:lang w:bidi="ar"/>
              </w:rPr>
              <w:t>200m</w:t>
            </w:r>
            <w:r>
              <w:rPr>
                <w:rFonts w:hint="eastAsia" w:cs="宋体"/>
                <w:color w:val="auto"/>
                <w:sz w:val="21"/>
                <w:lang w:bidi="ar"/>
              </w:rPr>
              <w:t>范围内，每千米管段人口数大于</w:t>
            </w:r>
            <w:r>
              <w:rPr>
                <w:color w:val="auto"/>
                <w:sz w:val="21"/>
                <w:lang w:bidi="ar"/>
              </w:rPr>
              <w:t>100</w:t>
            </w:r>
            <w:r>
              <w:rPr>
                <w:rFonts w:hint="eastAsia" w:cs="宋体"/>
                <w:color w:val="auto"/>
                <w:sz w:val="21"/>
                <w:lang w:bidi="ar"/>
              </w:rPr>
              <w:t>人，小于</w:t>
            </w:r>
            <w:r>
              <w:rPr>
                <w:color w:val="auto"/>
                <w:sz w:val="21"/>
                <w:lang w:bidi="ar"/>
              </w:rPr>
              <w:t>200</w:t>
            </w:r>
            <w:r>
              <w:rPr>
                <w:rFonts w:hint="eastAsia" w:cs="宋体"/>
                <w:color w:val="auto"/>
                <w:sz w:val="21"/>
                <w:lang w:bidi="ar"/>
              </w:rPr>
              <w:t>人</w:t>
            </w:r>
          </w:p>
        </w:tc>
      </w:tr>
      <w:tr w14:paraId="5678FAA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670" w:type="pct"/>
            <w:tcBorders>
              <w:top w:val="single" w:color="auto" w:sz="4" w:space="0"/>
              <w:left w:val="nil"/>
              <w:bottom w:val="single" w:color="auto" w:sz="12" w:space="0"/>
              <w:right w:val="single" w:color="auto" w:sz="4" w:space="0"/>
            </w:tcBorders>
            <w:shd w:val="clear" w:color="auto" w:fill="auto"/>
            <w:vAlign w:val="center"/>
          </w:tcPr>
          <w:p w14:paraId="12CFD61C">
            <w:pPr>
              <w:spacing w:line="240" w:lineRule="auto"/>
              <w:ind w:firstLine="0" w:firstLineChars="0"/>
              <w:jc w:val="center"/>
              <w:rPr>
                <w:color w:val="auto"/>
                <w:sz w:val="21"/>
              </w:rPr>
            </w:pPr>
            <w:r>
              <w:rPr>
                <w:color w:val="auto"/>
                <w:sz w:val="21"/>
                <w:lang w:bidi="ar"/>
              </w:rPr>
              <w:t>E3</w:t>
            </w:r>
          </w:p>
        </w:tc>
        <w:tc>
          <w:tcPr>
            <w:tcW w:w="4329" w:type="pct"/>
            <w:tcBorders>
              <w:top w:val="single" w:color="auto" w:sz="4" w:space="0"/>
              <w:left w:val="single" w:color="auto" w:sz="4" w:space="0"/>
              <w:bottom w:val="single" w:color="auto" w:sz="12" w:space="0"/>
              <w:right w:val="nil"/>
            </w:tcBorders>
            <w:shd w:val="clear" w:color="auto" w:fill="auto"/>
            <w:vAlign w:val="center"/>
          </w:tcPr>
          <w:p w14:paraId="4A55BE79">
            <w:pPr>
              <w:spacing w:line="240" w:lineRule="auto"/>
              <w:ind w:firstLine="0" w:firstLineChars="0"/>
              <w:rPr>
                <w:color w:val="auto"/>
                <w:sz w:val="21"/>
              </w:rPr>
            </w:pPr>
            <w:r>
              <w:rPr>
                <w:rFonts w:hint="eastAsia" w:cs="宋体"/>
                <w:color w:val="auto"/>
                <w:sz w:val="21"/>
                <w:lang w:bidi="ar"/>
              </w:rPr>
              <w:t>周边</w:t>
            </w:r>
            <w:r>
              <w:rPr>
                <w:color w:val="auto"/>
                <w:sz w:val="21"/>
                <w:lang w:bidi="ar"/>
              </w:rPr>
              <w:t>5km</w:t>
            </w:r>
            <w:r>
              <w:rPr>
                <w:rFonts w:hint="eastAsia" w:cs="宋体"/>
                <w:color w:val="auto"/>
                <w:sz w:val="21"/>
                <w:lang w:bidi="ar"/>
              </w:rPr>
              <w:t>范围内居住区、医疗卫生、文化教育、科研、行政办公等机构人口总数小于</w:t>
            </w:r>
            <w:r>
              <w:rPr>
                <w:color w:val="auto"/>
                <w:sz w:val="21"/>
                <w:lang w:bidi="ar"/>
              </w:rPr>
              <w:t>1</w:t>
            </w:r>
            <w:r>
              <w:rPr>
                <w:rFonts w:hint="eastAsia" w:cs="宋体"/>
                <w:color w:val="auto"/>
                <w:sz w:val="21"/>
                <w:lang w:bidi="ar"/>
              </w:rPr>
              <w:t>万人；或周边</w:t>
            </w:r>
            <w:r>
              <w:rPr>
                <w:color w:val="auto"/>
                <w:sz w:val="21"/>
                <w:lang w:bidi="ar"/>
              </w:rPr>
              <w:t>500m</w:t>
            </w:r>
            <w:r>
              <w:rPr>
                <w:rFonts w:hint="eastAsia" w:cs="宋体"/>
                <w:color w:val="auto"/>
                <w:sz w:val="21"/>
                <w:lang w:bidi="ar"/>
              </w:rPr>
              <w:t>范围内人口总数小于</w:t>
            </w:r>
            <w:r>
              <w:rPr>
                <w:color w:val="auto"/>
                <w:sz w:val="21"/>
                <w:lang w:bidi="ar"/>
              </w:rPr>
              <w:t>500</w:t>
            </w:r>
            <w:r>
              <w:rPr>
                <w:rFonts w:hint="eastAsia" w:cs="宋体"/>
                <w:color w:val="auto"/>
                <w:sz w:val="21"/>
                <w:lang w:bidi="ar"/>
              </w:rPr>
              <w:t>人；油气、化学品输送管线管段周边</w:t>
            </w:r>
            <w:r>
              <w:rPr>
                <w:color w:val="auto"/>
                <w:sz w:val="21"/>
                <w:lang w:bidi="ar"/>
              </w:rPr>
              <w:t>200m</w:t>
            </w:r>
            <w:r>
              <w:rPr>
                <w:rFonts w:hint="eastAsia" w:cs="宋体"/>
                <w:color w:val="auto"/>
                <w:sz w:val="21"/>
                <w:lang w:bidi="ar"/>
              </w:rPr>
              <w:t>范围内，每千米管段人口数小于</w:t>
            </w:r>
            <w:r>
              <w:rPr>
                <w:color w:val="auto"/>
                <w:sz w:val="21"/>
                <w:lang w:bidi="ar"/>
              </w:rPr>
              <w:t>100</w:t>
            </w:r>
            <w:r>
              <w:rPr>
                <w:rFonts w:hint="eastAsia" w:cs="宋体"/>
                <w:color w:val="auto"/>
                <w:sz w:val="21"/>
                <w:lang w:bidi="ar"/>
              </w:rPr>
              <w:t>人</w:t>
            </w:r>
          </w:p>
        </w:tc>
      </w:tr>
    </w:tbl>
    <w:p w14:paraId="7A35AD10">
      <w:pPr>
        <w:spacing w:before="120" w:beforeLines="50"/>
        <w:ind w:firstLine="482"/>
        <w:jc w:val="left"/>
        <w:rPr>
          <w:b/>
          <w:bCs/>
          <w:color w:val="auto"/>
          <w:lang w:bidi="ar"/>
        </w:rPr>
      </w:pPr>
    </w:p>
    <w:p w14:paraId="783D466E">
      <w:pPr>
        <w:spacing w:before="120" w:beforeLines="50"/>
        <w:ind w:firstLine="482"/>
        <w:jc w:val="left"/>
        <w:rPr>
          <w:b/>
          <w:bCs/>
          <w:color w:val="auto"/>
          <w:lang w:bidi="ar"/>
        </w:rPr>
      </w:pPr>
      <w:r>
        <w:rPr>
          <w:b/>
          <w:bCs/>
          <w:color w:val="auto"/>
          <w:lang w:bidi="ar"/>
        </w:rPr>
        <w:t>b.</w:t>
      </w:r>
      <w:r>
        <w:rPr>
          <w:rFonts w:hint="eastAsia" w:cs="宋体"/>
          <w:b/>
          <w:bCs/>
          <w:color w:val="auto"/>
          <w:lang w:bidi="ar"/>
        </w:rPr>
        <w:t>地表水环境</w:t>
      </w:r>
    </w:p>
    <w:p w14:paraId="61C3E178">
      <w:pPr>
        <w:ind w:firstLine="480"/>
        <w:rPr>
          <w:color w:val="auto"/>
          <w:lang w:bidi="ar"/>
        </w:rPr>
      </w:pPr>
      <w:r>
        <w:rPr>
          <w:rFonts w:hint="eastAsia" w:cs="宋体"/>
          <w:color w:val="auto"/>
          <w:lang w:bidi="ar"/>
        </w:rPr>
        <w:t>本项目事故状态下，风险物质泄漏收集进入事故废水管网及应急事故池内，不会排入地表水体。根据《建设项目环境风险评价技术导则》（</w:t>
      </w:r>
      <w:r>
        <w:rPr>
          <w:color w:val="auto"/>
          <w:lang w:bidi="ar"/>
        </w:rPr>
        <w:t>HJ/T169</w:t>
      </w:r>
      <w:r>
        <w:rPr>
          <w:rFonts w:hint="eastAsia" w:cs="宋体"/>
          <w:color w:val="auto"/>
          <w:lang w:bidi="ar"/>
        </w:rPr>
        <w:t>－</w:t>
      </w:r>
      <w:r>
        <w:rPr>
          <w:color w:val="auto"/>
          <w:lang w:bidi="ar"/>
        </w:rPr>
        <w:t>2018</w:t>
      </w:r>
      <w:r>
        <w:rPr>
          <w:rFonts w:hint="eastAsia" w:cs="宋体"/>
          <w:color w:val="auto"/>
          <w:lang w:bidi="ar"/>
        </w:rPr>
        <w:t>）附录</w:t>
      </w:r>
      <w:r>
        <w:rPr>
          <w:color w:val="auto"/>
          <w:lang w:bidi="ar"/>
        </w:rPr>
        <w:t>D</w:t>
      </w:r>
      <w:r>
        <w:rPr>
          <w:rFonts w:hint="eastAsia" w:cs="宋体"/>
          <w:color w:val="auto"/>
          <w:lang w:bidi="ar"/>
        </w:rPr>
        <w:t>，项目危险物质泄漏到水体地表水功能敏感性为较敏感</w:t>
      </w:r>
      <w:r>
        <w:rPr>
          <w:color w:val="auto"/>
          <w:lang w:bidi="ar"/>
        </w:rPr>
        <w:t>F3</w:t>
      </w:r>
      <w:r>
        <w:rPr>
          <w:rFonts w:hint="eastAsia" w:cs="宋体"/>
          <w:color w:val="auto"/>
          <w:lang w:bidi="ar"/>
        </w:rPr>
        <w:t>，环境敏感目标分级为</w:t>
      </w:r>
      <w:r>
        <w:rPr>
          <w:color w:val="auto"/>
          <w:lang w:bidi="ar"/>
        </w:rPr>
        <w:t>S3</w:t>
      </w:r>
      <w:r>
        <w:rPr>
          <w:rFonts w:hint="eastAsia" w:cs="宋体"/>
          <w:color w:val="auto"/>
          <w:lang w:bidi="ar"/>
        </w:rPr>
        <w:t>，本项目地表水环境敏感程度最终判定为</w:t>
      </w:r>
      <w:r>
        <w:rPr>
          <w:color w:val="auto"/>
          <w:lang w:bidi="ar"/>
        </w:rPr>
        <w:t>E2</w:t>
      </w:r>
      <w:r>
        <w:rPr>
          <w:rFonts w:hint="eastAsia" w:cs="宋体"/>
          <w:color w:val="auto"/>
          <w:lang w:bidi="ar"/>
        </w:rPr>
        <w:t>。</w:t>
      </w:r>
    </w:p>
    <w:p w14:paraId="32ADAE02">
      <w:pPr>
        <w:spacing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.5.1-14</w:t>
      </w:r>
      <w:r>
        <w:rPr>
          <w:b/>
          <w:color w:val="auto"/>
          <w:lang w:bidi="ar"/>
        </w:rPr>
        <w:t xml:space="preserve">  </w:t>
      </w:r>
      <w:r>
        <w:rPr>
          <w:rFonts w:hint="eastAsia" w:cs="宋体"/>
          <w:b/>
          <w:color w:val="auto"/>
          <w:lang w:bidi="ar"/>
        </w:rPr>
        <w:t>地表水功能敏感性分区</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7207"/>
      </w:tblGrid>
      <w:tr w14:paraId="11281A6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12" w:space="0"/>
              <w:left w:val="nil"/>
              <w:bottom w:val="single" w:color="auto" w:sz="4" w:space="0"/>
              <w:right w:val="single" w:color="auto" w:sz="4" w:space="0"/>
            </w:tcBorders>
            <w:shd w:val="clear" w:color="auto" w:fill="auto"/>
            <w:vAlign w:val="center"/>
          </w:tcPr>
          <w:p w14:paraId="4BF94E67">
            <w:pPr>
              <w:spacing w:line="240" w:lineRule="auto"/>
              <w:ind w:firstLine="0" w:firstLineChars="0"/>
              <w:jc w:val="center"/>
              <w:rPr>
                <w:b/>
                <w:bCs/>
                <w:color w:val="auto"/>
                <w:sz w:val="21"/>
              </w:rPr>
            </w:pPr>
            <w:r>
              <w:rPr>
                <w:rFonts w:hint="eastAsia" w:cs="宋体"/>
                <w:b/>
                <w:bCs/>
                <w:color w:val="auto"/>
                <w:sz w:val="21"/>
                <w:lang w:bidi="ar"/>
              </w:rPr>
              <w:t>敏感性</w:t>
            </w:r>
          </w:p>
        </w:tc>
        <w:tc>
          <w:tcPr>
            <w:tcW w:w="3878" w:type="pct"/>
            <w:tcBorders>
              <w:top w:val="single" w:color="auto" w:sz="12" w:space="0"/>
              <w:left w:val="single" w:color="auto" w:sz="4" w:space="0"/>
              <w:bottom w:val="single" w:color="auto" w:sz="4" w:space="0"/>
              <w:right w:val="nil"/>
            </w:tcBorders>
            <w:shd w:val="clear" w:color="auto" w:fill="auto"/>
            <w:vAlign w:val="center"/>
          </w:tcPr>
          <w:p w14:paraId="3641B0CB">
            <w:pPr>
              <w:spacing w:line="240" w:lineRule="auto"/>
              <w:ind w:firstLine="0" w:firstLineChars="0"/>
              <w:jc w:val="center"/>
              <w:rPr>
                <w:b/>
                <w:bCs/>
                <w:color w:val="auto"/>
                <w:sz w:val="21"/>
              </w:rPr>
            </w:pPr>
            <w:r>
              <w:rPr>
                <w:rFonts w:hint="eastAsia" w:cs="宋体"/>
                <w:b/>
                <w:bCs/>
                <w:color w:val="auto"/>
                <w:sz w:val="21"/>
                <w:lang w:bidi="ar"/>
              </w:rPr>
              <w:t>地表水环境敏感特征</w:t>
            </w:r>
          </w:p>
        </w:tc>
      </w:tr>
      <w:tr w14:paraId="1B3FBDE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4A891C1C">
            <w:pPr>
              <w:spacing w:line="240" w:lineRule="auto"/>
              <w:ind w:firstLine="0" w:firstLineChars="0"/>
              <w:jc w:val="center"/>
              <w:rPr>
                <w:color w:val="auto"/>
                <w:sz w:val="21"/>
              </w:rPr>
            </w:pPr>
            <w:r>
              <w:rPr>
                <w:rFonts w:hint="eastAsia" w:cs="宋体"/>
                <w:color w:val="auto"/>
                <w:sz w:val="21"/>
                <w:lang w:bidi="ar"/>
              </w:rPr>
              <w:t>敏感</w:t>
            </w:r>
            <w:r>
              <w:rPr>
                <w:color w:val="auto"/>
                <w:sz w:val="21"/>
                <w:lang w:bidi="ar"/>
              </w:rPr>
              <w:t>F1</w:t>
            </w:r>
          </w:p>
        </w:tc>
        <w:tc>
          <w:tcPr>
            <w:tcW w:w="3878" w:type="pct"/>
            <w:tcBorders>
              <w:top w:val="single" w:color="auto" w:sz="4" w:space="0"/>
              <w:left w:val="single" w:color="auto" w:sz="4" w:space="0"/>
              <w:bottom w:val="single" w:color="auto" w:sz="4" w:space="0"/>
              <w:right w:val="nil"/>
            </w:tcBorders>
            <w:shd w:val="clear" w:color="auto" w:fill="auto"/>
            <w:vAlign w:val="center"/>
          </w:tcPr>
          <w:p w14:paraId="09083757">
            <w:pPr>
              <w:spacing w:line="240" w:lineRule="auto"/>
              <w:ind w:firstLine="0" w:firstLineChars="0"/>
              <w:rPr>
                <w:color w:val="auto"/>
                <w:sz w:val="21"/>
              </w:rPr>
            </w:pPr>
            <w:r>
              <w:rPr>
                <w:rFonts w:hint="eastAsia" w:cs="宋体"/>
                <w:color w:val="auto"/>
                <w:sz w:val="21"/>
                <w:lang w:bidi="ar"/>
              </w:rPr>
              <w:t>排放点进入地表水水域环境功能为</w:t>
            </w:r>
            <w:r>
              <w:rPr>
                <w:color w:val="auto"/>
                <w:sz w:val="21"/>
                <w:lang w:bidi="ar"/>
              </w:rPr>
              <w:t>Ⅱ</w:t>
            </w:r>
            <w:r>
              <w:rPr>
                <w:rFonts w:hint="eastAsia" w:cs="宋体"/>
                <w:color w:val="auto"/>
                <w:sz w:val="21"/>
                <w:lang w:bidi="ar"/>
              </w:rPr>
              <w:t>类及以上，或海水水质分类第一类；或以发生事故时，危险物质泄漏到水体的排放点算起，排放进入受纳河流最大流速时，</w:t>
            </w:r>
            <w:r>
              <w:rPr>
                <w:color w:val="auto"/>
                <w:sz w:val="21"/>
                <w:lang w:bidi="ar"/>
              </w:rPr>
              <w:t>24h</w:t>
            </w:r>
            <w:r>
              <w:rPr>
                <w:rFonts w:hint="eastAsia" w:cs="宋体"/>
                <w:color w:val="auto"/>
                <w:sz w:val="21"/>
                <w:lang w:bidi="ar"/>
              </w:rPr>
              <w:t>流经范围内涉跨国界的</w:t>
            </w:r>
          </w:p>
        </w:tc>
      </w:tr>
      <w:tr w14:paraId="5CCBABE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77660536">
            <w:pPr>
              <w:spacing w:line="240" w:lineRule="auto"/>
              <w:ind w:firstLine="0" w:firstLineChars="0"/>
              <w:jc w:val="center"/>
              <w:rPr>
                <w:color w:val="auto"/>
                <w:sz w:val="21"/>
              </w:rPr>
            </w:pPr>
            <w:r>
              <w:rPr>
                <w:rFonts w:hint="eastAsia" w:cs="宋体"/>
                <w:color w:val="auto"/>
                <w:sz w:val="21"/>
                <w:lang w:bidi="ar"/>
              </w:rPr>
              <w:t>较敏感</w:t>
            </w:r>
            <w:r>
              <w:rPr>
                <w:color w:val="auto"/>
                <w:sz w:val="21"/>
                <w:lang w:bidi="ar"/>
              </w:rPr>
              <w:t>F2</w:t>
            </w:r>
          </w:p>
        </w:tc>
        <w:tc>
          <w:tcPr>
            <w:tcW w:w="3878" w:type="pct"/>
            <w:tcBorders>
              <w:top w:val="single" w:color="auto" w:sz="4" w:space="0"/>
              <w:left w:val="single" w:color="auto" w:sz="4" w:space="0"/>
              <w:bottom w:val="single" w:color="auto" w:sz="4" w:space="0"/>
              <w:right w:val="nil"/>
            </w:tcBorders>
            <w:shd w:val="clear" w:color="auto" w:fill="auto"/>
            <w:vAlign w:val="center"/>
          </w:tcPr>
          <w:p w14:paraId="1FE2D9D6">
            <w:pPr>
              <w:spacing w:line="240" w:lineRule="auto"/>
              <w:ind w:firstLine="0" w:firstLineChars="0"/>
              <w:rPr>
                <w:color w:val="auto"/>
                <w:sz w:val="21"/>
              </w:rPr>
            </w:pPr>
            <w:r>
              <w:rPr>
                <w:rFonts w:hint="eastAsia" w:cs="宋体"/>
                <w:color w:val="auto"/>
                <w:sz w:val="21"/>
                <w:lang w:bidi="ar"/>
              </w:rPr>
              <w:t>排放点进入地表水水域环境功能为</w:t>
            </w:r>
            <w:r>
              <w:rPr>
                <w:color w:val="auto"/>
                <w:sz w:val="21"/>
                <w:lang w:bidi="ar"/>
              </w:rPr>
              <w:t>Ⅲ</w:t>
            </w:r>
            <w:r>
              <w:rPr>
                <w:rFonts w:hint="eastAsia" w:cs="宋体"/>
                <w:color w:val="auto"/>
                <w:sz w:val="21"/>
                <w:lang w:bidi="ar"/>
              </w:rPr>
              <w:t>类，或海水水质分类第二类；或以发生事故时，危险物质泄漏到水体的排放点算起，排放进入受纳河流最大流速时，</w:t>
            </w:r>
            <w:r>
              <w:rPr>
                <w:color w:val="auto"/>
                <w:sz w:val="21"/>
                <w:lang w:bidi="ar"/>
              </w:rPr>
              <w:t>24h</w:t>
            </w:r>
            <w:r>
              <w:rPr>
                <w:rFonts w:hint="eastAsia" w:cs="宋体"/>
                <w:color w:val="auto"/>
                <w:sz w:val="21"/>
                <w:lang w:bidi="ar"/>
              </w:rPr>
              <w:t>流经范围内涉跨省界的</w:t>
            </w:r>
          </w:p>
        </w:tc>
      </w:tr>
      <w:tr w14:paraId="7D24EE8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12" w:space="0"/>
              <w:right w:val="single" w:color="auto" w:sz="4" w:space="0"/>
            </w:tcBorders>
            <w:shd w:val="clear" w:color="auto" w:fill="D8D8D8"/>
            <w:vAlign w:val="center"/>
          </w:tcPr>
          <w:p w14:paraId="0C8E8980">
            <w:pPr>
              <w:spacing w:line="240" w:lineRule="auto"/>
              <w:ind w:firstLine="0" w:firstLineChars="0"/>
              <w:jc w:val="center"/>
              <w:rPr>
                <w:color w:val="auto"/>
                <w:sz w:val="21"/>
              </w:rPr>
            </w:pPr>
            <w:r>
              <w:rPr>
                <w:rFonts w:hint="eastAsia" w:cs="宋体"/>
                <w:color w:val="auto"/>
                <w:sz w:val="21"/>
                <w:lang w:bidi="ar"/>
              </w:rPr>
              <w:t>低敏感</w:t>
            </w:r>
            <w:r>
              <w:rPr>
                <w:color w:val="auto"/>
                <w:sz w:val="21"/>
                <w:lang w:bidi="ar"/>
              </w:rPr>
              <w:t>F3</w:t>
            </w:r>
          </w:p>
        </w:tc>
        <w:tc>
          <w:tcPr>
            <w:tcW w:w="3878" w:type="pct"/>
            <w:tcBorders>
              <w:top w:val="single" w:color="auto" w:sz="4" w:space="0"/>
              <w:left w:val="single" w:color="auto" w:sz="4" w:space="0"/>
              <w:bottom w:val="single" w:color="auto" w:sz="12" w:space="0"/>
              <w:right w:val="nil"/>
            </w:tcBorders>
            <w:shd w:val="clear" w:color="auto" w:fill="D8D8D8"/>
            <w:vAlign w:val="center"/>
          </w:tcPr>
          <w:p w14:paraId="533D990A">
            <w:pPr>
              <w:spacing w:line="240" w:lineRule="auto"/>
              <w:ind w:firstLine="0" w:firstLineChars="0"/>
              <w:jc w:val="center"/>
              <w:rPr>
                <w:color w:val="auto"/>
                <w:sz w:val="21"/>
              </w:rPr>
            </w:pPr>
            <w:r>
              <w:rPr>
                <w:rFonts w:hint="eastAsia" w:cs="宋体"/>
                <w:color w:val="auto"/>
                <w:sz w:val="21"/>
                <w:lang w:bidi="ar"/>
              </w:rPr>
              <w:t>上述地区之外的其他地区</w:t>
            </w:r>
          </w:p>
        </w:tc>
      </w:tr>
    </w:tbl>
    <w:p w14:paraId="0CE04981">
      <w:pPr>
        <w:spacing w:before="120" w:beforeLines="50"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5.1-15</w:t>
      </w:r>
      <w:r>
        <w:rPr>
          <w:b/>
          <w:color w:val="auto"/>
          <w:lang w:bidi="ar"/>
        </w:rPr>
        <w:t xml:space="preserve">  </w:t>
      </w:r>
      <w:r>
        <w:rPr>
          <w:rFonts w:hint="eastAsia" w:cs="宋体"/>
          <w:b/>
          <w:color w:val="auto"/>
          <w:lang w:bidi="ar"/>
        </w:rPr>
        <w:t>环境敏感目标分级</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7207"/>
      </w:tblGrid>
      <w:tr w14:paraId="7FF4EFB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12" w:space="0"/>
              <w:left w:val="nil"/>
              <w:bottom w:val="single" w:color="auto" w:sz="4" w:space="0"/>
              <w:right w:val="single" w:color="auto" w:sz="4" w:space="0"/>
            </w:tcBorders>
            <w:shd w:val="clear" w:color="auto" w:fill="auto"/>
            <w:vAlign w:val="center"/>
          </w:tcPr>
          <w:p w14:paraId="137088D9">
            <w:pPr>
              <w:spacing w:line="240" w:lineRule="auto"/>
              <w:ind w:firstLine="0" w:firstLineChars="0"/>
              <w:jc w:val="center"/>
              <w:rPr>
                <w:b/>
                <w:bCs/>
                <w:color w:val="auto"/>
                <w:sz w:val="21"/>
              </w:rPr>
            </w:pPr>
            <w:r>
              <w:rPr>
                <w:rFonts w:hint="eastAsia" w:cs="宋体"/>
                <w:b/>
                <w:bCs/>
                <w:color w:val="auto"/>
                <w:sz w:val="21"/>
                <w:lang w:bidi="ar"/>
              </w:rPr>
              <w:t>分级</w:t>
            </w:r>
          </w:p>
        </w:tc>
        <w:tc>
          <w:tcPr>
            <w:tcW w:w="3878" w:type="pct"/>
            <w:tcBorders>
              <w:top w:val="single" w:color="auto" w:sz="12" w:space="0"/>
              <w:left w:val="single" w:color="auto" w:sz="4" w:space="0"/>
              <w:bottom w:val="single" w:color="auto" w:sz="4" w:space="0"/>
              <w:right w:val="nil"/>
            </w:tcBorders>
            <w:shd w:val="clear" w:color="auto" w:fill="auto"/>
            <w:vAlign w:val="center"/>
          </w:tcPr>
          <w:p w14:paraId="5F3E9C09">
            <w:pPr>
              <w:spacing w:line="240" w:lineRule="auto"/>
              <w:ind w:firstLine="0" w:firstLineChars="0"/>
              <w:jc w:val="center"/>
              <w:rPr>
                <w:b/>
                <w:bCs/>
                <w:color w:val="auto"/>
                <w:sz w:val="21"/>
              </w:rPr>
            </w:pPr>
            <w:r>
              <w:rPr>
                <w:rFonts w:hint="eastAsia" w:cs="宋体"/>
                <w:b/>
                <w:bCs/>
                <w:color w:val="auto"/>
                <w:sz w:val="21"/>
                <w:lang w:bidi="ar"/>
              </w:rPr>
              <w:t>环境敏感目标</w:t>
            </w:r>
          </w:p>
        </w:tc>
      </w:tr>
      <w:tr w14:paraId="348504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729E2A21">
            <w:pPr>
              <w:spacing w:line="240" w:lineRule="auto"/>
              <w:ind w:firstLine="0" w:firstLineChars="0"/>
              <w:jc w:val="center"/>
              <w:rPr>
                <w:color w:val="auto"/>
                <w:sz w:val="21"/>
              </w:rPr>
            </w:pPr>
            <w:r>
              <w:rPr>
                <w:color w:val="auto"/>
                <w:sz w:val="21"/>
                <w:lang w:bidi="ar"/>
              </w:rPr>
              <w:t>S1</w:t>
            </w:r>
          </w:p>
        </w:tc>
        <w:tc>
          <w:tcPr>
            <w:tcW w:w="3878" w:type="pct"/>
            <w:tcBorders>
              <w:top w:val="single" w:color="auto" w:sz="4" w:space="0"/>
              <w:left w:val="single" w:color="auto" w:sz="4" w:space="0"/>
              <w:bottom w:val="single" w:color="auto" w:sz="4" w:space="0"/>
              <w:right w:val="nil"/>
            </w:tcBorders>
            <w:shd w:val="clear" w:color="auto" w:fill="auto"/>
            <w:vAlign w:val="center"/>
          </w:tcPr>
          <w:p w14:paraId="38C33996">
            <w:pPr>
              <w:spacing w:line="240" w:lineRule="auto"/>
              <w:ind w:firstLine="0" w:firstLineChars="0"/>
              <w:rPr>
                <w:color w:val="auto"/>
                <w:sz w:val="21"/>
              </w:rPr>
            </w:pPr>
            <w:r>
              <w:rPr>
                <w:rFonts w:hint="eastAsia" w:cs="宋体"/>
                <w:color w:val="auto"/>
                <w:sz w:val="21"/>
                <w:lang w:bidi="ar"/>
              </w:rPr>
              <w:t>发生事故时，危险物质泄漏到内陆水体的排放点下游（顺水流向）</w:t>
            </w:r>
            <w:r>
              <w:rPr>
                <w:color w:val="auto"/>
                <w:sz w:val="21"/>
                <w:lang w:bidi="ar"/>
              </w:rPr>
              <w:t>10km</w:t>
            </w:r>
            <w:r>
              <w:rPr>
                <w:rFonts w:hint="eastAsia" w:cs="宋体"/>
                <w:color w:val="auto"/>
                <w:sz w:val="21"/>
                <w:lang w:bidi="ar"/>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18DA84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6E005C58">
            <w:pPr>
              <w:spacing w:line="240" w:lineRule="auto"/>
              <w:ind w:firstLine="0" w:firstLineChars="0"/>
              <w:jc w:val="center"/>
              <w:rPr>
                <w:color w:val="auto"/>
                <w:sz w:val="21"/>
              </w:rPr>
            </w:pPr>
            <w:r>
              <w:rPr>
                <w:color w:val="auto"/>
                <w:sz w:val="21"/>
                <w:lang w:bidi="ar"/>
              </w:rPr>
              <w:t>S2</w:t>
            </w:r>
          </w:p>
        </w:tc>
        <w:tc>
          <w:tcPr>
            <w:tcW w:w="3878" w:type="pct"/>
            <w:tcBorders>
              <w:top w:val="single" w:color="auto" w:sz="4" w:space="0"/>
              <w:left w:val="single" w:color="auto" w:sz="4" w:space="0"/>
              <w:bottom w:val="single" w:color="auto" w:sz="4" w:space="0"/>
              <w:right w:val="nil"/>
            </w:tcBorders>
            <w:shd w:val="clear" w:color="auto" w:fill="auto"/>
            <w:vAlign w:val="center"/>
          </w:tcPr>
          <w:p w14:paraId="1EE3810D">
            <w:pPr>
              <w:spacing w:line="240" w:lineRule="auto"/>
              <w:ind w:firstLine="0" w:firstLineChars="0"/>
              <w:rPr>
                <w:color w:val="auto"/>
                <w:sz w:val="21"/>
              </w:rPr>
            </w:pPr>
            <w:r>
              <w:rPr>
                <w:rFonts w:hint="eastAsia" w:cs="宋体"/>
                <w:color w:val="auto"/>
                <w:sz w:val="21"/>
                <w:lang w:bidi="ar"/>
              </w:rPr>
              <w:t>发生事故时，危险物质泄漏到内陆水体的排放点下游（顺水流向）</w:t>
            </w:r>
            <w:r>
              <w:rPr>
                <w:color w:val="auto"/>
                <w:sz w:val="21"/>
                <w:lang w:bidi="ar"/>
              </w:rPr>
              <w:t>10km</w:t>
            </w:r>
            <w:r>
              <w:rPr>
                <w:rFonts w:hint="eastAsia" w:cs="宋体"/>
                <w:color w:val="auto"/>
                <w:sz w:val="21"/>
                <w:lang w:bidi="ar"/>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4B58473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12" w:space="0"/>
              <w:right w:val="single" w:color="auto" w:sz="4" w:space="0"/>
            </w:tcBorders>
            <w:shd w:val="clear" w:color="auto" w:fill="BFBFBF"/>
            <w:vAlign w:val="center"/>
          </w:tcPr>
          <w:p w14:paraId="121BCAE0">
            <w:pPr>
              <w:spacing w:line="240" w:lineRule="auto"/>
              <w:ind w:firstLine="0" w:firstLineChars="0"/>
              <w:jc w:val="center"/>
              <w:rPr>
                <w:color w:val="auto"/>
                <w:sz w:val="21"/>
              </w:rPr>
            </w:pPr>
            <w:r>
              <w:rPr>
                <w:color w:val="auto"/>
                <w:sz w:val="21"/>
                <w:lang w:bidi="ar"/>
              </w:rPr>
              <w:t>S3</w:t>
            </w:r>
          </w:p>
        </w:tc>
        <w:tc>
          <w:tcPr>
            <w:tcW w:w="3878" w:type="pct"/>
            <w:tcBorders>
              <w:top w:val="single" w:color="auto" w:sz="4" w:space="0"/>
              <w:left w:val="single" w:color="auto" w:sz="4" w:space="0"/>
              <w:bottom w:val="single" w:color="auto" w:sz="12" w:space="0"/>
              <w:right w:val="nil"/>
            </w:tcBorders>
            <w:shd w:val="clear" w:color="auto" w:fill="BFBFBF"/>
            <w:vAlign w:val="center"/>
          </w:tcPr>
          <w:p w14:paraId="4F42A8F3">
            <w:pPr>
              <w:spacing w:line="240" w:lineRule="auto"/>
              <w:ind w:firstLine="0" w:firstLineChars="0"/>
              <w:rPr>
                <w:color w:val="auto"/>
                <w:sz w:val="21"/>
              </w:rPr>
            </w:pPr>
            <w:r>
              <w:rPr>
                <w:rFonts w:hint="eastAsia" w:cs="宋体"/>
                <w:color w:val="auto"/>
                <w:sz w:val="21"/>
                <w:lang w:bidi="ar"/>
              </w:rPr>
              <w:t>排放点下游（顺水流向）</w:t>
            </w:r>
            <w:r>
              <w:rPr>
                <w:color w:val="auto"/>
                <w:sz w:val="21"/>
                <w:lang w:bidi="ar"/>
              </w:rPr>
              <w:t>10km</w:t>
            </w:r>
            <w:r>
              <w:rPr>
                <w:rFonts w:hint="eastAsia" w:cs="宋体"/>
                <w:color w:val="auto"/>
                <w:sz w:val="21"/>
                <w:lang w:bidi="ar"/>
              </w:rPr>
              <w:t>范围、近岸海域一个潮周期水质点可能达到的最大水平距离的两倍范围内无上述类型</w:t>
            </w:r>
            <w:r>
              <w:rPr>
                <w:color w:val="auto"/>
                <w:sz w:val="21"/>
                <w:lang w:bidi="ar"/>
              </w:rPr>
              <w:t>1</w:t>
            </w:r>
            <w:r>
              <w:rPr>
                <w:rFonts w:hint="eastAsia" w:cs="宋体"/>
                <w:color w:val="auto"/>
                <w:sz w:val="21"/>
                <w:lang w:bidi="ar"/>
              </w:rPr>
              <w:t>和类型</w:t>
            </w:r>
            <w:r>
              <w:rPr>
                <w:color w:val="auto"/>
                <w:sz w:val="21"/>
                <w:lang w:bidi="ar"/>
              </w:rPr>
              <w:t>2</w:t>
            </w:r>
            <w:r>
              <w:rPr>
                <w:rFonts w:hint="eastAsia" w:cs="宋体"/>
                <w:color w:val="auto"/>
                <w:sz w:val="21"/>
                <w:lang w:bidi="ar"/>
              </w:rPr>
              <w:t>包括的敏感保护目标</w:t>
            </w:r>
          </w:p>
        </w:tc>
      </w:tr>
    </w:tbl>
    <w:p w14:paraId="14B214FB">
      <w:pPr>
        <w:spacing w:before="120" w:beforeLines="50"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5.1-16</w:t>
      </w:r>
      <w:r>
        <w:rPr>
          <w:b/>
          <w:color w:val="auto"/>
          <w:lang w:bidi="ar"/>
        </w:rPr>
        <w:t xml:space="preserve">  </w:t>
      </w:r>
      <w:r>
        <w:rPr>
          <w:rFonts w:hint="eastAsia" w:cs="宋体"/>
          <w:b/>
          <w:color w:val="auto"/>
          <w:lang w:bidi="ar"/>
        </w:rPr>
        <w:t>地表水环境敏感程度分级</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2402"/>
        <w:gridCol w:w="2402"/>
        <w:gridCol w:w="2403"/>
      </w:tblGrid>
      <w:tr w14:paraId="5DF3D63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19" w:type="pct"/>
            <w:vMerge w:val="restart"/>
            <w:tcBorders>
              <w:top w:val="single" w:color="auto" w:sz="12" w:space="0"/>
              <w:left w:val="nil"/>
              <w:bottom w:val="single" w:color="auto" w:sz="4" w:space="0"/>
              <w:right w:val="single" w:color="auto" w:sz="4" w:space="0"/>
            </w:tcBorders>
            <w:shd w:val="clear" w:color="auto" w:fill="auto"/>
            <w:vAlign w:val="center"/>
          </w:tcPr>
          <w:p w14:paraId="0EDB938A">
            <w:pPr>
              <w:spacing w:line="240" w:lineRule="auto"/>
              <w:ind w:firstLine="0" w:firstLineChars="0"/>
              <w:jc w:val="center"/>
              <w:rPr>
                <w:b/>
                <w:bCs/>
                <w:color w:val="auto"/>
                <w:sz w:val="21"/>
              </w:rPr>
            </w:pPr>
            <w:r>
              <w:rPr>
                <w:rFonts w:hint="eastAsia" w:cs="宋体"/>
                <w:b/>
                <w:bCs/>
                <w:color w:val="auto"/>
                <w:sz w:val="21"/>
                <w:lang w:bidi="ar"/>
              </w:rPr>
              <w:t>环境敏感目标</w:t>
            </w:r>
          </w:p>
        </w:tc>
        <w:tc>
          <w:tcPr>
            <w:tcW w:w="3878" w:type="pct"/>
            <w:gridSpan w:val="3"/>
            <w:tcBorders>
              <w:top w:val="single" w:color="auto" w:sz="12" w:space="0"/>
              <w:left w:val="single" w:color="auto" w:sz="4" w:space="0"/>
              <w:bottom w:val="single" w:color="000000" w:sz="4" w:space="0"/>
              <w:right w:val="nil"/>
            </w:tcBorders>
            <w:shd w:val="clear" w:color="auto" w:fill="auto"/>
            <w:vAlign w:val="center"/>
          </w:tcPr>
          <w:p w14:paraId="18B7CB02">
            <w:pPr>
              <w:spacing w:line="240" w:lineRule="auto"/>
              <w:ind w:firstLine="0" w:firstLineChars="0"/>
              <w:jc w:val="center"/>
              <w:rPr>
                <w:b/>
                <w:bCs/>
                <w:color w:val="auto"/>
                <w:sz w:val="21"/>
              </w:rPr>
            </w:pPr>
            <w:r>
              <w:rPr>
                <w:rFonts w:hint="eastAsia" w:cs="宋体"/>
                <w:b/>
                <w:bCs/>
                <w:color w:val="auto"/>
                <w:sz w:val="21"/>
                <w:lang w:bidi="ar"/>
              </w:rPr>
              <w:t>地表水功能敏感性</w:t>
            </w:r>
          </w:p>
        </w:tc>
      </w:tr>
      <w:tr w14:paraId="546B444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19" w:type="pct"/>
            <w:vMerge w:val="continue"/>
            <w:tcBorders>
              <w:top w:val="single" w:color="auto" w:sz="12" w:space="0"/>
              <w:left w:val="nil"/>
              <w:bottom w:val="single" w:color="auto" w:sz="4" w:space="0"/>
              <w:right w:val="single" w:color="auto" w:sz="4" w:space="0"/>
            </w:tcBorders>
            <w:shd w:val="clear" w:color="auto" w:fill="auto"/>
            <w:vAlign w:val="center"/>
          </w:tcPr>
          <w:p w14:paraId="6E6D77DB">
            <w:pPr>
              <w:ind w:firstLine="400"/>
              <w:rPr>
                <w:color w:val="auto"/>
                <w:sz w:val="20"/>
                <w:szCs w:val="20"/>
              </w:rPr>
            </w:pPr>
          </w:p>
        </w:tc>
        <w:tc>
          <w:tcPr>
            <w:tcW w:w="1293" w:type="pct"/>
            <w:tcBorders>
              <w:top w:val="single" w:color="000000" w:sz="4" w:space="0"/>
              <w:left w:val="single" w:color="auto" w:sz="4" w:space="0"/>
              <w:bottom w:val="single" w:color="auto" w:sz="4" w:space="0"/>
              <w:right w:val="single" w:color="000000" w:sz="4" w:space="0"/>
            </w:tcBorders>
            <w:shd w:val="clear" w:color="auto" w:fill="auto"/>
            <w:vAlign w:val="center"/>
          </w:tcPr>
          <w:p w14:paraId="789C0D22">
            <w:pPr>
              <w:spacing w:line="240" w:lineRule="auto"/>
              <w:ind w:firstLine="0" w:firstLineChars="0"/>
              <w:jc w:val="center"/>
              <w:rPr>
                <w:b/>
                <w:bCs/>
                <w:color w:val="auto"/>
                <w:sz w:val="21"/>
              </w:rPr>
            </w:pPr>
            <w:r>
              <w:rPr>
                <w:b/>
                <w:bCs/>
                <w:color w:val="auto"/>
                <w:sz w:val="21"/>
                <w:lang w:bidi="ar"/>
              </w:rPr>
              <w:t>F1</w:t>
            </w:r>
          </w:p>
        </w:tc>
        <w:tc>
          <w:tcPr>
            <w:tcW w:w="1293" w:type="pct"/>
            <w:tcBorders>
              <w:top w:val="single" w:color="000000" w:sz="4" w:space="0"/>
              <w:left w:val="single" w:color="000000" w:sz="4" w:space="0"/>
              <w:bottom w:val="single" w:color="auto" w:sz="4" w:space="0"/>
              <w:right w:val="single" w:color="000000" w:sz="4" w:space="0"/>
            </w:tcBorders>
            <w:shd w:val="clear" w:color="auto" w:fill="auto"/>
            <w:vAlign w:val="center"/>
          </w:tcPr>
          <w:p w14:paraId="15B0C5DE">
            <w:pPr>
              <w:spacing w:line="240" w:lineRule="auto"/>
              <w:ind w:firstLine="0" w:firstLineChars="0"/>
              <w:jc w:val="center"/>
              <w:rPr>
                <w:b/>
                <w:bCs/>
                <w:color w:val="auto"/>
                <w:sz w:val="21"/>
              </w:rPr>
            </w:pPr>
            <w:r>
              <w:rPr>
                <w:b/>
                <w:bCs/>
                <w:color w:val="auto"/>
                <w:sz w:val="21"/>
                <w:lang w:bidi="ar"/>
              </w:rPr>
              <w:t>F2</w:t>
            </w:r>
          </w:p>
        </w:tc>
        <w:tc>
          <w:tcPr>
            <w:tcW w:w="1293" w:type="pct"/>
            <w:tcBorders>
              <w:top w:val="single" w:color="000000" w:sz="4" w:space="0"/>
              <w:left w:val="single" w:color="000000" w:sz="4" w:space="0"/>
              <w:bottom w:val="single" w:color="auto" w:sz="4" w:space="0"/>
              <w:right w:val="nil"/>
            </w:tcBorders>
            <w:shd w:val="clear" w:color="auto" w:fill="auto"/>
            <w:vAlign w:val="center"/>
          </w:tcPr>
          <w:p w14:paraId="39A39A82">
            <w:pPr>
              <w:spacing w:line="240" w:lineRule="auto"/>
              <w:ind w:firstLine="0" w:firstLineChars="0"/>
              <w:jc w:val="center"/>
              <w:rPr>
                <w:b/>
                <w:bCs/>
                <w:color w:val="auto"/>
                <w:sz w:val="21"/>
              </w:rPr>
            </w:pPr>
            <w:r>
              <w:rPr>
                <w:b/>
                <w:bCs/>
                <w:color w:val="auto"/>
                <w:sz w:val="21"/>
                <w:lang w:bidi="ar"/>
              </w:rPr>
              <w:t>F3</w:t>
            </w:r>
          </w:p>
        </w:tc>
      </w:tr>
      <w:tr w14:paraId="74A3903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3227CDA2">
            <w:pPr>
              <w:spacing w:line="240" w:lineRule="auto"/>
              <w:ind w:firstLine="0" w:firstLineChars="0"/>
              <w:jc w:val="center"/>
              <w:rPr>
                <w:color w:val="auto"/>
                <w:sz w:val="21"/>
              </w:rPr>
            </w:pPr>
            <w:r>
              <w:rPr>
                <w:color w:val="auto"/>
                <w:sz w:val="21"/>
                <w:lang w:bidi="ar"/>
              </w:rPr>
              <w:t>S1</w:t>
            </w:r>
          </w:p>
        </w:tc>
        <w:tc>
          <w:tcPr>
            <w:tcW w:w="1293" w:type="pct"/>
            <w:tcBorders>
              <w:top w:val="single" w:color="auto" w:sz="4" w:space="0"/>
              <w:left w:val="single" w:color="auto" w:sz="4" w:space="0"/>
              <w:bottom w:val="single" w:color="auto" w:sz="4" w:space="0"/>
              <w:right w:val="single" w:color="000000" w:sz="4" w:space="0"/>
            </w:tcBorders>
            <w:shd w:val="clear" w:color="auto" w:fill="auto"/>
            <w:vAlign w:val="center"/>
          </w:tcPr>
          <w:p w14:paraId="3C089844">
            <w:pPr>
              <w:spacing w:line="240" w:lineRule="auto"/>
              <w:ind w:firstLine="0" w:firstLineChars="0"/>
              <w:jc w:val="center"/>
              <w:rPr>
                <w:color w:val="auto"/>
                <w:sz w:val="21"/>
              </w:rPr>
            </w:pPr>
            <w:r>
              <w:rPr>
                <w:color w:val="auto"/>
                <w:sz w:val="21"/>
                <w:lang w:bidi="ar"/>
              </w:rPr>
              <w:t>E1</w:t>
            </w:r>
          </w:p>
        </w:tc>
        <w:tc>
          <w:tcPr>
            <w:tcW w:w="1293" w:type="pct"/>
            <w:tcBorders>
              <w:top w:val="single" w:color="auto" w:sz="4" w:space="0"/>
              <w:left w:val="single" w:color="000000" w:sz="4" w:space="0"/>
              <w:bottom w:val="single" w:color="auto" w:sz="4" w:space="0"/>
              <w:right w:val="single" w:color="000000" w:sz="4" w:space="0"/>
            </w:tcBorders>
            <w:shd w:val="clear" w:color="auto" w:fill="auto"/>
            <w:vAlign w:val="center"/>
          </w:tcPr>
          <w:p w14:paraId="30C64F6E">
            <w:pPr>
              <w:spacing w:line="240" w:lineRule="auto"/>
              <w:ind w:firstLine="0" w:firstLineChars="0"/>
              <w:jc w:val="center"/>
              <w:rPr>
                <w:color w:val="auto"/>
                <w:sz w:val="21"/>
              </w:rPr>
            </w:pPr>
            <w:r>
              <w:rPr>
                <w:color w:val="auto"/>
                <w:sz w:val="21"/>
                <w:lang w:bidi="ar"/>
              </w:rPr>
              <w:t>E1</w:t>
            </w:r>
          </w:p>
        </w:tc>
        <w:tc>
          <w:tcPr>
            <w:tcW w:w="1293" w:type="pct"/>
            <w:tcBorders>
              <w:top w:val="single" w:color="auto" w:sz="4" w:space="0"/>
              <w:left w:val="single" w:color="000000" w:sz="4" w:space="0"/>
              <w:bottom w:val="single" w:color="auto" w:sz="4" w:space="0"/>
              <w:right w:val="nil"/>
            </w:tcBorders>
            <w:shd w:val="clear" w:color="auto" w:fill="auto"/>
            <w:vAlign w:val="center"/>
          </w:tcPr>
          <w:p w14:paraId="42E209ED">
            <w:pPr>
              <w:spacing w:line="240" w:lineRule="auto"/>
              <w:ind w:firstLine="0" w:firstLineChars="0"/>
              <w:jc w:val="center"/>
              <w:rPr>
                <w:color w:val="auto"/>
                <w:sz w:val="21"/>
              </w:rPr>
            </w:pPr>
            <w:r>
              <w:rPr>
                <w:color w:val="auto"/>
                <w:sz w:val="21"/>
                <w:lang w:bidi="ar"/>
              </w:rPr>
              <w:t>E2</w:t>
            </w:r>
          </w:p>
        </w:tc>
      </w:tr>
      <w:tr w14:paraId="7FC4B69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41E00331">
            <w:pPr>
              <w:spacing w:line="240" w:lineRule="auto"/>
              <w:ind w:firstLine="0" w:firstLineChars="0"/>
              <w:jc w:val="center"/>
              <w:rPr>
                <w:color w:val="auto"/>
                <w:sz w:val="21"/>
              </w:rPr>
            </w:pPr>
            <w:r>
              <w:rPr>
                <w:color w:val="auto"/>
                <w:sz w:val="21"/>
                <w:lang w:bidi="ar"/>
              </w:rPr>
              <w:t>S2</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14:paraId="49E742A5">
            <w:pPr>
              <w:spacing w:line="240" w:lineRule="auto"/>
              <w:ind w:firstLine="0" w:firstLineChars="0"/>
              <w:jc w:val="center"/>
              <w:rPr>
                <w:color w:val="auto"/>
                <w:sz w:val="21"/>
              </w:rPr>
            </w:pPr>
            <w:r>
              <w:rPr>
                <w:color w:val="auto"/>
                <w:sz w:val="21"/>
                <w:lang w:bidi="ar"/>
              </w:rPr>
              <w:t>E1</w:t>
            </w:r>
          </w:p>
        </w:tc>
        <w:tc>
          <w:tcPr>
            <w:tcW w:w="1293" w:type="pct"/>
            <w:tcBorders>
              <w:top w:val="single" w:color="auto" w:sz="4" w:space="0"/>
              <w:left w:val="single" w:color="auto" w:sz="4" w:space="0"/>
              <w:bottom w:val="single" w:color="auto" w:sz="4" w:space="0"/>
              <w:right w:val="single" w:color="auto" w:sz="4" w:space="0"/>
            </w:tcBorders>
            <w:shd w:val="clear" w:color="auto" w:fill="auto"/>
            <w:vAlign w:val="center"/>
          </w:tcPr>
          <w:p w14:paraId="47F49799">
            <w:pPr>
              <w:spacing w:line="240" w:lineRule="auto"/>
              <w:ind w:firstLine="0" w:firstLineChars="0"/>
              <w:jc w:val="center"/>
              <w:rPr>
                <w:color w:val="auto"/>
                <w:sz w:val="21"/>
              </w:rPr>
            </w:pPr>
            <w:r>
              <w:rPr>
                <w:color w:val="auto"/>
                <w:sz w:val="21"/>
                <w:lang w:bidi="ar"/>
              </w:rPr>
              <w:t>E2</w:t>
            </w:r>
          </w:p>
        </w:tc>
        <w:tc>
          <w:tcPr>
            <w:tcW w:w="1293" w:type="pct"/>
            <w:tcBorders>
              <w:top w:val="single" w:color="auto" w:sz="4" w:space="0"/>
              <w:left w:val="single" w:color="auto" w:sz="4" w:space="0"/>
              <w:bottom w:val="single" w:color="auto" w:sz="4" w:space="0"/>
              <w:right w:val="nil"/>
            </w:tcBorders>
            <w:shd w:val="clear" w:color="auto" w:fill="auto"/>
            <w:vAlign w:val="center"/>
          </w:tcPr>
          <w:p w14:paraId="0D689264">
            <w:pPr>
              <w:spacing w:line="240" w:lineRule="auto"/>
              <w:ind w:firstLine="0" w:firstLineChars="0"/>
              <w:jc w:val="center"/>
              <w:rPr>
                <w:color w:val="auto"/>
                <w:sz w:val="21"/>
              </w:rPr>
            </w:pPr>
            <w:r>
              <w:rPr>
                <w:color w:val="auto"/>
                <w:sz w:val="21"/>
                <w:lang w:bidi="ar"/>
              </w:rPr>
              <w:t>E3</w:t>
            </w:r>
          </w:p>
        </w:tc>
      </w:tr>
      <w:tr w14:paraId="111253F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12" w:space="0"/>
              <w:right w:val="single" w:color="auto" w:sz="4" w:space="0"/>
            </w:tcBorders>
            <w:shd w:val="clear" w:color="auto" w:fill="auto"/>
            <w:vAlign w:val="center"/>
          </w:tcPr>
          <w:p w14:paraId="389D4B12">
            <w:pPr>
              <w:spacing w:line="240" w:lineRule="auto"/>
              <w:ind w:firstLine="0" w:firstLineChars="0"/>
              <w:jc w:val="center"/>
              <w:rPr>
                <w:color w:val="auto"/>
                <w:sz w:val="21"/>
              </w:rPr>
            </w:pPr>
            <w:r>
              <w:rPr>
                <w:color w:val="auto"/>
                <w:sz w:val="21"/>
                <w:lang w:bidi="ar"/>
              </w:rPr>
              <w:t>S3</w:t>
            </w:r>
          </w:p>
        </w:tc>
        <w:tc>
          <w:tcPr>
            <w:tcW w:w="1293" w:type="pct"/>
            <w:tcBorders>
              <w:top w:val="single" w:color="auto" w:sz="4" w:space="0"/>
              <w:left w:val="single" w:color="auto" w:sz="4" w:space="0"/>
              <w:bottom w:val="single" w:color="auto" w:sz="12" w:space="0"/>
              <w:right w:val="single" w:color="auto" w:sz="4" w:space="0"/>
            </w:tcBorders>
            <w:shd w:val="clear" w:color="auto" w:fill="auto"/>
            <w:vAlign w:val="center"/>
          </w:tcPr>
          <w:p w14:paraId="0555BC65">
            <w:pPr>
              <w:spacing w:line="240" w:lineRule="auto"/>
              <w:ind w:firstLine="0" w:firstLineChars="0"/>
              <w:jc w:val="center"/>
              <w:rPr>
                <w:color w:val="auto"/>
                <w:sz w:val="21"/>
              </w:rPr>
            </w:pPr>
            <w:r>
              <w:rPr>
                <w:color w:val="auto"/>
                <w:sz w:val="21"/>
                <w:lang w:bidi="ar"/>
              </w:rPr>
              <w:t>E1</w:t>
            </w:r>
          </w:p>
        </w:tc>
        <w:tc>
          <w:tcPr>
            <w:tcW w:w="1293" w:type="pct"/>
            <w:tcBorders>
              <w:top w:val="single" w:color="auto" w:sz="4" w:space="0"/>
              <w:left w:val="single" w:color="auto" w:sz="4" w:space="0"/>
              <w:bottom w:val="single" w:color="auto" w:sz="12" w:space="0"/>
              <w:right w:val="single" w:color="auto" w:sz="4" w:space="0"/>
            </w:tcBorders>
            <w:shd w:val="clear" w:color="auto" w:fill="auto"/>
            <w:vAlign w:val="center"/>
          </w:tcPr>
          <w:p w14:paraId="452933C6">
            <w:pPr>
              <w:spacing w:line="240" w:lineRule="auto"/>
              <w:ind w:firstLine="0" w:firstLineChars="0"/>
              <w:jc w:val="center"/>
              <w:rPr>
                <w:color w:val="auto"/>
                <w:sz w:val="21"/>
              </w:rPr>
            </w:pPr>
            <w:r>
              <w:rPr>
                <w:color w:val="auto"/>
                <w:sz w:val="21"/>
                <w:lang w:bidi="ar"/>
              </w:rPr>
              <w:t>E2</w:t>
            </w:r>
          </w:p>
        </w:tc>
        <w:tc>
          <w:tcPr>
            <w:tcW w:w="1293" w:type="pct"/>
            <w:tcBorders>
              <w:top w:val="single" w:color="auto" w:sz="4" w:space="0"/>
              <w:left w:val="single" w:color="auto" w:sz="4" w:space="0"/>
              <w:bottom w:val="single" w:color="auto" w:sz="12" w:space="0"/>
              <w:right w:val="nil"/>
            </w:tcBorders>
            <w:shd w:val="clear" w:color="auto" w:fill="BFBFBF"/>
            <w:vAlign w:val="center"/>
          </w:tcPr>
          <w:p w14:paraId="58B41EE6">
            <w:pPr>
              <w:spacing w:line="240" w:lineRule="auto"/>
              <w:ind w:firstLine="0" w:firstLineChars="0"/>
              <w:jc w:val="center"/>
              <w:rPr>
                <w:color w:val="auto"/>
                <w:sz w:val="21"/>
              </w:rPr>
            </w:pPr>
            <w:r>
              <w:rPr>
                <w:color w:val="auto"/>
                <w:sz w:val="21"/>
                <w:lang w:bidi="ar"/>
              </w:rPr>
              <w:t>E3</w:t>
            </w:r>
          </w:p>
        </w:tc>
      </w:tr>
    </w:tbl>
    <w:p w14:paraId="072B1E18">
      <w:pPr>
        <w:spacing w:before="120" w:beforeLines="50"/>
        <w:ind w:firstLine="482"/>
        <w:jc w:val="left"/>
        <w:rPr>
          <w:b/>
          <w:bCs/>
          <w:color w:val="auto"/>
          <w:lang w:bidi="ar"/>
        </w:rPr>
      </w:pPr>
      <w:r>
        <w:rPr>
          <w:b/>
          <w:bCs/>
          <w:color w:val="auto"/>
          <w:lang w:bidi="ar"/>
        </w:rPr>
        <w:t>c.</w:t>
      </w:r>
      <w:r>
        <w:rPr>
          <w:rFonts w:hint="eastAsia" w:cs="宋体"/>
          <w:b/>
          <w:bCs/>
          <w:color w:val="auto"/>
          <w:lang w:bidi="ar"/>
        </w:rPr>
        <w:t>地下水环境</w:t>
      </w:r>
    </w:p>
    <w:p w14:paraId="1C2E3485">
      <w:pPr>
        <w:ind w:firstLine="480"/>
        <w:rPr>
          <w:rFonts w:cs="宋体"/>
          <w:color w:val="auto"/>
          <w:lang w:bidi="ar"/>
        </w:rPr>
      </w:pPr>
      <w:r>
        <w:rPr>
          <w:rFonts w:hint="eastAsia" w:cs="宋体"/>
          <w:color w:val="auto"/>
          <w:lang w:bidi="ar"/>
        </w:rPr>
        <w:t>项目不存在饮用水源准保护区和以外的补给径流区、集中式饮用水水源以外的国家或地方政府设定的与地下水环境相关的其他保护区、未划定的准保护区的集中式饮用水水源，分散式饮用水水源地和特殊地下水资源保护区以外的分布区等其他未列入上述敏感分级的环境敏感区，因此，地下水功能敏感性分区为不敏感</w:t>
      </w:r>
      <w:r>
        <w:rPr>
          <w:color w:val="auto"/>
          <w:lang w:bidi="ar"/>
        </w:rPr>
        <w:t>G3</w:t>
      </w:r>
      <w:r>
        <w:rPr>
          <w:rFonts w:hint="eastAsia" w:cs="宋体"/>
          <w:color w:val="auto"/>
          <w:lang w:bidi="ar"/>
        </w:rPr>
        <w:t>；项目区域地下水含水层主要为松散第四系粉质黏土土层，岩土层单层厚度＞</w:t>
      </w:r>
      <w:r>
        <w:rPr>
          <w:color w:val="auto"/>
          <w:lang w:bidi="ar"/>
        </w:rPr>
        <w:t>1.0m</w:t>
      </w:r>
      <w:r>
        <w:rPr>
          <w:rFonts w:hint="eastAsia" w:cs="宋体"/>
          <w:color w:val="auto"/>
          <w:lang w:bidi="ar"/>
        </w:rPr>
        <w:t>，本项目包气带防污性能为</w:t>
      </w:r>
      <w:r>
        <w:rPr>
          <w:color w:val="auto"/>
          <w:lang w:bidi="ar"/>
        </w:rPr>
        <w:t>D2</w:t>
      </w:r>
      <w:r>
        <w:rPr>
          <w:rFonts w:hint="eastAsia" w:cs="宋体"/>
          <w:color w:val="auto"/>
          <w:lang w:bidi="ar"/>
        </w:rPr>
        <w:t>；根据《建设项目环境风险评价技术导则》（</w:t>
      </w:r>
      <w:r>
        <w:rPr>
          <w:color w:val="auto"/>
          <w:lang w:bidi="ar"/>
        </w:rPr>
        <w:t>HJ169-2018</w:t>
      </w:r>
      <w:r>
        <w:rPr>
          <w:rFonts w:hint="eastAsia" w:cs="宋体"/>
          <w:color w:val="auto"/>
          <w:lang w:bidi="ar"/>
        </w:rPr>
        <w:t>）附录</w:t>
      </w:r>
      <w:r>
        <w:rPr>
          <w:color w:val="auto"/>
          <w:lang w:bidi="ar"/>
        </w:rPr>
        <w:t>D</w:t>
      </w:r>
      <w:r>
        <w:rPr>
          <w:rFonts w:hint="eastAsia" w:cs="宋体"/>
          <w:color w:val="auto"/>
          <w:lang w:bidi="ar"/>
        </w:rPr>
        <w:t>中地下水环境敏感程度分级，经判定地下水环境敏感程度分级为</w:t>
      </w:r>
      <w:r>
        <w:rPr>
          <w:color w:val="auto"/>
          <w:lang w:bidi="ar"/>
        </w:rPr>
        <w:t>E3</w:t>
      </w:r>
      <w:r>
        <w:rPr>
          <w:rFonts w:hint="eastAsia" w:cs="宋体"/>
          <w:color w:val="auto"/>
          <w:lang w:bidi="ar"/>
        </w:rPr>
        <w:t>。</w:t>
      </w:r>
    </w:p>
    <w:p w14:paraId="33A195D4">
      <w:pPr>
        <w:spacing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5.1-17</w:t>
      </w:r>
      <w:r>
        <w:rPr>
          <w:b/>
          <w:color w:val="auto"/>
          <w:lang w:bidi="ar"/>
        </w:rPr>
        <w:t xml:space="preserve">  </w:t>
      </w:r>
      <w:r>
        <w:rPr>
          <w:rFonts w:hint="eastAsia" w:cs="宋体"/>
          <w:b/>
          <w:color w:val="auto"/>
          <w:lang w:bidi="ar"/>
        </w:rPr>
        <w:t>地下水功能敏感性分区</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7208"/>
      </w:tblGrid>
      <w:tr w14:paraId="14F77B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12" w:space="0"/>
              <w:left w:val="nil"/>
              <w:bottom w:val="single" w:color="auto" w:sz="4" w:space="0"/>
              <w:right w:val="single" w:color="auto" w:sz="4" w:space="0"/>
            </w:tcBorders>
            <w:shd w:val="clear" w:color="auto" w:fill="auto"/>
            <w:vAlign w:val="center"/>
          </w:tcPr>
          <w:p w14:paraId="58FDB2BE">
            <w:pPr>
              <w:spacing w:line="240" w:lineRule="auto"/>
              <w:ind w:firstLine="0" w:firstLineChars="0"/>
              <w:jc w:val="center"/>
              <w:rPr>
                <w:b/>
                <w:bCs/>
                <w:color w:val="auto"/>
                <w:sz w:val="21"/>
              </w:rPr>
            </w:pPr>
            <w:r>
              <w:rPr>
                <w:rFonts w:hint="eastAsia" w:cs="宋体"/>
                <w:b/>
                <w:bCs/>
                <w:color w:val="auto"/>
                <w:sz w:val="21"/>
                <w:lang w:bidi="ar"/>
              </w:rPr>
              <w:t>敏感性</w:t>
            </w:r>
          </w:p>
        </w:tc>
        <w:tc>
          <w:tcPr>
            <w:tcW w:w="3878" w:type="pct"/>
            <w:tcBorders>
              <w:top w:val="single" w:color="auto" w:sz="12" w:space="0"/>
              <w:left w:val="single" w:color="auto" w:sz="4" w:space="0"/>
              <w:bottom w:val="single" w:color="auto" w:sz="4" w:space="0"/>
              <w:right w:val="nil"/>
            </w:tcBorders>
            <w:shd w:val="clear" w:color="auto" w:fill="auto"/>
            <w:vAlign w:val="center"/>
          </w:tcPr>
          <w:p w14:paraId="17BEFCDE">
            <w:pPr>
              <w:spacing w:line="240" w:lineRule="auto"/>
              <w:ind w:firstLine="0" w:firstLineChars="0"/>
              <w:jc w:val="center"/>
              <w:rPr>
                <w:b/>
                <w:bCs/>
                <w:color w:val="auto"/>
                <w:sz w:val="21"/>
              </w:rPr>
            </w:pPr>
            <w:r>
              <w:rPr>
                <w:rFonts w:hint="eastAsia" w:cs="宋体"/>
                <w:b/>
                <w:bCs/>
                <w:color w:val="auto"/>
                <w:sz w:val="21"/>
                <w:lang w:bidi="ar"/>
              </w:rPr>
              <w:t>地下水环境敏感特征</w:t>
            </w:r>
          </w:p>
        </w:tc>
      </w:tr>
      <w:tr w14:paraId="1D1DAA2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755B3F64">
            <w:pPr>
              <w:spacing w:line="240" w:lineRule="auto"/>
              <w:ind w:firstLine="0" w:firstLineChars="0"/>
              <w:jc w:val="center"/>
              <w:rPr>
                <w:color w:val="auto"/>
                <w:sz w:val="21"/>
              </w:rPr>
            </w:pPr>
            <w:r>
              <w:rPr>
                <w:rFonts w:hint="eastAsia" w:cs="宋体"/>
                <w:color w:val="auto"/>
                <w:sz w:val="21"/>
                <w:lang w:bidi="ar"/>
              </w:rPr>
              <w:t>敏感</w:t>
            </w:r>
            <w:r>
              <w:rPr>
                <w:color w:val="auto"/>
                <w:sz w:val="21"/>
                <w:lang w:bidi="ar"/>
              </w:rPr>
              <w:t xml:space="preserve"> G1</w:t>
            </w:r>
          </w:p>
        </w:tc>
        <w:tc>
          <w:tcPr>
            <w:tcW w:w="3878" w:type="pct"/>
            <w:tcBorders>
              <w:top w:val="single" w:color="auto" w:sz="4" w:space="0"/>
              <w:left w:val="single" w:color="auto" w:sz="4" w:space="0"/>
              <w:bottom w:val="single" w:color="auto" w:sz="4" w:space="0"/>
              <w:right w:val="nil"/>
            </w:tcBorders>
            <w:shd w:val="clear" w:color="auto" w:fill="auto"/>
            <w:vAlign w:val="center"/>
          </w:tcPr>
          <w:p w14:paraId="489BD3EB">
            <w:pPr>
              <w:spacing w:line="240" w:lineRule="auto"/>
              <w:ind w:firstLine="0" w:firstLineChars="0"/>
              <w:rPr>
                <w:color w:val="auto"/>
                <w:sz w:val="21"/>
              </w:rPr>
            </w:pPr>
            <w:r>
              <w:rPr>
                <w:rFonts w:hint="eastAsia" w:cs="宋体"/>
                <w:color w:val="auto"/>
                <w:sz w:val="21"/>
                <w:lang w:bidi="ar"/>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10231E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1614599B">
            <w:pPr>
              <w:spacing w:line="240" w:lineRule="auto"/>
              <w:ind w:firstLine="0" w:firstLineChars="0"/>
              <w:jc w:val="center"/>
              <w:rPr>
                <w:color w:val="auto"/>
                <w:sz w:val="21"/>
              </w:rPr>
            </w:pPr>
            <w:r>
              <w:rPr>
                <w:rFonts w:hint="eastAsia" w:cs="宋体"/>
                <w:color w:val="auto"/>
                <w:sz w:val="21"/>
                <w:lang w:bidi="ar"/>
              </w:rPr>
              <w:t>较敏感</w:t>
            </w:r>
            <w:r>
              <w:rPr>
                <w:color w:val="auto"/>
                <w:sz w:val="21"/>
                <w:lang w:bidi="ar"/>
              </w:rPr>
              <w:t xml:space="preserve"> G2</w:t>
            </w:r>
          </w:p>
        </w:tc>
        <w:tc>
          <w:tcPr>
            <w:tcW w:w="3878" w:type="pct"/>
            <w:tcBorders>
              <w:top w:val="single" w:color="auto" w:sz="4" w:space="0"/>
              <w:left w:val="single" w:color="auto" w:sz="4" w:space="0"/>
              <w:bottom w:val="single" w:color="auto" w:sz="4" w:space="0"/>
              <w:right w:val="nil"/>
            </w:tcBorders>
            <w:shd w:val="clear" w:color="auto" w:fill="auto"/>
            <w:vAlign w:val="center"/>
          </w:tcPr>
          <w:p w14:paraId="25BE49D4">
            <w:pPr>
              <w:spacing w:line="240" w:lineRule="auto"/>
              <w:ind w:firstLine="0" w:firstLineChars="0"/>
              <w:rPr>
                <w:color w:val="auto"/>
                <w:sz w:val="21"/>
              </w:rPr>
            </w:pPr>
            <w:r>
              <w:rPr>
                <w:rFonts w:hint="eastAsia" w:cs="宋体"/>
                <w:color w:val="auto"/>
                <w:sz w:val="21"/>
                <w:lang w:bidi="ar"/>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color w:val="auto"/>
                <w:sz w:val="21"/>
                <w:vertAlign w:val="superscript"/>
                <w:lang w:bidi="ar"/>
              </w:rPr>
              <w:t>a</w:t>
            </w:r>
          </w:p>
        </w:tc>
      </w:tr>
      <w:tr w14:paraId="0236C8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D8D8D8"/>
            <w:vAlign w:val="center"/>
          </w:tcPr>
          <w:p w14:paraId="2E57436A">
            <w:pPr>
              <w:spacing w:line="240" w:lineRule="auto"/>
              <w:ind w:firstLine="0" w:firstLineChars="0"/>
              <w:jc w:val="center"/>
              <w:rPr>
                <w:color w:val="auto"/>
                <w:sz w:val="21"/>
              </w:rPr>
            </w:pPr>
            <w:r>
              <w:rPr>
                <w:rFonts w:hint="eastAsia" w:cs="宋体"/>
                <w:color w:val="auto"/>
                <w:sz w:val="21"/>
                <w:lang w:bidi="ar"/>
              </w:rPr>
              <w:t>不敏感</w:t>
            </w:r>
            <w:r>
              <w:rPr>
                <w:color w:val="auto"/>
                <w:sz w:val="21"/>
                <w:lang w:bidi="ar"/>
              </w:rPr>
              <w:t xml:space="preserve"> G3</w:t>
            </w:r>
          </w:p>
        </w:tc>
        <w:tc>
          <w:tcPr>
            <w:tcW w:w="3878" w:type="pct"/>
            <w:tcBorders>
              <w:top w:val="single" w:color="auto" w:sz="4" w:space="0"/>
              <w:left w:val="single" w:color="auto" w:sz="4" w:space="0"/>
              <w:bottom w:val="single" w:color="auto" w:sz="4" w:space="0"/>
              <w:right w:val="nil"/>
            </w:tcBorders>
            <w:shd w:val="clear" w:color="auto" w:fill="D8D8D8"/>
            <w:vAlign w:val="center"/>
          </w:tcPr>
          <w:p w14:paraId="64C20496">
            <w:pPr>
              <w:spacing w:line="240" w:lineRule="auto"/>
              <w:ind w:firstLine="0" w:firstLineChars="0"/>
              <w:jc w:val="center"/>
              <w:rPr>
                <w:color w:val="auto"/>
                <w:sz w:val="21"/>
              </w:rPr>
            </w:pPr>
            <w:r>
              <w:rPr>
                <w:rFonts w:hint="eastAsia" w:cs="宋体"/>
                <w:color w:val="auto"/>
                <w:sz w:val="21"/>
                <w:lang w:bidi="ar"/>
              </w:rPr>
              <w:t>上述地区之外的其他地区</w:t>
            </w:r>
          </w:p>
        </w:tc>
      </w:tr>
      <w:tr w14:paraId="01B66C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single" w:color="auto" w:sz="4" w:space="0"/>
              <w:left w:val="nil"/>
              <w:bottom w:val="single" w:color="auto" w:sz="12" w:space="0"/>
              <w:right w:val="nil"/>
            </w:tcBorders>
            <w:shd w:val="clear" w:color="auto" w:fill="auto"/>
            <w:vAlign w:val="center"/>
          </w:tcPr>
          <w:p w14:paraId="0AB5F64C">
            <w:pPr>
              <w:spacing w:line="240" w:lineRule="auto"/>
              <w:ind w:firstLine="0" w:firstLineChars="0"/>
              <w:jc w:val="center"/>
              <w:rPr>
                <w:color w:val="auto"/>
                <w:sz w:val="21"/>
              </w:rPr>
            </w:pPr>
            <w:r>
              <w:rPr>
                <w:color w:val="auto"/>
                <w:sz w:val="21"/>
                <w:lang w:bidi="ar"/>
              </w:rPr>
              <w:t>a</w:t>
            </w:r>
            <w:r>
              <w:rPr>
                <w:rFonts w:hint="eastAsia" w:ascii="宋体" w:hAnsi="宋体" w:cs="宋体"/>
                <w:color w:val="auto"/>
                <w:sz w:val="21"/>
                <w:lang w:bidi="ar"/>
              </w:rPr>
              <w:t>“</w:t>
            </w:r>
            <w:r>
              <w:rPr>
                <w:rFonts w:hint="eastAsia" w:cs="宋体"/>
                <w:color w:val="auto"/>
                <w:sz w:val="21"/>
                <w:lang w:bidi="ar"/>
              </w:rPr>
              <w:t>环境敏感区</w:t>
            </w:r>
            <w:r>
              <w:rPr>
                <w:rFonts w:hint="eastAsia" w:ascii="宋体" w:hAnsi="宋体" w:cs="宋体"/>
                <w:color w:val="auto"/>
                <w:sz w:val="21"/>
                <w:lang w:bidi="ar"/>
              </w:rPr>
              <w:t>”</w:t>
            </w:r>
            <w:r>
              <w:rPr>
                <w:rFonts w:hint="eastAsia" w:cs="宋体"/>
                <w:color w:val="auto"/>
                <w:sz w:val="21"/>
                <w:lang w:bidi="ar"/>
              </w:rPr>
              <w:t>是指《建设项目环境影响评价分类管理名录》中所界定的涉及地下水的环境敏感区</w:t>
            </w:r>
          </w:p>
        </w:tc>
      </w:tr>
    </w:tbl>
    <w:p w14:paraId="4E6944A9">
      <w:pPr>
        <w:spacing w:before="120" w:beforeLines="50"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5.1-18</w:t>
      </w:r>
      <w:r>
        <w:rPr>
          <w:b/>
          <w:color w:val="auto"/>
          <w:lang w:bidi="ar"/>
        </w:rPr>
        <w:t xml:space="preserve">  </w:t>
      </w:r>
      <w:r>
        <w:rPr>
          <w:rFonts w:hint="eastAsia" w:cs="宋体"/>
          <w:b/>
          <w:color w:val="auto"/>
          <w:lang w:bidi="ar"/>
        </w:rPr>
        <w:t>包气带防污性能分级</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7208"/>
      </w:tblGrid>
      <w:tr w14:paraId="53D1A15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12" w:space="0"/>
              <w:left w:val="nil"/>
              <w:bottom w:val="single" w:color="auto" w:sz="4" w:space="0"/>
              <w:right w:val="single" w:color="auto" w:sz="4" w:space="0"/>
            </w:tcBorders>
            <w:shd w:val="clear" w:color="auto" w:fill="auto"/>
            <w:vAlign w:val="center"/>
          </w:tcPr>
          <w:p w14:paraId="377BDA26">
            <w:pPr>
              <w:spacing w:line="240" w:lineRule="auto"/>
              <w:ind w:firstLine="0" w:firstLineChars="0"/>
              <w:jc w:val="center"/>
              <w:rPr>
                <w:b/>
                <w:bCs/>
                <w:color w:val="auto"/>
                <w:sz w:val="21"/>
              </w:rPr>
            </w:pPr>
            <w:r>
              <w:rPr>
                <w:rFonts w:hint="eastAsia" w:cs="宋体"/>
                <w:b/>
                <w:bCs/>
                <w:color w:val="auto"/>
                <w:sz w:val="21"/>
                <w:lang w:bidi="ar"/>
              </w:rPr>
              <w:t>分级</w:t>
            </w:r>
          </w:p>
        </w:tc>
        <w:tc>
          <w:tcPr>
            <w:tcW w:w="3878" w:type="pct"/>
            <w:tcBorders>
              <w:top w:val="single" w:color="auto" w:sz="12" w:space="0"/>
              <w:left w:val="single" w:color="auto" w:sz="4" w:space="0"/>
              <w:bottom w:val="single" w:color="auto" w:sz="4" w:space="0"/>
              <w:right w:val="nil"/>
            </w:tcBorders>
            <w:shd w:val="clear" w:color="auto" w:fill="auto"/>
            <w:vAlign w:val="center"/>
          </w:tcPr>
          <w:p w14:paraId="256CA3B8">
            <w:pPr>
              <w:spacing w:line="240" w:lineRule="auto"/>
              <w:ind w:firstLine="0" w:firstLineChars="0"/>
              <w:jc w:val="center"/>
              <w:rPr>
                <w:b/>
                <w:bCs/>
                <w:color w:val="auto"/>
                <w:sz w:val="21"/>
              </w:rPr>
            </w:pPr>
            <w:r>
              <w:rPr>
                <w:rFonts w:hint="eastAsia" w:cs="宋体"/>
                <w:b/>
                <w:bCs/>
                <w:color w:val="auto"/>
                <w:sz w:val="21"/>
                <w:lang w:bidi="ar"/>
              </w:rPr>
              <w:t>包气带岩土的渗透性能</w:t>
            </w:r>
          </w:p>
        </w:tc>
      </w:tr>
      <w:tr w14:paraId="78256FB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2C282642">
            <w:pPr>
              <w:spacing w:line="240" w:lineRule="auto"/>
              <w:ind w:firstLine="0" w:firstLineChars="0"/>
              <w:jc w:val="center"/>
              <w:rPr>
                <w:color w:val="auto"/>
                <w:sz w:val="21"/>
              </w:rPr>
            </w:pPr>
            <w:r>
              <w:rPr>
                <w:color w:val="auto"/>
                <w:sz w:val="21"/>
                <w:lang w:bidi="ar"/>
              </w:rPr>
              <w:t>D3</w:t>
            </w:r>
          </w:p>
        </w:tc>
        <w:tc>
          <w:tcPr>
            <w:tcW w:w="3878" w:type="pct"/>
            <w:tcBorders>
              <w:top w:val="single" w:color="auto" w:sz="4" w:space="0"/>
              <w:left w:val="single" w:color="auto" w:sz="4" w:space="0"/>
              <w:bottom w:val="single" w:color="auto" w:sz="4" w:space="0"/>
              <w:right w:val="nil"/>
            </w:tcBorders>
            <w:shd w:val="clear" w:color="auto" w:fill="auto"/>
            <w:vAlign w:val="center"/>
          </w:tcPr>
          <w:p w14:paraId="1B5071AB">
            <w:pPr>
              <w:spacing w:line="240" w:lineRule="auto"/>
              <w:ind w:firstLine="0" w:firstLineChars="0"/>
              <w:jc w:val="center"/>
              <w:rPr>
                <w:color w:val="auto"/>
                <w:sz w:val="21"/>
              </w:rPr>
            </w:pPr>
            <w:r>
              <w:rPr>
                <w:color w:val="auto"/>
                <w:sz w:val="21"/>
                <w:lang w:val="zh-CN" w:bidi="ar"/>
              </w:rPr>
              <w:t>M</w:t>
            </w:r>
            <w:r>
              <w:rPr>
                <w:color w:val="auto"/>
                <w:sz w:val="21"/>
                <w:vertAlign w:val="subscript"/>
                <w:lang w:val="zh-CN" w:bidi="ar"/>
              </w:rPr>
              <w:t>b</w:t>
            </w:r>
            <w:r>
              <w:rPr>
                <w:color w:val="auto"/>
                <w:sz w:val="21"/>
                <w:lang w:val="zh-CN" w:bidi="ar"/>
              </w:rPr>
              <w:t>≥1.0m</w:t>
            </w:r>
            <w:r>
              <w:rPr>
                <w:rFonts w:hint="eastAsia" w:cs="宋体"/>
                <w:color w:val="auto"/>
                <w:sz w:val="21"/>
                <w:lang w:val="zh-CN" w:bidi="ar"/>
              </w:rPr>
              <w:t>，</w:t>
            </w:r>
            <w:r>
              <w:rPr>
                <w:color w:val="auto"/>
                <w:sz w:val="21"/>
                <w:lang w:val="zh-CN" w:bidi="ar"/>
              </w:rPr>
              <w:t>K≤1.0</w:t>
            </w:r>
            <w:r>
              <w:rPr>
                <w:rFonts w:hint="eastAsia" w:cs="宋体"/>
                <w:color w:val="auto"/>
                <w:sz w:val="21"/>
                <w:lang w:val="zh-CN" w:bidi="ar"/>
              </w:rPr>
              <w:t>×</w:t>
            </w:r>
            <w:r>
              <w:rPr>
                <w:color w:val="auto"/>
                <w:sz w:val="21"/>
                <w:lang w:val="zh-CN" w:bidi="ar"/>
              </w:rPr>
              <w:t>10</w:t>
            </w:r>
            <w:r>
              <w:rPr>
                <w:rFonts w:hint="eastAsia"/>
                <w:color w:val="auto"/>
                <w:sz w:val="21"/>
                <w:lang w:val="zh-CN" w:bidi="ar"/>
              </w:rPr>
              <w:t>—</w:t>
            </w:r>
            <w:r>
              <w:rPr>
                <w:color w:val="auto"/>
                <w:sz w:val="21"/>
                <w:vertAlign w:val="superscript"/>
                <w:lang w:val="zh-CN" w:bidi="ar"/>
              </w:rPr>
              <w:t>6</w:t>
            </w:r>
            <w:r>
              <w:rPr>
                <w:color w:val="auto"/>
                <w:sz w:val="21"/>
                <w:lang w:val="zh-CN" w:bidi="ar"/>
              </w:rPr>
              <w:t>cm/s</w:t>
            </w:r>
            <w:r>
              <w:rPr>
                <w:rFonts w:hint="eastAsia" w:cs="宋体"/>
                <w:color w:val="auto"/>
                <w:sz w:val="21"/>
                <w:lang w:val="zh-CN" w:bidi="ar"/>
              </w:rPr>
              <w:t>，且分布连续、稳定</w:t>
            </w:r>
          </w:p>
        </w:tc>
      </w:tr>
      <w:tr w14:paraId="333FAB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D8D8D8"/>
            <w:vAlign w:val="center"/>
          </w:tcPr>
          <w:p w14:paraId="4F3C4521">
            <w:pPr>
              <w:spacing w:line="240" w:lineRule="auto"/>
              <w:ind w:firstLine="0" w:firstLineChars="0"/>
              <w:jc w:val="center"/>
              <w:rPr>
                <w:color w:val="auto"/>
                <w:sz w:val="21"/>
              </w:rPr>
            </w:pPr>
            <w:r>
              <w:rPr>
                <w:color w:val="auto"/>
                <w:sz w:val="21"/>
                <w:lang w:bidi="ar"/>
              </w:rPr>
              <w:t>D2</w:t>
            </w:r>
          </w:p>
        </w:tc>
        <w:tc>
          <w:tcPr>
            <w:tcW w:w="3878" w:type="pct"/>
            <w:tcBorders>
              <w:top w:val="single" w:color="auto" w:sz="4" w:space="0"/>
              <w:left w:val="single" w:color="auto" w:sz="4" w:space="0"/>
              <w:bottom w:val="single" w:color="auto" w:sz="4" w:space="0"/>
              <w:right w:val="nil"/>
            </w:tcBorders>
            <w:shd w:val="clear" w:color="auto" w:fill="D8D8D8"/>
            <w:vAlign w:val="center"/>
          </w:tcPr>
          <w:p w14:paraId="5634E7EA">
            <w:pPr>
              <w:spacing w:line="240" w:lineRule="auto"/>
              <w:ind w:firstLine="0" w:firstLineChars="0"/>
              <w:jc w:val="center"/>
              <w:rPr>
                <w:color w:val="auto"/>
                <w:sz w:val="21"/>
              </w:rPr>
            </w:pPr>
            <w:r>
              <w:rPr>
                <w:color w:val="auto"/>
                <w:sz w:val="21"/>
                <w:lang w:bidi="ar"/>
              </w:rPr>
              <w:t>0.5m≤M</w:t>
            </w:r>
            <w:r>
              <w:rPr>
                <w:color w:val="auto"/>
                <w:sz w:val="21"/>
                <w:vertAlign w:val="subscript"/>
                <w:lang w:bidi="ar"/>
              </w:rPr>
              <w:t>b</w:t>
            </w:r>
            <w:r>
              <w:rPr>
                <w:color w:val="auto"/>
                <w:sz w:val="21"/>
                <w:lang w:bidi="ar"/>
              </w:rPr>
              <w:t>&lt;1.0m</w:t>
            </w:r>
            <w:r>
              <w:rPr>
                <w:rFonts w:hint="eastAsia" w:cs="宋体"/>
                <w:color w:val="auto"/>
                <w:sz w:val="21"/>
                <w:lang w:bidi="ar"/>
              </w:rPr>
              <w:t>，</w:t>
            </w:r>
            <w:r>
              <w:rPr>
                <w:color w:val="auto"/>
                <w:sz w:val="21"/>
                <w:lang w:bidi="ar"/>
              </w:rPr>
              <w:t>K≤1.0×10</w:t>
            </w:r>
            <w:r>
              <w:rPr>
                <w:color w:val="auto"/>
                <w:sz w:val="21"/>
                <w:vertAlign w:val="superscript"/>
                <w:lang w:bidi="ar"/>
              </w:rPr>
              <w:t>-6</w:t>
            </w:r>
            <w:r>
              <w:rPr>
                <w:color w:val="auto"/>
                <w:sz w:val="21"/>
                <w:lang w:bidi="ar"/>
              </w:rPr>
              <w:t>cm/s</w:t>
            </w:r>
            <w:r>
              <w:rPr>
                <w:rFonts w:hint="eastAsia" w:cs="宋体"/>
                <w:color w:val="auto"/>
                <w:sz w:val="21"/>
                <w:lang w:bidi="ar"/>
              </w:rPr>
              <w:t>，且分布连续、稳定</w:t>
            </w:r>
          </w:p>
          <w:p w14:paraId="46B1EF8C">
            <w:pPr>
              <w:spacing w:line="240" w:lineRule="auto"/>
              <w:ind w:firstLine="0" w:firstLineChars="0"/>
              <w:jc w:val="center"/>
              <w:rPr>
                <w:color w:val="auto"/>
                <w:sz w:val="21"/>
              </w:rPr>
            </w:pPr>
            <w:r>
              <w:rPr>
                <w:color w:val="auto"/>
                <w:sz w:val="21"/>
                <w:lang w:bidi="ar"/>
              </w:rPr>
              <w:t>M</w:t>
            </w:r>
            <w:r>
              <w:rPr>
                <w:color w:val="auto"/>
                <w:sz w:val="21"/>
                <w:vertAlign w:val="subscript"/>
                <w:lang w:bidi="ar"/>
              </w:rPr>
              <w:t>b</w:t>
            </w:r>
            <w:r>
              <w:rPr>
                <w:color w:val="auto"/>
                <w:sz w:val="21"/>
                <w:lang w:bidi="ar"/>
              </w:rPr>
              <w:t>≥1.0m</w:t>
            </w:r>
            <w:r>
              <w:rPr>
                <w:rFonts w:hint="eastAsia" w:cs="宋体"/>
                <w:color w:val="auto"/>
                <w:sz w:val="21"/>
                <w:lang w:bidi="ar"/>
              </w:rPr>
              <w:t>，</w:t>
            </w:r>
            <w:r>
              <w:rPr>
                <w:color w:val="auto"/>
                <w:sz w:val="21"/>
                <w:lang w:bidi="ar"/>
              </w:rPr>
              <w:t>1.0×10</w:t>
            </w:r>
            <w:r>
              <w:rPr>
                <w:color w:val="auto"/>
                <w:sz w:val="21"/>
                <w:vertAlign w:val="superscript"/>
                <w:lang w:bidi="ar"/>
              </w:rPr>
              <w:t>-6</w:t>
            </w:r>
            <w:r>
              <w:rPr>
                <w:color w:val="auto"/>
                <w:sz w:val="21"/>
                <w:lang w:bidi="ar"/>
              </w:rPr>
              <w:t>cm/s</w:t>
            </w:r>
            <w:r>
              <w:rPr>
                <w:rFonts w:hint="eastAsia" w:cs="宋体"/>
                <w:color w:val="auto"/>
                <w:sz w:val="21"/>
                <w:lang w:bidi="ar"/>
              </w:rPr>
              <w:t>＜</w:t>
            </w:r>
            <w:r>
              <w:rPr>
                <w:color w:val="auto"/>
                <w:sz w:val="21"/>
                <w:lang w:bidi="ar"/>
              </w:rPr>
              <w:t>K≤1.0×10</w:t>
            </w:r>
            <w:r>
              <w:rPr>
                <w:color w:val="auto"/>
                <w:sz w:val="21"/>
                <w:vertAlign w:val="superscript"/>
                <w:lang w:bidi="ar"/>
              </w:rPr>
              <w:t>-4</w:t>
            </w:r>
            <w:r>
              <w:rPr>
                <w:color w:val="auto"/>
                <w:sz w:val="21"/>
                <w:lang w:bidi="ar"/>
              </w:rPr>
              <w:t>cm/s</w:t>
            </w:r>
            <w:r>
              <w:rPr>
                <w:rFonts w:hint="eastAsia" w:cs="宋体"/>
                <w:color w:val="auto"/>
                <w:sz w:val="21"/>
                <w:lang w:bidi="ar"/>
              </w:rPr>
              <w:t>，且分布连续、稳定</w:t>
            </w:r>
          </w:p>
        </w:tc>
      </w:tr>
      <w:tr w14:paraId="45AEC36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nil"/>
              <w:bottom w:val="single" w:color="auto" w:sz="4" w:space="0"/>
              <w:right w:val="single" w:color="auto" w:sz="4" w:space="0"/>
            </w:tcBorders>
            <w:shd w:val="clear" w:color="auto" w:fill="auto"/>
            <w:vAlign w:val="center"/>
          </w:tcPr>
          <w:p w14:paraId="2C9589C0">
            <w:pPr>
              <w:spacing w:line="240" w:lineRule="auto"/>
              <w:ind w:firstLine="0" w:firstLineChars="0"/>
              <w:jc w:val="center"/>
              <w:rPr>
                <w:color w:val="auto"/>
                <w:sz w:val="21"/>
              </w:rPr>
            </w:pPr>
            <w:r>
              <w:rPr>
                <w:color w:val="auto"/>
                <w:sz w:val="21"/>
                <w:lang w:bidi="ar"/>
              </w:rPr>
              <w:t>D1</w:t>
            </w:r>
          </w:p>
        </w:tc>
        <w:tc>
          <w:tcPr>
            <w:tcW w:w="3878" w:type="pct"/>
            <w:tcBorders>
              <w:top w:val="single" w:color="auto" w:sz="4" w:space="0"/>
              <w:left w:val="single" w:color="auto" w:sz="4" w:space="0"/>
              <w:bottom w:val="single" w:color="auto" w:sz="4" w:space="0"/>
              <w:right w:val="nil"/>
            </w:tcBorders>
            <w:shd w:val="clear" w:color="auto" w:fill="auto"/>
            <w:vAlign w:val="center"/>
          </w:tcPr>
          <w:p w14:paraId="7FD26662">
            <w:pPr>
              <w:spacing w:line="240" w:lineRule="auto"/>
              <w:ind w:firstLine="0" w:firstLineChars="0"/>
              <w:jc w:val="center"/>
              <w:rPr>
                <w:color w:val="auto"/>
                <w:sz w:val="21"/>
              </w:rPr>
            </w:pPr>
            <w:r>
              <w:rPr>
                <w:rFonts w:hint="eastAsia" w:cs="宋体"/>
                <w:color w:val="auto"/>
                <w:sz w:val="21"/>
                <w:lang w:bidi="ar"/>
              </w:rPr>
              <w:t>岩（土）层不满足上述</w:t>
            </w:r>
            <w:r>
              <w:rPr>
                <w:rFonts w:hint="eastAsia" w:ascii="宋体" w:hAnsi="宋体" w:cs="宋体"/>
                <w:color w:val="auto"/>
                <w:sz w:val="21"/>
                <w:lang w:bidi="ar"/>
              </w:rPr>
              <w:t>“</w:t>
            </w:r>
            <w:r>
              <w:rPr>
                <w:color w:val="auto"/>
                <w:sz w:val="21"/>
                <w:lang w:bidi="ar"/>
              </w:rPr>
              <w:t>D2</w:t>
            </w:r>
            <w:r>
              <w:rPr>
                <w:rFonts w:hint="eastAsia" w:ascii="宋体" w:hAnsi="宋体" w:cs="宋体"/>
                <w:color w:val="auto"/>
                <w:sz w:val="21"/>
                <w:lang w:bidi="ar"/>
              </w:rPr>
              <w:t>”</w:t>
            </w:r>
            <w:r>
              <w:rPr>
                <w:rFonts w:hint="eastAsia" w:cs="宋体"/>
                <w:color w:val="auto"/>
                <w:sz w:val="21"/>
                <w:lang w:bidi="ar"/>
              </w:rPr>
              <w:t>和</w:t>
            </w:r>
            <w:r>
              <w:rPr>
                <w:rFonts w:hint="eastAsia" w:ascii="宋体" w:hAnsi="宋体" w:cs="宋体"/>
                <w:color w:val="auto"/>
                <w:sz w:val="21"/>
                <w:lang w:bidi="ar"/>
              </w:rPr>
              <w:t>“</w:t>
            </w:r>
            <w:r>
              <w:rPr>
                <w:color w:val="auto"/>
                <w:sz w:val="21"/>
                <w:lang w:bidi="ar"/>
              </w:rPr>
              <w:t>D3</w:t>
            </w:r>
            <w:r>
              <w:rPr>
                <w:rFonts w:hint="eastAsia" w:ascii="宋体" w:hAnsi="宋体" w:cs="宋体"/>
                <w:color w:val="auto"/>
                <w:sz w:val="21"/>
                <w:lang w:bidi="ar"/>
              </w:rPr>
              <w:t>”</w:t>
            </w:r>
            <w:r>
              <w:rPr>
                <w:rFonts w:hint="eastAsia" w:cs="宋体"/>
                <w:color w:val="auto"/>
                <w:sz w:val="21"/>
                <w:lang w:bidi="ar"/>
              </w:rPr>
              <w:t>条件</w:t>
            </w:r>
          </w:p>
        </w:tc>
      </w:tr>
      <w:tr w14:paraId="7F816F2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single" w:color="auto" w:sz="4" w:space="0"/>
              <w:left w:val="nil"/>
              <w:bottom w:val="single" w:color="auto" w:sz="12" w:space="0"/>
              <w:right w:val="nil"/>
            </w:tcBorders>
            <w:shd w:val="clear" w:color="auto" w:fill="auto"/>
            <w:vAlign w:val="center"/>
          </w:tcPr>
          <w:p w14:paraId="5C8BEFF5">
            <w:pPr>
              <w:spacing w:line="240" w:lineRule="auto"/>
              <w:ind w:firstLine="0" w:firstLineChars="0"/>
              <w:jc w:val="center"/>
              <w:rPr>
                <w:color w:val="auto"/>
                <w:sz w:val="21"/>
              </w:rPr>
            </w:pPr>
            <w:r>
              <w:rPr>
                <w:color w:val="auto"/>
                <w:sz w:val="21"/>
                <w:lang w:val="zh-CN" w:bidi="ar"/>
              </w:rPr>
              <w:t>M</w:t>
            </w:r>
            <w:r>
              <w:rPr>
                <w:color w:val="auto"/>
                <w:sz w:val="21"/>
                <w:vertAlign w:val="subscript"/>
                <w:lang w:val="zh-CN" w:bidi="ar"/>
              </w:rPr>
              <w:t>b</w:t>
            </w:r>
            <w:r>
              <w:rPr>
                <w:rFonts w:hint="eastAsia" w:cs="宋体"/>
                <w:color w:val="auto"/>
                <w:sz w:val="21"/>
                <w:lang w:val="zh-CN" w:bidi="ar"/>
              </w:rPr>
              <w:t>：岩土层单层厚度。</w:t>
            </w:r>
            <w:r>
              <w:rPr>
                <w:color w:val="auto"/>
                <w:sz w:val="21"/>
                <w:lang w:val="zh-CN" w:bidi="ar"/>
              </w:rPr>
              <w:t>K</w:t>
            </w:r>
            <w:r>
              <w:rPr>
                <w:rFonts w:hint="eastAsia" w:cs="宋体"/>
                <w:color w:val="auto"/>
                <w:sz w:val="21"/>
                <w:lang w:val="zh-CN" w:bidi="ar"/>
              </w:rPr>
              <w:t>：渗透系数。</w:t>
            </w:r>
          </w:p>
        </w:tc>
      </w:tr>
    </w:tbl>
    <w:p w14:paraId="2392339D">
      <w:pPr>
        <w:spacing w:before="120" w:beforeLines="50"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5.1-19</w:t>
      </w:r>
      <w:r>
        <w:rPr>
          <w:b/>
          <w:color w:val="auto"/>
          <w:lang w:bidi="ar"/>
        </w:rPr>
        <w:t xml:space="preserve">  </w:t>
      </w:r>
      <w:r>
        <w:rPr>
          <w:rFonts w:hint="eastAsia" w:cs="宋体"/>
          <w:b/>
          <w:color w:val="auto"/>
          <w:lang w:bidi="ar"/>
        </w:rPr>
        <w:t>地下水环境敏感程度分级</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1885"/>
        <w:gridCol w:w="2792"/>
        <w:gridCol w:w="2679"/>
      </w:tblGrid>
      <w:tr w14:paraId="46482CA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039" w:type="pct"/>
            <w:vMerge w:val="restart"/>
            <w:tcBorders>
              <w:top w:val="single" w:color="auto" w:sz="12" w:space="0"/>
              <w:left w:val="nil"/>
              <w:bottom w:val="single" w:color="auto" w:sz="4" w:space="0"/>
              <w:right w:val="single" w:color="auto" w:sz="4" w:space="0"/>
            </w:tcBorders>
            <w:shd w:val="clear" w:color="auto" w:fill="auto"/>
            <w:vAlign w:val="center"/>
          </w:tcPr>
          <w:p w14:paraId="3AD2DF09">
            <w:pPr>
              <w:spacing w:line="240" w:lineRule="auto"/>
              <w:ind w:firstLine="0" w:firstLineChars="0"/>
              <w:jc w:val="center"/>
              <w:rPr>
                <w:b/>
                <w:bCs/>
                <w:color w:val="auto"/>
                <w:sz w:val="21"/>
              </w:rPr>
            </w:pPr>
            <w:r>
              <w:rPr>
                <w:rFonts w:hint="eastAsia" w:cs="宋体"/>
                <w:b/>
                <w:bCs/>
                <w:color w:val="auto"/>
                <w:sz w:val="21"/>
                <w:lang w:bidi="ar"/>
              </w:rPr>
              <w:t>包气带防污性能</w:t>
            </w:r>
          </w:p>
        </w:tc>
        <w:tc>
          <w:tcPr>
            <w:tcW w:w="3960" w:type="pct"/>
            <w:gridSpan w:val="3"/>
            <w:tcBorders>
              <w:top w:val="single" w:color="auto" w:sz="12" w:space="0"/>
              <w:left w:val="single" w:color="auto" w:sz="4" w:space="0"/>
              <w:bottom w:val="single" w:color="000000" w:sz="4" w:space="0"/>
              <w:right w:val="nil"/>
            </w:tcBorders>
            <w:shd w:val="clear" w:color="auto" w:fill="auto"/>
            <w:vAlign w:val="center"/>
          </w:tcPr>
          <w:p w14:paraId="46C31D4F">
            <w:pPr>
              <w:spacing w:line="240" w:lineRule="auto"/>
              <w:ind w:firstLine="0" w:firstLineChars="0"/>
              <w:jc w:val="center"/>
              <w:rPr>
                <w:b/>
                <w:bCs/>
                <w:color w:val="auto"/>
                <w:sz w:val="21"/>
              </w:rPr>
            </w:pPr>
            <w:r>
              <w:rPr>
                <w:rFonts w:hint="eastAsia" w:cs="宋体"/>
                <w:b/>
                <w:bCs/>
                <w:color w:val="auto"/>
                <w:sz w:val="21"/>
                <w:lang w:bidi="ar"/>
              </w:rPr>
              <w:t>地下水功能敏性</w:t>
            </w:r>
          </w:p>
        </w:tc>
      </w:tr>
      <w:tr w14:paraId="79919DD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039" w:type="pct"/>
            <w:vMerge w:val="continue"/>
            <w:tcBorders>
              <w:top w:val="single" w:color="auto" w:sz="12" w:space="0"/>
              <w:left w:val="nil"/>
              <w:bottom w:val="single" w:color="auto" w:sz="4" w:space="0"/>
              <w:right w:val="single" w:color="auto" w:sz="4" w:space="0"/>
            </w:tcBorders>
            <w:shd w:val="clear" w:color="auto" w:fill="auto"/>
            <w:vAlign w:val="center"/>
          </w:tcPr>
          <w:p w14:paraId="59E5CB0C">
            <w:pPr>
              <w:ind w:firstLine="400"/>
              <w:rPr>
                <w:color w:val="auto"/>
                <w:sz w:val="20"/>
                <w:szCs w:val="20"/>
              </w:rPr>
            </w:pPr>
          </w:p>
        </w:tc>
        <w:tc>
          <w:tcPr>
            <w:tcW w:w="1015" w:type="pct"/>
            <w:tcBorders>
              <w:top w:val="single" w:color="000000" w:sz="4" w:space="0"/>
              <w:left w:val="single" w:color="auto" w:sz="4" w:space="0"/>
              <w:bottom w:val="single" w:color="auto" w:sz="4" w:space="0"/>
              <w:right w:val="single" w:color="000000" w:sz="4" w:space="0"/>
            </w:tcBorders>
            <w:shd w:val="clear" w:color="auto" w:fill="auto"/>
            <w:vAlign w:val="center"/>
          </w:tcPr>
          <w:p w14:paraId="5FAB7708">
            <w:pPr>
              <w:spacing w:line="240" w:lineRule="auto"/>
              <w:ind w:firstLine="0" w:firstLineChars="0"/>
              <w:jc w:val="center"/>
              <w:rPr>
                <w:b/>
                <w:bCs/>
                <w:color w:val="auto"/>
                <w:sz w:val="21"/>
              </w:rPr>
            </w:pPr>
            <w:r>
              <w:rPr>
                <w:b/>
                <w:bCs/>
                <w:color w:val="auto"/>
                <w:sz w:val="21"/>
                <w:lang w:bidi="ar"/>
              </w:rPr>
              <w:t>G1</w:t>
            </w:r>
          </w:p>
        </w:tc>
        <w:tc>
          <w:tcPr>
            <w:tcW w:w="1503" w:type="pct"/>
            <w:tcBorders>
              <w:top w:val="single" w:color="000000" w:sz="4" w:space="0"/>
              <w:left w:val="single" w:color="000000" w:sz="4" w:space="0"/>
              <w:bottom w:val="single" w:color="auto" w:sz="4" w:space="0"/>
              <w:right w:val="single" w:color="000000" w:sz="4" w:space="0"/>
            </w:tcBorders>
            <w:shd w:val="clear" w:color="auto" w:fill="auto"/>
            <w:vAlign w:val="center"/>
          </w:tcPr>
          <w:p w14:paraId="5002486B">
            <w:pPr>
              <w:spacing w:line="240" w:lineRule="auto"/>
              <w:ind w:firstLine="0" w:firstLineChars="0"/>
              <w:jc w:val="center"/>
              <w:rPr>
                <w:b/>
                <w:bCs/>
                <w:color w:val="auto"/>
                <w:sz w:val="21"/>
              </w:rPr>
            </w:pPr>
            <w:r>
              <w:rPr>
                <w:b/>
                <w:bCs/>
                <w:color w:val="auto"/>
                <w:sz w:val="21"/>
                <w:lang w:bidi="ar"/>
              </w:rPr>
              <w:t>G2</w:t>
            </w:r>
          </w:p>
        </w:tc>
        <w:tc>
          <w:tcPr>
            <w:tcW w:w="1442" w:type="pct"/>
            <w:tcBorders>
              <w:top w:val="single" w:color="000000" w:sz="4" w:space="0"/>
              <w:left w:val="single" w:color="000000" w:sz="4" w:space="0"/>
              <w:bottom w:val="single" w:color="auto" w:sz="4" w:space="0"/>
              <w:right w:val="nil"/>
            </w:tcBorders>
            <w:shd w:val="clear" w:color="auto" w:fill="auto"/>
            <w:vAlign w:val="center"/>
          </w:tcPr>
          <w:p w14:paraId="02A11AE6">
            <w:pPr>
              <w:spacing w:line="240" w:lineRule="auto"/>
              <w:ind w:firstLine="0" w:firstLineChars="0"/>
              <w:jc w:val="center"/>
              <w:rPr>
                <w:b/>
                <w:bCs/>
                <w:color w:val="auto"/>
                <w:sz w:val="21"/>
              </w:rPr>
            </w:pPr>
            <w:r>
              <w:rPr>
                <w:b/>
                <w:bCs/>
                <w:color w:val="auto"/>
                <w:sz w:val="21"/>
                <w:lang w:bidi="ar"/>
              </w:rPr>
              <w:t>G3</w:t>
            </w:r>
          </w:p>
        </w:tc>
      </w:tr>
      <w:tr w14:paraId="2CD543B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039" w:type="pct"/>
            <w:tcBorders>
              <w:top w:val="single" w:color="auto" w:sz="4" w:space="0"/>
              <w:left w:val="nil"/>
              <w:bottom w:val="single" w:color="auto" w:sz="4" w:space="0"/>
              <w:right w:val="single" w:color="auto" w:sz="4" w:space="0"/>
            </w:tcBorders>
            <w:shd w:val="clear" w:color="auto" w:fill="auto"/>
            <w:vAlign w:val="center"/>
          </w:tcPr>
          <w:p w14:paraId="6261AC28">
            <w:pPr>
              <w:spacing w:line="240" w:lineRule="auto"/>
              <w:ind w:firstLine="0" w:firstLineChars="0"/>
              <w:jc w:val="center"/>
              <w:rPr>
                <w:color w:val="auto"/>
                <w:sz w:val="21"/>
              </w:rPr>
            </w:pPr>
            <w:r>
              <w:rPr>
                <w:color w:val="auto"/>
                <w:sz w:val="21"/>
                <w:lang w:bidi="ar"/>
              </w:rPr>
              <w:t>D1</w:t>
            </w:r>
          </w:p>
        </w:tc>
        <w:tc>
          <w:tcPr>
            <w:tcW w:w="1015" w:type="pct"/>
            <w:tcBorders>
              <w:top w:val="single" w:color="auto" w:sz="4" w:space="0"/>
              <w:left w:val="single" w:color="auto" w:sz="4" w:space="0"/>
              <w:bottom w:val="single" w:color="auto" w:sz="4" w:space="0"/>
              <w:right w:val="single" w:color="000000" w:sz="4" w:space="0"/>
            </w:tcBorders>
            <w:shd w:val="clear" w:color="auto" w:fill="auto"/>
            <w:vAlign w:val="center"/>
          </w:tcPr>
          <w:p w14:paraId="581663F4">
            <w:pPr>
              <w:spacing w:line="240" w:lineRule="auto"/>
              <w:ind w:firstLine="0" w:firstLineChars="0"/>
              <w:jc w:val="center"/>
              <w:rPr>
                <w:color w:val="auto"/>
                <w:sz w:val="21"/>
              </w:rPr>
            </w:pPr>
            <w:r>
              <w:rPr>
                <w:color w:val="auto"/>
                <w:sz w:val="21"/>
                <w:lang w:bidi="ar"/>
              </w:rPr>
              <w:t>E1</w:t>
            </w:r>
          </w:p>
        </w:tc>
        <w:tc>
          <w:tcPr>
            <w:tcW w:w="1503" w:type="pct"/>
            <w:tcBorders>
              <w:top w:val="single" w:color="auto" w:sz="4" w:space="0"/>
              <w:left w:val="single" w:color="000000" w:sz="4" w:space="0"/>
              <w:bottom w:val="single" w:color="auto" w:sz="4" w:space="0"/>
              <w:right w:val="single" w:color="000000" w:sz="4" w:space="0"/>
            </w:tcBorders>
            <w:shd w:val="clear" w:color="auto" w:fill="auto"/>
            <w:vAlign w:val="center"/>
          </w:tcPr>
          <w:p w14:paraId="6E057748">
            <w:pPr>
              <w:spacing w:line="240" w:lineRule="auto"/>
              <w:ind w:firstLine="0" w:firstLineChars="0"/>
              <w:jc w:val="center"/>
              <w:rPr>
                <w:color w:val="auto"/>
                <w:sz w:val="21"/>
                <w:lang w:val="zh-CN"/>
              </w:rPr>
            </w:pPr>
            <w:r>
              <w:rPr>
                <w:color w:val="auto"/>
                <w:sz w:val="21"/>
                <w:lang w:val="zh-CN" w:bidi="ar"/>
              </w:rPr>
              <w:t>E1</w:t>
            </w:r>
          </w:p>
        </w:tc>
        <w:tc>
          <w:tcPr>
            <w:tcW w:w="1442" w:type="pct"/>
            <w:tcBorders>
              <w:top w:val="single" w:color="auto" w:sz="4" w:space="0"/>
              <w:left w:val="single" w:color="000000" w:sz="4" w:space="0"/>
              <w:bottom w:val="single" w:color="auto" w:sz="4" w:space="0"/>
              <w:right w:val="nil"/>
            </w:tcBorders>
            <w:shd w:val="clear" w:color="auto" w:fill="auto"/>
            <w:vAlign w:val="center"/>
          </w:tcPr>
          <w:p w14:paraId="62BDF7B8">
            <w:pPr>
              <w:spacing w:line="240" w:lineRule="auto"/>
              <w:ind w:firstLine="0" w:firstLineChars="0"/>
              <w:jc w:val="center"/>
              <w:rPr>
                <w:color w:val="auto"/>
                <w:sz w:val="21"/>
                <w:lang w:val="zh-CN"/>
              </w:rPr>
            </w:pPr>
            <w:r>
              <w:rPr>
                <w:color w:val="auto"/>
                <w:sz w:val="21"/>
                <w:lang w:val="zh-CN" w:bidi="ar"/>
              </w:rPr>
              <w:t>E2</w:t>
            </w:r>
          </w:p>
        </w:tc>
      </w:tr>
      <w:tr w14:paraId="152DF51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39" w:type="pct"/>
            <w:tcBorders>
              <w:top w:val="single" w:color="auto" w:sz="4" w:space="0"/>
              <w:left w:val="nil"/>
              <w:bottom w:val="single" w:color="auto" w:sz="4" w:space="0"/>
              <w:right w:val="single" w:color="auto" w:sz="4" w:space="0"/>
            </w:tcBorders>
            <w:shd w:val="clear" w:color="auto" w:fill="auto"/>
            <w:vAlign w:val="center"/>
          </w:tcPr>
          <w:p w14:paraId="0C9345E2">
            <w:pPr>
              <w:spacing w:line="240" w:lineRule="auto"/>
              <w:ind w:firstLine="0" w:firstLineChars="0"/>
              <w:jc w:val="center"/>
              <w:rPr>
                <w:color w:val="auto"/>
                <w:sz w:val="21"/>
              </w:rPr>
            </w:pPr>
            <w:r>
              <w:rPr>
                <w:color w:val="auto"/>
                <w:sz w:val="21"/>
                <w:lang w:bidi="ar"/>
              </w:rPr>
              <w:t>D2</w:t>
            </w:r>
          </w:p>
        </w:tc>
        <w:tc>
          <w:tcPr>
            <w:tcW w:w="1015" w:type="pct"/>
            <w:tcBorders>
              <w:top w:val="single" w:color="auto" w:sz="4" w:space="0"/>
              <w:left w:val="single" w:color="auto" w:sz="4" w:space="0"/>
              <w:bottom w:val="single" w:color="auto" w:sz="4" w:space="0"/>
              <w:right w:val="single" w:color="000000" w:sz="4" w:space="0"/>
            </w:tcBorders>
            <w:shd w:val="clear" w:color="auto" w:fill="auto"/>
            <w:vAlign w:val="center"/>
          </w:tcPr>
          <w:p w14:paraId="08EC9B63">
            <w:pPr>
              <w:spacing w:line="240" w:lineRule="auto"/>
              <w:ind w:firstLine="0" w:firstLineChars="0"/>
              <w:jc w:val="center"/>
              <w:rPr>
                <w:color w:val="auto"/>
                <w:sz w:val="21"/>
              </w:rPr>
            </w:pPr>
            <w:r>
              <w:rPr>
                <w:color w:val="auto"/>
                <w:sz w:val="21"/>
                <w:lang w:bidi="ar"/>
              </w:rPr>
              <w:t>E1</w:t>
            </w:r>
          </w:p>
        </w:tc>
        <w:tc>
          <w:tcPr>
            <w:tcW w:w="1503" w:type="pct"/>
            <w:tcBorders>
              <w:top w:val="single" w:color="auto" w:sz="4" w:space="0"/>
              <w:left w:val="single" w:color="000000" w:sz="4" w:space="0"/>
              <w:bottom w:val="single" w:color="auto" w:sz="4" w:space="0"/>
              <w:right w:val="single" w:color="000000" w:sz="4" w:space="0"/>
            </w:tcBorders>
            <w:shd w:val="clear" w:color="auto" w:fill="auto"/>
            <w:vAlign w:val="center"/>
          </w:tcPr>
          <w:p w14:paraId="7811E5DA">
            <w:pPr>
              <w:spacing w:line="240" w:lineRule="auto"/>
              <w:ind w:firstLine="0" w:firstLineChars="0"/>
              <w:jc w:val="center"/>
              <w:rPr>
                <w:color w:val="auto"/>
                <w:sz w:val="21"/>
              </w:rPr>
            </w:pPr>
            <w:r>
              <w:rPr>
                <w:color w:val="auto"/>
                <w:sz w:val="21"/>
                <w:lang w:bidi="ar"/>
              </w:rPr>
              <w:t>E2</w:t>
            </w:r>
          </w:p>
        </w:tc>
        <w:tc>
          <w:tcPr>
            <w:tcW w:w="1442" w:type="pct"/>
            <w:tcBorders>
              <w:top w:val="single" w:color="auto" w:sz="4" w:space="0"/>
              <w:left w:val="single" w:color="000000" w:sz="4" w:space="0"/>
              <w:bottom w:val="single" w:color="auto" w:sz="4" w:space="0"/>
              <w:right w:val="nil"/>
            </w:tcBorders>
            <w:shd w:val="clear" w:color="auto" w:fill="D8D8D8"/>
            <w:vAlign w:val="center"/>
          </w:tcPr>
          <w:p w14:paraId="61ABC192">
            <w:pPr>
              <w:spacing w:line="240" w:lineRule="auto"/>
              <w:ind w:firstLine="0" w:firstLineChars="0"/>
              <w:jc w:val="center"/>
              <w:rPr>
                <w:color w:val="auto"/>
                <w:sz w:val="21"/>
              </w:rPr>
            </w:pPr>
            <w:r>
              <w:rPr>
                <w:color w:val="auto"/>
                <w:sz w:val="21"/>
                <w:lang w:bidi="ar"/>
              </w:rPr>
              <w:t>E3</w:t>
            </w:r>
          </w:p>
        </w:tc>
      </w:tr>
      <w:tr w14:paraId="4B0DF9D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039" w:type="pct"/>
            <w:tcBorders>
              <w:top w:val="single" w:color="auto" w:sz="4" w:space="0"/>
              <w:left w:val="nil"/>
              <w:bottom w:val="single" w:color="auto" w:sz="12" w:space="0"/>
              <w:right w:val="single" w:color="auto" w:sz="4" w:space="0"/>
            </w:tcBorders>
            <w:shd w:val="clear" w:color="auto" w:fill="auto"/>
            <w:vAlign w:val="center"/>
          </w:tcPr>
          <w:p w14:paraId="1F20B1FA">
            <w:pPr>
              <w:spacing w:line="240" w:lineRule="auto"/>
              <w:ind w:firstLine="0" w:firstLineChars="0"/>
              <w:jc w:val="center"/>
              <w:rPr>
                <w:color w:val="auto"/>
                <w:sz w:val="21"/>
              </w:rPr>
            </w:pPr>
            <w:r>
              <w:rPr>
                <w:color w:val="auto"/>
                <w:sz w:val="21"/>
                <w:lang w:bidi="ar"/>
              </w:rPr>
              <w:t>D3</w:t>
            </w:r>
          </w:p>
        </w:tc>
        <w:tc>
          <w:tcPr>
            <w:tcW w:w="1015" w:type="pct"/>
            <w:tcBorders>
              <w:top w:val="single" w:color="auto" w:sz="4" w:space="0"/>
              <w:left w:val="single" w:color="auto" w:sz="4" w:space="0"/>
              <w:bottom w:val="single" w:color="auto" w:sz="12" w:space="0"/>
              <w:right w:val="single" w:color="000000" w:sz="4" w:space="0"/>
            </w:tcBorders>
            <w:shd w:val="clear" w:color="auto" w:fill="auto"/>
            <w:vAlign w:val="center"/>
          </w:tcPr>
          <w:p w14:paraId="44587AE5">
            <w:pPr>
              <w:spacing w:line="240" w:lineRule="auto"/>
              <w:ind w:firstLine="0" w:firstLineChars="0"/>
              <w:jc w:val="center"/>
              <w:rPr>
                <w:color w:val="auto"/>
                <w:sz w:val="21"/>
              </w:rPr>
            </w:pPr>
            <w:r>
              <w:rPr>
                <w:color w:val="auto"/>
                <w:sz w:val="21"/>
                <w:lang w:bidi="ar"/>
              </w:rPr>
              <w:t>E2</w:t>
            </w:r>
          </w:p>
        </w:tc>
        <w:tc>
          <w:tcPr>
            <w:tcW w:w="1503" w:type="pct"/>
            <w:tcBorders>
              <w:top w:val="single" w:color="auto" w:sz="4" w:space="0"/>
              <w:left w:val="single" w:color="000000" w:sz="4" w:space="0"/>
              <w:bottom w:val="single" w:color="auto" w:sz="12" w:space="0"/>
              <w:right w:val="single" w:color="000000" w:sz="4" w:space="0"/>
            </w:tcBorders>
            <w:shd w:val="clear" w:color="auto" w:fill="auto"/>
            <w:vAlign w:val="center"/>
          </w:tcPr>
          <w:p w14:paraId="116F6A14">
            <w:pPr>
              <w:spacing w:line="240" w:lineRule="auto"/>
              <w:ind w:firstLine="0" w:firstLineChars="0"/>
              <w:jc w:val="center"/>
              <w:rPr>
                <w:color w:val="auto"/>
                <w:sz w:val="21"/>
              </w:rPr>
            </w:pPr>
            <w:r>
              <w:rPr>
                <w:color w:val="auto"/>
                <w:sz w:val="21"/>
                <w:lang w:bidi="ar"/>
              </w:rPr>
              <w:t>E3</w:t>
            </w:r>
          </w:p>
        </w:tc>
        <w:tc>
          <w:tcPr>
            <w:tcW w:w="1442" w:type="pct"/>
            <w:tcBorders>
              <w:top w:val="single" w:color="auto" w:sz="4" w:space="0"/>
              <w:left w:val="single" w:color="000000" w:sz="4" w:space="0"/>
              <w:bottom w:val="single" w:color="auto" w:sz="12" w:space="0"/>
              <w:right w:val="nil"/>
            </w:tcBorders>
            <w:shd w:val="clear" w:color="auto" w:fill="auto"/>
            <w:vAlign w:val="center"/>
          </w:tcPr>
          <w:p w14:paraId="7A452E4B">
            <w:pPr>
              <w:spacing w:line="240" w:lineRule="auto"/>
              <w:ind w:firstLine="0" w:firstLineChars="0"/>
              <w:jc w:val="center"/>
              <w:rPr>
                <w:color w:val="auto"/>
                <w:sz w:val="21"/>
              </w:rPr>
            </w:pPr>
            <w:r>
              <w:rPr>
                <w:color w:val="auto"/>
                <w:sz w:val="21"/>
                <w:lang w:bidi="ar"/>
              </w:rPr>
              <w:t>E3</w:t>
            </w:r>
          </w:p>
        </w:tc>
      </w:tr>
    </w:tbl>
    <w:p w14:paraId="7235A974">
      <w:pPr>
        <w:ind w:firstLine="482"/>
        <w:jc w:val="left"/>
        <w:rPr>
          <w:b/>
          <w:bCs/>
          <w:color w:val="auto"/>
          <w:lang w:bidi="ar"/>
        </w:rPr>
      </w:pPr>
      <w:r>
        <w:rPr>
          <w:rFonts w:hint="eastAsia" w:cs="宋体"/>
          <w:b/>
          <w:bCs/>
          <w:color w:val="auto"/>
          <w:lang w:bidi="ar"/>
        </w:rPr>
        <w:t>⑤环境风险潜势划分</w:t>
      </w:r>
    </w:p>
    <w:p w14:paraId="0FB2C1E0">
      <w:pPr>
        <w:ind w:firstLine="480"/>
        <w:rPr>
          <w:color w:val="auto"/>
          <w:lang w:bidi="ar"/>
        </w:rPr>
      </w:pPr>
      <w:r>
        <w:rPr>
          <w:rFonts w:hint="eastAsia" w:cs="宋体"/>
          <w:color w:val="auto"/>
          <w:lang w:bidi="ar"/>
        </w:rPr>
        <w:t>根据《建设项目环境风险评价技术导则》（</w:t>
      </w:r>
      <w:r>
        <w:rPr>
          <w:color w:val="auto"/>
          <w:lang w:bidi="ar"/>
        </w:rPr>
        <w:t>HJ169-2018</w:t>
      </w:r>
      <w:r>
        <w:rPr>
          <w:rFonts w:hint="eastAsia" w:cs="宋体"/>
          <w:color w:val="auto"/>
          <w:lang w:bidi="ar"/>
        </w:rPr>
        <w:t>）中关于建设项目环境风险潜势划分，详见表</w:t>
      </w:r>
      <w:r>
        <w:rPr>
          <w:color w:val="auto"/>
          <w:lang w:bidi="ar"/>
        </w:rPr>
        <w:t>2.</w:t>
      </w:r>
      <w:r>
        <w:rPr>
          <w:rFonts w:hint="eastAsia"/>
          <w:color w:val="auto"/>
          <w:lang w:bidi="ar"/>
        </w:rPr>
        <w:t>5.1-20</w:t>
      </w:r>
      <w:r>
        <w:rPr>
          <w:rFonts w:hint="eastAsia" w:cs="宋体"/>
          <w:color w:val="auto"/>
          <w:lang w:bidi="ar"/>
        </w:rPr>
        <w:t>。</w:t>
      </w:r>
    </w:p>
    <w:p w14:paraId="57C4763B">
      <w:pPr>
        <w:spacing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5.1-20</w:t>
      </w:r>
      <w:r>
        <w:rPr>
          <w:b/>
          <w:color w:val="auto"/>
          <w:lang w:bidi="ar"/>
        </w:rPr>
        <w:t xml:space="preserve">  </w:t>
      </w:r>
      <w:r>
        <w:rPr>
          <w:rFonts w:hint="eastAsia" w:cs="宋体"/>
          <w:b/>
          <w:color w:val="auto"/>
          <w:lang w:bidi="ar"/>
        </w:rPr>
        <w:t>建设项目环境风险潜势划分</w:t>
      </w:r>
    </w:p>
    <w:tbl>
      <w:tblPr>
        <w:tblStyle w:val="88"/>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55"/>
        <w:gridCol w:w="1855"/>
        <w:gridCol w:w="1855"/>
        <w:gridCol w:w="1869"/>
      </w:tblGrid>
      <w:tr w14:paraId="5938AC0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997" w:type="pct"/>
            <w:vMerge w:val="restart"/>
            <w:tcBorders>
              <w:top w:val="single" w:color="auto" w:sz="12" w:space="0"/>
              <w:left w:val="nil"/>
              <w:bottom w:val="single" w:color="auto" w:sz="4" w:space="0"/>
              <w:right w:val="single" w:color="auto" w:sz="4" w:space="0"/>
            </w:tcBorders>
            <w:shd w:val="clear" w:color="auto" w:fill="auto"/>
            <w:vAlign w:val="center"/>
          </w:tcPr>
          <w:p w14:paraId="26F896B1">
            <w:pPr>
              <w:spacing w:line="240" w:lineRule="auto"/>
              <w:ind w:firstLine="0" w:firstLineChars="0"/>
              <w:jc w:val="center"/>
              <w:rPr>
                <w:b/>
                <w:bCs/>
                <w:color w:val="auto"/>
                <w:sz w:val="21"/>
              </w:rPr>
            </w:pPr>
            <w:r>
              <w:rPr>
                <w:rFonts w:hint="eastAsia" w:cs="宋体"/>
                <w:b/>
                <w:bCs/>
                <w:color w:val="auto"/>
                <w:sz w:val="21"/>
                <w:lang w:bidi="ar"/>
              </w:rPr>
              <w:t>环境敏感程度（</w:t>
            </w:r>
            <w:r>
              <w:rPr>
                <w:b/>
                <w:bCs/>
                <w:color w:val="auto"/>
                <w:sz w:val="21"/>
                <w:lang w:bidi="ar"/>
              </w:rPr>
              <w:t>E</w:t>
            </w:r>
            <w:r>
              <w:rPr>
                <w:rFonts w:hint="eastAsia" w:cs="宋体"/>
                <w:b/>
                <w:bCs/>
                <w:color w:val="auto"/>
                <w:sz w:val="21"/>
                <w:lang w:bidi="ar"/>
              </w:rPr>
              <w:t>）</w:t>
            </w:r>
          </w:p>
        </w:tc>
        <w:tc>
          <w:tcPr>
            <w:tcW w:w="4002" w:type="pct"/>
            <w:gridSpan w:val="4"/>
            <w:tcBorders>
              <w:top w:val="single" w:color="auto" w:sz="12" w:space="0"/>
              <w:left w:val="single" w:color="auto" w:sz="4" w:space="0"/>
              <w:bottom w:val="single" w:color="auto" w:sz="4" w:space="0"/>
              <w:right w:val="nil"/>
            </w:tcBorders>
            <w:shd w:val="clear" w:color="auto" w:fill="auto"/>
            <w:vAlign w:val="center"/>
          </w:tcPr>
          <w:p w14:paraId="29B9D54D">
            <w:pPr>
              <w:spacing w:line="240" w:lineRule="auto"/>
              <w:ind w:firstLine="0" w:firstLineChars="0"/>
              <w:jc w:val="center"/>
              <w:rPr>
                <w:b/>
                <w:bCs/>
                <w:color w:val="auto"/>
                <w:sz w:val="21"/>
              </w:rPr>
            </w:pPr>
            <w:r>
              <w:rPr>
                <w:rFonts w:hint="eastAsia" w:cs="宋体"/>
                <w:b/>
                <w:bCs/>
                <w:color w:val="auto"/>
                <w:sz w:val="21"/>
                <w:lang w:bidi="ar"/>
              </w:rPr>
              <w:t>危险物质及工艺系数危险性（</w:t>
            </w:r>
            <w:r>
              <w:rPr>
                <w:b/>
                <w:bCs/>
                <w:color w:val="auto"/>
                <w:sz w:val="21"/>
                <w:lang w:bidi="ar"/>
              </w:rPr>
              <w:t>P</w:t>
            </w:r>
            <w:r>
              <w:rPr>
                <w:rFonts w:hint="eastAsia" w:cs="宋体"/>
                <w:b/>
                <w:bCs/>
                <w:color w:val="auto"/>
                <w:sz w:val="21"/>
                <w:lang w:bidi="ar"/>
              </w:rPr>
              <w:t>）</w:t>
            </w:r>
          </w:p>
        </w:tc>
      </w:tr>
      <w:tr w14:paraId="651B6D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997" w:type="pct"/>
            <w:vMerge w:val="continue"/>
            <w:tcBorders>
              <w:top w:val="single" w:color="auto" w:sz="12" w:space="0"/>
              <w:left w:val="nil"/>
              <w:bottom w:val="single" w:color="auto" w:sz="4" w:space="0"/>
              <w:right w:val="single" w:color="auto" w:sz="4" w:space="0"/>
            </w:tcBorders>
            <w:shd w:val="clear" w:color="auto" w:fill="auto"/>
            <w:vAlign w:val="center"/>
          </w:tcPr>
          <w:p w14:paraId="6E2BBC0A">
            <w:pPr>
              <w:ind w:firstLine="400"/>
              <w:rPr>
                <w:color w:val="auto"/>
                <w:sz w:val="20"/>
                <w:szCs w:val="20"/>
              </w:rPr>
            </w:pP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ED9BA61">
            <w:pPr>
              <w:autoSpaceDE w:val="0"/>
              <w:autoSpaceDN w:val="0"/>
              <w:spacing w:line="240" w:lineRule="auto"/>
              <w:ind w:firstLine="0" w:firstLineChars="0"/>
              <w:jc w:val="center"/>
              <w:rPr>
                <w:b/>
                <w:bCs/>
                <w:color w:val="auto"/>
                <w:sz w:val="21"/>
              </w:rPr>
            </w:pPr>
            <w:r>
              <w:rPr>
                <w:rFonts w:hint="eastAsia" w:cs="宋体"/>
                <w:b/>
                <w:bCs/>
                <w:color w:val="auto"/>
                <w:sz w:val="21"/>
                <w:lang w:bidi="ar"/>
              </w:rPr>
              <w:t>极高危害（</w:t>
            </w:r>
            <w:r>
              <w:rPr>
                <w:b/>
                <w:bCs/>
                <w:color w:val="auto"/>
                <w:sz w:val="21"/>
                <w:lang w:bidi="ar"/>
              </w:rPr>
              <w:t>P1</w:t>
            </w:r>
            <w:r>
              <w:rPr>
                <w:rFonts w:hint="eastAsia" w:cs="宋体"/>
                <w:b/>
                <w:bCs/>
                <w:color w:val="auto"/>
                <w:sz w:val="21"/>
                <w:lang w:bidi="ar"/>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21CFE0B3">
            <w:pPr>
              <w:autoSpaceDE w:val="0"/>
              <w:autoSpaceDN w:val="0"/>
              <w:spacing w:line="240" w:lineRule="auto"/>
              <w:ind w:firstLine="0" w:firstLineChars="0"/>
              <w:jc w:val="center"/>
              <w:rPr>
                <w:b/>
                <w:bCs/>
                <w:color w:val="auto"/>
                <w:sz w:val="21"/>
              </w:rPr>
            </w:pPr>
            <w:r>
              <w:rPr>
                <w:rFonts w:hint="eastAsia" w:cs="宋体"/>
                <w:b/>
                <w:bCs/>
                <w:color w:val="auto"/>
                <w:sz w:val="21"/>
                <w:lang w:bidi="ar"/>
              </w:rPr>
              <w:t>高度危害（</w:t>
            </w:r>
            <w:r>
              <w:rPr>
                <w:b/>
                <w:bCs/>
                <w:color w:val="auto"/>
                <w:sz w:val="21"/>
                <w:lang w:bidi="ar"/>
              </w:rPr>
              <w:t>P2</w:t>
            </w:r>
            <w:r>
              <w:rPr>
                <w:rFonts w:hint="eastAsia" w:cs="宋体"/>
                <w:b/>
                <w:bCs/>
                <w:color w:val="auto"/>
                <w:sz w:val="21"/>
                <w:lang w:bidi="ar"/>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3EEBF51D">
            <w:pPr>
              <w:spacing w:line="240" w:lineRule="auto"/>
              <w:ind w:firstLine="0" w:firstLineChars="0"/>
              <w:jc w:val="center"/>
              <w:rPr>
                <w:b/>
                <w:bCs/>
                <w:color w:val="auto"/>
                <w:sz w:val="21"/>
              </w:rPr>
            </w:pPr>
            <w:r>
              <w:rPr>
                <w:rFonts w:hint="eastAsia" w:cs="宋体"/>
                <w:b/>
                <w:bCs/>
                <w:color w:val="auto"/>
                <w:sz w:val="21"/>
                <w:lang w:bidi="ar"/>
              </w:rPr>
              <w:t>中度危害（</w:t>
            </w:r>
            <w:r>
              <w:rPr>
                <w:b/>
                <w:bCs/>
                <w:color w:val="auto"/>
                <w:sz w:val="21"/>
                <w:lang w:bidi="ar"/>
              </w:rPr>
              <w:t>P3</w:t>
            </w:r>
            <w:r>
              <w:rPr>
                <w:rFonts w:hint="eastAsia" w:cs="宋体"/>
                <w:b/>
                <w:bCs/>
                <w:color w:val="auto"/>
                <w:sz w:val="21"/>
                <w:lang w:bidi="ar"/>
              </w:rPr>
              <w:t>）</w:t>
            </w:r>
          </w:p>
        </w:tc>
        <w:tc>
          <w:tcPr>
            <w:tcW w:w="1003" w:type="pct"/>
            <w:tcBorders>
              <w:top w:val="single" w:color="auto" w:sz="4" w:space="0"/>
              <w:left w:val="single" w:color="auto" w:sz="4" w:space="0"/>
              <w:bottom w:val="single" w:color="auto" w:sz="4" w:space="0"/>
              <w:right w:val="nil"/>
            </w:tcBorders>
            <w:shd w:val="clear" w:color="auto" w:fill="auto"/>
            <w:vAlign w:val="center"/>
          </w:tcPr>
          <w:p w14:paraId="7D273B50">
            <w:pPr>
              <w:spacing w:line="240" w:lineRule="auto"/>
              <w:ind w:firstLine="0" w:firstLineChars="0"/>
              <w:jc w:val="center"/>
              <w:rPr>
                <w:b/>
                <w:bCs/>
                <w:color w:val="auto"/>
                <w:sz w:val="21"/>
              </w:rPr>
            </w:pPr>
            <w:r>
              <w:rPr>
                <w:rFonts w:hint="eastAsia" w:cs="宋体"/>
                <w:b/>
                <w:bCs/>
                <w:color w:val="auto"/>
                <w:sz w:val="21"/>
                <w:lang w:bidi="ar"/>
              </w:rPr>
              <w:t>轻度危害（</w:t>
            </w:r>
            <w:r>
              <w:rPr>
                <w:b/>
                <w:bCs/>
                <w:color w:val="auto"/>
                <w:sz w:val="21"/>
                <w:lang w:bidi="ar"/>
              </w:rPr>
              <w:t>P4</w:t>
            </w:r>
            <w:r>
              <w:rPr>
                <w:rFonts w:hint="eastAsia" w:cs="宋体"/>
                <w:b/>
                <w:bCs/>
                <w:color w:val="auto"/>
                <w:sz w:val="21"/>
                <w:lang w:bidi="ar"/>
              </w:rPr>
              <w:t>）</w:t>
            </w:r>
          </w:p>
        </w:tc>
      </w:tr>
      <w:tr w14:paraId="5B7F9E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997" w:type="pct"/>
            <w:tcBorders>
              <w:top w:val="single" w:color="auto" w:sz="4" w:space="0"/>
              <w:left w:val="nil"/>
              <w:bottom w:val="single" w:color="auto" w:sz="4" w:space="0"/>
              <w:right w:val="single" w:color="auto" w:sz="4" w:space="0"/>
            </w:tcBorders>
            <w:shd w:val="clear" w:color="auto" w:fill="auto"/>
            <w:vAlign w:val="center"/>
          </w:tcPr>
          <w:p w14:paraId="68519BA8">
            <w:pPr>
              <w:spacing w:line="240" w:lineRule="auto"/>
              <w:ind w:firstLine="0" w:firstLineChars="0"/>
              <w:jc w:val="center"/>
              <w:rPr>
                <w:color w:val="auto"/>
                <w:sz w:val="21"/>
              </w:rPr>
            </w:pPr>
            <w:r>
              <w:rPr>
                <w:rFonts w:hint="eastAsia" w:cs="宋体"/>
                <w:color w:val="auto"/>
                <w:sz w:val="21"/>
                <w:lang w:bidi="ar"/>
              </w:rPr>
              <w:t>环境高度敏感（</w:t>
            </w:r>
            <w:r>
              <w:rPr>
                <w:color w:val="auto"/>
                <w:sz w:val="21"/>
                <w:lang w:bidi="ar"/>
              </w:rPr>
              <w:t>E1</w:t>
            </w:r>
            <w:r>
              <w:rPr>
                <w:rFonts w:hint="eastAsia" w:cs="宋体"/>
                <w:color w:val="auto"/>
                <w:sz w:val="21"/>
                <w:lang w:bidi="ar"/>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DCD71F9">
            <w:pPr>
              <w:spacing w:line="240" w:lineRule="auto"/>
              <w:ind w:firstLine="0" w:firstLineChars="0"/>
              <w:jc w:val="center"/>
              <w:rPr>
                <w:color w:val="auto"/>
                <w:sz w:val="21"/>
              </w:rPr>
            </w:pPr>
            <w:r>
              <w:rPr>
                <w:color w:val="auto"/>
                <w:sz w:val="21"/>
                <w:lang w:bidi="ar"/>
              </w:rPr>
              <w:t>Ⅳ</w:t>
            </w:r>
            <w:r>
              <w:rPr>
                <w:color w:val="auto"/>
                <w:sz w:val="21"/>
                <w:vertAlign w:val="superscript"/>
                <w:lang w:bidi="ar"/>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6D9A0D2F">
            <w:pPr>
              <w:spacing w:line="240" w:lineRule="auto"/>
              <w:ind w:firstLine="0" w:firstLineChars="0"/>
              <w:jc w:val="center"/>
              <w:rPr>
                <w:color w:val="auto"/>
                <w:sz w:val="21"/>
              </w:rPr>
            </w:pPr>
            <w:r>
              <w:rPr>
                <w:color w:val="auto"/>
                <w:sz w:val="21"/>
                <w:lang w:bidi="ar"/>
              </w:rPr>
              <w:t>Ⅳ</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49F8B8F6">
            <w:pPr>
              <w:spacing w:line="240" w:lineRule="auto"/>
              <w:ind w:firstLine="0" w:firstLineChars="0"/>
              <w:jc w:val="center"/>
              <w:rPr>
                <w:color w:val="auto"/>
                <w:sz w:val="21"/>
              </w:rPr>
            </w:pPr>
            <w:r>
              <w:rPr>
                <w:color w:val="auto"/>
                <w:sz w:val="21"/>
                <w:lang w:bidi="ar"/>
              </w:rPr>
              <w:t>Ⅲ</w:t>
            </w:r>
          </w:p>
        </w:tc>
        <w:tc>
          <w:tcPr>
            <w:tcW w:w="1003" w:type="pct"/>
            <w:tcBorders>
              <w:top w:val="single" w:color="auto" w:sz="4" w:space="0"/>
              <w:left w:val="single" w:color="auto" w:sz="4" w:space="0"/>
              <w:bottom w:val="single" w:color="auto" w:sz="4" w:space="0"/>
              <w:right w:val="nil"/>
            </w:tcBorders>
            <w:shd w:val="clear" w:color="auto" w:fill="E7E6E6" w:themeFill="background2"/>
            <w:vAlign w:val="center"/>
          </w:tcPr>
          <w:p w14:paraId="65DC9CFE">
            <w:pPr>
              <w:spacing w:line="240" w:lineRule="auto"/>
              <w:ind w:firstLine="0" w:firstLineChars="0"/>
              <w:jc w:val="center"/>
              <w:rPr>
                <w:color w:val="auto"/>
                <w:sz w:val="21"/>
              </w:rPr>
            </w:pPr>
            <w:r>
              <w:rPr>
                <w:color w:val="auto"/>
                <w:sz w:val="21"/>
                <w:lang w:bidi="ar"/>
              </w:rPr>
              <w:t>Ⅲ</w:t>
            </w:r>
          </w:p>
        </w:tc>
      </w:tr>
      <w:tr w14:paraId="4FFD91A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997" w:type="pct"/>
            <w:tcBorders>
              <w:top w:val="single" w:color="auto" w:sz="4" w:space="0"/>
              <w:left w:val="nil"/>
              <w:bottom w:val="single" w:color="auto" w:sz="4" w:space="0"/>
              <w:right w:val="single" w:color="auto" w:sz="4" w:space="0"/>
            </w:tcBorders>
            <w:shd w:val="clear" w:color="auto" w:fill="auto"/>
            <w:vAlign w:val="center"/>
          </w:tcPr>
          <w:p w14:paraId="49E23A5E">
            <w:pPr>
              <w:spacing w:line="240" w:lineRule="auto"/>
              <w:ind w:firstLine="0" w:firstLineChars="0"/>
              <w:jc w:val="center"/>
              <w:rPr>
                <w:color w:val="auto"/>
                <w:sz w:val="21"/>
              </w:rPr>
            </w:pPr>
            <w:r>
              <w:rPr>
                <w:rFonts w:hint="eastAsia" w:cs="宋体"/>
                <w:color w:val="auto"/>
                <w:sz w:val="21"/>
                <w:lang w:bidi="ar"/>
              </w:rPr>
              <w:t>环境中度敏感（</w:t>
            </w:r>
            <w:r>
              <w:rPr>
                <w:color w:val="auto"/>
                <w:sz w:val="21"/>
                <w:lang w:bidi="ar"/>
              </w:rPr>
              <w:t>E2</w:t>
            </w:r>
            <w:r>
              <w:rPr>
                <w:rFonts w:hint="eastAsia" w:cs="宋体"/>
                <w:color w:val="auto"/>
                <w:sz w:val="21"/>
                <w:lang w:bidi="ar"/>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06E614F3">
            <w:pPr>
              <w:spacing w:line="240" w:lineRule="auto"/>
              <w:ind w:firstLine="0" w:firstLineChars="0"/>
              <w:jc w:val="center"/>
              <w:rPr>
                <w:color w:val="auto"/>
                <w:sz w:val="21"/>
              </w:rPr>
            </w:pPr>
            <w:r>
              <w:rPr>
                <w:color w:val="auto"/>
                <w:sz w:val="21"/>
                <w:lang w:bidi="ar"/>
              </w:rPr>
              <w:t>Ⅳ</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43BE57DD">
            <w:pPr>
              <w:spacing w:line="240" w:lineRule="auto"/>
              <w:ind w:firstLine="0" w:firstLineChars="0"/>
              <w:jc w:val="center"/>
              <w:rPr>
                <w:color w:val="auto"/>
                <w:sz w:val="21"/>
              </w:rPr>
            </w:pPr>
            <w:r>
              <w:rPr>
                <w:color w:val="auto"/>
                <w:sz w:val="21"/>
                <w:lang w:bidi="ar"/>
              </w:rPr>
              <w:t>Ⅲ</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783D8BDA">
            <w:pPr>
              <w:spacing w:line="240" w:lineRule="auto"/>
              <w:ind w:firstLine="0" w:firstLineChars="0"/>
              <w:jc w:val="center"/>
              <w:rPr>
                <w:color w:val="auto"/>
                <w:sz w:val="21"/>
              </w:rPr>
            </w:pPr>
            <w:r>
              <w:rPr>
                <w:color w:val="auto"/>
                <w:sz w:val="21"/>
                <w:lang w:bidi="ar"/>
              </w:rPr>
              <w:t>Ⅲ</w:t>
            </w:r>
          </w:p>
        </w:tc>
        <w:tc>
          <w:tcPr>
            <w:tcW w:w="1003" w:type="pct"/>
            <w:tcBorders>
              <w:top w:val="single" w:color="auto" w:sz="4" w:space="0"/>
              <w:left w:val="single" w:color="auto" w:sz="4" w:space="0"/>
              <w:bottom w:val="single" w:color="auto" w:sz="4" w:space="0"/>
              <w:right w:val="nil"/>
            </w:tcBorders>
            <w:shd w:val="clear" w:color="auto" w:fill="auto"/>
            <w:vAlign w:val="center"/>
          </w:tcPr>
          <w:p w14:paraId="6C2B30D7">
            <w:pPr>
              <w:spacing w:line="240" w:lineRule="auto"/>
              <w:ind w:firstLine="0" w:firstLineChars="0"/>
              <w:jc w:val="center"/>
              <w:rPr>
                <w:color w:val="auto"/>
                <w:sz w:val="21"/>
              </w:rPr>
            </w:pPr>
            <w:r>
              <w:rPr>
                <w:color w:val="auto"/>
                <w:sz w:val="21"/>
                <w:lang w:bidi="ar"/>
              </w:rPr>
              <w:t>Ⅱ</w:t>
            </w:r>
          </w:p>
        </w:tc>
      </w:tr>
      <w:tr w14:paraId="7D95A61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997" w:type="pct"/>
            <w:tcBorders>
              <w:top w:val="single" w:color="auto" w:sz="4" w:space="0"/>
              <w:left w:val="nil"/>
              <w:bottom w:val="single" w:color="auto" w:sz="4" w:space="0"/>
              <w:right w:val="single" w:color="auto" w:sz="4" w:space="0"/>
            </w:tcBorders>
            <w:shd w:val="clear" w:color="auto" w:fill="auto"/>
            <w:vAlign w:val="center"/>
          </w:tcPr>
          <w:p w14:paraId="4DCA9780">
            <w:pPr>
              <w:spacing w:line="240" w:lineRule="auto"/>
              <w:ind w:firstLine="0" w:firstLineChars="0"/>
              <w:jc w:val="center"/>
              <w:rPr>
                <w:color w:val="auto"/>
                <w:sz w:val="21"/>
              </w:rPr>
            </w:pPr>
            <w:r>
              <w:rPr>
                <w:rFonts w:hint="eastAsia" w:cs="宋体"/>
                <w:color w:val="auto"/>
                <w:sz w:val="21"/>
                <w:lang w:bidi="ar"/>
              </w:rPr>
              <w:t>环境低度敏感（</w:t>
            </w:r>
            <w:r>
              <w:rPr>
                <w:color w:val="auto"/>
                <w:sz w:val="21"/>
                <w:lang w:bidi="ar"/>
              </w:rPr>
              <w:t>E3</w:t>
            </w:r>
            <w:r>
              <w:rPr>
                <w:rFonts w:hint="eastAsia" w:cs="宋体"/>
                <w:color w:val="auto"/>
                <w:sz w:val="21"/>
                <w:lang w:bidi="ar"/>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7022FACA">
            <w:pPr>
              <w:spacing w:line="240" w:lineRule="auto"/>
              <w:ind w:firstLine="0" w:firstLineChars="0"/>
              <w:jc w:val="center"/>
              <w:rPr>
                <w:color w:val="auto"/>
                <w:sz w:val="21"/>
              </w:rPr>
            </w:pPr>
            <w:r>
              <w:rPr>
                <w:color w:val="auto"/>
                <w:sz w:val="21"/>
                <w:lang w:bidi="ar"/>
              </w:rPr>
              <w:t>Ⅲ</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08FC09CD">
            <w:pPr>
              <w:spacing w:line="240" w:lineRule="auto"/>
              <w:ind w:firstLine="0" w:firstLineChars="0"/>
              <w:jc w:val="center"/>
              <w:rPr>
                <w:color w:val="auto"/>
                <w:sz w:val="21"/>
              </w:rPr>
            </w:pPr>
            <w:r>
              <w:rPr>
                <w:color w:val="auto"/>
                <w:sz w:val="21"/>
                <w:lang w:bidi="ar"/>
              </w:rPr>
              <w:t>Ⅲ</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4810BF09">
            <w:pPr>
              <w:spacing w:line="240" w:lineRule="auto"/>
              <w:ind w:firstLine="0" w:firstLineChars="0"/>
              <w:jc w:val="center"/>
              <w:rPr>
                <w:color w:val="auto"/>
                <w:sz w:val="21"/>
              </w:rPr>
            </w:pPr>
            <w:r>
              <w:rPr>
                <w:color w:val="auto"/>
                <w:sz w:val="21"/>
                <w:lang w:bidi="ar"/>
              </w:rPr>
              <w:t>Ⅱ</w:t>
            </w:r>
          </w:p>
        </w:tc>
        <w:tc>
          <w:tcPr>
            <w:tcW w:w="1003" w:type="pct"/>
            <w:tcBorders>
              <w:top w:val="single" w:color="auto" w:sz="4" w:space="0"/>
              <w:left w:val="single" w:color="auto" w:sz="4" w:space="0"/>
              <w:bottom w:val="single" w:color="auto" w:sz="4" w:space="0"/>
              <w:right w:val="nil"/>
            </w:tcBorders>
            <w:shd w:val="clear" w:color="auto" w:fill="E7E6E6" w:themeFill="background2"/>
            <w:vAlign w:val="center"/>
          </w:tcPr>
          <w:p w14:paraId="457D93A3">
            <w:pPr>
              <w:spacing w:line="240" w:lineRule="auto"/>
              <w:ind w:firstLine="0" w:firstLineChars="0"/>
              <w:jc w:val="center"/>
              <w:rPr>
                <w:color w:val="auto"/>
                <w:sz w:val="21"/>
              </w:rPr>
            </w:pPr>
            <w:r>
              <w:rPr>
                <w:color w:val="auto"/>
                <w:sz w:val="21"/>
                <w:lang w:bidi="ar"/>
              </w:rPr>
              <w:t>Ⅰ</w:t>
            </w:r>
          </w:p>
        </w:tc>
      </w:tr>
      <w:tr w14:paraId="6B24B37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nil"/>
              <w:bottom w:val="single" w:color="auto" w:sz="12" w:space="0"/>
              <w:right w:val="nil"/>
            </w:tcBorders>
            <w:shd w:val="clear" w:color="auto" w:fill="auto"/>
            <w:vAlign w:val="center"/>
          </w:tcPr>
          <w:p w14:paraId="71126E77">
            <w:pPr>
              <w:spacing w:line="240" w:lineRule="auto"/>
              <w:ind w:firstLine="0" w:firstLineChars="0"/>
              <w:rPr>
                <w:color w:val="auto"/>
                <w:sz w:val="21"/>
              </w:rPr>
            </w:pPr>
            <w:r>
              <w:rPr>
                <w:rFonts w:hint="eastAsia" w:cs="宋体"/>
                <w:color w:val="auto"/>
                <w:sz w:val="21"/>
                <w:lang w:bidi="ar"/>
              </w:rPr>
              <w:t>注：</w:t>
            </w:r>
            <w:r>
              <w:rPr>
                <w:color w:val="auto"/>
                <w:sz w:val="21"/>
                <w:lang w:bidi="ar"/>
              </w:rPr>
              <w:t>Ⅳ</w:t>
            </w:r>
            <w:r>
              <w:rPr>
                <w:color w:val="auto"/>
                <w:sz w:val="21"/>
                <w:vertAlign w:val="superscript"/>
                <w:lang w:bidi="ar"/>
              </w:rPr>
              <w:t>+</w:t>
            </w:r>
            <w:r>
              <w:rPr>
                <w:rFonts w:hint="eastAsia" w:cs="宋体"/>
                <w:color w:val="auto"/>
                <w:sz w:val="21"/>
                <w:lang w:bidi="ar"/>
              </w:rPr>
              <w:t>为极高环境风险</w:t>
            </w:r>
          </w:p>
        </w:tc>
      </w:tr>
    </w:tbl>
    <w:p w14:paraId="7A055C74">
      <w:pPr>
        <w:ind w:firstLine="480"/>
        <w:rPr>
          <w:color w:val="auto"/>
        </w:rPr>
      </w:pPr>
      <w:r>
        <w:rPr>
          <w:rFonts w:hint="eastAsia"/>
          <w:color w:val="auto"/>
        </w:rPr>
        <w:t>根据上述分析，本项目为中度危害（</w:t>
      </w:r>
      <w:r>
        <w:rPr>
          <w:color w:val="auto"/>
        </w:rPr>
        <w:t>P3</w:t>
      </w:r>
      <w:r>
        <w:rPr>
          <w:rFonts w:hint="eastAsia"/>
          <w:color w:val="auto"/>
        </w:rPr>
        <w:t>），根据《建设项目环境风险评价技术导则》（</w:t>
      </w:r>
      <w:r>
        <w:rPr>
          <w:color w:val="auto"/>
        </w:rPr>
        <w:t>HJ 169-2018</w:t>
      </w:r>
      <w:r>
        <w:rPr>
          <w:rFonts w:hint="eastAsia"/>
          <w:color w:val="auto"/>
        </w:rPr>
        <w:t>），建设项目环境风险评价工作各环境要素环境风险潜势划分详见下表</w:t>
      </w:r>
      <w:r>
        <w:rPr>
          <w:color w:val="auto"/>
        </w:rPr>
        <w:t>2.</w:t>
      </w:r>
      <w:r>
        <w:rPr>
          <w:rFonts w:hint="eastAsia"/>
          <w:color w:val="auto"/>
        </w:rPr>
        <w:t>5.1-21。</w:t>
      </w:r>
    </w:p>
    <w:p w14:paraId="3AB8BCF6">
      <w:pPr>
        <w:spacing w:line="240" w:lineRule="auto"/>
        <w:ind w:firstLine="0" w:firstLineChars="0"/>
        <w:jc w:val="center"/>
        <w:rPr>
          <w:b/>
          <w:color w:val="auto"/>
        </w:rPr>
      </w:pPr>
      <w:r>
        <w:rPr>
          <w:rFonts w:hint="eastAsia" w:cs="宋体"/>
          <w:b/>
          <w:color w:val="auto"/>
          <w:lang w:bidi="ar"/>
        </w:rPr>
        <w:t>表</w:t>
      </w:r>
      <w:r>
        <w:rPr>
          <w:b/>
          <w:color w:val="auto"/>
          <w:lang w:bidi="ar"/>
        </w:rPr>
        <w:t>2.</w:t>
      </w:r>
      <w:r>
        <w:rPr>
          <w:rFonts w:hint="eastAsia"/>
          <w:b/>
          <w:color w:val="auto"/>
          <w:lang w:bidi="ar"/>
        </w:rPr>
        <w:t>5.1-21</w:t>
      </w:r>
      <w:r>
        <w:rPr>
          <w:b/>
          <w:color w:val="auto"/>
          <w:lang w:bidi="ar"/>
        </w:rPr>
        <w:t xml:space="preserve">  </w:t>
      </w:r>
      <w:r>
        <w:rPr>
          <w:rFonts w:hint="eastAsia" w:cs="宋体"/>
          <w:b/>
          <w:color w:val="auto"/>
          <w:lang w:bidi="ar"/>
        </w:rPr>
        <w:t>本项目各要素环境风险潜势及评价工作等级</w:t>
      </w:r>
    </w:p>
    <w:tbl>
      <w:tblPr>
        <w:tblStyle w:val="88"/>
        <w:tblW w:w="4999"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098"/>
        <w:gridCol w:w="3101"/>
      </w:tblGrid>
      <w:tr w14:paraId="24C34F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661" w:type="pct"/>
            <w:tcBorders>
              <w:top w:val="single" w:color="auto" w:sz="12" w:space="0"/>
              <w:left w:val="nil"/>
              <w:bottom w:val="single" w:color="auto" w:sz="4" w:space="0"/>
              <w:right w:val="single" w:color="auto" w:sz="4" w:space="0"/>
            </w:tcBorders>
            <w:shd w:val="clear" w:color="auto" w:fill="auto"/>
            <w:vAlign w:val="center"/>
          </w:tcPr>
          <w:p w14:paraId="5C35F5B8">
            <w:pPr>
              <w:spacing w:line="240" w:lineRule="auto"/>
              <w:ind w:firstLine="0" w:firstLineChars="0"/>
              <w:jc w:val="center"/>
              <w:rPr>
                <w:b/>
                <w:bCs/>
                <w:color w:val="auto"/>
                <w:sz w:val="21"/>
              </w:rPr>
            </w:pPr>
            <w:r>
              <w:rPr>
                <w:rFonts w:hint="eastAsia" w:cs="宋体"/>
                <w:b/>
                <w:bCs/>
                <w:color w:val="auto"/>
                <w:sz w:val="21"/>
                <w:lang w:bidi="ar"/>
              </w:rPr>
              <w:t>环境要素</w:t>
            </w:r>
          </w:p>
        </w:tc>
        <w:tc>
          <w:tcPr>
            <w:tcW w:w="1668" w:type="pct"/>
            <w:tcBorders>
              <w:top w:val="single" w:color="auto" w:sz="12" w:space="0"/>
              <w:left w:val="single" w:color="auto" w:sz="4" w:space="0"/>
              <w:bottom w:val="single" w:color="auto" w:sz="4" w:space="0"/>
              <w:right w:val="single" w:color="auto" w:sz="4" w:space="0"/>
            </w:tcBorders>
            <w:shd w:val="clear" w:color="auto" w:fill="auto"/>
            <w:vAlign w:val="center"/>
          </w:tcPr>
          <w:p w14:paraId="1D207135">
            <w:pPr>
              <w:spacing w:line="240" w:lineRule="auto"/>
              <w:ind w:firstLine="0" w:firstLineChars="0"/>
              <w:jc w:val="center"/>
              <w:rPr>
                <w:b/>
                <w:bCs/>
                <w:color w:val="auto"/>
                <w:sz w:val="21"/>
              </w:rPr>
            </w:pPr>
            <w:r>
              <w:rPr>
                <w:rFonts w:hint="eastAsia" w:cs="宋体"/>
                <w:b/>
                <w:bCs/>
                <w:color w:val="auto"/>
                <w:sz w:val="21"/>
                <w:lang w:bidi="ar"/>
              </w:rPr>
              <w:t>环境风险潜势</w:t>
            </w:r>
          </w:p>
        </w:tc>
        <w:tc>
          <w:tcPr>
            <w:tcW w:w="1669" w:type="pct"/>
            <w:tcBorders>
              <w:top w:val="single" w:color="auto" w:sz="12" w:space="0"/>
              <w:left w:val="single" w:color="auto" w:sz="4" w:space="0"/>
              <w:bottom w:val="single" w:color="auto" w:sz="4" w:space="0"/>
              <w:right w:val="nil"/>
            </w:tcBorders>
            <w:shd w:val="clear" w:color="auto" w:fill="auto"/>
            <w:vAlign w:val="center"/>
          </w:tcPr>
          <w:p w14:paraId="00A3BE2C">
            <w:pPr>
              <w:spacing w:line="240" w:lineRule="auto"/>
              <w:ind w:firstLine="0" w:firstLineChars="0"/>
              <w:jc w:val="center"/>
              <w:rPr>
                <w:b/>
                <w:bCs/>
                <w:color w:val="auto"/>
                <w:sz w:val="21"/>
              </w:rPr>
            </w:pPr>
            <w:r>
              <w:rPr>
                <w:rFonts w:hint="eastAsia" w:cs="宋体"/>
                <w:b/>
                <w:bCs/>
                <w:color w:val="auto"/>
                <w:sz w:val="21"/>
                <w:lang w:bidi="ar"/>
              </w:rPr>
              <w:t>评价工作等级</w:t>
            </w:r>
          </w:p>
        </w:tc>
      </w:tr>
      <w:tr w14:paraId="051023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661" w:type="pct"/>
            <w:tcBorders>
              <w:top w:val="single" w:color="auto" w:sz="4" w:space="0"/>
              <w:left w:val="nil"/>
              <w:bottom w:val="single" w:color="auto" w:sz="4" w:space="0"/>
              <w:right w:val="single" w:color="auto" w:sz="4" w:space="0"/>
            </w:tcBorders>
            <w:shd w:val="clear" w:color="auto" w:fill="auto"/>
            <w:vAlign w:val="center"/>
          </w:tcPr>
          <w:p w14:paraId="73BFD18C">
            <w:pPr>
              <w:spacing w:line="240" w:lineRule="auto"/>
              <w:ind w:firstLine="0" w:firstLineChars="0"/>
              <w:jc w:val="center"/>
              <w:rPr>
                <w:color w:val="auto"/>
                <w:sz w:val="21"/>
              </w:rPr>
            </w:pPr>
            <w:r>
              <w:rPr>
                <w:rFonts w:hint="eastAsia" w:cs="宋体"/>
                <w:color w:val="auto"/>
                <w:sz w:val="21"/>
                <w:lang w:bidi="ar"/>
              </w:rPr>
              <w:t>大气</w:t>
            </w:r>
          </w:p>
        </w:tc>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14:paraId="20D6D96A">
            <w:pPr>
              <w:spacing w:line="240" w:lineRule="auto"/>
              <w:ind w:firstLine="0" w:firstLineChars="0"/>
              <w:jc w:val="center"/>
              <w:rPr>
                <w:color w:val="auto"/>
                <w:sz w:val="21"/>
              </w:rPr>
            </w:pPr>
            <w:r>
              <w:rPr>
                <w:color w:val="auto"/>
                <w:sz w:val="21"/>
                <w:lang w:bidi="ar"/>
              </w:rPr>
              <w:t>Ⅲ</w:t>
            </w:r>
          </w:p>
        </w:tc>
        <w:tc>
          <w:tcPr>
            <w:tcW w:w="1669" w:type="pct"/>
            <w:tcBorders>
              <w:top w:val="single" w:color="auto" w:sz="4" w:space="0"/>
              <w:left w:val="single" w:color="auto" w:sz="4" w:space="0"/>
              <w:bottom w:val="single" w:color="auto" w:sz="4" w:space="0"/>
              <w:right w:val="nil"/>
            </w:tcBorders>
            <w:shd w:val="clear" w:color="auto" w:fill="auto"/>
            <w:vAlign w:val="center"/>
          </w:tcPr>
          <w:p w14:paraId="6D5F88CD">
            <w:pPr>
              <w:spacing w:line="240" w:lineRule="auto"/>
              <w:ind w:firstLine="0" w:firstLineChars="0"/>
              <w:jc w:val="center"/>
              <w:rPr>
                <w:color w:val="auto"/>
                <w:sz w:val="21"/>
              </w:rPr>
            </w:pPr>
            <w:r>
              <w:rPr>
                <w:rFonts w:hint="eastAsia" w:cs="宋体"/>
                <w:color w:val="auto"/>
                <w:sz w:val="21"/>
                <w:lang w:bidi="ar"/>
              </w:rPr>
              <w:t>二级</w:t>
            </w:r>
          </w:p>
        </w:tc>
      </w:tr>
      <w:tr w14:paraId="7387151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661" w:type="pct"/>
            <w:tcBorders>
              <w:top w:val="single" w:color="auto" w:sz="4" w:space="0"/>
              <w:left w:val="nil"/>
              <w:bottom w:val="single" w:color="auto" w:sz="4" w:space="0"/>
              <w:right w:val="single" w:color="auto" w:sz="4" w:space="0"/>
            </w:tcBorders>
            <w:shd w:val="clear" w:color="auto" w:fill="auto"/>
            <w:vAlign w:val="center"/>
          </w:tcPr>
          <w:p w14:paraId="57383937">
            <w:pPr>
              <w:spacing w:line="240" w:lineRule="auto"/>
              <w:ind w:firstLine="0" w:firstLineChars="0"/>
              <w:jc w:val="center"/>
              <w:rPr>
                <w:color w:val="auto"/>
                <w:sz w:val="21"/>
              </w:rPr>
            </w:pPr>
            <w:r>
              <w:rPr>
                <w:rFonts w:hint="eastAsia" w:cs="宋体"/>
                <w:color w:val="auto"/>
                <w:sz w:val="21"/>
                <w:lang w:bidi="ar"/>
              </w:rPr>
              <w:t>地表水</w:t>
            </w:r>
          </w:p>
        </w:tc>
        <w:tc>
          <w:tcPr>
            <w:tcW w:w="1668" w:type="pct"/>
            <w:tcBorders>
              <w:top w:val="single" w:color="auto" w:sz="4" w:space="0"/>
              <w:left w:val="single" w:color="auto" w:sz="4" w:space="0"/>
              <w:bottom w:val="single" w:color="auto" w:sz="4" w:space="0"/>
              <w:right w:val="single" w:color="auto" w:sz="4" w:space="0"/>
            </w:tcBorders>
            <w:shd w:val="clear" w:color="auto" w:fill="auto"/>
            <w:vAlign w:val="center"/>
          </w:tcPr>
          <w:p w14:paraId="22F7E33A">
            <w:pPr>
              <w:spacing w:line="240" w:lineRule="auto"/>
              <w:ind w:firstLine="0" w:firstLineChars="0"/>
              <w:jc w:val="center"/>
              <w:rPr>
                <w:color w:val="auto"/>
                <w:sz w:val="21"/>
              </w:rPr>
            </w:pPr>
            <w:r>
              <w:rPr>
                <w:rFonts w:hint="eastAsia"/>
                <w:color w:val="auto"/>
                <w:sz w:val="21"/>
                <w:lang w:bidi="ar"/>
              </w:rPr>
              <w:t>I</w:t>
            </w:r>
          </w:p>
        </w:tc>
        <w:tc>
          <w:tcPr>
            <w:tcW w:w="1669" w:type="pct"/>
            <w:tcBorders>
              <w:top w:val="single" w:color="auto" w:sz="4" w:space="0"/>
              <w:left w:val="single" w:color="auto" w:sz="4" w:space="0"/>
              <w:bottom w:val="single" w:color="auto" w:sz="4" w:space="0"/>
              <w:right w:val="nil"/>
            </w:tcBorders>
            <w:shd w:val="clear" w:color="auto" w:fill="auto"/>
            <w:vAlign w:val="center"/>
          </w:tcPr>
          <w:p w14:paraId="1AD4DF4C">
            <w:pPr>
              <w:spacing w:line="240" w:lineRule="auto"/>
              <w:ind w:firstLine="0" w:firstLineChars="0"/>
              <w:jc w:val="center"/>
              <w:rPr>
                <w:color w:val="auto"/>
                <w:sz w:val="21"/>
              </w:rPr>
            </w:pPr>
            <w:r>
              <w:rPr>
                <w:rFonts w:hint="eastAsia"/>
                <w:color w:val="auto"/>
                <w:sz w:val="21"/>
              </w:rPr>
              <w:t>简单分析</w:t>
            </w:r>
          </w:p>
        </w:tc>
      </w:tr>
      <w:tr w14:paraId="5D0D80D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661" w:type="pct"/>
            <w:tcBorders>
              <w:top w:val="single" w:color="auto" w:sz="4" w:space="0"/>
              <w:left w:val="nil"/>
              <w:bottom w:val="single" w:color="auto" w:sz="12" w:space="0"/>
              <w:right w:val="single" w:color="auto" w:sz="4" w:space="0"/>
            </w:tcBorders>
            <w:shd w:val="clear" w:color="auto" w:fill="auto"/>
            <w:vAlign w:val="center"/>
          </w:tcPr>
          <w:p w14:paraId="203FF855">
            <w:pPr>
              <w:spacing w:line="240" w:lineRule="auto"/>
              <w:ind w:firstLine="0" w:firstLineChars="0"/>
              <w:jc w:val="center"/>
              <w:rPr>
                <w:color w:val="auto"/>
                <w:sz w:val="21"/>
              </w:rPr>
            </w:pPr>
            <w:r>
              <w:rPr>
                <w:rFonts w:hint="eastAsia" w:cs="宋体"/>
                <w:color w:val="auto"/>
                <w:sz w:val="21"/>
                <w:lang w:bidi="ar"/>
              </w:rPr>
              <w:t>地下水</w:t>
            </w:r>
          </w:p>
        </w:tc>
        <w:tc>
          <w:tcPr>
            <w:tcW w:w="1668" w:type="pct"/>
            <w:tcBorders>
              <w:top w:val="single" w:color="auto" w:sz="4" w:space="0"/>
              <w:left w:val="single" w:color="auto" w:sz="4" w:space="0"/>
              <w:bottom w:val="single" w:color="auto" w:sz="12" w:space="0"/>
              <w:right w:val="single" w:color="auto" w:sz="4" w:space="0"/>
            </w:tcBorders>
            <w:shd w:val="clear" w:color="auto" w:fill="auto"/>
            <w:vAlign w:val="center"/>
          </w:tcPr>
          <w:p w14:paraId="51268F8C">
            <w:pPr>
              <w:spacing w:line="240" w:lineRule="auto"/>
              <w:ind w:firstLine="0" w:firstLineChars="0"/>
              <w:jc w:val="center"/>
              <w:rPr>
                <w:color w:val="auto"/>
                <w:sz w:val="21"/>
              </w:rPr>
            </w:pPr>
            <w:r>
              <w:rPr>
                <w:rFonts w:hint="eastAsia"/>
                <w:color w:val="auto"/>
                <w:sz w:val="21"/>
                <w:lang w:bidi="ar"/>
              </w:rPr>
              <w:t>I</w:t>
            </w:r>
          </w:p>
        </w:tc>
        <w:tc>
          <w:tcPr>
            <w:tcW w:w="1669" w:type="pct"/>
            <w:tcBorders>
              <w:top w:val="single" w:color="auto" w:sz="4" w:space="0"/>
              <w:left w:val="single" w:color="auto" w:sz="4" w:space="0"/>
              <w:bottom w:val="single" w:color="auto" w:sz="12" w:space="0"/>
              <w:right w:val="nil"/>
            </w:tcBorders>
            <w:shd w:val="clear" w:color="auto" w:fill="auto"/>
            <w:vAlign w:val="center"/>
          </w:tcPr>
          <w:p w14:paraId="4F5DD051">
            <w:pPr>
              <w:spacing w:line="240" w:lineRule="auto"/>
              <w:ind w:firstLine="0" w:firstLineChars="0"/>
              <w:jc w:val="center"/>
              <w:rPr>
                <w:color w:val="auto"/>
                <w:sz w:val="21"/>
              </w:rPr>
            </w:pPr>
            <w:r>
              <w:rPr>
                <w:rFonts w:hint="eastAsia"/>
                <w:color w:val="auto"/>
                <w:sz w:val="21"/>
              </w:rPr>
              <w:t>简单分析</w:t>
            </w:r>
          </w:p>
        </w:tc>
      </w:tr>
    </w:tbl>
    <w:p w14:paraId="6A1410D7">
      <w:pPr>
        <w:ind w:firstLine="480"/>
        <w:rPr>
          <w:color w:val="auto"/>
        </w:rPr>
      </w:pPr>
      <w:r>
        <w:rPr>
          <w:rFonts w:hint="eastAsia"/>
          <w:color w:val="auto"/>
        </w:rPr>
        <w:t>综上，确定本次大气风险评价工作等级为二级评价，地表水和地下水仅进行简单分析即可。</w:t>
      </w:r>
    </w:p>
    <w:bookmarkEnd w:id="39"/>
    <w:p w14:paraId="1ED7016B">
      <w:pPr>
        <w:keepNext/>
        <w:keepLines/>
        <w:spacing w:before="120" w:beforeLines="50"/>
        <w:ind w:firstLine="0" w:firstLineChars="0"/>
        <w:outlineLvl w:val="2"/>
        <w:rPr>
          <w:b/>
          <w:bCs/>
          <w:color w:val="auto"/>
          <w:sz w:val="28"/>
          <w:szCs w:val="36"/>
        </w:rPr>
      </w:pPr>
      <w:r>
        <w:rPr>
          <w:b/>
          <w:bCs/>
          <w:color w:val="auto"/>
          <w:sz w:val="28"/>
          <w:szCs w:val="36"/>
        </w:rPr>
        <w:t>2.5.2 评价工作重点</w:t>
      </w:r>
    </w:p>
    <w:p w14:paraId="395E1C45">
      <w:pPr>
        <w:widowControl/>
        <w:ind w:firstLine="480"/>
        <w:rPr>
          <w:color w:val="auto"/>
          <w:szCs w:val="28"/>
        </w:rPr>
      </w:pPr>
      <w:r>
        <w:rPr>
          <w:rFonts w:hint="eastAsia"/>
          <w:color w:val="auto"/>
          <w:szCs w:val="28"/>
        </w:rPr>
        <w:t>根据本项目的环境影响特征和项目所处区域的环境现状情况，结合当前环保管理的有关要求，确定本次评价重点：</w:t>
      </w:r>
      <w:r>
        <w:rPr>
          <w:color w:val="auto"/>
          <w:szCs w:val="28"/>
        </w:rPr>
        <w:t>工程分析，污染防治措施评述、</w:t>
      </w:r>
      <w:r>
        <w:rPr>
          <w:rFonts w:hint="eastAsia"/>
          <w:color w:val="auto"/>
          <w:szCs w:val="28"/>
        </w:rPr>
        <w:t>环境影响预测</w:t>
      </w:r>
      <w:r>
        <w:rPr>
          <w:color w:val="auto"/>
          <w:szCs w:val="28"/>
        </w:rPr>
        <w:t>评价</w:t>
      </w:r>
      <w:r>
        <w:rPr>
          <w:rFonts w:hint="eastAsia"/>
          <w:color w:val="auto"/>
          <w:szCs w:val="28"/>
        </w:rPr>
        <w:t>、环境管理与监测，具体如下：</w:t>
      </w:r>
    </w:p>
    <w:p w14:paraId="6A6F57F5">
      <w:pPr>
        <w:widowControl/>
        <w:numPr>
          <w:ilvl w:val="0"/>
          <w:numId w:val="21"/>
        </w:numPr>
        <w:ind w:firstLine="480"/>
        <w:rPr>
          <w:color w:val="auto"/>
          <w:szCs w:val="28"/>
        </w:rPr>
      </w:pPr>
      <w:r>
        <w:rPr>
          <w:rFonts w:hint="eastAsia"/>
          <w:color w:val="auto"/>
          <w:szCs w:val="28"/>
        </w:rPr>
        <w:t>了解工程概况，对产污环节、环保措施方案等进行分析，核算物料平衡和污染物源强，筛选出主要的污染源与污染因子；</w:t>
      </w:r>
    </w:p>
    <w:p w14:paraId="4C8E4A7D">
      <w:pPr>
        <w:widowControl/>
        <w:numPr>
          <w:ilvl w:val="0"/>
          <w:numId w:val="21"/>
        </w:numPr>
        <w:ind w:firstLine="480"/>
        <w:rPr>
          <w:color w:val="auto"/>
          <w:szCs w:val="28"/>
        </w:rPr>
      </w:pPr>
      <w:r>
        <w:rPr>
          <w:rFonts w:hint="eastAsia"/>
          <w:color w:val="auto"/>
          <w:szCs w:val="28"/>
        </w:rPr>
        <w:t>根据项目的污染物产生情况，提出主要污染因子的治理措施，并从经济、技术方面对措施进行可行性论证；</w:t>
      </w:r>
    </w:p>
    <w:p w14:paraId="09CC7A40">
      <w:pPr>
        <w:widowControl/>
        <w:numPr>
          <w:ilvl w:val="0"/>
          <w:numId w:val="21"/>
        </w:numPr>
        <w:ind w:firstLine="480"/>
        <w:rPr>
          <w:color w:val="auto"/>
          <w:szCs w:val="28"/>
        </w:rPr>
      </w:pPr>
      <w:r>
        <w:rPr>
          <w:rFonts w:hint="eastAsia"/>
          <w:color w:val="auto"/>
          <w:szCs w:val="28"/>
        </w:rPr>
        <w:t>针对所排废气的性质和当地气象条件，通过模型计算，分析和建设项目的实施对当地大气环境可能产生的影响程度和范围；</w:t>
      </w:r>
    </w:p>
    <w:p w14:paraId="047A9EC1">
      <w:pPr>
        <w:widowControl/>
        <w:numPr>
          <w:ilvl w:val="0"/>
          <w:numId w:val="21"/>
        </w:numPr>
        <w:ind w:firstLine="480"/>
        <w:rPr>
          <w:color w:val="auto"/>
          <w:szCs w:val="28"/>
        </w:rPr>
      </w:pPr>
      <w:r>
        <w:rPr>
          <w:rFonts w:hint="eastAsia"/>
          <w:color w:val="auto"/>
          <w:szCs w:val="28"/>
        </w:rPr>
        <w:t>依据《建设项目环境风险评价技术导则》对建设项目进行风险评价，并提出风险防范措施和应急预案；</w:t>
      </w:r>
    </w:p>
    <w:p w14:paraId="6F28F9BF">
      <w:pPr>
        <w:widowControl/>
        <w:numPr>
          <w:ilvl w:val="0"/>
          <w:numId w:val="21"/>
        </w:numPr>
        <w:ind w:firstLine="480"/>
        <w:rPr>
          <w:color w:val="auto"/>
          <w:szCs w:val="28"/>
        </w:rPr>
      </w:pPr>
      <w:r>
        <w:rPr>
          <w:rFonts w:hint="eastAsia"/>
          <w:color w:val="auto"/>
          <w:szCs w:val="28"/>
        </w:rPr>
        <w:t>在对项目污染物排放情况进行统计的情况下，编制污染物排放清单，提出施工期和运营期环境管理要求及污染物监测计划、环境质量监测计划和应急监测计划。</w:t>
      </w:r>
    </w:p>
    <w:p w14:paraId="120217F7">
      <w:pPr>
        <w:pStyle w:val="4"/>
        <w:spacing w:beforeLines="50" w:after="0"/>
        <w:ind w:firstLine="0" w:firstLineChars="0"/>
        <w:rPr>
          <w:color w:val="auto"/>
          <w:sz w:val="30"/>
          <w:szCs w:val="30"/>
        </w:rPr>
      </w:pPr>
      <w:bookmarkStart w:id="40" w:name="_Toc15704"/>
      <w:r>
        <w:rPr>
          <w:color w:val="auto"/>
          <w:sz w:val="30"/>
          <w:szCs w:val="30"/>
        </w:rPr>
        <w:t>2.6 评价范围及环境保护目标</w:t>
      </w:r>
      <w:bookmarkEnd w:id="40"/>
    </w:p>
    <w:p w14:paraId="1A3C4E38">
      <w:pPr>
        <w:tabs>
          <w:tab w:val="left" w:pos="0"/>
        </w:tabs>
        <w:ind w:firstLine="482"/>
        <w:jc w:val="center"/>
        <w:rPr>
          <w:b/>
          <w:color w:val="auto"/>
          <w:szCs w:val="20"/>
        </w:rPr>
        <w:sectPr>
          <w:pgSz w:w="11906" w:h="16838"/>
          <w:pgMar w:top="1418" w:right="1418" w:bottom="1418" w:left="1418" w:header="851" w:footer="992" w:gutter="0"/>
          <w:cols w:space="720" w:num="1"/>
          <w:docGrid w:linePitch="326" w:charSpace="0"/>
        </w:sectPr>
      </w:pPr>
    </w:p>
    <w:p w14:paraId="35A0693B">
      <w:pPr>
        <w:keepNext/>
        <w:keepLines/>
        <w:spacing w:before="120" w:beforeLines="50"/>
        <w:ind w:firstLine="0" w:firstLineChars="0"/>
        <w:outlineLvl w:val="2"/>
        <w:rPr>
          <w:b/>
          <w:bCs/>
          <w:color w:val="auto"/>
          <w:sz w:val="28"/>
          <w:szCs w:val="36"/>
        </w:rPr>
      </w:pPr>
      <w:r>
        <w:rPr>
          <w:b/>
          <w:bCs/>
          <w:color w:val="auto"/>
          <w:sz w:val="28"/>
          <w:szCs w:val="36"/>
        </w:rPr>
        <w:t>2.6.1 评价范围</w:t>
      </w:r>
    </w:p>
    <w:p w14:paraId="50A3B6F2">
      <w:pPr>
        <w:ind w:firstLine="480"/>
        <w:rPr>
          <w:color w:val="auto"/>
        </w:rPr>
      </w:pPr>
      <w:r>
        <w:rPr>
          <w:color w:val="auto"/>
        </w:rPr>
        <w:t>（1）地表水评价范围：</w:t>
      </w:r>
      <w:bookmarkStart w:id="41" w:name="_Hlk40548042"/>
      <w:r>
        <w:rPr>
          <w:rFonts w:hint="eastAsia"/>
          <w:color w:val="auto"/>
        </w:rPr>
        <w:t>开发区临港</w:t>
      </w:r>
      <w:r>
        <w:rPr>
          <w:color w:val="auto"/>
        </w:rPr>
        <w:t>污水处理厂排口上游</w:t>
      </w:r>
      <w:r>
        <w:rPr>
          <w:rFonts w:hint="eastAsia"/>
          <w:color w:val="auto"/>
        </w:rPr>
        <w:t>500</w:t>
      </w:r>
      <w:r>
        <w:rPr>
          <w:color w:val="auto"/>
        </w:rPr>
        <w:t>m至</w:t>
      </w:r>
      <w:r>
        <w:rPr>
          <w:color w:val="auto"/>
          <w:kern w:val="0"/>
        </w:rPr>
        <w:t>下游</w:t>
      </w:r>
      <w:r>
        <w:rPr>
          <w:rFonts w:hint="eastAsia"/>
          <w:color w:val="auto"/>
          <w:kern w:val="0"/>
        </w:rPr>
        <w:t>2000</w:t>
      </w:r>
      <w:r>
        <w:rPr>
          <w:color w:val="auto"/>
          <w:kern w:val="0"/>
        </w:rPr>
        <w:t>m处</w:t>
      </w:r>
      <w:r>
        <w:rPr>
          <w:color w:val="auto"/>
        </w:rPr>
        <w:t>。</w:t>
      </w:r>
    </w:p>
    <w:bookmarkEnd w:id="41"/>
    <w:p w14:paraId="3FEEE0E1">
      <w:pPr>
        <w:ind w:firstLine="480"/>
        <w:rPr>
          <w:color w:val="auto"/>
        </w:rPr>
      </w:pPr>
      <w:r>
        <w:rPr>
          <w:color w:val="auto"/>
        </w:rPr>
        <w:t>（2）大气评价范围：以本项目所在地为中心，边长5km的正方形。</w:t>
      </w:r>
    </w:p>
    <w:p w14:paraId="79305587">
      <w:pPr>
        <w:ind w:firstLine="480"/>
        <w:rPr>
          <w:color w:val="auto"/>
        </w:rPr>
      </w:pPr>
      <w:r>
        <w:rPr>
          <w:color w:val="auto"/>
        </w:rPr>
        <w:t>（3）噪声评价范围：本项目厂界外200m范围内。</w:t>
      </w:r>
    </w:p>
    <w:p w14:paraId="2D609798">
      <w:pPr>
        <w:ind w:firstLine="480"/>
        <w:rPr>
          <w:color w:val="auto"/>
        </w:rPr>
      </w:pPr>
      <w:r>
        <w:rPr>
          <w:color w:val="auto"/>
        </w:rPr>
        <w:t>（4）地下水评价范围：建设项目周边6km</w:t>
      </w:r>
      <w:r>
        <w:rPr>
          <w:color w:val="auto"/>
          <w:vertAlign w:val="superscript"/>
        </w:rPr>
        <w:t>2</w:t>
      </w:r>
      <w:r>
        <w:rPr>
          <w:color w:val="auto"/>
        </w:rPr>
        <w:t>范围内。</w:t>
      </w:r>
    </w:p>
    <w:p w14:paraId="4A734BA7">
      <w:pPr>
        <w:ind w:firstLine="480"/>
        <w:rPr>
          <w:color w:val="auto"/>
        </w:rPr>
      </w:pPr>
      <w:r>
        <w:rPr>
          <w:color w:val="auto"/>
        </w:rPr>
        <w:t>（5）环境风险评价范围：本项目</w:t>
      </w:r>
      <w:r>
        <w:rPr>
          <w:rFonts w:hint="eastAsia" w:cs="宋体"/>
          <w:color w:val="auto"/>
          <w:lang w:bidi="ar"/>
        </w:rPr>
        <w:t>大气风险评价工作等级为二级评价，地表水和地下水仅进行简单分析即可，</w:t>
      </w:r>
      <w:r>
        <w:rPr>
          <w:color w:val="auto"/>
        </w:rPr>
        <w:t>仅对项目潜在的环境风险进行定性分析。</w:t>
      </w:r>
    </w:p>
    <w:p w14:paraId="2DEDAF34">
      <w:pPr>
        <w:ind w:firstLine="480"/>
        <w:rPr>
          <w:b/>
          <w:bCs/>
          <w:color w:val="auto"/>
          <w:sz w:val="28"/>
          <w:szCs w:val="36"/>
        </w:rPr>
      </w:pPr>
      <w:r>
        <w:rPr>
          <w:color w:val="auto"/>
        </w:rPr>
        <w:t>（6）土壤风险评价范围：项目厂界外200m范围内。</w:t>
      </w:r>
    </w:p>
    <w:p w14:paraId="55B3FEA1">
      <w:pPr>
        <w:keepNext/>
        <w:keepLines/>
        <w:spacing w:before="120" w:beforeLines="50"/>
        <w:ind w:firstLine="0" w:firstLineChars="0"/>
        <w:outlineLvl w:val="2"/>
        <w:rPr>
          <w:b/>
          <w:bCs/>
          <w:color w:val="auto"/>
          <w:sz w:val="28"/>
          <w:szCs w:val="36"/>
        </w:rPr>
      </w:pPr>
      <w:r>
        <w:rPr>
          <w:b/>
          <w:bCs/>
          <w:color w:val="auto"/>
          <w:sz w:val="28"/>
          <w:szCs w:val="36"/>
        </w:rPr>
        <w:t>2.6.2 环境保护目标</w:t>
      </w:r>
    </w:p>
    <w:p w14:paraId="753C371C">
      <w:pPr>
        <w:ind w:firstLine="480"/>
        <w:rPr>
          <w:color w:val="auto"/>
          <w:szCs w:val="28"/>
        </w:rPr>
      </w:pPr>
      <w:r>
        <w:rPr>
          <w:color w:val="auto"/>
          <w:szCs w:val="28"/>
        </w:rPr>
        <w:t>环境保护目标及控制要求见表2.6-1及图2.6-1。</w:t>
      </w:r>
    </w:p>
    <w:p w14:paraId="221B1819">
      <w:pPr>
        <w:tabs>
          <w:tab w:val="left" w:pos="0"/>
        </w:tabs>
        <w:spacing w:line="240" w:lineRule="auto"/>
        <w:ind w:firstLine="0" w:firstLineChars="0"/>
        <w:jc w:val="center"/>
        <w:rPr>
          <w:b/>
          <w:color w:val="auto"/>
          <w:szCs w:val="20"/>
        </w:rPr>
      </w:pPr>
      <w:r>
        <w:rPr>
          <w:b/>
          <w:color w:val="auto"/>
          <w:szCs w:val="20"/>
        </w:rPr>
        <w:t>表2.6-1  本项目主要环境保护目标</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5"/>
        <w:gridCol w:w="2176"/>
        <w:gridCol w:w="1633"/>
        <w:gridCol w:w="1454"/>
        <w:gridCol w:w="1230"/>
        <w:gridCol w:w="1584"/>
        <w:gridCol w:w="1300"/>
        <w:gridCol w:w="1601"/>
        <w:gridCol w:w="2525"/>
      </w:tblGrid>
      <w:tr w14:paraId="2746DB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restart"/>
            <w:vAlign w:val="center"/>
          </w:tcPr>
          <w:p w14:paraId="0478325B">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环境要素</w:t>
            </w:r>
          </w:p>
        </w:tc>
        <w:tc>
          <w:tcPr>
            <w:tcW w:w="764" w:type="pct"/>
            <w:vMerge w:val="restart"/>
            <w:shd w:val="clear" w:color="auto" w:fill="auto"/>
            <w:noWrap/>
            <w:vAlign w:val="center"/>
          </w:tcPr>
          <w:p w14:paraId="1230742D">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敏感目标名称</w:t>
            </w:r>
          </w:p>
        </w:tc>
        <w:tc>
          <w:tcPr>
            <w:tcW w:w="1085" w:type="pct"/>
            <w:gridSpan w:val="2"/>
            <w:shd w:val="clear" w:color="auto" w:fill="auto"/>
            <w:noWrap/>
            <w:vAlign w:val="center"/>
          </w:tcPr>
          <w:p w14:paraId="67E58EC7">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坐标°</w:t>
            </w:r>
          </w:p>
        </w:tc>
        <w:tc>
          <w:tcPr>
            <w:tcW w:w="432" w:type="pct"/>
            <w:vMerge w:val="restart"/>
            <w:shd w:val="clear" w:color="auto" w:fill="auto"/>
            <w:noWrap/>
            <w:vAlign w:val="center"/>
          </w:tcPr>
          <w:p w14:paraId="6CA35D7A">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保护对象</w:t>
            </w:r>
          </w:p>
        </w:tc>
        <w:tc>
          <w:tcPr>
            <w:tcW w:w="557" w:type="pct"/>
            <w:vMerge w:val="restart"/>
            <w:shd w:val="clear" w:color="auto" w:fill="auto"/>
            <w:noWrap/>
            <w:vAlign w:val="center"/>
          </w:tcPr>
          <w:p w14:paraId="524614D2">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保护内容/人</w:t>
            </w:r>
          </w:p>
        </w:tc>
        <w:tc>
          <w:tcPr>
            <w:tcW w:w="457" w:type="pct"/>
            <w:vMerge w:val="restart"/>
            <w:shd w:val="clear" w:color="auto" w:fill="auto"/>
            <w:noWrap/>
            <w:vAlign w:val="center"/>
          </w:tcPr>
          <w:p w14:paraId="65998DBC">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相对方位</w:t>
            </w:r>
          </w:p>
        </w:tc>
        <w:tc>
          <w:tcPr>
            <w:tcW w:w="563" w:type="pct"/>
            <w:vMerge w:val="restart"/>
            <w:vAlign w:val="center"/>
          </w:tcPr>
          <w:p w14:paraId="4EDF5025">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距离/m</w:t>
            </w:r>
          </w:p>
        </w:tc>
        <w:tc>
          <w:tcPr>
            <w:tcW w:w="887" w:type="pct"/>
            <w:vMerge w:val="restart"/>
            <w:shd w:val="clear" w:color="auto" w:fill="auto"/>
            <w:noWrap/>
            <w:vAlign w:val="center"/>
          </w:tcPr>
          <w:p w14:paraId="68127607">
            <w:pPr>
              <w:kinsoku w:val="0"/>
              <w:autoSpaceDE w:val="0"/>
              <w:autoSpaceDN w:val="0"/>
              <w:spacing w:line="240" w:lineRule="auto"/>
              <w:ind w:firstLine="0" w:firstLineChars="0"/>
              <w:jc w:val="center"/>
              <w:rPr>
                <w:b/>
                <w:bCs/>
                <w:color w:val="auto"/>
                <w:kern w:val="0"/>
                <w:sz w:val="21"/>
                <w:szCs w:val="21"/>
              </w:rPr>
            </w:pPr>
            <w:r>
              <w:rPr>
                <w:b/>
                <w:bCs/>
                <w:color w:val="auto"/>
                <w:kern w:val="0"/>
                <w:sz w:val="21"/>
                <w:szCs w:val="21"/>
              </w:rPr>
              <w:t>环境功能区</w:t>
            </w:r>
          </w:p>
        </w:tc>
      </w:tr>
      <w:tr w14:paraId="1C9E5C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251" w:type="pct"/>
            <w:vMerge w:val="continue"/>
            <w:vAlign w:val="center"/>
          </w:tcPr>
          <w:p w14:paraId="6460ED4F">
            <w:pPr>
              <w:kinsoku w:val="0"/>
              <w:autoSpaceDE w:val="0"/>
              <w:autoSpaceDN w:val="0"/>
              <w:spacing w:line="240" w:lineRule="auto"/>
              <w:ind w:firstLine="0" w:firstLineChars="0"/>
              <w:jc w:val="center"/>
              <w:rPr>
                <w:color w:val="auto"/>
                <w:kern w:val="0"/>
                <w:sz w:val="21"/>
                <w:szCs w:val="21"/>
              </w:rPr>
            </w:pPr>
          </w:p>
        </w:tc>
        <w:tc>
          <w:tcPr>
            <w:tcW w:w="764" w:type="pct"/>
            <w:vMerge w:val="continue"/>
            <w:vAlign w:val="center"/>
          </w:tcPr>
          <w:p w14:paraId="757CE808">
            <w:pPr>
              <w:kinsoku w:val="0"/>
              <w:autoSpaceDE w:val="0"/>
              <w:autoSpaceDN w:val="0"/>
              <w:spacing w:line="240" w:lineRule="auto"/>
              <w:ind w:firstLine="0" w:firstLineChars="0"/>
              <w:jc w:val="center"/>
              <w:rPr>
                <w:color w:val="auto"/>
                <w:kern w:val="0"/>
                <w:sz w:val="21"/>
                <w:szCs w:val="21"/>
              </w:rPr>
            </w:pPr>
          </w:p>
        </w:tc>
        <w:tc>
          <w:tcPr>
            <w:tcW w:w="574" w:type="pct"/>
            <w:shd w:val="clear" w:color="auto" w:fill="auto"/>
            <w:noWrap/>
            <w:vAlign w:val="center"/>
          </w:tcPr>
          <w:p w14:paraId="53DE702B">
            <w:pPr>
              <w:kinsoku w:val="0"/>
              <w:autoSpaceDE w:val="0"/>
              <w:autoSpaceDN w:val="0"/>
              <w:spacing w:line="240" w:lineRule="auto"/>
              <w:ind w:firstLine="0" w:firstLineChars="0"/>
              <w:jc w:val="center"/>
              <w:rPr>
                <w:b/>
                <w:bCs/>
                <w:color w:val="auto"/>
                <w:kern w:val="0"/>
                <w:sz w:val="21"/>
                <w:szCs w:val="21"/>
              </w:rPr>
            </w:pPr>
            <w:r>
              <w:rPr>
                <w:rFonts w:hint="eastAsia"/>
                <w:b/>
                <w:bCs/>
                <w:color w:val="auto"/>
                <w:kern w:val="0"/>
                <w:sz w:val="21"/>
                <w:szCs w:val="21"/>
              </w:rPr>
              <w:t>东经</w:t>
            </w:r>
          </w:p>
        </w:tc>
        <w:tc>
          <w:tcPr>
            <w:tcW w:w="510" w:type="pct"/>
            <w:shd w:val="clear" w:color="auto" w:fill="auto"/>
            <w:noWrap/>
            <w:vAlign w:val="center"/>
          </w:tcPr>
          <w:p w14:paraId="178205CE">
            <w:pPr>
              <w:kinsoku w:val="0"/>
              <w:autoSpaceDE w:val="0"/>
              <w:autoSpaceDN w:val="0"/>
              <w:spacing w:line="240" w:lineRule="auto"/>
              <w:ind w:firstLine="0" w:firstLineChars="0"/>
              <w:jc w:val="center"/>
              <w:rPr>
                <w:b/>
                <w:bCs/>
                <w:color w:val="auto"/>
                <w:kern w:val="0"/>
                <w:sz w:val="21"/>
                <w:szCs w:val="21"/>
              </w:rPr>
            </w:pPr>
            <w:r>
              <w:rPr>
                <w:rFonts w:hint="eastAsia"/>
                <w:b/>
                <w:bCs/>
                <w:color w:val="auto"/>
                <w:kern w:val="0"/>
                <w:sz w:val="21"/>
                <w:szCs w:val="21"/>
              </w:rPr>
              <w:t>北纬</w:t>
            </w:r>
          </w:p>
        </w:tc>
        <w:tc>
          <w:tcPr>
            <w:tcW w:w="432" w:type="pct"/>
            <w:vMerge w:val="continue"/>
            <w:vAlign w:val="center"/>
          </w:tcPr>
          <w:p w14:paraId="72255DB0">
            <w:pPr>
              <w:kinsoku w:val="0"/>
              <w:autoSpaceDE w:val="0"/>
              <w:autoSpaceDN w:val="0"/>
              <w:spacing w:line="240" w:lineRule="auto"/>
              <w:ind w:firstLine="0" w:firstLineChars="0"/>
              <w:jc w:val="center"/>
              <w:rPr>
                <w:color w:val="auto"/>
                <w:kern w:val="0"/>
                <w:sz w:val="21"/>
                <w:szCs w:val="21"/>
              </w:rPr>
            </w:pPr>
          </w:p>
        </w:tc>
        <w:tc>
          <w:tcPr>
            <w:tcW w:w="557" w:type="pct"/>
            <w:vMerge w:val="continue"/>
            <w:shd w:val="clear" w:color="auto" w:fill="auto"/>
            <w:noWrap/>
            <w:vAlign w:val="center"/>
          </w:tcPr>
          <w:p w14:paraId="1E882F70">
            <w:pPr>
              <w:kinsoku w:val="0"/>
              <w:autoSpaceDE w:val="0"/>
              <w:autoSpaceDN w:val="0"/>
              <w:spacing w:line="240" w:lineRule="auto"/>
              <w:ind w:firstLine="0" w:firstLineChars="0"/>
              <w:jc w:val="center"/>
              <w:rPr>
                <w:color w:val="auto"/>
                <w:kern w:val="0"/>
                <w:sz w:val="21"/>
                <w:szCs w:val="21"/>
              </w:rPr>
            </w:pPr>
          </w:p>
        </w:tc>
        <w:tc>
          <w:tcPr>
            <w:tcW w:w="457" w:type="pct"/>
            <w:vMerge w:val="continue"/>
            <w:vAlign w:val="center"/>
          </w:tcPr>
          <w:p w14:paraId="699090F6">
            <w:pPr>
              <w:kinsoku w:val="0"/>
              <w:autoSpaceDE w:val="0"/>
              <w:autoSpaceDN w:val="0"/>
              <w:spacing w:line="240" w:lineRule="auto"/>
              <w:ind w:firstLine="0" w:firstLineChars="0"/>
              <w:jc w:val="center"/>
              <w:rPr>
                <w:color w:val="auto"/>
                <w:kern w:val="0"/>
                <w:sz w:val="21"/>
                <w:szCs w:val="21"/>
              </w:rPr>
            </w:pPr>
          </w:p>
        </w:tc>
        <w:tc>
          <w:tcPr>
            <w:tcW w:w="563" w:type="pct"/>
            <w:vMerge w:val="continue"/>
            <w:vAlign w:val="center"/>
          </w:tcPr>
          <w:p w14:paraId="6A160CD3">
            <w:pPr>
              <w:kinsoku w:val="0"/>
              <w:autoSpaceDE w:val="0"/>
              <w:autoSpaceDN w:val="0"/>
              <w:spacing w:line="240" w:lineRule="auto"/>
              <w:ind w:firstLine="0" w:firstLineChars="0"/>
              <w:jc w:val="center"/>
              <w:rPr>
                <w:color w:val="auto"/>
                <w:kern w:val="0"/>
                <w:sz w:val="21"/>
                <w:szCs w:val="21"/>
              </w:rPr>
            </w:pPr>
          </w:p>
        </w:tc>
        <w:tc>
          <w:tcPr>
            <w:tcW w:w="887" w:type="pct"/>
            <w:vMerge w:val="continue"/>
            <w:vAlign w:val="center"/>
          </w:tcPr>
          <w:p w14:paraId="6AF6E439">
            <w:pPr>
              <w:kinsoku w:val="0"/>
              <w:autoSpaceDE w:val="0"/>
              <w:autoSpaceDN w:val="0"/>
              <w:spacing w:line="240" w:lineRule="auto"/>
              <w:ind w:firstLine="0" w:firstLineChars="0"/>
              <w:jc w:val="center"/>
              <w:rPr>
                <w:color w:val="auto"/>
                <w:kern w:val="0"/>
                <w:sz w:val="21"/>
                <w:szCs w:val="21"/>
              </w:rPr>
            </w:pPr>
          </w:p>
        </w:tc>
      </w:tr>
      <w:tr w14:paraId="49301F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restart"/>
            <w:vAlign w:val="center"/>
          </w:tcPr>
          <w:p w14:paraId="024746D9">
            <w:pPr>
              <w:kinsoku w:val="0"/>
              <w:autoSpaceDE w:val="0"/>
              <w:autoSpaceDN w:val="0"/>
              <w:spacing w:line="240" w:lineRule="auto"/>
              <w:ind w:firstLine="0" w:firstLineChars="0"/>
              <w:jc w:val="center"/>
              <w:rPr>
                <w:color w:val="auto"/>
                <w:kern w:val="0"/>
                <w:sz w:val="21"/>
                <w:szCs w:val="21"/>
              </w:rPr>
            </w:pPr>
            <w:r>
              <w:rPr>
                <w:color w:val="auto"/>
                <w:kern w:val="0"/>
                <w:sz w:val="21"/>
                <w:szCs w:val="21"/>
              </w:rPr>
              <w:t>环境空气保护目标</w:t>
            </w:r>
          </w:p>
        </w:tc>
        <w:tc>
          <w:tcPr>
            <w:tcW w:w="764" w:type="pct"/>
            <w:shd w:val="clear" w:color="auto" w:fill="auto"/>
            <w:noWrap/>
            <w:vAlign w:val="center"/>
          </w:tcPr>
          <w:p w14:paraId="03759CA5">
            <w:pPr>
              <w:widowControl/>
              <w:spacing w:line="240" w:lineRule="auto"/>
              <w:ind w:firstLine="0" w:firstLineChars="0"/>
              <w:jc w:val="center"/>
              <w:textAlignment w:val="center"/>
              <w:rPr>
                <w:color w:val="auto"/>
                <w:kern w:val="0"/>
                <w:sz w:val="21"/>
                <w:szCs w:val="21"/>
              </w:rPr>
            </w:pPr>
            <w:r>
              <w:rPr>
                <w:rFonts w:hint="eastAsia"/>
                <w:color w:val="auto"/>
                <w:sz w:val="21"/>
                <w:szCs w:val="21"/>
              </w:rPr>
              <w:t>连云港华杰高级中学</w:t>
            </w:r>
          </w:p>
        </w:tc>
        <w:tc>
          <w:tcPr>
            <w:tcW w:w="574" w:type="pct"/>
            <w:shd w:val="clear" w:color="auto" w:fill="auto"/>
            <w:noWrap/>
            <w:vAlign w:val="center"/>
          </w:tcPr>
          <w:p w14:paraId="5207270E">
            <w:pPr>
              <w:widowControl/>
              <w:spacing w:line="240" w:lineRule="auto"/>
              <w:ind w:firstLine="0" w:firstLineChars="0"/>
              <w:jc w:val="center"/>
              <w:textAlignment w:val="center"/>
              <w:rPr>
                <w:color w:val="auto"/>
                <w:kern w:val="0"/>
                <w:sz w:val="21"/>
                <w:szCs w:val="21"/>
              </w:rPr>
            </w:pPr>
            <w:r>
              <w:rPr>
                <w:color w:val="auto"/>
                <w:kern w:val="0"/>
                <w:sz w:val="21"/>
                <w:szCs w:val="21"/>
              </w:rPr>
              <w:t>119.238565</w:t>
            </w:r>
            <w:r>
              <w:rPr>
                <w:rFonts w:hint="eastAsia"/>
                <w:color w:val="auto"/>
                <w:kern w:val="0"/>
                <w:sz w:val="21"/>
                <w:szCs w:val="21"/>
              </w:rPr>
              <w:t>E</w:t>
            </w:r>
          </w:p>
        </w:tc>
        <w:tc>
          <w:tcPr>
            <w:tcW w:w="510" w:type="pct"/>
            <w:shd w:val="clear" w:color="auto" w:fill="auto"/>
            <w:noWrap/>
            <w:vAlign w:val="center"/>
          </w:tcPr>
          <w:p w14:paraId="77722EFF">
            <w:pPr>
              <w:widowControl/>
              <w:spacing w:line="240" w:lineRule="auto"/>
              <w:ind w:firstLine="0" w:firstLineChars="0"/>
              <w:jc w:val="center"/>
              <w:textAlignment w:val="center"/>
              <w:rPr>
                <w:color w:val="auto"/>
                <w:kern w:val="0"/>
                <w:sz w:val="21"/>
                <w:szCs w:val="21"/>
              </w:rPr>
            </w:pPr>
            <w:r>
              <w:rPr>
                <w:color w:val="auto"/>
                <w:kern w:val="0"/>
                <w:sz w:val="21"/>
                <w:szCs w:val="21"/>
              </w:rPr>
              <w:t>34.734155</w:t>
            </w:r>
            <w:r>
              <w:rPr>
                <w:rFonts w:hint="eastAsia"/>
                <w:color w:val="auto"/>
                <w:kern w:val="0"/>
                <w:sz w:val="21"/>
                <w:szCs w:val="21"/>
              </w:rPr>
              <w:t>N</w:t>
            </w:r>
          </w:p>
        </w:tc>
        <w:tc>
          <w:tcPr>
            <w:tcW w:w="432" w:type="pct"/>
            <w:shd w:val="clear" w:color="auto" w:fill="auto"/>
            <w:noWrap/>
            <w:vAlign w:val="center"/>
          </w:tcPr>
          <w:p w14:paraId="7281E545">
            <w:pPr>
              <w:widowControl/>
              <w:spacing w:line="240" w:lineRule="auto"/>
              <w:ind w:firstLine="0" w:firstLineChars="0"/>
              <w:jc w:val="center"/>
              <w:textAlignment w:val="center"/>
              <w:rPr>
                <w:color w:val="auto"/>
                <w:kern w:val="0"/>
                <w:sz w:val="21"/>
                <w:szCs w:val="21"/>
              </w:rPr>
            </w:pPr>
            <w:r>
              <w:rPr>
                <w:rFonts w:hint="eastAsia"/>
                <w:color w:val="auto"/>
                <w:sz w:val="21"/>
                <w:szCs w:val="21"/>
              </w:rPr>
              <w:t>学校</w:t>
            </w:r>
          </w:p>
        </w:tc>
        <w:tc>
          <w:tcPr>
            <w:tcW w:w="1584" w:type="dxa"/>
            <w:shd w:val="clear" w:color="auto" w:fill="auto"/>
            <w:noWrap/>
            <w:vAlign w:val="center"/>
          </w:tcPr>
          <w:p w14:paraId="7C4572FC">
            <w:pPr>
              <w:widowControl/>
              <w:spacing w:line="240" w:lineRule="auto"/>
              <w:ind w:firstLine="0" w:firstLineChars="0"/>
              <w:jc w:val="center"/>
              <w:textAlignment w:val="center"/>
              <w:rPr>
                <w:color w:val="auto"/>
                <w:kern w:val="0"/>
                <w:sz w:val="21"/>
                <w:szCs w:val="21"/>
              </w:rPr>
            </w:pPr>
            <w:r>
              <w:rPr>
                <w:rFonts w:hint="eastAsia"/>
                <w:color w:val="auto"/>
                <w:sz w:val="21"/>
                <w:szCs w:val="21"/>
              </w:rPr>
              <w:t>3000</w:t>
            </w:r>
          </w:p>
        </w:tc>
        <w:tc>
          <w:tcPr>
            <w:tcW w:w="457" w:type="pct"/>
            <w:shd w:val="clear" w:color="auto" w:fill="auto"/>
            <w:noWrap/>
            <w:vAlign w:val="center"/>
          </w:tcPr>
          <w:p w14:paraId="0F59358C">
            <w:pPr>
              <w:widowControl/>
              <w:spacing w:line="240" w:lineRule="auto"/>
              <w:ind w:firstLine="0" w:firstLineChars="0"/>
              <w:jc w:val="center"/>
              <w:textAlignment w:val="center"/>
              <w:rPr>
                <w:color w:val="auto"/>
                <w:kern w:val="0"/>
                <w:sz w:val="21"/>
                <w:szCs w:val="21"/>
              </w:rPr>
            </w:pPr>
            <w:r>
              <w:rPr>
                <w:rFonts w:hint="eastAsia"/>
                <w:color w:val="auto"/>
                <w:sz w:val="21"/>
                <w:szCs w:val="21"/>
              </w:rPr>
              <w:t>E</w:t>
            </w:r>
          </w:p>
        </w:tc>
        <w:tc>
          <w:tcPr>
            <w:tcW w:w="563" w:type="pct"/>
            <w:shd w:val="clear" w:color="auto" w:fill="auto"/>
            <w:vAlign w:val="center"/>
          </w:tcPr>
          <w:p w14:paraId="6C67E30B">
            <w:pPr>
              <w:widowControl/>
              <w:spacing w:line="240" w:lineRule="auto"/>
              <w:ind w:firstLine="0" w:firstLineChars="0"/>
              <w:jc w:val="center"/>
              <w:textAlignment w:val="center"/>
              <w:rPr>
                <w:color w:val="auto"/>
                <w:kern w:val="0"/>
                <w:sz w:val="21"/>
                <w:szCs w:val="21"/>
              </w:rPr>
            </w:pPr>
            <w:r>
              <w:rPr>
                <w:rFonts w:hint="eastAsia"/>
                <w:color w:val="auto"/>
                <w:sz w:val="21"/>
                <w:szCs w:val="21"/>
              </w:rPr>
              <w:t>830</w:t>
            </w:r>
          </w:p>
        </w:tc>
        <w:tc>
          <w:tcPr>
            <w:tcW w:w="887" w:type="pct"/>
            <w:vMerge w:val="restart"/>
            <w:shd w:val="clear" w:color="auto" w:fill="auto"/>
            <w:noWrap/>
            <w:vAlign w:val="center"/>
          </w:tcPr>
          <w:p w14:paraId="687E1D1F">
            <w:pPr>
              <w:kinsoku w:val="0"/>
              <w:autoSpaceDE w:val="0"/>
              <w:autoSpaceDN w:val="0"/>
              <w:spacing w:line="240" w:lineRule="auto"/>
              <w:ind w:firstLine="0" w:firstLineChars="0"/>
              <w:jc w:val="center"/>
              <w:rPr>
                <w:color w:val="auto"/>
                <w:kern w:val="0"/>
                <w:sz w:val="21"/>
                <w:szCs w:val="21"/>
              </w:rPr>
            </w:pPr>
            <w:r>
              <w:rPr>
                <w:color w:val="auto"/>
                <w:kern w:val="0"/>
                <w:sz w:val="21"/>
                <w:szCs w:val="21"/>
              </w:rPr>
              <w:t>《环境空气质量标准》（GB3095-2012）二级标准及其修改清单</w:t>
            </w:r>
          </w:p>
        </w:tc>
      </w:tr>
      <w:tr w14:paraId="250BC5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563476C4">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35BD292D">
            <w:pPr>
              <w:widowControl/>
              <w:spacing w:line="240" w:lineRule="auto"/>
              <w:ind w:firstLine="0" w:firstLineChars="0"/>
              <w:jc w:val="center"/>
              <w:textAlignment w:val="center"/>
              <w:rPr>
                <w:color w:val="auto"/>
                <w:kern w:val="0"/>
                <w:sz w:val="21"/>
                <w:szCs w:val="21"/>
              </w:rPr>
            </w:pPr>
            <w:r>
              <w:rPr>
                <w:rFonts w:hint="eastAsia"/>
                <w:color w:val="auto"/>
                <w:sz w:val="21"/>
                <w:szCs w:val="21"/>
              </w:rPr>
              <w:t>南京师范大学华杰实验学校</w:t>
            </w:r>
          </w:p>
        </w:tc>
        <w:tc>
          <w:tcPr>
            <w:tcW w:w="574" w:type="pct"/>
            <w:shd w:val="clear" w:color="auto" w:fill="auto"/>
            <w:noWrap/>
            <w:vAlign w:val="center"/>
          </w:tcPr>
          <w:p w14:paraId="34E1735F">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119.242138E</w:t>
            </w:r>
          </w:p>
        </w:tc>
        <w:tc>
          <w:tcPr>
            <w:tcW w:w="510" w:type="pct"/>
            <w:shd w:val="clear" w:color="auto" w:fill="auto"/>
            <w:noWrap/>
            <w:vAlign w:val="center"/>
          </w:tcPr>
          <w:p w14:paraId="4813DD0D">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34.733758N</w:t>
            </w:r>
          </w:p>
        </w:tc>
        <w:tc>
          <w:tcPr>
            <w:tcW w:w="432" w:type="pct"/>
            <w:shd w:val="clear" w:color="auto" w:fill="auto"/>
            <w:noWrap/>
            <w:vAlign w:val="center"/>
          </w:tcPr>
          <w:p w14:paraId="3D1417E3">
            <w:pPr>
              <w:widowControl/>
              <w:spacing w:line="240" w:lineRule="auto"/>
              <w:ind w:firstLine="0" w:firstLineChars="0"/>
              <w:jc w:val="center"/>
              <w:textAlignment w:val="center"/>
              <w:rPr>
                <w:color w:val="auto"/>
                <w:kern w:val="0"/>
                <w:sz w:val="21"/>
                <w:szCs w:val="21"/>
              </w:rPr>
            </w:pPr>
            <w:r>
              <w:rPr>
                <w:rFonts w:hint="eastAsia"/>
                <w:color w:val="auto"/>
                <w:sz w:val="21"/>
                <w:szCs w:val="21"/>
              </w:rPr>
              <w:t>学校</w:t>
            </w:r>
          </w:p>
        </w:tc>
        <w:tc>
          <w:tcPr>
            <w:tcW w:w="1584" w:type="dxa"/>
            <w:shd w:val="clear" w:color="auto" w:fill="auto"/>
            <w:noWrap/>
            <w:vAlign w:val="center"/>
          </w:tcPr>
          <w:p w14:paraId="46E522FA">
            <w:pPr>
              <w:widowControl/>
              <w:spacing w:line="240" w:lineRule="auto"/>
              <w:ind w:firstLine="0" w:firstLineChars="0"/>
              <w:jc w:val="center"/>
              <w:textAlignment w:val="center"/>
              <w:rPr>
                <w:color w:val="auto"/>
                <w:kern w:val="0"/>
                <w:sz w:val="21"/>
                <w:szCs w:val="21"/>
              </w:rPr>
            </w:pPr>
            <w:r>
              <w:rPr>
                <w:rFonts w:hint="eastAsia"/>
                <w:color w:val="auto"/>
                <w:sz w:val="21"/>
                <w:szCs w:val="21"/>
              </w:rPr>
              <w:t>3000</w:t>
            </w:r>
          </w:p>
        </w:tc>
        <w:tc>
          <w:tcPr>
            <w:tcW w:w="457" w:type="pct"/>
            <w:shd w:val="clear" w:color="auto" w:fill="auto"/>
            <w:noWrap/>
            <w:vAlign w:val="center"/>
          </w:tcPr>
          <w:p w14:paraId="5F7B9D8C">
            <w:pPr>
              <w:widowControl/>
              <w:spacing w:line="240" w:lineRule="auto"/>
              <w:ind w:firstLine="0" w:firstLineChars="0"/>
              <w:jc w:val="center"/>
              <w:textAlignment w:val="center"/>
              <w:rPr>
                <w:color w:val="auto"/>
                <w:kern w:val="0"/>
                <w:sz w:val="21"/>
                <w:szCs w:val="21"/>
              </w:rPr>
            </w:pPr>
            <w:r>
              <w:rPr>
                <w:rFonts w:hint="eastAsia"/>
                <w:color w:val="auto"/>
                <w:sz w:val="21"/>
                <w:szCs w:val="21"/>
              </w:rPr>
              <w:t>E</w:t>
            </w:r>
          </w:p>
        </w:tc>
        <w:tc>
          <w:tcPr>
            <w:tcW w:w="563" w:type="pct"/>
            <w:shd w:val="clear" w:color="auto" w:fill="auto"/>
            <w:vAlign w:val="center"/>
          </w:tcPr>
          <w:p w14:paraId="2457DDB3">
            <w:pPr>
              <w:widowControl/>
              <w:spacing w:line="240" w:lineRule="auto"/>
              <w:ind w:firstLine="0" w:firstLineChars="0"/>
              <w:jc w:val="center"/>
              <w:textAlignment w:val="center"/>
              <w:rPr>
                <w:color w:val="auto"/>
                <w:kern w:val="0"/>
                <w:sz w:val="21"/>
                <w:szCs w:val="21"/>
              </w:rPr>
            </w:pPr>
            <w:r>
              <w:rPr>
                <w:rFonts w:hint="eastAsia"/>
                <w:color w:val="auto"/>
                <w:sz w:val="21"/>
                <w:szCs w:val="21"/>
              </w:rPr>
              <w:t>1250</w:t>
            </w:r>
          </w:p>
        </w:tc>
        <w:tc>
          <w:tcPr>
            <w:tcW w:w="887" w:type="pct"/>
            <w:vMerge w:val="continue"/>
            <w:shd w:val="clear" w:color="auto" w:fill="auto"/>
            <w:noWrap/>
            <w:vAlign w:val="center"/>
          </w:tcPr>
          <w:p w14:paraId="59E0EDB3">
            <w:pPr>
              <w:kinsoku w:val="0"/>
              <w:autoSpaceDE w:val="0"/>
              <w:autoSpaceDN w:val="0"/>
              <w:spacing w:line="240" w:lineRule="auto"/>
              <w:ind w:firstLine="0" w:firstLineChars="0"/>
              <w:jc w:val="center"/>
              <w:rPr>
                <w:color w:val="auto"/>
                <w:kern w:val="0"/>
                <w:sz w:val="21"/>
                <w:szCs w:val="21"/>
              </w:rPr>
            </w:pPr>
          </w:p>
        </w:tc>
      </w:tr>
      <w:tr w14:paraId="049C96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4FA16818">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7E2352D5">
            <w:pPr>
              <w:widowControl/>
              <w:spacing w:line="240" w:lineRule="auto"/>
              <w:ind w:firstLine="0" w:firstLineChars="0"/>
              <w:jc w:val="center"/>
              <w:textAlignment w:val="center"/>
              <w:rPr>
                <w:color w:val="auto"/>
                <w:kern w:val="0"/>
                <w:sz w:val="21"/>
                <w:szCs w:val="21"/>
              </w:rPr>
            </w:pPr>
            <w:r>
              <w:rPr>
                <w:rFonts w:hint="eastAsia"/>
                <w:color w:val="auto"/>
                <w:sz w:val="21"/>
                <w:szCs w:val="21"/>
              </w:rPr>
              <w:t>港逸花园小区</w:t>
            </w:r>
          </w:p>
        </w:tc>
        <w:tc>
          <w:tcPr>
            <w:tcW w:w="574" w:type="pct"/>
            <w:shd w:val="clear" w:color="auto" w:fill="auto"/>
            <w:noWrap/>
            <w:vAlign w:val="center"/>
          </w:tcPr>
          <w:p w14:paraId="2C2DA7B9">
            <w:pPr>
              <w:widowControl/>
              <w:spacing w:line="240" w:lineRule="auto"/>
              <w:ind w:firstLine="0" w:firstLineChars="0"/>
              <w:jc w:val="center"/>
              <w:textAlignment w:val="center"/>
              <w:rPr>
                <w:color w:val="auto"/>
                <w:kern w:val="0"/>
                <w:sz w:val="21"/>
                <w:szCs w:val="21"/>
              </w:rPr>
            </w:pPr>
            <w:r>
              <w:rPr>
                <w:color w:val="auto"/>
                <w:kern w:val="0"/>
                <w:sz w:val="21"/>
                <w:szCs w:val="21"/>
              </w:rPr>
              <w:t>119.234682</w:t>
            </w:r>
            <w:r>
              <w:rPr>
                <w:rFonts w:hint="eastAsia"/>
                <w:color w:val="auto"/>
                <w:kern w:val="0"/>
                <w:sz w:val="21"/>
                <w:szCs w:val="21"/>
              </w:rPr>
              <w:t>E</w:t>
            </w:r>
          </w:p>
        </w:tc>
        <w:tc>
          <w:tcPr>
            <w:tcW w:w="510" w:type="pct"/>
            <w:shd w:val="clear" w:color="auto" w:fill="auto"/>
            <w:noWrap/>
            <w:vAlign w:val="center"/>
          </w:tcPr>
          <w:p w14:paraId="6E881EE0">
            <w:pPr>
              <w:widowControl/>
              <w:spacing w:line="240" w:lineRule="auto"/>
              <w:ind w:firstLine="0" w:firstLineChars="0"/>
              <w:jc w:val="center"/>
              <w:textAlignment w:val="center"/>
              <w:rPr>
                <w:color w:val="auto"/>
                <w:kern w:val="0"/>
                <w:sz w:val="21"/>
                <w:szCs w:val="21"/>
              </w:rPr>
            </w:pPr>
            <w:r>
              <w:rPr>
                <w:color w:val="auto"/>
                <w:kern w:val="0"/>
                <w:sz w:val="21"/>
                <w:szCs w:val="21"/>
              </w:rPr>
              <w:t>34.727867</w:t>
            </w:r>
            <w:r>
              <w:rPr>
                <w:rFonts w:hint="eastAsia"/>
                <w:color w:val="auto"/>
                <w:kern w:val="0"/>
                <w:sz w:val="21"/>
                <w:szCs w:val="21"/>
              </w:rPr>
              <w:t>N</w:t>
            </w:r>
          </w:p>
        </w:tc>
        <w:tc>
          <w:tcPr>
            <w:tcW w:w="432" w:type="pct"/>
            <w:shd w:val="clear" w:color="auto" w:fill="auto"/>
            <w:vAlign w:val="center"/>
          </w:tcPr>
          <w:p w14:paraId="771559D4">
            <w:pPr>
              <w:widowControl/>
              <w:spacing w:line="240" w:lineRule="auto"/>
              <w:ind w:firstLine="0" w:firstLineChars="0"/>
              <w:jc w:val="center"/>
              <w:textAlignment w:val="center"/>
              <w:rPr>
                <w:color w:val="auto"/>
                <w:kern w:val="0"/>
                <w:sz w:val="21"/>
                <w:szCs w:val="21"/>
              </w:rPr>
            </w:pPr>
            <w:r>
              <w:rPr>
                <w:rFonts w:hint="eastAsia"/>
                <w:color w:val="auto"/>
                <w:sz w:val="21"/>
                <w:szCs w:val="21"/>
              </w:rPr>
              <w:t>居民区</w:t>
            </w:r>
          </w:p>
        </w:tc>
        <w:tc>
          <w:tcPr>
            <w:tcW w:w="1584" w:type="dxa"/>
            <w:shd w:val="clear" w:color="auto" w:fill="auto"/>
            <w:noWrap/>
            <w:vAlign w:val="center"/>
          </w:tcPr>
          <w:p w14:paraId="09240DEF">
            <w:pPr>
              <w:widowControl/>
              <w:spacing w:line="240" w:lineRule="auto"/>
              <w:ind w:firstLine="0" w:firstLineChars="0"/>
              <w:jc w:val="center"/>
              <w:textAlignment w:val="center"/>
              <w:rPr>
                <w:color w:val="auto"/>
                <w:kern w:val="0"/>
                <w:sz w:val="21"/>
                <w:szCs w:val="21"/>
              </w:rPr>
            </w:pPr>
            <w:r>
              <w:rPr>
                <w:rFonts w:hint="eastAsia"/>
                <w:color w:val="auto"/>
                <w:sz w:val="21"/>
                <w:szCs w:val="21"/>
              </w:rPr>
              <w:t>2500</w:t>
            </w:r>
          </w:p>
        </w:tc>
        <w:tc>
          <w:tcPr>
            <w:tcW w:w="457" w:type="pct"/>
            <w:shd w:val="clear" w:color="auto" w:fill="auto"/>
            <w:noWrap/>
            <w:vAlign w:val="center"/>
          </w:tcPr>
          <w:p w14:paraId="47373D4D">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2D3784A5">
            <w:pPr>
              <w:widowControl/>
              <w:spacing w:line="240" w:lineRule="auto"/>
              <w:ind w:firstLine="0" w:firstLineChars="0"/>
              <w:jc w:val="center"/>
              <w:textAlignment w:val="center"/>
              <w:rPr>
                <w:color w:val="auto"/>
                <w:kern w:val="0"/>
                <w:sz w:val="21"/>
                <w:szCs w:val="21"/>
              </w:rPr>
            </w:pPr>
            <w:r>
              <w:rPr>
                <w:rFonts w:hint="eastAsia"/>
                <w:color w:val="auto"/>
                <w:sz w:val="21"/>
                <w:szCs w:val="21"/>
              </w:rPr>
              <w:t>1020</w:t>
            </w:r>
          </w:p>
        </w:tc>
        <w:tc>
          <w:tcPr>
            <w:tcW w:w="887" w:type="pct"/>
            <w:vMerge w:val="continue"/>
            <w:vAlign w:val="center"/>
          </w:tcPr>
          <w:p w14:paraId="45E88755">
            <w:pPr>
              <w:kinsoku w:val="0"/>
              <w:autoSpaceDE w:val="0"/>
              <w:autoSpaceDN w:val="0"/>
              <w:spacing w:line="240" w:lineRule="auto"/>
              <w:ind w:firstLine="0" w:firstLineChars="0"/>
              <w:jc w:val="center"/>
              <w:rPr>
                <w:color w:val="auto"/>
                <w:kern w:val="0"/>
                <w:sz w:val="21"/>
                <w:szCs w:val="21"/>
              </w:rPr>
            </w:pPr>
          </w:p>
        </w:tc>
      </w:tr>
      <w:tr w14:paraId="47DFAF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06375591">
            <w:pPr>
              <w:kinsoku w:val="0"/>
              <w:autoSpaceDE w:val="0"/>
              <w:autoSpaceDN w:val="0"/>
              <w:spacing w:line="240" w:lineRule="auto"/>
              <w:ind w:firstLine="0" w:firstLineChars="0"/>
              <w:jc w:val="center"/>
              <w:rPr>
                <w:color w:val="auto"/>
                <w:sz w:val="21"/>
                <w:szCs w:val="21"/>
              </w:rPr>
            </w:pPr>
          </w:p>
        </w:tc>
        <w:tc>
          <w:tcPr>
            <w:tcW w:w="764" w:type="pct"/>
            <w:shd w:val="clear" w:color="auto" w:fill="auto"/>
            <w:noWrap/>
            <w:vAlign w:val="center"/>
          </w:tcPr>
          <w:p w14:paraId="13DA414B">
            <w:pPr>
              <w:widowControl/>
              <w:spacing w:line="240" w:lineRule="auto"/>
              <w:ind w:firstLine="0" w:firstLineChars="0"/>
              <w:jc w:val="center"/>
              <w:textAlignment w:val="center"/>
              <w:rPr>
                <w:color w:val="auto"/>
                <w:kern w:val="0"/>
                <w:sz w:val="21"/>
                <w:szCs w:val="21"/>
              </w:rPr>
            </w:pPr>
            <w:r>
              <w:rPr>
                <w:rFonts w:hint="eastAsia"/>
                <w:color w:val="auto"/>
                <w:sz w:val="21"/>
                <w:szCs w:val="21"/>
              </w:rPr>
              <w:t>恒大翡翠湾（在建）</w:t>
            </w:r>
          </w:p>
        </w:tc>
        <w:tc>
          <w:tcPr>
            <w:tcW w:w="574" w:type="pct"/>
            <w:shd w:val="clear" w:color="auto" w:fill="auto"/>
            <w:noWrap/>
            <w:vAlign w:val="center"/>
          </w:tcPr>
          <w:p w14:paraId="370794C4">
            <w:pPr>
              <w:widowControl/>
              <w:spacing w:line="240" w:lineRule="auto"/>
              <w:ind w:firstLine="0" w:firstLineChars="0"/>
              <w:jc w:val="center"/>
              <w:textAlignment w:val="center"/>
              <w:rPr>
                <w:color w:val="auto"/>
                <w:kern w:val="0"/>
                <w:sz w:val="21"/>
                <w:szCs w:val="21"/>
              </w:rPr>
            </w:pPr>
            <w:r>
              <w:rPr>
                <w:color w:val="auto"/>
                <w:kern w:val="0"/>
                <w:sz w:val="21"/>
                <w:szCs w:val="21"/>
              </w:rPr>
              <w:t>119.243822</w:t>
            </w:r>
            <w:r>
              <w:rPr>
                <w:rFonts w:hint="eastAsia"/>
                <w:color w:val="auto"/>
                <w:kern w:val="0"/>
                <w:sz w:val="21"/>
                <w:szCs w:val="21"/>
              </w:rPr>
              <w:t>E</w:t>
            </w:r>
          </w:p>
        </w:tc>
        <w:tc>
          <w:tcPr>
            <w:tcW w:w="510" w:type="pct"/>
            <w:shd w:val="clear" w:color="auto" w:fill="auto"/>
            <w:noWrap/>
            <w:vAlign w:val="center"/>
          </w:tcPr>
          <w:p w14:paraId="38E2F7B9">
            <w:pPr>
              <w:widowControl/>
              <w:spacing w:line="240" w:lineRule="auto"/>
              <w:ind w:firstLine="0" w:firstLineChars="0"/>
              <w:jc w:val="center"/>
              <w:textAlignment w:val="center"/>
              <w:rPr>
                <w:color w:val="auto"/>
                <w:kern w:val="0"/>
                <w:sz w:val="21"/>
                <w:szCs w:val="21"/>
              </w:rPr>
            </w:pPr>
            <w:r>
              <w:rPr>
                <w:color w:val="auto"/>
                <w:kern w:val="0"/>
                <w:sz w:val="21"/>
                <w:szCs w:val="21"/>
              </w:rPr>
              <w:t>34.7374164</w:t>
            </w:r>
            <w:r>
              <w:rPr>
                <w:rFonts w:hint="eastAsia"/>
                <w:color w:val="auto"/>
                <w:kern w:val="0"/>
                <w:sz w:val="21"/>
                <w:szCs w:val="21"/>
              </w:rPr>
              <w:t>N</w:t>
            </w:r>
          </w:p>
        </w:tc>
        <w:tc>
          <w:tcPr>
            <w:tcW w:w="432" w:type="pct"/>
            <w:shd w:val="clear" w:color="auto" w:fill="auto"/>
            <w:vAlign w:val="center"/>
          </w:tcPr>
          <w:p w14:paraId="764649D9">
            <w:pPr>
              <w:widowControl/>
              <w:spacing w:line="240" w:lineRule="auto"/>
              <w:ind w:firstLine="0" w:firstLineChars="0"/>
              <w:jc w:val="center"/>
              <w:textAlignment w:val="center"/>
              <w:rPr>
                <w:color w:val="auto"/>
                <w:kern w:val="0"/>
                <w:sz w:val="21"/>
                <w:szCs w:val="21"/>
              </w:rPr>
            </w:pPr>
            <w:r>
              <w:rPr>
                <w:rFonts w:hint="eastAsia"/>
                <w:color w:val="auto"/>
                <w:sz w:val="21"/>
                <w:szCs w:val="21"/>
              </w:rPr>
              <w:t>居民区</w:t>
            </w:r>
          </w:p>
        </w:tc>
        <w:tc>
          <w:tcPr>
            <w:tcW w:w="1584" w:type="dxa"/>
            <w:shd w:val="clear" w:color="auto" w:fill="auto"/>
            <w:noWrap/>
            <w:vAlign w:val="center"/>
          </w:tcPr>
          <w:p w14:paraId="018BFB47">
            <w:pPr>
              <w:widowControl/>
              <w:spacing w:line="240" w:lineRule="auto"/>
              <w:ind w:firstLine="0" w:firstLineChars="0"/>
              <w:jc w:val="center"/>
              <w:textAlignment w:val="center"/>
              <w:rPr>
                <w:color w:val="auto"/>
                <w:kern w:val="0"/>
                <w:sz w:val="21"/>
                <w:szCs w:val="21"/>
              </w:rPr>
            </w:pPr>
            <w:r>
              <w:rPr>
                <w:rFonts w:hint="eastAsia"/>
                <w:color w:val="auto"/>
                <w:sz w:val="21"/>
                <w:szCs w:val="21"/>
              </w:rPr>
              <w:t>4000</w:t>
            </w:r>
          </w:p>
        </w:tc>
        <w:tc>
          <w:tcPr>
            <w:tcW w:w="457" w:type="pct"/>
            <w:shd w:val="clear" w:color="auto" w:fill="auto"/>
            <w:noWrap/>
            <w:vAlign w:val="center"/>
          </w:tcPr>
          <w:p w14:paraId="72338691">
            <w:pPr>
              <w:widowControl/>
              <w:spacing w:line="240" w:lineRule="auto"/>
              <w:ind w:firstLine="0" w:firstLineChars="0"/>
              <w:jc w:val="center"/>
              <w:textAlignment w:val="center"/>
              <w:rPr>
                <w:color w:val="auto"/>
                <w:kern w:val="0"/>
                <w:sz w:val="21"/>
                <w:szCs w:val="21"/>
              </w:rPr>
            </w:pPr>
            <w:r>
              <w:rPr>
                <w:rFonts w:hint="eastAsia"/>
                <w:color w:val="auto"/>
                <w:sz w:val="21"/>
                <w:szCs w:val="21"/>
              </w:rPr>
              <w:t>E</w:t>
            </w:r>
          </w:p>
        </w:tc>
        <w:tc>
          <w:tcPr>
            <w:tcW w:w="563" w:type="pct"/>
            <w:shd w:val="clear" w:color="auto" w:fill="auto"/>
            <w:vAlign w:val="center"/>
          </w:tcPr>
          <w:p w14:paraId="3DBE5639">
            <w:pPr>
              <w:widowControl/>
              <w:spacing w:line="240" w:lineRule="auto"/>
              <w:ind w:firstLine="0" w:firstLineChars="0"/>
              <w:jc w:val="center"/>
              <w:textAlignment w:val="center"/>
              <w:rPr>
                <w:color w:val="auto"/>
                <w:kern w:val="0"/>
                <w:sz w:val="21"/>
                <w:szCs w:val="21"/>
              </w:rPr>
            </w:pPr>
            <w:r>
              <w:rPr>
                <w:rFonts w:hint="eastAsia"/>
                <w:color w:val="auto"/>
                <w:sz w:val="21"/>
                <w:szCs w:val="21"/>
              </w:rPr>
              <w:t>1240</w:t>
            </w:r>
          </w:p>
        </w:tc>
        <w:tc>
          <w:tcPr>
            <w:tcW w:w="887" w:type="pct"/>
            <w:vMerge w:val="continue"/>
            <w:vAlign w:val="center"/>
          </w:tcPr>
          <w:p w14:paraId="49FE9D27">
            <w:pPr>
              <w:kinsoku w:val="0"/>
              <w:autoSpaceDE w:val="0"/>
              <w:autoSpaceDN w:val="0"/>
              <w:spacing w:line="240" w:lineRule="auto"/>
              <w:ind w:firstLine="0" w:firstLineChars="0"/>
              <w:jc w:val="center"/>
              <w:rPr>
                <w:color w:val="auto"/>
                <w:kern w:val="0"/>
                <w:sz w:val="21"/>
                <w:szCs w:val="21"/>
              </w:rPr>
            </w:pPr>
          </w:p>
        </w:tc>
      </w:tr>
      <w:tr w14:paraId="5C3CD6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6B69C0AA">
            <w:pPr>
              <w:kinsoku w:val="0"/>
              <w:autoSpaceDE w:val="0"/>
              <w:autoSpaceDN w:val="0"/>
              <w:spacing w:line="240" w:lineRule="auto"/>
              <w:ind w:firstLine="0" w:firstLineChars="0"/>
              <w:jc w:val="center"/>
              <w:rPr>
                <w:color w:val="auto"/>
                <w:sz w:val="21"/>
                <w:szCs w:val="21"/>
              </w:rPr>
            </w:pPr>
          </w:p>
        </w:tc>
        <w:tc>
          <w:tcPr>
            <w:tcW w:w="764" w:type="pct"/>
            <w:shd w:val="clear" w:color="auto" w:fill="auto"/>
            <w:noWrap/>
            <w:vAlign w:val="center"/>
          </w:tcPr>
          <w:p w14:paraId="531139BC">
            <w:pPr>
              <w:widowControl/>
              <w:spacing w:line="240" w:lineRule="auto"/>
              <w:ind w:firstLine="0" w:firstLineChars="0"/>
              <w:jc w:val="center"/>
              <w:textAlignment w:val="center"/>
              <w:rPr>
                <w:color w:val="auto"/>
                <w:kern w:val="0"/>
                <w:sz w:val="21"/>
                <w:szCs w:val="21"/>
              </w:rPr>
            </w:pPr>
            <w:r>
              <w:rPr>
                <w:rFonts w:hint="eastAsia"/>
                <w:color w:val="auto"/>
                <w:sz w:val="21"/>
                <w:szCs w:val="21"/>
              </w:rPr>
              <w:t>港逸幼儿园</w:t>
            </w:r>
          </w:p>
        </w:tc>
        <w:tc>
          <w:tcPr>
            <w:tcW w:w="574" w:type="pct"/>
            <w:shd w:val="clear" w:color="auto" w:fill="auto"/>
            <w:noWrap/>
            <w:vAlign w:val="center"/>
          </w:tcPr>
          <w:p w14:paraId="56E0C46D">
            <w:pPr>
              <w:widowControl/>
              <w:spacing w:line="240" w:lineRule="auto"/>
              <w:ind w:firstLine="0" w:firstLineChars="0"/>
              <w:jc w:val="center"/>
              <w:textAlignment w:val="center"/>
              <w:rPr>
                <w:color w:val="auto"/>
                <w:kern w:val="0"/>
                <w:sz w:val="21"/>
                <w:szCs w:val="21"/>
              </w:rPr>
            </w:pPr>
            <w:r>
              <w:rPr>
                <w:color w:val="auto"/>
                <w:kern w:val="0"/>
                <w:sz w:val="21"/>
                <w:szCs w:val="21"/>
              </w:rPr>
              <w:t>119.235132</w:t>
            </w:r>
            <w:r>
              <w:rPr>
                <w:rFonts w:hint="eastAsia"/>
                <w:color w:val="auto"/>
                <w:kern w:val="0"/>
                <w:sz w:val="21"/>
                <w:szCs w:val="21"/>
              </w:rPr>
              <w:t>E</w:t>
            </w:r>
          </w:p>
        </w:tc>
        <w:tc>
          <w:tcPr>
            <w:tcW w:w="510" w:type="pct"/>
            <w:shd w:val="clear" w:color="auto" w:fill="auto"/>
            <w:noWrap/>
            <w:vAlign w:val="center"/>
          </w:tcPr>
          <w:p w14:paraId="07DC6F5B">
            <w:pPr>
              <w:widowControl/>
              <w:spacing w:line="240" w:lineRule="auto"/>
              <w:ind w:firstLine="0" w:firstLineChars="0"/>
              <w:jc w:val="center"/>
              <w:textAlignment w:val="center"/>
              <w:rPr>
                <w:color w:val="auto"/>
                <w:kern w:val="0"/>
                <w:sz w:val="21"/>
                <w:szCs w:val="21"/>
              </w:rPr>
            </w:pPr>
            <w:r>
              <w:rPr>
                <w:color w:val="auto"/>
                <w:kern w:val="0"/>
                <w:sz w:val="21"/>
                <w:szCs w:val="21"/>
              </w:rPr>
              <w:t>34.726870</w:t>
            </w:r>
            <w:r>
              <w:rPr>
                <w:rFonts w:hint="eastAsia"/>
                <w:color w:val="auto"/>
                <w:kern w:val="0"/>
                <w:sz w:val="21"/>
                <w:szCs w:val="21"/>
              </w:rPr>
              <w:t>N</w:t>
            </w:r>
          </w:p>
        </w:tc>
        <w:tc>
          <w:tcPr>
            <w:tcW w:w="432" w:type="pct"/>
            <w:shd w:val="clear" w:color="auto" w:fill="auto"/>
            <w:vAlign w:val="center"/>
          </w:tcPr>
          <w:p w14:paraId="2EA89CCC">
            <w:pPr>
              <w:widowControl/>
              <w:spacing w:line="240" w:lineRule="auto"/>
              <w:ind w:firstLine="0" w:firstLineChars="0"/>
              <w:jc w:val="center"/>
              <w:textAlignment w:val="center"/>
              <w:rPr>
                <w:color w:val="auto"/>
                <w:kern w:val="0"/>
                <w:sz w:val="21"/>
                <w:szCs w:val="21"/>
              </w:rPr>
            </w:pPr>
            <w:r>
              <w:rPr>
                <w:rFonts w:hint="eastAsia"/>
                <w:color w:val="auto"/>
                <w:sz w:val="21"/>
                <w:szCs w:val="21"/>
              </w:rPr>
              <w:t>学校</w:t>
            </w:r>
          </w:p>
        </w:tc>
        <w:tc>
          <w:tcPr>
            <w:tcW w:w="1584" w:type="dxa"/>
            <w:shd w:val="clear" w:color="auto" w:fill="auto"/>
            <w:noWrap/>
            <w:vAlign w:val="center"/>
          </w:tcPr>
          <w:p w14:paraId="1594146E">
            <w:pPr>
              <w:widowControl/>
              <w:spacing w:line="240" w:lineRule="auto"/>
              <w:ind w:firstLine="0" w:firstLineChars="0"/>
              <w:jc w:val="center"/>
              <w:textAlignment w:val="center"/>
              <w:rPr>
                <w:color w:val="auto"/>
                <w:kern w:val="0"/>
                <w:sz w:val="21"/>
                <w:szCs w:val="21"/>
              </w:rPr>
            </w:pPr>
            <w:r>
              <w:rPr>
                <w:rFonts w:hint="eastAsia"/>
                <w:color w:val="auto"/>
                <w:sz w:val="21"/>
                <w:szCs w:val="21"/>
              </w:rPr>
              <w:t>300</w:t>
            </w:r>
          </w:p>
        </w:tc>
        <w:tc>
          <w:tcPr>
            <w:tcW w:w="457" w:type="pct"/>
            <w:shd w:val="clear" w:color="auto" w:fill="auto"/>
            <w:noWrap/>
            <w:vAlign w:val="center"/>
          </w:tcPr>
          <w:p w14:paraId="6CE07D06">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7B2950CD">
            <w:pPr>
              <w:widowControl/>
              <w:spacing w:line="240" w:lineRule="auto"/>
              <w:ind w:firstLine="0" w:firstLineChars="0"/>
              <w:jc w:val="center"/>
              <w:textAlignment w:val="center"/>
              <w:rPr>
                <w:color w:val="auto"/>
                <w:kern w:val="0"/>
                <w:sz w:val="21"/>
                <w:szCs w:val="21"/>
              </w:rPr>
            </w:pPr>
            <w:r>
              <w:rPr>
                <w:rFonts w:hint="eastAsia"/>
                <w:color w:val="auto"/>
                <w:sz w:val="21"/>
                <w:szCs w:val="21"/>
              </w:rPr>
              <w:t>1229</w:t>
            </w:r>
          </w:p>
        </w:tc>
        <w:tc>
          <w:tcPr>
            <w:tcW w:w="887" w:type="pct"/>
            <w:vMerge w:val="continue"/>
            <w:vAlign w:val="center"/>
          </w:tcPr>
          <w:p w14:paraId="7B0DD1F6">
            <w:pPr>
              <w:kinsoku w:val="0"/>
              <w:autoSpaceDE w:val="0"/>
              <w:autoSpaceDN w:val="0"/>
              <w:spacing w:line="240" w:lineRule="auto"/>
              <w:ind w:firstLine="0" w:firstLineChars="0"/>
              <w:jc w:val="center"/>
              <w:rPr>
                <w:color w:val="auto"/>
                <w:kern w:val="0"/>
                <w:sz w:val="21"/>
                <w:szCs w:val="21"/>
              </w:rPr>
            </w:pPr>
          </w:p>
        </w:tc>
      </w:tr>
      <w:tr w14:paraId="351704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25000018">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0C1071E3">
            <w:pPr>
              <w:widowControl/>
              <w:spacing w:line="240" w:lineRule="auto"/>
              <w:ind w:firstLine="0" w:firstLineChars="0"/>
              <w:jc w:val="center"/>
              <w:textAlignment w:val="center"/>
              <w:rPr>
                <w:color w:val="auto"/>
                <w:kern w:val="0"/>
                <w:sz w:val="21"/>
                <w:szCs w:val="21"/>
              </w:rPr>
            </w:pPr>
            <w:r>
              <w:rPr>
                <w:rFonts w:hint="eastAsia"/>
                <w:color w:val="auto"/>
                <w:sz w:val="21"/>
                <w:szCs w:val="21"/>
              </w:rPr>
              <w:t>昌圩派出所</w:t>
            </w:r>
          </w:p>
        </w:tc>
        <w:tc>
          <w:tcPr>
            <w:tcW w:w="574" w:type="pct"/>
            <w:shd w:val="clear" w:color="auto" w:fill="auto"/>
            <w:noWrap/>
            <w:vAlign w:val="center"/>
          </w:tcPr>
          <w:p w14:paraId="6DEDCAC8">
            <w:pPr>
              <w:widowControl/>
              <w:spacing w:line="240" w:lineRule="auto"/>
              <w:ind w:firstLine="0" w:firstLineChars="0"/>
              <w:jc w:val="center"/>
              <w:textAlignment w:val="center"/>
              <w:rPr>
                <w:color w:val="auto"/>
                <w:kern w:val="0"/>
                <w:sz w:val="21"/>
                <w:szCs w:val="21"/>
              </w:rPr>
            </w:pPr>
            <w:r>
              <w:rPr>
                <w:color w:val="auto"/>
                <w:kern w:val="0"/>
                <w:sz w:val="21"/>
                <w:szCs w:val="21"/>
              </w:rPr>
              <w:t>119.249927</w:t>
            </w:r>
            <w:r>
              <w:rPr>
                <w:rFonts w:hint="eastAsia"/>
                <w:color w:val="auto"/>
                <w:kern w:val="0"/>
                <w:sz w:val="21"/>
                <w:szCs w:val="21"/>
              </w:rPr>
              <w:t>E</w:t>
            </w:r>
          </w:p>
        </w:tc>
        <w:tc>
          <w:tcPr>
            <w:tcW w:w="510" w:type="pct"/>
            <w:shd w:val="clear" w:color="auto" w:fill="auto"/>
            <w:noWrap/>
            <w:vAlign w:val="center"/>
          </w:tcPr>
          <w:p w14:paraId="56895922">
            <w:pPr>
              <w:widowControl/>
              <w:spacing w:line="240" w:lineRule="auto"/>
              <w:ind w:firstLine="0" w:firstLineChars="0"/>
              <w:jc w:val="center"/>
              <w:textAlignment w:val="center"/>
              <w:rPr>
                <w:color w:val="auto"/>
                <w:kern w:val="0"/>
                <w:sz w:val="21"/>
                <w:szCs w:val="21"/>
              </w:rPr>
            </w:pPr>
            <w:r>
              <w:rPr>
                <w:color w:val="auto"/>
                <w:kern w:val="0"/>
                <w:sz w:val="21"/>
                <w:szCs w:val="21"/>
              </w:rPr>
              <w:t>34.722578</w:t>
            </w:r>
            <w:r>
              <w:rPr>
                <w:rFonts w:hint="eastAsia"/>
                <w:color w:val="auto"/>
                <w:kern w:val="0"/>
                <w:sz w:val="21"/>
                <w:szCs w:val="21"/>
              </w:rPr>
              <w:t>N</w:t>
            </w:r>
          </w:p>
        </w:tc>
        <w:tc>
          <w:tcPr>
            <w:tcW w:w="432" w:type="pct"/>
            <w:shd w:val="clear" w:color="auto" w:fill="auto"/>
            <w:vAlign w:val="center"/>
          </w:tcPr>
          <w:p w14:paraId="6E2D5E91">
            <w:pPr>
              <w:widowControl/>
              <w:spacing w:line="240" w:lineRule="auto"/>
              <w:ind w:firstLine="0" w:firstLineChars="0"/>
              <w:jc w:val="center"/>
              <w:textAlignment w:val="center"/>
              <w:rPr>
                <w:color w:val="auto"/>
                <w:kern w:val="0"/>
                <w:sz w:val="21"/>
                <w:szCs w:val="21"/>
              </w:rPr>
            </w:pPr>
            <w:r>
              <w:rPr>
                <w:rFonts w:hint="eastAsia"/>
                <w:color w:val="auto"/>
                <w:sz w:val="21"/>
                <w:szCs w:val="21"/>
              </w:rPr>
              <w:t>机关单位</w:t>
            </w:r>
          </w:p>
        </w:tc>
        <w:tc>
          <w:tcPr>
            <w:tcW w:w="1584" w:type="dxa"/>
            <w:shd w:val="clear" w:color="auto" w:fill="auto"/>
            <w:noWrap/>
            <w:vAlign w:val="center"/>
          </w:tcPr>
          <w:p w14:paraId="5D91CC1F">
            <w:pPr>
              <w:widowControl/>
              <w:spacing w:line="240" w:lineRule="auto"/>
              <w:ind w:firstLine="0" w:firstLineChars="0"/>
              <w:jc w:val="center"/>
              <w:textAlignment w:val="center"/>
              <w:rPr>
                <w:color w:val="auto"/>
                <w:kern w:val="0"/>
                <w:sz w:val="21"/>
                <w:szCs w:val="21"/>
              </w:rPr>
            </w:pPr>
            <w:r>
              <w:rPr>
                <w:rFonts w:hint="eastAsia"/>
                <w:color w:val="auto"/>
                <w:sz w:val="21"/>
                <w:szCs w:val="21"/>
              </w:rPr>
              <w:t>80</w:t>
            </w:r>
          </w:p>
        </w:tc>
        <w:tc>
          <w:tcPr>
            <w:tcW w:w="457" w:type="pct"/>
            <w:shd w:val="clear" w:color="auto" w:fill="auto"/>
            <w:noWrap/>
            <w:vAlign w:val="center"/>
          </w:tcPr>
          <w:p w14:paraId="3D50AD62">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5B18668F">
            <w:pPr>
              <w:widowControl/>
              <w:spacing w:line="240" w:lineRule="auto"/>
              <w:ind w:firstLine="0" w:firstLineChars="0"/>
              <w:jc w:val="center"/>
              <w:textAlignment w:val="center"/>
              <w:rPr>
                <w:color w:val="auto"/>
                <w:kern w:val="0"/>
                <w:sz w:val="21"/>
                <w:szCs w:val="21"/>
              </w:rPr>
            </w:pPr>
            <w:r>
              <w:rPr>
                <w:rFonts w:hint="eastAsia"/>
                <w:color w:val="auto"/>
                <w:sz w:val="21"/>
                <w:szCs w:val="21"/>
              </w:rPr>
              <w:t>2540</w:t>
            </w:r>
          </w:p>
        </w:tc>
        <w:tc>
          <w:tcPr>
            <w:tcW w:w="887" w:type="pct"/>
            <w:vMerge w:val="continue"/>
            <w:vAlign w:val="center"/>
          </w:tcPr>
          <w:p w14:paraId="5223739C">
            <w:pPr>
              <w:kinsoku w:val="0"/>
              <w:autoSpaceDE w:val="0"/>
              <w:autoSpaceDN w:val="0"/>
              <w:spacing w:line="240" w:lineRule="auto"/>
              <w:ind w:firstLine="0" w:firstLineChars="0"/>
              <w:jc w:val="center"/>
              <w:rPr>
                <w:color w:val="auto"/>
                <w:kern w:val="0"/>
                <w:sz w:val="21"/>
                <w:szCs w:val="21"/>
              </w:rPr>
            </w:pPr>
          </w:p>
        </w:tc>
      </w:tr>
      <w:tr w14:paraId="39C9ED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4F17AAF5">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5A06693F">
            <w:pPr>
              <w:widowControl/>
              <w:spacing w:line="240" w:lineRule="auto"/>
              <w:ind w:firstLine="0" w:firstLineChars="0"/>
              <w:jc w:val="center"/>
              <w:textAlignment w:val="center"/>
              <w:rPr>
                <w:color w:val="auto"/>
                <w:kern w:val="0"/>
                <w:sz w:val="21"/>
                <w:szCs w:val="21"/>
              </w:rPr>
            </w:pPr>
            <w:r>
              <w:rPr>
                <w:rFonts w:hint="eastAsia"/>
                <w:color w:val="auto"/>
                <w:sz w:val="21"/>
                <w:szCs w:val="21"/>
              </w:rPr>
              <w:t>融盛状元府</w:t>
            </w:r>
          </w:p>
        </w:tc>
        <w:tc>
          <w:tcPr>
            <w:tcW w:w="574" w:type="pct"/>
            <w:shd w:val="clear" w:color="auto" w:fill="auto"/>
            <w:noWrap/>
            <w:vAlign w:val="center"/>
          </w:tcPr>
          <w:p w14:paraId="43007379">
            <w:pPr>
              <w:widowControl/>
              <w:spacing w:line="240" w:lineRule="auto"/>
              <w:ind w:firstLine="0" w:firstLineChars="0"/>
              <w:jc w:val="center"/>
              <w:textAlignment w:val="center"/>
              <w:rPr>
                <w:color w:val="auto"/>
                <w:kern w:val="0"/>
                <w:sz w:val="21"/>
                <w:szCs w:val="21"/>
              </w:rPr>
            </w:pPr>
            <w:r>
              <w:rPr>
                <w:color w:val="auto"/>
                <w:kern w:val="0"/>
                <w:sz w:val="21"/>
                <w:szCs w:val="21"/>
              </w:rPr>
              <w:t>119.246966</w:t>
            </w:r>
            <w:r>
              <w:rPr>
                <w:rFonts w:hint="eastAsia"/>
                <w:color w:val="auto"/>
                <w:kern w:val="0"/>
                <w:sz w:val="21"/>
                <w:szCs w:val="21"/>
              </w:rPr>
              <w:t>E</w:t>
            </w:r>
          </w:p>
        </w:tc>
        <w:tc>
          <w:tcPr>
            <w:tcW w:w="510" w:type="pct"/>
            <w:shd w:val="clear" w:color="auto" w:fill="auto"/>
            <w:noWrap/>
            <w:vAlign w:val="center"/>
          </w:tcPr>
          <w:p w14:paraId="035ABDC8">
            <w:pPr>
              <w:widowControl/>
              <w:spacing w:line="240" w:lineRule="auto"/>
              <w:ind w:firstLine="0" w:firstLineChars="0"/>
              <w:jc w:val="center"/>
              <w:textAlignment w:val="center"/>
              <w:rPr>
                <w:color w:val="auto"/>
                <w:kern w:val="0"/>
                <w:sz w:val="21"/>
                <w:szCs w:val="21"/>
              </w:rPr>
            </w:pPr>
            <w:r>
              <w:rPr>
                <w:color w:val="auto"/>
                <w:kern w:val="0"/>
                <w:sz w:val="21"/>
                <w:szCs w:val="21"/>
              </w:rPr>
              <w:t>34.719381</w:t>
            </w:r>
            <w:r>
              <w:rPr>
                <w:rFonts w:hint="eastAsia"/>
                <w:color w:val="auto"/>
                <w:kern w:val="0"/>
                <w:sz w:val="21"/>
                <w:szCs w:val="21"/>
              </w:rPr>
              <w:t>N</w:t>
            </w:r>
          </w:p>
        </w:tc>
        <w:tc>
          <w:tcPr>
            <w:tcW w:w="432" w:type="pct"/>
            <w:shd w:val="clear" w:color="auto" w:fill="auto"/>
            <w:vAlign w:val="center"/>
          </w:tcPr>
          <w:p w14:paraId="4B2F4672">
            <w:pPr>
              <w:widowControl/>
              <w:spacing w:line="240" w:lineRule="auto"/>
              <w:ind w:firstLine="0" w:firstLineChars="0"/>
              <w:jc w:val="center"/>
              <w:textAlignment w:val="center"/>
              <w:rPr>
                <w:color w:val="auto"/>
                <w:kern w:val="0"/>
                <w:sz w:val="21"/>
                <w:szCs w:val="21"/>
              </w:rPr>
            </w:pPr>
            <w:r>
              <w:rPr>
                <w:rFonts w:hint="eastAsia"/>
                <w:color w:val="auto"/>
                <w:sz w:val="21"/>
                <w:szCs w:val="21"/>
              </w:rPr>
              <w:t>居民区</w:t>
            </w:r>
          </w:p>
        </w:tc>
        <w:tc>
          <w:tcPr>
            <w:tcW w:w="1584" w:type="dxa"/>
            <w:shd w:val="clear" w:color="auto" w:fill="auto"/>
            <w:noWrap/>
            <w:vAlign w:val="center"/>
          </w:tcPr>
          <w:p w14:paraId="6FAE645E">
            <w:pPr>
              <w:widowControl/>
              <w:spacing w:line="240" w:lineRule="auto"/>
              <w:ind w:firstLine="0" w:firstLineChars="0"/>
              <w:jc w:val="center"/>
              <w:textAlignment w:val="center"/>
              <w:rPr>
                <w:color w:val="auto"/>
                <w:kern w:val="0"/>
                <w:sz w:val="21"/>
                <w:szCs w:val="21"/>
              </w:rPr>
            </w:pPr>
            <w:r>
              <w:rPr>
                <w:rFonts w:hint="eastAsia"/>
                <w:color w:val="auto"/>
                <w:sz w:val="21"/>
                <w:szCs w:val="21"/>
              </w:rPr>
              <w:t>3500</w:t>
            </w:r>
          </w:p>
        </w:tc>
        <w:tc>
          <w:tcPr>
            <w:tcW w:w="457" w:type="pct"/>
            <w:shd w:val="clear" w:color="auto" w:fill="auto"/>
            <w:noWrap/>
            <w:vAlign w:val="center"/>
          </w:tcPr>
          <w:p w14:paraId="104D6C01">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05350D9A">
            <w:pPr>
              <w:widowControl/>
              <w:spacing w:line="240" w:lineRule="auto"/>
              <w:ind w:firstLine="0" w:firstLineChars="0"/>
              <w:jc w:val="center"/>
              <w:textAlignment w:val="center"/>
              <w:rPr>
                <w:color w:val="auto"/>
                <w:kern w:val="0"/>
                <w:sz w:val="21"/>
                <w:szCs w:val="21"/>
              </w:rPr>
            </w:pPr>
            <w:r>
              <w:rPr>
                <w:rFonts w:hint="eastAsia"/>
                <w:color w:val="auto"/>
                <w:sz w:val="21"/>
                <w:szCs w:val="21"/>
              </w:rPr>
              <w:t>2448</w:t>
            </w:r>
          </w:p>
        </w:tc>
        <w:tc>
          <w:tcPr>
            <w:tcW w:w="887" w:type="pct"/>
            <w:vMerge w:val="continue"/>
            <w:vAlign w:val="center"/>
          </w:tcPr>
          <w:p w14:paraId="5F577900">
            <w:pPr>
              <w:kinsoku w:val="0"/>
              <w:autoSpaceDE w:val="0"/>
              <w:autoSpaceDN w:val="0"/>
              <w:spacing w:line="240" w:lineRule="auto"/>
              <w:ind w:firstLine="0" w:firstLineChars="0"/>
              <w:jc w:val="center"/>
              <w:rPr>
                <w:color w:val="auto"/>
                <w:kern w:val="0"/>
                <w:sz w:val="21"/>
                <w:szCs w:val="21"/>
              </w:rPr>
            </w:pPr>
          </w:p>
        </w:tc>
      </w:tr>
      <w:tr w14:paraId="7F70B7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12B12A80">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31B819A3">
            <w:pPr>
              <w:widowControl/>
              <w:spacing w:line="240" w:lineRule="auto"/>
              <w:ind w:firstLine="0" w:firstLineChars="0"/>
              <w:jc w:val="center"/>
              <w:textAlignment w:val="center"/>
              <w:rPr>
                <w:color w:val="auto"/>
                <w:kern w:val="0"/>
                <w:sz w:val="21"/>
                <w:szCs w:val="21"/>
              </w:rPr>
            </w:pPr>
            <w:r>
              <w:rPr>
                <w:rFonts w:hint="eastAsia"/>
                <w:color w:val="auto"/>
                <w:sz w:val="21"/>
                <w:szCs w:val="21"/>
              </w:rPr>
              <w:t>尚都未来城（在建）</w:t>
            </w:r>
          </w:p>
        </w:tc>
        <w:tc>
          <w:tcPr>
            <w:tcW w:w="574" w:type="pct"/>
            <w:shd w:val="clear" w:color="auto" w:fill="auto"/>
            <w:noWrap/>
            <w:vAlign w:val="center"/>
          </w:tcPr>
          <w:p w14:paraId="7EBC5156">
            <w:pPr>
              <w:widowControl/>
              <w:spacing w:line="240" w:lineRule="auto"/>
              <w:ind w:firstLine="0" w:firstLineChars="0"/>
              <w:jc w:val="center"/>
              <w:textAlignment w:val="center"/>
              <w:rPr>
                <w:color w:val="auto"/>
                <w:kern w:val="0"/>
                <w:sz w:val="21"/>
                <w:szCs w:val="21"/>
              </w:rPr>
            </w:pPr>
            <w:r>
              <w:rPr>
                <w:color w:val="auto"/>
                <w:kern w:val="0"/>
                <w:sz w:val="21"/>
                <w:szCs w:val="21"/>
              </w:rPr>
              <w:t>119.242953</w:t>
            </w:r>
            <w:r>
              <w:rPr>
                <w:rFonts w:hint="eastAsia"/>
                <w:color w:val="auto"/>
                <w:kern w:val="0"/>
                <w:sz w:val="21"/>
                <w:szCs w:val="21"/>
              </w:rPr>
              <w:t>E</w:t>
            </w:r>
          </w:p>
        </w:tc>
        <w:tc>
          <w:tcPr>
            <w:tcW w:w="510" w:type="pct"/>
            <w:shd w:val="clear" w:color="auto" w:fill="auto"/>
            <w:noWrap/>
            <w:vAlign w:val="center"/>
          </w:tcPr>
          <w:p w14:paraId="19894941">
            <w:pPr>
              <w:widowControl/>
              <w:spacing w:line="240" w:lineRule="auto"/>
              <w:ind w:firstLine="0" w:firstLineChars="0"/>
              <w:jc w:val="center"/>
              <w:textAlignment w:val="center"/>
              <w:rPr>
                <w:color w:val="auto"/>
                <w:kern w:val="0"/>
                <w:sz w:val="21"/>
                <w:szCs w:val="21"/>
              </w:rPr>
            </w:pPr>
            <w:r>
              <w:rPr>
                <w:color w:val="auto"/>
                <w:kern w:val="0"/>
                <w:sz w:val="21"/>
                <w:szCs w:val="21"/>
              </w:rPr>
              <w:t>34.716827</w:t>
            </w:r>
            <w:r>
              <w:rPr>
                <w:rFonts w:hint="eastAsia"/>
                <w:color w:val="auto"/>
                <w:kern w:val="0"/>
                <w:sz w:val="21"/>
                <w:szCs w:val="21"/>
              </w:rPr>
              <w:t>N</w:t>
            </w:r>
          </w:p>
        </w:tc>
        <w:tc>
          <w:tcPr>
            <w:tcW w:w="432" w:type="pct"/>
            <w:shd w:val="clear" w:color="auto" w:fill="auto"/>
            <w:vAlign w:val="center"/>
          </w:tcPr>
          <w:p w14:paraId="42CC0394">
            <w:pPr>
              <w:widowControl/>
              <w:spacing w:line="240" w:lineRule="auto"/>
              <w:ind w:firstLine="0" w:firstLineChars="0"/>
              <w:jc w:val="center"/>
              <w:textAlignment w:val="center"/>
              <w:rPr>
                <w:color w:val="auto"/>
                <w:kern w:val="0"/>
                <w:sz w:val="21"/>
                <w:szCs w:val="21"/>
              </w:rPr>
            </w:pPr>
            <w:r>
              <w:rPr>
                <w:rFonts w:hint="eastAsia"/>
                <w:color w:val="auto"/>
                <w:sz w:val="21"/>
                <w:szCs w:val="21"/>
              </w:rPr>
              <w:t>居民区</w:t>
            </w:r>
          </w:p>
        </w:tc>
        <w:tc>
          <w:tcPr>
            <w:tcW w:w="1584" w:type="dxa"/>
            <w:shd w:val="clear" w:color="auto" w:fill="auto"/>
            <w:noWrap/>
            <w:vAlign w:val="center"/>
          </w:tcPr>
          <w:p w14:paraId="27B20AC0">
            <w:pPr>
              <w:widowControl/>
              <w:spacing w:line="240" w:lineRule="auto"/>
              <w:ind w:firstLine="0" w:firstLineChars="0"/>
              <w:jc w:val="center"/>
              <w:textAlignment w:val="center"/>
              <w:rPr>
                <w:color w:val="auto"/>
                <w:kern w:val="0"/>
                <w:sz w:val="21"/>
                <w:szCs w:val="21"/>
              </w:rPr>
            </w:pPr>
            <w:r>
              <w:rPr>
                <w:rFonts w:hint="eastAsia"/>
                <w:color w:val="auto"/>
                <w:sz w:val="21"/>
                <w:szCs w:val="21"/>
              </w:rPr>
              <w:t>2000</w:t>
            </w:r>
          </w:p>
        </w:tc>
        <w:tc>
          <w:tcPr>
            <w:tcW w:w="457" w:type="pct"/>
            <w:shd w:val="clear" w:color="auto" w:fill="auto"/>
            <w:noWrap/>
            <w:vAlign w:val="center"/>
          </w:tcPr>
          <w:p w14:paraId="74533440">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3708668C">
            <w:pPr>
              <w:widowControl/>
              <w:spacing w:line="240" w:lineRule="auto"/>
              <w:ind w:firstLine="0" w:firstLineChars="0"/>
              <w:jc w:val="center"/>
              <w:textAlignment w:val="center"/>
              <w:rPr>
                <w:color w:val="auto"/>
                <w:kern w:val="0"/>
                <w:sz w:val="21"/>
                <w:szCs w:val="21"/>
              </w:rPr>
            </w:pPr>
            <w:r>
              <w:rPr>
                <w:rFonts w:hint="eastAsia"/>
                <w:color w:val="auto"/>
                <w:sz w:val="21"/>
                <w:szCs w:val="21"/>
              </w:rPr>
              <w:t>2338</w:t>
            </w:r>
          </w:p>
        </w:tc>
        <w:tc>
          <w:tcPr>
            <w:tcW w:w="887" w:type="pct"/>
            <w:vMerge w:val="continue"/>
            <w:vAlign w:val="center"/>
          </w:tcPr>
          <w:p w14:paraId="5852E6E5">
            <w:pPr>
              <w:kinsoku w:val="0"/>
              <w:autoSpaceDE w:val="0"/>
              <w:autoSpaceDN w:val="0"/>
              <w:spacing w:line="240" w:lineRule="auto"/>
              <w:ind w:firstLine="0" w:firstLineChars="0"/>
              <w:jc w:val="center"/>
              <w:rPr>
                <w:color w:val="auto"/>
                <w:kern w:val="0"/>
                <w:sz w:val="21"/>
                <w:szCs w:val="21"/>
              </w:rPr>
            </w:pPr>
          </w:p>
        </w:tc>
      </w:tr>
      <w:tr w14:paraId="13563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223ADC4C">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47220C87">
            <w:pPr>
              <w:widowControl/>
              <w:spacing w:line="240" w:lineRule="auto"/>
              <w:ind w:firstLine="0" w:firstLineChars="0"/>
              <w:jc w:val="center"/>
              <w:textAlignment w:val="center"/>
              <w:rPr>
                <w:color w:val="auto"/>
                <w:kern w:val="0"/>
                <w:sz w:val="21"/>
                <w:szCs w:val="21"/>
              </w:rPr>
            </w:pPr>
            <w:r>
              <w:rPr>
                <w:rFonts w:hint="eastAsia"/>
                <w:color w:val="auto"/>
                <w:sz w:val="21"/>
                <w:szCs w:val="21"/>
              </w:rPr>
              <w:t>连云港融盛双语学校</w:t>
            </w:r>
          </w:p>
        </w:tc>
        <w:tc>
          <w:tcPr>
            <w:tcW w:w="574" w:type="pct"/>
            <w:shd w:val="clear" w:color="auto" w:fill="auto"/>
            <w:noWrap/>
            <w:vAlign w:val="center"/>
          </w:tcPr>
          <w:p w14:paraId="00476460">
            <w:pPr>
              <w:widowControl/>
              <w:spacing w:line="240" w:lineRule="auto"/>
              <w:ind w:firstLine="0" w:firstLineChars="0"/>
              <w:jc w:val="center"/>
              <w:textAlignment w:val="center"/>
              <w:rPr>
                <w:color w:val="auto"/>
                <w:kern w:val="0"/>
                <w:sz w:val="21"/>
                <w:szCs w:val="21"/>
              </w:rPr>
            </w:pPr>
            <w:r>
              <w:rPr>
                <w:color w:val="auto"/>
                <w:kern w:val="0"/>
                <w:sz w:val="21"/>
                <w:szCs w:val="21"/>
              </w:rPr>
              <w:t>119.246462</w:t>
            </w:r>
            <w:r>
              <w:rPr>
                <w:rFonts w:hint="eastAsia"/>
                <w:color w:val="auto"/>
                <w:kern w:val="0"/>
                <w:sz w:val="21"/>
                <w:szCs w:val="21"/>
              </w:rPr>
              <w:t>E</w:t>
            </w:r>
          </w:p>
        </w:tc>
        <w:tc>
          <w:tcPr>
            <w:tcW w:w="510" w:type="pct"/>
            <w:shd w:val="clear" w:color="auto" w:fill="auto"/>
            <w:noWrap/>
            <w:vAlign w:val="center"/>
          </w:tcPr>
          <w:p w14:paraId="4DE2555F">
            <w:pPr>
              <w:widowControl/>
              <w:spacing w:line="240" w:lineRule="auto"/>
              <w:ind w:firstLine="0" w:firstLineChars="0"/>
              <w:jc w:val="center"/>
              <w:textAlignment w:val="center"/>
              <w:rPr>
                <w:color w:val="auto"/>
                <w:kern w:val="0"/>
                <w:sz w:val="21"/>
                <w:szCs w:val="21"/>
              </w:rPr>
            </w:pPr>
            <w:r>
              <w:rPr>
                <w:color w:val="auto"/>
                <w:kern w:val="0"/>
                <w:sz w:val="21"/>
                <w:szCs w:val="21"/>
              </w:rPr>
              <w:t>34.715776</w:t>
            </w:r>
            <w:r>
              <w:rPr>
                <w:rFonts w:hint="eastAsia"/>
                <w:color w:val="auto"/>
                <w:kern w:val="0"/>
                <w:sz w:val="21"/>
                <w:szCs w:val="21"/>
              </w:rPr>
              <w:t>N</w:t>
            </w:r>
          </w:p>
        </w:tc>
        <w:tc>
          <w:tcPr>
            <w:tcW w:w="432" w:type="pct"/>
            <w:shd w:val="clear" w:color="auto" w:fill="auto"/>
            <w:vAlign w:val="center"/>
          </w:tcPr>
          <w:p w14:paraId="7EF1F494">
            <w:pPr>
              <w:widowControl/>
              <w:spacing w:line="240" w:lineRule="auto"/>
              <w:ind w:firstLine="0" w:firstLineChars="0"/>
              <w:jc w:val="center"/>
              <w:textAlignment w:val="center"/>
              <w:rPr>
                <w:color w:val="auto"/>
                <w:kern w:val="0"/>
                <w:sz w:val="21"/>
                <w:szCs w:val="21"/>
              </w:rPr>
            </w:pPr>
            <w:r>
              <w:rPr>
                <w:rFonts w:hint="eastAsia"/>
                <w:color w:val="auto"/>
                <w:sz w:val="21"/>
                <w:szCs w:val="21"/>
              </w:rPr>
              <w:t>学校</w:t>
            </w:r>
          </w:p>
        </w:tc>
        <w:tc>
          <w:tcPr>
            <w:tcW w:w="1584" w:type="dxa"/>
            <w:shd w:val="clear" w:color="auto" w:fill="auto"/>
            <w:noWrap/>
            <w:vAlign w:val="center"/>
          </w:tcPr>
          <w:p w14:paraId="2340BC8A">
            <w:pPr>
              <w:widowControl/>
              <w:spacing w:line="240" w:lineRule="auto"/>
              <w:ind w:firstLine="0" w:firstLineChars="0"/>
              <w:jc w:val="center"/>
              <w:textAlignment w:val="center"/>
              <w:rPr>
                <w:color w:val="auto"/>
                <w:kern w:val="0"/>
                <w:sz w:val="21"/>
                <w:szCs w:val="21"/>
              </w:rPr>
            </w:pPr>
            <w:r>
              <w:rPr>
                <w:rFonts w:hint="eastAsia"/>
                <w:color w:val="auto"/>
                <w:sz w:val="21"/>
                <w:szCs w:val="21"/>
              </w:rPr>
              <w:t>3000</w:t>
            </w:r>
          </w:p>
        </w:tc>
        <w:tc>
          <w:tcPr>
            <w:tcW w:w="457" w:type="pct"/>
            <w:shd w:val="clear" w:color="auto" w:fill="auto"/>
            <w:noWrap/>
            <w:vAlign w:val="center"/>
          </w:tcPr>
          <w:p w14:paraId="058DCDD5">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2C1E13BC">
            <w:pPr>
              <w:widowControl/>
              <w:spacing w:line="240" w:lineRule="auto"/>
              <w:ind w:firstLine="0" w:firstLineChars="0"/>
              <w:jc w:val="center"/>
              <w:textAlignment w:val="center"/>
              <w:rPr>
                <w:color w:val="auto"/>
                <w:kern w:val="0"/>
                <w:sz w:val="21"/>
                <w:szCs w:val="21"/>
              </w:rPr>
            </w:pPr>
            <w:r>
              <w:rPr>
                <w:rFonts w:hint="eastAsia"/>
                <w:color w:val="auto"/>
                <w:sz w:val="21"/>
                <w:szCs w:val="21"/>
              </w:rPr>
              <w:t>2668</w:t>
            </w:r>
          </w:p>
        </w:tc>
        <w:tc>
          <w:tcPr>
            <w:tcW w:w="887" w:type="pct"/>
            <w:vMerge w:val="continue"/>
            <w:vAlign w:val="center"/>
          </w:tcPr>
          <w:p w14:paraId="18E7E559">
            <w:pPr>
              <w:kinsoku w:val="0"/>
              <w:autoSpaceDE w:val="0"/>
              <w:autoSpaceDN w:val="0"/>
              <w:spacing w:line="240" w:lineRule="auto"/>
              <w:ind w:firstLine="0" w:firstLineChars="0"/>
              <w:jc w:val="center"/>
              <w:rPr>
                <w:color w:val="auto"/>
                <w:kern w:val="0"/>
                <w:sz w:val="21"/>
                <w:szCs w:val="21"/>
              </w:rPr>
            </w:pPr>
          </w:p>
        </w:tc>
      </w:tr>
      <w:tr w14:paraId="6B1A79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6D828FB9">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44D0A032">
            <w:pPr>
              <w:widowControl/>
              <w:spacing w:line="240" w:lineRule="auto"/>
              <w:ind w:firstLine="0" w:firstLineChars="0"/>
              <w:jc w:val="center"/>
              <w:textAlignment w:val="center"/>
              <w:rPr>
                <w:color w:val="auto"/>
                <w:kern w:val="0"/>
                <w:sz w:val="21"/>
                <w:szCs w:val="21"/>
              </w:rPr>
            </w:pPr>
            <w:r>
              <w:rPr>
                <w:rFonts w:hint="eastAsia"/>
                <w:color w:val="auto"/>
                <w:sz w:val="21"/>
                <w:szCs w:val="21"/>
              </w:rPr>
              <w:t>金辉优步花园三期</w:t>
            </w:r>
          </w:p>
        </w:tc>
        <w:tc>
          <w:tcPr>
            <w:tcW w:w="574" w:type="pct"/>
            <w:shd w:val="clear" w:color="auto" w:fill="auto"/>
            <w:noWrap/>
            <w:vAlign w:val="center"/>
          </w:tcPr>
          <w:p w14:paraId="129E7EE6">
            <w:pPr>
              <w:widowControl/>
              <w:spacing w:line="240" w:lineRule="auto"/>
              <w:ind w:firstLine="0" w:firstLineChars="0"/>
              <w:jc w:val="center"/>
              <w:textAlignment w:val="center"/>
              <w:rPr>
                <w:color w:val="auto"/>
                <w:kern w:val="0"/>
                <w:sz w:val="21"/>
                <w:szCs w:val="21"/>
              </w:rPr>
            </w:pPr>
            <w:r>
              <w:rPr>
                <w:color w:val="auto"/>
                <w:kern w:val="0"/>
                <w:sz w:val="21"/>
                <w:szCs w:val="21"/>
              </w:rPr>
              <w:t>119.2317202</w:t>
            </w:r>
            <w:r>
              <w:rPr>
                <w:rFonts w:hint="eastAsia"/>
                <w:color w:val="auto"/>
                <w:kern w:val="0"/>
                <w:sz w:val="21"/>
                <w:szCs w:val="21"/>
              </w:rPr>
              <w:t>E</w:t>
            </w:r>
          </w:p>
        </w:tc>
        <w:tc>
          <w:tcPr>
            <w:tcW w:w="510" w:type="pct"/>
            <w:shd w:val="clear" w:color="auto" w:fill="auto"/>
            <w:noWrap/>
            <w:vAlign w:val="center"/>
          </w:tcPr>
          <w:p w14:paraId="65770423">
            <w:pPr>
              <w:widowControl/>
              <w:spacing w:line="240" w:lineRule="auto"/>
              <w:ind w:firstLine="0" w:firstLineChars="0"/>
              <w:jc w:val="center"/>
              <w:textAlignment w:val="center"/>
              <w:rPr>
                <w:color w:val="auto"/>
                <w:kern w:val="0"/>
                <w:sz w:val="21"/>
                <w:szCs w:val="21"/>
              </w:rPr>
            </w:pPr>
            <w:r>
              <w:rPr>
                <w:color w:val="auto"/>
                <w:kern w:val="0"/>
                <w:sz w:val="21"/>
                <w:szCs w:val="21"/>
              </w:rPr>
              <w:t>34.713780</w:t>
            </w:r>
            <w:r>
              <w:rPr>
                <w:rFonts w:hint="eastAsia"/>
                <w:color w:val="auto"/>
                <w:kern w:val="0"/>
                <w:sz w:val="21"/>
                <w:szCs w:val="21"/>
              </w:rPr>
              <w:t>N</w:t>
            </w:r>
          </w:p>
        </w:tc>
        <w:tc>
          <w:tcPr>
            <w:tcW w:w="432" w:type="pct"/>
            <w:shd w:val="clear" w:color="auto" w:fill="auto"/>
            <w:vAlign w:val="center"/>
          </w:tcPr>
          <w:p w14:paraId="21E6909A">
            <w:pPr>
              <w:widowControl/>
              <w:spacing w:line="240" w:lineRule="auto"/>
              <w:ind w:firstLine="0" w:firstLineChars="0"/>
              <w:jc w:val="center"/>
              <w:textAlignment w:val="center"/>
              <w:rPr>
                <w:color w:val="auto"/>
                <w:kern w:val="0"/>
                <w:sz w:val="21"/>
                <w:szCs w:val="21"/>
              </w:rPr>
            </w:pPr>
            <w:r>
              <w:rPr>
                <w:rFonts w:hint="eastAsia"/>
                <w:color w:val="auto"/>
                <w:sz w:val="21"/>
                <w:szCs w:val="21"/>
              </w:rPr>
              <w:t>居民区</w:t>
            </w:r>
          </w:p>
        </w:tc>
        <w:tc>
          <w:tcPr>
            <w:tcW w:w="1584" w:type="dxa"/>
            <w:shd w:val="clear" w:color="auto" w:fill="auto"/>
            <w:noWrap/>
            <w:vAlign w:val="center"/>
          </w:tcPr>
          <w:p w14:paraId="25462E47">
            <w:pPr>
              <w:widowControl/>
              <w:spacing w:line="240" w:lineRule="auto"/>
              <w:ind w:firstLine="0" w:firstLineChars="0"/>
              <w:jc w:val="center"/>
              <w:textAlignment w:val="center"/>
              <w:rPr>
                <w:color w:val="auto"/>
                <w:kern w:val="0"/>
                <w:sz w:val="21"/>
                <w:szCs w:val="21"/>
              </w:rPr>
            </w:pPr>
            <w:r>
              <w:rPr>
                <w:rFonts w:hint="eastAsia"/>
                <w:color w:val="auto"/>
                <w:sz w:val="21"/>
                <w:szCs w:val="21"/>
              </w:rPr>
              <w:t>3000</w:t>
            </w:r>
          </w:p>
        </w:tc>
        <w:tc>
          <w:tcPr>
            <w:tcW w:w="457" w:type="pct"/>
            <w:shd w:val="clear" w:color="auto" w:fill="auto"/>
            <w:noWrap/>
            <w:vAlign w:val="center"/>
          </w:tcPr>
          <w:p w14:paraId="106A1477">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509FD553">
            <w:pPr>
              <w:widowControl/>
              <w:spacing w:line="240" w:lineRule="auto"/>
              <w:ind w:firstLine="0" w:firstLineChars="0"/>
              <w:jc w:val="center"/>
              <w:textAlignment w:val="center"/>
              <w:rPr>
                <w:color w:val="auto"/>
                <w:kern w:val="0"/>
                <w:sz w:val="21"/>
                <w:szCs w:val="21"/>
              </w:rPr>
            </w:pPr>
            <w:r>
              <w:rPr>
                <w:rFonts w:hint="eastAsia"/>
                <w:color w:val="auto"/>
                <w:sz w:val="21"/>
                <w:szCs w:val="21"/>
              </w:rPr>
              <w:t>2245</w:t>
            </w:r>
          </w:p>
        </w:tc>
        <w:tc>
          <w:tcPr>
            <w:tcW w:w="887" w:type="pct"/>
            <w:vMerge w:val="continue"/>
            <w:vAlign w:val="center"/>
          </w:tcPr>
          <w:p w14:paraId="1EC79E8E">
            <w:pPr>
              <w:kinsoku w:val="0"/>
              <w:autoSpaceDE w:val="0"/>
              <w:autoSpaceDN w:val="0"/>
              <w:spacing w:line="240" w:lineRule="auto"/>
              <w:ind w:firstLine="0" w:firstLineChars="0"/>
              <w:jc w:val="center"/>
              <w:rPr>
                <w:color w:val="auto"/>
                <w:kern w:val="0"/>
                <w:sz w:val="21"/>
                <w:szCs w:val="21"/>
              </w:rPr>
            </w:pPr>
          </w:p>
        </w:tc>
      </w:tr>
      <w:tr w14:paraId="1E8062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1" w:type="pct"/>
            <w:vMerge w:val="continue"/>
            <w:vAlign w:val="center"/>
          </w:tcPr>
          <w:p w14:paraId="71B0AA73">
            <w:pPr>
              <w:kinsoku w:val="0"/>
              <w:autoSpaceDE w:val="0"/>
              <w:autoSpaceDN w:val="0"/>
              <w:spacing w:line="240" w:lineRule="auto"/>
              <w:ind w:firstLine="0" w:firstLineChars="0"/>
              <w:jc w:val="center"/>
              <w:rPr>
                <w:color w:val="auto"/>
                <w:kern w:val="0"/>
                <w:sz w:val="21"/>
                <w:szCs w:val="21"/>
              </w:rPr>
            </w:pPr>
          </w:p>
        </w:tc>
        <w:tc>
          <w:tcPr>
            <w:tcW w:w="764" w:type="pct"/>
            <w:shd w:val="clear" w:color="auto" w:fill="auto"/>
            <w:noWrap/>
            <w:vAlign w:val="center"/>
          </w:tcPr>
          <w:p w14:paraId="218800FB">
            <w:pPr>
              <w:widowControl/>
              <w:spacing w:line="240" w:lineRule="auto"/>
              <w:ind w:firstLine="0" w:firstLineChars="0"/>
              <w:jc w:val="center"/>
              <w:textAlignment w:val="center"/>
              <w:rPr>
                <w:color w:val="auto"/>
                <w:kern w:val="0"/>
                <w:sz w:val="21"/>
                <w:szCs w:val="21"/>
              </w:rPr>
            </w:pPr>
            <w:r>
              <w:rPr>
                <w:rFonts w:hint="eastAsia"/>
                <w:color w:val="auto"/>
                <w:sz w:val="21"/>
                <w:szCs w:val="21"/>
              </w:rPr>
              <w:t>金辉优步花园一期</w:t>
            </w:r>
          </w:p>
        </w:tc>
        <w:tc>
          <w:tcPr>
            <w:tcW w:w="574" w:type="pct"/>
            <w:shd w:val="clear" w:color="auto" w:fill="auto"/>
            <w:noWrap/>
            <w:vAlign w:val="center"/>
          </w:tcPr>
          <w:p w14:paraId="799A52C1">
            <w:pPr>
              <w:widowControl/>
              <w:spacing w:line="240" w:lineRule="auto"/>
              <w:ind w:firstLine="0" w:firstLineChars="0"/>
              <w:jc w:val="center"/>
              <w:textAlignment w:val="center"/>
              <w:rPr>
                <w:color w:val="auto"/>
                <w:kern w:val="0"/>
                <w:sz w:val="21"/>
                <w:szCs w:val="21"/>
              </w:rPr>
            </w:pPr>
            <w:r>
              <w:rPr>
                <w:color w:val="auto"/>
                <w:kern w:val="0"/>
                <w:sz w:val="21"/>
                <w:szCs w:val="21"/>
              </w:rPr>
              <w:t>119.235282</w:t>
            </w:r>
            <w:r>
              <w:rPr>
                <w:rFonts w:hint="eastAsia"/>
                <w:color w:val="auto"/>
                <w:kern w:val="0"/>
                <w:sz w:val="21"/>
                <w:szCs w:val="21"/>
              </w:rPr>
              <w:t>E</w:t>
            </w:r>
          </w:p>
        </w:tc>
        <w:tc>
          <w:tcPr>
            <w:tcW w:w="510" w:type="pct"/>
            <w:shd w:val="clear" w:color="auto" w:fill="auto"/>
            <w:noWrap/>
            <w:vAlign w:val="center"/>
          </w:tcPr>
          <w:p w14:paraId="3065B172">
            <w:pPr>
              <w:widowControl/>
              <w:spacing w:line="240" w:lineRule="auto"/>
              <w:ind w:firstLine="0" w:firstLineChars="0"/>
              <w:jc w:val="center"/>
              <w:textAlignment w:val="center"/>
              <w:rPr>
                <w:color w:val="auto"/>
                <w:kern w:val="0"/>
                <w:sz w:val="21"/>
                <w:szCs w:val="21"/>
              </w:rPr>
            </w:pPr>
            <w:r>
              <w:rPr>
                <w:color w:val="auto"/>
                <w:kern w:val="0"/>
                <w:sz w:val="21"/>
                <w:szCs w:val="21"/>
              </w:rPr>
              <w:t>34.712836</w:t>
            </w:r>
            <w:r>
              <w:rPr>
                <w:rFonts w:hint="eastAsia"/>
                <w:color w:val="auto"/>
                <w:kern w:val="0"/>
                <w:sz w:val="21"/>
                <w:szCs w:val="21"/>
              </w:rPr>
              <w:t>N</w:t>
            </w:r>
          </w:p>
        </w:tc>
        <w:tc>
          <w:tcPr>
            <w:tcW w:w="432" w:type="pct"/>
            <w:shd w:val="clear" w:color="auto" w:fill="auto"/>
            <w:vAlign w:val="center"/>
          </w:tcPr>
          <w:p w14:paraId="48553BA7">
            <w:pPr>
              <w:widowControl/>
              <w:spacing w:line="240" w:lineRule="auto"/>
              <w:ind w:firstLine="0" w:firstLineChars="0"/>
              <w:jc w:val="center"/>
              <w:textAlignment w:val="center"/>
              <w:rPr>
                <w:color w:val="auto"/>
                <w:kern w:val="0"/>
                <w:sz w:val="21"/>
                <w:szCs w:val="21"/>
              </w:rPr>
            </w:pPr>
            <w:r>
              <w:rPr>
                <w:rFonts w:hint="eastAsia"/>
                <w:color w:val="auto"/>
                <w:sz w:val="21"/>
                <w:szCs w:val="21"/>
              </w:rPr>
              <w:t>居民区</w:t>
            </w:r>
          </w:p>
        </w:tc>
        <w:tc>
          <w:tcPr>
            <w:tcW w:w="1584" w:type="dxa"/>
            <w:shd w:val="clear" w:color="auto" w:fill="auto"/>
            <w:noWrap/>
            <w:vAlign w:val="center"/>
          </w:tcPr>
          <w:p w14:paraId="08DE5C53">
            <w:pPr>
              <w:widowControl/>
              <w:spacing w:line="240" w:lineRule="auto"/>
              <w:ind w:firstLine="0" w:firstLineChars="0"/>
              <w:jc w:val="center"/>
              <w:textAlignment w:val="center"/>
              <w:rPr>
                <w:color w:val="auto"/>
                <w:kern w:val="0"/>
                <w:sz w:val="21"/>
                <w:szCs w:val="21"/>
              </w:rPr>
            </w:pPr>
            <w:r>
              <w:rPr>
                <w:rFonts w:hint="eastAsia"/>
                <w:color w:val="auto"/>
                <w:sz w:val="21"/>
                <w:szCs w:val="21"/>
              </w:rPr>
              <w:t>3000</w:t>
            </w:r>
          </w:p>
        </w:tc>
        <w:tc>
          <w:tcPr>
            <w:tcW w:w="457" w:type="pct"/>
            <w:shd w:val="clear" w:color="auto" w:fill="auto"/>
            <w:noWrap/>
            <w:vAlign w:val="center"/>
          </w:tcPr>
          <w:p w14:paraId="558889C8">
            <w:pPr>
              <w:widowControl/>
              <w:spacing w:line="240" w:lineRule="auto"/>
              <w:ind w:firstLine="0" w:firstLineChars="0"/>
              <w:jc w:val="center"/>
              <w:textAlignment w:val="center"/>
              <w:rPr>
                <w:color w:val="auto"/>
                <w:kern w:val="0"/>
                <w:sz w:val="21"/>
                <w:szCs w:val="21"/>
              </w:rPr>
            </w:pPr>
            <w:r>
              <w:rPr>
                <w:rFonts w:hint="eastAsia"/>
                <w:color w:val="auto"/>
                <w:sz w:val="21"/>
                <w:szCs w:val="21"/>
              </w:rPr>
              <w:t>SE</w:t>
            </w:r>
          </w:p>
        </w:tc>
        <w:tc>
          <w:tcPr>
            <w:tcW w:w="563" w:type="pct"/>
            <w:shd w:val="clear" w:color="auto" w:fill="auto"/>
            <w:vAlign w:val="center"/>
          </w:tcPr>
          <w:p w14:paraId="721AAF3F">
            <w:pPr>
              <w:widowControl/>
              <w:spacing w:line="240" w:lineRule="auto"/>
              <w:ind w:firstLine="0" w:firstLineChars="0"/>
              <w:jc w:val="center"/>
              <w:textAlignment w:val="center"/>
              <w:rPr>
                <w:color w:val="auto"/>
                <w:kern w:val="0"/>
                <w:sz w:val="21"/>
                <w:szCs w:val="21"/>
              </w:rPr>
            </w:pPr>
            <w:r>
              <w:rPr>
                <w:rFonts w:hint="eastAsia"/>
                <w:color w:val="auto"/>
                <w:sz w:val="21"/>
                <w:szCs w:val="21"/>
              </w:rPr>
              <w:t>2444</w:t>
            </w:r>
          </w:p>
        </w:tc>
        <w:tc>
          <w:tcPr>
            <w:tcW w:w="887" w:type="pct"/>
            <w:vMerge w:val="continue"/>
            <w:vAlign w:val="center"/>
          </w:tcPr>
          <w:p w14:paraId="04C1EBD1">
            <w:pPr>
              <w:kinsoku w:val="0"/>
              <w:autoSpaceDE w:val="0"/>
              <w:autoSpaceDN w:val="0"/>
              <w:spacing w:line="240" w:lineRule="auto"/>
              <w:ind w:firstLine="0" w:firstLineChars="0"/>
              <w:jc w:val="center"/>
              <w:rPr>
                <w:color w:val="auto"/>
                <w:kern w:val="0"/>
                <w:sz w:val="21"/>
                <w:szCs w:val="21"/>
              </w:rPr>
            </w:pPr>
          </w:p>
        </w:tc>
      </w:tr>
    </w:tbl>
    <w:p w14:paraId="3E3C993B">
      <w:pPr>
        <w:spacing w:before="120" w:beforeLines="50" w:line="240" w:lineRule="auto"/>
        <w:ind w:firstLine="482"/>
        <w:jc w:val="center"/>
        <w:rPr>
          <w:b/>
          <w:color w:val="auto"/>
        </w:rPr>
      </w:pPr>
      <w:r>
        <w:rPr>
          <w:b/>
          <w:color w:val="auto"/>
        </w:rPr>
        <w:t>表2.6-2  其他主要环境保护目标</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67"/>
        <w:gridCol w:w="2355"/>
        <w:gridCol w:w="1724"/>
        <w:gridCol w:w="2130"/>
        <w:gridCol w:w="1468"/>
        <w:gridCol w:w="5174"/>
      </w:tblGrid>
      <w:tr w14:paraId="46B317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Align w:val="center"/>
          </w:tcPr>
          <w:p w14:paraId="35CF303F">
            <w:pPr>
              <w:spacing w:line="240" w:lineRule="auto"/>
              <w:ind w:firstLine="0" w:firstLineChars="0"/>
              <w:jc w:val="center"/>
              <w:rPr>
                <w:b/>
                <w:color w:val="auto"/>
                <w:sz w:val="21"/>
                <w:szCs w:val="18"/>
              </w:rPr>
            </w:pPr>
            <w:r>
              <w:rPr>
                <w:b/>
                <w:color w:val="auto"/>
                <w:sz w:val="21"/>
                <w:szCs w:val="18"/>
              </w:rPr>
              <w:t>类别</w:t>
            </w:r>
          </w:p>
        </w:tc>
        <w:tc>
          <w:tcPr>
            <w:tcW w:w="828" w:type="pct"/>
            <w:vAlign w:val="center"/>
          </w:tcPr>
          <w:p w14:paraId="687AA31F">
            <w:pPr>
              <w:spacing w:line="240" w:lineRule="auto"/>
              <w:ind w:firstLine="0" w:firstLineChars="0"/>
              <w:jc w:val="center"/>
              <w:rPr>
                <w:b/>
                <w:color w:val="auto"/>
                <w:sz w:val="21"/>
                <w:szCs w:val="18"/>
              </w:rPr>
            </w:pPr>
            <w:r>
              <w:rPr>
                <w:b/>
                <w:color w:val="auto"/>
                <w:sz w:val="21"/>
                <w:szCs w:val="18"/>
              </w:rPr>
              <w:t>保护对象名称</w:t>
            </w:r>
          </w:p>
        </w:tc>
        <w:tc>
          <w:tcPr>
            <w:tcW w:w="606" w:type="pct"/>
            <w:vAlign w:val="center"/>
          </w:tcPr>
          <w:p w14:paraId="43D0CBFB">
            <w:pPr>
              <w:spacing w:line="240" w:lineRule="auto"/>
              <w:ind w:firstLine="0" w:firstLineChars="0"/>
              <w:jc w:val="center"/>
              <w:rPr>
                <w:b/>
                <w:color w:val="auto"/>
                <w:sz w:val="21"/>
                <w:szCs w:val="18"/>
              </w:rPr>
            </w:pPr>
            <w:r>
              <w:rPr>
                <w:b/>
                <w:color w:val="auto"/>
                <w:sz w:val="21"/>
                <w:szCs w:val="18"/>
              </w:rPr>
              <w:t>本项目相对位置</w:t>
            </w:r>
          </w:p>
        </w:tc>
        <w:tc>
          <w:tcPr>
            <w:tcW w:w="749" w:type="pct"/>
            <w:vAlign w:val="center"/>
          </w:tcPr>
          <w:p w14:paraId="3C2E2F5B">
            <w:pPr>
              <w:spacing w:line="240" w:lineRule="auto"/>
              <w:ind w:firstLine="0" w:firstLineChars="0"/>
              <w:jc w:val="center"/>
              <w:rPr>
                <w:b/>
                <w:color w:val="auto"/>
                <w:sz w:val="21"/>
                <w:szCs w:val="18"/>
              </w:rPr>
            </w:pPr>
            <w:r>
              <w:rPr>
                <w:rFonts w:hint="eastAsia"/>
                <w:b/>
                <w:color w:val="auto"/>
                <w:sz w:val="21"/>
                <w:szCs w:val="18"/>
              </w:rPr>
              <w:t>距项目</w:t>
            </w:r>
            <w:r>
              <w:rPr>
                <w:b/>
                <w:color w:val="auto"/>
                <w:sz w:val="21"/>
                <w:szCs w:val="18"/>
              </w:rPr>
              <w:t>最近距离km</w:t>
            </w:r>
          </w:p>
        </w:tc>
        <w:tc>
          <w:tcPr>
            <w:tcW w:w="515" w:type="pct"/>
            <w:vAlign w:val="center"/>
          </w:tcPr>
          <w:p w14:paraId="52DB815C">
            <w:pPr>
              <w:spacing w:line="240" w:lineRule="auto"/>
              <w:ind w:firstLine="0" w:firstLineChars="0"/>
              <w:jc w:val="center"/>
              <w:rPr>
                <w:b/>
                <w:color w:val="auto"/>
                <w:sz w:val="21"/>
                <w:szCs w:val="18"/>
              </w:rPr>
            </w:pPr>
            <w:r>
              <w:rPr>
                <w:b/>
                <w:color w:val="auto"/>
                <w:sz w:val="21"/>
                <w:szCs w:val="18"/>
              </w:rPr>
              <w:t>规模</w:t>
            </w:r>
          </w:p>
        </w:tc>
        <w:tc>
          <w:tcPr>
            <w:tcW w:w="1819" w:type="pct"/>
            <w:vAlign w:val="center"/>
          </w:tcPr>
          <w:p w14:paraId="49FE9551">
            <w:pPr>
              <w:spacing w:line="240" w:lineRule="auto"/>
              <w:ind w:firstLine="0" w:firstLineChars="0"/>
              <w:jc w:val="center"/>
              <w:rPr>
                <w:b/>
                <w:color w:val="auto"/>
                <w:sz w:val="21"/>
                <w:szCs w:val="18"/>
              </w:rPr>
            </w:pPr>
            <w:r>
              <w:rPr>
                <w:b/>
                <w:color w:val="auto"/>
                <w:sz w:val="21"/>
                <w:szCs w:val="18"/>
              </w:rPr>
              <w:t>环境功能</w:t>
            </w:r>
          </w:p>
        </w:tc>
      </w:tr>
      <w:tr w14:paraId="259AF3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Merge w:val="restart"/>
            <w:vAlign w:val="center"/>
          </w:tcPr>
          <w:p w14:paraId="5F9FF3C1">
            <w:pPr>
              <w:spacing w:line="240" w:lineRule="auto"/>
              <w:ind w:firstLine="0" w:firstLineChars="0"/>
              <w:jc w:val="center"/>
              <w:rPr>
                <w:color w:val="auto"/>
                <w:sz w:val="21"/>
                <w:szCs w:val="18"/>
              </w:rPr>
            </w:pPr>
            <w:r>
              <w:rPr>
                <w:color w:val="auto"/>
                <w:sz w:val="21"/>
                <w:szCs w:val="18"/>
              </w:rPr>
              <w:t>地表水环境</w:t>
            </w:r>
          </w:p>
        </w:tc>
        <w:tc>
          <w:tcPr>
            <w:tcW w:w="828" w:type="pct"/>
            <w:vAlign w:val="center"/>
          </w:tcPr>
          <w:p w14:paraId="16571DE4">
            <w:pPr>
              <w:spacing w:line="240" w:lineRule="auto"/>
              <w:ind w:firstLine="0" w:firstLineChars="0"/>
              <w:jc w:val="center"/>
              <w:rPr>
                <w:color w:val="auto"/>
                <w:sz w:val="21"/>
                <w:szCs w:val="18"/>
              </w:rPr>
            </w:pPr>
            <w:r>
              <w:rPr>
                <w:rFonts w:hint="eastAsia"/>
                <w:color w:val="auto"/>
                <w:sz w:val="21"/>
                <w:szCs w:val="18"/>
              </w:rPr>
              <w:t>临洪河</w:t>
            </w:r>
          </w:p>
        </w:tc>
        <w:tc>
          <w:tcPr>
            <w:tcW w:w="606" w:type="pct"/>
            <w:vAlign w:val="center"/>
          </w:tcPr>
          <w:p w14:paraId="27226116">
            <w:pPr>
              <w:spacing w:line="240" w:lineRule="auto"/>
              <w:ind w:firstLine="0" w:firstLineChars="0"/>
              <w:jc w:val="center"/>
              <w:rPr>
                <w:color w:val="auto"/>
                <w:sz w:val="21"/>
                <w:szCs w:val="18"/>
              </w:rPr>
            </w:pPr>
            <w:r>
              <w:rPr>
                <w:rFonts w:hint="eastAsia"/>
                <w:color w:val="auto"/>
                <w:sz w:val="21"/>
                <w:szCs w:val="18"/>
              </w:rPr>
              <w:t>W</w:t>
            </w:r>
          </w:p>
        </w:tc>
        <w:tc>
          <w:tcPr>
            <w:tcW w:w="749" w:type="pct"/>
            <w:vAlign w:val="center"/>
          </w:tcPr>
          <w:p w14:paraId="6CF357BD">
            <w:pPr>
              <w:spacing w:line="240" w:lineRule="auto"/>
              <w:ind w:firstLine="0" w:firstLineChars="0"/>
              <w:jc w:val="center"/>
              <w:rPr>
                <w:color w:val="auto"/>
                <w:sz w:val="21"/>
                <w:szCs w:val="18"/>
              </w:rPr>
            </w:pPr>
            <w:r>
              <w:rPr>
                <w:rFonts w:hint="eastAsia"/>
                <w:color w:val="auto"/>
                <w:sz w:val="21"/>
                <w:szCs w:val="18"/>
              </w:rPr>
              <w:t>2.07</w:t>
            </w:r>
          </w:p>
        </w:tc>
        <w:tc>
          <w:tcPr>
            <w:tcW w:w="515" w:type="pct"/>
            <w:vAlign w:val="center"/>
          </w:tcPr>
          <w:p w14:paraId="4E79EA31">
            <w:pPr>
              <w:spacing w:line="240" w:lineRule="auto"/>
              <w:ind w:firstLine="0" w:firstLineChars="0"/>
              <w:jc w:val="center"/>
              <w:rPr>
                <w:color w:val="auto"/>
                <w:sz w:val="21"/>
                <w:szCs w:val="18"/>
              </w:rPr>
            </w:pPr>
            <w:r>
              <w:rPr>
                <w:color w:val="auto"/>
                <w:sz w:val="21"/>
                <w:szCs w:val="18"/>
              </w:rPr>
              <w:t>小河</w:t>
            </w:r>
          </w:p>
        </w:tc>
        <w:tc>
          <w:tcPr>
            <w:tcW w:w="1819" w:type="pct"/>
            <w:vAlign w:val="center"/>
          </w:tcPr>
          <w:p w14:paraId="361A2F72">
            <w:pPr>
              <w:spacing w:line="240" w:lineRule="auto"/>
              <w:ind w:firstLine="0" w:firstLineChars="0"/>
              <w:jc w:val="center"/>
              <w:rPr>
                <w:color w:val="auto"/>
                <w:sz w:val="21"/>
                <w:szCs w:val="18"/>
              </w:rPr>
            </w:pPr>
            <w:r>
              <w:rPr>
                <w:color w:val="auto"/>
                <w:sz w:val="21"/>
                <w:szCs w:val="18"/>
              </w:rPr>
              <w:t>《地表水环境质量标准》（GB3838-2002）</w:t>
            </w:r>
            <w:r>
              <w:rPr>
                <w:rFonts w:hint="eastAsia"/>
                <w:color w:val="auto"/>
                <w:sz w:val="21"/>
                <w:szCs w:val="18"/>
              </w:rPr>
              <w:t>III类</w:t>
            </w:r>
          </w:p>
        </w:tc>
      </w:tr>
      <w:tr w14:paraId="0BC959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Merge w:val="continue"/>
            <w:vAlign w:val="center"/>
          </w:tcPr>
          <w:p w14:paraId="447C02C3">
            <w:pPr>
              <w:spacing w:line="240" w:lineRule="auto"/>
              <w:ind w:firstLine="0" w:firstLineChars="0"/>
              <w:jc w:val="center"/>
              <w:rPr>
                <w:color w:val="auto"/>
                <w:sz w:val="21"/>
                <w:szCs w:val="18"/>
              </w:rPr>
            </w:pPr>
          </w:p>
        </w:tc>
        <w:tc>
          <w:tcPr>
            <w:tcW w:w="828" w:type="pct"/>
            <w:vAlign w:val="center"/>
          </w:tcPr>
          <w:p w14:paraId="6482D272">
            <w:pPr>
              <w:spacing w:line="240" w:lineRule="auto"/>
              <w:ind w:firstLine="0" w:firstLineChars="0"/>
              <w:jc w:val="center"/>
              <w:rPr>
                <w:color w:val="auto"/>
                <w:sz w:val="21"/>
                <w:szCs w:val="18"/>
              </w:rPr>
            </w:pPr>
            <w:r>
              <w:rPr>
                <w:rFonts w:hint="eastAsia"/>
                <w:color w:val="auto"/>
                <w:sz w:val="21"/>
                <w:szCs w:val="18"/>
              </w:rPr>
              <w:t>大浦河排污通道</w:t>
            </w:r>
          </w:p>
        </w:tc>
        <w:tc>
          <w:tcPr>
            <w:tcW w:w="606" w:type="pct"/>
            <w:vAlign w:val="center"/>
          </w:tcPr>
          <w:p w14:paraId="09D056EE">
            <w:pPr>
              <w:spacing w:line="240" w:lineRule="auto"/>
              <w:ind w:firstLine="0" w:firstLineChars="0"/>
              <w:jc w:val="center"/>
              <w:rPr>
                <w:color w:val="auto"/>
                <w:sz w:val="21"/>
                <w:szCs w:val="18"/>
              </w:rPr>
            </w:pPr>
            <w:r>
              <w:rPr>
                <w:rFonts w:hint="eastAsia"/>
                <w:color w:val="auto"/>
                <w:sz w:val="21"/>
                <w:szCs w:val="18"/>
              </w:rPr>
              <w:t>W</w:t>
            </w:r>
          </w:p>
        </w:tc>
        <w:tc>
          <w:tcPr>
            <w:tcW w:w="749" w:type="pct"/>
            <w:vAlign w:val="center"/>
          </w:tcPr>
          <w:p w14:paraId="18A39113">
            <w:pPr>
              <w:spacing w:line="240" w:lineRule="auto"/>
              <w:ind w:firstLine="0" w:firstLineChars="0"/>
              <w:jc w:val="center"/>
              <w:rPr>
                <w:color w:val="auto"/>
                <w:sz w:val="21"/>
                <w:szCs w:val="18"/>
              </w:rPr>
            </w:pPr>
            <w:r>
              <w:rPr>
                <w:rFonts w:hint="eastAsia"/>
                <w:color w:val="auto"/>
                <w:sz w:val="21"/>
                <w:szCs w:val="18"/>
              </w:rPr>
              <w:t>1.56</w:t>
            </w:r>
          </w:p>
        </w:tc>
        <w:tc>
          <w:tcPr>
            <w:tcW w:w="515" w:type="pct"/>
            <w:vAlign w:val="center"/>
          </w:tcPr>
          <w:p w14:paraId="56014A9C">
            <w:pPr>
              <w:spacing w:line="240" w:lineRule="auto"/>
              <w:ind w:firstLine="0" w:firstLineChars="0"/>
              <w:jc w:val="center"/>
              <w:rPr>
                <w:color w:val="auto"/>
                <w:sz w:val="21"/>
                <w:szCs w:val="18"/>
              </w:rPr>
            </w:pPr>
            <w:r>
              <w:rPr>
                <w:color w:val="auto"/>
                <w:sz w:val="21"/>
                <w:szCs w:val="18"/>
              </w:rPr>
              <w:t>小河</w:t>
            </w:r>
          </w:p>
        </w:tc>
        <w:tc>
          <w:tcPr>
            <w:tcW w:w="1819" w:type="pct"/>
            <w:vMerge w:val="restart"/>
            <w:vAlign w:val="center"/>
          </w:tcPr>
          <w:p w14:paraId="0A98322B">
            <w:pPr>
              <w:spacing w:line="240" w:lineRule="auto"/>
              <w:ind w:firstLine="0" w:firstLineChars="0"/>
              <w:jc w:val="center"/>
              <w:rPr>
                <w:color w:val="auto"/>
                <w:sz w:val="21"/>
                <w:szCs w:val="18"/>
              </w:rPr>
            </w:pPr>
            <w:r>
              <w:rPr>
                <w:color w:val="auto"/>
                <w:sz w:val="21"/>
                <w:szCs w:val="18"/>
              </w:rPr>
              <w:t>《地表水环境质量标准》（GB3838-2002）</w:t>
            </w:r>
            <w:r>
              <w:rPr>
                <w:rFonts w:hint="eastAsia"/>
                <w:color w:val="auto"/>
                <w:sz w:val="21"/>
                <w:szCs w:val="18"/>
              </w:rPr>
              <w:t>Ⅳ类</w:t>
            </w:r>
          </w:p>
        </w:tc>
      </w:tr>
      <w:tr w14:paraId="372DA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Merge w:val="continue"/>
            <w:vAlign w:val="center"/>
          </w:tcPr>
          <w:p w14:paraId="468A3122">
            <w:pPr>
              <w:spacing w:line="240" w:lineRule="auto"/>
              <w:ind w:firstLine="0" w:firstLineChars="0"/>
              <w:jc w:val="center"/>
              <w:rPr>
                <w:color w:val="auto"/>
                <w:sz w:val="21"/>
                <w:szCs w:val="18"/>
              </w:rPr>
            </w:pPr>
          </w:p>
        </w:tc>
        <w:tc>
          <w:tcPr>
            <w:tcW w:w="828" w:type="pct"/>
            <w:vAlign w:val="center"/>
          </w:tcPr>
          <w:p w14:paraId="3E8BACC2">
            <w:pPr>
              <w:spacing w:line="240" w:lineRule="auto"/>
              <w:ind w:firstLine="0" w:firstLineChars="0"/>
              <w:jc w:val="center"/>
              <w:rPr>
                <w:color w:val="auto"/>
                <w:sz w:val="21"/>
                <w:szCs w:val="18"/>
              </w:rPr>
            </w:pPr>
            <w:r>
              <w:rPr>
                <w:rFonts w:hint="eastAsia"/>
                <w:color w:val="auto"/>
                <w:sz w:val="21"/>
                <w:szCs w:val="18"/>
              </w:rPr>
              <w:t>开泰河</w:t>
            </w:r>
          </w:p>
        </w:tc>
        <w:tc>
          <w:tcPr>
            <w:tcW w:w="606" w:type="pct"/>
            <w:vAlign w:val="center"/>
          </w:tcPr>
          <w:p w14:paraId="0F6F6C4A">
            <w:pPr>
              <w:spacing w:line="240" w:lineRule="auto"/>
              <w:ind w:firstLine="0" w:firstLineChars="0"/>
              <w:jc w:val="center"/>
              <w:rPr>
                <w:color w:val="auto"/>
                <w:sz w:val="21"/>
                <w:szCs w:val="18"/>
              </w:rPr>
            </w:pPr>
            <w:r>
              <w:rPr>
                <w:rFonts w:hint="eastAsia"/>
                <w:color w:val="auto"/>
                <w:sz w:val="21"/>
                <w:szCs w:val="18"/>
              </w:rPr>
              <w:t>E</w:t>
            </w:r>
          </w:p>
        </w:tc>
        <w:tc>
          <w:tcPr>
            <w:tcW w:w="749" w:type="pct"/>
            <w:vAlign w:val="center"/>
          </w:tcPr>
          <w:p w14:paraId="409A163E">
            <w:pPr>
              <w:spacing w:line="240" w:lineRule="auto"/>
              <w:ind w:firstLine="0" w:firstLineChars="0"/>
              <w:jc w:val="center"/>
              <w:rPr>
                <w:color w:val="auto"/>
                <w:sz w:val="21"/>
                <w:szCs w:val="18"/>
              </w:rPr>
            </w:pPr>
            <w:r>
              <w:rPr>
                <w:rFonts w:hint="eastAsia"/>
                <w:color w:val="auto"/>
                <w:sz w:val="21"/>
                <w:szCs w:val="18"/>
              </w:rPr>
              <w:t>0.05</w:t>
            </w:r>
          </w:p>
        </w:tc>
        <w:tc>
          <w:tcPr>
            <w:tcW w:w="515" w:type="pct"/>
            <w:vAlign w:val="center"/>
          </w:tcPr>
          <w:p w14:paraId="72542DAD">
            <w:pPr>
              <w:spacing w:line="240" w:lineRule="auto"/>
              <w:ind w:firstLine="0" w:firstLineChars="0"/>
              <w:jc w:val="center"/>
              <w:rPr>
                <w:color w:val="auto"/>
                <w:sz w:val="21"/>
                <w:szCs w:val="18"/>
              </w:rPr>
            </w:pPr>
            <w:r>
              <w:rPr>
                <w:color w:val="auto"/>
                <w:sz w:val="21"/>
                <w:szCs w:val="18"/>
              </w:rPr>
              <w:t>小河</w:t>
            </w:r>
          </w:p>
        </w:tc>
        <w:tc>
          <w:tcPr>
            <w:tcW w:w="1819" w:type="pct"/>
            <w:vMerge w:val="continue"/>
            <w:vAlign w:val="center"/>
          </w:tcPr>
          <w:p w14:paraId="226927EE">
            <w:pPr>
              <w:spacing w:line="240" w:lineRule="auto"/>
              <w:ind w:firstLine="0" w:firstLineChars="0"/>
              <w:jc w:val="center"/>
              <w:rPr>
                <w:color w:val="auto"/>
                <w:sz w:val="21"/>
                <w:szCs w:val="18"/>
              </w:rPr>
            </w:pPr>
          </w:p>
        </w:tc>
      </w:tr>
      <w:tr w14:paraId="482801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Align w:val="center"/>
          </w:tcPr>
          <w:p w14:paraId="6D57BDE7">
            <w:pPr>
              <w:spacing w:line="240" w:lineRule="auto"/>
              <w:ind w:firstLine="0" w:firstLineChars="0"/>
              <w:jc w:val="center"/>
              <w:rPr>
                <w:color w:val="auto"/>
                <w:sz w:val="21"/>
                <w:szCs w:val="18"/>
              </w:rPr>
            </w:pPr>
            <w:r>
              <w:rPr>
                <w:color w:val="auto"/>
                <w:sz w:val="21"/>
                <w:szCs w:val="18"/>
              </w:rPr>
              <w:t>声环境</w:t>
            </w:r>
          </w:p>
        </w:tc>
        <w:tc>
          <w:tcPr>
            <w:tcW w:w="2699" w:type="pct"/>
            <w:gridSpan w:val="4"/>
            <w:vAlign w:val="center"/>
          </w:tcPr>
          <w:p w14:paraId="5A1D3A3B">
            <w:pPr>
              <w:spacing w:line="240" w:lineRule="auto"/>
              <w:ind w:firstLine="0" w:firstLineChars="0"/>
              <w:jc w:val="center"/>
              <w:rPr>
                <w:color w:val="auto"/>
                <w:sz w:val="21"/>
                <w:szCs w:val="18"/>
              </w:rPr>
            </w:pPr>
            <w:r>
              <w:rPr>
                <w:color w:val="auto"/>
                <w:sz w:val="21"/>
                <w:szCs w:val="18"/>
              </w:rPr>
              <w:t>厂界外200m无声环境保护目标</w:t>
            </w:r>
          </w:p>
        </w:tc>
        <w:tc>
          <w:tcPr>
            <w:tcW w:w="1819" w:type="pct"/>
            <w:vAlign w:val="center"/>
          </w:tcPr>
          <w:p w14:paraId="2E4FD841">
            <w:pPr>
              <w:spacing w:line="240" w:lineRule="auto"/>
              <w:ind w:firstLine="0" w:firstLineChars="0"/>
              <w:jc w:val="center"/>
              <w:rPr>
                <w:color w:val="auto"/>
                <w:sz w:val="21"/>
                <w:szCs w:val="18"/>
              </w:rPr>
            </w:pPr>
            <w:r>
              <w:rPr>
                <w:color w:val="auto"/>
                <w:sz w:val="21"/>
                <w:szCs w:val="18"/>
              </w:rPr>
              <w:t>《声环境质量标准》（GB3096-2008</w:t>
            </w:r>
            <w:r>
              <w:rPr>
                <w:rFonts w:hint="eastAsia"/>
                <w:color w:val="auto"/>
                <w:sz w:val="21"/>
                <w:szCs w:val="18"/>
              </w:rPr>
              <w:t>）</w:t>
            </w:r>
            <w:r>
              <w:rPr>
                <w:color w:val="auto"/>
                <w:sz w:val="21"/>
                <w:szCs w:val="18"/>
              </w:rPr>
              <w:t>3类</w:t>
            </w:r>
            <w:r>
              <w:rPr>
                <w:rFonts w:hint="eastAsia"/>
                <w:color w:val="auto"/>
                <w:sz w:val="21"/>
                <w:szCs w:val="18"/>
              </w:rPr>
              <w:t>标准限值</w:t>
            </w:r>
          </w:p>
        </w:tc>
      </w:tr>
      <w:tr w14:paraId="5A5625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Align w:val="center"/>
          </w:tcPr>
          <w:p w14:paraId="41DD5E38">
            <w:pPr>
              <w:spacing w:line="240" w:lineRule="auto"/>
              <w:ind w:firstLine="0" w:firstLineChars="0"/>
              <w:jc w:val="center"/>
              <w:rPr>
                <w:color w:val="auto"/>
                <w:sz w:val="21"/>
                <w:szCs w:val="18"/>
              </w:rPr>
            </w:pPr>
            <w:r>
              <w:rPr>
                <w:rFonts w:hint="eastAsia"/>
                <w:color w:val="auto"/>
                <w:sz w:val="21"/>
                <w:szCs w:val="18"/>
              </w:rPr>
              <w:t>地下水</w:t>
            </w:r>
          </w:p>
        </w:tc>
        <w:tc>
          <w:tcPr>
            <w:tcW w:w="828" w:type="pct"/>
            <w:vAlign w:val="center"/>
          </w:tcPr>
          <w:p w14:paraId="647474BD">
            <w:pPr>
              <w:spacing w:line="240" w:lineRule="auto"/>
              <w:ind w:firstLine="0" w:firstLineChars="0"/>
              <w:jc w:val="center"/>
              <w:rPr>
                <w:color w:val="auto"/>
                <w:sz w:val="21"/>
                <w:szCs w:val="18"/>
              </w:rPr>
            </w:pPr>
            <w:r>
              <w:rPr>
                <w:rFonts w:hint="eastAsia"/>
                <w:color w:val="auto"/>
                <w:sz w:val="21"/>
                <w:szCs w:val="18"/>
              </w:rPr>
              <w:t>潜水含水层</w:t>
            </w:r>
          </w:p>
        </w:tc>
        <w:tc>
          <w:tcPr>
            <w:tcW w:w="1870" w:type="pct"/>
            <w:gridSpan w:val="3"/>
            <w:vAlign w:val="center"/>
          </w:tcPr>
          <w:p w14:paraId="62AF742A">
            <w:pPr>
              <w:spacing w:line="240" w:lineRule="auto"/>
              <w:ind w:firstLine="0" w:firstLineChars="0"/>
              <w:jc w:val="center"/>
              <w:rPr>
                <w:color w:val="auto"/>
                <w:sz w:val="21"/>
                <w:szCs w:val="18"/>
              </w:rPr>
            </w:pPr>
            <w:r>
              <w:rPr>
                <w:rFonts w:hint="eastAsia"/>
                <w:color w:val="auto"/>
                <w:sz w:val="21"/>
                <w:szCs w:val="18"/>
              </w:rPr>
              <w:t>周边6km</w:t>
            </w:r>
            <w:r>
              <w:rPr>
                <w:rFonts w:hint="eastAsia"/>
                <w:color w:val="auto"/>
                <w:sz w:val="21"/>
                <w:szCs w:val="18"/>
                <w:vertAlign w:val="superscript"/>
              </w:rPr>
              <w:t>2</w:t>
            </w:r>
          </w:p>
        </w:tc>
        <w:tc>
          <w:tcPr>
            <w:tcW w:w="1819" w:type="pct"/>
            <w:vAlign w:val="center"/>
          </w:tcPr>
          <w:p w14:paraId="0008529E">
            <w:pPr>
              <w:spacing w:line="240" w:lineRule="auto"/>
              <w:ind w:firstLine="0" w:firstLineChars="0"/>
              <w:jc w:val="center"/>
              <w:rPr>
                <w:color w:val="auto"/>
                <w:sz w:val="21"/>
                <w:szCs w:val="18"/>
              </w:rPr>
            </w:pPr>
            <w:r>
              <w:rPr>
                <w:rFonts w:hint="eastAsia"/>
                <w:color w:val="auto"/>
                <w:sz w:val="21"/>
                <w:szCs w:val="18"/>
              </w:rPr>
              <w:t>《地下水质量标准》（GB/T14848-2017）</w:t>
            </w:r>
          </w:p>
        </w:tc>
      </w:tr>
      <w:tr w14:paraId="358FD4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481" w:type="pct"/>
            <w:vAlign w:val="center"/>
          </w:tcPr>
          <w:p w14:paraId="35E2EE9F">
            <w:pPr>
              <w:spacing w:line="240" w:lineRule="auto"/>
              <w:ind w:firstLine="0" w:firstLineChars="0"/>
              <w:jc w:val="center"/>
              <w:rPr>
                <w:color w:val="auto"/>
                <w:sz w:val="21"/>
                <w:szCs w:val="18"/>
              </w:rPr>
            </w:pPr>
            <w:r>
              <w:rPr>
                <w:rFonts w:hint="eastAsia"/>
                <w:color w:val="auto"/>
                <w:sz w:val="21"/>
                <w:szCs w:val="18"/>
              </w:rPr>
              <w:t>土壤</w:t>
            </w:r>
          </w:p>
        </w:tc>
        <w:tc>
          <w:tcPr>
            <w:tcW w:w="828" w:type="pct"/>
            <w:vAlign w:val="center"/>
          </w:tcPr>
          <w:p w14:paraId="5DE9087A">
            <w:pPr>
              <w:spacing w:line="240" w:lineRule="auto"/>
              <w:ind w:firstLine="0" w:firstLineChars="0"/>
              <w:jc w:val="center"/>
              <w:rPr>
                <w:color w:val="auto"/>
                <w:sz w:val="21"/>
                <w:szCs w:val="18"/>
              </w:rPr>
            </w:pPr>
            <w:r>
              <w:rPr>
                <w:rFonts w:hint="eastAsia"/>
                <w:color w:val="auto"/>
                <w:sz w:val="21"/>
                <w:szCs w:val="18"/>
              </w:rPr>
              <w:t>厂区及厂界周边200m</w:t>
            </w:r>
          </w:p>
        </w:tc>
        <w:tc>
          <w:tcPr>
            <w:tcW w:w="1870" w:type="pct"/>
            <w:gridSpan w:val="3"/>
            <w:vAlign w:val="center"/>
          </w:tcPr>
          <w:p w14:paraId="4FF70B6F">
            <w:pPr>
              <w:spacing w:line="240" w:lineRule="auto"/>
              <w:ind w:firstLine="0" w:firstLineChars="0"/>
              <w:jc w:val="center"/>
              <w:rPr>
                <w:color w:val="auto"/>
                <w:sz w:val="21"/>
                <w:szCs w:val="18"/>
              </w:rPr>
            </w:pPr>
            <w:r>
              <w:rPr>
                <w:rFonts w:hint="eastAsia"/>
                <w:color w:val="auto"/>
                <w:sz w:val="21"/>
                <w:szCs w:val="18"/>
              </w:rPr>
              <w:t>/</w:t>
            </w:r>
          </w:p>
        </w:tc>
        <w:tc>
          <w:tcPr>
            <w:tcW w:w="1819" w:type="pct"/>
            <w:vAlign w:val="center"/>
          </w:tcPr>
          <w:p w14:paraId="537E765E">
            <w:pPr>
              <w:spacing w:line="240" w:lineRule="auto"/>
              <w:ind w:firstLine="0" w:firstLineChars="0"/>
              <w:jc w:val="center"/>
              <w:rPr>
                <w:color w:val="auto"/>
                <w:sz w:val="21"/>
                <w:szCs w:val="18"/>
              </w:rPr>
            </w:pPr>
            <w:r>
              <w:rPr>
                <w:rFonts w:hint="eastAsia"/>
                <w:color w:val="auto"/>
                <w:sz w:val="21"/>
                <w:szCs w:val="18"/>
              </w:rPr>
              <w:t>《土壤环境质量建设用地土壤污染风险管控标准（试行）》（GB36600-2018）第二类用地</w:t>
            </w:r>
          </w:p>
        </w:tc>
      </w:tr>
      <w:tr w14:paraId="234971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481" w:type="pct"/>
            <w:vMerge w:val="restart"/>
            <w:vAlign w:val="center"/>
          </w:tcPr>
          <w:p w14:paraId="69CCC9D9">
            <w:pPr>
              <w:spacing w:line="240" w:lineRule="auto"/>
              <w:ind w:firstLine="0" w:firstLineChars="0"/>
              <w:jc w:val="center"/>
              <w:rPr>
                <w:color w:val="auto"/>
                <w:sz w:val="21"/>
                <w:szCs w:val="18"/>
              </w:rPr>
            </w:pPr>
            <w:r>
              <w:rPr>
                <w:color w:val="auto"/>
                <w:sz w:val="21"/>
                <w:szCs w:val="18"/>
              </w:rPr>
              <w:t>生态</w:t>
            </w:r>
          </w:p>
          <w:p w14:paraId="70686671">
            <w:pPr>
              <w:spacing w:line="240" w:lineRule="auto"/>
              <w:ind w:firstLine="0" w:firstLineChars="0"/>
              <w:jc w:val="center"/>
              <w:rPr>
                <w:color w:val="auto"/>
                <w:sz w:val="21"/>
                <w:szCs w:val="18"/>
              </w:rPr>
            </w:pPr>
            <w:r>
              <w:rPr>
                <w:color w:val="auto"/>
                <w:sz w:val="21"/>
                <w:szCs w:val="18"/>
              </w:rPr>
              <w:t>环境</w:t>
            </w:r>
          </w:p>
        </w:tc>
        <w:tc>
          <w:tcPr>
            <w:tcW w:w="828" w:type="pct"/>
            <w:vAlign w:val="center"/>
          </w:tcPr>
          <w:p w14:paraId="702EEA5E">
            <w:pPr>
              <w:spacing w:line="240" w:lineRule="auto"/>
              <w:ind w:firstLine="0" w:firstLineChars="0"/>
              <w:jc w:val="center"/>
              <w:textAlignment w:val="center"/>
              <w:rPr>
                <w:color w:val="auto"/>
                <w:sz w:val="21"/>
                <w:szCs w:val="18"/>
              </w:rPr>
            </w:pPr>
            <w:r>
              <w:rPr>
                <w:color w:val="auto"/>
                <w:sz w:val="21"/>
                <w:szCs w:val="21"/>
              </w:rPr>
              <w:t>连云港临洪河口省级湿地公园</w:t>
            </w:r>
          </w:p>
        </w:tc>
        <w:tc>
          <w:tcPr>
            <w:tcW w:w="606" w:type="pct"/>
            <w:vAlign w:val="center"/>
          </w:tcPr>
          <w:p w14:paraId="52E218F3">
            <w:pPr>
              <w:spacing w:line="240" w:lineRule="auto"/>
              <w:ind w:firstLine="0" w:firstLineChars="0"/>
              <w:jc w:val="center"/>
              <w:rPr>
                <w:color w:val="auto"/>
                <w:sz w:val="21"/>
                <w:szCs w:val="18"/>
              </w:rPr>
            </w:pPr>
            <w:r>
              <w:rPr>
                <w:color w:val="auto"/>
                <w:sz w:val="21"/>
                <w:szCs w:val="18"/>
              </w:rPr>
              <w:t>W</w:t>
            </w:r>
          </w:p>
        </w:tc>
        <w:tc>
          <w:tcPr>
            <w:tcW w:w="749" w:type="pct"/>
            <w:vAlign w:val="center"/>
          </w:tcPr>
          <w:p w14:paraId="46E40568">
            <w:pPr>
              <w:spacing w:line="240" w:lineRule="auto"/>
              <w:ind w:firstLine="0" w:firstLineChars="0"/>
              <w:jc w:val="center"/>
              <w:rPr>
                <w:color w:val="auto"/>
                <w:sz w:val="21"/>
                <w:szCs w:val="18"/>
              </w:rPr>
            </w:pPr>
            <w:r>
              <w:rPr>
                <w:rFonts w:hint="eastAsia"/>
                <w:color w:val="auto"/>
                <w:sz w:val="21"/>
                <w:szCs w:val="18"/>
              </w:rPr>
              <w:t>2.44</w:t>
            </w:r>
          </w:p>
        </w:tc>
        <w:tc>
          <w:tcPr>
            <w:tcW w:w="515" w:type="pct"/>
            <w:vAlign w:val="center"/>
          </w:tcPr>
          <w:p w14:paraId="34B04C89">
            <w:pPr>
              <w:spacing w:line="240" w:lineRule="auto"/>
              <w:ind w:firstLine="0" w:firstLineChars="0"/>
              <w:jc w:val="center"/>
              <w:rPr>
                <w:color w:val="auto"/>
                <w:sz w:val="21"/>
                <w:szCs w:val="18"/>
              </w:rPr>
            </w:pPr>
            <w:r>
              <w:rPr>
                <w:color w:val="auto"/>
                <w:sz w:val="21"/>
                <w:szCs w:val="18"/>
              </w:rPr>
              <w:t>国家级生态保护红线</w:t>
            </w:r>
            <w:r>
              <w:rPr>
                <w:rFonts w:hint="eastAsia"/>
                <w:color w:val="auto"/>
                <w:sz w:val="21"/>
                <w:szCs w:val="18"/>
              </w:rPr>
              <w:t>、</w:t>
            </w:r>
            <w:r>
              <w:rPr>
                <w:color w:val="auto"/>
                <w:sz w:val="21"/>
                <w:szCs w:val="18"/>
              </w:rPr>
              <w:t>省级生态空间管控区</w:t>
            </w:r>
          </w:p>
        </w:tc>
        <w:tc>
          <w:tcPr>
            <w:tcW w:w="1819" w:type="pct"/>
            <w:vAlign w:val="center"/>
          </w:tcPr>
          <w:p w14:paraId="6A74F0DE">
            <w:pPr>
              <w:spacing w:line="240" w:lineRule="auto"/>
              <w:ind w:firstLine="0" w:firstLineChars="0"/>
              <w:jc w:val="center"/>
              <w:rPr>
                <w:color w:val="auto"/>
                <w:sz w:val="21"/>
                <w:szCs w:val="18"/>
              </w:rPr>
            </w:pPr>
            <w:r>
              <w:rPr>
                <w:color w:val="auto"/>
                <w:sz w:val="21"/>
                <w:szCs w:val="18"/>
              </w:rPr>
              <w:t>湿地生态系统保护</w:t>
            </w:r>
          </w:p>
        </w:tc>
      </w:tr>
      <w:tr w14:paraId="7C719A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481" w:type="pct"/>
            <w:vMerge w:val="continue"/>
            <w:vAlign w:val="center"/>
          </w:tcPr>
          <w:p w14:paraId="538D86F2">
            <w:pPr>
              <w:spacing w:line="240" w:lineRule="auto"/>
              <w:ind w:firstLine="0" w:firstLineChars="0"/>
              <w:jc w:val="center"/>
              <w:rPr>
                <w:color w:val="auto"/>
                <w:sz w:val="21"/>
                <w:szCs w:val="18"/>
              </w:rPr>
            </w:pPr>
          </w:p>
        </w:tc>
        <w:tc>
          <w:tcPr>
            <w:tcW w:w="828" w:type="pct"/>
            <w:vAlign w:val="center"/>
          </w:tcPr>
          <w:p w14:paraId="777ECD2C">
            <w:pPr>
              <w:widowControl/>
              <w:spacing w:line="240" w:lineRule="auto"/>
              <w:ind w:firstLine="0" w:firstLineChars="0"/>
              <w:jc w:val="center"/>
              <w:textAlignment w:val="center"/>
              <w:rPr>
                <w:color w:val="auto"/>
                <w:sz w:val="21"/>
                <w:szCs w:val="18"/>
              </w:rPr>
            </w:pPr>
            <w:r>
              <w:rPr>
                <w:color w:val="auto"/>
                <w:sz w:val="21"/>
                <w:szCs w:val="21"/>
              </w:rPr>
              <w:t>临洪河重要湿地</w:t>
            </w:r>
          </w:p>
        </w:tc>
        <w:tc>
          <w:tcPr>
            <w:tcW w:w="606" w:type="pct"/>
            <w:vAlign w:val="center"/>
          </w:tcPr>
          <w:p w14:paraId="56921A54">
            <w:pPr>
              <w:spacing w:line="240" w:lineRule="auto"/>
              <w:ind w:firstLine="0" w:firstLineChars="0"/>
              <w:jc w:val="center"/>
              <w:rPr>
                <w:color w:val="auto"/>
                <w:sz w:val="21"/>
                <w:szCs w:val="18"/>
              </w:rPr>
            </w:pPr>
            <w:r>
              <w:rPr>
                <w:color w:val="auto"/>
                <w:sz w:val="21"/>
                <w:szCs w:val="18"/>
              </w:rPr>
              <w:t>W</w:t>
            </w:r>
          </w:p>
        </w:tc>
        <w:tc>
          <w:tcPr>
            <w:tcW w:w="749" w:type="pct"/>
            <w:vAlign w:val="center"/>
          </w:tcPr>
          <w:p w14:paraId="3E08E068">
            <w:pPr>
              <w:spacing w:line="240" w:lineRule="auto"/>
              <w:ind w:firstLine="0" w:firstLineChars="0"/>
              <w:jc w:val="center"/>
              <w:rPr>
                <w:color w:val="auto"/>
                <w:sz w:val="21"/>
                <w:szCs w:val="18"/>
              </w:rPr>
            </w:pPr>
            <w:r>
              <w:rPr>
                <w:rFonts w:hint="eastAsia"/>
                <w:color w:val="auto"/>
                <w:sz w:val="21"/>
                <w:szCs w:val="18"/>
              </w:rPr>
              <w:t>2.54</w:t>
            </w:r>
          </w:p>
        </w:tc>
        <w:tc>
          <w:tcPr>
            <w:tcW w:w="515" w:type="pct"/>
            <w:vAlign w:val="center"/>
          </w:tcPr>
          <w:p w14:paraId="7595D217">
            <w:pPr>
              <w:spacing w:line="240" w:lineRule="auto"/>
              <w:ind w:firstLine="0" w:firstLineChars="0"/>
              <w:jc w:val="center"/>
              <w:rPr>
                <w:color w:val="auto"/>
                <w:sz w:val="21"/>
                <w:szCs w:val="18"/>
              </w:rPr>
            </w:pPr>
            <w:r>
              <w:rPr>
                <w:color w:val="auto"/>
                <w:sz w:val="21"/>
                <w:szCs w:val="18"/>
              </w:rPr>
              <w:t>省级生态空间管控区</w:t>
            </w:r>
          </w:p>
        </w:tc>
        <w:tc>
          <w:tcPr>
            <w:tcW w:w="1819" w:type="pct"/>
            <w:vAlign w:val="center"/>
          </w:tcPr>
          <w:p w14:paraId="0FA9B42B">
            <w:pPr>
              <w:spacing w:line="240" w:lineRule="auto"/>
              <w:ind w:firstLine="0" w:firstLineChars="0"/>
              <w:jc w:val="center"/>
              <w:rPr>
                <w:color w:val="auto"/>
                <w:sz w:val="21"/>
                <w:szCs w:val="18"/>
              </w:rPr>
            </w:pPr>
            <w:r>
              <w:rPr>
                <w:color w:val="auto"/>
                <w:sz w:val="21"/>
                <w:szCs w:val="18"/>
              </w:rPr>
              <w:t>湿地生态系统保护</w:t>
            </w:r>
          </w:p>
        </w:tc>
      </w:tr>
      <w:tr w14:paraId="10D1AB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481" w:type="pct"/>
            <w:vMerge w:val="continue"/>
            <w:vAlign w:val="center"/>
          </w:tcPr>
          <w:p w14:paraId="2D34B845">
            <w:pPr>
              <w:spacing w:line="240" w:lineRule="auto"/>
              <w:ind w:firstLine="0" w:firstLineChars="0"/>
              <w:jc w:val="center"/>
              <w:rPr>
                <w:color w:val="auto"/>
                <w:sz w:val="21"/>
                <w:szCs w:val="18"/>
              </w:rPr>
            </w:pPr>
          </w:p>
        </w:tc>
        <w:tc>
          <w:tcPr>
            <w:tcW w:w="828" w:type="pct"/>
            <w:vAlign w:val="center"/>
          </w:tcPr>
          <w:p w14:paraId="5A8DF5B9">
            <w:pPr>
              <w:widowControl/>
              <w:spacing w:line="240" w:lineRule="auto"/>
              <w:ind w:firstLine="0" w:firstLineChars="0"/>
              <w:jc w:val="center"/>
              <w:textAlignment w:val="center"/>
              <w:rPr>
                <w:color w:val="auto"/>
                <w:sz w:val="21"/>
                <w:szCs w:val="18"/>
              </w:rPr>
            </w:pPr>
            <w:r>
              <w:rPr>
                <w:color w:val="auto"/>
                <w:sz w:val="21"/>
                <w:szCs w:val="21"/>
              </w:rPr>
              <w:t>通榆河（赣榆区）清水通道维护区</w:t>
            </w:r>
          </w:p>
        </w:tc>
        <w:tc>
          <w:tcPr>
            <w:tcW w:w="606" w:type="pct"/>
            <w:vAlign w:val="center"/>
          </w:tcPr>
          <w:p w14:paraId="13189F10">
            <w:pPr>
              <w:spacing w:line="240" w:lineRule="auto"/>
              <w:ind w:firstLine="0" w:firstLineChars="0"/>
              <w:jc w:val="center"/>
              <w:rPr>
                <w:color w:val="auto"/>
                <w:sz w:val="21"/>
                <w:szCs w:val="18"/>
              </w:rPr>
            </w:pPr>
            <w:r>
              <w:rPr>
                <w:color w:val="auto"/>
                <w:sz w:val="21"/>
                <w:szCs w:val="18"/>
              </w:rPr>
              <w:t>W</w:t>
            </w:r>
          </w:p>
        </w:tc>
        <w:tc>
          <w:tcPr>
            <w:tcW w:w="749" w:type="pct"/>
            <w:vAlign w:val="center"/>
          </w:tcPr>
          <w:p w14:paraId="329AEF05">
            <w:pPr>
              <w:spacing w:line="240" w:lineRule="auto"/>
              <w:ind w:firstLine="0" w:firstLineChars="0"/>
              <w:jc w:val="center"/>
              <w:rPr>
                <w:color w:val="auto"/>
                <w:sz w:val="21"/>
                <w:szCs w:val="18"/>
              </w:rPr>
            </w:pPr>
            <w:r>
              <w:rPr>
                <w:rFonts w:hint="eastAsia"/>
                <w:color w:val="auto"/>
                <w:sz w:val="21"/>
                <w:szCs w:val="18"/>
              </w:rPr>
              <w:t>4.95</w:t>
            </w:r>
          </w:p>
        </w:tc>
        <w:tc>
          <w:tcPr>
            <w:tcW w:w="515" w:type="pct"/>
            <w:vAlign w:val="center"/>
          </w:tcPr>
          <w:p w14:paraId="7CD07438">
            <w:pPr>
              <w:spacing w:line="240" w:lineRule="auto"/>
              <w:ind w:firstLine="0" w:firstLineChars="0"/>
              <w:jc w:val="center"/>
              <w:rPr>
                <w:color w:val="auto"/>
                <w:sz w:val="21"/>
                <w:szCs w:val="18"/>
              </w:rPr>
            </w:pPr>
            <w:r>
              <w:rPr>
                <w:color w:val="auto"/>
                <w:sz w:val="21"/>
                <w:szCs w:val="18"/>
              </w:rPr>
              <w:t>省级生态空间管控区</w:t>
            </w:r>
          </w:p>
        </w:tc>
        <w:tc>
          <w:tcPr>
            <w:tcW w:w="1819" w:type="pct"/>
            <w:vAlign w:val="center"/>
          </w:tcPr>
          <w:p w14:paraId="64078DA4">
            <w:pPr>
              <w:spacing w:line="240" w:lineRule="auto"/>
              <w:ind w:firstLine="0" w:firstLineChars="0"/>
              <w:jc w:val="center"/>
              <w:rPr>
                <w:color w:val="auto"/>
                <w:sz w:val="21"/>
                <w:szCs w:val="18"/>
              </w:rPr>
            </w:pPr>
            <w:r>
              <w:rPr>
                <w:color w:val="auto"/>
                <w:sz w:val="21"/>
                <w:szCs w:val="21"/>
              </w:rPr>
              <w:t>水源水质保护</w:t>
            </w:r>
          </w:p>
        </w:tc>
      </w:tr>
      <w:tr w14:paraId="62667B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481" w:type="pct"/>
            <w:vMerge w:val="continue"/>
            <w:vAlign w:val="center"/>
          </w:tcPr>
          <w:p w14:paraId="56B91F3B">
            <w:pPr>
              <w:spacing w:line="240" w:lineRule="auto"/>
              <w:ind w:firstLine="0" w:firstLineChars="0"/>
              <w:jc w:val="center"/>
              <w:rPr>
                <w:color w:val="auto"/>
                <w:sz w:val="21"/>
                <w:szCs w:val="18"/>
              </w:rPr>
            </w:pPr>
          </w:p>
        </w:tc>
        <w:tc>
          <w:tcPr>
            <w:tcW w:w="828" w:type="pct"/>
            <w:vAlign w:val="center"/>
          </w:tcPr>
          <w:p w14:paraId="16EFFE04">
            <w:pPr>
              <w:widowControl/>
              <w:spacing w:line="240" w:lineRule="auto"/>
              <w:ind w:firstLine="0" w:firstLineChars="0"/>
              <w:jc w:val="center"/>
              <w:textAlignment w:val="center"/>
              <w:rPr>
                <w:color w:val="auto"/>
                <w:sz w:val="21"/>
                <w:szCs w:val="18"/>
              </w:rPr>
            </w:pPr>
            <w:r>
              <w:rPr>
                <w:color w:val="auto"/>
                <w:sz w:val="21"/>
                <w:szCs w:val="21"/>
              </w:rPr>
              <w:t>云台山风景名胜区</w:t>
            </w:r>
          </w:p>
        </w:tc>
        <w:tc>
          <w:tcPr>
            <w:tcW w:w="606" w:type="pct"/>
            <w:vAlign w:val="center"/>
          </w:tcPr>
          <w:p w14:paraId="0FF0A24B">
            <w:pPr>
              <w:spacing w:line="240" w:lineRule="auto"/>
              <w:ind w:firstLine="0" w:firstLineChars="0"/>
              <w:jc w:val="center"/>
              <w:rPr>
                <w:color w:val="auto"/>
                <w:sz w:val="21"/>
                <w:szCs w:val="18"/>
              </w:rPr>
            </w:pPr>
            <w:r>
              <w:rPr>
                <w:rFonts w:hint="eastAsia"/>
                <w:color w:val="auto"/>
                <w:sz w:val="21"/>
                <w:szCs w:val="18"/>
              </w:rPr>
              <w:t>SE</w:t>
            </w:r>
          </w:p>
        </w:tc>
        <w:tc>
          <w:tcPr>
            <w:tcW w:w="749" w:type="pct"/>
            <w:vAlign w:val="center"/>
          </w:tcPr>
          <w:p w14:paraId="1D8ECBA0">
            <w:pPr>
              <w:spacing w:line="240" w:lineRule="auto"/>
              <w:ind w:firstLine="0" w:firstLineChars="0"/>
              <w:jc w:val="center"/>
              <w:rPr>
                <w:color w:val="auto"/>
                <w:sz w:val="21"/>
                <w:szCs w:val="18"/>
              </w:rPr>
            </w:pPr>
            <w:r>
              <w:rPr>
                <w:rFonts w:hint="eastAsia"/>
                <w:color w:val="auto"/>
                <w:sz w:val="21"/>
                <w:szCs w:val="18"/>
              </w:rPr>
              <w:t>6.50</w:t>
            </w:r>
          </w:p>
        </w:tc>
        <w:tc>
          <w:tcPr>
            <w:tcW w:w="515" w:type="pct"/>
            <w:vAlign w:val="center"/>
          </w:tcPr>
          <w:p w14:paraId="0A266B55">
            <w:pPr>
              <w:spacing w:line="240" w:lineRule="auto"/>
              <w:ind w:firstLine="0" w:firstLineChars="0"/>
              <w:jc w:val="center"/>
              <w:rPr>
                <w:color w:val="auto"/>
                <w:sz w:val="21"/>
                <w:szCs w:val="18"/>
              </w:rPr>
            </w:pPr>
            <w:r>
              <w:rPr>
                <w:color w:val="auto"/>
                <w:sz w:val="21"/>
                <w:szCs w:val="18"/>
              </w:rPr>
              <w:t>国家级生态保护红线</w:t>
            </w:r>
          </w:p>
        </w:tc>
        <w:tc>
          <w:tcPr>
            <w:tcW w:w="1819" w:type="pct"/>
            <w:vAlign w:val="center"/>
          </w:tcPr>
          <w:p w14:paraId="7EF043D0">
            <w:pPr>
              <w:spacing w:line="240" w:lineRule="auto"/>
              <w:ind w:firstLine="0" w:firstLineChars="0"/>
              <w:jc w:val="center"/>
              <w:rPr>
                <w:color w:val="auto"/>
                <w:sz w:val="21"/>
                <w:szCs w:val="18"/>
              </w:rPr>
            </w:pPr>
            <w:r>
              <w:rPr>
                <w:color w:val="auto"/>
                <w:sz w:val="21"/>
                <w:szCs w:val="21"/>
              </w:rPr>
              <w:t>生物多样性保护</w:t>
            </w:r>
          </w:p>
        </w:tc>
      </w:tr>
      <w:tr w14:paraId="79E237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481" w:type="pct"/>
            <w:vMerge w:val="continue"/>
            <w:vAlign w:val="center"/>
          </w:tcPr>
          <w:p w14:paraId="10A2572A">
            <w:pPr>
              <w:spacing w:line="240" w:lineRule="auto"/>
              <w:ind w:firstLine="0" w:firstLineChars="0"/>
              <w:jc w:val="center"/>
              <w:rPr>
                <w:color w:val="auto"/>
                <w:sz w:val="21"/>
                <w:szCs w:val="18"/>
              </w:rPr>
            </w:pPr>
          </w:p>
        </w:tc>
        <w:tc>
          <w:tcPr>
            <w:tcW w:w="828" w:type="pct"/>
            <w:vAlign w:val="center"/>
          </w:tcPr>
          <w:p w14:paraId="3EF6A127">
            <w:pPr>
              <w:widowControl/>
              <w:spacing w:line="240" w:lineRule="auto"/>
              <w:ind w:firstLine="0" w:firstLineChars="0"/>
              <w:jc w:val="center"/>
              <w:textAlignment w:val="center"/>
              <w:rPr>
                <w:color w:val="auto"/>
                <w:sz w:val="21"/>
                <w:szCs w:val="18"/>
              </w:rPr>
            </w:pPr>
            <w:r>
              <w:rPr>
                <w:color w:val="auto"/>
                <w:sz w:val="21"/>
                <w:szCs w:val="21"/>
              </w:rPr>
              <w:t>连云港港北固山省级森林公园</w:t>
            </w:r>
          </w:p>
        </w:tc>
        <w:tc>
          <w:tcPr>
            <w:tcW w:w="606" w:type="pct"/>
            <w:vAlign w:val="center"/>
          </w:tcPr>
          <w:p w14:paraId="1691262B">
            <w:pPr>
              <w:spacing w:line="240" w:lineRule="auto"/>
              <w:ind w:firstLine="0" w:firstLineChars="0"/>
              <w:jc w:val="center"/>
              <w:rPr>
                <w:color w:val="auto"/>
                <w:sz w:val="21"/>
                <w:szCs w:val="18"/>
              </w:rPr>
            </w:pPr>
            <w:r>
              <w:rPr>
                <w:rFonts w:hint="eastAsia"/>
                <w:color w:val="auto"/>
                <w:sz w:val="21"/>
                <w:szCs w:val="18"/>
              </w:rPr>
              <w:t>NE</w:t>
            </w:r>
          </w:p>
        </w:tc>
        <w:tc>
          <w:tcPr>
            <w:tcW w:w="749" w:type="pct"/>
            <w:vAlign w:val="center"/>
          </w:tcPr>
          <w:p w14:paraId="597200A8">
            <w:pPr>
              <w:spacing w:line="240" w:lineRule="auto"/>
              <w:ind w:firstLine="0" w:firstLineChars="0"/>
              <w:jc w:val="center"/>
              <w:rPr>
                <w:color w:val="auto"/>
                <w:sz w:val="21"/>
                <w:szCs w:val="18"/>
              </w:rPr>
            </w:pPr>
            <w:r>
              <w:rPr>
                <w:rFonts w:hint="eastAsia"/>
                <w:color w:val="auto"/>
                <w:sz w:val="21"/>
                <w:szCs w:val="18"/>
              </w:rPr>
              <w:t>10.44</w:t>
            </w:r>
          </w:p>
        </w:tc>
        <w:tc>
          <w:tcPr>
            <w:tcW w:w="515" w:type="pct"/>
            <w:vAlign w:val="center"/>
          </w:tcPr>
          <w:p w14:paraId="0590205A">
            <w:pPr>
              <w:spacing w:line="240" w:lineRule="auto"/>
              <w:ind w:firstLine="0" w:firstLineChars="0"/>
              <w:jc w:val="center"/>
              <w:rPr>
                <w:color w:val="auto"/>
                <w:sz w:val="21"/>
                <w:szCs w:val="18"/>
              </w:rPr>
            </w:pPr>
            <w:r>
              <w:rPr>
                <w:color w:val="auto"/>
                <w:sz w:val="21"/>
                <w:szCs w:val="18"/>
              </w:rPr>
              <w:t>国家级生态保护红线</w:t>
            </w:r>
          </w:p>
        </w:tc>
        <w:tc>
          <w:tcPr>
            <w:tcW w:w="1819" w:type="pct"/>
            <w:vAlign w:val="center"/>
          </w:tcPr>
          <w:p w14:paraId="0535BEB7">
            <w:pPr>
              <w:spacing w:line="240" w:lineRule="auto"/>
              <w:ind w:firstLine="0" w:firstLineChars="0"/>
              <w:jc w:val="center"/>
              <w:rPr>
                <w:color w:val="auto"/>
                <w:sz w:val="21"/>
                <w:szCs w:val="18"/>
              </w:rPr>
            </w:pPr>
            <w:r>
              <w:rPr>
                <w:color w:val="auto"/>
                <w:sz w:val="21"/>
                <w:szCs w:val="21"/>
              </w:rPr>
              <w:t>自然与人文景观保护</w:t>
            </w:r>
          </w:p>
        </w:tc>
      </w:tr>
    </w:tbl>
    <w:p w14:paraId="76831AE5">
      <w:pPr>
        <w:ind w:firstLine="0" w:firstLineChars="0"/>
        <w:rPr>
          <w:color w:val="auto"/>
        </w:rPr>
      </w:pPr>
      <w:r>
        <w:rPr>
          <w:b/>
          <w:color w:val="auto"/>
          <w:sz w:val="18"/>
          <w:szCs w:val="18"/>
        </w:rPr>
        <w:t>*本表中所列距离为项目到敏感目标最近的距离。</w:t>
      </w:r>
    </w:p>
    <w:p w14:paraId="55EFF2F9">
      <w:pPr>
        <w:ind w:firstLine="482"/>
        <w:rPr>
          <w:b/>
          <w:color w:val="auto"/>
          <w:szCs w:val="21"/>
        </w:rPr>
        <w:sectPr>
          <w:pgSz w:w="16838" w:h="11906" w:orient="landscape"/>
          <w:pgMar w:top="1418" w:right="1418" w:bottom="1418" w:left="1418" w:header="851" w:footer="992" w:gutter="0"/>
          <w:cols w:space="720" w:num="1"/>
          <w:docGrid w:linePitch="326" w:charSpace="0"/>
        </w:sectPr>
      </w:pPr>
    </w:p>
    <w:p w14:paraId="3B20F1B8">
      <w:pPr>
        <w:pStyle w:val="4"/>
        <w:spacing w:beforeLines="50" w:after="0"/>
        <w:ind w:firstLine="0" w:firstLineChars="0"/>
        <w:rPr>
          <w:color w:val="auto"/>
          <w:sz w:val="30"/>
          <w:szCs w:val="30"/>
        </w:rPr>
      </w:pPr>
      <w:bookmarkStart w:id="42" w:name="_Toc21521"/>
      <w:r>
        <w:rPr>
          <w:rFonts w:hint="eastAsia"/>
          <w:color w:val="auto"/>
          <w:sz w:val="30"/>
          <w:szCs w:val="30"/>
        </w:rPr>
        <w:t>2.7 相关规划</w:t>
      </w:r>
      <w:bookmarkEnd w:id="42"/>
    </w:p>
    <w:p w14:paraId="79E5F868">
      <w:pPr>
        <w:keepNext/>
        <w:keepLines/>
        <w:spacing w:before="120" w:beforeLines="50"/>
        <w:ind w:firstLine="0" w:firstLineChars="0"/>
        <w:outlineLvl w:val="2"/>
        <w:rPr>
          <w:b/>
          <w:bCs/>
          <w:color w:val="auto"/>
          <w:sz w:val="28"/>
          <w:szCs w:val="36"/>
        </w:rPr>
      </w:pPr>
      <w:r>
        <w:rPr>
          <w:rFonts w:hint="eastAsia"/>
          <w:b/>
          <w:bCs/>
          <w:color w:val="auto"/>
          <w:sz w:val="28"/>
          <w:szCs w:val="36"/>
        </w:rPr>
        <w:t>2.7.1 临港产业区西北片区规划</w:t>
      </w:r>
    </w:p>
    <w:p w14:paraId="0677A273">
      <w:pPr>
        <w:ind w:firstLine="480"/>
        <w:rPr>
          <w:color w:val="auto"/>
        </w:rPr>
      </w:pPr>
      <w:r>
        <w:rPr>
          <w:color w:val="auto"/>
        </w:rPr>
        <w:t>本项目位于连云港经济技术开发区临港产业区西北片区</w:t>
      </w:r>
      <w:r>
        <w:rPr>
          <w:rFonts w:hint="eastAsia"/>
          <w:color w:val="auto"/>
        </w:rPr>
        <w:t>内，《连云港经济技术开发区（大浦片区、临港产业区西北片区、江宁工业城、一带一路国际物流园）产业发展规划环境影响报告书》已于2024年10月21日通过连云港市生态环境局审查（连环发〔2024〕247号）。临港产业区西北片区规划内容如下：</w:t>
      </w:r>
    </w:p>
    <w:p w14:paraId="369FC236">
      <w:pPr>
        <w:keepNext/>
        <w:keepLines/>
        <w:spacing w:before="120" w:beforeLines="50"/>
        <w:ind w:firstLine="0" w:firstLineChars="0"/>
        <w:outlineLvl w:val="3"/>
        <w:rPr>
          <w:b/>
          <w:bCs/>
          <w:color w:val="auto"/>
          <w:szCs w:val="32"/>
        </w:rPr>
      </w:pPr>
      <w:r>
        <w:rPr>
          <w:rFonts w:hint="eastAsia"/>
          <w:b/>
          <w:bCs/>
          <w:color w:val="auto"/>
          <w:szCs w:val="32"/>
        </w:rPr>
        <w:t>2.7.1.1 规划范围</w:t>
      </w:r>
    </w:p>
    <w:p w14:paraId="29EA6072">
      <w:pPr>
        <w:ind w:firstLine="480"/>
        <w:rPr>
          <w:color w:val="auto"/>
        </w:rPr>
      </w:pPr>
      <w:r>
        <w:rPr>
          <w:rFonts w:hint="eastAsia"/>
          <w:color w:val="auto"/>
        </w:rPr>
        <w:t>本次规划范围为东至佟圩河，南至排淡河（先锋路），西至临洪路，北至242省道，规划面积为40.68km</w:t>
      </w:r>
      <w:r>
        <w:rPr>
          <w:rFonts w:hint="eastAsia"/>
          <w:color w:val="auto"/>
          <w:vertAlign w:val="superscript"/>
        </w:rPr>
        <w:t>2</w:t>
      </w:r>
      <w:r>
        <w:rPr>
          <w:rFonts w:hint="eastAsia"/>
          <w:color w:val="auto"/>
        </w:rPr>
        <w:t>。</w:t>
      </w:r>
    </w:p>
    <w:p w14:paraId="1F82AC30">
      <w:pPr>
        <w:keepNext/>
        <w:keepLines/>
        <w:spacing w:before="120" w:beforeLines="50"/>
        <w:ind w:firstLine="0" w:firstLineChars="0"/>
        <w:outlineLvl w:val="3"/>
        <w:rPr>
          <w:b/>
          <w:bCs/>
          <w:color w:val="auto"/>
          <w:szCs w:val="32"/>
        </w:rPr>
      </w:pPr>
      <w:r>
        <w:rPr>
          <w:rFonts w:hint="eastAsia"/>
          <w:b/>
          <w:bCs/>
          <w:color w:val="auto"/>
          <w:szCs w:val="32"/>
        </w:rPr>
        <w:t>2.7.1.2 产业定位</w:t>
      </w:r>
    </w:p>
    <w:p w14:paraId="73147ECF">
      <w:pPr>
        <w:ind w:firstLine="480"/>
        <w:rPr>
          <w:color w:val="auto"/>
        </w:rPr>
      </w:pPr>
      <w:r>
        <w:rPr>
          <w:rFonts w:hint="eastAsia"/>
          <w:color w:val="auto"/>
        </w:rPr>
        <w:t>临港产业区西北片区重点发展新医药（原料药项目严格控制在大浦路以西）、新材料、集成电路配套、高端装备制造、新型建材、机械电子、仓储物流等；江宁工业城以新医药产业为主，兼顾发展机械电子、仓储物流产业；一带一路国际物流园（含朝阳工业园）以绿色物流、商业商务、信息中心、物流产业配套的加工基地、新型建材、机械电子等为主。</w:t>
      </w:r>
    </w:p>
    <w:p w14:paraId="7451AF13">
      <w:pPr>
        <w:ind w:firstLine="480"/>
        <w:rPr>
          <w:color w:val="auto"/>
        </w:rPr>
      </w:pPr>
      <w:r>
        <w:rPr>
          <w:rFonts w:hint="eastAsia"/>
          <w:color w:val="auto"/>
        </w:rPr>
        <w:t>片区优先引进《产业结构调整指导目录》《外商投资产业指导目录》及其他现行的政策中鼓励类项目，禁止引进限制类、禁止类、淘汰类项目及与有关产业政策和导向不符的项目。对不符合现行产业政策、准入条件和园区规划的产业类别的项目，严禁入园。</w:t>
      </w:r>
    </w:p>
    <w:p w14:paraId="7CB6710C">
      <w:pPr>
        <w:ind w:firstLine="480"/>
        <w:rPr>
          <w:color w:val="auto"/>
        </w:rPr>
      </w:pPr>
      <w:r>
        <w:rPr>
          <w:rFonts w:hint="eastAsia"/>
          <w:color w:val="auto"/>
        </w:rPr>
        <w:t>本项目位于连云港经济技术开发区临港产业园区西北片区，行业类别为C3311金属结构制造，对应产品为太阳能光伏铝边框，该产品为光伏组件核心辅材，属于园区产业定位中的装备制造类项目。本项目属于《产业结构调整指导目录（2024年本）》中鼓励类项目，符合现行产业政策、准入条件和园区规划的产业类别，项目建设与报批阶段的规划环境影响评价结论相符。</w:t>
      </w:r>
    </w:p>
    <w:p w14:paraId="7E1BD104">
      <w:pPr>
        <w:keepNext/>
        <w:keepLines/>
        <w:spacing w:before="120" w:beforeLines="50"/>
        <w:ind w:firstLine="0" w:firstLineChars="0"/>
        <w:outlineLvl w:val="3"/>
        <w:rPr>
          <w:b/>
          <w:bCs/>
          <w:color w:val="auto"/>
          <w:szCs w:val="32"/>
        </w:rPr>
      </w:pPr>
      <w:r>
        <w:rPr>
          <w:rFonts w:hint="eastAsia"/>
          <w:b/>
          <w:bCs/>
          <w:color w:val="auto"/>
          <w:szCs w:val="32"/>
        </w:rPr>
        <w:t>2.7.1.3 用地布局及功能分区</w:t>
      </w:r>
    </w:p>
    <w:p w14:paraId="0C2E89CE">
      <w:pPr>
        <w:ind w:firstLine="480"/>
        <w:rPr>
          <w:color w:val="auto"/>
        </w:rPr>
      </w:pPr>
      <w:r>
        <w:rPr>
          <w:rFonts w:hint="eastAsia"/>
          <w:color w:val="auto"/>
        </w:rPr>
        <w:t>1、用地布局</w:t>
      </w:r>
    </w:p>
    <w:p w14:paraId="70696758">
      <w:pPr>
        <w:ind w:firstLine="480"/>
        <w:rPr>
          <w:color w:val="auto"/>
        </w:rPr>
      </w:pPr>
      <w:r>
        <w:rPr>
          <w:rFonts w:hint="eastAsia"/>
          <w:color w:val="auto"/>
        </w:rPr>
        <w:t>该规划总用地面积为4068公顷，其中工业用地总面积约为1331.72公顷，占用地面积的32.74%，规划水域及其他用地主要包括水域、生态和发展备用地等，总面积约806.19公顷，占总用地面积的19.82%。</w:t>
      </w:r>
    </w:p>
    <w:p w14:paraId="16AE8E10">
      <w:pPr>
        <w:ind w:firstLine="480"/>
        <w:rPr>
          <w:color w:val="auto"/>
        </w:rPr>
      </w:pPr>
      <w:r>
        <w:rPr>
          <w:rFonts w:hint="eastAsia"/>
          <w:color w:val="auto"/>
        </w:rPr>
        <w:t>临港产业片区西北片区规划用地汇总见表2.7.1-1，土地利用规划见图2.7-1。</w:t>
      </w:r>
    </w:p>
    <w:p w14:paraId="418CAF4A">
      <w:pPr>
        <w:spacing w:line="240" w:lineRule="auto"/>
        <w:ind w:firstLine="0" w:firstLineChars="0"/>
        <w:jc w:val="center"/>
        <w:rPr>
          <w:b/>
          <w:bCs/>
          <w:color w:val="auto"/>
        </w:rPr>
      </w:pPr>
      <w:r>
        <w:rPr>
          <w:rFonts w:hint="eastAsia"/>
          <w:b/>
          <w:bCs/>
          <w:color w:val="auto"/>
        </w:rPr>
        <w:t>表2.7.1-1  临港产业片区西北片区规划用地汇总表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853"/>
        <w:gridCol w:w="3368"/>
        <w:gridCol w:w="1560"/>
        <w:gridCol w:w="2153"/>
      </w:tblGrid>
      <w:tr w14:paraId="4BA09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4D2D7B8E">
            <w:pPr>
              <w:spacing w:line="240" w:lineRule="auto"/>
              <w:ind w:firstLine="0" w:firstLineChars="0"/>
              <w:jc w:val="center"/>
              <w:rPr>
                <w:b/>
                <w:bCs/>
                <w:color w:val="auto"/>
                <w:sz w:val="21"/>
                <w:szCs w:val="21"/>
              </w:rPr>
            </w:pPr>
            <w:r>
              <w:rPr>
                <w:rFonts w:hint="eastAsia"/>
                <w:b/>
                <w:bCs/>
                <w:color w:val="auto"/>
                <w:sz w:val="21"/>
                <w:szCs w:val="21"/>
              </w:rPr>
              <w:t>序号</w:t>
            </w:r>
          </w:p>
        </w:tc>
        <w:tc>
          <w:tcPr>
            <w:tcW w:w="2271" w:type="pct"/>
            <w:gridSpan w:val="2"/>
            <w:tcBorders>
              <w:tl2br w:val="nil"/>
              <w:tr2bl w:val="nil"/>
            </w:tcBorders>
            <w:vAlign w:val="center"/>
          </w:tcPr>
          <w:p w14:paraId="64E9CFF9">
            <w:pPr>
              <w:spacing w:line="240" w:lineRule="auto"/>
              <w:ind w:firstLine="0" w:firstLineChars="0"/>
              <w:jc w:val="center"/>
              <w:rPr>
                <w:b/>
                <w:bCs/>
                <w:color w:val="auto"/>
                <w:sz w:val="21"/>
                <w:szCs w:val="21"/>
              </w:rPr>
            </w:pPr>
            <w:r>
              <w:rPr>
                <w:rFonts w:hint="eastAsia"/>
                <w:b/>
                <w:bCs/>
                <w:color w:val="auto"/>
                <w:sz w:val="21"/>
                <w:szCs w:val="21"/>
              </w:rPr>
              <w:t>用地性质</w:t>
            </w:r>
          </w:p>
        </w:tc>
        <w:tc>
          <w:tcPr>
            <w:tcW w:w="840" w:type="pct"/>
            <w:tcBorders>
              <w:tl2br w:val="nil"/>
              <w:tr2bl w:val="nil"/>
            </w:tcBorders>
            <w:vAlign w:val="center"/>
          </w:tcPr>
          <w:p w14:paraId="78DC780B">
            <w:pPr>
              <w:spacing w:line="240" w:lineRule="auto"/>
              <w:ind w:firstLine="0" w:firstLineChars="0"/>
              <w:jc w:val="center"/>
              <w:rPr>
                <w:b/>
                <w:bCs/>
                <w:color w:val="auto"/>
                <w:sz w:val="21"/>
                <w:szCs w:val="21"/>
              </w:rPr>
            </w:pPr>
            <w:r>
              <w:rPr>
                <w:rFonts w:hint="eastAsia"/>
                <w:b/>
                <w:bCs/>
                <w:color w:val="auto"/>
                <w:sz w:val="21"/>
                <w:szCs w:val="21"/>
              </w:rPr>
              <w:t>面积（公顷）</w:t>
            </w:r>
          </w:p>
        </w:tc>
        <w:tc>
          <w:tcPr>
            <w:tcW w:w="1159" w:type="pct"/>
            <w:tcBorders>
              <w:tl2br w:val="nil"/>
              <w:tr2bl w:val="nil"/>
            </w:tcBorders>
            <w:vAlign w:val="center"/>
          </w:tcPr>
          <w:p w14:paraId="3CF6301D">
            <w:pPr>
              <w:spacing w:line="240" w:lineRule="auto"/>
              <w:ind w:firstLine="0" w:firstLineChars="0"/>
              <w:jc w:val="center"/>
              <w:rPr>
                <w:b/>
                <w:bCs/>
                <w:color w:val="auto"/>
                <w:sz w:val="21"/>
                <w:szCs w:val="21"/>
              </w:rPr>
            </w:pPr>
            <w:r>
              <w:rPr>
                <w:rFonts w:hint="eastAsia"/>
                <w:b/>
                <w:bCs/>
                <w:color w:val="auto"/>
                <w:sz w:val="21"/>
                <w:szCs w:val="21"/>
              </w:rPr>
              <w:t>占用地比例（%）</w:t>
            </w:r>
          </w:p>
        </w:tc>
      </w:tr>
      <w:tr w14:paraId="7766C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6A712657">
            <w:pPr>
              <w:spacing w:line="240" w:lineRule="auto"/>
              <w:ind w:firstLine="0" w:firstLineChars="0"/>
              <w:jc w:val="center"/>
              <w:rPr>
                <w:color w:val="auto"/>
                <w:sz w:val="21"/>
                <w:szCs w:val="21"/>
              </w:rPr>
            </w:pPr>
            <w:r>
              <w:rPr>
                <w:rFonts w:hint="eastAsia"/>
                <w:color w:val="auto"/>
                <w:sz w:val="21"/>
                <w:szCs w:val="21"/>
              </w:rPr>
              <w:t>1</w:t>
            </w:r>
          </w:p>
        </w:tc>
        <w:tc>
          <w:tcPr>
            <w:tcW w:w="459" w:type="pct"/>
            <w:tcBorders>
              <w:tl2br w:val="nil"/>
              <w:tr2bl w:val="nil"/>
            </w:tcBorders>
            <w:vAlign w:val="center"/>
          </w:tcPr>
          <w:p w14:paraId="11D8CE5F">
            <w:pPr>
              <w:spacing w:line="240" w:lineRule="auto"/>
              <w:ind w:firstLine="0" w:firstLineChars="0"/>
              <w:jc w:val="center"/>
              <w:rPr>
                <w:color w:val="auto"/>
                <w:sz w:val="21"/>
                <w:szCs w:val="21"/>
              </w:rPr>
            </w:pPr>
            <w:r>
              <w:rPr>
                <w:rFonts w:hint="eastAsia"/>
                <w:color w:val="auto"/>
                <w:sz w:val="21"/>
                <w:szCs w:val="21"/>
              </w:rPr>
              <w:t>R</w:t>
            </w:r>
          </w:p>
        </w:tc>
        <w:tc>
          <w:tcPr>
            <w:tcW w:w="1812" w:type="pct"/>
            <w:tcBorders>
              <w:tl2br w:val="nil"/>
              <w:tr2bl w:val="nil"/>
            </w:tcBorders>
            <w:vAlign w:val="center"/>
          </w:tcPr>
          <w:p w14:paraId="4571C22B">
            <w:pPr>
              <w:spacing w:line="240" w:lineRule="auto"/>
              <w:ind w:firstLine="0" w:firstLineChars="0"/>
              <w:jc w:val="center"/>
              <w:rPr>
                <w:color w:val="auto"/>
                <w:sz w:val="21"/>
                <w:szCs w:val="21"/>
              </w:rPr>
            </w:pPr>
            <w:r>
              <w:rPr>
                <w:rFonts w:hint="eastAsia"/>
                <w:color w:val="auto"/>
                <w:sz w:val="21"/>
                <w:szCs w:val="21"/>
              </w:rPr>
              <w:t>居住用地</w:t>
            </w:r>
          </w:p>
        </w:tc>
        <w:tc>
          <w:tcPr>
            <w:tcW w:w="840" w:type="pct"/>
            <w:tcBorders>
              <w:tl2br w:val="nil"/>
              <w:tr2bl w:val="nil"/>
            </w:tcBorders>
            <w:vAlign w:val="center"/>
          </w:tcPr>
          <w:p w14:paraId="3832B32E">
            <w:pPr>
              <w:spacing w:line="240" w:lineRule="auto"/>
              <w:ind w:firstLine="0" w:firstLineChars="0"/>
              <w:jc w:val="center"/>
              <w:rPr>
                <w:color w:val="auto"/>
                <w:sz w:val="21"/>
                <w:szCs w:val="21"/>
              </w:rPr>
            </w:pPr>
            <w:r>
              <w:rPr>
                <w:rFonts w:hint="eastAsia"/>
                <w:color w:val="auto"/>
                <w:sz w:val="21"/>
                <w:szCs w:val="21"/>
              </w:rPr>
              <w:t>621.86</w:t>
            </w:r>
          </w:p>
        </w:tc>
        <w:tc>
          <w:tcPr>
            <w:tcW w:w="1159" w:type="pct"/>
            <w:tcBorders>
              <w:tl2br w:val="nil"/>
              <w:tr2bl w:val="nil"/>
            </w:tcBorders>
            <w:vAlign w:val="center"/>
          </w:tcPr>
          <w:p w14:paraId="0C10B119">
            <w:pPr>
              <w:spacing w:line="240" w:lineRule="auto"/>
              <w:ind w:firstLine="0" w:firstLineChars="0"/>
              <w:jc w:val="center"/>
              <w:rPr>
                <w:color w:val="auto"/>
                <w:sz w:val="21"/>
                <w:szCs w:val="21"/>
              </w:rPr>
            </w:pPr>
            <w:r>
              <w:rPr>
                <w:rFonts w:hint="eastAsia"/>
                <w:color w:val="auto"/>
                <w:sz w:val="21"/>
                <w:szCs w:val="21"/>
              </w:rPr>
              <w:t>15.29</w:t>
            </w:r>
          </w:p>
        </w:tc>
      </w:tr>
      <w:tr w14:paraId="540F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28" w:type="pct"/>
            <w:tcBorders>
              <w:tl2br w:val="nil"/>
              <w:tr2bl w:val="nil"/>
            </w:tcBorders>
            <w:vAlign w:val="center"/>
          </w:tcPr>
          <w:p w14:paraId="3CF4D56E">
            <w:pPr>
              <w:spacing w:line="240" w:lineRule="auto"/>
              <w:ind w:firstLine="0" w:firstLineChars="0"/>
              <w:jc w:val="center"/>
              <w:rPr>
                <w:color w:val="auto"/>
                <w:sz w:val="21"/>
                <w:szCs w:val="21"/>
              </w:rPr>
            </w:pPr>
            <w:r>
              <w:rPr>
                <w:rFonts w:hint="eastAsia"/>
                <w:color w:val="auto"/>
                <w:sz w:val="21"/>
                <w:szCs w:val="21"/>
              </w:rPr>
              <w:t>2</w:t>
            </w:r>
          </w:p>
        </w:tc>
        <w:tc>
          <w:tcPr>
            <w:tcW w:w="459" w:type="pct"/>
            <w:tcBorders>
              <w:tl2br w:val="nil"/>
              <w:tr2bl w:val="nil"/>
            </w:tcBorders>
            <w:vAlign w:val="center"/>
          </w:tcPr>
          <w:p w14:paraId="17ACB800">
            <w:pPr>
              <w:spacing w:line="240" w:lineRule="auto"/>
              <w:ind w:firstLine="0" w:firstLineChars="0"/>
              <w:jc w:val="center"/>
              <w:rPr>
                <w:color w:val="auto"/>
                <w:sz w:val="21"/>
                <w:szCs w:val="21"/>
              </w:rPr>
            </w:pPr>
            <w:r>
              <w:rPr>
                <w:rFonts w:hint="eastAsia"/>
                <w:color w:val="auto"/>
                <w:sz w:val="21"/>
                <w:szCs w:val="21"/>
              </w:rPr>
              <w:t>C</w:t>
            </w:r>
          </w:p>
        </w:tc>
        <w:tc>
          <w:tcPr>
            <w:tcW w:w="1812" w:type="pct"/>
            <w:tcBorders>
              <w:tl2br w:val="nil"/>
              <w:tr2bl w:val="nil"/>
            </w:tcBorders>
            <w:vAlign w:val="center"/>
          </w:tcPr>
          <w:p w14:paraId="581BA613">
            <w:pPr>
              <w:spacing w:line="240" w:lineRule="auto"/>
              <w:ind w:firstLine="0" w:firstLineChars="0"/>
              <w:jc w:val="center"/>
              <w:rPr>
                <w:color w:val="auto"/>
                <w:sz w:val="21"/>
                <w:szCs w:val="21"/>
              </w:rPr>
            </w:pPr>
            <w:r>
              <w:rPr>
                <w:rFonts w:hint="eastAsia"/>
                <w:color w:val="auto"/>
                <w:sz w:val="21"/>
                <w:szCs w:val="21"/>
              </w:rPr>
              <w:t>公共设施（综合服务、医疗卫生、教育设计科研等）用地</w:t>
            </w:r>
          </w:p>
        </w:tc>
        <w:tc>
          <w:tcPr>
            <w:tcW w:w="840" w:type="pct"/>
            <w:tcBorders>
              <w:tl2br w:val="nil"/>
              <w:tr2bl w:val="nil"/>
            </w:tcBorders>
            <w:vAlign w:val="center"/>
          </w:tcPr>
          <w:p w14:paraId="37BF0B15">
            <w:pPr>
              <w:spacing w:line="240" w:lineRule="auto"/>
              <w:ind w:firstLine="0" w:firstLineChars="0"/>
              <w:jc w:val="center"/>
              <w:rPr>
                <w:color w:val="auto"/>
                <w:sz w:val="21"/>
                <w:szCs w:val="21"/>
              </w:rPr>
            </w:pPr>
            <w:r>
              <w:rPr>
                <w:rFonts w:hint="eastAsia"/>
                <w:color w:val="auto"/>
                <w:sz w:val="21"/>
                <w:szCs w:val="21"/>
              </w:rPr>
              <w:t>150.99</w:t>
            </w:r>
          </w:p>
        </w:tc>
        <w:tc>
          <w:tcPr>
            <w:tcW w:w="1159" w:type="pct"/>
            <w:tcBorders>
              <w:tl2br w:val="nil"/>
              <w:tr2bl w:val="nil"/>
            </w:tcBorders>
            <w:vAlign w:val="center"/>
          </w:tcPr>
          <w:p w14:paraId="3718F8D9">
            <w:pPr>
              <w:spacing w:line="240" w:lineRule="auto"/>
              <w:ind w:firstLine="0" w:firstLineChars="0"/>
              <w:jc w:val="center"/>
              <w:rPr>
                <w:color w:val="auto"/>
                <w:sz w:val="21"/>
                <w:szCs w:val="21"/>
              </w:rPr>
            </w:pPr>
            <w:r>
              <w:rPr>
                <w:rFonts w:hint="eastAsia"/>
                <w:color w:val="auto"/>
                <w:sz w:val="21"/>
                <w:szCs w:val="21"/>
              </w:rPr>
              <w:t>3.71</w:t>
            </w:r>
          </w:p>
        </w:tc>
      </w:tr>
      <w:tr w14:paraId="0F38B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7139EB4A">
            <w:pPr>
              <w:spacing w:line="240" w:lineRule="auto"/>
              <w:ind w:firstLine="0" w:firstLineChars="0"/>
              <w:jc w:val="center"/>
              <w:rPr>
                <w:color w:val="auto"/>
                <w:sz w:val="21"/>
                <w:szCs w:val="21"/>
              </w:rPr>
            </w:pPr>
            <w:r>
              <w:rPr>
                <w:rFonts w:hint="eastAsia"/>
                <w:color w:val="auto"/>
                <w:sz w:val="21"/>
                <w:szCs w:val="21"/>
              </w:rPr>
              <w:t>3</w:t>
            </w:r>
          </w:p>
        </w:tc>
        <w:tc>
          <w:tcPr>
            <w:tcW w:w="459" w:type="pct"/>
            <w:tcBorders>
              <w:tl2br w:val="nil"/>
              <w:tr2bl w:val="nil"/>
            </w:tcBorders>
            <w:vAlign w:val="center"/>
          </w:tcPr>
          <w:p w14:paraId="560474BC">
            <w:pPr>
              <w:spacing w:line="240" w:lineRule="auto"/>
              <w:ind w:firstLine="0" w:firstLineChars="0"/>
              <w:jc w:val="center"/>
              <w:rPr>
                <w:color w:val="auto"/>
                <w:sz w:val="21"/>
                <w:szCs w:val="21"/>
              </w:rPr>
            </w:pPr>
            <w:r>
              <w:rPr>
                <w:rFonts w:hint="eastAsia"/>
                <w:color w:val="auto"/>
                <w:sz w:val="21"/>
                <w:szCs w:val="21"/>
              </w:rPr>
              <w:t>M</w:t>
            </w:r>
          </w:p>
        </w:tc>
        <w:tc>
          <w:tcPr>
            <w:tcW w:w="1812" w:type="pct"/>
            <w:tcBorders>
              <w:tl2br w:val="nil"/>
              <w:tr2bl w:val="nil"/>
            </w:tcBorders>
            <w:vAlign w:val="center"/>
          </w:tcPr>
          <w:p w14:paraId="03FF3E12">
            <w:pPr>
              <w:spacing w:line="240" w:lineRule="auto"/>
              <w:ind w:firstLine="0" w:firstLineChars="0"/>
              <w:jc w:val="center"/>
              <w:rPr>
                <w:color w:val="auto"/>
                <w:sz w:val="21"/>
                <w:szCs w:val="21"/>
              </w:rPr>
            </w:pPr>
            <w:r>
              <w:rPr>
                <w:rFonts w:hint="eastAsia"/>
                <w:color w:val="auto"/>
                <w:sz w:val="21"/>
                <w:szCs w:val="21"/>
              </w:rPr>
              <w:t>工业用地</w:t>
            </w:r>
          </w:p>
        </w:tc>
        <w:tc>
          <w:tcPr>
            <w:tcW w:w="840" w:type="pct"/>
            <w:tcBorders>
              <w:tl2br w:val="nil"/>
              <w:tr2bl w:val="nil"/>
            </w:tcBorders>
            <w:vAlign w:val="center"/>
          </w:tcPr>
          <w:p w14:paraId="71FCEFFC">
            <w:pPr>
              <w:spacing w:line="240" w:lineRule="auto"/>
              <w:ind w:firstLine="0" w:firstLineChars="0"/>
              <w:jc w:val="center"/>
              <w:rPr>
                <w:color w:val="auto"/>
                <w:sz w:val="21"/>
                <w:szCs w:val="21"/>
              </w:rPr>
            </w:pPr>
            <w:r>
              <w:rPr>
                <w:rFonts w:hint="eastAsia"/>
                <w:color w:val="auto"/>
                <w:sz w:val="21"/>
                <w:szCs w:val="21"/>
              </w:rPr>
              <w:t>1331.72</w:t>
            </w:r>
          </w:p>
        </w:tc>
        <w:tc>
          <w:tcPr>
            <w:tcW w:w="1159" w:type="pct"/>
            <w:tcBorders>
              <w:tl2br w:val="nil"/>
              <w:tr2bl w:val="nil"/>
            </w:tcBorders>
            <w:vAlign w:val="center"/>
          </w:tcPr>
          <w:p w14:paraId="0F8F8046">
            <w:pPr>
              <w:spacing w:line="240" w:lineRule="auto"/>
              <w:ind w:firstLine="0" w:firstLineChars="0"/>
              <w:jc w:val="center"/>
              <w:rPr>
                <w:color w:val="auto"/>
                <w:sz w:val="21"/>
                <w:szCs w:val="21"/>
              </w:rPr>
            </w:pPr>
            <w:r>
              <w:rPr>
                <w:rFonts w:hint="eastAsia"/>
                <w:color w:val="auto"/>
                <w:sz w:val="21"/>
                <w:szCs w:val="21"/>
              </w:rPr>
              <w:t>32.74</w:t>
            </w:r>
          </w:p>
        </w:tc>
      </w:tr>
      <w:tr w14:paraId="14F2E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0E9C724D">
            <w:pPr>
              <w:spacing w:line="240" w:lineRule="auto"/>
              <w:ind w:firstLine="0" w:firstLineChars="0"/>
              <w:jc w:val="center"/>
              <w:rPr>
                <w:color w:val="auto"/>
                <w:sz w:val="21"/>
                <w:szCs w:val="21"/>
              </w:rPr>
            </w:pPr>
            <w:r>
              <w:rPr>
                <w:rFonts w:hint="eastAsia"/>
                <w:color w:val="auto"/>
                <w:sz w:val="21"/>
                <w:szCs w:val="21"/>
              </w:rPr>
              <w:t>4</w:t>
            </w:r>
          </w:p>
        </w:tc>
        <w:tc>
          <w:tcPr>
            <w:tcW w:w="459" w:type="pct"/>
            <w:tcBorders>
              <w:tl2br w:val="nil"/>
              <w:tr2bl w:val="nil"/>
            </w:tcBorders>
            <w:vAlign w:val="center"/>
          </w:tcPr>
          <w:p w14:paraId="22D99A6A">
            <w:pPr>
              <w:spacing w:line="240" w:lineRule="auto"/>
              <w:ind w:firstLine="0" w:firstLineChars="0"/>
              <w:jc w:val="center"/>
              <w:rPr>
                <w:color w:val="auto"/>
                <w:sz w:val="21"/>
                <w:szCs w:val="21"/>
              </w:rPr>
            </w:pPr>
            <w:r>
              <w:rPr>
                <w:rFonts w:hint="eastAsia"/>
                <w:color w:val="auto"/>
                <w:sz w:val="21"/>
                <w:szCs w:val="21"/>
              </w:rPr>
              <w:t>S</w:t>
            </w:r>
          </w:p>
        </w:tc>
        <w:tc>
          <w:tcPr>
            <w:tcW w:w="1812" w:type="pct"/>
            <w:tcBorders>
              <w:tl2br w:val="nil"/>
              <w:tr2bl w:val="nil"/>
            </w:tcBorders>
            <w:vAlign w:val="center"/>
          </w:tcPr>
          <w:p w14:paraId="11058EF4">
            <w:pPr>
              <w:spacing w:line="240" w:lineRule="auto"/>
              <w:ind w:firstLine="0" w:firstLineChars="0"/>
              <w:jc w:val="center"/>
              <w:rPr>
                <w:color w:val="auto"/>
                <w:sz w:val="21"/>
                <w:szCs w:val="21"/>
              </w:rPr>
            </w:pPr>
            <w:r>
              <w:rPr>
                <w:rFonts w:hint="eastAsia"/>
                <w:color w:val="auto"/>
                <w:sz w:val="21"/>
                <w:szCs w:val="21"/>
              </w:rPr>
              <w:t>道路广场用地</w:t>
            </w:r>
          </w:p>
        </w:tc>
        <w:tc>
          <w:tcPr>
            <w:tcW w:w="840" w:type="pct"/>
            <w:tcBorders>
              <w:tl2br w:val="nil"/>
              <w:tr2bl w:val="nil"/>
            </w:tcBorders>
            <w:vAlign w:val="center"/>
          </w:tcPr>
          <w:p w14:paraId="1D49F432">
            <w:pPr>
              <w:spacing w:line="240" w:lineRule="auto"/>
              <w:ind w:firstLine="0" w:firstLineChars="0"/>
              <w:jc w:val="center"/>
              <w:rPr>
                <w:color w:val="auto"/>
                <w:sz w:val="21"/>
                <w:szCs w:val="21"/>
              </w:rPr>
            </w:pPr>
            <w:r>
              <w:rPr>
                <w:rFonts w:hint="eastAsia"/>
                <w:color w:val="auto"/>
                <w:sz w:val="21"/>
                <w:szCs w:val="21"/>
              </w:rPr>
              <w:t>541.00</w:t>
            </w:r>
          </w:p>
        </w:tc>
        <w:tc>
          <w:tcPr>
            <w:tcW w:w="1159" w:type="pct"/>
            <w:tcBorders>
              <w:tl2br w:val="nil"/>
              <w:tr2bl w:val="nil"/>
            </w:tcBorders>
            <w:vAlign w:val="center"/>
          </w:tcPr>
          <w:p w14:paraId="3929D591">
            <w:pPr>
              <w:spacing w:line="240" w:lineRule="auto"/>
              <w:ind w:firstLine="0" w:firstLineChars="0"/>
              <w:jc w:val="center"/>
              <w:rPr>
                <w:color w:val="auto"/>
                <w:sz w:val="21"/>
                <w:szCs w:val="21"/>
              </w:rPr>
            </w:pPr>
            <w:r>
              <w:rPr>
                <w:rFonts w:hint="eastAsia"/>
                <w:color w:val="auto"/>
                <w:sz w:val="21"/>
                <w:szCs w:val="21"/>
              </w:rPr>
              <w:t>13.30</w:t>
            </w:r>
          </w:p>
        </w:tc>
      </w:tr>
      <w:tr w14:paraId="3E3CB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457CF4C0">
            <w:pPr>
              <w:spacing w:line="240" w:lineRule="auto"/>
              <w:ind w:firstLine="0" w:firstLineChars="0"/>
              <w:jc w:val="center"/>
              <w:rPr>
                <w:color w:val="auto"/>
                <w:sz w:val="21"/>
                <w:szCs w:val="21"/>
              </w:rPr>
            </w:pPr>
            <w:r>
              <w:rPr>
                <w:rFonts w:hint="eastAsia"/>
                <w:color w:val="auto"/>
                <w:sz w:val="21"/>
                <w:szCs w:val="21"/>
              </w:rPr>
              <w:t>5</w:t>
            </w:r>
          </w:p>
        </w:tc>
        <w:tc>
          <w:tcPr>
            <w:tcW w:w="459" w:type="pct"/>
            <w:tcBorders>
              <w:tl2br w:val="nil"/>
              <w:tr2bl w:val="nil"/>
            </w:tcBorders>
            <w:vAlign w:val="center"/>
          </w:tcPr>
          <w:p w14:paraId="65C63799">
            <w:pPr>
              <w:spacing w:line="240" w:lineRule="auto"/>
              <w:ind w:firstLine="0" w:firstLineChars="0"/>
              <w:jc w:val="center"/>
              <w:rPr>
                <w:color w:val="auto"/>
                <w:sz w:val="21"/>
                <w:szCs w:val="21"/>
              </w:rPr>
            </w:pPr>
            <w:r>
              <w:rPr>
                <w:rFonts w:hint="eastAsia"/>
                <w:color w:val="auto"/>
                <w:sz w:val="21"/>
                <w:szCs w:val="21"/>
              </w:rPr>
              <w:t>U</w:t>
            </w:r>
          </w:p>
        </w:tc>
        <w:tc>
          <w:tcPr>
            <w:tcW w:w="1812" w:type="pct"/>
            <w:tcBorders>
              <w:tl2br w:val="nil"/>
              <w:tr2bl w:val="nil"/>
            </w:tcBorders>
            <w:vAlign w:val="center"/>
          </w:tcPr>
          <w:p w14:paraId="004FDE39">
            <w:pPr>
              <w:spacing w:line="240" w:lineRule="auto"/>
              <w:ind w:firstLine="0" w:firstLineChars="0"/>
              <w:jc w:val="center"/>
              <w:rPr>
                <w:color w:val="auto"/>
                <w:sz w:val="21"/>
                <w:szCs w:val="21"/>
              </w:rPr>
            </w:pPr>
            <w:r>
              <w:rPr>
                <w:rFonts w:hint="eastAsia"/>
                <w:color w:val="auto"/>
                <w:sz w:val="21"/>
                <w:szCs w:val="21"/>
              </w:rPr>
              <w:t>市政设施用地</w:t>
            </w:r>
          </w:p>
        </w:tc>
        <w:tc>
          <w:tcPr>
            <w:tcW w:w="840" w:type="pct"/>
            <w:tcBorders>
              <w:tl2br w:val="nil"/>
              <w:tr2bl w:val="nil"/>
            </w:tcBorders>
            <w:vAlign w:val="center"/>
          </w:tcPr>
          <w:p w14:paraId="130CEAEE">
            <w:pPr>
              <w:spacing w:line="240" w:lineRule="auto"/>
              <w:ind w:firstLine="0" w:firstLineChars="0"/>
              <w:jc w:val="center"/>
              <w:rPr>
                <w:color w:val="auto"/>
                <w:sz w:val="21"/>
                <w:szCs w:val="21"/>
              </w:rPr>
            </w:pPr>
            <w:r>
              <w:rPr>
                <w:rFonts w:hint="eastAsia"/>
                <w:color w:val="auto"/>
                <w:sz w:val="21"/>
                <w:szCs w:val="21"/>
              </w:rPr>
              <w:t>217.98</w:t>
            </w:r>
          </w:p>
        </w:tc>
        <w:tc>
          <w:tcPr>
            <w:tcW w:w="1159" w:type="pct"/>
            <w:tcBorders>
              <w:tl2br w:val="nil"/>
              <w:tr2bl w:val="nil"/>
            </w:tcBorders>
            <w:vAlign w:val="center"/>
          </w:tcPr>
          <w:p w14:paraId="719D651B">
            <w:pPr>
              <w:spacing w:line="240" w:lineRule="auto"/>
              <w:ind w:firstLine="0" w:firstLineChars="0"/>
              <w:jc w:val="center"/>
              <w:rPr>
                <w:color w:val="auto"/>
                <w:sz w:val="21"/>
                <w:szCs w:val="21"/>
              </w:rPr>
            </w:pPr>
            <w:r>
              <w:rPr>
                <w:rFonts w:hint="eastAsia"/>
                <w:color w:val="auto"/>
                <w:sz w:val="21"/>
                <w:szCs w:val="21"/>
              </w:rPr>
              <w:t>5.36</w:t>
            </w:r>
          </w:p>
        </w:tc>
      </w:tr>
      <w:tr w14:paraId="62923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396AC9FD">
            <w:pPr>
              <w:spacing w:line="240" w:lineRule="auto"/>
              <w:ind w:firstLine="0" w:firstLineChars="0"/>
              <w:jc w:val="center"/>
              <w:rPr>
                <w:color w:val="auto"/>
                <w:sz w:val="21"/>
                <w:szCs w:val="21"/>
              </w:rPr>
            </w:pPr>
            <w:r>
              <w:rPr>
                <w:rFonts w:hint="eastAsia"/>
                <w:color w:val="auto"/>
                <w:sz w:val="21"/>
                <w:szCs w:val="21"/>
              </w:rPr>
              <w:t>6</w:t>
            </w:r>
          </w:p>
        </w:tc>
        <w:tc>
          <w:tcPr>
            <w:tcW w:w="459" w:type="pct"/>
            <w:tcBorders>
              <w:tl2br w:val="nil"/>
              <w:tr2bl w:val="nil"/>
            </w:tcBorders>
            <w:vAlign w:val="center"/>
          </w:tcPr>
          <w:p w14:paraId="50D3C1C8">
            <w:pPr>
              <w:spacing w:line="240" w:lineRule="auto"/>
              <w:ind w:firstLine="0" w:firstLineChars="0"/>
              <w:jc w:val="center"/>
              <w:rPr>
                <w:color w:val="auto"/>
                <w:sz w:val="21"/>
                <w:szCs w:val="21"/>
              </w:rPr>
            </w:pPr>
            <w:r>
              <w:rPr>
                <w:rFonts w:hint="eastAsia"/>
                <w:color w:val="auto"/>
                <w:sz w:val="21"/>
                <w:szCs w:val="21"/>
              </w:rPr>
              <w:t>G</w:t>
            </w:r>
          </w:p>
        </w:tc>
        <w:tc>
          <w:tcPr>
            <w:tcW w:w="1812" w:type="pct"/>
            <w:tcBorders>
              <w:tl2br w:val="nil"/>
              <w:tr2bl w:val="nil"/>
            </w:tcBorders>
            <w:vAlign w:val="center"/>
          </w:tcPr>
          <w:p w14:paraId="66BDEB72">
            <w:pPr>
              <w:spacing w:line="240" w:lineRule="auto"/>
              <w:ind w:firstLine="0" w:firstLineChars="0"/>
              <w:jc w:val="center"/>
              <w:rPr>
                <w:color w:val="auto"/>
                <w:sz w:val="21"/>
                <w:szCs w:val="21"/>
              </w:rPr>
            </w:pPr>
            <w:r>
              <w:rPr>
                <w:rFonts w:hint="eastAsia"/>
                <w:color w:val="auto"/>
                <w:sz w:val="21"/>
                <w:szCs w:val="21"/>
              </w:rPr>
              <w:t>绿化及景观系统用地</w:t>
            </w:r>
          </w:p>
        </w:tc>
        <w:tc>
          <w:tcPr>
            <w:tcW w:w="840" w:type="pct"/>
            <w:tcBorders>
              <w:tl2br w:val="nil"/>
              <w:tr2bl w:val="nil"/>
            </w:tcBorders>
            <w:vAlign w:val="center"/>
          </w:tcPr>
          <w:p w14:paraId="1EFE73CB">
            <w:pPr>
              <w:spacing w:line="240" w:lineRule="auto"/>
              <w:ind w:firstLine="0" w:firstLineChars="0"/>
              <w:jc w:val="center"/>
              <w:rPr>
                <w:color w:val="auto"/>
                <w:sz w:val="21"/>
                <w:szCs w:val="21"/>
              </w:rPr>
            </w:pPr>
            <w:r>
              <w:rPr>
                <w:rFonts w:hint="eastAsia"/>
                <w:color w:val="auto"/>
                <w:sz w:val="21"/>
                <w:szCs w:val="21"/>
              </w:rPr>
              <w:t>398.25</w:t>
            </w:r>
          </w:p>
        </w:tc>
        <w:tc>
          <w:tcPr>
            <w:tcW w:w="1159" w:type="pct"/>
            <w:tcBorders>
              <w:tl2br w:val="nil"/>
              <w:tr2bl w:val="nil"/>
            </w:tcBorders>
            <w:vAlign w:val="center"/>
          </w:tcPr>
          <w:p w14:paraId="22AD047F">
            <w:pPr>
              <w:spacing w:line="240" w:lineRule="auto"/>
              <w:ind w:firstLine="0" w:firstLineChars="0"/>
              <w:jc w:val="center"/>
              <w:rPr>
                <w:color w:val="auto"/>
                <w:sz w:val="21"/>
                <w:szCs w:val="21"/>
              </w:rPr>
            </w:pPr>
            <w:r>
              <w:rPr>
                <w:rFonts w:hint="eastAsia"/>
                <w:color w:val="auto"/>
                <w:sz w:val="21"/>
                <w:szCs w:val="21"/>
              </w:rPr>
              <w:t>9.79</w:t>
            </w:r>
          </w:p>
        </w:tc>
      </w:tr>
      <w:tr w14:paraId="3F678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1E338075">
            <w:pPr>
              <w:spacing w:line="240" w:lineRule="auto"/>
              <w:ind w:firstLine="0" w:firstLineChars="0"/>
              <w:jc w:val="center"/>
              <w:rPr>
                <w:color w:val="auto"/>
                <w:sz w:val="21"/>
                <w:szCs w:val="21"/>
              </w:rPr>
            </w:pPr>
            <w:r>
              <w:rPr>
                <w:rFonts w:hint="eastAsia"/>
                <w:color w:val="auto"/>
                <w:sz w:val="21"/>
                <w:szCs w:val="21"/>
              </w:rPr>
              <w:t>7</w:t>
            </w:r>
          </w:p>
        </w:tc>
        <w:tc>
          <w:tcPr>
            <w:tcW w:w="459" w:type="pct"/>
            <w:tcBorders>
              <w:tl2br w:val="nil"/>
              <w:tr2bl w:val="nil"/>
            </w:tcBorders>
            <w:vAlign w:val="center"/>
          </w:tcPr>
          <w:p w14:paraId="38D3D4A2">
            <w:pPr>
              <w:spacing w:line="240" w:lineRule="auto"/>
              <w:ind w:firstLine="0" w:firstLineChars="0"/>
              <w:jc w:val="center"/>
              <w:rPr>
                <w:color w:val="auto"/>
                <w:sz w:val="21"/>
                <w:szCs w:val="21"/>
              </w:rPr>
            </w:pPr>
            <w:r>
              <w:rPr>
                <w:rFonts w:hint="eastAsia"/>
                <w:color w:val="auto"/>
                <w:sz w:val="21"/>
                <w:szCs w:val="21"/>
              </w:rPr>
              <w:t>E</w:t>
            </w:r>
          </w:p>
        </w:tc>
        <w:tc>
          <w:tcPr>
            <w:tcW w:w="1812" w:type="pct"/>
            <w:tcBorders>
              <w:tl2br w:val="nil"/>
              <w:tr2bl w:val="nil"/>
            </w:tcBorders>
            <w:vAlign w:val="center"/>
          </w:tcPr>
          <w:p w14:paraId="3191134F">
            <w:pPr>
              <w:spacing w:line="240" w:lineRule="auto"/>
              <w:ind w:firstLine="0" w:firstLineChars="0"/>
              <w:jc w:val="center"/>
              <w:rPr>
                <w:color w:val="auto"/>
                <w:sz w:val="21"/>
                <w:szCs w:val="21"/>
              </w:rPr>
            </w:pPr>
            <w:r>
              <w:rPr>
                <w:rFonts w:hint="eastAsia"/>
                <w:color w:val="auto"/>
                <w:sz w:val="21"/>
                <w:szCs w:val="21"/>
              </w:rPr>
              <w:t>水域及其他用地</w:t>
            </w:r>
          </w:p>
        </w:tc>
        <w:tc>
          <w:tcPr>
            <w:tcW w:w="840" w:type="pct"/>
            <w:tcBorders>
              <w:tl2br w:val="nil"/>
              <w:tr2bl w:val="nil"/>
            </w:tcBorders>
            <w:vAlign w:val="center"/>
          </w:tcPr>
          <w:p w14:paraId="259E89FA">
            <w:pPr>
              <w:spacing w:line="240" w:lineRule="auto"/>
              <w:ind w:firstLine="0" w:firstLineChars="0"/>
              <w:jc w:val="center"/>
              <w:rPr>
                <w:color w:val="auto"/>
                <w:sz w:val="21"/>
                <w:szCs w:val="21"/>
              </w:rPr>
            </w:pPr>
            <w:r>
              <w:rPr>
                <w:rFonts w:hint="eastAsia"/>
                <w:color w:val="auto"/>
                <w:sz w:val="21"/>
                <w:szCs w:val="21"/>
              </w:rPr>
              <w:t>806.19</w:t>
            </w:r>
          </w:p>
        </w:tc>
        <w:tc>
          <w:tcPr>
            <w:tcW w:w="1159" w:type="pct"/>
            <w:tcBorders>
              <w:tl2br w:val="nil"/>
              <w:tr2bl w:val="nil"/>
            </w:tcBorders>
            <w:vAlign w:val="center"/>
          </w:tcPr>
          <w:p w14:paraId="4E201236">
            <w:pPr>
              <w:spacing w:line="240" w:lineRule="auto"/>
              <w:ind w:firstLine="0" w:firstLineChars="0"/>
              <w:jc w:val="center"/>
              <w:rPr>
                <w:color w:val="auto"/>
                <w:sz w:val="21"/>
                <w:szCs w:val="21"/>
              </w:rPr>
            </w:pPr>
            <w:r>
              <w:rPr>
                <w:rFonts w:hint="eastAsia"/>
                <w:color w:val="auto"/>
                <w:sz w:val="21"/>
                <w:szCs w:val="21"/>
              </w:rPr>
              <w:t>19.82</w:t>
            </w:r>
          </w:p>
        </w:tc>
      </w:tr>
      <w:tr w14:paraId="60762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0" w:type="pct"/>
            <w:gridSpan w:val="3"/>
            <w:tcBorders>
              <w:tl2br w:val="nil"/>
              <w:tr2bl w:val="nil"/>
            </w:tcBorders>
            <w:vAlign w:val="center"/>
          </w:tcPr>
          <w:p w14:paraId="02734C99">
            <w:pPr>
              <w:spacing w:line="240" w:lineRule="auto"/>
              <w:ind w:firstLine="0" w:firstLineChars="0"/>
              <w:jc w:val="center"/>
              <w:rPr>
                <w:color w:val="auto"/>
                <w:sz w:val="21"/>
                <w:szCs w:val="21"/>
              </w:rPr>
            </w:pPr>
            <w:r>
              <w:rPr>
                <w:rFonts w:hint="eastAsia"/>
                <w:color w:val="auto"/>
                <w:sz w:val="21"/>
                <w:szCs w:val="21"/>
              </w:rPr>
              <w:t>合计</w:t>
            </w:r>
          </w:p>
        </w:tc>
        <w:tc>
          <w:tcPr>
            <w:tcW w:w="840" w:type="pct"/>
            <w:tcBorders>
              <w:tl2br w:val="nil"/>
              <w:tr2bl w:val="nil"/>
            </w:tcBorders>
            <w:vAlign w:val="center"/>
          </w:tcPr>
          <w:p w14:paraId="1C4E4693">
            <w:pPr>
              <w:spacing w:line="240" w:lineRule="auto"/>
              <w:ind w:firstLine="0" w:firstLineChars="0"/>
              <w:jc w:val="center"/>
              <w:rPr>
                <w:color w:val="auto"/>
                <w:sz w:val="21"/>
                <w:szCs w:val="21"/>
              </w:rPr>
            </w:pPr>
            <w:r>
              <w:rPr>
                <w:rFonts w:hint="eastAsia"/>
                <w:color w:val="auto"/>
                <w:sz w:val="21"/>
                <w:szCs w:val="21"/>
              </w:rPr>
              <w:t>4068.00</w:t>
            </w:r>
          </w:p>
        </w:tc>
        <w:tc>
          <w:tcPr>
            <w:tcW w:w="1159" w:type="pct"/>
            <w:tcBorders>
              <w:tl2br w:val="nil"/>
              <w:tr2bl w:val="nil"/>
            </w:tcBorders>
            <w:vAlign w:val="center"/>
          </w:tcPr>
          <w:p w14:paraId="01F649B4">
            <w:pPr>
              <w:spacing w:line="240" w:lineRule="auto"/>
              <w:ind w:firstLine="0" w:firstLineChars="0"/>
              <w:jc w:val="center"/>
              <w:rPr>
                <w:color w:val="auto"/>
                <w:sz w:val="21"/>
                <w:szCs w:val="21"/>
              </w:rPr>
            </w:pPr>
            <w:r>
              <w:rPr>
                <w:rFonts w:hint="eastAsia"/>
                <w:color w:val="auto"/>
                <w:sz w:val="21"/>
                <w:szCs w:val="21"/>
              </w:rPr>
              <w:t>100</w:t>
            </w:r>
          </w:p>
        </w:tc>
      </w:tr>
    </w:tbl>
    <w:p w14:paraId="311366F2">
      <w:pPr>
        <w:ind w:firstLine="480"/>
        <w:rPr>
          <w:color w:val="auto"/>
        </w:rPr>
      </w:pPr>
      <w:r>
        <w:rPr>
          <w:rFonts w:hint="eastAsia"/>
          <w:color w:val="auto"/>
        </w:rPr>
        <w:t>（2）</w:t>
      </w:r>
      <w:r>
        <w:rPr>
          <w:color w:val="auto"/>
        </w:rPr>
        <w:t>功能分区</w:t>
      </w:r>
    </w:p>
    <w:p w14:paraId="50611C3E">
      <w:pPr>
        <w:ind w:firstLine="480"/>
        <w:rPr>
          <w:color w:val="auto"/>
        </w:rPr>
      </w:pPr>
      <w:r>
        <w:rPr>
          <w:color w:val="auto"/>
        </w:rPr>
        <w:t>临港产业区西北片区包括生物医药产业园西园</w:t>
      </w:r>
      <w:r>
        <w:rPr>
          <w:rFonts w:hint="eastAsia"/>
          <w:color w:val="auto"/>
        </w:rPr>
        <w:t>（</w:t>
      </w:r>
      <w:r>
        <w:rPr>
          <w:color w:val="auto"/>
        </w:rPr>
        <w:t>中华药港西园</w:t>
      </w:r>
      <w:r>
        <w:rPr>
          <w:rFonts w:hint="eastAsia"/>
          <w:color w:val="auto"/>
        </w:rPr>
        <w:t>）</w:t>
      </w:r>
      <w:r>
        <w:rPr>
          <w:color w:val="auto"/>
        </w:rPr>
        <w:t>、中华药港核心区、新业态产业园、新材料产业园和高端装备制备产业园等。</w:t>
      </w:r>
    </w:p>
    <w:p w14:paraId="3885578E">
      <w:pPr>
        <w:ind w:firstLine="480"/>
        <w:rPr>
          <w:color w:val="auto"/>
        </w:rPr>
      </w:pPr>
      <w:r>
        <w:rPr>
          <w:color w:val="auto"/>
        </w:rPr>
        <w:t>生物医药产业园西园重点发展生物药、化学药、原料药、医疗器械、特医食品、药用辅料和制药装备产业。中华药港核心区重点布局商务办公、展示交易、研发孵化、技术与服务外包、生产制造、精准医疗、物流配送、生活配套等功能，聚焦高端化学药、生物药、现代中药、高端医疗器械、特医食品以及医药服务。</w:t>
      </w:r>
    </w:p>
    <w:p w14:paraId="6E7CC50A">
      <w:pPr>
        <w:ind w:firstLine="480"/>
        <w:rPr>
          <w:color w:val="auto"/>
        </w:rPr>
      </w:pPr>
      <w:r>
        <w:rPr>
          <w:color w:val="auto"/>
        </w:rPr>
        <w:t>新材料产业园产业发展布局为遵循“高起点谋划、高标准建设、高质量推动”基本要求，利用资源禀赋优势，把握国际发展趋势，通过明确发展重点、强化创新驱动、推进军民融合、完善公共服务，形成以高性能纤维及其复合材料、电子信息材料、功能膜材料、医用材料为主导，海洋新材料、生态环境材料、智能材料等新兴材料为特色的“4+X”新材料产业体系，并带动下游产品发展。</w:t>
      </w:r>
    </w:p>
    <w:p w14:paraId="43A00466">
      <w:pPr>
        <w:ind w:firstLine="480"/>
        <w:rPr>
          <w:color w:val="auto"/>
        </w:rPr>
      </w:pPr>
      <w:r>
        <w:rPr>
          <w:color w:val="auto"/>
        </w:rPr>
        <w:t>新业态产业园充分释放自贸试验区最高平台效应，围绕专业服务、新金融、跨境电商、物流与供应链、总部经济、都市工业旅游等，积极发展新业态、新模式、新经济，推动数字技术赋能实体经济，打造成为我区主导产业的新极点</w:t>
      </w:r>
      <w:r>
        <w:rPr>
          <w:rFonts w:hint="eastAsia"/>
          <w:color w:val="auto"/>
        </w:rPr>
        <w:t>。</w:t>
      </w:r>
    </w:p>
    <w:p w14:paraId="6CD588F4">
      <w:pPr>
        <w:ind w:firstLine="480"/>
        <w:rPr>
          <w:color w:val="auto"/>
        </w:rPr>
      </w:pPr>
      <w:r>
        <w:rPr>
          <w:color w:val="auto"/>
        </w:rPr>
        <w:t>高端装备制备产业园重点推动装备制造业高端化、智能化、绿色化、服务化转型升级，加大关键领域重大装备技术攻关和研制，加强军民融合，依托高端装备制造产业园，大力发展风电装备、物流装备、汽车零部件、专用工程机械装备等特色产业。</w:t>
      </w:r>
    </w:p>
    <w:p w14:paraId="56F3F8EB">
      <w:pPr>
        <w:keepNext/>
        <w:keepLines/>
        <w:spacing w:before="120" w:beforeLines="50"/>
        <w:ind w:firstLine="0" w:firstLineChars="0"/>
        <w:outlineLvl w:val="3"/>
        <w:rPr>
          <w:b/>
          <w:bCs/>
          <w:color w:val="auto"/>
          <w:szCs w:val="32"/>
        </w:rPr>
      </w:pPr>
      <w:r>
        <w:rPr>
          <w:rFonts w:hint="eastAsia"/>
          <w:b/>
          <w:bCs/>
          <w:color w:val="auto"/>
          <w:szCs w:val="32"/>
        </w:rPr>
        <w:t>2.7.1.4 基础设施规划</w:t>
      </w:r>
    </w:p>
    <w:p w14:paraId="68A12802">
      <w:pPr>
        <w:ind w:firstLine="482"/>
        <w:rPr>
          <w:b/>
          <w:bCs/>
          <w:color w:val="auto"/>
        </w:rPr>
      </w:pPr>
      <w:r>
        <w:rPr>
          <w:b/>
          <w:bCs/>
          <w:color w:val="auto"/>
        </w:rPr>
        <w:t>1、给水工程</w:t>
      </w:r>
    </w:p>
    <w:p w14:paraId="0988D05D">
      <w:pPr>
        <w:ind w:firstLine="482"/>
        <w:rPr>
          <w:b/>
          <w:bCs/>
          <w:color w:val="auto"/>
        </w:rPr>
      </w:pPr>
      <w:r>
        <w:rPr>
          <w:rFonts w:hint="eastAsia"/>
          <w:b/>
          <w:bCs/>
          <w:color w:val="auto"/>
        </w:rPr>
        <w:t>（1）规划情况</w:t>
      </w:r>
    </w:p>
    <w:p w14:paraId="60AE2805">
      <w:pPr>
        <w:ind w:firstLine="480"/>
        <w:rPr>
          <w:color w:val="auto"/>
        </w:rPr>
      </w:pPr>
      <w:r>
        <w:rPr>
          <w:color w:val="auto"/>
        </w:rPr>
        <w:t>开发区内现状给水管道沿各主干道路铺设，采用市政给水管网系统供水，给水单位为茅口水厂和第三水厂，茅口水厂通过黄九埝增压泵站向开发区供水，第三水厂通过东方大道、黄海大道、新光路的给水干管向开发区供水，水源均为薇河河水。茅口水厂和第三水厂现状运行供水规模均为20万m</w:t>
      </w:r>
      <w:r>
        <w:rPr>
          <w:rFonts w:hint="eastAsia"/>
          <w:color w:val="auto"/>
          <w:vertAlign w:val="superscript"/>
        </w:rPr>
        <w:t>3</w:t>
      </w:r>
      <w:r>
        <w:rPr>
          <w:color w:val="auto"/>
        </w:rPr>
        <w:t>/d</w:t>
      </w:r>
      <w:r>
        <w:rPr>
          <w:rFonts w:hint="eastAsia"/>
          <w:color w:val="auto"/>
        </w:rPr>
        <w:t>；</w:t>
      </w:r>
      <w:r>
        <w:rPr>
          <w:color w:val="auto"/>
        </w:rPr>
        <w:t>黄九埝增压泵站设计规模7.5万m</w:t>
      </w:r>
      <w:r>
        <w:rPr>
          <w:rFonts w:hint="eastAsia"/>
          <w:color w:val="auto"/>
          <w:vertAlign w:val="superscript"/>
        </w:rPr>
        <w:t>3</w:t>
      </w:r>
      <w:r>
        <w:rPr>
          <w:color w:val="auto"/>
        </w:rPr>
        <w:t>/d。</w:t>
      </w:r>
    </w:p>
    <w:p w14:paraId="1442366A">
      <w:pPr>
        <w:ind w:firstLine="480"/>
        <w:rPr>
          <w:color w:val="auto"/>
        </w:rPr>
      </w:pPr>
      <w:r>
        <w:rPr>
          <w:color w:val="auto"/>
        </w:rPr>
        <w:t>目前开发区给水管网已基本铺盖到位，主干管为DN800~DN1200毫米，其它管线管径主要为DN200~DN800毫米。</w:t>
      </w:r>
    </w:p>
    <w:p w14:paraId="4B2E37E1">
      <w:pPr>
        <w:ind w:firstLine="482"/>
        <w:rPr>
          <w:b/>
          <w:bCs/>
          <w:color w:val="auto"/>
        </w:rPr>
      </w:pPr>
      <w:r>
        <w:rPr>
          <w:rFonts w:hint="eastAsia"/>
          <w:b/>
          <w:bCs/>
          <w:color w:val="auto"/>
        </w:rPr>
        <w:t>（2）</w:t>
      </w:r>
      <w:r>
        <w:rPr>
          <w:b/>
          <w:bCs/>
          <w:color w:val="auto"/>
        </w:rPr>
        <w:t>建设现状</w:t>
      </w:r>
    </w:p>
    <w:p w14:paraId="4722957E">
      <w:pPr>
        <w:ind w:firstLine="480"/>
        <w:rPr>
          <w:color w:val="auto"/>
        </w:rPr>
      </w:pPr>
      <w:r>
        <w:rPr>
          <w:color w:val="auto"/>
        </w:rPr>
        <w:t>目前开发区给水管网已基本铺盖到位，干管管径主要为DN300-DN1200毫米可满足本项目供水需求</w:t>
      </w:r>
      <w:r>
        <w:rPr>
          <w:rFonts w:hint="eastAsia"/>
          <w:color w:val="auto"/>
        </w:rPr>
        <w:t>。</w:t>
      </w:r>
    </w:p>
    <w:p w14:paraId="14CDEC0D">
      <w:pPr>
        <w:ind w:firstLine="482"/>
        <w:rPr>
          <w:b/>
          <w:bCs/>
          <w:color w:val="auto"/>
        </w:rPr>
      </w:pPr>
      <w:r>
        <w:rPr>
          <w:b/>
          <w:bCs/>
          <w:color w:val="auto"/>
        </w:rPr>
        <w:t>2、污水工程</w:t>
      </w:r>
    </w:p>
    <w:p w14:paraId="3AE56A11">
      <w:pPr>
        <w:ind w:firstLine="482"/>
        <w:rPr>
          <w:b/>
          <w:bCs/>
          <w:color w:val="auto"/>
        </w:rPr>
      </w:pPr>
      <w:r>
        <w:rPr>
          <w:rFonts w:hint="eastAsia"/>
          <w:b/>
          <w:bCs/>
          <w:color w:val="auto"/>
        </w:rPr>
        <w:t>（1）</w:t>
      </w:r>
      <w:r>
        <w:rPr>
          <w:b/>
          <w:bCs/>
          <w:color w:val="auto"/>
        </w:rPr>
        <w:t>规划情况</w:t>
      </w:r>
    </w:p>
    <w:p w14:paraId="0E22E2A0">
      <w:pPr>
        <w:ind w:firstLine="480"/>
        <w:rPr>
          <w:color w:val="auto"/>
        </w:rPr>
      </w:pPr>
      <w:r>
        <w:rPr>
          <w:color w:val="auto"/>
        </w:rPr>
        <w:t>规划区建立分流制的排水</w:t>
      </w:r>
      <w:r>
        <w:rPr>
          <w:rFonts w:hint="eastAsia"/>
          <w:color w:val="auto"/>
        </w:rPr>
        <w:t>制度</w:t>
      </w:r>
      <w:r>
        <w:rPr>
          <w:color w:val="auto"/>
        </w:rPr>
        <w:t>。</w:t>
      </w:r>
      <w:r>
        <w:rPr>
          <w:rFonts w:hint="eastAsia"/>
          <w:color w:val="auto"/>
        </w:rPr>
        <w:t>项目所在地污水管网详见附图2.7-2。</w:t>
      </w:r>
    </w:p>
    <w:p w14:paraId="6B5CBC6F">
      <w:pPr>
        <w:ind w:firstLine="480"/>
        <w:rPr>
          <w:color w:val="auto"/>
        </w:rPr>
      </w:pPr>
      <w:r>
        <w:rPr>
          <w:color w:val="auto"/>
        </w:rPr>
        <w:t>规划排水体制采用雨污分流制。保留范围内西北部的开发区临港污水处理厂</w:t>
      </w:r>
      <w:r>
        <w:rPr>
          <w:rFonts w:hint="eastAsia"/>
          <w:color w:val="auto"/>
        </w:rPr>
        <w:t>（</w:t>
      </w:r>
      <w:r>
        <w:rPr>
          <w:color w:val="auto"/>
        </w:rPr>
        <w:t>原</w:t>
      </w:r>
      <w:r>
        <w:rPr>
          <w:rFonts w:hint="eastAsia"/>
          <w:color w:val="auto"/>
        </w:rPr>
        <w:t>开发区</w:t>
      </w:r>
      <w:r>
        <w:rPr>
          <w:color w:val="auto"/>
        </w:rPr>
        <w:t>西北组团污水处理厂</w:t>
      </w:r>
      <w:r>
        <w:rPr>
          <w:rFonts w:hint="eastAsia"/>
          <w:color w:val="auto"/>
        </w:rPr>
        <w:t>）</w:t>
      </w:r>
      <w:r>
        <w:rPr>
          <w:color w:val="auto"/>
        </w:rPr>
        <w:t>，规划一期处理能力为4.8万立方米/日。污水通过管道收集后，经规划区内规划污水泵站提升后排入污水处理厂集中处理。污水排放标准应符合现行国家标准《城镇污水处理厂污染物排放标准》</w:t>
      </w:r>
      <w:r>
        <w:rPr>
          <w:rFonts w:hint="eastAsia"/>
          <w:color w:val="auto"/>
        </w:rPr>
        <w:t>（</w:t>
      </w:r>
      <w:r>
        <w:rPr>
          <w:color w:val="auto"/>
        </w:rPr>
        <w:t>GB18918-2002</w:t>
      </w:r>
      <w:r>
        <w:rPr>
          <w:rFonts w:hint="eastAsia"/>
          <w:color w:val="auto"/>
        </w:rPr>
        <w:t>）</w:t>
      </w:r>
      <w:r>
        <w:rPr>
          <w:color w:val="auto"/>
        </w:rPr>
        <w:t>中的一级A排放标准的要求。</w:t>
      </w:r>
    </w:p>
    <w:p w14:paraId="5FB5E3E3">
      <w:pPr>
        <w:ind w:firstLine="480"/>
        <w:rPr>
          <w:color w:val="auto"/>
        </w:rPr>
      </w:pPr>
      <w:r>
        <w:rPr>
          <w:color w:val="auto"/>
        </w:rPr>
        <w:t>①污水管网规划</w:t>
      </w:r>
    </w:p>
    <w:p w14:paraId="5FF45527">
      <w:pPr>
        <w:ind w:firstLine="480"/>
        <w:rPr>
          <w:color w:val="auto"/>
        </w:rPr>
      </w:pPr>
      <w:r>
        <w:rPr>
          <w:color w:val="auto"/>
        </w:rPr>
        <w:t>污水管网呈枝状布置形式。根据污水量分布，沿主干路布置污水干管，管径为D400-D1650毫米。逐步形成对本分区的全面覆盖，避免未经处理的污水直接排入水体，造成水环境污染。</w:t>
      </w:r>
    </w:p>
    <w:p w14:paraId="3B73A344">
      <w:pPr>
        <w:ind w:firstLine="480"/>
        <w:rPr>
          <w:color w:val="auto"/>
        </w:rPr>
      </w:pPr>
      <w:r>
        <w:rPr>
          <w:color w:val="auto"/>
        </w:rPr>
        <w:t>②雨水管网规划</w:t>
      </w:r>
    </w:p>
    <w:p w14:paraId="5E4B4955">
      <w:pPr>
        <w:ind w:firstLine="480"/>
        <w:rPr>
          <w:color w:val="auto"/>
        </w:rPr>
      </w:pPr>
      <w:r>
        <w:rPr>
          <w:color w:val="auto"/>
        </w:rPr>
        <w:t>本着“分片收集、就近分散、自流排放”的原则布置雨水管</w:t>
      </w:r>
      <w:r>
        <w:rPr>
          <w:rFonts w:hint="eastAsia"/>
          <w:color w:val="auto"/>
        </w:rPr>
        <w:t>（</w:t>
      </w:r>
      <w:r>
        <w:rPr>
          <w:color w:val="auto"/>
        </w:rPr>
        <w:t>渠</w:t>
      </w:r>
      <w:r>
        <w:rPr>
          <w:rFonts w:hint="eastAsia"/>
          <w:color w:val="auto"/>
        </w:rPr>
        <w:t>）</w:t>
      </w:r>
      <w:r>
        <w:rPr>
          <w:color w:val="auto"/>
        </w:rPr>
        <w:t>，就近排入水体，雨水管网覆盖率为100%。沿规划道路布置D400-D800毫米和B×H=1.2×1.8-3.0×1.2米的雨水管</w:t>
      </w:r>
      <w:r>
        <w:rPr>
          <w:rFonts w:hint="eastAsia"/>
          <w:color w:val="auto"/>
        </w:rPr>
        <w:t>（</w:t>
      </w:r>
      <w:r>
        <w:rPr>
          <w:color w:val="auto"/>
        </w:rPr>
        <w:t>渠</w:t>
      </w:r>
      <w:r>
        <w:rPr>
          <w:rFonts w:hint="eastAsia"/>
          <w:color w:val="auto"/>
        </w:rPr>
        <w:t>）</w:t>
      </w:r>
      <w:r>
        <w:rPr>
          <w:color w:val="auto"/>
        </w:rPr>
        <w:t>雨水排放口内顶不低于多年平均洪水位，并在常水位以上。</w:t>
      </w:r>
    </w:p>
    <w:p w14:paraId="094935B9">
      <w:pPr>
        <w:ind w:firstLine="480"/>
        <w:rPr>
          <w:color w:val="auto"/>
        </w:rPr>
      </w:pPr>
      <w:r>
        <w:rPr>
          <w:rFonts w:hint="eastAsia"/>
          <w:color w:val="auto"/>
        </w:rPr>
        <w:t>（2）</w:t>
      </w:r>
      <w:r>
        <w:rPr>
          <w:color w:val="auto"/>
        </w:rPr>
        <w:t>建设现状</w:t>
      </w:r>
    </w:p>
    <w:p w14:paraId="589EA6A3">
      <w:pPr>
        <w:ind w:firstLine="480"/>
        <w:rPr>
          <w:color w:val="auto"/>
        </w:rPr>
      </w:pPr>
      <w:r>
        <w:rPr>
          <w:color w:val="auto"/>
        </w:rPr>
        <w:t>已建开发区临港污水处理厂</w:t>
      </w:r>
      <w:r>
        <w:rPr>
          <w:rFonts w:hint="eastAsia"/>
          <w:color w:val="auto"/>
        </w:rPr>
        <w:t>（</w:t>
      </w:r>
      <w:r>
        <w:rPr>
          <w:color w:val="auto"/>
        </w:rPr>
        <w:t>原</w:t>
      </w:r>
      <w:r>
        <w:rPr>
          <w:rFonts w:hint="eastAsia"/>
          <w:color w:val="auto"/>
        </w:rPr>
        <w:t>开发区</w:t>
      </w:r>
      <w:r>
        <w:rPr>
          <w:color w:val="auto"/>
        </w:rPr>
        <w:t>西北组团污水处理厂</w:t>
      </w:r>
      <w:r>
        <w:rPr>
          <w:rFonts w:hint="eastAsia"/>
          <w:color w:val="auto"/>
        </w:rPr>
        <w:t>）</w:t>
      </w:r>
      <w:r>
        <w:rPr>
          <w:color w:val="auto"/>
        </w:rPr>
        <w:t>位于连云港经济技术开发区</w:t>
      </w:r>
      <w:r>
        <w:rPr>
          <w:rFonts w:hint="eastAsia"/>
          <w:color w:val="auto"/>
        </w:rPr>
        <w:t>开泰河</w:t>
      </w:r>
      <w:r>
        <w:rPr>
          <w:color w:val="auto"/>
        </w:rPr>
        <w:t>南侧、云池路北侧、临洪路东侧、云桥路西侧，项目一期工程项目总投资为15566万元，处理规模为48000t</w:t>
      </w:r>
      <w:r>
        <w:rPr>
          <w:rFonts w:hint="eastAsia"/>
          <w:color w:val="auto"/>
        </w:rPr>
        <w:t>/</w:t>
      </w:r>
      <w:r>
        <w:rPr>
          <w:color w:val="auto"/>
        </w:rPr>
        <w:t>d。其收水范围主要由两部分组成</w:t>
      </w:r>
      <w:r>
        <w:rPr>
          <w:rFonts w:hint="eastAsia"/>
          <w:color w:val="auto"/>
        </w:rPr>
        <w:t>：</w:t>
      </w:r>
      <w:r>
        <w:rPr>
          <w:color w:val="auto"/>
        </w:rPr>
        <w:t>一是临港产业区西北片区，污水性质为工业废水和生活污水</w:t>
      </w:r>
      <w:r>
        <w:rPr>
          <w:rFonts w:hint="eastAsia"/>
          <w:color w:val="auto"/>
        </w:rPr>
        <w:t>；</w:t>
      </w:r>
      <w:r>
        <w:rPr>
          <w:color w:val="auto"/>
        </w:rPr>
        <w:t>二是连云新城</w:t>
      </w:r>
      <w:r>
        <w:rPr>
          <w:rFonts w:hint="eastAsia"/>
          <w:color w:val="auto"/>
        </w:rPr>
        <w:t>（</w:t>
      </w:r>
      <w:r>
        <w:rPr>
          <w:color w:val="auto"/>
        </w:rPr>
        <w:t>滨海新区</w:t>
      </w:r>
      <w:r>
        <w:rPr>
          <w:rFonts w:hint="eastAsia"/>
          <w:color w:val="auto"/>
        </w:rPr>
        <w:t>）</w:t>
      </w:r>
      <w:r>
        <w:rPr>
          <w:color w:val="auto"/>
        </w:rPr>
        <w:t>西南片区，主要以居住和公用设施用地为主，污水性质为生活污水，近期服务范围覆盖面积约47.66km</w:t>
      </w:r>
      <w:r>
        <w:rPr>
          <w:rFonts w:hint="eastAsia"/>
          <w:color w:val="auto"/>
          <w:vertAlign w:val="superscript"/>
        </w:rPr>
        <w:t>2</w:t>
      </w:r>
      <w:r>
        <w:rPr>
          <w:color w:val="auto"/>
        </w:rPr>
        <w:t>。项目环评报告书于2012年6月21日取得连云港市环保局的批复</w:t>
      </w:r>
      <w:r>
        <w:rPr>
          <w:rFonts w:hint="eastAsia"/>
          <w:color w:val="auto"/>
        </w:rPr>
        <w:t>（</w:t>
      </w:r>
      <w:r>
        <w:rPr>
          <w:color w:val="auto"/>
        </w:rPr>
        <w:t>连环发</w:t>
      </w:r>
      <w:r>
        <w:rPr>
          <w:rFonts w:hint="eastAsia"/>
          <w:color w:val="auto"/>
        </w:rPr>
        <w:t>〔</w:t>
      </w:r>
      <w:r>
        <w:rPr>
          <w:color w:val="auto"/>
        </w:rPr>
        <w:t>2012</w:t>
      </w:r>
      <w:r>
        <w:rPr>
          <w:rFonts w:hint="eastAsia"/>
          <w:color w:val="auto"/>
        </w:rPr>
        <w:t>〕</w:t>
      </w:r>
      <w:r>
        <w:rPr>
          <w:color w:val="auto"/>
        </w:rPr>
        <w:t>246号</w:t>
      </w:r>
      <w:r>
        <w:rPr>
          <w:rFonts w:hint="eastAsia"/>
          <w:color w:val="auto"/>
        </w:rPr>
        <w:t>）</w:t>
      </w:r>
      <w:r>
        <w:rPr>
          <w:color w:val="auto"/>
        </w:rPr>
        <w:t>，目前已</w:t>
      </w:r>
      <w:r>
        <w:rPr>
          <w:rFonts w:hint="eastAsia"/>
          <w:color w:val="auto"/>
        </w:rPr>
        <w:t>建成一期规模4.8万吨/天，由两组MSBR生化处理系统组成，单组处理规模2.4万吨/天。</w:t>
      </w:r>
      <w:r>
        <w:rPr>
          <w:color w:val="auto"/>
        </w:rPr>
        <w:t>污水通过管道收集后，经规划区内规划污水泵站提升后排入污水处理厂集中处理。污水排放标准应符合现行国家标准《城镇污水处理厂污染物排放标准》</w:t>
      </w:r>
      <w:r>
        <w:rPr>
          <w:rFonts w:hint="eastAsia"/>
          <w:color w:val="auto"/>
        </w:rPr>
        <w:t>（</w:t>
      </w:r>
      <w:r>
        <w:rPr>
          <w:color w:val="auto"/>
        </w:rPr>
        <w:t>GB18918-2002</w:t>
      </w:r>
      <w:r>
        <w:rPr>
          <w:rFonts w:hint="eastAsia"/>
          <w:color w:val="auto"/>
        </w:rPr>
        <w:t>）</w:t>
      </w:r>
      <w:r>
        <w:rPr>
          <w:color w:val="auto"/>
        </w:rPr>
        <w:t>中的一级A排放标准的要求。</w:t>
      </w:r>
    </w:p>
    <w:p w14:paraId="596BB067">
      <w:pPr>
        <w:ind w:firstLine="480"/>
        <w:rPr>
          <w:color w:val="auto"/>
        </w:rPr>
      </w:pPr>
      <w:r>
        <w:rPr>
          <w:color w:val="auto"/>
        </w:rPr>
        <w:t>污水处理厂基本情况详见表2.7.</w:t>
      </w:r>
      <w:r>
        <w:rPr>
          <w:rFonts w:hint="eastAsia"/>
          <w:color w:val="auto"/>
        </w:rPr>
        <w:t>1-2</w:t>
      </w:r>
      <w:r>
        <w:rPr>
          <w:color w:val="auto"/>
        </w:rPr>
        <w:t>。</w:t>
      </w:r>
    </w:p>
    <w:p w14:paraId="135B3C8F">
      <w:pPr>
        <w:spacing w:line="240" w:lineRule="auto"/>
        <w:ind w:firstLine="0" w:firstLineChars="0"/>
        <w:jc w:val="center"/>
        <w:rPr>
          <w:b/>
          <w:bCs/>
          <w:color w:val="auto"/>
        </w:rPr>
      </w:pPr>
      <w:r>
        <w:rPr>
          <w:rFonts w:hint="eastAsia"/>
          <w:b/>
          <w:bCs/>
          <w:color w:val="auto"/>
        </w:rPr>
        <w:t>表2.7.1-2  开发区临港污水处理厂基本情况一览表</w:t>
      </w:r>
    </w:p>
    <w:tbl>
      <w:tblPr>
        <w:tblStyle w:val="8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018"/>
        <w:gridCol w:w="6536"/>
      </w:tblGrid>
      <w:tr w14:paraId="3EBC9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vAlign w:val="center"/>
          </w:tcPr>
          <w:p w14:paraId="2E2EE4F6">
            <w:pPr>
              <w:spacing w:line="240" w:lineRule="auto"/>
              <w:ind w:firstLine="0" w:firstLineChars="0"/>
              <w:jc w:val="center"/>
              <w:rPr>
                <w:b/>
                <w:bCs/>
                <w:color w:val="auto"/>
                <w:sz w:val="21"/>
                <w:szCs w:val="21"/>
              </w:rPr>
            </w:pPr>
            <w:r>
              <w:rPr>
                <w:rFonts w:hint="eastAsia"/>
                <w:b/>
                <w:bCs/>
                <w:color w:val="auto"/>
                <w:sz w:val="21"/>
                <w:szCs w:val="21"/>
              </w:rPr>
              <w:t>序号</w:t>
            </w:r>
          </w:p>
        </w:tc>
        <w:tc>
          <w:tcPr>
            <w:tcW w:w="1087" w:type="pct"/>
            <w:tcBorders>
              <w:tl2br w:val="nil"/>
              <w:tr2bl w:val="nil"/>
            </w:tcBorders>
            <w:vAlign w:val="center"/>
          </w:tcPr>
          <w:p w14:paraId="58126EE2">
            <w:pPr>
              <w:spacing w:line="240" w:lineRule="auto"/>
              <w:ind w:firstLine="0" w:firstLineChars="0"/>
              <w:jc w:val="center"/>
              <w:rPr>
                <w:b/>
                <w:bCs/>
                <w:color w:val="auto"/>
                <w:sz w:val="21"/>
                <w:szCs w:val="21"/>
              </w:rPr>
            </w:pPr>
            <w:r>
              <w:rPr>
                <w:rFonts w:hint="eastAsia"/>
                <w:b/>
                <w:bCs/>
                <w:color w:val="auto"/>
                <w:sz w:val="21"/>
                <w:szCs w:val="21"/>
              </w:rPr>
              <w:t>污水处理厂名称</w:t>
            </w:r>
          </w:p>
        </w:tc>
        <w:tc>
          <w:tcPr>
            <w:tcW w:w="3521" w:type="pct"/>
            <w:tcBorders>
              <w:tl2br w:val="nil"/>
              <w:tr2bl w:val="nil"/>
            </w:tcBorders>
            <w:vAlign w:val="center"/>
          </w:tcPr>
          <w:p w14:paraId="5634B2CF">
            <w:pPr>
              <w:spacing w:line="240" w:lineRule="auto"/>
              <w:ind w:firstLine="0" w:firstLineChars="0"/>
              <w:jc w:val="center"/>
              <w:rPr>
                <w:b/>
                <w:bCs/>
                <w:color w:val="auto"/>
                <w:sz w:val="21"/>
                <w:szCs w:val="21"/>
              </w:rPr>
            </w:pPr>
            <w:r>
              <w:rPr>
                <w:rFonts w:hint="eastAsia"/>
                <w:b/>
                <w:bCs/>
                <w:color w:val="auto"/>
                <w:sz w:val="21"/>
                <w:szCs w:val="21"/>
              </w:rPr>
              <w:t>开发区临港污水处理厂</w:t>
            </w:r>
          </w:p>
        </w:tc>
      </w:tr>
      <w:tr w14:paraId="28A2F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vAlign w:val="center"/>
          </w:tcPr>
          <w:p w14:paraId="654BEEFD">
            <w:pPr>
              <w:spacing w:line="240" w:lineRule="auto"/>
              <w:ind w:firstLine="0" w:firstLineChars="0"/>
              <w:jc w:val="center"/>
              <w:rPr>
                <w:color w:val="auto"/>
                <w:sz w:val="21"/>
                <w:szCs w:val="21"/>
              </w:rPr>
            </w:pPr>
            <w:r>
              <w:rPr>
                <w:rFonts w:hint="eastAsia"/>
                <w:color w:val="auto"/>
                <w:sz w:val="21"/>
                <w:szCs w:val="21"/>
              </w:rPr>
              <w:t>1</w:t>
            </w:r>
          </w:p>
        </w:tc>
        <w:tc>
          <w:tcPr>
            <w:tcW w:w="1087" w:type="pct"/>
            <w:tcBorders>
              <w:tl2br w:val="nil"/>
              <w:tr2bl w:val="nil"/>
            </w:tcBorders>
            <w:vAlign w:val="center"/>
          </w:tcPr>
          <w:p w14:paraId="2D1C467D">
            <w:pPr>
              <w:spacing w:line="240" w:lineRule="auto"/>
              <w:ind w:firstLine="0" w:firstLineChars="0"/>
              <w:jc w:val="center"/>
              <w:rPr>
                <w:color w:val="auto"/>
                <w:sz w:val="21"/>
                <w:szCs w:val="21"/>
              </w:rPr>
            </w:pPr>
            <w:r>
              <w:rPr>
                <w:rFonts w:hint="eastAsia"/>
                <w:color w:val="auto"/>
                <w:sz w:val="21"/>
                <w:szCs w:val="21"/>
              </w:rPr>
              <w:t>建设地点</w:t>
            </w:r>
          </w:p>
        </w:tc>
        <w:tc>
          <w:tcPr>
            <w:tcW w:w="3521" w:type="pct"/>
            <w:tcBorders>
              <w:tl2br w:val="nil"/>
              <w:tr2bl w:val="nil"/>
            </w:tcBorders>
            <w:vAlign w:val="center"/>
          </w:tcPr>
          <w:p w14:paraId="30C8F670">
            <w:pPr>
              <w:spacing w:line="240" w:lineRule="auto"/>
              <w:ind w:firstLine="0" w:firstLineChars="0"/>
              <w:jc w:val="center"/>
              <w:rPr>
                <w:color w:val="auto"/>
                <w:sz w:val="21"/>
                <w:szCs w:val="21"/>
              </w:rPr>
            </w:pPr>
            <w:r>
              <w:rPr>
                <w:color w:val="auto"/>
                <w:sz w:val="21"/>
                <w:szCs w:val="21"/>
              </w:rPr>
              <w:t>连云港经济技术开发区</w:t>
            </w:r>
            <w:r>
              <w:rPr>
                <w:rFonts w:hint="eastAsia"/>
                <w:color w:val="auto"/>
                <w:sz w:val="21"/>
                <w:szCs w:val="21"/>
              </w:rPr>
              <w:t>开泰河</w:t>
            </w:r>
            <w:r>
              <w:rPr>
                <w:color w:val="auto"/>
                <w:sz w:val="21"/>
                <w:szCs w:val="21"/>
              </w:rPr>
              <w:t>南侧、云池路北侧、临洪路东侧、云桥路西侧</w:t>
            </w:r>
          </w:p>
        </w:tc>
      </w:tr>
      <w:tr w14:paraId="3F084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91" w:type="pct"/>
            <w:tcBorders>
              <w:tl2br w:val="nil"/>
              <w:tr2bl w:val="nil"/>
            </w:tcBorders>
            <w:vAlign w:val="center"/>
          </w:tcPr>
          <w:p w14:paraId="0EC59ED3">
            <w:pPr>
              <w:spacing w:line="240" w:lineRule="auto"/>
              <w:ind w:firstLine="0" w:firstLineChars="0"/>
              <w:jc w:val="center"/>
              <w:rPr>
                <w:color w:val="auto"/>
                <w:sz w:val="21"/>
                <w:szCs w:val="21"/>
              </w:rPr>
            </w:pPr>
            <w:r>
              <w:rPr>
                <w:rFonts w:hint="eastAsia"/>
                <w:color w:val="auto"/>
                <w:sz w:val="21"/>
                <w:szCs w:val="21"/>
              </w:rPr>
              <w:t>2</w:t>
            </w:r>
          </w:p>
        </w:tc>
        <w:tc>
          <w:tcPr>
            <w:tcW w:w="1087" w:type="pct"/>
            <w:tcBorders>
              <w:tl2br w:val="nil"/>
              <w:tr2bl w:val="nil"/>
            </w:tcBorders>
            <w:vAlign w:val="center"/>
          </w:tcPr>
          <w:p w14:paraId="4E6AB92D">
            <w:pPr>
              <w:spacing w:line="240" w:lineRule="auto"/>
              <w:ind w:firstLine="0" w:firstLineChars="0"/>
              <w:jc w:val="center"/>
              <w:rPr>
                <w:color w:val="auto"/>
                <w:sz w:val="21"/>
                <w:szCs w:val="21"/>
              </w:rPr>
            </w:pPr>
            <w:r>
              <w:rPr>
                <w:rFonts w:hint="eastAsia"/>
                <w:color w:val="auto"/>
                <w:sz w:val="21"/>
                <w:szCs w:val="21"/>
              </w:rPr>
              <w:t>设计规模</w:t>
            </w:r>
          </w:p>
        </w:tc>
        <w:tc>
          <w:tcPr>
            <w:tcW w:w="3521" w:type="pct"/>
            <w:tcBorders>
              <w:tl2br w:val="nil"/>
              <w:tr2bl w:val="nil"/>
            </w:tcBorders>
            <w:vAlign w:val="center"/>
          </w:tcPr>
          <w:p w14:paraId="6F4ED9D9">
            <w:pPr>
              <w:spacing w:line="240" w:lineRule="auto"/>
              <w:ind w:firstLine="0" w:firstLineChars="0"/>
              <w:jc w:val="center"/>
              <w:rPr>
                <w:color w:val="auto"/>
                <w:sz w:val="21"/>
                <w:szCs w:val="21"/>
              </w:rPr>
            </w:pPr>
            <w:r>
              <w:rPr>
                <w:rFonts w:hint="eastAsia"/>
                <w:color w:val="auto"/>
                <w:sz w:val="21"/>
                <w:szCs w:val="21"/>
              </w:rPr>
              <w:t>4.8万吨/年</w:t>
            </w:r>
          </w:p>
        </w:tc>
      </w:tr>
      <w:tr w14:paraId="3D6DA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vAlign w:val="center"/>
          </w:tcPr>
          <w:p w14:paraId="3B7BFF29">
            <w:pPr>
              <w:spacing w:line="240" w:lineRule="auto"/>
              <w:ind w:firstLine="0" w:firstLineChars="0"/>
              <w:jc w:val="center"/>
              <w:rPr>
                <w:color w:val="auto"/>
                <w:sz w:val="21"/>
                <w:szCs w:val="21"/>
              </w:rPr>
            </w:pPr>
            <w:r>
              <w:rPr>
                <w:rFonts w:hint="eastAsia"/>
                <w:color w:val="auto"/>
                <w:sz w:val="21"/>
                <w:szCs w:val="21"/>
              </w:rPr>
              <w:t>3</w:t>
            </w:r>
          </w:p>
        </w:tc>
        <w:tc>
          <w:tcPr>
            <w:tcW w:w="1087" w:type="pct"/>
            <w:tcBorders>
              <w:tl2br w:val="nil"/>
              <w:tr2bl w:val="nil"/>
            </w:tcBorders>
            <w:vAlign w:val="center"/>
          </w:tcPr>
          <w:p w14:paraId="1EF88FAE">
            <w:pPr>
              <w:spacing w:line="240" w:lineRule="auto"/>
              <w:ind w:firstLine="0" w:firstLineChars="0"/>
              <w:jc w:val="center"/>
              <w:rPr>
                <w:color w:val="auto"/>
                <w:sz w:val="21"/>
                <w:szCs w:val="21"/>
              </w:rPr>
            </w:pPr>
            <w:r>
              <w:rPr>
                <w:rFonts w:hint="eastAsia"/>
                <w:color w:val="auto"/>
                <w:sz w:val="21"/>
                <w:szCs w:val="21"/>
              </w:rPr>
              <w:t>已建规模</w:t>
            </w:r>
          </w:p>
        </w:tc>
        <w:tc>
          <w:tcPr>
            <w:tcW w:w="3521" w:type="pct"/>
            <w:tcBorders>
              <w:tl2br w:val="nil"/>
              <w:tr2bl w:val="nil"/>
            </w:tcBorders>
            <w:vAlign w:val="center"/>
          </w:tcPr>
          <w:p w14:paraId="40ACBA23">
            <w:pPr>
              <w:spacing w:line="240" w:lineRule="auto"/>
              <w:ind w:firstLine="0" w:firstLineChars="0"/>
              <w:jc w:val="center"/>
              <w:rPr>
                <w:color w:val="auto"/>
                <w:sz w:val="21"/>
                <w:szCs w:val="21"/>
              </w:rPr>
            </w:pPr>
            <w:r>
              <w:rPr>
                <w:rFonts w:hint="eastAsia"/>
                <w:color w:val="auto"/>
                <w:sz w:val="21"/>
                <w:szCs w:val="21"/>
              </w:rPr>
              <w:t>4.8万吨/年</w:t>
            </w:r>
          </w:p>
        </w:tc>
      </w:tr>
      <w:tr w14:paraId="2DA6A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vAlign w:val="center"/>
          </w:tcPr>
          <w:p w14:paraId="327FC368">
            <w:pPr>
              <w:spacing w:line="240" w:lineRule="auto"/>
              <w:ind w:firstLine="0" w:firstLineChars="0"/>
              <w:jc w:val="center"/>
              <w:rPr>
                <w:color w:val="auto"/>
                <w:sz w:val="21"/>
                <w:szCs w:val="21"/>
              </w:rPr>
            </w:pPr>
            <w:r>
              <w:rPr>
                <w:rFonts w:hint="eastAsia"/>
                <w:color w:val="auto"/>
                <w:sz w:val="21"/>
                <w:szCs w:val="21"/>
              </w:rPr>
              <w:t>4</w:t>
            </w:r>
          </w:p>
        </w:tc>
        <w:tc>
          <w:tcPr>
            <w:tcW w:w="1087" w:type="pct"/>
            <w:tcBorders>
              <w:tl2br w:val="nil"/>
              <w:tr2bl w:val="nil"/>
            </w:tcBorders>
            <w:vAlign w:val="center"/>
          </w:tcPr>
          <w:p w14:paraId="6A783D41">
            <w:pPr>
              <w:spacing w:line="240" w:lineRule="auto"/>
              <w:ind w:firstLine="0" w:firstLineChars="0"/>
              <w:jc w:val="center"/>
              <w:rPr>
                <w:color w:val="auto"/>
                <w:sz w:val="21"/>
                <w:szCs w:val="21"/>
              </w:rPr>
            </w:pPr>
            <w:r>
              <w:rPr>
                <w:rFonts w:hint="eastAsia"/>
                <w:color w:val="auto"/>
                <w:sz w:val="21"/>
                <w:szCs w:val="21"/>
              </w:rPr>
              <w:t>2023年实际处理量</w:t>
            </w:r>
          </w:p>
        </w:tc>
        <w:tc>
          <w:tcPr>
            <w:tcW w:w="3521" w:type="pct"/>
            <w:tcBorders>
              <w:tl2br w:val="nil"/>
              <w:tr2bl w:val="nil"/>
            </w:tcBorders>
            <w:vAlign w:val="center"/>
          </w:tcPr>
          <w:p w14:paraId="21D2C39A">
            <w:pPr>
              <w:spacing w:line="240" w:lineRule="auto"/>
              <w:ind w:firstLine="0" w:firstLineChars="0"/>
              <w:jc w:val="center"/>
              <w:rPr>
                <w:color w:val="auto"/>
                <w:sz w:val="21"/>
                <w:szCs w:val="21"/>
              </w:rPr>
            </w:pPr>
            <w:r>
              <w:rPr>
                <w:rFonts w:hint="eastAsia"/>
                <w:color w:val="auto"/>
                <w:sz w:val="21"/>
                <w:szCs w:val="21"/>
              </w:rPr>
              <w:t>2.2万吨/年</w:t>
            </w:r>
          </w:p>
        </w:tc>
      </w:tr>
      <w:tr w14:paraId="16720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vAlign w:val="center"/>
          </w:tcPr>
          <w:p w14:paraId="6E7CAB5B">
            <w:pPr>
              <w:spacing w:line="240" w:lineRule="auto"/>
              <w:ind w:firstLine="0" w:firstLineChars="0"/>
              <w:jc w:val="center"/>
              <w:rPr>
                <w:color w:val="auto"/>
                <w:sz w:val="21"/>
                <w:szCs w:val="21"/>
              </w:rPr>
            </w:pPr>
            <w:r>
              <w:rPr>
                <w:rFonts w:hint="eastAsia"/>
                <w:color w:val="auto"/>
                <w:sz w:val="21"/>
                <w:szCs w:val="21"/>
              </w:rPr>
              <w:t>5</w:t>
            </w:r>
          </w:p>
        </w:tc>
        <w:tc>
          <w:tcPr>
            <w:tcW w:w="1087" w:type="pct"/>
            <w:tcBorders>
              <w:tl2br w:val="nil"/>
              <w:tr2bl w:val="nil"/>
            </w:tcBorders>
            <w:vAlign w:val="center"/>
          </w:tcPr>
          <w:p w14:paraId="3FC6C662">
            <w:pPr>
              <w:spacing w:line="240" w:lineRule="auto"/>
              <w:ind w:firstLine="0" w:firstLineChars="0"/>
              <w:jc w:val="center"/>
              <w:rPr>
                <w:color w:val="auto"/>
                <w:sz w:val="21"/>
                <w:szCs w:val="21"/>
              </w:rPr>
            </w:pPr>
            <w:r>
              <w:rPr>
                <w:rFonts w:hint="eastAsia"/>
                <w:color w:val="auto"/>
                <w:sz w:val="21"/>
                <w:szCs w:val="21"/>
              </w:rPr>
              <w:t>服务范围</w:t>
            </w:r>
          </w:p>
        </w:tc>
        <w:tc>
          <w:tcPr>
            <w:tcW w:w="3521" w:type="pct"/>
            <w:tcBorders>
              <w:tl2br w:val="nil"/>
              <w:tr2bl w:val="nil"/>
            </w:tcBorders>
            <w:vAlign w:val="center"/>
          </w:tcPr>
          <w:p w14:paraId="47B56F0C">
            <w:pPr>
              <w:spacing w:line="240" w:lineRule="auto"/>
              <w:ind w:firstLine="0" w:firstLineChars="0"/>
              <w:jc w:val="center"/>
              <w:rPr>
                <w:color w:val="auto"/>
                <w:sz w:val="21"/>
                <w:szCs w:val="21"/>
              </w:rPr>
            </w:pPr>
            <w:r>
              <w:rPr>
                <w:color w:val="auto"/>
                <w:sz w:val="21"/>
                <w:szCs w:val="21"/>
              </w:rPr>
              <w:t>一是临港产业区西北片区，污水性质为工业废水和生活污水；二是连云新城</w:t>
            </w:r>
            <w:r>
              <w:rPr>
                <w:rFonts w:hint="eastAsia"/>
                <w:color w:val="auto"/>
                <w:sz w:val="21"/>
                <w:szCs w:val="21"/>
              </w:rPr>
              <w:t>（</w:t>
            </w:r>
            <w:r>
              <w:rPr>
                <w:color w:val="auto"/>
                <w:sz w:val="21"/>
                <w:szCs w:val="21"/>
              </w:rPr>
              <w:t>滨海新区</w:t>
            </w:r>
            <w:r>
              <w:rPr>
                <w:rFonts w:hint="eastAsia"/>
                <w:color w:val="auto"/>
                <w:sz w:val="21"/>
                <w:szCs w:val="21"/>
              </w:rPr>
              <w:t>）</w:t>
            </w:r>
            <w:r>
              <w:rPr>
                <w:color w:val="auto"/>
                <w:sz w:val="21"/>
                <w:szCs w:val="21"/>
              </w:rPr>
              <w:t>西南片区，主要以居住和公用设施用地为主，污水性质为生活污水</w:t>
            </w:r>
            <w:r>
              <w:rPr>
                <w:rFonts w:hint="eastAsia"/>
                <w:color w:val="auto"/>
                <w:sz w:val="21"/>
                <w:szCs w:val="21"/>
              </w:rPr>
              <w:t>。</w:t>
            </w:r>
          </w:p>
        </w:tc>
      </w:tr>
      <w:tr w14:paraId="37233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2FFE6DD8">
            <w:pPr>
              <w:spacing w:line="240" w:lineRule="auto"/>
              <w:ind w:firstLine="0" w:firstLineChars="0"/>
              <w:jc w:val="center"/>
              <w:rPr>
                <w:color w:val="auto"/>
                <w:sz w:val="21"/>
                <w:szCs w:val="21"/>
              </w:rPr>
            </w:pPr>
            <w:r>
              <w:rPr>
                <w:rFonts w:hint="eastAsia"/>
                <w:color w:val="auto"/>
                <w:sz w:val="21"/>
                <w:szCs w:val="21"/>
              </w:rPr>
              <w:t>6</w:t>
            </w:r>
          </w:p>
        </w:tc>
        <w:tc>
          <w:tcPr>
            <w:tcW w:w="1087" w:type="pct"/>
            <w:tcBorders>
              <w:tl2br w:val="nil"/>
              <w:tr2bl w:val="nil"/>
            </w:tcBorders>
            <w:vAlign w:val="center"/>
          </w:tcPr>
          <w:p w14:paraId="4EC8C219">
            <w:pPr>
              <w:spacing w:line="240" w:lineRule="auto"/>
              <w:ind w:firstLine="0" w:firstLineChars="0"/>
              <w:jc w:val="center"/>
              <w:rPr>
                <w:color w:val="auto"/>
                <w:sz w:val="21"/>
                <w:szCs w:val="21"/>
              </w:rPr>
            </w:pPr>
            <w:r>
              <w:rPr>
                <w:rFonts w:hint="eastAsia"/>
                <w:color w:val="auto"/>
                <w:sz w:val="21"/>
                <w:szCs w:val="21"/>
              </w:rPr>
              <w:t>污水处理厂性质</w:t>
            </w:r>
          </w:p>
        </w:tc>
        <w:tc>
          <w:tcPr>
            <w:tcW w:w="3521" w:type="pct"/>
            <w:tcBorders>
              <w:tl2br w:val="nil"/>
              <w:tr2bl w:val="nil"/>
            </w:tcBorders>
            <w:vAlign w:val="center"/>
          </w:tcPr>
          <w:p w14:paraId="06CB0FA1">
            <w:pPr>
              <w:spacing w:line="240" w:lineRule="auto"/>
              <w:ind w:firstLine="0" w:firstLineChars="0"/>
              <w:jc w:val="center"/>
              <w:rPr>
                <w:color w:val="auto"/>
                <w:sz w:val="21"/>
                <w:szCs w:val="21"/>
              </w:rPr>
            </w:pPr>
            <w:r>
              <w:rPr>
                <w:rFonts w:hint="eastAsia"/>
                <w:color w:val="auto"/>
                <w:sz w:val="21"/>
                <w:szCs w:val="21"/>
              </w:rPr>
              <w:t>城镇污水处理厂</w:t>
            </w:r>
          </w:p>
        </w:tc>
      </w:tr>
      <w:tr w14:paraId="20164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5E3870FB">
            <w:pPr>
              <w:spacing w:line="240" w:lineRule="auto"/>
              <w:ind w:firstLine="0" w:firstLineChars="0"/>
              <w:jc w:val="center"/>
              <w:rPr>
                <w:color w:val="auto"/>
                <w:sz w:val="21"/>
                <w:szCs w:val="21"/>
              </w:rPr>
            </w:pPr>
            <w:r>
              <w:rPr>
                <w:rFonts w:hint="eastAsia"/>
                <w:color w:val="auto"/>
                <w:sz w:val="21"/>
                <w:szCs w:val="21"/>
              </w:rPr>
              <w:t>7</w:t>
            </w:r>
          </w:p>
        </w:tc>
        <w:tc>
          <w:tcPr>
            <w:tcW w:w="1087" w:type="pct"/>
            <w:tcBorders>
              <w:tl2br w:val="nil"/>
              <w:tr2bl w:val="nil"/>
            </w:tcBorders>
            <w:vAlign w:val="center"/>
          </w:tcPr>
          <w:p w14:paraId="3653314A">
            <w:pPr>
              <w:spacing w:line="240" w:lineRule="auto"/>
              <w:ind w:firstLine="0" w:firstLineChars="0"/>
              <w:jc w:val="center"/>
              <w:rPr>
                <w:color w:val="auto"/>
                <w:sz w:val="21"/>
                <w:szCs w:val="21"/>
              </w:rPr>
            </w:pPr>
            <w:r>
              <w:rPr>
                <w:rFonts w:hint="eastAsia"/>
                <w:color w:val="auto"/>
                <w:sz w:val="21"/>
                <w:szCs w:val="21"/>
              </w:rPr>
              <w:t>污水处理工艺</w:t>
            </w:r>
          </w:p>
        </w:tc>
        <w:tc>
          <w:tcPr>
            <w:tcW w:w="3521" w:type="pct"/>
            <w:tcBorders>
              <w:tl2br w:val="nil"/>
              <w:tr2bl w:val="nil"/>
            </w:tcBorders>
            <w:vAlign w:val="center"/>
          </w:tcPr>
          <w:p w14:paraId="3096B123">
            <w:pPr>
              <w:spacing w:line="240" w:lineRule="auto"/>
              <w:ind w:firstLine="0" w:firstLineChars="0"/>
              <w:jc w:val="center"/>
              <w:rPr>
                <w:color w:val="auto"/>
                <w:sz w:val="21"/>
                <w:szCs w:val="21"/>
              </w:rPr>
            </w:pPr>
            <w:r>
              <w:rPr>
                <w:rFonts w:hint="eastAsia"/>
                <w:color w:val="auto"/>
                <w:sz w:val="21"/>
                <w:szCs w:val="21"/>
              </w:rPr>
              <w:t>厌氧水解+MSBR+高效混凝沉淀+转盘滤池+次氯酸钠消毒</w:t>
            </w:r>
          </w:p>
        </w:tc>
      </w:tr>
      <w:tr w14:paraId="75DF8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12129A80">
            <w:pPr>
              <w:spacing w:line="240" w:lineRule="auto"/>
              <w:ind w:firstLine="0" w:firstLineChars="0"/>
              <w:jc w:val="center"/>
              <w:rPr>
                <w:color w:val="auto"/>
                <w:sz w:val="21"/>
                <w:szCs w:val="21"/>
              </w:rPr>
            </w:pPr>
            <w:r>
              <w:rPr>
                <w:rFonts w:hint="eastAsia"/>
                <w:color w:val="auto"/>
                <w:sz w:val="21"/>
                <w:szCs w:val="21"/>
              </w:rPr>
              <w:t>8</w:t>
            </w:r>
          </w:p>
        </w:tc>
        <w:tc>
          <w:tcPr>
            <w:tcW w:w="1087" w:type="pct"/>
            <w:tcBorders>
              <w:tl2br w:val="nil"/>
              <w:tr2bl w:val="nil"/>
            </w:tcBorders>
            <w:vAlign w:val="center"/>
          </w:tcPr>
          <w:p w14:paraId="6EBDD625">
            <w:pPr>
              <w:spacing w:line="240" w:lineRule="auto"/>
              <w:ind w:firstLine="0" w:firstLineChars="0"/>
              <w:jc w:val="center"/>
              <w:rPr>
                <w:color w:val="auto"/>
                <w:sz w:val="21"/>
                <w:szCs w:val="21"/>
              </w:rPr>
            </w:pPr>
            <w:r>
              <w:rPr>
                <w:rFonts w:hint="eastAsia"/>
                <w:color w:val="auto"/>
                <w:sz w:val="21"/>
                <w:szCs w:val="21"/>
              </w:rPr>
              <w:t>接管废水类别</w:t>
            </w:r>
          </w:p>
        </w:tc>
        <w:tc>
          <w:tcPr>
            <w:tcW w:w="3521" w:type="pct"/>
            <w:tcBorders>
              <w:tl2br w:val="nil"/>
              <w:tr2bl w:val="nil"/>
            </w:tcBorders>
            <w:vAlign w:val="center"/>
          </w:tcPr>
          <w:p w14:paraId="03CD4BBF">
            <w:pPr>
              <w:spacing w:line="240" w:lineRule="auto"/>
              <w:ind w:firstLine="0" w:firstLineChars="0"/>
              <w:jc w:val="center"/>
              <w:rPr>
                <w:color w:val="auto"/>
                <w:sz w:val="21"/>
                <w:szCs w:val="21"/>
              </w:rPr>
            </w:pPr>
            <w:r>
              <w:rPr>
                <w:rFonts w:hint="eastAsia"/>
                <w:color w:val="auto"/>
                <w:sz w:val="21"/>
                <w:szCs w:val="21"/>
              </w:rPr>
              <w:t>70%工业废水、30%生活污水</w:t>
            </w:r>
          </w:p>
        </w:tc>
      </w:tr>
      <w:tr w14:paraId="66014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1C33A53D">
            <w:pPr>
              <w:spacing w:line="240" w:lineRule="auto"/>
              <w:ind w:firstLine="0" w:firstLineChars="0"/>
              <w:jc w:val="center"/>
              <w:rPr>
                <w:color w:val="auto"/>
                <w:sz w:val="21"/>
                <w:szCs w:val="21"/>
              </w:rPr>
            </w:pPr>
            <w:r>
              <w:rPr>
                <w:rFonts w:hint="eastAsia"/>
                <w:color w:val="auto"/>
                <w:sz w:val="21"/>
                <w:szCs w:val="21"/>
              </w:rPr>
              <w:t>9</w:t>
            </w:r>
          </w:p>
        </w:tc>
        <w:tc>
          <w:tcPr>
            <w:tcW w:w="1087" w:type="pct"/>
            <w:tcBorders>
              <w:tl2br w:val="nil"/>
              <w:tr2bl w:val="nil"/>
            </w:tcBorders>
            <w:vAlign w:val="center"/>
          </w:tcPr>
          <w:p w14:paraId="0456C38B">
            <w:pPr>
              <w:spacing w:line="240" w:lineRule="auto"/>
              <w:ind w:firstLine="0" w:firstLineChars="0"/>
              <w:jc w:val="center"/>
              <w:rPr>
                <w:color w:val="auto"/>
                <w:sz w:val="21"/>
                <w:szCs w:val="21"/>
              </w:rPr>
            </w:pPr>
            <w:r>
              <w:rPr>
                <w:rFonts w:hint="eastAsia"/>
                <w:color w:val="auto"/>
                <w:sz w:val="21"/>
                <w:szCs w:val="21"/>
              </w:rPr>
              <w:t>再生水利用规模</w:t>
            </w:r>
          </w:p>
        </w:tc>
        <w:tc>
          <w:tcPr>
            <w:tcW w:w="3521" w:type="pct"/>
            <w:tcBorders>
              <w:tl2br w:val="nil"/>
              <w:tr2bl w:val="nil"/>
            </w:tcBorders>
            <w:vAlign w:val="center"/>
          </w:tcPr>
          <w:p w14:paraId="0F986FAF">
            <w:pPr>
              <w:spacing w:line="240" w:lineRule="auto"/>
              <w:ind w:firstLine="0" w:firstLineChars="0"/>
              <w:jc w:val="center"/>
              <w:rPr>
                <w:color w:val="auto"/>
                <w:sz w:val="21"/>
                <w:szCs w:val="21"/>
              </w:rPr>
            </w:pPr>
            <w:r>
              <w:rPr>
                <w:rFonts w:hint="eastAsia"/>
                <w:color w:val="auto"/>
                <w:sz w:val="21"/>
                <w:szCs w:val="21"/>
              </w:rPr>
              <w:t>无</w:t>
            </w:r>
          </w:p>
        </w:tc>
      </w:tr>
      <w:tr w14:paraId="0A7D0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5AB230FF">
            <w:pPr>
              <w:spacing w:line="240" w:lineRule="auto"/>
              <w:ind w:firstLine="0" w:firstLineChars="0"/>
              <w:jc w:val="center"/>
              <w:rPr>
                <w:color w:val="auto"/>
                <w:sz w:val="21"/>
                <w:szCs w:val="21"/>
              </w:rPr>
            </w:pPr>
            <w:r>
              <w:rPr>
                <w:rFonts w:hint="eastAsia"/>
                <w:color w:val="auto"/>
                <w:sz w:val="21"/>
                <w:szCs w:val="21"/>
              </w:rPr>
              <w:t>10</w:t>
            </w:r>
          </w:p>
        </w:tc>
        <w:tc>
          <w:tcPr>
            <w:tcW w:w="1087" w:type="pct"/>
            <w:tcBorders>
              <w:tl2br w:val="nil"/>
              <w:tr2bl w:val="nil"/>
            </w:tcBorders>
            <w:vAlign w:val="center"/>
          </w:tcPr>
          <w:p w14:paraId="010E7BAF">
            <w:pPr>
              <w:spacing w:line="240" w:lineRule="auto"/>
              <w:ind w:firstLine="0" w:firstLineChars="0"/>
              <w:jc w:val="center"/>
              <w:rPr>
                <w:color w:val="auto"/>
                <w:sz w:val="21"/>
                <w:szCs w:val="21"/>
              </w:rPr>
            </w:pPr>
            <w:r>
              <w:rPr>
                <w:rFonts w:hint="eastAsia"/>
                <w:color w:val="auto"/>
                <w:sz w:val="21"/>
                <w:szCs w:val="21"/>
              </w:rPr>
              <w:t>再生水利用去向</w:t>
            </w:r>
          </w:p>
        </w:tc>
        <w:tc>
          <w:tcPr>
            <w:tcW w:w="3521" w:type="pct"/>
            <w:tcBorders>
              <w:tl2br w:val="nil"/>
              <w:tr2bl w:val="nil"/>
            </w:tcBorders>
            <w:vAlign w:val="center"/>
          </w:tcPr>
          <w:p w14:paraId="23ABA245">
            <w:pPr>
              <w:spacing w:line="240" w:lineRule="auto"/>
              <w:ind w:firstLine="0" w:firstLineChars="0"/>
              <w:jc w:val="center"/>
              <w:rPr>
                <w:color w:val="auto"/>
                <w:sz w:val="21"/>
                <w:szCs w:val="21"/>
              </w:rPr>
            </w:pPr>
            <w:r>
              <w:rPr>
                <w:rFonts w:hint="eastAsia"/>
                <w:color w:val="auto"/>
                <w:sz w:val="21"/>
                <w:szCs w:val="21"/>
              </w:rPr>
              <w:t>无</w:t>
            </w:r>
          </w:p>
        </w:tc>
      </w:tr>
      <w:tr w14:paraId="7B191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794F0C81">
            <w:pPr>
              <w:spacing w:line="240" w:lineRule="auto"/>
              <w:ind w:firstLine="0" w:firstLineChars="0"/>
              <w:jc w:val="center"/>
              <w:rPr>
                <w:color w:val="auto"/>
                <w:sz w:val="21"/>
                <w:szCs w:val="21"/>
              </w:rPr>
            </w:pPr>
            <w:r>
              <w:rPr>
                <w:rFonts w:hint="eastAsia"/>
                <w:color w:val="auto"/>
                <w:sz w:val="21"/>
                <w:szCs w:val="21"/>
              </w:rPr>
              <w:t>11</w:t>
            </w:r>
          </w:p>
        </w:tc>
        <w:tc>
          <w:tcPr>
            <w:tcW w:w="1087" w:type="pct"/>
            <w:tcBorders>
              <w:tl2br w:val="nil"/>
              <w:tr2bl w:val="nil"/>
            </w:tcBorders>
            <w:vAlign w:val="center"/>
          </w:tcPr>
          <w:p w14:paraId="689FACD4">
            <w:pPr>
              <w:spacing w:line="240" w:lineRule="auto"/>
              <w:ind w:firstLine="0" w:firstLineChars="0"/>
              <w:jc w:val="center"/>
              <w:rPr>
                <w:color w:val="auto"/>
                <w:sz w:val="21"/>
                <w:szCs w:val="21"/>
              </w:rPr>
            </w:pPr>
            <w:r>
              <w:rPr>
                <w:rFonts w:hint="eastAsia"/>
                <w:color w:val="auto"/>
                <w:sz w:val="21"/>
                <w:szCs w:val="21"/>
              </w:rPr>
              <w:t>排污口设置</w:t>
            </w:r>
          </w:p>
        </w:tc>
        <w:tc>
          <w:tcPr>
            <w:tcW w:w="3521" w:type="pct"/>
            <w:tcBorders>
              <w:tl2br w:val="nil"/>
              <w:tr2bl w:val="nil"/>
            </w:tcBorders>
            <w:vAlign w:val="center"/>
          </w:tcPr>
          <w:p w14:paraId="50B64244">
            <w:pPr>
              <w:spacing w:line="240" w:lineRule="auto"/>
              <w:ind w:firstLine="0" w:firstLineChars="0"/>
              <w:jc w:val="center"/>
              <w:rPr>
                <w:color w:val="auto"/>
                <w:sz w:val="21"/>
                <w:szCs w:val="21"/>
              </w:rPr>
            </w:pPr>
            <w:r>
              <w:rPr>
                <w:rFonts w:hint="eastAsia"/>
                <w:color w:val="auto"/>
                <w:sz w:val="21"/>
                <w:szCs w:val="21"/>
              </w:rPr>
              <w:t>厂区西厂界（东</w:t>
            </w:r>
            <w:r>
              <w:rPr>
                <w:color w:val="auto"/>
                <w:sz w:val="21"/>
                <w:szCs w:val="21"/>
              </w:rPr>
              <w:t>经119°12′42″，北纬</w:t>
            </w:r>
            <w:r>
              <w:rPr>
                <w:rFonts w:hint="eastAsia"/>
                <w:color w:val="auto"/>
                <w:sz w:val="21"/>
                <w:szCs w:val="21"/>
              </w:rPr>
              <w:t>34</w:t>
            </w:r>
            <w:r>
              <w:rPr>
                <w:color w:val="auto"/>
                <w:sz w:val="21"/>
                <w:szCs w:val="21"/>
              </w:rPr>
              <w:t>°</w:t>
            </w:r>
            <w:r>
              <w:rPr>
                <w:rFonts w:hint="eastAsia"/>
                <w:color w:val="auto"/>
                <w:sz w:val="21"/>
                <w:szCs w:val="21"/>
              </w:rPr>
              <w:t>44</w:t>
            </w:r>
            <w:r>
              <w:rPr>
                <w:color w:val="auto"/>
                <w:sz w:val="21"/>
                <w:szCs w:val="21"/>
              </w:rPr>
              <w:t>′</w:t>
            </w:r>
            <w:r>
              <w:rPr>
                <w:rFonts w:hint="eastAsia"/>
                <w:color w:val="auto"/>
                <w:sz w:val="21"/>
                <w:szCs w:val="21"/>
              </w:rPr>
              <w:t>57</w:t>
            </w:r>
            <w:r>
              <w:rPr>
                <w:color w:val="auto"/>
                <w:sz w:val="21"/>
                <w:szCs w:val="21"/>
              </w:rPr>
              <w:t>″</w:t>
            </w:r>
            <w:r>
              <w:rPr>
                <w:rFonts w:hint="eastAsia"/>
                <w:color w:val="auto"/>
                <w:sz w:val="21"/>
                <w:szCs w:val="21"/>
              </w:rPr>
              <w:t>）</w:t>
            </w:r>
          </w:p>
        </w:tc>
      </w:tr>
      <w:tr w14:paraId="5DE98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0BB5E451">
            <w:pPr>
              <w:spacing w:line="240" w:lineRule="auto"/>
              <w:ind w:firstLine="0" w:firstLineChars="0"/>
              <w:jc w:val="center"/>
              <w:rPr>
                <w:color w:val="auto"/>
                <w:sz w:val="21"/>
                <w:szCs w:val="21"/>
              </w:rPr>
            </w:pPr>
            <w:r>
              <w:rPr>
                <w:rFonts w:hint="eastAsia"/>
                <w:color w:val="auto"/>
                <w:sz w:val="21"/>
                <w:szCs w:val="21"/>
              </w:rPr>
              <w:t>12</w:t>
            </w:r>
          </w:p>
        </w:tc>
        <w:tc>
          <w:tcPr>
            <w:tcW w:w="1087" w:type="pct"/>
            <w:tcBorders>
              <w:tl2br w:val="nil"/>
              <w:tr2bl w:val="nil"/>
            </w:tcBorders>
            <w:vAlign w:val="center"/>
          </w:tcPr>
          <w:p w14:paraId="5C04A49B">
            <w:pPr>
              <w:spacing w:line="240" w:lineRule="auto"/>
              <w:ind w:firstLine="0" w:firstLineChars="0"/>
              <w:jc w:val="center"/>
              <w:rPr>
                <w:color w:val="auto"/>
                <w:sz w:val="21"/>
                <w:szCs w:val="21"/>
              </w:rPr>
            </w:pPr>
            <w:r>
              <w:rPr>
                <w:rFonts w:hint="eastAsia"/>
                <w:color w:val="auto"/>
                <w:sz w:val="21"/>
                <w:szCs w:val="21"/>
              </w:rPr>
              <w:t>尾水去向</w:t>
            </w:r>
          </w:p>
        </w:tc>
        <w:tc>
          <w:tcPr>
            <w:tcW w:w="3521" w:type="pct"/>
            <w:tcBorders>
              <w:tl2br w:val="nil"/>
              <w:tr2bl w:val="nil"/>
            </w:tcBorders>
            <w:vAlign w:val="center"/>
          </w:tcPr>
          <w:p w14:paraId="392BBC74">
            <w:pPr>
              <w:spacing w:line="240" w:lineRule="auto"/>
              <w:ind w:firstLine="0" w:firstLineChars="0"/>
              <w:jc w:val="center"/>
              <w:rPr>
                <w:color w:val="auto"/>
                <w:sz w:val="21"/>
                <w:szCs w:val="21"/>
              </w:rPr>
            </w:pPr>
            <w:r>
              <w:rPr>
                <w:rFonts w:hint="eastAsia"/>
                <w:color w:val="auto"/>
                <w:sz w:val="21"/>
                <w:szCs w:val="21"/>
              </w:rPr>
              <w:t>尾水排入大浦河排污通道，后经临洪河排入黄海</w:t>
            </w:r>
          </w:p>
        </w:tc>
      </w:tr>
      <w:tr w14:paraId="6E575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6323B914">
            <w:pPr>
              <w:spacing w:line="240" w:lineRule="auto"/>
              <w:ind w:firstLine="0" w:firstLineChars="0"/>
              <w:jc w:val="center"/>
              <w:rPr>
                <w:color w:val="auto"/>
                <w:sz w:val="21"/>
                <w:szCs w:val="21"/>
              </w:rPr>
            </w:pPr>
            <w:r>
              <w:rPr>
                <w:rFonts w:hint="eastAsia"/>
                <w:color w:val="auto"/>
                <w:sz w:val="21"/>
                <w:szCs w:val="21"/>
              </w:rPr>
              <w:t>13</w:t>
            </w:r>
          </w:p>
        </w:tc>
        <w:tc>
          <w:tcPr>
            <w:tcW w:w="1087" w:type="pct"/>
            <w:tcBorders>
              <w:tl2br w:val="nil"/>
              <w:tr2bl w:val="nil"/>
            </w:tcBorders>
            <w:vAlign w:val="center"/>
          </w:tcPr>
          <w:p w14:paraId="6C801B4A">
            <w:pPr>
              <w:spacing w:line="240" w:lineRule="auto"/>
              <w:ind w:firstLine="0" w:firstLineChars="0"/>
              <w:jc w:val="center"/>
              <w:rPr>
                <w:color w:val="auto"/>
                <w:sz w:val="21"/>
                <w:szCs w:val="21"/>
              </w:rPr>
            </w:pPr>
            <w:r>
              <w:rPr>
                <w:rFonts w:hint="eastAsia"/>
                <w:color w:val="auto"/>
                <w:sz w:val="21"/>
                <w:szCs w:val="21"/>
              </w:rPr>
              <w:t>尾水执行标准</w:t>
            </w:r>
          </w:p>
        </w:tc>
        <w:tc>
          <w:tcPr>
            <w:tcW w:w="3521" w:type="pct"/>
            <w:tcBorders>
              <w:tl2br w:val="nil"/>
              <w:tr2bl w:val="nil"/>
            </w:tcBorders>
            <w:vAlign w:val="center"/>
          </w:tcPr>
          <w:p w14:paraId="09A3DCB9">
            <w:pPr>
              <w:spacing w:line="240" w:lineRule="auto"/>
              <w:ind w:firstLine="0" w:firstLineChars="0"/>
              <w:jc w:val="center"/>
              <w:rPr>
                <w:color w:val="auto"/>
                <w:sz w:val="21"/>
                <w:szCs w:val="21"/>
              </w:rPr>
            </w:pPr>
            <w:r>
              <w:rPr>
                <w:color w:val="auto"/>
                <w:sz w:val="21"/>
                <w:szCs w:val="21"/>
              </w:rPr>
              <w:t>《城镇污水处理厂污染物排放标准》</w:t>
            </w:r>
            <w:r>
              <w:rPr>
                <w:rFonts w:hint="eastAsia"/>
                <w:color w:val="auto"/>
                <w:sz w:val="21"/>
                <w:szCs w:val="21"/>
              </w:rPr>
              <w:t>（</w:t>
            </w:r>
            <w:r>
              <w:rPr>
                <w:color w:val="auto"/>
                <w:sz w:val="21"/>
                <w:szCs w:val="21"/>
              </w:rPr>
              <w:t>GB18918-2002</w:t>
            </w:r>
            <w:r>
              <w:rPr>
                <w:rFonts w:hint="eastAsia"/>
                <w:color w:val="auto"/>
                <w:sz w:val="21"/>
                <w:szCs w:val="21"/>
              </w:rPr>
              <w:t>）</w:t>
            </w:r>
            <w:r>
              <w:rPr>
                <w:color w:val="auto"/>
                <w:sz w:val="21"/>
                <w:szCs w:val="21"/>
              </w:rPr>
              <w:t>中的一级A排放标准</w:t>
            </w:r>
          </w:p>
        </w:tc>
      </w:tr>
      <w:tr w14:paraId="2FE3F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shd w:val="clear" w:color="auto" w:fill="auto"/>
            <w:vAlign w:val="center"/>
          </w:tcPr>
          <w:p w14:paraId="28707D8F">
            <w:pPr>
              <w:spacing w:line="240" w:lineRule="auto"/>
              <w:ind w:firstLine="0" w:firstLineChars="0"/>
              <w:jc w:val="center"/>
              <w:rPr>
                <w:color w:val="auto"/>
                <w:sz w:val="21"/>
                <w:szCs w:val="21"/>
              </w:rPr>
            </w:pPr>
            <w:r>
              <w:rPr>
                <w:rFonts w:hint="eastAsia"/>
                <w:color w:val="auto"/>
                <w:sz w:val="21"/>
                <w:szCs w:val="21"/>
              </w:rPr>
              <w:t>14</w:t>
            </w:r>
          </w:p>
        </w:tc>
        <w:tc>
          <w:tcPr>
            <w:tcW w:w="1087" w:type="pct"/>
            <w:tcBorders>
              <w:tl2br w:val="nil"/>
              <w:tr2bl w:val="nil"/>
            </w:tcBorders>
            <w:vAlign w:val="center"/>
          </w:tcPr>
          <w:p w14:paraId="7E8D949D">
            <w:pPr>
              <w:spacing w:line="240" w:lineRule="auto"/>
              <w:ind w:firstLine="0" w:firstLineChars="0"/>
              <w:jc w:val="center"/>
              <w:rPr>
                <w:color w:val="auto"/>
                <w:sz w:val="21"/>
                <w:szCs w:val="21"/>
              </w:rPr>
            </w:pPr>
            <w:r>
              <w:rPr>
                <w:rFonts w:hint="eastAsia"/>
                <w:color w:val="auto"/>
                <w:sz w:val="21"/>
                <w:szCs w:val="21"/>
              </w:rPr>
              <w:t>在线监测装置</w:t>
            </w:r>
          </w:p>
        </w:tc>
        <w:tc>
          <w:tcPr>
            <w:tcW w:w="3521" w:type="pct"/>
            <w:tcBorders>
              <w:tl2br w:val="nil"/>
              <w:tr2bl w:val="nil"/>
            </w:tcBorders>
            <w:vAlign w:val="center"/>
          </w:tcPr>
          <w:p w14:paraId="188B37AF">
            <w:pPr>
              <w:spacing w:line="240" w:lineRule="auto"/>
              <w:ind w:firstLine="0" w:firstLineChars="0"/>
              <w:jc w:val="center"/>
              <w:rPr>
                <w:color w:val="auto"/>
                <w:sz w:val="21"/>
                <w:szCs w:val="21"/>
              </w:rPr>
            </w:pPr>
            <w:r>
              <w:rPr>
                <w:color w:val="auto"/>
                <w:sz w:val="21"/>
                <w:szCs w:val="21"/>
              </w:rPr>
              <w:t>已与省市区三级联网，①进口</w:t>
            </w:r>
            <w:r>
              <w:rPr>
                <w:rFonts w:hint="eastAsia"/>
                <w:color w:val="auto"/>
                <w:sz w:val="21"/>
                <w:szCs w:val="21"/>
              </w:rPr>
              <w:t>：</w:t>
            </w:r>
            <w:r>
              <w:rPr>
                <w:color w:val="auto"/>
                <w:sz w:val="21"/>
                <w:szCs w:val="21"/>
              </w:rPr>
              <w:t>pH、流量、化学需氧量、氨氮、总氮、总磷</w:t>
            </w:r>
            <w:r>
              <w:rPr>
                <w:rFonts w:hint="eastAsia"/>
                <w:color w:val="auto"/>
                <w:sz w:val="21"/>
                <w:szCs w:val="21"/>
              </w:rPr>
              <w:t>；</w:t>
            </w:r>
            <w:r>
              <w:rPr>
                <w:color w:val="auto"/>
                <w:sz w:val="21"/>
                <w:szCs w:val="21"/>
              </w:rPr>
              <w:t>②出口</w:t>
            </w:r>
            <w:r>
              <w:rPr>
                <w:rFonts w:hint="eastAsia"/>
                <w:color w:val="auto"/>
                <w:sz w:val="21"/>
                <w:szCs w:val="21"/>
              </w:rPr>
              <w:t>：</w:t>
            </w:r>
            <w:r>
              <w:rPr>
                <w:color w:val="auto"/>
                <w:sz w:val="21"/>
                <w:szCs w:val="21"/>
              </w:rPr>
              <w:t>pH、流量、化学需氧量、氨氮、总氮、总磷</w:t>
            </w:r>
          </w:p>
        </w:tc>
      </w:tr>
      <w:tr w14:paraId="3F06E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tcBorders>
              <w:tl2br w:val="nil"/>
              <w:tr2bl w:val="nil"/>
            </w:tcBorders>
            <w:vAlign w:val="center"/>
          </w:tcPr>
          <w:p w14:paraId="577D730C">
            <w:pPr>
              <w:spacing w:line="240" w:lineRule="auto"/>
              <w:ind w:firstLine="0" w:firstLineChars="0"/>
              <w:jc w:val="center"/>
              <w:rPr>
                <w:color w:val="auto"/>
                <w:sz w:val="21"/>
                <w:szCs w:val="21"/>
              </w:rPr>
            </w:pPr>
            <w:r>
              <w:rPr>
                <w:rFonts w:hint="eastAsia"/>
                <w:color w:val="auto"/>
                <w:sz w:val="21"/>
                <w:szCs w:val="21"/>
              </w:rPr>
              <w:t>15</w:t>
            </w:r>
          </w:p>
        </w:tc>
        <w:tc>
          <w:tcPr>
            <w:tcW w:w="1087" w:type="pct"/>
            <w:tcBorders>
              <w:tl2br w:val="nil"/>
              <w:tr2bl w:val="nil"/>
            </w:tcBorders>
            <w:vAlign w:val="center"/>
          </w:tcPr>
          <w:p w14:paraId="02B36AA8">
            <w:pPr>
              <w:spacing w:line="240" w:lineRule="auto"/>
              <w:ind w:firstLine="0" w:firstLineChars="0"/>
              <w:jc w:val="center"/>
              <w:rPr>
                <w:color w:val="auto"/>
                <w:sz w:val="21"/>
                <w:szCs w:val="21"/>
              </w:rPr>
            </w:pPr>
            <w:r>
              <w:rPr>
                <w:rFonts w:hint="eastAsia"/>
                <w:color w:val="auto"/>
                <w:sz w:val="21"/>
                <w:szCs w:val="21"/>
              </w:rPr>
              <w:t>污泥处置</w:t>
            </w:r>
          </w:p>
        </w:tc>
        <w:tc>
          <w:tcPr>
            <w:tcW w:w="3521" w:type="pct"/>
            <w:tcBorders>
              <w:tl2br w:val="nil"/>
              <w:tr2bl w:val="nil"/>
            </w:tcBorders>
            <w:vAlign w:val="center"/>
          </w:tcPr>
          <w:p w14:paraId="380F5399">
            <w:pPr>
              <w:spacing w:line="240" w:lineRule="auto"/>
              <w:ind w:firstLine="0" w:firstLineChars="0"/>
              <w:jc w:val="center"/>
              <w:rPr>
                <w:color w:val="auto"/>
                <w:sz w:val="21"/>
                <w:szCs w:val="21"/>
              </w:rPr>
            </w:pPr>
            <w:r>
              <w:rPr>
                <w:rFonts w:hint="eastAsia"/>
                <w:color w:val="auto"/>
                <w:sz w:val="21"/>
                <w:szCs w:val="21"/>
              </w:rPr>
              <w:t>污泥运至连云港晨兴环保垃圾焚烧发电厂进行焚烧处置</w:t>
            </w:r>
          </w:p>
        </w:tc>
      </w:tr>
    </w:tbl>
    <w:p w14:paraId="05E4A5B6">
      <w:pPr>
        <w:ind w:firstLine="480"/>
        <w:rPr>
          <w:color w:val="auto"/>
        </w:rPr>
      </w:pPr>
      <w:r>
        <w:rPr>
          <w:rFonts w:hint="eastAsia"/>
          <w:color w:val="auto"/>
        </w:rPr>
        <w:t>目前，本项目所在区域开发区临港污水处理厂污水管网已敷设到位，污水已在厂区南侧盐池西路接管。</w:t>
      </w:r>
    </w:p>
    <w:p w14:paraId="2FB5D816">
      <w:pPr>
        <w:ind w:firstLine="482"/>
        <w:rPr>
          <w:b/>
          <w:bCs/>
          <w:color w:val="auto"/>
        </w:rPr>
      </w:pPr>
      <w:r>
        <w:rPr>
          <w:b/>
          <w:bCs/>
          <w:color w:val="auto"/>
        </w:rPr>
        <w:t>3、供电工程</w:t>
      </w:r>
    </w:p>
    <w:p w14:paraId="6E2F9AD5">
      <w:pPr>
        <w:ind w:firstLine="480"/>
        <w:rPr>
          <w:color w:val="auto"/>
        </w:rPr>
      </w:pPr>
      <w:r>
        <w:rPr>
          <w:rFonts w:hint="eastAsia"/>
          <w:color w:val="auto"/>
        </w:rPr>
        <w:t>（1）</w:t>
      </w:r>
      <w:r>
        <w:rPr>
          <w:color w:val="auto"/>
        </w:rPr>
        <w:t>规划情况</w:t>
      </w:r>
    </w:p>
    <w:p w14:paraId="3353CB3A">
      <w:pPr>
        <w:ind w:firstLine="480"/>
        <w:rPr>
          <w:color w:val="auto"/>
        </w:rPr>
      </w:pPr>
      <w:r>
        <w:rPr>
          <w:color w:val="auto"/>
        </w:rPr>
        <w:t>规划区内新建10千伏变配电所应尽量采用附设式，尽量设在负荷中心，无条件的小区宜设置独立的变配电所，建筑物外观应与相邻环境协调。附设在高层建筑物内的变电所，宜设置在首层，并应考</w:t>
      </w:r>
      <w:r>
        <w:rPr>
          <w:rFonts w:hint="eastAsia"/>
          <w:color w:val="auto"/>
        </w:rPr>
        <w:t>虑基</w:t>
      </w:r>
      <w:r>
        <w:rPr>
          <w:color w:val="auto"/>
        </w:rPr>
        <w:t>层高度是否满足设备高度以及消防防火、通风的要求。</w:t>
      </w:r>
    </w:p>
    <w:p w14:paraId="30A82EA3">
      <w:pPr>
        <w:ind w:firstLine="480"/>
        <w:rPr>
          <w:color w:val="auto"/>
        </w:rPr>
      </w:pPr>
      <w:r>
        <w:rPr>
          <w:color w:val="auto"/>
        </w:rPr>
        <w:t>规划区内新规划的电缆排管原则上沿道路西、路南的绿化带或人行道下敷设规划区内主干道路上的电缆排管原则上按24孔的规格敷设，其他道路上一般按16孔、12孔的规格敷设，城市支路一般按8孔的规格敷设。电缆排管应随道路建设一次建成，避免道路重复开挖。</w:t>
      </w:r>
    </w:p>
    <w:p w14:paraId="3F11F064">
      <w:pPr>
        <w:ind w:firstLine="480"/>
        <w:rPr>
          <w:color w:val="auto"/>
        </w:rPr>
      </w:pPr>
      <w:r>
        <w:rPr>
          <w:rFonts w:hint="eastAsia"/>
          <w:color w:val="auto"/>
        </w:rPr>
        <w:t>（2）</w:t>
      </w:r>
      <w:r>
        <w:rPr>
          <w:color w:val="auto"/>
        </w:rPr>
        <w:t>建设现状</w:t>
      </w:r>
    </w:p>
    <w:p w14:paraId="2E40099E">
      <w:pPr>
        <w:ind w:firstLine="480"/>
        <w:rPr>
          <w:color w:val="auto"/>
        </w:rPr>
      </w:pPr>
      <w:r>
        <w:rPr>
          <w:color w:val="auto"/>
        </w:rPr>
        <w:t>项目厂区供电线路已配建到位。</w:t>
      </w:r>
    </w:p>
    <w:p w14:paraId="69BDAB57">
      <w:pPr>
        <w:ind w:firstLine="482"/>
        <w:rPr>
          <w:b/>
          <w:bCs/>
          <w:color w:val="auto"/>
        </w:rPr>
      </w:pPr>
      <w:r>
        <w:rPr>
          <w:rFonts w:hint="eastAsia"/>
          <w:b/>
          <w:bCs/>
          <w:color w:val="auto"/>
        </w:rPr>
        <w:t>4</w:t>
      </w:r>
      <w:r>
        <w:rPr>
          <w:b/>
          <w:bCs/>
          <w:color w:val="auto"/>
        </w:rPr>
        <w:t>、通信工程</w:t>
      </w:r>
    </w:p>
    <w:p w14:paraId="2C632A9C">
      <w:pPr>
        <w:ind w:firstLine="480"/>
        <w:rPr>
          <w:color w:val="auto"/>
        </w:rPr>
      </w:pPr>
      <w:r>
        <w:rPr>
          <w:rFonts w:hint="eastAsia"/>
          <w:color w:val="auto"/>
        </w:rPr>
        <w:t>（1）规划情况</w:t>
      </w:r>
    </w:p>
    <w:p w14:paraId="73665BC4">
      <w:pPr>
        <w:ind w:firstLine="480"/>
        <w:rPr>
          <w:color w:val="auto"/>
        </w:rPr>
      </w:pPr>
      <w:r>
        <w:rPr>
          <w:color w:val="auto"/>
        </w:rPr>
        <w:t>所有市政道路上均应规划有通信管道，规划区内各类通信线路均应统一敷设在通信管道内；管道容量按各类通信线路网远期发展需要确定。为了满足通信业务及线路敷设的需求，主干管道设置24孔，次干管道设置16孔、12孔，一般管道设置6孔。通信管道采用PVC塑料管或双壁波纹管，管径为φ114。通信管道原则上布置在道路西侧或北侧的人行道或绿化带下。通信管道应随道路建设一次建成，避免道路重复开挖。</w:t>
      </w:r>
    </w:p>
    <w:p w14:paraId="38DB57C7">
      <w:pPr>
        <w:numPr>
          <w:ilvl w:val="0"/>
          <w:numId w:val="22"/>
        </w:numPr>
        <w:ind w:firstLine="480"/>
        <w:rPr>
          <w:color w:val="auto"/>
        </w:rPr>
      </w:pPr>
      <w:r>
        <w:rPr>
          <w:rFonts w:hint="eastAsia"/>
          <w:color w:val="auto"/>
        </w:rPr>
        <w:t>建设现状</w:t>
      </w:r>
    </w:p>
    <w:p w14:paraId="51C34495">
      <w:pPr>
        <w:ind w:firstLine="480"/>
        <w:rPr>
          <w:color w:val="auto"/>
        </w:rPr>
      </w:pPr>
      <w:r>
        <w:rPr>
          <w:rFonts w:hint="eastAsia"/>
          <w:color w:val="auto"/>
        </w:rPr>
        <w:t>项目厂区通讯线路已配建到位。</w:t>
      </w:r>
    </w:p>
    <w:p w14:paraId="4B2AF96C">
      <w:pPr>
        <w:ind w:firstLine="482"/>
        <w:rPr>
          <w:b/>
          <w:bCs/>
          <w:color w:val="auto"/>
        </w:rPr>
      </w:pPr>
      <w:r>
        <w:rPr>
          <w:rFonts w:hint="eastAsia"/>
          <w:b/>
          <w:bCs/>
          <w:color w:val="auto"/>
        </w:rPr>
        <w:t>5</w:t>
      </w:r>
      <w:r>
        <w:rPr>
          <w:b/>
          <w:bCs/>
          <w:color w:val="auto"/>
        </w:rPr>
        <w:t>、燃气工程</w:t>
      </w:r>
    </w:p>
    <w:p w14:paraId="4AAF7049">
      <w:pPr>
        <w:ind w:firstLine="480"/>
        <w:rPr>
          <w:color w:val="auto"/>
        </w:rPr>
      </w:pPr>
      <w:r>
        <w:rPr>
          <w:rFonts w:hint="eastAsia"/>
          <w:color w:val="auto"/>
        </w:rPr>
        <w:t>（1）规划情况</w:t>
      </w:r>
    </w:p>
    <w:p w14:paraId="4773885F">
      <w:pPr>
        <w:ind w:firstLine="480"/>
        <w:rPr>
          <w:color w:val="auto"/>
        </w:rPr>
      </w:pPr>
      <w:r>
        <w:rPr>
          <w:color w:val="auto"/>
        </w:rPr>
        <w:t>根据“连云港天然气专规”，本片区燃气气种为天然气，气源引至各高中压调压站。工业用户从中压A级市政干管接管，经专用调压箱调压计量后供气；居民用户供气方式为经调压计量后低压进户使用；商业用户根据需要采用中－中压或中－低压调压计量后进户。</w:t>
      </w:r>
    </w:p>
    <w:p w14:paraId="364374E9">
      <w:pPr>
        <w:ind w:left="480" w:leftChars="200" w:firstLine="0" w:firstLineChars="0"/>
        <w:rPr>
          <w:color w:val="auto"/>
        </w:rPr>
      </w:pPr>
      <w:r>
        <w:rPr>
          <w:rFonts w:hint="eastAsia"/>
          <w:color w:val="auto"/>
        </w:rPr>
        <w:t>（2）建设现状</w:t>
      </w:r>
    </w:p>
    <w:p w14:paraId="54E8E4A9">
      <w:pPr>
        <w:ind w:firstLine="480"/>
        <w:rPr>
          <w:color w:val="auto"/>
        </w:rPr>
      </w:pPr>
      <w:r>
        <w:rPr>
          <w:rFonts w:hint="eastAsia"/>
          <w:color w:val="auto"/>
        </w:rPr>
        <w:t>临港产业区供气管网已配建到位，本项目可从中压A级市政干管接管，经专业调压箱调压计量后供气。</w:t>
      </w:r>
    </w:p>
    <w:p w14:paraId="05991551">
      <w:pPr>
        <w:ind w:firstLine="482"/>
        <w:rPr>
          <w:b/>
          <w:bCs/>
          <w:color w:val="auto"/>
        </w:rPr>
      </w:pPr>
      <w:r>
        <w:rPr>
          <w:rFonts w:hint="eastAsia"/>
          <w:b/>
          <w:bCs/>
          <w:color w:val="auto"/>
        </w:rPr>
        <w:t>6</w:t>
      </w:r>
      <w:r>
        <w:rPr>
          <w:b/>
          <w:bCs/>
          <w:color w:val="auto"/>
        </w:rPr>
        <w:t>、供热工程</w:t>
      </w:r>
    </w:p>
    <w:p w14:paraId="5CD389CF">
      <w:pPr>
        <w:ind w:firstLine="480"/>
        <w:rPr>
          <w:color w:val="auto"/>
        </w:rPr>
      </w:pPr>
      <w:r>
        <w:rPr>
          <w:rFonts w:hint="eastAsia"/>
          <w:color w:val="auto"/>
        </w:rPr>
        <w:t>（1）规划情况</w:t>
      </w:r>
    </w:p>
    <w:p w14:paraId="3A5AABAE">
      <w:pPr>
        <w:ind w:firstLine="480"/>
        <w:rPr>
          <w:color w:val="auto"/>
        </w:rPr>
      </w:pPr>
      <w:r>
        <w:rPr>
          <w:color w:val="auto"/>
        </w:rPr>
        <w:t>本规划区以晨兴热电厂和鑫能热电厂共同作为本规划范围的主供热源。同时鼓励范围内工业厂房建设采用建筑一体化太阳能光热利用、地下耦合热泵、生物质能高效利用等清洁能源技术作为优先供热热源。按热力网系统一次规划，分期实施的总体思路，热力管网采用枝状方式进行布置。</w:t>
      </w:r>
    </w:p>
    <w:p w14:paraId="4379181D">
      <w:pPr>
        <w:ind w:firstLine="480"/>
        <w:rPr>
          <w:color w:val="auto"/>
        </w:rPr>
      </w:pPr>
      <w:r>
        <w:rPr>
          <w:rFonts w:hint="eastAsia"/>
          <w:color w:val="auto"/>
        </w:rPr>
        <w:t>（2）建设现状</w:t>
      </w:r>
    </w:p>
    <w:p w14:paraId="179EEB93">
      <w:pPr>
        <w:ind w:firstLine="480"/>
        <w:rPr>
          <w:color w:val="auto"/>
        </w:rPr>
      </w:pPr>
      <w:r>
        <w:rPr>
          <w:color w:val="auto"/>
        </w:rPr>
        <w:t>开发区规划范围内集中供热设施为连云港晨兴环保产业有限公司和连云港鑫能污泥发电有限公司，并依托区域外连云港杰能新能源有限公司集中供热。供热设施基本情况详见表2.7.1</w:t>
      </w:r>
      <w:r>
        <w:rPr>
          <w:rFonts w:hint="eastAsia"/>
          <w:color w:val="auto"/>
        </w:rPr>
        <w:t>-3</w:t>
      </w:r>
      <w:r>
        <w:rPr>
          <w:color w:val="auto"/>
        </w:rPr>
        <w:t>。</w:t>
      </w:r>
    </w:p>
    <w:p w14:paraId="46C0347A">
      <w:pPr>
        <w:spacing w:line="240" w:lineRule="auto"/>
        <w:ind w:firstLine="0" w:firstLineChars="0"/>
        <w:jc w:val="center"/>
        <w:rPr>
          <w:b/>
          <w:bCs/>
          <w:color w:val="auto"/>
        </w:rPr>
      </w:pPr>
      <w:r>
        <w:rPr>
          <w:rFonts w:hint="eastAsia"/>
          <w:b/>
          <w:bCs/>
          <w:color w:val="auto"/>
        </w:rPr>
        <w:t>表2.7.1-3  开发区供热设施基本情况一览表</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060"/>
        <w:gridCol w:w="2842"/>
        <w:gridCol w:w="2012"/>
        <w:gridCol w:w="2327"/>
      </w:tblGrid>
      <w:tr w14:paraId="1547D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56AA1080">
            <w:pPr>
              <w:spacing w:line="240" w:lineRule="auto"/>
              <w:ind w:firstLine="0" w:firstLineChars="0"/>
              <w:jc w:val="center"/>
              <w:rPr>
                <w:b/>
                <w:bCs/>
                <w:color w:val="auto"/>
                <w:sz w:val="21"/>
                <w:szCs w:val="21"/>
              </w:rPr>
            </w:pPr>
            <w:r>
              <w:rPr>
                <w:rFonts w:hint="eastAsia"/>
                <w:b/>
                <w:bCs/>
                <w:color w:val="auto"/>
                <w:sz w:val="21"/>
                <w:szCs w:val="21"/>
              </w:rPr>
              <w:t>序号</w:t>
            </w:r>
          </w:p>
        </w:tc>
        <w:tc>
          <w:tcPr>
            <w:tcW w:w="1060" w:type="dxa"/>
            <w:tcBorders>
              <w:tl2br w:val="nil"/>
              <w:tr2bl w:val="nil"/>
            </w:tcBorders>
            <w:vAlign w:val="center"/>
          </w:tcPr>
          <w:p w14:paraId="5547D2B8">
            <w:pPr>
              <w:spacing w:line="240" w:lineRule="auto"/>
              <w:ind w:firstLine="0" w:firstLineChars="0"/>
              <w:jc w:val="center"/>
              <w:rPr>
                <w:b/>
                <w:bCs/>
                <w:color w:val="auto"/>
                <w:sz w:val="21"/>
                <w:szCs w:val="21"/>
              </w:rPr>
            </w:pPr>
            <w:r>
              <w:rPr>
                <w:rFonts w:hint="eastAsia"/>
                <w:b/>
                <w:bCs/>
                <w:color w:val="auto"/>
                <w:sz w:val="21"/>
                <w:szCs w:val="21"/>
              </w:rPr>
              <w:t>供热企业名称</w:t>
            </w:r>
          </w:p>
        </w:tc>
        <w:tc>
          <w:tcPr>
            <w:tcW w:w="2842" w:type="dxa"/>
            <w:tcBorders>
              <w:tl2br w:val="nil"/>
              <w:tr2bl w:val="nil"/>
            </w:tcBorders>
            <w:vAlign w:val="center"/>
          </w:tcPr>
          <w:p w14:paraId="3F6BBCFA">
            <w:pPr>
              <w:spacing w:line="240" w:lineRule="auto"/>
              <w:ind w:firstLine="0" w:firstLineChars="0"/>
              <w:jc w:val="center"/>
              <w:rPr>
                <w:b/>
                <w:bCs/>
                <w:color w:val="auto"/>
                <w:sz w:val="21"/>
                <w:szCs w:val="21"/>
              </w:rPr>
            </w:pPr>
            <w:r>
              <w:rPr>
                <w:rFonts w:hint="eastAsia"/>
                <w:b/>
                <w:bCs/>
                <w:color w:val="auto"/>
                <w:sz w:val="21"/>
                <w:szCs w:val="21"/>
              </w:rPr>
              <w:t>连云港杰能新能源有限公司</w:t>
            </w:r>
          </w:p>
        </w:tc>
        <w:tc>
          <w:tcPr>
            <w:tcW w:w="2012" w:type="dxa"/>
            <w:tcBorders>
              <w:tl2br w:val="nil"/>
              <w:tr2bl w:val="nil"/>
            </w:tcBorders>
            <w:vAlign w:val="center"/>
          </w:tcPr>
          <w:p w14:paraId="233D9E63">
            <w:pPr>
              <w:spacing w:line="240" w:lineRule="auto"/>
              <w:ind w:firstLine="0" w:firstLineChars="0"/>
              <w:jc w:val="center"/>
              <w:rPr>
                <w:b/>
                <w:bCs/>
                <w:color w:val="auto"/>
                <w:sz w:val="21"/>
                <w:szCs w:val="21"/>
              </w:rPr>
            </w:pPr>
            <w:r>
              <w:rPr>
                <w:rFonts w:hint="eastAsia"/>
                <w:b/>
                <w:bCs/>
                <w:color w:val="auto"/>
                <w:sz w:val="21"/>
                <w:szCs w:val="21"/>
              </w:rPr>
              <w:t>连云港晨兴环保产业有限公司</w:t>
            </w:r>
          </w:p>
        </w:tc>
        <w:tc>
          <w:tcPr>
            <w:tcW w:w="2327" w:type="dxa"/>
            <w:tcBorders>
              <w:tl2br w:val="nil"/>
              <w:tr2bl w:val="nil"/>
            </w:tcBorders>
            <w:vAlign w:val="center"/>
          </w:tcPr>
          <w:p w14:paraId="0DF1EE18">
            <w:pPr>
              <w:spacing w:line="240" w:lineRule="auto"/>
              <w:ind w:firstLine="0" w:firstLineChars="0"/>
              <w:jc w:val="center"/>
              <w:rPr>
                <w:b/>
                <w:bCs/>
                <w:color w:val="auto"/>
                <w:sz w:val="21"/>
                <w:szCs w:val="21"/>
              </w:rPr>
            </w:pPr>
            <w:r>
              <w:rPr>
                <w:rFonts w:hint="eastAsia"/>
                <w:b/>
                <w:bCs/>
                <w:color w:val="auto"/>
                <w:sz w:val="21"/>
                <w:szCs w:val="21"/>
              </w:rPr>
              <w:t>连云港鑫能污泥发电有限公司</w:t>
            </w:r>
          </w:p>
        </w:tc>
      </w:tr>
      <w:tr w14:paraId="38AB2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7FEB8790">
            <w:pPr>
              <w:spacing w:line="240" w:lineRule="auto"/>
              <w:ind w:firstLine="0" w:firstLineChars="0"/>
              <w:jc w:val="center"/>
              <w:rPr>
                <w:color w:val="auto"/>
                <w:sz w:val="21"/>
                <w:szCs w:val="21"/>
              </w:rPr>
            </w:pPr>
            <w:r>
              <w:rPr>
                <w:rFonts w:hint="eastAsia"/>
                <w:color w:val="auto"/>
                <w:sz w:val="21"/>
                <w:szCs w:val="21"/>
              </w:rPr>
              <w:t>1</w:t>
            </w:r>
          </w:p>
        </w:tc>
        <w:tc>
          <w:tcPr>
            <w:tcW w:w="1060" w:type="dxa"/>
            <w:tcBorders>
              <w:tl2br w:val="nil"/>
              <w:tr2bl w:val="nil"/>
            </w:tcBorders>
            <w:vAlign w:val="center"/>
          </w:tcPr>
          <w:p w14:paraId="09BC8D29">
            <w:pPr>
              <w:spacing w:line="240" w:lineRule="auto"/>
              <w:ind w:firstLine="0" w:firstLineChars="0"/>
              <w:jc w:val="center"/>
              <w:rPr>
                <w:color w:val="auto"/>
                <w:sz w:val="21"/>
                <w:szCs w:val="21"/>
              </w:rPr>
            </w:pPr>
            <w:r>
              <w:rPr>
                <w:rFonts w:hint="eastAsia"/>
                <w:color w:val="auto"/>
                <w:sz w:val="21"/>
                <w:szCs w:val="21"/>
              </w:rPr>
              <w:t>建设地点</w:t>
            </w:r>
          </w:p>
        </w:tc>
        <w:tc>
          <w:tcPr>
            <w:tcW w:w="2842" w:type="dxa"/>
            <w:tcBorders>
              <w:tl2br w:val="nil"/>
              <w:tr2bl w:val="nil"/>
            </w:tcBorders>
            <w:vAlign w:val="center"/>
          </w:tcPr>
          <w:p w14:paraId="21801C76">
            <w:pPr>
              <w:spacing w:line="240" w:lineRule="auto"/>
              <w:ind w:firstLine="0" w:firstLineChars="0"/>
              <w:jc w:val="center"/>
              <w:rPr>
                <w:color w:val="auto"/>
                <w:sz w:val="21"/>
                <w:szCs w:val="21"/>
              </w:rPr>
            </w:pPr>
            <w:r>
              <w:rPr>
                <w:rFonts w:hint="eastAsia"/>
                <w:color w:val="auto"/>
                <w:sz w:val="21"/>
                <w:szCs w:val="21"/>
              </w:rPr>
              <w:t>连云港高新技术产业开发区宋跳工业区振兴路23号</w:t>
            </w:r>
          </w:p>
        </w:tc>
        <w:tc>
          <w:tcPr>
            <w:tcW w:w="2012" w:type="dxa"/>
            <w:tcBorders>
              <w:tl2br w:val="nil"/>
              <w:tr2bl w:val="nil"/>
            </w:tcBorders>
            <w:vAlign w:val="center"/>
          </w:tcPr>
          <w:p w14:paraId="4AD0A80B">
            <w:pPr>
              <w:spacing w:line="240" w:lineRule="auto"/>
              <w:ind w:firstLine="0" w:firstLineChars="0"/>
              <w:jc w:val="center"/>
              <w:rPr>
                <w:color w:val="auto"/>
                <w:sz w:val="21"/>
                <w:szCs w:val="21"/>
              </w:rPr>
            </w:pPr>
            <w:r>
              <w:rPr>
                <w:rFonts w:hint="eastAsia"/>
                <w:color w:val="auto"/>
                <w:sz w:val="21"/>
                <w:szCs w:val="21"/>
              </w:rPr>
              <w:t>连云港经济技术开发区大浦工业区云桥路20号</w:t>
            </w:r>
          </w:p>
        </w:tc>
        <w:tc>
          <w:tcPr>
            <w:tcW w:w="2327" w:type="dxa"/>
            <w:tcBorders>
              <w:tl2br w:val="nil"/>
              <w:tr2bl w:val="nil"/>
            </w:tcBorders>
            <w:vAlign w:val="center"/>
          </w:tcPr>
          <w:p w14:paraId="41CB8B48">
            <w:pPr>
              <w:spacing w:line="240" w:lineRule="auto"/>
              <w:ind w:firstLine="0" w:firstLineChars="0"/>
              <w:jc w:val="center"/>
              <w:rPr>
                <w:color w:val="auto"/>
                <w:sz w:val="21"/>
                <w:szCs w:val="21"/>
              </w:rPr>
            </w:pPr>
            <w:r>
              <w:rPr>
                <w:rFonts w:hint="eastAsia"/>
                <w:color w:val="auto"/>
                <w:sz w:val="21"/>
                <w:szCs w:val="21"/>
              </w:rPr>
              <w:t>连云港经济技术开发区珠江路4号</w:t>
            </w:r>
          </w:p>
        </w:tc>
      </w:tr>
      <w:tr w14:paraId="3C5E6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193C38DF">
            <w:pPr>
              <w:spacing w:line="240" w:lineRule="auto"/>
              <w:ind w:firstLine="0" w:firstLineChars="0"/>
              <w:jc w:val="center"/>
              <w:rPr>
                <w:color w:val="auto"/>
                <w:sz w:val="21"/>
                <w:szCs w:val="21"/>
              </w:rPr>
            </w:pPr>
            <w:r>
              <w:rPr>
                <w:rFonts w:hint="eastAsia"/>
                <w:color w:val="auto"/>
                <w:sz w:val="21"/>
                <w:szCs w:val="21"/>
              </w:rPr>
              <w:t>2</w:t>
            </w:r>
          </w:p>
        </w:tc>
        <w:tc>
          <w:tcPr>
            <w:tcW w:w="1060" w:type="dxa"/>
            <w:tcBorders>
              <w:tl2br w:val="nil"/>
              <w:tr2bl w:val="nil"/>
            </w:tcBorders>
            <w:vAlign w:val="center"/>
          </w:tcPr>
          <w:p w14:paraId="365E7C1C">
            <w:pPr>
              <w:spacing w:line="240" w:lineRule="auto"/>
              <w:ind w:firstLine="0" w:firstLineChars="0"/>
              <w:jc w:val="center"/>
              <w:rPr>
                <w:color w:val="auto"/>
                <w:sz w:val="21"/>
                <w:szCs w:val="21"/>
              </w:rPr>
            </w:pPr>
            <w:r>
              <w:rPr>
                <w:rFonts w:hint="eastAsia"/>
                <w:color w:val="auto"/>
                <w:sz w:val="21"/>
                <w:szCs w:val="21"/>
              </w:rPr>
              <w:t>设计规模</w:t>
            </w:r>
          </w:p>
        </w:tc>
        <w:tc>
          <w:tcPr>
            <w:tcW w:w="2842" w:type="dxa"/>
            <w:tcBorders>
              <w:tl2br w:val="nil"/>
              <w:tr2bl w:val="nil"/>
            </w:tcBorders>
            <w:vAlign w:val="center"/>
          </w:tcPr>
          <w:p w14:paraId="61CC0161">
            <w:pPr>
              <w:spacing w:line="240" w:lineRule="auto"/>
              <w:ind w:firstLine="0" w:firstLineChars="0"/>
              <w:jc w:val="center"/>
              <w:rPr>
                <w:color w:val="auto"/>
                <w:sz w:val="21"/>
                <w:szCs w:val="21"/>
              </w:rPr>
            </w:pPr>
            <w:r>
              <w:rPr>
                <w:rFonts w:hint="eastAsia"/>
                <w:color w:val="auto"/>
                <w:sz w:val="21"/>
                <w:szCs w:val="21"/>
              </w:rPr>
              <w:t>520t/h</w:t>
            </w:r>
          </w:p>
        </w:tc>
        <w:tc>
          <w:tcPr>
            <w:tcW w:w="2012" w:type="dxa"/>
            <w:tcBorders>
              <w:tl2br w:val="nil"/>
              <w:tr2bl w:val="nil"/>
            </w:tcBorders>
            <w:vAlign w:val="center"/>
          </w:tcPr>
          <w:p w14:paraId="6A5DE3D1">
            <w:pPr>
              <w:spacing w:line="240" w:lineRule="auto"/>
              <w:ind w:firstLine="0" w:firstLineChars="0"/>
              <w:jc w:val="center"/>
              <w:rPr>
                <w:color w:val="auto"/>
                <w:sz w:val="21"/>
                <w:szCs w:val="21"/>
              </w:rPr>
            </w:pPr>
            <w:r>
              <w:rPr>
                <w:rFonts w:hint="eastAsia"/>
                <w:color w:val="auto"/>
                <w:sz w:val="21"/>
                <w:szCs w:val="21"/>
              </w:rPr>
              <w:t>174.2t/h</w:t>
            </w:r>
          </w:p>
        </w:tc>
        <w:tc>
          <w:tcPr>
            <w:tcW w:w="2327" w:type="dxa"/>
            <w:tcBorders>
              <w:tl2br w:val="nil"/>
              <w:tr2bl w:val="nil"/>
            </w:tcBorders>
            <w:vAlign w:val="center"/>
          </w:tcPr>
          <w:p w14:paraId="2EF9B340">
            <w:pPr>
              <w:spacing w:line="240" w:lineRule="auto"/>
              <w:ind w:firstLine="0" w:firstLineChars="0"/>
              <w:jc w:val="center"/>
              <w:rPr>
                <w:color w:val="auto"/>
                <w:sz w:val="21"/>
                <w:szCs w:val="21"/>
              </w:rPr>
            </w:pPr>
            <w:r>
              <w:rPr>
                <w:rFonts w:hint="eastAsia"/>
                <w:color w:val="auto"/>
                <w:sz w:val="21"/>
                <w:szCs w:val="21"/>
              </w:rPr>
              <w:t>220t/h</w:t>
            </w:r>
          </w:p>
        </w:tc>
      </w:tr>
      <w:tr w14:paraId="73640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0DBF0CB7">
            <w:pPr>
              <w:spacing w:line="240" w:lineRule="auto"/>
              <w:ind w:firstLine="0" w:firstLineChars="0"/>
              <w:jc w:val="center"/>
              <w:rPr>
                <w:color w:val="auto"/>
                <w:sz w:val="21"/>
                <w:szCs w:val="21"/>
              </w:rPr>
            </w:pPr>
            <w:r>
              <w:rPr>
                <w:rFonts w:hint="eastAsia"/>
                <w:color w:val="auto"/>
                <w:sz w:val="21"/>
                <w:szCs w:val="21"/>
              </w:rPr>
              <w:t>3</w:t>
            </w:r>
          </w:p>
        </w:tc>
        <w:tc>
          <w:tcPr>
            <w:tcW w:w="1060" w:type="dxa"/>
            <w:tcBorders>
              <w:tl2br w:val="nil"/>
              <w:tr2bl w:val="nil"/>
            </w:tcBorders>
            <w:vAlign w:val="center"/>
          </w:tcPr>
          <w:p w14:paraId="75577609">
            <w:pPr>
              <w:spacing w:line="240" w:lineRule="auto"/>
              <w:ind w:firstLine="0" w:firstLineChars="0"/>
              <w:jc w:val="center"/>
              <w:rPr>
                <w:color w:val="auto"/>
                <w:sz w:val="21"/>
                <w:szCs w:val="21"/>
              </w:rPr>
            </w:pPr>
            <w:r>
              <w:rPr>
                <w:rFonts w:hint="eastAsia"/>
                <w:color w:val="auto"/>
                <w:sz w:val="21"/>
                <w:szCs w:val="21"/>
              </w:rPr>
              <w:t>已建规模</w:t>
            </w:r>
          </w:p>
        </w:tc>
        <w:tc>
          <w:tcPr>
            <w:tcW w:w="2842" w:type="dxa"/>
            <w:tcBorders>
              <w:tl2br w:val="nil"/>
              <w:tr2bl w:val="nil"/>
            </w:tcBorders>
            <w:vAlign w:val="center"/>
          </w:tcPr>
          <w:p w14:paraId="375821E5">
            <w:pPr>
              <w:spacing w:line="240" w:lineRule="auto"/>
              <w:ind w:firstLine="0" w:firstLineChars="0"/>
              <w:jc w:val="center"/>
              <w:rPr>
                <w:color w:val="auto"/>
                <w:sz w:val="21"/>
                <w:szCs w:val="21"/>
              </w:rPr>
            </w:pPr>
            <w:r>
              <w:rPr>
                <w:rFonts w:hint="eastAsia"/>
                <w:color w:val="auto"/>
                <w:sz w:val="21"/>
                <w:szCs w:val="21"/>
              </w:rPr>
              <w:t>520t/h</w:t>
            </w:r>
          </w:p>
        </w:tc>
        <w:tc>
          <w:tcPr>
            <w:tcW w:w="2012" w:type="dxa"/>
            <w:tcBorders>
              <w:tl2br w:val="nil"/>
              <w:tr2bl w:val="nil"/>
            </w:tcBorders>
            <w:vAlign w:val="center"/>
          </w:tcPr>
          <w:p w14:paraId="4B1913F3">
            <w:pPr>
              <w:spacing w:line="240" w:lineRule="auto"/>
              <w:ind w:firstLine="0" w:firstLineChars="0"/>
              <w:jc w:val="center"/>
              <w:rPr>
                <w:color w:val="auto"/>
                <w:sz w:val="21"/>
                <w:szCs w:val="21"/>
              </w:rPr>
            </w:pPr>
            <w:r>
              <w:rPr>
                <w:rFonts w:hint="eastAsia"/>
                <w:color w:val="auto"/>
                <w:sz w:val="21"/>
                <w:szCs w:val="21"/>
              </w:rPr>
              <w:t>174.2t/h</w:t>
            </w:r>
          </w:p>
        </w:tc>
        <w:tc>
          <w:tcPr>
            <w:tcW w:w="2327" w:type="dxa"/>
            <w:tcBorders>
              <w:tl2br w:val="nil"/>
              <w:tr2bl w:val="nil"/>
            </w:tcBorders>
            <w:vAlign w:val="center"/>
          </w:tcPr>
          <w:p w14:paraId="1C1F2F3D">
            <w:pPr>
              <w:spacing w:line="240" w:lineRule="auto"/>
              <w:ind w:firstLine="0" w:firstLineChars="0"/>
              <w:jc w:val="center"/>
              <w:rPr>
                <w:color w:val="auto"/>
                <w:sz w:val="21"/>
                <w:szCs w:val="21"/>
              </w:rPr>
            </w:pPr>
            <w:r>
              <w:rPr>
                <w:rFonts w:hint="eastAsia"/>
                <w:color w:val="auto"/>
                <w:sz w:val="21"/>
                <w:szCs w:val="21"/>
              </w:rPr>
              <w:t>145t/h</w:t>
            </w:r>
          </w:p>
        </w:tc>
      </w:tr>
      <w:tr w14:paraId="442B1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5FA54D6A">
            <w:pPr>
              <w:spacing w:line="240" w:lineRule="auto"/>
              <w:ind w:firstLine="0" w:firstLineChars="0"/>
              <w:jc w:val="center"/>
              <w:rPr>
                <w:color w:val="auto"/>
                <w:sz w:val="21"/>
                <w:szCs w:val="21"/>
              </w:rPr>
            </w:pPr>
            <w:r>
              <w:rPr>
                <w:rFonts w:hint="eastAsia"/>
                <w:color w:val="auto"/>
                <w:sz w:val="21"/>
                <w:szCs w:val="21"/>
              </w:rPr>
              <w:t>4</w:t>
            </w:r>
          </w:p>
        </w:tc>
        <w:tc>
          <w:tcPr>
            <w:tcW w:w="1060" w:type="dxa"/>
            <w:tcBorders>
              <w:tl2br w:val="nil"/>
              <w:tr2bl w:val="nil"/>
            </w:tcBorders>
            <w:vAlign w:val="center"/>
          </w:tcPr>
          <w:p w14:paraId="6397BE56">
            <w:pPr>
              <w:spacing w:line="240" w:lineRule="auto"/>
              <w:ind w:firstLine="0" w:firstLineChars="0"/>
              <w:jc w:val="center"/>
              <w:rPr>
                <w:color w:val="auto"/>
                <w:sz w:val="21"/>
                <w:szCs w:val="21"/>
              </w:rPr>
            </w:pPr>
            <w:r>
              <w:rPr>
                <w:rFonts w:hint="eastAsia"/>
                <w:color w:val="auto"/>
                <w:sz w:val="21"/>
                <w:szCs w:val="21"/>
              </w:rPr>
              <w:t>服务范围</w:t>
            </w:r>
          </w:p>
        </w:tc>
        <w:tc>
          <w:tcPr>
            <w:tcW w:w="2842" w:type="dxa"/>
            <w:tcBorders>
              <w:tl2br w:val="nil"/>
              <w:tr2bl w:val="nil"/>
            </w:tcBorders>
            <w:vAlign w:val="center"/>
          </w:tcPr>
          <w:p w14:paraId="4F6DD97C">
            <w:pPr>
              <w:spacing w:line="240" w:lineRule="auto"/>
              <w:ind w:firstLine="0" w:firstLineChars="0"/>
              <w:jc w:val="center"/>
              <w:rPr>
                <w:color w:val="auto"/>
                <w:sz w:val="21"/>
                <w:szCs w:val="21"/>
              </w:rPr>
            </w:pPr>
            <w:r>
              <w:rPr>
                <w:rFonts w:hint="eastAsia"/>
                <w:color w:val="auto"/>
                <w:sz w:val="21"/>
                <w:szCs w:val="21"/>
              </w:rPr>
              <w:t>东部城区供热、大浦片区供热、临港产业区西北片区</w:t>
            </w:r>
          </w:p>
        </w:tc>
        <w:tc>
          <w:tcPr>
            <w:tcW w:w="2012" w:type="dxa"/>
            <w:tcBorders>
              <w:tl2br w:val="nil"/>
              <w:tr2bl w:val="nil"/>
            </w:tcBorders>
            <w:vAlign w:val="center"/>
          </w:tcPr>
          <w:p w14:paraId="443D47A2">
            <w:pPr>
              <w:spacing w:line="240" w:lineRule="auto"/>
              <w:ind w:firstLine="0" w:firstLineChars="0"/>
              <w:jc w:val="center"/>
              <w:rPr>
                <w:color w:val="auto"/>
                <w:sz w:val="21"/>
                <w:szCs w:val="21"/>
              </w:rPr>
            </w:pPr>
            <w:r>
              <w:rPr>
                <w:rFonts w:hint="eastAsia"/>
                <w:color w:val="auto"/>
                <w:sz w:val="21"/>
                <w:szCs w:val="21"/>
              </w:rPr>
              <w:t>宋跳、大浦工业区、临港产业区西北片区</w:t>
            </w:r>
          </w:p>
        </w:tc>
        <w:tc>
          <w:tcPr>
            <w:tcW w:w="2327" w:type="dxa"/>
            <w:tcBorders>
              <w:tl2br w:val="nil"/>
              <w:tr2bl w:val="nil"/>
            </w:tcBorders>
            <w:vAlign w:val="center"/>
          </w:tcPr>
          <w:p w14:paraId="7DF1E6AB">
            <w:pPr>
              <w:spacing w:line="240" w:lineRule="auto"/>
              <w:ind w:firstLine="0" w:firstLineChars="0"/>
              <w:jc w:val="center"/>
              <w:rPr>
                <w:color w:val="auto"/>
                <w:sz w:val="21"/>
                <w:szCs w:val="21"/>
              </w:rPr>
            </w:pPr>
            <w:r>
              <w:rPr>
                <w:rFonts w:hint="eastAsia"/>
                <w:color w:val="auto"/>
                <w:sz w:val="21"/>
                <w:szCs w:val="21"/>
              </w:rPr>
              <w:t>一带一路国家物流园、江宁工业城、开发区扩区、出口加工区、开发区中心区</w:t>
            </w:r>
          </w:p>
        </w:tc>
      </w:tr>
      <w:tr w14:paraId="19968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4569913F">
            <w:pPr>
              <w:spacing w:line="240" w:lineRule="auto"/>
              <w:ind w:firstLine="0" w:firstLineChars="0"/>
              <w:jc w:val="center"/>
              <w:rPr>
                <w:color w:val="auto"/>
                <w:sz w:val="21"/>
                <w:szCs w:val="21"/>
              </w:rPr>
            </w:pPr>
            <w:r>
              <w:rPr>
                <w:rFonts w:hint="eastAsia"/>
                <w:color w:val="auto"/>
                <w:sz w:val="21"/>
                <w:szCs w:val="21"/>
              </w:rPr>
              <w:t>5</w:t>
            </w:r>
          </w:p>
        </w:tc>
        <w:tc>
          <w:tcPr>
            <w:tcW w:w="1060" w:type="dxa"/>
            <w:tcBorders>
              <w:tl2br w:val="nil"/>
              <w:tr2bl w:val="nil"/>
            </w:tcBorders>
            <w:vAlign w:val="center"/>
          </w:tcPr>
          <w:p w14:paraId="7DF60057">
            <w:pPr>
              <w:spacing w:line="240" w:lineRule="auto"/>
              <w:ind w:firstLine="0" w:firstLineChars="0"/>
              <w:jc w:val="center"/>
              <w:rPr>
                <w:color w:val="auto"/>
                <w:sz w:val="21"/>
                <w:szCs w:val="21"/>
              </w:rPr>
            </w:pPr>
            <w:r>
              <w:rPr>
                <w:rFonts w:hint="eastAsia"/>
                <w:color w:val="auto"/>
                <w:sz w:val="21"/>
                <w:szCs w:val="21"/>
              </w:rPr>
              <w:t>废气执行标准</w:t>
            </w:r>
          </w:p>
        </w:tc>
        <w:tc>
          <w:tcPr>
            <w:tcW w:w="2842" w:type="dxa"/>
            <w:tcBorders>
              <w:tl2br w:val="nil"/>
              <w:tr2bl w:val="nil"/>
            </w:tcBorders>
            <w:vAlign w:val="center"/>
          </w:tcPr>
          <w:p w14:paraId="6177FD5E">
            <w:pPr>
              <w:spacing w:line="240" w:lineRule="auto"/>
              <w:ind w:firstLine="0" w:firstLineChars="0"/>
              <w:jc w:val="center"/>
              <w:rPr>
                <w:color w:val="auto"/>
                <w:sz w:val="21"/>
                <w:szCs w:val="21"/>
              </w:rPr>
            </w:pPr>
            <w:r>
              <w:rPr>
                <w:rFonts w:hint="eastAsia"/>
                <w:color w:val="auto"/>
                <w:sz w:val="21"/>
                <w:szCs w:val="21"/>
              </w:rPr>
              <w:t>《火电厂大气污染物排放标准》（GB13223-2011）</w:t>
            </w:r>
          </w:p>
        </w:tc>
        <w:tc>
          <w:tcPr>
            <w:tcW w:w="2012" w:type="dxa"/>
            <w:tcBorders>
              <w:tl2br w:val="nil"/>
              <w:tr2bl w:val="nil"/>
            </w:tcBorders>
            <w:vAlign w:val="center"/>
          </w:tcPr>
          <w:p w14:paraId="533FF16A">
            <w:pPr>
              <w:spacing w:line="240" w:lineRule="auto"/>
              <w:ind w:firstLine="0" w:firstLineChars="0"/>
              <w:jc w:val="center"/>
              <w:rPr>
                <w:color w:val="auto"/>
                <w:sz w:val="21"/>
                <w:szCs w:val="21"/>
              </w:rPr>
            </w:pPr>
            <w:r>
              <w:rPr>
                <w:rFonts w:hint="eastAsia"/>
                <w:color w:val="auto"/>
                <w:sz w:val="21"/>
                <w:szCs w:val="21"/>
              </w:rPr>
              <w:t>《生活垃圾焚烧污染控制标准》（GB18485-2014）</w:t>
            </w:r>
          </w:p>
        </w:tc>
        <w:tc>
          <w:tcPr>
            <w:tcW w:w="2327" w:type="dxa"/>
            <w:tcBorders>
              <w:tl2br w:val="nil"/>
              <w:tr2bl w:val="nil"/>
            </w:tcBorders>
            <w:vAlign w:val="center"/>
          </w:tcPr>
          <w:p w14:paraId="571D496C">
            <w:pPr>
              <w:spacing w:line="240" w:lineRule="auto"/>
              <w:ind w:firstLine="0" w:firstLineChars="0"/>
              <w:jc w:val="center"/>
              <w:rPr>
                <w:color w:val="auto"/>
                <w:sz w:val="21"/>
                <w:szCs w:val="21"/>
              </w:rPr>
            </w:pPr>
            <w:r>
              <w:rPr>
                <w:rFonts w:hint="eastAsia"/>
                <w:color w:val="auto"/>
                <w:sz w:val="21"/>
                <w:szCs w:val="21"/>
              </w:rPr>
              <w:t>《火电厂大气污染物排放标准》（GB13223-2011）</w:t>
            </w:r>
          </w:p>
        </w:tc>
      </w:tr>
      <w:tr w14:paraId="41895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l2br w:val="nil"/>
              <w:tr2bl w:val="nil"/>
            </w:tcBorders>
            <w:vAlign w:val="center"/>
          </w:tcPr>
          <w:p w14:paraId="3FA742A5">
            <w:pPr>
              <w:spacing w:line="240" w:lineRule="auto"/>
              <w:ind w:firstLine="0" w:firstLineChars="0"/>
              <w:jc w:val="center"/>
              <w:rPr>
                <w:color w:val="auto"/>
                <w:sz w:val="21"/>
                <w:szCs w:val="21"/>
              </w:rPr>
            </w:pPr>
            <w:r>
              <w:rPr>
                <w:rFonts w:hint="eastAsia"/>
                <w:color w:val="auto"/>
                <w:sz w:val="21"/>
                <w:szCs w:val="21"/>
              </w:rPr>
              <w:t>6</w:t>
            </w:r>
          </w:p>
        </w:tc>
        <w:tc>
          <w:tcPr>
            <w:tcW w:w="1060" w:type="dxa"/>
            <w:tcBorders>
              <w:tl2br w:val="nil"/>
              <w:tr2bl w:val="nil"/>
            </w:tcBorders>
            <w:vAlign w:val="center"/>
          </w:tcPr>
          <w:p w14:paraId="0EB4828B">
            <w:pPr>
              <w:spacing w:line="240" w:lineRule="auto"/>
              <w:ind w:firstLine="0" w:firstLineChars="0"/>
              <w:jc w:val="center"/>
              <w:rPr>
                <w:color w:val="auto"/>
                <w:sz w:val="21"/>
                <w:szCs w:val="21"/>
              </w:rPr>
            </w:pPr>
            <w:r>
              <w:rPr>
                <w:rFonts w:hint="eastAsia"/>
                <w:color w:val="auto"/>
                <w:sz w:val="21"/>
                <w:szCs w:val="21"/>
              </w:rPr>
              <w:t>在线监测装置</w:t>
            </w:r>
          </w:p>
        </w:tc>
        <w:tc>
          <w:tcPr>
            <w:tcW w:w="2842" w:type="dxa"/>
            <w:tcBorders>
              <w:tl2br w:val="nil"/>
              <w:tr2bl w:val="nil"/>
            </w:tcBorders>
            <w:vAlign w:val="center"/>
          </w:tcPr>
          <w:p w14:paraId="3E00D6BA">
            <w:pPr>
              <w:spacing w:line="240" w:lineRule="auto"/>
              <w:ind w:firstLine="0" w:firstLineChars="0"/>
              <w:jc w:val="center"/>
              <w:rPr>
                <w:color w:val="auto"/>
                <w:sz w:val="21"/>
                <w:szCs w:val="21"/>
              </w:rPr>
            </w:pPr>
            <w:r>
              <w:rPr>
                <w:rFonts w:hint="eastAsia"/>
                <w:color w:val="auto"/>
                <w:sz w:val="21"/>
                <w:szCs w:val="21"/>
              </w:rPr>
              <w:t>已与省市区三级联网，颗粒物、SO</w:t>
            </w:r>
            <w:r>
              <w:rPr>
                <w:rFonts w:hint="eastAsia"/>
                <w:color w:val="auto"/>
                <w:sz w:val="21"/>
                <w:szCs w:val="21"/>
                <w:vertAlign w:val="subscript"/>
              </w:rPr>
              <w:t>2</w:t>
            </w:r>
            <w:r>
              <w:rPr>
                <w:rFonts w:hint="eastAsia"/>
                <w:color w:val="auto"/>
                <w:sz w:val="21"/>
                <w:szCs w:val="21"/>
              </w:rPr>
              <w:t>和NO</w:t>
            </w:r>
            <w:r>
              <w:rPr>
                <w:rFonts w:hint="eastAsia"/>
                <w:color w:val="auto"/>
                <w:sz w:val="21"/>
                <w:szCs w:val="21"/>
                <w:vertAlign w:val="subscript"/>
              </w:rPr>
              <w:t>X</w:t>
            </w:r>
          </w:p>
        </w:tc>
        <w:tc>
          <w:tcPr>
            <w:tcW w:w="2012" w:type="dxa"/>
            <w:tcBorders>
              <w:tl2br w:val="nil"/>
              <w:tr2bl w:val="nil"/>
            </w:tcBorders>
            <w:vAlign w:val="center"/>
          </w:tcPr>
          <w:p w14:paraId="413A7B4E">
            <w:pPr>
              <w:spacing w:line="240" w:lineRule="auto"/>
              <w:ind w:firstLine="0" w:firstLineChars="0"/>
              <w:jc w:val="center"/>
              <w:rPr>
                <w:color w:val="auto"/>
                <w:sz w:val="21"/>
                <w:szCs w:val="21"/>
              </w:rPr>
            </w:pPr>
            <w:r>
              <w:rPr>
                <w:rFonts w:hint="eastAsia"/>
                <w:color w:val="auto"/>
                <w:sz w:val="21"/>
                <w:szCs w:val="21"/>
              </w:rPr>
              <w:t>已与省市区三级联网，颗粒物、SO</w:t>
            </w:r>
            <w:r>
              <w:rPr>
                <w:rFonts w:hint="eastAsia"/>
                <w:color w:val="auto"/>
                <w:sz w:val="21"/>
                <w:szCs w:val="21"/>
                <w:vertAlign w:val="subscript"/>
              </w:rPr>
              <w:t>2</w:t>
            </w:r>
            <w:r>
              <w:rPr>
                <w:rFonts w:hint="eastAsia"/>
                <w:color w:val="auto"/>
                <w:sz w:val="21"/>
                <w:szCs w:val="21"/>
              </w:rPr>
              <w:t>和NO</w:t>
            </w:r>
            <w:r>
              <w:rPr>
                <w:rFonts w:hint="eastAsia"/>
                <w:color w:val="auto"/>
                <w:sz w:val="21"/>
                <w:szCs w:val="21"/>
                <w:vertAlign w:val="subscript"/>
              </w:rPr>
              <w:t>X</w:t>
            </w:r>
          </w:p>
        </w:tc>
        <w:tc>
          <w:tcPr>
            <w:tcW w:w="2327" w:type="dxa"/>
            <w:tcBorders>
              <w:tl2br w:val="nil"/>
              <w:tr2bl w:val="nil"/>
            </w:tcBorders>
            <w:vAlign w:val="center"/>
          </w:tcPr>
          <w:p w14:paraId="7B994217">
            <w:pPr>
              <w:spacing w:line="240" w:lineRule="auto"/>
              <w:ind w:firstLine="0" w:firstLineChars="0"/>
              <w:jc w:val="center"/>
              <w:rPr>
                <w:color w:val="auto"/>
                <w:sz w:val="21"/>
                <w:szCs w:val="21"/>
              </w:rPr>
            </w:pPr>
            <w:r>
              <w:rPr>
                <w:rFonts w:hint="eastAsia"/>
                <w:color w:val="auto"/>
                <w:sz w:val="21"/>
                <w:szCs w:val="21"/>
              </w:rPr>
              <w:t>已与省市区三级联网，颗粒物、SO</w:t>
            </w:r>
            <w:r>
              <w:rPr>
                <w:rFonts w:hint="eastAsia"/>
                <w:color w:val="auto"/>
                <w:sz w:val="21"/>
                <w:szCs w:val="21"/>
                <w:vertAlign w:val="subscript"/>
              </w:rPr>
              <w:t>2</w:t>
            </w:r>
            <w:r>
              <w:rPr>
                <w:rFonts w:hint="eastAsia"/>
                <w:color w:val="auto"/>
                <w:sz w:val="21"/>
                <w:szCs w:val="21"/>
              </w:rPr>
              <w:t>和NO</w:t>
            </w:r>
            <w:r>
              <w:rPr>
                <w:rFonts w:hint="eastAsia"/>
                <w:color w:val="auto"/>
                <w:sz w:val="21"/>
                <w:szCs w:val="21"/>
                <w:vertAlign w:val="subscript"/>
              </w:rPr>
              <w:t>X</w:t>
            </w:r>
          </w:p>
        </w:tc>
      </w:tr>
    </w:tbl>
    <w:p w14:paraId="4CA6E345">
      <w:pPr>
        <w:ind w:firstLine="480"/>
        <w:rPr>
          <w:color w:val="auto"/>
        </w:rPr>
      </w:pPr>
      <w:r>
        <w:rPr>
          <w:color w:val="auto"/>
        </w:rPr>
        <w:t>①连云港晨兴环保产业有限公司</w:t>
      </w:r>
    </w:p>
    <w:p w14:paraId="3969A97B">
      <w:pPr>
        <w:ind w:firstLine="480"/>
        <w:rPr>
          <w:color w:val="auto"/>
        </w:rPr>
      </w:pPr>
      <w:r>
        <w:rPr>
          <w:color w:val="auto"/>
        </w:rPr>
        <w:t>连云港晨兴环保产业有限公司位于连云港经济技术开发区大浦工业区云桥路20号，成立于2005年7月</w:t>
      </w:r>
      <w:r>
        <w:rPr>
          <w:rFonts w:hint="eastAsia"/>
          <w:color w:val="auto"/>
        </w:rPr>
        <w:t>，</w:t>
      </w:r>
      <w:r>
        <w:rPr>
          <w:color w:val="auto"/>
        </w:rPr>
        <w:t>经过数次改扩建</w:t>
      </w:r>
      <w:r>
        <w:rPr>
          <w:rFonts w:hint="eastAsia"/>
          <w:color w:val="auto"/>
        </w:rPr>
        <w:t>，</w:t>
      </w:r>
      <w:r>
        <w:rPr>
          <w:color w:val="auto"/>
        </w:rPr>
        <w:t>现有建设规模为5炉3机</w:t>
      </w:r>
      <w:r>
        <w:rPr>
          <w:rFonts w:hint="eastAsia"/>
          <w:color w:val="auto"/>
        </w:rPr>
        <w:t>，</w:t>
      </w:r>
      <w:r>
        <w:rPr>
          <w:color w:val="auto"/>
        </w:rPr>
        <w:t>即2×300t</w:t>
      </w:r>
      <w:r>
        <w:rPr>
          <w:rFonts w:hint="eastAsia"/>
          <w:color w:val="auto"/>
        </w:rPr>
        <w:t>/</w:t>
      </w:r>
      <w:r>
        <w:rPr>
          <w:color w:val="auto"/>
        </w:rPr>
        <w:t>d循环流化床焚烧锅炉</w:t>
      </w:r>
      <w:r>
        <w:rPr>
          <w:rFonts w:hint="eastAsia"/>
          <w:color w:val="auto"/>
        </w:rPr>
        <w:t>（</w:t>
      </w:r>
      <w:r>
        <w:rPr>
          <w:color w:val="auto"/>
        </w:rPr>
        <w:t>1#、2#炉，目前已停运，拆除中，5#炉环评中要求1#、2#炉在5#炉建成后关停</w:t>
      </w:r>
      <w:r>
        <w:rPr>
          <w:rFonts w:hint="eastAsia"/>
          <w:color w:val="auto"/>
        </w:rPr>
        <w:t>，</w:t>
      </w:r>
      <w:r>
        <w:rPr>
          <w:color w:val="auto"/>
        </w:rPr>
        <w:t>并在2年内拆除</w:t>
      </w:r>
      <w:r>
        <w:rPr>
          <w:rFonts w:hint="eastAsia"/>
          <w:color w:val="auto"/>
        </w:rPr>
        <w:t>，</w:t>
      </w:r>
      <w:r>
        <w:rPr>
          <w:color w:val="auto"/>
        </w:rPr>
        <w:t>5#炉正式建成验收时间为2022年7月</w:t>
      </w:r>
      <w:r>
        <w:rPr>
          <w:rFonts w:hint="eastAsia"/>
          <w:color w:val="auto"/>
        </w:rPr>
        <w:t>，</w:t>
      </w:r>
      <w:r>
        <w:rPr>
          <w:color w:val="auto"/>
        </w:rPr>
        <w:t>1#、2#炉需在2024年8月底前拆除完毕，目前1#、2#炉仍在拆除中，企业应尽快实施拆除计划，尽量在2024年8月底拆除完毕，因特殊原因需延长拆除期限的，应及时向上级环保部门报备</w:t>
      </w:r>
      <w:r>
        <w:rPr>
          <w:rFonts w:hint="eastAsia"/>
          <w:color w:val="auto"/>
        </w:rPr>
        <w:t>）</w:t>
      </w:r>
      <w:r>
        <w:rPr>
          <w:color w:val="auto"/>
        </w:rPr>
        <w:t>+1×700t</w:t>
      </w:r>
      <w:r>
        <w:rPr>
          <w:rFonts w:hint="eastAsia"/>
          <w:color w:val="auto"/>
        </w:rPr>
        <w:t>/</w:t>
      </w:r>
      <w:r>
        <w:rPr>
          <w:color w:val="auto"/>
        </w:rPr>
        <w:t>d循环流化床烧锅炉</w:t>
      </w:r>
      <w:r>
        <w:rPr>
          <w:rFonts w:hint="eastAsia"/>
          <w:color w:val="auto"/>
        </w:rPr>
        <w:t>（</w:t>
      </w:r>
      <w:r>
        <w:rPr>
          <w:color w:val="auto"/>
        </w:rPr>
        <w:t>3#炉</w:t>
      </w:r>
      <w:r>
        <w:rPr>
          <w:rFonts w:hint="eastAsia"/>
          <w:color w:val="auto"/>
        </w:rPr>
        <w:t>）</w:t>
      </w:r>
      <w:r>
        <w:rPr>
          <w:color w:val="auto"/>
        </w:rPr>
        <w:t>+1×505t</w:t>
      </w:r>
      <w:r>
        <w:rPr>
          <w:rFonts w:hint="eastAsia"/>
          <w:color w:val="auto"/>
        </w:rPr>
        <w:t>/</w:t>
      </w:r>
      <w:r>
        <w:rPr>
          <w:color w:val="auto"/>
        </w:rPr>
        <w:t>d循环流化床焚烧锅炉</w:t>
      </w:r>
      <w:r>
        <w:rPr>
          <w:rFonts w:hint="eastAsia"/>
          <w:color w:val="auto"/>
        </w:rPr>
        <w:t>（</w:t>
      </w:r>
      <w:r>
        <w:rPr>
          <w:color w:val="auto"/>
        </w:rPr>
        <w:t>4#炉</w:t>
      </w:r>
      <w:r>
        <w:rPr>
          <w:rFonts w:hint="eastAsia"/>
          <w:color w:val="auto"/>
        </w:rPr>
        <w:t>）</w:t>
      </w:r>
      <w:r>
        <w:rPr>
          <w:color w:val="auto"/>
        </w:rPr>
        <w:t>+1×750t</w:t>
      </w:r>
      <w:r>
        <w:rPr>
          <w:rFonts w:hint="eastAsia"/>
          <w:color w:val="auto"/>
        </w:rPr>
        <w:t>/</w:t>
      </w:r>
      <w:r>
        <w:rPr>
          <w:color w:val="auto"/>
        </w:rPr>
        <w:t>d机械炉排烧炉</w:t>
      </w:r>
      <w:r>
        <w:rPr>
          <w:rFonts w:hint="eastAsia"/>
          <w:color w:val="auto"/>
        </w:rPr>
        <w:t>（</w:t>
      </w:r>
      <w:r>
        <w:rPr>
          <w:color w:val="auto"/>
        </w:rPr>
        <w:t>5#炉，其中一般固废处置量不超过20%</w:t>
      </w:r>
      <w:r>
        <w:rPr>
          <w:rFonts w:hint="eastAsia"/>
          <w:color w:val="auto"/>
        </w:rPr>
        <w:t>）</w:t>
      </w:r>
      <w:r>
        <w:rPr>
          <w:color w:val="auto"/>
        </w:rPr>
        <w:t>，配套发电机组为1台12MW抽凝式、1台6MW背压式机组</w:t>
      </w:r>
      <w:r>
        <w:rPr>
          <w:rFonts w:hint="eastAsia"/>
          <w:color w:val="auto"/>
        </w:rPr>
        <w:t>（</w:t>
      </w:r>
      <w:r>
        <w:rPr>
          <w:color w:val="auto"/>
        </w:rPr>
        <w:t>使用母管制</w:t>
      </w:r>
      <w:r>
        <w:rPr>
          <w:rFonts w:hint="eastAsia"/>
          <w:color w:val="auto"/>
        </w:rPr>
        <w:t>）</w:t>
      </w:r>
      <w:r>
        <w:rPr>
          <w:color w:val="auto"/>
        </w:rPr>
        <w:t>和1台C35MW抽凝式汽轮发电机组，蒸汽参数均为中温中压</w:t>
      </w:r>
      <w:r>
        <w:rPr>
          <w:rFonts w:hint="eastAsia"/>
          <w:color w:val="auto"/>
        </w:rPr>
        <w:t>（</w:t>
      </w:r>
      <w:r>
        <w:rPr>
          <w:color w:val="auto"/>
        </w:rPr>
        <w:t>3.82MPa、450℃</w:t>
      </w:r>
      <w:r>
        <w:rPr>
          <w:rFonts w:hint="eastAsia"/>
          <w:color w:val="auto"/>
        </w:rPr>
        <w:t>）</w:t>
      </w:r>
      <w:r>
        <w:rPr>
          <w:color w:val="auto"/>
        </w:rPr>
        <w:t>。晨兴现状设计垃圾焚烧量最大为1955t</w:t>
      </w:r>
      <w:r>
        <w:rPr>
          <w:rFonts w:hint="eastAsia"/>
          <w:color w:val="auto"/>
        </w:rPr>
        <w:t>/</w:t>
      </w:r>
      <w:r>
        <w:rPr>
          <w:color w:val="auto"/>
        </w:rPr>
        <w:t>d，当生活垃圾量不足时，一般工业固废最大处理量为5#炉150t</w:t>
      </w:r>
      <w:r>
        <w:rPr>
          <w:rFonts w:hint="eastAsia"/>
          <w:color w:val="auto"/>
        </w:rPr>
        <w:t>/</w:t>
      </w:r>
      <w:r>
        <w:rPr>
          <w:color w:val="auto"/>
        </w:rPr>
        <w:t>d。上述3#、4#、5#焚烧炉均已通过验收，2023年企业收到的垃圾处理量约1200t</w:t>
      </w:r>
      <w:r>
        <w:rPr>
          <w:rFonts w:hint="eastAsia"/>
          <w:color w:val="auto"/>
        </w:rPr>
        <w:t>/</w:t>
      </w:r>
      <w:r>
        <w:rPr>
          <w:color w:val="auto"/>
        </w:rPr>
        <w:t>d</w:t>
      </w:r>
      <w:r>
        <w:rPr>
          <w:rFonts w:hint="eastAsia"/>
          <w:color w:val="auto"/>
        </w:rPr>
        <w:t>（</w:t>
      </w:r>
      <w:r>
        <w:rPr>
          <w:color w:val="auto"/>
        </w:rPr>
        <w:t>进炉量需去除20%滤液</w:t>
      </w:r>
      <w:r>
        <w:rPr>
          <w:rFonts w:hint="eastAsia"/>
          <w:color w:val="auto"/>
        </w:rPr>
        <w:t>，</w:t>
      </w:r>
      <w:r>
        <w:rPr>
          <w:color w:val="auto"/>
        </w:rPr>
        <w:t>因此实际进炉量约960t/d</w:t>
      </w:r>
      <w:r>
        <w:rPr>
          <w:rFonts w:hint="eastAsia"/>
          <w:color w:val="auto"/>
        </w:rPr>
        <w:t>，</w:t>
      </w:r>
      <w:r>
        <w:rPr>
          <w:color w:val="auto"/>
        </w:rPr>
        <w:t>下同</w:t>
      </w:r>
      <w:r>
        <w:rPr>
          <w:rFonts w:hint="eastAsia"/>
          <w:color w:val="auto"/>
        </w:rPr>
        <w:t>）</w:t>
      </w:r>
      <w:r>
        <w:rPr>
          <w:color w:val="auto"/>
        </w:rPr>
        <w:t>，由于垃圾供给量不足，现状厂区优先保证5#炉满负荷运行，3#炉和4#炉交替运行。公司于近期扩建了2台18t</w:t>
      </w:r>
      <w:r>
        <w:rPr>
          <w:rFonts w:hint="eastAsia"/>
          <w:color w:val="auto"/>
        </w:rPr>
        <w:t>/</w:t>
      </w:r>
      <w:r>
        <w:rPr>
          <w:color w:val="auto"/>
        </w:rPr>
        <w:t>h超低氨燃气冷凝蒸汽锅炉，天然气锅炉为备用锅炉，作为冬季补充和调峰使用，目前该项目仍处于建设阶段。</w:t>
      </w:r>
    </w:p>
    <w:p w14:paraId="25979E3D">
      <w:pPr>
        <w:ind w:firstLine="480"/>
        <w:rPr>
          <w:color w:val="auto"/>
        </w:rPr>
      </w:pPr>
      <w:r>
        <w:rPr>
          <w:color w:val="auto"/>
        </w:rPr>
        <w:t>晨兴5#炉在建成投产后，采用循环流化床垃圾烧炉技术的1#和2#炉已停运，目前正在拆除中。目前，同样采用循环流化床垃圾焚烧炉技术的3#和4#炉，由于燃烧系统、炉膛结构和烟风系统配置</w:t>
      </w:r>
      <w:r>
        <w:rPr>
          <w:rFonts w:hint="eastAsia"/>
          <w:color w:val="auto"/>
        </w:rPr>
        <w:t>（</w:t>
      </w:r>
      <w:r>
        <w:rPr>
          <w:color w:val="auto"/>
        </w:rPr>
        <w:t>包括运行期间不断地改造和完善</w:t>
      </w:r>
      <w:r>
        <w:rPr>
          <w:rFonts w:hint="eastAsia"/>
          <w:color w:val="auto"/>
        </w:rPr>
        <w:t>）</w:t>
      </w:r>
      <w:r>
        <w:rPr>
          <w:color w:val="auto"/>
        </w:rPr>
        <w:t>技术有限冲击负荷适应性有限，为了保证连续运行稳定性，需控制</w:t>
      </w:r>
      <w:r>
        <w:rPr>
          <w:rFonts w:hint="eastAsia"/>
          <w:color w:val="auto"/>
        </w:rPr>
        <w:t>（</w:t>
      </w:r>
      <w:r>
        <w:rPr>
          <w:color w:val="auto"/>
        </w:rPr>
        <w:t>降低</w:t>
      </w:r>
      <w:r>
        <w:rPr>
          <w:rFonts w:hint="eastAsia"/>
          <w:color w:val="auto"/>
        </w:rPr>
        <w:t>）</w:t>
      </w:r>
      <w:r>
        <w:rPr>
          <w:color w:val="auto"/>
        </w:rPr>
        <w:t>垃圾烧量，同时，相比炉排炉，流化床形式的焚烧炉腐蚀、磨损和结焦等故障率较高，系统连续运行的周期较短，导致启、停炉次数增加，也影响烟气达标排放的稳定性。为此，晨兴拟建设锅炉转型烟气提标改造项目，在现有厂区扩建1台850t</w:t>
      </w:r>
      <w:r>
        <w:rPr>
          <w:rFonts w:hint="eastAsia"/>
          <w:color w:val="auto"/>
        </w:rPr>
        <w:t>/</w:t>
      </w:r>
      <w:r>
        <w:rPr>
          <w:color w:val="auto"/>
        </w:rPr>
        <w:t>d机械炉排焚烧炉</w:t>
      </w:r>
      <w:r>
        <w:rPr>
          <w:rFonts w:hint="eastAsia"/>
          <w:color w:val="auto"/>
        </w:rPr>
        <w:t>（</w:t>
      </w:r>
      <w:r>
        <w:rPr>
          <w:color w:val="auto"/>
        </w:rPr>
        <w:t>6#炉</w:t>
      </w:r>
      <w:r>
        <w:rPr>
          <w:rFonts w:hint="eastAsia"/>
          <w:color w:val="auto"/>
        </w:rPr>
        <w:t>）</w:t>
      </w:r>
      <w:r>
        <w:rPr>
          <w:color w:val="auto"/>
        </w:rPr>
        <w:t>+1台中温中压余热锅炉，汽轮发电机利用已建的机组。6#炉处理生活垃圾、一般工业固废</w:t>
      </w:r>
      <w:r>
        <w:rPr>
          <w:rFonts w:hint="eastAsia"/>
          <w:color w:val="auto"/>
        </w:rPr>
        <w:t>（</w:t>
      </w:r>
      <w:r>
        <w:rPr>
          <w:color w:val="auto"/>
        </w:rPr>
        <w:t>含农林固废，下同，不再赘述</w:t>
      </w:r>
      <w:r>
        <w:rPr>
          <w:rFonts w:hint="eastAsia"/>
          <w:color w:val="auto"/>
        </w:rPr>
        <w:t>）</w:t>
      </w:r>
      <w:r>
        <w:rPr>
          <w:color w:val="auto"/>
        </w:rPr>
        <w:t>，一般工业固废处置量不超过50%</w:t>
      </w:r>
      <w:r>
        <w:rPr>
          <w:rFonts w:hint="eastAsia"/>
          <w:color w:val="auto"/>
        </w:rPr>
        <w:t>（</w:t>
      </w:r>
      <w:r>
        <w:rPr>
          <w:color w:val="auto"/>
        </w:rPr>
        <w:t>当生活垃圾量不足时掺烧一般固废</w:t>
      </w:r>
      <w:r>
        <w:rPr>
          <w:rFonts w:hint="eastAsia"/>
          <w:color w:val="auto"/>
        </w:rPr>
        <w:t>）</w:t>
      </w:r>
      <w:r>
        <w:rPr>
          <w:color w:val="auto"/>
        </w:rPr>
        <w:t>。烟气提标改造主要是以6#炉替代3#、4#炉，6#炉建成后，3#、4#炉停运</w:t>
      </w:r>
      <w:r>
        <w:rPr>
          <w:rFonts w:hint="eastAsia"/>
          <w:color w:val="auto"/>
        </w:rPr>
        <w:t>（</w:t>
      </w:r>
      <w:r>
        <w:rPr>
          <w:color w:val="auto"/>
        </w:rPr>
        <w:t>3#、4#炉具体拆除计划则根据政府要求或资源情况在厂区内考虑扩建机械炉排炉时进行</w:t>
      </w:r>
      <w:r>
        <w:rPr>
          <w:rFonts w:hint="eastAsia"/>
          <w:color w:val="auto"/>
        </w:rPr>
        <w:t>）</w:t>
      </w:r>
      <w:r>
        <w:rPr>
          <w:color w:val="auto"/>
        </w:rPr>
        <w:t>，电厂只运行2台炉排炉</w:t>
      </w:r>
      <w:r>
        <w:rPr>
          <w:rFonts w:hint="eastAsia"/>
          <w:color w:val="auto"/>
        </w:rPr>
        <w:t>（</w:t>
      </w:r>
      <w:r>
        <w:rPr>
          <w:color w:val="auto"/>
        </w:rPr>
        <w:t>即5#炉和本期6#炉</w:t>
      </w:r>
      <w:r>
        <w:rPr>
          <w:rFonts w:hint="eastAsia"/>
          <w:color w:val="auto"/>
        </w:rPr>
        <w:t>）</w:t>
      </w:r>
      <w:r>
        <w:rPr>
          <w:color w:val="auto"/>
        </w:rPr>
        <w:t>。全厂合计焚烧处理量最大为1600t</w:t>
      </w:r>
      <w:r>
        <w:rPr>
          <w:rFonts w:hint="eastAsia"/>
          <w:color w:val="auto"/>
        </w:rPr>
        <w:t>/</w:t>
      </w:r>
      <w:r>
        <w:rPr>
          <w:color w:val="auto"/>
        </w:rPr>
        <w:t>d(5#炉750t</w:t>
      </w:r>
      <w:r>
        <w:rPr>
          <w:rFonts w:hint="eastAsia"/>
          <w:color w:val="auto"/>
        </w:rPr>
        <w:t>/</w:t>
      </w:r>
      <w:r>
        <w:rPr>
          <w:color w:val="auto"/>
        </w:rPr>
        <w:t>d+6#炉850t</w:t>
      </w:r>
      <w:r>
        <w:rPr>
          <w:rFonts w:hint="eastAsia"/>
          <w:color w:val="auto"/>
        </w:rPr>
        <w:t>/</w:t>
      </w:r>
      <w:r>
        <w:rPr>
          <w:color w:val="auto"/>
        </w:rPr>
        <w:t>d，一般工业固废最大处理量合计为575t/d</w:t>
      </w:r>
      <w:r>
        <w:rPr>
          <w:rFonts w:hint="eastAsia"/>
          <w:color w:val="auto"/>
        </w:rPr>
        <w:t>：</w:t>
      </w:r>
      <w:r>
        <w:rPr>
          <w:color w:val="auto"/>
        </w:rPr>
        <w:t>5#炉150t</w:t>
      </w:r>
      <w:r>
        <w:rPr>
          <w:rFonts w:hint="eastAsia"/>
          <w:color w:val="auto"/>
        </w:rPr>
        <w:t>/</w:t>
      </w:r>
      <w:r>
        <w:rPr>
          <w:color w:val="auto"/>
        </w:rPr>
        <w:t>d+6#炉425t</w:t>
      </w:r>
      <w:r>
        <w:rPr>
          <w:rFonts w:hint="eastAsia"/>
          <w:color w:val="auto"/>
        </w:rPr>
        <w:t>/</w:t>
      </w:r>
      <w:r>
        <w:rPr>
          <w:color w:val="auto"/>
        </w:rPr>
        <w:t>d)，相比现状烧处理量</w:t>
      </w:r>
      <w:r>
        <w:rPr>
          <w:rFonts w:hint="eastAsia"/>
          <w:color w:val="auto"/>
        </w:rPr>
        <w:t>（</w:t>
      </w:r>
      <w:r>
        <w:rPr>
          <w:color w:val="auto"/>
        </w:rPr>
        <w:t>1955t/d</w:t>
      </w:r>
      <w:r>
        <w:rPr>
          <w:rFonts w:hint="eastAsia"/>
          <w:color w:val="auto"/>
        </w:rPr>
        <w:t>）</w:t>
      </w:r>
      <w:r>
        <w:rPr>
          <w:color w:val="auto"/>
        </w:rPr>
        <w:t>减少355t</w:t>
      </w:r>
      <w:r>
        <w:rPr>
          <w:rFonts w:hint="eastAsia"/>
          <w:color w:val="auto"/>
        </w:rPr>
        <w:t>/</w:t>
      </w:r>
      <w:r>
        <w:rPr>
          <w:color w:val="auto"/>
        </w:rPr>
        <w:t>d</w:t>
      </w:r>
      <w:r>
        <w:rPr>
          <w:rFonts w:hint="eastAsia"/>
          <w:color w:val="auto"/>
        </w:rPr>
        <w:t>，</w:t>
      </w:r>
      <w:r>
        <w:rPr>
          <w:color w:val="auto"/>
        </w:rPr>
        <w:t>全厂剩余的焚烧处理余量后续根据政府要求或资源情况在厂区内考虑扩建机械炉排炉。目前锅炉转型烟气提标改造项目处于建设阶段。</w:t>
      </w:r>
    </w:p>
    <w:p w14:paraId="449E59BC">
      <w:pPr>
        <w:ind w:firstLine="480"/>
        <w:rPr>
          <w:color w:val="auto"/>
        </w:rPr>
      </w:pPr>
      <w:r>
        <w:rPr>
          <w:color w:val="auto"/>
        </w:rPr>
        <w:t>晨兴环保主要供给宋跳、大浦工业区的工业生产用热</w:t>
      </w:r>
      <w:r>
        <w:rPr>
          <w:rFonts w:hint="eastAsia"/>
          <w:color w:val="auto"/>
        </w:rPr>
        <w:t>，</w:t>
      </w:r>
      <w:r>
        <w:rPr>
          <w:color w:val="auto"/>
        </w:rPr>
        <w:t>供热介质为蒸汽</w:t>
      </w:r>
      <w:r>
        <w:rPr>
          <w:rFonts w:hint="eastAsia"/>
          <w:color w:val="auto"/>
        </w:rPr>
        <w:t>（</w:t>
      </w:r>
      <w:r>
        <w:rPr>
          <w:color w:val="auto"/>
        </w:rPr>
        <w:t>0.98MP</w:t>
      </w:r>
      <w:r>
        <w:rPr>
          <w:rFonts w:hint="eastAsia"/>
          <w:color w:val="auto"/>
        </w:rPr>
        <w:t>，</w:t>
      </w:r>
      <w:r>
        <w:rPr>
          <w:color w:val="auto"/>
        </w:rPr>
        <w:t>300℃</w:t>
      </w:r>
      <w:r>
        <w:rPr>
          <w:rFonts w:hint="eastAsia"/>
          <w:color w:val="auto"/>
        </w:rPr>
        <w:t>）</w:t>
      </w:r>
      <w:r>
        <w:rPr>
          <w:color w:val="auto"/>
        </w:rPr>
        <w:t>。供热母管出厂后分为南北两线同时供热</w:t>
      </w:r>
      <w:r>
        <w:rPr>
          <w:rFonts w:hint="eastAsia"/>
          <w:color w:val="auto"/>
        </w:rPr>
        <w:t>，</w:t>
      </w:r>
      <w:r>
        <w:rPr>
          <w:color w:val="auto"/>
        </w:rPr>
        <w:t>北线管网DN450</w:t>
      </w:r>
      <w:r>
        <w:rPr>
          <w:rFonts w:hint="eastAsia"/>
          <w:color w:val="auto"/>
        </w:rPr>
        <w:t>，</w:t>
      </w:r>
      <w:r>
        <w:rPr>
          <w:color w:val="auto"/>
        </w:rPr>
        <w:t>南线管网DN400。目前已建供热管网17km</w:t>
      </w:r>
      <w:r>
        <w:rPr>
          <w:rFonts w:hint="eastAsia"/>
          <w:color w:val="auto"/>
        </w:rPr>
        <w:t>，</w:t>
      </w:r>
      <w:r>
        <w:rPr>
          <w:color w:val="auto"/>
        </w:rPr>
        <w:t>大浦片区内工业企业已全部接入供热管网</w:t>
      </w:r>
      <w:r>
        <w:rPr>
          <w:rFonts w:hint="eastAsia"/>
          <w:color w:val="auto"/>
        </w:rPr>
        <w:t>，</w:t>
      </w:r>
      <w:r>
        <w:rPr>
          <w:color w:val="auto"/>
        </w:rPr>
        <w:t>采取集中供热，全部淘汰燃煤锅炉。临港产</w:t>
      </w:r>
      <w:r>
        <w:rPr>
          <w:rFonts w:hint="eastAsia"/>
          <w:color w:val="auto"/>
        </w:rPr>
        <w:t>业园</w:t>
      </w:r>
      <w:r>
        <w:rPr>
          <w:color w:val="auto"/>
        </w:rPr>
        <w:t>区西北片区部分企业供热采用连云港晨兴环保产业有限公司供热，部分企业采用天然气锅炉供热，蒸汽管道尚未全部铺设到位。</w:t>
      </w:r>
    </w:p>
    <w:p w14:paraId="09E55765">
      <w:pPr>
        <w:ind w:firstLine="480"/>
        <w:rPr>
          <w:color w:val="auto"/>
        </w:rPr>
      </w:pPr>
      <w:r>
        <w:rPr>
          <w:color w:val="auto"/>
        </w:rPr>
        <w:t>②连云港鑫能污泥发电有限公司</w:t>
      </w:r>
    </w:p>
    <w:p w14:paraId="3E5665DA">
      <w:pPr>
        <w:ind w:firstLine="480"/>
        <w:rPr>
          <w:color w:val="auto"/>
        </w:rPr>
      </w:pPr>
      <w:r>
        <w:rPr>
          <w:color w:val="auto"/>
        </w:rPr>
        <w:t>连云港鑫能污泥发电有限公司隶属协鑫</w:t>
      </w:r>
      <w:r>
        <w:rPr>
          <w:rFonts w:hint="eastAsia"/>
          <w:color w:val="auto"/>
        </w:rPr>
        <w:t>（</w:t>
      </w:r>
      <w:r>
        <w:rPr>
          <w:color w:val="auto"/>
        </w:rPr>
        <w:t>集团</w:t>
      </w:r>
      <w:r>
        <w:rPr>
          <w:rFonts w:hint="eastAsia"/>
          <w:color w:val="auto"/>
        </w:rPr>
        <w:t>）</w:t>
      </w:r>
      <w:r>
        <w:rPr>
          <w:color w:val="auto"/>
        </w:rPr>
        <w:t>控股有限公司，是通过合法的拍卖程序取得破产企业“连云港海兴热电有限公司”全部资产后于2006年10月19日注册成立的独资企业。连云港鑫能污泥发电有限公司于2006年10月26日0时接管并继续运营原公司的热电业务。该公司地处连云港经济技术开发区珠江路4号期主要设备为2x35t/h</w:t>
      </w:r>
      <w:r>
        <w:rPr>
          <w:rFonts w:hint="eastAsia"/>
          <w:color w:val="auto"/>
        </w:rPr>
        <w:t>（</w:t>
      </w:r>
      <w:r>
        <w:rPr>
          <w:color w:val="auto"/>
        </w:rPr>
        <w:t>1#、2#</w:t>
      </w:r>
      <w:r>
        <w:rPr>
          <w:rFonts w:hint="eastAsia"/>
          <w:color w:val="auto"/>
        </w:rPr>
        <w:t>）</w:t>
      </w:r>
      <w:r>
        <w:rPr>
          <w:color w:val="auto"/>
        </w:rPr>
        <w:t>循环流化床锅炉及1台6MW汽轮发电机组，于2000年11月28日通过环评批复</w:t>
      </w:r>
      <w:r>
        <w:rPr>
          <w:rFonts w:hint="eastAsia"/>
          <w:color w:val="auto"/>
        </w:rPr>
        <w:t>（</w:t>
      </w:r>
      <w:r>
        <w:rPr>
          <w:color w:val="auto"/>
        </w:rPr>
        <w:t>连环管</w:t>
      </w:r>
      <w:r>
        <w:rPr>
          <w:rFonts w:hint="eastAsia"/>
          <w:color w:val="auto"/>
        </w:rPr>
        <w:t>〔</w:t>
      </w:r>
      <w:r>
        <w:rPr>
          <w:color w:val="auto"/>
        </w:rPr>
        <w:t>2000</w:t>
      </w:r>
      <w:r>
        <w:rPr>
          <w:rFonts w:hint="eastAsia"/>
          <w:color w:val="auto"/>
        </w:rPr>
        <w:t>〕</w:t>
      </w:r>
      <w:r>
        <w:rPr>
          <w:color w:val="auto"/>
        </w:rPr>
        <w:t>65号</w:t>
      </w:r>
      <w:r>
        <w:rPr>
          <w:rFonts w:hint="eastAsia"/>
          <w:color w:val="auto"/>
        </w:rPr>
        <w:t>）</w:t>
      </w:r>
      <w:r>
        <w:rPr>
          <w:color w:val="auto"/>
        </w:rPr>
        <w:t>，并于2002年5月建成投产由于海兴发电公司面临破产</w:t>
      </w:r>
      <w:r>
        <w:rPr>
          <w:rFonts w:hint="eastAsia"/>
          <w:color w:val="auto"/>
        </w:rPr>
        <w:t>，</w:t>
      </w:r>
      <w:r>
        <w:rPr>
          <w:color w:val="auto"/>
        </w:rPr>
        <w:t>一期项目未进行“三同时”验收。二期扩建1×75t</w:t>
      </w:r>
      <w:r>
        <w:rPr>
          <w:rFonts w:hint="eastAsia"/>
          <w:color w:val="auto"/>
        </w:rPr>
        <w:t>/</w:t>
      </w:r>
      <w:r>
        <w:rPr>
          <w:color w:val="auto"/>
        </w:rPr>
        <w:t>h</w:t>
      </w:r>
      <w:r>
        <w:rPr>
          <w:rFonts w:hint="eastAsia"/>
          <w:color w:val="auto"/>
        </w:rPr>
        <w:t>（</w:t>
      </w:r>
      <w:r>
        <w:rPr>
          <w:color w:val="auto"/>
        </w:rPr>
        <w:t>3#</w:t>
      </w:r>
      <w:r>
        <w:rPr>
          <w:rFonts w:hint="eastAsia"/>
          <w:color w:val="auto"/>
        </w:rPr>
        <w:t>）</w:t>
      </w:r>
      <w:r>
        <w:rPr>
          <w:color w:val="auto"/>
        </w:rPr>
        <w:t>循环流化床锅炉及1台15MW汽轮发电机组以及相配套的辅助设施2004年8月11日通过环评批复</w:t>
      </w:r>
      <w:r>
        <w:rPr>
          <w:rFonts w:hint="eastAsia"/>
          <w:color w:val="auto"/>
        </w:rPr>
        <w:t>（</w:t>
      </w:r>
      <w:r>
        <w:rPr>
          <w:color w:val="auto"/>
        </w:rPr>
        <w:t>连环发</w:t>
      </w:r>
      <w:r>
        <w:rPr>
          <w:rFonts w:hint="eastAsia"/>
          <w:color w:val="auto"/>
        </w:rPr>
        <w:t>〔</w:t>
      </w:r>
      <w:r>
        <w:rPr>
          <w:color w:val="auto"/>
        </w:rPr>
        <w:t>2004</w:t>
      </w:r>
      <w:r>
        <w:rPr>
          <w:rFonts w:hint="eastAsia"/>
          <w:color w:val="auto"/>
        </w:rPr>
        <w:t>〕</w:t>
      </w:r>
      <w:r>
        <w:rPr>
          <w:color w:val="auto"/>
        </w:rPr>
        <w:t>118号</w:t>
      </w:r>
      <w:r>
        <w:rPr>
          <w:rFonts w:hint="eastAsia"/>
          <w:color w:val="auto"/>
        </w:rPr>
        <w:t>）</w:t>
      </w:r>
      <w:r>
        <w:rPr>
          <w:color w:val="auto"/>
        </w:rPr>
        <w:t>，并于2008年5月建成投产，二期项目已于2008年5月19日通过验收</w:t>
      </w:r>
      <w:r>
        <w:rPr>
          <w:rFonts w:hint="eastAsia"/>
          <w:color w:val="auto"/>
        </w:rPr>
        <w:t>（</w:t>
      </w:r>
      <w:r>
        <w:rPr>
          <w:color w:val="auto"/>
        </w:rPr>
        <w:t>连环验</w:t>
      </w:r>
      <w:r>
        <w:rPr>
          <w:rFonts w:hint="eastAsia"/>
          <w:color w:val="auto"/>
        </w:rPr>
        <w:t>〔</w:t>
      </w:r>
      <w:r>
        <w:rPr>
          <w:color w:val="auto"/>
        </w:rPr>
        <w:t>2008</w:t>
      </w:r>
      <w:r>
        <w:rPr>
          <w:rFonts w:hint="eastAsia"/>
          <w:color w:val="auto"/>
        </w:rPr>
        <w:t>〕</w:t>
      </w:r>
      <w:r>
        <w:rPr>
          <w:color w:val="auto"/>
        </w:rPr>
        <w:t>17号</w:t>
      </w:r>
      <w:r>
        <w:rPr>
          <w:rFonts w:hint="eastAsia"/>
          <w:color w:val="auto"/>
        </w:rPr>
        <w:t>）</w:t>
      </w:r>
      <w:r>
        <w:rPr>
          <w:color w:val="auto"/>
        </w:rPr>
        <w:t>。</w:t>
      </w:r>
    </w:p>
    <w:p w14:paraId="138E43D3">
      <w:pPr>
        <w:ind w:firstLine="480"/>
        <w:rPr>
          <w:color w:val="auto"/>
        </w:rPr>
      </w:pPr>
      <w:r>
        <w:rPr>
          <w:color w:val="auto"/>
        </w:rPr>
        <w:t>连云港鑫能污泥发电有限公司目前主要供给开发区中心区的工业生产用热，供热介质为蒸汽</w:t>
      </w:r>
      <w:r>
        <w:rPr>
          <w:rFonts w:hint="eastAsia"/>
          <w:color w:val="auto"/>
        </w:rPr>
        <w:t>（</w:t>
      </w:r>
      <w:r>
        <w:rPr>
          <w:color w:val="auto"/>
        </w:rPr>
        <w:t>1.17MP、250</w:t>
      </w:r>
      <w:r>
        <w:rPr>
          <w:rFonts w:hint="eastAsia"/>
          <w:color w:val="auto"/>
        </w:rPr>
        <w:t>℃）：</w:t>
      </w:r>
      <w:r>
        <w:rPr>
          <w:color w:val="auto"/>
        </w:rPr>
        <w:t>设计供热总能力为220t</w:t>
      </w:r>
      <w:r>
        <w:rPr>
          <w:rFonts w:hint="eastAsia"/>
          <w:color w:val="auto"/>
        </w:rPr>
        <w:t>/</w:t>
      </w:r>
      <w:r>
        <w:rPr>
          <w:color w:val="auto"/>
        </w:rPr>
        <w:t>h，对外生产供热半径达到15公里。临港产业区西北片区东部和江宁工业城规划采用连云港鑫能污泥发电有限公司蒸汽进行供热，目前已有部分企业接入蒸汽管网，但仍有部分区域蒸汽管网尚未铺设到位。</w:t>
      </w:r>
    </w:p>
    <w:p w14:paraId="53CCB125">
      <w:pPr>
        <w:ind w:firstLine="480"/>
        <w:rPr>
          <w:color w:val="auto"/>
        </w:rPr>
      </w:pPr>
      <w:r>
        <w:rPr>
          <w:color w:val="auto"/>
        </w:rPr>
        <w:t>③连云港杰能新能源有限公司</w:t>
      </w:r>
    </w:p>
    <w:p w14:paraId="6EB4BAD2">
      <w:pPr>
        <w:ind w:firstLine="480"/>
        <w:rPr>
          <w:color w:val="auto"/>
        </w:rPr>
      </w:pPr>
      <w:r>
        <w:rPr>
          <w:color w:val="auto"/>
        </w:rPr>
        <w:t>连云港杰能新能源有限公司由罗盖特</w:t>
      </w:r>
      <w:r>
        <w:rPr>
          <w:rFonts w:hint="eastAsia"/>
          <w:color w:val="auto"/>
        </w:rPr>
        <w:t>（</w:t>
      </w:r>
      <w:r>
        <w:rPr>
          <w:color w:val="auto"/>
        </w:rPr>
        <w:t>中国</w:t>
      </w:r>
      <w:r>
        <w:rPr>
          <w:rFonts w:hint="eastAsia"/>
          <w:color w:val="auto"/>
        </w:rPr>
        <w:t>）</w:t>
      </w:r>
      <w:r>
        <w:rPr>
          <w:color w:val="auto"/>
        </w:rPr>
        <w:t>营养食品有限公司热电联产项目分设成立</w:t>
      </w:r>
      <w:r>
        <w:rPr>
          <w:rFonts w:hint="eastAsia"/>
          <w:color w:val="auto"/>
        </w:rPr>
        <w:t>，</w:t>
      </w:r>
      <w:r>
        <w:rPr>
          <w:color w:val="auto"/>
        </w:rPr>
        <w:t>位于连云港高新技术产业开发区宋跳工业区振兴路23号。设计建设规模</w:t>
      </w:r>
      <w:r>
        <w:rPr>
          <w:rFonts w:hint="eastAsia"/>
          <w:color w:val="auto"/>
        </w:rPr>
        <w:t>：</w:t>
      </w:r>
      <w:r>
        <w:rPr>
          <w:color w:val="auto"/>
        </w:rPr>
        <w:t>4×130t</w:t>
      </w:r>
      <w:r>
        <w:rPr>
          <w:rFonts w:hint="eastAsia"/>
          <w:color w:val="auto"/>
        </w:rPr>
        <w:t>/</w:t>
      </w:r>
      <w:r>
        <w:rPr>
          <w:color w:val="auto"/>
        </w:rPr>
        <w:t>h高温高压锅炉+2×CB15MW+1×CB25MW汽轮发电机组及其配套设施，于2016年6月28日通过环评批复</w:t>
      </w:r>
      <w:r>
        <w:rPr>
          <w:rFonts w:hint="eastAsia"/>
          <w:color w:val="auto"/>
        </w:rPr>
        <w:t>（</w:t>
      </w:r>
      <w:r>
        <w:rPr>
          <w:color w:val="auto"/>
        </w:rPr>
        <w:t>苏环审</w:t>
      </w:r>
      <w:r>
        <w:rPr>
          <w:rFonts w:hint="eastAsia"/>
          <w:color w:val="auto"/>
        </w:rPr>
        <w:t>〔</w:t>
      </w:r>
      <w:r>
        <w:rPr>
          <w:color w:val="auto"/>
        </w:rPr>
        <w:t>2016</w:t>
      </w:r>
      <w:r>
        <w:rPr>
          <w:rFonts w:hint="eastAsia"/>
          <w:color w:val="auto"/>
        </w:rPr>
        <w:t>〕</w:t>
      </w:r>
      <w:r>
        <w:rPr>
          <w:color w:val="auto"/>
        </w:rPr>
        <w:t>25号</w:t>
      </w:r>
      <w:r>
        <w:rPr>
          <w:rFonts w:hint="eastAsia"/>
          <w:color w:val="auto"/>
        </w:rPr>
        <w:t>）</w:t>
      </w:r>
      <w:r>
        <w:rPr>
          <w:color w:val="auto"/>
        </w:rPr>
        <w:t>，并于2019年建成投产项目</w:t>
      </w:r>
      <w:r>
        <w:rPr>
          <w:rFonts w:hint="eastAsia"/>
          <w:color w:val="auto"/>
        </w:rPr>
        <w:t>（</w:t>
      </w:r>
      <w:r>
        <w:rPr>
          <w:color w:val="auto"/>
        </w:rPr>
        <w:t>一步工程和二步工程</w:t>
      </w:r>
      <w:r>
        <w:rPr>
          <w:rFonts w:hint="eastAsia"/>
          <w:color w:val="auto"/>
        </w:rPr>
        <w:t>）</w:t>
      </w:r>
      <w:r>
        <w:rPr>
          <w:color w:val="auto"/>
        </w:rPr>
        <w:t>已于2020年10月通过自主验收。</w:t>
      </w:r>
    </w:p>
    <w:p w14:paraId="266FF716">
      <w:pPr>
        <w:ind w:firstLine="480"/>
        <w:rPr>
          <w:color w:val="auto"/>
        </w:rPr>
      </w:pPr>
      <w:r>
        <w:rPr>
          <w:color w:val="auto"/>
        </w:rPr>
        <w:t>连云港杰能新能源有限公司目前主要供给开发区大浦片区的工业生产用热，供热介质为蒸汽</w:t>
      </w:r>
      <w:r>
        <w:rPr>
          <w:rFonts w:hint="eastAsia"/>
          <w:color w:val="auto"/>
        </w:rPr>
        <w:t>（</w:t>
      </w:r>
      <w:r>
        <w:rPr>
          <w:color w:val="auto"/>
        </w:rPr>
        <w:t>9.81MP、540</w:t>
      </w:r>
      <w:r>
        <w:rPr>
          <w:rFonts w:hint="eastAsia"/>
          <w:color w:val="auto"/>
        </w:rPr>
        <w:t>℃）；</w:t>
      </w:r>
      <w:r>
        <w:rPr>
          <w:color w:val="auto"/>
        </w:rPr>
        <w:t>设计供热总能力为520t</w:t>
      </w:r>
      <w:r>
        <w:rPr>
          <w:rFonts w:hint="eastAsia"/>
          <w:color w:val="auto"/>
        </w:rPr>
        <w:t>/</w:t>
      </w:r>
      <w:r>
        <w:rPr>
          <w:color w:val="auto"/>
        </w:rPr>
        <w:t>h，对外生产供热半径达到15公里。大浦片区规划采用连云港杰能新能源有限公司和连云港晨兴环保产业有限公司蒸汽进行供热，目前已有部分企业接入蒸汽管网，但仍有部分区域蒸汽管网尚未铺设到位。</w:t>
      </w:r>
    </w:p>
    <w:p w14:paraId="3066D6F1">
      <w:pPr>
        <w:ind w:firstLine="480"/>
        <w:rPr>
          <w:color w:val="auto"/>
        </w:rPr>
      </w:pPr>
      <w:r>
        <w:rPr>
          <w:color w:val="auto"/>
        </w:rPr>
        <w:t>目前，临港产业区西北片区部分企业供热采用连云港晨兴环保产业有限公司、连云港鑫能污泥发电有限公司供热，部分企业采用天然气锅炉供热，项目区蒸汽管道尚未全部铺设到位。</w:t>
      </w:r>
    </w:p>
    <w:p w14:paraId="7450AE1E">
      <w:pPr>
        <w:ind w:firstLine="482"/>
        <w:rPr>
          <w:b/>
          <w:bCs/>
          <w:color w:val="auto"/>
        </w:rPr>
      </w:pPr>
      <w:r>
        <w:rPr>
          <w:rFonts w:hint="eastAsia"/>
          <w:b/>
          <w:bCs/>
          <w:color w:val="auto"/>
        </w:rPr>
        <w:t>7</w:t>
      </w:r>
      <w:r>
        <w:rPr>
          <w:b/>
          <w:bCs/>
          <w:color w:val="auto"/>
        </w:rPr>
        <w:t>、</w:t>
      </w:r>
      <w:r>
        <w:rPr>
          <w:rFonts w:hint="eastAsia"/>
          <w:b/>
          <w:bCs/>
          <w:color w:val="auto"/>
        </w:rPr>
        <w:t>固废处理、处置规划</w:t>
      </w:r>
    </w:p>
    <w:p w14:paraId="5634BB8B">
      <w:pPr>
        <w:ind w:firstLine="480"/>
        <w:rPr>
          <w:color w:val="auto"/>
        </w:rPr>
      </w:pPr>
      <w:r>
        <w:rPr>
          <w:rFonts w:hint="eastAsia"/>
          <w:color w:val="auto"/>
        </w:rPr>
        <w:t>（1）生活垃圾</w:t>
      </w:r>
    </w:p>
    <w:p w14:paraId="400BAD12">
      <w:pPr>
        <w:ind w:firstLine="480"/>
        <w:rPr>
          <w:color w:val="auto"/>
        </w:rPr>
      </w:pPr>
      <w:r>
        <w:rPr>
          <w:color w:val="auto"/>
        </w:rPr>
        <w:t>步建立严格的垃圾分类投放、密闭收集、压缩转运的收集处理系统，本次规划不单独设置垃圾转运站，垃圾收集采用“垃圾桶+压缩车”模式。垃圾桶设置间距为主干路、次干路</w:t>
      </w:r>
      <w:r>
        <w:rPr>
          <w:rFonts w:hint="eastAsia"/>
          <w:color w:val="auto"/>
        </w:rPr>
        <w:t>：</w:t>
      </w:r>
      <w:r>
        <w:rPr>
          <w:color w:val="auto"/>
        </w:rPr>
        <w:t>100</w:t>
      </w:r>
      <w:r>
        <w:rPr>
          <w:rFonts w:hint="eastAsia"/>
          <w:color w:val="auto"/>
        </w:rPr>
        <w:t>～</w:t>
      </w:r>
      <w:r>
        <w:rPr>
          <w:color w:val="auto"/>
        </w:rPr>
        <w:t>200米</w:t>
      </w:r>
      <w:r>
        <w:rPr>
          <w:rFonts w:hint="eastAsia"/>
          <w:color w:val="auto"/>
        </w:rPr>
        <w:t>；</w:t>
      </w:r>
      <w:r>
        <w:rPr>
          <w:color w:val="auto"/>
        </w:rPr>
        <w:t>支路</w:t>
      </w:r>
      <w:r>
        <w:rPr>
          <w:rFonts w:hint="eastAsia"/>
          <w:color w:val="auto"/>
        </w:rPr>
        <w:t>：</w:t>
      </w:r>
      <w:r>
        <w:rPr>
          <w:color w:val="auto"/>
        </w:rPr>
        <w:t>200</w:t>
      </w:r>
      <w:r>
        <w:rPr>
          <w:rFonts w:hint="eastAsia"/>
          <w:color w:val="auto"/>
        </w:rPr>
        <w:t>～</w:t>
      </w:r>
      <w:r>
        <w:rPr>
          <w:color w:val="auto"/>
        </w:rPr>
        <w:t>400米。</w:t>
      </w:r>
    </w:p>
    <w:p w14:paraId="1AFB62C2">
      <w:pPr>
        <w:ind w:firstLine="480"/>
        <w:rPr>
          <w:color w:val="auto"/>
        </w:rPr>
      </w:pPr>
      <w:r>
        <w:rPr>
          <w:color w:val="auto"/>
        </w:rPr>
        <w:t>生活垃圾经收集后由垃圾车送至晨兴热电厂焚烧处理。</w:t>
      </w:r>
    </w:p>
    <w:p w14:paraId="39087070">
      <w:pPr>
        <w:ind w:firstLine="480"/>
        <w:rPr>
          <w:color w:val="auto"/>
        </w:rPr>
      </w:pPr>
      <w:r>
        <w:rPr>
          <w:rFonts w:hint="eastAsia"/>
          <w:color w:val="auto"/>
        </w:rPr>
        <w:t>（2）</w:t>
      </w:r>
      <w:r>
        <w:rPr>
          <w:color w:val="auto"/>
        </w:rPr>
        <w:t>一般固废</w:t>
      </w:r>
    </w:p>
    <w:p w14:paraId="13CE48DD">
      <w:pPr>
        <w:ind w:firstLine="480"/>
        <w:rPr>
          <w:color w:val="auto"/>
        </w:rPr>
      </w:pPr>
      <w:r>
        <w:rPr>
          <w:color w:val="auto"/>
        </w:rPr>
        <w:t>根据园区产业定位，园区一般固废主要为废包装材料、废边角料、不合格品均具有一定的回收价值，作为废弃资源回收利用。园区一般固废综合利用率可达</w:t>
      </w:r>
      <w:r>
        <w:rPr>
          <w:rFonts w:hint="eastAsia"/>
          <w:color w:val="auto"/>
        </w:rPr>
        <w:t>100%。</w:t>
      </w:r>
    </w:p>
    <w:p w14:paraId="6BCE0765">
      <w:pPr>
        <w:ind w:firstLine="480"/>
        <w:rPr>
          <w:color w:val="auto"/>
        </w:rPr>
      </w:pPr>
      <w:r>
        <w:rPr>
          <w:rFonts w:hint="eastAsia"/>
          <w:color w:val="auto"/>
        </w:rPr>
        <w:t>（3）</w:t>
      </w:r>
      <w:r>
        <w:rPr>
          <w:color w:val="auto"/>
        </w:rPr>
        <w:t>危险废物</w:t>
      </w:r>
    </w:p>
    <w:p w14:paraId="59FEA7F9">
      <w:pPr>
        <w:ind w:firstLine="480"/>
        <w:rPr>
          <w:color w:val="auto"/>
        </w:rPr>
      </w:pPr>
      <w:r>
        <w:rPr>
          <w:color w:val="auto"/>
        </w:rPr>
        <w:t>连云港经济技术开发区不单独建设危险废物处置场所，危险废物的处置将结合连云港市危险废物处置规划，实施委外处置。目前，连云港市已建成</w:t>
      </w:r>
      <w:r>
        <w:rPr>
          <w:rFonts w:hint="eastAsia"/>
          <w:color w:val="auto"/>
        </w:rPr>
        <w:t>危险</w:t>
      </w:r>
      <w:r>
        <w:rPr>
          <w:color w:val="auto"/>
        </w:rPr>
        <w:t>废物处置设施项目30个。详见表2.7.1</w:t>
      </w:r>
      <w:r>
        <w:rPr>
          <w:rFonts w:hint="eastAsia"/>
          <w:color w:val="auto"/>
        </w:rPr>
        <w:t>-4</w:t>
      </w:r>
      <w:r>
        <w:rPr>
          <w:color w:val="auto"/>
        </w:rPr>
        <w:t>。园区危险废物根据形态、性质不同选取合适的方式委托处置。</w:t>
      </w:r>
    </w:p>
    <w:p w14:paraId="197EE615">
      <w:pPr>
        <w:spacing w:line="240" w:lineRule="auto"/>
        <w:ind w:firstLine="0" w:firstLineChars="0"/>
        <w:jc w:val="center"/>
        <w:rPr>
          <w:b/>
          <w:bCs/>
          <w:color w:val="auto"/>
        </w:rPr>
      </w:pPr>
      <w:r>
        <w:rPr>
          <w:rFonts w:hint="eastAsia"/>
          <w:b/>
          <w:bCs/>
          <w:color w:val="auto"/>
        </w:rPr>
        <w:t>表2.7.1-4  连云港市危废集中处置设施现状</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503"/>
        <w:gridCol w:w="1712"/>
        <w:gridCol w:w="4499"/>
      </w:tblGrid>
      <w:tr w14:paraId="3B8DC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344D7950">
            <w:pPr>
              <w:spacing w:line="240" w:lineRule="auto"/>
              <w:ind w:firstLine="0" w:firstLineChars="0"/>
              <w:jc w:val="center"/>
              <w:rPr>
                <w:b/>
                <w:bCs/>
                <w:color w:val="auto"/>
                <w:sz w:val="21"/>
                <w:szCs w:val="21"/>
              </w:rPr>
            </w:pPr>
            <w:r>
              <w:rPr>
                <w:rFonts w:hint="eastAsia"/>
                <w:b/>
                <w:bCs/>
                <w:color w:val="auto"/>
                <w:sz w:val="21"/>
                <w:szCs w:val="21"/>
              </w:rPr>
              <w:t>序号</w:t>
            </w:r>
          </w:p>
        </w:tc>
        <w:tc>
          <w:tcPr>
            <w:tcW w:w="2503" w:type="dxa"/>
            <w:tcBorders>
              <w:tl2br w:val="nil"/>
              <w:tr2bl w:val="nil"/>
            </w:tcBorders>
            <w:vAlign w:val="center"/>
          </w:tcPr>
          <w:p w14:paraId="1B33C90F">
            <w:pPr>
              <w:spacing w:line="240" w:lineRule="auto"/>
              <w:ind w:firstLine="0" w:firstLineChars="0"/>
              <w:jc w:val="center"/>
              <w:rPr>
                <w:b/>
                <w:bCs/>
                <w:color w:val="auto"/>
                <w:sz w:val="21"/>
                <w:szCs w:val="21"/>
              </w:rPr>
            </w:pPr>
            <w:r>
              <w:rPr>
                <w:rFonts w:hint="eastAsia"/>
                <w:b/>
                <w:bCs/>
                <w:color w:val="auto"/>
                <w:sz w:val="21"/>
                <w:szCs w:val="21"/>
              </w:rPr>
              <w:t>经营单位名称</w:t>
            </w:r>
          </w:p>
        </w:tc>
        <w:tc>
          <w:tcPr>
            <w:tcW w:w="1712" w:type="dxa"/>
            <w:tcBorders>
              <w:tl2br w:val="nil"/>
              <w:tr2bl w:val="nil"/>
            </w:tcBorders>
            <w:vAlign w:val="center"/>
          </w:tcPr>
          <w:p w14:paraId="2CB4F381">
            <w:pPr>
              <w:spacing w:line="240" w:lineRule="auto"/>
              <w:ind w:firstLine="0" w:firstLineChars="0"/>
              <w:jc w:val="center"/>
              <w:rPr>
                <w:b/>
                <w:bCs/>
                <w:color w:val="auto"/>
                <w:sz w:val="21"/>
                <w:szCs w:val="21"/>
              </w:rPr>
            </w:pPr>
            <w:r>
              <w:rPr>
                <w:rFonts w:hint="eastAsia"/>
                <w:b/>
                <w:bCs/>
                <w:color w:val="auto"/>
                <w:sz w:val="21"/>
                <w:szCs w:val="21"/>
              </w:rPr>
              <w:t>经营规模（吨/年）</w:t>
            </w:r>
          </w:p>
        </w:tc>
        <w:tc>
          <w:tcPr>
            <w:tcW w:w="4499" w:type="dxa"/>
            <w:tcBorders>
              <w:tl2br w:val="nil"/>
              <w:tr2bl w:val="nil"/>
            </w:tcBorders>
            <w:vAlign w:val="center"/>
          </w:tcPr>
          <w:p w14:paraId="34EE7867">
            <w:pPr>
              <w:spacing w:line="240" w:lineRule="auto"/>
              <w:ind w:firstLine="0" w:firstLineChars="0"/>
              <w:jc w:val="center"/>
              <w:rPr>
                <w:b/>
                <w:bCs/>
                <w:color w:val="auto"/>
                <w:sz w:val="21"/>
                <w:szCs w:val="21"/>
              </w:rPr>
            </w:pPr>
            <w:r>
              <w:rPr>
                <w:rFonts w:hint="eastAsia"/>
                <w:b/>
                <w:bCs/>
                <w:color w:val="auto"/>
                <w:sz w:val="21"/>
                <w:szCs w:val="21"/>
              </w:rPr>
              <w:t>类别</w:t>
            </w:r>
          </w:p>
        </w:tc>
      </w:tr>
      <w:tr w14:paraId="7C2DC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4927BF44">
            <w:pPr>
              <w:spacing w:line="240" w:lineRule="auto"/>
              <w:ind w:firstLine="0" w:firstLineChars="0"/>
              <w:jc w:val="center"/>
              <w:rPr>
                <w:color w:val="auto"/>
                <w:sz w:val="21"/>
                <w:szCs w:val="21"/>
              </w:rPr>
            </w:pPr>
            <w:r>
              <w:rPr>
                <w:rFonts w:hint="eastAsia"/>
                <w:color w:val="auto"/>
                <w:sz w:val="21"/>
                <w:szCs w:val="21"/>
              </w:rPr>
              <w:t>1</w:t>
            </w:r>
          </w:p>
        </w:tc>
        <w:tc>
          <w:tcPr>
            <w:tcW w:w="2503" w:type="dxa"/>
            <w:tcBorders>
              <w:tl2br w:val="nil"/>
              <w:tr2bl w:val="nil"/>
            </w:tcBorders>
            <w:vAlign w:val="center"/>
          </w:tcPr>
          <w:p w14:paraId="14E16F6B">
            <w:pPr>
              <w:spacing w:line="240" w:lineRule="auto"/>
              <w:ind w:firstLine="0" w:firstLineChars="0"/>
              <w:jc w:val="center"/>
              <w:rPr>
                <w:color w:val="auto"/>
                <w:sz w:val="21"/>
                <w:szCs w:val="21"/>
              </w:rPr>
            </w:pPr>
            <w:r>
              <w:rPr>
                <w:rFonts w:hint="eastAsia"/>
                <w:color w:val="auto"/>
                <w:sz w:val="21"/>
                <w:szCs w:val="21"/>
              </w:rPr>
              <w:t>连云港中再钢铁炉料有限公司</w:t>
            </w:r>
          </w:p>
        </w:tc>
        <w:tc>
          <w:tcPr>
            <w:tcW w:w="1712" w:type="dxa"/>
            <w:tcBorders>
              <w:tl2br w:val="nil"/>
              <w:tr2bl w:val="nil"/>
            </w:tcBorders>
            <w:vAlign w:val="center"/>
          </w:tcPr>
          <w:p w14:paraId="277C1BF0">
            <w:pPr>
              <w:spacing w:line="240" w:lineRule="auto"/>
              <w:ind w:firstLine="0" w:firstLineChars="0"/>
              <w:jc w:val="center"/>
              <w:rPr>
                <w:color w:val="auto"/>
                <w:sz w:val="21"/>
                <w:szCs w:val="21"/>
              </w:rPr>
            </w:pPr>
            <w:r>
              <w:rPr>
                <w:rFonts w:hint="eastAsia"/>
                <w:color w:val="auto"/>
                <w:sz w:val="21"/>
                <w:szCs w:val="21"/>
              </w:rPr>
              <w:t>40000</w:t>
            </w:r>
          </w:p>
        </w:tc>
        <w:tc>
          <w:tcPr>
            <w:tcW w:w="4499" w:type="dxa"/>
            <w:tcBorders>
              <w:tl2br w:val="nil"/>
              <w:tr2bl w:val="nil"/>
            </w:tcBorders>
            <w:vAlign w:val="center"/>
          </w:tcPr>
          <w:p w14:paraId="5F488547">
            <w:pPr>
              <w:spacing w:line="240" w:lineRule="auto"/>
              <w:ind w:firstLine="0" w:firstLineChars="0"/>
              <w:jc w:val="center"/>
              <w:rPr>
                <w:color w:val="auto"/>
                <w:sz w:val="21"/>
                <w:szCs w:val="21"/>
              </w:rPr>
            </w:pPr>
            <w:r>
              <w:rPr>
                <w:rFonts w:hint="eastAsia"/>
                <w:color w:val="auto"/>
                <w:sz w:val="21"/>
                <w:szCs w:val="21"/>
              </w:rPr>
              <w:t>HW49</w:t>
            </w:r>
          </w:p>
        </w:tc>
      </w:tr>
      <w:tr w14:paraId="0FA36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0406B268">
            <w:pPr>
              <w:spacing w:line="240" w:lineRule="auto"/>
              <w:ind w:firstLine="0" w:firstLineChars="0"/>
              <w:jc w:val="center"/>
              <w:rPr>
                <w:color w:val="auto"/>
                <w:sz w:val="21"/>
                <w:szCs w:val="21"/>
              </w:rPr>
            </w:pPr>
            <w:r>
              <w:rPr>
                <w:rFonts w:hint="eastAsia"/>
                <w:color w:val="auto"/>
                <w:sz w:val="21"/>
                <w:szCs w:val="21"/>
              </w:rPr>
              <w:t>2</w:t>
            </w:r>
          </w:p>
        </w:tc>
        <w:tc>
          <w:tcPr>
            <w:tcW w:w="2503" w:type="dxa"/>
            <w:tcBorders>
              <w:tl2br w:val="nil"/>
              <w:tr2bl w:val="nil"/>
            </w:tcBorders>
            <w:vAlign w:val="center"/>
          </w:tcPr>
          <w:p w14:paraId="0FF6FB5A">
            <w:pPr>
              <w:spacing w:line="240" w:lineRule="auto"/>
              <w:ind w:firstLine="0" w:firstLineChars="0"/>
              <w:jc w:val="center"/>
              <w:rPr>
                <w:color w:val="auto"/>
                <w:sz w:val="21"/>
                <w:szCs w:val="21"/>
              </w:rPr>
            </w:pPr>
            <w:r>
              <w:rPr>
                <w:rFonts w:hint="eastAsia"/>
                <w:color w:val="auto"/>
                <w:sz w:val="21"/>
                <w:szCs w:val="21"/>
              </w:rPr>
              <w:t>连云港赣榆六里桥创业园发展服务有限公司</w:t>
            </w:r>
          </w:p>
        </w:tc>
        <w:tc>
          <w:tcPr>
            <w:tcW w:w="1712" w:type="dxa"/>
            <w:tcBorders>
              <w:tl2br w:val="nil"/>
              <w:tr2bl w:val="nil"/>
            </w:tcBorders>
            <w:vAlign w:val="center"/>
          </w:tcPr>
          <w:p w14:paraId="11156EAF">
            <w:pPr>
              <w:spacing w:line="240" w:lineRule="auto"/>
              <w:ind w:firstLine="0" w:firstLineChars="0"/>
              <w:jc w:val="center"/>
              <w:rPr>
                <w:color w:val="auto"/>
                <w:sz w:val="21"/>
                <w:szCs w:val="21"/>
              </w:rPr>
            </w:pPr>
            <w:r>
              <w:rPr>
                <w:rFonts w:hint="eastAsia"/>
                <w:color w:val="auto"/>
                <w:sz w:val="21"/>
                <w:szCs w:val="21"/>
              </w:rPr>
              <w:t>8000</w:t>
            </w:r>
          </w:p>
        </w:tc>
        <w:tc>
          <w:tcPr>
            <w:tcW w:w="4499" w:type="dxa"/>
            <w:tcBorders>
              <w:tl2br w:val="nil"/>
              <w:tr2bl w:val="nil"/>
            </w:tcBorders>
            <w:vAlign w:val="center"/>
          </w:tcPr>
          <w:p w14:paraId="7E43F1E2">
            <w:pPr>
              <w:spacing w:line="240" w:lineRule="auto"/>
              <w:ind w:firstLine="0" w:firstLineChars="0"/>
              <w:jc w:val="center"/>
              <w:rPr>
                <w:color w:val="auto"/>
                <w:sz w:val="21"/>
                <w:szCs w:val="21"/>
              </w:rPr>
            </w:pPr>
            <w:r>
              <w:rPr>
                <w:rFonts w:hint="eastAsia"/>
                <w:color w:val="auto"/>
                <w:sz w:val="21"/>
                <w:szCs w:val="21"/>
              </w:rPr>
              <w:t>HW31</w:t>
            </w:r>
          </w:p>
        </w:tc>
      </w:tr>
      <w:tr w14:paraId="2CBC6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09EB5170">
            <w:pPr>
              <w:spacing w:line="240" w:lineRule="auto"/>
              <w:ind w:firstLine="0" w:firstLineChars="0"/>
              <w:jc w:val="center"/>
              <w:rPr>
                <w:color w:val="auto"/>
                <w:sz w:val="21"/>
                <w:szCs w:val="21"/>
              </w:rPr>
            </w:pPr>
            <w:r>
              <w:rPr>
                <w:rFonts w:hint="eastAsia"/>
                <w:color w:val="auto"/>
                <w:sz w:val="21"/>
                <w:szCs w:val="21"/>
              </w:rPr>
              <w:t>3</w:t>
            </w:r>
          </w:p>
        </w:tc>
        <w:tc>
          <w:tcPr>
            <w:tcW w:w="2503" w:type="dxa"/>
            <w:tcBorders>
              <w:tl2br w:val="nil"/>
              <w:tr2bl w:val="nil"/>
            </w:tcBorders>
            <w:vAlign w:val="center"/>
          </w:tcPr>
          <w:p w14:paraId="239FDB01">
            <w:pPr>
              <w:spacing w:line="240" w:lineRule="auto"/>
              <w:ind w:firstLine="0" w:firstLineChars="0"/>
              <w:jc w:val="center"/>
              <w:rPr>
                <w:color w:val="auto"/>
                <w:sz w:val="21"/>
                <w:szCs w:val="21"/>
              </w:rPr>
            </w:pPr>
            <w:r>
              <w:rPr>
                <w:rFonts w:hint="eastAsia"/>
                <w:color w:val="auto"/>
                <w:sz w:val="21"/>
                <w:szCs w:val="21"/>
              </w:rPr>
              <w:t>江苏致和再生资源利用有限公司</w:t>
            </w:r>
          </w:p>
        </w:tc>
        <w:tc>
          <w:tcPr>
            <w:tcW w:w="1712" w:type="dxa"/>
            <w:tcBorders>
              <w:tl2br w:val="nil"/>
              <w:tr2bl w:val="nil"/>
            </w:tcBorders>
            <w:vAlign w:val="center"/>
          </w:tcPr>
          <w:p w14:paraId="46A17A5F">
            <w:pPr>
              <w:spacing w:line="240" w:lineRule="auto"/>
              <w:ind w:firstLine="0" w:firstLineChars="0"/>
              <w:jc w:val="center"/>
              <w:rPr>
                <w:color w:val="auto"/>
                <w:sz w:val="21"/>
                <w:szCs w:val="21"/>
              </w:rPr>
            </w:pPr>
            <w:r>
              <w:rPr>
                <w:rFonts w:hint="eastAsia"/>
                <w:color w:val="auto"/>
                <w:sz w:val="21"/>
                <w:szCs w:val="21"/>
              </w:rPr>
              <w:t>15000</w:t>
            </w:r>
          </w:p>
        </w:tc>
        <w:tc>
          <w:tcPr>
            <w:tcW w:w="4499" w:type="dxa"/>
            <w:tcBorders>
              <w:tl2br w:val="nil"/>
              <w:tr2bl w:val="nil"/>
            </w:tcBorders>
            <w:vAlign w:val="center"/>
          </w:tcPr>
          <w:p w14:paraId="3BE07384">
            <w:pPr>
              <w:spacing w:line="240" w:lineRule="auto"/>
              <w:ind w:firstLine="0" w:firstLineChars="0"/>
              <w:jc w:val="center"/>
              <w:rPr>
                <w:color w:val="auto"/>
                <w:sz w:val="21"/>
                <w:szCs w:val="21"/>
              </w:rPr>
            </w:pPr>
            <w:r>
              <w:rPr>
                <w:rFonts w:hint="eastAsia"/>
                <w:color w:val="auto"/>
                <w:sz w:val="21"/>
                <w:szCs w:val="21"/>
              </w:rPr>
              <w:t>HW04、HW29、HW49、HW08、HW34</w:t>
            </w:r>
          </w:p>
        </w:tc>
      </w:tr>
      <w:tr w14:paraId="6B5C3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52328F3F">
            <w:pPr>
              <w:spacing w:line="240" w:lineRule="auto"/>
              <w:ind w:firstLine="0" w:firstLineChars="0"/>
              <w:jc w:val="center"/>
              <w:rPr>
                <w:color w:val="auto"/>
                <w:sz w:val="21"/>
                <w:szCs w:val="21"/>
              </w:rPr>
            </w:pPr>
            <w:r>
              <w:rPr>
                <w:rFonts w:hint="eastAsia"/>
                <w:color w:val="auto"/>
                <w:sz w:val="21"/>
                <w:szCs w:val="21"/>
              </w:rPr>
              <w:t>4</w:t>
            </w:r>
          </w:p>
        </w:tc>
        <w:tc>
          <w:tcPr>
            <w:tcW w:w="2503" w:type="dxa"/>
            <w:tcBorders>
              <w:tl2br w:val="nil"/>
              <w:tr2bl w:val="nil"/>
            </w:tcBorders>
            <w:vAlign w:val="center"/>
          </w:tcPr>
          <w:p w14:paraId="78AE4391">
            <w:pPr>
              <w:spacing w:line="240" w:lineRule="auto"/>
              <w:ind w:firstLine="0" w:firstLineChars="0"/>
              <w:jc w:val="center"/>
              <w:rPr>
                <w:color w:val="auto"/>
                <w:sz w:val="21"/>
                <w:szCs w:val="21"/>
              </w:rPr>
            </w:pPr>
            <w:r>
              <w:rPr>
                <w:rFonts w:hint="eastAsia"/>
                <w:color w:val="auto"/>
                <w:sz w:val="21"/>
                <w:szCs w:val="21"/>
              </w:rPr>
              <w:t>连云港坤鑫再生资源有限公司</w:t>
            </w:r>
          </w:p>
        </w:tc>
        <w:tc>
          <w:tcPr>
            <w:tcW w:w="1712" w:type="dxa"/>
            <w:tcBorders>
              <w:tl2br w:val="nil"/>
              <w:tr2bl w:val="nil"/>
            </w:tcBorders>
            <w:vAlign w:val="center"/>
          </w:tcPr>
          <w:p w14:paraId="50631027">
            <w:pPr>
              <w:spacing w:line="240" w:lineRule="auto"/>
              <w:ind w:firstLine="0" w:firstLineChars="0"/>
              <w:jc w:val="center"/>
              <w:rPr>
                <w:color w:val="auto"/>
                <w:sz w:val="21"/>
                <w:szCs w:val="21"/>
              </w:rPr>
            </w:pPr>
            <w:r>
              <w:rPr>
                <w:rFonts w:hint="eastAsia"/>
                <w:color w:val="auto"/>
                <w:sz w:val="21"/>
                <w:szCs w:val="21"/>
              </w:rPr>
              <w:t>20000</w:t>
            </w:r>
          </w:p>
        </w:tc>
        <w:tc>
          <w:tcPr>
            <w:tcW w:w="4499" w:type="dxa"/>
            <w:tcBorders>
              <w:tl2br w:val="nil"/>
              <w:tr2bl w:val="nil"/>
            </w:tcBorders>
            <w:vAlign w:val="center"/>
          </w:tcPr>
          <w:p w14:paraId="036F9963">
            <w:pPr>
              <w:spacing w:line="240" w:lineRule="auto"/>
              <w:ind w:firstLine="0" w:firstLineChars="0"/>
              <w:jc w:val="center"/>
              <w:rPr>
                <w:color w:val="auto"/>
                <w:sz w:val="21"/>
                <w:szCs w:val="21"/>
              </w:rPr>
            </w:pPr>
            <w:r>
              <w:rPr>
                <w:rFonts w:hint="eastAsia"/>
                <w:color w:val="auto"/>
                <w:sz w:val="21"/>
                <w:szCs w:val="21"/>
              </w:rPr>
              <w:t>废铅酸电池HW49（900-044-49）、HW31（900-052-31）</w:t>
            </w:r>
          </w:p>
        </w:tc>
      </w:tr>
      <w:tr w14:paraId="42F8D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4AAC2855">
            <w:pPr>
              <w:spacing w:line="240" w:lineRule="auto"/>
              <w:ind w:firstLine="0" w:firstLineChars="0"/>
              <w:jc w:val="center"/>
              <w:rPr>
                <w:color w:val="auto"/>
                <w:sz w:val="21"/>
                <w:szCs w:val="21"/>
              </w:rPr>
            </w:pPr>
            <w:r>
              <w:rPr>
                <w:rFonts w:hint="eastAsia"/>
                <w:color w:val="auto"/>
                <w:sz w:val="21"/>
                <w:szCs w:val="21"/>
              </w:rPr>
              <w:t>5</w:t>
            </w:r>
          </w:p>
        </w:tc>
        <w:tc>
          <w:tcPr>
            <w:tcW w:w="2503" w:type="dxa"/>
            <w:tcBorders>
              <w:tl2br w:val="nil"/>
              <w:tr2bl w:val="nil"/>
            </w:tcBorders>
            <w:vAlign w:val="center"/>
          </w:tcPr>
          <w:p w14:paraId="499414FA">
            <w:pPr>
              <w:spacing w:line="240" w:lineRule="auto"/>
              <w:ind w:firstLine="0" w:firstLineChars="0"/>
              <w:jc w:val="center"/>
              <w:rPr>
                <w:color w:val="auto"/>
                <w:sz w:val="21"/>
                <w:szCs w:val="21"/>
              </w:rPr>
            </w:pPr>
            <w:r>
              <w:rPr>
                <w:rFonts w:hint="eastAsia"/>
                <w:color w:val="auto"/>
                <w:sz w:val="21"/>
                <w:szCs w:val="21"/>
              </w:rPr>
              <w:t>连云港秋晗环保科技有限公司</w:t>
            </w:r>
          </w:p>
        </w:tc>
        <w:tc>
          <w:tcPr>
            <w:tcW w:w="1712" w:type="dxa"/>
            <w:tcBorders>
              <w:tl2br w:val="nil"/>
              <w:tr2bl w:val="nil"/>
            </w:tcBorders>
            <w:vAlign w:val="center"/>
          </w:tcPr>
          <w:p w14:paraId="50F59B54">
            <w:pPr>
              <w:spacing w:line="240" w:lineRule="auto"/>
              <w:ind w:firstLine="0" w:firstLineChars="0"/>
              <w:jc w:val="center"/>
              <w:rPr>
                <w:color w:val="auto"/>
                <w:sz w:val="21"/>
                <w:szCs w:val="21"/>
              </w:rPr>
            </w:pPr>
            <w:r>
              <w:rPr>
                <w:rFonts w:hint="eastAsia"/>
                <w:color w:val="auto"/>
                <w:sz w:val="21"/>
                <w:szCs w:val="21"/>
              </w:rPr>
              <w:t>5000</w:t>
            </w:r>
          </w:p>
        </w:tc>
        <w:tc>
          <w:tcPr>
            <w:tcW w:w="4499" w:type="dxa"/>
            <w:tcBorders>
              <w:tl2br w:val="nil"/>
              <w:tr2bl w:val="nil"/>
            </w:tcBorders>
            <w:vAlign w:val="center"/>
          </w:tcPr>
          <w:p w14:paraId="7954BD8E">
            <w:pPr>
              <w:spacing w:line="240" w:lineRule="auto"/>
              <w:ind w:firstLine="0" w:firstLineChars="0"/>
              <w:jc w:val="center"/>
              <w:rPr>
                <w:color w:val="auto"/>
                <w:sz w:val="21"/>
                <w:szCs w:val="21"/>
              </w:rPr>
            </w:pPr>
            <w:r>
              <w:rPr>
                <w:rFonts w:hint="eastAsia"/>
                <w:color w:val="auto"/>
                <w:sz w:val="21"/>
                <w:szCs w:val="21"/>
              </w:rPr>
              <w:t>900-052-31（HW31含铅废物）</w:t>
            </w:r>
          </w:p>
        </w:tc>
      </w:tr>
      <w:tr w14:paraId="522A5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5FF00D18">
            <w:pPr>
              <w:spacing w:line="240" w:lineRule="auto"/>
              <w:ind w:firstLine="0" w:firstLineChars="0"/>
              <w:jc w:val="center"/>
              <w:rPr>
                <w:color w:val="auto"/>
                <w:sz w:val="21"/>
                <w:szCs w:val="21"/>
              </w:rPr>
            </w:pPr>
            <w:r>
              <w:rPr>
                <w:rFonts w:hint="eastAsia"/>
                <w:color w:val="auto"/>
                <w:sz w:val="21"/>
                <w:szCs w:val="21"/>
              </w:rPr>
              <w:t>6</w:t>
            </w:r>
          </w:p>
        </w:tc>
        <w:tc>
          <w:tcPr>
            <w:tcW w:w="2503" w:type="dxa"/>
            <w:tcBorders>
              <w:tl2br w:val="nil"/>
              <w:tr2bl w:val="nil"/>
            </w:tcBorders>
            <w:vAlign w:val="center"/>
          </w:tcPr>
          <w:p w14:paraId="17334B41">
            <w:pPr>
              <w:spacing w:line="240" w:lineRule="auto"/>
              <w:ind w:firstLine="0" w:firstLineChars="0"/>
              <w:jc w:val="center"/>
              <w:rPr>
                <w:color w:val="auto"/>
                <w:sz w:val="21"/>
                <w:szCs w:val="21"/>
              </w:rPr>
            </w:pPr>
            <w:r>
              <w:rPr>
                <w:rFonts w:hint="eastAsia"/>
                <w:color w:val="auto"/>
                <w:sz w:val="21"/>
                <w:szCs w:val="21"/>
              </w:rPr>
              <w:t>连云港品一环保科技有限公司</w:t>
            </w:r>
          </w:p>
        </w:tc>
        <w:tc>
          <w:tcPr>
            <w:tcW w:w="1712" w:type="dxa"/>
            <w:tcBorders>
              <w:tl2br w:val="nil"/>
              <w:tr2bl w:val="nil"/>
            </w:tcBorders>
            <w:vAlign w:val="center"/>
          </w:tcPr>
          <w:p w14:paraId="25DAC7EB">
            <w:pPr>
              <w:spacing w:line="240" w:lineRule="auto"/>
              <w:ind w:firstLine="0" w:firstLineChars="0"/>
              <w:jc w:val="center"/>
              <w:rPr>
                <w:color w:val="auto"/>
                <w:sz w:val="21"/>
                <w:szCs w:val="21"/>
              </w:rPr>
            </w:pPr>
            <w:r>
              <w:rPr>
                <w:rFonts w:hint="eastAsia"/>
                <w:color w:val="auto"/>
                <w:sz w:val="21"/>
                <w:szCs w:val="21"/>
              </w:rPr>
              <w:t>50000</w:t>
            </w:r>
          </w:p>
        </w:tc>
        <w:tc>
          <w:tcPr>
            <w:tcW w:w="4499" w:type="dxa"/>
            <w:tcBorders>
              <w:tl2br w:val="nil"/>
              <w:tr2bl w:val="nil"/>
            </w:tcBorders>
            <w:vAlign w:val="center"/>
          </w:tcPr>
          <w:p w14:paraId="55344AE7">
            <w:pPr>
              <w:spacing w:line="240" w:lineRule="auto"/>
              <w:ind w:firstLine="0" w:firstLineChars="0"/>
              <w:jc w:val="center"/>
              <w:rPr>
                <w:color w:val="auto"/>
                <w:sz w:val="21"/>
                <w:szCs w:val="21"/>
              </w:rPr>
            </w:pPr>
            <w:r>
              <w:rPr>
                <w:rFonts w:hint="eastAsia"/>
                <w:color w:val="auto"/>
                <w:sz w:val="21"/>
                <w:szCs w:val="21"/>
              </w:rPr>
              <w:t>900-052-31（HW31含铅废物）</w:t>
            </w:r>
          </w:p>
        </w:tc>
      </w:tr>
      <w:tr w14:paraId="69308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3CC54488">
            <w:pPr>
              <w:spacing w:line="240" w:lineRule="auto"/>
              <w:ind w:firstLine="0" w:firstLineChars="0"/>
              <w:jc w:val="center"/>
              <w:rPr>
                <w:color w:val="auto"/>
                <w:sz w:val="21"/>
                <w:szCs w:val="21"/>
              </w:rPr>
            </w:pPr>
            <w:r>
              <w:rPr>
                <w:rFonts w:hint="eastAsia"/>
                <w:color w:val="auto"/>
                <w:sz w:val="21"/>
                <w:szCs w:val="21"/>
              </w:rPr>
              <w:t>7</w:t>
            </w:r>
          </w:p>
        </w:tc>
        <w:tc>
          <w:tcPr>
            <w:tcW w:w="2503" w:type="dxa"/>
            <w:tcBorders>
              <w:tl2br w:val="nil"/>
              <w:tr2bl w:val="nil"/>
            </w:tcBorders>
            <w:vAlign w:val="center"/>
          </w:tcPr>
          <w:p w14:paraId="76E2D9D0">
            <w:pPr>
              <w:spacing w:line="240" w:lineRule="auto"/>
              <w:ind w:firstLine="0" w:firstLineChars="0"/>
              <w:jc w:val="center"/>
              <w:rPr>
                <w:color w:val="auto"/>
                <w:sz w:val="21"/>
                <w:szCs w:val="21"/>
              </w:rPr>
            </w:pPr>
            <w:r>
              <w:rPr>
                <w:rFonts w:hint="eastAsia"/>
                <w:color w:val="auto"/>
                <w:sz w:val="21"/>
                <w:szCs w:val="21"/>
              </w:rPr>
              <w:t>连云港永华再生资源有限公司</w:t>
            </w:r>
          </w:p>
        </w:tc>
        <w:tc>
          <w:tcPr>
            <w:tcW w:w="1712" w:type="dxa"/>
            <w:tcBorders>
              <w:tl2br w:val="nil"/>
              <w:tr2bl w:val="nil"/>
            </w:tcBorders>
            <w:vAlign w:val="center"/>
          </w:tcPr>
          <w:p w14:paraId="77CAFA8B">
            <w:pPr>
              <w:spacing w:line="240" w:lineRule="auto"/>
              <w:ind w:firstLine="0" w:firstLineChars="0"/>
              <w:jc w:val="center"/>
              <w:rPr>
                <w:color w:val="auto"/>
                <w:sz w:val="21"/>
                <w:szCs w:val="21"/>
              </w:rPr>
            </w:pPr>
            <w:r>
              <w:rPr>
                <w:rFonts w:hint="eastAsia"/>
                <w:color w:val="auto"/>
                <w:sz w:val="21"/>
                <w:szCs w:val="21"/>
              </w:rPr>
              <w:t>5000</w:t>
            </w:r>
          </w:p>
        </w:tc>
        <w:tc>
          <w:tcPr>
            <w:tcW w:w="4499" w:type="dxa"/>
            <w:tcBorders>
              <w:tl2br w:val="nil"/>
              <w:tr2bl w:val="nil"/>
            </w:tcBorders>
            <w:vAlign w:val="center"/>
          </w:tcPr>
          <w:p w14:paraId="40FA9B9C">
            <w:pPr>
              <w:spacing w:line="240" w:lineRule="auto"/>
              <w:ind w:firstLine="0" w:firstLineChars="0"/>
              <w:jc w:val="center"/>
              <w:rPr>
                <w:color w:val="auto"/>
                <w:sz w:val="21"/>
                <w:szCs w:val="21"/>
              </w:rPr>
            </w:pPr>
            <w:r>
              <w:rPr>
                <w:rFonts w:hint="eastAsia"/>
                <w:color w:val="auto"/>
                <w:sz w:val="21"/>
                <w:szCs w:val="21"/>
              </w:rPr>
              <w:t>900-052-31（HW31含铅废物）</w:t>
            </w:r>
          </w:p>
        </w:tc>
      </w:tr>
      <w:tr w14:paraId="0B24E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vAlign w:val="center"/>
          </w:tcPr>
          <w:p w14:paraId="058E3E79">
            <w:pPr>
              <w:spacing w:line="240" w:lineRule="auto"/>
              <w:ind w:firstLine="0" w:firstLineChars="0"/>
              <w:jc w:val="center"/>
              <w:rPr>
                <w:color w:val="auto"/>
                <w:sz w:val="21"/>
                <w:szCs w:val="21"/>
              </w:rPr>
            </w:pPr>
            <w:r>
              <w:rPr>
                <w:rFonts w:hint="eastAsia"/>
                <w:color w:val="auto"/>
                <w:sz w:val="21"/>
                <w:szCs w:val="21"/>
              </w:rPr>
              <w:t>8</w:t>
            </w:r>
          </w:p>
        </w:tc>
        <w:tc>
          <w:tcPr>
            <w:tcW w:w="2503" w:type="dxa"/>
            <w:tcBorders>
              <w:tl2br w:val="nil"/>
              <w:tr2bl w:val="nil"/>
            </w:tcBorders>
            <w:vAlign w:val="center"/>
          </w:tcPr>
          <w:p w14:paraId="3CFF60FA">
            <w:pPr>
              <w:spacing w:line="240" w:lineRule="auto"/>
              <w:ind w:firstLine="0" w:firstLineChars="0"/>
              <w:jc w:val="center"/>
              <w:rPr>
                <w:color w:val="auto"/>
                <w:sz w:val="21"/>
                <w:szCs w:val="21"/>
              </w:rPr>
            </w:pPr>
            <w:r>
              <w:rPr>
                <w:rFonts w:hint="eastAsia"/>
                <w:color w:val="auto"/>
                <w:sz w:val="21"/>
                <w:szCs w:val="21"/>
              </w:rPr>
              <w:t>江苏仁欣环保科技有限公司</w:t>
            </w:r>
          </w:p>
        </w:tc>
        <w:tc>
          <w:tcPr>
            <w:tcW w:w="1712" w:type="dxa"/>
            <w:tcBorders>
              <w:tl2br w:val="nil"/>
              <w:tr2bl w:val="nil"/>
            </w:tcBorders>
            <w:vAlign w:val="center"/>
          </w:tcPr>
          <w:p w14:paraId="2C38396D">
            <w:pPr>
              <w:spacing w:line="240" w:lineRule="auto"/>
              <w:ind w:firstLine="0" w:firstLineChars="0"/>
              <w:jc w:val="center"/>
              <w:rPr>
                <w:color w:val="auto"/>
                <w:sz w:val="21"/>
                <w:szCs w:val="21"/>
              </w:rPr>
            </w:pPr>
            <w:r>
              <w:rPr>
                <w:rFonts w:hint="eastAsia"/>
                <w:color w:val="auto"/>
                <w:sz w:val="21"/>
                <w:szCs w:val="21"/>
              </w:rPr>
              <w:t>271400</w:t>
            </w:r>
          </w:p>
        </w:tc>
        <w:tc>
          <w:tcPr>
            <w:tcW w:w="4499" w:type="dxa"/>
            <w:tcBorders>
              <w:tl2br w:val="nil"/>
              <w:tr2bl w:val="nil"/>
            </w:tcBorders>
            <w:vAlign w:val="center"/>
          </w:tcPr>
          <w:p w14:paraId="03FFE5F0">
            <w:pPr>
              <w:spacing w:line="240" w:lineRule="auto"/>
              <w:ind w:firstLine="0" w:firstLineChars="0"/>
              <w:jc w:val="center"/>
              <w:rPr>
                <w:color w:val="auto"/>
                <w:sz w:val="21"/>
                <w:szCs w:val="21"/>
              </w:rPr>
            </w:pPr>
            <w:r>
              <w:rPr>
                <w:rFonts w:hint="eastAsia"/>
                <w:color w:val="auto"/>
                <w:sz w:val="21"/>
                <w:szCs w:val="21"/>
              </w:rPr>
              <w:t>HW04、HW12、HW34</w:t>
            </w:r>
          </w:p>
        </w:tc>
      </w:tr>
      <w:tr w14:paraId="053A5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2275DEA0">
            <w:pPr>
              <w:spacing w:line="240" w:lineRule="auto"/>
              <w:ind w:firstLine="0" w:firstLineChars="0"/>
              <w:jc w:val="center"/>
              <w:rPr>
                <w:color w:val="auto"/>
                <w:sz w:val="21"/>
                <w:szCs w:val="21"/>
              </w:rPr>
            </w:pPr>
            <w:r>
              <w:rPr>
                <w:rFonts w:hint="eastAsia"/>
                <w:color w:val="auto"/>
                <w:sz w:val="21"/>
                <w:szCs w:val="21"/>
              </w:rPr>
              <w:t>9</w:t>
            </w:r>
          </w:p>
        </w:tc>
        <w:tc>
          <w:tcPr>
            <w:tcW w:w="2503" w:type="dxa"/>
            <w:tcBorders>
              <w:tl2br w:val="nil"/>
              <w:tr2bl w:val="nil"/>
            </w:tcBorders>
            <w:vAlign w:val="center"/>
          </w:tcPr>
          <w:p w14:paraId="1EEA75D8">
            <w:pPr>
              <w:spacing w:line="240" w:lineRule="auto"/>
              <w:ind w:firstLine="0" w:firstLineChars="0"/>
              <w:jc w:val="center"/>
              <w:rPr>
                <w:color w:val="auto"/>
                <w:sz w:val="21"/>
                <w:szCs w:val="21"/>
              </w:rPr>
            </w:pPr>
            <w:r>
              <w:rPr>
                <w:rFonts w:hint="eastAsia"/>
                <w:color w:val="auto"/>
                <w:sz w:val="21"/>
                <w:szCs w:val="21"/>
              </w:rPr>
              <w:t>连云港绿润环保科技有限公司</w:t>
            </w:r>
          </w:p>
        </w:tc>
        <w:tc>
          <w:tcPr>
            <w:tcW w:w="1712" w:type="dxa"/>
            <w:tcBorders>
              <w:tl2br w:val="nil"/>
              <w:tr2bl w:val="nil"/>
            </w:tcBorders>
            <w:vAlign w:val="center"/>
          </w:tcPr>
          <w:p w14:paraId="23B7B184">
            <w:pPr>
              <w:spacing w:line="240" w:lineRule="auto"/>
              <w:ind w:firstLine="0" w:firstLineChars="0"/>
              <w:jc w:val="center"/>
              <w:rPr>
                <w:color w:val="auto"/>
                <w:sz w:val="21"/>
                <w:szCs w:val="21"/>
              </w:rPr>
            </w:pPr>
            <w:r>
              <w:rPr>
                <w:rFonts w:hint="eastAsia"/>
                <w:color w:val="auto"/>
                <w:sz w:val="21"/>
                <w:szCs w:val="21"/>
              </w:rPr>
              <w:t>36000</w:t>
            </w:r>
          </w:p>
        </w:tc>
        <w:tc>
          <w:tcPr>
            <w:tcW w:w="4499" w:type="dxa"/>
            <w:tcBorders>
              <w:tl2br w:val="nil"/>
              <w:tr2bl w:val="nil"/>
            </w:tcBorders>
            <w:vAlign w:val="center"/>
          </w:tcPr>
          <w:p w14:paraId="5921EAD2">
            <w:pPr>
              <w:spacing w:line="240" w:lineRule="auto"/>
              <w:ind w:firstLine="0" w:firstLineChars="0"/>
              <w:jc w:val="center"/>
              <w:rPr>
                <w:color w:val="auto"/>
                <w:sz w:val="21"/>
                <w:szCs w:val="21"/>
              </w:rPr>
            </w:pPr>
            <w:r>
              <w:rPr>
                <w:rFonts w:hint="eastAsia"/>
                <w:color w:val="auto"/>
                <w:sz w:val="21"/>
                <w:szCs w:val="21"/>
              </w:rPr>
              <w:t>HW34</w:t>
            </w:r>
          </w:p>
        </w:tc>
      </w:tr>
      <w:tr w14:paraId="4A538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2AA5FD0F">
            <w:pPr>
              <w:spacing w:line="240" w:lineRule="auto"/>
              <w:ind w:firstLine="0" w:firstLineChars="0"/>
              <w:jc w:val="center"/>
              <w:rPr>
                <w:color w:val="auto"/>
                <w:sz w:val="21"/>
                <w:szCs w:val="21"/>
              </w:rPr>
            </w:pPr>
            <w:r>
              <w:rPr>
                <w:rFonts w:hint="eastAsia"/>
                <w:color w:val="auto"/>
                <w:sz w:val="21"/>
                <w:szCs w:val="21"/>
              </w:rPr>
              <w:t>10</w:t>
            </w:r>
          </w:p>
        </w:tc>
        <w:tc>
          <w:tcPr>
            <w:tcW w:w="2503" w:type="dxa"/>
            <w:tcBorders>
              <w:tl2br w:val="nil"/>
              <w:tr2bl w:val="nil"/>
            </w:tcBorders>
            <w:vAlign w:val="center"/>
          </w:tcPr>
          <w:p w14:paraId="3CE9E2D2">
            <w:pPr>
              <w:spacing w:line="240" w:lineRule="auto"/>
              <w:ind w:firstLine="0" w:firstLineChars="0"/>
              <w:jc w:val="center"/>
              <w:rPr>
                <w:color w:val="auto"/>
                <w:sz w:val="21"/>
                <w:szCs w:val="21"/>
              </w:rPr>
            </w:pPr>
            <w:r>
              <w:rPr>
                <w:rFonts w:hint="eastAsia"/>
                <w:color w:val="auto"/>
                <w:sz w:val="21"/>
                <w:szCs w:val="21"/>
              </w:rPr>
              <w:t>光大环保（连云港）固废处置有限公司</w:t>
            </w:r>
          </w:p>
        </w:tc>
        <w:tc>
          <w:tcPr>
            <w:tcW w:w="1712" w:type="dxa"/>
            <w:tcBorders>
              <w:tl2br w:val="nil"/>
              <w:tr2bl w:val="nil"/>
            </w:tcBorders>
            <w:vAlign w:val="center"/>
          </w:tcPr>
          <w:p w14:paraId="73AF58DE">
            <w:pPr>
              <w:spacing w:line="240" w:lineRule="auto"/>
              <w:ind w:firstLine="0" w:firstLineChars="0"/>
              <w:jc w:val="center"/>
              <w:rPr>
                <w:color w:val="auto"/>
                <w:sz w:val="21"/>
                <w:szCs w:val="21"/>
              </w:rPr>
            </w:pPr>
            <w:r>
              <w:rPr>
                <w:rFonts w:hint="eastAsia"/>
                <w:color w:val="auto"/>
                <w:sz w:val="21"/>
                <w:szCs w:val="21"/>
              </w:rPr>
              <w:t>50000</w:t>
            </w:r>
          </w:p>
        </w:tc>
        <w:tc>
          <w:tcPr>
            <w:tcW w:w="4499" w:type="dxa"/>
            <w:tcBorders>
              <w:tl2br w:val="nil"/>
              <w:tr2bl w:val="nil"/>
            </w:tcBorders>
            <w:vAlign w:val="center"/>
          </w:tcPr>
          <w:p w14:paraId="28F140E6">
            <w:pPr>
              <w:spacing w:line="240" w:lineRule="auto"/>
              <w:ind w:firstLine="0" w:firstLineChars="0"/>
              <w:jc w:val="center"/>
              <w:rPr>
                <w:color w:val="auto"/>
                <w:sz w:val="21"/>
                <w:szCs w:val="21"/>
              </w:rPr>
            </w:pPr>
            <w:r>
              <w:rPr>
                <w:color w:val="auto"/>
                <w:sz w:val="21"/>
                <w:szCs w:val="21"/>
              </w:rPr>
              <w:t>HW29、HW48、HW36、HW21、HW35、HW31、HW</w:t>
            </w:r>
            <w:r>
              <w:rPr>
                <w:rFonts w:hint="eastAsia"/>
                <w:color w:val="auto"/>
                <w:sz w:val="21"/>
                <w:szCs w:val="21"/>
              </w:rPr>
              <w:t>0</w:t>
            </w:r>
            <w:r>
              <w:rPr>
                <w:color w:val="auto"/>
                <w:sz w:val="21"/>
                <w:szCs w:val="21"/>
              </w:rPr>
              <w:t>8、HW50、HWI1、HW30、HW37、HW45</w:t>
            </w:r>
            <w:r>
              <w:rPr>
                <w:rFonts w:hint="eastAsia"/>
                <w:color w:val="auto"/>
                <w:sz w:val="21"/>
                <w:szCs w:val="21"/>
              </w:rPr>
              <w:t>、</w:t>
            </w:r>
            <w:r>
              <w:rPr>
                <w:color w:val="auto"/>
                <w:sz w:val="21"/>
                <w:szCs w:val="21"/>
              </w:rPr>
              <w:t>HW46、HW24、HW04、HW12、HW13、HW</w:t>
            </w:r>
            <w:r>
              <w:rPr>
                <w:rFonts w:hint="eastAsia"/>
                <w:color w:val="auto"/>
                <w:sz w:val="21"/>
                <w:szCs w:val="21"/>
              </w:rPr>
              <w:t>02</w:t>
            </w:r>
            <w:r>
              <w:rPr>
                <w:color w:val="auto"/>
                <w:sz w:val="21"/>
                <w:szCs w:val="21"/>
              </w:rPr>
              <w:t>、HW22、HW31、HW48、HW17</w:t>
            </w:r>
            <w:r>
              <w:rPr>
                <w:rFonts w:hint="eastAsia"/>
                <w:color w:val="auto"/>
                <w:sz w:val="21"/>
                <w:szCs w:val="21"/>
              </w:rPr>
              <w:t>、</w:t>
            </w:r>
            <w:r>
              <w:rPr>
                <w:color w:val="auto"/>
                <w:sz w:val="21"/>
                <w:szCs w:val="21"/>
              </w:rPr>
              <w:t>HW23、HW26、HW18、HW06、HW16、HW49、HW19、HW32</w:t>
            </w:r>
          </w:p>
        </w:tc>
      </w:tr>
      <w:tr w14:paraId="42952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00AD7C02">
            <w:pPr>
              <w:spacing w:line="240" w:lineRule="auto"/>
              <w:ind w:firstLine="0" w:firstLineChars="0"/>
              <w:jc w:val="center"/>
              <w:rPr>
                <w:color w:val="auto"/>
                <w:sz w:val="21"/>
                <w:szCs w:val="21"/>
              </w:rPr>
            </w:pPr>
            <w:r>
              <w:rPr>
                <w:rFonts w:hint="eastAsia"/>
                <w:color w:val="auto"/>
                <w:sz w:val="21"/>
                <w:szCs w:val="21"/>
              </w:rPr>
              <w:t>11</w:t>
            </w:r>
          </w:p>
        </w:tc>
        <w:tc>
          <w:tcPr>
            <w:tcW w:w="2503" w:type="dxa"/>
            <w:tcBorders>
              <w:tl2br w:val="nil"/>
              <w:tr2bl w:val="nil"/>
            </w:tcBorders>
            <w:vAlign w:val="center"/>
          </w:tcPr>
          <w:p w14:paraId="1A7B10B3">
            <w:pPr>
              <w:spacing w:line="240" w:lineRule="auto"/>
              <w:ind w:firstLine="0" w:firstLineChars="0"/>
              <w:jc w:val="center"/>
              <w:rPr>
                <w:color w:val="auto"/>
                <w:sz w:val="21"/>
                <w:szCs w:val="21"/>
              </w:rPr>
            </w:pPr>
            <w:r>
              <w:rPr>
                <w:rFonts w:hint="eastAsia"/>
                <w:color w:val="auto"/>
                <w:sz w:val="21"/>
                <w:szCs w:val="21"/>
              </w:rPr>
              <w:t>连云港宏禄环保科技有限公司</w:t>
            </w:r>
          </w:p>
        </w:tc>
        <w:tc>
          <w:tcPr>
            <w:tcW w:w="1712" w:type="dxa"/>
            <w:tcBorders>
              <w:tl2br w:val="nil"/>
              <w:tr2bl w:val="nil"/>
            </w:tcBorders>
            <w:vAlign w:val="center"/>
          </w:tcPr>
          <w:p w14:paraId="7E3C70CD">
            <w:pPr>
              <w:spacing w:line="240" w:lineRule="auto"/>
              <w:ind w:firstLine="0" w:firstLineChars="0"/>
              <w:jc w:val="center"/>
              <w:rPr>
                <w:color w:val="auto"/>
                <w:sz w:val="21"/>
                <w:szCs w:val="21"/>
              </w:rPr>
            </w:pPr>
            <w:r>
              <w:rPr>
                <w:rFonts w:hint="eastAsia"/>
                <w:color w:val="auto"/>
                <w:sz w:val="21"/>
                <w:szCs w:val="21"/>
              </w:rPr>
              <w:t>10000</w:t>
            </w:r>
          </w:p>
        </w:tc>
        <w:tc>
          <w:tcPr>
            <w:tcW w:w="4499" w:type="dxa"/>
            <w:tcBorders>
              <w:tl2br w:val="nil"/>
              <w:tr2bl w:val="nil"/>
            </w:tcBorders>
            <w:vAlign w:val="center"/>
          </w:tcPr>
          <w:p w14:paraId="6FC062A4">
            <w:pPr>
              <w:spacing w:line="240" w:lineRule="auto"/>
              <w:ind w:firstLine="0" w:firstLineChars="0"/>
              <w:jc w:val="center"/>
              <w:rPr>
                <w:color w:val="auto"/>
                <w:sz w:val="21"/>
                <w:szCs w:val="21"/>
              </w:rPr>
            </w:pPr>
            <w:r>
              <w:rPr>
                <w:rFonts w:hint="eastAsia"/>
                <w:color w:val="auto"/>
                <w:sz w:val="21"/>
                <w:szCs w:val="21"/>
              </w:rPr>
              <w:t>900-045-49(HW49)</w:t>
            </w:r>
          </w:p>
        </w:tc>
      </w:tr>
      <w:tr w14:paraId="67BEA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6E217963">
            <w:pPr>
              <w:spacing w:line="240" w:lineRule="auto"/>
              <w:ind w:firstLine="0" w:firstLineChars="0"/>
              <w:jc w:val="center"/>
              <w:rPr>
                <w:color w:val="auto"/>
                <w:sz w:val="21"/>
                <w:szCs w:val="21"/>
              </w:rPr>
            </w:pPr>
            <w:r>
              <w:rPr>
                <w:rFonts w:hint="eastAsia"/>
                <w:color w:val="auto"/>
                <w:sz w:val="21"/>
                <w:szCs w:val="21"/>
              </w:rPr>
              <w:t>12</w:t>
            </w:r>
          </w:p>
        </w:tc>
        <w:tc>
          <w:tcPr>
            <w:tcW w:w="2503" w:type="dxa"/>
            <w:tcBorders>
              <w:tl2br w:val="nil"/>
              <w:tr2bl w:val="nil"/>
            </w:tcBorders>
            <w:vAlign w:val="center"/>
          </w:tcPr>
          <w:p w14:paraId="153AB55E">
            <w:pPr>
              <w:spacing w:line="240" w:lineRule="auto"/>
              <w:ind w:firstLine="0" w:firstLineChars="0"/>
              <w:jc w:val="center"/>
              <w:rPr>
                <w:color w:val="auto"/>
                <w:sz w:val="21"/>
                <w:szCs w:val="21"/>
              </w:rPr>
            </w:pPr>
            <w:r>
              <w:rPr>
                <w:rFonts w:hint="eastAsia"/>
                <w:color w:val="auto"/>
                <w:sz w:val="21"/>
                <w:szCs w:val="21"/>
              </w:rPr>
              <w:t>连云港润峰环保产业有限公司</w:t>
            </w:r>
          </w:p>
        </w:tc>
        <w:tc>
          <w:tcPr>
            <w:tcW w:w="1712" w:type="dxa"/>
            <w:tcBorders>
              <w:tl2br w:val="nil"/>
              <w:tr2bl w:val="nil"/>
            </w:tcBorders>
            <w:vAlign w:val="center"/>
          </w:tcPr>
          <w:p w14:paraId="084C87EE">
            <w:pPr>
              <w:spacing w:line="240" w:lineRule="auto"/>
              <w:ind w:firstLine="0" w:firstLineChars="0"/>
              <w:jc w:val="center"/>
              <w:rPr>
                <w:color w:val="auto"/>
                <w:sz w:val="21"/>
                <w:szCs w:val="21"/>
              </w:rPr>
            </w:pPr>
            <w:r>
              <w:rPr>
                <w:rFonts w:hint="eastAsia"/>
                <w:color w:val="auto"/>
                <w:sz w:val="21"/>
                <w:szCs w:val="21"/>
              </w:rPr>
              <w:t>13000</w:t>
            </w:r>
          </w:p>
        </w:tc>
        <w:tc>
          <w:tcPr>
            <w:tcW w:w="4499" w:type="dxa"/>
            <w:tcBorders>
              <w:tl2br w:val="nil"/>
              <w:tr2bl w:val="nil"/>
            </w:tcBorders>
            <w:vAlign w:val="center"/>
          </w:tcPr>
          <w:p w14:paraId="7B077273">
            <w:pPr>
              <w:spacing w:line="240" w:lineRule="auto"/>
              <w:ind w:firstLine="0" w:firstLineChars="0"/>
              <w:jc w:val="center"/>
              <w:rPr>
                <w:color w:val="auto"/>
                <w:sz w:val="21"/>
                <w:szCs w:val="21"/>
              </w:rPr>
            </w:pPr>
            <w:r>
              <w:rPr>
                <w:rFonts w:hint="eastAsia"/>
                <w:color w:val="auto"/>
                <w:sz w:val="21"/>
                <w:szCs w:val="21"/>
              </w:rPr>
              <w:t>HW11、HW02、HW06</w:t>
            </w:r>
          </w:p>
        </w:tc>
      </w:tr>
      <w:tr w14:paraId="0F6B7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171DA981">
            <w:pPr>
              <w:spacing w:line="240" w:lineRule="auto"/>
              <w:ind w:firstLine="0" w:firstLineChars="0"/>
              <w:jc w:val="center"/>
              <w:rPr>
                <w:color w:val="auto"/>
                <w:sz w:val="21"/>
                <w:szCs w:val="21"/>
              </w:rPr>
            </w:pPr>
            <w:r>
              <w:rPr>
                <w:rFonts w:hint="eastAsia"/>
                <w:color w:val="auto"/>
                <w:sz w:val="21"/>
                <w:szCs w:val="21"/>
              </w:rPr>
              <w:t>13</w:t>
            </w:r>
          </w:p>
        </w:tc>
        <w:tc>
          <w:tcPr>
            <w:tcW w:w="2503" w:type="dxa"/>
            <w:tcBorders>
              <w:tl2br w:val="nil"/>
              <w:tr2bl w:val="nil"/>
            </w:tcBorders>
            <w:vAlign w:val="center"/>
          </w:tcPr>
          <w:p w14:paraId="67FC71E8">
            <w:pPr>
              <w:spacing w:line="240" w:lineRule="auto"/>
              <w:ind w:firstLine="0" w:firstLineChars="0"/>
              <w:jc w:val="center"/>
              <w:rPr>
                <w:color w:val="auto"/>
                <w:sz w:val="21"/>
                <w:szCs w:val="21"/>
              </w:rPr>
            </w:pPr>
            <w:r>
              <w:rPr>
                <w:rFonts w:hint="eastAsia"/>
                <w:color w:val="auto"/>
                <w:sz w:val="21"/>
                <w:szCs w:val="21"/>
              </w:rPr>
              <w:t>灌南金圆环保科技有限公司</w:t>
            </w:r>
          </w:p>
        </w:tc>
        <w:tc>
          <w:tcPr>
            <w:tcW w:w="1712" w:type="dxa"/>
            <w:tcBorders>
              <w:tl2br w:val="nil"/>
              <w:tr2bl w:val="nil"/>
            </w:tcBorders>
            <w:vAlign w:val="center"/>
          </w:tcPr>
          <w:p w14:paraId="5AAACC63">
            <w:pPr>
              <w:spacing w:line="240" w:lineRule="auto"/>
              <w:ind w:firstLine="0" w:firstLineChars="0"/>
              <w:jc w:val="center"/>
              <w:rPr>
                <w:color w:val="auto"/>
                <w:sz w:val="21"/>
                <w:szCs w:val="21"/>
              </w:rPr>
            </w:pPr>
            <w:r>
              <w:rPr>
                <w:rFonts w:hint="eastAsia"/>
                <w:color w:val="auto"/>
                <w:sz w:val="21"/>
                <w:szCs w:val="21"/>
              </w:rPr>
              <w:t>30000</w:t>
            </w:r>
          </w:p>
        </w:tc>
        <w:tc>
          <w:tcPr>
            <w:tcW w:w="4499" w:type="dxa"/>
            <w:tcBorders>
              <w:tl2br w:val="nil"/>
              <w:tr2bl w:val="nil"/>
            </w:tcBorders>
            <w:vAlign w:val="center"/>
          </w:tcPr>
          <w:p w14:paraId="656FDC83">
            <w:pPr>
              <w:spacing w:line="240" w:lineRule="auto"/>
              <w:ind w:firstLine="0" w:firstLineChars="0"/>
              <w:jc w:val="center"/>
              <w:rPr>
                <w:color w:val="auto"/>
                <w:sz w:val="21"/>
                <w:szCs w:val="21"/>
              </w:rPr>
            </w:pPr>
            <w:r>
              <w:rPr>
                <w:color w:val="auto"/>
                <w:sz w:val="21"/>
                <w:szCs w:val="21"/>
              </w:rPr>
              <w:t>HW02、HW03、HW04、HW</w:t>
            </w:r>
            <w:r>
              <w:rPr>
                <w:rFonts w:hint="eastAsia"/>
                <w:color w:val="auto"/>
                <w:sz w:val="21"/>
                <w:szCs w:val="21"/>
              </w:rPr>
              <w:t>0</w:t>
            </w:r>
            <w:r>
              <w:rPr>
                <w:color w:val="auto"/>
                <w:sz w:val="21"/>
                <w:szCs w:val="21"/>
              </w:rPr>
              <w:t>5、HW</w:t>
            </w:r>
            <w:r>
              <w:rPr>
                <w:rFonts w:hint="eastAsia"/>
                <w:color w:val="auto"/>
                <w:sz w:val="21"/>
                <w:szCs w:val="21"/>
              </w:rPr>
              <w:t>0</w:t>
            </w:r>
            <w:r>
              <w:rPr>
                <w:color w:val="auto"/>
                <w:sz w:val="21"/>
                <w:szCs w:val="21"/>
              </w:rPr>
              <w:t>6、HW07、HW</w:t>
            </w:r>
            <w:r>
              <w:rPr>
                <w:rFonts w:hint="eastAsia"/>
                <w:color w:val="auto"/>
                <w:sz w:val="21"/>
                <w:szCs w:val="21"/>
              </w:rPr>
              <w:t>0</w:t>
            </w:r>
            <w:r>
              <w:rPr>
                <w:color w:val="auto"/>
                <w:sz w:val="21"/>
                <w:szCs w:val="21"/>
              </w:rPr>
              <w:t>8、HW09、HW11、HW12、HW13</w:t>
            </w:r>
            <w:r>
              <w:rPr>
                <w:rFonts w:hint="eastAsia"/>
                <w:color w:val="auto"/>
                <w:sz w:val="21"/>
                <w:szCs w:val="21"/>
              </w:rPr>
              <w:t>、</w:t>
            </w:r>
            <w:r>
              <w:rPr>
                <w:color w:val="auto"/>
                <w:sz w:val="21"/>
                <w:szCs w:val="21"/>
              </w:rPr>
              <w:t>HW14、HW16、HW19、HW33</w:t>
            </w:r>
            <w:r>
              <w:rPr>
                <w:rFonts w:hint="eastAsia"/>
                <w:color w:val="auto"/>
                <w:sz w:val="21"/>
                <w:szCs w:val="21"/>
              </w:rPr>
              <w:t>、</w:t>
            </w:r>
            <w:r>
              <w:rPr>
                <w:color w:val="auto"/>
                <w:sz w:val="21"/>
                <w:szCs w:val="21"/>
              </w:rPr>
              <w:t>HW37、HW38、HW39、HW40、HW45、HW49</w:t>
            </w:r>
          </w:p>
        </w:tc>
      </w:tr>
      <w:tr w14:paraId="2A6EB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281AE53C">
            <w:pPr>
              <w:spacing w:line="240" w:lineRule="auto"/>
              <w:ind w:firstLine="0" w:firstLineChars="0"/>
              <w:jc w:val="center"/>
              <w:rPr>
                <w:color w:val="auto"/>
                <w:sz w:val="21"/>
                <w:szCs w:val="21"/>
              </w:rPr>
            </w:pPr>
            <w:r>
              <w:rPr>
                <w:rFonts w:hint="eastAsia"/>
                <w:color w:val="auto"/>
                <w:sz w:val="21"/>
                <w:szCs w:val="21"/>
              </w:rPr>
              <w:t>14</w:t>
            </w:r>
          </w:p>
        </w:tc>
        <w:tc>
          <w:tcPr>
            <w:tcW w:w="2503" w:type="dxa"/>
            <w:tcBorders>
              <w:tl2br w:val="nil"/>
              <w:tr2bl w:val="nil"/>
            </w:tcBorders>
            <w:vAlign w:val="center"/>
          </w:tcPr>
          <w:p w14:paraId="2AD903D8">
            <w:pPr>
              <w:spacing w:line="240" w:lineRule="auto"/>
              <w:ind w:firstLine="0" w:firstLineChars="0"/>
              <w:jc w:val="center"/>
              <w:rPr>
                <w:color w:val="auto"/>
                <w:sz w:val="21"/>
                <w:szCs w:val="21"/>
              </w:rPr>
            </w:pPr>
            <w:r>
              <w:rPr>
                <w:rFonts w:hint="eastAsia"/>
                <w:color w:val="auto"/>
                <w:sz w:val="21"/>
                <w:szCs w:val="21"/>
              </w:rPr>
              <w:t>连云港市赛科废料处置有限公司</w:t>
            </w:r>
          </w:p>
        </w:tc>
        <w:tc>
          <w:tcPr>
            <w:tcW w:w="1712" w:type="dxa"/>
            <w:tcBorders>
              <w:tl2br w:val="nil"/>
              <w:tr2bl w:val="nil"/>
            </w:tcBorders>
            <w:vAlign w:val="center"/>
          </w:tcPr>
          <w:p w14:paraId="62752F29">
            <w:pPr>
              <w:spacing w:line="240" w:lineRule="auto"/>
              <w:ind w:firstLine="0" w:firstLineChars="0"/>
              <w:jc w:val="center"/>
              <w:rPr>
                <w:color w:val="auto"/>
                <w:sz w:val="21"/>
                <w:szCs w:val="21"/>
              </w:rPr>
            </w:pPr>
            <w:r>
              <w:rPr>
                <w:rFonts w:hint="eastAsia"/>
                <w:color w:val="auto"/>
                <w:sz w:val="21"/>
                <w:szCs w:val="21"/>
              </w:rPr>
              <w:t>18000</w:t>
            </w:r>
          </w:p>
        </w:tc>
        <w:tc>
          <w:tcPr>
            <w:tcW w:w="4499" w:type="dxa"/>
            <w:tcBorders>
              <w:tl2br w:val="nil"/>
              <w:tr2bl w:val="nil"/>
            </w:tcBorders>
            <w:vAlign w:val="center"/>
          </w:tcPr>
          <w:p w14:paraId="449F32DA">
            <w:pPr>
              <w:spacing w:line="240" w:lineRule="auto"/>
              <w:ind w:firstLine="0" w:firstLineChars="0"/>
              <w:jc w:val="center"/>
              <w:rPr>
                <w:color w:val="auto"/>
                <w:sz w:val="21"/>
                <w:szCs w:val="21"/>
              </w:rPr>
            </w:pPr>
            <w:r>
              <w:rPr>
                <w:color w:val="auto"/>
                <w:sz w:val="21"/>
                <w:szCs w:val="21"/>
              </w:rPr>
              <w:t>HW02、HW</w:t>
            </w:r>
            <w:r>
              <w:rPr>
                <w:rFonts w:hint="eastAsia"/>
                <w:color w:val="auto"/>
                <w:sz w:val="21"/>
                <w:szCs w:val="21"/>
              </w:rPr>
              <w:t>0</w:t>
            </w:r>
            <w:r>
              <w:rPr>
                <w:color w:val="auto"/>
                <w:sz w:val="21"/>
                <w:szCs w:val="21"/>
              </w:rPr>
              <w:t>3、HW04、HW</w:t>
            </w:r>
            <w:r>
              <w:rPr>
                <w:rFonts w:hint="eastAsia"/>
                <w:color w:val="auto"/>
                <w:sz w:val="21"/>
                <w:szCs w:val="21"/>
              </w:rPr>
              <w:t>0</w:t>
            </w:r>
            <w:r>
              <w:rPr>
                <w:color w:val="auto"/>
                <w:sz w:val="21"/>
                <w:szCs w:val="21"/>
              </w:rPr>
              <w:t>5、HW06、HW</w:t>
            </w:r>
            <w:r>
              <w:rPr>
                <w:rFonts w:hint="eastAsia"/>
                <w:color w:val="auto"/>
                <w:sz w:val="21"/>
                <w:szCs w:val="21"/>
              </w:rPr>
              <w:t>0</w:t>
            </w:r>
            <w:r>
              <w:rPr>
                <w:color w:val="auto"/>
                <w:sz w:val="21"/>
                <w:szCs w:val="21"/>
              </w:rPr>
              <w:t>8</w:t>
            </w:r>
            <w:r>
              <w:rPr>
                <w:rFonts w:hint="eastAsia"/>
                <w:color w:val="auto"/>
                <w:sz w:val="21"/>
                <w:szCs w:val="21"/>
              </w:rPr>
              <w:t>、</w:t>
            </w:r>
            <w:r>
              <w:rPr>
                <w:color w:val="auto"/>
                <w:sz w:val="21"/>
                <w:szCs w:val="21"/>
              </w:rPr>
              <w:t>HW09、HW11、HW12、HW13、HW17、HW19、HW33、HW35、HW37、HW38、HW39、HW40</w:t>
            </w:r>
            <w:r>
              <w:rPr>
                <w:rFonts w:hint="eastAsia"/>
                <w:color w:val="auto"/>
                <w:sz w:val="21"/>
                <w:szCs w:val="21"/>
              </w:rPr>
              <w:t>、HW45、HW49</w:t>
            </w:r>
          </w:p>
        </w:tc>
      </w:tr>
      <w:tr w14:paraId="02D11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73A81927">
            <w:pPr>
              <w:spacing w:line="240" w:lineRule="auto"/>
              <w:ind w:firstLine="0" w:firstLineChars="0"/>
              <w:jc w:val="center"/>
              <w:rPr>
                <w:color w:val="auto"/>
                <w:sz w:val="21"/>
                <w:szCs w:val="21"/>
              </w:rPr>
            </w:pPr>
            <w:r>
              <w:rPr>
                <w:rFonts w:hint="eastAsia"/>
                <w:color w:val="auto"/>
                <w:sz w:val="21"/>
                <w:szCs w:val="21"/>
              </w:rPr>
              <w:t>15</w:t>
            </w:r>
          </w:p>
        </w:tc>
        <w:tc>
          <w:tcPr>
            <w:tcW w:w="2503" w:type="dxa"/>
            <w:tcBorders>
              <w:tl2br w:val="nil"/>
              <w:tr2bl w:val="nil"/>
            </w:tcBorders>
            <w:vAlign w:val="center"/>
          </w:tcPr>
          <w:p w14:paraId="12D9EDE6">
            <w:pPr>
              <w:spacing w:line="240" w:lineRule="auto"/>
              <w:ind w:firstLine="0" w:firstLineChars="0"/>
              <w:jc w:val="center"/>
              <w:rPr>
                <w:color w:val="auto"/>
                <w:sz w:val="21"/>
                <w:szCs w:val="21"/>
              </w:rPr>
            </w:pPr>
            <w:r>
              <w:rPr>
                <w:rFonts w:hint="eastAsia"/>
                <w:color w:val="auto"/>
                <w:sz w:val="21"/>
                <w:szCs w:val="21"/>
              </w:rPr>
              <w:t>连云港轩瑞环保科技有限公司</w:t>
            </w:r>
          </w:p>
        </w:tc>
        <w:tc>
          <w:tcPr>
            <w:tcW w:w="1712" w:type="dxa"/>
            <w:tcBorders>
              <w:tl2br w:val="nil"/>
              <w:tr2bl w:val="nil"/>
            </w:tcBorders>
            <w:vAlign w:val="center"/>
          </w:tcPr>
          <w:p w14:paraId="4D88466D">
            <w:pPr>
              <w:spacing w:line="240" w:lineRule="auto"/>
              <w:ind w:firstLine="0" w:firstLineChars="0"/>
              <w:jc w:val="center"/>
              <w:rPr>
                <w:color w:val="auto"/>
                <w:sz w:val="21"/>
                <w:szCs w:val="21"/>
              </w:rPr>
            </w:pPr>
            <w:r>
              <w:rPr>
                <w:rFonts w:hint="eastAsia"/>
                <w:color w:val="auto"/>
                <w:sz w:val="21"/>
                <w:szCs w:val="21"/>
              </w:rPr>
              <w:t>13000</w:t>
            </w:r>
          </w:p>
        </w:tc>
        <w:tc>
          <w:tcPr>
            <w:tcW w:w="4499" w:type="dxa"/>
            <w:tcBorders>
              <w:tl2br w:val="nil"/>
              <w:tr2bl w:val="nil"/>
            </w:tcBorders>
            <w:vAlign w:val="center"/>
          </w:tcPr>
          <w:p w14:paraId="0002B472">
            <w:pPr>
              <w:spacing w:line="240" w:lineRule="auto"/>
              <w:ind w:firstLine="0" w:firstLineChars="0"/>
              <w:jc w:val="center"/>
              <w:rPr>
                <w:color w:val="auto"/>
                <w:sz w:val="21"/>
                <w:szCs w:val="21"/>
              </w:rPr>
            </w:pPr>
            <w:r>
              <w:rPr>
                <w:rFonts w:hint="eastAsia"/>
                <w:color w:val="auto"/>
                <w:sz w:val="21"/>
                <w:szCs w:val="21"/>
              </w:rPr>
              <w:t>HW08、HW16、HW13、HW02、HW50、HW03、HW09、HW29、HW49、HW31、HW12</w:t>
            </w:r>
          </w:p>
        </w:tc>
      </w:tr>
      <w:tr w14:paraId="12A35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2B1ED63F">
            <w:pPr>
              <w:spacing w:line="240" w:lineRule="auto"/>
              <w:ind w:firstLine="0" w:firstLineChars="0"/>
              <w:jc w:val="center"/>
              <w:rPr>
                <w:color w:val="auto"/>
                <w:sz w:val="21"/>
                <w:szCs w:val="21"/>
              </w:rPr>
            </w:pPr>
            <w:r>
              <w:rPr>
                <w:rFonts w:hint="eastAsia"/>
                <w:color w:val="auto"/>
                <w:sz w:val="21"/>
                <w:szCs w:val="21"/>
              </w:rPr>
              <w:t>16</w:t>
            </w:r>
          </w:p>
        </w:tc>
        <w:tc>
          <w:tcPr>
            <w:tcW w:w="2503" w:type="dxa"/>
            <w:tcBorders>
              <w:tl2br w:val="nil"/>
              <w:tr2bl w:val="nil"/>
            </w:tcBorders>
            <w:vAlign w:val="center"/>
          </w:tcPr>
          <w:p w14:paraId="590E0ADF">
            <w:pPr>
              <w:spacing w:line="240" w:lineRule="auto"/>
              <w:ind w:firstLine="0" w:firstLineChars="0"/>
              <w:jc w:val="center"/>
              <w:rPr>
                <w:color w:val="auto"/>
                <w:sz w:val="21"/>
                <w:szCs w:val="21"/>
              </w:rPr>
            </w:pPr>
            <w:r>
              <w:rPr>
                <w:rFonts w:hint="eastAsia"/>
                <w:color w:val="auto"/>
                <w:sz w:val="21"/>
                <w:szCs w:val="21"/>
              </w:rPr>
              <w:t>光大环保（连云港）废弃物处理有限公司</w:t>
            </w:r>
          </w:p>
        </w:tc>
        <w:tc>
          <w:tcPr>
            <w:tcW w:w="1712" w:type="dxa"/>
            <w:tcBorders>
              <w:tl2br w:val="nil"/>
              <w:tr2bl w:val="nil"/>
            </w:tcBorders>
            <w:vAlign w:val="center"/>
          </w:tcPr>
          <w:p w14:paraId="0AC3F88A">
            <w:pPr>
              <w:spacing w:line="240" w:lineRule="auto"/>
              <w:ind w:firstLine="0" w:firstLineChars="0"/>
              <w:jc w:val="center"/>
              <w:rPr>
                <w:color w:val="auto"/>
                <w:sz w:val="21"/>
                <w:szCs w:val="21"/>
              </w:rPr>
            </w:pPr>
            <w:r>
              <w:rPr>
                <w:rFonts w:hint="eastAsia"/>
                <w:color w:val="auto"/>
                <w:sz w:val="21"/>
                <w:szCs w:val="21"/>
              </w:rPr>
              <w:t>35280</w:t>
            </w:r>
          </w:p>
        </w:tc>
        <w:tc>
          <w:tcPr>
            <w:tcW w:w="4499" w:type="dxa"/>
            <w:tcBorders>
              <w:tl2br w:val="nil"/>
              <w:tr2bl w:val="nil"/>
            </w:tcBorders>
            <w:vAlign w:val="center"/>
          </w:tcPr>
          <w:p w14:paraId="1B226C59">
            <w:pPr>
              <w:spacing w:line="240" w:lineRule="auto"/>
              <w:ind w:firstLine="0" w:firstLineChars="0"/>
              <w:jc w:val="center"/>
              <w:rPr>
                <w:color w:val="auto"/>
                <w:sz w:val="21"/>
                <w:szCs w:val="21"/>
              </w:rPr>
            </w:pPr>
            <w:r>
              <w:rPr>
                <w:color w:val="auto"/>
                <w:sz w:val="21"/>
                <w:szCs w:val="21"/>
              </w:rPr>
              <w:t>HW02、HW</w:t>
            </w:r>
            <w:r>
              <w:rPr>
                <w:rFonts w:hint="eastAsia"/>
                <w:color w:val="auto"/>
                <w:sz w:val="21"/>
                <w:szCs w:val="21"/>
              </w:rPr>
              <w:t>0</w:t>
            </w:r>
            <w:r>
              <w:rPr>
                <w:color w:val="auto"/>
                <w:sz w:val="21"/>
                <w:szCs w:val="21"/>
              </w:rPr>
              <w:t>3、HW04、HW</w:t>
            </w:r>
            <w:r>
              <w:rPr>
                <w:rFonts w:hint="eastAsia"/>
                <w:color w:val="auto"/>
                <w:sz w:val="21"/>
                <w:szCs w:val="21"/>
              </w:rPr>
              <w:t>0</w:t>
            </w:r>
            <w:r>
              <w:rPr>
                <w:color w:val="auto"/>
                <w:sz w:val="21"/>
                <w:szCs w:val="21"/>
              </w:rPr>
              <w:t>5、HW06、HW</w:t>
            </w:r>
            <w:r>
              <w:rPr>
                <w:rFonts w:hint="eastAsia"/>
                <w:color w:val="auto"/>
                <w:sz w:val="21"/>
                <w:szCs w:val="21"/>
              </w:rPr>
              <w:t>0</w:t>
            </w:r>
            <w:r>
              <w:rPr>
                <w:color w:val="auto"/>
                <w:sz w:val="21"/>
                <w:szCs w:val="21"/>
              </w:rPr>
              <w:t>8</w:t>
            </w:r>
            <w:r>
              <w:rPr>
                <w:rFonts w:hint="eastAsia"/>
                <w:color w:val="auto"/>
                <w:sz w:val="21"/>
                <w:szCs w:val="21"/>
              </w:rPr>
              <w:t>、</w:t>
            </w:r>
            <w:r>
              <w:rPr>
                <w:color w:val="auto"/>
                <w:sz w:val="21"/>
                <w:szCs w:val="21"/>
              </w:rPr>
              <w:t>HW09、HW11、HW12、HW13、HW1</w:t>
            </w:r>
            <w:r>
              <w:rPr>
                <w:rFonts w:hint="eastAsia"/>
                <w:color w:val="auto"/>
                <w:sz w:val="21"/>
                <w:szCs w:val="21"/>
              </w:rPr>
              <w:t>4</w:t>
            </w:r>
            <w:r>
              <w:rPr>
                <w:color w:val="auto"/>
                <w:sz w:val="21"/>
                <w:szCs w:val="21"/>
              </w:rPr>
              <w:t>、HW1</w:t>
            </w:r>
            <w:r>
              <w:rPr>
                <w:rFonts w:hint="eastAsia"/>
                <w:color w:val="auto"/>
                <w:sz w:val="21"/>
                <w:szCs w:val="21"/>
              </w:rPr>
              <w:t>6</w:t>
            </w:r>
            <w:r>
              <w:rPr>
                <w:color w:val="auto"/>
                <w:sz w:val="21"/>
                <w:szCs w:val="21"/>
              </w:rPr>
              <w:t>、HW17、HW19、HW33、HW3</w:t>
            </w:r>
            <w:r>
              <w:rPr>
                <w:rFonts w:hint="eastAsia"/>
                <w:color w:val="auto"/>
                <w:sz w:val="21"/>
                <w:szCs w:val="21"/>
              </w:rPr>
              <w:t>4</w:t>
            </w:r>
            <w:r>
              <w:rPr>
                <w:color w:val="auto"/>
                <w:sz w:val="21"/>
                <w:szCs w:val="21"/>
              </w:rPr>
              <w:t>、HW37、HW38、HW39、HW40</w:t>
            </w:r>
            <w:r>
              <w:rPr>
                <w:rFonts w:hint="eastAsia"/>
                <w:color w:val="auto"/>
                <w:sz w:val="21"/>
                <w:szCs w:val="21"/>
              </w:rPr>
              <w:t>、HW45、HW49</w:t>
            </w:r>
            <w:r>
              <w:rPr>
                <w:color w:val="auto"/>
                <w:sz w:val="21"/>
                <w:szCs w:val="21"/>
              </w:rPr>
              <w:t>、HW</w:t>
            </w:r>
            <w:r>
              <w:rPr>
                <w:rFonts w:hint="eastAsia"/>
                <w:color w:val="auto"/>
                <w:sz w:val="21"/>
                <w:szCs w:val="21"/>
              </w:rPr>
              <w:t>50</w:t>
            </w:r>
            <w:r>
              <w:rPr>
                <w:color w:val="auto"/>
                <w:sz w:val="21"/>
                <w:szCs w:val="21"/>
              </w:rPr>
              <w:t>、HW</w:t>
            </w:r>
            <w:r>
              <w:rPr>
                <w:rFonts w:hint="eastAsia"/>
                <w:color w:val="auto"/>
                <w:sz w:val="21"/>
                <w:szCs w:val="21"/>
              </w:rPr>
              <w:t>07、HW01</w:t>
            </w:r>
          </w:p>
        </w:tc>
      </w:tr>
      <w:tr w14:paraId="39B2C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2062FDB7">
            <w:pPr>
              <w:spacing w:line="240" w:lineRule="auto"/>
              <w:ind w:firstLine="0" w:firstLineChars="0"/>
              <w:jc w:val="center"/>
              <w:rPr>
                <w:color w:val="auto"/>
                <w:sz w:val="21"/>
                <w:szCs w:val="21"/>
              </w:rPr>
            </w:pPr>
            <w:r>
              <w:rPr>
                <w:rFonts w:hint="eastAsia"/>
                <w:color w:val="auto"/>
                <w:sz w:val="21"/>
                <w:szCs w:val="21"/>
              </w:rPr>
              <w:t>17</w:t>
            </w:r>
          </w:p>
        </w:tc>
        <w:tc>
          <w:tcPr>
            <w:tcW w:w="2503" w:type="dxa"/>
            <w:tcBorders>
              <w:tl2br w:val="nil"/>
              <w:tr2bl w:val="nil"/>
            </w:tcBorders>
            <w:vAlign w:val="center"/>
          </w:tcPr>
          <w:p w14:paraId="10AC07C3">
            <w:pPr>
              <w:spacing w:line="240" w:lineRule="auto"/>
              <w:ind w:firstLine="0" w:firstLineChars="0"/>
              <w:jc w:val="center"/>
              <w:rPr>
                <w:color w:val="auto"/>
                <w:sz w:val="21"/>
                <w:szCs w:val="21"/>
              </w:rPr>
            </w:pPr>
            <w:r>
              <w:rPr>
                <w:rFonts w:hint="eastAsia"/>
                <w:color w:val="auto"/>
                <w:sz w:val="21"/>
                <w:szCs w:val="21"/>
              </w:rPr>
              <w:t>连云港市万事兴环保科技有限公司</w:t>
            </w:r>
          </w:p>
        </w:tc>
        <w:tc>
          <w:tcPr>
            <w:tcW w:w="1712" w:type="dxa"/>
            <w:tcBorders>
              <w:tl2br w:val="nil"/>
              <w:tr2bl w:val="nil"/>
            </w:tcBorders>
            <w:vAlign w:val="center"/>
          </w:tcPr>
          <w:p w14:paraId="32B272BF">
            <w:pPr>
              <w:spacing w:line="240" w:lineRule="auto"/>
              <w:ind w:firstLine="0" w:firstLineChars="0"/>
              <w:jc w:val="center"/>
              <w:rPr>
                <w:color w:val="auto"/>
                <w:sz w:val="21"/>
                <w:szCs w:val="21"/>
              </w:rPr>
            </w:pPr>
            <w:r>
              <w:rPr>
                <w:rFonts w:hint="eastAsia"/>
                <w:color w:val="auto"/>
                <w:sz w:val="21"/>
                <w:szCs w:val="21"/>
              </w:rPr>
              <w:t>368000</w:t>
            </w:r>
          </w:p>
        </w:tc>
        <w:tc>
          <w:tcPr>
            <w:tcW w:w="4499" w:type="dxa"/>
            <w:tcBorders>
              <w:tl2br w:val="nil"/>
              <w:tr2bl w:val="nil"/>
            </w:tcBorders>
            <w:vAlign w:val="center"/>
          </w:tcPr>
          <w:p w14:paraId="02E8D7FE">
            <w:pPr>
              <w:spacing w:line="240" w:lineRule="auto"/>
              <w:ind w:firstLine="0" w:firstLineChars="0"/>
              <w:jc w:val="center"/>
              <w:rPr>
                <w:color w:val="auto"/>
                <w:sz w:val="21"/>
                <w:szCs w:val="21"/>
              </w:rPr>
            </w:pPr>
            <w:r>
              <w:rPr>
                <w:color w:val="auto"/>
                <w:sz w:val="21"/>
                <w:szCs w:val="21"/>
              </w:rPr>
              <w:t>HW</w:t>
            </w:r>
            <w:r>
              <w:rPr>
                <w:rFonts w:hint="eastAsia"/>
                <w:color w:val="auto"/>
                <w:sz w:val="21"/>
                <w:szCs w:val="21"/>
              </w:rPr>
              <w:t>04</w:t>
            </w:r>
            <w:r>
              <w:rPr>
                <w:color w:val="auto"/>
                <w:sz w:val="21"/>
                <w:szCs w:val="21"/>
              </w:rPr>
              <w:t>、HW</w:t>
            </w:r>
            <w:r>
              <w:rPr>
                <w:rFonts w:hint="eastAsia"/>
                <w:color w:val="auto"/>
                <w:sz w:val="21"/>
                <w:szCs w:val="21"/>
              </w:rPr>
              <w:t>49、HW08</w:t>
            </w:r>
          </w:p>
        </w:tc>
      </w:tr>
      <w:tr w14:paraId="48ADE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1B74BBD1">
            <w:pPr>
              <w:spacing w:line="240" w:lineRule="auto"/>
              <w:ind w:firstLine="0" w:firstLineChars="0"/>
              <w:jc w:val="center"/>
              <w:rPr>
                <w:color w:val="auto"/>
                <w:sz w:val="21"/>
                <w:szCs w:val="21"/>
              </w:rPr>
            </w:pPr>
            <w:r>
              <w:rPr>
                <w:rFonts w:hint="eastAsia"/>
                <w:color w:val="auto"/>
                <w:sz w:val="21"/>
                <w:szCs w:val="21"/>
              </w:rPr>
              <w:t>18</w:t>
            </w:r>
          </w:p>
        </w:tc>
        <w:tc>
          <w:tcPr>
            <w:tcW w:w="2503" w:type="dxa"/>
            <w:tcBorders>
              <w:tl2br w:val="nil"/>
              <w:tr2bl w:val="nil"/>
            </w:tcBorders>
            <w:vAlign w:val="center"/>
          </w:tcPr>
          <w:p w14:paraId="68561452">
            <w:pPr>
              <w:spacing w:line="240" w:lineRule="auto"/>
              <w:ind w:firstLine="0" w:firstLineChars="0"/>
              <w:jc w:val="center"/>
              <w:rPr>
                <w:color w:val="auto"/>
                <w:sz w:val="21"/>
                <w:szCs w:val="21"/>
              </w:rPr>
            </w:pPr>
            <w:r>
              <w:rPr>
                <w:rFonts w:hint="eastAsia"/>
                <w:color w:val="auto"/>
                <w:sz w:val="21"/>
                <w:szCs w:val="21"/>
              </w:rPr>
              <w:t>江苏恒兴环保科技有限公司</w:t>
            </w:r>
          </w:p>
        </w:tc>
        <w:tc>
          <w:tcPr>
            <w:tcW w:w="1712" w:type="dxa"/>
            <w:tcBorders>
              <w:tl2br w:val="nil"/>
              <w:tr2bl w:val="nil"/>
            </w:tcBorders>
            <w:vAlign w:val="center"/>
          </w:tcPr>
          <w:p w14:paraId="49566DFF">
            <w:pPr>
              <w:spacing w:line="240" w:lineRule="auto"/>
              <w:ind w:firstLine="0" w:firstLineChars="0"/>
              <w:jc w:val="center"/>
              <w:rPr>
                <w:color w:val="auto"/>
                <w:sz w:val="21"/>
                <w:szCs w:val="21"/>
              </w:rPr>
            </w:pPr>
            <w:r>
              <w:rPr>
                <w:rFonts w:hint="eastAsia"/>
                <w:color w:val="auto"/>
                <w:sz w:val="21"/>
                <w:szCs w:val="21"/>
              </w:rPr>
              <w:t>90000</w:t>
            </w:r>
          </w:p>
        </w:tc>
        <w:tc>
          <w:tcPr>
            <w:tcW w:w="4499" w:type="dxa"/>
            <w:tcBorders>
              <w:tl2br w:val="nil"/>
              <w:tr2bl w:val="nil"/>
            </w:tcBorders>
            <w:vAlign w:val="center"/>
          </w:tcPr>
          <w:p w14:paraId="13C6B22C">
            <w:pPr>
              <w:spacing w:line="240" w:lineRule="auto"/>
              <w:ind w:firstLine="0" w:firstLineChars="0"/>
              <w:jc w:val="center"/>
              <w:rPr>
                <w:color w:val="auto"/>
                <w:sz w:val="21"/>
                <w:szCs w:val="21"/>
              </w:rPr>
            </w:pPr>
            <w:r>
              <w:rPr>
                <w:rFonts w:hint="eastAsia"/>
                <w:color w:val="auto"/>
                <w:sz w:val="21"/>
                <w:szCs w:val="21"/>
              </w:rPr>
              <w:t>HW08</w:t>
            </w:r>
          </w:p>
        </w:tc>
      </w:tr>
      <w:tr w14:paraId="0DB5C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53DCAAFB">
            <w:pPr>
              <w:spacing w:line="240" w:lineRule="auto"/>
              <w:ind w:firstLine="0" w:firstLineChars="0"/>
              <w:jc w:val="center"/>
              <w:rPr>
                <w:color w:val="auto"/>
                <w:sz w:val="21"/>
                <w:szCs w:val="21"/>
              </w:rPr>
            </w:pPr>
            <w:r>
              <w:rPr>
                <w:rFonts w:hint="eastAsia"/>
                <w:color w:val="auto"/>
                <w:sz w:val="21"/>
                <w:szCs w:val="21"/>
              </w:rPr>
              <w:t>19</w:t>
            </w:r>
          </w:p>
        </w:tc>
        <w:tc>
          <w:tcPr>
            <w:tcW w:w="2503" w:type="dxa"/>
            <w:tcBorders>
              <w:tl2br w:val="nil"/>
              <w:tr2bl w:val="nil"/>
            </w:tcBorders>
            <w:vAlign w:val="center"/>
          </w:tcPr>
          <w:p w14:paraId="53983281">
            <w:pPr>
              <w:spacing w:line="240" w:lineRule="auto"/>
              <w:ind w:firstLine="0" w:firstLineChars="0"/>
              <w:jc w:val="center"/>
              <w:rPr>
                <w:color w:val="auto"/>
                <w:sz w:val="21"/>
                <w:szCs w:val="21"/>
              </w:rPr>
            </w:pPr>
            <w:r>
              <w:rPr>
                <w:rFonts w:hint="eastAsia"/>
                <w:color w:val="auto"/>
                <w:sz w:val="21"/>
                <w:szCs w:val="21"/>
              </w:rPr>
              <w:t>东海县泰隆再生资源有限公司</w:t>
            </w:r>
          </w:p>
        </w:tc>
        <w:tc>
          <w:tcPr>
            <w:tcW w:w="1712" w:type="dxa"/>
            <w:tcBorders>
              <w:tl2br w:val="nil"/>
              <w:tr2bl w:val="nil"/>
            </w:tcBorders>
            <w:vAlign w:val="center"/>
          </w:tcPr>
          <w:p w14:paraId="10D6581B">
            <w:pPr>
              <w:spacing w:line="240" w:lineRule="auto"/>
              <w:ind w:firstLine="0" w:firstLineChars="0"/>
              <w:jc w:val="center"/>
              <w:rPr>
                <w:color w:val="auto"/>
                <w:sz w:val="21"/>
                <w:szCs w:val="21"/>
              </w:rPr>
            </w:pPr>
            <w:r>
              <w:rPr>
                <w:rFonts w:hint="eastAsia"/>
                <w:color w:val="auto"/>
                <w:sz w:val="21"/>
                <w:szCs w:val="21"/>
              </w:rPr>
              <w:t>10000</w:t>
            </w:r>
          </w:p>
        </w:tc>
        <w:tc>
          <w:tcPr>
            <w:tcW w:w="4499" w:type="dxa"/>
            <w:tcBorders>
              <w:tl2br w:val="nil"/>
              <w:tr2bl w:val="nil"/>
            </w:tcBorders>
            <w:vAlign w:val="center"/>
          </w:tcPr>
          <w:p w14:paraId="09FEC41A">
            <w:pPr>
              <w:spacing w:line="240" w:lineRule="auto"/>
              <w:ind w:firstLine="0" w:firstLineChars="0"/>
              <w:jc w:val="center"/>
              <w:rPr>
                <w:color w:val="auto"/>
                <w:sz w:val="21"/>
                <w:szCs w:val="21"/>
              </w:rPr>
            </w:pPr>
            <w:r>
              <w:rPr>
                <w:rFonts w:hint="eastAsia"/>
                <w:color w:val="auto"/>
                <w:sz w:val="21"/>
                <w:szCs w:val="21"/>
              </w:rPr>
              <w:t>HW08</w:t>
            </w:r>
          </w:p>
        </w:tc>
      </w:tr>
      <w:tr w14:paraId="36679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11A3157F">
            <w:pPr>
              <w:spacing w:line="240" w:lineRule="auto"/>
              <w:ind w:firstLine="0" w:firstLineChars="0"/>
              <w:jc w:val="center"/>
              <w:rPr>
                <w:color w:val="auto"/>
                <w:sz w:val="21"/>
                <w:szCs w:val="21"/>
              </w:rPr>
            </w:pPr>
            <w:r>
              <w:rPr>
                <w:rFonts w:hint="eastAsia"/>
                <w:color w:val="auto"/>
                <w:sz w:val="21"/>
                <w:szCs w:val="21"/>
              </w:rPr>
              <w:t>20</w:t>
            </w:r>
          </w:p>
        </w:tc>
        <w:tc>
          <w:tcPr>
            <w:tcW w:w="2503" w:type="dxa"/>
            <w:tcBorders>
              <w:tl2br w:val="nil"/>
              <w:tr2bl w:val="nil"/>
            </w:tcBorders>
            <w:vAlign w:val="center"/>
          </w:tcPr>
          <w:p w14:paraId="387C6AB3">
            <w:pPr>
              <w:spacing w:line="240" w:lineRule="auto"/>
              <w:ind w:firstLine="0" w:firstLineChars="0"/>
              <w:jc w:val="center"/>
              <w:rPr>
                <w:color w:val="auto"/>
                <w:sz w:val="21"/>
                <w:szCs w:val="21"/>
              </w:rPr>
            </w:pPr>
            <w:r>
              <w:rPr>
                <w:rFonts w:hint="eastAsia"/>
                <w:color w:val="auto"/>
                <w:sz w:val="21"/>
                <w:szCs w:val="21"/>
              </w:rPr>
              <w:t>中节能（连云港）清洁技术发展有限公司</w:t>
            </w:r>
          </w:p>
        </w:tc>
        <w:tc>
          <w:tcPr>
            <w:tcW w:w="1712" w:type="dxa"/>
            <w:tcBorders>
              <w:tl2br w:val="nil"/>
              <w:tr2bl w:val="nil"/>
            </w:tcBorders>
            <w:vAlign w:val="center"/>
          </w:tcPr>
          <w:p w14:paraId="18162C66">
            <w:pPr>
              <w:spacing w:line="240" w:lineRule="auto"/>
              <w:ind w:firstLine="0" w:firstLineChars="0"/>
              <w:jc w:val="center"/>
              <w:rPr>
                <w:color w:val="auto"/>
                <w:sz w:val="21"/>
                <w:szCs w:val="21"/>
              </w:rPr>
            </w:pPr>
            <w:r>
              <w:rPr>
                <w:rFonts w:hint="eastAsia"/>
                <w:color w:val="auto"/>
                <w:sz w:val="21"/>
                <w:szCs w:val="21"/>
              </w:rPr>
              <w:t>25000</w:t>
            </w:r>
          </w:p>
        </w:tc>
        <w:tc>
          <w:tcPr>
            <w:tcW w:w="4499" w:type="dxa"/>
            <w:tcBorders>
              <w:tl2br w:val="nil"/>
              <w:tr2bl w:val="nil"/>
            </w:tcBorders>
            <w:vAlign w:val="center"/>
          </w:tcPr>
          <w:p w14:paraId="25B1F097">
            <w:pPr>
              <w:spacing w:line="240" w:lineRule="auto"/>
              <w:ind w:firstLine="0" w:firstLineChars="0"/>
              <w:jc w:val="center"/>
              <w:rPr>
                <w:color w:val="auto"/>
                <w:sz w:val="21"/>
                <w:szCs w:val="21"/>
              </w:rPr>
            </w:pPr>
            <w:r>
              <w:rPr>
                <w:color w:val="auto"/>
                <w:sz w:val="21"/>
                <w:szCs w:val="21"/>
              </w:rPr>
              <w:t>HW</w:t>
            </w:r>
            <w:r>
              <w:rPr>
                <w:rFonts w:hint="eastAsia"/>
                <w:color w:val="auto"/>
                <w:sz w:val="21"/>
                <w:szCs w:val="21"/>
              </w:rPr>
              <w:t>17</w:t>
            </w:r>
            <w:r>
              <w:rPr>
                <w:color w:val="auto"/>
                <w:sz w:val="21"/>
                <w:szCs w:val="21"/>
              </w:rPr>
              <w:t>、HW</w:t>
            </w:r>
            <w:r>
              <w:rPr>
                <w:rFonts w:hint="eastAsia"/>
                <w:color w:val="auto"/>
                <w:sz w:val="21"/>
                <w:szCs w:val="21"/>
              </w:rPr>
              <w:t>18</w:t>
            </w:r>
            <w:r>
              <w:rPr>
                <w:color w:val="auto"/>
                <w:sz w:val="21"/>
                <w:szCs w:val="21"/>
              </w:rPr>
              <w:t>、HW</w:t>
            </w:r>
            <w:r>
              <w:rPr>
                <w:rFonts w:hint="eastAsia"/>
                <w:color w:val="auto"/>
                <w:sz w:val="21"/>
                <w:szCs w:val="21"/>
              </w:rPr>
              <w:t>19</w:t>
            </w:r>
            <w:r>
              <w:rPr>
                <w:color w:val="auto"/>
                <w:sz w:val="21"/>
                <w:szCs w:val="21"/>
              </w:rPr>
              <w:t>、HW</w:t>
            </w:r>
            <w:r>
              <w:rPr>
                <w:rFonts w:hint="eastAsia"/>
                <w:color w:val="auto"/>
                <w:sz w:val="21"/>
                <w:szCs w:val="21"/>
              </w:rPr>
              <w:t>29</w:t>
            </w:r>
            <w:r>
              <w:rPr>
                <w:color w:val="auto"/>
                <w:sz w:val="21"/>
                <w:szCs w:val="21"/>
              </w:rPr>
              <w:t>、HW</w:t>
            </w:r>
            <w:r>
              <w:rPr>
                <w:rFonts w:hint="eastAsia"/>
                <w:color w:val="auto"/>
                <w:sz w:val="21"/>
                <w:szCs w:val="21"/>
              </w:rPr>
              <w:t>30</w:t>
            </w:r>
            <w:r>
              <w:rPr>
                <w:color w:val="auto"/>
                <w:sz w:val="21"/>
                <w:szCs w:val="21"/>
              </w:rPr>
              <w:t>、HW08、HW09、HW11、HW12、HW13、HW14、HW16、HW17、HW19、HW33、HW34、HW37、HW38、HW39、HW40、HW45、HW49、HW50、HW07、HW01</w:t>
            </w:r>
          </w:p>
        </w:tc>
      </w:tr>
      <w:tr w14:paraId="7C361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3F5D3F3F">
            <w:pPr>
              <w:spacing w:line="240" w:lineRule="auto"/>
              <w:ind w:firstLine="0" w:firstLineChars="0"/>
              <w:jc w:val="center"/>
              <w:rPr>
                <w:color w:val="auto"/>
                <w:sz w:val="21"/>
                <w:szCs w:val="21"/>
              </w:rPr>
            </w:pPr>
            <w:r>
              <w:rPr>
                <w:rFonts w:hint="eastAsia"/>
                <w:color w:val="auto"/>
                <w:sz w:val="21"/>
                <w:szCs w:val="21"/>
              </w:rPr>
              <w:t>21</w:t>
            </w:r>
          </w:p>
        </w:tc>
        <w:tc>
          <w:tcPr>
            <w:tcW w:w="2503" w:type="dxa"/>
            <w:tcBorders>
              <w:tl2br w:val="nil"/>
              <w:tr2bl w:val="nil"/>
            </w:tcBorders>
            <w:vAlign w:val="center"/>
          </w:tcPr>
          <w:p w14:paraId="775020C3">
            <w:pPr>
              <w:spacing w:line="240" w:lineRule="auto"/>
              <w:ind w:firstLine="0" w:firstLineChars="0"/>
              <w:jc w:val="center"/>
              <w:rPr>
                <w:color w:val="auto"/>
                <w:sz w:val="21"/>
                <w:szCs w:val="21"/>
              </w:rPr>
            </w:pPr>
            <w:r>
              <w:rPr>
                <w:rFonts w:hint="eastAsia"/>
                <w:color w:val="auto"/>
                <w:sz w:val="21"/>
                <w:szCs w:val="21"/>
              </w:rPr>
              <w:t>江苏轩海化工包装容器有限公司</w:t>
            </w:r>
          </w:p>
        </w:tc>
        <w:tc>
          <w:tcPr>
            <w:tcW w:w="1712" w:type="dxa"/>
            <w:tcBorders>
              <w:tl2br w:val="nil"/>
              <w:tr2bl w:val="nil"/>
            </w:tcBorders>
            <w:vAlign w:val="center"/>
          </w:tcPr>
          <w:p w14:paraId="5805C09D">
            <w:pPr>
              <w:spacing w:line="240" w:lineRule="auto"/>
              <w:ind w:firstLine="0" w:firstLineChars="0"/>
              <w:jc w:val="center"/>
              <w:rPr>
                <w:color w:val="auto"/>
                <w:sz w:val="21"/>
                <w:szCs w:val="21"/>
              </w:rPr>
            </w:pPr>
            <w:r>
              <w:rPr>
                <w:rFonts w:hint="eastAsia"/>
                <w:color w:val="auto"/>
                <w:sz w:val="21"/>
                <w:szCs w:val="21"/>
              </w:rPr>
              <w:t>200000只</w:t>
            </w:r>
          </w:p>
        </w:tc>
        <w:tc>
          <w:tcPr>
            <w:tcW w:w="4499" w:type="dxa"/>
            <w:tcBorders>
              <w:tl2br w:val="nil"/>
              <w:tr2bl w:val="nil"/>
            </w:tcBorders>
            <w:vAlign w:val="center"/>
          </w:tcPr>
          <w:p w14:paraId="6FBB36E7">
            <w:pPr>
              <w:spacing w:line="240" w:lineRule="auto"/>
              <w:ind w:firstLine="0" w:firstLineChars="0"/>
              <w:jc w:val="center"/>
              <w:rPr>
                <w:color w:val="auto"/>
                <w:sz w:val="21"/>
                <w:szCs w:val="21"/>
              </w:rPr>
            </w:pPr>
            <w:r>
              <w:rPr>
                <w:color w:val="auto"/>
                <w:sz w:val="21"/>
                <w:szCs w:val="21"/>
              </w:rPr>
              <w:t>HW</w:t>
            </w:r>
            <w:r>
              <w:rPr>
                <w:rFonts w:hint="eastAsia"/>
                <w:color w:val="auto"/>
                <w:sz w:val="21"/>
                <w:szCs w:val="21"/>
              </w:rPr>
              <w:t>04(900-003-04)</w:t>
            </w:r>
            <w:r>
              <w:rPr>
                <w:color w:val="auto"/>
                <w:sz w:val="21"/>
                <w:szCs w:val="21"/>
              </w:rPr>
              <w:t>、HW</w:t>
            </w:r>
            <w:r>
              <w:rPr>
                <w:rFonts w:hint="eastAsia"/>
                <w:color w:val="auto"/>
                <w:sz w:val="21"/>
                <w:szCs w:val="21"/>
              </w:rPr>
              <w:t>49(900-041-49、900-047-49)、HW08(900-249-08)</w:t>
            </w:r>
          </w:p>
        </w:tc>
      </w:tr>
      <w:tr w14:paraId="11503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4304589B">
            <w:pPr>
              <w:spacing w:line="240" w:lineRule="auto"/>
              <w:ind w:firstLine="0" w:firstLineChars="0"/>
              <w:jc w:val="center"/>
              <w:rPr>
                <w:color w:val="auto"/>
                <w:sz w:val="21"/>
                <w:szCs w:val="21"/>
              </w:rPr>
            </w:pPr>
            <w:r>
              <w:rPr>
                <w:rFonts w:hint="eastAsia"/>
                <w:color w:val="auto"/>
                <w:sz w:val="21"/>
                <w:szCs w:val="21"/>
              </w:rPr>
              <w:t>22</w:t>
            </w:r>
          </w:p>
        </w:tc>
        <w:tc>
          <w:tcPr>
            <w:tcW w:w="2503" w:type="dxa"/>
            <w:tcBorders>
              <w:tl2br w:val="nil"/>
              <w:tr2bl w:val="nil"/>
            </w:tcBorders>
            <w:vAlign w:val="center"/>
          </w:tcPr>
          <w:p w14:paraId="18C7FBAB">
            <w:pPr>
              <w:spacing w:line="240" w:lineRule="auto"/>
              <w:ind w:firstLine="0" w:firstLineChars="0"/>
              <w:jc w:val="center"/>
              <w:rPr>
                <w:color w:val="auto"/>
                <w:sz w:val="21"/>
                <w:szCs w:val="21"/>
              </w:rPr>
            </w:pPr>
            <w:r>
              <w:rPr>
                <w:rFonts w:hint="eastAsia"/>
                <w:color w:val="auto"/>
                <w:sz w:val="21"/>
                <w:szCs w:val="21"/>
              </w:rPr>
              <w:t>连云港长昊建材有限公司</w:t>
            </w:r>
          </w:p>
        </w:tc>
        <w:tc>
          <w:tcPr>
            <w:tcW w:w="1712" w:type="dxa"/>
            <w:tcBorders>
              <w:tl2br w:val="nil"/>
              <w:tr2bl w:val="nil"/>
            </w:tcBorders>
            <w:vAlign w:val="center"/>
          </w:tcPr>
          <w:p w14:paraId="4B0E7BEE">
            <w:pPr>
              <w:spacing w:line="240" w:lineRule="auto"/>
              <w:ind w:firstLine="0" w:firstLineChars="0"/>
              <w:jc w:val="center"/>
              <w:rPr>
                <w:color w:val="auto"/>
                <w:sz w:val="21"/>
                <w:szCs w:val="21"/>
              </w:rPr>
            </w:pPr>
            <w:r>
              <w:rPr>
                <w:rFonts w:hint="eastAsia"/>
                <w:color w:val="auto"/>
                <w:sz w:val="21"/>
                <w:szCs w:val="21"/>
              </w:rPr>
              <w:t>6000</w:t>
            </w:r>
          </w:p>
        </w:tc>
        <w:tc>
          <w:tcPr>
            <w:tcW w:w="4499" w:type="dxa"/>
            <w:tcBorders>
              <w:tl2br w:val="nil"/>
              <w:tr2bl w:val="nil"/>
            </w:tcBorders>
            <w:vAlign w:val="center"/>
          </w:tcPr>
          <w:p w14:paraId="05B524C5">
            <w:pPr>
              <w:spacing w:line="240" w:lineRule="auto"/>
              <w:ind w:firstLine="0" w:firstLineChars="0"/>
              <w:jc w:val="center"/>
              <w:rPr>
                <w:color w:val="auto"/>
                <w:sz w:val="21"/>
                <w:szCs w:val="21"/>
              </w:rPr>
            </w:pPr>
            <w:r>
              <w:rPr>
                <w:rFonts w:hint="eastAsia"/>
                <w:color w:val="auto"/>
                <w:sz w:val="21"/>
                <w:szCs w:val="21"/>
              </w:rPr>
              <w:t>HW13</w:t>
            </w:r>
          </w:p>
        </w:tc>
      </w:tr>
      <w:tr w14:paraId="317AF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4E106E8B">
            <w:pPr>
              <w:spacing w:line="240" w:lineRule="auto"/>
              <w:ind w:firstLine="0" w:firstLineChars="0"/>
              <w:jc w:val="center"/>
              <w:rPr>
                <w:color w:val="auto"/>
                <w:sz w:val="21"/>
                <w:szCs w:val="21"/>
              </w:rPr>
            </w:pPr>
            <w:r>
              <w:rPr>
                <w:rFonts w:hint="eastAsia"/>
                <w:color w:val="auto"/>
                <w:sz w:val="21"/>
                <w:szCs w:val="21"/>
              </w:rPr>
              <w:t>23</w:t>
            </w:r>
          </w:p>
        </w:tc>
        <w:tc>
          <w:tcPr>
            <w:tcW w:w="2503" w:type="dxa"/>
            <w:tcBorders>
              <w:tl2br w:val="nil"/>
              <w:tr2bl w:val="nil"/>
            </w:tcBorders>
            <w:vAlign w:val="center"/>
          </w:tcPr>
          <w:p w14:paraId="676D9CC4">
            <w:pPr>
              <w:spacing w:line="240" w:lineRule="auto"/>
              <w:ind w:firstLine="0" w:firstLineChars="0"/>
              <w:jc w:val="center"/>
              <w:rPr>
                <w:color w:val="auto"/>
                <w:sz w:val="21"/>
                <w:szCs w:val="21"/>
              </w:rPr>
            </w:pPr>
            <w:r>
              <w:rPr>
                <w:rFonts w:hint="eastAsia"/>
                <w:color w:val="auto"/>
                <w:sz w:val="21"/>
                <w:szCs w:val="21"/>
              </w:rPr>
              <w:t>丰益高分子材料（连云港）有限公司</w:t>
            </w:r>
          </w:p>
        </w:tc>
        <w:tc>
          <w:tcPr>
            <w:tcW w:w="1712" w:type="dxa"/>
            <w:tcBorders>
              <w:tl2br w:val="nil"/>
              <w:tr2bl w:val="nil"/>
            </w:tcBorders>
            <w:vAlign w:val="center"/>
          </w:tcPr>
          <w:p w14:paraId="7323F5F9">
            <w:pPr>
              <w:spacing w:line="240" w:lineRule="auto"/>
              <w:ind w:firstLine="0" w:firstLineChars="0"/>
              <w:jc w:val="center"/>
              <w:rPr>
                <w:color w:val="auto"/>
                <w:sz w:val="21"/>
                <w:szCs w:val="21"/>
              </w:rPr>
            </w:pPr>
            <w:r>
              <w:rPr>
                <w:rFonts w:hint="eastAsia"/>
                <w:color w:val="auto"/>
                <w:sz w:val="21"/>
                <w:szCs w:val="21"/>
              </w:rPr>
              <w:t>9900</w:t>
            </w:r>
          </w:p>
        </w:tc>
        <w:tc>
          <w:tcPr>
            <w:tcW w:w="4499" w:type="dxa"/>
            <w:tcBorders>
              <w:tl2br w:val="nil"/>
              <w:tr2bl w:val="nil"/>
            </w:tcBorders>
            <w:vAlign w:val="center"/>
          </w:tcPr>
          <w:p w14:paraId="45A04B71">
            <w:pPr>
              <w:spacing w:line="240" w:lineRule="auto"/>
              <w:ind w:firstLine="0" w:firstLineChars="0"/>
              <w:jc w:val="center"/>
              <w:rPr>
                <w:color w:val="auto"/>
                <w:sz w:val="21"/>
                <w:szCs w:val="21"/>
              </w:rPr>
            </w:pPr>
            <w:r>
              <w:rPr>
                <w:color w:val="auto"/>
                <w:sz w:val="21"/>
                <w:szCs w:val="21"/>
              </w:rPr>
              <w:t>HW</w:t>
            </w:r>
            <w:r>
              <w:rPr>
                <w:rFonts w:hint="eastAsia"/>
                <w:color w:val="auto"/>
                <w:sz w:val="21"/>
                <w:szCs w:val="21"/>
              </w:rPr>
              <w:t>02</w:t>
            </w:r>
            <w:r>
              <w:rPr>
                <w:color w:val="auto"/>
                <w:sz w:val="21"/>
                <w:szCs w:val="21"/>
              </w:rPr>
              <w:t>、HW</w:t>
            </w:r>
            <w:r>
              <w:rPr>
                <w:rFonts w:hint="eastAsia"/>
                <w:color w:val="auto"/>
                <w:sz w:val="21"/>
                <w:szCs w:val="21"/>
              </w:rPr>
              <w:t>06</w:t>
            </w:r>
            <w:r>
              <w:rPr>
                <w:color w:val="auto"/>
                <w:sz w:val="21"/>
                <w:szCs w:val="21"/>
              </w:rPr>
              <w:t>、HW</w:t>
            </w:r>
            <w:r>
              <w:rPr>
                <w:rFonts w:hint="eastAsia"/>
                <w:color w:val="auto"/>
                <w:sz w:val="21"/>
                <w:szCs w:val="21"/>
              </w:rPr>
              <w:t>08</w:t>
            </w:r>
            <w:r>
              <w:rPr>
                <w:color w:val="auto"/>
                <w:sz w:val="21"/>
                <w:szCs w:val="21"/>
              </w:rPr>
              <w:t>、HW</w:t>
            </w:r>
            <w:r>
              <w:rPr>
                <w:rFonts w:hint="eastAsia"/>
                <w:color w:val="auto"/>
                <w:sz w:val="21"/>
                <w:szCs w:val="21"/>
              </w:rPr>
              <w:t>09</w:t>
            </w:r>
            <w:r>
              <w:rPr>
                <w:color w:val="auto"/>
                <w:sz w:val="21"/>
                <w:szCs w:val="21"/>
              </w:rPr>
              <w:t>、HW</w:t>
            </w:r>
            <w:r>
              <w:rPr>
                <w:rFonts w:hint="eastAsia"/>
                <w:color w:val="auto"/>
                <w:sz w:val="21"/>
                <w:szCs w:val="21"/>
              </w:rPr>
              <w:t>11</w:t>
            </w:r>
            <w:r>
              <w:rPr>
                <w:color w:val="auto"/>
                <w:sz w:val="21"/>
                <w:szCs w:val="21"/>
              </w:rPr>
              <w:t>、HW</w:t>
            </w:r>
            <w:r>
              <w:rPr>
                <w:rFonts w:hint="eastAsia"/>
                <w:color w:val="auto"/>
                <w:sz w:val="21"/>
                <w:szCs w:val="21"/>
              </w:rPr>
              <w:t>12</w:t>
            </w:r>
            <w:r>
              <w:rPr>
                <w:color w:val="auto"/>
                <w:sz w:val="21"/>
                <w:szCs w:val="21"/>
              </w:rPr>
              <w:t>、HW</w:t>
            </w:r>
            <w:r>
              <w:rPr>
                <w:rFonts w:hint="eastAsia"/>
                <w:color w:val="auto"/>
                <w:sz w:val="21"/>
                <w:szCs w:val="21"/>
              </w:rPr>
              <w:t>13</w:t>
            </w:r>
            <w:r>
              <w:rPr>
                <w:color w:val="auto"/>
                <w:sz w:val="21"/>
                <w:szCs w:val="21"/>
              </w:rPr>
              <w:t>、HW</w:t>
            </w:r>
            <w:r>
              <w:rPr>
                <w:rFonts w:hint="eastAsia"/>
                <w:color w:val="auto"/>
                <w:sz w:val="21"/>
                <w:szCs w:val="21"/>
              </w:rPr>
              <w:t>16</w:t>
            </w:r>
            <w:r>
              <w:rPr>
                <w:color w:val="auto"/>
                <w:sz w:val="21"/>
                <w:szCs w:val="21"/>
              </w:rPr>
              <w:t>、HW3</w:t>
            </w:r>
            <w:r>
              <w:rPr>
                <w:rFonts w:hint="eastAsia"/>
                <w:color w:val="auto"/>
                <w:sz w:val="21"/>
                <w:szCs w:val="21"/>
              </w:rPr>
              <w:t>9</w:t>
            </w:r>
            <w:r>
              <w:rPr>
                <w:color w:val="auto"/>
                <w:sz w:val="21"/>
                <w:szCs w:val="21"/>
              </w:rPr>
              <w:t>、HW</w:t>
            </w:r>
            <w:r>
              <w:rPr>
                <w:rFonts w:hint="eastAsia"/>
                <w:color w:val="auto"/>
                <w:sz w:val="21"/>
                <w:szCs w:val="21"/>
              </w:rPr>
              <w:t>40、HW45</w:t>
            </w:r>
            <w:r>
              <w:rPr>
                <w:color w:val="auto"/>
                <w:sz w:val="21"/>
                <w:szCs w:val="21"/>
              </w:rPr>
              <w:t>、HW</w:t>
            </w:r>
            <w:r>
              <w:rPr>
                <w:rFonts w:hint="eastAsia"/>
                <w:color w:val="auto"/>
                <w:sz w:val="21"/>
                <w:szCs w:val="21"/>
              </w:rPr>
              <w:t>49</w:t>
            </w:r>
          </w:p>
        </w:tc>
      </w:tr>
      <w:tr w14:paraId="6BE70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56411AA4">
            <w:pPr>
              <w:spacing w:line="240" w:lineRule="auto"/>
              <w:ind w:firstLine="0" w:firstLineChars="0"/>
              <w:jc w:val="center"/>
              <w:rPr>
                <w:color w:val="auto"/>
                <w:sz w:val="21"/>
                <w:szCs w:val="21"/>
              </w:rPr>
            </w:pPr>
            <w:r>
              <w:rPr>
                <w:rFonts w:hint="eastAsia"/>
                <w:color w:val="auto"/>
                <w:sz w:val="21"/>
                <w:szCs w:val="21"/>
              </w:rPr>
              <w:t>24</w:t>
            </w:r>
          </w:p>
        </w:tc>
        <w:tc>
          <w:tcPr>
            <w:tcW w:w="2503" w:type="dxa"/>
            <w:tcBorders>
              <w:tl2br w:val="nil"/>
              <w:tr2bl w:val="nil"/>
            </w:tcBorders>
            <w:vAlign w:val="center"/>
          </w:tcPr>
          <w:p w14:paraId="1AA7DB13">
            <w:pPr>
              <w:spacing w:line="240" w:lineRule="auto"/>
              <w:ind w:firstLine="0" w:firstLineChars="0"/>
              <w:jc w:val="center"/>
              <w:rPr>
                <w:color w:val="auto"/>
                <w:sz w:val="21"/>
                <w:szCs w:val="21"/>
              </w:rPr>
            </w:pPr>
            <w:r>
              <w:rPr>
                <w:rFonts w:hint="eastAsia"/>
                <w:color w:val="auto"/>
                <w:sz w:val="21"/>
                <w:szCs w:val="21"/>
              </w:rPr>
              <w:t>连云港腾达再生资源回收有限公司</w:t>
            </w:r>
          </w:p>
        </w:tc>
        <w:tc>
          <w:tcPr>
            <w:tcW w:w="1712" w:type="dxa"/>
            <w:tcBorders>
              <w:tl2br w:val="nil"/>
              <w:tr2bl w:val="nil"/>
            </w:tcBorders>
            <w:vAlign w:val="center"/>
          </w:tcPr>
          <w:p w14:paraId="348C250B">
            <w:pPr>
              <w:spacing w:line="240" w:lineRule="auto"/>
              <w:ind w:firstLine="0" w:firstLineChars="0"/>
              <w:jc w:val="center"/>
              <w:rPr>
                <w:color w:val="auto"/>
                <w:sz w:val="21"/>
                <w:szCs w:val="21"/>
              </w:rPr>
            </w:pPr>
            <w:r>
              <w:rPr>
                <w:rFonts w:hint="eastAsia"/>
                <w:color w:val="auto"/>
                <w:sz w:val="21"/>
                <w:szCs w:val="21"/>
              </w:rPr>
              <w:t>4000</w:t>
            </w:r>
          </w:p>
        </w:tc>
        <w:tc>
          <w:tcPr>
            <w:tcW w:w="4499" w:type="dxa"/>
            <w:tcBorders>
              <w:tl2br w:val="nil"/>
              <w:tr2bl w:val="nil"/>
            </w:tcBorders>
            <w:vAlign w:val="center"/>
          </w:tcPr>
          <w:p w14:paraId="7F75F939">
            <w:pPr>
              <w:spacing w:line="240" w:lineRule="auto"/>
              <w:ind w:firstLine="0" w:firstLineChars="0"/>
              <w:jc w:val="center"/>
              <w:rPr>
                <w:color w:val="auto"/>
                <w:sz w:val="21"/>
                <w:szCs w:val="21"/>
              </w:rPr>
            </w:pPr>
            <w:r>
              <w:rPr>
                <w:rFonts w:hint="eastAsia"/>
                <w:color w:val="auto"/>
                <w:sz w:val="21"/>
                <w:szCs w:val="21"/>
              </w:rPr>
              <w:t>HW08</w:t>
            </w:r>
          </w:p>
        </w:tc>
      </w:tr>
      <w:tr w14:paraId="02DB3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18B4F6CE">
            <w:pPr>
              <w:spacing w:line="240" w:lineRule="auto"/>
              <w:ind w:firstLine="0" w:firstLineChars="0"/>
              <w:jc w:val="center"/>
              <w:rPr>
                <w:color w:val="auto"/>
                <w:sz w:val="21"/>
                <w:szCs w:val="21"/>
              </w:rPr>
            </w:pPr>
            <w:r>
              <w:rPr>
                <w:rFonts w:hint="eastAsia"/>
                <w:color w:val="auto"/>
                <w:sz w:val="21"/>
                <w:szCs w:val="21"/>
              </w:rPr>
              <w:t>25</w:t>
            </w:r>
          </w:p>
        </w:tc>
        <w:tc>
          <w:tcPr>
            <w:tcW w:w="2503" w:type="dxa"/>
            <w:tcBorders>
              <w:tl2br w:val="nil"/>
              <w:tr2bl w:val="nil"/>
            </w:tcBorders>
            <w:vAlign w:val="center"/>
          </w:tcPr>
          <w:p w14:paraId="716CF64E">
            <w:pPr>
              <w:spacing w:line="240" w:lineRule="auto"/>
              <w:ind w:firstLine="0" w:firstLineChars="0"/>
              <w:jc w:val="center"/>
              <w:rPr>
                <w:color w:val="auto"/>
                <w:sz w:val="21"/>
                <w:szCs w:val="21"/>
              </w:rPr>
            </w:pPr>
            <w:r>
              <w:rPr>
                <w:rFonts w:hint="eastAsia"/>
                <w:color w:val="auto"/>
                <w:sz w:val="21"/>
                <w:szCs w:val="21"/>
              </w:rPr>
              <w:t>连云港市赣榆金镍业有限公司</w:t>
            </w:r>
          </w:p>
        </w:tc>
        <w:tc>
          <w:tcPr>
            <w:tcW w:w="1712" w:type="dxa"/>
            <w:tcBorders>
              <w:tl2br w:val="nil"/>
              <w:tr2bl w:val="nil"/>
            </w:tcBorders>
            <w:vAlign w:val="center"/>
          </w:tcPr>
          <w:p w14:paraId="7C31F463">
            <w:pPr>
              <w:spacing w:line="240" w:lineRule="auto"/>
              <w:ind w:firstLine="0" w:firstLineChars="0"/>
              <w:jc w:val="center"/>
              <w:rPr>
                <w:color w:val="auto"/>
                <w:sz w:val="21"/>
                <w:szCs w:val="21"/>
              </w:rPr>
            </w:pPr>
            <w:r>
              <w:rPr>
                <w:rFonts w:hint="eastAsia"/>
                <w:color w:val="auto"/>
                <w:sz w:val="21"/>
                <w:szCs w:val="21"/>
              </w:rPr>
              <w:t>80000</w:t>
            </w:r>
          </w:p>
        </w:tc>
        <w:tc>
          <w:tcPr>
            <w:tcW w:w="4499" w:type="dxa"/>
            <w:tcBorders>
              <w:tl2br w:val="nil"/>
              <w:tr2bl w:val="nil"/>
            </w:tcBorders>
            <w:vAlign w:val="center"/>
          </w:tcPr>
          <w:p w14:paraId="23796317">
            <w:pPr>
              <w:spacing w:line="240" w:lineRule="auto"/>
              <w:ind w:firstLine="0" w:firstLineChars="0"/>
              <w:jc w:val="center"/>
              <w:rPr>
                <w:color w:val="auto"/>
                <w:sz w:val="21"/>
                <w:szCs w:val="21"/>
              </w:rPr>
            </w:pPr>
            <w:r>
              <w:rPr>
                <w:rFonts w:hint="eastAsia"/>
                <w:color w:val="auto"/>
                <w:sz w:val="21"/>
                <w:szCs w:val="21"/>
              </w:rPr>
              <w:t>HW17</w:t>
            </w:r>
          </w:p>
        </w:tc>
      </w:tr>
      <w:tr w14:paraId="0429F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2FC7B12F">
            <w:pPr>
              <w:spacing w:line="240" w:lineRule="auto"/>
              <w:ind w:firstLine="0" w:firstLineChars="0"/>
              <w:jc w:val="center"/>
              <w:rPr>
                <w:color w:val="auto"/>
                <w:sz w:val="21"/>
                <w:szCs w:val="21"/>
              </w:rPr>
            </w:pPr>
            <w:r>
              <w:rPr>
                <w:rFonts w:hint="eastAsia"/>
                <w:color w:val="auto"/>
                <w:sz w:val="21"/>
                <w:szCs w:val="21"/>
              </w:rPr>
              <w:t>26</w:t>
            </w:r>
          </w:p>
        </w:tc>
        <w:tc>
          <w:tcPr>
            <w:tcW w:w="2503" w:type="dxa"/>
            <w:tcBorders>
              <w:tl2br w:val="nil"/>
              <w:tr2bl w:val="nil"/>
            </w:tcBorders>
            <w:vAlign w:val="center"/>
          </w:tcPr>
          <w:p w14:paraId="1AE521E2">
            <w:pPr>
              <w:spacing w:line="240" w:lineRule="auto"/>
              <w:ind w:firstLine="0" w:firstLineChars="0"/>
              <w:jc w:val="center"/>
              <w:rPr>
                <w:color w:val="auto"/>
                <w:sz w:val="21"/>
                <w:szCs w:val="21"/>
              </w:rPr>
            </w:pPr>
            <w:r>
              <w:rPr>
                <w:rFonts w:hint="eastAsia"/>
                <w:color w:val="auto"/>
                <w:sz w:val="21"/>
                <w:szCs w:val="21"/>
              </w:rPr>
              <w:t>连云港有航再生资源回收有限公司</w:t>
            </w:r>
          </w:p>
        </w:tc>
        <w:tc>
          <w:tcPr>
            <w:tcW w:w="1712" w:type="dxa"/>
            <w:tcBorders>
              <w:tl2br w:val="nil"/>
              <w:tr2bl w:val="nil"/>
            </w:tcBorders>
            <w:vAlign w:val="center"/>
          </w:tcPr>
          <w:p w14:paraId="6351A25B">
            <w:pPr>
              <w:spacing w:line="240" w:lineRule="auto"/>
              <w:ind w:firstLine="0" w:firstLineChars="0"/>
              <w:jc w:val="center"/>
              <w:rPr>
                <w:color w:val="auto"/>
                <w:sz w:val="21"/>
                <w:szCs w:val="21"/>
              </w:rPr>
            </w:pPr>
            <w:r>
              <w:rPr>
                <w:rFonts w:hint="eastAsia"/>
                <w:color w:val="auto"/>
                <w:sz w:val="21"/>
                <w:szCs w:val="21"/>
              </w:rPr>
              <w:t>20000</w:t>
            </w:r>
          </w:p>
        </w:tc>
        <w:tc>
          <w:tcPr>
            <w:tcW w:w="4499" w:type="dxa"/>
            <w:tcBorders>
              <w:tl2br w:val="nil"/>
              <w:tr2bl w:val="nil"/>
            </w:tcBorders>
            <w:vAlign w:val="center"/>
          </w:tcPr>
          <w:p w14:paraId="4DCE734B">
            <w:pPr>
              <w:spacing w:line="240" w:lineRule="auto"/>
              <w:ind w:firstLine="0" w:firstLineChars="0"/>
              <w:jc w:val="center"/>
              <w:rPr>
                <w:color w:val="auto"/>
                <w:sz w:val="21"/>
                <w:szCs w:val="21"/>
              </w:rPr>
            </w:pPr>
            <w:r>
              <w:rPr>
                <w:rFonts w:hint="eastAsia"/>
                <w:color w:val="auto"/>
                <w:sz w:val="21"/>
                <w:szCs w:val="21"/>
              </w:rPr>
              <w:t>HW08</w:t>
            </w:r>
          </w:p>
        </w:tc>
      </w:tr>
      <w:tr w14:paraId="10CAD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2" w:type="dxa"/>
            <w:tcBorders>
              <w:tl2br w:val="nil"/>
              <w:tr2bl w:val="nil"/>
            </w:tcBorders>
            <w:shd w:val="clear" w:color="auto" w:fill="auto"/>
            <w:vAlign w:val="center"/>
          </w:tcPr>
          <w:p w14:paraId="58D75A05">
            <w:pPr>
              <w:spacing w:line="240" w:lineRule="auto"/>
              <w:ind w:firstLine="0" w:firstLineChars="0"/>
              <w:jc w:val="center"/>
              <w:rPr>
                <w:color w:val="auto"/>
                <w:sz w:val="21"/>
                <w:szCs w:val="21"/>
              </w:rPr>
            </w:pPr>
            <w:r>
              <w:rPr>
                <w:rFonts w:hint="eastAsia"/>
                <w:color w:val="auto"/>
                <w:sz w:val="21"/>
                <w:szCs w:val="21"/>
              </w:rPr>
              <w:t>27</w:t>
            </w:r>
          </w:p>
        </w:tc>
        <w:tc>
          <w:tcPr>
            <w:tcW w:w="2503" w:type="dxa"/>
            <w:tcBorders>
              <w:tl2br w:val="nil"/>
              <w:tr2bl w:val="nil"/>
            </w:tcBorders>
            <w:vAlign w:val="center"/>
          </w:tcPr>
          <w:p w14:paraId="58A55AF1">
            <w:pPr>
              <w:spacing w:line="240" w:lineRule="auto"/>
              <w:ind w:firstLine="0" w:firstLineChars="0"/>
              <w:jc w:val="center"/>
              <w:rPr>
                <w:color w:val="auto"/>
                <w:sz w:val="21"/>
                <w:szCs w:val="21"/>
              </w:rPr>
            </w:pPr>
            <w:r>
              <w:rPr>
                <w:rFonts w:hint="eastAsia"/>
                <w:color w:val="auto"/>
                <w:sz w:val="21"/>
                <w:szCs w:val="21"/>
              </w:rPr>
              <w:t>连云港中宇环保科技有限公司</w:t>
            </w:r>
          </w:p>
        </w:tc>
        <w:tc>
          <w:tcPr>
            <w:tcW w:w="1712" w:type="dxa"/>
            <w:tcBorders>
              <w:tl2br w:val="nil"/>
              <w:tr2bl w:val="nil"/>
            </w:tcBorders>
            <w:vAlign w:val="center"/>
          </w:tcPr>
          <w:p w14:paraId="5A9EA352">
            <w:pPr>
              <w:spacing w:line="240" w:lineRule="auto"/>
              <w:ind w:firstLine="0" w:firstLineChars="0"/>
              <w:jc w:val="center"/>
              <w:rPr>
                <w:color w:val="auto"/>
                <w:sz w:val="21"/>
                <w:szCs w:val="21"/>
              </w:rPr>
            </w:pPr>
            <w:r>
              <w:rPr>
                <w:rFonts w:hint="eastAsia"/>
                <w:color w:val="auto"/>
                <w:sz w:val="21"/>
                <w:szCs w:val="21"/>
              </w:rPr>
              <w:t>100000</w:t>
            </w:r>
          </w:p>
        </w:tc>
        <w:tc>
          <w:tcPr>
            <w:tcW w:w="4499" w:type="dxa"/>
            <w:tcBorders>
              <w:tl2br w:val="nil"/>
              <w:tr2bl w:val="nil"/>
            </w:tcBorders>
            <w:vAlign w:val="center"/>
          </w:tcPr>
          <w:p w14:paraId="12EC5D7A">
            <w:pPr>
              <w:spacing w:line="240" w:lineRule="auto"/>
              <w:ind w:firstLine="0" w:firstLineChars="0"/>
              <w:jc w:val="center"/>
              <w:rPr>
                <w:color w:val="auto"/>
                <w:sz w:val="21"/>
                <w:szCs w:val="21"/>
              </w:rPr>
            </w:pPr>
            <w:r>
              <w:rPr>
                <w:color w:val="auto"/>
                <w:sz w:val="21"/>
                <w:szCs w:val="21"/>
              </w:rPr>
              <w:t>HW</w:t>
            </w:r>
            <w:r>
              <w:rPr>
                <w:rFonts w:hint="eastAsia"/>
                <w:color w:val="auto"/>
                <w:sz w:val="21"/>
                <w:szCs w:val="21"/>
              </w:rPr>
              <w:t>50</w:t>
            </w:r>
            <w:r>
              <w:rPr>
                <w:color w:val="auto"/>
                <w:sz w:val="21"/>
                <w:szCs w:val="21"/>
              </w:rPr>
              <w:t>、HW</w:t>
            </w:r>
            <w:r>
              <w:rPr>
                <w:rFonts w:hint="eastAsia"/>
                <w:color w:val="auto"/>
                <w:sz w:val="21"/>
                <w:szCs w:val="21"/>
              </w:rPr>
              <w:t>22、HW48</w:t>
            </w:r>
            <w:r>
              <w:rPr>
                <w:color w:val="auto"/>
                <w:sz w:val="21"/>
                <w:szCs w:val="21"/>
              </w:rPr>
              <w:t>、HW</w:t>
            </w:r>
            <w:r>
              <w:rPr>
                <w:rFonts w:hint="eastAsia"/>
                <w:color w:val="auto"/>
                <w:sz w:val="21"/>
                <w:szCs w:val="21"/>
              </w:rPr>
              <w:t>17、HW22</w:t>
            </w:r>
          </w:p>
        </w:tc>
      </w:tr>
    </w:tbl>
    <w:p w14:paraId="51E34A21">
      <w:pPr>
        <w:keepNext/>
        <w:keepLines/>
        <w:spacing w:before="120" w:beforeLines="50"/>
        <w:ind w:firstLine="0" w:firstLineChars="0"/>
        <w:outlineLvl w:val="3"/>
        <w:rPr>
          <w:b/>
          <w:bCs/>
          <w:color w:val="auto"/>
          <w:szCs w:val="32"/>
        </w:rPr>
      </w:pPr>
      <w:r>
        <w:rPr>
          <w:rFonts w:hint="eastAsia"/>
          <w:b/>
          <w:bCs/>
          <w:color w:val="auto"/>
          <w:szCs w:val="32"/>
        </w:rPr>
        <w:t>2.7.1.5 区域基础设施建设与本项目依托可行性分析</w:t>
      </w:r>
    </w:p>
    <w:p w14:paraId="179FB074">
      <w:pPr>
        <w:ind w:firstLine="480"/>
        <w:rPr>
          <w:color w:val="auto"/>
        </w:rPr>
      </w:pPr>
      <w:r>
        <w:rPr>
          <w:color w:val="auto"/>
        </w:rPr>
        <w:t>根据上述分析可知，区域污水管网已覆盖临港产业区西北片区，雨水管网、给水管网、通信、供电等基础设施也已基本建设完成，项目所在区域供热管网已铺设完毕，区域基础设施较完善，本项目在临港产业区西北片区内建设</w:t>
      </w:r>
      <w:r>
        <w:rPr>
          <w:rFonts w:hint="eastAsia"/>
          <w:color w:val="auto"/>
        </w:rPr>
        <w:t>。</w:t>
      </w:r>
      <w:r>
        <w:rPr>
          <w:color w:val="auto"/>
        </w:rPr>
        <w:t>因此，本项目依托</w:t>
      </w:r>
      <w:r>
        <w:rPr>
          <w:rFonts w:hint="eastAsia"/>
          <w:color w:val="auto"/>
        </w:rPr>
        <w:t>临</w:t>
      </w:r>
      <w:r>
        <w:rPr>
          <w:color w:val="auto"/>
        </w:rPr>
        <w:t>港产业区西北片区建设</w:t>
      </w:r>
      <w:r>
        <w:rPr>
          <w:rFonts w:hint="eastAsia"/>
          <w:color w:val="auto"/>
        </w:rPr>
        <w:t>光伏组件制造项目</w:t>
      </w:r>
      <w:r>
        <w:rPr>
          <w:color w:val="auto"/>
        </w:rPr>
        <w:t>是可行的。</w:t>
      </w:r>
    </w:p>
    <w:p w14:paraId="64410B29">
      <w:pPr>
        <w:keepNext/>
        <w:keepLines/>
        <w:spacing w:before="120" w:beforeLines="50"/>
        <w:ind w:firstLine="0" w:firstLineChars="0"/>
        <w:outlineLvl w:val="2"/>
        <w:rPr>
          <w:color w:val="auto"/>
        </w:rPr>
      </w:pPr>
      <w:r>
        <w:rPr>
          <w:rFonts w:hint="eastAsia"/>
          <w:b/>
          <w:bCs/>
          <w:color w:val="auto"/>
          <w:sz w:val="28"/>
          <w:szCs w:val="36"/>
        </w:rPr>
        <w:t>2.7.2 园区主要环境问题及整改措施</w:t>
      </w:r>
    </w:p>
    <w:p w14:paraId="282A6490">
      <w:pPr>
        <w:ind w:firstLine="0" w:firstLineChars="0"/>
        <w:rPr>
          <w:color w:val="auto"/>
        </w:rPr>
        <w:sectPr>
          <w:pgSz w:w="11906" w:h="16838"/>
          <w:pgMar w:top="1418" w:right="1418" w:bottom="1418" w:left="1418" w:header="851" w:footer="992" w:gutter="0"/>
          <w:cols w:space="720" w:num="1"/>
          <w:docGrid w:linePitch="326" w:charSpace="0"/>
        </w:sectPr>
      </w:pPr>
    </w:p>
    <w:p w14:paraId="354437D7">
      <w:pPr>
        <w:ind w:firstLine="480"/>
        <w:rPr>
          <w:color w:val="auto"/>
        </w:rPr>
      </w:pPr>
      <w:r>
        <w:rPr>
          <w:rFonts w:hint="eastAsia"/>
          <w:color w:val="auto"/>
        </w:rPr>
        <w:t>临港产业区西北片区经过多年的开发，目前已基本开发成型，但也存在一系列问题，开发区需进一步完善内容见表2.7.2-1。</w:t>
      </w:r>
    </w:p>
    <w:p w14:paraId="151EF6B2">
      <w:pPr>
        <w:spacing w:line="240" w:lineRule="auto"/>
        <w:ind w:firstLine="0" w:firstLineChars="0"/>
        <w:jc w:val="center"/>
        <w:rPr>
          <w:b/>
          <w:bCs/>
          <w:color w:val="auto"/>
        </w:rPr>
      </w:pPr>
      <w:r>
        <w:rPr>
          <w:rFonts w:hint="eastAsia"/>
          <w:b/>
          <w:bCs/>
          <w:color w:val="auto"/>
        </w:rPr>
        <w:t>表2.7.2-1  临港产业区西北片区存在问题及整改方案、整改情况</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811"/>
        <w:gridCol w:w="1203"/>
        <w:gridCol w:w="4017"/>
        <w:gridCol w:w="7214"/>
      </w:tblGrid>
      <w:tr w14:paraId="78750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l2br w:val="nil"/>
              <w:tr2bl w:val="nil"/>
            </w:tcBorders>
            <w:vAlign w:val="center"/>
          </w:tcPr>
          <w:p w14:paraId="5FEAB7FE">
            <w:pPr>
              <w:spacing w:line="240" w:lineRule="auto"/>
              <w:ind w:firstLine="0" w:firstLineChars="0"/>
              <w:jc w:val="center"/>
              <w:rPr>
                <w:b/>
                <w:bCs/>
                <w:color w:val="auto"/>
                <w:sz w:val="21"/>
                <w:szCs w:val="21"/>
              </w:rPr>
            </w:pPr>
            <w:r>
              <w:rPr>
                <w:rFonts w:hint="eastAsia"/>
                <w:b/>
                <w:bCs/>
                <w:color w:val="auto"/>
                <w:sz w:val="21"/>
                <w:szCs w:val="21"/>
              </w:rPr>
              <w:t>片区</w:t>
            </w:r>
          </w:p>
        </w:tc>
        <w:tc>
          <w:tcPr>
            <w:tcW w:w="285" w:type="pct"/>
            <w:tcBorders>
              <w:tl2br w:val="nil"/>
              <w:tr2bl w:val="nil"/>
            </w:tcBorders>
            <w:vAlign w:val="center"/>
          </w:tcPr>
          <w:p w14:paraId="4AA1875B">
            <w:pPr>
              <w:spacing w:line="240" w:lineRule="auto"/>
              <w:ind w:firstLine="0" w:firstLineChars="0"/>
              <w:jc w:val="center"/>
              <w:rPr>
                <w:b/>
                <w:bCs/>
                <w:color w:val="auto"/>
                <w:sz w:val="21"/>
                <w:szCs w:val="21"/>
              </w:rPr>
            </w:pPr>
            <w:r>
              <w:rPr>
                <w:rFonts w:hint="eastAsia"/>
                <w:b/>
                <w:bCs/>
                <w:color w:val="auto"/>
                <w:sz w:val="21"/>
                <w:szCs w:val="21"/>
              </w:rPr>
              <w:t>序号</w:t>
            </w:r>
          </w:p>
        </w:tc>
        <w:tc>
          <w:tcPr>
            <w:tcW w:w="1835" w:type="pct"/>
            <w:gridSpan w:val="2"/>
            <w:tcBorders>
              <w:tl2br w:val="nil"/>
              <w:tr2bl w:val="nil"/>
            </w:tcBorders>
            <w:vAlign w:val="center"/>
          </w:tcPr>
          <w:p w14:paraId="31D2801B">
            <w:pPr>
              <w:spacing w:line="240" w:lineRule="auto"/>
              <w:ind w:firstLine="0" w:firstLineChars="0"/>
              <w:jc w:val="center"/>
              <w:rPr>
                <w:b/>
                <w:bCs/>
                <w:color w:val="auto"/>
                <w:sz w:val="21"/>
                <w:szCs w:val="21"/>
              </w:rPr>
            </w:pPr>
            <w:r>
              <w:rPr>
                <w:rFonts w:hint="eastAsia"/>
                <w:b/>
                <w:bCs/>
                <w:color w:val="auto"/>
                <w:sz w:val="21"/>
                <w:szCs w:val="21"/>
              </w:rPr>
              <w:t>存在环境问题及原因</w:t>
            </w:r>
          </w:p>
        </w:tc>
        <w:tc>
          <w:tcPr>
            <w:tcW w:w="2536" w:type="pct"/>
            <w:tcBorders>
              <w:tl2br w:val="nil"/>
              <w:tr2bl w:val="nil"/>
            </w:tcBorders>
            <w:vAlign w:val="center"/>
          </w:tcPr>
          <w:p w14:paraId="738961AC">
            <w:pPr>
              <w:spacing w:line="240" w:lineRule="auto"/>
              <w:ind w:firstLine="0" w:firstLineChars="0"/>
              <w:jc w:val="center"/>
              <w:rPr>
                <w:b/>
                <w:bCs/>
                <w:color w:val="auto"/>
                <w:sz w:val="21"/>
                <w:szCs w:val="21"/>
              </w:rPr>
            </w:pPr>
            <w:r>
              <w:rPr>
                <w:rFonts w:hint="eastAsia"/>
                <w:b/>
                <w:bCs/>
                <w:color w:val="auto"/>
                <w:sz w:val="21"/>
                <w:szCs w:val="21"/>
              </w:rPr>
              <w:t>环境综合治理方案、整改情况</w:t>
            </w:r>
          </w:p>
        </w:tc>
      </w:tr>
      <w:tr w14:paraId="685C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restart"/>
            <w:tcBorders>
              <w:tl2br w:val="nil"/>
              <w:tr2bl w:val="nil"/>
            </w:tcBorders>
            <w:vAlign w:val="center"/>
          </w:tcPr>
          <w:p w14:paraId="3D06FE14">
            <w:pPr>
              <w:spacing w:line="240" w:lineRule="auto"/>
              <w:ind w:firstLine="0" w:firstLineChars="0"/>
              <w:jc w:val="center"/>
              <w:rPr>
                <w:color w:val="auto"/>
                <w:sz w:val="21"/>
                <w:szCs w:val="21"/>
              </w:rPr>
            </w:pPr>
            <w:r>
              <w:rPr>
                <w:rFonts w:hint="eastAsia"/>
                <w:color w:val="auto"/>
                <w:sz w:val="21"/>
                <w:szCs w:val="21"/>
              </w:rPr>
              <w:t>临港产业园区西北片区</w:t>
            </w:r>
          </w:p>
        </w:tc>
        <w:tc>
          <w:tcPr>
            <w:tcW w:w="285" w:type="pct"/>
            <w:tcBorders>
              <w:tl2br w:val="nil"/>
              <w:tr2bl w:val="nil"/>
            </w:tcBorders>
            <w:vAlign w:val="center"/>
          </w:tcPr>
          <w:p w14:paraId="504E2D0A">
            <w:pPr>
              <w:spacing w:line="240" w:lineRule="auto"/>
              <w:ind w:firstLine="0" w:firstLineChars="0"/>
              <w:jc w:val="center"/>
              <w:rPr>
                <w:color w:val="auto"/>
                <w:sz w:val="21"/>
                <w:szCs w:val="21"/>
              </w:rPr>
            </w:pPr>
            <w:r>
              <w:rPr>
                <w:rFonts w:hint="eastAsia"/>
                <w:color w:val="auto"/>
                <w:sz w:val="21"/>
                <w:szCs w:val="21"/>
              </w:rPr>
              <w:t>1</w:t>
            </w:r>
          </w:p>
        </w:tc>
        <w:tc>
          <w:tcPr>
            <w:tcW w:w="423" w:type="pct"/>
            <w:tcBorders>
              <w:tl2br w:val="nil"/>
              <w:tr2bl w:val="nil"/>
            </w:tcBorders>
            <w:vAlign w:val="center"/>
          </w:tcPr>
          <w:p w14:paraId="6222C86D">
            <w:pPr>
              <w:spacing w:line="240" w:lineRule="auto"/>
              <w:ind w:firstLine="0" w:firstLineChars="0"/>
              <w:jc w:val="center"/>
              <w:rPr>
                <w:color w:val="auto"/>
                <w:sz w:val="21"/>
                <w:szCs w:val="21"/>
              </w:rPr>
            </w:pPr>
            <w:r>
              <w:rPr>
                <w:rFonts w:hint="eastAsia"/>
                <w:color w:val="auto"/>
                <w:sz w:val="21"/>
                <w:szCs w:val="21"/>
              </w:rPr>
              <w:t>环保手续</w:t>
            </w:r>
          </w:p>
        </w:tc>
        <w:tc>
          <w:tcPr>
            <w:tcW w:w="1412" w:type="pct"/>
            <w:tcBorders>
              <w:tl2br w:val="nil"/>
              <w:tr2bl w:val="nil"/>
            </w:tcBorders>
            <w:vAlign w:val="center"/>
          </w:tcPr>
          <w:p w14:paraId="6B6FD7BC">
            <w:pPr>
              <w:spacing w:line="240" w:lineRule="auto"/>
              <w:ind w:firstLine="0" w:firstLineChars="0"/>
              <w:rPr>
                <w:color w:val="auto"/>
                <w:sz w:val="21"/>
                <w:szCs w:val="21"/>
              </w:rPr>
            </w:pPr>
            <w:r>
              <w:rPr>
                <w:color w:val="auto"/>
                <w:sz w:val="21"/>
                <w:szCs w:val="21"/>
              </w:rPr>
              <w:t>部分企业缺少环评或验收手续，存在未批先建或久试未验情况</w:t>
            </w:r>
            <w:r>
              <w:rPr>
                <w:rFonts w:hint="eastAsia"/>
                <w:color w:val="auto"/>
                <w:sz w:val="21"/>
                <w:szCs w:val="21"/>
              </w:rPr>
              <w:t>。</w:t>
            </w:r>
          </w:p>
        </w:tc>
        <w:tc>
          <w:tcPr>
            <w:tcW w:w="2536" w:type="pct"/>
            <w:tcBorders>
              <w:tl2br w:val="nil"/>
              <w:tr2bl w:val="nil"/>
            </w:tcBorders>
            <w:vAlign w:val="center"/>
          </w:tcPr>
          <w:p w14:paraId="3CB434D8">
            <w:pPr>
              <w:spacing w:line="240" w:lineRule="auto"/>
              <w:ind w:firstLine="0" w:firstLineChars="0"/>
              <w:rPr>
                <w:color w:val="auto"/>
                <w:sz w:val="21"/>
                <w:szCs w:val="21"/>
              </w:rPr>
            </w:pPr>
            <w:r>
              <w:rPr>
                <w:color w:val="auto"/>
                <w:sz w:val="21"/>
                <w:szCs w:val="21"/>
              </w:rPr>
              <w:t>加强对各片区内企业的环保手续管理，尽快完成区内所有企业的环评和验收手续</w:t>
            </w:r>
            <w:r>
              <w:rPr>
                <w:rFonts w:hint="eastAsia"/>
                <w:color w:val="auto"/>
                <w:sz w:val="21"/>
                <w:szCs w:val="21"/>
              </w:rPr>
              <w:t>。</w:t>
            </w:r>
          </w:p>
        </w:tc>
      </w:tr>
      <w:tr w14:paraId="2AB7B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tl2br w:val="nil"/>
              <w:tr2bl w:val="nil"/>
            </w:tcBorders>
            <w:vAlign w:val="center"/>
          </w:tcPr>
          <w:p w14:paraId="2E32F157">
            <w:pPr>
              <w:spacing w:line="240" w:lineRule="auto"/>
              <w:ind w:firstLine="0" w:firstLineChars="0"/>
              <w:jc w:val="center"/>
              <w:rPr>
                <w:color w:val="auto"/>
                <w:sz w:val="21"/>
                <w:szCs w:val="21"/>
              </w:rPr>
            </w:pPr>
          </w:p>
        </w:tc>
        <w:tc>
          <w:tcPr>
            <w:tcW w:w="285" w:type="pct"/>
            <w:tcBorders>
              <w:tl2br w:val="nil"/>
              <w:tr2bl w:val="nil"/>
            </w:tcBorders>
            <w:vAlign w:val="center"/>
          </w:tcPr>
          <w:p w14:paraId="73617264">
            <w:pPr>
              <w:spacing w:line="240" w:lineRule="auto"/>
              <w:ind w:firstLine="0" w:firstLineChars="0"/>
              <w:jc w:val="center"/>
              <w:rPr>
                <w:color w:val="auto"/>
                <w:sz w:val="21"/>
                <w:szCs w:val="21"/>
              </w:rPr>
            </w:pPr>
            <w:r>
              <w:rPr>
                <w:rFonts w:hint="eastAsia"/>
                <w:color w:val="auto"/>
                <w:sz w:val="21"/>
                <w:szCs w:val="21"/>
              </w:rPr>
              <w:t>2</w:t>
            </w:r>
          </w:p>
        </w:tc>
        <w:tc>
          <w:tcPr>
            <w:tcW w:w="423" w:type="pct"/>
            <w:tcBorders>
              <w:tl2br w:val="nil"/>
              <w:tr2bl w:val="nil"/>
            </w:tcBorders>
            <w:vAlign w:val="center"/>
          </w:tcPr>
          <w:p w14:paraId="7C6E53B8">
            <w:pPr>
              <w:spacing w:line="240" w:lineRule="auto"/>
              <w:ind w:firstLine="0" w:firstLineChars="0"/>
              <w:jc w:val="center"/>
              <w:rPr>
                <w:color w:val="auto"/>
                <w:sz w:val="21"/>
                <w:szCs w:val="21"/>
              </w:rPr>
            </w:pPr>
            <w:r>
              <w:rPr>
                <w:rFonts w:hint="eastAsia"/>
                <w:color w:val="auto"/>
                <w:sz w:val="21"/>
                <w:szCs w:val="21"/>
              </w:rPr>
              <w:t>污水管网</w:t>
            </w:r>
          </w:p>
        </w:tc>
        <w:tc>
          <w:tcPr>
            <w:tcW w:w="1412" w:type="pct"/>
            <w:tcBorders>
              <w:tl2br w:val="nil"/>
              <w:tr2bl w:val="nil"/>
            </w:tcBorders>
            <w:vAlign w:val="center"/>
          </w:tcPr>
          <w:p w14:paraId="2F8EC18A">
            <w:pPr>
              <w:spacing w:line="240" w:lineRule="auto"/>
              <w:ind w:firstLine="0" w:firstLineChars="0"/>
              <w:rPr>
                <w:color w:val="auto"/>
                <w:sz w:val="21"/>
                <w:szCs w:val="21"/>
              </w:rPr>
            </w:pPr>
            <w:r>
              <w:rPr>
                <w:color w:val="auto"/>
                <w:sz w:val="21"/>
                <w:szCs w:val="21"/>
              </w:rPr>
              <w:t>片区内污水管网建设滞后，部分污水通过下水道排放，存在污水下渗的问题</w:t>
            </w:r>
            <w:r>
              <w:rPr>
                <w:rFonts w:hint="eastAsia"/>
                <w:color w:val="auto"/>
                <w:sz w:val="21"/>
                <w:szCs w:val="21"/>
              </w:rPr>
              <w:t>。</w:t>
            </w:r>
          </w:p>
        </w:tc>
        <w:tc>
          <w:tcPr>
            <w:tcW w:w="2536" w:type="pct"/>
            <w:tcBorders>
              <w:tl2br w:val="nil"/>
              <w:tr2bl w:val="nil"/>
            </w:tcBorders>
            <w:vAlign w:val="center"/>
          </w:tcPr>
          <w:p w14:paraId="12A3A32D">
            <w:pPr>
              <w:spacing w:line="240" w:lineRule="auto"/>
              <w:ind w:firstLine="0" w:firstLineChars="0"/>
              <w:rPr>
                <w:color w:val="auto"/>
                <w:sz w:val="21"/>
                <w:szCs w:val="21"/>
              </w:rPr>
            </w:pPr>
            <w:r>
              <w:rPr>
                <w:color w:val="auto"/>
                <w:sz w:val="21"/>
                <w:szCs w:val="21"/>
              </w:rPr>
              <w:t>加强区域污水管网铺设工作，确保所有工业废水和生活污水全部进入污水管网</w:t>
            </w:r>
            <w:r>
              <w:rPr>
                <w:rFonts w:hint="eastAsia"/>
                <w:color w:val="auto"/>
                <w:sz w:val="21"/>
                <w:szCs w:val="21"/>
              </w:rPr>
              <w:t>。</w:t>
            </w:r>
          </w:p>
        </w:tc>
      </w:tr>
      <w:tr w14:paraId="354D5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tl2br w:val="nil"/>
              <w:tr2bl w:val="nil"/>
            </w:tcBorders>
            <w:vAlign w:val="center"/>
          </w:tcPr>
          <w:p w14:paraId="6549FC00">
            <w:pPr>
              <w:spacing w:line="240" w:lineRule="auto"/>
              <w:ind w:firstLine="0" w:firstLineChars="0"/>
              <w:jc w:val="center"/>
              <w:rPr>
                <w:color w:val="auto"/>
                <w:sz w:val="21"/>
                <w:szCs w:val="21"/>
              </w:rPr>
            </w:pPr>
          </w:p>
        </w:tc>
        <w:tc>
          <w:tcPr>
            <w:tcW w:w="285" w:type="pct"/>
            <w:tcBorders>
              <w:tl2br w:val="nil"/>
              <w:tr2bl w:val="nil"/>
            </w:tcBorders>
            <w:shd w:val="clear" w:color="auto" w:fill="auto"/>
            <w:vAlign w:val="center"/>
          </w:tcPr>
          <w:p w14:paraId="62557798">
            <w:pPr>
              <w:spacing w:line="240" w:lineRule="auto"/>
              <w:ind w:firstLine="0" w:firstLineChars="0"/>
              <w:jc w:val="center"/>
              <w:rPr>
                <w:color w:val="auto"/>
                <w:sz w:val="21"/>
                <w:szCs w:val="21"/>
              </w:rPr>
            </w:pPr>
            <w:r>
              <w:rPr>
                <w:rFonts w:hint="eastAsia"/>
                <w:color w:val="auto"/>
                <w:sz w:val="21"/>
                <w:szCs w:val="21"/>
              </w:rPr>
              <w:t>3</w:t>
            </w:r>
          </w:p>
        </w:tc>
        <w:tc>
          <w:tcPr>
            <w:tcW w:w="423" w:type="pct"/>
            <w:tcBorders>
              <w:tl2br w:val="nil"/>
              <w:tr2bl w:val="nil"/>
            </w:tcBorders>
            <w:vAlign w:val="center"/>
          </w:tcPr>
          <w:p w14:paraId="03D9FC22">
            <w:pPr>
              <w:spacing w:line="240" w:lineRule="auto"/>
              <w:ind w:firstLine="0" w:firstLineChars="0"/>
              <w:jc w:val="center"/>
              <w:rPr>
                <w:color w:val="auto"/>
                <w:sz w:val="21"/>
                <w:szCs w:val="21"/>
              </w:rPr>
            </w:pPr>
            <w:r>
              <w:rPr>
                <w:rFonts w:hint="eastAsia"/>
                <w:color w:val="auto"/>
                <w:sz w:val="21"/>
                <w:szCs w:val="21"/>
              </w:rPr>
              <w:t>废水</w:t>
            </w:r>
          </w:p>
        </w:tc>
        <w:tc>
          <w:tcPr>
            <w:tcW w:w="1412" w:type="pct"/>
            <w:tcBorders>
              <w:tl2br w:val="nil"/>
              <w:tr2bl w:val="nil"/>
            </w:tcBorders>
            <w:vAlign w:val="center"/>
          </w:tcPr>
          <w:p w14:paraId="5CAA45C5">
            <w:pPr>
              <w:spacing w:line="240" w:lineRule="auto"/>
              <w:ind w:firstLine="0" w:firstLineChars="0"/>
              <w:rPr>
                <w:color w:val="auto"/>
                <w:sz w:val="21"/>
                <w:szCs w:val="21"/>
              </w:rPr>
            </w:pPr>
            <w:r>
              <w:rPr>
                <w:rFonts w:hint="eastAsia"/>
                <w:color w:val="auto"/>
                <w:sz w:val="21"/>
                <w:szCs w:val="21"/>
              </w:rPr>
              <w:t>2023年5月18日，江苏省生态环境厅、江苏省住房和城乡建设厅发布了《江苏省工业废水与生活污水分质处理工作推进方案》。</w:t>
            </w:r>
          </w:p>
        </w:tc>
        <w:tc>
          <w:tcPr>
            <w:tcW w:w="2536" w:type="pct"/>
            <w:tcBorders>
              <w:tl2br w:val="nil"/>
              <w:tr2bl w:val="nil"/>
            </w:tcBorders>
            <w:vAlign w:val="center"/>
          </w:tcPr>
          <w:p w14:paraId="0B4370DC">
            <w:pPr>
              <w:spacing w:line="240" w:lineRule="auto"/>
              <w:ind w:firstLine="0" w:firstLineChars="0"/>
              <w:rPr>
                <w:color w:val="auto"/>
                <w:sz w:val="21"/>
                <w:szCs w:val="21"/>
              </w:rPr>
            </w:pPr>
            <w:r>
              <w:rPr>
                <w:rFonts w:hint="eastAsia"/>
                <w:color w:val="auto"/>
                <w:sz w:val="21"/>
                <w:szCs w:val="21"/>
              </w:rPr>
              <w:t>开发区不断加大投入用于水环境整治，重点围绕“治水项目建设、河道治理攻坚、管网整治达标”等三大方面出实招、收实效，狠抓工程项目建设，巩固提升水生态环境。一是切实巩固园区水污染整治成效，全面推进工业废水与生活污水分类收集、分质处理工作，提高临港片区污水截污纳管率，做到应收尽收，合理调度污水排放去向，不断提高临港污水处理厂处理水量。二是加快补齐环境基础设施短板，推进芙蓉沟等支流河道集中连片整治，开展污水提质增效5个“达标区”建设，推动重点涉水企业厂区管网规范化改造等项目实施。三是实施“活水”进园工程，定期引入新沭河清水，在全区构建生态补水循环系统，确保流水不腐、水质常清。四是强化农村污水治理，实施金苏、刘巷等村庄管网建设工程，持续完善村居污水收集，减轻生活污水随降雨溢流入河影响。五是抓好河道常态化管控，对积存拦蓄污水开展动态巡查，通过上游生态补水、设置临时分布式污水处理站、向污水管网抽排等方式，尽量降低汛期对国省考河道的污染影响。六是防范农业面源污染，加强小麦春灌期间农田退水管控和循环利用，杜绝退水入河；统筹推进排淡河、烧香河等重点流域养殖尾水生态化改造或清理退出，确保尾水达标排放。七是加强监测及应急处置，年内完成54个入河排口整治达标，对发现的“冒黑水”问题排口，第一时间预警、监测、溯源并制订“一口一策”方案实施整治。</w:t>
            </w:r>
          </w:p>
        </w:tc>
      </w:tr>
      <w:tr w14:paraId="3B1F2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tl2br w:val="nil"/>
              <w:tr2bl w:val="nil"/>
            </w:tcBorders>
            <w:vAlign w:val="center"/>
          </w:tcPr>
          <w:p w14:paraId="730311DF">
            <w:pPr>
              <w:spacing w:line="240" w:lineRule="auto"/>
              <w:ind w:firstLine="0" w:firstLineChars="0"/>
              <w:jc w:val="center"/>
              <w:rPr>
                <w:color w:val="auto"/>
                <w:sz w:val="21"/>
                <w:szCs w:val="21"/>
              </w:rPr>
            </w:pPr>
          </w:p>
        </w:tc>
        <w:tc>
          <w:tcPr>
            <w:tcW w:w="285" w:type="pct"/>
            <w:tcBorders>
              <w:tl2br w:val="nil"/>
              <w:tr2bl w:val="nil"/>
            </w:tcBorders>
            <w:shd w:val="clear" w:color="auto" w:fill="auto"/>
            <w:vAlign w:val="center"/>
          </w:tcPr>
          <w:p w14:paraId="57D18ED9">
            <w:pPr>
              <w:spacing w:line="240" w:lineRule="auto"/>
              <w:ind w:firstLine="0" w:firstLineChars="0"/>
              <w:jc w:val="center"/>
              <w:rPr>
                <w:color w:val="auto"/>
                <w:sz w:val="21"/>
                <w:szCs w:val="21"/>
              </w:rPr>
            </w:pPr>
            <w:r>
              <w:rPr>
                <w:rFonts w:hint="eastAsia"/>
                <w:color w:val="auto"/>
                <w:sz w:val="21"/>
                <w:szCs w:val="21"/>
              </w:rPr>
              <w:t>3</w:t>
            </w:r>
          </w:p>
        </w:tc>
        <w:tc>
          <w:tcPr>
            <w:tcW w:w="423" w:type="pct"/>
            <w:tcBorders>
              <w:tl2br w:val="nil"/>
              <w:tr2bl w:val="nil"/>
            </w:tcBorders>
            <w:vAlign w:val="center"/>
          </w:tcPr>
          <w:p w14:paraId="1D61F7F8">
            <w:pPr>
              <w:spacing w:line="240" w:lineRule="auto"/>
              <w:ind w:firstLine="0" w:firstLineChars="0"/>
              <w:jc w:val="center"/>
              <w:rPr>
                <w:color w:val="auto"/>
                <w:sz w:val="21"/>
                <w:szCs w:val="21"/>
              </w:rPr>
            </w:pPr>
            <w:r>
              <w:rPr>
                <w:rFonts w:hint="eastAsia"/>
                <w:color w:val="auto"/>
                <w:sz w:val="21"/>
                <w:szCs w:val="21"/>
              </w:rPr>
              <w:t>中水</w:t>
            </w:r>
          </w:p>
        </w:tc>
        <w:tc>
          <w:tcPr>
            <w:tcW w:w="1412" w:type="pct"/>
            <w:tcBorders>
              <w:tl2br w:val="nil"/>
              <w:tr2bl w:val="nil"/>
            </w:tcBorders>
            <w:vAlign w:val="center"/>
          </w:tcPr>
          <w:p w14:paraId="5272B677">
            <w:pPr>
              <w:spacing w:line="240" w:lineRule="auto"/>
              <w:ind w:firstLine="0" w:firstLineChars="0"/>
              <w:rPr>
                <w:color w:val="auto"/>
                <w:sz w:val="21"/>
                <w:szCs w:val="21"/>
              </w:rPr>
            </w:pPr>
            <w:r>
              <w:rPr>
                <w:rFonts w:hint="eastAsia"/>
                <w:color w:val="auto"/>
                <w:sz w:val="21"/>
                <w:szCs w:val="21"/>
              </w:rPr>
              <w:t>开发区临港污水处理厂现状未进行中水回用。</w:t>
            </w:r>
          </w:p>
        </w:tc>
        <w:tc>
          <w:tcPr>
            <w:tcW w:w="2536" w:type="pct"/>
            <w:tcBorders>
              <w:tl2br w:val="nil"/>
              <w:tr2bl w:val="nil"/>
            </w:tcBorders>
            <w:vAlign w:val="center"/>
          </w:tcPr>
          <w:p w14:paraId="15CED71D">
            <w:pPr>
              <w:spacing w:line="240" w:lineRule="auto"/>
              <w:ind w:firstLine="0" w:firstLineChars="0"/>
              <w:rPr>
                <w:color w:val="auto"/>
                <w:sz w:val="21"/>
                <w:szCs w:val="21"/>
              </w:rPr>
            </w:pPr>
            <w:r>
              <w:rPr>
                <w:color w:val="auto"/>
                <w:sz w:val="21"/>
                <w:szCs w:val="21"/>
              </w:rPr>
              <w:t>加快落实开发区临港污水处理厂中水回用途径，计划于2030年底前实现中水回用率达到30%。在园区内部，要为开展再生水回用积极创造条件，制定鼓励</w:t>
            </w:r>
            <w:r>
              <w:rPr>
                <w:rFonts w:hint="eastAsia"/>
                <w:color w:val="auto"/>
                <w:sz w:val="21"/>
                <w:szCs w:val="21"/>
              </w:rPr>
              <w:t>采取</w:t>
            </w:r>
            <w:r>
              <w:rPr>
                <w:color w:val="auto"/>
                <w:sz w:val="21"/>
                <w:szCs w:val="21"/>
              </w:rPr>
              <w:t>积极财税政策或奖励措施，开发潜在用户，加快建设再生水回用相关基础设施，保证区内再生水利用效率。</w:t>
            </w:r>
          </w:p>
        </w:tc>
      </w:tr>
      <w:tr w14:paraId="18AD5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tl2br w:val="nil"/>
              <w:tr2bl w:val="nil"/>
            </w:tcBorders>
            <w:vAlign w:val="center"/>
          </w:tcPr>
          <w:p w14:paraId="35E3475B">
            <w:pPr>
              <w:spacing w:line="240" w:lineRule="auto"/>
              <w:ind w:firstLine="0" w:firstLineChars="0"/>
              <w:jc w:val="center"/>
              <w:rPr>
                <w:color w:val="auto"/>
                <w:sz w:val="21"/>
                <w:szCs w:val="21"/>
              </w:rPr>
            </w:pPr>
          </w:p>
        </w:tc>
        <w:tc>
          <w:tcPr>
            <w:tcW w:w="285" w:type="pct"/>
            <w:tcBorders>
              <w:tl2br w:val="nil"/>
              <w:tr2bl w:val="nil"/>
            </w:tcBorders>
            <w:shd w:val="clear" w:color="auto" w:fill="auto"/>
            <w:vAlign w:val="center"/>
          </w:tcPr>
          <w:p w14:paraId="6B35481F">
            <w:pPr>
              <w:spacing w:line="240" w:lineRule="auto"/>
              <w:ind w:firstLine="0" w:firstLineChars="0"/>
              <w:jc w:val="center"/>
              <w:rPr>
                <w:color w:val="auto"/>
                <w:sz w:val="21"/>
                <w:szCs w:val="21"/>
              </w:rPr>
            </w:pPr>
            <w:r>
              <w:rPr>
                <w:rFonts w:hint="eastAsia"/>
                <w:color w:val="auto"/>
                <w:sz w:val="21"/>
                <w:szCs w:val="21"/>
              </w:rPr>
              <w:t>4</w:t>
            </w:r>
          </w:p>
        </w:tc>
        <w:tc>
          <w:tcPr>
            <w:tcW w:w="423" w:type="pct"/>
            <w:tcBorders>
              <w:tl2br w:val="nil"/>
              <w:tr2bl w:val="nil"/>
            </w:tcBorders>
            <w:vAlign w:val="center"/>
          </w:tcPr>
          <w:p w14:paraId="761CB3D6">
            <w:pPr>
              <w:spacing w:line="240" w:lineRule="auto"/>
              <w:ind w:firstLine="0" w:firstLineChars="0"/>
              <w:jc w:val="center"/>
              <w:rPr>
                <w:color w:val="auto"/>
                <w:sz w:val="21"/>
                <w:szCs w:val="21"/>
              </w:rPr>
            </w:pPr>
            <w:r>
              <w:rPr>
                <w:rFonts w:hint="eastAsia"/>
                <w:color w:val="auto"/>
                <w:sz w:val="21"/>
                <w:szCs w:val="21"/>
              </w:rPr>
              <w:t>供热管网</w:t>
            </w:r>
          </w:p>
        </w:tc>
        <w:tc>
          <w:tcPr>
            <w:tcW w:w="1412" w:type="pct"/>
            <w:tcBorders>
              <w:tl2br w:val="nil"/>
              <w:tr2bl w:val="nil"/>
            </w:tcBorders>
            <w:vAlign w:val="center"/>
          </w:tcPr>
          <w:p w14:paraId="462C0C35">
            <w:pPr>
              <w:spacing w:line="240" w:lineRule="auto"/>
              <w:ind w:firstLine="0" w:firstLineChars="0"/>
              <w:rPr>
                <w:color w:val="auto"/>
                <w:sz w:val="21"/>
                <w:szCs w:val="21"/>
              </w:rPr>
            </w:pPr>
            <w:r>
              <w:rPr>
                <w:color w:val="auto"/>
                <w:sz w:val="21"/>
                <w:szCs w:val="21"/>
              </w:rPr>
              <w:t>片区采用鑫能污泥和晨兴的蒸汽共同作为热源，但部分区域蒸汽管道尚未铺设到位，仍有企业采用天然气锅炉供热</w:t>
            </w:r>
            <w:r>
              <w:rPr>
                <w:rFonts w:hint="eastAsia"/>
                <w:color w:val="auto"/>
                <w:sz w:val="21"/>
                <w:szCs w:val="21"/>
              </w:rPr>
              <w:t>。</w:t>
            </w:r>
          </w:p>
        </w:tc>
        <w:tc>
          <w:tcPr>
            <w:tcW w:w="2536" w:type="pct"/>
            <w:tcBorders>
              <w:tl2br w:val="nil"/>
              <w:tr2bl w:val="nil"/>
            </w:tcBorders>
            <w:vAlign w:val="center"/>
          </w:tcPr>
          <w:p w14:paraId="22DD23A6">
            <w:pPr>
              <w:spacing w:line="240" w:lineRule="auto"/>
              <w:ind w:firstLine="0" w:firstLineChars="0"/>
              <w:rPr>
                <w:color w:val="auto"/>
                <w:sz w:val="21"/>
                <w:szCs w:val="21"/>
              </w:rPr>
            </w:pPr>
            <w:r>
              <w:rPr>
                <w:color w:val="auto"/>
                <w:sz w:val="21"/>
                <w:szCs w:val="21"/>
              </w:rPr>
              <w:t>加快区域蒸汽管网铺设进度，确保区域集中供热全覆盖</w:t>
            </w:r>
            <w:r>
              <w:rPr>
                <w:rFonts w:hint="eastAsia"/>
                <w:color w:val="auto"/>
                <w:sz w:val="21"/>
                <w:szCs w:val="21"/>
              </w:rPr>
              <w:t>。</w:t>
            </w:r>
          </w:p>
        </w:tc>
      </w:tr>
      <w:tr w14:paraId="5C53B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tl2br w:val="nil"/>
              <w:tr2bl w:val="nil"/>
            </w:tcBorders>
            <w:vAlign w:val="center"/>
          </w:tcPr>
          <w:p w14:paraId="4D95EFBF">
            <w:pPr>
              <w:spacing w:line="240" w:lineRule="auto"/>
              <w:ind w:firstLine="0" w:firstLineChars="0"/>
              <w:jc w:val="center"/>
              <w:rPr>
                <w:color w:val="auto"/>
                <w:sz w:val="21"/>
                <w:szCs w:val="21"/>
              </w:rPr>
            </w:pPr>
          </w:p>
        </w:tc>
        <w:tc>
          <w:tcPr>
            <w:tcW w:w="285" w:type="pct"/>
            <w:tcBorders>
              <w:tl2br w:val="nil"/>
              <w:tr2bl w:val="nil"/>
            </w:tcBorders>
            <w:shd w:val="clear" w:color="auto" w:fill="auto"/>
            <w:vAlign w:val="center"/>
          </w:tcPr>
          <w:p w14:paraId="0C1B55BF">
            <w:pPr>
              <w:spacing w:line="240" w:lineRule="auto"/>
              <w:ind w:firstLine="0" w:firstLineChars="0"/>
              <w:jc w:val="center"/>
              <w:rPr>
                <w:color w:val="auto"/>
                <w:sz w:val="21"/>
                <w:szCs w:val="21"/>
              </w:rPr>
            </w:pPr>
            <w:r>
              <w:rPr>
                <w:rFonts w:hint="eastAsia"/>
                <w:color w:val="auto"/>
                <w:sz w:val="21"/>
                <w:szCs w:val="21"/>
              </w:rPr>
              <w:t>5</w:t>
            </w:r>
          </w:p>
        </w:tc>
        <w:tc>
          <w:tcPr>
            <w:tcW w:w="423" w:type="pct"/>
            <w:tcBorders>
              <w:tl2br w:val="nil"/>
              <w:tr2bl w:val="nil"/>
            </w:tcBorders>
            <w:vAlign w:val="center"/>
          </w:tcPr>
          <w:p w14:paraId="0FB52E52">
            <w:pPr>
              <w:spacing w:line="240" w:lineRule="auto"/>
              <w:ind w:firstLine="0" w:firstLineChars="0"/>
              <w:jc w:val="center"/>
              <w:rPr>
                <w:color w:val="auto"/>
                <w:sz w:val="21"/>
                <w:szCs w:val="21"/>
              </w:rPr>
            </w:pPr>
            <w:r>
              <w:rPr>
                <w:rFonts w:hint="eastAsia"/>
                <w:color w:val="auto"/>
                <w:sz w:val="21"/>
                <w:szCs w:val="21"/>
              </w:rPr>
              <w:t>危废处理</w:t>
            </w:r>
          </w:p>
        </w:tc>
        <w:tc>
          <w:tcPr>
            <w:tcW w:w="1412" w:type="pct"/>
            <w:tcBorders>
              <w:tl2br w:val="nil"/>
              <w:tr2bl w:val="nil"/>
            </w:tcBorders>
            <w:vAlign w:val="center"/>
          </w:tcPr>
          <w:p w14:paraId="34BEC087">
            <w:pPr>
              <w:spacing w:line="240" w:lineRule="auto"/>
              <w:ind w:firstLine="0" w:firstLineChars="0"/>
              <w:rPr>
                <w:color w:val="auto"/>
                <w:sz w:val="21"/>
                <w:szCs w:val="21"/>
              </w:rPr>
            </w:pPr>
            <w:r>
              <w:rPr>
                <w:color w:val="auto"/>
                <w:sz w:val="21"/>
                <w:szCs w:val="21"/>
              </w:rPr>
              <w:t>片区内不设固废处置中心，危险废物必须送有资质的单位处理处置。区内未建立统一的固废收集、贮存、运输、综合利用和安全处理的运营管理体系。</w:t>
            </w:r>
          </w:p>
        </w:tc>
        <w:tc>
          <w:tcPr>
            <w:tcW w:w="2536" w:type="pct"/>
            <w:tcBorders>
              <w:tl2br w:val="nil"/>
              <w:tr2bl w:val="nil"/>
            </w:tcBorders>
            <w:vAlign w:val="center"/>
          </w:tcPr>
          <w:p w14:paraId="14ECD27D">
            <w:pPr>
              <w:spacing w:line="240" w:lineRule="auto"/>
              <w:ind w:firstLine="0" w:firstLineChars="0"/>
              <w:rPr>
                <w:color w:val="auto"/>
                <w:sz w:val="21"/>
                <w:szCs w:val="21"/>
              </w:rPr>
            </w:pPr>
            <w:r>
              <w:rPr>
                <w:color w:val="auto"/>
                <w:sz w:val="21"/>
                <w:szCs w:val="21"/>
              </w:rPr>
              <w:t>区内建立统一的固废收集、贮存、运输、综合利用和安全处理的运营管理体系，区内固废（危险废物）的处置应纳入连云港市固废处置系统。</w:t>
            </w:r>
          </w:p>
        </w:tc>
      </w:tr>
      <w:tr w14:paraId="6819C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342" w:type="pct"/>
            <w:vMerge w:val="continue"/>
            <w:tcBorders>
              <w:tl2br w:val="nil"/>
              <w:tr2bl w:val="nil"/>
            </w:tcBorders>
            <w:vAlign w:val="center"/>
          </w:tcPr>
          <w:p w14:paraId="12C34FD2">
            <w:pPr>
              <w:spacing w:line="240" w:lineRule="auto"/>
              <w:ind w:firstLine="0" w:firstLineChars="0"/>
              <w:jc w:val="center"/>
              <w:rPr>
                <w:color w:val="auto"/>
                <w:sz w:val="21"/>
                <w:szCs w:val="21"/>
              </w:rPr>
            </w:pPr>
          </w:p>
        </w:tc>
        <w:tc>
          <w:tcPr>
            <w:tcW w:w="285" w:type="pct"/>
            <w:tcBorders>
              <w:tl2br w:val="nil"/>
              <w:tr2bl w:val="nil"/>
            </w:tcBorders>
            <w:shd w:val="clear" w:color="auto" w:fill="auto"/>
            <w:vAlign w:val="center"/>
          </w:tcPr>
          <w:p w14:paraId="69D9ED86">
            <w:pPr>
              <w:spacing w:line="240" w:lineRule="auto"/>
              <w:ind w:firstLine="0" w:firstLineChars="0"/>
              <w:jc w:val="center"/>
              <w:rPr>
                <w:color w:val="auto"/>
                <w:sz w:val="21"/>
                <w:szCs w:val="21"/>
              </w:rPr>
            </w:pPr>
            <w:r>
              <w:rPr>
                <w:rFonts w:hint="eastAsia"/>
                <w:color w:val="auto"/>
                <w:sz w:val="21"/>
                <w:szCs w:val="21"/>
              </w:rPr>
              <w:t>6</w:t>
            </w:r>
          </w:p>
        </w:tc>
        <w:tc>
          <w:tcPr>
            <w:tcW w:w="423" w:type="pct"/>
            <w:tcBorders>
              <w:tl2br w:val="nil"/>
              <w:tr2bl w:val="nil"/>
            </w:tcBorders>
            <w:vAlign w:val="center"/>
          </w:tcPr>
          <w:p w14:paraId="687A1D65">
            <w:pPr>
              <w:spacing w:line="240" w:lineRule="auto"/>
              <w:ind w:firstLine="0" w:firstLineChars="0"/>
              <w:jc w:val="center"/>
              <w:rPr>
                <w:color w:val="auto"/>
                <w:sz w:val="21"/>
                <w:szCs w:val="21"/>
              </w:rPr>
            </w:pPr>
            <w:r>
              <w:rPr>
                <w:color w:val="auto"/>
                <w:sz w:val="21"/>
                <w:szCs w:val="21"/>
              </w:rPr>
              <w:t>限值限量建设</w:t>
            </w:r>
          </w:p>
        </w:tc>
        <w:tc>
          <w:tcPr>
            <w:tcW w:w="1412" w:type="pct"/>
            <w:tcBorders>
              <w:tl2br w:val="nil"/>
              <w:tr2bl w:val="nil"/>
            </w:tcBorders>
            <w:vAlign w:val="center"/>
          </w:tcPr>
          <w:p w14:paraId="2FC6A53A">
            <w:pPr>
              <w:spacing w:line="240" w:lineRule="auto"/>
              <w:ind w:firstLine="0" w:firstLineChars="0"/>
              <w:rPr>
                <w:color w:val="auto"/>
                <w:sz w:val="21"/>
                <w:szCs w:val="21"/>
              </w:rPr>
            </w:pPr>
            <w:r>
              <w:rPr>
                <w:color w:val="auto"/>
                <w:sz w:val="21"/>
                <w:szCs w:val="21"/>
              </w:rPr>
              <w:t>根据《关于印发江苏省工业园区</w:t>
            </w:r>
            <w:r>
              <w:rPr>
                <w:rFonts w:hint="eastAsia"/>
                <w:color w:val="auto"/>
                <w:sz w:val="21"/>
                <w:szCs w:val="21"/>
              </w:rPr>
              <w:t>（</w:t>
            </w:r>
            <w:r>
              <w:rPr>
                <w:color w:val="auto"/>
                <w:sz w:val="21"/>
                <w:szCs w:val="21"/>
              </w:rPr>
              <w:t>集中区</w:t>
            </w:r>
            <w:r>
              <w:rPr>
                <w:rFonts w:hint="eastAsia"/>
                <w:color w:val="auto"/>
                <w:sz w:val="21"/>
                <w:szCs w:val="21"/>
              </w:rPr>
              <w:t>）</w:t>
            </w:r>
            <w:r>
              <w:rPr>
                <w:color w:val="auto"/>
                <w:sz w:val="21"/>
                <w:szCs w:val="21"/>
              </w:rPr>
              <w:t>污染物排放限值限量管理工作方案</w:t>
            </w:r>
            <w:r>
              <w:rPr>
                <w:rFonts w:hint="eastAsia"/>
                <w:color w:val="auto"/>
                <w:sz w:val="21"/>
                <w:szCs w:val="21"/>
              </w:rPr>
              <w:t>（</w:t>
            </w:r>
            <w:r>
              <w:rPr>
                <w:color w:val="auto"/>
                <w:sz w:val="21"/>
                <w:szCs w:val="21"/>
              </w:rPr>
              <w:t>试行</w:t>
            </w:r>
            <w:r>
              <w:rPr>
                <w:rFonts w:hint="eastAsia"/>
                <w:color w:val="auto"/>
                <w:sz w:val="21"/>
                <w:szCs w:val="21"/>
              </w:rPr>
              <w:t>）</w:t>
            </w:r>
            <w:r>
              <w:rPr>
                <w:color w:val="auto"/>
                <w:sz w:val="21"/>
                <w:szCs w:val="21"/>
              </w:rPr>
              <w:t>的通知》</w:t>
            </w:r>
            <w:r>
              <w:rPr>
                <w:rFonts w:hint="eastAsia"/>
                <w:color w:val="auto"/>
                <w:sz w:val="21"/>
                <w:szCs w:val="21"/>
              </w:rPr>
              <w:t>（</w:t>
            </w:r>
            <w:r>
              <w:rPr>
                <w:color w:val="auto"/>
                <w:sz w:val="21"/>
                <w:szCs w:val="21"/>
              </w:rPr>
              <w:t>苏污防攻坚指办</w:t>
            </w:r>
            <w:r>
              <w:rPr>
                <w:rFonts w:hint="eastAsia"/>
                <w:color w:val="auto"/>
                <w:sz w:val="21"/>
                <w:szCs w:val="21"/>
              </w:rPr>
              <w:t>〔</w:t>
            </w:r>
            <w:r>
              <w:rPr>
                <w:color w:val="auto"/>
                <w:sz w:val="21"/>
                <w:szCs w:val="21"/>
              </w:rPr>
              <w:t>2021</w:t>
            </w:r>
            <w:r>
              <w:rPr>
                <w:rFonts w:hint="eastAsia"/>
                <w:color w:val="auto"/>
                <w:sz w:val="21"/>
                <w:szCs w:val="21"/>
              </w:rPr>
              <w:t>〕</w:t>
            </w:r>
            <w:r>
              <w:rPr>
                <w:color w:val="auto"/>
                <w:sz w:val="21"/>
                <w:szCs w:val="21"/>
              </w:rPr>
              <w:t>56号</w:t>
            </w:r>
            <w:r>
              <w:rPr>
                <w:rFonts w:hint="eastAsia"/>
                <w:color w:val="auto"/>
                <w:sz w:val="21"/>
                <w:szCs w:val="21"/>
              </w:rPr>
              <w:t>）</w:t>
            </w:r>
            <w:r>
              <w:rPr>
                <w:color w:val="auto"/>
                <w:sz w:val="21"/>
                <w:szCs w:val="21"/>
              </w:rPr>
              <w:t>，工业园区（集中区）污染物排放限值限量管理，限值：是根据区域生态环境质量状况，制定工业园区环境质量目标，明确主要污染物排放浓度值。限量：是根据工业园区环境质量考核目标和实际排放情况，确认园区主要污染物允许排放总量。</w:t>
            </w:r>
          </w:p>
        </w:tc>
        <w:tc>
          <w:tcPr>
            <w:tcW w:w="2536" w:type="pct"/>
            <w:tcBorders>
              <w:tl2br w:val="nil"/>
              <w:tr2bl w:val="nil"/>
            </w:tcBorders>
            <w:vAlign w:val="center"/>
          </w:tcPr>
          <w:p w14:paraId="72BD6D5F">
            <w:pPr>
              <w:spacing w:line="240" w:lineRule="auto"/>
              <w:ind w:firstLine="0" w:firstLineChars="0"/>
              <w:rPr>
                <w:color w:val="auto"/>
                <w:sz w:val="21"/>
                <w:szCs w:val="21"/>
              </w:rPr>
            </w:pPr>
            <w:r>
              <w:rPr>
                <w:color w:val="auto"/>
                <w:sz w:val="21"/>
                <w:szCs w:val="21"/>
              </w:rPr>
              <w:t>连云港经济技术开发区将根据苏污防攻坚指办</w:t>
            </w:r>
            <w:r>
              <w:rPr>
                <w:rFonts w:hint="eastAsia"/>
                <w:color w:val="auto"/>
                <w:sz w:val="21"/>
                <w:szCs w:val="21"/>
              </w:rPr>
              <w:t>〔</w:t>
            </w:r>
            <w:r>
              <w:rPr>
                <w:color w:val="auto"/>
                <w:sz w:val="21"/>
                <w:szCs w:val="21"/>
              </w:rPr>
              <w:t>2021</w:t>
            </w:r>
            <w:r>
              <w:rPr>
                <w:rFonts w:hint="eastAsia"/>
                <w:color w:val="auto"/>
                <w:sz w:val="21"/>
                <w:szCs w:val="21"/>
              </w:rPr>
              <w:t>〕</w:t>
            </w:r>
            <w:r>
              <w:rPr>
                <w:color w:val="auto"/>
                <w:sz w:val="21"/>
                <w:szCs w:val="21"/>
              </w:rPr>
              <w:t>56号要求，加强园区污染物排放限值限量管理，建立完善适应工业园区限值限量管理的环境监测监控能力，规范制定环境监测计划，加强对地表水、环境空气、环境噪声、地下水、土壤等的监测，严格落实园区污染物排放总量和企业排放浓度“双管控”。开发区已开展限值限量管理实施方案编制工作，《连云港经济技术开发区污染物排放限值限量管理实施方案》已取得了江苏省生态环境评估中心出具的技术评估意见。</w:t>
            </w:r>
          </w:p>
        </w:tc>
      </w:tr>
      <w:tr w14:paraId="2C254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tl2br w:val="nil"/>
              <w:tr2bl w:val="nil"/>
            </w:tcBorders>
            <w:vAlign w:val="center"/>
          </w:tcPr>
          <w:p w14:paraId="3F909D07">
            <w:pPr>
              <w:spacing w:line="240" w:lineRule="auto"/>
              <w:ind w:firstLine="0" w:firstLineChars="0"/>
              <w:jc w:val="center"/>
              <w:rPr>
                <w:color w:val="auto"/>
                <w:sz w:val="21"/>
                <w:szCs w:val="21"/>
              </w:rPr>
            </w:pPr>
          </w:p>
        </w:tc>
        <w:tc>
          <w:tcPr>
            <w:tcW w:w="285" w:type="pct"/>
            <w:tcBorders>
              <w:tl2br w:val="nil"/>
              <w:tr2bl w:val="nil"/>
            </w:tcBorders>
            <w:vAlign w:val="center"/>
          </w:tcPr>
          <w:p w14:paraId="29E4E7D1">
            <w:pPr>
              <w:spacing w:line="240" w:lineRule="auto"/>
              <w:ind w:firstLine="0" w:firstLineChars="0"/>
              <w:jc w:val="center"/>
              <w:rPr>
                <w:color w:val="auto"/>
                <w:sz w:val="21"/>
                <w:szCs w:val="21"/>
              </w:rPr>
            </w:pPr>
            <w:r>
              <w:rPr>
                <w:rFonts w:hint="eastAsia"/>
                <w:color w:val="auto"/>
                <w:sz w:val="21"/>
                <w:szCs w:val="21"/>
              </w:rPr>
              <w:t>7</w:t>
            </w:r>
          </w:p>
        </w:tc>
        <w:tc>
          <w:tcPr>
            <w:tcW w:w="423" w:type="pct"/>
            <w:tcBorders>
              <w:tl2br w:val="nil"/>
              <w:tr2bl w:val="nil"/>
            </w:tcBorders>
            <w:vAlign w:val="center"/>
          </w:tcPr>
          <w:p w14:paraId="4D9E0156">
            <w:pPr>
              <w:spacing w:line="240" w:lineRule="auto"/>
              <w:ind w:firstLine="0" w:firstLineChars="0"/>
              <w:jc w:val="center"/>
              <w:rPr>
                <w:color w:val="auto"/>
                <w:sz w:val="21"/>
                <w:szCs w:val="21"/>
              </w:rPr>
            </w:pPr>
            <w:r>
              <w:rPr>
                <w:rFonts w:hint="eastAsia"/>
                <w:color w:val="auto"/>
                <w:sz w:val="21"/>
                <w:szCs w:val="21"/>
              </w:rPr>
              <w:t>废气</w:t>
            </w:r>
          </w:p>
        </w:tc>
        <w:tc>
          <w:tcPr>
            <w:tcW w:w="1412" w:type="pct"/>
            <w:tcBorders>
              <w:tl2br w:val="nil"/>
              <w:tr2bl w:val="nil"/>
            </w:tcBorders>
            <w:vAlign w:val="center"/>
          </w:tcPr>
          <w:p w14:paraId="41A613DD">
            <w:pPr>
              <w:spacing w:line="240" w:lineRule="auto"/>
              <w:ind w:firstLine="0" w:firstLineChars="0"/>
              <w:jc w:val="center"/>
              <w:rPr>
                <w:color w:val="auto"/>
                <w:sz w:val="21"/>
                <w:szCs w:val="21"/>
              </w:rPr>
            </w:pPr>
            <w:r>
              <w:rPr>
                <w:color w:val="auto"/>
                <w:sz w:val="21"/>
                <w:szCs w:val="21"/>
              </w:rPr>
              <w:t>废气异味及无组织排放问题</w:t>
            </w:r>
            <w:r>
              <w:rPr>
                <w:rFonts w:hint="eastAsia"/>
                <w:color w:val="auto"/>
                <w:sz w:val="21"/>
                <w:szCs w:val="21"/>
              </w:rPr>
              <w:t>。</w:t>
            </w:r>
          </w:p>
        </w:tc>
        <w:tc>
          <w:tcPr>
            <w:tcW w:w="2536" w:type="pct"/>
            <w:tcBorders>
              <w:tl2br w:val="nil"/>
              <w:tr2bl w:val="nil"/>
            </w:tcBorders>
            <w:vAlign w:val="center"/>
          </w:tcPr>
          <w:p w14:paraId="1B54D40A">
            <w:pPr>
              <w:spacing w:line="240" w:lineRule="auto"/>
              <w:ind w:firstLine="0" w:firstLineChars="0"/>
              <w:rPr>
                <w:color w:val="auto"/>
                <w:sz w:val="21"/>
                <w:szCs w:val="21"/>
              </w:rPr>
            </w:pPr>
            <w:r>
              <w:rPr>
                <w:rFonts w:hint="eastAsia"/>
                <w:color w:val="auto"/>
                <w:sz w:val="21"/>
                <w:szCs w:val="21"/>
              </w:rPr>
              <w:t>为推动空气质量改善，开发区组织制定了《开发区空气质量持续改善行动计划实施方案》，方案明确到2025年，全区PM2.5浓度比2020年下降10%以上，重度及以上污染天数控制在1天内；氮氧化物和挥发性有机物排放总量比2020年分别下降10%以上。《实施方案》主要包括：</w:t>
            </w:r>
          </w:p>
          <w:p w14:paraId="20573370">
            <w:pPr>
              <w:spacing w:line="240" w:lineRule="auto"/>
              <w:ind w:firstLine="0" w:firstLineChars="0"/>
              <w:rPr>
                <w:color w:val="auto"/>
                <w:sz w:val="21"/>
                <w:szCs w:val="21"/>
              </w:rPr>
            </w:pPr>
            <w:r>
              <w:rPr>
                <w:rFonts w:hint="eastAsia"/>
                <w:color w:val="auto"/>
                <w:sz w:val="21"/>
                <w:szCs w:val="21"/>
              </w:rPr>
              <w:t>1、强化多污染物减排，切实降低排放强度</w:t>
            </w:r>
          </w:p>
          <w:p w14:paraId="4C5D252E">
            <w:pPr>
              <w:spacing w:line="240" w:lineRule="auto"/>
              <w:ind w:firstLine="0" w:firstLineChars="0"/>
              <w:rPr>
                <w:color w:val="auto"/>
                <w:sz w:val="21"/>
                <w:szCs w:val="21"/>
              </w:rPr>
            </w:pPr>
            <w:r>
              <w:rPr>
                <w:rFonts w:hint="eastAsia"/>
                <w:color w:val="auto"/>
                <w:sz w:val="21"/>
                <w:szCs w:val="21"/>
              </w:rPr>
              <w:t xml:space="preserve"> 严格执行建设项目准入预审制度，提高重点行业项目环保准入门槛，严格禁止新上废气污染排放严重的工业项目，把好工业污染防治源头关；促进企业替代使用含挥发性有机物低的原料，从源头减少挥发性有机物排放。强化VOCs全流程、全环节综合治理。鼓励使用低泄漏的呼吸紧急泄压阀，定期开展密封性检测。重点工业园区建立分环节、分物种管控阀、单，实施高排放关键活性物种“指纹化”监测监控和靶向治理。到2025年，重点工业园区VOCs浓度完成市级下达目标；推进重点行业超低排放与提标改造，有序推进铸造、垃圾焚烧发电等行业深度治理，持续推进煤电机组深度脱硝改造，实施重点行业绩效等级提升行动。开展餐饮油烟、恶臭异味专项治理。加强部门联动，因地制宜解决群众反映集中的油烟和恶臭扰民问题。</w:t>
            </w:r>
          </w:p>
          <w:p w14:paraId="2C683938">
            <w:pPr>
              <w:spacing w:line="240" w:lineRule="auto"/>
              <w:ind w:firstLine="0" w:firstLineChars="0"/>
              <w:rPr>
                <w:color w:val="auto"/>
                <w:sz w:val="21"/>
                <w:szCs w:val="21"/>
              </w:rPr>
            </w:pPr>
            <w:r>
              <w:rPr>
                <w:rFonts w:hint="eastAsia"/>
                <w:color w:val="auto"/>
                <w:sz w:val="21"/>
                <w:szCs w:val="21"/>
              </w:rPr>
              <w:t>2、优化产业结构，促进产业绿色低碳升级</w:t>
            </w:r>
          </w:p>
          <w:p w14:paraId="3567D536">
            <w:pPr>
              <w:spacing w:line="240" w:lineRule="auto"/>
              <w:ind w:firstLine="0" w:firstLineChars="0"/>
              <w:rPr>
                <w:color w:val="auto"/>
                <w:sz w:val="21"/>
                <w:szCs w:val="21"/>
              </w:rPr>
            </w:pPr>
            <w:r>
              <w:rPr>
                <w:rFonts w:hint="eastAsia"/>
                <w:color w:val="auto"/>
                <w:sz w:val="21"/>
                <w:szCs w:val="21"/>
              </w:rPr>
              <w:t>严格落实“两高”项目管理目录，实行清单管理、分类处置、动态监控。推进园区、产业集群绿色低碳化改造与综合治理。针对现有产业集群制定专项整治方案，依法淘汰关停一批、搬迁入园一批、就地改造一批、做优做强一批。优化含VOCs原辅材料和产品结构。严格控制生产和使用高VOCs含量的涂料、油墨、胶粘剂、清洗剂等建设项目。在生产、销售、进口、使用等环节严格执行VOCs含量限值标准。实施源头替代工程，加大工业涂装、包装印刷和电子行业清洁原料替代力度。鼓励和推进汽车4S店、大型汽修厂实施水性涂料替代。</w:t>
            </w:r>
          </w:p>
          <w:p w14:paraId="6B6B5779">
            <w:pPr>
              <w:spacing w:line="240" w:lineRule="auto"/>
              <w:ind w:firstLine="0" w:firstLineChars="0"/>
              <w:rPr>
                <w:color w:val="auto"/>
                <w:sz w:val="21"/>
                <w:szCs w:val="21"/>
              </w:rPr>
            </w:pPr>
            <w:r>
              <w:rPr>
                <w:rFonts w:hint="eastAsia"/>
                <w:color w:val="auto"/>
                <w:sz w:val="21"/>
                <w:szCs w:val="21"/>
              </w:rPr>
              <w:t>3、优化能源结构，加快能源清洁低碳高效发展</w:t>
            </w:r>
          </w:p>
          <w:p w14:paraId="1007BB84">
            <w:pPr>
              <w:spacing w:line="240" w:lineRule="auto"/>
              <w:ind w:firstLine="0" w:firstLineChars="0"/>
              <w:rPr>
                <w:color w:val="auto"/>
                <w:sz w:val="21"/>
                <w:szCs w:val="21"/>
              </w:rPr>
            </w:pPr>
            <w:r>
              <w:rPr>
                <w:rFonts w:hint="eastAsia"/>
                <w:color w:val="auto"/>
                <w:sz w:val="21"/>
                <w:szCs w:val="21"/>
              </w:rPr>
              <w:t>大力发展新能源和清洁能源。到2025年，非化石能源消费比重达20%左右，可再生能源占全区能源消费比重达到15%以上，电能占终端能源消费比重达35%左右。严格合理控制煤炭消费总量。原则上不再新增自备燃煤机组，支持自备燃煤机组实施清洁能源替代。到2025年，淘汰35蒸吨/小时及以下燃煤锅炉。不再新增燃料类煤气发生炉，新改扩建加热炉、热处理炉、干燥炉、熔化炉原则上采用清洁低碳能源。</w:t>
            </w:r>
          </w:p>
          <w:p w14:paraId="13B1627D">
            <w:pPr>
              <w:spacing w:line="240" w:lineRule="auto"/>
              <w:ind w:firstLine="0" w:firstLineChars="0"/>
              <w:rPr>
                <w:color w:val="auto"/>
                <w:sz w:val="21"/>
                <w:szCs w:val="21"/>
              </w:rPr>
            </w:pPr>
            <w:r>
              <w:rPr>
                <w:rFonts w:hint="eastAsia"/>
                <w:color w:val="auto"/>
                <w:sz w:val="21"/>
                <w:szCs w:val="21"/>
              </w:rPr>
              <w:t>4、持续提升监测能力，严格实施执法监管</w:t>
            </w:r>
          </w:p>
          <w:p w14:paraId="171C1D58">
            <w:pPr>
              <w:spacing w:line="240" w:lineRule="auto"/>
              <w:ind w:firstLine="0" w:firstLineChars="0"/>
              <w:rPr>
                <w:color w:val="auto"/>
                <w:sz w:val="21"/>
                <w:szCs w:val="21"/>
              </w:rPr>
            </w:pPr>
            <w:r>
              <w:rPr>
                <w:rFonts w:hint="eastAsia"/>
                <w:color w:val="auto"/>
                <w:sz w:val="21"/>
                <w:szCs w:val="21"/>
              </w:rPr>
              <w:t>持续加强监测和执法监管能力建设。加强工业园区、产业集群、公路等大气环境监测。依法拓展非现场监管手段应用，探索超标识别、取证和执法的数字化监管模式，强化执法效能评估。到2025年，完成排放清单编制并实现逐年更新强化大浦工业区“一区一策”驻点跟踪研究成果应用，持续开展大气环境质量精准管控。持续开展PM</w:t>
            </w:r>
            <w:r>
              <w:rPr>
                <w:rFonts w:hint="eastAsia"/>
                <w:color w:val="auto"/>
                <w:sz w:val="21"/>
                <w:szCs w:val="21"/>
                <w:vertAlign w:val="subscript"/>
              </w:rPr>
              <w:t>2.5</w:t>
            </w:r>
            <w:r>
              <w:rPr>
                <w:rFonts w:hint="eastAsia"/>
                <w:color w:val="auto"/>
                <w:sz w:val="21"/>
                <w:szCs w:val="21"/>
              </w:rPr>
              <w:t>，和臭氧协同控制监测分析，试点研究基于监测大数据智能分析的污染溯源、异常识别、排查管理等非现场监管技术。</w:t>
            </w:r>
          </w:p>
          <w:p w14:paraId="2C9E7AD5">
            <w:pPr>
              <w:spacing w:line="240" w:lineRule="auto"/>
              <w:ind w:firstLine="0" w:firstLineChars="0"/>
              <w:rPr>
                <w:color w:val="auto"/>
                <w:sz w:val="21"/>
                <w:szCs w:val="21"/>
              </w:rPr>
            </w:pPr>
            <w:r>
              <w:rPr>
                <w:rFonts w:hint="eastAsia"/>
                <w:color w:val="auto"/>
                <w:sz w:val="21"/>
                <w:szCs w:val="21"/>
              </w:rPr>
              <w:t>5、强化管理机制建设，严格落实各方责任</w:t>
            </w:r>
          </w:p>
          <w:p w14:paraId="56DB0A41">
            <w:pPr>
              <w:spacing w:line="240" w:lineRule="auto"/>
              <w:ind w:firstLine="0" w:firstLineChars="0"/>
              <w:rPr>
                <w:color w:val="auto"/>
                <w:sz w:val="21"/>
                <w:szCs w:val="21"/>
              </w:rPr>
            </w:pPr>
            <w:r>
              <w:rPr>
                <w:rFonts w:hint="eastAsia"/>
                <w:color w:val="auto"/>
                <w:sz w:val="21"/>
                <w:szCs w:val="21"/>
              </w:rPr>
              <w:t>强化管理机制建设，完善大气环境管理体系（十五）完善重污染天气应对机制。严格落实《开发区重污染天气应急预明确各部门责任分工。结合排污许可制度，确保应急减排清单覆盖所有涉气案》企业。有关部门强化协作，落实任务分工，建立健全信息交流和数据共享机制，出台政策时统筹考虑空气质量持续改善需求。</w:t>
            </w:r>
          </w:p>
        </w:tc>
      </w:tr>
    </w:tbl>
    <w:p w14:paraId="2D3090C2">
      <w:pPr>
        <w:ind w:firstLine="0" w:firstLineChars="0"/>
        <w:rPr>
          <w:color w:val="auto"/>
        </w:rPr>
      </w:pPr>
    </w:p>
    <w:p w14:paraId="0698D413">
      <w:pPr>
        <w:pStyle w:val="3"/>
        <w:spacing w:before="120" w:beforeLines="50"/>
        <w:ind w:firstLine="0" w:firstLineChars="0"/>
        <w:rPr>
          <w:color w:val="auto"/>
          <w:sz w:val="32"/>
          <w:szCs w:val="48"/>
        </w:rPr>
        <w:sectPr>
          <w:pgSz w:w="16838" w:h="11906" w:orient="landscape"/>
          <w:pgMar w:top="1417" w:right="1418" w:bottom="1417" w:left="1418" w:header="851" w:footer="992" w:gutter="0"/>
          <w:cols w:space="0" w:num="1"/>
          <w:docGrid w:linePitch="326" w:charSpace="0"/>
        </w:sectPr>
      </w:pPr>
    </w:p>
    <w:p w14:paraId="77D84094">
      <w:pPr>
        <w:pStyle w:val="3"/>
        <w:spacing w:before="120" w:beforeLines="50"/>
        <w:ind w:firstLine="0" w:firstLineChars="0"/>
        <w:rPr>
          <w:color w:val="auto"/>
          <w:sz w:val="32"/>
          <w:szCs w:val="48"/>
        </w:rPr>
      </w:pPr>
      <w:bookmarkStart w:id="43" w:name="_Toc8088"/>
      <w:r>
        <w:rPr>
          <w:color w:val="auto"/>
          <w:sz w:val="32"/>
          <w:szCs w:val="48"/>
        </w:rPr>
        <w:t>3 现有项目</w:t>
      </w:r>
      <w:r>
        <w:rPr>
          <w:rFonts w:hint="eastAsia"/>
          <w:color w:val="auto"/>
          <w:sz w:val="32"/>
          <w:szCs w:val="48"/>
        </w:rPr>
        <w:t>回顾</w:t>
      </w:r>
      <w:bookmarkEnd w:id="43"/>
    </w:p>
    <w:p w14:paraId="3E325D09">
      <w:pPr>
        <w:pStyle w:val="4"/>
        <w:spacing w:beforeLines="50" w:after="0"/>
        <w:ind w:firstLine="0" w:firstLineChars="0"/>
        <w:rPr>
          <w:color w:val="auto"/>
          <w:sz w:val="30"/>
          <w:szCs w:val="30"/>
        </w:rPr>
      </w:pPr>
      <w:bookmarkStart w:id="44" w:name="_Toc13279"/>
      <w:r>
        <w:rPr>
          <w:color w:val="auto"/>
          <w:sz w:val="30"/>
          <w:szCs w:val="30"/>
        </w:rPr>
        <w:t>3.1 现有项目工程概况</w:t>
      </w:r>
      <w:bookmarkEnd w:id="44"/>
    </w:p>
    <w:p w14:paraId="2D27F212">
      <w:pPr>
        <w:keepNext/>
        <w:keepLines/>
        <w:spacing w:before="120" w:beforeLines="50"/>
        <w:ind w:firstLine="0" w:firstLineChars="0"/>
        <w:outlineLvl w:val="2"/>
        <w:rPr>
          <w:b/>
          <w:bCs/>
          <w:color w:val="auto"/>
          <w:sz w:val="28"/>
          <w:szCs w:val="36"/>
        </w:rPr>
      </w:pPr>
      <w:r>
        <w:rPr>
          <w:b/>
          <w:bCs/>
          <w:color w:val="auto"/>
          <w:sz w:val="28"/>
          <w:szCs w:val="36"/>
        </w:rPr>
        <w:t>3.1.1 企业基本情况</w:t>
      </w:r>
    </w:p>
    <w:p w14:paraId="707E612C">
      <w:pPr>
        <w:ind w:firstLine="480"/>
        <w:rPr>
          <w:color w:val="auto"/>
        </w:rPr>
      </w:pPr>
      <w:r>
        <w:rPr>
          <w:color w:val="auto"/>
        </w:rPr>
        <w:t>一道新材科技（连云港）有限公司成立于2022年12月12日，主要从事</w:t>
      </w:r>
      <w:r>
        <w:rPr>
          <w:rFonts w:hint="eastAsia"/>
          <w:color w:val="auto"/>
        </w:rPr>
        <w:t>材</w:t>
      </w:r>
      <w:r>
        <w:rPr>
          <w:color w:val="auto"/>
        </w:rPr>
        <w:t>料技术研发；新兴能源技术研发；风电场相关系统研发；光伏设备及元器件制造；光伏设备及元器件销售；金属结构制造；金属结构销售；金属制品销售；金属制品修理等。目前</w:t>
      </w:r>
      <w:r>
        <w:rPr>
          <w:rFonts w:hint="eastAsia"/>
          <w:color w:val="auto"/>
        </w:rPr>
        <w:t>，</w:t>
      </w:r>
      <w:r>
        <w:rPr>
          <w:color w:val="auto"/>
        </w:rPr>
        <w:t>一道新材科技（连云港）有限公司在连云港经济技术开发区有1个厂区，位于连云港</w:t>
      </w:r>
      <w:r>
        <w:rPr>
          <w:rFonts w:hint="eastAsia"/>
          <w:color w:val="auto"/>
        </w:rPr>
        <w:t>经济技术开发区</w:t>
      </w:r>
      <w:r>
        <w:rPr>
          <w:color w:val="auto"/>
        </w:rPr>
        <w:t>昌圩路18-2号。本项目拟于连云港经济技术开发区东至大浦路，南至盐池西路，西至项目边界，北至盐汇路新建。现有项目建设与审批情况见表3.1-1。</w:t>
      </w:r>
    </w:p>
    <w:p w14:paraId="3B62BD83">
      <w:pPr>
        <w:spacing w:line="240" w:lineRule="auto"/>
        <w:ind w:firstLine="482"/>
        <w:jc w:val="center"/>
        <w:rPr>
          <w:b/>
          <w:color w:val="auto"/>
        </w:rPr>
      </w:pPr>
      <w:r>
        <w:rPr>
          <w:b/>
          <w:color w:val="auto"/>
          <w:lang w:bidi="ar"/>
        </w:rPr>
        <w:t>表3.1-1  现有项目审批与验收情况一览表</w:t>
      </w:r>
    </w:p>
    <w:tbl>
      <w:tblPr>
        <w:tblStyle w:val="88"/>
        <w:tblW w:w="494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1814"/>
        <w:gridCol w:w="2480"/>
        <w:gridCol w:w="2583"/>
        <w:gridCol w:w="1603"/>
      </w:tblGrid>
      <w:tr w14:paraId="2269EC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7" w:type="pct"/>
            <w:tcBorders>
              <w:tl2br w:val="nil"/>
              <w:tr2bl w:val="nil"/>
            </w:tcBorders>
            <w:shd w:val="clear" w:color="auto" w:fill="auto"/>
            <w:vAlign w:val="center"/>
          </w:tcPr>
          <w:p w14:paraId="560D0D0D">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厂区</w:t>
            </w:r>
          </w:p>
        </w:tc>
        <w:tc>
          <w:tcPr>
            <w:tcW w:w="986" w:type="pct"/>
            <w:tcBorders>
              <w:tl2br w:val="nil"/>
              <w:tr2bl w:val="nil"/>
            </w:tcBorders>
            <w:shd w:val="clear" w:color="auto" w:fill="auto"/>
            <w:vAlign w:val="center"/>
          </w:tcPr>
          <w:p w14:paraId="4DBA89FB">
            <w:pPr>
              <w:widowControl/>
              <w:spacing w:line="240" w:lineRule="auto"/>
              <w:ind w:firstLine="0" w:firstLineChars="0"/>
              <w:jc w:val="center"/>
              <w:textAlignment w:val="center"/>
              <w:rPr>
                <w:b/>
                <w:bCs/>
                <w:color w:val="auto"/>
                <w:sz w:val="21"/>
                <w:szCs w:val="21"/>
              </w:rPr>
            </w:pPr>
            <w:r>
              <w:rPr>
                <w:b/>
                <w:bCs/>
                <w:color w:val="auto"/>
                <w:kern w:val="0"/>
                <w:sz w:val="21"/>
                <w:szCs w:val="21"/>
                <w:lang w:bidi="ar"/>
              </w:rPr>
              <w:t>项目名称</w:t>
            </w:r>
          </w:p>
        </w:tc>
        <w:tc>
          <w:tcPr>
            <w:tcW w:w="1348" w:type="pct"/>
            <w:tcBorders>
              <w:tl2br w:val="nil"/>
              <w:tr2bl w:val="nil"/>
            </w:tcBorders>
            <w:shd w:val="clear" w:color="auto" w:fill="auto"/>
            <w:vAlign w:val="center"/>
          </w:tcPr>
          <w:p w14:paraId="084C4F5C">
            <w:pPr>
              <w:widowControl/>
              <w:spacing w:line="240" w:lineRule="auto"/>
              <w:ind w:firstLine="0" w:firstLineChars="0"/>
              <w:jc w:val="center"/>
              <w:textAlignment w:val="center"/>
              <w:rPr>
                <w:b/>
                <w:bCs/>
                <w:color w:val="auto"/>
                <w:sz w:val="21"/>
                <w:szCs w:val="21"/>
              </w:rPr>
            </w:pPr>
            <w:r>
              <w:rPr>
                <w:b/>
                <w:bCs/>
                <w:color w:val="auto"/>
                <w:kern w:val="0"/>
                <w:sz w:val="21"/>
                <w:szCs w:val="21"/>
                <w:lang w:bidi="ar"/>
              </w:rPr>
              <w:t>环评审批情况</w:t>
            </w:r>
          </w:p>
        </w:tc>
        <w:tc>
          <w:tcPr>
            <w:tcW w:w="1404" w:type="pct"/>
            <w:tcBorders>
              <w:tl2br w:val="nil"/>
              <w:tr2bl w:val="nil"/>
            </w:tcBorders>
            <w:shd w:val="clear" w:color="auto" w:fill="auto"/>
            <w:vAlign w:val="center"/>
          </w:tcPr>
          <w:p w14:paraId="728D227C">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排污许可申报情况</w:t>
            </w:r>
          </w:p>
        </w:tc>
        <w:tc>
          <w:tcPr>
            <w:tcW w:w="871" w:type="pct"/>
            <w:tcBorders>
              <w:tl2br w:val="nil"/>
              <w:tr2bl w:val="nil"/>
            </w:tcBorders>
            <w:shd w:val="clear" w:color="auto" w:fill="auto"/>
            <w:vAlign w:val="center"/>
          </w:tcPr>
          <w:p w14:paraId="2B70D361">
            <w:pPr>
              <w:widowControl/>
              <w:spacing w:line="240" w:lineRule="auto"/>
              <w:ind w:firstLine="0" w:firstLineChars="0"/>
              <w:jc w:val="center"/>
              <w:textAlignment w:val="center"/>
              <w:rPr>
                <w:b/>
                <w:bCs/>
                <w:color w:val="auto"/>
                <w:sz w:val="21"/>
                <w:szCs w:val="21"/>
              </w:rPr>
            </w:pPr>
            <w:r>
              <w:rPr>
                <w:b/>
                <w:bCs/>
                <w:color w:val="auto"/>
                <w:kern w:val="0"/>
                <w:sz w:val="21"/>
                <w:szCs w:val="21"/>
                <w:lang w:bidi="ar"/>
              </w:rPr>
              <w:t>验收情况</w:t>
            </w:r>
          </w:p>
        </w:tc>
      </w:tr>
      <w:tr w14:paraId="0C58E6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7" w:type="pct"/>
            <w:tcBorders>
              <w:tl2br w:val="nil"/>
              <w:tr2bl w:val="nil"/>
            </w:tcBorders>
            <w:shd w:val="clear" w:color="auto" w:fill="auto"/>
            <w:vAlign w:val="center"/>
          </w:tcPr>
          <w:p w14:paraId="5493A6AB">
            <w:pPr>
              <w:spacing w:line="240" w:lineRule="auto"/>
              <w:ind w:firstLine="0" w:firstLineChars="0"/>
              <w:jc w:val="center"/>
              <w:rPr>
                <w:color w:val="auto"/>
                <w:sz w:val="21"/>
                <w:szCs w:val="21"/>
              </w:rPr>
            </w:pPr>
            <w:r>
              <w:rPr>
                <w:color w:val="auto"/>
                <w:sz w:val="21"/>
                <w:szCs w:val="21"/>
              </w:rPr>
              <w:t>昌圩路18-2号</w:t>
            </w:r>
          </w:p>
        </w:tc>
        <w:tc>
          <w:tcPr>
            <w:tcW w:w="986" w:type="pct"/>
            <w:tcBorders>
              <w:tl2br w:val="nil"/>
              <w:tr2bl w:val="nil"/>
            </w:tcBorders>
            <w:shd w:val="clear" w:color="auto" w:fill="auto"/>
            <w:vAlign w:val="center"/>
          </w:tcPr>
          <w:p w14:paraId="3F6DC650">
            <w:pPr>
              <w:spacing w:line="240" w:lineRule="auto"/>
              <w:ind w:firstLine="0" w:firstLineChars="0"/>
              <w:jc w:val="center"/>
              <w:rPr>
                <w:color w:val="auto"/>
                <w:sz w:val="21"/>
                <w:szCs w:val="21"/>
              </w:rPr>
            </w:pPr>
            <w:r>
              <w:rPr>
                <w:color w:val="auto"/>
                <w:sz w:val="21"/>
                <w:szCs w:val="21"/>
              </w:rPr>
              <w:t>一道光伏组件边框生产制造项目</w:t>
            </w:r>
          </w:p>
        </w:tc>
        <w:tc>
          <w:tcPr>
            <w:tcW w:w="1348" w:type="pct"/>
            <w:tcBorders>
              <w:tl2br w:val="nil"/>
              <w:tr2bl w:val="nil"/>
            </w:tcBorders>
            <w:shd w:val="clear" w:color="auto" w:fill="auto"/>
            <w:vAlign w:val="center"/>
          </w:tcPr>
          <w:p w14:paraId="715DBCE2">
            <w:pPr>
              <w:spacing w:line="240" w:lineRule="auto"/>
              <w:ind w:firstLine="0" w:firstLineChars="0"/>
              <w:jc w:val="center"/>
              <w:rPr>
                <w:color w:val="auto"/>
                <w:sz w:val="21"/>
                <w:szCs w:val="21"/>
              </w:rPr>
            </w:pPr>
            <w:r>
              <w:rPr>
                <w:color w:val="auto"/>
                <w:sz w:val="21"/>
                <w:szCs w:val="21"/>
                <w:lang w:bidi="ar"/>
              </w:rPr>
              <w:t>2024年1月19日取得连云港经济技术开发区行政审批局的批复（批复文号：连开审批复</w:t>
            </w:r>
            <w:r>
              <w:rPr>
                <w:rFonts w:hint="eastAsia"/>
                <w:color w:val="auto"/>
                <w:sz w:val="21"/>
                <w:szCs w:val="21"/>
                <w:lang w:bidi="ar"/>
              </w:rPr>
              <w:t>〔</w:t>
            </w:r>
            <w:r>
              <w:rPr>
                <w:color w:val="auto"/>
                <w:sz w:val="21"/>
                <w:szCs w:val="21"/>
                <w:lang w:bidi="ar"/>
              </w:rPr>
              <w:t>2024</w:t>
            </w:r>
            <w:r>
              <w:rPr>
                <w:rFonts w:hint="eastAsia"/>
                <w:color w:val="auto"/>
                <w:sz w:val="21"/>
                <w:szCs w:val="21"/>
                <w:lang w:bidi="ar"/>
              </w:rPr>
              <w:t>〕</w:t>
            </w:r>
            <w:r>
              <w:rPr>
                <w:color w:val="auto"/>
                <w:sz w:val="21"/>
                <w:szCs w:val="21"/>
                <w:lang w:bidi="ar"/>
              </w:rPr>
              <w:t>7号）</w:t>
            </w:r>
          </w:p>
        </w:tc>
        <w:tc>
          <w:tcPr>
            <w:tcW w:w="1404" w:type="pct"/>
            <w:tcBorders>
              <w:tl2br w:val="nil"/>
              <w:tr2bl w:val="nil"/>
            </w:tcBorders>
            <w:shd w:val="clear" w:color="auto" w:fill="auto"/>
            <w:vAlign w:val="center"/>
          </w:tcPr>
          <w:p w14:paraId="3424116E">
            <w:pPr>
              <w:spacing w:line="240" w:lineRule="auto"/>
              <w:ind w:firstLine="0" w:firstLineChars="0"/>
              <w:jc w:val="center"/>
              <w:rPr>
                <w:color w:val="auto"/>
                <w:sz w:val="21"/>
                <w:szCs w:val="21"/>
              </w:rPr>
            </w:pPr>
            <w:r>
              <w:rPr>
                <w:color w:val="auto"/>
                <w:sz w:val="21"/>
                <w:szCs w:val="21"/>
                <w:lang w:bidi="ar"/>
              </w:rPr>
              <w:t>2024年4月25日取得固定污染源排污登记回执，登记编号：91320791MAC42FPX3B001Z，有效期限：2024年4月25日至2029年4月24日</w:t>
            </w:r>
          </w:p>
        </w:tc>
        <w:tc>
          <w:tcPr>
            <w:tcW w:w="871" w:type="pct"/>
            <w:tcBorders>
              <w:tl2br w:val="nil"/>
              <w:tr2bl w:val="nil"/>
            </w:tcBorders>
            <w:shd w:val="clear" w:color="auto" w:fill="auto"/>
            <w:vAlign w:val="center"/>
          </w:tcPr>
          <w:p w14:paraId="66BD6F04">
            <w:pPr>
              <w:spacing w:line="240" w:lineRule="auto"/>
              <w:ind w:firstLine="0" w:firstLineChars="0"/>
              <w:jc w:val="center"/>
              <w:rPr>
                <w:color w:val="auto"/>
                <w:sz w:val="21"/>
                <w:szCs w:val="21"/>
              </w:rPr>
            </w:pPr>
            <w:r>
              <w:rPr>
                <w:color w:val="auto"/>
                <w:sz w:val="21"/>
                <w:szCs w:val="21"/>
                <w:lang w:bidi="ar"/>
              </w:rPr>
              <w:t>202</w:t>
            </w:r>
            <w:r>
              <w:rPr>
                <w:rFonts w:hint="eastAsia"/>
                <w:color w:val="auto"/>
                <w:sz w:val="21"/>
                <w:szCs w:val="21"/>
                <w:lang w:bidi="ar"/>
              </w:rPr>
              <w:t>4</w:t>
            </w:r>
            <w:r>
              <w:rPr>
                <w:color w:val="auto"/>
                <w:sz w:val="21"/>
                <w:szCs w:val="21"/>
                <w:lang w:bidi="ar"/>
              </w:rPr>
              <w:t>年</w:t>
            </w:r>
            <w:r>
              <w:rPr>
                <w:rFonts w:hint="eastAsia"/>
                <w:color w:val="auto"/>
                <w:sz w:val="21"/>
                <w:szCs w:val="21"/>
                <w:lang w:bidi="ar"/>
              </w:rPr>
              <w:t>7</w:t>
            </w:r>
            <w:r>
              <w:rPr>
                <w:color w:val="auto"/>
                <w:sz w:val="21"/>
                <w:szCs w:val="21"/>
                <w:lang w:bidi="ar"/>
              </w:rPr>
              <w:t>月</w:t>
            </w:r>
            <w:r>
              <w:rPr>
                <w:rFonts w:hint="eastAsia"/>
                <w:color w:val="auto"/>
                <w:sz w:val="21"/>
                <w:szCs w:val="21"/>
                <w:lang w:bidi="ar"/>
              </w:rPr>
              <w:t>26日</w:t>
            </w:r>
            <w:r>
              <w:rPr>
                <w:color w:val="auto"/>
                <w:sz w:val="21"/>
                <w:szCs w:val="21"/>
                <w:lang w:bidi="ar"/>
              </w:rPr>
              <w:t>企业开展自主验收，验收合格</w:t>
            </w:r>
          </w:p>
        </w:tc>
      </w:tr>
    </w:tbl>
    <w:p w14:paraId="498765B2">
      <w:pPr>
        <w:spacing w:before="120" w:beforeLines="50"/>
        <w:ind w:firstLine="482"/>
        <w:rPr>
          <w:bCs/>
          <w:color w:val="auto"/>
        </w:rPr>
      </w:pPr>
      <w:r>
        <w:rPr>
          <w:rFonts w:hint="eastAsia"/>
          <w:b/>
          <w:color w:val="auto"/>
          <w:lang w:bidi="ar"/>
        </w:rPr>
        <w:t>根据企业实际情况，暂未对原环评批复的0.3GW/a（约合2700t/a）光伏组件钢边框以及1250t/a光伏组件铝边框进行建设</w:t>
      </w:r>
      <w:r>
        <w:rPr>
          <w:rFonts w:hint="eastAsia"/>
          <w:bCs/>
          <w:color w:val="auto"/>
          <w:lang w:bidi="ar"/>
        </w:rPr>
        <w:t>。</w:t>
      </w:r>
      <w:r>
        <w:rPr>
          <w:bCs/>
          <w:color w:val="auto"/>
          <w:lang w:bidi="ar"/>
        </w:rPr>
        <w:t>现有项目主要产品方案见表3.1-2。</w:t>
      </w:r>
    </w:p>
    <w:p w14:paraId="6A553C12">
      <w:pPr>
        <w:widowControl/>
        <w:spacing w:line="240" w:lineRule="auto"/>
        <w:ind w:firstLine="482"/>
        <w:jc w:val="center"/>
        <w:rPr>
          <w:b/>
          <w:color w:val="auto"/>
        </w:rPr>
      </w:pPr>
      <w:r>
        <w:rPr>
          <w:b/>
          <w:color w:val="auto"/>
          <w:lang w:bidi="ar"/>
        </w:rPr>
        <w:t>表3.1</w:t>
      </w:r>
      <w:r>
        <w:rPr>
          <w:rFonts w:hint="eastAsia"/>
          <w:b/>
          <w:color w:val="auto"/>
          <w:lang w:bidi="ar"/>
        </w:rPr>
        <w:t>-</w:t>
      </w:r>
      <w:r>
        <w:rPr>
          <w:b/>
          <w:color w:val="auto"/>
          <w:lang w:bidi="ar"/>
        </w:rPr>
        <w:t xml:space="preserve">2 </w:t>
      </w:r>
      <w:r>
        <w:rPr>
          <w:rFonts w:hint="eastAsia"/>
          <w:b/>
          <w:color w:val="auto"/>
          <w:lang w:bidi="ar"/>
        </w:rPr>
        <w:t xml:space="preserve"> </w:t>
      </w:r>
      <w:r>
        <w:rPr>
          <w:b/>
          <w:color w:val="auto"/>
          <w:lang w:bidi="ar"/>
        </w:rPr>
        <w:t>现有项目主要产品、规格及生产能力</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07"/>
        <w:gridCol w:w="1580"/>
        <w:gridCol w:w="2462"/>
        <w:gridCol w:w="1518"/>
        <w:gridCol w:w="1798"/>
      </w:tblGrid>
      <w:tr w14:paraId="2F7B7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941" w:type="pct"/>
            <w:tcBorders>
              <w:tl2br w:val="nil"/>
              <w:tr2bl w:val="nil"/>
            </w:tcBorders>
            <w:shd w:val="clear" w:color="auto" w:fill="auto"/>
            <w:vAlign w:val="center"/>
          </w:tcPr>
          <w:p w14:paraId="62EE79A5">
            <w:pPr>
              <w:spacing w:line="240" w:lineRule="auto"/>
              <w:ind w:firstLine="0" w:firstLineChars="0"/>
              <w:jc w:val="center"/>
              <w:rPr>
                <w:b/>
                <w:bCs/>
                <w:color w:val="auto"/>
                <w:sz w:val="21"/>
                <w:szCs w:val="21"/>
              </w:rPr>
            </w:pPr>
            <w:r>
              <w:rPr>
                <w:b/>
                <w:bCs/>
                <w:color w:val="auto"/>
                <w:sz w:val="21"/>
                <w:szCs w:val="21"/>
                <w:lang w:bidi="ar"/>
              </w:rPr>
              <w:t>工程/生产线名称</w:t>
            </w:r>
          </w:p>
        </w:tc>
        <w:tc>
          <w:tcPr>
            <w:tcW w:w="871" w:type="pct"/>
            <w:tcBorders>
              <w:tl2br w:val="nil"/>
              <w:tr2bl w:val="nil"/>
            </w:tcBorders>
            <w:shd w:val="clear" w:color="auto" w:fill="auto"/>
            <w:vAlign w:val="center"/>
          </w:tcPr>
          <w:p w14:paraId="71BD997D">
            <w:pPr>
              <w:spacing w:line="240" w:lineRule="auto"/>
              <w:ind w:firstLine="0" w:firstLineChars="0"/>
              <w:jc w:val="center"/>
              <w:rPr>
                <w:b/>
                <w:bCs/>
                <w:color w:val="auto"/>
                <w:sz w:val="21"/>
                <w:szCs w:val="21"/>
              </w:rPr>
            </w:pPr>
            <w:r>
              <w:rPr>
                <w:b/>
                <w:bCs/>
                <w:color w:val="auto"/>
                <w:sz w:val="21"/>
                <w:szCs w:val="21"/>
                <w:lang w:bidi="ar"/>
              </w:rPr>
              <w:t>产品名称</w:t>
            </w:r>
          </w:p>
        </w:tc>
        <w:tc>
          <w:tcPr>
            <w:tcW w:w="1357" w:type="pct"/>
            <w:tcBorders>
              <w:tl2br w:val="nil"/>
              <w:tr2bl w:val="nil"/>
            </w:tcBorders>
            <w:shd w:val="clear" w:color="auto" w:fill="auto"/>
            <w:vAlign w:val="center"/>
          </w:tcPr>
          <w:p w14:paraId="11B6357E">
            <w:pPr>
              <w:spacing w:line="240" w:lineRule="auto"/>
              <w:ind w:firstLine="0" w:firstLineChars="0"/>
              <w:jc w:val="center"/>
              <w:rPr>
                <w:b/>
                <w:bCs/>
                <w:color w:val="auto"/>
                <w:sz w:val="21"/>
                <w:szCs w:val="21"/>
              </w:rPr>
            </w:pPr>
            <w:r>
              <w:rPr>
                <w:b/>
                <w:bCs/>
                <w:color w:val="auto"/>
                <w:sz w:val="21"/>
                <w:szCs w:val="21"/>
              </w:rPr>
              <w:t>设计</w:t>
            </w:r>
            <w:r>
              <w:rPr>
                <w:rFonts w:hint="eastAsia"/>
                <w:b/>
                <w:bCs/>
                <w:color w:val="auto"/>
                <w:sz w:val="21"/>
                <w:szCs w:val="21"/>
              </w:rPr>
              <w:t>产能</w:t>
            </w:r>
          </w:p>
        </w:tc>
        <w:tc>
          <w:tcPr>
            <w:tcW w:w="837" w:type="pct"/>
            <w:tcBorders>
              <w:tl2br w:val="nil"/>
              <w:tr2bl w:val="nil"/>
            </w:tcBorders>
            <w:shd w:val="clear" w:color="auto" w:fill="auto"/>
            <w:vAlign w:val="center"/>
          </w:tcPr>
          <w:p w14:paraId="162ED79A">
            <w:pPr>
              <w:spacing w:line="240" w:lineRule="auto"/>
              <w:ind w:firstLine="0" w:firstLineChars="0"/>
              <w:jc w:val="center"/>
              <w:rPr>
                <w:b/>
                <w:bCs/>
                <w:color w:val="auto"/>
                <w:sz w:val="21"/>
                <w:szCs w:val="21"/>
              </w:rPr>
            </w:pPr>
            <w:r>
              <w:rPr>
                <w:rFonts w:hint="eastAsia"/>
                <w:b/>
                <w:bCs/>
                <w:color w:val="auto"/>
                <w:sz w:val="21"/>
                <w:szCs w:val="21"/>
              </w:rPr>
              <w:t>实际产能</w:t>
            </w:r>
          </w:p>
        </w:tc>
        <w:tc>
          <w:tcPr>
            <w:tcW w:w="991" w:type="pct"/>
            <w:tcBorders>
              <w:tl2br w:val="nil"/>
              <w:tr2bl w:val="nil"/>
            </w:tcBorders>
            <w:shd w:val="clear" w:color="auto" w:fill="auto"/>
            <w:vAlign w:val="center"/>
          </w:tcPr>
          <w:p w14:paraId="1E11E499">
            <w:pPr>
              <w:spacing w:line="240" w:lineRule="auto"/>
              <w:ind w:firstLine="0" w:firstLineChars="0"/>
              <w:jc w:val="center"/>
              <w:rPr>
                <w:b/>
                <w:bCs/>
                <w:color w:val="auto"/>
                <w:sz w:val="21"/>
                <w:szCs w:val="21"/>
              </w:rPr>
            </w:pPr>
            <w:r>
              <w:rPr>
                <w:b/>
                <w:bCs/>
                <w:color w:val="auto"/>
                <w:sz w:val="21"/>
                <w:szCs w:val="21"/>
              </w:rPr>
              <w:t>年运行时间（h）</w:t>
            </w:r>
          </w:p>
        </w:tc>
      </w:tr>
      <w:tr w14:paraId="590DA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1" w:type="pct"/>
            <w:vMerge w:val="restart"/>
            <w:tcBorders>
              <w:tl2br w:val="nil"/>
              <w:tr2bl w:val="nil"/>
            </w:tcBorders>
            <w:shd w:val="clear" w:color="auto" w:fill="auto"/>
            <w:vAlign w:val="center"/>
          </w:tcPr>
          <w:p w14:paraId="2E970E80">
            <w:pPr>
              <w:spacing w:line="240" w:lineRule="auto"/>
              <w:ind w:firstLine="0" w:firstLineChars="0"/>
              <w:jc w:val="center"/>
              <w:rPr>
                <w:color w:val="auto"/>
                <w:sz w:val="21"/>
                <w:szCs w:val="21"/>
              </w:rPr>
            </w:pPr>
            <w:r>
              <w:rPr>
                <w:color w:val="auto"/>
                <w:sz w:val="21"/>
                <w:szCs w:val="21"/>
              </w:rPr>
              <w:t>光伏组件边框生产线</w:t>
            </w:r>
          </w:p>
        </w:tc>
        <w:tc>
          <w:tcPr>
            <w:tcW w:w="871" w:type="pct"/>
            <w:tcBorders>
              <w:tl2br w:val="nil"/>
              <w:tr2bl w:val="nil"/>
            </w:tcBorders>
            <w:shd w:val="clear" w:color="auto" w:fill="auto"/>
            <w:vAlign w:val="center"/>
          </w:tcPr>
          <w:p w14:paraId="74141D96">
            <w:pPr>
              <w:spacing w:line="240" w:lineRule="auto"/>
              <w:ind w:right="-43" w:rightChars="-18" w:firstLine="0" w:firstLineChars="0"/>
              <w:jc w:val="center"/>
              <w:rPr>
                <w:color w:val="auto"/>
                <w:sz w:val="21"/>
                <w:szCs w:val="21"/>
              </w:rPr>
            </w:pPr>
            <w:r>
              <w:rPr>
                <w:color w:val="auto"/>
                <w:sz w:val="21"/>
                <w:szCs w:val="21"/>
              </w:rPr>
              <w:t>光伏组件钢边框</w:t>
            </w:r>
          </w:p>
        </w:tc>
        <w:tc>
          <w:tcPr>
            <w:tcW w:w="1357" w:type="pct"/>
            <w:tcBorders>
              <w:tl2br w:val="nil"/>
              <w:tr2bl w:val="nil"/>
            </w:tcBorders>
            <w:shd w:val="clear" w:color="auto" w:fill="auto"/>
            <w:vAlign w:val="center"/>
          </w:tcPr>
          <w:p w14:paraId="42C00292">
            <w:pPr>
              <w:spacing w:line="240" w:lineRule="auto"/>
              <w:ind w:firstLine="0" w:firstLineChars="0"/>
              <w:jc w:val="center"/>
              <w:rPr>
                <w:color w:val="auto"/>
                <w:sz w:val="21"/>
                <w:szCs w:val="21"/>
              </w:rPr>
            </w:pPr>
            <w:r>
              <w:rPr>
                <w:color w:val="auto"/>
                <w:sz w:val="21"/>
                <w:szCs w:val="21"/>
              </w:rPr>
              <w:t>0.3GW/a（约</w:t>
            </w:r>
            <w:r>
              <w:rPr>
                <w:rFonts w:hint="eastAsia"/>
                <w:color w:val="auto"/>
                <w:sz w:val="21"/>
                <w:szCs w:val="21"/>
              </w:rPr>
              <w:t>合</w:t>
            </w:r>
            <w:r>
              <w:rPr>
                <w:color w:val="auto"/>
                <w:sz w:val="21"/>
                <w:szCs w:val="21"/>
              </w:rPr>
              <w:t>2700t/a）</w:t>
            </w:r>
          </w:p>
        </w:tc>
        <w:tc>
          <w:tcPr>
            <w:tcW w:w="837" w:type="pct"/>
            <w:tcBorders>
              <w:tl2br w:val="nil"/>
              <w:tr2bl w:val="nil"/>
            </w:tcBorders>
            <w:shd w:val="clear" w:color="auto" w:fill="auto"/>
            <w:vAlign w:val="center"/>
          </w:tcPr>
          <w:p w14:paraId="5B2F7746">
            <w:pPr>
              <w:spacing w:line="240" w:lineRule="auto"/>
              <w:ind w:firstLine="0" w:firstLineChars="0"/>
              <w:jc w:val="center"/>
              <w:rPr>
                <w:color w:val="auto"/>
                <w:sz w:val="21"/>
                <w:szCs w:val="21"/>
              </w:rPr>
            </w:pPr>
            <w:r>
              <w:rPr>
                <w:rFonts w:hint="eastAsia"/>
                <w:color w:val="auto"/>
                <w:sz w:val="21"/>
                <w:szCs w:val="21"/>
              </w:rPr>
              <w:t>0</w:t>
            </w:r>
          </w:p>
        </w:tc>
        <w:tc>
          <w:tcPr>
            <w:tcW w:w="991" w:type="pct"/>
            <w:vMerge w:val="restart"/>
            <w:tcBorders>
              <w:tl2br w:val="nil"/>
              <w:tr2bl w:val="nil"/>
            </w:tcBorders>
            <w:shd w:val="clear" w:color="auto" w:fill="auto"/>
            <w:vAlign w:val="center"/>
          </w:tcPr>
          <w:p w14:paraId="46FFA946">
            <w:pPr>
              <w:spacing w:line="240" w:lineRule="auto"/>
              <w:ind w:firstLine="0" w:firstLineChars="0"/>
              <w:jc w:val="center"/>
              <w:rPr>
                <w:color w:val="auto"/>
                <w:sz w:val="21"/>
                <w:szCs w:val="21"/>
              </w:rPr>
            </w:pPr>
            <w:r>
              <w:rPr>
                <w:color w:val="auto"/>
                <w:sz w:val="21"/>
                <w:szCs w:val="21"/>
              </w:rPr>
              <w:t>4800</w:t>
            </w:r>
          </w:p>
        </w:tc>
      </w:tr>
      <w:tr w14:paraId="41A32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1" w:type="pct"/>
            <w:vMerge w:val="continue"/>
            <w:tcBorders>
              <w:tl2br w:val="nil"/>
              <w:tr2bl w:val="nil"/>
            </w:tcBorders>
            <w:shd w:val="clear" w:color="auto" w:fill="auto"/>
            <w:vAlign w:val="center"/>
          </w:tcPr>
          <w:p w14:paraId="7C67527B">
            <w:pPr>
              <w:spacing w:line="240" w:lineRule="auto"/>
              <w:ind w:firstLine="0" w:firstLineChars="0"/>
              <w:jc w:val="center"/>
              <w:rPr>
                <w:color w:val="auto"/>
                <w:sz w:val="21"/>
                <w:szCs w:val="21"/>
              </w:rPr>
            </w:pPr>
          </w:p>
        </w:tc>
        <w:tc>
          <w:tcPr>
            <w:tcW w:w="871" w:type="pct"/>
            <w:tcBorders>
              <w:tl2br w:val="nil"/>
              <w:tr2bl w:val="nil"/>
            </w:tcBorders>
            <w:shd w:val="clear" w:color="auto" w:fill="auto"/>
            <w:vAlign w:val="center"/>
          </w:tcPr>
          <w:p w14:paraId="22D42D33">
            <w:pPr>
              <w:spacing w:line="240" w:lineRule="auto"/>
              <w:ind w:right="-43" w:rightChars="-18" w:firstLine="0" w:firstLineChars="0"/>
              <w:jc w:val="center"/>
              <w:rPr>
                <w:color w:val="auto"/>
                <w:sz w:val="21"/>
                <w:szCs w:val="21"/>
              </w:rPr>
            </w:pPr>
            <w:r>
              <w:rPr>
                <w:color w:val="auto"/>
                <w:sz w:val="21"/>
                <w:szCs w:val="21"/>
              </w:rPr>
              <w:t>光伏组件铝边框</w:t>
            </w:r>
          </w:p>
        </w:tc>
        <w:tc>
          <w:tcPr>
            <w:tcW w:w="1357" w:type="pct"/>
            <w:tcBorders>
              <w:tl2br w:val="nil"/>
              <w:tr2bl w:val="nil"/>
            </w:tcBorders>
            <w:shd w:val="clear" w:color="auto" w:fill="auto"/>
            <w:vAlign w:val="center"/>
          </w:tcPr>
          <w:p w14:paraId="40D6C263">
            <w:pPr>
              <w:spacing w:line="240" w:lineRule="auto"/>
              <w:ind w:firstLine="0" w:firstLineChars="0"/>
              <w:jc w:val="center"/>
              <w:rPr>
                <w:color w:val="auto"/>
                <w:sz w:val="21"/>
                <w:szCs w:val="21"/>
              </w:rPr>
            </w:pPr>
            <w:r>
              <w:rPr>
                <w:color w:val="auto"/>
                <w:sz w:val="21"/>
                <w:szCs w:val="21"/>
              </w:rPr>
              <w:t>0.7</w:t>
            </w:r>
            <w:r>
              <w:rPr>
                <w:rFonts w:hint="eastAsia"/>
                <w:color w:val="auto"/>
                <w:sz w:val="21"/>
                <w:szCs w:val="21"/>
              </w:rPr>
              <w:t>G</w:t>
            </w:r>
            <w:r>
              <w:rPr>
                <w:color w:val="auto"/>
                <w:sz w:val="21"/>
                <w:szCs w:val="21"/>
              </w:rPr>
              <w:t>W/a（约</w:t>
            </w:r>
            <w:r>
              <w:rPr>
                <w:rFonts w:hint="eastAsia"/>
                <w:color w:val="auto"/>
                <w:sz w:val="21"/>
                <w:szCs w:val="21"/>
              </w:rPr>
              <w:t>合</w:t>
            </w:r>
            <w:r>
              <w:rPr>
                <w:color w:val="auto"/>
                <w:sz w:val="21"/>
                <w:szCs w:val="21"/>
              </w:rPr>
              <w:t>5000t/a）</w:t>
            </w:r>
          </w:p>
        </w:tc>
        <w:tc>
          <w:tcPr>
            <w:tcW w:w="837" w:type="pct"/>
            <w:tcBorders>
              <w:tl2br w:val="nil"/>
              <w:tr2bl w:val="nil"/>
            </w:tcBorders>
            <w:shd w:val="clear" w:color="auto" w:fill="auto"/>
            <w:vAlign w:val="center"/>
          </w:tcPr>
          <w:p w14:paraId="09EC2709">
            <w:pPr>
              <w:spacing w:line="240" w:lineRule="auto"/>
              <w:ind w:firstLine="0" w:firstLineChars="0"/>
              <w:jc w:val="center"/>
              <w:rPr>
                <w:color w:val="auto"/>
                <w:sz w:val="21"/>
                <w:szCs w:val="21"/>
              </w:rPr>
            </w:pPr>
            <w:r>
              <w:rPr>
                <w:rFonts w:hint="eastAsia"/>
                <w:color w:val="auto"/>
                <w:sz w:val="21"/>
                <w:szCs w:val="21"/>
              </w:rPr>
              <w:t>0.525GW/a（约合3750t/a）</w:t>
            </w:r>
          </w:p>
        </w:tc>
        <w:tc>
          <w:tcPr>
            <w:tcW w:w="991" w:type="pct"/>
            <w:vMerge w:val="continue"/>
            <w:tcBorders>
              <w:tl2br w:val="nil"/>
              <w:tr2bl w:val="nil"/>
            </w:tcBorders>
            <w:shd w:val="clear" w:color="auto" w:fill="auto"/>
            <w:vAlign w:val="center"/>
          </w:tcPr>
          <w:p w14:paraId="43A23A4B">
            <w:pPr>
              <w:spacing w:line="240" w:lineRule="auto"/>
              <w:ind w:firstLine="0" w:firstLineChars="0"/>
              <w:jc w:val="center"/>
              <w:rPr>
                <w:color w:val="auto"/>
                <w:sz w:val="21"/>
                <w:szCs w:val="21"/>
              </w:rPr>
            </w:pPr>
          </w:p>
        </w:tc>
      </w:tr>
    </w:tbl>
    <w:p w14:paraId="2B35651F">
      <w:pPr>
        <w:keepNext/>
        <w:keepLines/>
        <w:spacing w:before="120" w:beforeLines="50"/>
        <w:ind w:firstLine="0" w:firstLineChars="0"/>
        <w:outlineLvl w:val="2"/>
        <w:rPr>
          <w:b/>
          <w:bCs/>
          <w:color w:val="auto"/>
          <w:sz w:val="28"/>
          <w:szCs w:val="36"/>
        </w:rPr>
      </w:pPr>
      <w:r>
        <w:rPr>
          <w:b/>
          <w:bCs/>
          <w:color w:val="auto"/>
          <w:sz w:val="28"/>
          <w:szCs w:val="36"/>
        </w:rPr>
        <w:t>3.1.2 现有项目公辅工程</w:t>
      </w:r>
    </w:p>
    <w:p w14:paraId="3A75313A">
      <w:pPr>
        <w:ind w:firstLine="480"/>
        <w:rPr>
          <w:color w:val="auto"/>
        </w:rPr>
      </w:pPr>
      <w:r>
        <w:rPr>
          <w:color w:val="auto"/>
        </w:rPr>
        <w:t>现有项目公辅工程见表3.</w:t>
      </w:r>
      <w:r>
        <w:rPr>
          <w:rFonts w:hint="eastAsia"/>
          <w:color w:val="auto"/>
        </w:rPr>
        <w:t>1-3</w:t>
      </w:r>
      <w:r>
        <w:rPr>
          <w:color w:val="auto"/>
        </w:rPr>
        <w:t>。</w:t>
      </w:r>
    </w:p>
    <w:p w14:paraId="3CEE452E">
      <w:pPr>
        <w:widowControl/>
        <w:spacing w:line="240" w:lineRule="auto"/>
        <w:ind w:firstLine="482"/>
        <w:jc w:val="center"/>
        <w:rPr>
          <w:b/>
          <w:bCs/>
          <w:color w:val="auto"/>
          <w:lang w:bidi="ar"/>
        </w:rPr>
      </w:pPr>
      <w:r>
        <w:rPr>
          <w:b/>
          <w:bCs/>
          <w:color w:val="auto"/>
        </w:rPr>
        <w:t>表3.1-</w:t>
      </w:r>
      <w:r>
        <w:rPr>
          <w:rFonts w:hint="eastAsia"/>
          <w:b/>
          <w:bCs/>
          <w:color w:val="auto"/>
        </w:rPr>
        <w:t>3</w:t>
      </w:r>
      <w:r>
        <w:rPr>
          <w:b/>
          <w:bCs/>
          <w:color w:val="auto"/>
        </w:rPr>
        <w:t xml:space="preserve">  </w:t>
      </w:r>
      <w:r>
        <w:rPr>
          <w:b/>
          <w:bCs/>
          <w:color w:val="auto"/>
          <w:lang w:bidi="ar"/>
        </w:rPr>
        <w:t>现有项目公用及辅助工程一览表</w:t>
      </w:r>
    </w:p>
    <w:tbl>
      <w:tblPr>
        <w:tblStyle w:val="88"/>
        <w:tblW w:w="4996"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00"/>
        <w:gridCol w:w="906"/>
        <w:gridCol w:w="1159"/>
        <w:gridCol w:w="2342"/>
        <w:gridCol w:w="2026"/>
        <w:gridCol w:w="2134"/>
      </w:tblGrid>
      <w:tr w14:paraId="6C50476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2" w:type="pct"/>
            <w:gridSpan w:val="3"/>
            <w:tcBorders>
              <w:top w:val="single" w:color="auto" w:sz="12" w:space="0"/>
              <w:left w:val="nil"/>
              <w:bottom w:val="single" w:color="auto" w:sz="4" w:space="0"/>
              <w:right w:val="single" w:color="auto" w:sz="4" w:space="0"/>
            </w:tcBorders>
            <w:shd w:val="clear" w:color="auto" w:fill="auto"/>
            <w:vAlign w:val="center"/>
          </w:tcPr>
          <w:p w14:paraId="1BE0B7A6">
            <w:pPr>
              <w:pStyle w:val="80"/>
              <w:widowControl w:val="0"/>
              <w:spacing w:before="0" w:beforeAutospacing="0" w:after="0" w:afterAutospacing="0"/>
              <w:ind w:firstLine="0" w:firstLineChars="0"/>
              <w:jc w:val="center"/>
              <w:rPr>
                <w:rFonts w:hint="eastAsia"/>
                <w:b/>
                <w:color w:val="auto"/>
                <w:szCs w:val="21"/>
              </w:rPr>
            </w:pPr>
            <w:r>
              <w:rPr>
                <w:rFonts w:hint="eastAsia" w:ascii="Times New Roman" w:hAnsi="Times New Roman" w:cs="宋体"/>
                <w:b/>
                <w:color w:val="auto"/>
                <w:kern w:val="2"/>
                <w:szCs w:val="21"/>
                <w:lang w:bidi="ar"/>
              </w:rPr>
              <w:t>类别</w:t>
            </w:r>
          </w:p>
        </w:tc>
        <w:tc>
          <w:tcPr>
            <w:tcW w:w="624" w:type="pct"/>
            <w:tcBorders>
              <w:top w:val="single" w:color="auto" w:sz="12" w:space="0"/>
              <w:left w:val="single" w:color="auto" w:sz="4" w:space="0"/>
              <w:bottom w:val="single" w:color="auto" w:sz="4" w:space="0"/>
              <w:right w:val="single" w:color="auto" w:sz="4" w:space="0"/>
            </w:tcBorders>
            <w:shd w:val="clear" w:color="auto" w:fill="auto"/>
            <w:vAlign w:val="center"/>
          </w:tcPr>
          <w:p w14:paraId="16F22F27">
            <w:pPr>
              <w:pStyle w:val="80"/>
              <w:widowControl w:val="0"/>
              <w:spacing w:before="0" w:beforeAutospacing="0" w:after="0" w:afterAutospacing="0"/>
              <w:ind w:firstLine="0" w:firstLineChars="0"/>
              <w:jc w:val="center"/>
              <w:rPr>
                <w:rFonts w:hint="eastAsia"/>
                <w:b/>
                <w:color w:val="auto"/>
                <w:szCs w:val="21"/>
              </w:rPr>
            </w:pPr>
            <w:r>
              <w:rPr>
                <w:rFonts w:hint="eastAsia" w:ascii="Times New Roman" w:hAnsi="Times New Roman" w:cs="宋体"/>
                <w:b/>
                <w:color w:val="auto"/>
                <w:kern w:val="2"/>
                <w:szCs w:val="21"/>
                <w:lang w:bidi="ar"/>
              </w:rPr>
              <w:t>工程内容</w:t>
            </w:r>
          </w:p>
        </w:tc>
        <w:tc>
          <w:tcPr>
            <w:tcW w:w="1261" w:type="pct"/>
            <w:tcBorders>
              <w:top w:val="single" w:color="auto" w:sz="12" w:space="0"/>
              <w:left w:val="single" w:color="auto" w:sz="4" w:space="0"/>
              <w:bottom w:val="single" w:color="auto" w:sz="4" w:space="0"/>
              <w:right w:val="single" w:color="auto" w:sz="4" w:space="0"/>
            </w:tcBorders>
            <w:shd w:val="clear" w:color="auto" w:fill="auto"/>
            <w:vAlign w:val="center"/>
          </w:tcPr>
          <w:p w14:paraId="6407A875">
            <w:pPr>
              <w:pStyle w:val="80"/>
              <w:widowControl w:val="0"/>
              <w:spacing w:before="0" w:beforeAutospacing="0" w:after="0" w:afterAutospacing="0"/>
              <w:ind w:firstLine="0" w:firstLineChars="0"/>
              <w:jc w:val="center"/>
              <w:rPr>
                <w:rFonts w:hint="eastAsia"/>
                <w:b/>
                <w:color w:val="auto"/>
                <w:szCs w:val="21"/>
              </w:rPr>
            </w:pPr>
            <w:r>
              <w:rPr>
                <w:rFonts w:hint="eastAsia" w:ascii="Times New Roman" w:hAnsi="Times New Roman" w:cs="宋体"/>
                <w:b/>
                <w:color w:val="auto"/>
                <w:kern w:val="2"/>
                <w:szCs w:val="21"/>
                <w:lang w:bidi="ar"/>
              </w:rPr>
              <w:t>环评设计能力</w:t>
            </w:r>
          </w:p>
        </w:tc>
        <w:tc>
          <w:tcPr>
            <w:tcW w:w="1091" w:type="pct"/>
            <w:tcBorders>
              <w:top w:val="single" w:color="auto" w:sz="12" w:space="0"/>
              <w:left w:val="single" w:color="auto" w:sz="4" w:space="0"/>
              <w:bottom w:val="single" w:color="auto" w:sz="4" w:space="0"/>
              <w:right w:val="single" w:color="auto" w:sz="4" w:space="0"/>
            </w:tcBorders>
            <w:shd w:val="clear" w:color="auto" w:fill="auto"/>
            <w:vAlign w:val="center"/>
          </w:tcPr>
          <w:p w14:paraId="14D680AD">
            <w:pPr>
              <w:pStyle w:val="80"/>
              <w:widowControl w:val="0"/>
              <w:spacing w:before="0" w:beforeAutospacing="0" w:after="0" w:afterAutospacing="0"/>
              <w:ind w:firstLine="0" w:firstLineChars="0"/>
              <w:jc w:val="center"/>
              <w:rPr>
                <w:rFonts w:hint="eastAsia"/>
                <w:b/>
                <w:color w:val="auto"/>
                <w:szCs w:val="21"/>
              </w:rPr>
            </w:pPr>
            <w:r>
              <w:rPr>
                <w:rFonts w:hint="eastAsia" w:ascii="Times New Roman" w:hAnsi="Times New Roman" w:cs="宋体"/>
                <w:b/>
                <w:color w:val="auto"/>
                <w:kern w:val="2"/>
                <w:szCs w:val="21"/>
                <w:lang w:bidi="ar"/>
              </w:rPr>
              <w:t>实际建设</w:t>
            </w:r>
          </w:p>
        </w:tc>
        <w:tc>
          <w:tcPr>
            <w:tcW w:w="1149" w:type="pct"/>
            <w:tcBorders>
              <w:top w:val="single" w:color="auto" w:sz="12" w:space="0"/>
              <w:left w:val="single" w:color="auto" w:sz="4" w:space="0"/>
              <w:bottom w:val="single" w:color="auto" w:sz="4" w:space="0"/>
              <w:right w:val="nil"/>
            </w:tcBorders>
            <w:shd w:val="clear" w:color="auto" w:fill="auto"/>
            <w:vAlign w:val="center"/>
          </w:tcPr>
          <w:p w14:paraId="04131D1B">
            <w:pPr>
              <w:pStyle w:val="80"/>
              <w:widowControl w:val="0"/>
              <w:spacing w:before="0" w:beforeAutospacing="0" w:after="0" w:afterAutospacing="0"/>
              <w:ind w:firstLine="0" w:firstLineChars="0"/>
              <w:jc w:val="center"/>
              <w:rPr>
                <w:rFonts w:hint="eastAsia"/>
                <w:b/>
                <w:color w:val="auto"/>
                <w:szCs w:val="21"/>
              </w:rPr>
            </w:pPr>
            <w:r>
              <w:rPr>
                <w:rFonts w:hint="eastAsia" w:ascii="Times New Roman" w:hAnsi="Times New Roman" w:cs="宋体"/>
                <w:b/>
                <w:color w:val="auto"/>
                <w:kern w:val="2"/>
                <w:szCs w:val="21"/>
                <w:lang w:bidi="ar"/>
              </w:rPr>
              <w:t>备注</w:t>
            </w:r>
          </w:p>
        </w:tc>
      </w:tr>
      <w:tr w14:paraId="64650D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4" w:type="pct"/>
            <w:gridSpan w:val="2"/>
            <w:vMerge w:val="restart"/>
            <w:tcBorders>
              <w:top w:val="single" w:color="auto" w:sz="4" w:space="0"/>
              <w:left w:val="nil"/>
              <w:bottom w:val="single" w:color="auto" w:sz="4" w:space="0"/>
              <w:right w:val="single" w:color="auto" w:sz="4" w:space="0"/>
            </w:tcBorders>
            <w:shd w:val="clear" w:color="auto" w:fill="auto"/>
            <w:vAlign w:val="center"/>
          </w:tcPr>
          <w:p w14:paraId="5ECF6BBE">
            <w:pPr>
              <w:pStyle w:val="80"/>
              <w:widowControl w:val="0"/>
              <w:spacing w:before="0" w:beforeAutospacing="0" w:after="0" w:afterAutospacing="0"/>
              <w:ind w:firstLine="0" w:firstLineChars="0"/>
              <w:jc w:val="center"/>
              <w:rPr>
                <w:rFonts w:hint="eastAsia"/>
                <w:color w:val="auto"/>
                <w:szCs w:val="21"/>
              </w:rPr>
            </w:pPr>
            <w:r>
              <w:rPr>
                <w:rFonts w:hint="eastAsia" w:ascii="Times New Roman" w:hAnsi="Times New Roman" w:cs="宋体"/>
                <w:color w:val="auto"/>
                <w:kern w:val="2"/>
                <w:szCs w:val="21"/>
                <w:lang w:bidi="ar"/>
              </w:rPr>
              <w:t>主体工程</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6653CA7">
            <w:pPr>
              <w:pStyle w:val="80"/>
              <w:widowControl w:val="0"/>
              <w:spacing w:before="0" w:beforeAutospacing="0" w:after="0" w:afterAutospacing="0"/>
              <w:ind w:firstLine="0" w:firstLineChars="0"/>
              <w:jc w:val="center"/>
              <w:rPr>
                <w:rFonts w:hint="eastAsia"/>
                <w:color w:val="auto"/>
                <w:szCs w:val="21"/>
              </w:rPr>
            </w:pPr>
            <w:r>
              <w:rPr>
                <w:rFonts w:hint="eastAsia" w:ascii="Times New Roman" w:hAnsi="Times New Roman" w:cs="宋体"/>
                <w:color w:val="auto"/>
                <w:kern w:val="2"/>
                <w:szCs w:val="21"/>
                <w:lang w:bidi="ar"/>
              </w:rPr>
              <w:t>生产</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04D4AA57">
            <w:pPr>
              <w:spacing w:line="240" w:lineRule="auto"/>
              <w:ind w:firstLine="0" w:firstLineChars="0"/>
              <w:jc w:val="center"/>
              <w:rPr>
                <w:color w:val="auto"/>
                <w:szCs w:val="21"/>
              </w:rPr>
            </w:pPr>
            <w:r>
              <w:rPr>
                <w:rFonts w:hint="eastAsia" w:cs="宋体"/>
                <w:color w:val="auto"/>
                <w:sz w:val="21"/>
                <w:szCs w:val="21"/>
                <w:lang w:bidi="ar"/>
              </w:rPr>
              <w:t>生产区</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6D976CA5">
            <w:pPr>
              <w:spacing w:line="240" w:lineRule="auto"/>
              <w:ind w:firstLine="0" w:firstLineChars="0"/>
              <w:jc w:val="center"/>
              <w:rPr>
                <w:color w:val="auto"/>
                <w:szCs w:val="21"/>
              </w:rPr>
            </w:pPr>
            <w:r>
              <w:rPr>
                <w:rFonts w:hint="eastAsia" w:cs="宋体"/>
                <w:color w:val="auto"/>
                <w:spacing w:val="-2"/>
                <w:kern w:val="28"/>
                <w:sz w:val="21"/>
                <w:szCs w:val="21"/>
                <w:lang w:bidi="ar"/>
              </w:rPr>
              <w:t>建筑面积约</w:t>
            </w:r>
            <w:r>
              <w:rPr>
                <w:color w:val="auto"/>
                <w:spacing w:val="-2"/>
                <w:kern w:val="28"/>
                <w:sz w:val="21"/>
                <w:szCs w:val="21"/>
                <w:lang w:bidi="ar"/>
              </w:rPr>
              <w:t>2000m</w:t>
            </w:r>
            <w:r>
              <w:rPr>
                <w:color w:val="auto"/>
                <w:spacing w:val="-2"/>
                <w:kern w:val="28"/>
                <w:sz w:val="21"/>
                <w:szCs w:val="21"/>
                <w:vertAlign w:val="superscript"/>
                <w:lang w:bidi="ar"/>
              </w:rPr>
              <w:t>2</w:t>
            </w:r>
            <w:r>
              <w:rPr>
                <w:rFonts w:hint="eastAsia" w:cs="宋体"/>
                <w:color w:val="auto"/>
                <w:spacing w:val="-2"/>
                <w:kern w:val="28"/>
                <w:sz w:val="21"/>
                <w:szCs w:val="21"/>
                <w:lang w:bidi="ar"/>
              </w:rPr>
              <w:t>，生产加工区域</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652FFA1D">
            <w:pPr>
              <w:spacing w:line="240" w:lineRule="auto"/>
              <w:ind w:firstLine="0" w:firstLineChars="0"/>
              <w:jc w:val="center"/>
              <w:rPr>
                <w:color w:val="auto"/>
                <w:spacing w:val="-2"/>
                <w:kern w:val="28"/>
                <w:szCs w:val="21"/>
              </w:rPr>
            </w:pPr>
            <w:r>
              <w:rPr>
                <w:rFonts w:hint="eastAsia" w:cs="宋体"/>
                <w:color w:val="auto"/>
                <w:spacing w:val="-2"/>
                <w:kern w:val="28"/>
                <w:sz w:val="21"/>
                <w:szCs w:val="21"/>
                <w:lang w:bidi="ar"/>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7C9B1441">
            <w:pPr>
              <w:spacing w:line="240" w:lineRule="auto"/>
              <w:ind w:firstLine="0" w:firstLineChars="0"/>
              <w:jc w:val="center"/>
              <w:rPr>
                <w:color w:val="auto"/>
                <w:szCs w:val="21"/>
              </w:rPr>
            </w:pPr>
            <w:r>
              <w:rPr>
                <w:rFonts w:hint="eastAsia"/>
                <w:color w:val="auto"/>
                <w:szCs w:val="21"/>
              </w:rPr>
              <w:t>/</w:t>
            </w:r>
          </w:p>
        </w:tc>
      </w:tr>
      <w:tr w14:paraId="5FB1523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84" w:type="pct"/>
            <w:gridSpan w:val="2"/>
            <w:vMerge w:val="continue"/>
            <w:tcBorders>
              <w:top w:val="single" w:color="auto" w:sz="4" w:space="0"/>
              <w:left w:val="nil"/>
              <w:bottom w:val="single" w:color="auto" w:sz="4" w:space="0"/>
              <w:right w:val="single" w:color="auto" w:sz="4" w:space="0"/>
            </w:tcBorders>
            <w:shd w:val="clear" w:color="auto" w:fill="auto"/>
            <w:vAlign w:val="center"/>
          </w:tcPr>
          <w:p w14:paraId="13B58D39">
            <w:pPr>
              <w:spacing w:line="240" w:lineRule="auto"/>
              <w:ind w:firstLine="0" w:firstLineChars="0"/>
              <w:jc w:val="center"/>
              <w:rPr>
                <w:color w:val="auto"/>
                <w:sz w:val="20"/>
                <w:szCs w:val="20"/>
              </w:rPr>
            </w:pP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36F77C34">
            <w:pPr>
              <w:pStyle w:val="80"/>
              <w:widowControl w:val="0"/>
              <w:spacing w:before="0" w:beforeAutospacing="0" w:after="0" w:afterAutospacing="0"/>
              <w:ind w:firstLine="0" w:firstLineChars="0"/>
              <w:jc w:val="center"/>
              <w:rPr>
                <w:rFonts w:hint="eastAsia"/>
                <w:color w:val="auto"/>
                <w:szCs w:val="21"/>
              </w:rPr>
            </w:pPr>
            <w:r>
              <w:rPr>
                <w:rFonts w:hint="eastAsia" w:ascii="Times New Roman" w:hAnsi="Times New Roman" w:cs="宋体"/>
                <w:color w:val="auto"/>
                <w:kern w:val="2"/>
                <w:szCs w:val="21"/>
                <w:lang w:bidi="ar"/>
              </w:rPr>
              <w:t>办公</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4F64AF15">
            <w:pPr>
              <w:spacing w:line="240" w:lineRule="auto"/>
              <w:ind w:firstLine="0" w:firstLineChars="0"/>
              <w:jc w:val="center"/>
              <w:rPr>
                <w:color w:val="auto"/>
                <w:szCs w:val="21"/>
              </w:rPr>
            </w:pPr>
            <w:r>
              <w:rPr>
                <w:rFonts w:hint="eastAsia" w:cs="宋体"/>
                <w:color w:val="auto"/>
                <w:sz w:val="21"/>
                <w:szCs w:val="21"/>
                <w:lang w:bidi="ar"/>
              </w:rPr>
              <w:t>办公楼</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649D8A73">
            <w:pPr>
              <w:spacing w:line="240" w:lineRule="auto"/>
              <w:ind w:firstLine="0" w:firstLineChars="0"/>
              <w:jc w:val="center"/>
              <w:rPr>
                <w:color w:val="auto"/>
                <w:spacing w:val="-2"/>
                <w:kern w:val="28"/>
                <w:szCs w:val="21"/>
              </w:rPr>
            </w:pPr>
            <w:r>
              <w:rPr>
                <w:color w:val="auto"/>
                <w:spacing w:val="-2"/>
                <w:kern w:val="28"/>
                <w:sz w:val="21"/>
                <w:szCs w:val="21"/>
                <w:lang w:bidi="ar"/>
              </w:rPr>
              <w:t>4F</w:t>
            </w:r>
            <w:r>
              <w:rPr>
                <w:rFonts w:hint="eastAsia" w:cs="宋体"/>
                <w:color w:val="auto"/>
                <w:spacing w:val="-2"/>
                <w:kern w:val="28"/>
                <w:sz w:val="21"/>
                <w:szCs w:val="21"/>
                <w:lang w:bidi="ar"/>
              </w:rPr>
              <w:t>，占地面积</w:t>
            </w:r>
            <w:r>
              <w:rPr>
                <w:color w:val="auto"/>
                <w:spacing w:val="-2"/>
                <w:kern w:val="28"/>
                <w:sz w:val="21"/>
                <w:szCs w:val="21"/>
                <w:lang w:bidi="ar"/>
              </w:rPr>
              <w:t>814m</w:t>
            </w:r>
            <w:r>
              <w:rPr>
                <w:color w:val="auto"/>
                <w:spacing w:val="-2"/>
                <w:kern w:val="28"/>
                <w:sz w:val="21"/>
                <w:szCs w:val="21"/>
                <w:vertAlign w:val="superscript"/>
                <w:lang w:bidi="ar"/>
              </w:rPr>
              <w:t>2</w:t>
            </w:r>
            <w:r>
              <w:rPr>
                <w:rFonts w:hint="eastAsia" w:cs="宋体"/>
                <w:color w:val="auto"/>
                <w:spacing w:val="-2"/>
                <w:kern w:val="28"/>
                <w:sz w:val="21"/>
                <w:szCs w:val="21"/>
                <w:lang w:bidi="ar"/>
              </w:rPr>
              <w:t>，项目使用建筑面积共约</w:t>
            </w:r>
            <w:r>
              <w:rPr>
                <w:color w:val="auto"/>
                <w:spacing w:val="-2"/>
                <w:kern w:val="28"/>
                <w:sz w:val="21"/>
                <w:szCs w:val="21"/>
                <w:lang w:bidi="ar"/>
              </w:rPr>
              <w:t>1620m</w:t>
            </w:r>
            <w:r>
              <w:rPr>
                <w:color w:val="auto"/>
                <w:spacing w:val="-2"/>
                <w:kern w:val="28"/>
                <w:sz w:val="21"/>
                <w:szCs w:val="21"/>
                <w:vertAlign w:val="superscript"/>
                <w:lang w:bidi="ar"/>
              </w:rPr>
              <w:t>2</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0AD5451B">
            <w:pPr>
              <w:spacing w:line="240" w:lineRule="auto"/>
              <w:ind w:firstLine="0" w:firstLineChars="0"/>
              <w:jc w:val="center"/>
              <w:rPr>
                <w:color w:val="auto"/>
                <w:spacing w:val="-2"/>
                <w:kern w:val="28"/>
                <w:szCs w:val="21"/>
              </w:rPr>
            </w:pPr>
            <w:r>
              <w:rPr>
                <w:rFonts w:hint="eastAsia" w:cs="宋体"/>
                <w:color w:val="auto"/>
                <w:spacing w:val="-2"/>
                <w:kern w:val="28"/>
                <w:sz w:val="21"/>
                <w:szCs w:val="21"/>
                <w:lang w:bidi="ar"/>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32C8E2CB">
            <w:pPr>
              <w:spacing w:line="240" w:lineRule="auto"/>
              <w:ind w:firstLine="0" w:firstLineChars="0"/>
              <w:jc w:val="center"/>
              <w:rPr>
                <w:color w:val="auto"/>
                <w:szCs w:val="21"/>
              </w:rPr>
            </w:pPr>
            <w:r>
              <w:rPr>
                <w:rFonts w:hint="eastAsia"/>
                <w:color w:val="auto"/>
                <w:szCs w:val="21"/>
              </w:rPr>
              <w:t>/</w:t>
            </w:r>
          </w:p>
        </w:tc>
      </w:tr>
      <w:tr w14:paraId="16AEB2E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4" w:type="pct"/>
            <w:gridSpan w:val="2"/>
            <w:vMerge w:val="restart"/>
            <w:tcBorders>
              <w:top w:val="single" w:color="auto" w:sz="4" w:space="0"/>
              <w:left w:val="nil"/>
              <w:bottom w:val="single" w:color="auto" w:sz="4" w:space="0"/>
              <w:right w:val="single" w:color="auto" w:sz="4" w:space="0"/>
            </w:tcBorders>
            <w:shd w:val="clear" w:color="auto" w:fill="auto"/>
            <w:vAlign w:val="center"/>
          </w:tcPr>
          <w:p w14:paraId="30AD262F">
            <w:pPr>
              <w:spacing w:line="240" w:lineRule="auto"/>
              <w:ind w:firstLine="0" w:firstLineChars="0"/>
              <w:jc w:val="center"/>
              <w:rPr>
                <w:color w:val="auto"/>
                <w:szCs w:val="21"/>
              </w:rPr>
            </w:pPr>
            <w:r>
              <w:rPr>
                <w:rFonts w:hint="eastAsia" w:cs="宋体"/>
                <w:color w:val="auto"/>
                <w:sz w:val="21"/>
                <w:szCs w:val="21"/>
                <w:lang w:bidi="ar"/>
              </w:rPr>
              <w:t>贮运工程</w:t>
            </w:r>
          </w:p>
        </w:tc>
        <w:tc>
          <w:tcPr>
            <w:tcW w:w="4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9EB71B">
            <w:pPr>
              <w:spacing w:line="240" w:lineRule="auto"/>
              <w:ind w:firstLine="0" w:firstLineChars="0"/>
              <w:jc w:val="center"/>
              <w:rPr>
                <w:color w:val="auto"/>
                <w:szCs w:val="21"/>
              </w:rPr>
            </w:pPr>
            <w:r>
              <w:rPr>
                <w:rFonts w:hint="eastAsia" w:cs="宋体"/>
                <w:color w:val="auto"/>
                <w:sz w:val="21"/>
                <w:szCs w:val="21"/>
                <w:lang w:bidi="ar"/>
              </w:rPr>
              <w:t>储存</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4CE38570">
            <w:pPr>
              <w:spacing w:line="240" w:lineRule="auto"/>
              <w:ind w:firstLine="0" w:firstLineChars="0"/>
              <w:jc w:val="center"/>
              <w:rPr>
                <w:color w:val="auto"/>
                <w:szCs w:val="21"/>
              </w:rPr>
            </w:pPr>
            <w:r>
              <w:rPr>
                <w:rFonts w:hint="eastAsia" w:cs="宋体"/>
                <w:color w:val="auto"/>
                <w:sz w:val="21"/>
                <w:szCs w:val="21"/>
                <w:lang w:bidi="ar"/>
              </w:rPr>
              <w:t>原料区</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4F82F2A0">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建筑面积约340m</w:t>
            </w:r>
            <w:r>
              <w:rPr>
                <w:rFonts w:ascii="Times New Roman" w:hAnsi="Times New Roman"/>
                <w:color w:val="auto"/>
                <w:spacing w:val="-2"/>
                <w:kern w:val="28"/>
                <w:szCs w:val="21"/>
                <w:vertAlign w:val="superscript"/>
              </w:rPr>
              <w:t>2</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6DA2D544">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1ADC762F">
            <w:pPr>
              <w:pStyle w:val="80"/>
              <w:spacing w:before="0" w:beforeAutospacing="0" w:after="0" w:afterAutospacing="0"/>
              <w:ind w:firstLine="0" w:firstLineChars="0"/>
              <w:jc w:val="center"/>
              <w:rPr>
                <w:rFonts w:ascii="Times New Roman" w:hAnsi="Times New Roman"/>
                <w:color w:val="auto"/>
                <w:spacing w:val="-2"/>
                <w:kern w:val="28"/>
                <w:szCs w:val="21"/>
              </w:rPr>
            </w:pPr>
            <w:r>
              <w:rPr>
                <w:rFonts w:hint="eastAsia" w:ascii="Times New Roman" w:hAnsi="Times New Roman"/>
                <w:color w:val="auto"/>
                <w:spacing w:val="-2"/>
                <w:kern w:val="28"/>
                <w:szCs w:val="21"/>
              </w:rPr>
              <w:t>/</w:t>
            </w:r>
          </w:p>
        </w:tc>
      </w:tr>
      <w:tr w14:paraId="5AEA73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84" w:type="pct"/>
            <w:gridSpan w:val="2"/>
            <w:vMerge w:val="continue"/>
            <w:tcBorders>
              <w:top w:val="single" w:color="auto" w:sz="4" w:space="0"/>
              <w:left w:val="nil"/>
              <w:bottom w:val="single" w:color="auto" w:sz="4" w:space="0"/>
              <w:right w:val="single" w:color="auto" w:sz="4" w:space="0"/>
            </w:tcBorders>
            <w:shd w:val="clear" w:color="auto" w:fill="auto"/>
            <w:vAlign w:val="center"/>
          </w:tcPr>
          <w:p w14:paraId="4711385B">
            <w:pPr>
              <w:spacing w:line="240" w:lineRule="auto"/>
              <w:ind w:firstLine="0" w:firstLineChars="0"/>
              <w:jc w:val="center"/>
              <w:rPr>
                <w:color w:val="auto"/>
                <w:sz w:val="20"/>
                <w:szCs w:val="20"/>
              </w:rPr>
            </w:pPr>
          </w:p>
        </w:tc>
        <w:tc>
          <w:tcPr>
            <w:tcW w:w="4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ABD3FF">
            <w:pPr>
              <w:spacing w:line="240" w:lineRule="auto"/>
              <w:ind w:firstLine="0" w:firstLineChars="0"/>
              <w:jc w:val="center"/>
              <w:rPr>
                <w:color w:val="auto"/>
                <w:sz w:val="20"/>
                <w:szCs w:val="20"/>
              </w:rPr>
            </w:pP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2CF0CEC8">
            <w:pPr>
              <w:spacing w:line="240" w:lineRule="auto"/>
              <w:ind w:firstLine="0" w:firstLineChars="0"/>
              <w:jc w:val="center"/>
              <w:rPr>
                <w:color w:val="auto"/>
                <w:szCs w:val="21"/>
              </w:rPr>
            </w:pPr>
            <w:r>
              <w:rPr>
                <w:rFonts w:hint="eastAsia" w:cs="宋体"/>
                <w:color w:val="auto"/>
                <w:sz w:val="21"/>
                <w:szCs w:val="21"/>
                <w:lang w:bidi="ar"/>
              </w:rPr>
              <w:t>成品区</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2D398CEC">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建筑面积约340m</w:t>
            </w:r>
            <w:r>
              <w:rPr>
                <w:rFonts w:ascii="Times New Roman" w:hAnsi="Times New Roman"/>
                <w:color w:val="auto"/>
                <w:spacing w:val="-2"/>
                <w:kern w:val="28"/>
                <w:szCs w:val="21"/>
                <w:vertAlign w:val="superscript"/>
              </w:rPr>
              <w:t>2</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13E01167">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160863D4">
            <w:pPr>
              <w:pStyle w:val="80"/>
              <w:spacing w:before="0" w:beforeAutospacing="0" w:after="0" w:afterAutospacing="0"/>
              <w:ind w:firstLine="0" w:firstLineChars="0"/>
              <w:jc w:val="center"/>
              <w:rPr>
                <w:rFonts w:ascii="Times New Roman" w:hAnsi="Times New Roman"/>
                <w:color w:val="auto"/>
                <w:spacing w:val="-2"/>
                <w:kern w:val="28"/>
                <w:szCs w:val="21"/>
              </w:rPr>
            </w:pPr>
            <w:r>
              <w:rPr>
                <w:rFonts w:hint="eastAsia" w:ascii="Times New Roman" w:hAnsi="Times New Roman"/>
                <w:color w:val="auto"/>
                <w:spacing w:val="-2"/>
                <w:kern w:val="28"/>
                <w:szCs w:val="21"/>
              </w:rPr>
              <w:t>/</w:t>
            </w:r>
          </w:p>
        </w:tc>
      </w:tr>
      <w:tr w14:paraId="5DA8B4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84" w:type="pct"/>
            <w:gridSpan w:val="2"/>
            <w:vMerge w:val="continue"/>
            <w:tcBorders>
              <w:top w:val="single" w:color="auto" w:sz="4" w:space="0"/>
              <w:left w:val="nil"/>
              <w:bottom w:val="single" w:color="auto" w:sz="4" w:space="0"/>
              <w:right w:val="single" w:color="auto" w:sz="4" w:space="0"/>
            </w:tcBorders>
            <w:shd w:val="clear" w:color="auto" w:fill="auto"/>
            <w:vAlign w:val="center"/>
          </w:tcPr>
          <w:p w14:paraId="6F5C5F97">
            <w:pPr>
              <w:spacing w:line="240" w:lineRule="auto"/>
              <w:ind w:firstLine="0" w:firstLineChars="0"/>
              <w:jc w:val="center"/>
              <w:rPr>
                <w:color w:val="auto"/>
                <w:sz w:val="20"/>
                <w:szCs w:val="20"/>
              </w:rPr>
            </w:pPr>
          </w:p>
        </w:tc>
        <w:tc>
          <w:tcPr>
            <w:tcW w:w="111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CC0902">
            <w:pPr>
              <w:spacing w:line="240" w:lineRule="auto"/>
              <w:ind w:firstLine="0" w:firstLineChars="0"/>
              <w:jc w:val="center"/>
              <w:rPr>
                <w:color w:val="auto"/>
                <w:szCs w:val="21"/>
              </w:rPr>
            </w:pPr>
            <w:r>
              <w:rPr>
                <w:rFonts w:hint="eastAsia" w:cs="宋体"/>
                <w:color w:val="auto"/>
                <w:sz w:val="21"/>
                <w:szCs w:val="21"/>
                <w:lang w:bidi="ar"/>
              </w:rPr>
              <w:t>运输</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3F8273F5">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约15400t/a，进出各一半</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0AA75CDE">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约7500t/a</w:t>
            </w:r>
          </w:p>
        </w:tc>
        <w:tc>
          <w:tcPr>
            <w:tcW w:w="1149" w:type="pct"/>
            <w:tcBorders>
              <w:top w:val="single" w:color="auto" w:sz="4" w:space="0"/>
              <w:left w:val="single" w:color="auto" w:sz="4" w:space="0"/>
              <w:bottom w:val="single" w:color="auto" w:sz="4" w:space="0"/>
              <w:right w:val="nil"/>
            </w:tcBorders>
            <w:shd w:val="clear" w:color="auto" w:fill="auto"/>
            <w:vAlign w:val="center"/>
          </w:tcPr>
          <w:p w14:paraId="51A2627A">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钢边框未建设，铝边框产能3750t/a</w:t>
            </w:r>
          </w:p>
        </w:tc>
      </w:tr>
      <w:tr w14:paraId="65CF67B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2" w:type="pct"/>
            <w:gridSpan w:val="3"/>
            <w:vMerge w:val="restart"/>
            <w:tcBorders>
              <w:top w:val="single" w:color="auto" w:sz="4" w:space="0"/>
              <w:left w:val="nil"/>
              <w:bottom w:val="single" w:color="auto" w:sz="4" w:space="0"/>
              <w:right w:val="single" w:color="auto" w:sz="4" w:space="0"/>
            </w:tcBorders>
            <w:shd w:val="clear" w:color="auto" w:fill="auto"/>
            <w:vAlign w:val="center"/>
          </w:tcPr>
          <w:p w14:paraId="2C13B068">
            <w:pPr>
              <w:spacing w:line="240" w:lineRule="auto"/>
              <w:ind w:firstLine="0" w:firstLineChars="0"/>
              <w:jc w:val="center"/>
              <w:rPr>
                <w:color w:val="auto"/>
                <w:szCs w:val="21"/>
              </w:rPr>
            </w:pPr>
            <w:r>
              <w:rPr>
                <w:rFonts w:hint="eastAsia" w:cs="宋体"/>
                <w:color w:val="auto"/>
                <w:sz w:val="21"/>
                <w:szCs w:val="21"/>
                <w:lang w:bidi="ar"/>
              </w:rPr>
              <w:t>公共工程</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0A634BC5">
            <w:pPr>
              <w:spacing w:line="240" w:lineRule="auto"/>
              <w:ind w:firstLine="0" w:firstLineChars="0"/>
              <w:jc w:val="center"/>
              <w:rPr>
                <w:color w:val="auto"/>
                <w:szCs w:val="21"/>
              </w:rPr>
            </w:pPr>
            <w:r>
              <w:rPr>
                <w:rFonts w:hint="eastAsia" w:cs="宋体"/>
                <w:color w:val="auto"/>
                <w:sz w:val="21"/>
                <w:szCs w:val="21"/>
                <w:lang w:bidi="ar"/>
              </w:rPr>
              <w:t>供水系统</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1E5E6AB5">
            <w:pPr>
              <w:pStyle w:val="80"/>
              <w:overflowPunct w:val="0"/>
              <w:spacing w:before="0" w:beforeAutospacing="0" w:after="0" w:afterAutospacing="0"/>
              <w:ind w:firstLine="0" w:firstLineChars="0"/>
              <w:jc w:val="center"/>
              <w:rPr>
                <w:rFonts w:ascii="Times New Roman" w:hAnsi="Times New Roman"/>
                <w:bCs/>
                <w:color w:val="auto"/>
                <w:szCs w:val="21"/>
              </w:rPr>
            </w:pPr>
            <w:r>
              <w:rPr>
                <w:rFonts w:ascii="Times New Roman" w:hAnsi="Times New Roman"/>
                <w:color w:val="auto"/>
                <w:szCs w:val="21"/>
              </w:rPr>
              <w:t>供水量为300m</w:t>
            </w:r>
            <w:r>
              <w:rPr>
                <w:rFonts w:ascii="Times New Roman" w:hAnsi="Times New Roman"/>
                <w:color w:val="auto"/>
                <w:szCs w:val="21"/>
                <w:vertAlign w:val="superscript"/>
              </w:rPr>
              <w:t>3</w:t>
            </w:r>
            <w:r>
              <w:rPr>
                <w:rFonts w:ascii="Times New Roman" w:hAnsi="Times New Roman"/>
                <w:color w:val="auto"/>
                <w:szCs w:val="21"/>
              </w:rPr>
              <w:t>/a</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273066B1">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06E04BFA">
            <w:pPr>
              <w:spacing w:line="240" w:lineRule="auto"/>
              <w:ind w:firstLine="0" w:firstLineChars="0"/>
              <w:jc w:val="center"/>
              <w:rPr>
                <w:color w:val="auto"/>
                <w:szCs w:val="21"/>
              </w:rPr>
            </w:pPr>
            <w:r>
              <w:rPr>
                <w:rFonts w:hint="eastAsia" w:cs="宋体"/>
                <w:color w:val="auto"/>
                <w:sz w:val="21"/>
                <w:szCs w:val="21"/>
                <w:lang w:bidi="ar"/>
              </w:rPr>
              <w:t>市政供水管网</w:t>
            </w:r>
          </w:p>
        </w:tc>
      </w:tr>
      <w:tr w14:paraId="4E700D2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2"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60CAFCFF">
            <w:pPr>
              <w:spacing w:line="240" w:lineRule="auto"/>
              <w:ind w:firstLine="0" w:firstLineChars="0"/>
              <w:jc w:val="center"/>
              <w:rPr>
                <w:color w:val="auto"/>
                <w:sz w:val="20"/>
                <w:szCs w:val="20"/>
              </w:rPr>
            </w:pP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6658A5D7">
            <w:pPr>
              <w:spacing w:line="240" w:lineRule="auto"/>
              <w:ind w:firstLine="0" w:firstLineChars="0"/>
              <w:jc w:val="center"/>
              <w:rPr>
                <w:color w:val="auto"/>
                <w:szCs w:val="21"/>
              </w:rPr>
            </w:pPr>
            <w:r>
              <w:rPr>
                <w:rFonts w:hint="eastAsia" w:cs="宋体"/>
                <w:color w:val="auto"/>
                <w:sz w:val="21"/>
                <w:szCs w:val="21"/>
                <w:lang w:bidi="ar"/>
              </w:rPr>
              <w:t>排水系统</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71DF15D3">
            <w:pPr>
              <w:pStyle w:val="80"/>
              <w:overflowPunct w:val="0"/>
              <w:spacing w:before="0" w:beforeAutospacing="0" w:after="0" w:afterAutospacing="0"/>
              <w:ind w:firstLine="0" w:firstLineChars="0"/>
              <w:jc w:val="center"/>
              <w:rPr>
                <w:rFonts w:ascii="Times New Roman" w:hAnsi="Times New Roman"/>
                <w:bCs/>
                <w:color w:val="auto"/>
                <w:szCs w:val="21"/>
              </w:rPr>
            </w:pPr>
            <w:r>
              <w:rPr>
                <w:rFonts w:ascii="Times New Roman" w:hAnsi="Times New Roman"/>
                <w:bCs/>
                <w:color w:val="auto"/>
                <w:szCs w:val="21"/>
              </w:rPr>
              <w:t>排水量240</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/a</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16552F00">
            <w:pPr>
              <w:pStyle w:val="80"/>
              <w:spacing w:before="0" w:beforeAutospacing="0" w:after="0" w:afterAutospacing="0"/>
              <w:ind w:firstLine="0" w:firstLineChars="0"/>
              <w:jc w:val="center"/>
              <w:rPr>
                <w:rFonts w:ascii="Times New Roman" w:hAnsi="Times New Roman"/>
                <w:color w:val="auto"/>
                <w:spacing w:val="-2"/>
                <w:kern w:val="28"/>
                <w:szCs w:val="21"/>
              </w:rPr>
            </w:pPr>
            <w:r>
              <w:rPr>
                <w:rFonts w:ascii="Times New Roman" w:hAnsi="Times New Roman"/>
                <w:color w:val="auto"/>
                <w:spacing w:val="-2"/>
                <w:kern w:val="28"/>
                <w:szCs w:val="21"/>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5CF8C37A">
            <w:pPr>
              <w:spacing w:line="240" w:lineRule="auto"/>
              <w:ind w:firstLine="0" w:firstLineChars="0"/>
              <w:jc w:val="center"/>
              <w:rPr>
                <w:color w:val="auto"/>
                <w:szCs w:val="21"/>
              </w:rPr>
            </w:pPr>
            <w:r>
              <w:rPr>
                <w:rFonts w:hint="eastAsia" w:cs="宋体"/>
                <w:color w:val="auto"/>
                <w:sz w:val="21"/>
                <w:szCs w:val="21"/>
                <w:lang w:bidi="ar"/>
              </w:rPr>
              <w:t>接管开发区临港污水处理厂</w:t>
            </w:r>
          </w:p>
        </w:tc>
      </w:tr>
      <w:tr w14:paraId="4C2516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72"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3BB5E909">
            <w:pPr>
              <w:spacing w:line="240" w:lineRule="auto"/>
              <w:ind w:firstLine="0" w:firstLineChars="0"/>
              <w:jc w:val="center"/>
              <w:rPr>
                <w:color w:val="auto"/>
                <w:sz w:val="20"/>
                <w:szCs w:val="20"/>
              </w:rPr>
            </w:pP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4CB9E3DF">
            <w:pPr>
              <w:spacing w:line="240" w:lineRule="auto"/>
              <w:ind w:firstLine="0" w:firstLineChars="0"/>
              <w:jc w:val="center"/>
              <w:rPr>
                <w:color w:val="auto"/>
                <w:szCs w:val="21"/>
              </w:rPr>
            </w:pPr>
            <w:r>
              <w:rPr>
                <w:rFonts w:hint="eastAsia" w:cs="宋体"/>
                <w:color w:val="auto"/>
                <w:sz w:val="21"/>
                <w:szCs w:val="21"/>
                <w:lang w:bidi="ar"/>
              </w:rPr>
              <w:t>供电系统</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1267C78B">
            <w:pPr>
              <w:pStyle w:val="80"/>
              <w:overflowPunct w:val="0"/>
              <w:spacing w:before="0" w:beforeAutospacing="0" w:after="0" w:afterAutospacing="0"/>
              <w:ind w:firstLine="0" w:firstLineChars="0"/>
              <w:jc w:val="center"/>
              <w:rPr>
                <w:rFonts w:ascii="Times New Roman" w:hAnsi="Times New Roman"/>
                <w:bCs/>
                <w:color w:val="auto"/>
                <w:szCs w:val="21"/>
              </w:rPr>
            </w:pPr>
            <w:r>
              <w:rPr>
                <w:rFonts w:ascii="Times New Roman" w:hAnsi="Times New Roman"/>
                <w:color w:val="auto"/>
                <w:szCs w:val="21"/>
              </w:rPr>
              <w:t>年用电量120万</w:t>
            </w:r>
            <w:r>
              <w:rPr>
                <w:rFonts w:hint="eastAsia" w:ascii="Times New Roman" w:hAnsi="Times New Roman"/>
                <w:color w:val="auto"/>
                <w:szCs w:val="21"/>
              </w:rPr>
              <w:t>kW·</w:t>
            </w:r>
            <w:r>
              <w:rPr>
                <w:rFonts w:ascii="Times New Roman" w:hAnsi="Times New Roman"/>
                <w:color w:val="auto"/>
                <w:szCs w:val="21"/>
              </w:rPr>
              <w:t>h</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325ED7B2">
            <w:pPr>
              <w:spacing w:line="240" w:lineRule="auto"/>
              <w:ind w:firstLine="0" w:firstLineChars="0"/>
              <w:jc w:val="center"/>
              <w:rPr>
                <w:color w:val="auto"/>
                <w:szCs w:val="21"/>
              </w:rPr>
            </w:pPr>
            <w:r>
              <w:rPr>
                <w:color w:val="auto"/>
                <w:sz w:val="21"/>
                <w:szCs w:val="21"/>
                <w:lang w:bidi="ar"/>
              </w:rPr>
              <w:t>50</w:t>
            </w:r>
            <w:r>
              <w:rPr>
                <w:rFonts w:hint="eastAsia" w:cs="宋体"/>
                <w:color w:val="auto"/>
                <w:sz w:val="21"/>
                <w:szCs w:val="21"/>
                <w:lang w:bidi="ar"/>
              </w:rPr>
              <w:t>万</w:t>
            </w:r>
            <w:r>
              <w:rPr>
                <w:rFonts w:hint="eastAsia"/>
                <w:color w:val="auto"/>
                <w:sz w:val="21"/>
                <w:szCs w:val="21"/>
              </w:rPr>
              <w:t>kW·</w:t>
            </w:r>
            <w:r>
              <w:rPr>
                <w:color w:val="auto"/>
                <w:sz w:val="21"/>
                <w:szCs w:val="21"/>
              </w:rPr>
              <w:t>h</w:t>
            </w:r>
          </w:p>
        </w:tc>
        <w:tc>
          <w:tcPr>
            <w:tcW w:w="1149" w:type="pct"/>
            <w:tcBorders>
              <w:top w:val="single" w:color="auto" w:sz="4" w:space="0"/>
              <w:left w:val="single" w:color="auto" w:sz="4" w:space="0"/>
              <w:bottom w:val="single" w:color="auto" w:sz="4" w:space="0"/>
              <w:right w:val="nil"/>
            </w:tcBorders>
            <w:shd w:val="clear" w:color="auto" w:fill="auto"/>
            <w:vAlign w:val="center"/>
          </w:tcPr>
          <w:p w14:paraId="7B8583FA">
            <w:pPr>
              <w:spacing w:line="240" w:lineRule="auto"/>
              <w:ind w:firstLine="0" w:firstLineChars="0"/>
              <w:jc w:val="center"/>
              <w:rPr>
                <w:color w:val="auto"/>
                <w:szCs w:val="21"/>
              </w:rPr>
            </w:pPr>
            <w:r>
              <w:rPr>
                <w:rFonts w:hint="eastAsia" w:cs="宋体"/>
                <w:color w:val="auto"/>
                <w:spacing w:val="-2"/>
                <w:kern w:val="28"/>
                <w:sz w:val="21"/>
                <w:szCs w:val="21"/>
                <w:lang w:bidi="ar"/>
              </w:rPr>
              <w:t>钢边框未建设，铝边框产能</w:t>
            </w:r>
            <w:r>
              <w:rPr>
                <w:color w:val="auto"/>
                <w:spacing w:val="-2"/>
                <w:kern w:val="28"/>
                <w:sz w:val="21"/>
                <w:szCs w:val="21"/>
                <w:lang w:bidi="ar"/>
              </w:rPr>
              <w:t>3750t/a</w:t>
            </w:r>
          </w:p>
        </w:tc>
      </w:tr>
      <w:tr w14:paraId="233C62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30" w:type="pct"/>
            <w:vMerge w:val="restart"/>
            <w:tcBorders>
              <w:top w:val="single" w:color="auto" w:sz="4" w:space="0"/>
              <w:left w:val="nil"/>
              <w:bottom w:val="single" w:color="auto" w:sz="12" w:space="0"/>
              <w:right w:val="single" w:color="auto" w:sz="4" w:space="0"/>
            </w:tcBorders>
            <w:shd w:val="clear" w:color="auto" w:fill="auto"/>
            <w:vAlign w:val="center"/>
          </w:tcPr>
          <w:p w14:paraId="45DC9F3D">
            <w:pPr>
              <w:widowControl/>
              <w:spacing w:line="240" w:lineRule="auto"/>
              <w:ind w:firstLine="0" w:firstLineChars="0"/>
              <w:jc w:val="center"/>
              <w:rPr>
                <w:color w:val="auto"/>
                <w:szCs w:val="21"/>
              </w:rPr>
            </w:pPr>
            <w:r>
              <w:rPr>
                <w:rFonts w:hint="eastAsia" w:cs="宋体"/>
                <w:color w:val="auto"/>
                <w:sz w:val="21"/>
                <w:szCs w:val="21"/>
                <w:lang w:bidi="ar"/>
              </w:rPr>
              <w:t>环保工程</w:t>
            </w:r>
          </w:p>
        </w:tc>
        <w:tc>
          <w:tcPr>
            <w:tcW w:w="5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D5BB3B">
            <w:pPr>
              <w:spacing w:line="240" w:lineRule="auto"/>
              <w:ind w:firstLine="0" w:firstLineChars="0"/>
              <w:jc w:val="center"/>
              <w:rPr>
                <w:color w:val="auto"/>
                <w:szCs w:val="21"/>
              </w:rPr>
            </w:pPr>
            <w:r>
              <w:rPr>
                <w:rFonts w:hint="eastAsia" w:cs="宋体"/>
                <w:color w:val="auto"/>
                <w:sz w:val="21"/>
                <w:szCs w:val="21"/>
                <w:lang w:bidi="ar"/>
              </w:rPr>
              <w:t>噪声</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117C98A2">
            <w:pPr>
              <w:spacing w:line="240" w:lineRule="auto"/>
              <w:ind w:firstLine="0" w:firstLineChars="0"/>
              <w:jc w:val="center"/>
              <w:rPr>
                <w:color w:val="auto"/>
                <w:szCs w:val="21"/>
              </w:rPr>
            </w:pPr>
            <w:r>
              <w:rPr>
                <w:rFonts w:hint="eastAsia" w:cs="宋体"/>
                <w:color w:val="auto"/>
                <w:sz w:val="21"/>
                <w:szCs w:val="21"/>
                <w:lang w:bidi="ar"/>
              </w:rPr>
              <w:t>设备噪声</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73F83C4A">
            <w:pPr>
              <w:spacing w:line="240" w:lineRule="auto"/>
              <w:ind w:firstLine="0" w:firstLineChars="0"/>
              <w:jc w:val="center"/>
              <w:rPr>
                <w:color w:val="auto"/>
                <w:szCs w:val="21"/>
              </w:rPr>
            </w:pPr>
            <w:r>
              <w:rPr>
                <w:rFonts w:hint="eastAsia" w:cs="宋体"/>
                <w:color w:val="auto"/>
                <w:sz w:val="21"/>
                <w:szCs w:val="21"/>
                <w:lang w:bidi="ar"/>
              </w:rPr>
              <w:t>减振、隔声设施</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152DE0FD">
            <w:pPr>
              <w:spacing w:line="240" w:lineRule="auto"/>
              <w:ind w:firstLine="0" w:firstLineChars="0"/>
              <w:jc w:val="center"/>
              <w:rPr>
                <w:color w:val="auto"/>
                <w:spacing w:val="-2"/>
                <w:kern w:val="28"/>
                <w:szCs w:val="21"/>
              </w:rPr>
            </w:pPr>
            <w:r>
              <w:rPr>
                <w:rFonts w:hint="eastAsia" w:cs="宋体"/>
                <w:color w:val="auto"/>
                <w:spacing w:val="-2"/>
                <w:kern w:val="28"/>
                <w:sz w:val="21"/>
                <w:szCs w:val="21"/>
                <w:lang w:bidi="ar"/>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1C1D185D">
            <w:pPr>
              <w:spacing w:line="240" w:lineRule="auto"/>
              <w:ind w:firstLine="0" w:firstLineChars="0"/>
              <w:jc w:val="center"/>
              <w:rPr>
                <w:color w:val="auto"/>
                <w:spacing w:val="-2"/>
                <w:kern w:val="28"/>
                <w:szCs w:val="21"/>
              </w:rPr>
            </w:pPr>
            <w:r>
              <w:rPr>
                <w:rFonts w:hint="eastAsia" w:cs="宋体"/>
                <w:color w:val="auto"/>
                <w:spacing w:val="-2"/>
                <w:kern w:val="28"/>
                <w:sz w:val="21"/>
                <w:szCs w:val="21"/>
                <w:lang w:bidi="ar"/>
              </w:rPr>
              <w:t>达标排放</w:t>
            </w:r>
          </w:p>
        </w:tc>
      </w:tr>
      <w:tr w14:paraId="691FCEE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30" w:type="pct"/>
            <w:vMerge w:val="continue"/>
            <w:tcBorders>
              <w:top w:val="single" w:color="auto" w:sz="4" w:space="0"/>
              <w:left w:val="nil"/>
              <w:bottom w:val="single" w:color="auto" w:sz="12" w:space="0"/>
              <w:right w:val="single" w:color="auto" w:sz="4" w:space="0"/>
            </w:tcBorders>
            <w:shd w:val="clear" w:color="auto" w:fill="auto"/>
            <w:vAlign w:val="center"/>
          </w:tcPr>
          <w:p w14:paraId="5E8B7F3E">
            <w:pPr>
              <w:spacing w:line="240" w:lineRule="auto"/>
              <w:ind w:firstLine="0" w:firstLineChars="0"/>
              <w:jc w:val="center"/>
              <w:rPr>
                <w:color w:val="auto"/>
                <w:sz w:val="20"/>
                <w:szCs w:val="20"/>
              </w:rPr>
            </w:pPr>
          </w:p>
        </w:tc>
        <w:tc>
          <w:tcPr>
            <w:tcW w:w="5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9D4F88">
            <w:pPr>
              <w:spacing w:line="240" w:lineRule="auto"/>
              <w:ind w:firstLine="0" w:firstLineChars="0"/>
              <w:jc w:val="center"/>
              <w:rPr>
                <w:color w:val="auto"/>
                <w:szCs w:val="21"/>
              </w:rPr>
            </w:pPr>
            <w:r>
              <w:rPr>
                <w:rFonts w:hint="eastAsia" w:cs="宋体"/>
                <w:color w:val="auto"/>
                <w:sz w:val="21"/>
                <w:szCs w:val="21"/>
                <w:lang w:bidi="ar"/>
              </w:rPr>
              <w:t>废水处理</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3600DE5D">
            <w:pPr>
              <w:spacing w:line="240" w:lineRule="auto"/>
              <w:ind w:firstLine="0" w:firstLineChars="0"/>
              <w:jc w:val="center"/>
              <w:rPr>
                <w:color w:val="auto"/>
                <w:szCs w:val="21"/>
              </w:rPr>
            </w:pPr>
            <w:r>
              <w:rPr>
                <w:rFonts w:hint="eastAsia" w:cs="宋体"/>
                <w:color w:val="auto"/>
                <w:sz w:val="21"/>
                <w:szCs w:val="21"/>
                <w:lang w:bidi="ar"/>
              </w:rPr>
              <w:t>生活污水</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5A5F53F9">
            <w:pPr>
              <w:spacing w:line="240" w:lineRule="auto"/>
              <w:ind w:firstLine="0" w:firstLineChars="0"/>
              <w:jc w:val="center"/>
              <w:rPr>
                <w:color w:val="auto"/>
                <w:szCs w:val="21"/>
              </w:rPr>
            </w:pPr>
            <w:r>
              <w:rPr>
                <w:rFonts w:hint="eastAsia" w:cs="宋体"/>
                <w:color w:val="auto"/>
                <w:sz w:val="21"/>
                <w:szCs w:val="21"/>
                <w:lang w:bidi="ar"/>
              </w:rPr>
              <w:t>化粪池</w:t>
            </w:r>
            <w:r>
              <w:rPr>
                <w:color w:val="auto"/>
                <w:sz w:val="21"/>
                <w:szCs w:val="21"/>
                <w:lang w:bidi="ar"/>
              </w:rPr>
              <w:t>5m</w:t>
            </w:r>
            <w:r>
              <w:rPr>
                <w:color w:val="auto"/>
                <w:sz w:val="21"/>
                <w:szCs w:val="21"/>
                <w:vertAlign w:val="superscript"/>
                <w:lang w:bidi="ar"/>
              </w:rPr>
              <w:t>3</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16256E85">
            <w:pPr>
              <w:spacing w:line="240" w:lineRule="auto"/>
              <w:ind w:firstLine="0" w:firstLineChars="0"/>
              <w:jc w:val="center"/>
              <w:rPr>
                <w:color w:val="auto"/>
                <w:szCs w:val="21"/>
              </w:rPr>
            </w:pPr>
            <w:r>
              <w:rPr>
                <w:rFonts w:hint="eastAsia" w:cs="宋体"/>
                <w:color w:val="auto"/>
                <w:spacing w:val="-2"/>
                <w:kern w:val="28"/>
                <w:sz w:val="21"/>
                <w:szCs w:val="21"/>
                <w:lang w:bidi="ar"/>
              </w:rPr>
              <w:t>与环评一致</w:t>
            </w:r>
          </w:p>
        </w:tc>
        <w:tc>
          <w:tcPr>
            <w:tcW w:w="1149" w:type="pct"/>
            <w:tcBorders>
              <w:top w:val="single" w:color="auto" w:sz="4" w:space="0"/>
              <w:left w:val="single" w:color="auto" w:sz="4" w:space="0"/>
              <w:bottom w:val="single" w:color="auto" w:sz="4" w:space="0"/>
              <w:right w:val="nil"/>
            </w:tcBorders>
            <w:shd w:val="clear" w:color="auto" w:fill="auto"/>
            <w:vAlign w:val="center"/>
          </w:tcPr>
          <w:p w14:paraId="350DAFD8">
            <w:pPr>
              <w:spacing w:line="240" w:lineRule="auto"/>
              <w:ind w:firstLine="0" w:firstLineChars="0"/>
              <w:jc w:val="center"/>
              <w:rPr>
                <w:color w:val="auto"/>
                <w:szCs w:val="21"/>
              </w:rPr>
            </w:pPr>
            <w:r>
              <w:rPr>
                <w:rFonts w:hint="eastAsia" w:cs="宋体"/>
                <w:color w:val="auto"/>
                <w:sz w:val="21"/>
                <w:szCs w:val="21"/>
                <w:lang w:bidi="ar"/>
              </w:rPr>
              <w:t>处理后接管开发区临港污水处理厂</w:t>
            </w:r>
          </w:p>
        </w:tc>
      </w:tr>
      <w:tr w14:paraId="2ABF67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30" w:type="pct"/>
            <w:vMerge w:val="continue"/>
            <w:tcBorders>
              <w:top w:val="single" w:color="auto" w:sz="4" w:space="0"/>
              <w:left w:val="nil"/>
              <w:bottom w:val="single" w:color="auto" w:sz="12" w:space="0"/>
              <w:right w:val="single" w:color="auto" w:sz="4" w:space="0"/>
            </w:tcBorders>
            <w:shd w:val="clear" w:color="auto" w:fill="auto"/>
            <w:vAlign w:val="center"/>
          </w:tcPr>
          <w:p w14:paraId="0451612B">
            <w:pPr>
              <w:spacing w:line="240" w:lineRule="auto"/>
              <w:ind w:firstLine="0" w:firstLineChars="0"/>
              <w:jc w:val="center"/>
              <w:rPr>
                <w:color w:val="auto"/>
                <w:sz w:val="20"/>
                <w:szCs w:val="20"/>
              </w:rPr>
            </w:pPr>
          </w:p>
        </w:tc>
        <w:tc>
          <w:tcPr>
            <w:tcW w:w="542" w:type="pct"/>
            <w:gridSpan w:val="2"/>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41095BA7">
            <w:pPr>
              <w:spacing w:line="240" w:lineRule="auto"/>
              <w:ind w:firstLine="0" w:firstLineChars="0"/>
              <w:jc w:val="center"/>
              <w:rPr>
                <w:color w:val="auto"/>
                <w:szCs w:val="21"/>
              </w:rPr>
            </w:pPr>
            <w:r>
              <w:rPr>
                <w:rFonts w:hint="eastAsia" w:cs="宋体"/>
                <w:color w:val="auto"/>
                <w:sz w:val="21"/>
                <w:szCs w:val="21"/>
                <w:lang w:bidi="ar"/>
              </w:rPr>
              <w:t>固废处理</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1F0DF5E1">
            <w:pPr>
              <w:spacing w:line="240" w:lineRule="auto"/>
              <w:ind w:firstLine="0" w:firstLineChars="0"/>
              <w:jc w:val="center"/>
              <w:rPr>
                <w:color w:val="auto"/>
                <w:szCs w:val="21"/>
              </w:rPr>
            </w:pPr>
            <w:r>
              <w:rPr>
                <w:rFonts w:hint="eastAsia" w:cs="宋体"/>
                <w:color w:val="auto"/>
                <w:sz w:val="21"/>
                <w:szCs w:val="21"/>
                <w:lang w:bidi="ar"/>
              </w:rPr>
              <w:t>一般固废</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14:paraId="759E74E7">
            <w:pPr>
              <w:spacing w:line="240" w:lineRule="auto"/>
              <w:ind w:firstLine="0" w:firstLineChars="0"/>
              <w:jc w:val="center"/>
              <w:rPr>
                <w:color w:val="auto"/>
                <w:szCs w:val="21"/>
              </w:rPr>
            </w:pPr>
            <w:r>
              <w:rPr>
                <w:rFonts w:hint="eastAsia" w:cs="宋体"/>
                <w:color w:val="auto"/>
                <w:sz w:val="21"/>
                <w:szCs w:val="21"/>
                <w:lang w:bidi="ar"/>
              </w:rPr>
              <w:t>一般固废暂存区，</w:t>
            </w:r>
            <w:r>
              <w:rPr>
                <w:color w:val="auto"/>
                <w:sz w:val="21"/>
                <w:szCs w:val="21"/>
                <w:lang w:bidi="ar"/>
              </w:rPr>
              <w:t>10m</w:t>
            </w:r>
            <w:r>
              <w:rPr>
                <w:color w:val="auto"/>
                <w:sz w:val="21"/>
                <w:szCs w:val="21"/>
                <w:vertAlign w:val="superscript"/>
                <w:lang w:bidi="ar"/>
              </w:rPr>
              <w:t>2</w:t>
            </w: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14:paraId="5AF7BCA6">
            <w:pPr>
              <w:spacing w:line="240" w:lineRule="auto"/>
              <w:ind w:firstLine="0" w:firstLineChars="0"/>
              <w:jc w:val="center"/>
              <w:rPr>
                <w:color w:val="auto"/>
                <w:spacing w:val="-2"/>
                <w:kern w:val="28"/>
                <w:szCs w:val="21"/>
              </w:rPr>
            </w:pPr>
            <w:r>
              <w:rPr>
                <w:rFonts w:hint="eastAsia" w:cs="宋体"/>
                <w:color w:val="auto"/>
                <w:spacing w:val="-2"/>
                <w:kern w:val="28"/>
                <w:sz w:val="21"/>
                <w:szCs w:val="21"/>
                <w:lang w:bidi="ar"/>
              </w:rPr>
              <w:t>与环评一致</w:t>
            </w:r>
          </w:p>
        </w:tc>
        <w:tc>
          <w:tcPr>
            <w:tcW w:w="1149" w:type="pct"/>
            <w:vMerge w:val="restart"/>
            <w:tcBorders>
              <w:top w:val="single" w:color="auto" w:sz="4" w:space="0"/>
              <w:left w:val="single" w:color="auto" w:sz="4" w:space="0"/>
              <w:bottom w:val="single" w:color="auto" w:sz="12" w:space="0"/>
              <w:right w:val="nil"/>
            </w:tcBorders>
            <w:shd w:val="clear" w:color="auto" w:fill="auto"/>
            <w:vAlign w:val="center"/>
          </w:tcPr>
          <w:p w14:paraId="6D0D1A86">
            <w:pPr>
              <w:spacing w:line="240" w:lineRule="auto"/>
              <w:ind w:firstLine="0" w:firstLineChars="0"/>
              <w:jc w:val="center"/>
              <w:rPr>
                <w:color w:val="auto"/>
                <w:szCs w:val="21"/>
              </w:rPr>
            </w:pPr>
            <w:r>
              <w:rPr>
                <w:rFonts w:hint="eastAsia" w:cs="宋体"/>
                <w:color w:val="auto"/>
                <w:spacing w:val="-2"/>
                <w:kern w:val="28"/>
                <w:sz w:val="21"/>
                <w:szCs w:val="21"/>
                <w:lang w:bidi="ar"/>
              </w:rPr>
              <w:t>妥善处置，不外排</w:t>
            </w:r>
          </w:p>
        </w:tc>
      </w:tr>
      <w:tr w14:paraId="7A71D33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30" w:type="pct"/>
            <w:vMerge w:val="continue"/>
            <w:tcBorders>
              <w:top w:val="single" w:color="auto" w:sz="4" w:space="0"/>
              <w:left w:val="nil"/>
              <w:bottom w:val="single" w:color="auto" w:sz="12" w:space="0"/>
              <w:right w:val="single" w:color="auto" w:sz="4" w:space="0"/>
            </w:tcBorders>
            <w:shd w:val="clear" w:color="auto" w:fill="auto"/>
            <w:vAlign w:val="center"/>
          </w:tcPr>
          <w:p w14:paraId="0C033357">
            <w:pPr>
              <w:spacing w:line="240" w:lineRule="auto"/>
              <w:ind w:firstLine="0" w:firstLineChars="0"/>
              <w:jc w:val="center"/>
              <w:rPr>
                <w:color w:val="auto"/>
                <w:sz w:val="20"/>
                <w:szCs w:val="20"/>
              </w:rPr>
            </w:pPr>
          </w:p>
        </w:tc>
        <w:tc>
          <w:tcPr>
            <w:tcW w:w="542" w:type="pct"/>
            <w:gridSpan w:val="2"/>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71D53937">
            <w:pPr>
              <w:spacing w:line="240" w:lineRule="auto"/>
              <w:ind w:firstLine="0" w:firstLineChars="0"/>
              <w:jc w:val="center"/>
              <w:rPr>
                <w:color w:val="auto"/>
                <w:sz w:val="20"/>
                <w:szCs w:val="20"/>
              </w:rPr>
            </w:pPr>
          </w:p>
        </w:tc>
        <w:tc>
          <w:tcPr>
            <w:tcW w:w="624" w:type="pct"/>
            <w:tcBorders>
              <w:top w:val="single" w:color="auto" w:sz="4" w:space="0"/>
              <w:left w:val="single" w:color="auto" w:sz="4" w:space="0"/>
              <w:bottom w:val="single" w:color="auto" w:sz="12" w:space="0"/>
              <w:right w:val="single" w:color="auto" w:sz="4" w:space="0"/>
            </w:tcBorders>
            <w:shd w:val="clear" w:color="auto" w:fill="auto"/>
            <w:vAlign w:val="center"/>
          </w:tcPr>
          <w:p w14:paraId="1C00DE0E">
            <w:pPr>
              <w:spacing w:line="240" w:lineRule="auto"/>
              <w:ind w:firstLine="0" w:firstLineChars="0"/>
              <w:jc w:val="center"/>
              <w:rPr>
                <w:color w:val="auto"/>
                <w:szCs w:val="21"/>
              </w:rPr>
            </w:pPr>
            <w:r>
              <w:rPr>
                <w:rFonts w:hint="eastAsia" w:cs="宋体"/>
                <w:color w:val="auto"/>
                <w:sz w:val="21"/>
                <w:szCs w:val="21"/>
                <w:lang w:bidi="ar"/>
              </w:rPr>
              <w:t>危废废物</w:t>
            </w:r>
          </w:p>
        </w:tc>
        <w:tc>
          <w:tcPr>
            <w:tcW w:w="1261" w:type="pct"/>
            <w:tcBorders>
              <w:top w:val="single" w:color="auto" w:sz="4" w:space="0"/>
              <w:left w:val="single" w:color="auto" w:sz="4" w:space="0"/>
              <w:bottom w:val="single" w:color="auto" w:sz="12" w:space="0"/>
              <w:right w:val="single" w:color="auto" w:sz="4" w:space="0"/>
            </w:tcBorders>
            <w:shd w:val="clear" w:color="auto" w:fill="auto"/>
            <w:vAlign w:val="center"/>
          </w:tcPr>
          <w:p w14:paraId="6853884A">
            <w:pPr>
              <w:spacing w:line="240" w:lineRule="auto"/>
              <w:ind w:firstLine="0" w:firstLineChars="0"/>
              <w:jc w:val="center"/>
              <w:rPr>
                <w:color w:val="auto"/>
                <w:szCs w:val="21"/>
              </w:rPr>
            </w:pPr>
            <w:r>
              <w:rPr>
                <w:rFonts w:hint="eastAsia" w:cs="宋体"/>
                <w:color w:val="auto"/>
                <w:sz w:val="21"/>
                <w:szCs w:val="21"/>
                <w:lang w:bidi="ar"/>
              </w:rPr>
              <w:t>危废暂存区，</w:t>
            </w:r>
            <w:r>
              <w:rPr>
                <w:color w:val="auto"/>
                <w:sz w:val="21"/>
                <w:szCs w:val="21"/>
                <w:lang w:bidi="ar"/>
              </w:rPr>
              <w:t>5m</w:t>
            </w:r>
            <w:r>
              <w:rPr>
                <w:color w:val="auto"/>
                <w:sz w:val="21"/>
                <w:szCs w:val="21"/>
                <w:vertAlign w:val="superscript"/>
                <w:lang w:bidi="ar"/>
              </w:rPr>
              <w:t>2</w:t>
            </w:r>
          </w:p>
        </w:tc>
        <w:tc>
          <w:tcPr>
            <w:tcW w:w="1091" w:type="pct"/>
            <w:tcBorders>
              <w:top w:val="single" w:color="auto" w:sz="4" w:space="0"/>
              <w:left w:val="single" w:color="auto" w:sz="4" w:space="0"/>
              <w:bottom w:val="single" w:color="auto" w:sz="12" w:space="0"/>
              <w:right w:val="single" w:color="auto" w:sz="4" w:space="0"/>
            </w:tcBorders>
            <w:shd w:val="clear" w:color="auto" w:fill="auto"/>
            <w:vAlign w:val="center"/>
          </w:tcPr>
          <w:p w14:paraId="67A06A7A">
            <w:pPr>
              <w:spacing w:line="240" w:lineRule="auto"/>
              <w:ind w:firstLine="0" w:firstLineChars="0"/>
              <w:jc w:val="center"/>
              <w:rPr>
                <w:color w:val="auto"/>
                <w:szCs w:val="21"/>
              </w:rPr>
            </w:pPr>
            <w:r>
              <w:rPr>
                <w:rFonts w:hint="eastAsia" w:cs="宋体"/>
                <w:color w:val="auto"/>
                <w:spacing w:val="-2"/>
                <w:kern w:val="28"/>
                <w:sz w:val="21"/>
                <w:szCs w:val="21"/>
                <w:lang w:bidi="ar"/>
              </w:rPr>
              <w:t>面积与环评一致</w:t>
            </w:r>
            <w:r>
              <w:rPr>
                <w:rFonts w:hint="eastAsia" w:cs="宋体"/>
                <w:color w:val="auto"/>
                <w:sz w:val="21"/>
                <w:szCs w:val="21"/>
                <w:lang w:bidi="ar"/>
              </w:rPr>
              <w:t>，位置由车间内移至车间外</w:t>
            </w:r>
          </w:p>
        </w:tc>
        <w:tc>
          <w:tcPr>
            <w:tcW w:w="1149" w:type="pct"/>
            <w:vMerge w:val="continue"/>
            <w:tcBorders>
              <w:top w:val="single" w:color="auto" w:sz="4" w:space="0"/>
              <w:left w:val="single" w:color="auto" w:sz="4" w:space="0"/>
              <w:bottom w:val="single" w:color="auto" w:sz="12" w:space="0"/>
              <w:right w:val="nil"/>
            </w:tcBorders>
            <w:shd w:val="clear" w:color="auto" w:fill="auto"/>
            <w:vAlign w:val="center"/>
          </w:tcPr>
          <w:p w14:paraId="1021C43B">
            <w:pPr>
              <w:spacing w:line="240" w:lineRule="auto"/>
              <w:ind w:firstLine="0" w:firstLineChars="0"/>
              <w:jc w:val="center"/>
              <w:rPr>
                <w:color w:val="auto"/>
                <w:sz w:val="20"/>
                <w:szCs w:val="20"/>
              </w:rPr>
            </w:pPr>
          </w:p>
        </w:tc>
      </w:tr>
    </w:tbl>
    <w:p w14:paraId="7BC0BF44">
      <w:pPr>
        <w:keepNext/>
        <w:keepLines/>
        <w:spacing w:before="120" w:beforeLines="50"/>
        <w:ind w:firstLine="0" w:firstLineChars="0"/>
        <w:outlineLvl w:val="2"/>
        <w:rPr>
          <w:b/>
          <w:bCs/>
          <w:color w:val="auto"/>
          <w:sz w:val="28"/>
          <w:szCs w:val="36"/>
        </w:rPr>
      </w:pPr>
      <w:r>
        <w:rPr>
          <w:b/>
          <w:bCs/>
          <w:color w:val="auto"/>
          <w:sz w:val="28"/>
          <w:szCs w:val="36"/>
        </w:rPr>
        <w:t>3.1.3 现有项目主要设备</w:t>
      </w:r>
    </w:p>
    <w:p w14:paraId="2C768F43">
      <w:pPr>
        <w:ind w:firstLine="480"/>
        <w:rPr>
          <w:color w:val="auto"/>
        </w:rPr>
      </w:pPr>
      <w:r>
        <w:rPr>
          <w:color w:val="auto"/>
        </w:rPr>
        <w:t>现有项目主要设备见表3.1</w:t>
      </w:r>
      <w:r>
        <w:rPr>
          <w:rFonts w:hint="eastAsia"/>
          <w:color w:val="auto"/>
        </w:rPr>
        <w:t>-4</w:t>
      </w:r>
      <w:r>
        <w:rPr>
          <w:color w:val="auto"/>
        </w:rPr>
        <w:t>。</w:t>
      </w:r>
    </w:p>
    <w:p w14:paraId="5B62C50B">
      <w:pPr>
        <w:spacing w:line="240" w:lineRule="auto"/>
        <w:ind w:firstLine="0" w:firstLineChars="0"/>
        <w:jc w:val="center"/>
        <w:rPr>
          <w:b/>
          <w:bCs/>
          <w:color w:val="auto"/>
        </w:rPr>
      </w:pPr>
      <w:r>
        <w:rPr>
          <w:b/>
          <w:bCs/>
          <w:color w:val="auto"/>
        </w:rPr>
        <w:t>表3.1</w:t>
      </w:r>
      <w:r>
        <w:rPr>
          <w:rFonts w:hint="eastAsia"/>
          <w:b/>
          <w:bCs/>
          <w:color w:val="auto"/>
        </w:rPr>
        <w:t>-4</w:t>
      </w:r>
      <w:r>
        <w:rPr>
          <w:b/>
          <w:bCs/>
          <w:color w:val="auto"/>
        </w:rPr>
        <w:t xml:space="preserve">  现有项目主要设备清单</w:t>
      </w:r>
    </w:p>
    <w:tbl>
      <w:tblPr>
        <w:tblStyle w:val="88"/>
        <w:tblW w:w="4997" w:type="pct"/>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0" w:type="dxa"/>
          <w:bottom w:w="0" w:type="dxa"/>
          <w:right w:w="0" w:type="dxa"/>
        </w:tblCellMar>
      </w:tblPr>
      <w:tblGrid>
        <w:gridCol w:w="784"/>
        <w:gridCol w:w="1876"/>
        <w:gridCol w:w="1308"/>
        <w:gridCol w:w="1428"/>
        <w:gridCol w:w="1383"/>
        <w:gridCol w:w="2316"/>
      </w:tblGrid>
      <w:tr w14:paraId="03E4169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vMerge w:val="restart"/>
            <w:tcBorders>
              <w:top w:val="single" w:color="000000" w:sz="12" w:space="0"/>
              <w:left w:val="nil"/>
              <w:bottom w:val="single" w:color="000000" w:sz="4" w:space="0"/>
              <w:right w:val="single" w:color="000000" w:sz="4" w:space="0"/>
            </w:tcBorders>
            <w:shd w:val="clear" w:color="auto" w:fill="auto"/>
            <w:tcMar>
              <w:top w:w="15" w:type="dxa"/>
              <w:left w:w="15" w:type="dxa"/>
              <w:right w:w="15" w:type="dxa"/>
            </w:tcMar>
            <w:vAlign w:val="center"/>
          </w:tcPr>
          <w:p w14:paraId="772E30AD">
            <w:pPr>
              <w:widowControl/>
              <w:spacing w:line="240" w:lineRule="auto"/>
              <w:ind w:firstLine="0" w:firstLineChars="0"/>
              <w:jc w:val="center"/>
              <w:rPr>
                <w:b/>
                <w:bCs/>
                <w:color w:val="auto"/>
                <w:sz w:val="21"/>
                <w:szCs w:val="21"/>
              </w:rPr>
            </w:pPr>
            <w:r>
              <w:rPr>
                <w:rFonts w:hint="eastAsia" w:cs="宋体"/>
                <w:b/>
                <w:bCs/>
                <w:color w:val="auto"/>
                <w:sz w:val="21"/>
                <w:szCs w:val="21"/>
              </w:rPr>
              <w:t>序号</w:t>
            </w:r>
          </w:p>
        </w:tc>
        <w:tc>
          <w:tcPr>
            <w:tcW w:w="1031" w:type="pct"/>
            <w:vMerge w:val="restart"/>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E5C73">
            <w:pPr>
              <w:widowControl/>
              <w:spacing w:line="240" w:lineRule="auto"/>
              <w:ind w:firstLine="0" w:firstLineChars="0"/>
              <w:jc w:val="center"/>
              <w:rPr>
                <w:b/>
                <w:bCs/>
                <w:color w:val="auto"/>
                <w:sz w:val="21"/>
                <w:szCs w:val="21"/>
              </w:rPr>
            </w:pPr>
            <w:r>
              <w:rPr>
                <w:rFonts w:hint="eastAsia" w:cs="宋体"/>
                <w:b/>
                <w:bCs/>
                <w:color w:val="auto"/>
                <w:sz w:val="21"/>
                <w:szCs w:val="21"/>
              </w:rPr>
              <w:t>设备名称</w:t>
            </w:r>
          </w:p>
        </w:tc>
        <w:tc>
          <w:tcPr>
            <w:tcW w:w="719" w:type="pct"/>
            <w:vMerge w:val="restart"/>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D8E81">
            <w:pPr>
              <w:widowControl/>
              <w:spacing w:line="240" w:lineRule="auto"/>
              <w:ind w:firstLine="0" w:firstLineChars="0"/>
              <w:jc w:val="center"/>
              <w:rPr>
                <w:b/>
                <w:bCs/>
                <w:color w:val="auto"/>
                <w:sz w:val="21"/>
                <w:szCs w:val="21"/>
              </w:rPr>
            </w:pPr>
            <w:r>
              <w:rPr>
                <w:rFonts w:hint="eastAsia" w:cs="宋体"/>
                <w:b/>
                <w:bCs/>
                <w:color w:val="auto"/>
                <w:sz w:val="21"/>
                <w:szCs w:val="21"/>
              </w:rPr>
              <w:t>型号</w:t>
            </w:r>
          </w:p>
        </w:tc>
        <w:tc>
          <w:tcPr>
            <w:tcW w:w="1545" w:type="pct"/>
            <w:gridSpan w:val="2"/>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0C5D4">
            <w:pPr>
              <w:widowControl/>
              <w:spacing w:line="240" w:lineRule="auto"/>
              <w:ind w:firstLine="0" w:firstLineChars="0"/>
              <w:jc w:val="center"/>
              <w:rPr>
                <w:b/>
                <w:bCs/>
                <w:color w:val="auto"/>
                <w:sz w:val="21"/>
                <w:szCs w:val="21"/>
              </w:rPr>
            </w:pPr>
            <w:r>
              <w:rPr>
                <w:rFonts w:hint="eastAsia" w:cs="宋体"/>
                <w:b/>
                <w:bCs/>
                <w:color w:val="auto"/>
                <w:sz w:val="21"/>
                <w:szCs w:val="21"/>
              </w:rPr>
              <w:t>数量（台/套）</w:t>
            </w:r>
          </w:p>
        </w:tc>
        <w:tc>
          <w:tcPr>
            <w:tcW w:w="1273" w:type="pct"/>
            <w:vMerge w:val="restart"/>
            <w:tcBorders>
              <w:top w:val="single" w:color="000000" w:sz="12" w:space="0"/>
              <w:left w:val="single" w:color="000000" w:sz="4" w:space="0"/>
              <w:bottom w:val="single" w:color="000000" w:sz="4" w:space="0"/>
              <w:right w:val="nil"/>
            </w:tcBorders>
            <w:shd w:val="clear" w:color="auto" w:fill="auto"/>
            <w:tcMar>
              <w:top w:w="15" w:type="dxa"/>
              <w:left w:w="15" w:type="dxa"/>
              <w:right w:w="15" w:type="dxa"/>
            </w:tcMar>
            <w:vAlign w:val="center"/>
          </w:tcPr>
          <w:p w14:paraId="7AC21D1F">
            <w:pPr>
              <w:widowControl/>
              <w:spacing w:line="240" w:lineRule="auto"/>
              <w:ind w:firstLine="0" w:firstLineChars="0"/>
              <w:jc w:val="center"/>
              <w:rPr>
                <w:color w:val="auto"/>
                <w:sz w:val="21"/>
                <w:szCs w:val="21"/>
              </w:rPr>
            </w:pPr>
            <w:r>
              <w:rPr>
                <w:rFonts w:hint="eastAsia" w:cs="宋体"/>
                <w:b/>
                <w:bCs/>
                <w:color w:val="auto"/>
                <w:sz w:val="21"/>
                <w:szCs w:val="21"/>
              </w:rPr>
              <w:t>备注</w:t>
            </w:r>
          </w:p>
        </w:tc>
      </w:tr>
      <w:tr w14:paraId="4988F5C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vMerge w:val="continue"/>
            <w:tcBorders>
              <w:top w:val="single" w:color="000000" w:sz="12" w:space="0"/>
              <w:left w:val="nil"/>
              <w:bottom w:val="single" w:color="000000" w:sz="4" w:space="0"/>
              <w:right w:val="single" w:color="000000" w:sz="4" w:space="0"/>
            </w:tcBorders>
            <w:shd w:val="clear" w:color="auto" w:fill="auto"/>
            <w:tcMar>
              <w:top w:w="15" w:type="dxa"/>
              <w:left w:w="15" w:type="dxa"/>
              <w:right w:w="15" w:type="dxa"/>
            </w:tcMar>
            <w:vAlign w:val="center"/>
          </w:tcPr>
          <w:p w14:paraId="60426628">
            <w:pPr>
              <w:spacing w:line="240" w:lineRule="auto"/>
              <w:ind w:firstLine="0" w:firstLineChars="0"/>
              <w:jc w:val="center"/>
              <w:rPr>
                <w:color w:val="auto"/>
                <w:sz w:val="21"/>
                <w:szCs w:val="21"/>
              </w:rPr>
            </w:pPr>
          </w:p>
        </w:tc>
        <w:tc>
          <w:tcPr>
            <w:tcW w:w="1031" w:type="pct"/>
            <w:vMerge w:val="continue"/>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5F02F">
            <w:pPr>
              <w:spacing w:line="240" w:lineRule="auto"/>
              <w:ind w:firstLine="0" w:firstLineChars="0"/>
              <w:jc w:val="center"/>
              <w:rPr>
                <w:color w:val="auto"/>
                <w:sz w:val="21"/>
                <w:szCs w:val="21"/>
              </w:rPr>
            </w:pPr>
          </w:p>
        </w:tc>
        <w:tc>
          <w:tcPr>
            <w:tcW w:w="719" w:type="pct"/>
            <w:vMerge w:val="continue"/>
            <w:tcBorders>
              <w:top w:val="single" w:color="000000" w:sz="12"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C2B3D">
            <w:pPr>
              <w:spacing w:line="240" w:lineRule="auto"/>
              <w:ind w:firstLine="0" w:firstLineChars="0"/>
              <w:jc w:val="center"/>
              <w:rPr>
                <w:color w:val="auto"/>
                <w:sz w:val="21"/>
                <w:szCs w:val="21"/>
              </w:rPr>
            </w:pPr>
          </w:p>
        </w:tc>
        <w:tc>
          <w:tcPr>
            <w:tcW w:w="78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C43C038">
            <w:pPr>
              <w:widowControl/>
              <w:spacing w:line="240" w:lineRule="auto"/>
              <w:ind w:firstLine="0" w:firstLineChars="0"/>
              <w:jc w:val="center"/>
              <w:rPr>
                <w:b/>
                <w:bCs/>
                <w:color w:val="auto"/>
                <w:sz w:val="21"/>
                <w:szCs w:val="21"/>
              </w:rPr>
            </w:pPr>
            <w:r>
              <w:rPr>
                <w:rFonts w:hint="eastAsia" w:cs="宋体"/>
                <w:b/>
                <w:bCs/>
                <w:color w:val="auto"/>
                <w:sz w:val="21"/>
                <w:szCs w:val="21"/>
              </w:rPr>
              <w:t>环评</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E31DDF7">
            <w:pPr>
              <w:widowControl/>
              <w:spacing w:line="240" w:lineRule="auto"/>
              <w:ind w:firstLine="0" w:firstLineChars="0"/>
              <w:jc w:val="center"/>
              <w:rPr>
                <w:b/>
                <w:bCs/>
                <w:color w:val="auto"/>
                <w:sz w:val="21"/>
                <w:szCs w:val="21"/>
              </w:rPr>
            </w:pPr>
            <w:r>
              <w:rPr>
                <w:rFonts w:hint="eastAsia" w:cs="宋体"/>
                <w:b/>
                <w:bCs/>
                <w:color w:val="auto"/>
                <w:sz w:val="21"/>
                <w:szCs w:val="21"/>
              </w:rPr>
              <w:t>实际</w:t>
            </w:r>
          </w:p>
        </w:tc>
        <w:tc>
          <w:tcPr>
            <w:tcW w:w="1273" w:type="pct"/>
            <w:vMerge w:val="continue"/>
            <w:tcBorders>
              <w:top w:val="single" w:color="000000" w:sz="12" w:space="0"/>
              <w:left w:val="single" w:color="000000" w:sz="4" w:space="0"/>
              <w:bottom w:val="single" w:color="000000" w:sz="4" w:space="0"/>
              <w:right w:val="nil"/>
            </w:tcBorders>
            <w:shd w:val="clear" w:color="auto" w:fill="auto"/>
            <w:tcMar>
              <w:top w:w="15" w:type="dxa"/>
              <w:left w:w="15" w:type="dxa"/>
              <w:right w:w="15" w:type="dxa"/>
            </w:tcMar>
            <w:vAlign w:val="center"/>
          </w:tcPr>
          <w:p w14:paraId="7A1D1A5A">
            <w:pPr>
              <w:spacing w:line="240" w:lineRule="auto"/>
              <w:ind w:firstLine="0" w:firstLineChars="0"/>
              <w:jc w:val="center"/>
              <w:rPr>
                <w:color w:val="auto"/>
                <w:sz w:val="21"/>
                <w:szCs w:val="21"/>
              </w:rPr>
            </w:pPr>
          </w:p>
        </w:tc>
      </w:tr>
      <w:tr w14:paraId="619BA55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4A3368">
            <w:pPr>
              <w:widowControl/>
              <w:spacing w:line="240" w:lineRule="auto"/>
              <w:ind w:firstLine="0" w:firstLineChars="0"/>
              <w:jc w:val="center"/>
              <w:rPr>
                <w:color w:val="auto"/>
                <w:sz w:val="21"/>
                <w:szCs w:val="21"/>
              </w:rPr>
            </w:pPr>
            <w:r>
              <w:rPr>
                <w:color w:val="auto"/>
                <w:sz w:val="21"/>
                <w:szCs w:val="21"/>
              </w:rPr>
              <w:t>1</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2DB46">
            <w:pPr>
              <w:spacing w:line="240" w:lineRule="auto"/>
              <w:ind w:firstLine="0" w:firstLineChars="0"/>
              <w:jc w:val="center"/>
              <w:rPr>
                <w:color w:val="auto"/>
                <w:sz w:val="21"/>
                <w:szCs w:val="21"/>
              </w:rPr>
            </w:pPr>
            <w:r>
              <w:rPr>
                <w:rFonts w:hint="eastAsia" w:cs="宋体"/>
                <w:color w:val="auto"/>
                <w:sz w:val="21"/>
                <w:szCs w:val="21"/>
                <w:lang w:bidi="ar"/>
              </w:rPr>
              <w:t>成型生产线</w:t>
            </w:r>
          </w:p>
        </w:tc>
        <w:tc>
          <w:tcPr>
            <w:tcW w:w="7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2D2A4">
            <w:pPr>
              <w:spacing w:line="240" w:lineRule="auto"/>
              <w:ind w:firstLine="0" w:firstLineChars="0"/>
              <w:jc w:val="center"/>
              <w:textAlignment w:val="center"/>
              <w:rPr>
                <w:color w:val="auto"/>
                <w:sz w:val="21"/>
                <w:szCs w:val="21"/>
              </w:rPr>
            </w:pPr>
            <w:r>
              <w:rPr>
                <w:rFonts w:hint="eastAsia" w:cs="宋体"/>
                <w:color w:val="auto"/>
                <w:sz w:val="21"/>
                <w:szCs w:val="21"/>
                <w:lang w:bidi="ar"/>
              </w:rPr>
              <w:t>定制</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798A0">
            <w:pPr>
              <w:spacing w:line="240" w:lineRule="auto"/>
              <w:ind w:firstLine="0" w:firstLineChars="0"/>
              <w:jc w:val="center"/>
              <w:textAlignment w:val="center"/>
              <w:rPr>
                <w:color w:val="auto"/>
                <w:sz w:val="21"/>
                <w:szCs w:val="21"/>
              </w:rPr>
            </w:pPr>
            <w:r>
              <w:rPr>
                <w:color w:val="auto"/>
                <w:sz w:val="21"/>
                <w:szCs w:val="21"/>
                <w:lang w:bidi="ar"/>
              </w:rPr>
              <w:t>4</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246EAB2">
            <w:pPr>
              <w:widowControl/>
              <w:spacing w:line="240" w:lineRule="auto"/>
              <w:ind w:firstLine="0" w:firstLineChars="0"/>
              <w:jc w:val="center"/>
              <w:rPr>
                <w:color w:val="auto"/>
                <w:sz w:val="21"/>
                <w:szCs w:val="21"/>
              </w:rPr>
            </w:pPr>
            <w:r>
              <w:rPr>
                <w:color w:val="auto"/>
                <w:sz w:val="21"/>
                <w:szCs w:val="21"/>
              </w:rPr>
              <w:t>0</w:t>
            </w:r>
          </w:p>
        </w:tc>
        <w:tc>
          <w:tcPr>
            <w:tcW w:w="1273" w:type="pct"/>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A68DD4">
            <w:pPr>
              <w:widowControl/>
              <w:spacing w:line="240" w:lineRule="auto"/>
              <w:ind w:firstLine="0" w:firstLineChars="0"/>
              <w:jc w:val="center"/>
              <w:rPr>
                <w:color w:val="auto"/>
                <w:sz w:val="21"/>
                <w:szCs w:val="21"/>
              </w:rPr>
            </w:pPr>
            <w:r>
              <w:rPr>
                <w:rFonts w:hint="eastAsia" w:cs="宋体"/>
                <w:color w:val="auto"/>
                <w:sz w:val="21"/>
                <w:szCs w:val="21"/>
              </w:rPr>
              <w:t>未建设</w:t>
            </w:r>
          </w:p>
        </w:tc>
      </w:tr>
      <w:tr w14:paraId="42D6B21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B235566">
            <w:pPr>
              <w:widowControl/>
              <w:spacing w:line="240" w:lineRule="auto"/>
              <w:ind w:firstLine="0" w:firstLineChars="0"/>
              <w:jc w:val="center"/>
              <w:rPr>
                <w:color w:val="auto"/>
                <w:sz w:val="21"/>
                <w:szCs w:val="21"/>
              </w:rPr>
            </w:pPr>
            <w:r>
              <w:rPr>
                <w:color w:val="auto"/>
                <w:sz w:val="21"/>
                <w:szCs w:val="21"/>
              </w:rPr>
              <w:t>2</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FEC85">
            <w:pPr>
              <w:spacing w:line="240" w:lineRule="auto"/>
              <w:ind w:firstLine="0" w:firstLineChars="0"/>
              <w:jc w:val="center"/>
              <w:rPr>
                <w:color w:val="auto"/>
                <w:sz w:val="21"/>
                <w:szCs w:val="21"/>
              </w:rPr>
            </w:pPr>
            <w:r>
              <w:rPr>
                <w:rFonts w:hint="eastAsia" w:cs="宋体"/>
                <w:color w:val="auto"/>
                <w:sz w:val="21"/>
                <w:szCs w:val="21"/>
                <w:lang w:bidi="ar"/>
              </w:rPr>
              <w:t>半自动组装设备</w:t>
            </w:r>
          </w:p>
        </w:tc>
        <w:tc>
          <w:tcPr>
            <w:tcW w:w="7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16236">
            <w:pPr>
              <w:spacing w:line="240" w:lineRule="auto"/>
              <w:ind w:firstLine="0" w:firstLineChars="0"/>
              <w:jc w:val="center"/>
              <w:textAlignment w:val="center"/>
              <w:rPr>
                <w:color w:val="auto"/>
                <w:sz w:val="21"/>
                <w:szCs w:val="21"/>
              </w:rPr>
            </w:pPr>
            <w:r>
              <w:rPr>
                <w:rFonts w:hint="eastAsia" w:cs="宋体"/>
                <w:color w:val="auto"/>
                <w:sz w:val="21"/>
                <w:szCs w:val="21"/>
                <w:lang w:bidi="ar"/>
              </w:rPr>
              <w:t>定制</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19ECB">
            <w:pPr>
              <w:spacing w:line="240" w:lineRule="auto"/>
              <w:ind w:firstLine="0" w:firstLineChars="0"/>
              <w:jc w:val="center"/>
              <w:textAlignment w:val="center"/>
              <w:rPr>
                <w:color w:val="auto"/>
                <w:sz w:val="21"/>
                <w:szCs w:val="21"/>
              </w:rPr>
            </w:pPr>
            <w:r>
              <w:rPr>
                <w:color w:val="auto"/>
                <w:sz w:val="21"/>
                <w:szCs w:val="21"/>
                <w:lang w:bidi="ar"/>
              </w:rPr>
              <w:t>4</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1C577E2">
            <w:pPr>
              <w:widowControl/>
              <w:spacing w:line="240" w:lineRule="auto"/>
              <w:ind w:firstLine="0" w:firstLineChars="0"/>
              <w:jc w:val="center"/>
              <w:rPr>
                <w:color w:val="auto"/>
                <w:sz w:val="21"/>
                <w:szCs w:val="21"/>
              </w:rPr>
            </w:pPr>
            <w:r>
              <w:rPr>
                <w:color w:val="auto"/>
                <w:sz w:val="21"/>
                <w:szCs w:val="21"/>
              </w:rPr>
              <w:t>0</w:t>
            </w:r>
          </w:p>
        </w:tc>
        <w:tc>
          <w:tcPr>
            <w:tcW w:w="127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F950466">
            <w:pPr>
              <w:spacing w:line="240" w:lineRule="auto"/>
              <w:ind w:firstLine="0" w:firstLineChars="0"/>
              <w:jc w:val="center"/>
              <w:rPr>
                <w:color w:val="auto"/>
                <w:sz w:val="21"/>
                <w:szCs w:val="21"/>
              </w:rPr>
            </w:pPr>
          </w:p>
        </w:tc>
      </w:tr>
      <w:tr w14:paraId="12FEEC9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7B1211">
            <w:pPr>
              <w:widowControl/>
              <w:spacing w:line="240" w:lineRule="auto"/>
              <w:ind w:firstLine="0" w:firstLineChars="0"/>
              <w:jc w:val="center"/>
              <w:rPr>
                <w:color w:val="auto"/>
                <w:sz w:val="21"/>
                <w:szCs w:val="21"/>
              </w:rPr>
            </w:pPr>
            <w:r>
              <w:rPr>
                <w:color w:val="auto"/>
                <w:sz w:val="21"/>
                <w:szCs w:val="21"/>
              </w:rPr>
              <w:t>3</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0FDBA">
            <w:pPr>
              <w:spacing w:line="240" w:lineRule="auto"/>
              <w:ind w:firstLine="0" w:firstLineChars="0"/>
              <w:jc w:val="center"/>
              <w:rPr>
                <w:color w:val="auto"/>
                <w:sz w:val="21"/>
                <w:szCs w:val="21"/>
              </w:rPr>
            </w:pPr>
            <w:r>
              <w:rPr>
                <w:rFonts w:hint="eastAsia" w:cs="宋体"/>
                <w:color w:val="auto"/>
                <w:sz w:val="21"/>
                <w:szCs w:val="21"/>
                <w:lang w:bidi="ar"/>
              </w:rPr>
              <w:t>半自动冲孔机</w:t>
            </w:r>
          </w:p>
        </w:tc>
        <w:tc>
          <w:tcPr>
            <w:tcW w:w="7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2A375">
            <w:pPr>
              <w:spacing w:line="240" w:lineRule="auto"/>
              <w:ind w:firstLine="0" w:firstLineChars="0"/>
              <w:jc w:val="center"/>
              <w:textAlignment w:val="center"/>
              <w:rPr>
                <w:color w:val="auto"/>
                <w:sz w:val="21"/>
                <w:szCs w:val="21"/>
              </w:rPr>
            </w:pPr>
            <w:r>
              <w:rPr>
                <w:rFonts w:hint="eastAsia" w:cs="宋体"/>
                <w:color w:val="auto"/>
                <w:sz w:val="21"/>
                <w:szCs w:val="21"/>
                <w:lang w:bidi="ar"/>
              </w:rPr>
              <w:t>定制</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5A602">
            <w:pPr>
              <w:spacing w:line="240" w:lineRule="auto"/>
              <w:ind w:firstLine="0" w:firstLineChars="0"/>
              <w:jc w:val="center"/>
              <w:textAlignment w:val="center"/>
              <w:rPr>
                <w:color w:val="auto"/>
                <w:sz w:val="21"/>
                <w:szCs w:val="21"/>
              </w:rPr>
            </w:pPr>
            <w:r>
              <w:rPr>
                <w:color w:val="auto"/>
                <w:sz w:val="21"/>
                <w:szCs w:val="21"/>
                <w:lang w:bidi="ar"/>
              </w:rPr>
              <w:t>2</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BE60C9">
            <w:pPr>
              <w:widowControl/>
              <w:spacing w:line="240" w:lineRule="auto"/>
              <w:ind w:firstLine="0" w:firstLineChars="0"/>
              <w:jc w:val="center"/>
              <w:rPr>
                <w:color w:val="auto"/>
                <w:sz w:val="21"/>
                <w:szCs w:val="21"/>
              </w:rPr>
            </w:pPr>
            <w:r>
              <w:rPr>
                <w:color w:val="auto"/>
                <w:sz w:val="21"/>
                <w:szCs w:val="21"/>
              </w:rPr>
              <w:t>0</w:t>
            </w:r>
          </w:p>
        </w:tc>
        <w:tc>
          <w:tcPr>
            <w:tcW w:w="127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93D27E">
            <w:pPr>
              <w:spacing w:line="240" w:lineRule="auto"/>
              <w:ind w:firstLine="0" w:firstLineChars="0"/>
              <w:jc w:val="center"/>
              <w:rPr>
                <w:color w:val="auto"/>
                <w:sz w:val="21"/>
                <w:szCs w:val="21"/>
              </w:rPr>
            </w:pPr>
          </w:p>
        </w:tc>
      </w:tr>
      <w:tr w14:paraId="20A37A0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8C714E7">
            <w:pPr>
              <w:widowControl/>
              <w:spacing w:line="240" w:lineRule="auto"/>
              <w:ind w:firstLine="0" w:firstLineChars="0"/>
              <w:jc w:val="center"/>
              <w:rPr>
                <w:color w:val="auto"/>
                <w:sz w:val="21"/>
                <w:szCs w:val="21"/>
              </w:rPr>
            </w:pPr>
            <w:r>
              <w:rPr>
                <w:color w:val="auto"/>
                <w:sz w:val="21"/>
                <w:szCs w:val="21"/>
              </w:rPr>
              <w:t>4</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9B6A9">
            <w:pPr>
              <w:spacing w:line="240" w:lineRule="auto"/>
              <w:ind w:firstLine="0" w:firstLineChars="0"/>
              <w:jc w:val="center"/>
              <w:rPr>
                <w:color w:val="auto"/>
                <w:sz w:val="21"/>
                <w:szCs w:val="21"/>
              </w:rPr>
            </w:pPr>
            <w:r>
              <w:rPr>
                <w:rFonts w:hint="eastAsia" w:cs="宋体"/>
                <w:color w:val="auto"/>
                <w:sz w:val="21"/>
                <w:szCs w:val="21"/>
                <w:lang w:bidi="ar"/>
              </w:rPr>
              <w:t>冲床</w:t>
            </w:r>
          </w:p>
        </w:tc>
        <w:tc>
          <w:tcPr>
            <w:tcW w:w="7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15BF2">
            <w:pPr>
              <w:spacing w:line="240" w:lineRule="auto"/>
              <w:ind w:firstLine="0" w:firstLineChars="0"/>
              <w:jc w:val="center"/>
              <w:textAlignment w:val="center"/>
              <w:rPr>
                <w:color w:val="auto"/>
                <w:sz w:val="21"/>
                <w:szCs w:val="21"/>
              </w:rPr>
            </w:pPr>
            <w:r>
              <w:rPr>
                <w:color w:val="auto"/>
                <w:sz w:val="21"/>
                <w:szCs w:val="21"/>
                <w:lang w:bidi="ar"/>
              </w:rPr>
              <w:t>80T</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111A1">
            <w:pPr>
              <w:spacing w:line="240" w:lineRule="auto"/>
              <w:ind w:firstLine="0" w:firstLineChars="0"/>
              <w:jc w:val="center"/>
              <w:textAlignment w:val="center"/>
              <w:rPr>
                <w:color w:val="auto"/>
                <w:sz w:val="21"/>
                <w:szCs w:val="21"/>
              </w:rPr>
            </w:pPr>
            <w:r>
              <w:rPr>
                <w:color w:val="auto"/>
                <w:sz w:val="21"/>
                <w:szCs w:val="21"/>
                <w:lang w:bidi="ar"/>
              </w:rPr>
              <w:t>2</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3DE2899">
            <w:pPr>
              <w:widowControl/>
              <w:spacing w:line="240" w:lineRule="auto"/>
              <w:ind w:firstLine="0" w:firstLineChars="0"/>
              <w:jc w:val="center"/>
              <w:rPr>
                <w:color w:val="auto"/>
                <w:sz w:val="21"/>
                <w:szCs w:val="21"/>
              </w:rPr>
            </w:pPr>
            <w:r>
              <w:rPr>
                <w:color w:val="auto"/>
                <w:sz w:val="21"/>
                <w:szCs w:val="21"/>
              </w:rPr>
              <w:t>0</w:t>
            </w:r>
          </w:p>
        </w:tc>
        <w:tc>
          <w:tcPr>
            <w:tcW w:w="127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CC870FE">
            <w:pPr>
              <w:spacing w:line="240" w:lineRule="auto"/>
              <w:ind w:firstLine="0" w:firstLineChars="0"/>
              <w:jc w:val="center"/>
              <w:rPr>
                <w:color w:val="auto"/>
                <w:sz w:val="21"/>
                <w:szCs w:val="21"/>
              </w:rPr>
            </w:pPr>
          </w:p>
        </w:tc>
      </w:tr>
      <w:tr w14:paraId="3935A9B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A8DD38F">
            <w:pPr>
              <w:widowControl/>
              <w:spacing w:line="240" w:lineRule="auto"/>
              <w:ind w:firstLine="0" w:firstLineChars="0"/>
              <w:jc w:val="center"/>
              <w:rPr>
                <w:color w:val="auto"/>
                <w:sz w:val="21"/>
                <w:szCs w:val="21"/>
              </w:rPr>
            </w:pPr>
            <w:r>
              <w:rPr>
                <w:color w:val="auto"/>
                <w:sz w:val="21"/>
                <w:szCs w:val="21"/>
              </w:rPr>
              <w:t>5</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9ED70">
            <w:pPr>
              <w:spacing w:line="240" w:lineRule="auto"/>
              <w:ind w:firstLine="0" w:firstLineChars="0"/>
              <w:jc w:val="center"/>
              <w:rPr>
                <w:color w:val="auto"/>
                <w:sz w:val="21"/>
                <w:szCs w:val="21"/>
              </w:rPr>
            </w:pPr>
            <w:r>
              <w:rPr>
                <w:rFonts w:hint="eastAsia" w:cs="宋体"/>
                <w:color w:val="auto"/>
                <w:sz w:val="21"/>
                <w:szCs w:val="21"/>
                <w:lang w:bidi="ar"/>
              </w:rPr>
              <w:t>全自动铝框生产线</w:t>
            </w:r>
          </w:p>
        </w:tc>
        <w:tc>
          <w:tcPr>
            <w:tcW w:w="7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6CF62">
            <w:pPr>
              <w:spacing w:line="240" w:lineRule="auto"/>
              <w:ind w:firstLine="0" w:firstLineChars="0"/>
              <w:jc w:val="center"/>
              <w:textAlignment w:val="center"/>
              <w:rPr>
                <w:color w:val="auto"/>
                <w:sz w:val="21"/>
                <w:szCs w:val="21"/>
              </w:rPr>
            </w:pPr>
            <w:r>
              <w:rPr>
                <w:rFonts w:hint="eastAsia" w:cs="宋体"/>
                <w:color w:val="auto"/>
                <w:sz w:val="21"/>
                <w:szCs w:val="21"/>
                <w:lang w:bidi="ar"/>
              </w:rPr>
              <w:t>定制</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EB972">
            <w:pPr>
              <w:spacing w:line="240" w:lineRule="auto"/>
              <w:ind w:firstLine="0" w:firstLineChars="0"/>
              <w:jc w:val="center"/>
              <w:textAlignment w:val="center"/>
              <w:rPr>
                <w:color w:val="auto"/>
                <w:sz w:val="21"/>
                <w:szCs w:val="21"/>
              </w:rPr>
            </w:pPr>
            <w:r>
              <w:rPr>
                <w:color w:val="auto"/>
                <w:sz w:val="21"/>
                <w:szCs w:val="21"/>
                <w:lang w:bidi="ar"/>
              </w:rPr>
              <w:t>4</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BBD11E5">
            <w:pPr>
              <w:widowControl/>
              <w:spacing w:line="240" w:lineRule="auto"/>
              <w:ind w:firstLine="0" w:firstLineChars="0"/>
              <w:jc w:val="center"/>
              <w:rPr>
                <w:color w:val="auto"/>
                <w:sz w:val="21"/>
                <w:szCs w:val="21"/>
              </w:rPr>
            </w:pPr>
            <w:r>
              <w:rPr>
                <w:color w:val="auto"/>
                <w:sz w:val="21"/>
                <w:szCs w:val="21"/>
              </w:rPr>
              <w:t>3</w:t>
            </w:r>
          </w:p>
        </w:tc>
        <w:tc>
          <w:tcPr>
            <w:tcW w:w="127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F6462F9">
            <w:pPr>
              <w:widowControl/>
              <w:spacing w:line="240" w:lineRule="auto"/>
              <w:ind w:firstLine="0" w:firstLineChars="0"/>
              <w:jc w:val="center"/>
              <w:rPr>
                <w:color w:val="auto"/>
                <w:sz w:val="21"/>
                <w:szCs w:val="21"/>
              </w:rPr>
            </w:pPr>
            <w:r>
              <w:rPr>
                <w:rFonts w:hint="eastAsia"/>
                <w:color w:val="auto"/>
                <w:sz w:val="21"/>
                <w:szCs w:val="21"/>
              </w:rPr>
              <w:t>/</w:t>
            </w:r>
          </w:p>
        </w:tc>
      </w:tr>
      <w:tr w14:paraId="617C402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BBF731">
            <w:pPr>
              <w:widowControl/>
              <w:spacing w:line="240" w:lineRule="auto"/>
              <w:ind w:firstLine="0" w:firstLineChars="0"/>
              <w:jc w:val="center"/>
              <w:rPr>
                <w:color w:val="auto"/>
                <w:sz w:val="21"/>
                <w:szCs w:val="21"/>
              </w:rPr>
            </w:pPr>
            <w:r>
              <w:rPr>
                <w:color w:val="auto"/>
                <w:sz w:val="21"/>
                <w:szCs w:val="21"/>
              </w:rPr>
              <w:t>6</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6F15B">
            <w:pPr>
              <w:spacing w:line="240" w:lineRule="auto"/>
              <w:ind w:firstLine="0" w:firstLineChars="0"/>
              <w:jc w:val="center"/>
              <w:rPr>
                <w:color w:val="auto"/>
                <w:sz w:val="21"/>
                <w:szCs w:val="21"/>
              </w:rPr>
            </w:pPr>
            <w:r>
              <w:rPr>
                <w:rFonts w:hint="eastAsia"/>
                <w:color w:val="auto"/>
                <w:sz w:val="21"/>
                <w:szCs w:val="21"/>
              </w:rPr>
              <w:t>平面磨床</w:t>
            </w:r>
          </w:p>
        </w:tc>
        <w:tc>
          <w:tcPr>
            <w:tcW w:w="7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6391A">
            <w:pPr>
              <w:spacing w:line="240" w:lineRule="auto"/>
              <w:ind w:firstLine="0" w:firstLineChars="0"/>
              <w:jc w:val="center"/>
              <w:textAlignment w:val="center"/>
              <w:rPr>
                <w:color w:val="auto"/>
                <w:sz w:val="21"/>
                <w:szCs w:val="21"/>
              </w:rPr>
            </w:pPr>
            <w:r>
              <w:rPr>
                <w:rFonts w:hint="eastAsia"/>
                <w:color w:val="auto"/>
                <w:sz w:val="21"/>
                <w:szCs w:val="21"/>
              </w:rPr>
              <w:t>M628</w:t>
            </w:r>
          </w:p>
        </w:tc>
        <w:tc>
          <w:tcPr>
            <w:tcW w:w="7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97CD4">
            <w:pPr>
              <w:spacing w:line="240" w:lineRule="auto"/>
              <w:ind w:firstLine="0" w:firstLineChars="0"/>
              <w:jc w:val="center"/>
              <w:textAlignment w:val="center"/>
              <w:rPr>
                <w:color w:val="auto"/>
                <w:sz w:val="21"/>
                <w:szCs w:val="21"/>
              </w:rPr>
            </w:pPr>
            <w:r>
              <w:rPr>
                <w:color w:val="auto"/>
                <w:sz w:val="21"/>
                <w:szCs w:val="21"/>
                <w:lang w:bidi="ar"/>
              </w:rPr>
              <w:t>1</w:t>
            </w:r>
          </w:p>
        </w:tc>
        <w:tc>
          <w:tcPr>
            <w:tcW w:w="76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2269773">
            <w:pPr>
              <w:widowControl/>
              <w:spacing w:line="240" w:lineRule="auto"/>
              <w:ind w:firstLine="0" w:firstLineChars="0"/>
              <w:jc w:val="center"/>
              <w:rPr>
                <w:color w:val="auto"/>
                <w:sz w:val="21"/>
                <w:szCs w:val="21"/>
              </w:rPr>
            </w:pPr>
            <w:r>
              <w:rPr>
                <w:color w:val="auto"/>
                <w:sz w:val="21"/>
                <w:szCs w:val="21"/>
              </w:rPr>
              <w:t>1</w:t>
            </w:r>
          </w:p>
        </w:tc>
        <w:tc>
          <w:tcPr>
            <w:tcW w:w="127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8CE6BA">
            <w:pPr>
              <w:widowControl/>
              <w:spacing w:line="240" w:lineRule="auto"/>
              <w:ind w:firstLine="0" w:firstLineChars="0"/>
              <w:jc w:val="center"/>
              <w:rPr>
                <w:color w:val="auto"/>
                <w:sz w:val="21"/>
                <w:szCs w:val="21"/>
              </w:rPr>
            </w:pPr>
            <w:r>
              <w:rPr>
                <w:rFonts w:hint="eastAsia"/>
                <w:color w:val="auto"/>
                <w:sz w:val="21"/>
                <w:szCs w:val="21"/>
              </w:rPr>
              <w:t>/</w:t>
            </w:r>
          </w:p>
        </w:tc>
      </w:tr>
      <w:tr w14:paraId="47BAEA7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shd w:val="clear" w:color="auto" w:fill="auto"/>
          </w:tcPr>
          <w:p w14:paraId="76B5855C">
            <w:pPr>
              <w:widowControl/>
              <w:spacing w:line="240" w:lineRule="auto"/>
              <w:ind w:firstLine="0" w:firstLineChars="0"/>
              <w:jc w:val="center"/>
              <w:rPr>
                <w:color w:val="auto"/>
                <w:sz w:val="21"/>
                <w:szCs w:val="21"/>
              </w:rPr>
            </w:pPr>
            <w:r>
              <w:rPr>
                <w:rFonts w:hint="eastAsia"/>
                <w:color w:val="auto"/>
                <w:sz w:val="21"/>
                <w:szCs w:val="21"/>
              </w:rPr>
              <w:t>7</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A03EC">
            <w:pPr>
              <w:spacing w:line="240" w:lineRule="auto"/>
              <w:ind w:firstLine="0" w:firstLineChars="0"/>
              <w:jc w:val="center"/>
              <w:rPr>
                <w:color w:val="auto"/>
                <w:sz w:val="21"/>
                <w:szCs w:val="21"/>
              </w:rPr>
            </w:pPr>
            <w:r>
              <w:rPr>
                <w:rFonts w:hint="eastAsia"/>
                <w:color w:val="auto"/>
                <w:sz w:val="21"/>
                <w:szCs w:val="21"/>
              </w:rPr>
              <w:t>起重机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544FB">
            <w:pPr>
              <w:spacing w:line="240" w:lineRule="auto"/>
              <w:ind w:firstLine="0" w:firstLineChars="0"/>
              <w:jc w:val="center"/>
              <w:textAlignment w:val="center"/>
              <w:rPr>
                <w:color w:val="auto"/>
                <w:sz w:val="21"/>
                <w:szCs w:val="21"/>
              </w:rPr>
            </w:pPr>
            <w:r>
              <w:rPr>
                <w:rFonts w:hint="eastAsia"/>
                <w:color w:val="auto"/>
                <w:sz w:val="21"/>
                <w:szCs w:val="21"/>
              </w:rPr>
              <w:t>10T-19.5M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343FA1">
            <w:pPr>
              <w:spacing w:line="240" w:lineRule="auto"/>
              <w:ind w:firstLine="0" w:firstLineChars="0"/>
              <w:jc w:val="center"/>
              <w:textAlignment w:val="center"/>
              <w:rPr>
                <w:color w:val="auto"/>
                <w:sz w:val="21"/>
                <w:szCs w:val="21"/>
              </w:rPr>
            </w:pPr>
            <w:r>
              <w:rPr>
                <w:color w:val="auto"/>
                <w:sz w:val="21"/>
                <w:szCs w:val="21"/>
                <w:lang w:bidi="ar"/>
              </w:rPr>
              <w:t>1</w:t>
            </w:r>
          </w:p>
        </w:tc>
        <w:tc>
          <w:tcPr>
            <w:tcW w:w="760" w:type="pct"/>
            <w:tcBorders>
              <w:top w:val="single" w:color="000000" w:sz="4" w:space="0"/>
              <w:left w:val="single" w:color="000000" w:sz="4" w:space="0"/>
              <w:bottom w:val="single" w:color="000000" w:sz="4" w:space="0"/>
              <w:right w:val="single" w:color="000000" w:sz="4" w:space="0"/>
            </w:tcBorders>
            <w:shd w:val="clear" w:color="auto" w:fill="auto"/>
          </w:tcPr>
          <w:p w14:paraId="2579D34A">
            <w:pPr>
              <w:widowControl/>
              <w:spacing w:line="240" w:lineRule="auto"/>
              <w:ind w:firstLine="0" w:firstLineChars="0"/>
              <w:jc w:val="center"/>
              <w:rPr>
                <w:color w:val="auto"/>
                <w:sz w:val="21"/>
                <w:szCs w:val="21"/>
              </w:rPr>
            </w:pPr>
            <w:r>
              <w:rPr>
                <w:color w:val="auto"/>
                <w:sz w:val="21"/>
                <w:szCs w:val="21"/>
              </w:rPr>
              <w:t>1</w:t>
            </w:r>
          </w:p>
        </w:tc>
        <w:tc>
          <w:tcPr>
            <w:tcW w:w="1273" w:type="pct"/>
            <w:tcBorders>
              <w:top w:val="single" w:color="000000" w:sz="4" w:space="0"/>
              <w:left w:val="single" w:color="000000" w:sz="4" w:space="0"/>
              <w:bottom w:val="single" w:color="000000" w:sz="4" w:space="0"/>
              <w:right w:val="nil"/>
            </w:tcBorders>
            <w:shd w:val="clear" w:color="auto" w:fill="auto"/>
          </w:tcPr>
          <w:p w14:paraId="4DAB8284">
            <w:pPr>
              <w:widowControl/>
              <w:spacing w:line="240" w:lineRule="auto"/>
              <w:ind w:firstLine="0" w:firstLineChars="0"/>
              <w:jc w:val="center"/>
              <w:rPr>
                <w:color w:val="auto"/>
                <w:sz w:val="21"/>
                <w:szCs w:val="21"/>
              </w:rPr>
            </w:pPr>
            <w:r>
              <w:rPr>
                <w:rFonts w:hint="eastAsia"/>
                <w:color w:val="auto"/>
                <w:sz w:val="21"/>
                <w:szCs w:val="21"/>
              </w:rPr>
              <w:t>/</w:t>
            </w:r>
          </w:p>
        </w:tc>
      </w:tr>
      <w:tr w14:paraId="34DEA8E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shd w:val="clear" w:color="auto" w:fill="auto"/>
          </w:tcPr>
          <w:p w14:paraId="68C23311">
            <w:pPr>
              <w:widowControl/>
              <w:spacing w:line="240" w:lineRule="auto"/>
              <w:ind w:firstLine="0" w:firstLineChars="0"/>
              <w:jc w:val="center"/>
              <w:rPr>
                <w:color w:val="auto"/>
                <w:sz w:val="21"/>
                <w:szCs w:val="21"/>
              </w:rPr>
            </w:pPr>
            <w:r>
              <w:rPr>
                <w:rFonts w:hint="eastAsia"/>
                <w:color w:val="auto"/>
                <w:sz w:val="21"/>
                <w:szCs w:val="21"/>
              </w:rPr>
              <w:t>8</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E10D4">
            <w:pPr>
              <w:spacing w:line="240" w:lineRule="auto"/>
              <w:ind w:firstLine="0" w:firstLineChars="0"/>
              <w:jc w:val="center"/>
              <w:rPr>
                <w:rFonts w:cs="宋体"/>
                <w:color w:val="auto"/>
                <w:sz w:val="21"/>
                <w:szCs w:val="21"/>
                <w:lang w:bidi="ar"/>
              </w:rPr>
            </w:pPr>
            <w:r>
              <w:rPr>
                <w:rFonts w:hint="eastAsia" w:cs="宋体"/>
                <w:color w:val="auto"/>
                <w:sz w:val="21"/>
                <w:szCs w:val="21"/>
                <w:lang w:bidi="ar"/>
              </w:rPr>
              <w:t>角码锯</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8864E">
            <w:pPr>
              <w:spacing w:line="240" w:lineRule="auto"/>
              <w:ind w:firstLine="0" w:firstLineChars="0"/>
              <w:jc w:val="center"/>
              <w:textAlignment w:val="center"/>
              <w:rPr>
                <w:color w:val="auto"/>
                <w:sz w:val="21"/>
                <w:szCs w:val="21"/>
                <w:lang w:bidi="ar"/>
              </w:rPr>
            </w:pPr>
            <w:r>
              <w:rPr>
                <w:rFonts w:hint="eastAsia"/>
                <w:color w:val="auto"/>
                <w:sz w:val="21"/>
                <w:szCs w:val="21"/>
                <w:lang w:bidi="ar"/>
              </w:rPr>
              <w:t>HYB-DJ150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550C0">
            <w:pPr>
              <w:spacing w:line="240" w:lineRule="auto"/>
              <w:ind w:firstLine="0" w:firstLineChars="0"/>
              <w:jc w:val="center"/>
              <w:textAlignment w:val="center"/>
              <w:rPr>
                <w:color w:val="auto"/>
                <w:sz w:val="21"/>
                <w:szCs w:val="21"/>
                <w:lang w:bidi="ar"/>
              </w:rPr>
            </w:pPr>
            <w:r>
              <w:rPr>
                <w:rFonts w:hint="eastAsia"/>
                <w:color w:val="auto"/>
                <w:sz w:val="21"/>
                <w:szCs w:val="21"/>
                <w:lang w:bidi="ar"/>
              </w:rPr>
              <w:t>0</w:t>
            </w:r>
          </w:p>
        </w:tc>
        <w:tc>
          <w:tcPr>
            <w:tcW w:w="760" w:type="pct"/>
            <w:tcBorders>
              <w:top w:val="single" w:color="000000" w:sz="4" w:space="0"/>
              <w:left w:val="single" w:color="000000" w:sz="4" w:space="0"/>
              <w:bottom w:val="single" w:color="000000" w:sz="4" w:space="0"/>
              <w:right w:val="single" w:color="000000" w:sz="4" w:space="0"/>
            </w:tcBorders>
            <w:shd w:val="clear" w:color="auto" w:fill="auto"/>
          </w:tcPr>
          <w:p w14:paraId="5C07BDAD">
            <w:pPr>
              <w:widowControl/>
              <w:spacing w:line="240" w:lineRule="auto"/>
              <w:ind w:firstLine="0" w:firstLineChars="0"/>
              <w:jc w:val="center"/>
              <w:rPr>
                <w:color w:val="auto"/>
                <w:sz w:val="21"/>
                <w:szCs w:val="21"/>
              </w:rPr>
            </w:pPr>
            <w:r>
              <w:rPr>
                <w:rFonts w:hint="eastAsia"/>
                <w:color w:val="auto"/>
                <w:sz w:val="21"/>
                <w:szCs w:val="21"/>
              </w:rPr>
              <w:t>1</w:t>
            </w:r>
          </w:p>
        </w:tc>
        <w:tc>
          <w:tcPr>
            <w:tcW w:w="1273" w:type="pct"/>
            <w:tcBorders>
              <w:top w:val="single" w:color="000000" w:sz="4" w:space="0"/>
              <w:left w:val="single" w:color="000000" w:sz="4" w:space="0"/>
              <w:bottom w:val="single" w:color="000000" w:sz="4" w:space="0"/>
              <w:right w:val="nil"/>
            </w:tcBorders>
            <w:shd w:val="clear" w:color="auto" w:fill="auto"/>
          </w:tcPr>
          <w:p w14:paraId="30046D37">
            <w:pPr>
              <w:widowControl/>
              <w:spacing w:line="240" w:lineRule="auto"/>
              <w:ind w:firstLine="0" w:firstLineChars="0"/>
              <w:jc w:val="center"/>
              <w:rPr>
                <w:color w:val="auto"/>
                <w:sz w:val="21"/>
                <w:szCs w:val="21"/>
              </w:rPr>
            </w:pPr>
            <w:r>
              <w:rPr>
                <w:rFonts w:hint="eastAsia"/>
                <w:color w:val="auto"/>
                <w:sz w:val="21"/>
                <w:szCs w:val="21"/>
              </w:rPr>
              <w:t>/</w:t>
            </w:r>
          </w:p>
        </w:tc>
      </w:tr>
      <w:tr w14:paraId="5F47E2C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shd w:val="clear" w:color="auto" w:fill="auto"/>
          </w:tcPr>
          <w:p w14:paraId="5D0187AB">
            <w:pPr>
              <w:widowControl/>
              <w:spacing w:line="240" w:lineRule="auto"/>
              <w:ind w:firstLine="0" w:firstLineChars="0"/>
              <w:jc w:val="center"/>
              <w:rPr>
                <w:color w:val="auto"/>
                <w:sz w:val="21"/>
                <w:szCs w:val="21"/>
              </w:rPr>
            </w:pPr>
            <w:r>
              <w:rPr>
                <w:rFonts w:hint="eastAsia"/>
                <w:color w:val="auto"/>
                <w:sz w:val="21"/>
                <w:szCs w:val="21"/>
              </w:rPr>
              <w:t>9</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E9359">
            <w:pPr>
              <w:spacing w:line="240" w:lineRule="auto"/>
              <w:ind w:firstLine="0" w:firstLineChars="0"/>
              <w:jc w:val="center"/>
              <w:rPr>
                <w:rFonts w:cs="宋体"/>
                <w:color w:val="auto"/>
                <w:sz w:val="21"/>
                <w:szCs w:val="21"/>
                <w:lang w:bidi="ar"/>
              </w:rPr>
            </w:pPr>
            <w:r>
              <w:rPr>
                <w:rFonts w:hint="eastAsia" w:cs="宋体"/>
                <w:color w:val="auto"/>
                <w:sz w:val="21"/>
                <w:szCs w:val="21"/>
                <w:lang w:bidi="ar"/>
              </w:rPr>
              <w:t>螺杆式空气压缩机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78A36">
            <w:pPr>
              <w:spacing w:line="240" w:lineRule="auto"/>
              <w:ind w:firstLine="0" w:firstLineChars="0"/>
              <w:jc w:val="center"/>
              <w:textAlignment w:val="center"/>
              <w:rPr>
                <w:color w:val="auto"/>
                <w:sz w:val="21"/>
                <w:szCs w:val="21"/>
                <w:lang w:bidi="ar"/>
              </w:rPr>
            </w:pPr>
            <w:r>
              <w:rPr>
                <w:rFonts w:hint="eastAsia"/>
                <w:color w:val="auto"/>
                <w:sz w:val="21"/>
                <w:szCs w:val="21"/>
                <w:lang w:bidi="ar"/>
              </w:rPr>
              <w:t>37SFe-8A03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DFB07">
            <w:pPr>
              <w:spacing w:line="240" w:lineRule="auto"/>
              <w:ind w:firstLine="0" w:firstLineChars="0"/>
              <w:jc w:val="center"/>
              <w:textAlignment w:val="center"/>
              <w:rPr>
                <w:color w:val="auto"/>
                <w:sz w:val="21"/>
                <w:szCs w:val="21"/>
                <w:lang w:bidi="ar"/>
              </w:rPr>
            </w:pPr>
            <w:r>
              <w:rPr>
                <w:rFonts w:hint="eastAsia"/>
                <w:color w:val="auto"/>
                <w:sz w:val="21"/>
                <w:szCs w:val="21"/>
                <w:lang w:bidi="ar"/>
              </w:rPr>
              <w:t>0</w:t>
            </w:r>
          </w:p>
        </w:tc>
        <w:tc>
          <w:tcPr>
            <w:tcW w:w="760" w:type="pct"/>
            <w:tcBorders>
              <w:top w:val="single" w:color="000000" w:sz="4" w:space="0"/>
              <w:left w:val="single" w:color="000000" w:sz="4" w:space="0"/>
              <w:bottom w:val="single" w:color="000000" w:sz="4" w:space="0"/>
              <w:right w:val="single" w:color="000000" w:sz="4" w:space="0"/>
            </w:tcBorders>
            <w:shd w:val="clear" w:color="auto" w:fill="auto"/>
          </w:tcPr>
          <w:p w14:paraId="5FC42B56">
            <w:pPr>
              <w:widowControl/>
              <w:spacing w:line="240" w:lineRule="auto"/>
              <w:ind w:firstLine="0" w:firstLineChars="0"/>
              <w:jc w:val="center"/>
              <w:rPr>
                <w:color w:val="auto"/>
                <w:sz w:val="21"/>
                <w:szCs w:val="21"/>
              </w:rPr>
            </w:pPr>
            <w:r>
              <w:rPr>
                <w:rFonts w:hint="eastAsia"/>
                <w:color w:val="auto"/>
                <w:sz w:val="21"/>
                <w:szCs w:val="21"/>
              </w:rPr>
              <w:t>1</w:t>
            </w:r>
          </w:p>
        </w:tc>
        <w:tc>
          <w:tcPr>
            <w:tcW w:w="1273" w:type="pct"/>
            <w:tcBorders>
              <w:top w:val="single" w:color="000000" w:sz="4" w:space="0"/>
              <w:left w:val="single" w:color="000000" w:sz="4" w:space="0"/>
              <w:bottom w:val="single" w:color="000000" w:sz="4" w:space="0"/>
              <w:right w:val="nil"/>
            </w:tcBorders>
            <w:shd w:val="clear" w:color="auto" w:fill="auto"/>
          </w:tcPr>
          <w:p w14:paraId="03BF5C63">
            <w:pPr>
              <w:widowControl/>
              <w:spacing w:line="240" w:lineRule="auto"/>
              <w:ind w:firstLine="0" w:firstLineChars="0"/>
              <w:jc w:val="center"/>
              <w:rPr>
                <w:color w:val="auto"/>
                <w:sz w:val="21"/>
                <w:szCs w:val="21"/>
              </w:rPr>
            </w:pPr>
            <w:r>
              <w:rPr>
                <w:rFonts w:hint="eastAsia"/>
                <w:color w:val="auto"/>
                <w:sz w:val="21"/>
                <w:szCs w:val="21"/>
              </w:rPr>
              <w:t>/</w:t>
            </w:r>
          </w:p>
        </w:tc>
      </w:tr>
      <w:tr w14:paraId="2ED5FCD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12" w:space="0"/>
              <w:right w:val="single" w:color="000000" w:sz="4" w:space="0"/>
            </w:tcBorders>
            <w:shd w:val="clear" w:color="auto" w:fill="auto"/>
          </w:tcPr>
          <w:p w14:paraId="63D401EC">
            <w:pPr>
              <w:widowControl/>
              <w:spacing w:line="240" w:lineRule="auto"/>
              <w:ind w:firstLine="0" w:firstLineChars="0"/>
              <w:jc w:val="center"/>
              <w:rPr>
                <w:color w:val="auto"/>
                <w:sz w:val="21"/>
                <w:szCs w:val="21"/>
              </w:rPr>
            </w:pPr>
            <w:r>
              <w:rPr>
                <w:rFonts w:hint="eastAsia"/>
                <w:color w:val="auto"/>
                <w:sz w:val="21"/>
                <w:szCs w:val="21"/>
              </w:rPr>
              <w:t>10</w:t>
            </w:r>
          </w:p>
        </w:tc>
        <w:tc>
          <w:tcPr>
            <w:tcW w:w="1031"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575AB0D2">
            <w:pPr>
              <w:spacing w:line="240" w:lineRule="auto"/>
              <w:ind w:firstLine="0" w:firstLineChars="0"/>
              <w:jc w:val="center"/>
              <w:rPr>
                <w:rFonts w:cs="宋体"/>
                <w:color w:val="auto"/>
                <w:sz w:val="21"/>
                <w:szCs w:val="21"/>
                <w:lang w:bidi="ar"/>
              </w:rPr>
            </w:pPr>
            <w:r>
              <w:rPr>
                <w:rFonts w:hint="eastAsia" w:cs="宋体"/>
                <w:color w:val="auto"/>
                <w:sz w:val="21"/>
                <w:szCs w:val="21"/>
                <w:lang w:bidi="ar"/>
              </w:rPr>
              <w:t>螺杆式空气压缩机</w:t>
            </w:r>
          </w:p>
        </w:tc>
        <w:tc>
          <w:tcPr>
            <w:tcW w:w="719"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4D3E4C51">
            <w:pPr>
              <w:spacing w:line="240" w:lineRule="auto"/>
              <w:ind w:firstLine="0" w:firstLineChars="0"/>
              <w:jc w:val="center"/>
              <w:textAlignment w:val="center"/>
              <w:rPr>
                <w:color w:val="auto"/>
                <w:sz w:val="21"/>
                <w:szCs w:val="21"/>
                <w:lang w:bidi="ar"/>
              </w:rPr>
            </w:pPr>
            <w:r>
              <w:rPr>
                <w:rFonts w:hint="eastAsia"/>
                <w:color w:val="auto"/>
                <w:sz w:val="21"/>
                <w:szCs w:val="21"/>
                <w:lang w:bidi="ar"/>
              </w:rPr>
              <w:t>15SFe-8A03</w:t>
            </w:r>
          </w:p>
        </w:tc>
        <w:tc>
          <w:tcPr>
            <w:tcW w:w="0" w:type="auto"/>
            <w:tcBorders>
              <w:top w:val="single" w:color="000000" w:sz="4" w:space="0"/>
              <w:left w:val="single" w:color="000000" w:sz="4" w:space="0"/>
              <w:bottom w:val="single" w:color="000000" w:sz="12" w:space="0"/>
              <w:right w:val="single" w:color="000000" w:sz="4" w:space="0"/>
            </w:tcBorders>
            <w:shd w:val="clear" w:color="auto" w:fill="auto"/>
            <w:vAlign w:val="center"/>
          </w:tcPr>
          <w:p w14:paraId="6A02AC12">
            <w:pPr>
              <w:spacing w:line="240" w:lineRule="auto"/>
              <w:ind w:firstLine="0" w:firstLineChars="0"/>
              <w:jc w:val="center"/>
              <w:textAlignment w:val="center"/>
              <w:rPr>
                <w:color w:val="auto"/>
                <w:sz w:val="21"/>
                <w:szCs w:val="21"/>
                <w:lang w:bidi="ar"/>
              </w:rPr>
            </w:pPr>
            <w:r>
              <w:rPr>
                <w:rFonts w:hint="eastAsia"/>
                <w:color w:val="auto"/>
                <w:sz w:val="21"/>
                <w:szCs w:val="21"/>
                <w:lang w:bidi="ar"/>
              </w:rPr>
              <w:t>0</w:t>
            </w:r>
          </w:p>
        </w:tc>
        <w:tc>
          <w:tcPr>
            <w:tcW w:w="760" w:type="pct"/>
            <w:tcBorders>
              <w:top w:val="single" w:color="000000" w:sz="4" w:space="0"/>
              <w:left w:val="single" w:color="000000" w:sz="4" w:space="0"/>
              <w:bottom w:val="single" w:color="000000" w:sz="12" w:space="0"/>
              <w:right w:val="single" w:color="000000" w:sz="4" w:space="0"/>
            </w:tcBorders>
            <w:shd w:val="clear" w:color="auto" w:fill="auto"/>
          </w:tcPr>
          <w:p w14:paraId="039016EB">
            <w:pPr>
              <w:widowControl/>
              <w:spacing w:line="240" w:lineRule="auto"/>
              <w:ind w:firstLine="0" w:firstLineChars="0"/>
              <w:jc w:val="center"/>
              <w:rPr>
                <w:color w:val="auto"/>
                <w:kern w:val="0"/>
                <w:sz w:val="21"/>
                <w:szCs w:val="21"/>
                <w:lang w:bidi="ar"/>
              </w:rPr>
            </w:pPr>
            <w:r>
              <w:rPr>
                <w:rFonts w:hint="eastAsia"/>
                <w:color w:val="auto"/>
                <w:sz w:val="21"/>
                <w:szCs w:val="21"/>
              </w:rPr>
              <w:t>1</w:t>
            </w:r>
          </w:p>
        </w:tc>
        <w:tc>
          <w:tcPr>
            <w:tcW w:w="1273" w:type="pct"/>
            <w:tcBorders>
              <w:top w:val="single" w:color="000000" w:sz="4" w:space="0"/>
              <w:left w:val="single" w:color="000000" w:sz="4" w:space="0"/>
              <w:bottom w:val="single" w:color="000000" w:sz="12" w:space="0"/>
              <w:right w:val="nil"/>
            </w:tcBorders>
            <w:shd w:val="clear" w:color="auto" w:fill="auto"/>
          </w:tcPr>
          <w:p w14:paraId="49CBE9D2">
            <w:pPr>
              <w:widowControl/>
              <w:spacing w:line="240" w:lineRule="auto"/>
              <w:ind w:firstLine="0" w:firstLineChars="0"/>
              <w:jc w:val="center"/>
              <w:rPr>
                <w:color w:val="auto"/>
                <w:kern w:val="0"/>
                <w:sz w:val="21"/>
                <w:szCs w:val="21"/>
                <w:lang w:bidi="ar"/>
              </w:rPr>
            </w:pPr>
            <w:r>
              <w:rPr>
                <w:rFonts w:hint="eastAsia"/>
                <w:color w:val="auto"/>
                <w:sz w:val="21"/>
                <w:szCs w:val="21"/>
              </w:rPr>
              <w:t>/</w:t>
            </w:r>
          </w:p>
        </w:tc>
      </w:tr>
    </w:tbl>
    <w:p w14:paraId="6250F4D4">
      <w:pPr>
        <w:keepNext/>
        <w:keepLines/>
        <w:spacing w:before="120" w:beforeLines="50"/>
        <w:ind w:firstLine="0" w:firstLineChars="0"/>
        <w:outlineLvl w:val="2"/>
        <w:rPr>
          <w:b/>
          <w:bCs/>
          <w:color w:val="auto"/>
          <w:sz w:val="28"/>
          <w:szCs w:val="36"/>
        </w:rPr>
      </w:pPr>
      <w:r>
        <w:rPr>
          <w:b/>
          <w:bCs/>
          <w:color w:val="auto"/>
          <w:sz w:val="28"/>
          <w:szCs w:val="36"/>
        </w:rPr>
        <w:t>3.1.4 现有项目主要原辅料</w:t>
      </w:r>
    </w:p>
    <w:p w14:paraId="56CD6279">
      <w:pPr>
        <w:ind w:firstLine="480"/>
        <w:rPr>
          <w:color w:val="auto"/>
        </w:rPr>
      </w:pPr>
      <w:r>
        <w:rPr>
          <w:rFonts w:hint="eastAsia"/>
          <w:color w:val="auto"/>
        </w:rPr>
        <w:t>由于原环评钢材边框暂未进行建设，现有项目主要原辅料材料消耗情况见表3.1-5。</w:t>
      </w:r>
    </w:p>
    <w:p w14:paraId="2047A6A8">
      <w:pPr>
        <w:spacing w:line="240" w:lineRule="auto"/>
        <w:ind w:firstLine="0" w:firstLineChars="0"/>
        <w:jc w:val="center"/>
        <w:rPr>
          <w:b/>
          <w:color w:val="auto"/>
        </w:rPr>
      </w:pPr>
      <w:r>
        <w:rPr>
          <w:rFonts w:hint="eastAsia" w:cs="宋体"/>
          <w:b/>
          <w:color w:val="auto"/>
          <w:lang w:bidi="ar"/>
        </w:rPr>
        <w:t>表</w:t>
      </w:r>
      <w:r>
        <w:rPr>
          <w:b/>
          <w:color w:val="auto"/>
          <w:lang w:bidi="ar"/>
        </w:rPr>
        <w:t>3.</w:t>
      </w:r>
      <w:r>
        <w:rPr>
          <w:rFonts w:hint="eastAsia"/>
          <w:b/>
          <w:color w:val="auto"/>
          <w:lang w:bidi="ar"/>
        </w:rPr>
        <w:t xml:space="preserve">1-5 </w:t>
      </w:r>
      <w:r>
        <w:rPr>
          <w:b/>
          <w:color w:val="auto"/>
          <w:lang w:bidi="ar"/>
        </w:rPr>
        <w:t xml:space="preserve"> </w:t>
      </w:r>
      <w:r>
        <w:rPr>
          <w:rFonts w:hint="eastAsia" w:cs="宋体"/>
          <w:b/>
          <w:color w:val="auto"/>
          <w:lang w:bidi="ar"/>
        </w:rPr>
        <w:t>主要原辅料消耗情况表</w:t>
      </w:r>
    </w:p>
    <w:tbl>
      <w:tblPr>
        <w:tblStyle w:val="8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4"/>
        <w:gridCol w:w="1653"/>
        <w:gridCol w:w="923"/>
        <w:gridCol w:w="1119"/>
        <w:gridCol w:w="1179"/>
        <w:gridCol w:w="1453"/>
        <w:gridCol w:w="1994"/>
      </w:tblGrid>
      <w:tr w14:paraId="112C6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exact"/>
          <w:jc w:val="center"/>
        </w:trPr>
        <w:tc>
          <w:tcPr>
            <w:tcW w:w="410" w:type="pct"/>
            <w:vMerge w:val="restart"/>
            <w:tcBorders>
              <w:tl2br w:val="nil"/>
              <w:tr2bl w:val="nil"/>
            </w:tcBorders>
            <w:shd w:val="clear" w:color="auto" w:fill="auto"/>
            <w:vAlign w:val="center"/>
          </w:tcPr>
          <w:p w14:paraId="77D147AE">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类别</w:t>
            </w:r>
          </w:p>
        </w:tc>
        <w:tc>
          <w:tcPr>
            <w:tcW w:w="911" w:type="pct"/>
            <w:vMerge w:val="restart"/>
            <w:tcBorders>
              <w:tl2br w:val="nil"/>
              <w:tr2bl w:val="nil"/>
            </w:tcBorders>
            <w:shd w:val="clear" w:color="auto" w:fill="auto"/>
            <w:vAlign w:val="center"/>
          </w:tcPr>
          <w:p w14:paraId="32B7D772">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名称</w:t>
            </w:r>
          </w:p>
        </w:tc>
        <w:tc>
          <w:tcPr>
            <w:tcW w:w="509" w:type="pct"/>
            <w:vMerge w:val="restart"/>
            <w:tcBorders>
              <w:tl2br w:val="nil"/>
              <w:tr2bl w:val="nil"/>
            </w:tcBorders>
            <w:shd w:val="clear" w:color="auto" w:fill="auto"/>
            <w:vAlign w:val="center"/>
          </w:tcPr>
          <w:p w14:paraId="51D1065B">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规格</w:t>
            </w:r>
          </w:p>
        </w:tc>
        <w:tc>
          <w:tcPr>
            <w:tcW w:w="617" w:type="pct"/>
            <w:vMerge w:val="restart"/>
            <w:tcBorders>
              <w:tl2br w:val="nil"/>
              <w:tr2bl w:val="nil"/>
            </w:tcBorders>
            <w:shd w:val="clear" w:color="auto" w:fill="auto"/>
            <w:vAlign w:val="center"/>
          </w:tcPr>
          <w:p w14:paraId="5AEDB802">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单位</w:t>
            </w:r>
          </w:p>
        </w:tc>
        <w:tc>
          <w:tcPr>
            <w:tcW w:w="1451" w:type="pct"/>
            <w:gridSpan w:val="2"/>
            <w:tcBorders>
              <w:tl2br w:val="nil"/>
              <w:tr2bl w:val="nil"/>
            </w:tcBorders>
            <w:shd w:val="clear" w:color="auto" w:fill="auto"/>
            <w:vAlign w:val="center"/>
          </w:tcPr>
          <w:p w14:paraId="6CB91498">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数量</w:t>
            </w:r>
          </w:p>
          <w:p w14:paraId="1357EC54">
            <w:pPr>
              <w:pStyle w:val="80"/>
              <w:spacing w:before="0" w:beforeAutospacing="0" w:after="0" w:afterAutospacing="0"/>
              <w:ind w:firstLine="0" w:firstLineChars="0"/>
              <w:jc w:val="center"/>
              <w:rPr>
                <w:rFonts w:hint="eastAsia"/>
                <w:b/>
                <w:bCs/>
                <w:color w:val="auto"/>
              </w:rPr>
            </w:pPr>
          </w:p>
          <w:p w14:paraId="2F121594">
            <w:pPr>
              <w:pStyle w:val="80"/>
              <w:spacing w:before="0" w:beforeAutospacing="0" w:after="0" w:afterAutospacing="0"/>
              <w:ind w:firstLine="0" w:firstLineChars="0"/>
              <w:jc w:val="center"/>
              <w:rPr>
                <w:rFonts w:hint="eastAsia"/>
                <w:b/>
                <w:bCs/>
                <w:color w:val="auto"/>
              </w:rPr>
            </w:pPr>
          </w:p>
          <w:p w14:paraId="63D2980B">
            <w:pPr>
              <w:pStyle w:val="80"/>
              <w:spacing w:before="0" w:beforeAutospacing="0" w:after="0" w:afterAutospacing="0"/>
              <w:ind w:firstLine="0" w:firstLineChars="0"/>
              <w:jc w:val="center"/>
              <w:rPr>
                <w:rFonts w:hint="eastAsia"/>
                <w:b/>
                <w:bCs/>
                <w:color w:val="auto"/>
              </w:rPr>
            </w:pPr>
          </w:p>
          <w:p w14:paraId="211FD090">
            <w:pPr>
              <w:pStyle w:val="80"/>
              <w:spacing w:before="0" w:beforeAutospacing="0" w:after="0" w:afterAutospacing="0"/>
              <w:ind w:firstLine="0" w:firstLineChars="0"/>
              <w:jc w:val="center"/>
              <w:rPr>
                <w:rFonts w:hint="eastAsia"/>
                <w:b/>
                <w:bCs/>
                <w:color w:val="auto"/>
              </w:rPr>
            </w:pPr>
          </w:p>
          <w:p w14:paraId="5C90F3BC">
            <w:pPr>
              <w:pStyle w:val="80"/>
              <w:spacing w:before="0" w:beforeAutospacing="0" w:after="0" w:afterAutospacing="0"/>
              <w:ind w:firstLine="0" w:firstLineChars="0"/>
              <w:jc w:val="center"/>
              <w:rPr>
                <w:rFonts w:hint="eastAsia"/>
                <w:b/>
                <w:bCs/>
                <w:color w:val="auto"/>
              </w:rPr>
            </w:pPr>
          </w:p>
        </w:tc>
        <w:tc>
          <w:tcPr>
            <w:tcW w:w="1099" w:type="pct"/>
            <w:vMerge w:val="restart"/>
            <w:tcBorders>
              <w:tl2br w:val="nil"/>
              <w:tr2bl w:val="nil"/>
            </w:tcBorders>
            <w:shd w:val="clear" w:color="auto" w:fill="auto"/>
            <w:vAlign w:val="center"/>
          </w:tcPr>
          <w:p w14:paraId="3FE361D1">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备注</w:t>
            </w:r>
          </w:p>
        </w:tc>
      </w:tr>
      <w:tr w14:paraId="7B421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410" w:type="pct"/>
            <w:vMerge w:val="continue"/>
            <w:tcBorders>
              <w:tl2br w:val="nil"/>
              <w:tr2bl w:val="nil"/>
            </w:tcBorders>
            <w:shd w:val="clear" w:color="auto" w:fill="auto"/>
            <w:vAlign w:val="center"/>
          </w:tcPr>
          <w:p w14:paraId="6F461E2D">
            <w:pPr>
              <w:spacing w:line="240" w:lineRule="auto"/>
              <w:ind w:firstLine="0" w:firstLineChars="0"/>
              <w:jc w:val="center"/>
              <w:rPr>
                <w:color w:val="auto"/>
                <w:sz w:val="20"/>
                <w:szCs w:val="20"/>
              </w:rPr>
            </w:pPr>
          </w:p>
        </w:tc>
        <w:tc>
          <w:tcPr>
            <w:tcW w:w="911" w:type="pct"/>
            <w:vMerge w:val="continue"/>
            <w:tcBorders>
              <w:tl2br w:val="nil"/>
              <w:tr2bl w:val="nil"/>
            </w:tcBorders>
            <w:shd w:val="clear" w:color="auto" w:fill="auto"/>
            <w:vAlign w:val="center"/>
          </w:tcPr>
          <w:p w14:paraId="70008D3F">
            <w:pPr>
              <w:spacing w:line="240" w:lineRule="auto"/>
              <w:ind w:firstLine="0" w:firstLineChars="0"/>
              <w:jc w:val="center"/>
              <w:rPr>
                <w:color w:val="auto"/>
                <w:sz w:val="20"/>
                <w:szCs w:val="20"/>
              </w:rPr>
            </w:pPr>
          </w:p>
        </w:tc>
        <w:tc>
          <w:tcPr>
            <w:tcW w:w="509" w:type="pct"/>
            <w:vMerge w:val="continue"/>
            <w:tcBorders>
              <w:tl2br w:val="nil"/>
              <w:tr2bl w:val="nil"/>
            </w:tcBorders>
            <w:shd w:val="clear" w:color="auto" w:fill="auto"/>
            <w:vAlign w:val="center"/>
          </w:tcPr>
          <w:p w14:paraId="60378F1D">
            <w:pPr>
              <w:spacing w:line="240" w:lineRule="auto"/>
              <w:ind w:firstLine="0" w:firstLineChars="0"/>
              <w:jc w:val="center"/>
              <w:rPr>
                <w:color w:val="auto"/>
                <w:sz w:val="20"/>
                <w:szCs w:val="20"/>
              </w:rPr>
            </w:pPr>
          </w:p>
        </w:tc>
        <w:tc>
          <w:tcPr>
            <w:tcW w:w="617" w:type="pct"/>
            <w:vMerge w:val="continue"/>
            <w:tcBorders>
              <w:tl2br w:val="nil"/>
              <w:tr2bl w:val="nil"/>
            </w:tcBorders>
            <w:shd w:val="clear" w:color="auto" w:fill="auto"/>
            <w:vAlign w:val="center"/>
          </w:tcPr>
          <w:p w14:paraId="4E7A34A9">
            <w:pPr>
              <w:spacing w:line="240" w:lineRule="auto"/>
              <w:ind w:firstLine="0" w:firstLineChars="0"/>
              <w:jc w:val="center"/>
              <w:rPr>
                <w:color w:val="auto"/>
                <w:sz w:val="20"/>
                <w:szCs w:val="20"/>
              </w:rPr>
            </w:pPr>
          </w:p>
        </w:tc>
        <w:tc>
          <w:tcPr>
            <w:tcW w:w="650" w:type="pct"/>
            <w:tcBorders>
              <w:tl2br w:val="nil"/>
              <w:tr2bl w:val="nil"/>
            </w:tcBorders>
            <w:shd w:val="clear" w:color="auto" w:fill="auto"/>
            <w:vAlign w:val="center"/>
          </w:tcPr>
          <w:p w14:paraId="41430B2A">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环评用量</w:t>
            </w:r>
          </w:p>
        </w:tc>
        <w:tc>
          <w:tcPr>
            <w:tcW w:w="801" w:type="pct"/>
            <w:tcBorders>
              <w:tl2br w:val="nil"/>
              <w:tr2bl w:val="nil"/>
            </w:tcBorders>
            <w:shd w:val="clear" w:color="auto" w:fill="auto"/>
            <w:vAlign w:val="center"/>
          </w:tcPr>
          <w:p w14:paraId="441026F2">
            <w:pPr>
              <w:pStyle w:val="80"/>
              <w:spacing w:before="0" w:beforeAutospacing="0" w:after="0" w:afterAutospacing="0"/>
              <w:ind w:firstLine="0" w:firstLineChars="0"/>
              <w:jc w:val="center"/>
              <w:rPr>
                <w:rFonts w:hint="eastAsia"/>
                <w:b/>
                <w:bCs/>
                <w:color w:val="auto"/>
              </w:rPr>
            </w:pPr>
            <w:r>
              <w:rPr>
                <w:rFonts w:hint="eastAsia" w:ascii="Times New Roman" w:hAnsi="Times New Roman" w:cs="宋体"/>
                <w:b/>
                <w:bCs/>
                <w:color w:val="auto"/>
                <w:szCs w:val="21"/>
                <w:lang w:bidi="ar"/>
              </w:rPr>
              <w:t>本期实际用量</w:t>
            </w:r>
          </w:p>
        </w:tc>
        <w:tc>
          <w:tcPr>
            <w:tcW w:w="1099" w:type="pct"/>
            <w:vMerge w:val="continue"/>
            <w:tcBorders>
              <w:tl2br w:val="nil"/>
              <w:tr2bl w:val="nil"/>
            </w:tcBorders>
            <w:shd w:val="clear" w:color="auto" w:fill="auto"/>
            <w:vAlign w:val="center"/>
          </w:tcPr>
          <w:p w14:paraId="3AB2DFD7">
            <w:pPr>
              <w:spacing w:line="240" w:lineRule="auto"/>
              <w:ind w:firstLine="0" w:firstLineChars="0"/>
              <w:jc w:val="center"/>
              <w:rPr>
                <w:color w:val="auto"/>
                <w:sz w:val="20"/>
                <w:szCs w:val="20"/>
              </w:rPr>
            </w:pPr>
          </w:p>
        </w:tc>
      </w:tr>
      <w:tr w14:paraId="2F268A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3" w:hRule="exact"/>
          <w:jc w:val="center"/>
        </w:trPr>
        <w:tc>
          <w:tcPr>
            <w:tcW w:w="410" w:type="pct"/>
            <w:vMerge w:val="restart"/>
            <w:tcBorders>
              <w:tl2br w:val="nil"/>
              <w:tr2bl w:val="nil"/>
            </w:tcBorders>
            <w:shd w:val="clear" w:color="auto" w:fill="auto"/>
            <w:vAlign w:val="center"/>
          </w:tcPr>
          <w:p w14:paraId="30A05FCB">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原辅料</w:t>
            </w:r>
          </w:p>
        </w:tc>
        <w:tc>
          <w:tcPr>
            <w:tcW w:w="911" w:type="pct"/>
            <w:tcBorders>
              <w:tl2br w:val="nil"/>
              <w:tr2bl w:val="nil"/>
            </w:tcBorders>
            <w:shd w:val="clear" w:color="auto" w:fill="auto"/>
            <w:vAlign w:val="center"/>
          </w:tcPr>
          <w:p w14:paraId="1387CE48">
            <w:pPr>
              <w:pStyle w:val="80"/>
              <w:spacing w:before="0" w:beforeAutospacing="0" w:afterAutospacing="0"/>
              <w:ind w:firstLine="0" w:firstLineChars="0"/>
              <w:jc w:val="center"/>
              <w:rPr>
                <w:rFonts w:ascii="Times New Roman" w:hAnsi="Times New Roman"/>
                <w:color w:val="auto"/>
                <w:szCs w:val="21"/>
              </w:rPr>
            </w:pPr>
            <w:r>
              <w:rPr>
                <w:rFonts w:ascii="Times New Roman" w:hAnsi="Times New Roman"/>
                <w:color w:val="auto"/>
                <w:szCs w:val="21"/>
              </w:rPr>
              <w:t>钢材</w:t>
            </w:r>
          </w:p>
        </w:tc>
        <w:tc>
          <w:tcPr>
            <w:tcW w:w="509" w:type="pct"/>
            <w:tcBorders>
              <w:tl2br w:val="nil"/>
              <w:tr2bl w:val="nil"/>
            </w:tcBorders>
            <w:shd w:val="clear" w:color="auto" w:fill="auto"/>
            <w:vAlign w:val="center"/>
          </w:tcPr>
          <w:p w14:paraId="5C016A55">
            <w:pPr>
              <w:spacing w:line="240" w:lineRule="auto"/>
              <w:ind w:firstLine="0" w:firstLineChars="0"/>
              <w:jc w:val="center"/>
              <w:rPr>
                <w:color w:val="auto"/>
                <w:szCs w:val="21"/>
              </w:rPr>
            </w:pPr>
            <w:r>
              <w:rPr>
                <w:color w:val="auto"/>
                <w:sz w:val="21"/>
                <w:szCs w:val="21"/>
                <w:lang w:bidi="ar"/>
              </w:rPr>
              <w:t>0.8mm</w:t>
            </w:r>
          </w:p>
        </w:tc>
        <w:tc>
          <w:tcPr>
            <w:tcW w:w="617" w:type="pct"/>
            <w:tcBorders>
              <w:tl2br w:val="nil"/>
              <w:tr2bl w:val="nil"/>
            </w:tcBorders>
            <w:shd w:val="clear" w:color="auto" w:fill="auto"/>
            <w:vAlign w:val="center"/>
          </w:tcPr>
          <w:p w14:paraId="3D593857">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吨</w:t>
            </w:r>
            <w:r>
              <w:rPr>
                <w:rFonts w:ascii="Times New Roman" w:hAnsi="Times New Roman"/>
                <w:color w:val="auto"/>
                <w:szCs w:val="21"/>
                <w:lang w:bidi="ar"/>
              </w:rPr>
              <w:t>/</w:t>
            </w:r>
            <w:r>
              <w:rPr>
                <w:rFonts w:hint="eastAsia" w:ascii="Times New Roman" w:hAnsi="Times New Roman" w:cs="宋体"/>
                <w:color w:val="auto"/>
                <w:szCs w:val="21"/>
                <w:lang w:bidi="ar"/>
              </w:rPr>
              <w:t>年</w:t>
            </w:r>
          </w:p>
        </w:tc>
        <w:tc>
          <w:tcPr>
            <w:tcW w:w="650" w:type="pct"/>
            <w:tcBorders>
              <w:tl2br w:val="nil"/>
              <w:tr2bl w:val="nil"/>
            </w:tcBorders>
            <w:shd w:val="clear" w:color="auto" w:fill="auto"/>
            <w:vAlign w:val="center"/>
          </w:tcPr>
          <w:p w14:paraId="22D325F1">
            <w:pPr>
              <w:spacing w:line="240" w:lineRule="auto"/>
              <w:ind w:firstLine="0" w:firstLineChars="0"/>
              <w:jc w:val="center"/>
              <w:rPr>
                <w:color w:val="auto"/>
                <w:szCs w:val="21"/>
              </w:rPr>
            </w:pPr>
            <w:r>
              <w:rPr>
                <w:color w:val="auto"/>
                <w:sz w:val="21"/>
                <w:szCs w:val="21"/>
                <w:lang w:bidi="ar"/>
              </w:rPr>
              <w:t>2700</w:t>
            </w:r>
          </w:p>
        </w:tc>
        <w:tc>
          <w:tcPr>
            <w:tcW w:w="801" w:type="pct"/>
            <w:tcBorders>
              <w:tl2br w:val="nil"/>
              <w:tr2bl w:val="nil"/>
            </w:tcBorders>
            <w:shd w:val="clear" w:color="auto" w:fill="auto"/>
            <w:vAlign w:val="center"/>
          </w:tcPr>
          <w:p w14:paraId="19635B35">
            <w:pPr>
              <w:widowControl/>
              <w:spacing w:line="240" w:lineRule="auto"/>
              <w:ind w:firstLine="0" w:firstLineChars="0"/>
              <w:jc w:val="center"/>
              <w:rPr>
                <w:color w:val="auto"/>
              </w:rPr>
            </w:pPr>
            <w:r>
              <w:rPr>
                <w:rFonts w:hAnsi="宋体" w:cs="宋体"/>
                <w:color w:val="auto"/>
              </w:rPr>
              <w:t>0</w:t>
            </w:r>
          </w:p>
        </w:tc>
        <w:tc>
          <w:tcPr>
            <w:tcW w:w="1099" w:type="pct"/>
            <w:tcBorders>
              <w:tl2br w:val="nil"/>
              <w:tr2bl w:val="nil"/>
            </w:tcBorders>
            <w:shd w:val="clear" w:color="auto" w:fill="auto"/>
            <w:vAlign w:val="center"/>
          </w:tcPr>
          <w:p w14:paraId="13AEACC4">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未建设</w:t>
            </w:r>
          </w:p>
        </w:tc>
      </w:tr>
      <w:tr w14:paraId="7591BA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3" w:hRule="exact"/>
          <w:jc w:val="center"/>
        </w:trPr>
        <w:tc>
          <w:tcPr>
            <w:tcW w:w="410" w:type="pct"/>
            <w:vMerge w:val="continue"/>
            <w:tcBorders>
              <w:tl2br w:val="nil"/>
              <w:tr2bl w:val="nil"/>
            </w:tcBorders>
            <w:shd w:val="clear" w:color="auto" w:fill="auto"/>
            <w:vAlign w:val="center"/>
          </w:tcPr>
          <w:p w14:paraId="74A141DD">
            <w:pPr>
              <w:spacing w:line="240" w:lineRule="auto"/>
              <w:ind w:firstLine="0" w:firstLineChars="0"/>
              <w:jc w:val="center"/>
              <w:rPr>
                <w:color w:val="auto"/>
                <w:sz w:val="20"/>
                <w:szCs w:val="20"/>
              </w:rPr>
            </w:pPr>
          </w:p>
        </w:tc>
        <w:tc>
          <w:tcPr>
            <w:tcW w:w="911" w:type="pct"/>
            <w:tcBorders>
              <w:tl2br w:val="nil"/>
              <w:tr2bl w:val="nil"/>
            </w:tcBorders>
            <w:shd w:val="clear" w:color="auto" w:fill="auto"/>
            <w:vAlign w:val="center"/>
          </w:tcPr>
          <w:p w14:paraId="6968B365">
            <w:pPr>
              <w:pStyle w:val="80"/>
              <w:spacing w:before="0" w:beforeAutospacing="0" w:afterAutospacing="0"/>
              <w:ind w:firstLine="0" w:firstLineChars="0"/>
              <w:jc w:val="center"/>
              <w:rPr>
                <w:rFonts w:ascii="Times New Roman" w:hAnsi="Times New Roman"/>
                <w:color w:val="auto"/>
                <w:szCs w:val="21"/>
              </w:rPr>
            </w:pPr>
            <w:r>
              <w:rPr>
                <w:rFonts w:ascii="Times New Roman" w:hAnsi="Times New Roman"/>
                <w:color w:val="auto"/>
                <w:szCs w:val="21"/>
              </w:rPr>
              <w:t>铝材</w:t>
            </w:r>
          </w:p>
        </w:tc>
        <w:tc>
          <w:tcPr>
            <w:tcW w:w="509" w:type="pct"/>
            <w:tcBorders>
              <w:tl2br w:val="nil"/>
              <w:tr2bl w:val="nil"/>
            </w:tcBorders>
            <w:shd w:val="clear" w:color="auto" w:fill="auto"/>
            <w:vAlign w:val="center"/>
          </w:tcPr>
          <w:p w14:paraId="70B70A1F">
            <w:pPr>
              <w:spacing w:line="240" w:lineRule="auto"/>
              <w:ind w:firstLine="0" w:firstLineChars="0"/>
              <w:jc w:val="center"/>
              <w:rPr>
                <w:color w:val="auto"/>
                <w:szCs w:val="21"/>
              </w:rPr>
            </w:pPr>
            <w:r>
              <w:rPr>
                <w:color w:val="auto"/>
                <w:sz w:val="21"/>
                <w:szCs w:val="21"/>
                <w:lang w:bidi="ar"/>
              </w:rPr>
              <w:t>1</w:t>
            </w:r>
            <w:r>
              <w:rPr>
                <w:rFonts w:hint="eastAsia"/>
                <w:color w:val="auto"/>
                <w:sz w:val="21"/>
                <w:szCs w:val="21"/>
                <w:lang w:bidi="ar"/>
              </w:rPr>
              <w:t>—</w:t>
            </w:r>
            <w:r>
              <w:rPr>
                <w:color w:val="auto"/>
                <w:sz w:val="21"/>
                <w:szCs w:val="21"/>
                <w:lang w:bidi="ar"/>
              </w:rPr>
              <w:t>4mm</w:t>
            </w:r>
          </w:p>
        </w:tc>
        <w:tc>
          <w:tcPr>
            <w:tcW w:w="617" w:type="pct"/>
            <w:tcBorders>
              <w:tl2br w:val="nil"/>
              <w:tr2bl w:val="nil"/>
            </w:tcBorders>
            <w:shd w:val="clear" w:color="auto" w:fill="auto"/>
            <w:vAlign w:val="center"/>
          </w:tcPr>
          <w:p w14:paraId="390C3EB3">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吨</w:t>
            </w:r>
            <w:r>
              <w:rPr>
                <w:rFonts w:ascii="Times New Roman" w:hAnsi="Times New Roman"/>
                <w:color w:val="auto"/>
                <w:szCs w:val="21"/>
                <w:lang w:bidi="ar"/>
              </w:rPr>
              <w:t>/</w:t>
            </w:r>
            <w:r>
              <w:rPr>
                <w:rFonts w:hint="eastAsia" w:ascii="Times New Roman" w:hAnsi="Times New Roman" w:cs="宋体"/>
                <w:color w:val="auto"/>
                <w:szCs w:val="21"/>
                <w:lang w:bidi="ar"/>
              </w:rPr>
              <w:t>年</w:t>
            </w:r>
          </w:p>
        </w:tc>
        <w:tc>
          <w:tcPr>
            <w:tcW w:w="650" w:type="pct"/>
            <w:tcBorders>
              <w:tl2br w:val="nil"/>
              <w:tr2bl w:val="nil"/>
            </w:tcBorders>
            <w:shd w:val="clear" w:color="auto" w:fill="auto"/>
            <w:vAlign w:val="center"/>
          </w:tcPr>
          <w:p w14:paraId="25CE212F">
            <w:pPr>
              <w:spacing w:line="240" w:lineRule="auto"/>
              <w:ind w:firstLine="0" w:firstLineChars="0"/>
              <w:jc w:val="center"/>
              <w:rPr>
                <w:color w:val="auto"/>
                <w:szCs w:val="21"/>
              </w:rPr>
            </w:pPr>
            <w:r>
              <w:rPr>
                <w:color w:val="auto"/>
                <w:sz w:val="21"/>
                <w:szCs w:val="21"/>
                <w:lang w:bidi="ar"/>
              </w:rPr>
              <w:t>5000</w:t>
            </w:r>
          </w:p>
        </w:tc>
        <w:tc>
          <w:tcPr>
            <w:tcW w:w="801" w:type="pct"/>
            <w:tcBorders>
              <w:tl2br w:val="nil"/>
              <w:tr2bl w:val="nil"/>
            </w:tcBorders>
            <w:shd w:val="clear" w:color="auto" w:fill="auto"/>
            <w:vAlign w:val="center"/>
          </w:tcPr>
          <w:p w14:paraId="6FDBDED7">
            <w:pPr>
              <w:widowControl/>
              <w:spacing w:line="240" w:lineRule="auto"/>
              <w:ind w:firstLine="0" w:firstLineChars="0"/>
              <w:jc w:val="center"/>
              <w:rPr>
                <w:color w:val="auto"/>
              </w:rPr>
            </w:pPr>
            <w:r>
              <w:rPr>
                <w:rFonts w:hAnsi="宋体" w:cs="宋体"/>
                <w:color w:val="auto"/>
              </w:rPr>
              <w:t>3750</w:t>
            </w:r>
          </w:p>
        </w:tc>
        <w:tc>
          <w:tcPr>
            <w:tcW w:w="1099" w:type="pct"/>
            <w:tcBorders>
              <w:tl2br w:val="nil"/>
              <w:tr2bl w:val="nil"/>
            </w:tcBorders>
            <w:shd w:val="clear" w:color="auto" w:fill="auto"/>
            <w:vAlign w:val="center"/>
          </w:tcPr>
          <w:p w14:paraId="6100C4FB">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减少</w:t>
            </w:r>
          </w:p>
        </w:tc>
      </w:tr>
      <w:tr w14:paraId="7E5EE7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3" w:hRule="exact"/>
          <w:jc w:val="center"/>
        </w:trPr>
        <w:tc>
          <w:tcPr>
            <w:tcW w:w="410" w:type="pct"/>
            <w:vMerge w:val="continue"/>
            <w:tcBorders>
              <w:tl2br w:val="nil"/>
              <w:tr2bl w:val="nil"/>
            </w:tcBorders>
            <w:shd w:val="clear" w:color="auto" w:fill="auto"/>
            <w:vAlign w:val="center"/>
          </w:tcPr>
          <w:p w14:paraId="729F7CBA">
            <w:pPr>
              <w:spacing w:line="240" w:lineRule="auto"/>
              <w:ind w:firstLine="0" w:firstLineChars="0"/>
              <w:jc w:val="center"/>
              <w:rPr>
                <w:color w:val="auto"/>
                <w:sz w:val="20"/>
                <w:szCs w:val="20"/>
              </w:rPr>
            </w:pPr>
          </w:p>
        </w:tc>
        <w:tc>
          <w:tcPr>
            <w:tcW w:w="911" w:type="pct"/>
            <w:tcBorders>
              <w:tl2br w:val="nil"/>
              <w:tr2bl w:val="nil"/>
            </w:tcBorders>
            <w:shd w:val="clear" w:color="auto" w:fill="auto"/>
            <w:vAlign w:val="center"/>
          </w:tcPr>
          <w:p w14:paraId="6B80D07F">
            <w:pPr>
              <w:pStyle w:val="80"/>
              <w:spacing w:before="0" w:beforeAutospacing="0" w:afterAutospacing="0"/>
              <w:ind w:firstLine="0" w:firstLineChars="0"/>
              <w:jc w:val="center"/>
              <w:rPr>
                <w:rFonts w:ascii="Times New Roman" w:hAnsi="Times New Roman"/>
                <w:color w:val="auto"/>
                <w:szCs w:val="21"/>
              </w:rPr>
            </w:pPr>
            <w:r>
              <w:rPr>
                <w:rFonts w:ascii="Times New Roman" w:hAnsi="Times New Roman"/>
                <w:color w:val="auto"/>
                <w:szCs w:val="21"/>
              </w:rPr>
              <w:t>机油</w:t>
            </w:r>
          </w:p>
        </w:tc>
        <w:tc>
          <w:tcPr>
            <w:tcW w:w="509" w:type="pct"/>
            <w:tcBorders>
              <w:tl2br w:val="nil"/>
              <w:tr2bl w:val="nil"/>
            </w:tcBorders>
            <w:shd w:val="clear" w:color="auto" w:fill="auto"/>
            <w:vAlign w:val="center"/>
          </w:tcPr>
          <w:p w14:paraId="47CB8BC0">
            <w:pPr>
              <w:spacing w:line="240" w:lineRule="auto"/>
              <w:ind w:firstLine="0" w:firstLineChars="0"/>
              <w:jc w:val="center"/>
              <w:rPr>
                <w:color w:val="auto"/>
                <w:szCs w:val="21"/>
              </w:rPr>
            </w:pPr>
            <w:r>
              <w:rPr>
                <w:color w:val="auto"/>
                <w:sz w:val="21"/>
                <w:szCs w:val="21"/>
                <w:lang w:bidi="ar"/>
              </w:rPr>
              <w:t>8#</w:t>
            </w:r>
            <w:r>
              <w:rPr>
                <w:rFonts w:hint="eastAsia" w:cs="宋体"/>
                <w:color w:val="auto"/>
                <w:sz w:val="21"/>
                <w:szCs w:val="21"/>
                <w:lang w:bidi="ar"/>
              </w:rPr>
              <w:t>机油</w:t>
            </w:r>
          </w:p>
        </w:tc>
        <w:tc>
          <w:tcPr>
            <w:tcW w:w="617" w:type="pct"/>
            <w:tcBorders>
              <w:tl2br w:val="nil"/>
              <w:tr2bl w:val="nil"/>
            </w:tcBorders>
            <w:shd w:val="clear" w:color="auto" w:fill="auto"/>
            <w:vAlign w:val="center"/>
          </w:tcPr>
          <w:p w14:paraId="66BD2914">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吨</w:t>
            </w:r>
            <w:r>
              <w:rPr>
                <w:rFonts w:ascii="Times New Roman" w:hAnsi="Times New Roman"/>
                <w:color w:val="auto"/>
                <w:szCs w:val="21"/>
                <w:lang w:bidi="ar"/>
              </w:rPr>
              <w:t>/</w:t>
            </w:r>
            <w:r>
              <w:rPr>
                <w:rFonts w:hint="eastAsia" w:ascii="Times New Roman" w:hAnsi="Times New Roman" w:cs="宋体"/>
                <w:color w:val="auto"/>
                <w:szCs w:val="21"/>
                <w:lang w:bidi="ar"/>
              </w:rPr>
              <w:t>年</w:t>
            </w:r>
          </w:p>
        </w:tc>
        <w:tc>
          <w:tcPr>
            <w:tcW w:w="650" w:type="pct"/>
            <w:tcBorders>
              <w:tl2br w:val="nil"/>
              <w:tr2bl w:val="nil"/>
            </w:tcBorders>
            <w:shd w:val="clear" w:color="auto" w:fill="auto"/>
            <w:vAlign w:val="center"/>
          </w:tcPr>
          <w:p w14:paraId="01DDC66D">
            <w:pPr>
              <w:spacing w:line="240" w:lineRule="auto"/>
              <w:ind w:firstLine="0" w:firstLineChars="0"/>
              <w:jc w:val="center"/>
              <w:rPr>
                <w:color w:val="auto"/>
                <w:szCs w:val="21"/>
              </w:rPr>
            </w:pPr>
            <w:r>
              <w:rPr>
                <w:color w:val="auto"/>
                <w:sz w:val="21"/>
                <w:szCs w:val="21"/>
                <w:lang w:bidi="ar"/>
              </w:rPr>
              <w:t>0.3</w:t>
            </w:r>
          </w:p>
        </w:tc>
        <w:tc>
          <w:tcPr>
            <w:tcW w:w="801" w:type="pct"/>
            <w:tcBorders>
              <w:tl2br w:val="nil"/>
              <w:tr2bl w:val="nil"/>
            </w:tcBorders>
            <w:shd w:val="clear" w:color="auto" w:fill="auto"/>
            <w:vAlign w:val="center"/>
          </w:tcPr>
          <w:p w14:paraId="3411F520">
            <w:pPr>
              <w:widowControl/>
              <w:spacing w:line="240" w:lineRule="auto"/>
              <w:ind w:firstLine="0" w:firstLineChars="0"/>
              <w:jc w:val="center"/>
              <w:rPr>
                <w:color w:val="auto"/>
              </w:rPr>
            </w:pPr>
            <w:r>
              <w:rPr>
                <w:rFonts w:hAnsi="宋体" w:cs="宋体"/>
                <w:color w:val="auto"/>
              </w:rPr>
              <w:t>0.2</w:t>
            </w:r>
          </w:p>
        </w:tc>
        <w:tc>
          <w:tcPr>
            <w:tcW w:w="1099" w:type="pct"/>
            <w:tcBorders>
              <w:tl2br w:val="nil"/>
              <w:tr2bl w:val="nil"/>
            </w:tcBorders>
            <w:shd w:val="clear" w:color="auto" w:fill="auto"/>
            <w:vAlign w:val="center"/>
          </w:tcPr>
          <w:p w14:paraId="2FF5A8F1">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减少</w:t>
            </w:r>
          </w:p>
        </w:tc>
      </w:tr>
      <w:tr w14:paraId="4518D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410" w:type="pct"/>
            <w:vMerge w:val="restart"/>
            <w:tcBorders>
              <w:tl2br w:val="nil"/>
              <w:tr2bl w:val="nil"/>
            </w:tcBorders>
            <w:shd w:val="clear" w:color="auto" w:fill="auto"/>
            <w:vAlign w:val="center"/>
          </w:tcPr>
          <w:p w14:paraId="19E93A00">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能源</w:t>
            </w:r>
          </w:p>
        </w:tc>
        <w:tc>
          <w:tcPr>
            <w:tcW w:w="911" w:type="pct"/>
            <w:tcBorders>
              <w:tl2br w:val="nil"/>
              <w:tr2bl w:val="nil"/>
            </w:tcBorders>
            <w:shd w:val="clear" w:color="auto" w:fill="auto"/>
            <w:vAlign w:val="center"/>
          </w:tcPr>
          <w:p w14:paraId="2362C720">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水</w:t>
            </w:r>
          </w:p>
        </w:tc>
        <w:tc>
          <w:tcPr>
            <w:tcW w:w="509" w:type="pct"/>
            <w:tcBorders>
              <w:tl2br w:val="nil"/>
              <w:tr2bl w:val="nil"/>
            </w:tcBorders>
            <w:shd w:val="clear" w:color="auto" w:fill="auto"/>
            <w:vAlign w:val="center"/>
          </w:tcPr>
          <w:p w14:paraId="1F7DE826">
            <w:pPr>
              <w:pStyle w:val="80"/>
              <w:spacing w:before="0" w:beforeAutospacing="0" w:after="0" w:afterAutospacing="0"/>
              <w:ind w:firstLine="0" w:firstLineChars="0"/>
              <w:jc w:val="center"/>
              <w:rPr>
                <w:rFonts w:hint="eastAsia"/>
                <w:color w:val="auto"/>
              </w:rPr>
            </w:pPr>
            <w:r>
              <w:rPr>
                <w:rFonts w:ascii="Times New Roman" w:hAnsi="Times New Roman"/>
                <w:color w:val="auto"/>
                <w:szCs w:val="21"/>
                <w:lang w:bidi="ar"/>
              </w:rPr>
              <w:t>/</w:t>
            </w:r>
          </w:p>
        </w:tc>
        <w:tc>
          <w:tcPr>
            <w:tcW w:w="617" w:type="pct"/>
            <w:tcBorders>
              <w:tl2br w:val="nil"/>
              <w:tr2bl w:val="nil"/>
            </w:tcBorders>
            <w:shd w:val="clear" w:color="auto" w:fill="auto"/>
            <w:vAlign w:val="center"/>
          </w:tcPr>
          <w:p w14:paraId="3C3FC542">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吨</w:t>
            </w:r>
            <w:r>
              <w:rPr>
                <w:rFonts w:ascii="Times New Roman" w:hAnsi="Times New Roman"/>
                <w:color w:val="auto"/>
                <w:szCs w:val="21"/>
                <w:lang w:bidi="ar"/>
              </w:rPr>
              <w:t>/</w:t>
            </w:r>
            <w:r>
              <w:rPr>
                <w:rFonts w:hint="eastAsia" w:ascii="Times New Roman" w:hAnsi="Times New Roman" w:cs="宋体"/>
                <w:color w:val="auto"/>
                <w:szCs w:val="21"/>
                <w:lang w:bidi="ar"/>
              </w:rPr>
              <w:t>年</w:t>
            </w:r>
          </w:p>
        </w:tc>
        <w:tc>
          <w:tcPr>
            <w:tcW w:w="650" w:type="pct"/>
            <w:tcBorders>
              <w:tl2br w:val="nil"/>
              <w:tr2bl w:val="nil"/>
            </w:tcBorders>
            <w:shd w:val="clear" w:color="auto" w:fill="auto"/>
            <w:vAlign w:val="center"/>
          </w:tcPr>
          <w:p w14:paraId="757F4B71">
            <w:pPr>
              <w:pStyle w:val="80"/>
              <w:spacing w:before="0" w:beforeAutospacing="0" w:after="0" w:afterAutospacing="0"/>
              <w:ind w:firstLine="0" w:firstLineChars="0"/>
              <w:jc w:val="center"/>
              <w:rPr>
                <w:rFonts w:hint="eastAsia"/>
                <w:color w:val="auto"/>
              </w:rPr>
            </w:pPr>
            <w:r>
              <w:rPr>
                <w:rFonts w:ascii="Times New Roman" w:hAnsi="Times New Roman"/>
                <w:color w:val="auto"/>
                <w:szCs w:val="21"/>
                <w:lang w:bidi="ar"/>
              </w:rPr>
              <w:t>300</w:t>
            </w:r>
          </w:p>
        </w:tc>
        <w:tc>
          <w:tcPr>
            <w:tcW w:w="801" w:type="pct"/>
            <w:tcBorders>
              <w:tl2br w:val="nil"/>
              <w:tr2bl w:val="nil"/>
            </w:tcBorders>
            <w:shd w:val="clear" w:color="auto" w:fill="auto"/>
            <w:vAlign w:val="center"/>
          </w:tcPr>
          <w:p w14:paraId="2F7E1F6B">
            <w:pPr>
              <w:pStyle w:val="80"/>
              <w:spacing w:before="0" w:beforeAutospacing="0" w:after="0" w:afterAutospacing="0"/>
              <w:ind w:firstLine="0" w:firstLineChars="0"/>
              <w:jc w:val="center"/>
              <w:rPr>
                <w:rFonts w:hint="eastAsia"/>
                <w:color w:val="auto"/>
              </w:rPr>
            </w:pPr>
            <w:r>
              <w:rPr>
                <w:rFonts w:ascii="Times New Roman" w:hAnsi="Times New Roman"/>
                <w:color w:val="auto"/>
                <w:szCs w:val="21"/>
                <w:lang w:bidi="ar"/>
              </w:rPr>
              <w:t>300</w:t>
            </w:r>
          </w:p>
        </w:tc>
        <w:tc>
          <w:tcPr>
            <w:tcW w:w="1099" w:type="pct"/>
            <w:tcBorders>
              <w:tl2br w:val="nil"/>
              <w:tr2bl w:val="nil"/>
            </w:tcBorders>
            <w:shd w:val="clear" w:color="auto" w:fill="auto"/>
            <w:vAlign w:val="center"/>
          </w:tcPr>
          <w:p w14:paraId="14881EF8">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生活用水，因人才储备需求，员工定员未减少</w:t>
            </w:r>
          </w:p>
        </w:tc>
      </w:tr>
      <w:tr w14:paraId="5D08E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410" w:type="pct"/>
            <w:vMerge w:val="continue"/>
            <w:tcBorders>
              <w:tl2br w:val="nil"/>
              <w:tr2bl w:val="nil"/>
            </w:tcBorders>
            <w:shd w:val="clear" w:color="auto" w:fill="auto"/>
            <w:vAlign w:val="center"/>
          </w:tcPr>
          <w:p w14:paraId="649A4C9C">
            <w:pPr>
              <w:spacing w:line="240" w:lineRule="auto"/>
              <w:ind w:firstLine="0" w:firstLineChars="0"/>
              <w:jc w:val="center"/>
              <w:rPr>
                <w:color w:val="auto"/>
                <w:sz w:val="20"/>
                <w:szCs w:val="20"/>
              </w:rPr>
            </w:pPr>
          </w:p>
        </w:tc>
        <w:tc>
          <w:tcPr>
            <w:tcW w:w="911" w:type="pct"/>
            <w:tcBorders>
              <w:tl2br w:val="nil"/>
              <w:tr2bl w:val="nil"/>
            </w:tcBorders>
            <w:shd w:val="clear" w:color="auto" w:fill="auto"/>
            <w:vAlign w:val="center"/>
          </w:tcPr>
          <w:p w14:paraId="0E79F5E9">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电</w:t>
            </w:r>
          </w:p>
        </w:tc>
        <w:tc>
          <w:tcPr>
            <w:tcW w:w="509" w:type="pct"/>
            <w:tcBorders>
              <w:tl2br w:val="nil"/>
              <w:tr2bl w:val="nil"/>
            </w:tcBorders>
            <w:shd w:val="clear" w:color="auto" w:fill="auto"/>
            <w:vAlign w:val="center"/>
          </w:tcPr>
          <w:p w14:paraId="77DB9B12">
            <w:pPr>
              <w:pStyle w:val="80"/>
              <w:spacing w:before="0" w:beforeAutospacing="0" w:after="0" w:afterAutospacing="0"/>
              <w:ind w:firstLine="0" w:firstLineChars="0"/>
              <w:jc w:val="center"/>
              <w:rPr>
                <w:rFonts w:hint="eastAsia"/>
                <w:color w:val="auto"/>
              </w:rPr>
            </w:pPr>
            <w:r>
              <w:rPr>
                <w:rFonts w:ascii="Times New Roman" w:hAnsi="Times New Roman"/>
                <w:color w:val="auto"/>
                <w:szCs w:val="21"/>
                <w:lang w:bidi="ar"/>
              </w:rPr>
              <w:t>/</w:t>
            </w:r>
          </w:p>
        </w:tc>
        <w:tc>
          <w:tcPr>
            <w:tcW w:w="617" w:type="pct"/>
            <w:tcBorders>
              <w:tl2br w:val="nil"/>
              <w:tr2bl w:val="nil"/>
            </w:tcBorders>
            <w:shd w:val="clear" w:color="auto" w:fill="auto"/>
            <w:vAlign w:val="center"/>
          </w:tcPr>
          <w:p w14:paraId="3ED900EB">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万度</w:t>
            </w:r>
            <w:r>
              <w:rPr>
                <w:rFonts w:ascii="Times New Roman" w:hAnsi="Times New Roman"/>
                <w:color w:val="auto"/>
                <w:szCs w:val="21"/>
                <w:lang w:bidi="ar"/>
              </w:rPr>
              <w:t>/</w:t>
            </w:r>
            <w:r>
              <w:rPr>
                <w:rFonts w:hint="eastAsia" w:ascii="Times New Roman" w:hAnsi="Times New Roman" w:cs="宋体"/>
                <w:color w:val="auto"/>
                <w:szCs w:val="21"/>
                <w:lang w:bidi="ar"/>
              </w:rPr>
              <w:t>年</w:t>
            </w:r>
          </w:p>
        </w:tc>
        <w:tc>
          <w:tcPr>
            <w:tcW w:w="650" w:type="pct"/>
            <w:tcBorders>
              <w:tl2br w:val="nil"/>
              <w:tr2bl w:val="nil"/>
            </w:tcBorders>
            <w:shd w:val="clear" w:color="auto" w:fill="auto"/>
            <w:vAlign w:val="center"/>
          </w:tcPr>
          <w:p w14:paraId="2605091F">
            <w:pPr>
              <w:pStyle w:val="80"/>
              <w:spacing w:before="0" w:beforeAutospacing="0" w:after="0" w:afterAutospacing="0"/>
              <w:ind w:firstLine="0" w:firstLineChars="0"/>
              <w:jc w:val="center"/>
              <w:rPr>
                <w:rFonts w:hint="eastAsia"/>
                <w:color w:val="auto"/>
              </w:rPr>
            </w:pPr>
            <w:r>
              <w:rPr>
                <w:rFonts w:ascii="Times New Roman" w:hAnsi="Times New Roman"/>
                <w:color w:val="auto"/>
                <w:szCs w:val="21"/>
                <w:lang w:bidi="ar"/>
              </w:rPr>
              <w:t>120</w:t>
            </w:r>
          </w:p>
        </w:tc>
        <w:tc>
          <w:tcPr>
            <w:tcW w:w="801" w:type="pct"/>
            <w:tcBorders>
              <w:tl2br w:val="nil"/>
              <w:tr2bl w:val="nil"/>
            </w:tcBorders>
            <w:shd w:val="clear" w:color="auto" w:fill="auto"/>
            <w:vAlign w:val="center"/>
          </w:tcPr>
          <w:p w14:paraId="2A3BA442">
            <w:pPr>
              <w:pStyle w:val="80"/>
              <w:spacing w:before="0" w:beforeAutospacing="0" w:after="0" w:afterAutospacing="0"/>
              <w:ind w:firstLine="0" w:firstLineChars="0"/>
              <w:jc w:val="center"/>
              <w:rPr>
                <w:rFonts w:hint="eastAsia"/>
                <w:color w:val="auto"/>
              </w:rPr>
            </w:pPr>
            <w:r>
              <w:rPr>
                <w:rFonts w:ascii="Times New Roman" w:hAnsi="Times New Roman"/>
                <w:color w:val="auto"/>
                <w:szCs w:val="21"/>
                <w:lang w:bidi="ar"/>
              </w:rPr>
              <w:t>50</w:t>
            </w:r>
          </w:p>
        </w:tc>
        <w:tc>
          <w:tcPr>
            <w:tcW w:w="1099" w:type="pct"/>
            <w:tcBorders>
              <w:tl2br w:val="nil"/>
              <w:tr2bl w:val="nil"/>
            </w:tcBorders>
            <w:shd w:val="clear" w:color="auto" w:fill="auto"/>
            <w:vAlign w:val="center"/>
          </w:tcPr>
          <w:p w14:paraId="4D194215">
            <w:pPr>
              <w:pStyle w:val="80"/>
              <w:spacing w:before="0" w:beforeAutospacing="0" w:after="0" w:afterAutospacing="0"/>
              <w:ind w:firstLine="0" w:firstLineChars="0"/>
              <w:jc w:val="center"/>
              <w:rPr>
                <w:rFonts w:hint="eastAsia"/>
                <w:color w:val="auto"/>
              </w:rPr>
            </w:pPr>
            <w:r>
              <w:rPr>
                <w:rFonts w:hint="eastAsia" w:ascii="Times New Roman" w:hAnsi="Times New Roman" w:cs="宋体"/>
                <w:color w:val="auto"/>
                <w:szCs w:val="21"/>
                <w:lang w:bidi="ar"/>
              </w:rPr>
              <w:t>减少</w:t>
            </w:r>
          </w:p>
        </w:tc>
      </w:tr>
    </w:tbl>
    <w:p w14:paraId="3A4939EF">
      <w:pPr>
        <w:keepNext/>
        <w:keepLines/>
        <w:spacing w:before="120" w:beforeLines="50"/>
        <w:ind w:firstLine="0" w:firstLineChars="0"/>
        <w:outlineLvl w:val="1"/>
        <w:rPr>
          <w:b/>
          <w:bCs/>
          <w:color w:val="auto"/>
          <w:sz w:val="30"/>
          <w:szCs w:val="30"/>
        </w:rPr>
      </w:pPr>
      <w:bookmarkStart w:id="45" w:name="_Toc24737"/>
      <w:r>
        <w:rPr>
          <w:b/>
          <w:bCs/>
          <w:color w:val="auto"/>
          <w:sz w:val="30"/>
          <w:szCs w:val="30"/>
        </w:rPr>
        <w:t>3.2 现有项目生产工艺流程</w:t>
      </w:r>
      <w:r>
        <w:rPr>
          <w:rFonts w:hint="eastAsia"/>
          <w:b/>
          <w:bCs/>
          <w:color w:val="auto"/>
          <w:sz w:val="30"/>
          <w:szCs w:val="30"/>
        </w:rPr>
        <w:t>及产污分析</w:t>
      </w:r>
      <w:bookmarkEnd w:id="45"/>
    </w:p>
    <w:p w14:paraId="2640521A">
      <w:pPr>
        <w:ind w:firstLine="480"/>
        <w:rPr>
          <w:color w:val="auto"/>
        </w:rPr>
      </w:pPr>
      <w:r>
        <w:rPr>
          <w:rFonts w:hint="eastAsia" w:cs="宋体"/>
          <w:color w:val="auto"/>
          <w:lang w:bidi="ar"/>
        </w:rPr>
        <w:t>主要生产工艺流程及产污环节如图3.2-1所示：</w:t>
      </w:r>
    </w:p>
    <w:p w14:paraId="0C9A85D7">
      <w:pPr>
        <w:ind w:firstLine="480"/>
        <w:jc w:val="center"/>
        <w:rPr>
          <w:color w:val="auto"/>
        </w:rPr>
      </w:pPr>
      <w:r>
        <w:rPr>
          <w:color w:val="auto"/>
        </w:rPr>
        <w:object>
          <v:shape id="_x0000_i1026" o:spt="75" type="#_x0000_t75" style="height:51.5pt;width:294.85pt;" o:ole="t" filled="f" o:preferrelative="t" stroked="f" coordsize="21600,21600">
            <v:path/>
            <v:fill on="f" focussize="0,0"/>
            <v:stroke on="f" joinstyle="miter"/>
            <v:imagedata r:id="rId23" o:title=""/>
            <o:lock v:ext="edit" aspectratio="t"/>
            <w10:wrap type="none"/>
            <w10:anchorlock/>
          </v:shape>
          <o:OLEObject Type="Embed" ProgID="Visio.Drawing.15" ShapeID="_x0000_i1026" DrawAspect="Content" ObjectID="_1468075726" r:id="rId22">
            <o:LockedField>false</o:LockedField>
          </o:OLEObject>
        </w:object>
      </w:r>
    </w:p>
    <w:p w14:paraId="1F0D4D25">
      <w:pPr>
        <w:ind w:firstLine="482"/>
        <w:jc w:val="center"/>
        <w:rPr>
          <w:b/>
          <w:color w:val="auto"/>
        </w:rPr>
      </w:pPr>
      <w:r>
        <w:rPr>
          <w:rFonts w:hint="eastAsia" w:cs="宋体"/>
          <w:b/>
          <w:color w:val="auto"/>
          <w:lang w:bidi="ar"/>
        </w:rPr>
        <w:t>图</w:t>
      </w:r>
      <w:r>
        <w:rPr>
          <w:rFonts w:hint="eastAsia"/>
          <w:b/>
          <w:color w:val="auto"/>
          <w:lang w:bidi="ar"/>
        </w:rPr>
        <w:t xml:space="preserve">3.2-1  </w:t>
      </w:r>
      <w:r>
        <w:rPr>
          <w:rFonts w:hint="eastAsia" w:cs="宋体"/>
          <w:b/>
          <w:color w:val="auto"/>
          <w:lang w:bidi="ar"/>
        </w:rPr>
        <w:t>项目工艺流程图</w:t>
      </w:r>
    </w:p>
    <w:p w14:paraId="5C553538">
      <w:pPr>
        <w:ind w:firstLine="480"/>
        <w:rPr>
          <w:color w:val="auto"/>
          <w:kern w:val="0"/>
          <w:lang w:val="zh-CN"/>
        </w:rPr>
      </w:pPr>
      <w:r>
        <w:rPr>
          <w:rFonts w:hint="eastAsia" w:cs="宋体"/>
          <w:color w:val="auto"/>
          <w:lang w:bidi="ar"/>
        </w:rPr>
        <w:t>铝边框采用全自动生产线，外购铝材上料进入生产线，首先根据产品需求裁切成需要的长度，然后根据图纸设计的位置，进行定位冲孔，冲孔完成后即为产品，入库保存。项目工艺较为简单，主要污染物包括少量废气粉尘、固废边角料及废机油、设备运行噪声</w:t>
      </w:r>
      <w:r>
        <w:rPr>
          <w:rFonts w:hint="eastAsia" w:cs="宋体"/>
          <w:color w:val="auto"/>
          <w:kern w:val="0"/>
          <w:lang w:val="zh-CN" w:bidi="ar"/>
        </w:rPr>
        <w:t>。</w:t>
      </w:r>
    </w:p>
    <w:p w14:paraId="4BE788B3">
      <w:pPr>
        <w:ind w:firstLine="482"/>
        <w:rPr>
          <w:rFonts w:hint="eastAsia" w:ascii="宋体" w:hAnsi="宋体" w:cs="宋体"/>
          <w:b/>
          <w:bCs/>
          <w:color w:val="auto"/>
        </w:rPr>
      </w:pPr>
      <w:r>
        <w:rPr>
          <w:rFonts w:hint="eastAsia" w:ascii="宋体" w:hAnsi="宋体" w:cs="宋体"/>
          <w:b/>
          <w:bCs/>
          <w:color w:val="auto"/>
          <w:lang w:bidi="ar"/>
        </w:rPr>
        <w:t>实际运行过程，裁切会产生少量废铝颗粒，经布袋吸尘器收集后与边角料一同外售综合利用。</w:t>
      </w:r>
    </w:p>
    <w:p w14:paraId="0C740F53">
      <w:pPr>
        <w:keepNext/>
        <w:keepLines/>
        <w:spacing w:before="120" w:beforeLines="50"/>
        <w:ind w:firstLine="0" w:firstLineChars="0"/>
        <w:outlineLvl w:val="1"/>
        <w:rPr>
          <w:b/>
          <w:bCs/>
          <w:color w:val="auto"/>
          <w:sz w:val="30"/>
          <w:szCs w:val="30"/>
        </w:rPr>
      </w:pPr>
      <w:bookmarkStart w:id="46" w:name="_Toc29447"/>
      <w:r>
        <w:rPr>
          <w:b/>
          <w:bCs/>
          <w:color w:val="auto"/>
          <w:sz w:val="30"/>
          <w:szCs w:val="30"/>
        </w:rPr>
        <w:t>3.</w:t>
      </w:r>
      <w:r>
        <w:rPr>
          <w:rFonts w:hint="eastAsia"/>
          <w:b/>
          <w:bCs/>
          <w:color w:val="auto"/>
          <w:sz w:val="30"/>
          <w:szCs w:val="30"/>
        </w:rPr>
        <w:t>3</w:t>
      </w:r>
      <w:r>
        <w:rPr>
          <w:b/>
          <w:bCs/>
          <w:color w:val="auto"/>
          <w:sz w:val="30"/>
          <w:szCs w:val="30"/>
        </w:rPr>
        <w:t xml:space="preserve"> 现有项目</w:t>
      </w:r>
      <w:r>
        <w:rPr>
          <w:rFonts w:hint="eastAsia"/>
          <w:b/>
          <w:bCs/>
          <w:color w:val="auto"/>
          <w:sz w:val="30"/>
          <w:szCs w:val="30"/>
        </w:rPr>
        <w:t>污染物产排情况及污染治理措施</w:t>
      </w:r>
      <w:bookmarkEnd w:id="46"/>
    </w:p>
    <w:p w14:paraId="5B7CA3E4">
      <w:pPr>
        <w:ind w:firstLine="480"/>
        <w:rPr>
          <w:color w:val="auto"/>
        </w:rPr>
      </w:pPr>
      <w:r>
        <w:rPr>
          <w:rFonts w:hint="eastAsia"/>
          <w:color w:val="auto"/>
        </w:rPr>
        <w:t>现有项目废气、废水、固废排放情况见表3.3-1。</w:t>
      </w:r>
    </w:p>
    <w:p w14:paraId="57A83945">
      <w:pPr>
        <w:spacing w:line="240" w:lineRule="auto"/>
        <w:ind w:firstLine="0" w:firstLineChars="0"/>
        <w:jc w:val="center"/>
        <w:rPr>
          <w:b/>
          <w:bCs/>
          <w:color w:val="auto"/>
        </w:rPr>
      </w:pPr>
      <w:r>
        <w:rPr>
          <w:rFonts w:hint="eastAsia"/>
          <w:b/>
          <w:bCs/>
          <w:color w:val="auto"/>
        </w:rPr>
        <w:t>表3.3-1  现有项目主要产污环节及排污特征</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650"/>
        <w:gridCol w:w="2472"/>
        <w:gridCol w:w="1278"/>
        <w:gridCol w:w="2437"/>
      </w:tblGrid>
      <w:tr w14:paraId="3E8D8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49" w:type="dxa"/>
            <w:tcBorders>
              <w:tl2br w:val="nil"/>
              <w:tr2bl w:val="nil"/>
            </w:tcBorders>
            <w:vAlign w:val="center"/>
          </w:tcPr>
          <w:p w14:paraId="6BA9E4EE">
            <w:pPr>
              <w:spacing w:line="240" w:lineRule="auto"/>
              <w:ind w:firstLine="0" w:firstLineChars="0"/>
              <w:jc w:val="center"/>
              <w:rPr>
                <w:rStyle w:val="154"/>
                <w:b/>
                <w:bCs/>
                <w:color w:val="auto"/>
              </w:rPr>
            </w:pPr>
            <w:r>
              <w:rPr>
                <w:rStyle w:val="154"/>
                <w:rFonts w:hint="eastAsia"/>
                <w:b/>
                <w:bCs/>
                <w:color w:val="auto"/>
              </w:rPr>
              <w:t>分类</w:t>
            </w:r>
          </w:p>
        </w:tc>
        <w:tc>
          <w:tcPr>
            <w:tcW w:w="1650" w:type="dxa"/>
            <w:tcBorders>
              <w:tl2br w:val="nil"/>
              <w:tr2bl w:val="nil"/>
            </w:tcBorders>
            <w:vAlign w:val="center"/>
          </w:tcPr>
          <w:p w14:paraId="6FC068A2">
            <w:pPr>
              <w:spacing w:line="240" w:lineRule="auto"/>
              <w:ind w:firstLine="0" w:firstLineChars="0"/>
              <w:jc w:val="center"/>
              <w:rPr>
                <w:rStyle w:val="154"/>
                <w:b/>
                <w:bCs/>
                <w:color w:val="auto"/>
              </w:rPr>
            </w:pPr>
            <w:r>
              <w:rPr>
                <w:rStyle w:val="154"/>
                <w:rFonts w:hint="eastAsia"/>
                <w:b/>
                <w:bCs/>
                <w:color w:val="auto"/>
              </w:rPr>
              <w:t>产生工序</w:t>
            </w:r>
          </w:p>
        </w:tc>
        <w:tc>
          <w:tcPr>
            <w:tcW w:w="2472" w:type="dxa"/>
            <w:tcBorders>
              <w:tl2br w:val="nil"/>
              <w:tr2bl w:val="nil"/>
            </w:tcBorders>
            <w:vAlign w:val="center"/>
          </w:tcPr>
          <w:p w14:paraId="437AF787">
            <w:pPr>
              <w:spacing w:line="240" w:lineRule="auto"/>
              <w:ind w:firstLine="0" w:firstLineChars="0"/>
              <w:jc w:val="center"/>
              <w:rPr>
                <w:rStyle w:val="154"/>
                <w:b/>
                <w:bCs/>
                <w:color w:val="auto"/>
              </w:rPr>
            </w:pPr>
            <w:r>
              <w:rPr>
                <w:rStyle w:val="154"/>
                <w:rFonts w:hint="eastAsia"/>
                <w:b/>
                <w:bCs/>
                <w:color w:val="auto"/>
              </w:rPr>
              <w:t>污染物</w:t>
            </w:r>
          </w:p>
        </w:tc>
        <w:tc>
          <w:tcPr>
            <w:tcW w:w="1278" w:type="dxa"/>
            <w:tcBorders>
              <w:tl2br w:val="nil"/>
              <w:tr2bl w:val="nil"/>
            </w:tcBorders>
            <w:vAlign w:val="center"/>
          </w:tcPr>
          <w:p w14:paraId="5F76C670">
            <w:pPr>
              <w:spacing w:line="240" w:lineRule="auto"/>
              <w:ind w:firstLine="0" w:firstLineChars="0"/>
              <w:jc w:val="center"/>
              <w:rPr>
                <w:rStyle w:val="154"/>
                <w:b/>
                <w:bCs/>
                <w:color w:val="auto"/>
              </w:rPr>
            </w:pPr>
            <w:r>
              <w:rPr>
                <w:rStyle w:val="154"/>
                <w:rFonts w:hint="eastAsia"/>
                <w:b/>
                <w:bCs/>
                <w:color w:val="auto"/>
              </w:rPr>
              <w:t>排放特征</w:t>
            </w:r>
          </w:p>
        </w:tc>
        <w:tc>
          <w:tcPr>
            <w:tcW w:w="2437" w:type="dxa"/>
            <w:tcBorders>
              <w:tl2br w:val="nil"/>
              <w:tr2bl w:val="nil"/>
            </w:tcBorders>
            <w:vAlign w:val="center"/>
          </w:tcPr>
          <w:p w14:paraId="6AA7B311">
            <w:pPr>
              <w:spacing w:line="240" w:lineRule="auto"/>
              <w:ind w:firstLine="0" w:firstLineChars="0"/>
              <w:jc w:val="center"/>
              <w:rPr>
                <w:rStyle w:val="154"/>
                <w:b/>
                <w:bCs/>
                <w:color w:val="auto"/>
              </w:rPr>
            </w:pPr>
            <w:r>
              <w:rPr>
                <w:rStyle w:val="154"/>
                <w:rFonts w:hint="eastAsia"/>
                <w:b/>
                <w:bCs/>
                <w:color w:val="auto"/>
              </w:rPr>
              <w:t>处置方式</w:t>
            </w:r>
          </w:p>
        </w:tc>
      </w:tr>
      <w:tr w14:paraId="5D031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dxa"/>
            <w:tcBorders>
              <w:tl2br w:val="nil"/>
              <w:tr2bl w:val="nil"/>
            </w:tcBorders>
            <w:vAlign w:val="center"/>
          </w:tcPr>
          <w:p w14:paraId="559E6177">
            <w:pPr>
              <w:spacing w:line="240" w:lineRule="auto"/>
              <w:ind w:firstLine="0" w:firstLineChars="0"/>
              <w:jc w:val="center"/>
              <w:rPr>
                <w:rStyle w:val="154"/>
                <w:color w:val="auto"/>
              </w:rPr>
            </w:pPr>
            <w:r>
              <w:rPr>
                <w:rStyle w:val="154"/>
                <w:rFonts w:hint="eastAsia"/>
                <w:color w:val="auto"/>
              </w:rPr>
              <w:t>废气</w:t>
            </w:r>
          </w:p>
        </w:tc>
        <w:tc>
          <w:tcPr>
            <w:tcW w:w="1650" w:type="dxa"/>
            <w:tcBorders>
              <w:tl2br w:val="nil"/>
              <w:tr2bl w:val="nil"/>
            </w:tcBorders>
            <w:vAlign w:val="center"/>
          </w:tcPr>
          <w:p w14:paraId="380DF3B7">
            <w:pPr>
              <w:spacing w:line="240" w:lineRule="auto"/>
              <w:ind w:firstLine="0" w:firstLineChars="0"/>
              <w:jc w:val="center"/>
              <w:rPr>
                <w:rStyle w:val="154"/>
                <w:color w:val="auto"/>
              </w:rPr>
            </w:pPr>
            <w:r>
              <w:rPr>
                <w:rStyle w:val="154"/>
                <w:rFonts w:hint="eastAsia"/>
                <w:color w:val="auto"/>
              </w:rPr>
              <w:t>钻床</w:t>
            </w:r>
          </w:p>
        </w:tc>
        <w:tc>
          <w:tcPr>
            <w:tcW w:w="2472" w:type="dxa"/>
            <w:tcBorders>
              <w:tl2br w:val="nil"/>
              <w:tr2bl w:val="nil"/>
            </w:tcBorders>
            <w:vAlign w:val="center"/>
          </w:tcPr>
          <w:p w14:paraId="0A4B7306">
            <w:pPr>
              <w:spacing w:line="240" w:lineRule="auto"/>
              <w:ind w:firstLine="0" w:firstLineChars="0"/>
              <w:jc w:val="center"/>
              <w:rPr>
                <w:rStyle w:val="154"/>
                <w:color w:val="auto"/>
              </w:rPr>
            </w:pPr>
            <w:r>
              <w:rPr>
                <w:rStyle w:val="154"/>
                <w:rFonts w:hint="eastAsia"/>
                <w:color w:val="auto"/>
              </w:rPr>
              <w:t>颗粒物</w:t>
            </w:r>
          </w:p>
        </w:tc>
        <w:tc>
          <w:tcPr>
            <w:tcW w:w="1278" w:type="dxa"/>
            <w:tcBorders>
              <w:tl2br w:val="nil"/>
              <w:tr2bl w:val="nil"/>
            </w:tcBorders>
            <w:vAlign w:val="center"/>
          </w:tcPr>
          <w:p w14:paraId="0B8861DC">
            <w:pPr>
              <w:spacing w:line="240" w:lineRule="auto"/>
              <w:ind w:firstLine="0" w:firstLineChars="0"/>
              <w:jc w:val="center"/>
              <w:rPr>
                <w:rStyle w:val="154"/>
                <w:color w:val="auto"/>
              </w:rPr>
            </w:pPr>
            <w:r>
              <w:rPr>
                <w:rStyle w:val="154"/>
                <w:rFonts w:hint="eastAsia"/>
                <w:color w:val="auto"/>
              </w:rPr>
              <w:t>间歇</w:t>
            </w:r>
          </w:p>
        </w:tc>
        <w:tc>
          <w:tcPr>
            <w:tcW w:w="2437" w:type="dxa"/>
            <w:tcBorders>
              <w:tl2br w:val="nil"/>
              <w:tr2bl w:val="nil"/>
            </w:tcBorders>
            <w:vAlign w:val="center"/>
          </w:tcPr>
          <w:p w14:paraId="0A1EDCA3">
            <w:pPr>
              <w:spacing w:line="240" w:lineRule="auto"/>
              <w:ind w:firstLine="0" w:firstLineChars="0"/>
              <w:jc w:val="center"/>
              <w:rPr>
                <w:rStyle w:val="154"/>
                <w:color w:val="auto"/>
              </w:rPr>
            </w:pPr>
            <w:r>
              <w:rPr>
                <w:rStyle w:val="154"/>
                <w:rFonts w:hint="eastAsia"/>
                <w:color w:val="auto"/>
              </w:rPr>
              <w:t>加强设备密闭，以无组织形式排放。</w:t>
            </w:r>
          </w:p>
        </w:tc>
      </w:tr>
      <w:tr w14:paraId="15207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dxa"/>
            <w:tcBorders>
              <w:tl2br w:val="nil"/>
              <w:tr2bl w:val="nil"/>
            </w:tcBorders>
            <w:vAlign w:val="center"/>
          </w:tcPr>
          <w:p w14:paraId="5A976220">
            <w:pPr>
              <w:spacing w:line="240" w:lineRule="auto"/>
              <w:ind w:firstLine="0" w:firstLineChars="0"/>
              <w:jc w:val="center"/>
              <w:rPr>
                <w:rStyle w:val="154"/>
                <w:color w:val="auto"/>
              </w:rPr>
            </w:pPr>
            <w:r>
              <w:rPr>
                <w:rStyle w:val="154"/>
                <w:rFonts w:hint="eastAsia"/>
                <w:color w:val="auto"/>
              </w:rPr>
              <w:t>废水</w:t>
            </w:r>
          </w:p>
        </w:tc>
        <w:tc>
          <w:tcPr>
            <w:tcW w:w="1650" w:type="dxa"/>
            <w:tcBorders>
              <w:tl2br w:val="nil"/>
              <w:tr2bl w:val="nil"/>
            </w:tcBorders>
            <w:vAlign w:val="center"/>
          </w:tcPr>
          <w:p w14:paraId="7C9C45C1">
            <w:pPr>
              <w:spacing w:line="240" w:lineRule="auto"/>
              <w:ind w:firstLine="0" w:firstLineChars="0"/>
              <w:jc w:val="center"/>
              <w:rPr>
                <w:rStyle w:val="154"/>
                <w:color w:val="auto"/>
              </w:rPr>
            </w:pPr>
            <w:r>
              <w:rPr>
                <w:rStyle w:val="154"/>
                <w:rFonts w:hint="eastAsia"/>
                <w:color w:val="auto"/>
              </w:rPr>
              <w:t>生活污水</w:t>
            </w:r>
          </w:p>
        </w:tc>
        <w:tc>
          <w:tcPr>
            <w:tcW w:w="2472" w:type="dxa"/>
            <w:tcBorders>
              <w:tl2br w:val="nil"/>
              <w:tr2bl w:val="nil"/>
            </w:tcBorders>
            <w:vAlign w:val="center"/>
          </w:tcPr>
          <w:p w14:paraId="122CFF0B">
            <w:pPr>
              <w:spacing w:line="240" w:lineRule="auto"/>
              <w:ind w:firstLine="0" w:firstLineChars="0"/>
              <w:jc w:val="center"/>
              <w:rPr>
                <w:rStyle w:val="154"/>
                <w:color w:val="auto"/>
              </w:rPr>
            </w:pPr>
            <w:r>
              <w:rPr>
                <w:rStyle w:val="154"/>
                <w:rFonts w:hint="eastAsia"/>
                <w:color w:val="auto"/>
              </w:rPr>
              <w:t>COD、SS、NH</w:t>
            </w:r>
            <w:r>
              <w:rPr>
                <w:rStyle w:val="154"/>
                <w:rFonts w:hint="eastAsia"/>
                <w:color w:val="auto"/>
                <w:vertAlign w:val="subscript"/>
              </w:rPr>
              <w:t>3</w:t>
            </w:r>
            <w:r>
              <w:rPr>
                <w:rStyle w:val="154"/>
                <w:rFonts w:hint="eastAsia"/>
                <w:color w:val="auto"/>
              </w:rPr>
              <w:t>-N、TP和TN</w:t>
            </w:r>
          </w:p>
        </w:tc>
        <w:tc>
          <w:tcPr>
            <w:tcW w:w="1278" w:type="dxa"/>
            <w:tcBorders>
              <w:tl2br w:val="nil"/>
              <w:tr2bl w:val="nil"/>
            </w:tcBorders>
            <w:vAlign w:val="center"/>
          </w:tcPr>
          <w:p w14:paraId="6340FB45">
            <w:pPr>
              <w:spacing w:line="240" w:lineRule="auto"/>
              <w:ind w:firstLine="0" w:firstLineChars="0"/>
              <w:jc w:val="center"/>
              <w:rPr>
                <w:rStyle w:val="154"/>
                <w:color w:val="auto"/>
              </w:rPr>
            </w:pPr>
            <w:r>
              <w:rPr>
                <w:rStyle w:val="154"/>
                <w:rFonts w:hint="eastAsia"/>
                <w:color w:val="auto"/>
              </w:rPr>
              <w:t>间歇</w:t>
            </w:r>
          </w:p>
        </w:tc>
        <w:tc>
          <w:tcPr>
            <w:tcW w:w="2437" w:type="dxa"/>
            <w:tcBorders>
              <w:tl2br w:val="nil"/>
              <w:tr2bl w:val="nil"/>
            </w:tcBorders>
            <w:vAlign w:val="center"/>
          </w:tcPr>
          <w:p w14:paraId="4EF481B3">
            <w:pPr>
              <w:spacing w:line="240" w:lineRule="auto"/>
              <w:ind w:firstLine="0" w:firstLineChars="0"/>
              <w:jc w:val="center"/>
              <w:rPr>
                <w:rStyle w:val="154"/>
                <w:color w:val="auto"/>
              </w:rPr>
            </w:pPr>
            <w:r>
              <w:rPr>
                <w:rStyle w:val="154"/>
                <w:rFonts w:hint="eastAsia"/>
                <w:color w:val="auto"/>
              </w:rPr>
              <w:t>经化粪池预处理后接管至开发区临港污水处理厂集中处理。</w:t>
            </w:r>
          </w:p>
        </w:tc>
      </w:tr>
      <w:tr w14:paraId="46C85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dxa"/>
            <w:tcBorders>
              <w:tl2br w:val="nil"/>
              <w:tr2bl w:val="nil"/>
            </w:tcBorders>
            <w:vAlign w:val="center"/>
          </w:tcPr>
          <w:p w14:paraId="1AA6AEB9">
            <w:pPr>
              <w:spacing w:line="240" w:lineRule="auto"/>
              <w:ind w:firstLine="0" w:firstLineChars="0"/>
              <w:jc w:val="center"/>
              <w:rPr>
                <w:rStyle w:val="154"/>
                <w:color w:val="auto"/>
              </w:rPr>
            </w:pPr>
            <w:r>
              <w:rPr>
                <w:rStyle w:val="154"/>
                <w:rFonts w:hint="eastAsia"/>
                <w:color w:val="auto"/>
              </w:rPr>
              <w:t>噪声</w:t>
            </w:r>
          </w:p>
        </w:tc>
        <w:tc>
          <w:tcPr>
            <w:tcW w:w="7837" w:type="dxa"/>
            <w:gridSpan w:val="4"/>
            <w:tcBorders>
              <w:tl2br w:val="nil"/>
              <w:tr2bl w:val="nil"/>
            </w:tcBorders>
            <w:vAlign w:val="center"/>
          </w:tcPr>
          <w:p w14:paraId="0789A695">
            <w:pPr>
              <w:spacing w:line="240" w:lineRule="auto"/>
              <w:ind w:firstLine="0" w:firstLineChars="0"/>
              <w:jc w:val="center"/>
              <w:rPr>
                <w:rStyle w:val="154"/>
                <w:color w:val="auto"/>
              </w:rPr>
            </w:pPr>
            <w:r>
              <w:rPr>
                <w:rFonts w:hint="eastAsia"/>
                <w:color w:val="auto"/>
                <w:sz w:val="21"/>
                <w:szCs w:val="21"/>
                <w:lang w:bidi="ar"/>
              </w:rPr>
              <w:t>基础减震、厂房隔声、安装消声器</w:t>
            </w:r>
          </w:p>
        </w:tc>
      </w:tr>
      <w:tr w14:paraId="7D641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dxa"/>
            <w:vMerge w:val="restart"/>
            <w:tcBorders>
              <w:tl2br w:val="nil"/>
              <w:tr2bl w:val="nil"/>
            </w:tcBorders>
            <w:vAlign w:val="center"/>
          </w:tcPr>
          <w:p w14:paraId="0FDEFD98">
            <w:pPr>
              <w:spacing w:line="240" w:lineRule="auto"/>
              <w:ind w:firstLine="0" w:firstLineChars="0"/>
              <w:jc w:val="center"/>
              <w:rPr>
                <w:rStyle w:val="154"/>
                <w:color w:val="auto"/>
              </w:rPr>
            </w:pPr>
            <w:r>
              <w:rPr>
                <w:rStyle w:val="154"/>
                <w:rFonts w:hint="eastAsia"/>
                <w:color w:val="auto"/>
              </w:rPr>
              <w:t>固废</w:t>
            </w:r>
          </w:p>
        </w:tc>
        <w:tc>
          <w:tcPr>
            <w:tcW w:w="1650" w:type="dxa"/>
            <w:tcBorders>
              <w:tl2br w:val="nil"/>
              <w:tr2bl w:val="nil"/>
            </w:tcBorders>
            <w:vAlign w:val="center"/>
          </w:tcPr>
          <w:p w14:paraId="78B36B8F">
            <w:pPr>
              <w:spacing w:line="240" w:lineRule="auto"/>
              <w:ind w:firstLine="0" w:firstLineChars="0"/>
              <w:jc w:val="center"/>
              <w:rPr>
                <w:rStyle w:val="154"/>
                <w:color w:val="auto"/>
              </w:rPr>
            </w:pPr>
            <w:r>
              <w:rPr>
                <w:rStyle w:val="154"/>
                <w:rFonts w:hint="eastAsia"/>
                <w:color w:val="auto"/>
              </w:rPr>
              <w:t>办公生活</w:t>
            </w:r>
          </w:p>
        </w:tc>
        <w:tc>
          <w:tcPr>
            <w:tcW w:w="2472" w:type="dxa"/>
            <w:tcBorders>
              <w:tl2br w:val="nil"/>
              <w:tr2bl w:val="nil"/>
            </w:tcBorders>
            <w:vAlign w:val="center"/>
          </w:tcPr>
          <w:p w14:paraId="163247C2">
            <w:pPr>
              <w:spacing w:line="240" w:lineRule="auto"/>
              <w:ind w:firstLine="0" w:firstLineChars="0"/>
              <w:jc w:val="center"/>
              <w:rPr>
                <w:rStyle w:val="154"/>
                <w:color w:val="auto"/>
              </w:rPr>
            </w:pPr>
            <w:r>
              <w:rPr>
                <w:rStyle w:val="154"/>
                <w:rFonts w:hint="eastAsia"/>
                <w:color w:val="auto"/>
              </w:rPr>
              <w:t>生活垃圾</w:t>
            </w:r>
          </w:p>
        </w:tc>
        <w:tc>
          <w:tcPr>
            <w:tcW w:w="1278" w:type="dxa"/>
            <w:tcBorders>
              <w:tl2br w:val="nil"/>
              <w:tr2bl w:val="nil"/>
            </w:tcBorders>
            <w:shd w:val="clear" w:color="auto" w:fill="auto"/>
            <w:vAlign w:val="center"/>
          </w:tcPr>
          <w:p w14:paraId="21F7AC3A">
            <w:pPr>
              <w:spacing w:line="240" w:lineRule="auto"/>
              <w:ind w:firstLine="0" w:firstLineChars="0"/>
              <w:jc w:val="center"/>
              <w:rPr>
                <w:rFonts w:hint="eastAsia" w:ascii="宋体" w:hAnsi="宋体"/>
                <w:color w:val="auto"/>
                <w:sz w:val="21"/>
              </w:rPr>
            </w:pPr>
            <w:r>
              <w:rPr>
                <w:rStyle w:val="154"/>
                <w:rFonts w:hint="eastAsia"/>
                <w:color w:val="auto"/>
              </w:rPr>
              <w:t>间歇</w:t>
            </w:r>
          </w:p>
        </w:tc>
        <w:tc>
          <w:tcPr>
            <w:tcW w:w="2437" w:type="dxa"/>
            <w:tcBorders>
              <w:tl2br w:val="nil"/>
              <w:tr2bl w:val="nil"/>
            </w:tcBorders>
            <w:vAlign w:val="center"/>
          </w:tcPr>
          <w:p w14:paraId="3597033D">
            <w:pPr>
              <w:spacing w:line="240" w:lineRule="auto"/>
              <w:ind w:firstLine="0" w:firstLineChars="0"/>
              <w:jc w:val="center"/>
              <w:rPr>
                <w:rStyle w:val="154"/>
                <w:color w:val="auto"/>
              </w:rPr>
            </w:pPr>
            <w:r>
              <w:rPr>
                <w:rStyle w:val="154"/>
                <w:rFonts w:hint="eastAsia"/>
                <w:color w:val="auto"/>
              </w:rPr>
              <w:t>环卫清运</w:t>
            </w:r>
          </w:p>
        </w:tc>
      </w:tr>
      <w:tr w14:paraId="00668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dxa"/>
            <w:vMerge w:val="continue"/>
            <w:tcBorders>
              <w:tl2br w:val="nil"/>
              <w:tr2bl w:val="nil"/>
            </w:tcBorders>
            <w:vAlign w:val="center"/>
          </w:tcPr>
          <w:p w14:paraId="02DFBA2D">
            <w:pPr>
              <w:spacing w:line="240" w:lineRule="auto"/>
              <w:ind w:firstLine="0" w:firstLineChars="0"/>
              <w:jc w:val="center"/>
              <w:rPr>
                <w:rStyle w:val="154"/>
                <w:color w:val="auto"/>
              </w:rPr>
            </w:pPr>
          </w:p>
        </w:tc>
        <w:tc>
          <w:tcPr>
            <w:tcW w:w="1650" w:type="dxa"/>
            <w:tcBorders>
              <w:tl2br w:val="nil"/>
              <w:tr2bl w:val="nil"/>
            </w:tcBorders>
            <w:vAlign w:val="center"/>
          </w:tcPr>
          <w:p w14:paraId="5BF60C37">
            <w:pPr>
              <w:spacing w:line="240" w:lineRule="auto"/>
              <w:ind w:firstLine="0" w:firstLineChars="0"/>
              <w:jc w:val="center"/>
              <w:rPr>
                <w:rStyle w:val="154"/>
                <w:color w:val="auto"/>
              </w:rPr>
            </w:pPr>
            <w:r>
              <w:rPr>
                <w:rStyle w:val="154"/>
                <w:rFonts w:hint="eastAsia"/>
                <w:color w:val="auto"/>
              </w:rPr>
              <w:t>生产</w:t>
            </w:r>
          </w:p>
        </w:tc>
        <w:tc>
          <w:tcPr>
            <w:tcW w:w="2472" w:type="dxa"/>
            <w:tcBorders>
              <w:tl2br w:val="nil"/>
              <w:tr2bl w:val="nil"/>
            </w:tcBorders>
            <w:vAlign w:val="center"/>
          </w:tcPr>
          <w:p w14:paraId="093F78D8">
            <w:pPr>
              <w:spacing w:line="240" w:lineRule="auto"/>
              <w:ind w:firstLine="0" w:firstLineChars="0"/>
              <w:jc w:val="center"/>
              <w:rPr>
                <w:rStyle w:val="154"/>
                <w:color w:val="auto"/>
              </w:rPr>
            </w:pPr>
            <w:r>
              <w:rPr>
                <w:rStyle w:val="154"/>
                <w:rFonts w:hint="eastAsia"/>
                <w:color w:val="auto"/>
              </w:rPr>
              <w:t>边角料、废铝颗粒</w:t>
            </w:r>
          </w:p>
        </w:tc>
        <w:tc>
          <w:tcPr>
            <w:tcW w:w="1278" w:type="dxa"/>
            <w:tcBorders>
              <w:tl2br w:val="nil"/>
              <w:tr2bl w:val="nil"/>
            </w:tcBorders>
            <w:shd w:val="clear" w:color="auto" w:fill="auto"/>
            <w:vAlign w:val="center"/>
          </w:tcPr>
          <w:p w14:paraId="630BBF4C">
            <w:pPr>
              <w:spacing w:line="240" w:lineRule="auto"/>
              <w:ind w:firstLine="0" w:firstLineChars="0"/>
              <w:jc w:val="center"/>
              <w:rPr>
                <w:rFonts w:hint="eastAsia" w:ascii="宋体" w:hAnsi="宋体"/>
                <w:color w:val="auto"/>
                <w:sz w:val="21"/>
              </w:rPr>
            </w:pPr>
            <w:r>
              <w:rPr>
                <w:rStyle w:val="154"/>
                <w:rFonts w:hint="eastAsia"/>
                <w:color w:val="auto"/>
              </w:rPr>
              <w:t>间歇</w:t>
            </w:r>
          </w:p>
        </w:tc>
        <w:tc>
          <w:tcPr>
            <w:tcW w:w="2437" w:type="dxa"/>
            <w:tcBorders>
              <w:tl2br w:val="nil"/>
              <w:tr2bl w:val="nil"/>
            </w:tcBorders>
            <w:vAlign w:val="center"/>
          </w:tcPr>
          <w:p w14:paraId="54B6B5BA">
            <w:pPr>
              <w:spacing w:line="240" w:lineRule="auto"/>
              <w:ind w:firstLine="0" w:firstLineChars="0"/>
              <w:jc w:val="center"/>
              <w:rPr>
                <w:rStyle w:val="154"/>
                <w:color w:val="auto"/>
              </w:rPr>
            </w:pPr>
            <w:r>
              <w:rPr>
                <w:rStyle w:val="154"/>
                <w:rFonts w:hint="eastAsia"/>
                <w:color w:val="auto"/>
              </w:rPr>
              <w:t>综合外售</w:t>
            </w:r>
          </w:p>
        </w:tc>
      </w:tr>
      <w:tr w14:paraId="79D53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dxa"/>
            <w:vMerge w:val="continue"/>
            <w:tcBorders>
              <w:tl2br w:val="nil"/>
              <w:tr2bl w:val="nil"/>
            </w:tcBorders>
            <w:vAlign w:val="center"/>
          </w:tcPr>
          <w:p w14:paraId="7897E71D">
            <w:pPr>
              <w:spacing w:line="240" w:lineRule="auto"/>
              <w:ind w:firstLine="0" w:firstLineChars="0"/>
              <w:jc w:val="center"/>
              <w:rPr>
                <w:rStyle w:val="154"/>
                <w:color w:val="auto"/>
              </w:rPr>
            </w:pPr>
          </w:p>
        </w:tc>
        <w:tc>
          <w:tcPr>
            <w:tcW w:w="1650" w:type="dxa"/>
            <w:tcBorders>
              <w:tl2br w:val="nil"/>
              <w:tr2bl w:val="nil"/>
            </w:tcBorders>
            <w:vAlign w:val="center"/>
          </w:tcPr>
          <w:p w14:paraId="768A2F6E">
            <w:pPr>
              <w:spacing w:line="240" w:lineRule="auto"/>
              <w:ind w:firstLine="0" w:firstLineChars="0"/>
              <w:jc w:val="center"/>
              <w:rPr>
                <w:rStyle w:val="154"/>
                <w:color w:val="auto"/>
              </w:rPr>
            </w:pPr>
            <w:r>
              <w:rPr>
                <w:rStyle w:val="154"/>
                <w:rFonts w:hint="eastAsia"/>
                <w:color w:val="auto"/>
              </w:rPr>
              <w:t>设备维护</w:t>
            </w:r>
          </w:p>
        </w:tc>
        <w:tc>
          <w:tcPr>
            <w:tcW w:w="2472" w:type="dxa"/>
            <w:tcBorders>
              <w:tl2br w:val="nil"/>
              <w:tr2bl w:val="nil"/>
            </w:tcBorders>
            <w:vAlign w:val="center"/>
          </w:tcPr>
          <w:p w14:paraId="2E4A8CC4">
            <w:pPr>
              <w:spacing w:line="240" w:lineRule="auto"/>
              <w:ind w:firstLine="0" w:firstLineChars="0"/>
              <w:jc w:val="center"/>
              <w:rPr>
                <w:rStyle w:val="154"/>
                <w:color w:val="auto"/>
              </w:rPr>
            </w:pPr>
            <w:r>
              <w:rPr>
                <w:rStyle w:val="154"/>
                <w:rFonts w:hint="eastAsia"/>
                <w:color w:val="auto"/>
              </w:rPr>
              <w:t>废机油</w:t>
            </w:r>
          </w:p>
        </w:tc>
        <w:tc>
          <w:tcPr>
            <w:tcW w:w="1278" w:type="dxa"/>
            <w:tcBorders>
              <w:tl2br w:val="nil"/>
              <w:tr2bl w:val="nil"/>
            </w:tcBorders>
            <w:vAlign w:val="center"/>
          </w:tcPr>
          <w:p w14:paraId="7D071424">
            <w:pPr>
              <w:spacing w:line="240" w:lineRule="auto"/>
              <w:ind w:firstLine="0" w:firstLineChars="0"/>
              <w:jc w:val="center"/>
              <w:rPr>
                <w:rStyle w:val="154"/>
                <w:color w:val="auto"/>
              </w:rPr>
            </w:pPr>
            <w:r>
              <w:rPr>
                <w:rStyle w:val="154"/>
                <w:rFonts w:hint="eastAsia"/>
                <w:color w:val="auto"/>
              </w:rPr>
              <w:t>间歇</w:t>
            </w:r>
          </w:p>
        </w:tc>
        <w:tc>
          <w:tcPr>
            <w:tcW w:w="2437" w:type="dxa"/>
            <w:tcBorders>
              <w:tl2br w:val="nil"/>
              <w:tr2bl w:val="nil"/>
            </w:tcBorders>
            <w:vAlign w:val="center"/>
          </w:tcPr>
          <w:p w14:paraId="139C9A39">
            <w:pPr>
              <w:spacing w:line="240" w:lineRule="auto"/>
              <w:ind w:firstLine="0" w:firstLineChars="0"/>
              <w:jc w:val="center"/>
              <w:rPr>
                <w:rStyle w:val="154"/>
                <w:color w:val="auto"/>
              </w:rPr>
            </w:pPr>
            <w:r>
              <w:rPr>
                <w:rStyle w:val="154"/>
                <w:rFonts w:hint="eastAsia"/>
                <w:color w:val="auto"/>
              </w:rPr>
              <w:t>委托有资质单位集中处置</w:t>
            </w:r>
          </w:p>
        </w:tc>
      </w:tr>
    </w:tbl>
    <w:p w14:paraId="04443A21">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3.1</w:t>
      </w:r>
      <w:r>
        <w:rPr>
          <w:b/>
          <w:bCs/>
          <w:color w:val="auto"/>
          <w:sz w:val="28"/>
          <w:szCs w:val="36"/>
        </w:rPr>
        <w:t xml:space="preserve"> </w:t>
      </w:r>
      <w:r>
        <w:rPr>
          <w:rFonts w:hint="eastAsia"/>
          <w:b/>
          <w:bCs/>
          <w:color w:val="auto"/>
          <w:sz w:val="28"/>
          <w:szCs w:val="36"/>
        </w:rPr>
        <w:t>废气达标排放情况</w:t>
      </w:r>
    </w:p>
    <w:p w14:paraId="4876A52E">
      <w:pPr>
        <w:ind w:firstLine="480"/>
        <w:rPr>
          <w:color w:val="auto"/>
        </w:rPr>
      </w:pPr>
      <w:r>
        <w:rPr>
          <w:rFonts w:hint="eastAsia"/>
          <w:color w:val="auto"/>
        </w:rPr>
        <w:t>（1）无组织废气</w:t>
      </w:r>
    </w:p>
    <w:p w14:paraId="0AABC176">
      <w:pPr>
        <w:ind w:firstLine="480"/>
        <w:rPr>
          <w:color w:val="auto"/>
        </w:rPr>
      </w:pPr>
      <w:r>
        <w:rPr>
          <w:rFonts w:hint="eastAsia"/>
          <w:color w:val="auto"/>
        </w:rPr>
        <w:t>根据江苏安环职业健康技术服务有限公司出具的厂区无组织废气监测报告（报告编号：（2024）苏安环检（环）字第（0128）号），综合数据分析，现有项目无组织废气排放情况见表3.3-2。</w:t>
      </w:r>
    </w:p>
    <w:p w14:paraId="41E9A335">
      <w:pPr>
        <w:ind w:firstLine="0" w:firstLineChars="0"/>
        <w:rPr>
          <w:color w:val="auto"/>
        </w:rPr>
        <w:sectPr>
          <w:pgSz w:w="11906" w:h="16838"/>
          <w:pgMar w:top="1418" w:right="1418" w:bottom="1418" w:left="1418" w:header="851" w:footer="992" w:gutter="0"/>
          <w:cols w:space="720" w:num="1"/>
          <w:docGrid w:linePitch="326" w:charSpace="0"/>
        </w:sectPr>
      </w:pPr>
    </w:p>
    <w:p w14:paraId="262C5774">
      <w:pPr>
        <w:spacing w:line="240" w:lineRule="auto"/>
        <w:ind w:firstLine="0" w:firstLineChars="0"/>
        <w:jc w:val="center"/>
        <w:rPr>
          <w:b/>
          <w:color w:val="auto"/>
        </w:rPr>
      </w:pPr>
      <w:r>
        <w:rPr>
          <w:rFonts w:hint="eastAsia" w:cs="宋体"/>
          <w:b/>
          <w:color w:val="auto"/>
          <w:lang w:bidi="ar"/>
        </w:rPr>
        <w:t xml:space="preserve">表3.3-2 </w:t>
      </w:r>
      <w:r>
        <w:rPr>
          <w:b/>
          <w:color w:val="auto"/>
          <w:lang w:bidi="ar"/>
        </w:rPr>
        <w:t xml:space="preserve"> </w:t>
      </w:r>
      <w:r>
        <w:rPr>
          <w:rFonts w:hint="eastAsia" w:cs="宋体"/>
          <w:b/>
          <w:color w:val="auto"/>
          <w:lang w:bidi="ar"/>
        </w:rPr>
        <w:t>无组织废气检测结果统计表</w:t>
      </w:r>
    </w:p>
    <w:tbl>
      <w:tblPr>
        <w:tblStyle w:val="88"/>
        <w:tblW w:w="4999"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0" w:type="dxa"/>
          <w:bottom w:w="0" w:type="dxa"/>
          <w:right w:w="0" w:type="dxa"/>
        </w:tblCellMar>
      </w:tblPr>
      <w:tblGrid>
        <w:gridCol w:w="2377"/>
        <w:gridCol w:w="2389"/>
        <w:gridCol w:w="4615"/>
        <w:gridCol w:w="4618"/>
      </w:tblGrid>
      <w:tr w14:paraId="2DDA21E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98" w:hRule="atLeast"/>
        </w:trPr>
        <w:tc>
          <w:tcPr>
            <w:tcW w:w="1702" w:type="pct"/>
            <w:gridSpan w:val="2"/>
            <w:tcBorders>
              <w:top w:val="single" w:color="auto" w:sz="12" w:space="0"/>
              <w:left w:val="nil"/>
              <w:bottom w:val="single" w:color="auto" w:sz="4" w:space="0"/>
              <w:right w:val="single" w:color="auto" w:sz="4" w:space="0"/>
            </w:tcBorders>
            <w:shd w:val="clear" w:color="auto" w:fill="auto"/>
            <w:noWrap/>
            <w:vAlign w:val="center"/>
          </w:tcPr>
          <w:p w14:paraId="0E23B1D2">
            <w:pPr>
              <w:spacing w:line="240" w:lineRule="auto"/>
              <w:ind w:firstLine="0" w:firstLineChars="0"/>
              <w:jc w:val="center"/>
              <w:rPr>
                <w:b/>
                <w:color w:val="auto"/>
                <w:szCs w:val="21"/>
              </w:rPr>
            </w:pPr>
            <w:r>
              <w:rPr>
                <w:rFonts w:hint="eastAsia" w:cs="宋体"/>
                <w:b/>
                <w:color w:val="auto"/>
                <w:sz w:val="21"/>
                <w:szCs w:val="21"/>
                <w:lang w:bidi="ar"/>
              </w:rPr>
              <w:t>检测日期</w:t>
            </w:r>
          </w:p>
        </w:tc>
        <w:tc>
          <w:tcPr>
            <w:tcW w:w="1648" w:type="pct"/>
            <w:tcBorders>
              <w:top w:val="single" w:color="auto" w:sz="12" w:space="0"/>
              <w:left w:val="single" w:color="auto" w:sz="4" w:space="0"/>
              <w:bottom w:val="single" w:color="auto" w:sz="4" w:space="0"/>
              <w:right w:val="single" w:color="auto" w:sz="4" w:space="0"/>
            </w:tcBorders>
            <w:shd w:val="clear" w:color="auto" w:fill="auto"/>
            <w:noWrap/>
            <w:vAlign w:val="center"/>
          </w:tcPr>
          <w:p w14:paraId="0A696D01">
            <w:pPr>
              <w:spacing w:line="240" w:lineRule="auto"/>
              <w:ind w:firstLine="0" w:firstLineChars="0"/>
              <w:jc w:val="center"/>
              <w:rPr>
                <w:b/>
                <w:color w:val="auto"/>
                <w:szCs w:val="21"/>
              </w:rPr>
            </w:pPr>
            <w:r>
              <w:rPr>
                <w:b/>
                <w:bCs/>
                <w:color w:val="auto"/>
                <w:sz w:val="21"/>
                <w:szCs w:val="21"/>
                <w:lang w:bidi="ar"/>
              </w:rPr>
              <w:t>2024.06.13</w:t>
            </w:r>
          </w:p>
        </w:tc>
        <w:tc>
          <w:tcPr>
            <w:tcW w:w="1649" w:type="pct"/>
            <w:tcBorders>
              <w:top w:val="single" w:color="auto" w:sz="12" w:space="0"/>
              <w:left w:val="single" w:color="auto" w:sz="4" w:space="0"/>
              <w:bottom w:val="single" w:color="auto" w:sz="4" w:space="0"/>
              <w:right w:val="nil"/>
            </w:tcBorders>
            <w:shd w:val="clear" w:color="auto" w:fill="auto"/>
            <w:noWrap/>
            <w:vAlign w:val="center"/>
          </w:tcPr>
          <w:p w14:paraId="09877D2F">
            <w:pPr>
              <w:spacing w:line="240" w:lineRule="auto"/>
              <w:ind w:firstLine="0" w:firstLineChars="0"/>
              <w:jc w:val="center"/>
              <w:rPr>
                <w:b/>
                <w:color w:val="auto"/>
                <w:szCs w:val="21"/>
              </w:rPr>
            </w:pPr>
            <w:r>
              <w:rPr>
                <w:b/>
                <w:bCs/>
                <w:color w:val="auto"/>
                <w:sz w:val="21"/>
                <w:szCs w:val="21"/>
                <w:lang w:bidi="ar"/>
              </w:rPr>
              <w:t>2024.06.14</w:t>
            </w:r>
          </w:p>
        </w:tc>
      </w:tr>
      <w:tr w14:paraId="54593B2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17" w:hRule="atLeast"/>
        </w:trPr>
        <w:tc>
          <w:tcPr>
            <w:tcW w:w="849" w:type="pct"/>
            <w:vMerge w:val="restart"/>
            <w:tcBorders>
              <w:top w:val="single" w:color="auto" w:sz="4" w:space="0"/>
              <w:left w:val="nil"/>
              <w:bottom w:val="single" w:color="auto" w:sz="4" w:space="0"/>
              <w:right w:val="single" w:color="auto" w:sz="4" w:space="0"/>
            </w:tcBorders>
            <w:shd w:val="clear" w:color="auto" w:fill="auto"/>
            <w:noWrap/>
            <w:vAlign w:val="center"/>
          </w:tcPr>
          <w:p w14:paraId="24548799">
            <w:pPr>
              <w:spacing w:line="240" w:lineRule="auto"/>
              <w:ind w:firstLine="0" w:firstLineChars="0"/>
              <w:jc w:val="center"/>
              <w:rPr>
                <w:b/>
                <w:color w:val="auto"/>
                <w:szCs w:val="21"/>
              </w:rPr>
            </w:pPr>
            <w:r>
              <w:rPr>
                <w:rFonts w:hint="eastAsia" w:cs="宋体"/>
                <w:b/>
                <w:color w:val="auto"/>
                <w:sz w:val="21"/>
                <w:szCs w:val="21"/>
                <w:lang w:bidi="ar"/>
              </w:rPr>
              <w:t>检测点位</w:t>
            </w:r>
          </w:p>
        </w:tc>
        <w:tc>
          <w:tcPr>
            <w:tcW w:w="85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9E2ADC8">
            <w:pPr>
              <w:spacing w:line="240" w:lineRule="auto"/>
              <w:ind w:firstLine="0" w:firstLineChars="0"/>
              <w:jc w:val="center"/>
              <w:rPr>
                <w:b/>
                <w:color w:val="auto"/>
                <w:szCs w:val="21"/>
              </w:rPr>
            </w:pPr>
            <w:r>
              <w:rPr>
                <w:rFonts w:hint="eastAsia" w:cs="宋体"/>
                <w:b/>
                <w:bCs/>
                <w:color w:val="auto"/>
                <w:sz w:val="21"/>
                <w:szCs w:val="21"/>
                <w:lang w:bidi="ar"/>
              </w:rPr>
              <w:t>采用频次</w:t>
            </w:r>
          </w:p>
        </w:tc>
        <w:tc>
          <w:tcPr>
            <w:tcW w:w="3297" w:type="pct"/>
            <w:gridSpan w:val="2"/>
            <w:tcBorders>
              <w:top w:val="single" w:color="auto" w:sz="4" w:space="0"/>
              <w:left w:val="single" w:color="auto" w:sz="4" w:space="0"/>
              <w:bottom w:val="single" w:color="auto" w:sz="4" w:space="0"/>
              <w:right w:val="nil"/>
            </w:tcBorders>
            <w:shd w:val="clear" w:color="auto" w:fill="auto"/>
            <w:noWrap/>
            <w:vAlign w:val="center"/>
          </w:tcPr>
          <w:p w14:paraId="6831AA25">
            <w:pPr>
              <w:spacing w:line="240" w:lineRule="auto"/>
              <w:ind w:firstLine="0" w:firstLineChars="0"/>
              <w:jc w:val="center"/>
              <w:rPr>
                <w:b/>
                <w:color w:val="auto"/>
                <w:szCs w:val="21"/>
              </w:rPr>
            </w:pPr>
            <w:r>
              <w:rPr>
                <w:rFonts w:hint="eastAsia" w:cs="宋体"/>
                <w:b/>
                <w:color w:val="auto"/>
                <w:sz w:val="21"/>
                <w:szCs w:val="21"/>
                <w:lang w:bidi="ar"/>
              </w:rPr>
              <w:t>检测项目</w:t>
            </w:r>
          </w:p>
        </w:tc>
      </w:tr>
      <w:tr w14:paraId="0570090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7E3E848E">
            <w:pPr>
              <w:spacing w:line="240" w:lineRule="auto"/>
              <w:ind w:firstLine="0" w:firstLineChars="0"/>
              <w:jc w:val="center"/>
              <w:rPr>
                <w:color w:val="auto"/>
                <w:sz w:val="20"/>
                <w:szCs w:val="20"/>
              </w:rPr>
            </w:pPr>
          </w:p>
        </w:tc>
        <w:tc>
          <w:tcPr>
            <w:tcW w:w="85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70296E">
            <w:pPr>
              <w:spacing w:line="240" w:lineRule="auto"/>
              <w:ind w:firstLine="0" w:firstLineChars="0"/>
              <w:jc w:val="center"/>
              <w:rPr>
                <w:color w:val="auto"/>
                <w:sz w:val="20"/>
                <w:szCs w:val="20"/>
              </w:rPr>
            </w:pPr>
          </w:p>
        </w:tc>
        <w:tc>
          <w:tcPr>
            <w:tcW w:w="3297" w:type="pct"/>
            <w:gridSpan w:val="2"/>
            <w:tcBorders>
              <w:top w:val="single" w:color="auto" w:sz="4" w:space="0"/>
              <w:left w:val="single" w:color="auto" w:sz="4" w:space="0"/>
              <w:bottom w:val="single" w:color="auto" w:sz="4" w:space="0"/>
              <w:right w:val="nil"/>
            </w:tcBorders>
            <w:shd w:val="clear" w:color="auto" w:fill="auto"/>
            <w:noWrap/>
            <w:vAlign w:val="center"/>
          </w:tcPr>
          <w:p w14:paraId="4CF245E4">
            <w:pPr>
              <w:spacing w:line="240" w:lineRule="auto"/>
              <w:ind w:firstLine="0" w:firstLineChars="0"/>
              <w:jc w:val="center"/>
              <w:rPr>
                <w:b/>
                <w:color w:val="auto"/>
                <w:szCs w:val="21"/>
              </w:rPr>
            </w:pPr>
            <w:r>
              <w:rPr>
                <w:rFonts w:hint="eastAsia" w:cs="宋体"/>
                <w:b/>
                <w:color w:val="auto"/>
                <w:sz w:val="21"/>
                <w:szCs w:val="21"/>
                <w:lang w:bidi="ar"/>
              </w:rPr>
              <w:t>总悬浮颗粒物</w:t>
            </w:r>
            <w:r>
              <w:rPr>
                <w:b/>
                <w:color w:val="auto"/>
                <w:sz w:val="21"/>
                <w:szCs w:val="21"/>
                <w:lang w:bidi="ar"/>
              </w:rPr>
              <w:t>mg/m</w:t>
            </w:r>
            <w:r>
              <w:rPr>
                <w:b/>
                <w:color w:val="auto"/>
                <w:sz w:val="21"/>
                <w:szCs w:val="21"/>
                <w:vertAlign w:val="superscript"/>
                <w:lang w:bidi="ar"/>
              </w:rPr>
              <w:t>3</w:t>
            </w:r>
          </w:p>
        </w:tc>
      </w:tr>
      <w:tr w14:paraId="0FC16D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restart"/>
            <w:tcBorders>
              <w:top w:val="single" w:color="auto" w:sz="4" w:space="0"/>
              <w:left w:val="nil"/>
              <w:bottom w:val="single" w:color="auto" w:sz="4" w:space="0"/>
              <w:right w:val="single" w:color="auto" w:sz="4" w:space="0"/>
            </w:tcBorders>
            <w:shd w:val="clear" w:color="auto" w:fill="auto"/>
            <w:noWrap/>
            <w:vAlign w:val="center"/>
          </w:tcPr>
          <w:p w14:paraId="361648A6">
            <w:pPr>
              <w:widowControl/>
              <w:spacing w:line="240" w:lineRule="auto"/>
              <w:ind w:firstLine="0" w:firstLineChars="0"/>
              <w:jc w:val="center"/>
              <w:rPr>
                <w:color w:val="auto"/>
              </w:rPr>
            </w:pPr>
            <w:r>
              <w:rPr>
                <w:color w:val="auto"/>
                <w:sz w:val="21"/>
                <w:lang w:bidi="ar"/>
              </w:rPr>
              <w:t>G1</w:t>
            </w:r>
            <w:r>
              <w:rPr>
                <w:rFonts w:hint="eastAsia" w:cs="宋体"/>
                <w:color w:val="auto"/>
                <w:sz w:val="21"/>
                <w:lang w:bidi="ar"/>
              </w:rPr>
              <w:t>上风向</w:t>
            </w: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EDE79E">
            <w:pPr>
              <w:spacing w:line="240" w:lineRule="auto"/>
              <w:ind w:firstLine="0" w:firstLineChars="0"/>
              <w:jc w:val="center"/>
              <w:rPr>
                <w:color w:val="auto"/>
                <w:szCs w:val="21"/>
              </w:rPr>
            </w:pPr>
            <w:r>
              <w:rPr>
                <w:rFonts w:hint="eastAsia" w:cs="宋体"/>
                <w:color w:val="auto"/>
                <w:sz w:val="21"/>
                <w:szCs w:val="21"/>
                <w:lang w:bidi="ar"/>
              </w:rPr>
              <w:t>第一次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DB4DAC">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5C3F9EF1">
            <w:pPr>
              <w:spacing w:line="240" w:lineRule="auto"/>
              <w:ind w:firstLine="0" w:firstLineChars="0"/>
              <w:jc w:val="center"/>
              <w:rPr>
                <w:color w:val="auto"/>
                <w:szCs w:val="21"/>
              </w:rPr>
            </w:pPr>
            <w:r>
              <w:rPr>
                <w:color w:val="auto"/>
                <w:sz w:val="21"/>
                <w:lang w:bidi="ar"/>
              </w:rPr>
              <w:t>ND</w:t>
            </w:r>
          </w:p>
        </w:tc>
      </w:tr>
      <w:tr w14:paraId="35CFBC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0A843BD8">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F8916F">
            <w:pPr>
              <w:spacing w:line="240" w:lineRule="auto"/>
              <w:ind w:firstLine="0" w:firstLineChars="0"/>
              <w:jc w:val="center"/>
              <w:rPr>
                <w:color w:val="auto"/>
                <w:szCs w:val="21"/>
              </w:rPr>
            </w:pPr>
            <w:r>
              <w:rPr>
                <w:rFonts w:hint="eastAsia" w:cs="宋体"/>
                <w:color w:val="auto"/>
                <w:sz w:val="21"/>
                <w:szCs w:val="21"/>
                <w:lang w:bidi="ar"/>
              </w:rPr>
              <w:t>第二次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FF923">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783574D3">
            <w:pPr>
              <w:spacing w:line="240" w:lineRule="auto"/>
              <w:ind w:firstLine="0" w:firstLineChars="0"/>
              <w:jc w:val="center"/>
              <w:rPr>
                <w:color w:val="auto"/>
                <w:szCs w:val="21"/>
              </w:rPr>
            </w:pPr>
            <w:r>
              <w:rPr>
                <w:color w:val="auto"/>
                <w:sz w:val="21"/>
                <w:lang w:bidi="ar"/>
              </w:rPr>
              <w:t>ND</w:t>
            </w:r>
          </w:p>
        </w:tc>
      </w:tr>
      <w:tr w14:paraId="52A45BE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7D900772">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7A8C77">
            <w:pPr>
              <w:spacing w:line="240" w:lineRule="auto"/>
              <w:ind w:firstLine="0" w:firstLineChars="0"/>
              <w:jc w:val="center"/>
              <w:rPr>
                <w:color w:val="auto"/>
                <w:szCs w:val="21"/>
              </w:rPr>
            </w:pPr>
            <w:r>
              <w:rPr>
                <w:rFonts w:hint="eastAsia" w:cs="宋体"/>
                <w:color w:val="auto"/>
                <w:sz w:val="21"/>
                <w:szCs w:val="21"/>
                <w:lang w:bidi="ar"/>
              </w:rPr>
              <w:t>第三次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6B6203">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6B9BCA14">
            <w:pPr>
              <w:spacing w:line="240" w:lineRule="auto"/>
              <w:ind w:firstLine="0" w:firstLineChars="0"/>
              <w:jc w:val="center"/>
              <w:rPr>
                <w:color w:val="auto"/>
                <w:szCs w:val="21"/>
              </w:rPr>
            </w:pPr>
            <w:r>
              <w:rPr>
                <w:color w:val="auto"/>
                <w:sz w:val="21"/>
                <w:lang w:bidi="ar"/>
              </w:rPr>
              <w:t>ND</w:t>
            </w:r>
          </w:p>
        </w:tc>
      </w:tr>
      <w:tr w14:paraId="67BFD16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restart"/>
            <w:tcBorders>
              <w:top w:val="single" w:color="auto" w:sz="4" w:space="0"/>
              <w:left w:val="nil"/>
              <w:bottom w:val="single" w:color="auto" w:sz="4" w:space="0"/>
              <w:right w:val="single" w:color="auto" w:sz="4" w:space="0"/>
            </w:tcBorders>
            <w:shd w:val="clear" w:color="auto" w:fill="auto"/>
            <w:noWrap/>
            <w:vAlign w:val="center"/>
          </w:tcPr>
          <w:p w14:paraId="066753EA">
            <w:pPr>
              <w:widowControl/>
              <w:spacing w:line="240" w:lineRule="auto"/>
              <w:ind w:firstLine="0" w:firstLineChars="0"/>
              <w:jc w:val="center"/>
              <w:rPr>
                <w:color w:val="auto"/>
              </w:rPr>
            </w:pPr>
            <w:r>
              <w:rPr>
                <w:color w:val="auto"/>
                <w:sz w:val="21"/>
                <w:lang w:bidi="ar"/>
              </w:rPr>
              <w:t>G2</w:t>
            </w:r>
            <w:r>
              <w:rPr>
                <w:rFonts w:hint="eastAsia" w:cs="宋体"/>
                <w:color w:val="auto"/>
                <w:sz w:val="21"/>
                <w:lang w:bidi="ar"/>
              </w:rPr>
              <w:t>下风向</w:t>
            </w: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0AF00E">
            <w:pPr>
              <w:spacing w:line="240" w:lineRule="auto"/>
              <w:ind w:firstLine="0" w:firstLineChars="0"/>
              <w:jc w:val="center"/>
              <w:rPr>
                <w:color w:val="auto"/>
                <w:szCs w:val="21"/>
              </w:rPr>
            </w:pPr>
            <w:r>
              <w:rPr>
                <w:rFonts w:hint="eastAsia" w:cs="宋体"/>
                <w:color w:val="auto"/>
                <w:sz w:val="21"/>
                <w:szCs w:val="21"/>
                <w:lang w:bidi="ar"/>
              </w:rPr>
              <w:t>第一次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A81DD4">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7F8D388F">
            <w:pPr>
              <w:spacing w:line="240" w:lineRule="auto"/>
              <w:ind w:firstLine="0" w:firstLineChars="0"/>
              <w:jc w:val="center"/>
              <w:rPr>
                <w:color w:val="auto"/>
                <w:szCs w:val="21"/>
              </w:rPr>
            </w:pPr>
            <w:r>
              <w:rPr>
                <w:color w:val="auto"/>
                <w:sz w:val="21"/>
                <w:lang w:bidi="ar"/>
              </w:rPr>
              <w:t>ND</w:t>
            </w:r>
          </w:p>
        </w:tc>
      </w:tr>
      <w:tr w14:paraId="477916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44D0C484">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0FD7F8">
            <w:pPr>
              <w:spacing w:line="240" w:lineRule="auto"/>
              <w:ind w:firstLine="0" w:firstLineChars="0"/>
              <w:jc w:val="center"/>
              <w:rPr>
                <w:color w:val="auto"/>
                <w:szCs w:val="21"/>
              </w:rPr>
            </w:pPr>
            <w:r>
              <w:rPr>
                <w:rFonts w:hint="eastAsia" w:cs="宋体"/>
                <w:color w:val="auto"/>
                <w:sz w:val="21"/>
                <w:szCs w:val="21"/>
                <w:lang w:bidi="ar"/>
              </w:rPr>
              <w:t>第二次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DCFAAB">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62894717">
            <w:pPr>
              <w:spacing w:line="240" w:lineRule="auto"/>
              <w:ind w:firstLine="0" w:firstLineChars="0"/>
              <w:jc w:val="center"/>
              <w:rPr>
                <w:color w:val="auto"/>
                <w:szCs w:val="21"/>
              </w:rPr>
            </w:pPr>
            <w:r>
              <w:rPr>
                <w:color w:val="auto"/>
                <w:sz w:val="21"/>
                <w:lang w:bidi="ar"/>
              </w:rPr>
              <w:t>ND</w:t>
            </w:r>
          </w:p>
        </w:tc>
      </w:tr>
      <w:tr w14:paraId="177C893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0B5EEC22">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958A39">
            <w:pPr>
              <w:spacing w:line="240" w:lineRule="auto"/>
              <w:ind w:firstLine="0" w:firstLineChars="0"/>
              <w:jc w:val="center"/>
              <w:rPr>
                <w:color w:val="auto"/>
                <w:szCs w:val="21"/>
              </w:rPr>
            </w:pPr>
            <w:r>
              <w:rPr>
                <w:rFonts w:hint="eastAsia" w:cs="宋体"/>
                <w:color w:val="auto"/>
                <w:sz w:val="21"/>
                <w:szCs w:val="21"/>
                <w:lang w:bidi="ar"/>
              </w:rPr>
              <w:t>第三次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E49D8D">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1F7CF2D5">
            <w:pPr>
              <w:spacing w:line="240" w:lineRule="auto"/>
              <w:ind w:firstLine="0" w:firstLineChars="0"/>
              <w:jc w:val="center"/>
              <w:rPr>
                <w:color w:val="auto"/>
                <w:szCs w:val="21"/>
              </w:rPr>
            </w:pPr>
            <w:r>
              <w:rPr>
                <w:color w:val="auto"/>
                <w:sz w:val="21"/>
                <w:lang w:bidi="ar"/>
              </w:rPr>
              <w:t>ND</w:t>
            </w:r>
          </w:p>
        </w:tc>
      </w:tr>
      <w:tr w14:paraId="1A00CA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restart"/>
            <w:tcBorders>
              <w:top w:val="single" w:color="auto" w:sz="4" w:space="0"/>
              <w:left w:val="nil"/>
              <w:bottom w:val="single" w:color="auto" w:sz="4" w:space="0"/>
              <w:right w:val="single" w:color="auto" w:sz="4" w:space="0"/>
            </w:tcBorders>
            <w:shd w:val="clear" w:color="auto" w:fill="auto"/>
            <w:noWrap/>
            <w:vAlign w:val="center"/>
          </w:tcPr>
          <w:p w14:paraId="1FA96A96">
            <w:pPr>
              <w:widowControl/>
              <w:spacing w:line="240" w:lineRule="auto"/>
              <w:ind w:firstLine="0" w:firstLineChars="0"/>
              <w:jc w:val="center"/>
              <w:rPr>
                <w:color w:val="auto"/>
              </w:rPr>
            </w:pPr>
            <w:r>
              <w:rPr>
                <w:color w:val="auto"/>
                <w:sz w:val="21"/>
                <w:lang w:bidi="ar"/>
              </w:rPr>
              <w:t>G3</w:t>
            </w:r>
            <w:r>
              <w:rPr>
                <w:rFonts w:hint="eastAsia" w:cs="宋体"/>
                <w:color w:val="auto"/>
                <w:sz w:val="21"/>
                <w:lang w:bidi="ar"/>
              </w:rPr>
              <w:t>下风向</w:t>
            </w: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6AC147">
            <w:pPr>
              <w:spacing w:line="240" w:lineRule="auto"/>
              <w:ind w:firstLine="0" w:firstLineChars="0"/>
              <w:jc w:val="center"/>
              <w:rPr>
                <w:color w:val="auto"/>
                <w:szCs w:val="21"/>
              </w:rPr>
            </w:pPr>
            <w:r>
              <w:rPr>
                <w:rFonts w:hint="eastAsia" w:cs="宋体"/>
                <w:color w:val="auto"/>
                <w:sz w:val="21"/>
                <w:szCs w:val="21"/>
                <w:lang w:bidi="ar"/>
              </w:rPr>
              <w:t>第一次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8590E4">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1A145B57">
            <w:pPr>
              <w:spacing w:line="240" w:lineRule="auto"/>
              <w:ind w:firstLine="0" w:firstLineChars="0"/>
              <w:jc w:val="center"/>
              <w:rPr>
                <w:color w:val="auto"/>
                <w:szCs w:val="21"/>
              </w:rPr>
            </w:pPr>
            <w:r>
              <w:rPr>
                <w:color w:val="auto"/>
                <w:sz w:val="21"/>
                <w:lang w:bidi="ar"/>
              </w:rPr>
              <w:t>ND</w:t>
            </w:r>
          </w:p>
        </w:tc>
      </w:tr>
      <w:tr w14:paraId="47A80AB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2B5D1668">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315CFD">
            <w:pPr>
              <w:spacing w:line="240" w:lineRule="auto"/>
              <w:ind w:firstLine="0" w:firstLineChars="0"/>
              <w:jc w:val="center"/>
              <w:rPr>
                <w:color w:val="auto"/>
                <w:szCs w:val="21"/>
              </w:rPr>
            </w:pPr>
            <w:r>
              <w:rPr>
                <w:rFonts w:hint="eastAsia" w:cs="宋体"/>
                <w:color w:val="auto"/>
                <w:sz w:val="21"/>
                <w:szCs w:val="21"/>
                <w:lang w:bidi="ar"/>
              </w:rPr>
              <w:t>第二次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C91B25">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13232DFD">
            <w:pPr>
              <w:spacing w:line="240" w:lineRule="auto"/>
              <w:ind w:firstLine="0" w:firstLineChars="0"/>
              <w:jc w:val="center"/>
              <w:rPr>
                <w:color w:val="auto"/>
                <w:szCs w:val="21"/>
              </w:rPr>
            </w:pPr>
            <w:r>
              <w:rPr>
                <w:color w:val="auto"/>
                <w:sz w:val="21"/>
                <w:lang w:bidi="ar"/>
              </w:rPr>
              <w:t>ND</w:t>
            </w:r>
          </w:p>
        </w:tc>
      </w:tr>
      <w:tr w14:paraId="4B5696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14AF0298">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032FFA">
            <w:pPr>
              <w:spacing w:line="240" w:lineRule="auto"/>
              <w:ind w:firstLine="0" w:firstLineChars="0"/>
              <w:jc w:val="center"/>
              <w:rPr>
                <w:color w:val="auto"/>
                <w:szCs w:val="21"/>
              </w:rPr>
            </w:pPr>
            <w:r>
              <w:rPr>
                <w:rFonts w:hint="eastAsia" w:cs="宋体"/>
                <w:color w:val="auto"/>
                <w:sz w:val="21"/>
                <w:szCs w:val="21"/>
                <w:lang w:bidi="ar"/>
              </w:rPr>
              <w:t>第三次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544A7C">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7EBA4784">
            <w:pPr>
              <w:spacing w:line="240" w:lineRule="auto"/>
              <w:ind w:firstLine="0" w:firstLineChars="0"/>
              <w:jc w:val="center"/>
              <w:rPr>
                <w:color w:val="auto"/>
                <w:szCs w:val="21"/>
              </w:rPr>
            </w:pPr>
            <w:r>
              <w:rPr>
                <w:color w:val="auto"/>
                <w:sz w:val="21"/>
                <w:lang w:bidi="ar"/>
              </w:rPr>
              <w:t>ND</w:t>
            </w:r>
          </w:p>
        </w:tc>
      </w:tr>
      <w:tr w14:paraId="452B627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restart"/>
            <w:tcBorders>
              <w:top w:val="single" w:color="auto" w:sz="4" w:space="0"/>
              <w:left w:val="nil"/>
              <w:bottom w:val="single" w:color="auto" w:sz="4" w:space="0"/>
              <w:right w:val="single" w:color="auto" w:sz="4" w:space="0"/>
            </w:tcBorders>
            <w:shd w:val="clear" w:color="auto" w:fill="auto"/>
            <w:noWrap/>
            <w:vAlign w:val="center"/>
          </w:tcPr>
          <w:p w14:paraId="53D0F1D8">
            <w:pPr>
              <w:widowControl/>
              <w:spacing w:line="240" w:lineRule="auto"/>
              <w:ind w:firstLine="0" w:firstLineChars="0"/>
              <w:jc w:val="center"/>
              <w:rPr>
                <w:color w:val="auto"/>
              </w:rPr>
            </w:pPr>
            <w:r>
              <w:rPr>
                <w:color w:val="auto"/>
                <w:sz w:val="21"/>
                <w:lang w:bidi="ar"/>
              </w:rPr>
              <w:t>G4</w:t>
            </w:r>
            <w:r>
              <w:rPr>
                <w:rFonts w:hint="eastAsia" w:cs="宋体"/>
                <w:color w:val="auto"/>
                <w:sz w:val="21"/>
                <w:lang w:bidi="ar"/>
              </w:rPr>
              <w:t>下风向</w:t>
            </w: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DADE90">
            <w:pPr>
              <w:spacing w:line="240" w:lineRule="auto"/>
              <w:ind w:firstLine="0" w:firstLineChars="0"/>
              <w:jc w:val="center"/>
              <w:rPr>
                <w:color w:val="auto"/>
                <w:szCs w:val="21"/>
              </w:rPr>
            </w:pPr>
            <w:r>
              <w:rPr>
                <w:rFonts w:hint="eastAsia" w:cs="宋体"/>
                <w:color w:val="auto"/>
                <w:sz w:val="21"/>
                <w:szCs w:val="21"/>
                <w:lang w:bidi="ar"/>
              </w:rPr>
              <w:t>第一次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98EDCB">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49E7300E">
            <w:pPr>
              <w:spacing w:line="240" w:lineRule="auto"/>
              <w:ind w:firstLine="0" w:firstLineChars="0"/>
              <w:jc w:val="center"/>
              <w:rPr>
                <w:color w:val="auto"/>
                <w:szCs w:val="21"/>
              </w:rPr>
            </w:pPr>
            <w:r>
              <w:rPr>
                <w:color w:val="auto"/>
                <w:sz w:val="21"/>
                <w:lang w:bidi="ar"/>
              </w:rPr>
              <w:t>ND</w:t>
            </w:r>
          </w:p>
        </w:tc>
      </w:tr>
      <w:tr w14:paraId="7ADD04F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2C6DB08C">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1AB69E">
            <w:pPr>
              <w:spacing w:line="240" w:lineRule="auto"/>
              <w:ind w:firstLine="0" w:firstLineChars="0"/>
              <w:jc w:val="center"/>
              <w:rPr>
                <w:color w:val="auto"/>
                <w:szCs w:val="21"/>
              </w:rPr>
            </w:pPr>
            <w:r>
              <w:rPr>
                <w:rFonts w:hint="eastAsia" w:cs="宋体"/>
                <w:color w:val="auto"/>
                <w:sz w:val="21"/>
                <w:szCs w:val="21"/>
                <w:lang w:bidi="ar"/>
              </w:rPr>
              <w:t>第二次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DC7104">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71E860F8">
            <w:pPr>
              <w:spacing w:line="240" w:lineRule="auto"/>
              <w:ind w:firstLine="0" w:firstLineChars="0"/>
              <w:jc w:val="center"/>
              <w:rPr>
                <w:color w:val="auto"/>
                <w:szCs w:val="21"/>
              </w:rPr>
            </w:pPr>
            <w:r>
              <w:rPr>
                <w:color w:val="auto"/>
                <w:sz w:val="21"/>
                <w:lang w:bidi="ar"/>
              </w:rPr>
              <w:t>ND</w:t>
            </w:r>
          </w:p>
        </w:tc>
      </w:tr>
      <w:tr w14:paraId="2A260F3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849" w:type="pct"/>
            <w:vMerge w:val="continue"/>
            <w:tcBorders>
              <w:top w:val="single" w:color="auto" w:sz="4" w:space="0"/>
              <w:left w:val="nil"/>
              <w:bottom w:val="single" w:color="auto" w:sz="4" w:space="0"/>
              <w:right w:val="single" w:color="auto" w:sz="4" w:space="0"/>
            </w:tcBorders>
            <w:shd w:val="clear" w:color="auto" w:fill="auto"/>
            <w:noWrap/>
            <w:vAlign w:val="center"/>
          </w:tcPr>
          <w:p w14:paraId="0C14C078">
            <w:pPr>
              <w:spacing w:line="240" w:lineRule="auto"/>
              <w:ind w:firstLine="0" w:firstLineChars="0"/>
              <w:jc w:val="center"/>
              <w:rPr>
                <w:color w:val="auto"/>
                <w:sz w:val="20"/>
                <w:szCs w:val="20"/>
              </w:rPr>
            </w:pPr>
          </w:p>
        </w:tc>
        <w:tc>
          <w:tcPr>
            <w:tcW w:w="8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286063">
            <w:pPr>
              <w:spacing w:line="240" w:lineRule="auto"/>
              <w:ind w:firstLine="0" w:firstLineChars="0"/>
              <w:jc w:val="center"/>
              <w:rPr>
                <w:color w:val="auto"/>
                <w:szCs w:val="21"/>
              </w:rPr>
            </w:pPr>
            <w:r>
              <w:rPr>
                <w:rFonts w:hint="eastAsia" w:cs="宋体"/>
                <w:color w:val="auto"/>
                <w:sz w:val="21"/>
                <w:szCs w:val="21"/>
                <w:lang w:bidi="ar"/>
              </w:rPr>
              <w:t>第三次</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067090">
            <w:pPr>
              <w:spacing w:line="240" w:lineRule="auto"/>
              <w:ind w:firstLine="0" w:firstLineChars="0"/>
              <w:jc w:val="center"/>
              <w:rPr>
                <w:color w:val="auto"/>
                <w:szCs w:val="21"/>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0518F971">
            <w:pPr>
              <w:spacing w:line="240" w:lineRule="auto"/>
              <w:ind w:firstLine="0" w:firstLineChars="0"/>
              <w:jc w:val="center"/>
              <w:rPr>
                <w:color w:val="auto"/>
                <w:szCs w:val="21"/>
              </w:rPr>
            </w:pPr>
            <w:r>
              <w:rPr>
                <w:color w:val="auto"/>
                <w:sz w:val="21"/>
                <w:lang w:bidi="ar"/>
              </w:rPr>
              <w:t>ND</w:t>
            </w:r>
          </w:p>
        </w:tc>
      </w:tr>
      <w:tr w14:paraId="5987730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702" w:type="pct"/>
            <w:gridSpan w:val="2"/>
            <w:tcBorders>
              <w:top w:val="single" w:color="auto" w:sz="4" w:space="0"/>
              <w:left w:val="nil"/>
              <w:bottom w:val="single" w:color="auto" w:sz="4" w:space="0"/>
              <w:right w:val="single" w:color="auto" w:sz="4" w:space="0"/>
            </w:tcBorders>
            <w:shd w:val="clear" w:color="auto" w:fill="auto"/>
            <w:noWrap/>
            <w:vAlign w:val="center"/>
          </w:tcPr>
          <w:p w14:paraId="11225613">
            <w:pPr>
              <w:widowControl/>
              <w:spacing w:line="240" w:lineRule="auto"/>
              <w:ind w:firstLine="0" w:firstLineChars="0"/>
              <w:jc w:val="center"/>
              <w:rPr>
                <w:color w:val="auto"/>
              </w:rPr>
            </w:pPr>
            <w:r>
              <w:rPr>
                <w:rFonts w:hint="eastAsia" w:cs="宋体"/>
                <w:color w:val="auto"/>
                <w:sz w:val="21"/>
                <w:lang w:bidi="ar"/>
              </w:rPr>
              <w:t>周界外浓度最高值</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4CC701">
            <w:pPr>
              <w:widowControl/>
              <w:spacing w:line="240" w:lineRule="auto"/>
              <w:ind w:firstLine="0" w:firstLineChars="0"/>
              <w:jc w:val="center"/>
              <w:rPr>
                <w:b/>
                <w:color w:val="auto"/>
              </w:rPr>
            </w:pPr>
            <w:r>
              <w:rPr>
                <w:color w:val="auto"/>
                <w:sz w:val="21"/>
                <w:lang w:bidi="ar"/>
              </w:rPr>
              <w:t>ND</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357B62BB">
            <w:pPr>
              <w:widowControl/>
              <w:spacing w:line="240" w:lineRule="auto"/>
              <w:ind w:firstLine="0" w:firstLineChars="0"/>
              <w:jc w:val="center"/>
              <w:rPr>
                <w:b/>
                <w:color w:val="auto"/>
              </w:rPr>
            </w:pPr>
            <w:r>
              <w:rPr>
                <w:color w:val="auto"/>
                <w:sz w:val="21"/>
                <w:lang w:bidi="ar"/>
              </w:rPr>
              <w:t>ND</w:t>
            </w:r>
          </w:p>
        </w:tc>
      </w:tr>
      <w:tr w14:paraId="1121AC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702" w:type="pct"/>
            <w:gridSpan w:val="2"/>
            <w:tcBorders>
              <w:top w:val="single" w:color="auto" w:sz="4" w:space="0"/>
              <w:left w:val="nil"/>
              <w:bottom w:val="single" w:color="auto" w:sz="4" w:space="0"/>
              <w:right w:val="single" w:color="auto" w:sz="4" w:space="0"/>
            </w:tcBorders>
            <w:shd w:val="clear" w:color="auto" w:fill="auto"/>
            <w:noWrap/>
            <w:vAlign w:val="center"/>
          </w:tcPr>
          <w:p w14:paraId="3C54BE3E">
            <w:pPr>
              <w:widowControl/>
              <w:spacing w:line="240" w:lineRule="auto"/>
              <w:ind w:firstLine="0" w:firstLineChars="0"/>
              <w:jc w:val="center"/>
              <w:rPr>
                <w:color w:val="auto"/>
              </w:rPr>
            </w:pPr>
            <w:r>
              <w:rPr>
                <w:rFonts w:hint="eastAsia" w:cs="宋体"/>
                <w:color w:val="auto"/>
                <w:sz w:val="21"/>
                <w:lang w:bidi="ar"/>
              </w:rPr>
              <w:t>执行标准限值</w:t>
            </w:r>
          </w:p>
        </w:tc>
        <w:tc>
          <w:tcPr>
            <w:tcW w:w="16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131D2D">
            <w:pPr>
              <w:widowControl/>
              <w:spacing w:line="240" w:lineRule="auto"/>
              <w:ind w:firstLine="0" w:firstLineChars="0"/>
              <w:jc w:val="center"/>
              <w:rPr>
                <w:color w:val="auto"/>
                <w:kern w:val="0"/>
                <w:szCs w:val="21"/>
              </w:rPr>
            </w:pPr>
            <w:r>
              <w:rPr>
                <w:color w:val="auto"/>
                <w:kern w:val="0"/>
                <w:sz w:val="21"/>
                <w:szCs w:val="21"/>
                <w:lang w:bidi="ar"/>
              </w:rPr>
              <w:t>4.0</w:t>
            </w:r>
          </w:p>
        </w:tc>
        <w:tc>
          <w:tcPr>
            <w:tcW w:w="1649" w:type="pct"/>
            <w:tcBorders>
              <w:top w:val="single" w:color="auto" w:sz="4" w:space="0"/>
              <w:left w:val="single" w:color="auto" w:sz="4" w:space="0"/>
              <w:bottom w:val="single" w:color="auto" w:sz="4" w:space="0"/>
              <w:right w:val="nil"/>
            </w:tcBorders>
            <w:shd w:val="clear" w:color="auto" w:fill="auto"/>
            <w:noWrap/>
            <w:vAlign w:val="center"/>
          </w:tcPr>
          <w:p w14:paraId="6A531A37">
            <w:pPr>
              <w:widowControl/>
              <w:spacing w:line="240" w:lineRule="auto"/>
              <w:ind w:firstLine="0" w:firstLineChars="0"/>
              <w:jc w:val="center"/>
              <w:rPr>
                <w:color w:val="auto"/>
                <w:kern w:val="0"/>
                <w:szCs w:val="21"/>
              </w:rPr>
            </w:pPr>
            <w:r>
              <w:rPr>
                <w:color w:val="auto"/>
                <w:kern w:val="0"/>
                <w:sz w:val="21"/>
                <w:szCs w:val="21"/>
                <w:lang w:bidi="ar"/>
              </w:rPr>
              <w:t>4.0</w:t>
            </w:r>
          </w:p>
        </w:tc>
      </w:tr>
      <w:tr w14:paraId="4A2AA0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06" w:hRule="atLeast"/>
        </w:trPr>
        <w:tc>
          <w:tcPr>
            <w:tcW w:w="1702" w:type="pct"/>
            <w:gridSpan w:val="2"/>
            <w:tcBorders>
              <w:top w:val="single" w:color="auto" w:sz="4" w:space="0"/>
              <w:left w:val="nil"/>
              <w:bottom w:val="single" w:color="auto" w:sz="12" w:space="0"/>
              <w:right w:val="single" w:color="auto" w:sz="4" w:space="0"/>
            </w:tcBorders>
            <w:shd w:val="clear" w:color="auto" w:fill="auto"/>
            <w:noWrap/>
            <w:vAlign w:val="center"/>
          </w:tcPr>
          <w:p w14:paraId="53D593BB">
            <w:pPr>
              <w:widowControl/>
              <w:spacing w:line="240" w:lineRule="auto"/>
              <w:ind w:firstLine="0" w:firstLineChars="0"/>
              <w:jc w:val="center"/>
              <w:rPr>
                <w:color w:val="auto"/>
                <w:szCs w:val="21"/>
              </w:rPr>
            </w:pPr>
            <w:r>
              <w:rPr>
                <w:rFonts w:hint="eastAsia" w:cs="宋体"/>
                <w:color w:val="auto"/>
                <w:sz w:val="21"/>
                <w:szCs w:val="21"/>
                <w:lang w:bidi="ar"/>
              </w:rPr>
              <w:t>达标情况</w:t>
            </w:r>
          </w:p>
        </w:tc>
        <w:tc>
          <w:tcPr>
            <w:tcW w:w="1648" w:type="pct"/>
            <w:tcBorders>
              <w:top w:val="single" w:color="auto" w:sz="4" w:space="0"/>
              <w:left w:val="single" w:color="auto" w:sz="4" w:space="0"/>
              <w:bottom w:val="single" w:color="auto" w:sz="12" w:space="0"/>
              <w:right w:val="single" w:color="auto" w:sz="4" w:space="0"/>
            </w:tcBorders>
            <w:shd w:val="clear" w:color="auto" w:fill="auto"/>
            <w:noWrap/>
            <w:vAlign w:val="center"/>
          </w:tcPr>
          <w:p w14:paraId="43913EAE">
            <w:pPr>
              <w:widowControl/>
              <w:spacing w:line="240" w:lineRule="auto"/>
              <w:ind w:firstLine="0" w:firstLineChars="0"/>
              <w:jc w:val="center"/>
              <w:rPr>
                <w:color w:val="auto"/>
                <w:kern w:val="0"/>
                <w:sz w:val="22"/>
                <w:szCs w:val="22"/>
              </w:rPr>
            </w:pPr>
            <w:r>
              <w:rPr>
                <w:rFonts w:hint="eastAsia"/>
                <w:color w:val="auto"/>
                <w:kern w:val="0"/>
                <w:sz w:val="22"/>
                <w:szCs w:val="22"/>
              </w:rPr>
              <w:t>达标</w:t>
            </w:r>
          </w:p>
        </w:tc>
        <w:tc>
          <w:tcPr>
            <w:tcW w:w="1649" w:type="pct"/>
            <w:tcBorders>
              <w:top w:val="single" w:color="auto" w:sz="4" w:space="0"/>
              <w:left w:val="single" w:color="auto" w:sz="4" w:space="0"/>
              <w:bottom w:val="single" w:color="auto" w:sz="12" w:space="0"/>
              <w:right w:val="nil"/>
            </w:tcBorders>
            <w:shd w:val="clear" w:color="auto" w:fill="auto"/>
            <w:noWrap/>
            <w:vAlign w:val="center"/>
          </w:tcPr>
          <w:p w14:paraId="361E7992">
            <w:pPr>
              <w:widowControl/>
              <w:spacing w:line="240" w:lineRule="auto"/>
              <w:ind w:firstLine="0" w:firstLineChars="0"/>
              <w:jc w:val="center"/>
              <w:rPr>
                <w:color w:val="auto"/>
                <w:kern w:val="0"/>
                <w:sz w:val="22"/>
                <w:szCs w:val="22"/>
              </w:rPr>
            </w:pPr>
            <w:r>
              <w:rPr>
                <w:rFonts w:hint="eastAsia"/>
                <w:color w:val="auto"/>
                <w:kern w:val="0"/>
                <w:sz w:val="22"/>
                <w:szCs w:val="22"/>
              </w:rPr>
              <w:t>达标</w:t>
            </w:r>
          </w:p>
        </w:tc>
      </w:tr>
    </w:tbl>
    <w:p w14:paraId="604E7791">
      <w:pPr>
        <w:ind w:firstLine="480"/>
        <w:rPr>
          <w:color w:val="auto"/>
        </w:rPr>
      </w:pPr>
      <w:r>
        <w:rPr>
          <w:rFonts w:hint="eastAsia"/>
          <w:color w:val="auto"/>
        </w:rPr>
        <w:t>由上表可知，厂界各无组织污染物颗粒物排放浓度满足江苏省地方标准《大气污染物综合排放标准》（DB32/4041-2021）中表3标准限值。</w:t>
      </w:r>
    </w:p>
    <w:p w14:paraId="3D4DE47F">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3.2</w:t>
      </w:r>
      <w:r>
        <w:rPr>
          <w:b/>
          <w:bCs/>
          <w:color w:val="auto"/>
          <w:sz w:val="28"/>
          <w:szCs w:val="36"/>
        </w:rPr>
        <w:t xml:space="preserve"> </w:t>
      </w:r>
      <w:r>
        <w:rPr>
          <w:rFonts w:hint="eastAsia"/>
          <w:b/>
          <w:bCs/>
          <w:color w:val="auto"/>
          <w:sz w:val="28"/>
          <w:szCs w:val="36"/>
        </w:rPr>
        <w:t>废水达标排放情况</w:t>
      </w:r>
    </w:p>
    <w:p w14:paraId="7043A869">
      <w:pPr>
        <w:ind w:firstLine="480"/>
        <w:rPr>
          <w:color w:val="auto"/>
        </w:rPr>
      </w:pPr>
      <w:r>
        <w:rPr>
          <w:rFonts w:hint="eastAsia"/>
          <w:color w:val="auto"/>
        </w:rPr>
        <w:t>现有项目废水仅为生活污水，生活污水经化粪池处理后接管开发区临港污水处理厂集中处理，尾水达标排放。现有项目生活污水排放量为240m</w:t>
      </w:r>
      <w:r>
        <w:rPr>
          <w:rFonts w:hint="eastAsia"/>
          <w:color w:val="auto"/>
          <w:vertAlign w:val="superscript"/>
        </w:rPr>
        <w:t>3</w:t>
      </w:r>
      <w:r>
        <w:rPr>
          <w:rFonts w:hint="eastAsia"/>
          <w:color w:val="auto"/>
        </w:rPr>
        <w:t>/a（0.8m</w:t>
      </w:r>
      <w:r>
        <w:rPr>
          <w:rFonts w:hint="eastAsia"/>
          <w:color w:val="auto"/>
          <w:vertAlign w:val="superscript"/>
        </w:rPr>
        <w:t>3</w:t>
      </w:r>
      <w:r>
        <w:rPr>
          <w:rFonts w:hint="eastAsia"/>
          <w:color w:val="auto"/>
        </w:rPr>
        <w:t>/d），企业已建容积5m</w:t>
      </w:r>
      <w:r>
        <w:rPr>
          <w:rFonts w:hint="eastAsia"/>
          <w:color w:val="auto"/>
          <w:vertAlign w:val="superscript"/>
        </w:rPr>
        <w:t>3</w:t>
      </w:r>
      <w:r>
        <w:rPr>
          <w:rFonts w:hint="eastAsia"/>
          <w:color w:val="auto"/>
        </w:rPr>
        <w:t>化粪池用于预处理生活污水，可满足项目需求。</w:t>
      </w:r>
    </w:p>
    <w:p w14:paraId="6EA0C0E6">
      <w:pPr>
        <w:ind w:firstLine="480"/>
        <w:rPr>
          <w:color w:val="auto"/>
        </w:rPr>
      </w:pPr>
      <w:r>
        <w:rPr>
          <w:rFonts w:hint="eastAsia"/>
          <w:color w:val="auto"/>
        </w:rPr>
        <w:t>现有项目水平衡见图3.3-1。</w:t>
      </w:r>
    </w:p>
    <w:p w14:paraId="7E831B74">
      <w:pPr>
        <w:ind w:firstLine="640"/>
        <w:rPr>
          <w:color w:val="auto"/>
          <w:sz w:val="32"/>
          <w:szCs w:val="48"/>
        </w:rPr>
        <w:sectPr>
          <w:pgSz w:w="16838" w:h="11906" w:orient="landscape"/>
          <w:pgMar w:top="1417" w:right="1418" w:bottom="1417" w:left="1418" w:header="851" w:footer="992" w:gutter="0"/>
          <w:cols w:space="0" w:num="1"/>
          <w:docGrid w:linePitch="326" w:charSpace="0"/>
        </w:sectPr>
      </w:pPr>
    </w:p>
    <w:p w14:paraId="4DC744BA">
      <w:pPr>
        <w:ind w:firstLine="0" w:firstLineChars="0"/>
        <w:jc w:val="center"/>
        <w:rPr>
          <w:color w:val="auto"/>
          <w:sz w:val="32"/>
          <w:szCs w:val="48"/>
        </w:rPr>
      </w:pPr>
      <w:r>
        <w:rPr>
          <w:color w:val="auto"/>
          <w:sz w:val="32"/>
          <w:szCs w:val="48"/>
        </w:rPr>
        <w:object>
          <v:shape id="_x0000_i1027" o:spt="75" type="#_x0000_t75" style="height:53.75pt;width:354.1pt;" o:ole="t" filled="f" o:preferrelative="t" stroked="f" coordsize="21600,21600">
            <v:path/>
            <v:fill on="f" focussize="0,0"/>
            <v:stroke on="f" joinstyle="miter"/>
            <v:imagedata r:id="rId25" o:title=""/>
            <o:lock v:ext="edit" aspectratio="t"/>
            <w10:wrap type="none"/>
            <w10:anchorlock/>
          </v:shape>
          <o:OLEObject Type="Embed" ProgID="Visio.Drawing.15" ShapeID="_x0000_i1027" DrawAspect="Content" ObjectID="_1468075727" r:id="rId24">
            <o:LockedField>false</o:LockedField>
          </o:OLEObject>
        </w:object>
      </w:r>
    </w:p>
    <w:p w14:paraId="70A479C5">
      <w:pPr>
        <w:ind w:firstLine="0" w:firstLineChars="0"/>
        <w:jc w:val="center"/>
        <w:rPr>
          <w:b/>
          <w:bCs/>
          <w:color w:val="auto"/>
        </w:rPr>
      </w:pPr>
      <w:r>
        <w:rPr>
          <w:rFonts w:hint="eastAsia"/>
          <w:b/>
          <w:bCs/>
          <w:color w:val="auto"/>
        </w:rPr>
        <w:t>图3.3-1  现有项目水平衡图</w:t>
      </w:r>
    </w:p>
    <w:p w14:paraId="70E0717A">
      <w:pPr>
        <w:ind w:firstLine="480"/>
        <w:rPr>
          <w:color w:val="auto"/>
        </w:rPr>
      </w:pPr>
      <w:r>
        <w:rPr>
          <w:rFonts w:hint="eastAsia"/>
          <w:color w:val="auto"/>
        </w:rPr>
        <w:t>根据江苏安环职业健康技术服务有限公司对现有项目出具的检测报告（报告编号：（2024）苏安环检（环）字第（0128）号），由监测报告可知，现有项目产生的废水经化粪池预处理后可实现达标排放。监测结果见表3.3-3。</w:t>
      </w:r>
    </w:p>
    <w:p w14:paraId="6D6E3959">
      <w:pPr>
        <w:spacing w:line="240" w:lineRule="auto"/>
        <w:ind w:firstLine="0" w:firstLineChars="0"/>
        <w:jc w:val="center"/>
        <w:rPr>
          <w:b/>
          <w:color w:val="auto"/>
        </w:rPr>
      </w:pPr>
      <w:r>
        <w:rPr>
          <w:rFonts w:hint="eastAsia" w:cs="宋体"/>
          <w:b/>
          <w:color w:val="auto"/>
          <w:lang w:bidi="ar"/>
        </w:rPr>
        <w:t>表</w:t>
      </w:r>
      <w:r>
        <w:rPr>
          <w:rFonts w:hint="eastAsia"/>
          <w:b/>
          <w:color w:val="auto"/>
          <w:lang w:bidi="ar"/>
        </w:rPr>
        <w:t xml:space="preserve">3.3-3 </w:t>
      </w:r>
      <w:r>
        <w:rPr>
          <w:b/>
          <w:color w:val="auto"/>
          <w:lang w:bidi="ar"/>
        </w:rPr>
        <w:t xml:space="preserve"> </w:t>
      </w:r>
      <w:r>
        <w:rPr>
          <w:rFonts w:hint="eastAsia"/>
          <w:b/>
          <w:color w:val="auto"/>
          <w:lang w:bidi="ar"/>
        </w:rPr>
        <w:t>废水监测</w:t>
      </w:r>
      <w:r>
        <w:rPr>
          <w:rFonts w:hint="eastAsia" w:cs="宋体"/>
          <w:b/>
          <w:color w:val="auto"/>
          <w:lang w:bidi="ar"/>
        </w:rPr>
        <w:t>结果统计表</w:t>
      </w:r>
    </w:p>
    <w:tbl>
      <w:tblPr>
        <w:tblStyle w:val="88"/>
        <w:tblW w:w="4997"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038"/>
        <w:gridCol w:w="1181"/>
        <w:gridCol w:w="1054"/>
        <w:gridCol w:w="929"/>
        <w:gridCol w:w="969"/>
        <w:gridCol w:w="1025"/>
        <w:gridCol w:w="1025"/>
        <w:gridCol w:w="922"/>
        <w:gridCol w:w="922"/>
      </w:tblGrid>
      <w:tr w14:paraId="1605716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73" w:type="pct"/>
            <w:vMerge w:val="restart"/>
            <w:tcBorders>
              <w:top w:val="single" w:color="auto" w:sz="12" w:space="0"/>
              <w:left w:val="nil"/>
              <w:bottom w:val="single" w:color="auto" w:sz="4" w:space="0"/>
              <w:right w:val="single" w:color="auto" w:sz="4" w:space="0"/>
            </w:tcBorders>
            <w:shd w:val="clear" w:color="auto" w:fill="auto"/>
            <w:vAlign w:val="center"/>
          </w:tcPr>
          <w:p w14:paraId="389AF80E">
            <w:pPr>
              <w:spacing w:line="240" w:lineRule="auto"/>
              <w:ind w:firstLine="0" w:firstLineChars="0"/>
              <w:jc w:val="center"/>
              <w:rPr>
                <w:b/>
                <w:color w:val="auto"/>
                <w:sz w:val="21"/>
                <w:szCs w:val="21"/>
              </w:rPr>
            </w:pPr>
            <w:r>
              <w:rPr>
                <w:b/>
                <w:color w:val="auto"/>
                <w:sz w:val="21"/>
                <w:szCs w:val="21"/>
                <w:lang w:bidi="ar"/>
              </w:rPr>
              <w:t>采样</w:t>
            </w:r>
          </w:p>
          <w:p w14:paraId="2C2AFA24">
            <w:pPr>
              <w:spacing w:line="240" w:lineRule="auto"/>
              <w:ind w:firstLine="0" w:firstLineChars="0"/>
              <w:jc w:val="center"/>
              <w:rPr>
                <w:b/>
                <w:color w:val="auto"/>
                <w:sz w:val="21"/>
                <w:szCs w:val="21"/>
              </w:rPr>
            </w:pPr>
            <w:r>
              <w:rPr>
                <w:b/>
                <w:color w:val="auto"/>
                <w:sz w:val="21"/>
                <w:szCs w:val="21"/>
                <w:lang w:bidi="ar"/>
              </w:rPr>
              <w:t>日期</w:t>
            </w:r>
          </w:p>
        </w:tc>
        <w:tc>
          <w:tcPr>
            <w:tcW w:w="651" w:type="pct"/>
            <w:vMerge w:val="restart"/>
            <w:tcBorders>
              <w:top w:val="single" w:color="auto" w:sz="12"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7CB14BE">
            <w:pPr>
              <w:spacing w:line="240" w:lineRule="auto"/>
              <w:ind w:firstLine="0" w:firstLineChars="0"/>
              <w:jc w:val="center"/>
              <w:rPr>
                <w:b/>
                <w:color w:val="auto"/>
                <w:sz w:val="21"/>
                <w:szCs w:val="21"/>
              </w:rPr>
            </w:pPr>
            <w:r>
              <w:rPr>
                <w:b/>
                <w:color w:val="auto"/>
                <w:sz w:val="21"/>
                <w:szCs w:val="21"/>
                <w:lang w:bidi="ar"/>
              </w:rPr>
              <w:t>采样</w:t>
            </w:r>
          </w:p>
          <w:p w14:paraId="14E77273">
            <w:pPr>
              <w:spacing w:line="240" w:lineRule="auto"/>
              <w:ind w:firstLine="0" w:firstLineChars="0"/>
              <w:jc w:val="center"/>
              <w:rPr>
                <w:b/>
                <w:color w:val="auto"/>
                <w:sz w:val="21"/>
                <w:szCs w:val="21"/>
              </w:rPr>
            </w:pPr>
            <w:r>
              <w:rPr>
                <w:b/>
                <w:color w:val="auto"/>
                <w:sz w:val="21"/>
                <w:szCs w:val="21"/>
                <w:lang w:bidi="ar"/>
              </w:rPr>
              <w:t>位置</w:t>
            </w:r>
          </w:p>
        </w:tc>
        <w:tc>
          <w:tcPr>
            <w:tcW w:w="580" w:type="pct"/>
            <w:vMerge w:val="restart"/>
            <w:tcBorders>
              <w:top w:val="single" w:color="auto" w:sz="12"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E1E6CD0">
            <w:pPr>
              <w:spacing w:line="240" w:lineRule="auto"/>
              <w:ind w:firstLine="0" w:firstLineChars="0"/>
              <w:jc w:val="center"/>
              <w:rPr>
                <w:b/>
                <w:color w:val="auto"/>
                <w:sz w:val="21"/>
                <w:szCs w:val="21"/>
              </w:rPr>
            </w:pPr>
            <w:r>
              <w:rPr>
                <w:b/>
                <w:color w:val="auto"/>
                <w:sz w:val="21"/>
                <w:szCs w:val="21"/>
                <w:lang w:bidi="ar"/>
              </w:rPr>
              <w:t>采样</w:t>
            </w:r>
          </w:p>
          <w:p w14:paraId="40412288">
            <w:pPr>
              <w:spacing w:line="240" w:lineRule="auto"/>
              <w:ind w:firstLine="0" w:firstLineChars="0"/>
              <w:jc w:val="center"/>
              <w:rPr>
                <w:b/>
                <w:color w:val="auto"/>
                <w:sz w:val="21"/>
                <w:szCs w:val="21"/>
              </w:rPr>
            </w:pPr>
            <w:r>
              <w:rPr>
                <w:b/>
                <w:color w:val="auto"/>
                <w:sz w:val="21"/>
                <w:szCs w:val="21"/>
                <w:lang w:bidi="ar"/>
              </w:rPr>
              <w:t>时间</w:t>
            </w:r>
          </w:p>
        </w:tc>
        <w:tc>
          <w:tcPr>
            <w:tcW w:w="512" w:type="pct"/>
            <w:tcBorders>
              <w:top w:val="single" w:color="auto" w:sz="12" w:space="0"/>
              <w:left w:val="single" w:color="auto" w:sz="4" w:space="0"/>
              <w:bottom w:val="single" w:color="auto" w:sz="4" w:space="0"/>
              <w:right w:val="single" w:color="auto" w:sz="4" w:space="0"/>
            </w:tcBorders>
            <w:shd w:val="clear" w:color="auto" w:fill="auto"/>
            <w:vAlign w:val="center"/>
          </w:tcPr>
          <w:p w14:paraId="1DD69360">
            <w:pPr>
              <w:widowControl/>
              <w:spacing w:line="240" w:lineRule="auto"/>
              <w:ind w:firstLine="0" w:firstLineChars="0"/>
              <w:jc w:val="center"/>
              <w:textAlignment w:val="top"/>
              <w:rPr>
                <w:b/>
                <w:bCs/>
                <w:color w:val="auto"/>
                <w:sz w:val="21"/>
                <w:szCs w:val="21"/>
              </w:rPr>
            </w:pPr>
            <w:r>
              <w:rPr>
                <w:b/>
                <w:bCs/>
                <w:color w:val="auto"/>
                <w:kern w:val="0"/>
                <w:sz w:val="21"/>
                <w:szCs w:val="21"/>
                <w:lang w:bidi="ar"/>
              </w:rPr>
              <w:t>pH值</w:t>
            </w:r>
          </w:p>
        </w:tc>
        <w:tc>
          <w:tcPr>
            <w:tcW w:w="534" w:type="pct"/>
            <w:tcBorders>
              <w:top w:val="single" w:color="auto" w:sz="12" w:space="0"/>
              <w:left w:val="single" w:color="auto" w:sz="4" w:space="0"/>
              <w:bottom w:val="single" w:color="auto" w:sz="4" w:space="0"/>
              <w:right w:val="single" w:color="auto" w:sz="4" w:space="0"/>
            </w:tcBorders>
            <w:shd w:val="clear" w:color="auto" w:fill="auto"/>
            <w:vAlign w:val="center"/>
          </w:tcPr>
          <w:p w14:paraId="4BE086CB">
            <w:pPr>
              <w:widowControl/>
              <w:spacing w:line="240" w:lineRule="auto"/>
              <w:ind w:firstLine="0" w:firstLineChars="0"/>
              <w:jc w:val="center"/>
              <w:textAlignment w:val="top"/>
              <w:rPr>
                <w:b/>
                <w:bCs/>
                <w:color w:val="auto"/>
                <w:sz w:val="21"/>
                <w:szCs w:val="21"/>
              </w:rPr>
            </w:pPr>
            <w:r>
              <w:rPr>
                <w:b/>
                <w:bCs/>
                <w:color w:val="auto"/>
                <w:kern w:val="0"/>
                <w:sz w:val="21"/>
                <w:szCs w:val="21"/>
                <w:lang w:bidi="ar"/>
              </w:rPr>
              <w:t>化学需氧量</w:t>
            </w:r>
          </w:p>
        </w:tc>
        <w:tc>
          <w:tcPr>
            <w:tcW w:w="565" w:type="pct"/>
            <w:tcBorders>
              <w:top w:val="single" w:color="auto" w:sz="12" w:space="0"/>
              <w:left w:val="single" w:color="auto" w:sz="4" w:space="0"/>
              <w:bottom w:val="single" w:color="auto" w:sz="4" w:space="0"/>
              <w:right w:val="single" w:color="auto" w:sz="4" w:space="0"/>
            </w:tcBorders>
            <w:shd w:val="clear" w:color="auto" w:fill="auto"/>
            <w:vAlign w:val="center"/>
          </w:tcPr>
          <w:p w14:paraId="7F9FE712">
            <w:pPr>
              <w:widowControl/>
              <w:spacing w:line="240" w:lineRule="auto"/>
              <w:ind w:firstLine="0" w:firstLineChars="0"/>
              <w:jc w:val="center"/>
              <w:textAlignment w:val="top"/>
              <w:rPr>
                <w:b/>
                <w:bCs/>
                <w:color w:val="auto"/>
                <w:sz w:val="21"/>
                <w:szCs w:val="21"/>
              </w:rPr>
            </w:pPr>
            <w:r>
              <w:rPr>
                <w:b/>
                <w:bCs/>
                <w:color w:val="auto"/>
                <w:kern w:val="0"/>
                <w:sz w:val="21"/>
                <w:szCs w:val="21"/>
                <w:lang w:bidi="ar"/>
              </w:rPr>
              <w:t>悬浮物</w:t>
            </w:r>
          </w:p>
        </w:tc>
        <w:tc>
          <w:tcPr>
            <w:tcW w:w="565" w:type="pct"/>
            <w:tcBorders>
              <w:top w:val="single" w:color="auto" w:sz="12" w:space="0"/>
              <w:left w:val="single" w:color="auto" w:sz="4" w:space="0"/>
              <w:bottom w:val="single" w:color="auto" w:sz="4" w:space="0"/>
              <w:right w:val="single" w:color="auto" w:sz="4" w:space="0"/>
            </w:tcBorders>
            <w:shd w:val="clear" w:color="auto" w:fill="auto"/>
            <w:vAlign w:val="center"/>
          </w:tcPr>
          <w:p w14:paraId="347088C3">
            <w:pPr>
              <w:widowControl/>
              <w:spacing w:line="240" w:lineRule="auto"/>
              <w:ind w:firstLine="0" w:firstLineChars="0"/>
              <w:jc w:val="center"/>
              <w:textAlignment w:val="top"/>
              <w:rPr>
                <w:b/>
                <w:bCs/>
                <w:color w:val="auto"/>
                <w:sz w:val="21"/>
                <w:szCs w:val="21"/>
              </w:rPr>
            </w:pPr>
            <w:r>
              <w:rPr>
                <w:b/>
                <w:bCs/>
                <w:color w:val="auto"/>
                <w:kern w:val="0"/>
                <w:sz w:val="21"/>
                <w:szCs w:val="21"/>
                <w:lang w:bidi="ar"/>
              </w:rPr>
              <w:t>氨氮</w:t>
            </w:r>
          </w:p>
        </w:tc>
        <w:tc>
          <w:tcPr>
            <w:tcW w:w="508" w:type="pct"/>
            <w:tcBorders>
              <w:top w:val="single" w:color="auto" w:sz="12" w:space="0"/>
              <w:left w:val="single" w:color="auto" w:sz="4" w:space="0"/>
              <w:bottom w:val="single" w:color="auto" w:sz="4" w:space="0"/>
              <w:right w:val="single" w:color="auto" w:sz="4" w:space="0"/>
            </w:tcBorders>
            <w:shd w:val="clear" w:color="auto" w:fill="auto"/>
            <w:vAlign w:val="center"/>
          </w:tcPr>
          <w:p w14:paraId="5C3B77FB">
            <w:pPr>
              <w:widowControl/>
              <w:spacing w:line="240" w:lineRule="auto"/>
              <w:ind w:firstLine="0" w:firstLineChars="0"/>
              <w:jc w:val="center"/>
              <w:textAlignment w:val="top"/>
              <w:rPr>
                <w:b/>
                <w:bCs/>
                <w:color w:val="auto"/>
                <w:sz w:val="21"/>
                <w:szCs w:val="21"/>
              </w:rPr>
            </w:pPr>
            <w:r>
              <w:rPr>
                <w:b/>
                <w:bCs/>
                <w:color w:val="auto"/>
                <w:kern w:val="0"/>
                <w:sz w:val="21"/>
                <w:szCs w:val="21"/>
                <w:lang w:bidi="ar"/>
              </w:rPr>
              <w:t>总磷</w:t>
            </w:r>
          </w:p>
        </w:tc>
        <w:tc>
          <w:tcPr>
            <w:tcW w:w="508" w:type="pct"/>
            <w:tcBorders>
              <w:top w:val="single" w:color="auto" w:sz="12" w:space="0"/>
              <w:left w:val="single" w:color="auto" w:sz="4" w:space="0"/>
              <w:bottom w:val="single" w:color="auto" w:sz="4" w:space="0"/>
              <w:right w:val="nil"/>
            </w:tcBorders>
            <w:shd w:val="clear" w:color="auto" w:fill="auto"/>
            <w:vAlign w:val="center"/>
          </w:tcPr>
          <w:p w14:paraId="7076BB89">
            <w:pPr>
              <w:widowControl/>
              <w:spacing w:line="240" w:lineRule="auto"/>
              <w:ind w:firstLine="0" w:firstLineChars="0"/>
              <w:jc w:val="center"/>
              <w:textAlignment w:val="top"/>
              <w:rPr>
                <w:b/>
                <w:bCs/>
                <w:color w:val="auto"/>
                <w:kern w:val="0"/>
                <w:sz w:val="21"/>
                <w:szCs w:val="21"/>
                <w:lang w:bidi="ar"/>
              </w:rPr>
            </w:pPr>
            <w:r>
              <w:rPr>
                <w:b/>
                <w:bCs/>
                <w:color w:val="auto"/>
                <w:kern w:val="0"/>
                <w:sz w:val="21"/>
                <w:szCs w:val="21"/>
                <w:lang w:bidi="ar"/>
              </w:rPr>
              <w:t>总氮</w:t>
            </w:r>
          </w:p>
        </w:tc>
      </w:tr>
      <w:tr w14:paraId="06B143B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73" w:type="pct"/>
            <w:vMerge w:val="continue"/>
            <w:tcBorders>
              <w:top w:val="single" w:color="auto" w:sz="12" w:space="0"/>
              <w:left w:val="nil"/>
              <w:bottom w:val="single" w:color="auto" w:sz="4" w:space="0"/>
              <w:right w:val="single" w:color="auto" w:sz="4" w:space="0"/>
            </w:tcBorders>
            <w:shd w:val="clear" w:color="auto" w:fill="auto"/>
            <w:vAlign w:val="center"/>
          </w:tcPr>
          <w:p w14:paraId="69DD49C6">
            <w:pPr>
              <w:spacing w:line="240" w:lineRule="auto"/>
              <w:ind w:firstLine="0" w:firstLineChars="0"/>
              <w:jc w:val="center"/>
              <w:rPr>
                <w:color w:val="auto"/>
                <w:sz w:val="21"/>
                <w:szCs w:val="21"/>
              </w:rPr>
            </w:pPr>
          </w:p>
        </w:tc>
        <w:tc>
          <w:tcPr>
            <w:tcW w:w="651" w:type="pct"/>
            <w:vMerge w:val="continue"/>
            <w:tcBorders>
              <w:top w:val="single" w:color="auto" w:sz="12"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640F56">
            <w:pPr>
              <w:spacing w:line="240" w:lineRule="auto"/>
              <w:ind w:firstLine="0" w:firstLineChars="0"/>
              <w:jc w:val="center"/>
              <w:rPr>
                <w:color w:val="auto"/>
                <w:sz w:val="21"/>
                <w:szCs w:val="21"/>
              </w:rPr>
            </w:pPr>
          </w:p>
        </w:tc>
        <w:tc>
          <w:tcPr>
            <w:tcW w:w="580" w:type="pct"/>
            <w:vMerge w:val="continue"/>
            <w:tcBorders>
              <w:top w:val="single" w:color="auto" w:sz="12"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EAD515A">
            <w:pPr>
              <w:spacing w:line="240" w:lineRule="auto"/>
              <w:ind w:firstLine="0" w:firstLineChars="0"/>
              <w:jc w:val="center"/>
              <w:rPr>
                <w:color w:val="auto"/>
                <w:sz w:val="21"/>
                <w:szCs w:val="21"/>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1A16ADE2">
            <w:pPr>
              <w:widowControl/>
              <w:spacing w:line="240" w:lineRule="auto"/>
              <w:ind w:firstLine="0" w:firstLineChars="0"/>
              <w:jc w:val="center"/>
              <w:textAlignment w:val="top"/>
              <w:rPr>
                <w:b/>
                <w:bCs/>
                <w:color w:val="auto"/>
                <w:sz w:val="21"/>
                <w:szCs w:val="21"/>
              </w:rPr>
            </w:pPr>
            <w:r>
              <w:rPr>
                <w:b/>
                <w:bCs/>
                <w:color w:val="auto"/>
                <w:kern w:val="0"/>
                <w:sz w:val="21"/>
                <w:szCs w:val="21"/>
                <w:lang w:bidi="ar"/>
              </w:rPr>
              <w:t>无量纲</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31975D0">
            <w:pPr>
              <w:widowControl/>
              <w:spacing w:line="240" w:lineRule="auto"/>
              <w:ind w:firstLine="0" w:firstLineChars="0"/>
              <w:jc w:val="center"/>
              <w:textAlignment w:val="top"/>
              <w:rPr>
                <w:b/>
                <w:bCs/>
                <w:color w:val="auto"/>
                <w:sz w:val="21"/>
                <w:szCs w:val="21"/>
              </w:rPr>
            </w:pPr>
            <w:r>
              <w:rPr>
                <w:b/>
                <w:bCs/>
                <w:color w:val="auto"/>
                <w:kern w:val="0"/>
                <w:sz w:val="21"/>
                <w:szCs w:val="21"/>
                <w:lang w:bidi="ar"/>
              </w:rPr>
              <w:t>mg/L</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32C9AE0A">
            <w:pPr>
              <w:widowControl/>
              <w:spacing w:line="240" w:lineRule="auto"/>
              <w:ind w:firstLine="0" w:firstLineChars="0"/>
              <w:jc w:val="center"/>
              <w:textAlignment w:val="top"/>
              <w:rPr>
                <w:b/>
                <w:bCs/>
                <w:color w:val="auto"/>
                <w:sz w:val="21"/>
                <w:szCs w:val="21"/>
              </w:rPr>
            </w:pPr>
            <w:r>
              <w:rPr>
                <w:b/>
                <w:bCs/>
                <w:color w:val="auto"/>
                <w:kern w:val="0"/>
                <w:sz w:val="21"/>
                <w:szCs w:val="21"/>
                <w:lang w:bidi="ar"/>
              </w:rPr>
              <w:t>mg/L</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7E268AAC">
            <w:pPr>
              <w:widowControl/>
              <w:spacing w:line="240" w:lineRule="auto"/>
              <w:ind w:firstLine="0" w:firstLineChars="0"/>
              <w:jc w:val="center"/>
              <w:textAlignment w:val="top"/>
              <w:rPr>
                <w:b/>
                <w:bCs/>
                <w:color w:val="auto"/>
                <w:sz w:val="21"/>
                <w:szCs w:val="21"/>
              </w:rPr>
            </w:pPr>
            <w:r>
              <w:rPr>
                <w:b/>
                <w:bCs/>
                <w:color w:val="auto"/>
                <w:kern w:val="0"/>
                <w:sz w:val="21"/>
                <w:szCs w:val="21"/>
                <w:lang w:bidi="ar"/>
              </w:rPr>
              <w:t>mg/L</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27A2EEE8">
            <w:pPr>
              <w:widowControl/>
              <w:spacing w:line="240" w:lineRule="auto"/>
              <w:ind w:firstLine="0" w:firstLineChars="0"/>
              <w:jc w:val="center"/>
              <w:textAlignment w:val="top"/>
              <w:rPr>
                <w:b/>
                <w:bCs/>
                <w:color w:val="auto"/>
                <w:sz w:val="21"/>
                <w:szCs w:val="21"/>
              </w:rPr>
            </w:pPr>
            <w:r>
              <w:rPr>
                <w:b/>
                <w:bCs/>
                <w:color w:val="auto"/>
                <w:kern w:val="0"/>
                <w:sz w:val="21"/>
                <w:szCs w:val="21"/>
                <w:lang w:bidi="ar"/>
              </w:rPr>
              <w:t>mg/L</w:t>
            </w:r>
          </w:p>
        </w:tc>
        <w:tc>
          <w:tcPr>
            <w:tcW w:w="508" w:type="pct"/>
            <w:tcBorders>
              <w:top w:val="single" w:color="auto" w:sz="4" w:space="0"/>
              <w:left w:val="single" w:color="auto" w:sz="4" w:space="0"/>
              <w:bottom w:val="single" w:color="auto" w:sz="4" w:space="0"/>
              <w:right w:val="nil"/>
            </w:tcBorders>
            <w:shd w:val="clear" w:color="auto" w:fill="auto"/>
            <w:vAlign w:val="center"/>
          </w:tcPr>
          <w:p w14:paraId="30B40F07">
            <w:pPr>
              <w:widowControl/>
              <w:spacing w:line="240" w:lineRule="auto"/>
              <w:ind w:firstLine="0" w:firstLineChars="0"/>
              <w:jc w:val="center"/>
              <w:textAlignment w:val="top"/>
              <w:rPr>
                <w:b/>
                <w:bCs/>
                <w:color w:val="auto"/>
                <w:kern w:val="0"/>
                <w:sz w:val="21"/>
                <w:szCs w:val="21"/>
                <w:lang w:bidi="ar"/>
              </w:rPr>
            </w:pPr>
            <w:r>
              <w:rPr>
                <w:b/>
                <w:bCs/>
                <w:color w:val="auto"/>
                <w:kern w:val="0"/>
                <w:sz w:val="21"/>
                <w:szCs w:val="21"/>
                <w:lang w:bidi="ar"/>
              </w:rPr>
              <w:t>mg/L</w:t>
            </w:r>
          </w:p>
        </w:tc>
      </w:tr>
      <w:tr w14:paraId="54294B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restart"/>
            <w:tcBorders>
              <w:top w:val="single" w:color="auto" w:sz="4" w:space="0"/>
              <w:left w:val="nil"/>
              <w:bottom w:val="single" w:color="auto" w:sz="4" w:space="0"/>
              <w:right w:val="single" w:color="auto" w:sz="4" w:space="0"/>
            </w:tcBorders>
            <w:shd w:val="clear" w:color="auto" w:fill="auto"/>
            <w:vAlign w:val="center"/>
          </w:tcPr>
          <w:p w14:paraId="59801BA6">
            <w:pPr>
              <w:widowControl/>
              <w:spacing w:line="240" w:lineRule="auto"/>
              <w:ind w:firstLine="0" w:firstLineChars="0"/>
              <w:jc w:val="center"/>
              <w:rPr>
                <w:color w:val="auto"/>
                <w:kern w:val="0"/>
                <w:sz w:val="21"/>
                <w:szCs w:val="21"/>
              </w:rPr>
            </w:pPr>
            <w:r>
              <w:rPr>
                <w:color w:val="auto"/>
                <w:sz w:val="21"/>
                <w:szCs w:val="21"/>
                <w:lang w:bidi="ar"/>
              </w:rPr>
              <w:t>2024.06.13</w:t>
            </w:r>
          </w:p>
        </w:tc>
        <w:tc>
          <w:tcPr>
            <w:tcW w:w="65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B18A6B">
            <w:pPr>
              <w:widowControl/>
              <w:spacing w:line="240" w:lineRule="auto"/>
              <w:ind w:firstLine="0" w:firstLineChars="0"/>
              <w:jc w:val="center"/>
              <w:rPr>
                <w:color w:val="auto"/>
                <w:kern w:val="0"/>
                <w:sz w:val="21"/>
                <w:szCs w:val="21"/>
              </w:rPr>
            </w:pPr>
            <w:r>
              <w:rPr>
                <w:color w:val="auto"/>
                <w:kern w:val="0"/>
                <w:sz w:val="21"/>
                <w:szCs w:val="21"/>
                <w:lang w:bidi="ar"/>
              </w:rPr>
              <w:t>化粪池出口</w:t>
            </w: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017FFEB">
            <w:pPr>
              <w:spacing w:line="240" w:lineRule="auto"/>
              <w:ind w:firstLine="0" w:firstLineChars="0"/>
              <w:jc w:val="center"/>
              <w:rPr>
                <w:color w:val="auto"/>
                <w:sz w:val="21"/>
                <w:szCs w:val="21"/>
              </w:rPr>
            </w:pPr>
            <w:r>
              <w:rPr>
                <w:color w:val="auto"/>
                <w:sz w:val="21"/>
                <w:szCs w:val="21"/>
                <w:lang w:bidi="ar"/>
              </w:rPr>
              <w:t>第一次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03C19412">
            <w:pPr>
              <w:widowControl/>
              <w:spacing w:line="240" w:lineRule="auto"/>
              <w:ind w:firstLine="0" w:firstLineChars="0"/>
              <w:jc w:val="center"/>
              <w:textAlignment w:val="top"/>
              <w:rPr>
                <w:color w:val="auto"/>
                <w:sz w:val="21"/>
                <w:szCs w:val="21"/>
              </w:rPr>
            </w:pPr>
            <w:r>
              <w:rPr>
                <w:color w:val="auto"/>
                <w:kern w:val="0"/>
                <w:sz w:val="21"/>
                <w:szCs w:val="21"/>
                <w:lang w:bidi="ar"/>
              </w:rPr>
              <w:t>7.9</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45A24C5">
            <w:pPr>
              <w:widowControl/>
              <w:spacing w:line="240" w:lineRule="auto"/>
              <w:ind w:firstLine="0" w:firstLineChars="0"/>
              <w:jc w:val="center"/>
              <w:textAlignment w:val="top"/>
              <w:rPr>
                <w:color w:val="auto"/>
                <w:sz w:val="21"/>
                <w:szCs w:val="21"/>
              </w:rPr>
            </w:pPr>
            <w:r>
              <w:rPr>
                <w:color w:val="auto"/>
                <w:kern w:val="0"/>
                <w:sz w:val="21"/>
                <w:szCs w:val="21"/>
                <w:lang w:bidi="ar"/>
              </w:rPr>
              <w:t>165</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0141762F">
            <w:pPr>
              <w:widowControl/>
              <w:spacing w:line="240" w:lineRule="auto"/>
              <w:ind w:firstLine="0" w:firstLineChars="0"/>
              <w:jc w:val="center"/>
              <w:textAlignment w:val="top"/>
              <w:rPr>
                <w:color w:val="auto"/>
                <w:sz w:val="21"/>
                <w:szCs w:val="21"/>
              </w:rPr>
            </w:pPr>
            <w:r>
              <w:rPr>
                <w:color w:val="auto"/>
                <w:kern w:val="0"/>
                <w:sz w:val="21"/>
                <w:szCs w:val="21"/>
                <w:lang w:bidi="ar"/>
              </w:rPr>
              <w:t>126</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75F89AB">
            <w:pPr>
              <w:widowControl/>
              <w:spacing w:line="240" w:lineRule="auto"/>
              <w:ind w:firstLine="0" w:firstLineChars="0"/>
              <w:jc w:val="center"/>
              <w:textAlignment w:val="top"/>
              <w:rPr>
                <w:color w:val="auto"/>
                <w:sz w:val="21"/>
                <w:szCs w:val="21"/>
              </w:rPr>
            </w:pPr>
            <w:r>
              <w:rPr>
                <w:color w:val="auto"/>
                <w:kern w:val="0"/>
                <w:sz w:val="21"/>
                <w:szCs w:val="21"/>
                <w:lang w:bidi="ar"/>
              </w:rPr>
              <w:t>37.8</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7313F7D">
            <w:pPr>
              <w:widowControl/>
              <w:spacing w:line="240" w:lineRule="auto"/>
              <w:ind w:firstLine="0" w:firstLineChars="0"/>
              <w:jc w:val="center"/>
              <w:textAlignment w:val="top"/>
              <w:rPr>
                <w:color w:val="auto"/>
                <w:sz w:val="21"/>
                <w:szCs w:val="21"/>
              </w:rPr>
            </w:pPr>
            <w:r>
              <w:rPr>
                <w:color w:val="auto"/>
                <w:kern w:val="0"/>
                <w:sz w:val="21"/>
                <w:szCs w:val="21"/>
                <w:lang w:bidi="ar"/>
              </w:rPr>
              <w:t>4.19</w:t>
            </w:r>
          </w:p>
        </w:tc>
        <w:tc>
          <w:tcPr>
            <w:tcW w:w="508" w:type="pct"/>
            <w:tcBorders>
              <w:top w:val="single" w:color="auto" w:sz="4" w:space="0"/>
              <w:left w:val="single" w:color="auto" w:sz="4" w:space="0"/>
              <w:bottom w:val="single" w:color="auto" w:sz="4" w:space="0"/>
              <w:right w:val="nil"/>
            </w:tcBorders>
            <w:shd w:val="clear" w:color="auto" w:fill="auto"/>
            <w:vAlign w:val="center"/>
          </w:tcPr>
          <w:p w14:paraId="775D5F98">
            <w:pPr>
              <w:widowControl/>
              <w:spacing w:line="240" w:lineRule="auto"/>
              <w:ind w:firstLine="0" w:firstLineChars="0"/>
              <w:jc w:val="center"/>
              <w:textAlignment w:val="top"/>
              <w:rPr>
                <w:color w:val="auto"/>
                <w:sz w:val="21"/>
                <w:szCs w:val="21"/>
              </w:rPr>
            </w:pPr>
            <w:r>
              <w:rPr>
                <w:color w:val="auto"/>
                <w:kern w:val="0"/>
                <w:sz w:val="21"/>
                <w:szCs w:val="21"/>
                <w:lang w:bidi="ar"/>
              </w:rPr>
              <w:t>45.2</w:t>
            </w:r>
          </w:p>
        </w:tc>
      </w:tr>
      <w:tr w14:paraId="46A2D71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4F41212C">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0A26204">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6DC70">
            <w:pPr>
              <w:spacing w:line="240" w:lineRule="auto"/>
              <w:ind w:firstLine="0" w:firstLineChars="0"/>
              <w:jc w:val="center"/>
              <w:rPr>
                <w:color w:val="auto"/>
                <w:sz w:val="21"/>
                <w:szCs w:val="21"/>
              </w:rPr>
            </w:pPr>
            <w:r>
              <w:rPr>
                <w:color w:val="auto"/>
                <w:sz w:val="21"/>
                <w:szCs w:val="21"/>
                <w:lang w:bidi="ar"/>
              </w:rPr>
              <w:t>第二次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76939C3C">
            <w:pPr>
              <w:widowControl/>
              <w:spacing w:line="240" w:lineRule="auto"/>
              <w:ind w:firstLine="0" w:firstLineChars="0"/>
              <w:jc w:val="center"/>
              <w:textAlignment w:val="top"/>
              <w:rPr>
                <w:color w:val="auto"/>
                <w:sz w:val="21"/>
                <w:szCs w:val="21"/>
              </w:rPr>
            </w:pPr>
            <w:r>
              <w:rPr>
                <w:color w:val="auto"/>
                <w:kern w:val="0"/>
                <w:sz w:val="21"/>
                <w:szCs w:val="21"/>
                <w:lang w:bidi="ar"/>
              </w:rPr>
              <w:t>7.87</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7DDAB0D">
            <w:pPr>
              <w:widowControl/>
              <w:spacing w:line="240" w:lineRule="auto"/>
              <w:ind w:firstLine="0" w:firstLineChars="0"/>
              <w:jc w:val="center"/>
              <w:textAlignment w:val="top"/>
              <w:rPr>
                <w:color w:val="auto"/>
                <w:sz w:val="21"/>
                <w:szCs w:val="21"/>
              </w:rPr>
            </w:pPr>
            <w:r>
              <w:rPr>
                <w:color w:val="auto"/>
                <w:kern w:val="0"/>
                <w:sz w:val="21"/>
                <w:szCs w:val="21"/>
                <w:lang w:bidi="ar"/>
              </w:rPr>
              <w:t>197</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2DF7D1F0">
            <w:pPr>
              <w:widowControl/>
              <w:spacing w:line="240" w:lineRule="auto"/>
              <w:ind w:firstLine="0" w:firstLineChars="0"/>
              <w:jc w:val="center"/>
              <w:textAlignment w:val="top"/>
              <w:rPr>
                <w:color w:val="auto"/>
                <w:sz w:val="21"/>
                <w:szCs w:val="21"/>
              </w:rPr>
            </w:pPr>
            <w:r>
              <w:rPr>
                <w:color w:val="auto"/>
                <w:kern w:val="0"/>
                <w:sz w:val="21"/>
                <w:szCs w:val="21"/>
                <w:lang w:bidi="ar"/>
              </w:rPr>
              <w:t>163</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173DB137">
            <w:pPr>
              <w:widowControl/>
              <w:spacing w:line="240" w:lineRule="auto"/>
              <w:ind w:firstLine="0" w:firstLineChars="0"/>
              <w:jc w:val="center"/>
              <w:textAlignment w:val="top"/>
              <w:rPr>
                <w:color w:val="auto"/>
                <w:sz w:val="21"/>
                <w:szCs w:val="21"/>
              </w:rPr>
            </w:pPr>
            <w:r>
              <w:rPr>
                <w:color w:val="auto"/>
                <w:kern w:val="0"/>
                <w:sz w:val="21"/>
                <w:szCs w:val="21"/>
                <w:lang w:bidi="ar"/>
              </w:rPr>
              <w:t>35.3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4C45A55">
            <w:pPr>
              <w:widowControl/>
              <w:spacing w:line="240" w:lineRule="auto"/>
              <w:ind w:firstLine="0" w:firstLineChars="0"/>
              <w:jc w:val="center"/>
              <w:textAlignment w:val="top"/>
              <w:rPr>
                <w:color w:val="auto"/>
                <w:sz w:val="21"/>
                <w:szCs w:val="21"/>
              </w:rPr>
            </w:pPr>
            <w:r>
              <w:rPr>
                <w:color w:val="auto"/>
                <w:kern w:val="0"/>
                <w:sz w:val="21"/>
                <w:szCs w:val="21"/>
                <w:lang w:bidi="ar"/>
              </w:rPr>
              <w:t>3.54</w:t>
            </w:r>
          </w:p>
        </w:tc>
        <w:tc>
          <w:tcPr>
            <w:tcW w:w="508" w:type="pct"/>
            <w:tcBorders>
              <w:top w:val="single" w:color="auto" w:sz="4" w:space="0"/>
              <w:left w:val="single" w:color="auto" w:sz="4" w:space="0"/>
              <w:bottom w:val="single" w:color="auto" w:sz="4" w:space="0"/>
              <w:right w:val="nil"/>
            </w:tcBorders>
            <w:shd w:val="clear" w:color="auto" w:fill="auto"/>
            <w:vAlign w:val="center"/>
          </w:tcPr>
          <w:p w14:paraId="6BCA3010">
            <w:pPr>
              <w:widowControl/>
              <w:spacing w:line="240" w:lineRule="auto"/>
              <w:ind w:firstLine="0" w:firstLineChars="0"/>
              <w:jc w:val="center"/>
              <w:textAlignment w:val="top"/>
              <w:rPr>
                <w:color w:val="auto"/>
                <w:sz w:val="21"/>
                <w:szCs w:val="21"/>
              </w:rPr>
            </w:pPr>
            <w:r>
              <w:rPr>
                <w:color w:val="auto"/>
                <w:kern w:val="0"/>
                <w:sz w:val="21"/>
                <w:szCs w:val="21"/>
                <w:lang w:bidi="ar"/>
              </w:rPr>
              <w:t>38.9</w:t>
            </w:r>
          </w:p>
        </w:tc>
      </w:tr>
      <w:tr w14:paraId="1D9D890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70216763">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C88345B">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4D5669">
            <w:pPr>
              <w:spacing w:line="240" w:lineRule="auto"/>
              <w:ind w:firstLine="0" w:firstLineChars="0"/>
              <w:jc w:val="center"/>
              <w:rPr>
                <w:color w:val="auto"/>
                <w:sz w:val="21"/>
                <w:szCs w:val="21"/>
              </w:rPr>
            </w:pPr>
            <w:r>
              <w:rPr>
                <w:color w:val="auto"/>
                <w:sz w:val="21"/>
                <w:szCs w:val="21"/>
                <w:lang w:bidi="ar"/>
              </w:rPr>
              <w:t>第三次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51F8BB55">
            <w:pPr>
              <w:widowControl/>
              <w:spacing w:line="240" w:lineRule="auto"/>
              <w:ind w:firstLine="0" w:firstLineChars="0"/>
              <w:jc w:val="center"/>
              <w:textAlignment w:val="top"/>
              <w:rPr>
                <w:color w:val="auto"/>
                <w:sz w:val="21"/>
                <w:szCs w:val="21"/>
              </w:rPr>
            </w:pPr>
            <w:r>
              <w:rPr>
                <w:color w:val="auto"/>
                <w:kern w:val="0"/>
                <w:sz w:val="21"/>
                <w:szCs w:val="21"/>
                <w:lang w:bidi="ar"/>
              </w:rPr>
              <w:t>7.89</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E3786C4">
            <w:pPr>
              <w:widowControl/>
              <w:spacing w:line="240" w:lineRule="auto"/>
              <w:ind w:firstLine="0" w:firstLineChars="0"/>
              <w:jc w:val="center"/>
              <w:textAlignment w:val="top"/>
              <w:rPr>
                <w:color w:val="auto"/>
                <w:sz w:val="21"/>
                <w:szCs w:val="21"/>
              </w:rPr>
            </w:pPr>
            <w:r>
              <w:rPr>
                <w:color w:val="auto"/>
                <w:kern w:val="0"/>
                <w:sz w:val="21"/>
                <w:szCs w:val="21"/>
                <w:lang w:bidi="ar"/>
              </w:rPr>
              <w:t>62</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339F3B5">
            <w:pPr>
              <w:widowControl/>
              <w:spacing w:line="240" w:lineRule="auto"/>
              <w:ind w:firstLine="0" w:firstLineChars="0"/>
              <w:jc w:val="center"/>
              <w:textAlignment w:val="top"/>
              <w:rPr>
                <w:color w:val="auto"/>
                <w:sz w:val="21"/>
                <w:szCs w:val="21"/>
              </w:rPr>
            </w:pPr>
            <w:r>
              <w:rPr>
                <w:color w:val="auto"/>
                <w:kern w:val="0"/>
                <w:sz w:val="21"/>
                <w:szCs w:val="21"/>
                <w:lang w:bidi="ar"/>
              </w:rPr>
              <w:t>20</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21472CD0">
            <w:pPr>
              <w:widowControl/>
              <w:spacing w:line="240" w:lineRule="auto"/>
              <w:ind w:firstLine="0" w:firstLineChars="0"/>
              <w:jc w:val="center"/>
              <w:textAlignment w:val="top"/>
              <w:rPr>
                <w:color w:val="auto"/>
                <w:sz w:val="21"/>
                <w:szCs w:val="21"/>
              </w:rPr>
            </w:pPr>
            <w:r>
              <w:rPr>
                <w:color w:val="auto"/>
                <w:kern w:val="0"/>
                <w:sz w:val="21"/>
                <w:szCs w:val="21"/>
                <w:lang w:bidi="ar"/>
              </w:rPr>
              <w:t>25.4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28EFB08">
            <w:pPr>
              <w:widowControl/>
              <w:spacing w:line="240" w:lineRule="auto"/>
              <w:ind w:firstLine="0" w:firstLineChars="0"/>
              <w:jc w:val="center"/>
              <w:textAlignment w:val="top"/>
              <w:rPr>
                <w:color w:val="auto"/>
                <w:sz w:val="21"/>
                <w:szCs w:val="21"/>
              </w:rPr>
            </w:pPr>
            <w:r>
              <w:rPr>
                <w:color w:val="auto"/>
                <w:kern w:val="0"/>
                <w:sz w:val="21"/>
                <w:szCs w:val="21"/>
                <w:lang w:bidi="ar"/>
              </w:rPr>
              <w:t>2.6</w:t>
            </w:r>
          </w:p>
        </w:tc>
        <w:tc>
          <w:tcPr>
            <w:tcW w:w="508" w:type="pct"/>
            <w:tcBorders>
              <w:top w:val="single" w:color="auto" w:sz="4" w:space="0"/>
              <w:left w:val="single" w:color="auto" w:sz="4" w:space="0"/>
              <w:bottom w:val="single" w:color="auto" w:sz="4" w:space="0"/>
              <w:right w:val="nil"/>
            </w:tcBorders>
            <w:shd w:val="clear" w:color="auto" w:fill="auto"/>
            <w:vAlign w:val="center"/>
          </w:tcPr>
          <w:p w14:paraId="02414916">
            <w:pPr>
              <w:widowControl/>
              <w:spacing w:line="240" w:lineRule="auto"/>
              <w:ind w:firstLine="0" w:firstLineChars="0"/>
              <w:jc w:val="center"/>
              <w:textAlignment w:val="top"/>
              <w:rPr>
                <w:color w:val="auto"/>
                <w:sz w:val="21"/>
                <w:szCs w:val="21"/>
              </w:rPr>
            </w:pPr>
            <w:r>
              <w:rPr>
                <w:color w:val="auto"/>
                <w:kern w:val="0"/>
                <w:sz w:val="21"/>
                <w:szCs w:val="21"/>
                <w:lang w:bidi="ar"/>
              </w:rPr>
              <w:t>31</w:t>
            </w:r>
          </w:p>
        </w:tc>
      </w:tr>
      <w:tr w14:paraId="04E0518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3F9F1961">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59D796D">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48269D">
            <w:pPr>
              <w:spacing w:line="240" w:lineRule="auto"/>
              <w:ind w:firstLine="0" w:firstLineChars="0"/>
              <w:jc w:val="center"/>
              <w:rPr>
                <w:color w:val="auto"/>
                <w:sz w:val="21"/>
                <w:szCs w:val="21"/>
              </w:rPr>
            </w:pPr>
            <w:r>
              <w:rPr>
                <w:color w:val="auto"/>
                <w:sz w:val="21"/>
                <w:szCs w:val="21"/>
                <w:lang w:bidi="ar"/>
              </w:rPr>
              <w:t>第四次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0BFE0A9D">
            <w:pPr>
              <w:widowControl/>
              <w:spacing w:line="240" w:lineRule="auto"/>
              <w:ind w:firstLine="0" w:firstLineChars="0"/>
              <w:jc w:val="center"/>
              <w:textAlignment w:val="top"/>
              <w:rPr>
                <w:color w:val="auto"/>
                <w:sz w:val="21"/>
                <w:szCs w:val="21"/>
              </w:rPr>
            </w:pPr>
            <w:r>
              <w:rPr>
                <w:color w:val="auto"/>
                <w:kern w:val="0"/>
                <w:sz w:val="21"/>
                <w:szCs w:val="21"/>
                <w:lang w:bidi="ar"/>
              </w:rPr>
              <w:t>7.85</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BE9D7A4">
            <w:pPr>
              <w:widowControl/>
              <w:spacing w:line="240" w:lineRule="auto"/>
              <w:ind w:firstLine="0" w:firstLineChars="0"/>
              <w:jc w:val="center"/>
              <w:textAlignment w:val="top"/>
              <w:rPr>
                <w:color w:val="auto"/>
                <w:sz w:val="21"/>
                <w:szCs w:val="21"/>
              </w:rPr>
            </w:pPr>
            <w:r>
              <w:rPr>
                <w:color w:val="auto"/>
                <w:kern w:val="0"/>
                <w:sz w:val="21"/>
                <w:szCs w:val="21"/>
                <w:lang w:bidi="ar"/>
              </w:rPr>
              <w:t>97</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50287AB">
            <w:pPr>
              <w:widowControl/>
              <w:spacing w:line="240" w:lineRule="auto"/>
              <w:ind w:firstLine="0" w:firstLineChars="0"/>
              <w:jc w:val="center"/>
              <w:textAlignment w:val="top"/>
              <w:rPr>
                <w:color w:val="auto"/>
                <w:sz w:val="21"/>
                <w:szCs w:val="21"/>
              </w:rPr>
            </w:pPr>
            <w:r>
              <w:rPr>
                <w:color w:val="auto"/>
                <w:kern w:val="0"/>
                <w:sz w:val="21"/>
                <w:szCs w:val="21"/>
                <w:lang w:bidi="ar"/>
              </w:rPr>
              <w:t>37</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0D1B83D7">
            <w:pPr>
              <w:widowControl/>
              <w:spacing w:line="240" w:lineRule="auto"/>
              <w:ind w:firstLine="0" w:firstLineChars="0"/>
              <w:jc w:val="center"/>
              <w:textAlignment w:val="top"/>
              <w:rPr>
                <w:color w:val="auto"/>
                <w:sz w:val="21"/>
                <w:szCs w:val="21"/>
              </w:rPr>
            </w:pPr>
            <w:r>
              <w:rPr>
                <w:color w:val="auto"/>
                <w:kern w:val="0"/>
                <w:sz w:val="21"/>
                <w:szCs w:val="21"/>
                <w:lang w:bidi="ar"/>
              </w:rPr>
              <w:t>29</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739D84FA">
            <w:pPr>
              <w:widowControl/>
              <w:spacing w:line="240" w:lineRule="auto"/>
              <w:ind w:firstLine="0" w:firstLineChars="0"/>
              <w:jc w:val="center"/>
              <w:textAlignment w:val="top"/>
              <w:rPr>
                <w:color w:val="auto"/>
                <w:sz w:val="21"/>
                <w:szCs w:val="21"/>
              </w:rPr>
            </w:pPr>
            <w:r>
              <w:rPr>
                <w:color w:val="auto"/>
                <w:kern w:val="0"/>
                <w:sz w:val="21"/>
                <w:szCs w:val="21"/>
                <w:lang w:bidi="ar"/>
              </w:rPr>
              <w:t>2.32</w:t>
            </w:r>
          </w:p>
        </w:tc>
        <w:tc>
          <w:tcPr>
            <w:tcW w:w="508" w:type="pct"/>
            <w:tcBorders>
              <w:top w:val="single" w:color="auto" w:sz="4" w:space="0"/>
              <w:left w:val="single" w:color="auto" w:sz="4" w:space="0"/>
              <w:bottom w:val="single" w:color="auto" w:sz="4" w:space="0"/>
              <w:right w:val="nil"/>
            </w:tcBorders>
            <w:shd w:val="clear" w:color="auto" w:fill="auto"/>
            <w:vAlign w:val="center"/>
          </w:tcPr>
          <w:p w14:paraId="7D035BA9">
            <w:pPr>
              <w:widowControl/>
              <w:spacing w:line="240" w:lineRule="auto"/>
              <w:ind w:firstLine="0" w:firstLineChars="0"/>
              <w:jc w:val="center"/>
              <w:textAlignment w:val="top"/>
              <w:rPr>
                <w:color w:val="auto"/>
                <w:sz w:val="21"/>
                <w:szCs w:val="21"/>
              </w:rPr>
            </w:pPr>
            <w:r>
              <w:rPr>
                <w:color w:val="auto"/>
                <w:kern w:val="0"/>
                <w:sz w:val="21"/>
                <w:szCs w:val="21"/>
                <w:lang w:bidi="ar"/>
              </w:rPr>
              <w:t>32.7</w:t>
            </w:r>
          </w:p>
        </w:tc>
      </w:tr>
      <w:tr w14:paraId="04DF34E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restart"/>
            <w:tcBorders>
              <w:top w:val="single" w:color="auto" w:sz="4" w:space="0"/>
              <w:left w:val="nil"/>
              <w:bottom w:val="single" w:color="auto" w:sz="4" w:space="0"/>
              <w:right w:val="single" w:color="auto" w:sz="4" w:space="0"/>
            </w:tcBorders>
            <w:shd w:val="clear" w:color="auto" w:fill="auto"/>
            <w:vAlign w:val="center"/>
          </w:tcPr>
          <w:p w14:paraId="2CA3F6D1">
            <w:pPr>
              <w:spacing w:line="240" w:lineRule="auto"/>
              <w:ind w:firstLine="0" w:firstLineChars="0"/>
              <w:jc w:val="center"/>
              <w:rPr>
                <w:color w:val="auto"/>
                <w:sz w:val="21"/>
                <w:szCs w:val="21"/>
              </w:rPr>
            </w:pPr>
            <w:r>
              <w:rPr>
                <w:color w:val="auto"/>
                <w:sz w:val="21"/>
                <w:szCs w:val="21"/>
                <w:lang w:bidi="ar"/>
              </w:rPr>
              <w:t>2024.06.14</w:t>
            </w:r>
          </w:p>
        </w:tc>
        <w:tc>
          <w:tcPr>
            <w:tcW w:w="65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9407CCE">
            <w:pPr>
              <w:spacing w:line="240" w:lineRule="auto"/>
              <w:ind w:firstLine="0" w:firstLineChars="0"/>
              <w:jc w:val="center"/>
              <w:rPr>
                <w:color w:val="auto"/>
                <w:sz w:val="21"/>
                <w:szCs w:val="21"/>
              </w:rPr>
            </w:pPr>
            <w:r>
              <w:rPr>
                <w:color w:val="auto"/>
                <w:kern w:val="0"/>
                <w:sz w:val="21"/>
                <w:szCs w:val="21"/>
                <w:lang w:bidi="ar"/>
              </w:rPr>
              <w:t>化粪池出口</w:t>
            </w: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A00AC40">
            <w:pPr>
              <w:spacing w:line="240" w:lineRule="auto"/>
              <w:ind w:firstLine="0" w:firstLineChars="0"/>
              <w:jc w:val="center"/>
              <w:rPr>
                <w:color w:val="auto"/>
                <w:sz w:val="21"/>
                <w:szCs w:val="21"/>
              </w:rPr>
            </w:pPr>
            <w:r>
              <w:rPr>
                <w:color w:val="auto"/>
                <w:sz w:val="21"/>
                <w:szCs w:val="21"/>
                <w:lang w:bidi="ar"/>
              </w:rPr>
              <w:t>第一次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76DCDCAD">
            <w:pPr>
              <w:widowControl/>
              <w:spacing w:line="240" w:lineRule="auto"/>
              <w:ind w:firstLine="0" w:firstLineChars="0"/>
              <w:jc w:val="center"/>
              <w:textAlignment w:val="top"/>
              <w:rPr>
                <w:color w:val="auto"/>
                <w:sz w:val="21"/>
                <w:szCs w:val="21"/>
              </w:rPr>
            </w:pPr>
            <w:r>
              <w:rPr>
                <w:color w:val="auto"/>
                <w:kern w:val="0"/>
                <w:sz w:val="21"/>
                <w:szCs w:val="21"/>
                <w:lang w:bidi="ar"/>
              </w:rPr>
              <w:t>7.88</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20AD95A">
            <w:pPr>
              <w:widowControl/>
              <w:spacing w:line="240" w:lineRule="auto"/>
              <w:ind w:firstLine="0" w:firstLineChars="0"/>
              <w:jc w:val="center"/>
              <w:textAlignment w:val="top"/>
              <w:rPr>
                <w:color w:val="auto"/>
                <w:sz w:val="21"/>
                <w:szCs w:val="21"/>
              </w:rPr>
            </w:pPr>
            <w:r>
              <w:rPr>
                <w:color w:val="auto"/>
                <w:kern w:val="0"/>
                <w:sz w:val="21"/>
                <w:szCs w:val="21"/>
                <w:lang w:bidi="ar"/>
              </w:rPr>
              <w:t>101</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54118F4">
            <w:pPr>
              <w:widowControl/>
              <w:spacing w:line="240" w:lineRule="auto"/>
              <w:ind w:firstLine="0" w:firstLineChars="0"/>
              <w:jc w:val="center"/>
              <w:textAlignment w:val="top"/>
              <w:rPr>
                <w:color w:val="auto"/>
                <w:sz w:val="21"/>
                <w:szCs w:val="21"/>
              </w:rPr>
            </w:pPr>
            <w:r>
              <w:rPr>
                <w:color w:val="auto"/>
                <w:kern w:val="0"/>
                <w:sz w:val="21"/>
                <w:szCs w:val="21"/>
                <w:lang w:bidi="ar"/>
              </w:rPr>
              <w:t>65</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6D671883">
            <w:pPr>
              <w:widowControl/>
              <w:spacing w:line="240" w:lineRule="auto"/>
              <w:ind w:firstLine="0" w:firstLineChars="0"/>
              <w:jc w:val="center"/>
              <w:textAlignment w:val="top"/>
              <w:rPr>
                <w:color w:val="auto"/>
                <w:sz w:val="21"/>
                <w:szCs w:val="21"/>
              </w:rPr>
            </w:pPr>
            <w:r>
              <w:rPr>
                <w:color w:val="auto"/>
                <w:kern w:val="0"/>
                <w:sz w:val="21"/>
                <w:szCs w:val="21"/>
                <w:lang w:bidi="ar"/>
              </w:rPr>
              <w:t>31.8</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27244B8F">
            <w:pPr>
              <w:widowControl/>
              <w:spacing w:line="240" w:lineRule="auto"/>
              <w:ind w:firstLine="0" w:firstLineChars="0"/>
              <w:jc w:val="center"/>
              <w:textAlignment w:val="top"/>
              <w:rPr>
                <w:color w:val="auto"/>
                <w:sz w:val="21"/>
                <w:szCs w:val="21"/>
              </w:rPr>
            </w:pPr>
            <w:r>
              <w:rPr>
                <w:color w:val="auto"/>
                <w:kern w:val="0"/>
                <w:sz w:val="21"/>
                <w:szCs w:val="21"/>
                <w:lang w:bidi="ar"/>
              </w:rPr>
              <w:t>3.79</w:t>
            </w:r>
          </w:p>
        </w:tc>
        <w:tc>
          <w:tcPr>
            <w:tcW w:w="508" w:type="pct"/>
            <w:tcBorders>
              <w:top w:val="single" w:color="auto" w:sz="4" w:space="0"/>
              <w:left w:val="single" w:color="auto" w:sz="4" w:space="0"/>
              <w:bottom w:val="single" w:color="auto" w:sz="4" w:space="0"/>
              <w:right w:val="nil"/>
            </w:tcBorders>
            <w:shd w:val="clear" w:color="auto" w:fill="auto"/>
            <w:vAlign w:val="center"/>
          </w:tcPr>
          <w:p w14:paraId="36736B11">
            <w:pPr>
              <w:widowControl/>
              <w:spacing w:line="240" w:lineRule="auto"/>
              <w:ind w:firstLine="0" w:firstLineChars="0"/>
              <w:jc w:val="center"/>
              <w:textAlignment w:val="top"/>
              <w:rPr>
                <w:color w:val="auto"/>
                <w:sz w:val="21"/>
                <w:szCs w:val="21"/>
              </w:rPr>
            </w:pPr>
            <w:r>
              <w:rPr>
                <w:color w:val="auto"/>
                <w:kern w:val="0"/>
                <w:sz w:val="21"/>
                <w:szCs w:val="21"/>
                <w:lang w:bidi="ar"/>
              </w:rPr>
              <w:t>37.4</w:t>
            </w:r>
          </w:p>
        </w:tc>
      </w:tr>
      <w:tr w14:paraId="406ECEA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01FD77EF">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3EEC285">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9A95916">
            <w:pPr>
              <w:spacing w:line="240" w:lineRule="auto"/>
              <w:ind w:firstLine="0" w:firstLineChars="0"/>
              <w:jc w:val="center"/>
              <w:rPr>
                <w:color w:val="auto"/>
                <w:sz w:val="21"/>
                <w:szCs w:val="21"/>
              </w:rPr>
            </w:pPr>
            <w:r>
              <w:rPr>
                <w:color w:val="auto"/>
                <w:sz w:val="21"/>
                <w:szCs w:val="21"/>
                <w:lang w:bidi="ar"/>
              </w:rPr>
              <w:t>第二次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60CB79A1">
            <w:pPr>
              <w:widowControl/>
              <w:spacing w:line="240" w:lineRule="auto"/>
              <w:ind w:firstLine="0" w:firstLineChars="0"/>
              <w:jc w:val="center"/>
              <w:textAlignment w:val="top"/>
              <w:rPr>
                <w:color w:val="auto"/>
                <w:sz w:val="21"/>
                <w:szCs w:val="21"/>
              </w:rPr>
            </w:pPr>
            <w:r>
              <w:rPr>
                <w:color w:val="auto"/>
                <w:kern w:val="0"/>
                <w:sz w:val="21"/>
                <w:szCs w:val="21"/>
                <w:lang w:bidi="ar"/>
              </w:rPr>
              <w:t>7.86</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906111E">
            <w:pPr>
              <w:widowControl/>
              <w:spacing w:line="240" w:lineRule="auto"/>
              <w:ind w:firstLine="0" w:firstLineChars="0"/>
              <w:jc w:val="center"/>
              <w:textAlignment w:val="top"/>
              <w:rPr>
                <w:color w:val="auto"/>
                <w:sz w:val="21"/>
                <w:szCs w:val="21"/>
              </w:rPr>
            </w:pPr>
            <w:r>
              <w:rPr>
                <w:color w:val="auto"/>
                <w:kern w:val="0"/>
                <w:sz w:val="21"/>
                <w:szCs w:val="21"/>
                <w:lang w:bidi="ar"/>
              </w:rPr>
              <w:t>215</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78CBA0DC">
            <w:pPr>
              <w:widowControl/>
              <w:spacing w:line="240" w:lineRule="auto"/>
              <w:ind w:firstLine="0" w:firstLineChars="0"/>
              <w:jc w:val="center"/>
              <w:textAlignment w:val="top"/>
              <w:rPr>
                <w:color w:val="auto"/>
                <w:sz w:val="21"/>
                <w:szCs w:val="21"/>
              </w:rPr>
            </w:pPr>
            <w:r>
              <w:rPr>
                <w:color w:val="auto"/>
                <w:kern w:val="0"/>
                <w:sz w:val="21"/>
                <w:szCs w:val="21"/>
                <w:lang w:bidi="ar"/>
              </w:rPr>
              <w:t>140</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36E70698">
            <w:pPr>
              <w:widowControl/>
              <w:spacing w:line="240" w:lineRule="auto"/>
              <w:ind w:firstLine="0" w:firstLineChars="0"/>
              <w:jc w:val="center"/>
              <w:textAlignment w:val="top"/>
              <w:rPr>
                <w:color w:val="auto"/>
                <w:sz w:val="21"/>
                <w:szCs w:val="21"/>
              </w:rPr>
            </w:pPr>
            <w:r>
              <w:rPr>
                <w:color w:val="auto"/>
                <w:kern w:val="0"/>
                <w:sz w:val="21"/>
                <w:szCs w:val="21"/>
                <w:lang w:bidi="ar"/>
              </w:rPr>
              <w:t>31.9</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7F4B3A2">
            <w:pPr>
              <w:widowControl/>
              <w:spacing w:line="240" w:lineRule="auto"/>
              <w:ind w:firstLine="0" w:firstLineChars="0"/>
              <w:jc w:val="center"/>
              <w:textAlignment w:val="top"/>
              <w:rPr>
                <w:color w:val="auto"/>
                <w:sz w:val="21"/>
                <w:szCs w:val="21"/>
              </w:rPr>
            </w:pPr>
            <w:r>
              <w:rPr>
                <w:color w:val="auto"/>
                <w:kern w:val="0"/>
                <w:sz w:val="21"/>
                <w:szCs w:val="21"/>
                <w:lang w:bidi="ar"/>
              </w:rPr>
              <w:t>3.67</w:t>
            </w:r>
          </w:p>
        </w:tc>
        <w:tc>
          <w:tcPr>
            <w:tcW w:w="508" w:type="pct"/>
            <w:tcBorders>
              <w:top w:val="single" w:color="auto" w:sz="4" w:space="0"/>
              <w:left w:val="single" w:color="auto" w:sz="4" w:space="0"/>
              <w:bottom w:val="single" w:color="auto" w:sz="4" w:space="0"/>
              <w:right w:val="nil"/>
            </w:tcBorders>
            <w:shd w:val="clear" w:color="auto" w:fill="auto"/>
            <w:vAlign w:val="center"/>
          </w:tcPr>
          <w:p w14:paraId="619C3374">
            <w:pPr>
              <w:widowControl/>
              <w:spacing w:line="240" w:lineRule="auto"/>
              <w:ind w:firstLine="0" w:firstLineChars="0"/>
              <w:jc w:val="center"/>
              <w:textAlignment w:val="top"/>
              <w:rPr>
                <w:color w:val="auto"/>
                <w:sz w:val="21"/>
                <w:szCs w:val="21"/>
              </w:rPr>
            </w:pPr>
            <w:r>
              <w:rPr>
                <w:color w:val="auto"/>
                <w:kern w:val="0"/>
                <w:sz w:val="21"/>
                <w:szCs w:val="21"/>
                <w:lang w:bidi="ar"/>
              </w:rPr>
              <w:t>34.6</w:t>
            </w:r>
          </w:p>
        </w:tc>
      </w:tr>
      <w:tr w14:paraId="4D876EA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75FB54AD">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5EC79E4">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C0D0236">
            <w:pPr>
              <w:spacing w:line="240" w:lineRule="auto"/>
              <w:ind w:firstLine="0" w:firstLineChars="0"/>
              <w:jc w:val="center"/>
              <w:rPr>
                <w:color w:val="auto"/>
                <w:sz w:val="21"/>
                <w:szCs w:val="21"/>
              </w:rPr>
            </w:pPr>
            <w:r>
              <w:rPr>
                <w:color w:val="auto"/>
                <w:sz w:val="21"/>
                <w:szCs w:val="21"/>
                <w:lang w:bidi="ar"/>
              </w:rPr>
              <w:t>第三次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A1A980D">
            <w:pPr>
              <w:widowControl/>
              <w:spacing w:line="240" w:lineRule="auto"/>
              <w:ind w:firstLine="0" w:firstLineChars="0"/>
              <w:jc w:val="center"/>
              <w:textAlignment w:val="top"/>
              <w:rPr>
                <w:color w:val="auto"/>
                <w:sz w:val="21"/>
                <w:szCs w:val="21"/>
              </w:rPr>
            </w:pPr>
            <w:r>
              <w:rPr>
                <w:color w:val="auto"/>
                <w:kern w:val="0"/>
                <w:sz w:val="21"/>
                <w:szCs w:val="21"/>
                <w:lang w:bidi="ar"/>
              </w:rPr>
              <w:t>7.87</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947FAAC">
            <w:pPr>
              <w:widowControl/>
              <w:spacing w:line="240" w:lineRule="auto"/>
              <w:ind w:firstLine="0" w:firstLineChars="0"/>
              <w:jc w:val="center"/>
              <w:textAlignment w:val="top"/>
              <w:rPr>
                <w:color w:val="auto"/>
                <w:sz w:val="21"/>
                <w:szCs w:val="21"/>
              </w:rPr>
            </w:pPr>
            <w:r>
              <w:rPr>
                <w:color w:val="auto"/>
                <w:kern w:val="0"/>
                <w:sz w:val="21"/>
                <w:szCs w:val="21"/>
                <w:lang w:bidi="ar"/>
              </w:rPr>
              <w:t>150</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9686B0E">
            <w:pPr>
              <w:widowControl/>
              <w:spacing w:line="240" w:lineRule="auto"/>
              <w:ind w:firstLine="0" w:firstLineChars="0"/>
              <w:jc w:val="center"/>
              <w:textAlignment w:val="top"/>
              <w:rPr>
                <w:color w:val="auto"/>
                <w:sz w:val="21"/>
                <w:szCs w:val="21"/>
              </w:rPr>
            </w:pPr>
            <w:r>
              <w:rPr>
                <w:color w:val="auto"/>
                <w:kern w:val="0"/>
                <w:sz w:val="21"/>
                <w:szCs w:val="21"/>
                <w:lang w:bidi="ar"/>
              </w:rPr>
              <w:t>103</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45DFD85E">
            <w:pPr>
              <w:widowControl/>
              <w:spacing w:line="240" w:lineRule="auto"/>
              <w:ind w:firstLine="0" w:firstLineChars="0"/>
              <w:jc w:val="center"/>
              <w:textAlignment w:val="top"/>
              <w:rPr>
                <w:color w:val="auto"/>
                <w:sz w:val="21"/>
                <w:szCs w:val="21"/>
              </w:rPr>
            </w:pPr>
            <w:r>
              <w:rPr>
                <w:color w:val="auto"/>
                <w:kern w:val="0"/>
                <w:sz w:val="21"/>
                <w:szCs w:val="21"/>
                <w:lang w:bidi="ar"/>
              </w:rPr>
              <w:t>38.5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77C77A6">
            <w:pPr>
              <w:widowControl/>
              <w:spacing w:line="240" w:lineRule="auto"/>
              <w:ind w:firstLine="0" w:firstLineChars="0"/>
              <w:jc w:val="center"/>
              <w:textAlignment w:val="top"/>
              <w:rPr>
                <w:color w:val="auto"/>
                <w:sz w:val="21"/>
                <w:szCs w:val="21"/>
              </w:rPr>
            </w:pPr>
            <w:r>
              <w:rPr>
                <w:color w:val="auto"/>
                <w:kern w:val="0"/>
                <w:sz w:val="21"/>
                <w:szCs w:val="21"/>
                <w:lang w:bidi="ar"/>
              </w:rPr>
              <w:t>3.32</w:t>
            </w:r>
          </w:p>
        </w:tc>
        <w:tc>
          <w:tcPr>
            <w:tcW w:w="508" w:type="pct"/>
            <w:tcBorders>
              <w:top w:val="single" w:color="auto" w:sz="4" w:space="0"/>
              <w:left w:val="single" w:color="auto" w:sz="4" w:space="0"/>
              <w:bottom w:val="single" w:color="auto" w:sz="4" w:space="0"/>
              <w:right w:val="nil"/>
            </w:tcBorders>
            <w:shd w:val="clear" w:color="auto" w:fill="auto"/>
            <w:vAlign w:val="center"/>
          </w:tcPr>
          <w:p w14:paraId="3D06EB8E">
            <w:pPr>
              <w:widowControl/>
              <w:spacing w:line="240" w:lineRule="auto"/>
              <w:ind w:firstLine="0" w:firstLineChars="0"/>
              <w:jc w:val="center"/>
              <w:textAlignment w:val="top"/>
              <w:rPr>
                <w:color w:val="auto"/>
                <w:sz w:val="21"/>
                <w:szCs w:val="21"/>
              </w:rPr>
            </w:pPr>
            <w:r>
              <w:rPr>
                <w:color w:val="auto"/>
                <w:kern w:val="0"/>
                <w:sz w:val="21"/>
                <w:szCs w:val="21"/>
                <w:lang w:bidi="ar"/>
              </w:rPr>
              <w:t>42.7</w:t>
            </w:r>
          </w:p>
        </w:tc>
      </w:tr>
      <w:tr w14:paraId="179371F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5FAD65EB">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2BD35F">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E58A5AD">
            <w:pPr>
              <w:spacing w:line="240" w:lineRule="auto"/>
              <w:ind w:firstLine="0" w:firstLineChars="0"/>
              <w:jc w:val="center"/>
              <w:rPr>
                <w:color w:val="auto"/>
                <w:sz w:val="21"/>
                <w:szCs w:val="21"/>
              </w:rPr>
            </w:pPr>
            <w:r>
              <w:rPr>
                <w:color w:val="auto"/>
                <w:sz w:val="21"/>
                <w:szCs w:val="21"/>
                <w:lang w:bidi="ar"/>
              </w:rPr>
              <w:t>第四次</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49D8A03C">
            <w:pPr>
              <w:widowControl/>
              <w:spacing w:line="240" w:lineRule="auto"/>
              <w:ind w:firstLine="0" w:firstLineChars="0"/>
              <w:jc w:val="center"/>
              <w:textAlignment w:val="top"/>
              <w:rPr>
                <w:color w:val="auto"/>
                <w:sz w:val="21"/>
                <w:szCs w:val="21"/>
              </w:rPr>
            </w:pPr>
            <w:r>
              <w:rPr>
                <w:color w:val="auto"/>
                <w:kern w:val="0"/>
                <w:sz w:val="21"/>
                <w:szCs w:val="21"/>
                <w:lang w:bidi="ar"/>
              </w:rPr>
              <w:t>7.85</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687F517">
            <w:pPr>
              <w:widowControl/>
              <w:spacing w:line="240" w:lineRule="auto"/>
              <w:ind w:firstLine="0" w:firstLineChars="0"/>
              <w:jc w:val="center"/>
              <w:textAlignment w:val="top"/>
              <w:rPr>
                <w:color w:val="auto"/>
                <w:sz w:val="21"/>
                <w:szCs w:val="21"/>
              </w:rPr>
            </w:pPr>
            <w:r>
              <w:rPr>
                <w:color w:val="auto"/>
                <w:kern w:val="0"/>
                <w:sz w:val="21"/>
                <w:szCs w:val="21"/>
                <w:lang w:bidi="ar"/>
              </w:rPr>
              <w:t>196</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78D23E48">
            <w:pPr>
              <w:widowControl/>
              <w:spacing w:line="240" w:lineRule="auto"/>
              <w:ind w:firstLine="0" w:firstLineChars="0"/>
              <w:jc w:val="center"/>
              <w:textAlignment w:val="top"/>
              <w:rPr>
                <w:color w:val="auto"/>
                <w:sz w:val="21"/>
                <w:szCs w:val="21"/>
              </w:rPr>
            </w:pPr>
            <w:r>
              <w:rPr>
                <w:color w:val="auto"/>
                <w:kern w:val="0"/>
                <w:sz w:val="21"/>
                <w:szCs w:val="21"/>
                <w:lang w:bidi="ar"/>
              </w:rPr>
              <w:t>112</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34AC4293">
            <w:pPr>
              <w:widowControl/>
              <w:spacing w:line="240" w:lineRule="auto"/>
              <w:ind w:firstLine="0" w:firstLineChars="0"/>
              <w:jc w:val="center"/>
              <w:textAlignment w:val="top"/>
              <w:rPr>
                <w:color w:val="auto"/>
                <w:sz w:val="21"/>
                <w:szCs w:val="21"/>
              </w:rPr>
            </w:pPr>
            <w:r>
              <w:rPr>
                <w:color w:val="auto"/>
                <w:kern w:val="0"/>
                <w:sz w:val="21"/>
                <w:szCs w:val="21"/>
                <w:lang w:bidi="ar"/>
              </w:rPr>
              <w:t>40.4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F82C2F7">
            <w:pPr>
              <w:widowControl/>
              <w:spacing w:line="240" w:lineRule="auto"/>
              <w:ind w:firstLine="0" w:firstLineChars="0"/>
              <w:jc w:val="center"/>
              <w:textAlignment w:val="top"/>
              <w:rPr>
                <w:color w:val="auto"/>
                <w:sz w:val="21"/>
                <w:szCs w:val="21"/>
              </w:rPr>
            </w:pPr>
            <w:r>
              <w:rPr>
                <w:color w:val="auto"/>
                <w:kern w:val="0"/>
                <w:sz w:val="21"/>
                <w:szCs w:val="21"/>
                <w:lang w:bidi="ar"/>
              </w:rPr>
              <w:t>4.49</w:t>
            </w:r>
          </w:p>
        </w:tc>
        <w:tc>
          <w:tcPr>
            <w:tcW w:w="508" w:type="pct"/>
            <w:tcBorders>
              <w:top w:val="single" w:color="auto" w:sz="4" w:space="0"/>
              <w:left w:val="single" w:color="auto" w:sz="4" w:space="0"/>
              <w:bottom w:val="single" w:color="auto" w:sz="4" w:space="0"/>
              <w:right w:val="nil"/>
            </w:tcBorders>
            <w:shd w:val="clear" w:color="auto" w:fill="auto"/>
            <w:vAlign w:val="center"/>
          </w:tcPr>
          <w:p w14:paraId="667E5518">
            <w:pPr>
              <w:widowControl/>
              <w:spacing w:line="240" w:lineRule="auto"/>
              <w:ind w:firstLine="0" w:firstLineChars="0"/>
              <w:jc w:val="center"/>
              <w:textAlignment w:val="top"/>
              <w:rPr>
                <w:color w:val="auto"/>
                <w:sz w:val="21"/>
                <w:szCs w:val="21"/>
              </w:rPr>
            </w:pPr>
            <w:r>
              <w:rPr>
                <w:color w:val="auto"/>
                <w:kern w:val="0"/>
                <w:sz w:val="21"/>
                <w:szCs w:val="21"/>
                <w:lang w:bidi="ar"/>
              </w:rPr>
              <w:t>49.1</w:t>
            </w:r>
          </w:p>
        </w:tc>
      </w:tr>
      <w:tr w14:paraId="61BB55D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573" w:type="pct"/>
            <w:vMerge w:val="continue"/>
            <w:tcBorders>
              <w:top w:val="single" w:color="auto" w:sz="4" w:space="0"/>
              <w:left w:val="nil"/>
              <w:bottom w:val="single" w:color="auto" w:sz="4" w:space="0"/>
              <w:right w:val="single" w:color="auto" w:sz="4" w:space="0"/>
            </w:tcBorders>
            <w:shd w:val="clear" w:color="auto" w:fill="auto"/>
            <w:vAlign w:val="center"/>
          </w:tcPr>
          <w:p w14:paraId="0E88721E">
            <w:pPr>
              <w:spacing w:line="240" w:lineRule="auto"/>
              <w:ind w:firstLine="0" w:firstLineChars="0"/>
              <w:jc w:val="center"/>
              <w:rPr>
                <w:color w:val="auto"/>
                <w:sz w:val="21"/>
                <w:szCs w:val="21"/>
              </w:rPr>
            </w:pPr>
          </w:p>
        </w:tc>
        <w:tc>
          <w:tcPr>
            <w:tcW w:w="65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8EAAC3">
            <w:pPr>
              <w:spacing w:line="240" w:lineRule="auto"/>
              <w:ind w:firstLine="0" w:firstLineChars="0"/>
              <w:jc w:val="center"/>
              <w:rPr>
                <w:color w:val="auto"/>
                <w:sz w:val="21"/>
                <w:szCs w:val="21"/>
              </w:rPr>
            </w:pPr>
          </w:p>
        </w:tc>
        <w:tc>
          <w:tcPr>
            <w:tcW w:w="5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39C7B8">
            <w:pPr>
              <w:widowControl/>
              <w:spacing w:line="240" w:lineRule="auto"/>
              <w:ind w:firstLine="0" w:firstLineChars="0"/>
              <w:jc w:val="center"/>
              <w:rPr>
                <w:color w:val="auto"/>
                <w:kern w:val="0"/>
                <w:sz w:val="21"/>
                <w:szCs w:val="21"/>
              </w:rPr>
            </w:pPr>
            <w:r>
              <w:rPr>
                <w:color w:val="auto"/>
                <w:kern w:val="0"/>
                <w:sz w:val="21"/>
                <w:szCs w:val="21"/>
                <w:lang w:bidi="ar"/>
              </w:rPr>
              <w:t>日均值</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4AAF9F41">
            <w:pPr>
              <w:spacing w:line="240" w:lineRule="auto"/>
              <w:ind w:firstLine="0" w:firstLineChars="0"/>
              <w:jc w:val="center"/>
              <w:rPr>
                <w:color w:val="auto"/>
                <w:sz w:val="21"/>
                <w:szCs w:val="21"/>
              </w:rPr>
            </w:pPr>
            <w:r>
              <w:rPr>
                <w:color w:val="auto"/>
                <w:sz w:val="21"/>
                <w:szCs w:val="21"/>
                <w:lang w:bidi="ar"/>
              </w:rPr>
              <w:t>7.85-7.9</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E7D7068">
            <w:pPr>
              <w:spacing w:line="240" w:lineRule="auto"/>
              <w:ind w:firstLine="0" w:firstLineChars="0"/>
              <w:jc w:val="center"/>
              <w:rPr>
                <w:color w:val="auto"/>
                <w:sz w:val="21"/>
                <w:szCs w:val="21"/>
              </w:rPr>
            </w:pPr>
            <w:r>
              <w:rPr>
                <w:color w:val="auto"/>
                <w:sz w:val="21"/>
                <w:szCs w:val="21"/>
                <w:lang w:bidi="ar"/>
              </w:rPr>
              <w:t>147.88</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3D4E1FEC">
            <w:pPr>
              <w:spacing w:line="240" w:lineRule="auto"/>
              <w:ind w:firstLine="0" w:firstLineChars="0"/>
              <w:jc w:val="center"/>
              <w:rPr>
                <w:color w:val="auto"/>
                <w:sz w:val="21"/>
                <w:szCs w:val="21"/>
              </w:rPr>
            </w:pPr>
            <w:r>
              <w:rPr>
                <w:color w:val="auto"/>
                <w:sz w:val="21"/>
                <w:szCs w:val="21"/>
                <w:lang w:bidi="ar"/>
              </w:rPr>
              <w:t>95.75</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792B67EA">
            <w:pPr>
              <w:spacing w:line="240" w:lineRule="auto"/>
              <w:ind w:firstLine="0" w:firstLineChars="0"/>
              <w:jc w:val="center"/>
              <w:rPr>
                <w:color w:val="auto"/>
                <w:sz w:val="21"/>
                <w:szCs w:val="21"/>
              </w:rPr>
            </w:pPr>
            <w:r>
              <w:rPr>
                <w:color w:val="auto"/>
                <w:sz w:val="21"/>
                <w:szCs w:val="21"/>
                <w:lang w:bidi="ar"/>
              </w:rPr>
              <w:t>33.7625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13E6B48">
            <w:pPr>
              <w:spacing w:line="240" w:lineRule="auto"/>
              <w:ind w:firstLine="0" w:firstLineChars="0"/>
              <w:jc w:val="center"/>
              <w:rPr>
                <w:color w:val="auto"/>
                <w:sz w:val="21"/>
                <w:szCs w:val="21"/>
              </w:rPr>
            </w:pPr>
            <w:r>
              <w:rPr>
                <w:color w:val="auto"/>
                <w:sz w:val="21"/>
                <w:szCs w:val="21"/>
                <w:lang w:bidi="ar"/>
              </w:rPr>
              <w:t>3.49</w:t>
            </w:r>
          </w:p>
        </w:tc>
        <w:tc>
          <w:tcPr>
            <w:tcW w:w="508" w:type="pct"/>
            <w:tcBorders>
              <w:top w:val="single" w:color="auto" w:sz="4" w:space="0"/>
              <w:left w:val="single" w:color="auto" w:sz="4" w:space="0"/>
              <w:bottom w:val="single" w:color="auto" w:sz="4" w:space="0"/>
              <w:right w:val="nil"/>
            </w:tcBorders>
            <w:shd w:val="clear" w:color="auto" w:fill="auto"/>
            <w:vAlign w:val="center"/>
          </w:tcPr>
          <w:p w14:paraId="22A65298">
            <w:pPr>
              <w:spacing w:line="240" w:lineRule="auto"/>
              <w:ind w:firstLine="0" w:firstLineChars="0"/>
              <w:jc w:val="center"/>
              <w:rPr>
                <w:color w:val="auto"/>
                <w:sz w:val="21"/>
                <w:szCs w:val="21"/>
              </w:rPr>
            </w:pPr>
            <w:r>
              <w:rPr>
                <w:color w:val="auto"/>
                <w:sz w:val="21"/>
                <w:szCs w:val="21"/>
                <w:lang w:bidi="ar"/>
              </w:rPr>
              <w:t>38.95</w:t>
            </w:r>
          </w:p>
        </w:tc>
      </w:tr>
      <w:tr w14:paraId="3927DE4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1805" w:type="pct"/>
            <w:gridSpan w:val="3"/>
            <w:tcBorders>
              <w:top w:val="single" w:color="auto" w:sz="4" w:space="0"/>
              <w:left w:val="nil"/>
              <w:bottom w:val="single" w:color="auto" w:sz="4" w:space="0"/>
              <w:right w:val="single" w:color="auto" w:sz="4" w:space="0"/>
            </w:tcBorders>
            <w:shd w:val="clear" w:color="auto" w:fill="auto"/>
            <w:vAlign w:val="center"/>
          </w:tcPr>
          <w:p w14:paraId="6AD974B8">
            <w:pPr>
              <w:widowControl/>
              <w:spacing w:line="240" w:lineRule="auto"/>
              <w:ind w:firstLine="0" w:firstLineChars="0"/>
              <w:jc w:val="center"/>
              <w:rPr>
                <w:color w:val="auto"/>
                <w:kern w:val="0"/>
                <w:sz w:val="21"/>
                <w:szCs w:val="21"/>
              </w:rPr>
            </w:pPr>
            <w:r>
              <w:rPr>
                <w:color w:val="auto"/>
                <w:kern w:val="0"/>
                <w:sz w:val="21"/>
                <w:szCs w:val="21"/>
                <w:lang w:bidi="ar"/>
              </w:rPr>
              <w:t>《污水排入城镇下水道水质标准》（GB</w:t>
            </w:r>
            <w:r>
              <w:rPr>
                <w:rFonts w:hint="eastAsia"/>
                <w:color w:val="auto"/>
                <w:kern w:val="0"/>
                <w:sz w:val="21"/>
                <w:szCs w:val="21"/>
                <w:lang w:bidi="ar"/>
              </w:rPr>
              <w:t>/</w:t>
            </w:r>
            <w:r>
              <w:rPr>
                <w:color w:val="auto"/>
                <w:kern w:val="0"/>
                <w:sz w:val="21"/>
                <w:szCs w:val="21"/>
                <w:lang w:bidi="ar"/>
              </w:rPr>
              <w:t>T-31962-2015）</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35F9F98">
            <w:pPr>
              <w:spacing w:line="240" w:lineRule="auto"/>
              <w:ind w:firstLine="0" w:firstLineChars="0"/>
              <w:jc w:val="center"/>
              <w:rPr>
                <w:color w:val="auto"/>
                <w:sz w:val="21"/>
                <w:szCs w:val="21"/>
              </w:rPr>
            </w:pPr>
            <w:r>
              <w:rPr>
                <w:color w:val="auto"/>
                <w:sz w:val="21"/>
                <w:szCs w:val="21"/>
                <w:lang w:bidi="ar"/>
              </w:rPr>
              <w:t>6~9</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67A61A8">
            <w:pPr>
              <w:spacing w:line="240" w:lineRule="auto"/>
              <w:ind w:firstLine="0" w:firstLineChars="0"/>
              <w:jc w:val="center"/>
              <w:rPr>
                <w:color w:val="auto"/>
                <w:sz w:val="21"/>
                <w:szCs w:val="21"/>
              </w:rPr>
            </w:pPr>
            <w:r>
              <w:rPr>
                <w:color w:val="auto"/>
                <w:sz w:val="21"/>
                <w:szCs w:val="21"/>
                <w:lang w:bidi="ar"/>
              </w:rPr>
              <w:t>500</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50016942">
            <w:pPr>
              <w:spacing w:line="240" w:lineRule="auto"/>
              <w:ind w:firstLine="0" w:firstLineChars="0"/>
              <w:jc w:val="center"/>
              <w:rPr>
                <w:color w:val="auto"/>
                <w:sz w:val="21"/>
                <w:szCs w:val="21"/>
              </w:rPr>
            </w:pPr>
            <w:r>
              <w:rPr>
                <w:color w:val="auto"/>
                <w:sz w:val="21"/>
                <w:szCs w:val="21"/>
                <w:lang w:bidi="ar"/>
              </w:rPr>
              <w:t>400</w:t>
            </w:r>
          </w:p>
        </w:tc>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612FF34C">
            <w:pPr>
              <w:spacing w:line="240" w:lineRule="auto"/>
              <w:ind w:firstLine="0" w:firstLineChars="0"/>
              <w:jc w:val="center"/>
              <w:rPr>
                <w:color w:val="auto"/>
                <w:sz w:val="21"/>
                <w:szCs w:val="21"/>
              </w:rPr>
            </w:pPr>
            <w:r>
              <w:rPr>
                <w:color w:val="auto"/>
                <w:sz w:val="21"/>
                <w:szCs w:val="21"/>
                <w:lang w:bidi="ar"/>
              </w:rPr>
              <w:t>45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0795A126">
            <w:pPr>
              <w:spacing w:line="240" w:lineRule="auto"/>
              <w:ind w:firstLine="0" w:firstLineChars="0"/>
              <w:jc w:val="center"/>
              <w:rPr>
                <w:color w:val="auto"/>
                <w:sz w:val="21"/>
                <w:szCs w:val="21"/>
              </w:rPr>
            </w:pPr>
            <w:r>
              <w:rPr>
                <w:color w:val="auto"/>
                <w:sz w:val="21"/>
                <w:szCs w:val="21"/>
                <w:lang w:bidi="ar"/>
              </w:rPr>
              <w:t>8</w:t>
            </w:r>
          </w:p>
        </w:tc>
        <w:tc>
          <w:tcPr>
            <w:tcW w:w="508" w:type="pct"/>
            <w:tcBorders>
              <w:top w:val="single" w:color="auto" w:sz="4" w:space="0"/>
              <w:left w:val="single" w:color="auto" w:sz="4" w:space="0"/>
              <w:bottom w:val="single" w:color="auto" w:sz="4" w:space="0"/>
              <w:right w:val="nil"/>
            </w:tcBorders>
            <w:shd w:val="clear" w:color="auto" w:fill="auto"/>
            <w:vAlign w:val="center"/>
          </w:tcPr>
          <w:p w14:paraId="1253EFEC">
            <w:pPr>
              <w:spacing w:line="240" w:lineRule="auto"/>
              <w:ind w:firstLine="0" w:firstLineChars="0"/>
              <w:jc w:val="center"/>
              <w:rPr>
                <w:color w:val="auto"/>
                <w:sz w:val="21"/>
                <w:szCs w:val="21"/>
              </w:rPr>
            </w:pPr>
            <w:r>
              <w:rPr>
                <w:color w:val="auto"/>
                <w:sz w:val="21"/>
                <w:szCs w:val="21"/>
                <w:lang w:bidi="ar"/>
              </w:rPr>
              <w:t>70</w:t>
            </w:r>
          </w:p>
        </w:tc>
      </w:tr>
      <w:tr w14:paraId="6B6AC7B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8" w:hRule="atLeast"/>
          <w:jc w:val="center"/>
        </w:trPr>
        <w:tc>
          <w:tcPr>
            <w:tcW w:w="1805" w:type="pct"/>
            <w:gridSpan w:val="3"/>
            <w:tcBorders>
              <w:top w:val="single" w:color="auto" w:sz="4" w:space="0"/>
              <w:left w:val="nil"/>
              <w:bottom w:val="single" w:color="auto" w:sz="12" w:space="0"/>
              <w:right w:val="single" w:color="auto" w:sz="4" w:space="0"/>
            </w:tcBorders>
            <w:shd w:val="clear" w:color="auto" w:fill="auto"/>
            <w:vAlign w:val="center"/>
          </w:tcPr>
          <w:p w14:paraId="4987A781">
            <w:pPr>
              <w:widowControl/>
              <w:spacing w:line="240" w:lineRule="auto"/>
              <w:ind w:firstLine="0" w:firstLineChars="0"/>
              <w:jc w:val="center"/>
              <w:rPr>
                <w:color w:val="auto"/>
                <w:kern w:val="0"/>
                <w:sz w:val="21"/>
                <w:szCs w:val="21"/>
              </w:rPr>
            </w:pPr>
            <w:r>
              <w:rPr>
                <w:color w:val="auto"/>
                <w:kern w:val="0"/>
                <w:sz w:val="21"/>
                <w:szCs w:val="21"/>
                <w:lang w:bidi="ar"/>
              </w:rPr>
              <w:t>达标</w:t>
            </w:r>
            <w:r>
              <w:rPr>
                <w:rFonts w:hint="eastAsia"/>
                <w:color w:val="auto"/>
                <w:kern w:val="0"/>
                <w:sz w:val="21"/>
                <w:szCs w:val="21"/>
                <w:lang w:bidi="ar"/>
              </w:rPr>
              <w:t>情况</w:t>
            </w:r>
          </w:p>
        </w:tc>
        <w:tc>
          <w:tcPr>
            <w:tcW w:w="512" w:type="pct"/>
            <w:tcBorders>
              <w:top w:val="single" w:color="auto" w:sz="4" w:space="0"/>
              <w:left w:val="single" w:color="auto" w:sz="4" w:space="0"/>
              <w:bottom w:val="single" w:color="auto" w:sz="12" w:space="0"/>
              <w:right w:val="single" w:color="auto" w:sz="4" w:space="0"/>
            </w:tcBorders>
            <w:shd w:val="clear" w:color="auto" w:fill="auto"/>
            <w:vAlign w:val="center"/>
          </w:tcPr>
          <w:p w14:paraId="7431EBE8">
            <w:pPr>
              <w:spacing w:line="240" w:lineRule="auto"/>
              <w:ind w:firstLine="0" w:firstLineChars="0"/>
              <w:jc w:val="center"/>
              <w:rPr>
                <w:color w:val="auto"/>
                <w:sz w:val="21"/>
                <w:szCs w:val="21"/>
              </w:rPr>
            </w:pPr>
            <w:r>
              <w:rPr>
                <w:rFonts w:hint="eastAsia"/>
                <w:color w:val="auto"/>
                <w:sz w:val="21"/>
                <w:szCs w:val="21"/>
              </w:rPr>
              <w:t>达标</w:t>
            </w:r>
          </w:p>
        </w:tc>
        <w:tc>
          <w:tcPr>
            <w:tcW w:w="534" w:type="pct"/>
            <w:tcBorders>
              <w:top w:val="single" w:color="auto" w:sz="4" w:space="0"/>
              <w:left w:val="single" w:color="auto" w:sz="4" w:space="0"/>
              <w:bottom w:val="single" w:color="auto" w:sz="12" w:space="0"/>
              <w:right w:val="single" w:color="auto" w:sz="4" w:space="0"/>
            </w:tcBorders>
            <w:shd w:val="clear" w:color="auto" w:fill="auto"/>
            <w:vAlign w:val="center"/>
          </w:tcPr>
          <w:p w14:paraId="3A3420A3">
            <w:pPr>
              <w:spacing w:line="240" w:lineRule="auto"/>
              <w:ind w:firstLine="0" w:firstLineChars="0"/>
              <w:jc w:val="center"/>
              <w:rPr>
                <w:color w:val="auto"/>
                <w:sz w:val="21"/>
                <w:szCs w:val="21"/>
              </w:rPr>
            </w:pPr>
            <w:r>
              <w:rPr>
                <w:rFonts w:hint="eastAsia"/>
                <w:color w:val="auto"/>
                <w:sz w:val="21"/>
                <w:szCs w:val="21"/>
              </w:rPr>
              <w:t>达标</w:t>
            </w:r>
          </w:p>
        </w:tc>
        <w:tc>
          <w:tcPr>
            <w:tcW w:w="565" w:type="pct"/>
            <w:tcBorders>
              <w:top w:val="single" w:color="auto" w:sz="4" w:space="0"/>
              <w:left w:val="single" w:color="auto" w:sz="4" w:space="0"/>
              <w:bottom w:val="single" w:color="auto" w:sz="12" w:space="0"/>
              <w:right w:val="single" w:color="auto" w:sz="4" w:space="0"/>
            </w:tcBorders>
            <w:shd w:val="clear" w:color="auto" w:fill="auto"/>
            <w:vAlign w:val="center"/>
          </w:tcPr>
          <w:p w14:paraId="7CD4E2B4">
            <w:pPr>
              <w:spacing w:line="240" w:lineRule="auto"/>
              <w:ind w:firstLine="0" w:firstLineChars="0"/>
              <w:jc w:val="center"/>
              <w:rPr>
                <w:color w:val="auto"/>
                <w:sz w:val="21"/>
                <w:szCs w:val="21"/>
              </w:rPr>
            </w:pPr>
            <w:r>
              <w:rPr>
                <w:rFonts w:hint="eastAsia"/>
                <w:color w:val="auto"/>
                <w:sz w:val="21"/>
                <w:szCs w:val="21"/>
              </w:rPr>
              <w:t>达标</w:t>
            </w:r>
          </w:p>
        </w:tc>
        <w:tc>
          <w:tcPr>
            <w:tcW w:w="565" w:type="pct"/>
            <w:tcBorders>
              <w:top w:val="single" w:color="auto" w:sz="4" w:space="0"/>
              <w:left w:val="single" w:color="auto" w:sz="4" w:space="0"/>
              <w:bottom w:val="single" w:color="auto" w:sz="12" w:space="0"/>
              <w:right w:val="single" w:color="auto" w:sz="4" w:space="0"/>
            </w:tcBorders>
            <w:shd w:val="clear" w:color="auto" w:fill="auto"/>
            <w:vAlign w:val="center"/>
          </w:tcPr>
          <w:p w14:paraId="0E0A1D43">
            <w:pPr>
              <w:spacing w:line="240" w:lineRule="auto"/>
              <w:ind w:firstLine="0" w:firstLineChars="0"/>
              <w:jc w:val="center"/>
              <w:rPr>
                <w:color w:val="auto"/>
                <w:sz w:val="21"/>
                <w:szCs w:val="21"/>
              </w:rPr>
            </w:pPr>
            <w:r>
              <w:rPr>
                <w:rFonts w:hint="eastAsia"/>
                <w:color w:val="auto"/>
                <w:sz w:val="21"/>
                <w:szCs w:val="21"/>
              </w:rPr>
              <w:t>达标</w:t>
            </w:r>
          </w:p>
        </w:tc>
        <w:tc>
          <w:tcPr>
            <w:tcW w:w="508" w:type="pct"/>
            <w:tcBorders>
              <w:top w:val="single" w:color="auto" w:sz="4" w:space="0"/>
              <w:left w:val="single" w:color="auto" w:sz="4" w:space="0"/>
              <w:bottom w:val="single" w:color="auto" w:sz="12" w:space="0"/>
              <w:right w:val="single" w:color="auto" w:sz="4" w:space="0"/>
            </w:tcBorders>
            <w:shd w:val="clear" w:color="auto" w:fill="auto"/>
            <w:vAlign w:val="center"/>
          </w:tcPr>
          <w:p w14:paraId="35114F35">
            <w:pPr>
              <w:spacing w:line="240" w:lineRule="auto"/>
              <w:ind w:firstLine="0" w:firstLineChars="0"/>
              <w:jc w:val="center"/>
              <w:rPr>
                <w:color w:val="auto"/>
                <w:sz w:val="21"/>
                <w:szCs w:val="21"/>
              </w:rPr>
            </w:pPr>
            <w:r>
              <w:rPr>
                <w:rFonts w:hint="eastAsia"/>
                <w:color w:val="auto"/>
                <w:sz w:val="21"/>
                <w:szCs w:val="21"/>
              </w:rPr>
              <w:t>达标</w:t>
            </w:r>
          </w:p>
        </w:tc>
        <w:tc>
          <w:tcPr>
            <w:tcW w:w="508" w:type="pct"/>
            <w:tcBorders>
              <w:top w:val="single" w:color="auto" w:sz="4" w:space="0"/>
              <w:left w:val="single" w:color="auto" w:sz="4" w:space="0"/>
              <w:bottom w:val="single" w:color="auto" w:sz="12" w:space="0"/>
              <w:right w:val="nil"/>
            </w:tcBorders>
            <w:shd w:val="clear" w:color="auto" w:fill="auto"/>
            <w:vAlign w:val="center"/>
          </w:tcPr>
          <w:p w14:paraId="7418831C">
            <w:pPr>
              <w:spacing w:line="240" w:lineRule="auto"/>
              <w:ind w:firstLine="0" w:firstLineChars="0"/>
              <w:jc w:val="center"/>
              <w:rPr>
                <w:color w:val="auto"/>
                <w:sz w:val="21"/>
                <w:szCs w:val="21"/>
              </w:rPr>
            </w:pPr>
            <w:r>
              <w:rPr>
                <w:rFonts w:hint="eastAsia"/>
                <w:color w:val="auto"/>
                <w:sz w:val="21"/>
                <w:szCs w:val="21"/>
              </w:rPr>
              <w:t>达标</w:t>
            </w:r>
          </w:p>
        </w:tc>
      </w:tr>
    </w:tbl>
    <w:p w14:paraId="7A7CFC77">
      <w:pPr>
        <w:ind w:firstLine="480"/>
        <w:rPr>
          <w:color w:val="auto"/>
        </w:rPr>
      </w:pPr>
      <w:r>
        <w:rPr>
          <w:rFonts w:hint="eastAsia"/>
          <w:color w:val="auto"/>
        </w:rPr>
        <w:t>由上述监测数据可知，本项目废水经化粪池预处理后可达开发区临港污水处理厂集中处理。</w:t>
      </w:r>
    </w:p>
    <w:p w14:paraId="27EE4F9A">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3.3</w:t>
      </w:r>
      <w:r>
        <w:rPr>
          <w:b/>
          <w:bCs/>
          <w:color w:val="auto"/>
          <w:sz w:val="28"/>
          <w:szCs w:val="36"/>
        </w:rPr>
        <w:t xml:space="preserve"> </w:t>
      </w:r>
      <w:r>
        <w:rPr>
          <w:rFonts w:hint="eastAsia"/>
          <w:b/>
          <w:bCs/>
          <w:color w:val="auto"/>
          <w:sz w:val="28"/>
          <w:szCs w:val="36"/>
        </w:rPr>
        <w:t>噪声达标排放情况</w:t>
      </w:r>
    </w:p>
    <w:p w14:paraId="7C708FD9">
      <w:pPr>
        <w:ind w:firstLine="480"/>
        <w:rPr>
          <w:color w:val="auto"/>
          <w:szCs w:val="40"/>
        </w:rPr>
      </w:pPr>
      <w:r>
        <w:rPr>
          <w:rFonts w:hint="eastAsia"/>
          <w:color w:val="auto"/>
          <w:szCs w:val="40"/>
        </w:rPr>
        <w:t>现有项目对高噪声设备采取基础减震、厂房隔声、安装消声器等措施，使噪声污染在生产过程中得到控制。根据江苏安环职业健康技术服务有限公司对现有项目出具的检测报告（报告编号：（2024）苏安环检（环）字第（0128）号），噪声排放情况见表3.3-4。</w:t>
      </w:r>
    </w:p>
    <w:p w14:paraId="054B6DEC">
      <w:pPr>
        <w:spacing w:line="240" w:lineRule="auto"/>
        <w:ind w:firstLine="0" w:firstLineChars="0"/>
        <w:jc w:val="center"/>
        <w:rPr>
          <w:b/>
          <w:color w:val="auto"/>
        </w:rPr>
      </w:pPr>
      <w:r>
        <w:rPr>
          <w:rFonts w:hint="eastAsia" w:cs="宋体"/>
          <w:b/>
          <w:color w:val="auto"/>
          <w:lang w:bidi="ar"/>
        </w:rPr>
        <w:t xml:space="preserve">表3.3-4 </w:t>
      </w:r>
      <w:r>
        <w:rPr>
          <w:b/>
          <w:color w:val="auto"/>
          <w:lang w:bidi="ar"/>
        </w:rPr>
        <w:t xml:space="preserve"> </w:t>
      </w:r>
      <w:r>
        <w:rPr>
          <w:rFonts w:hint="eastAsia" w:cs="宋体"/>
          <w:b/>
          <w:color w:val="auto"/>
          <w:lang w:bidi="ar"/>
        </w:rPr>
        <w:t>厂界噪声监测结果统计表</w:t>
      </w:r>
    </w:p>
    <w:tbl>
      <w:tblPr>
        <w:tblStyle w:val="88"/>
        <w:tblW w:w="5082"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757"/>
        <w:gridCol w:w="1617"/>
        <w:gridCol w:w="1463"/>
        <w:gridCol w:w="1465"/>
        <w:gridCol w:w="1463"/>
        <w:gridCol w:w="1469"/>
      </w:tblGrid>
      <w:tr w14:paraId="619168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951" w:type="pct"/>
            <w:vMerge w:val="restart"/>
            <w:tcBorders>
              <w:top w:val="single" w:color="auto" w:sz="12" w:space="0"/>
              <w:left w:val="nil"/>
              <w:bottom w:val="single" w:color="auto" w:sz="4" w:space="0"/>
              <w:right w:val="single" w:color="auto" w:sz="4" w:space="0"/>
            </w:tcBorders>
            <w:shd w:val="clear" w:color="auto" w:fill="auto"/>
            <w:vAlign w:val="center"/>
          </w:tcPr>
          <w:p w14:paraId="39C4B467">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采样地点</w:t>
            </w:r>
          </w:p>
        </w:tc>
        <w:tc>
          <w:tcPr>
            <w:tcW w:w="875"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4A4999B3">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点位编号</w:t>
            </w:r>
          </w:p>
        </w:tc>
        <w:tc>
          <w:tcPr>
            <w:tcW w:w="1585" w:type="pct"/>
            <w:gridSpan w:val="2"/>
            <w:tcBorders>
              <w:top w:val="single" w:color="auto" w:sz="12"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9A5068">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2024.06.13</w:t>
            </w:r>
          </w:p>
        </w:tc>
        <w:tc>
          <w:tcPr>
            <w:tcW w:w="1587" w:type="pct"/>
            <w:gridSpan w:val="2"/>
            <w:tcBorders>
              <w:top w:val="single" w:color="auto" w:sz="12" w:space="0"/>
              <w:left w:val="single" w:color="auto" w:sz="4" w:space="0"/>
              <w:bottom w:val="single" w:color="auto" w:sz="4" w:space="0"/>
              <w:right w:val="nil"/>
            </w:tcBorders>
            <w:shd w:val="clear" w:color="auto" w:fill="auto"/>
            <w:tcMar>
              <w:top w:w="15" w:type="dxa"/>
              <w:left w:w="15" w:type="dxa"/>
              <w:right w:w="15" w:type="dxa"/>
            </w:tcMar>
            <w:vAlign w:val="center"/>
          </w:tcPr>
          <w:p w14:paraId="2F0B5A3B">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bCs/>
                <w:color w:val="auto"/>
                <w:szCs w:val="21"/>
                <w:lang w:bidi="ar"/>
              </w:rPr>
              <w:t>2024.06.14</w:t>
            </w:r>
          </w:p>
        </w:tc>
      </w:tr>
      <w:tr w14:paraId="5A2742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951" w:type="pct"/>
            <w:vMerge w:val="continue"/>
            <w:tcBorders>
              <w:top w:val="single" w:color="auto" w:sz="12" w:space="0"/>
              <w:left w:val="nil"/>
              <w:bottom w:val="single" w:color="auto" w:sz="4" w:space="0"/>
              <w:right w:val="single" w:color="auto" w:sz="4" w:space="0"/>
            </w:tcBorders>
            <w:shd w:val="clear" w:color="auto" w:fill="auto"/>
            <w:vAlign w:val="center"/>
          </w:tcPr>
          <w:p w14:paraId="2274BC46">
            <w:pPr>
              <w:spacing w:line="240" w:lineRule="auto"/>
              <w:ind w:firstLine="0" w:firstLineChars="0"/>
              <w:jc w:val="center"/>
              <w:rPr>
                <w:color w:val="auto"/>
                <w:sz w:val="21"/>
                <w:szCs w:val="21"/>
              </w:rPr>
            </w:pPr>
          </w:p>
        </w:tc>
        <w:tc>
          <w:tcPr>
            <w:tcW w:w="875"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73679C86">
            <w:pPr>
              <w:spacing w:line="240" w:lineRule="auto"/>
              <w:ind w:firstLine="0" w:firstLineChars="0"/>
              <w:jc w:val="center"/>
              <w:rPr>
                <w:color w:val="auto"/>
                <w:sz w:val="21"/>
                <w:szCs w:val="21"/>
              </w:rPr>
            </w:pP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ECAB60">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昼间dB(A)</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A7774E3">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夜间dB(A)</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CC21B3">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昼间dB(A)</w:t>
            </w:r>
          </w:p>
        </w:tc>
        <w:tc>
          <w:tcPr>
            <w:tcW w:w="794" w:type="pc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14:paraId="3935A5D2">
            <w:pPr>
              <w:pStyle w:val="80"/>
              <w:widowControl w:val="0"/>
              <w:spacing w:before="0" w:beforeAutospacing="0" w:after="0" w:afterAutospacing="0"/>
              <w:ind w:firstLine="0" w:firstLineChars="0"/>
              <w:jc w:val="center"/>
              <w:rPr>
                <w:rFonts w:ascii="Times New Roman" w:hAnsi="Times New Roman"/>
                <w:b/>
                <w:color w:val="auto"/>
                <w:szCs w:val="21"/>
              </w:rPr>
            </w:pPr>
            <w:r>
              <w:rPr>
                <w:rFonts w:ascii="Times New Roman" w:hAnsi="Times New Roman"/>
                <w:b/>
                <w:color w:val="auto"/>
                <w:szCs w:val="21"/>
                <w:lang w:bidi="ar"/>
              </w:rPr>
              <w:t>夜间dB(A)</w:t>
            </w:r>
          </w:p>
        </w:tc>
      </w:tr>
      <w:tr w14:paraId="7E6B3C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95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F277C16">
            <w:pPr>
              <w:pStyle w:val="80"/>
              <w:widowControl w:val="0"/>
              <w:kinsoku w:val="0"/>
              <w:overflowPunct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kern w:val="2"/>
                <w:szCs w:val="21"/>
                <w:lang w:bidi="ar"/>
              </w:rPr>
              <w:t>厂界东</w:t>
            </w:r>
            <w:r>
              <w:rPr>
                <w:rFonts w:ascii="Times New Roman" w:hAnsi="Times New Roman"/>
                <w:color w:val="auto"/>
                <w:spacing w:val="-57"/>
                <w:kern w:val="2"/>
                <w:szCs w:val="21"/>
                <w:lang w:bidi="ar"/>
              </w:rPr>
              <w:t xml:space="preserve"> </w:t>
            </w:r>
            <w:r>
              <w:rPr>
                <w:rFonts w:ascii="Times New Roman" w:hAnsi="Times New Roman"/>
                <w:color w:val="auto"/>
                <w:kern w:val="2"/>
                <w:szCs w:val="21"/>
                <w:lang w:bidi="ar"/>
              </w:rPr>
              <w:t>1米处</w:t>
            </w:r>
          </w:p>
        </w:tc>
        <w:tc>
          <w:tcPr>
            <w:tcW w:w="8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8D011FD">
            <w:pPr>
              <w:spacing w:line="240" w:lineRule="auto"/>
              <w:ind w:firstLine="0" w:firstLineChars="0"/>
              <w:jc w:val="center"/>
              <w:rPr>
                <w:color w:val="auto"/>
                <w:sz w:val="21"/>
                <w:szCs w:val="21"/>
              </w:rPr>
            </w:pPr>
            <w:r>
              <w:rPr>
                <w:color w:val="auto"/>
                <w:sz w:val="21"/>
                <w:szCs w:val="21"/>
                <w:lang w:bidi="ar"/>
              </w:rPr>
              <w:t>N1</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14EE105">
            <w:pPr>
              <w:spacing w:line="240" w:lineRule="auto"/>
              <w:ind w:firstLine="0" w:firstLineChars="0"/>
              <w:jc w:val="center"/>
              <w:rPr>
                <w:color w:val="auto"/>
                <w:sz w:val="21"/>
                <w:szCs w:val="21"/>
              </w:rPr>
            </w:pPr>
            <w:r>
              <w:rPr>
                <w:color w:val="auto"/>
                <w:sz w:val="21"/>
                <w:szCs w:val="21"/>
                <w:lang w:bidi="ar"/>
              </w:rPr>
              <w:t>57.8</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1B2294">
            <w:pPr>
              <w:spacing w:line="240" w:lineRule="auto"/>
              <w:ind w:firstLine="0" w:firstLineChars="0"/>
              <w:jc w:val="center"/>
              <w:rPr>
                <w:color w:val="auto"/>
                <w:sz w:val="21"/>
                <w:szCs w:val="21"/>
              </w:rPr>
            </w:pPr>
            <w:r>
              <w:rPr>
                <w:color w:val="auto"/>
                <w:sz w:val="21"/>
                <w:szCs w:val="21"/>
                <w:lang w:bidi="ar"/>
              </w:rPr>
              <w:t>40.5</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E0A7697">
            <w:pPr>
              <w:spacing w:line="240" w:lineRule="auto"/>
              <w:ind w:firstLine="0" w:firstLineChars="0"/>
              <w:jc w:val="center"/>
              <w:rPr>
                <w:color w:val="auto"/>
                <w:sz w:val="21"/>
                <w:szCs w:val="21"/>
              </w:rPr>
            </w:pPr>
            <w:r>
              <w:rPr>
                <w:color w:val="auto"/>
                <w:sz w:val="21"/>
                <w:szCs w:val="21"/>
                <w:lang w:bidi="ar"/>
              </w:rPr>
              <w:t>59.3</w:t>
            </w:r>
          </w:p>
        </w:tc>
        <w:tc>
          <w:tcPr>
            <w:tcW w:w="794" w:type="pc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14:paraId="4274303C">
            <w:pPr>
              <w:spacing w:line="240" w:lineRule="auto"/>
              <w:ind w:firstLine="0" w:firstLineChars="0"/>
              <w:jc w:val="center"/>
              <w:rPr>
                <w:color w:val="auto"/>
                <w:sz w:val="21"/>
                <w:szCs w:val="21"/>
              </w:rPr>
            </w:pPr>
            <w:r>
              <w:rPr>
                <w:color w:val="auto"/>
                <w:sz w:val="21"/>
                <w:szCs w:val="21"/>
                <w:lang w:bidi="ar"/>
              </w:rPr>
              <w:t>45.0</w:t>
            </w:r>
          </w:p>
        </w:tc>
      </w:tr>
      <w:tr w14:paraId="33011B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95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2F03DAC">
            <w:pPr>
              <w:pStyle w:val="80"/>
              <w:widowControl w:val="0"/>
              <w:kinsoku w:val="0"/>
              <w:overflowPunct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kern w:val="2"/>
                <w:szCs w:val="21"/>
                <w:lang w:bidi="ar"/>
              </w:rPr>
              <w:t>厂界南</w:t>
            </w:r>
            <w:r>
              <w:rPr>
                <w:rFonts w:ascii="Times New Roman" w:hAnsi="Times New Roman"/>
                <w:color w:val="auto"/>
                <w:spacing w:val="-57"/>
                <w:kern w:val="2"/>
                <w:szCs w:val="21"/>
                <w:lang w:bidi="ar"/>
              </w:rPr>
              <w:t xml:space="preserve"> </w:t>
            </w:r>
            <w:r>
              <w:rPr>
                <w:rFonts w:ascii="Times New Roman" w:hAnsi="Times New Roman"/>
                <w:color w:val="auto"/>
                <w:kern w:val="2"/>
                <w:szCs w:val="21"/>
                <w:lang w:bidi="ar"/>
              </w:rPr>
              <w:t>1米处</w:t>
            </w:r>
          </w:p>
        </w:tc>
        <w:tc>
          <w:tcPr>
            <w:tcW w:w="8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7AD9A9">
            <w:pPr>
              <w:spacing w:line="240" w:lineRule="auto"/>
              <w:ind w:firstLine="0" w:firstLineChars="0"/>
              <w:jc w:val="center"/>
              <w:rPr>
                <w:color w:val="auto"/>
                <w:sz w:val="21"/>
                <w:szCs w:val="21"/>
              </w:rPr>
            </w:pPr>
            <w:r>
              <w:rPr>
                <w:color w:val="auto"/>
                <w:sz w:val="21"/>
                <w:szCs w:val="21"/>
                <w:lang w:bidi="ar"/>
              </w:rPr>
              <w:t>N2</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FCEAB5">
            <w:pPr>
              <w:spacing w:line="240" w:lineRule="auto"/>
              <w:ind w:firstLine="0" w:firstLineChars="0"/>
              <w:jc w:val="center"/>
              <w:rPr>
                <w:color w:val="auto"/>
                <w:sz w:val="21"/>
                <w:szCs w:val="21"/>
              </w:rPr>
            </w:pPr>
            <w:r>
              <w:rPr>
                <w:color w:val="auto"/>
                <w:sz w:val="21"/>
                <w:szCs w:val="21"/>
                <w:lang w:bidi="ar"/>
              </w:rPr>
              <w:t>61.2</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C4F215">
            <w:pPr>
              <w:spacing w:line="240" w:lineRule="auto"/>
              <w:ind w:firstLine="0" w:firstLineChars="0"/>
              <w:jc w:val="center"/>
              <w:rPr>
                <w:color w:val="auto"/>
                <w:sz w:val="21"/>
                <w:szCs w:val="21"/>
              </w:rPr>
            </w:pPr>
            <w:r>
              <w:rPr>
                <w:color w:val="auto"/>
                <w:sz w:val="21"/>
                <w:szCs w:val="21"/>
                <w:lang w:bidi="ar"/>
              </w:rPr>
              <w:t>43.0</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87B850">
            <w:pPr>
              <w:spacing w:line="240" w:lineRule="auto"/>
              <w:ind w:firstLine="0" w:firstLineChars="0"/>
              <w:jc w:val="center"/>
              <w:rPr>
                <w:color w:val="auto"/>
                <w:sz w:val="21"/>
                <w:szCs w:val="21"/>
              </w:rPr>
            </w:pPr>
            <w:r>
              <w:rPr>
                <w:color w:val="auto"/>
                <w:sz w:val="21"/>
                <w:szCs w:val="21"/>
                <w:lang w:bidi="ar"/>
              </w:rPr>
              <w:t>55.7</w:t>
            </w:r>
          </w:p>
        </w:tc>
        <w:tc>
          <w:tcPr>
            <w:tcW w:w="794" w:type="pc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14:paraId="44B6C71A">
            <w:pPr>
              <w:spacing w:line="240" w:lineRule="auto"/>
              <w:ind w:firstLine="0" w:firstLineChars="0"/>
              <w:jc w:val="center"/>
              <w:rPr>
                <w:color w:val="auto"/>
                <w:sz w:val="21"/>
                <w:szCs w:val="21"/>
              </w:rPr>
            </w:pPr>
            <w:r>
              <w:rPr>
                <w:color w:val="auto"/>
                <w:sz w:val="21"/>
                <w:szCs w:val="21"/>
                <w:lang w:bidi="ar"/>
              </w:rPr>
              <w:t>44.0</w:t>
            </w:r>
          </w:p>
        </w:tc>
      </w:tr>
      <w:tr w14:paraId="6325F63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95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C9AC5AC">
            <w:pPr>
              <w:pStyle w:val="80"/>
              <w:widowControl w:val="0"/>
              <w:kinsoku w:val="0"/>
              <w:overflowPunct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kern w:val="2"/>
                <w:szCs w:val="21"/>
                <w:lang w:bidi="ar"/>
              </w:rPr>
              <w:t>厂界西</w:t>
            </w:r>
            <w:r>
              <w:rPr>
                <w:rFonts w:ascii="Times New Roman" w:hAnsi="Times New Roman"/>
                <w:color w:val="auto"/>
                <w:spacing w:val="-57"/>
                <w:kern w:val="2"/>
                <w:szCs w:val="21"/>
                <w:lang w:bidi="ar"/>
              </w:rPr>
              <w:t xml:space="preserve"> </w:t>
            </w:r>
            <w:r>
              <w:rPr>
                <w:rFonts w:ascii="Times New Roman" w:hAnsi="Times New Roman"/>
                <w:color w:val="auto"/>
                <w:kern w:val="2"/>
                <w:szCs w:val="21"/>
                <w:lang w:bidi="ar"/>
              </w:rPr>
              <w:t>1米处</w:t>
            </w:r>
          </w:p>
        </w:tc>
        <w:tc>
          <w:tcPr>
            <w:tcW w:w="8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9E2362">
            <w:pPr>
              <w:spacing w:line="240" w:lineRule="auto"/>
              <w:ind w:firstLine="0" w:firstLineChars="0"/>
              <w:jc w:val="center"/>
              <w:rPr>
                <w:color w:val="auto"/>
                <w:sz w:val="21"/>
                <w:szCs w:val="21"/>
              </w:rPr>
            </w:pPr>
            <w:r>
              <w:rPr>
                <w:color w:val="auto"/>
                <w:sz w:val="21"/>
                <w:szCs w:val="21"/>
                <w:lang w:bidi="ar"/>
              </w:rPr>
              <w:t>N3</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C066E2">
            <w:pPr>
              <w:spacing w:line="240" w:lineRule="auto"/>
              <w:ind w:firstLine="0" w:firstLineChars="0"/>
              <w:jc w:val="center"/>
              <w:rPr>
                <w:color w:val="auto"/>
                <w:sz w:val="21"/>
                <w:szCs w:val="21"/>
              </w:rPr>
            </w:pPr>
            <w:r>
              <w:rPr>
                <w:color w:val="auto"/>
                <w:sz w:val="21"/>
                <w:szCs w:val="21"/>
                <w:lang w:bidi="ar"/>
              </w:rPr>
              <w:t>51.9</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379E62">
            <w:pPr>
              <w:spacing w:line="240" w:lineRule="auto"/>
              <w:ind w:firstLine="0" w:firstLineChars="0"/>
              <w:jc w:val="center"/>
              <w:rPr>
                <w:color w:val="auto"/>
                <w:sz w:val="21"/>
                <w:szCs w:val="21"/>
              </w:rPr>
            </w:pPr>
            <w:r>
              <w:rPr>
                <w:color w:val="auto"/>
                <w:sz w:val="21"/>
                <w:szCs w:val="21"/>
                <w:lang w:bidi="ar"/>
              </w:rPr>
              <w:t>37.4</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C3C482">
            <w:pPr>
              <w:spacing w:line="240" w:lineRule="auto"/>
              <w:ind w:firstLine="0" w:firstLineChars="0"/>
              <w:jc w:val="center"/>
              <w:rPr>
                <w:color w:val="auto"/>
                <w:sz w:val="21"/>
                <w:szCs w:val="21"/>
              </w:rPr>
            </w:pPr>
            <w:r>
              <w:rPr>
                <w:color w:val="auto"/>
                <w:sz w:val="21"/>
                <w:szCs w:val="21"/>
                <w:lang w:bidi="ar"/>
              </w:rPr>
              <w:t>54.7</w:t>
            </w:r>
          </w:p>
        </w:tc>
        <w:tc>
          <w:tcPr>
            <w:tcW w:w="794" w:type="pc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14:paraId="7A567DD3">
            <w:pPr>
              <w:spacing w:line="240" w:lineRule="auto"/>
              <w:ind w:firstLine="0" w:firstLineChars="0"/>
              <w:jc w:val="center"/>
              <w:rPr>
                <w:color w:val="auto"/>
                <w:sz w:val="21"/>
                <w:szCs w:val="21"/>
              </w:rPr>
            </w:pPr>
            <w:r>
              <w:rPr>
                <w:color w:val="auto"/>
                <w:sz w:val="21"/>
                <w:szCs w:val="21"/>
                <w:lang w:bidi="ar"/>
              </w:rPr>
              <w:t>43.1</w:t>
            </w:r>
          </w:p>
        </w:tc>
      </w:tr>
      <w:tr w14:paraId="5DA658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1826" w:type="pct"/>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264AC9F">
            <w:pPr>
              <w:spacing w:line="240" w:lineRule="auto"/>
              <w:ind w:firstLine="0" w:firstLineChars="0"/>
              <w:jc w:val="center"/>
              <w:rPr>
                <w:color w:val="auto"/>
                <w:sz w:val="21"/>
                <w:szCs w:val="21"/>
              </w:rPr>
            </w:pPr>
            <w:r>
              <w:rPr>
                <w:color w:val="auto"/>
                <w:sz w:val="21"/>
                <w:szCs w:val="21"/>
                <w:lang w:bidi="ar"/>
              </w:rPr>
              <w:t>标准值</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3F3285">
            <w:pPr>
              <w:spacing w:line="240" w:lineRule="auto"/>
              <w:ind w:firstLine="0" w:firstLineChars="0"/>
              <w:jc w:val="center"/>
              <w:rPr>
                <w:color w:val="auto"/>
                <w:sz w:val="21"/>
                <w:szCs w:val="21"/>
              </w:rPr>
            </w:pPr>
            <w:r>
              <w:rPr>
                <w:color w:val="auto"/>
                <w:sz w:val="21"/>
                <w:szCs w:val="21"/>
                <w:lang w:bidi="ar"/>
              </w:rPr>
              <w:t>65</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281DB3B">
            <w:pPr>
              <w:spacing w:line="240" w:lineRule="auto"/>
              <w:ind w:firstLine="0" w:firstLineChars="0"/>
              <w:jc w:val="center"/>
              <w:rPr>
                <w:color w:val="auto"/>
                <w:sz w:val="21"/>
                <w:szCs w:val="21"/>
              </w:rPr>
            </w:pPr>
            <w:r>
              <w:rPr>
                <w:color w:val="auto"/>
                <w:sz w:val="21"/>
                <w:szCs w:val="21"/>
                <w:lang w:bidi="ar"/>
              </w:rPr>
              <w:t>55</w:t>
            </w:r>
          </w:p>
        </w:tc>
        <w:tc>
          <w:tcPr>
            <w:tcW w:w="7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AC421C7">
            <w:pPr>
              <w:spacing w:line="240" w:lineRule="auto"/>
              <w:ind w:firstLine="0" w:firstLineChars="0"/>
              <w:jc w:val="center"/>
              <w:rPr>
                <w:color w:val="auto"/>
                <w:sz w:val="21"/>
                <w:szCs w:val="21"/>
              </w:rPr>
            </w:pPr>
            <w:r>
              <w:rPr>
                <w:color w:val="auto"/>
                <w:sz w:val="21"/>
                <w:szCs w:val="21"/>
                <w:lang w:bidi="ar"/>
              </w:rPr>
              <w:t>65</w:t>
            </w:r>
          </w:p>
        </w:tc>
        <w:tc>
          <w:tcPr>
            <w:tcW w:w="794" w:type="pct"/>
            <w:tcBorders>
              <w:top w:val="single" w:color="auto" w:sz="4" w:space="0"/>
              <w:left w:val="single" w:color="auto" w:sz="4" w:space="0"/>
              <w:bottom w:val="single" w:color="auto" w:sz="4" w:space="0"/>
              <w:right w:val="nil"/>
            </w:tcBorders>
            <w:shd w:val="clear" w:color="auto" w:fill="auto"/>
            <w:tcMar>
              <w:top w:w="15" w:type="dxa"/>
              <w:left w:w="15" w:type="dxa"/>
              <w:right w:w="15" w:type="dxa"/>
            </w:tcMar>
            <w:vAlign w:val="center"/>
          </w:tcPr>
          <w:p w14:paraId="1150A3BE">
            <w:pPr>
              <w:spacing w:line="240" w:lineRule="auto"/>
              <w:ind w:firstLine="0" w:firstLineChars="0"/>
              <w:jc w:val="center"/>
              <w:rPr>
                <w:color w:val="auto"/>
                <w:sz w:val="21"/>
                <w:szCs w:val="21"/>
              </w:rPr>
            </w:pPr>
            <w:r>
              <w:rPr>
                <w:color w:val="auto"/>
                <w:sz w:val="21"/>
                <w:szCs w:val="21"/>
                <w:lang w:bidi="ar"/>
              </w:rPr>
              <w:t>55</w:t>
            </w:r>
          </w:p>
        </w:tc>
      </w:tr>
      <w:tr w14:paraId="1056E8B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5" w:hRule="atLeast"/>
          <w:jc w:val="center"/>
        </w:trPr>
        <w:tc>
          <w:tcPr>
            <w:tcW w:w="1826" w:type="pct"/>
            <w:gridSpan w:val="2"/>
            <w:tcBorders>
              <w:top w:val="single" w:color="auto" w:sz="4" w:space="0"/>
              <w:left w:val="nil"/>
              <w:bottom w:val="single" w:color="auto" w:sz="12" w:space="0"/>
              <w:right w:val="single" w:color="auto" w:sz="4" w:space="0"/>
            </w:tcBorders>
            <w:shd w:val="clear" w:color="auto" w:fill="auto"/>
            <w:tcMar>
              <w:top w:w="15" w:type="dxa"/>
              <w:left w:w="15" w:type="dxa"/>
              <w:right w:w="15" w:type="dxa"/>
            </w:tcMar>
            <w:vAlign w:val="center"/>
          </w:tcPr>
          <w:p w14:paraId="5197AA71">
            <w:pPr>
              <w:spacing w:line="240" w:lineRule="auto"/>
              <w:ind w:firstLine="0" w:firstLineChars="0"/>
              <w:jc w:val="center"/>
              <w:rPr>
                <w:color w:val="auto"/>
                <w:sz w:val="21"/>
                <w:szCs w:val="21"/>
              </w:rPr>
            </w:pPr>
            <w:r>
              <w:rPr>
                <w:color w:val="auto"/>
                <w:sz w:val="21"/>
                <w:szCs w:val="21"/>
                <w:lang w:bidi="ar"/>
              </w:rPr>
              <w:t>达标</w:t>
            </w:r>
            <w:r>
              <w:rPr>
                <w:rFonts w:hint="eastAsia"/>
                <w:color w:val="auto"/>
                <w:sz w:val="21"/>
                <w:szCs w:val="21"/>
                <w:lang w:bidi="ar"/>
              </w:rPr>
              <w:t>情况</w:t>
            </w:r>
          </w:p>
        </w:tc>
        <w:tc>
          <w:tcPr>
            <w:tcW w:w="792" w:type="pct"/>
            <w:tcBorders>
              <w:top w:val="single" w:color="auto" w:sz="4" w:space="0"/>
              <w:left w:val="single" w:color="auto" w:sz="4" w:space="0"/>
              <w:bottom w:val="single" w:color="auto" w:sz="12" w:space="0"/>
              <w:right w:val="single" w:color="auto" w:sz="4" w:space="0"/>
            </w:tcBorders>
            <w:shd w:val="clear" w:color="auto" w:fill="auto"/>
            <w:tcMar>
              <w:top w:w="15" w:type="dxa"/>
              <w:left w:w="15" w:type="dxa"/>
              <w:right w:w="15" w:type="dxa"/>
            </w:tcMar>
            <w:vAlign w:val="center"/>
          </w:tcPr>
          <w:p w14:paraId="42728AAA">
            <w:pPr>
              <w:spacing w:line="240" w:lineRule="auto"/>
              <w:ind w:firstLine="0" w:firstLineChars="0"/>
              <w:jc w:val="center"/>
              <w:rPr>
                <w:color w:val="auto"/>
                <w:sz w:val="21"/>
                <w:szCs w:val="21"/>
              </w:rPr>
            </w:pPr>
            <w:r>
              <w:rPr>
                <w:color w:val="auto"/>
                <w:sz w:val="21"/>
                <w:szCs w:val="21"/>
              </w:rPr>
              <w:t>达标</w:t>
            </w:r>
          </w:p>
        </w:tc>
        <w:tc>
          <w:tcPr>
            <w:tcW w:w="792" w:type="pct"/>
            <w:tcBorders>
              <w:top w:val="single" w:color="auto" w:sz="4" w:space="0"/>
              <w:left w:val="single" w:color="auto" w:sz="4" w:space="0"/>
              <w:bottom w:val="single" w:color="auto" w:sz="12" w:space="0"/>
              <w:right w:val="single" w:color="auto" w:sz="4" w:space="0"/>
            </w:tcBorders>
            <w:shd w:val="clear" w:color="auto" w:fill="auto"/>
            <w:tcMar>
              <w:top w:w="15" w:type="dxa"/>
              <w:left w:w="15" w:type="dxa"/>
              <w:right w:w="15" w:type="dxa"/>
            </w:tcMar>
            <w:vAlign w:val="center"/>
          </w:tcPr>
          <w:p w14:paraId="3F3E7EE3">
            <w:pPr>
              <w:spacing w:line="240" w:lineRule="auto"/>
              <w:ind w:firstLine="0" w:firstLineChars="0"/>
              <w:jc w:val="center"/>
              <w:rPr>
                <w:color w:val="auto"/>
                <w:sz w:val="21"/>
                <w:szCs w:val="21"/>
              </w:rPr>
            </w:pPr>
            <w:r>
              <w:rPr>
                <w:color w:val="auto"/>
                <w:sz w:val="21"/>
                <w:szCs w:val="21"/>
              </w:rPr>
              <w:t>达标</w:t>
            </w:r>
          </w:p>
        </w:tc>
        <w:tc>
          <w:tcPr>
            <w:tcW w:w="792" w:type="pct"/>
            <w:tcBorders>
              <w:top w:val="single" w:color="auto" w:sz="4" w:space="0"/>
              <w:left w:val="single" w:color="auto" w:sz="4" w:space="0"/>
              <w:bottom w:val="single" w:color="auto" w:sz="12" w:space="0"/>
              <w:right w:val="single" w:color="auto" w:sz="4" w:space="0"/>
            </w:tcBorders>
            <w:shd w:val="clear" w:color="auto" w:fill="auto"/>
            <w:tcMar>
              <w:top w:w="15" w:type="dxa"/>
              <w:left w:w="15" w:type="dxa"/>
              <w:right w:w="15" w:type="dxa"/>
            </w:tcMar>
            <w:vAlign w:val="center"/>
          </w:tcPr>
          <w:p w14:paraId="5B96B037">
            <w:pPr>
              <w:spacing w:line="240" w:lineRule="auto"/>
              <w:ind w:firstLine="0" w:firstLineChars="0"/>
              <w:jc w:val="center"/>
              <w:rPr>
                <w:color w:val="auto"/>
                <w:sz w:val="21"/>
                <w:szCs w:val="21"/>
              </w:rPr>
            </w:pPr>
            <w:r>
              <w:rPr>
                <w:color w:val="auto"/>
                <w:sz w:val="21"/>
                <w:szCs w:val="21"/>
              </w:rPr>
              <w:t>达标</w:t>
            </w:r>
          </w:p>
        </w:tc>
        <w:tc>
          <w:tcPr>
            <w:tcW w:w="794" w:type="pct"/>
            <w:tcBorders>
              <w:top w:val="single" w:color="auto" w:sz="4" w:space="0"/>
              <w:left w:val="single" w:color="auto" w:sz="4" w:space="0"/>
              <w:bottom w:val="single" w:color="auto" w:sz="12" w:space="0"/>
              <w:right w:val="nil"/>
            </w:tcBorders>
            <w:shd w:val="clear" w:color="auto" w:fill="auto"/>
            <w:tcMar>
              <w:top w:w="15" w:type="dxa"/>
              <w:left w:w="15" w:type="dxa"/>
              <w:right w:w="15" w:type="dxa"/>
            </w:tcMar>
            <w:vAlign w:val="center"/>
          </w:tcPr>
          <w:p w14:paraId="3EF32172">
            <w:pPr>
              <w:spacing w:line="240" w:lineRule="auto"/>
              <w:ind w:firstLine="0" w:firstLineChars="0"/>
              <w:jc w:val="center"/>
              <w:rPr>
                <w:color w:val="auto"/>
                <w:sz w:val="21"/>
                <w:szCs w:val="21"/>
              </w:rPr>
            </w:pPr>
            <w:r>
              <w:rPr>
                <w:color w:val="auto"/>
                <w:sz w:val="21"/>
                <w:szCs w:val="21"/>
              </w:rPr>
              <w:t>达标</w:t>
            </w:r>
          </w:p>
        </w:tc>
      </w:tr>
    </w:tbl>
    <w:p w14:paraId="712B315C">
      <w:pPr>
        <w:ind w:firstLine="480"/>
        <w:rPr>
          <w:color w:val="auto"/>
        </w:rPr>
      </w:pPr>
      <w:r>
        <w:rPr>
          <w:rFonts w:hint="eastAsia"/>
          <w:color w:val="auto"/>
        </w:rPr>
        <w:t>综上，厂界噪声达到《工业企业厂界噪声排放标准》（GB12348-2008）中3类标准。</w:t>
      </w:r>
    </w:p>
    <w:p w14:paraId="2111980D">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3.4</w:t>
      </w:r>
      <w:r>
        <w:rPr>
          <w:b/>
          <w:bCs/>
          <w:color w:val="auto"/>
          <w:sz w:val="28"/>
          <w:szCs w:val="36"/>
        </w:rPr>
        <w:t xml:space="preserve"> </w:t>
      </w:r>
      <w:r>
        <w:rPr>
          <w:rFonts w:hint="eastAsia"/>
          <w:b/>
          <w:bCs/>
          <w:color w:val="auto"/>
          <w:sz w:val="28"/>
          <w:szCs w:val="36"/>
        </w:rPr>
        <w:t>固体废物</w:t>
      </w:r>
    </w:p>
    <w:p w14:paraId="3B02E77D">
      <w:pPr>
        <w:ind w:firstLine="482"/>
        <w:rPr>
          <w:b/>
          <w:bCs/>
          <w:color w:val="auto"/>
          <w:szCs w:val="40"/>
        </w:rPr>
      </w:pPr>
      <w:r>
        <w:rPr>
          <w:rFonts w:hint="eastAsia"/>
          <w:b/>
          <w:bCs/>
          <w:color w:val="auto"/>
          <w:szCs w:val="40"/>
        </w:rPr>
        <w:t>（1）固废产生及处置情况</w:t>
      </w:r>
    </w:p>
    <w:p w14:paraId="79778C29">
      <w:pPr>
        <w:ind w:firstLine="480"/>
        <w:rPr>
          <w:color w:val="auto"/>
          <w:szCs w:val="40"/>
        </w:rPr>
      </w:pPr>
      <w:r>
        <w:rPr>
          <w:rFonts w:hint="eastAsia"/>
          <w:color w:val="auto"/>
          <w:szCs w:val="40"/>
        </w:rPr>
        <w:t>现有项目生产过程中产生的固废主要包括一般固体废物和危险废物，其中一般固体废物包括边角料和废铝颗粒及生活垃圾；危险废物为废机油。</w:t>
      </w:r>
    </w:p>
    <w:p w14:paraId="7A48F45B">
      <w:pPr>
        <w:ind w:firstLine="480"/>
        <w:rPr>
          <w:color w:val="auto"/>
          <w:szCs w:val="40"/>
        </w:rPr>
      </w:pPr>
      <w:r>
        <w:rPr>
          <w:rFonts w:hint="eastAsia"/>
          <w:color w:val="auto"/>
          <w:szCs w:val="40"/>
        </w:rPr>
        <w:t>现有项目设有一般固废暂存区和危废间，用于规范收集、分类贮存现有已建项目产生的各类固体废物。</w:t>
      </w:r>
    </w:p>
    <w:p w14:paraId="5BD343D0">
      <w:pPr>
        <w:spacing w:line="240" w:lineRule="auto"/>
        <w:ind w:firstLine="0" w:firstLineChars="0"/>
        <w:jc w:val="center"/>
        <w:rPr>
          <w:b/>
          <w:bCs/>
          <w:color w:val="auto"/>
          <w:szCs w:val="40"/>
        </w:rPr>
      </w:pPr>
      <w:r>
        <w:rPr>
          <w:rFonts w:hint="eastAsia"/>
          <w:b/>
          <w:bCs/>
          <w:color w:val="auto"/>
          <w:szCs w:val="40"/>
        </w:rPr>
        <w:t>表3.3-5  已验收项目固废产生及处置情况</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625"/>
        <w:gridCol w:w="1238"/>
        <w:gridCol w:w="1593"/>
        <w:gridCol w:w="1602"/>
        <w:gridCol w:w="2346"/>
      </w:tblGrid>
      <w:tr w14:paraId="70066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82" w:type="dxa"/>
            <w:tcBorders>
              <w:tl2br w:val="nil"/>
              <w:tr2bl w:val="nil"/>
            </w:tcBorders>
            <w:vAlign w:val="center"/>
          </w:tcPr>
          <w:p w14:paraId="52DD6D09">
            <w:pPr>
              <w:spacing w:line="240" w:lineRule="auto"/>
              <w:ind w:firstLine="0" w:firstLineChars="0"/>
              <w:jc w:val="center"/>
              <w:rPr>
                <w:b/>
                <w:bCs/>
                <w:color w:val="auto"/>
                <w:sz w:val="21"/>
                <w:szCs w:val="32"/>
              </w:rPr>
            </w:pPr>
            <w:r>
              <w:rPr>
                <w:rFonts w:hint="eastAsia"/>
                <w:b/>
                <w:bCs/>
                <w:color w:val="auto"/>
                <w:sz w:val="21"/>
                <w:szCs w:val="32"/>
              </w:rPr>
              <w:t>序号</w:t>
            </w:r>
          </w:p>
        </w:tc>
        <w:tc>
          <w:tcPr>
            <w:tcW w:w="1625" w:type="dxa"/>
            <w:tcBorders>
              <w:tl2br w:val="nil"/>
              <w:tr2bl w:val="nil"/>
            </w:tcBorders>
            <w:vAlign w:val="center"/>
          </w:tcPr>
          <w:p w14:paraId="13ACD062">
            <w:pPr>
              <w:spacing w:line="240" w:lineRule="auto"/>
              <w:ind w:firstLine="0" w:firstLineChars="0"/>
              <w:jc w:val="center"/>
              <w:rPr>
                <w:b/>
                <w:bCs/>
                <w:color w:val="auto"/>
                <w:sz w:val="21"/>
                <w:szCs w:val="32"/>
              </w:rPr>
            </w:pPr>
            <w:r>
              <w:rPr>
                <w:rFonts w:hint="eastAsia"/>
                <w:b/>
                <w:bCs/>
                <w:color w:val="auto"/>
                <w:sz w:val="21"/>
                <w:szCs w:val="32"/>
              </w:rPr>
              <w:t>固废名称</w:t>
            </w:r>
          </w:p>
        </w:tc>
        <w:tc>
          <w:tcPr>
            <w:tcW w:w="1238" w:type="dxa"/>
            <w:tcBorders>
              <w:tl2br w:val="nil"/>
              <w:tr2bl w:val="nil"/>
            </w:tcBorders>
            <w:vAlign w:val="center"/>
          </w:tcPr>
          <w:p w14:paraId="67C2F878">
            <w:pPr>
              <w:spacing w:line="240" w:lineRule="auto"/>
              <w:ind w:firstLine="0" w:firstLineChars="0"/>
              <w:jc w:val="center"/>
              <w:rPr>
                <w:b/>
                <w:bCs/>
                <w:color w:val="auto"/>
                <w:sz w:val="21"/>
                <w:szCs w:val="32"/>
              </w:rPr>
            </w:pPr>
            <w:r>
              <w:rPr>
                <w:rFonts w:hint="eastAsia"/>
                <w:b/>
                <w:bCs/>
                <w:color w:val="auto"/>
                <w:sz w:val="21"/>
                <w:szCs w:val="32"/>
              </w:rPr>
              <w:t>废物类别</w:t>
            </w:r>
          </w:p>
        </w:tc>
        <w:tc>
          <w:tcPr>
            <w:tcW w:w="1593" w:type="dxa"/>
            <w:tcBorders>
              <w:tl2br w:val="nil"/>
              <w:tr2bl w:val="nil"/>
            </w:tcBorders>
            <w:vAlign w:val="center"/>
          </w:tcPr>
          <w:p w14:paraId="3DC30EA0">
            <w:pPr>
              <w:spacing w:line="240" w:lineRule="auto"/>
              <w:ind w:firstLine="0" w:firstLineChars="0"/>
              <w:jc w:val="center"/>
              <w:rPr>
                <w:b/>
                <w:bCs/>
                <w:color w:val="auto"/>
                <w:sz w:val="21"/>
                <w:szCs w:val="32"/>
              </w:rPr>
            </w:pPr>
            <w:r>
              <w:rPr>
                <w:rFonts w:hint="eastAsia"/>
                <w:b/>
                <w:bCs/>
                <w:color w:val="auto"/>
                <w:sz w:val="21"/>
                <w:szCs w:val="32"/>
              </w:rPr>
              <w:t>废物代码</w:t>
            </w:r>
          </w:p>
        </w:tc>
        <w:tc>
          <w:tcPr>
            <w:tcW w:w="1602" w:type="dxa"/>
            <w:tcBorders>
              <w:tl2br w:val="nil"/>
              <w:tr2bl w:val="nil"/>
            </w:tcBorders>
            <w:vAlign w:val="center"/>
          </w:tcPr>
          <w:p w14:paraId="7F14F3B4">
            <w:pPr>
              <w:spacing w:line="240" w:lineRule="auto"/>
              <w:ind w:firstLine="0" w:firstLineChars="0"/>
              <w:jc w:val="center"/>
              <w:rPr>
                <w:b/>
                <w:bCs/>
                <w:color w:val="auto"/>
                <w:sz w:val="21"/>
                <w:szCs w:val="32"/>
              </w:rPr>
            </w:pPr>
            <w:r>
              <w:rPr>
                <w:rFonts w:hint="eastAsia"/>
                <w:b/>
                <w:bCs/>
                <w:color w:val="auto"/>
                <w:sz w:val="21"/>
                <w:szCs w:val="32"/>
              </w:rPr>
              <w:t>利用处置量（t/a）</w:t>
            </w:r>
          </w:p>
        </w:tc>
        <w:tc>
          <w:tcPr>
            <w:tcW w:w="2346" w:type="dxa"/>
            <w:tcBorders>
              <w:tl2br w:val="nil"/>
              <w:tr2bl w:val="nil"/>
            </w:tcBorders>
            <w:vAlign w:val="center"/>
          </w:tcPr>
          <w:p w14:paraId="61D62997">
            <w:pPr>
              <w:spacing w:line="240" w:lineRule="auto"/>
              <w:ind w:firstLine="0" w:firstLineChars="0"/>
              <w:jc w:val="center"/>
              <w:rPr>
                <w:b/>
                <w:bCs/>
                <w:color w:val="auto"/>
                <w:sz w:val="21"/>
                <w:szCs w:val="32"/>
              </w:rPr>
            </w:pPr>
            <w:r>
              <w:rPr>
                <w:rFonts w:hint="eastAsia"/>
                <w:b/>
                <w:bCs/>
                <w:color w:val="auto"/>
                <w:sz w:val="21"/>
                <w:szCs w:val="32"/>
              </w:rPr>
              <w:t>利用处置方式</w:t>
            </w:r>
          </w:p>
        </w:tc>
      </w:tr>
      <w:tr w14:paraId="72869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14:paraId="3FB47FC9">
            <w:pPr>
              <w:spacing w:line="240" w:lineRule="auto"/>
              <w:ind w:firstLine="0" w:firstLineChars="0"/>
              <w:jc w:val="center"/>
              <w:rPr>
                <w:color w:val="auto"/>
                <w:sz w:val="21"/>
                <w:szCs w:val="32"/>
              </w:rPr>
            </w:pPr>
            <w:r>
              <w:rPr>
                <w:rFonts w:hint="eastAsia"/>
                <w:color w:val="auto"/>
                <w:sz w:val="21"/>
                <w:szCs w:val="32"/>
              </w:rPr>
              <w:t>1</w:t>
            </w:r>
          </w:p>
        </w:tc>
        <w:tc>
          <w:tcPr>
            <w:tcW w:w="1625" w:type="dxa"/>
            <w:tcBorders>
              <w:tl2br w:val="nil"/>
              <w:tr2bl w:val="nil"/>
            </w:tcBorders>
            <w:vAlign w:val="center"/>
          </w:tcPr>
          <w:p w14:paraId="0A971079">
            <w:pPr>
              <w:spacing w:line="240" w:lineRule="auto"/>
              <w:ind w:firstLine="0" w:firstLineChars="0"/>
              <w:jc w:val="center"/>
              <w:rPr>
                <w:color w:val="auto"/>
                <w:sz w:val="21"/>
                <w:szCs w:val="32"/>
              </w:rPr>
            </w:pPr>
            <w:r>
              <w:rPr>
                <w:rFonts w:hint="eastAsia"/>
                <w:color w:val="auto"/>
                <w:sz w:val="21"/>
                <w:szCs w:val="32"/>
              </w:rPr>
              <w:t>边角料</w:t>
            </w:r>
          </w:p>
        </w:tc>
        <w:tc>
          <w:tcPr>
            <w:tcW w:w="1238" w:type="dxa"/>
            <w:tcBorders>
              <w:tl2br w:val="nil"/>
              <w:tr2bl w:val="nil"/>
            </w:tcBorders>
            <w:shd w:val="clear" w:color="auto" w:fill="auto"/>
            <w:vAlign w:val="center"/>
          </w:tcPr>
          <w:p w14:paraId="605FAC40">
            <w:pPr>
              <w:spacing w:line="240" w:lineRule="auto"/>
              <w:ind w:firstLine="0" w:firstLineChars="0"/>
              <w:jc w:val="center"/>
              <w:rPr>
                <w:color w:val="auto"/>
                <w:sz w:val="21"/>
                <w:szCs w:val="32"/>
              </w:rPr>
            </w:pPr>
            <w:r>
              <w:rPr>
                <w:rFonts w:hint="eastAsia"/>
                <w:color w:val="auto"/>
                <w:sz w:val="21"/>
                <w:szCs w:val="32"/>
              </w:rPr>
              <w:t>SW17</w:t>
            </w:r>
          </w:p>
        </w:tc>
        <w:tc>
          <w:tcPr>
            <w:tcW w:w="1593" w:type="dxa"/>
            <w:tcBorders>
              <w:tl2br w:val="nil"/>
              <w:tr2bl w:val="nil"/>
            </w:tcBorders>
            <w:shd w:val="clear" w:color="auto" w:fill="auto"/>
            <w:vAlign w:val="center"/>
          </w:tcPr>
          <w:p w14:paraId="515FF93A">
            <w:pPr>
              <w:spacing w:line="240" w:lineRule="auto"/>
              <w:ind w:firstLine="0" w:firstLineChars="0"/>
              <w:jc w:val="center"/>
              <w:rPr>
                <w:color w:val="auto"/>
                <w:sz w:val="21"/>
                <w:szCs w:val="32"/>
              </w:rPr>
            </w:pPr>
            <w:r>
              <w:rPr>
                <w:rFonts w:hint="eastAsia"/>
                <w:color w:val="auto"/>
                <w:sz w:val="21"/>
                <w:szCs w:val="32"/>
              </w:rPr>
              <w:t>900-002-SW17</w:t>
            </w:r>
          </w:p>
        </w:tc>
        <w:tc>
          <w:tcPr>
            <w:tcW w:w="1602" w:type="dxa"/>
            <w:tcBorders>
              <w:tl2br w:val="nil"/>
              <w:tr2bl w:val="nil"/>
            </w:tcBorders>
            <w:vAlign w:val="center"/>
          </w:tcPr>
          <w:p w14:paraId="69E90813">
            <w:pPr>
              <w:spacing w:line="240" w:lineRule="auto"/>
              <w:ind w:firstLine="0" w:firstLineChars="0"/>
              <w:jc w:val="center"/>
              <w:rPr>
                <w:color w:val="auto"/>
                <w:sz w:val="21"/>
                <w:szCs w:val="32"/>
              </w:rPr>
            </w:pPr>
            <w:r>
              <w:rPr>
                <w:rFonts w:hint="eastAsia"/>
                <w:color w:val="auto"/>
                <w:sz w:val="21"/>
                <w:szCs w:val="32"/>
              </w:rPr>
              <w:t>1.875</w:t>
            </w:r>
          </w:p>
        </w:tc>
        <w:tc>
          <w:tcPr>
            <w:tcW w:w="2346" w:type="dxa"/>
            <w:vMerge w:val="restart"/>
            <w:tcBorders>
              <w:tl2br w:val="nil"/>
              <w:tr2bl w:val="nil"/>
            </w:tcBorders>
            <w:vAlign w:val="center"/>
          </w:tcPr>
          <w:p w14:paraId="2BE7B139">
            <w:pPr>
              <w:spacing w:line="240" w:lineRule="auto"/>
              <w:ind w:firstLine="0" w:firstLineChars="0"/>
              <w:jc w:val="center"/>
              <w:rPr>
                <w:color w:val="auto"/>
                <w:sz w:val="21"/>
                <w:szCs w:val="32"/>
              </w:rPr>
            </w:pPr>
            <w:r>
              <w:rPr>
                <w:rFonts w:hint="eastAsia"/>
                <w:color w:val="auto"/>
                <w:sz w:val="21"/>
                <w:szCs w:val="21"/>
                <w:lang w:bidi="ar"/>
              </w:rPr>
              <w:t>外售常州徐沛金属材料有限公司综合利用</w:t>
            </w:r>
          </w:p>
        </w:tc>
      </w:tr>
      <w:tr w14:paraId="06DB5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14:paraId="30316941">
            <w:pPr>
              <w:spacing w:line="240" w:lineRule="auto"/>
              <w:ind w:firstLine="0" w:firstLineChars="0"/>
              <w:jc w:val="center"/>
              <w:rPr>
                <w:color w:val="auto"/>
                <w:sz w:val="21"/>
                <w:szCs w:val="32"/>
              </w:rPr>
            </w:pPr>
            <w:r>
              <w:rPr>
                <w:rFonts w:hint="eastAsia"/>
                <w:color w:val="auto"/>
                <w:sz w:val="21"/>
                <w:szCs w:val="32"/>
              </w:rPr>
              <w:t>2</w:t>
            </w:r>
          </w:p>
        </w:tc>
        <w:tc>
          <w:tcPr>
            <w:tcW w:w="1625" w:type="dxa"/>
            <w:tcBorders>
              <w:tl2br w:val="nil"/>
              <w:tr2bl w:val="nil"/>
            </w:tcBorders>
            <w:vAlign w:val="center"/>
          </w:tcPr>
          <w:p w14:paraId="729FAE37">
            <w:pPr>
              <w:spacing w:line="240" w:lineRule="auto"/>
              <w:ind w:firstLine="0" w:firstLineChars="0"/>
              <w:jc w:val="center"/>
              <w:rPr>
                <w:color w:val="auto"/>
                <w:sz w:val="21"/>
                <w:szCs w:val="32"/>
              </w:rPr>
            </w:pPr>
            <w:r>
              <w:rPr>
                <w:rFonts w:hint="eastAsia"/>
                <w:color w:val="auto"/>
                <w:sz w:val="21"/>
                <w:szCs w:val="32"/>
              </w:rPr>
              <w:t>废铝颗粒</w:t>
            </w:r>
          </w:p>
        </w:tc>
        <w:tc>
          <w:tcPr>
            <w:tcW w:w="1238" w:type="dxa"/>
            <w:tcBorders>
              <w:tl2br w:val="nil"/>
              <w:tr2bl w:val="nil"/>
            </w:tcBorders>
            <w:vAlign w:val="center"/>
          </w:tcPr>
          <w:p w14:paraId="72EB5862">
            <w:pPr>
              <w:spacing w:line="240" w:lineRule="auto"/>
              <w:ind w:firstLine="0" w:firstLineChars="0"/>
              <w:jc w:val="center"/>
              <w:rPr>
                <w:color w:val="auto"/>
                <w:sz w:val="21"/>
                <w:szCs w:val="32"/>
              </w:rPr>
            </w:pPr>
            <w:r>
              <w:rPr>
                <w:rFonts w:hint="eastAsia"/>
                <w:color w:val="auto"/>
                <w:sz w:val="21"/>
                <w:szCs w:val="32"/>
              </w:rPr>
              <w:t>SW17</w:t>
            </w:r>
          </w:p>
        </w:tc>
        <w:tc>
          <w:tcPr>
            <w:tcW w:w="1593" w:type="dxa"/>
            <w:tcBorders>
              <w:tl2br w:val="nil"/>
              <w:tr2bl w:val="nil"/>
            </w:tcBorders>
            <w:vAlign w:val="center"/>
          </w:tcPr>
          <w:p w14:paraId="49AA90BA">
            <w:pPr>
              <w:spacing w:line="240" w:lineRule="auto"/>
              <w:ind w:firstLine="0" w:firstLineChars="0"/>
              <w:jc w:val="center"/>
              <w:rPr>
                <w:color w:val="auto"/>
                <w:sz w:val="21"/>
                <w:szCs w:val="32"/>
              </w:rPr>
            </w:pPr>
            <w:r>
              <w:rPr>
                <w:rFonts w:hint="eastAsia"/>
                <w:color w:val="auto"/>
                <w:sz w:val="21"/>
                <w:szCs w:val="32"/>
              </w:rPr>
              <w:t>900-002-SW17</w:t>
            </w:r>
          </w:p>
        </w:tc>
        <w:tc>
          <w:tcPr>
            <w:tcW w:w="1602" w:type="dxa"/>
            <w:tcBorders>
              <w:tl2br w:val="nil"/>
              <w:tr2bl w:val="nil"/>
            </w:tcBorders>
            <w:vAlign w:val="center"/>
          </w:tcPr>
          <w:p w14:paraId="2F7F036B">
            <w:pPr>
              <w:spacing w:line="240" w:lineRule="auto"/>
              <w:ind w:firstLine="0" w:firstLineChars="0"/>
              <w:jc w:val="center"/>
              <w:rPr>
                <w:color w:val="auto"/>
                <w:sz w:val="21"/>
                <w:szCs w:val="32"/>
              </w:rPr>
            </w:pPr>
            <w:r>
              <w:rPr>
                <w:rFonts w:hint="eastAsia"/>
                <w:color w:val="auto"/>
                <w:sz w:val="21"/>
                <w:szCs w:val="32"/>
              </w:rPr>
              <w:t>0.75</w:t>
            </w:r>
          </w:p>
        </w:tc>
        <w:tc>
          <w:tcPr>
            <w:tcW w:w="2346" w:type="dxa"/>
            <w:vMerge w:val="continue"/>
            <w:tcBorders>
              <w:tl2br w:val="nil"/>
              <w:tr2bl w:val="nil"/>
            </w:tcBorders>
            <w:vAlign w:val="center"/>
          </w:tcPr>
          <w:p w14:paraId="36B2DD2A">
            <w:pPr>
              <w:spacing w:line="240" w:lineRule="auto"/>
              <w:ind w:firstLine="0" w:firstLineChars="0"/>
              <w:jc w:val="center"/>
              <w:rPr>
                <w:color w:val="auto"/>
                <w:sz w:val="21"/>
                <w:szCs w:val="32"/>
              </w:rPr>
            </w:pPr>
          </w:p>
        </w:tc>
      </w:tr>
      <w:tr w14:paraId="6F4F5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14:paraId="28B4626E">
            <w:pPr>
              <w:spacing w:line="240" w:lineRule="auto"/>
              <w:ind w:firstLine="0" w:firstLineChars="0"/>
              <w:jc w:val="center"/>
              <w:rPr>
                <w:color w:val="auto"/>
                <w:sz w:val="21"/>
                <w:szCs w:val="32"/>
              </w:rPr>
            </w:pPr>
            <w:r>
              <w:rPr>
                <w:rFonts w:hint="eastAsia"/>
                <w:color w:val="auto"/>
                <w:sz w:val="21"/>
                <w:szCs w:val="32"/>
              </w:rPr>
              <w:t>3</w:t>
            </w:r>
          </w:p>
        </w:tc>
        <w:tc>
          <w:tcPr>
            <w:tcW w:w="1625" w:type="dxa"/>
            <w:tcBorders>
              <w:tl2br w:val="nil"/>
              <w:tr2bl w:val="nil"/>
            </w:tcBorders>
            <w:vAlign w:val="center"/>
          </w:tcPr>
          <w:p w14:paraId="2B30EEE7">
            <w:pPr>
              <w:spacing w:line="240" w:lineRule="auto"/>
              <w:ind w:firstLine="0" w:firstLineChars="0"/>
              <w:jc w:val="center"/>
              <w:rPr>
                <w:color w:val="auto"/>
                <w:sz w:val="21"/>
                <w:szCs w:val="32"/>
              </w:rPr>
            </w:pPr>
            <w:r>
              <w:rPr>
                <w:rFonts w:hint="eastAsia"/>
                <w:color w:val="auto"/>
                <w:sz w:val="21"/>
                <w:szCs w:val="32"/>
              </w:rPr>
              <w:t>废机油</w:t>
            </w:r>
          </w:p>
        </w:tc>
        <w:tc>
          <w:tcPr>
            <w:tcW w:w="1238" w:type="dxa"/>
            <w:tcBorders>
              <w:tl2br w:val="nil"/>
              <w:tr2bl w:val="nil"/>
            </w:tcBorders>
            <w:vAlign w:val="center"/>
          </w:tcPr>
          <w:p w14:paraId="0F49DEB3">
            <w:pPr>
              <w:spacing w:line="240" w:lineRule="auto"/>
              <w:ind w:firstLine="0" w:firstLineChars="0"/>
              <w:jc w:val="center"/>
              <w:rPr>
                <w:color w:val="auto"/>
                <w:sz w:val="21"/>
                <w:szCs w:val="32"/>
              </w:rPr>
            </w:pPr>
            <w:r>
              <w:rPr>
                <w:rFonts w:hint="eastAsia"/>
                <w:color w:val="auto"/>
                <w:sz w:val="21"/>
                <w:szCs w:val="32"/>
              </w:rPr>
              <w:t>HW49</w:t>
            </w:r>
          </w:p>
        </w:tc>
        <w:tc>
          <w:tcPr>
            <w:tcW w:w="1593" w:type="dxa"/>
            <w:tcBorders>
              <w:tl2br w:val="nil"/>
              <w:tr2bl w:val="nil"/>
            </w:tcBorders>
            <w:vAlign w:val="center"/>
          </w:tcPr>
          <w:p w14:paraId="1FF13725">
            <w:pPr>
              <w:spacing w:line="240" w:lineRule="auto"/>
              <w:ind w:firstLine="0" w:firstLineChars="0"/>
              <w:jc w:val="center"/>
              <w:rPr>
                <w:color w:val="auto"/>
                <w:sz w:val="21"/>
                <w:szCs w:val="32"/>
              </w:rPr>
            </w:pPr>
            <w:r>
              <w:rPr>
                <w:rFonts w:hint="eastAsia"/>
                <w:color w:val="auto"/>
                <w:sz w:val="21"/>
                <w:szCs w:val="32"/>
              </w:rPr>
              <w:t>900-249-08</w:t>
            </w:r>
          </w:p>
        </w:tc>
        <w:tc>
          <w:tcPr>
            <w:tcW w:w="1602" w:type="dxa"/>
            <w:tcBorders>
              <w:tl2br w:val="nil"/>
              <w:tr2bl w:val="nil"/>
            </w:tcBorders>
            <w:vAlign w:val="center"/>
          </w:tcPr>
          <w:p w14:paraId="03DD502D">
            <w:pPr>
              <w:spacing w:line="240" w:lineRule="auto"/>
              <w:ind w:firstLine="0" w:firstLineChars="0"/>
              <w:jc w:val="center"/>
              <w:rPr>
                <w:color w:val="auto"/>
                <w:sz w:val="21"/>
                <w:szCs w:val="32"/>
              </w:rPr>
            </w:pPr>
            <w:r>
              <w:rPr>
                <w:rFonts w:hint="eastAsia"/>
                <w:color w:val="auto"/>
                <w:sz w:val="21"/>
                <w:szCs w:val="32"/>
              </w:rPr>
              <w:t>0.05</w:t>
            </w:r>
          </w:p>
        </w:tc>
        <w:tc>
          <w:tcPr>
            <w:tcW w:w="2346" w:type="dxa"/>
            <w:tcBorders>
              <w:tl2br w:val="nil"/>
              <w:tr2bl w:val="nil"/>
            </w:tcBorders>
            <w:vAlign w:val="center"/>
          </w:tcPr>
          <w:p w14:paraId="5C5977A2">
            <w:pPr>
              <w:spacing w:line="240" w:lineRule="auto"/>
              <w:ind w:firstLine="0" w:firstLineChars="0"/>
              <w:jc w:val="center"/>
              <w:rPr>
                <w:color w:val="auto"/>
                <w:sz w:val="21"/>
                <w:szCs w:val="32"/>
              </w:rPr>
            </w:pPr>
            <w:r>
              <w:rPr>
                <w:rFonts w:hint="eastAsia"/>
                <w:color w:val="auto"/>
                <w:sz w:val="21"/>
                <w:szCs w:val="32"/>
              </w:rPr>
              <w:t>委托连云港瑞轩环保科技有限公司</w:t>
            </w:r>
          </w:p>
        </w:tc>
      </w:tr>
      <w:tr w14:paraId="7C8D0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tcBorders>
              <w:tl2br w:val="nil"/>
              <w:tr2bl w:val="nil"/>
            </w:tcBorders>
            <w:vAlign w:val="center"/>
          </w:tcPr>
          <w:p w14:paraId="52F90169">
            <w:pPr>
              <w:spacing w:line="240" w:lineRule="auto"/>
              <w:ind w:firstLine="0" w:firstLineChars="0"/>
              <w:jc w:val="center"/>
              <w:rPr>
                <w:color w:val="auto"/>
                <w:sz w:val="21"/>
                <w:szCs w:val="32"/>
              </w:rPr>
            </w:pPr>
            <w:r>
              <w:rPr>
                <w:rFonts w:hint="eastAsia"/>
                <w:color w:val="auto"/>
                <w:sz w:val="21"/>
                <w:szCs w:val="32"/>
              </w:rPr>
              <w:t>4</w:t>
            </w:r>
          </w:p>
        </w:tc>
        <w:tc>
          <w:tcPr>
            <w:tcW w:w="1625" w:type="dxa"/>
            <w:tcBorders>
              <w:tl2br w:val="nil"/>
              <w:tr2bl w:val="nil"/>
            </w:tcBorders>
            <w:vAlign w:val="center"/>
          </w:tcPr>
          <w:p w14:paraId="35B80139">
            <w:pPr>
              <w:spacing w:line="240" w:lineRule="auto"/>
              <w:ind w:firstLine="0" w:firstLineChars="0"/>
              <w:jc w:val="center"/>
              <w:rPr>
                <w:color w:val="auto"/>
                <w:sz w:val="21"/>
                <w:szCs w:val="32"/>
              </w:rPr>
            </w:pPr>
            <w:r>
              <w:rPr>
                <w:rFonts w:hint="eastAsia"/>
                <w:color w:val="auto"/>
                <w:sz w:val="21"/>
                <w:szCs w:val="32"/>
              </w:rPr>
              <w:t>生活垃圾</w:t>
            </w:r>
          </w:p>
        </w:tc>
        <w:tc>
          <w:tcPr>
            <w:tcW w:w="1238" w:type="dxa"/>
            <w:tcBorders>
              <w:tl2br w:val="nil"/>
              <w:tr2bl w:val="nil"/>
            </w:tcBorders>
            <w:shd w:val="clear" w:color="auto" w:fill="auto"/>
            <w:vAlign w:val="center"/>
          </w:tcPr>
          <w:p w14:paraId="6F13A6A5">
            <w:pPr>
              <w:spacing w:line="240" w:lineRule="auto"/>
              <w:ind w:firstLine="0" w:firstLineChars="0"/>
              <w:jc w:val="center"/>
              <w:rPr>
                <w:color w:val="auto"/>
                <w:sz w:val="21"/>
                <w:szCs w:val="32"/>
              </w:rPr>
            </w:pPr>
            <w:r>
              <w:rPr>
                <w:rFonts w:hint="eastAsia"/>
                <w:color w:val="auto"/>
                <w:sz w:val="21"/>
                <w:szCs w:val="32"/>
              </w:rPr>
              <w:t>SW64</w:t>
            </w:r>
          </w:p>
        </w:tc>
        <w:tc>
          <w:tcPr>
            <w:tcW w:w="1593" w:type="dxa"/>
            <w:tcBorders>
              <w:tl2br w:val="nil"/>
              <w:tr2bl w:val="nil"/>
            </w:tcBorders>
            <w:shd w:val="clear" w:color="auto" w:fill="auto"/>
            <w:vAlign w:val="center"/>
          </w:tcPr>
          <w:p w14:paraId="5FECF7F5">
            <w:pPr>
              <w:spacing w:line="240" w:lineRule="auto"/>
              <w:ind w:firstLine="0" w:firstLineChars="0"/>
              <w:jc w:val="center"/>
              <w:rPr>
                <w:color w:val="auto"/>
                <w:sz w:val="21"/>
                <w:szCs w:val="32"/>
              </w:rPr>
            </w:pPr>
            <w:r>
              <w:rPr>
                <w:rFonts w:hint="eastAsia"/>
                <w:color w:val="auto"/>
                <w:sz w:val="21"/>
                <w:szCs w:val="32"/>
              </w:rPr>
              <w:t>900-099-S64</w:t>
            </w:r>
          </w:p>
        </w:tc>
        <w:tc>
          <w:tcPr>
            <w:tcW w:w="1602" w:type="dxa"/>
            <w:tcBorders>
              <w:tl2br w:val="nil"/>
              <w:tr2bl w:val="nil"/>
            </w:tcBorders>
            <w:vAlign w:val="center"/>
          </w:tcPr>
          <w:p w14:paraId="20F16120">
            <w:pPr>
              <w:spacing w:line="240" w:lineRule="auto"/>
              <w:ind w:firstLine="0" w:firstLineChars="0"/>
              <w:jc w:val="center"/>
              <w:rPr>
                <w:color w:val="auto"/>
                <w:sz w:val="21"/>
                <w:szCs w:val="32"/>
              </w:rPr>
            </w:pPr>
            <w:r>
              <w:rPr>
                <w:rFonts w:hint="eastAsia"/>
                <w:color w:val="auto"/>
                <w:sz w:val="21"/>
                <w:szCs w:val="32"/>
              </w:rPr>
              <w:t>3</w:t>
            </w:r>
          </w:p>
        </w:tc>
        <w:tc>
          <w:tcPr>
            <w:tcW w:w="2346" w:type="dxa"/>
            <w:tcBorders>
              <w:tl2br w:val="nil"/>
              <w:tr2bl w:val="nil"/>
            </w:tcBorders>
            <w:vAlign w:val="center"/>
          </w:tcPr>
          <w:p w14:paraId="6727CA69">
            <w:pPr>
              <w:spacing w:line="240" w:lineRule="auto"/>
              <w:ind w:firstLine="0" w:firstLineChars="0"/>
              <w:jc w:val="center"/>
              <w:rPr>
                <w:color w:val="auto"/>
                <w:sz w:val="21"/>
                <w:szCs w:val="32"/>
              </w:rPr>
            </w:pPr>
            <w:r>
              <w:rPr>
                <w:rFonts w:hint="eastAsia"/>
                <w:color w:val="auto"/>
                <w:sz w:val="21"/>
                <w:szCs w:val="32"/>
              </w:rPr>
              <w:t>交由环卫部门清运</w:t>
            </w:r>
          </w:p>
        </w:tc>
      </w:tr>
    </w:tbl>
    <w:p w14:paraId="49D57067">
      <w:pPr>
        <w:spacing w:before="120" w:beforeLines="50"/>
        <w:ind w:firstLine="482"/>
        <w:rPr>
          <w:b/>
          <w:bCs/>
          <w:color w:val="auto"/>
          <w:szCs w:val="40"/>
        </w:rPr>
      </w:pPr>
      <w:r>
        <w:rPr>
          <w:rFonts w:hint="eastAsia"/>
          <w:b/>
          <w:bCs/>
          <w:color w:val="auto"/>
          <w:szCs w:val="40"/>
        </w:rPr>
        <w:t>（2）危险废物收集、暂存、运输环节污染防治措施分析</w:t>
      </w:r>
    </w:p>
    <w:p w14:paraId="1C460ED7">
      <w:pPr>
        <w:ind w:firstLine="480"/>
        <w:rPr>
          <w:color w:val="auto"/>
          <w:szCs w:val="40"/>
        </w:rPr>
      </w:pPr>
      <w:r>
        <w:rPr>
          <w:rFonts w:hint="eastAsia"/>
          <w:color w:val="auto"/>
          <w:szCs w:val="40"/>
        </w:rPr>
        <w:t>现有项目危险废物，均已按照危险废物有关规定进行分类收集、处理。危险废物收集时，根据危险废物质和形态，采用不同大小和不同材质的容器进行包装，所有包装容器足够安全，并经过周密检查，严防在装载、搬移或运输途中出现渗漏、溢出、抛洒或挥发等情况。</w:t>
      </w:r>
    </w:p>
    <w:p w14:paraId="46B40567">
      <w:pPr>
        <w:ind w:firstLine="480"/>
        <w:rPr>
          <w:color w:val="auto"/>
          <w:szCs w:val="40"/>
        </w:rPr>
      </w:pPr>
      <w:r>
        <w:rPr>
          <w:rFonts w:hint="eastAsia"/>
          <w:color w:val="auto"/>
          <w:szCs w:val="40"/>
        </w:rPr>
        <w:t>现有危废仓库设置符合危险废物暂存场所执行《危险废物贮存污染控制标准》（GB18597-2023）等规范要求，公司危险废物做到分类收集、存放和处置。</w:t>
      </w:r>
    </w:p>
    <w:p w14:paraId="03401C36">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3.5</w:t>
      </w:r>
      <w:r>
        <w:rPr>
          <w:b/>
          <w:bCs/>
          <w:color w:val="auto"/>
          <w:sz w:val="28"/>
          <w:szCs w:val="36"/>
        </w:rPr>
        <w:t xml:space="preserve"> </w:t>
      </w:r>
      <w:r>
        <w:rPr>
          <w:rFonts w:hint="eastAsia"/>
          <w:b/>
          <w:bCs/>
          <w:color w:val="auto"/>
          <w:sz w:val="28"/>
          <w:szCs w:val="36"/>
        </w:rPr>
        <w:t>现有工程污染物实际排放总量</w:t>
      </w:r>
    </w:p>
    <w:p w14:paraId="4D86E449">
      <w:pPr>
        <w:ind w:firstLine="480"/>
        <w:rPr>
          <w:color w:val="auto"/>
          <w:szCs w:val="40"/>
        </w:rPr>
      </w:pPr>
      <w:r>
        <w:rPr>
          <w:rFonts w:hint="eastAsia"/>
          <w:color w:val="auto"/>
          <w:szCs w:val="40"/>
        </w:rPr>
        <w:t>根据企业监控数据汇总以及污染物排放浓度进行核实实际排放总量。</w:t>
      </w:r>
    </w:p>
    <w:p w14:paraId="4AF0A5DA">
      <w:pPr>
        <w:spacing w:line="240" w:lineRule="auto"/>
        <w:ind w:firstLine="0" w:firstLineChars="0"/>
        <w:jc w:val="center"/>
        <w:rPr>
          <w:b/>
          <w:bCs/>
          <w:color w:val="auto"/>
          <w:szCs w:val="40"/>
        </w:rPr>
      </w:pPr>
      <w:r>
        <w:rPr>
          <w:rFonts w:hint="eastAsia"/>
          <w:b/>
          <w:bCs/>
          <w:color w:val="auto"/>
          <w:szCs w:val="40"/>
        </w:rPr>
        <w:t>表3.3-6  现有项目污染物排放量汇总</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2175"/>
        <w:gridCol w:w="2616"/>
        <w:gridCol w:w="3039"/>
      </w:tblGrid>
      <w:tr w14:paraId="2BC68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tcBorders>
              <w:tl2br w:val="nil"/>
              <w:tr2bl w:val="nil"/>
            </w:tcBorders>
            <w:vAlign w:val="center"/>
          </w:tcPr>
          <w:p w14:paraId="0D178B2B">
            <w:pPr>
              <w:spacing w:line="240" w:lineRule="auto"/>
              <w:ind w:firstLine="0" w:firstLineChars="0"/>
              <w:jc w:val="center"/>
              <w:rPr>
                <w:b/>
                <w:bCs/>
                <w:color w:val="auto"/>
                <w:sz w:val="21"/>
                <w:szCs w:val="32"/>
              </w:rPr>
            </w:pPr>
            <w:r>
              <w:rPr>
                <w:rFonts w:hint="eastAsia"/>
                <w:b/>
                <w:bCs/>
                <w:color w:val="auto"/>
                <w:sz w:val="21"/>
                <w:szCs w:val="32"/>
              </w:rPr>
              <w:t>种类</w:t>
            </w:r>
          </w:p>
        </w:tc>
        <w:tc>
          <w:tcPr>
            <w:tcW w:w="2175" w:type="dxa"/>
            <w:tcBorders>
              <w:tl2br w:val="nil"/>
              <w:tr2bl w:val="nil"/>
            </w:tcBorders>
            <w:vAlign w:val="center"/>
          </w:tcPr>
          <w:p w14:paraId="5B42A478">
            <w:pPr>
              <w:spacing w:line="240" w:lineRule="auto"/>
              <w:ind w:firstLine="0" w:firstLineChars="0"/>
              <w:jc w:val="center"/>
              <w:rPr>
                <w:b/>
                <w:bCs/>
                <w:color w:val="auto"/>
                <w:sz w:val="21"/>
                <w:szCs w:val="32"/>
              </w:rPr>
            </w:pPr>
            <w:r>
              <w:rPr>
                <w:rFonts w:hint="eastAsia"/>
                <w:b/>
                <w:bCs/>
                <w:color w:val="auto"/>
                <w:sz w:val="21"/>
                <w:szCs w:val="32"/>
              </w:rPr>
              <w:t>污染物名称</w:t>
            </w:r>
          </w:p>
        </w:tc>
        <w:tc>
          <w:tcPr>
            <w:tcW w:w="2616" w:type="dxa"/>
            <w:tcBorders>
              <w:tl2br w:val="nil"/>
              <w:tr2bl w:val="nil"/>
            </w:tcBorders>
            <w:vAlign w:val="center"/>
          </w:tcPr>
          <w:p w14:paraId="26AC841C">
            <w:pPr>
              <w:spacing w:line="240" w:lineRule="auto"/>
              <w:ind w:firstLine="0" w:firstLineChars="0"/>
              <w:jc w:val="center"/>
              <w:rPr>
                <w:b/>
                <w:bCs/>
                <w:color w:val="auto"/>
                <w:sz w:val="21"/>
                <w:szCs w:val="32"/>
              </w:rPr>
            </w:pPr>
            <w:r>
              <w:rPr>
                <w:rFonts w:hint="eastAsia"/>
                <w:b/>
                <w:bCs/>
                <w:color w:val="auto"/>
                <w:sz w:val="21"/>
                <w:szCs w:val="32"/>
              </w:rPr>
              <w:t>现有项目实际排放量t/a</w:t>
            </w:r>
          </w:p>
        </w:tc>
        <w:tc>
          <w:tcPr>
            <w:tcW w:w="3039" w:type="dxa"/>
            <w:tcBorders>
              <w:tl2br w:val="nil"/>
              <w:tr2bl w:val="nil"/>
            </w:tcBorders>
            <w:vAlign w:val="center"/>
          </w:tcPr>
          <w:p w14:paraId="4354EAF5">
            <w:pPr>
              <w:spacing w:line="240" w:lineRule="auto"/>
              <w:ind w:firstLine="0" w:firstLineChars="0"/>
              <w:jc w:val="center"/>
              <w:rPr>
                <w:b/>
                <w:bCs/>
                <w:color w:val="auto"/>
                <w:sz w:val="21"/>
                <w:szCs w:val="32"/>
              </w:rPr>
            </w:pPr>
            <w:r>
              <w:rPr>
                <w:rFonts w:hint="eastAsia"/>
                <w:b/>
                <w:bCs/>
                <w:color w:val="auto"/>
                <w:sz w:val="21"/>
                <w:szCs w:val="32"/>
              </w:rPr>
              <w:t>现有项目全厂环评批复量t/a</w:t>
            </w:r>
          </w:p>
        </w:tc>
      </w:tr>
      <w:tr w14:paraId="0930F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restart"/>
            <w:tcBorders>
              <w:tl2br w:val="nil"/>
              <w:tr2bl w:val="nil"/>
            </w:tcBorders>
            <w:vAlign w:val="center"/>
          </w:tcPr>
          <w:p w14:paraId="7A868AF3">
            <w:pPr>
              <w:spacing w:line="240" w:lineRule="auto"/>
              <w:ind w:firstLine="0" w:firstLineChars="0"/>
              <w:jc w:val="center"/>
              <w:rPr>
                <w:color w:val="auto"/>
                <w:sz w:val="21"/>
                <w:szCs w:val="32"/>
              </w:rPr>
            </w:pPr>
            <w:r>
              <w:rPr>
                <w:rFonts w:hint="eastAsia"/>
                <w:color w:val="auto"/>
                <w:sz w:val="21"/>
                <w:szCs w:val="32"/>
              </w:rPr>
              <w:t>接管废水</w:t>
            </w:r>
          </w:p>
        </w:tc>
        <w:tc>
          <w:tcPr>
            <w:tcW w:w="2175" w:type="dxa"/>
            <w:tcBorders>
              <w:tl2br w:val="nil"/>
              <w:tr2bl w:val="nil"/>
            </w:tcBorders>
            <w:vAlign w:val="center"/>
          </w:tcPr>
          <w:p w14:paraId="168D8AAF">
            <w:pPr>
              <w:spacing w:line="240" w:lineRule="auto"/>
              <w:ind w:firstLine="0" w:firstLineChars="0"/>
              <w:jc w:val="center"/>
              <w:rPr>
                <w:color w:val="auto"/>
                <w:sz w:val="21"/>
                <w:szCs w:val="32"/>
              </w:rPr>
            </w:pPr>
            <w:r>
              <w:rPr>
                <w:rFonts w:hint="eastAsia"/>
                <w:color w:val="auto"/>
                <w:sz w:val="21"/>
                <w:szCs w:val="32"/>
              </w:rPr>
              <w:t>废水量</w:t>
            </w:r>
          </w:p>
        </w:tc>
        <w:tc>
          <w:tcPr>
            <w:tcW w:w="2616" w:type="dxa"/>
            <w:tcBorders>
              <w:tl2br w:val="nil"/>
              <w:tr2bl w:val="nil"/>
            </w:tcBorders>
            <w:vAlign w:val="center"/>
          </w:tcPr>
          <w:p w14:paraId="4F0E1F89">
            <w:pPr>
              <w:spacing w:line="240" w:lineRule="auto"/>
              <w:ind w:firstLine="0" w:firstLineChars="0"/>
              <w:jc w:val="center"/>
              <w:rPr>
                <w:color w:val="auto"/>
                <w:sz w:val="21"/>
                <w:szCs w:val="32"/>
              </w:rPr>
            </w:pPr>
            <w:r>
              <w:rPr>
                <w:rFonts w:hint="eastAsia"/>
                <w:color w:val="auto"/>
                <w:sz w:val="21"/>
                <w:szCs w:val="32"/>
              </w:rPr>
              <w:t>240</w:t>
            </w:r>
          </w:p>
        </w:tc>
        <w:tc>
          <w:tcPr>
            <w:tcW w:w="3039" w:type="dxa"/>
            <w:tcBorders>
              <w:tl2br w:val="nil"/>
              <w:tr2bl w:val="nil"/>
            </w:tcBorders>
            <w:vAlign w:val="center"/>
          </w:tcPr>
          <w:p w14:paraId="6BDC9AF1">
            <w:pPr>
              <w:spacing w:line="240" w:lineRule="auto"/>
              <w:ind w:firstLine="0" w:firstLineChars="0"/>
              <w:jc w:val="center"/>
              <w:rPr>
                <w:color w:val="auto"/>
                <w:sz w:val="21"/>
                <w:szCs w:val="32"/>
              </w:rPr>
            </w:pPr>
            <w:r>
              <w:rPr>
                <w:rFonts w:hint="eastAsia"/>
                <w:color w:val="auto"/>
                <w:sz w:val="21"/>
                <w:szCs w:val="32"/>
              </w:rPr>
              <w:t>240</w:t>
            </w:r>
          </w:p>
        </w:tc>
      </w:tr>
      <w:tr w14:paraId="5055D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tl2br w:val="nil"/>
              <w:tr2bl w:val="nil"/>
            </w:tcBorders>
            <w:vAlign w:val="center"/>
          </w:tcPr>
          <w:p w14:paraId="36819B8A">
            <w:pPr>
              <w:spacing w:line="240" w:lineRule="auto"/>
              <w:ind w:firstLine="0" w:firstLineChars="0"/>
              <w:jc w:val="center"/>
              <w:rPr>
                <w:color w:val="auto"/>
                <w:sz w:val="21"/>
                <w:szCs w:val="32"/>
              </w:rPr>
            </w:pPr>
          </w:p>
        </w:tc>
        <w:tc>
          <w:tcPr>
            <w:tcW w:w="2175" w:type="dxa"/>
            <w:tcBorders>
              <w:tl2br w:val="nil"/>
              <w:tr2bl w:val="nil"/>
            </w:tcBorders>
            <w:vAlign w:val="center"/>
          </w:tcPr>
          <w:p w14:paraId="2538C85D">
            <w:pPr>
              <w:spacing w:line="240" w:lineRule="auto"/>
              <w:ind w:firstLine="0" w:firstLineChars="0"/>
              <w:jc w:val="center"/>
              <w:rPr>
                <w:color w:val="auto"/>
                <w:sz w:val="21"/>
                <w:szCs w:val="32"/>
              </w:rPr>
            </w:pPr>
            <w:r>
              <w:rPr>
                <w:rFonts w:hint="eastAsia"/>
                <w:color w:val="auto"/>
                <w:sz w:val="21"/>
                <w:szCs w:val="32"/>
              </w:rPr>
              <w:t>COD</w:t>
            </w:r>
          </w:p>
        </w:tc>
        <w:tc>
          <w:tcPr>
            <w:tcW w:w="2616" w:type="dxa"/>
            <w:tcBorders>
              <w:tl2br w:val="nil"/>
              <w:tr2bl w:val="nil"/>
            </w:tcBorders>
            <w:vAlign w:val="center"/>
          </w:tcPr>
          <w:p w14:paraId="0E6B595A">
            <w:pPr>
              <w:spacing w:line="240" w:lineRule="auto"/>
              <w:ind w:firstLine="0" w:firstLineChars="0"/>
              <w:jc w:val="center"/>
              <w:rPr>
                <w:color w:val="auto"/>
                <w:sz w:val="21"/>
                <w:szCs w:val="32"/>
              </w:rPr>
            </w:pPr>
            <w:r>
              <w:rPr>
                <w:rFonts w:hint="eastAsia"/>
                <w:color w:val="auto"/>
                <w:sz w:val="21"/>
                <w:szCs w:val="32"/>
              </w:rPr>
              <w:t>0.035</w:t>
            </w:r>
          </w:p>
        </w:tc>
        <w:tc>
          <w:tcPr>
            <w:tcW w:w="3039" w:type="dxa"/>
            <w:tcBorders>
              <w:tl2br w:val="nil"/>
              <w:tr2bl w:val="nil"/>
            </w:tcBorders>
            <w:vAlign w:val="center"/>
          </w:tcPr>
          <w:p w14:paraId="474F82B3">
            <w:pPr>
              <w:spacing w:line="240" w:lineRule="auto"/>
              <w:ind w:firstLine="0" w:firstLineChars="0"/>
              <w:jc w:val="center"/>
              <w:rPr>
                <w:color w:val="auto"/>
                <w:sz w:val="21"/>
                <w:szCs w:val="32"/>
              </w:rPr>
            </w:pPr>
            <w:r>
              <w:rPr>
                <w:rFonts w:hint="eastAsia"/>
                <w:color w:val="auto"/>
                <w:sz w:val="21"/>
                <w:szCs w:val="32"/>
              </w:rPr>
              <w:t>0.0672</w:t>
            </w:r>
          </w:p>
        </w:tc>
      </w:tr>
      <w:tr w14:paraId="20FA0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tl2br w:val="nil"/>
              <w:tr2bl w:val="nil"/>
            </w:tcBorders>
            <w:vAlign w:val="center"/>
          </w:tcPr>
          <w:p w14:paraId="0955F208">
            <w:pPr>
              <w:spacing w:line="240" w:lineRule="auto"/>
              <w:ind w:firstLine="0" w:firstLineChars="0"/>
              <w:jc w:val="center"/>
              <w:rPr>
                <w:color w:val="auto"/>
                <w:sz w:val="21"/>
                <w:szCs w:val="32"/>
              </w:rPr>
            </w:pPr>
          </w:p>
        </w:tc>
        <w:tc>
          <w:tcPr>
            <w:tcW w:w="2175" w:type="dxa"/>
            <w:tcBorders>
              <w:tl2br w:val="nil"/>
              <w:tr2bl w:val="nil"/>
            </w:tcBorders>
            <w:vAlign w:val="center"/>
          </w:tcPr>
          <w:p w14:paraId="4132DEC5">
            <w:pPr>
              <w:spacing w:line="240" w:lineRule="auto"/>
              <w:ind w:firstLine="0" w:firstLineChars="0"/>
              <w:jc w:val="center"/>
              <w:rPr>
                <w:color w:val="auto"/>
                <w:sz w:val="21"/>
                <w:szCs w:val="32"/>
              </w:rPr>
            </w:pPr>
            <w:r>
              <w:rPr>
                <w:rFonts w:hint="eastAsia"/>
                <w:color w:val="auto"/>
                <w:sz w:val="21"/>
                <w:szCs w:val="32"/>
              </w:rPr>
              <w:t>SS</w:t>
            </w:r>
          </w:p>
        </w:tc>
        <w:tc>
          <w:tcPr>
            <w:tcW w:w="2616" w:type="dxa"/>
            <w:tcBorders>
              <w:tl2br w:val="nil"/>
              <w:tr2bl w:val="nil"/>
            </w:tcBorders>
            <w:vAlign w:val="center"/>
          </w:tcPr>
          <w:p w14:paraId="5798F871">
            <w:pPr>
              <w:spacing w:line="240" w:lineRule="auto"/>
              <w:ind w:firstLine="0" w:firstLineChars="0"/>
              <w:jc w:val="center"/>
              <w:rPr>
                <w:color w:val="auto"/>
                <w:sz w:val="21"/>
                <w:szCs w:val="32"/>
              </w:rPr>
            </w:pPr>
            <w:r>
              <w:rPr>
                <w:rFonts w:hint="eastAsia"/>
                <w:color w:val="auto"/>
                <w:sz w:val="21"/>
                <w:szCs w:val="32"/>
              </w:rPr>
              <w:t>0.023</w:t>
            </w:r>
          </w:p>
        </w:tc>
        <w:tc>
          <w:tcPr>
            <w:tcW w:w="3039" w:type="dxa"/>
            <w:tcBorders>
              <w:tl2br w:val="nil"/>
              <w:tr2bl w:val="nil"/>
            </w:tcBorders>
            <w:vAlign w:val="center"/>
          </w:tcPr>
          <w:p w14:paraId="227FEED4">
            <w:pPr>
              <w:spacing w:line="240" w:lineRule="auto"/>
              <w:ind w:firstLine="0" w:firstLineChars="0"/>
              <w:jc w:val="center"/>
              <w:rPr>
                <w:color w:val="auto"/>
                <w:sz w:val="21"/>
                <w:szCs w:val="32"/>
              </w:rPr>
            </w:pPr>
            <w:r>
              <w:rPr>
                <w:rFonts w:hint="eastAsia"/>
                <w:color w:val="auto"/>
                <w:sz w:val="21"/>
                <w:szCs w:val="32"/>
              </w:rPr>
              <w:t>0.042</w:t>
            </w:r>
          </w:p>
        </w:tc>
      </w:tr>
      <w:tr w14:paraId="6490D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tl2br w:val="nil"/>
              <w:tr2bl w:val="nil"/>
            </w:tcBorders>
            <w:vAlign w:val="center"/>
          </w:tcPr>
          <w:p w14:paraId="3289638E">
            <w:pPr>
              <w:spacing w:line="240" w:lineRule="auto"/>
              <w:ind w:firstLine="0" w:firstLineChars="0"/>
              <w:jc w:val="center"/>
              <w:rPr>
                <w:color w:val="auto"/>
                <w:sz w:val="21"/>
                <w:szCs w:val="32"/>
              </w:rPr>
            </w:pPr>
          </w:p>
        </w:tc>
        <w:tc>
          <w:tcPr>
            <w:tcW w:w="2175" w:type="dxa"/>
            <w:tcBorders>
              <w:tl2br w:val="nil"/>
              <w:tr2bl w:val="nil"/>
            </w:tcBorders>
            <w:vAlign w:val="center"/>
          </w:tcPr>
          <w:p w14:paraId="5BBD05C4">
            <w:pPr>
              <w:spacing w:line="240" w:lineRule="auto"/>
              <w:ind w:firstLine="0" w:firstLineChars="0"/>
              <w:jc w:val="center"/>
              <w:rPr>
                <w:color w:val="auto"/>
                <w:sz w:val="21"/>
                <w:szCs w:val="32"/>
              </w:rPr>
            </w:pPr>
            <w:r>
              <w:rPr>
                <w:rFonts w:hint="eastAsia"/>
                <w:color w:val="auto"/>
                <w:sz w:val="21"/>
                <w:szCs w:val="32"/>
              </w:rPr>
              <w:t>NH</w:t>
            </w:r>
            <w:r>
              <w:rPr>
                <w:rFonts w:hint="eastAsia"/>
                <w:color w:val="auto"/>
                <w:sz w:val="21"/>
                <w:szCs w:val="32"/>
                <w:vertAlign w:val="subscript"/>
              </w:rPr>
              <w:t>3</w:t>
            </w:r>
            <w:r>
              <w:rPr>
                <w:rFonts w:hint="eastAsia"/>
                <w:color w:val="auto"/>
                <w:sz w:val="21"/>
                <w:szCs w:val="32"/>
              </w:rPr>
              <w:t>-N</w:t>
            </w:r>
          </w:p>
        </w:tc>
        <w:tc>
          <w:tcPr>
            <w:tcW w:w="2616" w:type="dxa"/>
            <w:tcBorders>
              <w:tl2br w:val="nil"/>
              <w:tr2bl w:val="nil"/>
            </w:tcBorders>
            <w:vAlign w:val="center"/>
          </w:tcPr>
          <w:p w14:paraId="7D931F78">
            <w:pPr>
              <w:spacing w:line="240" w:lineRule="auto"/>
              <w:ind w:firstLine="0" w:firstLineChars="0"/>
              <w:jc w:val="center"/>
              <w:rPr>
                <w:color w:val="auto"/>
                <w:sz w:val="21"/>
                <w:szCs w:val="32"/>
              </w:rPr>
            </w:pPr>
            <w:r>
              <w:rPr>
                <w:rFonts w:hint="eastAsia"/>
                <w:color w:val="auto"/>
                <w:sz w:val="21"/>
                <w:szCs w:val="32"/>
              </w:rPr>
              <w:t>0.0081</w:t>
            </w:r>
          </w:p>
        </w:tc>
        <w:tc>
          <w:tcPr>
            <w:tcW w:w="3039" w:type="dxa"/>
            <w:tcBorders>
              <w:tl2br w:val="nil"/>
              <w:tr2bl w:val="nil"/>
            </w:tcBorders>
            <w:vAlign w:val="center"/>
          </w:tcPr>
          <w:p w14:paraId="102B34AF">
            <w:pPr>
              <w:spacing w:line="240" w:lineRule="auto"/>
              <w:ind w:firstLine="0" w:firstLineChars="0"/>
              <w:jc w:val="center"/>
              <w:rPr>
                <w:color w:val="auto"/>
                <w:sz w:val="21"/>
                <w:szCs w:val="32"/>
              </w:rPr>
            </w:pPr>
            <w:r>
              <w:rPr>
                <w:rFonts w:hint="eastAsia"/>
                <w:color w:val="auto"/>
                <w:sz w:val="21"/>
                <w:szCs w:val="32"/>
              </w:rPr>
              <w:t>0.0084</w:t>
            </w:r>
          </w:p>
        </w:tc>
      </w:tr>
      <w:tr w14:paraId="2B1C9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tl2br w:val="nil"/>
              <w:tr2bl w:val="nil"/>
            </w:tcBorders>
            <w:vAlign w:val="center"/>
          </w:tcPr>
          <w:p w14:paraId="24379FCF">
            <w:pPr>
              <w:spacing w:line="240" w:lineRule="auto"/>
              <w:ind w:firstLine="0" w:firstLineChars="0"/>
              <w:jc w:val="center"/>
              <w:rPr>
                <w:color w:val="auto"/>
                <w:sz w:val="21"/>
                <w:szCs w:val="32"/>
              </w:rPr>
            </w:pPr>
          </w:p>
        </w:tc>
        <w:tc>
          <w:tcPr>
            <w:tcW w:w="2175" w:type="dxa"/>
            <w:tcBorders>
              <w:tl2br w:val="nil"/>
              <w:tr2bl w:val="nil"/>
            </w:tcBorders>
            <w:vAlign w:val="center"/>
          </w:tcPr>
          <w:p w14:paraId="04FA8A37">
            <w:pPr>
              <w:spacing w:line="240" w:lineRule="auto"/>
              <w:ind w:firstLine="0" w:firstLineChars="0"/>
              <w:jc w:val="center"/>
              <w:rPr>
                <w:color w:val="auto"/>
                <w:sz w:val="21"/>
                <w:szCs w:val="32"/>
              </w:rPr>
            </w:pPr>
            <w:r>
              <w:rPr>
                <w:rFonts w:hint="eastAsia"/>
                <w:color w:val="auto"/>
                <w:sz w:val="21"/>
                <w:szCs w:val="32"/>
              </w:rPr>
              <w:t>总磷</w:t>
            </w:r>
          </w:p>
        </w:tc>
        <w:tc>
          <w:tcPr>
            <w:tcW w:w="2616" w:type="dxa"/>
            <w:tcBorders>
              <w:tl2br w:val="nil"/>
              <w:tr2bl w:val="nil"/>
            </w:tcBorders>
            <w:vAlign w:val="center"/>
          </w:tcPr>
          <w:p w14:paraId="1A95146F">
            <w:pPr>
              <w:spacing w:line="240" w:lineRule="auto"/>
              <w:ind w:firstLine="0" w:firstLineChars="0"/>
              <w:jc w:val="center"/>
              <w:rPr>
                <w:color w:val="auto"/>
                <w:sz w:val="21"/>
                <w:szCs w:val="32"/>
              </w:rPr>
            </w:pPr>
            <w:r>
              <w:rPr>
                <w:rFonts w:hint="eastAsia"/>
                <w:color w:val="auto"/>
                <w:sz w:val="21"/>
                <w:szCs w:val="32"/>
              </w:rPr>
              <w:t>0.00084</w:t>
            </w:r>
          </w:p>
        </w:tc>
        <w:tc>
          <w:tcPr>
            <w:tcW w:w="3039" w:type="dxa"/>
            <w:tcBorders>
              <w:tl2br w:val="nil"/>
              <w:tr2bl w:val="nil"/>
            </w:tcBorders>
            <w:vAlign w:val="center"/>
          </w:tcPr>
          <w:p w14:paraId="643D9F7E">
            <w:pPr>
              <w:spacing w:line="240" w:lineRule="auto"/>
              <w:ind w:firstLine="0" w:firstLineChars="0"/>
              <w:jc w:val="center"/>
              <w:rPr>
                <w:color w:val="auto"/>
                <w:sz w:val="21"/>
                <w:szCs w:val="32"/>
              </w:rPr>
            </w:pPr>
            <w:r>
              <w:rPr>
                <w:rFonts w:hint="eastAsia"/>
                <w:color w:val="auto"/>
                <w:sz w:val="21"/>
                <w:szCs w:val="32"/>
              </w:rPr>
              <w:t>0.0012</w:t>
            </w:r>
          </w:p>
        </w:tc>
      </w:tr>
      <w:tr w14:paraId="53EA2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tl2br w:val="nil"/>
              <w:tr2bl w:val="nil"/>
            </w:tcBorders>
            <w:vAlign w:val="center"/>
          </w:tcPr>
          <w:p w14:paraId="02991786">
            <w:pPr>
              <w:spacing w:line="240" w:lineRule="auto"/>
              <w:ind w:firstLine="0" w:firstLineChars="0"/>
              <w:jc w:val="center"/>
              <w:rPr>
                <w:color w:val="auto"/>
                <w:sz w:val="21"/>
                <w:szCs w:val="32"/>
              </w:rPr>
            </w:pPr>
          </w:p>
        </w:tc>
        <w:tc>
          <w:tcPr>
            <w:tcW w:w="2175" w:type="dxa"/>
            <w:tcBorders>
              <w:tl2br w:val="nil"/>
              <w:tr2bl w:val="nil"/>
            </w:tcBorders>
            <w:vAlign w:val="center"/>
          </w:tcPr>
          <w:p w14:paraId="46283404">
            <w:pPr>
              <w:spacing w:line="240" w:lineRule="auto"/>
              <w:ind w:firstLine="0" w:firstLineChars="0"/>
              <w:jc w:val="center"/>
              <w:rPr>
                <w:color w:val="auto"/>
                <w:sz w:val="21"/>
                <w:szCs w:val="32"/>
              </w:rPr>
            </w:pPr>
            <w:r>
              <w:rPr>
                <w:rFonts w:hint="eastAsia"/>
                <w:color w:val="auto"/>
                <w:sz w:val="21"/>
                <w:szCs w:val="32"/>
              </w:rPr>
              <w:t>总氮</w:t>
            </w:r>
          </w:p>
        </w:tc>
        <w:tc>
          <w:tcPr>
            <w:tcW w:w="2616" w:type="dxa"/>
            <w:tcBorders>
              <w:tl2br w:val="nil"/>
              <w:tr2bl w:val="nil"/>
            </w:tcBorders>
            <w:vAlign w:val="center"/>
          </w:tcPr>
          <w:p w14:paraId="0F604A1C">
            <w:pPr>
              <w:spacing w:line="240" w:lineRule="auto"/>
              <w:ind w:firstLine="0" w:firstLineChars="0"/>
              <w:jc w:val="center"/>
              <w:rPr>
                <w:color w:val="auto"/>
                <w:sz w:val="21"/>
                <w:szCs w:val="32"/>
              </w:rPr>
            </w:pPr>
            <w:r>
              <w:rPr>
                <w:rFonts w:hint="eastAsia"/>
                <w:color w:val="auto"/>
                <w:sz w:val="21"/>
                <w:szCs w:val="32"/>
              </w:rPr>
              <w:t>0.0093</w:t>
            </w:r>
          </w:p>
        </w:tc>
        <w:tc>
          <w:tcPr>
            <w:tcW w:w="3039" w:type="dxa"/>
            <w:tcBorders>
              <w:tl2br w:val="nil"/>
              <w:tr2bl w:val="nil"/>
            </w:tcBorders>
            <w:vAlign w:val="center"/>
          </w:tcPr>
          <w:p w14:paraId="7C07D7AE">
            <w:pPr>
              <w:spacing w:line="240" w:lineRule="auto"/>
              <w:ind w:firstLine="0" w:firstLineChars="0"/>
              <w:jc w:val="center"/>
              <w:rPr>
                <w:color w:val="auto"/>
                <w:sz w:val="21"/>
                <w:szCs w:val="32"/>
              </w:rPr>
            </w:pPr>
            <w:r>
              <w:rPr>
                <w:rFonts w:hint="eastAsia"/>
                <w:color w:val="auto"/>
                <w:sz w:val="21"/>
                <w:szCs w:val="32"/>
              </w:rPr>
              <w:t>0.011</w:t>
            </w:r>
          </w:p>
        </w:tc>
      </w:tr>
      <w:tr w14:paraId="7F65E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restart"/>
            <w:tcBorders>
              <w:tl2br w:val="nil"/>
              <w:tr2bl w:val="nil"/>
            </w:tcBorders>
            <w:vAlign w:val="center"/>
          </w:tcPr>
          <w:p w14:paraId="580C60CF">
            <w:pPr>
              <w:spacing w:line="240" w:lineRule="auto"/>
              <w:ind w:firstLine="0" w:firstLineChars="0"/>
              <w:jc w:val="center"/>
              <w:rPr>
                <w:color w:val="auto"/>
                <w:sz w:val="21"/>
                <w:szCs w:val="32"/>
              </w:rPr>
            </w:pPr>
            <w:r>
              <w:rPr>
                <w:rFonts w:hint="eastAsia"/>
                <w:color w:val="auto"/>
                <w:sz w:val="21"/>
                <w:szCs w:val="32"/>
              </w:rPr>
              <w:t>固体废物</w:t>
            </w:r>
          </w:p>
        </w:tc>
        <w:tc>
          <w:tcPr>
            <w:tcW w:w="2175" w:type="dxa"/>
            <w:tcBorders>
              <w:tl2br w:val="nil"/>
              <w:tr2bl w:val="nil"/>
            </w:tcBorders>
            <w:vAlign w:val="center"/>
          </w:tcPr>
          <w:p w14:paraId="6DEADD3B">
            <w:pPr>
              <w:spacing w:line="240" w:lineRule="auto"/>
              <w:ind w:firstLine="0" w:firstLineChars="0"/>
              <w:jc w:val="center"/>
              <w:rPr>
                <w:color w:val="auto"/>
                <w:sz w:val="21"/>
                <w:szCs w:val="32"/>
              </w:rPr>
            </w:pPr>
            <w:r>
              <w:rPr>
                <w:rFonts w:hint="eastAsia"/>
                <w:color w:val="auto"/>
                <w:sz w:val="21"/>
                <w:szCs w:val="32"/>
              </w:rPr>
              <w:t>一般工业固废</w:t>
            </w:r>
          </w:p>
        </w:tc>
        <w:tc>
          <w:tcPr>
            <w:tcW w:w="2616" w:type="dxa"/>
            <w:tcBorders>
              <w:tl2br w:val="nil"/>
              <w:tr2bl w:val="nil"/>
            </w:tcBorders>
            <w:vAlign w:val="center"/>
          </w:tcPr>
          <w:p w14:paraId="6636202F">
            <w:pPr>
              <w:spacing w:line="240" w:lineRule="auto"/>
              <w:ind w:firstLine="0" w:firstLineChars="0"/>
              <w:jc w:val="center"/>
              <w:rPr>
                <w:color w:val="auto"/>
                <w:sz w:val="21"/>
                <w:szCs w:val="32"/>
              </w:rPr>
            </w:pPr>
            <w:r>
              <w:rPr>
                <w:rFonts w:hint="eastAsia"/>
                <w:color w:val="auto"/>
                <w:sz w:val="21"/>
                <w:szCs w:val="32"/>
              </w:rPr>
              <w:t>2.625</w:t>
            </w:r>
          </w:p>
        </w:tc>
        <w:tc>
          <w:tcPr>
            <w:tcW w:w="3039" w:type="dxa"/>
            <w:tcBorders>
              <w:tl2br w:val="nil"/>
              <w:tr2bl w:val="nil"/>
            </w:tcBorders>
            <w:vAlign w:val="center"/>
          </w:tcPr>
          <w:p w14:paraId="457D9FBD">
            <w:pPr>
              <w:spacing w:line="240" w:lineRule="auto"/>
              <w:ind w:firstLine="0" w:firstLineChars="0"/>
              <w:jc w:val="center"/>
              <w:rPr>
                <w:color w:val="auto"/>
                <w:sz w:val="21"/>
                <w:szCs w:val="32"/>
              </w:rPr>
            </w:pPr>
            <w:r>
              <w:rPr>
                <w:rFonts w:hint="eastAsia"/>
                <w:color w:val="auto"/>
                <w:sz w:val="21"/>
                <w:szCs w:val="32"/>
              </w:rPr>
              <w:t>3.85</w:t>
            </w:r>
          </w:p>
        </w:tc>
      </w:tr>
      <w:tr w14:paraId="18F62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456" w:type="dxa"/>
            <w:vMerge w:val="continue"/>
            <w:tcBorders>
              <w:tl2br w:val="nil"/>
              <w:tr2bl w:val="nil"/>
            </w:tcBorders>
            <w:vAlign w:val="center"/>
          </w:tcPr>
          <w:p w14:paraId="0390BF76">
            <w:pPr>
              <w:spacing w:line="240" w:lineRule="auto"/>
              <w:ind w:firstLine="0" w:firstLineChars="0"/>
              <w:jc w:val="center"/>
              <w:rPr>
                <w:color w:val="auto"/>
                <w:sz w:val="21"/>
                <w:szCs w:val="32"/>
              </w:rPr>
            </w:pPr>
          </w:p>
        </w:tc>
        <w:tc>
          <w:tcPr>
            <w:tcW w:w="2175" w:type="dxa"/>
            <w:tcBorders>
              <w:tl2br w:val="nil"/>
              <w:tr2bl w:val="nil"/>
            </w:tcBorders>
            <w:vAlign w:val="center"/>
          </w:tcPr>
          <w:p w14:paraId="630DCCD5">
            <w:pPr>
              <w:spacing w:line="240" w:lineRule="auto"/>
              <w:ind w:firstLine="0" w:firstLineChars="0"/>
              <w:jc w:val="center"/>
              <w:rPr>
                <w:color w:val="auto"/>
                <w:sz w:val="21"/>
                <w:szCs w:val="32"/>
              </w:rPr>
            </w:pPr>
            <w:r>
              <w:rPr>
                <w:rFonts w:hint="eastAsia"/>
                <w:color w:val="auto"/>
                <w:sz w:val="21"/>
                <w:szCs w:val="32"/>
              </w:rPr>
              <w:t>危险废物</w:t>
            </w:r>
          </w:p>
        </w:tc>
        <w:tc>
          <w:tcPr>
            <w:tcW w:w="2616" w:type="dxa"/>
            <w:tcBorders>
              <w:tl2br w:val="nil"/>
              <w:tr2bl w:val="nil"/>
            </w:tcBorders>
            <w:vAlign w:val="center"/>
          </w:tcPr>
          <w:p w14:paraId="237805B6">
            <w:pPr>
              <w:spacing w:line="240" w:lineRule="auto"/>
              <w:ind w:firstLine="0" w:firstLineChars="0"/>
              <w:jc w:val="center"/>
              <w:rPr>
                <w:color w:val="auto"/>
                <w:sz w:val="21"/>
                <w:szCs w:val="32"/>
              </w:rPr>
            </w:pPr>
            <w:r>
              <w:rPr>
                <w:rFonts w:hint="eastAsia"/>
                <w:color w:val="auto"/>
                <w:sz w:val="21"/>
                <w:szCs w:val="32"/>
              </w:rPr>
              <w:t>0.05</w:t>
            </w:r>
          </w:p>
        </w:tc>
        <w:tc>
          <w:tcPr>
            <w:tcW w:w="3039" w:type="dxa"/>
            <w:tcBorders>
              <w:tl2br w:val="nil"/>
              <w:tr2bl w:val="nil"/>
            </w:tcBorders>
            <w:vAlign w:val="center"/>
          </w:tcPr>
          <w:p w14:paraId="4E7FD409">
            <w:pPr>
              <w:spacing w:line="240" w:lineRule="auto"/>
              <w:ind w:firstLine="0" w:firstLineChars="0"/>
              <w:jc w:val="center"/>
              <w:rPr>
                <w:color w:val="auto"/>
                <w:sz w:val="21"/>
                <w:szCs w:val="32"/>
              </w:rPr>
            </w:pPr>
            <w:r>
              <w:rPr>
                <w:rFonts w:hint="eastAsia"/>
                <w:color w:val="auto"/>
                <w:sz w:val="21"/>
                <w:szCs w:val="32"/>
              </w:rPr>
              <w:t>0.1</w:t>
            </w:r>
          </w:p>
        </w:tc>
      </w:tr>
      <w:tr w14:paraId="201AC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tl2br w:val="nil"/>
              <w:tr2bl w:val="nil"/>
            </w:tcBorders>
            <w:vAlign w:val="center"/>
          </w:tcPr>
          <w:p w14:paraId="36CCF471">
            <w:pPr>
              <w:spacing w:line="240" w:lineRule="auto"/>
              <w:ind w:firstLine="0" w:firstLineChars="0"/>
              <w:jc w:val="center"/>
              <w:rPr>
                <w:color w:val="auto"/>
                <w:sz w:val="21"/>
                <w:szCs w:val="32"/>
              </w:rPr>
            </w:pPr>
          </w:p>
        </w:tc>
        <w:tc>
          <w:tcPr>
            <w:tcW w:w="2175" w:type="dxa"/>
            <w:tcBorders>
              <w:tl2br w:val="nil"/>
              <w:tr2bl w:val="nil"/>
            </w:tcBorders>
            <w:vAlign w:val="center"/>
          </w:tcPr>
          <w:p w14:paraId="6FCA6A1D">
            <w:pPr>
              <w:spacing w:line="240" w:lineRule="auto"/>
              <w:ind w:firstLine="0" w:firstLineChars="0"/>
              <w:jc w:val="center"/>
              <w:rPr>
                <w:color w:val="auto"/>
                <w:sz w:val="21"/>
                <w:szCs w:val="32"/>
              </w:rPr>
            </w:pPr>
            <w:r>
              <w:rPr>
                <w:rFonts w:hint="eastAsia"/>
                <w:color w:val="auto"/>
                <w:sz w:val="21"/>
                <w:szCs w:val="32"/>
              </w:rPr>
              <w:t>生活垃圾</w:t>
            </w:r>
          </w:p>
        </w:tc>
        <w:tc>
          <w:tcPr>
            <w:tcW w:w="2616" w:type="dxa"/>
            <w:tcBorders>
              <w:tl2br w:val="nil"/>
              <w:tr2bl w:val="nil"/>
            </w:tcBorders>
            <w:vAlign w:val="center"/>
          </w:tcPr>
          <w:p w14:paraId="4355DD49">
            <w:pPr>
              <w:spacing w:line="240" w:lineRule="auto"/>
              <w:ind w:firstLine="0" w:firstLineChars="0"/>
              <w:jc w:val="center"/>
              <w:rPr>
                <w:color w:val="auto"/>
                <w:sz w:val="21"/>
                <w:szCs w:val="32"/>
              </w:rPr>
            </w:pPr>
            <w:r>
              <w:rPr>
                <w:rFonts w:hint="eastAsia"/>
                <w:color w:val="auto"/>
                <w:sz w:val="21"/>
                <w:szCs w:val="32"/>
              </w:rPr>
              <w:t>3</w:t>
            </w:r>
          </w:p>
        </w:tc>
        <w:tc>
          <w:tcPr>
            <w:tcW w:w="3039" w:type="dxa"/>
            <w:tcBorders>
              <w:tl2br w:val="nil"/>
              <w:tr2bl w:val="nil"/>
            </w:tcBorders>
            <w:vAlign w:val="center"/>
          </w:tcPr>
          <w:p w14:paraId="50171202">
            <w:pPr>
              <w:spacing w:line="240" w:lineRule="auto"/>
              <w:ind w:firstLine="0" w:firstLineChars="0"/>
              <w:jc w:val="center"/>
              <w:rPr>
                <w:color w:val="auto"/>
                <w:sz w:val="21"/>
                <w:szCs w:val="32"/>
              </w:rPr>
            </w:pPr>
            <w:r>
              <w:rPr>
                <w:rFonts w:hint="eastAsia"/>
                <w:color w:val="auto"/>
                <w:sz w:val="21"/>
                <w:szCs w:val="32"/>
              </w:rPr>
              <w:t>3</w:t>
            </w:r>
          </w:p>
        </w:tc>
      </w:tr>
    </w:tbl>
    <w:p w14:paraId="3DEE3A14">
      <w:pPr>
        <w:keepNext/>
        <w:keepLines/>
        <w:spacing w:before="120" w:beforeLines="50"/>
        <w:ind w:firstLine="0" w:firstLineChars="0"/>
        <w:outlineLvl w:val="1"/>
        <w:rPr>
          <w:color w:val="auto"/>
        </w:rPr>
      </w:pPr>
      <w:bookmarkStart w:id="47" w:name="_Toc12672"/>
      <w:r>
        <w:rPr>
          <w:b/>
          <w:bCs/>
          <w:color w:val="auto"/>
          <w:sz w:val="30"/>
          <w:szCs w:val="30"/>
        </w:rPr>
        <w:t>3.</w:t>
      </w:r>
      <w:r>
        <w:rPr>
          <w:rFonts w:hint="eastAsia"/>
          <w:b/>
          <w:bCs/>
          <w:color w:val="auto"/>
          <w:sz w:val="30"/>
          <w:szCs w:val="30"/>
        </w:rPr>
        <w:t>4</w:t>
      </w:r>
      <w:r>
        <w:rPr>
          <w:b/>
          <w:bCs/>
          <w:color w:val="auto"/>
          <w:sz w:val="30"/>
          <w:szCs w:val="30"/>
        </w:rPr>
        <w:t xml:space="preserve"> 现有项目</w:t>
      </w:r>
      <w:r>
        <w:rPr>
          <w:rFonts w:hint="eastAsia"/>
          <w:b/>
          <w:bCs/>
          <w:color w:val="auto"/>
          <w:sz w:val="30"/>
          <w:szCs w:val="30"/>
        </w:rPr>
        <w:t>风险评价回顾</w:t>
      </w:r>
      <w:bookmarkEnd w:id="47"/>
    </w:p>
    <w:p w14:paraId="7736D8BF">
      <w:pPr>
        <w:ind w:firstLine="480"/>
        <w:rPr>
          <w:color w:val="auto"/>
          <w:szCs w:val="40"/>
        </w:rPr>
      </w:pPr>
      <w:r>
        <w:rPr>
          <w:rFonts w:hint="eastAsia"/>
          <w:color w:val="auto"/>
          <w:szCs w:val="40"/>
        </w:rPr>
        <w:t>一道新材科技（连云港）有限公司已编制突发环境事件应急预案及环境风险评估报告，并于2024年7月10日取得备案（备案编号：320703-2024-012-L（KF））。本次环评依据《建设项目环境风险评价技术导则》（HJ169-2018），并结合现有项目实际情况，对现有项目环境风险进行回顾评价，具体内容如下：</w:t>
      </w:r>
    </w:p>
    <w:p w14:paraId="0E25FC2B">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4.1</w:t>
      </w:r>
      <w:r>
        <w:rPr>
          <w:b/>
          <w:bCs/>
          <w:color w:val="auto"/>
          <w:sz w:val="28"/>
          <w:szCs w:val="36"/>
        </w:rPr>
        <w:t xml:space="preserve"> </w:t>
      </w:r>
      <w:r>
        <w:rPr>
          <w:rFonts w:hint="eastAsia"/>
          <w:b/>
          <w:bCs/>
          <w:color w:val="auto"/>
          <w:sz w:val="28"/>
          <w:szCs w:val="36"/>
        </w:rPr>
        <w:t>现有项目环境风险源</w:t>
      </w:r>
    </w:p>
    <w:p w14:paraId="6247BCEF">
      <w:pPr>
        <w:pStyle w:val="1356"/>
        <w:spacing w:before="120" w:beforeLines="50"/>
        <w:ind w:firstLine="0" w:firstLineChars="0"/>
        <w:jc w:val="left"/>
        <w:outlineLvl w:val="3"/>
        <w:rPr>
          <w:color w:val="auto"/>
        </w:rPr>
      </w:pPr>
      <w:r>
        <w:rPr>
          <w:rFonts w:hint="eastAsia"/>
          <w:b/>
          <w:color w:val="auto"/>
        </w:rPr>
        <w:t>3</w:t>
      </w:r>
      <w:r>
        <w:rPr>
          <w:b/>
          <w:color w:val="auto"/>
        </w:rPr>
        <w:t>.</w:t>
      </w:r>
      <w:r>
        <w:rPr>
          <w:rFonts w:hint="eastAsia"/>
          <w:b/>
          <w:color w:val="auto"/>
        </w:rPr>
        <w:t>4</w:t>
      </w:r>
      <w:r>
        <w:rPr>
          <w:b/>
          <w:color w:val="auto"/>
        </w:rPr>
        <w:t>.1</w:t>
      </w:r>
      <w:r>
        <w:rPr>
          <w:rFonts w:hint="eastAsia"/>
          <w:b/>
          <w:color w:val="auto"/>
        </w:rPr>
        <w:t>.1</w:t>
      </w:r>
      <w:r>
        <w:rPr>
          <w:b/>
          <w:color w:val="auto"/>
        </w:rPr>
        <w:t xml:space="preserve"> </w:t>
      </w:r>
      <w:r>
        <w:rPr>
          <w:rFonts w:hint="eastAsia"/>
          <w:b/>
          <w:color w:val="auto"/>
        </w:rPr>
        <w:t>现有项目环境风险识别</w:t>
      </w:r>
    </w:p>
    <w:p w14:paraId="75280951">
      <w:pPr>
        <w:ind w:firstLine="480"/>
        <w:rPr>
          <w:color w:val="auto"/>
        </w:rPr>
      </w:pPr>
      <w:r>
        <w:rPr>
          <w:rFonts w:hint="eastAsia"/>
          <w:color w:val="auto"/>
        </w:rPr>
        <w:t>根据</w:t>
      </w:r>
      <w:r>
        <w:rPr>
          <w:rFonts w:hint="eastAsia"/>
          <w:color w:val="auto"/>
          <w:szCs w:val="40"/>
        </w:rPr>
        <w:t>《建设项目环境风险评价技术导则》（HJ169-2018）附录B.1进行识别，现有项目涉及的危险物质主要有机油和废机油。</w:t>
      </w:r>
    </w:p>
    <w:p w14:paraId="1BFA693B">
      <w:pPr>
        <w:pStyle w:val="1356"/>
        <w:spacing w:before="120" w:beforeLines="50"/>
        <w:ind w:firstLine="0" w:firstLineChars="0"/>
        <w:jc w:val="left"/>
        <w:outlineLvl w:val="3"/>
        <w:rPr>
          <w:b/>
          <w:color w:val="auto"/>
        </w:rPr>
      </w:pPr>
      <w:r>
        <w:rPr>
          <w:rFonts w:hint="eastAsia"/>
          <w:b/>
          <w:color w:val="auto"/>
        </w:rPr>
        <w:t>3</w:t>
      </w:r>
      <w:r>
        <w:rPr>
          <w:b/>
          <w:color w:val="auto"/>
        </w:rPr>
        <w:t>.4.</w:t>
      </w:r>
      <w:r>
        <w:rPr>
          <w:rFonts w:hint="eastAsia"/>
          <w:b/>
          <w:color w:val="auto"/>
        </w:rPr>
        <w:t>1.2</w:t>
      </w:r>
      <w:r>
        <w:rPr>
          <w:b/>
          <w:color w:val="auto"/>
        </w:rPr>
        <w:t xml:space="preserve"> </w:t>
      </w:r>
      <w:r>
        <w:rPr>
          <w:rFonts w:hint="eastAsia"/>
          <w:b/>
          <w:color w:val="auto"/>
        </w:rPr>
        <w:t>现有项目环境风险识别</w:t>
      </w:r>
    </w:p>
    <w:p w14:paraId="70A3B933">
      <w:pPr>
        <w:ind w:firstLine="480"/>
        <w:rPr>
          <w:color w:val="auto"/>
        </w:rPr>
      </w:pPr>
      <w:r>
        <w:rPr>
          <w:rFonts w:hint="eastAsia"/>
          <w:color w:val="auto"/>
        </w:rPr>
        <w:t>现有项目环境风险主要来自生产车间、危废库等。风险因素识别见表3.4-1。</w:t>
      </w:r>
    </w:p>
    <w:p w14:paraId="5404BF47">
      <w:pPr>
        <w:spacing w:line="240" w:lineRule="auto"/>
        <w:ind w:firstLine="0" w:firstLineChars="0"/>
        <w:jc w:val="center"/>
        <w:rPr>
          <w:b/>
          <w:bCs/>
          <w:color w:val="auto"/>
        </w:rPr>
      </w:pPr>
      <w:r>
        <w:rPr>
          <w:rFonts w:hint="eastAsia"/>
          <w:b/>
          <w:bCs/>
          <w:color w:val="auto"/>
        </w:rPr>
        <w:t>表3.4-1  现有项目风险因素识别表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73"/>
        <w:gridCol w:w="1305"/>
        <w:gridCol w:w="1250"/>
        <w:gridCol w:w="3841"/>
      </w:tblGrid>
      <w:tr w14:paraId="3AD13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dxa"/>
            <w:tcBorders>
              <w:tl2br w:val="nil"/>
              <w:tr2bl w:val="nil"/>
            </w:tcBorders>
            <w:vAlign w:val="center"/>
          </w:tcPr>
          <w:p w14:paraId="552AFA68">
            <w:pPr>
              <w:spacing w:line="240" w:lineRule="auto"/>
              <w:ind w:firstLine="0" w:firstLineChars="0"/>
              <w:jc w:val="center"/>
              <w:rPr>
                <w:b/>
                <w:bCs/>
                <w:color w:val="auto"/>
                <w:sz w:val="21"/>
                <w:szCs w:val="21"/>
              </w:rPr>
            </w:pPr>
            <w:r>
              <w:rPr>
                <w:rFonts w:hint="eastAsia"/>
                <w:b/>
                <w:bCs/>
                <w:color w:val="auto"/>
                <w:sz w:val="21"/>
                <w:szCs w:val="21"/>
              </w:rPr>
              <w:t>序号</w:t>
            </w:r>
          </w:p>
        </w:tc>
        <w:tc>
          <w:tcPr>
            <w:tcW w:w="1973" w:type="dxa"/>
            <w:tcBorders>
              <w:tl2br w:val="nil"/>
              <w:tr2bl w:val="nil"/>
            </w:tcBorders>
            <w:vAlign w:val="center"/>
          </w:tcPr>
          <w:p w14:paraId="6CD54C08">
            <w:pPr>
              <w:spacing w:line="240" w:lineRule="auto"/>
              <w:ind w:firstLine="0" w:firstLineChars="0"/>
              <w:jc w:val="center"/>
              <w:rPr>
                <w:b/>
                <w:bCs/>
                <w:color w:val="auto"/>
                <w:sz w:val="21"/>
                <w:szCs w:val="21"/>
              </w:rPr>
            </w:pPr>
            <w:r>
              <w:rPr>
                <w:rFonts w:hint="eastAsia"/>
                <w:b/>
                <w:bCs/>
                <w:color w:val="auto"/>
                <w:sz w:val="21"/>
                <w:szCs w:val="21"/>
              </w:rPr>
              <w:t>事故类型</w:t>
            </w:r>
          </w:p>
        </w:tc>
        <w:tc>
          <w:tcPr>
            <w:tcW w:w="1305" w:type="dxa"/>
            <w:tcBorders>
              <w:tl2br w:val="nil"/>
              <w:tr2bl w:val="nil"/>
            </w:tcBorders>
            <w:vAlign w:val="center"/>
          </w:tcPr>
          <w:p w14:paraId="4DD2D075">
            <w:pPr>
              <w:spacing w:line="240" w:lineRule="auto"/>
              <w:ind w:firstLine="0" w:firstLineChars="0"/>
              <w:jc w:val="center"/>
              <w:rPr>
                <w:b/>
                <w:bCs/>
                <w:color w:val="auto"/>
                <w:sz w:val="21"/>
                <w:szCs w:val="21"/>
              </w:rPr>
            </w:pPr>
            <w:r>
              <w:rPr>
                <w:rFonts w:hint="eastAsia"/>
                <w:b/>
                <w:bCs/>
                <w:color w:val="auto"/>
                <w:sz w:val="21"/>
                <w:szCs w:val="21"/>
              </w:rPr>
              <w:t>环境风险危险源</w:t>
            </w:r>
          </w:p>
        </w:tc>
        <w:tc>
          <w:tcPr>
            <w:tcW w:w="1250" w:type="dxa"/>
            <w:tcBorders>
              <w:tl2br w:val="nil"/>
              <w:tr2bl w:val="nil"/>
            </w:tcBorders>
            <w:vAlign w:val="center"/>
          </w:tcPr>
          <w:p w14:paraId="2B93F498">
            <w:pPr>
              <w:spacing w:line="240" w:lineRule="auto"/>
              <w:ind w:firstLine="0" w:firstLineChars="0"/>
              <w:jc w:val="center"/>
              <w:rPr>
                <w:b/>
                <w:bCs/>
                <w:color w:val="auto"/>
                <w:sz w:val="21"/>
                <w:szCs w:val="21"/>
              </w:rPr>
            </w:pPr>
            <w:r>
              <w:rPr>
                <w:rFonts w:hint="eastAsia"/>
                <w:b/>
                <w:bCs/>
                <w:color w:val="auto"/>
                <w:sz w:val="21"/>
                <w:szCs w:val="21"/>
              </w:rPr>
              <w:t>主要危险物质</w:t>
            </w:r>
          </w:p>
        </w:tc>
        <w:tc>
          <w:tcPr>
            <w:tcW w:w="3841" w:type="dxa"/>
            <w:tcBorders>
              <w:tl2br w:val="nil"/>
              <w:tr2bl w:val="nil"/>
            </w:tcBorders>
            <w:vAlign w:val="center"/>
          </w:tcPr>
          <w:p w14:paraId="661B27C2">
            <w:pPr>
              <w:spacing w:line="240" w:lineRule="auto"/>
              <w:ind w:firstLine="0" w:firstLineChars="0"/>
              <w:jc w:val="center"/>
              <w:rPr>
                <w:b/>
                <w:bCs/>
                <w:color w:val="auto"/>
                <w:sz w:val="21"/>
                <w:szCs w:val="21"/>
              </w:rPr>
            </w:pPr>
            <w:r>
              <w:rPr>
                <w:rFonts w:hint="eastAsia"/>
                <w:b/>
                <w:bCs/>
                <w:color w:val="auto"/>
                <w:sz w:val="21"/>
                <w:szCs w:val="21"/>
              </w:rPr>
              <w:t>可能引发或次生突发环境事故情景</w:t>
            </w:r>
          </w:p>
        </w:tc>
      </w:tr>
      <w:tr w14:paraId="6E0B5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dxa"/>
            <w:tcBorders>
              <w:tl2br w:val="nil"/>
              <w:tr2bl w:val="nil"/>
            </w:tcBorders>
            <w:vAlign w:val="center"/>
          </w:tcPr>
          <w:p w14:paraId="06DF1D68">
            <w:pPr>
              <w:spacing w:line="240" w:lineRule="auto"/>
              <w:ind w:firstLine="0" w:firstLineChars="0"/>
              <w:jc w:val="center"/>
              <w:rPr>
                <w:color w:val="auto"/>
                <w:sz w:val="21"/>
                <w:szCs w:val="21"/>
              </w:rPr>
            </w:pPr>
            <w:r>
              <w:rPr>
                <w:rFonts w:hint="eastAsia"/>
                <w:color w:val="auto"/>
                <w:sz w:val="21"/>
                <w:szCs w:val="21"/>
              </w:rPr>
              <w:t>事件一</w:t>
            </w:r>
          </w:p>
        </w:tc>
        <w:tc>
          <w:tcPr>
            <w:tcW w:w="1973" w:type="dxa"/>
            <w:tcBorders>
              <w:tl2br w:val="nil"/>
              <w:tr2bl w:val="nil"/>
            </w:tcBorders>
            <w:vAlign w:val="center"/>
          </w:tcPr>
          <w:p w14:paraId="3877CD9D">
            <w:pPr>
              <w:spacing w:line="240" w:lineRule="auto"/>
              <w:ind w:firstLine="0" w:firstLineChars="0"/>
              <w:jc w:val="center"/>
              <w:rPr>
                <w:color w:val="auto"/>
                <w:sz w:val="21"/>
                <w:szCs w:val="21"/>
              </w:rPr>
            </w:pPr>
            <w:r>
              <w:rPr>
                <w:rFonts w:hint="eastAsia"/>
                <w:color w:val="auto"/>
                <w:sz w:val="21"/>
                <w:szCs w:val="21"/>
              </w:rPr>
              <w:t>泄漏、火灾、爆炸</w:t>
            </w:r>
          </w:p>
        </w:tc>
        <w:tc>
          <w:tcPr>
            <w:tcW w:w="1305" w:type="dxa"/>
            <w:tcBorders>
              <w:tl2br w:val="nil"/>
              <w:tr2bl w:val="nil"/>
            </w:tcBorders>
            <w:vAlign w:val="center"/>
          </w:tcPr>
          <w:p w14:paraId="6717C7AA">
            <w:pPr>
              <w:spacing w:line="240" w:lineRule="auto"/>
              <w:ind w:firstLine="0" w:firstLineChars="0"/>
              <w:jc w:val="center"/>
              <w:rPr>
                <w:color w:val="auto"/>
                <w:sz w:val="21"/>
                <w:szCs w:val="21"/>
              </w:rPr>
            </w:pPr>
            <w:r>
              <w:rPr>
                <w:rFonts w:hint="eastAsia"/>
                <w:color w:val="auto"/>
                <w:sz w:val="21"/>
                <w:szCs w:val="21"/>
              </w:rPr>
              <w:t>生产车间</w:t>
            </w:r>
          </w:p>
        </w:tc>
        <w:tc>
          <w:tcPr>
            <w:tcW w:w="1250" w:type="dxa"/>
            <w:tcBorders>
              <w:tl2br w:val="nil"/>
              <w:tr2bl w:val="nil"/>
            </w:tcBorders>
            <w:vAlign w:val="center"/>
          </w:tcPr>
          <w:p w14:paraId="1653B77A">
            <w:pPr>
              <w:spacing w:line="240" w:lineRule="auto"/>
              <w:ind w:firstLine="0" w:firstLineChars="0"/>
              <w:jc w:val="center"/>
              <w:rPr>
                <w:color w:val="auto"/>
                <w:sz w:val="21"/>
                <w:szCs w:val="21"/>
              </w:rPr>
            </w:pPr>
            <w:r>
              <w:rPr>
                <w:rFonts w:hint="eastAsia"/>
                <w:color w:val="auto"/>
                <w:sz w:val="21"/>
                <w:szCs w:val="21"/>
              </w:rPr>
              <w:t>机油</w:t>
            </w:r>
          </w:p>
        </w:tc>
        <w:tc>
          <w:tcPr>
            <w:tcW w:w="3841" w:type="dxa"/>
            <w:tcBorders>
              <w:tl2br w:val="nil"/>
              <w:tr2bl w:val="nil"/>
            </w:tcBorders>
            <w:vAlign w:val="center"/>
          </w:tcPr>
          <w:p w14:paraId="24B27A52">
            <w:pPr>
              <w:spacing w:line="240" w:lineRule="auto"/>
              <w:ind w:firstLine="0" w:firstLineChars="0"/>
              <w:jc w:val="center"/>
              <w:rPr>
                <w:color w:val="auto"/>
                <w:sz w:val="21"/>
                <w:szCs w:val="21"/>
              </w:rPr>
            </w:pPr>
            <w:r>
              <w:rPr>
                <w:rFonts w:hint="eastAsia"/>
                <w:color w:val="auto"/>
                <w:sz w:val="21"/>
                <w:szCs w:val="21"/>
              </w:rPr>
              <w:t>遇明火、高热能引起火灾事故，产生CO、SO</w:t>
            </w:r>
            <w:r>
              <w:rPr>
                <w:rFonts w:hint="eastAsia"/>
                <w:color w:val="auto"/>
                <w:sz w:val="21"/>
                <w:szCs w:val="21"/>
                <w:vertAlign w:val="subscript"/>
              </w:rPr>
              <w:t>2</w:t>
            </w:r>
            <w:r>
              <w:rPr>
                <w:rFonts w:hint="eastAsia"/>
                <w:color w:val="auto"/>
                <w:sz w:val="21"/>
                <w:szCs w:val="21"/>
              </w:rPr>
              <w:t>等有害燃烧物质。</w:t>
            </w:r>
          </w:p>
        </w:tc>
      </w:tr>
      <w:tr w14:paraId="49207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dxa"/>
            <w:tcBorders>
              <w:tl2br w:val="nil"/>
              <w:tr2bl w:val="nil"/>
            </w:tcBorders>
            <w:vAlign w:val="center"/>
          </w:tcPr>
          <w:p w14:paraId="44C9DFE8">
            <w:pPr>
              <w:spacing w:line="240" w:lineRule="auto"/>
              <w:ind w:firstLine="0" w:firstLineChars="0"/>
              <w:jc w:val="center"/>
              <w:rPr>
                <w:color w:val="auto"/>
                <w:sz w:val="21"/>
                <w:szCs w:val="21"/>
              </w:rPr>
            </w:pPr>
            <w:r>
              <w:rPr>
                <w:rFonts w:hint="eastAsia"/>
                <w:color w:val="auto"/>
                <w:sz w:val="21"/>
                <w:szCs w:val="21"/>
              </w:rPr>
              <w:t>事件二</w:t>
            </w:r>
          </w:p>
        </w:tc>
        <w:tc>
          <w:tcPr>
            <w:tcW w:w="1973" w:type="dxa"/>
            <w:tcBorders>
              <w:tl2br w:val="nil"/>
              <w:tr2bl w:val="nil"/>
            </w:tcBorders>
            <w:vAlign w:val="center"/>
          </w:tcPr>
          <w:p w14:paraId="0F9FA71E">
            <w:pPr>
              <w:spacing w:line="240" w:lineRule="auto"/>
              <w:ind w:firstLine="0" w:firstLineChars="0"/>
              <w:jc w:val="center"/>
              <w:rPr>
                <w:color w:val="auto"/>
                <w:sz w:val="21"/>
                <w:szCs w:val="21"/>
              </w:rPr>
            </w:pPr>
            <w:r>
              <w:rPr>
                <w:rFonts w:hint="eastAsia"/>
                <w:color w:val="auto"/>
                <w:sz w:val="21"/>
                <w:szCs w:val="21"/>
              </w:rPr>
              <w:t>污染治理设施非正常运行</w:t>
            </w:r>
          </w:p>
        </w:tc>
        <w:tc>
          <w:tcPr>
            <w:tcW w:w="1305" w:type="dxa"/>
            <w:tcBorders>
              <w:tl2br w:val="nil"/>
              <w:tr2bl w:val="nil"/>
            </w:tcBorders>
            <w:vAlign w:val="center"/>
          </w:tcPr>
          <w:p w14:paraId="7ADAE996">
            <w:pPr>
              <w:spacing w:line="240" w:lineRule="auto"/>
              <w:ind w:firstLine="0" w:firstLineChars="0"/>
              <w:jc w:val="center"/>
              <w:rPr>
                <w:color w:val="auto"/>
                <w:sz w:val="21"/>
                <w:szCs w:val="21"/>
              </w:rPr>
            </w:pPr>
            <w:r>
              <w:rPr>
                <w:rFonts w:hint="eastAsia"/>
                <w:color w:val="auto"/>
                <w:sz w:val="21"/>
                <w:szCs w:val="21"/>
              </w:rPr>
              <w:t>危废库</w:t>
            </w:r>
          </w:p>
        </w:tc>
        <w:tc>
          <w:tcPr>
            <w:tcW w:w="1250" w:type="dxa"/>
            <w:tcBorders>
              <w:tl2br w:val="nil"/>
              <w:tr2bl w:val="nil"/>
            </w:tcBorders>
            <w:vAlign w:val="center"/>
          </w:tcPr>
          <w:p w14:paraId="3B400878">
            <w:pPr>
              <w:spacing w:line="240" w:lineRule="auto"/>
              <w:ind w:firstLine="0" w:firstLineChars="0"/>
              <w:jc w:val="center"/>
              <w:rPr>
                <w:color w:val="auto"/>
                <w:sz w:val="21"/>
                <w:szCs w:val="21"/>
              </w:rPr>
            </w:pPr>
            <w:r>
              <w:rPr>
                <w:rFonts w:hint="eastAsia"/>
                <w:color w:val="auto"/>
                <w:sz w:val="21"/>
                <w:szCs w:val="21"/>
              </w:rPr>
              <w:t>废机油</w:t>
            </w:r>
          </w:p>
        </w:tc>
        <w:tc>
          <w:tcPr>
            <w:tcW w:w="3841" w:type="dxa"/>
            <w:tcBorders>
              <w:tl2br w:val="nil"/>
              <w:tr2bl w:val="nil"/>
            </w:tcBorders>
            <w:vAlign w:val="center"/>
          </w:tcPr>
          <w:p w14:paraId="2291A981">
            <w:pPr>
              <w:spacing w:line="240" w:lineRule="auto"/>
              <w:ind w:firstLine="0" w:firstLineChars="0"/>
              <w:jc w:val="center"/>
              <w:rPr>
                <w:color w:val="auto"/>
                <w:sz w:val="21"/>
                <w:szCs w:val="21"/>
              </w:rPr>
            </w:pPr>
            <w:r>
              <w:rPr>
                <w:rFonts w:hint="eastAsia"/>
                <w:color w:val="auto"/>
                <w:sz w:val="21"/>
                <w:szCs w:val="21"/>
              </w:rPr>
              <w:t>遇明火、高热能引起火灾事故，产生CO、SO</w:t>
            </w:r>
            <w:r>
              <w:rPr>
                <w:rFonts w:hint="eastAsia"/>
                <w:color w:val="auto"/>
                <w:sz w:val="21"/>
                <w:szCs w:val="21"/>
                <w:vertAlign w:val="subscript"/>
              </w:rPr>
              <w:t>2</w:t>
            </w:r>
            <w:r>
              <w:rPr>
                <w:rFonts w:hint="eastAsia"/>
                <w:color w:val="auto"/>
                <w:sz w:val="21"/>
                <w:szCs w:val="21"/>
              </w:rPr>
              <w:t>等有害燃烧物质。</w:t>
            </w:r>
          </w:p>
        </w:tc>
      </w:tr>
      <w:tr w14:paraId="3028E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dxa"/>
            <w:tcBorders>
              <w:tl2br w:val="nil"/>
              <w:tr2bl w:val="nil"/>
            </w:tcBorders>
            <w:vAlign w:val="center"/>
          </w:tcPr>
          <w:p w14:paraId="7EC4351B">
            <w:pPr>
              <w:spacing w:line="240" w:lineRule="auto"/>
              <w:ind w:firstLine="0" w:firstLineChars="0"/>
              <w:jc w:val="center"/>
              <w:rPr>
                <w:color w:val="auto"/>
                <w:sz w:val="21"/>
                <w:szCs w:val="21"/>
              </w:rPr>
            </w:pPr>
            <w:r>
              <w:rPr>
                <w:rFonts w:hint="eastAsia"/>
                <w:color w:val="auto"/>
                <w:sz w:val="21"/>
                <w:szCs w:val="21"/>
              </w:rPr>
              <w:t>事件三</w:t>
            </w:r>
          </w:p>
        </w:tc>
        <w:tc>
          <w:tcPr>
            <w:tcW w:w="1973" w:type="dxa"/>
            <w:tcBorders>
              <w:tl2br w:val="nil"/>
              <w:tr2bl w:val="nil"/>
            </w:tcBorders>
            <w:vAlign w:val="center"/>
          </w:tcPr>
          <w:p w14:paraId="483650D5">
            <w:pPr>
              <w:spacing w:line="240" w:lineRule="auto"/>
              <w:ind w:firstLine="0" w:firstLineChars="0"/>
              <w:jc w:val="center"/>
              <w:rPr>
                <w:color w:val="auto"/>
                <w:sz w:val="21"/>
                <w:szCs w:val="21"/>
              </w:rPr>
            </w:pPr>
            <w:r>
              <w:rPr>
                <w:rFonts w:hint="eastAsia"/>
                <w:color w:val="auto"/>
                <w:sz w:val="21"/>
                <w:szCs w:val="21"/>
              </w:rPr>
              <w:t>违法排污</w:t>
            </w:r>
          </w:p>
        </w:tc>
        <w:tc>
          <w:tcPr>
            <w:tcW w:w="1305" w:type="dxa"/>
            <w:tcBorders>
              <w:tl2br w:val="nil"/>
              <w:tr2bl w:val="nil"/>
            </w:tcBorders>
            <w:vAlign w:val="center"/>
          </w:tcPr>
          <w:p w14:paraId="66C7D750">
            <w:pPr>
              <w:spacing w:line="240" w:lineRule="auto"/>
              <w:ind w:firstLine="0" w:firstLineChars="0"/>
              <w:jc w:val="center"/>
              <w:rPr>
                <w:color w:val="auto"/>
                <w:sz w:val="21"/>
                <w:szCs w:val="21"/>
              </w:rPr>
            </w:pPr>
            <w:r>
              <w:rPr>
                <w:rFonts w:hint="eastAsia"/>
                <w:color w:val="auto"/>
                <w:sz w:val="21"/>
                <w:szCs w:val="21"/>
              </w:rPr>
              <w:t>/</w:t>
            </w:r>
          </w:p>
        </w:tc>
        <w:tc>
          <w:tcPr>
            <w:tcW w:w="1250" w:type="dxa"/>
            <w:tcBorders>
              <w:tl2br w:val="nil"/>
              <w:tr2bl w:val="nil"/>
            </w:tcBorders>
            <w:vAlign w:val="center"/>
          </w:tcPr>
          <w:p w14:paraId="1B9C1366">
            <w:pPr>
              <w:spacing w:line="240" w:lineRule="auto"/>
              <w:ind w:firstLine="0" w:firstLineChars="0"/>
              <w:jc w:val="center"/>
              <w:rPr>
                <w:color w:val="auto"/>
                <w:sz w:val="21"/>
                <w:szCs w:val="21"/>
              </w:rPr>
            </w:pPr>
            <w:r>
              <w:rPr>
                <w:rFonts w:hint="eastAsia"/>
                <w:color w:val="auto"/>
                <w:sz w:val="21"/>
                <w:szCs w:val="21"/>
              </w:rPr>
              <w:t>/</w:t>
            </w:r>
          </w:p>
        </w:tc>
        <w:tc>
          <w:tcPr>
            <w:tcW w:w="3841" w:type="dxa"/>
            <w:tcBorders>
              <w:tl2br w:val="nil"/>
              <w:tr2bl w:val="nil"/>
            </w:tcBorders>
            <w:vAlign w:val="center"/>
          </w:tcPr>
          <w:p w14:paraId="4DA0E2C8">
            <w:pPr>
              <w:spacing w:line="240" w:lineRule="auto"/>
              <w:ind w:firstLine="0" w:firstLineChars="0"/>
              <w:jc w:val="center"/>
              <w:rPr>
                <w:color w:val="auto"/>
                <w:sz w:val="21"/>
                <w:szCs w:val="21"/>
              </w:rPr>
            </w:pPr>
            <w:r>
              <w:rPr>
                <w:rFonts w:hint="eastAsia"/>
                <w:color w:val="auto"/>
                <w:sz w:val="21"/>
                <w:szCs w:val="21"/>
              </w:rPr>
              <w:t>污染物外排到区域环境，影响周围环境质量</w:t>
            </w:r>
          </w:p>
        </w:tc>
      </w:tr>
      <w:tr w14:paraId="6B083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dxa"/>
            <w:tcBorders>
              <w:tl2br w:val="nil"/>
              <w:tr2bl w:val="nil"/>
            </w:tcBorders>
            <w:vAlign w:val="center"/>
          </w:tcPr>
          <w:p w14:paraId="2CDA77C0">
            <w:pPr>
              <w:spacing w:line="240" w:lineRule="auto"/>
              <w:ind w:firstLine="0" w:firstLineChars="0"/>
              <w:jc w:val="center"/>
              <w:rPr>
                <w:color w:val="auto"/>
                <w:sz w:val="21"/>
                <w:szCs w:val="21"/>
              </w:rPr>
            </w:pPr>
            <w:r>
              <w:rPr>
                <w:rFonts w:hint="eastAsia"/>
                <w:color w:val="auto"/>
                <w:sz w:val="21"/>
                <w:szCs w:val="21"/>
              </w:rPr>
              <w:t>事件四</w:t>
            </w:r>
          </w:p>
        </w:tc>
        <w:tc>
          <w:tcPr>
            <w:tcW w:w="1973" w:type="dxa"/>
            <w:tcBorders>
              <w:tl2br w:val="nil"/>
              <w:tr2bl w:val="nil"/>
            </w:tcBorders>
            <w:vAlign w:val="center"/>
          </w:tcPr>
          <w:p w14:paraId="5430CB3A">
            <w:pPr>
              <w:spacing w:line="240" w:lineRule="auto"/>
              <w:ind w:firstLine="0" w:firstLineChars="0"/>
              <w:jc w:val="center"/>
              <w:rPr>
                <w:color w:val="auto"/>
                <w:sz w:val="21"/>
                <w:szCs w:val="21"/>
              </w:rPr>
            </w:pPr>
            <w:r>
              <w:rPr>
                <w:rFonts w:hint="eastAsia"/>
                <w:color w:val="auto"/>
                <w:sz w:val="21"/>
                <w:szCs w:val="21"/>
              </w:rPr>
              <w:t>各种自然灾害、极端天气或不利气象条件</w:t>
            </w:r>
          </w:p>
        </w:tc>
        <w:tc>
          <w:tcPr>
            <w:tcW w:w="1305" w:type="dxa"/>
            <w:tcBorders>
              <w:tl2br w:val="nil"/>
              <w:tr2bl w:val="nil"/>
            </w:tcBorders>
            <w:shd w:val="clear" w:color="auto" w:fill="auto"/>
            <w:vAlign w:val="center"/>
          </w:tcPr>
          <w:p w14:paraId="6EF15F09">
            <w:pPr>
              <w:spacing w:line="240" w:lineRule="auto"/>
              <w:ind w:firstLine="0" w:firstLineChars="0"/>
              <w:jc w:val="center"/>
              <w:rPr>
                <w:color w:val="auto"/>
                <w:sz w:val="21"/>
                <w:szCs w:val="21"/>
              </w:rPr>
            </w:pPr>
            <w:r>
              <w:rPr>
                <w:rFonts w:hint="eastAsia"/>
                <w:color w:val="auto"/>
                <w:sz w:val="21"/>
                <w:szCs w:val="21"/>
              </w:rPr>
              <w:t>/</w:t>
            </w:r>
          </w:p>
        </w:tc>
        <w:tc>
          <w:tcPr>
            <w:tcW w:w="1250" w:type="dxa"/>
            <w:tcBorders>
              <w:tl2br w:val="nil"/>
              <w:tr2bl w:val="nil"/>
            </w:tcBorders>
            <w:shd w:val="clear" w:color="auto" w:fill="auto"/>
            <w:vAlign w:val="center"/>
          </w:tcPr>
          <w:p w14:paraId="3CD7DCD9">
            <w:pPr>
              <w:spacing w:line="240" w:lineRule="auto"/>
              <w:ind w:firstLine="0" w:firstLineChars="0"/>
              <w:jc w:val="center"/>
              <w:rPr>
                <w:color w:val="auto"/>
                <w:sz w:val="21"/>
                <w:szCs w:val="21"/>
              </w:rPr>
            </w:pPr>
            <w:r>
              <w:rPr>
                <w:rFonts w:hint="eastAsia"/>
                <w:color w:val="auto"/>
                <w:sz w:val="21"/>
                <w:szCs w:val="21"/>
              </w:rPr>
              <w:t>/</w:t>
            </w:r>
          </w:p>
        </w:tc>
        <w:tc>
          <w:tcPr>
            <w:tcW w:w="3841" w:type="dxa"/>
            <w:tcBorders>
              <w:tl2br w:val="nil"/>
              <w:tr2bl w:val="nil"/>
            </w:tcBorders>
            <w:vAlign w:val="center"/>
          </w:tcPr>
          <w:p w14:paraId="40403EFC">
            <w:pPr>
              <w:spacing w:line="240" w:lineRule="auto"/>
              <w:ind w:firstLine="0" w:firstLineChars="0"/>
              <w:rPr>
                <w:color w:val="auto"/>
                <w:sz w:val="21"/>
                <w:szCs w:val="21"/>
              </w:rPr>
            </w:pPr>
            <w:r>
              <w:rPr>
                <w:rFonts w:hint="eastAsia"/>
                <w:color w:val="auto"/>
                <w:sz w:val="21"/>
                <w:szCs w:val="21"/>
              </w:rPr>
              <w:t>在汛期，厂房内可能会出现雨水淹没的情况，物料经雨水管网进入外环境，造成环境污染。</w:t>
            </w:r>
          </w:p>
          <w:p w14:paraId="7BBD0E54">
            <w:pPr>
              <w:spacing w:line="240" w:lineRule="auto"/>
              <w:ind w:firstLine="0" w:firstLineChars="0"/>
              <w:rPr>
                <w:color w:val="auto"/>
                <w:sz w:val="21"/>
                <w:szCs w:val="21"/>
              </w:rPr>
            </w:pPr>
            <w:r>
              <w:rPr>
                <w:rFonts w:hint="eastAsia"/>
                <w:color w:val="auto"/>
                <w:sz w:val="21"/>
                <w:szCs w:val="21"/>
              </w:rPr>
              <w:t>强台风期条件下，可能造成物料输送管道或设备的损坏，发生物料泄漏，造成环境污染事件，也可能发生雨水淹没的情况，物料经雨水管网进入外环境，造成环境污染。</w:t>
            </w:r>
          </w:p>
          <w:p w14:paraId="1EDBA2FB">
            <w:pPr>
              <w:spacing w:line="240" w:lineRule="auto"/>
              <w:ind w:firstLine="0" w:firstLineChars="0"/>
              <w:rPr>
                <w:color w:val="auto"/>
                <w:sz w:val="21"/>
                <w:szCs w:val="21"/>
              </w:rPr>
            </w:pPr>
            <w:r>
              <w:rPr>
                <w:rFonts w:hint="eastAsia"/>
                <w:color w:val="auto"/>
                <w:sz w:val="21"/>
                <w:szCs w:val="21"/>
              </w:rPr>
              <w:t>地震条件下，可能造成泄漏损坏等情况，造成物料泄漏，发生火灾等。</w:t>
            </w:r>
          </w:p>
        </w:tc>
      </w:tr>
    </w:tbl>
    <w:p w14:paraId="345C1B6E">
      <w:pPr>
        <w:ind w:firstLine="480"/>
        <w:rPr>
          <w:color w:val="auto"/>
        </w:rPr>
      </w:pPr>
      <w:r>
        <w:rPr>
          <w:rFonts w:hint="eastAsia"/>
          <w:color w:val="auto"/>
        </w:rPr>
        <w:t>现有项目最大可信事故为：机油泄漏事故。泄漏后遇明火源引起火灾事故，造成危害。</w:t>
      </w:r>
    </w:p>
    <w:p w14:paraId="4C950AB9">
      <w:pPr>
        <w:pStyle w:val="1356"/>
        <w:spacing w:before="120" w:beforeLines="50"/>
        <w:ind w:firstLine="0" w:firstLineChars="0"/>
        <w:jc w:val="left"/>
        <w:outlineLvl w:val="3"/>
        <w:rPr>
          <w:b/>
          <w:color w:val="auto"/>
        </w:rPr>
      </w:pPr>
      <w:r>
        <w:rPr>
          <w:rFonts w:hint="eastAsia"/>
          <w:b/>
          <w:color w:val="auto"/>
        </w:rPr>
        <w:t>3</w:t>
      </w:r>
      <w:r>
        <w:rPr>
          <w:b/>
          <w:color w:val="auto"/>
        </w:rPr>
        <w:t>.1.4.</w:t>
      </w:r>
      <w:r>
        <w:rPr>
          <w:rFonts w:hint="eastAsia"/>
          <w:b/>
          <w:color w:val="auto"/>
        </w:rPr>
        <w:t>3</w:t>
      </w:r>
      <w:r>
        <w:rPr>
          <w:b/>
          <w:color w:val="auto"/>
        </w:rPr>
        <w:t xml:space="preserve"> </w:t>
      </w:r>
      <w:r>
        <w:rPr>
          <w:rFonts w:hint="eastAsia"/>
          <w:b/>
          <w:color w:val="auto"/>
        </w:rPr>
        <w:t>现有项目环境风险可接受水平</w:t>
      </w:r>
    </w:p>
    <w:p w14:paraId="0CC94B27">
      <w:pPr>
        <w:ind w:firstLine="480"/>
        <w:rPr>
          <w:color w:val="auto"/>
        </w:rPr>
      </w:pPr>
      <w:r>
        <w:rPr>
          <w:rFonts w:hint="eastAsia"/>
          <w:color w:val="auto"/>
        </w:rPr>
        <w:t>现有项目最大可信事故为危废库废机油泄漏和原料库中的机油泄漏引起的火灾事故。一道新材科技（连云港）有限公司现有项目的环境风险防范主体责任明确，并已采取的风险防范措施基本可行，在落实本次环境风险评估报告提出的各项措施后，从环境风险评估的角度看，现有项目运营的环境风险可以接受。</w:t>
      </w:r>
    </w:p>
    <w:p w14:paraId="2154D8E2">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4.2</w:t>
      </w:r>
      <w:r>
        <w:rPr>
          <w:b/>
          <w:bCs/>
          <w:color w:val="auto"/>
          <w:sz w:val="28"/>
          <w:szCs w:val="36"/>
        </w:rPr>
        <w:t xml:space="preserve"> </w:t>
      </w:r>
      <w:r>
        <w:rPr>
          <w:rFonts w:hint="eastAsia"/>
          <w:b/>
          <w:bCs/>
          <w:color w:val="auto"/>
          <w:sz w:val="28"/>
          <w:szCs w:val="36"/>
        </w:rPr>
        <w:t>现有项目环境风险防范措施</w:t>
      </w:r>
    </w:p>
    <w:p w14:paraId="4F11150A">
      <w:pPr>
        <w:ind w:firstLine="480"/>
        <w:rPr>
          <w:color w:val="auto"/>
        </w:rPr>
      </w:pPr>
      <w:r>
        <w:rPr>
          <w:rFonts w:hint="eastAsia"/>
          <w:color w:val="auto"/>
        </w:rPr>
        <w:t>现有项目通过建立三级防控体系，关口前移，降低末端风险控制压力，系统提升水环境风险的保障水平，从根本上保障环境安全，实现事故状态下对水环境风险的有效控制，防止生产过程和突发性事故产生的污染物对周围环境污染事故。具体的环境风险防范措施见表3.4-2。</w:t>
      </w:r>
    </w:p>
    <w:p w14:paraId="5D6110A6">
      <w:pPr>
        <w:spacing w:line="240" w:lineRule="auto"/>
        <w:ind w:firstLine="0" w:firstLineChars="0"/>
        <w:jc w:val="center"/>
        <w:rPr>
          <w:b/>
          <w:bCs/>
          <w:color w:val="auto"/>
        </w:rPr>
      </w:pPr>
      <w:r>
        <w:rPr>
          <w:rFonts w:hint="eastAsia"/>
          <w:b/>
          <w:bCs/>
          <w:color w:val="auto"/>
        </w:rPr>
        <w:t>表3.4-2  现有项目环境风险防范措施现状表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196"/>
        <w:gridCol w:w="6599"/>
      </w:tblGrid>
      <w:tr w14:paraId="5AB86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7" w:type="dxa"/>
            <w:gridSpan w:val="2"/>
            <w:tcBorders>
              <w:tl2br w:val="nil"/>
              <w:tr2bl w:val="nil"/>
            </w:tcBorders>
            <w:vAlign w:val="center"/>
          </w:tcPr>
          <w:p w14:paraId="6FC89F59">
            <w:pPr>
              <w:spacing w:line="240" w:lineRule="auto"/>
              <w:ind w:firstLine="0" w:firstLineChars="0"/>
              <w:jc w:val="center"/>
              <w:rPr>
                <w:b/>
                <w:bCs/>
                <w:color w:val="auto"/>
                <w:sz w:val="21"/>
                <w:szCs w:val="21"/>
              </w:rPr>
            </w:pPr>
            <w:r>
              <w:rPr>
                <w:rFonts w:hint="eastAsia"/>
                <w:b/>
                <w:bCs/>
                <w:color w:val="auto"/>
                <w:sz w:val="21"/>
                <w:szCs w:val="21"/>
              </w:rPr>
              <w:t>类别</w:t>
            </w:r>
          </w:p>
        </w:tc>
        <w:tc>
          <w:tcPr>
            <w:tcW w:w="6599" w:type="dxa"/>
            <w:tcBorders>
              <w:tl2br w:val="nil"/>
              <w:tr2bl w:val="nil"/>
            </w:tcBorders>
            <w:vAlign w:val="center"/>
          </w:tcPr>
          <w:p w14:paraId="7E95FA83">
            <w:pPr>
              <w:spacing w:line="240" w:lineRule="auto"/>
              <w:ind w:firstLine="0" w:firstLineChars="0"/>
              <w:jc w:val="center"/>
              <w:rPr>
                <w:b/>
                <w:bCs/>
                <w:color w:val="auto"/>
                <w:sz w:val="21"/>
                <w:szCs w:val="21"/>
              </w:rPr>
            </w:pPr>
            <w:r>
              <w:rPr>
                <w:rFonts w:hint="eastAsia"/>
                <w:b/>
                <w:bCs/>
                <w:color w:val="auto"/>
                <w:sz w:val="21"/>
                <w:szCs w:val="21"/>
              </w:rPr>
              <w:t>风险防范措施</w:t>
            </w:r>
          </w:p>
        </w:tc>
      </w:tr>
      <w:tr w14:paraId="643BB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687" w:type="dxa"/>
            <w:gridSpan w:val="2"/>
            <w:tcBorders>
              <w:tl2br w:val="nil"/>
              <w:tr2bl w:val="nil"/>
            </w:tcBorders>
            <w:vAlign w:val="center"/>
          </w:tcPr>
          <w:p w14:paraId="6EE35FA6">
            <w:pPr>
              <w:spacing w:line="240" w:lineRule="auto"/>
              <w:ind w:firstLine="0" w:firstLineChars="0"/>
              <w:jc w:val="center"/>
              <w:rPr>
                <w:color w:val="auto"/>
                <w:sz w:val="21"/>
                <w:szCs w:val="21"/>
              </w:rPr>
            </w:pPr>
            <w:r>
              <w:rPr>
                <w:rFonts w:hint="eastAsia"/>
                <w:color w:val="auto"/>
                <w:sz w:val="21"/>
                <w:szCs w:val="21"/>
              </w:rPr>
              <w:t>平面布置</w:t>
            </w:r>
          </w:p>
        </w:tc>
        <w:tc>
          <w:tcPr>
            <w:tcW w:w="6599" w:type="dxa"/>
            <w:tcBorders>
              <w:tl2br w:val="nil"/>
              <w:tr2bl w:val="nil"/>
            </w:tcBorders>
            <w:vAlign w:val="center"/>
          </w:tcPr>
          <w:p w14:paraId="23D95918">
            <w:pPr>
              <w:spacing w:line="240" w:lineRule="auto"/>
              <w:ind w:firstLine="0" w:firstLineChars="0"/>
              <w:rPr>
                <w:color w:val="auto"/>
                <w:sz w:val="21"/>
                <w:szCs w:val="21"/>
              </w:rPr>
            </w:pPr>
            <w:r>
              <w:rPr>
                <w:rFonts w:hint="eastAsia"/>
                <w:color w:val="auto"/>
                <w:sz w:val="21"/>
                <w:szCs w:val="21"/>
              </w:rPr>
              <w:t>总图布置满足防火间距、消防道路及通道等要求。装置区四周将设有环形消防车道，每个操作区至少有两个安全出口，且通道上无任何障碍物。</w:t>
            </w:r>
          </w:p>
        </w:tc>
      </w:tr>
      <w:tr w14:paraId="23C2E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7" w:type="dxa"/>
            <w:gridSpan w:val="2"/>
            <w:tcBorders>
              <w:tl2br w:val="nil"/>
              <w:tr2bl w:val="nil"/>
            </w:tcBorders>
            <w:vAlign w:val="center"/>
          </w:tcPr>
          <w:p w14:paraId="61BD2924">
            <w:pPr>
              <w:spacing w:line="240" w:lineRule="auto"/>
              <w:ind w:firstLine="0" w:firstLineChars="0"/>
              <w:jc w:val="center"/>
              <w:rPr>
                <w:color w:val="auto"/>
                <w:sz w:val="21"/>
                <w:szCs w:val="21"/>
              </w:rPr>
            </w:pPr>
            <w:r>
              <w:rPr>
                <w:rFonts w:hint="eastAsia"/>
                <w:color w:val="auto"/>
                <w:sz w:val="21"/>
                <w:szCs w:val="21"/>
              </w:rPr>
              <w:t>生产装置区风险防范措施</w:t>
            </w:r>
          </w:p>
        </w:tc>
        <w:tc>
          <w:tcPr>
            <w:tcW w:w="6599" w:type="dxa"/>
            <w:tcBorders>
              <w:tl2br w:val="nil"/>
              <w:tr2bl w:val="nil"/>
            </w:tcBorders>
            <w:vAlign w:val="center"/>
          </w:tcPr>
          <w:p w14:paraId="30E030F5">
            <w:pPr>
              <w:spacing w:line="240" w:lineRule="auto"/>
              <w:ind w:firstLine="0" w:firstLineChars="0"/>
              <w:rPr>
                <w:color w:val="auto"/>
                <w:sz w:val="21"/>
                <w:szCs w:val="21"/>
              </w:rPr>
            </w:pPr>
            <w:r>
              <w:rPr>
                <w:rFonts w:hint="eastAsia"/>
                <w:color w:val="auto"/>
                <w:sz w:val="21"/>
                <w:szCs w:val="21"/>
              </w:rPr>
              <w:t>项目设计、制造和安装按国家规定的要求进行。</w:t>
            </w:r>
          </w:p>
        </w:tc>
      </w:tr>
      <w:tr w14:paraId="31F79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7" w:type="dxa"/>
            <w:gridSpan w:val="2"/>
            <w:tcBorders>
              <w:tl2br w:val="nil"/>
              <w:tr2bl w:val="nil"/>
            </w:tcBorders>
            <w:vAlign w:val="center"/>
          </w:tcPr>
          <w:p w14:paraId="0786385D">
            <w:pPr>
              <w:spacing w:line="240" w:lineRule="auto"/>
              <w:ind w:firstLine="0" w:firstLineChars="0"/>
              <w:jc w:val="center"/>
              <w:rPr>
                <w:color w:val="auto"/>
                <w:sz w:val="21"/>
                <w:szCs w:val="21"/>
              </w:rPr>
            </w:pPr>
            <w:r>
              <w:rPr>
                <w:rFonts w:hint="eastAsia"/>
                <w:color w:val="auto"/>
                <w:sz w:val="21"/>
                <w:szCs w:val="21"/>
              </w:rPr>
              <w:t>仓储设施风险防范措施</w:t>
            </w:r>
          </w:p>
        </w:tc>
        <w:tc>
          <w:tcPr>
            <w:tcW w:w="6599" w:type="dxa"/>
            <w:tcBorders>
              <w:tl2br w:val="nil"/>
              <w:tr2bl w:val="nil"/>
            </w:tcBorders>
            <w:vAlign w:val="center"/>
          </w:tcPr>
          <w:p w14:paraId="432D0A79">
            <w:pPr>
              <w:spacing w:line="240" w:lineRule="auto"/>
              <w:ind w:firstLine="0" w:firstLineChars="0"/>
              <w:rPr>
                <w:color w:val="auto"/>
                <w:sz w:val="21"/>
                <w:szCs w:val="21"/>
              </w:rPr>
            </w:pPr>
            <w:r>
              <w:rPr>
                <w:rFonts w:hint="eastAsia"/>
                <w:color w:val="auto"/>
                <w:sz w:val="21"/>
                <w:szCs w:val="21"/>
              </w:rPr>
              <w:t>厂区地面均进行硬化处理，防止渗漏；仅设备使用少量机油，油桶内存放并配套防漏垫板；项目为机械加工类，原料及产品为铝制品，不可燃；油类物质灭火使用灭火器。</w:t>
            </w:r>
          </w:p>
        </w:tc>
      </w:tr>
      <w:tr w14:paraId="0AFED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7" w:type="dxa"/>
            <w:gridSpan w:val="2"/>
            <w:tcBorders>
              <w:tl2br w:val="nil"/>
              <w:tr2bl w:val="nil"/>
            </w:tcBorders>
            <w:vAlign w:val="center"/>
          </w:tcPr>
          <w:p w14:paraId="0179434A">
            <w:pPr>
              <w:spacing w:line="240" w:lineRule="auto"/>
              <w:ind w:firstLine="0" w:firstLineChars="0"/>
              <w:jc w:val="center"/>
              <w:rPr>
                <w:color w:val="auto"/>
                <w:sz w:val="21"/>
                <w:szCs w:val="21"/>
              </w:rPr>
            </w:pPr>
            <w:r>
              <w:rPr>
                <w:rFonts w:hint="eastAsia"/>
                <w:color w:val="auto"/>
                <w:sz w:val="21"/>
                <w:szCs w:val="21"/>
              </w:rPr>
              <w:t>危废存储区风险防范措施</w:t>
            </w:r>
          </w:p>
        </w:tc>
        <w:tc>
          <w:tcPr>
            <w:tcW w:w="6599" w:type="dxa"/>
            <w:tcBorders>
              <w:tl2br w:val="nil"/>
              <w:tr2bl w:val="nil"/>
            </w:tcBorders>
            <w:vAlign w:val="center"/>
          </w:tcPr>
          <w:p w14:paraId="24171513">
            <w:pPr>
              <w:spacing w:line="240" w:lineRule="auto"/>
              <w:ind w:firstLine="0" w:firstLineChars="0"/>
              <w:rPr>
                <w:color w:val="auto"/>
                <w:sz w:val="21"/>
                <w:szCs w:val="21"/>
              </w:rPr>
            </w:pPr>
            <w:r>
              <w:rPr>
                <w:rFonts w:hint="eastAsia"/>
                <w:color w:val="auto"/>
                <w:sz w:val="21"/>
                <w:szCs w:val="21"/>
              </w:rPr>
              <w:t>1、厂区内危险废物暂存场地严格按照《危险废物贮存污染控制》（GB18597-2023）的要求设置和管理；</w:t>
            </w:r>
          </w:p>
          <w:p w14:paraId="24902D4E">
            <w:pPr>
              <w:spacing w:line="240" w:lineRule="auto"/>
              <w:ind w:firstLine="0" w:firstLineChars="0"/>
              <w:rPr>
                <w:color w:val="auto"/>
                <w:sz w:val="21"/>
                <w:szCs w:val="21"/>
              </w:rPr>
            </w:pPr>
            <w:r>
              <w:rPr>
                <w:rFonts w:hint="eastAsia"/>
                <w:color w:val="auto"/>
                <w:sz w:val="21"/>
                <w:szCs w:val="21"/>
              </w:rPr>
              <w:t>2、厂区建立危险废物台账管理制度，跟踪记录危险废物在企业内部运转的整个流程，与生产记录相结合，建立危险废物台账。</w:t>
            </w:r>
          </w:p>
          <w:p w14:paraId="4A26DF8A">
            <w:pPr>
              <w:spacing w:line="240" w:lineRule="auto"/>
              <w:ind w:firstLine="0" w:firstLineChars="0"/>
              <w:rPr>
                <w:color w:val="auto"/>
                <w:sz w:val="21"/>
                <w:szCs w:val="21"/>
              </w:rPr>
            </w:pPr>
            <w:r>
              <w:rPr>
                <w:rFonts w:hint="eastAsia"/>
                <w:color w:val="auto"/>
                <w:sz w:val="21"/>
                <w:szCs w:val="21"/>
              </w:rPr>
              <w:t>3.对危险废物的容器和包装物以及收集、贮存、运输、处置危险废物的设施、场所，设置危险废物识别标志。</w:t>
            </w:r>
          </w:p>
          <w:p w14:paraId="505A9D4B">
            <w:pPr>
              <w:spacing w:line="240" w:lineRule="auto"/>
              <w:ind w:firstLine="0" w:firstLineChars="0"/>
              <w:rPr>
                <w:color w:val="auto"/>
                <w:sz w:val="21"/>
                <w:szCs w:val="21"/>
              </w:rPr>
            </w:pPr>
            <w:r>
              <w:rPr>
                <w:rFonts w:hint="eastAsia"/>
                <w:color w:val="auto"/>
                <w:sz w:val="21"/>
                <w:szCs w:val="21"/>
              </w:rPr>
              <w:t>4.定期对所贮存的危险废物包装容器及贮存设施进行检查，发现破损及时采取措施清理更换。</w:t>
            </w:r>
          </w:p>
          <w:p w14:paraId="3F511479">
            <w:pPr>
              <w:spacing w:line="240" w:lineRule="auto"/>
              <w:ind w:firstLine="0" w:firstLineChars="0"/>
              <w:rPr>
                <w:color w:val="auto"/>
                <w:sz w:val="21"/>
                <w:szCs w:val="21"/>
              </w:rPr>
            </w:pPr>
            <w:r>
              <w:rPr>
                <w:rFonts w:hint="eastAsia"/>
                <w:color w:val="auto"/>
                <w:sz w:val="21"/>
                <w:szCs w:val="21"/>
              </w:rPr>
              <w:t>5.危废暂存库严格执行防火制度，配备一定数量的灭火器材。</w:t>
            </w:r>
          </w:p>
          <w:p w14:paraId="248B31B6">
            <w:pPr>
              <w:spacing w:line="240" w:lineRule="auto"/>
              <w:ind w:firstLine="0" w:firstLineChars="0"/>
              <w:rPr>
                <w:color w:val="auto"/>
                <w:sz w:val="21"/>
                <w:szCs w:val="21"/>
              </w:rPr>
            </w:pPr>
            <w:r>
              <w:rPr>
                <w:rFonts w:hint="eastAsia"/>
                <w:color w:val="auto"/>
                <w:sz w:val="21"/>
                <w:szCs w:val="21"/>
              </w:rPr>
              <w:t>6.危废暂存库设置远程影像监控系统，及时发现风险。</w:t>
            </w:r>
          </w:p>
        </w:tc>
      </w:tr>
      <w:tr w14:paraId="1E104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7" w:type="dxa"/>
            <w:gridSpan w:val="2"/>
            <w:tcBorders>
              <w:tl2br w:val="nil"/>
              <w:tr2bl w:val="nil"/>
            </w:tcBorders>
            <w:vAlign w:val="center"/>
          </w:tcPr>
          <w:p w14:paraId="6EC17C99">
            <w:pPr>
              <w:spacing w:line="240" w:lineRule="auto"/>
              <w:ind w:firstLine="0" w:firstLineChars="0"/>
              <w:jc w:val="center"/>
              <w:rPr>
                <w:color w:val="auto"/>
                <w:sz w:val="21"/>
                <w:szCs w:val="21"/>
              </w:rPr>
            </w:pPr>
            <w:r>
              <w:rPr>
                <w:rFonts w:hint="eastAsia"/>
                <w:color w:val="auto"/>
                <w:sz w:val="21"/>
                <w:szCs w:val="21"/>
              </w:rPr>
              <w:t>运输过程风险防范措施</w:t>
            </w:r>
          </w:p>
        </w:tc>
        <w:tc>
          <w:tcPr>
            <w:tcW w:w="6599" w:type="dxa"/>
            <w:tcBorders>
              <w:tl2br w:val="nil"/>
              <w:tr2bl w:val="nil"/>
            </w:tcBorders>
            <w:vAlign w:val="center"/>
          </w:tcPr>
          <w:p w14:paraId="0FD5F478">
            <w:pPr>
              <w:spacing w:line="240" w:lineRule="auto"/>
              <w:ind w:firstLine="0" w:firstLineChars="0"/>
              <w:rPr>
                <w:color w:val="auto"/>
                <w:sz w:val="21"/>
                <w:szCs w:val="21"/>
              </w:rPr>
            </w:pPr>
            <w:r>
              <w:rPr>
                <w:rFonts w:hint="eastAsia"/>
                <w:color w:val="auto"/>
                <w:sz w:val="21"/>
                <w:szCs w:val="21"/>
              </w:rPr>
              <w:t>企业已按照安全管理制度和操作规程，组织作业。</w:t>
            </w:r>
          </w:p>
        </w:tc>
      </w:tr>
      <w:tr w14:paraId="65282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1" w:type="dxa"/>
            <w:tcBorders>
              <w:tl2br w:val="nil"/>
              <w:tr2bl w:val="nil"/>
            </w:tcBorders>
            <w:vAlign w:val="center"/>
          </w:tcPr>
          <w:p w14:paraId="72AEB273">
            <w:pPr>
              <w:spacing w:line="240" w:lineRule="auto"/>
              <w:ind w:firstLine="0" w:firstLineChars="0"/>
              <w:jc w:val="center"/>
              <w:rPr>
                <w:color w:val="auto"/>
                <w:sz w:val="21"/>
                <w:szCs w:val="21"/>
              </w:rPr>
            </w:pPr>
            <w:r>
              <w:rPr>
                <w:color w:val="auto"/>
                <w:sz w:val="21"/>
                <w:szCs w:val="21"/>
              </w:rPr>
              <w:t>环保设施风险防范措施</w:t>
            </w:r>
          </w:p>
        </w:tc>
        <w:tc>
          <w:tcPr>
            <w:tcW w:w="1196" w:type="dxa"/>
            <w:tcBorders>
              <w:tl2br w:val="nil"/>
              <w:tr2bl w:val="nil"/>
            </w:tcBorders>
            <w:vAlign w:val="center"/>
          </w:tcPr>
          <w:p w14:paraId="3300E621">
            <w:pPr>
              <w:spacing w:line="240" w:lineRule="auto"/>
              <w:ind w:firstLine="0" w:firstLineChars="0"/>
              <w:jc w:val="center"/>
              <w:rPr>
                <w:color w:val="auto"/>
                <w:sz w:val="21"/>
                <w:szCs w:val="21"/>
              </w:rPr>
            </w:pPr>
            <w:r>
              <w:rPr>
                <w:rFonts w:hint="eastAsia"/>
                <w:color w:val="auto"/>
                <w:sz w:val="21"/>
                <w:szCs w:val="21"/>
              </w:rPr>
              <w:t>废水污染事故防范措施</w:t>
            </w:r>
          </w:p>
        </w:tc>
        <w:tc>
          <w:tcPr>
            <w:tcW w:w="6599" w:type="dxa"/>
            <w:tcBorders>
              <w:tl2br w:val="nil"/>
              <w:tr2bl w:val="nil"/>
            </w:tcBorders>
            <w:vAlign w:val="center"/>
          </w:tcPr>
          <w:p w14:paraId="44895FAC">
            <w:pPr>
              <w:spacing w:line="240" w:lineRule="auto"/>
              <w:ind w:firstLine="0" w:firstLineChars="0"/>
              <w:rPr>
                <w:color w:val="auto"/>
                <w:sz w:val="21"/>
                <w:szCs w:val="21"/>
              </w:rPr>
            </w:pPr>
            <w:r>
              <w:rPr>
                <w:rFonts w:hint="eastAsia"/>
                <w:color w:val="auto"/>
                <w:sz w:val="21"/>
                <w:szCs w:val="21"/>
              </w:rPr>
              <w:t>现有项目废水主要为生活污水，生活污水经化粪池处理后接管开发区临港污水处理厂处理。雨水通过天沟、雨水斗、雨落管排放至厂区雨水管网，道路雨水以辅以雨水口和埋地管道收集，厂区不涉及危险化学品，无挥发性物质，未设立初期雨水池。</w:t>
            </w:r>
          </w:p>
        </w:tc>
      </w:tr>
    </w:tbl>
    <w:p w14:paraId="4F9DDBCC">
      <w:pPr>
        <w:keepNext/>
        <w:keepLines/>
        <w:spacing w:before="120" w:beforeLines="50"/>
        <w:ind w:firstLine="0" w:firstLineChars="0"/>
        <w:outlineLvl w:val="2"/>
        <w:rPr>
          <w:b/>
          <w:bCs/>
          <w:color w:val="auto"/>
          <w:sz w:val="28"/>
          <w:szCs w:val="36"/>
        </w:rPr>
      </w:pPr>
      <w:r>
        <w:rPr>
          <w:b/>
          <w:bCs/>
          <w:color w:val="auto"/>
          <w:sz w:val="28"/>
          <w:szCs w:val="36"/>
        </w:rPr>
        <w:t>3.</w:t>
      </w:r>
      <w:r>
        <w:rPr>
          <w:rFonts w:hint="eastAsia"/>
          <w:b/>
          <w:bCs/>
          <w:color w:val="auto"/>
          <w:sz w:val="28"/>
          <w:szCs w:val="36"/>
        </w:rPr>
        <w:t>4.3</w:t>
      </w:r>
      <w:r>
        <w:rPr>
          <w:b/>
          <w:bCs/>
          <w:color w:val="auto"/>
          <w:sz w:val="28"/>
          <w:szCs w:val="36"/>
        </w:rPr>
        <w:t xml:space="preserve"> </w:t>
      </w:r>
      <w:r>
        <w:rPr>
          <w:rFonts w:hint="eastAsia"/>
          <w:b/>
          <w:bCs/>
          <w:color w:val="auto"/>
          <w:sz w:val="28"/>
          <w:szCs w:val="36"/>
        </w:rPr>
        <w:t>应急预案实施及演练情况</w:t>
      </w:r>
    </w:p>
    <w:p w14:paraId="76060C8E">
      <w:pPr>
        <w:ind w:firstLine="480"/>
        <w:rPr>
          <w:color w:val="auto"/>
        </w:rPr>
      </w:pPr>
      <w:r>
        <w:rPr>
          <w:rFonts w:hint="eastAsia"/>
          <w:color w:val="auto"/>
        </w:rPr>
        <w:t>一道新材科技（连云港）有限公司</w:t>
      </w:r>
      <w:r>
        <w:rPr>
          <w:color w:val="auto"/>
        </w:rPr>
        <w:t>按照国家规定编制了《突发环境事件应急预案》等，从组织机构及职责、预防与报警、信息报告与通报、应急响应与措施、后期处置、应急培训和演练等方面做应急规定，并于全厂范围内一年一次开展应急演练。</w:t>
      </w:r>
    </w:p>
    <w:p w14:paraId="611C8F8E">
      <w:pPr>
        <w:ind w:firstLine="480"/>
        <w:rPr>
          <w:color w:val="auto"/>
        </w:rPr>
      </w:pPr>
      <w:r>
        <w:rPr>
          <w:rFonts w:hint="eastAsia"/>
          <w:color w:val="auto"/>
        </w:rPr>
        <w:t>企业</w:t>
      </w:r>
      <w:r>
        <w:rPr>
          <w:color w:val="auto"/>
        </w:rPr>
        <w:t>现有应急器材配备情况见表3.</w:t>
      </w:r>
      <w:r>
        <w:rPr>
          <w:rFonts w:hint="eastAsia"/>
          <w:color w:val="auto"/>
        </w:rPr>
        <w:t>4-3</w:t>
      </w:r>
      <w:r>
        <w:rPr>
          <w:color w:val="auto"/>
        </w:rPr>
        <w:t>。</w:t>
      </w:r>
    </w:p>
    <w:p w14:paraId="1FBC310D">
      <w:pPr>
        <w:spacing w:line="240" w:lineRule="auto"/>
        <w:ind w:firstLine="0" w:firstLineChars="0"/>
        <w:jc w:val="center"/>
        <w:rPr>
          <w:b/>
          <w:bCs/>
          <w:color w:val="auto"/>
        </w:rPr>
      </w:pPr>
      <w:r>
        <w:rPr>
          <w:rFonts w:hint="eastAsia"/>
          <w:b/>
          <w:bCs/>
          <w:color w:val="auto"/>
        </w:rPr>
        <w:t>表3.4-3  现有项目主要应急救援设备、器材及其分布</w:t>
      </w:r>
    </w:p>
    <w:tbl>
      <w:tblPr>
        <w:tblStyle w:val="8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2429"/>
        <w:gridCol w:w="1857"/>
        <w:gridCol w:w="1857"/>
        <w:gridCol w:w="1857"/>
      </w:tblGrid>
      <w:tr w14:paraId="37615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11B279DF">
            <w:pPr>
              <w:spacing w:line="240" w:lineRule="auto"/>
              <w:ind w:firstLine="0" w:firstLineChars="0"/>
              <w:jc w:val="center"/>
              <w:rPr>
                <w:b/>
                <w:bCs/>
                <w:color w:val="auto"/>
                <w:sz w:val="21"/>
                <w:szCs w:val="20"/>
              </w:rPr>
            </w:pPr>
            <w:r>
              <w:rPr>
                <w:rFonts w:hint="eastAsia"/>
                <w:b/>
                <w:bCs/>
                <w:color w:val="auto"/>
                <w:sz w:val="21"/>
                <w:szCs w:val="20"/>
              </w:rPr>
              <w:t>序号</w:t>
            </w:r>
          </w:p>
        </w:tc>
        <w:tc>
          <w:tcPr>
            <w:tcW w:w="1308" w:type="pct"/>
            <w:tcBorders>
              <w:tl2br w:val="nil"/>
              <w:tr2bl w:val="nil"/>
            </w:tcBorders>
            <w:vAlign w:val="center"/>
          </w:tcPr>
          <w:p w14:paraId="06FA11B1">
            <w:pPr>
              <w:spacing w:line="240" w:lineRule="auto"/>
              <w:ind w:firstLine="0" w:firstLineChars="0"/>
              <w:jc w:val="center"/>
              <w:rPr>
                <w:b/>
                <w:bCs/>
                <w:color w:val="auto"/>
                <w:sz w:val="21"/>
                <w:szCs w:val="20"/>
              </w:rPr>
            </w:pPr>
            <w:r>
              <w:rPr>
                <w:rFonts w:hint="eastAsia"/>
                <w:b/>
                <w:bCs/>
                <w:color w:val="auto"/>
                <w:sz w:val="21"/>
                <w:szCs w:val="20"/>
              </w:rPr>
              <w:t>设备名称</w:t>
            </w:r>
          </w:p>
        </w:tc>
        <w:tc>
          <w:tcPr>
            <w:tcW w:w="1000" w:type="pct"/>
            <w:tcBorders>
              <w:tl2br w:val="nil"/>
              <w:tr2bl w:val="nil"/>
            </w:tcBorders>
            <w:vAlign w:val="center"/>
          </w:tcPr>
          <w:p w14:paraId="42857730">
            <w:pPr>
              <w:spacing w:line="240" w:lineRule="auto"/>
              <w:ind w:firstLine="0" w:firstLineChars="0"/>
              <w:jc w:val="center"/>
              <w:rPr>
                <w:b/>
                <w:bCs/>
                <w:color w:val="auto"/>
                <w:sz w:val="21"/>
                <w:szCs w:val="20"/>
              </w:rPr>
            </w:pPr>
            <w:r>
              <w:rPr>
                <w:rFonts w:hint="eastAsia"/>
                <w:b/>
                <w:bCs/>
                <w:color w:val="auto"/>
                <w:sz w:val="21"/>
                <w:szCs w:val="20"/>
              </w:rPr>
              <w:t>用途</w:t>
            </w:r>
          </w:p>
        </w:tc>
        <w:tc>
          <w:tcPr>
            <w:tcW w:w="1000" w:type="pct"/>
            <w:tcBorders>
              <w:tl2br w:val="nil"/>
              <w:tr2bl w:val="nil"/>
            </w:tcBorders>
            <w:vAlign w:val="center"/>
          </w:tcPr>
          <w:p w14:paraId="153A35A5">
            <w:pPr>
              <w:spacing w:line="240" w:lineRule="auto"/>
              <w:ind w:firstLine="0" w:firstLineChars="0"/>
              <w:jc w:val="center"/>
              <w:rPr>
                <w:b/>
                <w:bCs/>
                <w:color w:val="auto"/>
                <w:sz w:val="21"/>
                <w:szCs w:val="20"/>
              </w:rPr>
            </w:pPr>
            <w:r>
              <w:rPr>
                <w:rFonts w:hint="eastAsia"/>
                <w:b/>
                <w:bCs/>
                <w:color w:val="auto"/>
                <w:sz w:val="21"/>
                <w:szCs w:val="20"/>
              </w:rPr>
              <w:t>配置地点</w:t>
            </w:r>
          </w:p>
        </w:tc>
        <w:tc>
          <w:tcPr>
            <w:tcW w:w="1000" w:type="pct"/>
            <w:tcBorders>
              <w:tl2br w:val="nil"/>
              <w:tr2bl w:val="nil"/>
            </w:tcBorders>
            <w:vAlign w:val="center"/>
          </w:tcPr>
          <w:p w14:paraId="7528C02C">
            <w:pPr>
              <w:spacing w:line="240" w:lineRule="auto"/>
              <w:ind w:firstLine="0" w:firstLineChars="0"/>
              <w:jc w:val="center"/>
              <w:rPr>
                <w:b/>
                <w:bCs/>
                <w:color w:val="auto"/>
                <w:sz w:val="21"/>
                <w:szCs w:val="20"/>
              </w:rPr>
            </w:pPr>
            <w:r>
              <w:rPr>
                <w:rFonts w:hint="eastAsia"/>
                <w:b/>
                <w:bCs/>
                <w:color w:val="auto"/>
                <w:sz w:val="21"/>
                <w:szCs w:val="20"/>
              </w:rPr>
              <w:t>数量（只/套）</w:t>
            </w:r>
          </w:p>
        </w:tc>
      </w:tr>
      <w:tr w14:paraId="2282D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2B8F860D">
            <w:pPr>
              <w:spacing w:line="240" w:lineRule="auto"/>
              <w:ind w:firstLine="0" w:firstLineChars="0"/>
              <w:jc w:val="center"/>
              <w:rPr>
                <w:color w:val="auto"/>
                <w:sz w:val="21"/>
                <w:szCs w:val="20"/>
              </w:rPr>
            </w:pPr>
            <w:r>
              <w:rPr>
                <w:rFonts w:hint="eastAsia"/>
                <w:color w:val="auto"/>
                <w:sz w:val="21"/>
                <w:szCs w:val="20"/>
              </w:rPr>
              <w:t>1</w:t>
            </w:r>
          </w:p>
        </w:tc>
        <w:tc>
          <w:tcPr>
            <w:tcW w:w="1308" w:type="pct"/>
            <w:tcBorders>
              <w:tl2br w:val="nil"/>
              <w:tr2bl w:val="nil"/>
            </w:tcBorders>
            <w:vAlign w:val="center"/>
          </w:tcPr>
          <w:p w14:paraId="3C165B9E">
            <w:pPr>
              <w:spacing w:line="240" w:lineRule="auto"/>
              <w:ind w:firstLine="0" w:firstLineChars="0"/>
              <w:jc w:val="center"/>
              <w:rPr>
                <w:color w:val="auto"/>
                <w:sz w:val="21"/>
                <w:szCs w:val="20"/>
              </w:rPr>
            </w:pPr>
            <w:r>
              <w:rPr>
                <w:rFonts w:hint="eastAsia"/>
                <w:color w:val="auto"/>
                <w:sz w:val="21"/>
                <w:szCs w:val="20"/>
              </w:rPr>
              <w:t>喇叭</w:t>
            </w:r>
          </w:p>
        </w:tc>
        <w:tc>
          <w:tcPr>
            <w:tcW w:w="1000" w:type="pct"/>
            <w:tcBorders>
              <w:tl2br w:val="nil"/>
              <w:tr2bl w:val="nil"/>
            </w:tcBorders>
            <w:vAlign w:val="center"/>
          </w:tcPr>
          <w:p w14:paraId="40C58D65">
            <w:pPr>
              <w:spacing w:line="240" w:lineRule="auto"/>
              <w:ind w:firstLine="0" w:firstLineChars="0"/>
              <w:jc w:val="center"/>
              <w:rPr>
                <w:color w:val="auto"/>
                <w:sz w:val="21"/>
                <w:szCs w:val="20"/>
              </w:rPr>
            </w:pPr>
            <w:r>
              <w:rPr>
                <w:rFonts w:hint="eastAsia"/>
                <w:color w:val="auto"/>
                <w:sz w:val="21"/>
                <w:szCs w:val="20"/>
              </w:rPr>
              <w:t>应急通信和指挥</w:t>
            </w:r>
          </w:p>
        </w:tc>
        <w:tc>
          <w:tcPr>
            <w:tcW w:w="1000" w:type="pct"/>
            <w:tcBorders>
              <w:tl2br w:val="nil"/>
              <w:tr2bl w:val="nil"/>
            </w:tcBorders>
            <w:vAlign w:val="center"/>
          </w:tcPr>
          <w:p w14:paraId="75CE4317">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04F0BCAD">
            <w:pPr>
              <w:spacing w:line="240" w:lineRule="auto"/>
              <w:ind w:firstLine="0" w:firstLineChars="0"/>
              <w:jc w:val="center"/>
              <w:rPr>
                <w:color w:val="auto"/>
                <w:sz w:val="21"/>
                <w:szCs w:val="20"/>
              </w:rPr>
            </w:pPr>
            <w:r>
              <w:rPr>
                <w:rFonts w:hint="eastAsia"/>
                <w:color w:val="auto"/>
                <w:sz w:val="21"/>
                <w:szCs w:val="20"/>
              </w:rPr>
              <w:t>1</w:t>
            </w:r>
          </w:p>
        </w:tc>
      </w:tr>
      <w:tr w14:paraId="4AF34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11161BD5">
            <w:pPr>
              <w:spacing w:line="240" w:lineRule="auto"/>
              <w:ind w:firstLine="0" w:firstLineChars="0"/>
              <w:jc w:val="center"/>
              <w:rPr>
                <w:color w:val="auto"/>
                <w:sz w:val="21"/>
                <w:szCs w:val="20"/>
              </w:rPr>
            </w:pPr>
            <w:r>
              <w:rPr>
                <w:rFonts w:hint="eastAsia"/>
                <w:color w:val="auto"/>
                <w:sz w:val="21"/>
                <w:szCs w:val="20"/>
              </w:rPr>
              <w:t>2</w:t>
            </w:r>
          </w:p>
        </w:tc>
        <w:tc>
          <w:tcPr>
            <w:tcW w:w="1308" w:type="pct"/>
            <w:tcBorders>
              <w:tl2br w:val="nil"/>
              <w:tr2bl w:val="nil"/>
            </w:tcBorders>
            <w:vAlign w:val="center"/>
          </w:tcPr>
          <w:p w14:paraId="18366A69">
            <w:pPr>
              <w:spacing w:line="240" w:lineRule="auto"/>
              <w:ind w:firstLine="0" w:firstLineChars="0"/>
              <w:jc w:val="center"/>
              <w:rPr>
                <w:color w:val="auto"/>
                <w:sz w:val="21"/>
                <w:szCs w:val="20"/>
              </w:rPr>
            </w:pPr>
            <w:r>
              <w:rPr>
                <w:rFonts w:hint="eastAsia"/>
                <w:color w:val="auto"/>
                <w:sz w:val="21"/>
                <w:szCs w:val="20"/>
              </w:rPr>
              <w:t>手提式CO</w:t>
            </w:r>
            <w:r>
              <w:rPr>
                <w:rFonts w:hint="eastAsia"/>
                <w:color w:val="auto"/>
                <w:sz w:val="21"/>
                <w:szCs w:val="20"/>
                <w:vertAlign w:val="subscript"/>
              </w:rPr>
              <w:t>2</w:t>
            </w:r>
            <w:r>
              <w:rPr>
                <w:rFonts w:hint="eastAsia"/>
                <w:color w:val="auto"/>
                <w:sz w:val="21"/>
                <w:szCs w:val="20"/>
              </w:rPr>
              <w:t>灭火器</w:t>
            </w:r>
          </w:p>
        </w:tc>
        <w:tc>
          <w:tcPr>
            <w:tcW w:w="1000" w:type="pct"/>
            <w:tcBorders>
              <w:tl2br w:val="nil"/>
              <w:tr2bl w:val="nil"/>
            </w:tcBorders>
            <w:vAlign w:val="center"/>
          </w:tcPr>
          <w:p w14:paraId="7A9D022D">
            <w:pPr>
              <w:spacing w:line="240" w:lineRule="auto"/>
              <w:ind w:firstLine="0" w:firstLineChars="0"/>
              <w:jc w:val="center"/>
              <w:rPr>
                <w:color w:val="auto"/>
                <w:sz w:val="21"/>
                <w:szCs w:val="20"/>
              </w:rPr>
            </w:pPr>
            <w:r>
              <w:rPr>
                <w:rFonts w:hint="eastAsia"/>
                <w:color w:val="auto"/>
                <w:sz w:val="21"/>
                <w:szCs w:val="20"/>
              </w:rPr>
              <w:t>灭火</w:t>
            </w:r>
          </w:p>
        </w:tc>
        <w:tc>
          <w:tcPr>
            <w:tcW w:w="1000" w:type="pct"/>
            <w:tcBorders>
              <w:tl2br w:val="nil"/>
              <w:tr2bl w:val="nil"/>
            </w:tcBorders>
            <w:vAlign w:val="center"/>
          </w:tcPr>
          <w:p w14:paraId="746975DA">
            <w:pPr>
              <w:spacing w:line="240" w:lineRule="auto"/>
              <w:ind w:firstLine="0" w:firstLineChars="0"/>
              <w:jc w:val="center"/>
              <w:rPr>
                <w:color w:val="auto"/>
                <w:sz w:val="21"/>
                <w:szCs w:val="20"/>
              </w:rPr>
            </w:pPr>
            <w:r>
              <w:rPr>
                <w:rFonts w:hint="eastAsia"/>
                <w:color w:val="auto"/>
                <w:sz w:val="21"/>
                <w:szCs w:val="20"/>
              </w:rPr>
              <w:t>厂房</w:t>
            </w:r>
          </w:p>
        </w:tc>
        <w:tc>
          <w:tcPr>
            <w:tcW w:w="1000" w:type="pct"/>
            <w:tcBorders>
              <w:tl2br w:val="nil"/>
              <w:tr2bl w:val="nil"/>
            </w:tcBorders>
            <w:vAlign w:val="center"/>
          </w:tcPr>
          <w:p w14:paraId="0CDB0FA1">
            <w:pPr>
              <w:spacing w:line="240" w:lineRule="auto"/>
              <w:ind w:firstLine="0" w:firstLineChars="0"/>
              <w:jc w:val="center"/>
              <w:rPr>
                <w:color w:val="auto"/>
                <w:sz w:val="21"/>
                <w:szCs w:val="20"/>
              </w:rPr>
            </w:pPr>
            <w:r>
              <w:rPr>
                <w:rFonts w:hint="eastAsia"/>
                <w:color w:val="auto"/>
                <w:sz w:val="21"/>
                <w:szCs w:val="20"/>
              </w:rPr>
              <w:t>12</w:t>
            </w:r>
          </w:p>
        </w:tc>
      </w:tr>
      <w:tr w14:paraId="7A7BF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722FC0D0">
            <w:pPr>
              <w:spacing w:line="240" w:lineRule="auto"/>
              <w:ind w:firstLine="0" w:firstLineChars="0"/>
              <w:jc w:val="center"/>
              <w:rPr>
                <w:color w:val="auto"/>
                <w:sz w:val="21"/>
                <w:szCs w:val="20"/>
              </w:rPr>
            </w:pPr>
            <w:r>
              <w:rPr>
                <w:rFonts w:hint="eastAsia"/>
                <w:color w:val="auto"/>
                <w:sz w:val="21"/>
                <w:szCs w:val="20"/>
              </w:rPr>
              <w:t>3</w:t>
            </w:r>
          </w:p>
        </w:tc>
        <w:tc>
          <w:tcPr>
            <w:tcW w:w="1308" w:type="pct"/>
            <w:tcBorders>
              <w:tl2br w:val="nil"/>
              <w:tr2bl w:val="nil"/>
            </w:tcBorders>
            <w:vAlign w:val="center"/>
          </w:tcPr>
          <w:p w14:paraId="2D04E59F">
            <w:pPr>
              <w:spacing w:line="240" w:lineRule="auto"/>
              <w:ind w:firstLine="0" w:firstLineChars="0"/>
              <w:jc w:val="center"/>
              <w:rPr>
                <w:color w:val="auto"/>
                <w:sz w:val="21"/>
                <w:szCs w:val="20"/>
              </w:rPr>
            </w:pPr>
            <w:r>
              <w:rPr>
                <w:color w:val="auto"/>
                <w:sz w:val="21"/>
                <w:szCs w:val="20"/>
              </w:rPr>
              <w:t>手提式干粉灭火器</w:t>
            </w:r>
          </w:p>
        </w:tc>
        <w:tc>
          <w:tcPr>
            <w:tcW w:w="1000" w:type="pct"/>
            <w:tcBorders>
              <w:tl2br w:val="nil"/>
              <w:tr2bl w:val="nil"/>
            </w:tcBorders>
            <w:vAlign w:val="center"/>
          </w:tcPr>
          <w:p w14:paraId="2FE9DA8E">
            <w:pPr>
              <w:spacing w:line="240" w:lineRule="auto"/>
              <w:ind w:firstLine="0" w:firstLineChars="0"/>
              <w:jc w:val="center"/>
              <w:rPr>
                <w:color w:val="auto"/>
                <w:sz w:val="21"/>
                <w:szCs w:val="20"/>
              </w:rPr>
            </w:pPr>
            <w:r>
              <w:rPr>
                <w:rFonts w:hint="eastAsia"/>
                <w:color w:val="auto"/>
                <w:sz w:val="21"/>
                <w:szCs w:val="20"/>
              </w:rPr>
              <w:t>灭火</w:t>
            </w:r>
          </w:p>
        </w:tc>
        <w:tc>
          <w:tcPr>
            <w:tcW w:w="1000" w:type="pct"/>
            <w:tcBorders>
              <w:tl2br w:val="nil"/>
              <w:tr2bl w:val="nil"/>
            </w:tcBorders>
            <w:vAlign w:val="center"/>
          </w:tcPr>
          <w:p w14:paraId="3972529A">
            <w:pPr>
              <w:spacing w:line="240" w:lineRule="auto"/>
              <w:ind w:firstLine="0" w:firstLineChars="0"/>
              <w:jc w:val="center"/>
              <w:rPr>
                <w:color w:val="auto"/>
                <w:sz w:val="21"/>
                <w:szCs w:val="20"/>
              </w:rPr>
            </w:pPr>
            <w:r>
              <w:rPr>
                <w:color w:val="auto"/>
                <w:sz w:val="21"/>
                <w:szCs w:val="20"/>
              </w:rPr>
              <w:t>厂房、办公楼、危废库</w:t>
            </w:r>
          </w:p>
        </w:tc>
        <w:tc>
          <w:tcPr>
            <w:tcW w:w="1000" w:type="pct"/>
            <w:tcBorders>
              <w:tl2br w:val="nil"/>
              <w:tr2bl w:val="nil"/>
            </w:tcBorders>
            <w:vAlign w:val="center"/>
          </w:tcPr>
          <w:p w14:paraId="71D7AFB0">
            <w:pPr>
              <w:spacing w:line="240" w:lineRule="auto"/>
              <w:ind w:firstLine="0" w:firstLineChars="0"/>
              <w:jc w:val="center"/>
              <w:rPr>
                <w:color w:val="auto"/>
                <w:sz w:val="21"/>
                <w:szCs w:val="20"/>
              </w:rPr>
            </w:pPr>
            <w:r>
              <w:rPr>
                <w:rFonts w:hint="eastAsia"/>
                <w:color w:val="auto"/>
                <w:sz w:val="21"/>
                <w:szCs w:val="20"/>
              </w:rPr>
              <w:t>18</w:t>
            </w:r>
          </w:p>
        </w:tc>
      </w:tr>
      <w:tr w14:paraId="63E22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89" w:type="pct"/>
            <w:tcBorders>
              <w:tl2br w:val="nil"/>
              <w:tr2bl w:val="nil"/>
            </w:tcBorders>
            <w:vAlign w:val="center"/>
          </w:tcPr>
          <w:p w14:paraId="012592A7">
            <w:pPr>
              <w:spacing w:line="240" w:lineRule="auto"/>
              <w:ind w:firstLine="0" w:firstLineChars="0"/>
              <w:jc w:val="center"/>
              <w:rPr>
                <w:color w:val="auto"/>
                <w:sz w:val="21"/>
                <w:szCs w:val="20"/>
              </w:rPr>
            </w:pPr>
            <w:r>
              <w:rPr>
                <w:rFonts w:hint="eastAsia"/>
                <w:color w:val="auto"/>
                <w:sz w:val="21"/>
                <w:szCs w:val="20"/>
              </w:rPr>
              <w:t>4</w:t>
            </w:r>
          </w:p>
        </w:tc>
        <w:tc>
          <w:tcPr>
            <w:tcW w:w="1308" w:type="pct"/>
            <w:tcBorders>
              <w:tl2br w:val="nil"/>
              <w:tr2bl w:val="nil"/>
            </w:tcBorders>
            <w:vAlign w:val="center"/>
          </w:tcPr>
          <w:p w14:paraId="1977C472">
            <w:pPr>
              <w:spacing w:line="240" w:lineRule="auto"/>
              <w:ind w:firstLine="0" w:firstLineChars="0"/>
              <w:jc w:val="center"/>
              <w:rPr>
                <w:color w:val="auto"/>
                <w:sz w:val="21"/>
                <w:szCs w:val="20"/>
              </w:rPr>
            </w:pPr>
            <w:r>
              <w:rPr>
                <w:color w:val="auto"/>
                <w:sz w:val="21"/>
                <w:szCs w:val="20"/>
              </w:rPr>
              <w:t>室内消火栓</w:t>
            </w:r>
          </w:p>
        </w:tc>
        <w:tc>
          <w:tcPr>
            <w:tcW w:w="1000" w:type="pct"/>
            <w:tcBorders>
              <w:tl2br w:val="nil"/>
              <w:tr2bl w:val="nil"/>
            </w:tcBorders>
            <w:vAlign w:val="center"/>
          </w:tcPr>
          <w:p w14:paraId="22B81099">
            <w:pPr>
              <w:spacing w:line="240" w:lineRule="auto"/>
              <w:ind w:firstLine="0" w:firstLineChars="0"/>
              <w:jc w:val="center"/>
              <w:rPr>
                <w:color w:val="auto"/>
                <w:sz w:val="21"/>
                <w:szCs w:val="20"/>
              </w:rPr>
            </w:pPr>
            <w:r>
              <w:rPr>
                <w:rFonts w:hint="eastAsia"/>
                <w:color w:val="auto"/>
                <w:sz w:val="21"/>
                <w:szCs w:val="20"/>
              </w:rPr>
              <w:t>灭火</w:t>
            </w:r>
          </w:p>
        </w:tc>
        <w:tc>
          <w:tcPr>
            <w:tcW w:w="1000" w:type="pct"/>
            <w:tcBorders>
              <w:tl2br w:val="nil"/>
              <w:tr2bl w:val="nil"/>
            </w:tcBorders>
            <w:vAlign w:val="center"/>
          </w:tcPr>
          <w:p w14:paraId="0A6191FE">
            <w:pPr>
              <w:spacing w:line="240" w:lineRule="auto"/>
              <w:ind w:firstLine="0" w:firstLineChars="0"/>
              <w:jc w:val="center"/>
              <w:rPr>
                <w:color w:val="auto"/>
                <w:sz w:val="21"/>
                <w:szCs w:val="20"/>
              </w:rPr>
            </w:pPr>
            <w:r>
              <w:rPr>
                <w:rFonts w:hint="eastAsia"/>
                <w:color w:val="auto"/>
                <w:sz w:val="21"/>
                <w:szCs w:val="20"/>
              </w:rPr>
              <w:t>办公楼</w:t>
            </w:r>
          </w:p>
        </w:tc>
        <w:tc>
          <w:tcPr>
            <w:tcW w:w="1000" w:type="pct"/>
            <w:tcBorders>
              <w:tl2br w:val="nil"/>
              <w:tr2bl w:val="nil"/>
            </w:tcBorders>
            <w:vAlign w:val="center"/>
          </w:tcPr>
          <w:p w14:paraId="5C2A7548">
            <w:pPr>
              <w:spacing w:line="240" w:lineRule="auto"/>
              <w:ind w:firstLine="0" w:firstLineChars="0"/>
              <w:jc w:val="center"/>
              <w:rPr>
                <w:color w:val="auto"/>
                <w:sz w:val="21"/>
                <w:szCs w:val="20"/>
              </w:rPr>
            </w:pPr>
            <w:r>
              <w:rPr>
                <w:rFonts w:hint="eastAsia"/>
                <w:color w:val="auto"/>
                <w:sz w:val="21"/>
                <w:szCs w:val="20"/>
              </w:rPr>
              <w:t>18</w:t>
            </w:r>
          </w:p>
        </w:tc>
      </w:tr>
      <w:tr w14:paraId="46EA7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7748DA0B">
            <w:pPr>
              <w:spacing w:line="240" w:lineRule="auto"/>
              <w:ind w:firstLine="0" w:firstLineChars="0"/>
              <w:jc w:val="center"/>
              <w:rPr>
                <w:color w:val="auto"/>
                <w:sz w:val="21"/>
                <w:szCs w:val="20"/>
              </w:rPr>
            </w:pPr>
            <w:r>
              <w:rPr>
                <w:rFonts w:hint="eastAsia"/>
                <w:color w:val="auto"/>
                <w:sz w:val="21"/>
                <w:szCs w:val="20"/>
              </w:rPr>
              <w:t>5</w:t>
            </w:r>
          </w:p>
        </w:tc>
        <w:tc>
          <w:tcPr>
            <w:tcW w:w="1308" w:type="pct"/>
            <w:tcBorders>
              <w:tl2br w:val="nil"/>
              <w:tr2bl w:val="nil"/>
            </w:tcBorders>
            <w:vAlign w:val="center"/>
          </w:tcPr>
          <w:p w14:paraId="40E1D38E">
            <w:pPr>
              <w:spacing w:line="240" w:lineRule="auto"/>
              <w:ind w:firstLine="0" w:firstLineChars="0"/>
              <w:jc w:val="center"/>
              <w:rPr>
                <w:color w:val="auto"/>
                <w:sz w:val="21"/>
                <w:szCs w:val="20"/>
              </w:rPr>
            </w:pPr>
            <w:r>
              <w:rPr>
                <w:color w:val="auto"/>
                <w:sz w:val="21"/>
                <w:szCs w:val="20"/>
              </w:rPr>
              <w:t>室内消火栓</w:t>
            </w:r>
          </w:p>
        </w:tc>
        <w:tc>
          <w:tcPr>
            <w:tcW w:w="1000" w:type="pct"/>
            <w:tcBorders>
              <w:tl2br w:val="nil"/>
              <w:tr2bl w:val="nil"/>
            </w:tcBorders>
            <w:vAlign w:val="center"/>
          </w:tcPr>
          <w:p w14:paraId="327DB64B">
            <w:pPr>
              <w:spacing w:line="240" w:lineRule="auto"/>
              <w:ind w:firstLine="0" w:firstLineChars="0"/>
              <w:jc w:val="center"/>
              <w:rPr>
                <w:color w:val="auto"/>
                <w:sz w:val="21"/>
                <w:szCs w:val="20"/>
              </w:rPr>
            </w:pPr>
            <w:r>
              <w:rPr>
                <w:rFonts w:hint="eastAsia"/>
                <w:color w:val="auto"/>
                <w:sz w:val="21"/>
                <w:szCs w:val="20"/>
              </w:rPr>
              <w:t>灭火</w:t>
            </w:r>
          </w:p>
        </w:tc>
        <w:tc>
          <w:tcPr>
            <w:tcW w:w="1000" w:type="pct"/>
            <w:tcBorders>
              <w:tl2br w:val="nil"/>
              <w:tr2bl w:val="nil"/>
            </w:tcBorders>
            <w:vAlign w:val="center"/>
          </w:tcPr>
          <w:p w14:paraId="1BC72E92">
            <w:pPr>
              <w:spacing w:line="240" w:lineRule="auto"/>
              <w:ind w:firstLine="0" w:firstLineChars="0"/>
              <w:jc w:val="center"/>
              <w:rPr>
                <w:color w:val="auto"/>
                <w:sz w:val="21"/>
                <w:szCs w:val="20"/>
              </w:rPr>
            </w:pPr>
            <w:r>
              <w:rPr>
                <w:rFonts w:hint="eastAsia"/>
                <w:color w:val="auto"/>
                <w:sz w:val="21"/>
                <w:szCs w:val="20"/>
              </w:rPr>
              <w:t>厂房</w:t>
            </w:r>
          </w:p>
        </w:tc>
        <w:tc>
          <w:tcPr>
            <w:tcW w:w="1000" w:type="pct"/>
            <w:tcBorders>
              <w:tl2br w:val="nil"/>
              <w:tr2bl w:val="nil"/>
            </w:tcBorders>
            <w:vAlign w:val="center"/>
          </w:tcPr>
          <w:p w14:paraId="435249EA">
            <w:pPr>
              <w:spacing w:line="240" w:lineRule="auto"/>
              <w:ind w:firstLine="0" w:firstLineChars="0"/>
              <w:jc w:val="center"/>
              <w:rPr>
                <w:color w:val="auto"/>
                <w:sz w:val="21"/>
                <w:szCs w:val="20"/>
              </w:rPr>
            </w:pPr>
            <w:r>
              <w:rPr>
                <w:rFonts w:hint="eastAsia"/>
                <w:color w:val="auto"/>
                <w:sz w:val="21"/>
                <w:szCs w:val="20"/>
              </w:rPr>
              <w:t>4</w:t>
            </w:r>
          </w:p>
        </w:tc>
      </w:tr>
      <w:tr w14:paraId="407AE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2CBD3364">
            <w:pPr>
              <w:spacing w:line="240" w:lineRule="auto"/>
              <w:ind w:firstLine="0" w:firstLineChars="0"/>
              <w:jc w:val="center"/>
              <w:rPr>
                <w:color w:val="auto"/>
                <w:sz w:val="21"/>
                <w:szCs w:val="20"/>
              </w:rPr>
            </w:pPr>
            <w:r>
              <w:rPr>
                <w:rFonts w:hint="eastAsia"/>
                <w:color w:val="auto"/>
                <w:sz w:val="21"/>
                <w:szCs w:val="20"/>
              </w:rPr>
              <w:t>6</w:t>
            </w:r>
          </w:p>
        </w:tc>
        <w:tc>
          <w:tcPr>
            <w:tcW w:w="1308" w:type="pct"/>
            <w:tcBorders>
              <w:tl2br w:val="nil"/>
              <w:tr2bl w:val="nil"/>
            </w:tcBorders>
            <w:vAlign w:val="center"/>
          </w:tcPr>
          <w:p w14:paraId="71694E8E">
            <w:pPr>
              <w:spacing w:line="240" w:lineRule="auto"/>
              <w:ind w:firstLine="0" w:firstLineChars="0"/>
              <w:jc w:val="center"/>
              <w:rPr>
                <w:color w:val="auto"/>
                <w:sz w:val="21"/>
                <w:szCs w:val="20"/>
              </w:rPr>
            </w:pPr>
            <w:r>
              <w:rPr>
                <w:color w:val="auto"/>
                <w:sz w:val="21"/>
                <w:szCs w:val="20"/>
              </w:rPr>
              <w:t>应急照明灯</w:t>
            </w:r>
          </w:p>
        </w:tc>
        <w:tc>
          <w:tcPr>
            <w:tcW w:w="1000" w:type="pct"/>
            <w:tcBorders>
              <w:tl2br w:val="nil"/>
              <w:tr2bl w:val="nil"/>
            </w:tcBorders>
            <w:vAlign w:val="center"/>
          </w:tcPr>
          <w:p w14:paraId="6FF78582">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vAlign w:val="center"/>
          </w:tcPr>
          <w:p w14:paraId="05C9CA09">
            <w:pPr>
              <w:spacing w:line="240" w:lineRule="auto"/>
              <w:ind w:firstLine="0" w:firstLineChars="0"/>
              <w:jc w:val="center"/>
              <w:rPr>
                <w:color w:val="auto"/>
                <w:sz w:val="21"/>
                <w:szCs w:val="20"/>
              </w:rPr>
            </w:pPr>
            <w:r>
              <w:rPr>
                <w:rFonts w:hint="eastAsia"/>
                <w:color w:val="auto"/>
                <w:sz w:val="21"/>
                <w:szCs w:val="20"/>
              </w:rPr>
              <w:t>厂房</w:t>
            </w:r>
          </w:p>
        </w:tc>
        <w:tc>
          <w:tcPr>
            <w:tcW w:w="1000" w:type="pct"/>
            <w:tcBorders>
              <w:tl2br w:val="nil"/>
              <w:tr2bl w:val="nil"/>
            </w:tcBorders>
            <w:vAlign w:val="center"/>
          </w:tcPr>
          <w:p w14:paraId="29586DD9">
            <w:pPr>
              <w:spacing w:line="240" w:lineRule="auto"/>
              <w:ind w:firstLine="0" w:firstLineChars="0"/>
              <w:jc w:val="center"/>
              <w:rPr>
                <w:color w:val="auto"/>
                <w:sz w:val="21"/>
                <w:szCs w:val="20"/>
              </w:rPr>
            </w:pPr>
            <w:r>
              <w:rPr>
                <w:rFonts w:hint="eastAsia"/>
                <w:color w:val="auto"/>
                <w:sz w:val="21"/>
                <w:szCs w:val="20"/>
              </w:rPr>
              <w:t>5</w:t>
            </w:r>
          </w:p>
        </w:tc>
      </w:tr>
      <w:tr w14:paraId="7A221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89" w:type="pct"/>
            <w:tcBorders>
              <w:tl2br w:val="nil"/>
              <w:tr2bl w:val="nil"/>
            </w:tcBorders>
            <w:vAlign w:val="center"/>
          </w:tcPr>
          <w:p w14:paraId="463A8D27">
            <w:pPr>
              <w:spacing w:line="240" w:lineRule="auto"/>
              <w:ind w:firstLine="0" w:firstLineChars="0"/>
              <w:jc w:val="center"/>
              <w:rPr>
                <w:color w:val="auto"/>
                <w:sz w:val="21"/>
                <w:szCs w:val="20"/>
              </w:rPr>
            </w:pPr>
            <w:r>
              <w:rPr>
                <w:rFonts w:hint="eastAsia"/>
                <w:color w:val="auto"/>
                <w:sz w:val="21"/>
                <w:szCs w:val="20"/>
              </w:rPr>
              <w:t>7</w:t>
            </w:r>
          </w:p>
        </w:tc>
        <w:tc>
          <w:tcPr>
            <w:tcW w:w="1308" w:type="pct"/>
            <w:tcBorders>
              <w:tl2br w:val="nil"/>
              <w:tr2bl w:val="nil"/>
            </w:tcBorders>
            <w:vAlign w:val="center"/>
          </w:tcPr>
          <w:p w14:paraId="4F45DAE6">
            <w:pPr>
              <w:spacing w:line="240" w:lineRule="auto"/>
              <w:ind w:firstLine="0" w:firstLineChars="0"/>
              <w:jc w:val="center"/>
              <w:rPr>
                <w:color w:val="auto"/>
                <w:sz w:val="21"/>
                <w:szCs w:val="20"/>
              </w:rPr>
            </w:pPr>
            <w:r>
              <w:rPr>
                <w:color w:val="auto"/>
                <w:sz w:val="21"/>
                <w:szCs w:val="20"/>
              </w:rPr>
              <w:t>安全帽</w:t>
            </w:r>
          </w:p>
        </w:tc>
        <w:tc>
          <w:tcPr>
            <w:tcW w:w="1000" w:type="pct"/>
            <w:tcBorders>
              <w:tl2br w:val="nil"/>
              <w:tr2bl w:val="nil"/>
            </w:tcBorders>
            <w:vAlign w:val="center"/>
          </w:tcPr>
          <w:p w14:paraId="45EB7934">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vAlign w:val="center"/>
          </w:tcPr>
          <w:p w14:paraId="75959CF3">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07B3070C">
            <w:pPr>
              <w:spacing w:line="240" w:lineRule="auto"/>
              <w:ind w:firstLine="0" w:firstLineChars="0"/>
              <w:jc w:val="center"/>
              <w:rPr>
                <w:color w:val="auto"/>
                <w:sz w:val="21"/>
                <w:szCs w:val="20"/>
              </w:rPr>
            </w:pPr>
            <w:r>
              <w:rPr>
                <w:rFonts w:hint="eastAsia"/>
                <w:color w:val="auto"/>
                <w:sz w:val="21"/>
                <w:szCs w:val="20"/>
              </w:rPr>
              <w:t>4</w:t>
            </w:r>
          </w:p>
        </w:tc>
      </w:tr>
      <w:tr w14:paraId="21156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0928ACD9">
            <w:pPr>
              <w:spacing w:line="240" w:lineRule="auto"/>
              <w:ind w:firstLine="0" w:firstLineChars="0"/>
              <w:jc w:val="center"/>
              <w:rPr>
                <w:color w:val="auto"/>
                <w:sz w:val="21"/>
                <w:szCs w:val="20"/>
              </w:rPr>
            </w:pPr>
            <w:r>
              <w:rPr>
                <w:rFonts w:hint="eastAsia"/>
                <w:color w:val="auto"/>
                <w:sz w:val="21"/>
                <w:szCs w:val="20"/>
              </w:rPr>
              <w:t>8</w:t>
            </w:r>
          </w:p>
        </w:tc>
        <w:tc>
          <w:tcPr>
            <w:tcW w:w="1308" w:type="pct"/>
            <w:tcBorders>
              <w:tl2br w:val="nil"/>
              <w:tr2bl w:val="nil"/>
            </w:tcBorders>
            <w:vAlign w:val="center"/>
          </w:tcPr>
          <w:p w14:paraId="787BA41F">
            <w:pPr>
              <w:spacing w:line="240" w:lineRule="auto"/>
              <w:ind w:firstLine="0" w:firstLineChars="0"/>
              <w:jc w:val="center"/>
              <w:rPr>
                <w:color w:val="auto"/>
                <w:sz w:val="21"/>
                <w:szCs w:val="20"/>
              </w:rPr>
            </w:pPr>
            <w:r>
              <w:rPr>
                <w:rFonts w:hint="eastAsia"/>
                <w:color w:val="auto"/>
                <w:sz w:val="21"/>
                <w:szCs w:val="20"/>
              </w:rPr>
              <w:t>防护服（整套）</w:t>
            </w:r>
          </w:p>
        </w:tc>
        <w:tc>
          <w:tcPr>
            <w:tcW w:w="1000" w:type="pct"/>
            <w:tcBorders>
              <w:tl2br w:val="nil"/>
              <w:tr2bl w:val="nil"/>
            </w:tcBorders>
            <w:vAlign w:val="center"/>
          </w:tcPr>
          <w:p w14:paraId="3A54284E">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vAlign w:val="center"/>
          </w:tcPr>
          <w:p w14:paraId="499B19AB">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5E348D16">
            <w:pPr>
              <w:spacing w:line="240" w:lineRule="auto"/>
              <w:ind w:firstLine="0" w:firstLineChars="0"/>
              <w:jc w:val="center"/>
              <w:rPr>
                <w:color w:val="auto"/>
                <w:sz w:val="21"/>
                <w:szCs w:val="20"/>
              </w:rPr>
            </w:pPr>
            <w:r>
              <w:rPr>
                <w:rFonts w:hint="eastAsia"/>
                <w:color w:val="auto"/>
                <w:sz w:val="21"/>
                <w:szCs w:val="20"/>
              </w:rPr>
              <w:t>4</w:t>
            </w:r>
          </w:p>
        </w:tc>
      </w:tr>
      <w:tr w14:paraId="58D8C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4D4E12C1">
            <w:pPr>
              <w:spacing w:line="240" w:lineRule="auto"/>
              <w:ind w:firstLine="0" w:firstLineChars="0"/>
              <w:jc w:val="center"/>
              <w:rPr>
                <w:color w:val="auto"/>
                <w:sz w:val="21"/>
                <w:szCs w:val="20"/>
              </w:rPr>
            </w:pPr>
            <w:r>
              <w:rPr>
                <w:rFonts w:hint="eastAsia"/>
                <w:color w:val="auto"/>
                <w:sz w:val="21"/>
                <w:szCs w:val="20"/>
              </w:rPr>
              <w:t>9</w:t>
            </w:r>
          </w:p>
        </w:tc>
        <w:tc>
          <w:tcPr>
            <w:tcW w:w="1308" w:type="pct"/>
            <w:tcBorders>
              <w:tl2br w:val="nil"/>
              <w:tr2bl w:val="nil"/>
            </w:tcBorders>
            <w:vAlign w:val="center"/>
          </w:tcPr>
          <w:p w14:paraId="47326156">
            <w:pPr>
              <w:spacing w:line="240" w:lineRule="auto"/>
              <w:ind w:firstLine="0" w:firstLineChars="0"/>
              <w:jc w:val="center"/>
              <w:rPr>
                <w:color w:val="auto"/>
                <w:sz w:val="21"/>
                <w:szCs w:val="20"/>
              </w:rPr>
            </w:pPr>
            <w:r>
              <w:rPr>
                <w:rFonts w:hint="eastAsia"/>
                <w:color w:val="auto"/>
                <w:sz w:val="21"/>
                <w:szCs w:val="20"/>
              </w:rPr>
              <w:t>面罩</w:t>
            </w:r>
          </w:p>
        </w:tc>
        <w:tc>
          <w:tcPr>
            <w:tcW w:w="1000" w:type="pct"/>
            <w:tcBorders>
              <w:tl2br w:val="nil"/>
              <w:tr2bl w:val="nil"/>
            </w:tcBorders>
            <w:vAlign w:val="center"/>
          </w:tcPr>
          <w:p w14:paraId="72CCF74E">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shd w:val="clear" w:color="auto" w:fill="auto"/>
            <w:vAlign w:val="center"/>
          </w:tcPr>
          <w:p w14:paraId="3C386E16">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5BE41A7B">
            <w:pPr>
              <w:spacing w:line="240" w:lineRule="auto"/>
              <w:ind w:firstLine="0" w:firstLineChars="0"/>
              <w:jc w:val="center"/>
              <w:rPr>
                <w:color w:val="auto"/>
                <w:sz w:val="21"/>
                <w:szCs w:val="20"/>
              </w:rPr>
            </w:pPr>
            <w:r>
              <w:rPr>
                <w:rFonts w:hint="eastAsia"/>
                <w:color w:val="auto"/>
                <w:sz w:val="21"/>
                <w:szCs w:val="20"/>
              </w:rPr>
              <w:t>2</w:t>
            </w:r>
          </w:p>
        </w:tc>
      </w:tr>
      <w:tr w14:paraId="08A30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10723615">
            <w:pPr>
              <w:spacing w:line="240" w:lineRule="auto"/>
              <w:ind w:firstLine="0" w:firstLineChars="0"/>
              <w:jc w:val="center"/>
              <w:rPr>
                <w:color w:val="auto"/>
                <w:sz w:val="21"/>
                <w:szCs w:val="20"/>
              </w:rPr>
            </w:pPr>
            <w:r>
              <w:rPr>
                <w:rFonts w:hint="eastAsia"/>
                <w:color w:val="auto"/>
                <w:sz w:val="21"/>
                <w:szCs w:val="20"/>
              </w:rPr>
              <w:t>11</w:t>
            </w:r>
          </w:p>
        </w:tc>
        <w:tc>
          <w:tcPr>
            <w:tcW w:w="1308" w:type="pct"/>
            <w:tcBorders>
              <w:tl2br w:val="nil"/>
              <w:tr2bl w:val="nil"/>
            </w:tcBorders>
            <w:vAlign w:val="center"/>
          </w:tcPr>
          <w:p w14:paraId="08918B1D">
            <w:pPr>
              <w:spacing w:line="240" w:lineRule="auto"/>
              <w:ind w:firstLine="0" w:firstLineChars="0"/>
              <w:jc w:val="center"/>
              <w:rPr>
                <w:color w:val="auto"/>
                <w:sz w:val="21"/>
                <w:szCs w:val="20"/>
              </w:rPr>
            </w:pPr>
            <w:r>
              <w:rPr>
                <w:rFonts w:hint="eastAsia"/>
                <w:color w:val="auto"/>
                <w:sz w:val="21"/>
                <w:szCs w:val="20"/>
              </w:rPr>
              <w:t>灭火毯</w:t>
            </w:r>
          </w:p>
        </w:tc>
        <w:tc>
          <w:tcPr>
            <w:tcW w:w="1000" w:type="pct"/>
            <w:tcBorders>
              <w:tl2br w:val="nil"/>
              <w:tr2bl w:val="nil"/>
            </w:tcBorders>
            <w:vAlign w:val="center"/>
          </w:tcPr>
          <w:p w14:paraId="529295F3">
            <w:pPr>
              <w:spacing w:line="240" w:lineRule="auto"/>
              <w:ind w:firstLine="0" w:firstLineChars="0"/>
              <w:jc w:val="center"/>
              <w:rPr>
                <w:color w:val="auto"/>
                <w:sz w:val="21"/>
                <w:szCs w:val="20"/>
              </w:rPr>
            </w:pPr>
            <w:r>
              <w:rPr>
                <w:rFonts w:hint="eastAsia"/>
                <w:color w:val="auto"/>
                <w:sz w:val="21"/>
                <w:szCs w:val="20"/>
              </w:rPr>
              <w:t>火灾抢险</w:t>
            </w:r>
          </w:p>
        </w:tc>
        <w:tc>
          <w:tcPr>
            <w:tcW w:w="1000" w:type="pct"/>
            <w:tcBorders>
              <w:tl2br w:val="nil"/>
              <w:tr2bl w:val="nil"/>
            </w:tcBorders>
            <w:shd w:val="clear" w:color="auto" w:fill="auto"/>
            <w:vAlign w:val="center"/>
          </w:tcPr>
          <w:p w14:paraId="5C8F70E1">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05EA4D45">
            <w:pPr>
              <w:spacing w:line="240" w:lineRule="auto"/>
              <w:ind w:firstLine="0" w:firstLineChars="0"/>
              <w:jc w:val="center"/>
              <w:rPr>
                <w:color w:val="auto"/>
                <w:sz w:val="21"/>
                <w:szCs w:val="20"/>
              </w:rPr>
            </w:pPr>
            <w:r>
              <w:rPr>
                <w:rFonts w:hint="eastAsia"/>
                <w:color w:val="auto"/>
                <w:sz w:val="21"/>
                <w:szCs w:val="20"/>
              </w:rPr>
              <w:t>2</w:t>
            </w:r>
          </w:p>
        </w:tc>
      </w:tr>
      <w:tr w14:paraId="4A380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7180D505">
            <w:pPr>
              <w:spacing w:line="240" w:lineRule="auto"/>
              <w:ind w:firstLine="0" w:firstLineChars="0"/>
              <w:jc w:val="center"/>
              <w:rPr>
                <w:color w:val="auto"/>
                <w:sz w:val="21"/>
                <w:szCs w:val="20"/>
              </w:rPr>
            </w:pPr>
            <w:r>
              <w:rPr>
                <w:rFonts w:hint="eastAsia"/>
                <w:color w:val="auto"/>
                <w:sz w:val="21"/>
                <w:szCs w:val="20"/>
              </w:rPr>
              <w:t>12</w:t>
            </w:r>
          </w:p>
        </w:tc>
        <w:tc>
          <w:tcPr>
            <w:tcW w:w="1308" w:type="pct"/>
            <w:tcBorders>
              <w:tl2br w:val="nil"/>
              <w:tr2bl w:val="nil"/>
            </w:tcBorders>
            <w:vAlign w:val="center"/>
          </w:tcPr>
          <w:p w14:paraId="7679031F">
            <w:pPr>
              <w:spacing w:line="240" w:lineRule="auto"/>
              <w:ind w:firstLine="0" w:firstLineChars="0"/>
              <w:jc w:val="center"/>
              <w:rPr>
                <w:color w:val="auto"/>
                <w:sz w:val="21"/>
                <w:szCs w:val="20"/>
              </w:rPr>
            </w:pPr>
            <w:r>
              <w:rPr>
                <w:rFonts w:hint="eastAsia"/>
                <w:color w:val="auto"/>
                <w:sz w:val="21"/>
                <w:szCs w:val="20"/>
              </w:rPr>
              <w:t>安全绳</w:t>
            </w:r>
          </w:p>
        </w:tc>
        <w:tc>
          <w:tcPr>
            <w:tcW w:w="1000" w:type="pct"/>
            <w:tcBorders>
              <w:tl2br w:val="nil"/>
              <w:tr2bl w:val="nil"/>
            </w:tcBorders>
            <w:vAlign w:val="center"/>
          </w:tcPr>
          <w:p w14:paraId="1B79A218">
            <w:pPr>
              <w:spacing w:line="240" w:lineRule="auto"/>
              <w:ind w:firstLine="0" w:firstLineChars="0"/>
              <w:jc w:val="center"/>
              <w:rPr>
                <w:color w:val="auto"/>
                <w:sz w:val="21"/>
                <w:szCs w:val="20"/>
              </w:rPr>
            </w:pPr>
            <w:r>
              <w:rPr>
                <w:rFonts w:hint="eastAsia"/>
                <w:color w:val="auto"/>
                <w:sz w:val="21"/>
                <w:szCs w:val="20"/>
              </w:rPr>
              <w:t>火灾抢险</w:t>
            </w:r>
          </w:p>
        </w:tc>
        <w:tc>
          <w:tcPr>
            <w:tcW w:w="1000" w:type="pct"/>
            <w:tcBorders>
              <w:tl2br w:val="nil"/>
              <w:tr2bl w:val="nil"/>
            </w:tcBorders>
            <w:vAlign w:val="center"/>
          </w:tcPr>
          <w:p w14:paraId="244C2081">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1787A7AB">
            <w:pPr>
              <w:spacing w:line="240" w:lineRule="auto"/>
              <w:ind w:firstLine="0" w:firstLineChars="0"/>
              <w:jc w:val="center"/>
              <w:rPr>
                <w:color w:val="auto"/>
                <w:sz w:val="21"/>
                <w:szCs w:val="20"/>
              </w:rPr>
            </w:pPr>
            <w:r>
              <w:rPr>
                <w:rFonts w:hint="eastAsia"/>
                <w:color w:val="auto"/>
                <w:sz w:val="21"/>
                <w:szCs w:val="20"/>
              </w:rPr>
              <w:t>2</w:t>
            </w:r>
          </w:p>
        </w:tc>
      </w:tr>
      <w:tr w14:paraId="78839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620F3B2A">
            <w:pPr>
              <w:spacing w:line="240" w:lineRule="auto"/>
              <w:ind w:firstLine="0" w:firstLineChars="0"/>
              <w:jc w:val="center"/>
              <w:rPr>
                <w:color w:val="auto"/>
                <w:sz w:val="21"/>
                <w:szCs w:val="20"/>
              </w:rPr>
            </w:pPr>
            <w:r>
              <w:rPr>
                <w:rFonts w:hint="eastAsia"/>
                <w:color w:val="auto"/>
                <w:sz w:val="21"/>
                <w:szCs w:val="20"/>
              </w:rPr>
              <w:t>13</w:t>
            </w:r>
          </w:p>
        </w:tc>
        <w:tc>
          <w:tcPr>
            <w:tcW w:w="1308" w:type="pct"/>
            <w:tcBorders>
              <w:tl2br w:val="nil"/>
              <w:tr2bl w:val="nil"/>
            </w:tcBorders>
            <w:vAlign w:val="center"/>
          </w:tcPr>
          <w:p w14:paraId="7D5DAB79">
            <w:pPr>
              <w:spacing w:line="240" w:lineRule="auto"/>
              <w:ind w:firstLine="0" w:firstLineChars="0"/>
              <w:jc w:val="center"/>
              <w:rPr>
                <w:color w:val="auto"/>
                <w:sz w:val="21"/>
                <w:szCs w:val="20"/>
              </w:rPr>
            </w:pPr>
            <w:r>
              <w:rPr>
                <w:rFonts w:hint="eastAsia"/>
                <w:color w:val="auto"/>
                <w:sz w:val="21"/>
                <w:szCs w:val="20"/>
              </w:rPr>
              <w:t>水带/水枪</w:t>
            </w:r>
          </w:p>
        </w:tc>
        <w:tc>
          <w:tcPr>
            <w:tcW w:w="1000" w:type="pct"/>
            <w:tcBorders>
              <w:tl2br w:val="nil"/>
              <w:tr2bl w:val="nil"/>
            </w:tcBorders>
            <w:shd w:val="clear" w:color="auto" w:fill="auto"/>
            <w:vAlign w:val="center"/>
          </w:tcPr>
          <w:p w14:paraId="0D882C68">
            <w:pPr>
              <w:spacing w:line="240" w:lineRule="auto"/>
              <w:ind w:firstLine="0" w:firstLineChars="0"/>
              <w:jc w:val="center"/>
              <w:rPr>
                <w:color w:val="auto"/>
                <w:sz w:val="21"/>
                <w:szCs w:val="20"/>
              </w:rPr>
            </w:pPr>
            <w:r>
              <w:rPr>
                <w:rFonts w:hint="eastAsia"/>
                <w:color w:val="auto"/>
                <w:sz w:val="21"/>
                <w:szCs w:val="20"/>
              </w:rPr>
              <w:t>火灾抢险</w:t>
            </w:r>
          </w:p>
        </w:tc>
        <w:tc>
          <w:tcPr>
            <w:tcW w:w="1000" w:type="pct"/>
            <w:tcBorders>
              <w:tl2br w:val="nil"/>
              <w:tr2bl w:val="nil"/>
            </w:tcBorders>
            <w:shd w:val="clear" w:color="auto" w:fill="auto"/>
            <w:vAlign w:val="center"/>
          </w:tcPr>
          <w:p w14:paraId="3C1C578A">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shd w:val="clear" w:color="auto" w:fill="auto"/>
            <w:vAlign w:val="center"/>
          </w:tcPr>
          <w:p w14:paraId="26572718">
            <w:pPr>
              <w:spacing w:line="240" w:lineRule="auto"/>
              <w:ind w:firstLine="0" w:firstLineChars="0"/>
              <w:jc w:val="center"/>
              <w:rPr>
                <w:color w:val="auto"/>
                <w:sz w:val="21"/>
                <w:szCs w:val="20"/>
              </w:rPr>
            </w:pPr>
            <w:r>
              <w:rPr>
                <w:rFonts w:hint="eastAsia"/>
                <w:color w:val="auto"/>
                <w:sz w:val="21"/>
                <w:szCs w:val="20"/>
              </w:rPr>
              <w:t>2</w:t>
            </w:r>
          </w:p>
        </w:tc>
      </w:tr>
      <w:tr w14:paraId="640B5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6AF8975D">
            <w:pPr>
              <w:spacing w:line="240" w:lineRule="auto"/>
              <w:ind w:firstLine="0" w:firstLineChars="0"/>
              <w:jc w:val="center"/>
              <w:rPr>
                <w:color w:val="auto"/>
                <w:sz w:val="21"/>
                <w:szCs w:val="20"/>
              </w:rPr>
            </w:pPr>
            <w:r>
              <w:rPr>
                <w:rFonts w:hint="eastAsia"/>
                <w:color w:val="auto"/>
                <w:sz w:val="21"/>
                <w:szCs w:val="20"/>
              </w:rPr>
              <w:t>14</w:t>
            </w:r>
          </w:p>
        </w:tc>
        <w:tc>
          <w:tcPr>
            <w:tcW w:w="1308" w:type="pct"/>
            <w:tcBorders>
              <w:tl2br w:val="nil"/>
              <w:tr2bl w:val="nil"/>
            </w:tcBorders>
            <w:vAlign w:val="center"/>
          </w:tcPr>
          <w:p w14:paraId="5DD3AD9D">
            <w:pPr>
              <w:spacing w:line="240" w:lineRule="auto"/>
              <w:ind w:firstLine="0" w:firstLineChars="0"/>
              <w:jc w:val="center"/>
              <w:rPr>
                <w:color w:val="auto"/>
                <w:sz w:val="21"/>
                <w:szCs w:val="20"/>
              </w:rPr>
            </w:pPr>
            <w:r>
              <w:rPr>
                <w:rFonts w:hint="eastAsia"/>
                <w:color w:val="auto"/>
                <w:sz w:val="21"/>
                <w:szCs w:val="20"/>
              </w:rPr>
              <w:t>腰斧</w:t>
            </w:r>
          </w:p>
        </w:tc>
        <w:tc>
          <w:tcPr>
            <w:tcW w:w="1000" w:type="pct"/>
            <w:tcBorders>
              <w:tl2br w:val="nil"/>
              <w:tr2bl w:val="nil"/>
            </w:tcBorders>
            <w:shd w:val="clear" w:color="auto" w:fill="auto"/>
            <w:vAlign w:val="center"/>
          </w:tcPr>
          <w:p w14:paraId="1CB8505B">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shd w:val="clear" w:color="auto" w:fill="auto"/>
            <w:vAlign w:val="center"/>
          </w:tcPr>
          <w:p w14:paraId="65EF713F">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shd w:val="clear" w:color="auto" w:fill="auto"/>
            <w:vAlign w:val="center"/>
          </w:tcPr>
          <w:p w14:paraId="2DD874F3">
            <w:pPr>
              <w:spacing w:line="240" w:lineRule="auto"/>
              <w:ind w:firstLine="0" w:firstLineChars="0"/>
              <w:jc w:val="center"/>
              <w:rPr>
                <w:color w:val="auto"/>
                <w:sz w:val="21"/>
                <w:szCs w:val="20"/>
              </w:rPr>
            </w:pPr>
            <w:r>
              <w:rPr>
                <w:rFonts w:hint="eastAsia"/>
                <w:color w:val="auto"/>
                <w:sz w:val="21"/>
                <w:szCs w:val="20"/>
              </w:rPr>
              <w:t>4</w:t>
            </w:r>
          </w:p>
        </w:tc>
      </w:tr>
      <w:tr w14:paraId="60A33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22811146">
            <w:pPr>
              <w:spacing w:line="240" w:lineRule="auto"/>
              <w:ind w:firstLine="0" w:firstLineChars="0"/>
              <w:jc w:val="center"/>
              <w:rPr>
                <w:color w:val="auto"/>
                <w:sz w:val="21"/>
                <w:szCs w:val="20"/>
              </w:rPr>
            </w:pPr>
            <w:r>
              <w:rPr>
                <w:rFonts w:hint="eastAsia"/>
                <w:color w:val="auto"/>
                <w:sz w:val="21"/>
                <w:szCs w:val="20"/>
              </w:rPr>
              <w:t>15</w:t>
            </w:r>
          </w:p>
        </w:tc>
        <w:tc>
          <w:tcPr>
            <w:tcW w:w="1308" w:type="pct"/>
            <w:tcBorders>
              <w:tl2br w:val="nil"/>
              <w:tr2bl w:val="nil"/>
            </w:tcBorders>
            <w:vAlign w:val="center"/>
          </w:tcPr>
          <w:p w14:paraId="4C807150">
            <w:pPr>
              <w:spacing w:line="240" w:lineRule="auto"/>
              <w:ind w:firstLine="0" w:firstLineChars="0"/>
              <w:jc w:val="center"/>
              <w:rPr>
                <w:color w:val="auto"/>
                <w:sz w:val="21"/>
                <w:szCs w:val="20"/>
              </w:rPr>
            </w:pPr>
            <w:r>
              <w:rPr>
                <w:rFonts w:hint="eastAsia"/>
                <w:color w:val="auto"/>
                <w:sz w:val="21"/>
                <w:szCs w:val="20"/>
              </w:rPr>
              <w:t>破拆钳</w:t>
            </w:r>
          </w:p>
        </w:tc>
        <w:tc>
          <w:tcPr>
            <w:tcW w:w="1000" w:type="pct"/>
            <w:tcBorders>
              <w:tl2br w:val="nil"/>
              <w:tr2bl w:val="nil"/>
            </w:tcBorders>
            <w:vAlign w:val="center"/>
          </w:tcPr>
          <w:p w14:paraId="7687DD74">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shd w:val="clear" w:color="auto" w:fill="auto"/>
            <w:vAlign w:val="center"/>
          </w:tcPr>
          <w:p w14:paraId="5547B1B6">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3A7975A6">
            <w:pPr>
              <w:spacing w:line="240" w:lineRule="auto"/>
              <w:ind w:firstLine="0" w:firstLineChars="0"/>
              <w:jc w:val="center"/>
              <w:rPr>
                <w:color w:val="auto"/>
                <w:sz w:val="21"/>
                <w:szCs w:val="20"/>
              </w:rPr>
            </w:pPr>
            <w:r>
              <w:rPr>
                <w:rFonts w:hint="eastAsia"/>
                <w:color w:val="auto"/>
                <w:sz w:val="21"/>
                <w:szCs w:val="20"/>
              </w:rPr>
              <w:t>2</w:t>
            </w:r>
          </w:p>
        </w:tc>
      </w:tr>
      <w:tr w14:paraId="59201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704EF58D">
            <w:pPr>
              <w:spacing w:line="240" w:lineRule="auto"/>
              <w:ind w:firstLine="0" w:firstLineChars="0"/>
              <w:jc w:val="center"/>
              <w:rPr>
                <w:color w:val="auto"/>
                <w:sz w:val="21"/>
                <w:szCs w:val="20"/>
              </w:rPr>
            </w:pPr>
            <w:r>
              <w:rPr>
                <w:rFonts w:hint="eastAsia"/>
                <w:color w:val="auto"/>
                <w:sz w:val="21"/>
                <w:szCs w:val="20"/>
              </w:rPr>
              <w:t>16</w:t>
            </w:r>
          </w:p>
        </w:tc>
        <w:tc>
          <w:tcPr>
            <w:tcW w:w="1308" w:type="pct"/>
            <w:tcBorders>
              <w:tl2br w:val="nil"/>
              <w:tr2bl w:val="nil"/>
            </w:tcBorders>
            <w:vAlign w:val="center"/>
          </w:tcPr>
          <w:p w14:paraId="202F1BE9">
            <w:pPr>
              <w:spacing w:line="240" w:lineRule="auto"/>
              <w:ind w:firstLine="0" w:firstLineChars="0"/>
              <w:jc w:val="center"/>
              <w:rPr>
                <w:color w:val="auto"/>
                <w:sz w:val="21"/>
                <w:szCs w:val="20"/>
              </w:rPr>
            </w:pPr>
            <w:r>
              <w:rPr>
                <w:rFonts w:hint="eastAsia"/>
                <w:color w:val="auto"/>
                <w:sz w:val="21"/>
                <w:szCs w:val="20"/>
              </w:rPr>
              <w:t>大斧</w:t>
            </w:r>
          </w:p>
        </w:tc>
        <w:tc>
          <w:tcPr>
            <w:tcW w:w="1000" w:type="pct"/>
            <w:tcBorders>
              <w:tl2br w:val="nil"/>
              <w:tr2bl w:val="nil"/>
            </w:tcBorders>
            <w:shd w:val="clear" w:color="auto" w:fill="auto"/>
            <w:vAlign w:val="center"/>
          </w:tcPr>
          <w:p w14:paraId="4A4E6C85">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shd w:val="clear" w:color="auto" w:fill="auto"/>
            <w:vAlign w:val="center"/>
          </w:tcPr>
          <w:p w14:paraId="3DA610F8">
            <w:pPr>
              <w:spacing w:line="240" w:lineRule="auto"/>
              <w:ind w:firstLine="0" w:firstLineChars="0"/>
              <w:jc w:val="center"/>
              <w:rPr>
                <w:color w:val="auto"/>
                <w:sz w:val="21"/>
                <w:szCs w:val="20"/>
              </w:rPr>
            </w:pPr>
            <w:r>
              <w:rPr>
                <w:rFonts w:hint="eastAsia"/>
                <w:color w:val="auto"/>
                <w:sz w:val="21"/>
                <w:szCs w:val="20"/>
              </w:rPr>
              <w:t>微型消防站</w:t>
            </w:r>
          </w:p>
        </w:tc>
        <w:tc>
          <w:tcPr>
            <w:tcW w:w="1000" w:type="pct"/>
            <w:tcBorders>
              <w:tl2br w:val="nil"/>
              <w:tr2bl w:val="nil"/>
            </w:tcBorders>
            <w:vAlign w:val="center"/>
          </w:tcPr>
          <w:p w14:paraId="26E5CE17">
            <w:pPr>
              <w:spacing w:line="240" w:lineRule="auto"/>
              <w:ind w:firstLine="0" w:firstLineChars="0"/>
              <w:jc w:val="center"/>
              <w:rPr>
                <w:color w:val="auto"/>
                <w:sz w:val="21"/>
                <w:szCs w:val="20"/>
              </w:rPr>
            </w:pPr>
            <w:r>
              <w:rPr>
                <w:rFonts w:hint="eastAsia"/>
                <w:color w:val="auto"/>
                <w:sz w:val="21"/>
                <w:szCs w:val="20"/>
              </w:rPr>
              <w:t>2</w:t>
            </w:r>
          </w:p>
        </w:tc>
      </w:tr>
      <w:tr w14:paraId="56EAA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3E9C230E">
            <w:pPr>
              <w:spacing w:line="240" w:lineRule="auto"/>
              <w:ind w:firstLine="0" w:firstLineChars="0"/>
              <w:jc w:val="center"/>
              <w:rPr>
                <w:color w:val="auto"/>
                <w:sz w:val="21"/>
                <w:szCs w:val="20"/>
              </w:rPr>
            </w:pPr>
            <w:r>
              <w:rPr>
                <w:rFonts w:hint="eastAsia"/>
                <w:color w:val="auto"/>
                <w:sz w:val="21"/>
                <w:szCs w:val="20"/>
              </w:rPr>
              <w:t>17</w:t>
            </w:r>
          </w:p>
        </w:tc>
        <w:tc>
          <w:tcPr>
            <w:tcW w:w="1308" w:type="pct"/>
            <w:tcBorders>
              <w:tl2br w:val="nil"/>
              <w:tr2bl w:val="nil"/>
            </w:tcBorders>
            <w:vAlign w:val="center"/>
          </w:tcPr>
          <w:p w14:paraId="06F9A775">
            <w:pPr>
              <w:spacing w:line="240" w:lineRule="auto"/>
              <w:ind w:firstLine="0" w:firstLineChars="0"/>
              <w:jc w:val="center"/>
              <w:rPr>
                <w:color w:val="auto"/>
                <w:sz w:val="21"/>
                <w:szCs w:val="20"/>
              </w:rPr>
            </w:pPr>
            <w:r>
              <w:rPr>
                <w:rFonts w:hint="eastAsia"/>
                <w:color w:val="auto"/>
                <w:sz w:val="21"/>
                <w:szCs w:val="20"/>
              </w:rPr>
              <w:t>绝缘鞋</w:t>
            </w:r>
          </w:p>
        </w:tc>
        <w:tc>
          <w:tcPr>
            <w:tcW w:w="1000" w:type="pct"/>
            <w:tcBorders>
              <w:tl2br w:val="nil"/>
              <w:tr2bl w:val="nil"/>
            </w:tcBorders>
            <w:shd w:val="clear" w:color="auto" w:fill="auto"/>
            <w:vAlign w:val="center"/>
          </w:tcPr>
          <w:p w14:paraId="3299DF0A">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vAlign w:val="center"/>
          </w:tcPr>
          <w:p w14:paraId="540E4A90">
            <w:pPr>
              <w:spacing w:line="240" w:lineRule="auto"/>
              <w:ind w:firstLine="0" w:firstLineChars="0"/>
              <w:jc w:val="center"/>
              <w:rPr>
                <w:color w:val="auto"/>
                <w:sz w:val="21"/>
                <w:szCs w:val="20"/>
              </w:rPr>
            </w:pPr>
            <w:r>
              <w:rPr>
                <w:rFonts w:hint="eastAsia"/>
                <w:color w:val="auto"/>
                <w:sz w:val="21"/>
                <w:szCs w:val="20"/>
              </w:rPr>
              <w:t>配电室</w:t>
            </w:r>
          </w:p>
        </w:tc>
        <w:tc>
          <w:tcPr>
            <w:tcW w:w="1000" w:type="pct"/>
            <w:tcBorders>
              <w:tl2br w:val="nil"/>
              <w:tr2bl w:val="nil"/>
            </w:tcBorders>
            <w:vAlign w:val="center"/>
          </w:tcPr>
          <w:p w14:paraId="434F5E8A">
            <w:pPr>
              <w:spacing w:line="240" w:lineRule="auto"/>
              <w:ind w:firstLine="0" w:firstLineChars="0"/>
              <w:jc w:val="center"/>
              <w:rPr>
                <w:color w:val="auto"/>
                <w:sz w:val="21"/>
                <w:szCs w:val="20"/>
              </w:rPr>
            </w:pPr>
            <w:r>
              <w:rPr>
                <w:rFonts w:hint="eastAsia"/>
                <w:color w:val="auto"/>
                <w:sz w:val="21"/>
                <w:szCs w:val="20"/>
              </w:rPr>
              <w:t>2</w:t>
            </w:r>
          </w:p>
        </w:tc>
      </w:tr>
      <w:tr w14:paraId="35E07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022FB182">
            <w:pPr>
              <w:spacing w:line="240" w:lineRule="auto"/>
              <w:ind w:firstLine="0" w:firstLineChars="0"/>
              <w:jc w:val="center"/>
              <w:rPr>
                <w:color w:val="auto"/>
                <w:sz w:val="21"/>
                <w:szCs w:val="20"/>
              </w:rPr>
            </w:pPr>
            <w:r>
              <w:rPr>
                <w:rFonts w:hint="eastAsia"/>
                <w:color w:val="auto"/>
                <w:sz w:val="21"/>
                <w:szCs w:val="20"/>
              </w:rPr>
              <w:t>18</w:t>
            </w:r>
          </w:p>
        </w:tc>
        <w:tc>
          <w:tcPr>
            <w:tcW w:w="1308" w:type="pct"/>
            <w:tcBorders>
              <w:tl2br w:val="nil"/>
              <w:tr2bl w:val="nil"/>
            </w:tcBorders>
            <w:vAlign w:val="center"/>
          </w:tcPr>
          <w:p w14:paraId="7AB96B4A">
            <w:pPr>
              <w:spacing w:line="240" w:lineRule="auto"/>
              <w:ind w:firstLine="0" w:firstLineChars="0"/>
              <w:jc w:val="center"/>
              <w:rPr>
                <w:color w:val="auto"/>
                <w:sz w:val="21"/>
                <w:szCs w:val="20"/>
              </w:rPr>
            </w:pPr>
            <w:r>
              <w:rPr>
                <w:rFonts w:hint="eastAsia"/>
                <w:color w:val="auto"/>
                <w:sz w:val="21"/>
                <w:szCs w:val="20"/>
              </w:rPr>
              <w:t>绝缘手套</w:t>
            </w:r>
          </w:p>
        </w:tc>
        <w:tc>
          <w:tcPr>
            <w:tcW w:w="1000" w:type="pct"/>
            <w:tcBorders>
              <w:tl2br w:val="nil"/>
              <w:tr2bl w:val="nil"/>
            </w:tcBorders>
            <w:shd w:val="clear" w:color="auto" w:fill="auto"/>
            <w:vAlign w:val="center"/>
          </w:tcPr>
          <w:p w14:paraId="3655F663">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vAlign w:val="center"/>
          </w:tcPr>
          <w:p w14:paraId="1ADA1227">
            <w:pPr>
              <w:spacing w:line="240" w:lineRule="auto"/>
              <w:ind w:firstLine="0" w:firstLineChars="0"/>
              <w:jc w:val="center"/>
              <w:rPr>
                <w:color w:val="auto"/>
                <w:sz w:val="21"/>
                <w:szCs w:val="20"/>
              </w:rPr>
            </w:pPr>
            <w:r>
              <w:rPr>
                <w:rFonts w:hint="eastAsia"/>
                <w:color w:val="auto"/>
                <w:sz w:val="21"/>
                <w:szCs w:val="20"/>
              </w:rPr>
              <w:t>配电室</w:t>
            </w:r>
          </w:p>
        </w:tc>
        <w:tc>
          <w:tcPr>
            <w:tcW w:w="1000" w:type="pct"/>
            <w:tcBorders>
              <w:tl2br w:val="nil"/>
              <w:tr2bl w:val="nil"/>
            </w:tcBorders>
            <w:vAlign w:val="center"/>
          </w:tcPr>
          <w:p w14:paraId="3AF72202">
            <w:pPr>
              <w:spacing w:line="240" w:lineRule="auto"/>
              <w:ind w:firstLine="0" w:firstLineChars="0"/>
              <w:jc w:val="center"/>
              <w:rPr>
                <w:color w:val="auto"/>
                <w:sz w:val="21"/>
                <w:szCs w:val="20"/>
              </w:rPr>
            </w:pPr>
            <w:r>
              <w:rPr>
                <w:rFonts w:hint="eastAsia"/>
                <w:color w:val="auto"/>
                <w:sz w:val="21"/>
                <w:szCs w:val="20"/>
              </w:rPr>
              <w:t>2</w:t>
            </w:r>
          </w:p>
        </w:tc>
      </w:tr>
      <w:tr w14:paraId="13C9A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7F4C9C61">
            <w:pPr>
              <w:spacing w:line="240" w:lineRule="auto"/>
              <w:ind w:firstLine="0" w:firstLineChars="0"/>
              <w:jc w:val="center"/>
              <w:rPr>
                <w:color w:val="auto"/>
                <w:sz w:val="21"/>
                <w:szCs w:val="20"/>
              </w:rPr>
            </w:pPr>
            <w:r>
              <w:rPr>
                <w:rFonts w:hint="eastAsia"/>
                <w:color w:val="auto"/>
                <w:sz w:val="21"/>
                <w:szCs w:val="20"/>
              </w:rPr>
              <w:t>19</w:t>
            </w:r>
          </w:p>
        </w:tc>
        <w:tc>
          <w:tcPr>
            <w:tcW w:w="1308" w:type="pct"/>
            <w:tcBorders>
              <w:tl2br w:val="nil"/>
              <w:tr2bl w:val="nil"/>
            </w:tcBorders>
            <w:vAlign w:val="center"/>
          </w:tcPr>
          <w:p w14:paraId="39184148">
            <w:pPr>
              <w:spacing w:line="240" w:lineRule="auto"/>
              <w:ind w:firstLine="0" w:firstLineChars="0"/>
              <w:jc w:val="center"/>
              <w:rPr>
                <w:color w:val="auto"/>
                <w:sz w:val="21"/>
                <w:szCs w:val="20"/>
              </w:rPr>
            </w:pPr>
            <w:r>
              <w:rPr>
                <w:rFonts w:hint="eastAsia"/>
                <w:color w:val="auto"/>
                <w:sz w:val="21"/>
                <w:szCs w:val="20"/>
              </w:rPr>
              <w:t>劳保用品</w:t>
            </w:r>
          </w:p>
        </w:tc>
        <w:tc>
          <w:tcPr>
            <w:tcW w:w="1000" w:type="pct"/>
            <w:tcBorders>
              <w:tl2br w:val="nil"/>
              <w:tr2bl w:val="nil"/>
            </w:tcBorders>
            <w:shd w:val="clear" w:color="auto" w:fill="auto"/>
            <w:vAlign w:val="center"/>
          </w:tcPr>
          <w:p w14:paraId="728D2D5C">
            <w:pPr>
              <w:spacing w:line="240" w:lineRule="auto"/>
              <w:ind w:firstLine="0" w:firstLineChars="0"/>
              <w:jc w:val="center"/>
              <w:rPr>
                <w:color w:val="auto"/>
                <w:sz w:val="21"/>
                <w:szCs w:val="20"/>
              </w:rPr>
            </w:pPr>
            <w:r>
              <w:rPr>
                <w:rFonts w:hint="eastAsia"/>
                <w:color w:val="auto"/>
                <w:sz w:val="21"/>
                <w:szCs w:val="20"/>
              </w:rPr>
              <w:t>安全防护</w:t>
            </w:r>
          </w:p>
        </w:tc>
        <w:tc>
          <w:tcPr>
            <w:tcW w:w="1000" w:type="pct"/>
            <w:tcBorders>
              <w:tl2br w:val="nil"/>
              <w:tr2bl w:val="nil"/>
            </w:tcBorders>
            <w:vAlign w:val="center"/>
          </w:tcPr>
          <w:p w14:paraId="2D122A32">
            <w:pPr>
              <w:spacing w:line="240" w:lineRule="auto"/>
              <w:ind w:firstLine="0" w:firstLineChars="0"/>
              <w:jc w:val="center"/>
              <w:rPr>
                <w:color w:val="auto"/>
                <w:sz w:val="21"/>
                <w:szCs w:val="20"/>
              </w:rPr>
            </w:pPr>
            <w:r>
              <w:rPr>
                <w:rFonts w:hint="eastAsia"/>
                <w:color w:val="auto"/>
                <w:sz w:val="21"/>
                <w:szCs w:val="20"/>
              </w:rPr>
              <w:t>办公室</w:t>
            </w:r>
          </w:p>
        </w:tc>
        <w:tc>
          <w:tcPr>
            <w:tcW w:w="1000" w:type="pct"/>
            <w:tcBorders>
              <w:tl2br w:val="nil"/>
              <w:tr2bl w:val="nil"/>
            </w:tcBorders>
            <w:vAlign w:val="center"/>
          </w:tcPr>
          <w:p w14:paraId="2CE978BD">
            <w:pPr>
              <w:spacing w:line="240" w:lineRule="auto"/>
              <w:ind w:firstLine="0" w:firstLineChars="0"/>
              <w:jc w:val="center"/>
              <w:rPr>
                <w:color w:val="auto"/>
                <w:sz w:val="21"/>
                <w:szCs w:val="20"/>
              </w:rPr>
            </w:pPr>
            <w:r>
              <w:rPr>
                <w:rFonts w:hint="eastAsia"/>
                <w:color w:val="auto"/>
                <w:sz w:val="21"/>
                <w:szCs w:val="20"/>
              </w:rPr>
              <w:t>若干</w:t>
            </w:r>
          </w:p>
        </w:tc>
      </w:tr>
      <w:tr w14:paraId="08369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39908D35">
            <w:pPr>
              <w:spacing w:line="240" w:lineRule="auto"/>
              <w:ind w:firstLine="0" w:firstLineChars="0"/>
              <w:jc w:val="center"/>
              <w:rPr>
                <w:color w:val="auto"/>
                <w:sz w:val="21"/>
                <w:szCs w:val="20"/>
              </w:rPr>
            </w:pPr>
            <w:r>
              <w:rPr>
                <w:rFonts w:hint="eastAsia"/>
                <w:color w:val="auto"/>
                <w:sz w:val="21"/>
                <w:szCs w:val="20"/>
              </w:rPr>
              <w:t>20</w:t>
            </w:r>
          </w:p>
        </w:tc>
        <w:tc>
          <w:tcPr>
            <w:tcW w:w="1308" w:type="pct"/>
            <w:tcBorders>
              <w:tl2br w:val="nil"/>
              <w:tr2bl w:val="nil"/>
            </w:tcBorders>
            <w:vAlign w:val="center"/>
          </w:tcPr>
          <w:p w14:paraId="7985EB97">
            <w:pPr>
              <w:spacing w:line="240" w:lineRule="auto"/>
              <w:ind w:firstLine="0" w:firstLineChars="0"/>
              <w:jc w:val="center"/>
              <w:rPr>
                <w:color w:val="auto"/>
                <w:sz w:val="21"/>
                <w:szCs w:val="20"/>
              </w:rPr>
            </w:pPr>
            <w:r>
              <w:rPr>
                <w:rFonts w:hint="eastAsia"/>
                <w:color w:val="auto"/>
                <w:sz w:val="21"/>
                <w:szCs w:val="20"/>
              </w:rPr>
              <w:t>消防砂箱</w:t>
            </w:r>
          </w:p>
        </w:tc>
        <w:tc>
          <w:tcPr>
            <w:tcW w:w="1000" w:type="pct"/>
            <w:tcBorders>
              <w:tl2br w:val="nil"/>
              <w:tr2bl w:val="nil"/>
            </w:tcBorders>
            <w:vAlign w:val="center"/>
          </w:tcPr>
          <w:p w14:paraId="21ABE8AF">
            <w:pPr>
              <w:spacing w:line="240" w:lineRule="auto"/>
              <w:ind w:firstLine="0" w:firstLineChars="0"/>
              <w:jc w:val="center"/>
              <w:rPr>
                <w:color w:val="auto"/>
                <w:sz w:val="21"/>
                <w:szCs w:val="20"/>
              </w:rPr>
            </w:pPr>
            <w:r>
              <w:rPr>
                <w:rFonts w:hint="eastAsia"/>
                <w:color w:val="auto"/>
                <w:sz w:val="21"/>
                <w:szCs w:val="20"/>
              </w:rPr>
              <w:t>灭火</w:t>
            </w:r>
          </w:p>
        </w:tc>
        <w:tc>
          <w:tcPr>
            <w:tcW w:w="1000" w:type="pct"/>
            <w:tcBorders>
              <w:tl2br w:val="nil"/>
              <w:tr2bl w:val="nil"/>
            </w:tcBorders>
            <w:vAlign w:val="center"/>
          </w:tcPr>
          <w:p w14:paraId="5B0A398B">
            <w:pPr>
              <w:spacing w:line="240" w:lineRule="auto"/>
              <w:ind w:firstLine="0" w:firstLineChars="0"/>
              <w:jc w:val="center"/>
              <w:rPr>
                <w:color w:val="auto"/>
                <w:sz w:val="21"/>
                <w:szCs w:val="20"/>
              </w:rPr>
            </w:pPr>
            <w:r>
              <w:rPr>
                <w:rFonts w:hint="eastAsia"/>
                <w:color w:val="auto"/>
                <w:sz w:val="21"/>
                <w:szCs w:val="20"/>
              </w:rPr>
              <w:t>危废库</w:t>
            </w:r>
          </w:p>
        </w:tc>
        <w:tc>
          <w:tcPr>
            <w:tcW w:w="1000" w:type="pct"/>
            <w:tcBorders>
              <w:tl2br w:val="nil"/>
              <w:tr2bl w:val="nil"/>
            </w:tcBorders>
            <w:vAlign w:val="center"/>
          </w:tcPr>
          <w:p w14:paraId="324E7DA3">
            <w:pPr>
              <w:spacing w:line="240" w:lineRule="auto"/>
              <w:ind w:firstLine="0" w:firstLineChars="0"/>
              <w:jc w:val="center"/>
              <w:rPr>
                <w:color w:val="auto"/>
                <w:sz w:val="21"/>
                <w:szCs w:val="20"/>
              </w:rPr>
            </w:pPr>
            <w:r>
              <w:rPr>
                <w:rFonts w:hint="eastAsia"/>
                <w:color w:val="auto"/>
                <w:sz w:val="21"/>
                <w:szCs w:val="20"/>
              </w:rPr>
              <w:t>1</w:t>
            </w:r>
          </w:p>
        </w:tc>
      </w:tr>
      <w:tr w14:paraId="6313A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9" w:type="pct"/>
            <w:tcBorders>
              <w:tl2br w:val="nil"/>
              <w:tr2bl w:val="nil"/>
            </w:tcBorders>
            <w:vAlign w:val="center"/>
          </w:tcPr>
          <w:p w14:paraId="326C3905">
            <w:pPr>
              <w:spacing w:line="240" w:lineRule="auto"/>
              <w:ind w:firstLine="0" w:firstLineChars="0"/>
              <w:jc w:val="center"/>
              <w:rPr>
                <w:color w:val="auto"/>
                <w:sz w:val="21"/>
                <w:szCs w:val="20"/>
              </w:rPr>
            </w:pPr>
            <w:r>
              <w:rPr>
                <w:rFonts w:hint="eastAsia"/>
                <w:color w:val="auto"/>
                <w:sz w:val="21"/>
                <w:szCs w:val="20"/>
              </w:rPr>
              <w:t>21</w:t>
            </w:r>
          </w:p>
        </w:tc>
        <w:tc>
          <w:tcPr>
            <w:tcW w:w="1308" w:type="pct"/>
            <w:tcBorders>
              <w:tl2br w:val="nil"/>
              <w:tr2bl w:val="nil"/>
            </w:tcBorders>
            <w:vAlign w:val="center"/>
          </w:tcPr>
          <w:p w14:paraId="7CD45373">
            <w:pPr>
              <w:spacing w:line="240" w:lineRule="auto"/>
              <w:ind w:firstLine="0" w:firstLineChars="0"/>
              <w:jc w:val="center"/>
              <w:rPr>
                <w:color w:val="auto"/>
                <w:sz w:val="21"/>
                <w:szCs w:val="20"/>
              </w:rPr>
            </w:pPr>
            <w:r>
              <w:rPr>
                <w:rFonts w:hint="eastAsia"/>
                <w:color w:val="auto"/>
                <w:sz w:val="21"/>
                <w:szCs w:val="20"/>
              </w:rPr>
              <w:t>防漏垫板</w:t>
            </w:r>
          </w:p>
        </w:tc>
        <w:tc>
          <w:tcPr>
            <w:tcW w:w="1000" w:type="pct"/>
            <w:tcBorders>
              <w:tl2br w:val="nil"/>
              <w:tr2bl w:val="nil"/>
            </w:tcBorders>
            <w:vAlign w:val="center"/>
          </w:tcPr>
          <w:p w14:paraId="78924C6C">
            <w:pPr>
              <w:spacing w:line="240" w:lineRule="auto"/>
              <w:ind w:firstLine="0" w:firstLineChars="0"/>
              <w:jc w:val="center"/>
              <w:rPr>
                <w:color w:val="auto"/>
                <w:sz w:val="21"/>
                <w:szCs w:val="20"/>
              </w:rPr>
            </w:pPr>
            <w:r>
              <w:rPr>
                <w:rFonts w:hint="eastAsia"/>
                <w:color w:val="auto"/>
                <w:sz w:val="21"/>
                <w:szCs w:val="20"/>
              </w:rPr>
              <w:t>污染物收集</w:t>
            </w:r>
          </w:p>
        </w:tc>
        <w:tc>
          <w:tcPr>
            <w:tcW w:w="1000" w:type="pct"/>
            <w:tcBorders>
              <w:tl2br w:val="nil"/>
              <w:tr2bl w:val="nil"/>
            </w:tcBorders>
            <w:vAlign w:val="center"/>
          </w:tcPr>
          <w:p w14:paraId="1F8ACFEF">
            <w:pPr>
              <w:spacing w:line="240" w:lineRule="auto"/>
              <w:ind w:firstLine="0" w:firstLineChars="0"/>
              <w:jc w:val="center"/>
              <w:rPr>
                <w:color w:val="auto"/>
                <w:sz w:val="21"/>
                <w:szCs w:val="20"/>
              </w:rPr>
            </w:pPr>
            <w:r>
              <w:rPr>
                <w:rFonts w:hint="eastAsia"/>
                <w:color w:val="auto"/>
                <w:sz w:val="21"/>
                <w:szCs w:val="20"/>
              </w:rPr>
              <w:t>厂房</w:t>
            </w:r>
          </w:p>
        </w:tc>
        <w:tc>
          <w:tcPr>
            <w:tcW w:w="1000" w:type="pct"/>
            <w:tcBorders>
              <w:tl2br w:val="nil"/>
              <w:tr2bl w:val="nil"/>
            </w:tcBorders>
            <w:vAlign w:val="center"/>
          </w:tcPr>
          <w:p w14:paraId="2B57D1AD">
            <w:pPr>
              <w:spacing w:line="240" w:lineRule="auto"/>
              <w:ind w:firstLine="0" w:firstLineChars="0"/>
              <w:jc w:val="center"/>
              <w:rPr>
                <w:color w:val="auto"/>
                <w:sz w:val="21"/>
                <w:szCs w:val="20"/>
              </w:rPr>
            </w:pPr>
            <w:r>
              <w:rPr>
                <w:rFonts w:hint="eastAsia"/>
                <w:color w:val="auto"/>
                <w:sz w:val="21"/>
                <w:szCs w:val="20"/>
              </w:rPr>
              <w:t>1</w:t>
            </w:r>
          </w:p>
        </w:tc>
      </w:tr>
    </w:tbl>
    <w:p w14:paraId="044BEAD9">
      <w:pPr>
        <w:ind w:firstLine="480"/>
        <w:rPr>
          <w:color w:val="auto"/>
        </w:rPr>
      </w:pPr>
      <w:r>
        <w:rPr>
          <w:color w:val="auto"/>
        </w:rPr>
        <w:t>保障制度：整个厂区建立应急救援设备、物资维护和维修制度，由专人负责设备或物</w:t>
      </w:r>
      <w:r>
        <w:rPr>
          <w:rFonts w:hint="eastAsia"/>
          <w:color w:val="auto"/>
        </w:rPr>
        <w:t>资</w:t>
      </w:r>
      <w:r>
        <w:rPr>
          <w:color w:val="auto"/>
        </w:rPr>
        <w:t>的维护、定期检查与更新。</w:t>
      </w:r>
    </w:p>
    <w:p w14:paraId="6F7D3F7A">
      <w:pPr>
        <w:keepNext/>
        <w:keepLines/>
        <w:spacing w:before="120" w:beforeLines="50"/>
        <w:ind w:firstLine="0" w:firstLineChars="0"/>
        <w:outlineLvl w:val="1"/>
        <w:rPr>
          <w:color w:val="auto"/>
        </w:rPr>
      </w:pPr>
      <w:bookmarkStart w:id="48" w:name="_Toc5635"/>
      <w:r>
        <w:rPr>
          <w:b/>
          <w:bCs/>
          <w:color w:val="auto"/>
          <w:sz w:val="30"/>
          <w:szCs w:val="30"/>
        </w:rPr>
        <w:t>3.</w:t>
      </w:r>
      <w:r>
        <w:rPr>
          <w:rFonts w:hint="eastAsia"/>
          <w:b/>
          <w:bCs/>
          <w:color w:val="auto"/>
          <w:sz w:val="30"/>
          <w:szCs w:val="30"/>
        </w:rPr>
        <w:t>5</w:t>
      </w:r>
      <w:r>
        <w:rPr>
          <w:b/>
          <w:bCs/>
          <w:color w:val="auto"/>
          <w:sz w:val="30"/>
          <w:szCs w:val="30"/>
        </w:rPr>
        <w:t xml:space="preserve"> 现</w:t>
      </w:r>
      <w:r>
        <w:rPr>
          <w:rFonts w:hint="eastAsia"/>
          <w:b/>
          <w:bCs/>
          <w:color w:val="auto"/>
          <w:sz w:val="30"/>
          <w:szCs w:val="30"/>
        </w:rPr>
        <w:t>有项目排污许可证手续办理情况</w:t>
      </w:r>
      <w:bookmarkEnd w:id="48"/>
    </w:p>
    <w:p w14:paraId="32F91173">
      <w:pPr>
        <w:ind w:firstLine="482"/>
        <w:rPr>
          <w:b/>
          <w:bCs/>
          <w:color w:val="auto"/>
        </w:rPr>
      </w:pPr>
      <w:r>
        <w:rPr>
          <w:rFonts w:hint="eastAsia"/>
          <w:b/>
          <w:bCs/>
          <w:color w:val="auto"/>
        </w:rPr>
        <w:t>1、排污许可证手续办理情况</w:t>
      </w:r>
    </w:p>
    <w:p w14:paraId="181F326F">
      <w:pPr>
        <w:ind w:firstLine="480"/>
        <w:rPr>
          <w:color w:val="auto"/>
        </w:rPr>
      </w:pPr>
      <w:r>
        <w:rPr>
          <w:rFonts w:hint="eastAsia"/>
          <w:color w:val="auto"/>
        </w:rPr>
        <w:t>一道新材科技（连云港）有限公司于2024年4月25日取得固定污染源排污登记回执，登记编号：91320791MAC42FPX3B001Z，有效期限：2024年4月25日至2029年4月24日止。</w:t>
      </w:r>
    </w:p>
    <w:p w14:paraId="7FDE9500">
      <w:pPr>
        <w:ind w:firstLine="482"/>
        <w:rPr>
          <w:b/>
          <w:bCs/>
          <w:color w:val="auto"/>
        </w:rPr>
      </w:pPr>
      <w:r>
        <w:rPr>
          <w:rFonts w:hint="eastAsia"/>
          <w:b/>
          <w:bCs/>
          <w:color w:val="auto"/>
        </w:rPr>
        <w:t>2、许可证执行报告</w:t>
      </w:r>
    </w:p>
    <w:p w14:paraId="1907288C">
      <w:pPr>
        <w:ind w:firstLine="480"/>
        <w:rPr>
          <w:color w:val="auto"/>
        </w:rPr>
      </w:pPr>
      <w:r>
        <w:rPr>
          <w:rFonts w:hint="eastAsia"/>
          <w:color w:val="auto"/>
        </w:rPr>
        <w:t>建设单位已按要求填报许可证执行报告。</w:t>
      </w:r>
    </w:p>
    <w:p w14:paraId="42AB4CF7">
      <w:pPr>
        <w:keepNext/>
        <w:keepLines/>
        <w:spacing w:before="120" w:beforeLines="50"/>
        <w:ind w:firstLine="0" w:firstLineChars="0"/>
        <w:outlineLvl w:val="1"/>
        <w:rPr>
          <w:b/>
          <w:bCs/>
          <w:color w:val="auto"/>
          <w:sz w:val="30"/>
          <w:szCs w:val="30"/>
        </w:rPr>
      </w:pPr>
      <w:bookmarkStart w:id="49" w:name="_Toc17892"/>
      <w:r>
        <w:rPr>
          <w:rFonts w:hint="eastAsia"/>
          <w:b/>
          <w:bCs/>
          <w:color w:val="auto"/>
          <w:sz w:val="30"/>
          <w:szCs w:val="30"/>
        </w:rPr>
        <w:t>3.6 环境风险隐患排查执行情况</w:t>
      </w:r>
      <w:bookmarkEnd w:id="49"/>
    </w:p>
    <w:p w14:paraId="40B46BDC">
      <w:pPr>
        <w:ind w:firstLine="480"/>
        <w:rPr>
          <w:color w:val="auto"/>
        </w:rPr>
      </w:pPr>
      <w:r>
        <w:rPr>
          <w:rFonts w:hint="eastAsia"/>
          <w:color w:val="auto"/>
        </w:rPr>
        <w:t>企业暂未针对土壤、地下水开展隐患排查工作，建议企业按照《危险废物贮存污染控制标准》（GB18597-2023）和《省生态环境厅关于加快推进土壤污染重点监管单位隐患排查工作的通知》（苏环办〔2021〕238号）相关要求分别开展土壤和地下水隐患排查制度。</w:t>
      </w:r>
    </w:p>
    <w:p w14:paraId="649A9F60">
      <w:pPr>
        <w:keepNext/>
        <w:keepLines/>
        <w:spacing w:before="120" w:beforeLines="50"/>
        <w:ind w:firstLine="0" w:firstLineChars="0"/>
        <w:outlineLvl w:val="1"/>
        <w:rPr>
          <w:color w:val="auto"/>
        </w:rPr>
      </w:pPr>
      <w:bookmarkStart w:id="50" w:name="_Toc9850"/>
      <w:r>
        <w:rPr>
          <w:b/>
          <w:bCs/>
          <w:color w:val="auto"/>
          <w:sz w:val="30"/>
          <w:szCs w:val="30"/>
        </w:rPr>
        <w:t>3.</w:t>
      </w:r>
      <w:r>
        <w:rPr>
          <w:rFonts w:hint="eastAsia"/>
          <w:b/>
          <w:bCs/>
          <w:color w:val="auto"/>
          <w:sz w:val="30"/>
          <w:szCs w:val="30"/>
        </w:rPr>
        <w:t>7</w:t>
      </w:r>
      <w:r>
        <w:rPr>
          <w:b/>
          <w:bCs/>
          <w:color w:val="auto"/>
          <w:sz w:val="30"/>
          <w:szCs w:val="30"/>
        </w:rPr>
        <w:t xml:space="preserve"> 现有项目</w:t>
      </w:r>
      <w:r>
        <w:rPr>
          <w:rFonts w:hint="eastAsia"/>
          <w:b/>
          <w:bCs/>
          <w:color w:val="auto"/>
          <w:sz w:val="30"/>
          <w:szCs w:val="30"/>
        </w:rPr>
        <w:t>存在问题及“以新带老”措施</w:t>
      </w:r>
      <w:bookmarkEnd w:id="50"/>
    </w:p>
    <w:p w14:paraId="1AE11885">
      <w:pPr>
        <w:ind w:firstLine="480"/>
        <w:rPr>
          <w:color w:val="auto"/>
        </w:rPr>
      </w:pPr>
      <w:r>
        <w:rPr>
          <w:rFonts w:hint="eastAsia"/>
          <w:color w:val="auto"/>
        </w:rPr>
        <w:t>针对现有项目存在的环境问题，本次扩建项目拟采取以下“以新带老”措施：</w:t>
      </w:r>
    </w:p>
    <w:p w14:paraId="48765658">
      <w:pPr>
        <w:ind w:firstLine="480"/>
        <w:rPr>
          <w:color w:val="auto"/>
        </w:rPr>
      </w:pPr>
      <w:r>
        <w:rPr>
          <w:rFonts w:hint="eastAsia"/>
          <w:color w:val="auto"/>
        </w:rPr>
        <w:t>（1）存在环保问题：</w:t>
      </w:r>
    </w:p>
    <w:p w14:paraId="7EDB585D">
      <w:pPr>
        <w:ind w:firstLine="480"/>
        <w:rPr>
          <w:color w:val="auto"/>
        </w:rPr>
      </w:pPr>
      <w:r>
        <w:rPr>
          <w:rFonts w:hint="eastAsia"/>
          <w:color w:val="auto"/>
        </w:rPr>
        <w:t>现有项目考虑裁切过程中产生的废铝颗粒经布袋除尘器收集后外售综合利用，但未考虑布袋除尘器破损会产生废布袋，拟扩建项目补充该部分固废产生情况。</w:t>
      </w:r>
    </w:p>
    <w:p w14:paraId="3FD9E54A">
      <w:pPr>
        <w:numPr>
          <w:ilvl w:val="0"/>
          <w:numId w:val="23"/>
        </w:numPr>
        <w:ind w:firstLine="480"/>
        <w:rPr>
          <w:color w:val="auto"/>
        </w:rPr>
      </w:pPr>
      <w:r>
        <w:rPr>
          <w:rFonts w:hint="eastAsia"/>
          <w:color w:val="auto"/>
        </w:rPr>
        <w:t>以新带老措施</w:t>
      </w:r>
    </w:p>
    <w:p w14:paraId="253E2B51">
      <w:pPr>
        <w:ind w:firstLine="480"/>
        <w:rPr>
          <w:color w:val="auto"/>
        </w:rPr>
      </w:pPr>
      <w:r>
        <w:rPr>
          <w:rFonts w:hint="eastAsia"/>
          <w:color w:val="auto"/>
        </w:rPr>
        <w:t>企业拟按照《一般工业固体废物贮存和填埋污染控制标准》（GB18599-2020）中相关要求进行分类收集、管理。拟建项目拟加强固废的收集、贮存管理等。</w:t>
      </w:r>
    </w:p>
    <w:p w14:paraId="5D107753">
      <w:pPr>
        <w:numPr>
          <w:ilvl w:val="0"/>
          <w:numId w:val="24"/>
        </w:numPr>
        <w:ind w:firstLine="480"/>
        <w:rPr>
          <w:color w:val="auto"/>
        </w:rPr>
      </w:pPr>
      <w:r>
        <w:rPr>
          <w:rFonts w:hint="eastAsia"/>
          <w:color w:val="auto"/>
        </w:rPr>
        <w:t>项目整体搬迁到连云港经济技术开发区东至大浦路，南至盐池西路，西至项目边界，北至盐汇路新建厂区。</w:t>
      </w:r>
    </w:p>
    <w:p w14:paraId="5BBE8E22">
      <w:pPr>
        <w:ind w:firstLine="480"/>
        <w:rPr>
          <w:color w:val="auto"/>
        </w:rPr>
      </w:pPr>
      <w:r>
        <w:rPr>
          <w:rFonts w:hint="eastAsia"/>
          <w:color w:val="auto"/>
        </w:rPr>
        <w:t>B. 拟建项目拟按照《危险废物贮存污染控制标准》（GB18597-2023）《省生态环境厅关于印发〈江苏省固体废物全过程环境监管工作意见〉的通知》（苏环办〔2024〕16号）等要求建设合规的危废暂存间，对危废暂存间进行防腐、防渗，规范危废台账。</w:t>
      </w:r>
    </w:p>
    <w:p w14:paraId="385F862B">
      <w:pPr>
        <w:keepNext/>
        <w:keepLines/>
        <w:spacing w:before="120" w:beforeLines="50"/>
        <w:ind w:firstLine="0" w:firstLineChars="0"/>
        <w:outlineLvl w:val="1"/>
        <w:rPr>
          <w:color w:val="auto"/>
        </w:rPr>
      </w:pPr>
      <w:bookmarkStart w:id="51" w:name="_Toc23224"/>
      <w:r>
        <w:rPr>
          <w:b/>
          <w:bCs/>
          <w:color w:val="auto"/>
          <w:sz w:val="30"/>
          <w:szCs w:val="30"/>
        </w:rPr>
        <w:t>3.</w:t>
      </w:r>
      <w:r>
        <w:rPr>
          <w:rFonts w:hint="eastAsia"/>
          <w:b/>
          <w:bCs/>
          <w:color w:val="auto"/>
          <w:sz w:val="30"/>
          <w:szCs w:val="30"/>
        </w:rPr>
        <w:t>8</w:t>
      </w:r>
      <w:r>
        <w:rPr>
          <w:b/>
          <w:bCs/>
          <w:color w:val="auto"/>
          <w:sz w:val="30"/>
          <w:szCs w:val="30"/>
        </w:rPr>
        <w:t xml:space="preserve"> 现有项目</w:t>
      </w:r>
      <w:r>
        <w:rPr>
          <w:rFonts w:hint="eastAsia"/>
          <w:b/>
          <w:bCs/>
          <w:color w:val="auto"/>
          <w:sz w:val="30"/>
          <w:szCs w:val="30"/>
        </w:rPr>
        <w:t>关停计划环境管理要求</w:t>
      </w:r>
      <w:bookmarkEnd w:id="51"/>
    </w:p>
    <w:p w14:paraId="43AAF4F7">
      <w:pPr>
        <w:ind w:firstLine="480"/>
        <w:rPr>
          <w:color w:val="auto"/>
        </w:rPr>
      </w:pPr>
      <w:r>
        <w:rPr>
          <w:rFonts w:hint="eastAsia"/>
          <w:color w:val="auto"/>
        </w:rPr>
        <w:t>本项目拟于取得环评批复后开工建设，预计2026年12月建成后投产运行。由于搬迁项目需利用现有项目的生产设备，现有项目已于2024年8月全面停产，着手开始进行拆除工作，与搬迁项目不存在同时生产的情形。</w:t>
      </w:r>
    </w:p>
    <w:p w14:paraId="10847D4D">
      <w:pPr>
        <w:keepNext/>
        <w:keepLines/>
        <w:spacing w:before="120" w:beforeLines="50"/>
        <w:ind w:firstLine="0" w:firstLineChars="0"/>
        <w:outlineLvl w:val="2"/>
        <w:rPr>
          <w:rFonts w:hint="default" w:eastAsia="宋体"/>
          <w:b/>
          <w:bCs/>
          <w:color w:val="auto"/>
          <w:sz w:val="28"/>
          <w:szCs w:val="36"/>
          <w:lang w:val="en-US" w:eastAsia="zh-CN"/>
        </w:rPr>
      </w:pPr>
      <w:r>
        <w:rPr>
          <w:rFonts w:hint="eastAsia"/>
          <w:b/>
          <w:bCs/>
          <w:color w:val="auto"/>
          <w:sz w:val="28"/>
          <w:szCs w:val="36"/>
        </w:rPr>
        <w:t>3.8.1 现有项目在</w:t>
      </w:r>
      <w:r>
        <w:rPr>
          <w:rFonts w:hint="eastAsia"/>
          <w:b/>
          <w:bCs/>
          <w:color w:val="auto"/>
          <w:sz w:val="28"/>
          <w:szCs w:val="36"/>
          <w:lang w:val="en-US" w:eastAsia="zh-CN"/>
        </w:rPr>
        <w:t>拆除</w:t>
      </w:r>
      <w:r>
        <w:rPr>
          <w:rFonts w:hint="eastAsia"/>
          <w:b/>
          <w:bCs/>
          <w:color w:val="auto"/>
          <w:sz w:val="28"/>
          <w:szCs w:val="36"/>
        </w:rPr>
        <w:t>过程中的污染防治措</w:t>
      </w:r>
      <w:r>
        <w:rPr>
          <w:rFonts w:hint="eastAsia"/>
          <w:b/>
          <w:bCs/>
          <w:color w:val="auto"/>
          <w:sz w:val="28"/>
          <w:szCs w:val="28"/>
        </w:rPr>
        <w:t>施</w:t>
      </w:r>
      <w:r>
        <w:rPr>
          <w:rStyle w:val="146"/>
          <w:rFonts w:hint="eastAsia"/>
          <w:b/>
          <w:bCs/>
          <w:color w:val="auto"/>
          <w:sz w:val="28"/>
          <w:szCs w:val="28"/>
          <w:lang w:val="en-US" w:eastAsia="zh-CN"/>
        </w:rPr>
        <w:t>及影响分析</w:t>
      </w:r>
    </w:p>
    <w:p w14:paraId="7B69D06A">
      <w:pPr>
        <w:ind w:firstLine="480"/>
        <w:rPr>
          <w:rFonts w:hint="eastAsia"/>
          <w:color w:val="auto"/>
          <w:lang w:val="en-US" w:eastAsia="zh-CN"/>
        </w:rPr>
      </w:pPr>
      <w:r>
        <w:rPr>
          <w:rFonts w:hint="eastAsia"/>
          <w:color w:val="auto"/>
          <w:lang w:val="en-US" w:eastAsia="zh-CN"/>
        </w:rPr>
        <w:t>现有项目涉及拆除的内容主要包括：0.7GW/a光伏组件铝边框生产线主体设备及辅助设施。</w:t>
      </w:r>
    </w:p>
    <w:p w14:paraId="4AF257FA">
      <w:pPr>
        <w:ind w:firstLine="480"/>
        <w:rPr>
          <w:rFonts w:hint="eastAsia"/>
          <w:color w:val="auto"/>
          <w:lang w:val="en-US" w:eastAsia="zh-CN"/>
        </w:rPr>
      </w:pPr>
      <w:r>
        <w:rPr>
          <w:rFonts w:hint="eastAsia"/>
          <w:color w:val="auto"/>
          <w:lang w:val="en-US" w:eastAsia="zh-CN"/>
        </w:rPr>
        <w:t>现有项目在拆除过程中应重点防止拆除活动中的废水、固体废物，以及遗留物料和残留污染物污染土壤。本次评价参照《企业拆除活动污染防治技术规定》（环保部公告2017年第78号）《企业设备、建（构）物拆除活动污染防治技术指南》(T/CAEPI16-2018）等要求提出拆除工程污染控制措施。</w:t>
      </w:r>
    </w:p>
    <w:p w14:paraId="44F94461">
      <w:pPr>
        <w:numPr>
          <w:ilvl w:val="0"/>
          <w:numId w:val="25"/>
        </w:numPr>
        <w:ind w:firstLine="480"/>
        <w:rPr>
          <w:rFonts w:hint="eastAsia"/>
          <w:color w:val="auto"/>
          <w:lang w:val="en-US" w:eastAsia="zh-CN"/>
        </w:rPr>
      </w:pPr>
      <w:r>
        <w:rPr>
          <w:rFonts w:hint="eastAsia"/>
          <w:color w:val="auto"/>
          <w:lang w:val="en-US" w:eastAsia="zh-CN"/>
        </w:rPr>
        <w:t>污染风险识别：收集基础资料，初步识别拆除活动中可能导致的环境污染和人体健康损害风险；</w:t>
      </w:r>
    </w:p>
    <w:p w14:paraId="52AE714A">
      <w:pPr>
        <w:numPr>
          <w:ilvl w:val="0"/>
          <w:numId w:val="25"/>
        </w:numPr>
        <w:ind w:firstLine="480"/>
        <w:rPr>
          <w:rFonts w:hint="default"/>
          <w:color w:val="auto"/>
          <w:lang w:val="en-US" w:eastAsia="zh-CN"/>
        </w:rPr>
      </w:pPr>
      <w:r>
        <w:rPr>
          <w:rFonts w:hint="eastAsia"/>
          <w:color w:val="auto"/>
          <w:lang w:val="en-US" w:eastAsia="zh-CN"/>
        </w:rPr>
        <w:t>拆除活动污染防治方案制定：根据《企业拆除活动污染防治技术规定》（试行）要求，拆除活动前，建设单位需编制《企业拆除活动污染防治方案》《拆除活动环境应急预案》《企业拆除活动污染防治方案》需报所在地环境保护主管和信息化部门备案，《拆除活动环境应急预案》的编制及管理参照《企业事业单位突发环境事件应急预案备案管理办法》（环发〔2015〕4号）执行。</w:t>
      </w:r>
    </w:p>
    <w:p w14:paraId="2A7A00DB">
      <w:pPr>
        <w:numPr>
          <w:ilvl w:val="0"/>
          <w:numId w:val="25"/>
        </w:numPr>
        <w:ind w:left="0" w:leftChars="0" w:firstLine="480" w:firstLineChars="200"/>
        <w:rPr>
          <w:rFonts w:hint="eastAsia"/>
          <w:color w:val="auto"/>
          <w:lang w:val="en-US" w:eastAsia="zh-CN"/>
        </w:rPr>
      </w:pPr>
      <w:r>
        <w:rPr>
          <w:rFonts w:hint="eastAsia"/>
          <w:color w:val="auto"/>
          <w:lang w:val="en-US" w:eastAsia="zh-CN"/>
        </w:rPr>
        <w:t>拆除作业区设置：根据拆除活动机环境污染防治需要，划分拆除作业区域，实现污染物集中产生、集中收集，防止和减少污染扩散；</w:t>
      </w:r>
    </w:p>
    <w:p w14:paraId="4CCD7E0B">
      <w:pPr>
        <w:numPr>
          <w:ilvl w:val="0"/>
          <w:numId w:val="25"/>
        </w:numPr>
        <w:ind w:left="0" w:leftChars="0" w:firstLine="480" w:firstLineChars="200"/>
        <w:rPr>
          <w:rFonts w:hint="default"/>
          <w:color w:val="auto"/>
          <w:lang w:val="en-US" w:eastAsia="zh-CN"/>
        </w:rPr>
      </w:pPr>
      <w:r>
        <w:rPr>
          <w:rFonts w:hint="eastAsia"/>
          <w:color w:val="auto"/>
          <w:lang w:val="en-US" w:eastAsia="zh-CN"/>
        </w:rPr>
        <w:t>拆除施工：开展遗留设备、建（构）筑物拆除施工，拆除施工过程中应做好选邻及设备拆除、建（构）筑物拆除、固体废物清理等工作，避免新增二次污染和次生突发环境污染事件，应同时满足《绿色建造技术导则》（建办质〔2021〕9号）相关要求。同时做好现场标识与记录，必要时进行环境监测与清理，做好与后续场地调查工作的衔接。</w:t>
      </w:r>
    </w:p>
    <w:p w14:paraId="64887B20">
      <w:pPr>
        <w:numPr>
          <w:ilvl w:val="0"/>
          <w:numId w:val="25"/>
        </w:numPr>
        <w:ind w:left="0" w:leftChars="0" w:firstLine="480" w:firstLineChars="200"/>
        <w:rPr>
          <w:rFonts w:hint="default"/>
          <w:color w:val="auto"/>
          <w:lang w:val="en-US" w:eastAsia="zh-CN"/>
        </w:rPr>
      </w:pPr>
      <w:r>
        <w:rPr>
          <w:rFonts w:hint="eastAsia"/>
          <w:color w:val="auto"/>
          <w:lang w:val="en-US" w:eastAsia="zh-CN"/>
        </w:rPr>
        <w:t>现场清理及清理后场地保护：及时清理拆除现场，并对土壤污染及疑似土壤污染所在区域采取一定防雨水淋溶、侵蚀等措施，避免污染物进一步扩散。</w:t>
      </w:r>
    </w:p>
    <w:p w14:paraId="34C9C803">
      <w:pPr>
        <w:numPr>
          <w:ilvl w:val="0"/>
          <w:numId w:val="25"/>
        </w:numPr>
        <w:ind w:left="0" w:leftChars="0" w:firstLine="480" w:firstLineChars="200"/>
        <w:rPr>
          <w:rFonts w:hint="default"/>
          <w:color w:val="auto"/>
          <w:lang w:val="en-US" w:eastAsia="zh-CN"/>
        </w:rPr>
      </w:pPr>
      <w:r>
        <w:rPr>
          <w:rFonts w:hint="eastAsia"/>
          <w:color w:val="auto"/>
          <w:lang w:val="en-US" w:eastAsia="zh-CN"/>
        </w:rPr>
        <w:t>拆除活动环境保护工作总结：拆除活动结束后编制《企业拆除活动环境保护工作总结报告》，保存拆除活动过程中的污染防治相关资料并归档；</w:t>
      </w:r>
    </w:p>
    <w:p w14:paraId="6440A6A8">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eastAsia"/>
          <w:color w:val="auto"/>
          <w:lang w:val="en-US" w:eastAsia="zh-CN"/>
        </w:rPr>
      </w:pPr>
      <w:r>
        <w:rPr>
          <w:rFonts w:hint="eastAsia"/>
          <w:color w:val="auto"/>
          <w:lang w:val="en-US" w:eastAsia="zh-CN"/>
        </w:rPr>
        <w:t>现有厂区本次搬迁扩建项目不涉及建（构）筑物的拆除，为现有项目生产设备的拆除。拆除设备过程污染防治措施和影响分析如下：</w:t>
      </w:r>
    </w:p>
    <w:p w14:paraId="1DB46AFC">
      <w:pPr>
        <w:pStyle w:val="1356"/>
        <w:keepNext w:val="0"/>
        <w:keepLines w:val="0"/>
        <w:pageBreakBefore w:val="0"/>
        <w:widowControl/>
        <w:kinsoku/>
        <w:wordWrap/>
        <w:overflowPunct/>
        <w:topLinePunct w:val="0"/>
        <w:autoSpaceDE/>
        <w:autoSpaceDN/>
        <w:bidi w:val="0"/>
        <w:adjustRightInd w:val="0"/>
        <w:snapToGrid w:val="0"/>
        <w:spacing w:before="120" w:beforeLines="50"/>
        <w:ind w:firstLine="0" w:firstLineChars="0"/>
        <w:jc w:val="left"/>
        <w:textAlignment w:val="auto"/>
        <w:outlineLvl w:val="3"/>
        <w:rPr>
          <w:rFonts w:hint="default" w:eastAsia="宋体"/>
          <w:b/>
          <w:color w:val="auto"/>
          <w:sz w:val="28"/>
          <w:szCs w:val="32"/>
          <w:lang w:val="en-US" w:eastAsia="zh-CN"/>
        </w:rPr>
      </w:pPr>
      <w:r>
        <w:rPr>
          <w:rFonts w:hint="eastAsia"/>
          <w:b/>
          <w:color w:val="auto"/>
          <w:sz w:val="28"/>
          <w:szCs w:val="32"/>
        </w:rPr>
        <w:t>3.</w:t>
      </w:r>
      <w:r>
        <w:rPr>
          <w:rFonts w:hint="eastAsia"/>
          <w:b/>
          <w:color w:val="auto"/>
          <w:sz w:val="28"/>
          <w:szCs w:val="32"/>
          <w:lang w:val="en-US" w:eastAsia="zh-CN"/>
        </w:rPr>
        <w:t>8</w:t>
      </w:r>
      <w:r>
        <w:rPr>
          <w:rFonts w:hint="eastAsia"/>
          <w:b/>
          <w:color w:val="auto"/>
          <w:sz w:val="28"/>
          <w:szCs w:val="32"/>
        </w:rPr>
        <w:t>.1</w:t>
      </w:r>
      <w:r>
        <w:rPr>
          <w:rFonts w:hint="eastAsia"/>
          <w:b/>
          <w:color w:val="auto"/>
          <w:sz w:val="28"/>
          <w:szCs w:val="32"/>
          <w:lang w:val="en-US" w:eastAsia="zh-CN"/>
        </w:rPr>
        <w:t>.1</w:t>
      </w:r>
      <w:r>
        <w:rPr>
          <w:rFonts w:hint="eastAsia"/>
          <w:b/>
          <w:color w:val="auto"/>
          <w:sz w:val="28"/>
          <w:szCs w:val="32"/>
        </w:rPr>
        <w:t xml:space="preserve"> </w:t>
      </w:r>
      <w:r>
        <w:rPr>
          <w:rFonts w:hint="eastAsia"/>
          <w:b/>
          <w:color w:val="auto"/>
          <w:sz w:val="28"/>
          <w:szCs w:val="32"/>
          <w:lang w:val="en-US" w:eastAsia="zh-CN"/>
        </w:rPr>
        <w:t>拟拆除设备应采取的污染防治控制措施</w:t>
      </w:r>
    </w:p>
    <w:p w14:paraId="6C032BAC">
      <w:pPr>
        <w:pStyle w:val="1356"/>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9"/>
        <w:rPr>
          <w:b/>
          <w:color w:val="auto"/>
          <w:sz w:val="24"/>
          <w:szCs w:val="28"/>
        </w:rPr>
      </w:pPr>
      <w:r>
        <w:rPr>
          <w:rFonts w:hint="eastAsia"/>
          <w:b/>
          <w:color w:val="auto"/>
          <w:sz w:val="24"/>
          <w:szCs w:val="28"/>
          <w:lang w:val="en-US" w:eastAsia="zh-CN"/>
        </w:rPr>
        <w:t>1、</w:t>
      </w:r>
      <w:r>
        <w:rPr>
          <w:rFonts w:hint="eastAsia"/>
          <w:b/>
          <w:color w:val="auto"/>
          <w:sz w:val="24"/>
          <w:szCs w:val="28"/>
        </w:rPr>
        <w:t>设备放空和废气治理要求</w:t>
      </w:r>
    </w:p>
    <w:p w14:paraId="2D68E8DF">
      <w:pPr>
        <w:ind w:firstLine="480"/>
        <w:rPr>
          <w:color w:val="auto"/>
        </w:rPr>
      </w:pPr>
      <w:r>
        <w:rPr>
          <w:rFonts w:hint="eastAsia"/>
          <w:color w:val="auto"/>
        </w:rPr>
        <w:t>公司拟拆除的设备可能有剩余的原料，原料为液体、固体，在拆除前应该将原料储存包装在包装桶中。</w:t>
      </w:r>
    </w:p>
    <w:p w14:paraId="333DE595">
      <w:pPr>
        <w:pStyle w:val="1356"/>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9"/>
        <w:rPr>
          <w:rFonts w:hint="eastAsia" w:ascii="Times New Roman" w:hAnsi="Times New Roman" w:eastAsia="宋体" w:cs="Times New Roman"/>
          <w:b/>
          <w:color w:val="auto"/>
          <w:sz w:val="24"/>
          <w:szCs w:val="28"/>
          <w:lang w:val="en-US" w:eastAsia="zh-CN"/>
        </w:rPr>
      </w:pPr>
      <w:r>
        <w:rPr>
          <w:rFonts w:hint="eastAsia" w:ascii="Times New Roman" w:hAnsi="Times New Roman" w:eastAsia="宋体" w:cs="Times New Roman"/>
          <w:b/>
          <w:color w:val="auto"/>
          <w:sz w:val="24"/>
          <w:szCs w:val="28"/>
          <w:lang w:val="en-US" w:eastAsia="zh-CN"/>
        </w:rPr>
        <w:t>2、设备无害化清洗要求</w:t>
      </w:r>
    </w:p>
    <w:p w14:paraId="1FA4C661">
      <w:pPr>
        <w:ind w:firstLine="480"/>
        <w:rPr>
          <w:color w:val="auto"/>
        </w:rPr>
      </w:pPr>
      <w:r>
        <w:rPr>
          <w:rFonts w:hint="eastAsia"/>
          <w:color w:val="auto"/>
        </w:rPr>
        <w:t>设备在拆除前需要无害化清洗，公司设备主要沾染机</w:t>
      </w:r>
      <w:r>
        <w:rPr>
          <w:rFonts w:hint="eastAsia"/>
          <w:color w:val="auto"/>
          <w:lang w:val="en-US" w:eastAsia="zh-CN"/>
        </w:rPr>
        <w:t xml:space="preserve"> </w:t>
      </w:r>
      <w:r>
        <w:rPr>
          <w:rFonts w:hint="eastAsia"/>
          <w:color w:val="auto"/>
        </w:rPr>
        <w:t>油，因此可以采用含清洗剂的自来水清洗设备，去除设备上沾染的物质，清洗的废水接管至开发区临港污水处理厂集中处理。</w:t>
      </w:r>
    </w:p>
    <w:p w14:paraId="5CCCF157">
      <w:pPr>
        <w:pStyle w:val="1356"/>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9"/>
        <w:rPr>
          <w:rFonts w:hint="eastAsia" w:ascii="Times New Roman" w:hAnsi="Times New Roman" w:eastAsia="宋体" w:cs="Times New Roman"/>
          <w:b/>
          <w:color w:val="auto"/>
          <w:sz w:val="24"/>
          <w:szCs w:val="28"/>
          <w:lang w:val="en-US" w:eastAsia="zh-CN"/>
        </w:rPr>
      </w:pPr>
      <w:r>
        <w:rPr>
          <w:rFonts w:hint="eastAsia" w:ascii="Times New Roman" w:hAnsi="Times New Roman" w:eastAsia="宋体" w:cs="Times New Roman"/>
          <w:b/>
          <w:color w:val="auto"/>
          <w:sz w:val="24"/>
          <w:szCs w:val="28"/>
          <w:lang w:val="en-US" w:eastAsia="zh-CN"/>
        </w:rPr>
        <w:t>3、设备拆除顺序</w:t>
      </w:r>
    </w:p>
    <w:p w14:paraId="2EED051E">
      <w:pPr>
        <w:ind w:firstLine="480"/>
        <w:rPr>
          <w:color w:val="auto"/>
        </w:rPr>
      </w:pPr>
      <w:r>
        <w:rPr>
          <w:rFonts w:hint="eastAsia"/>
          <w:color w:val="auto"/>
        </w:rPr>
        <w:t>从环境保护以及安全施工的角度考虑，公司设备拆除将按照表3.</w:t>
      </w:r>
      <w:r>
        <w:rPr>
          <w:rFonts w:hint="eastAsia"/>
          <w:color w:val="auto"/>
          <w:lang w:val="en-US" w:eastAsia="zh-CN"/>
        </w:rPr>
        <w:t>8</w:t>
      </w:r>
      <w:r>
        <w:rPr>
          <w:rFonts w:hint="eastAsia"/>
          <w:color w:val="auto"/>
        </w:rPr>
        <w:t>-1的顺序进行。</w:t>
      </w:r>
    </w:p>
    <w:p w14:paraId="4CA1CA59">
      <w:pPr>
        <w:spacing w:line="240" w:lineRule="auto"/>
        <w:ind w:firstLine="0" w:firstLineChars="0"/>
        <w:jc w:val="center"/>
        <w:rPr>
          <w:b/>
          <w:bCs/>
          <w:color w:val="auto"/>
        </w:rPr>
      </w:pPr>
      <w:r>
        <w:rPr>
          <w:rFonts w:hint="eastAsia"/>
          <w:b/>
          <w:bCs/>
          <w:color w:val="auto"/>
        </w:rPr>
        <w:t>表3.</w:t>
      </w:r>
      <w:r>
        <w:rPr>
          <w:rFonts w:hint="eastAsia"/>
          <w:b/>
          <w:bCs/>
          <w:color w:val="auto"/>
          <w:lang w:val="en-US" w:eastAsia="zh-CN"/>
        </w:rPr>
        <w:t>8</w:t>
      </w:r>
      <w:r>
        <w:rPr>
          <w:rFonts w:hint="eastAsia"/>
          <w:b/>
          <w:bCs/>
          <w:color w:val="auto"/>
        </w:rPr>
        <w:t>-1  设备拆除顺序</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6B4ED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412F7881">
            <w:pPr>
              <w:spacing w:line="240" w:lineRule="auto"/>
              <w:ind w:firstLine="0" w:firstLineChars="0"/>
              <w:jc w:val="center"/>
              <w:rPr>
                <w:b/>
                <w:bCs/>
                <w:color w:val="auto"/>
                <w:sz w:val="21"/>
                <w:szCs w:val="21"/>
              </w:rPr>
            </w:pPr>
            <w:r>
              <w:rPr>
                <w:rFonts w:hint="eastAsia"/>
                <w:b/>
                <w:bCs/>
                <w:color w:val="auto"/>
                <w:sz w:val="21"/>
                <w:szCs w:val="21"/>
              </w:rPr>
              <w:t>拆除顺序</w:t>
            </w:r>
          </w:p>
        </w:tc>
        <w:tc>
          <w:tcPr>
            <w:tcW w:w="2500" w:type="pct"/>
            <w:tcBorders>
              <w:tl2br w:val="nil"/>
              <w:tr2bl w:val="nil"/>
            </w:tcBorders>
          </w:tcPr>
          <w:p w14:paraId="1C7D3BEF">
            <w:pPr>
              <w:spacing w:line="240" w:lineRule="auto"/>
              <w:ind w:firstLine="0" w:firstLineChars="0"/>
              <w:jc w:val="center"/>
              <w:rPr>
                <w:b/>
                <w:bCs/>
                <w:color w:val="auto"/>
                <w:sz w:val="21"/>
                <w:szCs w:val="21"/>
              </w:rPr>
            </w:pPr>
            <w:r>
              <w:rPr>
                <w:rFonts w:hint="eastAsia"/>
                <w:b/>
                <w:bCs/>
                <w:color w:val="auto"/>
                <w:sz w:val="21"/>
                <w:szCs w:val="21"/>
              </w:rPr>
              <w:t>拆除设备</w:t>
            </w:r>
          </w:p>
        </w:tc>
      </w:tr>
      <w:tr w14:paraId="45707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2D494922">
            <w:pPr>
              <w:spacing w:line="240" w:lineRule="auto"/>
              <w:ind w:firstLine="0" w:firstLineChars="0"/>
              <w:jc w:val="center"/>
              <w:rPr>
                <w:color w:val="auto"/>
                <w:sz w:val="21"/>
                <w:szCs w:val="21"/>
              </w:rPr>
            </w:pPr>
            <w:r>
              <w:rPr>
                <w:rFonts w:hint="eastAsia"/>
                <w:color w:val="auto"/>
                <w:sz w:val="21"/>
                <w:szCs w:val="21"/>
              </w:rPr>
              <w:t>第一步</w:t>
            </w:r>
          </w:p>
        </w:tc>
        <w:tc>
          <w:tcPr>
            <w:tcW w:w="2500" w:type="pct"/>
            <w:tcBorders>
              <w:tl2br w:val="nil"/>
              <w:tr2bl w:val="nil"/>
            </w:tcBorders>
          </w:tcPr>
          <w:p w14:paraId="21668E63">
            <w:pPr>
              <w:spacing w:line="240" w:lineRule="auto"/>
              <w:ind w:firstLine="0" w:firstLineChars="0"/>
              <w:jc w:val="center"/>
              <w:rPr>
                <w:color w:val="auto"/>
                <w:sz w:val="21"/>
                <w:szCs w:val="21"/>
              </w:rPr>
            </w:pPr>
            <w:r>
              <w:rPr>
                <w:rFonts w:hint="eastAsia"/>
                <w:color w:val="auto"/>
                <w:sz w:val="21"/>
                <w:szCs w:val="21"/>
              </w:rPr>
              <w:t>电气、仪表、阀门、工艺管道拆除</w:t>
            </w:r>
          </w:p>
        </w:tc>
      </w:tr>
      <w:tr w14:paraId="04FE7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19BF56CC">
            <w:pPr>
              <w:spacing w:line="240" w:lineRule="auto"/>
              <w:ind w:firstLine="0" w:firstLineChars="0"/>
              <w:jc w:val="center"/>
              <w:rPr>
                <w:color w:val="auto"/>
                <w:sz w:val="21"/>
                <w:szCs w:val="21"/>
              </w:rPr>
            </w:pPr>
            <w:r>
              <w:rPr>
                <w:rFonts w:hint="eastAsia"/>
                <w:color w:val="auto"/>
                <w:sz w:val="21"/>
                <w:szCs w:val="21"/>
              </w:rPr>
              <w:t>第二步</w:t>
            </w:r>
          </w:p>
        </w:tc>
        <w:tc>
          <w:tcPr>
            <w:tcW w:w="2500" w:type="pct"/>
            <w:tcBorders>
              <w:tl2br w:val="nil"/>
              <w:tr2bl w:val="nil"/>
            </w:tcBorders>
          </w:tcPr>
          <w:p w14:paraId="133D0FA3">
            <w:pPr>
              <w:spacing w:line="240" w:lineRule="auto"/>
              <w:ind w:firstLine="0" w:firstLineChars="0"/>
              <w:jc w:val="center"/>
              <w:rPr>
                <w:color w:val="auto"/>
                <w:sz w:val="21"/>
                <w:szCs w:val="21"/>
              </w:rPr>
            </w:pPr>
            <w:r>
              <w:rPr>
                <w:rFonts w:hint="eastAsia"/>
                <w:color w:val="auto"/>
                <w:sz w:val="21"/>
                <w:szCs w:val="21"/>
              </w:rPr>
              <w:t>设备主体</w:t>
            </w:r>
          </w:p>
        </w:tc>
      </w:tr>
      <w:tr w14:paraId="7621A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3A20762F">
            <w:pPr>
              <w:spacing w:line="240" w:lineRule="auto"/>
              <w:ind w:firstLine="0" w:firstLineChars="0"/>
              <w:jc w:val="center"/>
              <w:rPr>
                <w:color w:val="auto"/>
                <w:sz w:val="21"/>
                <w:szCs w:val="21"/>
              </w:rPr>
            </w:pPr>
            <w:r>
              <w:rPr>
                <w:rFonts w:hint="eastAsia"/>
                <w:color w:val="auto"/>
                <w:sz w:val="21"/>
                <w:szCs w:val="21"/>
              </w:rPr>
              <w:t>第三步</w:t>
            </w:r>
          </w:p>
        </w:tc>
        <w:tc>
          <w:tcPr>
            <w:tcW w:w="2500" w:type="pct"/>
            <w:tcBorders>
              <w:tl2br w:val="nil"/>
              <w:tr2bl w:val="nil"/>
            </w:tcBorders>
          </w:tcPr>
          <w:p w14:paraId="4D518229">
            <w:pPr>
              <w:spacing w:line="240" w:lineRule="auto"/>
              <w:ind w:firstLine="0" w:firstLineChars="0"/>
              <w:jc w:val="center"/>
              <w:rPr>
                <w:color w:val="auto"/>
                <w:sz w:val="21"/>
                <w:szCs w:val="21"/>
              </w:rPr>
            </w:pPr>
            <w:r>
              <w:rPr>
                <w:rFonts w:hint="eastAsia"/>
                <w:color w:val="auto"/>
                <w:sz w:val="21"/>
                <w:szCs w:val="21"/>
              </w:rPr>
              <w:t>辅助配套设备</w:t>
            </w:r>
          </w:p>
        </w:tc>
      </w:tr>
      <w:tr w14:paraId="7EB1C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1DD4E2AE">
            <w:pPr>
              <w:spacing w:line="240" w:lineRule="auto"/>
              <w:ind w:firstLine="0" w:firstLineChars="0"/>
              <w:jc w:val="center"/>
              <w:rPr>
                <w:color w:val="auto"/>
                <w:sz w:val="21"/>
                <w:szCs w:val="21"/>
              </w:rPr>
            </w:pPr>
            <w:r>
              <w:rPr>
                <w:rFonts w:hint="eastAsia"/>
                <w:color w:val="auto"/>
                <w:sz w:val="21"/>
                <w:szCs w:val="21"/>
              </w:rPr>
              <w:t>第四步</w:t>
            </w:r>
          </w:p>
        </w:tc>
        <w:tc>
          <w:tcPr>
            <w:tcW w:w="2500" w:type="pct"/>
            <w:tcBorders>
              <w:tl2br w:val="nil"/>
              <w:tr2bl w:val="nil"/>
            </w:tcBorders>
          </w:tcPr>
          <w:p w14:paraId="6E418988">
            <w:pPr>
              <w:spacing w:line="240" w:lineRule="auto"/>
              <w:ind w:firstLine="0" w:firstLineChars="0"/>
              <w:jc w:val="center"/>
              <w:rPr>
                <w:color w:val="auto"/>
                <w:sz w:val="21"/>
                <w:szCs w:val="21"/>
              </w:rPr>
            </w:pPr>
            <w:r>
              <w:rPr>
                <w:rFonts w:hint="eastAsia"/>
                <w:color w:val="auto"/>
                <w:sz w:val="21"/>
                <w:szCs w:val="21"/>
              </w:rPr>
              <w:t>管道</w:t>
            </w:r>
          </w:p>
        </w:tc>
      </w:tr>
      <w:tr w14:paraId="5D4B7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7C0BC02A">
            <w:pPr>
              <w:spacing w:line="240" w:lineRule="auto"/>
              <w:ind w:firstLine="0" w:firstLineChars="0"/>
              <w:jc w:val="center"/>
              <w:rPr>
                <w:color w:val="auto"/>
                <w:sz w:val="21"/>
                <w:szCs w:val="21"/>
              </w:rPr>
            </w:pPr>
            <w:r>
              <w:rPr>
                <w:rFonts w:hint="eastAsia"/>
                <w:color w:val="auto"/>
                <w:sz w:val="21"/>
                <w:szCs w:val="21"/>
              </w:rPr>
              <w:t>第五步</w:t>
            </w:r>
          </w:p>
        </w:tc>
        <w:tc>
          <w:tcPr>
            <w:tcW w:w="2500" w:type="pct"/>
            <w:tcBorders>
              <w:tl2br w:val="nil"/>
              <w:tr2bl w:val="nil"/>
            </w:tcBorders>
          </w:tcPr>
          <w:p w14:paraId="7118CF5D">
            <w:pPr>
              <w:spacing w:line="240" w:lineRule="auto"/>
              <w:ind w:firstLine="0" w:firstLineChars="0"/>
              <w:jc w:val="center"/>
              <w:rPr>
                <w:color w:val="auto"/>
                <w:sz w:val="21"/>
                <w:szCs w:val="21"/>
              </w:rPr>
            </w:pPr>
            <w:r>
              <w:rPr>
                <w:rFonts w:hint="eastAsia"/>
                <w:color w:val="auto"/>
                <w:sz w:val="21"/>
                <w:szCs w:val="21"/>
              </w:rPr>
              <w:t>风险应急设备</w:t>
            </w:r>
          </w:p>
        </w:tc>
      </w:tr>
      <w:tr w14:paraId="3201E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tcPr>
          <w:p w14:paraId="1FA1FD7F">
            <w:pPr>
              <w:spacing w:line="240" w:lineRule="auto"/>
              <w:ind w:firstLine="0" w:firstLineChars="0"/>
              <w:jc w:val="center"/>
              <w:rPr>
                <w:color w:val="auto"/>
                <w:sz w:val="21"/>
                <w:szCs w:val="21"/>
              </w:rPr>
            </w:pPr>
            <w:r>
              <w:rPr>
                <w:rFonts w:hint="eastAsia"/>
                <w:color w:val="auto"/>
                <w:sz w:val="21"/>
                <w:szCs w:val="21"/>
              </w:rPr>
              <w:t>第六步</w:t>
            </w:r>
          </w:p>
        </w:tc>
        <w:tc>
          <w:tcPr>
            <w:tcW w:w="2500" w:type="pct"/>
            <w:tcBorders>
              <w:tl2br w:val="nil"/>
              <w:tr2bl w:val="nil"/>
            </w:tcBorders>
          </w:tcPr>
          <w:p w14:paraId="1F66328A">
            <w:pPr>
              <w:spacing w:line="240" w:lineRule="auto"/>
              <w:ind w:firstLine="0" w:firstLineChars="0"/>
              <w:jc w:val="center"/>
              <w:rPr>
                <w:color w:val="auto"/>
                <w:sz w:val="21"/>
                <w:szCs w:val="21"/>
              </w:rPr>
            </w:pPr>
            <w:r>
              <w:rPr>
                <w:rFonts w:hint="eastAsia"/>
                <w:color w:val="auto"/>
                <w:sz w:val="21"/>
                <w:szCs w:val="21"/>
              </w:rPr>
              <w:t>消防设备</w:t>
            </w:r>
          </w:p>
        </w:tc>
      </w:tr>
    </w:tbl>
    <w:p w14:paraId="60503EE1">
      <w:pPr>
        <w:ind w:firstLine="480"/>
        <w:rPr>
          <w:color w:val="auto"/>
        </w:rPr>
      </w:pPr>
      <w:r>
        <w:rPr>
          <w:rFonts w:hint="eastAsia"/>
          <w:color w:val="auto"/>
        </w:rPr>
        <w:br w:type="page"/>
      </w:r>
    </w:p>
    <w:p w14:paraId="497E75A2">
      <w:pPr>
        <w:pStyle w:val="1356"/>
        <w:keepNext w:val="0"/>
        <w:keepLines w:val="0"/>
        <w:pageBreakBefore w:val="0"/>
        <w:widowControl/>
        <w:kinsoku/>
        <w:wordWrap/>
        <w:overflowPunct/>
        <w:topLinePunct w:val="0"/>
        <w:autoSpaceDE/>
        <w:autoSpaceDN/>
        <w:bidi w:val="0"/>
        <w:adjustRightInd w:val="0"/>
        <w:snapToGrid w:val="0"/>
        <w:spacing w:before="120" w:beforeLines="50"/>
        <w:ind w:firstLine="0" w:firstLineChars="0"/>
        <w:jc w:val="left"/>
        <w:textAlignment w:val="auto"/>
        <w:outlineLvl w:val="3"/>
        <w:rPr>
          <w:rFonts w:hint="eastAsia" w:ascii="Times New Roman" w:hAnsi="Times New Roman" w:eastAsia="宋体" w:cs="Times New Roman"/>
          <w:b/>
          <w:color w:val="auto"/>
          <w:sz w:val="28"/>
          <w:szCs w:val="32"/>
          <w:lang w:val="en-US" w:eastAsia="zh-CN"/>
        </w:rPr>
      </w:pPr>
      <w:r>
        <w:rPr>
          <w:rFonts w:hint="eastAsia" w:ascii="Times New Roman" w:hAnsi="Times New Roman" w:eastAsia="宋体" w:cs="Times New Roman"/>
          <w:b/>
          <w:color w:val="auto"/>
          <w:sz w:val="28"/>
          <w:szCs w:val="32"/>
          <w:lang w:val="en-US" w:eastAsia="zh-CN"/>
        </w:rPr>
        <w:t>3.8.1.2 拆除过程环境影响分析</w:t>
      </w:r>
    </w:p>
    <w:p w14:paraId="0B1C4142">
      <w:pPr>
        <w:ind w:firstLine="482"/>
        <w:rPr>
          <w:b/>
          <w:bCs/>
          <w:color w:val="auto"/>
        </w:rPr>
      </w:pPr>
      <w:r>
        <w:rPr>
          <w:rFonts w:hint="eastAsia"/>
          <w:b/>
          <w:bCs/>
          <w:color w:val="auto"/>
        </w:rPr>
        <w:t>1、废气</w:t>
      </w:r>
    </w:p>
    <w:p w14:paraId="377C9888">
      <w:pPr>
        <w:ind w:firstLine="480"/>
        <w:rPr>
          <w:color w:val="auto"/>
        </w:rPr>
      </w:pPr>
      <w:r>
        <w:rPr>
          <w:rFonts w:hint="eastAsia"/>
          <w:color w:val="auto"/>
        </w:rPr>
        <w:t>在拆除设备及建（构）筑物等产生扬尘，主要由敲打、洒落和建筑垃圾现场平整机运输过程尘埃散逸周围空气中引起。扬尘排放源为无组织排放的面源，源强与扬尘颗粒物的粒径大小、补充极易环境风速、湿度等因素有关，风速越大、颗粒越小、含水率越小，扬尘产生量就越大。无控制措施情况下，其影响范围在其下风向150m之内。</w:t>
      </w:r>
    </w:p>
    <w:p w14:paraId="701B72DE">
      <w:pPr>
        <w:ind w:firstLine="482"/>
        <w:rPr>
          <w:b/>
          <w:bCs/>
          <w:color w:val="auto"/>
        </w:rPr>
      </w:pPr>
      <w:r>
        <w:rPr>
          <w:rFonts w:hint="eastAsia"/>
          <w:b/>
          <w:bCs/>
          <w:color w:val="auto"/>
        </w:rPr>
        <w:t>2、废水</w:t>
      </w:r>
    </w:p>
    <w:p w14:paraId="6D112E23">
      <w:pPr>
        <w:ind w:firstLine="480"/>
        <w:rPr>
          <w:color w:val="auto"/>
        </w:rPr>
      </w:pPr>
      <w:r>
        <w:rPr>
          <w:rFonts w:hint="eastAsia"/>
          <w:color w:val="auto"/>
        </w:rPr>
        <w:t>拆除废水主要为清洗设备产生的清洗废水。预测废水产生量约为200t，废水中污染物主要为COD、SS、氨氮、总磷、总氮和石油类等，废水通过管网排入开发区临港处理厂集中处理。</w:t>
      </w:r>
    </w:p>
    <w:p w14:paraId="623DAB32">
      <w:pPr>
        <w:ind w:firstLine="482"/>
        <w:rPr>
          <w:b/>
          <w:bCs/>
          <w:color w:val="auto"/>
        </w:rPr>
      </w:pPr>
      <w:r>
        <w:rPr>
          <w:rFonts w:hint="eastAsia"/>
          <w:b/>
          <w:bCs/>
          <w:color w:val="auto"/>
        </w:rPr>
        <w:t>3、固废</w:t>
      </w:r>
    </w:p>
    <w:p w14:paraId="40B04351">
      <w:pPr>
        <w:ind w:firstLine="480"/>
        <w:rPr>
          <w:color w:val="auto"/>
        </w:rPr>
      </w:pPr>
      <w:r>
        <w:rPr>
          <w:rFonts w:hint="eastAsia"/>
          <w:color w:val="auto"/>
        </w:rPr>
        <w:t>固废主要是现场遗留物料、残留污染物、净化后的设备以及未受污染的建筑垃圾等。遗留物料：主要是剩余原料，转移到新厂建成的仓储区；</w:t>
      </w:r>
    </w:p>
    <w:p w14:paraId="6629F35E">
      <w:pPr>
        <w:ind w:firstLine="480"/>
        <w:rPr>
          <w:color w:val="auto"/>
        </w:rPr>
      </w:pPr>
      <w:r>
        <w:rPr>
          <w:rFonts w:hint="eastAsia"/>
          <w:color w:val="auto"/>
        </w:rPr>
        <w:t>残留污染物：残留污染物主要有滤渣、净化清理废料等，均属于危险废物，拟委托有资质的单位处理；</w:t>
      </w:r>
    </w:p>
    <w:p w14:paraId="2E856656">
      <w:pPr>
        <w:ind w:firstLine="482"/>
        <w:rPr>
          <w:b/>
          <w:bCs/>
          <w:color w:val="auto"/>
        </w:rPr>
      </w:pPr>
      <w:r>
        <w:rPr>
          <w:rFonts w:hint="eastAsia"/>
          <w:b/>
          <w:bCs/>
          <w:color w:val="auto"/>
        </w:rPr>
        <w:t>4、噪声</w:t>
      </w:r>
    </w:p>
    <w:p w14:paraId="50AE6C70">
      <w:pPr>
        <w:ind w:firstLine="480"/>
        <w:rPr>
          <w:rFonts w:hint="eastAsia"/>
          <w:color w:val="auto"/>
        </w:rPr>
      </w:pPr>
      <w:r>
        <w:rPr>
          <w:rFonts w:hint="eastAsia"/>
          <w:color w:val="auto"/>
        </w:rPr>
        <w:t>噪声主要是施工设备产生的机械噪声，以及敲打、切割、碰撞过程产生的噪声，声级在80-100dB(A)。</w:t>
      </w:r>
    </w:p>
    <w:p w14:paraId="1510A072">
      <w:pPr>
        <w:pStyle w:val="1356"/>
        <w:keepNext w:val="0"/>
        <w:keepLines w:val="0"/>
        <w:pageBreakBefore w:val="0"/>
        <w:widowControl/>
        <w:kinsoku/>
        <w:wordWrap/>
        <w:overflowPunct/>
        <w:topLinePunct w:val="0"/>
        <w:autoSpaceDE/>
        <w:autoSpaceDN/>
        <w:bidi w:val="0"/>
        <w:adjustRightInd w:val="0"/>
        <w:snapToGrid w:val="0"/>
        <w:spacing w:before="120" w:beforeLines="50"/>
        <w:ind w:firstLine="0" w:firstLineChars="0"/>
        <w:jc w:val="left"/>
        <w:textAlignment w:val="auto"/>
        <w:outlineLvl w:val="3"/>
        <w:rPr>
          <w:rFonts w:hint="default" w:ascii="Times New Roman" w:hAnsi="Times New Roman" w:eastAsia="宋体" w:cs="Times New Roman"/>
          <w:b/>
          <w:color w:val="auto"/>
          <w:sz w:val="28"/>
          <w:szCs w:val="32"/>
          <w:lang w:val="en-US" w:eastAsia="zh-CN"/>
        </w:rPr>
      </w:pPr>
      <w:r>
        <w:rPr>
          <w:rFonts w:hint="eastAsia" w:ascii="Times New Roman" w:hAnsi="Times New Roman" w:eastAsia="宋体" w:cs="Times New Roman"/>
          <w:b/>
          <w:color w:val="auto"/>
          <w:sz w:val="28"/>
          <w:szCs w:val="32"/>
          <w:lang w:val="en-US" w:eastAsia="zh-CN"/>
        </w:rPr>
        <w:t>3.8.1.3 拆除施工过程中污染防治措施</w:t>
      </w:r>
    </w:p>
    <w:p w14:paraId="61F7F049">
      <w:pPr>
        <w:ind w:firstLine="480"/>
        <w:rPr>
          <w:rFonts w:hint="eastAsia"/>
          <w:b/>
          <w:bCs/>
          <w:color w:val="auto"/>
        </w:rPr>
      </w:pPr>
      <w:r>
        <w:rPr>
          <w:rFonts w:hint="eastAsia"/>
          <w:b/>
          <w:bCs/>
          <w:color w:val="auto"/>
        </w:rPr>
        <w:t>1、废气</w:t>
      </w:r>
    </w:p>
    <w:p w14:paraId="0B806AFD">
      <w:pPr>
        <w:ind w:firstLine="480"/>
        <w:rPr>
          <w:rFonts w:hint="default" w:eastAsia="宋体"/>
          <w:color w:val="auto"/>
          <w:lang w:val="en-US" w:eastAsia="zh-CN"/>
        </w:rPr>
      </w:pPr>
      <w:r>
        <w:rPr>
          <w:rFonts w:hint="eastAsia"/>
          <w:color w:val="auto"/>
        </w:rPr>
        <w:t>施工场地设置专人负责废弃设备的处置加盖篷布，防止二次扬尘。清运和堆放，堆放场地</w:t>
      </w:r>
      <w:r>
        <w:rPr>
          <w:rFonts w:hint="eastAsia"/>
          <w:color w:val="auto"/>
          <w:lang w:val="en-US" w:eastAsia="zh-CN"/>
        </w:rPr>
        <w:t>加盖篷布，防止二次扬尘。</w:t>
      </w:r>
    </w:p>
    <w:p w14:paraId="53BD6AD1">
      <w:pPr>
        <w:ind w:firstLine="480"/>
        <w:rPr>
          <w:rFonts w:hint="eastAsia"/>
          <w:b/>
          <w:bCs/>
          <w:color w:val="auto"/>
        </w:rPr>
      </w:pPr>
      <w:r>
        <w:rPr>
          <w:rFonts w:hint="eastAsia"/>
          <w:b/>
          <w:bCs/>
          <w:color w:val="auto"/>
        </w:rPr>
        <w:t>2、废水</w:t>
      </w:r>
    </w:p>
    <w:p w14:paraId="3C22C075">
      <w:pPr>
        <w:ind w:firstLine="480"/>
        <w:rPr>
          <w:rFonts w:hint="eastAsia"/>
          <w:color w:val="auto"/>
        </w:rPr>
      </w:pPr>
      <w:r>
        <w:rPr>
          <w:rFonts w:hint="eastAsia"/>
          <w:color w:val="auto"/>
        </w:rPr>
        <w:t>清洗设备产生的</w:t>
      </w:r>
      <w:r>
        <w:rPr>
          <w:rFonts w:hint="eastAsia"/>
          <w:color w:val="auto"/>
          <w:lang w:val="en-US" w:eastAsia="zh-CN"/>
        </w:rPr>
        <w:t>拆除废水主</w:t>
      </w:r>
      <w:r>
        <w:rPr>
          <w:rFonts w:hint="eastAsia"/>
          <w:color w:val="auto"/>
        </w:rPr>
        <w:t>要为清洗设备产生的清洗废水。废水中污染物主要为COD氢氮、总磷、总氮和石油类，废水经自建污水站预处理</w:t>
      </w:r>
      <w:r>
        <w:rPr>
          <w:rFonts w:hint="eastAsia"/>
          <w:color w:val="auto"/>
          <w:lang w:val="en-US" w:eastAsia="zh-CN"/>
        </w:rPr>
        <w:t>达标后</w:t>
      </w:r>
      <w:r>
        <w:rPr>
          <w:rFonts w:hint="eastAsia"/>
          <w:color w:val="auto"/>
        </w:rPr>
        <w:t>接管至</w:t>
      </w:r>
      <w:r>
        <w:rPr>
          <w:rFonts w:hint="eastAsia"/>
          <w:color w:val="auto"/>
          <w:lang w:val="en-US" w:eastAsia="zh-CN"/>
        </w:rPr>
        <w:t>开发区临港</w:t>
      </w:r>
      <w:r>
        <w:rPr>
          <w:rFonts w:hint="eastAsia"/>
          <w:color w:val="auto"/>
        </w:rPr>
        <w:t>污水处理厂深度处理。</w:t>
      </w:r>
    </w:p>
    <w:p w14:paraId="776BFDF5">
      <w:pPr>
        <w:ind w:firstLine="480"/>
        <w:rPr>
          <w:rFonts w:hint="eastAsia"/>
          <w:b/>
          <w:bCs/>
          <w:color w:val="auto"/>
        </w:rPr>
      </w:pPr>
      <w:r>
        <w:rPr>
          <w:rFonts w:hint="eastAsia"/>
          <w:b/>
          <w:bCs/>
          <w:color w:val="auto"/>
        </w:rPr>
        <w:t>3、固废</w:t>
      </w:r>
    </w:p>
    <w:p w14:paraId="4654EAC6">
      <w:pPr>
        <w:ind w:firstLine="480"/>
        <w:rPr>
          <w:rFonts w:hint="eastAsia"/>
          <w:color w:val="auto"/>
        </w:rPr>
      </w:pPr>
      <w:r>
        <w:rPr>
          <w:rFonts w:hint="eastAsia"/>
          <w:color w:val="auto"/>
        </w:rPr>
        <w:t>厂内设置集中的残留污染物暂存区域，其中危险废物暂存区域设置在已经采取防渗地坪的区域，并采取防淋溶、防逸散、防雨防风的措施。</w:t>
      </w:r>
    </w:p>
    <w:p w14:paraId="40248309">
      <w:pPr>
        <w:ind w:firstLine="480"/>
        <w:rPr>
          <w:rFonts w:hint="eastAsia" w:eastAsia="宋体"/>
          <w:color w:val="auto"/>
          <w:lang w:eastAsia="zh-CN"/>
        </w:rPr>
      </w:pPr>
      <w:r>
        <w:rPr>
          <w:rFonts w:hint="eastAsia"/>
          <w:color w:val="auto"/>
        </w:rPr>
        <w:t>危险废物暂存区域按《危险废物贮存污染控制标准》(GB18597-2023</w:t>
      </w:r>
      <w:r>
        <w:rPr>
          <w:rFonts w:hint="eastAsia"/>
          <w:color w:val="auto"/>
          <w:lang w:eastAsia="zh-CN"/>
        </w:rPr>
        <w:t>）</w:t>
      </w:r>
      <w:r>
        <w:rPr>
          <w:rFonts w:hint="eastAsia"/>
          <w:color w:val="auto"/>
        </w:rPr>
        <w:t>和《中华人民共和国固体废物污染环境防治法》的要求采取暂存措施，部分要求如下</w:t>
      </w:r>
      <w:r>
        <w:rPr>
          <w:rFonts w:hint="eastAsia"/>
          <w:color w:val="auto"/>
          <w:lang w:eastAsia="zh-CN"/>
        </w:rPr>
        <w:t>：</w:t>
      </w:r>
    </w:p>
    <w:p w14:paraId="440357D6">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危险废物的容器和包装物以及收集、贮存、运输、处置危险废物的设施、场所，按《环境保护图形标志》(GB15562-1995</w:t>
      </w:r>
      <w:r>
        <w:rPr>
          <w:rFonts w:hint="eastAsia"/>
          <w:color w:val="auto"/>
          <w:lang w:eastAsia="zh-CN"/>
        </w:rPr>
        <w:t>）</w:t>
      </w:r>
      <w:r>
        <w:rPr>
          <w:rFonts w:hint="eastAsia"/>
          <w:color w:val="auto"/>
        </w:rPr>
        <w:t>及</w:t>
      </w:r>
      <w:r>
        <w:rPr>
          <w:rFonts w:hint="eastAsia"/>
          <w:color w:val="auto"/>
          <w:lang w:val="en-US" w:eastAsia="zh-CN"/>
        </w:rPr>
        <w:t>修改单规定设置警示标志；</w:t>
      </w:r>
    </w:p>
    <w:p w14:paraId="620ECD59">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lang w:val="en-US" w:eastAsia="zh-CN"/>
        </w:rPr>
      </w:pPr>
      <w:r>
        <w:rPr>
          <w:rFonts w:hint="eastAsia"/>
          <w:color w:val="auto"/>
          <w:lang w:val="en-US" w:eastAsia="zh-CN"/>
        </w:rPr>
        <w:t>（2）收集、贮存危险废物按照危险废物特性分类进行，各类废物分类贮存；</w:t>
      </w:r>
    </w:p>
    <w:p w14:paraId="0D664AD9">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auto"/>
          <w:lang w:val="en-US" w:eastAsia="zh-CN"/>
        </w:rPr>
      </w:pPr>
      <w:r>
        <w:rPr>
          <w:rFonts w:hint="eastAsia"/>
          <w:color w:val="auto"/>
          <w:lang w:val="en-US" w:eastAsia="zh-CN"/>
        </w:rPr>
        <w:t>（3）</w:t>
      </w:r>
      <w:r>
        <w:rPr>
          <w:rFonts w:hint="default"/>
          <w:color w:val="auto"/>
          <w:lang w:val="en-US" w:eastAsia="zh-CN"/>
        </w:rPr>
        <w:t>废物贮存设施配备</w:t>
      </w:r>
      <w:r>
        <w:rPr>
          <w:rFonts w:hint="eastAsia"/>
          <w:color w:val="auto"/>
          <w:lang w:val="en-US" w:eastAsia="zh-CN"/>
        </w:rPr>
        <w:t>通信设备</w:t>
      </w:r>
      <w:r>
        <w:rPr>
          <w:rFonts w:hint="default"/>
          <w:color w:val="auto"/>
          <w:lang w:val="en-US" w:eastAsia="zh-CN"/>
        </w:rPr>
        <w:t>、照明设施、安全防护服装及工具，并设有应急防护设施</w:t>
      </w:r>
      <w:r>
        <w:rPr>
          <w:rFonts w:hint="eastAsia"/>
          <w:color w:val="auto"/>
          <w:lang w:val="en-US" w:eastAsia="zh-CN"/>
        </w:rPr>
        <w:t>；</w:t>
      </w:r>
    </w:p>
    <w:p w14:paraId="6673823B">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auto"/>
          <w:lang w:val="en-US" w:eastAsia="zh-CN"/>
        </w:rPr>
      </w:pPr>
      <w:r>
        <w:rPr>
          <w:rFonts w:hint="eastAsia"/>
          <w:color w:val="auto"/>
          <w:lang w:val="en-US" w:eastAsia="zh-CN"/>
        </w:rPr>
        <w:t>（4）</w:t>
      </w:r>
      <w:r>
        <w:rPr>
          <w:rFonts w:hint="default"/>
          <w:color w:val="auto"/>
          <w:lang w:val="en-US" w:eastAsia="zh-CN"/>
        </w:rPr>
        <w:t>废物贮存设施内清理出来的泄漏物按危险废物处理</w:t>
      </w:r>
      <w:r>
        <w:rPr>
          <w:rFonts w:hint="eastAsia"/>
          <w:color w:val="auto"/>
          <w:lang w:val="en-US" w:eastAsia="zh-CN"/>
        </w:rPr>
        <w:t>；</w:t>
      </w:r>
    </w:p>
    <w:p w14:paraId="19FFDD2D">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auto"/>
          <w:lang w:val="en-US" w:eastAsia="zh-CN"/>
        </w:rPr>
      </w:pPr>
      <w:r>
        <w:rPr>
          <w:rFonts w:hint="eastAsia"/>
          <w:color w:val="auto"/>
          <w:lang w:val="en-US" w:eastAsia="zh-CN"/>
        </w:rPr>
        <w:t>（5）</w:t>
      </w:r>
      <w:r>
        <w:rPr>
          <w:rFonts w:hint="default"/>
          <w:color w:val="auto"/>
          <w:lang w:val="en-US" w:eastAsia="zh-CN"/>
        </w:rPr>
        <w:t>废物贮存设施设置防渗、防雨、防漏、防流失、防扬散等防范措施</w:t>
      </w:r>
      <w:r>
        <w:rPr>
          <w:rFonts w:hint="eastAsia"/>
          <w:color w:val="auto"/>
          <w:lang w:val="en-US" w:eastAsia="zh-CN"/>
        </w:rPr>
        <w:t>；</w:t>
      </w:r>
    </w:p>
    <w:p w14:paraId="0823B6C8">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auto"/>
          <w:lang w:val="en-US" w:eastAsia="zh-CN"/>
        </w:rPr>
      </w:pPr>
      <w:r>
        <w:rPr>
          <w:rFonts w:hint="eastAsia"/>
          <w:color w:val="auto"/>
          <w:lang w:val="en-US" w:eastAsia="zh-CN"/>
        </w:rPr>
        <w:t>（6）</w:t>
      </w:r>
      <w:r>
        <w:rPr>
          <w:rFonts w:hint="default"/>
          <w:color w:val="auto"/>
          <w:lang w:val="en-US" w:eastAsia="zh-CN"/>
        </w:rPr>
        <w:t>贮存危险废物采取符合国家环境保护标准的防护措施，不超过一年</w:t>
      </w:r>
      <w:r>
        <w:rPr>
          <w:rFonts w:hint="eastAsia"/>
          <w:color w:val="auto"/>
          <w:lang w:val="en-US" w:eastAsia="zh-CN"/>
        </w:rPr>
        <w:t>；</w:t>
      </w:r>
      <w:r>
        <w:rPr>
          <w:rFonts w:hint="default"/>
          <w:color w:val="auto"/>
          <w:lang w:val="en-US" w:eastAsia="zh-CN"/>
        </w:rPr>
        <w:t>禁止将危险废物混入非危险废物中</w:t>
      </w:r>
      <w:r>
        <w:rPr>
          <w:rFonts w:hint="eastAsia"/>
          <w:color w:val="auto"/>
          <w:lang w:val="en-US" w:eastAsia="zh-CN"/>
        </w:rPr>
        <w:t>贮存。危险废物需要及时</w:t>
      </w:r>
      <w:r>
        <w:rPr>
          <w:rFonts w:hint="default"/>
          <w:color w:val="auto"/>
          <w:lang w:val="en-US" w:eastAsia="zh-CN"/>
        </w:rPr>
        <w:t>委托有资质的单位进行处理。</w:t>
      </w:r>
    </w:p>
    <w:p w14:paraId="37421EA7">
      <w:pPr>
        <w:pStyle w:val="1356"/>
        <w:keepNext w:val="0"/>
        <w:keepLines w:val="0"/>
        <w:pageBreakBefore w:val="0"/>
        <w:widowControl/>
        <w:kinsoku/>
        <w:wordWrap/>
        <w:overflowPunct/>
        <w:topLinePunct w:val="0"/>
        <w:autoSpaceDE/>
        <w:autoSpaceDN/>
        <w:bidi w:val="0"/>
        <w:adjustRightInd w:val="0"/>
        <w:snapToGrid w:val="0"/>
        <w:spacing w:before="120" w:beforeLines="50"/>
        <w:ind w:firstLine="0" w:firstLineChars="0"/>
        <w:jc w:val="left"/>
        <w:textAlignment w:val="auto"/>
        <w:outlineLvl w:val="3"/>
        <w:rPr>
          <w:rFonts w:hint="eastAsia" w:ascii="Times New Roman" w:hAnsi="Times New Roman" w:eastAsia="宋体" w:cs="Times New Roman"/>
          <w:b/>
          <w:color w:val="auto"/>
          <w:sz w:val="28"/>
          <w:szCs w:val="32"/>
          <w:lang w:val="en-US" w:eastAsia="zh-CN"/>
        </w:rPr>
      </w:pPr>
      <w:r>
        <w:rPr>
          <w:rFonts w:hint="eastAsia" w:ascii="Times New Roman" w:hAnsi="Times New Roman" w:eastAsia="宋体" w:cs="Times New Roman"/>
          <w:b/>
          <w:color w:val="auto"/>
          <w:sz w:val="28"/>
          <w:szCs w:val="32"/>
          <w:lang w:val="en-US" w:eastAsia="zh-CN"/>
        </w:rPr>
        <w:t>3.8.1.4 关停、拆除管理要求</w:t>
      </w:r>
    </w:p>
    <w:p w14:paraId="12A12BCA">
      <w:pPr>
        <w:ind w:firstLine="480"/>
        <w:rPr>
          <w:color w:val="auto"/>
        </w:rPr>
      </w:pPr>
      <w:r>
        <w:rPr>
          <w:rFonts w:hint="eastAsia"/>
          <w:color w:val="auto"/>
        </w:rPr>
        <w:t>根据《关于加强工业企业关停、搬迁及原址场地再开发利用过程中污染防治工作的通知》（环发〔2014〕66号）要求，现有厂区在厂房及设备拆除过程中应采取合理可靠的污染防治措施，防止加重场地污染，保障工业企业场地再开发利用环境安全。同时评价要求现有工程必须在搬迁工程运行前实现停产拆除。现有厂房及设备在拆除过程中，应</w:t>
      </w:r>
      <w:r>
        <w:rPr>
          <w:rFonts w:hint="eastAsia"/>
          <w:color w:val="auto"/>
          <w:lang w:eastAsia="zh-CN"/>
        </w:rPr>
        <w:t>特别</w:t>
      </w:r>
      <w:r>
        <w:rPr>
          <w:rFonts w:hint="eastAsia"/>
          <w:color w:val="auto"/>
        </w:rPr>
        <w:t>注意以下几点：</w:t>
      </w:r>
    </w:p>
    <w:p w14:paraId="1720E698">
      <w:pPr>
        <w:ind w:firstLine="482"/>
        <w:rPr>
          <w:b/>
          <w:bCs/>
          <w:color w:val="auto"/>
        </w:rPr>
      </w:pPr>
      <w:r>
        <w:rPr>
          <w:rFonts w:hint="eastAsia"/>
          <w:b/>
          <w:bCs/>
          <w:color w:val="auto"/>
        </w:rPr>
        <w:t>（1）拆除过程的环境风险防范措施</w:t>
      </w:r>
    </w:p>
    <w:p w14:paraId="579B8008">
      <w:pPr>
        <w:ind w:firstLine="480"/>
        <w:rPr>
          <w:color w:val="auto"/>
        </w:rPr>
      </w:pPr>
      <w:r>
        <w:rPr>
          <w:rFonts w:hint="eastAsia"/>
          <w:color w:val="auto"/>
        </w:rPr>
        <w:t>为避免项目拆除过程中突发环境事件的发生，根据生产期内厂区总平面布置图、主要产品原辅材料、工艺设备、主要污染物及污染防治措施等环境信息资料，拆除前应认真排查拆除过程中可能引发突发环境事件的风险源和风险因素，组织识别和分析拆除活动可能污染土壤、水和大气的风险点，以及周边环境敏感点。根据各种情形制定有针对性的专项环境应急预案，储备必要的应急装备、物资，落实应急救援人员，加强拆除、运输过程中的风险防控，拆除过程中如遇到紧急或不明情况，应及时应对处置并向当地政府和环保部门报告。</w:t>
      </w:r>
    </w:p>
    <w:p w14:paraId="07659D03">
      <w:pPr>
        <w:ind w:firstLine="482"/>
        <w:rPr>
          <w:b/>
          <w:bCs/>
          <w:color w:val="auto"/>
        </w:rPr>
      </w:pPr>
      <w:r>
        <w:rPr>
          <w:rFonts w:hint="eastAsia"/>
          <w:b/>
          <w:bCs/>
          <w:color w:val="auto"/>
        </w:rPr>
        <w:t>（2）规范各类设施拆除流程</w:t>
      </w:r>
    </w:p>
    <w:p w14:paraId="48B3A2E7">
      <w:pPr>
        <w:ind w:firstLine="480"/>
        <w:rPr>
          <w:color w:val="auto"/>
        </w:rPr>
      </w:pPr>
      <w:r>
        <w:rPr>
          <w:rFonts w:hint="eastAsia"/>
          <w:color w:val="auto"/>
        </w:rPr>
        <w:t>拆除过程中建设单位应确保污染防治设施正常运行或使用，妥善处理遗留或拆除过程中产生的污染物，待生产设备拆除完毕且相关污染物处理处置结束后方可拆除污染治理设施。重点防止拆除活动中的废水、固体废物以及遗留物料和残留污染物污染土壤。如果污染防治设施不能正常运行或使用，企业在关停拆除过程中应制定并实施各类污染物临时处理处置方案。对地上及地下的建筑物、构筑物、生产装置、管线、污染治理设施等予以规范清理和拆除。识别和登记拟拆除生产设施设备、构筑物和污染治理设施中遗留物料、残留污染物，妥善收集并明确后续处理或利用方案，</w:t>
      </w:r>
      <w:r>
        <w:rPr>
          <w:rFonts w:hint="eastAsia"/>
          <w:color w:val="auto"/>
          <w:lang w:eastAsia="zh-CN"/>
        </w:rPr>
        <w:t>防止泄漏</w:t>
      </w:r>
      <w:r>
        <w:rPr>
          <w:rFonts w:hint="eastAsia"/>
          <w:color w:val="auto"/>
        </w:rPr>
        <w:t>、随意堆放、处置等污染土壤。</w:t>
      </w:r>
    </w:p>
    <w:p w14:paraId="35E32DFC">
      <w:pPr>
        <w:ind w:firstLine="482"/>
        <w:rPr>
          <w:b/>
          <w:bCs/>
          <w:color w:val="auto"/>
        </w:rPr>
      </w:pPr>
      <w:r>
        <w:rPr>
          <w:rFonts w:hint="eastAsia"/>
          <w:b/>
          <w:bCs/>
          <w:color w:val="auto"/>
        </w:rPr>
        <w:t>（3）拆除后现有厂址土壤和地下水污染调查</w:t>
      </w:r>
    </w:p>
    <w:p w14:paraId="5BD3E526">
      <w:pPr>
        <w:ind w:firstLine="480"/>
        <w:rPr>
          <w:color w:val="auto"/>
        </w:rPr>
      </w:pPr>
      <w:r>
        <w:rPr>
          <w:rFonts w:hint="eastAsia"/>
          <w:color w:val="auto"/>
        </w:rPr>
        <w:t>本项目拆除后，原有的厂区不再进行加工活动，拆除后厂区土地由</w:t>
      </w:r>
      <w:r>
        <w:rPr>
          <w:rFonts w:hint="eastAsia"/>
          <w:color w:val="auto"/>
          <w:lang w:eastAsia="zh-CN"/>
        </w:rPr>
        <w:t>出租方</w:t>
      </w:r>
      <w:r>
        <w:rPr>
          <w:rFonts w:hint="eastAsia"/>
          <w:color w:val="auto"/>
        </w:rPr>
        <w:t>回收另作他用。在使用前委托专业机构开展关停拆除工业企业原址场地的环境调查和风险评估工作，对该地块的土壤和地下水环境质量进行调查评估，其主要调查内容包括土壤和地下水中主要污染物的含量等。</w:t>
      </w:r>
    </w:p>
    <w:p w14:paraId="1E13E0DD">
      <w:pPr>
        <w:keepNext/>
        <w:keepLines/>
        <w:spacing w:before="120" w:beforeLines="50"/>
        <w:ind w:firstLine="0" w:firstLineChars="0"/>
        <w:outlineLvl w:val="2"/>
        <w:rPr>
          <w:b/>
          <w:bCs/>
          <w:color w:val="auto"/>
          <w:sz w:val="28"/>
          <w:szCs w:val="36"/>
        </w:rPr>
      </w:pPr>
      <w:r>
        <w:rPr>
          <w:rFonts w:hint="eastAsia"/>
          <w:b/>
          <w:bCs/>
          <w:color w:val="auto"/>
          <w:sz w:val="28"/>
          <w:szCs w:val="36"/>
        </w:rPr>
        <w:t>3.8.2 搬迁过渡期管理要求</w:t>
      </w:r>
    </w:p>
    <w:p w14:paraId="7BA63B80">
      <w:pPr>
        <w:ind w:firstLine="480"/>
        <w:rPr>
          <w:color w:val="auto"/>
        </w:rPr>
      </w:pPr>
      <w:r>
        <w:rPr>
          <w:rFonts w:hint="eastAsia"/>
          <w:color w:val="auto"/>
        </w:rPr>
        <w:t>根据企业搬迁计划，项目原有生产设备搬迁至新厂区，待新项目办理完成后，老厂区即开展拆除工作。</w:t>
      </w:r>
    </w:p>
    <w:p w14:paraId="1AF2FBDE">
      <w:pPr>
        <w:ind w:firstLine="0" w:firstLineChars="0"/>
        <w:rPr>
          <w:color w:val="auto"/>
        </w:rPr>
        <w:sectPr>
          <w:pgSz w:w="11906" w:h="16838"/>
          <w:pgMar w:top="1418" w:right="1418" w:bottom="1418" w:left="1418" w:header="851" w:footer="992" w:gutter="0"/>
          <w:cols w:space="720" w:num="1"/>
          <w:docGrid w:linePitch="326" w:charSpace="0"/>
        </w:sectPr>
      </w:pPr>
    </w:p>
    <w:p w14:paraId="0D4D5BC5">
      <w:pPr>
        <w:pStyle w:val="3"/>
        <w:spacing w:before="120" w:beforeLines="50"/>
        <w:ind w:firstLine="0" w:firstLineChars="0"/>
        <w:rPr>
          <w:color w:val="auto"/>
          <w:sz w:val="32"/>
          <w:szCs w:val="48"/>
        </w:rPr>
      </w:pPr>
      <w:bookmarkStart w:id="52" w:name="_Toc2024"/>
      <w:r>
        <w:rPr>
          <w:color w:val="auto"/>
          <w:sz w:val="32"/>
          <w:szCs w:val="48"/>
        </w:rPr>
        <w:t xml:space="preserve">4 </w:t>
      </w:r>
      <w:r>
        <w:rPr>
          <w:rFonts w:hint="eastAsia"/>
          <w:color w:val="auto"/>
          <w:sz w:val="32"/>
          <w:szCs w:val="48"/>
        </w:rPr>
        <w:t>建设项目</w:t>
      </w:r>
      <w:r>
        <w:rPr>
          <w:color w:val="auto"/>
          <w:sz w:val="32"/>
          <w:szCs w:val="48"/>
        </w:rPr>
        <w:t>工程分析</w:t>
      </w:r>
      <w:bookmarkEnd w:id="52"/>
    </w:p>
    <w:p w14:paraId="4B186CB7">
      <w:pPr>
        <w:ind w:firstLine="480"/>
        <w:rPr>
          <w:color w:val="auto"/>
          <w:kern w:val="0"/>
          <w:szCs w:val="21"/>
        </w:rPr>
      </w:pPr>
    </w:p>
    <w:p w14:paraId="287AB7BC">
      <w:pPr>
        <w:keepNext w:val="0"/>
        <w:keepLines w:val="0"/>
        <w:pageBreakBefore w:val="0"/>
        <w:widowControl w:val="0"/>
        <w:kinsoku/>
        <w:wordWrap/>
        <w:overflowPunct/>
        <w:topLinePunct w:val="0"/>
        <w:autoSpaceDE/>
        <w:autoSpaceDN/>
        <w:bidi w:val="0"/>
        <w:adjustRightInd w:val="0"/>
        <w:snapToGrid w:val="0"/>
        <w:ind w:firstLine="562" w:firstLineChars="200"/>
        <w:jc w:val="both"/>
        <w:textAlignment w:val="auto"/>
        <w:rPr>
          <w:rFonts w:hint="eastAsia" w:eastAsia="宋体"/>
          <w:color w:val="auto"/>
          <w:kern w:val="0"/>
          <w:szCs w:val="21"/>
          <w:lang w:eastAsia="zh-CN"/>
        </w:rPr>
      </w:pPr>
      <w:r>
        <w:rPr>
          <w:rFonts w:hint="eastAsia"/>
          <w:b/>
          <w:bCs/>
          <w:i/>
          <w:iCs/>
          <w:color w:val="auto"/>
          <w:sz w:val="28"/>
          <w:szCs w:val="32"/>
          <w:lang w:val="en-US" w:eastAsia="zh-CN"/>
        </w:rPr>
        <w:t>涉及机密删除处理。</w:t>
      </w:r>
    </w:p>
    <w:p w14:paraId="4404B663">
      <w:pPr>
        <w:widowControl/>
        <w:ind w:firstLine="480"/>
        <w:jc w:val="left"/>
        <w:rPr>
          <w:rFonts w:hint="eastAsia" w:eastAsia="宋体"/>
          <w:color w:val="auto"/>
          <w:kern w:val="0"/>
          <w:szCs w:val="21"/>
          <w:lang w:eastAsia="zh-CN"/>
        </w:rPr>
      </w:pPr>
    </w:p>
    <w:p w14:paraId="2B1C5B3C">
      <w:pPr>
        <w:widowControl/>
        <w:ind w:firstLine="480"/>
        <w:jc w:val="left"/>
        <w:rPr>
          <w:rFonts w:hint="eastAsia" w:eastAsia="宋体"/>
          <w:color w:val="auto"/>
          <w:kern w:val="0"/>
          <w:szCs w:val="21"/>
          <w:lang w:eastAsia="zh-CN"/>
        </w:rPr>
        <w:sectPr>
          <w:pgSz w:w="11906" w:h="16838"/>
          <w:pgMar w:top="1440" w:right="1080" w:bottom="1440" w:left="1080" w:header="851" w:footer="992" w:gutter="0"/>
          <w:cols w:space="720" w:num="1"/>
        </w:sectPr>
      </w:pPr>
    </w:p>
    <w:bookmarkEnd w:id="3"/>
    <w:p w14:paraId="03AE64FC">
      <w:pPr>
        <w:pStyle w:val="3"/>
        <w:spacing w:before="120" w:beforeLines="50"/>
        <w:ind w:firstLine="0" w:firstLineChars="0"/>
        <w:rPr>
          <w:b w:val="0"/>
          <w:bCs w:val="0"/>
          <w:color w:val="auto"/>
          <w:sz w:val="32"/>
          <w:szCs w:val="32"/>
        </w:rPr>
      </w:pPr>
      <w:bookmarkStart w:id="53" w:name="_Toc32462"/>
      <w:bookmarkStart w:id="54" w:name="_Toc471285175"/>
      <w:bookmarkStart w:id="55" w:name="_Toc400462820"/>
      <w:bookmarkStart w:id="56" w:name="_Toc528251213"/>
      <w:bookmarkStart w:id="57" w:name="_Hlk17635669"/>
      <w:bookmarkStart w:id="58" w:name="_Toc93028316"/>
      <w:bookmarkStart w:id="59" w:name="_Toc475202284"/>
      <w:bookmarkStart w:id="60" w:name="_Toc66695881"/>
      <w:bookmarkStart w:id="61" w:name="_Toc470874304"/>
      <w:bookmarkStart w:id="62" w:name="_Toc53458241"/>
      <w:bookmarkStart w:id="63" w:name="_Toc471247905"/>
      <w:bookmarkStart w:id="64" w:name="_Toc124914134"/>
      <w:bookmarkStart w:id="65" w:name="_Toc50285115"/>
      <w:bookmarkStart w:id="66" w:name="_Toc467507623"/>
      <w:bookmarkStart w:id="67" w:name="_Toc468460181"/>
      <w:bookmarkStart w:id="68" w:name="_Toc476636671"/>
      <w:bookmarkStart w:id="69" w:name="_Toc322549598"/>
      <w:bookmarkStart w:id="70" w:name="_Toc471255145"/>
      <w:bookmarkStart w:id="71" w:name="_Toc135630211"/>
      <w:bookmarkStart w:id="72" w:name="_Toc471255069"/>
      <w:bookmarkStart w:id="73" w:name="_Toc19431224"/>
      <w:bookmarkStart w:id="74" w:name="_Toc290638909"/>
      <w:bookmarkStart w:id="75" w:name="_Toc80973302"/>
      <w:bookmarkStart w:id="76" w:name="_Toc18321202"/>
      <w:bookmarkStart w:id="77" w:name="_Toc208731877"/>
      <w:bookmarkStart w:id="78" w:name="_Toc464567723"/>
      <w:bookmarkStart w:id="79" w:name="_Toc137861596"/>
      <w:bookmarkStart w:id="80" w:name="_Toc23748130"/>
      <w:bookmarkStart w:id="81" w:name="_Toc185921375"/>
      <w:bookmarkStart w:id="82" w:name="_Toc29349528"/>
      <w:bookmarkStart w:id="83" w:name="_Toc252648730"/>
      <w:bookmarkStart w:id="84" w:name="_Toc209350582"/>
      <w:bookmarkStart w:id="85" w:name="_Toc469546312"/>
      <w:bookmarkStart w:id="86" w:name="_Toc436759699"/>
      <w:bookmarkStart w:id="87" w:name="_Toc53380840"/>
      <w:bookmarkStart w:id="88" w:name="_Toc205702448"/>
      <w:r>
        <w:rPr>
          <w:rFonts w:hint="eastAsia"/>
          <w:color w:val="auto"/>
          <w:sz w:val="32"/>
          <w:szCs w:val="32"/>
        </w:rPr>
        <w:t>5</w:t>
      </w:r>
      <w:r>
        <w:rPr>
          <w:color w:val="auto"/>
          <w:sz w:val="32"/>
          <w:szCs w:val="32"/>
        </w:rPr>
        <w:t xml:space="preserve"> 环境现状调查与评价</w:t>
      </w:r>
      <w:bookmarkEnd w:id="53"/>
    </w:p>
    <w:p w14:paraId="5464C661">
      <w:pPr>
        <w:pStyle w:val="4"/>
        <w:spacing w:beforeLines="50" w:after="0"/>
        <w:ind w:firstLine="0" w:firstLineChars="0"/>
        <w:rPr>
          <w:color w:val="auto"/>
          <w:sz w:val="30"/>
          <w:szCs w:val="30"/>
        </w:rPr>
      </w:pPr>
      <w:bookmarkStart w:id="89" w:name="_Toc258327964"/>
      <w:bookmarkStart w:id="90" w:name="_Toc494440457"/>
      <w:bookmarkStart w:id="91" w:name="_Toc479348101"/>
      <w:bookmarkStart w:id="92" w:name="_Toc224292504"/>
      <w:bookmarkStart w:id="93" w:name="_Toc241410561"/>
      <w:bookmarkStart w:id="94" w:name="_Toc18992"/>
      <w:r>
        <w:rPr>
          <w:rFonts w:hint="eastAsia"/>
          <w:color w:val="auto"/>
          <w:sz w:val="30"/>
          <w:szCs w:val="30"/>
        </w:rPr>
        <w:t>5</w:t>
      </w:r>
      <w:r>
        <w:rPr>
          <w:color w:val="auto"/>
          <w:sz w:val="30"/>
          <w:szCs w:val="30"/>
        </w:rPr>
        <w:t xml:space="preserve">.1 </w:t>
      </w:r>
      <w:r>
        <w:rPr>
          <w:rFonts w:hint="eastAsia"/>
          <w:color w:val="auto"/>
          <w:sz w:val="30"/>
          <w:szCs w:val="30"/>
        </w:rPr>
        <w:t>区域</w:t>
      </w:r>
      <w:r>
        <w:rPr>
          <w:color w:val="auto"/>
          <w:sz w:val="30"/>
          <w:szCs w:val="30"/>
        </w:rPr>
        <w:t>自然环境概况</w:t>
      </w:r>
      <w:bookmarkEnd w:id="89"/>
      <w:bookmarkEnd w:id="90"/>
      <w:bookmarkEnd w:id="91"/>
      <w:bookmarkEnd w:id="92"/>
      <w:bookmarkEnd w:id="93"/>
      <w:bookmarkEnd w:id="94"/>
    </w:p>
    <w:p w14:paraId="391B55DD">
      <w:pPr>
        <w:keepNext/>
        <w:keepLines/>
        <w:spacing w:before="120" w:beforeLines="50"/>
        <w:ind w:firstLine="0" w:firstLineChars="0"/>
        <w:outlineLvl w:val="2"/>
        <w:rPr>
          <w:b/>
          <w:bCs/>
          <w:color w:val="auto"/>
          <w:sz w:val="28"/>
          <w:szCs w:val="28"/>
        </w:rPr>
      </w:pPr>
      <w:bookmarkStart w:id="95" w:name="_Toc241410562"/>
      <w:r>
        <w:rPr>
          <w:rFonts w:hint="eastAsia"/>
          <w:b/>
          <w:bCs/>
          <w:color w:val="auto"/>
          <w:sz w:val="28"/>
          <w:szCs w:val="28"/>
        </w:rPr>
        <w:t>5</w:t>
      </w:r>
      <w:r>
        <w:rPr>
          <w:b/>
          <w:bCs/>
          <w:color w:val="auto"/>
          <w:sz w:val="28"/>
          <w:szCs w:val="28"/>
        </w:rPr>
        <w:t>.1.1 地理位置</w:t>
      </w:r>
      <w:bookmarkEnd w:id="95"/>
    </w:p>
    <w:p w14:paraId="68B9D9A6">
      <w:pPr>
        <w:keepNext/>
        <w:keepLines/>
        <w:kinsoku w:val="0"/>
        <w:overflowPunct w:val="0"/>
        <w:autoSpaceDE w:val="0"/>
        <w:autoSpaceDN w:val="0"/>
        <w:ind w:firstLine="480"/>
        <w:rPr>
          <w:color w:val="auto"/>
        </w:rPr>
      </w:pPr>
      <w:r>
        <w:rPr>
          <w:color w:val="auto"/>
        </w:rPr>
        <w:t>连云港市位于中国东部沿海地区，地处江苏省的东北部，东临黄海，西与徐州、宿迁相连，南部与淮安、盐城市毗邻，北隔灌河和盐城市响水县相望。其地理坐标大致位于北纬34°07′～35°07′、东经118°24′～120°44′之间。连云港市因其独特的地理位置而拥有天然良港，是陇海铁路东端起点，也是新亚欧大陆桥东方桥头堡、国际性港口城市。</w:t>
      </w:r>
    </w:p>
    <w:p w14:paraId="3CDF9164">
      <w:pPr>
        <w:keepNext/>
        <w:keepLines/>
        <w:kinsoku w:val="0"/>
        <w:overflowPunct w:val="0"/>
        <w:autoSpaceDE w:val="0"/>
        <w:autoSpaceDN w:val="0"/>
        <w:ind w:firstLine="480"/>
        <w:rPr>
          <w:color w:val="auto"/>
        </w:rPr>
      </w:pPr>
      <w:r>
        <w:rPr>
          <w:rFonts w:hint="eastAsia"/>
          <w:color w:val="auto"/>
        </w:rPr>
        <w:t>连云港经济技术开发区区位交通优越，物流便捷通畅，发展空间广阔，潜力无限。开发区毗邻国家主枢纽港连云港港，距4D级连云港民航机场仅20km，陇海铁路、连盐铁路穿区而过，对外公路交通已全面实现高速化。</w:t>
      </w:r>
    </w:p>
    <w:p w14:paraId="67D98C3B">
      <w:pPr>
        <w:keepNext/>
        <w:keepLines/>
        <w:kinsoku w:val="0"/>
        <w:overflowPunct w:val="0"/>
        <w:autoSpaceDE w:val="0"/>
        <w:autoSpaceDN w:val="0"/>
        <w:ind w:firstLine="480"/>
        <w:rPr>
          <w:color w:val="auto"/>
        </w:rPr>
      </w:pPr>
      <w:r>
        <w:rPr>
          <w:rFonts w:hint="eastAsia"/>
          <w:color w:val="auto"/>
        </w:rPr>
        <w:t>本项目地处连云港经济技术开发区大浦工业区内，位于连云港海州区的东部，G228国道的南侧，东至大浦路，南至盐池西路，西至项目边界，北至盐汇路。</w:t>
      </w:r>
    </w:p>
    <w:p w14:paraId="1FE5AAA6">
      <w:pPr>
        <w:kinsoku w:val="0"/>
        <w:overflowPunct w:val="0"/>
        <w:autoSpaceDE w:val="0"/>
        <w:autoSpaceDN w:val="0"/>
        <w:ind w:firstLine="480"/>
        <w:rPr>
          <w:color w:val="auto"/>
        </w:rPr>
      </w:pPr>
      <w:r>
        <w:rPr>
          <w:color w:val="auto"/>
        </w:rPr>
        <w:t>本项目地理位置图件图</w:t>
      </w:r>
      <w:r>
        <w:rPr>
          <w:rFonts w:hint="eastAsia"/>
          <w:color w:val="auto"/>
        </w:rPr>
        <w:t>5</w:t>
      </w:r>
      <w:r>
        <w:rPr>
          <w:color w:val="auto"/>
        </w:rPr>
        <w:t>.1-1。</w:t>
      </w:r>
    </w:p>
    <w:p w14:paraId="48D05568">
      <w:pPr>
        <w:keepNext/>
        <w:keepLines/>
        <w:spacing w:before="120" w:beforeLines="50"/>
        <w:ind w:firstLine="0" w:firstLineChars="0"/>
        <w:outlineLvl w:val="2"/>
        <w:rPr>
          <w:b/>
          <w:bCs/>
          <w:color w:val="auto"/>
          <w:sz w:val="28"/>
          <w:szCs w:val="28"/>
        </w:rPr>
      </w:pPr>
      <w:bookmarkStart w:id="96" w:name="_Toc241410563"/>
      <w:r>
        <w:rPr>
          <w:rFonts w:hint="eastAsia"/>
          <w:b/>
          <w:bCs/>
          <w:color w:val="auto"/>
          <w:sz w:val="28"/>
          <w:szCs w:val="28"/>
        </w:rPr>
        <w:t>5</w:t>
      </w:r>
      <w:r>
        <w:rPr>
          <w:b/>
          <w:bCs/>
          <w:color w:val="auto"/>
          <w:sz w:val="28"/>
          <w:szCs w:val="28"/>
        </w:rPr>
        <w:t>.1.2 地形、</w:t>
      </w:r>
      <w:r>
        <w:rPr>
          <w:rFonts w:hint="eastAsia"/>
          <w:b/>
          <w:bCs/>
          <w:color w:val="auto"/>
          <w:sz w:val="28"/>
          <w:szCs w:val="28"/>
        </w:rPr>
        <w:t>地质和</w:t>
      </w:r>
      <w:r>
        <w:rPr>
          <w:b/>
          <w:bCs/>
          <w:color w:val="auto"/>
          <w:sz w:val="28"/>
          <w:szCs w:val="28"/>
        </w:rPr>
        <w:t>地貌</w:t>
      </w:r>
      <w:bookmarkEnd w:id="96"/>
    </w:p>
    <w:p w14:paraId="7B694BF9">
      <w:pPr>
        <w:kinsoku w:val="0"/>
        <w:overflowPunct w:val="0"/>
        <w:autoSpaceDE w:val="0"/>
        <w:autoSpaceDN w:val="0"/>
        <w:ind w:firstLine="480"/>
        <w:rPr>
          <w:color w:val="auto"/>
        </w:rPr>
      </w:pPr>
      <w:r>
        <w:rPr>
          <w:color w:val="auto"/>
        </w:rPr>
        <w:t>连云港市属海积平原地貌类型，成因较为简单。厂址及周围均为松散沉积物所覆盖，基岩埋藏20m左右向东部逐渐变浅，至云台山区出露地表，向西逐渐变深基底地层主要为元古界东海群和海州群变质岩系组成，该地层主要为新生界第四系全新统和上更新统。区域地质在构造上属于中期准地，占鲁东古隆起地块，古生界和中生界地层缺失，在古老的变质</w:t>
      </w:r>
      <w:r>
        <w:rPr>
          <w:rFonts w:hint="eastAsia"/>
          <w:color w:val="auto"/>
        </w:rPr>
        <w:t>熔岩</w:t>
      </w:r>
      <w:r>
        <w:rPr>
          <w:color w:val="auto"/>
        </w:rPr>
        <w:t>系上部覆盖着较厚的第四系地层，第四系地层和古老地层的接触关系为整合接触，地层表层土较薄，厚</w:t>
      </w:r>
      <w:r>
        <w:rPr>
          <w:rFonts w:hint="eastAsia"/>
          <w:color w:val="auto"/>
          <w:lang w:eastAsia="zh-CN"/>
        </w:rPr>
        <w:t>约1cm</w:t>
      </w:r>
      <w:r>
        <w:rPr>
          <w:color w:val="auto"/>
        </w:rPr>
        <w:t>，为可塑到软塑的耕土及粘土</w:t>
      </w:r>
      <w:r>
        <w:rPr>
          <w:rFonts w:hint="eastAsia"/>
          <w:color w:val="auto"/>
        </w:rPr>
        <w:t>；</w:t>
      </w:r>
      <w:r>
        <w:rPr>
          <w:color w:val="auto"/>
        </w:rPr>
        <w:t>中部为近代海相淤层</w:t>
      </w:r>
      <w:r>
        <w:rPr>
          <w:rFonts w:hint="eastAsia"/>
          <w:color w:val="auto"/>
        </w:rPr>
        <w:t>，地</w:t>
      </w:r>
      <w:r>
        <w:rPr>
          <w:color w:val="auto"/>
        </w:rPr>
        <w:t>层里面夹粉砂，厚度为10m左右</w:t>
      </w:r>
      <w:r>
        <w:rPr>
          <w:rFonts w:hint="eastAsia"/>
          <w:color w:val="auto"/>
        </w:rPr>
        <w:t>；</w:t>
      </w:r>
      <w:r>
        <w:rPr>
          <w:color w:val="auto"/>
        </w:rPr>
        <w:t>下部为海陆交相沉积物。</w:t>
      </w:r>
    </w:p>
    <w:p w14:paraId="11947D74">
      <w:pPr>
        <w:kinsoku w:val="0"/>
        <w:overflowPunct w:val="0"/>
        <w:autoSpaceDE w:val="0"/>
        <w:autoSpaceDN w:val="0"/>
        <w:ind w:firstLine="480"/>
        <w:rPr>
          <w:color w:val="auto"/>
        </w:rPr>
      </w:pPr>
      <w:r>
        <w:rPr>
          <w:color w:val="auto"/>
        </w:rPr>
        <w:t>开发区所在区域平均标高3.4m</w:t>
      </w:r>
      <w:r>
        <w:rPr>
          <w:rFonts w:hint="eastAsia"/>
          <w:color w:val="auto"/>
        </w:rPr>
        <w:t>（</w:t>
      </w:r>
      <w:r>
        <w:rPr>
          <w:color w:val="auto"/>
        </w:rPr>
        <w:t>黄海高程</w:t>
      </w:r>
      <w:r>
        <w:rPr>
          <w:rFonts w:hint="eastAsia"/>
          <w:color w:val="auto"/>
        </w:rPr>
        <w:t>）</w:t>
      </w:r>
      <w:r>
        <w:rPr>
          <w:color w:val="auto"/>
        </w:rPr>
        <w:t>，在构造上属于中期准地带鲁东古隆起地块，古生界和中生界地层缺失，整个区域属海淤平原。</w:t>
      </w:r>
    </w:p>
    <w:p w14:paraId="089D977F">
      <w:pPr>
        <w:kinsoku w:val="0"/>
        <w:overflowPunct w:val="0"/>
        <w:autoSpaceDE w:val="0"/>
        <w:autoSpaceDN w:val="0"/>
        <w:ind w:firstLine="480"/>
        <w:rPr>
          <w:color w:val="auto"/>
        </w:rPr>
      </w:pPr>
      <w:r>
        <w:rPr>
          <w:color w:val="auto"/>
        </w:rPr>
        <w:t>连云港市为全国32个重点设防的城市之一，地震设防烈度为7度</w:t>
      </w:r>
      <w:r>
        <w:rPr>
          <w:rFonts w:hint="eastAsia"/>
          <w:color w:val="auto"/>
        </w:rPr>
        <w:t>。</w:t>
      </w:r>
    </w:p>
    <w:p w14:paraId="20C99A23">
      <w:pPr>
        <w:keepNext/>
        <w:keepLines/>
        <w:spacing w:before="120" w:beforeLines="50"/>
        <w:ind w:firstLine="0" w:firstLineChars="0"/>
        <w:outlineLvl w:val="2"/>
        <w:rPr>
          <w:b/>
          <w:bCs/>
          <w:color w:val="auto"/>
          <w:sz w:val="28"/>
          <w:szCs w:val="28"/>
        </w:rPr>
      </w:pPr>
      <w:r>
        <w:rPr>
          <w:rFonts w:hint="eastAsia"/>
          <w:b/>
          <w:bCs/>
          <w:color w:val="auto"/>
          <w:sz w:val="28"/>
          <w:szCs w:val="28"/>
        </w:rPr>
        <w:t>5</w:t>
      </w:r>
      <w:r>
        <w:rPr>
          <w:b/>
          <w:bCs/>
          <w:color w:val="auto"/>
          <w:sz w:val="28"/>
          <w:szCs w:val="28"/>
        </w:rPr>
        <w:t xml:space="preserve">.1.3 </w:t>
      </w:r>
      <w:r>
        <w:rPr>
          <w:rFonts w:hint="eastAsia"/>
          <w:b/>
          <w:bCs/>
          <w:color w:val="auto"/>
          <w:sz w:val="28"/>
          <w:szCs w:val="28"/>
        </w:rPr>
        <w:t>河流与水文特征</w:t>
      </w:r>
    </w:p>
    <w:p w14:paraId="712AF0A0">
      <w:pPr>
        <w:ind w:firstLine="480"/>
        <w:rPr>
          <w:color w:val="auto"/>
        </w:rPr>
      </w:pPr>
      <w:r>
        <w:rPr>
          <w:rFonts w:hint="eastAsia"/>
          <w:color w:val="auto"/>
        </w:rPr>
        <w:t>项目所在区域主要河流有临洪河、排淡河、大浦河排污通道、开泰河及开泰支河。</w:t>
      </w:r>
    </w:p>
    <w:p w14:paraId="175E2802">
      <w:pPr>
        <w:ind w:firstLine="480"/>
        <w:rPr>
          <w:color w:val="auto"/>
        </w:rPr>
      </w:pPr>
      <w:r>
        <w:rPr>
          <w:rFonts w:hint="eastAsia"/>
          <w:color w:val="auto"/>
        </w:rPr>
        <w:t>（1）临洪河</w:t>
      </w:r>
    </w:p>
    <w:p w14:paraId="12318E33">
      <w:pPr>
        <w:ind w:firstLine="480"/>
        <w:rPr>
          <w:color w:val="auto"/>
        </w:rPr>
      </w:pPr>
      <w:r>
        <w:rPr>
          <w:rFonts w:hint="eastAsia"/>
          <w:color w:val="auto"/>
        </w:rPr>
        <w:t>临洪闸以下至入海口河段，长约18km，其西岸为赣榆县，东岸为连云港市市区是区域最大的入海河流。临洪河受潮汐作用明显，三洋港闸建设的主要作用是挡淤防潮、截留淡水，设计最大排水量达6400m</w:t>
      </w:r>
      <w:r>
        <w:rPr>
          <w:rFonts w:hint="eastAsia"/>
          <w:color w:val="auto"/>
          <w:vertAlign w:val="superscript"/>
        </w:rPr>
        <w:t>3</w:t>
      </w:r>
      <w:r>
        <w:rPr>
          <w:rFonts w:hint="eastAsia"/>
          <w:color w:val="auto"/>
        </w:rPr>
        <w:t>/s。临洪河是区域排洪的主要通道，也是连云港市市区工业废水、生活污水的主要受纳水体。</w:t>
      </w:r>
    </w:p>
    <w:p w14:paraId="1228FA38">
      <w:pPr>
        <w:ind w:firstLine="480"/>
        <w:rPr>
          <w:color w:val="auto"/>
        </w:rPr>
      </w:pPr>
      <w:r>
        <w:rPr>
          <w:rFonts w:hint="eastAsia"/>
          <w:color w:val="auto"/>
        </w:rPr>
        <w:t>临洪河受潮汐作用明显。通过对黄海连云港站多年资料的统计，实测最高潮位3.79m，最低潮位-3.16m。平均涨潮历时5.62h，平均落潮历时6.8h。</w:t>
      </w:r>
    </w:p>
    <w:p w14:paraId="4913F8F4">
      <w:pPr>
        <w:ind w:firstLine="480"/>
        <w:rPr>
          <w:color w:val="auto"/>
        </w:rPr>
      </w:pPr>
      <w:r>
        <w:rPr>
          <w:rFonts w:hint="eastAsia"/>
          <w:color w:val="auto"/>
        </w:rPr>
        <w:t>（2）排淡河</w:t>
      </w:r>
    </w:p>
    <w:p w14:paraId="1E4294D7">
      <w:pPr>
        <w:ind w:firstLine="480"/>
        <w:rPr>
          <w:color w:val="auto"/>
        </w:rPr>
      </w:pPr>
      <w:r>
        <w:rPr>
          <w:rFonts w:hint="eastAsia"/>
          <w:color w:val="auto"/>
        </w:rPr>
        <w:t>排淡河源于东盐河，上起猴嘴闸，下至大板跳闸，全长约14km。排淡河自西向东流经开发区北片，是人工开挖的用于农灌、排洪河流，河床较平直、规则，上游窄、下游宽，开发区段及上游河宽30m、下游宽约60m，河底淤积较大，一般水深2.5～3m，淤积深度0.5～1.0m。排淡河上下游均由河闸控制，设计流量为1.89m</w:t>
      </w:r>
      <w:r>
        <w:rPr>
          <w:rFonts w:hint="eastAsia"/>
          <w:color w:val="auto"/>
          <w:vertAlign w:val="superscript"/>
        </w:rPr>
        <w:t>3</w:t>
      </w:r>
      <w:r>
        <w:rPr>
          <w:rFonts w:hint="eastAsia"/>
          <w:color w:val="auto"/>
        </w:rPr>
        <w:t>/s，该河水来源于流域降水径流和上游闸放水，除丰水期及农灌外，上下游河闸一般为关闭。</w:t>
      </w:r>
    </w:p>
    <w:p w14:paraId="7B54BAAB">
      <w:pPr>
        <w:ind w:firstLine="480"/>
        <w:rPr>
          <w:color w:val="auto"/>
        </w:rPr>
      </w:pPr>
      <w:r>
        <w:rPr>
          <w:rFonts w:hint="eastAsia"/>
          <w:color w:val="auto"/>
        </w:rPr>
        <w:t>（3）大浦河排污通道</w:t>
      </w:r>
    </w:p>
    <w:p w14:paraId="7C8A25A8">
      <w:pPr>
        <w:ind w:firstLine="480"/>
        <w:rPr>
          <w:color w:val="auto"/>
        </w:rPr>
      </w:pPr>
      <w:r>
        <w:rPr>
          <w:rFonts w:hint="eastAsia"/>
          <w:color w:val="auto"/>
        </w:rPr>
        <w:t>大浦河排水通道位于新沭河右堤堤防内，排水通道自大浦闸下到三洋港闸，总长12.05km。排污通道属于人工开挖河道，按大浦河非汛期5年，一遇排水标准设计，设计流量为67m</w:t>
      </w:r>
      <w:r>
        <w:rPr>
          <w:rFonts w:hint="eastAsia"/>
          <w:color w:val="auto"/>
          <w:vertAlign w:val="superscript"/>
        </w:rPr>
        <w:t>3</w:t>
      </w:r>
      <w:r>
        <w:rPr>
          <w:rFonts w:hint="eastAsia"/>
          <w:color w:val="auto"/>
        </w:rPr>
        <w:t>/s，开挖底高程为-1.0m，在大浦闸下设1:40倒比降与大浦闸底板相接，排污通道开挖底宽度10m，开挖边坡1:8，开挖河口右侧与堆土区预留青坎30m。</w:t>
      </w:r>
    </w:p>
    <w:p w14:paraId="5AD3A1D4">
      <w:pPr>
        <w:ind w:firstLine="480"/>
        <w:rPr>
          <w:color w:val="auto"/>
        </w:rPr>
      </w:pPr>
      <w:r>
        <w:rPr>
          <w:rFonts w:hint="eastAsia"/>
          <w:color w:val="auto"/>
        </w:rPr>
        <w:t>为防止污水直接排入中泓，大浦闸下、公兴闸下与中泓连接的引河上填筑拦污坝。排水通道大浦闸下设计水位2.4m，大浦闸下拦污坝坝顶高程2.6m，坝顶宽度3.0m，边坡1:10，上下游边坡及坝顶均采用浆砌石护砌。公兴闸下拦污坝坝顶高程平滩面，顶宽3m，边坡1:10，上下游边坡及坝顶采用浆砌石护砌。</w:t>
      </w:r>
    </w:p>
    <w:p w14:paraId="03F42F57">
      <w:pPr>
        <w:ind w:firstLine="480"/>
        <w:rPr>
          <w:color w:val="auto"/>
        </w:rPr>
      </w:pPr>
      <w:r>
        <w:rPr>
          <w:rFonts w:hint="eastAsia"/>
          <w:color w:val="auto"/>
        </w:rPr>
        <w:t>（4）开泰河</w:t>
      </w:r>
    </w:p>
    <w:p w14:paraId="49C8D09B">
      <w:pPr>
        <w:ind w:firstLine="480"/>
        <w:rPr>
          <w:color w:val="auto"/>
        </w:rPr>
      </w:pPr>
      <w:r>
        <w:rPr>
          <w:rFonts w:hint="eastAsia"/>
          <w:color w:val="auto"/>
        </w:rPr>
        <w:t>开泰河位于市开发区猴嘴街道境内，属区级河道，北起228国道，南至开泰闸，与大浦河相连，全长11.6公里，河面宽15—25米，共有雨水排口44个，主要承担防洪排涝及城市景观功能，</w:t>
      </w:r>
    </w:p>
    <w:p w14:paraId="37F7A665">
      <w:pPr>
        <w:ind w:firstLine="480"/>
        <w:rPr>
          <w:color w:val="auto"/>
        </w:rPr>
      </w:pPr>
      <w:r>
        <w:rPr>
          <w:rFonts w:hint="eastAsia"/>
          <w:color w:val="auto"/>
        </w:rPr>
        <w:t>（5）开泰支河</w:t>
      </w:r>
    </w:p>
    <w:p w14:paraId="32B75399">
      <w:pPr>
        <w:ind w:firstLine="480"/>
        <w:rPr>
          <w:color w:val="auto"/>
        </w:rPr>
      </w:pPr>
      <w:r>
        <w:rPr>
          <w:rFonts w:hint="eastAsia"/>
          <w:color w:val="auto"/>
        </w:rPr>
        <w:t>开泰支河位于市开发区猴嘴街道境内，属区级河道，北起228国道，南至开泰闸，通过支流连接大浦河，全长10.8公里，河面宽15—60米，主要承担防洪排涝及城市景观功能。</w:t>
      </w:r>
    </w:p>
    <w:p w14:paraId="3E0EE56E">
      <w:pPr>
        <w:ind w:firstLine="480"/>
        <w:rPr>
          <w:color w:val="auto"/>
        </w:rPr>
      </w:pPr>
      <w:r>
        <w:rPr>
          <w:rFonts w:hint="eastAsia"/>
          <w:color w:val="auto"/>
        </w:rPr>
        <w:t>项目所在区域内水系情况详见图5.1-2。</w:t>
      </w:r>
    </w:p>
    <w:p w14:paraId="5C84866D">
      <w:pPr>
        <w:keepNext/>
        <w:keepLines/>
        <w:spacing w:before="120" w:beforeLines="50"/>
        <w:ind w:firstLine="0" w:firstLineChars="0"/>
        <w:outlineLvl w:val="2"/>
        <w:rPr>
          <w:b/>
          <w:bCs/>
          <w:color w:val="auto"/>
          <w:sz w:val="28"/>
          <w:szCs w:val="28"/>
        </w:rPr>
      </w:pPr>
      <w:r>
        <w:rPr>
          <w:rFonts w:hint="eastAsia"/>
          <w:b/>
          <w:bCs/>
          <w:color w:val="auto"/>
          <w:sz w:val="28"/>
          <w:szCs w:val="28"/>
        </w:rPr>
        <w:t>5</w:t>
      </w:r>
      <w:r>
        <w:rPr>
          <w:b/>
          <w:bCs/>
          <w:color w:val="auto"/>
          <w:sz w:val="28"/>
          <w:szCs w:val="28"/>
        </w:rPr>
        <w:t>.1.</w:t>
      </w:r>
      <w:r>
        <w:rPr>
          <w:rFonts w:hint="eastAsia"/>
          <w:b/>
          <w:bCs/>
          <w:color w:val="auto"/>
          <w:sz w:val="28"/>
          <w:szCs w:val="28"/>
        </w:rPr>
        <w:t>4</w:t>
      </w:r>
      <w:r>
        <w:rPr>
          <w:b/>
          <w:bCs/>
          <w:color w:val="auto"/>
          <w:sz w:val="28"/>
          <w:szCs w:val="28"/>
        </w:rPr>
        <w:t xml:space="preserve"> 气候、气象</w:t>
      </w:r>
    </w:p>
    <w:p w14:paraId="6325D8CA">
      <w:pPr>
        <w:kinsoku w:val="0"/>
        <w:overflowPunct w:val="0"/>
        <w:autoSpaceDE w:val="0"/>
        <w:autoSpaceDN w:val="0"/>
        <w:ind w:firstLine="480"/>
        <w:rPr>
          <w:color w:val="auto"/>
        </w:rPr>
      </w:pPr>
      <w:r>
        <w:rPr>
          <w:color w:val="auto"/>
        </w:rPr>
        <w:t>连云港地处暖温带和北亚热带的过渡地带，属暖温带南缘湿润性季风气候，既有暖温带气候特征，又有北亚热带气候特征。气候总的特点是</w:t>
      </w:r>
      <w:r>
        <w:rPr>
          <w:rFonts w:hint="eastAsia"/>
          <w:color w:val="auto"/>
        </w:rPr>
        <w:t>：</w:t>
      </w:r>
      <w:r>
        <w:rPr>
          <w:color w:val="auto"/>
        </w:rPr>
        <w:t>四季分明，光照充足，雨量适中，气候温和。该区年平均气温14.1℃℃，年均降水量904.6mm，年主导风向为SE，次主导风向为SSW、ENE，年静风频率为11.04%。评价区域内因地势平坦，</w:t>
      </w:r>
      <w:r>
        <w:rPr>
          <w:rFonts w:hint="eastAsia"/>
          <w:color w:val="auto"/>
        </w:rPr>
        <w:t>濒临</w:t>
      </w:r>
      <w:r>
        <w:rPr>
          <w:color w:val="auto"/>
        </w:rPr>
        <w:t>黄海，加之受季风影响，平均风速较大，各月平均风速在2.9</w:t>
      </w:r>
      <w:r>
        <w:rPr>
          <w:rFonts w:hint="eastAsia"/>
          <w:color w:val="auto"/>
        </w:rPr>
        <w:t>～</w:t>
      </w:r>
      <w:r>
        <w:rPr>
          <w:color w:val="auto"/>
        </w:rPr>
        <w:t>4.3m/s之间，年平均风速为3.</w:t>
      </w:r>
      <w:r>
        <w:rPr>
          <w:rFonts w:hint="eastAsia"/>
          <w:color w:val="auto"/>
        </w:rPr>
        <w:t>5</w:t>
      </w:r>
      <w:r>
        <w:rPr>
          <w:color w:val="auto"/>
        </w:rPr>
        <w:t>m/s，大气输送条件较好，有利于大气污染物扩散。区域受陆地、海洋不同热力作用影响，地面气温水平分布表现出明显规律性，秋、冬季为东暖西冷。</w:t>
      </w:r>
    </w:p>
    <w:p w14:paraId="3DFAAB61">
      <w:pPr>
        <w:kinsoku w:val="0"/>
        <w:overflowPunct w:val="0"/>
        <w:autoSpaceDE w:val="0"/>
        <w:autoSpaceDN w:val="0"/>
        <w:ind w:firstLine="480"/>
        <w:rPr>
          <w:color w:val="auto"/>
        </w:rPr>
      </w:pPr>
      <w:r>
        <w:rPr>
          <w:color w:val="auto"/>
        </w:rPr>
        <w:t>其主要气象特征见表</w:t>
      </w:r>
      <w:r>
        <w:rPr>
          <w:rFonts w:hint="eastAsia"/>
          <w:color w:val="auto"/>
        </w:rPr>
        <w:t>5.1</w:t>
      </w:r>
      <w:r>
        <w:rPr>
          <w:color w:val="auto"/>
        </w:rPr>
        <w:t>-1</w:t>
      </w:r>
      <w:r>
        <w:rPr>
          <w:rFonts w:hint="eastAsia"/>
          <w:color w:val="auto"/>
        </w:rPr>
        <w:t>～</w:t>
      </w:r>
      <w:r>
        <w:rPr>
          <w:color w:val="auto"/>
        </w:rPr>
        <w:t>表</w:t>
      </w:r>
      <w:r>
        <w:rPr>
          <w:rFonts w:hint="eastAsia"/>
          <w:color w:val="auto"/>
        </w:rPr>
        <w:t>5</w:t>
      </w:r>
      <w:r>
        <w:rPr>
          <w:color w:val="auto"/>
        </w:rPr>
        <w:t>.1</w:t>
      </w:r>
      <w:r>
        <w:rPr>
          <w:rFonts w:hint="eastAsia"/>
          <w:color w:val="auto"/>
        </w:rPr>
        <w:t>-3</w:t>
      </w:r>
      <w:r>
        <w:rPr>
          <w:color w:val="auto"/>
        </w:rPr>
        <w:t>和图</w:t>
      </w:r>
      <w:r>
        <w:rPr>
          <w:rFonts w:hint="eastAsia"/>
          <w:color w:val="auto"/>
        </w:rPr>
        <w:t>5.</w:t>
      </w:r>
      <w:r>
        <w:rPr>
          <w:color w:val="auto"/>
        </w:rPr>
        <w:t>1-2</w:t>
      </w:r>
      <w:r>
        <w:rPr>
          <w:rFonts w:hint="eastAsia"/>
          <w:color w:val="auto"/>
        </w:rPr>
        <w:t>～</w:t>
      </w:r>
      <w:r>
        <w:rPr>
          <w:color w:val="auto"/>
        </w:rPr>
        <w:t>图</w:t>
      </w:r>
      <w:r>
        <w:rPr>
          <w:rFonts w:hint="eastAsia"/>
          <w:color w:val="auto"/>
        </w:rPr>
        <w:t>5.</w:t>
      </w:r>
      <w:r>
        <w:rPr>
          <w:color w:val="auto"/>
        </w:rPr>
        <w:t>1-3。</w:t>
      </w:r>
    </w:p>
    <w:p w14:paraId="548D7497">
      <w:pPr>
        <w:kinsoku w:val="0"/>
        <w:overflowPunct w:val="0"/>
        <w:autoSpaceDE w:val="0"/>
        <w:autoSpaceDN w:val="0"/>
        <w:ind w:firstLine="480"/>
        <w:rPr>
          <w:color w:val="auto"/>
        </w:rPr>
      </w:pPr>
      <w:r>
        <w:rPr>
          <w:color w:val="auto"/>
        </w:rPr>
        <w:t>区域主要气象特征见表5.1-1。</w:t>
      </w:r>
    </w:p>
    <w:p w14:paraId="51BEA237">
      <w:pPr>
        <w:spacing w:line="240" w:lineRule="auto"/>
        <w:ind w:firstLine="0" w:firstLineChars="0"/>
        <w:jc w:val="center"/>
        <w:rPr>
          <w:b/>
          <w:bCs/>
          <w:color w:val="auto"/>
        </w:rPr>
      </w:pPr>
      <w:r>
        <w:rPr>
          <w:b/>
          <w:bCs/>
          <w:color w:val="auto"/>
        </w:rPr>
        <w:t>表</w:t>
      </w:r>
      <w:r>
        <w:rPr>
          <w:rFonts w:hint="eastAsia"/>
          <w:b/>
          <w:bCs/>
          <w:color w:val="auto"/>
        </w:rPr>
        <w:t>5</w:t>
      </w:r>
      <w:r>
        <w:rPr>
          <w:b/>
          <w:bCs/>
          <w:color w:val="auto"/>
        </w:rPr>
        <w:t xml:space="preserve">.1-1  </w:t>
      </w:r>
      <w:r>
        <w:rPr>
          <w:rFonts w:hint="eastAsia"/>
          <w:b/>
          <w:bCs/>
          <w:color w:val="auto"/>
        </w:rPr>
        <w:t>主要</w:t>
      </w:r>
      <w:r>
        <w:rPr>
          <w:b/>
          <w:bCs/>
          <w:color w:val="auto"/>
        </w:rPr>
        <w:t>气象特征参数表</w:t>
      </w:r>
    </w:p>
    <w:tbl>
      <w:tblPr>
        <w:tblStyle w:val="8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05"/>
        <w:gridCol w:w="2018"/>
        <w:gridCol w:w="3307"/>
        <w:gridCol w:w="2752"/>
      </w:tblGrid>
      <w:tr w14:paraId="259506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tcBorders>
              <w:tl2br w:val="nil"/>
              <w:tr2bl w:val="nil"/>
            </w:tcBorders>
            <w:shd w:val="clear" w:color="auto" w:fill="auto"/>
            <w:vAlign w:val="center"/>
          </w:tcPr>
          <w:p w14:paraId="1961FE43">
            <w:pPr>
              <w:spacing w:line="240" w:lineRule="auto"/>
              <w:ind w:firstLine="0" w:firstLineChars="0"/>
              <w:jc w:val="center"/>
              <w:rPr>
                <w:b/>
                <w:bCs/>
                <w:color w:val="auto"/>
                <w:sz w:val="21"/>
                <w:szCs w:val="21"/>
              </w:rPr>
            </w:pPr>
            <w:r>
              <w:rPr>
                <w:rFonts w:hint="eastAsia"/>
                <w:b/>
                <w:bCs/>
                <w:color w:val="auto"/>
                <w:sz w:val="21"/>
                <w:szCs w:val="21"/>
              </w:rPr>
              <w:t>序号</w:t>
            </w:r>
          </w:p>
        </w:tc>
        <w:tc>
          <w:tcPr>
            <w:tcW w:w="2868" w:type="pct"/>
            <w:gridSpan w:val="2"/>
            <w:tcBorders>
              <w:tl2br w:val="nil"/>
              <w:tr2bl w:val="nil"/>
            </w:tcBorders>
            <w:shd w:val="clear" w:color="auto" w:fill="auto"/>
            <w:vAlign w:val="center"/>
          </w:tcPr>
          <w:p w14:paraId="5F64017E">
            <w:pPr>
              <w:spacing w:line="240" w:lineRule="auto"/>
              <w:ind w:firstLine="0" w:firstLineChars="0"/>
              <w:jc w:val="center"/>
              <w:rPr>
                <w:b/>
                <w:bCs/>
                <w:color w:val="auto"/>
                <w:sz w:val="21"/>
                <w:szCs w:val="21"/>
              </w:rPr>
            </w:pPr>
            <w:r>
              <w:rPr>
                <w:rFonts w:hint="eastAsia" w:cs="宋体"/>
                <w:b/>
                <w:bCs/>
                <w:color w:val="auto"/>
                <w:sz w:val="21"/>
                <w:szCs w:val="21"/>
                <w:lang w:bidi="ar"/>
              </w:rPr>
              <w:t>项目</w:t>
            </w:r>
          </w:p>
        </w:tc>
        <w:tc>
          <w:tcPr>
            <w:tcW w:w="1482" w:type="pct"/>
            <w:tcBorders>
              <w:tl2br w:val="nil"/>
              <w:tr2bl w:val="nil"/>
            </w:tcBorders>
            <w:shd w:val="clear" w:color="auto" w:fill="auto"/>
            <w:vAlign w:val="center"/>
          </w:tcPr>
          <w:p w14:paraId="1A9A1E9C">
            <w:pPr>
              <w:spacing w:line="240" w:lineRule="auto"/>
              <w:ind w:firstLine="0" w:firstLineChars="0"/>
              <w:jc w:val="center"/>
              <w:rPr>
                <w:b/>
                <w:bCs/>
                <w:color w:val="auto"/>
                <w:sz w:val="21"/>
                <w:szCs w:val="21"/>
              </w:rPr>
            </w:pPr>
            <w:r>
              <w:rPr>
                <w:rFonts w:hint="eastAsia" w:cs="宋体"/>
                <w:b/>
                <w:bCs/>
                <w:color w:val="auto"/>
                <w:sz w:val="21"/>
                <w:szCs w:val="21"/>
                <w:lang w:bidi="ar"/>
              </w:rPr>
              <w:t>数值</w:t>
            </w:r>
          </w:p>
        </w:tc>
      </w:tr>
      <w:tr w14:paraId="54EEEB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restart"/>
            <w:tcBorders>
              <w:tl2br w:val="nil"/>
              <w:tr2bl w:val="nil"/>
            </w:tcBorders>
            <w:shd w:val="clear" w:color="auto" w:fill="auto"/>
            <w:vAlign w:val="center"/>
          </w:tcPr>
          <w:p w14:paraId="6121E065">
            <w:pPr>
              <w:spacing w:line="240" w:lineRule="auto"/>
              <w:ind w:firstLine="0" w:firstLineChars="0"/>
              <w:jc w:val="center"/>
              <w:rPr>
                <w:color w:val="auto"/>
                <w:sz w:val="21"/>
                <w:szCs w:val="21"/>
              </w:rPr>
            </w:pPr>
            <w:r>
              <w:rPr>
                <w:color w:val="auto"/>
                <w:sz w:val="21"/>
                <w:szCs w:val="21"/>
                <w:lang w:bidi="ar"/>
              </w:rPr>
              <w:t>1</w:t>
            </w:r>
          </w:p>
        </w:tc>
        <w:tc>
          <w:tcPr>
            <w:tcW w:w="1087" w:type="pct"/>
            <w:vMerge w:val="restart"/>
            <w:tcBorders>
              <w:tl2br w:val="nil"/>
              <w:tr2bl w:val="nil"/>
            </w:tcBorders>
            <w:shd w:val="clear" w:color="auto" w:fill="auto"/>
            <w:vAlign w:val="center"/>
          </w:tcPr>
          <w:p w14:paraId="6BAA6EE3">
            <w:pPr>
              <w:spacing w:line="240" w:lineRule="auto"/>
              <w:ind w:firstLine="0" w:firstLineChars="0"/>
              <w:jc w:val="center"/>
              <w:rPr>
                <w:color w:val="auto"/>
                <w:sz w:val="21"/>
                <w:szCs w:val="21"/>
              </w:rPr>
            </w:pPr>
            <w:r>
              <w:rPr>
                <w:rFonts w:hint="eastAsia" w:cs="宋体"/>
                <w:color w:val="auto"/>
                <w:sz w:val="21"/>
                <w:szCs w:val="21"/>
                <w:lang w:bidi="ar"/>
              </w:rPr>
              <w:t>气温</w:t>
            </w:r>
          </w:p>
        </w:tc>
        <w:tc>
          <w:tcPr>
            <w:tcW w:w="1781" w:type="pct"/>
            <w:tcBorders>
              <w:tl2br w:val="nil"/>
              <w:tr2bl w:val="nil"/>
            </w:tcBorders>
            <w:shd w:val="clear" w:color="auto" w:fill="auto"/>
            <w:vAlign w:val="center"/>
          </w:tcPr>
          <w:p w14:paraId="046CDF66">
            <w:pPr>
              <w:spacing w:line="240" w:lineRule="auto"/>
              <w:ind w:firstLine="0" w:firstLineChars="0"/>
              <w:jc w:val="center"/>
              <w:rPr>
                <w:color w:val="auto"/>
                <w:sz w:val="21"/>
                <w:szCs w:val="21"/>
              </w:rPr>
            </w:pPr>
            <w:r>
              <w:rPr>
                <w:rFonts w:hint="eastAsia" w:cs="宋体"/>
                <w:color w:val="auto"/>
                <w:sz w:val="21"/>
                <w:szCs w:val="21"/>
                <w:lang w:bidi="ar"/>
              </w:rPr>
              <w:t>年平均气温</w:t>
            </w:r>
          </w:p>
        </w:tc>
        <w:tc>
          <w:tcPr>
            <w:tcW w:w="1482" w:type="pct"/>
            <w:tcBorders>
              <w:tl2br w:val="nil"/>
              <w:tr2bl w:val="nil"/>
            </w:tcBorders>
            <w:shd w:val="clear" w:color="auto" w:fill="auto"/>
            <w:vAlign w:val="center"/>
          </w:tcPr>
          <w:p w14:paraId="5FC2F2F1">
            <w:pPr>
              <w:spacing w:line="240" w:lineRule="auto"/>
              <w:ind w:firstLine="0" w:firstLineChars="0"/>
              <w:jc w:val="center"/>
              <w:rPr>
                <w:color w:val="auto"/>
                <w:sz w:val="21"/>
                <w:szCs w:val="21"/>
              </w:rPr>
            </w:pPr>
            <w:r>
              <w:rPr>
                <w:color w:val="auto"/>
                <w:sz w:val="21"/>
                <w:szCs w:val="21"/>
                <w:lang w:bidi="ar"/>
              </w:rPr>
              <w:t>14℃</w:t>
            </w:r>
          </w:p>
        </w:tc>
      </w:tr>
      <w:tr w14:paraId="51866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continue"/>
            <w:tcBorders>
              <w:tl2br w:val="nil"/>
              <w:tr2bl w:val="nil"/>
            </w:tcBorders>
            <w:shd w:val="clear" w:color="auto" w:fill="auto"/>
            <w:vAlign w:val="center"/>
          </w:tcPr>
          <w:p w14:paraId="6CD91905">
            <w:pPr>
              <w:ind w:firstLine="400"/>
              <w:rPr>
                <w:rFonts w:hint="eastAsia" w:ascii="等线" w:hAnsi="等线" w:cs="等线"/>
                <w:color w:val="auto"/>
                <w:sz w:val="20"/>
                <w:szCs w:val="20"/>
              </w:rPr>
            </w:pPr>
          </w:p>
        </w:tc>
        <w:tc>
          <w:tcPr>
            <w:tcW w:w="1087" w:type="pct"/>
            <w:vMerge w:val="continue"/>
            <w:tcBorders>
              <w:tl2br w:val="nil"/>
              <w:tr2bl w:val="nil"/>
            </w:tcBorders>
            <w:shd w:val="clear" w:color="auto" w:fill="auto"/>
            <w:vAlign w:val="center"/>
          </w:tcPr>
          <w:p w14:paraId="5FA1D731">
            <w:pPr>
              <w:ind w:firstLine="400"/>
              <w:rPr>
                <w:rFonts w:hint="eastAsia" w:ascii="等线" w:hAnsi="等线" w:cs="等线"/>
                <w:color w:val="auto"/>
                <w:sz w:val="20"/>
                <w:szCs w:val="20"/>
              </w:rPr>
            </w:pPr>
          </w:p>
        </w:tc>
        <w:tc>
          <w:tcPr>
            <w:tcW w:w="1781" w:type="pct"/>
            <w:tcBorders>
              <w:tl2br w:val="nil"/>
              <w:tr2bl w:val="nil"/>
            </w:tcBorders>
            <w:shd w:val="clear" w:color="auto" w:fill="auto"/>
            <w:vAlign w:val="center"/>
          </w:tcPr>
          <w:p w14:paraId="5EC94EBC">
            <w:pPr>
              <w:spacing w:line="240" w:lineRule="auto"/>
              <w:ind w:firstLine="0" w:firstLineChars="0"/>
              <w:jc w:val="center"/>
              <w:rPr>
                <w:color w:val="auto"/>
                <w:sz w:val="21"/>
                <w:szCs w:val="21"/>
              </w:rPr>
            </w:pPr>
            <w:r>
              <w:rPr>
                <w:rFonts w:hint="eastAsia" w:cs="宋体"/>
                <w:color w:val="auto"/>
                <w:sz w:val="21"/>
                <w:szCs w:val="21"/>
                <w:lang w:bidi="ar"/>
              </w:rPr>
              <w:t>年最低气温</w:t>
            </w:r>
          </w:p>
        </w:tc>
        <w:tc>
          <w:tcPr>
            <w:tcW w:w="1482" w:type="pct"/>
            <w:tcBorders>
              <w:tl2br w:val="nil"/>
              <w:tr2bl w:val="nil"/>
            </w:tcBorders>
            <w:shd w:val="clear" w:color="auto" w:fill="auto"/>
            <w:vAlign w:val="center"/>
          </w:tcPr>
          <w:p w14:paraId="6BDE7DA0">
            <w:pPr>
              <w:spacing w:line="240" w:lineRule="auto"/>
              <w:ind w:firstLine="0" w:firstLineChars="0"/>
              <w:jc w:val="center"/>
              <w:rPr>
                <w:color w:val="auto"/>
                <w:sz w:val="21"/>
                <w:szCs w:val="21"/>
              </w:rPr>
            </w:pPr>
            <w:r>
              <w:rPr>
                <w:color w:val="auto"/>
                <w:sz w:val="21"/>
                <w:szCs w:val="21"/>
                <w:lang w:bidi="ar"/>
              </w:rPr>
              <w:t>-18.1℃</w:t>
            </w:r>
          </w:p>
        </w:tc>
      </w:tr>
      <w:tr w14:paraId="1171DF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continue"/>
            <w:tcBorders>
              <w:tl2br w:val="nil"/>
              <w:tr2bl w:val="nil"/>
            </w:tcBorders>
            <w:shd w:val="clear" w:color="auto" w:fill="auto"/>
            <w:vAlign w:val="center"/>
          </w:tcPr>
          <w:p w14:paraId="2B80A08F">
            <w:pPr>
              <w:ind w:firstLine="400"/>
              <w:rPr>
                <w:rFonts w:hint="eastAsia" w:ascii="等线" w:hAnsi="等线" w:cs="等线"/>
                <w:color w:val="auto"/>
                <w:sz w:val="20"/>
                <w:szCs w:val="20"/>
              </w:rPr>
            </w:pPr>
          </w:p>
        </w:tc>
        <w:tc>
          <w:tcPr>
            <w:tcW w:w="1087" w:type="pct"/>
            <w:vMerge w:val="continue"/>
            <w:tcBorders>
              <w:tl2br w:val="nil"/>
              <w:tr2bl w:val="nil"/>
            </w:tcBorders>
            <w:shd w:val="clear" w:color="auto" w:fill="auto"/>
            <w:vAlign w:val="center"/>
          </w:tcPr>
          <w:p w14:paraId="009C4ACC">
            <w:pPr>
              <w:ind w:firstLine="400"/>
              <w:rPr>
                <w:rFonts w:hint="eastAsia" w:ascii="等线" w:hAnsi="等线" w:cs="等线"/>
                <w:color w:val="auto"/>
                <w:sz w:val="20"/>
                <w:szCs w:val="20"/>
              </w:rPr>
            </w:pPr>
          </w:p>
        </w:tc>
        <w:tc>
          <w:tcPr>
            <w:tcW w:w="1781" w:type="pct"/>
            <w:tcBorders>
              <w:tl2br w:val="nil"/>
              <w:tr2bl w:val="nil"/>
            </w:tcBorders>
            <w:shd w:val="clear" w:color="auto" w:fill="auto"/>
            <w:vAlign w:val="center"/>
          </w:tcPr>
          <w:p w14:paraId="06EE141C">
            <w:pPr>
              <w:spacing w:line="240" w:lineRule="auto"/>
              <w:ind w:firstLine="0" w:firstLineChars="0"/>
              <w:jc w:val="center"/>
              <w:rPr>
                <w:color w:val="auto"/>
                <w:sz w:val="21"/>
                <w:szCs w:val="21"/>
              </w:rPr>
            </w:pPr>
            <w:r>
              <w:rPr>
                <w:rFonts w:hint="eastAsia" w:cs="宋体"/>
                <w:color w:val="auto"/>
                <w:sz w:val="21"/>
                <w:szCs w:val="21"/>
                <w:lang w:bidi="ar"/>
              </w:rPr>
              <w:t>年最高气温</w:t>
            </w:r>
          </w:p>
        </w:tc>
        <w:tc>
          <w:tcPr>
            <w:tcW w:w="1482" w:type="pct"/>
            <w:tcBorders>
              <w:tl2br w:val="nil"/>
              <w:tr2bl w:val="nil"/>
            </w:tcBorders>
            <w:shd w:val="clear" w:color="auto" w:fill="auto"/>
            <w:vAlign w:val="center"/>
          </w:tcPr>
          <w:p w14:paraId="768618C9">
            <w:pPr>
              <w:spacing w:line="240" w:lineRule="auto"/>
              <w:ind w:firstLine="0" w:firstLineChars="0"/>
              <w:jc w:val="center"/>
              <w:rPr>
                <w:color w:val="auto"/>
                <w:sz w:val="21"/>
                <w:szCs w:val="21"/>
              </w:rPr>
            </w:pPr>
            <w:r>
              <w:rPr>
                <w:color w:val="auto"/>
                <w:sz w:val="21"/>
                <w:szCs w:val="21"/>
                <w:lang w:bidi="ar"/>
              </w:rPr>
              <w:t>40℃</w:t>
            </w:r>
          </w:p>
        </w:tc>
      </w:tr>
      <w:tr w14:paraId="720777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tcBorders>
              <w:tl2br w:val="nil"/>
              <w:tr2bl w:val="nil"/>
            </w:tcBorders>
            <w:shd w:val="clear" w:color="auto" w:fill="auto"/>
            <w:vAlign w:val="center"/>
          </w:tcPr>
          <w:p w14:paraId="589AF912">
            <w:pPr>
              <w:spacing w:line="240" w:lineRule="auto"/>
              <w:ind w:firstLine="0" w:firstLineChars="0"/>
              <w:jc w:val="center"/>
              <w:rPr>
                <w:color w:val="auto"/>
                <w:sz w:val="21"/>
                <w:szCs w:val="21"/>
              </w:rPr>
            </w:pPr>
            <w:r>
              <w:rPr>
                <w:color w:val="auto"/>
                <w:sz w:val="21"/>
                <w:szCs w:val="21"/>
                <w:lang w:bidi="ar"/>
              </w:rPr>
              <w:t>2</w:t>
            </w:r>
          </w:p>
        </w:tc>
        <w:tc>
          <w:tcPr>
            <w:tcW w:w="1087" w:type="pct"/>
            <w:tcBorders>
              <w:tl2br w:val="nil"/>
              <w:tr2bl w:val="nil"/>
            </w:tcBorders>
            <w:shd w:val="clear" w:color="auto" w:fill="auto"/>
            <w:vAlign w:val="center"/>
          </w:tcPr>
          <w:p w14:paraId="4C520C3E">
            <w:pPr>
              <w:spacing w:line="240" w:lineRule="auto"/>
              <w:ind w:firstLine="0" w:firstLineChars="0"/>
              <w:jc w:val="center"/>
              <w:rPr>
                <w:color w:val="auto"/>
                <w:sz w:val="21"/>
                <w:szCs w:val="21"/>
              </w:rPr>
            </w:pPr>
            <w:r>
              <w:rPr>
                <w:rFonts w:hint="eastAsia" w:cs="宋体"/>
                <w:color w:val="auto"/>
                <w:sz w:val="21"/>
                <w:szCs w:val="21"/>
                <w:lang w:bidi="ar"/>
              </w:rPr>
              <w:t>风速</w:t>
            </w:r>
          </w:p>
        </w:tc>
        <w:tc>
          <w:tcPr>
            <w:tcW w:w="1781" w:type="pct"/>
            <w:tcBorders>
              <w:tl2br w:val="nil"/>
              <w:tr2bl w:val="nil"/>
            </w:tcBorders>
            <w:shd w:val="clear" w:color="auto" w:fill="auto"/>
            <w:vAlign w:val="center"/>
          </w:tcPr>
          <w:p w14:paraId="02AC8529">
            <w:pPr>
              <w:spacing w:line="240" w:lineRule="auto"/>
              <w:ind w:firstLine="0" w:firstLineChars="0"/>
              <w:jc w:val="center"/>
              <w:rPr>
                <w:color w:val="auto"/>
                <w:sz w:val="21"/>
                <w:szCs w:val="21"/>
              </w:rPr>
            </w:pPr>
            <w:r>
              <w:rPr>
                <w:rFonts w:hint="eastAsia" w:cs="宋体"/>
                <w:color w:val="auto"/>
                <w:sz w:val="21"/>
                <w:szCs w:val="21"/>
                <w:lang w:bidi="ar"/>
              </w:rPr>
              <w:t>年平均风速</w:t>
            </w:r>
          </w:p>
        </w:tc>
        <w:tc>
          <w:tcPr>
            <w:tcW w:w="1482" w:type="pct"/>
            <w:tcBorders>
              <w:tl2br w:val="nil"/>
              <w:tr2bl w:val="nil"/>
            </w:tcBorders>
            <w:shd w:val="clear" w:color="auto" w:fill="auto"/>
            <w:vAlign w:val="center"/>
          </w:tcPr>
          <w:p w14:paraId="2F7D392E">
            <w:pPr>
              <w:spacing w:line="240" w:lineRule="auto"/>
              <w:ind w:firstLine="0" w:firstLineChars="0"/>
              <w:jc w:val="center"/>
              <w:rPr>
                <w:color w:val="auto"/>
                <w:sz w:val="21"/>
                <w:szCs w:val="21"/>
              </w:rPr>
            </w:pPr>
            <w:r>
              <w:rPr>
                <w:color w:val="auto"/>
                <w:sz w:val="21"/>
                <w:szCs w:val="21"/>
                <w:lang w:bidi="ar"/>
              </w:rPr>
              <w:t>3.5m/s</w:t>
            </w:r>
          </w:p>
        </w:tc>
      </w:tr>
      <w:tr w14:paraId="1B4D39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tcBorders>
              <w:tl2br w:val="nil"/>
              <w:tr2bl w:val="nil"/>
            </w:tcBorders>
            <w:shd w:val="clear" w:color="auto" w:fill="auto"/>
            <w:vAlign w:val="center"/>
          </w:tcPr>
          <w:p w14:paraId="238F8966">
            <w:pPr>
              <w:spacing w:line="240" w:lineRule="auto"/>
              <w:ind w:firstLine="0" w:firstLineChars="0"/>
              <w:jc w:val="center"/>
              <w:rPr>
                <w:color w:val="auto"/>
                <w:sz w:val="21"/>
                <w:szCs w:val="21"/>
              </w:rPr>
            </w:pPr>
            <w:r>
              <w:rPr>
                <w:color w:val="auto"/>
                <w:sz w:val="21"/>
                <w:szCs w:val="21"/>
                <w:lang w:bidi="ar"/>
              </w:rPr>
              <w:t>3</w:t>
            </w:r>
          </w:p>
        </w:tc>
        <w:tc>
          <w:tcPr>
            <w:tcW w:w="1087" w:type="pct"/>
            <w:tcBorders>
              <w:tl2br w:val="nil"/>
              <w:tr2bl w:val="nil"/>
            </w:tcBorders>
            <w:shd w:val="clear" w:color="auto" w:fill="auto"/>
            <w:vAlign w:val="center"/>
          </w:tcPr>
          <w:p w14:paraId="5496D59C">
            <w:pPr>
              <w:spacing w:line="240" w:lineRule="auto"/>
              <w:ind w:firstLine="0" w:firstLineChars="0"/>
              <w:jc w:val="center"/>
              <w:rPr>
                <w:color w:val="auto"/>
                <w:sz w:val="21"/>
                <w:szCs w:val="21"/>
              </w:rPr>
            </w:pPr>
            <w:r>
              <w:rPr>
                <w:rFonts w:hint="eastAsia" w:cs="宋体"/>
                <w:color w:val="auto"/>
                <w:sz w:val="21"/>
                <w:szCs w:val="21"/>
                <w:lang w:bidi="ar"/>
              </w:rPr>
              <w:t>气压</w:t>
            </w:r>
          </w:p>
        </w:tc>
        <w:tc>
          <w:tcPr>
            <w:tcW w:w="1781" w:type="pct"/>
            <w:tcBorders>
              <w:tl2br w:val="nil"/>
              <w:tr2bl w:val="nil"/>
            </w:tcBorders>
            <w:shd w:val="clear" w:color="auto" w:fill="auto"/>
            <w:vAlign w:val="center"/>
          </w:tcPr>
          <w:p w14:paraId="398DAD6B">
            <w:pPr>
              <w:spacing w:line="240" w:lineRule="auto"/>
              <w:ind w:firstLine="0" w:firstLineChars="0"/>
              <w:jc w:val="center"/>
              <w:rPr>
                <w:color w:val="auto"/>
                <w:sz w:val="21"/>
                <w:szCs w:val="21"/>
              </w:rPr>
            </w:pPr>
            <w:r>
              <w:rPr>
                <w:rFonts w:hint="eastAsia" w:cs="宋体"/>
                <w:color w:val="auto"/>
                <w:sz w:val="21"/>
                <w:szCs w:val="21"/>
                <w:lang w:bidi="ar"/>
              </w:rPr>
              <w:t>年平均大气压</w:t>
            </w:r>
          </w:p>
        </w:tc>
        <w:tc>
          <w:tcPr>
            <w:tcW w:w="1482" w:type="pct"/>
            <w:tcBorders>
              <w:tl2br w:val="nil"/>
              <w:tr2bl w:val="nil"/>
            </w:tcBorders>
            <w:shd w:val="clear" w:color="auto" w:fill="auto"/>
            <w:vAlign w:val="center"/>
          </w:tcPr>
          <w:p w14:paraId="0B42C35B">
            <w:pPr>
              <w:spacing w:line="240" w:lineRule="auto"/>
              <w:ind w:firstLine="0" w:firstLineChars="0"/>
              <w:jc w:val="center"/>
              <w:rPr>
                <w:color w:val="auto"/>
                <w:sz w:val="21"/>
                <w:szCs w:val="21"/>
              </w:rPr>
            </w:pPr>
            <w:r>
              <w:rPr>
                <w:color w:val="auto"/>
                <w:sz w:val="21"/>
                <w:szCs w:val="21"/>
                <w:lang w:bidi="ar"/>
              </w:rPr>
              <w:t>1017.7hpa</w:t>
            </w:r>
          </w:p>
        </w:tc>
      </w:tr>
      <w:tr w14:paraId="723AA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restart"/>
            <w:tcBorders>
              <w:tl2br w:val="nil"/>
              <w:tr2bl w:val="nil"/>
            </w:tcBorders>
            <w:shd w:val="clear" w:color="auto" w:fill="auto"/>
            <w:vAlign w:val="center"/>
          </w:tcPr>
          <w:p w14:paraId="7CA77D9E">
            <w:pPr>
              <w:spacing w:line="240" w:lineRule="auto"/>
              <w:ind w:firstLine="0" w:firstLineChars="0"/>
              <w:jc w:val="center"/>
              <w:rPr>
                <w:color w:val="auto"/>
                <w:sz w:val="21"/>
                <w:szCs w:val="21"/>
              </w:rPr>
            </w:pPr>
            <w:r>
              <w:rPr>
                <w:color w:val="auto"/>
                <w:sz w:val="21"/>
                <w:szCs w:val="21"/>
                <w:lang w:bidi="ar"/>
              </w:rPr>
              <w:t>4</w:t>
            </w:r>
          </w:p>
        </w:tc>
        <w:tc>
          <w:tcPr>
            <w:tcW w:w="1087" w:type="pct"/>
            <w:vMerge w:val="restart"/>
            <w:tcBorders>
              <w:tl2br w:val="nil"/>
              <w:tr2bl w:val="nil"/>
            </w:tcBorders>
            <w:shd w:val="clear" w:color="auto" w:fill="auto"/>
            <w:vAlign w:val="center"/>
          </w:tcPr>
          <w:p w14:paraId="408B0AD6">
            <w:pPr>
              <w:spacing w:line="240" w:lineRule="auto"/>
              <w:ind w:firstLine="0" w:firstLineChars="0"/>
              <w:jc w:val="center"/>
              <w:rPr>
                <w:color w:val="auto"/>
                <w:sz w:val="21"/>
                <w:szCs w:val="21"/>
              </w:rPr>
            </w:pPr>
            <w:r>
              <w:rPr>
                <w:rFonts w:hint="eastAsia" w:cs="宋体"/>
                <w:color w:val="auto"/>
                <w:sz w:val="21"/>
                <w:szCs w:val="21"/>
                <w:lang w:bidi="ar"/>
              </w:rPr>
              <w:t>空气湿度</w:t>
            </w:r>
          </w:p>
        </w:tc>
        <w:tc>
          <w:tcPr>
            <w:tcW w:w="1781" w:type="pct"/>
            <w:tcBorders>
              <w:tl2br w:val="nil"/>
              <w:tr2bl w:val="nil"/>
            </w:tcBorders>
            <w:shd w:val="clear" w:color="auto" w:fill="auto"/>
            <w:vAlign w:val="center"/>
          </w:tcPr>
          <w:p w14:paraId="312B9813">
            <w:pPr>
              <w:spacing w:line="240" w:lineRule="auto"/>
              <w:ind w:firstLine="0" w:firstLineChars="0"/>
              <w:jc w:val="center"/>
              <w:rPr>
                <w:color w:val="auto"/>
                <w:sz w:val="21"/>
                <w:szCs w:val="21"/>
              </w:rPr>
            </w:pPr>
            <w:r>
              <w:rPr>
                <w:rFonts w:hint="eastAsia" w:cs="宋体"/>
                <w:color w:val="auto"/>
                <w:sz w:val="21"/>
                <w:szCs w:val="21"/>
                <w:lang w:bidi="ar"/>
              </w:rPr>
              <w:t>年平均绝对湿度</w:t>
            </w:r>
          </w:p>
        </w:tc>
        <w:tc>
          <w:tcPr>
            <w:tcW w:w="1482" w:type="pct"/>
            <w:tcBorders>
              <w:tl2br w:val="nil"/>
              <w:tr2bl w:val="nil"/>
            </w:tcBorders>
            <w:shd w:val="clear" w:color="auto" w:fill="auto"/>
            <w:vAlign w:val="center"/>
          </w:tcPr>
          <w:p w14:paraId="7075CCB1">
            <w:pPr>
              <w:spacing w:line="240" w:lineRule="auto"/>
              <w:ind w:firstLine="0" w:firstLineChars="0"/>
              <w:jc w:val="center"/>
              <w:rPr>
                <w:color w:val="auto"/>
                <w:sz w:val="21"/>
                <w:szCs w:val="21"/>
              </w:rPr>
            </w:pPr>
            <w:r>
              <w:rPr>
                <w:color w:val="auto"/>
                <w:sz w:val="21"/>
                <w:szCs w:val="21"/>
                <w:lang w:bidi="ar"/>
              </w:rPr>
              <w:t>13.0mb</w:t>
            </w:r>
          </w:p>
        </w:tc>
      </w:tr>
      <w:tr w14:paraId="11337E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continue"/>
            <w:tcBorders>
              <w:tl2br w:val="nil"/>
              <w:tr2bl w:val="nil"/>
            </w:tcBorders>
            <w:shd w:val="clear" w:color="auto" w:fill="auto"/>
            <w:vAlign w:val="center"/>
          </w:tcPr>
          <w:p w14:paraId="4E2E43F9">
            <w:pPr>
              <w:ind w:firstLine="400"/>
              <w:rPr>
                <w:rFonts w:hint="eastAsia" w:ascii="等线" w:hAnsi="等线" w:cs="等线"/>
                <w:color w:val="auto"/>
                <w:sz w:val="20"/>
                <w:szCs w:val="20"/>
              </w:rPr>
            </w:pPr>
          </w:p>
        </w:tc>
        <w:tc>
          <w:tcPr>
            <w:tcW w:w="1087" w:type="pct"/>
            <w:vMerge w:val="continue"/>
            <w:tcBorders>
              <w:tl2br w:val="nil"/>
              <w:tr2bl w:val="nil"/>
            </w:tcBorders>
            <w:shd w:val="clear" w:color="auto" w:fill="auto"/>
            <w:vAlign w:val="center"/>
          </w:tcPr>
          <w:p w14:paraId="5FF27FF2">
            <w:pPr>
              <w:ind w:firstLine="400"/>
              <w:rPr>
                <w:rFonts w:hint="eastAsia" w:ascii="等线" w:hAnsi="等线" w:cs="等线"/>
                <w:color w:val="auto"/>
                <w:sz w:val="20"/>
                <w:szCs w:val="20"/>
              </w:rPr>
            </w:pPr>
          </w:p>
        </w:tc>
        <w:tc>
          <w:tcPr>
            <w:tcW w:w="1781" w:type="pct"/>
            <w:tcBorders>
              <w:tl2br w:val="nil"/>
              <w:tr2bl w:val="nil"/>
            </w:tcBorders>
            <w:shd w:val="clear" w:color="auto" w:fill="auto"/>
            <w:vAlign w:val="center"/>
          </w:tcPr>
          <w:p w14:paraId="7523549B">
            <w:pPr>
              <w:spacing w:line="240" w:lineRule="auto"/>
              <w:ind w:firstLine="0" w:firstLineChars="0"/>
              <w:jc w:val="center"/>
              <w:rPr>
                <w:color w:val="auto"/>
                <w:sz w:val="21"/>
                <w:szCs w:val="21"/>
              </w:rPr>
            </w:pPr>
            <w:r>
              <w:rPr>
                <w:rFonts w:hint="eastAsia" w:cs="宋体"/>
                <w:color w:val="auto"/>
                <w:sz w:val="21"/>
                <w:szCs w:val="21"/>
                <w:lang w:bidi="ar"/>
              </w:rPr>
              <w:t>年平均相对湿度</w:t>
            </w:r>
          </w:p>
        </w:tc>
        <w:tc>
          <w:tcPr>
            <w:tcW w:w="1482" w:type="pct"/>
            <w:tcBorders>
              <w:tl2br w:val="nil"/>
              <w:tr2bl w:val="nil"/>
            </w:tcBorders>
            <w:shd w:val="clear" w:color="auto" w:fill="auto"/>
            <w:vAlign w:val="center"/>
          </w:tcPr>
          <w:p w14:paraId="6771BB83">
            <w:pPr>
              <w:spacing w:line="240" w:lineRule="auto"/>
              <w:ind w:firstLine="0" w:firstLineChars="0"/>
              <w:jc w:val="center"/>
              <w:rPr>
                <w:color w:val="auto"/>
                <w:sz w:val="21"/>
                <w:szCs w:val="21"/>
              </w:rPr>
            </w:pPr>
            <w:r>
              <w:rPr>
                <w:color w:val="auto"/>
                <w:sz w:val="21"/>
                <w:szCs w:val="21"/>
                <w:lang w:bidi="ar"/>
              </w:rPr>
              <w:t>65%</w:t>
            </w:r>
          </w:p>
        </w:tc>
      </w:tr>
      <w:tr w14:paraId="0A36B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restart"/>
            <w:tcBorders>
              <w:tl2br w:val="nil"/>
              <w:tr2bl w:val="nil"/>
            </w:tcBorders>
            <w:shd w:val="clear" w:color="auto" w:fill="auto"/>
            <w:vAlign w:val="center"/>
          </w:tcPr>
          <w:p w14:paraId="7F892CF8">
            <w:pPr>
              <w:spacing w:line="240" w:lineRule="auto"/>
              <w:ind w:firstLine="0" w:firstLineChars="0"/>
              <w:jc w:val="center"/>
              <w:rPr>
                <w:color w:val="auto"/>
                <w:sz w:val="21"/>
                <w:szCs w:val="21"/>
              </w:rPr>
            </w:pPr>
            <w:r>
              <w:rPr>
                <w:color w:val="auto"/>
                <w:sz w:val="21"/>
                <w:szCs w:val="21"/>
                <w:lang w:bidi="ar"/>
              </w:rPr>
              <w:t>5</w:t>
            </w:r>
          </w:p>
        </w:tc>
        <w:tc>
          <w:tcPr>
            <w:tcW w:w="1087" w:type="pct"/>
            <w:vMerge w:val="restart"/>
            <w:tcBorders>
              <w:tl2br w:val="nil"/>
              <w:tr2bl w:val="nil"/>
            </w:tcBorders>
            <w:shd w:val="clear" w:color="auto" w:fill="auto"/>
            <w:vAlign w:val="center"/>
          </w:tcPr>
          <w:p w14:paraId="4C8F2DF0">
            <w:pPr>
              <w:spacing w:line="240" w:lineRule="auto"/>
              <w:ind w:firstLine="0" w:firstLineChars="0"/>
              <w:jc w:val="center"/>
              <w:rPr>
                <w:color w:val="auto"/>
                <w:sz w:val="21"/>
                <w:szCs w:val="21"/>
              </w:rPr>
            </w:pPr>
            <w:r>
              <w:rPr>
                <w:rFonts w:hint="eastAsia" w:cs="宋体"/>
                <w:color w:val="auto"/>
                <w:sz w:val="21"/>
                <w:szCs w:val="21"/>
                <w:lang w:bidi="ar"/>
              </w:rPr>
              <w:t>降雨量</w:t>
            </w:r>
          </w:p>
        </w:tc>
        <w:tc>
          <w:tcPr>
            <w:tcW w:w="1781" w:type="pct"/>
            <w:tcBorders>
              <w:tl2br w:val="nil"/>
              <w:tr2bl w:val="nil"/>
            </w:tcBorders>
            <w:shd w:val="clear" w:color="auto" w:fill="auto"/>
            <w:vAlign w:val="center"/>
          </w:tcPr>
          <w:p w14:paraId="2BE2362B">
            <w:pPr>
              <w:spacing w:line="240" w:lineRule="auto"/>
              <w:ind w:firstLine="0" w:firstLineChars="0"/>
              <w:jc w:val="center"/>
              <w:rPr>
                <w:color w:val="auto"/>
                <w:sz w:val="21"/>
                <w:szCs w:val="21"/>
              </w:rPr>
            </w:pPr>
            <w:r>
              <w:rPr>
                <w:rFonts w:hint="eastAsia" w:cs="宋体"/>
                <w:color w:val="auto"/>
                <w:sz w:val="21"/>
                <w:szCs w:val="21"/>
                <w:lang w:bidi="ar"/>
              </w:rPr>
              <w:t>年平均降水量</w:t>
            </w:r>
          </w:p>
        </w:tc>
        <w:tc>
          <w:tcPr>
            <w:tcW w:w="1482" w:type="pct"/>
            <w:tcBorders>
              <w:tl2br w:val="nil"/>
              <w:tr2bl w:val="nil"/>
            </w:tcBorders>
            <w:shd w:val="clear" w:color="auto" w:fill="auto"/>
            <w:vAlign w:val="center"/>
          </w:tcPr>
          <w:p w14:paraId="2044CB44">
            <w:pPr>
              <w:spacing w:line="240" w:lineRule="auto"/>
              <w:ind w:firstLine="0" w:firstLineChars="0"/>
              <w:jc w:val="center"/>
              <w:rPr>
                <w:color w:val="auto"/>
                <w:sz w:val="21"/>
                <w:szCs w:val="21"/>
              </w:rPr>
            </w:pPr>
            <w:r>
              <w:rPr>
                <w:color w:val="auto"/>
                <w:sz w:val="21"/>
                <w:szCs w:val="21"/>
                <w:lang w:bidi="ar"/>
              </w:rPr>
              <w:t>944.1mm</w:t>
            </w:r>
          </w:p>
        </w:tc>
      </w:tr>
      <w:tr w14:paraId="4F27A0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continue"/>
            <w:tcBorders>
              <w:tl2br w:val="nil"/>
              <w:tr2bl w:val="nil"/>
            </w:tcBorders>
            <w:shd w:val="clear" w:color="auto" w:fill="auto"/>
            <w:vAlign w:val="center"/>
          </w:tcPr>
          <w:p w14:paraId="707D4695">
            <w:pPr>
              <w:ind w:firstLine="400"/>
              <w:rPr>
                <w:rFonts w:hint="eastAsia" w:ascii="等线" w:hAnsi="等线" w:cs="等线"/>
                <w:color w:val="auto"/>
                <w:sz w:val="20"/>
                <w:szCs w:val="20"/>
              </w:rPr>
            </w:pPr>
          </w:p>
        </w:tc>
        <w:tc>
          <w:tcPr>
            <w:tcW w:w="1087" w:type="pct"/>
            <w:vMerge w:val="continue"/>
            <w:tcBorders>
              <w:tl2br w:val="nil"/>
              <w:tr2bl w:val="nil"/>
            </w:tcBorders>
            <w:shd w:val="clear" w:color="auto" w:fill="auto"/>
            <w:vAlign w:val="center"/>
          </w:tcPr>
          <w:p w14:paraId="1109B931">
            <w:pPr>
              <w:ind w:firstLine="400"/>
              <w:rPr>
                <w:rFonts w:hint="eastAsia" w:ascii="等线" w:hAnsi="等线" w:cs="等线"/>
                <w:color w:val="auto"/>
                <w:sz w:val="20"/>
                <w:szCs w:val="20"/>
              </w:rPr>
            </w:pPr>
          </w:p>
        </w:tc>
        <w:tc>
          <w:tcPr>
            <w:tcW w:w="1781" w:type="pct"/>
            <w:tcBorders>
              <w:tl2br w:val="nil"/>
              <w:tr2bl w:val="nil"/>
            </w:tcBorders>
            <w:shd w:val="clear" w:color="auto" w:fill="auto"/>
            <w:vAlign w:val="center"/>
          </w:tcPr>
          <w:p w14:paraId="3D125867">
            <w:pPr>
              <w:spacing w:line="240" w:lineRule="auto"/>
              <w:ind w:firstLine="0" w:firstLineChars="0"/>
              <w:jc w:val="center"/>
              <w:rPr>
                <w:color w:val="auto"/>
                <w:sz w:val="21"/>
                <w:szCs w:val="21"/>
              </w:rPr>
            </w:pPr>
            <w:r>
              <w:rPr>
                <w:rFonts w:hint="eastAsia" w:cs="宋体"/>
                <w:color w:val="auto"/>
                <w:sz w:val="21"/>
                <w:szCs w:val="21"/>
                <w:lang w:bidi="ar"/>
              </w:rPr>
              <w:t>年最大日降水量</w:t>
            </w:r>
          </w:p>
        </w:tc>
        <w:tc>
          <w:tcPr>
            <w:tcW w:w="1482" w:type="pct"/>
            <w:tcBorders>
              <w:tl2br w:val="nil"/>
              <w:tr2bl w:val="nil"/>
            </w:tcBorders>
            <w:shd w:val="clear" w:color="auto" w:fill="auto"/>
            <w:vAlign w:val="center"/>
          </w:tcPr>
          <w:p w14:paraId="03D64BD3">
            <w:pPr>
              <w:spacing w:line="240" w:lineRule="auto"/>
              <w:ind w:firstLine="0" w:firstLineChars="0"/>
              <w:jc w:val="center"/>
              <w:rPr>
                <w:color w:val="auto"/>
                <w:sz w:val="21"/>
                <w:szCs w:val="21"/>
              </w:rPr>
            </w:pPr>
            <w:r>
              <w:rPr>
                <w:color w:val="auto"/>
                <w:sz w:val="21"/>
                <w:szCs w:val="21"/>
                <w:lang w:bidi="ar"/>
              </w:rPr>
              <w:t>264.4mm</w:t>
            </w:r>
          </w:p>
        </w:tc>
      </w:tr>
      <w:tr w14:paraId="6A7CDD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tcBorders>
              <w:tl2br w:val="nil"/>
              <w:tr2bl w:val="nil"/>
            </w:tcBorders>
            <w:shd w:val="clear" w:color="auto" w:fill="auto"/>
            <w:vAlign w:val="center"/>
          </w:tcPr>
          <w:p w14:paraId="3E41D647">
            <w:pPr>
              <w:spacing w:line="240" w:lineRule="auto"/>
              <w:ind w:firstLine="0" w:firstLineChars="0"/>
              <w:jc w:val="center"/>
              <w:rPr>
                <w:color w:val="auto"/>
                <w:sz w:val="21"/>
                <w:szCs w:val="21"/>
              </w:rPr>
            </w:pPr>
            <w:r>
              <w:rPr>
                <w:color w:val="auto"/>
                <w:sz w:val="21"/>
                <w:szCs w:val="21"/>
                <w:lang w:bidi="ar"/>
              </w:rPr>
              <w:t>6</w:t>
            </w:r>
          </w:p>
        </w:tc>
        <w:tc>
          <w:tcPr>
            <w:tcW w:w="1087" w:type="pct"/>
            <w:tcBorders>
              <w:tl2br w:val="nil"/>
              <w:tr2bl w:val="nil"/>
            </w:tcBorders>
            <w:shd w:val="clear" w:color="auto" w:fill="auto"/>
            <w:vAlign w:val="center"/>
          </w:tcPr>
          <w:p w14:paraId="7EC63E7A">
            <w:pPr>
              <w:spacing w:line="240" w:lineRule="auto"/>
              <w:ind w:firstLine="0" w:firstLineChars="0"/>
              <w:jc w:val="center"/>
              <w:rPr>
                <w:color w:val="auto"/>
                <w:sz w:val="21"/>
                <w:szCs w:val="21"/>
              </w:rPr>
            </w:pPr>
            <w:r>
              <w:rPr>
                <w:rFonts w:hint="eastAsia" w:cs="宋体"/>
                <w:color w:val="auto"/>
                <w:sz w:val="21"/>
                <w:szCs w:val="21"/>
                <w:lang w:bidi="ar"/>
              </w:rPr>
              <w:t>积雪</w:t>
            </w:r>
          </w:p>
        </w:tc>
        <w:tc>
          <w:tcPr>
            <w:tcW w:w="1781" w:type="pct"/>
            <w:tcBorders>
              <w:tl2br w:val="nil"/>
              <w:tr2bl w:val="nil"/>
            </w:tcBorders>
            <w:shd w:val="clear" w:color="auto" w:fill="auto"/>
            <w:vAlign w:val="center"/>
          </w:tcPr>
          <w:p w14:paraId="1657C29D">
            <w:pPr>
              <w:spacing w:line="240" w:lineRule="auto"/>
              <w:ind w:firstLine="0" w:firstLineChars="0"/>
              <w:jc w:val="center"/>
              <w:rPr>
                <w:color w:val="auto"/>
                <w:sz w:val="21"/>
                <w:szCs w:val="21"/>
              </w:rPr>
            </w:pPr>
            <w:r>
              <w:rPr>
                <w:rFonts w:hint="eastAsia" w:cs="宋体"/>
                <w:color w:val="auto"/>
                <w:sz w:val="21"/>
                <w:szCs w:val="21"/>
                <w:lang w:bidi="ar"/>
              </w:rPr>
              <w:t>最大积雪深度</w:t>
            </w:r>
          </w:p>
        </w:tc>
        <w:tc>
          <w:tcPr>
            <w:tcW w:w="1482" w:type="pct"/>
            <w:tcBorders>
              <w:tl2br w:val="nil"/>
              <w:tr2bl w:val="nil"/>
            </w:tcBorders>
            <w:shd w:val="clear" w:color="auto" w:fill="auto"/>
            <w:vAlign w:val="center"/>
          </w:tcPr>
          <w:p w14:paraId="3FD1B0EA">
            <w:pPr>
              <w:spacing w:line="240" w:lineRule="auto"/>
              <w:ind w:firstLine="0" w:firstLineChars="0"/>
              <w:jc w:val="center"/>
              <w:rPr>
                <w:color w:val="auto"/>
                <w:sz w:val="21"/>
                <w:szCs w:val="21"/>
              </w:rPr>
            </w:pPr>
            <w:r>
              <w:rPr>
                <w:color w:val="auto"/>
                <w:sz w:val="21"/>
                <w:szCs w:val="21"/>
                <w:lang w:bidi="ar"/>
              </w:rPr>
              <w:t>125mm</w:t>
            </w:r>
          </w:p>
        </w:tc>
      </w:tr>
      <w:tr w14:paraId="62231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restart"/>
            <w:tcBorders>
              <w:tl2br w:val="nil"/>
              <w:tr2bl w:val="nil"/>
            </w:tcBorders>
            <w:shd w:val="clear" w:color="auto" w:fill="auto"/>
            <w:vAlign w:val="center"/>
          </w:tcPr>
          <w:p w14:paraId="534923FA">
            <w:pPr>
              <w:spacing w:line="240" w:lineRule="auto"/>
              <w:ind w:firstLine="0" w:firstLineChars="0"/>
              <w:jc w:val="center"/>
              <w:rPr>
                <w:color w:val="auto"/>
                <w:sz w:val="21"/>
                <w:szCs w:val="21"/>
              </w:rPr>
            </w:pPr>
            <w:r>
              <w:rPr>
                <w:color w:val="auto"/>
                <w:sz w:val="21"/>
                <w:szCs w:val="21"/>
                <w:lang w:bidi="ar"/>
              </w:rPr>
              <w:t>7</w:t>
            </w:r>
          </w:p>
        </w:tc>
        <w:tc>
          <w:tcPr>
            <w:tcW w:w="1087" w:type="pct"/>
            <w:vMerge w:val="restart"/>
            <w:tcBorders>
              <w:tl2br w:val="nil"/>
              <w:tr2bl w:val="nil"/>
            </w:tcBorders>
            <w:shd w:val="clear" w:color="auto" w:fill="auto"/>
            <w:vAlign w:val="center"/>
          </w:tcPr>
          <w:p w14:paraId="37F6106D">
            <w:pPr>
              <w:spacing w:line="240" w:lineRule="auto"/>
              <w:ind w:firstLine="0" w:firstLineChars="0"/>
              <w:jc w:val="center"/>
              <w:rPr>
                <w:color w:val="auto"/>
                <w:sz w:val="21"/>
                <w:szCs w:val="21"/>
              </w:rPr>
            </w:pPr>
            <w:r>
              <w:rPr>
                <w:rFonts w:hint="eastAsia" w:cs="宋体"/>
                <w:color w:val="auto"/>
                <w:sz w:val="21"/>
                <w:szCs w:val="21"/>
                <w:lang w:bidi="ar"/>
              </w:rPr>
              <w:t>风向</w:t>
            </w:r>
          </w:p>
        </w:tc>
        <w:tc>
          <w:tcPr>
            <w:tcW w:w="1781" w:type="pct"/>
            <w:tcBorders>
              <w:tl2br w:val="nil"/>
              <w:tr2bl w:val="nil"/>
            </w:tcBorders>
            <w:shd w:val="clear" w:color="auto" w:fill="auto"/>
            <w:vAlign w:val="center"/>
          </w:tcPr>
          <w:p w14:paraId="75E100EF">
            <w:pPr>
              <w:spacing w:line="240" w:lineRule="auto"/>
              <w:ind w:firstLine="0" w:firstLineChars="0"/>
              <w:jc w:val="center"/>
              <w:rPr>
                <w:color w:val="auto"/>
                <w:sz w:val="21"/>
                <w:szCs w:val="21"/>
              </w:rPr>
            </w:pPr>
            <w:r>
              <w:rPr>
                <w:rFonts w:hint="eastAsia" w:cs="宋体"/>
                <w:color w:val="auto"/>
                <w:sz w:val="21"/>
                <w:szCs w:val="21"/>
                <w:lang w:bidi="ar"/>
              </w:rPr>
              <w:t>全年主导风向</w:t>
            </w:r>
          </w:p>
        </w:tc>
        <w:tc>
          <w:tcPr>
            <w:tcW w:w="1482" w:type="pct"/>
            <w:tcBorders>
              <w:tl2br w:val="nil"/>
              <w:tr2bl w:val="nil"/>
            </w:tcBorders>
            <w:shd w:val="clear" w:color="auto" w:fill="auto"/>
            <w:vAlign w:val="center"/>
          </w:tcPr>
          <w:p w14:paraId="53EDBAC6">
            <w:pPr>
              <w:spacing w:line="240" w:lineRule="auto"/>
              <w:ind w:firstLine="0" w:firstLineChars="0"/>
              <w:jc w:val="center"/>
              <w:rPr>
                <w:color w:val="auto"/>
                <w:sz w:val="21"/>
                <w:szCs w:val="21"/>
              </w:rPr>
            </w:pPr>
            <w:r>
              <w:rPr>
                <w:color w:val="auto"/>
                <w:sz w:val="21"/>
                <w:szCs w:val="21"/>
                <w:lang w:bidi="ar"/>
              </w:rPr>
              <w:t>SE</w:t>
            </w:r>
          </w:p>
        </w:tc>
      </w:tr>
      <w:tr w14:paraId="788803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9" w:type="pct"/>
            <w:vMerge w:val="continue"/>
            <w:tcBorders>
              <w:tl2br w:val="nil"/>
              <w:tr2bl w:val="nil"/>
            </w:tcBorders>
            <w:shd w:val="clear" w:color="auto" w:fill="auto"/>
            <w:vAlign w:val="center"/>
          </w:tcPr>
          <w:p w14:paraId="766DBC95">
            <w:pPr>
              <w:ind w:firstLine="400"/>
              <w:rPr>
                <w:rFonts w:hint="eastAsia" w:ascii="等线" w:hAnsi="等线" w:cs="等线"/>
                <w:color w:val="auto"/>
                <w:sz w:val="20"/>
                <w:szCs w:val="20"/>
              </w:rPr>
            </w:pPr>
          </w:p>
        </w:tc>
        <w:tc>
          <w:tcPr>
            <w:tcW w:w="1087" w:type="pct"/>
            <w:vMerge w:val="continue"/>
            <w:tcBorders>
              <w:tl2br w:val="nil"/>
              <w:tr2bl w:val="nil"/>
            </w:tcBorders>
            <w:shd w:val="clear" w:color="auto" w:fill="auto"/>
            <w:vAlign w:val="center"/>
          </w:tcPr>
          <w:p w14:paraId="6AE8904B">
            <w:pPr>
              <w:ind w:firstLine="400"/>
              <w:rPr>
                <w:rFonts w:hint="eastAsia" w:ascii="等线" w:hAnsi="等线" w:cs="等线"/>
                <w:color w:val="auto"/>
                <w:sz w:val="20"/>
                <w:szCs w:val="20"/>
              </w:rPr>
            </w:pPr>
          </w:p>
        </w:tc>
        <w:tc>
          <w:tcPr>
            <w:tcW w:w="1781" w:type="pct"/>
            <w:tcBorders>
              <w:tl2br w:val="nil"/>
              <w:tr2bl w:val="nil"/>
            </w:tcBorders>
            <w:shd w:val="clear" w:color="auto" w:fill="auto"/>
            <w:vAlign w:val="center"/>
          </w:tcPr>
          <w:p w14:paraId="76F48A4C">
            <w:pPr>
              <w:spacing w:line="240" w:lineRule="auto"/>
              <w:ind w:firstLine="0" w:firstLineChars="0"/>
              <w:jc w:val="center"/>
              <w:rPr>
                <w:color w:val="auto"/>
                <w:sz w:val="21"/>
                <w:szCs w:val="21"/>
              </w:rPr>
            </w:pPr>
            <w:r>
              <w:rPr>
                <w:rFonts w:hint="eastAsia" w:cs="宋体"/>
                <w:color w:val="auto"/>
                <w:sz w:val="21"/>
                <w:szCs w:val="21"/>
                <w:lang w:bidi="ar"/>
              </w:rPr>
              <w:t>全年次主导风向</w:t>
            </w:r>
          </w:p>
        </w:tc>
        <w:tc>
          <w:tcPr>
            <w:tcW w:w="1482" w:type="pct"/>
            <w:tcBorders>
              <w:tl2br w:val="nil"/>
              <w:tr2bl w:val="nil"/>
            </w:tcBorders>
            <w:shd w:val="clear" w:color="auto" w:fill="auto"/>
            <w:vAlign w:val="center"/>
          </w:tcPr>
          <w:p w14:paraId="1E6A8BF5">
            <w:pPr>
              <w:spacing w:line="240" w:lineRule="auto"/>
              <w:ind w:firstLine="0" w:firstLineChars="0"/>
              <w:jc w:val="center"/>
              <w:rPr>
                <w:color w:val="auto"/>
                <w:sz w:val="21"/>
                <w:szCs w:val="21"/>
              </w:rPr>
            </w:pPr>
            <w:r>
              <w:rPr>
                <w:color w:val="auto"/>
                <w:sz w:val="21"/>
                <w:szCs w:val="21"/>
                <w:lang w:bidi="ar"/>
              </w:rPr>
              <w:t>NNE</w:t>
            </w:r>
          </w:p>
        </w:tc>
      </w:tr>
    </w:tbl>
    <w:p w14:paraId="1502F818">
      <w:pPr>
        <w:spacing w:before="120" w:beforeLines="50" w:line="240" w:lineRule="auto"/>
        <w:ind w:firstLine="0" w:firstLineChars="0"/>
        <w:jc w:val="center"/>
        <w:rPr>
          <w:b/>
          <w:bCs/>
          <w:color w:val="auto"/>
        </w:rPr>
      </w:pPr>
      <w:r>
        <w:rPr>
          <w:b/>
          <w:bCs/>
          <w:color w:val="auto"/>
        </w:rPr>
        <w:t>表</w:t>
      </w:r>
      <w:r>
        <w:rPr>
          <w:rFonts w:hint="eastAsia"/>
          <w:b/>
          <w:bCs/>
          <w:color w:val="auto"/>
        </w:rPr>
        <w:t>5</w:t>
      </w:r>
      <w:r>
        <w:rPr>
          <w:b/>
          <w:bCs/>
          <w:color w:val="auto"/>
        </w:rPr>
        <w:t>.1-</w:t>
      </w:r>
      <w:r>
        <w:rPr>
          <w:rFonts w:hint="eastAsia"/>
          <w:b/>
          <w:bCs/>
          <w:color w:val="auto"/>
        </w:rPr>
        <w:t>2</w:t>
      </w:r>
      <w:r>
        <w:rPr>
          <w:b/>
          <w:bCs/>
          <w:color w:val="auto"/>
        </w:rPr>
        <w:t xml:space="preserve">  </w:t>
      </w:r>
      <w:r>
        <w:rPr>
          <w:rFonts w:hint="eastAsia"/>
          <w:b/>
          <w:bCs/>
          <w:color w:val="auto"/>
        </w:rPr>
        <w:t>年平均温度的变化</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641"/>
        <w:gridCol w:w="641"/>
        <w:gridCol w:w="642"/>
        <w:gridCol w:w="654"/>
        <w:gridCol w:w="654"/>
        <w:gridCol w:w="654"/>
        <w:gridCol w:w="654"/>
        <w:gridCol w:w="654"/>
        <w:gridCol w:w="654"/>
        <w:gridCol w:w="655"/>
        <w:gridCol w:w="643"/>
        <w:gridCol w:w="636"/>
        <w:gridCol w:w="655"/>
      </w:tblGrid>
      <w:tr w14:paraId="75FB4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9" w:type="dxa"/>
            <w:tcBorders>
              <w:tl2br w:val="nil"/>
              <w:tr2bl w:val="nil"/>
            </w:tcBorders>
            <w:vAlign w:val="center"/>
          </w:tcPr>
          <w:p w14:paraId="2DF4732E">
            <w:pPr>
              <w:spacing w:line="240" w:lineRule="auto"/>
              <w:ind w:firstLine="0" w:firstLineChars="0"/>
              <w:jc w:val="center"/>
              <w:rPr>
                <w:b/>
                <w:bCs/>
                <w:color w:val="auto"/>
                <w:sz w:val="21"/>
                <w:szCs w:val="21"/>
              </w:rPr>
            </w:pPr>
            <w:r>
              <w:rPr>
                <w:rFonts w:hint="eastAsia"/>
                <w:b/>
                <w:bCs/>
                <w:color w:val="auto"/>
                <w:sz w:val="21"/>
                <w:szCs w:val="21"/>
              </w:rPr>
              <w:t>月份（月）</w:t>
            </w:r>
          </w:p>
        </w:tc>
        <w:tc>
          <w:tcPr>
            <w:tcW w:w="641" w:type="dxa"/>
            <w:tcBorders>
              <w:tl2br w:val="nil"/>
              <w:tr2bl w:val="nil"/>
            </w:tcBorders>
            <w:vAlign w:val="center"/>
          </w:tcPr>
          <w:p w14:paraId="15F389F9">
            <w:pPr>
              <w:spacing w:line="240" w:lineRule="auto"/>
              <w:ind w:firstLine="0" w:firstLineChars="0"/>
              <w:jc w:val="center"/>
              <w:rPr>
                <w:b/>
                <w:bCs/>
                <w:color w:val="auto"/>
                <w:sz w:val="21"/>
                <w:szCs w:val="21"/>
              </w:rPr>
            </w:pPr>
            <w:r>
              <w:rPr>
                <w:rFonts w:hint="eastAsia"/>
                <w:b/>
                <w:bCs/>
                <w:color w:val="auto"/>
                <w:sz w:val="21"/>
                <w:szCs w:val="21"/>
              </w:rPr>
              <w:t>1</w:t>
            </w:r>
          </w:p>
        </w:tc>
        <w:tc>
          <w:tcPr>
            <w:tcW w:w="641" w:type="dxa"/>
            <w:tcBorders>
              <w:tl2br w:val="nil"/>
              <w:tr2bl w:val="nil"/>
            </w:tcBorders>
            <w:vAlign w:val="center"/>
          </w:tcPr>
          <w:p w14:paraId="3B00DC44">
            <w:pPr>
              <w:spacing w:line="240" w:lineRule="auto"/>
              <w:ind w:firstLine="0" w:firstLineChars="0"/>
              <w:jc w:val="center"/>
              <w:rPr>
                <w:b/>
                <w:bCs/>
                <w:color w:val="auto"/>
                <w:sz w:val="21"/>
                <w:szCs w:val="21"/>
              </w:rPr>
            </w:pPr>
            <w:r>
              <w:rPr>
                <w:rFonts w:hint="eastAsia"/>
                <w:b/>
                <w:bCs/>
                <w:color w:val="auto"/>
                <w:sz w:val="21"/>
                <w:szCs w:val="21"/>
              </w:rPr>
              <w:t>2</w:t>
            </w:r>
          </w:p>
        </w:tc>
        <w:tc>
          <w:tcPr>
            <w:tcW w:w="642" w:type="dxa"/>
            <w:tcBorders>
              <w:tl2br w:val="nil"/>
              <w:tr2bl w:val="nil"/>
            </w:tcBorders>
            <w:vAlign w:val="center"/>
          </w:tcPr>
          <w:p w14:paraId="2B0EE922">
            <w:pPr>
              <w:spacing w:line="240" w:lineRule="auto"/>
              <w:ind w:firstLine="0" w:firstLineChars="0"/>
              <w:jc w:val="center"/>
              <w:rPr>
                <w:b/>
                <w:bCs/>
                <w:color w:val="auto"/>
                <w:sz w:val="21"/>
                <w:szCs w:val="21"/>
              </w:rPr>
            </w:pPr>
            <w:r>
              <w:rPr>
                <w:rFonts w:hint="eastAsia"/>
                <w:b/>
                <w:bCs/>
                <w:color w:val="auto"/>
                <w:sz w:val="21"/>
                <w:szCs w:val="21"/>
              </w:rPr>
              <w:t>3</w:t>
            </w:r>
          </w:p>
        </w:tc>
        <w:tc>
          <w:tcPr>
            <w:tcW w:w="654" w:type="dxa"/>
            <w:tcBorders>
              <w:tl2br w:val="nil"/>
              <w:tr2bl w:val="nil"/>
            </w:tcBorders>
            <w:vAlign w:val="center"/>
          </w:tcPr>
          <w:p w14:paraId="76127B50">
            <w:pPr>
              <w:spacing w:line="240" w:lineRule="auto"/>
              <w:ind w:firstLine="0" w:firstLineChars="0"/>
              <w:jc w:val="center"/>
              <w:rPr>
                <w:b/>
                <w:bCs/>
                <w:color w:val="auto"/>
                <w:sz w:val="21"/>
                <w:szCs w:val="21"/>
              </w:rPr>
            </w:pPr>
            <w:r>
              <w:rPr>
                <w:rFonts w:hint="eastAsia"/>
                <w:b/>
                <w:bCs/>
                <w:color w:val="auto"/>
                <w:sz w:val="21"/>
                <w:szCs w:val="21"/>
              </w:rPr>
              <w:t>4</w:t>
            </w:r>
          </w:p>
        </w:tc>
        <w:tc>
          <w:tcPr>
            <w:tcW w:w="654" w:type="dxa"/>
            <w:tcBorders>
              <w:tl2br w:val="nil"/>
              <w:tr2bl w:val="nil"/>
            </w:tcBorders>
            <w:vAlign w:val="center"/>
          </w:tcPr>
          <w:p w14:paraId="3E11B495">
            <w:pPr>
              <w:spacing w:line="240" w:lineRule="auto"/>
              <w:ind w:firstLine="0" w:firstLineChars="0"/>
              <w:jc w:val="center"/>
              <w:rPr>
                <w:b/>
                <w:bCs/>
                <w:color w:val="auto"/>
                <w:sz w:val="21"/>
                <w:szCs w:val="21"/>
              </w:rPr>
            </w:pPr>
            <w:r>
              <w:rPr>
                <w:rFonts w:hint="eastAsia"/>
                <w:b/>
                <w:bCs/>
                <w:color w:val="auto"/>
                <w:sz w:val="21"/>
                <w:szCs w:val="21"/>
              </w:rPr>
              <w:t>5</w:t>
            </w:r>
          </w:p>
        </w:tc>
        <w:tc>
          <w:tcPr>
            <w:tcW w:w="654" w:type="dxa"/>
            <w:tcBorders>
              <w:tl2br w:val="nil"/>
              <w:tr2bl w:val="nil"/>
            </w:tcBorders>
            <w:vAlign w:val="center"/>
          </w:tcPr>
          <w:p w14:paraId="4849902B">
            <w:pPr>
              <w:spacing w:line="240" w:lineRule="auto"/>
              <w:ind w:firstLine="0" w:firstLineChars="0"/>
              <w:jc w:val="center"/>
              <w:rPr>
                <w:b/>
                <w:bCs/>
                <w:color w:val="auto"/>
                <w:sz w:val="21"/>
                <w:szCs w:val="21"/>
              </w:rPr>
            </w:pPr>
            <w:r>
              <w:rPr>
                <w:rFonts w:hint="eastAsia"/>
                <w:b/>
                <w:bCs/>
                <w:color w:val="auto"/>
                <w:sz w:val="21"/>
                <w:szCs w:val="21"/>
              </w:rPr>
              <w:t>6</w:t>
            </w:r>
          </w:p>
        </w:tc>
        <w:tc>
          <w:tcPr>
            <w:tcW w:w="654" w:type="dxa"/>
            <w:tcBorders>
              <w:tl2br w:val="nil"/>
              <w:tr2bl w:val="nil"/>
            </w:tcBorders>
            <w:vAlign w:val="center"/>
          </w:tcPr>
          <w:p w14:paraId="492CABDF">
            <w:pPr>
              <w:spacing w:line="240" w:lineRule="auto"/>
              <w:ind w:firstLine="0" w:firstLineChars="0"/>
              <w:jc w:val="center"/>
              <w:rPr>
                <w:b/>
                <w:bCs/>
                <w:color w:val="auto"/>
                <w:sz w:val="21"/>
                <w:szCs w:val="21"/>
              </w:rPr>
            </w:pPr>
            <w:r>
              <w:rPr>
                <w:rFonts w:hint="eastAsia"/>
                <w:b/>
                <w:bCs/>
                <w:color w:val="auto"/>
                <w:sz w:val="21"/>
                <w:szCs w:val="21"/>
              </w:rPr>
              <w:t>7</w:t>
            </w:r>
          </w:p>
        </w:tc>
        <w:tc>
          <w:tcPr>
            <w:tcW w:w="654" w:type="dxa"/>
            <w:tcBorders>
              <w:tl2br w:val="nil"/>
              <w:tr2bl w:val="nil"/>
            </w:tcBorders>
            <w:vAlign w:val="center"/>
          </w:tcPr>
          <w:p w14:paraId="51CA5337">
            <w:pPr>
              <w:spacing w:line="240" w:lineRule="auto"/>
              <w:ind w:firstLine="0" w:firstLineChars="0"/>
              <w:jc w:val="center"/>
              <w:rPr>
                <w:b/>
                <w:bCs/>
                <w:color w:val="auto"/>
                <w:sz w:val="21"/>
                <w:szCs w:val="21"/>
              </w:rPr>
            </w:pPr>
            <w:r>
              <w:rPr>
                <w:rFonts w:hint="eastAsia"/>
                <w:b/>
                <w:bCs/>
                <w:color w:val="auto"/>
                <w:sz w:val="21"/>
                <w:szCs w:val="21"/>
              </w:rPr>
              <w:t>8</w:t>
            </w:r>
          </w:p>
        </w:tc>
        <w:tc>
          <w:tcPr>
            <w:tcW w:w="654" w:type="dxa"/>
            <w:tcBorders>
              <w:tl2br w:val="nil"/>
              <w:tr2bl w:val="nil"/>
            </w:tcBorders>
            <w:vAlign w:val="center"/>
          </w:tcPr>
          <w:p w14:paraId="59E75094">
            <w:pPr>
              <w:spacing w:line="240" w:lineRule="auto"/>
              <w:ind w:firstLine="0" w:firstLineChars="0"/>
              <w:jc w:val="center"/>
              <w:rPr>
                <w:b/>
                <w:bCs/>
                <w:color w:val="auto"/>
                <w:sz w:val="21"/>
                <w:szCs w:val="21"/>
              </w:rPr>
            </w:pPr>
            <w:r>
              <w:rPr>
                <w:rFonts w:hint="eastAsia"/>
                <w:b/>
                <w:bCs/>
                <w:color w:val="auto"/>
                <w:sz w:val="21"/>
                <w:szCs w:val="21"/>
              </w:rPr>
              <w:t>9</w:t>
            </w:r>
          </w:p>
        </w:tc>
        <w:tc>
          <w:tcPr>
            <w:tcW w:w="655" w:type="dxa"/>
            <w:tcBorders>
              <w:tl2br w:val="nil"/>
              <w:tr2bl w:val="nil"/>
            </w:tcBorders>
            <w:vAlign w:val="center"/>
          </w:tcPr>
          <w:p w14:paraId="1A0B1150">
            <w:pPr>
              <w:spacing w:line="240" w:lineRule="auto"/>
              <w:ind w:firstLine="0" w:firstLineChars="0"/>
              <w:jc w:val="center"/>
              <w:rPr>
                <w:b/>
                <w:bCs/>
                <w:color w:val="auto"/>
                <w:sz w:val="21"/>
                <w:szCs w:val="21"/>
              </w:rPr>
            </w:pPr>
            <w:r>
              <w:rPr>
                <w:rFonts w:hint="eastAsia"/>
                <w:b/>
                <w:bCs/>
                <w:color w:val="auto"/>
                <w:sz w:val="21"/>
                <w:szCs w:val="21"/>
              </w:rPr>
              <w:t>10</w:t>
            </w:r>
          </w:p>
        </w:tc>
        <w:tc>
          <w:tcPr>
            <w:tcW w:w="643" w:type="dxa"/>
            <w:tcBorders>
              <w:tl2br w:val="nil"/>
              <w:tr2bl w:val="nil"/>
            </w:tcBorders>
            <w:vAlign w:val="center"/>
          </w:tcPr>
          <w:p w14:paraId="35A3F1D8">
            <w:pPr>
              <w:spacing w:line="240" w:lineRule="auto"/>
              <w:ind w:firstLine="0" w:firstLineChars="0"/>
              <w:jc w:val="center"/>
              <w:rPr>
                <w:b/>
                <w:bCs/>
                <w:color w:val="auto"/>
                <w:sz w:val="21"/>
                <w:szCs w:val="21"/>
              </w:rPr>
            </w:pPr>
            <w:r>
              <w:rPr>
                <w:rFonts w:hint="eastAsia"/>
                <w:b/>
                <w:bCs/>
                <w:color w:val="auto"/>
                <w:sz w:val="21"/>
                <w:szCs w:val="21"/>
              </w:rPr>
              <w:t>11</w:t>
            </w:r>
          </w:p>
        </w:tc>
        <w:tc>
          <w:tcPr>
            <w:tcW w:w="636" w:type="dxa"/>
            <w:tcBorders>
              <w:tl2br w:val="nil"/>
              <w:tr2bl w:val="nil"/>
            </w:tcBorders>
            <w:vAlign w:val="center"/>
          </w:tcPr>
          <w:p w14:paraId="6D81C5C1">
            <w:pPr>
              <w:spacing w:line="240" w:lineRule="auto"/>
              <w:ind w:firstLine="0" w:firstLineChars="0"/>
              <w:jc w:val="center"/>
              <w:rPr>
                <w:b/>
                <w:bCs/>
                <w:color w:val="auto"/>
                <w:sz w:val="21"/>
                <w:szCs w:val="21"/>
              </w:rPr>
            </w:pPr>
            <w:r>
              <w:rPr>
                <w:rFonts w:hint="eastAsia"/>
                <w:b/>
                <w:bCs/>
                <w:color w:val="auto"/>
                <w:sz w:val="21"/>
                <w:szCs w:val="21"/>
              </w:rPr>
              <w:t>12</w:t>
            </w:r>
          </w:p>
        </w:tc>
        <w:tc>
          <w:tcPr>
            <w:tcW w:w="655" w:type="dxa"/>
            <w:tcBorders>
              <w:tl2br w:val="nil"/>
              <w:tr2bl w:val="nil"/>
            </w:tcBorders>
            <w:vAlign w:val="center"/>
          </w:tcPr>
          <w:p w14:paraId="268C7899">
            <w:pPr>
              <w:spacing w:line="240" w:lineRule="auto"/>
              <w:ind w:firstLine="0" w:firstLineChars="0"/>
              <w:jc w:val="center"/>
              <w:rPr>
                <w:b/>
                <w:bCs/>
                <w:color w:val="auto"/>
                <w:sz w:val="21"/>
                <w:szCs w:val="21"/>
              </w:rPr>
            </w:pPr>
            <w:r>
              <w:rPr>
                <w:rFonts w:hint="eastAsia"/>
                <w:b/>
                <w:bCs/>
                <w:color w:val="auto"/>
                <w:sz w:val="21"/>
                <w:szCs w:val="21"/>
              </w:rPr>
              <w:t>平均</w:t>
            </w:r>
          </w:p>
        </w:tc>
      </w:tr>
      <w:tr w14:paraId="25777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9" w:type="dxa"/>
            <w:tcBorders>
              <w:tl2br w:val="nil"/>
              <w:tr2bl w:val="nil"/>
            </w:tcBorders>
            <w:vAlign w:val="center"/>
          </w:tcPr>
          <w:p w14:paraId="43C2AF5C">
            <w:pPr>
              <w:spacing w:line="240" w:lineRule="auto"/>
              <w:ind w:firstLine="0" w:firstLineChars="0"/>
              <w:jc w:val="center"/>
              <w:rPr>
                <w:color w:val="auto"/>
                <w:sz w:val="21"/>
                <w:szCs w:val="21"/>
              </w:rPr>
            </w:pPr>
            <w:r>
              <w:rPr>
                <w:rFonts w:hint="eastAsia"/>
                <w:color w:val="auto"/>
                <w:sz w:val="21"/>
                <w:szCs w:val="21"/>
              </w:rPr>
              <w:t>温度（℃）</w:t>
            </w:r>
          </w:p>
        </w:tc>
        <w:tc>
          <w:tcPr>
            <w:tcW w:w="641" w:type="dxa"/>
            <w:tcBorders>
              <w:tl2br w:val="nil"/>
              <w:tr2bl w:val="nil"/>
            </w:tcBorders>
            <w:vAlign w:val="center"/>
          </w:tcPr>
          <w:p w14:paraId="1ECE398F">
            <w:pPr>
              <w:spacing w:line="240" w:lineRule="auto"/>
              <w:ind w:firstLine="0" w:firstLineChars="0"/>
              <w:jc w:val="center"/>
              <w:rPr>
                <w:color w:val="auto"/>
                <w:sz w:val="21"/>
                <w:szCs w:val="21"/>
              </w:rPr>
            </w:pPr>
            <w:r>
              <w:rPr>
                <w:rFonts w:hint="eastAsia"/>
                <w:color w:val="auto"/>
                <w:sz w:val="21"/>
                <w:szCs w:val="21"/>
              </w:rPr>
              <w:t>1.3</w:t>
            </w:r>
          </w:p>
        </w:tc>
        <w:tc>
          <w:tcPr>
            <w:tcW w:w="641" w:type="dxa"/>
            <w:tcBorders>
              <w:tl2br w:val="nil"/>
              <w:tr2bl w:val="nil"/>
            </w:tcBorders>
            <w:vAlign w:val="center"/>
          </w:tcPr>
          <w:p w14:paraId="6882F452">
            <w:pPr>
              <w:spacing w:line="240" w:lineRule="auto"/>
              <w:ind w:firstLine="0" w:firstLineChars="0"/>
              <w:jc w:val="center"/>
              <w:rPr>
                <w:color w:val="auto"/>
                <w:sz w:val="21"/>
                <w:szCs w:val="21"/>
              </w:rPr>
            </w:pPr>
            <w:r>
              <w:rPr>
                <w:rFonts w:hint="eastAsia"/>
                <w:color w:val="auto"/>
                <w:sz w:val="21"/>
                <w:szCs w:val="21"/>
              </w:rPr>
              <w:t>3.2</w:t>
            </w:r>
          </w:p>
        </w:tc>
        <w:tc>
          <w:tcPr>
            <w:tcW w:w="642" w:type="dxa"/>
            <w:tcBorders>
              <w:tl2br w:val="nil"/>
              <w:tr2bl w:val="nil"/>
            </w:tcBorders>
            <w:vAlign w:val="center"/>
          </w:tcPr>
          <w:p w14:paraId="02E3D1AC">
            <w:pPr>
              <w:spacing w:line="240" w:lineRule="auto"/>
              <w:ind w:firstLine="0" w:firstLineChars="0"/>
              <w:jc w:val="center"/>
              <w:rPr>
                <w:color w:val="auto"/>
                <w:sz w:val="21"/>
                <w:szCs w:val="21"/>
              </w:rPr>
            </w:pPr>
            <w:r>
              <w:rPr>
                <w:rFonts w:hint="eastAsia"/>
                <w:color w:val="auto"/>
                <w:sz w:val="21"/>
                <w:szCs w:val="21"/>
              </w:rPr>
              <w:t>8.3</w:t>
            </w:r>
          </w:p>
        </w:tc>
        <w:tc>
          <w:tcPr>
            <w:tcW w:w="654" w:type="dxa"/>
            <w:tcBorders>
              <w:tl2br w:val="nil"/>
              <w:tr2bl w:val="nil"/>
            </w:tcBorders>
            <w:vAlign w:val="center"/>
          </w:tcPr>
          <w:p w14:paraId="78EF6BD4">
            <w:pPr>
              <w:spacing w:line="240" w:lineRule="auto"/>
              <w:ind w:firstLine="0" w:firstLineChars="0"/>
              <w:jc w:val="center"/>
              <w:rPr>
                <w:color w:val="auto"/>
                <w:sz w:val="21"/>
                <w:szCs w:val="21"/>
              </w:rPr>
            </w:pPr>
            <w:r>
              <w:rPr>
                <w:rFonts w:hint="eastAsia"/>
                <w:color w:val="auto"/>
                <w:sz w:val="21"/>
                <w:szCs w:val="21"/>
              </w:rPr>
              <w:t>23.2</w:t>
            </w:r>
          </w:p>
        </w:tc>
        <w:tc>
          <w:tcPr>
            <w:tcW w:w="654" w:type="dxa"/>
            <w:tcBorders>
              <w:tl2br w:val="nil"/>
              <w:tr2bl w:val="nil"/>
            </w:tcBorders>
            <w:vAlign w:val="center"/>
          </w:tcPr>
          <w:p w14:paraId="140894A3">
            <w:pPr>
              <w:spacing w:line="240" w:lineRule="auto"/>
              <w:ind w:firstLine="0" w:firstLineChars="0"/>
              <w:jc w:val="center"/>
              <w:rPr>
                <w:color w:val="auto"/>
                <w:sz w:val="21"/>
                <w:szCs w:val="21"/>
              </w:rPr>
            </w:pPr>
            <w:r>
              <w:rPr>
                <w:rFonts w:hint="eastAsia"/>
                <w:color w:val="auto"/>
                <w:sz w:val="21"/>
                <w:szCs w:val="21"/>
              </w:rPr>
              <w:t>20.5</w:t>
            </w:r>
          </w:p>
        </w:tc>
        <w:tc>
          <w:tcPr>
            <w:tcW w:w="654" w:type="dxa"/>
            <w:tcBorders>
              <w:tl2br w:val="nil"/>
              <w:tr2bl w:val="nil"/>
            </w:tcBorders>
            <w:vAlign w:val="center"/>
          </w:tcPr>
          <w:p w14:paraId="283AFBEC">
            <w:pPr>
              <w:spacing w:line="240" w:lineRule="auto"/>
              <w:ind w:firstLine="0" w:firstLineChars="0"/>
              <w:jc w:val="center"/>
              <w:rPr>
                <w:color w:val="auto"/>
                <w:sz w:val="21"/>
                <w:szCs w:val="21"/>
              </w:rPr>
            </w:pPr>
            <w:r>
              <w:rPr>
                <w:rFonts w:hint="eastAsia"/>
                <w:color w:val="auto"/>
                <w:sz w:val="21"/>
                <w:szCs w:val="21"/>
              </w:rPr>
              <w:t>22.5</w:t>
            </w:r>
          </w:p>
        </w:tc>
        <w:tc>
          <w:tcPr>
            <w:tcW w:w="654" w:type="dxa"/>
            <w:tcBorders>
              <w:tl2br w:val="nil"/>
              <w:tr2bl w:val="nil"/>
            </w:tcBorders>
            <w:vAlign w:val="center"/>
          </w:tcPr>
          <w:p w14:paraId="79DF43E1">
            <w:pPr>
              <w:spacing w:line="240" w:lineRule="auto"/>
              <w:ind w:firstLine="0" w:firstLineChars="0"/>
              <w:jc w:val="center"/>
              <w:rPr>
                <w:color w:val="auto"/>
                <w:sz w:val="21"/>
                <w:szCs w:val="21"/>
              </w:rPr>
            </w:pPr>
            <w:r>
              <w:rPr>
                <w:rFonts w:hint="eastAsia"/>
                <w:color w:val="auto"/>
                <w:sz w:val="21"/>
                <w:szCs w:val="21"/>
              </w:rPr>
              <w:t>25.6</w:t>
            </w:r>
          </w:p>
        </w:tc>
        <w:tc>
          <w:tcPr>
            <w:tcW w:w="654" w:type="dxa"/>
            <w:tcBorders>
              <w:tl2br w:val="nil"/>
              <w:tr2bl w:val="nil"/>
            </w:tcBorders>
            <w:vAlign w:val="center"/>
          </w:tcPr>
          <w:p w14:paraId="053C02F5">
            <w:pPr>
              <w:spacing w:line="240" w:lineRule="auto"/>
              <w:ind w:firstLine="0" w:firstLineChars="0"/>
              <w:jc w:val="center"/>
              <w:rPr>
                <w:color w:val="auto"/>
                <w:sz w:val="21"/>
                <w:szCs w:val="21"/>
              </w:rPr>
            </w:pPr>
            <w:r>
              <w:rPr>
                <w:rFonts w:hint="eastAsia"/>
                <w:color w:val="auto"/>
                <w:sz w:val="21"/>
                <w:szCs w:val="21"/>
              </w:rPr>
              <w:t>24.4</w:t>
            </w:r>
          </w:p>
        </w:tc>
        <w:tc>
          <w:tcPr>
            <w:tcW w:w="654" w:type="dxa"/>
            <w:tcBorders>
              <w:tl2br w:val="nil"/>
              <w:tr2bl w:val="nil"/>
            </w:tcBorders>
            <w:vAlign w:val="center"/>
          </w:tcPr>
          <w:p w14:paraId="6A4A19FD">
            <w:pPr>
              <w:spacing w:line="240" w:lineRule="auto"/>
              <w:ind w:firstLine="0" w:firstLineChars="0"/>
              <w:jc w:val="center"/>
              <w:rPr>
                <w:color w:val="auto"/>
                <w:sz w:val="21"/>
                <w:szCs w:val="21"/>
              </w:rPr>
            </w:pPr>
            <w:r>
              <w:rPr>
                <w:rFonts w:hint="eastAsia"/>
                <w:color w:val="auto"/>
                <w:sz w:val="21"/>
                <w:szCs w:val="21"/>
              </w:rPr>
              <w:t>21.2</w:t>
            </w:r>
          </w:p>
        </w:tc>
        <w:tc>
          <w:tcPr>
            <w:tcW w:w="655" w:type="dxa"/>
            <w:tcBorders>
              <w:tl2br w:val="nil"/>
              <w:tr2bl w:val="nil"/>
            </w:tcBorders>
            <w:vAlign w:val="center"/>
          </w:tcPr>
          <w:p w14:paraId="37D3E676">
            <w:pPr>
              <w:spacing w:line="240" w:lineRule="auto"/>
              <w:ind w:firstLine="0" w:firstLineChars="0"/>
              <w:jc w:val="center"/>
              <w:rPr>
                <w:color w:val="auto"/>
                <w:sz w:val="21"/>
                <w:szCs w:val="21"/>
              </w:rPr>
            </w:pPr>
            <w:r>
              <w:rPr>
                <w:rFonts w:hint="eastAsia"/>
                <w:color w:val="auto"/>
                <w:sz w:val="21"/>
                <w:szCs w:val="21"/>
              </w:rPr>
              <w:t>16.3</w:t>
            </w:r>
          </w:p>
        </w:tc>
        <w:tc>
          <w:tcPr>
            <w:tcW w:w="643" w:type="dxa"/>
            <w:tcBorders>
              <w:tl2br w:val="nil"/>
              <w:tr2bl w:val="nil"/>
            </w:tcBorders>
            <w:vAlign w:val="center"/>
          </w:tcPr>
          <w:p w14:paraId="573D17C1">
            <w:pPr>
              <w:spacing w:line="240" w:lineRule="auto"/>
              <w:ind w:firstLine="0" w:firstLineChars="0"/>
              <w:jc w:val="center"/>
              <w:rPr>
                <w:color w:val="auto"/>
                <w:sz w:val="21"/>
                <w:szCs w:val="21"/>
              </w:rPr>
            </w:pPr>
            <w:r>
              <w:rPr>
                <w:rFonts w:hint="eastAsia"/>
                <w:color w:val="auto"/>
                <w:sz w:val="21"/>
                <w:szCs w:val="21"/>
              </w:rPr>
              <w:t>9.1</w:t>
            </w:r>
          </w:p>
        </w:tc>
        <w:tc>
          <w:tcPr>
            <w:tcW w:w="636" w:type="dxa"/>
            <w:tcBorders>
              <w:tl2br w:val="nil"/>
              <w:tr2bl w:val="nil"/>
            </w:tcBorders>
            <w:vAlign w:val="center"/>
          </w:tcPr>
          <w:p w14:paraId="5DC52D9D">
            <w:pPr>
              <w:spacing w:line="240" w:lineRule="auto"/>
              <w:ind w:firstLine="0" w:firstLineChars="0"/>
              <w:jc w:val="center"/>
              <w:rPr>
                <w:color w:val="auto"/>
                <w:sz w:val="21"/>
                <w:szCs w:val="21"/>
              </w:rPr>
            </w:pPr>
            <w:r>
              <w:rPr>
                <w:rFonts w:hint="eastAsia"/>
                <w:color w:val="auto"/>
                <w:sz w:val="21"/>
                <w:szCs w:val="21"/>
              </w:rPr>
              <w:t>2.4</w:t>
            </w:r>
          </w:p>
        </w:tc>
        <w:tc>
          <w:tcPr>
            <w:tcW w:w="655" w:type="dxa"/>
            <w:tcBorders>
              <w:tl2br w:val="nil"/>
              <w:tr2bl w:val="nil"/>
            </w:tcBorders>
            <w:vAlign w:val="center"/>
          </w:tcPr>
          <w:p w14:paraId="7073CC74">
            <w:pPr>
              <w:spacing w:line="240" w:lineRule="auto"/>
              <w:ind w:firstLine="0" w:firstLineChars="0"/>
              <w:jc w:val="center"/>
              <w:rPr>
                <w:color w:val="auto"/>
                <w:sz w:val="21"/>
                <w:szCs w:val="21"/>
              </w:rPr>
            </w:pPr>
            <w:r>
              <w:rPr>
                <w:rFonts w:hint="eastAsia"/>
                <w:color w:val="auto"/>
                <w:sz w:val="21"/>
                <w:szCs w:val="21"/>
              </w:rPr>
              <w:t>14.0</w:t>
            </w:r>
          </w:p>
        </w:tc>
      </w:tr>
    </w:tbl>
    <w:p w14:paraId="734272C8">
      <w:pPr>
        <w:ind w:firstLine="0" w:firstLineChars="0"/>
        <w:jc w:val="center"/>
        <w:rPr>
          <w:color w:val="auto"/>
        </w:rPr>
      </w:pPr>
      <w:r>
        <w:rPr>
          <w:color w:val="auto"/>
        </w:rPr>
        <w:drawing>
          <wp:inline distT="0" distB="0" distL="114300" distR="114300">
            <wp:extent cx="4083050" cy="2388235"/>
            <wp:effectExtent l="0" t="0" r="12700" b="1206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6"/>
                    <a:stretch>
                      <a:fillRect/>
                    </a:stretch>
                  </pic:blipFill>
                  <pic:spPr>
                    <a:xfrm>
                      <a:off x="0" y="0"/>
                      <a:ext cx="4083050" cy="2388235"/>
                    </a:xfrm>
                    <a:prstGeom prst="rect">
                      <a:avLst/>
                    </a:prstGeom>
                    <a:noFill/>
                    <a:ln>
                      <a:noFill/>
                    </a:ln>
                  </pic:spPr>
                </pic:pic>
              </a:graphicData>
            </a:graphic>
          </wp:inline>
        </w:drawing>
      </w:r>
    </w:p>
    <w:p w14:paraId="573A4F00">
      <w:pPr>
        <w:ind w:firstLine="0" w:firstLineChars="0"/>
        <w:jc w:val="center"/>
        <w:rPr>
          <w:b/>
          <w:bCs/>
          <w:color w:val="auto"/>
        </w:rPr>
      </w:pPr>
      <w:r>
        <w:rPr>
          <w:rFonts w:hint="eastAsia"/>
          <w:b/>
          <w:bCs/>
          <w:color w:val="auto"/>
        </w:rPr>
        <w:t>图5.1-2  年平均温度变化曲线图</w:t>
      </w:r>
    </w:p>
    <w:p w14:paraId="72F5A603">
      <w:pPr>
        <w:spacing w:line="240" w:lineRule="auto"/>
        <w:ind w:firstLine="0" w:firstLineChars="0"/>
        <w:jc w:val="center"/>
        <w:rPr>
          <w:b/>
          <w:bCs/>
          <w:color w:val="auto"/>
        </w:rPr>
      </w:pPr>
      <w:r>
        <w:rPr>
          <w:b/>
          <w:bCs/>
          <w:color w:val="auto"/>
        </w:rPr>
        <w:t>表</w:t>
      </w:r>
      <w:r>
        <w:rPr>
          <w:rFonts w:hint="eastAsia"/>
          <w:b/>
          <w:bCs/>
          <w:color w:val="auto"/>
        </w:rPr>
        <w:t>5</w:t>
      </w:r>
      <w:r>
        <w:rPr>
          <w:b/>
          <w:bCs/>
          <w:color w:val="auto"/>
        </w:rPr>
        <w:t>.1-</w:t>
      </w:r>
      <w:r>
        <w:rPr>
          <w:rFonts w:hint="eastAsia"/>
          <w:b/>
          <w:bCs/>
          <w:color w:val="auto"/>
        </w:rPr>
        <w:t>3</w:t>
      </w:r>
      <w:r>
        <w:rPr>
          <w:b/>
          <w:bCs/>
          <w:color w:val="auto"/>
        </w:rPr>
        <w:t xml:space="preserve">  </w:t>
      </w:r>
      <w:r>
        <w:rPr>
          <w:rFonts w:hint="eastAsia"/>
          <w:b/>
          <w:bCs/>
          <w:color w:val="auto"/>
        </w:rPr>
        <w:t>年平均风速的变化</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641"/>
        <w:gridCol w:w="641"/>
        <w:gridCol w:w="642"/>
        <w:gridCol w:w="654"/>
        <w:gridCol w:w="654"/>
        <w:gridCol w:w="654"/>
        <w:gridCol w:w="654"/>
        <w:gridCol w:w="654"/>
        <w:gridCol w:w="654"/>
        <w:gridCol w:w="655"/>
        <w:gridCol w:w="643"/>
        <w:gridCol w:w="636"/>
        <w:gridCol w:w="655"/>
      </w:tblGrid>
      <w:tr w14:paraId="40B0B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9" w:type="dxa"/>
            <w:tcBorders>
              <w:tl2br w:val="nil"/>
              <w:tr2bl w:val="nil"/>
            </w:tcBorders>
            <w:vAlign w:val="center"/>
          </w:tcPr>
          <w:p w14:paraId="54EEBA53">
            <w:pPr>
              <w:spacing w:line="240" w:lineRule="auto"/>
              <w:ind w:firstLine="0" w:firstLineChars="0"/>
              <w:jc w:val="center"/>
              <w:rPr>
                <w:b/>
                <w:bCs/>
                <w:color w:val="auto"/>
                <w:sz w:val="21"/>
                <w:szCs w:val="21"/>
              </w:rPr>
            </w:pPr>
            <w:r>
              <w:rPr>
                <w:rFonts w:hint="eastAsia"/>
                <w:b/>
                <w:bCs/>
                <w:color w:val="auto"/>
                <w:sz w:val="21"/>
                <w:szCs w:val="21"/>
              </w:rPr>
              <w:t>月份（月）</w:t>
            </w:r>
          </w:p>
        </w:tc>
        <w:tc>
          <w:tcPr>
            <w:tcW w:w="641" w:type="dxa"/>
            <w:tcBorders>
              <w:tl2br w:val="nil"/>
              <w:tr2bl w:val="nil"/>
            </w:tcBorders>
            <w:vAlign w:val="center"/>
          </w:tcPr>
          <w:p w14:paraId="656ED818">
            <w:pPr>
              <w:spacing w:line="240" w:lineRule="auto"/>
              <w:ind w:firstLine="0" w:firstLineChars="0"/>
              <w:jc w:val="center"/>
              <w:rPr>
                <w:b/>
                <w:bCs/>
                <w:color w:val="auto"/>
                <w:sz w:val="21"/>
                <w:szCs w:val="21"/>
              </w:rPr>
            </w:pPr>
            <w:r>
              <w:rPr>
                <w:rFonts w:hint="eastAsia"/>
                <w:b/>
                <w:bCs/>
                <w:color w:val="auto"/>
                <w:sz w:val="21"/>
                <w:szCs w:val="21"/>
              </w:rPr>
              <w:t>1</w:t>
            </w:r>
          </w:p>
        </w:tc>
        <w:tc>
          <w:tcPr>
            <w:tcW w:w="641" w:type="dxa"/>
            <w:tcBorders>
              <w:tl2br w:val="nil"/>
              <w:tr2bl w:val="nil"/>
            </w:tcBorders>
            <w:vAlign w:val="center"/>
          </w:tcPr>
          <w:p w14:paraId="6864F7AB">
            <w:pPr>
              <w:spacing w:line="240" w:lineRule="auto"/>
              <w:ind w:firstLine="0" w:firstLineChars="0"/>
              <w:jc w:val="center"/>
              <w:rPr>
                <w:b/>
                <w:bCs/>
                <w:color w:val="auto"/>
                <w:sz w:val="21"/>
                <w:szCs w:val="21"/>
              </w:rPr>
            </w:pPr>
            <w:r>
              <w:rPr>
                <w:rFonts w:hint="eastAsia"/>
                <w:b/>
                <w:bCs/>
                <w:color w:val="auto"/>
                <w:sz w:val="21"/>
                <w:szCs w:val="21"/>
              </w:rPr>
              <w:t>2</w:t>
            </w:r>
          </w:p>
        </w:tc>
        <w:tc>
          <w:tcPr>
            <w:tcW w:w="642" w:type="dxa"/>
            <w:tcBorders>
              <w:tl2br w:val="nil"/>
              <w:tr2bl w:val="nil"/>
            </w:tcBorders>
            <w:vAlign w:val="center"/>
          </w:tcPr>
          <w:p w14:paraId="047E4AFE">
            <w:pPr>
              <w:spacing w:line="240" w:lineRule="auto"/>
              <w:ind w:firstLine="0" w:firstLineChars="0"/>
              <w:jc w:val="center"/>
              <w:rPr>
                <w:b/>
                <w:bCs/>
                <w:color w:val="auto"/>
                <w:sz w:val="21"/>
                <w:szCs w:val="21"/>
              </w:rPr>
            </w:pPr>
            <w:r>
              <w:rPr>
                <w:rFonts w:hint="eastAsia"/>
                <w:b/>
                <w:bCs/>
                <w:color w:val="auto"/>
                <w:sz w:val="21"/>
                <w:szCs w:val="21"/>
              </w:rPr>
              <w:t>3</w:t>
            </w:r>
          </w:p>
        </w:tc>
        <w:tc>
          <w:tcPr>
            <w:tcW w:w="654" w:type="dxa"/>
            <w:tcBorders>
              <w:tl2br w:val="nil"/>
              <w:tr2bl w:val="nil"/>
            </w:tcBorders>
            <w:vAlign w:val="center"/>
          </w:tcPr>
          <w:p w14:paraId="7C0FAD04">
            <w:pPr>
              <w:spacing w:line="240" w:lineRule="auto"/>
              <w:ind w:firstLine="0" w:firstLineChars="0"/>
              <w:jc w:val="center"/>
              <w:rPr>
                <w:b/>
                <w:bCs/>
                <w:color w:val="auto"/>
                <w:sz w:val="21"/>
                <w:szCs w:val="21"/>
              </w:rPr>
            </w:pPr>
            <w:r>
              <w:rPr>
                <w:rFonts w:hint="eastAsia"/>
                <w:b/>
                <w:bCs/>
                <w:color w:val="auto"/>
                <w:sz w:val="21"/>
                <w:szCs w:val="21"/>
              </w:rPr>
              <w:t>4</w:t>
            </w:r>
          </w:p>
        </w:tc>
        <w:tc>
          <w:tcPr>
            <w:tcW w:w="654" w:type="dxa"/>
            <w:tcBorders>
              <w:tl2br w:val="nil"/>
              <w:tr2bl w:val="nil"/>
            </w:tcBorders>
            <w:vAlign w:val="center"/>
          </w:tcPr>
          <w:p w14:paraId="006D5BE2">
            <w:pPr>
              <w:spacing w:line="240" w:lineRule="auto"/>
              <w:ind w:firstLine="0" w:firstLineChars="0"/>
              <w:jc w:val="center"/>
              <w:rPr>
                <w:b/>
                <w:bCs/>
                <w:color w:val="auto"/>
                <w:sz w:val="21"/>
                <w:szCs w:val="21"/>
              </w:rPr>
            </w:pPr>
            <w:r>
              <w:rPr>
                <w:rFonts w:hint="eastAsia"/>
                <w:b/>
                <w:bCs/>
                <w:color w:val="auto"/>
                <w:sz w:val="21"/>
                <w:szCs w:val="21"/>
              </w:rPr>
              <w:t>5</w:t>
            </w:r>
          </w:p>
        </w:tc>
        <w:tc>
          <w:tcPr>
            <w:tcW w:w="654" w:type="dxa"/>
            <w:tcBorders>
              <w:tl2br w:val="nil"/>
              <w:tr2bl w:val="nil"/>
            </w:tcBorders>
            <w:vAlign w:val="center"/>
          </w:tcPr>
          <w:p w14:paraId="7E6A9017">
            <w:pPr>
              <w:spacing w:line="240" w:lineRule="auto"/>
              <w:ind w:firstLine="0" w:firstLineChars="0"/>
              <w:jc w:val="center"/>
              <w:rPr>
                <w:b/>
                <w:bCs/>
                <w:color w:val="auto"/>
                <w:sz w:val="21"/>
                <w:szCs w:val="21"/>
              </w:rPr>
            </w:pPr>
            <w:r>
              <w:rPr>
                <w:rFonts w:hint="eastAsia"/>
                <w:b/>
                <w:bCs/>
                <w:color w:val="auto"/>
                <w:sz w:val="21"/>
                <w:szCs w:val="21"/>
              </w:rPr>
              <w:t>6</w:t>
            </w:r>
          </w:p>
        </w:tc>
        <w:tc>
          <w:tcPr>
            <w:tcW w:w="654" w:type="dxa"/>
            <w:tcBorders>
              <w:tl2br w:val="nil"/>
              <w:tr2bl w:val="nil"/>
            </w:tcBorders>
            <w:vAlign w:val="center"/>
          </w:tcPr>
          <w:p w14:paraId="5926BBE4">
            <w:pPr>
              <w:spacing w:line="240" w:lineRule="auto"/>
              <w:ind w:firstLine="0" w:firstLineChars="0"/>
              <w:jc w:val="center"/>
              <w:rPr>
                <w:b/>
                <w:bCs/>
                <w:color w:val="auto"/>
                <w:sz w:val="21"/>
                <w:szCs w:val="21"/>
              </w:rPr>
            </w:pPr>
            <w:r>
              <w:rPr>
                <w:rFonts w:hint="eastAsia"/>
                <w:b/>
                <w:bCs/>
                <w:color w:val="auto"/>
                <w:sz w:val="21"/>
                <w:szCs w:val="21"/>
              </w:rPr>
              <w:t>7</w:t>
            </w:r>
          </w:p>
        </w:tc>
        <w:tc>
          <w:tcPr>
            <w:tcW w:w="654" w:type="dxa"/>
            <w:tcBorders>
              <w:tl2br w:val="nil"/>
              <w:tr2bl w:val="nil"/>
            </w:tcBorders>
            <w:vAlign w:val="center"/>
          </w:tcPr>
          <w:p w14:paraId="3E02F0AC">
            <w:pPr>
              <w:spacing w:line="240" w:lineRule="auto"/>
              <w:ind w:firstLine="0" w:firstLineChars="0"/>
              <w:jc w:val="center"/>
              <w:rPr>
                <w:b/>
                <w:bCs/>
                <w:color w:val="auto"/>
                <w:sz w:val="21"/>
                <w:szCs w:val="21"/>
              </w:rPr>
            </w:pPr>
            <w:r>
              <w:rPr>
                <w:rFonts w:hint="eastAsia"/>
                <w:b/>
                <w:bCs/>
                <w:color w:val="auto"/>
                <w:sz w:val="21"/>
                <w:szCs w:val="21"/>
              </w:rPr>
              <w:t>8</w:t>
            </w:r>
          </w:p>
        </w:tc>
        <w:tc>
          <w:tcPr>
            <w:tcW w:w="654" w:type="dxa"/>
            <w:tcBorders>
              <w:tl2br w:val="nil"/>
              <w:tr2bl w:val="nil"/>
            </w:tcBorders>
            <w:vAlign w:val="center"/>
          </w:tcPr>
          <w:p w14:paraId="11D7BDF8">
            <w:pPr>
              <w:spacing w:line="240" w:lineRule="auto"/>
              <w:ind w:firstLine="0" w:firstLineChars="0"/>
              <w:jc w:val="center"/>
              <w:rPr>
                <w:b/>
                <w:bCs/>
                <w:color w:val="auto"/>
                <w:sz w:val="21"/>
                <w:szCs w:val="21"/>
              </w:rPr>
            </w:pPr>
            <w:r>
              <w:rPr>
                <w:rFonts w:hint="eastAsia"/>
                <w:b/>
                <w:bCs/>
                <w:color w:val="auto"/>
                <w:sz w:val="21"/>
                <w:szCs w:val="21"/>
              </w:rPr>
              <w:t>9</w:t>
            </w:r>
          </w:p>
        </w:tc>
        <w:tc>
          <w:tcPr>
            <w:tcW w:w="655" w:type="dxa"/>
            <w:tcBorders>
              <w:tl2br w:val="nil"/>
              <w:tr2bl w:val="nil"/>
            </w:tcBorders>
            <w:vAlign w:val="center"/>
          </w:tcPr>
          <w:p w14:paraId="1C9F9183">
            <w:pPr>
              <w:spacing w:line="240" w:lineRule="auto"/>
              <w:ind w:firstLine="0" w:firstLineChars="0"/>
              <w:jc w:val="center"/>
              <w:rPr>
                <w:b/>
                <w:bCs/>
                <w:color w:val="auto"/>
                <w:sz w:val="21"/>
                <w:szCs w:val="21"/>
              </w:rPr>
            </w:pPr>
            <w:r>
              <w:rPr>
                <w:rFonts w:hint="eastAsia"/>
                <w:b/>
                <w:bCs/>
                <w:color w:val="auto"/>
                <w:sz w:val="21"/>
                <w:szCs w:val="21"/>
              </w:rPr>
              <w:t>10</w:t>
            </w:r>
          </w:p>
        </w:tc>
        <w:tc>
          <w:tcPr>
            <w:tcW w:w="643" w:type="dxa"/>
            <w:tcBorders>
              <w:tl2br w:val="nil"/>
              <w:tr2bl w:val="nil"/>
            </w:tcBorders>
            <w:vAlign w:val="center"/>
          </w:tcPr>
          <w:p w14:paraId="309E0DD5">
            <w:pPr>
              <w:spacing w:line="240" w:lineRule="auto"/>
              <w:ind w:firstLine="0" w:firstLineChars="0"/>
              <w:jc w:val="center"/>
              <w:rPr>
                <w:b/>
                <w:bCs/>
                <w:color w:val="auto"/>
                <w:sz w:val="21"/>
                <w:szCs w:val="21"/>
              </w:rPr>
            </w:pPr>
            <w:r>
              <w:rPr>
                <w:rFonts w:hint="eastAsia"/>
                <w:b/>
                <w:bCs/>
                <w:color w:val="auto"/>
                <w:sz w:val="21"/>
                <w:szCs w:val="21"/>
              </w:rPr>
              <w:t>11</w:t>
            </w:r>
          </w:p>
        </w:tc>
        <w:tc>
          <w:tcPr>
            <w:tcW w:w="636" w:type="dxa"/>
            <w:tcBorders>
              <w:tl2br w:val="nil"/>
              <w:tr2bl w:val="nil"/>
            </w:tcBorders>
            <w:vAlign w:val="center"/>
          </w:tcPr>
          <w:p w14:paraId="3A85638B">
            <w:pPr>
              <w:spacing w:line="240" w:lineRule="auto"/>
              <w:ind w:firstLine="0" w:firstLineChars="0"/>
              <w:jc w:val="center"/>
              <w:rPr>
                <w:b/>
                <w:bCs/>
                <w:color w:val="auto"/>
                <w:sz w:val="21"/>
                <w:szCs w:val="21"/>
              </w:rPr>
            </w:pPr>
            <w:r>
              <w:rPr>
                <w:rFonts w:hint="eastAsia"/>
                <w:b/>
                <w:bCs/>
                <w:color w:val="auto"/>
                <w:sz w:val="21"/>
                <w:szCs w:val="21"/>
              </w:rPr>
              <w:t>12</w:t>
            </w:r>
          </w:p>
        </w:tc>
        <w:tc>
          <w:tcPr>
            <w:tcW w:w="655" w:type="dxa"/>
            <w:tcBorders>
              <w:tl2br w:val="nil"/>
              <w:tr2bl w:val="nil"/>
            </w:tcBorders>
            <w:vAlign w:val="center"/>
          </w:tcPr>
          <w:p w14:paraId="2A48AA0F">
            <w:pPr>
              <w:spacing w:line="240" w:lineRule="auto"/>
              <w:ind w:firstLine="0" w:firstLineChars="0"/>
              <w:jc w:val="center"/>
              <w:rPr>
                <w:b/>
                <w:bCs/>
                <w:color w:val="auto"/>
                <w:sz w:val="21"/>
                <w:szCs w:val="21"/>
              </w:rPr>
            </w:pPr>
            <w:r>
              <w:rPr>
                <w:rFonts w:hint="eastAsia"/>
                <w:b/>
                <w:bCs/>
                <w:color w:val="auto"/>
                <w:sz w:val="21"/>
                <w:szCs w:val="21"/>
              </w:rPr>
              <w:t>平均</w:t>
            </w:r>
          </w:p>
        </w:tc>
      </w:tr>
      <w:tr w14:paraId="718D7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9" w:type="dxa"/>
            <w:tcBorders>
              <w:tl2br w:val="nil"/>
              <w:tr2bl w:val="nil"/>
            </w:tcBorders>
            <w:vAlign w:val="center"/>
          </w:tcPr>
          <w:p w14:paraId="576CEA82">
            <w:pPr>
              <w:spacing w:line="240" w:lineRule="auto"/>
              <w:ind w:firstLine="0" w:firstLineChars="0"/>
              <w:jc w:val="center"/>
              <w:rPr>
                <w:color w:val="auto"/>
                <w:sz w:val="21"/>
                <w:szCs w:val="21"/>
              </w:rPr>
            </w:pPr>
            <w:r>
              <w:rPr>
                <w:rFonts w:hint="eastAsia"/>
                <w:color w:val="auto"/>
                <w:sz w:val="21"/>
                <w:szCs w:val="21"/>
              </w:rPr>
              <w:t>温度（℃）</w:t>
            </w:r>
          </w:p>
        </w:tc>
        <w:tc>
          <w:tcPr>
            <w:tcW w:w="641" w:type="dxa"/>
            <w:tcBorders>
              <w:tl2br w:val="nil"/>
              <w:tr2bl w:val="nil"/>
            </w:tcBorders>
            <w:vAlign w:val="center"/>
          </w:tcPr>
          <w:p w14:paraId="086D630F">
            <w:pPr>
              <w:spacing w:line="240" w:lineRule="auto"/>
              <w:ind w:firstLine="0" w:firstLineChars="0"/>
              <w:jc w:val="center"/>
              <w:rPr>
                <w:color w:val="auto"/>
                <w:sz w:val="21"/>
                <w:szCs w:val="21"/>
              </w:rPr>
            </w:pPr>
            <w:r>
              <w:rPr>
                <w:rFonts w:hint="eastAsia"/>
                <w:color w:val="auto"/>
                <w:sz w:val="21"/>
                <w:szCs w:val="21"/>
              </w:rPr>
              <w:t>3.0</w:t>
            </w:r>
          </w:p>
        </w:tc>
        <w:tc>
          <w:tcPr>
            <w:tcW w:w="641" w:type="dxa"/>
            <w:tcBorders>
              <w:tl2br w:val="nil"/>
              <w:tr2bl w:val="nil"/>
            </w:tcBorders>
            <w:vAlign w:val="center"/>
          </w:tcPr>
          <w:p w14:paraId="677DE427">
            <w:pPr>
              <w:spacing w:line="240" w:lineRule="auto"/>
              <w:ind w:firstLine="0" w:firstLineChars="0"/>
              <w:jc w:val="center"/>
              <w:rPr>
                <w:color w:val="auto"/>
                <w:sz w:val="21"/>
                <w:szCs w:val="21"/>
              </w:rPr>
            </w:pPr>
            <w:r>
              <w:rPr>
                <w:rFonts w:hint="eastAsia"/>
                <w:color w:val="auto"/>
                <w:sz w:val="21"/>
                <w:szCs w:val="21"/>
              </w:rPr>
              <w:t>3.3</w:t>
            </w:r>
          </w:p>
        </w:tc>
        <w:tc>
          <w:tcPr>
            <w:tcW w:w="642" w:type="dxa"/>
            <w:tcBorders>
              <w:tl2br w:val="nil"/>
              <w:tr2bl w:val="nil"/>
            </w:tcBorders>
            <w:vAlign w:val="center"/>
          </w:tcPr>
          <w:p w14:paraId="63A6A4BA">
            <w:pPr>
              <w:spacing w:line="240" w:lineRule="auto"/>
              <w:ind w:firstLine="0" w:firstLineChars="0"/>
              <w:jc w:val="center"/>
              <w:rPr>
                <w:color w:val="auto"/>
                <w:sz w:val="21"/>
                <w:szCs w:val="21"/>
              </w:rPr>
            </w:pPr>
            <w:r>
              <w:rPr>
                <w:rFonts w:hint="eastAsia"/>
                <w:color w:val="auto"/>
                <w:sz w:val="21"/>
                <w:szCs w:val="21"/>
              </w:rPr>
              <w:t>3.6</w:t>
            </w:r>
          </w:p>
        </w:tc>
        <w:tc>
          <w:tcPr>
            <w:tcW w:w="654" w:type="dxa"/>
            <w:tcBorders>
              <w:tl2br w:val="nil"/>
              <w:tr2bl w:val="nil"/>
            </w:tcBorders>
            <w:vAlign w:val="center"/>
          </w:tcPr>
          <w:p w14:paraId="0B0A5761">
            <w:pPr>
              <w:spacing w:line="240" w:lineRule="auto"/>
              <w:ind w:firstLine="0" w:firstLineChars="0"/>
              <w:jc w:val="center"/>
              <w:rPr>
                <w:color w:val="auto"/>
                <w:sz w:val="21"/>
                <w:szCs w:val="21"/>
              </w:rPr>
            </w:pPr>
            <w:r>
              <w:rPr>
                <w:rFonts w:hint="eastAsia"/>
                <w:color w:val="auto"/>
                <w:sz w:val="21"/>
                <w:szCs w:val="21"/>
              </w:rPr>
              <w:t>3.8</w:t>
            </w:r>
          </w:p>
        </w:tc>
        <w:tc>
          <w:tcPr>
            <w:tcW w:w="654" w:type="dxa"/>
            <w:tcBorders>
              <w:tl2br w:val="nil"/>
              <w:tr2bl w:val="nil"/>
            </w:tcBorders>
            <w:vAlign w:val="center"/>
          </w:tcPr>
          <w:p w14:paraId="26C6D59E">
            <w:pPr>
              <w:spacing w:line="240" w:lineRule="auto"/>
              <w:ind w:firstLine="0" w:firstLineChars="0"/>
              <w:jc w:val="center"/>
              <w:rPr>
                <w:color w:val="auto"/>
                <w:sz w:val="21"/>
                <w:szCs w:val="21"/>
              </w:rPr>
            </w:pPr>
            <w:r>
              <w:rPr>
                <w:rFonts w:hint="eastAsia"/>
                <w:color w:val="auto"/>
                <w:sz w:val="21"/>
                <w:szCs w:val="21"/>
              </w:rPr>
              <w:t>3.5</w:t>
            </w:r>
          </w:p>
        </w:tc>
        <w:tc>
          <w:tcPr>
            <w:tcW w:w="654" w:type="dxa"/>
            <w:tcBorders>
              <w:tl2br w:val="nil"/>
              <w:tr2bl w:val="nil"/>
            </w:tcBorders>
            <w:vAlign w:val="center"/>
          </w:tcPr>
          <w:p w14:paraId="34FDDCC6">
            <w:pPr>
              <w:spacing w:line="240" w:lineRule="auto"/>
              <w:ind w:firstLine="0" w:firstLineChars="0"/>
              <w:jc w:val="center"/>
              <w:rPr>
                <w:color w:val="auto"/>
                <w:sz w:val="21"/>
                <w:szCs w:val="21"/>
              </w:rPr>
            </w:pPr>
            <w:r>
              <w:rPr>
                <w:rFonts w:hint="eastAsia"/>
                <w:color w:val="auto"/>
                <w:sz w:val="21"/>
                <w:szCs w:val="21"/>
              </w:rPr>
              <w:t>3.3</w:t>
            </w:r>
          </w:p>
        </w:tc>
        <w:tc>
          <w:tcPr>
            <w:tcW w:w="654" w:type="dxa"/>
            <w:tcBorders>
              <w:tl2br w:val="nil"/>
              <w:tr2bl w:val="nil"/>
            </w:tcBorders>
            <w:vAlign w:val="center"/>
          </w:tcPr>
          <w:p w14:paraId="0A0B719F">
            <w:pPr>
              <w:spacing w:line="240" w:lineRule="auto"/>
              <w:ind w:firstLine="0" w:firstLineChars="0"/>
              <w:jc w:val="center"/>
              <w:rPr>
                <w:color w:val="auto"/>
                <w:sz w:val="21"/>
                <w:szCs w:val="21"/>
              </w:rPr>
            </w:pPr>
            <w:r>
              <w:rPr>
                <w:rFonts w:hint="eastAsia"/>
                <w:color w:val="auto"/>
                <w:sz w:val="21"/>
                <w:szCs w:val="21"/>
              </w:rPr>
              <w:t>2.9</w:t>
            </w:r>
          </w:p>
        </w:tc>
        <w:tc>
          <w:tcPr>
            <w:tcW w:w="654" w:type="dxa"/>
            <w:tcBorders>
              <w:tl2br w:val="nil"/>
              <w:tr2bl w:val="nil"/>
            </w:tcBorders>
            <w:vAlign w:val="center"/>
          </w:tcPr>
          <w:p w14:paraId="7412A47E">
            <w:pPr>
              <w:spacing w:line="240" w:lineRule="auto"/>
              <w:ind w:firstLine="0" w:firstLineChars="0"/>
              <w:jc w:val="center"/>
              <w:rPr>
                <w:color w:val="auto"/>
                <w:sz w:val="21"/>
                <w:szCs w:val="21"/>
              </w:rPr>
            </w:pPr>
            <w:r>
              <w:rPr>
                <w:rFonts w:hint="eastAsia"/>
                <w:color w:val="auto"/>
                <w:sz w:val="21"/>
                <w:szCs w:val="21"/>
              </w:rPr>
              <w:t>2.8</w:t>
            </w:r>
          </w:p>
        </w:tc>
        <w:tc>
          <w:tcPr>
            <w:tcW w:w="654" w:type="dxa"/>
            <w:tcBorders>
              <w:tl2br w:val="nil"/>
              <w:tr2bl w:val="nil"/>
            </w:tcBorders>
            <w:vAlign w:val="center"/>
          </w:tcPr>
          <w:p w14:paraId="0A3D7DC6">
            <w:pPr>
              <w:spacing w:line="240" w:lineRule="auto"/>
              <w:ind w:firstLine="0" w:firstLineChars="0"/>
              <w:jc w:val="center"/>
              <w:rPr>
                <w:color w:val="auto"/>
                <w:sz w:val="21"/>
                <w:szCs w:val="21"/>
              </w:rPr>
            </w:pPr>
            <w:r>
              <w:rPr>
                <w:rFonts w:hint="eastAsia"/>
                <w:color w:val="auto"/>
                <w:sz w:val="21"/>
                <w:szCs w:val="21"/>
              </w:rPr>
              <w:t>2.6</w:t>
            </w:r>
          </w:p>
        </w:tc>
        <w:tc>
          <w:tcPr>
            <w:tcW w:w="655" w:type="dxa"/>
            <w:tcBorders>
              <w:tl2br w:val="nil"/>
              <w:tr2bl w:val="nil"/>
            </w:tcBorders>
            <w:vAlign w:val="center"/>
          </w:tcPr>
          <w:p w14:paraId="740EBC1D">
            <w:pPr>
              <w:spacing w:line="240" w:lineRule="auto"/>
              <w:ind w:firstLine="0" w:firstLineChars="0"/>
              <w:jc w:val="center"/>
              <w:rPr>
                <w:color w:val="auto"/>
                <w:sz w:val="21"/>
                <w:szCs w:val="21"/>
              </w:rPr>
            </w:pPr>
            <w:r>
              <w:rPr>
                <w:rFonts w:hint="eastAsia"/>
                <w:color w:val="auto"/>
                <w:sz w:val="21"/>
                <w:szCs w:val="21"/>
              </w:rPr>
              <w:t>2.7</w:t>
            </w:r>
          </w:p>
        </w:tc>
        <w:tc>
          <w:tcPr>
            <w:tcW w:w="643" w:type="dxa"/>
            <w:tcBorders>
              <w:tl2br w:val="nil"/>
              <w:tr2bl w:val="nil"/>
            </w:tcBorders>
            <w:vAlign w:val="center"/>
          </w:tcPr>
          <w:p w14:paraId="7453A4A9">
            <w:pPr>
              <w:spacing w:line="240" w:lineRule="auto"/>
              <w:ind w:firstLine="0" w:firstLineChars="0"/>
              <w:jc w:val="center"/>
              <w:rPr>
                <w:color w:val="auto"/>
                <w:sz w:val="21"/>
                <w:szCs w:val="21"/>
              </w:rPr>
            </w:pPr>
            <w:r>
              <w:rPr>
                <w:rFonts w:hint="eastAsia"/>
                <w:color w:val="auto"/>
                <w:sz w:val="21"/>
                <w:szCs w:val="21"/>
              </w:rPr>
              <w:t>3.0</w:t>
            </w:r>
          </w:p>
        </w:tc>
        <w:tc>
          <w:tcPr>
            <w:tcW w:w="636" w:type="dxa"/>
            <w:tcBorders>
              <w:tl2br w:val="nil"/>
              <w:tr2bl w:val="nil"/>
            </w:tcBorders>
            <w:vAlign w:val="center"/>
          </w:tcPr>
          <w:p w14:paraId="47E0D89C">
            <w:pPr>
              <w:spacing w:line="240" w:lineRule="auto"/>
              <w:ind w:firstLine="0" w:firstLineChars="0"/>
              <w:jc w:val="center"/>
              <w:rPr>
                <w:color w:val="auto"/>
                <w:sz w:val="21"/>
                <w:szCs w:val="21"/>
              </w:rPr>
            </w:pPr>
            <w:r>
              <w:rPr>
                <w:rFonts w:hint="eastAsia"/>
                <w:color w:val="auto"/>
                <w:sz w:val="21"/>
                <w:szCs w:val="21"/>
              </w:rPr>
              <w:t>2.8</w:t>
            </w:r>
          </w:p>
        </w:tc>
        <w:tc>
          <w:tcPr>
            <w:tcW w:w="655" w:type="dxa"/>
            <w:tcBorders>
              <w:tl2br w:val="nil"/>
              <w:tr2bl w:val="nil"/>
            </w:tcBorders>
            <w:vAlign w:val="center"/>
          </w:tcPr>
          <w:p w14:paraId="17E2C432">
            <w:pPr>
              <w:spacing w:line="240" w:lineRule="auto"/>
              <w:ind w:firstLine="0" w:firstLineChars="0"/>
              <w:jc w:val="center"/>
              <w:rPr>
                <w:color w:val="auto"/>
                <w:sz w:val="21"/>
                <w:szCs w:val="21"/>
              </w:rPr>
            </w:pPr>
            <w:r>
              <w:rPr>
                <w:rFonts w:hint="eastAsia"/>
                <w:color w:val="auto"/>
                <w:sz w:val="21"/>
                <w:szCs w:val="21"/>
              </w:rPr>
              <w:t>3.1</w:t>
            </w:r>
          </w:p>
        </w:tc>
      </w:tr>
    </w:tbl>
    <w:p w14:paraId="5C440AED">
      <w:pPr>
        <w:ind w:firstLine="0" w:firstLineChars="0"/>
        <w:jc w:val="center"/>
        <w:rPr>
          <w:color w:val="auto"/>
        </w:rPr>
      </w:pPr>
      <w:r>
        <w:rPr>
          <w:color w:val="auto"/>
        </w:rPr>
        <w:drawing>
          <wp:inline distT="0" distB="0" distL="114300" distR="114300">
            <wp:extent cx="4078605" cy="2380615"/>
            <wp:effectExtent l="0" t="0" r="17145" b="63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7"/>
                    <a:stretch>
                      <a:fillRect/>
                    </a:stretch>
                  </pic:blipFill>
                  <pic:spPr>
                    <a:xfrm>
                      <a:off x="0" y="0"/>
                      <a:ext cx="4078605" cy="2380615"/>
                    </a:xfrm>
                    <a:prstGeom prst="rect">
                      <a:avLst/>
                    </a:prstGeom>
                    <a:noFill/>
                    <a:ln>
                      <a:noFill/>
                    </a:ln>
                  </pic:spPr>
                </pic:pic>
              </a:graphicData>
            </a:graphic>
          </wp:inline>
        </w:drawing>
      </w:r>
    </w:p>
    <w:p w14:paraId="39640016">
      <w:pPr>
        <w:ind w:firstLine="0" w:firstLineChars="0"/>
        <w:jc w:val="center"/>
        <w:rPr>
          <w:color w:val="auto"/>
        </w:rPr>
      </w:pPr>
      <w:r>
        <w:rPr>
          <w:rFonts w:hint="eastAsia"/>
          <w:b/>
          <w:bCs/>
          <w:color w:val="auto"/>
        </w:rPr>
        <w:t>图5.1-3  年平均风速变化曲线图</w:t>
      </w:r>
    </w:p>
    <w:p w14:paraId="4C642B9A">
      <w:pPr>
        <w:keepNext/>
        <w:keepLines/>
        <w:spacing w:before="120" w:beforeLines="50"/>
        <w:ind w:firstLine="0" w:firstLineChars="0"/>
        <w:outlineLvl w:val="2"/>
        <w:rPr>
          <w:b/>
          <w:bCs/>
          <w:color w:val="auto"/>
          <w:sz w:val="28"/>
          <w:szCs w:val="28"/>
        </w:rPr>
      </w:pPr>
      <w:r>
        <w:rPr>
          <w:rFonts w:hint="eastAsia"/>
          <w:b/>
          <w:bCs/>
          <w:color w:val="auto"/>
          <w:sz w:val="28"/>
          <w:szCs w:val="28"/>
        </w:rPr>
        <w:t>5</w:t>
      </w:r>
      <w:r>
        <w:rPr>
          <w:b/>
          <w:bCs/>
          <w:color w:val="auto"/>
          <w:sz w:val="28"/>
          <w:szCs w:val="28"/>
        </w:rPr>
        <w:t>.1.</w:t>
      </w:r>
      <w:r>
        <w:rPr>
          <w:rFonts w:hint="eastAsia"/>
          <w:b/>
          <w:bCs/>
          <w:color w:val="auto"/>
          <w:sz w:val="28"/>
          <w:szCs w:val="28"/>
        </w:rPr>
        <w:t>5</w:t>
      </w:r>
      <w:r>
        <w:rPr>
          <w:b/>
          <w:bCs/>
          <w:color w:val="auto"/>
          <w:sz w:val="28"/>
          <w:szCs w:val="28"/>
        </w:rPr>
        <w:t xml:space="preserve"> </w:t>
      </w:r>
      <w:r>
        <w:rPr>
          <w:rFonts w:hint="eastAsia"/>
          <w:b/>
          <w:bCs/>
          <w:color w:val="auto"/>
          <w:sz w:val="28"/>
          <w:szCs w:val="28"/>
        </w:rPr>
        <w:t>地下水</w:t>
      </w:r>
    </w:p>
    <w:p w14:paraId="39E98418">
      <w:pPr>
        <w:keepNext/>
        <w:keepLines/>
        <w:spacing w:before="120" w:beforeLines="50"/>
        <w:ind w:firstLine="0" w:firstLineChars="0"/>
        <w:outlineLvl w:val="3"/>
        <w:rPr>
          <w:b/>
          <w:bCs/>
          <w:color w:val="auto"/>
        </w:rPr>
      </w:pPr>
      <w:r>
        <w:rPr>
          <w:rFonts w:hint="eastAsia"/>
          <w:b/>
          <w:bCs/>
          <w:color w:val="auto"/>
        </w:rPr>
        <w:t>5</w:t>
      </w:r>
      <w:r>
        <w:rPr>
          <w:b/>
          <w:bCs/>
          <w:color w:val="auto"/>
        </w:rPr>
        <w:t>.1.</w:t>
      </w:r>
      <w:r>
        <w:rPr>
          <w:rFonts w:hint="eastAsia"/>
          <w:b/>
          <w:bCs/>
          <w:color w:val="auto"/>
        </w:rPr>
        <w:t>5.1</w:t>
      </w:r>
      <w:r>
        <w:rPr>
          <w:b/>
          <w:bCs/>
          <w:color w:val="auto"/>
        </w:rPr>
        <w:t xml:space="preserve"> </w:t>
      </w:r>
      <w:r>
        <w:rPr>
          <w:rFonts w:hint="eastAsia"/>
          <w:b/>
          <w:bCs/>
          <w:color w:val="auto"/>
        </w:rPr>
        <w:t>区域地形地貌</w:t>
      </w:r>
    </w:p>
    <w:p w14:paraId="4E7D5BB1">
      <w:pPr>
        <w:ind w:firstLine="480"/>
        <w:rPr>
          <w:color w:val="auto"/>
        </w:rPr>
      </w:pPr>
      <w:r>
        <w:rPr>
          <w:color w:val="auto"/>
        </w:rPr>
        <w:t>连云港地区位于鲁中南丘陵与淮北平原的过渡地带，地形总体上西高东低，境内地貌形态以海积平原和冲积平原为主，仅在西、西北部地区零星构造剥蚀孤山残丘和岗地。孤山残丘由中、晚元古界变质岩组成，基岩出露良好</w:t>
      </w:r>
      <w:r>
        <w:rPr>
          <w:rFonts w:hint="eastAsia"/>
          <w:color w:val="auto"/>
        </w:rPr>
        <w:t>；</w:t>
      </w:r>
      <w:r>
        <w:rPr>
          <w:color w:val="auto"/>
        </w:rPr>
        <w:t>平原区地势开阔平坦，地表主要为海积相和冲积相粘性土。</w:t>
      </w:r>
    </w:p>
    <w:p w14:paraId="3A338060">
      <w:pPr>
        <w:ind w:firstLine="480"/>
        <w:rPr>
          <w:color w:val="auto"/>
        </w:rPr>
      </w:pPr>
      <w:r>
        <w:rPr>
          <w:color w:val="auto"/>
        </w:rPr>
        <w:t>项目规划区位于连云港市东南部海积平原，通过对工作区TM图像和航片</w:t>
      </w:r>
      <w:r>
        <w:rPr>
          <w:rFonts w:hint="eastAsia"/>
          <w:color w:val="auto"/>
        </w:rPr>
        <w:t>的影</w:t>
      </w:r>
      <w:r>
        <w:rPr>
          <w:color w:val="auto"/>
        </w:rPr>
        <w:t>像特征、水系特征、影纹和色调的识别，提取地貌形态、展布规律等信息，本项目所在规划区及周边分布有低山孤丘、冲海积平原和海积平原三种地貌类型。</w:t>
      </w:r>
    </w:p>
    <w:p w14:paraId="64D0AC01">
      <w:pPr>
        <w:ind w:firstLine="480"/>
        <w:rPr>
          <w:color w:val="auto"/>
        </w:rPr>
      </w:pPr>
      <w:r>
        <w:rPr>
          <w:rFonts w:hint="eastAsia"/>
          <w:color w:val="auto"/>
        </w:rPr>
        <w:t>（1）</w:t>
      </w:r>
      <w:r>
        <w:rPr>
          <w:color w:val="auto"/>
        </w:rPr>
        <w:t>冲海积平原</w:t>
      </w:r>
      <w:r>
        <w:rPr>
          <w:rFonts w:hint="eastAsia"/>
          <w:color w:val="auto"/>
        </w:rPr>
        <w:t>（I）</w:t>
      </w:r>
    </w:p>
    <w:p w14:paraId="346386FE">
      <w:pPr>
        <w:ind w:firstLine="480"/>
        <w:rPr>
          <w:color w:val="auto"/>
        </w:rPr>
      </w:pPr>
      <w:r>
        <w:rPr>
          <w:color w:val="auto"/>
        </w:rPr>
        <w:t>由海洋和河流使用合力堆积形成，沉积物以冲海积相的粉砂、粘土、淤泥为主地势平坦，发育有河漫滩、古</w:t>
      </w:r>
      <w:r>
        <w:rPr>
          <w:rFonts w:hint="eastAsia"/>
          <w:color w:val="auto"/>
        </w:rPr>
        <w:t>潟湖</w:t>
      </w:r>
      <w:r>
        <w:rPr>
          <w:color w:val="auto"/>
        </w:rPr>
        <w:t>、古河道等微地貌类型。善后河南侧的善后新闸</w:t>
      </w:r>
      <w:r>
        <w:rPr>
          <w:rFonts w:hint="eastAsia"/>
          <w:color w:val="auto"/>
        </w:rPr>
        <w:t>－</w:t>
      </w:r>
      <w:r>
        <w:rPr>
          <w:color w:val="auto"/>
        </w:rPr>
        <w:t>海堤五组一线以南为冲海积平原，TM742假彩色合成影像上呈现出黄、绿相间的结构特点，充分反映其海陆交互成因的特点。</w:t>
      </w:r>
    </w:p>
    <w:p w14:paraId="693E95F0">
      <w:pPr>
        <w:ind w:firstLine="480"/>
        <w:rPr>
          <w:color w:val="auto"/>
        </w:rPr>
      </w:pPr>
      <w:r>
        <w:rPr>
          <w:rFonts w:hint="eastAsia"/>
          <w:color w:val="auto"/>
        </w:rPr>
        <w:t>（2）</w:t>
      </w:r>
      <w:r>
        <w:rPr>
          <w:color w:val="auto"/>
        </w:rPr>
        <w:t>海积平原区</w:t>
      </w:r>
      <w:r>
        <w:rPr>
          <w:rFonts w:hint="eastAsia"/>
          <w:color w:val="auto"/>
        </w:rPr>
        <w:t>（II）</w:t>
      </w:r>
    </w:p>
    <w:p w14:paraId="210B05F6">
      <w:pPr>
        <w:ind w:firstLine="480"/>
        <w:rPr>
          <w:color w:val="auto"/>
        </w:rPr>
      </w:pPr>
      <w:r>
        <w:rPr>
          <w:color w:val="auto"/>
        </w:rPr>
        <w:t>分布在善后新闸</w:t>
      </w:r>
      <w:r>
        <w:rPr>
          <w:rFonts w:hint="eastAsia"/>
          <w:color w:val="auto"/>
        </w:rPr>
        <w:t>－</w:t>
      </w:r>
      <w:r>
        <w:rPr>
          <w:color w:val="auto"/>
        </w:rPr>
        <w:t>海堤五组一线以北，地面平坦，地面标高一般标高为2.5</w:t>
      </w:r>
      <w:r>
        <w:rPr>
          <w:rFonts w:hint="eastAsia"/>
          <w:color w:val="auto"/>
        </w:rPr>
        <w:t>～</w:t>
      </w:r>
      <w:r>
        <w:rPr>
          <w:color w:val="auto"/>
        </w:rPr>
        <w:t>3.0m之间，局部人工填土后略高，一般地形坡降&lt;1%。由于近现代的围垦所在，地貌上发育有明显的网格状痕迹，残留有部分盐碱地，呈泛白黄的影像的特征。根据形成时代的不同又可细分的近代海积平原</w:t>
      </w:r>
      <w:r>
        <w:rPr>
          <w:rFonts w:hint="eastAsia"/>
          <w:color w:val="auto"/>
        </w:rPr>
        <w:t>（II1）</w:t>
      </w:r>
      <w:r>
        <w:rPr>
          <w:color w:val="auto"/>
        </w:rPr>
        <w:t>和现代海积平原</w:t>
      </w:r>
      <w:r>
        <w:rPr>
          <w:rFonts w:hint="eastAsia"/>
          <w:color w:val="auto"/>
        </w:rPr>
        <w:t>（II2）</w:t>
      </w:r>
      <w:r>
        <w:rPr>
          <w:color w:val="auto"/>
        </w:rPr>
        <w:t>。其中烧香河以西</w:t>
      </w:r>
      <w:r>
        <w:rPr>
          <w:rFonts w:hint="eastAsia"/>
          <w:color w:val="auto"/>
        </w:rPr>
        <w:t>－</w:t>
      </w:r>
      <w:r>
        <w:rPr>
          <w:color w:val="auto"/>
        </w:rPr>
        <w:t>善后河为近代海积平原</w:t>
      </w:r>
      <w:r>
        <w:rPr>
          <w:rFonts w:hint="eastAsia"/>
          <w:color w:val="auto"/>
        </w:rPr>
        <w:t>（II1）</w:t>
      </w:r>
      <w:r>
        <w:rPr>
          <w:color w:val="auto"/>
        </w:rPr>
        <w:t>，TM742假彩色合成影像上具有明显的网格状田地结构，一般高程小于冲海积平原</w:t>
      </w:r>
      <w:r>
        <w:rPr>
          <w:rFonts w:hint="eastAsia"/>
          <w:color w:val="auto"/>
        </w:rPr>
        <w:t>；</w:t>
      </w:r>
      <w:r>
        <w:rPr>
          <w:color w:val="auto"/>
        </w:rPr>
        <w:t>烧香河</w:t>
      </w:r>
      <w:r>
        <w:rPr>
          <w:rFonts w:hint="eastAsia"/>
          <w:color w:val="auto"/>
        </w:rPr>
        <w:t>－</w:t>
      </w:r>
      <w:r>
        <w:rPr>
          <w:color w:val="auto"/>
        </w:rPr>
        <w:t>东陬山西</w:t>
      </w:r>
      <w:r>
        <w:rPr>
          <w:rFonts w:hint="eastAsia"/>
          <w:color w:val="auto"/>
        </w:rPr>
        <w:t>－</w:t>
      </w:r>
      <w:r>
        <w:rPr>
          <w:color w:val="auto"/>
        </w:rPr>
        <w:t>海堤五组一线以东为现代海积平原</w:t>
      </w:r>
      <w:r>
        <w:rPr>
          <w:rFonts w:hint="eastAsia"/>
          <w:color w:val="auto"/>
        </w:rPr>
        <w:t>（II2）</w:t>
      </w:r>
      <w:r>
        <w:rPr>
          <w:color w:val="auto"/>
        </w:rPr>
        <w:t>，主要由盐田及鱼塘组成，影像上呈现与水色相近的蓝色，但具有明显的网格状结构，主要靠近海岸线分布。</w:t>
      </w:r>
    </w:p>
    <w:p w14:paraId="3EF065D1">
      <w:pPr>
        <w:ind w:firstLine="480"/>
        <w:rPr>
          <w:color w:val="auto"/>
        </w:rPr>
      </w:pPr>
      <w:r>
        <w:rPr>
          <w:color w:val="auto"/>
        </w:rPr>
        <w:t>规划区地貌主要是近代海积平原地貌，表层为近代海积相粘性土覆盖，向下为厚度较大稳定分布的淤泥层。规划区及东部多为盐田、养殖场，河渠密集，喜盐植被发育。</w:t>
      </w:r>
    </w:p>
    <w:p w14:paraId="277EC64A">
      <w:pPr>
        <w:ind w:firstLine="480"/>
        <w:rPr>
          <w:color w:val="auto"/>
        </w:rPr>
      </w:pPr>
      <w:r>
        <w:rPr>
          <w:rFonts w:hint="eastAsia"/>
          <w:color w:val="auto"/>
        </w:rPr>
        <w:t>（3）</w:t>
      </w:r>
      <w:r>
        <w:rPr>
          <w:color w:val="auto"/>
        </w:rPr>
        <w:t>剥蚀残丘区</w:t>
      </w:r>
      <w:r>
        <w:rPr>
          <w:rFonts w:hint="eastAsia"/>
          <w:color w:val="auto"/>
        </w:rPr>
        <w:t>（III）</w:t>
      </w:r>
    </w:p>
    <w:p w14:paraId="4589C3AC">
      <w:pPr>
        <w:ind w:firstLine="480"/>
        <w:rPr>
          <w:color w:val="auto"/>
        </w:rPr>
      </w:pPr>
      <w:r>
        <w:rPr>
          <w:color w:val="auto"/>
        </w:rPr>
        <w:t>分布于规划区地侧，善后河北侧，东陬山、西陬山一带。呈岛状分布，北西一南东向延伸，其中东陬山长约1.5km，宽约300</w:t>
      </w:r>
      <w:r>
        <w:rPr>
          <w:rFonts w:hint="eastAsia"/>
          <w:color w:val="auto"/>
        </w:rPr>
        <w:t>～</w:t>
      </w:r>
      <w:r>
        <w:rPr>
          <w:color w:val="auto"/>
        </w:rPr>
        <w:t>600m，最高海拔高程89.1m，底脚高程约4m左右，最大高差约85m。丘顶浑圆状，标高沿长轴略有起伏，南北丘坡不对称，北坡为逆向坡，坡角13°~20°，局部人工采石后形成悬崖、峭壁</w:t>
      </w:r>
      <w:r>
        <w:rPr>
          <w:rFonts w:hint="eastAsia"/>
          <w:color w:val="auto"/>
        </w:rPr>
        <w:t>；</w:t>
      </w:r>
      <w:r>
        <w:rPr>
          <w:color w:val="auto"/>
        </w:rPr>
        <w:t>南坡为顺向坡或切向坡，坡角15°左右。在裂隙切割相对密集处，风化剥蚀较重，丘脊、“</w:t>
      </w:r>
      <w:r>
        <w:rPr>
          <w:rFonts w:hint="eastAsia"/>
          <w:color w:val="auto"/>
        </w:rPr>
        <w:t>U</w:t>
      </w:r>
      <w:r>
        <w:rPr>
          <w:color w:val="auto"/>
        </w:rPr>
        <w:t>”形谷沿坡面相间分布，尤其“U”形谷出口处分布有坡积物，厚度小</w:t>
      </w:r>
      <w:r>
        <w:rPr>
          <w:rFonts w:hint="eastAsia"/>
          <w:color w:val="auto"/>
        </w:rPr>
        <w:t>（</w:t>
      </w:r>
      <w:r>
        <w:rPr>
          <w:color w:val="auto"/>
        </w:rPr>
        <w:t>3m±</w:t>
      </w:r>
      <w:r>
        <w:rPr>
          <w:rFonts w:hint="eastAsia"/>
          <w:color w:val="auto"/>
        </w:rPr>
        <w:t>）</w:t>
      </w:r>
      <w:r>
        <w:rPr>
          <w:color w:val="auto"/>
        </w:rPr>
        <w:t>，分布零星。残丘由中、晚元古界云台岩群变质岩组成，岩性以片麻岩、云母石英片岩或绿帘石英片岩为主。</w:t>
      </w:r>
    </w:p>
    <w:p w14:paraId="51247F91">
      <w:pPr>
        <w:ind w:firstLine="480"/>
        <w:rPr>
          <w:color w:val="auto"/>
        </w:rPr>
      </w:pPr>
      <w:r>
        <w:rPr>
          <w:color w:val="auto"/>
        </w:rPr>
        <w:t>本项目所在区域属中低山、丘陵</w:t>
      </w:r>
      <w:r>
        <w:rPr>
          <w:rFonts w:hint="eastAsia"/>
          <w:color w:val="auto"/>
        </w:rPr>
        <w:t>－</w:t>
      </w:r>
      <w:r>
        <w:rPr>
          <w:color w:val="auto"/>
        </w:rPr>
        <w:t>滨海平原地形，为近代海积平原，地势北西与南东部低、中间高。最高峰为前云台山的玉女峰，海拔625.3m，其他山丘一般低于360m，云台山山坡较陡，前、中、后云台山与锦屏山分别呈独立山体，山前平原在区域上为滨海平原的一部分。</w:t>
      </w:r>
    </w:p>
    <w:p w14:paraId="003EAE9A">
      <w:pPr>
        <w:keepNext/>
        <w:keepLines/>
        <w:spacing w:before="120" w:beforeLines="50"/>
        <w:ind w:firstLine="0" w:firstLineChars="0"/>
        <w:outlineLvl w:val="3"/>
        <w:rPr>
          <w:b/>
          <w:bCs/>
          <w:color w:val="auto"/>
        </w:rPr>
      </w:pPr>
      <w:r>
        <w:rPr>
          <w:rFonts w:hint="eastAsia"/>
          <w:b/>
          <w:bCs/>
          <w:color w:val="auto"/>
        </w:rPr>
        <w:t>5</w:t>
      </w:r>
      <w:r>
        <w:rPr>
          <w:b/>
          <w:bCs/>
          <w:color w:val="auto"/>
        </w:rPr>
        <w:t>.1.</w:t>
      </w:r>
      <w:r>
        <w:rPr>
          <w:rFonts w:hint="eastAsia"/>
          <w:b/>
          <w:bCs/>
          <w:color w:val="auto"/>
        </w:rPr>
        <w:t>5.2</w:t>
      </w:r>
      <w:r>
        <w:rPr>
          <w:b/>
          <w:bCs/>
          <w:color w:val="auto"/>
        </w:rPr>
        <w:t xml:space="preserve"> </w:t>
      </w:r>
      <w:r>
        <w:rPr>
          <w:rFonts w:hint="eastAsia"/>
          <w:b/>
          <w:bCs/>
          <w:color w:val="auto"/>
        </w:rPr>
        <w:t>区域地质条件</w:t>
      </w:r>
    </w:p>
    <w:p w14:paraId="7FBD0403">
      <w:pPr>
        <w:ind w:firstLine="480"/>
        <w:rPr>
          <w:color w:val="auto"/>
        </w:rPr>
      </w:pPr>
      <w:r>
        <w:rPr>
          <w:color w:val="auto"/>
        </w:rPr>
        <w:t>本项目所在区域基岩在云台山、锦屏山大片出露。发育地层中有中元古界锦屏组、云台组的区域中深变质岩系及下第三系碎肩岩，其特征如下</w:t>
      </w:r>
      <w:r>
        <w:rPr>
          <w:rFonts w:hint="eastAsia"/>
          <w:color w:val="auto"/>
        </w:rPr>
        <w:t>：</w:t>
      </w:r>
    </w:p>
    <w:p w14:paraId="114FDE88">
      <w:pPr>
        <w:ind w:firstLine="480"/>
        <w:rPr>
          <w:color w:val="auto"/>
        </w:rPr>
      </w:pPr>
      <w:r>
        <w:rPr>
          <w:rFonts w:hint="eastAsia"/>
          <w:color w:val="auto"/>
        </w:rPr>
        <w:t>（1）</w:t>
      </w:r>
      <w:r>
        <w:rPr>
          <w:color w:val="auto"/>
        </w:rPr>
        <w:t>前第四纪地层</w:t>
      </w:r>
    </w:p>
    <w:p w14:paraId="4018B770">
      <w:pPr>
        <w:ind w:firstLine="480"/>
        <w:rPr>
          <w:color w:val="auto"/>
        </w:rPr>
      </w:pPr>
      <w:r>
        <w:rPr>
          <w:color w:val="auto"/>
        </w:rPr>
        <w:t>①武陵期混合花岗岩</w:t>
      </w:r>
      <w:r>
        <w:rPr>
          <w:rFonts w:hint="eastAsia"/>
          <w:color w:val="auto"/>
        </w:rPr>
        <w:t>（</w:t>
      </w:r>
      <w:r>
        <w:rPr>
          <w:color w:val="auto"/>
        </w:rPr>
        <w:t>γm</w:t>
      </w:r>
      <w:r>
        <w:rPr>
          <w:color w:val="auto"/>
          <w:vertAlign w:val="superscript"/>
        </w:rPr>
        <w:t>2</w:t>
      </w:r>
      <w:r>
        <w:rPr>
          <w:rFonts w:hint="eastAsia"/>
          <w:color w:val="auto"/>
        </w:rPr>
        <w:t>）</w:t>
      </w:r>
    </w:p>
    <w:p w14:paraId="0F4207BA">
      <w:pPr>
        <w:ind w:firstLine="480"/>
        <w:rPr>
          <w:color w:val="auto"/>
        </w:rPr>
      </w:pPr>
      <w:r>
        <w:rPr>
          <w:color w:val="auto"/>
        </w:rPr>
        <w:t>灰、灰白色混合花岗岩、白云斜长片麻岩、肉色钾长均质混合岩为主，有黑云母角闪片麻岩、云母片岩等</w:t>
      </w:r>
    </w:p>
    <w:p w14:paraId="732F1B59">
      <w:pPr>
        <w:ind w:firstLine="480"/>
        <w:rPr>
          <w:color w:val="auto"/>
        </w:rPr>
      </w:pPr>
      <w:r>
        <w:rPr>
          <w:color w:val="auto"/>
        </w:rPr>
        <w:t>②中元古界锦屏组</w:t>
      </w:r>
      <w:r>
        <w:rPr>
          <w:rFonts w:hint="eastAsia"/>
          <w:color w:val="auto"/>
        </w:rPr>
        <w:t>（</w:t>
      </w:r>
      <w:r>
        <w:rPr>
          <w:color w:val="auto"/>
        </w:rPr>
        <w:t>Pt2</w:t>
      </w:r>
      <w:r>
        <w:rPr>
          <w:rFonts w:hint="eastAsia"/>
          <w:color w:val="auto"/>
        </w:rPr>
        <w:t>j）</w:t>
      </w:r>
    </w:p>
    <w:p w14:paraId="713908AF">
      <w:pPr>
        <w:ind w:firstLine="480"/>
        <w:rPr>
          <w:color w:val="auto"/>
        </w:rPr>
      </w:pPr>
      <w:r>
        <w:rPr>
          <w:color w:val="auto"/>
        </w:rPr>
        <w:t>灰白色、灰绿色、肉色云母石英片岩、白云质大理岩夹磷块岩、含磷大理岩、白云斜长片麻岩，其底为含砾白云石英片岩。与下伏地层不整合接触。</w:t>
      </w:r>
    </w:p>
    <w:p w14:paraId="340F1C62">
      <w:pPr>
        <w:ind w:firstLine="480"/>
        <w:rPr>
          <w:color w:val="auto"/>
        </w:rPr>
      </w:pPr>
      <w:r>
        <w:rPr>
          <w:color w:val="auto"/>
        </w:rPr>
        <w:t>该组地层自锦屏山向临洪河口方向敞开呈U形分布，为第四系松散地层覆盖</w:t>
      </w:r>
      <w:r>
        <w:rPr>
          <w:rFonts w:hint="eastAsia"/>
          <w:color w:val="auto"/>
        </w:rPr>
        <w:t>。</w:t>
      </w:r>
    </w:p>
    <w:p w14:paraId="42C0AA5A">
      <w:pPr>
        <w:ind w:firstLine="480"/>
        <w:rPr>
          <w:color w:val="auto"/>
        </w:rPr>
      </w:pPr>
      <w:r>
        <w:rPr>
          <w:color w:val="auto"/>
        </w:rPr>
        <w:t>③中元古界云台组</w:t>
      </w:r>
      <w:r>
        <w:rPr>
          <w:rFonts w:hint="eastAsia"/>
          <w:color w:val="auto"/>
        </w:rPr>
        <w:t>（</w:t>
      </w:r>
      <w:r>
        <w:rPr>
          <w:color w:val="auto"/>
        </w:rPr>
        <w:t>P2y</w:t>
      </w:r>
      <w:r>
        <w:rPr>
          <w:rFonts w:hint="eastAsia"/>
          <w:color w:val="auto"/>
        </w:rPr>
        <w:t>）</w:t>
      </w:r>
    </w:p>
    <w:p w14:paraId="745414DC">
      <w:pPr>
        <w:ind w:firstLine="480"/>
        <w:rPr>
          <w:color w:val="auto"/>
        </w:rPr>
      </w:pPr>
      <w:r>
        <w:rPr>
          <w:color w:val="auto"/>
        </w:rPr>
        <w:t>灰白色、灰绿色斜长片麻岩为主，夹黑云片岩、浅粒岩，普遍经混合岩化为混合岩化斜长片麻岩、混合岩。</w:t>
      </w:r>
    </w:p>
    <w:p w14:paraId="58B137C7">
      <w:pPr>
        <w:ind w:firstLine="480"/>
        <w:rPr>
          <w:color w:val="auto"/>
        </w:rPr>
      </w:pPr>
      <w:r>
        <w:rPr>
          <w:color w:val="auto"/>
        </w:rPr>
        <w:t>④下第三系</w:t>
      </w:r>
      <w:r>
        <w:rPr>
          <w:rFonts w:hint="eastAsia"/>
          <w:color w:val="auto"/>
        </w:rPr>
        <w:t>（</w:t>
      </w:r>
      <w:r>
        <w:rPr>
          <w:color w:val="auto"/>
        </w:rPr>
        <w:t>E</w:t>
      </w:r>
      <w:r>
        <w:rPr>
          <w:rFonts w:hint="eastAsia"/>
          <w:color w:val="auto"/>
        </w:rPr>
        <w:t>）</w:t>
      </w:r>
    </w:p>
    <w:p w14:paraId="21B5B0E0">
      <w:pPr>
        <w:ind w:firstLine="480"/>
        <w:rPr>
          <w:color w:val="auto"/>
        </w:rPr>
      </w:pPr>
      <w:r>
        <w:rPr>
          <w:color w:val="auto"/>
        </w:rPr>
        <w:t>紫红色砂岩、泥质砂岩，仅小规模分布于本区南部的沙行一带。</w:t>
      </w:r>
    </w:p>
    <w:p w14:paraId="524F4436">
      <w:pPr>
        <w:ind w:firstLine="480"/>
        <w:rPr>
          <w:color w:val="auto"/>
        </w:rPr>
      </w:pPr>
      <w:r>
        <w:rPr>
          <w:rFonts w:hint="eastAsia"/>
          <w:color w:val="auto"/>
        </w:rPr>
        <w:t>（2）</w:t>
      </w:r>
      <w:r>
        <w:rPr>
          <w:color w:val="auto"/>
        </w:rPr>
        <w:t>第四纪地层</w:t>
      </w:r>
    </w:p>
    <w:p w14:paraId="45F8A65B">
      <w:pPr>
        <w:ind w:firstLine="480"/>
        <w:rPr>
          <w:color w:val="auto"/>
        </w:rPr>
      </w:pPr>
      <w:r>
        <w:rPr>
          <w:color w:val="auto"/>
        </w:rPr>
        <w:t>①上新世</w:t>
      </w:r>
      <w:r>
        <w:rPr>
          <w:rFonts w:hint="eastAsia"/>
          <w:color w:val="auto"/>
        </w:rPr>
        <w:t>（N2）</w:t>
      </w:r>
    </w:p>
    <w:p w14:paraId="6F12C99F">
      <w:pPr>
        <w:ind w:firstLine="480"/>
        <w:rPr>
          <w:color w:val="auto"/>
        </w:rPr>
      </w:pPr>
      <w:r>
        <w:rPr>
          <w:color w:val="auto"/>
        </w:rPr>
        <w:t>以灰白、灰绿色粉土、含砾砂等为主，</w:t>
      </w:r>
      <w:r>
        <w:rPr>
          <w:rFonts w:hint="eastAsia"/>
          <w:color w:val="auto"/>
        </w:rPr>
        <w:t>质密</w:t>
      </w:r>
      <w:r>
        <w:rPr>
          <w:color w:val="auto"/>
        </w:rPr>
        <w:t>坚硬，在东南部的徐及镜屏山南的沙行等地的钻孔中揭露。</w:t>
      </w:r>
    </w:p>
    <w:p w14:paraId="3ECDCD6D">
      <w:pPr>
        <w:ind w:firstLine="480"/>
        <w:rPr>
          <w:color w:val="auto"/>
        </w:rPr>
      </w:pPr>
      <w:r>
        <w:rPr>
          <w:color w:val="auto"/>
        </w:rPr>
        <w:t>②早更新世</w:t>
      </w:r>
      <w:r>
        <w:rPr>
          <w:rFonts w:hint="eastAsia"/>
          <w:color w:val="auto"/>
        </w:rPr>
        <w:t>（Q1）</w:t>
      </w:r>
    </w:p>
    <w:p w14:paraId="784EA164">
      <w:pPr>
        <w:ind w:firstLine="480"/>
        <w:rPr>
          <w:color w:val="auto"/>
        </w:rPr>
      </w:pPr>
      <w:r>
        <w:rPr>
          <w:color w:val="auto"/>
        </w:rPr>
        <w:t>以灰黄、灰白、夹棕红、灰绿色粘性土及砂夹少量砂石为主，成分较为混杂，为冲洪积相产物</w:t>
      </w:r>
      <w:r>
        <w:rPr>
          <w:rFonts w:hint="eastAsia"/>
          <w:color w:val="auto"/>
        </w:rPr>
        <w:t>。</w:t>
      </w:r>
    </w:p>
    <w:p w14:paraId="7B926E83">
      <w:pPr>
        <w:ind w:firstLine="480"/>
        <w:rPr>
          <w:color w:val="auto"/>
        </w:rPr>
      </w:pPr>
      <w:r>
        <w:rPr>
          <w:color w:val="auto"/>
        </w:rPr>
        <w:t>③中更新世</w:t>
      </w:r>
      <w:r>
        <w:rPr>
          <w:rFonts w:hint="eastAsia"/>
          <w:color w:val="auto"/>
        </w:rPr>
        <w:t>（Q2）</w:t>
      </w:r>
    </w:p>
    <w:p w14:paraId="3BA69B17">
      <w:pPr>
        <w:ind w:firstLine="480"/>
        <w:rPr>
          <w:color w:val="auto"/>
        </w:rPr>
      </w:pPr>
      <w:r>
        <w:rPr>
          <w:color w:val="auto"/>
        </w:rPr>
        <w:t>棕红、黄褐色粉质粘土、粉细砂为主，夹少量青灰色及灰绿色粉土，铁锰结核较多，含砾，为冲洪积相及湖海相产物。</w:t>
      </w:r>
    </w:p>
    <w:p w14:paraId="019892CF">
      <w:pPr>
        <w:ind w:firstLine="480"/>
        <w:rPr>
          <w:color w:val="auto"/>
        </w:rPr>
      </w:pPr>
      <w:r>
        <w:rPr>
          <w:color w:val="auto"/>
        </w:rPr>
        <w:t>④晚更新世</w:t>
      </w:r>
      <w:r>
        <w:rPr>
          <w:rFonts w:hint="eastAsia"/>
          <w:color w:val="auto"/>
        </w:rPr>
        <w:t>（</w:t>
      </w:r>
      <w:r>
        <w:rPr>
          <w:color w:val="auto"/>
        </w:rPr>
        <w:t>Q3</w:t>
      </w:r>
      <w:r>
        <w:rPr>
          <w:rFonts w:hint="eastAsia"/>
          <w:color w:val="auto"/>
        </w:rPr>
        <w:t>）</w:t>
      </w:r>
    </w:p>
    <w:p w14:paraId="5544AD52">
      <w:pPr>
        <w:ind w:firstLine="480"/>
        <w:rPr>
          <w:color w:val="auto"/>
        </w:rPr>
      </w:pPr>
      <w:r>
        <w:rPr>
          <w:color w:val="auto"/>
        </w:rPr>
        <w:t>根据岩性可分为上、中、下三层</w:t>
      </w:r>
    </w:p>
    <w:p w14:paraId="46B9FD61">
      <w:pPr>
        <w:ind w:firstLine="480"/>
        <w:rPr>
          <w:color w:val="auto"/>
        </w:rPr>
      </w:pPr>
      <w:r>
        <w:rPr>
          <w:color w:val="auto"/>
        </w:rPr>
        <w:t>下层</w:t>
      </w:r>
      <w:r>
        <w:rPr>
          <w:rFonts w:hint="eastAsia"/>
          <w:color w:val="auto"/>
        </w:rPr>
        <w:t>：</w:t>
      </w:r>
      <w:r>
        <w:rPr>
          <w:color w:val="auto"/>
        </w:rPr>
        <w:t>棕色、灰绿色粉质粘土、中细砂、含中砂。</w:t>
      </w:r>
    </w:p>
    <w:p w14:paraId="683A4854">
      <w:pPr>
        <w:ind w:firstLine="480"/>
        <w:rPr>
          <w:color w:val="auto"/>
        </w:rPr>
      </w:pPr>
      <w:r>
        <w:rPr>
          <w:color w:val="auto"/>
        </w:rPr>
        <w:t>中层</w:t>
      </w:r>
      <w:r>
        <w:rPr>
          <w:rFonts w:hint="eastAsia"/>
          <w:color w:val="auto"/>
        </w:rPr>
        <w:t>：</w:t>
      </w:r>
      <w:r>
        <w:rPr>
          <w:color w:val="auto"/>
        </w:rPr>
        <w:t>灰黄色粘性土、粉砂、淤泥质土。</w:t>
      </w:r>
    </w:p>
    <w:p w14:paraId="1EF5B368">
      <w:pPr>
        <w:ind w:firstLine="480"/>
        <w:rPr>
          <w:color w:val="auto"/>
        </w:rPr>
      </w:pPr>
      <w:r>
        <w:rPr>
          <w:color w:val="auto"/>
        </w:rPr>
        <w:t>上层</w:t>
      </w:r>
      <w:r>
        <w:rPr>
          <w:rFonts w:hint="eastAsia"/>
          <w:color w:val="auto"/>
        </w:rPr>
        <w:t>：</w:t>
      </w:r>
      <w:r>
        <w:rPr>
          <w:color w:val="auto"/>
        </w:rPr>
        <w:t>黄色、棕黄色粘土、粉质粘土，局夹薄层粉砂。</w:t>
      </w:r>
    </w:p>
    <w:p w14:paraId="52F05E0B">
      <w:pPr>
        <w:ind w:firstLine="480"/>
        <w:rPr>
          <w:color w:val="auto"/>
        </w:rPr>
      </w:pPr>
      <w:r>
        <w:rPr>
          <w:color w:val="auto"/>
        </w:rPr>
        <w:t>⑤全新世</w:t>
      </w:r>
      <w:r>
        <w:rPr>
          <w:rFonts w:hint="eastAsia"/>
          <w:color w:val="auto"/>
        </w:rPr>
        <w:t>（Q4）</w:t>
      </w:r>
    </w:p>
    <w:p w14:paraId="6A54ADDA">
      <w:pPr>
        <w:ind w:firstLine="480"/>
        <w:rPr>
          <w:color w:val="auto"/>
        </w:rPr>
      </w:pPr>
      <w:r>
        <w:rPr>
          <w:color w:val="auto"/>
        </w:rPr>
        <w:t>可分为上、中、下三层</w:t>
      </w:r>
    </w:p>
    <w:p w14:paraId="4D9E6693">
      <w:pPr>
        <w:ind w:firstLine="480"/>
        <w:rPr>
          <w:color w:val="auto"/>
        </w:rPr>
      </w:pPr>
      <w:r>
        <w:rPr>
          <w:color w:val="auto"/>
        </w:rPr>
        <w:t>下层</w:t>
      </w:r>
      <w:r>
        <w:rPr>
          <w:rFonts w:hint="eastAsia"/>
          <w:color w:val="auto"/>
        </w:rPr>
        <w:t>：</w:t>
      </w:r>
      <w:r>
        <w:rPr>
          <w:color w:val="auto"/>
        </w:rPr>
        <w:t>灰色、灰黄色粉细砂、粉质粘土。</w:t>
      </w:r>
    </w:p>
    <w:p w14:paraId="50D20233">
      <w:pPr>
        <w:ind w:firstLine="480"/>
        <w:rPr>
          <w:color w:val="auto"/>
        </w:rPr>
      </w:pPr>
      <w:r>
        <w:rPr>
          <w:color w:val="auto"/>
        </w:rPr>
        <w:t>中层</w:t>
      </w:r>
      <w:r>
        <w:rPr>
          <w:rFonts w:hint="eastAsia"/>
          <w:color w:val="auto"/>
        </w:rPr>
        <w:t>：</w:t>
      </w:r>
      <w:r>
        <w:rPr>
          <w:color w:val="auto"/>
        </w:rPr>
        <w:t>灰色、灰黑色淤泥</w:t>
      </w:r>
    </w:p>
    <w:p w14:paraId="23AB2E7A">
      <w:pPr>
        <w:ind w:firstLine="480"/>
        <w:rPr>
          <w:color w:val="auto"/>
        </w:rPr>
      </w:pPr>
      <w:r>
        <w:rPr>
          <w:rFonts w:hint="eastAsia"/>
          <w:color w:val="auto"/>
        </w:rPr>
        <w:t>上层：灰褐色粉质黏土、粉土。</w:t>
      </w:r>
    </w:p>
    <w:p w14:paraId="7922D0E3">
      <w:pPr>
        <w:keepNext/>
        <w:keepLines/>
        <w:spacing w:before="120" w:beforeLines="50"/>
        <w:ind w:firstLine="0" w:firstLineChars="0"/>
        <w:outlineLvl w:val="3"/>
        <w:rPr>
          <w:b/>
          <w:bCs/>
          <w:color w:val="auto"/>
        </w:rPr>
      </w:pPr>
      <w:r>
        <w:rPr>
          <w:rFonts w:hint="eastAsia"/>
          <w:b/>
          <w:bCs/>
          <w:color w:val="auto"/>
        </w:rPr>
        <w:t>5</w:t>
      </w:r>
      <w:r>
        <w:rPr>
          <w:b/>
          <w:bCs/>
          <w:color w:val="auto"/>
        </w:rPr>
        <w:t>.1.</w:t>
      </w:r>
      <w:r>
        <w:rPr>
          <w:rFonts w:hint="eastAsia"/>
          <w:b/>
          <w:bCs/>
          <w:color w:val="auto"/>
        </w:rPr>
        <w:t>5.3</w:t>
      </w:r>
      <w:r>
        <w:rPr>
          <w:b/>
          <w:bCs/>
          <w:color w:val="auto"/>
        </w:rPr>
        <w:t xml:space="preserve"> </w:t>
      </w:r>
      <w:r>
        <w:rPr>
          <w:rFonts w:hint="eastAsia"/>
          <w:b/>
          <w:bCs/>
          <w:color w:val="auto"/>
        </w:rPr>
        <w:t>区域地质构造</w:t>
      </w:r>
    </w:p>
    <w:p w14:paraId="47B49B1C">
      <w:pPr>
        <w:ind w:firstLine="480"/>
        <w:rPr>
          <w:color w:val="auto"/>
        </w:rPr>
      </w:pPr>
      <w:r>
        <w:rPr>
          <w:color w:val="auto"/>
        </w:rPr>
        <w:t>连云港市大地构造上处于秦岭造山带被郯庐断裂切割的东延部分</w:t>
      </w:r>
      <w:r>
        <w:rPr>
          <w:rFonts w:hint="eastAsia"/>
          <w:color w:val="auto"/>
        </w:rPr>
        <w:t>－</w:t>
      </w:r>
      <w:r>
        <w:rPr>
          <w:color w:val="auto"/>
        </w:rPr>
        <w:t>苏鲁造山带南部，同时又处在苏鲁超高压变质带上，是秦岭造山带折返抬升较高部位，具有较典型的造山带根部特征，构造发育复杂。</w:t>
      </w:r>
    </w:p>
    <w:p w14:paraId="76AF6ABE">
      <w:pPr>
        <w:ind w:firstLine="480"/>
        <w:rPr>
          <w:color w:val="auto"/>
        </w:rPr>
      </w:pPr>
      <w:r>
        <w:rPr>
          <w:color w:val="auto"/>
        </w:rPr>
        <w:t>根据区域地质调查成果，连云港市构造总体上分为塑性流变和脆性断裂两种类型构造系统。这两个构造系统分别发生在不同的时间，大致以侏罗纪和白垩纪为界，侏罗纪以前为塑性流变构造系统演化阶段，白垩纪以来为脆性断裂构造系统演化阶段。在空间上脆性断裂构造系统叠加在塑性流变构造系统之上。</w:t>
      </w:r>
    </w:p>
    <w:p w14:paraId="429EF89A">
      <w:pPr>
        <w:ind w:firstLine="480"/>
        <w:rPr>
          <w:color w:val="auto"/>
        </w:rPr>
      </w:pPr>
      <w:r>
        <w:rPr>
          <w:color w:val="auto"/>
        </w:rPr>
        <w:t>塑性流变构造系统是区内变质岩中的主要构造形迹，其中又以韧性剪切带为重要，它构成了区内塑性流变构造系统格架。多期次的韧性剪切作用使得区内变质岩被切割成不同规模岩片并堆叠在一起，在平面上形成网结状或透镜状的复杂格局塑性流变构造主要表现形式有面理</w:t>
      </w:r>
      <w:r>
        <w:rPr>
          <w:rFonts w:hint="eastAsia"/>
          <w:color w:val="auto"/>
        </w:rPr>
        <w:t>（</w:t>
      </w:r>
      <w:r>
        <w:rPr>
          <w:color w:val="auto"/>
        </w:rPr>
        <w:t>片理、片麻理、棱面理</w:t>
      </w:r>
      <w:r>
        <w:rPr>
          <w:rFonts w:hint="eastAsia"/>
          <w:color w:val="auto"/>
        </w:rPr>
        <w:t>）</w:t>
      </w:r>
      <w:r>
        <w:rPr>
          <w:color w:val="auto"/>
        </w:rPr>
        <w:t>、线理</w:t>
      </w:r>
      <w:r>
        <w:rPr>
          <w:rFonts w:hint="eastAsia"/>
          <w:color w:val="auto"/>
        </w:rPr>
        <w:t>（</w:t>
      </w:r>
      <w:r>
        <w:rPr>
          <w:color w:val="auto"/>
        </w:rPr>
        <w:t>矿物</w:t>
      </w:r>
      <w:r>
        <w:rPr>
          <w:rFonts w:hint="eastAsia"/>
          <w:color w:val="auto"/>
        </w:rPr>
        <w:t>拉伸</w:t>
      </w:r>
      <w:r>
        <w:rPr>
          <w:color w:val="auto"/>
        </w:rPr>
        <w:t>线理、窗棂线理等</w:t>
      </w:r>
      <w:r>
        <w:rPr>
          <w:rFonts w:hint="eastAsia"/>
          <w:color w:val="auto"/>
        </w:rPr>
        <w:t>）</w:t>
      </w:r>
      <w:r>
        <w:rPr>
          <w:color w:val="auto"/>
        </w:rPr>
        <w:t>、褶皱、韧性剪切带和构造岩片等。</w:t>
      </w:r>
    </w:p>
    <w:p w14:paraId="67B41644">
      <w:pPr>
        <w:ind w:firstLine="480"/>
        <w:rPr>
          <w:color w:val="auto"/>
        </w:rPr>
      </w:pPr>
      <w:r>
        <w:rPr>
          <w:color w:val="auto"/>
        </w:rPr>
        <w:t>脆性断裂系统是白垩纪以来的主要构造形迹，可分为北北东向、北东向和北西向三组，以北北东、北东向两组为早且重要，是控岩控盆的主要构造。在区域上北北东、北东向两组断裂表现为分区分带特征，北西向断裂表现为分块特征。</w:t>
      </w:r>
    </w:p>
    <w:p w14:paraId="02C7253E">
      <w:pPr>
        <w:ind w:firstLine="480"/>
        <w:rPr>
          <w:color w:val="auto"/>
        </w:rPr>
      </w:pPr>
      <w:r>
        <w:rPr>
          <w:color w:val="auto"/>
        </w:rPr>
        <w:t>根据有关区域地质资料，连云港市发育有大小断层29条，具体位置及分布特征详见图</w:t>
      </w:r>
      <w:r>
        <w:rPr>
          <w:rFonts w:hint="eastAsia"/>
          <w:color w:val="auto"/>
        </w:rPr>
        <w:t>5.1-4</w:t>
      </w:r>
      <w:r>
        <w:rPr>
          <w:color w:val="auto"/>
        </w:rPr>
        <w:t>。</w:t>
      </w:r>
    </w:p>
    <w:p w14:paraId="2CEC7CA3">
      <w:pPr>
        <w:ind w:firstLine="0" w:firstLineChars="0"/>
        <w:jc w:val="center"/>
        <w:rPr>
          <w:color w:val="auto"/>
        </w:rPr>
      </w:pPr>
      <w:r>
        <w:rPr>
          <w:color w:val="auto"/>
        </w:rPr>
        <w:drawing>
          <wp:inline distT="0" distB="0" distL="114300" distR="114300">
            <wp:extent cx="4885690" cy="3424555"/>
            <wp:effectExtent l="0" t="0" r="10160" b="4445"/>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28"/>
                    <a:stretch>
                      <a:fillRect/>
                    </a:stretch>
                  </pic:blipFill>
                  <pic:spPr>
                    <a:xfrm>
                      <a:off x="0" y="0"/>
                      <a:ext cx="4885690" cy="3424555"/>
                    </a:xfrm>
                    <a:prstGeom prst="rect">
                      <a:avLst/>
                    </a:prstGeom>
                    <a:noFill/>
                    <a:ln>
                      <a:noFill/>
                    </a:ln>
                  </pic:spPr>
                </pic:pic>
              </a:graphicData>
            </a:graphic>
          </wp:inline>
        </w:drawing>
      </w:r>
    </w:p>
    <w:p w14:paraId="07764D24">
      <w:pPr>
        <w:ind w:firstLine="0" w:firstLineChars="0"/>
        <w:jc w:val="center"/>
        <w:rPr>
          <w:b/>
          <w:bCs/>
          <w:color w:val="auto"/>
        </w:rPr>
      </w:pPr>
      <w:r>
        <w:rPr>
          <w:rFonts w:hint="eastAsia"/>
          <w:b/>
          <w:bCs/>
          <w:color w:val="auto"/>
        </w:rPr>
        <w:t>图5.1-4  连云港市地质构造概况图</w:t>
      </w:r>
    </w:p>
    <w:p w14:paraId="607A12FA">
      <w:pPr>
        <w:ind w:firstLine="480"/>
        <w:rPr>
          <w:color w:val="auto"/>
        </w:rPr>
      </w:pPr>
      <w:r>
        <w:rPr>
          <w:rFonts w:hint="eastAsia"/>
          <w:color w:val="auto"/>
        </w:rPr>
        <w:t>本区位于郯庐断裂带东侧、扬子地台的东北端，构造表现为东西走向构造、北东向华夏式构造及北北东向新华夏系构造。</w:t>
      </w:r>
    </w:p>
    <w:p w14:paraId="4636E3CD">
      <w:pPr>
        <w:ind w:firstLine="480"/>
        <w:rPr>
          <w:color w:val="auto"/>
        </w:rPr>
      </w:pPr>
      <w:r>
        <w:rPr>
          <w:rFonts w:hint="eastAsia"/>
          <w:color w:val="auto"/>
        </w:rPr>
        <w:t>（1）</w:t>
      </w:r>
      <w:r>
        <w:rPr>
          <w:color w:val="auto"/>
        </w:rPr>
        <w:t>东西向构造</w:t>
      </w:r>
    </w:p>
    <w:p w14:paraId="42CE074A">
      <w:pPr>
        <w:ind w:firstLine="480"/>
        <w:rPr>
          <w:color w:val="auto"/>
        </w:rPr>
      </w:pPr>
      <w:r>
        <w:rPr>
          <w:color w:val="auto"/>
        </w:rPr>
        <w:t>本区北部可见北崮山断裂。连云港港附近片麻理呈东西走向，其中层间挤压滑动也颇为发育</w:t>
      </w:r>
      <w:r>
        <w:rPr>
          <w:rFonts w:hint="eastAsia"/>
          <w:color w:val="auto"/>
        </w:rPr>
        <w:t>；</w:t>
      </w:r>
      <w:r>
        <w:rPr>
          <w:color w:val="auto"/>
        </w:rPr>
        <w:t>根据布格重力资料反映连云港以东海域内，此东西向构造仍可能向东延伸，连云港港北东45km的车牛山岛上仍可见东西向糜棱岩带。墟沟</w:t>
      </w:r>
      <w:r>
        <w:rPr>
          <w:rFonts w:hint="eastAsia"/>
          <w:color w:val="auto"/>
        </w:rPr>
        <w:t>－</w:t>
      </w:r>
      <w:r>
        <w:rPr>
          <w:color w:val="auto"/>
        </w:rPr>
        <w:t>连云港港一带片麻理呈东西走向，南倾，倾角15°-35°，并伴有断裂挤压带。东西向构造经历了漫长而复杂的构造变动变质作用和岩浆活动。</w:t>
      </w:r>
    </w:p>
    <w:p w14:paraId="74FA7739">
      <w:pPr>
        <w:ind w:firstLine="480"/>
        <w:rPr>
          <w:color w:val="auto"/>
        </w:rPr>
      </w:pPr>
      <w:r>
        <w:rPr>
          <w:rFonts w:hint="eastAsia"/>
          <w:color w:val="auto"/>
        </w:rPr>
        <w:t>（2）</w:t>
      </w:r>
      <w:r>
        <w:rPr>
          <w:color w:val="auto"/>
        </w:rPr>
        <w:t>华夏式构造</w:t>
      </w:r>
    </w:p>
    <w:p w14:paraId="47BCC1A3">
      <w:pPr>
        <w:ind w:firstLine="480"/>
        <w:rPr>
          <w:color w:val="auto"/>
        </w:rPr>
      </w:pPr>
      <w:r>
        <w:rPr>
          <w:color w:val="auto"/>
        </w:rPr>
        <w:t>主要见有板桥</w:t>
      </w:r>
      <w:r>
        <w:rPr>
          <w:rFonts w:hint="eastAsia"/>
          <w:color w:val="auto"/>
        </w:rPr>
        <w:t>－</w:t>
      </w:r>
      <w:r>
        <w:rPr>
          <w:color w:val="auto"/>
        </w:rPr>
        <w:t>新坝附近的北东向断裂，为南倾的隐伏正断层，形成在侏罗纪以后。</w:t>
      </w:r>
    </w:p>
    <w:p w14:paraId="2F5D74D7">
      <w:pPr>
        <w:ind w:firstLine="480"/>
        <w:rPr>
          <w:color w:val="auto"/>
        </w:rPr>
      </w:pPr>
      <w:r>
        <w:rPr>
          <w:rFonts w:hint="eastAsia"/>
          <w:color w:val="auto"/>
        </w:rPr>
        <w:t>（3）</w:t>
      </w:r>
      <w:r>
        <w:rPr>
          <w:color w:val="auto"/>
        </w:rPr>
        <w:t>新华夏系构造</w:t>
      </w:r>
    </w:p>
    <w:p w14:paraId="2F5821CA">
      <w:pPr>
        <w:ind w:firstLine="480"/>
        <w:rPr>
          <w:color w:val="auto"/>
        </w:rPr>
      </w:pPr>
      <w:r>
        <w:rPr>
          <w:color w:val="auto"/>
        </w:rPr>
        <w:t>主要有锦屏倒转背斜，其次为猴嘴</w:t>
      </w:r>
      <w:r>
        <w:rPr>
          <w:rFonts w:hint="eastAsia"/>
          <w:color w:val="auto"/>
        </w:rPr>
        <w:t>－</w:t>
      </w:r>
      <w:r>
        <w:rPr>
          <w:color w:val="auto"/>
        </w:rPr>
        <w:t>南城断裂，锦屏西断裂等。</w:t>
      </w:r>
    </w:p>
    <w:p w14:paraId="6315195F">
      <w:pPr>
        <w:ind w:firstLine="480"/>
        <w:rPr>
          <w:color w:val="auto"/>
        </w:rPr>
      </w:pPr>
      <w:r>
        <w:rPr>
          <w:color w:val="auto"/>
        </w:rPr>
        <w:t>①锦屏倒转背斜</w:t>
      </w:r>
    </w:p>
    <w:p w14:paraId="3B7B4D4B">
      <w:pPr>
        <w:ind w:firstLine="480"/>
        <w:rPr>
          <w:color w:val="auto"/>
        </w:rPr>
      </w:pPr>
      <w:r>
        <w:rPr>
          <w:color w:val="auto"/>
        </w:rPr>
        <w:t>在锦屏山可见，其余地区均为第四系所覆盖。背斜核部为混合花岗岩、混合岩化片麻岩及锦屏含磷岩系地层组成，西翼含磷岩层倒转倾向南东，倾角35°-40°，东翼自东山，朐山至新浦、大浦一带，含磷岩层相对稳定，倾向南东，倾角 42--56°轴向由锦屏山向临洪河口延伸，长20km左右，在锦屏山南缘倾没，该倒转背斜夹于海泗断裂及猴嘴一南城断裂之间。</w:t>
      </w:r>
    </w:p>
    <w:p w14:paraId="045112C9">
      <w:pPr>
        <w:ind w:firstLine="480"/>
        <w:rPr>
          <w:color w:val="auto"/>
        </w:rPr>
      </w:pPr>
      <w:r>
        <w:rPr>
          <w:color w:val="auto"/>
        </w:rPr>
        <w:t>②猴嘴</w:t>
      </w:r>
      <w:r>
        <w:rPr>
          <w:rFonts w:hint="eastAsia"/>
          <w:color w:val="auto"/>
        </w:rPr>
        <w:t>－</w:t>
      </w:r>
      <w:r>
        <w:rPr>
          <w:color w:val="auto"/>
        </w:rPr>
        <w:t>南城断裂</w:t>
      </w:r>
    </w:p>
    <w:p w14:paraId="354A6902">
      <w:pPr>
        <w:ind w:firstLine="480"/>
        <w:rPr>
          <w:color w:val="auto"/>
        </w:rPr>
      </w:pPr>
      <w:r>
        <w:rPr>
          <w:color w:val="auto"/>
        </w:rPr>
        <w:t>位于前云台山西侧，区内约 12km，走向北东 10°，推测倾向南东，东盘云台山组片岩及片麻岩的片理呈北东 17°-27°走向，向东延伸至后云台山过渡为北东走向。</w:t>
      </w:r>
    </w:p>
    <w:p w14:paraId="02AB5037">
      <w:pPr>
        <w:ind w:firstLine="480"/>
        <w:rPr>
          <w:color w:val="auto"/>
        </w:rPr>
      </w:pPr>
      <w:r>
        <w:rPr>
          <w:color w:val="auto"/>
        </w:rPr>
        <w:t>③锦屏西断裂</w:t>
      </w:r>
    </w:p>
    <w:p w14:paraId="01310355">
      <w:pPr>
        <w:ind w:firstLine="480"/>
        <w:rPr>
          <w:color w:val="auto"/>
        </w:rPr>
      </w:pPr>
      <w:r>
        <w:rPr>
          <w:color w:val="auto"/>
        </w:rPr>
        <w:t>位于锦屏山西麓与临洪河口一线，走向 10°-20°，倾向南东，倾角 50°左右，仅在锦屏山南西坡附近见有出露。</w:t>
      </w:r>
    </w:p>
    <w:p w14:paraId="505993F2">
      <w:pPr>
        <w:ind w:firstLine="480"/>
        <w:rPr>
          <w:color w:val="auto"/>
        </w:rPr>
      </w:pPr>
      <w:r>
        <w:rPr>
          <w:color w:val="auto"/>
        </w:rPr>
        <w:t>此外，区内还有很多规模较小的北西向断裂。</w:t>
      </w:r>
    </w:p>
    <w:p w14:paraId="178D8101">
      <w:pPr>
        <w:ind w:firstLine="480"/>
        <w:rPr>
          <w:color w:val="auto"/>
        </w:rPr>
      </w:pPr>
      <w:r>
        <w:rPr>
          <w:color w:val="auto"/>
        </w:rPr>
        <w:t>连云港地区尚未发生过较强的地震。据史料记载，1668年7月25日，城8.5级强震曾波及本区。连云港境内于1989年8月24日、1990年10月7日、1991年4月23日分别发生了12、0.6、0.8三次微地震，地震总的特点是震级小</w:t>
      </w:r>
      <w:r>
        <w:rPr>
          <w:rFonts w:hint="eastAsia"/>
          <w:color w:val="auto"/>
        </w:rPr>
        <w:t>，</w:t>
      </w:r>
      <w:r>
        <w:rPr>
          <w:color w:val="auto"/>
        </w:rPr>
        <w:t>发震率较低，震中较分散。虽然中远场强震对厂址区造成一定的影响，但未来百年内重复发生强震的可能性不大。</w:t>
      </w:r>
    </w:p>
    <w:p w14:paraId="2A9ABEC8">
      <w:pPr>
        <w:ind w:firstLine="480"/>
        <w:rPr>
          <w:color w:val="auto"/>
        </w:rPr>
      </w:pPr>
      <w:r>
        <w:rPr>
          <w:rFonts w:hint="eastAsia"/>
          <w:color w:val="auto"/>
        </w:rPr>
        <w:t>根据《建筑抗震设计标准》（GB/T50011-2010）（2024年版），规划区所在区域的抗震设防烈度为7度，设计基本地震加速度0.10g，地震分组属第三组。</w:t>
      </w:r>
    </w:p>
    <w:p w14:paraId="0D95DA12">
      <w:pPr>
        <w:ind w:firstLine="480"/>
        <w:rPr>
          <w:color w:val="auto"/>
        </w:rPr>
      </w:pPr>
      <w:r>
        <w:rPr>
          <w:rFonts w:hint="eastAsia"/>
          <w:color w:val="auto"/>
        </w:rPr>
        <w:t>综上所述，本项目所在区域的稳定性基本稳定。</w:t>
      </w:r>
    </w:p>
    <w:p w14:paraId="48DBAF18">
      <w:pPr>
        <w:keepNext/>
        <w:keepLines/>
        <w:spacing w:before="120" w:beforeLines="50"/>
        <w:ind w:firstLine="0" w:firstLineChars="0"/>
        <w:outlineLvl w:val="3"/>
        <w:rPr>
          <w:b/>
          <w:bCs/>
          <w:color w:val="auto"/>
        </w:rPr>
      </w:pPr>
      <w:r>
        <w:rPr>
          <w:rFonts w:hint="eastAsia"/>
          <w:b/>
          <w:bCs/>
          <w:color w:val="auto"/>
        </w:rPr>
        <w:t>5</w:t>
      </w:r>
      <w:r>
        <w:rPr>
          <w:b/>
          <w:bCs/>
          <w:color w:val="auto"/>
        </w:rPr>
        <w:t>.1.</w:t>
      </w:r>
      <w:r>
        <w:rPr>
          <w:rFonts w:hint="eastAsia"/>
          <w:b/>
          <w:bCs/>
          <w:color w:val="auto"/>
        </w:rPr>
        <w:t>5.4</w:t>
      </w:r>
      <w:r>
        <w:rPr>
          <w:b/>
          <w:bCs/>
          <w:color w:val="auto"/>
        </w:rPr>
        <w:t xml:space="preserve"> </w:t>
      </w:r>
      <w:r>
        <w:rPr>
          <w:rFonts w:hint="eastAsia"/>
          <w:b/>
          <w:bCs/>
          <w:color w:val="auto"/>
        </w:rPr>
        <w:t>水文地质概况</w:t>
      </w:r>
    </w:p>
    <w:p w14:paraId="2ED8FB4B">
      <w:pPr>
        <w:ind w:firstLine="480"/>
        <w:rPr>
          <w:color w:val="auto"/>
        </w:rPr>
      </w:pPr>
      <w:r>
        <w:rPr>
          <w:rFonts w:hint="eastAsia"/>
          <w:color w:val="auto"/>
        </w:rPr>
        <w:t>（1）水文地质分区</w:t>
      </w:r>
    </w:p>
    <w:p w14:paraId="552D4256">
      <w:pPr>
        <w:ind w:firstLine="480"/>
        <w:rPr>
          <w:color w:val="auto"/>
        </w:rPr>
      </w:pPr>
      <w:r>
        <w:rPr>
          <w:rFonts w:hint="eastAsia"/>
          <w:color w:val="auto"/>
        </w:rPr>
        <w:t>根据地貌，含水岩组分布，地下水补、径、排条件，把本区划分为三个区、四个亚区、十四个富水地段。</w:t>
      </w:r>
    </w:p>
    <w:p w14:paraId="4456D221">
      <w:pPr>
        <w:spacing w:line="240" w:lineRule="auto"/>
        <w:ind w:firstLine="0" w:firstLineChars="0"/>
        <w:jc w:val="center"/>
        <w:rPr>
          <w:b/>
          <w:bCs/>
          <w:color w:val="auto"/>
        </w:rPr>
      </w:pPr>
      <w:r>
        <w:rPr>
          <w:rFonts w:hint="eastAsia"/>
          <w:b/>
          <w:bCs/>
          <w:color w:val="auto"/>
        </w:rPr>
        <w:t>表5.1-4  水文地质分区表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282"/>
        <w:gridCol w:w="1926"/>
        <w:gridCol w:w="1170"/>
        <w:gridCol w:w="1548"/>
        <w:gridCol w:w="1548"/>
      </w:tblGrid>
      <w:tr w14:paraId="0CB8E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4" w:type="dxa"/>
            <w:gridSpan w:val="2"/>
            <w:tcBorders>
              <w:tl2br w:val="nil"/>
              <w:tr2bl w:val="nil"/>
            </w:tcBorders>
            <w:vAlign w:val="center"/>
          </w:tcPr>
          <w:p w14:paraId="51C8239D">
            <w:pPr>
              <w:spacing w:line="240" w:lineRule="auto"/>
              <w:ind w:firstLine="0" w:firstLineChars="0"/>
              <w:jc w:val="center"/>
              <w:rPr>
                <w:b/>
                <w:bCs/>
                <w:color w:val="auto"/>
                <w:sz w:val="21"/>
                <w:szCs w:val="21"/>
              </w:rPr>
            </w:pPr>
            <w:r>
              <w:rPr>
                <w:rFonts w:hint="eastAsia"/>
                <w:b/>
                <w:bCs/>
                <w:color w:val="auto"/>
                <w:sz w:val="21"/>
                <w:szCs w:val="21"/>
              </w:rPr>
              <w:t>区</w:t>
            </w:r>
          </w:p>
        </w:tc>
        <w:tc>
          <w:tcPr>
            <w:tcW w:w="3096" w:type="dxa"/>
            <w:gridSpan w:val="2"/>
            <w:tcBorders>
              <w:tl2br w:val="nil"/>
              <w:tr2bl w:val="nil"/>
            </w:tcBorders>
            <w:vAlign w:val="center"/>
          </w:tcPr>
          <w:p w14:paraId="060B1FE5">
            <w:pPr>
              <w:spacing w:line="240" w:lineRule="auto"/>
              <w:ind w:firstLine="0" w:firstLineChars="0"/>
              <w:jc w:val="center"/>
              <w:rPr>
                <w:b/>
                <w:bCs/>
                <w:color w:val="auto"/>
                <w:sz w:val="21"/>
                <w:szCs w:val="21"/>
              </w:rPr>
            </w:pPr>
            <w:r>
              <w:rPr>
                <w:rFonts w:hint="eastAsia"/>
                <w:b/>
                <w:bCs/>
                <w:color w:val="auto"/>
                <w:sz w:val="21"/>
                <w:szCs w:val="21"/>
              </w:rPr>
              <w:t>亚区</w:t>
            </w:r>
          </w:p>
        </w:tc>
        <w:tc>
          <w:tcPr>
            <w:tcW w:w="3096" w:type="dxa"/>
            <w:gridSpan w:val="2"/>
            <w:tcBorders>
              <w:tl2br w:val="nil"/>
              <w:tr2bl w:val="nil"/>
            </w:tcBorders>
            <w:vAlign w:val="center"/>
          </w:tcPr>
          <w:p w14:paraId="73D35035">
            <w:pPr>
              <w:spacing w:line="240" w:lineRule="auto"/>
              <w:ind w:firstLine="0" w:firstLineChars="0"/>
              <w:jc w:val="center"/>
              <w:rPr>
                <w:b/>
                <w:bCs/>
                <w:color w:val="auto"/>
                <w:sz w:val="21"/>
                <w:szCs w:val="21"/>
              </w:rPr>
            </w:pPr>
            <w:r>
              <w:rPr>
                <w:rFonts w:hint="eastAsia"/>
                <w:b/>
                <w:bCs/>
                <w:color w:val="auto"/>
                <w:sz w:val="21"/>
                <w:szCs w:val="21"/>
              </w:rPr>
              <w:t>地段</w:t>
            </w:r>
          </w:p>
        </w:tc>
      </w:tr>
      <w:tr w14:paraId="03347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812" w:type="dxa"/>
            <w:tcBorders>
              <w:tl2br w:val="nil"/>
              <w:tr2bl w:val="nil"/>
            </w:tcBorders>
            <w:vAlign w:val="center"/>
          </w:tcPr>
          <w:p w14:paraId="2D9138AC">
            <w:pPr>
              <w:spacing w:line="240" w:lineRule="auto"/>
              <w:ind w:firstLine="0" w:firstLineChars="0"/>
              <w:jc w:val="center"/>
              <w:rPr>
                <w:b/>
                <w:bCs/>
                <w:color w:val="auto"/>
                <w:sz w:val="21"/>
                <w:szCs w:val="21"/>
              </w:rPr>
            </w:pPr>
            <w:r>
              <w:rPr>
                <w:rFonts w:hint="eastAsia"/>
                <w:b/>
                <w:bCs/>
                <w:color w:val="auto"/>
                <w:sz w:val="21"/>
                <w:szCs w:val="21"/>
              </w:rPr>
              <w:t>名称</w:t>
            </w:r>
          </w:p>
        </w:tc>
        <w:tc>
          <w:tcPr>
            <w:tcW w:w="1282" w:type="dxa"/>
            <w:tcBorders>
              <w:tl2br w:val="nil"/>
              <w:tr2bl w:val="nil"/>
            </w:tcBorders>
            <w:vAlign w:val="center"/>
          </w:tcPr>
          <w:p w14:paraId="3737F10E">
            <w:pPr>
              <w:spacing w:line="240" w:lineRule="auto"/>
              <w:ind w:firstLine="0" w:firstLineChars="0"/>
              <w:jc w:val="center"/>
              <w:rPr>
                <w:b/>
                <w:bCs/>
                <w:color w:val="auto"/>
                <w:sz w:val="21"/>
                <w:szCs w:val="21"/>
              </w:rPr>
            </w:pPr>
            <w:r>
              <w:rPr>
                <w:rFonts w:hint="eastAsia"/>
                <w:b/>
                <w:bCs/>
                <w:color w:val="auto"/>
                <w:sz w:val="21"/>
                <w:szCs w:val="21"/>
              </w:rPr>
              <w:t>代号</w:t>
            </w:r>
          </w:p>
        </w:tc>
        <w:tc>
          <w:tcPr>
            <w:tcW w:w="1926" w:type="dxa"/>
            <w:tcBorders>
              <w:tl2br w:val="nil"/>
              <w:tr2bl w:val="nil"/>
            </w:tcBorders>
            <w:shd w:val="clear" w:color="auto" w:fill="auto"/>
            <w:vAlign w:val="center"/>
          </w:tcPr>
          <w:p w14:paraId="7827865E">
            <w:pPr>
              <w:spacing w:line="240" w:lineRule="auto"/>
              <w:ind w:firstLine="0" w:firstLineChars="0"/>
              <w:jc w:val="center"/>
              <w:rPr>
                <w:b/>
                <w:bCs/>
                <w:color w:val="auto"/>
                <w:sz w:val="21"/>
                <w:szCs w:val="21"/>
              </w:rPr>
            </w:pPr>
            <w:r>
              <w:rPr>
                <w:rFonts w:hint="eastAsia"/>
                <w:b/>
                <w:bCs/>
                <w:color w:val="auto"/>
                <w:sz w:val="21"/>
                <w:szCs w:val="21"/>
              </w:rPr>
              <w:t>名称</w:t>
            </w:r>
          </w:p>
        </w:tc>
        <w:tc>
          <w:tcPr>
            <w:tcW w:w="1170" w:type="dxa"/>
            <w:tcBorders>
              <w:tl2br w:val="nil"/>
              <w:tr2bl w:val="nil"/>
            </w:tcBorders>
            <w:shd w:val="clear" w:color="auto" w:fill="auto"/>
            <w:vAlign w:val="center"/>
          </w:tcPr>
          <w:p w14:paraId="1F5AADA6">
            <w:pPr>
              <w:spacing w:line="240" w:lineRule="auto"/>
              <w:ind w:firstLine="0" w:firstLineChars="0"/>
              <w:jc w:val="center"/>
              <w:rPr>
                <w:b/>
                <w:bCs/>
                <w:color w:val="auto"/>
                <w:sz w:val="21"/>
                <w:szCs w:val="21"/>
              </w:rPr>
            </w:pPr>
            <w:r>
              <w:rPr>
                <w:rFonts w:hint="eastAsia"/>
                <w:b/>
                <w:bCs/>
                <w:color w:val="auto"/>
                <w:sz w:val="21"/>
                <w:szCs w:val="21"/>
              </w:rPr>
              <w:t>代号</w:t>
            </w:r>
          </w:p>
        </w:tc>
        <w:tc>
          <w:tcPr>
            <w:tcW w:w="1548" w:type="dxa"/>
            <w:tcBorders>
              <w:tl2br w:val="nil"/>
              <w:tr2bl w:val="nil"/>
            </w:tcBorders>
            <w:shd w:val="clear" w:color="auto" w:fill="auto"/>
            <w:vAlign w:val="center"/>
          </w:tcPr>
          <w:p w14:paraId="74C4898D">
            <w:pPr>
              <w:spacing w:line="240" w:lineRule="auto"/>
              <w:ind w:firstLine="0" w:firstLineChars="0"/>
              <w:jc w:val="center"/>
              <w:rPr>
                <w:b/>
                <w:bCs/>
                <w:color w:val="auto"/>
                <w:sz w:val="21"/>
                <w:szCs w:val="21"/>
              </w:rPr>
            </w:pPr>
            <w:r>
              <w:rPr>
                <w:rFonts w:hint="eastAsia"/>
                <w:b/>
                <w:bCs/>
                <w:color w:val="auto"/>
                <w:sz w:val="21"/>
                <w:szCs w:val="21"/>
              </w:rPr>
              <w:t>名称</w:t>
            </w:r>
          </w:p>
        </w:tc>
        <w:tc>
          <w:tcPr>
            <w:tcW w:w="1548" w:type="dxa"/>
            <w:tcBorders>
              <w:tl2br w:val="nil"/>
              <w:tr2bl w:val="nil"/>
            </w:tcBorders>
            <w:shd w:val="clear" w:color="auto" w:fill="auto"/>
            <w:vAlign w:val="center"/>
          </w:tcPr>
          <w:p w14:paraId="32DDD4AB">
            <w:pPr>
              <w:spacing w:line="240" w:lineRule="auto"/>
              <w:ind w:firstLine="0" w:firstLineChars="0"/>
              <w:jc w:val="center"/>
              <w:rPr>
                <w:b/>
                <w:bCs/>
                <w:color w:val="auto"/>
                <w:sz w:val="21"/>
                <w:szCs w:val="21"/>
              </w:rPr>
            </w:pPr>
            <w:r>
              <w:rPr>
                <w:rFonts w:hint="eastAsia"/>
                <w:b/>
                <w:bCs/>
                <w:color w:val="auto"/>
                <w:sz w:val="21"/>
                <w:szCs w:val="21"/>
              </w:rPr>
              <w:t>代号</w:t>
            </w:r>
          </w:p>
        </w:tc>
      </w:tr>
      <w:tr w14:paraId="6FEA8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restart"/>
            <w:tcBorders>
              <w:tl2br w:val="nil"/>
              <w:tr2bl w:val="nil"/>
            </w:tcBorders>
            <w:vAlign w:val="center"/>
          </w:tcPr>
          <w:p w14:paraId="0E55A91D">
            <w:pPr>
              <w:spacing w:line="240" w:lineRule="auto"/>
              <w:ind w:firstLine="0" w:firstLineChars="0"/>
              <w:jc w:val="center"/>
              <w:rPr>
                <w:color w:val="auto"/>
                <w:sz w:val="21"/>
                <w:szCs w:val="21"/>
              </w:rPr>
            </w:pPr>
            <w:r>
              <w:rPr>
                <w:rFonts w:hint="eastAsia"/>
                <w:color w:val="auto"/>
                <w:sz w:val="21"/>
                <w:szCs w:val="21"/>
              </w:rPr>
              <w:t>坡麓水文地质</w:t>
            </w:r>
          </w:p>
        </w:tc>
        <w:tc>
          <w:tcPr>
            <w:tcW w:w="1282" w:type="dxa"/>
            <w:vMerge w:val="restart"/>
            <w:tcBorders>
              <w:tl2br w:val="nil"/>
              <w:tr2bl w:val="nil"/>
            </w:tcBorders>
            <w:vAlign w:val="center"/>
          </w:tcPr>
          <w:p w14:paraId="07457776">
            <w:pPr>
              <w:spacing w:line="240" w:lineRule="auto"/>
              <w:ind w:firstLine="0" w:firstLineChars="0"/>
              <w:jc w:val="center"/>
              <w:rPr>
                <w:color w:val="auto"/>
                <w:sz w:val="21"/>
                <w:szCs w:val="21"/>
              </w:rPr>
            </w:pPr>
            <w:r>
              <w:rPr>
                <w:rFonts w:hint="eastAsia"/>
                <w:color w:val="auto"/>
                <w:sz w:val="21"/>
                <w:szCs w:val="21"/>
              </w:rPr>
              <w:t>I</w:t>
            </w:r>
          </w:p>
        </w:tc>
        <w:tc>
          <w:tcPr>
            <w:tcW w:w="1926" w:type="dxa"/>
            <w:vMerge w:val="restart"/>
            <w:tcBorders>
              <w:tl2br w:val="nil"/>
              <w:tr2bl w:val="nil"/>
            </w:tcBorders>
            <w:vAlign w:val="center"/>
          </w:tcPr>
          <w:p w14:paraId="0F049DA5">
            <w:pPr>
              <w:spacing w:line="240" w:lineRule="auto"/>
              <w:ind w:firstLine="0" w:firstLineChars="0"/>
              <w:jc w:val="center"/>
              <w:rPr>
                <w:color w:val="auto"/>
                <w:sz w:val="21"/>
                <w:szCs w:val="21"/>
              </w:rPr>
            </w:pPr>
            <w:r>
              <w:rPr>
                <w:rFonts w:hint="eastAsia"/>
                <w:color w:val="auto"/>
                <w:sz w:val="21"/>
                <w:szCs w:val="21"/>
              </w:rPr>
              <w:t>富亚水区</w:t>
            </w:r>
          </w:p>
        </w:tc>
        <w:tc>
          <w:tcPr>
            <w:tcW w:w="1170" w:type="dxa"/>
            <w:vMerge w:val="restart"/>
            <w:tcBorders>
              <w:tl2br w:val="nil"/>
              <w:tr2bl w:val="nil"/>
            </w:tcBorders>
            <w:vAlign w:val="center"/>
          </w:tcPr>
          <w:p w14:paraId="3F208A20">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p>
        </w:tc>
        <w:tc>
          <w:tcPr>
            <w:tcW w:w="1548" w:type="dxa"/>
            <w:tcBorders>
              <w:tl2br w:val="nil"/>
              <w:tr2bl w:val="nil"/>
            </w:tcBorders>
            <w:vAlign w:val="center"/>
          </w:tcPr>
          <w:p w14:paraId="5E5FB687">
            <w:pPr>
              <w:spacing w:line="240" w:lineRule="auto"/>
              <w:ind w:firstLine="0" w:firstLineChars="0"/>
              <w:jc w:val="center"/>
              <w:rPr>
                <w:color w:val="auto"/>
                <w:sz w:val="21"/>
                <w:szCs w:val="21"/>
              </w:rPr>
            </w:pPr>
            <w:r>
              <w:rPr>
                <w:rFonts w:hint="eastAsia"/>
                <w:color w:val="auto"/>
                <w:sz w:val="21"/>
                <w:szCs w:val="21"/>
              </w:rPr>
              <w:t>墟沟院前段</w:t>
            </w:r>
          </w:p>
        </w:tc>
        <w:tc>
          <w:tcPr>
            <w:tcW w:w="1548" w:type="dxa"/>
            <w:tcBorders>
              <w:tl2br w:val="nil"/>
              <w:tr2bl w:val="nil"/>
            </w:tcBorders>
            <w:vAlign w:val="center"/>
          </w:tcPr>
          <w:p w14:paraId="18EA4F22">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1</w:t>
            </w:r>
          </w:p>
        </w:tc>
      </w:tr>
      <w:tr w14:paraId="22B6C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13974B1A">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2E28E69C">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7223B10E">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5E4C63BD">
            <w:pPr>
              <w:spacing w:line="240" w:lineRule="auto"/>
              <w:ind w:firstLine="0" w:firstLineChars="0"/>
              <w:jc w:val="center"/>
              <w:rPr>
                <w:color w:val="auto"/>
                <w:sz w:val="21"/>
                <w:szCs w:val="21"/>
              </w:rPr>
            </w:pPr>
          </w:p>
        </w:tc>
        <w:tc>
          <w:tcPr>
            <w:tcW w:w="1548" w:type="dxa"/>
            <w:tcBorders>
              <w:tl2br w:val="nil"/>
              <w:tr2bl w:val="nil"/>
            </w:tcBorders>
            <w:vAlign w:val="center"/>
          </w:tcPr>
          <w:p w14:paraId="339B3B07">
            <w:pPr>
              <w:spacing w:line="240" w:lineRule="auto"/>
              <w:ind w:firstLine="0" w:firstLineChars="0"/>
              <w:jc w:val="center"/>
              <w:rPr>
                <w:color w:val="auto"/>
                <w:sz w:val="21"/>
                <w:szCs w:val="21"/>
              </w:rPr>
            </w:pPr>
            <w:r>
              <w:rPr>
                <w:rFonts w:hint="eastAsia"/>
                <w:color w:val="auto"/>
                <w:sz w:val="21"/>
                <w:szCs w:val="21"/>
              </w:rPr>
              <w:t>海头湾段</w:t>
            </w:r>
          </w:p>
        </w:tc>
        <w:tc>
          <w:tcPr>
            <w:tcW w:w="1548" w:type="dxa"/>
            <w:tcBorders>
              <w:tl2br w:val="nil"/>
              <w:tr2bl w:val="nil"/>
            </w:tcBorders>
            <w:vAlign w:val="center"/>
          </w:tcPr>
          <w:p w14:paraId="65344E90">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2</w:t>
            </w:r>
          </w:p>
        </w:tc>
      </w:tr>
      <w:tr w14:paraId="21C4B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5A0B4CC4">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7E8CF40F">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007BE322">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2BC5303F">
            <w:pPr>
              <w:spacing w:line="240" w:lineRule="auto"/>
              <w:ind w:firstLine="0" w:firstLineChars="0"/>
              <w:jc w:val="center"/>
              <w:rPr>
                <w:color w:val="auto"/>
                <w:sz w:val="21"/>
                <w:szCs w:val="21"/>
              </w:rPr>
            </w:pPr>
          </w:p>
        </w:tc>
        <w:tc>
          <w:tcPr>
            <w:tcW w:w="1548" w:type="dxa"/>
            <w:tcBorders>
              <w:tl2br w:val="nil"/>
              <w:tr2bl w:val="nil"/>
            </w:tcBorders>
            <w:vAlign w:val="center"/>
          </w:tcPr>
          <w:p w14:paraId="46D8B0C3">
            <w:pPr>
              <w:spacing w:line="240" w:lineRule="auto"/>
              <w:ind w:firstLine="0" w:firstLineChars="0"/>
              <w:jc w:val="center"/>
              <w:rPr>
                <w:color w:val="auto"/>
                <w:sz w:val="21"/>
                <w:szCs w:val="21"/>
              </w:rPr>
            </w:pPr>
            <w:r>
              <w:rPr>
                <w:rFonts w:hint="eastAsia"/>
                <w:color w:val="auto"/>
                <w:sz w:val="21"/>
                <w:szCs w:val="21"/>
              </w:rPr>
              <w:t>西墅段</w:t>
            </w:r>
          </w:p>
        </w:tc>
        <w:tc>
          <w:tcPr>
            <w:tcW w:w="1548" w:type="dxa"/>
            <w:tcBorders>
              <w:tl2br w:val="nil"/>
              <w:tr2bl w:val="nil"/>
            </w:tcBorders>
            <w:vAlign w:val="center"/>
          </w:tcPr>
          <w:p w14:paraId="0201FFF3">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3</w:t>
            </w:r>
          </w:p>
        </w:tc>
      </w:tr>
      <w:tr w14:paraId="22FA9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122C746C">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4E7B158C">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62F66C2E">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22A11620">
            <w:pPr>
              <w:spacing w:line="240" w:lineRule="auto"/>
              <w:ind w:firstLine="0" w:firstLineChars="0"/>
              <w:jc w:val="center"/>
              <w:rPr>
                <w:color w:val="auto"/>
                <w:sz w:val="21"/>
                <w:szCs w:val="21"/>
              </w:rPr>
            </w:pPr>
          </w:p>
        </w:tc>
        <w:tc>
          <w:tcPr>
            <w:tcW w:w="1548" w:type="dxa"/>
            <w:tcBorders>
              <w:tl2br w:val="nil"/>
              <w:tr2bl w:val="nil"/>
            </w:tcBorders>
            <w:vAlign w:val="center"/>
          </w:tcPr>
          <w:p w14:paraId="18DA954E">
            <w:pPr>
              <w:spacing w:line="240" w:lineRule="auto"/>
              <w:ind w:firstLine="0" w:firstLineChars="0"/>
              <w:jc w:val="center"/>
              <w:rPr>
                <w:color w:val="auto"/>
                <w:sz w:val="21"/>
                <w:szCs w:val="21"/>
              </w:rPr>
            </w:pPr>
            <w:r>
              <w:rPr>
                <w:rFonts w:hint="eastAsia"/>
                <w:color w:val="auto"/>
                <w:sz w:val="21"/>
                <w:szCs w:val="21"/>
              </w:rPr>
              <w:t>小金湾段</w:t>
            </w:r>
          </w:p>
        </w:tc>
        <w:tc>
          <w:tcPr>
            <w:tcW w:w="1548" w:type="dxa"/>
            <w:tcBorders>
              <w:tl2br w:val="nil"/>
              <w:tr2bl w:val="nil"/>
            </w:tcBorders>
            <w:shd w:val="clear" w:color="auto" w:fill="auto"/>
            <w:vAlign w:val="center"/>
          </w:tcPr>
          <w:p w14:paraId="149E9659">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4</w:t>
            </w:r>
          </w:p>
        </w:tc>
      </w:tr>
      <w:tr w14:paraId="3B8A0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01E52E9B">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5039A31C">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4E3348DB">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207EE8AE">
            <w:pPr>
              <w:spacing w:line="240" w:lineRule="auto"/>
              <w:ind w:firstLine="0" w:firstLineChars="0"/>
              <w:jc w:val="center"/>
              <w:rPr>
                <w:color w:val="auto"/>
                <w:sz w:val="21"/>
                <w:szCs w:val="21"/>
              </w:rPr>
            </w:pPr>
          </w:p>
        </w:tc>
        <w:tc>
          <w:tcPr>
            <w:tcW w:w="1548" w:type="dxa"/>
            <w:tcBorders>
              <w:tl2br w:val="nil"/>
              <w:tr2bl w:val="nil"/>
            </w:tcBorders>
            <w:vAlign w:val="center"/>
          </w:tcPr>
          <w:p w14:paraId="3FB11D00">
            <w:pPr>
              <w:spacing w:line="240" w:lineRule="auto"/>
              <w:ind w:firstLine="0" w:firstLineChars="0"/>
              <w:jc w:val="center"/>
              <w:rPr>
                <w:color w:val="auto"/>
                <w:sz w:val="21"/>
                <w:szCs w:val="21"/>
              </w:rPr>
            </w:pPr>
            <w:r>
              <w:rPr>
                <w:rFonts w:hint="eastAsia"/>
                <w:color w:val="auto"/>
                <w:sz w:val="21"/>
                <w:szCs w:val="21"/>
              </w:rPr>
              <w:t>朝阳段</w:t>
            </w:r>
          </w:p>
        </w:tc>
        <w:tc>
          <w:tcPr>
            <w:tcW w:w="1548" w:type="dxa"/>
            <w:tcBorders>
              <w:tl2br w:val="nil"/>
              <w:tr2bl w:val="nil"/>
            </w:tcBorders>
            <w:shd w:val="clear" w:color="auto" w:fill="auto"/>
            <w:vAlign w:val="center"/>
          </w:tcPr>
          <w:p w14:paraId="08B24EE9">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5</w:t>
            </w:r>
          </w:p>
        </w:tc>
      </w:tr>
      <w:tr w14:paraId="0224D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391BDBC4">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7CCACBDC">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0AFBB913">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75F7D502">
            <w:pPr>
              <w:spacing w:line="240" w:lineRule="auto"/>
              <w:ind w:firstLine="0" w:firstLineChars="0"/>
              <w:jc w:val="center"/>
              <w:rPr>
                <w:color w:val="auto"/>
                <w:sz w:val="21"/>
                <w:szCs w:val="21"/>
              </w:rPr>
            </w:pPr>
          </w:p>
        </w:tc>
        <w:tc>
          <w:tcPr>
            <w:tcW w:w="1548" w:type="dxa"/>
            <w:tcBorders>
              <w:tl2br w:val="nil"/>
              <w:tr2bl w:val="nil"/>
            </w:tcBorders>
            <w:vAlign w:val="center"/>
          </w:tcPr>
          <w:p w14:paraId="3FB39607">
            <w:pPr>
              <w:spacing w:line="240" w:lineRule="auto"/>
              <w:ind w:firstLine="0" w:firstLineChars="0"/>
              <w:jc w:val="center"/>
              <w:rPr>
                <w:color w:val="auto"/>
                <w:sz w:val="21"/>
                <w:szCs w:val="21"/>
              </w:rPr>
            </w:pPr>
            <w:r>
              <w:rPr>
                <w:rFonts w:hint="eastAsia"/>
                <w:color w:val="auto"/>
                <w:sz w:val="21"/>
                <w:szCs w:val="21"/>
              </w:rPr>
              <w:t>苏庄段</w:t>
            </w:r>
          </w:p>
        </w:tc>
        <w:tc>
          <w:tcPr>
            <w:tcW w:w="1548" w:type="dxa"/>
            <w:tcBorders>
              <w:tl2br w:val="nil"/>
              <w:tr2bl w:val="nil"/>
            </w:tcBorders>
            <w:shd w:val="clear" w:color="auto" w:fill="auto"/>
            <w:vAlign w:val="center"/>
          </w:tcPr>
          <w:p w14:paraId="678F5E63">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6</w:t>
            </w:r>
          </w:p>
        </w:tc>
      </w:tr>
      <w:tr w14:paraId="25D80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5BA3A091">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2F53B14C">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38C57A31">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0AED6B84">
            <w:pPr>
              <w:spacing w:line="240" w:lineRule="auto"/>
              <w:ind w:firstLine="0" w:firstLineChars="0"/>
              <w:jc w:val="center"/>
              <w:rPr>
                <w:color w:val="auto"/>
                <w:sz w:val="21"/>
                <w:szCs w:val="21"/>
              </w:rPr>
            </w:pPr>
          </w:p>
        </w:tc>
        <w:tc>
          <w:tcPr>
            <w:tcW w:w="1548" w:type="dxa"/>
            <w:tcBorders>
              <w:tl2br w:val="nil"/>
              <w:tr2bl w:val="nil"/>
            </w:tcBorders>
            <w:vAlign w:val="center"/>
          </w:tcPr>
          <w:p w14:paraId="514265E4">
            <w:pPr>
              <w:spacing w:line="240" w:lineRule="auto"/>
              <w:ind w:firstLine="0" w:firstLineChars="0"/>
              <w:jc w:val="center"/>
              <w:rPr>
                <w:color w:val="auto"/>
                <w:sz w:val="21"/>
                <w:szCs w:val="21"/>
              </w:rPr>
            </w:pPr>
            <w:r>
              <w:rPr>
                <w:rFonts w:hint="eastAsia"/>
                <w:color w:val="auto"/>
                <w:sz w:val="21"/>
                <w:szCs w:val="21"/>
              </w:rPr>
              <w:t>山东庄段</w:t>
            </w:r>
          </w:p>
        </w:tc>
        <w:tc>
          <w:tcPr>
            <w:tcW w:w="1548" w:type="dxa"/>
            <w:tcBorders>
              <w:tl2br w:val="nil"/>
              <w:tr2bl w:val="nil"/>
            </w:tcBorders>
            <w:shd w:val="clear" w:color="auto" w:fill="auto"/>
            <w:vAlign w:val="center"/>
          </w:tcPr>
          <w:p w14:paraId="7B4BCBD8">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7</w:t>
            </w:r>
          </w:p>
        </w:tc>
      </w:tr>
      <w:tr w14:paraId="69848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6C64DEEB">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74C8DBB3">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58A14575">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3DF274D8">
            <w:pPr>
              <w:spacing w:line="240" w:lineRule="auto"/>
              <w:ind w:firstLine="0" w:firstLineChars="0"/>
              <w:jc w:val="center"/>
              <w:rPr>
                <w:color w:val="auto"/>
                <w:sz w:val="21"/>
                <w:szCs w:val="21"/>
              </w:rPr>
            </w:pPr>
          </w:p>
        </w:tc>
        <w:tc>
          <w:tcPr>
            <w:tcW w:w="1548" w:type="dxa"/>
            <w:tcBorders>
              <w:tl2br w:val="nil"/>
              <w:tr2bl w:val="nil"/>
            </w:tcBorders>
            <w:vAlign w:val="center"/>
          </w:tcPr>
          <w:p w14:paraId="1979460F">
            <w:pPr>
              <w:spacing w:line="240" w:lineRule="auto"/>
              <w:ind w:firstLine="0" w:firstLineChars="0"/>
              <w:jc w:val="center"/>
              <w:rPr>
                <w:color w:val="auto"/>
                <w:sz w:val="21"/>
                <w:szCs w:val="21"/>
              </w:rPr>
            </w:pPr>
            <w:r>
              <w:rPr>
                <w:rFonts w:hint="eastAsia"/>
                <w:color w:val="auto"/>
                <w:sz w:val="21"/>
                <w:szCs w:val="21"/>
              </w:rPr>
              <w:t>东磊段</w:t>
            </w:r>
          </w:p>
        </w:tc>
        <w:tc>
          <w:tcPr>
            <w:tcW w:w="1548" w:type="dxa"/>
            <w:tcBorders>
              <w:tl2br w:val="nil"/>
              <w:tr2bl w:val="nil"/>
            </w:tcBorders>
            <w:shd w:val="clear" w:color="auto" w:fill="auto"/>
            <w:vAlign w:val="center"/>
          </w:tcPr>
          <w:p w14:paraId="5C815AC8">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8</w:t>
            </w:r>
          </w:p>
        </w:tc>
      </w:tr>
      <w:tr w14:paraId="5CD41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1B3DB4ED">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2952979B">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608ECEED">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61A54E16">
            <w:pPr>
              <w:spacing w:line="240" w:lineRule="auto"/>
              <w:ind w:firstLine="0" w:firstLineChars="0"/>
              <w:jc w:val="center"/>
              <w:rPr>
                <w:color w:val="auto"/>
                <w:sz w:val="21"/>
                <w:szCs w:val="21"/>
              </w:rPr>
            </w:pPr>
          </w:p>
        </w:tc>
        <w:tc>
          <w:tcPr>
            <w:tcW w:w="1548" w:type="dxa"/>
            <w:tcBorders>
              <w:tl2br w:val="nil"/>
              <w:tr2bl w:val="nil"/>
            </w:tcBorders>
            <w:vAlign w:val="center"/>
          </w:tcPr>
          <w:p w14:paraId="1DB182BA">
            <w:pPr>
              <w:spacing w:line="240" w:lineRule="auto"/>
              <w:ind w:firstLine="0" w:firstLineChars="0"/>
              <w:jc w:val="center"/>
              <w:rPr>
                <w:color w:val="auto"/>
                <w:sz w:val="21"/>
                <w:szCs w:val="21"/>
              </w:rPr>
            </w:pPr>
            <w:r>
              <w:rPr>
                <w:rFonts w:hint="eastAsia"/>
                <w:color w:val="auto"/>
                <w:sz w:val="21"/>
                <w:szCs w:val="21"/>
              </w:rPr>
              <w:t>埠顶村段</w:t>
            </w:r>
          </w:p>
        </w:tc>
        <w:tc>
          <w:tcPr>
            <w:tcW w:w="1548" w:type="dxa"/>
            <w:tcBorders>
              <w:tl2br w:val="nil"/>
              <w:tr2bl w:val="nil"/>
            </w:tcBorders>
            <w:shd w:val="clear" w:color="auto" w:fill="auto"/>
            <w:vAlign w:val="center"/>
          </w:tcPr>
          <w:p w14:paraId="3DF0E027">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9</w:t>
            </w:r>
          </w:p>
        </w:tc>
      </w:tr>
      <w:tr w14:paraId="7F792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4F5EE16A">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05FA808B">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76221096">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13E33E42">
            <w:pPr>
              <w:spacing w:line="240" w:lineRule="auto"/>
              <w:ind w:firstLine="0" w:firstLineChars="0"/>
              <w:jc w:val="center"/>
              <w:rPr>
                <w:color w:val="auto"/>
                <w:sz w:val="21"/>
                <w:szCs w:val="21"/>
              </w:rPr>
            </w:pPr>
          </w:p>
        </w:tc>
        <w:tc>
          <w:tcPr>
            <w:tcW w:w="1548" w:type="dxa"/>
            <w:tcBorders>
              <w:tl2br w:val="nil"/>
              <w:tr2bl w:val="nil"/>
            </w:tcBorders>
            <w:vAlign w:val="center"/>
          </w:tcPr>
          <w:p w14:paraId="0FD835E2">
            <w:pPr>
              <w:spacing w:line="240" w:lineRule="auto"/>
              <w:ind w:firstLine="0" w:firstLineChars="0"/>
              <w:jc w:val="center"/>
              <w:rPr>
                <w:color w:val="auto"/>
                <w:sz w:val="21"/>
                <w:szCs w:val="21"/>
              </w:rPr>
            </w:pPr>
            <w:r>
              <w:rPr>
                <w:rFonts w:hint="eastAsia"/>
                <w:color w:val="auto"/>
                <w:sz w:val="21"/>
                <w:szCs w:val="21"/>
              </w:rPr>
              <w:t>水流村段</w:t>
            </w:r>
          </w:p>
        </w:tc>
        <w:tc>
          <w:tcPr>
            <w:tcW w:w="1548" w:type="dxa"/>
            <w:tcBorders>
              <w:tl2br w:val="nil"/>
              <w:tr2bl w:val="nil"/>
            </w:tcBorders>
            <w:shd w:val="clear" w:color="auto" w:fill="auto"/>
            <w:vAlign w:val="center"/>
          </w:tcPr>
          <w:p w14:paraId="7497D2A6">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10</w:t>
            </w:r>
          </w:p>
        </w:tc>
      </w:tr>
      <w:tr w14:paraId="587EF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6632910A">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3CF328A4">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576AE6A8">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3B1F9505">
            <w:pPr>
              <w:spacing w:line="240" w:lineRule="auto"/>
              <w:ind w:firstLine="0" w:firstLineChars="0"/>
              <w:jc w:val="center"/>
              <w:rPr>
                <w:color w:val="auto"/>
                <w:sz w:val="21"/>
                <w:szCs w:val="21"/>
              </w:rPr>
            </w:pPr>
          </w:p>
        </w:tc>
        <w:tc>
          <w:tcPr>
            <w:tcW w:w="1548" w:type="dxa"/>
            <w:tcBorders>
              <w:tl2br w:val="nil"/>
              <w:tr2bl w:val="nil"/>
            </w:tcBorders>
            <w:vAlign w:val="center"/>
          </w:tcPr>
          <w:p w14:paraId="45A4C06D">
            <w:pPr>
              <w:spacing w:line="240" w:lineRule="auto"/>
              <w:ind w:firstLine="0" w:firstLineChars="0"/>
              <w:jc w:val="center"/>
              <w:rPr>
                <w:color w:val="auto"/>
                <w:sz w:val="21"/>
                <w:szCs w:val="21"/>
              </w:rPr>
            </w:pPr>
            <w:r>
              <w:rPr>
                <w:rFonts w:hint="eastAsia"/>
                <w:color w:val="auto"/>
                <w:sz w:val="21"/>
                <w:szCs w:val="21"/>
              </w:rPr>
              <w:t>大村段</w:t>
            </w:r>
          </w:p>
        </w:tc>
        <w:tc>
          <w:tcPr>
            <w:tcW w:w="1548" w:type="dxa"/>
            <w:tcBorders>
              <w:tl2br w:val="nil"/>
              <w:tr2bl w:val="nil"/>
            </w:tcBorders>
            <w:shd w:val="clear" w:color="auto" w:fill="auto"/>
            <w:vAlign w:val="center"/>
          </w:tcPr>
          <w:p w14:paraId="5C76E6BE">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11</w:t>
            </w:r>
          </w:p>
        </w:tc>
      </w:tr>
      <w:tr w14:paraId="32B5B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1AA4407F">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2A4B1145">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1CE24256">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2F178E8C">
            <w:pPr>
              <w:spacing w:line="240" w:lineRule="auto"/>
              <w:ind w:firstLine="0" w:firstLineChars="0"/>
              <w:jc w:val="center"/>
              <w:rPr>
                <w:color w:val="auto"/>
                <w:sz w:val="21"/>
                <w:szCs w:val="21"/>
              </w:rPr>
            </w:pPr>
          </w:p>
        </w:tc>
        <w:tc>
          <w:tcPr>
            <w:tcW w:w="1548" w:type="dxa"/>
            <w:tcBorders>
              <w:tl2br w:val="nil"/>
              <w:tr2bl w:val="nil"/>
            </w:tcBorders>
            <w:vAlign w:val="center"/>
          </w:tcPr>
          <w:p w14:paraId="35C45844">
            <w:pPr>
              <w:spacing w:line="240" w:lineRule="auto"/>
              <w:ind w:firstLine="0" w:firstLineChars="0"/>
              <w:jc w:val="center"/>
              <w:rPr>
                <w:color w:val="auto"/>
                <w:sz w:val="21"/>
                <w:szCs w:val="21"/>
              </w:rPr>
            </w:pPr>
            <w:r>
              <w:rPr>
                <w:rFonts w:hint="eastAsia"/>
                <w:color w:val="auto"/>
                <w:sz w:val="21"/>
                <w:szCs w:val="21"/>
              </w:rPr>
              <w:t>鸽段</w:t>
            </w:r>
          </w:p>
        </w:tc>
        <w:tc>
          <w:tcPr>
            <w:tcW w:w="1548" w:type="dxa"/>
            <w:tcBorders>
              <w:tl2br w:val="nil"/>
              <w:tr2bl w:val="nil"/>
            </w:tcBorders>
            <w:shd w:val="clear" w:color="auto" w:fill="auto"/>
            <w:vAlign w:val="center"/>
          </w:tcPr>
          <w:p w14:paraId="487B0683">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12</w:t>
            </w:r>
          </w:p>
        </w:tc>
      </w:tr>
      <w:tr w14:paraId="01808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00931738">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25EE7B10">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48F3E5BC">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4FC1493B">
            <w:pPr>
              <w:spacing w:line="240" w:lineRule="auto"/>
              <w:ind w:firstLine="0" w:firstLineChars="0"/>
              <w:jc w:val="center"/>
              <w:rPr>
                <w:color w:val="auto"/>
                <w:sz w:val="21"/>
                <w:szCs w:val="21"/>
              </w:rPr>
            </w:pPr>
          </w:p>
        </w:tc>
        <w:tc>
          <w:tcPr>
            <w:tcW w:w="1548" w:type="dxa"/>
            <w:tcBorders>
              <w:tl2br w:val="nil"/>
              <w:tr2bl w:val="nil"/>
            </w:tcBorders>
            <w:vAlign w:val="center"/>
          </w:tcPr>
          <w:p w14:paraId="45233C31">
            <w:pPr>
              <w:spacing w:line="240" w:lineRule="auto"/>
              <w:ind w:firstLine="0" w:firstLineChars="0"/>
              <w:jc w:val="center"/>
              <w:rPr>
                <w:color w:val="auto"/>
                <w:sz w:val="21"/>
                <w:szCs w:val="21"/>
              </w:rPr>
            </w:pPr>
            <w:r>
              <w:rPr>
                <w:rFonts w:hint="eastAsia"/>
                <w:color w:val="auto"/>
                <w:sz w:val="21"/>
                <w:szCs w:val="21"/>
              </w:rPr>
              <w:t>白朐山头段</w:t>
            </w:r>
          </w:p>
        </w:tc>
        <w:tc>
          <w:tcPr>
            <w:tcW w:w="1548" w:type="dxa"/>
            <w:tcBorders>
              <w:tl2br w:val="nil"/>
              <w:tr2bl w:val="nil"/>
            </w:tcBorders>
            <w:shd w:val="clear" w:color="auto" w:fill="auto"/>
            <w:vAlign w:val="center"/>
          </w:tcPr>
          <w:p w14:paraId="73C902E2">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13</w:t>
            </w:r>
          </w:p>
        </w:tc>
      </w:tr>
      <w:tr w14:paraId="7F003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3A82BAFD">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444C3E00">
            <w:pPr>
              <w:spacing w:line="240" w:lineRule="auto"/>
              <w:ind w:firstLine="0" w:firstLineChars="0"/>
              <w:jc w:val="center"/>
              <w:rPr>
                <w:color w:val="auto"/>
                <w:sz w:val="21"/>
                <w:szCs w:val="21"/>
              </w:rPr>
            </w:pPr>
          </w:p>
        </w:tc>
        <w:tc>
          <w:tcPr>
            <w:tcW w:w="1926" w:type="dxa"/>
            <w:vMerge w:val="continue"/>
            <w:tcBorders>
              <w:tl2br w:val="nil"/>
              <w:tr2bl w:val="nil"/>
            </w:tcBorders>
            <w:vAlign w:val="center"/>
          </w:tcPr>
          <w:p w14:paraId="3BF34CE2">
            <w:pPr>
              <w:spacing w:line="240" w:lineRule="auto"/>
              <w:ind w:firstLine="0" w:firstLineChars="0"/>
              <w:jc w:val="center"/>
              <w:rPr>
                <w:color w:val="auto"/>
                <w:sz w:val="21"/>
                <w:szCs w:val="21"/>
              </w:rPr>
            </w:pPr>
          </w:p>
        </w:tc>
        <w:tc>
          <w:tcPr>
            <w:tcW w:w="1170" w:type="dxa"/>
            <w:vMerge w:val="continue"/>
            <w:tcBorders>
              <w:tl2br w:val="nil"/>
              <w:tr2bl w:val="nil"/>
            </w:tcBorders>
            <w:vAlign w:val="center"/>
          </w:tcPr>
          <w:p w14:paraId="7FD94D7E">
            <w:pPr>
              <w:spacing w:line="240" w:lineRule="auto"/>
              <w:ind w:firstLine="0" w:firstLineChars="0"/>
              <w:jc w:val="center"/>
              <w:rPr>
                <w:color w:val="auto"/>
                <w:sz w:val="21"/>
                <w:szCs w:val="21"/>
              </w:rPr>
            </w:pPr>
          </w:p>
        </w:tc>
        <w:tc>
          <w:tcPr>
            <w:tcW w:w="1548" w:type="dxa"/>
            <w:tcBorders>
              <w:tl2br w:val="nil"/>
              <w:tr2bl w:val="nil"/>
            </w:tcBorders>
            <w:vAlign w:val="center"/>
          </w:tcPr>
          <w:p w14:paraId="4E7EE158">
            <w:pPr>
              <w:spacing w:line="240" w:lineRule="auto"/>
              <w:ind w:firstLine="0" w:firstLineChars="0"/>
              <w:jc w:val="center"/>
              <w:rPr>
                <w:color w:val="auto"/>
                <w:sz w:val="21"/>
                <w:szCs w:val="21"/>
              </w:rPr>
            </w:pPr>
            <w:r>
              <w:rPr>
                <w:rFonts w:hint="eastAsia"/>
                <w:color w:val="auto"/>
                <w:sz w:val="21"/>
                <w:szCs w:val="21"/>
              </w:rPr>
              <w:t>陶湾段</w:t>
            </w:r>
          </w:p>
        </w:tc>
        <w:tc>
          <w:tcPr>
            <w:tcW w:w="1548" w:type="dxa"/>
            <w:tcBorders>
              <w:tl2br w:val="nil"/>
              <w:tr2bl w:val="nil"/>
            </w:tcBorders>
            <w:shd w:val="clear" w:color="auto" w:fill="auto"/>
            <w:vAlign w:val="center"/>
          </w:tcPr>
          <w:p w14:paraId="7497CF7F">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1</w:t>
            </w:r>
            <w:r>
              <w:rPr>
                <w:rFonts w:hint="eastAsia"/>
                <w:color w:val="auto"/>
                <w:sz w:val="21"/>
                <w:szCs w:val="21"/>
                <w:vertAlign w:val="superscript"/>
              </w:rPr>
              <w:t>14</w:t>
            </w:r>
          </w:p>
        </w:tc>
      </w:tr>
      <w:tr w14:paraId="48DC5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461F73DE">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3FACECFB">
            <w:pPr>
              <w:spacing w:line="240" w:lineRule="auto"/>
              <w:ind w:firstLine="0" w:firstLineChars="0"/>
              <w:jc w:val="center"/>
              <w:rPr>
                <w:color w:val="auto"/>
                <w:sz w:val="21"/>
                <w:szCs w:val="21"/>
              </w:rPr>
            </w:pPr>
          </w:p>
        </w:tc>
        <w:tc>
          <w:tcPr>
            <w:tcW w:w="1926" w:type="dxa"/>
            <w:tcBorders>
              <w:tl2br w:val="nil"/>
              <w:tr2bl w:val="nil"/>
            </w:tcBorders>
            <w:vAlign w:val="center"/>
          </w:tcPr>
          <w:p w14:paraId="680C3126">
            <w:pPr>
              <w:spacing w:line="240" w:lineRule="auto"/>
              <w:ind w:firstLine="0" w:firstLineChars="0"/>
              <w:jc w:val="center"/>
              <w:rPr>
                <w:color w:val="auto"/>
                <w:sz w:val="21"/>
                <w:szCs w:val="21"/>
              </w:rPr>
            </w:pPr>
            <w:r>
              <w:rPr>
                <w:rFonts w:hint="eastAsia"/>
                <w:color w:val="auto"/>
                <w:sz w:val="21"/>
                <w:szCs w:val="21"/>
              </w:rPr>
              <w:t>贫水亚区</w:t>
            </w:r>
          </w:p>
        </w:tc>
        <w:tc>
          <w:tcPr>
            <w:tcW w:w="1170" w:type="dxa"/>
            <w:tcBorders>
              <w:tl2br w:val="nil"/>
              <w:tr2bl w:val="nil"/>
            </w:tcBorders>
            <w:vAlign w:val="center"/>
          </w:tcPr>
          <w:p w14:paraId="36C66216">
            <w:pPr>
              <w:spacing w:line="240" w:lineRule="auto"/>
              <w:ind w:firstLine="0" w:firstLineChars="0"/>
              <w:jc w:val="center"/>
              <w:rPr>
                <w:color w:val="auto"/>
                <w:sz w:val="21"/>
                <w:szCs w:val="21"/>
              </w:rPr>
            </w:pPr>
            <w:r>
              <w:rPr>
                <w:rFonts w:hint="eastAsia"/>
                <w:color w:val="auto"/>
                <w:sz w:val="21"/>
                <w:szCs w:val="21"/>
              </w:rPr>
              <w:t>I</w:t>
            </w:r>
            <w:r>
              <w:rPr>
                <w:rFonts w:hint="eastAsia"/>
                <w:color w:val="auto"/>
                <w:sz w:val="21"/>
                <w:szCs w:val="21"/>
                <w:vertAlign w:val="subscript"/>
              </w:rPr>
              <w:t>2</w:t>
            </w:r>
          </w:p>
        </w:tc>
        <w:tc>
          <w:tcPr>
            <w:tcW w:w="1548" w:type="dxa"/>
            <w:tcBorders>
              <w:tl2br w:val="nil"/>
              <w:tr2bl w:val="nil"/>
            </w:tcBorders>
            <w:vAlign w:val="center"/>
          </w:tcPr>
          <w:p w14:paraId="73ADB351">
            <w:pPr>
              <w:spacing w:line="240" w:lineRule="auto"/>
              <w:ind w:firstLine="0" w:firstLineChars="0"/>
              <w:jc w:val="center"/>
              <w:rPr>
                <w:color w:val="auto"/>
                <w:sz w:val="21"/>
                <w:szCs w:val="21"/>
              </w:rPr>
            </w:pPr>
          </w:p>
        </w:tc>
        <w:tc>
          <w:tcPr>
            <w:tcW w:w="1548" w:type="dxa"/>
            <w:tcBorders>
              <w:tl2br w:val="nil"/>
              <w:tr2bl w:val="nil"/>
            </w:tcBorders>
            <w:vAlign w:val="center"/>
          </w:tcPr>
          <w:p w14:paraId="69C515A5">
            <w:pPr>
              <w:spacing w:line="240" w:lineRule="auto"/>
              <w:ind w:firstLine="0" w:firstLineChars="0"/>
              <w:jc w:val="center"/>
              <w:rPr>
                <w:color w:val="auto"/>
                <w:sz w:val="21"/>
                <w:szCs w:val="21"/>
              </w:rPr>
            </w:pPr>
          </w:p>
        </w:tc>
      </w:tr>
      <w:tr w14:paraId="456FC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restart"/>
            <w:tcBorders>
              <w:tl2br w:val="nil"/>
              <w:tr2bl w:val="nil"/>
            </w:tcBorders>
            <w:vAlign w:val="center"/>
          </w:tcPr>
          <w:p w14:paraId="4839F0C5">
            <w:pPr>
              <w:spacing w:line="240" w:lineRule="auto"/>
              <w:ind w:firstLine="0" w:firstLineChars="0"/>
              <w:jc w:val="center"/>
              <w:rPr>
                <w:color w:val="auto"/>
                <w:sz w:val="21"/>
                <w:szCs w:val="21"/>
              </w:rPr>
            </w:pPr>
            <w:r>
              <w:rPr>
                <w:rFonts w:hint="eastAsia"/>
                <w:color w:val="auto"/>
                <w:sz w:val="21"/>
                <w:szCs w:val="21"/>
              </w:rPr>
              <w:t>平原水文地质区</w:t>
            </w:r>
          </w:p>
        </w:tc>
        <w:tc>
          <w:tcPr>
            <w:tcW w:w="1282" w:type="dxa"/>
            <w:vMerge w:val="restart"/>
            <w:tcBorders>
              <w:tl2br w:val="nil"/>
              <w:tr2bl w:val="nil"/>
            </w:tcBorders>
            <w:vAlign w:val="center"/>
          </w:tcPr>
          <w:p w14:paraId="71D689DC">
            <w:pPr>
              <w:spacing w:line="240" w:lineRule="auto"/>
              <w:ind w:firstLine="0" w:firstLineChars="0"/>
              <w:jc w:val="center"/>
              <w:rPr>
                <w:color w:val="auto"/>
                <w:sz w:val="21"/>
                <w:szCs w:val="21"/>
              </w:rPr>
            </w:pPr>
            <w:r>
              <w:rPr>
                <w:rFonts w:hint="eastAsia"/>
                <w:color w:val="auto"/>
                <w:sz w:val="21"/>
                <w:szCs w:val="21"/>
              </w:rPr>
              <w:t>II</w:t>
            </w:r>
          </w:p>
        </w:tc>
        <w:tc>
          <w:tcPr>
            <w:tcW w:w="1926" w:type="dxa"/>
            <w:tcBorders>
              <w:tl2br w:val="nil"/>
              <w:tr2bl w:val="nil"/>
            </w:tcBorders>
            <w:vAlign w:val="center"/>
          </w:tcPr>
          <w:p w14:paraId="4E73A406">
            <w:pPr>
              <w:spacing w:line="240" w:lineRule="auto"/>
              <w:ind w:firstLine="0" w:firstLineChars="0"/>
              <w:jc w:val="center"/>
              <w:rPr>
                <w:color w:val="auto"/>
                <w:sz w:val="21"/>
                <w:szCs w:val="21"/>
              </w:rPr>
            </w:pPr>
            <w:r>
              <w:rPr>
                <w:rFonts w:hint="eastAsia"/>
                <w:color w:val="auto"/>
                <w:sz w:val="21"/>
                <w:szCs w:val="21"/>
              </w:rPr>
              <w:t>徐圩微咸水亚区</w:t>
            </w:r>
          </w:p>
        </w:tc>
        <w:tc>
          <w:tcPr>
            <w:tcW w:w="1170" w:type="dxa"/>
            <w:tcBorders>
              <w:tl2br w:val="nil"/>
              <w:tr2bl w:val="nil"/>
            </w:tcBorders>
            <w:vAlign w:val="center"/>
          </w:tcPr>
          <w:p w14:paraId="4568519F">
            <w:pPr>
              <w:spacing w:line="240" w:lineRule="auto"/>
              <w:ind w:firstLine="0" w:firstLineChars="0"/>
              <w:jc w:val="center"/>
              <w:rPr>
                <w:color w:val="auto"/>
                <w:sz w:val="21"/>
                <w:szCs w:val="21"/>
              </w:rPr>
            </w:pPr>
            <w:r>
              <w:rPr>
                <w:rFonts w:hint="eastAsia"/>
                <w:color w:val="auto"/>
                <w:sz w:val="21"/>
                <w:szCs w:val="21"/>
              </w:rPr>
              <w:t>II</w:t>
            </w:r>
            <w:r>
              <w:rPr>
                <w:rFonts w:hint="eastAsia"/>
                <w:color w:val="auto"/>
                <w:sz w:val="21"/>
                <w:szCs w:val="21"/>
                <w:vertAlign w:val="subscript"/>
              </w:rPr>
              <w:t>1</w:t>
            </w:r>
          </w:p>
        </w:tc>
        <w:tc>
          <w:tcPr>
            <w:tcW w:w="1548" w:type="dxa"/>
            <w:tcBorders>
              <w:tl2br w:val="nil"/>
              <w:tr2bl w:val="nil"/>
            </w:tcBorders>
            <w:vAlign w:val="center"/>
          </w:tcPr>
          <w:p w14:paraId="4E1019A0">
            <w:pPr>
              <w:spacing w:line="240" w:lineRule="auto"/>
              <w:ind w:firstLine="0" w:firstLineChars="0"/>
              <w:jc w:val="center"/>
              <w:rPr>
                <w:color w:val="auto"/>
                <w:sz w:val="21"/>
                <w:szCs w:val="21"/>
              </w:rPr>
            </w:pPr>
          </w:p>
        </w:tc>
        <w:tc>
          <w:tcPr>
            <w:tcW w:w="1548" w:type="dxa"/>
            <w:tcBorders>
              <w:tl2br w:val="nil"/>
              <w:tr2bl w:val="nil"/>
            </w:tcBorders>
            <w:vAlign w:val="center"/>
          </w:tcPr>
          <w:p w14:paraId="5AB3F94C">
            <w:pPr>
              <w:spacing w:line="240" w:lineRule="auto"/>
              <w:ind w:firstLine="0" w:firstLineChars="0"/>
              <w:jc w:val="center"/>
              <w:rPr>
                <w:color w:val="auto"/>
                <w:sz w:val="21"/>
                <w:szCs w:val="21"/>
              </w:rPr>
            </w:pPr>
          </w:p>
        </w:tc>
      </w:tr>
      <w:tr w14:paraId="5589E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Merge w:val="continue"/>
            <w:tcBorders>
              <w:tl2br w:val="nil"/>
              <w:tr2bl w:val="nil"/>
            </w:tcBorders>
            <w:vAlign w:val="center"/>
          </w:tcPr>
          <w:p w14:paraId="6B53FDF8">
            <w:pPr>
              <w:spacing w:line="240" w:lineRule="auto"/>
              <w:ind w:firstLine="0" w:firstLineChars="0"/>
              <w:jc w:val="center"/>
              <w:rPr>
                <w:color w:val="auto"/>
                <w:sz w:val="21"/>
                <w:szCs w:val="21"/>
              </w:rPr>
            </w:pPr>
          </w:p>
        </w:tc>
        <w:tc>
          <w:tcPr>
            <w:tcW w:w="1282" w:type="dxa"/>
            <w:vMerge w:val="continue"/>
            <w:tcBorders>
              <w:tl2br w:val="nil"/>
              <w:tr2bl w:val="nil"/>
            </w:tcBorders>
            <w:vAlign w:val="center"/>
          </w:tcPr>
          <w:p w14:paraId="10430CA1">
            <w:pPr>
              <w:spacing w:line="240" w:lineRule="auto"/>
              <w:ind w:firstLine="0" w:firstLineChars="0"/>
              <w:jc w:val="center"/>
              <w:rPr>
                <w:color w:val="auto"/>
                <w:sz w:val="21"/>
                <w:szCs w:val="21"/>
              </w:rPr>
            </w:pPr>
          </w:p>
        </w:tc>
        <w:tc>
          <w:tcPr>
            <w:tcW w:w="1926" w:type="dxa"/>
            <w:tcBorders>
              <w:tl2br w:val="nil"/>
              <w:tr2bl w:val="nil"/>
            </w:tcBorders>
            <w:vAlign w:val="center"/>
          </w:tcPr>
          <w:p w14:paraId="774847F0">
            <w:pPr>
              <w:spacing w:line="240" w:lineRule="auto"/>
              <w:ind w:firstLine="0" w:firstLineChars="0"/>
              <w:jc w:val="center"/>
              <w:rPr>
                <w:color w:val="auto"/>
                <w:sz w:val="21"/>
                <w:szCs w:val="21"/>
              </w:rPr>
            </w:pPr>
            <w:r>
              <w:rPr>
                <w:rFonts w:hint="eastAsia"/>
                <w:color w:val="auto"/>
                <w:sz w:val="21"/>
                <w:szCs w:val="21"/>
              </w:rPr>
              <w:t>马二份-新坝-猴嘴咸水区</w:t>
            </w:r>
          </w:p>
        </w:tc>
        <w:tc>
          <w:tcPr>
            <w:tcW w:w="1170" w:type="dxa"/>
            <w:tcBorders>
              <w:tl2br w:val="nil"/>
              <w:tr2bl w:val="nil"/>
            </w:tcBorders>
            <w:vAlign w:val="center"/>
          </w:tcPr>
          <w:p w14:paraId="2AFCBF05">
            <w:pPr>
              <w:spacing w:line="240" w:lineRule="auto"/>
              <w:ind w:firstLine="0" w:firstLineChars="0"/>
              <w:jc w:val="center"/>
              <w:rPr>
                <w:color w:val="auto"/>
                <w:sz w:val="21"/>
                <w:szCs w:val="21"/>
              </w:rPr>
            </w:pPr>
            <w:r>
              <w:rPr>
                <w:rFonts w:hint="eastAsia"/>
                <w:color w:val="auto"/>
                <w:sz w:val="21"/>
                <w:szCs w:val="21"/>
              </w:rPr>
              <w:t>II</w:t>
            </w:r>
            <w:r>
              <w:rPr>
                <w:rFonts w:hint="eastAsia"/>
                <w:color w:val="auto"/>
                <w:sz w:val="21"/>
                <w:szCs w:val="21"/>
                <w:vertAlign w:val="subscript"/>
              </w:rPr>
              <w:t>2</w:t>
            </w:r>
          </w:p>
        </w:tc>
        <w:tc>
          <w:tcPr>
            <w:tcW w:w="1548" w:type="dxa"/>
            <w:tcBorders>
              <w:tl2br w:val="nil"/>
              <w:tr2bl w:val="nil"/>
            </w:tcBorders>
            <w:vAlign w:val="center"/>
          </w:tcPr>
          <w:p w14:paraId="3D38EDF8">
            <w:pPr>
              <w:spacing w:line="240" w:lineRule="auto"/>
              <w:ind w:firstLine="0" w:firstLineChars="0"/>
              <w:jc w:val="center"/>
              <w:rPr>
                <w:color w:val="auto"/>
                <w:sz w:val="21"/>
                <w:szCs w:val="21"/>
              </w:rPr>
            </w:pPr>
          </w:p>
        </w:tc>
        <w:tc>
          <w:tcPr>
            <w:tcW w:w="1548" w:type="dxa"/>
            <w:tcBorders>
              <w:tl2br w:val="nil"/>
              <w:tr2bl w:val="nil"/>
            </w:tcBorders>
            <w:vAlign w:val="center"/>
          </w:tcPr>
          <w:p w14:paraId="4C0E240D">
            <w:pPr>
              <w:spacing w:line="240" w:lineRule="auto"/>
              <w:ind w:firstLine="0" w:firstLineChars="0"/>
              <w:jc w:val="center"/>
              <w:rPr>
                <w:color w:val="auto"/>
                <w:sz w:val="21"/>
                <w:szCs w:val="21"/>
              </w:rPr>
            </w:pPr>
          </w:p>
        </w:tc>
      </w:tr>
      <w:tr w14:paraId="35E4E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tcBorders>
              <w:tl2br w:val="nil"/>
              <w:tr2bl w:val="nil"/>
            </w:tcBorders>
            <w:vAlign w:val="center"/>
          </w:tcPr>
          <w:p w14:paraId="25B80324">
            <w:pPr>
              <w:spacing w:line="240" w:lineRule="auto"/>
              <w:ind w:firstLine="0" w:firstLineChars="0"/>
              <w:jc w:val="center"/>
              <w:rPr>
                <w:color w:val="auto"/>
                <w:sz w:val="21"/>
                <w:szCs w:val="21"/>
              </w:rPr>
            </w:pPr>
            <w:r>
              <w:rPr>
                <w:rFonts w:hint="eastAsia"/>
                <w:color w:val="auto"/>
                <w:sz w:val="21"/>
                <w:szCs w:val="21"/>
              </w:rPr>
              <w:t>基岩水文地质区</w:t>
            </w:r>
          </w:p>
        </w:tc>
        <w:tc>
          <w:tcPr>
            <w:tcW w:w="1282" w:type="dxa"/>
            <w:tcBorders>
              <w:tl2br w:val="nil"/>
              <w:tr2bl w:val="nil"/>
            </w:tcBorders>
            <w:vAlign w:val="center"/>
          </w:tcPr>
          <w:p w14:paraId="1F5D4789">
            <w:pPr>
              <w:spacing w:line="240" w:lineRule="auto"/>
              <w:ind w:firstLine="0" w:firstLineChars="0"/>
              <w:jc w:val="center"/>
              <w:rPr>
                <w:color w:val="auto"/>
                <w:sz w:val="21"/>
                <w:szCs w:val="21"/>
              </w:rPr>
            </w:pPr>
            <w:r>
              <w:rPr>
                <w:rFonts w:hint="eastAsia"/>
                <w:color w:val="auto"/>
                <w:sz w:val="21"/>
                <w:szCs w:val="21"/>
              </w:rPr>
              <w:t>III</w:t>
            </w:r>
          </w:p>
        </w:tc>
        <w:tc>
          <w:tcPr>
            <w:tcW w:w="1926" w:type="dxa"/>
            <w:tcBorders>
              <w:tl2br w:val="nil"/>
              <w:tr2bl w:val="nil"/>
            </w:tcBorders>
            <w:vAlign w:val="center"/>
          </w:tcPr>
          <w:p w14:paraId="588E02DF">
            <w:pPr>
              <w:spacing w:line="240" w:lineRule="auto"/>
              <w:ind w:firstLine="0" w:firstLineChars="0"/>
              <w:jc w:val="center"/>
              <w:rPr>
                <w:color w:val="auto"/>
                <w:sz w:val="21"/>
                <w:szCs w:val="21"/>
              </w:rPr>
            </w:pPr>
          </w:p>
        </w:tc>
        <w:tc>
          <w:tcPr>
            <w:tcW w:w="1170" w:type="dxa"/>
            <w:tcBorders>
              <w:tl2br w:val="nil"/>
              <w:tr2bl w:val="nil"/>
            </w:tcBorders>
            <w:vAlign w:val="center"/>
          </w:tcPr>
          <w:p w14:paraId="5B111660">
            <w:pPr>
              <w:spacing w:line="240" w:lineRule="auto"/>
              <w:ind w:firstLine="0" w:firstLineChars="0"/>
              <w:jc w:val="center"/>
              <w:rPr>
                <w:color w:val="auto"/>
                <w:sz w:val="21"/>
                <w:szCs w:val="21"/>
              </w:rPr>
            </w:pPr>
          </w:p>
        </w:tc>
        <w:tc>
          <w:tcPr>
            <w:tcW w:w="1548" w:type="dxa"/>
            <w:tcBorders>
              <w:tl2br w:val="nil"/>
              <w:tr2bl w:val="nil"/>
            </w:tcBorders>
            <w:vAlign w:val="center"/>
          </w:tcPr>
          <w:p w14:paraId="39945A42">
            <w:pPr>
              <w:spacing w:line="240" w:lineRule="auto"/>
              <w:ind w:firstLine="0" w:firstLineChars="0"/>
              <w:jc w:val="center"/>
              <w:rPr>
                <w:color w:val="auto"/>
                <w:sz w:val="21"/>
                <w:szCs w:val="21"/>
              </w:rPr>
            </w:pPr>
          </w:p>
        </w:tc>
        <w:tc>
          <w:tcPr>
            <w:tcW w:w="1548" w:type="dxa"/>
            <w:tcBorders>
              <w:tl2br w:val="nil"/>
              <w:tr2bl w:val="nil"/>
            </w:tcBorders>
            <w:vAlign w:val="center"/>
          </w:tcPr>
          <w:p w14:paraId="0B5779B6">
            <w:pPr>
              <w:spacing w:line="240" w:lineRule="auto"/>
              <w:ind w:firstLine="0" w:firstLineChars="0"/>
              <w:jc w:val="center"/>
              <w:rPr>
                <w:color w:val="auto"/>
                <w:sz w:val="21"/>
                <w:szCs w:val="21"/>
              </w:rPr>
            </w:pPr>
          </w:p>
        </w:tc>
      </w:tr>
    </w:tbl>
    <w:p w14:paraId="29463E8A">
      <w:pPr>
        <w:ind w:firstLine="480"/>
        <w:rPr>
          <w:color w:val="auto"/>
        </w:rPr>
      </w:pPr>
      <w:r>
        <w:rPr>
          <w:rFonts w:hint="eastAsia"/>
          <w:color w:val="auto"/>
        </w:rPr>
        <w:t>（2）地下水类型及含水岩组划分</w:t>
      </w:r>
    </w:p>
    <w:p w14:paraId="06DA0D73">
      <w:pPr>
        <w:ind w:firstLine="480"/>
        <w:rPr>
          <w:color w:val="auto"/>
        </w:rPr>
      </w:pPr>
      <w:r>
        <w:rPr>
          <w:rFonts w:hint="eastAsia"/>
          <w:color w:val="auto"/>
        </w:rPr>
        <w:t>根据含水层岩性、赋存条件及物理特性，把本区地下水分为两大类型、五个含水岩组，见表5.1-5。依据埋藏深度，将埋深约50米以浅的地下水称浅层地下水，约 50 米以深的地下水称深层地下水。</w:t>
      </w:r>
    </w:p>
    <w:p w14:paraId="7642BC08">
      <w:pPr>
        <w:ind w:firstLine="480"/>
        <w:rPr>
          <w:color w:val="auto"/>
        </w:rPr>
      </w:pPr>
      <w:r>
        <w:rPr>
          <w:rFonts w:hint="eastAsia"/>
          <w:color w:val="auto"/>
        </w:rPr>
        <w:t>由于本地区地下淡水主要集中在坡麓地带，含水层岩性变化大、厚度薄，含水岩组有数层含水层构成，根据水文地质条件，在本区无法用单井标准涌水量表示富水性，而采用单井单位涌水量（口径0.4mm）q(/s·m）来表示，分成如下四组：</w:t>
      </w:r>
    </w:p>
    <w:p w14:paraId="79347524">
      <w:pPr>
        <w:ind w:firstLine="480"/>
        <w:rPr>
          <w:color w:val="auto"/>
        </w:rPr>
      </w:pPr>
      <w:r>
        <w:rPr>
          <w:rFonts w:hint="eastAsia"/>
          <w:color w:val="auto"/>
        </w:rPr>
        <w:t>富水性强q≥1.0；富水性中等0.5&lt;q&lt;1.0；富水性弱0.1≤q&lt;0.5；富水性很弱q&lt;0.1。</w:t>
      </w:r>
    </w:p>
    <w:p w14:paraId="6C7ED831">
      <w:pPr>
        <w:spacing w:line="240" w:lineRule="auto"/>
        <w:ind w:firstLine="0" w:firstLineChars="0"/>
        <w:jc w:val="center"/>
        <w:rPr>
          <w:b/>
          <w:bCs/>
          <w:color w:val="auto"/>
        </w:rPr>
      </w:pPr>
      <w:r>
        <w:rPr>
          <w:rFonts w:hint="eastAsia"/>
          <w:b/>
          <w:bCs/>
          <w:color w:val="auto"/>
        </w:rPr>
        <w:t>表5.1-5  水文地质分区表</w:t>
      </w:r>
    </w:p>
    <w:tbl>
      <w:tblPr>
        <w:tblStyle w:val="8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99"/>
        <w:gridCol w:w="2001"/>
        <w:gridCol w:w="950"/>
        <w:gridCol w:w="1201"/>
        <w:gridCol w:w="1678"/>
        <w:gridCol w:w="1311"/>
        <w:gridCol w:w="779"/>
      </w:tblGrid>
      <w:tr w14:paraId="75CE2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gridSpan w:val="2"/>
            <w:tcBorders>
              <w:tl2br w:val="nil"/>
              <w:tr2bl w:val="nil"/>
            </w:tcBorders>
            <w:vAlign w:val="center"/>
          </w:tcPr>
          <w:p w14:paraId="5938C237">
            <w:pPr>
              <w:spacing w:line="240" w:lineRule="auto"/>
              <w:ind w:firstLine="0" w:firstLineChars="0"/>
              <w:jc w:val="center"/>
              <w:rPr>
                <w:b/>
                <w:bCs/>
                <w:color w:val="auto"/>
                <w:sz w:val="21"/>
                <w:szCs w:val="21"/>
              </w:rPr>
            </w:pPr>
            <w:r>
              <w:rPr>
                <w:rFonts w:hint="eastAsia"/>
                <w:b/>
                <w:bCs/>
                <w:color w:val="auto"/>
                <w:sz w:val="21"/>
                <w:szCs w:val="21"/>
              </w:rPr>
              <w:t>地下水类型</w:t>
            </w:r>
          </w:p>
        </w:tc>
        <w:tc>
          <w:tcPr>
            <w:tcW w:w="1077" w:type="pct"/>
            <w:tcBorders>
              <w:tl2br w:val="nil"/>
              <w:tr2bl w:val="nil"/>
            </w:tcBorders>
            <w:vAlign w:val="center"/>
          </w:tcPr>
          <w:p w14:paraId="717F9FE7">
            <w:pPr>
              <w:spacing w:line="240" w:lineRule="auto"/>
              <w:ind w:firstLine="0" w:firstLineChars="0"/>
              <w:jc w:val="center"/>
              <w:rPr>
                <w:b/>
                <w:bCs/>
                <w:color w:val="auto"/>
                <w:sz w:val="21"/>
                <w:szCs w:val="21"/>
              </w:rPr>
            </w:pPr>
            <w:r>
              <w:rPr>
                <w:rFonts w:hint="eastAsia"/>
                <w:b/>
                <w:bCs/>
                <w:color w:val="auto"/>
                <w:sz w:val="21"/>
                <w:szCs w:val="21"/>
              </w:rPr>
              <w:t>名称</w:t>
            </w:r>
          </w:p>
        </w:tc>
        <w:tc>
          <w:tcPr>
            <w:tcW w:w="511" w:type="pct"/>
            <w:tcBorders>
              <w:tl2br w:val="nil"/>
              <w:tr2bl w:val="nil"/>
            </w:tcBorders>
            <w:vAlign w:val="center"/>
          </w:tcPr>
          <w:p w14:paraId="48265EA6">
            <w:pPr>
              <w:spacing w:line="240" w:lineRule="auto"/>
              <w:ind w:firstLine="0" w:firstLineChars="0"/>
              <w:jc w:val="center"/>
              <w:rPr>
                <w:b/>
                <w:bCs/>
                <w:color w:val="auto"/>
                <w:sz w:val="21"/>
                <w:szCs w:val="21"/>
              </w:rPr>
            </w:pPr>
            <w:r>
              <w:rPr>
                <w:rFonts w:hint="eastAsia"/>
                <w:b/>
                <w:bCs/>
                <w:color w:val="auto"/>
                <w:sz w:val="21"/>
                <w:szCs w:val="21"/>
              </w:rPr>
              <w:t>时代</w:t>
            </w:r>
          </w:p>
        </w:tc>
        <w:tc>
          <w:tcPr>
            <w:tcW w:w="646" w:type="pct"/>
            <w:tcBorders>
              <w:tl2br w:val="nil"/>
              <w:tr2bl w:val="nil"/>
            </w:tcBorders>
            <w:vAlign w:val="center"/>
          </w:tcPr>
          <w:p w14:paraId="0309D85B">
            <w:pPr>
              <w:spacing w:line="240" w:lineRule="auto"/>
              <w:ind w:firstLine="0" w:firstLineChars="0"/>
              <w:jc w:val="center"/>
              <w:rPr>
                <w:b/>
                <w:bCs/>
                <w:color w:val="auto"/>
                <w:sz w:val="21"/>
                <w:szCs w:val="21"/>
              </w:rPr>
            </w:pPr>
            <w:r>
              <w:rPr>
                <w:rFonts w:hint="eastAsia"/>
                <w:b/>
                <w:bCs/>
                <w:color w:val="auto"/>
                <w:sz w:val="21"/>
                <w:szCs w:val="21"/>
              </w:rPr>
              <w:t>组（阶）</w:t>
            </w:r>
          </w:p>
        </w:tc>
        <w:tc>
          <w:tcPr>
            <w:tcW w:w="903" w:type="pct"/>
            <w:tcBorders>
              <w:tl2br w:val="nil"/>
              <w:tr2bl w:val="nil"/>
            </w:tcBorders>
            <w:vAlign w:val="center"/>
          </w:tcPr>
          <w:p w14:paraId="2BBDCA91">
            <w:pPr>
              <w:spacing w:line="240" w:lineRule="auto"/>
              <w:ind w:firstLine="0" w:firstLineChars="0"/>
              <w:jc w:val="center"/>
              <w:rPr>
                <w:b/>
                <w:bCs/>
                <w:color w:val="auto"/>
                <w:sz w:val="21"/>
                <w:szCs w:val="21"/>
              </w:rPr>
            </w:pPr>
            <w:r>
              <w:rPr>
                <w:rFonts w:hint="eastAsia"/>
                <w:b/>
                <w:bCs/>
                <w:color w:val="auto"/>
                <w:sz w:val="21"/>
                <w:szCs w:val="21"/>
              </w:rPr>
              <w:t>主要岩性</w:t>
            </w:r>
          </w:p>
        </w:tc>
        <w:tc>
          <w:tcPr>
            <w:tcW w:w="705" w:type="pct"/>
            <w:tcBorders>
              <w:tl2br w:val="nil"/>
              <w:tr2bl w:val="nil"/>
            </w:tcBorders>
            <w:vAlign w:val="center"/>
          </w:tcPr>
          <w:p w14:paraId="2B10D64D">
            <w:pPr>
              <w:spacing w:line="240" w:lineRule="auto"/>
              <w:ind w:firstLine="0" w:firstLineChars="0"/>
              <w:jc w:val="center"/>
              <w:rPr>
                <w:b/>
                <w:bCs/>
                <w:color w:val="auto"/>
                <w:sz w:val="21"/>
                <w:szCs w:val="21"/>
              </w:rPr>
            </w:pPr>
            <w:r>
              <w:rPr>
                <w:rFonts w:hint="eastAsia"/>
                <w:b/>
                <w:bCs/>
                <w:color w:val="auto"/>
                <w:sz w:val="21"/>
                <w:szCs w:val="21"/>
              </w:rPr>
              <w:t>单位涌水量（L/s•m）</w:t>
            </w:r>
          </w:p>
        </w:tc>
        <w:tc>
          <w:tcPr>
            <w:tcW w:w="420" w:type="pct"/>
            <w:tcBorders>
              <w:tl2br w:val="nil"/>
              <w:tr2bl w:val="nil"/>
            </w:tcBorders>
            <w:vAlign w:val="center"/>
          </w:tcPr>
          <w:p w14:paraId="3FFA063D">
            <w:pPr>
              <w:spacing w:line="240" w:lineRule="auto"/>
              <w:ind w:firstLine="0" w:firstLineChars="0"/>
              <w:jc w:val="center"/>
              <w:rPr>
                <w:b/>
                <w:bCs/>
                <w:color w:val="auto"/>
                <w:sz w:val="21"/>
                <w:szCs w:val="21"/>
              </w:rPr>
            </w:pPr>
            <w:r>
              <w:rPr>
                <w:rFonts w:hint="eastAsia"/>
                <w:b/>
                <w:bCs/>
                <w:color w:val="auto"/>
                <w:sz w:val="21"/>
                <w:szCs w:val="21"/>
              </w:rPr>
              <w:t>富水性</w:t>
            </w:r>
          </w:p>
        </w:tc>
      </w:tr>
      <w:tr w14:paraId="057DA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vMerge w:val="restart"/>
            <w:tcBorders>
              <w:tl2br w:val="nil"/>
              <w:tr2bl w:val="nil"/>
            </w:tcBorders>
            <w:vAlign w:val="center"/>
          </w:tcPr>
          <w:p w14:paraId="0127716D">
            <w:pPr>
              <w:spacing w:line="240" w:lineRule="auto"/>
              <w:ind w:firstLine="0" w:firstLineChars="0"/>
              <w:jc w:val="center"/>
              <w:rPr>
                <w:color w:val="auto"/>
                <w:sz w:val="21"/>
                <w:szCs w:val="21"/>
              </w:rPr>
            </w:pPr>
            <w:r>
              <w:rPr>
                <w:rFonts w:hint="eastAsia"/>
                <w:color w:val="auto"/>
                <w:sz w:val="21"/>
                <w:szCs w:val="21"/>
              </w:rPr>
              <w:t>松散岩类孔隙水</w:t>
            </w:r>
          </w:p>
        </w:tc>
        <w:tc>
          <w:tcPr>
            <w:tcW w:w="323" w:type="pct"/>
            <w:vMerge w:val="restart"/>
            <w:tcBorders>
              <w:tl2br w:val="nil"/>
              <w:tr2bl w:val="nil"/>
            </w:tcBorders>
            <w:vAlign w:val="center"/>
          </w:tcPr>
          <w:p w14:paraId="61371A1E">
            <w:pPr>
              <w:spacing w:line="240" w:lineRule="auto"/>
              <w:ind w:firstLine="0" w:firstLineChars="0"/>
              <w:jc w:val="center"/>
              <w:rPr>
                <w:color w:val="auto"/>
                <w:sz w:val="21"/>
                <w:szCs w:val="21"/>
              </w:rPr>
            </w:pPr>
            <w:r>
              <w:rPr>
                <w:rFonts w:hint="eastAsia"/>
                <w:color w:val="auto"/>
                <w:sz w:val="21"/>
                <w:szCs w:val="21"/>
              </w:rPr>
              <w:t>浅层孔隙水</w:t>
            </w:r>
          </w:p>
        </w:tc>
        <w:tc>
          <w:tcPr>
            <w:tcW w:w="1077" w:type="pct"/>
            <w:vMerge w:val="restart"/>
            <w:tcBorders>
              <w:tl2br w:val="nil"/>
              <w:tr2bl w:val="nil"/>
            </w:tcBorders>
            <w:vAlign w:val="center"/>
          </w:tcPr>
          <w:p w14:paraId="19F1E198">
            <w:pPr>
              <w:spacing w:line="240" w:lineRule="auto"/>
              <w:ind w:firstLine="0" w:firstLineChars="0"/>
              <w:jc w:val="center"/>
              <w:rPr>
                <w:color w:val="auto"/>
                <w:sz w:val="21"/>
                <w:szCs w:val="21"/>
              </w:rPr>
            </w:pPr>
            <w:r>
              <w:rPr>
                <w:rFonts w:hint="eastAsia"/>
                <w:color w:val="auto"/>
                <w:sz w:val="21"/>
                <w:szCs w:val="21"/>
              </w:rPr>
              <w:t>无压－微承压含水岩组</w:t>
            </w:r>
          </w:p>
        </w:tc>
        <w:tc>
          <w:tcPr>
            <w:tcW w:w="511" w:type="pct"/>
            <w:tcBorders>
              <w:tl2br w:val="nil"/>
              <w:tr2bl w:val="nil"/>
            </w:tcBorders>
            <w:vAlign w:val="center"/>
          </w:tcPr>
          <w:p w14:paraId="6F684A59">
            <w:pPr>
              <w:spacing w:line="240" w:lineRule="auto"/>
              <w:ind w:firstLine="0" w:firstLineChars="0"/>
              <w:jc w:val="center"/>
              <w:rPr>
                <w:color w:val="auto"/>
                <w:sz w:val="21"/>
                <w:szCs w:val="21"/>
              </w:rPr>
            </w:pPr>
            <w:r>
              <w:rPr>
                <w:rFonts w:hint="eastAsia"/>
                <w:color w:val="auto"/>
                <w:sz w:val="21"/>
                <w:szCs w:val="21"/>
              </w:rPr>
              <w:t>Q</w:t>
            </w:r>
            <w:r>
              <w:rPr>
                <w:rFonts w:hint="eastAsia"/>
                <w:color w:val="auto"/>
                <w:sz w:val="21"/>
                <w:szCs w:val="21"/>
                <w:vertAlign w:val="subscript"/>
              </w:rPr>
              <w:t>4</w:t>
            </w:r>
          </w:p>
        </w:tc>
        <w:tc>
          <w:tcPr>
            <w:tcW w:w="646" w:type="pct"/>
            <w:tcBorders>
              <w:tl2br w:val="nil"/>
              <w:tr2bl w:val="nil"/>
            </w:tcBorders>
            <w:vAlign w:val="center"/>
          </w:tcPr>
          <w:p w14:paraId="0EF93923">
            <w:pPr>
              <w:spacing w:line="240" w:lineRule="auto"/>
              <w:ind w:firstLine="0" w:firstLineChars="0"/>
              <w:jc w:val="center"/>
              <w:rPr>
                <w:color w:val="auto"/>
                <w:sz w:val="21"/>
                <w:szCs w:val="21"/>
              </w:rPr>
            </w:pPr>
            <w:r>
              <w:rPr>
                <w:rFonts w:hint="eastAsia"/>
                <w:color w:val="auto"/>
                <w:sz w:val="21"/>
                <w:szCs w:val="21"/>
              </w:rPr>
              <w:t>连云港组</w:t>
            </w:r>
          </w:p>
        </w:tc>
        <w:tc>
          <w:tcPr>
            <w:tcW w:w="903" w:type="pct"/>
            <w:tcBorders>
              <w:tl2br w:val="nil"/>
              <w:tr2bl w:val="nil"/>
            </w:tcBorders>
            <w:vAlign w:val="center"/>
          </w:tcPr>
          <w:p w14:paraId="0A11B07C">
            <w:pPr>
              <w:spacing w:line="240" w:lineRule="auto"/>
              <w:ind w:firstLine="0" w:firstLineChars="0"/>
              <w:jc w:val="center"/>
              <w:rPr>
                <w:color w:val="auto"/>
                <w:sz w:val="21"/>
                <w:szCs w:val="21"/>
              </w:rPr>
            </w:pPr>
            <w:r>
              <w:rPr>
                <w:rFonts w:hint="eastAsia"/>
                <w:color w:val="auto"/>
                <w:sz w:val="21"/>
                <w:szCs w:val="21"/>
              </w:rPr>
              <w:t>粉质粘土、淤泥、粉细砂</w:t>
            </w:r>
          </w:p>
        </w:tc>
        <w:tc>
          <w:tcPr>
            <w:tcW w:w="705" w:type="pct"/>
            <w:tcBorders>
              <w:tl2br w:val="nil"/>
              <w:tr2bl w:val="nil"/>
            </w:tcBorders>
            <w:vAlign w:val="center"/>
          </w:tcPr>
          <w:p w14:paraId="63AC446F">
            <w:pPr>
              <w:spacing w:line="240" w:lineRule="auto"/>
              <w:ind w:firstLine="0" w:firstLineChars="0"/>
              <w:jc w:val="center"/>
              <w:rPr>
                <w:color w:val="auto"/>
                <w:sz w:val="21"/>
                <w:szCs w:val="21"/>
              </w:rPr>
            </w:pPr>
            <w:r>
              <w:rPr>
                <w:rFonts w:hint="eastAsia"/>
                <w:color w:val="auto"/>
                <w:sz w:val="21"/>
                <w:szCs w:val="21"/>
              </w:rPr>
              <w:t>0.009~0.83</w:t>
            </w:r>
          </w:p>
        </w:tc>
        <w:tc>
          <w:tcPr>
            <w:tcW w:w="420" w:type="pct"/>
            <w:tcBorders>
              <w:tl2br w:val="nil"/>
              <w:tr2bl w:val="nil"/>
            </w:tcBorders>
            <w:vAlign w:val="center"/>
          </w:tcPr>
          <w:p w14:paraId="62CA49C9">
            <w:pPr>
              <w:spacing w:line="240" w:lineRule="auto"/>
              <w:ind w:firstLine="0" w:firstLineChars="0"/>
              <w:jc w:val="center"/>
              <w:rPr>
                <w:color w:val="auto"/>
                <w:sz w:val="21"/>
                <w:szCs w:val="21"/>
              </w:rPr>
            </w:pPr>
            <w:r>
              <w:rPr>
                <w:rFonts w:hint="eastAsia"/>
                <w:color w:val="auto"/>
                <w:sz w:val="21"/>
                <w:szCs w:val="21"/>
              </w:rPr>
              <w:t>中等~很弱</w:t>
            </w:r>
          </w:p>
        </w:tc>
      </w:tr>
      <w:tr w14:paraId="4E23E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410" w:type="pct"/>
            <w:vMerge w:val="continue"/>
            <w:tcBorders>
              <w:tl2br w:val="nil"/>
              <w:tr2bl w:val="nil"/>
            </w:tcBorders>
            <w:vAlign w:val="center"/>
          </w:tcPr>
          <w:p w14:paraId="3F8AD675">
            <w:pPr>
              <w:spacing w:line="240" w:lineRule="auto"/>
              <w:ind w:firstLine="0" w:firstLineChars="0"/>
              <w:jc w:val="center"/>
              <w:rPr>
                <w:color w:val="auto"/>
                <w:sz w:val="21"/>
                <w:szCs w:val="21"/>
              </w:rPr>
            </w:pPr>
          </w:p>
        </w:tc>
        <w:tc>
          <w:tcPr>
            <w:tcW w:w="323" w:type="pct"/>
            <w:vMerge w:val="continue"/>
            <w:tcBorders>
              <w:tl2br w:val="nil"/>
              <w:tr2bl w:val="nil"/>
            </w:tcBorders>
            <w:vAlign w:val="center"/>
          </w:tcPr>
          <w:p w14:paraId="4C5221C4">
            <w:pPr>
              <w:spacing w:line="240" w:lineRule="auto"/>
              <w:ind w:firstLine="0" w:firstLineChars="0"/>
              <w:jc w:val="center"/>
              <w:rPr>
                <w:color w:val="auto"/>
                <w:sz w:val="21"/>
                <w:szCs w:val="21"/>
              </w:rPr>
            </w:pPr>
          </w:p>
        </w:tc>
        <w:tc>
          <w:tcPr>
            <w:tcW w:w="1077" w:type="pct"/>
            <w:vMerge w:val="continue"/>
            <w:tcBorders>
              <w:tl2br w:val="nil"/>
              <w:tr2bl w:val="nil"/>
            </w:tcBorders>
            <w:vAlign w:val="center"/>
          </w:tcPr>
          <w:p w14:paraId="05E63F30">
            <w:pPr>
              <w:spacing w:line="240" w:lineRule="auto"/>
              <w:ind w:firstLine="0" w:firstLineChars="0"/>
              <w:jc w:val="center"/>
              <w:rPr>
                <w:color w:val="auto"/>
                <w:sz w:val="21"/>
                <w:szCs w:val="21"/>
              </w:rPr>
            </w:pPr>
          </w:p>
        </w:tc>
        <w:tc>
          <w:tcPr>
            <w:tcW w:w="511" w:type="pct"/>
            <w:tcBorders>
              <w:tl2br w:val="nil"/>
              <w:tr2bl w:val="nil"/>
            </w:tcBorders>
            <w:vAlign w:val="center"/>
          </w:tcPr>
          <w:p w14:paraId="6D12C5E3">
            <w:pPr>
              <w:spacing w:line="240" w:lineRule="auto"/>
              <w:ind w:firstLine="0" w:firstLineChars="0"/>
              <w:jc w:val="center"/>
              <w:rPr>
                <w:color w:val="auto"/>
                <w:sz w:val="21"/>
                <w:szCs w:val="21"/>
              </w:rPr>
            </w:pPr>
            <w:r>
              <w:rPr>
                <w:rFonts w:hint="eastAsia"/>
                <w:color w:val="auto"/>
                <w:sz w:val="21"/>
                <w:szCs w:val="21"/>
              </w:rPr>
              <w:t>Q</w:t>
            </w:r>
            <w:r>
              <w:rPr>
                <w:rFonts w:hint="eastAsia"/>
                <w:color w:val="auto"/>
                <w:sz w:val="21"/>
                <w:szCs w:val="21"/>
                <w:vertAlign w:val="subscript"/>
              </w:rPr>
              <w:t>3</w:t>
            </w:r>
          </w:p>
        </w:tc>
        <w:tc>
          <w:tcPr>
            <w:tcW w:w="646" w:type="pct"/>
            <w:tcBorders>
              <w:tl2br w:val="nil"/>
              <w:tr2bl w:val="nil"/>
            </w:tcBorders>
            <w:vAlign w:val="center"/>
          </w:tcPr>
          <w:p w14:paraId="043E912D">
            <w:pPr>
              <w:spacing w:line="240" w:lineRule="auto"/>
              <w:ind w:firstLine="0" w:firstLineChars="0"/>
              <w:jc w:val="center"/>
              <w:rPr>
                <w:color w:val="auto"/>
                <w:sz w:val="21"/>
                <w:szCs w:val="21"/>
              </w:rPr>
            </w:pPr>
            <w:r>
              <w:rPr>
                <w:rFonts w:hint="eastAsia"/>
                <w:color w:val="auto"/>
                <w:sz w:val="21"/>
                <w:szCs w:val="21"/>
              </w:rPr>
              <w:t>戚咀组</w:t>
            </w:r>
          </w:p>
        </w:tc>
        <w:tc>
          <w:tcPr>
            <w:tcW w:w="903" w:type="pct"/>
            <w:tcBorders>
              <w:tl2br w:val="nil"/>
              <w:tr2bl w:val="nil"/>
            </w:tcBorders>
            <w:vAlign w:val="center"/>
          </w:tcPr>
          <w:p w14:paraId="6F541AA0">
            <w:pPr>
              <w:spacing w:line="240" w:lineRule="auto"/>
              <w:ind w:firstLine="0" w:firstLineChars="0"/>
              <w:jc w:val="center"/>
              <w:rPr>
                <w:color w:val="auto"/>
                <w:sz w:val="21"/>
                <w:szCs w:val="21"/>
              </w:rPr>
            </w:pPr>
            <w:r>
              <w:rPr>
                <w:rFonts w:hint="eastAsia"/>
                <w:color w:val="auto"/>
                <w:sz w:val="21"/>
                <w:szCs w:val="21"/>
              </w:rPr>
              <w:t>含砾细砂、粉土、砂砾层</w:t>
            </w:r>
          </w:p>
        </w:tc>
        <w:tc>
          <w:tcPr>
            <w:tcW w:w="705" w:type="pct"/>
            <w:tcBorders>
              <w:tl2br w:val="nil"/>
              <w:tr2bl w:val="nil"/>
            </w:tcBorders>
            <w:vAlign w:val="center"/>
          </w:tcPr>
          <w:p w14:paraId="088E5D92">
            <w:pPr>
              <w:spacing w:line="240" w:lineRule="auto"/>
              <w:ind w:firstLine="0" w:firstLineChars="0"/>
              <w:jc w:val="center"/>
              <w:rPr>
                <w:color w:val="auto"/>
                <w:sz w:val="21"/>
                <w:szCs w:val="21"/>
              </w:rPr>
            </w:pPr>
            <w:r>
              <w:rPr>
                <w:rFonts w:hint="eastAsia"/>
                <w:color w:val="auto"/>
                <w:sz w:val="21"/>
                <w:szCs w:val="21"/>
              </w:rPr>
              <w:t>0.5~1.0</w:t>
            </w:r>
          </w:p>
        </w:tc>
        <w:tc>
          <w:tcPr>
            <w:tcW w:w="420" w:type="pct"/>
            <w:tcBorders>
              <w:tl2br w:val="nil"/>
              <w:tr2bl w:val="nil"/>
            </w:tcBorders>
            <w:vAlign w:val="center"/>
          </w:tcPr>
          <w:p w14:paraId="58A85DD0">
            <w:pPr>
              <w:spacing w:line="240" w:lineRule="auto"/>
              <w:ind w:firstLine="0" w:firstLineChars="0"/>
              <w:jc w:val="center"/>
              <w:rPr>
                <w:color w:val="auto"/>
                <w:sz w:val="21"/>
                <w:szCs w:val="21"/>
              </w:rPr>
            </w:pPr>
            <w:r>
              <w:rPr>
                <w:rFonts w:hint="eastAsia"/>
                <w:color w:val="auto"/>
                <w:sz w:val="21"/>
                <w:szCs w:val="21"/>
              </w:rPr>
              <w:t>中等</w:t>
            </w:r>
          </w:p>
        </w:tc>
      </w:tr>
      <w:tr w14:paraId="52099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tl2br w:val="nil"/>
              <w:tr2bl w:val="nil"/>
            </w:tcBorders>
            <w:vAlign w:val="center"/>
          </w:tcPr>
          <w:p w14:paraId="51A61514">
            <w:pPr>
              <w:spacing w:line="240" w:lineRule="auto"/>
              <w:ind w:firstLine="0" w:firstLineChars="0"/>
              <w:jc w:val="center"/>
              <w:rPr>
                <w:color w:val="auto"/>
                <w:sz w:val="21"/>
                <w:szCs w:val="21"/>
              </w:rPr>
            </w:pPr>
          </w:p>
        </w:tc>
        <w:tc>
          <w:tcPr>
            <w:tcW w:w="323" w:type="pct"/>
            <w:vMerge w:val="restart"/>
            <w:tcBorders>
              <w:tl2br w:val="nil"/>
              <w:tr2bl w:val="nil"/>
            </w:tcBorders>
            <w:vAlign w:val="center"/>
          </w:tcPr>
          <w:p w14:paraId="6B836FFD">
            <w:pPr>
              <w:spacing w:line="240" w:lineRule="auto"/>
              <w:ind w:firstLine="0" w:firstLineChars="0"/>
              <w:jc w:val="center"/>
              <w:rPr>
                <w:color w:val="auto"/>
                <w:sz w:val="21"/>
                <w:szCs w:val="21"/>
              </w:rPr>
            </w:pPr>
            <w:r>
              <w:rPr>
                <w:rFonts w:hint="eastAsia"/>
                <w:color w:val="auto"/>
                <w:sz w:val="21"/>
                <w:szCs w:val="21"/>
              </w:rPr>
              <w:t>深层孔隙水</w:t>
            </w:r>
          </w:p>
        </w:tc>
        <w:tc>
          <w:tcPr>
            <w:tcW w:w="1077" w:type="pct"/>
            <w:vMerge w:val="restart"/>
            <w:tcBorders>
              <w:tl2br w:val="nil"/>
              <w:tr2bl w:val="nil"/>
            </w:tcBorders>
            <w:vAlign w:val="center"/>
          </w:tcPr>
          <w:p w14:paraId="2C6C20F1">
            <w:pPr>
              <w:spacing w:line="240" w:lineRule="auto"/>
              <w:ind w:firstLine="0" w:firstLineChars="0"/>
              <w:jc w:val="center"/>
              <w:rPr>
                <w:color w:val="auto"/>
                <w:sz w:val="21"/>
                <w:szCs w:val="21"/>
              </w:rPr>
            </w:pPr>
            <w:r>
              <w:rPr>
                <w:rFonts w:hint="eastAsia"/>
                <w:color w:val="auto"/>
                <w:sz w:val="21"/>
                <w:szCs w:val="21"/>
              </w:rPr>
              <w:t>承压含水层组</w:t>
            </w:r>
          </w:p>
        </w:tc>
        <w:tc>
          <w:tcPr>
            <w:tcW w:w="511" w:type="pct"/>
            <w:vMerge w:val="restart"/>
            <w:tcBorders>
              <w:tl2br w:val="nil"/>
              <w:tr2bl w:val="nil"/>
            </w:tcBorders>
            <w:vAlign w:val="center"/>
          </w:tcPr>
          <w:p w14:paraId="4B3883E8">
            <w:pPr>
              <w:spacing w:line="240" w:lineRule="auto"/>
              <w:ind w:firstLine="0" w:firstLineChars="0"/>
              <w:jc w:val="center"/>
              <w:rPr>
                <w:color w:val="auto"/>
                <w:sz w:val="21"/>
                <w:szCs w:val="21"/>
              </w:rPr>
            </w:pPr>
            <w:r>
              <w:rPr>
                <w:rFonts w:hint="eastAsia"/>
                <w:color w:val="auto"/>
                <w:sz w:val="21"/>
                <w:szCs w:val="21"/>
              </w:rPr>
              <w:t>Q</w:t>
            </w:r>
            <w:r>
              <w:rPr>
                <w:rFonts w:hint="eastAsia"/>
                <w:color w:val="auto"/>
                <w:sz w:val="21"/>
                <w:szCs w:val="21"/>
                <w:vertAlign w:val="subscript"/>
              </w:rPr>
              <w:t>1-2</w:t>
            </w:r>
          </w:p>
        </w:tc>
        <w:tc>
          <w:tcPr>
            <w:tcW w:w="646" w:type="pct"/>
            <w:tcBorders>
              <w:tl2br w:val="nil"/>
              <w:tr2bl w:val="nil"/>
            </w:tcBorders>
            <w:vAlign w:val="center"/>
          </w:tcPr>
          <w:p w14:paraId="52294AA0">
            <w:pPr>
              <w:spacing w:line="240" w:lineRule="auto"/>
              <w:ind w:firstLine="0" w:firstLineChars="0"/>
              <w:jc w:val="center"/>
              <w:rPr>
                <w:color w:val="auto"/>
                <w:sz w:val="21"/>
                <w:szCs w:val="21"/>
              </w:rPr>
            </w:pPr>
            <w:r>
              <w:rPr>
                <w:rFonts w:hint="eastAsia"/>
                <w:color w:val="auto"/>
                <w:sz w:val="21"/>
                <w:szCs w:val="21"/>
              </w:rPr>
              <w:t>泊岗组</w:t>
            </w:r>
          </w:p>
        </w:tc>
        <w:tc>
          <w:tcPr>
            <w:tcW w:w="903" w:type="pct"/>
            <w:tcBorders>
              <w:tl2br w:val="nil"/>
              <w:tr2bl w:val="nil"/>
            </w:tcBorders>
            <w:vAlign w:val="center"/>
          </w:tcPr>
          <w:p w14:paraId="1520B2D2">
            <w:pPr>
              <w:spacing w:line="240" w:lineRule="auto"/>
              <w:ind w:firstLine="0" w:firstLineChars="0"/>
              <w:jc w:val="center"/>
              <w:rPr>
                <w:color w:val="auto"/>
                <w:sz w:val="21"/>
                <w:szCs w:val="21"/>
              </w:rPr>
            </w:pPr>
            <w:r>
              <w:rPr>
                <w:rFonts w:hint="eastAsia"/>
                <w:color w:val="auto"/>
                <w:sz w:val="21"/>
                <w:szCs w:val="21"/>
              </w:rPr>
              <w:t>粉土、砂、砂砾</w:t>
            </w:r>
          </w:p>
        </w:tc>
        <w:tc>
          <w:tcPr>
            <w:tcW w:w="705" w:type="pct"/>
            <w:vMerge w:val="restart"/>
            <w:tcBorders>
              <w:tl2br w:val="nil"/>
              <w:tr2bl w:val="nil"/>
            </w:tcBorders>
            <w:vAlign w:val="center"/>
          </w:tcPr>
          <w:p w14:paraId="2278DBD6">
            <w:pPr>
              <w:spacing w:line="240" w:lineRule="auto"/>
              <w:ind w:firstLine="0" w:firstLineChars="0"/>
              <w:jc w:val="center"/>
              <w:rPr>
                <w:color w:val="auto"/>
                <w:sz w:val="21"/>
                <w:szCs w:val="21"/>
              </w:rPr>
            </w:pPr>
            <w:r>
              <w:rPr>
                <w:rFonts w:hint="eastAsia"/>
                <w:color w:val="auto"/>
                <w:sz w:val="21"/>
                <w:szCs w:val="21"/>
              </w:rPr>
              <w:t>&lt;0.7</w:t>
            </w:r>
          </w:p>
        </w:tc>
        <w:tc>
          <w:tcPr>
            <w:tcW w:w="420" w:type="pct"/>
            <w:vMerge w:val="restart"/>
            <w:tcBorders>
              <w:tl2br w:val="nil"/>
              <w:tr2bl w:val="nil"/>
            </w:tcBorders>
            <w:vAlign w:val="center"/>
          </w:tcPr>
          <w:p w14:paraId="11966767">
            <w:pPr>
              <w:spacing w:line="240" w:lineRule="auto"/>
              <w:ind w:firstLine="0" w:firstLineChars="0"/>
              <w:jc w:val="center"/>
              <w:rPr>
                <w:color w:val="auto"/>
                <w:sz w:val="21"/>
                <w:szCs w:val="21"/>
              </w:rPr>
            </w:pPr>
            <w:r>
              <w:rPr>
                <w:rFonts w:hint="eastAsia"/>
                <w:color w:val="auto"/>
                <w:sz w:val="21"/>
                <w:szCs w:val="21"/>
              </w:rPr>
              <w:t>弱～很弱</w:t>
            </w:r>
          </w:p>
        </w:tc>
      </w:tr>
      <w:tr w14:paraId="2D69E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tl2br w:val="nil"/>
              <w:tr2bl w:val="nil"/>
            </w:tcBorders>
            <w:vAlign w:val="center"/>
          </w:tcPr>
          <w:p w14:paraId="553BE8DA">
            <w:pPr>
              <w:spacing w:line="240" w:lineRule="auto"/>
              <w:ind w:firstLine="0" w:firstLineChars="0"/>
              <w:jc w:val="center"/>
              <w:rPr>
                <w:color w:val="auto"/>
                <w:sz w:val="21"/>
                <w:szCs w:val="21"/>
              </w:rPr>
            </w:pPr>
          </w:p>
        </w:tc>
        <w:tc>
          <w:tcPr>
            <w:tcW w:w="323" w:type="pct"/>
            <w:vMerge w:val="continue"/>
            <w:tcBorders>
              <w:tl2br w:val="nil"/>
              <w:tr2bl w:val="nil"/>
            </w:tcBorders>
            <w:vAlign w:val="center"/>
          </w:tcPr>
          <w:p w14:paraId="7660D499">
            <w:pPr>
              <w:spacing w:line="240" w:lineRule="auto"/>
              <w:ind w:firstLine="0" w:firstLineChars="0"/>
              <w:jc w:val="center"/>
              <w:rPr>
                <w:color w:val="auto"/>
                <w:sz w:val="21"/>
                <w:szCs w:val="21"/>
              </w:rPr>
            </w:pPr>
          </w:p>
        </w:tc>
        <w:tc>
          <w:tcPr>
            <w:tcW w:w="1077" w:type="pct"/>
            <w:vMerge w:val="continue"/>
            <w:tcBorders>
              <w:tl2br w:val="nil"/>
              <w:tr2bl w:val="nil"/>
            </w:tcBorders>
            <w:vAlign w:val="center"/>
          </w:tcPr>
          <w:p w14:paraId="7BC8F6E0">
            <w:pPr>
              <w:spacing w:line="240" w:lineRule="auto"/>
              <w:ind w:firstLine="0" w:firstLineChars="0"/>
              <w:jc w:val="center"/>
              <w:rPr>
                <w:color w:val="auto"/>
                <w:sz w:val="21"/>
                <w:szCs w:val="21"/>
              </w:rPr>
            </w:pPr>
          </w:p>
        </w:tc>
        <w:tc>
          <w:tcPr>
            <w:tcW w:w="511" w:type="pct"/>
            <w:vMerge w:val="continue"/>
            <w:tcBorders>
              <w:tl2br w:val="nil"/>
              <w:tr2bl w:val="nil"/>
            </w:tcBorders>
            <w:vAlign w:val="center"/>
          </w:tcPr>
          <w:p w14:paraId="67B3F4F8">
            <w:pPr>
              <w:spacing w:line="240" w:lineRule="auto"/>
              <w:ind w:firstLine="0" w:firstLineChars="0"/>
              <w:jc w:val="center"/>
              <w:rPr>
                <w:color w:val="auto"/>
                <w:sz w:val="21"/>
                <w:szCs w:val="21"/>
              </w:rPr>
            </w:pPr>
          </w:p>
        </w:tc>
        <w:tc>
          <w:tcPr>
            <w:tcW w:w="646" w:type="pct"/>
            <w:tcBorders>
              <w:tl2br w:val="nil"/>
              <w:tr2bl w:val="nil"/>
            </w:tcBorders>
            <w:vAlign w:val="center"/>
          </w:tcPr>
          <w:p w14:paraId="7DC9C933">
            <w:pPr>
              <w:spacing w:line="240" w:lineRule="auto"/>
              <w:ind w:firstLine="0" w:firstLineChars="0"/>
              <w:jc w:val="center"/>
              <w:rPr>
                <w:color w:val="auto"/>
                <w:sz w:val="21"/>
                <w:szCs w:val="21"/>
              </w:rPr>
            </w:pPr>
            <w:r>
              <w:rPr>
                <w:rFonts w:hint="eastAsia"/>
                <w:color w:val="auto"/>
                <w:sz w:val="21"/>
                <w:szCs w:val="21"/>
              </w:rPr>
              <w:t>王圩组</w:t>
            </w:r>
          </w:p>
        </w:tc>
        <w:tc>
          <w:tcPr>
            <w:tcW w:w="903" w:type="pct"/>
            <w:tcBorders>
              <w:tl2br w:val="nil"/>
              <w:tr2bl w:val="nil"/>
            </w:tcBorders>
            <w:vAlign w:val="center"/>
          </w:tcPr>
          <w:p w14:paraId="41389413">
            <w:pPr>
              <w:spacing w:line="240" w:lineRule="auto"/>
              <w:ind w:firstLine="0" w:firstLineChars="0"/>
              <w:jc w:val="center"/>
              <w:rPr>
                <w:color w:val="auto"/>
                <w:sz w:val="21"/>
                <w:szCs w:val="21"/>
              </w:rPr>
            </w:pPr>
            <w:r>
              <w:rPr>
                <w:rFonts w:hint="eastAsia"/>
                <w:color w:val="auto"/>
                <w:sz w:val="21"/>
                <w:szCs w:val="21"/>
              </w:rPr>
              <w:t>粉土、砂、砂砾</w:t>
            </w:r>
          </w:p>
        </w:tc>
        <w:tc>
          <w:tcPr>
            <w:tcW w:w="705" w:type="pct"/>
            <w:vMerge w:val="continue"/>
            <w:tcBorders>
              <w:tl2br w:val="nil"/>
              <w:tr2bl w:val="nil"/>
            </w:tcBorders>
            <w:vAlign w:val="center"/>
          </w:tcPr>
          <w:p w14:paraId="32958222">
            <w:pPr>
              <w:spacing w:line="240" w:lineRule="auto"/>
              <w:ind w:firstLine="0" w:firstLineChars="0"/>
              <w:jc w:val="center"/>
              <w:rPr>
                <w:color w:val="auto"/>
                <w:sz w:val="21"/>
                <w:szCs w:val="21"/>
              </w:rPr>
            </w:pPr>
          </w:p>
        </w:tc>
        <w:tc>
          <w:tcPr>
            <w:tcW w:w="420" w:type="pct"/>
            <w:vMerge w:val="continue"/>
            <w:tcBorders>
              <w:tl2br w:val="nil"/>
              <w:tr2bl w:val="nil"/>
            </w:tcBorders>
            <w:vAlign w:val="center"/>
          </w:tcPr>
          <w:p w14:paraId="2CAE150A">
            <w:pPr>
              <w:spacing w:line="240" w:lineRule="auto"/>
              <w:ind w:firstLine="0" w:firstLineChars="0"/>
              <w:jc w:val="center"/>
              <w:rPr>
                <w:color w:val="auto"/>
                <w:sz w:val="21"/>
                <w:szCs w:val="21"/>
              </w:rPr>
            </w:pPr>
          </w:p>
        </w:tc>
      </w:tr>
      <w:tr w14:paraId="6569E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tl2br w:val="nil"/>
              <w:tr2bl w:val="nil"/>
            </w:tcBorders>
            <w:vAlign w:val="center"/>
          </w:tcPr>
          <w:p w14:paraId="53C69C21">
            <w:pPr>
              <w:spacing w:line="240" w:lineRule="auto"/>
              <w:ind w:firstLine="0" w:firstLineChars="0"/>
              <w:jc w:val="center"/>
              <w:rPr>
                <w:color w:val="auto"/>
                <w:sz w:val="21"/>
                <w:szCs w:val="21"/>
              </w:rPr>
            </w:pPr>
          </w:p>
        </w:tc>
        <w:tc>
          <w:tcPr>
            <w:tcW w:w="323" w:type="pct"/>
            <w:vMerge w:val="continue"/>
            <w:tcBorders>
              <w:tl2br w:val="nil"/>
              <w:tr2bl w:val="nil"/>
            </w:tcBorders>
            <w:vAlign w:val="center"/>
          </w:tcPr>
          <w:p w14:paraId="056091E8">
            <w:pPr>
              <w:spacing w:line="240" w:lineRule="auto"/>
              <w:ind w:firstLine="0" w:firstLineChars="0"/>
              <w:jc w:val="center"/>
              <w:rPr>
                <w:color w:val="auto"/>
                <w:sz w:val="21"/>
                <w:szCs w:val="21"/>
              </w:rPr>
            </w:pPr>
          </w:p>
        </w:tc>
        <w:tc>
          <w:tcPr>
            <w:tcW w:w="1077" w:type="pct"/>
            <w:vMerge w:val="continue"/>
            <w:tcBorders>
              <w:tl2br w:val="nil"/>
              <w:tr2bl w:val="nil"/>
            </w:tcBorders>
            <w:vAlign w:val="center"/>
          </w:tcPr>
          <w:p w14:paraId="64CA24AE">
            <w:pPr>
              <w:spacing w:line="240" w:lineRule="auto"/>
              <w:ind w:firstLine="0" w:firstLineChars="0"/>
              <w:jc w:val="center"/>
              <w:rPr>
                <w:color w:val="auto"/>
                <w:sz w:val="21"/>
                <w:szCs w:val="21"/>
              </w:rPr>
            </w:pPr>
          </w:p>
        </w:tc>
        <w:tc>
          <w:tcPr>
            <w:tcW w:w="511" w:type="pct"/>
            <w:tcBorders>
              <w:tl2br w:val="nil"/>
              <w:tr2bl w:val="nil"/>
            </w:tcBorders>
            <w:vAlign w:val="center"/>
          </w:tcPr>
          <w:p w14:paraId="39EE1847">
            <w:pPr>
              <w:spacing w:line="240" w:lineRule="auto"/>
              <w:ind w:firstLine="0" w:firstLineChars="0"/>
              <w:jc w:val="center"/>
              <w:rPr>
                <w:color w:val="auto"/>
                <w:sz w:val="21"/>
                <w:szCs w:val="21"/>
              </w:rPr>
            </w:pPr>
            <w:r>
              <w:rPr>
                <w:rFonts w:hint="eastAsia"/>
                <w:color w:val="auto"/>
                <w:sz w:val="21"/>
                <w:szCs w:val="21"/>
              </w:rPr>
              <w:t>N</w:t>
            </w:r>
            <w:r>
              <w:rPr>
                <w:rFonts w:hint="eastAsia"/>
                <w:color w:val="auto"/>
                <w:sz w:val="21"/>
                <w:szCs w:val="21"/>
                <w:vertAlign w:val="subscript"/>
              </w:rPr>
              <w:t>2</w:t>
            </w:r>
          </w:p>
        </w:tc>
        <w:tc>
          <w:tcPr>
            <w:tcW w:w="646" w:type="pct"/>
            <w:tcBorders>
              <w:tl2br w:val="nil"/>
              <w:tr2bl w:val="nil"/>
            </w:tcBorders>
            <w:vAlign w:val="center"/>
          </w:tcPr>
          <w:p w14:paraId="7E26394D">
            <w:pPr>
              <w:spacing w:line="240" w:lineRule="auto"/>
              <w:ind w:firstLine="0" w:firstLineChars="0"/>
              <w:jc w:val="center"/>
              <w:rPr>
                <w:color w:val="auto"/>
                <w:sz w:val="21"/>
                <w:szCs w:val="21"/>
              </w:rPr>
            </w:pPr>
            <w:r>
              <w:rPr>
                <w:rFonts w:hint="eastAsia"/>
                <w:color w:val="auto"/>
                <w:sz w:val="21"/>
                <w:szCs w:val="21"/>
              </w:rPr>
              <w:t>宿迁组</w:t>
            </w:r>
          </w:p>
        </w:tc>
        <w:tc>
          <w:tcPr>
            <w:tcW w:w="903" w:type="pct"/>
            <w:tcBorders>
              <w:tl2br w:val="nil"/>
              <w:tr2bl w:val="nil"/>
            </w:tcBorders>
            <w:vAlign w:val="center"/>
          </w:tcPr>
          <w:p w14:paraId="1B713330">
            <w:pPr>
              <w:spacing w:line="240" w:lineRule="auto"/>
              <w:ind w:firstLine="0" w:firstLineChars="0"/>
              <w:jc w:val="center"/>
              <w:rPr>
                <w:color w:val="auto"/>
                <w:sz w:val="21"/>
                <w:szCs w:val="21"/>
              </w:rPr>
            </w:pPr>
            <w:r>
              <w:rPr>
                <w:rFonts w:hint="eastAsia"/>
                <w:color w:val="auto"/>
                <w:sz w:val="21"/>
                <w:szCs w:val="21"/>
              </w:rPr>
              <w:t>砂岩</w:t>
            </w:r>
          </w:p>
        </w:tc>
        <w:tc>
          <w:tcPr>
            <w:tcW w:w="705" w:type="pct"/>
            <w:tcBorders>
              <w:tl2br w:val="nil"/>
              <w:tr2bl w:val="nil"/>
            </w:tcBorders>
            <w:vAlign w:val="center"/>
          </w:tcPr>
          <w:p w14:paraId="60C587C9">
            <w:pPr>
              <w:spacing w:line="240" w:lineRule="auto"/>
              <w:ind w:firstLine="0" w:firstLineChars="0"/>
              <w:jc w:val="center"/>
              <w:rPr>
                <w:color w:val="auto"/>
                <w:sz w:val="21"/>
                <w:szCs w:val="21"/>
              </w:rPr>
            </w:pPr>
            <w:r>
              <w:rPr>
                <w:rFonts w:hint="eastAsia"/>
                <w:color w:val="auto"/>
                <w:sz w:val="21"/>
                <w:szCs w:val="21"/>
              </w:rPr>
              <w:t>—</w:t>
            </w:r>
          </w:p>
        </w:tc>
        <w:tc>
          <w:tcPr>
            <w:tcW w:w="420" w:type="pct"/>
            <w:tcBorders>
              <w:tl2br w:val="nil"/>
              <w:tr2bl w:val="nil"/>
            </w:tcBorders>
            <w:vAlign w:val="center"/>
          </w:tcPr>
          <w:p w14:paraId="14F71193">
            <w:pPr>
              <w:spacing w:line="240" w:lineRule="auto"/>
              <w:ind w:firstLine="0" w:firstLineChars="0"/>
              <w:jc w:val="center"/>
              <w:rPr>
                <w:color w:val="auto"/>
                <w:sz w:val="21"/>
                <w:szCs w:val="21"/>
              </w:rPr>
            </w:pPr>
            <w:r>
              <w:rPr>
                <w:rFonts w:hint="eastAsia"/>
                <w:color w:val="auto"/>
                <w:sz w:val="21"/>
                <w:szCs w:val="21"/>
              </w:rPr>
              <w:t>—</w:t>
            </w:r>
          </w:p>
        </w:tc>
      </w:tr>
      <w:tr w14:paraId="42990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33" w:type="pct"/>
            <w:gridSpan w:val="2"/>
            <w:vMerge w:val="restart"/>
            <w:tcBorders>
              <w:tl2br w:val="nil"/>
              <w:tr2bl w:val="nil"/>
            </w:tcBorders>
            <w:vAlign w:val="center"/>
          </w:tcPr>
          <w:p w14:paraId="2B19B29A">
            <w:pPr>
              <w:spacing w:line="240" w:lineRule="auto"/>
              <w:ind w:firstLine="0" w:firstLineChars="0"/>
              <w:jc w:val="center"/>
              <w:rPr>
                <w:color w:val="auto"/>
                <w:sz w:val="21"/>
                <w:szCs w:val="21"/>
              </w:rPr>
            </w:pPr>
            <w:r>
              <w:rPr>
                <w:rFonts w:hint="eastAsia"/>
                <w:color w:val="auto"/>
                <w:sz w:val="21"/>
                <w:szCs w:val="21"/>
              </w:rPr>
              <w:t>基岩裂隙水</w:t>
            </w:r>
          </w:p>
        </w:tc>
        <w:tc>
          <w:tcPr>
            <w:tcW w:w="1077" w:type="pct"/>
            <w:tcBorders>
              <w:tl2br w:val="nil"/>
              <w:tr2bl w:val="nil"/>
            </w:tcBorders>
            <w:vAlign w:val="center"/>
          </w:tcPr>
          <w:p w14:paraId="13E58402">
            <w:pPr>
              <w:spacing w:line="240" w:lineRule="auto"/>
              <w:ind w:firstLine="0" w:firstLineChars="0"/>
              <w:jc w:val="center"/>
              <w:rPr>
                <w:color w:val="auto"/>
                <w:sz w:val="21"/>
                <w:szCs w:val="21"/>
              </w:rPr>
            </w:pPr>
            <w:r>
              <w:rPr>
                <w:rFonts w:hint="eastAsia"/>
                <w:color w:val="auto"/>
                <w:sz w:val="21"/>
                <w:szCs w:val="21"/>
              </w:rPr>
              <w:t>碎屑岩裂隙孔隙含水岩组</w:t>
            </w:r>
          </w:p>
        </w:tc>
        <w:tc>
          <w:tcPr>
            <w:tcW w:w="511" w:type="pct"/>
            <w:tcBorders>
              <w:tl2br w:val="nil"/>
              <w:tr2bl w:val="nil"/>
            </w:tcBorders>
            <w:vAlign w:val="center"/>
          </w:tcPr>
          <w:p w14:paraId="6705EDD5">
            <w:pPr>
              <w:spacing w:line="240" w:lineRule="auto"/>
              <w:ind w:firstLine="0" w:firstLineChars="0"/>
              <w:jc w:val="center"/>
              <w:rPr>
                <w:color w:val="auto"/>
                <w:sz w:val="21"/>
                <w:szCs w:val="21"/>
              </w:rPr>
            </w:pPr>
            <w:r>
              <w:rPr>
                <w:rFonts w:hint="eastAsia"/>
                <w:color w:val="auto"/>
                <w:sz w:val="21"/>
                <w:szCs w:val="21"/>
              </w:rPr>
              <w:t>E</w:t>
            </w:r>
          </w:p>
        </w:tc>
        <w:tc>
          <w:tcPr>
            <w:tcW w:w="646" w:type="pct"/>
            <w:tcBorders>
              <w:tl2br w:val="nil"/>
              <w:tr2bl w:val="nil"/>
            </w:tcBorders>
            <w:vAlign w:val="center"/>
          </w:tcPr>
          <w:p w14:paraId="6981EB8E">
            <w:pPr>
              <w:spacing w:line="240" w:lineRule="auto"/>
              <w:ind w:firstLine="0" w:firstLineChars="0"/>
              <w:jc w:val="center"/>
              <w:rPr>
                <w:color w:val="auto"/>
                <w:sz w:val="21"/>
                <w:szCs w:val="21"/>
              </w:rPr>
            </w:pPr>
            <w:r>
              <w:rPr>
                <w:rFonts w:hint="eastAsia"/>
                <w:color w:val="auto"/>
                <w:sz w:val="21"/>
                <w:szCs w:val="21"/>
              </w:rPr>
              <w:t>—</w:t>
            </w:r>
          </w:p>
        </w:tc>
        <w:tc>
          <w:tcPr>
            <w:tcW w:w="903" w:type="pct"/>
            <w:tcBorders>
              <w:tl2br w:val="nil"/>
              <w:tr2bl w:val="nil"/>
            </w:tcBorders>
            <w:vAlign w:val="center"/>
          </w:tcPr>
          <w:p w14:paraId="383684FF">
            <w:pPr>
              <w:spacing w:line="240" w:lineRule="auto"/>
              <w:ind w:firstLine="0" w:firstLineChars="0"/>
              <w:jc w:val="center"/>
              <w:rPr>
                <w:color w:val="auto"/>
                <w:sz w:val="21"/>
                <w:szCs w:val="21"/>
              </w:rPr>
            </w:pPr>
            <w:r>
              <w:rPr>
                <w:rFonts w:hint="eastAsia"/>
                <w:color w:val="auto"/>
                <w:sz w:val="21"/>
                <w:szCs w:val="21"/>
              </w:rPr>
              <w:t>砂岩</w:t>
            </w:r>
          </w:p>
        </w:tc>
        <w:tc>
          <w:tcPr>
            <w:tcW w:w="705" w:type="pct"/>
            <w:tcBorders>
              <w:tl2br w:val="nil"/>
              <w:tr2bl w:val="nil"/>
            </w:tcBorders>
            <w:vAlign w:val="center"/>
          </w:tcPr>
          <w:p w14:paraId="1E98FF62">
            <w:pPr>
              <w:spacing w:line="240" w:lineRule="auto"/>
              <w:ind w:firstLine="0" w:firstLineChars="0"/>
              <w:jc w:val="center"/>
              <w:rPr>
                <w:color w:val="auto"/>
                <w:sz w:val="21"/>
                <w:szCs w:val="21"/>
              </w:rPr>
            </w:pPr>
            <w:r>
              <w:rPr>
                <w:rFonts w:hint="eastAsia"/>
                <w:color w:val="auto"/>
                <w:sz w:val="21"/>
                <w:szCs w:val="21"/>
              </w:rPr>
              <w:t>0.014~0.22</w:t>
            </w:r>
          </w:p>
        </w:tc>
        <w:tc>
          <w:tcPr>
            <w:tcW w:w="420" w:type="pct"/>
            <w:tcBorders>
              <w:tl2br w:val="nil"/>
              <w:tr2bl w:val="nil"/>
            </w:tcBorders>
            <w:vAlign w:val="center"/>
          </w:tcPr>
          <w:p w14:paraId="6E8A16C9">
            <w:pPr>
              <w:spacing w:line="240" w:lineRule="auto"/>
              <w:ind w:firstLine="0" w:firstLineChars="0"/>
              <w:jc w:val="center"/>
              <w:rPr>
                <w:color w:val="auto"/>
                <w:sz w:val="21"/>
                <w:szCs w:val="21"/>
              </w:rPr>
            </w:pPr>
            <w:r>
              <w:rPr>
                <w:rFonts w:hint="eastAsia"/>
                <w:color w:val="auto"/>
                <w:sz w:val="21"/>
                <w:szCs w:val="21"/>
              </w:rPr>
              <w:t>弱～很弱</w:t>
            </w:r>
          </w:p>
        </w:tc>
      </w:tr>
      <w:tr w14:paraId="5B671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gridSpan w:val="2"/>
            <w:vMerge w:val="continue"/>
            <w:tcBorders>
              <w:tl2br w:val="nil"/>
              <w:tr2bl w:val="nil"/>
            </w:tcBorders>
            <w:vAlign w:val="center"/>
          </w:tcPr>
          <w:p w14:paraId="02F25446">
            <w:pPr>
              <w:spacing w:line="240" w:lineRule="auto"/>
              <w:ind w:firstLine="0" w:firstLineChars="0"/>
              <w:jc w:val="center"/>
              <w:rPr>
                <w:color w:val="auto"/>
                <w:sz w:val="21"/>
                <w:szCs w:val="21"/>
              </w:rPr>
            </w:pPr>
          </w:p>
        </w:tc>
        <w:tc>
          <w:tcPr>
            <w:tcW w:w="1077" w:type="pct"/>
            <w:tcBorders>
              <w:tl2br w:val="nil"/>
              <w:tr2bl w:val="nil"/>
            </w:tcBorders>
            <w:vAlign w:val="center"/>
          </w:tcPr>
          <w:p w14:paraId="2597B715">
            <w:pPr>
              <w:spacing w:line="240" w:lineRule="auto"/>
              <w:ind w:firstLine="0" w:firstLineChars="0"/>
              <w:jc w:val="center"/>
              <w:rPr>
                <w:color w:val="auto"/>
                <w:sz w:val="21"/>
                <w:szCs w:val="21"/>
              </w:rPr>
            </w:pPr>
            <w:r>
              <w:rPr>
                <w:rFonts w:hint="eastAsia"/>
                <w:color w:val="auto"/>
                <w:sz w:val="21"/>
                <w:szCs w:val="21"/>
              </w:rPr>
              <w:t>变质岩、岩浆岩裂隙含水岩组</w:t>
            </w:r>
          </w:p>
        </w:tc>
        <w:tc>
          <w:tcPr>
            <w:tcW w:w="511" w:type="pct"/>
            <w:tcBorders>
              <w:tl2br w:val="nil"/>
              <w:tr2bl w:val="nil"/>
            </w:tcBorders>
            <w:vAlign w:val="center"/>
          </w:tcPr>
          <w:p w14:paraId="48575634">
            <w:pPr>
              <w:spacing w:line="240" w:lineRule="auto"/>
              <w:ind w:firstLine="0" w:firstLineChars="0"/>
              <w:jc w:val="center"/>
              <w:rPr>
                <w:color w:val="auto"/>
                <w:sz w:val="21"/>
                <w:szCs w:val="21"/>
              </w:rPr>
            </w:pPr>
            <w:r>
              <w:rPr>
                <w:rFonts w:hint="eastAsia"/>
                <w:color w:val="auto"/>
                <w:sz w:val="21"/>
                <w:szCs w:val="21"/>
              </w:rPr>
              <w:t>Pt2、</w:t>
            </w:r>
            <w:r>
              <w:rPr>
                <w:color w:val="auto"/>
                <w:sz w:val="21"/>
                <w:szCs w:val="21"/>
              </w:rPr>
              <w:t>γm</w:t>
            </w:r>
            <w:r>
              <w:rPr>
                <w:color w:val="auto"/>
                <w:sz w:val="21"/>
                <w:szCs w:val="21"/>
                <w:vertAlign w:val="superscript"/>
              </w:rPr>
              <w:t>2</w:t>
            </w:r>
          </w:p>
        </w:tc>
        <w:tc>
          <w:tcPr>
            <w:tcW w:w="646" w:type="pct"/>
            <w:tcBorders>
              <w:tl2br w:val="nil"/>
              <w:tr2bl w:val="nil"/>
            </w:tcBorders>
            <w:vAlign w:val="center"/>
          </w:tcPr>
          <w:p w14:paraId="5992F4DC">
            <w:pPr>
              <w:spacing w:line="240" w:lineRule="auto"/>
              <w:ind w:firstLine="0" w:firstLineChars="0"/>
              <w:jc w:val="center"/>
              <w:rPr>
                <w:color w:val="auto"/>
                <w:sz w:val="21"/>
                <w:szCs w:val="21"/>
              </w:rPr>
            </w:pPr>
            <w:r>
              <w:rPr>
                <w:rFonts w:hint="eastAsia"/>
                <w:color w:val="auto"/>
                <w:sz w:val="21"/>
                <w:szCs w:val="21"/>
              </w:rPr>
              <w:t>云台组、混合花岗岩</w:t>
            </w:r>
          </w:p>
        </w:tc>
        <w:tc>
          <w:tcPr>
            <w:tcW w:w="903" w:type="pct"/>
            <w:tcBorders>
              <w:tl2br w:val="nil"/>
              <w:tr2bl w:val="nil"/>
            </w:tcBorders>
            <w:vAlign w:val="center"/>
          </w:tcPr>
          <w:p w14:paraId="75C8924E">
            <w:pPr>
              <w:spacing w:line="240" w:lineRule="auto"/>
              <w:ind w:firstLine="0" w:firstLineChars="0"/>
              <w:jc w:val="center"/>
              <w:rPr>
                <w:color w:val="auto"/>
                <w:sz w:val="21"/>
                <w:szCs w:val="21"/>
              </w:rPr>
            </w:pPr>
            <w:r>
              <w:rPr>
                <w:rFonts w:hint="eastAsia"/>
                <w:color w:val="auto"/>
                <w:sz w:val="21"/>
                <w:szCs w:val="21"/>
              </w:rPr>
              <w:t>片麻岩、片岩、混合花岗岩</w:t>
            </w:r>
          </w:p>
        </w:tc>
        <w:tc>
          <w:tcPr>
            <w:tcW w:w="705" w:type="pct"/>
            <w:tcBorders>
              <w:tl2br w:val="nil"/>
              <w:tr2bl w:val="nil"/>
            </w:tcBorders>
            <w:vAlign w:val="center"/>
          </w:tcPr>
          <w:p w14:paraId="2AA1BA3D">
            <w:pPr>
              <w:spacing w:line="240" w:lineRule="auto"/>
              <w:ind w:firstLine="0" w:firstLineChars="0"/>
              <w:jc w:val="center"/>
              <w:rPr>
                <w:color w:val="auto"/>
                <w:sz w:val="21"/>
                <w:szCs w:val="21"/>
              </w:rPr>
            </w:pPr>
            <w:r>
              <w:rPr>
                <w:rFonts w:hint="eastAsia"/>
                <w:color w:val="auto"/>
                <w:sz w:val="21"/>
                <w:szCs w:val="21"/>
              </w:rPr>
              <w:t>0.007~0.12</w:t>
            </w:r>
          </w:p>
        </w:tc>
        <w:tc>
          <w:tcPr>
            <w:tcW w:w="420" w:type="pct"/>
            <w:tcBorders>
              <w:tl2br w:val="nil"/>
              <w:tr2bl w:val="nil"/>
            </w:tcBorders>
            <w:vAlign w:val="center"/>
          </w:tcPr>
          <w:p w14:paraId="19729266">
            <w:pPr>
              <w:spacing w:line="240" w:lineRule="auto"/>
              <w:ind w:firstLine="0" w:firstLineChars="0"/>
              <w:jc w:val="center"/>
              <w:rPr>
                <w:color w:val="auto"/>
                <w:sz w:val="21"/>
                <w:szCs w:val="21"/>
              </w:rPr>
            </w:pPr>
            <w:r>
              <w:rPr>
                <w:rFonts w:hint="eastAsia"/>
                <w:color w:val="auto"/>
                <w:sz w:val="21"/>
                <w:szCs w:val="21"/>
              </w:rPr>
              <w:t>弱～很弱</w:t>
            </w:r>
          </w:p>
        </w:tc>
      </w:tr>
      <w:tr w14:paraId="2F38B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gridSpan w:val="2"/>
            <w:vMerge w:val="continue"/>
            <w:tcBorders>
              <w:tl2br w:val="nil"/>
              <w:tr2bl w:val="nil"/>
            </w:tcBorders>
            <w:vAlign w:val="center"/>
          </w:tcPr>
          <w:p w14:paraId="1DE4D961">
            <w:pPr>
              <w:spacing w:line="240" w:lineRule="auto"/>
              <w:ind w:firstLine="0" w:firstLineChars="0"/>
              <w:jc w:val="center"/>
              <w:rPr>
                <w:color w:val="auto"/>
                <w:sz w:val="21"/>
                <w:szCs w:val="21"/>
              </w:rPr>
            </w:pPr>
          </w:p>
        </w:tc>
        <w:tc>
          <w:tcPr>
            <w:tcW w:w="1077" w:type="pct"/>
            <w:tcBorders>
              <w:tl2br w:val="nil"/>
              <w:tr2bl w:val="nil"/>
            </w:tcBorders>
            <w:vAlign w:val="center"/>
          </w:tcPr>
          <w:p w14:paraId="6F741216">
            <w:pPr>
              <w:spacing w:line="240" w:lineRule="auto"/>
              <w:ind w:firstLine="0" w:firstLineChars="0"/>
              <w:jc w:val="center"/>
              <w:rPr>
                <w:color w:val="auto"/>
                <w:sz w:val="21"/>
                <w:szCs w:val="21"/>
              </w:rPr>
            </w:pPr>
            <w:r>
              <w:rPr>
                <w:rFonts w:hint="eastAsia"/>
                <w:color w:val="auto"/>
                <w:sz w:val="21"/>
                <w:szCs w:val="21"/>
              </w:rPr>
              <w:t>大理岩岩裂隙含水岩组</w:t>
            </w:r>
          </w:p>
        </w:tc>
        <w:tc>
          <w:tcPr>
            <w:tcW w:w="511" w:type="pct"/>
            <w:tcBorders>
              <w:tl2br w:val="nil"/>
              <w:tr2bl w:val="nil"/>
            </w:tcBorders>
            <w:vAlign w:val="center"/>
          </w:tcPr>
          <w:p w14:paraId="52E6CA81">
            <w:pPr>
              <w:spacing w:line="240" w:lineRule="auto"/>
              <w:ind w:firstLine="0" w:firstLineChars="0"/>
              <w:jc w:val="center"/>
              <w:rPr>
                <w:color w:val="auto"/>
                <w:sz w:val="21"/>
                <w:szCs w:val="21"/>
              </w:rPr>
            </w:pPr>
            <w:r>
              <w:rPr>
                <w:rFonts w:hint="eastAsia"/>
                <w:color w:val="auto"/>
                <w:sz w:val="21"/>
                <w:szCs w:val="21"/>
              </w:rPr>
              <w:t>Pt</w:t>
            </w:r>
            <w:r>
              <w:rPr>
                <w:rFonts w:hint="eastAsia"/>
                <w:color w:val="auto"/>
                <w:sz w:val="21"/>
                <w:szCs w:val="21"/>
                <w:vertAlign w:val="subscript"/>
              </w:rPr>
              <w:t>2</w:t>
            </w:r>
            <w:r>
              <w:rPr>
                <w:rFonts w:hint="eastAsia"/>
                <w:color w:val="auto"/>
                <w:sz w:val="21"/>
                <w:szCs w:val="21"/>
              </w:rPr>
              <w:t>j</w:t>
            </w:r>
          </w:p>
        </w:tc>
        <w:tc>
          <w:tcPr>
            <w:tcW w:w="646" w:type="pct"/>
            <w:tcBorders>
              <w:tl2br w:val="nil"/>
              <w:tr2bl w:val="nil"/>
            </w:tcBorders>
            <w:vAlign w:val="center"/>
          </w:tcPr>
          <w:p w14:paraId="7AF3A215">
            <w:pPr>
              <w:spacing w:line="240" w:lineRule="auto"/>
              <w:ind w:firstLine="0" w:firstLineChars="0"/>
              <w:jc w:val="center"/>
              <w:rPr>
                <w:color w:val="auto"/>
                <w:sz w:val="21"/>
                <w:szCs w:val="21"/>
              </w:rPr>
            </w:pPr>
            <w:r>
              <w:rPr>
                <w:rFonts w:hint="eastAsia"/>
                <w:color w:val="auto"/>
                <w:sz w:val="21"/>
                <w:szCs w:val="21"/>
              </w:rPr>
              <w:t>锦屏组</w:t>
            </w:r>
          </w:p>
        </w:tc>
        <w:tc>
          <w:tcPr>
            <w:tcW w:w="903" w:type="pct"/>
            <w:tcBorders>
              <w:tl2br w:val="nil"/>
              <w:tr2bl w:val="nil"/>
            </w:tcBorders>
            <w:vAlign w:val="center"/>
          </w:tcPr>
          <w:p w14:paraId="6F9DFD0E">
            <w:pPr>
              <w:spacing w:line="240" w:lineRule="auto"/>
              <w:ind w:firstLine="0" w:firstLineChars="0"/>
              <w:jc w:val="center"/>
              <w:rPr>
                <w:color w:val="auto"/>
                <w:sz w:val="21"/>
                <w:szCs w:val="21"/>
              </w:rPr>
            </w:pPr>
            <w:r>
              <w:rPr>
                <w:rFonts w:hint="eastAsia"/>
                <w:color w:val="auto"/>
                <w:sz w:val="21"/>
                <w:szCs w:val="21"/>
              </w:rPr>
              <w:t>大理岩、片麻岩和片岩互层</w:t>
            </w:r>
          </w:p>
        </w:tc>
        <w:tc>
          <w:tcPr>
            <w:tcW w:w="705" w:type="pct"/>
            <w:tcBorders>
              <w:tl2br w:val="nil"/>
              <w:tr2bl w:val="nil"/>
            </w:tcBorders>
            <w:vAlign w:val="center"/>
          </w:tcPr>
          <w:p w14:paraId="1B0204FD">
            <w:pPr>
              <w:spacing w:line="240" w:lineRule="auto"/>
              <w:ind w:firstLine="0" w:firstLineChars="0"/>
              <w:jc w:val="center"/>
              <w:rPr>
                <w:color w:val="auto"/>
                <w:sz w:val="21"/>
                <w:szCs w:val="21"/>
              </w:rPr>
            </w:pPr>
            <w:r>
              <w:rPr>
                <w:rFonts w:hint="eastAsia"/>
                <w:color w:val="auto"/>
                <w:sz w:val="21"/>
                <w:szCs w:val="21"/>
              </w:rPr>
              <w:t>1.0</w:t>
            </w:r>
          </w:p>
        </w:tc>
        <w:tc>
          <w:tcPr>
            <w:tcW w:w="420" w:type="pct"/>
            <w:tcBorders>
              <w:tl2br w:val="nil"/>
              <w:tr2bl w:val="nil"/>
            </w:tcBorders>
            <w:vAlign w:val="center"/>
          </w:tcPr>
          <w:p w14:paraId="37861DFA">
            <w:pPr>
              <w:spacing w:line="240" w:lineRule="auto"/>
              <w:ind w:firstLine="0" w:firstLineChars="0"/>
              <w:jc w:val="center"/>
              <w:rPr>
                <w:color w:val="auto"/>
                <w:sz w:val="21"/>
                <w:szCs w:val="21"/>
              </w:rPr>
            </w:pPr>
            <w:r>
              <w:rPr>
                <w:rFonts w:hint="eastAsia"/>
                <w:color w:val="auto"/>
                <w:sz w:val="21"/>
                <w:szCs w:val="21"/>
              </w:rPr>
              <w:t>强～中等</w:t>
            </w:r>
          </w:p>
        </w:tc>
      </w:tr>
    </w:tbl>
    <w:p w14:paraId="2F00C83D">
      <w:pPr>
        <w:ind w:firstLine="480"/>
        <w:rPr>
          <w:color w:val="auto"/>
        </w:rPr>
      </w:pPr>
      <w:r>
        <w:rPr>
          <w:rFonts w:hint="eastAsia"/>
          <w:color w:val="auto"/>
        </w:rPr>
        <w:t>（3）评价水文地质条件</w:t>
      </w:r>
    </w:p>
    <w:p w14:paraId="4C0E8C99">
      <w:pPr>
        <w:ind w:firstLine="480"/>
        <w:rPr>
          <w:color w:val="auto"/>
        </w:rPr>
      </w:pPr>
      <w:r>
        <w:rPr>
          <w:rFonts w:hint="eastAsia"/>
          <w:color w:val="auto"/>
        </w:rPr>
        <w:t>2016年5月江苏连云港地质工程勘察院在区域开展了水文地质勘察工作，地勘范围包括宋跳开发区、大浦工业区、临港产业区在内的水文地质单元，东西长约4—7km，南北长约11km，总面积 60km</w:t>
      </w:r>
      <w:r>
        <w:rPr>
          <w:rFonts w:hint="eastAsia"/>
          <w:color w:val="auto"/>
          <w:vertAlign w:val="superscript"/>
        </w:rPr>
        <w:t>2</w:t>
      </w:r>
      <w:r>
        <w:rPr>
          <w:rFonts w:hint="eastAsia"/>
          <w:color w:val="auto"/>
        </w:rPr>
        <w:t>，具体调查范围：西至临洪河、大浦河，东至东盐河、排淡河、大浦河入海水道（大浦河调尾工程），南至宋跳河，北至大港路。根据工程调查、勘探取得的成果及搜集的现有资料，评价区地下水主要包含松散岩类孔隙水及基岩裂隙水两大类型，其中，松散岩类孔隙水主要为孔隙潜水含水层组和孔隙承压水含水层组，基岩裂隙水主要为变质岩裂隙含水层（岩）组。</w:t>
      </w:r>
    </w:p>
    <w:p w14:paraId="6534AB83">
      <w:pPr>
        <w:ind w:firstLine="480"/>
        <w:rPr>
          <w:color w:val="auto"/>
        </w:rPr>
      </w:pPr>
      <w:r>
        <w:rPr>
          <w:rFonts w:hint="eastAsia"/>
          <w:color w:val="auto"/>
        </w:rPr>
        <w:t>①包气带层</w:t>
      </w:r>
    </w:p>
    <w:p w14:paraId="30A4A9F1">
      <w:pPr>
        <w:ind w:firstLine="480"/>
        <w:rPr>
          <w:color w:val="auto"/>
        </w:rPr>
      </w:pPr>
      <w:r>
        <w:rPr>
          <w:rFonts w:hint="eastAsia"/>
          <w:color w:val="auto"/>
        </w:rPr>
        <w:t>包气带层是指地表与潜水面之间的地带，根据本次施工的勘探孔资料，评价区内包气带厚度0.50～1.90m，区内包气带岩性主要为素填土和粘土。根据渗水试验数据资料，包气带土层渗透系数8.30E-05~7.21E-04cm/s，平均值3.00E-04cm/s。</w:t>
      </w:r>
    </w:p>
    <w:p w14:paraId="381844DD">
      <w:pPr>
        <w:ind w:firstLine="480"/>
        <w:rPr>
          <w:color w:val="auto"/>
        </w:rPr>
      </w:pPr>
      <w:r>
        <w:rPr>
          <w:rFonts w:hint="eastAsia"/>
          <w:color w:val="auto"/>
        </w:rPr>
        <w:t>②潜水含水层组</w:t>
      </w:r>
    </w:p>
    <w:p w14:paraId="1616A29C">
      <w:pPr>
        <w:ind w:firstLine="480"/>
        <w:rPr>
          <w:color w:val="auto"/>
        </w:rPr>
      </w:pPr>
      <w:r>
        <w:rPr>
          <w:rFonts w:hint="eastAsia"/>
          <w:color w:val="auto"/>
        </w:rPr>
        <w:t>从评价区场地地层构成情况来看，潜水主要赋存于上部粘土和淤泥层中，厚9.6～13.7m，平均11.0m，单井涌水量小于10m</w:t>
      </w:r>
      <w:r>
        <w:rPr>
          <w:rFonts w:hint="eastAsia"/>
          <w:color w:val="auto"/>
          <w:vertAlign w:val="superscript"/>
        </w:rPr>
        <w:t>3</w:t>
      </w:r>
      <w:r>
        <w:rPr>
          <w:rFonts w:hint="eastAsia"/>
          <w:color w:val="auto"/>
        </w:rPr>
        <w:t>/d，水位随微地貌形态而异，标高 1.97～2.61m，随季节变化，雨季水位上升旱季水位下降，年变化幅度0.60m左右。</w:t>
      </w:r>
    </w:p>
    <w:p w14:paraId="7D6909B8">
      <w:pPr>
        <w:ind w:firstLine="480"/>
        <w:rPr>
          <w:color w:val="auto"/>
        </w:rPr>
      </w:pPr>
      <w:r>
        <w:rPr>
          <w:rFonts w:hint="eastAsia"/>
          <w:color w:val="auto"/>
        </w:rPr>
        <w:t>潜水化学类型为Cl-Na型水，矿化度16.12～48.16g/L，平均35.09g/L；pH值7.07~7.60，平均7.36，弱碱性；总硬度2.50～10.51g/L，平均753g/L。整体水质较差，为盐水。根据潜水层微水试验（抽水）、弥散试验等试验数据资料，潜水层透系数5.21E-06~8.80E-06cm/s，平均值7.27E-06cm/s；导水系数T为0.0055~0.0092cm</w:t>
      </w:r>
      <w:r>
        <w:rPr>
          <w:rFonts w:hint="eastAsia"/>
          <w:color w:val="auto"/>
          <w:vertAlign w:val="superscript"/>
        </w:rPr>
        <w:t>2</w:t>
      </w:r>
      <w:r>
        <w:rPr>
          <w:rFonts w:hint="eastAsia"/>
          <w:color w:val="auto"/>
        </w:rPr>
        <w:t>/s，平均值0.0078cm</w:t>
      </w:r>
      <w:r>
        <w:rPr>
          <w:rFonts w:hint="eastAsia"/>
          <w:color w:val="auto"/>
          <w:vertAlign w:val="superscript"/>
        </w:rPr>
        <w:t>2</w:t>
      </w:r>
      <w:r>
        <w:rPr>
          <w:rFonts w:hint="eastAsia"/>
          <w:color w:val="auto"/>
        </w:rPr>
        <w:t>/s；给水度μ为0.019~0.028，平均值0.024。潜水层总体流向西南－东北，水流速度（u）0.00097～0.0016m/d，平均值0.00129m/d；有效孔隙度（n</w:t>
      </w:r>
      <w:r>
        <w:rPr>
          <w:rFonts w:hint="eastAsia"/>
          <w:color w:val="auto"/>
          <w:vertAlign w:val="subscript"/>
        </w:rPr>
        <w:t>e）</w:t>
      </w:r>
      <w:r>
        <w:rPr>
          <w:rFonts w:hint="eastAsia"/>
          <w:color w:val="auto"/>
        </w:rPr>
        <w:t>0.501~0.512，平均0.506；纵向弥散系数（D</w:t>
      </w:r>
      <w:r>
        <w:rPr>
          <w:rFonts w:hint="eastAsia"/>
          <w:color w:val="auto"/>
          <w:vertAlign w:val="subscript"/>
        </w:rPr>
        <w:t>L）</w:t>
      </w:r>
      <w:r>
        <w:rPr>
          <w:rFonts w:hint="eastAsia"/>
          <w:color w:val="auto"/>
        </w:rPr>
        <w:t>0.00042~0.00051m</w:t>
      </w:r>
      <w:r>
        <w:rPr>
          <w:rFonts w:hint="eastAsia"/>
          <w:color w:val="auto"/>
          <w:vertAlign w:val="superscript"/>
        </w:rPr>
        <w:t>2</w:t>
      </w:r>
      <w:r>
        <w:rPr>
          <w:rFonts w:hint="eastAsia"/>
          <w:color w:val="auto"/>
        </w:rPr>
        <w:t>/d，平均值0.00046m</w:t>
      </w:r>
      <w:r>
        <w:rPr>
          <w:rFonts w:hint="eastAsia"/>
          <w:color w:val="auto"/>
          <w:vertAlign w:val="superscript"/>
        </w:rPr>
        <w:t>2</w:t>
      </w:r>
      <w:r>
        <w:rPr>
          <w:rFonts w:hint="eastAsia"/>
          <w:color w:val="auto"/>
        </w:rPr>
        <w:t>/d；横向y方向弥散系数（D</w:t>
      </w:r>
      <w:r>
        <w:rPr>
          <w:rFonts w:hint="eastAsia"/>
          <w:color w:val="auto"/>
          <w:vertAlign w:val="subscript"/>
        </w:rPr>
        <w:t>T）</w:t>
      </w:r>
      <w:r>
        <w:rPr>
          <w:rFonts w:hint="eastAsia"/>
          <w:color w:val="auto"/>
        </w:rPr>
        <w:t>0.000039~0.000047m</w:t>
      </w:r>
      <w:r>
        <w:rPr>
          <w:rFonts w:hint="eastAsia"/>
          <w:color w:val="auto"/>
          <w:vertAlign w:val="superscript"/>
        </w:rPr>
        <w:t>2</w:t>
      </w:r>
      <w:r>
        <w:rPr>
          <w:rFonts w:hint="eastAsia"/>
          <w:color w:val="auto"/>
        </w:rPr>
        <w:t>/d，平均值0.000043m</w:t>
      </w:r>
      <w:r>
        <w:rPr>
          <w:rFonts w:hint="eastAsia"/>
          <w:color w:val="auto"/>
          <w:vertAlign w:val="superscript"/>
        </w:rPr>
        <w:t>2</w:t>
      </w:r>
      <w:r>
        <w:rPr>
          <w:rFonts w:hint="eastAsia"/>
          <w:color w:val="auto"/>
        </w:rPr>
        <w:t>/d。</w:t>
      </w:r>
    </w:p>
    <w:p w14:paraId="41A6C9E3">
      <w:pPr>
        <w:ind w:firstLine="480"/>
        <w:rPr>
          <w:color w:val="auto"/>
        </w:rPr>
      </w:pPr>
      <w:r>
        <w:rPr>
          <w:rFonts w:hint="eastAsia"/>
          <w:color w:val="auto"/>
        </w:rPr>
        <w:t>③承压水含水层组</w:t>
      </w:r>
    </w:p>
    <w:p w14:paraId="369BCEA0">
      <w:pPr>
        <w:ind w:firstLine="480"/>
        <w:rPr>
          <w:color w:val="auto"/>
        </w:rPr>
      </w:pPr>
      <w:r>
        <w:rPr>
          <w:rFonts w:hint="eastAsia"/>
          <w:color w:val="auto"/>
        </w:rPr>
        <w:t>根据评价区场地地层情况及区域地质资料，承压水（第I承压水）主要赋存于6-1层粉细砂及6-3层中砂中，层顶埋深20.8～22.8m，平均22.1m；层底埋深27.5～42.3m，平均33.7m；厚5.1～11.0m，平均7.5m；水位年变化幅度约0.20m，水位受气候影响微弱；富水性中等，单井涌水量小于300m</w:t>
      </w:r>
      <w:r>
        <w:rPr>
          <w:rFonts w:hint="eastAsia"/>
          <w:color w:val="auto"/>
          <w:vertAlign w:val="superscript"/>
        </w:rPr>
        <w:t>3</w:t>
      </w:r>
      <w:r>
        <w:rPr>
          <w:rFonts w:hint="eastAsia"/>
          <w:color w:val="auto"/>
        </w:rPr>
        <w:t>/d，主要接受上部潜水越流补给。承压水化学类型多为Cl-Na型水，矿化度10.0gI左右，pH值7.30~7.80，弱碱性；大部分地区水中镁、钠、氯化物、硫酸盐等含量较高，超过饮用水卫生标准。总体上来说，承压水水质较差，为咸水，不宜作为生活用水。</w:t>
      </w:r>
    </w:p>
    <w:p w14:paraId="12529CB4">
      <w:pPr>
        <w:ind w:firstLine="480"/>
        <w:rPr>
          <w:color w:val="auto"/>
        </w:rPr>
      </w:pPr>
      <w:r>
        <w:rPr>
          <w:rFonts w:hint="eastAsia"/>
          <w:color w:val="auto"/>
        </w:rPr>
        <w:t>根据调查资料，承压水层总体流向西南－东北，渗透系数1.00E-04cm/s~5.00E-04cm/s，平均3.00E-04cm/s。</w:t>
      </w:r>
    </w:p>
    <w:p w14:paraId="0652714C">
      <w:pPr>
        <w:ind w:firstLine="480"/>
        <w:rPr>
          <w:color w:val="auto"/>
        </w:rPr>
      </w:pPr>
      <w:r>
        <w:rPr>
          <w:rFonts w:hint="eastAsia"/>
          <w:color w:val="auto"/>
        </w:rPr>
        <w:t>①变质岩裂隙含水层（岩）组</w:t>
      </w:r>
    </w:p>
    <w:p w14:paraId="23D12429">
      <w:pPr>
        <w:ind w:firstLine="480"/>
        <w:rPr>
          <w:color w:val="auto"/>
        </w:rPr>
      </w:pPr>
      <w:r>
        <w:rPr>
          <w:rFonts w:hint="eastAsia"/>
          <w:color w:val="auto"/>
        </w:rPr>
        <w:t>根据评价区场地地层情况及区域地质资料，变质岩裂隙水主要赋存于8全-强风化片麻岩层中，层顶埋深20.8～43.5m，平均34.8m；水位受气候影响微弱；富水性较差，单井涌水量小于100m</w:t>
      </w:r>
      <w:r>
        <w:rPr>
          <w:rFonts w:hint="eastAsia"/>
          <w:color w:val="auto"/>
          <w:vertAlign w:val="superscript"/>
        </w:rPr>
        <w:t>3</w:t>
      </w:r>
      <w:r>
        <w:rPr>
          <w:rFonts w:hint="eastAsia"/>
          <w:color w:val="auto"/>
        </w:rPr>
        <w:t>/d。</w:t>
      </w:r>
    </w:p>
    <w:p w14:paraId="29651189">
      <w:pPr>
        <w:keepNext/>
        <w:keepLines/>
        <w:spacing w:before="120" w:beforeLines="50"/>
        <w:ind w:firstLine="0" w:firstLineChars="0"/>
        <w:outlineLvl w:val="3"/>
        <w:rPr>
          <w:b/>
          <w:bCs/>
          <w:color w:val="auto"/>
        </w:rPr>
      </w:pPr>
      <w:r>
        <w:rPr>
          <w:rFonts w:hint="eastAsia"/>
          <w:b/>
          <w:bCs/>
          <w:color w:val="auto"/>
        </w:rPr>
        <w:t>5</w:t>
      </w:r>
      <w:r>
        <w:rPr>
          <w:b/>
          <w:bCs/>
          <w:color w:val="auto"/>
        </w:rPr>
        <w:t>.1.</w:t>
      </w:r>
      <w:r>
        <w:rPr>
          <w:rFonts w:hint="eastAsia"/>
          <w:b/>
          <w:bCs/>
          <w:color w:val="auto"/>
        </w:rPr>
        <w:t>5.5 区域地下水动态及补径排条件</w:t>
      </w:r>
    </w:p>
    <w:p w14:paraId="255E8A0A">
      <w:pPr>
        <w:ind w:firstLine="480"/>
        <w:rPr>
          <w:color w:val="auto"/>
        </w:rPr>
      </w:pPr>
      <w:r>
        <w:rPr>
          <w:color w:val="auto"/>
        </w:rPr>
        <w:t>①松散岩类孔隙水</w:t>
      </w:r>
    </w:p>
    <w:p w14:paraId="36E2703C">
      <w:pPr>
        <w:ind w:firstLine="480"/>
        <w:rPr>
          <w:color w:val="auto"/>
        </w:rPr>
      </w:pPr>
      <w:r>
        <w:rPr>
          <w:color w:val="auto"/>
        </w:rPr>
        <w:t>A.坡麓水文地质区</w:t>
      </w:r>
      <w:r>
        <w:rPr>
          <w:rFonts w:hint="eastAsia"/>
          <w:color w:val="auto"/>
        </w:rPr>
        <w:t>（</w:t>
      </w:r>
      <w:r>
        <w:rPr>
          <w:color w:val="auto"/>
        </w:rPr>
        <w:t>I</w:t>
      </w:r>
      <w:r>
        <w:rPr>
          <w:rFonts w:hint="eastAsia"/>
          <w:color w:val="auto"/>
        </w:rPr>
        <w:t>）</w:t>
      </w:r>
      <w:r>
        <w:rPr>
          <w:color w:val="auto"/>
        </w:rPr>
        <w:t>孔隙水</w:t>
      </w:r>
    </w:p>
    <w:p w14:paraId="27F87608">
      <w:pPr>
        <w:ind w:firstLine="480"/>
        <w:rPr>
          <w:color w:val="auto"/>
        </w:rPr>
      </w:pPr>
      <w:r>
        <w:rPr>
          <w:rFonts w:hint="eastAsia"/>
          <w:color w:val="auto"/>
        </w:rPr>
        <w:t>补给源有大气降水、基岩地下水径流补给、部分地段灌溉回渗。地下水径流方向明显受地形控制，既自山坡向平原或海岸方向，在沟谷地段，谷坡中地下水向沟谷中心径流。</w:t>
      </w:r>
    </w:p>
    <w:p w14:paraId="01D4C848">
      <w:pPr>
        <w:ind w:firstLine="480"/>
        <w:rPr>
          <w:color w:val="auto"/>
        </w:rPr>
      </w:pPr>
      <w:r>
        <w:rPr>
          <w:rFonts w:hint="eastAsia"/>
          <w:color w:val="auto"/>
        </w:rPr>
        <w:t>地下水排泄方式有蒸发、人工开采、径流等。据调查，坡地带孔隙水水位升降与降水基本同步，一般滞后一天左右，水位年变幅为1m左右，在地形较高处为2m左右。地下水温一般为15°C~22°C，表层水温受气温影响明显。</w:t>
      </w:r>
    </w:p>
    <w:p w14:paraId="5B142E8C">
      <w:pPr>
        <w:ind w:firstLine="480"/>
        <w:rPr>
          <w:color w:val="auto"/>
        </w:rPr>
      </w:pPr>
      <w:r>
        <w:rPr>
          <w:rFonts w:hint="eastAsia"/>
          <w:color w:val="auto"/>
        </w:rPr>
        <w:t>B.平原水文地质区（Ⅱ）孔隙水</w:t>
      </w:r>
    </w:p>
    <w:p w14:paraId="304A9A23">
      <w:pPr>
        <w:ind w:firstLine="480"/>
        <w:rPr>
          <w:color w:val="auto"/>
        </w:rPr>
      </w:pPr>
      <w:r>
        <w:rPr>
          <w:rFonts w:hint="eastAsia"/>
          <w:color w:val="auto"/>
        </w:rPr>
        <w:t>微咸－咸水在该区广泛分布，地下水补给源有：大气降水（仅对水）、I区淡水侧向径流、区外侧向径流。径流方向为距山由近到远，南部由西向东。排泄方式有：径流、蒸发（仅为潜水）、开采。地下水与海水基本上无水力联系。</w:t>
      </w:r>
    </w:p>
    <w:p w14:paraId="39080310">
      <w:pPr>
        <w:ind w:firstLine="480"/>
        <w:rPr>
          <w:color w:val="auto"/>
        </w:rPr>
      </w:pPr>
      <w:r>
        <w:rPr>
          <w:rFonts w:hint="eastAsia"/>
          <w:color w:val="auto"/>
        </w:rPr>
        <w:t>地下水位受含水岩组埋藏条件影响，埋藏浅则水位高，潜水水位受气象因素影响较显著，水位年变幅1～1.5m；承压水基本不受气象因素影响，地下水位年变幅一般小于0.5m。</w:t>
      </w:r>
    </w:p>
    <w:p w14:paraId="036A4832">
      <w:pPr>
        <w:ind w:firstLine="480"/>
        <w:rPr>
          <w:color w:val="auto"/>
        </w:rPr>
      </w:pPr>
      <w:r>
        <w:rPr>
          <w:rFonts w:hint="eastAsia"/>
          <w:color w:val="auto"/>
        </w:rPr>
        <w:t>②基岩地下水</w:t>
      </w:r>
    </w:p>
    <w:p w14:paraId="1F604F4D">
      <w:pPr>
        <w:ind w:firstLine="480"/>
        <w:rPr>
          <w:color w:val="auto"/>
        </w:rPr>
      </w:pPr>
      <w:r>
        <w:rPr>
          <w:rFonts w:hint="eastAsia"/>
          <w:color w:val="auto"/>
        </w:rPr>
        <w:t>在基岩裸露区（Ⅲ），大气降水为地下水唯一的补给来源，且仅在地形较缓、植被茂盛、裂隙发育、岩石破碎部位，入渗补给较强。排泄方式主要有蒸发、植物蒸腾、径流、泉。</w:t>
      </w:r>
    </w:p>
    <w:p w14:paraId="4CCF0C19">
      <w:pPr>
        <w:ind w:firstLine="480"/>
        <w:rPr>
          <w:color w:val="auto"/>
        </w:rPr>
      </w:pPr>
      <w:r>
        <w:rPr>
          <w:rFonts w:hint="eastAsia"/>
          <w:color w:val="auto"/>
        </w:rPr>
        <w:t>在基岩隐伏区，基岩地下水补给来源有：潜水区的径流、部分地段上覆松散层孔隙水的垂向补给。排泄方式有侧向径流、排入松散层。基岩隙水与松散岩类孔隙水补排关系相互转化。</w:t>
      </w:r>
    </w:p>
    <w:p w14:paraId="3E0FEDBA">
      <w:pPr>
        <w:ind w:firstLine="480"/>
        <w:rPr>
          <w:color w:val="auto"/>
        </w:rPr>
      </w:pPr>
      <w:r>
        <w:rPr>
          <w:rFonts w:hint="eastAsia"/>
          <w:color w:val="auto"/>
        </w:rPr>
        <w:t>本项目拟建场地属平原水文地质区咸水区（II2），地下水类型主要为松散岩类浅层孔隙水和基岩裂隙水，详见表5.1-6。</w:t>
      </w:r>
    </w:p>
    <w:p w14:paraId="041FDFD3">
      <w:pPr>
        <w:spacing w:line="240" w:lineRule="auto"/>
        <w:ind w:firstLine="0" w:firstLineChars="0"/>
        <w:jc w:val="center"/>
        <w:rPr>
          <w:b/>
          <w:bCs/>
          <w:color w:val="auto"/>
        </w:rPr>
      </w:pPr>
      <w:r>
        <w:rPr>
          <w:rFonts w:hint="eastAsia"/>
          <w:b/>
          <w:bCs/>
          <w:color w:val="auto"/>
        </w:rPr>
        <w:t>表5.1-6  场地含水层及地下水类型一览表</w:t>
      </w:r>
    </w:p>
    <w:tbl>
      <w:tblPr>
        <w:tblStyle w:val="8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944"/>
        <w:gridCol w:w="649"/>
        <w:gridCol w:w="1845"/>
        <w:gridCol w:w="891"/>
        <w:gridCol w:w="746"/>
        <w:gridCol w:w="2069"/>
        <w:gridCol w:w="649"/>
      </w:tblGrid>
      <w:tr w14:paraId="4CA4F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0" w:type="pct"/>
            <w:tcBorders>
              <w:tl2br w:val="nil"/>
              <w:tr2bl w:val="nil"/>
            </w:tcBorders>
            <w:vAlign w:val="center"/>
          </w:tcPr>
          <w:p w14:paraId="55DA60AB">
            <w:pPr>
              <w:spacing w:line="240" w:lineRule="auto"/>
              <w:ind w:firstLine="0" w:firstLineChars="0"/>
              <w:jc w:val="center"/>
              <w:rPr>
                <w:b/>
                <w:bCs/>
                <w:color w:val="auto"/>
                <w:sz w:val="21"/>
                <w:szCs w:val="21"/>
              </w:rPr>
            </w:pPr>
            <w:r>
              <w:rPr>
                <w:rFonts w:hint="eastAsia"/>
                <w:b/>
                <w:bCs/>
                <w:color w:val="auto"/>
                <w:sz w:val="21"/>
                <w:szCs w:val="21"/>
              </w:rPr>
              <w:t>水文地质分区</w:t>
            </w:r>
          </w:p>
        </w:tc>
        <w:tc>
          <w:tcPr>
            <w:tcW w:w="858" w:type="pct"/>
            <w:gridSpan w:val="2"/>
            <w:tcBorders>
              <w:tl2br w:val="nil"/>
              <w:tr2bl w:val="nil"/>
            </w:tcBorders>
            <w:vAlign w:val="center"/>
          </w:tcPr>
          <w:p w14:paraId="35BB50BF">
            <w:pPr>
              <w:spacing w:line="240" w:lineRule="auto"/>
              <w:ind w:firstLine="0" w:firstLineChars="0"/>
              <w:jc w:val="center"/>
              <w:rPr>
                <w:b/>
                <w:bCs/>
                <w:color w:val="auto"/>
                <w:sz w:val="21"/>
                <w:szCs w:val="21"/>
              </w:rPr>
            </w:pPr>
            <w:r>
              <w:rPr>
                <w:rFonts w:hint="eastAsia"/>
                <w:b/>
                <w:bCs/>
                <w:color w:val="auto"/>
                <w:sz w:val="21"/>
                <w:szCs w:val="21"/>
              </w:rPr>
              <w:t>地下水类型</w:t>
            </w:r>
          </w:p>
        </w:tc>
        <w:tc>
          <w:tcPr>
            <w:tcW w:w="993" w:type="pct"/>
            <w:tcBorders>
              <w:tl2br w:val="nil"/>
              <w:tr2bl w:val="nil"/>
            </w:tcBorders>
            <w:vAlign w:val="center"/>
          </w:tcPr>
          <w:p w14:paraId="6E1573F2">
            <w:pPr>
              <w:spacing w:line="240" w:lineRule="auto"/>
              <w:ind w:firstLine="0" w:firstLineChars="0"/>
              <w:jc w:val="center"/>
              <w:rPr>
                <w:b/>
                <w:bCs/>
                <w:color w:val="auto"/>
                <w:sz w:val="21"/>
                <w:szCs w:val="21"/>
              </w:rPr>
            </w:pPr>
            <w:r>
              <w:rPr>
                <w:rFonts w:hint="eastAsia"/>
                <w:b/>
                <w:bCs/>
                <w:color w:val="auto"/>
                <w:sz w:val="21"/>
                <w:szCs w:val="21"/>
              </w:rPr>
              <w:t>含水岩组</w:t>
            </w:r>
          </w:p>
        </w:tc>
        <w:tc>
          <w:tcPr>
            <w:tcW w:w="480" w:type="pct"/>
            <w:tcBorders>
              <w:tl2br w:val="nil"/>
              <w:tr2bl w:val="nil"/>
            </w:tcBorders>
            <w:vAlign w:val="center"/>
          </w:tcPr>
          <w:p w14:paraId="480DEC78">
            <w:pPr>
              <w:spacing w:line="240" w:lineRule="auto"/>
              <w:ind w:firstLine="0" w:firstLineChars="0"/>
              <w:jc w:val="center"/>
              <w:rPr>
                <w:b/>
                <w:bCs/>
                <w:color w:val="auto"/>
                <w:sz w:val="21"/>
                <w:szCs w:val="21"/>
              </w:rPr>
            </w:pPr>
            <w:r>
              <w:rPr>
                <w:rFonts w:hint="eastAsia"/>
                <w:b/>
                <w:bCs/>
                <w:color w:val="auto"/>
                <w:sz w:val="21"/>
                <w:szCs w:val="21"/>
              </w:rPr>
              <w:t>时代</w:t>
            </w:r>
          </w:p>
        </w:tc>
        <w:tc>
          <w:tcPr>
            <w:tcW w:w="402" w:type="pct"/>
            <w:tcBorders>
              <w:tl2br w:val="nil"/>
              <w:tr2bl w:val="nil"/>
            </w:tcBorders>
            <w:vAlign w:val="center"/>
          </w:tcPr>
          <w:p w14:paraId="5935A49D">
            <w:pPr>
              <w:spacing w:line="240" w:lineRule="auto"/>
              <w:ind w:firstLine="0" w:firstLineChars="0"/>
              <w:jc w:val="center"/>
              <w:rPr>
                <w:b/>
                <w:bCs/>
                <w:color w:val="auto"/>
                <w:sz w:val="21"/>
                <w:szCs w:val="21"/>
              </w:rPr>
            </w:pPr>
            <w:r>
              <w:rPr>
                <w:rFonts w:hint="eastAsia"/>
                <w:b/>
                <w:bCs/>
                <w:color w:val="auto"/>
                <w:sz w:val="21"/>
                <w:szCs w:val="21"/>
              </w:rPr>
              <w:t>组（阶）</w:t>
            </w:r>
          </w:p>
        </w:tc>
        <w:tc>
          <w:tcPr>
            <w:tcW w:w="1114" w:type="pct"/>
            <w:tcBorders>
              <w:tl2br w:val="nil"/>
              <w:tr2bl w:val="nil"/>
            </w:tcBorders>
            <w:vAlign w:val="center"/>
          </w:tcPr>
          <w:p w14:paraId="79F8FFE3">
            <w:pPr>
              <w:spacing w:line="240" w:lineRule="auto"/>
              <w:ind w:firstLine="0" w:firstLineChars="0"/>
              <w:jc w:val="center"/>
              <w:rPr>
                <w:b/>
                <w:bCs/>
                <w:color w:val="auto"/>
                <w:sz w:val="21"/>
                <w:szCs w:val="21"/>
              </w:rPr>
            </w:pPr>
            <w:r>
              <w:rPr>
                <w:rFonts w:hint="eastAsia"/>
                <w:b/>
                <w:bCs/>
                <w:color w:val="auto"/>
                <w:sz w:val="21"/>
                <w:szCs w:val="21"/>
              </w:rPr>
              <w:t>含水层名称</w:t>
            </w:r>
          </w:p>
        </w:tc>
        <w:tc>
          <w:tcPr>
            <w:tcW w:w="350" w:type="pct"/>
            <w:tcBorders>
              <w:tl2br w:val="nil"/>
              <w:tr2bl w:val="nil"/>
            </w:tcBorders>
            <w:vAlign w:val="center"/>
          </w:tcPr>
          <w:p w14:paraId="607D9409">
            <w:pPr>
              <w:spacing w:line="240" w:lineRule="auto"/>
              <w:ind w:firstLine="0" w:firstLineChars="0"/>
              <w:jc w:val="center"/>
              <w:rPr>
                <w:b/>
                <w:bCs/>
                <w:color w:val="auto"/>
                <w:sz w:val="21"/>
                <w:szCs w:val="21"/>
              </w:rPr>
            </w:pPr>
            <w:r>
              <w:rPr>
                <w:rFonts w:hint="eastAsia"/>
                <w:b/>
                <w:bCs/>
                <w:color w:val="auto"/>
                <w:sz w:val="21"/>
                <w:szCs w:val="21"/>
              </w:rPr>
              <w:t>备注</w:t>
            </w:r>
          </w:p>
        </w:tc>
      </w:tr>
      <w:tr w14:paraId="75C9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0" w:type="pct"/>
            <w:vMerge w:val="restart"/>
            <w:tcBorders>
              <w:tl2br w:val="nil"/>
              <w:tr2bl w:val="nil"/>
            </w:tcBorders>
            <w:vAlign w:val="center"/>
          </w:tcPr>
          <w:p w14:paraId="70CDF1A6">
            <w:pPr>
              <w:spacing w:line="240" w:lineRule="auto"/>
              <w:ind w:firstLine="0" w:firstLineChars="0"/>
              <w:jc w:val="center"/>
              <w:rPr>
                <w:color w:val="auto"/>
                <w:sz w:val="21"/>
                <w:szCs w:val="21"/>
              </w:rPr>
            </w:pPr>
            <w:r>
              <w:rPr>
                <w:rFonts w:hint="eastAsia"/>
                <w:color w:val="auto"/>
                <w:sz w:val="21"/>
                <w:szCs w:val="21"/>
              </w:rPr>
              <w:t>II</w:t>
            </w:r>
            <w:r>
              <w:rPr>
                <w:rFonts w:hint="eastAsia"/>
                <w:color w:val="auto"/>
                <w:sz w:val="21"/>
                <w:szCs w:val="21"/>
                <w:vertAlign w:val="subscript"/>
              </w:rPr>
              <w:t>2</w:t>
            </w:r>
          </w:p>
        </w:tc>
        <w:tc>
          <w:tcPr>
            <w:tcW w:w="508" w:type="pct"/>
            <w:vMerge w:val="restart"/>
            <w:tcBorders>
              <w:tl2br w:val="nil"/>
              <w:tr2bl w:val="nil"/>
            </w:tcBorders>
            <w:vAlign w:val="center"/>
          </w:tcPr>
          <w:p w14:paraId="27BC6EB5">
            <w:pPr>
              <w:spacing w:line="240" w:lineRule="auto"/>
              <w:ind w:firstLine="0" w:firstLineChars="0"/>
              <w:jc w:val="center"/>
              <w:rPr>
                <w:color w:val="auto"/>
                <w:sz w:val="21"/>
                <w:szCs w:val="21"/>
              </w:rPr>
            </w:pPr>
            <w:r>
              <w:rPr>
                <w:rFonts w:hint="eastAsia"/>
                <w:color w:val="auto"/>
                <w:sz w:val="21"/>
                <w:szCs w:val="21"/>
              </w:rPr>
              <w:t>松散岩类孔隙水</w:t>
            </w:r>
          </w:p>
        </w:tc>
        <w:tc>
          <w:tcPr>
            <w:tcW w:w="350" w:type="pct"/>
            <w:vMerge w:val="restart"/>
            <w:tcBorders>
              <w:tl2br w:val="nil"/>
              <w:tr2bl w:val="nil"/>
            </w:tcBorders>
            <w:vAlign w:val="center"/>
          </w:tcPr>
          <w:p w14:paraId="02EFE3E8">
            <w:pPr>
              <w:spacing w:line="240" w:lineRule="auto"/>
              <w:ind w:firstLine="0" w:firstLineChars="0"/>
              <w:jc w:val="center"/>
              <w:rPr>
                <w:color w:val="auto"/>
                <w:sz w:val="21"/>
                <w:szCs w:val="21"/>
              </w:rPr>
            </w:pPr>
            <w:r>
              <w:rPr>
                <w:rFonts w:hint="eastAsia"/>
                <w:color w:val="auto"/>
                <w:sz w:val="21"/>
                <w:szCs w:val="21"/>
              </w:rPr>
              <w:t>浅层</w:t>
            </w:r>
          </w:p>
        </w:tc>
        <w:tc>
          <w:tcPr>
            <w:tcW w:w="993" w:type="pct"/>
            <w:vMerge w:val="restart"/>
            <w:tcBorders>
              <w:tl2br w:val="nil"/>
              <w:tr2bl w:val="nil"/>
            </w:tcBorders>
            <w:vAlign w:val="center"/>
          </w:tcPr>
          <w:p w14:paraId="48070011">
            <w:pPr>
              <w:spacing w:line="240" w:lineRule="auto"/>
              <w:ind w:firstLine="0" w:firstLineChars="0"/>
              <w:jc w:val="center"/>
              <w:rPr>
                <w:color w:val="auto"/>
                <w:sz w:val="21"/>
                <w:szCs w:val="21"/>
              </w:rPr>
            </w:pPr>
            <w:r>
              <w:rPr>
                <w:rFonts w:hint="eastAsia"/>
                <w:color w:val="auto"/>
                <w:sz w:val="21"/>
                <w:szCs w:val="21"/>
              </w:rPr>
              <w:t>无压含水岩组</w:t>
            </w:r>
          </w:p>
        </w:tc>
        <w:tc>
          <w:tcPr>
            <w:tcW w:w="480" w:type="pct"/>
            <w:vMerge w:val="restart"/>
            <w:tcBorders>
              <w:tl2br w:val="nil"/>
              <w:tr2bl w:val="nil"/>
            </w:tcBorders>
            <w:vAlign w:val="center"/>
          </w:tcPr>
          <w:p w14:paraId="4F9A5C47">
            <w:pPr>
              <w:spacing w:line="240" w:lineRule="auto"/>
              <w:ind w:firstLine="0" w:firstLineChars="0"/>
              <w:jc w:val="center"/>
              <w:rPr>
                <w:color w:val="auto"/>
                <w:sz w:val="21"/>
                <w:szCs w:val="21"/>
              </w:rPr>
            </w:pPr>
            <w:r>
              <w:rPr>
                <w:rFonts w:hint="eastAsia"/>
                <w:color w:val="auto"/>
                <w:sz w:val="21"/>
                <w:szCs w:val="21"/>
              </w:rPr>
              <w:t>Q</w:t>
            </w:r>
            <w:r>
              <w:rPr>
                <w:rFonts w:hint="eastAsia"/>
                <w:color w:val="auto"/>
                <w:sz w:val="21"/>
                <w:szCs w:val="21"/>
                <w:vertAlign w:val="subscript"/>
              </w:rPr>
              <w:t>4</w:t>
            </w:r>
          </w:p>
        </w:tc>
        <w:tc>
          <w:tcPr>
            <w:tcW w:w="402" w:type="pct"/>
            <w:tcBorders>
              <w:tl2br w:val="nil"/>
              <w:tr2bl w:val="nil"/>
            </w:tcBorders>
            <w:vAlign w:val="center"/>
          </w:tcPr>
          <w:p w14:paraId="6FD2E0F0">
            <w:pPr>
              <w:spacing w:line="240" w:lineRule="auto"/>
              <w:ind w:firstLine="0" w:firstLineChars="0"/>
              <w:jc w:val="center"/>
              <w:rPr>
                <w:color w:val="auto"/>
                <w:sz w:val="21"/>
                <w:szCs w:val="21"/>
              </w:rPr>
            </w:pPr>
            <w:r>
              <w:rPr>
                <w:rFonts w:hint="eastAsia"/>
                <w:color w:val="auto"/>
                <w:sz w:val="21"/>
                <w:szCs w:val="21"/>
              </w:rPr>
              <w:t>—</w:t>
            </w:r>
          </w:p>
        </w:tc>
        <w:tc>
          <w:tcPr>
            <w:tcW w:w="1114" w:type="pct"/>
            <w:tcBorders>
              <w:tl2br w:val="nil"/>
              <w:tr2bl w:val="nil"/>
            </w:tcBorders>
            <w:vAlign w:val="center"/>
          </w:tcPr>
          <w:p w14:paraId="080C4C87">
            <w:pPr>
              <w:spacing w:line="240" w:lineRule="auto"/>
              <w:ind w:firstLine="0" w:firstLineChars="0"/>
              <w:jc w:val="center"/>
              <w:rPr>
                <w:color w:val="auto"/>
                <w:sz w:val="21"/>
                <w:szCs w:val="21"/>
              </w:rPr>
            </w:pPr>
            <w:r>
              <w:rPr>
                <w:rFonts w:hint="eastAsia"/>
                <w:color w:val="auto"/>
                <w:sz w:val="21"/>
                <w:szCs w:val="21"/>
              </w:rPr>
              <w:t>（1）杂填土</w:t>
            </w:r>
          </w:p>
        </w:tc>
        <w:tc>
          <w:tcPr>
            <w:tcW w:w="350" w:type="pct"/>
            <w:vMerge w:val="restart"/>
            <w:tcBorders>
              <w:tl2br w:val="nil"/>
              <w:tr2bl w:val="nil"/>
            </w:tcBorders>
            <w:vAlign w:val="center"/>
          </w:tcPr>
          <w:p w14:paraId="5AE09BE7">
            <w:pPr>
              <w:spacing w:line="240" w:lineRule="auto"/>
              <w:ind w:firstLine="0" w:firstLineChars="0"/>
              <w:jc w:val="center"/>
              <w:rPr>
                <w:color w:val="auto"/>
                <w:sz w:val="21"/>
                <w:szCs w:val="21"/>
              </w:rPr>
            </w:pPr>
            <w:r>
              <w:rPr>
                <w:rFonts w:hint="eastAsia"/>
                <w:color w:val="auto"/>
                <w:sz w:val="21"/>
                <w:szCs w:val="21"/>
              </w:rPr>
              <w:t>潜水</w:t>
            </w:r>
          </w:p>
        </w:tc>
      </w:tr>
      <w:tr w14:paraId="580F1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0" w:type="pct"/>
            <w:vMerge w:val="continue"/>
            <w:tcBorders>
              <w:tl2br w:val="nil"/>
              <w:tr2bl w:val="nil"/>
            </w:tcBorders>
            <w:vAlign w:val="center"/>
          </w:tcPr>
          <w:p w14:paraId="587076EF">
            <w:pPr>
              <w:spacing w:line="240" w:lineRule="auto"/>
              <w:ind w:firstLine="0" w:firstLineChars="0"/>
              <w:jc w:val="center"/>
              <w:rPr>
                <w:color w:val="auto"/>
                <w:sz w:val="21"/>
                <w:szCs w:val="21"/>
              </w:rPr>
            </w:pPr>
          </w:p>
        </w:tc>
        <w:tc>
          <w:tcPr>
            <w:tcW w:w="508" w:type="pct"/>
            <w:vMerge w:val="continue"/>
            <w:tcBorders>
              <w:tl2br w:val="nil"/>
              <w:tr2bl w:val="nil"/>
            </w:tcBorders>
            <w:vAlign w:val="center"/>
          </w:tcPr>
          <w:p w14:paraId="6D8F8750">
            <w:pPr>
              <w:spacing w:line="240" w:lineRule="auto"/>
              <w:ind w:firstLine="0" w:firstLineChars="0"/>
              <w:jc w:val="center"/>
              <w:rPr>
                <w:color w:val="auto"/>
                <w:sz w:val="21"/>
                <w:szCs w:val="21"/>
              </w:rPr>
            </w:pPr>
          </w:p>
        </w:tc>
        <w:tc>
          <w:tcPr>
            <w:tcW w:w="350" w:type="pct"/>
            <w:vMerge w:val="continue"/>
            <w:tcBorders>
              <w:tl2br w:val="nil"/>
              <w:tr2bl w:val="nil"/>
            </w:tcBorders>
            <w:vAlign w:val="center"/>
          </w:tcPr>
          <w:p w14:paraId="3646F5C2">
            <w:pPr>
              <w:spacing w:line="240" w:lineRule="auto"/>
              <w:ind w:firstLine="0" w:firstLineChars="0"/>
              <w:jc w:val="center"/>
              <w:rPr>
                <w:color w:val="auto"/>
                <w:sz w:val="21"/>
                <w:szCs w:val="21"/>
              </w:rPr>
            </w:pPr>
          </w:p>
        </w:tc>
        <w:tc>
          <w:tcPr>
            <w:tcW w:w="993" w:type="pct"/>
            <w:vMerge w:val="continue"/>
            <w:tcBorders>
              <w:tl2br w:val="nil"/>
              <w:tr2bl w:val="nil"/>
            </w:tcBorders>
            <w:vAlign w:val="center"/>
          </w:tcPr>
          <w:p w14:paraId="5B4EEA51">
            <w:pPr>
              <w:spacing w:line="240" w:lineRule="auto"/>
              <w:ind w:firstLine="0" w:firstLineChars="0"/>
              <w:jc w:val="center"/>
              <w:rPr>
                <w:color w:val="auto"/>
                <w:sz w:val="21"/>
                <w:szCs w:val="21"/>
              </w:rPr>
            </w:pPr>
          </w:p>
        </w:tc>
        <w:tc>
          <w:tcPr>
            <w:tcW w:w="480" w:type="pct"/>
            <w:vMerge w:val="continue"/>
            <w:tcBorders>
              <w:tl2br w:val="nil"/>
              <w:tr2bl w:val="nil"/>
            </w:tcBorders>
            <w:vAlign w:val="center"/>
          </w:tcPr>
          <w:p w14:paraId="7D801344">
            <w:pPr>
              <w:spacing w:line="240" w:lineRule="auto"/>
              <w:ind w:firstLine="0" w:firstLineChars="0"/>
              <w:jc w:val="center"/>
              <w:rPr>
                <w:color w:val="auto"/>
                <w:sz w:val="21"/>
                <w:szCs w:val="21"/>
              </w:rPr>
            </w:pPr>
          </w:p>
        </w:tc>
        <w:tc>
          <w:tcPr>
            <w:tcW w:w="402" w:type="pct"/>
            <w:vMerge w:val="restart"/>
            <w:tcBorders>
              <w:tl2br w:val="nil"/>
              <w:tr2bl w:val="nil"/>
            </w:tcBorders>
            <w:vAlign w:val="center"/>
          </w:tcPr>
          <w:p w14:paraId="357022D9">
            <w:pPr>
              <w:spacing w:line="240" w:lineRule="auto"/>
              <w:ind w:firstLine="0" w:firstLineChars="0"/>
              <w:jc w:val="center"/>
              <w:rPr>
                <w:color w:val="auto"/>
                <w:sz w:val="21"/>
                <w:szCs w:val="21"/>
              </w:rPr>
            </w:pPr>
            <w:r>
              <w:rPr>
                <w:rFonts w:hint="eastAsia"/>
                <w:color w:val="auto"/>
                <w:sz w:val="21"/>
                <w:szCs w:val="21"/>
              </w:rPr>
              <w:t>连云港组</w:t>
            </w:r>
          </w:p>
        </w:tc>
        <w:tc>
          <w:tcPr>
            <w:tcW w:w="1114" w:type="pct"/>
            <w:tcBorders>
              <w:tl2br w:val="nil"/>
              <w:tr2bl w:val="nil"/>
            </w:tcBorders>
            <w:vAlign w:val="center"/>
          </w:tcPr>
          <w:p w14:paraId="29F59E26">
            <w:pPr>
              <w:spacing w:line="240" w:lineRule="auto"/>
              <w:ind w:firstLine="0" w:firstLineChars="0"/>
              <w:jc w:val="center"/>
              <w:rPr>
                <w:color w:val="auto"/>
                <w:sz w:val="21"/>
                <w:szCs w:val="21"/>
              </w:rPr>
            </w:pPr>
            <w:r>
              <w:rPr>
                <w:rFonts w:hint="eastAsia"/>
                <w:color w:val="auto"/>
                <w:sz w:val="21"/>
                <w:szCs w:val="21"/>
              </w:rPr>
              <w:t>（2）淤泥质粘土</w:t>
            </w:r>
          </w:p>
        </w:tc>
        <w:tc>
          <w:tcPr>
            <w:tcW w:w="350" w:type="pct"/>
            <w:vMerge w:val="continue"/>
            <w:tcBorders>
              <w:tl2br w:val="nil"/>
              <w:tr2bl w:val="nil"/>
            </w:tcBorders>
            <w:vAlign w:val="center"/>
          </w:tcPr>
          <w:p w14:paraId="4EC0DDF0">
            <w:pPr>
              <w:spacing w:line="240" w:lineRule="auto"/>
              <w:ind w:firstLine="0" w:firstLineChars="0"/>
              <w:jc w:val="center"/>
              <w:rPr>
                <w:color w:val="auto"/>
                <w:sz w:val="21"/>
                <w:szCs w:val="21"/>
              </w:rPr>
            </w:pPr>
          </w:p>
        </w:tc>
      </w:tr>
      <w:tr w14:paraId="765D9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0" w:type="pct"/>
            <w:vMerge w:val="continue"/>
            <w:tcBorders>
              <w:tl2br w:val="nil"/>
              <w:tr2bl w:val="nil"/>
            </w:tcBorders>
            <w:vAlign w:val="center"/>
          </w:tcPr>
          <w:p w14:paraId="567D4F2E">
            <w:pPr>
              <w:spacing w:line="240" w:lineRule="auto"/>
              <w:ind w:firstLine="0" w:firstLineChars="0"/>
              <w:jc w:val="center"/>
              <w:rPr>
                <w:color w:val="auto"/>
                <w:sz w:val="21"/>
                <w:szCs w:val="21"/>
              </w:rPr>
            </w:pPr>
          </w:p>
        </w:tc>
        <w:tc>
          <w:tcPr>
            <w:tcW w:w="508" w:type="pct"/>
            <w:vMerge w:val="continue"/>
            <w:tcBorders>
              <w:tl2br w:val="nil"/>
              <w:tr2bl w:val="nil"/>
            </w:tcBorders>
            <w:vAlign w:val="center"/>
          </w:tcPr>
          <w:p w14:paraId="2053767F">
            <w:pPr>
              <w:spacing w:line="240" w:lineRule="auto"/>
              <w:ind w:firstLine="0" w:firstLineChars="0"/>
              <w:jc w:val="center"/>
              <w:rPr>
                <w:color w:val="auto"/>
                <w:sz w:val="21"/>
                <w:szCs w:val="21"/>
              </w:rPr>
            </w:pPr>
          </w:p>
        </w:tc>
        <w:tc>
          <w:tcPr>
            <w:tcW w:w="350" w:type="pct"/>
            <w:vMerge w:val="continue"/>
            <w:tcBorders>
              <w:tl2br w:val="nil"/>
              <w:tr2bl w:val="nil"/>
            </w:tcBorders>
            <w:vAlign w:val="center"/>
          </w:tcPr>
          <w:p w14:paraId="3CF5B75C">
            <w:pPr>
              <w:spacing w:line="240" w:lineRule="auto"/>
              <w:ind w:firstLine="0" w:firstLineChars="0"/>
              <w:jc w:val="center"/>
              <w:rPr>
                <w:color w:val="auto"/>
                <w:sz w:val="21"/>
                <w:szCs w:val="21"/>
              </w:rPr>
            </w:pPr>
          </w:p>
        </w:tc>
        <w:tc>
          <w:tcPr>
            <w:tcW w:w="993" w:type="pct"/>
            <w:vMerge w:val="continue"/>
            <w:tcBorders>
              <w:tl2br w:val="nil"/>
              <w:tr2bl w:val="nil"/>
            </w:tcBorders>
            <w:vAlign w:val="center"/>
          </w:tcPr>
          <w:p w14:paraId="39881A5E">
            <w:pPr>
              <w:spacing w:line="240" w:lineRule="auto"/>
              <w:ind w:firstLine="0" w:firstLineChars="0"/>
              <w:jc w:val="center"/>
              <w:rPr>
                <w:color w:val="auto"/>
                <w:sz w:val="21"/>
                <w:szCs w:val="21"/>
              </w:rPr>
            </w:pPr>
          </w:p>
        </w:tc>
        <w:tc>
          <w:tcPr>
            <w:tcW w:w="480" w:type="pct"/>
            <w:vMerge w:val="continue"/>
            <w:tcBorders>
              <w:tl2br w:val="nil"/>
              <w:tr2bl w:val="nil"/>
            </w:tcBorders>
            <w:vAlign w:val="center"/>
          </w:tcPr>
          <w:p w14:paraId="356848BD">
            <w:pPr>
              <w:spacing w:line="240" w:lineRule="auto"/>
              <w:ind w:firstLine="0" w:firstLineChars="0"/>
              <w:jc w:val="center"/>
              <w:rPr>
                <w:color w:val="auto"/>
                <w:sz w:val="21"/>
                <w:szCs w:val="21"/>
              </w:rPr>
            </w:pPr>
          </w:p>
        </w:tc>
        <w:tc>
          <w:tcPr>
            <w:tcW w:w="402" w:type="pct"/>
            <w:vMerge w:val="continue"/>
            <w:tcBorders>
              <w:tl2br w:val="nil"/>
              <w:tr2bl w:val="nil"/>
            </w:tcBorders>
            <w:vAlign w:val="center"/>
          </w:tcPr>
          <w:p w14:paraId="7CBB4429">
            <w:pPr>
              <w:spacing w:line="240" w:lineRule="auto"/>
              <w:ind w:firstLine="0" w:firstLineChars="0"/>
              <w:jc w:val="center"/>
              <w:rPr>
                <w:color w:val="auto"/>
                <w:sz w:val="21"/>
                <w:szCs w:val="21"/>
              </w:rPr>
            </w:pPr>
          </w:p>
        </w:tc>
        <w:tc>
          <w:tcPr>
            <w:tcW w:w="1114" w:type="pct"/>
            <w:tcBorders>
              <w:tl2br w:val="nil"/>
              <w:tr2bl w:val="nil"/>
            </w:tcBorders>
            <w:vAlign w:val="center"/>
          </w:tcPr>
          <w:p w14:paraId="3732E05E">
            <w:pPr>
              <w:spacing w:line="240" w:lineRule="auto"/>
              <w:ind w:firstLine="0" w:firstLineChars="0"/>
              <w:jc w:val="center"/>
              <w:rPr>
                <w:color w:val="auto"/>
                <w:sz w:val="21"/>
                <w:szCs w:val="21"/>
              </w:rPr>
            </w:pPr>
            <w:r>
              <w:rPr>
                <w:rFonts w:hint="eastAsia"/>
                <w:color w:val="auto"/>
                <w:sz w:val="21"/>
                <w:szCs w:val="21"/>
              </w:rPr>
              <w:t>淤泥</w:t>
            </w:r>
          </w:p>
        </w:tc>
        <w:tc>
          <w:tcPr>
            <w:tcW w:w="350" w:type="pct"/>
            <w:vMerge w:val="continue"/>
            <w:tcBorders>
              <w:tl2br w:val="nil"/>
              <w:tr2bl w:val="nil"/>
            </w:tcBorders>
            <w:vAlign w:val="center"/>
          </w:tcPr>
          <w:p w14:paraId="35D63936">
            <w:pPr>
              <w:spacing w:line="240" w:lineRule="auto"/>
              <w:ind w:firstLine="0" w:firstLineChars="0"/>
              <w:jc w:val="center"/>
              <w:rPr>
                <w:color w:val="auto"/>
                <w:sz w:val="21"/>
                <w:szCs w:val="21"/>
              </w:rPr>
            </w:pPr>
          </w:p>
        </w:tc>
      </w:tr>
      <w:tr w14:paraId="754C7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00" w:type="pct"/>
            <w:vMerge w:val="continue"/>
            <w:tcBorders>
              <w:tl2br w:val="nil"/>
              <w:tr2bl w:val="nil"/>
            </w:tcBorders>
            <w:vAlign w:val="center"/>
          </w:tcPr>
          <w:p w14:paraId="7F4C64C1">
            <w:pPr>
              <w:spacing w:line="240" w:lineRule="auto"/>
              <w:ind w:firstLine="0" w:firstLineChars="0"/>
              <w:jc w:val="center"/>
              <w:rPr>
                <w:color w:val="auto"/>
                <w:sz w:val="21"/>
                <w:szCs w:val="21"/>
              </w:rPr>
            </w:pPr>
          </w:p>
        </w:tc>
        <w:tc>
          <w:tcPr>
            <w:tcW w:w="508" w:type="pct"/>
            <w:vMerge w:val="continue"/>
            <w:tcBorders>
              <w:tl2br w:val="nil"/>
              <w:tr2bl w:val="nil"/>
            </w:tcBorders>
            <w:vAlign w:val="center"/>
          </w:tcPr>
          <w:p w14:paraId="30C235FA">
            <w:pPr>
              <w:spacing w:line="240" w:lineRule="auto"/>
              <w:ind w:firstLine="0" w:firstLineChars="0"/>
              <w:jc w:val="center"/>
              <w:rPr>
                <w:color w:val="auto"/>
                <w:sz w:val="21"/>
                <w:szCs w:val="21"/>
              </w:rPr>
            </w:pPr>
          </w:p>
        </w:tc>
        <w:tc>
          <w:tcPr>
            <w:tcW w:w="350" w:type="pct"/>
            <w:vMerge w:val="continue"/>
            <w:tcBorders>
              <w:tl2br w:val="nil"/>
              <w:tr2bl w:val="nil"/>
            </w:tcBorders>
            <w:vAlign w:val="center"/>
          </w:tcPr>
          <w:p w14:paraId="259D8705">
            <w:pPr>
              <w:spacing w:line="240" w:lineRule="auto"/>
              <w:ind w:firstLine="0" w:firstLineChars="0"/>
              <w:jc w:val="center"/>
              <w:rPr>
                <w:color w:val="auto"/>
                <w:sz w:val="21"/>
                <w:szCs w:val="21"/>
              </w:rPr>
            </w:pPr>
          </w:p>
        </w:tc>
        <w:tc>
          <w:tcPr>
            <w:tcW w:w="993" w:type="pct"/>
            <w:tcBorders>
              <w:tl2br w:val="nil"/>
              <w:tr2bl w:val="nil"/>
            </w:tcBorders>
            <w:vAlign w:val="center"/>
          </w:tcPr>
          <w:p w14:paraId="2751A46F">
            <w:pPr>
              <w:spacing w:line="240" w:lineRule="auto"/>
              <w:ind w:firstLine="0" w:firstLineChars="0"/>
              <w:jc w:val="center"/>
              <w:rPr>
                <w:color w:val="auto"/>
                <w:sz w:val="21"/>
                <w:szCs w:val="21"/>
              </w:rPr>
            </w:pPr>
            <w:r>
              <w:rPr>
                <w:rFonts w:hint="eastAsia"/>
                <w:color w:val="auto"/>
                <w:sz w:val="21"/>
                <w:szCs w:val="21"/>
              </w:rPr>
              <w:t>－微承压含水岩组</w:t>
            </w:r>
          </w:p>
        </w:tc>
        <w:tc>
          <w:tcPr>
            <w:tcW w:w="480" w:type="pct"/>
            <w:tcBorders>
              <w:tl2br w:val="nil"/>
              <w:tr2bl w:val="nil"/>
            </w:tcBorders>
            <w:vAlign w:val="center"/>
          </w:tcPr>
          <w:p w14:paraId="021DF318">
            <w:pPr>
              <w:spacing w:line="240" w:lineRule="auto"/>
              <w:ind w:firstLine="0" w:firstLineChars="0"/>
              <w:jc w:val="center"/>
              <w:rPr>
                <w:color w:val="auto"/>
                <w:sz w:val="21"/>
                <w:szCs w:val="21"/>
              </w:rPr>
            </w:pPr>
            <w:r>
              <w:rPr>
                <w:rFonts w:hint="eastAsia"/>
                <w:color w:val="auto"/>
                <w:sz w:val="21"/>
                <w:szCs w:val="21"/>
              </w:rPr>
              <w:t>Q</w:t>
            </w:r>
            <w:r>
              <w:rPr>
                <w:rFonts w:hint="eastAsia"/>
                <w:color w:val="auto"/>
                <w:sz w:val="21"/>
                <w:szCs w:val="21"/>
                <w:vertAlign w:val="subscript"/>
              </w:rPr>
              <w:t>3</w:t>
            </w:r>
          </w:p>
        </w:tc>
        <w:tc>
          <w:tcPr>
            <w:tcW w:w="402" w:type="pct"/>
            <w:tcBorders>
              <w:tl2br w:val="nil"/>
              <w:tr2bl w:val="nil"/>
            </w:tcBorders>
            <w:vAlign w:val="center"/>
          </w:tcPr>
          <w:p w14:paraId="52039F1B">
            <w:pPr>
              <w:spacing w:line="240" w:lineRule="auto"/>
              <w:ind w:firstLine="0" w:firstLineChars="0"/>
              <w:jc w:val="center"/>
              <w:rPr>
                <w:color w:val="auto"/>
                <w:sz w:val="21"/>
                <w:szCs w:val="21"/>
              </w:rPr>
            </w:pPr>
            <w:r>
              <w:rPr>
                <w:rFonts w:hint="eastAsia"/>
                <w:color w:val="auto"/>
                <w:sz w:val="21"/>
                <w:szCs w:val="21"/>
              </w:rPr>
              <w:t>戚咀组</w:t>
            </w:r>
          </w:p>
        </w:tc>
        <w:tc>
          <w:tcPr>
            <w:tcW w:w="1114" w:type="pct"/>
            <w:tcBorders>
              <w:tl2br w:val="nil"/>
              <w:tr2bl w:val="nil"/>
            </w:tcBorders>
            <w:vAlign w:val="center"/>
          </w:tcPr>
          <w:p w14:paraId="6FFBC246">
            <w:pPr>
              <w:spacing w:line="240" w:lineRule="auto"/>
              <w:ind w:firstLine="0" w:firstLineChars="0"/>
              <w:jc w:val="center"/>
              <w:rPr>
                <w:color w:val="auto"/>
                <w:sz w:val="21"/>
                <w:szCs w:val="21"/>
              </w:rPr>
            </w:pPr>
            <w:r>
              <w:rPr>
                <w:rFonts w:hint="eastAsia"/>
                <w:color w:val="auto"/>
                <w:sz w:val="21"/>
                <w:szCs w:val="21"/>
              </w:rPr>
              <w:t>（6）粘土混砂（6）-1中粗砂</w:t>
            </w:r>
          </w:p>
        </w:tc>
        <w:tc>
          <w:tcPr>
            <w:tcW w:w="350" w:type="pct"/>
            <w:vMerge w:val="restart"/>
            <w:tcBorders>
              <w:tl2br w:val="nil"/>
              <w:tr2bl w:val="nil"/>
            </w:tcBorders>
            <w:vAlign w:val="center"/>
          </w:tcPr>
          <w:p w14:paraId="2858E4C0">
            <w:pPr>
              <w:spacing w:line="240" w:lineRule="auto"/>
              <w:ind w:firstLine="0" w:firstLineChars="0"/>
              <w:jc w:val="center"/>
              <w:rPr>
                <w:color w:val="auto"/>
                <w:sz w:val="21"/>
                <w:szCs w:val="21"/>
              </w:rPr>
            </w:pPr>
            <w:r>
              <w:rPr>
                <w:rFonts w:hint="eastAsia"/>
                <w:color w:val="auto"/>
                <w:sz w:val="21"/>
                <w:szCs w:val="21"/>
              </w:rPr>
              <w:t>微承压水</w:t>
            </w:r>
          </w:p>
        </w:tc>
      </w:tr>
      <w:tr w14:paraId="5ABAB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00" w:type="pct"/>
            <w:vMerge w:val="continue"/>
            <w:tcBorders>
              <w:tl2br w:val="nil"/>
              <w:tr2bl w:val="nil"/>
            </w:tcBorders>
            <w:vAlign w:val="center"/>
          </w:tcPr>
          <w:p w14:paraId="1112387F">
            <w:pPr>
              <w:spacing w:line="240" w:lineRule="auto"/>
              <w:ind w:firstLine="0" w:firstLineChars="0"/>
              <w:jc w:val="center"/>
              <w:rPr>
                <w:color w:val="auto"/>
                <w:sz w:val="21"/>
                <w:szCs w:val="21"/>
              </w:rPr>
            </w:pPr>
          </w:p>
        </w:tc>
        <w:tc>
          <w:tcPr>
            <w:tcW w:w="858" w:type="pct"/>
            <w:gridSpan w:val="2"/>
            <w:tcBorders>
              <w:tl2br w:val="nil"/>
              <w:tr2bl w:val="nil"/>
            </w:tcBorders>
            <w:vAlign w:val="center"/>
          </w:tcPr>
          <w:p w14:paraId="030E18B6">
            <w:pPr>
              <w:spacing w:line="240" w:lineRule="auto"/>
              <w:ind w:firstLine="0" w:firstLineChars="0"/>
              <w:jc w:val="center"/>
              <w:rPr>
                <w:color w:val="auto"/>
                <w:sz w:val="21"/>
                <w:szCs w:val="21"/>
              </w:rPr>
            </w:pPr>
            <w:r>
              <w:rPr>
                <w:rFonts w:hint="eastAsia"/>
                <w:color w:val="auto"/>
                <w:sz w:val="21"/>
                <w:szCs w:val="21"/>
              </w:rPr>
              <w:t>基岩裂隙水</w:t>
            </w:r>
          </w:p>
        </w:tc>
        <w:tc>
          <w:tcPr>
            <w:tcW w:w="993" w:type="pct"/>
            <w:tcBorders>
              <w:tl2br w:val="nil"/>
              <w:tr2bl w:val="nil"/>
            </w:tcBorders>
            <w:vAlign w:val="center"/>
          </w:tcPr>
          <w:p w14:paraId="4ED6B6EA">
            <w:pPr>
              <w:spacing w:line="240" w:lineRule="auto"/>
              <w:ind w:firstLine="0" w:firstLineChars="0"/>
              <w:jc w:val="center"/>
              <w:rPr>
                <w:color w:val="auto"/>
                <w:sz w:val="21"/>
                <w:szCs w:val="21"/>
              </w:rPr>
            </w:pPr>
            <w:r>
              <w:rPr>
                <w:rFonts w:hint="eastAsia"/>
                <w:color w:val="auto"/>
                <w:sz w:val="21"/>
                <w:szCs w:val="21"/>
              </w:rPr>
              <w:t>变质岩、岩浆岩裂隙含水岩组</w:t>
            </w:r>
          </w:p>
        </w:tc>
        <w:tc>
          <w:tcPr>
            <w:tcW w:w="480" w:type="pct"/>
            <w:tcBorders>
              <w:tl2br w:val="nil"/>
              <w:tr2bl w:val="nil"/>
            </w:tcBorders>
            <w:vAlign w:val="center"/>
          </w:tcPr>
          <w:p w14:paraId="1E33FCB7">
            <w:pPr>
              <w:spacing w:line="240" w:lineRule="auto"/>
              <w:ind w:firstLine="0" w:firstLineChars="0"/>
              <w:jc w:val="center"/>
              <w:rPr>
                <w:color w:val="auto"/>
                <w:sz w:val="21"/>
                <w:szCs w:val="21"/>
              </w:rPr>
            </w:pPr>
            <w:r>
              <w:rPr>
                <w:rFonts w:hint="eastAsia"/>
                <w:color w:val="auto"/>
                <w:sz w:val="21"/>
                <w:szCs w:val="21"/>
              </w:rPr>
              <w:t>Pt2y</w:t>
            </w:r>
          </w:p>
        </w:tc>
        <w:tc>
          <w:tcPr>
            <w:tcW w:w="402" w:type="pct"/>
            <w:tcBorders>
              <w:tl2br w:val="nil"/>
              <w:tr2bl w:val="nil"/>
            </w:tcBorders>
            <w:vAlign w:val="center"/>
          </w:tcPr>
          <w:p w14:paraId="4B72AA75">
            <w:pPr>
              <w:spacing w:line="240" w:lineRule="auto"/>
              <w:ind w:firstLine="0" w:firstLineChars="0"/>
              <w:jc w:val="center"/>
              <w:rPr>
                <w:color w:val="auto"/>
                <w:sz w:val="21"/>
                <w:szCs w:val="21"/>
              </w:rPr>
            </w:pPr>
            <w:r>
              <w:rPr>
                <w:rFonts w:hint="eastAsia"/>
                <w:color w:val="auto"/>
                <w:sz w:val="21"/>
                <w:szCs w:val="21"/>
              </w:rPr>
              <w:t>云台组</w:t>
            </w:r>
          </w:p>
        </w:tc>
        <w:tc>
          <w:tcPr>
            <w:tcW w:w="1114" w:type="pct"/>
            <w:tcBorders>
              <w:tl2br w:val="nil"/>
              <w:tr2bl w:val="nil"/>
            </w:tcBorders>
            <w:vAlign w:val="center"/>
          </w:tcPr>
          <w:p w14:paraId="09022A44">
            <w:pPr>
              <w:spacing w:line="240" w:lineRule="auto"/>
              <w:ind w:firstLine="0" w:firstLineChars="0"/>
              <w:jc w:val="center"/>
              <w:rPr>
                <w:color w:val="auto"/>
                <w:sz w:val="21"/>
                <w:szCs w:val="21"/>
              </w:rPr>
            </w:pPr>
            <w:r>
              <w:rPr>
                <w:rFonts w:hint="eastAsia"/>
                <w:color w:val="auto"/>
                <w:sz w:val="21"/>
                <w:szCs w:val="21"/>
              </w:rPr>
              <w:t>（7）全风化片麻岩</w:t>
            </w:r>
          </w:p>
        </w:tc>
        <w:tc>
          <w:tcPr>
            <w:tcW w:w="350" w:type="pct"/>
            <w:vMerge w:val="continue"/>
            <w:tcBorders>
              <w:tl2br w:val="nil"/>
              <w:tr2bl w:val="nil"/>
            </w:tcBorders>
            <w:vAlign w:val="center"/>
          </w:tcPr>
          <w:p w14:paraId="331C2B6D">
            <w:pPr>
              <w:spacing w:line="240" w:lineRule="auto"/>
              <w:ind w:firstLine="0" w:firstLineChars="0"/>
              <w:jc w:val="center"/>
              <w:rPr>
                <w:color w:val="auto"/>
                <w:sz w:val="21"/>
                <w:szCs w:val="21"/>
              </w:rPr>
            </w:pPr>
          </w:p>
        </w:tc>
      </w:tr>
    </w:tbl>
    <w:p w14:paraId="48B17156">
      <w:pPr>
        <w:ind w:firstLine="480"/>
        <w:rPr>
          <w:color w:val="auto"/>
        </w:rPr>
      </w:pPr>
      <w:r>
        <w:rPr>
          <w:rFonts w:hint="eastAsia"/>
          <w:color w:val="auto"/>
        </w:rPr>
        <w:t>浅层孔隙水主要受大气降水及地表水下渗补给，主要通过蒸发和侧向径流补给地表水等方式排泄。浅层微承压孔隙水主要受1区淡水侧向径流及基岩裂隙水入渗补给，通过侧向径流或垂向补给基岩裂隙水等方式排泄。基裂隙水主要受上游地下水侧向径流及上覆松散层孔隙水的垂向入渗补给，通过侧向径流和排入上覆松散岩层等方式排泄。基岩裂隙水与松散岩类孔隙水补排关系相互转化。</w:t>
      </w:r>
    </w:p>
    <w:p w14:paraId="5A55D8B1">
      <w:pPr>
        <w:keepNext/>
        <w:keepLines/>
        <w:spacing w:before="120" w:beforeLines="50"/>
        <w:ind w:firstLine="0" w:firstLineChars="0"/>
        <w:outlineLvl w:val="2"/>
        <w:rPr>
          <w:b/>
          <w:bCs/>
          <w:color w:val="auto"/>
          <w:sz w:val="28"/>
          <w:szCs w:val="28"/>
        </w:rPr>
      </w:pPr>
      <w:r>
        <w:rPr>
          <w:rFonts w:hint="eastAsia"/>
          <w:b/>
          <w:bCs/>
          <w:color w:val="auto"/>
          <w:sz w:val="28"/>
          <w:szCs w:val="28"/>
        </w:rPr>
        <w:t>5.1.6</w:t>
      </w:r>
      <w:r>
        <w:rPr>
          <w:b/>
          <w:bCs/>
          <w:color w:val="auto"/>
          <w:sz w:val="28"/>
          <w:szCs w:val="28"/>
        </w:rPr>
        <w:t xml:space="preserve"> </w:t>
      </w:r>
      <w:r>
        <w:rPr>
          <w:rFonts w:hint="eastAsia"/>
          <w:b/>
          <w:bCs/>
          <w:color w:val="auto"/>
          <w:sz w:val="28"/>
          <w:szCs w:val="28"/>
        </w:rPr>
        <w:t>生态环境状况</w:t>
      </w:r>
    </w:p>
    <w:p w14:paraId="2A66E015">
      <w:pPr>
        <w:ind w:firstLine="480"/>
        <w:rPr>
          <w:color w:val="auto"/>
        </w:rPr>
      </w:pPr>
      <w:r>
        <w:rPr>
          <w:rFonts w:hint="eastAsia"/>
          <w:color w:val="auto"/>
        </w:rPr>
        <w:t>（1）植被情况</w:t>
      </w:r>
    </w:p>
    <w:p w14:paraId="47AF610B">
      <w:pPr>
        <w:ind w:firstLine="480"/>
        <w:rPr>
          <w:color w:val="auto"/>
        </w:rPr>
      </w:pPr>
      <w:r>
        <w:rPr>
          <w:rFonts w:hint="eastAsia"/>
          <w:color w:val="auto"/>
        </w:rPr>
        <w:t>开发区地势平坦，土地主要为工业用地。根据卫星遥感影像资料和现状调查园区除已开发的区域外，其余区域全部为已平整土地。现状存在植物主要为人工绿化植物及杂生植被。本项目评价范围内未发现挂牌的古树名木以及受保护的植物种类。</w:t>
      </w:r>
    </w:p>
    <w:p w14:paraId="2E2AAD8D">
      <w:pPr>
        <w:ind w:firstLine="480"/>
        <w:rPr>
          <w:color w:val="auto"/>
        </w:rPr>
      </w:pPr>
      <w:r>
        <w:rPr>
          <w:rFonts w:hint="eastAsia"/>
          <w:color w:val="auto"/>
        </w:rPr>
        <w:t>（2）动物情况</w:t>
      </w:r>
    </w:p>
    <w:p w14:paraId="3650C9CC">
      <w:pPr>
        <w:ind w:firstLine="480"/>
        <w:rPr>
          <w:color w:val="auto"/>
        </w:rPr>
      </w:pPr>
      <w:r>
        <w:rPr>
          <w:rFonts w:hint="eastAsia"/>
          <w:color w:val="auto"/>
        </w:rPr>
        <w:t>根据现场调查，开发区内已无村庄，自然生态环境已遭到一定程度的破坏，野生动物失去了较适宜的栖息繁衍的场所，附近大型野生动物已经消失。常见的野生动物主要有昆虫类、鼠类、蛇类、蟾蜍、蛙、土壤中有蚯蚓等。常见的鸟类主要有大山雀、（树）麻雀、小云雀、灰椋鸟、喜鹊、乌鸦等。</w:t>
      </w:r>
    </w:p>
    <w:p w14:paraId="545A6D33">
      <w:pPr>
        <w:ind w:firstLine="480"/>
        <w:rPr>
          <w:color w:val="auto"/>
        </w:rPr>
      </w:pPr>
      <w:r>
        <w:rPr>
          <w:rFonts w:hint="eastAsia"/>
          <w:color w:val="auto"/>
        </w:rPr>
        <w:t>本项目所在地人工开发程度较高，经现场调查和资料收集，本项目评价范围内未发现珍稀动物资源分布。</w:t>
      </w:r>
    </w:p>
    <w:p w14:paraId="2C1C326B">
      <w:pPr>
        <w:ind w:firstLine="480"/>
        <w:rPr>
          <w:color w:val="auto"/>
        </w:rPr>
      </w:pPr>
      <w:r>
        <w:rPr>
          <w:rFonts w:hint="eastAsia"/>
          <w:color w:val="auto"/>
        </w:rPr>
        <w:t>（3）水域生态</w:t>
      </w:r>
    </w:p>
    <w:p w14:paraId="50C6F422">
      <w:pPr>
        <w:ind w:firstLine="480"/>
        <w:rPr>
          <w:color w:val="auto"/>
        </w:rPr>
      </w:pPr>
      <w:r>
        <w:rPr>
          <w:rFonts w:hint="eastAsia"/>
          <w:color w:val="auto"/>
        </w:rPr>
        <w:t>评价区域内无大型河流，周围河流中鱼类有鲤鱼、鲫鱼、鲢鱼、草鱼、沙光鱼等，贝类有田螺、蚌等，主要以野生为主。水生植物主要由沼泽植物和沉水植物构成。水生植物中常见的有水花生、水车前、金鱼藻、满江红等，淀粉类植物有芡实、菱等，主要沼泽植物有芦苇、菖蒲等。</w:t>
      </w:r>
    </w:p>
    <w:p w14:paraId="7B909E34">
      <w:pPr>
        <w:ind w:firstLine="480"/>
        <w:rPr>
          <w:color w:val="auto"/>
        </w:rPr>
      </w:pPr>
      <w:r>
        <w:rPr>
          <w:rFonts w:hint="eastAsia"/>
          <w:color w:val="auto"/>
        </w:rPr>
        <w:t>本项目评价范围内未发现国家重点保护动物和江苏省省级保护动物分布。</w:t>
      </w:r>
    </w:p>
    <w:p w14:paraId="52582D6F">
      <w:pPr>
        <w:ind w:firstLine="480"/>
        <w:rPr>
          <w:color w:val="auto"/>
        </w:rPr>
        <w:sectPr>
          <w:footerReference r:id="rId16" w:type="default"/>
          <w:pgSz w:w="11906" w:h="16838"/>
          <w:pgMar w:top="1418" w:right="1418" w:bottom="1418" w:left="1418" w:header="851" w:footer="992" w:gutter="0"/>
          <w:cols w:space="425" w:num="1"/>
          <w:docGrid w:linePitch="312" w:charSpace="0"/>
        </w:sectPr>
      </w:pPr>
    </w:p>
    <w:p w14:paraId="3439E8B9">
      <w:pPr>
        <w:pStyle w:val="4"/>
        <w:spacing w:beforeLines="50" w:after="0"/>
        <w:ind w:firstLine="0" w:firstLineChars="0"/>
        <w:rPr>
          <w:color w:val="auto"/>
          <w:sz w:val="30"/>
          <w:szCs w:val="30"/>
        </w:rPr>
      </w:pPr>
      <w:bookmarkStart w:id="97" w:name="_Toc494440458"/>
      <w:bookmarkStart w:id="98" w:name="_Toc479348102"/>
      <w:bookmarkStart w:id="99" w:name="_Toc5501"/>
      <w:r>
        <w:rPr>
          <w:rFonts w:hint="eastAsia"/>
          <w:color w:val="auto"/>
          <w:sz w:val="30"/>
          <w:szCs w:val="30"/>
        </w:rPr>
        <w:t>5</w:t>
      </w:r>
      <w:r>
        <w:rPr>
          <w:color w:val="auto"/>
          <w:sz w:val="30"/>
          <w:szCs w:val="30"/>
        </w:rPr>
        <w:t>.</w:t>
      </w:r>
      <w:r>
        <w:rPr>
          <w:rFonts w:hint="eastAsia"/>
          <w:color w:val="auto"/>
          <w:sz w:val="30"/>
          <w:szCs w:val="30"/>
        </w:rPr>
        <w:t>2</w:t>
      </w:r>
      <w:r>
        <w:rPr>
          <w:color w:val="auto"/>
          <w:sz w:val="30"/>
          <w:szCs w:val="30"/>
        </w:rPr>
        <w:t xml:space="preserve"> </w:t>
      </w:r>
      <w:r>
        <w:rPr>
          <w:rFonts w:hint="eastAsia"/>
          <w:color w:val="auto"/>
          <w:sz w:val="30"/>
          <w:szCs w:val="30"/>
        </w:rPr>
        <w:t>环境质量现状调查与</w:t>
      </w:r>
      <w:r>
        <w:rPr>
          <w:color w:val="auto"/>
          <w:sz w:val="30"/>
          <w:szCs w:val="30"/>
        </w:rPr>
        <w:t>评价</w:t>
      </w:r>
      <w:bookmarkEnd w:id="97"/>
      <w:bookmarkEnd w:id="98"/>
      <w:bookmarkEnd w:id="99"/>
      <w:bookmarkStart w:id="100" w:name="_Toc308597859"/>
      <w:bookmarkStart w:id="101" w:name="_Toc310085843"/>
      <w:bookmarkStart w:id="102" w:name="_Toc308599449"/>
    </w:p>
    <w:p w14:paraId="2CA1D833">
      <w:pPr>
        <w:keepNext/>
        <w:keepLines/>
        <w:spacing w:before="120" w:beforeLines="50"/>
        <w:ind w:firstLine="0" w:firstLineChars="0"/>
        <w:outlineLvl w:val="2"/>
        <w:rPr>
          <w:b/>
          <w:bCs/>
          <w:color w:val="auto"/>
          <w:sz w:val="28"/>
          <w:szCs w:val="28"/>
        </w:rPr>
      </w:pPr>
      <w:bookmarkStart w:id="103" w:name="_Toc428256006"/>
      <w:r>
        <w:rPr>
          <w:rFonts w:hint="eastAsia"/>
          <w:b/>
          <w:bCs/>
          <w:color w:val="auto"/>
          <w:sz w:val="28"/>
          <w:szCs w:val="28"/>
        </w:rPr>
        <w:t>5</w:t>
      </w:r>
      <w:r>
        <w:rPr>
          <w:b/>
          <w:bCs/>
          <w:color w:val="auto"/>
          <w:sz w:val="28"/>
          <w:szCs w:val="28"/>
        </w:rPr>
        <w:t>.</w:t>
      </w:r>
      <w:r>
        <w:rPr>
          <w:rFonts w:hint="eastAsia"/>
          <w:b/>
          <w:bCs/>
          <w:color w:val="auto"/>
          <w:sz w:val="28"/>
          <w:szCs w:val="28"/>
        </w:rPr>
        <w:t>2</w:t>
      </w:r>
      <w:r>
        <w:rPr>
          <w:b/>
          <w:bCs/>
          <w:color w:val="auto"/>
          <w:sz w:val="28"/>
          <w:szCs w:val="28"/>
        </w:rPr>
        <w:t>.1 大气环境质量现状监测与评价</w:t>
      </w:r>
      <w:bookmarkEnd w:id="103"/>
    </w:p>
    <w:p w14:paraId="57EFF1F2">
      <w:pPr>
        <w:spacing w:before="120" w:beforeLines="50"/>
        <w:ind w:firstLine="0" w:firstLineChars="0"/>
        <w:jc w:val="left"/>
        <w:outlineLvl w:val="3"/>
        <w:rPr>
          <w:b/>
          <w:color w:val="auto"/>
        </w:rPr>
      </w:pPr>
      <w:bookmarkStart w:id="104" w:name="_Hlk42073955"/>
      <w:r>
        <w:rPr>
          <w:rFonts w:hint="eastAsia"/>
          <w:b/>
          <w:color w:val="auto"/>
        </w:rPr>
        <w:t>5</w:t>
      </w:r>
      <w:r>
        <w:rPr>
          <w:b/>
          <w:color w:val="auto"/>
        </w:rPr>
        <w:t>.</w:t>
      </w:r>
      <w:r>
        <w:rPr>
          <w:rFonts w:hint="eastAsia"/>
          <w:b/>
          <w:color w:val="auto"/>
        </w:rPr>
        <w:t>2</w:t>
      </w:r>
      <w:r>
        <w:rPr>
          <w:b/>
          <w:color w:val="auto"/>
        </w:rPr>
        <w:t>.1.1 环境质量达标区判定</w:t>
      </w:r>
    </w:p>
    <w:bookmarkEnd w:id="104"/>
    <w:p w14:paraId="2B21AD74">
      <w:pPr>
        <w:pStyle w:val="2241"/>
        <w:jc w:val="both"/>
        <w:rPr>
          <w:rFonts w:ascii="Times New Roman" w:hAnsi="Times New Roman" w:cs="Times New Roman"/>
          <w:color w:val="auto"/>
          <w:kern w:val="0"/>
          <w:szCs w:val="20"/>
        </w:rPr>
      </w:pPr>
      <w:r>
        <w:rPr>
          <w:rFonts w:ascii="Times New Roman" w:hAnsi="Times New Roman" w:cs="Times New Roman"/>
          <w:color w:val="auto"/>
          <w:kern w:val="0"/>
          <w:szCs w:val="20"/>
        </w:rPr>
        <w:t>根据《环境影响评价技术导则 大气环境》（HJ2.2-2018），项目所在区域达标情况判定优先采用国家或地方生态环境主管部门公开发布的评价基准年环境质量公告或环境质量报告中的数据或结论。</w:t>
      </w:r>
    </w:p>
    <w:p w14:paraId="4607FB21">
      <w:pPr>
        <w:pStyle w:val="2241"/>
        <w:jc w:val="both"/>
        <w:rPr>
          <w:rFonts w:ascii="Times New Roman" w:hAnsi="Times New Roman" w:cs="Times New Roman"/>
          <w:color w:val="auto"/>
          <w:kern w:val="0"/>
          <w:szCs w:val="20"/>
        </w:rPr>
      </w:pPr>
      <w:r>
        <w:rPr>
          <w:rFonts w:ascii="Times New Roman" w:hAnsi="Times New Roman" w:cs="Times New Roman"/>
          <w:color w:val="auto"/>
          <w:kern w:val="0"/>
          <w:szCs w:val="20"/>
        </w:rPr>
        <w:t>本项目位于连云港市连云港经济技术开发区，选取2023年</w:t>
      </w:r>
      <w:r>
        <w:rPr>
          <w:rFonts w:hint="eastAsia" w:ascii="Times New Roman" w:hAnsi="Times New Roman" w:cs="Times New Roman"/>
          <w:color w:val="auto"/>
          <w:kern w:val="0"/>
          <w:szCs w:val="20"/>
        </w:rPr>
        <w:t>作为</w:t>
      </w:r>
      <w:r>
        <w:rPr>
          <w:rFonts w:ascii="Times New Roman" w:hAnsi="Times New Roman" w:cs="Times New Roman"/>
          <w:color w:val="auto"/>
          <w:kern w:val="0"/>
          <w:szCs w:val="20"/>
        </w:rPr>
        <w:t>评价基准年。根据《2023年度连云港市生态环境状况公报》数据，区域基本污染物环境质量现状情况见表</w:t>
      </w:r>
      <w:r>
        <w:rPr>
          <w:rFonts w:hint="eastAsia" w:ascii="Times New Roman" w:hAnsi="Times New Roman" w:cs="Times New Roman"/>
          <w:color w:val="auto"/>
          <w:kern w:val="0"/>
          <w:szCs w:val="20"/>
        </w:rPr>
        <w:t>5.2.1</w:t>
      </w:r>
      <w:r>
        <w:rPr>
          <w:rFonts w:ascii="Times New Roman" w:hAnsi="Times New Roman" w:cs="Times New Roman"/>
          <w:color w:val="auto"/>
          <w:kern w:val="0"/>
          <w:szCs w:val="20"/>
        </w:rPr>
        <w:t>-1。</w:t>
      </w:r>
    </w:p>
    <w:p w14:paraId="3B39FF79">
      <w:pPr>
        <w:pStyle w:val="2029"/>
        <w:spacing w:line="240" w:lineRule="auto"/>
        <w:ind w:firstLine="0" w:firstLineChars="0"/>
        <w:jc w:val="center"/>
        <w:rPr>
          <w:b/>
          <w:color w:val="auto"/>
        </w:rPr>
      </w:pPr>
      <w:r>
        <w:rPr>
          <w:b/>
          <w:color w:val="auto"/>
        </w:rPr>
        <w:t>表5.</w:t>
      </w:r>
      <w:r>
        <w:rPr>
          <w:rFonts w:hint="eastAsia"/>
          <w:b/>
          <w:color w:val="auto"/>
        </w:rPr>
        <w:t>2</w:t>
      </w:r>
      <w:r>
        <w:rPr>
          <w:b/>
          <w:color w:val="auto"/>
        </w:rPr>
        <w:t>.1-1  区域气质量现状评价表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91"/>
        <w:gridCol w:w="3096"/>
        <w:gridCol w:w="1156"/>
        <w:gridCol w:w="1418"/>
        <w:gridCol w:w="1225"/>
        <w:gridCol w:w="1184"/>
      </w:tblGrid>
      <w:tr w14:paraId="4FB33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3B0AA0AB">
            <w:pPr>
              <w:spacing w:line="240" w:lineRule="auto"/>
              <w:ind w:firstLine="0" w:firstLineChars="0"/>
              <w:jc w:val="center"/>
              <w:rPr>
                <w:color w:val="auto"/>
                <w:kern w:val="0"/>
                <w:sz w:val="21"/>
                <w:szCs w:val="21"/>
              </w:rPr>
            </w:pPr>
            <w:r>
              <w:rPr>
                <w:b/>
                <w:bCs/>
                <w:color w:val="auto"/>
                <w:kern w:val="0"/>
                <w:sz w:val="21"/>
                <w:szCs w:val="21"/>
                <w:lang w:val="zh-CN"/>
              </w:rPr>
              <w:t>污染物</w:t>
            </w:r>
          </w:p>
        </w:tc>
        <w:tc>
          <w:tcPr>
            <w:tcW w:w="1706" w:type="pct"/>
            <w:shd w:val="clear" w:color="auto" w:fill="auto"/>
            <w:vAlign w:val="center"/>
          </w:tcPr>
          <w:p w14:paraId="21C2A68D">
            <w:pPr>
              <w:spacing w:line="240" w:lineRule="auto"/>
              <w:ind w:firstLine="0" w:firstLineChars="0"/>
              <w:jc w:val="center"/>
              <w:rPr>
                <w:color w:val="auto"/>
                <w:kern w:val="0"/>
                <w:sz w:val="21"/>
                <w:szCs w:val="21"/>
              </w:rPr>
            </w:pPr>
            <w:r>
              <w:rPr>
                <w:rFonts w:hint="eastAsia"/>
                <w:b/>
                <w:bCs/>
                <w:color w:val="auto"/>
                <w:kern w:val="0"/>
                <w:sz w:val="21"/>
                <w:szCs w:val="21"/>
                <w:lang w:val="zh-CN"/>
              </w:rPr>
              <w:t>年度</w:t>
            </w:r>
            <w:r>
              <w:rPr>
                <w:b/>
                <w:bCs/>
                <w:color w:val="auto"/>
                <w:kern w:val="0"/>
                <w:sz w:val="21"/>
                <w:szCs w:val="21"/>
                <w:lang w:val="zh-CN"/>
              </w:rPr>
              <w:t>评价指标</w:t>
            </w:r>
          </w:p>
        </w:tc>
        <w:tc>
          <w:tcPr>
            <w:tcW w:w="637" w:type="pct"/>
            <w:shd w:val="clear" w:color="auto" w:fill="auto"/>
            <w:vAlign w:val="center"/>
          </w:tcPr>
          <w:p w14:paraId="437C2E50">
            <w:pPr>
              <w:spacing w:line="240" w:lineRule="auto"/>
              <w:ind w:firstLine="0" w:firstLineChars="0"/>
              <w:jc w:val="center"/>
              <w:rPr>
                <w:color w:val="auto"/>
                <w:kern w:val="0"/>
                <w:sz w:val="21"/>
                <w:szCs w:val="21"/>
              </w:rPr>
            </w:pPr>
            <w:r>
              <w:rPr>
                <w:b/>
                <w:bCs/>
                <w:color w:val="auto"/>
                <w:kern w:val="0"/>
                <w:sz w:val="21"/>
                <w:szCs w:val="21"/>
                <w:lang w:val="zh-CN"/>
              </w:rPr>
              <w:t>评价标准</w:t>
            </w:r>
          </w:p>
          <w:p w14:paraId="0E098AA8">
            <w:pPr>
              <w:spacing w:line="240" w:lineRule="auto"/>
              <w:ind w:firstLine="0" w:firstLineChars="0"/>
              <w:jc w:val="center"/>
              <w:rPr>
                <w:color w:val="auto"/>
                <w:kern w:val="0"/>
                <w:sz w:val="21"/>
                <w:szCs w:val="21"/>
              </w:rPr>
            </w:pPr>
            <w:r>
              <w:rPr>
                <w:rFonts w:hint="eastAsia"/>
                <w:b/>
                <w:bCs/>
                <w:color w:val="auto"/>
                <w:kern w:val="0"/>
                <w:sz w:val="21"/>
                <w:szCs w:val="21"/>
              </w:rPr>
              <w:t>(</w:t>
            </w:r>
            <w:r>
              <w:rPr>
                <w:b/>
                <w:bCs/>
                <w:color w:val="auto"/>
                <w:kern w:val="0"/>
                <w:sz w:val="21"/>
                <w:szCs w:val="21"/>
              </w:rPr>
              <w:t>μ</w:t>
            </w:r>
            <w:r>
              <w:rPr>
                <w:b/>
                <w:bCs/>
                <w:color w:val="auto"/>
                <w:kern w:val="0"/>
                <w:sz w:val="21"/>
                <w:szCs w:val="21"/>
                <w:lang w:eastAsia="en-US"/>
              </w:rPr>
              <w:t>g/m</w:t>
            </w:r>
            <w:r>
              <w:rPr>
                <w:b/>
                <w:bCs/>
                <w:color w:val="auto"/>
                <w:kern w:val="0"/>
                <w:sz w:val="21"/>
                <w:szCs w:val="21"/>
                <w:vertAlign w:val="superscript"/>
                <w:lang w:eastAsia="en-US"/>
              </w:rPr>
              <w:t>3</w:t>
            </w:r>
            <w:r>
              <w:rPr>
                <w:rFonts w:hint="eastAsia"/>
                <w:b/>
                <w:bCs/>
                <w:color w:val="auto"/>
                <w:kern w:val="0"/>
                <w:sz w:val="21"/>
                <w:szCs w:val="21"/>
                <w:vertAlign w:val="superscript"/>
              </w:rPr>
              <w:t>)</w:t>
            </w:r>
          </w:p>
        </w:tc>
        <w:tc>
          <w:tcPr>
            <w:tcW w:w="781" w:type="pct"/>
            <w:shd w:val="clear" w:color="auto" w:fill="auto"/>
            <w:vAlign w:val="center"/>
          </w:tcPr>
          <w:p w14:paraId="1F190F79">
            <w:pPr>
              <w:spacing w:line="240" w:lineRule="auto"/>
              <w:ind w:firstLine="0" w:firstLineChars="0"/>
              <w:jc w:val="center"/>
              <w:rPr>
                <w:color w:val="auto"/>
                <w:kern w:val="0"/>
                <w:sz w:val="21"/>
                <w:szCs w:val="21"/>
              </w:rPr>
            </w:pPr>
            <w:r>
              <w:rPr>
                <w:b/>
                <w:bCs/>
                <w:color w:val="auto"/>
                <w:kern w:val="0"/>
                <w:sz w:val="21"/>
                <w:szCs w:val="21"/>
                <w:lang w:val="zh-CN"/>
              </w:rPr>
              <w:t>现状浓度</w:t>
            </w:r>
          </w:p>
          <w:p w14:paraId="1F735087">
            <w:pPr>
              <w:spacing w:line="240" w:lineRule="auto"/>
              <w:ind w:firstLine="0" w:firstLineChars="0"/>
              <w:jc w:val="center"/>
              <w:rPr>
                <w:color w:val="auto"/>
                <w:kern w:val="0"/>
                <w:sz w:val="21"/>
                <w:szCs w:val="21"/>
              </w:rPr>
            </w:pPr>
            <w:r>
              <w:rPr>
                <w:rFonts w:hint="eastAsia"/>
                <w:b/>
                <w:bCs/>
                <w:color w:val="auto"/>
                <w:kern w:val="0"/>
                <w:sz w:val="21"/>
                <w:szCs w:val="21"/>
              </w:rPr>
              <w:t>(</w:t>
            </w:r>
            <w:r>
              <w:rPr>
                <w:b/>
                <w:bCs/>
                <w:color w:val="auto"/>
                <w:kern w:val="0"/>
                <w:sz w:val="21"/>
                <w:szCs w:val="21"/>
              </w:rPr>
              <w:t>μ</w:t>
            </w:r>
            <w:r>
              <w:rPr>
                <w:b/>
                <w:bCs/>
                <w:color w:val="auto"/>
                <w:kern w:val="0"/>
                <w:sz w:val="21"/>
                <w:szCs w:val="21"/>
                <w:lang w:eastAsia="en-US"/>
              </w:rPr>
              <w:t>g/m</w:t>
            </w:r>
            <w:r>
              <w:rPr>
                <w:b/>
                <w:bCs/>
                <w:color w:val="auto"/>
                <w:kern w:val="0"/>
                <w:sz w:val="21"/>
                <w:szCs w:val="21"/>
                <w:vertAlign w:val="superscript"/>
                <w:lang w:eastAsia="en-US"/>
              </w:rPr>
              <w:t>3</w:t>
            </w:r>
            <w:r>
              <w:rPr>
                <w:rFonts w:hint="eastAsia"/>
                <w:b/>
                <w:bCs/>
                <w:color w:val="auto"/>
                <w:kern w:val="0"/>
                <w:sz w:val="21"/>
                <w:szCs w:val="21"/>
                <w:vertAlign w:val="superscript"/>
              </w:rPr>
              <w:t>)</w:t>
            </w:r>
          </w:p>
        </w:tc>
        <w:tc>
          <w:tcPr>
            <w:tcW w:w="675" w:type="pct"/>
            <w:shd w:val="clear" w:color="auto" w:fill="auto"/>
            <w:vAlign w:val="center"/>
          </w:tcPr>
          <w:p w14:paraId="25E50E08">
            <w:pPr>
              <w:spacing w:line="240" w:lineRule="auto"/>
              <w:ind w:firstLine="0" w:firstLineChars="0"/>
              <w:jc w:val="center"/>
              <w:rPr>
                <w:color w:val="auto"/>
                <w:kern w:val="0"/>
                <w:sz w:val="21"/>
                <w:szCs w:val="21"/>
              </w:rPr>
            </w:pPr>
            <w:r>
              <w:rPr>
                <w:b/>
                <w:bCs/>
                <w:color w:val="auto"/>
                <w:kern w:val="0"/>
                <w:sz w:val="21"/>
                <w:szCs w:val="21"/>
                <w:lang w:val="zh-CN"/>
              </w:rPr>
              <w:t>占标率（%）</w:t>
            </w:r>
          </w:p>
        </w:tc>
        <w:tc>
          <w:tcPr>
            <w:tcW w:w="652" w:type="pct"/>
            <w:shd w:val="clear" w:color="auto" w:fill="auto"/>
            <w:vAlign w:val="center"/>
          </w:tcPr>
          <w:p w14:paraId="5F580B37">
            <w:pPr>
              <w:spacing w:line="240" w:lineRule="auto"/>
              <w:ind w:firstLine="0" w:firstLineChars="0"/>
              <w:jc w:val="center"/>
              <w:rPr>
                <w:color w:val="auto"/>
                <w:kern w:val="0"/>
                <w:sz w:val="21"/>
                <w:szCs w:val="21"/>
              </w:rPr>
            </w:pPr>
            <w:r>
              <w:rPr>
                <w:b/>
                <w:bCs/>
                <w:color w:val="auto"/>
                <w:kern w:val="0"/>
                <w:sz w:val="21"/>
                <w:szCs w:val="21"/>
                <w:lang w:val="zh-CN"/>
              </w:rPr>
              <w:t>达标情况</w:t>
            </w:r>
          </w:p>
        </w:tc>
      </w:tr>
      <w:tr w14:paraId="153EEA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28D1F62C">
            <w:pPr>
              <w:spacing w:line="240" w:lineRule="auto"/>
              <w:ind w:firstLine="0" w:firstLineChars="0"/>
              <w:jc w:val="center"/>
              <w:rPr>
                <w:color w:val="auto"/>
                <w:kern w:val="0"/>
                <w:sz w:val="21"/>
                <w:szCs w:val="21"/>
              </w:rPr>
            </w:pPr>
            <w:r>
              <w:rPr>
                <w:color w:val="auto"/>
                <w:kern w:val="0"/>
                <w:sz w:val="21"/>
                <w:szCs w:val="21"/>
                <w:lang w:eastAsia="en-US"/>
              </w:rPr>
              <w:t>SO</w:t>
            </w:r>
            <w:r>
              <w:rPr>
                <w:color w:val="auto"/>
                <w:kern w:val="0"/>
                <w:sz w:val="21"/>
                <w:szCs w:val="21"/>
                <w:vertAlign w:val="subscript"/>
                <w:lang w:eastAsia="en-US"/>
              </w:rPr>
              <w:t>2</w:t>
            </w:r>
          </w:p>
        </w:tc>
        <w:tc>
          <w:tcPr>
            <w:tcW w:w="1706" w:type="pct"/>
            <w:shd w:val="clear" w:color="auto" w:fill="auto"/>
            <w:vAlign w:val="center"/>
          </w:tcPr>
          <w:p w14:paraId="19DDC1AA">
            <w:pPr>
              <w:spacing w:line="240" w:lineRule="auto"/>
              <w:ind w:firstLine="0" w:firstLineChars="0"/>
              <w:jc w:val="center"/>
              <w:rPr>
                <w:color w:val="auto"/>
                <w:kern w:val="0"/>
                <w:sz w:val="21"/>
                <w:szCs w:val="21"/>
              </w:rPr>
            </w:pPr>
            <w:r>
              <w:rPr>
                <w:color w:val="auto"/>
                <w:kern w:val="0"/>
                <w:sz w:val="21"/>
                <w:szCs w:val="21"/>
                <w:lang w:val="zh-CN"/>
              </w:rPr>
              <w:t>年平均质量浓度</w:t>
            </w:r>
          </w:p>
        </w:tc>
        <w:tc>
          <w:tcPr>
            <w:tcW w:w="637" w:type="pct"/>
            <w:shd w:val="clear" w:color="auto" w:fill="auto"/>
            <w:vAlign w:val="center"/>
          </w:tcPr>
          <w:p w14:paraId="6B5B5BC4">
            <w:pPr>
              <w:spacing w:line="240" w:lineRule="auto"/>
              <w:ind w:firstLine="0" w:firstLineChars="0"/>
              <w:jc w:val="center"/>
              <w:rPr>
                <w:color w:val="auto"/>
                <w:kern w:val="0"/>
                <w:sz w:val="21"/>
                <w:szCs w:val="21"/>
              </w:rPr>
            </w:pPr>
            <w:r>
              <w:rPr>
                <w:color w:val="auto"/>
                <w:kern w:val="0"/>
                <w:sz w:val="21"/>
                <w:szCs w:val="21"/>
                <w:lang w:val="zh-CN"/>
              </w:rPr>
              <w:t>60</w:t>
            </w:r>
          </w:p>
        </w:tc>
        <w:tc>
          <w:tcPr>
            <w:tcW w:w="781" w:type="pct"/>
            <w:shd w:val="clear" w:color="auto" w:fill="auto"/>
            <w:vAlign w:val="center"/>
          </w:tcPr>
          <w:p w14:paraId="2ADC5335">
            <w:pPr>
              <w:spacing w:line="240" w:lineRule="auto"/>
              <w:ind w:firstLine="0" w:firstLineChars="0"/>
              <w:jc w:val="center"/>
              <w:rPr>
                <w:color w:val="auto"/>
                <w:kern w:val="0"/>
                <w:sz w:val="21"/>
                <w:szCs w:val="21"/>
              </w:rPr>
            </w:pPr>
            <w:r>
              <w:rPr>
                <w:color w:val="auto"/>
                <w:kern w:val="0"/>
                <w:sz w:val="21"/>
                <w:szCs w:val="21"/>
              </w:rPr>
              <w:t>8</w:t>
            </w:r>
          </w:p>
        </w:tc>
        <w:tc>
          <w:tcPr>
            <w:tcW w:w="675" w:type="pct"/>
            <w:shd w:val="clear" w:color="auto" w:fill="auto"/>
            <w:vAlign w:val="center"/>
          </w:tcPr>
          <w:p w14:paraId="6170EC66">
            <w:pPr>
              <w:spacing w:line="240" w:lineRule="auto"/>
              <w:ind w:firstLine="0" w:firstLineChars="0"/>
              <w:jc w:val="center"/>
              <w:rPr>
                <w:color w:val="auto"/>
                <w:kern w:val="0"/>
                <w:sz w:val="21"/>
                <w:szCs w:val="21"/>
              </w:rPr>
            </w:pPr>
            <w:r>
              <w:rPr>
                <w:color w:val="auto"/>
                <w:kern w:val="0"/>
                <w:sz w:val="21"/>
                <w:szCs w:val="21"/>
              </w:rPr>
              <w:t>13.3</w:t>
            </w:r>
          </w:p>
        </w:tc>
        <w:tc>
          <w:tcPr>
            <w:tcW w:w="652" w:type="pct"/>
            <w:shd w:val="clear" w:color="auto" w:fill="auto"/>
            <w:vAlign w:val="center"/>
          </w:tcPr>
          <w:p w14:paraId="4429DE38">
            <w:pPr>
              <w:spacing w:line="240" w:lineRule="auto"/>
              <w:ind w:firstLine="0" w:firstLineChars="0"/>
              <w:jc w:val="center"/>
              <w:rPr>
                <w:color w:val="auto"/>
                <w:kern w:val="0"/>
                <w:sz w:val="21"/>
                <w:szCs w:val="21"/>
              </w:rPr>
            </w:pPr>
            <w:r>
              <w:rPr>
                <w:color w:val="auto"/>
                <w:kern w:val="0"/>
                <w:sz w:val="21"/>
                <w:szCs w:val="21"/>
                <w:lang w:val="zh-CN"/>
              </w:rPr>
              <w:t>达标</w:t>
            </w:r>
          </w:p>
        </w:tc>
      </w:tr>
      <w:tr w14:paraId="7DCA16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29A4E6A9">
            <w:pPr>
              <w:spacing w:line="240" w:lineRule="auto"/>
              <w:ind w:firstLine="0" w:firstLineChars="0"/>
              <w:jc w:val="center"/>
              <w:rPr>
                <w:color w:val="auto"/>
                <w:kern w:val="0"/>
                <w:sz w:val="21"/>
                <w:szCs w:val="21"/>
              </w:rPr>
            </w:pPr>
            <w:r>
              <w:rPr>
                <w:color w:val="auto"/>
                <w:kern w:val="0"/>
                <w:sz w:val="21"/>
                <w:szCs w:val="21"/>
                <w:lang w:eastAsia="en-US"/>
              </w:rPr>
              <w:t>NO</w:t>
            </w:r>
            <w:r>
              <w:rPr>
                <w:color w:val="auto"/>
                <w:kern w:val="0"/>
                <w:sz w:val="21"/>
                <w:szCs w:val="21"/>
                <w:vertAlign w:val="subscript"/>
                <w:lang w:eastAsia="en-US"/>
              </w:rPr>
              <w:t>2</w:t>
            </w:r>
          </w:p>
        </w:tc>
        <w:tc>
          <w:tcPr>
            <w:tcW w:w="1706" w:type="pct"/>
            <w:shd w:val="clear" w:color="auto" w:fill="auto"/>
            <w:vAlign w:val="center"/>
          </w:tcPr>
          <w:p w14:paraId="3631AC40">
            <w:pPr>
              <w:spacing w:line="240" w:lineRule="auto"/>
              <w:ind w:firstLine="0" w:firstLineChars="0"/>
              <w:jc w:val="center"/>
              <w:rPr>
                <w:color w:val="auto"/>
                <w:kern w:val="0"/>
                <w:sz w:val="21"/>
                <w:szCs w:val="21"/>
              </w:rPr>
            </w:pPr>
            <w:r>
              <w:rPr>
                <w:color w:val="auto"/>
                <w:kern w:val="0"/>
                <w:sz w:val="21"/>
                <w:szCs w:val="21"/>
                <w:lang w:val="zh-CN"/>
              </w:rPr>
              <w:t>年平均质量浓度</w:t>
            </w:r>
          </w:p>
        </w:tc>
        <w:tc>
          <w:tcPr>
            <w:tcW w:w="637" w:type="pct"/>
            <w:shd w:val="clear" w:color="auto" w:fill="auto"/>
            <w:vAlign w:val="center"/>
          </w:tcPr>
          <w:p w14:paraId="2AA9D856">
            <w:pPr>
              <w:spacing w:line="240" w:lineRule="auto"/>
              <w:ind w:firstLine="0" w:firstLineChars="0"/>
              <w:jc w:val="center"/>
              <w:rPr>
                <w:color w:val="auto"/>
                <w:kern w:val="0"/>
                <w:sz w:val="21"/>
                <w:szCs w:val="21"/>
              </w:rPr>
            </w:pPr>
            <w:r>
              <w:rPr>
                <w:color w:val="auto"/>
                <w:kern w:val="0"/>
                <w:sz w:val="21"/>
                <w:szCs w:val="21"/>
                <w:lang w:val="zh-CN"/>
              </w:rPr>
              <w:t>40</w:t>
            </w:r>
          </w:p>
        </w:tc>
        <w:tc>
          <w:tcPr>
            <w:tcW w:w="781" w:type="pct"/>
            <w:shd w:val="clear" w:color="auto" w:fill="auto"/>
            <w:vAlign w:val="center"/>
          </w:tcPr>
          <w:p w14:paraId="50DD20DA">
            <w:pPr>
              <w:spacing w:line="240" w:lineRule="auto"/>
              <w:ind w:firstLine="0" w:firstLineChars="0"/>
              <w:jc w:val="center"/>
              <w:rPr>
                <w:color w:val="auto"/>
                <w:kern w:val="0"/>
                <w:sz w:val="21"/>
                <w:szCs w:val="21"/>
              </w:rPr>
            </w:pPr>
            <w:r>
              <w:rPr>
                <w:color w:val="auto"/>
                <w:kern w:val="0"/>
                <w:sz w:val="21"/>
                <w:szCs w:val="21"/>
              </w:rPr>
              <w:t>24</w:t>
            </w:r>
          </w:p>
        </w:tc>
        <w:tc>
          <w:tcPr>
            <w:tcW w:w="675" w:type="pct"/>
            <w:shd w:val="clear" w:color="auto" w:fill="auto"/>
            <w:vAlign w:val="center"/>
          </w:tcPr>
          <w:p w14:paraId="4E421B38">
            <w:pPr>
              <w:spacing w:line="240" w:lineRule="auto"/>
              <w:ind w:firstLine="0" w:firstLineChars="0"/>
              <w:jc w:val="center"/>
              <w:rPr>
                <w:color w:val="auto"/>
                <w:sz w:val="21"/>
                <w:szCs w:val="21"/>
              </w:rPr>
            </w:pPr>
            <w:r>
              <w:rPr>
                <w:color w:val="auto"/>
                <w:sz w:val="21"/>
                <w:szCs w:val="21"/>
              </w:rPr>
              <w:t>60.0</w:t>
            </w:r>
          </w:p>
        </w:tc>
        <w:tc>
          <w:tcPr>
            <w:tcW w:w="652" w:type="pct"/>
            <w:shd w:val="clear" w:color="auto" w:fill="auto"/>
            <w:vAlign w:val="center"/>
          </w:tcPr>
          <w:p w14:paraId="591B0CE2">
            <w:pPr>
              <w:spacing w:line="240" w:lineRule="auto"/>
              <w:ind w:firstLine="0" w:firstLineChars="0"/>
              <w:jc w:val="center"/>
              <w:rPr>
                <w:color w:val="auto"/>
                <w:kern w:val="0"/>
                <w:sz w:val="21"/>
                <w:szCs w:val="21"/>
              </w:rPr>
            </w:pPr>
            <w:r>
              <w:rPr>
                <w:color w:val="auto"/>
                <w:kern w:val="0"/>
                <w:sz w:val="21"/>
                <w:szCs w:val="21"/>
                <w:lang w:val="zh-CN"/>
              </w:rPr>
              <w:t>达标</w:t>
            </w:r>
          </w:p>
        </w:tc>
      </w:tr>
      <w:tr w14:paraId="78776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4CC4F237">
            <w:pPr>
              <w:spacing w:line="240" w:lineRule="auto"/>
              <w:ind w:firstLine="0" w:firstLineChars="0"/>
              <w:jc w:val="center"/>
              <w:rPr>
                <w:color w:val="auto"/>
                <w:kern w:val="0"/>
                <w:sz w:val="21"/>
                <w:szCs w:val="21"/>
              </w:rPr>
            </w:pPr>
            <w:r>
              <w:rPr>
                <w:color w:val="auto"/>
                <w:kern w:val="0"/>
                <w:sz w:val="21"/>
                <w:szCs w:val="21"/>
                <w:lang w:eastAsia="en-US"/>
              </w:rPr>
              <w:t>CO</w:t>
            </w:r>
          </w:p>
        </w:tc>
        <w:tc>
          <w:tcPr>
            <w:tcW w:w="1706" w:type="pct"/>
            <w:shd w:val="clear" w:color="auto" w:fill="auto"/>
            <w:vAlign w:val="center"/>
          </w:tcPr>
          <w:p w14:paraId="3A8CF4C8">
            <w:pPr>
              <w:spacing w:line="240" w:lineRule="auto"/>
              <w:ind w:firstLine="0" w:firstLineChars="0"/>
              <w:jc w:val="center"/>
              <w:rPr>
                <w:color w:val="auto"/>
                <w:kern w:val="0"/>
                <w:sz w:val="21"/>
                <w:szCs w:val="21"/>
              </w:rPr>
            </w:pPr>
            <w:r>
              <w:rPr>
                <w:color w:val="auto"/>
                <w:kern w:val="0"/>
                <w:sz w:val="21"/>
                <w:szCs w:val="21"/>
                <w:lang w:val="zh-CN"/>
              </w:rPr>
              <w:t>24小时平均第95百分位数</w:t>
            </w:r>
          </w:p>
        </w:tc>
        <w:tc>
          <w:tcPr>
            <w:tcW w:w="637" w:type="pct"/>
            <w:shd w:val="clear" w:color="auto" w:fill="auto"/>
            <w:vAlign w:val="center"/>
          </w:tcPr>
          <w:p w14:paraId="4C977D77">
            <w:pPr>
              <w:spacing w:line="240" w:lineRule="auto"/>
              <w:ind w:firstLine="0" w:firstLineChars="0"/>
              <w:jc w:val="center"/>
              <w:rPr>
                <w:color w:val="auto"/>
                <w:kern w:val="0"/>
                <w:sz w:val="21"/>
                <w:szCs w:val="21"/>
              </w:rPr>
            </w:pPr>
            <w:r>
              <w:rPr>
                <w:color w:val="auto"/>
                <w:kern w:val="0"/>
                <w:sz w:val="21"/>
                <w:szCs w:val="21"/>
                <w:lang w:val="zh-CN"/>
              </w:rPr>
              <w:t>4000</w:t>
            </w:r>
          </w:p>
        </w:tc>
        <w:tc>
          <w:tcPr>
            <w:tcW w:w="781" w:type="pct"/>
            <w:shd w:val="clear" w:color="auto" w:fill="auto"/>
            <w:vAlign w:val="center"/>
          </w:tcPr>
          <w:p w14:paraId="6AB50BC7">
            <w:pPr>
              <w:spacing w:line="240" w:lineRule="auto"/>
              <w:ind w:firstLine="0" w:firstLineChars="0"/>
              <w:jc w:val="center"/>
              <w:rPr>
                <w:color w:val="auto"/>
                <w:kern w:val="0"/>
                <w:sz w:val="21"/>
                <w:szCs w:val="21"/>
              </w:rPr>
            </w:pPr>
            <w:r>
              <w:rPr>
                <w:color w:val="auto"/>
                <w:kern w:val="0"/>
                <w:sz w:val="21"/>
                <w:szCs w:val="21"/>
              </w:rPr>
              <w:t>1000</w:t>
            </w:r>
          </w:p>
        </w:tc>
        <w:tc>
          <w:tcPr>
            <w:tcW w:w="675" w:type="pct"/>
            <w:shd w:val="clear" w:color="auto" w:fill="auto"/>
            <w:vAlign w:val="center"/>
          </w:tcPr>
          <w:p w14:paraId="3E91D16C">
            <w:pPr>
              <w:spacing w:line="240" w:lineRule="auto"/>
              <w:ind w:firstLine="0" w:firstLineChars="0"/>
              <w:jc w:val="center"/>
              <w:rPr>
                <w:color w:val="auto"/>
                <w:sz w:val="21"/>
                <w:szCs w:val="21"/>
              </w:rPr>
            </w:pPr>
            <w:r>
              <w:rPr>
                <w:color w:val="auto"/>
                <w:sz w:val="21"/>
                <w:szCs w:val="21"/>
              </w:rPr>
              <w:t>25.0</w:t>
            </w:r>
          </w:p>
        </w:tc>
        <w:tc>
          <w:tcPr>
            <w:tcW w:w="652" w:type="pct"/>
            <w:shd w:val="clear" w:color="auto" w:fill="auto"/>
            <w:vAlign w:val="center"/>
          </w:tcPr>
          <w:p w14:paraId="7B1BE6EF">
            <w:pPr>
              <w:spacing w:line="240" w:lineRule="auto"/>
              <w:ind w:firstLine="0" w:firstLineChars="0"/>
              <w:jc w:val="center"/>
              <w:rPr>
                <w:color w:val="auto"/>
                <w:kern w:val="0"/>
                <w:sz w:val="21"/>
                <w:szCs w:val="21"/>
              </w:rPr>
            </w:pPr>
            <w:r>
              <w:rPr>
                <w:color w:val="auto"/>
                <w:kern w:val="0"/>
                <w:sz w:val="21"/>
                <w:szCs w:val="21"/>
                <w:lang w:val="zh-CN"/>
              </w:rPr>
              <w:t>达标</w:t>
            </w:r>
          </w:p>
        </w:tc>
      </w:tr>
      <w:tr w14:paraId="5AF47E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17123AE1">
            <w:pPr>
              <w:spacing w:line="240" w:lineRule="auto"/>
              <w:ind w:firstLine="0" w:firstLineChars="0"/>
              <w:jc w:val="center"/>
              <w:rPr>
                <w:color w:val="auto"/>
                <w:kern w:val="0"/>
                <w:sz w:val="21"/>
                <w:szCs w:val="21"/>
              </w:rPr>
            </w:pPr>
            <w:r>
              <w:rPr>
                <w:color w:val="auto"/>
                <w:kern w:val="0"/>
                <w:sz w:val="21"/>
                <w:szCs w:val="21"/>
                <w:lang w:eastAsia="en-US"/>
              </w:rPr>
              <w:t>PM</w:t>
            </w:r>
            <w:r>
              <w:rPr>
                <w:color w:val="auto"/>
                <w:kern w:val="0"/>
                <w:sz w:val="21"/>
                <w:szCs w:val="21"/>
                <w:vertAlign w:val="subscript"/>
                <w:lang w:eastAsia="en-US"/>
              </w:rPr>
              <w:t>10</w:t>
            </w:r>
          </w:p>
        </w:tc>
        <w:tc>
          <w:tcPr>
            <w:tcW w:w="1706" w:type="pct"/>
            <w:shd w:val="clear" w:color="auto" w:fill="auto"/>
            <w:vAlign w:val="center"/>
          </w:tcPr>
          <w:p w14:paraId="31699917">
            <w:pPr>
              <w:spacing w:line="240" w:lineRule="auto"/>
              <w:ind w:firstLine="0" w:firstLineChars="0"/>
              <w:jc w:val="center"/>
              <w:rPr>
                <w:color w:val="auto"/>
                <w:kern w:val="0"/>
                <w:sz w:val="21"/>
                <w:szCs w:val="21"/>
              </w:rPr>
            </w:pPr>
            <w:r>
              <w:rPr>
                <w:color w:val="auto"/>
                <w:kern w:val="0"/>
                <w:sz w:val="21"/>
                <w:szCs w:val="21"/>
                <w:lang w:val="zh-CN"/>
              </w:rPr>
              <w:t>年平均质量浓度</w:t>
            </w:r>
          </w:p>
        </w:tc>
        <w:tc>
          <w:tcPr>
            <w:tcW w:w="637" w:type="pct"/>
            <w:shd w:val="clear" w:color="auto" w:fill="auto"/>
            <w:vAlign w:val="center"/>
          </w:tcPr>
          <w:p w14:paraId="3B22C88B">
            <w:pPr>
              <w:spacing w:line="240" w:lineRule="auto"/>
              <w:ind w:firstLine="0" w:firstLineChars="0"/>
              <w:jc w:val="center"/>
              <w:rPr>
                <w:color w:val="auto"/>
                <w:kern w:val="0"/>
                <w:sz w:val="21"/>
                <w:szCs w:val="21"/>
              </w:rPr>
            </w:pPr>
            <w:r>
              <w:rPr>
                <w:color w:val="auto"/>
                <w:kern w:val="0"/>
                <w:sz w:val="21"/>
                <w:szCs w:val="21"/>
                <w:lang w:val="zh-CN"/>
              </w:rPr>
              <w:t>70</w:t>
            </w:r>
          </w:p>
        </w:tc>
        <w:tc>
          <w:tcPr>
            <w:tcW w:w="781" w:type="pct"/>
            <w:shd w:val="clear" w:color="auto" w:fill="auto"/>
            <w:vAlign w:val="center"/>
          </w:tcPr>
          <w:p w14:paraId="40745762">
            <w:pPr>
              <w:spacing w:line="240" w:lineRule="auto"/>
              <w:ind w:firstLine="0" w:firstLineChars="0"/>
              <w:jc w:val="center"/>
              <w:rPr>
                <w:color w:val="auto"/>
                <w:kern w:val="0"/>
                <w:sz w:val="21"/>
                <w:szCs w:val="21"/>
              </w:rPr>
            </w:pPr>
            <w:r>
              <w:rPr>
                <w:color w:val="auto"/>
                <w:kern w:val="0"/>
                <w:sz w:val="21"/>
                <w:szCs w:val="21"/>
              </w:rPr>
              <w:t>58</w:t>
            </w:r>
          </w:p>
        </w:tc>
        <w:tc>
          <w:tcPr>
            <w:tcW w:w="675" w:type="pct"/>
            <w:shd w:val="clear" w:color="auto" w:fill="auto"/>
            <w:vAlign w:val="center"/>
          </w:tcPr>
          <w:p w14:paraId="4A49311A">
            <w:pPr>
              <w:spacing w:line="240" w:lineRule="auto"/>
              <w:ind w:firstLine="0" w:firstLineChars="0"/>
              <w:jc w:val="center"/>
              <w:rPr>
                <w:color w:val="auto"/>
                <w:sz w:val="21"/>
                <w:szCs w:val="21"/>
              </w:rPr>
            </w:pPr>
            <w:r>
              <w:rPr>
                <w:color w:val="auto"/>
                <w:sz w:val="21"/>
                <w:szCs w:val="21"/>
              </w:rPr>
              <w:t>82.9</w:t>
            </w:r>
          </w:p>
        </w:tc>
        <w:tc>
          <w:tcPr>
            <w:tcW w:w="652" w:type="pct"/>
            <w:shd w:val="clear" w:color="auto" w:fill="auto"/>
            <w:vAlign w:val="center"/>
          </w:tcPr>
          <w:p w14:paraId="74ED9EDD">
            <w:pPr>
              <w:spacing w:line="240" w:lineRule="auto"/>
              <w:ind w:firstLine="0" w:firstLineChars="0"/>
              <w:jc w:val="center"/>
              <w:rPr>
                <w:color w:val="auto"/>
                <w:kern w:val="0"/>
                <w:sz w:val="21"/>
                <w:szCs w:val="21"/>
              </w:rPr>
            </w:pPr>
            <w:r>
              <w:rPr>
                <w:color w:val="auto"/>
                <w:kern w:val="0"/>
                <w:sz w:val="21"/>
                <w:szCs w:val="21"/>
                <w:lang w:val="zh-CN"/>
              </w:rPr>
              <w:t>达标</w:t>
            </w:r>
          </w:p>
        </w:tc>
      </w:tr>
      <w:tr w14:paraId="112B1D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70972C39">
            <w:pPr>
              <w:spacing w:line="240" w:lineRule="auto"/>
              <w:ind w:firstLine="0" w:firstLineChars="0"/>
              <w:jc w:val="center"/>
              <w:rPr>
                <w:color w:val="auto"/>
                <w:kern w:val="0"/>
                <w:sz w:val="21"/>
                <w:szCs w:val="21"/>
              </w:rPr>
            </w:pPr>
            <w:r>
              <w:rPr>
                <w:color w:val="auto"/>
                <w:kern w:val="0"/>
                <w:sz w:val="21"/>
                <w:szCs w:val="21"/>
                <w:lang w:eastAsia="en-US"/>
              </w:rPr>
              <w:t>PM</w:t>
            </w:r>
            <w:r>
              <w:rPr>
                <w:color w:val="auto"/>
                <w:kern w:val="0"/>
                <w:sz w:val="21"/>
                <w:szCs w:val="21"/>
                <w:vertAlign w:val="subscript"/>
                <w:lang w:eastAsia="en-US"/>
              </w:rPr>
              <w:t>2.5</w:t>
            </w:r>
          </w:p>
        </w:tc>
        <w:tc>
          <w:tcPr>
            <w:tcW w:w="1706" w:type="pct"/>
            <w:shd w:val="clear" w:color="auto" w:fill="auto"/>
            <w:vAlign w:val="center"/>
          </w:tcPr>
          <w:p w14:paraId="7288730D">
            <w:pPr>
              <w:spacing w:line="240" w:lineRule="auto"/>
              <w:ind w:firstLine="0" w:firstLineChars="0"/>
              <w:jc w:val="center"/>
              <w:rPr>
                <w:color w:val="auto"/>
                <w:kern w:val="0"/>
                <w:sz w:val="21"/>
                <w:szCs w:val="21"/>
              </w:rPr>
            </w:pPr>
            <w:r>
              <w:rPr>
                <w:color w:val="auto"/>
                <w:kern w:val="0"/>
                <w:sz w:val="21"/>
                <w:szCs w:val="21"/>
                <w:lang w:val="zh-CN"/>
              </w:rPr>
              <w:t>年平均质量浓度</w:t>
            </w:r>
          </w:p>
        </w:tc>
        <w:tc>
          <w:tcPr>
            <w:tcW w:w="637" w:type="pct"/>
            <w:shd w:val="clear" w:color="auto" w:fill="auto"/>
            <w:vAlign w:val="center"/>
          </w:tcPr>
          <w:p w14:paraId="77B2ACBC">
            <w:pPr>
              <w:spacing w:line="240" w:lineRule="auto"/>
              <w:ind w:firstLine="0" w:firstLineChars="0"/>
              <w:jc w:val="center"/>
              <w:rPr>
                <w:color w:val="auto"/>
                <w:kern w:val="0"/>
                <w:sz w:val="21"/>
                <w:szCs w:val="21"/>
              </w:rPr>
            </w:pPr>
            <w:r>
              <w:rPr>
                <w:color w:val="auto"/>
                <w:kern w:val="0"/>
                <w:sz w:val="21"/>
                <w:szCs w:val="21"/>
                <w:lang w:val="zh-CN"/>
              </w:rPr>
              <w:t>35</w:t>
            </w:r>
          </w:p>
        </w:tc>
        <w:tc>
          <w:tcPr>
            <w:tcW w:w="781" w:type="pct"/>
            <w:shd w:val="clear" w:color="auto" w:fill="auto"/>
            <w:vAlign w:val="center"/>
          </w:tcPr>
          <w:p w14:paraId="1C99A19C">
            <w:pPr>
              <w:spacing w:line="240" w:lineRule="auto"/>
              <w:ind w:firstLine="0" w:firstLineChars="0"/>
              <w:jc w:val="center"/>
              <w:rPr>
                <w:color w:val="auto"/>
                <w:kern w:val="0"/>
                <w:sz w:val="21"/>
                <w:szCs w:val="21"/>
              </w:rPr>
            </w:pPr>
            <w:r>
              <w:rPr>
                <w:color w:val="auto"/>
                <w:kern w:val="0"/>
                <w:sz w:val="21"/>
                <w:szCs w:val="21"/>
              </w:rPr>
              <w:t>32</w:t>
            </w:r>
          </w:p>
        </w:tc>
        <w:tc>
          <w:tcPr>
            <w:tcW w:w="675" w:type="pct"/>
            <w:shd w:val="clear" w:color="auto" w:fill="auto"/>
            <w:vAlign w:val="center"/>
          </w:tcPr>
          <w:p w14:paraId="4CD99425">
            <w:pPr>
              <w:spacing w:line="240" w:lineRule="auto"/>
              <w:ind w:firstLine="0" w:firstLineChars="0"/>
              <w:jc w:val="center"/>
              <w:rPr>
                <w:color w:val="auto"/>
                <w:sz w:val="21"/>
                <w:szCs w:val="21"/>
              </w:rPr>
            </w:pPr>
            <w:r>
              <w:rPr>
                <w:color w:val="auto"/>
                <w:sz w:val="21"/>
                <w:szCs w:val="21"/>
              </w:rPr>
              <w:t>91.4</w:t>
            </w:r>
          </w:p>
        </w:tc>
        <w:tc>
          <w:tcPr>
            <w:tcW w:w="652" w:type="pct"/>
            <w:shd w:val="clear" w:color="auto" w:fill="auto"/>
            <w:vAlign w:val="center"/>
          </w:tcPr>
          <w:p w14:paraId="52152B4D">
            <w:pPr>
              <w:spacing w:line="240" w:lineRule="auto"/>
              <w:ind w:firstLine="0" w:firstLineChars="0"/>
              <w:jc w:val="center"/>
              <w:rPr>
                <w:color w:val="auto"/>
                <w:kern w:val="0"/>
                <w:sz w:val="21"/>
                <w:szCs w:val="21"/>
              </w:rPr>
            </w:pPr>
            <w:r>
              <w:rPr>
                <w:color w:val="auto"/>
                <w:kern w:val="0"/>
                <w:sz w:val="21"/>
                <w:szCs w:val="21"/>
                <w:lang w:val="zh-CN"/>
              </w:rPr>
              <w:t>达标</w:t>
            </w:r>
          </w:p>
        </w:tc>
      </w:tr>
      <w:tr w14:paraId="0C02B7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46" w:type="pct"/>
            <w:shd w:val="clear" w:color="auto" w:fill="auto"/>
            <w:vAlign w:val="center"/>
          </w:tcPr>
          <w:p w14:paraId="3E114974">
            <w:pPr>
              <w:spacing w:line="240" w:lineRule="auto"/>
              <w:ind w:firstLine="0" w:firstLineChars="0"/>
              <w:jc w:val="center"/>
              <w:rPr>
                <w:color w:val="auto"/>
                <w:kern w:val="0"/>
                <w:sz w:val="21"/>
                <w:szCs w:val="21"/>
              </w:rPr>
            </w:pPr>
            <w:r>
              <w:rPr>
                <w:color w:val="auto"/>
                <w:kern w:val="0"/>
                <w:sz w:val="21"/>
                <w:szCs w:val="21"/>
                <w:lang w:eastAsia="en-US"/>
              </w:rPr>
              <w:t>O</w:t>
            </w:r>
            <w:r>
              <w:rPr>
                <w:color w:val="auto"/>
                <w:kern w:val="0"/>
                <w:sz w:val="21"/>
                <w:szCs w:val="21"/>
                <w:vertAlign w:val="subscript"/>
                <w:lang w:eastAsia="en-US"/>
              </w:rPr>
              <w:t>3</w:t>
            </w:r>
          </w:p>
        </w:tc>
        <w:tc>
          <w:tcPr>
            <w:tcW w:w="1706" w:type="pct"/>
            <w:shd w:val="clear" w:color="auto" w:fill="auto"/>
            <w:vAlign w:val="center"/>
          </w:tcPr>
          <w:p w14:paraId="383BBF7B">
            <w:pPr>
              <w:spacing w:line="240" w:lineRule="auto"/>
              <w:ind w:firstLine="0" w:firstLineChars="0"/>
              <w:jc w:val="center"/>
              <w:rPr>
                <w:color w:val="auto"/>
                <w:kern w:val="0"/>
                <w:sz w:val="21"/>
                <w:szCs w:val="21"/>
              </w:rPr>
            </w:pPr>
            <w:r>
              <w:rPr>
                <w:color w:val="auto"/>
                <w:kern w:val="0"/>
                <w:sz w:val="21"/>
                <w:szCs w:val="21"/>
                <w:lang w:val="zh-CN"/>
              </w:rPr>
              <w:t>日最大8小时平均第90百分位数</w:t>
            </w:r>
          </w:p>
        </w:tc>
        <w:tc>
          <w:tcPr>
            <w:tcW w:w="637" w:type="pct"/>
            <w:shd w:val="clear" w:color="auto" w:fill="auto"/>
            <w:vAlign w:val="center"/>
          </w:tcPr>
          <w:p w14:paraId="672DB171">
            <w:pPr>
              <w:spacing w:line="240" w:lineRule="auto"/>
              <w:ind w:firstLine="0" w:firstLineChars="0"/>
              <w:jc w:val="center"/>
              <w:rPr>
                <w:color w:val="auto"/>
                <w:kern w:val="0"/>
                <w:sz w:val="21"/>
                <w:szCs w:val="21"/>
              </w:rPr>
            </w:pPr>
            <w:r>
              <w:rPr>
                <w:color w:val="auto"/>
                <w:kern w:val="0"/>
                <w:sz w:val="21"/>
                <w:szCs w:val="21"/>
                <w:lang w:val="zh-CN"/>
              </w:rPr>
              <w:t>160</w:t>
            </w:r>
          </w:p>
        </w:tc>
        <w:tc>
          <w:tcPr>
            <w:tcW w:w="781" w:type="pct"/>
            <w:shd w:val="clear" w:color="auto" w:fill="auto"/>
            <w:vAlign w:val="center"/>
          </w:tcPr>
          <w:p w14:paraId="5EFD1B22">
            <w:pPr>
              <w:spacing w:line="240" w:lineRule="auto"/>
              <w:ind w:firstLine="0" w:firstLineChars="0"/>
              <w:jc w:val="center"/>
              <w:rPr>
                <w:color w:val="auto"/>
                <w:kern w:val="0"/>
                <w:sz w:val="21"/>
                <w:szCs w:val="21"/>
              </w:rPr>
            </w:pPr>
            <w:r>
              <w:rPr>
                <w:color w:val="auto"/>
                <w:kern w:val="0"/>
                <w:sz w:val="21"/>
                <w:szCs w:val="21"/>
              </w:rPr>
              <w:t>164</w:t>
            </w:r>
          </w:p>
        </w:tc>
        <w:tc>
          <w:tcPr>
            <w:tcW w:w="675" w:type="pct"/>
            <w:shd w:val="clear" w:color="auto" w:fill="auto"/>
            <w:vAlign w:val="center"/>
          </w:tcPr>
          <w:p w14:paraId="2F06D473">
            <w:pPr>
              <w:spacing w:line="240" w:lineRule="auto"/>
              <w:ind w:firstLine="0" w:firstLineChars="0"/>
              <w:jc w:val="center"/>
              <w:rPr>
                <w:color w:val="auto"/>
                <w:sz w:val="21"/>
                <w:szCs w:val="21"/>
              </w:rPr>
            </w:pPr>
            <w:r>
              <w:rPr>
                <w:color w:val="auto"/>
                <w:sz w:val="21"/>
                <w:szCs w:val="21"/>
              </w:rPr>
              <w:t>102.5</w:t>
            </w:r>
          </w:p>
        </w:tc>
        <w:tc>
          <w:tcPr>
            <w:tcW w:w="652" w:type="pct"/>
            <w:shd w:val="clear" w:color="auto" w:fill="auto"/>
            <w:vAlign w:val="center"/>
          </w:tcPr>
          <w:p w14:paraId="3411053D">
            <w:pPr>
              <w:spacing w:line="240" w:lineRule="auto"/>
              <w:ind w:firstLine="0" w:firstLineChars="0"/>
              <w:jc w:val="center"/>
              <w:rPr>
                <w:color w:val="auto"/>
                <w:kern w:val="0"/>
                <w:sz w:val="21"/>
                <w:szCs w:val="21"/>
              </w:rPr>
            </w:pPr>
            <w:r>
              <w:rPr>
                <w:color w:val="auto"/>
                <w:kern w:val="0"/>
                <w:sz w:val="21"/>
                <w:szCs w:val="21"/>
                <w:lang w:val="zh-CN"/>
              </w:rPr>
              <w:t>超标</w:t>
            </w:r>
          </w:p>
        </w:tc>
      </w:tr>
    </w:tbl>
    <w:p w14:paraId="5F3CCDAB">
      <w:pPr>
        <w:pStyle w:val="2241"/>
        <w:jc w:val="both"/>
        <w:rPr>
          <w:rFonts w:ascii="Times New Roman" w:hAnsi="Times New Roman" w:cs="Times New Roman"/>
          <w:color w:val="auto"/>
          <w:kern w:val="0"/>
          <w:szCs w:val="20"/>
        </w:rPr>
      </w:pPr>
      <w:r>
        <w:rPr>
          <w:rFonts w:ascii="Times New Roman" w:hAnsi="Times New Roman" w:cs="Times New Roman"/>
          <w:color w:val="auto"/>
          <w:kern w:val="0"/>
          <w:szCs w:val="20"/>
        </w:rPr>
        <w:t>由上表可知，项目所在地区域环境质量除O</w:t>
      </w:r>
      <w:r>
        <w:rPr>
          <w:rFonts w:ascii="Times New Roman" w:hAnsi="Times New Roman" w:cs="Times New Roman"/>
          <w:color w:val="auto"/>
          <w:kern w:val="0"/>
          <w:szCs w:val="20"/>
          <w:vertAlign w:val="subscript"/>
        </w:rPr>
        <w:t>3</w:t>
      </w:r>
      <w:r>
        <w:rPr>
          <w:rFonts w:ascii="Times New Roman" w:hAnsi="Times New Roman" w:cs="Times New Roman"/>
          <w:color w:val="auto"/>
          <w:kern w:val="0"/>
          <w:szCs w:val="20"/>
        </w:rPr>
        <w:t>外其余因子均满足《环境空气质量标准》（GB3095-2012）二级标准及其修改清单要求。经判定，本项目所在区域为环境空气质量不达标区。</w:t>
      </w:r>
    </w:p>
    <w:p w14:paraId="3AAAF489">
      <w:pPr>
        <w:pStyle w:val="2241"/>
        <w:jc w:val="both"/>
        <w:rPr>
          <w:rFonts w:ascii="Times New Roman" w:hAnsi="Times New Roman" w:cs="Times New Roman"/>
          <w:color w:val="auto"/>
          <w:kern w:val="0"/>
          <w:szCs w:val="20"/>
        </w:rPr>
      </w:pPr>
      <w:r>
        <w:rPr>
          <w:rFonts w:ascii="Times New Roman" w:hAnsi="Times New Roman" w:cs="Times New Roman"/>
          <w:color w:val="auto"/>
          <w:kern w:val="0"/>
          <w:szCs w:val="20"/>
        </w:rPr>
        <w:t>针对连云港市环境空气质量不达标问题，连云港市印发《关于印发</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连云港市2024年大气污染防治工作计划</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的通知》</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连污防指办</w:t>
      </w:r>
      <w:r>
        <w:rPr>
          <w:rFonts w:hint="eastAsia" w:ascii="Times New Roman" w:hAnsi="Times New Roman" w:cs="Times New Roman"/>
          <w:color w:val="auto"/>
          <w:kern w:val="0"/>
          <w:szCs w:val="20"/>
        </w:rPr>
        <w:t>〔2024〕34号）</w:t>
      </w:r>
      <w:r>
        <w:rPr>
          <w:rFonts w:ascii="Times New Roman" w:hAnsi="Times New Roman" w:cs="Times New Roman"/>
          <w:color w:val="auto"/>
          <w:kern w:val="0"/>
          <w:szCs w:val="20"/>
        </w:rPr>
        <w:t>、《市政府关于印发连云港市空气质量持续改善行动计划实施方案的通知》</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连政发</w:t>
      </w:r>
      <w:r>
        <w:rPr>
          <w:rFonts w:hint="eastAsia" w:ascii="Times New Roman" w:hAnsi="Times New Roman" w:cs="Times New Roman"/>
          <w:color w:val="auto"/>
          <w:kern w:val="0"/>
          <w:szCs w:val="20"/>
        </w:rPr>
        <w:t>〔2024〕67号）</w:t>
      </w:r>
      <w:r>
        <w:rPr>
          <w:rFonts w:ascii="Times New Roman" w:hAnsi="Times New Roman" w:cs="Times New Roman"/>
          <w:color w:val="auto"/>
          <w:kern w:val="0"/>
          <w:szCs w:val="20"/>
        </w:rPr>
        <w:t>等，目标到2024年，全市PM</w:t>
      </w:r>
      <w:r>
        <w:rPr>
          <w:rFonts w:ascii="Times New Roman" w:hAnsi="Times New Roman" w:cs="Times New Roman"/>
          <w:color w:val="auto"/>
          <w:kern w:val="0"/>
          <w:szCs w:val="20"/>
          <w:vertAlign w:val="subscript"/>
        </w:rPr>
        <w:t>2</w:t>
      </w:r>
      <w:r>
        <w:rPr>
          <w:rFonts w:hint="eastAsia" w:ascii="Times New Roman" w:hAnsi="Times New Roman" w:cs="Times New Roman"/>
          <w:color w:val="auto"/>
          <w:kern w:val="0"/>
          <w:szCs w:val="20"/>
          <w:vertAlign w:val="subscript"/>
        </w:rPr>
        <w:t>.5</w:t>
      </w:r>
      <w:r>
        <w:rPr>
          <w:rFonts w:ascii="Times New Roman" w:hAnsi="Times New Roman" w:cs="Times New Roman"/>
          <w:color w:val="auto"/>
          <w:kern w:val="0"/>
          <w:szCs w:val="20"/>
        </w:rPr>
        <w:t>浓度达30微克/立方米左右，优良天数比率达82.1%左右，臭氧浓度增长趋势得到有效遏制</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全市氧化物、挥发性有机物重点工程减排量完成省下达的指标要求</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到2025年，全市PM</w:t>
      </w:r>
      <w:r>
        <w:rPr>
          <w:rFonts w:hint="eastAsia" w:ascii="Times New Roman" w:hAnsi="Times New Roman" w:cs="Times New Roman"/>
          <w:color w:val="auto"/>
          <w:kern w:val="0"/>
          <w:szCs w:val="20"/>
          <w:vertAlign w:val="subscript"/>
        </w:rPr>
        <w:t>2.5</w:t>
      </w:r>
      <w:r>
        <w:rPr>
          <w:rFonts w:ascii="Times New Roman" w:hAnsi="Times New Roman" w:cs="Times New Roman"/>
          <w:color w:val="auto"/>
          <w:kern w:val="0"/>
          <w:szCs w:val="20"/>
        </w:rPr>
        <w:t>浓度总体达标，力争控制在33微克/立方米及以下，各县区PM</w:t>
      </w:r>
      <w:r>
        <w:rPr>
          <w:rFonts w:hint="eastAsia" w:ascii="Times New Roman" w:hAnsi="Times New Roman" w:cs="Times New Roman"/>
          <w:color w:val="auto"/>
          <w:kern w:val="0"/>
          <w:szCs w:val="20"/>
          <w:vertAlign w:val="subscript"/>
        </w:rPr>
        <w:t>2.5</w:t>
      </w:r>
      <w:r>
        <w:rPr>
          <w:rFonts w:ascii="Times New Roman" w:hAnsi="Times New Roman" w:cs="Times New Roman"/>
          <w:color w:val="auto"/>
          <w:kern w:val="0"/>
          <w:szCs w:val="20"/>
        </w:rPr>
        <w:t>浓度比2020年下降10%以上，力争达国家二级标准</w:t>
      </w:r>
      <w:r>
        <w:rPr>
          <w:rFonts w:hint="eastAsia" w:ascii="Times New Roman" w:hAnsi="Times New Roman" w:cs="Times New Roman"/>
          <w:color w:val="auto"/>
          <w:kern w:val="0"/>
          <w:szCs w:val="20"/>
        </w:rPr>
        <w:t>；</w:t>
      </w:r>
      <w:r>
        <w:rPr>
          <w:rFonts w:ascii="Times New Roman" w:hAnsi="Times New Roman" w:cs="Times New Roman"/>
          <w:color w:val="auto"/>
          <w:kern w:val="0"/>
          <w:szCs w:val="20"/>
        </w:rPr>
        <w:t>重度及以上污染天数力争控制在1天以内</w:t>
      </w:r>
      <w:r>
        <w:rPr>
          <w:rFonts w:hint="eastAsia" w:ascii="Times New Roman" w:hAnsi="Times New Roman" w:cs="Times New Roman"/>
          <w:color w:val="auto"/>
          <w:kern w:val="0"/>
          <w:szCs w:val="20"/>
        </w:rPr>
        <w:t>；氮</w:t>
      </w:r>
      <w:r>
        <w:rPr>
          <w:rFonts w:ascii="Times New Roman" w:hAnsi="Times New Roman" w:cs="Times New Roman"/>
          <w:color w:val="auto"/>
          <w:kern w:val="0"/>
          <w:szCs w:val="20"/>
        </w:rPr>
        <w:t>氧化物和VOCs排放总量比2020年分别下降10%以上，完成省下达的减排要求。通过坚持源头治理、推动能源绿色低碳转型、优化调整交通结构、聚焦重点行业综合治理、强化VOCs综合整治、实施精细化扬尘治理、强化面源污染整治、强化管理机制建设、持续提升监测能力等相关改善空气质量工作的及时开展和认真落实，项目所在区域环境空气质量将进一步得到改善。</w:t>
      </w:r>
    </w:p>
    <w:p w14:paraId="4B73F653">
      <w:pPr>
        <w:spacing w:before="120" w:beforeLines="50"/>
        <w:ind w:firstLine="0" w:firstLineChars="0"/>
        <w:jc w:val="left"/>
        <w:outlineLvl w:val="3"/>
        <w:rPr>
          <w:b/>
          <w:color w:val="auto"/>
        </w:rPr>
      </w:pPr>
      <w:r>
        <w:rPr>
          <w:rFonts w:hint="eastAsia"/>
          <w:b/>
          <w:color w:val="auto"/>
        </w:rPr>
        <w:t>5</w:t>
      </w:r>
      <w:r>
        <w:rPr>
          <w:b/>
          <w:color w:val="auto"/>
        </w:rPr>
        <w:t>.</w:t>
      </w:r>
      <w:r>
        <w:rPr>
          <w:rFonts w:hint="eastAsia"/>
          <w:b/>
          <w:color w:val="auto"/>
        </w:rPr>
        <w:t>2</w:t>
      </w:r>
      <w:r>
        <w:rPr>
          <w:b/>
          <w:color w:val="auto"/>
        </w:rPr>
        <w:t xml:space="preserve">.1.2 </w:t>
      </w:r>
      <w:r>
        <w:rPr>
          <w:rFonts w:hint="eastAsia"/>
          <w:b/>
          <w:color w:val="auto"/>
        </w:rPr>
        <w:t>环境空气质量补充</w:t>
      </w:r>
      <w:r>
        <w:rPr>
          <w:b/>
          <w:color w:val="auto"/>
        </w:rPr>
        <w:t>监测</w:t>
      </w:r>
    </w:p>
    <w:p w14:paraId="3ABD9DBA">
      <w:pPr>
        <w:ind w:firstLine="480"/>
        <w:rPr>
          <w:bCs/>
          <w:color w:val="auto"/>
        </w:rPr>
      </w:pPr>
      <w:r>
        <w:rPr>
          <w:bCs/>
          <w:color w:val="auto"/>
        </w:rPr>
        <w:t>根据企业辅料产品、生产工艺，本项目涉及的主要大气污染物为TSP、氨和硫酸雾</w:t>
      </w:r>
      <w:r>
        <w:rPr>
          <w:rFonts w:hint="eastAsia"/>
          <w:bCs/>
          <w:color w:val="auto"/>
        </w:rPr>
        <w:t>。</w:t>
      </w:r>
    </w:p>
    <w:p w14:paraId="1758BEAA">
      <w:pPr>
        <w:ind w:firstLine="480"/>
        <w:rPr>
          <w:bCs/>
          <w:color w:val="auto"/>
        </w:rPr>
      </w:pPr>
      <w:r>
        <w:rPr>
          <w:rFonts w:hint="eastAsia"/>
          <w:bCs/>
          <w:color w:val="auto"/>
        </w:rPr>
        <w:t>区域氨环境质量现状引用</w:t>
      </w:r>
      <w:r>
        <w:rPr>
          <w:bCs/>
          <w:color w:val="auto"/>
        </w:rPr>
        <w:t>《江苏豪森药业集团有限公司重大疾病创新绿色制造产业化四期项目环境影响报告书》</w:t>
      </w:r>
      <w:r>
        <w:rPr>
          <w:rFonts w:hint="eastAsia"/>
          <w:bCs/>
          <w:color w:val="auto"/>
        </w:rPr>
        <w:t>中的数据，引用点位为江苏豪森药业集团有限公司，监测时间为2023年5月7日至5月12日，连续7天。江苏豪森药业集团有限公司位于本项目东南方向，与厂区最近的距离为3.8km。对照《环境影响评价技术导则 大气环境》（HJ2.2-2018），引用的监测点位在本项目主导风向的下风向；距离在5km范围内；同时监测时间距今不超过3年，周边污染源变化不大，因此引用可行。</w:t>
      </w:r>
    </w:p>
    <w:p w14:paraId="42974E48">
      <w:pPr>
        <w:ind w:firstLine="480"/>
        <w:rPr>
          <w:bCs/>
          <w:color w:val="auto"/>
        </w:rPr>
      </w:pPr>
      <w:r>
        <w:rPr>
          <w:bCs/>
          <w:color w:val="auto"/>
        </w:rPr>
        <w:t>TSP和硫酸雾因子环境质量现状评价采用实测数据，由企业委托安徽晟创检测技术有限公司对项目所在地进行监测，监测时间为2024年6月1日</w:t>
      </w:r>
      <w:r>
        <w:rPr>
          <w:rFonts w:hint="eastAsia"/>
          <w:bCs/>
          <w:color w:val="auto"/>
        </w:rPr>
        <w:t>—</w:t>
      </w:r>
      <w:r>
        <w:rPr>
          <w:bCs/>
          <w:color w:val="auto"/>
        </w:rPr>
        <w:t>6月7日，连续监测7天。</w:t>
      </w:r>
    </w:p>
    <w:p w14:paraId="41A307C8">
      <w:pPr>
        <w:ind w:firstLine="482"/>
        <w:rPr>
          <w:b/>
          <w:color w:val="auto"/>
        </w:rPr>
      </w:pPr>
      <w:r>
        <w:rPr>
          <w:b/>
          <w:color w:val="auto"/>
        </w:rPr>
        <w:t>1、监测点位</w:t>
      </w:r>
    </w:p>
    <w:p w14:paraId="266E6584">
      <w:pPr>
        <w:ind w:firstLine="480"/>
        <w:rPr>
          <w:bCs/>
          <w:color w:val="auto"/>
        </w:rPr>
      </w:pPr>
      <w:r>
        <w:rPr>
          <w:bCs/>
          <w:color w:val="auto"/>
        </w:rPr>
        <w:t>本项目氨因子监测数据引用《江苏豪森药业集团有限公司重大疾病创新绿色制造产业化四期项目环境影响报告书》中G1点位，TSP和硫酸雾</w:t>
      </w:r>
      <w:r>
        <w:rPr>
          <w:rFonts w:hint="eastAsia"/>
          <w:bCs/>
          <w:color w:val="auto"/>
        </w:rPr>
        <w:t>检测点位</w:t>
      </w:r>
      <w:r>
        <w:rPr>
          <w:bCs/>
          <w:color w:val="auto"/>
        </w:rPr>
        <w:t>位于本项目厂区内，详见表</w:t>
      </w:r>
      <w:r>
        <w:rPr>
          <w:rFonts w:hint="eastAsia"/>
          <w:bCs/>
          <w:color w:val="auto"/>
        </w:rPr>
        <w:t>5.2.1</w:t>
      </w:r>
      <w:r>
        <w:rPr>
          <w:bCs/>
          <w:color w:val="auto"/>
        </w:rPr>
        <w:t>-2及附图</w:t>
      </w:r>
      <w:r>
        <w:rPr>
          <w:rFonts w:hint="eastAsia"/>
          <w:bCs/>
          <w:color w:val="auto"/>
        </w:rPr>
        <w:t>5.2-1</w:t>
      </w:r>
      <w:r>
        <w:rPr>
          <w:bCs/>
          <w:color w:val="auto"/>
        </w:rPr>
        <w:t>。</w:t>
      </w:r>
    </w:p>
    <w:p w14:paraId="743934F8">
      <w:pPr>
        <w:pStyle w:val="2029"/>
        <w:spacing w:line="240" w:lineRule="auto"/>
        <w:ind w:firstLine="0" w:firstLineChars="0"/>
        <w:jc w:val="center"/>
        <w:rPr>
          <w:b/>
          <w:color w:val="auto"/>
        </w:rPr>
      </w:pPr>
      <w:r>
        <w:rPr>
          <w:b/>
          <w:color w:val="auto"/>
        </w:rPr>
        <w:t>表</w:t>
      </w:r>
      <w:r>
        <w:rPr>
          <w:rFonts w:hint="eastAsia"/>
          <w:b/>
          <w:color w:val="auto"/>
        </w:rPr>
        <w:t>5.2.1</w:t>
      </w:r>
      <w:r>
        <w:rPr>
          <w:b/>
          <w:color w:val="auto"/>
        </w:rPr>
        <w:t>-2  引用监测点位及实测点位基本信息一览表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031"/>
        <w:gridCol w:w="1290"/>
        <w:gridCol w:w="1081"/>
        <w:gridCol w:w="1775"/>
        <w:gridCol w:w="1050"/>
        <w:gridCol w:w="1273"/>
      </w:tblGrid>
      <w:tr w14:paraId="4951C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0" w:type="dxa"/>
            <w:vMerge w:val="restart"/>
            <w:tcBorders>
              <w:tl2br w:val="nil"/>
              <w:tr2bl w:val="nil"/>
            </w:tcBorders>
            <w:vAlign w:val="center"/>
          </w:tcPr>
          <w:p w14:paraId="51B1FAE4">
            <w:pPr>
              <w:pStyle w:val="1311"/>
              <w:spacing w:before="0" w:after="0"/>
              <w:ind w:firstLine="0" w:firstLineChars="0"/>
              <w:rPr>
                <w:rFonts w:cs="Times New Roman"/>
                <w:b/>
                <w:bCs/>
                <w:color w:val="auto"/>
              </w:rPr>
            </w:pPr>
            <w:r>
              <w:rPr>
                <w:rFonts w:cs="Times New Roman"/>
                <w:b/>
                <w:bCs/>
                <w:color w:val="auto"/>
              </w:rPr>
              <w:t>监测点名称</w:t>
            </w:r>
          </w:p>
        </w:tc>
        <w:tc>
          <w:tcPr>
            <w:tcW w:w="2321" w:type="dxa"/>
            <w:gridSpan w:val="2"/>
            <w:tcBorders>
              <w:tl2br w:val="nil"/>
              <w:tr2bl w:val="nil"/>
            </w:tcBorders>
            <w:vAlign w:val="center"/>
          </w:tcPr>
          <w:p w14:paraId="33F2CCC7">
            <w:pPr>
              <w:pStyle w:val="1311"/>
              <w:spacing w:before="0" w:after="0"/>
              <w:ind w:firstLine="0" w:firstLineChars="0"/>
              <w:rPr>
                <w:rFonts w:cs="Times New Roman"/>
                <w:b/>
                <w:bCs/>
                <w:color w:val="auto"/>
              </w:rPr>
            </w:pPr>
            <w:r>
              <w:rPr>
                <w:rFonts w:cs="Times New Roman"/>
                <w:b/>
                <w:bCs/>
                <w:color w:val="auto"/>
              </w:rPr>
              <w:t>监测点UTM坐标/m</w:t>
            </w:r>
          </w:p>
        </w:tc>
        <w:tc>
          <w:tcPr>
            <w:tcW w:w="1081" w:type="dxa"/>
            <w:vMerge w:val="restart"/>
            <w:tcBorders>
              <w:tl2br w:val="nil"/>
              <w:tr2bl w:val="nil"/>
            </w:tcBorders>
            <w:vAlign w:val="center"/>
          </w:tcPr>
          <w:p w14:paraId="04A6C0DE">
            <w:pPr>
              <w:pStyle w:val="1311"/>
              <w:spacing w:before="0" w:after="0"/>
              <w:ind w:firstLine="0" w:firstLineChars="0"/>
              <w:rPr>
                <w:rFonts w:cs="Times New Roman"/>
                <w:b/>
                <w:bCs/>
                <w:color w:val="auto"/>
              </w:rPr>
            </w:pPr>
            <w:r>
              <w:rPr>
                <w:rFonts w:cs="Times New Roman"/>
                <w:b/>
                <w:bCs/>
                <w:color w:val="auto"/>
              </w:rPr>
              <w:t>监测因子</w:t>
            </w:r>
          </w:p>
        </w:tc>
        <w:tc>
          <w:tcPr>
            <w:tcW w:w="1775" w:type="dxa"/>
            <w:vMerge w:val="restart"/>
            <w:tcBorders>
              <w:tl2br w:val="nil"/>
              <w:tr2bl w:val="nil"/>
            </w:tcBorders>
            <w:vAlign w:val="center"/>
          </w:tcPr>
          <w:p w14:paraId="0C41BE92">
            <w:pPr>
              <w:pStyle w:val="1311"/>
              <w:spacing w:before="0" w:after="0"/>
              <w:ind w:firstLine="0" w:firstLineChars="0"/>
              <w:rPr>
                <w:rFonts w:cs="Times New Roman"/>
                <w:b/>
                <w:bCs/>
                <w:color w:val="auto"/>
              </w:rPr>
            </w:pPr>
            <w:r>
              <w:rPr>
                <w:rFonts w:cs="Times New Roman"/>
                <w:b/>
                <w:bCs/>
                <w:color w:val="auto"/>
              </w:rPr>
              <w:t>监测时段</w:t>
            </w:r>
          </w:p>
        </w:tc>
        <w:tc>
          <w:tcPr>
            <w:tcW w:w="1050" w:type="dxa"/>
            <w:vMerge w:val="restart"/>
            <w:tcBorders>
              <w:tl2br w:val="nil"/>
              <w:tr2bl w:val="nil"/>
            </w:tcBorders>
            <w:vAlign w:val="center"/>
          </w:tcPr>
          <w:p w14:paraId="5138AA2D">
            <w:pPr>
              <w:pStyle w:val="1311"/>
              <w:spacing w:before="0" w:after="0"/>
              <w:ind w:firstLine="0" w:firstLineChars="0"/>
              <w:rPr>
                <w:rFonts w:cs="Times New Roman"/>
                <w:b/>
                <w:bCs/>
                <w:color w:val="auto"/>
              </w:rPr>
            </w:pPr>
            <w:r>
              <w:rPr>
                <w:rFonts w:cs="Times New Roman"/>
                <w:b/>
                <w:bCs/>
                <w:color w:val="auto"/>
              </w:rPr>
              <w:t>相对厂址方向</w:t>
            </w:r>
          </w:p>
        </w:tc>
        <w:tc>
          <w:tcPr>
            <w:tcW w:w="1273" w:type="dxa"/>
            <w:vMerge w:val="restart"/>
            <w:tcBorders>
              <w:tl2br w:val="nil"/>
              <w:tr2bl w:val="nil"/>
            </w:tcBorders>
            <w:vAlign w:val="center"/>
          </w:tcPr>
          <w:p w14:paraId="05E5509A">
            <w:pPr>
              <w:pStyle w:val="1311"/>
              <w:spacing w:before="0" w:after="0"/>
              <w:ind w:firstLine="0" w:firstLineChars="0"/>
              <w:rPr>
                <w:rFonts w:cs="Times New Roman"/>
                <w:b/>
                <w:bCs/>
                <w:color w:val="auto"/>
              </w:rPr>
            </w:pPr>
            <w:r>
              <w:rPr>
                <w:rFonts w:cs="Times New Roman"/>
                <w:b/>
                <w:bCs/>
                <w:color w:val="auto"/>
              </w:rPr>
              <w:t>相对厂界距离/km</w:t>
            </w:r>
          </w:p>
        </w:tc>
      </w:tr>
      <w:tr w14:paraId="02D1A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0" w:type="dxa"/>
            <w:vMerge w:val="continue"/>
            <w:tcBorders>
              <w:tl2br w:val="nil"/>
              <w:tr2bl w:val="nil"/>
            </w:tcBorders>
            <w:vAlign w:val="center"/>
          </w:tcPr>
          <w:p w14:paraId="6118DA8E">
            <w:pPr>
              <w:pStyle w:val="1311"/>
              <w:spacing w:before="0" w:after="0"/>
              <w:ind w:firstLine="0" w:firstLineChars="0"/>
              <w:rPr>
                <w:rFonts w:cs="Times New Roman"/>
                <w:color w:val="auto"/>
              </w:rPr>
            </w:pPr>
          </w:p>
        </w:tc>
        <w:tc>
          <w:tcPr>
            <w:tcW w:w="1031" w:type="dxa"/>
            <w:tcBorders>
              <w:tl2br w:val="nil"/>
              <w:tr2bl w:val="nil"/>
            </w:tcBorders>
            <w:vAlign w:val="center"/>
          </w:tcPr>
          <w:p w14:paraId="11856496">
            <w:pPr>
              <w:pStyle w:val="1311"/>
              <w:spacing w:before="0" w:after="0"/>
              <w:ind w:firstLine="0" w:firstLineChars="0"/>
              <w:rPr>
                <w:rFonts w:cs="Times New Roman"/>
                <w:color w:val="auto"/>
              </w:rPr>
            </w:pPr>
            <w:r>
              <w:rPr>
                <w:rFonts w:cs="Times New Roman"/>
                <w:color w:val="auto"/>
              </w:rPr>
              <w:t>X</w:t>
            </w:r>
          </w:p>
        </w:tc>
        <w:tc>
          <w:tcPr>
            <w:tcW w:w="1290" w:type="dxa"/>
            <w:tcBorders>
              <w:tl2br w:val="nil"/>
              <w:tr2bl w:val="nil"/>
            </w:tcBorders>
            <w:vAlign w:val="center"/>
          </w:tcPr>
          <w:p w14:paraId="457090A7">
            <w:pPr>
              <w:pStyle w:val="1311"/>
              <w:spacing w:before="0" w:after="0"/>
              <w:ind w:firstLine="0" w:firstLineChars="0"/>
              <w:rPr>
                <w:rFonts w:cs="Times New Roman"/>
                <w:color w:val="auto"/>
              </w:rPr>
            </w:pPr>
            <w:r>
              <w:rPr>
                <w:rFonts w:cs="Times New Roman"/>
                <w:color w:val="auto"/>
              </w:rPr>
              <w:t>Y</w:t>
            </w:r>
          </w:p>
        </w:tc>
        <w:tc>
          <w:tcPr>
            <w:tcW w:w="1081" w:type="dxa"/>
            <w:vMerge w:val="continue"/>
            <w:tcBorders>
              <w:tl2br w:val="nil"/>
              <w:tr2bl w:val="nil"/>
            </w:tcBorders>
            <w:vAlign w:val="center"/>
          </w:tcPr>
          <w:p w14:paraId="0A6A3F6C">
            <w:pPr>
              <w:pStyle w:val="1311"/>
              <w:spacing w:before="0" w:after="0"/>
              <w:ind w:firstLine="0" w:firstLineChars="0"/>
              <w:rPr>
                <w:rFonts w:cs="Times New Roman"/>
                <w:color w:val="auto"/>
              </w:rPr>
            </w:pPr>
          </w:p>
        </w:tc>
        <w:tc>
          <w:tcPr>
            <w:tcW w:w="1775" w:type="dxa"/>
            <w:vMerge w:val="continue"/>
            <w:tcBorders>
              <w:tl2br w:val="nil"/>
              <w:tr2bl w:val="nil"/>
            </w:tcBorders>
            <w:vAlign w:val="center"/>
          </w:tcPr>
          <w:p w14:paraId="290FC32A">
            <w:pPr>
              <w:pStyle w:val="1311"/>
              <w:spacing w:before="0" w:after="0"/>
              <w:ind w:firstLine="0" w:firstLineChars="0"/>
              <w:rPr>
                <w:rFonts w:cs="Times New Roman"/>
                <w:color w:val="auto"/>
              </w:rPr>
            </w:pPr>
          </w:p>
        </w:tc>
        <w:tc>
          <w:tcPr>
            <w:tcW w:w="1050" w:type="dxa"/>
            <w:vMerge w:val="continue"/>
            <w:tcBorders>
              <w:tl2br w:val="nil"/>
              <w:tr2bl w:val="nil"/>
            </w:tcBorders>
            <w:vAlign w:val="center"/>
          </w:tcPr>
          <w:p w14:paraId="5CBEED2F">
            <w:pPr>
              <w:pStyle w:val="1311"/>
              <w:spacing w:before="0" w:after="0"/>
              <w:ind w:firstLine="0" w:firstLineChars="0"/>
              <w:rPr>
                <w:rFonts w:cs="Times New Roman"/>
                <w:color w:val="auto"/>
              </w:rPr>
            </w:pPr>
          </w:p>
        </w:tc>
        <w:tc>
          <w:tcPr>
            <w:tcW w:w="1273" w:type="dxa"/>
            <w:vMerge w:val="continue"/>
            <w:tcBorders>
              <w:tl2br w:val="nil"/>
              <w:tr2bl w:val="nil"/>
            </w:tcBorders>
            <w:vAlign w:val="center"/>
          </w:tcPr>
          <w:p w14:paraId="239E167E">
            <w:pPr>
              <w:pStyle w:val="1311"/>
              <w:spacing w:before="0" w:after="0"/>
              <w:ind w:firstLine="0" w:firstLineChars="0"/>
              <w:rPr>
                <w:rFonts w:cs="Times New Roman"/>
                <w:color w:val="auto"/>
              </w:rPr>
            </w:pPr>
          </w:p>
        </w:tc>
      </w:tr>
      <w:tr w14:paraId="25162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0" w:type="dxa"/>
            <w:tcBorders>
              <w:tl2br w:val="nil"/>
              <w:tr2bl w:val="nil"/>
            </w:tcBorders>
            <w:vAlign w:val="center"/>
          </w:tcPr>
          <w:p w14:paraId="3F2457BD">
            <w:pPr>
              <w:pStyle w:val="1311"/>
              <w:spacing w:before="0" w:after="0"/>
              <w:ind w:firstLine="0" w:firstLineChars="0"/>
              <w:rPr>
                <w:rFonts w:cs="Times New Roman"/>
                <w:color w:val="auto"/>
              </w:rPr>
            </w:pPr>
            <w:r>
              <w:rPr>
                <w:rFonts w:cs="Times New Roman"/>
                <w:color w:val="auto"/>
              </w:rPr>
              <w:t>江苏豪森药业集团有限公司（G1）</w:t>
            </w:r>
          </w:p>
        </w:tc>
        <w:tc>
          <w:tcPr>
            <w:tcW w:w="1031" w:type="dxa"/>
            <w:tcBorders>
              <w:tl2br w:val="nil"/>
              <w:tr2bl w:val="nil"/>
            </w:tcBorders>
            <w:vAlign w:val="center"/>
          </w:tcPr>
          <w:p w14:paraId="7046C3AD">
            <w:pPr>
              <w:pStyle w:val="1311"/>
              <w:spacing w:before="0" w:after="0"/>
              <w:ind w:firstLine="0" w:firstLineChars="0"/>
              <w:rPr>
                <w:rFonts w:cs="Times New Roman"/>
                <w:color w:val="auto"/>
              </w:rPr>
            </w:pPr>
            <w:r>
              <w:rPr>
                <w:rFonts w:cs="Times New Roman"/>
                <w:color w:val="auto"/>
              </w:rPr>
              <w:t>704507</w:t>
            </w:r>
          </w:p>
        </w:tc>
        <w:tc>
          <w:tcPr>
            <w:tcW w:w="1290" w:type="dxa"/>
            <w:tcBorders>
              <w:tl2br w:val="nil"/>
              <w:tr2bl w:val="nil"/>
            </w:tcBorders>
            <w:vAlign w:val="center"/>
          </w:tcPr>
          <w:p w14:paraId="65CDC8C5">
            <w:pPr>
              <w:pStyle w:val="1311"/>
              <w:spacing w:before="0" w:after="0"/>
              <w:ind w:firstLine="0" w:firstLineChars="0"/>
              <w:rPr>
                <w:rFonts w:cs="Times New Roman"/>
                <w:color w:val="auto"/>
              </w:rPr>
            </w:pPr>
            <w:r>
              <w:rPr>
                <w:rFonts w:cs="Times New Roman"/>
                <w:color w:val="auto"/>
              </w:rPr>
              <w:t>3842162</w:t>
            </w:r>
          </w:p>
        </w:tc>
        <w:tc>
          <w:tcPr>
            <w:tcW w:w="1081" w:type="dxa"/>
            <w:tcBorders>
              <w:tl2br w:val="nil"/>
              <w:tr2bl w:val="nil"/>
            </w:tcBorders>
            <w:vAlign w:val="center"/>
          </w:tcPr>
          <w:p w14:paraId="229C1066">
            <w:pPr>
              <w:pStyle w:val="1311"/>
              <w:spacing w:before="0" w:after="0"/>
              <w:ind w:firstLine="0" w:firstLineChars="0"/>
              <w:rPr>
                <w:rFonts w:cs="Times New Roman"/>
                <w:color w:val="auto"/>
              </w:rPr>
            </w:pPr>
            <w:r>
              <w:rPr>
                <w:rFonts w:cs="Times New Roman"/>
                <w:color w:val="auto"/>
              </w:rPr>
              <w:t>氨</w:t>
            </w:r>
          </w:p>
        </w:tc>
        <w:tc>
          <w:tcPr>
            <w:tcW w:w="1775" w:type="dxa"/>
            <w:tcBorders>
              <w:tl2br w:val="nil"/>
              <w:tr2bl w:val="nil"/>
            </w:tcBorders>
            <w:vAlign w:val="center"/>
          </w:tcPr>
          <w:p w14:paraId="582DE2EF">
            <w:pPr>
              <w:pStyle w:val="1311"/>
              <w:spacing w:before="0" w:after="0"/>
              <w:ind w:firstLine="0" w:firstLineChars="0"/>
              <w:rPr>
                <w:rFonts w:cs="Times New Roman"/>
                <w:color w:val="auto"/>
              </w:rPr>
            </w:pPr>
            <w:r>
              <w:rPr>
                <w:rFonts w:cs="Times New Roman"/>
                <w:color w:val="auto"/>
              </w:rPr>
              <w:t>2023年5月7日</w:t>
            </w:r>
            <w:r>
              <w:rPr>
                <w:rFonts w:hint="eastAsia" w:cs="Times New Roman"/>
                <w:color w:val="auto"/>
              </w:rPr>
              <w:t>—</w:t>
            </w:r>
            <w:r>
              <w:rPr>
                <w:rFonts w:cs="Times New Roman"/>
                <w:color w:val="auto"/>
              </w:rPr>
              <w:t>5月12日，连续监测7天；</w:t>
            </w:r>
          </w:p>
        </w:tc>
        <w:tc>
          <w:tcPr>
            <w:tcW w:w="1050" w:type="dxa"/>
            <w:tcBorders>
              <w:tl2br w:val="nil"/>
              <w:tr2bl w:val="nil"/>
            </w:tcBorders>
            <w:vAlign w:val="center"/>
          </w:tcPr>
          <w:p w14:paraId="7367C868">
            <w:pPr>
              <w:pStyle w:val="1311"/>
              <w:spacing w:before="0" w:after="0"/>
              <w:ind w:firstLine="0" w:firstLineChars="0"/>
              <w:rPr>
                <w:rFonts w:cs="Times New Roman"/>
                <w:color w:val="auto"/>
              </w:rPr>
            </w:pPr>
            <w:r>
              <w:rPr>
                <w:rFonts w:cs="Times New Roman"/>
                <w:color w:val="auto"/>
              </w:rPr>
              <w:t>SE</w:t>
            </w:r>
          </w:p>
        </w:tc>
        <w:tc>
          <w:tcPr>
            <w:tcW w:w="1273" w:type="dxa"/>
            <w:tcBorders>
              <w:tl2br w:val="nil"/>
              <w:tr2bl w:val="nil"/>
            </w:tcBorders>
            <w:vAlign w:val="center"/>
          </w:tcPr>
          <w:p w14:paraId="6F8038F6">
            <w:pPr>
              <w:pStyle w:val="1311"/>
              <w:spacing w:before="0" w:after="0"/>
              <w:ind w:firstLine="0" w:firstLineChars="0"/>
              <w:rPr>
                <w:rFonts w:cs="Times New Roman"/>
                <w:color w:val="auto"/>
              </w:rPr>
            </w:pPr>
            <w:r>
              <w:rPr>
                <w:rFonts w:cs="Times New Roman"/>
                <w:color w:val="auto"/>
              </w:rPr>
              <w:t>3.8</w:t>
            </w:r>
          </w:p>
        </w:tc>
      </w:tr>
      <w:tr w14:paraId="5E2DC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60" w:type="dxa"/>
            <w:tcBorders>
              <w:tl2br w:val="nil"/>
              <w:tr2bl w:val="nil"/>
            </w:tcBorders>
            <w:vAlign w:val="center"/>
          </w:tcPr>
          <w:p w14:paraId="5DDE8D22">
            <w:pPr>
              <w:pStyle w:val="1311"/>
              <w:spacing w:before="0" w:after="0"/>
              <w:ind w:firstLine="0" w:firstLineChars="0"/>
              <w:rPr>
                <w:rFonts w:cs="Times New Roman"/>
                <w:color w:val="auto"/>
              </w:rPr>
            </w:pPr>
            <w:r>
              <w:rPr>
                <w:rFonts w:cs="Times New Roman"/>
                <w:color w:val="auto"/>
              </w:rPr>
              <w:t>项目所在地（G1）</w:t>
            </w:r>
          </w:p>
        </w:tc>
        <w:tc>
          <w:tcPr>
            <w:tcW w:w="1031" w:type="dxa"/>
            <w:tcBorders>
              <w:tl2br w:val="nil"/>
              <w:tr2bl w:val="nil"/>
            </w:tcBorders>
            <w:vAlign w:val="center"/>
          </w:tcPr>
          <w:p w14:paraId="3DD933CF">
            <w:pPr>
              <w:pStyle w:val="1311"/>
              <w:spacing w:before="0" w:after="0"/>
              <w:ind w:firstLine="0" w:firstLineChars="0"/>
              <w:rPr>
                <w:rFonts w:cs="Times New Roman"/>
                <w:color w:val="auto"/>
              </w:rPr>
            </w:pPr>
            <w:r>
              <w:rPr>
                <w:rFonts w:cs="Times New Roman"/>
                <w:color w:val="auto"/>
              </w:rPr>
              <w:t>-</w:t>
            </w:r>
          </w:p>
        </w:tc>
        <w:tc>
          <w:tcPr>
            <w:tcW w:w="1290" w:type="dxa"/>
            <w:tcBorders>
              <w:tl2br w:val="nil"/>
              <w:tr2bl w:val="nil"/>
            </w:tcBorders>
            <w:vAlign w:val="center"/>
          </w:tcPr>
          <w:p w14:paraId="50A55999">
            <w:pPr>
              <w:pStyle w:val="1311"/>
              <w:spacing w:before="0" w:after="0"/>
              <w:ind w:firstLine="0" w:firstLineChars="0"/>
              <w:rPr>
                <w:rFonts w:cs="Times New Roman"/>
                <w:color w:val="auto"/>
              </w:rPr>
            </w:pPr>
            <w:r>
              <w:rPr>
                <w:rFonts w:cs="Times New Roman"/>
                <w:color w:val="auto"/>
              </w:rPr>
              <w:t>-</w:t>
            </w:r>
          </w:p>
        </w:tc>
        <w:tc>
          <w:tcPr>
            <w:tcW w:w="1081" w:type="dxa"/>
            <w:tcBorders>
              <w:tl2br w:val="nil"/>
              <w:tr2bl w:val="nil"/>
            </w:tcBorders>
            <w:vAlign w:val="center"/>
          </w:tcPr>
          <w:p w14:paraId="726B34C5">
            <w:pPr>
              <w:pStyle w:val="1311"/>
              <w:spacing w:before="0" w:after="0"/>
              <w:ind w:firstLine="0" w:firstLineChars="0"/>
              <w:rPr>
                <w:rFonts w:cs="Times New Roman"/>
                <w:color w:val="auto"/>
              </w:rPr>
            </w:pPr>
            <w:r>
              <w:rPr>
                <w:rFonts w:cs="Times New Roman"/>
                <w:color w:val="auto"/>
              </w:rPr>
              <w:t>TSP、硫酸雾</w:t>
            </w:r>
          </w:p>
        </w:tc>
        <w:tc>
          <w:tcPr>
            <w:tcW w:w="1775" w:type="dxa"/>
            <w:tcBorders>
              <w:tl2br w:val="nil"/>
              <w:tr2bl w:val="nil"/>
            </w:tcBorders>
            <w:vAlign w:val="center"/>
          </w:tcPr>
          <w:p w14:paraId="15D462E1">
            <w:pPr>
              <w:pStyle w:val="1311"/>
              <w:spacing w:before="0" w:after="0"/>
              <w:ind w:firstLine="0" w:firstLineChars="0"/>
              <w:rPr>
                <w:rFonts w:cs="Times New Roman"/>
                <w:color w:val="auto"/>
              </w:rPr>
            </w:pPr>
            <w:r>
              <w:rPr>
                <w:rFonts w:cs="Times New Roman"/>
                <w:color w:val="auto"/>
              </w:rPr>
              <w:t>2024年6</w:t>
            </w:r>
            <w:r>
              <w:rPr>
                <w:rFonts w:hint="eastAsia" w:cs="Times New Roman"/>
                <w:color w:val="auto"/>
              </w:rPr>
              <w:t>月</w:t>
            </w:r>
            <w:r>
              <w:rPr>
                <w:rFonts w:cs="Times New Roman"/>
                <w:color w:val="auto"/>
              </w:rPr>
              <w:t>1日</w:t>
            </w:r>
            <w:r>
              <w:rPr>
                <w:rFonts w:hint="eastAsia" w:cs="Times New Roman"/>
                <w:color w:val="auto"/>
              </w:rPr>
              <w:t>～</w:t>
            </w:r>
            <w:r>
              <w:rPr>
                <w:rFonts w:cs="Times New Roman"/>
                <w:color w:val="auto"/>
              </w:rPr>
              <w:t>6月7日，连续监测7天。</w:t>
            </w:r>
          </w:p>
        </w:tc>
        <w:tc>
          <w:tcPr>
            <w:tcW w:w="1050" w:type="dxa"/>
            <w:tcBorders>
              <w:tl2br w:val="nil"/>
              <w:tr2bl w:val="nil"/>
            </w:tcBorders>
            <w:vAlign w:val="center"/>
          </w:tcPr>
          <w:p w14:paraId="0FE20837">
            <w:pPr>
              <w:pStyle w:val="1311"/>
              <w:spacing w:before="0" w:after="0"/>
              <w:ind w:firstLine="0" w:firstLineChars="0"/>
              <w:rPr>
                <w:rFonts w:cs="Times New Roman"/>
                <w:color w:val="auto"/>
              </w:rPr>
            </w:pPr>
            <w:r>
              <w:rPr>
                <w:rFonts w:cs="Times New Roman"/>
                <w:color w:val="auto"/>
              </w:rPr>
              <w:t>-</w:t>
            </w:r>
          </w:p>
        </w:tc>
        <w:tc>
          <w:tcPr>
            <w:tcW w:w="1273" w:type="dxa"/>
            <w:tcBorders>
              <w:tl2br w:val="nil"/>
              <w:tr2bl w:val="nil"/>
            </w:tcBorders>
            <w:vAlign w:val="center"/>
          </w:tcPr>
          <w:p w14:paraId="6D61DB7A">
            <w:pPr>
              <w:pStyle w:val="1311"/>
              <w:spacing w:before="0" w:after="0"/>
              <w:ind w:firstLine="0" w:firstLineChars="0"/>
              <w:rPr>
                <w:rFonts w:cs="Times New Roman"/>
                <w:color w:val="auto"/>
              </w:rPr>
            </w:pPr>
            <w:r>
              <w:rPr>
                <w:rFonts w:cs="Times New Roman"/>
                <w:color w:val="auto"/>
              </w:rPr>
              <w:t>-</w:t>
            </w:r>
          </w:p>
        </w:tc>
      </w:tr>
    </w:tbl>
    <w:p w14:paraId="1DEBD5DD">
      <w:pPr>
        <w:ind w:firstLine="482"/>
        <w:rPr>
          <w:b/>
          <w:bCs/>
          <w:color w:val="auto"/>
        </w:rPr>
      </w:pPr>
      <w:r>
        <w:rPr>
          <w:b/>
          <w:bCs/>
          <w:color w:val="auto"/>
        </w:rPr>
        <w:t>2、监测频次和时间</w:t>
      </w:r>
    </w:p>
    <w:p w14:paraId="7B78383A">
      <w:pPr>
        <w:ind w:firstLine="480"/>
        <w:rPr>
          <w:color w:val="auto"/>
        </w:rPr>
      </w:pPr>
      <w:r>
        <w:rPr>
          <w:color w:val="auto"/>
        </w:rPr>
        <w:t>监测7天，TSP、氨和硫酸雾每天监测四次，每次至少45分钟采样时间。</w:t>
      </w:r>
    </w:p>
    <w:p w14:paraId="4E120B12">
      <w:pPr>
        <w:ind w:firstLine="480"/>
        <w:rPr>
          <w:bCs/>
          <w:color w:val="auto"/>
        </w:rPr>
      </w:pPr>
      <w:r>
        <w:rPr>
          <w:bCs/>
          <w:color w:val="auto"/>
        </w:rPr>
        <w:t>监测期间气象参数见表</w:t>
      </w:r>
      <w:r>
        <w:rPr>
          <w:rFonts w:hint="eastAsia"/>
          <w:bCs/>
          <w:color w:val="auto"/>
        </w:rPr>
        <w:t>5.2.1</w:t>
      </w:r>
      <w:r>
        <w:rPr>
          <w:bCs/>
          <w:color w:val="auto"/>
        </w:rPr>
        <w:t>-</w:t>
      </w:r>
      <w:r>
        <w:rPr>
          <w:rFonts w:hint="eastAsia"/>
          <w:bCs/>
          <w:color w:val="auto"/>
        </w:rPr>
        <w:t>3</w:t>
      </w:r>
      <w:r>
        <w:rPr>
          <w:bCs/>
          <w:color w:val="auto"/>
        </w:rPr>
        <w:t>。</w:t>
      </w:r>
    </w:p>
    <w:p w14:paraId="253F9113">
      <w:pPr>
        <w:spacing w:line="240" w:lineRule="auto"/>
        <w:ind w:firstLine="0" w:firstLineChars="0"/>
        <w:jc w:val="center"/>
        <w:rPr>
          <w:b/>
          <w:color w:val="auto"/>
        </w:rPr>
      </w:pPr>
      <w:r>
        <w:rPr>
          <w:b/>
          <w:color w:val="auto"/>
        </w:rPr>
        <w:t>表</w:t>
      </w:r>
      <w:r>
        <w:rPr>
          <w:rFonts w:hint="eastAsia"/>
          <w:b/>
          <w:color w:val="auto"/>
        </w:rPr>
        <w:t>5.2.1</w:t>
      </w:r>
      <w:r>
        <w:rPr>
          <w:b/>
          <w:color w:val="auto"/>
        </w:rPr>
        <w:t>-</w:t>
      </w:r>
      <w:r>
        <w:rPr>
          <w:rFonts w:hint="eastAsia"/>
          <w:b/>
          <w:color w:val="auto"/>
        </w:rPr>
        <w:t>3</w:t>
      </w:r>
      <w:r>
        <w:rPr>
          <w:b/>
          <w:color w:val="auto"/>
        </w:rPr>
        <w:t xml:space="preserve">  监测期间气象参数表</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545"/>
        <w:gridCol w:w="1545"/>
        <w:gridCol w:w="1545"/>
        <w:gridCol w:w="1550"/>
        <w:gridCol w:w="1550"/>
      </w:tblGrid>
      <w:tr w14:paraId="0650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12" w:space="0"/>
              <w:left w:val="nil"/>
              <w:bottom w:val="single" w:color="auto" w:sz="4" w:space="0"/>
              <w:right w:val="single" w:color="auto" w:sz="4" w:space="0"/>
            </w:tcBorders>
            <w:shd w:val="clear" w:color="auto" w:fill="auto"/>
            <w:vAlign w:val="center"/>
          </w:tcPr>
          <w:p w14:paraId="12AD5016">
            <w:pPr>
              <w:spacing w:line="240" w:lineRule="auto"/>
              <w:ind w:firstLine="0" w:firstLineChars="0"/>
              <w:jc w:val="center"/>
              <w:rPr>
                <w:b/>
                <w:bCs/>
                <w:color w:val="auto"/>
                <w:szCs w:val="21"/>
              </w:rPr>
            </w:pPr>
            <w:r>
              <w:rPr>
                <w:b/>
                <w:bCs/>
                <w:color w:val="auto"/>
                <w:kern w:val="0"/>
                <w:sz w:val="21"/>
                <w:szCs w:val="21"/>
                <w:lang w:bidi="ar"/>
              </w:rPr>
              <w:t>采样时间</w:t>
            </w:r>
          </w:p>
        </w:tc>
        <w:tc>
          <w:tcPr>
            <w:tcW w:w="832" w:type="pct"/>
            <w:tcBorders>
              <w:top w:val="single" w:color="auto" w:sz="12" w:space="0"/>
              <w:left w:val="single" w:color="auto" w:sz="4" w:space="0"/>
              <w:bottom w:val="single" w:color="auto" w:sz="4" w:space="0"/>
              <w:right w:val="single" w:color="auto" w:sz="4" w:space="0"/>
            </w:tcBorders>
            <w:shd w:val="clear" w:color="auto" w:fill="auto"/>
            <w:vAlign w:val="center"/>
          </w:tcPr>
          <w:p w14:paraId="1DE608BA">
            <w:pPr>
              <w:spacing w:line="240" w:lineRule="auto"/>
              <w:ind w:firstLine="0" w:firstLineChars="0"/>
              <w:jc w:val="center"/>
              <w:rPr>
                <w:b/>
                <w:bCs/>
                <w:color w:val="auto"/>
                <w:szCs w:val="21"/>
              </w:rPr>
            </w:pPr>
            <w:r>
              <w:rPr>
                <w:b/>
                <w:bCs/>
                <w:color w:val="auto"/>
                <w:sz w:val="21"/>
                <w:szCs w:val="21"/>
                <w:lang w:bidi="ar"/>
              </w:rPr>
              <w:t>风速（m/s）</w:t>
            </w:r>
          </w:p>
        </w:tc>
        <w:tc>
          <w:tcPr>
            <w:tcW w:w="832" w:type="pct"/>
            <w:tcBorders>
              <w:top w:val="single" w:color="auto" w:sz="12" w:space="0"/>
              <w:left w:val="single" w:color="auto" w:sz="4" w:space="0"/>
              <w:bottom w:val="single" w:color="auto" w:sz="4" w:space="0"/>
              <w:right w:val="single" w:color="auto" w:sz="4" w:space="0"/>
            </w:tcBorders>
            <w:shd w:val="clear" w:color="auto" w:fill="auto"/>
            <w:vAlign w:val="center"/>
          </w:tcPr>
          <w:p w14:paraId="1CE98BE8">
            <w:pPr>
              <w:spacing w:line="240" w:lineRule="auto"/>
              <w:ind w:firstLine="0" w:firstLineChars="0"/>
              <w:jc w:val="center"/>
              <w:rPr>
                <w:b/>
                <w:bCs/>
                <w:color w:val="auto"/>
                <w:szCs w:val="21"/>
              </w:rPr>
            </w:pPr>
            <w:r>
              <w:rPr>
                <w:b/>
                <w:bCs/>
                <w:color w:val="auto"/>
                <w:sz w:val="21"/>
                <w:szCs w:val="21"/>
                <w:lang w:bidi="ar"/>
              </w:rPr>
              <w:t>风向</w:t>
            </w:r>
          </w:p>
        </w:tc>
        <w:tc>
          <w:tcPr>
            <w:tcW w:w="832" w:type="pct"/>
            <w:tcBorders>
              <w:top w:val="single" w:color="auto" w:sz="12" w:space="0"/>
              <w:left w:val="single" w:color="auto" w:sz="4" w:space="0"/>
              <w:bottom w:val="single" w:color="auto" w:sz="4" w:space="0"/>
              <w:right w:val="single" w:color="auto" w:sz="4" w:space="0"/>
            </w:tcBorders>
            <w:shd w:val="clear" w:color="auto" w:fill="auto"/>
            <w:vAlign w:val="center"/>
          </w:tcPr>
          <w:p w14:paraId="46A90FEF">
            <w:pPr>
              <w:spacing w:line="240" w:lineRule="auto"/>
              <w:ind w:firstLine="0" w:firstLineChars="0"/>
              <w:jc w:val="center"/>
              <w:rPr>
                <w:b/>
                <w:bCs/>
                <w:color w:val="auto"/>
                <w:szCs w:val="21"/>
              </w:rPr>
            </w:pPr>
            <w:r>
              <w:rPr>
                <w:b/>
                <w:bCs/>
                <w:color w:val="auto"/>
                <w:sz w:val="21"/>
                <w:szCs w:val="21"/>
                <w:lang w:bidi="ar"/>
              </w:rPr>
              <w:t>气压（kPa）</w:t>
            </w:r>
          </w:p>
        </w:tc>
        <w:tc>
          <w:tcPr>
            <w:tcW w:w="834" w:type="pct"/>
            <w:tcBorders>
              <w:top w:val="single" w:color="auto" w:sz="12" w:space="0"/>
              <w:left w:val="single" w:color="auto" w:sz="4" w:space="0"/>
              <w:bottom w:val="single" w:color="auto" w:sz="4" w:space="0"/>
              <w:right w:val="single" w:color="auto" w:sz="4" w:space="0"/>
            </w:tcBorders>
            <w:shd w:val="clear" w:color="auto" w:fill="auto"/>
            <w:vAlign w:val="center"/>
          </w:tcPr>
          <w:p w14:paraId="5ED516B1">
            <w:pPr>
              <w:spacing w:line="240" w:lineRule="auto"/>
              <w:ind w:firstLine="0" w:firstLineChars="0"/>
              <w:jc w:val="center"/>
              <w:rPr>
                <w:b/>
                <w:bCs/>
                <w:color w:val="auto"/>
                <w:szCs w:val="21"/>
              </w:rPr>
            </w:pPr>
            <w:r>
              <w:rPr>
                <w:b/>
                <w:bCs/>
                <w:color w:val="auto"/>
                <w:sz w:val="21"/>
                <w:szCs w:val="21"/>
                <w:lang w:bidi="ar"/>
              </w:rPr>
              <w:t>气温（℃）</w:t>
            </w:r>
          </w:p>
        </w:tc>
        <w:tc>
          <w:tcPr>
            <w:tcW w:w="834" w:type="pct"/>
            <w:tcBorders>
              <w:top w:val="single" w:color="auto" w:sz="12" w:space="0"/>
              <w:left w:val="single" w:color="auto" w:sz="4" w:space="0"/>
              <w:bottom w:val="single" w:color="auto" w:sz="4" w:space="0"/>
              <w:right w:val="nil"/>
            </w:tcBorders>
            <w:shd w:val="clear" w:color="auto" w:fill="auto"/>
            <w:vAlign w:val="center"/>
          </w:tcPr>
          <w:p w14:paraId="2FD48075">
            <w:pPr>
              <w:spacing w:line="240" w:lineRule="auto"/>
              <w:ind w:firstLine="0" w:firstLineChars="0"/>
              <w:jc w:val="center"/>
              <w:rPr>
                <w:b/>
                <w:bCs/>
                <w:color w:val="auto"/>
                <w:szCs w:val="21"/>
              </w:rPr>
            </w:pPr>
            <w:r>
              <w:rPr>
                <w:b/>
                <w:bCs/>
                <w:color w:val="auto"/>
                <w:sz w:val="21"/>
                <w:szCs w:val="21"/>
                <w:lang w:bidi="ar"/>
              </w:rPr>
              <w:t>天气状况</w:t>
            </w:r>
          </w:p>
        </w:tc>
      </w:tr>
      <w:tr w14:paraId="5EBF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4" w:space="0"/>
              <w:right w:val="single" w:color="auto" w:sz="4" w:space="0"/>
            </w:tcBorders>
            <w:shd w:val="clear" w:color="auto" w:fill="auto"/>
            <w:vAlign w:val="center"/>
          </w:tcPr>
          <w:p w14:paraId="67E87D10">
            <w:pPr>
              <w:widowControl/>
              <w:spacing w:line="240" w:lineRule="auto"/>
              <w:ind w:firstLine="0" w:firstLineChars="0"/>
              <w:jc w:val="center"/>
              <w:rPr>
                <w:color w:val="auto"/>
                <w:szCs w:val="21"/>
              </w:rPr>
            </w:pPr>
            <w:r>
              <w:rPr>
                <w:color w:val="auto"/>
                <w:kern w:val="0"/>
                <w:sz w:val="21"/>
                <w:szCs w:val="21"/>
                <w:lang w:bidi="ar"/>
              </w:rPr>
              <w:t>2024.06.01</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D12AF2B">
            <w:pPr>
              <w:spacing w:line="240" w:lineRule="auto"/>
              <w:ind w:firstLine="0" w:firstLineChars="0"/>
              <w:jc w:val="center"/>
              <w:rPr>
                <w:bCs/>
                <w:color w:val="auto"/>
                <w:szCs w:val="21"/>
              </w:rPr>
            </w:pPr>
            <w:r>
              <w:rPr>
                <w:bCs/>
                <w:color w:val="auto"/>
                <w:sz w:val="21"/>
                <w:szCs w:val="21"/>
                <w:lang w:bidi="ar"/>
              </w:rPr>
              <w:t>1.7~2.2</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30D6F517">
            <w:pPr>
              <w:spacing w:line="240" w:lineRule="auto"/>
              <w:ind w:firstLine="0" w:firstLineChars="0"/>
              <w:jc w:val="center"/>
              <w:rPr>
                <w:bCs/>
                <w:color w:val="auto"/>
                <w:szCs w:val="21"/>
              </w:rPr>
            </w:pPr>
            <w:r>
              <w:rPr>
                <w:bCs/>
                <w:color w:val="auto"/>
                <w:sz w:val="21"/>
                <w:szCs w:val="21"/>
                <w:lang w:bidi="ar"/>
              </w:rPr>
              <w:t>南风</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41853F7C">
            <w:pPr>
              <w:widowControl/>
              <w:spacing w:line="240" w:lineRule="auto"/>
              <w:ind w:firstLine="0" w:firstLineChars="0"/>
              <w:jc w:val="center"/>
              <w:rPr>
                <w:bCs/>
                <w:color w:val="auto"/>
                <w:szCs w:val="21"/>
              </w:rPr>
            </w:pPr>
            <w:r>
              <w:rPr>
                <w:bCs/>
                <w:color w:val="auto"/>
                <w:sz w:val="21"/>
                <w:szCs w:val="21"/>
                <w:lang w:bidi="ar"/>
              </w:rPr>
              <w:t>100.7~101.4</w:t>
            </w:r>
          </w:p>
        </w:tc>
        <w:tc>
          <w:tcPr>
            <w:tcW w:w="834" w:type="pct"/>
            <w:tcBorders>
              <w:top w:val="single" w:color="auto" w:sz="4" w:space="0"/>
              <w:left w:val="single" w:color="auto" w:sz="4" w:space="0"/>
              <w:bottom w:val="single" w:color="auto" w:sz="4" w:space="0"/>
              <w:right w:val="single" w:color="auto" w:sz="4" w:space="0"/>
            </w:tcBorders>
            <w:shd w:val="clear" w:color="auto" w:fill="auto"/>
            <w:vAlign w:val="center"/>
          </w:tcPr>
          <w:p w14:paraId="2FE14081">
            <w:pPr>
              <w:widowControl/>
              <w:spacing w:line="240" w:lineRule="auto"/>
              <w:ind w:firstLine="0" w:firstLineChars="0"/>
              <w:jc w:val="center"/>
              <w:rPr>
                <w:bCs/>
                <w:color w:val="auto"/>
                <w:szCs w:val="21"/>
              </w:rPr>
            </w:pPr>
            <w:r>
              <w:rPr>
                <w:bCs/>
                <w:color w:val="auto"/>
                <w:sz w:val="21"/>
                <w:szCs w:val="21"/>
                <w:lang w:bidi="ar"/>
              </w:rPr>
              <w:t>18.9~26.7</w:t>
            </w:r>
          </w:p>
        </w:tc>
        <w:tc>
          <w:tcPr>
            <w:tcW w:w="834" w:type="pct"/>
            <w:tcBorders>
              <w:top w:val="single" w:color="auto" w:sz="4" w:space="0"/>
              <w:left w:val="single" w:color="auto" w:sz="4" w:space="0"/>
              <w:bottom w:val="single" w:color="auto" w:sz="4" w:space="0"/>
              <w:right w:val="nil"/>
            </w:tcBorders>
            <w:shd w:val="clear" w:color="auto" w:fill="auto"/>
            <w:vAlign w:val="center"/>
          </w:tcPr>
          <w:p w14:paraId="6F746123">
            <w:pPr>
              <w:spacing w:line="240" w:lineRule="auto"/>
              <w:ind w:firstLine="0" w:firstLineChars="0"/>
              <w:jc w:val="center"/>
              <w:rPr>
                <w:bCs/>
                <w:color w:val="auto"/>
                <w:szCs w:val="21"/>
              </w:rPr>
            </w:pPr>
            <w:r>
              <w:rPr>
                <w:bCs/>
                <w:color w:val="auto"/>
                <w:sz w:val="21"/>
                <w:szCs w:val="21"/>
                <w:lang w:bidi="ar"/>
              </w:rPr>
              <w:t>晴</w:t>
            </w:r>
          </w:p>
        </w:tc>
      </w:tr>
      <w:tr w14:paraId="4DA6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4" w:space="0"/>
              <w:right w:val="single" w:color="auto" w:sz="4" w:space="0"/>
            </w:tcBorders>
            <w:shd w:val="clear" w:color="auto" w:fill="auto"/>
            <w:vAlign w:val="center"/>
          </w:tcPr>
          <w:p w14:paraId="727D7E10">
            <w:pPr>
              <w:widowControl/>
              <w:spacing w:line="240" w:lineRule="auto"/>
              <w:ind w:firstLine="0" w:firstLineChars="0"/>
              <w:jc w:val="center"/>
              <w:rPr>
                <w:color w:val="auto"/>
              </w:rPr>
            </w:pPr>
            <w:r>
              <w:rPr>
                <w:color w:val="auto"/>
                <w:kern w:val="0"/>
                <w:sz w:val="21"/>
                <w:szCs w:val="21"/>
                <w:lang w:bidi="ar"/>
              </w:rPr>
              <w:t>2024.06.02</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35A3049">
            <w:pPr>
              <w:spacing w:line="240" w:lineRule="auto"/>
              <w:ind w:firstLine="0" w:firstLineChars="0"/>
              <w:jc w:val="center"/>
              <w:rPr>
                <w:bCs/>
                <w:color w:val="auto"/>
                <w:szCs w:val="21"/>
              </w:rPr>
            </w:pPr>
            <w:r>
              <w:rPr>
                <w:bCs/>
                <w:color w:val="auto"/>
                <w:sz w:val="21"/>
                <w:szCs w:val="21"/>
                <w:lang w:bidi="ar"/>
              </w:rPr>
              <w:t>1.8~2.1</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45FB3FC1">
            <w:pPr>
              <w:spacing w:line="240" w:lineRule="auto"/>
              <w:ind w:firstLine="0" w:firstLineChars="0"/>
              <w:jc w:val="center"/>
              <w:rPr>
                <w:bCs/>
                <w:color w:val="auto"/>
                <w:szCs w:val="21"/>
              </w:rPr>
            </w:pPr>
            <w:r>
              <w:rPr>
                <w:bCs/>
                <w:color w:val="auto"/>
                <w:sz w:val="21"/>
                <w:szCs w:val="21"/>
                <w:lang w:bidi="ar"/>
              </w:rPr>
              <w:t>南风</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2C9A3C8">
            <w:pPr>
              <w:widowControl/>
              <w:spacing w:line="240" w:lineRule="auto"/>
              <w:ind w:firstLine="0" w:firstLineChars="0"/>
              <w:jc w:val="center"/>
              <w:rPr>
                <w:bCs/>
                <w:color w:val="auto"/>
                <w:szCs w:val="21"/>
              </w:rPr>
            </w:pPr>
            <w:r>
              <w:rPr>
                <w:bCs/>
                <w:color w:val="auto"/>
                <w:sz w:val="21"/>
                <w:szCs w:val="21"/>
                <w:lang w:bidi="ar"/>
              </w:rPr>
              <w:t>100.6~101.4</w:t>
            </w:r>
          </w:p>
        </w:tc>
        <w:tc>
          <w:tcPr>
            <w:tcW w:w="834" w:type="pct"/>
            <w:tcBorders>
              <w:top w:val="single" w:color="auto" w:sz="4" w:space="0"/>
              <w:left w:val="single" w:color="auto" w:sz="4" w:space="0"/>
              <w:bottom w:val="single" w:color="auto" w:sz="4" w:space="0"/>
              <w:right w:val="single" w:color="auto" w:sz="4" w:space="0"/>
            </w:tcBorders>
            <w:shd w:val="clear" w:color="auto" w:fill="auto"/>
            <w:vAlign w:val="center"/>
          </w:tcPr>
          <w:p w14:paraId="1C9D133D">
            <w:pPr>
              <w:widowControl/>
              <w:spacing w:line="240" w:lineRule="auto"/>
              <w:ind w:firstLine="0" w:firstLineChars="0"/>
              <w:jc w:val="center"/>
              <w:rPr>
                <w:bCs/>
                <w:color w:val="auto"/>
                <w:szCs w:val="21"/>
              </w:rPr>
            </w:pPr>
            <w:r>
              <w:rPr>
                <w:bCs/>
                <w:color w:val="auto"/>
                <w:sz w:val="21"/>
                <w:szCs w:val="21"/>
                <w:lang w:bidi="ar"/>
              </w:rPr>
              <w:t>17.9~27.3</w:t>
            </w:r>
          </w:p>
        </w:tc>
        <w:tc>
          <w:tcPr>
            <w:tcW w:w="834" w:type="pct"/>
            <w:tcBorders>
              <w:top w:val="single" w:color="auto" w:sz="4" w:space="0"/>
              <w:left w:val="single" w:color="auto" w:sz="4" w:space="0"/>
              <w:bottom w:val="single" w:color="auto" w:sz="4" w:space="0"/>
              <w:right w:val="nil"/>
            </w:tcBorders>
            <w:shd w:val="clear" w:color="auto" w:fill="auto"/>
            <w:vAlign w:val="center"/>
          </w:tcPr>
          <w:p w14:paraId="50F7CDFF">
            <w:pPr>
              <w:spacing w:line="240" w:lineRule="auto"/>
              <w:ind w:firstLine="0" w:firstLineChars="0"/>
              <w:jc w:val="center"/>
              <w:rPr>
                <w:bCs/>
                <w:color w:val="auto"/>
                <w:szCs w:val="21"/>
              </w:rPr>
            </w:pPr>
            <w:r>
              <w:rPr>
                <w:bCs/>
                <w:color w:val="auto"/>
                <w:sz w:val="21"/>
                <w:szCs w:val="21"/>
                <w:lang w:bidi="ar"/>
              </w:rPr>
              <w:t>晴</w:t>
            </w:r>
          </w:p>
        </w:tc>
      </w:tr>
      <w:tr w14:paraId="68C2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4" w:space="0"/>
              <w:right w:val="single" w:color="auto" w:sz="4" w:space="0"/>
            </w:tcBorders>
            <w:shd w:val="clear" w:color="auto" w:fill="auto"/>
            <w:vAlign w:val="center"/>
          </w:tcPr>
          <w:p w14:paraId="09175D72">
            <w:pPr>
              <w:widowControl/>
              <w:spacing w:line="240" w:lineRule="auto"/>
              <w:ind w:firstLine="0" w:firstLineChars="0"/>
              <w:jc w:val="center"/>
              <w:rPr>
                <w:color w:val="auto"/>
              </w:rPr>
            </w:pPr>
            <w:r>
              <w:rPr>
                <w:color w:val="auto"/>
                <w:kern w:val="0"/>
                <w:sz w:val="21"/>
                <w:szCs w:val="21"/>
                <w:lang w:bidi="ar"/>
              </w:rPr>
              <w:t>2024.06.03</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60688659">
            <w:pPr>
              <w:spacing w:line="240" w:lineRule="auto"/>
              <w:ind w:firstLine="0" w:firstLineChars="0"/>
              <w:jc w:val="center"/>
              <w:rPr>
                <w:bCs/>
                <w:color w:val="auto"/>
                <w:szCs w:val="21"/>
              </w:rPr>
            </w:pPr>
            <w:r>
              <w:rPr>
                <w:bCs/>
                <w:color w:val="auto"/>
                <w:sz w:val="21"/>
                <w:szCs w:val="21"/>
                <w:lang w:bidi="ar"/>
              </w:rPr>
              <w:t>2.1~2.4</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24F6FD6B">
            <w:pPr>
              <w:spacing w:line="240" w:lineRule="auto"/>
              <w:ind w:firstLine="0" w:firstLineChars="0"/>
              <w:jc w:val="center"/>
              <w:rPr>
                <w:bCs/>
                <w:color w:val="auto"/>
                <w:szCs w:val="21"/>
              </w:rPr>
            </w:pPr>
            <w:r>
              <w:rPr>
                <w:bCs/>
                <w:color w:val="auto"/>
                <w:sz w:val="21"/>
                <w:szCs w:val="21"/>
                <w:lang w:bidi="ar"/>
              </w:rPr>
              <w:t>南风</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3264B9BA">
            <w:pPr>
              <w:widowControl/>
              <w:spacing w:line="240" w:lineRule="auto"/>
              <w:ind w:firstLine="0" w:firstLineChars="0"/>
              <w:jc w:val="center"/>
              <w:rPr>
                <w:bCs/>
                <w:color w:val="auto"/>
                <w:szCs w:val="21"/>
              </w:rPr>
            </w:pPr>
            <w:r>
              <w:rPr>
                <w:bCs/>
                <w:color w:val="auto"/>
                <w:sz w:val="21"/>
                <w:szCs w:val="21"/>
                <w:lang w:bidi="ar"/>
              </w:rPr>
              <w:t>100.5~101.5</w:t>
            </w:r>
          </w:p>
        </w:tc>
        <w:tc>
          <w:tcPr>
            <w:tcW w:w="834" w:type="pct"/>
            <w:tcBorders>
              <w:top w:val="single" w:color="auto" w:sz="4" w:space="0"/>
              <w:left w:val="single" w:color="auto" w:sz="4" w:space="0"/>
              <w:bottom w:val="single" w:color="auto" w:sz="4" w:space="0"/>
              <w:right w:val="single" w:color="auto" w:sz="4" w:space="0"/>
            </w:tcBorders>
            <w:shd w:val="clear" w:color="auto" w:fill="auto"/>
            <w:vAlign w:val="center"/>
          </w:tcPr>
          <w:p w14:paraId="5D35F5D3">
            <w:pPr>
              <w:widowControl/>
              <w:spacing w:line="240" w:lineRule="auto"/>
              <w:ind w:firstLine="0" w:firstLineChars="0"/>
              <w:jc w:val="center"/>
              <w:rPr>
                <w:bCs/>
                <w:color w:val="auto"/>
                <w:szCs w:val="21"/>
              </w:rPr>
            </w:pPr>
            <w:r>
              <w:rPr>
                <w:bCs/>
                <w:color w:val="auto"/>
                <w:sz w:val="21"/>
                <w:szCs w:val="21"/>
                <w:lang w:bidi="ar"/>
              </w:rPr>
              <w:t>17.3~28.9</w:t>
            </w:r>
          </w:p>
        </w:tc>
        <w:tc>
          <w:tcPr>
            <w:tcW w:w="834" w:type="pct"/>
            <w:tcBorders>
              <w:top w:val="single" w:color="auto" w:sz="4" w:space="0"/>
              <w:left w:val="single" w:color="auto" w:sz="4" w:space="0"/>
              <w:bottom w:val="single" w:color="auto" w:sz="4" w:space="0"/>
              <w:right w:val="nil"/>
            </w:tcBorders>
            <w:shd w:val="clear" w:color="auto" w:fill="auto"/>
            <w:vAlign w:val="center"/>
          </w:tcPr>
          <w:p w14:paraId="7A249703">
            <w:pPr>
              <w:spacing w:line="240" w:lineRule="auto"/>
              <w:ind w:firstLine="0" w:firstLineChars="0"/>
              <w:jc w:val="center"/>
              <w:rPr>
                <w:bCs/>
                <w:color w:val="auto"/>
                <w:szCs w:val="21"/>
              </w:rPr>
            </w:pPr>
            <w:r>
              <w:rPr>
                <w:bCs/>
                <w:color w:val="auto"/>
                <w:sz w:val="21"/>
                <w:szCs w:val="21"/>
                <w:lang w:bidi="ar"/>
              </w:rPr>
              <w:t>晴</w:t>
            </w:r>
          </w:p>
        </w:tc>
      </w:tr>
      <w:tr w14:paraId="6D13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4" w:space="0"/>
              <w:right w:val="single" w:color="auto" w:sz="4" w:space="0"/>
            </w:tcBorders>
            <w:shd w:val="clear" w:color="auto" w:fill="auto"/>
            <w:vAlign w:val="center"/>
          </w:tcPr>
          <w:p w14:paraId="7D8AEFB9">
            <w:pPr>
              <w:widowControl/>
              <w:spacing w:line="240" w:lineRule="auto"/>
              <w:ind w:firstLine="0" w:firstLineChars="0"/>
              <w:jc w:val="center"/>
              <w:rPr>
                <w:color w:val="auto"/>
              </w:rPr>
            </w:pPr>
            <w:r>
              <w:rPr>
                <w:color w:val="auto"/>
                <w:kern w:val="0"/>
                <w:sz w:val="21"/>
                <w:szCs w:val="21"/>
                <w:lang w:bidi="ar"/>
              </w:rPr>
              <w:t>2024.06.04</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61B7AF3">
            <w:pPr>
              <w:spacing w:line="240" w:lineRule="auto"/>
              <w:ind w:firstLine="0" w:firstLineChars="0"/>
              <w:jc w:val="center"/>
              <w:rPr>
                <w:bCs/>
                <w:color w:val="auto"/>
                <w:szCs w:val="21"/>
              </w:rPr>
            </w:pPr>
            <w:r>
              <w:rPr>
                <w:bCs/>
                <w:color w:val="auto"/>
                <w:sz w:val="21"/>
                <w:szCs w:val="21"/>
                <w:lang w:bidi="ar"/>
              </w:rPr>
              <w:t>2.0~2.3</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7748A819">
            <w:pPr>
              <w:spacing w:line="240" w:lineRule="auto"/>
              <w:ind w:firstLine="0" w:firstLineChars="0"/>
              <w:jc w:val="center"/>
              <w:rPr>
                <w:bCs/>
                <w:color w:val="auto"/>
                <w:szCs w:val="21"/>
              </w:rPr>
            </w:pPr>
            <w:r>
              <w:rPr>
                <w:bCs/>
                <w:color w:val="auto"/>
                <w:sz w:val="21"/>
                <w:szCs w:val="21"/>
                <w:lang w:bidi="ar"/>
              </w:rPr>
              <w:t>南风</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3965AF88">
            <w:pPr>
              <w:widowControl/>
              <w:spacing w:line="240" w:lineRule="auto"/>
              <w:ind w:firstLine="0" w:firstLineChars="0"/>
              <w:jc w:val="center"/>
              <w:rPr>
                <w:bCs/>
                <w:color w:val="auto"/>
                <w:szCs w:val="21"/>
              </w:rPr>
            </w:pPr>
            <w:r>
              <w:rPr>
                <w:bCs/>
                <w:color w:val="auto"/>
                <w:sz w:val="21"/>
                <w:szCs w:val="21"/>
                <w:lang w:bidi="ar"/>
              </w:rPr>
              <w:t>100.5~101.5</w:t>
            </w:r>
          </w:p>
        </w:tc>
        <w:tc>
          <w:tcPr>
            <w:tcW w:w="834" w:type="pct"/>
            <w:tcBorders>
              <w:top w:val="single" w:color="auto" w:sz="4" w:space="0"/>
              <w:left w:val="single" w:color="auto" w:sz="4" w:space="0"/>
              <w:bottom w:val="single" w:color="auto" w:sz="4" w:space="0"/>
              <w:right w:val="single" w:color="auto" w:sz="4" w:space="0"/>
            </w:tcBorders>
            <w:shd w:val="clear" w:color="auto" w:fill="auto"/>
            <w:vAlign w:val="center"/>
          </w:tcPr>
          <w:p w14:paraId="0D0BD657">
            <w:pPr>
              <w:widowControl/>
              <w:spacing w:line="240" w:lineRule="auto"/>
              <w:ind w:firstLine="0" w:firstLineChars="0"/>
              <w:jc w:val="center"/>
              <w:rPr>
                <w:bCs/>
                <w:color w:val="auto"/>
                <w:szCs w:val="21"/>
              </w:rPr>
            </w:pPr>
            <w:r>
              <w:rPr>
                <w:bCs/>
                <w:color w:val="auto"/>
                <w:sz w:val="21"/>
                <w:szCs w:val="21"/>
                <w:lang w:bidi="ar"/>
              </w:rPr>
              <w:t>16.5~28.0</w:t>
            </w:r>
          </w:p>
        </w:tc>
        <w:tc>
          <w:tcPr>
            <w:tcW w:w="834" w:type="pct"/>
            <w:tcBorders>
              <w:top w:val="single" w:color="auto" w:sz="4" w:space="0"/>
              <w:left w:val="single" w:color="auto" w:sz="4" w:space="0"/>
              <w:bottom w:val="single" w:color="auto" w:sz="4" w:space="0"/>
              <w:right w:val="nil"/>
            </w:tcBorders>
            <w:shd w:val="clear" w:color="auto" w:fill="auto"/>
            <w:vAlign w:val="center"/>
          </w:tcPr>
          <w:p w14:paraId="1A2A8A98">
            <w:pPr>
              <w:spacing w:line="240" w:lineRule="auto"/>
              <w:ind w:firstLine="0" w:firstLineChars="0"/>
              <w:jc w:val="center"/>
              <w:rPr>
                <w:bCs/>
                <w:color w:val="auto"/>
                <w:szCs w:val="21"/>
              </w:rPr>
            </w:pPr>
            <w:r>
              <w:rPr>
                <w:bCs/>
                <w:color w:val="auto"/>
                <w:sz w:val="21"/>
                <w:szCs w:val="21"/>
                <w:lang w:bidi="ar"/>
              </w:rPr>
              <w:t>晴</w:t>
            </w:r>
          </w:p>
        </w:tc>
      </w:tr>
      <w:tr w14:paraId="4306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4" w:space="0"/>
              <w:right w:val="single" w:color="auto" w:sz="4" w:space="0"/>
            </w:tcBorders>
            <w:shd w:val="clear" w:color="auto" w:fill="auto"/>
            <w:vAlign w:val="center"/>
          </w:tcPr>
          <w:p w14:paraId="26A850BB">
            <w:pPr>
              <w:widowControl/>
              <w:spacing w:line="240" w:lineRule="auto"/>
              <w:ind w:firstLine="0" w:firstLineChars="0"/>
              <w:jc w:val="center"/>
              <w:rPr>
                <w:color w:val="auto"/>
                <w:szCs w:val="21"/>
              </w:rPr>
            </w:pPr>
            <w:r>
              <w:rPr>
                <w:color w:val="auto"/>
                <w:kern w:val="0"/>
                <w:sz w:val="21"/>
                <w:szCs w:val="21"/>
                <w:lang w:bidi="ar"/>
              </w:rPr>
              <w:t>2024.06.05</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222DE4FC">
            <w:pPr>
              <w:spacing w:line="240" w:lineRule="auto"/>
              <w:ind w:firstLine="0" w:firstLineChars="0"/>
              <w:jc w:val="center"/>
              <w:rPr>
                <w:color w:val="auto"/>
                <w:szCs w:val="21"/>
              </w:rPr>
            </w:pPr>
            <w:r>
              <w:rPr>
                <w:color w:val="auto"/>
                <w:sz w:val="21"/>
                <w:szCs w:val="21"/>
                <w:lang w:bidi="ar"/>
              </w:rPr>
              <w:t>2.3~2.5</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5B66339">
            <w:pPr>
              <w:spacing w:line="240" w:lineRule="auto"/>
              <w:ind w:firstLine="0" w:firstLineChars="0"/>
              <w:jc w:val="center"/>
              <w:rPr>
                <w:color w:val="auto"/>
                <w:szCs w:val="21"/>
              </w:rPr>
            </w:pPr>
            <w:r>
              <w:rPr>
                <w:color w:val="auto"/>
                <w:sz w:val="21"/>
                <w:szCs w:val="21"/>
                <w:lang w:bidi="ar"/>
              </w:rPr>
              <w:t>南风</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1096D14">
            <w:pPr>
              <w:spacing w:line="240" w:lineRule="auto"/>
              <w:ind w:firstLine="0" w:firstLineChars="0"/>
              <w:jc w:val="center"/>
              <w:rPr>
                <w:color w:val="auto"/>
                <w:szCs w:val="21"/>
              </w:rPr>
            </w:pPr>
            <w:r>
              <w:rPr>
                <w:color w:val="auto"/>
                <w:sz w:val="21"/>
                <w:szCs w:val="21"/>
                <w:lang w:bidi="ar"/>
              </w:rPr>
              <w:t>100.7~101.5</w:t>
            </w:r>
          </w:p>
        </w:tc>
        <w:tc>
          <w:tcPr>
            <w:tcW w:w="834" w:type="pct"/>
            <w:tcBorders>
              <w:top w:val="single" w:color="auto" w:sz="4" w:space="0"/>
              <w:left w:val="single" w:color="auto" w:sz="4" w:space="0"/>
              <w:bottom w:val="single" w:color="auto" w:sz="4" w:space="0"/>
              <w:right w:val="single" w:color="auto" w:sz="4" w:space="0"/>
            </w:tcBorders>
            <w:shd w:val="clear" w:color="auto" w:fill="auto"/>
            <w:vAlign w:val="center"/>
          </w:tcPr>
          <w:p w14:paraId="71AA7D44">
            <w:pPr>
              <w:spacing w:line="240" w:lineRule="auto"/>
              <w:ind w:firstLine="0" w:firstLineChars="0"/>
              <w:jc w:val="center"/>
              <w:rPr>
                <w:color w:val="auto"/>
                <w:szCs w:val="21"/>
              </w:rPr>
            </w:pPr>
            <w:r>
              <w:rPr>
                <w:color w:val="auto"/>
                <w:sz w:val="21"/>
                <w:szCs w:val="21"/>
                <w:lang w:bidi="ar"/>
              </w:rPr>
              <w:t>17.3~27.8</w:t>
            </w:r>
          </w:p>
        </w:tc>
        <w:tc>
          <w:tcPr>
            <w:tcW w:w="834" w:type="pct"/>
            <w:tcBorders>
              <w:top w:val="single" w:color="auto" w:sz="4" w:space="0"/>
              <w:left w:val="single" w:color="auto" w:sz="4" w:space="0"/>
              <w:bottom w:val="single" w:color="auto" w:sz="4" w:space="0"/>
              <w:right w:val="nil"/>
            </w:tcBorders>
            <w:shd w:val="clear" w:color="auto" w:fill="auto"/>
            <w:vAlign w:val="center"/>
          </w:tcPr>
          <w:p w14:paraId="34949436">
            <w:pPr>
              <w:spacing w:line="240" w:lineRule="auto"/>
              <w:ind w:firstLine="0" w:firstLineChars="0"/>
              <w:jc w:val="center"/>
              <w:rPr>
                <w:color w:val="auto"/>
                <w:szCs w:val="21"/>
              </w:rPr>
            </w:pPr>
            <w:r>
              <w:rPr>
                <w:color w:val="auto"/>
                <w:sz w:val="21"/>
                <w:szCs w:val="21"/>
                <w:lang w:bidi="ar"/>
              </w:rPr>
              <w:t>晴</w:t>
            </w:r>
          </w:p>
        </w:tc>
      </w:tr>
      <w:tr w14:paraId="111F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4" w:space="0"/>
              <w:right w:val="single" w:color="auto" w:sz="4" w:space="0"/>
            </w:tcBorders>
            <w:shd w:val="clear" w:color="auto" w:fill="auto"/>
            <w:vAlign w:val="center"/>
          </w:tcPr>
          <w:p w14:paraId="73551C35">
            <w:pPr>
              <w:widowControl/>
              <w:spacing w:line="240" w:lineRule="auto"/>
              <w:ind w:firstLine="0" w:firstLineChars="0"/>
              <w:jc w:val="center"/>
              <w:rPr>
                <w:color w:val="auto"/>
                <w:szCs w:val="21"/>
              </w:rPr>
            </w:pPr>
            <w:r>
              <w:rPr>
                <w:color w:val="auto"/>
                <w:kern w:val="0"/>
                <w:sz w:val="21"/>
                <w:szCs w:val="21"/>
                <w:lang w:bidi="ar"/>
              </w:rPr>
              <w:t>2024.06.06</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2328179D">
            <w:pPr>
              <w:spacing w:line="240" w:lineRule="auto"/>
              <w:ind w:firstLine="0" w:firstLineChars="0"/>
              <w:jc w:val="center"/>
              <w:rPr>
                <w:color w:val="auto"/>
                <w:szCs w:val="21"/>
              </w:rPr>
            </w:pPr>
            <w:r>
              <w:rPr>
                <w:color w:val="auto"/>
                <w:sz w:val="21"/>
                <w:szCs w:val="21"/>
                <w:lang w:bidi="ar"/>
              </w:rPr>
              <w:t>2.5~2.7</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541EAD56">
            <w:pPr>
              <w:spacing w:line="240" w:lineRule="auto"/>
              <w:ind w:firstLine="0" w:firstLineChars="0"/>
              <w:jc w:val="center"/>
              <w:rPr>
                <w:color w:val="auto"/>
                <w:szCs w:val="21"/>
              </w:rPr>
            </w:pPr>
            <w:r>
              <w:rPr>
                <w:color w:val="auto"/>
                <w:sz w:val="21"/>
                <w:szCs w:val="21"/>
                <w:lang w:bidi="ar"/>
              </w:rPr>
              <w:t>南风</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14:paraId="37ECAB23">
            <w:pPr>
              <w:spacing w:line="240" w:lineRule="auto"/>
              <w:ind w:firstLine="0" w:firstLineChars="0"/>
              <w:jc w:val="center"/>
              <w:rPr>
                <w:color w:val="auto"/>
                <w:szCs w:val="21"/>
              </w:rPr>
            </w:pPr>
            <w:r>
              <w:rPr>
                <w:color w:val="auto"/>
                <w:sz w:val="21"/>
                <w:szCs w:val="21"/>
                <w:lang w:bidi="ar"/>
              </w:rPr>
              <w:t>100.5~101.5</w:t>
            </w:r>
          </w:p>
        </w:tc>
        <w:tc>
          <w:tcPr>
            <w:tcW w:w="834" w:type="pct"/>
            <w:tcBorders>
              <w:top w:val="single" w:color="auto" w:sz="4" w:space="0"/>
              <w:left w:val="single" w:color="auto" w:sz="4" w:space="0"/>
              <w:bottom w:val="single" w:color="auto" w:sz="4" w:space="0"/>
              <w:right w:val="single" w:color="auto" w:sz="4" w:space="0"/>
            </w:tcBorders>
            <w:shd w:val="clear" w:color="auto" w:fill="auto"/>
            <w:vAlign w:val="center"/>
          </w:tcPr>
          <w:p w14:paraId="0D6E30F7">
            <w:pPr>
              <w:spacing w:line="240" w:lineRule="auto"/>
              <w:ind w:firstLine="0" w:firstLineChars="0"/>
              <w:jc w:val="center"/>
              <w:rPr>
                <w:color w:val="auto"/>
                <w:szCs w:val="21"/>
              </w:rPr>
            </w:pPr>
            <w:r>
              <w:rPr>
                <w:color w:val="auto"/>
                <w:sz w:val="21"/>
                <w:szCs w:val="21"/>
                <w:lang w:bidi="ar"/>
              </w:rPr>
              <w:t>18.9~29.7</w:t>
            </w:r>
          </w:p>
        </w:tc>
        <w:tc>
          <w:tcPr>
            <w:tcW w:w="834" w:type="pct"/>
            <w:tcBorders>
              <w:top w:val="single" w:color="auto" w:sz="4" w:space="0"/>
              <w:left w:val="single" w:color="auto" w:sz="4" w:space="0"/>
              <w:bottom w:val="single" w:color="auto" w:sz="4" w:space="0"/>
              <w:right w:val="nil"/>
            </w:tcBorders>
            <w:shd w:val="clear" w:color="auto" w:fill="auto"/>
            <w:vAlign w:val="center"/>
          </w:tcPr>
          <w:p w14:paraId="57591FA3">
            <w:pPr>
              <w:spacing w:line="240" w:lineRule="auto"/>
              <w:ind w:firstLine="0" w:firstLineChars="0"/>
              <w:jc w:val="center"/>
              <w:rPr>
                <w:color w:val="auto"/>
                <w:szCs w:val="21"/>
              </w:rPr>
            </w:pPr>
            <w:r>
              <w:rPr>
                <w:color w:val="auto"/>
                <w:sz w:val="21"/>
                <w:szCs w:val="21"/>
                <w:lang w:bidi="ar"/>
              </w:rPr>
              <w:t>晴</w:t>
            </w:r>
          </w:p>
        </w:tc>
      </w:tr>
      <w:tr w14:paraId="05F7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2" w:type="pct"/>
            <w:tcBorders>
              <w:top w:val="single" w:color="auto" w:sz="4" w:space="0"/>
              <w:left w:val="nil"/>
              <w:bottom w:val="single" w:color="auto" w:sz="12" w:space="0"/>
              <w:right w:val="single" w:color="auto" w:sz="4" w:space="0"/>
            </w:tcBorders>
            <w:shd w:val="clear" w:color="auto" w:fill="auto"/>
            <w:vAlign w:val="center"/>
          </w:tcPr>
          <w:p w14:paraId="0489AF89">
            <w:pPr>
              <w:widowControl/>
              <w:spacing w:line="240" w:lineRule="auto"/>
              <w:ind w:firstLine="0" w:firstLineChars="0"/>
              <w:jc w:val="center"/>
              <w:rPr>
                <w:color w:val="auto"/>
                <w:szCs w:val="21"/>
              </w:rPr>
            </w:pPr>
            <w:r>
              <w:rPr>
                <w:color w:val="auto"/>
                <w:kern w:val="0"/>
                <w:sz w:val="21"/>
                <w:szCs w:val="21"/>
                <w:lang w:bidi="ar"/>
              </w:rPr>
              <w:t>2024.06.07</w:t>
            </w:r>
          </w:p>
        </w:tc>
        <w:tc>
          <w:tcPr>
            <w:tcW w:w="832" w:type="pct"/>
            <w:tcBorders>
              <w:top w:val="single" w:color="auto" w:sz="4" w:space="0"/>
              <w:left w:val="single" w:color="auto" w:sz="4" w:space="0"/>
              <w:bottom w:val="single" w:color="auto" w:sz="12" w:space="0"/>
              <w:right w:val="single" w:color="auto" w:sz="4" w:space="0"/>
            </w:tcBorders>
            <w:shd w:val="clear" w:color="auto" w:fill="auto"/>
            <w:vAlign w:val="center"/>
          </w:tcPr>
          <w:p w14:paraId="311FC328">
            <w:pPr>
              <w:spacing w:line="240" w:lineRule="auto"/>
              <w:ind w:firstLine="0" w:firstLineChars="0"/>
              <w:jc w:val="center"/>
              <w:rPr>
                <w:color w:val="auto"/>
                <w:szCs w:val="21"/>
              </w:rPr>
            </w:pPr>
            <w:r>
              <w:rPr>
                <w:color w:val="auto"/>
                <w:sz w:val="21"/>
                <w:szCs w:val="21"/>
                <w:lang w:bidi="ar"/>
              </w:rPr>
              <w:t>1.9~2.3</w:t>
            </w:r>
          </w:p>
        </w:tc>
        <w:tc>
          <w:tcPr>
            <w:tcW w:w="832" w:type="pct"/>
            <w:tcBorders>
              <w:top w:val="single" w:color="auto" w:sz="4" w:space="0"/>
              <w:left w:val="single" w:color="auto" w:sz="4" w:space="0"/>
              <w:bottom w:val="single" w:color="auto" w:sz="12" w:space="0"/>
              <w:right w:val="single" w:color="auto" w:sz="4" w:space="0"/>
            </w:tcBorders>
            <w:shd w:val="clear" w:color="auto" w:fill="auto"/>
            <w:vAlign w:val="center"/>
          </w:tcPr>
          <w:p w14:paraId="2A8EABB3">
            <w:pPr>
              <w:spacing w:line="240" w:lineRule="auto"/>
              <w:ind w:firstLine="0" w:firstLineChars="0"/>
              <w:jc w:val="center"/>
              <w:rPr>
                <w:color w:val="auto"/>
                <w:szCs w:val="21"/>
              </w:rPr>
            </w:pPr>
            <w:r>
              <w:rPr>
                <w:color w:val="auto"/>
                <w:sz w:val="21"/>
                <w:szCs w:val="21"/>
                <w:lang w:bidi="ar"/>
              </w:rPr>
              <w:t>南风</w:t>
            </w:r>
          </w:p>
        </w:tc>
        <w:tc>
          <w:tcPr>
            <w:tcW w:w="832" w:type="pct"/>
            <w:tcBorders>
              <w:top w:val="single" w:color="auto" w:sz="4" w:space="0"/>
              <w:left w:val="single" w:color="auto" w:sz="4" w:space="0"/>
              <w:bottom w:val="single" w:color="auto" w:sz="12" w:space="0"/>
              <w:right w:val="single" w:color="auto" w:sz="4" w:space="0"/>
            </w:tcBorders>
            <w:shd w:val="clear" w:color="auto" w:fill="auto"/>
            <w:vAlign w:val="center"/>
          </w:tcPr>
          <w:p w14:paraId="3E5DC785">
            <w:pPr>
              <w:spacing w:line="240" w:lineRule="auto"/>
              <w:ind w:firstLine="0" w:firstLineChars="0"/>
              <w:jc w:val="center"/>
              <w:rPr>
                <w:color w:val="auto"/>
                <w:szCs w:val="21"/>
              </w:rPr>
            </w:pPr>
            <w:r>
              <w:rPr>
                <w:color w:val="auto"/>
                <w:sz w:val="21"/>
                <w:szCs w:val="21"/>
                <w:lang w:bidi="ar"/>
              </w:rPr>
              <w:t>100.6~101.4</w:t>
            </w:r>
          </w:p>
        </w:tc>
        <w:tc>
          <w:tcPr>
            <w:tcW w:w="834" w:type="pct"/>
            <w:tcBorders>
              <w:top w:val="single" w:color="auto" w:sz="4" w:space="0"/>
              <w:left w:val="single" w:color="auto" w:sz="4" w:space="0"/>
              <w:bottom w:val="single" w:color="auto" w:sz="12" w:space="0"/>
              <w:right w:val="single" w:color="auto" w:sz="4" w:space="0"/>
            </w:tcBorders>
            <w:shd w:val="clear" w:color="auto" w:fill="auto"/>
            <w:vAlign w:val="center"/>
          </w:tcPr>
          <w:p w14:paraId="2EBC1CD3">
            <w:pPr>
              <w:spacing w:line="240" w:lineRule="auto"/>
              <w:ind w:firstLine="0" w:firstLineChars="0"/>
              <w:jc w:val="center"/>
              <w:rPr>
                <w:color w:val="auto"/>
                <w:szCs w:val="21"/>
              </w:rPr>
            </w:pPr>
            <w:r>
              <w:rPr>
                <w:color w:val="auto"/>
                <w:sz w:val="21"/>
                <w:szCs w:val="21"/>
                <w:lang w:bidi="ar"/>
              </w:rPr>
              <w:t>18.0~28.9</w:t>
            </w:r>
          </w:p>
        </w:tc>
        <w:tc>
          <w:tcPr>
            <w:tcW w:w="834" w:type="pct"/>
            <w:tcBorders>
              <w:top w:val="single" w:color="auto" w:sz="4" w:space="0"/>
              <w:left w:val="single" w:color="auto" w:sz="4" w:space="0"/>
              <w:bottom w:val="single" w:color="auto" w:sz="12" w:space="0"/>
              <w:right w:val="nil"/>
            </w:tcBorders>
            <w:shd w:val="clear" w:color="auto" w:fill="auto"/>
            <w:vAlign w:val="center"/>
          </w:tcPr>
          <w:p w14:paraId="01AA8686">
            <w:pPr>
              <w:spacing w:line="240" w:lineRule="auto"/>
              <w:ind w:firstLine="0" w:firstLineChars="0"/>
              <w:jc w:val="center"/>
              <w:rPr>
                <w:color w:val="auto"/>
                <w:szCs w:val="21"/>
              </w:rPr>
            </w:pPr>
            <w:r>
              <w:rPr>
                <w:color w:val="auto"/>
                <w:sz w:val="21"/>
                <w:szCs w:val="21"/>
                <w:lang w:bidi="ar"/>
              </w:rPr>
              <w:t>晴</w:t>
            </w:r>
          </w:p>
        </w:tc>
      </w:tr>
    </w:tbl>
    <w:p w14:paraId="023D458B">
      <w:pPr>
        <w:ind w:firstLine="482"/>
        <w:rPr>
          <w:b/>
          <w:color w:val="auto"/>
        </w:rPr>
      </w:pPr>
      <w:r>
        <w:rPr>
          <w:rFonts w:hint="eastAsia"/>
          <w:b/>
          <w:color w:val="auto"/>
        </w:rPr>
        <w:t>3</w:t>
      </w:r>
      <w:r>
        <w:rPr>
          <w:b/>
          <w:color w:val="auto"/>
        </w:rPr>
        <w:t>、监测结果分析</w:t>
      </w:r>
    </w:p>
    <w:p w14:paraId="03A1A7F4">
      <w:pPr>
        <w:ind w:firstLine="480"/>
        <w:rPr>
          <w:bCs/>
          <w:color w:val="auto"/>
        </w:rPr>
      </w:pPr>
      <w:r>
        <w:rPr>
          <w:bCs/>
          <w:color w:val="auto"/>
        </w:rPr>
        <w:t>（1）评价方法</w:t>
      </w:r>
    </w:p>
    <w:p w14:paraId="6BB4E448">
      <w:pPr>
        <w:ind w:firstLine="480"/>
        <w:rPr>
          <w:color w:val="auto"/>
        </w:rPr>
      </w:pPr>
      <w:r>
        <w:rPr>
          <w:color w:val="auto"/>
        </w:rPr>
        <w:t>本次评价采用《环境影响评价技术导则 大气环境》（HJ2.2-2018）中推荐的标准指数法。其计算公式如下：</w:t>
      </w:r>
    </w:p>
    <w:p w14:paraId="15A68145">
      <w:pPr>
        <w:ind w:firstLine="0" w:firstLineChars="0"/>
        <w:jc w:val="center"/>
        <w:rPr>
          <w:color w:val="auto"/>
        </w:rPr>
      </w:pPr>
      <w:r>
        <w:rPr>
          <w:color w:val="auto"/>
        </w:rPr>
        <w:drawing>
          <wp:inline distT="0" distB="0" distL="114300" distR="114300">
            <wp:extent cx="1033780" cy="407670"/>
            <wp:effectExtent l="0" t="0" r="0" b="0"/>
            <wp:docPr id="1" name="图片 11"/>
            <wp:cNvGraphicFramePr/>
            <a:graphic xmlns:a="http://schemas.openxmlformats.org/drawingml/2006/main">
              <a:graphicData uri="http://schemas.openxmlformats.org/drawingml/2006/picture">
                <pic:pic xmlns:pic="http://schemas.openxmlformats.org/drawingml/2006/picture">
                  <pic:nvPicPr>
                    <pic:cNvPr id="1" name="图片 11"/>
                    <pic:cNvPicPr/>
                  </pic:nvPicPr>
                  <pic:blipFill>
                    <a:blip r:embed="rId29"/>
                    <a:stretch>
                      <a:fillRect/>
                    </a:stretch>
                  </pic:blipFill>
                  <pic:spPr>
                    <a:xfrm>
                      <a:off x="0" y="0"/>
                      <a:ext cx="1043989" cy="411914"/>
                    </a:xfrm>
                    <a:prstGeom prst="rect">
                      <a:avLst/>
                    </a:prstGeom>
                    <a:noFill/>
                    <a:ln>
                      <a:noFill/>
                    </a:ln>
                  </pic:spPr>
                </pic:pic>
              </a:graphicData>
            </a:graphic>
          </wp:inline>
        </w:drawing>
      </w:r>
    </w:p>
    <w:p w14:paraId="2FB9FB53">
      <w:pPr>
        <w:ind w:firstLine="480"/>
        <w:rPr>
          <w:color w:val="auto"/>
        </w:rPr>
      </w:pPr>
      <w:r>
        <w:rPr>
          <w:color w:val="auto"/>
        </w:rPr>
        <w:t>式中：P</w:t>
      </w:r>
      <w:r>
        <w:rPr>
          <w:color w:val="auto"/>
          <w:vertAlign w:val="subscript"/>
        </w:rPr>
        <w:t>i</w:t>
      </w:r>
      <w:r>
        <w:rPr>
          <w:color w:val="auto"/>
        </w:rPr>
        <w:t>—第i个污染物的最大地面空气质量浓度占标率，%；</w:t>
      </w:r>
    </w:p>
    <w:p w14:paraId="0CEB6F08">
      <w:pPr>
        <w:ind w:firstLine="1200" w:firstLineChars="500"/>
        <w:rPr>
          <w:color w:val="auto"/>
        </w:rPr>
      </w:pPr>
      <w:r>
        <w:rPr>
          <w:color w:val="auto"/>
        </w:rPr>
        <w:t>C</w:t>
      </w:r>
      <w:r>
        <w:rPr>
          <w:color w:val="auto"/>
          <w:vertAlign w:val="subscript"/>
        </w:rPr>
        <w:t>i</w:t>
      </w:r>
      <w:r>
        <w:rPr>
          <w:color w:val="auto"/>
        </w:rPr>
        <w:t>—采用估算模型计算的第i个污染物最大1h地面空气质量浓度，μg/m</w:t>
      </w:r>
      <w:r>
        <w:rPr>
          <w:color w:val="auto"/>
          <w:vertAlign w:val="superscript"/>
        </w:rPr>
        <w:t>3</w:t>
      </w:r>
      <w:r>
        <w:rPr>
          <w:color w:val="auto"/>
        </w:rPr>
        <w:t>；</w:t>
      </w:r>
    </w:p>
    <w:p w14:paraId="3F0F2B25">
      <w:pPr>
        <w:ind w:firstLine="1200" w:firstLineChars="500"/>
        <w:rPr>
          <w:color w:val="auto"/>
        </w:rPr>
      </w:pPr>
      <w:r>
        <w:rPr>
          <w:color w:val="auto"/>
        </w:rPr>
        <w:t>C</w:t>
      </w:r>
      <w:r>
        <w:rPr>
          <w:color w:val="auto"/>
          <w:vertAlign w:val="subscript"/>
        </w:rPr>
        <w:t>0i</w:t>
      </w:r>
      <w:r>
        <w:rPr>
          <w:color w:val="auto"/>
        </w:rPr>
        <w:t>—第i个污染物的环境空气质量标准，μg/m</w:t>
      </w:r>
      <w:r>
        <w:rPr>
          <w:color w:val="auto"/>
          <w:vertAlign w:val="superscript"/>
        </w:rPr>
        <w:t>3</w:t>
      </w:r>
      <w:r>
        <w:rPr>
          <w:color w:val="auto"/>
        </w:rPr>
        <w:t>。</w:t>
      </w:r>
    </w:p>
    <w:p w14:paraId="43F70ED8">
      <w:pPr>
        <w:ind w:firstLine="480"/>
        <w:rPr>
          <w:color w:val="auto"/>
        </w:rPr>
      </w:pPr>
      <w:r>
        <w:rPr>
          <w:color w:val="auto"/>
        </w:rPr>
        <w:t>（2）评价结果</w:t>
      </w:r>
    </w:p>
    <w:p w14:paraId="78015D97">
      <w:pPr>
        <w:ind w:firstLine="480"/>
        <w:rPr>
          <w:color w:val="auto"/>
        </w:rPr>
      </w:pPr>
      <w:r>
        <w:rPr>
          <w:color w:val="auto"/>
        </w:rPr>
        <w:t>监测结果见表</w:t>
      </w:r>
      <w:r>
        <w:rPr>
          <w:rFonts w:hint="eastAsia"/>
          <w:color w:val="auto"/>
        </w:rPr>
        <w:t>5.2.1</w:t>
      </w:r>
      <w:r>
        <w:rPr>
          <w:color w:val="auto"/>
        </w:rPr>
        <w:t>-</w:t>
      </w:r>
      <w:r>
        <w:rPr>
          <w:rFonts w:hint="eastAsia"/>
          <w:color w:val="auto"/>
        </w:rPr>
        <w:t>4</w:t>
      </w:r>
      <w:r>
        <w:rPr>
          <w:color w:val="auto"/>
        </w:rPr>
        <w:t>。</w:t>
      </w:r>
    </w:p>
    <w:p w14:paraId="677063FD">
      <w:pPr>
        <w:spacing w:line="240" w:lineRule="auto"/>
        <w:ind w:firstLine="0" w:firstLineChars="0"/>
        <w:jc w:val="center"/>
        <w:rPr>
          <w:b/>
          <w:color w:val="auto"/>
          <w:szCs w:val="28"/>
        </w:rPr>
      </w:pPr>
      <w:r>
        <w:rPr>
          <w:b/>
          <w:color w:val="auto"/>
          <w:szCs w:val="28"/>
        </w:rPr>
        <w:t>表</w:t>
      </w:r>
      <w:r>
        <w:rPr>
          <w:rFonts w:hint="eastAsia"/>
          <w:b/>
          <w:color w:val="auto"/>
          <w:szCs w:val="28"/>
        </w:rPr>
        <w:t>5.2.1-4</w:t>
      </w:r>
      <w:r>
        <w:rPr>
          <w:b/>
          <w:color w:val="auto"/>
          <w:szCs w:val="28"/>
        </w:rPr>
        <w:t xml:space="preserve">  监测结果一览表</w:t>
      </w:r>
    </w:p>
    <w:tbl>
      <w:tblPr>
        <w:tblStyle w:val="8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188"/>
        <w:gridCol w:w="1049"/>
        <w:gridCol w:w="1437"/>
        <w:gridCol w:w="1632"/>
        <w:gridCol w:w="903"/>
        <w:gridCol w:w="843"/>
        <w:gridCol w:w="844"/>
      </w:tblGrid>
      <w:tr w14:paraId="3B5A6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45" w:type="pct"/>
            <w:tcBorders>
              <w:tl2br w:val="nil"/>
              <w:tr2bl w:val="nil"/>
            </w:tcBorders>
            <w:shd w:val="clear" w:color="auto" w:fill="auto"/>
            <w:vAlign w:val="center"/>
          </w:tcPr>
          <w:p w14:paraId="5DB8BDBF">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监测点位</w:t>
            </w:r>
          </w:p>
        </w:tc>
        <w:tc>
          <w:tcPr>
            <w:tcW w:w="640" w:type="pct"/>
            <w:tcBorders>
              <w:tl2br w:val="nil"/>
              <w:tr2bl w:val="nil"/>
            </w:tcBorders>
            <w:shd w:val="clear" w:color="auto" w:fill="auto"/>
            <w:vAlign w:val="center"/>
          </w:tcPr>
          <w:p w14:paraId="13542440">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污染物</w:t>
            </w:r>
          </w:p>
        </w:tc>
        <w:tc>
          <w:tcPr>
            <w:tcW w:w="565" w:type="pct"/>
            <w:tcBorders>
              <w:tl2br w:val="nil"/>
              <w:tr2bl w:val="nil"/>
            </w:tcBorders>
            <w:shd w:val="clear" w:color="auto" w:fill="auto"/>
            <w:vAlign w:val="center"/>
          </w:tcPr>
          <w:p w14:paraId="1DFF7941">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平均时间</w:t>
            </w:r>
          </w:p>
        </w:tc>
        <w:tc>
          <w:tcPr>
            <w:tcW w:w="774" w:type="pct"/>
            <w:tcBorders>
              <w:tl2br w:val="nil"/>
              <w:tr2bl w:val="nil"/>
            </w:tcBorders>
            <w:shd w:val="clear" w:color="auto" w:fill="auto"/>
            <w:vAlign w:val="center"/>
          </w:tcPr>
          <w:p w14:paraId="6CDB6975">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标准值（mg/m</w:t>
            </w:r>
            <w:r>
              <w:rPr>
                <w:b/>
                <w:bCs/>
                <w:color w:val="auto"/>
                <w:spacing w:val="-6"/>
                <w:kern w:val="0"/>
                <w:sz w:val="21"/>
                <w:szCs w:val="21"/>
                <w:vertAlign w:val="superscript"/>
                <w:lang w:bidi="ar"/>
              </w:rPr>
              <w:t>3</w:t>
            </w:r>
            <w:r>
              <w:rPr>
                <w:b/>
                <w:bCs/>
                <w:color w:val="auto"/>
                <w:spacing w:val="-6"/>
                <w:kern w:val="0"/>
                <w:sz w:val="21"/>
                <w:szCs w:val="21"/>
                <w:lang w:bidi="ar"/>
              </w:rPr>
              <w:t>）</w:t>
            </w:r>
          </w:p>
        </w:tc>
        <w:tc>
          <w:tcPr>
            <w:tcW w:w="879" w:type="pct"/>
            <w:tcBorders>
              <w:tl2br w:val="nil"/>
              <w:tr2bl w:val="nil"/>
            </w:tcBorders>
            <w:shd w:val="clear" w:color="auto" w:fill="auto"/>
            <w:vAlign w:val="center"/>
          </w:tcPr>
          <w:p w14:paraId="3869AC35">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现状浓度（mg/m</w:t>
            </w:r>
            <w:r>
              <w:rPr>
                <w:b/>
                <w:bCs/>
                <w:color w:val="auto"/>
                <w:spacing w:val="-6"/>
                <w:kern w:val="0"/>
                <w:sz w:val="21"/>
                <w:szCs w:val="21"/>
                <w:vertAlign w:val="superscript"/>
                <w:lang w:bidi="ar"/>
              </w:rPr>
              <w:t>3</w:t>
            </w:r>
            <w:r>
              <w:rPr>
                <w:b/>
                <w:bCs/>
                <w:color w:val="auto"/>
                <w:spacing w:val="-6"/>
                <w:kern w:val="0"/>
                <w:sz w:val="21"/>
                <w:szCs w:val="21"/>
                <w:lang w:bidi="ar"/>
              </w:rPr>
              <w:t>）</w:t>
            </w:r>
          </w:p>
        </w:tc>
        <w:tc>
          <w:tcPr>
            <w:tcW w:w="486" w:type="pct"/>
            <w:tcBorders>
              <w:tl2br w:val="nil"/>
              <w:tr2bl w:val="nil"/>
            </w:tcBorders>
            <w:shd w:val="clear" w:color="auto" w:fill="auto"/>
            <w:vAlign w:val="center"/>
          </w:tcPr>
          <w:p w14:paraId="49004D16">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最大占标率（%）</w:t>
            </w:r>
          </w:p>
        </w:tc>
        <w:tc>
          <w:tcPr>
            <w:tcW w:w="454" w:type="pct"/>
            <w:tcBorders>
              <w:tl2br w:val="nil"/>
              <w:tr2bl w:val="nil"/>
            </w:tcBorders>
            <w:shd w:val="clear" w:color="auto" w:fill="auto"/>
            <w:vAlign w:val="center"/>
          </w:tcPr>
          <w:p w14:paraId="2B9A2B0C">
            <w:pPr>
              <w:spacing w:line="240" w:lineRule="auto"/>
              <w:ind w:firstLine="0" w:firstLineChars="0"/>
              <w:jc w:val="center"/>
              <w:rPr>
                <w:b/>
                <w:bCs/>
                <w:color w:val="auto"/>
                <w:spacing w:val="-6"/>
                <w:kern w:val="0"/>
                <w:sz w:val="21"/>
                <w:szCs w:val="21"/>
                <w:lang w:bidi="ar"/>
              </w:rPr>
            </w:pPr>
            <w:r>
              <w:rPr>
                <w:b/>
                <w:bCs/>
                <w:color w:val="auto"/>
                <w:spacing w:val="-6"/>
                <w:kern w:val="0"/>
                <w:sz w:val="21"/>
                <w:szCs w:val="21"/>
                <w:lang w:bidi="ar"/>
              </w:rPr>
              <w:t>超标率%</w:t>
            </w:r>
          </w:p>
        </w:tc>
        <w:tc>
          <w:tcPr>
            <w:tcW w:w="454" w:type="pct"/>
            <w:tcBorders>
              <w:tl2br w:val="nil"/>
              <w:tr2bl w:val="nil"/>
            </w:tcBorders>
            <w:shd w:val="clear" w:color="auto" w:fill="auto"/>
            <w:vAlign w:val="center"/>
          </w:tcPr>
          <w:p w14:paraId="54722DF8">
            <w:pPr>
              <w:spacing w:line="240" w:lineRule="auto"/>
              <w:ind w:firstLine="0" w:firstLineChars="0"/>
              <w:jc w:val="center"/>
              <w:rPr>
                <w:b/>
                <w:bCs/>
                <w:color w:val="auto"/>
                <w:spacing w:val="-6"/>
                <w:kern w:val="0"/>
                <w:sz w:val="21"/>
                <w:szCs w:val="21"/>
              </w:rPr>
            </w:pPr>
            <w:r>
              <w:rPr>
                <w:b/>
                <w:bCs/>
                <w:color w:val="auto"/>
                <w:spacing w:val="-6"/>
                <w:kern w:val="0"/>
                <w:sz w:val="21"/>
                <w:szCs w:val="21"/>
                <w:lang w:bidi="ar"/>
              </w:rPr>
              <w:t>达标情况</w:t>
            </w:r>
          </w:p>
        </w:tc>
      </w:tr>
      <w:tr w14:paraId="0A4B4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45" w:type="pct"/>
            <w:tcBorders>
              <w:tl2br w:val="nil"/>
              <w:tr2bl w:val="nil"/>
            </w:tcBorders>
            <w:shd w:val="clear" w:color="auto" w:fill="auto"/>
            <w:vAlign w:val="center"/>
          </w:tcPr>
          <w:p w14:paraId="176C4ED0">
            <w:pPr>
              <w:pStyle w:val="1311"/>
              <w:spacing w:before="0" w:after="0"/>
              <w:ind w:firstLine="0" w:firstLineChars="0"/>
              <w:rPr>
                <w:rFonts w:cs="Times New Roman"/>
                <w:color w:val="auto"/>
                <w:spacing w:val="-6"/>
                <w:kern w:val="0"/>
                <w:szCs w:val="21"/>
              </w:rPr>
            </w:pPr>
            <w:r>
              <w:rPr>
                <w:rFonts w:cs="Times New Roman"/>
                <w:color w:val="auto"/>
              </w:rPr>
              <w:t>江苏豪森药业集团有限公司（G1）</w:t>
            </w:r>
          </w:p>
        </w:tc>
        <w:tc>
          <w:tcPr>
            <w:tcW w:w="640" w:type="pct"/>
            <w:tcBorders>
              <w:tl2br w:val="nil"/>
              <w:tr2bl w:val="nil"/>
            </w:tcBorders>
            <w:shd w:val="clear" w:color="auto" w:fill="auto"/>
            <w:vAlign w:val="center"/>
          </w:tcPr>
          <w:p w14:paraId="31184EBD">
            <w:pPr>
              <w:spacing w:line="240" w:lineRule="auto"/>
              <w:ind w:firstLine="0" w:firstLineChars="0"/>
              <w:jc w:val="center"/>
              <w:rPr>
                <w:color w:val="auto"/>
                <w:spacing w:val="-6"/>
                <w:kern w:val="0"/>
                <w:sz w:val="21"/>
                <w:szCs w:val="21"/>
              </w:rPr>
            </w:pPr>
            <w:r>
              <w:rPr>
                <w:color w:val="auto"/>
                <w:spacing w:val="-6"/>
                <w:kern w:val="0"/>
                <w:sz w:val="21"/>
                <w:szCs w:val="21"/>
              </w:rPr>
              <w:t>氨</w:t>
            </w:r>
          </w:p>
        </w:tc>
        <w:tc>
          <w:tcPr>
            <w:tcW w:w="565" w:type="pct"/>
            <w:tcBorders>
              <w:tl2br w:val="nil"/>
              <w:tr2bl w:val="nil"/>
            </w:tcBorders>
            <w:shd w:val="clear" w:color="auto" w:fill="auto"/>
            <w:vAlign w:val="center"/>
          </w:tcPr>
          <w:p w14:paraId="0C9185F3">
            <w:pPr>
              <w:spacing w:line="240" w:lineRule="auto"/>
              <w:ind w:firstLine="0" w:firstLineChars="0"/>
              <w:jc w:val="center"/>
              <w:rPr>
                <w:color w:val="auto"/>
                <w:spacing w:val="-6"/>
                <w:kern w:val="0"/>
                <w:sz w:val="21"/>
                <w:szCs w:val="21"/>
              </w:rPr>
            </w:pPr>
            <w:r>
              <w:rPr>
                <w:color w:val="auto"/>
                <w:spacing w:val="-6"/>
                <w:kern w:val="0"/>
                <w:sz w:val="21"/>
                <w:szCs w:val="21"/>
                <w:lang w:bidi="ar"/>
              </w:rPr>
              <w:t>小时值</w:t>
            </w:r>
          </w:p>
        </w:tc>
        <w:tc>
          <w:tcPr>
            <w:tcW w:w="774" w:type="pct"/>
            <w:tcBorders>
              <w:tl2br w:val="nil"/>
              <w:tr2bl w:val="nil"/>
            </w:tcBorders>
            <w:shd w:val="clear" w:color="auto" w:fill="auto"/>
            <w:vAlign w:val="center"/>
          </w:tcPr>
          <w:p w14:paraId="45CC7439">
            <w:pPr>
              <w:spacing w:line="240" w:lineRule="auto"/>
              <w:ind w:firstLine="0" w:firstLineChars="0"/>
              <w:jc w:val="center"/>
              <w:rPr>
                <w:color w:val="auto"/>
                <w:spacing w:val="-6"/>
                <w:kern w:val="0"/>
                <w:sz w:val="21"/>
                <w:szCs w:val="21"/>
              </w:rPr>
            </w:pPr>
            <w:r>
              <w:rPr>
                <w:color w:val="auto"/>
                <w:spacing w:val="-6"/>
                <w:kern w:val="0"/>
                <w:sz w:val="21"/>
                <w:szCs w:val="21"/>
              </w:rPr>
              <w:t>0.2</w:t>
            </w:r>
          </w:p>
        </w:tc>
        <w:tc>
          <w:tcPr>
            <w:tcW w:w="879" w:type="pct"/>
            <w:tcBorders>
              <w:tl2br w:val="nil"/>
              <w:tr2bl w:val="nil"/>
            </w:tcBorders>
            <w:shd w:val="clear" w:color="auto" w:fill="auto"/>
            <w:vAlign w:val="center"/>
          </w:tcPr>
          <w:p w14:paraId="4F938A58">
            <w:pPr>
              <w:spacing w:line="240" w:lineRule="auto"/>
              <w:ind w:firstLine="0" w:firstLineChars="0"/>
              <w:jc w:val="center"/>
              <w:rPr>
                <w:color w:val="auto"/>
                <w:spacing w:val="-6"/>
                <w:kern w:val="0"/>
                <w:sz w:val="21"/>
                <w:szCs w:val="21"/>
              </w:rPr>
            </w:pPr>
            <w:r>
              <w:rPr>
                <w:color w:val="auto"/>
                <w:spacing w:val="-6"/>
                <w:kern w:val="0"/>
                <w:sz w:val="21"/>
                <w:szCs w:val="21"/>
              </w:rPr>
              <w:t>0.06~0.08</w:t>
            </w:r>
          </w:p>
        </w:tc>
        <w:tc>
          <w:tcPr>
            <w:tcW w:w="486" w:type="pct"/>
            <w:tcBorders>
              <w:tl2br w:val="nil"/>
              <w:tr2bl w:val="nil"/>
            </w:tcBorders>
            <w:shd w:val="clear" w:color="auto" w:fill="auto"/>
            <w:vAlign w:val="center"/>
          </w:tcPr>
          <w:p w14:paraId="6A2F316D">
            <w:pPr>
              <w:spacing w:line="240" w:lineRule="auto"/>
              <w:ind w:firstLine="0" w:firstLineChars="0"/>
              <w:jc w:val="center"/>
              <w:rPr>
                <w:color w:val="auto"/>
                <w:spacing w:val="-6"/>
                <w:kern w:val="0"/>
                <w:sz w:val="21"/>
                <w:szCs w:val="21"/>
              </w:rPr>
            </w:pPr>
            <w:r>
              <w:rPr>
                <w:color w:val="auto"/>
                <w:spacing w:val="-6"/>
                <w:kern w:val="0"/>
                <w:sz w:val="21"/>
                <w:szCs w:val="21"/>
              </w:rPr>
              <w:t>40.0</w:t>
            </w:r>
          </w:p>
        </w:tc>
        <w:tc>
          <w:tcPr>
            <w:tcW w:w="454" w:type="pct"/>
            <w:tcBorders>
              <w:tl2br w:val="nil"/>
              <w:tr2bl w:val="nil"/>
            </w:tcBorders>
            <w:shd w:val="clear" w:color="auto" w:fill="auto"/>
            <w:vAlign w:val="center"/>
          </w:tcPr>
          <w:p w14:paraId="2F880C2C">
            <w:pPr>
              <w:spacing w:line="240" w:lineRule="auto"/>
              <w:ind w:firstLine="0" w:firstLineChars="0"/>
              <w:jc w:val="center"/>
              <w:rPr>
                <w:color w:val="auto"/>
                <w:spacing w:val="-6"/>
                <w:kern w:val="0"/>
                <w:sz w:val="21"/>
                <w:szCs w:val="21"/>
              </w:rPr>
            </w:pPr>
            <w:r>
              <w:rPr>
                <w:color w:val="auto"/>
                <w:spacing w:val="-6"/>
                <w:kern w:val="0"/>
                <w:sz w:val="21"/>
                <w:szCs w:val="21"/>
              </w:rPr>
              <w:t>0</w:t>
            </w:r>
          </w:p>
        </w:tc>
        <w:tc>
          <w:tcPr>
            <w:tcW w:w="454" w:type="pct"/>
            <w:tcBorders>
              <w:tl2br w:val="nil"/>
              <w:tr2bl w:val="nil"/>
            </w:tcBorders>
            <w:shd w:val="clear" w:color="auto" w:fill="auto"/>
            <w:vAlign w:val="center"/>
          </w:tcPr>
          <w:p w14:paraId="1147CB34">
            <w:pPr>
              <w:spacing w:line="240" w:lineRule="auto"/>
              <w:ind w:firstLine="0" w:firstLineChars="0"/>
              <w:jc w:val="center"/>
              <w:rPr>
                <w:color w:val="auto"/>
                <w:spacing w:val="-6"/>
                <w:kern w:val="0"/>
                <w:sz w:val="21"/>
                <w:szCs w:val="21"/>
              </w:rPr>
            </w:pPr>
            <w:r>
              <w:rPr>
                <w:color w:val="auto"/>
                <w:spacing w:val="-6"/>
                <w:kern w:val="0"/>
                <w:sz w:val="21"/>
                <w:szCs w:val="21"/>
                <w:lang w:bidi="ar"/>
              </w:rPr>
              <w:t>达标</w:t>
            </w:r>
          </w:p>
        </w:tc>
      </w:tr>
      <w:tr w14:paraId="37FF3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45" w:type="pct"/>
            <w:vMerge w:val="restart"/>
            <w:tcBorders>
              <w:tl2br w:val="nil"/>
              <w:tr2bl w:val="nil"/>
            </w:tcBorders>
            <w:shd w:val="clear" w:color="auto" w:fill="auto"/>
            <w:vAlign w:val="center"/>
          </w:tcPr>
          <w:p w14:paraId="05F6745F">
            <w:pPr>
              <w:pStyle w:val="1311"/>
              <w:spacing w:before="0" w:after="0"/>
              <w:ind w:firstLine="0" w:firstLineChars="0"/>
              <w:rPr>
                <w:rFonts w:cs="Times New Roman"/>
                <w:color w:val="auto"/>
                <w:spacing w:val="-6"/>
                <w:kern w:val="0"/>
                <w:szCs w:val="21"/>
              </w:rPr>
            </w:pPr>
            <w:r>
              <w:rPr>
                <w:rFonts w:cs="Times New Roman"/>
                <w:color w:val="auto"/>
              </w:rPr>
              <w:t>项目所在地（G1）</w:t>
            </w:r>
          </w:p>
        </w:tc>
        <w:tc>
          <w:tcPr>
            <w:tcW w:w="640" w:type="pct"/>
            <w:tcBorders>
              <w:tl2br w:val="nil"/>
              <w:tr2bl w:val="nil"/>
            </w:tcBorders>
            <w:shd w:val="clear" w:color="auto" w:fill="auto"/>
            <w:vAlign w:val="center"/>
          </w:tcPr>
          <w:p w14:paraId="5ADB21A0">
            <w:pPr>
              <w:spacing w:line="240" w:lineRule="auto"/>
              <w:ind w:firstLine="0" w:firstLineChars="0"/>
              <w:jc w:val="center"/>
              <w:rPr>
                <w:color w:val="auto"/>
                <w:spacing w:val="-6"/>
                <w:kern w:val="0"/>
                <w:sz w:val="21"/>
                <w:szCs w:val="21"/>
              </w:rPr>
            </w:pPr>
            <w:r>
              <w:rPr>
                <w:color w:val="auto"/>
                <w:spacing w:val="-6"/>
                <w:kern w:val="0"/>
                <w:sz w:val="21"/>
                <w:szCs w:val="21"/>
              </w:rPr>
              <w:t>TSP</w:t>
            </w:r>
          </w:p>
        </w:tc>
        <w:tc>
          <w:tcPr>
            <w:tcW w:w="565" w:type="pct"/>
            <w:tcBorders>
              <w:tl2br w:val="nil"/>
              <w:tr2bl w:val="nil"/>
            </w:tcBorders>
            <w:shd w:val="clear" w:color="auto" w:fill="auto"/>
            <w:vAlign w:val="center"/>
          </w:tcPr>
          <w:p w14:paraId="23A5CB0C">
            <w:pPr>
              <w:spacing w:line="240" w:lineRule="auto"/>
              <w:ind w:firstLine="0" w:firstLineChars="0"/>
              <w:jc w:val="center"/>
              <w:rPr>
                <w:color w:val="auto"/>
                <w:spacing w:val="-6"/>
                <w:kern w:val="0"/>
                <w:sz w:val="21"/>
                <w:szCs w:val="21"/>
              </w:rPr>
            </w:pPr>
            <w:r>
              <w:rPr>
                <w:color w:val="auto"/>
                <w:spacing w:val="-6"/>
                <w:kern w:val="0"/>
                <w:sz w:val="21"/>
                <w:szCs w:val="21"/>
                <w:lang w:bidi="ar"/>
              </w:rPr>
              <w:t>小时值</w:t>
            </w:r>
          </w:p>
        </w:tc>
        <w:tc>
          <w:tcPr>
            <w:tcW w:w="774" w:type="pct"/>
            <w:tcBorders>
              <w:tl2br w:val="nil"/>
              <w:tr2bl w:val="nil"/>
            </w:tcBorders>
            <w:shd w:val="clear" w:color="auto" w:fill="auto"/>
            <w:vAlign w:val="center"/>
          </w:tcPr>
          <w:p w14:paraId="2A6B4F9F">
            <w:pPr>
              <w:spacing w:line="240" w:lineRule="auto"/>
              <w:ind w:firstLine="0" w:firstLineChars="0"/>
              <w:jc w:val="center"/>
              <w:rPr>
                <w:color w:val="auto"/>
                <w:spacing w:val="-6"/>
                <w:kern w:val="0"/>
                <w:sz w:val="21"/>
                <w:szCs w:val="21"/>
              </w:rPr>
            </w:pPr>
            <w:r>
              <w:rPr>
                <w:color w:val="auto"/>
                <w:spacing w:val="-6"/>
                <w:kern w:val="0"/>
                <w:sz w:val="21"/>
                <w:szCs w:val="21"/>
              </w:rPr>
              <w:t>0.9</w:t>
            </w:r>
          </w:p>
        </w:tc>
        <w:tc>
          <w:tcPr>
            <w:tcW w:w="879" w:type="pct"/>
            <w:tcBorders>
              <w:tl2br w:val="nil"/>
              <w:tr2bl w:val="nil"/>
            </w:tcBorders>
            <w:shd w:val="clear" w:color="auto" w:fill="auto"/>
            <w:vAlign w:val="center"/>
          </w:tcPr>
          <w:p w14:paraId="71DA4C71">
            <w:pPr>
              <w:spacing w:line="240" w:lineRule="auto"/>
              <w:ind w:firstLine="0" w:firstLineChars="0"/>
              <w:jc w:val="center"/>
              <w:rPr>
                <w:color w:val="auto"/>
                <w:spacing w:val="-6"/>
                <w:kern w:val="0"/>
                <w:sz w:val="21"/>
                <w:szCs w:val="21"/>
              </w:rPr>
            </w:pPr>
            <w:r>
              <w:rPr>
                <w:color w:val="auto"/>
                <w:spacing w:val="-6"/>
                <w:kern w:val="0"/>
                <w:sz w:val="21"/>
                <w:szCs w:val="21"/>
              </w:rPr>
              <w:t>0.17~0.202</w:t>
            </w:r>
          </w:p>
        </w:tc>
        <w:tc>
          <w:tcPr>
            <w:tcW w:w="486" w:type="pct"/>
            <w:tcBorders>
              <w:tl2br w:val="nil"/>
              <w:tr2bl w:val="nil"/>
            </w:tcBorders>
            <w:shd w:val="clear" w:color="auto" w:fill="auto"/>
            <w:vAlign w:val="center"/>
          </w:tcPr>
          <w:p w14:paraId="5EB38867">
            <w:pPr>
              <w:spacing w:line="240" w:lineRule="auto"/>
              <w:ind w:firstLine="0" w:firstLineChars="0"/>
              <w:jc w:val="center"/>
              <w:rPr>
                <w:color w:val="auto"/>
                <w:spacing w:val="-6"/>
                <w:kern w:val="0"/>
                <w:sz w:val="21"/>
                <w:szCs w:val="21"/>
              </w:rPr>
            </w:pPr>
            <w:r>
              <w:rPr>
                <w:color w:val="auto"/>
                <w:spacing w:val="-6"/>
                <w:kern w:val="0"/>
                <w:sz w:val="21"/>
                <w:szCs w:val="21"/>
              </w:rPr>
              <w:t>22.2</w:t>
            </w:r>
          </w:p>
        </w:tc>
        <w:tc>
          <w:tcPr>
            <w:tcW w:w="454" w:type="pct"/>
            <w:tcBorders>
              <w:tl2br w:val="nil"/>
              <w:tr2bl w:val="nil"/>
            </w:tcBorders>
            <w:shd w:val="clear" w:color="auto" w:fill="auto"/>
            <w:vAlign w:val="center"/>
          </w:tcPr>
          <w:p w14:paraId="2884D347">
            <w:pPr>
              <w:spacing w:line="240" w:lineRule="auto"/>
              <w:ind w:firstLine="0" w:firstLineChars="0"/>
              <w:jc w:val="center"/>
              <w:rPr>
                <w:color w:val="auto"/>
                <w:spacing w:val="-6"/>
                <w:kern w:val="0"/>
                <w:sz w:val="21"/>
                <w:szCs w:val="21"/>
              </w:rPr>
            </w:pPr>
            <w:r>
              <w:rPr>
                <w:color w:val="auto"/>
                <w:spacing w:val="-6"/>
                <w:kern w:val="0"/>
                <w:sz w:val="21"/>
                <w:szCs w:val="21"/>
              </w:rPr>
              <w:t>0</w:t>
            </w:r>
          </w:p>
        </w:tc>
        <w:tc>
          <w:tcPr>
            <w:tcW w:w="454" w:type="pct"/>
            <w:tcBorders>
              <w:tl2br w:val="nil"/>
              <w:tr2bl w:val="nil"/>
            </w:tcBorders>
            <w:shd w:val="clear" w:color="auto" w:fill="auto"/>
            <w:vAlign w:val="center"/>
          </w:tcPr>
          <w:p w14:paraId="0AAA07F0">
            <w:pPr>
              <w:spacing w:line="240" w:lineRule="auto"/>
              <w:ind w:firstLine="0" w:firstLineChars="0"/>
              <w:jc w:val="center"/>
              <w:rPr>
                <w:color w:val="auto"/>
                <w:spacing w:val="-6"/>
                <w:kern w:val="0"/>
                <w:sz w:val="21"/>
                <w:szCs w:val="21"/>
              </w:rPr>
            </w:pPr>
            <w:r>
              <w:rPr>
                <w:color w:val="auto"/>
                <w:spacing w:val="-6"/>
                <w:kern w:val="0"/>
                <w:sz w:val="21"/>
                <w:szCs w:val="21"/>
                <w:lang w:bidi="ar"/>
              </w:rPr>
              <w:t>达标</w:t>
            </w:r>
          </w:p>
        </w:tc>
      </w:tr>
      <w:tr w14:paraId="08BD9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45" w:type="pct"/>
            <w:vMerge w:val="continue"/>
            <w:tcBorders>
              <w:tl2br w:val="nil"/>
              <w:tr2bl w:val="nil"/>
            </w:tcBorders>
            <w:shd w:val="clear" w:color="auto" w:fill="auto"/>
            <w:vAlign w:val="center"/>
          </w:tcPr>
          <w:p w14:paraId="55FC7DF2">
            <w:pPr>
              <w:spacing w:line="240" w:lineRule="auto"/>
              <w:ind w:firstLine="0" w:firstLineChars="0"/>
              <w:jc w:val="center"/>
              <w:rPr>
                <w:color w:val="auto"/>
                <w:spacing w:val="-6"/>
                <w:kern w:val="0"/>
                <w:sz w:val="21"/>
                <w:szCs w:val="21"/>
              </w:rPr>
            </w:pPr>
          </w:p>
        </w:tc>
        <w:tc>
          <w:tcPr>
            <w:tcW w:w="640" w:type="pct"/>
            <w:tcBorders>
              <w:tl2br w:val="nil"/>
              <w:tr2bl w:val="nil"/>
            </w:tcBorders>
            <w:shd w:val="clear" w:color="auto" w:fill="auto"/>
            <w:vAlign w:val="center"/>
          </w:tcPr>
          <w:p w14:paraId="5278851B">
            <w:pPr>
              <w:spacing w:line="240" w:lineRule="auto"/>
              <w:ind w:firstLine="0" w:firstLineChars="0"/>
              <w:jc w:val="center"/>
              <w:rPr>
                <w:color w:val="auto"/>
                <w:spacing w:val="-6"/>
                <w:kern w:val="0"/>
                <w:sz w:val="21"/>
                <w:szCs w:val="21"/>
                <w:lang w:bidi="ar"/>
              </w:rPr>
            </w:pPr>
            <w:r>
              <w:rPr>
                <w:color w:val="auto"/>
                <w:spacing w:val="-6"/>
                <w:kern w:val="0"/>
                <w:sz w:val="21"/>
                <w:szCs w:val="21"/>
                <w:lang w:bidi="ar"/>
              </w:rPr>
              <w:t>硫酸雾</w:t>
            </w:r>
          </w:p>
        </w:tc>
        <w:tc>
          <w:tcPr>
            <w:tcW w:w="565" w:type="pct"/>
            <w:tcBorders>
              <w:tl2br w:val="nil"/>
              <w:tr2bl w:val="nil"/>
            </w:tcBorders>
            <w:shd w:val="clear" w:color="auto" w:fill="auto"/>
            <w:vAlign w:val="center"/>
          </w:tcPr>
          <w:p w14:paraId="74972EA1">
            <w:pPr>
              <w:spacing w:line="240" w:lineRule="auto"/>
              <w:ind w:firstLine="0" w:firstLineChars="0"/>
              <w:jc w:val="center"/>
              <w:rPr>
                <w:color w:val="auto"/>
                <w:spacing w:val="-6"/>
                <w:kern w:val="0"/>
                <w:sz w:val="21"/>
                <w:szCs w:val="21"/>
              </w:rPr>
            </w:pPr>
            <w:r>
              <w:rPr>
                <w:color w:val="auto"/>
                <w:spacing w:val="-6"/>
                <w:kern w:val="0"/>
                <w:sz w:val="21"/>
                <w:szCs w:val="21"/>
                <w:lang w:bidi="ar"/>
              </w:rPr>
              <w:t>小时值</w:t>
            </w:r>
          </w:p>
        </w:tc>
        <w:tc>
          <w:tcPr>
            <w:tcW w:w="774" w:type="pct"/>
            <w:tcBorders>
              <w:tl2br w:val="nil"/>
              <w:tr2bl w:val="nil"/>
            </w:tcBorders>
            <w:shd w:val="clear" w:color="auto" w:fill="auto"/>
            <w:vAlign w:val="center"/>
          </w:tcPr>
          <w:p w14:paraId="66E4BDD0">
            <w:pPr>
              <w:spacing w:line="240" w:lineRule="auto"/>
              <w:ind w:firstLine="0" w:firstLineChars="0"/>
              <w:jc w:val="center"/>
              <w:rPr>
                <w:color w:val="auto"/>
                <w:spacing w:val="-6"/>
                <w:kern w:val="0"/>
                <w:sz w:val="21"/>
                <w:szCs w:val="21"/>
              </w:rPr>
            </w:pPr>
            <w:r>
              <w:rPr>
                <w:color w:val="auto"/>
                <w:spacing w:val="-6"/>
                <w:kern w:val="0"/>
                <w:sz w:val="21"/>
                <w:szCs w:val="21"/>
              </w:rPr>
              <w:t>0.3</w:t>
            </w:r>
          </w:p>
        </w:tc>
        <w:tc>
          <w:tcPr>
            <w:tcW w:w="879" w:type="pct"/>
            <w:tcBorders>
              <w:tl2br w:val="nil"/>
              <w:tr2bl w:val="nil"/>
            </w:tcBorders>
            <w:shd w:val="clear" w:color="auto" w:fill="auto"/>
            <w:vAlign w:val="center"/>
          </w:tcPr>
          <w:p w14:paraId="7052C0FB">
            <w:pPr>
              <w:spacing w:line="240" w:lineRule="auto"/>
              <w:ind w:firstLine="0" w:firstLineChars="0"/>
              <w:jc w:val="center"/>
              <w:rPr>
                <w:color w:val="auto"/>
                <w:spacing w:val="-6"/>
                <w:kern w:val="0"/>
                <w:sz w:val="21"/>
                <w:szCs w:val="21"/>
              </w:rPr>
            </w:pPr>
            <w:r>
              <w:rPr>
                <w:color w:val="auto"/>
                <w:spacing w:val="-6"/>
                <w:kern w:val="0"/>
                <w:sz w:val="21"/>
                <w:szCs w:val="21"/>
              </w:rPr>
              <w:t>ND</w:t>
            </w:r>
          </w:p>
        </w:tc>
        <w:tc>
          <w:tcPr>
            <w:tcW w:w="486" w:type="pct"/>
            <w:tcBorders>
              <w:tl2br w:val="nil"/>
              <w:tr2bl w:val="nil"/>
            </w:tcBorders>
            <w:shd w:val="clear" w:color="auto" w:fill="auto"/>
            <w:vAlign w:val="center"/>
          </w:tcPr>
          <w:p w14:paraId="31C25705">
            <w:pPr>
              <w:spacing w:line="240" w:lineRule="auto"/>
              <w:ind w:firstLine="0" w:firstLineChars="0"/>
              <w:jc w:val="center"/>
              <w:rPr>
                <w:color w:val="auto"/>
                <w:spacing w:val="-6"/>
                <w:kern w:val="0"/>
                <w:sz w:val="21"/>
                <w:szCs w:val="21"/>
              </w:rPr>
            </w:pPr>
            <w:r>
              <w:rPr>
                <w:color w:val="auto"/>
                <w:spacing w:val="-6"/>
                <w:kern w:val="0"/>
                <w:sz w:val="21"/>
                <w:szCs w:val="21"/>
              </w:rPr>
              <w:t>-</w:t>
            </w:r>
          </w:p>
        </w:tc>
        <w:tc>
          <w:tcPr>
            <w:tcW w:w="454" w:type="pct"/>
            <w:tcBorders>
              <w:tl2br w:val="nil"/>
              <w:tr2bl w:val="nil"/>
            </w:tcBorders>
            <w:shd w:val="clear" w:color="auto" w:fill="auto"/>
            <w:vAlign w:val="center"/>
          </w:tcPr>
          <w:p w14:paraId="07911BC8">
            <w:pPr>
              <w:spacing w:line="240" w:lineRule="auto"/>
              <w:ind w:firstLine="0" w:firstLineChars="0"/>
              <w:jc w:val="center"/>
              <w:rPr>
                <w:color w:val="auto"/>
                <w:spacing w:val="-6"/>
                <w:kern w:val="0"/>
                <w:sz w:val="21"/>
                <w:szCs w:val="21"/>
              </w:rPr>
            </w:pPr>
            <w:r>
              <w:rPr>
                <w:color w:val="auto"/>
                <w:spacing w:val="-6"/>
                <w:kern w:val="0"/>
                <w:sz w:val="21"/>
                <w:szCs w:val="21"/>
              </w:rPr>
              <w:t>0</w:t>
            </w:r>
          </w:p>
        </w:tc>
        <w:tc>
          <w:tcPr>
            <w:tcW w:w="454" w:type="pct"/>
            <w:tcBorders>
              <w:tl2br w:val="nil"/>
              <w:tr2bl w:val="nil"/>
            </w:tcBorders>
            <w:shd w:val="clear" w:color="auto" w:fill="auto"/>
            <w:vAlign w:val="center"/>
          </w:tcPr>
          <w:p w14:paraId="64E38DA3">
            <w:pPr>
              <w:spacing w:line="240" w:lineRule="auto"/>
              <w:ind w:firstLine="0" w:firstLineChars="0"/>
              <w:jc w:val="center"/>
              <w:rPr>
                <w:color w:val="auto"/>
                <w:spacing w:val="-6"/>
                <w:kern w:val="0"/>
                <w:sz w:val="21"/>
                <w:szCs w:val="21"/>
              </w:rPr>
            </w:pPr>
            <w:r>
              <w:rPr>
                <w:color w:val="auto"/>
                <w:spacing w:val="-6"/>
                <w:kern w:val="0"/>
                <w:sz w:val="21"/>
                <w:szCs w:val="21"/>
                <w:lang w:bidi="ar"/>
              </w:rPr>
              <w:t>达标</w:t>
            </w:r>
          </w:p>
        </w:tc>
      </w:tr>
    </w:tbl>
    <w:p w14:paraId="6CA67F8F">
      <w:pPr>
        <w:ind w:firstLine="0" w:firstLineChars="0"/>
        <w:rPr>
          <w:bCs/>
          <w:color w:val="auto"/>
          <w:sz w:val="21"/>
        </w:rPr>
      </w:pPr>
      <w:r>
        <w:rPr>
          <w:b/>
          <w:color w:val="auto"/>
          <w:sz w:val="21"/>
        </w:rPr>
        <w:t>注：</w:t>
      </w:r>
      <w:r>
        <w:rPr>
          <w:bCs/>
          <w:color w:val="auto"/>
          <w:sz w:val="21"/>
        </w:rPr>
        <w:t>“ND”表示未检出，其检测值低于检测限。</w:t>
      </w:r>
    </w:p>
    <w:p w14:paraId="4A789559">
      <w:pPr>
        <w:ind w:firstLine="480"/>
        <w:rPr>
          <w:color w:val="auto"/>
        </w:rPr>
      </w:pPr>
      <w:r>
        <w:rPr>
          <w:color w:val="auto"/>
        </w:rPr>
        <w:t>由表</w:t>
      </w:r>
      <w:r>
        <w:rPr>
          <w:rFonts w:hint="eastAsia"/>
          <w:color w:val="auto"/>
        </w:rPr>
        <w:t>5.2.1</w:t>
      </w:r>
      <w:r>
        <w:rPr>
          <w:color w:val="auto"/>
        </w:rPr>
        <w:t>-</w:t>
      </w:r>
      <w:r>
        <w:rPr>
          <w:rFonts w:hint="eastAsia"/>
          <w:color w:val="auto"/>
        </w:rPr>
        <w:t>5</w:t>
      </w:r>
      <w:r>
        <w:rPr>
          <w:color w:val="auto"/>
        </w:rPr>
        <w:t>监测结果可见：项目评价范围内TSP满足《环境空气质量标准》（GB3095-2012）及其修改清单中标准限值；氨和硫酸雾满足《环境影响评价技术导则大气环境》（HJ2.2-2018）附录D中参考限值。</w:t>
      </w:r>
    </w:p>
    <w:bookmarkEnd w:id="100"/>
    <w:bookmarkEnd w:id="101"/>
    <w:bookmarkEnd w:id="102"/>
    <w:p w14:paraId="0F064FAD">
      <w:pPr>
        <w:keepNext/>
        <w:keepLines/>
        <w:spacing w:before="120" w:beforeLines="50"/>
        <w:ind w:firstLine="0" w:firstLineChars="0"/>
        <w:outlineLvl w:val="2"/>
        <w:rPr>
          <w:b/>
          <w:bCs/>
          <w:color w:val="auto"/>
          <w:sz w:val="28"/>
          <w:szCs w:val="28"/>
        </w:rPr>
      </w:pPr>
      <w:bookmarkStart w:id="105" w:name="_Toc310085844"/>
      <w:bookmarkStart w:id="106" w:name="_Toc216843863"/>
      <w:bookmarkStart w:id="107" w:name="_Toc194803332"/>
      <w:bookmarkStart w:id="108" w:name="_Toc297819488"/>
      <w:bookmarkStart w:id="109" w:name="_Toc308597861"/>
      <w:bookmarkStart w:id="110" w:name="_Toc224292544"/>
      <w:bookmarkStart w:id="111" w:name="_Hlk42076355"/>
      <w:r>
        <w:rPr>
          <w:rFonts w:hint="eastAsia"/>
          <w:b/>
          <w:bCs/>
          <w:color w:val="auto"/>
          <w:sz w:val="28"/>
          <w:szCs w:val="28"/>
        </w:rPr>
        <w:t>5</w:t>
      </w:r>
      <w:r>
        <w:rPr>
          <w:b/>
          <w:bCs/>
          <w:color w:val="auto"/>
          <w:sz w:val="28"/>
          <w:szCs w:val="28"/>
        </w:rPr>
        <w:t>.</w:t>
      </w:r>
      <w:r>
        <w:rPr>
          <w:rFonts w:hint="eastAsia"/>
          <w:b/>
          <w:bCs/>
          <w:color w:val="auto"/>
          <w:sz w:val="28"/>
          <w:szCs w:val="28"/>
        </w:rPr>
        <w:t>2</w:t>
      </w:r>
      <w:r>
        <w:rPr>
          <w:b/>
          <w:bCs/>
          <w:color w:val="auto"/>
          <w:sz w:val="28"/>
          <w:szCs w:val="28"/>
        </w:rPr>
        <w:t>.2 地表水环境质量现状监测与评价</w:t>
      </w:r>
      <w:bookmarkEnd w:id="105"/>
      <w:bookmarkEnd w:id="106"/>
      <w:bookmarkEnd w:id="107"/>
      <w:bookmarkEnd w:id="108"/>
      <w:bookmarkEnd w:id="109"/>
      <w:bookmarkEnd w:id="110"/>
    </w:p>
    <w:p w14:paraId="002B593F">
      <w:pPr>
        <w:ind w:firstLine="480"/>
        <w:rPr>
          <w:color w:val="auto"/>
        </w:rPr>
      </w:pPr>
      <w:r>
        <w:rPr>
          <w:color w:val="auto"/>
        </w:rPr>
        <w:t>根据《2023年度连云港市生态环境状况公报》数据，2023年，连云港市22个国考断面中，20个断面水质各项指标年均值均达到或好于Ⅲ类，优Ⅲ类比例90.9%，同比上升4.5个百分点，达到省定目标，Ⅳ类比例9.1%，无Ⅴ类、劣Ⅴ类水质断面。</w:t>
      </w:r>
    </w:p>
    <w:p w14:paraId="1A0B7E9C">
      <w:pPr>
        <w:spacing w:before="120" w:beforeLines="50"/>
        <w:ind w:firstLine="0" w:firstLineChars="0"/>
        <w:jc w:val="left"/>
        <w:outlineLvl w:val="3"/>
        <w:rPr>
          <w:b/>
          <w:color w:val="auto"/>
        </w:rPr>
      </w:pPr>
      <w:r>
        <w:rPr>
          <w:rFonts w:hint="eastAsia"/>
          <w:b/>
          <w:color w:val="auto"/>
        </w:rPr>
        <w:t>5</w:t>
      </w:r>
      <w:r>
        <w:rPr>
          <w:b/>
          <w:color w:val="auto"/>
        </w:rPr>
        <w:t>.2.2.1</w:t>
      </w:r>
      <w:bookmarkStart w:id="112" w:name="_Hlk29827966"/>
      <w:r>
        <w:rPr>
          <w:rFonts w:hint="eastAsia"/>
          <w:b/>
          <w:color w:val="auto"/>
        </w:rPr>
        <w:t xml:space="preserve"> </w:t>
      </w:r>
      <w:r>
        <w:rPr>
          <w:b/>
          <w:color w:val="auto"/>
        </w:rPr>
        <w:t>地表水环境质量现状监测</w:t>
      </w:r>
      <w:bookmarkEnd w:id="112"/>
    </w:p>
    <w:p w14:paraId="4604ED68">
      <w:pPr>
        <w:ind w:firstLine="480"/>
        <w:rPr>
          <w:color w:val="auto"/>
        </w:rPr>
      </w:pPr>
      <w:r>
        <w:rPr>
          <w:color w:val="auto"/>
        </w:rPr>
        <w:t>（1）监测断面</w:t>
      </w:r>
    </w:p>
    <w:p w14:paraId="4614829B">
      <w:pPr>
        <w:ind w:firstLine="480"/>
        <w:rPr>
          <w:color w:val="auto"/>
        </w:rPr>
      </w:pPr>
      <w:r>
        <w:rPr>
          <w:bCs/>
          <w:color w:val="auto"/>
        </w:rPr>
        <w:t>本项目废水接管至开发区临港污水处理厂，纳污河流为大浦河</w:t>
      </w:r>
      <w:r>
        <w:rPr>
          <w:rFonts w:hint="eastAsia"/>
          <w:bCs/>
          <w:color w:val="auto"/>
        </w:rPr>
        <w:t>排污通道和临洪河</w:t>
      </w:r>
      <w:r>
        <w:rPr>
          <w:bCs/>
          <w:color w:val="auto"/>
        </w:rPr>
        <w:t>。地表水环境质量现状监测数据由企业委托安徽晟创检测技术有限公司进行监测，监测时间为2024年6月3日</w:t>
      </w:r>
      <w:r>
        <w:rPr>
          <w:rFonts w:hint="eastAsia"/>
          <w:bCs/>
          <w:color w:val="auto"/>
        </w:rPr>
        <w:t>—</w:t>
      </w:r>
      <w:r>
        <w:rPr>
          <w:bCs/>
          <w:color w:val="auto"/>
        </w:rPr>
        <w:t>6月5日，连续监测3天。</w:t>
      </w:r>
      <w:r>
        <w:rPr>
          <w:color w:val="auto"/>
        </w:rPr>
        <w:t>在大浦河布设3个监测断面，在开泰河布设1个监测断面，监测断面布置情况见表</w:t>
      </w:r>
      <w:r>
        <w:rPr>
          <w:rFonts w:hint="eastAsia"/>
          <w:color w:val="auto"/>
        </w:rPr>
        <w:t>5.2.2-1</w:t>
      </w:r>
      <w:r>
        <w:rPr>
          <w:color w:val="auto"/>
        </w:rPr>
        <w:t>，断面位置见图</w:t>
      </w:r>
      <w:r>
        <w:rPr>
          <w:rFonts w:hint="eastAsia"/>
          <w:color w:val="auto"/>
        </w:rPr>
        <w:t>5.2-2</w:t>
      </w:r>
      <w:r>
        <w:rPr>
          <w:color w:val="auto"/>
        </w:rPr>
        <w:t>，</w:t>
      </w:r>
      <w:bookmarkStart w:id="113" w:name="_Hlk29827997"/>
      <w:r>
        <w:rPr>
          <w:color w:val="auto"/>
        </w:rPr>
        <w:t>开发区临港污水处理厂的</w:t>
      </w:r>
      <w:r>
        <w:rPr>
          <w:bCs/>
          <w:color w:val="auto"/>
        </w:rPr>
        <w:t>排口上游500m、排口下游500m和排口下游2000m均布设监测断面</w:t>
      </w:r>
      <w:bookmarkEnd w:id="113"/>
      <w:r>
        <w:rPr>
          <w:bCs/>
          <w:color w:val="auto"/>
        </w:rPr>
        <w:t>。</w:t>
      </w:r>
    </w:p>
    <w:p w14:paraId="1BE35FD5">
      <w:pPr>
        <w:spacing w:line="240" w:lineRule="auto"/>
        <w:ind w:firstLine="0" w:firstLineChars="0"/>
        <w:jc w:val="center"/>
        <w:rPr>
          <w:b/>
          <w:color w:val="auto"/>
          <w:szCs w:val="28"/>
        </w:rPr>
      </w:pPr>
      <w:r>
        <w:rPr>
          <w:b/>
          <w:color w:val="auto"/>
          <w:szCs w:val="28"/>
        </w:rPr>
        <w:t>表</w:t>
      </w:r>
      <w:r>
        <w:rPr>
          <w:rFonts w:hint="eastAsia"/>
          <w:b/>
          <w:color w:val="auto"/>
          <w:szCs w:val="28"/>
        </w:rPr>
        <w:t>5</w:t>
      </w:r>
      <w:r>
        <w:rPr>
          <w:b/>
          <w:color w:val="auto"/>
          <w:szCs w:val="28"/>
        </w:rPr>
        <w:t>.</w:t>
      </w:r>
      <w:r>
        <w:rPr>
          <w:rFonts w:hint="eastAsia"/>
          <w:b/>
          <w:color w:val="auto"/>
          <w:szCs w:val="28"/>
        </w:rPr>
        <w:t>2.2</w:t>
      </w:r>
      <w:r>
        <w:rPr>
          <w:b/>
          <w:color w:val="auto"/>
          <w:szCs w:val="28"/>
        </w:rPr>
        <w:t>-</w:t>
      </w:r>
      <w:r>
        <w:rPr>
          <w:rFonts w:hint="eastAsia"/>
          <w:b/>
          <w:color w:val="auto"/>
          <w:szCs w:val="28"/>
        </w:rPr>
        <w:t>1</w:t>
      </w:r>
      <w:r>
        <w:rPr>
          <w:b/>
          <w:color w:val="auto"/>
          <w:szCs w:val="28"/>
        </w:rPr>
        <w:t xml:space="preserve">  水质监测断面布置</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467"/>
        <w:gridCol w:w="1884"/>
        <w:gridCol w:w="4935"/>
      </w:tblGrid>
      <w:tr w14:paraId="5D61D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tblHeader/>
          <w:jc w:val="center"/>
        </w:trPr>
        <w:tc>
          <w:tcPr>
            <w:tcW w:w="1328" w:type="pct"/>
            <w:vAlign w:val="center"/>
          </w:tcPr>
          <w:p w14:paraId="7CE03AF4">
            <w:pPr>
              <w:spacing w:line="240" w:lineRule="auto"/>
              <w:ind w:firstLine="0" w:firstLineChars="0"/>
              <w:jc w:val="center"/>
              <w:rPr>
                <w:b/>
                <w:bCs/>
                <w:color w:val="auto"/>
                <w:kern w:val="24"/>
                <w:sz w:val="21"/>
                <w:szCs w:val="21"/>
              </w:rPr>
            </w:pPr>
            <w:r>
              <w:rPr>
                <w:b/>
                <w:bCs/>
                <w:color w:val="auto"/>
                <w:kern w:val="24"/>
                <w:sz w:val="21"/>
                <w:szCs w:val="21"/>
              </w:rPr>
              <w:t>断面编号</w:t>
            </w:r>
          </w:p>
        </w:tc>
        <w:tc>
          <w:tcPr>
            <w:tcW w:w="1014" w:type="pct"/>
            <w:vAlign w:val="center"/>
          </w:tcPr>
          <w:p w14:paraId="414294E8">
            <w:pPr>
              <w:spacing w:line="240" w:lineRule="auto"/>
              <w:ind w:firstLine="0" w:firstLineChars="0"/>
              <w:jc w:val="center"/>
              <w:rPr>
                <w:b/>
                <w:bCs/>
                <w:color w:val="auto"/>
                <w:kern w:val="24"/>
                <w:sz w:val="21"/>
                <w:szCs w:val="21"/>
              </w:rPr>
            </w:pPr>
            <w:r>
              <w:rPr>
                <w:b/>
                <w:bCs/>
                <w:color w:val="auto"/>
                <w:kern w:val="24"/>
                <w:sz w:val="21"/>
                <w:szCs w:val="21"/>
              </w:rPr>
              <w:t>水体</w:t>
            </w:r>
          </w:p>
        </w:tc>
        <w:tc>
          <w:tcPr>
            <w:tcW w:w="2656" w:type="pct"/>
            <w:vAlign w:val="center"/>
          </w:tcPr>
          <w:p w14:paraId="32576245">
            <w:pPr>
              <w:spacing w:line="240" w:lineRule="auto"/>
              <w:ind w:firstLine="0" w:firstLineChars="0"/>
              <w:jc w:val="center"/>
              <w:rPr>
                <w:b/>
                <w:bCs/>
                <w:color w:val="auto"/>
                <w:kern w:val="24"/>
                <w:sz w:val="21"/>
                <w:szCs w:val="21"/>
              </w:rPr>
            </w:pPr>
            <w:r>
              <w:rPr>
                <w:b/>
                <w:bCs/>
                <w:color w:val="auto"/>
                <w:kern w:val="24"/>
                <w:sz w:val="21"/>
                <w:szCs w:val="21"/>
              </w:rPr>
              <w:t>监测断面位置</w:t>
            </w:r>
          </w:p>
        </w:tc>
      </w:tr>
      <w:tr w14:paraId="452F15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328" w:type="pct"/>
            <w:vAlign w:val="center"/>
          </w:tcPr>
          <w:p w14:paraId="0C8F4E00">
            <w:pPr>
              <w:spacing w:line="240" w:lineRule="auto"/>
              <w:ind w:firstLine="0" w:firstLineChars="0"/>
              <w:jc w:val="center"/>
              <w:rPr>
                <w:color w:val="auto"/>
                <w:kern w:val="24"/>
                <w:sz w:val="21"/>
                <w:szCs w:val="21"/>
              </w:rPr>
            </w:pPr>
            <w:r>
              <w:rPr>
                <w:color w:val="auto"/>
                <w:kern w:val="24"/>
                <w:sz w:val="21"/>
                <w:szCs w:val="21"/>
              </w:rPr>
              <w:t>W1</w:t>
            </w:r>
          </w:p>
        </w:tc>
        <w:tc>
          <w:tcPr>
            <w:tcW w:w="1014" w:type="pct"/>
            <w:vMerge w:val="restart"/>
            <w:vAlign w:val="center"/>
          </w:tcPr>
          <w:p w14:paraId="70AFFE9C">
            <w:pPr>
              <w:spacing w:line="240" w:lineRule="auto"/>
              <w:ind w:firstLine="0" w:firstLineChars="0"/>
              <w:jc w:val="center"/>
              <w:rPr>
                <w:color w:val="auto"/>
                <w:kern w:val="24"/>
                <w:sz w:val="21"/>
                <w:szCs w:val="21"/>
              </w:rPr>
            </w:pPr>
            <w:r>
              <w:rPr>
                <w:rFonts w:hint="eastAsia"/>
                <w:color w:val="auto"/>
                <w:kern w:val="24"/>
                <w:sz w:val="21"/>
                <w:szCs w:val="21"/>
              </w:rPr>
              <w:t>大浦河排污通道</w:t>
            </w:r>
          </w:p>
        </w:tc>
        <w:tc>
          <w:tcPr>
            <w:tcW w:w="2656" w:type="pct"/>
            <w:vAlign w:val="center"/>
          </w:tcPr>
          <w:p w14:paraId="2AC791BF">
            <w:pPr>
              <w:spacing w:line="240" w:lineRule="auto"/>
              <w:ind w:firstLine="0" w:firstLineChars="0"/>
              <w:jc w:val="center"/>
              <w:rPr>
                <w:color w:val="auto"/>
                <w:kern w:val="24"/>
                <w:sz w:val="21"/>
                <w:szCs w:val="21"/>
              </w:rPr>
            </w:pPr>
            <w:r>
              <w:rPr>
                <w:color w:val="auto"/>
                <w:kern w:val="24"/>
                <w:sz w:val="21"/>
                <w:szCs w:val="21"/>
              </w:rPr>
              <w:t>开发区临港污水处理厂排口上游500m处</w:t>
            </w:r>
          </w:p>
        </w:tc>
      </w:tr>
      <w:tr w14:paraId="28F916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328" w:type="pct"/>
            <w:vAlign w:val="center"/>
          </w:tcPr>
          <w:p w14:paraId="3A5C2D74">
            <w:pPr>
              <w:spacing w:line="240" w:lineRule="auto"/>
              <w:ind w:firstLine="0" w:firstLineChars="0"/>
              <w:jc w:val="center"/>
              <w:rPr>
                <w:color w:val="auto"/>
                <w:kern w:val="24"/>
                <w:sz w:val="21"/>
                <w:szCs w:val="21"/>
              </w:rPr>
            </w:pPr>
            <w:r>
              <w:rPr>
                <w:color w:val="auto"/>
                <w:kern w:val="24"/>
                <w:sz w:val="21"/>
                <w:szCs w:val="21"/>
              </w:rPr>
              <w:t>W2</w:t>
            </w:r>
          </w:p>
        </w:tc>
        <w:tc>
          <w:tcPr>
            <w:tcW w:w="1014" w:type="pct"/>
            <w:vMerge w:val="continue"/>
            <w:vAlign w:val="center"/>
          </w:tcPr>
          <w:p w14:paraId="7D488EAF">
            <w:pPr>
              <w:spacing w:line="240" w:lineRule="auto"/>
              <w:ind w:firstLine="0" w:firstLineChars="0"/>
              <w:jc w:val="center"/>
              <w:rPr>
                <w:color w:val="auto"/>
                <w:kern w:val="24"/>
                <w:sz w:val="21"/>
                <w:szCs w:val="21"/>
              </w:rPr>
            </w:pPr>
          </w:p>
        </w:tc>
        <w:tc>
          <w:tcPr>
            <w:tcW w:w="2656" w:type="pct"/>
            <w:vAlign w:val="center"/>
          </w:tcPr>
          <w:p w14:paraId="6396BDB8">
            <w:pPr>
              <w:spacing w:line="240" w:lineRule="auto"/>
              <w:ind w:firstLine="0" w:firstLineChars="0"/>
              <w:jc w:val="center"/>
              <w:rPr>
                <w:color w:val="auto"/>
                <w:kern w:val="24"/>
                <w:sz w:val="21"/>
                <w:szCs w:val="21"/>
              </w:rPr>
            </w:pPr>
            <w:r>
              <w:rPr>
                <w:color w:val="auto"/>
                <w:kern w:val="24"/>
                <w:sz w:val="21"/>
                <w:szCs w:val="21"/>
              </w:rPr>
              <w:t>开发区临港污水处理厂排口下游500m处</w:t>
            </w:r>
          </w:p>
        </w:tc>
      </w:tr>
      <w:tr w14:paraId="75D206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328" w:type="pct"/>
            <w:vAlign w:val="center"/>
          </w:tcPr>
          <w:p w14:paraId="76D8AB35">
            <w:pPr>
              <w:spacing w:line="240" w:lineRule="auto"/>
              <w:ind w:firstLine="0" w:firstLineChars="0"/>
              <w:jc w:val="center"/>
              <w:rPr>
                <w:color w:val="auto"/>
                <w:kern w:val="24"/>
                <w:sz w:val="21"/>
                <w:szCs w:val="21"/>
              </w:rPr>
            </w:pPr>
            <w:r>
              <w:rPr>
                <w:color w:val="auto"/>
                <w:kern w:val="24"/>
                <w:sz w:val="21"/>
                <w:szCs w:val="21"/>
              </w:rPr>
              <w:t>W3</w:t>
            </w:r>
          </w:p>
        </w:tc>
        <w:tc>
          <w:tcPr>
            <w:tcW w:w="1014" w:type="pct"/>
            <w:vAlign w:val="center"/>
          </w:tcPr>
          <w:p w14:paraId="712D1566">
            <w:pPr>
              <w:spacing w:line="240" w:lineRule="auto"/>
              <w:ind w:firstLine="0" w:firstLineChars="0"/>
              <w:jc w:val="center"/>
              <w:rPr>
                <w:color w:val="auto"/>
                <w:kern w:val="24"/>
                <w:sz w:val="21"/>
                <w:szCs w:val="21"/>
              </w:rPr>
            </w:pPr>
            <w:r>
              <w:rPr>
                <w:rFonts w:hint="eastAsia"/>
                <w:color w:val="auto"/>
                <w:kern w:val="24"/>
                <w:sz w:val="21"/>
                <w:szCs w:val="21"/>
              </w:rPr>
              <w:t>临洪河</w:t>
            </w:r>
          </w:p>
        </w:tc>
        <w:tc>
          <w:tcPr>
            <w:tcW w:w="2656" w:type="pct"/>
            <w:vAlign w:val="center"/>
          </w:tcPr>
          <w:p w14:paraId="699AE1B7">
            <w:pPr>
              <w:spacing w:line="240" w:lineRule="auto"/>
              <w:ind w:firstLine="0" w:firstLineChars="0"/>
              <w:jc w:val="center"/>
              <w:rPr>
                <w:color w:val="auto"/>
                <w:kern w:val="24"/>
                <w:sz w:val="21"/>
                <w:szCs w:val="21"/>
              </w:rPr>
            </w:pPr>
            <w:r>
              <w:rPr>
                <w:color w:val="auto"/>
                <w:kern w:val="24"/>
                <w:sz w:val="21"/>
                <w:szCs w:val="21"/>
              </w:rPr>
              <w:t>开发区临港污水处理厂排口下游2000m处</w:t>
            </w:r>
            <w:r>
              <w:rPr>
                <w:rFonts w:hint="eastAsia"/>
                <w:color w:val="auto"/>
                <w:kern w:val="24"/>
                <w:sz w:val="21"/>
                <w:szCs w:val="21"/>
              </w:rPr>
              <w:t>（临洪河与大浦河排污通道交汇处）</w:t>
            </w:r>
          </w:p>
        </w:tc>
      </w:tr>
      <w:tr w14:paraId="29C258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328" w:type="pct"/>
            <w:vAlign w:val="center"/>
          </w:tcPr>
          <w:p w14:paraId="154EED08">
            <w:pPr>
              <w:spacing w:line="240" w:lineRule="auto"/>
              <w:ind w:firstLine="0" w:firstLineChars="0"/>
              <w:jc w:val="center"/>
              <w:rPr>
                <w:color w:val="auto"/>
                <w:kern w:val="24"/>
                <w:sz w:val="21"/>
                <w:szCs w:val="21"/>
              </w:rPr>
            </w:pPr>
            <w:r>
              <w:rPr>
                <w:color w:val="auto"/>
                <w:kern w:val="24"/>
                <w:sz w:val="21"/>
                <w:szCs w:val="21"/>
              </w:rPr>
              <w:t>W4</w:t>
            </w:r>
          </w:p>
        </w:tc>
        <w:tc>
          <w:tcPr>
            <w:tcW w:w="1014" w:type="pct"/>
            <w:vAlign w:val="center"/>
          </w:tcPr>
          <w:p w14:paraId="0FE811AB">
            <w:pPr>
              <w:spacing w:line="240" w:lineRule="auto"/>
              <w:ind w:firstLine="0" w:firstLineChars="0"/>
              <w:jc w:val="center"/>
              <w:rPr>
                <w:color w:val="auto"/>
                <w:kern w:val="24"/>
                <w:sz w:val="21"/>
                <w:szCs w:val="21"/>
              </w:rPr>
            </w:pPr>
            <w:r>
              <w:rPr>
                <w:color w:val="auto"/>
                <w:kern w:val="24"/>
                <w:sz w:val="21"/>
                <w:szCs w:val="21"/>
              </w:rPr>
              <w:t>开泰河</w:t>
            </w:r>
          </w:p>
        </w:tc>
        <w:tc>
          <w:tcPr>
            <w:tcW w:w="2656" w:type="pct"/>
            <w:vAlign w:val="center"/>
          </w:tcPr>
          <w:p w14:paraId="54FA84B8">
            <w:pPr>
              <w:spacing w:line="240" w:lineRule="auto"/>
              <w:ind w:firstLine="0" w:firstLineChars="0"/>
              <w:jc w:val="center"/>
              <w:rPr>
                <w:color w:val="auto"/>
                <w:kern w:val="24"/>
                <w:sz w:val="21"/>
                <w:szCs w:val="21"/>
              </w:rPr>
            </w:pPr>
            <w:r>
              <w:rPr>
                <w:color w:val="auto"/>
                <w:kern w:val="24"/>
                <w:sz w:val="21"/>
                <w:szCs w:val="21"/>
              </w:rPr>
              <w:t>-</w:t>
            </w:r>
          </w:p>
        </w:tc>
      </w:tr>
    </w:tbl>
    <w:p w14:paraId="1FBC39FE">
      <w:pPr>
        <w:ind w:firstLine="480"/>
        <w:rPr>
          <w:color w:val="auto"/>
        </w:rPr>
      </w:pPr>
      <w:r>
        <w:rPr>
          <w:color w:val="auto"/>
        </w:rPr>
        <w:t>（2）监测因子</w:t>
      </w:r>
    </w:p>
    <w:p w14:paraId="130981BE">
      <w:pPr>
        <w:ind w:firstLine="480"/>
        <w:rPr>
          <w:color w:val="auto"/>
        </w:rPr>
      </w:pPr>
      <w:r>
        <w:rPr>
          <w:color w:val="auto"/>
        </w:rPr>
        <w:t>监测因子：水温、pH、COD、BOD</w:t>
      </w:r>
      <w:r>
        <w:rPr>
          <w:color w:val="auto"/>
          <w:vertAlign w:val="subscript"/>
        </w:rPr>
        <w:t>5</w:t>
      </w:r>
      <w:r>
        <w:rPr>
          <w:color w:val="auto"/>
        </w:rPr>
        <w:t>、TN、TP、氨氮、SS、高锰酸盐指数、石油类、LAS。</w:t>
      </w:r>
    </w:p>
    <w:p w14:paraId="6EC31FE6">
      <w:pPr>
        <w:ind w:firstLine="480"/>
        <w:rPr>
          <w:color w:val="auto"/>
        </w:rPr>
      </w:pPr>
      <w:r>
        <w:rPr>
          <w:color w:val="auto"/>
        </w:rPr>
        <w:t>（3）水质监测时间、频次</w:t>
      </w:r>
    </w:p>
    <w:p w14:paraId="4EABBE81">
      <w:pPr>
        <w:ind w:firstLine="480"/>
        <w:rPr>
          <w:color w:val="auto"/>
        </w:rPr>
      </w:pPr>
      <w:r>
        <w:rPr>
          <w:color w:val="auto"/>
        </w:rPr>
        <w:t>2024年6月3日至6月25日连续监测3天，每天1次对评价河流各监测断面进行采样、分析。</w:t>
      </w:r>
    </w:p>
    <w:p w14:paraId="2DB82FC2">
      <w:pPr>
        <w:ind w:firstLine="480"/>
        <w:rPr>
          <w:color w:val="auto"/>
        </w:rPr>
      </w:pPr>
      <w:r>
        <w:rPr>
          <w:color w:val="auto"/>
        </w:rPr>
        <w:t>（4）监测分析方法</w:t>
      </w:r>
    </w:p>
    <w:p w14:paraId="0E0CF79A">
      <w:pPr>
        <w:ind w:firstLine="480"/>
        <w:rPr>
          <w:color w:val="auto"/>
        </w:rPr>
      </w:pPr>
      <w:r>
        <w:rPr>
          <w:color w:val="auto"/>
        </w:rPr>
        <w:t>地表水环境质量现状监测按照《环境监测技术规范》和《水和废水监测分析方法》（第四版）的要求进行。</w:t>
      </w:r>
    </w:p>
    <w:p w14:paraId="2283856C">
      <w:pPr>
        <w:spacing w:before="120" w:beforeLines="50"/>
        <w:ind w:firstLine="0" w:firstLineChars="0"/>
        <w:jc w:val="left"/>
        <w:outlineLvl w:val="3"/>
        <w:rPr>
          <w:b/>
          <w:color w:val="auto"/>
        </w:rPr>
      </w:pPr>
      <w:r>
        <w:rPr>
          <w:rFonts w:hint="eastAsia"/>
          <w:b/>
          <w:color w:val="auto"/>
        </w:rPr>
        <w:t>5</w:t>
      </w:r>
      <w:r>
        <w:rPr>
          <w:b/>
          <w:color w:val="auto"/>
        </w:rPr>
        <w:t>.2.2.2 地表水环境质量现状评价</w:t>
      </w:r>
    </w:p>
    <w:p w14:paraId="2AA235BC">
      <w:pPr>
        <w:ind w:firstLine="480"/>
        <w:rPr>
          <w:bCs/>
          <w:color w:val="auto"/>
        </w:rPr>
      </w:pPr>
      <w:r>
        <w:rPr>
          <w:bCs/>
          <w:color w:val="auto"/>
        </w:rPr>
        <w:t>（1）评价方法</w:t>
      </w:r>
    </w:p>
    <w:p w14:paraId="2BF43B4C">
      <w:pPr>
        <w:ind w:firstLine="480"/>
        <w:rPr>
          <w:bCs/>
          <w:color w:val="auto"/>
        </w:rPr>
      </w:pPr>
      <w:r>
        <w:rPr>
          <w:bCs/>
          <w:color w:val="auto"/>
        </w:rPr>
        <w:t>采用单项水质参数评价模式，在各项水质参数评价中，对某一水质参数的现状浓度采用多次监测的平均浓度值。单因子污染指数计算公式为：</w:t>
      </w:r>
    </w:p>
    <w:p w14:paraId="5393AFD2">
      <w:pPr>
        <w:ind w:firstLine="480"/>
        <w:jc w:val="center"/>
        <w:rPr>
          <w:color w:val="auto"/>
        </w:rPr>
      </w:pPr>
      <w:r>
        <w:rPr>
          <w:color w:val="auto"/>
        </w:rPr>
        <w:t>S</w:t>
      </w:r>
      <w:r>
        <w:rPr>
          <w:color w:val="auto"/>
          <w:vertAlign w:val="subscript"/>
        </w:rPr>
        <w:t>ij</w:t>
      </w:r>
      <w:r>
        <w:rPr>
          <w:color w:val="auto"/>
        </w:rPr>
        <w:t>=C</w:t>
      </w:r>
      <w:r>
        <w:rPr>
          <w:color w:val="auto"/>
          <w:vertAlign w:val="subscript"/>
        </w:rPr>
        <w:t>ij</w:t>
      </w:r>
      <w:r>
        <w:rPr>
          <w:color w:val="auto"/>
        </w:rPr>
        <w:t>/C</w:t>
      </w:r>
      <w:r>
        <w:rPr>
          <w:color w:val="auto"/>
          <w:vertAlign w:val="subscript"/>
        </w:rPr>
        <w:t>sj</w:t>
      </w:r>
    </w:p>
    <w:p w14:paraId="63CCE3A1">
      <w:pPr>
        <w:ind w:firstLine="480"/>
        <w:rPr>
          <w:color w:val="auto"/>
        </w:rPr>
      </w:pPr>
      <w:r>
        <w:rPr>
          <w:color w:val="auto"/>
        </w:rPr>
        <w:t>式中：S</w:t>
      </w:r>
      <w:r>
        <w:rPr>
          <w:color w:val="auto"/>
          <w:vertAlign w:val="subscript"/>
        </w:rPr>
        <w:t>ij</w:t>
      </w:r>
      <w:r>
        <w:rPr>
          <w:color w:val="auto"/>
        </w:rPr>
        <w:t>：第i种污染物在第j点的标准指数；</w:t>
      </w:r>
    </w:p>
    <w:p w14:paraId="4645773F">
      <w:pPr>
        <w:ind w:firstLine="1200" w:firstLineChars="500"/>
        <w:rPr>
          <w:color w:val="auto"/>
        </w:rPr>
      </w:pPr>
      <w:r>
        <w:rPr>
          <w:color w:val="auto"/>
        </w:rPr>
        <w:t>C</w:t>
      </w:r>
      <w:r>
        <w:rPr>
          <w:color w:val="auto"/>
          <w:vertAlign w:val="subscript"/>
        </w:rPr>
        <w:t>ij</w:t>
      </w:r>
      <w:r>
        <w:rPr>
          <w:color w:val="auto"/>
        </w:rPr>
        <w:t>：第i种污染物在第j点的监测平均浓度值，mg/L；</w:t>
      </w:r>
    </w:p>
    <w:p w14:paraId="71FC8AF8">
      <w:pPr>
        <w:ind w:firstLine="1200" w:firstLineChars="500"/>
        <w:rPr>
          <w:color w:val="auto"/>
        </w:rPr>
      </w:pPr>
      <w:r>
        <w:rPr>
          <w:color w:val="auto"/>
        </w:rPr>
        <w:t>C</w:t>
      </w:r>
      <w:r>
        <w:rPr>
          <w:color w:val="auto"/>
          <w:vertAlign w:val="subscript"/>
        </w:rPr>
        <w:t>Sj</w:t>
      </w:r>
      <w:r>
        <w:rPr>
          <w:color w:val="auto"/>
        </w:rPr>
        <w:t>：第i种污染物的地表水水质标准值，mg/L；</w:t>
      </w:r>
    </w:p>
    <w:p w14:paraId="006C3932">
      <w:pPr>
        <w:spacing w:before="120" w:beforeLines="50" w:after="120" w:afterLines="50" w:line="240" w:lineRule="auto"/>
        <w:ind w:firstLine="7560" w:firstLineChars="3150"/>
        <w:rPr>
          <w:color w:val="auto"/>
          <w:lang w:val="pt-BR"/>
        </w:rPr>
      </w:pPr>
    </w:p>
    <w:p w14:paraId="52DAD242">
      <w:pPr>
        <w:autoSpaceDE w:val="0"/>
        <w:autoSpaceDN w:val="0"/>
        <w:ind w:firstLine="480"/>
        <w:rPr>
          <w:color w:val="auto"/>
        </w:rPr>
      </w:pPr>
      <w:r>
        <w:rPr>
          <w:color w:val="auto"/>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254000</wp:posOffset>
            </wp:positionV>
            <wp:extent cx="1228725" cy="457200"/>
            <wp:effectExtent l="0" t="0" r="0" b="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28725" cy="457200"/>
                    </a:xfrm>
                    <a:prstGeom prst="rect">
                      <a:avLst/>
                    </a:prstGeom>
                    <a:noFill/>
                    <a:ln>
                      <a:noFill/>
                    </a:ln>
                  </pic:spPr>
                </pic:pic>
              </a:graphicData>
            </a:graphic>
          </wp:anchor>
        </w:drawing>
      </w:r>
      <w:r>
        <w:rPr>
          <w:color w:val="auto"/>
        </w:rPr>
        <w:t>pH为：</w:t>
      </w:r>
    </w:p>
    <w:p w14:paraId="2FC1166E">
      <w:pPr>
        <w:autoSpaceDE w:val="0"/>
        <w:autoSpaceDN w:val="0"/>
        <w:spacing w:line="240" w:lineRule="auto"/>
        <w:ind w:firstLine="480"/>
        <w:jc w:val="center"/>
        <w:rPr>
          <w:color w:val="auto"/>
          <w:kern w:val="0"/>
        </w:rPr>
      </w:pPr>
      <w:r>
        <w:rPr>
          <w:bCs/>
          <w:color w:val="auto"/>
          <w:kern w:val="0"/>
        </w:rPr>
        <w:t>pHj≤7.0</w:t>
      </w:r>
    </w:p>
    <w:p w14:paraId="1D8640D8">
      <w:pPr>
        <w:autoSpaceDE w:val="0"/>
        <w:autoSpaceDN w:val="0"/>
        <w:spacing w:line="240" w:lineRule="auto"/>
        <w:ind w:firstLine="480"/>
        <w:jc w:val="center"/>
        <w:rPr>
          <w:color w:val="auto"/>
        </w:rPr>
      </w:pPr>
    </w:p>
    <w:p w14:paraId="427271DD">
      <w:pPr>
        <w:autoSpaceDE w:val="0"/>
        <w:autoSpaceDN w:val="0"/>
        <w:spacing w:line="240" w:lineRule="auto"/>
        <w:ind w:firstLine="480"/>
        <w:jc w:val="center"/>
        <w:rPr>
          <w:color w:val="auto"/>
        </w:rPr>
      </w:pPr>
      <w:r>
        <w:rPr>
          <w:color w:val="auto"/>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127635</wp:posOffset>
            </wp:positionV>
            <wp:extent cx="1219200" cy="457200"/>
            <wp:effectExtent l="0" t="0" r="0" b="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19200" cy="457200"/>
                    </a:xfrm>
                    <a:prstGeom prst="rect">
                      <a:avLst/>
                    </a:prstGeom>
                    <a:noFill/>
                    <a:ln>
                      <a:noFill/>
                    </a:ln>
                  </pic:spPr>
                </pic:pic>
              </a:graphicData>
            </a:graphic>
          </wp:anchor>
        </w:drawing>
      </w:r>
    </w:p>
    <w:p w14:paraId="3B870B7E">
      <w:pPr>
        <w:autoSpaceDE w:val="0"/>
        <w:autoSpaceDN w:val="0"/>
        <w:spacing w:line="240" w:lineRule="auto"/>
        <w:ind w:firstLine="480"/>
        <w:jc w:val="center"/>
        <w:rPr>
          <w:color w:val="auto"/>
          <w:kern w:val="0"/>
        </w:rPr>
      </w:pPr>
      <w:r>
        <w:rPr>
          <w:bCs/>
          <w:color w:val="auto"/>
          <w:kern w:val="0"/>
        </w:rPr>
        <w:t>pHj&gt;7.0</w:t>
      </w:r>
    </w:p>
    <w:p w14:paraId="46D0C34E">
      <w:pPr>
        <w:ind w:firstLine="480"/>
        <w:rPr>
          <w:color w:val="auto"/>
        </w:rPr>
      </w:pPr>
    </w:p>
    <w:p w14:paraId="51E15BB4">
      <w:pPr>
        <w:ind w:firstLine="480"/>
        <w:rPr>
          <w:color w:val="auto"/>
        </w:rPr>
      </w:pPr>
      <w:r>
        <w:rPr>
          <w:color w:val="auto"/>
        </w:rPr>
        <w:t>式中：S</w:t>
      </w:r>
      <w:r>
        <w:rPr>
          <w:color w:val="auto"/>
          <w:vertAlign w:val="subscript"/>
        </w:rPr>
        <w:t>pHj</w:t>
      </w:r>
      <w:r>
        <w:rPr>
          <w:color w:val="auto"/>
        </w:rPr>
        <w:t>：为水质参数pH在j点的标准指数；</w:t>
      </w:r>
    </w:p>
    <w:p w14:paraId="4D87F676">
      <w:pPr>
        <w:ind w:firstLine="1200" w:firstLineChars="500"/>
        <w:rPr>
          <w:color w:val="auto"/>
        </w:rPr>
      </w:pPr>
      <w:r>
        <w:rPr>
          <w:color w:val="auto"/>
        </w:rPr>
        <w:t>pH</w:t>
      </w:r>
      <w:r>
        <w:rPr>
          <w:color w:val="auto"/>
          <w:vertAlign w:val="subscript"/>
        </w:rPr>
        <w:t>j</w:t>
      </w:r>
      <w:r>
        <w:rPr>
          <w:color w:val="auto"/>
        </w:rPr>
        <w:t>：为j点的pH值；</w:t>
      </w:r>
    </w:p>
    <w:p w14:paraId="7406E02F">
      <w:pPr>
        <w:ind w:firstLine="1200" w:firstLineChars="500"/>
        <w:rPr>
          <w:color w:val="auto"/>
        </w:rPr>
      </w:pPr>
      <w:r>
        <w:rPr>
          <w:color w:val="auto"/>
        </w:rPr>
        <w:t>pH</w:t>
      </w:r>
      <w:r>
        <w:rPr>
          <w:color w:val="auto"/>
          <w:vertAlign w:val="subscript"/>
        </w:rPr>
        <w:t>su</w:t>
      </w:r>
      <w:r>
        <w:rPr>
          <w:color w:val="auto"/>
        </w:rPr>
        <w:t>：为地表水水质标准中规定的pH值上限；</w:t>
      </w:r>
    </w:p>
    <w:p w14:paraId="46D36AAD">
      <w:pPr>
        <w:ind w:firstLine="1200" w:firstLineChars="500"/>
        <w:rPr>
          <w:color w:val="auto"/>
        </w:rPr>
      </w:pPr>
      <w:r>
        <w:rPr>
          <w:color w:val="auto"/>
        </w:rPr>
        <w:t>pH</w:t>
      </w:r>
      <w:r>
        <w:rPr>
          <w:color w:val="auto"/>
          <w:vertAlign w:val="subscript"/>
        </w:rPr>
        <w:t>sd</w:t>
      </w:r>
      <w:r>
        <w:rPr>
          <w:color w:val="auto"/>
        </w:rPr>
        <w:t>：为地表水水质标准中规定的pH值下限；</w:t>
      </w:r>
    </w:p>
    <w:p w14:paraId="37B05593">
      <w:pPr>
        <w:ind w:firstLine="480"/>
        <w:rPr>
          <w:bCs/>
          <w:color w:val="auto"/>
        </w:rPr>
      </w:pPr>
      <w:r>
        <w:rPr>
          <w:bCs/>
          <w:color w:val="auto"/>
        </w:rPr>
        <w:t>（2）评价结果</w:t>
      </w:r>
    </w:p>
    <w:p w14:paraId="02CFC35F">
      <w:pPr>
        <w:ind w:firstLine="480"/>
        <w:rPr>
          <w:bCs/>
          <w:color w:val="auto"/>
        </w:rPr>
      </w:pPr>
      <w:r>
        <w:rPr>
          <w:bCs/>
          <w:color w:val="auto"/>
        </w:rPr>
        <w:t>地表水环境质量现状评价结果见表</w:t>
      </w:r>
      <w:r>
        <w:rPr>
          <w:rFonts w:hint="eastAsia"/>
          <w:bCs/>
          <w:color w:val="auto"/>
        </w:rPr>
        <w:t>5.2.2-2</w:t>
      </w:r>
      <w:r>
        <w:rPr>
          <w:bCs/>
          <w:color w:val="auto"/>
        </w:rPr>
        <w:t>。</w:t>
      </w:r>
    </w:p>
    <w:p w14:paraId="4425CD19">
      <w:pPr>
        <w:spacing w:after="120" w:afterLines="50"/>
        <w:ind w:firstLine="482"/>
        <w:jc w:val="center"/>
        <w:rPr>
          <w:b/>
          <w:color w:val="auto"/>
        </w:rPr>
        <w:sectPr>
          <w:pgSz w:w="11906" w:h="16838"/>
          <w:pgMar w:top="1418" w:right="1418" w:bottom="1418" w:left="1418" w:header="851" w:footer="992" w:gutter="0"/>
          <w:cols w:space="425" w:num="1"/>
          <w:docGrid w:linePitch="312" w:charSpace="0"/>
        </w:sectPr>
      </w:pPr>
      <w:bookmarkStart w:id="114" w:name="_Toc241411314"/>
      <w:bookmarkStart w:id="115" w:name="_Toc297819491"/>
      <w:bookmarkStart w:id="116" w:name="_Toc308597862"/>
      <w:bookmarkStart w:id="117" w:name="_Toc241572285"/>
      <w:bookmarkStart w:id="118" w:name="_Toc310085845"/>
    </w:p>
    <w:p w14:paraId="05BE09EB">
      <w:pPr>
        <w:spacing w:line="240" w:lineRule="auto"/>
        <w:ind w:firstLine="0" w:firstLineChars="0"/>
        <w:jc w:val="center"/>
        <w:rPr>
          <w:b/>
          <w:color w:val="auto"/>
          <w:szCs w:val="28"/>
        </w:rPr>
      </w:pPr>
      <w:r>
        <w:rPr>
          <w:b/>
          <w:color w:val="auto"/>
          <w:szCs w:val="28"/>
        </w:rPr>
        <w:t>表</w:t>
      </w:r>
      <w:r>
        <w:rPr>
          <w:rFonts w:hint="eastAsia"/>
          <w:b/>
          <w:color w:val="auto"/>
          <w:szCs w:val="28"/>
        </w:rPr>
        <w:t>5.2.2-2（a）</w:t>
      </w:r>
      <w:r>
        <w:rPr>
          <w:b/>
          <w:color w:val="auto"/>
          <w:szCs w:val="28"/>
        </w:rPr>
        <w:t xml:space="preserve">  地表水环境质量现状评价结果</w:t>
      </w:r>
    </w:p>
    <w:tbl>
      <w:tblPr>
        <w:tblStyle w:val="88"/>
        <w:tblW w:w="501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95"/>
        <w:gridCol w:w="1092"/>
        <w:gridCol w:w="1092"/>
        <w:gridCol w:w="1092"/>
        <w:gridCol w:w="1093"/>
        <w:gridCol w:w="1096"/>
        <w:gridCol w:w="1093"/>
        <w:gridCol w:w="1093"/>
        <w:gridCol w:w="1093"/>
        <w:gridCol w:w="1093"/>
        <w:gridCol w:w="1093"/>
        <w:gridCol w:w="1105"/>
        <w:gridCol w:w="52"/>
      </w:tblGrid>
      <w:tr w14:paraId="637C4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8" w:type="pct"/>
          <w:trHeight w:val="544" w:hRule="atLeast"/>
        </w:trPr>
        <w:tc>
          <w:tcPr>
            <w:tcW w:w="382" w:type="pct"/>
            <w:tcBorders>
              <w:tl2br w:val="nil"/>
              <w:tr2bl w:val="nil"/>
            </w:tcBorders>
            <w:shd w:val="clear" w:color="auto" w:fill="auto"/>
            <w:noWrap/>
            <w:vAlign w:val="center"/>
          </w:tcPr>
          <w:p w14:paraId="668F40E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断面</w:t>
            </w:r>
          </w:p>
        </w:tc>
        <w:tc>
          <w:tcPr>
            <w:tcW w:w="382" w:type="pct"/>
            <w:tcBorders>
              <w:tl2br w:val="nil"/>
              <w:tr2bl w:val="nil"/>
            </w:tcBorders>
            <w:shd w:val="clear" w:color="auto" w:fill="auto"/>
            <w:noWrap/>
            <w:vAlign w:val="center"/>
          </w:tcPr>
          <w:p w14:paraId="20BACC05">
            <w:pPr>
              <w:widowControl/>
              <w:spacing w:line="240" w:lineRule="auto"/>
              <w:ind w:firstLine="0" w:firstLineChars="0"/>
              <w:jc w:val="center"/>
              <w:textAlignment w:val="center"/>
              <w:rPr>
                <w:b/>
                <w:bCs/>
                <w:color w:val="auto"/>
                <w:sz w:val="21"/>
                <w:szCs w:val="21"/>
              </w:rPr>
            </w:pPr>
            <w:r>
              <w:rPr>
                <w:b/>
                <w:bCs/>
                <w:color w:val="auto"/>
                <w:kern w:val="0"/>
                <w:sz w:val="21"/>
                <w:szCs w:val="21"/>
                <w:lang w:bidi="ar"/>
              </w:rPr>
              <w:t>监测项目</w:t>
            </w:r>
          </w:p>
        </w:tc>
        <w:tc>
          <w:tcPr>
            <w:tcW w:w="382" w:type="pct"/>
            <w:tcBorders>
              <w:tl2br w:val="nil"/>
              <w:tr2bl w:val="nil"/>
            </w:tcBorders>
            <w:shd w:val="clear" w:color="auto" w:fill="auto"/>
            <w:noWrap/>
            <w:vAlign w:val="center"/>
          </w:tcPr>
          <w:p w14:paraId="3931A25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水温</w:t>
            </w:r>
          </w:p>
        </w:tc>
        <w:tc>
          <w:tcPr>
            <w:tcW w:w="382" w:type="pct"/>
            <w:tcBorders>
              <w:tl2br w:val="nil"/>
              <w:tr2bl w:val="nil"/>
            </w:tcBorders>
            <w:shd w:val="clear" w:color="auto" w:fill="auto"/>
            <w:noWrap/>
            <w:vAlign w:val="center"/>
          </w:tcPr>
          <w:p w14:paraId="402D211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pH值</w:t>
            </w:r>
          </w:p>
        </w:tc>
        <w:tc>
          <w:tcPr>
            <w:tcW w:w="382" w:type="pct"/>
            <w:tcBorders>
              <w:tl2br w:val="nil"/>
              <w:tr2bl w:val="nil"/>
            </w:tcBorders>
            <w:shd w:val="clear" w:color="auto" w:fill="auto"/>
            <w:noWrap/>
            <w:vAlign w:val="center"/>
          </w:tcPr>
          <w:p w14:paraId="1E5A7DF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化学需氧量</w:t>
            </w:r>
          </w:p>
        </w:tc>
        <w:tc>
          <w:tcPr>
            <w:tcW w:w="382" w:type="pct"/>
            <w:tcBorders>
              <w:tl2br w:val="nil"/>
              <w:tr2bl w:val="nil"/>
            </w:tcBorders>
            <w:shd w:val="clear" w:color="auto" w:fill="auto"/>
            <w:noWrap/>
            <w:vAlign w:val="center"/>
          </w:tcPr>
          <w:p w14:paraId="10A0339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五日生化需氧量</w:t>
            </w:r>
          </w:p>
        </w:tc>
        <w:tc>
          <w:tcPr>
            <w:tcW w:w="383" w:type="pct"/>
            <w:tcBorders>
              <w:tl2br w:val="nil"/>
              <w:tr2bl w:val="nil"/>
            </w:tcBorders>
            <w:shd w:val="clear" w:color="auto" w:fill="auto"/>
            <w:noWrap/>
            <w:vAlign w:val="center"/>
          </w:tcPr>
          <w:p w14:paraId="6CE727A7">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氨氮</w:t>
            </w:r>
          </w:p>
        </w:tc>
        <w:tc>
          <w:tcPr>
            <w:tcW w:w="382" w:type="pct"/>
            <w:tcBorders>
              <w:tl2br w:val="nil"/>
              <w:tr2bl w:val="nil"/>
            </w:tcBorders>
            <w:shd w:val="clear" w:color="auto" w:fill="auto"/>
            <w:noWrap/>
            <w:vAlign w:val="center"/>
          </w:tcPr>
          <w:p w14:paraId="7AE913AC">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总氮</w:t>
            </w:r>
          </w:p>
        </w:tc>
        <w:tc>
          <w:tcPr>
            <w:tcW w:w="382" w:type="pct"/>
            <w:tcBorders>
              <w:tl2br w:val="nil"/>
              <w:tr2bl w:val="nil"/>
            </w:tcBorders>
            <w:shd w:val="clear" w:color="auto" w:fill="auto"/>
            <w:noWrap/>
            <w:vAlign w:val="center"/>
          </w:tcPr>
          <w:p w14:paraId="5AA49DCD">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总磷</w:t>
            </w:r>
          </w:p>
        </w:tc>
        <w:tc>
          <w:tcPr>
            <w:tcW w:w="382" w:type="pct"/>
            <w:tcBorders>
              <w:tl2br w:val="nil"/>
              <w:tr2bl w:val="nil"/>
            </w:tcBorders>
            <w:shd w:val="clear" w:color="auto" w:fill="auto"/>
            <w:noWrap/>
            <w:vAlign w:val="center"/>
          </w:tcPr>
          <w:p w14:paraId="7846A619">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悬浮物</w:t>
            </w:r>
          </w:p>
        </w:tc>
        <w:tc>
          <w:tcPr>
            <w:tcW w:w="382" w:type="pct"/>
            <w:tcBorders>
              <w:tl2br w:val="nil"/>
              <w:tr2bl w:val="nil"/>
            </w:tcBorders>
            <w:shd w:val="clear" w:color="auto" w:fill="auto"/>
            <w:noWrap/>
            <w:vAlign w:val="center"/>
          </w:tcPr>
          <w:p w14:paraId="495F0B1C">
            <w:pPr>
              <w:widowControl/>
              <w:spacing w:line="240" w:lineRule="auto"/>
              <w:ind w:firstLine="0" w:firstLineChars="0"/>
              <w:jc w:val="center"/>
              <w:textAlignment w:val="center"/>
              <w:rPr>
                <w:b/>
                <w:bCs/>
                <w:color w:val="auto"/>
                <w:sz w:val="21"/>
                <w:szCs w:val="21"/>
              </w:rPr>
            </w:pPr>
            <w:r>
              <w:rPr>
                <w:b/>
                <w:bCs/>
                <w:color w:val="auto"/>
                <w:kern w:val="0"/>
                <w:sz w:val="21"/>
                <w:szCs w:val="21"/>
                <w:lang w:bidi="ar"/>
              </w:rPr>
              <w:t>高锰酸盐指数</w:t>
            </w:r>
          </w:p>
        </w:tc>
        <w:tc>
          <w:tcPr>
            <w:tcW w:w="382" w:type="pct"/>
            <w:tcBorders>
              <w:tl2br w:val="nil"/>
              <w:tr2bl w:val="nil"/>
            </w:tcBorders>
            <w:shd w:val="clear" w:color="auto" w:fill="auto"/>
            <w:noWrap/>
            <w:vAlign w:val="center"/>
          </w:tcPr>
          <w:p w14:paraId="5E3A1F17">
            <w:pPr>
              <w:widowControl/>
              <w:spacing w:line="240" w:lineRule="auto"/>
              <w:ind w:firstLine="0" w:firstLineChars="0"/>
              <w:jc w:val="center"/>
              <w:textAlignment w:val="center"/>
              <w:rPr>
                <w:b/>
                <w:bCs/>
                <w:color w:val="auto"/>
                <w:sz w:val="21"/>
                <w:szCs w:val="21"/>
              </w:rPr>
            </w:pPr>
            <w:r>
              <w:rPr>
                <w:b/>
                <w:bCs/>
                <w:color w:val="auto"/>
                <w:kern w:val="0"/>
                <w:sz w:val="21"/>
                <w:szCs w:val="21"/>
                <w:lang w:bidi="ar"/>
              </w:rPr>
              <w:t>石油类</w:t>
            </w:r>
          </w:p>
        </w:tc>
        <w:tc>
          <w:tcPr>
            <w:tcW w:w="386" w:type="pct"/>
            <w:tcBorders>
              <w:tl2br w:val="nil"/>
              <w:tr2bl w:val="nil"/>
            </w:tcBorders>
            <w:shd w:val="clear" w:color="auto" w:fill="auto"/>
            <w:noWrap/>
            <w:vAlign w:val="center"/>
          </w:tcPr>
          <w:p w14:paraId="76C7A119">
            <w:pPr>
              <w:widowControl/>
              <w:spacing w:line="240" w:lineRule="auto"/>
              <w:ind w:firstLine="0" w:firstLineChars="0"/>
              <w:jc w:val="center"/>
              <w:textAlignment w:val="center"/>
              <w:rPr>
                <w:b/>
                <w:bCs/>
                <w:color w:val="auto"/>
                <w:sz w:val="21"/>
                <w:szCs w:val="21"/>
              </w:rPr>
            </w:pPr>
            <w:r>
              <w:rPr>
                <w:b/>
                <w:bCs/>
                <w:color w:val="auto"/>
                <w:kern w:val="0"/>
                <w:sz w:val="21"/>
                <w:szCs w:val="21"/>
                <w:lang w:bidi="ar"/>
              </w:rPr>
              <w:t>阴离子表面活性剂</w:t>
            </w:r>
          </w:p>
        </w:tc>
      </w:tr>
      <w:tr w14:paraId="3893D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restart"/>
            <w:tcBorders>
              <w:tl2br w:val="nil"/>
              <w:tr2bl w:val="nil"/>
            </w:tcBorders>
            <w:shd w:val="clear" w:color="auto" w:fill="auto"/>
            <w:noWrap/>
            <w:vAlign w:val="center"/>
          </w:tcPr>
          <w:p w14:paraId="3146C114">
            <w:pPr>
              <w:widowControl/>
              <w:spacing w:line="240" w:lineRule="auto"/>
              <w:ind w:firstLine="0" w:firstLineChars="0"/>
              <w:jc w:val="center"/>
              <w:textAlignment w:val="center"/>
              <w:rPr>
                <w:color w:val="auto"/>
                <w:sz w:val="21"/>
                <w:szCs w:val="21"/>
              </w:rPr>
            </w:pPr>
            <w:r>
              <w:rPr>
                <w:color w:val="auto"/>
                <w:kern w:val="0"/>
                <w:sz w:val="21"/>
                <w:szCs w:val="21"/>
                <w:lang w:bidi="ar"/>
              </w:rPr>
              <w:t>W1开发区临港镇污水处理厂排口上游500m处</w:t>
            </w:r>
          </w:p>
        </w:tc>
        <w:tc>
          <w:tcPr>
            <w:tcW w:w="382" w:type="pct"/>
            <w:tcBorders>
              <w:tl2br w:val="nil"/>
              <w:tr2bl w:val="nil"/>
            </w:tcBorders>
            <w:shd w:val="clear" w:color="auto" w:fill="auto"/>
            <w:noWrap/>
            <w:vAlign w:val="center"/>
          </w:tcPr>
          <w:p w14:paraId="0269D7EA">
            <w:pPr>
              <w:widowControl/>
              <w:spacing w:line="240" w:lineRule="auto"/>
              <w:ind w:firstLine="0" w:firstLineChars="0"/>
              <w:jc w:val="center"/>
              <w:textAlignment w:val="center"/>
              <w:rPr>
                <w:color w:val="auto"/>
                <w:sz w:val="21"/>
                <w:szCs w:val="21"/>
              </w:rPr>
            </w:pPr>
            <w:r>
              <w:rPr>
                <w:color w:val="auto"/>
                <w:kern w:val="0"/>
                <w:sz w:val="21"/>
                <w:szCs w:val="21"/>
                <w:lang w:bidi="ar"/>
              </w:rPr>
              <w:t>最大值</w:t>
            </w:r>
          </w:p>
        </w:tc>
        <w:tc>
          <w:tcPr>
            <w:tcW w:w="382" w:type="pct"/>
            <w:tcBorders>
              <w:tl2br w:val="nil"/>
              <w:tr2bl w:val="nil"/>
            </w:tcBorders>
            <w:shd w:val="clear" w:color="auto" w:fill="auto"/>
            <w:noWrap/>
            <w:vAlign w:val="center"/>
          </w:tcPr>
          <w:p w14:paraId="318CCF9A">
            <w:pPr>
              <w:widowControl/>
              <w:spacing w:line="240" w:lineRule="auto"/>
              <w:ind w:firstLine="0" w:firstLineChars="0"/>
              <w:jc w:val="center"/>
              <w:textAlignment w:val="center"/>
              <w:rPr>
                <w:color w:val="auto"/>
                <w:sz w:val="21"/>
                <w:szCs w:val="21"/>
              </w:rPr>
            </w:pPr>
            <w:r>
              <w:rPr>
                <w:color w:val="auto"/>
                <w:kern w:val="0"/>
                <w:sz w:val="21"/>
                <w:szCs w:val="21"/>
                <w:lang w:bidi="ar"/>
              </w:rPr>
              <w:t>13.5</w:t>
            </w:r>
          </w:p>
        </w:tc>
        <w:tc>
          <w:tcPr>
            <w:tcW w:w="382" w:type="pct"/>
            <w:tcBorders>
              <w:tl2br w:val="nil"/>
              <w:tr2bl w:val="nil"/>
            </w:tcBorders>
            <w:shd w:val="clear" w:color="auto" w:fill="auto"/>
            <w:noWrap/>
            <w:vAlign w:val="center"/>
          </w:tcPr>
          <w:p w14:paraId="02050524">
            <w:pPr>
              <w:widowControl/>
              <w:spacing w:line="240" w:lineRule="auto"/>
              <w:ind w:firstLine="0" w:firstLineChars="0"/>
              <w:jc w:val="center"/>
              <w:textAlignment w:val="center"/>
              <w:rPr>
                <w:color w:val="auto"/>
                <w:sz w:val="21"/>
                <w:szCs w:val="21"/>
              </w:rPr>
            </w:pPr>
            <w:r>
              <w:rPr>
                <w:color w:val="auto"/>
                <w:kern w:val="0"/>
                <w:sz w:val="21"/>
                <w:szCs w:val="21"/>
                <w:lang w:bidi="ar"/>
              </w:rPr>
              <w:t>7.2</w:t>
            </w:r>
          </w:p>
        </w:tc>
        <w:tc>
          <w:tcPr>
            <w:tcW w:w="382" w:type="pct"/>
            <w:tcBorders>
              <w:tl2br w:val="nil"/>
              <w:tr2bl w:val="nil"/>
            </w:tcBorders>
            <w:shd w:val="clear" w:color="auto" w:fill="auto"/>
            <w:noWrap/>
            <w:vAlign w:val="center"/>
          </w:tcPr>
          <w:p w14:paraId="15A2F76B">
            <w:pPr>
              <w:widowControl/>
              <w:spacing w:line="240" w:lineRule="auto"/>
              <w:ind w:firstLine="0" w:firstLineChars="0"/>
              <w:jc w:val="center"/>
              <w:textAlignment w:val="center"/>
              <w:rPr>
                <w:color w:val="auto"/>
                <w:sz w:val="21"/>
                <w:szCs w:val="21"/>
              </w:rPr>
            </w:pPr>
            <w:r>
              <w:rPr>
                <w:color w:val="auto"/>
                <w:kern w:val="0"/>
                <w:sz w:val="21"/>
                <w:szCs w:val="21"/>
                <w:lang w:bidi="ar"/>
              </w:rPr>
              <w:t>19</w:t>
            </w:r>
          </w:p>
        </w:tc>
        <w:tc>
          <w:tcPr>
            <w:tcW w:w="382" w:type="pct"/>
            <w:tcBorders>
              <w:tl2br w:val="nil"/>
              <w:tr2bl w:val="nil"/>
            </w:tcBorders>
            <w:shd w:val="clear" w:color="auto" w:fill="auto"/>
            <w:noWrap/>
            <w:vAlign w:val="center"/>
          </w:tcPr>
          <w:p w14:paraId="27FA8656">
            <w:pPr>
              <w:widowControl/>
              <w:spacing w:line="240" w:lineRule="auto"/>
              <w:ind w:firstLine="0" w:firstLineChars="0"/>
              <w:jc w:val="center"/>
              <w:textAlignment w:val="center"/>
              <w:rPr>
                <w:color w:val="auto"/>
                <w:sz w:val="21"/>
                <w:szCs w:val="21"/>
              </w:rPr>
            </w:pPr>
            <w:r>
              <w:rPr>
                <w:color w:val="auto"/>
                <w:kern w:val="0"/>
                <w:sz w:val="21"/>
                <w:szCs w:val="21"/>
                <w:lang w:bidi="ar"/>
              </w:rPr>
              <w:t>3.8</w:t>
            </w:r>
          </w:p>
        </w:tc>
        <w:tc>
          <w:tcPr>
            <w:tcW w:w="383" w:type="pct"/>
            <w:tcBorders>
              <w:tl2br w:val="nil"/>
              <w:tr2bl w:val="nil"/>
            </w:tcBorders>
            <w:shd w:val="clear" w:color="auto" w:fill="auto"/>
            <w:noWrap/>
            <w:vAlign w:val="center"/>
          </w:tcPr>
          <w:p w14:paraId="51006024">
            <w:pPr>
              <w:widowControl/>
              <w:spacing w:line="240" w:lineRule="auto"/>
              <w:ind w:firstLine="0" w:firstLineChars="0"/>
              <w:jc w:val="center"/>
              <w:textAlignment w:val="center"/>
              <w:rPr>
                <w:color w:val="auto"/>
                <w:sz w:val="21"/>
                <w:szCs w:val="21"/>
              </w:rPr>
            </w:pPr>
            <w:r>
              <w:rPr>
                <w:color w:val="auto"/>
                <w:kern w:val="0"/>
                <w:sz w:val="21"/>
                <w:szCs w:val="21"/>
                <w:lang w:bidi="ar"/>
              </w:rPr>
              <w:t>0.34</w:t>
            </w:r>
          </w:p>
        </w:tc>
        <w:tc>
          <w:tcPr>
            <w:tcW w:w="382" w:type="pct"/>
            <w:tcBorders>
              <w:tl2br w:val="nil"/>
              <w:tr2bl w:val="nil"/>
            </w:tcBorders>
            <w:shd w:val="clear" w:color="auto" w:fill="auto"/>
            <w:vAlign w:val="center"/>
          </w:tcPr>
          <w:p w14:paraId="1675292F">
            <w:pPr>
              <w:widowControl/>
              <w:spacing w:line="240" w:lineRule="auto"/>
              <w:ind w:firstLine="0" w:firstLineChars="0"/>
              <w:jc w:val="center"/>
              <w:textAlignment w:val="center"/>
              <w:rPr>
                <w:color w:val="auto"/>
                <w:sz w:val="21"/>
                <w:szCs w:val="21"/>
              </w:rPr>
            </w:pPr>
            <w:r>
              <w:rPr>
                <w:color w:val="auto"/>
                <w:kern w:val="0"/>
                <w:sz w:val="21"/>
                <w:szCs w:val="21"/>
                <w:lang w:bidi="ar"/>
              </w:rPr>
              <w:t>0.94</w:t>
            </w:r>
          </w:p>
        </w:tc>
        <w:tc>
          <w:tcPr>
            <w:tcW w:w="382" w:type="pct"/>
            <w:tcBorders>
              <w:tl2br w:val="nil"/>
              <w:tr2bl w:val="nil"/>
            </w:tcBorders>
            <w:shd w:val="clear" w:color="auto" w:fill="auto"/>
            <w:noWrap/>
            <w:vAlign w:val="center"/>
          </w:tcPr>
          <w:p w14:paraId="27B9BD54">
            <w:pPr>
              <w:widowControl/>
              <w:spacing w:line="240" w:lineRule="auto"/>
              <w:ind w:firstLine="0" w:firstLineChars="0"/>
              <w:jc w:val="center"/>
              <w:textAlignment w:val="center"/>
              <w:rPr>
                <w:color w:val="auto"/>
                <w:sz w:val="21"/>
                <w:szCs w:val="21"/>
              </w:rPr>
            </w:pPr>
            <w:r>
              <w:rPr>
                <w:color w:val="auto"/>
                <w:kern w:val="0"/>
                <w:sz w:val="21"/>
                <w:szCs w:val="21"/>
                <w:lang w:bidi="ar"/>
              </w:rPr>
              <w:t>0.07</w:t>
            </w:r>
          </w:p>
        </w:tc>
        <w:tc>
          <w:tcPr>
            <w:tcW w:w="382" w:type="pct"/>
            <w:tcBorders>
              <w:tl2br w:val="nil"/>
              <w:tr2bl w:val="nil"/>
            </w:tcBorders>
            <w:shd w:val="clear" w:color="auto" w:fill="auto"/>
            <w:noWrap/>
            <w:vAlign w:val="center"/>
          </w:tcPr>
          <w:p w14:paraId="1BA0FD69">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382" w:type="pct"/>
            <w:tcBorders>
              <w:tl2br w:val="nil"/>
              <w:tr2bl w:val="nil"/>
            </w:tcBorders>
            <w:shd w:val="clear" w:color="auto" w:fill="auto"/>
            <w:noWrap/>
            <w:vAlign w:val="center"/>
          </w:tcPr>
          <w:p w14:paraId="0A2659F9">
            <w:pPr>
              <w:widowControl/>
              <w:spacing w:line="240" w:lineRule="auto"/>
              <w:ind w:firstLine="0" w:firstLineChars="0"/>
              <w:jc w:val="center"/>
              <w:textAlignment w:val="center"/>
              <w:rPr>
                <w:color w:val="auto"/>
                <w:sz w:val="21"/>
                <w:szCs w:val="21"/>
              </w:rPr>
            </w:pPr>
            <w:r>
              <w:rPr>
                <w:color w:val="auto"/>
                <w:kern w:val="0"/>
                <w:sz w:val="21"/>
                <w:szCs w:val="21"/>
                <w:lang w:bidi="ar"/>
              </w:rPr>
              <w:t>4.5</w:t>
            </w:r>
          </w:p>
        </w:tc>
        <w:tc>
          <w:tcPr>
            <w:tcW w:w="382" w:type="pct"/>
            <w:tcBorders>
              <w:tl2br w:val="nil"/>
              <w:tr2bl w:val="nil"/>
            </w:tcBorders>
            <w:shd w:val="clear" w:color="auto" w:fill="auto"/>
            <w:noWrap/>
            <w:vAlign w:val="center"/>
          </w:tcPr>
          <w:p w14:paraId="7C565B1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17F1F6C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78F72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19FCA606">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0C79E26A">
            <w:pPr>
              <w:widowControl/>
              <w:spacing w:line="240" w:lineRule="auto"/>
              <w:ind w:firstLine="0" w:firstLineChars="0"/>
              <w:jc w:val="center"/>
              <w:textAlignment w:val="center"/>
              <w:rPr>
                <w:color w:val="auto"/>
                <w:sz w:val="21"/>
                <w:szCs w:val="21"/>
              </w:rPr>
            </w:pPr>
            <w:r>
              <w:rPr>
                <w:color w:val="auto"/>
                <w:kern w:val="0"/>
                <w:sz w:val="21"/>
                <w:szCs w:val="21"/>
                <w:lang w:bidi="ar"/>
              </w:rPr>
              <w:t>最小值</w:t>
            </w:r>
          </w:p>
        </w:tc>
        <w:tc>
          <w:tcPr>
            <w:tcW w:w="382" w:type="pct"/>
            <w:tcBorders>
              <w:tl2br w:val="nil"/>
              <w:tr2bl w:val="nil"/>
            </w:tcBorders>
            <w:shd w:val="clear" w:color="auto" w:fill="auto"/>
            <w:noWrap/>
            <w:vAlign w:val="center"/>
          </w:tcPr>
          <w:p w14:paraId="3AEFB2C2">
            <w:pPr>
              <w:widowControl/>
              <w:spacing w:line="240" w:lineRule="auto"/>
              <w:ind w:firstLine="0" w:firstLineChars="0"/>
              <w:jc w:val="center"/>
              <w:textAlignment w:val="center"/>
              <w:rPr>
                <w:color w:val="auto"/>
                <w:sz w:val="21"/>
                <w:szCs w:val="21"/>
              </w:rPr>
            </w:pPr>
            <w:r>
              <w:rPr>
                <w:color w:val="auto"/>
                <w:kern w:val="0"/>
                <w:sz w:val="21"/>
                <w:szCs w:val="21"/>
                <w:lang w:bidi="ar"/>
              </w:rPr>
              <w:t>10.7</w:t>
            </w:r>
          </w:p>
        </w:tc>
        <w:tc>
          <w:tcPr>
            <w:tcW w:w="382" w:type="pct"/>
            <w:tcBorders>
              <w:tl2br w:val="nil"/>
              <w:tr2bl w:val="nil"/>
            </w:tcBorders>
            <w:shd w:val="clear" w:color="auto" w:fill="auto"/>
            <w:noWrap/>
            <w:vAlign w:val="center"/>
          </w:tcPr>
          <w:p w14:paraId="18A98370">
            <w:pPr>
              <w:widowControl/>
              <w:spacing w:line="240" w:lineRule="auto"/>
              <w:ind w:firstLine="0" w:firstLineChars="0"/>
              <w:jc w:val="center"/>
              <w:textAlignment w:val="center"/>
              <w:rPr>
                <w:color w:val="auto"/>
                <w:sz w:val="21"/>
                <w:szCs w:val="21"/>
              </w:rPr>
            </w:pPr>
            <w:r>
              <w:rPr>
                <w:color w:val="auto"/>
                <w:kern w:val="0"/>
                <w:sz w:val="21"/>
                <w:szCs w:val="21"/>
                <w:lang w:bidi="ar"/>
              </w:rPr>
              <w:t>6.8</w:t>
            </w:r>
          </w:p>
        </w:tc>
        <w:tc>
          <w:tcPr>
            <w:tcW w:w="382" w:type="pct"/>
            <w:tcBorders>
              <w:tl2br w:val="nil"/>
              <w:tr2bl w:val="nil"/>
            </w:tcBorders>
            <w:shd w:val="clear" w:color="auto" w:fill="auto"/>
            <w:noWrap/>
            <w:vAlign w:val="center"/>
          </w:tcPr>
          <w:p w14:paraId="3A2413B0">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382" w:type="pct"/>
            <w:tcBorders>
              <w:tl2br w:val="nil"/>
              <w:tr2bl w:val="nil"/>
            </w:tcBorders>
            <w:shd w:val="clear" w:color="auto" w:fill="auto"/>
            <w:noWrap/>
            <w:vAlign w:val="center"/>
          </w:tcPr>
          <w:p w14:paraId="15142307">
            <w:pPr>
              <w:widowControl/>
              <w:spacing w:line="240" w:lineRule="auto"/>
              <w:ind w:firstLine="0" w:firstLineChars="0"/>
              <w:jc w:val="center"/>
              <w:textAlignment w:val="center"/>
              <w:rPr>
                <w:color w:val="auto"/>
                <w:sz w:val="21"/>
                <w:szCs w:val="21"/>
              </w:rPr>
            </w:pPr>
            <w:r>
              <w:rPr>
                <w:color w:val="auto"/>
                <w:kern w:val="0"/>
                <w:sz w:val="21"/>
                <w:szCs w:val="21"/>
                <w:lang w:bidi="ar"/>
              </w:rPr>
              <w:t>3.5</w:t>
            </w:r>
          </w:p>
        </w:tc>
        <w:tc>
          <w:tcPr>
            <w:tcW w:w="383" w:type="pct"/>
            <w:tcBorders>
              <w:tl2br w:val="nil"/>
              <w:tr2bl w:val="nil"/>
            </w:tcBorders>
            <w:shd w:val="clear" w:color="auto" w:fill="auto"/>
            <w:noWrap/>
            <w:vAlign w:val="center"/>
          </w:tcPr>
          <w:p w14:paraId="40908016">
            <w:pPr>
              <w:widowControl/>
              <w:spacing w:line="240" w:lineRule="auto"/>
              <w:ind w:firstLine="0" w:firstLineChars="0"/>
              <w:jc w:val="center"/>
              <w:textAlignment w:val="center"/>
              <w:rPr>
                <w:color w:val="auto"/>
                <w:sz w:val="21"/>
                <w:szCs w:val="21"/>
              </w:rPr>
            </w:pPr>
            <w:r>
              <w:rPr>
                <w:color w:val="auto"/>
                <w:kern w:val="0"/>
                <w:sz w:val="21"/>
                <w:szCs w:val="21"/>
                <w:lang w:bidi="ar"/>
              </w:rPr>
              <w:t>0.295</w:t>
            </w:r>
          </w:p>
        </w:tc>
        <w:tc>
          <w:tcPr>
            <w:tcW w:w="382" w:type="pct"/>
            <w:tcBorders>
              <w:tl2br w:val="nil"/>
              <w:tr2bl w:val="nil"/>
            </w:tcBorders>
            <w:shd w:val="clear" w:color="auto" w:fill="auto"/>
            <w:vAlign w:val="center"/>
          </w:tcPr>
          <w:p w14:paraId="028E9CD8">
            <w:pPr>
              <w:widowControl/>
              <w:spacing w:line="240" w:lineRule="auto"/>
              <w:ind w:firstLine="0" w:firstLineChars="0"/>
              <w:jc w:val="center"/>
              <w:textAlignment w:val="center"/>
              <w:rPr>
                <w:color w:val="auto"/>
                <w:sz w:val="21"/>
                <w:szCs w:val="21"/>
              </w:rPr>
            </w:pPr>
            <w:r>
              <w:rPr>
                <w:color w:val="auto"/>
                <w:kern w:val="0"/>
                <w:sz w:val="21"/>
                <w:szCs w:val="21"/>
                <w:lang w:bidi="ar"/>
              </w:rPr>
              <w:t>0.75</w:t>
            </w:r>
          </w:p>
        </w:tc>
        <w:tc>
          <w:tcPr>
            <w:tcW w:w="382" w:type="pct"/>
            <w:tcBorders>
              <w:tl2br w:val="nil"/>
              <w:tr2bl w:val="nil"/>
            </w:tcBorders>
            <w:shd w:val="clear" w:color="auto" w:fill="auto"/>
            <w:noWrap/>
            <w:vAlign w:val="center"/>
          </w:tcPr>
          <w:p w14:paraId="3423BD92">
            <w:pPr>
              <w:widowControl/>
              <w:spacing w:line="240" w:lineRule="auto"/>
              <w:ind w:firstLine="0" w:firstLineChars="0"/>
              <w:jc w:val="center"/>
              <w:textAlignment w:val="center"/>
              <w:rPr>
                <w:color w:val="auto"/>
                <w:sz w:val="21"/>
                <w:szCs w:val="21"/>
              </w:rPr>
            </w:pPr>
            <w:r>
              <w:rPr>
                <w:color w:val="auto"/>
                <w:kern w:val="0"/>
                <w:sz w:val="21"/>
                <w:szCs w:val="21"/>
                <w:lang w:bidi="ar"/>
              </w:rPr>
              <w:t>0.07</w:t>
            </w:r>
          </w:p>
        </w:tc>
        <w:tc>
          <w:tcPr>
            <w:tcW w:w="382" w:type="pct"/>
            <w:tcBorders>
              <w:tl2br w:val="nil"/>
              <w:tr2bl w:val="nil"/>
            </w:tcBorders>
            <w:shd w:val="clear" w:color="auto" w:fill="auto"/>
            <w:noWrap/>
            <w:vAlign w:val="center"/>
          </w:tcPr>
          <w:p w14:paraId="5A2C5F3C">
            <w:pPr>
              <w:widowControl/>
              <w:spacing w:line="240" w:lineRule="auto"/>
              <w:ind w:firstLine="0" w:firstLineChars="0"/>
              <w:jc w:val="center"/>
              <w:textAlignment w:val="center"/>
              <w:rPr>
                <w:color w:val="auto"/>
                <w:sz w:val="21"/>
                <w:szCs w:val="21"/>
              </w:rPr>
            </w:pPr>
            <w:r>
              <w:rPr>
                <w:color w:val="auto"/>
                <w:kern w:val="0"/>
                <w:sz w:val="21"/>
                <w:szCs w:val="21"/>
                <w:lang w:bidi="ar"/>
              </w:rPr>
              <w:t>6</w:t>
            </w:r>
          </w:p>
        </w:tc>
        <w:tc>
          <w:tcPr>
            <w:tcW w:w="382" w:type="pct"/>
            <w:tcBorders>
              <w:tl2br w:val="nil"/>
              <w:tr2bl w:val="nil"/>
            </w:tcBorders>
            <w:shd w:val="clear" w:color="auto" w:fill="auto"/>
            <w:noWrap/>
            <w:vAlign w:val="center"/>
          </w:tcPr>
          <w:p w14:paraId="734E5F6E">
            <w:pPr>
              <w:widowControl/>
              <w:spacing w:line="240" w:lineRule="auto"/>
              <w:ind w:firstLine="0" w:firstLineChars="0"/>
              <w:jc w:val="center"/>
              <w:textAlignment w:val="center"/>
              <w:rPr>
                <w:color w:val="auto"/>
                <w:sz w:val="21"/>
                <w:szCs w:val="21"/>
              </w:rPr>
            </w:pPr>
            <w:r>
              <w:rPr>
                <w:color w:val="auto"/>
                <w:kern w:val="0"/>
                <w:sz w:val="21"/>
                <w:szCs w:val="21"/>
                <w:lang w:bidi="ar"/>
              </w:rPr>
              <w:t>4.1</w:t>
            </w:r>
          </w:p>
        </w:tc>
        <w:tc>
          <w:tcPr>
            <w:tcW w:w="382" w:type="pct"/>
            <w:tcBorders>
              <w:tl2br w:val="nil"/>
              <w:tr2bl w:val="nil"/>
            </w:tcBorders>
            <w:shd w:val="clear" w:color="auto" w:fill="auto"/>
            <w:noWrap/>
            <w:vAlign w:val="center"/>
          </w:tcPr>
          <w:p w14:paraId="20AFE89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177B870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14B8D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3C668E2B">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4568EC66">
            <w:pPr>
              <w:widowControl/>
              <w:spacing w:line="240" w:lineRule="auto"/>
              <w:ind w:firstLine="0" w:firstLineChars="0"/>
              <w:jc w:val="center"/>
              <w:textAlignment w:val="center"/>
              <w:rPr>
                <w:color w:val="auto"/>
                <w:sz w:val="21"/>
                <w:szCs w:val="21"/>
              </w:rPr>
            </w:pPr>
            <w:r>
              <w:rPr>
                <w:color w:val="auto"/>
                <w:kern w:val="0"/>
                <w:sz w:val="21"/>
                <w:szCs w:val="21"/>
                <w:lang w:bidi="ar"/>
              </w:rPr>
              <w:t>平均值</w:t>
            </w:r>
          </w:p>
        </w:tc>
        <w:tc>
          <w:tcPr>
            <w:tcW w:w="382" w:type="pct"/>
            <w:tcBorders>
              <w:tl2br w:val="nil"/>
              <w:tr2bl w:val="nil"/>
            </w:tcBorders>
            <w:shd w:val="clear" w:color="auto" w:fill="auto"/>
            <w:noWrap/>
            <w:vAlign w:val="center"/>
          </w:tcPr>
          <w:p w14:paraId="6541EAA8">
            <w:pPr>
              <w:widowControl/>
              <w:spacing w:line="240" w:lineRule="auto"/>
              <w:ind w:firstLine="0" w:firstLineChars="0"/>
              <w:jc w:val="center"/>
              <w:textAlignment w:val="center"/>
              <w:rPr>
                <w:color w:val="auto"/>
                <w:sz w:val="21"/>
                <w:szCs w:val="21"/>
              </w:rPr>
            </w:pPr>
            <w:r>
              <w:rPr>
                <w:color w:val="auto"/>
                <w:kern w:val="0"/>
                <w:sz w:val="21"/>
                <w:szCs w:val="21"/>
                <w:lang w:bidi="ar"/>
              </w:rPr>
              <w:t>12.2</w:t>
            </w:r>
          </w:p>
        </w:tc>
        <w:tc>
          <w:tcPr>
            <w:tcW w:w="382" w:type="pct"/>
            <w:tcBorders>
              <w:tl2br w:val="nil"/>
              <w:tr2bl w:val="nil"/>
            </w:tcBorders>
            <w:shd w:val="clear" w:color="auto" w:fill="auto"/>
            <w:noWrap/>
            <w:vAlign w:val="center"/>
          </w:tcPr>
          <w:p w14:paraId="2CD41490">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382" w:type="pct"/>
            <w:tcBorders>
              <w:tl2br w:val="nil"/>
              <w:tr2bl w:val="nil"/>
            </w:tcBorders>
            <w:shd w:val="clear" w:color="auto" w:fill="auto"/>
            <w:noWrap/>
            <w:vAlign w:val="center"/>
          </w:tcPr>
          <w:p w14:paraId="5F259082">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382" w:type="pct"/>
            <w:tcBorders>
              <w:tl2br w:val="nil"/>
              <w:tr2bl w:val="nil"/>
            </w:tcBorders>
            <w:shd w:val="clear" w:color="auto" w:fill="auto"/>
            <w:noWrap/>
            <w:vAlign w:val="center"/>
          </w:tcPr>
          <w:p w14:paraId="3F25ADE8">
            <w:pPr>
              <w:widowControl/>
              <w:spacing w:line="240" w:lineRule="auto"/>
              <w:ind w:firstLine="0" w:firstLineChars="0"/>
              <w:jc w:val="center"/>
              <w:textAlignment w:val="center"/>
              <w:rPr>
                <w:color w:val="auto"/>
                <w:sz w:val="21"/>
                <w:szCs w:val="21"/>
              </w:rPr>
            </w:pPr>
            <w:r>
              <w:rPr>
                <w:color w:val="auto"/>
                <w:kern w:val="0"/>
                <w:sz w:val="21"/>
                <w:szCs w:val="21"/>
                <w:lang w:bidi="ar"/>
              </w:rPr>
              <w:t>3.65</w:t>
            </w:r>
          </w:p>
        </w:tc>
        <w:tc>
          <w:tcPr>
            <w:tcW w:w="383" w:type="pct"/>
            <w:tcBorders>
              <w:tl2br w:val="nil"/>
              <w:tr2bl w:val="nil"/>
            </w:tcBorders>
            <w:shd w:val="clear" w:color="auto" w:fill="auto"/>
            <w:noWrap/>
            <w:vAlign w:val="center"/>
          </w:tcPr>
          <w:p w14:paraId="238D7F97">
            <w:pPr>
              <w:widowControl/>
              <w:spacing w:line="240" w:lineRule="auto"/>
              <w:ind w:firstLine="0" w:firstLineChars="0"/>
              <w:jc w:val="center"/>
              <w:textAlignment w:val="center"/>
              <w:rPr>
                <w:color w:val="auto"/>
                <w:sz w:val="21"/>
                <w:szCs w:val="21"/>
              </w:rPr>
            </w:pPr>
            <w:r>
              <w:rPr>
                <w:color w:val="auto"/>
                <w:kern w:val="0"/>
                <w:sz w:val="21"/>
                <w:szCs w:val="21"/>
                <w:lang w:bidi="ar"/>
              </w:rPr>
              <w:t>0.318</w:t>
            </w:r>
          </w:p>
        </w:tc>
        <w:tc>
          <w:tcPr>
            <w:tcW w:w="382" w:type="pct"/>
            <w:tcBorders>
              <w:tl2br w:val="nil"/>
              <w:tr2bl w:val="nil"/>
            </w:tcBorders>
            <w:shd w:val="clear" w:color="auto" w:fill="auto"/>
            <w:vAlign w:val="center"/>
          </w:tcPr>
          <w:p w14:paraId="06648353">
            <w:pPr>
              <w:widowControl/>
              <w:spacing w:line="240" w:lineRule="auto"/>
              <w:ind w:firstLine="0" w:firstLineChars="0"/>
              <w:jc w:val="center"/>
              <w:textAlignment w:val="center"/>
              <w:rPr>
                <w:color w:val="auto"/>
                <w:sz w:val="21"/>
                <w:szCs w:val="21"/>
              </w:rPr>
            </w:pPr>
            <w:r>
              <w:rPr>
                <w:color w:val="auto"/>
                <w:kern w:val="0"/>
                <w:sz w:val="21"/>
                <w:szCs w:val="21"/>
                <w:lang w:bidi="ar"/>
              </w:rPr>
              <w:t>0.85</w:t>
            </w:r>
          </w:p>
        </w:tc>
        <w:tc>
          <w:tcPr>
            <w:tcW w:w="382" w:type="pct"/>
            <w:tcBorders>
              <w:tl2br w:val="nil"/>
              <w:tr2bl w:val="nil"/>
            </w:tcBorders>
            <w:shd w:val="clear" w:color="auto" w:fill="auto"/>
            <w:noWrap/>
            <w:vAlign w:val="center"/>
          </w:tcPr>
          <w:p w14:paraId="590EB4DB">
            <w:pPr>
              <w:widowControl/>
              <w:spacing w:line="240" w:lineRule="auto"/>
              <w:ind w:firstLine="0" w:firstLineChars="0"/>
              <w:jc w:val="center"/>
              <w:textAlignment w:val="center"/>
              <w:rPr>
                <w:color w:val="auto"/>
                <w:sz w:val="21"/>
                <w:szCs w:val="21"/>
              </w:rPr>
            </w:pPr>
            <w:r>
              <w:rPr>
                <w:color w:val="auto"/>
                <w:kern w:val="0"/>
                <w:sz w:val="21"/>
                <w:szCs w:val="21"/>
                <w:lang w:bidi="ar"/>
              </w:rPr>
              <w:t>0.07</w:t>
            </w:r>
          </w:p>
        </w:tc>
        <w:tc>
          <w:tcPr>
            <w:tcW w:w="382" w:type="pct"/>
            <w:tcBorders>
              <w:tl2br w:val="nil"/>
              <w:tr2bl w:val="nil"/>
            </w:tcBorders>
            <w:shd w:val="clear" w:color="auto" w:fill="auto"/>
            <w:noWrap/>
            <w:vAlign w:val="center"/>
          </w:tcPr>
          <w:p w14:paraId="243D2E1F">
            <w:pPr>
              <w:widowControl/>
              <w:spacing w:line="240" w:lineRule="auto"/>
              <w:ind w:firstLine="0" w:firstLineChars="0"/>
              <w:jc w:val="center"/>
              <w:textAlignment w:val="center"/>
              <w:rPr>
                <w:color w:val="auto"/>
                <w:sz w:val="21"/>
                <w:szCs w:val="21"/>
              </w:rPr>
            </w:pPr>
            <w:r>
              <w:rPr>
                <w:color w:val="auto"/>
                <w:kern w:val="0"/>
                <w:sz w:val="21"/>
                <w:szCs w:val="21"/>
                <w:lang w:bidi="ar"/>
              </w:rPr>
              <w:t>6.5</w:t>
            </w:r>
          </w:p>
        </w:tc>
        <w:tc>
          <w:tcPr>
            <w:tcW w:w="382" w:type="pct"/>
            <w:tcBorders>
              <w:tl2br w:val="nil"/>
              <w:tr2bl w:val="nil"/>
            </w:tcBorders>
            <w:shd w:val="clear" w:color="auto" w:fill="auto"/>
            <w:noWrap/>
            <w:vAlign w:val="center"/>
          </w:tcPr>
          <w:p w14:paraId="5A1F18B4">
            <w:pPr>
              <w:widowControl/>
              <w:spacing w:line="240" w:lineRule="auto"/>
              <w:ind w:firstLine="0" w:firstLineChars="0"/>
              <w:jc w:val="center"/>
              <w:textAlignment w:val="center"/>
              <w:rPr>
                <w:color w:val="auto"/>
                <w:sz w:val="21"/>
                <w:szCs w:val="21"/>
              </w:rPr>
            </w:pPr>
            <w:r>
              <w:rPr>
                <w:color w:val="auto"/>
                <w:kern w:val="0"/>
                <w:sz w:val="21"/>
                <w:szCs w:val="21"/>
                <w:lang w:bidi="ar"/>
              </w:rPr>
              <w:t>4.3</w:t>
            </w:r>
          </w:p>
        </w:tc>
        <w:tc>
          <w:tcPr>
            <w:tcW w:w="382" w:type="pct"/>
            <w:tcBorders>
              <w:tl2br w:val="nil"/>
              <w:tr2bl w:val="nil"/>
            </w:tcBorders>
            <w:shd w:val="clear" w:color="auto" w:fill="auto"/>
            <w:noWrap/>
            <w:vAlign w:val="center"/>
          </w:tcPr>
          <w:p w14:paraId="7603892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00B0ABB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106B5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125305D2">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161307D2">
            <w:pPr>
              <w:widowControl/>
              <w:spacing w:line="240" w:lineRule="auto"/>
              <w:ind w:firstLine="0" w:firstLineChars="0"/>
              <w:jc w:val="center"/>
              <w:textAlignment w:val="center"/>
              <w:rPr>
                <w:color w:val="auto"/>
                <w:sz w:val="21"/>
                <w:szCs w:val="21"/>
              </w:rPr>
            </w:pPr>
            <w:r>
              <w:rPr>
                <w:color w:val="auto"/>
                <w:kern w:val="0"/>
                <w:sz w:val="21"/>
                <w:szCs w:val="21"/>
                <w:lang w:bidi="ar"/>
              </w:rPr>
              <w:t>污染指数</w:t>
            </w:r>
          </w:p>
        </w:tc>
        <w:tc>
          <w:tcPr>
            <w:tcW w:w="382" w:type="pct"/>
            <w:tcBorders>
              <w:tl2br w:val="nil"/>
              <w:tr2bl w:val="nil"/>
            </w:tcBorders>
            <w:shd w:val="clear" w:color="auto" w:fill="auto"/>
            <w:noWrap/>
            <w:vAlign w:val="center"/>
          </w:tcPr>
          <w:p w14:paraId="731FB9CC">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2327B9A4">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46098173">
            <w:pPr>
              <w:widowControl/>
              <w:spacing w:line="240" w:lineRule="auto"/>
              <w:ind w:firstLine="0" w:firstLineChars="0"/>
              <w:jc w:val="center"/>
              <w:textAlignment w:val="center"/>
              <w:rPr>
                <w:color w:val="auto"/>
                <w:sz w:val="21"/>
                <w:szCs w:val="21"/>
              </w:rPr>
            </w:pPr>
            <w:r>
              <w:rPr>
                <w:color w:val="auto"/>
                <w:kern w:val="0"/>
                <w:sz w:val="21"/>
                <w:szCs w:val="21"/>
                <w:lang w:bidi="ar"/>
              </w:rPr>
              <w:t>0.9</w:t>
            </w:r>
          </w:p>
        </w:tc>
        <w:tc>
          <w:tcPr>
            <w:tcW w:w="382" w:type="pct"/>
            <w:tcBorders>
              <w:tl2br w:val="nil"/>
              <w:tr2bl w:val="nil"/>
            </w:tcBorders>
            <w:shd w:val="clear" w:color="auto" w:fill="auto"/>
            <w:noWrap/>
            <w:vAlign w:val="center"/>
          </w:tcPr>
          <w:p w14:paraId="75B7ED72">
            <w:pPr>
              <w:widowControl/>
              <w:spacing w:line="240" w:lineRule="auto"/>
              <w:ind w:firstLine="0" w:firstLineChars="0"/>
              <w:jc w:val="center"/>
              <w:textAlignment w:val="center"/>
              <w:rPr>
                <w:color w:val="auto"/>
                <w:sz w:val="21"/>
                <w:szCs w:val="21"/>
              </w:rPr>
            </w:pPr>
            <w:r>
              <w:rPr>
                <w:color w:val="auto"/>
                <w:kern w:val="0"/>
                <w:sz w:val="21"/>
                <w:szCs w:val="21"/>
                <w:lang w:bidi="ar"/>
              </w:rPr>
              <w:t>0.91</w:t>
            </w:r>
          </w:p>
        </w:tc>
        <w:tc>
          <w:tcPr>
            <w:tcW w:w="383" w:type="pct"/>
            <w:tcBorders>
              <w:tl2br w:val="nil"/>
              <w:tr2bl w:val="nil"/>
            </w:tcBorders>
            <w:shd w:val="clear" w:color="auto" w:fill="auto"/>
            <w:noWrap/>
            <w:vAlign w:val="center"/>
          </w:tcPr>
          <w:p w14:paraId="2C1D11FF">
            <w:pPr>
              <w:widowControl/>
              <w:spacing w:line="240" w:lineRule="auto"/>
              <w:ind w:firstLine="0" w:firstLineChars="0"/>
              <w:jc w:val="center"/>
              <w:textAlignment w:val="center"/>
              <w:rPr>
                <w:color w:val="auto"/>
                <w:sz w:val="21"/>
                <w:szCs w:val="21"/>
              </w:rPr>
            </w:pPr>
            <w:r>
              <w:rPr>
                <w:color w:val="auto"/>
                <w:kern w:val="0"/>
                <w:sz w:val="21"/>
                <w:szCs w:val="21"/>
                <w:lang w:bidi="ar"/>
              </w:rPr>
              <w:t>0.318</w:t>
            </w:r>
          </w:p>
        </w:tc>
        <w:tc>
          <w:tcPr>
            <w:tcW w:w="382" w:type="pct"/>
            <w:tcBorders>
              <w:tl2br w:val="nil"/>
              <w:tr2bl w:val="nil"/>
            </w:tcBorders>
            <w:shd w:val="clear" w:color="auto" w:fill="auto"/>
            <w:noWrap/>
            <w:vAlign w:val="center"/>
          </w:tcPr>
          <w:p w14:paraId="7248268C">
            <w:pPr>
              <w:widowControl/>
              <w:spacing w:line="240" w:lineRule="auto"/>
              <w:ind w:firstLine="0" w:firstLineChars="0"/>
              <w:jc w:val="center"/>
              <w:textAlignment w:val="center"/>
              <w:rPr>
                <w:color w:val="auto"/>
                <w:sz w:val="21"/>
                <w:szCs w:val="21"/>
              </w:rPr>
            </w:pPr>
            <w:r>
              <w:rPr>
                <w:color w:val="auto"/>
                <w:kern w:val="0"/>
                <w:sz w:val="21"/>
                <w:szCs w:val="21"/>
                <w:lang w:bidi="ar"/>
              </w:rPr>
              <w:t>0.85</w:t>
            </w:r>
          </w:p>
        </w:tc>
        <w:tc>
          <w:tcPr>
            <w:tcW w:w="382" w:type="pct"/>
            <w:tcBorders>
              <w:tl2br w:val="nil"/>
              <w:tr2bl w:val="nil"/>
            </w:tcBorders>
            <w:shd w:val="clear" w:color="auto" w:fill="auto"/>
            <w:noWrap/>
            <w:vAlign w:val="center"/>
          </w:tcPr>
          <w:p w14:paraId="54FBAA91">
            <w:pPr>
              <w:widowControl/>
              <w:spacing w:line="240" w:lineRule="auto"/>
              <w:ind w:firstLine="0" w:firstLineChars="0"/>
              <w:jc w:val="center"/>
              <w:textAlignment w:val="center"/>
              <w:rPr>
                <w:color w:val="auto"/>
                <w:sz w:val="21"/>
                <w:szCs w:val="21"/>
              </w:rPr>
            </w:pPr>
            <w:r>
              <w:rPr>
                <w:color w:val="auto"/>
                <w:kern w:val="0"/>
                <w:sz w:val="21"/>
                <w:szCs w:val="21"/>
                <w:lang w:bidi="ar"/>
              </w:rPr>
              <w:t>0.35</w:t>
            </w:r>
          </w:p>
        </w:tc>
        <w:tc>
          <w:tcPr>
            <w:tcW w:w="382" w:type="pct"/>
            <w:tcBorders>
              <w:tl2br w:val="nil"/>
              <w:tr2bl w:val="nil"/>
            </w:tcBorders>
            <w:shd w:val="clear" w:color="auto" w:fill="auto"/>
            <w:noWrap/>
            <w:vAlign w:val="center"/>
          </w:tcPr>
          <w:p w14:paraId="55CB511E">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73F3E0EF">
            <w:pPr>
              <w:widowControl/>
              <w:spacing w:line="240" w:lineRule="auto"/>
              <w:ind w:firstLine="0" w:firstLineChars="0"/>
              <w:jc w:val="center"/>
              <w:textAlignment w:val="center"/>
              <w:rPr>
                <w:color w:val="auto"/>
                <w:sz w:val="21"/>
                <w:szCs w:val="21"/>
              </w:rPr>
            </w:pPr>
            <w:r>
              <w:rPr>
                <w:color w:val="auto"/>
                <w:kern w:val="0"/>
                <w:sz w:val="21"/>
                <w:szCs w:val="21"/>
                <w:lang w:bidi="ar"/>
              </w:rPr>
              <w:t>0.7</w:t>
            </w:r>
          </w:p>
        </w:tc>
        <w:tc>
          <w:tcPr>
            <w:tcW w:w="382" w:type="pct"/>
            <w:tcBorders>
              <w:tl2br w:val="nil"/>
              <w:tr2bl w:val="nil"/>
            </w:tcBorders>
            <w:shd w:val="clear" w:color="auto" w:fill="auto"/>
            <w:noWrap/>
            <w:vAlign w:val="center"/>
          </w:tcPr>
          <w:p w14:paraId="6E09266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6" w:type="pct"/>
            <w:tcBorders>
              <w:tl2br w:val="nil"/>
              <w:tr2bl w:val="nil"/>
            </w:tcBorders>
            <w:shd w:val="clear" w:color="auto" w:fill="auto"/>
            <w:noWrap/>
            <w:vAlign w:val="center"/>
          </w:tcPr>
          <w:p w14:paraId="70127DA7">
            <w:pPr>
              <w:widowControl/>
              <w:spacing w:line="240" w:lineRule="auto"/>
              <w:ind w:firstLine="0" w:firstLineChars="0"/>
              <w:jc w:val="center"/>
              <w:textAlignment w:val="center"/>
              <w:rPr>
                <w:color w:val="auto"/>
                <w:sz w:val="21"/>
                <w:szCs w:val="21"/>
              </w:rPr>
            </w:pPr>
            <w:r>
              <w:rPr>
                <w:color w:val="auto"/>
                <w:kern w:val="0"/>
                <w:sz w:val="21"/>
                <w:szCs w:val="21"/>
                <w:lang w:bidi="ar"/>
              </w:rPr>
              <w:t>-</w:t>
            </w:r>
          </w:p>
        </w:tc>
      </w:tr>
      <w:tr w14:paraId="12F1D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016275C9">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394D49FB">
            <w:pPr>
              <w:widowControl/>
              <w:spacing w:line="240" w:lineRule="auto"/>
              <w:ind w:firstLine="0" w:firstLineChars="0"/>
              <w:jc w:val="center"/>
              <w:textAlignment w:val="center"/>
              <w:rPr>
                <w:color w:val="auto"/>
                <w:sz w:val="21"/>
                <w:szCs w:val="21"/>
              </w:rPr>
            </w:pPr>
            <w:r>
              <w:rPr>
                <w:color w:val="auto"/>
                <w:kern w:val="0"/>
                <w:sz w:val="21"/>
                <w:szCs w:val="21"/>
                <w:lang w:bidi="ar"/>
              </w:rPr>
              <w:t>超标率%</w:t>
            </w:r>
          </w:p>
        </w:tc>
        <w:tc>
          <w:tcPr>
            <w:tcW w:w="382" w:type="pct"/>
            <w:tcBorders>
              <w:tl2br w:val="nil"/>
              <w:tr2bl w:val="nil"/>
            </w:tcBorders>
            <w:shd w:val="clear" w:color="auto" w:fill="auto"/>
            <w:noWrap/>
            <w:vAlign w:val="center"/>
          </w:tcPr>
          <w:p w14:paraId="651BF13B">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7C0261EF">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0274178C">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3AB803F1">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3" w:type="pct"/>
            <w:tcBorders>
              <w:tl2br w:val="nil"/>
              <w:tr2bl w:val="nil"/>
            </w:tcBorders>
            <w:shd w:val="clear" w:color="auto" w:fill="auto"/>
            <w:noWrap/>
            <w:vAlign w:val="center"/>
          </w:tcPr>
          <w:p w14:paraId="407C033A">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7094AE45">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12EE83FB">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6349F1D9">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26CFFE7B">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146276B3">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6" w:type="pct"/>
            <w:tcBorders>
              <w:tl2br w:val="nil"/>
              <w:tr2bl w:val="nil"/>
            </w:tcBorders>
            <w:shd w:val="clear" w:color="auto" w:fill="auto"/>
            <w:noWrap/>
            <w:vAlign w:val="center"/>
          </w:tcPr>
          <w:p w14:paraId="2070657B">
            <w:pPr>
              <w:widowControl/>
              <w:spacing w:line="240" w:lineRule="auto"/>
              <w:ind w:firstLine="0" w:firstLineChars="0"/>
              <w:jc w:val="center"/>
              <w:textAlignment w:val="center"/>
              <w:rPr>
                <w:color w:val="auto"/>
                <w:sz w:val="21"/>
                <w:szCs w:val="21"/>
              </w:rPr>
            </w:pPr>
            <w:r>
              <w:rPr>
                <w:color w:val="auto"/>
                <w:kern w:val="0"/>
                <w:sz w:val="21"/>
                <w:szCs w:val="21"/>
                <w:lang w:bidi="ar"/>
              </w:rPr>
              <w:t>0</w:t>
            </w:r>
          </w:p>
        </w:tc>
      </w:tr>
      <w:tr w14:paraId="228E3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765" w:type="pct"/>
            <w:gridSpan w:val="2"/>
            <w:tcBorders>
              <w:tl2br w:val="nil"/>
              <w:tr2bl w:val="nil"/>
            </w:tcBorders>
            <w:shd w:val="clear" w:color="auto" w:fill="auto"/>
            <w:noWrap/>
            <w:vAlign w:val="center"/>
          </w:tcPr>
          <w:p w14:paraId="631913BC">
            <w:pPr>
              <w:widowControl/>
              <w:spacing w:line="240" w:lineRule="auto"/>
              <w:ind w:firstLine="0" w:firstLineChars="0"/>
              <w:jc w:val="center"/>
              <w:textAlignment w:val="center"/>
              <w:rPr>
                <w:color w:val="auto"/>
                <w:sz w:val="21"/>
                <w:szCs w:val="21"/>
              </w:rPr>
            </w:pPr>
            <w:r>
              <w:rPr>
                <w:color w:val="auto"/>
                <w:kern w:val="0"/>
                <w:sz w:val="21"/>
                <w:szCs w:val="21"/>
                <w:lang w:bidi="ar"/>
              </w:rPr>
              <w:t>Ⅳ类水体</w:t>
            </w:r>
          </w:p>
        </w:tc>
        <w:tc>
          <w:tcPr>
            <w:tcW w:w="382" w:type="pct"/>
            <w:tcBorders>
              <w:tl2br w:val="nil"/>
              <w:tr2bl w:val="nil"/>
            </w:tcBorders>
            <w:shd w:val="clear" w:color="auto" w:fill="auto"/>
            <w:noWrap/>
            <w:vAlign w:val="center"/>
          </w:tcPr>
          <w:p w14:paraId="54170CC1">
            <w:pPr>
              <w:widowControl/>
              <w:spacing w:line="240" w:lineRule="auto"/>
              <w:ind w:firstLine="0" w:firstLineChars="0"/>
              <w:jc w:val="center"/>
              <w:textAlignment w:val="center"/>
              <w:rPr>
                <w:color w:val="auto"/>
                <w:sz w:val="21"/>
                <w:szCs w:val="21"/>
              </w:rPr>
            </w:pPr>
            <w:r>
              <w:rPr>
                <w:color w:val="auto"/>
                <w:sz w:val="21"/>
                <w:szCs w:val="21"/>
              </w:rPr>
              <w:t>-</w:t>
            </w:r>
          </w:p>
        </w:tc>
        <w:tc>
          <w:tcPr>
            <w:tcW w:w="382" w:type="pct"/>
            <w:tcBorders>
              <w:tl2br w:val="nil"/>
              <w:tr2bl w:val="nil"/>
            </w:tcBorders>
            <w:shd w:val="clear" w:color="auto" w:fill="auto"/>
            <w:noWrap/>
            <w:vAlign w:val="center"/>
          </w:tcPr>
          <w:p w14:paraId="135132D0">
            <w:pPr>
              <w:widowControl/>
              <w:spacing w:line="240" w:lineRule="auto"/>
              <w:ind w:firstLine="0" w:firstLineChars="0"/>
              <w:jc w:val="center"/>
              <w:textAlignment w:val="center"/>
              <w:rPr>
                <w:color w:val="auto"/>
                <w:sz w:val="21"/>
                <w:szCs w:val="21"/>
              </w:rPr>
            </w:pPr>
            <w:r>
              <w:rPr>
                <w:color w:val="auto"/>
                <w:kern w:val="0"/>
                <w:sz w:val="21"/>
                <w:szCs w:val="21"/>
                <w:lang w:bidi="ar"/>
              </w:rPr>
              <w:t>6~9</w:t>
            </w:r>
          </w:p>
        </w:tc>
        <w:tc>
          <w:tcPr>
            <w:tcW w:w="382" w:type="pct"/>
            <w:tcBorders>
              <w:tl2br w:val="nil"/>
              <w:tr2bl w:val="nil"/>
            </w:tcBorders>
            <w:shd w:val="clear" w:color="auto" w:fill="auto"/>
            <w:noWrap/>
            <w:vAlign w:val="center"/>
          </w:tcPr>
          <w:p w14:paraId="2D172237">
            <w:pPr>
              <w:widowControl/>
              <w:spacing w:line="240" w:lineRule="auto"/>
              <w:ind w:firstLine="0" w:firstLineChars="0"/>
              <w:jc w:val="center"/>
              <w:textAlignment w:val="center"/>
              <w:rPr>
                <w:color w:val="auto"/>
                <w:kern w:val="0"/>
                <w:sz w:val="21"/>
                <w:szCs w:val="21"/>
              </w:rPr>
            </w:pPr>
            <w:r>
              <w:rPr>
                <w:color w:val="auto"/>
                <w:kern w:val="0"/>
                <w:sz w:val="21"/>
                <w:szCs w:val="21"/>
                <w:lang w:bidi="ar"/>
              </w:rPr>
              <w:t>30</w:t>
            </w:r>
          </w:p>
        </w:tc>
        <w:tc>
          <w:tcPr>
            <w:tcW w:w="382" w:type="pct"/>
            <w:tcBorders>
              <w:tl2br w:val="nil"/>
              <w:tr2bl w:val="nil"/>
            </w:tcBorders>
            <w:shd w:val="clear" w:color="auto" w:fill="auto"/>
            <w:noWrap/>
            <w:vAlign w:val="center"/>
          </w:tcPr>
          <w:p w14:paraId="6B886AD9">
            <w:pPr>
              <w:widowControl/>
              <w:spacing w:line="240" w:lineRule="auto"/>
              <w:ind w:firstLine="0" w:firstLineChars="0"/>
              <w:jc w:val="center"/>
              <w:textAlignment w:val="center"/>
              <w:rPr>
                <w:color w:val="auto"/>
                <w:kern w:val="0"/>
                <w:sz w:val="21"/>
                <w:szCs w:val="21"/>
              </w:rPr>
            </w:pPr>
            <w:r>
              <w:rPr>
                <w:color w:val="auto"/>
                <w:kern w:val="0"/>
                <w:sz w:val="21"/>
                <w:szCs w:val="21"/>
                <w:lang w:bidi="ar"/>
              </w:rPr>
              <w:t>6</w:t>
            </w:r>
          </w:p>
        </w:tc>
        <w:tc>
          <w:tcPr>
            <w:tcW w:w="383" w:type="pct"/>
            <w:tcBorders>
              <w:tl2br w:val="nil"/>
              <w:tr2bl w:val="nil"/>
            </w:tcBorders>
            <w:shd w:val="clear" w:color="auto" w:fill="auto"/>
            <w:noWrap/>
            <w:vAlign w:val="center"/>
          </w:tcPr>
          <w:p w14:paraId="6B7802FC">
            <w:pPr>
              <w:widowControl/>
              <w:spacing w:line="240" w:lineRule="auto"/>
              <w:ind w:firstLine="0" w:firstLineChars="0"/>
              <w:jc w:val="center"/>
              <w:textAlignment w:val="center"/>
              <w:rPr>
                <w:color w:val="auto"/>
                <w:kern w:val="0"/>
                <w:sz w:val="21"/>
                <w:szCs w:val="21"/>
              </w:rPr>
            </w:pPr>
            <w:r>
              <w:rPr>
                <w:color w:val="auto"/>
                <w:kern w:val="0"/>
                <w:sz w:val="21"/>
                <w:szCs w:val="21"/>
                <w:lang w:bidi="ar"/>
              </w:rPr>
              <w:t>1.5</w:t>
            </w:r>
          </w:p>
        </w:tc>
        <w:tc>
          <w:tcPr>
            <w:tcW w:w="382" w:type="pct"/>
            <w:tcBorders>
              <w:tl2br w:val="nil"/>
              <w:tr2bl w:val="nil"/>
            </w:tcBorders>
            <w:shd w:val="clear" w:color="auto" w:fill="auto"/>
            <w:noWrap/>
            <w:vAlign w:val="center"/>
          </w:tcPr>
          <w:p w14:paraId="76177CFF">
            <w:pPr>
              <w:widowControl/>
              <w:spacing w:line="240" w:lineRule="auto"/>
              <w:ind w:firstLine="0" w:firstLineChars="0"/>
              <w:jc w:val="center"/>
              <w:textAlignment w:val="center"/>
              <w:rPr>
                <w:color w:val="auto"/>
                <w:kern w:val="0"/>
                <w:sz w:val="21"/>
                <w:szCs w:val="21"/>
              </w:rPr>
            </w:pPr>
            <w:r>
              <w:rPr>
                <w:color w:val="auto"/>
                <w:kern w:val="0"/>
                <w:sz w:val="21"/>
                <w:szCs w:val="21"/>
                <w:lang w:bidi="ar"/>
              </w:rPr>
              <w:t>1.5</w:t>
            </w:r>
          </w:p>
        </w:tc>
        <w:tc>
          <w:tcPr>
            <w:tcW w:w="382" w:type="pct"/>
            <w:tcBorders>
              <w:tl2br w:val="nil"/>
              <w:tr2bl w:val="nil"/>
            </w:tcBorders>
            <w:shd w:val="clear" w:color="auto" w:fill="auto"/>
            <w:noWrap/>
            <w:vAlign w:val="center"/>
          </w:tcPr>
          <w:p w14:paraId="7E2341C9">
            <w:pPr>
              <w:widowControl/>
              <w:spacing w:line="240" w:lineRule="auto"/>
              <w:ind w:firstLine="0" w:firstLineChars="0"/>
              <w:jc w:val="center"/>
              <w:textAlignment w:val="center"/>
              <w:rPr>
                <w:color w:val="auto"/>
                <w:kern w:val="0"/>
                <w:sz w:val="21"/>
                <w:szCs w:val="21"/>
              </w:rPr>
            </w:pPr>
            <w:r>
              <w:rPr>
                <w:color w:val="auto"/>
                <w:kern w:val="0"/>
                <w:sz w:val="21"/>
                <w:szCs w:val="21"/>
                <w:lang w:bidi="ar"/>
              </w:rPr>
              <w:t>0.3</w:t>
            </w:r>
          </w:p>
        </w:tc>
        <w:tc>
          <w:tcPr>
            <w:tcW w:w="382" w:type="pct"/>
            <w:tcBorders>
              <w:tl2br w:val="nil"/>
              <w:tr2bl w:val="nil"/>
            </w:tcBorders>
            <w:shd w:val="clear" w:color="auto" w:fill="auto"/>
            <w:noWrap/>
            <w:vAlign w:val="center"/>
          </w:tcPr>
          <w:p w14:paraId="299FC5AA">
            <w:pPr>
              <w:widowControl/>
              <w:spacing w:line="240" w:lineRule="auto"/>
              <w:ind w:firstLine="0" w:firstLineChars="0"/>
              <w:jc w:val="center"/>
              <w:textAlignment w:val="center"/>
              <w:rPr>
                <w:color w:val="auto"/>
                <w:kern w:val="0"/>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716ED828">
            <w:pPr>
              <w:widowControl/>
              <w:spacing w:line="240" w:lineRule="auto"/>
              <w:ind w:firstLine="0" w:firstLineChars="0"/>
              <w:jc w:val="center"/>
              <w:textAlignment w:val="center"/>
              <w:rPr>
                <w:color w:val="auto"/>
                <w:kern w:val="0"/>
                <w:sz w:val="21"/>
                <w:szCs w:val="21"/>
              </w:rPr>
            </w:pPr>
            <w:r>
              <w:rPr>
                <w:color w:val="auto"/>
                <w:kern w:val="0"/>
                <w:sz w:val="21"/>
                <w:szCs w:val="21"/>
                <w:lang w:bidi="ar"/>
              </w:rPr>
              <w:t>10</w:t>
            </w:r>
          </w:p>
        </w:tc>
        <w:tc>
          <w:tcPr>
            <w:tcW w:w="382" w:type="pct"/>
            <w:tcBorders>
              <w:tl2br w:val="nil"/>
              <w:tr2bl w:val="nil"/>
            </w:tcBorders>
            <w:shd w:val="clear" w:color="auto" w:fill="auto"/>
            <w:noWrap/>
            <w:vAlign w:val="center"/>
          </w:tcPr>
          <w:p w14:paraId="446768B9">
            <w:pPr>
              <w:widowControl/>
              <w:spacing w:line="240" w:lineRule="auto"/>
              <w:ind w:firstLine="0" w:firstLineChars="0"/>
              <w:jc w:val="center"/>
              <w:textAlignment w:val="center"/>
              <w:rPr>
                <w:color w:val="auto"/>
                <w:kern w:val="0"/>
                <w:sz w:val="21"/>
                <w:szCs w:val="21"/>
              </w:rPr>
            </w:pPr>
            <w:r>
              <w:rPr>
                <w:color w:val="auto"/>
                <w:kern w:val="0"/>
                <w:sz w:val="21"/>
                <w:szCs w:val="21"/>
                <w:lang w:bidi="ar"/>
              </w:rPr>
              <w:t>0.5</w:t>
            </w:r>
          </w:p>
        </w:tc>
        <w:tc>
          <w:tcPr>
            <w:tcW w:w="386" w:type="pct"/>
            <w:tcBorders>
              <w:tl2br w:val="nil"/>
              <w:tr2bl w:val="nil"/>
            </w:tcBorders>
            <w:shd w:val="clear" w:color="auto" w:fill="auto"/>
            <w:noWrap/>
            <w:vAlign w:val="center"/>
          </w:tcPr>
          <w:p w14:paraId="4E295427">
            <w:pPr>
              <w:widowControl/>
              <w:spacing w:line="240" w:lineRule="auto"/>
              <w:ind w:firstLine="0" w:firstLineChars="0"/>
              <w:jc w:val="center"/>
              <w:textAlignment w:val="center"/>
              <w:rPr>
                <w:color w:val="auto"/>
                <w:kern w:val="0"/>
                <w:sz w:val="21"/>
                <w:szCs w:val="21"/>
              </w:rPr>
            </w:pPr>
            <w:r>
              <w:rPr>
                <w:color w:val="auto"/>
                <w:kern w:val="0"/>
                <w:sz w:val="21"/>
                <w:szCs w:val="21"/>
                <w:lang w:bidi="ar"/>
              </w:rPr>
              <w:t>0.3</w:t>
            </w:r>
          </w:p>
        </w:tc>
      </w:tr>
      <w:tr w14:paraId="71596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restart"/>
            <w:tcBorders>
              <w:tl2br w:val="nil"/>
              <w:tr2bl w:val="nil"/>
            </w:tcBorders>
            <w:shd w:val="clear" w:color="auto" w:fill="auto"/>
            <w:noWrap/>
            <w:vAlign w:val="center"/>
          </w:tcPr>
          <w:p w14:paraId="452AD75B">
            <w:pPr>
              <w:widowControl/>
              <w:spacing w:line="240" w:lineRule="auto"/>
              <w:ind w:firstLine="0" w:firstLineChars="0"/>
              <w:jc w:val="center"/>
              <w:textAlignment w:val="center"/>
              <w:rPr>
                <w:color w:val="auto"/>
                <w:sz w:val="21"/>
                <w:szCs w:val="21"/>
              </w:rPr>
            </w:pPr>
            <w:r>
              <w:rPr>
                <w:color w:val="auto"/>
                <w:kern w:val="0"/>
                <w:sz w:val="21"/>
                <w:szCs w:val="21"/>
                <w:lang w:bidi="ar"/>
              </w:rPr>
              <w:t>W2开发区临港镇污水处理厂排口下游500m处</w:t>
            </w:r>
          </w:p>
        </w:tc>
        <w:tc>
          <w:tcPr>
            <w:tcW w:w="382" w:type="pct"/>
            <w:tcBorders>
              <w:tl2br w:val="nil"/>
              <w:tr2bl w:val="nil"/>
            </w:tcBorders>
            <w:shd w:val="clear" w:color="auto" w:fill="auto"/>
            <w:noWrap/>
            <w:vAlign w:val="center"/>
          </w:tcPr>
          <w:p w14:paraId="1794902F">
            <w:pPr>
              <w:widowControl/>
              <w:spacing w:line="240" w:lineRule="auto"/>
              <w:ind w:firstLine="0" w:firstLineChars="0"/>
              <w:jc w:val="center"/>
              <w:textAlignment w:val="center"/>
              <w:rPr>
                <w:color w:val="auto"/>
                <w:sz w:val="21"/>
                <w:szCs w:val="21"/>
              </w:rPr>
            </w:pPr>
            <w:r>
              <w:rPr>
                <w:color w:val="auto"/>
                <w:kern w:val="0"/>
                <w:sz w:val="21"/>
                <w:szCs w:val="21"/>
                <w:lang w:bidi="ar"/>
              </w:rPr>
              <w:t>最大值</w:t>
            </w:r>
          </w:p>
        </w:tc>
        <w:tc>
          <w:tcPr>
            <w:tcW w:w="382" w:type="pct"/>
            <w:tcBorders>
              <w:tl2br w:val="nil"/>
              <w:tr2bl w:val="nil"/>
            </w:tcBorders>
            <w:shd w:val="clear" w:color="auto" w:fill="auto"/>
            <w:noWrap/>
            <w:vAlign w:val="center"/>
          </w:tcPr>
          <w:p w14:paraId="396C118C">
            <w:pPr>
              <w:widowControl/>
              <w:spacing w:line="240" w:lineRule="auto"/>
              <w:ind w:firstLine="0" w:firstLineChars="0"/>
              <w:jc w:val="center"/>
              <w:textAlignment w:val="center"/>
              <w:rPr>
                <w:color w:val="auto"/>
                <w:sz w:val="21"/>
                <w:szCs w:val="21"/>
              </w:rPr>
            </w:pPr>
            <w:r>
              <w:rPr>
                <w:color w:val="auto"/>
                <w:kern w:val="0"/>
                <w:sz w:val="21"/>
                <w:szCs w:val="21"/>
                <w:lang w:bidi="ar"/>
              </w:rPr>
              <w:t>15.7</w:t>
            </w:r>
          </w:p>
        </w:tc>
        <w:tc>
          <w:tcPr>
            <w:tcW w:w="382" w:type="pct"/>
            <w:tcBorders>
              <w:tl2br w:val="nil"/>
              <w:tr2bl w:val="nil"/>
            </w:tcBorders>
            <w:shd w:val="clear" w:color="auto" w:fill="auto"/>
            <w:noWrap/>
            <w:vAlign w:val="center"/>
          </w:tcPr>
          <w:p w14:paraId="01EA03BA">
            <w:pPr>
              <w:widowControl/>
              <w:spacing w:line="240" w:lineRule="auto"/>
              <w:ind w:firstLine="0" w:firstLineChars="0"/>
              <w:jc w:val="center"/>
              <w:textAlignment w:val="center"/>
              <w:rPr>
                <w:color w:val="auto"/>
                <w:sz w:val="21"/>
                <w:szCs w:val="21"/>
              </w:rPr>
            </w:pPr>
            <w:r>
              <w:rPr>
                <w:color w:val="auto"/>
                <w:kern w:val="0"/>
                <w:sz w:val="21"/>
                <w:szCs w:val="21"/>
                <w:lang w:bidi="ar"/>
              </w:rPr>
              <w:t>7.3</w:t>
            </w:r>
          </w:p>
        </w:tc>
        <w:tc>
          <w:tcPr>
            <w:tcW w:w="382" w:type="pct"/>
            <w:tcBorders>
              <w:tl2br w:val="nil"/>
              <w:tr2bl w:val="nil"/>
            </w:tcBorders>
            <w:shd w:val="clear" w:color="auto" w:fill="auto"/>
            <w:noWrap/>
            <w:vAlign w:val="center"/>
          </w:tcPr>
          <w:p w14:paraId="099D9E36">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382" w:type="pct"/>
            <w:tcBorders>
              <w:tl2br w:val="nil"/>
              <w:tr2bl w:val="nil"/>
            </w:tcBorders>
            <w:shd w:val="clear" w:color="auto" w:fill="auto"/>
            <w:noWrap/>
            <w:vAlign w:val="center"/>
          </w:tcPr>
          <w:p w14:paraId="7ECB3477">
            <w:pPr>
              <w:widowControl/>
              <w:spacing w:line="240" w:lineRule="auto"/>
              <w:ind w:firstLine="0" w:firstLineChars="0"/>
              <w:jc w:val="center"/>
              <w:textAlignment w:val="center"/>
              <w:rPr>
                <w:color w:val="auto"/>
                <w:sz w:val="21"/>
                <w:szCs w:val="21"/>
              </w:rPr>
            </w:pPr>
            <w:r>
              <w:rPr>
                <w:color w:val="auto"/>
                <w:kern w:val="0"/>
                <w:sz w:val="21"/>
                <w:szCs w:val="21"/>
                <w:lang w:bidi="ar"/>
              </w:rPr>
              <w:t>3.7</w:t>
            </w:r>
          </w:p>
        </w:tc>
        <w:tc>
          <w:tcPr>
            <w:tcW w:w="383" w:type="pct"/>
            <w:tcBorders>
              <w:tl2br w:val="nil"/>
              <w:tr2bl w:val="nil"/>
            </w:tcBorders>
            <w:shd w:val="clear" w:color="auto" w:fill="auto"/>
            <w:noWrap/>
            <w:vAlign w:val="center"/>
          </w:tcPr>
          <w:p w14:paraId="54A8A890">
            <w:pPr>
              <w:widowControl/>
              <w:spacing w:line="240" w:lineRule="auto"/>
              <w:ind w:firstLine="0" w:firstLineChars="0"/>
              <w:jc w:val="center"/>
              <w:textAlignment w:val="center"/>
              <w:rPr>
                <w:color w:val="auto"/>
                <w:sz w:val="21"/>
                <w:szCs w:val="21"/>
              </w:rPr>
            </w:pPr>
            <w:r>
              <w:rPr>
                <w:color w:val="auto"/>
                <w:kern w:val="0"/>
                <w:sz w:val="21"/>
                <w:szCs w:val="21"/>
                <w:lang w:bidi="ar"/>
              </w:rPr>
              <w:t>0.519</w:t>
            </w:r>
          </w:p>
        </w:tc>
        <w:tc>
          <w:tcPr>
            <w:tcW w:w="382" w:type="pct"/>
            <w:tcBorders>
              <w:tl2br w:val="nil"/>
              <w:tr2bl w:val="nil"/>
            </w:tcBorders>
            <w:shd w:val="clear" w:color="auto" w:fill="auto"/>
            <w:vAlign w:val="center"/>
          </w:tcPr>
          <w:p w14:paraId="65578A3B">
            <w:pPr>
              <w:widowControl/>
              <w:spacing w:line="240" w:lineRule="auto"/>
              <w:ind w:firstLine="0" w:firstLineChars="0"/>
              <w:jc w:val="center"/>
              <w:textAlignment w:val="center"/>
              <w:rPr>
                <w:color w:val="auto"/>
                <w:sz w:val="21"/>
                <w:szCs w:val="21"/>
              </w:rPr>
            </w:pPr>
            <w:r>
              <w:rPr>
                <w:color w:val="auto"/>
                <w:kern w:val="0"/>
                <w:sz w:val="21"/>
                <w:szCs w:val="21"/>
                <w:lang w:bidi="ar"/>
              </w:rPr>
              <w:t>0.94</w:t>
            </w:r>
          </w:p>
        </w:tc>
        <w:tc>
          <w:tcPr>
            <w:tcW w:w="382" w:type="pct"/>
            <w:tcBorders>
              <w:tl2br w:val="nil"/>
              <w:tr2bl w:val="nil"/>
            </w:tcBorders>
            <w:shd w:val="clear" w:color="auto" w:fill="auto"/>
            <w:noWrap/>
            <w:vAlign w:val="center"/>
          </w:tcPr>
          <w:p w14:paraId="6A5EE52E">
            <w:pPr>
              <w:widowControl/>
              <w:spacing w:line="240" w:lineRule="auto"/>
              <w:ind w:firstLine="0" w:firstLineChars="0"/>
              <w:jc w:val="center"/>
              <w:textAlignment w:val="center"/>
              <w:rPr>
                <w:color w:val="auto"/>
                <w:sz w:val="21"/>
                <w:szCs w:val="21"/>
              </w:rPr>
            </w:pPr>
            <w:r>
              <w:rPr>
                <w:color w:val="auto"/>
                <w:kern w:val="0"/>
                <w:sz w:val="21"/>
                <w:szCs w:val="21"/>
                <w:lang w:bidi="ar"/>
              </w:rPr>
              <w:t>0.19</w:t>
            </w:r>
          </w:p>
        </w:tc>
        <w:tc>
          <w:tcPr>
            <w:tcW w:w="382" w:type="pct"/>
            <w:tcBorders>
              <w:tl2br w:val="nil"/>
              <w:tr2bl w:val="nil"/>
            </w:tcBorders>
            <w:shd w:val="clear" w:color="auto" w:fill="auto"/>
            <w:noWrap/>
            <w:vAlign w:val="center"/>
          </w:tcPr>
          <w:p w14:paraId="558AF731">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382" w:type="pct"/>
            <w:tcBorders>
              <w:tl2br w:val="nil"/>
              <w:tr2bl w:val="nil"/>
            </w:tcBorders>
            <w:shd w:val="clear" w:color="auto" w:fill="auto"/>
            <w:noWrap/>
            <w:vAlign w:val="center"/>
          </w:tcPr>
          <w:p w14:paraId="4F39F8B4">
            <w:pPr>
              <w:widowControl/>
              <w:spacing w:line="240" w:lineRule="auto"/>
              <w:ind w:firstLine="0" w:firstLineChars="0"/>
              <w:jc w:val="center"/>
              <w:textAlignment w:val="center"/>
              <w:rPr>
                <w:color w:val="auto"/>
                <w:sz w:val="21"/>
                <w:szCs w:val="21"/>
              </w:rPr>
            </w:pPr>
            <w:r>
              <w:rPr>
                <w:color w:val="auto"/>
                <w:kern w:val="0"/>
                <w:sz w:val="21"/>
                <w:szCs w:val="21"/>
                <w:lang w:bidi="ar"/>
              </w:rPr>
              <w:t>5.7</w:t>
            </w:r>
          </w:p>
        </w:tc>
        <w:tc>
          <w:tcPr>
            <w:tcW w:w="382" w:type="pct"/>
            <w:tcBorders>
              <w:tl2br w:val="nil"/>
              <w:tr2bl w:val="nil"/>
            </w:tcBorders>
            <w:shd w:val="clear" w:color="auto" w:fill="auto"/>
            <w:noWrap/>
            <w:vAlign w:val="center"/>
          </w:tcPr>
          <w:p w14:paraId="7E06EC6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6AA9060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6B419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0E81AEBE">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201960B4">
            <w:pPr>
              <w:widowControl/>
              <w:spacing w:line="240" w:lineRule="auto"/>
              <w:ind w:firstLine="0" w:firstLineChars="0"/>
              <w:jc w:val="center"/>
              <w:textAlignment w:val="center"/>
              <w:rPr>
                <w:color w:val="auto"/>
                <w:sz w:val="21"/>
                <w:szCs w:val="21"/>
              </w:rPr>
            </w:pPr>
            <w:r>
              <w:rPr>
                <w:color w:val="auto"/>
                <w:kern w:val="0"/>
                <w:sz w:val="21"/>
                <w:szCs w:val="21"/>
                <w:lang w:bidi="ar"/>
              </w:rPr>
              <w:t>最小值</w:t>
            </w:r>
          </w:p>
        </w:tc>
        <w:tc>
          <w:tcPr>
            <w:tcW w:w="382" w:type="pct"/>
            <w:tcBorders>
              <w:tl2br w:val="nil"/>
              <w:tr2bl w:val="nil"/>
            </w:tcBorders>
            <w:shd w:val="clear" w:color="auto" w:fill="auto"/>
            <w:noWrap/>
            <w:vAlign w:val="center"/>
          </w:tcPr>
          <w:p w14:paraId="089F9D48">
            <w:pPr>
              <w:widowControl/>
              <w:spacing w:line="240" w:lineRule="auto"/>
              <w:ind w:firstLine="0" w:firstLineChars="0"/>
              <w:jc w:val="center"/>
              <w:textAlignment w:val="center"/>
              <w:rPr>
                <w:color w:val="auto"/>
                <w:sz w:val="21"/>
                <w:szCs w:val="21"/>
              </w:rPr>
            </w:pPr>
            <w:r>
              <w:rPr>
                <w:color w:val="auto"/>
                <w:kern w:val="0"/>
                <w:sz w:val="21"/>
                <w:szCs w:val="21"/>
                <w:lang w:bidi="ar"/>
              </w:rPr>
              <w:t>11.8</w:t>
            </w:r>
          </w:p>
        </w:tc>
        <w:tc>
          <w:tcPr>
            <w:tcW w:w="382" w:type="pct"/>
            <w:tcBorders>
              <w:tl2br w:val="nil"/>
              <w:tr2bl w:val="nil"/>
            </w:tcBorders>
            <w:shd w:val="clear" w:color="auto" w:fill="auto"/>
            <w:noWrap/>
            <w:vAlign w:val="center"/>
          </w:tcPr>
          <w:p w14:paraId="6E6175FF">
            <w:pPr>
              <w:widowControl/>
              <w:spacing w:line="240" w:lineRule="auto"/>
              <w:ind w:firstLine="0" w:firstLineChars="0"/>
              <w:jc w:val="center"/>
              <w:textAlignment w:val="center"/>
              <w:rPr>
                <w:color w:val="auto"/>
                <w:sz w:val="21"/>
                <w:szCs w:val="21"/>
              </w:rPr>
            </w:pPr>
            <w:r>
              <w:rPr>
                <w:color w:val="auto"/>
                <w:kern w:val="0"/>
                <w:sz w:val="21"/>
                <w:szCs w:val="21"/>
                <w:lang w:bidi="ar"/>
              </w:rPr>
              <w:t>6.8</w:t>
            </w:r>
          </w:p>
        </w:tc>
        <w:tc>
          <w:tcPr>
            <w:tcW w:w="382" w:type="pct"/>
            <w:tcBorders>
              <w:tl2br w:val="nil"/>
              <w:tr2bl w:val="nil"/>
            </w:tcBorders>
            <w:shd w:val="clear" w:color="auto" w:fill="auto"/>
            <w:noWrap/>
            <w:vAlign w:val="center"/>
          </w:tcPr>
          <w:p w14:paraId="2BF8A33C">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382" w:type="pct"/>
            <w:tcBorders>
              <w:tl2br w:val="nil"/>
              <w:tr2bl w:val="nil"/>
            </w:tcBorders>
            <w:shd w:val="clear" w:color="auto" w:fill="auto"/>
            <w:noWrap/>
            <w:vAlign w:val="center"/>
          </w:tcPr>
          <w:p w14:paraId="7C9B0857">
            <w:pPr>
              <w:widowControl/>
              <w:spacing w:line="240" w:lineRule="auto"/>
              <w:ind w:firstLine="0" w:firstLineChars="0"/>
              <w:jc w:val="center"/>
              <w:textAlignment w:val="center"/>
              <w:rPr>
                <w:color w:val="auto"/>
                <w:sz w:val="21"/>
                <w:szCs w:val="21"/>
              </w:rPr>
            </w:pPr>
            <w:r>
              <w:rPr>
                <w:color w:val="auto"/>
                <w:kern w:val="0"/>
                <w:sz w:val="21"/>
                <w:szCs w:val="21"/>
                <w:lang w:bidi="ar"/>
              </w:rPr>
              <w:t>3.1</w:t>
            </w:r>
          </w:p>
        </w:tc>
        <w:tc>
          <w:tcPr>
            <w:tcW w:w="383" w:type="pct"/>
            <w:tcBorders>
              <w:tl2br w:val="nil"/>
              <w:tr2bl w:val="nil"/>
            </w:tcBorders>
            <w:shd w:val="clear" w:color="auto" w:fill="auto"/>
            <w:noWrap/>
            <w:vAlign w:val="center"/>
          </w:tcPr>
          <w:p w14:paraId="629BDFC0">
            <w:pPr>
              <w:widowControl/>
              <w:spacing w:line="240" w:lineRule="auto"/>
              <w:ind w:firstLine="0" w:firstLineChars="0"/>
              <w:jc w:val="center"/>
              <w:textAlignment w:val="center"/>
              <w:rPr>
                <w:color w:val="auto"/>
                <w:sz w:val="21"/>
                <w:szCs w:val="21"/>
              </w:rPr>
            </w:pPr>
            <w:r>
              <w:rPr>
                <w:color w:val="auto"/>
                <w:kern w:val="0"/>
                <w:sz w:val="21"/>
                <w:szCs w:val="21"/>
                <w:lang w:bidi="ar"/>
              </w:rPr>
              <w:t>0.439</w:t>
            </w:r>
          </w:p>
        </w:tc>
        <w:tc>
          <w:tcPr>
            <w:tcW w:w="382" w:type="pct"/>
            <w:tcBorders>
              <w:tl2br w:val="nil"/>
              <w:tr2bl w:val="nil"/>
            </w:tcBorders>
            <w:shd w:val="clear" w:color="auto" w:fill="auto"/>
            <w:vAlign w:val="center"/>
          </w:tcPr>
          <w:p w14:paraId="10E3A331">
            <w:pPr>
              <w:widowControl/>
              <w:spacing w:line="240" w:lineRule="auto"/>
              <w:ind w:firstLine="0" w:firstLineChars="0"/>
              <w:jc w:val="center"/>
              <w:textAlignment w:val="center"/>
              <w:rPr>
                <w:color w:val="auto"/>
                <w:sz w:val="21"/>
                <w:szCs w:val="21"/>
              </w:rPr>
            </w:pPr>
            <w:r>
              <w:rPr>
                <w:color w:val="auto"/>
                <w:kern w:val="0"/>
                <w:sz w:val="21"/>
                <w:szCs w:val="21"/>
                <w:lang w:bidi="ar"/>
              </w:rPr>
              <w:t>0.59</w:t>
            </w:r>
          </w:p>
        </w:tc>
        <w:tc>
          <w:tcPr>
            <w:tcW w:w="382" w:type="pct"/>
            <w:tcBorders>
              <w:tl2br w:val="nil"/>
              <w:tr2bl w:val="nil"/>
            </w:tcBorders>
            <w:shd w:val="clear" w:color="auto" w:fill="auto"/>
            <w:noWrap/>
            <w:vAlign w:val="center"/>
          </w:tcPr>
          <w:p w14:paraId="07F84B7F">
            <w:pPr>
              <w:widowControl/>
              <w:spacing w:line="240" w:lineRule="auto"/>
              <w:ind w:firstLine="0" w:firstLineChars="0"/>
              <w:jc w:val="center"/>
              <w:textAlignment w:val="center"/>
              <w:rPr>
                <w:color w:val="auto"/>
                <w:sz w:val="21"/>
                <w:szCs w:val="21"/>
              </w:rPr>
            </w:pPr>
            <w:r>
              <w:rPr>
                <w:color w:val="auto"/>
                <w:kern w:val="0"/>
                <w:sz w:val="21"/>
                <w:szCs w:val="21"/>
                <w:lang w:bidi="ar"/>
              </w:rPr>
              <w:t>0.16</w:t>
            </w:r>
          </w:p>
        </w:tc>
        <w:tc>
          <w:tcPr>
            <w:tcW w:w="382" w:type="pct"/>
            <w:tcBorders>
              <w:tl2br w:val="nil"/>
              <w:tr2bl w:val="nil"/>
            </w:tcBorders>
            <w:shd w:val="clear" w:color="auto" w:fill="auto"/>
            <w:noWrap/>
            <w:vAlign w:val="center"/>
          </w:tcPr>
          <w:p w14:paraId="5B74FF8E">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382" w:type="pct"/>
            <w:tcBorders>
              <w:tl2br w:val="nil"/>
              <w:tr2bl w:val="nil"/>
            </w:tcBorders>
            <w:shd w:val="clear" w:color="auto" w:fill="auto"/>
            <w:noWrap/>
            <w:vAlign w:val="center"/>
          </w:tcPr>
          <w:p w14:paraId="327CE22C">
            <w:pPr>
              <w:widowControl/>
              <w:spacing w:line="240" w:lineRule="auto"/>
              <w:ind w:firstLine="0" w:firstLineChars="0"/>
              <w:jc w:val="center"/>
              <w:textAlignment w:val="center"/>
              <w:rPr>
                <w:color w:val="auto"/>
                <w:sz w:val="21"/>
                <w:szCs w:val="21"/>
              </w:rPr>
            </w:pPr>
            <w:r>
              <w:rPr>
                <w:color w:val="auto"/>
                <w:kern w:val="0"/>
                <w:sz w:val="21"/>
                <w:szCs w:val="21"/>
                <w:lang w:bidi="ar"/>
              </w:rPr>
              <w:t>5.2</w:t>
            </w:r>
          </w:p>
        </w:tc>
        <w:tc>
          <w:tcPr>
            <w:tcW w:w="382" w:type="pct"/>
            <w:tcBorders>
              <w:tl2br w:val="nil"/>
              <w:tr2bl w:val="nil"/>
            </w:tcBorders>
            <w:shd w:val="clear" w:color="auto" w:fill="auto"/>
            <w:noWrap/>
            <w:vAlign w:val="center"/>
          </w:tcPr>
          <w:p w14:paraId="7BFD87E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4854760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58F76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4ECC43EB">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0D566FB5">
            <w:pPr>
              <w:widowControl/>
              <w:spacing w:line="240" w:lineRule="auto"/>
              <w:ind w:firstLine="0" w:firstLineChars="0"/>
              <w:jc w:val="center"/>
              <w:textAlignment w:val="center"/>
              <w:rPr>
                <w:color w:val="auto"/>
                <w:sz w:val="21"/>
                <w:szCs w:val="21"/>
              </w:rPr>
            </w:pPr>
            <w:r>
              <w:rPr>
                <w:color w:val="auto"/>
                <w:kern w:val="0"/>
                <w:sz w:val="21"/>
                <w:szCs w:val="21"/>
                <w:lang w:bidi="ar"/>
              </w:rPr>
              <w:t>平均值</w:t>
            </w:r>
          </w:p>
        </w:tc>
        <w:tc>
          <w:tcPr>
            <w:tcW w:w="382" w:type="pct"/>
            <w:tcBorders>
              <w:tl2br w:val="nil"/>
              <w:tr2bl w:val="nil"/>
            </w:tcBorders>
            <w:shd w:val="clear" w:color="auto" w:fill="auto"/>
            <w:noWrap/>
            <w:vAlign w:val="center"/>
          </w:tcPr>
          <w:p w14:paraId="4808245B">
            <w:pPr>
              <w:widowControl/>
              <w:spacing w:line="240" w:lineRule="auto"/>
              <w:ind w:firstLine="0" w:firstLineChars="0"/>
              <w:jc w:val="center"/>
              <w:textAlignment w:val="center"/>
              <w:rPr>
                <w:color w:val="auto"/>
                <w:sz w:val="21"/>
                <w:szCs w:val="21"/>
              </w:rPr>
            </w:pPr>
            <w:r>
              <w:rPr>
                <w:color w:val="auto"/>
                <w:kern w:val="0"/>
                <w:sz w:val="21"/>
                <w:szCs w:val="21"/>
                <w:lang w:bidi="ar"/>
              </w:rPr>
              <w:t>13.3</w:t>
            </w:r>
          </w:p>
        </w:tc>
        <w:tc>
          <w:tcPr>
            <w:tcW w:w="382" w:type="pct"/>
            <w:tcBorders>
              <w:tl2br w:val="nil"/>
              <w:tr2bl w:val="nil"/>
            </w:tcBorders>
            <w:shd w:val="clear" w:color="auto" w:fill="auto"/>
            <w:noWrap/>
            <w:vAlign w:val="center"/>
          </w:tcPr>
          <w:p w14:paraId="7B679A56">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382" w:type="pct"/>
            <w:tcBorders>
              <w:tl2br w:val="nil"/>
              <w:tr2bl w:val="nil"/>
            </w:tcBorders>
            <w:shd w:val="clear" w:color="auto" w:fill="auto"/>
            <w:noWrap/>
            <w:vAlign w:val="center"/>
          </w:tcPr>
          <w:p w14:paraId="5098C8EE">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382" w:type="pct"/>
            <w:tcBorders>
              <w:tl2br w:val="nil"/>
              <w:tr2bl w:val="nil"/>
            </w:tcBorders>
            <w:shd w:val="clear" w:color="auto" w:fill="auto"/>
            <w:noWrap/>
            <w:vAlign w:val="center"/>
          </w:tcPr>
          <w:p w14:paraId="10613DB0">
            <w:pPr>
              <w:widowControl/>
              <w:spacing w:line="240" w:lineRule="auto"/>
              <w:ind w:firstLine="0" w:firstLineChars="0"/>
              <w:jc w:val="center"/>
              <w:textAlignment w:val="center"/>
              <w:rPr>
                <w:color w:val="auto"/>
                <w:sz w:val="21"/>
                <w:szCs w:val="21"/>
              </w:rPr>
            </w:pPr>
            <w:r>
              <w:rPr>
                <w:color w:val="auto"/>
                <w:kern w:val="0"/>
                <w:sz w:val="21"/>
                <w:szCs w:val="21"/>
                <w:lang w:bidi="ar"/>
              </w:rPr>
              <w:t>3.4</w:t>
            </w:r>
          </w:p>
        </w:tc>
        <w:tc>
          <w:tcPr>
            <w:tcW w:w="383" w:type="pct"/>
            <w:tcBorders>
              <w:tl2br w:val="nil"/>
              <w:tr2bl w:val="nil"/>
            </w:tcBorders>
            <w:shd w:val="clear" w:color="auto" w:fill="auto"/>
            <w:noWrap/>
            <w:vAlign w:val="center"/>
          </w:tcPr>
          <w:p w14:paraId="7D8839A3">
            <w:pPr>
              <w:widowControl/>
              <w:spacing w:line="240" w:lineRule="auto"/>
              <w:ind w:firstLine="0" w:firstLineChars="0"/>
              <w:jc w:val="center"/>
              <w:textAlignment w:val="center"/>
              <w:rPr>
                <w:color w:val="auto"/>
                <w:sz w:val="21"/>
                <w:szCs w:val="21"/>
              </w:rPr>
            </w:pPr>
            <w:r>
              <w:rPr>
                <w:color w:val="auto"/>
                <w:kern w:val="0"/>
                <w:sz w:val="21"/>
                <w:szCs w:val="21"/>
                <w:lang w:bidi="ar"/>
              </w:rPr>
              <w:t>0.479</w:t>
            </w:r>
          </w:p>
        </w:tc>
        <w:tc>
          <w:tcPr>
            <w:tcW w:w="382" w:type="pct"/>
            <w:tcBorders>
              <w:tl2br w:val="nil"/>
              <w:tr2bl w:val="nil"/>
            </w:tcBorders>
            <w:shd w:val="clear" w:color="auto" w:fill="auto"/>
            <w:vAlign w:val="center"/>
          </w:tcPr>
          <w:p w14:paraId="6E1824F6">
            <w:pPr>
              <w:widowControl/>
              <w:spacing w:line="240" w:lineRule="auto"/>
              <w:ind w:firstLine="0" w:firstLineChars="0"/>
              <w:jc w:val="center"/>
              <w:textAlignment w:val="center"/>
              <w:rPr>
                <w:color w:val="auto"/>
                <w:sz w:val="21"/>
                <w:szCs w:val="21"/>
              </w:rPr>
            </w:pPr>
            <w:r>
              <w:rPr>
                <w:color w:val="auto"/>
                <w:kern w:val="0"/>
                <w:sz w:val="21"/>
                <w:szCs w:val="21"/>
                <w:lang w:bidi="ar"/>
              </w:rPr>
              <w:t>0.77</w:t>
            </w:r>
          </w:p>
        </w:tc>
        <w:tc>
          <w:tcPr>
            <w:tcW w:w="382" w:type="pct"/>
            <w:tcBorders>
              <w:tl2br w:val="nil"/>
              <w:tr2bl w:val="nil"/>
            </w:tcBorders>
            <w:shd w:val="clear" w:color="auto" w:fill="auto"/>
            <w:noWrap/>
            <w:vAlign w:val="center"/>
          </w:tcPr>
          <w:p w14:paraId="2F4EF039">
            <w:pPr>
              <w:widowControl/>
              <w:spacing w:line="240" w:lineRule="auto"/>
              <w:ind w:firstLine="0" w:firstLineChars="0"/>
              <w:jc w:val="center"/>
              <w:textAlignment w:val="center"/>
              <w:rPr>
                <w:color w:val="auto"/>
                <w:sz w:val="21"/>
                <w:szCs w:val="21"/>
              </w:rPr>
            </w:pPr>
            <w:r>
              <w:rPr>
                <w:color w:val="auto"/>
                <w:kern w:val="0"/>
                <w:sz w:val="21"/>
                <w:szCs w:val="21"/>
                <w:lang w:bidi="ar"/>
              </w:rPr>
              <w:t>0.18</w:t>
            </w:r>
          </w:p>
        </w:tc>
        <w:tc>
          <w:tcPr>
            <w:tcW w:w="382" w:type="pct"/>
            <w:tcBorders>
              <w:tl2br w:val="nil"/>
              <w:tr2bl w:val="nil"/>
            </w:tcBorders>
            <w:shd w:val="clear" w:color="auto" w:fill="auto"/>
            <w:noWrap/>
            <w:vAlign w:val="center"/>
          </w:tcPr>
          <w:p w14:paraId="0262821E">
            <w:pPr>
              <w:widowControl/>
              <w:spacing w:line="240" w:lineRule="auto"/>
              <w:ind w:firstLine="0" w:firstLineChars="0"/>
              <w:jc w:val="center"/>
              <w:textAlignment w:val="center"/>
              <w:rPr>
                <w:color w:val="auto"/>
                <w:sz w:val="21"/>
                <w:szCs w:val="21"/>
              </w:rPr>
            </w:pPr>
            <w:r>
              <w:rPr>
                <w:color w:val="auto"/>
                <w:kern w:val="0"/>
                <w:sz w:val="21"/>
                <w:szCs w:val="21"/>
                <w:lang w:bidi="ar"/>
              </w:rPr>
              <w:t>8.5</w:t>
            </w:r>
          </w:p>
        </w:tc>
        <w:tc>
          <w:tcPr>
            <w:tcW w:w="382" w:type="pct"/>
            <w:tcBorders>
              <w:tl2br w:val="nil"/>
              <w:tr2bl w:val="nil"/>
            </w:tcBorders>
            <w:shd w:val="clear" w:color="auto" w:fill="auto"/>
            <w:noWrap/>
            <w:vAlign w:val="center"/>
          </w:tcPr>
          <w:p w14:paraId="18267059">
            <w:pPr>
              <w:widowControl/>
              <w:spacing w:line="240" w:lineRule="auto"/>
              <w:ind w:firstLine="0" w:firstLineChars="0"/>
              <w:jc w:val="center"/>
              <w:textAlignment w:val="center"/>
              <w:rPr>
                <w:color w:val="auto"/>
                <w:sz w:val="21"/>
                <w:szCs w:val="21"/>
              </w:rPr>
            </w:pPr>
            <w:r>
              <w:rPr>
                <w:color w:val="auto"/>
                <w:kern w:val="0"/>
                <w:sz w:val="21"/>
                <w:szCs w:val="21"/>
                <w:lang w:bidi="ar"/>
              </w:rPr>
              <w:t>5.45</w:t>
            </w:r>
          </w:p>
        </w:tc>
        <w:tc>
          <w:tcPr>
            <w:tcW w:w="382" w:type="pct"/>
            <w:tcBorders>
              <w:tl2br w:val="nil"/>
              <w:tr2bl w:val="nil"/>
            </w:tcBorders>
            <w:shd w:val="clear" w:color="auto" w:fill="auto"/>
            <w:noWrap/>
            <w:vAlign w:val="center"/>
          </w:tcPr>
          <w:p w14:paraId="15B0C9B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3A36877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7A936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270AFC11">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6B74D22B">
            <w:pPr>
              <w:widowControl/>
              <w:spacing w:line="240" w:lineRule="auto"/>
              <w:ind w:firstLine="0" w:firstLineChars="0"/>
              <w:jc w:val="center"/>
              <w:textAlignment w:val="center"/>
              <w:rPr>
                <w:color w:val="auto"/>
                <w:sz w:val="21"/>
                <w:szCs w:val="21"/>
              </w:rPr>
            </w:pPr>
            <w:r>
              <w:rPr>
                <w:color w:val="auto"/>
                <w:kern w:val="0"/>
                <w:sz w:val="21"/>
                <w:szCs w:val="21"/>
                <w:lang w:bidi="ar"/>
              </w:rPr>
              <w:t>污染指数</w:t>
            </w:r>
          </w:p>
        </w:tc>
        <w:tc>
          <w:tcPr>
            <w:tcW w:w="382" w:type="pct"/>
            <w:tcBorders>
              <w:tl2br w:val="nil"/>
              <w:tr2bl w:val="nil"/>
            </w:tcBorders>
            <w:shd w:val="clear" w:color="auto" w:fill="auto"/>
            <w:noWrap/>
            <w:vAlign w:val="center"/>
          </w:tcPr>
          <w:p w14:paraId="7BAFAC16">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1D69BA8F">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7C26CF72">
            <w:pPr>
              <w:widowControl/>
              <w:spacing w:line="240" w:lineRule="auto"/>
              <w:ind w:firstLine="0" w:firstLineChars="0"/>
              <w:jc w:val="center"/>
              <w:textAlignment w:val="center"/>
              <w:rPr>
                <w:color w:val="auto"/>
                <w:sz w:val="21"/>
                <w:szCs w:val="21"/>
              </w:rPr>
            </w:pPr>
            <w:r>
              <w:rPr>
                <w:color w:val="auto"/>
                <w:kern w:val="0"/>
                <w:sz w:val="21"/>
                <w:szCs w:val="21"/>
                <w:lang w:bidi="ar"/>
              </w:rPr>
              <w:t>0.85</w:t>
            </w:r>
          </w:p>
        </w:tc>
        <w:tc>
          <w:tcPr>
            <w:tcW w:w="382" w:type="pct"/>
            <w:tcBorders>
              <w:tl2br w:val="nil"/>
              <w:tr2bl w:val="nil"/>
            </w:tcBorders>
            <w:shd w:val="clear" w:color="auto" w:fill="auto"/>
            <w:noWrap/>
            <w:vAlign w:val="center"/>
          </w:tcPr>
          <w:p w14:paraId="77F13DE6">
            <w:pPr>
              <w:widowControl/>
              <w:spacing w:line="240" w:lineRule="auto"/>
              <w:ind w:firstLine="0" w:firstLineChars="0"/>
              <w:jc w:val="center"/>
              <w:textAlignment w:val="center"/>
              <w:rPr>
                <w:color w:val="auto"/>
                <w:sz w:val="21"/>
                <w:szCs w:val="21"/>
              </w:rPr>
            </w:pPr>
            <w:r>
              <w:rPr>
                <w:color w:val="auto"/>
                <w:kern w:val="0"/>
                <w:sz w:val="21"/>
                <w:szCs w:val="21"/>
                <w:lang w:bidi="ar"/>
              </w:rPr>
              <w:t>0.85</w:t>
            </w:r>
          </w:p>
        </w:tc>
        <w:tc>
          <w:tcPr>
            <w:tcW w:w="383" w:type="pct"/>
            <w:tcBorders>
              <w:tl2br w:val="nil"/>
              <w:tr2bl w:val="nil"/>
            </w:tcBorders>
            <w:shd w:val="clear" w:color="auto" w:fill="auto"/>
            <w:noWrap/>
            <w:vAlign w:val="center"/>
          </w:tcPr>
          <w:p w14:paraId="7CE0998F">
            <w:pPr>
              <w:widowControl/>
              <w:spacing w:line="240" w:lineRule="auto"/>
              <w:ind w:firstLine="0" w:firstLineChars="0"/>
              <w:jc w:val="center"/>
              <w:textAlignment w:val="center"/>
              <w:rPr>
                <w:color w:val="auto"/>
                <w:sz w:val="21"/>
                <w:szCs w:val="21"/>
              </w:rPr>
            </w:pPr>
            <w:r>
              <w:rPr>
                <w:color w:val="auto"/>
                <w:kern w:val="0"/>
                <w:sz w:val="21"/>
                <w:szCs w:val="21"/>
                <w:lang w:bidi="ar"/>
              </w:rPr>
              <w:t>0.479</w:t>
            </w:r>
          </w:p>
        </w:tc>
        <w:tc>
          <w:tcPr>
            <w:tcW w:w="382" w:type="pct"/>
            <w:tcBorders>
              <w:tl2br w:val="nil"/>
              <w:tr2bl w:val="nil"/>
            </w:tcBorders>
            <w:shd w:val="clear" w:color="auto" w:fill="auto"/>
            <w:noWrap/>
            <w:vAlign w:val="center"/>
          </w:tcPr>
          <w:p w14:paraId="4F7010A3">
            <w:pPr>
              <w:widowControl/>
              <w:spacing w:line="240" w:lineRule="auto"/>
              <w:ind w:firstLine="0" w:firstLineChars="0"/>
              <w:jc w:val="center"/>
              <w:textAlignment w:val="center"/>
              <w:rPr>
                <w:color w:val="auto"/>
                <w:sz w:val="21"/>
                <w:szCs w:val="21"/>
              </w:rPr>
            </w:pPr>
            <w:r>
              <w:rPr>
                <w:color w:val="auto"/>
                <w:kern w:val="0"/>
                <w:sz w:val="21"/>
                <w:szCs w:val="21"/>
                <w:lang w:bidi="ar"/>
              </w:rPr>
              <w:t>0.77</w:t>
            </w:r>
          </w:p>
        </w:tc>
        <w:tc>
          <w:tcPr>
            <w:tcW w:w="382" w:type="pct"/>
            <w:tcBorders>
              <w:tl2br w:val="nil"/>
              <w:tr2bl w:val="nil"/>
            </w:tcBorders>
            <w:shd w:val="clear" w:color="auto" w:fill="auto"/>
            <w:noWrap/>
            <w:vAlign w:val="center"/>
          </w:tcPr>
          <w:p w14:paraId="193B29A4">
            <w:pPr>
              <w:widowControl/>
              <w:spacing w:line="240" w:lineRule="auto"/>
              <w:ind w:firstLine="0" w:firstLineChars="0"/>
              <w:jc w:val="center"/>
              <w:textAlignment w:val="center"/>
              <w:rPr>
                <w:color w:val="auto"/>
                <w:sz w:val="21"/>
                <w:szCs w:val="21"/>
              </w:rPr>
            </w:pPr>
            <w:r>
              <w:rPr>
                <w:color w:val="auto"/>
                <w:kern w:val="0"/>
                <w:sz w:val="21"/>
                <w:szCs w:val="21"/>
                <w:lang w:bidi="ar"/>
              </w:rPr>
              <w:t>0.88</w:t>
            </w:r>
          </w:p>
        </w:tc>
        <w:tc>
          <w:tcPr>
            <w:tcW w:w="382" w:type="pct"/>
            <w:tcBorders>
              <w:tl2br w:val="nil"/>
              <w:tr2bl w:val="nil"/>
            </w:tcBorders>
            <w:shd w:val="clear" w:color="auto" w:fill="auto"/>
            <w:noWrap/>
            <w:vAlign w:val="center"/>
          </w:tcPr>
          <w:p w14:paraId="0DB925B0">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12E791C1">
            <w:pPr>
              <w:widowControl/>
              <w:spacing w:line="240" w:lineRule="auto"/>
              <w:ind w:firstLine="0" w:firstLineChars="0"/>
              <w:jc w:val="center"/>
              <w:textAlignment w:val="center"/>
              <w:rPr>
                <w:color w:val="auto"/>
                <w:sz w:val="21"/>
                <w:szCs w:val="21"/>
              </w:rPr>
            </w:pPr>
            <w:r>
              <w:rPr>
                <w:color w:val="auto"/>
                <w:kern w:val="0"/>
                <w:sz w:val="21"/>
                <w:szCs w:val="21"/>
                <w:lang w:bidi="ar"/>
              </w:rPr>
              <w:t>0.91</w:t>
            </w:r>
          </w:p>
        </w:tc>
        <w:tc>
          <w:tcPr>
            <w:tcW w:w="382" w:type="pct"/>
            <w:tcBorders>
              <w:tl2br w:val="nil"/>
              <w:tr2bl w:val="nil"/>
            </w:tcBorders>
            <w:shd w:val="clear" w:color="auto" w:fill="auto"/>
            <w:noWrap/>
            <w:vAlign w:val="center"/>
          </w:tcPr>
          <w:p w14:paraId="58CF5129">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6" w:type="pct"/>
            <w:tcBorders>
              <w:tl2br w:val="nil"/>
              <w:tr2bl w:val="nil"/>
            </w:tcBorders>
            <w:shd w:val="clear" w:color="auto" w:fill="auto"/>
            <w:noWrap/>
            <w:vAlign w:val="center"/>
          </w:tcPr>
          <w:p w14:paraId="246966A4">
            <w:pPr>
              <w:widowControl/>
              <w:spacing w:line="240" w:lineRule="auto"/>
              <w:ind w:firstLine="0" w:firstLineChars="0"/>
              <w:jc w:val="center"/>
              <w:textAlignment w:val="center"/>
              <w:rPr>
                <w:color w:val="auto"/>
                <w:sz w:val="21"/>
                <w:szCs w:val="21"/>
              </w:rPr>
            </w:pPr>
            <w:r>
              <w:rPr>
                <w:color w:val="auto"/>
                <w:kern w:val="0"/>
                <w:sz w:val="21"/>
                <w:szCs w:val="21"/>
                <w:lang w:bidi="ar"/>
              </w:rPr>
              <w:t>-</w:t>
            </w:r>
          </w:p>
        </w:tc>
      </w:tr>
      <w:tr w14:paraId="7EF21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03B3CEEC">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2415E890">
            <w:pPr>
              <w:widowControl/>
              <w:spacing w:line="240" w:lineRule="auto"/>
              <w:ind w:firstLine="0" w:firstLineChars="0"/>
              <w:jc w:val="center"/>
              <w:textAlignment w:val="center"/>
              <w:rPr>
                <w:color w:val="auto"/>
                <w:sz w:val="21"/>
                <w:szCs w:val="21"/>
              </w:rPr>
            </w:pPr>
            <w:r>
              <w:rPr>
                <w:color w:val="auto"/>
                <w:kern w:val="0"/>
                <w:sz w:val="21"/>
                <w:szCs w:val="21"/>
                <w:lang w:bidi="ar"/>
              </w:rPr>
              <w:t>超标率%</w:t>
            </w:r>
          </w:p>
        </w:tc>
        <w:tc>
          <w:tcPr>
            <w:tcW w:w="382" w:type="pct"/>
            <w:tcBorders>
              <w:tl2br w:val="nil"/>
              <w:tr2bl w:val="nil"/>
            </w:tcBorders>
            <w:shd w:val="clear" w:color="auto" w:fill="auto"/>
            <w:noWrap/>
            <w:vAlign w:val="center"/>
          </w:tcPr>
          <w:p w14:paraId="778791F5">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26F7664E">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7C1C9360">
            <w:pPr>
              <w:widowControl/>
              <w:spacing w:line="240" w:lineRule="auto"/>
              <w:ind w:firstLine="0" w:firstLineChars="0"/>
              <w:jc w:val="center"/>
              <w:textAlignment w:val="center"/>
              <w:rPr>
                <w:color w:val="auto"/>
                <w:sz w:val="21"/>
                <w:szCs w:val="21"/>
              </w:rPr>
            </w:pPr>
            <w:r>
              <w:rPr>
                <w:color w:val="auto"/>
                <w:sz w:val="21"/>
                <w:szCs w:val="21"/>
              </w:rPr>
              <w:t>0</w:t>
            </w:r>
          </w:p>
        </w:tc>
        <w:tc>
          <w:tcPr>
            <w:tcW w:w="382" w:type="pct"/>
            <w:tcBorders>
              <w:tl2br w:val="nil"/>
              <w:tr2bl w:val="nil"/>
            </w:tcBorders>
            <w:shd w:val="clear" w:color="auto" w:fill="auto"/>
            <w:noWrap/>
            <w:vAlign w:val="center"/>
          </w:tcPr>
          <w:p w14:paraId="6F4ED04B">
            <w:pPr>
              <w:widowControl/>
              <w:spacing w:line="240" w:lineRule="auto"/>
              <w:ind w:firstLine="0" w:firstLineChars="0"/>
              <w:jc w:val="center"/>
              <w:textAlignment w:val="center"/>
              <w:rPr>
                <w:color w:val="auto"/>
                <w:sz w:val="21"/>
                <w:szCs w:val="21"/>
              </w:rPr>
            </w:pPr>
            <w:r>
              <w:rPr>
                <w:color w:val="auto"/>
                <w:sz w:val="21"/>
                <w:szCs w:val="21"/>
              </w:rPr>
              <w:t>0</w:t>
            </w:r>
          </w:p>
        </w:tc>
        <w:tc>
          <w:tcPr>
            <w:tcW w:w="383" w:type="pct"/>
            <w:tcBorders>
              <w:tl2br w:val="nil"/>
              <w:tr2bl w:val="nil"/>
            </w:tcBorders>
            <w:shd w:val="clear" w:color="auto" w:fill="auto"/>
            <w:noWrap/>
            <w:vAlign w:val="center"/>
          </w:tcPr>
          <w:p w14:paraId="3D99C85B">
            <w:pPr>
              <w:widowControl/>
              <w:spacing w:line="240" w:lineRule="auto"/>
              <w:ind w:firstLine="0" w:firstLineChars="0"/>
              <w:jc w:val="center"/>
              <w:textAlignment w:val="center"/>
              <w:rPr>
                <w:color w:val="auto"/>
                <w:sz w:val="21"/>
                <w:szCs w:val="21"/>
              </w:rPr>
            </w:pPr>
            <w:r>
              <w:rPr>
                <w:color w:val="auto"/>
                <w:sz w:val="21"/>
                <w:szCs w:val="21"/>
              </w:rPr>
              <w:t>0</w:t>
            </w:r>
          </w:p>
        </w:tc>
        <w:tc>
          <w:tcPr>
            <w:tcW w:w="382" w:type="pct"/>
            <w:tcBorders>
              <w:tl2br w:val="nil"/>
              <w:tr2bl w:val="nil"/>
            </w:tcBorders>
            <w:shd w:val="clear" w:color="auto" w:fill="auto"/>
            <w:noWrap/>
            <w:vAlign w:val="center"/>
          </w:tcPr>
          <w:p w14:paraId="4FA80F51">
            <w:pPr>
              <w:widowControl/>
              <w:spacing w:line="240" w:lineRule="auto"/>
              <w:ind w:firstLine="0" w:firstLineChars="0"/>
              <w:jc w:val="center"/>
              <w:textAlignment w:val="center"/>
              <w:rPr>
                <w:color w:val="auto"/>
                <w:sz w:val="21"/>
                <w:szCs w:val="21"/>
              </w:rPr>
            </w:pPr>
            <w:r>
              <w:rPr>
                <w:color w:val="auto"/>
                <w:sz w:val="21"/>
                <w:szCs w:val="21"/>
              </w:rPr>
              <w:t>0</w:t>
            </w:r>
          </w:p>
        </w:tc>
        <w:tc>
          <w:tcPr>
            <w:tcW w:w="382" w:type="pct"/>
            <w:tcBorders>
              <w:tl2br w:val="nil"/>
              <w:tr2bl w:val="nil"/>
            </w:tcBorders>
            <w:shd w:val="clear" w:color="auto" w:fill="auto"/>
            <w:noWrap/>
            <w:vAlign w:val="center"/>
          </w:tcPr>
          <w:p w14:paraId="7D608278">
            <w:pPr>
              <w:widowControl/>
              <w:spacing w:line="240" w:lineRule="auto"/>
              <w:ind w:firstLine="0" w:firstLineChars="0"/>
              <w:jc w:val="center"/>
              <w:textAlignment w:val="center"/>
              <w:rPr>
                <w:color w:val="auto"/>
                <w:sz w:val="21"/>
                <w:szCs w:val="21"/>
              </w:rPr>
            </w:pPr>
            <w:r>
              <w:rPr>
                <w:color w:val="auto"/>
                <w:sz w:val="21"/>
                <w:szCs w:val="21"/>
              </w:rPr>
              <w:t>0</w:t>
            </w:r>
          </w:p>
        </w:tc>
        <w:tc>
          <w:tcPr>
            <w:tcW w:w="382" w:type="pct"/>
            <w:tcBorders>
              <w:tl2br w:val="nil"/>
              <w:tr2bl w:val="nil"/>
            </w:tcBorders>
            <w:shd w:val="clear" w:color="auto" w:fill="auto"/>
            <w:noWrap/>
            <w:vAlign w:val="center"/>
          </w:tcPr>
          <w:p w14:paraId="7A7A32F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3D0169C5">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7A438E25">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6" w:type="pct"/>
            <w:tcBorders>
              <w:tl2br w:val="nil"/>
              <w:tr2bl w:val="nil"/>
            </w:tcBorders>
            <w:shd w:val="clear" w:color="auto" w:fill="auto"/>
            <w:noWrap/>
            <w:vAlign w:val="center"/>
          </w:tcPr>
          <w:p w14:paraId="0CB10AA5">
            <w:pPr>
              <w:widowControl/>
              <w:spacing w:line="240" w:lineRule="auto"/>
              <w:ind w:firstLine="0" w:firstLineChars="0"/>
              <w:jc w:val="center"/>
              <w:textAlignment w:val="center"/>
              <w:rPr>
                <w:color w:val="auto"/>
                <w:sz w:val="21"/>
                <w:szCs w:val="21"/>
              </w:rPr>
            </w:pPr>
            <w:r>
              <w:rPr>
                <w:color w:val="auto"/>
                <w:kern w:val="0"/>
                <w:sz w:val="21"/>
                <w:szCs w:val="21"/>
                <w:lang w:bidi="ar"/>
              </w:rPr>
              <w:t>0</w:t>
            </w:r>
          </w:p>
        </w:tc>
      </w:tr>
      <w:tr w14:paraId="49601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765" w:type="pct"/>
            <w:gridSpan w:val="2"/>
            <w:tcBorders>
              <w:tl2br w:val="nil"/>
              <w:tr2bl w:val="nil"/>
            </w:tcBorders>
            <w:shd w:val="clear" w:color="auto" w:fill="auto"/>
            <w:noWrap/>
            <w:vAlign w:val="center"/>
          </w:tcPr>
          <w:p w14:paraId="2768CBFE">
            <w:pPr>
              <w:widowControl/>
              <w:spacing w:line="240" w:lineRule="auto"/>
              <w:ind w:firstLine="0" w:firstLineChars="0"/>
              <w:jc w:val="center"/>
              <w:textAlignment w:val="center"/>
              <w:rPr>
                <w:color w:val="auto"/>
                <w:sz w:val="21"/>
                <w:szCs w:val="21"/>
              </w:rPr>
            </w:pPr>
            <w:r>
              <w:rPr>
                <w:color w:val="auto"/>
                <w:kern w:val="0"/>
                <w:sz w:val="21"/>
                <w:szCs w:val="21"/>
                <w:lang w:bidi="ar"/>
              </w:rPr>
              <w:t>Ⅳ类水体</w:t>
            </w:r>
          </w:p>
        </w:tc>
        <w:tc>
          <w:tcPr>
            <w:tcW w:w="382" w:type="pct"/>
            <w:tcBorders>
              <w:tl2br w:val="nil"/>
              <w:tr2bl w:val="nil"/>
            </w:tcBorders>
            <w:shd w:val="clear" w:color="auto" w:fill="auto"/>
            <w:noWrap/>
            <w:vAlign w:val="center"/>
          </w:tcPr>
          <w:p w14:paraId="7A669DB8">
            <w:pPr>
              <w:widowControl/>
              <w:spacing w:line="240" w:lineRule="auto"/>
              <w:ind w:firstLine="0" w:firstLineChars="0"/>
              <w:jc w:val="center"/>
              <w:textAlignment w:val="center"/>
              <w:rPr>
                <w:color w:val="auto"/>
                <w:sz w:val="21"/>
                <w:szCs w:val="21"/>
              </w:rPr>
            </w:pPr>
            <w:r>
              <w:rPr>
                <w:color w:val="auto"/>
                <w:sz w:val="21"/>
                <w:szCs w:val="21"/>
              </w:rPr>
              <w:t>-</w:t>
            </w:r>
          </w:p>
        </w:tc>
        <w:tc>
          <w:tcPr>
            <w:tcW w:w="382" w:type="pct"/>
            <w:tcBorders>
              <w:tl2br w:val="nil"/>
              <w:tr2bl w:val="nil"/>
            </w:tcBorders>
            <w:shd w:val="clear" w:color="auto" w:fill="auto"/>
            <w:noWrap/>
            <w:vAlign w:val="center"/>
          </w:tcPr>
          <w:p w14:paraId="4DBDA2DD">
            <w:pPr>
              <w:widowControl/>
              <w:spacing w:line="240" w:lineRule="auto"/>
              <w:ind w:firstLine="0" w:firstLineChars="0"/>
              <w:jc w:val="center"/>
              <w:textAlignment w:val="center"/>
              <w:rPr>
                <w:color w:val="auto"/>
                <w:sz w:val="21"/>
                <w:szCs w:val="21"/>
              </w:rPr>
            </w:pPr>
            <w:r>
              <w:rPr>
                <w:color w:val="auto"/>
                <w:kern w:val="0"/>
                <w:sz w:val="21"/>
                <w:szCs w:val="21"/>
                <w:lang w:bidi="ar"/>
              </w:rPr>
              <w:t>6~9</w:t>
            </w:r>
          </w:p>
        </w:tc>
        <w:tc>
          <w:tcPr>
            <w:tcW w:w="382" w:type="pct"/>
            <w:tcBorders>
              <w:tl2br w:val="nil"/>
              <w:tr2bl w:val="nil"/>
            </w:tcBorders>
            <w:shd w:val="clear" w:color="auto" w:fill="auto"/>
            <w:noWrap/>
            <w:vAlign w:val="center"/>
          </w:tcPr>
          <w:p w14:paraId="7F1DDE69">
            <w:pPr>
              <w:widowControl/>
              <w:spacing w:line="240" w:lineRule="auto"/>
              <w:ind w:firstLine="0" w:firstLineChars="0"/>
              <w:jc w:val="center"/>
              <w:textAlignment w:val="center"/>
              <w:rPr>
                <w:color w:val="auto"/>
                <w:kern w:val="0"/>
                <w:sz w:val="21"/>
                <w:szCs w:val="21"/>
              </w:rPr>
            </w:pPr>
            <w:r>
              <w:rPr>
                <w:color w:val="auto"/>
                <w:kern w:val="0"/>
                <w:sz w:val="21"/>
                <w:szCs w:val="21"/>
                <w:lang w:bidi="ar"/>
              </w:rPr>
              <w:t>30</w:t>
            </w:r>
          </w:p>
        </w:tc>
        <w:tc>
          <w:tcPr>
            <w:tcW w:w="382" w:type="pct"/>
            <w:tcBorders>
              <w:tl2br w:val="nil"/>
              <w:tr2bl w:val="nil"/>
            </w:tcBorders>
            <w:shd w:val="clear" w:color="auto" w:fill="auto"/>
            <w:noWrap/>
            <w:vAlign w:val="center"/>
          </w:tcPr>
          <w:p w14:paraId="37EA5217">
            <w:pPr>
              <w:widowControl/>
              <w:spacing w:line="240" w:lineRule="auto"/>
              <w:ind w:firstLine="0" w:firstLineChars="0"/>
              <w:jc w:val="center"/>
              <w:textAlignment w:val="center"/>
              <w:rPr>
                <w:color w:val="auto"/>
                <w:kern w:val="0"/>
                <w:sz w:val="21"/>
                <w:szCs w:val="21"/>
              </w:rPr>
            </w:pPr>
            <w:r>
              <w:rPr>
                <w:color w:val="auto"/>
                <w:kern w:val="0"/>
                <w:sz w:val="21"/>
                <w:szCs w:val="21"/>
                <w:lang w:bidi="ar"/>
              </w:rPr>
              <w:t>6</w:t>
            </w:r>
          </w:p>
        </w:tc>
        <w:tc>
          <w:tcPr>
            <w:tcW w:w="383" w:type="pct"/>
            <w:tcBorders>
              <w:tl2br w:val="nil"/>
              <w:tr2bl w:val="nil"/>
            </w:tcBorders>
            <w:shd w:val="clear" w:color="auto" w:fill="auto"/>
            <w:noWrap/>
            <w:vAlign w:val="center"/>
          </w:tcPr>
          <w:p w14:paraId="335BFE38">
            <w:pPr>
              <w:widowControl/>
              <w:spacing w:line="240" w:lineRule="auto"/>
              <w:ind w:firstLine="0" w:firstLineChars="0"/>
              <w:jc w:val="center"/>
              <w:textAlignment w:val="center"/>
              <w:rPr>
                <w:color w:val="auto"/>
                <w:kern w:val="0"/>
                <w:sz w:val="21"/>
                <w:szCs w:val="21"/>
              </w:rPr>
            </w:pPr>
            <w:r>
              <w:rPr>
                <w:color w:val="auto"/>
                <w:kern w:val="0"/>
                <w:sz w:val="21"/>
                <w:szCs w:val="21"/>
                <w:lang w:bidi="ar"/>
              </w:rPr>
              <w:t>1.5</w:t>
            </w:r>
          </w:p>
        </w:tc>
        <w:tc>
          <w:tcPr>
            <w:tcW w:w="382" w:type="pct"/>
            <w:tcBorders>
              <w:tl2br w:val="nil"/>
              <w:tr2bl w:val="nil"/>
            </w:tcBorders>
            <w:shd w:val="clear" w:color="auto" w:fill="auto"/>
            <w:noWrap/>
            <w:vAlign w:val="center"/>
          </w:tcPr>
          <w:p w14:paraId="6B347738">
            <w:pPr>
              <w:widowControl/>
              <w:spacing w:line="240" w:lineRule="auto"/>
              <w:ind w:firstLine="0" w:firstLineChars="0"/>
              <w:jc w:val="center"/>
              <w:textAlignment w:val="center"/>
              <w:rPr>
                <w:color w:val="auto"/>
                <w:kern w:val="0"/>
                <w:sz w:val="21"/>
                <w:szCs w:val="21"/>
              </w:rPr>
            </w:pPr>
            <w:r>
              <w:rPr>
                <w:color w:val="auto"/>
                <w:kern w:val="0"/>
                <w:sz w:val="21"/>
                <w:szCs w:val="21"/>
                <w:lang w:bidi="ar"/>
              </w:rPr>
              <w:t>1.5</w:t>
            </w:r>
          </w:p>
        </w:tc>
        <w:tc>
          <w:tcPr>
            <w:tcW w:w="382" w:type="pct"/>
            <w:tcBorders>
              <w:tl2br w:val="nil"/>
              <w:tr2bl w:val="nil"/>
            </w:tcBorders>
            <w:shd w:val="clear" w:color="auto" w:fill="auto"/>
            <w:noWrap/>
            <w:vAlign w:val="center"/>
          </w:tcPr>
          <w:p w14:paraId="56CE871E">
            <w:pPr>
              <w:widowControl/>
              <w:spacing w:line="240" w:lineRule="auto"/>
              <w:ind w:firstLine="0" w:firstLineChars="0"/>
              <w:jc w:val="center"/>
              <w:textAlignment w:val="center"/>
              <w:rPr>
                <w:color w:val="auto"/>
                <w:kern w:val="0"/>
                <w:sz w:val="21"/>
                <w:szCs w:val="21"/>
              </w:rPr>
            </w:pPr>
            <w:r>
              <w:rPr>
                <w:color w:val="auto"/>
                <w:kern w:val="0"/>
                <w:sz w:val="21"/>
                <w:szCs w:val="21"/>
                <w:lang w:bidi="ar"/>
              </w:rPr>
              <w:t>0.3</w:t>
            </w:r>
          </w:p>
        </w:tc>
        <w:tc>
          <w:tcPr>
            <w:tcW w:w="382" w:type="pct"/>
            <w:tcBorders>
              <w:tl2br w:val="nil"/>
              <w:tr2bl w:val="nil"/>
            </w:tcBorders>
            <w:shd w:val="clear" w:color="auto" w:fill="auto"/>
            <w:noWrap/>
            <w:vAlign w:val="center"/>
          </w:tcPr>
          <w:p w14:paraId="4C2279C4">
            <w:pPr>
              <w:widowControl/>
              <w:spacing w:line="240" w:lineRule="auto"/>
              <w:ind w:firstLine="0" w:firstLineChars="0"/>
              <w:jc w:val="center"/>
              <w:textAlignment w:val="center"/>
              <w:rPr>
                <w:color w:val="auto"/>
                <w:kern w:val="0"/>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61A6354F">
            <w:pPr>
              <w:widowControl/>
              <w:spacing w:line="240" w:lineRule="auto"/>
              <w:ind w:firstLine="0" w:firstLineChars="0"/>
              <w:jc w:val="center"/>
              <w:textAlignment w:val="center"/>
              <w:rPr>
                <w:color w:val="auto"/>
                <w:kern w:val="0"/>
                <w:sz w:val="21"/>
                <w:szCs w:val="21"/>
              </w:rPr>
            </w:pPr>
            <w:r>
              <w:rPr>
                <w:color w:val="auto"/>
                <w:kern w:val="0"/>
                <w:sz w:val="21"/>
                <w:szCs w:val="21"/>
                <w:lang w:bidi="ar"/>
              </w:rPr>
              <w:t>10</w:t>
            </w:r>
          </w:p>
        </w:tc>
        <w:tc>
          <w:tcPr>
            <w:tcW w:w="382" w:type="pct"/>
            <w:tcBorders>
              <w:tl2br w:val="nil"/>
              <w:tr2bl w:val="nil"/>
            </w:tcBorders>
            <w:shd w:val="clear" w:color="auto" w:fill="auto"/>
            <w:noWrap/>
            <w:vAlign w:val="center"/>
          </w:tcPr>
          <w:p w14:paraId="40580120">
            <w:pPr>
              <w:widowControl/>
              <w:spacing w:line="240" w:lineRule="auto"/>
              <w:ind w:firstLine="0" w:firstLineChars="0"/>
              <w:jc w:val="center"/>
              <w:textAlignment w:val="center"/>
              <w:rPr>
                <w:color w:val="auto"/>
                <w:kern w:val="0"/>
                <w:sz w:val="21"/>
                <w:szCs w:val="21"/>
              </w:rPr>
            </w:pPr>
            <w:r>
              <w:rPr>
                <w:color w:val="auto"/>
                <w:kern w:val="0"/>
                <w:sz w:val="21"/>
                <w:szCs w:val="21"/>
                <w:lang w:bidi="ar"/>
              </w:rPr>
              <w:t>0.5</w:t>
            </w:r>
          </w:p>
        </w:tc>
        <w:tc>
          <w:tcPr>
            <w:tcW w:w="386" w:type="pct"/>
            <w:tcBorders>
              <w:tl2br w:val="nil"/>
              <w:tr2bl w:val="nil"/>
            </w:tcBorders>
            <w:shd w:val="clear" w:color="auto" w:fill="auto"/>
            <w:noWrap/>
            <w:vAlign w:val="center"/>
          </w:tcPr>
          <w:p w14:paraId="0B2FF1E9">
            <w:pPr>
              <w:widowControl/>
              <w:spacing w:line="240" w:lineRule="auto"/>
              <w:ind w:firstLine="0" w:firstLineChars="0"/>
              <w:jc w:val="center"/>
              <w:textAlignment w:val="center"/>
              <w:rPr>
                <w:color w:val="auto"/>
                <w:kern w:val="0"/>
                <w:sz w:val="21"/>
                <w:szCs w:val="21"/>
              </w:rPr>
            </w:pPr>
            <w:r>
              <w:rPr>
                <w:color w:val="auto"/>
                <w:kern w:val="0"/>
                <w:sz w:val="21"/>
                <w:szCs w:val="21"/>
                <w:lang w:bidi="ar"/>
              </w:rPr>
              <w:t>0.3</w:t>
            </w:r>
          </w:p>
        </w:tc>
      </w:tr>
      <w:tr w14:paraId="66174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restart"/>
            <w:tcBorders>
              <w:tl2br w:val="nil"/>
              <w:tr2bl w:val="nil"/>
            </w:tcBorders>
            <w:shd w:val="clear" w:color="auto" w:fill="auto"/>
            <w:noWrap/>
            <w:vAlign w:val="center"/>
          </w:tcPr>
          <w:p w14:paraId="0757ED7A">
            <w:pPr>
              <w:widowControl/>
              <w:spacing w:line="240" w:lineRule="auto"/>
              <w:ind w:firstLine="0" w:firstLineChars="0"/>
              <w:jc w:val="center"/>
              <w:textAlignment w:val="center"/>
              <w:rPr>
                <w:color w:val="auto"/>
                <w:sz w:val="21"/>
                <w:szCs w:val="21"/>
              </w:rPr>
            </w:pPr>
            <w:r>
              <w:rPr>
                <w:color w:val="auto"/>
                <w:kern w:val="0"/>
                <w:sz w:val="21"/>
                <w:szCs w:val="21"/>
                <w:lang w:bidi="ar"/>
              </w:rPr>
              <w:t>W3开发区临港镇污水处理厂排口下游2000m处</w:t>
            </w:r>
          </w:p>
        </w:tc>
        <w:tc>
          <w:tcPr>
            <w:tcW w:w="382" w:type="pct"/>
            <w:tcBorders>
              <w:tl2br w:val="nil"/>
              <w:tr2bl w:val="nil"/>
            </w:tcBorders>
            <w:shd w:val="clear" w:color="auto" w:fill="auto"/>
            <w:noWrap/>
            <w:vAlign w:val="center"/>
          </w:tcPr>
          <w:p w14:paraId="533E031D">
            <w:pPr>
              <w:widowControl/>
              <w:spacing w:line="240" w:lineRule="auto"/>
              <w:ind w:firstLine="0" w:firstLineChars="0"/>
              <w:jc w:val="center"/>
              <w:textAlignment w:val="center"/>
              <w:rPr>
                <w:color w:val="auto"/>
                <w:sz w:val="21"/>
                <w:szCs w:val="21"/>
              </w:rPr>
            </w:pPr>
            <w:r>
              <w:rPr>
                <w:color w:val="auto"/>
                <w:kern w:val="0"/>
                <w:sz w:val="21"/>
                <w:szCs w:val="21"/>
                <w:lang w:bidi="ar"/>
              </w:rPr>
              <w:t>最大值</w:t>
            </w:r>
          </w:p>
        </w:tc>
        <w:tc>
          <w:tcPr>
            <w:tcW w:w="382" w:type="pct"/>
            <w:tcBorders>
              <w:tl2br w:val="nil"/>
              <w:tr2bl w:val="nil"/>
            </w:tcBorders>
            <w:shd w:val="clear" w:color="auto" w:fill="auto"/>
            <w:noWrap/>
            <w:vAlign w:val="center"/>
          </w:tcPr>
          <w:p w14:paraId="0D0A464E">
            <w:pPr>
              <w:widowControl/>
              <w:spacing w:line="240" w:lineRule="auto"/>
              <w:ind w:firstLine="0" w:firstLineChars="0"/>
              <w:jc w:val="center"/>
              <w:textAlignment w:val="center"/>
              <w:rPr>
                <w:color w:val="auto"/>
                <w:sz w:val="21"/>
                <w:szCs w:val="21"/>
              </w:rPr>
            </w:pPr>
            <w:r>
              <w:rPr>
                <w:color w:val="auto"/>
                <w:kern w:val="0"/>
                <w:sz w:val="21"/>
                <w:szCs w:val="21"/>
                <w:lang w:bidi="ar"/>
              </w:rPr>
              <w:t>14.9</w:t>
            </w:r>
          </w:p>
        </w:tc>
        <w:tc>
          <w:tcPr>
            <w:tcW w:w="382" w:type="pct"/>
            <w:tcBorders>
              <w:tl2br w:val="nil"/>
              <w:tr2bl w:val="nil"/>
            </w:tcBorders>
            <w:shd w:val="clear" w:color="auto" w:fill="auto"/>
            <w:noWrap/>
            <w:vAlign w:val="center"/>
          </w:tcPr>
          <w:p w14:paraId="5E37DED9">
            <w:pPr>
              <w:widowControl/>
              <w:spacing w:line="240" w:lineRule="auto"/>
              <w:ind w:firstLine="0" w:firstLineChars="0"/>
              <w:jc w:val="center"/>
              <w:textAlignment w:val="center"/>
              <w:rPr>
                <w:color w:val="auto"/>
                <w:sz w:val="21"/>
                <w:szCs w:val="21"/>
              </w:rPr>
            </w:pPr>
            <w:r>
              <w:rPr>
                <w:color w:val="auto"/>
                <w:kern w:val="0"/>
                <w:sz w:val="21"/>
                <w:szCs w:val="21"/>
                <w:lang w:bidi="ar"/>
              </w:rPr>
              <w:t>7.2</w:t>
            </w:r>
          </w:p>
        </w:tc>
        <w:tc>
          <w:tcPr>
            <w:tcW w:w="382" w:type="pct"/>
            <w:tcBorders>
              <w:tl2br w:val="nil"/>
              <w:tr2bl w:val="nil"/>
            </w:tcBorders>
            <w:shd w:val="clear" w:color="auto" w:fill="auto"/>
            <w:noWrap/>
            <w:vAlign w:val="center"/>
          </w:tcPr>
          <w:p w14:paraId="206D13BC">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382" w:type="pct"/>
            <w:tcBorders>
              <w:tl2br w:val="nil"/>
              <w:tr2bl w:val="nil"/>
            </w:tcBorders>
            <w:shd w:val="clear" w:color="auto" w:fill="auto"/>
            <w:noWrap/>
            <w:vAlign w:val="center"/>
          </w:tcPr>
          <w:p w14:paraId="139AD22A">
            <w:pPr>
              <w:widowControl/>
              <w:spacing w:line="240" w:lineRule="auto"/>
              <w:ind w:firstLine="0" w:firstLineChars="0"/>
              <w:jc w:val="center"/>
              <w:textAlignment w:val="center"/>
              <w:rPr>
                <w:color w:val="auto"/>
                <w:sz w:val="21"/>
                <w:szCs w:val="21"/>
              </w:rPr>
            </w:pPr>
            <w:r>
              <w:rPr>
                <w:color w:val="auto"/>
                <w:kern w:val="0"/>
                <w:sz w:val="21"/>
                <w:szCs w:val="21"/>
                <w:lang w:bidi="ar"/>
              </w:rPr>
              <w:t>3.7</w:t>
            </w:r>
          </w:p>
        </w:tc>
        <w:tc>
          <w:tcPr>
            <w:tcW w:w="383" w:type="pct"/>
            <w:tcBorders>
              <w:tl2br w:val="nil"/>
              <w:tr2bl w:val="nil"/>
            </w:tcBorders>
            <w:shd w:val="clear" w:color="auto" w:fill="auto"/>
            <w:noWrap/>
            <w:vAlign w:val="center"/>
          </w:tcPr>
          <w:p w14:paraId="357D57F2">
            <w:pPr>
              <w:widowControl/>
              <w:spacing w:line="240" w:lineRule="auto"/>
              <w:ind w:firstLine="0" w:firstLineChars="0"/>
              <w:jc w:val="center"/>
              <w:textAlignment w:val="center"/>
              <w:rPr>
                <w:color w:val="auto"/>
                <w:sz w:val="21"/>
                <w:szCs w:val="21"/>
              </w:rPr>
            </w:pPr>
            <w:r>
              <w:rPr>
                <w:color w:val="auto"/>
                <w:kern w:val="0"/>
                <w:sz w:val="21"/>
                <w:szCs w:val="21"/>
                <w:lang w:bidi="ar"/>
              </w:rPr>
              <w:t>0.519</w:t>
            </w:r>
          </w:p>
        </w:tc>
        <w:tc>
          <w:tcPr>
            <w:tcW w:w="382" w:type="pct"/>
            <w:tcBorders>
              <w:tl2br w:val="nil"/>
              <w:tr2bl w:val="nil"/>
            </w:tcBorders>
            <w:shd w:val="clear" w:color="auto" w:fill="auto"/>
            <w:vAlign w:val="center"/>
          </w:tcPr>
          <w:p w14:paraId="24A3ABB8">
            <w:pPr>
              <w:widowControl/>
              <w:spacing w:line="240" w:lineRule="auto"/>
              <w:ind w:firstLine="0" w:firstLineChars="0"/>
              <w:jc w:val="center"/>
              <w:textAlignment w:val="center"/>
              <w:rPr>
                <w:color w:val="auto"/>
                <w:sz w:val="21"/>
                <w:szCs w:val="21"/>
              </w:rPr>
            </w:pPr>
            <w:r>
              <w:rPr>
                <w:color w:val="auto"/>
                <w:kern w:val="0"/>
                <w:sz w:val="21"/>
                <w:szCs w:val="21"/>
                <w:lang w:bidi="ar"/>
              </w:rPr>
              <w:t>0.77</w:t>
            </w:r>
          </w:p>
        </w:tc>
        <w:tc>
          <w:tcPr>
            <w:tcW w:w="382" w:type="pct"/>
            <w:tcBorders>
              <w:tl2br w:val="nil"/>
              <w:tr2bl w:val="nil"/>
            </w:tcBorders>
            <w:shd w:val="clear" w:color="auto" w:fill="auto"/>
            <w:noWrap/>
            <w:vAlign w:val="center"/>
          </w:tcPr>
          <w:p w14:paraId="35FF6C4A">
            <w:pPr>
              <w:widowControl/>
              <w:spacing w:line="240" w:lineRule="auto"/>
              <w:ind w:firstLine="0" w:firstLineChars="0"/>
              <w:jc w:val="center"/>
              <w:textAlignment w:val="center"/>
              <w:rPr>
                <w:color w:val="auto"/>
                <w:sz w:val="21"/>
                <w:szCs w:val="21"/>
              </w:rPr>
            </w:pPr>
            <w:r>
              <w:rPr>
                <w:color w:val="auto"/>
                <w:kern w:val="0"/>
                <w:sz w:val="21"/>
                <w:szCs w:val="21"/>
                <w:lang w:bidi="ar"/>
              </w:rPr>
              <w:t>0.19</w:t>
            </w:r>
          </w:p>
        </w:tc>
        <w:tc>
          <w:tcPr>
            <w:tcW w:w="382" w:type="pct"/>
            <w:tcBorders>
              <w:tl2br w:val="nil"/>
              <w:tr2bl w:val="nil"/>
            </w:tcBorders>
            <w:shd w:val="clear" w:color="auto" w:fill="auto"/>
            <w:noWrap/>
            <w:vAlign w:val="center"/>
          </w:tcPr>
          <w:p w14:paraId="22EA2070">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382" w:type="pct"/>
            <w:tcBorders>
              <w:tl2br w:val="nil"/>
              <w:tr2bl w:val="nil"/>
            </w:tcBorders>
            <w:shd w:val="clear" w:color="auto" w:fill="auto"/>
            <w:noWrap/>
            <w:vAlign w:val="center"/>
          </w:tcPr>
          <w:p w14:paraId="0AEB1C18">
            <w:pPr>
              <w:widowControl/>
              <w:spacing w:line="240" w:lineRule="auto"/>
              <w:ind w:firstLine="0" w:firstLineChars="0"/>
              <w:jc w:val="center"/>
              <w:textAlignment w:val="center"/>
              <w:rPr>
                <w:color w:val="auto"/>
                <w:sz w:val="21"/>
                <w:szCs w:val="21"/>
              </w:rPr>
            </w:pPr>
            <w:r>
              <w:rPr>
                <w:color w:val="auto"/>
                <w:kern w:val="0"/>
                <w:sz w:val="21"/>
                <w:szCs w:val="21"/>
                <w:lang w:bidi="ar"/>
              </w:rPr>
              <w:t>4.8</w:t>
            </w:r>
          </w:p>
        </w:tc>
        <w:tc>
          <w:tcPr>
            <w:tcW w:w="382" w:type="pct"/>
            <w:tcBorders>
              <w:tl2br w:val="nil"/>
              <w:tr2bl w:val="nil"/>
            </w:tcBorders>
            <w:shd w:val="clear" w:color="auto" w:fill="auto"/>
            <w:noWrap/>
            <w:vAlign w:val="center"/>
          </w:tcPr>
          <w:p w14:paraId="78A1690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634841F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087D6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263A5B9F">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27D99CFC">
            <w:pPr>
              <w:widowControl/>
              <w:spacing w:line="240" w:lineRule="auto"/>
              <w:ind w:firstLine="0" w:firstLineChars="0"/>
              <w:jc w:val="center"/>
              <w:textAlignment w:val="center"/>
              <w:rPr>
                <w:color w:val="auto"/>
                <w:sz w:val="21"/>
                <w:szCs w:val="21"/>
              </w:rPr>
            </w:pPr>
            <w:r>
              <w:rPr>
                <w:color w:val="auto"/>
                <w:kern w:val="0"/>
                <w:sz w:val="21"/>
                <w:szCs w:val="21"/>
                <w:lang w:bidi="ar"/>
              </w:rPr>
              <w:t>最小值</w:t>
            </w:r>
          </w:p>
        </w:tc>
        <w:tc>
          <w:tcPr>
            <w:tcW w:w="382" w:type="pct"/>
            <w:tcBorders>
              <w:tl2br w:val="nil"/>
              <w:tr2bl w:val="nil"/>
            </w:tcBorders>
            <w:shd w:val="clear" w:color="auto" w:fill="auto"/>
            <w:noWrap/>
            <w:vAlign w:val="center"/>
          </w:tcPr>
          <w:p w14:paraId="62682831">
            <w:pPr>
              <w:widowControl/>
              <w:spacing w:line="240" w:lineRule="auto"/>
              <w:ind w:firstLine="0" w:firstLineChars="0"/>
              <w:jc w:val="center"/>
              <w:textAlignment w:val="center"/>
              <w:rPr>
                <w:color w:val="auto"/>
                <w:sz w:val="21"/>
                <w:szCs w:val="21"/>
              </w:rPr>
            </w:pPr>
            <w:r>
              <w:rPr>
                <w:color w:val="auto"/>
                <w:kern w:val="0"/>
                <w:sz w:val="21"/>
                <w:szCs w:val="21"/>
                <w:lang w:bidi="ar"/>
              </w:rPr>
              <w:t>12.1</w:t>
            </w:r>
          </w:p>
        </w:tc>
        <w:tc>
          <w:tcPr>
            <w:tcW w:w="382" w:type="pct"/>
            <w:tcBorders>
              <w:tl2br w:val="nil"/>
              <w:tr2bl w:val="nil"/>
            </w:tcBorders>
            <w:shd w:val="clear" w:color="auto" w:fill="auto"/>
            <w:noWrap/>
            <w:vAlign w:val="center"/>
          </w:tcPr>
          <w:p w14:paraId="50DAC5ED">
            <w:pPr>
              <w:widowControl/>
              <w:spacing w:line="240" w:lineRule="auto"/>
              <w:ind w:firstLine="0" w:firstLineChars="0"/>
              <w:jc w:val="center"/>
              <w:textAlignment w:val="center"/>
              <w:rPr>
                <w:color w:val="auto"/>
                <w:sz w:val="21"/>
                <w:szCs w:val="21"/>
              </w:rPr>
            </w:pPr>
            <w:r>
              <w:rPr>
                <w:color w:val="auto"/>
                <w:kern w:val="0"/>
                <w:sz w:val="21"/>
                <w:szCs w:val="21"/>
                <w:lang w:bidi="ar"/>
              </w:rPr>
              <w:t>6.9</w:t>
            </w:r>
          </w:p>
        </w:tc>
        <w:tc>
          <w:tcPr>
            <w:tcW w:w="382" w:type="pct"/>
            <w:tcBorders>
              <w:tl2br w:val="nil"/>
              <w:tr2bl w:val="nil"/>
            </w:tcBorders>
            <w:shd w:val="clear" w:color="auto" w:fill="auto"/>
            <w:noWrap/>
            <w:vAlign w:val="center"/>
          </w:tcPr>
          <w:p w14:paraId="73E8050A">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382" w:type="pct"/>
            <w:tcBorders>
              <w:tl2br w:val="nil"/>
              <w:tr2bl w:val="nil"/>
            </w:tcBorders>
            <w:shd w:val="clear" w:color="auto" w:fill="auto"/>
            <w:noWrap/>
            <w:vAlign w:val="center"/>
          </w:tcPr>
          <w:p w14:paraId="271638B6">
            <w:pPr>
              <w:widowControl/>
              <w:spacing w:line="240" w:lineRule="auto"/>
              <w:ind w:firstLine="0" w:firstLineChars="0"/>
              <w:jc w:val="center"/>
              <w:textAlignment w:val="center"/>
              <w:rPr>
                <w:color w:val="auto"/>
                <w:sz w:val="21"/>
                <w:szCs w:val="21"/>
              </w:rPr>
            </w:pPr>
            <w:r>
              <w:rPr>
                <w:color w:val="auto"/>
                <w:kern w:val="0"/>
                <w:sz w:val="21"/>
                <w:szCs w:val="21"/>
                <w:lang w:bidi="ar"/>
              </w:rPr>
              <w:t>3.1</w:t>
            </w:r>
          </w:p>
        </w:tc>
        <w:tc>
          <w:tcPr>
            <w:tcW w:w="383" w:type="pct"/>
            <w:tcBorders>
              <w:tl2br w:val="nil"/>
              <w:tr2bl w:val="nil"/>
            </w:tcBorders>
            <w:shd w:val="clear" w:color="auto" w:fill="auto"/>
            <w:noWrap/>
            <w:vAlign w:val="center"/>
          </w:tcPr>
          <w:p w14:paraId="1A8A5D22">
            <w:pPr>
              <w:widowControl/>
              <w:spacing w:line="240" w:lineRule="auto"/>
              <w:ind w:firstLine="0" w:firstLineChars="0"/>
              <w:jc w:val="center"/>
              <w:textAlignment w:val="center"/>
              <w:rPr>
                <w:color w:val="auto"/>
                <w:sz w:val="21"/>
                <w:szCs w:val="21"/>
              </w:rPr>
            </w:pPr>
            <w:r>
              <w:rPr>
                <w:color w:val="auto"/>
                <w:kern w:val="0"/>
                <w:sz w:val="21"/>
                <w:szCs w:val="21"/>
                <w:lang w:bidi="ar"/>
              </w:rPr>
              <w:t>0.394</w:t>
            </w:r>
          </w:p>
        </w:tc>
        <w:tc>
          <w:tcPr>
            <w:tcW w:w="382" w:type="pct"/>
            <w:tcBorders>
              <w:tl2br w:val="nil"/>
              <w:tr2bl w:val="nil"/>
            </w:tcBorders>
            <w:shd w:val="clear" w:color="auto" w:fill="auto"/>
            <w:vAlign w:val="center"/>
          </w:tcPr>
          <w:p w14:paraId="4923B1F9">
            <w:pPr>
              <w:widowControl/>
              <w:spacing w:line="240" w:lineRule="auto"/>
              <w:ind w:firstLine="0" w:firstLineChars="0"/>
              <w:jc w:val="center"/>
              <w:textAlignment w:val="center"/>
              <w:rPr>
                <w:color w:val="auto"/>
                <w:sz w:val="21"/>
                <w:szCs w:val="21"/>
              </w:rPr>
            </w:pPr>
            <w:r>
              <w:rPr>
                <w:color w:val="auto"/>
                <w:kern w:val="0"/>
                <w:sz w:val="21"/>
                <w:szCs w:val="21"/>
                <w:lang w:bidi="ar"/>
              </w:rPr>
              <w:t>0.65</w:t>
            </w:r>
          </w:p>
        </w:tc>
        <w:tc>
          <w:tcPr>
            <w:tcW w:w="382" w:type="pct"/>
            <w:tcBorders>
              <w:tl2br w:val="nil"/>
              <w:tr2bl w:val="nil"/>
            </w:tcBorders>
            <w:shd w:val="clear" w:color="auto" w:fill="auto"/>
            <w:noWrap/>
            <w:vAlign w:val="center"/>
          </w:tcPr>
          <w:p w14:paraId="796F8860">
            <w:pPr>
              <w:widowControl/>
              <w:spacing w:line="240" w:lineRule="auto"/>
              <w:ind w:firstLine="0" w:firstLineChars="0"/>
              <w:jc w:val="center"/>
              <w:textAlignment w:val="center"/>
              <w:rPr>
                <w:color w:val="auto"/>
                <w:sz w:val="21"/>
                <w:szCs w:val="21"/>
              </w:rPr>
            </w:pPr>
            <w:r>
              <w:rPr>
                <w:color w:val="auto"/>
                <w:kern w:val="0"/>
                <w:sz w:val="21"/>
                <w:szCs w:val="21"/>
                <w:lang w:bidi="ar"/>
              </w:rPr>
              <w:t>0.16</w:t>
            </w:r>
          </w:p>
        </w:tc>
        <w:tc>
          <w:tcPr>
            <w:tcW w:w="382" w:type="pct"/>
            <w:tcBorders>
              <w:tl2br w:val="nil"/>
              <w:tr2bl w:val="nil"/>
            </w:tcBorders>
            <w:shd w:val="clear" w:color="auto" w:fill="auto"/>
            <w:noWrap/>
            <w:vAlign w:val="center"/>
          </w:tcPr>
          <w:p w14:paraId="46CFD2CB">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382" w:type="pct"/>
            <w:tcBorders>
              <w:tl2br w:val="nil"/>
              <w:tr2bl w:val="nil"/>
            </w:tcBorders>
            <w:shd w:val="clear" w:color="auto" w:fill="auto"/>
            <w:noWrap/>
            <w:vAlign w:val="center"/>
          </w:tcPr>
          <w:p w14:paraId="2DD6A2C5">
            <w:pPr>
              <w:widowControl/>
              <w:spacing w:line="240" w:lineRule="auto"/>
              <w:ind w:firstLine="0" w:firstLineChars="0"/>
              <w:jc w:val="center"/>
              <w:textAlignment w:val="center"/>
              <w:rPr>
                <w:color w:val="auto"/>
                <w:sz w:val="21"/>
                <w:szCs w:val="21"/>
              </w:rPr>
            </w:pPr>
            <w:r>
              <w:rPr>
                <w:color w:val="auto"/>
                <w:kern w:val="0"/>
                <w:sz w:val="21"/>
                <w:szCs w:val="21"/>
                <w:lang w:bidi="ar"/>
              </w:rPr>
              <w:t>4.3</w:t>
            </w:r>
          </w:p>
        </w:tc>
        <w:tc>
          <w:tcPr>
            <w:tcW w:w="382" w:type="pct"/>
            <w:tcBorders>
              <w:tl2br w:val="nil"/>
              <w:tr2bl w:val="nil"/>
            </w:tcBorders>
            <w:shd w:val="clear" w:color="auto" w:fill="auto"/>
            <w:noWrap/>
            <w:vAlign w:val="center"/>
          </w:tcPr>
          <w:p w14:paraId="1E2F1E0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10A0EBA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6AFC2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4EDC409F">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72A7F2EB">
            <w:pPr>
              <w:widowControl/>
              <w:spacing w:line="240" w:lineRule="auto"/>
              <w:ind w:firstLine="0" w:firstLineChars="0"/>
              <w:jc w:val="center"/>
              <w:textAlignment w:val="center"/>
              <w:rPr>
                <w:color w:val="auto"/>
                <w:sz w:val="21"/>
                <w:szCs w:val="21"/>
              </w:rPr>
            </w:pPr>
            <w:r>
              <w:rPr>
                <w:color w:val="auto"/>
                <w:kern w:val="0"/>
                <w:sz w:val="21"/>
                <w:szCs w:val="21"/>
                <w:lang w:bidi="ar"/>
              </w:rPr>
              <w:t>平均值</w:t>
            </w:r>
          </w:p>
        </w:tc>
        <w:tc>
          <w:tcPr>
            <w:tcW w:w="382" w:type="pct"/>
            <w:tcBorders>
              <w:tl2br w:val="nil"/>
              <w:tr2bl w:val="nil"/>
            </w:tcBorders>
            <w:shd w:val="clear" w:color="auto" w:fill="auto"/>
            <w:noWrap/>
            <w:vAlign w:val="center"/>
          </w:tcPr>
          <w:p w14:paraId="301F1570">
            <w:pPr>
              <w:widowControl/>
              <w:spacing w:line="240" w:lineRule="auto"/>
              <w:ind w:firstLine="0" w:firstLineChars="0"/>
              <w:jc w:val="center"/>
              <w:textAlignment w:val="center"/>
              <w:rPr>
                <w:color w:val="auto"/>
                <w:sz w:val="21"/>
                <w:szCs w:val="21"/>
              </w:rPr>
            </w:pPr>
            <w:r>
              <w:rPr>
                <w:color w:val="auto"/>
                <w:kern w:val="0"/>
                <w:sz w:val="21"/>
                <w:szCs w:val="21"/>
                <w:lang w:bidi="ar"/>
              </w:rPr>
              <w:t>13.5</w:t>
            </w:r>
          </w:p>
        </w:tc>
        <w:tc>
          <w:tcPr>
            <w:tcW w:w="382" w:type="pct"/>
            <w:tcBorders>
              <w:tl2br w:val="nil"/>
              <w:tr2bl w:val="nil"/>
            </w:tcBorders>
            <w:shd w:val="clear" w:color="auto" w:fill="auto"/>
            <w:noWrap/>
            <w:vAlign w:val="center"/>
          </w:tcPr>
          <w:p w14:paraId="33862B1A">
            <w:pPr>
              <w:widowControl/>
              <w:spacing w:line="240" w:lineRule="auto"/>
              <w:ind w:firstLine="0" w:firstLineChars="0"/>
              <w:jc w:val="center"/>
              <w:textAlignment w:val="center"/>
              <w:rPr>
                <w:color w:val="auto"/>
                <w:sz w:val="21"/>
                <w:szCs w:val="21"/>
              </w:rPr>
            </w:pPr>
            <w:r>
              <w:rPr>
                <w:color w:val="auto"/>
                <w:kern w:val="0"/>
                <w:sz w:val="21"/>
                <w:szCs w:val="21"/>
                <w:lang w:bidi="ar"/>
              </w:rPr>
              <w:t>7.1</w:t>
            </w:r>
          </w:p>
        </w:tc>
        <w:tc>
          <w:tcPr>
            <w:tcW w:w="382" w:type="pct"/>
            <w:tcBorders>
              <w:tl2br w:val="nil"/>
              <w:tr2bl w:val="nil"/>
            </w:tcBorders>
            <w:shd w:val="clear" w:color="auto" w:fill="auto"/>
            <w:noWrap/>
            <w:vAlign w:val="center"/>
          </w:tcPr>
          <w:p w14:paraId="3D304DE0">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382" w:type="pct"/>
            <w:tcBorders>
              <w:tl2br w:val="nil"/>
              <w:tr2bl w:val="nil"/>
            </w:tcBorders>
            <w:shd w:val="clear" w:color="auto" w:fill="auto"/>
            <w:noWrap/>
            <w:vAlign w:val="center"/>
          </w:tcPr>
          <w:p w14:paraId="01286485">
            <w:pPr>
              <w:widowControl/>
              <w:spacing w:line="240" w:lineRule="auto"/>
              <w:ind w:firstLine="0" w:firstLineChars="0"/>
              <w:jc w:val="center"/>
              <w:textAlignment w:val="center"/>
              <w:rPr>
                <w:color w:val="auto"/>
                <w:sz w:val="21"/>
                <w:szCs w:val="21"/>
              </w:rPr>
            </w:pPr>
            <w:r>
              <w:rPr>
                <w:color w:val="auto"/>
                <w:kern w:val="0"/>
                <w:sz w:val="21"/>
                <w:szCs w:val="21"/>
                <w:lang w:bidi="ar"/>
              </w:rPr>
              <w:t>3.4</w:t>
            </w:r>
          </w:p>
        </w:tc>
        <w:tc>
          <w:tcPr>
            <w:tcW w:w="383" w:type="pct"/>
            <w:tcBorders>
              <w:tl2br w:val="nil"/>
              <w:tr2bl w:val="nil"/>
            </w:tcBorders>
            <w:shd w:val="clear" w:color="auto" w:fill="auto"/>
            <w:noWrap/>
            <w:vAlign w:val="center"/>
          </w:tcPr>
          <w:p w14:paraId="05A4E324">
            <w:pPr>
              <w:widowControl/>
              <w:spacing w:line="240" w:lineRule="auto"/>
              <w:ind w:firstLine="0" w:firstLineChars="0"/>
              <w:jc w:val="center"/>
              <w:textAlignment w:val="center"/>
              <w:rPr>
                <w:color w:val="auto"/>
                <w:sz w:val="21"/>
                <w:szCs w:val="21"/>
              </w:rPr>
            </w:pPr>
            <w:r>
              <w:rPr>
                <w:color w:val="auto"/>
                <w:kern w:val="0"/>
                <w:sz w:val="21"/>
                <w:szCs w:val="21"/>
                <w:lang w:bidi="ar"/>
              </w:rPr>
              <w:t>0.457</w:t>
            </w:r>
          </w:p>
        </w:tc>
        <w:tc>
          <w:tcPr>
            <w:tcW w:w="382" w:type="pct"/>
            <w:tcBorders>
              <w:tl2br w:val="nil"/>
              <w:tr2bl w:val="nil"/>
            </w:tcBorders>
            <w:shd w:val="clear" w:color="auto" w:fill="auto"/>
            <w:vAlign w:val="center"/>
          </w:tcPr>
          <w:p w14:paraId="21AA7EA0">
            <w:pPr>
              <w:widowControl/>
              <w:spacing w:line="240" w:lineRule="auto"/>
              <w:ind w:firstLine="0" w:firstLineChars="0"/>
              <w:jc w:val="center"/>
              <w:textAlignment w:val="center"/>
              <w:rPr>
                <w:color w:val="auto"/>
                <w:sz w:val="21"/>
                <w:szCs w:val="21"/>
              </w:rPr>
            </w:pPr>
            <w:r>
              <w:rPr>
                <w:color w:val="auto"/>
                <w:kern w:val="0"/>
                <w:sz w:val="21"/>
                <w:szCs w:val="21"/>
                <w:lang w:bidi="ar"/>
              </w:rPr>
              <w:t>0.71</w:t>
            </w:r>
          </w:p>
        </w:tc>
        <w:tc>
          <w:tcPr>
            <w:tcW w:w="382" w:type="pct"/>
            <w:tcBorders>
              <w:tl2br w:val="nil"/>
              <w:tr2bl w:val="nil"/>
            </w:tcBorders>
            <w:shd w:val="clear" w:color="auto" w:fill="auto"/>
            <w:noWrap/>
            <w:vAlign w:val="center"/>
          </w:tcPr>
          <w:p w14:paraId="24C874FC">
            <w:pPr>
              <w:widowControl/>
              <w:spacing w:line="240" w:lineRule="auto"/>
              <w:ind w:firstLine="0" w:firstLineChars="0"/>
              <w:jc w:val="center"/>
              <w:textAlignment w:val="center"/>
              <w:rPr>
                <w:color w:val="auto"/>
                <w:sz w:val="21"/>
                <w:szCs w:val="21"/>
              </w:rPr>
            </w:pPr>
            <w:r>
              <w:rPr>
                <w:color w:val="auto"/>
                <w:kern w:val="0"/>
                <w:sz w:val="21"/>
                <w:szCs w:val="21"/>
                <w:lang w:bidi="ar"/>
              </w:rPr>
              <w:t>0.18</w:t>
            </w:r>
          </w:p>
        </w:tc>
        <w:tc>
          <w:tcPr>
            <w:tcW w:w="382" w:type="pct"/>
            <w:tcBorders>
              <w:tl2br w:val="nil"/>
              <w:tr2bl w:val="nil"/>
            </w:tcBorders>
            <w:shd w:val="clear" w:color="auto" w:fill="auto"/>
            <w:noWrap/>
            <w:vAlign w:val="center"/>
          </w:tcPr>
          <w:p w14:paraId="393CAC38">
            <w:pPr>
              <w:widowControl/>
              <w:spacing w:line="240" w:lineRule="auto"/>
              <w:ind w:firstLine="0" w:firstLineChars="0"/>
              <w:jc w:val="center"/>
              <w:textAlignment w:val="center"/>
              <w:rPr>
                <w:color w:val="auto"/>
                <w:sz w:val="21"/>
                <w:szCs w:val="21"/>
              </w:rPr>
            </w:pPr>
            <w:r>
              <w:rPr>
                <w:color w:val="auto"/>
                <w:kern w:val="0"/>
                <w:sz w:val="21"/>
                <w:szCs w:val="21"/>
                <w:lang w:bidi="ar"/>
              </w:rPr>
              <w:t>7.5</w:t>
            </w:r>
          </w:p>
        </w:tc>
        <w:tc>
          <w:tcPr>
            <w:tcW w:w="382" w:type="pct"/>
            <w:tcBorders>
              <w:tl2br w:val="nil"/>
              <w:tr2bl w:val="nil"/>
            </w:tcBorders>
            <w:shd w:val="clear" w:color="auto" w:fill="auto"/>
            <w:noWrap/>
            <w:vAlign w:val="center"/>
          </w:tcPr>
          <w:p w14:paraId="67A7B92B">
            <w:pPr>
              <w:widowControl/>
              <w:spacing w:line="240" w:lineRule="auto"/>
              <w:ind w:firstLine="0" w:firstLineChars="0"/>
              <w:jc w:val="center"/>
              <w:textAlignment w:val="center"/>
              <w:rPr>
                <w:color w:val="auto"/>
                <w:sz w:val="21"/>
                <w:szCs w:val="21"/>
              </w:rPr>
            </w:pPr>
            <w:r>
              <w:rPr>
                <w:color w:val="auto"/>
                <w:kern w:val="0"/>
                <w:sz w:val="21"/>
                <w:szCs w:val="21"/>
                <w:lang w:bidi="ar"/>
              </w:rPr>
              <w:t>4.55</w:t>
            </w:r>
          </w:p>
        </w:tc>
        <w:tc>
          <w:tcPr>
            <w:tcW w:w="382" w:type="pct"/>
            <w:tcBorders>
              <w:tl2br w:val="nil"/>
              <w:tr2bl w:val="nil"/>
            </w:tcBorders>
            <w:shd w:val="clear" w:color="auto" w:fill="auto"/>
            <w:noWrap/>
            <w:vAlign w:val="center"/>
          </w:tcPr>
          <w:p w14:paraId="2877A07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86" w:type="pct"/>
            <w:tcBorders>
              <w:tl2br w:val="nil"/>
              <w:tr2bl w:val="nil"/>
            </w:tcBorders>
            <w:shd w:val="clear" w:color="auto" w:fill="auto"/>
            <w:noWrap/>
            <w:vAlign w:val="center"/>
          </w:tcPr>
          <w:p w14:paraId="1053695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67664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666AB47C">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269AE3AC">
            <w:pPr>
              <w:widowControl/>
              <w:spacing w:line="240" w:lineRule="auto"/>
              <w:ind w:firstLine="0" w:firstLineChars="0"/>
              <w:jc w:val="center"/>
              <w:textAlignment w:val="center"/>
              <w:rPr>
                <w:color w:val="auto"/>
                <w:sz w:val="21"/>
                <w:szCs w:val="21"/>
              </w:rPr>
            </w:pPr>
            <w:r>
              <w:rPr>
                <w:color w:val="auto"/>
                <w:kern w:val="0"/>
                <w:sz w:val="21"/>
                <w:szCs w:val="21"/>
                <w:lang w:bidi="ar"/>
              </w:rPr>
              <w:t>污染指数</w:t>
            </w:r>
          </w:p>
        </w:tc>
        <w:tc>
          <w:tcPr>
            <w:tcW w:w="382" w:type="pct"/>
            <w:tcBorders>
              <w:tl2br w:val="nil"/>
              <w:tr2bl w:val="nil"/>
            </w:tcBorders>
            <w:shd w:val="clear" w:color="auto" w:fill="auto"/>
            <w:noWrap/>
            <w:vAlign w:val="center"/>
          </w:tcPr>
          <w:p w14:paraId="1F1D032C">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370F5F9D">
            <w:pPr>
              <w:widowControl/>
              <w:spacing w:line="240" w:lineRule="auto"/>
              <w:ind w:firstLine="0" w:firstLineChars="0"/>
              <w:jc w:val="center"/>
              <w:textAlignment w:val="center"/>
              <w:rPr>
                <w:color w:val="auto"/>
                <w:sz w:val="21"/>
                <w:szCs w:val="21"/>
              </w:rPr>
            </w:pPr>
            <w:r>
              <w:rPr>
                <w:color w:val="auto"/>
                <w:kern w:val="0"/>
                <w:sz w:val="21"/>
                <w:szCs w:val="21"/>
                <w:lang w:bidi="ar"/>
              </w:rPr>
              <w:t>0.05</w:t>
            </w:r>
          </w:p>
        </w:tc>
        <w:tc>
          <w:tcPr>
            <w:tcW w:w="382" w:type="pct"/>
            <w:tcBorders>
              <w:tl2br w:val="nil"/>
              <w:tr2bl w:val="nil"/>
            </w:tcBorders>
            <w:shd w:val="clear" w:color="auto" w:fill="auto"/>
            <w:noWrap/>
            <w:vAlign w:val="center"/>
          </w:tcPr>
          <w:p w14:paraId="63D3DF74">
            <w:pPr>
              <w:widowControl/>
              <w:spacing w:line="240" w:lineRule="auto"/>
              <w:ind w:firstLine="0" w:firstLineChars="0"/>
              <w:jc w:val="center"/>
              <w:textAlignment w:val="center"/>
              <w:rPr>
                <w:color w:val="auto"/>
                <w:sz w:val="21"/>
                <w:szCs w:val="21"/>
              </w:rPr>
            </w:pPr>
            <w:r>
              <w:rPr>
                <w:rFonts w:hint="eastAsia"/>
                <w:color w:val="auto"/>
                <w:sz w:val="21"/>
                <w:szCs w:val="21"/>
              </w:rPr>
              <w:t>0.57</w:t>
            </w:r>
          </w:p>
        </w:tc>
        <w:tc>
          <w:tcPr>
            <w:tcW w:w="382" w:type="pct"/>
            <w:tcBorders>
              <w:tl2br w:val="nil"/>
              <w:tr2bl w:val="nil"/>
            </w:tcBorders>
            <w:shd w:val="clear" w:color="auto" w:fill="auto"/>
            <w:noWrap/>
            <w:vAlign w:val="center"/>
          </w:tcPr>
          <w:p w14:paraId="523041AD">
            <w:pPr>
              <w:widowControl/>
              <w:spacing w:line="240" w:lineRule="auto"/>
              <w:ind w:firstLine="0" w:firstLineChars="0"/>
              <w:jc w:val="center"/>
              <w:textAlignment w:val="center"/>
              <w:rPr>
                <w:color w:val="auto"/>
                <w:sz w:val="21"/>
                <w:szCs w:val="21"/>
              </w:rPr>
            </w:pPr>
            <w:r>
              <w:rPr>
                <w:rFonts w:hint="eastAsia"/>
                <w:color w:val="auto"/>
                <w:sz w:val="21"/>
                <w:szCs w:val="21"/>
              </w:rPr>
              <w:t>0.57</w:t>
            </w:r>
          </w:p>
        </w:tc>
        <w:tc>
          <w:tcPr>
            <w:tcW w:w="383" w:type="pct"/>
            <w:tcBorders>
              <w:tl2br w:val="nil"/>
              <w:tr2bl w:val="nil"/>
            </w:tcBorders>
            <w:shd w:val="clear" w:color="auto" w:fill="auto"/>
            <w:noWrap/>
            <w:vAlign w:val="center"/>
          </w:tcPr>
          <w:p w14:paraId="20547034">
            <w:pPr>
              <w:widowControl/>
              <w:spacing w:line="240" w:lineRule="auto"/>
              <w:ind w:firstLine="0" w:firstLineChars="0"/>
              <w:jc w:val="center"/>
              <w:textAlignment w:val="center"/>
              <w:rPr>
                <w:color w:val="auto"/>
                <w:sz w:val="21"/>
                <w:szCs w:val="21"/>
              </w:rPr>
            </w:pPr>
            <w:r>
              <w:rPr>
                <w:rFonts w:hint="eastAsia"/>
                <w:color w:val="auto"/>
                <w:sz w:val="21"/>
                <w:szCs w:val="21"/>
              </w:rPr>
              <w:t>0.30</w:t>
            </w:r>
          </w:p>
        </w:tc>
        <w:tc>
          <w:tcPr>
            <w:tcW w:w="382" w:type="pct"/>
            <w:tcBorders>
              <w:tl2br w:val="nil"/>
              <w:tr2bl w:val="nil"/>
            </w:tcBorders>
            <w:shd w:val="clear" w:color="auto" w:fill="auto"/>
            <w:noWrap/>
            <w:vAlign w:val="center"/>
          </w:tcPr>
          <w:p w14:paraId="62613303">
            <w:pPr>
              <w:widowControl/>
              <w:spacing w:line="240" w:lineRule="auto"/>
              <w:ind w:firstLine="0" w:firstLineChars="0"/>
              <w:jc w:val="center"/>
              <w:textAlignment w:val="center"/>
              <w:rPr>
                <w:color w:val="auto"/>
                <w:sz w:val="21"/>
                <w:szCs w:val="21"/>
              </w:rPr>
            </w:pPr>
            <w:r>
              <w:rPr>
                <w:rFonts w:hint="eastAsia"/>
                <w:color w:val="auto"/>
                <w:sz w:val="21"/>
                <w:szCs w:val="21"/>
              </w:rPr>
              <w:t>0.47</w:t>
            </w:r>
          </w:p>
        </w:tc>
        <w:tc>
          <w:tcPr>
            <w:tcW w:w="382" w:type="pct"/>
            <w:tcBorders>
              <w:tl2br w:val="nil"/>
              <w:tr2bl w:val="nil"/>
            </w:tcBorders>
            <w:shd w:val="clear" w:color="auto" w:fill="auto"/>
            <w:noWrap/>
            <w:vAlign w:val="center"/>
          </w:tcPr>
          <w:p w14:paraId="45EED5CD">
            <w:pPr>
              <w:widowControl/>
              <w:spacing w:line="240" w:lineRule="auto"/>
              <w:ind w:firstLine="0" w:firstLineChars="0"/>
              <w:jc w:val="center"/>
              <w:textAlignment w:val="center"/>
              <w:rPr>
                <w:color w:val="auto"/>
                <w:sz w:val="21"/>
                <w:szCs w:val="21"/>
              </w:rPr>
            </w:pPr>
            <w:r>
              <w:rPr>
                <w:rFonts w:hint="eastAsia"/>
                <w:color w:val="auto"/>
                <w:sz w:val="21"/>
                <w:szCs w:val="21"/>
              </w:rPr>
              <w:t>0.58</w:t>
            </w:r>
          </w:p>
        </w:tc>
        <w:tc>
          <w:tcPr>
            <w:tcW w:w="382" w:type="pct"/>
            <w:tcBorders>
              <w:tl2br w:val="nil"/>
              <w:tr2bl w:val="nil"/>
            </w:tcBorders>
            <w:shd w:val="clear" w:color="auto" w:fill="auto"/>
            <w:noWrap/>
            <w:vAlign w:val="center"/>
          </w:tcPr>
          <w:p w14:paraId="768CFFE6">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1A420003">
            <w:pPr>
              <w:widowControl/>
              <w:spacing w:line="240" w:lineRule="auto"/>
              <w:ind w:firstLine="0" w:firstLineChars="0"/>
              <w:jc w:val="center"/>
              <w:textAlignment w:val="center"/>
              <w:rPr>
                <w:color w:val="auto"/>
                <w:sz w:val="21"/>
                <w:szCs w:val="21"/>
              </w:rPr>
            </w:pPr>
            <w:r>
              <w:rPr>
                <w:rFonts w:hint="eastAsia"/>
                <w:color w:val="auto"/>
                <w:kern w:val="0"/>
                <w:sz w:val="21"/>
                <w:szCs w:val="21"/>
                <w:lang w:bidi="ar"/>
              </w:rPr>
              <w:t>0.46</w:t>
            </w:r>
          </w:p>
        </w:tc>
        <w:tc>
          <w:tcPr>
            <w:tcW w:w="382" w:type="pct"/>
            <w:tcBorders>
              <w:tl2br w:val="nil"/>
              <w:tr2bl w:val="nil"/>
            </w:tcBorders>
            <w:shd w:val="clear" w:color="auto" w:fill="auto"/>
            <w:noWrap/>
            <w:vAlign w:val="center"/>
          </w:tcPr>
          <w:p w14:paraId="71072477">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6" w:type="pct"/>
            <w:tcBorders>
              <w:tl2br w:val="nil"/>
              <w:tr2bl w:val="nil"/>
            </w:tcBorders>
            <w:shd w:val="clear" w:color="auto" w:fill="auto"/>
            <w:noWrap/>
            <w:vAlign w:val="center"/>
          </w:tcPr>
          <w:p w14:paraId="3A0EDDF8">
            <w:pPr>
              <w:widowControl/>
              <w:spacing w:line="240" w:lineRule="auto"/>
              <w:ind w:firstLine="0" w:firstLineChars="0"/>
              <w:jc w:val="center"/>
              <w:textAlignment w:val="center"/>
              <w:rPr>
                <w:color w:val="auto"/>
                <w:sz w:val="21"/>
                <w:szCs w:val="21"/>
              </w:rPr>
            </w:pPr>
            <w:r>
              <w:rPr>
                <w:color w:val="auto"/>
                <w:kern w:val="0"/>
                <w:sz w:val="21"/>
                <w:szCs w:val="21"/>
                <w:lang w:bidi="ar"/>
              </w:rPr>
              <w:t>-</w:t>
            </w:r>
          </w:p>
        </w:tc>
      </w:tr>
      <w:tr w14:paraId="151FA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544" w:hRule="atLeast"/>
        </w:trPr>
        <w:tc>
          <w:tcPr>
            <w:tcW w:w="382" w:type="pct"/>
            <w:vMerge w:val="continue"/>
            <w:tcBorders>
              <w:tl2br w:val="nil"/>
              <w:tr2bl w:val="nil"/>
            </w:tcBorders>
            <w:shd w:val="clear" w:color="auto" w:fill="auto"/>
            <w:noWrap/>
            <w:vAlign w:val="center"/>
          </w:tcPr>
          <w:p w14:paraId="5AA23E7F">
            <w:pPr>
              <w:widowControl/>
              <w:spacing w:line="240" w:lineRule="auto"/>
              <w:ind w:firstLine="0" w:firstLineChars="0"/>
              <w:jc w:val="center"/>
              <w:rPr>
                <w:color w:val="auto"/>
                <w:sz w:val="21"/>
                <w:szCs w:val="21"/>
              </w:rPr>
            </w:pPr>
          </w:p>
        </w:tc>
        <w:tc>
          <w:tcPr>
            <w:tcW w:w="382" w:type="pct"/>
            <w:tcBorders>
              <w:tl2br w:val="nil"/>
              <w:tr2bl w:val="nil"/>
            </w:tcBorders>
            <w:shd w:val="clear" w:color="auto" w:fill="auto"/>
            <w:noWrap/>
            <w:vAlign w:val="center"/>
          </w:tcPr>
          <w:p w14:paraId="1D446787">
            <w:pPr>
              <w:widowControl/>
              <w:spacing w:line="240" w:lineRule="auto"/>
              <w:ind w:firstLine="0" w:firstLineChars="0"/>
              <w:jc w:val="center"/>
              <w:textAlignment w:val="center"/>
              <w:rPr>
                <w:color w:val="auto"/>
                <w:sz w:val="21"/>
                <w:szCs w:val="21"/>
              </w:rPr>
            </w:pPr>
            <w:r>
              <w:rPr>
                <w:color w:val="auto"/>
                <w:kern w:val="0"/>
                <w:sz w:val="21"/>
                <w:szCs w:val="21"/>
                <w:lang w:bidi="ar"/>
              </w:rPr>
              <w:t>超标率%</w:t>
            </w:r>
          </w:p>
        </w:tc>
        <w:tc>
          <w:tcPr>
            <w:tcW w:w="382" w:type="pct"/>
            <w:tcBorders>
              <w:tl2br w:val="nil"/>
              <w:tr2bl w:val="nil"/>
            </w:tcBorders>
            <w:shd w:val="clear" w:color="auto" w:fill="auto"/>
            <w:noWrap/>
            <w:vAlign w:val="center"/>
          </w:tcPr>
          <w:p w14:paraId="64447444">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312D46D2">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3102B245">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4F7DBB96">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3" w:type="pct"/>
            <w:tcBorders>
              <w:tl2br w:val="nil"/>
              <w:tr2bl w:val="nil"/>
            </w:tcBorders>
            <w:shd w:val="clear" w:color="auto" w:fill="auto"/>
            <w:noWrap/>
            <w:vAlign w:val="center"/>
          </w:tcPr>
          <w:p w14:paraId="25923E03">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7661CEBB">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2144CD61">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6787B603">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5C5E7EA2">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2" w:type="pct"/>
            <w:tcBorders>
              <w:tl2br w:val="nil"/>
              <w:tr2bl w:val="nil"/>
            </w:tcBorders>
            <w:shd w:val="clear" w:color="auto" w:fill="auto"/>
            <w:noWrap/>
            <w:vAlign w:val="center"/>
          </w:tcPr>
          <w:p w14:paraId="302CFC1F">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386" w:type="pct"/>
            <w:tcBorders>
              <w:tl2br w:val="nil"/>
              <w:tr2bl w:val="nil"/>
            </w:tcBorders>
            <w:shd w:val="clear" w:color="auto" w:fill="auto"/>
            <w:noWrap/>
            <w:vAlign w:val="center"/>
          </w:tcPr>
          <w:p w14:paraId="48D100FC">
            <w:pPr>
              <w:widowControl/>
              <w:spacing w:line="240" w:lineRule="auto"/>
              <w:ind w:firstLine="0" w:firstLineChars="0"/>
              <w:jc w:val="center"/>
              <w:textAlignment w:val="center"/>
              <w:rPr>
                <w:color w:val="auto"/>
                <w:sz w:val="21"/>
                <w:szCs w:val="21"/>
              </w:rPr>
            </w:pPr>
            <w:r>
              <w:rPr>
                <w:color w:val="auto"/>
                <w:kern w:val="0"/>
                <w:sz w:val="21"/>
                <w:szCs w:val="21"/>
                <w:lang w:bidi="ar"/>
              </w:rPr>
              <w:t>0</w:t>
            </w:r>
          </w:p>
        </w:tc>
      </w:tr>
      <w:tr w14:paraId="2A135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65" w:type="pct"/>
            <w:gridSpan w:val="2"/>
            <w:tcBorders>
              <w:tl2br w:val="nil"/>
              <w:tr2bl w:val="nil"/>
            </w:tcBorders>
            <w:shd w:val="clear" w:color="auto" w:fill="auto"/>
            <w:vAlign w:val="center"/>
          </w:tcPr>
          <w:p w14:paraId="7A6C9F0C">
            <w:pPr>
              <w:widowControl/>
              <w:spacing w:line="240" w:lineRule="auto"/>
              <w:ind w:firstLine="0" w:firstLineChars="0"/>
              <w:jc w:val="center"/>
              <w:textAlignment w:val="center"/>
              <w:rPr>
                <w:color w:val="auto"/>
                <w:sz w:val="21"/>
                <w:szCs w:val="21"/>
              </w:rPr>
            </w:pPr>
            <w:r>
              <w:rPr>
                <w:rFonts w:hint="eastAsia"/>
                <w:color w:val="auto"/>
                <w:sz w:val="21"/>
                <w:szCs w:val="21"/>
                <w:lang w:eastAsia="zh-CN"/>
              </w:rPr>
              <w:t>Ⅲ</w:t>
            </w:r>
            <w:r>
              <w:rPr>
                <w:color w:val="auto"/>
                <w:sz w:val="21"/>
                <w:szCs w:val="21"/>
              </w:rPr>
              <w:t>类</w:t>
            </w:r>
            <w:r>
              <w:rPr>
                <w:rFonts w:hint="eastAsia"/>
                <w:color w:val="auto"/>
                <w:sz w:val="21"/>
                <w:szCs w:val="21"/>
              </w:rPr>
              <w:t>水体</w:t>
            </w:r>
          </w:p>
        </w:tc>
        <w:tc>
          <w:tcPr>
            <w:tcW w:w="382" w:type="pct"/>
            <w:tcBorders>
              <w:tl2br w:val="nil"/>
              <w:tr2bl w:val="nil"/>
            </w:tcBorders>
            <w:shd w:val="clear" w:color="auto" w:fill="auto"/>
            <w:noWrap/>
            <w:vAlign w:val="center"/>
          </w:tcPr>
          <w:p w14:paraId="341E77BC">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0FE44230">
            <w:pPr>
              <w:widowControl/>
              <w:spacing w:line="240" w:lineRule="auto"/>
              <w:ind w:firstLine="0" w:firstLineChars="0"/>
              <w:jc w:val="center"/>
              <w:textAlignment w:val="center"/>
              <w:rPr>
                <w:color w:val="auto"/>
                <w:sz w:val="21"/>
                <w:szCs w:val="21"/>
              </w:rPr>
            </w:pPr>
            <w:r>
              <w:rPr>
                <w:color w:val="auto"/>
                <w:kern w:val="0"/>
                <w:sz w:val="21"/>
                <w:szCs w:val="21"/>
                <w:lang w:bidi="ar"/>
              </w:rPr>
              <w:t>6~9</w:t>
            </w:r>
          </w:p>
        </w:tc>
        <w:tc>
          <w:tcPr>
            <w:tcW w:w="382" w:type="pct"/>
            <w:tcBorders>
              <w:tl2br w:val="nil"/>
              <w:tr2bl w:val="nil"/>
            </w:tcBorders>
            <w:shd w:val="clear" w:color="auto" w:fill="auto"/>
            <w:noWrap/>
            <w:vAlign w:val="center"/>
          </w:tcPr>
          <w:p w14:paraId="42CBEB94">
            <w:pPr>
              <w:widowControl/>
              <w:spacing w:line="240" w:lineRule="auto"/>
              <w:ind w:firstLine="0" w:firstLineChars="0"/>
              <w:jc w:val="center"/>
              <w:textAlignment w:val="center"/>
              <w:rPr>
                <w:color w:val="auto"/>
                <w:kern w:val="0"/>
                <w:sz w:val="21"/>
                <w:szCs w:val="21"/>
              </w:rPr>
            </w:pPr>
            <w:r>
              <w:rPr>
                <w:color w:val="auto"/>
                <w:sz w:val="21"/>
                <w:szCs w:val="21"/>
              </w:rPr>
              <w:t>20</w:t>
            </w:r>
          </w:p>
        </w:tc>
        <w:tc>
          <w:tcPr>
            <w:tcW w:w="382" w:type="pct"/>
            <w:tcBorders>
              <w:tl2br w:val="nil"/>
              <w:tr2bl w:val="nil"/>
            </w:tcBorders>
            <w:shd w:val="clear" w:color="auto" w:fill="auto"/>
            <w:noWrap/>
            <w:vAlign w:val="center"/>
          </w:tcPr>
          <w:p w14:paraId="241952D3">
            <w:pPr>
              <w:widowControl/>
              <w:spacing w:line="240" w:lineRule="auto"/>
              <w:ind w:firstLine="0" w:firstLineChars="0"/>
              <w:jc w:val="center"/>
              <w:textAlignment w:val="center"/>
              <w:rPr>
                <w:color w:val="auto"/>
                <w:kern w:val="0"/>
                <w:sz w:val="21"/>
                <w:szCs w:val="21"/>
              </w:rPr>
            </w:pPr>
            <w:r>
              <w:rPr>
                <w:color w:val="auto"/>
                <w:sz w:val="21"/>
                <w:szCs w:val="21"/>
              </w:rPr>
              <w:t>4</w:t>
            </w:r>
          </w:p>
        </w:tc>
        <w:tc>
          <w:tcPr>
            <w:tcW w:w="383" w:type="pct"/>
            <w:tcBorders>
              <w:tl2br w:val="nil"/>
              <w:tr2bl w:val="nil"/>
            </w:tcBorders>
            <w:shd w:val="clear" w:color="auto" w:fill="auto"/>
            <w:noWrap/>
            <w:vAlign w:val="center"/>
          </w:tcPr>
          <w:p w14:paraId="7A8B3C1F">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382" w:type="pct"/>
            <w:tcBorders>
              <w:tl2br w:val="nil"/>
              <w:tr2bl w:val="nil"/>
            </w:tcBorders>
            <w:shd w:val="clear" w:color="auto" w:fill="auto"/>
            <w:noWrap/>
            <w:vAlign w:val="center"/>
          </w:tcPr>
          <w:p w14:paraId="4A8E5870">
            <w:pPr>
              <w:widowControl/>
              <w:spacing w:line="240" w:lineRule="auto"/>
              <w:ind w:firstLine="0" w:firstLineChars="0"/>
              <w:jc w:val="center"/>
              <w:textAlignment w:val="center"/>
              <w:rPr>
                <w:color w:val="auto"/>
                <w:kern w:val="0"/>
                <w:sz w:val="21"/>
                <w:szCs w:val="21"/>
              </w:rPr>
            </w:pPr>
            <w:r>
              <w:rPr>
                <w:color w:val="auto"/>
                <w:sz w:val="21"/>
                <w:szCs w:val="21"/>
              </w:rPr>
              <w:t>1.0</w:t>
            </w:r>
          </w:p>
        </w:tc>
        <w:tc>
          <w:tcPr>
            <w:tcW w:w="382" w:type="pct"/>
            <w:tcBorders>
              <w:tl2br w:val="nil"/>
              <w:tr2bl w:val="nil"/>
            </w:tcBorders>
            <w:shd w:val="clear" w:color="auto" w:fill="auto"/>
            <w:noWrap/>
            <w:vAlign w:val="center"/>
          </w:tcPr>
          <w:p w14:paraId="51E39F2C">
            <w:pPr>
              <w:widowControl/>
              <w:spacing w:line="240" w:lineRule="auto"/>
              <w:ind w:firstLine="0" w:firstLineChars="0"/>
              <w:jc w:val="center"/>
              <w:textAlignment w:val="center"/>
              <w:rPr>
                <w:color w:val="auto"/>
                <w:kern w:val="0"/>
                <w:sz w:val="21"/>
                <w:szCs w:val="21"/>
              </w:rPr>
            </w:pPr>
            <w:r>
              <w:rPr>
                <w:color w:val="auto"/>
                <w:sz w:val="21"/>
                <w:szCs w:val="21"/>
              </w:rPr>
              <w:t>0.2</w:t>
            </w:r>
          </w:p>
        </w:tc>
        <w:tc>
          <w:tcPr>
            <w:tcW w:w="382" w:type="pct"/>
            <w:tcBorders>
              <w:tl2br w:val="nil"/>
              <w:tr2bl w:val="nil"/>
            </w:tcBorders>
            <w:shd w:val="clear" w:color="auto" w:fill="auto"/>
            <w:noWrap/>
            <w:vAlign w:val="center"/>
          </w:tcPr>
          <w:p w14:paraId="245E36B3">
            <w:pPr>
              <w:widowControl/>
              <w:spacing w:line="240" w:lineRule="auto"/>
              <w:ind w:firstLine="0" w:firstLineChars="0"/>
              <w:jc w:val="center"/>
              <w:textAlignment w:val="center"/>
              <w:rPr>
                <w:color w:val="auto"/>
                <w:kern w:val="0"/>
                <w:sz w:val="21"/>
                <w:szCs w:val="21"/>
              </w:rPr>
            </w:pPr>
            <w:r>
              <w:rPr>
                <w:color w:val="auto"/>
                <w:kern w:val="0"/>
                <w:sz w:val="21"/>
                <w:szCs w:val="21"/>
                <w:lang w:bidi="ar"/>
              </w:rPr>
              <w:t>/</w:t>
            </w:r>
          </w:p>
        </w:tc>
        <w:tc>
          <w:tcPr>
            <w:tcW w:w="382" w:type="pct"/>
            <w:tcBorders>
              <w:tl2br w:val="nil"/>
              <w:tr2bl w:val="nil"/>
            </w:tcBorders>
            <w:shd w:val="clear" w:color="auto" w:fill="auto"/>
            <w:noWrap/>
            <w:vAlign w:val="center"/>
          </w:tcPr>
          <w:p w14:paraId="4D653117">
            <w:pPr>
              <w:widowControl/>
              <w:spacing w:line="240" w:lineRule="auto"/>
              <w:ind w:firstLine="0" w:firstLineChars="0"/>
              <w:jc w:val="center"/>
              <w:textAlignment w:val="center"/>
              <w:rPr>
                <w:color w:val="auto"/>
                <w:kern w:val="0"/>
                <w:sz w:val="21"/>
                <w:szCs w:val="21"/>
              </w:rPr>
            </w:pPr>
            <w:r>
              <w:rPr>
                <w:color w:val="auto"/>
                <w:kern w:val="0"/>
                <w:sz w:val="21"/>
                <w:szCs w:val="21"/>
                <w:lang w:bidi="ar"/>
              </w:rPr>
              <w:t>6</w:t>
            </w:r>
          </w:p>
        </w:tc>
        <w:tc>
          <w:tcPr>
            <w:tcW w:w="382" w:type="pct"/>
            <w:tcBorders>
              <w:tl2br w:val="nil"/>
              <w:tr2bl w:val="nil"/>
            </w:tcBorders>
            <w:shd w:val="clear" w:color="auto" w:fill="auto"/>
            <w:noWrap/>
            <w:vAlign w:val="center"/>
          </w:tcPr>
          <w:p w14:paraId="3E1924CF">
            <w:pPr>
              <w:widowControl/>
              <w:spacing w:line="240" w:lineRule="auto"/>
              <w:ind w:firstLine="0" w:firstLineChars="0"/>
              <w:jc w:val="center"/>
              <w:textAlignment w:val="center"/>
              <w:rPr>
                <w:color w:val="auto"/>
                <w:kern w:val="0"/>
                <w:sz w:val="21"/>
                <w:szCs w:val="21"/>
              </w:rPr>
            </w:pPr>
            <w:r>
              <w:rPr>
                <w:color w:val="auto"/>
                <w:kern w:val="0"/>
                <w:sz w:val="21"/>
                <w:szCs w:val="21"/>
                <w:lang w:bidi="ar"/>
              </w:rPr>
              <w:t>0.05</w:t>
            </w:r>
          </w:p>
        </w:tc>
        <w:tc>
          <w:tcPr>
            <w:tcW w:w="404" w:type="pct"/>
            <w:gridSpan w:val="2"/>
            <w:tcBorders>
              <w:tl2br w:val="nil"/>
              <w:tr2bl w:val="nil"/>
            </w:tcBorders>
            <w:shd w:val="clear" w:color="auto" w:fill="auto"/>
            <w:noWrap/>
            <w:vAlign w:val="center"/>
          </w:tcPr>
          <w:p w14:paraId="65A5F0CA">
            <w:pPr>
              <w:widowControl/>
              <w:spacing w:line="240" w:lineRule="auto"/>
              <w:ind w:firstLine="0" w:firstLineChars="0"/>
              <w:jc w:val="center"/>
              <w:textAlignment w:val="center"/>
              <w:rPr>
                <w:color w:val="auto"/>
                <w:kern w:val="0"/>
                <w:sz w:val="21"/>
                <w:szCs w:val="21"/>
              </w:rPr>
            </w:pPr>
            <w:r>
              <w:rPr>
                <w:color w:val="auto"/>
                <w:kern w:val="0"/>
                <w:sz w:val="21"/>
                <w:szCs w:val="21"/>
                <w:lang w:bidi="ar"/>
              </w:rPr>
              <w:t>0.2</w:t>
            </w:r>
          </w:p>
        </w:tc>
      </w:tr>
    </w:tbl>
    <w:p w14:paraId="43C45901">
      <w:pPr>
        <w:spacing w:line="240" w:lineRule="auto"/>
        <w:ind w:firstLine="0" w:firstLineChars="0"/>
        <w:rPr>
          <w:b/>
          <w:color w:val="auto"/>
          <w:szCs w:val="28"/>
        </w:rPr>
      </w:pPr>
      <w:r>
        <w:rPr>
          <w:b/>
          <w:color w:val="auto"/>
          <w:sz w:val="21"/>
          <w:szCs w:val="22"/>
        </w:rPr>
        <w:t>注：ND表示未检出，</w:t>
      </w:r>
      <w:r>
        <w:rPr>
          <w:rFonts w:hint="eastAsia"/>
          <w:b/>
          <w:color w:val="auto"/>
          <w:sz w:val="21"/>
          <w:szCs w:val="22"/>
        </w:rPr>
        <w:t>石油类</w:t>
      </w:r>
      <w:r>
        <w:rPr>
          <w:b/>
          <w:color w:val="auto"/>
          <w:sz w:val="21"/>
          <w:szCs w:val="22"/>
        </w:rPr>
        <w:t>检出限为</w:t>
      </w:r>
      <w:r>
        <w:rPr>
          <w:rFonts w:hint="eastAsia"/>
          <w:b/>
          <w:color w:val="auto"/>
          <w:sz w:val="21"/>
          <w:szCs w:val="22"/>
        </w:rPr>
        <w:t>0.01mg/L</w:t>
      </w:r>
      <w:r>
        <w:rPr>
          <w:b/>
          <w:color w:val="auto"/>
          <w:sz w:val="21"/>
          <w:szCs w:val="22"/>
        </w:rPr>
        <w:t>；</w:t>
      </w:r>
      <w:r>
        <w:rPr>
          <w:rFonts w:hint="eastAsia"/>
          <w:b/>
          <w:color w:val="auto"/>
          <w:sz w:val="21"/>
          <w:szCs w:val="22"/>
        </w:rPr>
        <w:t>阴离子表面活性剂</w:t>
      </w:r>
      <w:r>
        <w:rPr>
          <w:b/>
          <w:color w:val="auto"/>
          <w:sz w:val="21"/>
          <w:szCs w:val="22"/>
        </w:rPr>
        <w:t>检出限为</w:t>
      </w:r>
      <w:r>
        <w:rPr>
          <w:rFonts w:hint="eastAsia"/>
          <w:b/>
          <w:color w:val="auto"/>
          <w:sz w:val="21"/>
          <w:szCs w:val="22"/>
        </w:rPr>
        <w:t>0.05mg/L</w:t>
      </w:r>
      <w:r>
        <w:rPr>
          <w:b/>
          <w:color w:val="auto"/>
          <w:sz w:val="21"/>
          <w:szCs w:val="22"/>
        </w:rPr>
        <w:t>。</w:t>
      </w:r>
    </w:p>
    <w:p w14:paraId="5E9764B6">
      <w:pPr>
        <w:spacing w:before="120" w:beforeLines="50" w:line="240" w:lineRule="auto"/>
        <w:ind w:firstLine="0" w:firstLineChars="0"/>
        <w:jc w:val="center"/>
        <w:rPr>
          <w:b/>
          <w:color w:val="auto"/>
          <w:szCs w:val="28"/>
        </w:rPr>
      </w:pPr>
      <w:r>
        <w:rPr>
          <w:b/>
          <w:color w:val="auto"/>
          <w:szCs w:val="28"/>
        </w:rPr>
        <w:t>表</w:t>
      </w:r>
      <w:r>
        <w:rPr>
          <w:rFonts w:hint="eastAsia"/>
          <w:b/>
          <w:color w:val="auto"/>
          <w:szCs w:val="28"/>
        </w:rPr>
        <w:t xml:space="preserve">5.2.2-2（b）  </w:t>
      </w:r>
      <w:r>
        <w:rPr>
          <w:b/>
          <w:color w:val="auto"/>
          <w:szCs w:val="28"/>
        </w:rPr>
        <w:t>地表水环境质量现状评价结果</w:t>
      </w:r>
    </w:p>
    <w:tbl>
      <w:tblPr>
        <w:tblStyle w:val="88"/>
        <w:tblW w:w="501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4"/>
        <w:gridCol w:w="1094"/>
        <w:gridCol w:w="1094"/>
        <w:gridCol w:w="1094"/>
        <w:gridCol w:w="1091"/>
        <w:gridCol w:w="1091"/>
        <w:gridCol w:w="1091"/>
        <w:gridCol w:w="1094"/>
        <w:gridCol w:w="1093"/>
        <w:gridCol w:w="1093"/>
        <w:gridCol w:w="1093"/>
        <w:gridCol w:w="1096"/>
        <w:gridCol w:w="54"/>
      </w:tblGrid>
      <w:tr w14:paraId="3B151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280" w:hRule="atLeast"/>
        </w:trPr>
        <w:tc>
          <w:tcPr>
            <w:tcW w:w="383" w:type="pct"/>
            <w:shd w:val="clear" w:color="auto" w:fill="auto"/>
            <w:noWrap/>
            <w:vAlign w:val="center"/>
          </w:tcPr>
          <w:p w14:paraId="70FF82CA">
            <w:pPr>
              <w:widowControl/>
              <w:spacing w:line="240" w:lineRule="auto"/>
              <w:ind w:firstLine="0" w:firstLineChars="0"/>
              <w:jc w:val="center"/>
              <w:rPr>
                <w:b/>
                <w:bCs/>
                <w:color w:val="auto"/>
                <w:kern w:val="0"/>
                <w:sz w:val="21"/>
                <w:szCs w:val="21"/>
              </w:rPr>
            </w:pPr>
            <w:r>
              <w:rPr>
                <w:b/>
                <w:bCs/>
                <w:color w:val="auto"/>
                <w:kern w:val="0"/>
                <w:sz w:val="21"/>
                <w:szCs w:val="21"/>
              </w:rPr>
              <w:t>断面</w:t>
            </w:r>
          </w:p>
        </w:tc>
        <w:tc>
          <w:tcPr>
            <w:tcW w:w="383" w:type="pct"/>
            <w:shd w:val="clear" w:color="auto" w:fill="auto"/>
            <w:noWrap/>
            <w:vAlign w:val="center"/>
          </w:tcPr>
          <w:p w14:paraId="15497612">
            <w:pPr>
              <w:widowControl/>
              <w:spacing w:line="240" w:lineRule="auto"/>
              <w:ind w:firstLine="0" w:firstLineChars="0"/>
              <w:jc w:val="center"/>
              <w:rPr>
                <w:b/>
                <w:bCs/>
                <w:color w:val="auto"/>
                <w:kern w:val="0"/>
                <w:sz w:val="21"/>
                <w:szCs w:val="21"/>
              </w:rPr>
            </w:pPr>
            <w:r>
              <w:rPr>
                <w:b/>
                <w:bCs/>
                <w:color w:val="auto"/>
                <w:kern w:val="0"/>
                <w:sz w:val="21"/>
                <w:szCs w:val="21"/>
              </w:rPr>
              <w:t>监测项目</w:t>
            </w:r>
          </w:p>
        </w:tc>
        <w:tc>
          <w:tcPr>
            <w:tcW w:w="383" w:type="pct"/>
            <w:shd w:val="clear" w:color="auto" w:fill="auto"/>
            <w:noWrap/>
            <w:vAlign w:val="center"/>
          </w:tcPr>
          <w:p w14:paraId="3E435F97">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水温</w:t>
            </w:r>
          </w:p>
        </w:tc>
        <w:tc>
          <w:tcPr>
            <w:tcW w:w="383" w:type="pct"/>
            <w:shd w:val="clear" w:color="auto" w:fill="auto"/>
            <w:noWrap/>
            <w:vAlign w:val="center"/>
          </w:tcPr>
          <w:p w14:paraId="39B6EF89">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pH值</w:t>
            </w:r>
          </w:p>
        </w:tc>
        <w:tc>
          <w:tcPr>
            <w:tcW w:w="383" w:type="pct"/>
            <w:shd w:val="clear" w:color="auto" w:fill="auto"/>
            <w:noWrap/>
            <w:vAlign w:val="center"/>
          </w:tcPr>
          <w:p w14:paraId="3A101FC7">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化学需氧量</w:t>
            </w:r>
          </w:p>
        </w:tc>
        <w:tc>
          <w:tcPr>
            <w:tcW w:w="382" w:type="pct"/>
            <w:shd w:val="clear" w:color="auto" w:fill="auto"/>
            <w:noWrap/>
            <w:vAlign w:val="center"/>
          </w:tcPr>
          <w:p w14:paraId="179FFA4D">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五日生化需氧量</w:t>
            </w:r>
          </w:p>
        </w:tc>
        <w:tc>
          <w:tcPr>
            <w:tcW w:w="382" w:type="pct"/>
            <w:shd w:val="clear" w:color="auto" w:fill="auto"/>
            <w:noWrap/>
            <w:vAlign w:val="center"/>
          </w:tcPr>
          <w:p w14:paraId="6F5209C0">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氨氮</w:t>
            </w:r>
          </w:p>
        </w:tc>
        <w:tc>
          <w:tcPr>
            <w:tcW w:w="382" w:type="pct"/>
            <w:shd w:val="clear" w:color="auto" w:fill="auto"/>
            <w:noWrap/>
            <w:vAlign w:val="center"/>
          </w:tcPr>
          <w:p w14:paraId="394D0A47">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总氮</w:t>
            </w:r>
          </w:p>
        </w:tc>
        <w:tc>
          <w:tcPr>
            <w:tcW w:w="383" w:type="pct"/>
            <w:shd w:val="clear" w:color="auto" w:fill="auto"/>
            <w:noWrap/>
            <w:vAlign w:val="center"/>
          </w:tcPr>
          <w:p w14:paraId="5B9025A0">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总磷</w:t>
            </w:r>
          </w:p>
        </w:tc>
        <w:tc>
          <w:tcPr>
            <w:tcW w:w="383" w:type="pct"/>
            <w:shd w:val="clear" w:color="auto" w:fill="auto"/>
            <w:noWrap/>
            <w:vAlign w:val="center"/>
          </w:tcPr>
          <w:p w14:paraId="4400512D">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悬浮物</w:t>
            </w:r>
          </w:p>
        </w:tc>
        <w:tc>
          <w:tcPr>
            <w:tcW w:w="383" w:type="pct"/>
            <w:shd w:val="clear" w:color="auto" w:fill="auto"/>
            <w:noWrap/>
            <w:vAlign w:val="center"/>
          </w:tcPr>
          <w:p w14:paraId="5B371452">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高锰酸盐指数</w:t>
            </w:r>
          </w:p>
        </w:tc>
        <w:tc>
          <w:tcPr>
            <w:tcW w:w="383" w:type="pct"/>
            <w:shd w:val="clear" w:color="auto" w:fill="auto"/>
            <w:noWrap/>
            <w:vAlign w:val="center"/>
          </w:tcPr>
          <w:p w14:paraId="6B1379FC">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石油类</w:t>
            </w:r>
          </w:p>
        </w:tc>
        <w:tc>
          <w:tcPr>
            <w:tcW w:w="384" w:type="pct"/>
            <w:shd w:val="clear" w:color="auto" w:fill="auto"/>
            <w:noWrap/>
            <w:vAlign w:val="center"/>
          </w:tcPr>
          <w:p w14:paraId="653B9D79">
            <w:pPr>
              <w:widowControl/>
              <w:spacing w:line="240" w:lineRule="auto"/>
              <w:ind w:firstLine="0" w:firstLineChars="0"/>
              <w:jc w:val="center"/>
              <w:textAlignment w:val="center"/>
              <w:rPr>
                <w:b/>
                <w:bCs/>
                <w:color w:val="auto"/>
                <w:kern w:val="0"/>
                <w:sz w:val="21"/>
                <w:szCs w:val="21"/>
              </w:rPr>
            </w:pPr>
            <w:r>
              <w:rPr>
                <w:b/>
                <w:bCs/>
                <w:color w:val="auto"/>
                <w:kern w:val="0"/>
                <w:sz w:val="21"/>
                <w:szCs w:val="21"/>
                <w:lang w:bidi="ar"/>
              </w:rPr>
              <w:t>阴离子表面活性剂</w:t>
            </w:r>
          </w:p>
        </w:tc>
      </w:tr>
      <w:tr w14:paraId="0985F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280" w:hRule="atLeast"/>
        </w:trPr>
        <w:tc>
          <w:tcPr>
            <w:tcW w:w="383" w:type="pct"/>
            <w:vMerge w:val="restart"/>
            <w:shd w:val="clear" w:color="auto" w:fill="auto"/>
            <w:noWrap/>
            <w:vAlign w:val="center"/>
          </w:tcPr>
          <w:p w14:paraId="3442AB4B">
            <w:pPr>
              <w:widowControl/>
              <w:spacing w:line="240" w:lineRule="auto"/>
              <w:ind w:firstLine="0" w:firstLineChars="0"/>
              <w:jc w:val="center"/>
              <w:rPr>
                <w:color w:val="auto"/>
                <w:kern w:val="0"/>
                <w:sz w:val="21"/>
                <w:szCs w:val="21"/>
              </w:rPr>
            </w:pPr>
            <w:r>
              <w:rPr>
                <w:color w:val="auto"/>
                <w:kern w:val="0"/>
                <w:sz w:val="21"/>
                <w:szCs w:val="21"/>
              </w:rPr>
              <w:t>W</w:t>
            </w:r>
            <w:r>
              <w:rPr>
                <w:rFonts w:hint="eastAsia"/>
                <w:color w:val="auto"/>
                <w:kern w:val="0"/>
                <w:sz w:val="21"/>
                <w:szCs w:val="21"/>
              </w:rPr>
              <w:t>4开泰河</w:t>
            </w:r>
          </w:p>
        </w:tc>
        <w:tc>
          <w:tcPr>
            <w:tcW w:w="383" w:type="pct"/>
            <w:shd w:val="clear" w:color="auto" w:fill="auto"/>
            <w:noWrap/>
            <w:vAlign w:val="center"/>
          </w:tcPr>
          <w:p w14:paraId="7CB2376E">
            <w:pPr>
              <w:widowControl/>
              <w:spacing w:line="240" w:lineRule="auto"/>
              <w:ind w:firstLine="0" w:firstLineChars="0"/>
              <w:jc w:val="center"/>
              <w:rPr>
                <w:color w:val="auto"/>
                <w:kern w:val="0"/>
                <w:sz w:val="21"/>
                <w:szCs w:val="21"/>
              </w:rPr>
            </w:pPr>
            <w:r>
              <w:rPr>
                <w:color w:val="auto"/>
                <w:kern w:val="0"/>
                <w:sz w:val="21"/>
                <w:szCs w:val="21"/>
              </w:rPr>
              <w:t>最大值</w:t>
            </w:r>
          </w:p>
        </w:tc>
        <w:tc>
          <w:tcPr>
            <w:tcW w:w="383" w:type="pct"/>
            <w:shd w:val="clear" w:color="auto" w:fill="auto"/>
            <w:noWrap/>
            <w:vAlign w:val="center"/>
          </w:tcPr>
          <w:p w14:paraId="5C057956">
            <w:pPr>
              <w:widowControl/>
              <w:spacing w:line="240" w:lineRule="auto"/>
              <w:ind w:firstLine="0" w:firstLineChars="0"/>
              <w:jc w:val="center"/>
              <w:textAlignment w:val="bottom"/>
              <w:rPr>
                <w:color w:val="auto"/>
                <w:kern w:val="0"/>
                <w:sz w:val="21"/>
                <w:szCs w:val="21"/>
              </w:rPr>
            </w:pPr>
            <w:r>
              <w:rPr>
                <w:color w:val="auto"/>
                <w:kern w:val="0"/>
                <w:sz w:val="21"/>
                <w:szCs w:val="21"/>
                <w:lang w:bidi="ar"/>
              </w:rPr>
              <w:t>13.4</w:t>
            </w:r>
          </w:p>
        </w:tc>
        <w:tc>
          <w:tcPr>
            <w:tcW w:w="383" w:type="pct"/>
            <w:shd w:val="clear" w:color="auto" w:fill="auto"/>
            <w:noWrap/>
            <w:vAlign w:val="center"/>
          </w:tcPr>
          <w:p w14:paraId="590CB42E">
            <w:pPr>
              <w:widowControl/>
              <w:spacing w:line="240" w:lineRule="auto"/>
              <w:ind w:firstLine="0" w:firstLineChars="0"/>
              <w:jc w:val="center"/>
              <w:textAlignment w:val="bottom"/>
              <w:rPr>
                <w:color w:val="auto"/>
                <w:kern w:val="0"/>
                <w:sz w:val="21"/>
                <w:szCs w:val="21"/>
              </w:rPr>
            </w:pPr>
            <w:r>
              <w:rPr>
                <w:color w:val="auto"/>
                <w:kern w:val="0"/>
                <w:sz w:val="21"/>
                <w:szCs w:val="21"/>
                <w:lang w:bidi="ar"/>
              </w:rPr>
              <w:t>7.3</w:t>
            </w:r>
          </w:p>
        </w:tc>
        <w:tc>
          <w:tcPr>
            <w:tcW w:w="383" w:type="pct"/>
            <w:shd w:val="clear" w:color="auto" w:fill="auto"/>
            <w:noWrap/>
            <w:vAlign w:val="bottom"/>
          </w:tcPr>
          <w:p w14:paraId="57691DAE">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28</w:t>
            </w:r>
          </w:p>
        </w:tc>
        <w:tc>
          <w:tcPr>
            <w:tcW w:w="382" w:type="pct"/>
            <w:shd w:val="clear" w:color="auto" w:fill="auto"/>
            <w:noWrap/>
            <w:vAlign w:val="bottom"/>
          </w:tcPr>
          <w:p w14:paraId="76A4754C">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5.6</w:t>
            </w:r>
          </w:p>
        </w:tc>
        <w:tc>
          <w:tcPr>
            <w:tcW w:w="382" w:type="pct"/>
            <w:shd w:val="clear" w:color="auto" w:fill="auto"/>
            <w:noWrap/>
            <w:vAlign w:val="bottom"/>
          </w:tcPr>
          <w:p w14:paraId="1E34E3B1">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0.604</w:t>
            </w:r>
          </w:p>
        </w:tc>
        <w:tc>
          <w:tcPr>
            <w:tcW w:w="382" w:type="pct"/>
            <w:shd w:val="clear" w:color="auto" w:fill="auto"/>
            <w:vAlign w:val="bottom"/>
          </w:tcPr>
          <w:p w14:paraId="6E0FB32C">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1.37</w:t>
            </w:r>
          </w:p>
        </w:tc>
        <w:tc>
          <w:tcPr>
            <w:tcW w:w="383" w:type="pct"/>
            <w:shd w:val="clear" w:color="auto" w:fill="auto"/>
            <w:noWrap/>
            <w:vAlign w:val="bottom"/>
          </w:tcPr>
          <w:p w14:paraId="6B598FD3">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0.08</w:t>
            </w:r>
          </w:p>
        </w:tc>
        <w:tc>
          <w:tcPr>
            <w:tcW w:w="383" w:type="pct"/>
            <w:shd w:val="clear" w:color="auto" w:fill="auto"/>
            <w:noWrap/>
            <w:vAlign w:val="bottom"/>
          </w:tcPr>
          <w:p w14:paraId="65EF80C5">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8</w:t>
            </w:r>
          </w:p>
        </w:tc>
        <w:tc>
          <w:tcPr>
            <w:tcW w:w="383" w:type="pct"/>
            <w:shd w:val="clear" w:color="auto" w:fill="auto"/>
            <w:noWrap/>
            <w:vAlign w:val="bottom"/>
          </w:tcPr>
          <w:p w14:paraId="302BEDCB">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4.8</w:t>
            </w:r>
          </w:p>
        </w:tc>
        <w:tc>
          <w:tcPr>
            <w:tcW w:w="383" w:type="pct"/>
            <w:shd w:val="clear" w:color="auto" w:fill="auto"/>
            <w:noWrap/>
            <w:vAlign w:val="center"/>
          </w:tcPr>
          <w:p w14:paraId="204E51A0">
            <w:pPr>
              <w:widowControl/>
              <w:spacing w:line="240" w:lineRule="auto"/>
              <w:ind w:firstLine="0" w:firstLineChars="0"/>
              <w:jc w:val="center"/>
              <w:rPr>
                <w:color w:val="auto"/>
                <w:kern w:val="0"/>
                <w:sz w:val="21"/>
                <w:szCs w:val="21"/>
              </w:rPr>
            </w:pPr>
            <w:r>
              <w:rPr>
                <w:color w:val="auto"/>
                <w:kern w:val="0"/>
                <w:sz w:val="21"/>
                <w:szCs w:val="21"/>
              </w:rPr>
              <w:t>ND</w:t>
            </w:r>
          </w:p>
        </w:tc>
        <w:tc>
          <w:tcPr>
            <w:tcW w:w="384" w:type="pct"/>
            <w:shd w:val="clear" w:color="auto" w:fill="auto"/>
            <w:noWrap/>
            <w:vAlign w:val="center"/>
          </w:tcPr>
          <w:p w14:paraId="779E2889">
            <w:pPr>
              <w:widowControl/>
              <w:spacing w:line="240" w:lineRule="auto"/>
              <w:ind w:firstLine="0" w:firstLineChars="0"/>
              <w:jc w:val="center"/>
              <w:rPr>
                <w:color w:val="auto"/>
                <w:kern w:val="0"/>
                <w:sz w:val="21"/>
                <w:szCs w:val="21"/>
              </w:rPr>
            </w:pPr>
            <w:r>
              <w:rPr>
                <w:color w:val="auto"/>
                <w:kern w:val="0"/>
                <w:sz w:val="21"/>
                <w:szCs w:val="21"/>
              </w:rPr>
              <w:t>ND</w:t>
            </w:r>
          </w:p>
        </w:tc>
      </w:tr>
      <w:tr w14:paraId="6858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280" w:hRule="atLeast"/>
        </w:trPr>
        <w:tc>
          <w:tcPr>
            <w:tcW w:w="383" w:type="pct"/>
            <w:vMerge w:val="continue"/>
            <w:vAlign w:val="center"/>
          </w:tcPr>
          <w:p w14:paraId="74AA1173">
            <w:pPr>
              <w:widowControl/>
              <w:spacing w:line="240" w:lineRule="auto"/>
              <w:ind w:firstLine="0" w:firstLineChars="0"/>
              <w:jc w:val="center"/>
              <w:rPr>
                <w:color w:val="auto"/>
                <w:kern w:val="0"/>
                <w:sz w:val="21"/>
                <w:szCs w:val="21"/>
              </w:rPr>
            </w:pPr>
          </w:p>
        </w:tc>
        <w:tc>
          <w:tcPr>
            <w:tcW w:w="383" w:type="pct"/>
            <w:shd w:val="clear" w:color="auto" w:fill="auto"/>
            <w:noWrap/>
            <w:vAlign w:val="center"/>
          </w:tcPr>
          <w:p w14:paraId="3B6C5653">
            <w:pPr>
              <w:widowControl/>
              <w:spacing w:line="240" w:lineRule="auto"/>
              <w:ind w:firstLine="0" w:firstLineChars="0"/>
              <w:jc w:val="center"/>
              <w:rPr>
                <w:color w:val="auto"/>
                <w:kern w:val="0"/>
                <w:sz w:val="21"/>
                <w:szCs w:val="21"/>
              </w:rPr>
            </w:pPr>
            <w:r>
              <w:rPr>
                <w:color w:val="auto"/>
                <w:kern w:val="0"/>
                <w:sz w:val="21"/>
                <w:szCs w:val="21"/>
              </w:rPr>
              <w:t>最小值</w:t>
            </w:r>
          </w:p>
        </w:tc>
        <w:tc>
          <w:tcPr>
            <w:tcW w:w="383" w:type="pct"/>
            <w:shd w:val="clear" w:color="auto" w:fill="auto"/>
            <w:noWrap/>
            <w:vAlign w:val="center"/>
          </w:tcPr>
          <w:p w14:paraId="46387735">
            <w:pPr>
              <w:widowControl/>
              <w:spacing w:line="240" w:lineRule="auto"/>
              <w:ind w:firstLine="0" w:firstLineChars="0"/>
              <w:jc w:val="center"/>
              <w:textAlignment w:val="bottom"/>
              <w:rPr>
                <w:color w:val="auto"/>
                <w:kern w:val="0"/>
                <w:sz w:val="21"/>
                <w:szCs w:val="21"/>
              </w:rPr>
            </w:pPr>
            <w:r>
              <w:rPr>
                <w:color w:val="auto"/>
                <w:kern w:val="0"/>
                <w:sz w:val="21"/>
                <w:szCs w:val="21"/>
                <w:lang w:bidi="ar"/>
              </w:rPr>
              <w:t>11.7</w:t>
            </w:r>
          </w:p>
        </w:tc>
        <w:tc>
          <w:tcPr>
            <w:tcW w:w="383" w:type="pct"/>
            <w:shd w:val="clear" w:color="auto" w:fill="auto"/>
            <w:noWrap/>
            <w:vAlign w:val="center"/>
          </w:tcPr>
          <w:p w14:paraId="7F4209E9">
            <w:pPr>
              <w:widowControl/>
              <w:spacing w:line="240" w:lineRule="auto"/>
              <w:ind w:firstLine="0" w:firstLineChars="0"/>
              <w:jc w:val="center"/>
              <w:textAlignment w:val="bottom"/>
              <w:rPr>
                <w:color w:val="auto"/>
                <w:kern w:val="0"/>
                <w:sz w:val="21"/>
                <w:szCs w:val="21"/>
              </w:rPr>
            </w:pPr>
            <w:r>
              <w:rPr>
                <w:color w:val="auto"/>
                <w:kern w:val="0"/>
                <w:sz w:val="21"/>
                <w:szCs w:val="21"/>
                <w:lang w:bidi="ar"/>
              </w:rPr>
              <w:t>6.9</w:t>
            </w:r>
          </w:p>
        </w:tc>
        <w:tc>
          <w:tcPr>
            <w:tcW w:w="383" w:type="pct"/>
            <w:shd w:val="clear" w:color="auto" w:fill="auto"/>
            <w:noWrap/>
            <w:vAlign w:val="bottom"/>
          </w:tcPr>
          <w:p w14:paraId="238331CC">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24</w:t>
            </w:r>
          </w:p>
        </w:tc>
        <w:tc>
          <w:tcPr>
            <w:tcW w:w="382" w:type="pct"/>
            <w:shd w:val="clear" w:color="auto" w:fill="auto"/>
            <w:noWrap/>
            <w:vAlign w:val="bottom"/>
          </w:tcPr>
          <w:p w14:paraId="7B1A2637">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5.2</w:t>
            </w:r>
          </w:p>
        </w:tc>
        <w:tc>
          <w:tcPr>
            <w:tcW w:w="382" w:type="pct"/>
            <w:shd w:val="clear" w:color="auto" w:fill="auto"/>
            <w:noWrap/>
            <w:vAlign w:val="bottom"/>
          </w:tcPr>
          <w:p w14:paraId="3538F448">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0.487</w:t>
            </w:r>
          </w:p>
        </w:tc>
        <w:tc>
          <w:tcPr>
            <w:tcW w:w="382" w:type="pct"/>
            <w:shd w:val="clear" w:color="auto" w:fill="auto"/>
            <w:vAlign w:val="bottom"/>
          </w:tcPr>
          <w:p w14:paraId="65004200">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1.22</w:t>
            </w:r>
          </w:p>
        </w:tc>
        <w:tc>
          <w:tcPr>
            <w:tcW w:w="383" w:type="pct"/>
            <w:shd w:val="clear" w:color="auto" w:fill="auto"/>
            <w:noWrap/>
            <w:vAlign w:val="bottom"/>
          </w:tcPr>
          <w:p w14:paraId="55F0DDA7">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0.07</w:t>
            </w:r>
          </w:p>
        </w:tc>
        <w:tc>
          <w:tcPr>
            <w:tcW w:w="383" w:type="pct"/>
            <w:shd w:val="clear" w:color="auto" w:fill="auto"/>
            <w:noWrap/>
            <w:vAlign w:val="bottom"/>
          </w:tcPr>
          <w:p w14:paraId="14743FD7">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6</w:t>
            </w:r>
          </w:p>
        </w:tc>
        <w:tc>
          <w:tcPr>
            <w:tcW w:w="383" w:type="pct"/>
            <w:shd w:val="clear" w:color="auto" w:fill="auto"/>
            <w:noWrap/>
            <w:vAlign w:val="bottom"/>
          </w:tcPr>
          <w:p w14:paraId="4AC1CB5C">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4.5</w:t>
            </w:r>
          </w:p>
        </w:tc>
        <w:tc>
          <w:tcPr>
            <w:tcW w:w="383" w:type="pct"/>
            <w:shd w:val="clear" w:color="auto" w:fill="auto"/>
            <w:noWrap/>
            <w:vAlign w:val="center"/>
          </w:tcPr>
          <w:p w14:paraId="07A3615E">
            <w:pPr>
              <w:widowControl/>
              <w:spacing w:line="240" w:lineRule="auto"/>
              <w:ind w:firstLine="0" w:firstLineChars="0"/>
              <w:jc w:val="center"/>
              <w:rPr>
                <w:color w:val="auto"/>
                <w:kern w:val="0"/>
                <w:sz w:val="21"/>
                <w:szCs w:val="21"/>
              </w:rPr>
            </w:pPr>
            <w:r>
              <w:rPr>
                <w:color w:val="auto"/>
                <w:kern w:val="0"/>
                <w:sz w:val="21"/>
                <w:szCs w:val="21"/>
              </w:rPr>
              <w:t>ND</w:t>
            </w:r>
          </w:p>
        </w:tc>
        <w:tc>
          <w:tcPr>
            <w:tcW w:w="384" w:type="pct"/>
            <w:shd w:val="clear" w:color="auto" w:fill="auto"/>
            <w:noWrap/>
            <w:vAlign w:val="center"/>
          </w:tcPr>
          <w:p w14:paraId="21DAF791">
            <w:pPr>
              <w:widowControl/>
              <w:spacing w:line="240" w:lineRule="auto"/>
              <w:ind w:firstLine="0" w:firstLineChars="0"/>
              <w:jc w:val="center"/>
              <w:rPr>
                <w:color w:val="auto"/>
                <w:kern w:val="0"/>
                <w:sz w:val="21"/>
                <w:szCs w:val="21"/>
              </w:rPr>
            </w:pPr>
            <w:r>
              <w:rPr>
                <w:color w:val="auto"/>
                <w:kern w:val="0"/>
                <w:sz w:val="21"/>
                <w:szCs w:val="21"/>
              </w:rPr>
              <w:t>ND</w:t>
            </w:r>
          </w:p>
        </w:tc>
      </w:tr>
      <w:tr w14:paraId="3F94F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280" w:hRule="atLeast"/>
        </w:trPr>
        <w:tc>
          <w:tcPr>
            <w:tcW w:w="383" w:type="pct"/>
            <w:vMerge w:val="continue"/>
            <w:vAlign w:val="center"/>
          </w:tcPr>
          <w:p w14:paraId="1AC7BC7A">
            <w:pPr>
              <w:widowControl/>
              <w:spacing w:line="240" w:lineRule="auto"/>
              <w:ind w:firstLine="0" w:firstLineChars="0"/>
              <w:jc w:val="center"/>
              <w:rPr>
                <w:color w:val="auto"/>
                <w:kern w:val="0"/>
                <w:sz w:val="21"/>
                <w:szCs w:val="21"/>
              </w:rPr>
            </w:pPr>
          </w:p>
        </w:tc>
        <w:tc>
          <w:tcPr>
            <w:tcW w:w="383" w:type="pct"/>
            <w:shd w:val="clear" w:color="auto" w:fill="auto"/>
            <w:noWrap/>
            <w:vAlign w:val="center"/>
          </w:tcPr>
          <w:p w14:paraId="7B9663F7">
            <w:pPr>
              <w:widowControl/>
              <w:spacing w:line="240" w:lineRule="auto"/>
              <w:ind w:firstLine="0" w:firstLineChars="0"/>
              <w:jc w:val="center"/>
              <w:rPr>
                <w:color w:val="auto"/>
                <w:kern w:val="0"/>
                <w:sz w:val="21"/>
                <w:szCs w:val="21"/>
              </w:rPr>
            </w:pPr>
            <w:r>
              <w:rPr>
                <w:color w:val="auto"/>
                <w:kern w:val="0"/>
                <w:sz w:val="21"/>
                <w:szCs w:val="21"/>
              </w:rPr>
              <w:t>平均值</w:t>
            </w:r>
          </w:p>
        </w:tc>
        <w:tc>
          <w:tcPr>
            <w:tcW w:w="383" w:type="pct"/>
            <w:shd w:val="clear" w:color="auto" w:fill="auto"/>
            <w:noWrap/>
            <w:vAlign w:val="center"/>
          </w:tcPr>
          <w:p w14:paraId="5385FE27">
            <w:pPr>
              <w:widowControl/>
              <w:spacing w:line="240" w:lineRule="auto"/>
              <w:ind w:firstLine="0" w:firstLineChars="0"/>
              <w:jc w:val="center"/>
              <w:textAlignment w:val="bottom"/>
              <w:rPr>
                <w:color w:val="auto"/>
                <w:kern w:val="0"/>
                <w:sz w:val="21"/>
                <w:szCs w:val="21"/>
              </w:rPr>
            </w:pPr>
            <w:r>
              <w:rPr>
                <w:color w:val="auto"/>
                <w:kern w:val="0"/>
                <w:sz w:val="21"/>
                <w:szCs w:val="21"/>
                <w:lang w:bidi="ar"/>
              </w:rPr>
              <w:t>12.5</w:t>
            </w:r>
          </w:p>
        </w:tc>
        <w:tc>
          <w:tcPr>
            <w:tcW w:w="383" w:type="pct"/>
            <w:shd w:val="clear" w:color="auto" w:fill="auto"/>
            <w:noWrap/>
            <w:vAlign w:val="center"/>
          </w:tcPr>
          <w:p w14:paraId="56740F15">
            <w:pPr>
              <w:widowControl/>
              <w:spacing w:line="240" w:lineRule="auto"/>
              <w:ind w:firstLine="0" w:firstLineChars="0"/>
              <w:jc w:val="center"/>
              <w:textAlignment w:val="bottom"/>
              <w:rPr>
                <w:color w:val="auto"/>
                <w:kern w:val="0"/>
                <w:sz w:val="21"/>
                <w:szCs w:val="21"/>
              </w:rPr>
            </w:pPr>
            <w:r>
              <w:rPr>
                <w:color w:val="auto"/>
                <w:kern w:val="0"/>
                <w:sz w:val="21"/>
                <w:szCs w:val="21"/>
                <w:lang w:bidi="ar"/>
              </w:rPr>
              <w:t>7.1</w:t>
            </w:r>
          </w:p>
        </w:tc>
        <w:tc>
          <w:tcPr>
            <w:tcW w:w="383" w:type="pct"/>
            <w:shd w:val="clear" w:color="auto" w:fill="auto"/>
            <w:noWrap/>
            <w:vAlign w:val="bottom"/>
          </w:tcPr>
          <w:p w14:paraId="3D738E91">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26</w:t>
            </w:r>
          </w:p>
        </w:tc>
        <w:tc>
          <w:tcPr>
            <w:tcW w:w="382" w:type="pct"/>
            <w:shd w:val="clear" w:color="auto" w:fill="auto"/>
            <w:noWrap/>
            <w:vAlign w:val="bottom"/>
          </w:tcPr>
          <w:p w14:paraId="153126C5">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5.4</w:t>
            </w:r>
          </w:p>
        </w:tc>
        <w:tc>
          <w:tcPr>
            <w:tcW w:w="382" w:type="pct"/>
            <w:shd w:val="clear" w:color="auto" w:fill="auto"/>
            <w:noWrap/>
            <w:vAlign w:val="bottom"/>
          </w:tcPr>
          <w:p w14:paraId="19A92218">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0.546</w:t>
            </w:r>
          </w:p>
        </w:tc>
        <w:tc>
          <w:tcPr>
            <w:tcW w:w="382" w:type="pct"/>
            <w:shd w:val="clear" w:color="auto" w:fill="auto"/>
            <w:vAlign w:val="bottom"/>
          </w:tcPr>
          <w:p w14:paraId="088DB3FC">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1.30</w:t>
            </w:r>
          </w:p>
        </w:tc>
        <w:tc>
          <w:tcPr>
            <w:tcW w:w="383" w:type="pct"/>
            <w:shd w:val="clear" w:color="auto" w:fill="auto"/>
            <w:noWrap/>
            <w:vAlign w:val="bottom"/>
          </w:tcPr>
          <w:p w14:paraId="3F3E860A">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0.08</w:t>
            </w:r>
          </w:p>
        </w:tc>
        <w:tc>
          <w:tcPr>
            <w:tcW w:w="383" w:type="pct"/>
            <w:shd w:val="clear" w:color="auto" w:fill="auto"/>
            <w:noWrap/>
            <w:vAlign w:val="bottom"/>
          </w:tcPr>
          <w:p w14:paraId="5CA91003">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7</w:t>
            </w:r>
          </w:p>
        </w:tc>
        <w:tc>
          <w:tcPr>
            <w:tcW w:w="383" w:type="pct"/>
            <w:shd w:val="clear" w:color="auto" w:fill="auto"/>
            <w:noWrap/>
            <w:vAlign w:val="bottom"/>
          </w:tcPr>
          <w:p w14:paraId="5CD82FE2">
            <w:pPr>
              <w:widowControl/>
              <w:spacing w:line="240" w:lineRule="auto"/>
              <w:ind w:firstLine="0" w:firstLineChars="0"/>
              <w:jc w:val="center"/>
              <w:textAlignment w:val="bottom"/>
              <w:rPr>
                <w:color w:val="auto"/>
                <w:kern w:val="0"/>
                <w:sz w:val="21"/>
                <w:szCs w:val="21"/>
              </w:rPr>
            </w:pPr>
            <w:r>
              <w:rPr>
                <w:rFonts w:eastAsia="等线"/>
                <w:color w:val="auto"/>
                <w:kern w:val="0"/>
                <w:sz w:val="21"/>
                <w:szCs w:val="21"/>
                <w:lang w:bidi="ar"/>
              </w:rPr>
              <w:t>4.65</w:t>
            </w:r>
          </w:p>
        </w:tc>
        <w:tc>
          <w:tcPr>
            <w:tcW w:w="383" w:type="pct"/>
            <w:shd w:val="clear" w:color="auto" w:fill="auto"/>
            <w:noWrap/>
            <w:vAlign w:val="center"/>
          </w:tcPr>
          <w:p w14:paraId="6CB1E769">
            <w:pPr>
              <w:widowControl/>
              <w:spacing w:line="240" w:lineRule="auto"/>
              <w:ind w:firstLine="0" w:firstLineChars="0"/>
              <w:jc w:val="center"/>
              <w:rPr>
                <w:color w:val="auto"/>
                <w:kern w:val="0"/>
                <w:sz w:val="21"/>
                <w:szCs w:val="21"/>
              </w:rPr>
            </w:pPr>
            <w:r>
              <w:rPr>
                <w:color w:val="auto"/>
                <w:kern w:val="0"/>
                <w:sz w:val="21"/>
                <w:szCs w:val="21"/>
              </w:rPr>
              <w:t>ND</w:t>
            </w:r>
          </w:p>
        </w:tc>
        <w:tc>
          <w:tcPr>
            <w:tcW w:w="384" w:type="pct"/>
            <w:shd w:val="clear" w:color="auto" w:fill="auto"/>
            <w:noWrap/>
            <w:vAlign w:val="center"/>
          </w:tcPr>
          <w:p w14:paraId="0007A015">
            <w:pPr>
              <w:widowControl/>
              <w:spacing w:line="240" w:lineRule="auto"/>
              <w:ind w:firstLine="0" w:firstLineChars="0"/>
              <w:jc w:val="center"/>
              <w:rPr>
                <w:color w:val="auto"/>
                <w:kern w:val="0"/>
                <w:sz w:val="21"/>
                <w:szCs w:val="21"/>
              </w:rPr>
            </w:pPr>
            <w:r>
              <w:rPr>
                <w:color w:val="auto"/>
                <w:kern w:val="0"/>
                <w:sz w:val="21"/>
                <w:szCs w:val="21"/>
              </w:rPr>
              <w:t>ND</w:t>
            </w:r>
          </w:p>
        </w:tc>
      </w:tr>
      <w:tr w14:paraId="1532B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310" w:hRule="atLeast"/>
        </w:trPr>
        <w:tc>
          <w:tcPr>
            <w:tcW w:w="383" w:type="pct"/>
            <w:vMerge w:val="continue"/>
            <w:vAlign w:val="center"/>
          </w:tcPr>
          <w:p w14:paraId="5222471A">
            <w:pPr>
              <w:widowControl/>
              <w:spacing w:line="240" w:lineRule="auto"/>
              <w:ind w:firstLine="0" w:firstLineChars="0"/>
              <w:jc w:val="center"/>
              <w:rPr>
                <w:color w:val="auto"/>
                <w:kern w:val="0"/>
                <w:sz w:val="21"/>
                <w:szCs w:val="21"/>
              </w:rPr>
            </w:pPr>
          </w:p>
        </w:tc>
        <w:tc>
          <w:tcPr>
            <w:tcW w:w="383" w:type="pct"/>
            <w:shd w:val="clear" w:color="auto" w:fill="auto"/>
            <w:noWrap/>
            <w:vAlign w:val="center"/>
          </w:tcPr>
          <w:p w14:paraId="080E8618">
            <w:pPr>
              <w:widowControl/>
              <w:spacing w:line="240" w:lineRule="auto"/>
              <w:ind w:firstLine="0" w:firstLineChars="0"/>
              <w:jc w:val="center"/>
              <w:rPr>
                <w:color w:val="auto"/>
                <w:kern w:val="0"/>
                <w:sz w:val="21"/>
                <w:szCs w:val="21"/>
              </w:rPr>
            </w:pPr>
            <w:r>
              <w:rPr>
                <w:color w:val="auto"/>
                <w:kern w:val="0"/>
                <w:sz w:val="21"/>
                <w:szCs w:val="21"/>
              </w:rPr>
              <w:t>污染指数</w:t>
            </w:r>
          </w:p>
        </w:tc>
        <w:tc>
          <w:tcPr>
            <w:tcW w:w="383" w:type="pct"/>
            <w:shd w:val="clear" w:color="auto" w:fill="auto"/>
            <w:noWrap/>
            <w:vAlign w:val="center"/>
          </w:tcPr>
          <w:p w14:paraId="303AEB6F">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383" w:type="pct"/>
            <w:shd w:val="clear" w:color="auto" w:fill="auto"/>
            <w:noWrap/>
            <w:vAlign w:val="center"/>
          </w:tcPr>
          <w:p w14:paraId="5F66DB50">
            <w:pPr>
              <w:widowControl/>
              <w:spacing w:line="240" w:lineRule="auto"/>
              <w:ind w:firstLine="0" w:firstLineChars="0"/>
              <w:jc w:val="center"/>
              <w:textAlignment w:val="center"/>
              <w:rPr>
                <w:color w:val="auto"/>
                <w:kern w:val="0"/>
                <w:sz w:val="21"/>
                <w:szCs w:val="21"/>
              </w:rPr>
            </w:pPr>
            <w:r>
              <w:rPr>
                <w:rFonts w:hint="eastAsia" w:eastAsia="等线"/>
                <w:color w:val="auto"/>
                <w:kern w:val="0"/>
                <w:sz w:val="21"/>
                <w:szCs w:val="21"/>
                <w:lang w:bidi="ar"/>
              </w:rPr>
              <w:t>0.05</w:t>
            </w:r>
          </w:p>
        </w:tc>
        <w:tc>
          <w:tcPr>
            <w:tcW w:w="383" w:type="pct"/>
            <w:shd w:val="clear" w:color="auto" w:fill="auto"/>
            <w:noWrap/>
            <w:vAlign w:val="center"/>
          </w:tcPr>
          <w:p w14:paraId="07F86BAD">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0.9</w:t>
            </w:r>
          </w:p>
        </w:tc>
        <w:tc>
          <w:tcPr>
            <w:tcW w:w="382" w:type="pct"/>
            <w:shd w:val="clear" w:color="auto" w:fill="auto"/>
            <w:noWrap/>
            <w:vAlign w:val="center"/>
          </w:tcPr>
          <w:p w14:paraId="604776A1">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0.9</w:t>
            </w:r>
          </w:p>
        </w:tc>
        <w:tc>
          <w:tcPr>
            <w:tcW w:w="382" w:type="pct"/>
            <w:shd w:val="clear" w:color="auto" w:fill="auto"/>
            <w:noWrap/>
            <w:vAlign w:val="center"/>
          </w:tcPr>
          <w:p w14:paraId="309EF3D4">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0.364</w:t>
            </w:r>
          </w:p>
        </w:tc>
        <w:tc>
          <w:tcPr>
            <w:tcW w:w="382" w:type="pct"/>
            <w:shd w:val="clear" w:color="auto" w:fill="auto"/>
            <w:noWrap/>
            <w:vAlign w:val="center"/>
          </w:tcPr>
          <w:p w14:paraId="5CFCD0B9">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0.9</w:t>
            </w:r>
          </w:p>
        </w:tc>
        <w:tc>
          <w:tcPr>
            <w:tcW w:w="383" w:type="pct"/>
            <w:shd w:val="clear" w:color="auto" w:fill="auto"/>
            <w:noWrap/>
            <w:vAlign w:val="center"/>
          </w:tcPr>
          <w:p w14:paraId="69E038B3">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0.25</w:t>
            </w:r>
          </w:p>
        </w:tc>
        <w:tc>
          <w:tcPr>
            <w:tcW w:w="383" w:type="pct"/>
            <w:shd w:val="clear" w:color="auto" w:fill="auto"/>
            <w:noWrap/>
            <w:vAlign w:val="center"/>
          </w:tcPr>
          <w:p w14:paraId="59EC0FA8">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w:t>
            </w:r>
          </w:p>
        </w:tc>
        <w:tc>
          <w:tcPr>
            <w:tcW w:w="383" w:type="pct"/>
            <w:shd w:val="clear" w:color="auto" w:fill="auto"/>
            <w:noWrap/>
            <w:vAlign w:val="center"/>
          </w:tcPr>
          <w:p w14:paraId="502177B2">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0.47</w:t>
            </w:r>
          </w:p>
        </w:tc>
        <w:tc>
          <w:tcPr>
            <w:tcW w:w="383" w:type="pct"/>
            <w:shd w:val="clear" w:color="auto" w:fill="auto"/>
            <w:noWrap/>
            <w:vAlign w:val="center"/>
          </w:tcPr>
          <w:p w14:paraId="2EF9D56F">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w:t>
            </w:r>
          </w:p>
        </w:tc>
        <w:tc>
          <w:tcPr>
            <w:tcW w:w="384" w:type="pct"/>
            <w:shd w:val="clear" w:color="auto" w:fill="auto"/>
            <w:noWrap/>
            <w:vAlign w:val="center"/>
          </w:tcPr>
          <w:p w14:paraId="417DE122">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w:t>
            </w:r>
          </w:p>
        </w:tc>
      </w:tr>
      <w:tr w14:paraId="6B970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8" w:type="pct"/>
          <w:trHeight w:val="316" w:hRule="atLeast"/>
        </w:trPr>
        <w:tc>
          <w:tcPr>
            <w:tcW w:w="383" w:type="pct"/>
            <w:vMerge w:val="continue"/>
            <w:vAlign w:val="center"/>
          </w:tcPr>
          <w:p w14:paraId="56D9210E">
            <w:pPr>
              <w:widowControl/>
              <w:spacing w:line="240" w:lineRule="auto"/>
              <w:ind w:firstLine="0" w:firstLineChars="0"/>
              <w:jc w:val="center"/>
              <w:rPr>
                <w:color w:val="auto"/>
                <w:kern w:val="0"/>
                <w:sz w:val="21"/>
                <w:szCs w:val="21"/>
              </w:rPr>
            </w:pPr>
          </w:p>
        </w:tc>
        <w:tc>
          <w:tcPr>
            <w:tcW w:w="383" w:type="pct"/>
            <w:shd w:val="clear" w:color="auto" w:fill="auto"/>
            <w:noWrap/>
            <w:vAlign w:val="center"/>
          </w:tcPr>
          <w:p w14:paraId="62D5F82A">
            <w:pPr>
              <w:widowControl/>
              <w:spacing w:line="240" w:lineRule="auto"/>
              <w:ind w:firstLine="0" w:firstLineChars="0"/>
              <w:jc w:val="center"/>
              <w:rPr>
                <w:color w:val="auto"/>
                <w:kern w:val="0"/>
                <w:sz w:val="21"/>
                <w:szCs w:val="21"/>
              </w:rPr>
            </w:pPr>
            <w:r>
              <w:rPr>
                <w:color w:val="auto"/>
                <w:kern w:val="0"/>
                <w:sz w:val="21"/>
                <w:szCs w:val="21"/>
              </w:rPr>
              <w:t>超标率%</w:t>
            </w:r>
          </w:p>
        </w:tc>
        <w:tc>
          <w:tcPr>
            <w:tcW w:w="383" w:type="pct"/>
            <w:shd w:val="clear" w:color="auto" w:fill="auto"/>
            <w:noWrap/>
            <w:vAlign w:val="center"/>
          </w:tcPr>
          <w:p w14:paraId="459E5A8B">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383" w:type="pct"/>
            <w:shd w:val="clear" w:color="auto" w:fill="auto"/>
            <w:noWrap/>
            <w:vAlign w:val="center"/>
          </w:tcPr>
          <w:p w14:paraId="670466ED">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w:t>
            </w:r>
          </w:p>
        </w:tc>
        <w:tc>
          <w:tcPr>
            <w:tcW w:w="383" w:type="pct"/>
            <w:shd w:val="clear" w:color="auto" w:fill="auto"/>
            <w:noWrap/>
            <w:vAlign w:val="center"/>
          </w:tcPr>
          <w:p w14:paraId="2EED8989">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382" w:type="pct"/>
            <w:shd w:val="clear" w:color="auto" w:fill="auto"/>
            <w:noWrap/>
            <w:vAlign w:val="center"/>
          </w:tcPr>
          <w:p w14:paraId="69C214C6">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382" w:type="pct"/>
            <w:shd w:val="clear" w:color="auto" w:fill="auto"/>
            <w:noWrap/>
            <w:vAlign w:val="center"/>
          </w:tcPr>
          <w:p w14:paraId="55A3DF1F">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382" w:type="pct"/>
            <w:shd w:val="clear" w:color="auto" w:fill="auto"/>
            <w:noWrap/>
            <w:vAlign w:val="center"/>
          </w:tcPr>
          <w:p w14:paraId="0AB39762">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383" w:type="pct"/>
            <w:shd w:val="clear" w:color="auto" w:fill="auto"/>
            <w:noWrap/>
            <w:vAlign w:val="center"/>
          </w:tcPr>
          <w:p w14:paraId="26C34C64">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383" w:type="pct"/>
            <w:shd w:val="clear" w:color="auto" w:fill="auto"/>
            <w:noWrap/>
            <w:vAlign w:val="center"/>
          </w:tcPr>
          <w:p w14:paraId="2D565E3D">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383" w:type="pct"/>
            <w:shd w:val="clear" w:color="auto" w:fill="auto"/>
            <w:noWrap/>
            <w:vAlign w:val="center"/>
          </w:tcPr>
          <w:p w14:paraId="656A0FB1">
            <w:pPr>
              <w:widowControl/>
              <w:spacing w:line="240" w:lineRule="auto"/>
              <w:ind w:firstLine="0" w:firstLineChars="0"/>
              <w:jc w:val="center"/>
              <w:rPr>
                <w:color w:val="auto"/>
                <w:kern w:val="0"/>
                <w:sz w:val="21"/>
                <w:szCs w:val="21"/>
              </w:rPr>
            </w:pPr>
            <w:r>
              <w:rPr>
                <w:rFonts w:hint="eastAsia"/>
                <w:color w:val="auto"/>
                <w:kern w:val="0"/>
                <w:sz w:val="21"/>
                <w:szCs w:val="21"/>
              </w:rPr>
              <w:t>0</w:t>
            </w:r>
          </w:p>
        </w:tc>
        <w:tc>
          <w:tcPr>
            <w:tcW w:w="383" w:type="pct"/>
            <w:shd w:val="clear" w:color="auto" w:fill="auto"/>
            <w:noWrap/>
            <w:vAlign w:val="center"/>
          </w:tcPr>
          <w:p w14:paraId="30E8E8B8">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w:t>
            </w:r>
          </w:p>
        </w:tc>
        <w:tc>
          <w:tcPr>
            <w:tcW w:w="384" w:type="pct"/>
            <w:shd w:val="clear" w:color="auto" w:fill="auto"/>
            <w:noWrap/>
            <w:vAlign w:val="center"/>
          </w:tcPr>
          <w:p w14:paraId="7234B880">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w:t>
            </w:r>
          </w:p>
        </w:tc>
      </w:tr>
      <w:tr w14:paraId="02707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6" w:type="pct"/>
            <w:gridSpan w:val="2"/>
            <w:vAlign w:val="center"/>
          </w:tcPr>
          <w:p w14:paraId="1C33B5C7">
            <w:pPr>
              <w:widowControl/>
              <w:spacing w:line="240" w:lineRule="auto"/>
              <w:ind w:firstLine="0" w:firstLineChars="0"/>
              <w:jc w:val="center"/>
              <w:rPr>
                <w:color w:val="auto"/>
                <w:kern w:val="0"/>
                <w:sz w:val="21"/>
                <w:szCs w:val="21"/>
              </w:rPr>
            </w:pPr>
            <w:r>
              <w:rPr>
                <w:rFonts w:hint="eastAsia"/>
                <w:color w:val="auto"/>
                <w:kern w:val="0"/>
                <w:sz w:val="21"/>
                <w:szCs w:val="21"/>
              </w:rPr>
              <w:t>Ⅳ类</w:t>
            </w:r>
            <w:r>
              <w:rPr>
                <w:color w:val="auto"/>
                <w:kern w:val="0"/>
                <w:sz w:val="21"/>
                <w:szCs w:val="21"/>
              </w:rPr>
              <w:t>水体</w:t>
            </w:r>
          </w:p>
        </w:tc>
        <w:tc>
          <w:tcPr>
            <w:tcW w:w="383" w:type="pct"/>
            <w:shd w:val="clear" w:color="auto" w:fill="auto"/>
            <w:noWrap/>
            <w:vAlign w:val="center"/>
          </w:tcPr>
          <w:p w14:paraId="06D1554F">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w:t>
            </w:r>
          </w:p>
        </w:tc>
        <w:tc>
          <w:tcPr>
            <w:tcW w:w="383" w:type="pct"/>
            <w:shd w:val="clear" w:color="auto" w:fill="auto"/>
            <w:noWrap/>
            <w:vAlign w:val="center"/>
          </w:tcPr>
          <w:p w14:paraId="27C26C27">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6~9</w:t>
            </w:r>
          </w:p>
        </w:tc>
        <w:tc>
          <w:tcPr>
            <w:tcW w:w="383" w:type="pct"/>
            <w:shd w:val="clear" w:color="auto" w:fill="auto"/>
            <w:noWrap/>
            <w:vAlign w:val="center"/>
          </w:tcPr>
          <w:p w14:paraId="68BBCD56">
            <w:pPr>
              <w:widowControl/>
              <w:spacing w:line="240" w:lineRule="auto"/>
              <w:ind w:firstLine="0" w:firstLineChars="0"/>
              <w:jc w:val="center"/>
              <w:textAlignment w:val="center"/>
              <w:rPr>
                <w:color w:val="auto"/>
                <w:kern w:val="0"/>
                <w:sz w:val="21"/>
                <w:szCs w:val="21"/>
              </w:rPr>
            </w:pPr>
            <w:r>
              <w:rPr>
                <w:rFonts w:hint="eastAsia" w:eastAsia="等线"/>
                <w:color w:val="auto"/>
                <w:kern w:val="0"/>
                <w:sz w:val="21"/>
                <w:szCs w:val="21"/>
                <w:lang w:bidi="ar"/>
              </w:rPr>
              <w:t>30</w:t>
            </w:r>
          </w:p>
        </w:tc>
        <w:tc>
          <w:tcPr>
            <w:tcW w:w="382" w:type="pct"/>
            <w:shd w:val="clear" w:color="auto" w:fill="auto"/>
            <w:noWrap/>
            <w:vAlign w:val="center"/>
          </w:tcPr>
          <w:p w14:paraId="07C14CCA">
            <w:pPr>
              <w:widowControl/>
              <w:spacing w:line="240" w:lineRule="auto"/>
              <w:ind w:firstLine="0" w:firstLineChars="0"/>
              <w:jc w:val="center"/>
              <w:textAlignment w:val="center"/>
              <w:rPr>
                <w:color w:val="auto"/>
                <w:kern w:val="0"/>
                <w:sz w:val="21"/>
                <w:szCs w:val="21"/>
              </w:rPr>
            </w:pPr>
            <w:r>
              <w:rPr>
                <w:rFonts w:hint="eastAsia" w:eastAsia="等线"/>
                <w:color w:val="auto"/>
                <w:kern w:val="0"/>
                <w:sz w:val="21"/>
                <w:szCs w:val="21"/>
                <w:lang w:bidi="ar"/>
              </w:rPr>
              <w:t>6</w:t>
            </w:r>
          </w:p>
        </w:tc>
        <w:tc>
          <w:tcPr>
            <w:tcW w:w="382" w:type="pct"/>
            <w:shd w:val="clear" w:color="auto" w:fill="auto"/>
            <w:noWrap/>
            <w:vAlign w:val="center"/>
          </w:tcPr>
          <w:p w14:paraId="1DAB8E1E">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1</w:t>
            </w:r>
            <w:r>
              <w:rPr>
                <w:rFonts w:hint="eastAsia" w:eastAsia="等线"/>
                <w:color w:val="auto"/>
                <w:kern w:val="0"/>
                <w:sz w:val="21"/>
                <w:szCs w:val="21"/>
                <w:lang w:bidi="ar"/>
              </w:rPr>
              <w:t>.5</w:t>
            </w:r>
          </w:p>
        </w:tc>
        <w:tc>
          <w:tcPr>
            <w:tcW w:w="382" w:type="pct"/>
            <w:shd w:val="clear" w:color="auto" w:fill="auto"/>
            <w:noWrap/>
            <w:vAlign w:val="center"/>
          </w:tcPr>
          <w:p w14:paraId="5977D93B">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1</w:t>
            </w:r>
            <w:r>
              <w:rPr>
                <w:rFonts w:hint="eastAsia" w:eastAsia="等线"/>
                <w:color w:val="auto"/>
                <w:kern w:val="0"/>
                <w:sz w:val="21"/>
                <w:szCs w:val="21"/>
                <w:lang w:bidi="ar"/>
              </w:rPr>
              <w:t>.5</w:t>
            </w:r>
          </w:p>
        </w:tc>
        <w:tc>
          <w:tcPr>
            <w:tcW w:w="383" w:type="pct"/>
            <w:shd w:val="clear" w:color="auto" w:fill="auto"/>
            <w:noWrap/>
            <w:vAlign w:val="center"/>
          </w:tcPr>
          <w:p w14:paraId="65D59F72">
            <w:pPr>
              <w:widowControl/>
              <w:spacing w:line="240" w:lineRule="auto"/>
              <w:ind w:firstLine="0" w:firstLineChars="0"/>
              <w:jc w:val="center"/>
              <w:textAlignment w:val="center"/>
              <w:rPr>
                <w:color w:val="auto"/>
                <w:kern w:val="0"/>
                <w:sz w:val="21"/>
                <w:szCs w:val="21"/>
              </w:rPr>
            </w:pPr>
            <w:r>
              <w:rPr>
                <w:rFonts w:hint="eastAsia" w:eastAsia="等线"/>
                <w:color w:val="auto"/>
                <w:kern w:val="0"/>
                <w:sz w:val="21"/>
                <w:szCs w:val="21"/>
                <w:lang w:bidi="ar"/>
              </w:rPr>
              <w:t>0.3</w:t>
            </w:r>
          </w:p>
        </w:tc>
        <w:tc>
          <w:tcPr>
            <w:tcW w:w="383" w:type="pct"/>
            <w:shd w:val="clear" w:color="auto" w:fill="auto"/>
            <w:noWrap/>
            <w:vAlign w:val="center"/>
          </w:tcPr>
          <w:p w14:paraId="4F52D1A6">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w:t>
            </w:r>
          </w:p>
        </w:tc>
        <w:tc>
          <w:tcPr>
            <w:tcW w:w="383" w:type="pct"/>
            <w:shd w:val="clear" w:color="auto" w:fill="auto"/>
            <w:noWrap/>
            <w:vAlign w:val="center"/>
          </w:tcPr>
          <w:p w14:paraId="3741A319">
            <w:pPr>
              <w:widowControl/>
              <w:spacing w:line="240" w:lineRule="auto"/>
              <w:ind w:firstLine="0" w:firstLineChars="0"/>
              <w:jc w:val="center"/>
              <w:textAlignment w:val="center"/>
              <w:rPr>
                <w:color w:val="auto"/>
                <w:kern w:val="0"/>
                <w:sz w:val="21"/>
                <w:szCs w:val="21"/>
              </w:rPr>
            </w:pPr>
            <w:r>
              <w:rPr>
                <w:rFonts w:hint="eastAsia" w:eastAsia="等线"/>
                <w:color w:val="auto"/>
                <w:kern w:val="0"/>
                <w:sz w:val="21"/>
                <w:szCs w:val="21"/>
                <w:lang w:bidi="ar"/>
              </w:rPr>
              <w:t>10</w:t>
            </w:r>
          </w:p>
        </w:tc>
        <w:tc>
          <w:tcPr>
            <w:tcW w:w="383" w:type="pct"/>
            <w:shd w:val="clear" w:color="auto" w:fill="auto"/>
            <w:noWrap/>
            <w:vAlign w:val="center"/>
          </w:tcPr>
          <w:p w14:paraId="6C1ACF18">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0.5</w:t>
            </w:r>
          </w:p>
        </w:tc>
        <w:tc>
          <w:tcPr>
            <w:tcW w:w="403" w:type="pct"/>
            <w:gridSpan w:val="2"/>
            <w:shd w:val="clear" w:color="auto" w:fill="auto"/>
            <w:noWrap/>
            <w:vAlign w:val="center"/>
          </w:tcPr>
          <w:p w14:paraId="5B87C3D4">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w:t>
            </w:r>
            <w:r>
              <w:rPr>
                <w:rFonts w:hint="eastAsia" w:eastAsia="等线"/>
                <w:color w:val="auto"/>
                <w:kern w:val="0"/>
                <w:sz w:val="21"/>
                <w:szCs w:val="21"/>
                <w:lang w:bidi="ar"/>
              </w:rPr>
              <w:t>3</w:t>
            </w:r>
          </w:p>
        </w:tc>
      </w:tr>
    </w:tbl>
    <w:p w14:paraId="306318DA">
      <w:pPr>
        <w:spacing w:line="240" w:lineRule="auto"/>
        <w:ind w:firstLine="0" w:firstLineChars="0"/>
        <w:rPr>
          <w:b/>
          <w:color w:val="auto"/>
          <w:sz w:val="21"/>
          <w:szCs w:val="22"/>
        </w:rPr>
      </w:pPr>
      <w:r>
        <w:rPr>
          <w:b/>
          <w:color w:val="auto"/>
          <w:sz w:val="21"/>
          <w:szCs w:val="22"/>
        </w:rPr>
        <w:t>注：ND表示未检出，</w:t>
      </w:r>
      <w:r>
        <w:rPr>
          <w:rFonts w:hint="eastAsia"/>
          <w:b/>
          <w:color w:val="auto"/>
          <w:sz w:val="21"/>
          <w:szCs w:val="22"/>
        </w:rPr>
        <w:t>石油类</w:t>
      </w:r>
      <w:r>
        <w:rPr>
          <w:b/>
          <w:color w:val="auto"/>
          <w:sz w:val="21"/>
          <w:szCs w:val="22"/>
        </w:rPr>
        <w:t>检出限为</w:t>
      </w:r>
      <w:r>
        <w:rPr>
          <w:rFonts w:hint="eastAsia"/>
          <w:b/>
          <w:color w:val="auto"/>
          <w:sz w:val="21"/>
          <w:szCs w:val="22"/>
        </w:rPr>
        <w:t>0.01mg/L</w:t>
      </w:r>
      <w:r>
        <w:rPr>
          <w:b/>
          <w:color w:val="auto"/>
          <w:sz w:val="21"/>
          <w:szCs w:val="22"/>
        </w:rPr>
        <w:t>；</w:t>
      </w:r>
      <w:r>
        <w:rPr>
          <w:rFonts w:hint="eastAsia"/>
          <w:b/>
          <w:color w:val="auto"/>
          <w:sz w:val="21"/>
          <w:szCs w:val="22"/>
        </w:rPr>
        <w:t>阴离子表面活性剂</w:t>
      </w:r>
      <w:r>
        <w:rPr>
          <w:b/>
          <w:color w:val="auto"/>
          <w:sz w:val="21"/>
          <w:szCs w:val="22"/>
        </w:rPr>
        <w:t>检出限为</w:t>
      </w:r>
      <w:r>
        <w:rPr>
          <w:rFonts w:hint="eastAsia"/>
          <w:b/>
          <w:color w:val="auto"/>
          <w:sz w:val="21"/>
          <w:szCs w:val="22"/>
        </w:rPr>
        <w:t>0.05mg/L</w:t>
      </w:r>
      <w:r>
        <w:rPr>
          <w:b/>
          <w:color w:val="auto"/>
          <w:sz w:val="21"/>
          <w:szCs w:val="22"/>
        </w:rPr>
        <w:t>。</w:t>
      </w:r>
    </w:p>
    <w:p w14:paraId="64BD2B34">
      <w:pPr>
        <w:spacing w:before="120" w:beforeLines="50"/>
        <w:ind w:firstLine="480"/>
        <w:rPr>
          <w:b/>
          <w:bCs/>
          <w:color w:val="auto"/>
          <w:sz w:val="18"/>
          <w:szCs w:val="18"/>
        </w:rPr>
      </w:pPr>
      <w:r>
        <w:rPr>
          <w:color w:val="auto"/>
        </w:rPr>
        <w:t>由表</w:t>
      </w:r>
      <w:r>
        <w:rPr>
          <w:rFonts w:hint="eastAsia"/>
          <w:color w:val="auto"/>
        </w:rPr>
        <w:t>5.3.2-2</w:t>
      </w:r>
      <w:r>
        <w:rPr>
          <w:color w:val="auto"/>
        </w:rPr>
        <w:t>可知：</w:t>
      </w:r>
      <w:bookmarkStart w:id="119" w:name="_Hlk18076190"/>
      <w:r>
        <w:rPr>
          <w:rFonts w:hint="eastAsia"/>
          <w:color w:val="auto"/>
        </w:rPr>
        <w:t>大浦河排污通道及周边开泰河</w:t>
      </w:r>
      <w:r>
        <w:rPr>
          <w:color w:val="auto"/>
        </w:rPr>
        <w:t>各监测因子均能达到《地表水环境质量标准》（GB3838-2002）</w:t>
      </w:r>
      <w:r>
        <w:rPr>
          <w:rFonts w:hint="eastAsia"/>
          <w:color w:val="auto"/>
        </w:rPr>
        <w:t>Ⅳ类</w:t>
      </w:r>
      <w:r>
        <w:rPr>
          <w:color w:val="auto"/>
        </w:rPr>
        <w:t>标准要求</w:t>
      </w:r>
      <w:r>
        <w:rPr>
          <w:rFonts w:hint="eastAsia"/>
          <w:color w:val="auto"/>
        </w:rPr>
        <w:t>，临洪河各监测因子均能达到《地表水环境质量标准》（GB3838-2002）</w:t>
      </w:r>
      <w:r>
        <w:rPr>
          <w:rFonts w:hint="eastAsia"/>
          <w:color w:val="auto"/>
          <w:lang w:eastAsia="zh-CN"/>
        </w:rPr>
        <w:t>Ⅲ</w:t>
      </w:r>
      <w:r>
        <w:rPr>
          <w:rFonts w:hint="eastAsia"/>
          <w:color w:val="auto"/>
        </w:rPr>
        <w:t>类标准要求</w:t>
      </w:r>
      <w:r>
        <w:rPr>
          <w:color w:val="auto"/>
        </w:rPr>
        <w:t>。</w:t>
      </w:r>
      <w:bookmarkEnd w:id="119"/>
    </w:p>
    <w:p w14:paraId="5B693BEB">
      <w:pPr>
        <w:ind w:firstLine="480"/>
        <w:rPr>
          <w:color w:val="auto"/>
        </w:rPr>
        <w:sectPr>
          <w:type w:val="nextColumn"/>
          <w:pgSz w:w="16838" w:h="11906" w:orient="landscape"/>
          <w:pgMar w:top="1418" w:right="1418" w:bottom="1418" w:left="1418" w:header="851" w:footer="992" w:gutter="0"/>
          <w:cols w:space="425" w:num="1"/>
          <w:docGrid w:linePitch="312" w:charSpace="0"/>
        </w:sectPr>
      </w:pPr>
    </w:p>
    <w:bookmarkEnd w:id="111"/>
    <w:p w14:paraId="592C2442">
      <w:pPr>
        <w:keepNext/>
        <w:keepLines/>
        <w:spacing w:before="120" w:beforeLines="50"/>
        <w:ind w:firstLine="0" w:firstLineChars="0"/>
        <w:outlineLvl w:val="2"/>
        <w:rPr>
          <w:b/>
          <w:bCs/>
          <w:color w:val="auto"/>
          <w:sz w:val="28"/>
          <w:szCs w:val="28"/>
        </w:rPr>
      </w:pPr>
      <w:r>
        <w:rPr>
          <w:rFonts w:hint="eastAsia"/>
          <w:b/>
          <w:bCs/>
          <w:color w:val="auto"/>
          <w:sz w:val="28"/>
          <w:szCs w:val="28"/>
        </w:rPr>
        <w:t>5</w:t>
      </w:r>
      <w:r>
        <w:rPr>
          <w:b/>
          <w:bCs/>
          <w:color w:val="auto"/>
          <w:sz w:val="28"/>
          <w:szCs w:val="28"/>
        </w:rPr>
        <w:t>.2.3 声环境质量现状</w:t>
      </w:r>
      <w:bookmarkEnd w:id="114"/>
      <w:bookmarkEnd w:id="115"/>
      <w:bookmarkEnd w:id="116"/>
      <w:bookmarkEnd w:id="117"/>
      <w:r>
        <w:rPr>
          <w:b/>
          <w:bCs/>
          <w:color w:val="auto"/>
          <w:sz w:val="28"/>
          <w:szCs w:val="28"/>
        </w:rPr>
        <w:t>监测与评价</w:t>
      </w:r>
      <w:bookmarkEnd w:id="118"/>
    </w:p>
    <w:p w14:paraId="0D77E0F4">
      <w:pPr>
        <w:spacing w:before="120" w:beforeLines="50"/>
        <w:ind w:firstLine="0" w:firstLineChars="0"/>
        <w:jc w:val="left"/>
        <w:outlineLvl w:val="3"/>
        <w:rPr>
          <w:b/>
          <w:color w:val="auto"/>
        </w:rPr>
      </w:pPr>
      <w:r>
        <w:rPr>
          <w:rFonts w:hint="eastAsia"/>
          <w:b/>
          <w:color w:val="auto"/>
        </w:rPr>
        <w:t>5</w:t>
      </w:r>
      <w:r>
        <w:rPr>
          <w:b/>
          <w:color w:val="auto"/>
        </w:rPr>
        <w:t>.2.3.1 声环境质量现状监测</w:t>
      </w:r>
    </w:p>
    <w:p w14:paraId="4AFDB679">
      <w:pPr>
        <w:ind w:firstLine="480"/>
        <w:rPr>
          <w:color w:val="auto"/>
        </w:rPr>
      </w:pPr>
      <w:r>
        <w:rPr>
          <w:color w:val="auto"/>
        </w:rPr>
        <w:t>（1）测点布置</w:t>
      </w:r>
    </w:p>
    <w:p w14:paraId="024E24E4">
      <w:pPr>
        <w:ind w:firstLine="480"/>
        <w:rPr>
          <w:color w:val="auto"/>
        </w:rPr>
      </w:pPr>
      <w:r>
        <w:rPr>
          <w:rFonts w:hint="eastAsia"/>
          <w:color w:val="auto"/>
        </w:rPr>
        <w:t>在项目</w:t>
      </w:r>
      <w:r>
        <w:rPr>
          <w:color w:val="auto"/>
        </w:rPr>
        <w:t>厂界四周及周边敏感点共布设4个现状测点（N1~N4），测点位置见附图</w:t>
      </w:r>
      <w:r>
        <w:rPr>
          <w:rFonts w:hint="eastAsia"/>
          <w:color w:val="auto"/>
        </w:rPr>
        <w:t>5.2-1</w:t>
      </w:r>
      <w:r>
        <w:rPr>
          <w:color w:val="auto"/>
        </w:rPr>
        <w:t>。</w:t>
      </w:r>
    </w:p>
    <w:p w14:paraId="0AE9E5A5">
      <w:pPr>
        <w:ind w:firstLine="480"/>
        <w:rPr>
          <w:color w:val="auto"/>
        </w:rPr>
      </w:pPr>
      <w:r>
        <w:rPr>
          <w:color w:val="auto"/>
        </w:rPr>
        <w:t>（2）监测时间、频次</w:t>
      </w:r>
    </w:p>
    <w:p w14:paraId="4A1BA1DE">
      <w:pPr>
        <w:ind w:firstLine="480"/>
        <w:rPr>
          <w:color w:val="auto"/>
        </w:rPr>
      </w:pPr>
      <w:r>
        <w:rPr>
          <w:color w:val="auto"/>
        </w:rPr>
        <w:t>监测时间为2023年</w:t>
      </w:r>
      <w:r>
        <w:rPr>
          <w:rFonts w:hint="eastAsia"/>
          <w:color w:val="auto"/>
        </w:rPr>
        <w:t>6</w:t>
      </w:r>
      <w:r>
        <w:rPr>
          <w:color w:val="auto"/>
        </w:rPr>
        <w:t>月</w:t>
      </w:r>
      <w:r>
        <w:rPr>
          <w:rFonts w:hint="eastAsia"/>
          <w:color w:val="auto"/>
        </w:rPr>
        <w:t>3</w:t>
      </w:r>
      <w:r>
        <w:rPr>
          <w:color w:val="auto"/>
        </w:rPr>
        <w:t>日</w:t>
      </w:r>
      <w:r>
        <w:rPr>
          <w:rFonts w:hint="eastAsia"/>
          <w:color w:val="auto"/>
        </w:rPr>
        <w:t>—4</w:t>
      </w:r>
      <w:r>
        <w:rPr>
          <w:color w:val="auto"/>
        </w:rPr>
        <w:t>日，连续监测两天，每天监测昼、夜连续等效A声级值各1次。</w:t>
      </w:r>
    </w:p>
    <w:p w14:paraId="211D9197">
      <w:pPr>
        <w:ind w:firstLine="480"/>
        <w:rPr>
          <w:color w:val="auto"/>
        </w:rPr>
      </w:pPr>
      <w:r>
        <w:rPr>
          <w:color w:val="auto"/>
        </w:rPr>
        <w:t>（3）监测方法</w:t>
      </w:r>
    </w:p>
    <w:p w14:paraId="06671125">
      <w:pPr>
        <w:ind w:firstLine="480"/>
        <w:rPr>
          <w:color w:val="auto"/>
        </w:rPr>
      </w:pPr>
      <w:r>
        <w:rPr>
          <w:color w:val="auto"/>
        </w:rPr>
        <w:t>监测方法按</w:t>
      </w:r>
      <w:r>
        <w:rPr>
          <w:color w:val="auto"/>
          <w:szCs w:val="28"/>
        </w:rPr>
        <w:t>《声环境质量标准》(GB3096-2008</w:t>
      </w:r>
      <w:r>
        <w:rPr>
          <w:rFonts w:hint="eastAsia"/>
          <w:color w:val="auto"/>
          <w:szCs w:val="28"/>
        </w:rPr>
        <w:t>）</w:t>
      </w:r>
      <w:r>
        <w:rPr>
          <w:color w:val="auto"/>
        </w:rPr>
        <w:t>的要求进行监测。</w:t>
      </w:r>
    </w:p>
    <w:p w14:paraId="3B097043">
      <w:pPr>
        <w:spacing w:before="120" w:beforeLines="50"/>
        <w:ind w:firstLine="0" w:firstLineChars="0"/>
        <w:jc w:val="left"/>
        <w:outlineLvl w:val="3"/>
        <w:rPr>
          <w:b/>
          <w:color w:val="auto"/>
        </w:rPr>
      </w:pPr>
      <w:r>
        <w:rPr>
          <w:rFonts w:hint="eastAsia"/>
          <w:b/>
          <w:color w:val="auto"/>
        </w:rPr>
        <w:t>5</w:t>
      </w:r>
      <w:r>
        <w:rPr>
          <w:b/>
          <w:color w:val="auto"/>
        </w:rPr>
        <w:t>.2.3.2 声环境质量现状评价</w:t>
      </w:r>
    </w:p>
    <w:p w14:paraId="7424A08A">
      <w:pPr>
        <w:spacing w:line="460" w:lineRule="exact"/>
        <w:ind w:firstLine="480"/>
        <w:rPr>
          <w:color w:val="auto"/>
        </w:rPr>
      </w:pPr>
      <w:r>
        <w:rPr>
          <w:color w:val="auto"/>
        </w:rPr>
        <w:t>（1）评价方法</w:t>
      </w:r>
    </w:p>
    <w:p w14:paraId="3C2FC50B">
      <w:pPr>
        <w:spacing w:line="460" w:lineRule="exact"/>
        <w:ind w:firstLine="480"/>
        <w:rPr>
          <w:color w:val="auto"/>
        </w:rPr>
      </w:pPr>
      <w:r>
        <w:rPr>
          <w:color w:val="auto"/>
        </w:rPr>
        <w:t>用监测结果与评价标准对比对评价区声环境质量进行评价。</w:t>
      </w:r>
    </w:p>
    <w:p w14:paraId="0FA71B07">
      <w:pPr>
        <w:spacing w:line="460" w:lineRule="exact"/>
        <w:ind w:firstLine="480"/>
        <w:rPr>
          <w:color w:val="auto"/>
        </w:rPr>
      </w:pPr>
      <w:r>
        <w:rPr>
          <w:color w:val="auto"/>
        </w:rPr>
        <w:t>（2）评价标准</w:t>
      </w:r>
    </w:p>
    <w:p w14:paraId="18C4A1D4">
      <w:pPr>
        <w:spacing w:line="460" w:lineRule="exact"/>
        <w:ind w:firstLine="480"/>
        <w:rPr>
          <w:color w:val="auto"/>
        </w:rPr>
      </w:pPr>
      <w:r>
        <w:rPr>
          <w:color w:val="auto"/>
        </w:rPr>
        <w:t>N1~N4点位执行《声环境质量标准》（GB3096-2008）3类标准。</w:t>
      </w:r>
    </w:p>
    <w:p w14:paraId="4A810407">
      <w:pPr>
        <w:spacing w:line="460" w:lineRule="exact"/>
        <w:ind w:firstLine="480"/>
        <w:rPr>
          <w:color w:val="auto"/>
        </w:rPr>
      </w:pPr>
      <w:r>
        <w:rPr>
          <w:color w:val="auto"/>
        </w:rPr>
        <w:t>（3）监测结果与评价</w:t>
      </w:r>
    </w:p>
    <w:p w14:paraId="52845B5B">
      <w:pPr>
        <w:spacing w:line="460" w:lineRule="exact"/>
        <w:ind w:firstLine="480"/>
        <w:rPr>
          <w:color w:val="auto"/>
        </w:rPr>
      </w:pPr>
      <w:r>
        <w:rPr>
          <w:color w:val="auto"/>
        </w:rPr>
        <w:t>噪声监测结果见表</w:t>
      </w:r>
      <w:r>
        <w:rPr>
          <w:rFonts w:hint="eastAsia"/>
          <w:color w:val="auto"/>
        </w:rPr>
        <w:t>5.2.3-1</w:t>
      </w:r>
      <w:r>
        <w:rPr>
          <w:color w:val="auto"/>
        </w:rPr>
        <w:t>。</w:t>
      </w:r>
    </w:p>
    <w:p w14:paraId="3AB19198">
      <w:pPr>
        <w:spacing w:line="240" w:lineRule="auto"/>
        <w:ind w:firstLine="0" w:firstLineChars="0"/>
        <w:jc w:val="center"/>
        <w:rPr>
          <w:b/>
          <w:color w:val="auto"/>
          <w:szCs w:val="28"/>
        </w:rPr>
      </w:pPr>
      <w:r>
        <w:rPr>
          <w:b/>
          <w:color w:val="auto"/>
          <w:szCs w:val="28"/>
        </w:rPr>
        <w:t>表</w:t>
      </w:r>
      <w:r>
        <w:rPr>
          <w:rFonts w:hint="eastAsia"/>
          <w:b/>
          <w:color w:val="auto"/>
          <w:szCs w:val="28"/>
        </w:rPr>
        <w:t>5.2.3-1</w:t>
      </w:r>
      <w:r>
        <w:rPr>
          <w:b/>
          <w:color w:val="auto"/>
          <w:szCs w:val="28"/>
        </w:rPr>
        <w:t xml:space="preserve">  噪声现状监测结果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63"/>
        <w:gridCol w:w="1565"/>
        <w:gridCol w:w="1570"/>
        <w:gridCol w:w="1570"/>
        <w:gridCol w:w="1570"/>
      </w:tblGrid>
      <w:tr w14:paraId="0659B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pct"/>
            <w:shd w:val="clear" w:color="auto" w:fill="auto"/>
            <w:vAlign w:val="center"/>
          </w:tcPr>
          <w:p w14:paraId="492B3E66">
            <w:pPr>
              <w:widowControl/>
              <w:spacing w:line="240" w:lineRule="auto"/>
              <w:ind w:firstLine="0" w:firstLineChars="0"/>
              <w:jc w:val="center"/>
              <w:rPr>
                <w:b/>
                <w:bCs/>
                <w:color w:val="auto"/>
                <w:kern w:val="0"/>
                <w:sz w:val="21"/>
                <w:szCs w:val="21"/>
              </w:rPr>
            </w:pPr>
            <w:r>
              <w:rPr>
                <w:b/>
                <w:bCs/>
                <w:color w:val="auto"/>
                <w:kern w:val="0"/>
                <w:sz w:val="21"/>
                <w:szCs w:val="21"/>
              </w:rPr>
              <w:t>监测点位</w:t>
            </w:r>
          </w:p>
        </w:tc>
        <w:tc>
          <w:tcPr>
            <w:tcW w:w="831" w:type="pct"/>
            <w:shd w:val="clear" w:color="auto" w:fill="auto"/>
            <w:vAlign w:val="center"/>
          </w:tcPr>
          <w:p w14:paraId="1B05A227">
            <w:pPr>
              <w:widowControl/>
              <w:spacing w:line="240" w:lineRule="auto"/>
              <w:ind w:firstLine="0" w:firstLineChars="0"/>
              <w:jc w:val="center"/>
              <w:rPr>
                <w:b/>
                <w:bCs/>
                <w:color w:val="auto"/>
                <w:kern w:val="0"/>
                <w:sz w:val="21"/>
                <w:szCs w:val="21"/>
              </w:rPr>
            </w:pPr>
            <w:r>
              <w:rPr>
                <w:b/>
                <w:bCs/>
                <w:color w:val="auto"/>
                <w:kern w:val="0"/>
                <w:sz w:val="21"/>
                <w:szCs w:val="21"/>
              </w:rPr>
              <w:t>环境功能</w:t>
            </w:r>
          </w:p>
        </w:tc>
        <w:tc>
          <w:tcPr>
            <w:tcW w:w="832" w:type="pct"/>
            <w:shd w:val="clear" w:color="auto" w:fill="auto"/>
            <w:vAlign w:val="center"/>
          </w:tcPr>
          <w:p w14:paraId="422A7681">
            <w:pPr>
              <w:widowControl/>
              <w:spacing w:line="240" w:lineRule="auto"/>
              <w:ind w:firstLine="0" w:firstLineChars="0"/>
              <w:jc w:val="center"/>
              <w:rPr>
                <w:b/>
                <w:bCs/>
                <w:color w:val="auto"/>
                <w:kern w:val="0"/>
                <w:sz w:val="21"/>
                <w:szCs w:val="21"/>
              </w:rPr>
            </w:pPr>
            <w:r>
              <w:rPr>
                <w:b/>
                <w:bCs/>
                <w:color w:val="auto"/>
                <w:kern w:val="0"/>
                <w:sz w:val="21"/>
                <w:szCs w:val="21"/>
              </w:rPr>
              <w:t>昼间</w:t>
            </w:r>
          </w:p>
        </w:tc>
        <w:tc>
          <w:tcPr>
            <w:tcW w:w="835" w:type="pct"/>
            <w:shd w:val="clear" w:color="auto" w:fill="auto"/>
            <w:vAlign w:val="center"/>
          </w:tcPr>
          <w:p w14:paraId="7210FF83">
            <w:pPr>
              <w:widowControl/>
              <w:spacing w:line="240" w:lineRule="auto"/>
              <w:ind w:firstLine="0" w:firstLineChars="0"/>
              <w:jc w:val="center"/>
              <w:rPr>
                <w:b/>
                <w:bCs/>
                <w:color w:val="auto"/>
                <w:kern w:val="0"/>
                <w:sz w:val="21"/>
                <w:szCs w:val="21"/>
              </w:rPr>
            </w:pPr>
            <w:r>
              <w:rPr>
                <w:b/>
                <w:bCs/>
                <w:color w:val="auto"/>
                <w:kern w:val="0"/>
                <w:sz w:val="21"/>
                <w:szCs w:val="21"/>
              </w:rPr>
              <w:t>达标情况</w:t>
            </w:r>
          </w:p>
        </w:tc>
        <w:tc>
          <w:tcPr>
            <w:tcW w:w="835" w:type="pct"/>
            <w:shd w:val="clear" w:color="auto" w:fill="auto"/>
            <w:vAlign w:val="center"/>
          </w:tcPr>
          <w:p w14:paraId="11273DD4">
            <w:pPr>
              <w:widowControl/>
              <w:spacing w:line="240" w:lineRule="auto"/>
              <w:ind w:firstLine="0" w:firstLineChars="0"/>
              <w:jc w:val="center"/>
              <w:rPr>
                <w:b/>
                <w:bCs/>
                <w:color w:val="auto"/>
                <w:kern w:val="0"/>
                <w:sz w:val="21"/>
                <w:szCs w:val="21"/>
              </w:rPr>
            </w:pPr>
            <w:r>
              <w:rPr>
                <w:b/>
                <w:bCs/>
                <w:color w:val="auto"/>
                <w:kern w:val="0"/>
                <w:sz w:val="21"/>
                <w:szCs w:val="21"/>
              </w:rPr>
              <w:t>夜间</w:t>
            </w:r>
          </w:p>
        </w:tc>
        <w:tc>
          <w:tcPr>
            <w:tcW w:w="835" w:type="pct"/>
            <w:shd w:val="clear" w:color="auto" w:fill="auto"/>
            <w:vAlign w:val="center"/>
          </w:tcPr>
          <w:p w14:paraId="297B9D99">
            <w:pPr>
              <w:widowControl/>
              <w:spacing w:line="240" w:lineRule="auto"/>
              <w:ind w:firstLine="0" w:firstLineChars="0"/>
              <w:jc w:val="center"/>
              <w:rPr>
                <w:b/>
                <w:bCs/>
                <w:color w:val="auto"/>
                <w:kern w:val="0"/>
                <w:sz w:val="21"/>
                <w:szCs w:val="21"/>
              </w:rPr>
            </w:pPr>
            <w:r>
              <w:rPr>
                <w:b/>
                <w:bCs/>
                <w:color w:val="auto"/>
                <w:kern w:val="0"/>
                <w:sz w:val="21"/>
                <w:szCs w:val="21"/>
              </w:rPr>
              <w:t>达标情况</w:t>
            </w:r>
          </w:p>
        </w:tc>
      </w:tr>
      <w:tr w14:paraId="48FCF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1" w:type="pct"/>
            <w:vMerge w:val="restart"/>
            <w:shd w:val="clear" w:color="auto" w:fill="auto"/>
            <w:vAlign w:val="center"/>
          </w:tcPr>
          <w:p w14:paraId="3AD4DC7D">
            <w:pPr>
              <w:widowControl/>
              <w:spacing w:line="240" w:lineRule="auto"/>
              <w:ind w:firstLine="0" w:firstLineChars="0"/>
              <w:jc w:val="center"/>
              <w:rPr>
                <w:color w:val="auto"/>
                <w:kern w:val="0"/>
                <w:sz w:val="21"/>
                <w:szCs w:val="21"/>
              </w:rPr>
            </w:pPr>
            <w:r>
              <w:rPr>
                <w:color w:val="auto"/>
                <w:kern w:val="0"/>
                <w:sz w:val="21"/>
                <w:szCs w:val="21"/>
              </w:rPr>
              <w:t>N1（东厂界）</w:t>
            </w:r>
          </w:p>
        </w:tc>
        <w:tc>
          <w:tcPr>
            <w:tcW w:w="831" w:type="pct"/>
            <w:vMerge w:val="restart"/>
            <w:shd w:val="clear" w:color="auto" w:fill="auto"/>
            <w:vAlign w:val="center"/>
          </w:tcPr>
          <w:p w14:paraId="131B8885">
            <w:pPr>
              <w:widowControl/>
              <w:spacing w:line="240" w:lineRule="auto"/>
              <w:ind w:firstLine="0" w:firstLineChars="0"/>
              <w:jc w:val="center"/>
              <w:rPr>
                <w:color w:val="auto"/>
                <w:kern w:val="0"/>
                <w:sz w:val="21"/>
                <w:szCs w:val="21"/>
              </w:rPr>
            </w:pPr>
            <w:r>
              <w:rPr>
                <w:color w:val="auto"/>
                <w:kern w:val="0"/>
                <w:sz w:val="21"/>
                <w:szCs w:val="21"/>
              </w:rPr>
              <w:t>厂界</w:t>
            </w:r>
          </w:p>
        </w:tc>
        <w:tc>
          <w:tcPr>
            <w:tcW w:w="832" w:type="pct"/>
            <w:shd w:val="clear" w:color="auto" w:fill="auto"/>
            <w:vAlign w:val="center"/>
          </w:tcPr>
          <w:p w14:paraId="22511961">
            <w:pPr>
              <w:widowControl/>
              <w:spacing w:line="240" w:lineRule="auto"/>
              <w:ind w:firstLine="0" w:firstLineChars="0"/>
              <w:jc w:val="center"/>
              <w:rPr>
                <w:color w:val="auto"/>
                <w:kern w:val="0"/>
                <w:sz w:val="21"/>
                <w:szCs w:val="21"/>
              </w:rPr>
            </w:pPr>
            <w:r>
              <w:rPr>
                <w:rFonts w:hint="eastAsia"/>
                <w:color w:val="auto"/>
                <w:kern w:val="0"/>
                <w:sz w:val="21"/>
                <w:szCs w:val="21"/>
              </w:rPr>
              <w:t>55</w:t>
            </w:r>
          </w:p>
        </w:tc>
        <w:tc>
          <w:tcPr>
            <w:tcW w:w="835" w:type="pct"/>
            <w:shd w:val="clear" w:color="auto" w:fill="auto"/>
            <w:vAlign w:val="center"/>
          </w:tcPr>
          <w:p w14:paraId="1C476785">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7A5B2584">
            <w:pPr>
              <w:widowControl/>
              <w:spacing w:line="240" w:lineRule="auto"/>
              <w:ind w:firstLine="0" w:firstLineChars="0"/>
              <w:jc w:val="center"/>
              <w:rPr>
                <w:color w:val="auto"/>
                <w:kern w:val="0"/>
                <w:sz w:val="21"/>
                <w:szCs w:val="21"/>
              </w:rPr>
            </w:pPr>
            <w:r>
              <w:rPr>
                <w:rFonts w:hint="eastAsia"/>
                <w:color w:val="auto"/>
                <w:kern w:val="0"/>
                <w:sz w:val="21"/>
                <w:szCs w:val="21"/>
              </w:rPr>
              <w:t>47</w:t>
            </w:r>
          </w:p>
        </w:tc>
        <w:tc>
          <w:tcPr>
            <w:tcW w:w="835" w:type="pct"/>
            <w:shd w:val="clear" w:color="auto" w:fill="auto"/>
            <w:vAlign w:val="center"/>
          </w:tcPr>
          <w:p w14:paraId="15BB2EBE">
            <w:pPr>
              <w:widowControl/>
              <w:spacing w:line="240" w:lineRule="auto"/>
              <w:ind w:firstLine="0" w:firstLineChars="0"/>
              <w:jc w:val="center"/>
              <w:rPr>
                <w:color w:val="auto"/>
                <w:kern w:val="0"/>
                <w:sz w:val="21"/>
                <w:szCs w:val="21"/>
              </w:rPr>
            </w:pPr>
            <w:r>
              <w:rPr>
                <w:color w:val="auto"/>
                <w:kern w:val="0"/>
                <w:sz w:val="21"/>
                <w:szCs w:val="21"/>
              </w:rPr>
              <w:t>达标</w:t>
            </w:r>
          </w:p>
        </w:tc>
      </w:tr>
      <w:tr w14:paraId="0D7AB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pct"/>
            <w:vMerge w:val="continue"/>
            <w:vAlign w:val="center"/>
          </w:tcPr>
          <w:p w14:paraId="2BA3767B">
            <w:pPr>
              <w:widowControl/>
              <w:spacing w:line="240" w:lineRule="auto"/>
              <w:ind w:firstLine="0" w:firstLineChars="0"/>
              <w:jc w:val="center"/>
              <w:rPr>
                <w:color w:val="auto"/>
                <w:kern w:val="0"/>
                <w:sz w:val="21"/>
                <w:szCs w:val="21"/>
              </w:rPr>
            </w:pPr>
          </w:p>
        </w:tc>
        <w:tc>
          <w:tcPr>
            <w:tcW w:w="831" w:type="pct"/>
            <w:vMerge w:val="continue"/>
            <w:vAlign w:val="center"/>
          </w:tcPr>
          <w:p w14:paraId="39050D33">
            <w:pPr>
              <w:widowControl/>
              <w:spacing w:line="240" w:lineRule="auto"/>
              <w:ind w:firstLine="0" w:firstLineChars="0"/>
              <w:jc w:val="center"/>
              <w:rPr>
                <w:color w:val="auto"/>
                <w:kern w:val="0"/>
                <w:sz w:val="21"/>
                <w:szCs w:val="21"/>
              </w:rPr>
            </w:pPr>
          </w:p>
        </w:tc>
        <w:tc>
          <w:tcPr>
            <w:tcW w:w="832" w:type="pct"/>
            <w:shd w:val="clear" w:color="auto" w:fill="auto"/>
            <w:vAlign w:val="center"/>
          </w:tcPr>
          <w:p w14:paraId="11D82011">
            <w:pPr>
              <w:widowControl/>
              <w:spacing w:line="240" w:lineRule="auto"/>
              <w:ind w:firstLine="0" w:firstLineChars="0"/>
              <w:jc w:val="center"/>
              <w:rPr>
                <w:color w:val="auto"/>
                <w:kern w:val="0"/>
                <w:sz w:val="21"/>
                <w:szCs w:val="21"/>
              </w:rPr>
            </w:pPr>
            <w:r>
              <w:rPr>
                <w:rFonts w:hint="eastAsia"/>
                <w:color w:val="auto"/>
                <w:kern w:val="0"/>
                <w:sz w:val="21"/>
                <w:szCs w:val="21"/>
              </w:rPr>
              <w:t>57</w:t>
            </w:r>
          </w:p>
        </w:tc>
        <w:tc>
          <w:tcPr>
            <w:tcW w:w="835" w:type="pct"/>
            <w:shd w:val="clear" w:color="auto" w:fill="auto"/>
            <w:vAlign w:val="center"/>
          </w:tcPr>
          <w:p w14:paraId="2B52EB0B">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270FC7AF">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5</w:t>
            </w:r>
          </w:p>
        </w:tc>
        <w:tc>
          <w:tcPr>
            <w:tcW w:w="835" w:type="pct"/>
            <w:shd w:val="clear" w:color="auto" w:fill="auto"/>
            <w:vAlign w:val="center"/>
          </w:tcPr>
          <w:p w14:paraId="236C5161">
            <w:pPr>
              <w:widowControl/>
              <w:spacing w:line="240" w:lineRule="auto"/>
              <w:ind w:firstLine="0" w:firstLineChars="0"/>
              <w:jc w:val="center"/>
              <w:rPr>
                <w:color w:val="auto"/>
                <w:kern w:val="0"/>
                <w:sz w:val="21"/>
                <w:szCs w:val="21"/>
              </w:rPr>
            </w:pPr>
            <w:r>
              <w:rPr>
                <w:color w:val="auto"/>
                <w:kern w:val="0"/>
                <w:sz w:val="21"/>
                <w:szCs w:val="21"/>
              </w:rPr>
              <w:t>达标</w:t>
            </w:r>
          </w:p>
        </w:tc>
      </w:tr>
      <w:tr w14:paraId="3E916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1" w:type="pct"/>
            <w:vMerge w:val="restart"/>
            <w:shd w:val="clear" w:color="auto" w:fill="auto"/>
            <w:vAlign w:val="center"/>
          </w:tcPr>
          <w:p w14:paraId="36D8F720">
            <w:pPr>
              <w:widowControl/>
              <w:spacing w:line="240" w:lineRule="auto"/>
              <w:ind w:firstLine="0" w:firstLineChars="0"/>
              <w:jc w:val="center"/>
              <w:rPr>
                <w:color w:val="auto"/>
                <w:kern w:val="0"/>
                <w:sz w:val="21"/>
                <w:szCs w:val="21"/>
              </w:rPr>
            </w:pPr>
            <w:r>
              <w:rPr>
                <w:color w:val="auto"/>
                <w:kern w:val="0"/>
                <w:sz w:val="21"/>
                <w:szCs w:val="21"/>
              </w:rPr>
              <w:t>N2（南厂界）</w:t>
            </w:r>
          </w:p>
        </w:tc>
        <w:tc>
          <w:tcPr>
            <w:tcW w:w="831" w:type="pct"/>
            <w:vMerge w:val="restart"/>
            <w:shd w:val="clear" w:color="auto" w:fill="auto"/>
            <w:vAlign w:val="center"/>
          </w:tcPr>
          <w:p w14:paraId="3C8D6064">
            <w:pPr>
              <w:widowControl/>
              <w:spacing w:line="240" w:lineRule="auto"/>
              <w:ind w:firstLine="0" w:firstLineChars="0"/>
              <w:jc w:val="center"/>
              <w:rPr>
                <w:color w:val="auto"/>
                <w:kern w:val="0"/>
                <w:sz w:val="21"/>
                <w:szCs w:val="21"/>
              </w:rPr>
            </w:pPr>
            <w:r>
              <w:rPr>
                <w:color w:val="auto"/>
                <w:kern w:val="0"/>
                <w:sz w:val="21"/>
                <w:szCs w:val="21"/>
              </w:rPr>
              <w:t>厂界</w:t>
            </w:r>
          </w:p>
        </w:tc>
        <w:tc>
          <w:tcPr>
            <w:tcW w:w="832" w:type="pct"/>
            <w:shd w:val="clear" w:color="auto" w:fill="auto"/>
            <w:vAlign w:val="center"/>
          </w:tcPr>
          <w:p w14:paraId="16B7A709">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7</w:t>
            </w:r>
          </w:p>
        </w:tc>
        <w:tc>
          <w:tcPr>
            <w:tcW w:w="835" w:type="pct"/>
            <w:shd w:val="clear" w:color="auto" w:fill="auto"/>
            <w:vAlign w:val="center"/>
          </w:tcPr>
          <w:p w14:paraId="1E8FBB6B">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0B15C5BA">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5</w:t>
            </w:r>
          </w:p>
        </w:tc>
        <w:tc>
          <w:tcPr>
            <w:tcW w:w="835" w:type="pct"/>
            <w:shd w:val="clear" w:color="auto" w:fill="auto"/>
            <w:vAlign w:val="center"/>
          </w:tcPr>
          <w:p w14:paraId="5D4F197B">
            <w:pPr>
              <w:widowControl/>
              <w:spacing w:line="240" w:lineRule="auto"/>
              <w:ind w:firstLine="0" w:firstLineChars="0"/>
              <w:jc w:val="center"/>
              <w:rPr>
                <w:color w:val="auto"/>
                <w:kern w:val="0"/>
                <w:sz w:val="21"/>
                <w:szCs w:val="21"/>
              </w:rPr>
            </w:pPr>
            <w:r>
              <w:rPr>
                <w:color w:val="auto"/>
                <w:kern w:val="0"/>
                <w:sz w:val="21"/>
                <w:szCs w:val="21"/>
              </w:rPr>
              <w:t>达标</w:t>
            </w:r>
          </w:p>
        </w:tc>
      </w:tr>
      <w:tr w14:paraId="7AD49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pct"/>
            <w:vMerge w:val="continue"/>
            <w:vAlign w:val="center"/>
          </w:tcPr>
          <w:p w14:paraId="6AC063B6">
            <w:pPr>
              <w:widowControl/>
              <w:spacing w:line="240" w:lineRule="auto"/>
              <w:ind w:firstLine="0" w:firstLineChars="0"/>
              <w:jc w:val="center"/>
              <w:rPr>
                <w:color w:val="auto"/>
                <w:kern w:val="0"/>
                <w:sz w:val="21"/>
                <w:szCs w:val="21"/>
              </w:rPr>
            </w:pPr>
          </w:p>
        </w:tc>
        <w:tc>
          <w:tcPr>
            <w:tcW w:w="831" w:type="pct"/>
            <w:vMerge w:val="continue"/>
            <w:vAlign w:val="center"/>
          </w:tcPr>
          <w:p w14:paraId="71BE233E">
            <w:pPr>
              <w:widowControl/>
              <w:spacing w:line="240" w:lineRule="auto"/>
              <w:ind w:firstLine="0" w:firstLineChars="0"/>
              <w:jc w:val="center"/>
              <w:rPr>
                <w:color w:val="auto"/>
                <w:kern w:val="0"/>
                <w:sz w:val="21"/>
                <w:szCs w:val="21"/>
              </w:rPr>
            </w:pPr>
          </w:p>
        </w:tc>
        <w:tc>
          <w:tcPr>
            <w:tcW w:w="832" w:type="pct"/>
            <w:shd w:val="clear" w:color="auto" w:fill="auto"/>
            <w:vAlign w:val="center"/>
          </w:tcPr>
          <w:p w14:paraId="265AF178">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8</w:t>
            </w:r>
          </w:p>
        </w:tc>
        <w:tc>
          <w:tcPr>
            <w:tcW w:w="835" w:type="pct"/>
            <w:shd w:val="clear" w:color="auto" w:fill="auto"/>
            <w:vAlign w:val="center"/>
          </w:tcPr>
          <w:p w14:paraId="09EE4A76">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15AB3762">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7</w:t>
            </w:r>
          </w:p>
        </w:tc>
        <w:tc>
          <w:tcPr>
            <w:tcW w:w="835" w:type="pct"/>
            <w:shd w:val="clear" w:color="auto" w:fill="auto"/>
            <w:vAlign w:val="center"/>
          </w:tcPr>
          <w:p w14:paraId="64786C03">
            <w:pPr>
              <w:widowControl/>
              <w:spacing w:line="240" w:lineRule="auto"/>
              <w:ind w:firstLine="0" w:firstLineChars="0"/>
              <w:jc w:val="center"/>
              <w:rPr>
                <w:color w:val="auto"/>
                <w:kern w:val="0"/>
                <w:sz w:val="21"/>
                <w:szCs w:val="21"/>
              </w:rPr>
            </w:pPr>
            <w:r>
              <w:rPr>
                <w:color w:val="auto"/>
                <w:kern w:val="0"/>
                <w:sz w:val="21"/>
                <w:szCs w:val="21"/>
              </w:rPr>
              <w:t>达标</w:t>
            </w:r>
          </w:p>
        </w:tc>
      </w:tr>
      <w:tr w14:paraId="49F80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pct"/>
            <w:vMerge w:val="restart"/>
            <w:shd w:val="clear" w:color="auto" w:fill="auto"/>
            <w:vAlign w:val="center"/>
          </w:tcPr>
          <w:p w14:paraId="49E01E3D">
            <w:pPr>
              <w:widowControl/>
              <w:spacing w:line="240" w:lineRule="auto"/>
              <w:ind w:firstLine="0" w:firstLineChars="0"/>
              <w:jc w:val="center"/>
              <w:rPr>
                <w:color w:val="auto"/>
                <w:kern w:val="0"/>
                <w:sz w:val="21"/>
                <w:szCs w:val="21"/>
              </w:rPr>
            </w:pPr>
            <w:r>
              <w:rPr>
                <w:color w:val="auto"/>
                <w:kern w:val="0"/>
                <w:sz w:val="21"/>
                <w:szCs w:val="21"/>
              </w:rPr>
              <w:t>N3（西厂界）</w:t>
            </w:r>
          </w:p>
        </w:tc>
        <w:tc>
          <w:tcPr>
            <w:tcW w:w="831" w:type="pct"/>
            <w:vMerge w:val="restart"/>
            <w:shd w:val="clear" w:color="auto" w:fill="auto"/>
            <w:vAlign w:val="center"/>
          </w:tcPr>
          <w:p w14:paraId="35F4F7C8">
            <w:pPr>
              <w:widowControl/>
              <w:spacing w:line="240" w:lineRule="auto"/>
              <w:ind w:firstLine="0" w:firstLineChars="0"/>
              <w:jc w:val="center"/>
              <w:rPr>
                <w:color w:val="auto"/>
                <w:kern w:val="0"/>
                <w:sz w:val="21"/>
                <w:szCs w:val="21"/>
              </w:rPr>
            </w:pPr>
            <w:r>
              <w:rPr>
                <w:color w:val="auto"/>
                <w:kern w:val="0"/>
                <w:sz w:val="21"/>
                <w:szCs w:val="21"/>
              </w:rPr>
              <w:t>厂界</w:t>
            </w:r>
          </w:p>
        </w:tc>
        <w:tc>
          <w:tcPr>
            <w:tcW w:w="832" w:type="pct"/>
            <w:shd w:val="clear" w:color="auto" w:fill="auto"/>
            <w:vAlign w:val="center"/>
          </w:tcPr>
          <w:p w14:paraId="11D28388">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6</w:t>
            </w:r>
          </w:p>
        </w:tc>
        <w:tc>
          <w:tcPr>
            <w:tcW w:w="835" w:type="pct"/>
            <w:shd w:val="clear" w:color="auto" w:fill="auto"/>
            <w:vAlign w:val="center"/>
          </w:tcPr>
          <w:p w14:paraId="540CC402">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08C86522">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6</w:t>
            </w:r>
          </w:p>
        </w:tc>
        <w:tc>
          <w:tcPr>
            <w:tcW w:w="835" w:type="pct"/>
            <w:shd w:val="clear" w:color="auto" w:fill="auto"/>
            <w:vAlign w:val="center"/>
          </w:tcPr>
          <w:p w14:paraId="0ADC8C1E">
            <w:pPr>
              <w:widowControl/>
              <w:spacing w:line="240" w:lineRule="auto"/>
              <w:ind w:firstLine="0" w:firstLineChars="0"/>
              <w:jc w:val="center"/>
              <w:rPr>
                <w:color w:val="auto"/>
                <w:kern w:val="0"/>
                <w:sz w:val="21"/>
                <w:szCs w:val="21"/>
              </w:rPr>
            </w:pPr>
            <w:r>
              <w:rPr>
                <w:color w:val="auto"/>
                <w:kern w:val="0"/>
                <w:sz w:val="21"/>
                <w:szCs w:val="21"/>
              </w:rPr>
              <w:t>达标</w:t>
            </w:r>
          </w:p>
        </w:tc>
      </w:tr>
      <w:tr w14:paraId="47C34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pct"/>
            <w:vMerge w:val="continue"/>
            <w:vAlign w:val="center"/>
          </w:tcPr>
          <w:p w14:paraId="4B637506">
            <w:pPr>
              <w:widowControl/>
              <w:spacing w:line="240" w:lineRule="auto"/>
              <w:ind w:firstLine="0" w:firstLineChars="0"/>
              <w:jc w:val="center"/>
              <w:rPr>
                <w:color w:val="auto"/>
                <w:kern w:val="0"/>
                <w:sz w:val="21"/>
                <w:szCs w:val="21"/>
              </w:rPr>
            </w:pPr>
          </w:p>
        </w:tc>
        <w:tc>
          <w:tcPr>
            <w:tcW w:w="831" w:type="pct"/>
            <w:vMerge w:val="continue"/>
            <w:vAlign w:val="center"/>
          </w:tcPr>
          <w:p w14:paraId="418D351B">
            <w:pPr>
              <w:widowControl/>
              <w:spacing w:line="240" w:lineRule="auto"/>
              <w:ind w:firstLine="0" w:firstLineChars="0"/>
              <w:jc w:val="center"/>
              <w:rPr>
                <w:color w:val="auto"/>
                <w:kern w:val="0"/>
                <w:sz w:val="21"/>
                <w:szCs w:val="21"/>
              </w:rPr>
            </w:pPr>
          </w:p>
        </w:tc>
        <w:tc>
          <w:tcPr>
            <w:tcW w:w="832" w:type="pct"/>
            <w:shd w:val="clear" w:color="auto" w:fill="auto"/>
            <w:vAlign w:val="center"/>
          </w:tcPr>
          <w:p w14:paraId="613B230D">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7</w:t>
            </w:r>
          </w:p>
        </w:tc>
        <w:tc>
          <w:tcPr>
            <w:tcW w:w="835" w:type="pct"/>
            <w:shd w:val="clear" w:color="auto" w:fill="auto"/>
            <w:vAlign w:val="center"/>
          </w:tcPr>
          <w:p w14:paraId="34BC862F">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3F749875">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7</w:t>
            </w:r>
          </w:p>
        </w:tc>
        <w:tc>
          <w:tcPr>
            <w:tcW w:w="835" w:type="pct"/>
            <w:shd w:val="clear" w:color="auto" w:fill="auto"/>
            <w:vAlign w:val="center"/>
          </w:tcPr>
          <w:p w14:paraId="7709A31B">
            <w:pPr>
              <w:widowControl/>
              <w:spacing w:line="240" w:lineRule="auto"/>
              <w:ind w:firstLine="0" w:firstLineChars="0"/>
              <w:jc w:val="center"/>
              <w:rPr>
                <w:color w:val="auto"/>
                <w:kern w:val="0"/>
                <w:sz w:val="21"/>
                <w:szCs w:val="21"/>
              </w:rPr>
            </w:pPr>
            <w:r>
              <w:rPr>
                <w:color w:val="auto"/>
                <w:kern w:val="0"/>
                <w:sz w:val="21"/>
                <w:szCs w:val="21"/>
              </w:rPr>
              <w:t>达标</w:t>
            </w:r>
          </w:p>
        </w:tc>
      </w:tr>
      <w:tr w14:paraId="11E79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pct"/>
            <w:vMerge w:val="restart"/>
            <w:shd w:val="clear" w:color="auto" w:fill="auto"/>
            <w:vAlign w:val="center"/>
          </w:tcPr>
          <w:p w14:paraId="29281940">
            <w:pPr>
              <w:widowControl/>
              <w:spacing w:line="240" w:lineRule="auto"/>
              <w:ind w:firstLine="0" w:firstLineChars="0"/>
              <w:jc w:val="center"/>
              <w:rPr>
                <w:color w:val="auto"/>
                <w:kern w:val="0"/>
                <w:sz w:val="21"/>
                <w:szCs w:val="21"/>
              </w:rPr>
            </w:pPr>
            <w:r>
              <w:rPr>
                <w:color w:val="auto"/>
                <w:kern w:val="0"/>
                <w:sz w:val="21"/>
                <w:szCs w:val="21"/>
              </w:rPr>
              <w:t>N4（北厂界）</w:t>
            </w:r>
          </w:p>
        </w:tc>
        <w:tc>
          <w:tcPr>
            <w:tcW w:w="831" w:type="pct"/>
            <w:vMerge w:val="restart"/>
            <w:shd w:val="clear" w:color="auto" w:fill="auto"/>
            <w:vAlign w:val="center"/>
          </w:tcPr>
          <w:p w14:paraId="025D86EB">
            <w:pPr>
              <w:widowControl/>
              <w:spacing w:line="240" w:lineRule="auto"/>
              <w:ind w:firstLine="0" w:firstLineChars="0"/>
              <w:jc w:val="center"/>
              <w:rPr>
                <w:color w:val="auto"/>
                <w:kern w:val="0"/>
                <w:sz w:val="21"/>
                <w:szCs w:val="21"/>
              </w:rPr>
            </w:pPr>
            <w:r>
              <w:rPr>
                <w:color w:val="auto"/>
                <w:kern w:val="0"/>
                <w:sz w:val="21"/>
                <w:szCs w:val="21"/>
              </w:rPr>
              <w:t>厂界</w:t>
            </w:r>
          </w:p>
        </w:tc>
        <w:tc>
          <w:tcPr>
            <w:tcW w:w="832" w:type="pct"/>
            <w:shd w:val="clear" w:color="auto" w:fill="auto"/>
            <w:vAlign w:val="center"/>
          </w:tcPr>
          <w:p w14:paraId="590D909B">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7</w:t>
            </w:r>
          </w:p>
        </w:tc>
        <w:tc>
          <w:tcPr>
            <w:tcW w:w="835" w:type="pct"/>
            <w:shd w:val="clear" w:color="auto" w:fill="auto"/>
            <w:vAlign w:val="center"/>
          </w:tcPr>
          <w:p w14:paraId="78715CBB">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2FFF5B49">
            <w:pPr>
              <w:widowControl/>
              <w:spacing w:line="240" w:lineRule="auto"/>
              <w:ind w:firstLine="0" w:firstLineChars="0"/>
              <w:jc w:val="center"/>
              <w:rPr>
                <w:color w:val="auto"/>
                <w:kern w:val="0"/>
                <w:sz w:val="21"/>
                <w:szCs w:val="21"/>
              </w:rPr>
            </w:pPr>
            <w:r>
              <w:rPr>
                <w:color w:val="auto"/>
                <w:kern w:val="0"/>
                <w:sz w:val="21"/>
                <w:szCs w:val="21"/>
              </w:rPr>
              <w:t>47</w:t>
            </w:r>
          </w:p>
        </w:tc>
        <w:tc>
          <w:tcPr>
            <w:tcW w:w="835" w:type="pct"/>
            <w:shd w:val="clear" w:color="auto" w:fill="auto"/>
            <w:vAlign w:val="center"/>
          </w:tcPr>
          <w:p w14:paraId="725DC1FA">
            <w:pPr>
              <w:widowControl/>
              <w:spacing w:line="240" w:lineRule="auto"/>
              <w:ind w:firstLine="0" w:firstLineChars="0"/>
              <w:jc w:val="center"/>
              <w:rPr>
                <w:color w:val="auto"/>
                <w:kern w:val="0"/>
                <w:sz w:val="21"/>
                <w:szCs w:val="21"/>
              </w:rPr>
            </w:pPr>
            <w:r>
              <w:rPr>
                <w:color w:val="auto"/>
                <w:kern w:val="0"/>
                <w:sz w:val="21"/>
                <w:szCs w:val="21"/>
              </w:rPr>
              <w:t>达标</w:t>
            </w:r>
          </w:p>
        </w:tc>
      </w:tr>
      <w:tr w14:paraId="11A53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31" w:type="pct"/>
            <w:vMerge w:val="continue"/>
            <w:vAlign w:val="center"/>
          </w:tcPr>
          <w:p w14:paraId="7CD0145E">
            <w:pPr>
              <w:widowControl/>
              <w:spacing w:line="240" w:lineRule="auto"/>
              <w:ind w:firstLine="0" w:firstLineChars="0"/>
              <w:jc w:val="center"/>
              <w:rPr>
                <w:color w:val="auto"/>
                <w:kern w:val="0"/>
                <w:sz w:val="21"/>
                <w:szCs w:val="21"/>
              </w:rPr>
            </w:pPr>
          </w:p>
        </w:tc>
        <w:tc>
          <w:tcPr>
            <w:tcW w:w="831" w:type="pct"/>
            <w:vMerge w:val="continue"/>
            <w:vAlign w:val="center"/>
          </w:tcPr>
          <w:p w14:paraId="55AA5AE0">
            <w:pPr>
              <w:widowControl/>
              <w:spacing w:line="240" w:lineRule="auto"/>
              <w:ind w:firstLine="0" w:firstLineChars="0"/>
              <w:jc w:val="center"/>
              <w:rPr>
                <w:color w:val="auto"/>
                <w:kern w:val="0"/>
                <w:sz w:val="21"/>
                <w:szCs w:val="21"/>
              </w:rPr>
            </w:pPr>
          </w:p>
        </w:tc>
        <w:tc>
          <w:tcPr>
            <w:tcW w:w="832" w:type="pct"/>
            <w:shd w:val="clear" w:color="auto" w:fill="auto"/>
            <w:vAlign w:val="center"/>
          </w:tcPr>
          <w:p w14:paraId="036D1F9E">
            <w:pPr>
              <w:widowControl/>
              <w:spacing w:line="240" w:lineRule="auto"/>
              <w:ind w:firstLine="0" w:firstLineChars="0"/>
              <w:jc w:val="center"/>
              <w:rPr>
                <w:color w:val="auto"/>
                <w:kern w:val="0"/>
                <w:sz w:val="21"/>
                <w:szCs w:val="21"/>
              </w:rPr>
            </w:pPr>
            <w:r>
              <w:rPr>
                <w:color w:val="auto"/>
                <w:kern w:val="0"/>
                <w:sz w:val="21"/>
                <w:szCs w:val="21"/>
              </w:rPr>
              <w:t>5</w:t>
            </w:r>
            <w:r>
              <w:rPr>
                <w:rFonts w:hint="eastAsia"/>
                <w:color w:val="auto"/>
                <w:kern w:val="0"/>
                <w:sz w:val="21"/>
                <w:szCs w:val="21"/>
              </w:rPr>
              <w:t>6</w:t>
            </w:r>
          </w:p>
        </w:tc>
        <w:tc>
          <w:tcPr>
            <w:tcW w:w="835" w:type="pct"/>
            <w:shd w:val="clear" w:color="auto" w:fill="auto"/>
            <w:vAlign w:val="center"/>
          </w:tcPr>
          <w:p w14:paraId="0C629484">
            <w:pPr>
              <w:widowControl/>
              <w:spacing w:line="240" w:lineRule="auto"/>
              <w:ind w:firstLine="0" w:firstLineChars="0"/>
              <w:jc w:val="center"/>
              <w:rPr>
                <w:color w:val="auto"/>
                <w:kern w:val="0"/>
                <w:sz w:val="21"/>
                <w:szCs w:val="21"/>
              </w:rPr>
            </w:pPr>
            <w:r>
              <w:rPr>
                <w:color w:val="auto"/>
                <w:kern w:val="0"/>
                <w:sz w:val="21"/>
                <w:szCs w:val="21"/>
              </w:rPr>
              <w:t>达标</w:t>
            </w:r>
          </w:p>
        </w:tc>
        <w:tc>
          <w:tcPr>
            <w:tcW w:w="835" w:type="pct"/>
            <w:shd w:val="clear" w:color="auto" w:fill="auto"/>
            <w:vAlign w:val="center"/>
          </w:tcPr>
          <w:p w14:paraId="3CE8548F">
            <w:pPr>
              <w:widowControl/>
              <w:spacing w:line="240" w:lineRule="auto"/>
              <w:ind w:firstLine="0" w:firstLineChars="0"/>
              <w:jc w:val="center"/>
              <w:rPr>
                <w:color w:val="auto"/>
                <w:kern w:val="0"/>
                <w:sz w:val="21"/>
                <w:szCs w:val="21"/>
              </w:rPr>
            </w:pPr>
            <w:r>
              <w:rPr>
                <w:color w:val="auto"/>
                <w:kern w:val="0"/>
                <w:sz w:val="21"/>
                <w:szCs w:val="21"/>
              </w:rPr>
              <w:t>46</w:t>
            </w:r>
          </w:p>
        </w:tc>
        <w:tc>
          <w:tcPr>
            <w:tcW w:w="835" w:type="pct"/>
            <w:shd w:val="clear" w:color="auto" w:fill="auto"/>
            <w:vAlign w:val="center"/>
          </w:tcPr>
          <w:p w14:paraId="3800CC2A">
            <w:pPr>
              <w:widowControl/>
              <w:spacing w:line="240" w:lineRule="auto"/>
              <w:ind w:firstLine="0" w:firstLineChars="0"/>
              <w:jc w:val="center"/>
              <w:rPr>
                <w:color w:val="auto"/>
                <w:kern w:val="0"/>
                <w:sz w:val="21"/>
                <w:szCs w:val="21"/>
              </w:rPr>
            </w:pPr>
            <w:r>
              <w:rPr>
                <w:color w:val="auto"/>
                <w:kern w:val="0"/>
                <w:sz w:val="21"/>
                <w:szCs w:val="21"/>
              </w:rPr>
              <w:t>达标</w:t>
            </w:r>
          </w:p>
        </w:tc>
      </w:tr>
    </w:tbl>
    <w:p w14:paraId="09FEC1EF">
      <w:pPr>
        <w:ind w:firstLine="480"/>
        <w:rPr>
          <w:color w:val="auto"/>
        </w:rPr>
      </w:pPr>
      <w:bookmarkStart w:id="120" w:name="_Toc67579081"/>
      <w:bookmarkStart w:id="121" w:name="_Toc27468104"/>
      <w:bookmarkStart w:id="122" w:name="_Toc67577321"/>
      <w:bookmarkStart w:id="123" w:name="_Toc121104052"/>
      <w:bookmarkStart w:id="124" w:name="_Toc67578901"/>
      <w:bookmarkStart w:id="125" w:name="_Toc67578781"/>
      <w:bookmarkStart w:id="126" w:name="_Toc293476475"/>
      <w:bookmarkStart w:id="127" w:name="_Toc308597863"/>
      <w:r>
        <w:rPr>
          <w:color w:val="auto"/>
        </w:rPr>
        <w:t>由表</w:t>
      </w:r>
      <w:r>
        <w:rPr>
          <w:rFonts w:hint="eastAsia"/>
          <w:color w:val="auto"/>
        </w:rPr>
        <w:t>5.2.3-1</w:t>
      </w:r>
      <w:r>
        <w:rPr>
          <w:color w:val="auto"/>
        </w:rPr>
        <w:t>表明，N1~N4点位达到《声环境质量标准》（GB3096-2008）3类标准</w:t>
      </w:r>
      <w:bookmarkEnd w:id="120"/>
      <w:bookmarkEnd w:id="121"/>
      <w:bookmarkEnd w:id="122"/>
      <w:bookmarkEnd w:id="123"/>
      <w:bookmarkEnd w:id="124"/>
      <w:bookmarkEnd w:id="125"/>
      <w:r>
        <w:rPr>
          <w:color w:val="auto"/>
        </w:rPr>
        <w:t>。</w:t>
      </w:r>
    </w:p>
    <w:bookmarkEnd w:id="126"/>
    <w:bookmarkEnd w:id="127"/>
    <w:p w14:paraId="0D629790">
      <w:pPr>
        <w:keepNext/>
        <w:keepLines/>
        <w:spacing w:before="120" w:beforeLines="50"/>
        <w:ind w:firstLine="0" w:firstLineChars="0"/>
        <w:outlineLvl w:val="2"/>
        <w:rPr>
          <w:b/>
          <w:bCs/>
          <w:color w:val="auto"/>
          <w:sz w:val="28"/>
          <w:szCs w:val="28"/>
        </w:rPr>
      </w:pPr>
      <w:r>
        <w:rPr>
          <w:rFonts w:hint="eastAsia"/>
          <w:b/>
          <w:bCs/>
          <w:color w:val="auto"/>
          <w:sz w:val="28"/>
          <w:szCs w:val="28"/>
        </w:rPr>
        <w:t>5</w:t>
      </w:r>
      <w:r>
        <w:rPr>
          <w:b/>
          <w:bCs/>
          <w:color w:val="auto"/>
          <w:sz w:val="28"/>
          <w:szCs w:val="28"/>
        </w:rPr>
        <w:t>.2.4 土壤环境质量现状监测与评价</w:t>
      </w:r>
    </w:p>
    <w:p w14:paraId="1A5D2976">
      <w:pPr>
        <w:spacing w:before="120" w:beforeLines="50"/>
        <w:ind w:firstLine="0" w:firstLineChars="0"/>
        <w:jc w:val="left"/>
        <w:outlineLvl w:val="3"/>
        <w:rPr>
          <w:b/>
          <w:color w:val="auto"/>
        </w:rPr>
      </w:pPr>
      <w:r>
        <w:rPr>
          <w:rFonts w:hint="eastAsia"/>
          <w:b/>
          <w:color w:val="auto"/>
        </w:rPr>
        <w:t>5</w:t>
      </w:r>
      <w:r>
        <w:rPr>
          <w:b/>
          <w:color w:val="auto"/>
        </w:rPr>
        <w:t>.2.4.1</w:t>
      </w:r>
      <w:bookmarkStart w:id="128" w:name="_Hlk29830315"/>
      <w:r>
        <w:rPr>
          <w:b/>
          <w:color w:val="auto"/>
        </w:rPr>
        <w:t xml:space="preserve"> 土壤环境质量现状监测</w:t>
      </w:r>
      <w:bookmarkEnd w:id="128"/>
    </w:p>
    <w:p w14:paraId="030C458C">
      <w:pPr>
        <w:ind w:firstLine="480"/>
        <w:rPr>
          <w:color w:val="auto"/>
          <w:szCs w:val="28"/>
        </w:rPr>
      </w:pPr>
      <w:bookmarkStart w:id="129" w:name="_Toc479348103"/>
      <w:bookmarkStart w:id="130" w:name="_Toc494440459"/>
      <w:r>
        <w:rPr>
          <w:color w:val="auto"/>
          <w:szCs w:val="28"/>
        </w:rPr>
        <w:t>（1）监测点布设</w:t>
      </w:r>
    </w:p>
    <w:p w14:paraId="08D4CFC0">
      <w:pPr>
        <w:tabs>
          <w:tab w:val="left" w:pos="4860"/>
        </w:tabs>
        <w:ind w:firstLine="480"/>
        <w:rPr>
          <w:color w:val="auto"/>
          <w:szCs w:val="28"/>
        </w:rPr>
      </w:pPr>
      <w:bookmarkStart w:id="131" w:name="_Hlk525828876"/>
      <w:r>
        <w:rPr>
          <w:color w:val="auto"/>
        </w:rPr>
        <w:t>根据《环境影响评价技术导则 土壤环境（试行）》（HJ964-2018）的要求，本项目土壤监测共布设</w:t>
      </w:r>
      <w:r>
        <w:rPr>
          <w:rFonts w:hint="eastAsia"/>
          <w:color w:val="auto"/>
        </w:rPr>
        <w:t>11</w:t>
      </w:r>
      <w:r>
        <w:rPr>
          <w:color w:val="auto"/>
        </w:rPr>
        <w:t>个监测点位，其中厂区所在地布设</w:t>
      </w:r>
      <w:r>
        <w:rPr>
          <w:rFonts w:hint="eastAsia"/>
          <w:color w:val="auto"/>
        </w:rPr>
        <w:t>7</w:t>
      </w:r>
      <w:r>
        <w:rPr>
          <w:color w:val="auto"/>
        </w:rPr>
        <w:t>个监测点（</w:t>
      </w:r>
      <w:r>
        <w:rPr>
          <w:rFonts w:hint="eastAsia"/>
          <w:color w:val="auto"/>
        </w:rPr>
        <w:t>5</w:t>
      </w:r>
      <w:r>
        <w:rPr>
          <w:color w:val="auto"/>
        </w:rPr>
        <w:t>个柱状样，</w:t>
      </w:r>
      <w:r>
        <w:rPr>
          <w:rFonts w:hint="eastAsia"/>
          <w:color w:val="auto"/>
        </w:rPr>
        <w:t>2</w:t>
      </w:r>
      <w:r>
        <w:rPr>
          <w:color w:val="auto"/>
        </w:rPr>
        <w:t>个表层样品），在项目所在地场地外共设</w:t>
      </w:r>
      <w:r>
        <w:rPr>
          <w:rFonts w:hint="eastAsia"/>
          <w:color w:val="auto"/>
        </w:rPr>
        <w:t>4</w:t>
      </w:r>
      <w:r>
        <w:rPr>
          <w:color w:val="auto"/>
        </w:rPr>
        <w:t>个监测点位（表层样）。</w:t>
      </w:r>
      <w:r>
        <w:rPr>
          <w:color w:val="auto"/>
          <w:szCs w:val="28"/>
        </w:rPr>
        <w:t>具体点位详见</w:t>
      </w:r>
      <w:r>
        <w:rPr>
          <w:color w:val="auto"/>
        </w:rPr>
        <w:t>图3.1-2</w:t>
      </w:r>
      <w:r>
        <w:rPr>
          <w:color w:val="auto"/>
          <w:szCs w:val="28"/>
        </w:rPr>
        <w:t>及表</w:t>
      </w:r>
      <w:r>
        <w:rPr>
          <w:rFonts w:hint="eastAsia"/>
          <w:color w:val="auto"/>
          <w:szCs w:val="28"/>
        </w:rPr>
        <w:t>5.2.4-1</w:t>
      </w:r>
      <w:r>
        <w:rPr>
          <w:color w:val="auto"/>
          <w:szCs w:val="28"/>
        </w:rPr>
        <w:t>。</w:t>
      </w:r>
    </w:p>
    <w:p w14:paraId="67329B98">
      <w:pPr>
        <w:spacing w:line="240" w:lineRule="auto"/>
        <w:ind w:firstLine="0" w:firstLineChars="0"/>
        <w:jc w:val="center"/>
        <w:rPr>
          <w:b/>
          <w:color w:val="auto"/>
          <w:szCs w:val="28"/>
        </w:rPr>
      </w:pPr>
      <w:r>
        <w:rPr>
          <w:b/>
          <w:color w:val="auto"/>
          <w:szCs w:val="28"/>
        </w:rPr>
        <w:t>表</w:t>
      </w:r>
      <w:r>
        <w:rPr>
          <w:rFonts w:hint="eastAsia"/>
          <w:b/>
          <w:color w:val="auto"/>
          <w:szCs w:val="28"/>
        </w:rPr>
        <w:t>5.2.4-1</w:t>
      </w:r>
      <w:r>
        <w:rPr>
          <w:b/>
          <w:color w:val="auto"/>
          <w:szCs w:val="28"/>
        </w:rPr>
        <w:t xml:space="preserve">  土壤监测布点表</w:t>
      </w:r>
    </w:p>
    <w:tbl>
      <w:tblPr>
        <w:tblStyle w:val="8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007"/>
        <w:gridCol w:w="2576"/>
        <w:gridCol w:w="1676"/>
        <w:gridCol w:w="3243"/>
      </w:tblGrid>
      <w:tr w14:paraId="68F17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74" w:type="pct"/>
            <w:shd w:val="clear" w:color="auto" w:fill="auto"/>
            <w:vAlign w:val="center"/>
          </w:tcPr>
          <w:p w14:paraId="1B87F273">
            <w:pPr>
              <w:widowControl/>
              <w:spacing w:line="240" w:lineRule="auto"/>
              <w:ind w:firstLine="0" w:firstLineChars="0"/>
              <w:jc w:val="center"/>
              <w:rPr>
                <w:b/>
                <w:bCs/>
                <w:color w:val="auto"/>
                <w:kern w:val="0"/>
                <w:sz w:val="21"/>
                <w:szCs w:val="21"/>
              </w:rPr>
            </w:pPr>
            <w:r>
              <w:rPr>
                <w:b/>
                <w:bCs/>
                <w:color w:val="auto"/>
                <w:kern w:val="0"/>
                <w:sz w:val="21"/>
                <w:szCs w:val="21"/>
              </w:rPr>
              <w:t>编号</w:t>
            </w:r>
          </w:p>
        </w:tc>
        <w:tc>
          <w:tcPr>
            <w:tcW w:w="536" w:type="pct"/>
            <w:shd w:val="clear" w:color="auto" w:fill="auto"/>
            <w:vAlign w:val="center"/>
          </w:tcPr>
          <w:p w14:paraId="496CE0F8">
            <w:pPr>
              <w:widowControl/>
              <w:spacing w:line="240" w:lineRule="auto"/>
              <w:ind w:firstLine="0" w:firstLineChars="0"/>
              <w:jc w:val="center"/>
              <w:rPr>
                <w:b/>
                <w:bCs/>
                <w:color w:val="auto"/>
                <w:kern w:val="0"/>
                <w:sz w:val="21"/>
                <w:szCs w:val="21"/>
              </w:rPr>
            </w:pPr>
            <w:r>
              <w:rPr>
                <w:b/>
                <w:bCs/>
                <w:color w:val="auto"/>
                <w:kern w:val="0"/>
                <w:sz w:val="21"/>
                <w:szCs w:val="21"/>
              </w:rPr>
              <w:t>类型</w:t>
            </w:r>
          </w:p>
        </w:tc>
        <w:tc>
          <w:tcPr>
            <w:tcW w:w="1371" w:type="pct"/>
            <w:shd w:val="clear" w:color="auto" w:fill="auto"/>
            <w:vAlign w:val="center"/>
          </w:tcPr>
          <w:p w14:paraId="70FF76F6">
            <w:pPr>
              <w:widowControl/>
              <w:spacing w:line="240" w:lineRule="auto"/>
              <w:ind w:firstLine="0" w:firstLineChars="0"/>
              <w:jc w:val="center"/>
              <w:rPr>
                <w:b/>
                <w:bCs/>
                <w:color w:val="auto"/>
                <w:kern w:val="0"/>
                <w:sz w:val="21"/>
                <w:szCs w:val="21"/>
              </w:rPr>
            </w:pPr>
            <w:r>
              <w:rPr>
                <w:rFonts w:hint="eastAsia"/>
                <w:b/>
                <w:bCs/>
                <w:color w:val="auto"/>
                <w:kern w:val="0"/>
                <w:sz w:val="21"/>
                <w:szCs w:val="21"/>
              </w:rPr>
              <w:t>点位名称</w:t>
            </w:r>
          </w:p>
        </w:tc>
        <w:tc>
          <w:tcPr>
            <w:tcW w:w="892" w:type="pct"/>
            <w:shd w:val="clear" w:color="auto" w:fill="auto"/>
            <w:vAlign w:val="center"/>
          </w:tcPr>
          <w:p w14:paraId="1383B8A6">
            <w:pPr>
              <w:widowControl/>
              <w:spacing w:line="240" w:lineRule="auto"/>
              <w:ind w:firstLine="0" w:firstLineChars="0"/>
              <w:jc w:val="center"/>
              <w:rPr>
                <w:b/>
                <w:bCs/>
                <w:color w:val="auto"/>
                <w:kern w:val="0"/>
                <w:sz w:val="21"/>
                <w:szCs w:val="21"/>
              </w:rPr>
            </w:pPr>
            <w:r>
              <w:rPr>
                <w:b/>
                <w:bCs/>
                <w:color w:val="auto"/>
                <w:kern w:val="0"/>
                <w:sz w:val="21"/>
                <w:szCs w:val="21"/>
              </w:rPr>
              <w:t>点位坐标</w:t>
            </w:r>
          </w:p>
        </w:tc>
        <w:tc>
          <w:tcPr>
            <w:tcW w:w="1725" w:type="pct"/>
            <w:shd w:val="clear" w:color="auto" w:fill="auto"/>
            <w:vAlign w:val="center"/>
          </w:tcPr>
          <w:p w14:paraId="3F4F86C1">
            <w:pPr>
              <w:widowControl/>
              <w:spacing w:line="240" w:lineRule="auto"/>
              <w:ind w:firstLine="0" w:firstLineChars="0"/>
              <w:jc w:val="center"/>
              <w:rPr>
                <w:b/>
                <w:bCs/>
                <w:color w:val="auto"/>
                <w:kern w:val="0"/>
                <w:sz w:val="21"/>
                <w:szCs w:val="21"/>
              </w:rPr>
            </w:pPr>
            <w:r>
              <w:rPr>
                <w:b/>
                <w:bCs/>
                <w:color w:val="auto"/>
                <w:kern w:val="0"/>
                <w:sz w:val="21"/>
                <w:szCs w:val="21"/>
              </w:rPr>
              <w:t>监测因子</w:t>
            </w:r>
          </w:p>
        </w:tc>
      </w:tr>
      <w:tr w14:paraId="3865C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74" w:type="pct"/>
            <w:shd w:val="clear" w:color="auto" w:fill="auto"/>
            <w:vAlign w:val="center"/>
          </w:tcPr>
          <w:p w14:paraId="12FFBD8C">
            <w:pPr>
              <w:widowControl/>
              <w:spacing w:line="240" w:lineRule="auto"/>
              <w:ind w:firstLine="0" w:firstLineChars="0"/>
              <w:jc w:val="center"/>
              <w:rPr>
                <w:color w:val="auto"/>
                <w:kern w:val="0"/>
                <w:sz w:val="21"/>
                <w:szCs w:val="21"/>
              </w:rPr>
            </w:pPr>
            <w:r>
              <w:rPr>
                <w:color w:val="auto"/>
                <w:kern w:val="0"/>
                <w:sz w:val="21"/>
                <w:szCs w:val="21"/>
              </w:rPr>
              <w:t>T1</w:t>
            </w:r>
          </w:p>
        </w:tc>
        <w:tc>
          <w:tcPr>
            <w:tcW w:w="536" w:type="pct"/>
            <w:shd w:val="clear" w:color="auto" w:fill="auto"/>
            <w:vAlign w:val="center"/>
          </w:tcPr>
          <w:p w14:paraId="78175F80">
            <w:pPr>
              <w:widowControl/>
              <w:spacing w:line="240" w:lineRule="auto"/>
              <w:ind w:firstLine="0" w:firstLineChars="0"/>
              <w:jc w:val="center"/>
              <w:rPr>
                <w:color w:val="auto"/>
                <w:kern w:val="0"/>
                <w:sz w:val="21"/>
                <w:szCs w:val="21"/>
              </w:rPr>
            </w:pPr>
            <w:r>
              <w:rPr>
                <w:color w:val="auto"/>
                <w:kern w:val="0"/>
                <w:sz w:val="21"/>
                <w:szCs w:val="21"/>
              </w:rPr>
              <w:t>柱状样</w:t>
            </w:r>
          </w:p>
        </w:tc>
        <w:tc>
          <w:tcPr>
            <w:tcW w:w="1371" w:type="pct"/>
            <w:shd w:val="clear" w:color="auto" w:fill="auto"/>
            <w:vAlign w:val="center"/>
          </w:tcPr>
          <w:p w14:paraId="33B7A1D2">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26C7B38E">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56402640">
            <w:pPr>
              <w:widowControl/>
              <w:spacing w:line="240" w:lineRule="auto"/>
              <w:ind w:firstLine="0" w:firstLineChars="0"/>
              <w:jc w:val="center"/>
              <w:rPr>
                <w:color w:val="auto"/>
                <w:kern w:val="0"/>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restart"/>
            <w:shd w:val="clear" w:color="auto" w:fill="auto"/>
            <w:vAlign w:val="center"/>
          </w:tcPr>
          <w:p w14:paraId="76085304">
            <w:pPr>
              <w:widowControl/>
              <w:spacing w:line="240" w:lineRule="auto"/>
              <w:ind w:firstLine="0" w:firstLineChars="0"/>
              <w:jc w:val="center"/>
              <w:rPr>
                <w:color w:val="auto"/>
                <w:kern w:val="0"/>
                <w:sz w:val="21"/>
                <w:szCs w:val="21"/>
              </w:rPr>
            </w:pPr>
            <w:r>
              <w:rPr>
                <w:rFonts w:hint="eastAsia"/>
                <w:color w:val="auto"/>
                <w:kern w:val="0"/>
                <w:sz w:val="21"/>
                <w:szCs w:val="21"/>
              </w:rPr>
              <w:t>pH、</w:t>
            </w:r>
            <w:r>
              <w:rPr>
                <w:color w:val="auto"/>
                <w:kern w:val="0"/>
                <w:sz w:val="21"/>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color w:val="auto"/>
                <w:kern w:val="0"/>
                <w:sz w:val="21"/>
                <w:szCs w:val="21"/>
              </w:rPr>
              <w:t>、石油烃、总铝</w:t>
            </w:r>
          </w:p>
        </w:tc>
      </w:tr>
      <w:tr w14:paraId="26FBA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74" w:type="pct"/>
            <w:shd w:val="clear" w:color="auto" w:fill="auto"/>
            <w:vAlign w:val="center"/>
          </w:tcPr>
          <w:p w14:paraId="333517DA">
            <w:pPr>
              <w:widowControl/>
              <w:spacing w:line="240" w:lineRule="auto"/>
              <w:ind w:firstLine="0" w:firstLineChars="0"/>
              <w:jc w:val="center"/>
              <w:rPr>
                <w:color w:val="auto"/>
                <w:kern w:val="0"/>
                <w:sz w:val="21"/>
                <w:szCs w:val="21"/>
              </w:rPr>
            </w:pPr>
            <w:r>
              <w:rPr>
                <w:color w:val="auto"/>
                <w:kern w:val="0"/>
                <w:sz w:val="21"/>
                <w:szCs w:val="21"/>
              </w:rPr>
              <w:t>T2</w:t>
            </w:r>
          </w:p>
        </w:tc>
        <w:tc>
          <w:tcPr>
            <w:tcW w:w="536" w:type="pct"/>
            <w:shd w:val="clear" w:color="auto" w:fill="auto"/>
            <w:vAlign w:val="center"/>
          </w:tcPr>
          <w:p w14:paraId="16E0C4FD">
            <w:pPr>
              <w:widowControl/>
              <w:spacing w:line="240" w:lineRule="auto"/>
              <w:ind w:firstLine="0" w:firstLineChars="0"/>
              <w:jc w:val="center"/>
              <w:rPr>
                <w:color w:val="auto"/>
                <w:kern w:val="0"/>
                <w:sz w:val="21"/>
                <w:szCs w:val="21"/>
              </w:rPr>
            </w:pPr>
            <w:r>
              <w:rPr>
                <w:color w:val="auto"/>
                <w:kern w:val="0"/>
                <w:sz w:val="21"/>
                <w:szCs w:val="21"/>
              </w:rPr>
              <w:t>柱状样</w:t>
            </w:r>
          </w:p>
        </w:tc>
        <w:tc>
          <w:tcPr>
            <w:tcW w:w="1371" w:type="pct"/>
            <w:shd w:val="clear" w:color="auto" w:fill="auto"/>
            <w:vAlign w:val="center"/>
          </w:tcPr>
          <w:p w14:paraId="47F1D9A1">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2436C66A">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64668A93">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continue"/>
            <w:vAlign w:val="center"/>
          </w:tcPr>
          <w:p w14:paraId="4CDF20D6">
            <w:pPr>
              <w:widowControl/>
              <w:spacing w:line="240" w:lineRule="auto"/>
              <w:ind w:firstLine="0" w:firstLineChars="0"/>
              <w:jc w:val="left"/>
              <w:rPr>
                <w:color w:val="auto"/>
                <w:kern w:val="0"/>
                <w:sz w:val="21"/>
                <w:szCs w:val="21"/>
              </w:rPr>
            </w:pPr>
          </w:p>
        </w:tc>
      </w:tr>
      <w:tr w14:paraId="2AECB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4" w:type="pct"/>
            <w:shd w:val="clear" w:color="auto" w:fill="auto"/>
            <w:vAlign w:val="center"/>
          </w:tcPr>
          <w:p w14:paraId="1E3A415E">
            <w:pPr>
              <w:widowControl/>
              <w:spacing w:line="240" w:lineRule="auto"/>
              <w:ind w:firstLine="0" w:firstLineChars="0"/>
              <w:jc w:val="center"/>
              <w:rPr>
                <w:color w:val="auto"/>
                <w:kern w:val="0"/>
                <w:sz w:val="21"/>
                <w:szCs w:val="21"/>
              </w:rPr>
            </w:pPr>
            <w:r>
              <w:rPr>
                <w:color w:val="auto"/>
                <w:kern w:val="0"/>
                <w:sz w:val="21"/>
                <w:szCs w:val="21"/>
              </w:rPr>
              <w:t>T3</w:t>
            </w:r>
          </w:p>
        </w:tc>
        <w:tc>
          <w:tcPr>
            <w:tcW w:w="536" w:type="pct"/>
            <w:shd w:val="clear" w:color="auto" w:fill="auto"/>
            <w:vAlign w:val="center"/>
          </w:tcPr>
          <w:p w14:paraId="3BEA7BE8">
            <w:pPr>
              <w:widowControl/>
              <w:spacing w:line="240" w:lineRule="auto"/>
              <w:ind w:firstLine="0" w:firstLineChars="0"/>
              <w:jc w:val="center"/>
              <w:rPr>
                <w:color w:val="auto"/>
                <w:kern w:val="0"/>
                <w:sz w:val="21"/>
                <w:szCs w:val="21"/>
              </w:rPr>
            </w:pPr>
            <w:r>
              <w:rPr>
                <w:color w:val="auto"/>
                <w:kern w:val="0"/>
                <w:sz w:val="21"/>
                <w:szCs w:val="21"/>
              </w:rPr>
              <w:t>柱状样</w:t>
            </w:r>
          </w:p>
        </w:tc>
        <w:tc>
          <w:tcPr>
            <w:tcW w:w="1371" w:type="pct"/>
            <w:shd w:val="clear" w:color="auto" w:fill="auto"/>
            <w:vAlign w:val="center"/>
          </w:tcPr>
          <w:p w14:paraId="2DA03512">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7620B972">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6077364F">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continue"/>
            <w:vAlign w:val="center"/>
          </w:tcPr>
          <w:p w14:paraId="586B641E">
            <w:pPr>
              <w:widowControl/>
              <w:spacing w:line="240" w:lineRule="auto"/>
              <w:ind w:firstLine="0" w:firstLineChars="0"/>
              <w:jc w:val="left"/>
              <w:rPr>
                <w:color w:val="auto"/>
                <w:kern w:val="0"/>
                <w:sz w:val="21"/>
                <w:szCs w:val="21"/>
              </w:rPr>
            </w:pPr>
          </w:p>
        </w:tc>
      </w:tr>
      <w:tr w14:paraId="5CD4F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74" w:type="pct"/>
            <w:shd w:val="clear" w:color="auto" w:fill="auto"/>
            <w:vAlign w:val="center"/>
          </w:tcPr>
          <w:p w14:paraId="553E39BC">
            <w:pPr>
              <w:widowControl/>
              <w:spacing w:line="240" w:lineRule="auto"/>
              <w:ind w:firstLine="0" w:firstLineChars="0"/>
              <w:jc w:val="center"/>
              <w:rPr>
                <w:color w:val="auto"/>
                <w:kern w:val="0"/>
                <w:sz w:val="21"/>
                <w:szCs w:val="21"/>
              </w:rPr>
            </w:pPr>
            <w:r>
              <w:rPr>
                <w:color w:val="auto"/>
                <w:kern w:val="0"/>
                <w:sz w:val="21"/>
                <w:szCs w:val="21"/>
              </w:rPr>
              <w:t>T4</w:t>
            </w:r>
          </w:p>
        </w:tc>
        <w:tc>
          <w:tcPr>
            <w:tcW w:w="536" w:type="pct"/>
            <w:shd w:val="clear" w:color="auto" w:fill="auto"/>
            <w:vAlign w:val="center"/>
          </w:tcPr>
          <w:p w14:paraId="4F39CEB1">
            <w:pPr>
              <w:widowControl/>
              <w:spacing w:line="240" w:lineRule="auto"/>
              <w:ind w:firstLine="0" w:firstLineChars="0"/>
              <w:jc w:val="center"/>
              <w:rPr>
                <w:color w:val="auto"/>
                <w:kern w:val="0"/>
                <w:sz w:val="21"/>
                <w:szCs w:val="21"/>
              </w:rPr>
            </w:pPr>
            <w:r>
              <w:rPr>
                <w:color w:val="auto"/>
                <w:kern w:val="0"/>
                <w:sz w:val="21"/>
                <w:szCs w:val="21"/>
              </w:rPr>
              <w:t>柱状样</w:t>
            </w:r>
          </w:p>
        </w:tc>
        <w:tc>
          <w:tcPr>
            <w:tcW w:w="1371" w:type="pct"/>
            <w:shd w:val="clear" w:color="auto" w:fill="auto"/>
            <w:vAlign w:val="center"/>
          </w:tcPr>
          <w:p w14:paraId="77BB3DA1">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653847D1">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3B28005B">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continue"/>
            <w:vAlign w:val="center"/>
          </w:tcPr>
          <w:p w14:paraId="08A27E53">
            <w:pPr>
              <w:widowControl/>
              <w:spacing w:line="240" w:lineRule="auto"/>
              <w:ind w:firstLine="0" w:firstLineChars="0"/>
              <w:jc w:val="left"/>
              <w:rPr>
                <w:color w:val="auto"/>
                <w:kern w:val="0"/>
                <w:sz w:val="21"/>
                <w:szCs w:val="21"/>
              </w:rPr>
            </w:pPr>
          </w:p>
        </w:tc>
      </w:tr>
      <w:tr w14:paraId="14659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4" w:type="pct"/>
            <w:shd w:val="clear" w:color="auto" w:fill="auto"/>
            <w:vAlign w:val="center"/>
          </w:tcPr>
          <w:p w14:paraId="70724761">
            <w:pPr>
              <w:widowControl/>
              <w:spacing w:line="240" w:lineRule="auto"/>
              <w:ind w:firstLine="0" w:firstLineChars="0"/>
              <w:jc w:val="center"/>
              <w:rPr>
                <w:color w:val="auto"/>
                <w:kern w:val="0"/>
                <w:sz w:val="21"/>
                <w:szCs w:val="21"/>
              </w:rPr>
            </w:pPr>
            <w:r>
              <w:rPr>
                <w:color w:val="auto"/>
                <w:kern w:val="0"/>
                <w:sz w:val="21"/>
                <w:szCs w:val="21"/>
              </w:rPr>
              <w:t>T5</w:t>
            </w:r>
          </w:p>
        </w:tc>
        <w:tc>
          <w:tcPr>
            <w:tcW w:w="536" w:type="pct"/>
            <w:shd w:val="clear" w:color="auto" w:fill="auto"/>
            <w:vAlign w:val="center"/>
          </w:tcPr>
          <w:p w14:paraId="6B294FF1">
            <w:pPr>
              <w:widowControl/>
              <w:spacing w:line="240" w:lineRule="auto"/>
              <w:ind w:firstLine="0" w:firstLineChars="0"/>
              <w:jc w:val="center"/>
              <w:rPr>
                <w:color w:val="auto"/>
                <w:kern w:val="0"/>
                <w:sz w:val="21"/>
                <w:szCs w:val="21"/>
              </w:rPr>
            </w:pPr>
            <w:r>
              <w:rPr>
                <w:color w:val="auto"/>
                <w:kern w:val="0"/>
                <w:sz w:val="21"/>
                <w:szCs w:val="21"/>
              </w:rPr>
              <w:t>柱状样</w:t>
            </w:r>
          </w:p>
        </w:tc>
        <w:tc>
          <w:tcPr>
            <w:tcW w:w="1371" w:type="pct"/>
            <w:shd w:val="clear" w:color="auto" w:fill="auto"/>
            <w:vAlign w:val="center"/>
          </w:tcPr>
          <w:p w14:paraId="2AECCC8F">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5970551A">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457DA767">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continue"/>
            <w:vAlign w:val="center"/>
          </w:tcPr>
          <w:p w14:paraId="008BF5E9">
            <w:pPr>
              <w:widowControl/>
              <w:spacing w:line="240" w:lineRule="auto"/>
              <w:ind w:firstLine="0" w:firstLineChars="0"/>
              <w:jc w:val="left"/>
              <w:rPr>
                <w:color w:val="auto"/>
                <w:kern w:val="0"/>
                <w:sz w:val="21"/>
                <w:szCs w:val="21"/>
              </w:rPr>
            </w:pPr>
          </w:p>
        </w:tc>
      </w:tr>
      <w:tr w14:paraId="080C1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74" w:type="pct"/>
            <w:shd w:val="clear" w:color="auto" w:fill="auto"/>
            <w:vAlign w:val="center"/>
          </w:tcPr>
          <w:p w14:paraId="1857284B">
            <w:pPr>
              <w:widowControl/>
              <w:spacing w:line="240" w:lineRule="auto"/>
              <w:ind w:firstLine="0" w:firstLineChars="0"/>
              <w:jc w:val="center"/>
              <w:rPr>
                <w:color w:val="auto"/>
                <w:kern w:val="0"/>
                <w:sz w:val="21"/>
                <w:szCs w:val="21"/>
              </w:rPr>
            </w:pPr>
            <w:r>
              <w:rPr>
                <w:color w:val="auto"/>
                <w:kern w:val="0"/>
                <w:sz w:val="21"/>
                <w:szCs w:val="21"/>
              </w:rPr>
              <w:t>T6</w:t>
            </w:r>
          </w:p>
        </w:tc>
        <w:tc>
          <w:tcPr>
            <w:tcW w:w="536" w:type="pct"/>
            <w:shd w:val="clear" w:color="auto" w:fill="auto"/>
            <w:vAlign w:val="center"/>
          </w:tcPr>
          <w:p w14:paraId="62B180DA">
            <w:pPr>
              <w:widowControl/>
              <w:spacing w:line="240" w:lineRule="auto"/>
              <w:ind w:firstLine="0" w:firstLineChars="0"/>
              <w:jc w:val="center"/>
              <w:rPr>
                <w:color w:val="auto"/>
                <w:kern w:val="0"/>
                <w:sz w:val="21"/>
                <w:szCs w:val="21"/>
              </w:rPr>
            </w:pPr>
            <w:r>
              <w:rPr>
                <w:color w:val="auto"/>
                <w:kern w:val="0"/>
                <w:sz w:val="21"/>
                <w:szCs w:val="21"/>
              </w:rPr>
              <w:t>表层样</w:t>
            </w:r>
          </w:p>
        </w:tc>
        <w:tc>
          <w:tcPr>
            <w:tcW w:w="1371" w:type="pct"/>
            <w:shd w:val="clear" w:color="auto" w:fill="auto"/>
            <w:vAlign w:val="center"/>
          </w:tcPr>
          <w:p w14:paraId="4EA904D9">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452BCC4D">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3C498D26">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continue"/>
            <w:vAlign w:val="center"/>
          </w:tcPr>
          <w:p w14:paraId="6CB8C936">
            <w:pPr>
              <w:widowControl/>
              <w:spacing w:line="240" w:lineRule="auto"/>
              <w:ind w:firstLine="0" w:firstLineChars="0"/>
              <w:jc w:val="left"/>
              <w:rPr>
                <w:color w:val="auto"/>
                <w:kern w:val="0"/>
                <w:sz w:val="21"/>
                <w:szCs w:val="21"/>
              </w:rPr>
            </w:pPr>
          </w:p>
        </w:tc>
      </w:tr>
      <w:tr w14:paraId="55BE2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74" w:type="pct"/>
            <w:shd w:val="clear" w:color="auto" w:fill="auto"/>
            <w:vAlign w:val="center"/>
          </w:tcPr>
          <w:p w14:paraId="52F6FED4">
            <w:pPr>
              <w:widowControl/>
              <w:spacing w:line="240" w:lineRule="auto"/>
              <w:ind w:firstLine="0" w:firstLineChars="0"/>
              <w:jc w:val="center"/>
              <w:rPr>
                <w:color w:val="auto"/>
                <w:kern w:val="0"/>
                <w:sz w:val="21"/>
                <w:szCs w:val="21"/>
              </w:rPr>
            </w:pPr>
            <w:r>
              <w:rPr>
                <w:rFonts w:hint="eastAsia"/>
                <w:color w:val="auto"/>
                <w:kern w:val="0"/>
                <w:sz w:val="21"/>
                <w:szCs w:val="21"/>
              </w:rPr>
              <w:t>T7</w:t>
            </w:r>
          </w:p>
        </w:tc>
        <w:tc>
          <w:tcPr>
            <w:tcW w:w="536" w:type="pct"/>
            <w:shd w:val="clear" w:color="auto" w:fill="auto"/>
            <w:vAlign w:val="center"/>
          </w:tcPr>
          <w:p w14:paraId="689AF70F">
            <w:pPr>
              <w:widowControl/>
              <w:spacing w:line="240" w:lineRule="auto"/>
              <w:ind w:firstLine="0" w:firstLineChars="0"/>
              <w:jc w:val="center"/>
              <w:rPr>
                <w:color w:val="auto"/>
                <w:kern w:val="0"/>
                <w:sz w:val="21"/>
                <w:szCs w:val="21"/>
              </w:rPr>
            </w:pPr>
            <w:r>
              <w:rPr>
                <w:color w:val="auto"/>
                <w:kern w:val="0"/>
                <w:sz w:val="21"/>
                <w:szCs w:val="21"/>
              </w:rPr>
              <w:t>表层样</w:t>
            </w:r>
          </w:p>
        </w:tc>
        <w:tc>
          <w:tcPr>
            <w:tcW w:w="1371" w:type="pct"/>
            <w:shd w:val="clear" w:color="auto" w:fill="auto"/>
            <w:vAlign w:val="center"/>
          </w:tcPr>
          <w:p w14:paraId="1C04F7CF">
            <w:pPr>
              <w:spacing w:line="240" w:lineRule="auto"/>
              <w:ind w:firstLine="0" w:firstLineChars="0"/>
              <w:jc w:val="center"/>
              <w:rPr>
                <w:color w:val="auto"/>
                <w:kern w:val="0"/>
                <w:sz w:val="21"/>
                <w:szCs w:val="21"/>
              </w:rPr>
            </w:pPr>
            <w:r>
              <w:rPr>
                <w:rFonts w:hint="eastAsia"/>
                <w:color w:val="auto"/>
                <w:kern w:val="0"/>
                <w:sz w:val="21"/>
                <w:szCs w:val="21"/>
                <w:lang w:bidi="ar"/>
              </w:rPr>
              <w:t>项目所在地</w:t>
            </w:r>
          </w:p>
        </w:tc>
        <w:tc>
          <w:tcPr>
            <w:tcW w:w="892" w:type="pct"/>
            <w:shd w:val="clear" w:color="auto" w:fill="auto"/>
            <w:vAlign w:val="center"/>
          </w:tcPr>
          <w:p w14:paraId="05A36F42">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′2</w:t>
            </w:r>
            <w:r>
              <w:rPr>
                <w:rFonts w:hint="eastAsia"/>
                <w:color w:val="auto"/>
                <w:sz w:val="21"/>
                <w:szCs w:val="21"/>
              </w:rPr>
              <w:t>7</w:t>
            </w:r>
            <w:r>
              <w:rPr>
                <w:color w:val="auto"/>
                <w:sz w:val="21"/>
                <w:szCs w:val="21"/>
              </w:rPr>
              <w:t>″</w:t>
            </w:r>
          </w:p>
          <w:p w14:paraId="69EFED26">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13</w:t>
            </w:r>
            <w:r>
              <w:rPr>
                <w:color w:val="auto"/>
                <w:sz w:val="21"/>
                <w:szCs w:val="21"/>
              </w:rPr>
              <w:t>″</w:t>
            </w:r>
          </w:p>
        </w:tc>
        <w:tc>
          <w:tcPr>
            <w:tcW w:w="1725" w:type="pct"/>
            <w:vMerge w:val="continue"/>
            <w:vAlign w:val="center"/>
          </w:tcPr>
          <w:p w14:paraId="3469B128">
            <w:pPr>
              <w:widowControl/>
              <w:spacing w:line="240" w:lineRule="auto"/>
              <w:ind w:firstLine="0" w:firstLineChars="0"/>
              <w:jc w:val="left"/>
              <w:rPr>
                <w:color w:val="auto"/>
                <w:kern w:val="0"/>
                <w:sz w:val="21"/>
                <w:szCs w:val="21"/>
              </w:rPr>
            </w:pPr>
          </w:p>
        </w:tc>
      </w:tr>
      <w:tr w14:paraId="2E505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74" w:type="pct"/>
            <w:shd w:val="clear" w:color="auto" w:fill="auto"/>
            <w:vAlign w:val="center"/>
          </w:tcPr>
          <w:p w14:paraId="7B5EB729">
            <w:pPr>
              <w:widowControl/>
              <w:spacing w:line="240" w:lineRule="auto"/>
              <w:ind w:firstLine="0" w:firstLineChars="0"/>
              <w:jc w:val="center"/>
              <w:rPr>
                <w:color w:val="auto"/>
                <w:kern w:val="0"/>
                <w:sz w:val="21"/>
                <w:szCs w:val="21"/>
              </w:rPr>
            </w:pPr>
            <w:r>
              <w:rPr>
                <w:rFonts w:hint="eastAsia"/>
                <w:color w:val="auto"/>
                <w:kern w:val="0"/>
                <w:sz w:val="21"/>
                <w:szCs w:val="21"/>
              </w:rPr>
              <w:t>T8</w:t>
            </w:r>
          </w:p>
        </w:tc>
        <w:tc>
          <w:tcPr>
            <w:tcW w:w="536" w:type="pct"/>
            <w:shd w:val="clear" w:color="auto" w:fill="auto"/>
            <w:vAlign w:val="center"/>
          </w:tcPr>
          <w:p w14:paraId="7BA5ACAE">
            <w:pPr>
              <w:widowControl/>
              <w:spacing w:line="240" w:lineRule="auto"/>
              <w:ind w:firstLine="0" w:firstLineChars="0"/>
              <w:jc w:val="center"/>
              <w:rPr>
                <w:color w:val="auto"/>
                <w:kern w:val="0"/>
                <w:sz w:val="21"/>
                <w:szCs w:val="21"/>
              </w:rPr>
            </w:pPr>
            <w:r>
              <w:rPr>
                <w:color w:val="auto"/>
                <w:kern w:val="0"/>
                <w:sz w:val="21"/>
                <w:szCs w:val="21"/>
              </w:rPr>
              <w:t>表层样</w:t>
            </w:r>
          </w:p>
        </w:tc>
        <w:tc>
          <w:tcPr>
            <w:tcW w:w="1371" w:type="pct"/>
            <w:shd w:val="clear" w:color="auto" w:fill="auto"/>
            <w:vAlign w:val="center"/>
          </w:tcPr>
          <w:p w14:paraId="1DDE9B1B">
            <w:pPr>
              <w:spacing w:line="240" w:lineRule="auto"/>
              <w:ind w:firstLine="0" w:firstLineChars="0"/>
              <w:jc w:val="center"/>
              <w:rPr>
                <w:color w:val="auto"/>
                <w:kern w:val="0"/>
                <w:sz w:val="21"/>
                <w:szCs w:val="21"/>
              </w:rPr>
            </w:pPr>
            <w:r>
              <w:rPr>
                <w:rFonts w:hint="eastAsia"/>
                <w:color w:val="auto"/>
                <w:kern w:val="0"/>
                <w:sz w:val="21"/>
                <w:szCs w:val="21"/>
                <w:lang w:bidi="ar"/>
              </w:rPr>
              <w:t>港逸花园小区附近</w:t>
            </w:r>
          </w:p>
        </w:tc>
        <w:tc>
          <w:tcPr>
            <w:tcW w:w="892" w:type="pct"/>
            <w:shd w:val="clear" w:color="auto" w:fill="auto"/>
            <w:vAlign w:val="center"/>
          </w:tcPr>
          <w:p w14:paraId="7FF11313">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w:t>
            </w:r>
            <w:r>
              <w:rPr>
                <w:rFonts w:hint="eastAsia"/>
                <w:color w:val="auto"/>
                <w:sz w:val="21"/>
                <w:szCs w:val="21"/>
              </w:rPr>
              <w:t>57</w:t>
            </w:r>
            <w:r>
              <w:rPr>
                <w:color w:val="auto"/>
                <w:sz w:val="21"/>
                <w:szCs w:val="21"/>
              </w:rPr>
              <w:t>″</w:t>
            </w:r>
          </w:p>
          <w:p w14:paraId="5E75CFEA">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3</w:t>
            </w:r>
            <w:r>
              <w:rPr>
                <w:color w:val="auto"/>
                <w:sz w:val="21"/>
                <w:szCs w:val="21"/>
              </w:rPr>
              <w:t>′</w:t>
            </w:r>
            <w:r>
              <w:rPr>
                <w:rFonts w:hint="eastAsia"/>
                <w:color w:val="auto"/>
                <w:sz w:val="21"/>
                <w:szCs w:val="21"/>
              </w:rPr>
              <w:t>39</w:t>
            </w:r>
            <w:r>
              <w:rPr>
                <w:color w:val="auto"/>
                <w:sz w:val="21"/>
                <w:szCs w:val="21"/>
              </w:rPr>
              <w:t>″</w:t>
            </w:r>
          </w:p>
        </w:tc>
        <w:tc>
          <w:tcPr>
            <w:tcW w:w="1725" w:type="pct"/>
            <w:vMerge w:val="continue"/>
            <w:vAlign w:val="center"/>
          </w:tcPr>
          <w:p w14:paraId="68B62257">
            <w:pPr>
              <w:widowControl/>
              <w:spacing w:line="240" w:lineRule="auto"/>
              <w:ind w:firstLine="0" w:firstLineChars="0"/>
              <w:jc w:val="left"/>
              <w:rPr>
                <w:color w:val="auto"/>
                <w:kern w:val="0"/>
                <w:sz w:val="21"/>
                <w:szCs w:val="21"/>
              </w:rPr>
            </w:pPr>
          </w:p>
        </w:tc>
      </w:tr>
      <w:tr w14:paraId="2B865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74" w:type="pct"/>
            <w:shd w:val="clear" w:color="auto" w:fill="auto"/>
            <w:vAlign w:val="center"/>
          </w:tcPr>
          <w:p w14:paraId="5B4302B1">
            <w:pPr>
              <w:widowControl/>
              <w:spacing w:line="240" w:lineRule="auto"/>
              <w:ind w:firstLine="0" w:firstLineChars="0"/>
              <w:jc w:val="center"/>
              <w:rPr>
                <w:color w:val="auto"/>
                <w:kern w:val="0"/>
                <w:sz w:val="21"/>
                <w:szCs w:val="21"/>
              </w:rPr>
            </w:pPr>
            <w:r>
              <w:rPr>
                <w:rFonts w:hint="eastAsia"/>
                <w:color w:val="auto"/>
                <w:kern w:val="0"/>
                <w:sz w:val="21"/>
                <w:szCs w:val="21"/>
              </w:rPr>
              <w:t>T9</w:t>
            </w:r>
          </w:p>
        </w:tc>
        <w:tc>
          <w:tcPr>
            <w:tcW w:w="536" w:type="pct"/>
            <w:shd w:val="clear" w:color="auto" w:fill="auto"/>
            <w:vAlign w:val="center"/>
          </w:tcPr>
          <w:p w14:paraId="34CB2501">
            <w:pPr>
              <w:widowControl/>
              <w:spacing w:line="240" w:lineRule="auto"/>
              <w:ind w:firstLine="0" w:firstLineChars="0"/>
              <w:jc w:val="center"/>
              <w:rPr>
                <w:color w:val="auto"/>
                <w:kern w:val="0"/>
                <w:sz w:val="21"/>
                <w:szCs w:val="21"/>
              </w:rPr>
            </w:pPr>
            <w:r>
              <w:rPr>
                <w:color w:val="auto"/>
                <w:kern w:val="0"/>
                <w:sz w:val="21"/>
                <w:szCs w:val="21"/>
              </w:rPr>
              <w:t>表层样</w:t>
            </w:r>
          </w:p>
        </w:tc>
        <w:tc>
          <w:tcPr>
            <w:tcW w:w="1371" w:type="pct"/>
            <w:shd w:val="clear" w:color="auto" w:fill="auto"/>
            <w:vAlign w:val="center"/>
          </w:tcPr>
          <w:p w14:paraId="705775FF">
            <w:pPr>
              <w:spacing w:line="240" w:lineRule="auto"/>
              <w:ind w:firstLine="0" w:firstLineChars="0"/>
              <w:jc w:val="center"/>
              <w:rPr>
                <w:color w:val="auto"/>
                <w:kern w:val="0"/>
                <w:sz w:val="21"/>
                <w:szCs w:val="21"/>
              </w:rPr>
            </w:pPr>
            <w:r>
              <w:rPr>
                <w:rFonts w:hint="eastAsia"/>
                <w:color w:val="auto"/>
                <w:kern w:val="0"/>
                <w:sz w:val="21"/>
                <w:szCs w:val="21"/>
                <w:lang w:bidi="ar"/>
              </w:rPr>
              <w:t>云池路南侧空地</w:t>
            </w:r>
          </w:p>
        </w:tc>
        <w:tc>
          <w:tcPr>
            <w:tcW w:w="892" w:type="pct"/>
            <w:shd w:val="clear" w:color="auto" w:fill="auto"/>
            <w:vAlign w:val="center"/>
          </w:tcPr>
          <w:p w14:paraId="6656A149">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w:t>
            </w:r>
            <w:r>
              <w:rPr>
                <w:rFonts w:hint="eastAsia"/>
                <w:color w:val="auto"/>
                <w:sz w:val="21"/>
                <w:szCs w:val="21"/>
              </w:rPr>
              <w:t>7</w:t>
            </w:r>
            <w:r>
              <w:rPr>
                <w:color w:val="auto"/>
                <w:sz w:val="21"/>
                <w:szCs w:val="21"/>
              </w:rPr>
              <w:t>″</w:t>
            </w:r>
          </w:p>
          <w:p w14:paraId="24764BDB">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49</w:t>
            </w:r>
            <w:r>
              <w:rPr>
                <w:color w:val="auto"/>
                <w:sz w:val="21"/>
                <w:szCs w:val="21"/>
              </w:rPr>
              <w:t>″</w:t>
            </w:r>
          </w:p>
        </w:tc>
        <w:tc>
          <w:tcPr>
            <w:tcW w:w="1725" w:type="pct"/>
            <w:vMerge w:val="continue"/>
            <w:vAlign w:val="center"/>
          </w:tcPr>
          <w:p w14:paraId="6948DE55">
            <w:pPr>
              <w:widowControl/>
              <w:spacing w:line="240" w:lineRule="auto"/>
              <w:ind w:firstLine="0" w:firstLineChars="0"/>
              <w:jc w:val="left"/>
              <w:rPr>
                <w:color w:val="auto"/>
                <w:kern w:val="0"/>
                <w:sz w:val="21"/>
                <w:szCs w:val="21"/>
              </w:rPr>
            </w:pPr>
          </w:p>
        </w:tc>
      </w:tr>
      <w:tr w14:paraId="2FB5B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74" w:type="pct"/>
            <w:shd w:val="clear" w:color="auto" w:fill="auto"/>
            <w:vAlign w:val="center"/>
          </w:tcPr>
          <w:p w14:paraId="5AF34C90">
            <w:pPr>
              <w:widowControl/>
              <w:spacing w:line="240" w:lineRule="auto"/>
              <w:ind w:firstLine="0" w:firstLineChars="0"/>
              <w:jc w:val="center"/>
              <w:rPr>
                <w:color w:val="auto"/>
                <w:kern w:val="0"/>
                <w:sz w:val="21"/>
                <w:szCs w:val="21"/>
              </w:rPr>
            </w:pPr>
            <w:r>
              <w:rPr>
                <w:rFonts w:hint="eastAsia"/>
                <w:color w:val="auto"/>
                <w:kern w:val="0"/>
                <w:sz w:val="21"/>
                <w:szCs w:val="21"/>
              </w:rPr>
              <w:t>T10</w:t>
            </w:r>
          </w:p>
        </w:tc>
        <w:tc>
          <w:tcPr>
            <w:tcW w:w="536" w:type="pct"/>
            <w:shd w:val="clear" w:color="auto" w:fill="auto"/>
            <w:vAlign w:val="center"/>
          </w:tcPr>
          <w:p w14:paraId="42CD0EF2">
            <w:pPr>
              <w:widowControl/>
              <w:spacing w:line="240" w:lineRule="auto"/>
              <w:ind w:firstLine="0" w:firstLineChars="0"/>
              <w:jc w:val="center"/>
              <w:rPr>
                <w:color w:val="auto"/>
                <w:kern w:val="0"/>
                <w:sz w:val="21"/>
                <w:szCs w:val="21"/>
              </w:rPr>
            </w:pPr>
            <w:r>
              <w:rPr>
                <w:color w:val="auto"/>
                <w:kern w:val="0"/>
                <w:sz w:val="21"/>
                <w:szCs w:val="21"/>
              </w:rPr>
              <w:t>表层样</w:t>
            </w:r>
          </w:p>
        </w:tc>
        <w:tc>
          <w:tcPr>
            <w:tcW w:w="1371" w:type="pct"/>
            <w:shd w:val="clear" w:color="auto" w:fill="auto"/>
            <w:vAlign w:val="center"/>
          </w:tcPr>
          <w:p w14:paraId="4FC34390">
            <w:pPr>
              <w:spacing w:line="240" w:lineRule="auto"/>
              <w:ind w:firstLine="0" w:firstLineChars="0"/>
              <w:jc w:val="center"/>
              <w:rPr>
                <w:color w:val="auto"/>
                <w:kern w:val="0"/>
                <w:sz w:val="21"/>
                <w:szCs w:val="21"/>
              </w:rPr>
            </w:pPr>
            <w:r>
              <w:rPr>
                <w:rFonts w:hint="eastAsia"/>
                <w:color w:val="auto"/>
                <w:kern w:val="0"/>
                <w:sz w:val="21"/>
                <w:szCs w:val="21"/>
                <w:lang w:bidi="ar"/>
              </w:rPr>
              <w:t>联瑞新材料（连云港）有限公司附近空地</w:t>
            </w:r>
          </w:p>
        </w:tc>
        <w:tc>
          <w:tcPr>
            <w:tcW w:w="892" w:type="pct"/>
            <w:shd w:val="clear" w:color="auto" w:fill="auto"/>
            <w:vAlign w:val="center"/>
          </w:tcPr>
          <w:p w14:paraId="1103C980">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13</w:t>
            </w:r>
            <w:r>
              <w:rPr>
                <w:color w:val="auto"/>
                <w:sz w:val="21"/>
                <w:szCs w:val="21"/>
              </w:rPr>
              <w:t>′</w:t>
            </w:r>
            <w:r>
              <w:rPr>
                <w:rFonts w:hint="eastAsia"/>
                <w:color w:val="auto"/>
                <w:sz w:val="21"/>
                <w:szCs w:val="21"/>
              </w:rPr>
              <w:t>7</w:t>
            </w:r>
            <w:r>
              <w:rPr>
                <w:color w:val="auto"/>
                <w:sz w:val="21"/>
                <w:szCs w:val="21"/>
              </w:rPr>
              <w:t>″</w:t>
            </w:r>
          </w:p>
          <w:p w14:paraId="5955F356">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49</w:t>
            </w:r>
            <w:r>
              <w:rPr>
                <w:color w:val="auto"/>
                <w:sz w:val="21"/>
                <w:szCs w:val="21"/>
              </w:rPr>
              <w:t>″</w:t>
            </w:r>
          </w:p>
        </w:tc>
        <w:tc>
          <w:tcPr>
            <w:tcW w:w="1725" w:type="pct"/>
            <w:vMerge w:val="continue"/>
            <w:vAlign w:val="center"/>
          </w:tcPr>
          <w:p w14:paraId="51652127">
            <w:pPr>
              <w:widowControl/>
              <w:spacing w:line="240" w:lineRule="auto"/>
              <w:ind w:firstLine="0" w:firstLineChars="0"/>
              <w:jc w:val="left"/>
              <w:rPr>
                <w:color w:val="auto"/>
                <w:kern w:val="0"/>
                <w:sz w:val="21"/>
                <w:szCs w:val="21"/>
              </w:rPr>
            </w:pPr>
          </w:p>
        </w:tc>
      </w:tr>
      <w:tr w14:paraId="3D1D5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74" w:type="pct"/>
            <w:shd w:val="clear" w:color="auto" w:fill="auto"/>
            <w:vAlign w:val="center"/>
          </w:tcPr>
          <w:p w14:paraId="698BBFF0">
            <w:pPr>
              <w:widowControl/>
              <w:spacing w:line="240" w:lineRule="auto"/>
              <w:ind w:firstLine="0" w:firstLineChars="0"/>
              <w:jc w:val="center"/>
              <w:rPr>
                <w:color w:val="auto"/>
                <w:kern w:val="0"/>
                <w:sz w:val="21"/>
                <w:szCs w:val="21"/>
              </w:rPr>
            </w:pPr>
            <w:r>
              <w:rPr>
                <w:rFonts w:hint="eastAsia"/>
                <w:color w:val="auto"/>
                <w:kern w:val="0"/>
                <w:sz w:val="21"/>
                <w:szCs w:val="21"/>
              </w:rPr>
              <w:t>T11</w:t>
            </w:r>
          </w:p>
        </w:tc>
        <w:tc>
          <w:tcPr>
            <w:tcW w:w="536" w:type="pct"/>
            <w:shd w:val="clear" w:color="auto" w:fill="auto"/>
            <w:vAlign w:val="center"/>
          </w:tcPr>
          <w:p w14:paraId="314F46AF">
            <w:pPr>
              <w:widowControl/>
              <w:spacing w:line="240" w:lineRule="auto"/>
              <w:ind w:firstLine="0" w:firstLineChars="0"/>
              <w:jc w:val="center"/>
              <w:rPr>
                <w:color w:val="auto"/>
                <w:kern w:val="0"/>
                <w:sz w:val="21"/>
                <w:szCs w:val="21"/>
              </w:rPr>
            </w:pPr>
            <w:r>
              <w:rPr>
                <w:color w:val="auto"/>
                <w:kern w:val="0"/>
                <w:sz w:val="21"/>
                <w:szCs w:val="21"/>
              </w:rPr>
              <w:t>表层样</w:t>
            </w:r>
          </w:p>
        </w:tc>
        <w:tc>
          <w:tcPr>
            <w:tcW w:w="1371" w:type="pct"/>
            <w:shd w:val="clear" w:color="auto" w:fill="auto"/>
            <w:vAlign w:val="center"/>
          </w:tcPr>
          <w:p w14:paraId="49578203">
            <w:pPr>
              <w:spacing w:line="240" w:lineRule="auto"/>
              <w:ind w:firstLine="0" w:firstLineChars="0"/>
              <w:jc w:val="center"/>
              <w:rPr>
                <w:color w:val="auto"/>
                <w:kern w:val="0"/>
                <w:sz w:val="21"/>
                <w:szCs w:val="21"/>
              </w:rPr>
            </w:pPr>
            <w:r>
              <w:rPr>
                <w:rFonts w:hint="eastAsia"/>
                <w:color w:val="auto"/>
                <w:kern w:val="0"/>
                <w:sz w:val="21"/>
                <w:szCs w:val="21"/>
                <w:lang w:bidi="ar"/>
              </w:rPr>
              <w:t>连云港华杰高级中学附近</w:t>
            </w:r>
          </w:p>
        </w:tc>
        <w:tc>
          <w:tcPr>
            <w:tcW w:w="892" w:type="pct"/>
            <w:shd w:val="clear" w:color="auto" w:fill="auto"/>
            <w:vAlign w:val="center"/>
          </w:tcPr>
          <w:p w14:paraId="3D239025">
            <w:pPr>
              <w:widowControl/>
              <w:spacing w:line="240" w:lineRule="auto"/>
              <w:ind w:firstLine="0" w:firstLineChars="0"/>
              <w:jc w:val="center"/>
              <w:rPr>
                <w:color w:val="auto"/>
                <w:sz w:val="21"/>
                <w:szCs w:val="21"/>
              </w:rPr>
            </w:pPr>
            <w:r>
              <w:rPr>
                <w:color w:val="auto"/>
                <w:sz w:val="21"/>
                <w:szCs w:val="21"/>
              </w:rPr>
              <w:t>东经11</w:t>
            </w:r>
            <w:r>
              <w:rPr>
                <w:rFonts w:hint="eastAsia"/>
                <w:color w:val="auto"/>
                <w:sz w:val="21"/>
                <w:szCs w:val="21"/>
              </w:rPr>
              <w:t>9</w:t>
            </w:r>
            <w:r>
              <w:rPr>
                <w:color w:val="auto"/>
                <w:sz w:val="21"/>
                <w:szCs w:val="21"/>
              </w:rPr>
              <w:t>°</w:t>
            </w:r>
            <w:r>
              <w:rPr>
                <w:rFonts w:hint="eastAsia"/>
                <w:color w:val="auto"/>
                <w:sz w:val="21"/>
                <w:szCs w:val="21"/>
              </w:rPr>
              <w:t>14</w:t>
            </w:r>
            <w:r>
              <w:rPr>
                <w:color w:val="auto"/>
                <w:sz w:val="21"/>
                <w:szCs w:val="21"/>
              </w:rPr>
              <w:t>′</w:t>
            </w:r>
            <w:r>
              <w:rPr>
                <w:rFonts w:hint="eastAsia"/>
                <w:color w:val="auto"/>
                <w:sz w:val="21"/>
                <w:szCs w:val="21"/>
              </w:rPr>
              <w:t>6</w:t>
            </w:r>
            <w:r>
              <w:rPr>
                <w:color w:val="auto"/>
                <w:sz w:val="21"/>
                <w:szCs w:val="21"/>
              </w:rPr>
              <w:t>″</w:t>
            </w:r>
          </w:p>
          <w:p w14:paraId="185DBA3A">
            <w:pPr>
              <w:widowControl/>
              <w:spacing w:line="240" w:lineRule="auto"/>
              <w:ind w:firstLine="0" w:firstLineChars="0"/>
              <w:jc w:val="center"/>
              <w:rPr>
                <w:color w:val="auto"/>
                <w:sz w:val="21"/>
                <w:szCs w:val="21"/>
              </w:rPr>
            </w:pPr>
            <w:r>
              <w:rPr>
                <w:color w:val="auto"/>
                <w:sz w:val="21"/>
                <w:szCs w:val="21"/>
              </w:rPr>
              <w:t>北纬3</w:t>
            </w:r>
            <w:r>
              <w:rPr>
                <w:rFonts w:hint="eastAsia"/>
                <w:color w:val="auto"/>
                <w:sz w:val="21"/>
                <w:szCs w:val="21"/>
              </w:rPr>
              <w:t>4</w:t>
            </w:r>
            <w:r>
              <w:rPr>
                <w:color w:val="auto"/>
                <w:sz w:val="21"/>
                <w:szCs w:val="21"/>
              </w:rPr>
              <w:t>°4</w:t>
            </w:r>
            <w:r>
              <w:rPr>
                <w:rFonts w:hint="eastAsia"/>
                <w:color w:val="auto"/>
                <w:sz w:val="21"/>
                <w:szCs w:val="21"/>
              </w:rPr>
              <w:t>4</w:t>
            </w:r>
            <w:r>
              <w:rPr>
                <w:color w:val="auto"/>
                <w:sz w:val="21"/>
                <w:szCs w:val="21"/>
              </w:rPr>
              <w:t>′</w:t>
            </w:r>
            <w:r>
              <w:rPr>
                <w:rFonts w:hint="eastAsia"/>
                <w:color w:val="auto"/>
                <w:sz w:val="21"/>
                <w:szCs w:val="21"/>
              </w:rPr>
              <w:t>7</w:t>
            </w:r>
            <w:r>
              <w:rPr>
                <w:color w:val="auto"/>
                <w:sz w:val="21"/>
                <w:szCs w:val="21"/>
              </w:rPr>
              <w:t>″</w:t>
            </w:r>
          </w:p>
        </w:tc>
        <w:tc>
          <w:tcPr>
            <w:tcW w:w="1725" w:type="pct"/>
            <w:vMerge w:val="continue"/>
            <w:vAlign w:val="center"/>
          </w:tcPr>
          <w:p w14:paraId="5EBE144B">
            <w:pPr>
              <w:widowControl/>
              <w:spacing w:line="240" w:lineRule="auto"/>
              <w:ind w:firstLine="0" w:firstLineChars="0"/>
              <w:jc w:val="left"/>
              <w:rPr>
                <w:color w:val="auto"/>
                <w:kern w:val="0"/>
                <w:sz w:val="21"/>
                <w:szCs w:val="21"/>
              </w:rPr>
            </w:pPr>
          </w:p>
        </w:tc>
      </w:tr>
      <w:tr w14:paraId="668AE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74" w:type="pct"/>
            <w:shd w:val="clear" w:color="auto" w:fill="auto"/>
            <w:vAlign w:val="center"/>
          </w:tcPr>
          <w:p w14:paraId="29A6B364">
            <w:pPr>
              <w:widowControl/>
              <w:spacing w:line="240" w:lineRule="auto"/>
              <w:ind w:firstLine="0" w:firstLineChars="0"/>
              <w:jc w:val="center"/>
              <w:rPr>
                <w:color w:val="auto"/>
                <w:kern w:val="0"/>
                <w:sz w:val="21"/>
                <w:szCs w:val="21"/>
              </w:rPr>
            </w:pPr>
            <w:r>
              <w:rPr>
                <w:color w:val="auto"/>
                <w:kern w:val="0"/>
                <w:sz w:val="21"/>
                <w:szCs w:val="21"/>
              </w:rPr>
              <w:t>备注</w:t>
            </w:r>
          </w:p>
        </w:tc>
        <w:tc>
          <w:tcPr>
            <w:tcW w:w="4525" w:type="pct"/>
            <w:gridSpan w:val="4"/>
            <w:shd w:val="clear" w:color="auto" w:fill="auto"/>
            <w:vAlign w:val="center"/>
          </w:tcPr>
          <w:p w14:paraId="7B3CCCD4">
            <w:pPr>
              <w:widowControl/>
              <w:spacing w:line="240" w:lineRule="auto"/>
              <w:ind w:firstLine="0" w:firstLineChars="0"/>
              <w:jc w:val="left"/>
              <w:rPr>
                <w:color w:val="auto"/>
                <w:kern w:val="0"/>
                <w:sz w:val="21"/>
                <w:szCs w:val="21"/>
              </w:rPr>
            </w:pPr>
            <w:r>
              <w:rPr>
                <w:color w:val="auto"/>
                <w:kern w:val="0"/>
                <w:sz w:val="21"/>
                <w:szCs w:val="21"/>
              </w:rPr>
              <w:t>柱状样点为0~0.5m、0.5</w:t>
            </w:r>
            <w:r>
              <w:rPr>
                <w:rFonts w:hint="eastAsia"/>
                <w:color w:val="auto"/>
                <w:kern w:val="0"/>
                <w:sz w:val="21"/>
                <w:szCs w:val="21"/>
              </w:rPr>
              <w:t>～</w:t>
            </w:r>
            <w:r>
              <w:rPr>
                <w:color w:val="auto"/>
                <w:kern w:val="0"/>
                <w:sz w:val="21"/>
                <w:szCs w:val="21"/>
              </w:rPr>
              <w:t>1.5m、1.5</w:t>
            </w:r>
            <w:r>
              <w:rPr>
                <w:rFonts w:hint="eastAsia"/>
                <w:color w:val="auto"/>
                <w:kern w:val="0"/>
                <w:sz w:val="21"/>
                <w:szCs w:val="21"/>
              </w:rPr>
              <w:t>～</w:t>
            </w:r>
            <w:r>
              <w:rPr>
                <w:color w:val="auto"/>
                <w:kern w:val="0"/>
                <w:sz w:val="21"/>
                <w:szCs w:val="21"/>
              </w:rPr>
              <w:t>3m，表层样为0~0.2m</w:t>
            </w:r>
          </w:p>
        </w:tc>
      </w:tr>
    </w:tbl>
    <w:p w14:paraId="7A05C678">
      <w:pPr>
        <w:spacing w:before="120" w:beforeLines="50" w:line="240" w:lineRule="auto"/>
        <w:ind w:firstLine="0" w:firstLineChars="0"/>
        <w:jc w:val="center"/>
        <w:rPr>
          <w:b/>
          <w:bCs/>
          <w:color w:val="auto"/>
          <w:szCs w:val="28"/>
        </w:rPr>
      </w:pPr>
      <w:r>
        <w:rPr>
          <w:rFonts w:hint="eastAsia"/>
          <w:b/>
          <w:bCs/>
          <w:color w:val="auto"/>
          <w:szCs w:val="28"/>
        </w:rPr>
        <w:t>表5.2.4-2  土体构型（土壤剖面）</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7675"/>
      </w:tblGrid>
      <w:tr w14:paraId="3E4B0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6" w:type="pct"/>
            <w:shd w:val="clear" w:color="auto" w:fill="auto"/>
            <w:vAlign w:val="center"/>
          </w:tcPr>
          <w:p w14:paraId="4A9BD93D">
            <w:pPr>
              <w:widowControl/>
              <w:spacing w:line="240" w:lineRule="auto"/>
              <w:ind w:firstLine="0" w:firstLineChars="0"/>
              <w:jc w:val="center"/>
              <w:rPr>
                <w:b/>
                <w:bCs/>
                <w:color w:val="auto"/>
                <w:kern w:val="0"/>
                <w:sz w:val="21"/>
                <w:szCs w:val="21"/>
              </w:rPr>
            </w:pPr>
            <w:r>
              <w:rPr>
                <w:rFonts w:hint="eastAsia"/>
                <w:b/>
                <w:bCs/>
                <w:color w:val="auto"/>
                <w:kern w:val="0"/>
                <w:sz w:val="21"/>
                <w:szCs w:val="21"/>
              </w:rPr>
              <w:t>点位</w:t>
            </w:r>
          </w:p>
        </w:tc>
        <w:tc>
          <w:tcPr>
            <w:tcW w:w="4083" w:type="pct"/>
            <w:shd w:val="clear" w:color="auto" w:fill="auto"/>
            <w:vAlign w:val="center"/>
          </w:tcPr>
          <w:p w14:paraId="57E9C583">
            <w:pPr>
              <w:widowControl/>
              <w:spacing w:line="240" w:lineRule="auto"/>
              <w:ind w:firstLine="0" w:firstLineChars="0"/>
              <w:jc w:val="center"/>
              <w:rPr>
                <w:b/>
                <w:bCs/>
                <w:color w:val="auto"/>
                <w:kern w:val="0"/>
                <w:sz w:val="21"/>
                <w:szCs w:val="21"/>
              </w:rPr>
            </w:pPr>
            <w:r>
              <w:rPr>
                <w:rFonts w:hint="eastAsia"/>
                <w:b/>
                <w:bCs/>
                <w:color w:val="auto"/>
                <w:kern w:val="0"/>
                <w:sz w:val="21"/>
                <w:szCs w:val="21"/>
              </w:rPr>
              <w:t>土壤剖面照片</w:t>
            </w:r>
          </w:p>
        </w:tc>
      </w:tr>
      <w:tr w14:paraId="31072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6" w:type="pct"/>
            <w:shd w:val="clear" w:color="auto" w:fill="auto"/>
            <w:vAlign w:val="center"/>
          </w:tcPr>
          <w:p w14:paraId="60AFC38E">
            <w:pPr>
              <w:widowControl/>
              <w:spacing w:line="240" w:lineRule="auto"/>
              <w:ind w:firstLine="0" w:firstLineChars="0"/>
              <w:jc w:val="center"/>
              <w:rPr>
                <w:color w:val="auto"/>
                <w:kern w:val="0"/>
                <w:sz w:val="21"/>
                <w:szCs w:val="21"/>
              </w:rPr>
            </w:pPr>
            <w:r>
              <w:rPr>
                <w:rFonts w:hint="eastAsia"/>
                <w:color w:val="auto"/>
                <w:kern w:val="0"/>
                <w:sz w:val="21"/>
                <w:szCs w:val="21"/>
              </w:rPr>
              <w:t>T8</w:t>
            </w:r>
          </w:p>
        </w:tc>
        <w:tc>
          <w:tcPr>
            <w:tcW w:w="4083" w:type="pct"/>
            <w:shd w:val="clear" w:color="auto" w:fill="auto"/>
            <w:vAlign w:val="center"/>
          </w:tcPr>
          <w:p w14:paraId="51EDF61A">
            <w:pPr>
              <w:widowControl/>
              <w:spacing w:line="240" w:lineRule="auto"/>
              <w:ind w:firstLine="0" w:firstLineChars="0"/>
              <w:jc w:val="center"/>
              <w:rPr>
                <w:color w:val="auto"/>
                <w:kern w:val="0"/>
                <w:sz w:val="21"/>
                <w:szCs w:val="21"/>
              </w:rPr>
            </w:pPr>
            <w:r>
              <w:rPr>
                <w:rFonts w:eastAsia="Times New Roman"/>
                <w:color w:val="auto"/>
                <w:sz w:val="21"/>
              </w:rPr>
              <w:drawing>
                <wp:inline distT="0" distB="0" distL="114300" distR="114300">
                  <wp:extent cx="2028825" cy="2705100"/>
                  <wp:effectExtent l="0" t="0" r="9525" b="0"/>
                  <wp:docPr id="4" name="图片 30" descr="5ec1fc539c9c60f20652c2ced8ce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5ec1fc539c9c60f20652c2ced8ce37c"/>
                          <pic:cNvPicPr>
                            <a:picLocks noChangeAspect="1"/>
                          </pic:cNvPicPr>
                        </pic:nvPicPr>
                        <pic:blipFill>
                          <a:blip r:embed="rId32"/>
                          <a:stretch>
                            <a:fillRect/>
                          </a:stretch>
                        </pic:blipFill>
                        <pic:spPr>
                          <a:xfrm>
                            <a:off x="0" y="0"/>
                            <a:ext cx="2028825" cy="2705100"/>
                          </a:xfrm>
                          <a:prstGeom prst="rect">
                            <a:avLst/>
                          </a:prstGeom>
                          <a:noFill/>
                          <a:ln>
                            <a:noFill/>
                          </a:ln>
                        </pic:spPr>
                      </pic:pic>
                    </a:graphicData>
                  </a:graphic>
                </wp:inline>
              </w:drawing>
            </w:r>
          </w:p>
        </w:tc>
      </w:tr>
    </w:tbl>
    <w:p w14:paraId="79E140D8">
      <w:pPr>
        <w:ind w:firstLine="480"/>
        <w:rPr>
          <w:color w:val="auto"/>
          <w:szCs w:val="28"/>
        </w:rPr>
      </w:pPr>
      <w:r>
        <w:rPr>
          <w:color w:val="auto"/>
          <w:szCs w:val="28"/>
        </w:rPr>
        <w:t>（2）监测因子、监测频次</w:t>
      </w:r>
    </w:p>
    <w:p w14:paraId="51818771">
      <w:pPr>
        <w:ind w:firstLine="480"/>
        <w:rPr>
          <w:color w:val="auto"/>
          <w:szCs w:val="28"/>
        </w:rPr>
      </w:pPr>
      <w:r>
        <w:rPr>
          <w:color w:val="auto"/>
          <w:szCs w:val="28"/>
        </w:rPr>
        <w:t>监测因子：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总铝</w:t>
      </w:r>
      <w:r>
        <w:rPr>
          <w:rFonts w:hint="eastAsia"/>
          <w:color w:val="auto"/>
          <w:szCs w:val="28"/>
        </w:rPr>
        <w:t>。</w:t>
      </w:r>
    </w:p>
    <w:p w14:paraId="7135E652">
      <w:pPr>
        <w:ind w:firstLine="480"/>
        <w:rPr>
          <w:color w:val="auto"/>
          <w:szCs w:val="28"/>
        </w:rPr>
      </w:pPr>
      <w:r>
        <w:rPr>
          <w:color w:val="auto"/>
          <w:szCs w:val="28"/>
        </w:rPr>
        <w:t>（3）监测时间</w:t>
      </w:r>
    </w:p>
    <w:p w14:paraId="3BD1C3B0">
      <w:pPr>
        <w:ind w:firstLine="480"/>
        <w:rPr>
          <w:color w:val="auto"/>
          <w:szCs w:val="28"/>
        </w:rPr>
      </w:pPr>
      <w:r>
        <w:rPr>
          <w:color w:val="auto"/>
          <w:szCs w:val="28"/>
        </w:rPr>
        <w:t>202</w:t>
      </w:r>
      <w:r>
        <w:rPr>
          <w:rFonts w:hint="eastAsia"/>
          <w:color w:val="auto"/>
          <w:szCs w:val="28"/>
        </w:rPr>
        <w:t>4</w:t>
      </w:r>
      <w:r>
        <w:rPr>
          <w:color w:val="auto"/>
          <w:szCs w:val="28"/>
        </w:rPr>
        <w:t>年</w:t>
      </w:r>
      <w:r>
        <w:rPr>
          <w:rFonts w:hint="eastAsia"/>
          <w:color w:val="auto"/>
          <w:szCs w:val="28"/>
        </w:rPr>
        <w:t>6</w:t>
      </w:r>
      <w:r>
        <w:rPr>
          <w:color w:val="auto"/>
          <w:szCs w:val="28"/>
        </w:rPr>
        <w:t>月</w:t>
      </w:r>
      <w:r>
        <w:rPr>
          <w:rFonts w:hint="eastAsia"/>
          <w:color w:val="auto"/>
          <w:szCs w:val="28"/>
        </w:rPr>
        <w:t>4</w:t>
      </w:r>
      <w:r>
        <w:rPr>
          <w:color w:val="auto"/>
          <w:szCs w:val="28"/>
        </w:rPr>
        <w:t>日</w:t>
      </w:r>
      <w:r>
        <w:rPr>
          <w:rFonts w:hint="eastAsia"/>
          <w:color w:val="auto"/>
          <w:szCs w:val="28"/>
        </w:rPr>
        <w:t>安徽晟创检测</w:t>
      </w:r>
      <w:r>
        <w:rPr>
          <w:color w:val="auto"/>
          <w:szCs w:val="28"/>
        </w:rPr>
        <w:t>技术有限公司对所有点位进行一次采样。</w:t>
      </w:r>
    </w:p>
    <w:p w14:paraId="794CFFFD">
      <w:pPr>
        <w:ind w:firstLine="480"/>
        <w:rPr>
          <w:color w:val="auto"/>
          <w:szCs w:val="28"/>
        </w:rPr>
      </w:pPr>
      <w:r>
        <w:rPr>
          <w:color w:val="auto"/>
          <w:szCs w:val="28"/>
        </w:rPr>
        <w:t>（4）监测分析方法</w:t>
      </w:r>
    </w:p>
    <w:p w14:paraId="1A0590F0">
      <w:pPr>
        <w:ind w:firstLine="480"/>
        <w:rPr>
          <w:color w:val="auto"/>
          <w:szCs w:val="28"/>
        </w:rPr>
      </w:pPr>
      <w:r>
        <w:rPr>
          <w:color w:val="auto"/>
          <w:szCs w:val="28"/>
        </w:rPr>
        <w:t>执行《土壤环境质量 建设用地土壤污染风险管控标准</w:t>
      </w:r>
      <w:r>
        <w:rPr>
          <w:rFonts w:hint="eastAsia"/>
          <w:color w:val="auto"/>
          <w:szCs w:val="28"/>
        </w:rPr>
        <w:t>（</w:t>
      </w:r>
      <w:r>
        <w:rPr>
          <w:color w:val="auto"/>
          <w:szCs w:val="28"/>
        </w:rPr>
        <w:t>试行</w:t>
      </w:r>
      <w:r>
        <w:rPr>
          <w:rFonts w:hint="eastAsia"/>
          <w:color w:val="auto"/>
          <w:szCs w:val="28"/>
        </w:rPr>
        <w:t>）</w:t>
      </w:r>
      <w:r>
        <w:rPr>
          <w:color w:val="auto"/>
          <w:szCs w:val="28"/>
        </w:rPr>
        <w:t>》（GB36600-2018）、《土壤环境质量标准 农用地土壤污染风险管控标准（试行）》（GB15618-2018）及配套测定方法的要求执行。</w:t>
      </w:r>
    </w:p>
    <w:p w14:paraId="6295FCC2">
      <w:pPr>
        <w:ind w:firstLine="480"/>
        <w:rPr>
          <w:color w:val="auto"/>
          <w:szCs w:val="28"/>
        </w:rPr>
      </w:pPr>
      <w:r>
        <w:rPr>
          <w:color w:val="auto"/>
          <w:szCs w:val="28"/>
        </w:rPr>
        <w:t>（5）评价标准</w:t>
      </w:r>
    </w:p>
    <w:p w14:paraId="2F0E99CF">
      <w:pPr>
        <w:ind w:firstLine="480"/>
        <w:rPr>
          <w:color w:val="auto"/>
          <w:szCs w:val="28"/>
        </w:rPr>
      </w:pPr>
      <w:r>
        <w:rPr>
          <w:color w:val="auto"/>
          <w:szCs w:val="28"/>
        </w:rPr>
        <w:t>土壤监测因子执行《土壤环境质量 建设用地土壤污染风险管控标准</w:t>
      </w:r>
      <w:r>
        <w:rPr>
          <w:rFonts w:hint="eastAsia"/>
          <w:color w:val="auto"/>
          <w:szCs w:val="28"/>
        </w:rPr>
        <w:t>（</w:t>
      </w:r>
      <w:r>
        <w:rPr>
          <w:color w:val="auto"/>
          <w:szCs w:val="28"/>
        </w:rPr>
        <w:t>试行</w:t>
      </w:r>
      <w:r>
        <w:rPr>
          <w:rFonts w:hint="eastAsia"/>
          <w:color w:val="auto"/>
          <w:szCs w:val="28"/>
        </w:rPr>
        <w:t>）</w:t>
      </w:r>
      <w:r>
        <w:rPr>
          <w:color w:val="auto"/>
          <w:szCs w:val="28"/>
        </w:rPr>
        <w:t>》（GB36600-2018）表1中第二类用地风险筛选值。</w:t>
      </w:r>
    </w:p>
    <w:p w14:paraId="5E2F734A">
      <w:pPr>
        <w:spacing w:before="120" w:beforeLines="50"/>
        <w:ind w:firstLine="0" w:firstLineChars="0"/>
        <w:jc w:val="left"/>
        <w:outlineLvl w:val="3"/>
        <w:rPr>
          <w:b/>
          <w:color w:val="auto"/>
        </w:rPr>
      </w:pPr>
      <w:r>
        <w:rPr>
          <w:rFonts w:hint="eastAsia"/>
          <w:b/>
          <w:color w:val="auto"/>
        </w:rPr>
        <w:t>5</w:t>
      </w:r>
      <w:r>
        <w:rPr>
          <w:b/>
          <w:color w:val="auto"/>
        </w:rPr>
        <w:t>.2.4.2 土壤理化性质调查</w:t>
      </w:r>
    </w:p>
    <w:p w14:paraId="5D66B699">
      <w:pPr>
        <w:ind w:firstLine="480"/>
        <w:jc w:val="left"/>
        <w:rPr>
          <w:color w:val="auto"/>
          <w:szCs w:val="28"/>
        </w:rPr>
      </w:pPr>
      <w:r>
        <w:rPr>
          <w:color w:val="auto"/>
          <w:szCs w:val="28"/>
        </w:rPr>
        <w:t>土壤理化特性调查表见表</w:t>
      </w:r>
      <w:r>
        <w:rPr>
          <w:rFonts w:hint="eastAsia"/>
          <w:color w:val="auto"/>
          <w:szCs w:val="28"/>
        </w:rPr>
        <w:t>5.2.4-3</w:t>
      </w:r>
      <w:r>
        <w:rPr>
          <w:color w:val="auto"/>
          <w:szCs w:val="28"/>
        </w:rPr>
        <w:t>。</w:t>
      </w:r>
    </w:p>
    <w:p w14:paraId="4877E7D2">
      <w:pPr>
        <w:spacing w:line="240" w:lineRule="auto"/>
        <w:ind w:firstLine="0" w:firstLineChars="0"/>
        <w:jc w:val="center"/>
        <w:rPr>
          <w:b/>
          <w:color w:val="auto"/>
          <w:szCs w:val="28"/>
        </w:rPr>
      </w:pPr>
      <w:r>
        <w:rPr>
          <w:b/>
          <w:color w:val="auto"/>
          <w:szCs w:val="28"/>
        </w:rPr>
        <w:t>表</w:t>
      </w:r>
      <w:r>
        <w:rPr>
          <w:rFonts w:hint="eastAsia"/>
          <w:b/>
          <w:color w:val="auto"/>
          <w:szCs w:val="28"/>
        </w:rPr>
        <w:t>5.2.4-3</w:t>
      </w:r>
      <w:r>
        <w:rPr>
          <w:b/>
          <w:color w:val="auto"/>
          <w:szCs w:val="28"/>
        </w:rPr>
        <w:t xml:space="preserve">  土壤理化特性调查表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744"/>
        <w:gridCol w:w="2075"/>
        <w:gridCol w:w="2076"/>
        <w:gridCol w:w="2076"/>
      </w:tblGrid>
      <w:tr w14:paraId="69070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81" w:type="pct"/>
            <w:gridSpan w:val="2"/>
            <w:shd w:val="clear" w:color="auto" w:fill="auto"/>
            <w:vAlign w:val="center"/>
          </w:tcPr>
          <w:p w14:paraId="3B052DC5">
            <w:pPr>
              <w:widowControl/>
              <w:spacing w:line="240" w:lineRule="auto"/>
              <w:ind w:firstLine="0" w:firstLineChars="0"/>
              <w:jc w:val="center"/>
              <w:rPr>
                <w:color w:val="auto"/>
                <w:kern w:val="0"/>
                <w:sz w:val="21"/>
                <w:szCs w:val="21"/>
              </w:rPr>
            </w:pPr>
            <w:r>
              <w:rPr>
                <w:color w:val="auto"/>
                <w:kern w:val="0"/>
                <w:sz w:val="21"/>
                <w:szCs w:val="21"/>
              </w:rPr>
              <w:t>点位</w:t>
            </w:r>
          </w:p>
        </w:tc>
        <w:tc>
          <w:tcPr>
            <w:tcW w:w="1106" w:type="pct"/>
            <w:shd w:val="clear" w:color="auto" w:fill="auto"/>
            <w:vAlign w:val="center"/>
          </w:tcPr>
          <w:p w14:paraId="50B9A72C">
            <w:pPr>
              <w:widowControl/>
              <w:spacing w:line="240" w:lineRule="auto"/>
              <w:ind w:firstLine="0" w:firstLineChars="0"/>
              <w:jc w:val="center"/>
              <w:rPr>
                <w:color w:val="auto"/>
                <w:kern w:val="0"/>
                <w:sz w:val="21"/>
                <w:szCs w:val="21"/>
              </w:rPr>
            </w:pPr>
            <w:r>
              <w:rPr>
                <w:color w:val="auto"/>
                <w:kern w:val="0"/>
                <w:sz w:val="21"/>
                <w:szCs w:val="21"/>
              </w:rPr>
              <w:t>T</w:t>
            </w:r>
            <w:r>
              <w:rPr>
                <w:rFonts w:hint="eastAsia"/>
                <w:color w:val="auto"/>
                <w:kern w:val="0"/>
                <w:sz w:val="21"/>
                <w:szCs w:val="21"/>
              </w:rPr>
              <w:t>8</w:t>
            </w:r>
          </w:p>
        </w:tc>
        <w:tc>
          <w:tcPr>
            <w:tcW w:w="1106" w:type="pct"/>
            <w:shd w:val="clear" w:color="auto" w:fill="auto"/>
            <w:vAlign w:val="center"/>
          </w:tcPr>
          <w:p w14:paraId="7D4F1D32">
            <w:pPr>
              <w:widowControl/>
              <w:spacing w:line="240" w:lineRule="auto"/>
              <w:ind w:firstLine="0" w:firstLineChars="0"/>
              <w:jc w:val="center"/>
              <w:rPr>
                <w:color w:val="auto"/>
                <w:kern w:val="0"/>
                <w:sz w:val="21"/>
                <w:szCs w:val="21"/>
              </w:rPr>
            </w:pPr>
            <w:r>
              <w:rPr>
                <w:color w:val="auto"/>
                <w:kern w:val="0"/>
                <w:sz w:val="21"/>
                <w:szCs w:val="21"/>
              </w:rPr>
              <w:t>时间</w:t>
            </w:r>
          </w:p>
        </w:tc>
        <w:tc>
          <w:tcPr>
            <w:tcW w:w="1106" w:type="pct"/>
            <w:shd w:val="clear" w:color="auto" w:fill="auto"/>
            <w:vAlign w:val="center"/>
          </w:tcPr>
          <w:p w14:paraId="5F1FFBAD">
            <w:pPr>
              <w:widowControl/>
              <w:spacing w:line="240" w:lineRule="auto"/>
              <w:ind w:firstLine="0" w:firstLineChars="0"/>
              <w:jc w:val="center"/>
              <w:rPr>
                <w:color w:val="auto"/>
                <w:kern w:val="0"/>
                <w:sz w:val="21"/>
                <w:szCs w:val="21"/>
              </w:rPr>
            </w:pPr>
            <w:r>
              <w:rPr>
                <w:rFonts w:hint="eastAsia"/>
                <w:color w:val="auto"/>
                <w:kern w:val="0"/>
                <w:sz w:val="21"/>
                <w:szCs w:val="21"/>
              </w:rPr>
              <w:t>2024.6.4</w:t>
            </w:r>
          </w:p>
        </w:tc>
      </w:tr>
      <w:tr w14:paraId="7F874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81" w:type="pct"/>
            <w:gridSpan w:val="2"/>
            <w:shd w:val="clear" w:color="auto" w:fill="auto"/>
            <w:vAlign w:val="center"/>
          </w:tcPr>
          <w:p w14:paraId="4DA7149B">
            <w:pPr>
              <w:widowControl/>
              <w:spacing w:line="240" w:lineRule="auto"/>
              <w:ind w:firstLine="0" w:firstLineChars="0"/>
              <w:jc w:val="center"/>
              <w:rPr>
                <w:color w:val="auto"/>
                <w:kern w:val="0"/>
                <w:sz w:val="21"/>
                <w:szCs w:val="21"/>
              </w:rPr>
            </w:pPr>
            <w:r>
              <w:rPr>
                <w:color w:val="auto"/>
                <w:kern w:val="0"/>
                <w:sz w:val="21"/>
                <w:szCs w:val="21"/>
              </w:rPr>
              <w:t>经度</w:t>
            </w:r>
          </w:p>
        </w:tc>
        <w:tc>
          <w:tcPr>
            <w:tcW w:w="1106" w:type="pct"/>
            <w:shd w:val="clear" w:color="auto" w:fill="auto"/>
            <w:vAlign w:val="center"/>
          </w:tcPr>
          <w:p w14:paraId="1DCE5AB3">
            <w:pPr>
              <w:widowControl/>
              <w:spacing w:line="240" w:lineRule="auto"/>
              <w:ind w:firstLine="0" w:firstLineChars="0"/>
              <w:jc w:val="center"/>
              <w:rPr>
                <w:color w:val="auto"/>
                <w:kern w:val="0"/>
                <w:sz w:val="21"/>
                <w:szCs w:val="21"/>
              </w:rPr>
            </w:pPr>
            <w:r>
              <w:rPr>
                <w:color w:val="auto"/>
                <w:kern w:val="0"/>
                <w:sz w:val="21"/>
                <w:szCs w:val="21"/>
              </w:rPr>
              <w:t>东经</w:t>
            </w:r>
            <w:r>
              <w:rPr>
                <w:color w:val="auto"/>
                <w:sz w:val="21"/>
                <w:szCs w:val="21"/>
              </w:rPr>
              <w:t>11</w:t>
            </w:r>
            <w:r>
              <w:rPr>
                <w:rFonts w:hint="eastAsia"/>
                <w:color w:val="auto"/>
                <w:sz w:val="21"/>
                <w:szCs w:val="21"/>
              </w:rPr>
              <w:t>9</w:t>
            </w:r>
            <w:r>
              <w:rPr>
                <w:color w:val="auto"/>
                <w:sz w:val="21"/>
                <w:szCs w:val="21"/>
              </w:rPr>
              <w:t>°</w:t>
            </w:r>
            <w:r>
              <w:rPr>
                <w:rFonts w:hint="eastAsia"/>
                <w:color w:val="auto"/>
                <w:sz w:val="21"/>
                <w:szCs w:val="21"/>
              </w:rPr>
              <w:t>1</w:t>
            </w:r>
            <w:r>
              <w:rPr>
                <w:color w:val="auto"/>
                <w:sz w:val="21"/>
                <w:szCs w:val="21"/>
              </w:rPr>
              <w:t>3′</w:t>
            </w:r>
            <w:r>
              <w:rPr>
                <w:rFonts w:hint="eastAsia"/>
                <w:color w:val="auto"/>
                <w:sz w:val="21"/>
                <w:szCs w:val="21"/>
              </w:rPr>
              <w:t>57</w:t>
            </w:r>
            <w:r>
              <w:rPr>
                <w:color w:val="auto"/>
                <w:sz w:val="21"/>
                <w:szCs w:val="21"/>
              </w:rPr>
              <w:t>″</w:t>
            </w:r>
          </w:p>
        </w:tc>
        <w:tc>
          <w:tcPr>
            <w:tcW w:w="1106" w:type="pct"/>
            <w:shd w:val="clear" w:color="auto" w:fill="auto"/>
            <w:vAlign w:val="center"/>
          </w:tcPr>
          <w:p w14:paraId="107A3715">
            <w:pPr>
              <w:widowControl/>
              <w:spacing w:line="240" w:lineRule="auto"/>
              <w:ind w:firstLine="0" w:firstLineChars="0"/>
              <w:jc w:val="center"/>
              <w:rPr>
                <w:color w:val="auto"/>
                <w:kern w:val="0"/>
                <w:sz w:val="21"/>
                <w:szCs w:val="21"/>
              </w:rPr>
            </w:pPr>
            <w:r>
              <w:rPr>
                <w:color w:val="auto"/>
                <w:kern w:val="0"/>
                <w:sz w:val="21"/>
                <w:szCs w:val="21"/>
              </w:rPr>
              <w:t>纬度</w:t>
            </w:r>
          </w:p>
        </w:tc>
        <w:tc>
          <w:tcPr>
            <w:tcW w:w="1106" w:type="pct"/>
            <w:shd w:val="clear" w:color="auto" w:fill="auto"/>
            <w:vAlign w:val="center"/>
          </w:tcPr>
          <w:p w14:paraId="3B9FE0FE">
            <w:pPr>
              <w:widowControl/>
              <w:spacing w:line="240" w:lineRule="auto"/>
              <w:ind w:firstLine="0" w:firstLineChars="0"/>
              <w:jc w:val="center"/>
              <w:rPr>
                <w:color w:val="auto"/>
                <w:kern w:val="0"/>
                <w:sz w:val="21"/>
                <w:szCs w:val="21"/>
              </w:rPr>
            </w:pPr>
            <w:r>
              <w:rPr>
                <w:color w:val="auto"/>
                <w:kern w:val="0"/>
                <w:sz w:val="21"/>
                <w:szCs w:val="21"/>
              </w:rPr>
              <w:t>北纬</w:t>
            </w:r>
            <w:r>
              <w:rPr>
                <w:color w:val="auto"/>
                <w:sz w:val="21"/>
                <w:szCs w:val="21"/>
              </w:rPr>
              <w:t>3</w:t>
            </w:r>
            <w:r>
              <w:rPr>
                <w:rFonts w:hint="eastAsia"/>
                <w:color w:val="auto"/>
                <w:sz w:val="21"/>
                <w:szCs w:val="21"/>
              </w:rPr>
              <w:t>4</w:t>
            </w:r>
            <w:r>
              <w:rPr>
                <w:color w:val="auto"/>
                <w:sz w:val="21"/>
                <w:szCs w:val="21"/>
              </w:rPr>
              <w:t>°</w:t>
            </w:r>
            <w:r>
              <w:rPr>
                <w:rFonts w:hint="eastAsia"/>
                <w:color w:val="auto"/>
                <w:sz w:val="21"/>
                <w:szCs w:val="21"/>
              </w:rPr>
              <w:t>43</w:t>
            </w:r>
            <w:r>
              <w:rPr>
                <w:color w:val="auto"/>
                <w:sz w:val="21"/>
                <w:szCs w:val="21"/>
              </w:rPr>
              <w:t>′</w:t>
            </w:r>
            <w:r>
              <w:rPr>
                <w:rFonts w:hint="eastAsia"/>
                <w:color w:val="auto"/>
                <w:sz w:val="21"/>
                <w:szCs w:val="21"/>
              </w:rPr>
              <w:t>39</w:t>
            </w:r>
            <w:r>
              <w:rPr>
                <w:color w:val="auto"/>
                <w:sz w:val="21"/>
                <w:szCs w:val="21"/>
              </w:rPr>
              <w:t>″</w:t>
            </w:r>
          </w:p>
        </w:tc>
      </w:tr>
      <w:tr w14:paraId="291AE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81" w:type="pct"/>
            <w:gridSpan w:val="2"/>
            <w:shd w:val="clear" w:color="auto" w:fill="auto"/>
            <w:vAlign w:val="center"/>
          </w:tcPr>
          <w:p w14:paraId="045E2A45">
            <w:pPr>
              <w:widowControl/>
              <w:spacing w:line="240" w:lineRule="auto"/>
              <w:ind w:firstLine="0" w:firstLineChars="0"/>
              <w:jc w:val="center"/>
              <w:rPr>
                <w:color w:val="auto"/>
                <w:kern w:val="0"/>
                <w:sz w:val="21"/>
                <w:szCs w:val="21"/>
              </w:rPr>
            </w:pPr>
            <w:r>
              <w:rPr>
                <w:color w:val="auto"/>
                <w:kern w:val="0"/>
                <w:sz w:val="21"/>
                <w:szCs w:val="21"/>
              </w:rPr>
              <w:t>采样深度</w:t>
            </w:r>
          </w:p>
        </w:tc>
        <w:tc>
          <w:tcPr>
            <w:tcW w:w="3318" w:type="pct"/>
            <w:gridSpan w:val="3"/>
            <w:shd w:val="clear" w:color="auto" w:fill="auto"/>
            <w:vAlign w:val="center"/>
          </w:tcPr>
          <w:p w14:paraId="2B885B14">
            <w:pPr>
              <w:widowControl/>
              <w:spacing w:line="240" w:lineRule="auto"/>
              <w:ind w:firstLine="0" w:firstLineChars="0"/>
              <w:jc w:val="center"/>
              <w:rPr>
                <w:color w:val="auto"/>
                <w:kern w:val="0"/>
                <w:sz w:val="21"/>
                <w:szCs w:val="21"/>
              </w:rPr>
            </w:pPr>
            <w:r>
              <w:rPr>
                <w:color w:val="auto"/>
                <w:kern w:val="0"/>
                <w:sz w:val="21"/>
                <w:szCs w:val="21"/>
              </w:rPr>
              <w:t>0~20</w:t>
            </w:r>
          </w:p>
        </w:tc>
      </w:tr>
      <w:tr w14:paraId="71B99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restart"/>
            <w:shd w:val="clear" w:color="auto" w:fill="auto"/>
            <w:vAlign w:val="center"/>
          </w:tcPr>
          <w:p w14:paraId="086C83CE">
            <w:pPr>
              <w:widowControl/>
              <w:spacing w:line="240" w:lineRule="auto"/>
              <w:ind w:firstLine="0" w:firstLineChars="0"/>
              <w:jc w:val="center"/>
              <w:rPr>
                <w:color w:val="auto"/>
                <w:kern w:val="0"/>
                <w:sz w:val="21"/>
                <w:szCs w:val="21"/>
              </w:rPr>
            </w:pPr>
            <w:r>
              <w:rPr>
                <w:color w:val="auto"/>
                <w:kern w:val="0"/>
                <w:sz w:val="21"/>
                <w:szCs w:val="21"/>
              </w:rPr>
              <w:t>现场记录</w:t>
            </w:r>
          </w:p>
        </w:tc>
        <w:tc>
          <w:tcPr>
            <w:tcW w:w="1461" w:type="pct"/>
            <w:shd w:val="clear" w:color="auto" w:fill="auto"/>
            <w:vAlign w:val="center"/>
          </w:tcPr>
          <w:p w14:paraId="460919A7">
            <w:pPr>
              <w:widowControl/>
              <w:spacing w:line="240" w:lineRule="auto"/>
              <w:ind w:firstLine="0" w:firstLineChars="0"/>
              <w:jc w:val="center"/>
              <w:rPr>
                <w:color w:val="auto"/>
                <w:kern w:val="0"/>
                <w:sz w:val="21"/>
                <w:szCs w:val="21"/>
              </w:rPr>
            </w:pPr>
            <w:r>
              <w:rPr>
                <w:color w:val="auto"/>
                <w:kern w:val="0"/>
                <w:sz w:val="21"/>
                <w:szCs w:val="21"/>
              </w:rPr>
              <w:t>颜色</w:t>
            </w:r>
          </w:p>
        </w:tc>
        <w:tc>
          <w:tcPr>
            <w:tcW w:w="3318" w:type="pct"/>
            <w:gridSpan w:val="3"/>
            <w:shd w:val="clear" w:color="auto" w:fill="auto"/>
            <w:vAlign w:val="center"/>
          </w:tcPr>
          <w:p w14:paraId="6629EEC3">
            <w:pPr>
              <w:widowControl/>
              <w:spacing w:line="240" w:lineRule="auto"/>
              <w:ind w:firstLine="0" w:firstLineChars="0"/>
              <w:jc w:val="center"/>
              <w:rPr>
                <w:color w:val="auto"/>
                <w:kern w:val="0"/>
                <w:sz w:val="21"/>
                <w:szCs w:val="21"/>
              </w:rPr>
            </w:pPr>
            <w:r>
              <w:rPr>
                <w:rFonts w:hint="eastAsia"/>
                <w:color w:val="auto"/>
                <w:kern w:val="0"/>
                <w:sz w:val="21"/>
                <w:szCs w:val="21"/>
              </w:rPr>
              <w:t>黄棕色</w:t>
            </w:r>
          </w:p>
        </w:tc>
      </w:tr>
      <w:tr w14:paraId="1D317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78440FC8">
            <w:pPr>
              <w:widowControl/>
              <w:spacing w:line="240" w:lineRule="auto"/>
              <w:ind w:firstLine="0" w:firstLineChars="0"/>
              <w:jc w:val="left"/>
              <w:rPr>
                <w:color w:val="auto"/>
                <w:kern w:val="0"/>
                <w:sz w:val="21"/>
                <w:szCs w:val="21"/>
              </w:rPr>
            </w:pPr>
          </w:p>
        </w:tc>
        <w:tc>
          <w:tcPr>
            <w:tcW w:w="1461" w:type="pct"/>
            <w:shd w:val="clear" w:color="auto" w:fill="auto"/>
            <w:vAlign w:val="center"/>
          </w:tcPr>
          <w:p w14:paraId="661E64F7">
            <w:pPr>
              <w:widowControl/>
              <w:spacing w:line="240" w:lineRule="auto"/>
              <w:ind w:firstLine="0" w:firstLineChars="0"/>
              <w:jc w:val="center"/>
              <w:rPr>
                <w:color w:val="auto"/>
                <w:kern w:val="0"/>
                <w:sz w:val="21"/>
                <w:szCs w:val="21"/>
              </w:rPr>
            </w:pPr>
            <w:r>
              <w:rPr>
                <w:color w:val="auto"/>
                <w:kern w:val="0"/>
                <w:sz w:val="21"/>
                <w:szCs w:val="21"/>
              </w:rPr>
              <w:t>结构</w:t>
            </w:r>
          </w:p>
        </w:tc>
        <w:tc>
          <w:tcPr>
            <w:tcW w:w="3318" w:type="pct"/>
            <w:gridSpan w:val="3"/>
            <w:shd w:val="clear" w:color="auto" w:fill="auto"/>
            <w:vAlign w:val="center"/>
          </w:tcPr>
          <w:p w14:paraId="37143491">
            <w:pPr>
              <w:widowControl/>
              <w:spacing w:line="240" w:lineRule="auto"/>
              <w:ind w:firstLine="0" w:firstLineChars="0"/>
              <w:jc w:val="center"/>
              <w:rPr>
                <w:color w:val="auto"/>
                <w:kern w:val="0"/>
                <w:sz w:val="21"/>
                <w:szCs w:val="21"/>
              </w:rPr>
            </w:pPr>
            <w:r>
              <w:rPr>
                <w:rFonts w:hint="eastAsia"/>
                <w:color w:val="auto"/>
                <w:kern w:val="0"/>
                <w:sz w:val="21"/>
                <w:szCs w:val="21"/>
              </w:rPr>
              <w:t>砂壤土</w:t>
            </w:r>
          </w:p>
        </w:tc>
      </w:tr>
      <w:tr w14:paraId="42AB8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0E36CE23">
            <w:pPr>
              <w:widowControl/>
              <w:spacing w:line="240" w:lineRule="auto"/>
              <w:ind w:firstLine="0" w:firstLineChars="0"/>
              <w:jc w:val="left"/>
              <w:rPr>
                <w:color w:val="auto"/>
                <w:kern w:val="0"/>
                <w:sz w:val="21"/>
                <w:szCs w:val="21"/>
              </w:rPr>
            </w:pPr>
          </w:p>
        </w:tc>
        <w:tc>
          <w:tcPr>
            <w:tcW w:w="1461" w:type="pct"/>
            <w:shd w:val="clear" w:color="auto" w:fill="auto"/>
            <w:vAlign w:val="center"/>
          </w:tcPr>
          <w:p w14:paraId="678ECB8F">
            <w:pPr>
              <w:widowControl/>
              <w:spacing w:line="240" w:lineRule="auto"/>
              <w:ind w:firstLine="0" w:firstLineChars="0"/>
              <w:jc w:val="center"/>
              <w:rPr>
                <w:color w:val="auto"/>
                <w:kern w:val="0"/>
                <w:sz w:val="21"/>
                <w:szCs w:val="21"/>
              </w:rPr>
            </w:pPr>
            <w:r>
              <w:rPr>
                <w:color w:val="auto"/>
                <w:kern w:val="0"/>
                <w:sz w:val="21"/>
                <w:szCs w:val="21"/>
              </w:rPr>
              <w:t>质地</w:t>
            </w:r>
          </w:p>
        </w:tc>
        <w:tc>
          <w:tcPr>
            <w:tcW w:w="3318" w:type="pct"/>
            <w:gridSpan w:val="3"/>
            <w:shd w:val="clear" w:color="auto" w:fill="auto"/>
            <w:vAlign w:val="center"/>
          </w:tcPr>
          <w:p w14:paraId="6C242BA7">
            <w:pPr>
              <w:widowControl/>
              <w:spacing w:line="240" w:lineRule="auto"/>
              <w:ind w:firstLine="0" w:firstLineChars="0"/>
              <w:jc w:val="center"/>
              <w:rPr>
                <w:color w:val="auto"/>
                <w:kern w:val="0"/>
                <w:sz w:val="21"/>
                <w:szCs w:val="21"/>
              </w:rPr>
            </w:pPr>
            <w:r>
              <w:rPr>
                <w:color w:val="auto"/>
                <w:kern w:val="0"/>
                <w:sz w:val="21"/>
                <w:szCs w:val="21"/>
              </w:rPr>
              <w:t>壤土</w:t>
            </w:r>
          </w:p>
        </w:tc>
      </w:tr>
      <w:tr w14:paraId="021FC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492A85D5">
            <w:pPr>
              <w:widowControl/>
              <w:spacing w:line="240" w:lineRule="auto"/>
              <w:ind w:firstLine="0" w:firstLineChars="0"/>
              <w:jc w:val="left"/>
              <w:rPr>
                <w:color w:val="auto"/>
                <w:kern w:val="0"/>
                <w:sz w:val="21"/>
                <w:szCs w:val="21"/>
              </w:rPr>
            </w:pPr>
          </w:p>
        </w:tc>
        <w:tc>
          <w:tcPr>
            <w:tcW w:w="1461" w:type="pct"/>
            <w:shd w:val="clear" w:color="auto" w:fill="auto"/>
            <w:vAlign w:val="center"/>
          </w:tcPr>
          <w:p w14:paraId="7F5D110B">
            <w:pPr>
              <w:widowControl/>
              <w:spacing w:line="240" w:lineRule="auto"/>
              <w:ind w:firstLine="0" w:firstLineChars="0"/>
              <w:jc w:val="center"/>
              <w:rPr>
                <w:color w:val="auto"/>
                <w:kern w:val="0"/>
                <w:sz w:val="21"/>
                <w:szCs w:val="21"/>
              </w:rPr>
            </w:pPr>
            <w:r>
              <w:rPr>
                <w:color w:val="auto"/>
                <w:kern w:val="0"/>
                <w:sz w:val="21"/>
                <w:szCs w:val="21"/>
              </w:rPr>
              <w:t>其他异物</w:t>
            </w:r>
          </w:p>
        </w:tc>
        <w:tc>
          <w:tcPr>
            <w:tcW w:w="3318" w:type="pct"/>
            <w:gridSpan w:val="3"/>
            <w:shd w:val="clear" w:color="auto" w:fill="auto"/>
            <w:vAlign w:val="center"/>
          </w:tcPr>
          <w:p w14:paraId="3063DCF1">
            <w:pPr>
              <w:widowControl/>
              <w:spacing w:line="240" w:lineRule="auto"/>
              <w:ind w:firstLine="0" w:firstLineChars="0"/>
              <w:jc w:val="center"/>
              <w:rPr>
                <w:color w:val="auto"/>
                <w:kern w:val="0"/>
                <w:sz w:val="21"/>
                <w:szCs w:val="21"/>
              </w:rPr>
            </w:pPr>
            <w:r>
              <w:rPr>
                <w:color w:val="auto"/>
                <w:kern w:val="0"/>
                <w:sz w:val="21"/>
                <w:szCs w:val="21"/>
              </w:rPr>
              <w:t>少量植物根系</w:t>
            </w:r>
          </w:p>
        </w:tc>
      </w:tr>
      <w:tr w14:paraId="468B3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restart"/>
            <w:shd w:val="clear" w:color="auto" w:fill="auto"/>
            <w:vAlign w:val="center"/>
          </w:tcPr>
          <w:p w14:paraId="18F3AC94">
            <w:pPr>
              <w:widowControl/>
              <w:spacing w:line="240" w:lineRule="auto"/>
              <w:ind w:firstLine="0" w:firstLineChars="0"/>
              <w:jc w:val="center"/>
              <w:rPr>
                <w:color w:val="auto"/>
                <w:kern w:val="0"/>
                <w:sz w:val="21"/>
                <w:szCs w:val="21"/>
              </w:rPr>
            </w:pPr>
            <w:r>
              <w:rPr>
                <w:color w:val="auto"/>
                <w:kern w:val="0"/>
                <w:sz w:val="21"/>
                <w:szCs w:val="21"/>
              </w:rPr>
              <w:t>实验室测定</w:t>
            </w:r>
          </w:p>
        </w:tc>
        <w:tc>
          <w:tcPr>
            <w:tcW w:w="1461" w:type="pct"/>
            <w:shd w:val="clear" w:color="auto" w:fill="auto"/>
            <w:vAlign w:val="center"/>
          </w:tcPr>
          <w:p w14:paraId="573057D9">
            <w:pPr>
              <w:widowControl/>
              <w:spacing w:line="240" w:lineRule="auto"/>
              <w:ind w:firstLine="0" w:firstLineChars="0"/>
              <w:jc w:val="center"/>
              <w:rPr>
                <w:color w:val="auto"/>
                <w:kern w:val="0"/>
                <w:sz w:val="21"/>
                <w:szCs w:val="21"/>
              </w:rPr>
            </w:pPr>
            <w:r>
              <w:rPr>
                <w:color w:val="auto"/>
                <w:kern w:val="0"/>
                <w:sz w:val="21"/>
                <w:szCs w:val="21"/>
              </w:rPr>
              <w:t>pH值</w:t>
            </w:r>
          </w:p>
        </w:tc>
        <w:tc>
          <w:tcPr>
            <w:tcW w:w="3318" w:type="pct"/>
            <w:gridSpan w:val="3"/>
            <w:shd w:val="clear" w:color="auto" w:fill="auto"/>
            <w:vAlign w:val="center"/>
          </w:tcPr>
          <w:p w14:paraId="74A70582">
            <w:pPr>
              <w:widowControl/>
              <w:spacing w:line="240" w:lineRule="auto"/>
              <w:ind w:firstLine="0" w:firstLineChars="0"/>
              <w:jc w:val="center"/>
              <w:rPr>
                <w:color w:val="auto"/>
                <w:kern w:val="0"/>
                <w:sz w:val="21"/>
                <w:szCs w:val="21"/>
              </w:rPr>
            </w:pPr>
            <w:r>
              <w:rPr>
                <w:rFonts w:hint="eastAsia"/>
                <w:color w:val="auto"/>
                <w:kern w:val="0"/>
                <w:sz w:val="21"/>
                <w:szCs w:val="21"/>
              </w:rPr>
              <w:t>8.11</w:t>
            </w:r>
          </w:p>
        </w:tc>
      </w:tr>
      <w:tr w14:paraId="0950B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660BEBA5">
            <w:pPr>
              <w:widowControl/>
              <w:spacing w:line="240" w:lineRule="auto"/>
              <w:ind w:firstLine="0" w:firstLineChars="0"/>
              <w:jc w:val="left"/>
              <w:rPr>
                <w:color w:val="auto"/>
                <w:kern w:val="0"/>
                <w:sz w:val="21"/>
                <w:szCs w:val="21"/>
              </w:rPr>
            </w:pPr>
          </w:p>
        </w:tc>
        <w:tc>
          <w:tcPr>
            <w:tcW w:w="1461" w:type="pct"/>
            <w:shd w:val="clear" w:color="auto" w:fill="auto"/>
            <w:vAlign w:val="center"/>
          </w:tcPr>
          <w:p w14:paraId="725BFBFE">
            <w:pPr>
              <w:widowControl/>
              <w:spacing w:line="240" w:lineRule="auto"/>
              <w:ind w:firstLine="0" w:firstLineChars="0"/>
              <w:jc w:val="center"/>
              <w:rPr>
                <w:color w:val="auto"/>
                <w:kern w:val="0"/>
                <w:sz w:val="21"/>
                <w:szCs w:val="21"/>
              </w:rPr>
            </w:pPr>
            <w:r>
              <w:rPr>
                <w:color w:val="auto"/>
                <w:kern w:val="0"/>
                <w:sz w:val="21"/>
                <w:szCs w:val="21"/>
              </w:rPr>
              <w:t>阳离子交换量（cmol/kg）</w:t>
            </w:r>
          </w:p>
        </w:tc>
        <w:tc>
          <w:tcPr>
            <w:tcW w:w="3318" w:type="pct"/>
            <w:gridSpan w:val="3"/>
            <w:shd w:val="clear" w:color="auto" w:fill="auto"/>
            <w:vAlign w:val="center"/>
          </w:tcPr>
          <w:p w14:paraId="4DDF446C">
            <w:pPr>
              <w:widowControl/>
              <w:spacing w:line="240" w:lineRule="auto"/>
              <w:ind w:firstLine="0" w:firstLineChars="0"/>
              <w:jc w:val="center"/>
              <w:rPr>
                <w:color w:val="auto"/>
                <w:kern w:val="0"/>
                <w:sz w:val="21"/>
                <w:szCs w:val="21"/>
              </w:rPr>
            </w:pPr>
            <w:r>
              <w:rPr>
                <w:rFonts w:hint="eastAsia"/>
                <w:color w:val="auto"/>
                <w:kern w:val="0"/>
                <w:sz w:val="21"/>
                <w:szCs w:val="21"/>
              </w:rPr>
              <w:t>10.3</w:t>
            </w:r>
          </w:p>
        </w:tc>
      </w:tr>
      <w:tr w14:paraId="37944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782AA250">
            <w:pPr>
              <w:widowControl/>
              <w:spacing w:line="240" w:lineRule="auto"/>
              <w:ind w:firstLine="0" w:firstLineChars="0"/>
              <w:jc w:val="left"/>
              <w:rPr>
                <w:color w:val="auto"/>
                <w:kern w:val="0"/>
                <w:sz w:val="21"/>
                <w:szCs w:val="21"/>
              </w:rPr>
            </w:pPr>
          </w:p>
        </w:tc>
        <w:tc>
          <w:tcPr>
            <w:tcW w:w="1461" w:type="pct"/>
            <w:shd w:val="clear" w:color="auto" w:fill="auto"/>
            <w:vAlign w:val="center"/>
          </w:tcPr>
          <w:p w14:paraId="16A1E042">
            <w:pPr>
              <w:widowControl/>
              <w:spacing w:line="240" w:lineRule="auto"/>
              <w:ind w:firstLine="0" w:firstLineChars="0"/>
              <w:jc w:val="center"/>
              <w:rPr>
                <w:color w:val="auto"/>
                <w:kern w:val="0"/>
                <w:sz w:val="21"/>
                <w:szCs w:val="21"/>
              </w:rPr>
            </w:pPr>
            <w:r>
              <w:rPr>
                <w:color w:val="auto"/>
                <w:kern w:val="0"/>
                <w:sz w:val="21"/>
                <w:szCs w:val="21"/>
              </w:rPr>
              <w:t>氧化还原电位（mV）</w:t>
            </w:r>
          </w:p>
        </w:tc>
        <w:tc>
          <w:tcPr>
            <w:tcW w:w="3318" w:type="pct"/>
            <w:gridSpan w:val="3"/>
            <w:shd w:val="clear" w:color="auto" w:fill="auto"/>
            <w:vAlign w:val="center"/>
          </w:tcPr>
          <w:p w14:paraId="5B250DEE">
            <w:pPr>
              <w:widowControl/>
              <w:spacing w:line="240" w:lineRule="auto"/>
              <w:ind w:firstLine="0" w:firstLineChars="0"/>
              <w:jc w:val="center"/>
              <w:rPr>
                <w:color w:val="auto"/>
                <w:kern w:val="0"/>
                <w:sz w:val="21"/>
                <w:szCs w:val="21"/>
              </w:rPr>
            </w:pPr>
            <w:r>
              <w:rPr>
                <w:rFonts w:hint="eastAsia"/>
                <w:color w:val="auto"/>
                <w:kern w:val="0"/>
                <w:sz w:val="21"/>
                <w:szCs w:val="21"/>
              </w:rPr>
              <w:t>282</w:t>
            </w:r>
          </w:p>
        </w:tc>
      </w:tr>
      <w:tr w14:paraId="60FCA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4E9B9226">
            <w:pPr>
              <w:widowControl/>
              <w:spacing w:line="240" w:lineRule="auto"/>
              <w:ind w:firstLine="0" w:firstLineChars="0"/>
              <w:jc w:val="left"/>
              <w:rPr>
                <w:color w:val="auto"/>
                <w:kern w:val="0"/>
                <w:sz w:val="21"/>
                <w:szCs w:val="21"/>
              </w:rPr>
            </w:pPr>
          </w:p>
        </w:tc>
        <w:tc>
          <w:tcPr>
            <w:tcW w:w="1461" w:type="pct"/>
            <w:shd w:val="clear" w:color="auto" w:fill="auto"/>
            <w:vAlign w:val="center"/>
          </w:tcPr>
          <w:p w14:paraId="4142ADB2">
            <w:pPr>
              <w:widowControl/>
              <w:spacing w:line="240" w:lineRule="auto"/>
              <w:ind w:firstLine="0" w:firstLineChars="0"/>
              <w:jc w:val="center"/>
              <w:rPr>
                <w:color w:val="auto"/>
                <w:kern w:val="0"/>
                <w:sz w:val="21"/>
                <w:szCs w:val="21"/>
              </w:rPr>
            </w:pPr>
            <w:r>
              <w:rPr>
                <w:color w:val="auto"/>
                <w:kern w:val="0"/>
                <w:sz w:val="21"/>
                <w:szCs w:val="21"/>
              </w:rPr>
              <w:t>渗滤率/（mm/min）</w:t>
            </w:r>
          </w:p>
        </w:tc>
        <w:tc>
          <w:tcPr>
            <w:tcW w:w="3318" w:type="pct"/>
            <w:gridSpan w:val="3"/>
            <w:shd w:val="clear" w:color="auto" w:fill="auto"/>
            <w:vAlign w:val="center"/>
          </w:tcPr>
          <w:p w14:paraId="360E631A">
            <w:pPr>
              <w:widowControl/>
              <w:spacing w:line="240" w:lineRule="auto"/>
              <w:ind w:firstLine="0" w:firstLineChars="0"/>
              <w:jc w:val="center"/>
              <w:rPr>
                <w:color w:val="auto"/>
                <w:kern w:val="0"/>
                <w:sz w:val="21"/>
                <w:szCs w:val="21"/>
              </w:rPr>
            </w:pPr>
            <w:r>
              <w:rPr>
                <w:rFonts w:hint="eastAsia"/>
                <w:color w:val="auto"/>
                <w:kern w:val="0"/>
                <w:sz w:val="21"/>
                <w:szCs w:val="21"/>
              </w:rPr>
              <w:t>1.10</w:t>
            </w:r>
          </w:p>
        </w:tc>
      </w:tr>
      <w:tr w14:paraId="34A7A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5712A0E9">
            <w:pPr>
              <w:widowControl/>
              <w:spacing w:line="240" w:lineRule="auto"/>
              <w:ind w:firstLine="0" w:firstLineChars="0"/>
              <w:jc w:val="left"/>
              <w:rPr>
                <w:color w:val="auto"/>
                <w:kern w:val="0"/>
                <w:sz w:val="21"/>
                <w:szCs w:val="21"/>
              </w:rPr>
            </w:pPr>
          </w:p>
        </w:tc>
        <w:tc>
          <w:tcPr>
            <w:tcW w:w="1461" w:type="pct"/>
            <w:shd w:val="clear" w:color="auto" w:fill="auto"/>
            <w:vAlign w:val="center"/>
          </w:tcPr>
          <w:p w14:paraId="00B3EADB">
            <w:pPr>
              <w:widowControl/>
              <w:spacing w:line="240" w:lineRule="auto"/>
              <w:ind w:firstLine="0" w:firstLineChars="0"/>
              <w:jc w:val="center"/>
              <w:rPr>
                <w:color w:val="auto"/>
                <w:kern w:val="0"/>
                <w:sz w:val="21"/>
                <w:szCs w:val="21"/>
              </w:rPr>
            </w:pPr>
            <w:r>
              <w:rPr>
                <w:color w:val="auto"/>
                <w:kern w:val="0"/>
                <w:sz w:val="21"/>
                <w:szCs w:val="21"/>
              </w:rPr>
              <w:t>土壤容重/（kg/m</w:t>
            </w:r>
            <w:r>
              <w:rPr>
                <w:color w:val="auto"/>
                <w:kern w:val="0"/>
                <w:sz w:val="21"/>
                <w:szCs w:val="21"/>
                <w:vertAlign w:val="superscript"/>
              </w:rPr>
              <w:t>3</w:t>
            </w:r>
            <w:r>
              <w:rPr>
                <w:color w:val="auto"/>
                <w:kern w:val="0"/>
                <w:sz w:val="21"/>
                <w:szCs w:val="21"/>
              </w:rPr>
              <w:t>）</w:t>
            </w:r>
          </w:p>
        </w:tc>
        <w:tc>
          <w:tcPr>
            <w:tcW w:w="3318" w:type="pct"/>
            <w:gridSpan w:val="3"/>
            <w:shd w:val="clear" w:color="auto" w:fill="auto"/>
            <w:vAlign w:val="center"/>
          </w:tcPr>
          <w:p w14:paraId="11458FBB">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52</w:t>
            </w:r>
          </w:p>
        </w:tc>
      </w:tr>
      <w:tr w14:paraId="039AF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9" w:type="pct"/>
            <w:vMerge w:val="continue"/>
            <w:vAlign w:val="center"/>
          </w:tcPr>
          <w:p w14:paraId="1EBC3EC3">
            <w:pPr>
              <w:widowControl/>
              <w:spacing w:line="240" w:lineRule="auto"/>
              <w:ind w:firstLine="0" w:firstLineChars="0"/>
              <w:jc w:val="left"/>
              <w:rPr>
                <w:color w:val="auto"/>
                <w:kern w:val="0"/>
                <w:sz w:val="21"/>
                <w:szCs w:val="21"/>
              </w:rPr>
            </w:pPr>
          </w:p>
        </w:tc>
        <w:tc>
          <w:tcPr>
            <w:tcW w:w="1461" w:type="pct"/>
            <w:shd w:val="clear" w:color="auto" w:fill="auto"/>
            <w:vAlign w:val="center"/>
          </w:tcPr>
          <w:p w14:paraId="36C07A72">
            <w:pPr>
              <w:widowControl/>
              <w:spacing w:line="240" w:lineRule="auto"/>
              <w:ind w:firstLine="0" w:firstLineChars="0"/>
              <w:jc w:val="center"/>
              <w:rPr>
                <w:color w:val="auto"/>
                <w:kern w:val="0"/>
                <w:sz w:val="21"/>
                <w:szCs w:val="21"/>
              </w:rPr>
            </w:pPr>
            <w:r>
              <w:rPr>
                <w:color w:val="auto"/>
                <w:kern w:val="0"/>
                <w:sz w:val="21"/>
                <w:szCs w:val="21"/>
              </w:rPr>
              <w:t>孔隙度（%）</w:t>
            </w:r>
          </w:p>
        </w:tc>
        <w:tc>
          <w:tcPr>
            <w:tcW w:w="3318" w:type="pct"/>
            <w:gridSpan w:val="3"/>
            <w:shd w:val="clear" w:color="auto" w:fill="auto"/>
            <w:vAlign w:val="center"/>
          </w:tcPr>
          <w:p w14:paraId="11264112">
            <w:pPr>
              <w:widowControl/>
              <w:spacing w:line="240" w:lineRule="auto"/>
              <w:ind w:firstLine="0" w:firstLineChars="0"/>
              <w:jc w:val="center"/>
              <w:rPr>
                <w:color w:val="auto"/>
                <w:kern w:val="0"/>
                <w:sz w:val="21"/>
                <w:szCs w:val="21"/>
              </w:rPr>
            </w:pPr>
            <w:r>
              <w:rPr>
                <w:rFonts w:hint="eastAsia"/>
                <w:color w:val="auto"/>
                <w:kern w:val="0"/>
                <w:sz w:val="21"/>
                <w:szCs w:val="21"/>
              </w:rPr>
              <w:t>39.7</w:t>
            </w:r>
          </w:p>
        </w:tc>
      </w:tr>
    </w:tbl>
    <w:p w14:paraId="6BDB2D1E">
      <w:pPr>
        <w:ind w:firstLine="480"/>
        <w:rPr>
          <w:color w:val="auto"/>
        </w:rPr>
      </w:pPr>
    </w:p>
    <w:bookmarkEnd w:id="131"/>
    <w:p w14:paraId="256895AB">
      <w:pPr>
        <w:ind w:firstLine="480"/>
        <w:rPr>
          <w:color w:val="auto"/>
          <w:szCs w:val="28"/>
        </w:rPr>
        <w:sectPr>
          <w:pgSz w:w="11907" w:h="16840"/>
          <w:pgMar w:top="1361" w:right="1361" w:bottom="1361" w:left="1361" w:header="851" w:footer="992" w:gutter="0"/>
          <w:cols w:space="720" w:num="1"/>
          <w:docGrid w:linePitch="326" w:charSpace="0"/>
        </w:sectPr>
      </w:pPr>
    </w:p>
    <w:p w14:paraId="1684C972">
      <w:pPr>
        <w:spacing w:before="120" w:beforeLines="50"/>
        <w:ind w:firstLine="0" w:firstLineChars="0"/>
        <w:jc w:val="left"/>
        <w:outlineLvl w:val="3"/>
        <w:rPr>
          <w:b/>
          <w:color w:val="auto"/>
        </w:rPr>
      </w:pPr>
      <w:r>
        <w:rPr>
          <w:rFonts w:hint="eastAsia"/>
          <w:b/>
          <w:color w:val="auto"/>
        </w:rPr>
        <w:t>5</w:t>
      </w:r>
      <w:r>
        <w:rPr>
          <w:b/>
          <w:color w:val="auto"/>
        </w:rPr>
        <w:t>.2.4.3 土壤环境质量现状评价</w:t>
      </w:r>
    </w:p>
    <w:p w14:paraId="7F30DE98">
      <w:pPr>
        <w:ind w:firstLine="480"/>
        <w:rPr>
          <w:color w:val="auto"/>
          <w:szCs w:val="28"/>
        </w:rPr>
      </w:pPr>
      <w:r>
        <w:rPr>
          <w:color w:val="auto"/>
          <w:szCs w:val="28"/>
        </w:rPr>
        <w:t>（1）评价标准</w:t>
      </w:r>
    </w:p>
    <w:p w14:paraId="10D878AA">
      <w:pPr>
        <w:ind w:firstLine="480"/>
        <w:rPr>
          <w:color w:val="auto"/>
          <w:szCs w:val="28"/>
        </w:rPr>
      </w:pPr>
      <w:r>
        <w:rPr>
          <w:color w:val="auto"/>
          <w:szCs w:val="28"/>
        </w:rPr>
        <w:t>土壤环境执行</w:t>
      </w:r>
      <w:r>
        <w:rPr>
          <w:color w:val="auto"/>
        </w:rPr>
        <w:t>《土壤环境质量标准 建设用地土壤污染风险管控标准（试行）》（GB36600-2018）第二类用地类型标准值</w:t>
      </w:r>
      <w:r>
        <w:rPr>
          <w:color w:val="auto"/>
          <w:szCs w:val="28"/>
        </w:rPr>
        <w:t>。</w:t>
      </w:r>
    </w:p>
    <w:p w14:paraId="5B99C695">
      <w:pPr>
        <w:ind w:firstLine="480"/>
        <w:rPr>
          <w:color w:val="auto"/>
          <w:szCs w:val="28"/>
        </w:rPr>
      </w:pPr>
      <w:r>
        <w:rPr>
          <w:color w:val="auto"/>
          <w:szCs w:val="28"/>
        </w:rPr>
        <w:t>（2）土壤监测结果与评价</w:t>
      </w:r>
    </w:p>
    <w:p w14:paraId="35641E24">
      <w:pPr>
        <w:ind w:firstLine="480"/>
        <w:rPr>
          <w:color w:val="auto"/>
          <w:szCs w:val="28"/>
        </w:rPr>
      </w:pPr>
      <w:r>
        <w:rPr>
          <w:color w:val="auto"/>
          <w:szCs w:val="28"/>
        </w:rPr>
        <w:t>土壤环境质量现状监测及评价结果见表</w:t>
      </w:r>
      <w:r>
        <w:rPr>
          <w:rFonts w:hint="eastAsia"/>
          <w:color w:val="auto"/>
          <w:szCs w:val="28"/>
        </w:rPr>
        <w:t>5.2.4-4</w:t>
      </w:r>
      <w:r>
        <w:rPr>
          <w:color w:val="auto"/>
          <w:szCs w:val="28"/>
        </w:rPr>
        <w:t>。</w:t>
      </w:r>
    </w:p>
    <w:p w14:paraId="5CE52704">
      <w:pPr>
        <w:spacing w:line="240" w:lineRule="auto"/>
        <w:ind w:firstLine="0" w:firstLineChars="0"/>
        <w:jc w:val="center"/>
        <w:rPr>
          <w:color w:val="auto"/>
          <w:szCs w:val="28"/>
        </w:rPr>
      </w:pPr>
      <w:r>
        <w:rPr>
          <w:b/>
          <w:color w:val="auto"/>
          <w:szCs w:val="28"/>
        </w:rPr>
        <w:t>表</w:t>
      </w:r>
      <w:r>
        <w:rPr>
          <w:rFonts w:hint="eastAsia"/>
          <w:b/>
          <w:color w:val="auto"/>
          <w:szCs w:val="28"/>
        </w:rPr>
        <w:t>5.2.4-4（a）</w:t>
      </w:r>
      <w:r>
        <w:rPr>
          <w:b/>
          <w:color w:val="auto"/>
          <w:szCs w:val="28"/>
        </w:rPr>
        <w:t xml:space="preserve">  土壤环境质量现状监测及评价结果表</w:t>
      </w:r>
    </w:p>
    <w:tbl>
      <w:tblPr>
        <w:tblStyle w:val="88"/>
        <w:tblW w:w="4998" w:type="pct"/>
        <w:tblInd w:w="0" w:type="dxa"/>
        <w:tblLayout w:type="autofit"/>
        <w:tblCellMar>
          <w:top w:w="0" w:type="dxa"/>
          <w:left w:w="108" w:type="dxa"/>
          <w:bottom w:w="0" w:type="dxa"/>
          <w:right w:w="108" w:type="dxa"/>
        </w:tblCellMar>
      </w:tblPr>
      <w:tblGrid>
        <w:gridCol w:w="478"/>
        <w:gridCol w:w="1496"/>
        <w:gridCol w:w="693"/>
        <w:gridCol w:w="923"/>
        <w:gridCol w:w="960"/>
        <w:gridCol w:w="862"/>
        <w:gridCol w:w="983"/>
        <w:gridCol w:w="1003"/>
        <w:gridCol w:w="862"/>
        <w:gridCol w:w="983"/>
        <w:gridCol w:w="1003"/>
        <w:gridCol w:w="865"/>
        <w:gridCol w:w="986"/>
        <w:gridCol w:w="1004"/>
        <w:gridCol w:w="1227"/>
      </w:tblGrid>
      <w:tr w14:paraId="273D6862">
        <w:tblPrEx>
          <w:tblCellMar>
            <w:top w:w="0" w:type="dxa"/>
            <w:left w:w="108" w:type="dxa"/>
            <w:bottom w:w="0" w:type="dxa"/>
            <w:right w:w="108" w:type="dxa"/>
          </w:tblCellMar>
        </w:tblPrEx>
        <w:trPr>
          <w:trHeight w:val="398" w:hRule="atLeast"/>
        </w:trPr>
        <w:tc>
          <w:tcPr>
            <w:tcW w:w="168" w:type="pct"/>
            <w:vMerge w:val="restart"/>
            <w:tcBorders>
              <w:top w:val="single" w:color="auto" w:sz="12" w:space="0"/>
              <w:left w:val="nil"/>
              <w:bottom w:val="single" w:color="auto" w:sz="4" w:space="0"/>
              <w:right w:val="single" w:color="auto" w:sz="4" w:space="0"/>
            </w:tcBorders>
            <w:shd w:val="clear" w:color="auto" w:fill="auto"/>
            <w:vAlign w:val="center"/>
          </w:tcPr>
          <w:p w14:paraId="5E16996C">
            <w:pPr>
              <w:widowControl/>
              <w:spacing w:line="240" w:lineRule="auto"/>
              <w:ind w:firstLine="0" w:firstLineChars="0"/>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序号</w:t>
            </w:r>
          </w:p>
        </w:tc>
        <w:tc>
          <w:tcPr>
            <w:tcW w:w="523"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24089D53">
            <w:pPr>
              <w:widowControl/>
              <w:spacing w:line="240" w:lineRule="auto"/>
              <w:ind w:firstLine="0" w:firstLineChars="0"/>
              <w:jc w:val="center"/>
              <w:textAlignment w:val="center"/>
              <w:rPr>
                <w:rFonts w:hint="eastAsia" w:ascii="宋体" w:hAnsi="宋体" w:cs="宋体"/>
                <w:b/>
                <w:bCs/>
                <w:color w:val="auto"/>
                <w:sz w:val="21"/>
                <w:szCs w:val="21"/>
              </w:rPr>
            </w:pPr>
            <w:r>
              <w:rPr>
                <w:rFonts w:hint="eastAsia" w:ascii="宋体" w:hAnsi="宋体" w:cs="宋体"/>
                <w:b/>
                <w:bCs/>
                <w:color w:val="auto"/>
                <w:sz w:val="21"/>
                <w:szCs w:val="21"/>
              </w:rPr>
              <w:t>项目</w:t>
            </w:r>
          </w:p>
          <w:p w14:paraId="798851DD">
            <w:pPr>
              <w:widowControl/>
              <w:spacing w:line="240" w:lineRule="auto"/>
              <w:ind w:firstLine="0" w:firstLineChars="0"/>
              <w:jc w:val="center"/>
              <w:textAlignment w:val="center"/>
              <w:rPr>
                <w:rFonts w:hint="eastAsia" w:ascii="宋体" w:hAnsi="宋体" w:cs="宋体"/>
                <w:b/>
                <w:bCs/>
                <w:color w:val="auto"/>
                <w:sz w:val="21"/>
                <w:szCs w:val="21"/>
              </w:rPr>
            </w:pPr>
            <w:r>
              <w:rPr>
                <w:rFonts w:hint="eastAsia" w:ascii="宋体" w:hAnsi="宋体" w:cs="宋体"/>
                <w:b/>
                <w:bCs/>
                <w:color w:val="auto"/>
                <w:sz w:val="21"/>
                <w:szCs w:val="21"/>
              </w:rPr>
              <w:t>采样深度</w:t>
            </w:r>
          </w:p>
        </w:tc>
        <w:tc>
          <w:tcPr>
            <w:tcW w:w="887" w:type="pct"/>
            <w:gridSpan w:val="3"/>
            <w:tcBorders>
              <w:top w:val="single" w:color="auto" w:sz="12" w:space="0"/>
              <w:left w:val="single" w:color="auto" w:sz="4" w:space="0"/>
              <w:bottom w:val="single" w:color="auto" w:sz="4" w:space="0"/>
              <w:right w:val="single" w:color="auto" w:sz="4" w:space="0"/>
            </w:tcBorders>
            <w:shd w:val="clear" w:color="auto" w:fill="auto"/>
            <w:vAlign w:val="center"/>
          </w:tcPr>
          <w:p w14:paraId="7DB98DE2">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T1</w:t>
            </w:r>
          </w:p>
        </w:tc>
        <w:tc>
          <w:tcPr>
            <w:tcW w:w="997" w:type="pct"/>
            <w:gridSpan w:val="3"/>
            <w:tcBorders>
              <w:top w:val="single" w:color="auto" w:sz="12" w:space="0"/>
              <w:left w:val="single" w:color="auto" w:sz="4" w:space="0"/>
              <w:bottom w:val="single" w:color="auto" w:sz="4" w:space="0"/>
              <w:right w:val="single" w:color="auto" w:sz="4" w:space="0"/>
            </w:tcBorders>
            <w:shd w:val="clear" w:color="auto" w:fill="auto"/>
            <w:vAlign w:val="center"/>
          </w:tcPr>
          <w:p w14:paraId="52850805">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T2</w:t>
            </w:r>
          </w:p>
        </w:tc>
        <w:tc>
          <w:tcPr>
            <w:tcW w:w="997" w:type="pct"/>
            <w:gridSpan w:val="3"/>
            <w:tcBorders>
              <w:top w:val="single" w:color="auto" w:sz="12" w:space="0"/>
              <w:left w:val="single" w:color="auto" w:sz="4" w:space="0"/>
              <w:bottom w:val="single" w:color="auto" w:sz="4" w:space="0"/>
              <w:right w:val="single" w:color="auto" w:sz="4" w:space="0"/>
            </w:tcBorders>
            <w:shd w:val="clear" w:color="auto" w:fill="auto"/>
            <w:vAlign w:val="center"/>
          </w:tcPr>
          <w:p w14:paraId="54917777">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T3</w:t>
            </w:r>
          </w:p>
        </w:tc>
        <w:tc>
          <w:tcPr>
            <w:tcW w:w="999" w:type="pct"/>
            <w:gridSpan w:val="3"/>
            <w:tcBorders>
              <w:top w:val="single" w:color="auto" w:sz="12" w:space="0"/>
              <w:left w:val="single" w:color="auto" w:sz="4" w:space="0"/>
              <w:bottom w:val="single" w:color="auto" w:sz="4" w:space="0"/>
              <w:right w:val="single" w:color="auto" w:sz="4" w:space="0"/>
            </w:tcBorders>
            <w:shd w:val="clear" w:color="auto" w:fill="auto"/>
            <w:vAlign w:val="center"/>
          </w:tcPr>
          <w:p w14:paraId="6BA0ED4A">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T4</w:t>
            </w:r>
          </w:p>
        </w:tc>
        <w:tc>
          <w:tcPr>
            <w:tcW w:w="425" w:type="pct"/>
            <w:vMerge w:val="restart"/>
            <w:tcBorders>
              <w:top w:val="single" w:color="auto" w:sz="12" w:space="0"/>
              <w:left w:val="single" w:color="auto" w:sz="4" w:space="0"/>
              <w:bottom w:val="single" w:color="auto" w:sz="4" w:space="0"/>
              <w:right w:val="nil"/>
            </w:tcBorders>
            <w:shd w:val="clear" w:color="auto" w:fill="auto"/>
            <w:vAlign w:val="center"/>
          </w:tcPr>
          <w:p w14:paraId="17BC20A7">
            <w:pPr>
              <w:widowControl/>
              <w:spacing w:line="240" w:lineRule="auto"/>
              <w:ind w:firstLine="0" w:firstLineChars="0"/>
              <w:jc w:val="center"/>
              <w:textAlignment w:val="center"/>
              <w:rPr>
                <w:rFonts w:hint="eastAsia" w:ascii="宋体" w:hAnsi="宋体" w:cs="宋体"/>
                <w:b/>
                <w:bCs/>
                <w:color w:val="auto"/>
                <w:sz w:val="21"/>
                <w:szCs w:val="21"/>
              </w:rPr>
            </w:pPr>
            <w:r>
              <w:rPr>
                <w:rFonts w:eastAsia="等线"/>
                <w:b/>
                <w:bCs/>
                <w:color w:val="auto"/>
                <w:kern w:val="0"/>
                <w:sz w:val="21"/>
                <w:szCs w:val="21"/>
                <w:lang w:bidi="ar"/>
              </w:rPr>
              <w:t>GB36600-2018</w:t>
            </w:r>
            <w:r>
              <w:rPr>
                <w:rFonts w:hint="eastAsia" w:ascii="宋体" w:hAnsi="宋体" w:cs="宋体"/>
                <w:b/>
                <w:bCs/>
                <w:color w:val="auto"/>
                <w:kern w:val="0"/>
                <w:sz w:val="21"/>
                <w:szCs w:val="21"/>
                <w:lang w:bidi="ar"/>
              </w:rPr>
              <w:t>第二类用地筛选值</w:t>
            </w:r>
          </w:p>
        </w:tc>
      </w:tr>
      <w:tr w14:paraId="32CBD13B">
        <w:tblPrEx>
          <w:tblCellMar>
            <w:top w:w="0" w:type="dxa"/>
            <w:left w:w="108" w:type="dxa"/>
            <w:bottom w:w="0" w:type="dxa"/>
            <w:right w:w="108" w:type="dxa"/>
          </w:tblCellMar>
        </w:tblPrEx>
        <w:trPr>
          <w:trHeight w:val="326" w:hRule="atLeast"/>
        </w:trPr>
        <w:tc>
          <w:tcPr>
            <w:tcW w:w="168" w:type="pct"/>
            <w:vMerge w:val="continue"/>
            <w:tcBorders>
              <w:top w:val="single" w:color="auto" w:sz="4" w:space="0"/>
              <w:left w:val="nil"/>
              <w:bottom w:val="single" w:color="auto" w:sz="4" w:space="0"/>
              <w:right w:val="single" w:color="auto" w:sz="4" w:space="0"/>
            </w:tcBorders>
            <w:shd w:val="clear" w:color="auto" w:fill="auto"/>
            <w:vAlign w:val="center"/>
          </w:tcPr>
          <w:p w14:paraId="79DA368A">
            <w:pPr>
              <w:widowControl/>
              <w:spacing w:line="240" w:lineRule="auto"/>
              <w:ind w:firstLine="0" w:firstLineChars="0"/>
              <w:jc w:val="center"/>
              <w:rPr>
                <w:rFonts w:hint="eastAsia" w:ascii="宋体" w:hAnsi="宋体" w:cs="宋体"/>
                <w:b/>
                <w:bCs/>
                <w:color w:val="auto"/>
                <w:sz w:val="21"/>
                <w:szCs w:val="21"/>
              </w:rPr>
            </w:pPr>
          </w:p>
        </w:tc>
        <w:tc>
          <w:tcPr>
            <w:tcW w:w="5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6B3C27">
            <w:pPr>
              <w:widowControl/>
              <w:spacing w:line="240" w:lineRule="auto"/>
              <w:ind w:firstLine="0" w:firstLineChars="0"/>
              <w:jc w:val="center"/>
              <w:textAlignment w:val="center"/>
              <w:rPr>
                <w:rFonts w:hint="eastAsia" w:ascii="宋体" w:hAnsi="宋体" w:cs="宋体"/>
                <w:b/>
                <w:bCs/>
                <w:color w:val="auto"/>
                <w:sz w:val="21"/>
                <w:szCs w:val="21"/>
              </w:rPr>
            </w:pP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03EF6CED">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0~0.5</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133281E3">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0.5~1.5</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3ADA760">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1.5~3.0</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7FAD36A">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0~0.5</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C8D2C33">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0.5~1.5</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EE57E31">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1.5~3.0</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526D33A">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0~0.5</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D821F1B">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0.5~1.5</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3F009C7">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1.5~3.0</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AB3EF42">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0~0.5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3EE9A42">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0.5~1.5</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3A0A34E">
            <w:pPr>
              <w:widowControl/>
              <w:spacing w:line="240" w:lineRule="auto"/>
              <w:ind w:firstLine="0" w:firstLineChars="0"/>
              <w:jc w:val="center"/>
              <w:textAlignment w:val="center"/>
              <w:rPr>
                <w:rFonts w:eastAsia="等线"/>
                <w:b/>
                <w:bCs/>
                <w:color w:val="auto"/>
                <w:sz w:val="21"/>
                <w:szCs w:val="21"/>
              </w:rPr>
            </w:pPr>
            <w:r>
              <w:rPr>
                <w:rFonts w:eastAsia="等线"/>
                <w:b/>
                <w:bCs/>
                <w:color w:val="auto"/>
                <w:kern w:val="0"/>
                <w:sz w:val="21"/>
                <w:szCs w:val="21"/>
                <w:lang w:bidi="ar"/>
              </w:rPr>
              <w:t>1.5~3.0</w:t>
            </w:r>
          </w:p>
        </w:tc>
        <w:tc>
          <w:tcPr>
            <w:tcW w:w="425" w:type="pct"/>
            <w:vMerge w:val="continue"/>
            <w:tcBorders>
              <w:top w:val="single" w:color="auto" w:sz="4" w:space="0"/>
              <w:left w:val="single" w:color="auto" w:sz="4" w:space="0"/>
              <w:bottom w:val="single" w:color="auto" w:sz="4" w:space="0"/>
              <w:right w:val="nil"/>
            </w:tcBorders>
            <w:shd w:val="clear" w:color="auto" w:fill="auto"/>
            <w:vAlign w:val="center"/>
          </w:tcPr>
          <w:p w14:paraId="14A5AC33">
            <w:pPr>
              <w:widowControl/>
              <w:spacing w:line="240" w:lineRule="auto"/>
              <w:ind w:firstLine="0" w:firstLineChars="0"/>
              <w:jc w:val="center"/>
              <w:textAlignment w:val="center"/>
              <w:rPr>
                <w:rFonts w:hint="eastAsia" w:ascii="宋体" w:hAnsi="宋体" w:cs="宋体"/>
                <w:b/>
                <w:bCs/>
                <w:color w:val="auto"/>
                <w:sz w:val="21"/>
                <w:szCs w:val="21"/>
              </w:rPr>
            </w:pPr>
          </w:p>
        </w:tc>
      </w:tr>
      <w:tr w14:paraId="2C6F24C5">
        <w:tblPrEx>
          <w:tblCellMar>
            <w:top w:w="0" w:type="dxa"/>
            <w:left w:w="108" w:type="dxa"/>
            <w:bottom w:w="0" w:type="dxa"/>
            <w:right w:w="108" w:type="dxa"/>
          </w:tblCellMar>
        </w:tblPrEx>
        <w:trPr>
          <w:trHeight w:val="2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5026A0D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4F470B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pH</w:t>
            </w:r>
            <w:r>
              <w:rPr>
                <w:rFonts w:hint="eastAsia" w:ascii="宋体" w:hAnsi="宋体" w:cs="宋体"/>
                <w:color w:val="auto"/>
                <w:kern w:val="0"/>
                <w:sz w:val="21"/>
                <w:szCs w:val="21"/>
                <w:lang w:bidi="ar"/>
              </w:rPr>
              <w:t>值</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094901E">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7.49</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3E69A9F0">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7.52</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6A92A43">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7.83</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2C73085">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7.79</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E9D329C">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7.43</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FAB71C6">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7.66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F38905F">
            <w:pPr>
              <w:spacing w:line="240" w:lineRule="auto"/>
              <w:ind w:firstLine="0" w:firstLineChars="0"/>
              <w:jc w:val="center"/>
              <w:rPr>
                <w:rFonts w:eastAsia="等线"/>
                <w:color w:val="auto"/>
                <w:sz w:val="21"/>
                <w:szCs w:val="21"/>
              </w:rPr>
            </w:pPr>
            <w:r>
              <w:rPr>
                <w:rFonts w:eastAsia="Times New Roman"/>
                <w:color w:val="auto"/>
                <w:sz w:val="21"/>
                <w:szCs w:val="21"/>
                <w:lang w:bidi="ar"/>
              </w:rPr>
              <w:t>7.55</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8076561">
            <w:pPr>
              <w:spacing w:line="240" w:lineRule="auto"/>
              <w:ind w:firstLine="0" w:firstLineChars="0"/>
              <w:jc w:val="center"/>
              <w:rPr>
                <w:rFonts w:eastAsia="等线"/>
                <w:color w:val="auto"/>
                <w:sz w:val="21"/>
                <w:szCs w:val="21"/>
              </w:rPr>
            </w:pPr>
            <w:r>
              <w:rPr>
                <w:rFonts w:eastAsia="Times New Roman"/>
                <w:color w:val="auto"/>
                <w:sz w:val="21"/>
                <w:szCs w:val="21"/>
                <w:lang w:bidi="ar"/>
              </w:rPr>
              <w:t>7.42</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EC8FE0C">
            <w:pPr>
              <w:spacing w:line="240" w:lineRule="auto"/>
              <w:ind w:firstLine="0" w:firstLineChars="0"/>
              <w:jc w:val="center"/>
              <w:rPr>
                <w:rFonts w:eastAsia="等线"/>
                <w:color w:val="auto"/>
                <w:sz w:val="21"/>
                <w:szCs w:val="21"/>
              </w:rPr>
            </w:pPr>
            <w:r>
              <w:rPr>
                <w:rFonts w:eastAsia="Times New Roman"/>
                <w:color w:val="auto"/>
                <w:sz w:val="21"/>
                <w:szCs w:val="21"/>
                <w:lang w:bidi="ar"/>
              </w:rPr>
              <w:t>7.53</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2FC6FAF6">
            <w:pPr>
              <w:spacing w:line="240" w:lineRule="auto"/>
              <w:ind w:firstLine="0" w:firstLineChars="0"/>
              <w:jc w:val="center"/>
              <w:rPr>
                <w:rFonts w:eastAsia="等线"/>
                <w:color w:val="auto"/>
                <w:sz w:val="21"/>
                <w:szCs w:val="21"/>
              </w:rPr>
            </w:pPr>
            <w:r>
              <w:rPr>
                <w:rFonts w:eastAsia="Times New Roman"/>
                <w:color w:val="auto"/>
                <w:sz w:val="21"/>
                <w:szCs w:val="21"/>
                <w:lang w:bidi="ar"/>
              </w:rPr>
              <w:t>7.46</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F9678B8">
            <w:pPr>
              <w:spacing w:line="240" w:lineRule="auto"/>
              <w:ind w:firstLine="0" w:firstLineChars="0"/>
              <w:jc w:val="center"/>
              <w:rPr>
                <w:rFonts w:eastAsia="等线"/>
                <w:color w:val="auto"/>
                <w:sz w:val="21"/>
                <w:szCs w:val="21"/>
              </w:rPr>
            </w:pPr>
            <w:r>
              <w:rPr>
                <w:rFonts w:eastAsia="Times New Roman"/>
                <w:color w:val="auto"/>
                <w:sz w:val="21"/>
                <w:szCs w:val="21"/>
                <w:lang w:bidi="ar"/>
              </w:rPr>
              <w:t>7.46</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4AA22461">
            <w:pPr>
              <w:widowControl/>
              <w:spacing w:line="240" w:lineRule="auto"/>
              <w:ind w:firstLine="0" w:firstLineChars="0"/>
              <w:jc w:val="center"/>
              <w:textAlignment w:val="center"/>
              <w:rPr>
                <w:rFonts w:eastAsia="等线"/>
                <w:color w:val="auto"/>
                <w:sz w:val="21"/>
                <w:szCs w:val="21"/>
              </w:rPr>
            </w:pPr>
            <w:r>
              <w:rPr>
                <w:rFonts w:eastAsia="Times New Roman"/>
                <w:color w:val="auto"/>
                <w:sz w:val="21"/>
                <w:lang w:bidi="ar"/>
              </w:rPr>
              <w:t>7.38</w:t>
            </w:r>
          </w:p>
        </w:tc>
        <w:tc>
          <w:tcPr>
            <w:tcW w:w="425" w:type="pct"/>
            <w:tcBorders>
              <w:top w:val="single" w:color="auto" w:sz="4" w:space="0"/>
              <w:left w:val="single" w:color="auto" w:sz="4" w:space="0"/>
              <w:bottom w:val="single" w:color="auto" w:sz="4" w:space="0"/>
              <w:right w:val="nil"/>
            </w:tcBorders>
            <w:shd w:val="clear" w:color="auto" w:fill="auto"/>
            <w:vAlign w:val="center"/>
          </w:tcPr>
          <w:p w14:paraId="495A68B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w:t>
            </w:r>
          </w:p>
        </w:tc>
      </w:tr>
      <w:tr w14:paraId="6CD1E1CF">
        <w:tblPrEx>
          <w:tblCellMar>
            <w:top w:w="0" w:type="dxa"/>
            <w:left w:w="108" w:type="dxa"/>
            <w:bottom w:w="0" w:type="dxa"/>
            <w:right w:w="108" w:type="dxa"/>
          </w:tblCellMar>
        </w:tblPrEx>
        <w:trPr>
          <w:trHeight w:val="9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EE2649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E390810">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铜</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CF70B2E">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26</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6C74B47B">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31</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43CCB8B">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27</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B596CE3">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20</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0B30EB0">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24</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047680E">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28</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E6FAD23">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D51FF91">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29</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DC62E39">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31</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6E824AA">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26</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2D34D12">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26</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5F409809">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30</w:t>
            </w:r>
          </w:p>
        </w:tc>
        <w:tc>
          <w:tcPr>
            <w:tcW w:w="425" w:type="pct"/>
            <w:tcBorders>
              <w:top w:val="single" w:color="auto" w:sz="4" w:space="0"/>
              <w:left w:val="single" w:color="auto" w:sz="4" w:space="0"/>
              <w:bottom w:val="single" w:color="auto" w:sz="4" w:space="0"/>
              <w:right w:val="nil"/>
            </w:tcBorders>
            <w:shd w:val="clear" w:color="auto" w:fill="auto"/>
            <w:vAlign w:val="center"/>
          </w:tcPr>
          <w:p w14:paraId="4C156BB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18000</w:t>
            </w:r>
          </w:p>
        </w:tc>
      </w:tr>
      <w:tr w14:paraId="6B9316CA">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4AD0A0F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3</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0BCB4D8">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铅</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2729F62">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29</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2592F12">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34</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26F8F6B">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CDDD976">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25</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5EC3254">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20</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153654E">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27</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762424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31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F9612BB">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23</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B5987D2">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27</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54BC4EBE">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24</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725A57D">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24</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5A4A9DC6">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29</w:t>
            </w:r>
          </w:p>
        </w:tc>
        <w:tc>
          <w:tcPr>
            <w:tcW w:w="425" w:type="pct"/>
            <w:tcBorders>
              <w:top w:val="single" w:color="auto" w:sz="4" w:space="0"/>
              <w:left w:val="single" w:color="auto" w:sz="4" w:space="0"/>
              <w:bottom w:val="single" w:color="auto" w:sz="4" w:space="0"/>
              <w:right w:val="nil"/>
            </w:tcBorders>
            <w:shd w:val="clear" w:color="auto" w:fill="auto"/>
            <w:vAlign w:val="center"/>
          </w:tcPr>
          <w:p w14:paraId="7B93AE4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900</w:t>
            </w:r>
          </w:p>
        </w:tc>
      </w:tr>
      <w:tr w14:paraId="511DA222">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04DE3A9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5C7AB2C2">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镍</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A2898A3">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28</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32748F17">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29</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CA23215">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31</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5682978">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24</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80BB243">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26</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3C2B417">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F83CB06">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25</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E10519D">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30</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317C2D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28</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219B4F0F">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E34C3D2">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22</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949332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27</w:t>
            </w:r>
          </w:p>
        </w:tc>
        <w:tc>
          <w:tcPr>
            <w:tcW w:w="425" w:type="pct"/>
            <w:tcBorders>
              <w:top w:val="single" w:color="auto" w:sz="4" w:space="0"/>
              <w:left w:val="single" w:color="auto" w:sz="4" w:space="0"/>
              <w:bottom w:val="single" w:color="auto" w:sz="4" w:space="0"/>
              <w:right w:val="nil"/>
            </w:tcBorders>
            <w:shd w:val="clear" w:color="auto" w:fill="auto"/>
            <w:vAlign w:val="center"/>
          </w:tcPr>
          <w:p w14:paraId="783CD75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800</w:t>
            </w:r>
          </w:p>
        </w:tc>
      </w:tr>
      <w:tr w14:paraId="27F55478">
        <w:tblPrEx>
          <w:tblCellMar>
            <w:top w:w="0" w:type="dxa"/>
            <w:left w:w="108" w:type="dxa"/>
            <w:bottom w:w="0" w:type="dxa"/>
            <w:right w:w="108" w:type="dxa"/>
          </w:tblCellMar>
        </w:tblPrEx>
        <w:trPr>
          <w:trHeight w:val="52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78E1CC7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96EC4F6">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镉</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7986B40E">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0.09</w:t>
            </w:r>
          </w:p>
        </w:tc>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14:paraId="3FB6811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0.16</w:t>
            </w:r>
          </w:p>
        </w:tc>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5783EB1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0.12</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ADF6623">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0.10</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75E4C2A">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0.08</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79CE66A">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0.13</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9402D59">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E189C0E">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0.15</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1278E11">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0.10</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581F8DD">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0.12</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16353C8F">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0.15</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361009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0.17</w:t>
            </w:r>
          </w:p>
        </w:tc>
        <w:tc>
          <w:tcPr>
            <w:tcW w:w="425" w:type="pct"/>
            <w:tcBorders>
              <w:top w:val="single" w:color="auto" w:sz="4" w:space="0"/>
              <w:left w:val="single" w:color="auto" w:sz="4" w:space="0"/>
              <w:bottom w:val="single" w:color="auto" w:sz="4" w:space="0"/>
              <w:right w:val="nil"/>
            </w:tcBorders>
            <w:shd w:val="clear" w:color="auto" w:fill="auto"/>
            <w:vAlign w:val="center"/>
          </w:tcPr>
          <w:p w14:paraId="0B611F2A">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65</w:t>
            </w:r>
          </w:p>
        </w:tc>
      </w:tr>
      <w:tr w14:paraId="608A2615">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09B63AA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EF45E26">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六价铬</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FCCB6F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1B93EF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55536B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121BA18">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5ECDE80">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B207551">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7419F31">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B84F1A5">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6370E6D">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9312A04">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E259AB1">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43AC5DD4">
            <w:pPr>
              <w:spacing w:line="240" w:lineRule="auto"/>
              <w:ind w:firstLine="0" w:firstLineChars="0"/>
              <w:jc w:val="center"/>
              <w:rPr>
                <w:rFonts w:eastAsia="等线"/>
                <w:color w:val="auto"/>
                <w:sz w:val="21"/>
                <w:szCs w:val="21"/>
              </w:rPr>
            </w:pPr>
            <w:r>
              <w:rPr>
                <w:rFonts w:eastAsia="Tahoma"/>
                <w:color w:val="auto"/>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46986C93">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5.7</w:t>
            </w:r>
          </w:p>
        </w:tc>
      </w:tr>
      <w:tr w14:paraId="188EF08C">
        <w:tblPrEx>
          <w:tblCellMar>
            <w:top w:w="0" w:type="dxa"/>
            <w:left w:w="108" w:type="dxa"/>
            <w:bottom w:w="0" w:type="dxa"/>
            <w:right w:w="108" w:type="dxa"/>
          </w:tblCellMar>
        </w:tblPrEx>
        <w:trPr>
          <w:trHeight w:val="286"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EE3D5F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7</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59317A6">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6FF35BD">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7.88</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7BD6602">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6.89</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27FF261B">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6.26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265A950">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7.58</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11D0AD4">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8.13</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235134E">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6.79</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93248DD">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6.64</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9222299">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7.39</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D961908">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7.80</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424B0C64">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7.43</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42732EA">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8.11</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7ED92BFF">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8.06</w:t>
            </w:r>
          </w:p>
        </w:tc>
        <w:tc>
          <w:tcPr>
            <w:tcW w:w="425" w:type="pct"/>
            <w:tcBorders>
              <w:top w:val="single" w:color="auto" w:sz="4" w:space="0"/>
              <w:left w:val="single" w:color="auto" w:sz="4" w:space="0"/>
              <w:bottom w:val="single" w:color="auto" w:sz="4" w:space="0"/>
              <w:right w:val="nil"/>
            </w:tcBorders>
            <w:shd w:val="clear" w:color="auto" w:fill="auto"/>
            <w:vAlign w:val="center"/>
          </w:tcPr>
          <w:p w14:paraId="6C79D28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w:t>
            </w:r>
            <w:r>
              <w:rPr>
                <w:rFonts w:hint="eastAsia" w:eastAsia="等线"/>
                <w:color w:val="auto"/>
                <w:kern w:val="0"/>
                <w:sz w:val="21"/>
                <w:szCs w:val="21"/>
                <w:lang w:bidi="ar"/>
              </w:rPr>
              <w:t>0</w:t>
            </w:r>
          </w:p>
        </w:tc>
      </w:tr>
      <w:tr w14:paraId="1BE82967">
        <w:tblPrEx>
          <w:tblCellMar>
            <w:top w:w="0" w:type="dxa"/>
            <w:left w:w="108" w:type="dxa"/>
            <w:bottom w:w="0" w:type="dxa"/>
            <w:right w:w="108" w:type="dxa"/>
          </w:tblCellMar>
        </w:tblPrEx>
        <w:trPr>
          <w:trHeight w:val="6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EAEDA7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8</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54FEE1A3">
            <w:pPr>
              <w:spacing w:line="240" w:lineRule="auto"/>
              <w:ind w:firstLine="0" w:firstLineChars="0"/>
              <w:jc w:val="center"/>
              <w:rPr>
                <w:rFonts w:hint="eastAsia" w:ascii="宋体" w:hAnsi="宋体" w:cs="宋体"/>
                <w:color w:val="auto"/>
                <w:sz w:val="21"/>
                <w:szCs w:val="21"/>
              </w:rPr>
            </w:pPr>
            <w:r>
              <w:rPr>
                <w:rFonts w:eastAsia="Times New Roman"/>
                <w:color w:val="auto"/>
                <w:sz w:val="21"/>
                <w:szCs w:val="21"/>
                <w:lang w:bidi="ar"/>
              </w:rPr>
              <w:t>汞</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51231A15">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0.106</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4AAC78BC">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0.113</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5A0ADB8">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0.127</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0355B7D">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0.154</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A03969C">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0.171</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6B5D476">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0.136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8A47B06">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0.159</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9106BF2">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0.125</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60A09CB">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0.133</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A267349">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0.164</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0217662">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0.136</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EC776A7">
            <w:pPr>
              <w:widowControl/>
              <w:spacing w:line="240" w:lineRule="auto"/>
              <w:ind w:firstLine="0" w:firstLineChars="0"/>
              <w:jc w:val="center"/>
              <w:textAlignment w:val="center"/>
              <w:rPr>
                <w:rFonts w:eastAsia="等线"/>
                <w:color w:val="auto"/>
                <w:sz w:val="21"/>
                <w:szCs w:val="21"/>
              </w:rPr>
            </w:pPr>
            <w:r>
              <w:rPr>
                <w:color w:val="auto"/>
                <w:kern w:val="0"/>
                <w:sz w:val="21"/>
                <w:szCs w:val="21"/>
                <w:lang w:bidi="ar"/>
              </w:rPr>
              <w:t>0.169</w:t>
            </w:r>
          </w:p>
        </w:tc>
        <w:tc>
          <w:tcPr>
            <w:tcW w:w="425" w:type="pct"/>
            <w:tcBorders>
              <w:top w:val="single" w:color="auto" w:sz="4" w:space="0"/>
              <w:left w:val="single" w:color="auto" w:sz="4" w:space="0"/>
              <w:bottom w:val="single" w:color="auto" w:sz="4" w:space="0"/>
              <w:right w:val="nil"/>
            </w:tcBorders>
            <w:shd w:val="clear" w:color="auto" w:fill="auto"/>
            <w:vAlign w:val="center"/>
          </w:tcPr>
          <w:p w14:paraId="351FB17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38</w:t>
            </w:r>
          </w:p>
        </w:tc>
      </w:tr>
      <w:tr w14:paraId="0150F06E">
        <w:tblPrEx>
          <w:tblCellMar>
            <w:top w:w="0" w:type="dxa"/>
            <w:left w:w="108" w:type="dxa"/>
            <w:bottom w:w="0" w:type="dxa"/>
            <w:right w:w="108" w:type="dxa"/>
          </w:tblCellMar>
        </w:tblPrEx>
        <w:trPr>
          <w:trHeight w:val="55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48921F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9</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BE900DD">
            <w:pPr>
              <w:widowControl/>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铝</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04D2C2A1">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bidi="ar"/>
              </w:rPr>
              <w:t>2.62</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48151A3">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bidi="ar"/>
              </w:rPr>
              <w:t>2.54</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025A812">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bidi="ar"/>
              </w:rPr>
              <w:t>2.75</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FAD6374">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2.41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9CD135D">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2.38</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B6C8F6F">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2.47</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EC75517">
            <w:pPr>
              <w:spacing w:line="240" w:lineRule="auto"/>
              <w:ind w:firstLine="0" w:firstLineChars="0"/>
              <w:jc w:val="center"/>
              <w:rPr>
                <w:rFonts w:eastAsia="等线"/>
                <w:color w:val="auto"/>
                <w:sz w:val="21"/>
                <w:szCs w:val="21"/>
              </w:rPr>
            </w:pPr>
            <w:r>
              <w:rPr>
                <w:rFonts w:eastAsia="Times New Roman"/>
                <w:color w:val="auto"/>
                <w:sz w:val="21"/>
                <w:szCs w:val="21"/>
                <w:lang w:bidi="ar"/>
              </w:rPr>
              <w:t>2.26</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0181CF0">
            <w:pPr>
              <w:spacing w:line="240" w:lineRule="auto"/>
              <w:ind w:firstLine="0" w:firstLineChars="0"/>
              <w:jc w:val="center"/>
              <w:rPr>
                <w:rFonts w:eastAsia="等线"/>
                <w:color w:val="auto"/>
                <w:sz w:val="21"/>
                <w:szCs w:val="21"/>
              </w:rPr>
            </w:pPr>
            <w:r>
              <w:rPr>
                <w:rFonts w:eastAsia="Times New Roman"/>
                <w:color w:val="auto"/>
                <w:sz w:val="21"/>
                <w:szCs w:val="21"/>
                <w:lang w:bidi="ar"/>
              </w:rPr>
              <w:t>2.73</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81AE4E7">
            <w:pPr>
              <w:spacing w:line="240" w:lineRule="auto"/>
              <w:ind w:firstLine="0" w:firstLineChars="0"/>
              <w:jc w:val="center"/>
              <w:rPr>
                <w:rFonts w:eastAsia="等线"/>
                <w:color w:val="auto"/>
                <w:sz w:val="21"/>
                <w:szCs w:val="21"/>
              </w:rPr>
            </w:pPr>
            <w:r>
              <w:rPr>
                <w:rFonts w:eastAsia="Times New Roman"/>
                <w:color w:val="auto"/>
                <w:sz w:val="21"/>
                <w:szCs w:val="21"/>
                <w:lang w:bidi="ar"/>
              </w:rPr>
              <w:t>2.47</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2ACC30DC">
            <w:pPr>
              <w:spacing w:line="240" w:lineRule="auto"/>
              <w:ind w:firstLine="0" w:firstLineChars="0"/>
              <w:jc w:val="center"/>
              <w:rPr>
                <w:rFonts w:eastAsia="等线"/>
                <w:color w:val="auto"/>
                <w:sz w:val="21"/>
                <w:szCs w:val="21"/>
              </w:rPr>
            </w:pPr>
            <w:r>
              <w:rPr>
                <w:rFonts w:eastAsia="Times New Roman"/>
                <w:color w:val="auto"/>
                <w:sz w:val="21"/>
                <w:szCs w:val="21"/>
                <w:lang w:bidi="ar"/>
              </w:rPr>
              <w:t>2.65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67B3193">
            <w:pPr>
              <w:spacing w:line="240" w:lineRule="auto"/>
              <w:ind w:firstLine="0" w:firstLineChars="0"/>
              <w:jc w:val="center"/>
              <w:rPr>
                <w:rFonts w:eastAsia="等线"/>
                <w:color w:val="auto"/>
                <w:sz w:val="21"/>
                <w:szCs w:val="21"/>
              </w:rPr>
            </w:pPr>
            <w:r>
              <w:rPr>
                <w:rFonts w:eastAsia="Times New Roman"/>
                <w:color w:val="auto"/>
                <w:sz w:val="21"/>
                <w:szCs w:val="21"/>
                <w:lang w:bidi="ar"/>
              </w:rPr>
              <w:t>2.47</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6F29C372">
            <w:pPr>
              <w:spacing w:line="240" w:lineRule="auto"/>
              <w:ind w:firstLine="0" w:firstLineChars="0"/>
              <w:jc w:val="center"/>
              <w:rPr>
                <w:rFonts w:eastAsia="等线"/>
                <w:color w:val="auto"/>
                <w:sz w:val="21"/>
                <w:szCs w:val="21"/>
              </w:rPr>
            </w:pPr>
            <w:r>
              <w:rPr>
                <w:rFonts w:eastAsia="Times New Roman"/>
                <w:color w:val="auto"/>
                <w:sz w:val="21"/>
                <w:szCs w:val="21"/>
                <w:lang w:bidi="ar"/>
              </w:rPr>
              <w:t>2.39</w:t>
            </w:r>
          </w:p>
        </w:tc>
        <w:tc>
          <w:tcPr>
            <w:tcW w:w="425" w:type="pct"/>
            <w:tcBorders>
              <w:top w:val="single" w:color="auto" w:sz="4" w:space="0"/>
              <w:left w:val="single" w:color="auto" w:sz="4" w:space="0"/>
              <w:bottom w:val="single" w:color="auto" w:sz="4" w:space="0"/>
              <w:right w:val="nil"/>
            </w:tcBorders>
            <w:shd w:val="clear" w:color="auto" w:fill="auto"/>
            <w:vAlign w:val="center"/>
          </w:tcPr>
          <w:p w14:paraId="303BCDBF">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w:t>
            </w:r>
          </w:p>
        </w:tc>
      </w:tr>
      <w:tr w14:paraId="39D4DE56">
        <w:tblPrEx>
          <w:tblCellMar>
            <w:top w:w="0" w:type="dxa"/>
            <w:left w:w="108" w:type="dxa"/>
            <w:bottom w:w="0" w:type="dxa"/>
            <w:right w:w="108" w:type="dxa"/>
          </w:tblCellMar>
        </w:tblPrEx>
        <w:trPr>
          <w:trHeight w:val="98"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19246FD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5E3A10A">
            <w:pPr>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石油烃</w:t>
            </w:r>
            <w:r>
              <w:rPr>
                <w:color w:val="auto"/>
                <w:sz w:val="21"/>
                <w:szCs w:val="21"/>
              </w:rPr>
              <w:t>（C10~C40）</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8A5CD5F">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9</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BC47157">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8</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A3D052A">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8</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1FBE35D">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8</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74E4F16">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9</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23CD2D7">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9</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2713F66">
            <w:pPr>
              <w:spacing w:line="240" w:lineRule="auto"/>
              <w:ind w:firstLine="0" w:firstLineChars="0"/>
              <w:jc w:val="center"/>
              <w:rPr>
                <w:rFonts w:eastAsia="等线"/>
                <w:color w:val="auto"/>
                <w:sz w:val="21"/>
                <w:szCs w:val="21"/>
              </w:rPr>
            </w:pPr>
            <w:r>
              <w:rPr>
                <w:rFonts w:eastAsia="Times New Roman"/>
                <w:color w:val="auto"/>
                <w:sz w:val="21"/>
                <w:szCs w:val="21"/>
                <w:lang w:bidi="ar"/>
              </w:rPr>
              <w:t>10</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D99F5DD">
            <w:pPr>
              <w:spacing w:line="240" w:lineRule="auto"/>
              <w:ind w:firstLine="0" w:firstLineChars="0"/>
              <w:jc w:val="center"/>
              <w:rPr>
                <w:rFonts w:eastAsia="等线"/>
                <w:color w:val="auto"/>
                <w:sz w:val="21"/>
                <w:szCs w:val="21"/>
              </w:rPr>
            </w:pPr>
            <w:r>
              <w:rPr>
                <w:rFonts w:eastAsia="Times New Roman"/>
                <w:color w:val="auto"/>
                <w:sz w:val="21"/>
                <w:szCs w:val="21"/>
                <w:lang w:bidi="ar"/>
              </w:rPr>
              <w:t>9</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679CF8A">
            <w:pPr>
              <w:spacing w:line="240" w:lineRule="auto"/>
              <w:ind w:firstLine="0" w:firstLineChars="0"/>
              <w:jc w:val="center"/>
              <w:rPr>
                <w:rFonts w:eastAsia="等线"/>
                <w:color w:val="auto"/>
                <w:sz w:val="21"/>
                <w:szCs w:val="21"/>
              </w:rPr>
            </w:pPr>
            <w:r>
              <w:rPr>
                <w:rFonts w:eastAsia="Times New Roman"/>
                <w:color w:val="auto"/>
                <w:sz w:val="21"/>
                <w:szCs w:val="21"/>
                <w:lang w:bidi="ar"/>
              </w:rPr>
              <w:t>8</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A1BBA12">
            <w:pPr>
              <w:spacing w:line="240" w:lineRule="auto"/>
              <w:ind w:firstLine="0" w:firstLineChars="0"/>
              <w:jc w:val="center"/>
              <w:rPr>
                <w:rFonts w:eastAsia="等线"/>
                <w:color w:val="auto"/>
                <w:sz w:val="21"/>
                <w:szCs w:val="21"/>
              </w:rPr>
            </w:pPr>
            <w:r>
              <w:rPr>
                <w:rFonts w:eastAsia="Times New Roman"/>
                <w:color w:val="auto"/>
                <w:sz w:val="21"/>
                <w:szCs w:val="21"/>
                <w:lang w:bidi="ar"/>
              </w:rPr>
              <w:t>9</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14BE35AF">
            <w:pPr>
              <w:spacing w:line="240" w:lineRule="auto"/>
              <w:ind w:firstLine="0" w:firstLineChars="0"/>
              <w:jc w:val="center"/>
              <w:rPr>
                <w:rFonts w:eastAsia="等线"/>
                <w:color w:val="auto"/>
                <w:sz w:val="21"/>
                <w:szCs w:val="21"/>
              </w:rPr>
            </w:pPr>
            <w:r>
              <w:rPr>
                <w:rFonts w:eastAsia="Times New Roman"/>
                <w:color w:val="auto"/>
                <w:sz w:val="21"/>
                <w:szCs w:val="21"/>
                <w:lang w:bidi="ar"/>
              </w:rPr>
              <w:t>7.36</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601E38D7">
            <w:pPr>
              <w:spacing w:line="240" w:lineRule="auto"/>
              <w:ind w:firstLine="0" w:firstLineChars="0"/>
              <w:jc w:val="center"/>
              <w:rPr>
                <w:rFonts w:eastAsia="等线"/>
                <w:color w:val="auto"/>
                <w:sz w:val="21"/>
                <w:szCs w:val="21"/>
              </w:rPr>
            </w:pPr>
            <w:r>
              <w:rPr>
                <w:rFonts w:eastAsia="Times New Roman"/>
                <w:color w:val="auto"/>
                <w:sz w:val="21"/>
                <w:szCs w:val="21"/>
                <w:lang w:bidi="ar"/>
              </w:rPr>
              <w:t>7.50</w:t>
            </w:r>
          </w:p>
        </w:tc>
        <w:tc>
          <w:tcPr>
            <w:tcW w:w="425" w:type="pct"/>
            <w:tcBorders>
              <w:top w:val="single" w:color="auto" w:sz="4" w:space="0"/>
              <w:left w:val="single" w:color="auto" w:sz="4" w:space="0"/>
              <w:bottom w:val="single" w:color="auto" w:sz="4" w:space="0"/>
              <w:right w:val="nil"/>
            </w:tcBorders>
            <w:shd w:val="clear" w:color="auto" w:fill="auto"/>
            <w:vAlign w:val="center"/>
          </w:tcPr>
          <w:p w14:paraId="027767C7">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4500</w:t>
            </w:r>
          </w:p>
        </w:tc>
      </w:tr>
      <w:tr w14:paraId="78185E72">
        <w:tblPrEx>
          <w:tblCellMar>
            <w:top w:w="0" w:type="dxa"/>
            <w:left w:w="108" w:type="dxa"/>
            <w:bottom w:w="0" w:type="dxa"/>
            <w:right w:w="108" w:type="dxa"/>
          </w:tblCellMar>
        </w:tblPrEx>
        <w:trPr>
          <w:trHeight w:val="273" w:hRule="atLeast"/>
        </w:trPr>
        <w:tc>
          <w:tcPr>
            <w:tcW w:w="5000" w:type="pct"/>
            <w:gridSpan w:val="15"/>
            <w:tcBorders>
              <w:top w:val="single" w:color="auto" w:sz="4" w:space="0"/>
              <w:left w:val="nil"/>
              <w:bottom w:val="single" w:color="auto" w:sz="4" w:space="0"/>
              <w:right w:val="nil"/>
            </w:tcBorders>
            <w:shd w:val="clear" w:color="auto" w:fill="auto"/>
            <w:vAlign w:val="center"/>
          </w:tcPr>
          <w:p w14:paraId="3662670E">
            <w:pPr>
              <w:widowControl/>
              <w:spacing w:line="240" w:lineRule="auto"/>
              <w:ind w:firstLine="0" w:firstLineChars="0"/>
              <w:jc w:val="center"/>
              <w:textAlignment w:val="center"/>
              <w:rPr>
                <w:rFonts w:hint="eastAsia" w:ascii="宋体" w:hAnsi="宋体" w:cs="宋体"/>
                <w:b/>
                <w:bCs/>
                <w:color w:val="auto"/>
                <w:sz w:val="21"/>
                <w:szCs w:val="21"/>
              </w:rPr>
            </w:pPr>
            <w:r>
              <w:rPr>
                <w:rFonts w:hint="eastAsia" w:ascii="宋体" w:hAnsi="宋体" w:cs="宋体"/>
                <w:b/>
                <w:bCs/>
                <w:color w:val="auto"/>
                <w:kern w:val="0"/>
                <w:sz w:val="21"/>
                <w:szCs w:val="21"/>
                <w:lang w:bidi="ar"/>
              </w:rPr>
              <w:t>挥发性有机物</w:t>
            </w:r>
          </w:p>
        </w:tc>
      </w:tr>
      <w:tr w14:paraId="31B6DA7A">
        <w:tblPrEx>
          <w:tblCellMar>
            <w:top w:w="0" w:type="dxa"/>
            <w:left w:w="108" w:type="dxa"/>
            <w:bottom w:w="0" w:type="dxa"/>
            <w:right w:w="108" w:type="dxa"/>
          </w:tblCellMar>
        </w:tblPrEx>
        <w:trPr>
          <w:trHeight w:val="39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59EC3DD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570E2A44">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四氯化碳</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55784A8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02CFA5A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31319F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ED7DCD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A40193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8144F8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E3B2A3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ED00AE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E3E0D5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D93886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FE45BD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6A4161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7FEFE87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2.8</w:t>
            </w:r>
          </w:p>
        </w:tc>
      </w:tr>
      <w:tr w14:paraId="628085BC">
        <w:tblPrEx>
          <w:tblCellMar>
            <w:top w:w="0" w:type="dxa"/>
            <w:left w:w="108" w:type="dxa"/>
            <w:bottom w:w="0" w:type="dxa"/>
            <w:right w:w="108" w:type="dxa"/>
          </w:tblCellMar>
        </w:tblPrEx>
        <w:trPr>
          <w:trHeight w:val="9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4EE856D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258F5E9">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氯仿</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9DECA2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2FD2FB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661BCC7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37F639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91C95C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8AC0D0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B7B9AE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FF385D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C613EE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9B5E7B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2868D1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EDF03F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6CA71FE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0.9</w:t>
            </w:r>
          </w:p>
        </w:tc>
      </w:tr>
      <w:tr w14:paraId="37196521">
        <w:tblPrEx>
          <w:tblCellMar>
            <w:top w:w="0" w:type="dxa"/>
            <w:left w:w="108" w:type="dxa"/>
            <w:bottom w:w="0" w:type="dxa"/>
            <w:right w:w="108" w:type="dxa"/>
          </w:tblCellMar>
        </w:tblPrEx>
        <w:trPr>
          <w:trHeight w:val="272"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779777C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3</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8DBF301">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氯甲烷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790626D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C0C9F6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0B4D281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A07A7D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2BEA06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61C32D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2D7F88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266B61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963DEF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576E021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2544F4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677245D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25EE03E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37</w:t>
            </w:r>
          </w:p>
        </w:tc>
      </w:tr>
      <w:tr w14:paraId="435B5149">
        <w:tblPrEx>
          <w:tblCellMar>
            <w:top w:w="0" w:type="dxa"/>
            <w:left w:w="108" w:type="dxa"/>
            <w:bottom w:w="0" w:type="dxa"/>
            <w:right w:w="108" w:type="dxa"/>
          </w:tblCellMar>
        </w:tblPrEx>
        <w:trPr>
          <w:trHeight w:val="347"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6449682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F2D466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w:t>
            </w:r>
            <w:r>
              <w:rPr>
                <w:rFonts w:hint="eastAsia" w:ascii="宋体" w:hAnsi="宋体" w:cs="宋体"/>
                <w:color w:val="auto"/>
                <w:kern w:val="0"/>
                <w:sz w:val="21"/>
                <w:szCs w:val="21"/>
                <w:lang w:bidi="ar"/>
              </w:rPr>
              <w:t>二氯乙烷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6F1E98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997D3D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0A731C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92E7CF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77D9E8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9373F6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787A87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A56752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1D8710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774943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E672C9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07268D8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6D1114E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9</w:t>
            </w:r>
          </w:p>
        </w:tc>
      </w:tr>
      <w:tr w14:paraId="4A11DB12">
        <w:tblPrEx>
          <w:tblCellMar>
            <w:top w:w="0" w:type="dxa"/>
            <w:left w:w="108" w:type="dxa"/>
            <w:bottom w:w="0" w:type="dxa"/>
            <w:right w:w="108" w:type="dxa"/>
          </w:tblCellMar>
        </w:tblPrEx>
        <w:trPr>
          <w:trHeight w:val="38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14A2B1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35632B4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w:t>
            </w:r>
            <w:r>
              <w:rPr>
                <w:rFonts w:hint="eastAsia" w:ascii="宋体" w:hAnsi="宋体" w:cs="宋体"/>
                <w:color w:val="auto"/>
                <w:kern w:val="0"/>
                <w:sz w:val="21"/>
                <w:szCs w:val="21"/>
                <w:lang w:bidi="ar"/>
              </w:rPr>
              <w:t>二氯乙烷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8811A0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4BD0CF2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24A78C4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ABDE88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28E16E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011549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3E5FE7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95EFEA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C5B4E8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55E1CF9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2E6AA0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7616A3C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D95776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w:t>
            </w:r>
          </w:p>
        </w:tc>
      </w:tr>
      <w:tr w14:paraId="49C51D46">
        <w:tblPrEx>
          <w:tblCellMar>
            <w:top w:w="0" w:type="dxa"/>
            <w:left w:w="108" w:type="dxa"/>
            <w:bottom w:w="0" w:type="dxa"/>
            <w:right w:w="108" w:type="dxa"/>
          </w:tblCellMar>
        </w:tblPrEx>
        <w:trPr>
          <w:trHeight w:val="38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A0E0DA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82F219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w:t>
            </w:r>
            <w:r>
              <w:rPr>
                <w:rFonts w:hint="eastAsia" w:ascii="宋体" w:hAnsi="宋体" w:cs="宋体"/>
                <w:color w:val="auto"/>
                <w:kern w:val="0"/>
                <w:sz w:val="21"/>
                <w:szCs w:val="21"/>
                <w:lang w:bidi="ar"/>
              </w:rPr>
              <w:t>二氯乙烯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4327F70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6F3D378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A887B1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0E789D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DA0889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2A540F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8B9C11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9321B4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24E216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2A65453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0A1E0B8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3DAE0A9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8DA4CE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66</w:t>
            </w:r>
          </w:p>
        </w:tc>
      </w:tr>
      <w:tr w14:paraId="726A5638">
        <w:tblPrEx>
          <w:tblCellMar>
            <w:top w:w="0" w:type="dxa"/>
            <w:left w:w="108" w:type="dxa"/>
            <w:bottom w:w="0" w:type="dxa"/>
            <w:right w:w="108" w:type="dxa"/>
          </w:tblCellMar>
        </w:tblPrEx>
        <w:trPr>
          <w:trHeight w:val="42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A00DAB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7</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DD3D24E">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顺式</w:t>
            </w:r>
            <w:r>
              <w:rPr>
                <w:color w:val="auto"/>
                <w:kern w:val="0"/>
                <w:sz w:val="21"/>
                <w:szCs w:val="21"/>
                <w:lang w:bidi="ar"/>
              </w:rPr>
              <w:t>-1,2-</w:t>
            </w:r>
            <w:r>
              <w:rPr>
                <w:rFonts w:hint="eastAsia" w:ascii="宋体" w:hAnsi="宋体" w:cs="宋体"/>
                <w:color w:val="auto"/>
                <w:kern w:val="0"/>
                <w:sz w:val="21"/>
                <w:szCs w:val="21"/>
                <w:lang w:bidi="ar"/>
              </w:rPr>
              <w:t>二氯乙烯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4237F82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837560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DEBC89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97B53D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B4C839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1606CC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B39E82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78B321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20DC97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5F5BE2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F8CD0A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082DABD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B26968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596</w:t>
            </w:r>
          </w:p>
        </w:tc>
      </w:tr>
      <w:tr w14:paraId="4FDB08D6">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747A889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8</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1BD8135B">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反式</w:t>
            </w:r>
            <w:r>
              <w:rPr>
                <w:color w:val="auto"/>
                <w:kern w:val="0"/>
                <w:sz w:val="21"/>
                <w:szCs w:val="21"/>
                <w:lang w:bidi="ar"/>
              </w:rPr>
              <w:t>-1,2-</w:t>
            </w:r>
            <w:r>
              <w:rPr>
                <w:rFonts w:hint="eastAsia" w:ascii="宋体" w:hAnsi="宋体" w:cs="宋体"/>
                <w:color w:val="auto"/>
                <w:kern w:val="0"/>
                <w:sz w:val="21"/>
                <w:szCs w:val="21"/>
                <w:lang w:bidi="ar"/>
              </w:rPr>
              <w:t>二氯乙烯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4B6B4A9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6E18ABF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388FB6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921FAA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798ECA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0BA6C9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AE5057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F0EB46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22C23C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6266020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E69AEB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3760CEA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17E5397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54</w:t>
            </w:r>
          </w:p>
        </w:tc>
      </w:tr>
      <w:tr w14:paraId="163B60C9">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0EEDBD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9</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673FE94">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二氯甲烷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AFA2DD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5ABD3BD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28AC88E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E0E01A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A6252C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90ED1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87E2AD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B3E427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E897AB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B35BF5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7FAF01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50D9305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7215EB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616</w:t>
            </w:r>
          </w:p>
        </w:tc>
      </w:tr>
      <w:tr w14:paraId="76EA5416">
        <w:tblPrEx>
          <w:tblCellMar>
            <w:top w:w="0" w:type="dxa"/>
            <w:left w:w="108" w:type="dxa"/>
            <w:bottom w:w="0" w:type="dxa"/>
            <w:right w:w="108" w:type="dxa"/>
          </w:tblCellMar>
        </w:tblPrEx>
        <w:trPr>
          <w:trHeight w:val="298"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7EFCAB6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3E47701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w:t>
            </w:r>
            <w:r>
              <w:rPr>
                <w:rFonts w:hint="eastAsia" w:ascii="宋体" w:hAnsi="宋体" w:cs="宋体"/>
                <w:color w:val="auto"/>
                <w:kern w:val="0"/>
                <w:sz w:val="21"/>
                <w:szCs w:val="21"/>
                <w:lang w:bidi="ar"/>
              </w:rPr>
              <w:t>二氯丙烷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55A42A0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15EE0CB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68699F3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70DF4A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D702F5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43D51A0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154A7A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7B0B07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06DEC2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408FC0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7B9F91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49642C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638B6D3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w:t>
            </w:r>
          </w:p>
        </w:tc>
      </w:tr>
      <w:tr w14:paraId="733A7C13">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16A8C02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2E0BB9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1,1,1,2-</w:t>
            </w:r>
            <w:r>
              <w:rPr>
                <w:rFonts w:hint="eastAsia" w:ascii="宋体" w:hAnsi="宋体" w:cs="宋体"/>
                <w:color w:val="auto"/>
                <w:kern w:val="0"/>
                <w:sz w:val="21"/>
                <w:szCs w:val="21"/>
                <w:lang w:bidi="ar"/>
              </w:rPr>
              <w:t>四氯乙烷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289496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47D1BB1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402ACC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5AA54B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27F9EF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502E21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AA9782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272850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E65F48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8636FA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19BE6C5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394F6BB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6E466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10</w:t>
            </w:r>
          </w:p>
        </w:tc>
      </w:tr>
      <w:tr w14:paraId="5DF66BE1">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5B6D7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26C468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1,1,2,2-</w:t>
            </w:r>
            <w:r>
              <w:rPr>
                <w:rFonts w:hint="eastAsia" w:ascii="宋体" w:hAnsi="宋体" w:cs="宋体"/>
                <w:color w:val="auto"/>
                <w:kern w:val="0"/>
                <w:sz w:val="21"/>
                <w:szCs w:val="21"/>
                <w:lang w:bidi="ar"/>
              </w:rPr>
              <w:t>四氯乙烷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EDB980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0964AB8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615F39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3300BD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542A19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83E65C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CD2DB5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036130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5845BF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51C7FE1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006AEA5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0AD7B8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A68B50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6.8</w:t>
            </w:r>
          </w:p>
        </w:tc>
      </w:tr>
      <w:tr w14:paraId="42F2844A">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5195891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13</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0B8A525">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四氯乙烯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76A4775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1E8280C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0F93DD4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69C344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18F231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B42479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8C1D0C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E729F4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E5664B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362206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6823FD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5DD9452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733E954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53</w:t>
            </w:r>
          </w:p>
        </w:tc>
      </w:tr>
      <w:tr w14:paraId="394C7CDD">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6CC9D22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158F7EF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1,1,1-</w:t>
            </w:r>
            <w:r>
              <w:rPr>
                <w:rFonts w:hint="eastAsia" w:ascii="宋体" w:hAnsi="宋体" w:cs="宋体"/>
                <w:color w:val="auto"/>
                <w:kern w:val="0"/>
                <w:sz w:val="21"/>
                <w:szCs w:val="21"/>
                <w:lang w:bidi="ar"/>
              </w:rPr>
              <w:t>三氯乙烷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D06226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F6248A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688AA90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A825FE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6A536B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B32087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97B973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5651F0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36427B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455291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2174B3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72ADB60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0D2E039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840</w:t>
            </w:r>
          </w:p>
        </w:tc>
      </w:tr>
      <w:tr w14:paraId="22AAD583">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465F0F4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15</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7DA5E0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1,1,2-</w:t>
            </w:r>
            <w:r>
              <w:rPr>
                <w:rFonts w:hint="eastAsia" w:ascii="宋体" w:hAnsi="宋体" w:cs="宋体"/>
                <w:color w:val="auto"/>
                <w:kern w:val="0"/>
                <w:sz w:val="21"/>
                <w:szCs w:val="21"/>
                <w:lang w:bidi="ar"/>
              </w:rPr>
              <w:t>三氯乙烷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1F560BB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430BFE7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E2CE6C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B9F37B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628466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221099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58791C6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9445B2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E6929E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37860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C1143F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6D69A7A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0951D02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2.8</w:t>
            </w:r>
          </w:p>
        </w:tc>
      </w:tr>
      <w:tr w14:paraId="19B4D09E">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0ECDD3A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16</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93DE8C4">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三氯乙烯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717700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4931D20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753185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9D93AC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DB11CE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EAF2C6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1482F4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949D2C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027703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4098F2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DC4BD0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F949FC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73C2F81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2.8</w:t>
            </w:r>
          </w:p>
        </w:tc>
      </w:tr>
      <w:tr w14:paraId="1D06FB3D">
        <w:tblPrEx>
          <w:tblCellMar>
            <w:top w:w="0" w:type="dxa"/>
            <w:left w:w="108" w:type="dxa"/>
            <w:bottom w:w="0" w:type="dxa"/>
            <w:right w:w="108" w:type="dxa"/>
          </w:tblCellMar>
        </w:tblPrEx>
        <w:trPr>
          <w:trHeight w:val="479"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48B408D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17</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3DC469A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1,2,3-</w:t>
            </w:r>
            <w:r>
              <w:rPr>
                <w:rFonts w:hint="eastAsia" w:ascii="宋体" w:hAnsi="宋体" w:cs="宋体"/>
                <w:color w:val="auto"/>
                <w:kern w:val="0"/>
                <w:sz w:val="21"/>
                <w:szCs w:val="21"/>
                <w:lang w:bidi="ar"/>
              </w:rPr>
              <w:t>三氯丙烷</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31669C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DE430D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6334BA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8EA168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76E9F6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9E6A11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FBDD0E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003416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7F1A57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6C65F99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1F25A9A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02EAD06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054AAE2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0.5</w:t>
            </w:r>
          </w:p>
        </w:tc>
      </w:tr>
      <w:tr w14:paraId="3E34CD01">
        <w:tblPrEx>
          <w:tblCellMar>
            <w:top w:w="0" w:type="dxa"/>
            <w:left w:w="108" w:type="dxa"/>
            <w:bottom w:w="0" w:type="dxa"/>
            <w:right w:w="108" w:type="dxa"/>
          </w:tblCellMar>
        </w:tblPrEx>
        <w:trPr>
          <w:trHeight w:val="33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FE1161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18</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9183645">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0E6DE1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13E281B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3979BF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A46C24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796C63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E3F62A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0B89AB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514A74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46293E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54D1E75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13A4618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43D392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BC5615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0.43</w:t>
            </w:r>
          </w:p>
        </w:tc>
      </w:tr>
      <w:tr w14:paraId="6A60D8C4">
        <w:tblPrEx>
          <w:tblCellMar>
            <w:top w:w="0" w:type="dxa"/>
            <w:left w:w="108" w:type="dxa"/>
            <w:bottom w:w="0" w:type="dxa"/>
            <w:right w:w="108" w:type="dxa"/>
          </w:tblCellMar>
        </w:tblPrEx>
        <w:trPr>
          <w:trHeight w:val="351"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0AA97D4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19</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336CA95">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080670C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A22249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0AE19C1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C2D772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741868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7D30E6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6DCA76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A0F5C1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4A4D666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65E5B2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CDBC9E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56DE4C0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2916CA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4</w:t>
            </w:r>
          </w:p>
        </w:tc>
      </w:tr>
      <w:tr w14:paraId="458DDD1A">
        <w:tblPrEx>
          <w:tblCellMar>
            <w:top w:w="0" w:type="dxa"/>
            <w:left w:w="108" w:type="dxa"/>
            <w:bottom w:w="0" w:type="dxa"/>
            <w:right w:w="108" w:type="dxa"/>
          </w:tblCellMar>
        </w:tblPrEx>
        <w:trPr>
          <w:trHeight w:val="36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068CC3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F7035B8">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氯苯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EC9D3D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5FD0026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9F9A8A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9C6CF3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B08BA6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8E34B6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2D03CF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9BF3F9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8F88E9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282991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7389CB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1E1E92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22B99B7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270</w:t>
            </w:r>
          </w:p>
        </w:tc>
      </w:tr>
      <w:tr w14:paraId="3986F9FD">
        <w:tblPrEx>
          <w:tblCellMar>
            <w:top w:w="0" w:type="dxa"/>
            <w:left w:w="108" w:type="dxa"/>
            <w:bottom w:w="0" w:type="dxa"/>
            <w:right w:w="108" w:type="dxa"/>
          </w:tblCellMar>
        </w:tblPrEx>
        <w:trPr>
          <w:trHeight w:val="637"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6E68031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21</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74C531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w:t>
            </w:r>
            <w:r>
              <w:rPr>
                <w:rFonts w:hint="eastAsia" w:ascii="宋体" w:hAnsi="宋体" w:cs="宋体"/>
                <w:color w:val="auto"/>
                <w:kern w:val="0"/>
                <w:sz w:val="21"/>
                <w:szCs w:val="21"/>
                <w:lang w:bidi="ar"/>
              </w:rPr>
              <w:t>二氯苯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61D68C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14AAEE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924CEB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41B84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EAD341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5B4099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6E1627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F8A487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709E42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2182827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6D4B27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48CFCD9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670EB01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560</w:t>
            </w:r>
          </w:p>
        </w:tc>
      </w:tr>
      <w:tr w14:paraId="16EB3A06">
        <w:tblPrEx>
          <w:tblCellMar>
            <w:top w:w="0" w:type="dxa"/>
            <w:left w:w="108" w:type="dxa"/>
            <w:bottom w:w="0" w:type="dxa"/>
            <w:right w:w="108" w:type="dxa"/>
          </w:tblCellMar>
        </w:tblPrEx>
        <w:trPr>
          <w:trHeight w:val="439"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0A31344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1CAE772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1,4-</w:t>
            </w:r>
            <w:r>
              <w:rPr>
                <w:rFonts w:hint="eastAsia" w:ascii="宋体" w:hAnsi="宋体" w:cs="宋体"/>
                <w:color w:val="auto"/>
                <w:kern w:val="0"/>
                <w:sz w:val="21"/>
                <w:szCs w:val="21"/>
                <w:lang w:bidi="ar"/>
              </w:rPr>
              <w:t>二氯苯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C1F0A2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DD68B2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2AA6694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D22D07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BA3699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716F7A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727E98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135F54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4E0F382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8E8F83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C8758F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4F6C75F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0EF638B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20</w:t>
            </w:r>
          </w:p>
        </w:tc>
      </w:tr>
      <w:tr w14:paraId="3EFC7409">
        <w:tblPrEx>
          <w:tblCellMar>
            <w:top w:w="0" w:type="dxa"/>
            <w:left w:w="108" w:type="dxa"/>
            <w:bottom w:w="0" w:type="dxa"/>
            <w:right w:w="108" w:type="dxa"/>
          </w:tblCellMar>
        </w:tblPrEx>
        <w:trPr>
          <w:trHeight w:val="406"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591DB4B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23</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3AAEE0E">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乙苯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F7B688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C66BE6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CA3D68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468DF3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6481E6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7C3B5C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A20808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BEEDB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56513D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1B78CE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9A64E2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C119AF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A71E8C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28</w:t>
            </w:r>
          </w:p>
        </w:tc>
      </w:tr>
      <w:tr w14:paraId="02B76036">
        <w:tblPrEx>
          <w:tblCellMar>
            <w:top w:w="0" w:type="dxa"/>
            <w:left w:w="108" w:type="dxa"/>
            <w:bottom w:w="0" w:type="dxa"/>
            <w:right w:w="108" w:type="dxa"/>
          </w:tblCellMar>
        </w:tblPrEx>
        <w:trPr>
          <w:trHeight w:val="323"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75FC514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BC668EE">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苯乙烯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5B45A6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62FC5F6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06E4F1A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817311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CC40E2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85F1E1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4116BB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B5DF06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DDD27C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84B5D7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4E4CD70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74E2D22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CA435F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1290</w:t>
            </w:r>
          </w:p>
        </w:tc>
      </w:tr>
      <w:tr w14:paraId="79D28132">
        <w:tblPrEx>
          <w:tblCellMar>
            <w:top w:w="0" w:type="dxa"/>
            <w:left w:w="108" w:type="dxa"/>
            <w:bottom w:w="0" w:type="dxa"/>
            <w:right w:w="108" w:type="dxa"/>
          </w:tblCellMar>
        </w:tblPrEx>
        <w:trPr>
          <w:trHeight w:val="31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4FF2A76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25</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B0DAFBB">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甲苯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471B6D1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023471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0F068A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1EB5A1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CEAD34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7B939B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7E80E4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C7889B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749109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90E77A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B1112B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908CB2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01677A7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1200</w:t>
            </w:r>
          </w:p>
        </w:tc>
      </w:tr>
      <w:tr w14:paraId="5617A8AD">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1BB3441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26</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7470A94">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间，对</w:t>
            </w:r>
            <w:r>
              <w:rPr>
                <w:color w:val="auto"/>
                <w:kern w:val="0"/>
                <w:sz w:val="21"/>
                <w:szCs w:val="21"/>
                <w:lang w:bidi="ar"/>
              </w:rPr>
              <w:t>-</w:t>
            </w:r>
            <w:r>
              <w:rPr>
                <w:rFonts w:hint="eastAsia" w:ascii="宋体" w:hAnsi="宋体" w:cs="宋体"/>
                <w:color w:val="auto"/>
                <w:kern w:val="0"/>
                <w:sz w:val="21"/>
                <w:szCs w:val="21"/>
                <w:lang w:bidi="ar"/>
              </w:rPr>
              <w:t>二甲苯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0B6DB7C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0B2FB88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0C753E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9EAD9F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1B823F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04932D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32F659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C58AD9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10856F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7FE1FA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0B10E0D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18DB70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4B2454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570</w:t>
            </w:r>
          </w:p>
        </w:tc>
      </w:tr>
      <w:tr w14:paraId="7A8A1B67">
        <w:tblPrEx>
          <w:tblCellMar>
            <w:top w:w="0" w:type="dxa"/>
            <w:left w:w="108" w:type="dxa"/>
            <w:bottom w:w="0" w:type="dxa"/>
            <w:right w:w="108" w:type="dxa"/>
          </w:tblCellMar>
        </w:tblPrEx>
        <w:trPr>
          <w:trHeight w:val="31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64AEDB6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27</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324B1A0">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邻二甲苯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51BF167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ACE078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D02E11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282FC0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60BD1B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E7846C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73FDAB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7B7898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7231BF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8F3AC9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0731E87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0B0DB0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BCE75C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640</w:t>
            </w:r>
          </w:p>
        </w:tc>
      </w:tr>
      <w:tr w14:paraId="7AE47306">
        <w:tblPrEx>
          <w:tblCellMar>
            <w:top w:w="0" w:type="dxa"/>
            <w:left w:w="108" w:type="dxa"/>
            <w:bottom w:w="0" w:type="dxa"/>
            <w:right w:w="108" w:type="dxa"/>
          </w:tblCellMar>
        </w:tblPrEx>
        <w:trPr>
          <w:trHeight w:val="300" w:hRule="atLeast"/>
        </w:trPr>
        <w:tc>
          <w:tcPr>
            <w:tcW w:w="5000" w:type="pct"/>
            <w:gridSpan w:val="15"/>
            <w:tcBorders>
              <w:top w:val="single" w:color="auto" w:sz="4" w:space="0"/>
              <w:left w:val="nil"/>
              <w:bottom w:val="single" w:color="auto" w:sz="4" w:space="0"/>
              <w:right w:val="nil"/>
            </w:tcBorders>
            <w:shd w:val="clear" w:color="auto" w:fill="auto"/>
            <w:vAlign w:val="center"/>
          </w:tcPr>
          <w:p w14:paraId="1F4A27C5">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b/>
                <w:bCs/>
                <w:color w:val="auto"/>
                <w:kern w:val="0"/>
                <w:sz w:val="21"/>
                <w:szCs w:val="21"/>
                <w:lang w:bidi="ar"/>
              </w:rPr>
              <w:t>半挥发性有机物</w:t>
            </w:r>
          </w:p>
        </w:tc>
      </w:tr>
      <w:tr w14:paraId="3256D3D3">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91DB1C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33AF2CA">
            <w:pPr>
              <w:widowControl/>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苯胺</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781301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21F7E6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D414CA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D255EE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DB5C5E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17581B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3FEF54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714282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4B55B3C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31DE3E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606BAC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3B38072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6F768EF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260</w:t>
            </w:r>
          </w:p>
        </w:tc>
      </w:tr>
      <w:tr w14:paraId="248F82F5">
        <w:tblPrEx>
          <w:tblCellMar>
            <w:top w:w="0" w:type="dxa"/>
            <w:left w:w="108" w:type="dxa"/>
            <w:bottom w:w="0" w:type="dxa"/>
            <w:right w:w="108" w:type="dxa"/>
          </w:tblCellMar>
        </w:tblPrEx>
        <w:trPr>
          <w:trHeight w:val="31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48090D8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1E58157C">
            <w:pPr>
              <w:widowControl/>
              <w:spacing w:line="240" w:lineRule="auto"/>
              <w:ind w:firstLine="0" w:firstLineChars="0"/>
              <w:jc w:val="center"/>
              <w:textAlignment w:val="center"/>
              <w:rPr>
                <w:rFonts w:eastAsia="等线"/>
                <w:color w:val="auto"/>
                <w:sz w:val="21"/>
                <w:szCs w:val="21"/>
              </w:rPr>
            </w:pPr>
            <w:r>
              <w:rPr>
                <w:rFonts w:hint="eastAsia" w:ascii="宋体" w:hAnsi="宋体" w:cs="宋体"/>
                <w:color w:val="auto"/>
                <w:kern w:val="0"/>
                <w:sz w:val="21"/>
                <w:szCs w:val="21"/>
                <w:lang w:bidi="ar"/>
              </w:rPr>
              <w:t>硝基苯</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43D070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444186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6368CE0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6B3EB1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F4F567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1B5873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C10733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E1FD31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5F25E0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E0E9E6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1E0413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7332CCB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7EE4A4B4">
            <w:pPr>
              <w:widowControl/>
              <w:spacing w:line="240" w:lineRule="auto"/>
              <w:ind w:firstLine="0" w:firstLineChars="0"/>
              <w:jc w:val="center"/>
              <w:textAlignment w:val="center"/>
              <w:rPr>
                <w:rFonts w:eastAsia="等线"/>
                <w:color w:val="auto"/>
                <w:sz w:val="21"/>
                <w:szCs w:val="21"/>
              </w:rPr>
            </w:pPr>
            <w:r>
              <w:rPr>
                <w:rFonts w:hint="eastAsia" w:eastAsia="等线"/>
                <w:color w:val="auto"/>
                <w:sz w:val="21"/>
                <w:szCs w:val="21"/>
              </w:rPr>
              <w:t>76</w:t>
            </w:r>
          </w:p>
        </w:tc>
      </w:tr>
      <w:tr w14:paraId="2A665F94">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09FA45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3</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770149C">
            <w:pPr>
              <w:widowControl/>
              <w:spacing w:line="240" w:lineRule="auto"/>
              <w:ind w:firstLine="0" w:firstLineChars="0"/>
              <w:jc w:val="center"/>
              <w:textAlignment w:val="center"/>
              <w:rPr>
                <w:rFonts w:hint="eastAsia" w:ascii="宋体" w:hAnsi="宋体" w:cs="宋体"/>
                <w:color w:val="auto"/>
                <w:sz w:val="21"/>
                <w:szCs w:val="21"/>
              </w:rPr>
            </w:pPr>
            <w:r>
              <w:rPr>
                <w:rFonts w:eastAsia="等线"/>
                <w:color w:val="auto"/>
                <w:kern w:val="0"/>
                <w:sz w:val="21"/>
                <w:szCs w:val="21"/>
                <w:lang w:bidi="ar"/>
              </w:rPr>
              <w:t>2-</w:t>
            </w:r>
            <w:r>
              <w:rPr>
                <w:rFonts w:hint="eastAsia" w:ascii="宋体" w:hAnsi="宋体" w:cs="宋体"/>
                <w:color w:val="auto"/>
                <w:kern w:val="0"/>
                <w:sz w:val="21"/>
                <w:szCs w:val="21"/>
                <w:lang w:bidi="ar"/>
              </w:rPr>
              <w:t>氯酚</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1D3ACA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5093E9A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57845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20572F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617D82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BCC1E0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0A88C1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3D134C4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863598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066D65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DD9165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7C39BD5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4E22DC33">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2256</w:t>
            </w:r>
          </w:p>
        </w:tc>
      </w:tr>
      <w:tr w14:paraId="78C17169">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46D7C7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74BE66C">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苯并(a)蒽</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5D3A23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0303D24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44A7D38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569B52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358BB3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E122F0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AA2EC7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7578C8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64B68FA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4AB0C7A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AE7A23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347D8D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1655E867">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15</w:t>
            </w:r>
          </w:p>
        </w:tc>
      </w:tr>
      <w:tr w14:paraId="3A4F224D">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028B99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5</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565883D">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苯并(a)芘</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43285B9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E4E51A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D9F241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D37AD9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C0A642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5B0E2F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DFF08E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C06299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3774AB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627B4BA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F11ACA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5418F62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CA8298E">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1.5</w:t>
            </w:r>
          </w:p>
        </w:tc>
      </w:tr>
      <w:tr w14:paraId="5ABA48F1">
        <w:tblPrEx>
          <w:tblCellMar>
            <w:top w:w="0" w:type="dxa"/>
            <w:left w:w="108" w:type="dxa"/>
            <w:bottom w:w="0" w:type="dxa"/>
            <w:right w:w="108" w:type="dxa"/>
          </w:tblCellMar>
        </w:tblPrEx>
        <w:trPr>
          <w:trHeight w:val="30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08E3A52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6</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043F0C9">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苯并(b)荧蒽</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69790F2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64475DF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20EC2D1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F8B725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3AE9EB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D0CB3C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B5950C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C7BBAD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31BB322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57EF10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1F19FF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4D929B7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0C635B82">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15</w:t>
            </w:r>
          </w:p>
        </w:tc>
      </w:tr>
      <w:tr w14:paraId="38DDB10D">
        <w:tblPrEx>
          <w:tblCellMar>
            <w:top w:w="0" w:type="dxa"/>
            <w:left w:w="108" w:type="dxa"/>
            <w:bottom w:w="0" w:type="dxa"/>
            <w:right w:w="108" w:type="dxa"/>
          </w:tblCellMar>
        </w:tblPrEx>
        <w:trPr>
          <w:trHeight w:val="540"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78D20A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7</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3C2AEECD">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苯并(k)荧蒽</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56180E8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3F24BF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315A789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6D1E5F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D711BA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73E187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43CE4B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7F1E503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48F90A4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150B2E3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8F8BC3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2959415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602CFC7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15</w:t>
            </w:r>
            <w:r>
              <w:rPr>
                <w:rFonts w:hint="eastAsia" w:eastAsia="等线"/>
                <w:color w:val="auto"/>
                <w:kern w:val="0"/>
                <w:sz w:val="21"/>
                <w:szCs w:val="21"/>
                <w:lang w:bidi="ar"/>
              </w:rPr>
              <w:t>1</w:t>
            </w:r>
          </w:p>
        </w:tc>
      </w:tr>
      <w:tr w14:paraId="431C0823">
        <w:tblPrEx>
          <w:tblCellMar>
            <w:top w:w="0" w:type="dxa"/>
            <w:left w:w="108" w:type="dxa"/>
            <w:bottom w:w="0" w:type="dxa"/>
            <w:right w:w="108" w:type="dxa"/>
          </w:tblCellMar>
        </w:tblPrEx>
        <w:trPr>
          <w:trHeight w:val="272"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BDE216E">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8</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3B54D69">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䓛</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5D675D7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617920B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EE8730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690D07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C9B579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1E7C830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9BB02C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06673DD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41BCA3B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7CE0B2C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337C20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D1B6DD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4052C9F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w:t>
            </w:r>
            <w:r>
              <w:rPr>
                <w:rFonts w:hint="eastAsia" w:eastAsia="等线"/>
                <w:color w:val="auto"/>
                <w:kern w:val="0"/>
                <w:sz w:val="21"/>
                <w:szCs w:val="21"/>
                <w:lang w:bidi="ar"/>
              </w:rPr>
              <w:t>293</w:t>
            </w:r>
          </w:p>
        </w:tc>
      </w:tr>
      <w:tr w14:paraId="3FBC8E88">
        <w:tblPrEx>
          <w:tblCellMar>
            <w:top w:w="0" w:type="dxa"/>
            <w:left w:w="108" w:type="dxa"/>
            <w:bottom w:w="0" w:type="dxa"/>
            <w:right w:w="108" w:type="dxa"/>
          </w:tblCellMar>
        </w:tblPrEx>
        <w:trPr>
          <w:trHeight w:val="507"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2571120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9</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DCCDB1F">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二苯并(a,h)蒽</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36FF32E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77502DC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9F8A95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385799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296BA4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0B73F0A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9E43AD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3B233D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267B31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5F1D0092">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76ABD43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38F8AFB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37793394">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1.5</w:t>
            </w:r>
          </w:p>
        </w:tc>
      </w:tr>
      <w:tr w14:paraId="5D4B4BD1">
        <w:tblPrEx>
          <w:tblCellMar>
            <w:top w:w="0" w:type="dxa"/>
            <w:left w:w="108" w:type="dxa"/>
            <w:bottom w:w="0" w:type="dxa"/>
            <w:right w:w="108" w:type="dxa"/>
          </w:tblCellMar>
        </w:tblPrEx>
        <w:trPr>
          <w:trHeight w:val="555" w:hRule="atLeast"/>
        </w:trPr>
        <w:tc>
          <w:tcPr>
            <w:tcW w:w="168" w:type="pct"/>
            <w:tcBorders>
              <w:top w:val="single" w:color="auto" w:sz="4" w:space="0"/>
              <w:left w:val="nil"/>
              <w:bottom w:val="single" w:color="auto" w:sz="4" w:space="0"/>
              <w:right w:val="single" w:color="auto" w:sz="4" w:space="0"/>
            </w:tcBorders>
            <w:shd w:val="clear" w:color="auto" w:fill="auto"/>
            <w:vAlign w:val="center"/>
          </w:tcPr>
          <w:p w14:paraId="3FB4C21C">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148789AF">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kern w:val="0"/>
                <w:sz w:val="21"/>
                <w:szCs w:val="21"/>
                <w:lang w:bidi="ar"/>
              </w:rPr>
              <w:t>茚并(1,2,3-cd)芘</w:t>
            </w:r>
          </w:p>
        </w:tc>
        <w:tc>
          <w:tcPr>
            <w:tcW w:w="228" w:type="pct"/>
            <w:tcBorders>
              <w:top w:val="single" w:color="auto" w:sz="4" w:space="0"/>
              <w:left w:val="single" w:color="auto" w:sz="4" w:space="0"/>
              <w:bottom w:val="single" w:color="auto" w:sz="4" w:space="0"/>
              <w:right w:val="single" w:color="auto" w:sz="4" w:space="0"/>
            </w:tcBorders>
            <w:shd w:val="clear" w:color="auto" w:fill="auto"/>
            <w:vAlign w:val="center"/>
          </w:tcPr>
          <w:p w14:paraId="2EB9CC6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14:paraId="28E440E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57998B9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88D253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19DA083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5C79561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35E931E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E2B906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14:paraId="784FAF6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14:paraId="240A245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4220B7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4" w:space="0"/>
              <w:right w:val="single" w:color="auto" w:sz="4" w:space="0"/>
            </w:tcBorders>
            <w:shd w:val="clear" w:color="auto" w:fill="auto"/>
            <w:vAlign w:val="center"/>
          </w:tcPr>
          <w:p w14:paraId="191F45A7">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4" w:space="0"/>
              <w:right w:val="nil"/>
            </w:tcBorders>
            <w:shd w:val="clear" w:color="auto" w:fill="auto"/>
            <w:vAlign w:val="center"/>
          </w:tcPr>
          <w:p w14:paraId="5FBFD495">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15</w:t>
            </w:r>
          </w:p>
        </w:tc>
      </w:tr>
      <w:tr w14:paraId="1D9DE186">
        <w:tblPrEx>
          <w:tblCellMar>
            <w:top w:w="0" w:type="dxa"/>
            <w:left w:w="108" w:type="dxa"/>
            <w:bottom w:w="0" w:type="dxa"/>
            <w:right w:w="108" w:type="dxa"/>
          </w:tblCellMar>
        </w:tblPrEx>
        <w:trPr>
          <w:trHeight w:val="322" w:hRule="atLeast"/>
        </w:trPr>
        <w:tc>
          <w:tcPr>
            <w:tcW w:w="168" w:type="pct"/>
            <w:tcBorders>
              <w:top w:val="single" w:color="auto" w:sz="4" w:space="0"/>
              <w:left w:val="nil"/>
              <w:bottom w:val="single" w:color="auto" w:sz="12" w:space="0"/>
              <w:right w:val="single" w:color="auto" w:sz="4" w:space="0"/>
            </w:tcBorders>
            <w:shd w:val="clear" w:color="auto" w:fill="auto"/>
            <w:vAlign w:val="center"/>
          </w:tcPr>
          <w:p w14:paraId="2CA87C2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11</w:t>
            </w:r>
          </w:p>
        </w:tc>
        <w:tc>
          <w:tcPr>
            <w:tcW w:w="523" w:type="pct"/>
            <w:tcBorders>
              <w:top w:val="single" w:color="auto" w:sz="4" w:space="0"/>
              <w:left w:val="single" w:color="auto" w:sz="4" w:space="0"/>
              <w:bottom w:val="single" w:color="auto" w:sz="12" w:space="0"/>
              <w:right w:val="single" w:color="auto" w:sz="4" w:space="0"/>
            </w:tcBorders>
            <w:shd w:val="clear" w:color="auto" w:fill="auto"/>
            <w:vAlign w:val="center"/>
          </w:tcPr>
          <w:p w14:paraId="56AF94DF">
            <w:pPr>
              <w:widowControl/>
              <w:spacing w:line="240" w:lineRule="auto"/>
              <w:ind w:firstLine="0" w:firstLineChars="0"/>
              <w:jc w:val="center"/>
              <w:textAlignment w:val="center"/>
              <w:rPr>
                <w:rFonts w:hint="eastAsia" w:ascii="宋体" w:hAnsi="宋体" w:cs="宋体"/>
                <w:color w:val="auto"/>
                <w:sz w:val="21"/>
                <w:szCs w:val="21"/>
              </w:rPr>
            </w:pPr>
            <w:r>
              <w:rPr>
                <w:rFonts w:eastAsia="Times New Roman"/>
                <w:color w:val="auto"/>
                <w:sz w:val="21"/>
                <w:szCs w:val="21"/>
                <w:lang w:bidi="ar"/>
              </w:rPr>
              <w:t>萘</w:t>
            </w:r>
          </w:p>
        </w:tc>
        <w:tc>
          <w:tcPr>
            <w:tcW w:w="228" w:type="pct"/>
            <w:tcBorders>
              <w:top w:val="single" w:color="auto" w:sz="4" w:space="0"/>
              <w:left w:val="single" w:color="auto" w:sz="4" w:space="0"/>
              <w:bottom w:val="single" w:color="auto" w:sz="12" w:space="0"/>
              <w:right w:val="single" w:color="auto" w:sz="4" w:space="0"/>
            </w:tcBorders>
            <w:shd w:val="clear" w:color="auto" w:fill="auto"/>
            <w:vAlign w:val="center"/>
          </w:tcPr>
          <w:p w14:paraId="28EF0B66">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23" w:type="pct"/>
            <w:tcBorders>
              <w:top w:val="single" w:color="auto" w:sz="4" w:space="0"/>
              <w:left w:val="single" w:color="auto" w:sz="4" w:space="0"/>
              <w:bottom w:val="single" w:color="auto" w:sz="12" w:space="0"/>
              <w:right w:val="single" w:color="auto" w:sz="4" w:space="0"/>
            </w:tcBorders>
            <w:shd w:val="clear" w:color="auto" w:fill="auto"/>
            <w:vAlign w:val="center"/>
          </w:tcPr>
          <w:p w14:paraId="7595207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35" w:type="pct"/>
            <w:tcBorders>
              <w:top w:val="single" w:color="auto" w:sz="4" w:space="0"/>
              <w:left w:val="single" w:color="auto" w:sz="4" w:space="0"/>
              <w:bottom w:val="single" w:color="auto" w:sz="12" w:space="0"/>
              <w:right w:val="single" w:color="auto" w:sz="4" w:space="0"/>
            </w:tcBorders>
            <w:shd w:val="clear" w:color="auto" w:fill="auto"/>
            <w:vAlign w:val="center"/>
          </w:tcPr>
          <w:p w14:paraId="750B8251">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12" w:space="0"/>
              <w:right w:val="single" w:color="auto" w:sz="4" w:space="0"/>
            </w:tcBorders>
            <w:shd w:val="clear" w:color="auto" w:fill="auto"/>
            <w:vAlign w:val="center"/>
          </w:tcPr>
          <w:p w14:paraId="55935ED3">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12" w:space="0"/>
              <w:right w:val="single" w:color="auto" w:sz="4" w:space="0"/>
            </w:tcBorders>
            <w:shd w:val="clear" w:color="auto" w:fill="auto"/>
            <w:vAlign w:val="center"/>
          </w:tcPr>
          <w:p w14:paraId="11A9B92B">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12" w:space="0"/>
              <w:right w:val="single" w:color="auto" w:sz="4" w:space="0"/>
            </w:tcBorders>
            <w:shd w:val="clear" w:color="auto" w:fill="auto"/>
            <w:vAlign w:val="center"/>
          </w:tcPr>
          <w:p w14:paraId="37316B68">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2" w:type="pct"/>
            <w:tcBorders>
              <w:top w:val="single" w:color="auto" w:sz="4" w:space="0"/>
              <w:left w:val="single" w:color="auto" w:sz="4" w:space="0"/>
              <w:bottom w:val="single" w:color="auto" w:sz="12" w:space="0"/>
              <w:right w:val="single" w:color="auto" w:sz="4" w:space="0"/>
            </w:tcBorders>
            <w:shd w:val="clear" w:color="auto" w:fill="auto"/>
            <w:vAlign w:val="center"/>
          </w:tcPr>
          <w:p w14:paraId="7DF244E0">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4" w:type="pct"/>
            <w:tcBorders>
              <w:top w:val="single" w:color="auto" w:sz="4" w:space="0"/>
              <w:left w:val="single" w:color="auto" w:sz="4" w:space="0"/>
              <w:bottom w:val="single" w:color="auto" w:sz="12" w:space="0"/>
              <w:right w:val="single" w:color="auto" w:sz="4" w:space="0"/>
            </w:tcBorders>
            <w:shd w:val="clear" w:color="auto" w:fill="auto"/>
            <w:vAlign w:val="center"/>
          </w:tcPr>
          <w:p w14:paraId="52494C3F">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50" w:type="pct"/>
            <w:tcBorders>
              <w:top w:val="single" w:color="auto" w:sz="4" w:space="0"/>
              <w:left w:val="single" w:color="auto" w:sz="4" w:space="0"/>
              <w:bottom w:val="single" w:color="auto" w:sz="12" w:space="0"/>
              <w:right w:val="single" w:color="auto" w:sz="4" w:space="0"/>
            </w:tcBorders>
            <w:shd w:val="clear" w:color="auto" w:fill="auto"/>
            <w:vAlign w:val="center"/>
          </w:tcPr>
          <w:p w14:paraId="60FEE4E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03" w:type="pct"/>
            <w:tcBorders>
              <w:top w:val="single" w:color="auto" w:sz="4" w:space="0"/>
              <w:left w:val="single" w:color="auto" w:sz="4" w:space="0"/>
              <w:bottom w:val="single" w:color="auto" w:sz="12" w:space="0"/>
              <w:right w:val="single" w:color="auto" w:sz="4" w:space="0"/>
            </w:tcBorders>
            <w:shd w:val="clear" w:color="auto" w:fill="auto"/>
            <w:vAlign w:val="center"/>
          </w:tcPr>
          <w:p w14:paraId="2DA14259">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5" w:type="pct"/>
            <w:tcBorders>
              <w:top w:val="single" w:color="auto" w:sz="4" w:space="0"/>
              <w:left w:val="single" w:color="auto" w:sz="4" w:space="0"/>
              <w:bottom w:val="single" w:color="auto" w:sz="12" w:space="0"/>
              <w:right w:val="single" w:color="auto" w:sz="4" w:space="0"/>
            </w:tcBorders>
            <w:shd w:val="clear" w:color="auto" w:fill="auto"/>
            <w:vAlign w:val="center"/>
          </w:tcPr>
          <w:p w14:paraId="1E7B198A">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349" w:type="pct"/>
            <w:tcBorders>
              <w:top w:val="single" w:color="auto" w:sz="4" w:space="0"/>
              <w:left w:val="single" w:color="auto" w:sz="4" w:space="0"/>
              <w:bottom w:val="single" w:color="auto" w:sz="12" w:space="0"/>
              <w:right w:val="single" w:color="auto" w:sz="4" w:space="0"/>
            </w:tcBorders>
            <w:shd w:val="clear" w:color="auto" w:fill="auto"/>
            <w:vAlign w:val="center"/>
          </w:tcPr>
          <w:p w14:paraId="738F885D">
            <w:pPr>
              <w:widowControl/>
              <w:spacing w:line="240" w:lineRule="auto"/>
              <w:ind w:firstLine="0" w:firstLineChars="0"/>
              <w:jc w:val="center"/>
              <w:textAlignment w:val="center"/>
              <w:rPr>
                <w:rFonts w:eastAsia="等线"/>
                <w:color w:val="auto"/>
                <w:sz w:val="21"/>
                <w:szCs w:val="21"/>
              </w:rPr>
            </w:pPr>
            <w:r>
              <w:rPr>
                <w:rFonts w:eastAsia="等线"/>
                <w:color w:val="auto"/>
                <w:kern w:val="0"/>
                <w:sz w:val="21"/>
                <w:szCs w:val="21"/>
                <w:lang w:bidi="ar"/>
              </w:rPr>
              <w:t>ND</w:t>
            </w:r>
          </w:p>
        </w:tc>
        <w:tc>
          <w:tcPr>
            <w:tcW w:w="425" w:type="pct"/>
            <w:tcBorders>
              <w:top w:val="single" w:color="auto" w:sz="4" w:space="0"/>
              <w:left w:val="single" w:color="auto" w:sz="4" w:space="0"/>
              <w:bottom w:val="single" w:color="auto" w:sz="12" w:space="0"/>
              <w:right w:val="nil"/>
            </w:tcBorders>
            <w:shd w:val="clear" w:color="auto" w:fill="auto"/>
            <w:vAlign w:val="center"/>
          </w:tcPr>
          <w:p w14:paraId="646F51B1">
            <w:pPr>
              <w:widowControl/>
              <w:spacing w:line="240" w:lineRule="auto"/>
              <w:ind w:firstLine="0" w:firstLineChars="0"/>
              <w:jc w:val="center"/>
              <w:textAlignment w:val="center"/>
              <w:rPr>
                <w:rFonts w:eastAsia="等线"/>
                <w:color w:val="auto"/>
                <w:sz w:val="21"/>
                <w:szCs w:val="21"/>
              </w:rPr>
            </w:pPr>
            <w:r>
              <w:rPr>
                <w:rFonts w:hint="eastAsia" w:eastAsia="等线"/>
                <w:color w:val="auto"/>
                <w:kern w:val="0"/>
                <w:sz w:val="21"/>
                <w:szCs w:val="21"/>
                <w:lang w:bidi="ar"/>
              </w:rPr>
              <w:t>70</w:t>
            </w:r>
          </w:p>
        </w:tc>
      </w:tr>
    </w:tbl>
    <w:p w14:paraId="4CE18C93">
      <w:pPr>
        <w:spacing w:before="120" w:beforeLines="50" w:line="240" w:lineRule="auto"/>
        <w:ind w:firstLine="0" w:firstLineChars="0"/>
        <w:jc w:val="center"/>
        <w:rPr>
          <w:color w:val="auto"/>
          <w:szCs w:val="28"/>
        </w:rPr>
      </w:pPr>
      <w:r>
        <w:rPr>
          <w:b/>
          <w:color w:val="auto"/>
          <w:szCs w:val="28"/>
        </w:rPr>
        <w:t>表</w:t>
      </w:r>
      <w:r>
        <w:rPr>
          <w:rFonts w:hint="eastAsia"/>
          <w:b/>
          <w:color w:val="auto"/>
          <w:szCs w:val="28"/>
        </w:rPr>
        <w:t>5.2.4-4（b）</w:t>
      </w:r>
      <w:r>
        <w:rPr>
          <w:b/>
          <w:color w:val="auto"/>
          <w:szCs w:val="28"/>
        </w:rPr>
        <w:t xml:space="preserve">  土壤环境质量现状监测及评价结果表</w:t>
      </w:r>
    </w:p>
    <w:tbl>
      <w:tblPr>
        <w:tblStyle w:val="88"/>
        <w:tblW w:w="4996" w:type="pct"/>
        <w:tblInd w:w="0" w:type="dxa"/>
        <w:tblLayout w:type="fixed"/>
        <w:tblCellMar>
          <w:top w:w="0" w:type="dxa"/>
          <w:left w:w="108" w:type="dxa"/>
          <w:bottom w:w="0" w:type="dxa"/>
          <w:right w:w="108" w:type="dxa"/>
        </w:tblCellMar>
      </w:tblPr>
      <w:tblGrid>
        <w:gridCol w:w="660"/>
        <w:gridCol w:w="2035"/>
        <w:gridCol w:w="1131"/>
        <w:gridCol w:w="1151"/>
        <w:gridCol w:w="1175"/>
        <w:gridCol w:w="1131"/>
        <w:gridCol w:w="1151"/>
        <w:gridCol w:w="1151"/>
        <w:gridCol w:w="1131"/>
        <w:gridCol w:w="1043"/>
        <w:gridCol w:w="956"/>
        <w:gridCol w:w="1607"/>
      </w:tblGrid>
      <w:tr w14:paraId="0358561E">
        <w:tblPrEx>
          <w:tblCellMar>
            <w:top w:w="0" w:type="dxa"/>
            <w:left w:w="108" w:type="dxa"/>
            <w:bottom w:w="0" w:type="dxa"/>
            <w:right w:w="108" w:type="dxa"/>
          </w:tblCellMar>
        </w:tblPrEx>
        <w:trPr>
          <w:trHeight w:val="207" w:hRule="atLeast"/>
        </w:trPr>
        <w:tc>
          <w:tcPr>
            <w:tcW w:w="230" w:type="pct"/>
            <w:vMerge w:val="restart"/>
            <w:tcBorders>
              <w:top w:val="single" w:color="auto" w:sz="12" w:space="0"/>
              <w:left w:val="nil"/>
              <w:bottom w:val="single" w:color="000000" w:sz="8" w:space="0"/>
              <w:right w:val="single" w:color="auto" w:sz="8" w:space="0"/>
            </w:tcBorders>
            <w:shd w:val="clear" w:color="auto" w:fill="auto"/>
            <w:vAlign w:val="center"/>
          </w:tcPr>
          <w:p w14:paraId="03DAB467">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序号</w:t>
            </w:r>
          </w:p>
        </w:tc>
        <w:tc>
          <w:tcPr>
            <w:tcW w:w="710" w:type="pct"/>
            <w:vMerge w:val="restart"/>
            <w:tcBorders>
              <w:top w:val="single" w:color="auto" w:sz="12" w:space="0"/>
              <w:left w:val="nil"/>
              <w:right w:val="single" w:color="auto" w:sz="8" w:space="0"/>
            </w:tcBorders>
            <w:shd w:val="clear" w:color="auto" w:fill="auto"/>
            <w:vAlign w:val="center"/>
          </w:tcPr>
          <w:p w14:paraId="78479474">
            <w:pPr>
              <w:widowControl/>
              <w:spacing w:line="240" w:lineRule="auto"/>
              <w:ind w:firstLine="0" w:firstLineChars="0"/>
              <w:jc w:val="center"/>
              <w:textAlignment w:val="center"/>
              <w:rPr>
                <w:b/>
                <w:bCs/>
                <w:color w:val="auto"/>
                <w:sz w:val="21"/>
                <w:szCs w:val="21"/>
              </w:rPr>
            </w:pPr>
            <w:r>
              <w:rPr>
                <w:b/>
                <w:bCs/>
                <w:color w:val="auto"/>
                <w:sz w:val="21"/>
                <w:szCs w:val="21"/>
              </w:rPr>
              <w:t>项目</w:t>
            </w:r>
          </w:p>
          <w:p w14:paraId="6D171974">
            <w:pPr>
              <w:widowControl/>
              <w:spacing w:line="240" w:lineRule="auto"/>
              <w:ind w:firstLine="0" w:firstLineChars="0"/>
              <w:jc w:val="center"/>
              <w:textAlignment w:val="center"/>
              <w:rPr>
                <w:b/>
                <w:bCs/>
                <w:color w:val="auto"/>
                <w:sz w:val="21"/>
                <w:szCs w:val="21"/>
              </w:rPr>
            </w:pPr>
            <w:r>
              <w:rPr>
                <w:b/>
                <w:bCs/>
                <w:color w:val="auto"/>
                <w:sz w:val="21"/>
                <w:szCs w:val="21"/>
              </w:rPr>
              <w:t>采样深度</w:t>
            </w:r>
          </w:p>
        </w:tc>
        <w:tc>
          <w:tcPr>
            <w:tcW w:w="1207" w:type="pct"/>
            <w:gridSpan w:val="3"/>
            <w:tcBorders>
              <w:top w:val="single" w:color="auto" w:sz="12" w:space="0"/>
              <w:left w:val="nil"/>
              <w:bottom w:val="single" w:color="auto" w:sz="8" w:space="0"/>
              <w:right w:val="single" w:color="000000" w:sz="8" w:space="0"/>
            </w:tcBorders>
            <w:shd w:val="clear" w:color="auto" w:fill="auto"/>
            <w:vAlign w:val="center"/>
          </w:tcPr>
          <w:p w14:paraId="2A3865F6">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T5</w:t>
            </w:r>
          </w:p>
        </w:tc>
        <w:tc>
          <w:tcPr>
            <w:tcW w:w="395" w:type="pct"/>
            <w:tcBorders>
              <w:top w:val="single" w:color="auto" w:sz="12" w:space="0"/>
              <w:left w:val="nil"/>
              <w:bottom w:val="single" w:color="auto" w:sz="8" w:space="0"/>
              <w:right w:val="single" w:color="auto" w:sz="8" w:space="0"/>
            </w:tcBorders>
            <w:shd w:val="clear" w:color="auto" w:fill="auto"/>
            <w:vAlign w:val="center"/>
          </w:tcPr>
          <w:p w14:paraId="50AC5AB8">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T6</w:t>
            </w:r>
          </w:p>
        </w:tc>
        <w:tc>
          <w:tcPr>
            <w:tcW w:w="402" w:type="pct"/>
            <w:tcBorders>
              <w:top w:val="single" w:color="auto" w:sz="12" w:space="0"/>
              <w:left w:val="nil"/>
              <w:bottom w:val="single" w:color="auto" w:sz="8" w:space="0"/>
              <w:right w:val="single" w:color="auto" w:sz="8" w:space="0"/>
            </w:tcBorders>
            <w:shd w:val="clear" w:color="auto" w:fill="auto"/>
            <w:vAlign w:val="center"/>
          </w:tcPr>
          <w:p w14:paraId="7F21223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T7</w:t>
            </w:r>
          </w:p>
        </w:tc>
        <w:tc>
          <w:tcPr>
            <w:tcW w:w="402" w:type="pct"/>
            <w:tcBorders>
              <w:top w:val="single" w:color="auto" w:sz="12" w:space="0"/>
              <w:left w:val="nil"/>
              <w:bottom w:val="single" w:color="auto" w:sz="8" w:space="0"/>
              <w:right w:val="single" w:color="auto" w:sz="8" w:space="0"/>
            </w:tcBorders>
            <w:shd w:val="clear" w:color="auto" w:fill="auto"/>
            <w:vAlign w:val="center"/>
          </w:tcPr>
          <w:p w14:paraId="352A0B2B">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T8</w:t>
            </w:r>
          </w:p>
        </w:tc>
        <w:tc>
          <w:tcPr>
            <w:tcW w:w="395" w:type="pct"/>
            <w:tcBorders>
              <w:top w:val="single" w:color="auto" w:sz="12" w:space="0"/>
              <w:left w:val="nil"/>
              <w:bottom w:val="single" w:color="auto" w:sz="8" w:space="0"/>
              <w:right w:val="single" w:color="auto" w:sz="8" w:space="0"/>
            </w:tcBorders>
            <w:shd w:val="clear" w:color="auto" w:fill="auto"/>
            <w:vAlign w:val="center"/>
          </w:tcPr>
          <w:p w14:paraId="28FB4837">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T9</w:t>
            </w:r>
          </w:p>
        </w:tc>
        <w:tc>
          <w:tcPr>
            <w:tcW w:w="364" w:type="pct"/>
            <w:tcBorders>
              <w:top w:val="single" w:color="auto" w:sz="12" w:space="0"/>
              <w:left w:val="nil"/>
              <w:bottom w:val="single" w:color="auto" w:sz="8" w:space="0"/>
              <w:right w:val="single" w:color="auto" w:sz="8" w:space="0"/>
            </w:tcBorders>
            <w:shd w:val="clear" w:color="auto" w:fill="auto"/>
            <w:vAlign w:val="center"/>
          </w:tcPr>
          <w:p w14:paraId="4B0E266B">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T10</w:t>
            </w:r>
          </w:p>
        </w:tc>
        <w:tc>
          <w:tcPr>
            <w:tcW w:w="334" w:type="pct"/>
            <w:tcBorders>
              <w:top w:val="single" w:color="auto" w:sz="12" w:space="0"/>
              <w:left w:val="nil"/>
              <w:bottom w:val="single" w:color="auto" w:sz="8" w:space="0"/>
              <w:right w:val="single" w:color="auto" w:sz="8" w:space="0"/>
            </w:tcBorders>
            <w:shd w:val="clear" w:color="auto" w:fill="auto"/>
            <w:vAlign w:val="center"/>
          </w:tcPr>
          <w:p w14:paraId="78E4B8CD">
            <w:pPr>
              <w:widowControl/>
              <w:spacing w:line="240" w:lineRule="auto"/>
              <w:ind w:firstLine="0" w:firstLineChars="0"/>
              <w:jc w:val="center"/>
              <w:textAlignment w:val="center"/>
              <w:rPr>
                <w:b/>
                <w:bCs/>
                <w:color w:val="auto"/>
                <w:sz w:val="21"/>
                <w:szCs w:val="21"/>
              </w:rPr>
            </w:pPr>
            <w:r>
              <w:rPr>
                <w:b/>
                <w:bCs/>
                <w:color w:val="auto"/>
                <w:kern w:val="0"/>
                <w:sz w:val="21"/>
                <w:szCs w:val="21"/>
                <w:lang w:bidi="ar"/>
              </w:rPr>
              <w:t>T11</w:t>
            </w:r>
          </w:p>
        </w:tc>
        <w:tc>
          <w:tcPr>
            <w:tcW w:w="557" w:type="pct"/>
            <w:vMerge w:val="restart"/>
            <w:tcBorders>
              <w:top w:val="single" w:color="auto" w:sz="12" w:space="0"/>
              <w:left w:val="single" w:color="auto" w:sz="8" w:space="0"/>
              <w:bottom w:val="single" w:color="000000" w:sz="8" w:space="0"/>
              <w:right w:val="nil"/>
            </w:tcBorders>
            <w:shd w:val="clear" w:color="auto" w:fill="auto"/>
            <w:vAlign w:val="center"/>
          </w:tcPr>
          <w:p w14:paraId="799279D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GB36600-2018第二类用地筛选值</w:t>
            </w:r>
          </w:p>
        </w:tc>
      </w:tr>
      <w:tr w14:paraId="376AEC01">
        <w:tblPrEx>
          <w:tblCellMar>
            <w:top w:w="0" w:type="dxa"/>
            <w:left w:w="108" w:type="dxa"/>
            <w:bottom w:w="0" w:type="dxa"/>
            <w:right w:w="108" w:type="dxa"/>
          </w:tblCellMar>
        </w:tblPrEx>
        <w:trPr>
          <w:trHeight w:val="470" w:hRule="atLeast"/>
        </w:trPr>
        <w:tc>
          <w:tcPr>
            <w:tcW w:w="230" w:type="pct"/>
            <w:vMerge w:val="continue"/>
            <w:tcBorders>
              <w:top w:val="single" w:color="auto" w:sz="12" w:space="0"/>
              <w:left w:val="nil"/>
              <w:bottom w:val="single" w:color="000000" w:sz="8" w:space="0"/>
              <w:right w:val="single" w:color="auto" w:sz="8" w:space="0"/>
            </w:tcBorders>
            <w:shd w:val="clear" w:color="auto" w:fill="auto"/>
            <w:vAlign w:val="center"/>
          </w:tcPr>
          <w:p w14:paraId="6EEC74DE">
            <w:pPr>
              <w:widowControl/>
              <w:spacing w:line="240" w:lineRule="auto"/>
              <w:ind w:firstLine="0" w:firstLineChars="0"/>
              <w:jc w:val="center"/>
              <w:rPr>
                <w:b/>
                <w:bCs/>
                <w:color w:val="auto"/>
                <w:sz w:val="21"/>
                <w:szCs w:val="21"/>
              </w:rPr>
            </w:pPr>
          </w:p>
        </w:tc>
        <w:tc>
          <w:tcPr>
            <w:tcW w:w="710" w:type="pct"/>
            <w:vMerge w:val="continue"/>
            <w:tcBorders>
              <w:left w:val="nil"/>
              <w:bottom w:val="single" w:color="auto" w:sz="8" w:space="0"/>
              <w:right w:val="single" w:color="auto" w:sz="8" w:space="0"/>
            </w:tcBorders>
            <w:shd w:val="clear" w:color="auto" w:fill="auto"/>
            <w:vAlign w:val="center"/>
          </w:tcPr>
          <w:p w14:paraId="004C5CCB">
            <w:pPr>
              <w:widowControl/>
              <w:spacing w:line="240" w:lineRule="auto"/>
              <w:ind w:firstLine="0" w:firstLineChars="0"/>
              <w:jc w:val="center"/>
              <w:textAlignment w:val="center"/>
              <w:rPr>
                <w:b/>
                <w:bCs/>
                <w:color w:val="auto"/>
                <w:sz w:val="21"/>
                <w:szCs w:val="21"/>
              </w:rPr>
            </w:pPr>
          </w:p>
        </w:tc>
        <w:tc>
          <w:tcPr>
            <w:tcW w:w="395" w:type="pct"/>
            <w:tcBorders>
              <w:top w:val="nil"/>
              <w:left w:val="nil"/>
              <w:bottom w:val="single" w:color="auto" w:sz="8" w:space="0"/>
              <w:right w:val="single" w:color="auto" w:sz="8" w:space="0"/>
            </w:tcBorders>
            <w:shd w:val="clear" w:color="auto" w:fill="auto"/>
            <w:vAlign w:val="center"/>
          </w:tcPr>
          <w:p w14:paraId="0C9079D8">
            <w:pPr>
              <w:widowControl/>
              <w:spacing w:line="240" w:lineRule="auto"/>
              <w:ind w:firstLine="0" w:firstLineChars="0"/>
              <w:jc w:val="center"/>
              <w:textAlignment w:val="center"/>
              <w:rPr>
                <w:b/>
                <w:bCs/>
                <w:color w:val="auto"/>
                <w:sz w:val="21"/>
                <w:szCs w:val="21"/>
              </w:rPr>
            </w:pPr>
            <w:r>
              <w:rPr>
                <w:b/>
                <w:bCs/>
                <w:color w:val="auto"/>
                <w:kern w:val="0"/>
                <w:sz w:val="21"/>
                <w:szCs w:val="21"/>
                <w:lang w:bidi="ar"/>
              </w:rPr>
              <w:t>0~0.5</w:t>
            </w:r>
          </w:p>
        </w:tc>
        <w:tc>
          <w:tcPr>
            <w:tcW w:w="402" w:type="pct"/>
            <w:tcBorders>
              <w:top w:val="nil"/>
              <w:left w:val="nil"/>
              <w:bottom w:val="single" w:color="auto" w:sz="8" w:space="0"/>
              <w:right w:val="single" w:color="auto" w:sz="8" w:space="0"/>
            </w:tcBorders>
            <w:shd w:val="clear" w:color="auto" w:fill="auto"/>
            <w:vAlign w:val="center"/>
          </w:tcPr>
          <w:p w14:paraId="1D9EF96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0.5~1.5</w:t>
            </w:r>
          </w:p>
        </w:tc>
        <w:tc>
          <w:tcPr>
            <w:tcW w:w="409" w:type="pct"/>
            <w:tcBorders>
              <w:top w:val="nil"/>
              <w:left w:val="nil"/>
              <w:bottom w:val="single" w:color="auto" w:sz="8" w:space="0"/>
              <w:right w:val="single" w:color="auto" w:sz="8" w:space="0"/>
            </w:tcBorders>
            <w:shd w:val="clear" w:color="auto" w:fill="auto"/>
            <w:vAlign w:val="center"/>
          </w:tcPr>
          <w:p w14:paraId="76D2095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1.5~3.0</w:t>
            </w:r>
          </w:p>
        </w:tc>
        <w:tc>
          <w:tcPr>
            <w:tcW w:w="395" w:type="pct"/>
            <w:tcBorders>
              <w:top w:val="nil"/>
              <w:left w:val="nil"/>
              <w:bottom w:val="single" w:color="auto" w:sz="8" w:space="0"/>
              <w:right w:val="single" w:color="auto" w:sz="8" w:space="0"/>
            </w:tcBorders>
            <w:shd w:val="clear" w:color="auto" w:fill="auto"/>
            <w:vAlign w:val="center"/>
          </w:tcPr>
          <w:p w14:paraId="72BE57DD">
            <w:pPr>
              <w:widowControl/>
              <w:spacing w:line="240" w:lineRule="auto"/>
              <w:ind w:firstLine="0" w:firstLineChars="0"/>
              <w:jc w:val="center"/>
              <w:textAlignment w:val="center"/>
              <w:rPr>
                <w:b/>
                <w:bCs/>
                <w:color w:val="auto"/>
                <w:sz w:val="21"/>
                <w:szCs w:val="21"/>
              </w:rPr>
            </w:pPr>
            <w:r>
              <w:rPr>
                <w:b/>
                <w:bCs/>
                <w:color w:val="auto"/>
                <w:kern w:val="0"/>
                <w:sz w:val="21"/>
                <w:szCs w:val="21"/>
                <w:lang w:bidi="ar"/>
              </w:rPr>
              <w:t>0~0.5</w:t>
            </w:r>
          </w:p>
        </w:tc>
        <w:tc>
          <w:tcPr>
            <w:tcW w:w="402" w:type="pct"/>
            <w:tcBorders>
              <w:top w:val="nil"/>
              <w:left w:val="nil"/>
              <w:bottom w:val="single" w:color="auto" w:sz="8" w:space="0"/>
              <w:right w:val="single" w:color="auto" w:sz="8" w:space="0"/>
            </w:tcBorders>
            <w:shd w:val="clear" w:color="auto" w:fill="auto"/>
            <w:vAlign w:val="center"/>
          </w:tcPr>
          <w:p w14:paraId="0B3DB37F">
            <w:pPr>
              <w:widowControl/>
              <w:spacing w:line="240" w:lineRule="auto"/>
              <w:ind w:firstLine="0" w:firstLineChars="0"/>
              <w:jc w:val="center"/>
              <w:textAlignment w:val="center"/>
              <w:rPr>
                <w:b/>
                <w:bCs/>
                <w:color w:val="auto"/>
                <w:sz w:val="21"/>
                <w:szCs w:val="21"/>
              </w:rPr>
            </w:pPr>
            <w:r>
              <w:rPr>
                <w:b/>
                <w:bCs/>
                <w:color w:val="auto"/>
                <w:kern w:val="0"/>
                <w:sz w:val="21"/>
                <w:szCs w:val="21"/>
                <w:lang w:bidi="ar"/>
              </w:rPr>
              <w:t>0.5~1.5</w:t>
            </w:r>
          </w:p>
        </w:tc>
        <w:tc>
          <w:tcPr>
            <w:tcW w:w="402" w:type="pct"/>
            <w:tcBorders>
              <w:top w:val="nil"/>
              <w:left w:val="nil"/>
              <w:bottom w:val="single" w:color="auto" w:sz="8" w:space="0"/>
              <w:right w:val="single" w:color="auto" w:sz="8" w:space="0"/>
            </w:tcBorders>
            <w:shd w:val="clear" w:color="auto" w:fill="auto"/>
            <w:vAlign w:val="center"/>
          </w:tcPr>
          <w:p w14:paraId="591BCC8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1.5~3.0</w:t>
            </w:r>
          </w:p>
        </w:tc>
        <w:tc>
          <w:tcPr>
            <w:tcW w:w="395" w:type="pct"/>
            <w:tcBorders>
              <w:top w:val="nil"/>
              <w:left w:val="nil"/>
              <w:bottom w:val="single" w:color="auto" w:sz="8" w:space="0"/>
              <w:right w:val="single" w:color="auto" w:sz="8" w:space="0"/>
            </w:tcBorders>
            <w:shd w:val="clear" w:color="auto" w:fill="auto"/>
            <w:vAlign w:val="center"/>
          </w:tcPr>
          <w:p w14:paraId="1A8141A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0~0.5</w:t>
            </w:r>
          </w:p>
        </w:tc>
        <w:tc>
          <w:tcPr>
            <w:tcW w:w="364" w:type="pct"/>
            <w:tcBorders>
              <w:top w:val="nil"/>
              <w:left w:val="nil"/>
              <w:bottom w:val="single" w:color="auto" w:sz="8" w:space="0"/>
              <w:right w:val="single" w:color="auto" w:sz="8" w:space="0"/>
            </w:tcBorders>
            <w:shd w:val="clear" w:color="auto" w:fill="auto"/>
            <w:vAlign w:val="center"/>
          </w:tcPr>
          <w:p w14:paraId="6BBFDCB5">
            <w:pPr>
              <w:widowControl/>
              <w:spacing w:line="240" w:lineRule="auto"/>
              <w:ind w:firstLine="0" w:firstLineChars="0"/>
              <w:jc w:val="center"/>
              <w:textAlignment w:val="center"/>
              <w:rPr>
                <w:b/>
                <w:bCs/>
                <w:color w:val="auto"/>
                <w:sz w:val="21"/>
                <w:szCs w:val="21"/>
              </w:rPr>
            </w:pPr>
            <w:r>
              <w:rPr>
                <w:b/>
                <w:bCs/>
                <w:color w:val="auto"/>
                <w:kern w:val="0"/>
                <w:sz w:val="21"/>
                <w:szCs w:val="21"/>
                <w:lang w:bidi="ar"/>
              </w:rPr>
              <w:t>0.5~1.5</w:t>
            </w:r>
          </w:p>
        </w:tc>
        <w:tc>
          <w:tcPr>
            <w:tcW w:w="334" w:type="pct"/>
            <w:tcBorders>
              <w:top w:val="nil"/>
              <w:left w:val="nil"/>
              <w:bottom w:val="single" w:color="auto" w:sz="8" w:space="0"/>
              <w:right w:val="single" w:color="auto" w:sz="8" w:space="0"/>
            </w:tcBorders>
            <w:shd w:val="clear" w:color="auto" w:fill="auto"/>
            <w:vAlign w:val="center"/>
          </w:tcPr>
          <w:p w14:paraId="3A830B6F">
            <w:pPr>
              <w:widowControl/>
              <w:spacing w:line="240" w:lineRule="auto"/>
              <w:ind w:firstLine="0" w:firstLineChars="0"/>
              <w:jc w:val="center"/>
              <w:textAlignment w:val="center"/>
              <w:rPr>
                <w:b/>
                <w:bCs/>
                <w:color w:val="auto"/>
                <w:sz w:val="21"/>
                <w:szCs w:val="21"/>
              </w:rPr>
            </w:pPr>
            <w:r>
              <w:rPr>
                <w:b/>
                <w:bCs/>
                <w:color w:val="auto"/>
                <w:kern w:val="0"/>
                <w:sz w:val="21"/>
                <w:szCs w:val="21"/>
                <w:lang w:bidi="ar"/>
              </w:rPr>
              <w:t>1.5~3.0</w:t>
            </w:r>
          </w:p>
        </w:tc>
        <w:tc>
          <w:tcPr>
            <w:tcW w:w="557" w:type="pct"/>
            <w:vMerge w:val="continue"/>
            <w:tcBorders>
              <w:top w:val="single" w:color="auto" w:sz="12" w:space="0"/>
              <w:left w:val="single" w:color="auto" w:sz="8" w:space="0"/>
              <w:bottom w:val="single" w:color="000000" w:sz="8" w:space="0"/>
              <w:right w:val="nil"/>
            </w:tcBorders>
            <w:shd w:val="clear" w:color="auto" w:fill="auto"/>
            <w:vAlign w:val="center"/>
          </w:tcPr>
          <w:p w14:paraId="505A6895">
            <w:pPr>
              <w:widowControl/>
              <w:spacing w:line="240" w:lineRule="auto"/>
              <w:ind w:firstLine="0" w:firstLineChars="0"/>
              <w:jc w:val="center"/>
              <w:rPr>
                <w:b/>
                <w:bCs/>
                <w:color w:val="auto"/>
                <w:sz w:val="21"/>
                <w:szCs w:val="21"/>
              </w:rPr>
            </w:pPr>
          </w:p>
        </w:tc>
      </w:tr>
      <w:tr w14:paraId="42D7A31C">
        <w:tblPrEx>
          <w:tblCellMar>
            <w:top w:w="0" w:type="dxa"/>
            <w:left w:w="108" w:type="dxa"/>
            <w:bottom w:w="0" w:type="dxa"/>
            <w:right w:w="108" w:type="dxa"/>
          </w:tblCellMar>
        </w:tblPrEx>
        <w:trPr>
          <w:trHeight w:val="371" w:hRule="atLeast"/>
        </w:trPr>
        <w:tc>
          <w:tcPr>
            <w:tcW w:w="230" w:type="pct"/>
            <w:tcBorders>
              <w:top w:val="nil"/>
              <w:left w:val="nil"/>
              <w:bottom w:val="single" w:color="auto" w:sz="8" w:space="0"/>
              <w:right w:val="single" w:color="auto" w:sz="8" w:space="0"/>
            </w:tcBorders>
            <w:shd w:val="clear" w:color="auto" w:fill="auto"/>
            <w:vAlign w:val="center"/>
          </w:tcPr>
          <w:p w14:paraId="1BECADF8">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710" w:type="pct"/>
            <w:tcBorders>
              <w:top w:val="nil"/>
              <w:left w:val="nil"/>
              <w:bottom w:val="single" w:color="auto" w:sz="8" w:space="0"/>
              <w:right w:val="single" w:color="auto" w:sz="8" w:space="0"/>
            </w:tcBorders>
            <w:shd w:val="clear" w:color="auto" w:fill="auto"/>
            <w:vAlign w:val="center"/>
          </w:tcPr>
          <w:p w14:paraId="61DAC122">
            <w:pPr>
              <w:widowControl/>
              <w:spacing w:line="240" w:lineRule="auto"/>
              <w:ind w:firstLine="0" w:firstLineChars="0"/>
              <w:jc w:val="center"/>
              <w:textAlignment w:val="center"/>
              <w:rPr>
                <w:color w:val="auto"/>
                <w:sz w:val="21"/>
                <w:szCs w:val="21"/>
              </w:rPr>
            </w:pPr>
            <w:r>
              <w:rPr>
                <w:color w:val="auto"/>
                <w:kern w:val="0"/>
                <w:sz w:val="21"/>
                <w:szCs w:val="21"/>
                <w:lang w:bidi="ar"/>
              </w:rPr>
              <w:t>pH值</w:t>
            </w:r>
          </w:p>
        </w:tc>
        <w:tc>
          <w:tcPr>
            <w:tcW w:w="395" w:type="pct"/>
            <w:tcBorders>
              <w:top w:val="nil"/>
              <w:left w:val="nil"/>
              <w:bottom w:val="single" w:color="auto" w:sz="8" w:space="0"/>
              <w:right w:val="single" w:color="auto" w:sz="8" w:space="0"/>
            </w:tcBorders>
            <w:shd w:val="clear" w:color="auto" w:fill="auto"/>
            <w:vAlign w:val="center"/>
          </w:tcPr>
          <w:p w14:paraId="20301E7A">
            <w:pPr>
              <w:widowControl/>
              <w:spacing w:line="240" w:lineRule="auto"/>
              <w:ind w:firstLine="0" w:firstLineChars="0"/>
              <w:jc w:val="center"/>
              <w:textAlignment w:val="center"/>
              <w:rPr>
                <w:color w:val="auto"/>
                <w:sz w:val="21"/>
                <w:szCs w:val="21"/>
              </w:rPr>
            </w:pPr>
            <w:r>
              <w:rPr>
                <w:color w:val="auto"/>
                <w:kern w:val="0"/>
                <w:sz w:val="21"/>
                <w:szCs w:val="21"/>
                <w:lang w:bidi="ar"/>
              </w:rPr>
              <w:t>7.49</w:t>
            </w:r>
          </w:p>
        </w:tc>
        <w:tc>
          <w:tcPr>
            <w:tcW w:w="402" w:type="pct"/>
            <w:tcBorders>
              <w:top w:val="nil"/>
              <w:left w:val="nil"/>
              <w:bottom w:val="single" w:color="auto" w:sz="8" w:space="0"/>
              <w:right w:val="single" w:color="auto" w:sz="8" w:space="0"/>
            </w:tcBorders>
            <w:shd w:val="clear" w:color="auto" w:fill="auto"/>
            <w:vAlign w:val="center"/>
          </w:tcPr>
          <w:p w14:paraId="710E0216">
            <w:pPr>
              <w:widowControl/>
              <w:spacing w:line="240" w:lineRule="auto"/>
              <w:ind w:firstLine="0" w:firstLineChars="0"/>
              <w:jc w:val="center"/>
              <w:textAlignment w:val="center"/>
              <w:rPr>
                <w:color w:val="auto"/>
                <w:sz w:val="21"/>
                <w:szCs w:val="21"/>
              </w:rPr>
            </w:pPr>
            <w:r>
              <w:rPr>
                <w:color w:val="auto"/>
                <w:kern w:val="0"/>
                <w:sz w:val="21"/>
                <w:szCs w:val="21"/>
                <w:lang w:bidi="ar"/>
              </w:rPr>
              <w:t>7.52</w:t>
            </w:r>
          </w:p>
        </w:tc>
        <w:tc>
          <w:tcPr>
            <w:tcW w:w="409" w:type="pct"/>
            <w:tcBorders>
              <w:top w:val="nil"/>
              <w:left w:val="nil"/>
              <w:bottom w:val="single" w:color="auto" w:sz="8" w:space="0"/>
              <w:right w:val="single" w:color="auto" w:sz="8" w:space="0"/>
            </w:tcBorders>
            <w:shd w:val="clear" w:color="auto" w:fill="auto"/>
            <w:vAlign w:val="center"/>
          </w:tcPr>
          <w:p w14:paraId="4173090B">
            <w:pPr>
              <w:widowControl/>
              <w:spacing w:line="240" w:lineRule="auto"/>
              <w:ind w:firstLine="0" w:firstLineChars="0"/>
              <w:jc w:val="center"/>
              <w:textAlignment w:val="center"/>
              <w:rPr>
                <w:color w:val="auto"/>
                <w:sz w:val="21"/>
                <w:szCs w:val="21"/>
              </w:rPr>
            </w:pPr>
            <w:r>
              <w:rPr>
                <w:color w:val="auto"/>
                <w:kern w:val="0"/>
                <w:sz w:val="21"/>
                <w:szCs w:val="21"/>
                <w:lang w:bidi="ar"/>
              </w:rPr>
              <w:t>7.83</w:t>
            </w:r>
          </w:p>
        </w:tc>
        <w:tc>
          <w:tcPr>
            <w:tcW w:w="395" w:type="pct"/>
            <w:tcBorders>
              <w:top w:val="nil"/>
              <w:left w:val="nil"/>
              <w:bottom w:val="single" w:color="auto" w:sz="8" w:space="0"/>
              <w:right w:val="single" w:color="auto" w:sz="8" w:space="0"/>
            </w:tcBorders>
            <w:shd w:val="clear" w:color="auto" w:fill="auto"/>
            <w:vAlign w:val="center"/>
          </w:tcPr>
          <w:p w14:paraId="752EB8FE">
            <w:pPr>
              <w:widowControl/>
              <w:spacing w:line="240" w:lineRule="auto"/>
              <w:ind w:firstLine="0" w:firstLineChars="0"/>
              <w:jc w:val="center"/>
              <w:textAlignment w:val="center"/>
              <w:rPr>
                <w:color w:val="auto"/>
                <w:sz w:val="21"/>
                <w:szCs w:val="21"/>
              </w:rPr>
            </w:pPr>
            <w:r>
              <w:rPr>
                <w:color w:val="auto"/>
                <w:kern w:val="0"/>
                <w:sz w:val="21"/>
                <w:szCs w:val="21"/>
                <w:lang w:bidi="ar"/>
              </w:rPr>
              <w:t>7.79</w:t>
            </w:r>
          </w:p>
        </w:tc>
        <w:tc>
          <w:tcPr>
            <w:tcW w:w="402" w:type="pct"/>
            <w:tcBorders>
              <w:top w:val="nil"/>
              <w:left w:val="nil"/>
              <w:bottom w:val="single" w:color="auto" w:sz="8" w:space="0"/>
              <w:right w:val="single" w:color="auto" w:sz="8" w:space="0"/>
            </w:tcBorders>
            <w:shd w:val="clear" w:color="auto" w:fill="auto"/>
            <w:vAlign w:val="center"/>
          </w:tcPr>
          <w:p w14:paraId="1C7BEBDA">
            <w:pPr>
              <w:widowControl/>
              <w:spacing w:line="240" w:lineRule="auto"/>
              <w:ind w:firstLine="0" w:firstLineChars="0"/>
              <w:jc w:val="center"/>
              <w:textAlignment w:val="center"/>
              <w:rPr>
                <w:color w:val="auto"/>
                <w:sz w:val="21"/>
                <w:szCs w:val="21"/>
              </w:rPr>
            </w:pPr>
            <w:r>
              <w:rPr>
                <w:color w:val="auto"/>
                <w:kern w:val="0"/>
                <w:sz w:val="21"/>
                <w:szCs w:val="21"/>
                <w:lang w:bidi="ar"/>
              </w:rPr>
              <w:t>7.43</w:t>
            </w:r>
          </w:p>
        </w:tc>
        <w:tc>
          <w:tcPr>
            <w:tcW w:w="402" w:type="pct"/>
            <w:tcBorders>
              <w:top w:val="nil"/>
              <w:left w:val="nil"/>
              <w:bottom w:val="single" w:color="auto" w:sz="8" w:space="0"/>
              <w:right w:val="single" w:color="auto" w:sz="8" w:space="0"/>
            </w:tcBorders>
            <w:shd w:val="clear" w:color="auto" w:fill="auto"/>
            <w:vAlign w:val="center"/>
          </w:tcPr>
          <w:p w14:paraId="5913BC2C">
            <w:pPr>
              <w:widowControl/>
              <w:spacing w:line="240" w:lineRule="auto"/>
              <w:ind w:firstLine="0" w:firstLineChars="0"/>
              <w:jc w:val="center"/>
              <w:textAlignment w:val="center"/>
              <w:rPr>
                <w:color w:val="auto"/>
                <w:sz w:val="21"/>
                <w:szCs w:val="21"/>
              </w:rPr>
            </w:pPr>
            <w:r>
              <w:rPr>
                <w:color w:val="auto"/>
                <w:kern w:val="0"/>
                <w:sz w:val="21"/>
                <w:szCs w:val="21"/>
                <w:lang w:bidi="ar"/>
              </w:rPr>
              <w:t>7.66</w:t>
            </w:r>
          </w:p>
        </w:tc>
        <w:tc>
          <w:tcPr>
            <w:tcW w:w="395" w:type="pct"/>
            <w:tcBorders>
              <w:top w:val="nil"/>
              <w:left w:val="nil"/>
              <w:bottom w:val="single" w:color="auto" w:sz="8" w:space="0"/>
              <w:right w:val="single" w:color="auto" w:sz="8" w:space="0"/>
            </w:tcBorders>
            <w:shd w:val="clear" w:color="auto" w:fill="auto"/>
            <w:vAlign w:val="center"/>
          </w:tcPr>
          <w:p w14:paraId="6526C3BE">
            <w:pPr>
              <w:widowControl/>
              <w:spacing w:line="240" w:lineRule="auto"/>
              <w:ind w:firstLine="0" w:firstLineChars="0"/>
              <w:jc w:val="center"/>
              <w:textAlignment w:val="center"/>
              <w:rPr>
                <w:color w:val="auto"/>
                <w:sz w:val="21"/>
                <w:szCs w:val="21"/>
              </w:rPr>
            </w:pPr>
            <w:r>
              <w:rPr>
                <w:color w:val="auto"/>
                <w:kern w:val="0"/>
                <w:sz w:val="21"/>
                <w:szCs w:val="21"/>
                <w:lang w:bidi="ar"/>
              </w:rPr>
              <w:t>7.55</w:t>
            </w:r>
          </w:p>
        </w:tc>
        <w:tc>
          <w:tcPr>
            <w:tcW w:w="364" w:type="pct"/>
            <w:tcBorders>
              <w:top w:val="nil"/>
              <w:left w:val="nil"/>
              <w:bottom w:val="single" w:color="auto" w:sz="8" w:space="0"/>
              <w:right w:val="single" w:color="auto" w:sz="8" w:space="0"/>
            </w:tcBorders>
            <w:shd w:val="clear" w:color="auto" w:fill="auto"/>
            <w:vAlign w:val="center"/>
          </w:tcPr>
          <w:p w14:paraId="1B302F1C">
            <w:pPr>
              <w:widowControl/>
              <w:spacing w:line="240" w:lineRule="auto"/>
              <w:ind w:firstLine="0" w:firstLineChars="0"/>
              <w:jc w:val="center"/>
              <w:textAlignment w:val="center"/>
              <w:rPr>
                <w:color w:val="auto"/>
                <w:sz w:val="21"/>
                <w:szCs w:val="21"/>
              </w:rPr>
            </w:pPr>
            <w:r>
              <w:rPr>
                <w:color w:val="auto"/>
                <w:kern w:val="0"/>
                <w:sz w:val="21"/>
                <w:szCs w:val="21"/>
                <w:lang w:bidi="ar"/>
              </w:rPr>
              <w:t>7.42</w:t>
            </w:r>
          </w:p>
        </w:tc>
        <w:tc>
          <w:tcPr>
            <w:tcW w:w="334" w:type="pct"/>
            <w:tcBorders>
              <w:top w:val="nil"/>
              <w:left w:val="nil"/>
              <w:bottom w:val="single" w:color="auto" w:sz="8" w:space="0"/>
              <w:right w:val="single" w:color="auto" w:sz="8" w:space="0"/>
            </w:tcBorders>
            <w:shd w:val="clear" w:color="auto" w:fill="auto"/>
            <w:vAlign w:val="center"/>
          </w:tcPr>
          <w:p w14:paraId="228C0BE8">
            <w:pPr>
              <w:widowControl/>
              <w:spacing w:line="240" w:lineRule="auto"/>
              <w:ind w:firstLine="0" w:firstLineChars="0"/>
              <w:jc w:val="center"/>
              <w:textAlignment w:val="center"/>
              <w:rPr>
                <w:color w:val="auto"/>
                <w:sz w:val="21"/>
                <w:szCs w:val="21"/>
              </w:rPr>
            </w:pPr>
            <w:r>
              <w:rPr>
                <w:color w:val="auto"/>
                <w:kern w:val="0"/>
                <w:sz w:val="21"/>
                <w:szCs w:val="21"/>
                <w:lang w:bidi="ar"/>
              </w:rPr>
              <w:t>7.53</w:t>
            </w:r>
          </w:p>
        </w:tc>
        <w:tc>
          <w:tcPr>
            <w:tcW w:w="557" w:type="pct"/>
            <w:tcBorders>
              <w:top w:val="nil"/>
              <w:left w:val="nil"/>
              <w:bottom w:val="single" w:color="auto" w:sz="8" w:space="0"/>
              <w:right w:val="nil"/>
            </w:tcBorders>
            <w:shd w:val="clear" w:color="auto" w:fill="auto"/>
            <w:vAlign w:val="center"/>
          </w:tcPr>
          <w:p w14:paraId="71B188BD">
            <w:pPr>
              <w:widowControl/>
              <w:spacing w:line="240" w:lineRule="auto"/>
              <w:ind w:firstLine="0" w:firstLineChars="0"/>
              <w:jc w:val="center"/>
              <w:textAlignment w:val="center"/>
              <w:rPr>
                <w:color w:val="auto"/>
                <w:sz w:val="21"/>
                <w:szCs w:val="21"/>
              </w:rPr>
            </w:pPr>
            <w:r>
              <w:rPr>
                <w:color w:val="auto"/>
                <w:kern w:val="0"/>
                <w:sz w:val="21"/>
                <w:szCs w:val="21"/>
                <w:lang w:bidi="ar"/>
              </w:rPr>
              <w:t>-</w:t>
            </w:r>
          </w:p>
        </w:tc>
      </w:tr>
      <w:tr w14:paraId="192EEF94">
        <w:tblPrEx>
          <w:tblCellMar>
            <w:top w:w="0" w:type="dxa"/>
            <w:left w:w="108" w:type="dxa"/>
            <w:bottom w:w="0" w:type="dxa"/>
            <w:right w:w="108" w:type="dxa"/>
          </w:tblCellMar>
        </w:tblPrEx>
        <w:trPr>
          <w:trHeight w:val="289" w:hRule="atLeast"/>
        </w:trPr>
        <w:tc>
          <w:tcPr>
            <w:tcW w:w="230" w:type="pct"/>
            <w:tcBorders>
              <w:top w:val="nil"/>
              <w:left w:val="nil"/>
              <w:bottom w:val="single" w:color="auto" w:sz="8" w:space="0"/>
              <w:right w:val="single" w:color="auto" w:sz="8" w:space="0"/>
            </w:tcBorders>
            <w:shd w:val="clear" w:color="auto" w:fill="auto"/>
            <w:vAlign w:val="center"/>
          </w:tcPr>
          <w:p w14:paraId="65994B1A">
            <w:pPr>
              <w:widowControl/>
              <w:spacing w:line="240" w:lineRule="auto"/>
              <w:ind w:firstLine="0" w:firstLineChars="0"/>
              <w:jc w:val="center"/>
              <w:textAlignment w:val="center"/>
              <w:rPr>
                <w:color w:val="auto"/>
                <w:sz w:val="21"/>
                <w:szCs w:val="21"/>
              </w:rPr>
            </w:pPr>
            <w:r>
              <w:rPr>
                <w:color w:val="auto"/>
                <w:kern w:val="0"/>
                <w:sz w:val="21"/>
                <w:szCs w:val="21"/>
                <w:lang w:bidi="ar"/>
              </w:rPr>
              <w:t>2</w:t>
            </w:r>
          </w:p>
        </w:tc>
        <w:tc>
          <w:tcPr>
            <w:tcW w:w="710" w:type="pct"/>
            <w:tcBorders>
              <w:top w:val="nil"/>
              <w:left w:val="nil"/>
              <w:bottom w:val="single" w:color="auto" w:sz="8" w:space="0"/>
              <w:right w:val="single" w:color="auto" w:sz="8" w:space="0"/>
            </w:tcBorders>
            <w:shd w:val="clear" w:color="auto" w:fill="auto"/>
            <w:vAlign w:val="center"/>
          </w:tcPr>
          <w:p w14:paraId="44E30DCB">
            <w:pPr>
              <w:widowControl/>
              <w:spacing w:line="240" w:lineRule="auto"/>
              <w:ind w:firstLine="0" w:firstLineChars="0"/>
              <w:jc w:val="center"/>
              <w:textAlignment w:val="center"/>
              <w:rPr>
                <w:color w:val="auto"/>
                <w:sz w:val="21"/>
                <w:szCs w:val="21"/>
              </w:rPr>
            </w:pPr>
            <w:r>
              <w:rPr>
                <w:color w:val="auto"/>
                <w:kern w:val="0"/>
                <w:sz w:val="21"/>
                <w:szCs w:val="21"/>
                <w:lang w:bidi="ar"/>
              </w:rPr>
              <w:t>铜</w:t>
            </w:r>
          </w:p>
        </w:tc>
        <w:tc>
          <w:tcPr>
            <w:tcW w:w="395" w:type="pct"/>
            <w:tcBorders>
              <w:top w:val="nil"/>
              <w:left w:val="nil"/>
              <w:bottom w:val="single" w:color="auto" w:sz="8" w:space="0"/>
              <w:right w:val="single" w:color="auto" w:sz="8" w:space="0"/>
            </w:tcBorders>
            <w:shd w:val="clear" w:color="auto" w:fill="auto"/>
            <w:vAlign w:val="center"/>
          </w:tcPr>
          <w:p w14:paraId="55950D6C">
            <w:pPr>
              <w:widowControl/>
              <w:spacing w:line="240" w:lineRule="auto"/>
              <w:ind w:firstLine="0" w:firstLineChars="0"/>
              <w:jc w:val="center"/>
              <w:textAlignment w:val="center"/>
              <w:rPr>
                <w:color w:val="auto"/>
                <w:sz w:val="21"/>
                <w:szCs w:val="21"/>
              </w:rPr>
            </w:pPr>
            <w:r>
              <w:rPr>
                <w:color w:val="auto"/>
                <w:kern w:val="0"/>
                <w:sz w:val="21"/>
                <w:szCs w:val="21"/>
                <w:lang w:bidi="ar"/>
              </w:rPr>
              <w:t>26</w:t>
            </w:r>
          </w:p>
        </w:tc>
        <w:tc>
          <w:tcPr>
            <w:tcW w:w="402" w:type="pct"/>
            <w:tcBorders>
              <w:top w:val="nil"/>
              <w:left w:val="nil"/>
              <w:bottom w:val="single" w:color="auto" w:sz="8" w:space="0"/>
              <w:right w:val="single" w:color="auto" w:sz="8" w:space="0"/>
            </w:tcBorders>
            <w:shd w:val="clear" w:color="auto" w:fill="auto"/>
            <w:vAlign w:val="center"/>
          </w:tcPr>
          <w:p w14:paraId="5230B88F">
            <w:pPr>
              <w:widowControl/>
              <w:spacing w:line="240" w:lineRule="auto"/>
              <w:ind w:firstLine="0" w:firstLineChars="0"/>
              <w:jc w:val="center"/>
              <w:textAlignment w:val="center"/>
              <w:rPr>
                <w:color w:val="auto"/>
                <w:sz w:val="21"/>
                <w:szCs w:val="21"/>
              </w:rPr>
            </w:pPr>
            <w:r>
              <w:rPr>
                <w:color w:val="auto"/>
                <w:kern w:val="0"/>
                <w:sz w:val="21"/>
                <w:szCs w:val="21"/>
                <w:lang w:bidi="ar"/>
              </w:rPr>
              <w:t>31</w:t>
            </w:r>
          </w:p>
        </w:tc>
        <w:tc>
          <w:tcPr>
            <w:tcW w:w="409" w:type="pct"/>
            <w:tcBorders>
              <w:top w:val="nil"/>
              <w:left w:val="nil"/>
              <w:bottom w:val="single" w:color="auto" w:sz="8" w:space="0"/>
              <w:right w:val="single" w:color="auto" w:sz="8" w:space="0"/>
            </w:tcBorders>
            <w:shd w:val="clear" w:color="auto" w:fill="auto"/>
            <w:vAlign w:val="center"/>
          </w:tcPr>
          <w:p w14:paraId="32251500">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395" w:type="pct"/>
            <w:tcBorders>
              <w:top w:val="nil"/>
              <w:left w:val="nil"/>
              <w:bottom w:val="single" w:color="auto" w:sz="8" w:space="0"/>
              <w:right w:val="single" w:color="auto" w:sz="8" w:space="0"/>
            </w:tcBorders>
            <w:shd w:val="clear" w:color="auto" w:fill="auto"/>
            <w:vAlign w:val="center"/>
          </w:tcPr>
          <w:p w14:paraId="53A36CAD">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402" w:type="pct"/>
            <w:tcBorders>
              <w:top w:val="nil"/>
              <w:left w:val="nil"/>
              <w:bottom w:val="single" w:color="auto" w:sz="8" w:space="0"/>
              <w:right w:val="single" w:color="auto" w:sz="8" w:space="0"/>
            </w:tcBorders>
            <w:shd w:val="clear" w:color="auto" w:fill="auto"/>
            <w:vAlign w:val="center"/>
          </w:tcPr>
          <w:p w14:paraId="3F8D1438">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402" w:type="pct"/>
            <w:tcBorders>
              <w:top w:val="nil"/>
              <w:left w:val="nil"/>
              <w:bottom w:val="single" w:color="auto" w:sz="8" w:space="0"/>
              <w:right w:val="single" w:color="auto" w:sz="8" w:space="0"/>
            </w:tcBorders>
            <w:shd w:val="clear" w:color="auto" w:fill="auto"/>
            <w:vAlign w:val="center"/>
          </w:tcPr>
          <w:p w14:paraId="224D8D59">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395" w:type="pct"/>
            <w:tcBorders>
              <w:top w:val="nil"/>
              <w:left w:val="nil"/>
              <w:bottom w:val="single" w:color="auto" w:sz="8" w:space="0"/>
              <w:right w:val="single" w:color="auto" w:sz="8" w:space="0"/>
            </w:tcBorders>
            <w:shd w:val="clear" w:color="auto" w:fill="auto"/>
            <w:vAlign w:val="center"/>
          </w:tcPr>
          <w:p w14:paraId="1434637B">
            <w:pPr>
              <w:widowControl/>
              <w:spacing w:line="240" w:lineRule="auto"/>
              <w:ind w:firstLine="0" w:firstLineChars="0"/>
              <w:jc w:val="center"/>
              <w:textAlignment w:val="center"/>
              <w:rPr>
                <w:color w:val="auto"/>
                <w:sz w:val="21"/>
                <w:szCs w:val="21"/>
              </w:rPr>
            </w:pPr>
            <w:r>
              <w:rPr>
                <w:color w:val="auto"/>
                <w:kern w:val="0"/>
                <w:sz w:val="21"/>
                <w:szCs w:val="21"/>
                <w:lang w:bidi="ar"/>
              </w:rPr>
              <w:t>21</w:t>
            </w:r>
          </w:p>
        </w:tc>
        <w:tc>
          <w:tcPr>
            <w:tcW w:w="364" w:type="pct"/>
            <w:tcBorders>
              <w:top w:val="nil"/>
              <w:left w:val="nil"/>
              <w:bottom w:val="single" w:color="auto" w:sz="8" w:space="0"/>
              <w:right w:val="single" w:color="auto" w:sz="8" w:space="0"/>
            </w:tcBorders>
            <w:shd w:val="clear" w:color="auto" w:fill="auto"/>
            <w:vAlign w:val="center"/>
          </w:tcPr>
          <w:p w14:paraId="38D9187C">
            <w:pPr>
              <w:widowControl/>
              <w:spacing w:line="240" w:lineRule="auto"/>
              <w:ind w:firstLine="0" w:firstLineChars="0"/>
              <w:jc w:val="center"/>
              <w:textAlignment w:val="center"/>
              <w:rPr>
                <w:color w:val="auto"/>
                <w:sz w:val="21"/>
                <w:szCs w:val="21"/>
              </w:rPr>
            </w:pPr>
            <w:r>
              <w:rPr>
                <w:color w:val="auto"/>
                <w:kern w:val="0"/>
                <w:sz w:val="21"/>
                <w:szCs w:val="21"/>
                <w:lang w:bidi="ar"/>
              </w:rPr>
              <w:t>29</w:t>
            </w:r>
          </w:p>
        </w:tc>
        <w:tc>
          <w:tcPr>
            <w:tcW w:w="334" w:type="pct"/>
            <w:tcBorders>
              <w:top w:val="nil"/>
              <w:left w:val="nil"/>
              <w:bottom w:val="single" w:color="auto" w:sz="8" w:space="0"/>
              <w:right w:val="single" w:color="auto" w:sz="8" w:space="0"/>
            </w:tcBorders>
            <w:shd w:val="clear" w:color="auto" w:fill="auto"/>
            <w:vAlign w:val="center"/>
          </w:tcPr>
          <w:p w14:paraId="7B8D2CBA">
            <w:pPr>
              <w:widowControl/>
              <w:spacing w:line="240" w:lineRule="auto"/>
              <w:ind w:firstLine="0" w:firstLineChars="0"/>
              <w:jc w:val="center"/>
              <w:textAlignment w:val="center"/>
              <w:rPr>
                <w:color w:val="auto"/>
                <w:sz w:val="21"/>
                <w:szCs w:val="21"/>
              </w:rPr>
            </w:pPr>
            <w:r>
              <w:rPr>
                <w:color w:val="auto"/>
                <w:kern w:val="0"/>
                <w:sz w:val="21"/>
                <w:szCs w:val="21"/>
                <w:lang w:bidi="ar"/>
              </w:rPr>
              <w:t>31</w:t>
            </w:r>
          </w:p>
        </w:tc>
        <w:tc>
          <w:tcPr>
            <w:tcW w:w="557" w:type="pct"/>
            <w:tcBorders>
              <w:top w:val="nil"/>
              <w:left w:val="nil"/>
              <w:bottom w:val="single" w:color="auto" w:sz="8" w:space="0"/>
              <w:right w:val="nil"/>
            </w:tcBorders>
            <w:shd w:val="clear" w:color="auto" w:fill="auto"/>
            <w:vAlign w:val="center"/>
          </w:tcPr>
          <w:p w14:paraId="71F9DA0C">
            <w:pPr>
              <w:widowControl/>
              <w:spacing w:line="240" w:lineRule="auto"/>
              <w:ind w:firstLine="0" w:firstLineChars="0"/>
              <w:jc w:val="center"/>
              <w:textAlignment w:val="center"/>
              <w:rPr>
                <w:color w:val="auto"/>
                <w:sz w:val="21"/>
                <w:szCs w:val="21"/>
              </w:rPr>
            </w:pPr>
            <w:r>
              <w:rPr>
                <w:color w:val="auto"/>
                <w:kern w:val="0"/>
                <w:sz w:val="21"/>
                <w:szCs w:val="21"/>
                <w:lang w:bidi="ar"/>
              </w:rPr>
              <w:t>18000</w:t>
            </w:r>
          </w:p>
        </w:tc>
      </w:tr>
      <w:tr w14:paraId="1E40F5CA">
        <w:tblPrEx>
          <w:tblCellMar>
            <w:top w:w="0" w:type="dxa"/>
            <w:left w:w="108" w:type="dxa"/>
            <w:bottom w:w="0" w:type="dxa"/>
            <w:right w:w="108" w:type="dxa"/>
          </w:tblCellMar>
        </w:tblPrEx>
        <w:trPr>
          <w:trHeight w:val="166" w:hRule="atLeast"/>
        </w:trPr>
        <w:tc>
          <w:tcPr>
            <w:tcW w:w="230" w:type="pct"/>
            <w:tcBorders>
              <w:top w:val="nil"/>
              <w:left w:val="nil"/>
              <w:bottom w:val="single" w:color="auto" w:sz="8" w:space="0"/>
              <w:right w:val="single" w:color="auto" w:sz="8" w:space="0"/>
            </w:tcBorders>
            <w:shd w:val="clear" w:color="auto" w:fill="auto"/>
            <w:vAlign w:val="center"/>
          </w:tcPr>
          <w:p w14:paraId="38A9C5ED">
            <w:pPr>
              <w:widowControl/>
              <w:spacing w:line="240" w:lineRule="auto"/>
              <w:ind w:firstLine="0" w:firstLineChars="0"/>
              <w:jc w:val="center"/>
              <w:textAlignment w:val="center"/>
              <w:rPr>
                <w:color w:val="auto"/>
                <w:sz w:val="21"/>
                <w:szCs w:val="21"/>
              </w:rPr>
            </w:pPr>
            <w:r>
              <w:rPr>
                <w:color w:val="auto"/>
                <w:kern w:val="0"/>
                <w:sz w:val="21"/>
                <w:szCs w:val="21"/>
                <w:lang w:bidi="ar"/>
              </w:rPr>
              <w:t>3</w:t>
            </w:r>
          </w:p>
        </w:tc>
        <w:tc>
          <w:tcPr>
            <w:tcW w:w="710" w:type="pct"/>
            <w:tcBorders>
              <w:top w:val="nil"/>
              <w:left w:val="nil"/>
              <w:bottom w:val="single" w:color="auto" w:sz="8" w:space="0"/>
              <w:right w:val="single" w:color="auto" w:sz="8" w:space="0"/>
            </w:tcBorders>
            <w:shd w:val="clear" w:color="auto" w:fill="auto"/>
            <w:vAlign w:val="center"/>
          </w:tcPr>
          <w:p w14:paraId="641AE1AC">
            <w:pPr>
              <w:widowControl/>
              <w:spacing w:line="240" w:lineRule="auto"/>
              <w:ind w:firstLine="0" w:firstLineChars="0"/>
              <w:jc w:val="center"/>
              <w:textAlignment w:val="center"/>
              <w:rPr>
                <w:color w:val="auto"/>
                <w:sz w:val="21"/>
                <w:szCs w:val="21"/>
              </w:rPr>
            </w:pPr>
            <w:r>
              <w:rPr>
                <w:color w:val="auto"/>
                <w:kern w:val="0"/>
                <w:sz w:val="21"/>
                <w:szCs w:val="21"/>
                <w:lang w:bidi="ar"/>
              </w:rPr>
              <w:t>铅</w:t>
            </w:r>
          </w:p>
        </w:tc>
        <w:tc>
          <w:tcPr>
            <w:tcW w:w="395" w:type="pct"/>
            <w:tcBorders>
              <w:top w:val="nil"/>
              <w:left w:val="nil"/>
              <w:bottom w:val="single" w:color="auto" w:sz="8" w:space="0"/>
              <w:right w:val="single" w:color="auto" w:sz="8" w:space="0"/>
            </w:tcBorders>
            <w:shd w:val="clear" w:color="auto" w:fill="auto"/>
            <w:vAlign w:val="center"/>
          </w:tcPr>
          <w:p w14:paraId="765075BF">
            <w:pPr>
              <w:widowControl/>
              <w:spacing w:line="240" w:lineRule="auto"/>
              <w:ind w:firstLine="0" w:firstLineChars="0"/>
              <w:jc w:val="center"/>
              <w:textAlignment w:val="center"/>
              <w:rPr>
                <w:color w:val="auto"/>
                <w:sz w:val="21"/>
                <w:szCs w:val="21"/>
              </w:rPr>
            </w:pPr>
            <w:r>
              <w:rPr>
                <w:color w:val="auto"/>
                <w:kern w:val="0"/>
                <w:sz w:val="21"/>
                <w:szCs w:val="21"/>
                <w:lang w:bidi="ar"/>
              </w:rPr>
              <w:t>29</w:t>
            </w:r>
          </w:p>
        </w:tc>
        <w:tc>
          <w:tcPr>
            <w:tcW w:w="402" w:type="pct"/>
            <w:tcBorders>
              <w:top w:val="nil"/>
              <w:left w:val="nil"/>
              <w:bottom w:val="single" w:color="auto" w:sz="8" w:space="0"/>
              <w:right w:val="single" w:color="auto" w:sz="8" w:space="0"/>
            </w:tcBorders>
            <w:shd w:val="clear" w:color="auto" w:fill="auto"/>
            <w:vAlign w:val="center"/>
          </w:tcPr>
          <w:p w14:paraId="07C220AB">
            <w:pPr>
              <w:widowControl/>
              <w:spacing w:line="240" w:lineRule="auto"/>
              <w:ind w:firstLine="0" w:firstLineChars="0"/>
              <w:jc w:val="center"/>
              <w:textAlignment w:val="center"/>
              <w:rPr>
                <w:color w:val="auto"/>
                <w:sz w:val="21"/>
                <w:szCs w:val="21"/>
              </w:rPr>
            </w:pPr>
            <w:r>
              <w:rPr>
                <w:color w:val="auto"/>
                <w:kern w:val="0"/>
                <w:sz w:val="21"/>
                <w:szCs w:val="21"/>
                <w:lang w:bidi="ar"/>
              </w:rPr>
              <w:t>34</w:t>
            </w:r>
          </w:p>
        </w:tc>
        <w:tc>
          <w:tcPr>
            <w:tcW w:w="409" w:type="pct"/>
            <w:tcBorders>
              <w:top w:val="nil"/>
              <w:left w:val="nil"/>
              <w:bottom w:val="single" w:color="auto" w:sz="8" w:space="0"/>
              <w:right w:val="single" w:color="auto" w:sz="8" w:space="0"/>
            </w:tcBorders>
            <w:shd w:val="clear" w:color="auto" w:fill="auto"/>
            <w:vAlign w:val="center"/>
          </w:tcPr>
          <w:p w14:paraId="3D6BF266">
            <w:pPr>
              <w:widowControl/>
              <w:spacing w:line="240" w:lineRule="auto"/>
              <w:ind w:firstLine="0" w:firstLineChars="0"/>
              <w:jc w:val="center"/>
              <w:textAlignment w:val="center"/>
              <w:rPr>
                <w:color w:val="auto"/>
                <w:sz w:val="21"/>
                <w:szCs w:val="21"/>
              </w:rPr>
            </w:pPr>
            <w:r>
              <w:rPr>
                <w:color w:val="auto"/>
                <w:kern w:val="0"/>
                <w:sz w:val="21"/>
                <w:szCs w:val="21"/>
                <w:lang w:bidi="ar"/>
              </w:rPr>
              <w:t>26</w:t>
            </w:r>
          </w:p>
        </w:tc>
        <w:tc>
          <w:tcPr>
            <w:tcW w:w="395" w:type="pct"/>
            <w:tcBorders>
              <w:top w:val="nil"/>
              <w:left w:val="nil"/>
              <w:bottom w:val="single" w:color="auto" w:sz="8" w:space="0"/>
              <w:right w:val="single" w:color="auto" w:sz="8" w:space="0"/>
            </w:tcBorders>
            <w:shd w:val="clear" w:color="auto" w:fill="auto"/>
            <w:vAlign w:val="center"/>
          </w:tcPr>
          <w:p w14:paraId="713F0852">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402" w:type="pct"/>
            <w:tcBorders>
              <w:top w:val="nil"/>
              <w:left w:val="nil"/>
              <w:bottom w:val="single" w:color="auto" w:sz="8" w:space="0"/>
              <w:right w:val="single" w:color="auto" w:sz="8" w:space="0"/>
            </w:tcBorders>
            <w:shd w:val="clear" w:color="auto" w:fill="auto"/>
            <w:vAlign w:val="center"/>
          </w:tcPr>
          <w:p w14:paraId="1A2F26C1">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402" w:type="pct"/>
            <w:tcBorders>
              <w:top w:val="nil"/>
              <w:left w:val="nil"/>
              <w:bottom w:val="single" w:color="auto" w:sz="8" w:space="0"/>
              <w:right w:val="single" w:color="auto" w:sz="8" w:space="0"/>
            </w:tcBorders>
            <w:shd w:val="clear" w:color="auto" w:fill="auto"/>
            <w:vAlign w:val="center"/>
          </w:tcPr>
          <w:p w14:paraId="1DEE826C">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395" w:type="pct"/>
            <w:tcBorders>
              <w:top w:val="nil"/>
              <w:left w:val="nil"/>
              <w:bottom w:val="single" w:color="auto" w:sz="8" w:space="0"/>
              <w:right w:val="single" w:color="auto" w:sz="8" w:space="0"/>
            </w:tcBorders>
            <w:shd w:val="clear" w:color="auto" w:fill="auto"/>
            <w:vAlign w:val="center"/>
          </w:tcPr>
          <w:p w14:paraId="620E2793">
            <w:pPr>
              <w:widowControl/>
              <w:spacing w:line="240" w:lineRule="auto"/>
              <w:ind w:firstLine="0" w:firstLineChars="0"/>
              <w:jc w:val="center"/>
              <w:textAlignment w:val="center"/>
              <w:rPr>
                <w:color w:val="auto"/>
                <w:sz w:val="21"/>
                <w:szCs w:val="21"/>
              </w:rPr>
            </w:pPr>
            <w:r>
              <w:rPr>
                <w:color w:val="auto"/>
                <w:kern w:val="0"/>
                <w:sz w:val="21"/>
                <w:szCs w:val="21"/>
                <w:lang w:bidi="ar"/>
              </w:rPr>
              <w:t>31</w:t>
            </w:r>
          </w:p>
        </w:tc>
        <w:tc>
          <w:tcPr>
            <w:tcW w:w="364" w:type="pct"/>
            <w:tcBorders>
              <w:top w:val="nil"/>
              <w:left w:val="nil"/>
              <w:bottom w:val="single" w:color="auto" w:sz="8" w:space="0"/>
              <w:right w:val="single" w:color="auto" w:sz="8" w:space="0"/>
            </w:tcBorders>
            <w:shd w:val="clear" w:color="auto" w:fill="auto"/>
            <w:vAlign w:val="center"/>
          </w:tcPr>
          <w:p w14:paraId="54111109">
            <w:pPr>
              <w:widowControl/>
              <w:spacing w:line="240" w:lineRule="auto"/>
              <w:ind w:firstLine="0" w:firstLineChars="0"/>
              <w:jc w:val="center"/>
              <w:textAlignment w:val="center"/>
              <w:rPr>
                <w:color w:val="auto"/>
                <w:sz w:val="21"/>
                <w:szCs w:val="21"/>
              </w:rPr>
            </w:pPr>
            <w:r>
              <w:rPr>
                <w:color w:val="auto"/>
                <w:kern w:val="0"/>
                <w:sz w:val="21"/>
                <w:szCs w:val="21"/>
                <w:lang w:bidi="ar"/>
              </w:rPr>
              <w:t>23</w:t>
            </w:r>
          </w:p>
        </w:tc>
        <w:tc>
          <w:tcPr>
            <w:tcW w:w="334" w:type="pct"/>
            <w:tcBorders>
              <w:top w:val="nil"/>
              <w:left w:val="nil"/>
              <w:bottom w:val="single" w:color="auto" w:sz="8" w:space="0"/>
              <w:right w:val="single" w:color="auto" w:sz="8" w:space="0"/>
            </w:tcBorders>
            <w:shd w:val="clear" w:color="auto" w:fill="auto"/>
            <w:vAlign w:val="center"/>
          </w:tcPr>
          <w:p w14:paraId="2DC76FEB">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557" w:type="pct"/>
            <w:tcBorders>
              <w:top w:val="nil"/>
              <w:left w:val="nil"/>
              <w:bottom w:val="single" w:color="auto" w:sz="8" w:space="0"/>
              <w:right w:val="nil"/>
            </w:tcBorders>
            <w:shd w:val="clear" w:color="auto" w:fill="auto"/>
            <w:vAlign w:val="center"/>
          </w:tcPr>
          <w:p w14:paraId="571D688E">
            <w:pPr>
              <w:widowControl/>
              <w:spacing w:line="240" w:lineRule="auto"/>
              <w:ind w:firstLine="0" w:firstLineChars="0"/>
              <w:jc w:val="center"/>
              <w:textAlignment w:val="center"/>
              <w:rPr>
                <w:color w:val="auto"/>
                <w:sz w:val="21"/>
                <w:szCs w:val="21"/>
              </w:rPr>
            </w:pPr>
            <w:r>
              <w:rPr>
                <w:color w:val="auto"/>
                <w:kern w:val="0"/>
                <w:sz w:val="21"/>
                <w:szCs w:val="21"/>
                <w:lang w:bidi="ar"/>
              </w:rPr>
              <w:t>900</w:t>
            </w:r>
          </w:p>
        </w:tc>
      </w:tr>
      <w:tr w14:paraId="79F10517">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3D2216EE">
            <w:pPr>
              <w:widowControl/>
              <w:spacing w:line="240" w:lineRule="auto"/>
              <w:ind w:firstLine="0" w:firstLineChars="0"/>
              <w:jc w:val="center"/>
              <w:textAlignment w:val="center"/>
              <w:rPr>
                <w:color w:val="auto"/>
                <w:sz w:val="21"/>
                <w:szCs w:val="21"/>
              </w:rPr>
            </w:pPr>
            <w:r>
              <w:rPr>
                <w:color w:val="auto"/>
                <w:kern w:val="0"/>
                <w:sz w:val="21"/>
                <w:szCs w:val="21"/>
                <w:lang w:bidi="ar"/>
              </w:rPr>
              <w:t>4</w:t>
            </w:r>
          </w:p>
        </w:tc>
        <w:tc>
          <w:tcPr>
            <w:tcW w:w="710" w:type="pct"/>
            <w:tcBorders>
              <w:top w:val="nil"/>
              <w:left w:val="nil"/>
              <w:bottom w:val="single" w:color="auto" w:sz="8" w:space="0"/>
              <w:right w:val="single" w:color="auto" w:sz="8" w:space="0"/>
            </w:tcBorders>
            <w:shd w:val="clear" w:color="auto" w:fill="auto"/>
            <w:vAlign w:val="center"/>
          </w:tcPr>
          <w:p w14:paraId="5FD68C6A">
            <w:pPr>
              <w:widowControl/>
              <w:spacing w:line="240" w:lineRule="auto"/>
              <w:ind w:firstLine="0" w:firstLineChars="0"/>
              <w:jc w:val="center"/>
              <w:textAlignment w:val="center"/>
              <w:rPr>
                <w:color w:val="auto"/>
                <w:sz w:val="21"/>
                <w:szCs w:val="21"/>
              </w:rPr>
            </w:pPr>
            <w:r>
              <w:rPr>
                <w:color w:val="auto"/>
                <w:kern w:val="0"/>
                <w:sz w:val="21"/>
                <w:szCs w:val="21"/>
                <w:lang w:bidi="ar"/>
              </w:rPr>
              <w:t>镍</w:t>
            </w:r>
          </w:p>
        </w:tc>
        <w:tc>
          <w:tcPr>
            <w:tcW w:w="395" w:type="pct"/>
            <w:tcBorders>
              <w:top w:val="nil"/>
              <w:left w:val="nil"/>
              <w:bottom w:val="single" w:color="auto" w:sz="8" w:space="0"/>
              <w:right w:val="single" w:color="auto" w:sz="8" w:space="0"/>
            </w:tcBorders>
            <w:shd w:val="clear" w:color="auto" w:fill="auto"/>
            <w:vAlign w:val="center"/>
          </w:tcPr>
          <w:p w14:paraId="44D5A42F">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402" w:type="pct"/>
            <w:tcBorders>
              <w:top w:val="nil"/>
              <w:left w:val="nil"/>
              <w:bottom w:val="single" w:color="auto" w:sz="8" w:space="0"/>
              <w:right w:val="single" w:color="auto" w:sz="8" w:space="0"/>
            </w:tcBorders>
            <w:shd w:val="clear" w:color="auto" w:fill="auto"/>
            <w:vAlign w:val="center"/>
          </w:tcPr>
          <w:p w14:paraId="53088B92">
            <w:pPr>
              <w:widowControl/>
              <w:spacing w:line="240" w:lineRule="auto"/>
              <w:ind w:firstLine="0" w:firstLineChars="0"/>
              <w:jc w:val="center"/>
              <w:textAlignment w:val="center"/>
              <w:rPr>
                <w:color w:val="auto"/>
                <w:sz w:val="21"/>
                <w:szCs w:val="21"/>
              </w:rPr>
            </w:pPr>
            <w:r>
              <w:rPr>
                <w:color w:val="auto"/>
                <w:kern w:val="0"/>
                <w:sz w:val="21"/>
                <w:szCs w:val="21"/>
                <w:lang w:bidi="ar"/>
              </w:rPr>
              <w:t>29</w:t>
            </w:r>
          </w:p>
        </w:tc>
        <w:tc>
          <w:tcPr>
            <w:tcW w:w="409" w:type="pct"/>
            <w:tcBorders>
              <w:top w:val="nil"/>
              <w:left w:val="nil"/>
              <w:bottom w:val="single" w:color="auto" w:sz="8" w:space="0"/>
              <w:right w:val="single" w:color="auto" w:sz="8" w:space="0"/>
            </w:tcBorders>
            <w:shd w:val="clear" w:color="auto" w:fill="auto"/>
            <w:vAlign w:val="center"/>
          </w:tcPr>
          <w:p w14:paraId="09DF3A7B">
            <w:pPr>
              <w:widowControl/>
              <w:spacing w:line="240" w:lineRule="auto"/>
              <w:ind w:firstLine="0" w:firstLineChars="0"/>
              <w:jc w:val="center"/>
              <w:textAlignment w:val="center"/>
              <w:rPr>
                <w:color w:val="auto"/>
                <w:sz w:val="21"/>
                <w:szCs w:val="21"/>
              </w:rPr>
            </w:pPr>
            <w:r>
              <w:rPr>
                <w:color w:val="auto"/>
                <w:kern w:val="0"/>
                <w:sz w:val="21"/>
                <w:szCs w:val="21"/>
                <w:lang w:bidi="ar"/>
              </w:rPr>
              <w:t>31</w:t>
            </w:r>
          </w:p>
        </w:tc>
        <w:tc>
          <w:tcPr>
            <w:tcW w:w="395" w:type="pct"/>
            <w:tcBorders>
              <w:top w:val="nil"/>
              <w:left w:val="nil"/>
              <w:bottom w:val="single" w:color="auto" w:sz="8" w:space="0"/>
              <w:right w:val="single" w:color="auto" w:sz="8" w:space="0"/>
            </w:tcBorders>
            <w:shd w:val="clear" w:color="auto" w:fill="auto"/>
            <w:vAlign w:val="center"/>
          </w:tcPr>
          <w:p w14:paraId="53D33D60">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402" w:type="pct"/>
            <w:tcBorders>
              <w:top w:val="nil"/>
              <w:left w:val="nil"/>
              <w:bottom w:val="single" w:color="auto" w:sz="8" w:space="0"/>
              <w:right w:val="single" w:color="auto" w:sz="8" w:space="0"/>
            </w:tcBorders>
            <w:shd w:val="clear" w:color="auto" w:fill="auto"/>
            <w:vAlign w:val="center"/>
          </w:tcPr>
          <w:p w14:paraId="69E66AA8">
            <w:pPr>
              <w:widowControl/>
              <w:spacing w:line="240" w:lineRule="auto"/>
              <w:ind w:firstLine="0" w:firstLineChars="0"/>
              <w:jc w:val="center"/>
              <w:textAlignment w:val="center"/>
              <w:rPr>
                <w:color w:val="auto"/>
                <w:sz w:val="21"/>
                <w:szCs w:val="21"/>
              </w:rPr>
            </w:pPr>
            <w:r>
              <w:rPr>
                <w:color w:val="auto"/>
                <w:kern w:val="0"/>
                <w:sz w:val="21"/>
                <w:szCs w:val="21"/>
                <w:lang w:bidi="ar"/>
              </w:rPr>
              <w:t>26</w:t>
            </w:r>
          </w:p>
        </w:tc>
        <w:tc>
          <w:tcPr>
            <w:tcW w:w="402" w:type="pct"/>
            <w:tcBorders>
              <w:top w:val="nil"/>
              <w:left w:val="nil"/>
              <w:bottom w:val="single" w:color="auto" w:sz="8" w:space="0"/>
              <w:right w:val="single" w:color="auto" w:sz="8" w:space="0"/>
            </w:tcBorders>
            <w:shd w:val="clear" w:color="auto" w:fill="auto"/>
            <w:vAlign w:val="center"/>
          </w:tcPr>
          <w:p w14:paraId="4796A69E">
            <w:pPr>
              <w:widowControl/>
              <w:spacing w:line="240" w:lineRule="auto"/>
              <w:ind w:firstLine="0" w:firstLineChars="0"/>
              <w:jc w:val="center"/>
              <w:textAlignment w:val="center"/>
              <w:rPr>
                <w:color w:val="auto"/>
                <w:sz w:val="21"/>
                <w:szCs w:val="21"/>
              </w:rPr>
            </w:pPr>
            <w:r>
              <w:rPr>
                <w:color w:val="auto"/>
                <w:kern w:val="0"/>
                <w:sz w:val="21"/>
                <w:szCs w:val="21"/>
                <w:lang w:bidi="ar"/>
              </w:rPr>
              <w:t>26</w:t>
            </w:r>
          </w:p>
        </w:tc>
        <w:tc>
          <w:tcPr>
            <w:tcW w:w="395" w:type="pct"/>
            <w:tcBorders>
              <w:top w:val="nil"/>
              <w:left w:val="nil"/>
              <w:bottom w:val="single" w:color="auto" w:sz="8" w:space="0"/>
              <w:right w:val="single" w:color="auto" w:sz="8" w:space="0"/>
            </w:tcBorders>
            <w:shd w:val="clear" w:color="auto" w:fill="auto"/>
            <w:vAlign w:val="center"/>
          </w:tcPr>
          <w:p w14:paraId="7982D157">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364" w:type="pct"/>
            <w:tcBorders>
              <w:top w:val="nil"/>
              <w:left w:val="nil"/>
              <w:bottom w:val="single" w:color="auto" w:sz="8" w:space="0"/>
              <w:right w:val="single" w:color="auto" w:sz="8" w:space="0"/>
            </w:tcBorders>
            <w:shd w:val="clear" w:color="auto" w:fill="auto"/>
            <w:vAlign w:val="center"/>
          </w:tcPr>
          <w:p w14:paraId="2AA5DD8F">
            <w:pPr>
              <w:widowControl/>
              <w:spacing w:line="240" w:lineRule="auto"/>
              <w:ind w:firstLine="0" w:firstLineChars="0"/>
              <w:jc w:val="center"/>
              <w:textAlignment w:val="center"/>
              <w:rPr>
                <w:color w:val="auto"/>
                <w:sz w:val="21"/>
                <w:szCs w:val="21"/>
              </w:rPr>
            </w:pPr>
            <w:r>
              <w:rPr>
                <w:color w:val="auto"/>
                <w:kern w:val="0"/>
                <w:sz w:val="21"/>
                <w:szCs w:val="21"/>
                <w:lang w:bidi="ar"/>
              </w:rPr>
              <w:t>30</w:t>
            </w:r>
          </w:p>
        </w:tc>
        <w:tc>
          <w:tcPr>
            <w:tcW w:w="334" w:type="pct"/>
            <w:tcBorders>
              <w:top w:val="nil"/>
              <w:left w:val="nil"/>
              <w:bottom w:val="single" w:color="auto" w:sz="8" w:space="0"/>
              <w:right w:val="single" w:color="auto" w:sz="8" w:space="0"/>
            </w:tcBorders>
            <w:shd w:val="clear" w:color="auto" w:fill="auto"/>
            <w:vAlign w:val="center"/>
          </w:tcPr>
          <w:p w14:paraId="3831809B">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c>
          <w:tcPr>
            <w:tcW w:w="557" w:type="pct"/>
            <w:tcBorders>
              <w:top w:val="nil"/>
              <w:left w:val="nil"/>
              <w:bottom w:val="single" w:color="auto" w:sz="8" w:space="0"/>
              <w:right w:val="nil"/>
            </w:tcBorders>
            <w:shd w:val="clear" w:color="auto" w:fill="auto"/>
            <w:vAlign w:val="center"/>
          </w:tcPr>
          <w:p w14:paraId="5E1F82FD">
            <w:pPr>
              <w:widowControl/>
              <w:spacing w:line="240" w:lineRule="auto"/>
              <w:ind w:firstLine="0" w:firstLineChars="0"/>
              <w:jc w:val="center"/>
              <w:textAlignment w:val="center"/>
              <w:rPr>
                <w:color w:val="auto"/>
                <w:sz w:val="21"/>
                <w:szCs w:val="21"/>
              </w:rPr>
            </w:pPr>
            <w:r>
              <w:rPr>
                <w:color w:val="auto"/>
                <w:kern w:val="0"/>
                <w:sz w:val="21"/>
                <w:szCs w:val="21"/>
                <w:lang w:bidi="ar"/>
              </w:rPr>
              <w:t>800</w:t>
            </w:r>
          </w:p>
        </w:tc>
      </w:tr>
      <w:tr w14:paraId="249DBCDF">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2E5D33C0">
            <w:pPr>
              <w:widowControl/>
              <w:spacing w:line="240" w:lineRule="auto"/>
              <w:ind w:firstLine="0" w:firstLineChars="0"/>
              <w:jc w:val="center"/>
              <w:textAlignment w:val="center"/>
              <w:rPr>
                <w:color w:val="auto"/>
                <w:sz w:val="21"/>
                <w:szCs w:val="21"/>
              </w:rPr>
            </w:pPr>
            <w:r>
              <w:rPr>
                <w:color w:val="auto"/>
                <w:kern w:val="0"/>
                <w:sz w:val="21"/>
                <w:szCs w:val="21"/>
                <w:lang w:bidi="ar"/>
              </w:rPr>
              <w:t>5</w:t>
            </w:r>
          </w:p>
        </w:tc>
        <w:tc>
          <w:tcPr>
            <w:tcW w:w="710" w:type="pct"/>
            <w:tcBorders>
              <w:top w:val="nil"/>
              <w:left w:val="nil"/>
              <w:bottom w:val="single" w:color="auto" w:sz="8" w:space="0"/>
              <w:right w:val="single" w:color="auto" w:sz="8" w:space="0"/>
            </w:tcBorders>
            <w:shd w:val="clear" w:color="auto" w:fill="auto"/>
            <w:vAlign w:val="center"/>
          </w:tcPr>
          <w:p w14:paraId="489711E9">
            <w:pPr>
              <w:widowControl/>
              <w:spacing w:line="240" w:lineRule="auto"/>
              <w:ind w:firstLine="0" w:firstLineChars="0"/>
              <w:jc w:val="center"/>
              <w:textAlignment w:val="center"/>
              <w:rPr>
                <w:color w:val="auto"/>
                <w:sz w:val="21"/>
                <w:szCs w:val="21"/>
              </w:rPr>
            </w:pPr>
            <w:r>
              <w:rPr>
                <w:color w:val="auto"/>
                <w:kern w:val="0"/>
                <w:sz w:val="21"/>
                <w:szCs w:val="21"/>
                <w:lang w:bidi="ar"/>
              </w:rPr>
              <w:t>镉</w:t>
            </w:r>
          </w:p>
        </w:tc>
        <w:tc>
          <w:tcPr>
            <w:tcW w:w="395" w:type="pct"/>
            <w:tcBorders>
              <w:top w:val="nil"/>
              <w:left w:val="nil"/>
              <w:bottom w:val="single" w:color="auto" w:sz="8" w:space="0"/>
              <w:right w:val="single" w:color="auto" w:sz="8" w:space="0"/>
            </w:tcBorders>
            <w:shd w:val="clear" w:color="auto" w:fill="auto"/>
            <w:vAlign w:val="center"/>
          </w:tcPr>
          <w:p w14:paraId="6696E438">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02" w:type="pct"/>
            <w:tcBorders>
              <w:top w:val="nil"/>
              <w:left w:val="nil"/>
              <w:bottom w:val="single" w:color="auto" w:sz="8" w:space="0"/>
              <w:right w:val="single" w:color="auto" w:sz="8" w:space="0"/>
            </w:tcBorders>
            <w:shd w:val="clear" w:color="auto" w:fill="auto"/>
            <w:vAlign w:val="center"/>
          </w:tcPr>
          <w:p w14:paraId="45BE2A9C">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09" w:type="pct"/>
            <w:tcBorders>
              <w:top w:val="nil"/>
              <w:left w:val="nil"/>
              <w:bottom w:val="single" w:color="auto" w:sz="8" w:space="0"/>
              <w:right w:val="single" w:color="auto" w:sz="8" w:space="0"/>
            </w:tcBorders>
            <w:shd w:val="clear" w:color="auto" w:fill="auto"/>
            <w:vAlign w:val="center"/>
          </w:tcPr>
          <w:p w14:paraId="2B757C96">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395" w:type="pct"/>
            <w:tcBorders>
              <w:top w:val="nil"/>
              <w:left w:val="nil"/>
              <w:bottom w:val="single" w:color="auto" w:sz="8" w:space="0"/>
              <w:right w:val="single" w:color="auto" w:sz="8" w:space="0"/>
            </w:tcBorders>
            <w:shd w:val="clear" w:color="auto" w:fill="auto"/>
            <w:vAlign w:val="center"/>
          </w:tcPr>
          <w:p w14:paraId="55395F22">
            <w:pPr>
              <w:widowControl/>
              <w:spacing w:line="240" w:lineRule="auto"/>
              <w:ind w:firstLine="0" w:firstLineChars="0"/>
              <w:jc w:val="center"/>
              <w:textAlignment w:val="center"/>
              <w:rPr>
                <w:color w:val="auto"/>
                <w:sz w:val="21"/>
                <w:szCs w:val="21"/>
              </w:rPr>
            </w:pPr>
            <w:r>
              <w:rPr>
                <w:color w:val="auto"/>
                <w:kern w:val="0"/>
                <w:sz w:val="21"/>
                <w:szCs w:val="21"/>
                <w:lang w:bidi="ar"/>
              </w:rPr>
              <w:t>0.1</w:t>
            </w:r>
          </w:p>
        </w:tc>
        <w:tc>
          <w:tcPr>
            <w:tcW w:w="402" w:type="pct"/>
            <w:tcBorders>
              <w:top w:val="nil"/>
              <w:left w:val="nil"/>
              <w:bottom w:val="single" w:color="auto" w:sz="8" w:space="0"/>
              <w:right w:val="single" w:color="auto" w:sz="8" w:space="0"/>
            </w:tcBorders>
            <w:shd w:val="clear" w:color="auto" w:fill="auto"/>
            <w:vAlign w:val="center"/>
          </w:tcPr>
          <w:p w14:paraId="1503709F">
            <w:pPr>
              <w:widowControl/>
              <w:spacing w:line="240" w:lineRule="auto"/>
              <w:ind w:firstLine="0" w:firstLineChars="0"/>
              <w:jc w:val="center"/>
              <w:textAlignment w:val="center"/>
              <w:rPr>
                <w:color w:val="auto"/>
                <w:sz w:val="21"/>
                <w:szCs w:val="21"/>
              </w:rPr>
            </w:pPr>
            <w:r>
              <w:rPr>
                <w:color w:val="auto"/>
                <w:kern w:val="0"/>
                <w:sz w:val="21"/>
                <w:szCs w:val="21"/>
                <w:lang w:bidi="ar"/>
              </w:rPr>
              <w:t>0.08</w:t>
            </w:r>
          </w:p>
        </w:tc>
        <w:tc>
          <w:tcPr>
            <w:tcW w:w="402" w:type="pct"/>
            <w:tcBorders>
              <w:top w:val="nil"/>
              <w:left w:val="nil"/>
              <w:bottom w:val="single" w:color="auto" w:sz="8" w:space="0"/>
              <w:right w:val="single" w:color="auto" w:sz="8" w:space="0"/>
            </w:tcBorders>
            <w:shd w:val="clear" w:color="auto" w:fill="auto"/>
            <w:vAlign w:val="center"/>
          </w:tcPr>
          <w:p w14:paraId="4004525D">
            <w:pPr>
              <w:widowControl/>
              <w:spacing w:line="240" w:lineRule="auto"/>
              <w:ind w:firstLine="0" w:firstLineChars="0"/>
              <w:jc w:val="center"/>
              <w:textAlignment w:val="center"/>
              <w:rPr>
                <w:color w:val="auto"/>
                <w:sz w:val="21"/>
                <w:szCs w:val="21"/>
              </w:rPr>
            </w:pPr>
            <w:r>
              <w:rPr>
                <w:color w:val="auto"/>
                <w:kern w:val="0"/>
                <w:sz w:val="21"/>
                <w:szCs w:val="21"/>
                <w:lang w:bidi="ar"/>
              </w:rPr>
              <w:t>0.13</w:t>
            </w:r>
          </w:p>
        </w:tc>
        <w:tc>
          <w:tcPr>
            <w:tcW w:w="395" w:type="pct"/>
            <w:tcBorders>
              <w:top w:val="nil"/>
              <w:left w:val="nil"/>
              <w:bottom w:val="single" w:color="auto" w:sz="8" w:space="0"/>
              <w:right w:val="single" w:color="auto" w:sz="8" w:space="0"/>
            </w:tcBorders>
            <w:shd w:val="clear" w:color="auto" w:fill="auto"/>
            <w:vAlign w:val="center"/>
          </w:tcPr>
          <w:p w14:paraId="00D88205">
            <w:pPr>
              <w:widowControl/>
              <w:spacing w:line="240" w:lineRule="auto"/>
              <w:ind w:firstLine="0" w:firstLineChars="0"/>
              <w:jc w:val="center"/>
              <w:textAlignment w:val="center"/>
              <w:rPr>
                <w:color w:val="auto"/>
                <w:sz w:val="21"/>
                <w:szCs w:val="21"/>
              </w:rPr>
            </w:pPr>
            <w:r>
              <w:rPr>
                <w:color w:val="auto"/>
                <w:kern w:val="0"/>
                <w:sz w:val="21"/>
                <w:szCs w:val="21"/>
                <w:lang w:bidi="ar"/>
              </w:rPr>
              <w:t>0.11</w:t>
            </w:r>
          </w:p>
        </w:tc>
        <w:tc>
          <w:tcPr>
            <w:tcW w:w="364" w:type="pct"/>
            <w:tcBorders>
              <w:top w:val="nil"/>
              <w:left w:val="nil"/>
              <w:bottom w:val="single" w:color="auto" w:sz="8" w:space="0"/>
              <w:right w:val="single" w:color="auto" w:sz="8" w:space="0"/>
            </w:tcBorders>
            <w:shd w:val="clear" w:color="auto" w:fill="auto"/>
            <w:vAlign w:val="center"/>
          </w:tcPr>
          <w:p w14:paraId="0D00B131">
            <w:pPr>
              <w:widowControl/>
              <w:spacing w:line="240" w:lineRule="auto"/>
              <w:ind w:firstLine="0" w:firstLineChars="0"/>
              <w:jc w:val="center"/>
              <w:textAlignment w:val="center"/>
              <w:rPr>
                <w:color w:val="auto"/>
                <w:sz w:val="21"/>
                <w:szCs w:val="21"/>
              </w:rPr>
            </w:pPr>
            <w:r>
              <w:rPr>
                <w:color w:val="auto"/>
                <w:kern w:val="0"/>
                <w:sz w:val="21"/>
                <w:szCs w:val="21"/>
                <w:lang w:bidi="ar"/>
              </w:rPr>
              <w:t>0.15</w:t>
            </w:r>
          </w:p>
        </w:tc>
        <w:tc>
          <w:tcPr>
            <w:tcW w:w="334" w:type="pct"/>
            <w:tcBorders>
              <w:top w:val="nil"/>
              <w:left w:val="nil"/>
              <w:bottom w:val="single" w:color="auto" w:sz="8" w:space="0"/>
              <w:right w:val="single" w:color="auto" w:sz="8" w:space="0"/>
            </w:tcBorders>
            <w:shd w:val="clear" w:color="auto" w:fill="auto"/>
            <w:vAlign w:val="center"/>
          </w:tcPr>
          <w:p w14:paraId="6E9A6131">
            <w:pPr>
              <w:widowControl/>
              <w:spacing w:line="240" w:lineRule="auto"/>
              <w:ind w:firstLine="0" w:firstLineChars="0"/>
              <w:jc w:val="center"/>
              <w:textAlignment w:val="center"/>
              <w:rPr>
                <w:color w:val="auto"/>
                <w:sz w:val="21"/>
                <w:szCs w:val="21"/>
              </w:rPr>
            </w:pPr>
            <w:r>
              <w:rPr>
                <w:color w:val="auto"/>
                <w:kern w:val="0"/>
                <w:sz w:val="21"/>
                <w:szCs w:val="21"/>
                <w:lang w:bidi="ar"/>
              </w:rPr>
              <w:t>0.1</w:t>
            </w:r>
          </w:p>
        </w:tc>
        <w:tc>
          <w:tcPr>
            <w:tcW w:w="557" w:type="pct"/>
            <w:tcBorders>
              <w:top w:val="nil"/>
              <w:left w:val="nil"/>
              <w:bottom w:val="single" w:color="auto" w:sz="8" w:space="0"/>
              <w:right w:val="nil"/>
            </w:tcBorders>
            <w:shd w:val="clear" w:color="auto" w:fill="auto"/>
            <w:vAlign w:val="center"/>
          </w:tcPr>
          <w:p w14:paraId="338F8994">
            <w:pPr>
              <w:widowControl/>
              <w:spacing w:line="240" w:lineRule="auto"/>
              <w:ind w:firstLine="0" w:firstLineChars="0"/>
              <w:jc w:val="center"/>
              <w:textAlignment w:val="center"/>
              <w:rPr>
                <w:color w:val="auto"/>
                <w:sz w:val="21"/>
                <w:szCs w:val="21"/>
              </w:rPr>
            </w:pPr>
            <w:r>
              <w:rPr>
                <w:color w:val="auto"/>
                <w:kern w:val="0"/>
                <w:sz w:val="21"/>
                <w:szCs w:val="21"/>
                <w:lang w:bidi="ar"/>
              </w:rPr>
              <w:t>65</w:t>
            </w:r>
          </w:p>
        </w:tc>
      </w:tr>
      <w:tr w14:paraId="1547CDCA">
        <w:tblPrEx>
          <w:tblCellMar>
            <w:top w:w="0" w:type="dxa"/>
            <w:left w:w="108" w:type="dxa"/>
            <w:bottom w:w="0" w:type="dxa"/>
            <w:right w:w="108" w:type="dxa"/>
          </w:tblCellMar>
        </w:tblPrEx>
        <w:trPr>
          <w:trHeight w:val="198" w:hRule="atLeast"/>
        </w:trPr>
        <w:tc>
          <w:tcPr>
            <w:tcW w:w="230" w:type="pct"/>
            <w:tcBorders>
              <w:top w:val="nil"/>
              <w:left w:val="nil"/>
              <w:bottom w:val="single" w:color="auto" w:sz="8" w:space="0"/>
              <w:right w:val="single" w:color="auto" w:sz="8" w:space="0"/>
            </w:tcBorders>
            <w:shd w:val="clear" w:color="auto" w:fill="auto"/>
            <w:vAlign w:val="center"/>
          </w:tcPr>
          <w:p w14:paraId="52638323">
            <w:pPr>
              <w:widowControl/>
              <w:spacing w:line="240" w:lineRule="auto"/>
              <w:ind w:firstLine="0" w:firstLineChars="0"/>
              <w:jc w:val="center"/>
              <w:textAlignment w:val="center"/>
              <w:rPr>
                <w:color w:val="auto"/>
                <w:sz w:val="21"/>
                <w:szCs w:val="21"/>
              </w:rPr>
            </w:pPr>
            <w:r>
              <w:rPr>
                <w:color w:val="auto"/>
                <w:kern w:val="0"/>
                <w:sz w:val="21"/>
                <w:szCs w:val="21"/>
                <w:lang w:bidi="ar"/>
              </w:rPr>
              <w:t>6</w:t>
            </w:r>
          </w:p>
        </w:tc>
        <w:tc>
          <w:tcPr>
            <w:tcW w:w="710" w:type="pct"/>
            <w:tcBorders>
              <w:top w:val="nil"/>
              <w:left w:val="nil"/>
              <w:bottom w:val="single" w:color="auto" w:sz="8" w:space="0"/>
              <w:right w:val="single" w:color="auto" w:sz="8" w:space="0"/>
            </w:tcBorders>
            <w:shd w:val="clear" w:color="auto" w:fill="auto"/>
            <w:vAlign w:val="center"/>
          </w:tcPr>
          <w:p w14:paraId="4EAAC489">
            <w:pPr>
              <w:widowControl/>
              <w:spacing w:line="240" w:lineRule="auto"/>
              <w:ind w:firstLine="0" w:firstLineChars="0"/>
              <w:jc w:val="center"/>
              <w:textAlignment w:val="center"/>
              <w:rPr>
                <w:color w:val="auto"/>
                <w:sz w:val="21"/>
                <w:szCs w:val="21"/>
              </w:rPr>
            </w:pPr>
            <w:r>
              <w:rPr>
                <w:color w:val="auto"/>
                <w:kern w:val="0"/>
                <w:sz w:val="21"/>
                <w:szCs w:val="21"/>
                <w:lang w:bidi="ar"/>
              </w:rPr>
              <w:t>六价铬</w:t>
            </w:r>
          </w:p>
        </w:tc>
        <w:tc>
          <w:tcPr>
            <w:tcW w:w="395" w:type="pct"/>
            <w:tcBorders>
              <w:top w:val="nil"/>
              <w:left w:val="nil"/>
              <w:bottom w:val="single" w:color="auto" w:sz="8" w:space="0"/>
              <w:right w:val="single" w:color="auto" w:sz="8" w:space="0"/>
            </w:tcBorders>
            <w:shd w:val="clear" w:color="auto" w:fill="auto"/>
            <w:vAlign w:val="center"/>
          </w:tcPr>
          <w:p w14:paraId="0842880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B6A0AC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2E2B522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EFB52F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AA9F14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499B85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842888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B7C541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7BB4022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3C26FCC">
            <w:pPr>
              <w:widowControl/>
              <w:spacing w:line="240" w:lineRule="auto"/>
              <w:ind w:firstLine="0" w:firstLineChars="0"/>
              <w:jc w:val="center"/>
              <w:textAlignment w:val="center"/>
              <w:rPr>
                <w:color w:val="auto"/>
                <w:sz w:val="21"/>
                <w:szCs w:val="21"/>
              </w:rPr>
            </w:pPr>
            <w:r>
              <w:rPr>
                <w:color w:val="auto"/>
                <w:kern w:val="0"/>
                <w:sz w:val="21"/>
                <w:szCs w:val="21"/>
                <w:lang w:bidi="ar"/>
              </w:rPr>
              <w:t>5.7</w:t>
            </w:r>
          </w:p>
        </w:tc>
      </w:tr>
      <w:tr w14:paraId="07A72EBE">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7EAE6857">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710" w:type="pct"/>
            <w:tcBorders>
              <w:top w:val="nil"/>
              <w:left w:val="nil"/>
              <w:bottom w:val="single" w:color="auto" w:sz="8" w:space="0"/>
              <w:right w:val="single" w:color="auto" w:sz="8" w:space="0"/>
            </w:tcBorders>
            <w:shd w:val="clear" w:color="auto" w:fill="auto"/>
            <w:vAlign w:val="center"/>
          </w:tcPr>
          <w:p w14:paraId="03E5C706">
            <w:pPr>
              <w:widowControl/>
              <w:spacing w:line="240" w:lineRule="auto"/>
              <w:ind w:firstLine="0" w:firstLineChars="0"/>
              <w:jc w:val="center"/>
              <w:textAlignment w:val="center"/>
              <w:rPr>
                <w:color w:val="auto"/>
                <w:sz w:val="21"/>
                <w:szCs w:val="21"/>
              </w:rPr>
            </w:pPr>
            <w:r>
              <w:rPr>
                <w:color w:val="auto"/>
                <w:kern w:val="0"/>
                <w:sz w:val="21"/>
                <w:szCs w:val="21"/>
                <w:lang w:bidi="ar"/>
              </w:rPr>
              <w:t>砷</w:t>
            </w:r>
          </w:p>
        </w:tc>
        <w:tc>
          <w:tcPr>
            <w:tcW w:w="395" w:type="pct"/>
            <w:tcBorders>
              <w:top w:val="nil"/>
              <w:left w:val="nil"/>
              <w:bottom w:val="single" w:color="auto" w:sz="8" w:space="0"/>
              <w:right w:val="single" w:color="auto" w:sz="8" w:space="0"/>
            </w:tcBorders>
            <w:shd w:val="clear" w:color="auto" w:fill="auto"/>
            <w:vAlign w:val="center"/>
          </w:tcPr>
          <w:p w14:paraId="2110D692">
            <w:pPr>
              <w:widowControl/>
              <w:spacing w:line="240" w:lineRule="auto"/>
              <w:ind w:firstLine="0" w:firstLineChars="0"/>
              <w:jc w:val="center"/>
              <w:textAlignment w:val="center"/>
              <w:rPr>
                <w:color w:val="auto"/>
                <w:sz w:val="21"/>
                <w:szCs w:val="21"/>
              </w:rPr>
            </w:pPr>
            <w:r>
              <w:rPr>
                <w:color w:val="auto"/>
                <w:kern w:val="0"/>
                <w:sz w:val="21"/>
                <w:szCs w:val="21"/>
                <w:lang w:bidi="ar"/>
              </w:rPr>
              <w:t>7.88</w:t>
            </w:r>
          </w:p>
        </w:tc>
        <w:tc>
          <w:tcPr>
            <w:tcW w:w="402" w:type="pct"/>
            <w:tcBorders>
              <w:top w:val="nil"/>
              <w:left w:val="nil"/>
              <w:bottom w:val="single" w:color="auto" w:sz="8" w:space="0"/>
              <w:right w:val="single" w:color="auto" w:sz="8" w:space="0"/>
            </w:tcBorders>
            <w:shd w:val="clear" w:color="auto" w:fill="auto"/>
            <w:vAlign w:val="center"/>
          </w:tcPr>
          <w:p w14:paraId="1E046B05">
            <w:pPr>
              <w:widowControl/>
              <w:spacing w:line="240" w:lineRule="auto"/>
              <w:ind w:firstLine="0" w:firstLineChars="0"/>
              <w:jc w:val="center"/>
              <w:textAlignment w:val="center"/>
              <w:rPr>
                <w:color w:val="auto"/>
                <w:sz w:val="21"/>
                <w:szCs w:val="21"/>
              </w:rPr>
            </w:pPr>
            <w:r>
              <w:rPr>
                <w:color w:val="auto"/>
                <w:kern w:val="0"/>
                <w:sz w:val="21"/>
                <w:szCs w:val="21"/>
                <w:lang w:bidi="ar"/>
              </w:rPr>
              <w:t>6.89</w:t>
            </w:r>
          </w:p>
        </w:tc>
        <w:tc>
          <w:tcPr>
            <w:tcW w:w="409" w:type="pct"/>
            <w:tcBorders>
              <w:top w:val="nil"/>
              <w:left w:val="nil"/>
              <w:bottom w:val="single" w:color="auto" w:sz="8" w:space="0"/>
              <w:right w:val="single" w:color="auto" w:sz="8" w:space="0"/>
            </w:tcBorders>
            <w:shd w:val="clear" w:color="auto" w:fill="auto"/>
            <w:vAlign w:val="center"/>
          </w:tcPr>
          <w:p w14:paraId="2A8A5956">
            <w:pPr>
              <w:widowControl/>
              <w:spacing w:line="240" w:lineRule="auto"/>
              <w:ind w:firstLine="0" w:firstLineChars="0"/>
              <w:jc w:val="center"/>
              <w:textAlignment w:val="center"/>
              <w:rPr>
                <w:color w:val="auto"/>
                <w:sz w:val="21"/>
                <w:szCs w:val="21"/>
              </w:rPr>
            </w:pPr>
            <w:r>
              <w:rPr>
                <w:color w:val="auto"/>
                <w:kern w:val="0"/>
                <w:sz w:val="21"/>
                <w:szCs w:val="21"/>
                <w:lang w:bidi="ar"/>
              </w:rPr>
              <w:t>6.26</w:t>
            </w:r>
          </w:p>
        </w:tc>
        <w:tc>
          <w:tcPr>
            <w:tcW w:w="395" w:type="pct"/>
            <w:tcBorders>
              <w:top w:val="nil"/>
              <w:left w:val="nil"/>
              <w:bottom w:val="single" w:color="auto" w:sz="8" w:space="0"/>
              <w:right w:val="single" w:color="auto" w:sz="8" w:space="0"/>
            </w:tcBorders>
            <w:shd w:val="clear" w:color="auto" w:fill="auto"/>
            <w:vAlign w:val="center"/>
          </w:tcPr>
          <w:p w14:paraId="18920CC4">
            <w:pPr>
              <w:widowControl/>
              <w:spacing w:line="240" w:lineRule="auto"/>
              <w:ind w:firstLine="0" w:firstLineChars="0"/>
              <w:jc w:val="center"/>
              <w:textAlignment w:val="center"/>
              <w:rPr>
                <w:color w:val="auto"/>
                <w:sz w:val="21"/>
                <w:szCs w:val="21"/>
              </w:rPr>
            </w:pPr>
            <w:r>
              <w:rPr>
                <w:color w:val="auto"/>
                <w:kern w:val="0"/>
                <w:sz w:val="21"/>
                <w:szCs w:val="21"/>
                <w:lang w:bidi="ar"/>
              </w:rPr>
              <w:t>7.58</w:t>
            </w:r>
          </w:p>
        </w:tc>
        <w:tc>
          <w:tcPr>
            <w:tcW w:w="402" w:type="pct"/>
            <w:tcBorders>
              <w:top w:val="nil"/>
              <w:left w:val="nil"/>
              <w:bottom w:val="single" w:color="auto" w:sz="8" w:space="0"/>
              <w:right w:val="single" w:color="auto" w:sz="8" w:space="0"/>
            </w:tcBorders>
            <w:shd w:val="clear" w:color="auto" w:fill="auto"/>
            <w:vAlign w:val="center"/>
          </w:tcPr>
          <w:p w14:paraId="36006A7C">
            <w:pPr>
              <w:widowControl/>
              <w:spacing w:line="240" w:lineRule="auto"/>
              <w:ind w:firstLine="0" w:firstLineChars="0"/>
              <w:jc w:val="center"/>
              <w:textAlignment w:val="center"/>
              <w:rPr>
                <w:color w:val="auto"/>
                <w:sz w:val="21"/>
                <w:szCs w:val="21"/>
              </w:rPr>
            </w:pPr>
            <w:r>
              <w:rPr>
                <w:color w:val="auto"/>
                <w:kern w:val="0"/>
                <w:sz w:val="21"/>
                <w:szCs w:val="21"/>
                <w:lang w:bidi="ar"/>
              </w:rPr>
              <w:t>8.13</w:t>
            </w:r>
          </w:p>
        </w:tc>
        <w:tc>
          <w:tcPr>
            <w:tcW w:w="402" w:type="pct"/>
            <w:tcBorders>
              <w:top w:val="nil"/>
              <w:left w:val="nil"/>
              <w:bottom w:val="single" w:color="auto" w:sz="8" w:space="0"/>
              <w:right w:val="single" w:color="auto" w:sz="8" w:space="0"/>
            </w:tcBorders>
            <w:shd w:val="clear" w:color="auto" w:fill="auto"/>
            <w:vAlign w:val="center"/>
          </w:tcPr>
          <w:p w14:paraId="4901E220">
            <w:pPr>
              <w:widowControl/>
              <w:spacing w:line="240" w:lineRule="auto"/>
              <w:ind w:firstLine="0" w:firstLineChars="0"/>
              <w:jc w:val="center"/>
              <w:textAlignment w:val="center"/>
              <w:rPr>
                <w:color w:val="auto"/>
                <w:sz w:val="21"/>
                <w:szCs w:val="21"/>
              </w:rPr>
            </w:pPr>
            <w:r>
              <w:rPr>
                <w:color w:val="auto"/>
                <w:kern w:val="0"/>
                <w:sz w:val="21"/>
                <w:szCs w:val="21"/>
                <w:lang w:bidi="ar"/>
              </w:rPr>
              <w:t>6.79</w:t>
            </w:r>
          </w:p>
        </w:tc>
        <w:tc>
          <w:tcPr>
            <w:tcW w:w="395" w:type="pct"/>
            <w:tcBorders>
              <w:top w:val="nil"/>
              <w:left w:val="nil"/>
              <w:bottom w:val="single" w:color="auto" w:sz="8" w:space="0"/>
              <w:right w:val="single" w:color="auto" w:sz="8" w:space="0"/>
            </w:tcBorders>
            <w:shd w:val="clear" w:color="auto" w:fill="auto"/>
            <w:vAlign w:val="center"/>
          </w:tcPr>
          <w:p w14:paraId="684CBF9D">
            <w:pPr>
              <w:widowControl/>
              <w:spacing w:line="240" w:lineRule="auto"/>
              <w:ind w:firstLine="0" w:firstLineChars="0"/>
              <w:jc w:val="center"/>
              <w:textAlignment w:val="center"/>
              <w:rPr>
                <w:color w:val="auto"/>
                <w:sz w:val="21"/>
                <w:szCs w:val="21"/>
              </w:rPr>
            </w:pPr>
            <w:r>
              <w:rPr>
                <w:color w:val="auto"/>
                <w:kern w:val="0"/>
                <w:sz w:val="21"/>
                <w:szCs w:val="21"/>
                <w:lang w:bidi="ar"/>
              </w:rPr>
              <w:t>6.64</w:t>
            </w:r>
          </w:p>
        </w:tc>
        <w:tc>
          <w:tcPr>
            <w:tcW w:w="364" w:type="pct"/>
            <w:tcBorders>
              <w:top w:val="nil"/>
              <w:left w:val="nil"/>
              <w:bottom w:val="single" w:color="auto" w:sz="8" w:space="0"/>
              <w:right w:val="single" w:color="auto" w:sz="8" w:space="0"/>
            </w:tcBorders>
            <w:shd w:val="clear" w:color="auto" w:fill="auto"/>
            <w:vAlign w:val="center"/>
          </w:tcPr>
          <w:p w14:paraId="635FC9A4">
            <w:pPr>
              <w:widowControl/>
              <w:spacing w:line="240" w:lineRule="auto"/>
              <w:ind w:firstLine="0" w:firstLineChars="0"/>
              <w:jc w:val="center"/>
              <w:textAlignment w:val="center"/>
              <w:rPr>
                <w:color w:val="auto"/>
                <w:sz w:val="21"/>
                <w:szCs w:val="21"/>
              </w:rPr>
            </w:pPr>
            <w:r>
              <w:rPr>
                <w:color w:val="auto"/>
                <w:kern w:val="0"/>
                <w:sz w:val="21"/>
                <w:szCs w:val="21"/>
                <w:lang w:bidi="ar"/>
              </w:rPr>
              <w:t>7.39</w:t>
            </w:r>
          </w:p>
        </w:tc>
        <w:tc>
          <w:tcPr>
            <w:tcW w:w="334" w:type="pct"/>
            <w:tcBorders>
              <w:top w:val="nil"/>
              <w:left w:val="nil"/>
              <w:bottom w:val="single" w:color="auto" w:sz="8" w:space="0"/>
              <w:right w:val="single" w:color="auto" w:sz="8" w:space="0"/>
            </w:tcBorders>
            <w:shd w:val="clear" w:color="auto" w:fill="auto"/>
            <w:vAlign w:val="center"/>
          </w:tcPr>
          <w:p w14:paraId="6CC79016">
            <w:pPr>
              <w:widowControl/>
              <w:spacing w:line="240" w:lineRule="auto"/>
              <w:ind w:firstLine="0" w:firstLineChars="0"/>
              <w:jc w:val="center"/>
              <w:textAlignment w:val="center"/>
              <w:rPr>
                <w:color w:val="auto"/>
                <w:sz w:val="21"/>
                <w:szCs w:val="21"/>
              </w:rPr>
            </w:pPr>
            <w:r>
              <w:rPr>
                <w:color w:val="auto"/>
                <w:kern w:val="0"/>
                <w:sz w:val="21"/>
                <w:szCs w:val="21"/>
                <w:lang w:bidi="ar"/>
              </w:rPr>
              <w:t>7.8</w:t>
            </w:r>
          </w:p>
        </w:tc>
        <w:tc>
          <w:tcPr>
            <w:tcW w:w="557" w:type="pct"/>
            <w:tcBorders>
              <w:top w:val="nil"/>
              <w:left w:val="nil"/>
              <w:bottom w:val="single" w:color="auto" w:sz="8" w:space="0"/>
              <w:right w:val="nil"/>
            </w:tcBorders>
            <w:shd w:val="clear" w:color="auto" w:fill="auto"/>
            <w:vAlign w:val="center"/>
          </w:tcPr>
          <w:p w14:paraId="3EEF9155">
            <w:pPr>
              <w:widowControl/>
              <w:spacing w:line="240" w:lineRule="auto"/>
              <w:ind w:firstLine="0" w:firstLineChars="0"/>
              <w:jc w:val="center"/>
              <w:textAlignment w:val="center"/>
              <w:rPr>
                <w:color w:val="auto"/>
                <w:sz w:val="21"/>
                <w:szCs w:val="21"/>
              </w:rPr>
            </w:pPr>
            <w:r>
              <w:rPr>
                <w:color w:val="auto"/>
                <w:kern w:val="0"/>
                <w:sz w:val="21"/>
                <w:szCs w:val="21"/>
                <w:lang w:bidi="ar"/>
              </w:rPr>
              <w:t>60</w:t>
            </w:r>
          </w:p>
        </w:tc>
      </w:tr>
      <w:tr w14:paraId="46527F43">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33B8DFBA">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710" w:type="pct"/>
            <w:tcBorders>
              <w:top w:val="nil"/>
              <w:left w:val="nil"/>
              <w:bottom w:val="single" w:color="auto" w:sz="8" w:space="0"/>
              <w:right w:val="single" w:color="auto" w:sz="8" w:space="0"/>
            </w:tcBorders>
            <w:shd w:val="clear" w:color="auto" w:fill="auto"/>
            <w:vAlign w:val="center"/>
          </w:tcPr>
          <w:p w14:paraId="566BBEF5">
            <w:pPr>
              <w:widowControl/>
              <w:spacing w:line="240" w:lineRule="auto"/>
              <w:ind w:firstLine="0" w:firstLineChars="0"/>
              <w:jc w:val="center"/>
              <w:textAlignment w:val="center"/>
              <w:rPr>
                <w:color w:val="auto"/>
                <w:sz w:val="21"/>
                <w:szCs w:val="21"/>
              </w:rPr>
            </w:pPr>
            <w:r>
              <w:rPr>
                <w:color w:val="auto"/>
                <w:kern w:val="0"/>
                <w:sz w:val="21"/>
                <w:szCs w:val="21"/>
                <w:lang w:bidi="ar"/>
              </w:rPr>
              <w:t>汞</w:t>
            </w:r>
          </w:p>
        </w:tc>
        <w:tc>
          <w:tcPr>
            <w:tcW w:w="395" w:type="pct"/>
            <w:tcBorders>
              <w:top w:val="nil"/>
              <w:left w:val="nil"/>
              <w:bottom w:val="single" w:color="auto" w:sz="8" w:space="0"/>
              <w:right w:val="single" w:color="auto" w:sz="8" w:space="0"/>
            </w:tcBorders>
            <w:shd w:val="clear" w:color="auto" w:fill="auto"/>
            <w:vAlign w:val="center"/>
          </w:tcPr>
          <w:p w14:paraId="7E89956A">
            <w:pPr>
              <w:widowControl/>
              <w:spacing w:line="240" w:lineRule="auto"/>
              <w:ind w:firstLine="0" w:firstLineChars="0"/>
              <w:jc w:val="center"/>
              <w:textAlignment w:val="center"/>
              <w:rPr>
                <w:color w:val="auto"/>
                <w:sz w:val="21"/>
                <w:szCs w:val="21"/>
              </w:rPr>
            </w:pPr>
            <w:r>
              <w:rPr>
                <w:color w:val="auto"/>
                <w:kern w:val="0"/>
                <w:sz w:val="21"/>
                <w:szCs w:val="21"/>
                <w:lang w:bidi="ar"/>
              </w:rPr>
              <w:t>0.106</w:t>
            </w:r>
          </w:p>
        </w:tc>
        <w:tc>
          <w:tcPr>
            <w:tcW w:w="402" w:type="pct"/>
            <w:tcBorders>
              <w:top w:val="nil"/>
              <w:left w:val="nil"/>
              <w:bottom w:val="single" w:color="auto" w:sz="8" w:space="0"/>
              <w:right w:val="single" w:color="auto" w:sz="8" w:space="0"/>
            </w:tcBorders>
            <w:shd w:val="clear" w:color="auto" w:fill="auto"/>
            <w:vAlign w:val="center"/>
          </w:tcPr>
          <w:p w14:paraId="7F361098">
            <w:pPr>
              <w:widowControl/>
              <w:spacing w:line="240" w:lineRule="auto"/>
              <w:ind w:firstLine="0" w:firstLineChars="0"/>
              <w:jc w:val="center"/>
              <w:textAlignment w:val="center"/>
              <w:rPr>
                <w:color w:val="auto"/>
                <w:sz w:val="21"/>
                <w:szCs w:val="21"/>
              </w:rPr>
            </w:pPr>
            <w:r>
              <w:rPr>
                <w:color w:val="auto"/>
                <w:kern w:val="0"/>
                <w:sz w:val="21"/>
                <w:szCs w:val="21"/>
                <w:lang w:bidi="ar"/>
              </w:rPr>
              <w:t>0.113</w:t>
            </w:r>
          </w:p>
        </w:tc>
        <w:tc>
          <w:tcPr>
            <w:tcW w:w="409" w:type="pct"/>
            <w:tcBorders>
              <w:top w:val="nil"/>
              <w:left w:val="nil"/>
              <w:bottom w:val="single" w:color="auto" w:sz="8" w:space="0"/>
              <w:right w:val="single" w:color="auto" w:sz="8" w:space="0"/>
            </w:tcBorders>
            <w:shd w:val="clear" w:color="auto" w:fill="auto"/>
            <w:vAlign w:val="center"/>
          </w:tcPr>
          <w:p w14:paraId="5827989E">
            <w:pPr>
              <w:widowControl/>
              <w:spacing w:line="240" w:lineRule="auto"/>
              <w:ind w:firstLine="0" w:firstLineChars="0"/>
              <w:jc w:val="center"/>
              <w:textAlignment w:val="center"/>
              <w:rPr>
                <w:color w:val="auto"/>
                <w:sz w:val="21"/>
                <w:szCs w:val="21"/>
              </w:rPr>
            </w:pPr>
            <w:r>
              <w:rPr>
                <w:color w:val="auto"/>
                <w:kern w:val="0"/>
                <w:sz w:val="21"/>
                <w:szCs w:val="21"/>
                <w:lang w:bidi="ar"/>
              </w:rPr>
              <w:t>0.127</w:t>
            </w:r>
          </w:p>
        </w:tc>
        <w:tc>
          <w:tcPr>
            <w:tcW w:w="395" w:type="pct"/>
            <w:tcBorders>
              <w:top w:val="nil"/>
              <w:left w:val="nil"/>
              <w:bottom w:val="single" w:color="auto" w:sz="8" w:space="0"/>
              <w:right w:val="single" w:color="auto" w:sz="8" w:space="0"/>
            </w:tcBorders>
            <w:shd w:val="clear" w:color="auto" w:fill="auto"/>
            <w:vAlign w:val="center"/>
          </w:tcPr>
          <w:p w14:paraId="0216D9EB">
            <w:pPr>
              <w:widowControl/>
              <w:spacing w:line="240" w:lineRule="auto"/>
              <w:ind w:firstLine="0" w:firstLineChars="0"/>
              <w:jc w:val="center"/>
              <w:textAlignment w:val="center"/>
              <w:rPr>
                <w:color w:val="auto"/>
                <w:sz w:val="21"/>
                <w:szCs w:val="21"/>
              </w:rPr>
            </w:pPr>
            <w:r>
              <w:rPr>
                <w:color w:val="auto"/>
                <w:kern w:val="0"/>
                <w:sz w:val="21"/>
                <w:szCs w:val="21"/>
                <w:lang w:bidi="ar"/>
              </w:rPr>
              <w:t>0.154</w:t>
            </w:r>
          </w:p>
        </w:tc>
        <w:tc>
          <w:tcPr>
            <w:tcW w:w="402" w:type="pct"/>
            <w:tcBorders>
              <w:top w:val="nil"/>
              <w:left w:val="nil"/>
              <w:bottom w:val="single" w:color="auto" w:sz="8" w:space="0"/>
              <w:right w:val="single" w:color="auto" w:sz="8" w:space="0"/>
            </w:tcBorders>
            <w:shd w:val="clear" w:color="auto" w:fill="auto"/>
            <w:vAlign w:val="center"/>
          </w:tcPr>
          <w:p w14:paraId="41B2AACB">
            <w:pPr>
              <w:widowControl/>
              <w:spacing w:line="240" w:lineRule="auto"/>
              <w:ind w:firstLine="0" w:firstLineChars="0"/>
              <w:jc w:val="center"/>
              <w:textAlignment w:val="center"/>
              <w:rPr>
                <w:color w:val="auto"/>
                <w:sz w:val="21"/>
                <w:szCs w:val="21"/>
              </w:rPr>
            </w:pPr>
            <w:r>
              <w:rPr>
                <w:color w:val="auto"/>
                <w:kern w:val="0"/>
                <w:sz w:val="21"/>
                <w:szCs w:val="21"/>
                <w:lang w:bidi="ar"/>
              </w:rPr>
              <w:t>0.171</w:t>
            </w:r>
          </w:p>
        </w:tc>
        <w:tc>
          <w:tcPr>
            <w:tcW w:w="402" w:type="pct"/>
            <w:tcBorders>
              <w:top w:val="nil"/>
              <w:left w:val="nil"/>
              <w:bottom w:val="single" w:color="auto" w:sz="8" w:space="0"/>
              <w:right w:val="single" w:color="auto" w:sz="8" w:space="0"/>
            </w:tcBorders>
            <w:shd w:val="clear" w:color="auto" w:fill="auto"/>
            <w:vAlign w:val="center"/>
          </w:tcPr>
          <w:p w14:paraId="7E4EFDD8">
            <w:pPr>
              <w:widowControl/>
              <w:spacing w:line="240" w:lineRule="auto"/>
              <w:ind w:firstLine="0" w:firstLineChars="0"/>
              <w:jc w:val="center"/>
              <w:textAlignment w:val="center"/>
              <w:rPr>
                <w:color w:val="auto"/>
                <w:sz w:val="21"/>
                <w:szCs w:val="21"/>
              </w:rPr>
            </w:pPr>
            <w:r>
              <w:rPr>
                <w:color w:val="auto"/>
                <w:kern w:val="0"/>
                <w:sz w:val="21"/>
                <w:szCs w:val="21"/>
                <w:lang w:bidi="ar"/>
              </w:rPr>
              <w:t>0.136</w:t>
            </w:r>
          </w:p>
        </w:tc>
        <w:tc>
          <w:tcPr>
            <w:tcW w:w="395" w:type="pct"/>
            <w:tcBorders>
              <w:top w:val="nil"/>
              <w:left w:val="nil"/>
              <w:bottom w:val="single" w:color="auto" w:sz="8" w:space="0"/>
              <w:right w:val="single" w:color="auto" w:sz="8" w:space="0"/>
            </w:tcBorders>
            <w:shd w:val="clear" w:color="auto" w:fill="auto"/>
            <w:vAlign w:val="center"/>
          </w:tcPr>
          <w:p w14:paraId="376D3EFB">
            <w:pPr>
              <w:widowControl/>
              <w:spacing w:line="240" w:lineRule="auto"/>
              <w:ind w:firstLine="0" w:firstLineChars="0"/>
              <w:jc w:val="center"/>
              <w:textAlignment w:val="center"/>
              <w:rPr>
                <w:color w:val="auto"/>
                <w:sz w:val="21"/>
                <w:szCs w:val="21"/>
              </w:rPr>
            </w:pPr>
            <w:r>
              <w:rPr>
                <w:color w:val="auto"/>
                <w:kern w:val="0"/>
                <w:sz w:val="21"/>
                <w:szCs w:val="21"/>
                <w:lang w:bidi="ar"/>
              </w:rPr>
              <w:t>0.159</w:t>
            </w:r>
          </w:p>
        </w:tc>
        <w:tc>
          <w:tcPr>
            <w:tcW w:w="364" w:type="pct"/>
            <w:tcBorders>
              <w:top w:val="nil"/>
              <w:left w:val="nil"/>
              <w:bottom w:val="single" w:color="auto" w:sz="8" w:space="0"/>
              <w:right w:val="single" w:color="auto" w:sz="8" w:space="0"/>
            </w:tcBorders>
            <w:shd w:val="clear" w:color="auto" w:fill="auto"/>
            <w:vAlign w:val="center"/>
          </w:tcPr>
          <w:p w14:paraId="7515F23B">
            <w:pPr>
              <w:widowControl/>
              <w:spacing w:line="240" w:lineRule="auto"/>
              <w:ind w:firstLine="0" w:firstLineChars="0"/>
              <w:jc w:val="center"/>
              <w:textAlignment w:val="center"/>
              <w:rPr>
                <w:color w:val="auto"/>
                <w:sz w:val="21"/>
                <w:szCs w:val="21"/>
              </w:rPr>
            </w:pPr>
            <w:r>
              <w:rPr>
                <w:color w:val="auto"/>
                <w:kern w:val="0"/>
                <w:sz w:val="21"/>
                <w:szCs w:val="21"/>
                <w:lang w:bidi="ar"/>
              </w:rPr>
              <w:t>0.125</w:t>
            </w:r>
          </w:p>
        </w:tc>
        <w:tc>
          <w:tcPr>
            <w:tcW w:w="334" w:type="pct"/>
            <w:tcBorders>
              <w:top w:val="nil"/>
              <w:left w:val="nil"/>
              <w:bottom w:val="single" w:color="auto" w:sz="8" w:space="0"/>
              <w:right w:val="single" w:color="auto" w:sz="8" w:space="0"/>
            </w:tcBorders>
            <w:shd w:val="clear" w:color="auto" w:fill="auto"/>
            <w:vAlign w:val="center"/>
          </w:tcPr>
          <w:p w14:paraId="65FAB379">
            <w:pPr>
              <w:widowControl/>
              <w:spacing w:line="240" w:lineRule="auto"/>
              <w:ind w:firstLine="0" w:firstLineChars="0"/>
              <w:jc w:val="center"/>
              <w:textAlignment w:val="center"/>
              <w:rPr>
                <w:color w:val="auto"/>
                <w:sz w:val="21"/>
                <w:szCs w:val="21"/>
              </w:rPr>
            </w:pPr>
            <w:r>
              <w:rPr>
                <w:color w:val="auto"/>
                <w:kern w:val="0"/>
                <w:sz w:val="21"/>
                <w:szCs w:val="21"/>
                <w:lang w:bidi="ar"/>
              </w:rPr>
              <w:t>0.133</w:t>
            </w:r>
          </w:p>
        </w:tc>
        <w:tc>
          <w:tcPr>
            <w:tcW w:w="557" w:type="pct"/>
            <w:tcBorders>
              <w:top w:val="nil"/>
              <w:left w:val="nil"/>
              <w:bottom w:val="single" w:color="auto" w:sz="8" w:space="0"/>
              <w:right w:val="nil"/>
            </w:tcBorders>
            <w:shd w:val="clear" w:color="auto" w:fill="auto"/>
            <w:vAlign w:val="center"/>
          </w:tcPr>
          <w:p w14:paraId="5DC4147A">
            <w:pPr>
              <w:widowControl/>
              <w:spacing w:line="240" w:lineRule="auto"/>
              <w:ind w:firstLine="0" w:firstLineChars="0"/>
              <w:jc w:val="center"/>
              <w:textAlignment w:val="center"/>
              <w:rPr>
                <w:color w:val="auto"/>
                <w:sz w:val="21"/>
                <w:szCs w:val="21"/>
              </w:rPr>
            </w:pPr>
            <w:r>
              <w:rPr>
                <w:color w:val="auto"/>
                <w:kern w:val="0"/>
                <w:sz w:val="21"/>
                <w:szCs w:val="21"/>
                <w:lang w:bidi="ar"/>
              </w:rPr>
              <w:t>38</w:t>
            </w:r>
          </w:p>
        </w:tc>
      </w:tr>
      <w:tr w14:paraId="6A0590F5">
        <w:tblPrEx>
          <w:tblCellMar>
            <w:top w:w="0" w:type="dxa"/>
            <w:left w:w="108" w:type="dxa"/>
            <w:bottom w:w="0" w:type="dxa"/>
            <w:right w:w="108" w:type="dxa"/>
          </w:tblCellMar>
        </w:tblPrEx>
        <w:trPr>
          <w:trHeight w:val="259" w:hRule="atLeast"/>
        </w:trPr>
        <w:tc>
          <w:tcPr>
            <w:tcW w:w="230" w:type="pct"/>
            <w:tcBorders>
              <w:top w:val="nil"/>
              <w:left w:val="nil"/>
              <w:bottom w:val="single" w:color="auto" w:sz="8" w:space="0"/>
              <w:right w:val="single" w:color="auto" w:sz="8" w:space="0"/>
            </w:tcBorders>
            <w:shd w:val="clear" w:color="auto" w:fill="auto"/>
            <w:vAlign w:val="center"/>
          </w:tcPr>
          <w:p w14:paraId="65E8F93D">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710" w:type="pct"/>
            <w:tcBorders>
              <w:top w:val="nil"/>
              <w:left w:val="nil"/>
              <w:bottom w:val="single" w:color="auto" w:sz="8" w:space="0"/>
              <w:right w:val="single" w:color="auto" w:sz="8" w:space="0"/>
            </w:tcBorders>
            <w:shd w:val="clear" w:color="auto" w:fill="auto"/>
            <w:vAlign w:val="center"/>
          </w:tcPr>
          <w:p w14:paraId="35AE9970">
            <w:pPr>
              <w:widowControl/>
              <w:spacing w:line="240" w:lineRule="auto"/>
              <w:ind w:firstLine="0" w:firstLineChars="0"/>
              <w:jc w:val="center"/>
              <w:textAlignment w:val="center"/>
              <w:rPr>
                <w:color w:val="auto"/>
                <w:sz w:val="21"/>
                <w:szCs w:val="21"/>
              </w:rPr>
            </w:pPr>
            <w:r>
              <w:rPr>
                <w:color w:val="auto"/>
                <w:kern w:val="0"/>
                <w:sz w:val="21"/>
                <w:szCs w:val="21"/>
                <w:lang w:bidi="ar"/>
              </w:rPr>
              <w:t>铝</w:t>
            </w:r>
          </w:p>
        </w:tc>
        <w:tc>
          <w:tcPr>
            <w:tcW w:w="395" w:type="pct"/>
            <w:tcBorders>
              <w:top w:val="nil"/>
              <w:left w:val="nil"/>
              <w:bottom w:val="single" w:color="auto" w:sz="8" w:space="0"/>
              <w:right w:val="single" w:color="auto" w:sz="8" w:space="0"/>
            </w:tcBorders>
            <w:shd w:val="clear" w:color="auto" w:fill="auto"/>
            <w:vAlign w:val="center"/>
          </w:tcPr>
          <w:p w14:paraId="06413655">
            <w:pPr>
              <w:widowControl/>
              <w:spacing w:line="240" w:lineRule="auto"/>
              <w:ind w:firstLine="0" w:firstLineChars="0"/>
              <w:jc w:val="center"/>
              <w:textAlignment w:val="center"/>
              <w:rPr>
                <w:color w:val="auto"/>
                <w:sz w:val="21"/>
                <w:szCs w:val="21"/>
              </w:rPr>
            </w:pPr>
            <w:r>
              <w:rPr>
                <w:color w:val="auto"/>
                <w:kern w:val="0"/>
                <w:sz w:val="21"/>
                <w:szCs w:val="21"/>
                <w:lang w:bidi="ar"/>
              </w:rPr>
              <w:t>2.62</w:t>
            </w:r>
          </w:p>
        </w:tc>
        <w:tc>
          <w:tcPr>
            <w:tcW w:w="402" w:type="pct"/>
            <w:tcBorders>
              <w:top w:val="nil"/>
              <w:left w:val="nil"/>
              <w:bottom w:val="single" w:color="auto" w:sz="8" w:space="0"/>
              <w:right w:val="single" w:color="auto" w:sz="8" w:space="0"/>
            </w:tcBorders>
            <w:shd w:val="clear" w:color="auto" w:fill="auto"/>
            <w:vAlign w:val="center"/>
          </w:tcPr>
          <w:p w14:paraId="0ECE09CA">
            <w:pPr>
              <w:widowControl/>
              <w:spacing w:line="240" w:lineRule="auto"/>
              <w:ind w:firstLine="0" w:firstLineChars="0"/>
              <w:jc w:val="center"/>
              <w:textAlignment w:val="center"/>
              <w:rPr>
                <w:color w:val="auto"/>
                <w:sz w:val="21"/>
                <w:szCs w:val="21"/>
              </w:rPr>
            </w:pPr>
            <w:r>
              <w:rPr>
                <w:color w:val="auto"/>
                <w:kern w:val="0"/>
                <w:sz w:val="21"/>
                <w:szCs w:val="21"/>
                <w:lang w:bidi="ar"/>
              </w:rPr>
              <w:t>2.54</w:t>
            </w:r>
          </w:p>
        </w:tc>
        <w:tc>
          <w:tcPr>
            <w:tcW w:w="409" w:type="pct"/>
            <w:tcBorders>
              <w:top w:val="nil"/>
              <w:left w:val="nil"/>
              <w:bottom w:val="single" w:color="auto" w:sz="8" w:space="0"/>
              <w:right w:val="single" w:color="auto" w:sz="8" w:space="0"/>
            </w:tcBorders>
            <w:shd w:val="clear" w:color="auto" w:fill="auto"/>
            <w:vAlign w:val="center"/>
          </w:tcPr>
          <w:p w14:paraId="115A329F">
            <w:pPr>
              <w:widowControl/>
              <w:spacing w:line="240" w:lineRule="auto"/>
              <w:ind w:firstLine="0" w:firstLineChars="0"/>
              <w:jc w:val="center"/>
              <w:textAlignment w:val="center"/>
              <w:rPr>
                <w:color w:val="auto"/>
                <w:sz w:val="21"/>
                <w:szCs w:val="21"/>
              </w:rPr>
            </w:pPr>
            <w:r>
              <w:rPr>
                <w:color w:val="auto"/>
                <w:kern w:val="0"/>
                <w:sz w:val="21"/>
                <w:szCs w:val="21"/>
                <w:lang w:bidi="ar"/>
              </w:rPr>
              <w:t>2.75</w:t>
            </w:r>
          </w:p>
        </w:tc>
        <w:tc>
          <w:tcPr>
            <w:tcW w:w="395" w:type="pct"/>
            <w:tcBorders>
              <w:top w:val="nil"/>
              <w:left w:val="nil"/>
              <w:bottom w:val="single" w:color="auto" w:sz="8" w:space="0"/>
              <w:right w:val="single" w:color="auto" w:sz="8" w:space="0"/>
            </w:tcBorders>
            <w:shd w:val="clear" w:color="auto" w:fill="auto"/>
            <w:vAlign w:val="center"/>
          </w:tcPr>
          <w:p w14:paraId="4C54C5FE">
            <w:pPr>
              <w:widowControl/>
              <w:spacing w:line="240" w:lineRule="auto"/>
              <w:ind w:firstLine="0" w:firstLineChars="0"/>
              <w:jc w:val="center"/>
              <w:textAlignment w:val="center"/>
              <w:rPr>
                <w:color w:val="auto"/>
                <w:sz w:val="21"/>
                <w:szCs w:val="21"/>
              </w:rPr>
            </w:pPr>
            <w:r>
              <w:rPr>
                <w:color w:val="auto"/>
                <w:kern w:val="0"/>
                <w:sz w:val="21"/>
                <w:szCs w:val="21"/>
                <w:lang w:bidi="ar"/>
              </w:rPr>
              <w:t>2.41</w:t>
            </w:r>
          </w:p>
        </w:tc>
        <w:tc>
          <w:tcPr>
            <w:tcW w:w="402" w:type="pct"/>
            <w:tcBorders>
              <w:top w:val="nil"/>
              <w:left w:val="nil"/>
              <w:bottom w:val="single" w:color="auto" w:sz="8" w:space="0"/>
              <w:right w:val="single" w:color="auto" w:sz="8" w:space="0"/>
            </w:tcBorders>
            <w:shd w:val="clear" w:color="auto" w:fill="auto"/>
            <w:vAlign w:val="center"/>
          </w:tcPr>
          <w:p w14:paraId="6B3C7F02">
            <w:pPr>
              <w:widowControl/>
              <w:spacing w:line="240" w:lineRule="auto"/>
              <w:ind w:firstLine="0" w:firstLineChars="0"/>
              <w:jc w:val="center"/>
              <w:textAlignment w:val="center"/>
              <w:rPr>
                <w:color w:val="auto"/>
                <w:sz w:val="21"/>
                <w:szCs w:val="21"/>
              </w:rPr>
            </w:pPr>
            <w:r>
              <w:rPr>
                <w:color w:val="auto"/>
                <w:kern w:val="0"/>
                <w:sz w:val="21"/>
                <w:szCs w:val="21"/>
                <w:lang w:bidi="ar"/>
              </w:rPr>
              <w:t>2.38</w:t>
            </w:r>
          </w:p>
        </w:tc>
        <w:tc>
          <w:tcPr>
            <w:tcW w:w="402" w:type="pct"/>
            <w:tcBorders>
              <w:top w:val="nil"/>
              <w:left w:val="nil"/>
              <w:bottom w:val="single" w:color="auto" w:sz="8" w:space="0"/>
              <w:right w:val="single" w:color="auto" w:sz="8" w:space="0"/>
            </w:tcBorders>
            <w:shd w:val="clear" w:color="auto" w:fill="auto"/>
            <w:vAlign w:val="center"/>
          </w:tcPr>
          <w:p w14:paraId="0AE1527C">
            <w:pPr>
              <w:widowControl/>
              <w:spacing w:line="240" w:lineRule="auto"/>
              <w:ind w:firstLine="0" w:firstLineChars="0"/>
              <w:jc w:val="center"/>
              <w:textAlignment w:val="center"/>
              <w:rPr>
                <w:color w:val="auto"/>
                <w:sz w:val="21"/>
                <w:szCs w:val="21"/>
              </w:rPr>
            </w:pPr>
            <w:r>
              <w:rPr>
                <w:color w:val="auto"/>
                <w:kern w:val="0"/>
                <w:sz w:val="21"/>
                <w:szCs w:val="21"/>
                <w:lang w:bidi="ar"/>
              </w:rPr>
              <w:t>2.47</w:t>
            </w:r>
          </w:p>
        </w:tc>
        <w:tc>
          <w:tcPr>
            <w:tcW w:w="395" w:type="pct"/>
            <w:tcBorders>
              <w:top w:val="nil"/>
              <w:left w:val="nil"/>
              <w:bottom w:val="single" w:color="auto" w:sz="8" w:space="0"/>
              <w:right w:val="single" w:color="auto" w:sz="8" w:space="0"/>
            </w:tcBorders>
            <w:shd w:val="clear" w:color="auto" w:fill="auto"/>
            <w:vAlign w:val="center"/>
          </w:tcPr>
          <w:p w14:paraId="0126221D">
            <w:pPr>
              <w:widowControl/>
              <w:spacing w:line="240" w:lineRule="auto"/>
              <w:ind w:firstLine="0" w:firstLineChars="0"/>
              <w:jc w:val="center"/>
              <w:textAlignment w:val="center"/>
              <w:rPr>
                <w:color w:val="auto"/>
                <w:sz w:val="21"/>
                <w:szCs w:val="21"/>
              </w:rPr>
            </w:pPr>
            <w:r>
              <w:rPr>
                <w:color w:val="auto"/>
                <w:kern w:val="0"/>
                <w:sz w:val="21"/>
                <w:szCs w:val="21"/>
                <w:lang w:bidi="ar"/>
              </w:rPr>
              <w:t>2.26</w:t>
            </w:r>
          </w:p>
        </w:tc>
        <w:tc>
          <w:tcPr>
            <w:tcW w:w="364" w:type="pct"/>
            <w:tcBorders>
              <w:top w:val="nil"/>
              <w:left w:val="nil"/>
              <w:bottom w:val="single" w:color="auto" w:sz="8" w:space="0"/>
              <w:right w:val="single" w:color="auto" w:sz="8" w:space="0"/>
            </w:tcBorders>
            <w:shd w:val="clear" w:color="auto" w:fill="auto"/>
            <w:vAlign w:val="center"/>
          </w:tcPr>
          <w:p w14:paraId="2EF75574">
            <w:pPr>
              <w:widowControl/>
              <w:spacing w:line="240" w:lineRule="auto"/>
              <w:ind w:firstLine="0" w:firstLineChars="0"/>
              <w:jc w:val="center"/>
              <w:textAlignment w:val="center"/>
              <w:rPr>
                <w:color w:val="auto"/>
                <w:sz w:val="21"/>
                <w:szCs w:val="21"/>
              </w:rPr>
            </w:pPr>
            <w:r>
              <w:rPr>
                <w:color w:val="auto"/>
                <w:kern w:val="0"/>
                <w:sz w:val="21"/>
                <w:szCs w:val="21"/>
                <w:lang w:bidi="ar"/>
              </w:rPr>
              <w:t>2.73</w:t>
            </w:r>
          </w:p>
        </w:tc>
        <w:tc>
          <w:tcPr>
            <w:tcW w:w="334" w:type="pct"/>
            <w:tcBorders>
              <w:top w:val="nil"/>
              <w:left w:val="nil"/>
              <w:bottom w:val="single" w:color="auto" w:sz="8" w:space="0"/>
              <w:right w:val="single" w:color="auto" w:sz="8" w:space="0"/>
            </w:tcBorders>
            <w:shd w:val="clear" w:color="auto" w:fill="auto"/>
            <w:vAlign w:val="center"/>
          </w:tcPr>
          <w:p w14:paraId="61960F58">
            <w:pPr>
              <w:widowControl/>
              <w:spacing w:line="240" w:lineRule="auto"/>
              <w:ind w:firstLine="0" w:firstLineChars="0"/>
              <w:jc w:val="center"/>
              <w:textAlignment w:val="center"/>
              <w:rPr>
                <w:color w:val="auto"/>
                <w:sz w:val="21"/>
                <w:szCs w:val="21"/>
              </w:rPr>
            </w:pPr>
            <w:r>
              <w:rPr>
                <w:color w:val="auto"/>
                <w:kern w:val="0"/>
                <w:sz w:val="21"/>
                <w:szCs w:val="21"/>
                <w:lang w:bidi="ar"/>
              </w:rPr>
              <w:t>2.47</w:t>
            </w:r>
          </w:p>
        </w:tc>
        <w:tc>
          <w:tcPr>
            <w:tcW w:w="557" w:type="pct"/>
            <w:tcBorders>
              <w:top w:val="nil"/>
              <w:left w:val="nil"/>
              <w:bottom w:val="single" w:color="auto" w:sz="8" w:space="0"/>
              <w:right w:val="nil"/>
            </w:tcBorders>
            <w:shd w:val="clear" w:color="auto" w:fill="auto"/>
            <w:vAlign w:val="center"/>
          </w:tcPr>
          <w:p w14:paraId="54D77DE5">
            <w:pPr>
              <w:widowControl/>
              <w:spacing w:line="240" w:lineRule="auto"/>
              <w:ind w:firstLine="0" w:firstLineChars="0"/>
              <w:jc w:val="center"/>
              <w:textAlignment w:val="center"/>
              <w:rPr>
                <w:color w:val="auto"/>
                <w:sz w:val="21"/>
                <w:szCs w:val="21"/>
              </w:rPr>
            </w:pPr>
            <w:r>
              <w:rPr>
                <w:color w:val="auto"/>
                <w:kern w:val="0"/>
                <w:sz w:val="21"/>
                <w:szCs w:val="21"/>
                <w:lang w:bidi="ar"/>
              </w:rPr>
              <w:t>-</w:t>
            </w:r>
          </w:p>
        </w:tc>
      </w:tr>
      <w:tr w14:paraId="24652F63">
        <w:tblPrEx>
          <w:tblCellMar>
            <w:top w:w="0" w:type="dxa"/>
            <w:left w:w="108" w:type="dxa"/>
            <w:bottom w:w="0" w:type="dxa"/>
            <w:right w:w="108" w:type="dxa"/>
          </w:tblCellMar>
        </w:tblPrEx>
        <w:trPr>
          <w:trHeight w:val="367" w:hRule="atLeast"/>
        </w:trPr>
        <w:tc>
          <w:tcPr>
            <w:tcW w:w="230" w:type="pct"/>
            <w:tcBorders>
              <w:top w:val="nil"/>
              <w:left w:val="nil"/>
              <w:bottom w:val="single" w:color="auto" w:sz="8" w:space="0"/>
              <w:right w:val="single" w:color="auto" w:sz="8" w:space="0"/>
            </w:tcBorders>
            <w:shd w:val="clear" w:color="auto" w:fill="auto"/>
            <w:vAlign w:val="center"/>
          </w:tcPr>
          <w:p w14:paraId="7296EDE1">
            <w:pPr>
              <w:widowControl/>
              <w:spacing w:line="240" w:lineRule="auto"/>
              <w:ind w:firstLine="0" w:firstLineChars="0"/>
              <w:jc w:val="center"/>
              <w:textAlignment w:val="center"/>
              <w:rPr>
                <w:color w:val="auto"/>
                <w:sz w:val="21"/>
                <w:szCs w:val="21"/>
              </w:rPr>
            </w:pPr>
            <w:r>
              <w:rPr>
                <w:color w:val="auto"/>
                <w:kern w:val="0"/>
                <w:sz w:val="21"/>
                <w:szCs w:val="21"/>
                <w:lang w:bidi="ar"/>
              </w:rPr>
              <w:t>10</w:t>
            </w:r>
          </w:p>
        </w:tc>
        <w:tc>
          <w:tcPr>
            <w:tcW w:w="710" w:type="pct"/>
            <w:tcBorders>
              <w:top w:val="nil"/>
              <w:left w:val="nil"/>
              <w:bottom w:val="single" w:color="auto" w:sz="8" w:space="0"/>
              <w:right w:val="single" w:color="auto" w:sz="8" w:space="0"/>
            </w:tcBorders>
            <w:shd w:val="clear" w:color="auto" w:fill="auto"/>
            <w:vAlign w:val="center"/>
          </w:tcPr>
          <w:p w14:paraId="2330B9A4">
            <w:pPr>
              <w:widowControl/>
              <w:spacing w:line="240" w:lineRule="auto"/>
              <w:ind w:firstLine="0" w:firstLineChars="0"/>
              <w:jc w:val="center"/>
              <w:textAlignment w:val="center"/>
              <w:rPr>
                <w:color w:val="auto"/>
                <w:sz w:val="21"/>
                <w:szCs w:val="21"/>
              </w:rPr>
            </w:pPr>
            <w:r>
              <w:rPr>
                <w:color w:val="auto"/>
                <w:kern w:val="0"/>
                <w:sz w:val="21"/>
                <w:szCs w:val="21"/>
                <w:lang w:bidi="ar"/>
              </w:rPr>
              <w:t>石油烃（C10~C40）</w:t>
            </w:r>
          </w:p>
        </w:tc>
        <w:tc>
          <w:tcPr>
            <w:tcW w:w="395" w:type="pct"/>
            <w:tcBorders>
              <w:top w:val="nil"/>
              <w:left w:val="nil"/>
              <w:bottom w:val="single" w:color="auto" w:sz="8" w:space="0"/>
              <w:right w:val="single" w:color="auto" w:sz="8" w:space="0"/>
            </w:tcBorders>
            <w:shd w:val="clear" w:color="auto" w:fill="auto"/>
            <w:vAlign w:val="center"/>
          </w:tcPr>
          <w:p w14:paraId="1F4E8772">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402" w:type="pct"/>
            <w:tcBorders>
              <w:top w:val="nil"/>
              <w:left w:val="nil"/>
              <w:bottom w:val="single" w:color="auto" w:sz="8" w:space="0"/>
              <w:right w:val="single" w:color="auto" w:sz="8" w:space="0"/>
            </w:tcBorders>
            <w:shd w:val="clear" w:color="auto" w:fill="auto"/>
            <w:vAlign w:val="center"/>
          </w:tcPr>
          <w:p w14:paraId="22AEE31A">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409" w:type="pct"/>
            <w:tcBorders>
              <w:top w:val="nil"/>
              <w:left w:val="nil"/>
              <w:bottom w:val="single" w:color="auto" w:sz="8" w:space="0"/>
              <w:right w:val="single" w:color="auto" w:sz="8" w:space="0"/>
            </w:tcBorders>
            <w:shd w:val="clear" w:color="auto" w:fill="auto"/>
            <w:vAlign w:val="center"/>
          </w:tcPr>
          <w:p w14:paraId="2A4B2940">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395" w:type="pct"/>
            <w:tcBorders>
              <w:top w:val="nil"/>
              <w:left w:val="nil"/>
              <w:bottom w:val="single" w:color="auto" w:sz="8" w:space="0"/>
              <w:right w:val="single" w:color="auto" w:sz="8" w:space="0"/>
            </w:tcBorders>
            <w:shd w:val="clear" w:color="auto" w:fill="auto"/>
            <w:vAlign w:val="center"/>
          </w:tcPr>
          <w:p w14:paraId="207A36B2">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402" w:type="pct"/>
            <w:tcBorders>
              <w:top w:val="nil"/>
              <w:left w:val="nil"/>
              <w:bottom w:val="single" w:color="auto" w:sz="8" w:space="0"/>
              <w:right w:val="single" w:color="auto" w:sz="8" w:space="0"/>
            </w:tcBorders>
            <w:shd w:val="clear" w:color="auto" w:fill="auto"/>
            <w:vAlign w:val="center"/>
          </w:tcPr>
          <w:p w14:paraId="0B911838">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402" w:type="pct"/>
            <w:tcBorders>
              <w:top w:val="nil"/>
              <w:left w:val="nil"/>
              <w:bottom w:val="single" w:color="auto" w:sz="8" w:space="0"/>
              <w:right w:val="single" w:color="auto" w:sz="8" w:space="0"/>
            </w:tcBorders>
            <w:shd w:val="clear" w:color="auto" w:fill="auto"/>
            <w:vAlign w:val="center"/>
          </w:tcPr>
          <w:p w14:paraId="585ACFBE">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395" w:type="pct"/>
            <w:tcBorders>
              <w:top w:val="nil"/>
              <w:left w:val="nil"/>
              <w:bottom w:val="single" w:color="auto" w:sz="8" w:space="0"/>
              <w:right w:val="single" w:color="auto" w:sz="8" w:space="0"/>
            </w:tcBorders>
            <w:shd w:val="clear" w:color="auto" w:fill="auto"/>
            <w:vAlign w:val="center"/>
          </w:tcPr>
          <w:p w14:paraId="2EE09D17">
            <w:pPr>
              <w:widowControl/>
              <w:spacing w:line="240" w:lineRule="auto"/>
              <w:ind w:firstLine="0" w:firstLineChars="0"/>
              <w:jc w:val="center"/>
              <w:textAlignment w:val="center"/>
              <w:rPr>
                <w:color w:val="auto"/>
                <w:sz w:val="21"/>
                <w:szCs w:val="21"/>
              </w:rPr>
            </w:pPr>
            <w:r>
              <w:rPr>
                <w:color w:val="auto"/>
                <w:kern w:val="0"/>
                <w:sz w:val="21"/>
                <w:szCs w:val="21"/>
                <w:lang w:bidi="ar"/>
              </w:rPr>
              <w:t>10</w:t>
            </w:r>
          </w:p>
        </w:tc>
        <w:tc>
          <w:tcPr>
            <w:tcW w:w="364" w:type="pct"/>
            <w:tcBorders>
              <w:top w:val="nil"/>
              <w:left w:val="nil"/>
              <w:bottom w:val="single" w:color="auto" w:sz="8" w:space="0"/>
              <w:right w:val="single" w:color="auto" w:sz="8" w:space="0"/>
            </w:tcBorders>
            <w:shd w:val="clear" w:color="auto" w:fill="auto"/>
            <w:vAlign w:val="center"/>
          </w:tcPr>
          <w:p w14:paraId="79F758DD">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334" w:type="pct"/>
            <w:tcBorders>
              <w:top w:val="nil"/>
              <w:left w:val="nil"/>
              <w:bottom w:val="single" w:color="auto" w:sz="8" w:space="0"/>
              <w:right w:val="single" w:color="auto" w:sz="8" w:space="0"/>
            </w:tcBorders>
            <w:shd w:val="clear" w:color="auto" w:fill="auto"/>
            <w:vAlign w:val="center"/>
          </w:tcPr>
          <w:p w14:paraId="21190A80">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557" w:type="pct"/>
            <w:tcBorders>
              <w:top w:val="nil"/>
              <w:left w:val="nil"/>
              <w:bottom w:val="single" w:color="auto" w:sz="8" w:space="0"/>
              <w:right w:val="nil"/>
            </w:tcBorders>
            <w:shd w:val="clear" w:color="auto" w:fill="auto"/>
            <w:vAlign w:val="center"/>
          </w:tcPr>
          <w:p w14:paraId="58B49FD9">
            <w:pPr>
              <w:widowControl/>
              <w:spacing w:line="240" w:lineRule="auto"/>
              <w:ind w:firstLine="0" w:firstLineChars="0"/>
              <w:jc w:val="center"/>
              <w:textAlignment w:val="center"/>
              <w:rPr>
                <w:color w:val="auto"/>
                <w:sz w:val="21"/>
                <w:szCs w:val="21"/>
              </w:rPr>
            </w:pPr>
            <w:r>
              <w:rPr>
                <w:color w:val="auto"/>
                <w:kern w:val="0"/>
                <w:sz w:val="21"/>
                <w:szCs w:val="21"/>
                <w:lang w:bidi="ar"/>
              </w:rPr>
              <w:t>4500</w:t>
            </w:r>
          </w:p>
        </w:tc>
      </w:tr>
      <w:tr w14:paraId="62C1AAE9">
        <w:tblPrEx>
          <w:tblCellMar>
            <w:top w:w="0" w:type="dxa"/>
            <w:left w:w="108" w:type="dxa"/>
            <w:bottom w:w="0" w:type="dxa"/>
            <w:right w:w="108" w:type="dxa"/>
          </w:tblCellMar>
        </w:tblPrEx>
        <w:trPr>
          <w:trHeight w:val="90" w:hRule="atLeast"/>
        </w:trPr>
        <w:tc>
          <w:tcPr>
            <w:tcW w:w="5000" w:type="pct"/>
            <w:gridSpan w:val="12"/>
            <w:tcBorders>
              <w:top w:val="single" w:color="auto" w:sz="8" w:space="0"/>
              <w:left w:val="nil"/>
              <w:bottom w:val="single" w:color="auto" w:sz="8" w:space="0"/>
              <w:right w:val="nil"/>
            </w:tcBorders>
            <w:shd w:val="clear" w:color="auto" w:fill="auto"/>
            <w:vAlign w:val="center"/>
          </w:tcPr>
          <w:p w14:paraId="58D79D7D">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挥发性有机物</w:t>
            </w:r>
          </w:p>
        </w:tc>
      </w:tr>
      <w:tr w14:paraId="5C74B36F">
        <w:tblPrEx>
          <w:tblCellMar>
            <w:top w:w="0" w:type="dxa"/>
            <w:left w:w="108" w:type="dxa"/>
            <w:bottom w:w="0" w:type="dxa"/>
            <w:right w:w="108" w:type="dxa"/>
          </w:tblCellMar>
        </w:tblPrEx>
        <w:trPr>
          <w:trHeight w:val="211" w:hRule="atLeast"/>
        </w:trPr>
        <w:tc>
          <w:tcPr>
            <w:tcW w:w="230" w:type="pct"/>
            <w:tcBorders>
              <w:top w:val="nil"/>
              <w:left w:val="nil"/>
              <w:bottom w:val="single" w:color="auto" w:sz="8" w:space="0"/>
              <w:right w:val="single" w:color="auto" w:sz="8" w:space="0"/>
            </w:tcBorders>
            <w:shd w:val="clear" w:color="auto" w:fill="auto"/>
            <w:vAlign w:val="center"/>
          </w:tcPr>
          <w:p w14:paraId="3AC69911">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710" w:type="pct"/>
            <w:tcBorders>
              <w:top w:val="nil"/>
              <w:left w:val="nil"/>
              <w:bottom w:val="single" w:color="auto" w:sz="8" w:space="0"/>
              <w:right w:val="single" w:color="auto" w:sz="8" w:space="0"/>
            </w:tcBorders>
            <w:shd w:val="clear" w:color="auto" w:fill="auto"/>
            <w:vAlign w:val="center"/>
          </w:tcPr>
          <w:p w14:paraId="6FEAF4A5">
            <w:pPr>
              <w:widowControl/>
              <w:spacing w:line="240" w:lineRule="auto"/>
              <w:ind w:firstLine="0" w:firstLineChars="0"/>
              <w:jc w:val="center"/>
              <w:textAlignment w:val="center"/>
              <w:rPr>
                <w:color w:val="auto"/>
                <w:sz w:val="21"/>
                <w:szCs w:val="21"/>
              </w:rPr>
            </w:pPr>
            <w:r>
              <w:rPr>
                <w:color w:val="auto"/>
                <w:kern w:val="0"/>
                <w:sz w:val="21"/>
                <w:szCs w:val="21"/>
                <w:lang w:bidi="ar"/>
              </w:rPr>
              <w:t>四氯化碳</w:t>
            </w:r>
          </w:p>
        </w:tc>
        <w:tc>
          <w:tcPr>
            <w:tcW w:w="395" w:type="pct"/>
            <w:tcBorders>
              <w:top w:val="nil"/>
              <w:left w:val="nil"/>
              <w:bottom w:val="single" w:color="auto" w:sz="8" w:space="0"/>
              <w:right w:val="single" w:color="auto" w:sz="8" w:space="0"/>
            </w:tcBorders>
            <w:shd w:val="clear" w:color="auto" w:fill="auto"/>
            <w:vAlign w:val="center"/>
          </w:tcPr>
          <w:p w14:paraId="23B8451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F406E6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15D7815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788C07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44D60D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789D5E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DDED92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393E754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C260E2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AF963C1">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r>
      <w:tr w14:paraId="21E7AF30">
        <w:tblPrEx>
          <w:tblCellMar>
            <w:top w:w="0" w:type="dxa"/>
            <w:left w:w="108" w:type="dxa"/>
            <w:bottom w:w="0" w:type="dxa"/>
            <w:right w:w="108" w:type="dxa"/>
          </w:tblCellMar>
        </w:tblPrEx>
        <w:trPr>
          <w:trHeight w:val="200" w:hRule="atLeast"/>
        </w:trPr>
        <w:tc>
          <w:tcPr>
            <w:tcW w:w="230" w:type="pct"/>
            <w:tcBorders>
              <w:top w:val="nil"/>
              <w:left w:val="nil"/>
              <w:bottom w:val="single" w:color="auto" w:sz="8" w:space="0"/>
              <w:right w:val="single" w:color="auto" w:sz="8" w:space="0"/>
            </w:tcBorders>
            <w:shd w:val="clear" w:color="auto" w:fill="auto"/>
            <w:vAlign w:val="center"/>
          </w:tcPr>
          <w:p w14:paraId="04149EBE">
            <w:pPr>
              <w:widowControl/>
              <w:spacing w:line="240" w:lineRule="auto"/>
              <w:ind w:firstLine="0" w:firstLineChars="0"/>
              <w:jc w:val="center"/>
              <w:textAlignment w:val="center"/>
              <w:rPr>
                <w:color w:val="auto"/>
                <w:sz w:val="21"/>
                <w:szCs w:val="21"/>
              </w:rPr>
            </w:pPr>
            <w:r>
              <w:rPr>
                <w:color w:val="auto"/>
                <w:kern w:val="0"/>
                <w:sz w:val="21"/>
                <w:szCs w:val="21"/>
                <w:lang w:bidi="ar"/>
              </w:rPr>
              <w:t>2</w:t>
            </w:r>
          </w:p>
        </w:tc>
        <w:tc>
          <w:tcPr>
            <w:tcW w:w="710" w:type="pct"/>
            <w:tcBorders>
              <w:top w:val="nil"/>
              <w:left w:val="nil"/>
              <w:bottom w:val="single" w:color="auto" w:sz="8" w:space="0"/>
              <w:right w:val="single" w:color="auto" w:sz="8" w:space="0"/>
            </w:tcBorders>
            <w:shd w:val="clear" w:color="auto" w:fill="auto"/>
            <w:vAlign w:val="center"/>
          </w:tcPr>
          <w:p w14:paraId="261A8457">
            <w:pPr>
              <w:widowControl/>
              <w:spacing w:line="240" w:lineRule="auto"/>
              <w:ind w:firstLine="0" w:firstLineChars="0"/>
              <w:jc w:val="center"/>
              <w:textAlignment w:val="center"/>
              <w:rPr>
                <w:color w:val="auto"/>
                <w:sz w:val="21"/>
                <w:szCs w:val="21"/>
              </w:rPr>
            </w:pPr>
            <w:r>
              <w:rPr>
                <w:color w:val="auto"/>
                <w:kern w:val="0"/>
                <w:sz w:val="21"/>
                <w:szCs w:val="21"/>
                <w:lang w:bidi="ar"/>
              </w:rPr>
              <w:t>氯仿</w:t>
            </w:r>
          </w:p>
        </w:tc>
        <w:tc>
          <w:tcPr>
            <w:tcW w:w="395" w:type="pct"/>
            <w:tcBorders>
              <w:top w:val="nil"/>
              <w:left w:val="nil"/>
              <w:bottom w:val="single" w:color="auto" w:sz="8" w:space="0"/>
              <w:right w:val="single" w:color="auto" w:sz="8" w:space="0"/>
            </w:tcBorders>
            <w:shd w:val="clear" w:color="auto" w:fill="auto"/>
            <w:vAlign w:val="center"/>
          </w:tcPr>
          <w:p w14:paraId="6253C29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25DE60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274EE1C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838687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70C303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9A1798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2C1077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2473F2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424DE75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1B0422E">
            <w:pPr>
              <w:widowControl/>
              <w:spacing w:line="240" w:lineRule="auto"/>
              <w:ind w:firstLine="0" w:firstLineChars="0"/>
              <w:jc w:val="center"/>
              <w:textAlignment w:val="center"/>
              <w:rPr>
                <w:color w:val="auto"/>
                <w:sz w:val="21"/>
                <w:szCs w:val="21"/>
              </w:rPr>
            </w:pPr>
            <w:r>
              <w:rPr>
                <w:color w:val="auto"/>
                <w:kern w:val="0"/>
                <w:sz w:val="21"/>
                <w:szCs w:val="21"/>
                <w:lang w:bidi="ar"/>
              </w:rPr>
              <w:t>0.9</w:t>
            </w:r>
          </w:p>
        </w:tc>
      </w:tr>
      <w:tr w14:paraId="688A6C7E">
        <w:tblPrEx>
          <w:tblCellMar>
            <w:top w:w="0" w:type="dxa"/>
            <w:left w:w="108" w:type="dxa"/>
            <w:bottom w:w="0" w:type="dxa"/>
            <w:right w:w="108" w:type="dxa"/>
          </w:tblCellMar>
        </w:tblPrEx>
        <w:trPr>
          <w:trHeight w:val="378" w:hRule="atLeast"/>
        </w:trPr>
        <w:tc>
          <w:tcPr>
            <w:tcW w:w="230" w:type="pct"/>
            <w:tcBorders>
              <w:top w:val="nil"/>
              <w:left w:val="nil"/>
              <w:bottom w:val="single" w:color="auto" w:sz="8" w:space="0"/>
              <w:right w:val="single" w:color="auto" w:sz="8" w:space="0"/>
            </w:tcBorders>
            <w:shd w:val="clear" w:color="auto" w:fill="auto"/>
            <w:vAlign w:val="center"/>
          </w:tcPr>
          <w:p w14:paraId="50387B0F">
            <w:pPr>
              <w:widowControl/>
              <w:spacing w:line="240" w:lineRule="auto"/>
              <w:ind w:firstLine="0" w:firstLineChars="0"/>
              <w:jc w:val="center"/>
              <w:textAlignment w:val="center"/>
              <w:rPr>
                <w:color w:val="auto"/>
                <w:sz w:val="21"/>
                <w:szCs w:val="21"/>
              </w:rPr>
            </w:pPr>
            <w:r>
              <w:rPr>
                <w:color w:val="auto"/>
                <w:kern w:val="0"/>
                <w:sz w:val="21"/>
                <w:szCs w:val="21"/>
                <w:lang w:bidi="ar"/>
              </w:rPr>
              <w:t>3</w:t>
            </w:r>
          </w:p>
        </w:tc>
        <w:tc>
          <w:tcPr>
            <w:tcW w:w="710" w:type="pct"/>
            <w:tcBorders>
              <w:top w:val="nil"/>
              <w:left w:val="nil"/>
              <w:bottom w:val="single" w:color="auto" w:sz="8" w:space="0"/>
              <w:right w:val="single" w:color="auto" w:sz="8" w:space="0"/>
            </w:tcBorders>
            <w:shd w:val="clear" w:color="auto" w:fill="auto"/>
            <w:vAlign w:val="center"/>
          </w:tcPr>
          <w:p w14:paraId="21D5D840">
            <w:pPr>
              <w:widowControl/>
              <w:spacing w:line="240" w:lineRule="auto"/>
              <w:ind w:firstLine="0" w:firstLineChars="0"/>
              <w:jc w:val="center"/>
              <w:textAlignment w:val="center"/>
              <w:rPr>
                <w:color w:val="auto"/>
                <w:sz w:val="21"/>
                <w:szCs w:val="21"/>
              </w:rPr>
            </w:pPr>
            <w:r>
              <w:rPr>
                <w:color w:val="auto"/>
                <w:kern w:val="0"/>
                <w:sz w:val="21"/>
                <w:szCs w:val="21"/>
                <w:lang w:bidi="ar"/>
              </w:rPr>
              <w:t>氯甲烷</w:t>
            </w:r>
          </w:p>
        </w:tc>
        <w:tc>
          <w:tcPr>
            <w:tcW w:w="395" w:type="pct"/>
            <w:tcBorders>
              <w:top w:val="nil"/>
              <w:left w:val="nil"/>
              <w:bottom w:val="single" w:color="auto" w:sz="8" w:space="0"/>
              <w:right w:val="single" w:color="auto" w:sz="8" w:space="0"/>
            </w:tcBorders>
            <w:shd w:val="clear" w:color="auto" w:fill="auto"/>
            <w:vAlign w:val="center"/>
          </w:tcPr>
          <w:p w14:paraId="23D5D50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D598BA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F50B03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6585CAB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8BE649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B25986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C53521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73815DE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44FC321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A19BD93">
            <w:pPr>
              <w:widowControl/>
              <w:spacing w:line="240" w:lineRule="auto"/>
              <w:ind w:firstLine="0" w:firstLineChars="0"/>
              <w:jc w:val="center"/>
              <w:textAlignment w:val="center"/>
              <w:rPr>
                <w:color w:val="auto"/>
                <w:sz w:val="21"/>
                <w:szCs w:val="21"/>
              </w:rPr>
            </w:pPr>
            <w:r>
              <w:rPr>
                <w:color w:val="auto"/>
                <w:kern w:val="0"/>
                <w:sz w:val="21"/>
                <w:szCs w:val="21"/>
                <w:lang w:bidi="ar"/>
              </w:rPr>
              <w:t>37</w:t>
            </w:r>
          </w:p>
        </w:tc>
      </w:tr>
      <w:tr w14:paraId="4CDEC002">
        <w:tblPrEx>
          <w:tblCellMar>
            <w:top w:w="0" w:type="dxa"/>
            <w:left w:w="108" w:type="dxa"/>
            <w:bottom w:w="0" w:type="dxa"/>
            <w:right w:w="108" w:type="dxa"/>
          </w:tblCellMar>
        </w:tblPrEx>
        <w:trPr>
          <w:trHeight w:val="240" w:hRule="atLeast"/>
        </w:trPr>
        <w:tc>
          <w:tcPr>
            <w:tcW w:w="230" w:type="pct"/>
            <w:tcBorders>
              <w:top w:val="nil"/>
              <w:left w:val="nil"/>
              <w:bottom w:val="single" w:color="auto" w:sz="8" w:space="0"/>
              <w:right w:val="single" w:color="auto" w:sz="8" w:space="0"/>
            </w:tcBorders>
            <w:shd w:val="clear" w:color="auto" w:fill="auto"/>
            <w:vAlign w:val="center"/>
          </w:tcPr>
          <w:p w14:paraId="2171118A">
            <w:pPr>
              <w:widowControl/>
              <w:spacing w:line="240" w:lineRule="auto"/>
              <w:ind w:firstLine="0" w:firstLineChars="0"/>
              <w:jc w:val="center"/>
              <w:textAlignment w:val="center"/>
              <w:rPr>
                <w:color w:val="auto"/>
                <w:sz w:val="21"/>
                <w:szCs w:val="21"/>
              </w:rPr>
            </w:pPr>
            <w:r>
              <w:rPr>
                <w:color w:val="auto"/>
                <w:kern w:val="0"/>
                <w:sz w:val="21"/>
                <w:szCs w:val="21"/>
                <w:lang w:bidi="ar"/>
              </w:rPr>
              <w:t>4</w:t>
            </w:r>
          </w:p>
        </w:tc>
        <w:tc>
          <w:tcPr>
            <w:tcW w:w="710" w:type="pct"/>
            <w:tcBorders>
              <w:top w:val="nil"/>
              <w:left w:val="nil"/>
              <w:bottom w:val="single" w:color="auto" w:sz="8" w:space="0"/>
              <w:right w:val="single" w:color="auto" w:sz="8" w:space="0"/>
            </w:tcBorders>
            <w:shd w:val="clear" w:color="auto" w:fill="auto"/>
            <w:vAlign w:val="center"/>
          </w:tcPr>
          <w:p w14:paraId="09BAA6F7">
            <w:pPr>
              <w:widowControl/>
              <w:spacing w:line="240" w:lineRule="auto"/>
              <w:ind w:firstLine="0" w:firstLineChars="0"/>
              <w:jc w:val="center"/>
              <w:textAlignment w:val="center"/>
              <w:rPr>
                <w:color w:val="auto"/>
                <w:sz w:val="21"/>
                <w:szCs w:val="21"/>
              </w:rPr>
            </w:pPr>
            <w:r>
              <w:rPr>
                <w:color w:val="auto"/>
                <w:kern w:val="0"/>
                <w:sz w:val="21"/>
                <w:szCs w:val="21"/>
                <w:lang w:bidi="ar"/>
              </w:rPr>
              <w:t>1,1-二氯乙烷</w:t>
            </w:r>
          </w:p>
        </w:tc>
        <w:tc>
          <w:tcPr>
            <w:tcW w:w="395" w:type="pct"/>
            <w:tcBorders>
              <w:top w:val="nil"/>
              <w:left w:val="nil"/>
              <w:bottom w:val="single" w:color="auto" w:sz="8" w:space="0"/>
              <w:right w:val="single" w:color="auto" w:sz="8" w:space="0"/>
            </w:tcBorders>
            <w:shd w:val="clear" w:color="auto" w:fill="auto"/>
            <w:vAlign w:val="center"/>
          </w:tcPr>
          <w:p w14:paraId="58A3FE5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6601FD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0B1B68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CB4EAF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3A77C0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B4DA7A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D268C3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5ADDD0D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AA12D5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6455DBD1">
            <w:pPr>
              <w:widowControl/>
              <w:spacing w:line="240" w:lineRule="auto"/>
              <w:ind w:firstLine="0" w:firstLineChars="0"/>
              <w:jc w:val="center"/>
              <w:textAlignment w:val="center"/>
              <w:rPr>
                <w:color w:val="auto"/>
                <w:sz w:val="21"/>
                <w:szCs w:val="21"/>
              </w:rPr>
            </w:pPr>
            <w:r>
              <w:rPr>
                <w:color w:val="auto"/>
                <w:kern w:val="0"/>
                <w:sz w:val="21"/>
                <w:szCs w:val="21"/>
                <w:lang w:bidi="ar"/>
              </w:rPr>
              <w:t>9</w:t>
            </w:r>
          </w:p>
        </w:tc>
      </w:tr>
      <w:tr w14:paraId="7732D336">
        <w:tblPrEx>
          <w:tblCellMar>
            <w:top w:w="0" w:type="dxa"/>
            <w:left w:w="108" w:type="dxa"/>
            <w:bottom w:w="0" w:type="dxa"/>
            <w:right w:w="108" w:type="dxa"/>
          </w:tblCellMar>
        </w:tblPrEx>
        <w:trPr>
          <w:trHeight w:val="362" w:hRule="atLeast"/>
        </w:trPr>
        <w:tc>
          <w:tcPr>
            <w:tcW w:w="230" w:type="pct"/>
            <w:tcBorders>
              <w:top w:val="nil"/>
              <w:left w:val="nil"/>
              <w:bottom w:val="single" w:color="auto" w:sz="8" w:space="0"/>
              <w:right w:val="single" w:color="auto" w:sz="8" w:space="0"/>
            </w:tcBorders>
            <w:shd w:val="clear" w:color="auto" w:fill="auto"/>
            <w:vAlign w:val="center"/>
          </w:tcPr>
          <w:p w14:paraId="1878F9D3">
            <w:pPr>
              <w:widowControl/>
              <w:spacing w:line="240" w:lineRule="auto"/>
              <w:ind w:firstLine="0" w:firstLineChars="0"/>
              <w:jc w:val="center"/>
              <w:textAlignment w:val="center"/>
              <w:rPr>
                <w:color w:val="auto"/>
                <w:sz w:val="21"/>
                <w:szCs w:val="21"/>
              </w:rPr>
            </w:pPr>
            <w:r>
              <w:rPr>
                <w:color w:val="auto"/>
                <w:kern w:val="0"/>
                <w:sz w:val="21"/>
                <w:szCs w:val="21"/>
                <w:lang w:bidi="ar"/>
              </w:rPr>
              <w:t>5</w:t>
            </w:r>
          </w:p>
        </w:tc>
        <w:tc>
          <w:tcPr>
            <w:tcW w:w="710" w:type="pct"/>
            <w:tcBorders>
              <w:top w:val="nil"/>
              <w:left w:val="nil"/>
              <w:bottom w:val="single" w:color="auto" w:sz="8" w:space="0"/>
              <w:right w:val="single" w:color="auto" w:sz="8" w:space="0"/>
            </w:tcBorders>
            <w:shd w:val="clear" w:color="auto" w:fill="auto"/>
            <w:vAlign w:val="center"/>
          </w:tcPr>
          <w:p w14:paraId="7414D91C">
            <w:pPr>
              <w:widowControl/>
              <w:spacing w:line="240" w:lineRule="auto"/>
              <w:ind w:firstLine="0" w:firstLineChars="0"/>
              <w:jc w:val="center"/>
              <w:textAlignment w:val="center"/>
              <w:rPr>
                <w:color w:val="auto"/>
                <w:sz w:val="21"/>
                <w:szCs w:val="21"/>
              </w:rPr>
            </w:pPr>
            <w:r>
              <w:rPr>
                <w:color w:val="auto"/>
                <w:kern w:val="0"/>
                <w:sz w:val="21"/>
                <w:szCs w:val="21"/>
                <w:lang w:bidi="ar"/>
              </w:rPr>
              <w:t>1,2-二氯乙烷</w:t>
            </w:r>
          </w:p>
        </w:tc>
        <w:tc>
          <w:tcPr>
            <w:tcW w:w="395" w:type="pct"/>
            <w:tcBorders>
              <w:top w:val="nil"/>
              <w:left w:val="nil"/>
              <w:bottom w:val="single" w:color="auto" w:sz="8" w:space="0"/>
              <w:right w:val="single" w:color="auto" w:sz="8" w:space="0"/>
            </w:tcBorders>
            <w:shd w:val="clear" w:color="auto" w:fill="auto"/>
            <w:vAlign w:val="center"/>
          </w:tcPr>
          <w:p w14:paraId="5ED9EF9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9CA88B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19EAD7A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615FE3F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6B9E48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4801E4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216557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7DD9C7F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6D933B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75A28770">
            <w:pPr>
              <w:widowControl/>
              <w:spacing w:line="240" w:lineRule="auto"/>
              <w:ind w:firstLine="0" w:firstLineChars="0"/>
              <w:jc w:val="center"/>
              <w:textAlignment w:val="center"/>
              <w:rPr>
                <w:color w:val="auto"/>
                <w:sz w:val="21"/>
                <w:szCs w:val="21"/>
              </w:rPr>
            </w:pPr>
            <w:r>
              <w:rPr>
                <w:color w:val="auto"/>
                <w:kern w:val="0"/>
                <w:sz w:val="21"/>
                <w:szCs w:val="21"/>
                <w:lang w:bidi="ar"/>
              </w:rPr>
              <w:t>5</w:t>
            </w:r>
          </w:p>
        </w:tc>
      </w:tr>
      <w:tr w14:paraId="7F97BC02">
        <w:tblPrEx>
          <w:tblCellMar>
            <w:top w:w="0" w:type="dxa"/>
            <w:left w:w="108" w:type="dxa"/>
            <w:bottom w:w="0" w:type="dxa"/>
            <w:right w:w="108" w:type="dxa"/>
          </w:tblCellMar>
        </w:tblPrEx>
        <w:trPr>
          <w:trHeight w:val="294" w:hRule="atLeast"/>
        </w:trPr>
        <w:tc>
          <w:tcPr>
            <w:tcW w:w="230" w:type="pct"/>
            <w:tcBorders>
              <w:top w:val="nil"/>
              <w:left w:val="nil"/>
              <w:bottom w:val="single" w:color="auto" w:sz="8" w:space="0"/>
              <w:right w:val="single" w:color="auto" w:sz="8" w:space="0"/>
            </w:tcBorders>
            <w:shd w:val="clear" w:color="auto" w:fill="auto"/>
            <w:vAlign w:val="center"/>
          </w:tcPr>
          <w:p w14:paraId="73DDC4D0">
            <w:pPr>
              <w:widowControl/>
              <w:spacing w:line="240" w:lineRule="auto"/>
              <w:ind w:firstLine="0" w:firstLineChars="0"/>
              <w:jc w:val="center"/>
              <w:textAlignment w:val="center"/>
              <w:rPr>
                <w:color w:val="auto"/>
                <w:sz w:val="21"/>
                <w:szCs w:val="21"/>
              </w:rPr>
            </w:pPr>
            <w:r>
              <w:rPr>
                <w:color w:val="auto"/>
                <w:kern w:val="0"/>
                <w:sz w:val="21"/>
                <w:szCs w:val="21"/>
                <w:lang w:bidi="ar"/>
              </w:rPr>
              <w:t>6</w:t>
            </w:r>
          </w:p>
        </w:tc>
        <w:tc>
          <w:tcPr>
            <w:tcW w:w="710" w:type="pct"/>
            <w:tcBorders>
              <w:top w:val="nil"/>
              <w:left w:val="nil"/>
              <w:bottom w:val="single" w:color="auto" w:sz="8" w:space="0"/>
              <w:right w:val="single" w:color="auto" w:sz="8" w:space="0"/>
            </w:tcBorders>
            <w:shd w:val="clear" w:color="auto" w:fill="auto"/>
            <w:vAlign w:val="center"/>
          </w:tcPr>
          <w:p w14:paraId="1DD445B1">
            <w:pPr>
              <w:widowControl/>
              <w:spacing w:line="240" w:lineRule="auto"/>
              <w:ind w:firstLine="0" w:firstLineChars="0"/>
              <w:jc w:val="center"/>
              <w:textAlignment w:val="center"/>
              <w:rPr>
                <w:color w:val="auto"/>
                <w:sz w:val="21"/>
                <w:szCs w:val="21"/>
              </w:rPr>
            </w:pPr>
            <w:r>
              <w:rPr>
                <w:color w:val="auto"/>
                <w:kern w:val="0"/>
                <w:sz w:val="21"/>
                <w:szCs w:val="21"/>
                <w:lang w:bidi="ar"/>
              </w:rPr>
              <w:t>1,1-二氯乙烯</w:t>
            </w:r>
          </w:p>
        </w:tc>
        <w:tc>
          <w:tcPr>
            <w:tcW w:w="395" w:type="pct"/>
            <w:tcBorders>
              <w:top w:val="nil"/>
              <w:left w:val="nil"/>
              <w:bottom w:val="single" w:color="auto" w:sz="8" w:space="0"/>
              <w:right w:val="single" w:color="auto" w:sz="8" w:space="0"/>
            </w:tcBorders>
            <w:shd w:val="clear" w:color="auto" w:fill="auto"/>
            <w:vAlign w:val="center"/>
          </w:tcPr>
          <w:p w14:paraId="738260F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BCE5FA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7399DE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286BA55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4B2250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143B9D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E3D325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CC1072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43C367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501C2B8">
            <w:pPr>
              <w:widowControl/>
              <w:spacing w:line="240" w:lineRule="auto"/>
              <w:ind w:firstLine="0" w:firstLineChars="0"/>
              <w:jc w:val="center"/>
              <w:textAlignment w:val="center"/>
              <w:rPr>
                <w:color w:val="auto"/>
                <w:sz w:val="21"/>
                <w:szCs w:val="21"/>
              </w:rPr>
            </w:pPr>
            <w:r>
              <w:rPr>
                <w:color w:val="auto"/>
                <w:kern w:val="0"/>
                <w:sz w:val="21"/>
                <w:szCs w:val="21"/>
                <w:lang w:bidi="ar"/>
              </w:rPr>
              <w:t>66</w:t>
            </w:r>
          </w:p>
        </w:tc>
      </w:tr>
      <w:tr w14:paraId="0A091106">
        <w:tblPrEx>
          <w:tblCellMar>
            <w:top w:w="0" w:type="dxa"/>
            <w:left w:w="108" w:type="dxa"/>
            <w:bottom w:w="0" w:type="dxa"/>
            <w:right w:w="108" w:type="dxa"/>
          </w:tblCellMar>
        </w:tblPrEx>
        <w:trPr>
          <w:trHeight w:val="367" w:hRule="atLeast"/>
        </w:trPr>
        <w:tc>
          <w:tcPr>
            <w:tcW w:w="230" w:type="pct"/>
            <w:tcBorders>
              <w:top w:val="nil"/>
              <w:left w:val="nil"/>
              <w:bottom w:val="single" w:color="auto" w:sz="8" w:space="0"/>
              <w:right w:val="single" w:color="auto" w:sz="8" w:space="0"/>
            </w:tcBorders>
            <w:shd w:val="clear" w:color="auto" w:fill="auto"/>
            <w:vAlign w:val="center"/>
          </w:tcPr>
          <w:p w14:paraId="7B1492E5">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710" w:type="pct"/>
            <w:tcBorders>
              <w:top w:val="nil"/>
              <w:left w:val="nil"/>
              <w:bottom w:val="single" w:color="auto" w:sz="8" w:space="0"/>
              <w:right w:val="single" w:color="auto" w:sz="8" w:space="0"/>
            </w:tcBorders>
            <w:shd w:val="clear" w:color="auto" w:fill="auto"/>
            <w:vAlign w:val="center"/>
          </w:tcPr>
          <w:p w14:paraId="5F544EA8">
            <w:pPr>
              <w:widowControl/>
              <w:spacing w:line="240" w:lineRule="auto"/>
              <w:ind w:firstLine="0" w:firstLineChars="0"/>
              <w:jc w:val="center"/>
              <w:textAlignment w:val="center"/>
              <w:rPr>
                <w:color w:val="auto"/>
                <w:sz w:val="21"/>
                <w:szCs w:val="21"/>
              </w:rPr>
            </w:pPr>
            <w:r>
              <w:rPr>
                <w:color w:val="auto"/>
                <w:kern w:val="0"/>
                <w:sz w:val="21"/>
                <w:szCs w:val="21"/>
                <w:lang w:bidi="ar"/>
              </w:rPr>
              <w:t>顺式-1,2-二氯乙烯</w:t>
            </w:r>
          </w:p>
        </w:tc>
        <w:tc>
          <w:tcPr>
            <w:tcW w:w="395" w:type="pct"/>
            <w:tcBorders>
              <w:top w:val="nil"/>
              <w:left w:val="nil"/>
              <w:bottom w:val="single" w:color="auto" w:sz="8" w:space="0"/>
              <w:right w:val="single" w:color="auto" w:sz="8" w:space="0"/>
            </w:tcBorders>
            <w:shd w:val="clear" w:color="auto" w:fill="auto"/>
            <w:vAlign w:val="center"/>
          </w:tcPr>
          <w:p w14:paraId="405A596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5256EA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81213F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895DAA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7F126C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969ADC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63BC2E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DB18A3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F1109F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BB857B2">
            <w:pPr>
              <w:widowControl/>
              <w:spacing w:line="240" w:lineRule="auto"/>
              <w:ind w:firstLine="0" w:firstLineChars="0"/>
              <w:jc w:val="center"/>
              <w:textAlignment w:val="center"/>
              <w:rPr>
                <w:color w:val="auto"/>
                <w:sz w:val="21"/>
                <w:szCs w:val="21"/>
              </w:rPr>
            </w:pPr>
            <w:r>
              <w:rPr>
                <w:color w:val="auto"/>
                <w:kern w:val="0"/>
                <w:sz w:val="21"/>
                <w:szCs w:val="21"/>
                <w:lang w:bidi="ar"/>
              </w:rPr>
              <w:t>596</w:t>
            </w:r>
          </w:p>
        </w:tc>
      </w:tr>
      <w:tr w14:paraId="219AC669">
        <w:tblPrEx>
          <w:tblCellMar>
            <w:top w:w="0" w:type="dxa"/>
            <w:left w:w="108" w:type="dxa"/>
            <w:bottom w:w="0" w:type="dxa"/>
            <w:right w:w="108" w:type="dxa"/>
          </w:tblCellMar>
        </w:tblPrEx>
        <w:trPr>
          <w:trHeight w:val="404" w:hRule="atLeast"/>
        </w:trPr>
        <w:tc>
          <w:tcPr>
            <w:tcW w:w="230" w:type="pct"/>
            <w:tcBorders>
              <w:top w:val="nil"/>
              <w:left w:val="nil"/>
              <w:bottom w:val="single" w:color="auto" w:sz="8" w:space="0"/>
              <w:right w:val="single" w:color="auto" w:sz="8" w:space="0"/>
            </w:tcBorders>
            <w:shd w:val="clear" w:color="auto" w:fill="auto"/>
            <w:vAlign w:val="center"/>
          </w:tcPr>
          <w:p w14:paraId="18DEBFFD">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710" w:type="pct"/>
            <w:tcBorders>
              <w:top w:val="nil"/>
              <w:left w:val="nil"/>
              <w:bottom w:val="single" w:color="auto" w:sz="8" w:space="0"/>
              <w:right w:val="single" w:color="auto" w:sz="8" w:space="0"/>
            </w:tcBorders>
            <w:shd w:val="clear" w:color="auto" w:fill="auto"/>
            <w:vAlign w:val="center"/>
          </w:tcPr>
          <w:p w14:paraId="34781837">
            <w:pPr>
              <w:widowControl/>
              <w:spacing w:line="240" w:lineRule="auto"/>
              <w:ind w:firstLine="0" w:firstLineChars="0"/>
              <w:jc w:val="center"/>
              <w:textAlignment w:val="center"/>
              <w:rPr>
                <w:color w:val="auto"/>
                <w:sz w:val="21"/>
                <w:szCs w:val="21"/>
              </w:rPr>
            </w:pPr>
            <w:r>
              <w:rPr>
                <w:color w:val="auto"/>
                <w:kern w:val="0"/>
                <w:sz w:val="21"/>
                <w:szCs w:val="21"/>
                <w:lang w:bidi="ar"/>
              </w:rPr>
              <w:t>反式-1,2-二氯乙烯</w:t>
            </w:r>
          </w:p>
        </w:tc>
        <w:tc>
          <w:tcPr>
            <w:tcW w:w="395" w:type="pct"/>
            <w:tcBorders>
              <w:top w:val="nil"/>
              <w:left w:val="nil"/>
              <w:bottom w:val="single" w:color="auto" w:sz="8" w:space="0"/>
              <w:right w:val="single" w:color="auto" w:sz="8" w:space="0"/>
            </w:tcBorders>
            <w:shd w:val="clear" w:color="auto" w:fill="auto"/>
            <w:vAlign w:val="center"/>
          </w:tcPr>
          <w:p w14:paraId="7E45BE8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4AA7AD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2B37361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022DBB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4548AC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A5D833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08075D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5B35287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15E775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015DBB7">
            <w:pPr>
              <w:widowControl/>
              <w:spacing w:line="240" w:lineRule="auto"/>
              <w:ind w:firstLine="0" w:firstLineChars="0"/>
              <w:jc w:val="center"/>
              <w:textAlignment w:val="center"/>
              <w:rPr>
                <w:color w:val="auto"/>
                <w:sz w:val="21"/>
                <w:szCs w:val="21"/>
              </w:rPr>
            </w:pPr>
            <w:r>
              <w:rPr>
                <w:color w:val="auto"/>
                <w:kern w:val="0"/>
                <w:sz w:val="21"/>
                <w:szCs w:val="21"/>
                <w:lang w:bidi="ar"/>
              </w:rPr>
              <w:t>54</w:t>
            </w:r>
          </w:p>
        </w:tc>
      </w:tr>
      <w:tr w14:paraId="48FBAAC5">
        <w:tblPrEx>
          <w:tblCellMar>
            <w:top w:w="0" w:type="dxa"/>
            <w:left w:w="108" w:type="dxa"/>
            <w:bottom w:w="0" w:type="dxa"/>
            <w:right w:w="108" w:type="dxa"/>
          </w:tblCellMar>
        </w:tblPrEx>
        <w:trPr>
          <w:trHeight w:val="131" w:hRule="atLeast"/>
        </w:trPr>
        <w:tc>
          <w:tcPr>
            <w:tcW w:w="230" w:type="pct"/>
            <w:tcBorders>
              <w:top w:val="nil"/>
              <w:left w:val="nil"/>
              <w:bottom w:val="single" w:color="auto" w:sz="8" w:space="0"/>
              <w:right w:val="single" w:color="auto" w:sz="8" w:space="0"/>
            </w:tcBorders>
            <w:shd w:val="clear" w:color="auto" w:fill="auto"/>
            <w:vAlign w:val="center"/>
          </w:tcPr>
          <w:p w14:paraId="49BA7632">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710" w:type="pct"/>
            <w:tcBorders>
              <w:top w:val="nil"/>
              <w:left w:val="nil"/>
              <w:bottom w:val="single" w:color="auto" w:sz="8" w:space="0"/>
              <w:right w:val="single" w:color="auto" w:sz="8" w:space="0"/>
            </w:tcBorders>
            <w:shd w:val="clear" w:color="auto" w:fill="auto"/>
            <w:vAlign w:val="center"/>
          </w:tcPr>
          <w:p w14:paraId="11554405">
            <w:pPr>
              <w:widowControl/>
              <w:spacing w:line="240" w:lineRule="auto"/>
              <w:ind w:firstLine="0" w:firstLineChars="0"/>
              <w:jc w:val="center"/>
              <w:textAlignment w:val="center"/>
              <w:rPr>
                <w:color w:val="auto"/>
                <w:sz w:val="21"/>
                <w:szCs w:val="21"/>
              </w:rPr>
            </w:pPr>
            <w:r>
              <w:rPr>
                <w:color w:val="auto"/>
                <w:kern w:val="0"/>
                <w:sz w:val="21"/>
                <w:szCs w:val="21"/>
                <w:lang w:bidi="ar"/>
              </w:rPr>
              <w:t>二氯甲烷</w:t>
            </w:r>
          </w:p>
        </w:tc>
        <w:tc>
          <w:tcPr>
            <w:tcW w:w="395" w:type="pct"/>
            <w:tcBorders>
              <w:top w:val="nil"/>
              <w:left w:val="nil"/>
              <w:bottom w:val="single" w:color="auto" w:sz="8" w:space="0"/>
              <w:right w:val="single" w:color="auto" w:sz="8" w:space="0"/>
            </w:tcBorders>
            <w:shd w:val="clear" w:color="auto" w:fill="auto"/>
            <w:vAlign w:val="center"/>
          </w:tcPr>
          <w:p w14:paraId="0F1F1DD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7C90A3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3699A78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FBD1E8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5488F6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BB37B3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F8B3B1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6B676F3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7A23A81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4F36878">
            <w:pPr>
              <w:widowControl/>
              <w:spacing w:line="240" w:lineRule="auto"/>
              <w:ind w:firstLine="0" w:firstLineChars="0"/>
              <w:jc w:val="center"/>
              <w:textAlignment w:val="center"/>
              <w:rPr>
                <w:color w:val="auto"/>
                <w:sz w:val="21"/>
                <w:szCs w:val="21"/>
              </w:rPr>
            </w:pPr>
            <w:r>
              <w:rPr>
                <w:color w:val="auto"/>
                <w:kern w:val="0"/>
                <w:sz w:val="21"/>
                <w:szCs w:val="21"/>
                <w:lang w:bidi="ar"/>
              </w:rPr>
              <w:t>616</w:t>
            </w:r>
          </w:p>
        </w:tc>
      </w:tr>
      <w:tr w14:paraId="3A2AA236">
        <w:tblPrEx>
          <w:tblCellMar>
            <w:top w:w="0" w:type="dxa"/>
            <w:left w:w="108" w:type="dxa"/>
            <w:bottom w:w="0" w:type="dxa"/>
            <w:right w:w="108" w:type="dxa"/>
          </w:tblCellMar>
        </w:tblPrEx>
        <w:trPr>
          <w:trHeight w:val="390" w:hRule="atLeast"/>
        </w:trPr>
        <w:tc>
          <w:tcPr>
            <w:tcW w:w="230" w:type="pct"/>
            <w:tcBorders>
              <w:top w:val="nil"/>
              <w:left w:val="nil"/>
              <w:bottom w:val="single" w:color="auto" w:sz="8" w:space="0"/>
              <w:right w:val="single" w:color="auto" w:sz="8" w:space="0"/>
            </w:tcBorders>
            <w:shd w:val="clear" w:color="auto" w:fill="auto"/>
            <w:vAlign w:val="center"/>
          </w:tcPr>
          <w:p w14:paraId="79D325F9">
            <w:pPr>
              <w:widowControl/>
              <w:spacing w:line="240" w:lineRule="auto"/>
              <w:ind w:firstLine="0" w:firstLineChars="0"/>
              <w:jc w:val="center"/>
              <w:textAlignment w:val="center"/>
              <w:rPr>
                <w:color w:val="auto"/>
                <w:sz w:val="21"/>
                <w:szCs w:val="21"/>
              </w:rPr>
            </w:pPr>
            <w:r>
              <w:rPr>
                <w:color w:val="auto"/>
                <w:kern w:val="0"/>
                <w:sz w:val="21"/>
                <w:szCs w:val="21"/>
                <w:lang w:bidi="ar"/>
              </w:rPr>
              <w:t>10</w:t>
            </w:r>
          </w:p>
        </w:tc>
        <w:tc>
          <w:tcPr>
            <w:tcW w:w="710" w:type="pct"/>
            <w:tcBorders>
              <w:top w:val="nil"/>
              <w:left w:val="nil"/>
              <w:bottom w:val="single" w:color="auto" w:sz="8" w:space="0"/>
              <w:right w:val="single" w:color="auto" w:sz="8" w:space="0"/>
            </w:tcBorders>
            <w:shd w:val="clear" w:color="auto" w:fill="auto"/>
            <w:vAlign w:val="center"/>
          </w:tcPr>
          <w:p w14:paraId="3464BC91">
            <w:pPr>
              <w:widowControl/>
              <w:spacing w:line="240" w:lineRule="auto"/>
              <w:ind w:firstLine="0" w:firstLineChars="0"/>
              <w:jc w:val="center"/>
              <w:textAlignment w:val="center"/>
              <w:rPr>
                <w:color w:val="auto"/>
                <w:sz w:val="21"/>
                <w:szCs w:val="21"/>
              </w:rPr>
            </w:pPr>
            <w:r>
              <w:rPr>
                <w:color w:val="auto"/>
                <w:kern w:val="0"/>
                <w:sz w:val="21"/>
                <w:szCs w:val="21"/>
                <w:lang w:bidi="ar"/>
              </w:rPr>
              <w:t>1,2-二氯丙烷</w:t>
            </w:r>
          </w:p>
        </w:tc>
        <w:tc>
          <w:tcPr>
            <w:tcW w:w="395" w:type="pct"/>
            <w:tcBorders>
              <w:top w:val="nil"/>
              <w:left w:val="nil"/>
              <w:bottom w:val="single" w:color="auto" w:sz="8" w:space="0"/>
              <w:right w:val="single" w:color="auto" w:sz="8" w:space="0"/>
            </w:tcBorders>
            <w:shd w:val="clear" w:color="auto" w:fill="auto"/>
            <w:vAlign w:val="center"/>
          </w:tcPr>
          <w:p w14:paraId="17A2CAF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B501ED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2BBD280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2B483C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2306C3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6B37A2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2E6208A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01F2CA6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5A4AD1A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035A4C38">
            <w:pPr>
              <w:widowControl/>
              <w:spacing w:line="240" w:lineRule="auto"/>
              <w:ind w:firstLine="0" w:firstLineChars="0"/>
              <w:jc w:val="center"/>
              <w:textAlignment w:val="center"/>
              <w:rPr>
                <w:color w:val="auto"/>
                <w:sz w:val="21"/>
                <w:szCs w:val="21"/>
              </w:rPr>
            </w:pPr>
            <w:r>
              <w:rPr>
                <w:color w:val="auto"/>
                <w:kern w:val="0"/>
                <w:sz w:val="21"/>
                <w:szCs w:val="21"/>
                <w:lang w:bidi="ar"/>
              </w:rPr>
              <w:t>5</w:t>
            </w:r>
          </w:p>
        </w:tc>
      </w:tr>
      <w:tr w14:paraId="5633DBE8">
        <w:tblPrEx>
          <w:tblCellMar>
            <w:top w:w="0" w:type="dxa"/>
            <w:left w:w="108" w:type="dxa"/>
            <w:bottom w:w="0" w:type="dxa"/>
            <w:right w:w="108" w:type="dxa"/>
          </w:tblCellMar>
        </w:tblPrEx>
        <w:trPr>
          <w:trHeight w:val="240" w:hRule="atLeast"/>
        </w:trPr>
        <w:tc>
          <w:tcPr>
            <w:tcW w:w="230" w:type="pct"/>
            <w:tcBorders>
              <w:top w:val="nil"/>
              <w:left w:val="nil"/>
              <w:bottom w:val="single" w:color="auto" w:sz="8" w:space="0"/>
              <w:right w:val="single" w:color="auto" w:sz="8" w:space="0"/>
            </w:tcBorders>
            <w:shd w:val="clear" w:color="auto" w:fill="auto"/>
            <w:vAlign w:val="center"/>
          </w:tcPr>
          <w:p w14:paraId="109DCF5B">
            <w:pPr>
              <w:widowControl/>
              <w:spacing w:line="240" w:lineRule="auto"/>
              <w:ind w:firstLine="0" w:firstLineChars="0"/>
              <w:jc w:val="center"/>
              <w:textAlignment w:val="center"/>
              <w:rPr>
                <w:color w:val="auto"/>
                <w:sz w:val="21"/>
                <w:szCs w:val="21"/>
              </w:rPr>
            </w:pPr>
            <w:r>
              <w:rPr>
                <w:color w:val="auto"/>
                <w:kern w:val="0"/>
                <w:sz w:val="21"/>
                <w:szCs w:val="21"/>
                <w:lang w:bidi="ar"/>
              </w:rPr>
              <w:t>11</w:t>
            </w:r>
          </w:p>
        </w:tc>
        <w:tc>
          <w:tcPr>
            <w:tcW w:w="710" w:type="pct"/>
            <w:tcBorders>
              <w:top w:val="nil"/>
              <w:left w:val="nil"/>
              <w:bottom w:val="single" w:color="auto" w:sz="8" w:space="0"/>
              <w:right w:val="single" w:color="auto" w:sz="8" w:space="0"/>
            </w:tcBorders>
            <w:shd w:val="clear" w:color="auto" w:fill="auto"/>
            <w:vAlign w:val="center"/>
          </w:tcPr>
          <w:p w14:paraId="11289274">
            <w:pPr>
              <w:widowControl/>
              <w:spacing w:line="240" w:lineRule="auto"/>
              <w:ind w:firstLine="0" w:firstLineChars="0"/>
              <w:jc w:val="center"/>
              <w:textAlignment w:val="center"/>
              <w:rPr>
                <w:color w:val="auto"/>
                <w:sz w:val="21"/>
                <w:szCs w:val="21"/>
              </w:rPr>
            </w:pPr>
            <w:r>
              <w:rPr>
                <w:color w:val="auto"/>
                <w:kern w:val="0"/>
                <w:sz w:val="21"/>
                <w:szCs w:val="21"/>
                <w:lang w:bidi="ar"/>
              </w:rPr>
              <w:t>1,1,1,2-四氯乙烷</w:t>
            </w:r>
          </w:p>
        </w:tc>
        <w:tc>
          <w:tcPr>
            <w:tcW w:w="395" w:type="pct"/>
            <w:tcBorders>
              <w:top w:val="nil"/>
              <w:left w:val="nil"/>
              <w:bottom w:val="single" w:color="auto" w:sz="8" w:space="0"/>
              <w:right w:val="single" w:color="auto" w:sz="8" w:space="0"/>
            </w:tcBorders>
            <w:shd w:val="clear" w:color="auto" w:fill="auto"/>
            <w:vAlign w:val="center"/>
          </w:tcPr>
          <w:p w14:paraId="5C872F0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924E76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27CF3B6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426D37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08AFEB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F5A190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E7E1E7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764AD8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5C61E12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32071EC3">
            <w:pPr>
              <w:widowControl/>
              <w:spacing w:line="240" w:lineRule="auto"/>
              <w:ind w:firstLine="0" w:firstLineChars="0"/>
              <w:jc w:val="center"/>
              <w:textAlignment w:val="center"/>
              <w:rPr>
                <w:color w:val="auto"/>
                <w:sz w:val="21"/>
                <w:szCs w:val="21"/>
              </w:rPr>
            </w:pPr>
            <w:r>
              <w:rPr>
                <w:color w:val="auto"/>
                <w:kern w:val="0"/>
                <w:sz w:val="21"/>
                <w:szCs w:val="21"/>
                <w:lang w:bidi="ar"/>
              </w:rPr>
              <w:t>10</w:t>
            </w:r>
          </w:p>
        </w:tc>
      </w:tr>
      <w:tr w14:paraId="4F60A6D8">
        <w:tblPrEx>
          <w:tblCellMar>
            <w:top w:w="0" w:type="dxa"/>
            <w:left w:w="108" w:type="dxa"/>
            <w:bottom w:w="0" w:type="dxa"/>
            <w:right w:w="108" w:type="dxa"/>
          </w:tblCellMar>
        </w:tblPrEx>
        <w:trPr>
          <w:trHeight w:val="322" w:hRule="atLeast"/>
        </w:trPr>
        <w:tc>
          <w:tcPr>
            <w:tcW w:w="230" w:type="pct"/>
            <w:tcBorders>
              <w:top w:val="nil"/>
              <w:left w:val="nil"/>
              <w:bottom w:val="single" w:color="auto" w:sz="8" w:space="0"/>
              <w:right w:val="single" w:color="auto" w:sz="8" w:space="0"/>
            </w:tcBorders>
            <w:shd w:val="clear" w:color="auto" w:fill="auto"/>
            <w:vAlign w:val="center"/>
          </w:tcPr>
          <w:p w14:paraId="1E882E8C">
            <w:pPr>
              <w:widowControl/>
              <w:spacing w:line="240" w:lineRule="auto"/>
              <w:ind w:firstLine="0" w:firstLineChars="0"/>
              <w:jc w:val="center"/>
              <w:textAlignment w:val="center"/>
              <w:rPr>
                <w:color w:val="auto"/>
                <w:sz w:val="21"/>
                <w:szCs w:val="21"/>
              </w:rPr>
            </w:pPr>
            <w:r>
              <w:rPr>
                <w:color w:val="auto"/>
                <w:kern w:val="0"/>
                <w:sz w:val="21"/>
                <w:szCs w:val="21"/>
                <w:lang w:bidi="ar"/>
              </w:rPr>
              <w:t>12</w:t>
            </w:r>
          </w:p>
        </w:tc>
        <w:tc>
          <w:tcPr>
            <w:tcW w:w="710" w:type="pct"/>
            <w:tcBorders>
              <w:top w:val="nil"/>
              <w:left w:val="nil"/>
              <w:bottom w:val="single" w:color="auto" w:sz="8" w:space="0"/>
              <w:right w:val="single" w:color="auto" w:sz="8" w:space="0"/>
            </w:tcBorders>
            <w:shd w:val="clear" w:color="auto" w:fill="auto"/>
            <w:vAlign w:val="center"/>
          </w:tcPr>
          <w:p w14:paraId="696E6D79">
            <w:pPr>
              <w:widowControl/>
              <w:spacing w:line="240" w:lineRule="auto"/>
              <w:ind w:firstLine="0" w:firstLineChars="0"/>
              <w:jc w:val="center"/>
              <w:textAlignment w:val="center"/>
              <w:rPr>
                <w:color w:val="auto"/>
                <w:sz w:val="21"/>
                <w:szCs w:val="21"/>
              </w:rPr>
            </w:pPr>
            <w:r>
              <w:rPr>
                <w:color w:val="auto"/>
                <w:kern w:val="0"/>
                <w:sz w:val="21"/>
                <w:szCs w:val="21"/>
                <w:lang w:bidi="ar"/>
              </w:rPr>
              <w:t>1,1,2,2-四氯乙烷</w:t>
            </w:r>
          </w:p>
        </w:tc>
        <w:tc>
          <w:tcPr>
            <w:tcW w:w="395" w:type="pct"/>
            <w:tcBorders>
              <w:top w:val="nil"/>
              <w:left w:val="nil"/>
              <w:bottom w:val="single" w:color="auto" w:sz="8" w:space="0"/>
              <w:right w:val="single" w:color="auto" w:sz="8" w:space="0"/>
            </w:tcBorders>
            <w:shd w:val="clear" w:color="auto" w:fill="auto"/>
            <w:vAlign w:val="center"/>
          </w:tcPr>
          <w:p w14:paraId="4C6AB92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54D490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70F89A0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C3975E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36DE34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9B5275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5B3C4F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C98421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82D8BE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565D2BA8">
            <w:pPr>
              <w:widowControl/>
              <w:spacing w:line="240" w:lineRule="auto"/>
              <w:ind w:firstLine="0" w:firstLineChars="0"/>
              <w:jc w:val="center"/>
              <w:textAlignment w:val="center"/>
              <w:rPr>
                <w:color w:val="auto"/>
                <w:sz w:val="21"/>
                <w:szCs w:val="21"/>
              </w:rPr>
            </w:pPr>
            <w:r>
              <w:rPr>
                <w:color w:val="auto"/>
                <w:kern w:val="0"/>
                <w:sz w:val="21"/>
                <w:szCs w:val="21"/>
                <w:lang w:bidi="ar"/>
              </w:rPr>
              <w:t>6.8</w:t>
            </w:r>
          </w:p>
        </w:tc>
      </w:tr>
      <w:tr w14:paraId="27139F8F">
        <w:tblPrEx>
          <w:tblCellMar>
            <w:top w:w="0" w:type="dxa"/>
            <w:left w:w="108" w:type="dxa"/>
            <w:bottom w:w="0" w:type="dxa"/>
            <w:right w:w="108" w:type="dxa"/>
          </w:tblCellMar>
        </w:tblPrEx>
        <w:trPr>
          <w:trHeight w:val="267" w:hRule="atLeast"/>
        </w:trPr>
        <w:tc>
          <w:tcPr>
            <w:tcW w:w="230" w:type="pct"/>
            <w:tcBorders>
              <w:top w:val="nil"/>
              <w:left w:val="nil"/>
              <w:bottom w:val="single" w:color="auto" w:sz="8" w:space="0"/>
              <w:right w:val="single" w:color="auto" w:sz="8" w:space="0"/>
            </w:tcBorders>
            <w:shd w:val="clear" w:color="auto" w:fill="auto"/>
            <w:vAlign w:val="center"/>
          </w:tcPr>
          <w:p w14:paraId="49ED8C01">
            <w:pPr>
              <w:widowControl/>
              <w:spacing w:line="240" w:lineRule="auto"/>
              <w:ind w:firstLine="0" w:firstLineChars="0"/>
              <w:jc w:val="center"/>
              <w:textAlignment w:val="center"/>
              <w:rPr>
                <w:color w:val="auto"/>
                <w:sz w:val="21"/>
                <w:szCs w:val="21"/>
              </w:rPr>
            </w:pPr>
            <w:r>
              <w:rPr>
                <w:color w:val="auto"/>
                <w:kern w:val="0"/>
                <w:sz w:val="21"/>
                <w:szCs w:val="21"/>
                <w:lang w:bidi="ar"/>
              </w:rPr>
              <w:t>13</w:t>
            </w:r>
          </w:p>
        </w:tc>
        <w:tc>
          <w:tcPr>
            <w:tcW w:w="710" w:type="pct"/>
            <w:tcBorders>
              <w:top w:val="nil"/>
              <w:left w:val="nil"/>
              <w:bottom w:val="single" w:color="auto" w:sz="8" w:space="0"/>
              <w:right w:val="single" w:color="auto" w:sz="8" w:space="0"/>
            </w:tcBorders>
            <w:shd w:val="clear" w:color="auto" w:fill="auto"/>
            <w:vAlign w:val="center"/>
          </w:tcPr>
          <w:p w14:paraId="3920CC8B">
            <w:pPr>
              <w:widowControl/>
              <w:spacing w:line="240" w:lineRule="auto"/>
              <w:ind w:firstLine="0" w:firstLineChars="0"/>
              <w:jc w:val="center"/>
              <w:textAlignment w:val="center"/>
              <w:rPr>
                <w:color w:val="auto"/>
                <w:sz w:val="21"/>
                <w:szCs w:val="21"/>
              </w:rPr>
            </w:pPr>
            <w:r>
              <w:rPr>
                <w:color w:val="auto"/>
                <w:kern w:val="0"/>
                <w:sz w:val="21"/>
                <w:szCs w:val="21"/>
                <w:lang w:bidi="ar"/>
              </w:rPr>
              <w:t>四氯乙烯</w:t>
            </w:r>
          </w:p>
        </w:tc>
        <w:tc>
          <w:tcPr>
            <w:tcW w:w="395" w:type="pct"/>
            <w:tcBorders>
              <w:top w:val="nil"/>
              <w:left w:val="nil"/>
              <w:bottom w:val="single" w:color="auto" w:sz="8" w:space="0"/>
              <w:right w:val="single" w:color="auto" w:sz="8" w:space="0"/>
            </w:tcBorders>
            <w:shd w:val="clear" w:color="auto" w:fill="auto"/>
            <w:vAlign w:val="center"/>
          </w:tcPr>
          <w:p w14:paraId="3A53C39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A83628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D68AE3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3F12D0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65961B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E05E90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3CA1CB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0BBD856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0B2CAB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66174DE1">
            <w:pPr>
              <w:widowControl/>
              <w:spacing w:line="240" w:lineRule="auto"/>
              <w:ind w:firstLine="0" w:firstLineChars="0"/>
              <w:jc w:val="center"/>
              <w:textAlignment w:val="center"/>
              <w:rPr>
                <w:color w:val="auto"/>
                <w:sz w:val="21"/>
                <w:szCs w:val="21"/>
              </w:rPr>
            </w:pPr>
            <w:r>
              <w:rPr>
                <w:color w:val="auto"/>
                <w:kern w:val="0"/>
                <w:sz w:val="21"/>
                <w:szCs w:val="21"/>
                <w:lang w:bidi="ar"/>
              </w:rPr>
              <w:t>53</w:t>
            </w:r>
          </w:p>
        </w:tc>
      </w:tr>
      <w:tr w14:paraId="1615A6CC">
        <w:tblPrEx>
          <w:tblCellMar>
            <w:top w:w="0" w:type="dxa"/>
            <w:left w:w="108" w:type="dxa"/>
            <w:bottom w:w="0" w:type="dxa"/>
            <w:right w:w="108" w:type="dxa"/>
          </w:tblCellMar>
        </w:tblPrEx>
        <w:trPr>
          <w:trHeight w:val="172" w:hRule="atLeast"/>
        </w:trPr>
        <w:tc>
          <w:tcPr>
            <w:tcW w:w="230" w:type="pct"/>
            <w:tcBorders>
              <w:top w:val="nil"/>
              <w:left w:val="nil"/>
              <w:bottom w:val="single" w:color="auto" w:sz="8" w:space="0"/>
              <w:right w:val="single" w:color="auto" w:sz="8" w:space="0"/>
            </w:tcBorders>
            <w:shd w:val="clear" w:color="auto" w:fill="auto"/>
            <w:vAlign w:val="center"/>
          </w:tcPr>
          <w:p w14:paraId="36DD08B1">
            <w:pPr>
              <w:widowControl/>
              <w:spacing w:line="240" w:lineRule="auto"/>
              <w:ind w:firstLine="0" w:firstLineChars="0"/>
              <w:jc w:val="center"/>
              <w:textAlignment w:val="center"/>
              <w:rPr>
                <w:color w:val="auto"/>
                <w:sz w:val="21"/>
                <w:szCs w:val="21"/>
              </w:rPr>
            </w:pPr>
            <w:r>
              <w:rPr>
                <w:color w:val="auto"/>
                <w:kern w:val="0"/>
                <w:sz w:val="21"/>
                <w:szCs w:val="21"/>
                <w:lang w:bidi="ar"/>
              </w:rPr>
              <w:t>14</w:t>
            </w:r>
          </w:p>
        </w:tc>
        <w:tc>
          <w:tcPr>
            <w:tcW w:w="710" w:type="pct"/>
            <w:tcBorders>
              <w:top w:val="nil"/>
              <w:left w:val="nil"/>
              <w:bottom w:val="single" w:color="auto" w:sz="8" w:space="0"/>
              <w:right w:val="single" w:color="auto" w:sz="8" w:space="0"/>
            </w:tcBorders>
            <w:shd w:val="clear" w:color="auto" w:fill="auto"/>
            <w:vAlign w:val="center"/>
          </w:tcPr>
          <w:p w14:paraId="58A33CAD">
            <w:pPr>
              <w:widowControl/>
              <w:spacing w:line="240" w:lineRule="auto"/>
              <w:ind w:firstLine="0" w:firstLineChars="0"/>
              <w:jc w:val="center"/>
              <w:textAlignment w:val="center"/>
              <w:rPr>
                <w:color w:val="auto"/>
                <w:sz w:val="21"/>
                <w:szCs w:val="21"/>
              </w:rPr>
            </w:pPr>
            <w:r>
              <w:rPr>
                <w:color w:val="auto"/>
                <w:kern w:val="0"/>
                <w:sz w:val="21"/>
                <w:szCs w:val="21"/>
                <w:lang w:bidi="ar"/>
              </w:rPr>
              <w:t>1,1,1-三氯乙烷</w:t>
            </w:r>
          </w:p>
        </w:tc>
        <w:tc>
          <w:tcPr>
            <w:tcW w:w="395" w:type="pct"/>
            <w:tcBorders>
              <w:top w:val="nil"/>
              <w:left w:val="nil"/>
              <w:bottom w:val="single" w:color="auto" w:sz="8" w:space="0"/>
              <w:right w:val="single" w:color="auto" w:sz="8" w:space="0"/>
            </w:tcBorders>
            <w:shd w:val="clear" w:color="auto" w:fill="auto"/>
            <w:vAlign w:val="center"/>
          </w:tcPr>
          <w:p w14:paraId="095B928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9117BD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EC9D54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007F8A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CDA31A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9AF7C2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7C39DB1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52982BF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32DCB9A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58CB9B67">
            <w:pPr>
              <w:widowControl/>
              <w:spacing w:line="240" w:lineRule="auto"/>
              <w:ind w:firstLine="0" w:firstLineChars="0"/>
              <w:jc w:val="center"/>
              <w:textAlignment w:val="center"/>
              <w:rPr>
                <w:color w:val="auto"/>
                <w:sz w:val="21"/>
                <w:szCs w:val="21"/>
              </w:rPr>
            </w:pPr>
            <w:r>
              <w:rPr>
                <w:color w:val="auto"/>
                <w:kern w:val="0"/>
                <w:sz w:val="21"/>
                <w:szCs w:val="21"/>
                <w:lang w:bidi="ar"/>
              </w:rPr>
              <w:t>840</w:t>
            </w:r>
          </w:p>
        </w:tc>
      </w:tr>
      <w:tr w14:paraId="5B5709BB">
        <w:tblPrEx>
          <w:tblCellMar>
            <w:top w:w="0" w:type="dxa"/>
            <w:left w:w="108" w:type="dxa"/>
            <w:bottom w:w="0" w:type="dxa"/>
            <w:right w:w="108" w:type="dxa"/>
          </w:tblCellMar>
        </w:tblPrEx>
        <w:trPr>
          <w:trHeight w:val="90" w:hRule="atLeast"/>
        </w:trPr>
        <w:tc>
          <w:tcPr>
            <w:tcW w:w="230" w:type="pct"/>
            <w:tcBorders>
              <w:top w:val="nil"/>
              <w:left w:val="nil"/>
              <w:bottom w:val="single" w:color="auto" w:sz="8" w:space="0"/>
              <w:right w:val="single" w:color="auto" w:sz="8" w:space="0"/>
            </w:tcBorders>
            <w:shd w:val="clear" w:color="auto" w:fill="auto"/>
            <w:vAlign w:val="center"/>
          </w:tcPr>
          <w:p w14:paraId="57AC948F">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c>
          <w:tcPr>
            <w:tcW w:w="710" w:type="pct"/>
            <w:tcBorders>
              <w:top w:val="nil"/>
              <w:left w:val="nil"/>
              <w:bottom w:val="single" w:color="auto" w:sz="8" w:space="0"/>
              <w:right w:val="single" w:color="auto" w:sz="8" w:space="0"/>
            </w:tcBorders>
            <w:shd w:val="clear" w:color="auto" w:fill="auto"/>
            <w:vAlign w:val="center"/>
          </w:tcPr>
          <w:p w14:paraId="12CC117C">
            <w:pPr>
              <w:widowControl/>
              <w:spacing w:line="240" w:lineRule="auto"/>
              <w:ind w:firstLine="0" w:firstLineChars="0"/>
              <w:jc w:val="center"/>
              <w:textAlignment w:val="center"/>
              <w:rPr>
                <w:color w:val="auto"/>
                <w:sz w:val="21"/>
                <w:szCs w:val="21"/>
              </w:rPr>
            </w:pPr>
            <w:r>
              <w:rPr>
                <w:color w:val="auto"/>
                <w:kern w:val="0"/>
                <w:sz w:val="21"/>
                <w:szCs w:val="21"/>
                <w:lang w:bidi="ar"/>
              </w:rPr>
              <w:t>1,1,2-三氯乙烷</w:t>
            </w:r>
          </w:p>
        </w:tc>
        <w:tc>
          <w:tcPr>
            <w:tcW w:w="395" w:type="pct"/>
            <w:tcBorders>
              <w:top w:val="nil"/>
              <w:left w:val="nil"/>
              <w:bottom w:val="single" w:color="auto" w:sz="8" w:space="0"/>
              <w:right w:val="single" w:color="auto" w:sz="8" w:space="0"/>
            </w:tcBorders>
            <w:shd w:val="clear" w:color="auto" w:fill="auto"/>
            <w:vAlign w:val="center"/>
          </w:tcPr>
          <w:p w14:paraId="39C78C3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75B602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78515F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7A824A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89313E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D6F5AB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63F7D12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351ED71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7B2EBA7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AB34B28">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r>
      <w:tr w14:paraId="3FA8213C">
        <w:tblPrEx>
          <w:tblCellMar>
            <w:top w:w="0" w:type="dxa"/>
            <w:left w:w="108" w:type="dxa"/>
            <w:bottom w:w="0" w:type="dxa"/>
            <w:right w:w="108" w:type="dxa"/>
          </w:tblCellMar>
        </w:tblPrEx>
        <w:trPr>
          <w:trHeight w:val="90" w:hRule="atLeast"/>
        </w:trPr>
        <w:tc>
          <w:tcPr>
            <w:tcW w:w="230" w:type="pct"/>
            <w:tcBorders>
              <w:top w:val="nil"/>
              <w:left w:val="nil"/>
              <w:bottom w:val="single" w:color="auto" w:sz="8" w:space="0"/>
              <w:right w:val="single" w:color="auto" w:sz="8" w:space="0"/>
            </w:tcBorders>
            <w:shd w:val="clear" w:color="auto" w:fill="auto"/>
            <w:vAlign w:val="center"/>
          </w:tcPr>
          <w:p w14:paraId="351D40B9">
            <w:pPr>
              <w:widowControl/>
              <w:spacing w:line="240" w:lineRule="auto"/>
              <w:ind w:firstLine="0" w:firstLineChars="0"/>
              <w:jc w:val="center"/>
              <w:textAlignment w:val="center"/>
              <w:rPr>
                <w:color w:val="auto"/>
                <w:sz w:val="21"/>
                <w:szCs w:val="21"/>
              </w:rPr>
            </w:pPr>
            <w:r>
              <w:rPr>
                <w:color w:val="auto"/>
                <w:kern w:val="0"/>
                <w:sz w:val="21"/>
                <w:szCs w:val="21"/>
                <w:lang w:bidi="ar"/>
              </w:rPr>
              <w:t>16</w:t>
            </w:r>
          </w:p>
        </w:tc>
        <w:tc>
          <w:tcPr>
            <w:tcW w:w="710" w:type="pct"/>
            <w:tcBorders>
              <w:top w:val="nil"/>
              <w:left w:val="nil"/>
              <w:bottom w:val="single" w:color="auto" w:sz="8" w:space="0"/>
              <w:right w:val="single" w:color="auto" w:sz="8" w:space="0"/>
            </w:tcBorders>
            <w:shd w:val="clear" w:color="auto" w:fill="auto"/>
            <w:vAlign w:val="center"/>
          </w:tcPr>
          <w:p w14:paraId="3E48C15D">
            <w:pPr>
              <w:widowControl/>
              <w:spacing w:line="240" w:lineRule="auto"/>
              <w:ind w:firstLine="0" w:firstLineChars="0"/>
              <w:jc w:val="center"/>
              <w:textAlignment w:val="center"/>
              <w:rPr>
                <w:color w:val="auto"/>
                <w:sz w:val="21"/>
                <w:szCs w:val="21"/>
              </w:rPr>
            </w:pPr>
            <w:r>
              <w:rPr>
                <w:color w:val="auto"/>
                <w:kern w:val="0"/>
                <w:sz w:val="21"/>
                <w:szCs w:val="21"/>
                <w:lang w:bidi="ar"/>
              </w:rPr>
              <w:t>三氯乙烯</w:t>
            </w:r>
          </w:p>
        </w:tc>
        <w:tc>
          <w:tcPr>
            <w:tcW w:w="395" w:type="pct"/>
            <w:tcBorders>
              <w:top w:val="nil"/>
              <w:left w:val="nil"/>
              <w:bottom w:val="single" w:color="auto" w:sz="8" w:space="0"/>
              <w:right w:val="single" w:color="auto" w:sz="8" w:space="0"/>
            </w:tcBorders>
            <w:shd w:val="clear" w:color="auto" w:fill="auto"/>
            <w:vAlign w:val="center"/>
          </w:tcPr>
          <w:p w14:paraId="082EE38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9DC7F1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B04CAF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1EBE46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1A6794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A871FD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CDD316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6CBE16E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5380D8B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106744B">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r>
      <w:tr w14:paraId="17EF4A9E">
        <w:tblPrEx>
          <w:tblCellMar>
            <w:top w:w="0" w:type="dxa"/>
            <w:left w:w="108" w:type="dxa"/>
            <w:bottom w:w="0" w:type="dxa"/>
            <w:right w:w="108" w:type="dxa"/>
          </w:tblCellMar>
        </w:tblPrEx>
        <w:trPr>
          <w:trHeight w:val="308" w:hRule="atLeast"/>
        </w:trPr>
        <w:tc>
          <w:tcPr>
            <w:tcW w:w="230" w:type="pct"/>
            <w:tcBorders>
              <w:top w:val="nil"/>
              <w:left w:val="nil"/>
              <w:bottom w:val="single" w:color="auto" w:sz="8" w:space="0"/>
              <w:right w:val="single" w:color="auto" w:sz="8" w:space="0"/>
            </w:tcBorders>
            <w:shd w:val="clear" w:color="auto" w:fill="auto"/>
            <w:vAlign w:val="center"/>
          </w:tcPr>
          <w:p w14:paraId="300FD948">
            <w:pPr>
              <w:widowControl/>
              <w:spacing w:line="240" w:lineRule="auto"/>
              <w:ind w:firstLine="0" w:firstLineChars="0"/>
              <w:jc w:val="center"/>
              <w:textAlignment w:val="center"/>
              <w:rPr>
                <w:color w:val="auto"/>
                <w:sz w:val="21"/>
                <w:szCs w:val="21"/>
              </w:rPr>
            </w:pPr>
            <w:r>
              <w:rPr>
                <w:color w:val="auto"/>
                <w:kern w:val="0"/>
                <w:sz w:val="21"/>
                <w:szCs w:val="21"/>
                <w:lang w:bidi="ar"/>
              </w:rPr>
              <w:t>17</w:t>
            </w:r>
          </w:p>
        </w:tc>
        <w:tc>
          <w:tcPr>
            <w:tcW w:w="710" w:type="pct"/>
            <w:tcBorders>
              <w:top w:val="nil"/>
              <w:left w:val="nil"/>
              <w:bottom w:val="single" w:color="auto" w:sz="8" w:space="0"/>
              <w:right w:val="single" w:color="auto" w:sz="8" w:space="0"/>
            </w:tcBorders>
            <w:shd w:val="clear" w:color="auto" w:fill="auto"/>
            <w:vAlign w:val="center"/>
          </w:tcPr>
          <w:p w14:paraId="6B0F7ADE">
            <w:pPr>
              <w:widowControl/>
              <w:spacing w:line="240" w:lineRule="auto"/>
              <w:ind w:firstLine="0" w:firstLineChars="0"/>
              <w:jc w:val="center"/>
              <w:textAlignment w:val="center"/>
              <w:rPr>
                <w:color w:val="auto"/>
                <w:sz w:val="21"/>
                <w:szCs w:val="21"/>
              </w:rPr>
            </w:pPr>
            <w:r>
              <w:rPr>
                <w:color w:val="auto"/>
                <w:kern w:val="0"/>
                <w:sz w:val="21"/>
                <w:szCs w:val="21"/>
                <w:lang w:bidi="ar"/>
              </w:rPr>
              <w:t>1,2,3-三氯丙烷</w:t>
            </w:r>
          </w:p>
        </w:tc>
        <w:tc>
          <w:tcPr>
            <w:tcW w:w="395" w:type="pct"/>
            <w:tcBorders>
              <w:top w:val="nil"/>
              <w:left w:val="nil"/>
              <w:bottom w:val="single" w:color="auto" w:sz="8" w:space="0"/>
              <w:right w:val="single" w:color="auto" w:sz="8" w:space="0"/>
            </w:tcBorders>
            <w:shd w:val="clear" w:color="auto" w:fill="auto"/>
            <w:vAlign w:val="center"/>
          </w:tcPr>
          <w:p w14:paraId="4BE97D1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770276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04A5858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D0021F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92515F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EC7A46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BF9F14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1EAB35E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93F75F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029E8F62">
            <w:pPr>
              <w:widowControl/>
              <w:spacing w:line="240" w:lineRule="auto"/>
              <w:ind w:firstLine="0" w:firstLineChars="0"/>
              <w:jc w:val="center"/>
              <w:textAlignment w:val="center"/>
              <w:rPr>
                <w:color w:val="auto"/>
                <w:sz w:val="21"/>
                <w:szCs w:val="21"/>
              </w:rPr>
            </w:pPr>
            <w:r>
              <w:rPr>
                <w:color w:val="auto"/>
                <w:kern w:val="0"/>
                <w:sz w:val="21"/>
                <w:szCs w:val="21"/>
                <w:lang w:bidi="ar"/>
              </w:rPr>
              <w:t>0.5</w:t>
            </w:r>
          </w:p>
        </w:tc>
      </w:tr>
      <w:tr w14:paraId="03FDCC56">
        <w:tblPrEx>
          <w:tblCellMar>
            <w:top w:w="0" w:type="dxa"/>
            <w:left w:w="108" w:type="dxa"/>
            <w:bottom w:w="0" w:type="dxa"/>
            <w:right w:w="108" w:type="dxa"/>
          </w:tblCellMar>
        </w:tblPrEx>
        <w:trPr>
          <w:trHeight w:val="323" w:hRule="atLeast"/>
        </w:trPr>
        <w:tc>
          <w:tcPr>
            <w:tcW w:w="230" w:type="pct"/>
            <w:tcBorders>
              <w:top w:val="nil"/>
              <w:left w:val="nil"/>
              <w:bottom w:val="single" w:color="auto" w:sz="8" w:space="0"/>
              <w:right w:val="single" w:color="auto" w:sz="8" w:space="0"/>
            </w:tcBorders>
            <w:shd w:val="clear" w:color="auto" w:fill="auto"/>
            <w:vAlign w:val="center"/>
          </w:tcPr>
          <w:p w14:paraId="520E42BA">
            <w:pPr>
              <w:widowControl/>
              <w:spacing w:line="240" w:lineRule="auto"/>
              <w:ind w:firstLine="0" w:firstLineChars="0"/>
              <w:jc w:val="center"/>
              <w:textAlignment w:val="center"/>
              <w:rPr>
                <w:color w:val="auto"/>
                <w:sz w:val="21"/>
                <w:szCs w:val="21"/>
              </w:rPr>
            </w:pPr>
            <w:r>
              <w:rPr>
                <w:color w:val="auto"/>
                <w:kern w:val="0"/>
                <w:sz w:val="21"/>
                <w:szCs w:val="21"/>
                <w:lang w:bidi="ar"/>
              </w:rPr>
              <w:t>18</w:t>
            </w:r>
          </w:p>
        </w:tc>
        <w:tc>
          <w:tcPr>
            <w:tcW w:w="710" w:type="pct"/>
            <w:tcBorders>
              <w:top w:val="nil"/>
              <w:left w:val="nil"/>
              <w:bottom w:val="single" w:color="auto" w:sz="8" w:space="0"/>
              <w:right w:val="single" w:color="auto" w:sz="8" w:space="0"/>
            </w:tcBorders>
            <w:shd w:val="clear" w:color="auto" w:fill="auto"/>
            <w:vAlign w:val="center"/>
          </w:tcPr>
          <w:p w14:paraId="0822B450">
            <w:pPr>
              <w:widowControl/>
              <w:spacing w:line="240" w:lineRule="auto"/>
              <w:ind w:firstLine="0" w:firstLineChars="0"/>
              <w:jc w:val="center"/>
              <w:textAlignment w:val="center"/>
              <w:rPr>
                <w:color w:val="auto"/>
                <w:sz w:val="21"/>
                <w:szCs w:val="21"/>
              </w:rPr>
            </w:pPr>
            <w:r>
              <w:rPr>
                <w:color w:val="auto"/>
                <w:kern w:val="0"/>
                <w:sz w:val="21"/>
                <w:szCs w:val="21"/>
                <w:lang w:bidi="ar"/>
              </w:rPr>
              <w:t>氯乙烯</w:t>
            </w:r>
          </w:p>
        </w:tc>
        <w:tc>
          <w:tcPr>
            <w:tcW w:w="395" w:type="pct"/>
            <w:tcBorders>
              <w:top w:val="nil"/>
              <w:left w:val="nil"/>
              <w:bottom w:val="single" w:color="auto" w:sz="8" w:space="0"/>
              <w:right w:val="single" w:color="auto" w:sz="8" w:space="0"/>
            </w:tcBorders>
            <w:shd w:val="clear" w:color="auto" w:fill="auto"/>
            <w:vAlign w:val="center"/>
          </w:tcPr>
          <w:p w14:paraId="366C134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B2BE60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0E23871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4021ED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0664C1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F81DF5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462671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0E19F70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1526DCA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0EEBB7FB">
            <w:pPr>
              <w:widowControl/>
              <w:spacing w:line="240" w:lineRule="auto"/>
              <w:ind w:firstLine="0" w:firstLineChars="0"/>
              <w:jc w:val="center"/>
              <w:textAlignment w:val="center"/>
              <w:rPr>
                <w:color w:val="auto"/>
                <w:sz w:val="21"/>
                <w:szCs w:val="21"/>
              </w:rPr>
            </w:pPr>
            <w:r>
              <w:rPr>
                <w:color w:val="auto"/>
                <w:kern w:val="0"/>
                <w:sz w:val="21"/>
                <w:szCs w:val="21"/>
                <w:lang w:bidi="ar"/>
              </w:rPr>
              <w:t>0.43</w:t>
            </w:r>
          </w:p>
        </w:tc>
      </w:tr>
      <w:tr w14:paraId="6DCF8D6C">
        <w:tblPrEx>
          <w:tblCellMar>
            <w:top w:w="0" w:type="dxa"/>
            <w:left w:w="108" w:type="dxa"/>
            <w:bottom w:w="0" w:type="dxa"/>
            <w:right w:w="108" w:type="dxa"/>
          </w:tblCellMar>
        </w:tblPrEx>
        <w:trPr>
          <w:trHeight w:val="289" w:hRule="atLeast"/>
        </w:trPr>
        <w:tc>
          <w:tcPr>
            <w:tcW w:w="230" w:type="pct"/>
            <w:tcBorders>
              <w:top w:val="nil"/>
              <w:left w:val="nil"/>
              <w:bottom w:val="single" w:color="auto" w:sz="8" w:space="0"/>
              <w:right w:val="single" w:color="auto" w:sz="8" w:space="0"/>
            </w:tcBorders>
            <w:shd w:val="clear" w:color="auto" w:fill="auto"/>
            <w:vAlign w:val="center"/>
          </w:tcPr>
          <w:p w14:paraId="3A94C2E7">
            <w:pPr>
              <w:widowControl/>
              <w:spacing w:line="240" w:lineRule="auto"/>
              <w:ind w:firstLine="0" w:firstLineChars="0"/>
              <w:jc w:val="center"/>
              <w:textAlignment w:val="center"/>
              <w:rPr>
                <w:color w:val="auto"/>
                <w:sz w:val="21"/>
                <w:szCs w:val="21"/>
              </w:rPr>
            </w:pPr>
            <w:r>
              <w:rPr>
                <w:color w:val="auto"/>
                <w:kern w:val="0"/>
                <w:sz w:val="21"/>
                <w:szCs w:val="21"/>
                <w:lang w:bidi="ar"/>
              </w:rPr>
              <w:t>19</w:t>
            </w:r>
          </w:p>
        </w:tc>
        <w:tc>
          <w:tcPr>
            <w:tcW w:w="710" w:type="pct"/>
            <w:tcBorders>
              <w:top w:val="nil"/>
              <w:left w:val="nil"/>
              <w:bottom w:val="single" w:color="auto" w:sz="8" w:space="0"/>
              <w:right w:val="single" w:color="auto" w:sz="8" w:space="0"/>
            </w:tcBorders>
            <w:shd w:val="clear" w:color="auto" w:fill="auto"/>
            <w:vAlign w:val="center"/>
          </w:tcPr>
          <w:p w14:paraId="7805F294">
            <w:pPr>
              <w:widowControl/>
              <w:spacing w:line="240" w:lineRule="auto"/>
              <w:ind w:firstLine="0" w:firstLineChars="0"/>
              <w:jc w:val="center"/>
              <w:textAlignment w:val="center"/>
              <w:rPr>
                <w:color w:val="auto"/>
                <w:sz w:val="21"/>
                <w:szCs w:val="21"/>
              </w:rPr>
            </w:pPr>
            <w:r>
              <w:rPr>
                <w:color w:val="auto"/>
                <w:kern w:val="0"/>
                <w:sz w:val="21"/>
                <w:szCs w:val="21"/>
                <w:lang w:bidi="ar"/>
              </w:rPr>
              <w:t>苯</w:t>
            </w:r>
          </w:p>
        </w:tc>
        <w:tc>
          <w:tcPr>
            <w:tcW w:w="395" w:type="pct"/>
            <w:tcBorders>
              <w:top w:val="nil"/>
              <w:left w:val="nil"/>
              <w:bottom w:val="single" w:color="auto" w:sz="8" w:space="0"/>
              <w:right w:val="single" w:color="auto" w:sz="8" w:space="0"/>
            </w:tcBorders>
            <w:shd w:val="clear" w:color="auto" w:fill="auto"/>
            <w:vAlign w:val="center"/>
          </w:tcPr>
          <w:p w14:paraId="17380FB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CC0251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25AD67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1E3670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BF46DC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B245D4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7D1AA85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02BA3BA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3D8F21F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37164E88">
            <w:pPr>
              <w:widowControl/>
              <w:spacing w:line="240" w:lineRule="auto"/>
              <w:ind w:firstLine="0" w:firstLineChars="0"/>
              <w:jc w:val="center"/>
              <w:textAlignment w:val="center"/>
              <w:rPr>
                <w:color w:val="auto"/>
                <w:sz w:val="21"/>
                <w:szCs w:val="21"/>
              </w:rPr>
            </w:pPr>
            <w:r>
              <w:rPr>
                <w:color w:val="auto"/>
                <w:kern w:val="0"/>
                <w:sz w:val="21"/>
                <w:szCs w:val="21"/>
                <w:lang w:bidi="ar"/>
              </w:rPr>
              <w:t>4</w:t>
            </w:r>
          </w:p>
        </w:tc>
      </w:tr>
      <w:tr w14:paraId="46C1D011">
        <w:tblPrEx>
          <w:tblCellMar>
            <w:top w:w="0" w:type="dxa"/>
            <w:left w:w="108" w:type="dxa"/>
            <w:bottom w:w="0" w:type="dxa"/>
            <w:right w:w="108" w:type="dxa"/>
          </w:tblCellMar>
        </w:tblPrEx>
        <w:trPr>
          <w:trHeight w:val="334" w:hRule="atLeast"/>
        </w:trPr>
        <w:tc>
          <w:tcPr>
            <w:tcW w:w="230" w:type="pct"/>
            <w:tcBorders>
              <w:top w:val="nil"/>
              <w:left w:val="nil"/>
              <w:bottom w:val="single" w:color="auto" w:sz="8" w:space="0"/>
              <w:right w:val="single" w:color="auto" w:sz="8" w:space="0"/>
            </w:tcBorders>
            <w:shd w:val="clear" w:color="auto" w:fill="auto"/>
            <w:vAlign w:val="center"/>
          </w:tcPr>
          <w:p w14:paraId="4E715627">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710" w:type="pct"/>
            <w:tcBorders>
              <w:top w:val="nil"/>
              <w:left w:val="nil"/>
              <w:bottom w:val="single" w:color="auto" w:sz="8" w:space="0"/>
              <w:right w:val="single" w:color="auto" w:sz="8" w:space="0"/>
            </w:tcBorders>
            <w:shd w:val="clear" w:color="auto" w:fill="auto"/>
            <w:vAlign w:val="center"/>
          </w:tcPr>
          <w:p w14:paraId="6D0301FD">
            <w:pPr>
              <w:widowControl/>
              <w:spacing w:line="240" w:lineRule="auto"/>
              <w:ind w:firstLine="0" w:firstLineChars="0"/>
              <w:jc w:val="center"/>
              <w:textAlignment w:val="center"/>
              <w:rPr>
                <w:color w:val="auto"/>
                <w:sz w:val="21"/>
                <w:szCs w:val="21"/>
              </w:rPr>
            </w:pPr>
            <w:r>
              <w:rPr>
                <w:color w:val="auto"/>
                <w:kern w:val="0"/>
                <w:sz w:val="21"/>
                <w:szCs w:val="21"/>
                <w:lang w:bidi="ar"/>
              </w:rPr>
              <w:t>氯苯</w:t>
            </w:r>
          </w:p>
        </w:tc>
        <w:tc>
          <w:tcPr>
            <w:tcW w:w="395" w:type="pct"/>
            <w:tcBorders>
              <w:top w:val="nil"/>
              <w:left w:val="nil"/>
              <w:bottom w:val="single" w:color="auto" w:sz="8" w:space="0"/>
              <w:right w:val="single" w:color="auto" w:sz="8" w:space="0"/>
            </w:tcBorders>
            <w:shd w:val="clear" w:color="auto" w:fill="auto"/>
            <w:vAlign w:val="center"/>
          </w:tcPr>
          <w:p w14:paraId="27702F5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5D5BE5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3F46C0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2E1CAA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B28F8C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DDDEC3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75BD1F0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735B356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D1D0B7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2E4C78C4">
            <w:pPr>
              <w:widowControl/>
              <w:spacing w:line="240" w:lineRule="auto"/>
              <w:ind w:firstLine="0" w:firstLineChars="0"/>
              <w:jc w:val="center"/>
              <w:textAlignment w:val="center"/>
              <w:rPr>
                <w:color w:val="auto"/>
                <w:sz w:val="21"/>
                <w:szCs w:val="21"/>
              </w:rPr>
            </w:pPr>
            <w:r>
              <w:rPr>
                <w:color w:val="auto"/>
                <w:kern w:val="0"/>
                <w:sz w:val="21"/>
                <w:szCs w:val="21"/>
                <w:lang w:bidi="ar"/>
              </w:rPr>
              <w:t>270</w:t>
            </w:r>
          </w:p>
        </w:tc>
      </w:tr>
      <w:tr w14:paraId="3DD575F3">
        <w:tblPrEx>
          <w:tblCellMar>
            <w:top w:w="0" w:type="dxa"/>
            <w:left w:w="108" w:type="dxa"/>
            <w:bottom w:w="0" w:type="dxa"/>
            <w:right w:w="108" w:type="dxa"/>
          </w:tblCellMar>
        </w:tblPrEx>
        <w:trPr>
          <w:trHeight w:val="293" w:hRule="atLeast"/>
        </w:trPr>
        <w:tc>
          <w:tcPr>
            <w:tcW w:w="230" w:type="pct"/>
            <w:tcBorders>
              <w:top w:val="nil"/>
              <w:left w:val="nil"/>
              <w:bottom w:val="single" w:color="auto" w:sz="8" w:space="0"/>
              <w:right w:val="single" w:color="auto" w:sz="8" w:space="0"/>
            </w:tcBorders>
            <w:shd w:val="clear" w:color="auto" w:fill="auto"/>
            <w:vAlign w:val="center"/>
          </w:tcPr>
          <w:p w14:paraId="1458065A">
            <w:pPr>
              <w:widowControl/>
              <w:spacing w:line="240" w:lineRule="auto"/>
              <w:ind w:firstLine="0" w:firstLineChars="0"/>
              <w:jc w:val="center"/>
              <w:textAlignment w:val="center"/>
              <w:rPr>
                <w:color w:val="auto"/>
                <w:sz w:val="21"/>
                <w:szCs w:val="21"/>
              </w:rPr>
            </w:pPr>
            <w:r>
              <w:rPr>
                <w:color w:val="auto"/>
                <w:kern w:val="0"/>
                <w:sz w:val="21"/>
                <w:szCs w:val="21"/>
                <w:lang w:bidi="ar"/>
              </w:rPr>
              <w:t>21</w:t>
            </w:r>
          </w:p>
        </w:tc>
        <w:tc>
          <w:tcPr>
            <w:tcW w:w="710" w:type="pct"/>
            <w:tcBorders>
              <w:top w:val="nil"/>
              <w:left w:val="nil"/>
              <w:bottom w:val="single" w:color="auto" w:sz="8" w:space="0"/>
              <w:right w:val="single" w:color="auto" w:sz="8" w:space="0"/>
            </w:tcBorders>
            <w:shd w:val="clear" w:color="auto" w:fill="auto"/>
            <w:vAlign w:val="center"/>
          </w:tcPr>
          <w:p w14:paraId="0FF86CEF">
            <w:pPr>
              <w:widowControl/>
              <w:spacing w:line="240" w:lineRule="auto"/>
              <w:ind w:firstLine="0" w:firstLineChars="0"/>
              <w:jc w:val="center"/>
              <w:textAlignment w:val="center"/>
              <w:rPr>
                <w:color w:val="auto"/>
                <w:sz w:val="21"/>
                <w:szCs w:val="21"/>
              </w:rPr>
            </w:pPr>
            <w:r>
              <w:rPr>
                <w:color w:val="auto"/>
                <w:kern w:val="0"/>
                <w:sz w:val="21"/>
                <w:szCs w:val="21"/>
                <w:lang w:bidi="ar"/>
              </w:rPr>
              <w:t>1,2-二氯苯</w:t>
            </w:r>
          </w:p>
        </w:tc>
        <w:tc>
          <w:tcPr>
            <w:tcW w:w="395" w:type="pct"/>
            <w:tcBorders>
              <w:top w:val="nil"/>
              <w:left w:val="nil"/>
              <w:bottom w:val="single" w:color="auto" w:sz="8" w:space="0"/>
              <w:right w:val="single" w:color="auto" w:sz="8" w:space="0"/>
            </w:tcBorders>
            <w:shd w:val="clear" w:color="auto" w:fill="auto"/>
            <w:vAlign w:val="center"/>
          </w:tcPr>
          <w:p w14:paraId="4877D62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86075E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7972A6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2D42A05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00CF04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B6BD8F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36F8D0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5981B40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5FE39D9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3A21CD80">
            <w:pPr>
              <w:widowControl/>
              <w:spacing w:line="240" w:lineRule="auto"/>
              <w:ind w:firstLine="0" w:firstLineChars="0"/>
              <w:jc w:val="center"/>
              <w:textAlignment w:val="center"/>
              <w:rPr>
                <w:color w:val="auto"/>
                <w:sz w:val="21"/>
                <w:szCs w:val="21"/>
              </w:rPr>
            </w:pPr>
            <w:r>
              <w:rPr>
                <w:color w:val="auto"/>
                <w:kern w:val="0"/>
                <w:sz w:val="21"/>
                <w:szCs w:val="21"/>
                <w:lang w:bidi="ar"/>
              </w:rPr>
              <w:t>560</w:t>
            </w:r>
          </w:p>
        </w:tc>
      </w:tr>
      <w:tr w14:paraId="57CFACB9">
        <w:tblPrEx>
          <w:tblCellMar>
            <w:top w:w="0" w:type="dxa"/>
            <w:left w:w="108" w:type="dxa"/>
            <w:bottom w:w="0" w:type="dxa"/>
            <w:right w:w="108" w:type="dxa"/>
          </w:tblCellMar>
        </w:tblPrEx>
        <w:trPr>
          <w:trHeight w:val="293" w:hRule="atLeast"/>
        </w:trPr>
        <w:tc>
          <w:tcPr>
            <w:tcW w:w="230" w:type="pct"/>
            <w:tcBorders>
              <w:top w:val="nil"/>
              <w:left w:val="nil"/>
              <w:bottom w:val="single" w:color="auto" w:sz="8" w:space="0"/>
              <w:right w:val="single" w:color="auto" w:sz="8" w:space="0"/>
            </w:tcBorders>
            <w:shd w:val="clear" w:color="auto" w:fill="auto"/>
            <w:vAlign w:val="center"/>
          </w:tcPr>
          <w:p w14:paraId="411ACBEF">
            <w:pPr>
              <w:widowControl/>
              <w:spacing w:line="240" w:lineRule="auto"/>
              <w:ind w:firstLine="0" w:firstLineChars="0"/>
              <w:jc w:val="center"/>
              <w:textAlignment w:val="center"/>
              <w:rPr>
                <w:color w:val="auto"/>
                <w:sz w:val="21"/>
                <w:szCs w:val="21"/>
              </w:rPr>
            </w:pPr>
            <w:r>
              <w:rPr>
                <w:color w:val="auto"/>
                <w:kern w:val="0"/>
                <w:sz w:val="21"/>
                <w:szCs w:val="21"/>
                <w:lang w:bidi="ar"/>
              </w:rPr>
              <w:t>22</w:t>
            </w:r>
          </w:p>
        </w:tc>
        <w:tc>
          <w:tcPr>
            <w:tcW w:w="710" w:type="pct"/>
            <w:tcBorders>
              <w:top w:val="nil"/>
              <w:left w:val="nil"/>
              <w:bottom w:val="single" w:color="auto" w:sz="8" w:space="0"/>
              <w:right w:val="single" w:color="auto" w:sz="8" w:space="0"/>
            </w:tcBorders>
            <w:shd w:val="clear" w:color="auto" w:fill="auto"/>
            <w:vAlign w:val="center"/>
          </w:tcPr>
          <w:p w14:paraId="3C0E75CD">
            <w:pPr>
              <w:widowControl/>
              <w:spacing w:line="240" w:lineRule="auto"/>
              <w:ind w:firstLine="0" w:firstLineChars="0"/>
              <w:jc w:val="center"/>
              <w:textAlignment w:val="center"/>
              <w:rPr>
                <w:color w:val="auto"/>
                <w:sz w:val="21"/>
                <w:szCs w:val="21"/>
              </w:rPr>
            </w:pPr>
            <w:r>
              <w:rPr>
                <w:color w:val="auto"/>
                <w:kern w:val="0"/>
                <w:sz w:val="21"/>
                <w:szCs w:val="21"/>
                <w:lang w:bidi="ar"/>
              </w:rPr>
              <w:t>1,4-二氯苯</w:t>
            </w:r>
          </w:p>
        </w:tc>
        <w:tc>
          <w:tcPr>
            <w:tcW w:w="395" w:type="pct"/>
            <w:tcBorders>
              <w:top w:val="nil"/>
              <w:left w:val="nil"/>
              <w:bottom w:val="single" w:color="auto" w:sz="8" w:space="0"/>
              <w:right w:val="single" w:color="auto" w:sz="8" w:space="0"/>
            </w:tcBorders>
            <w:shd w:val="clear" w:color="auto" w:fill="auto"/>
            <w:vAlign w:val="center"/>
          </w:tcPr>
          <w:p w14:paraId="11CA1B7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18D07A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A6ADCC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20A4424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88EF63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F8912D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8A5BBE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192613B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64D0017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AD42658">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r>
      <w:tr w14:paraId="0DF79AC7">
        <w:tblPrEx>
          <w:tblCellMar>
            <w:top w:w="0" w:type="dxa"/>
            <w:left w:w="108" w:type="dxa"/>
            <w:bottom w:w="0" w:type="dxa"/>
            <w:right w:w="108" w:type="dxa"/>
          </w:tblCellMar>
        </w:tblPrEx>
        <w:trPr>
          <w:trHeight w:val="156" w:hRule="atLeast"/>
        </w:trPr>
        <w:tc>
          <w:tcPr>
            <w:tcW w:w="230" w:type="pct"/>
            <w:tcBorders>
              <w:top w:val="nil"/>
              <w:left w:val="nil"/>
              <w:bottom w:val="single" w:color="auto" w:sz="8" w:space="0"/>
              <w:right w:val="single" w:color="auto" w:sz="8" w:space="0"/>
            </w:tcBorders>
            <w:shd w:val="clear" w:color="auto" w:fill="auto"/>
            <w:vAlign w:val="center"/>
          </w:tcPr>
          <w:p w14:paraId="55221C3C">
            <w:pPr>
              <w:widowControl/>
              <w:spacing w:line="240" w:lineRule="auto"/>
              <w:ind w:firstLine="0" w:firstLineChars="0"/>
              <w:jc w:val="center"/>
              <w:textAlignment w:val="center"/>
              <w:rPr>
                <w:color w:val="auto"/>
                <w:sz w:val="21"/>
                <w:szCs w:val="21"/>
              </w:rPr>
            </w:pPr>
            <w:r>
              <w:rPr>
                <w:color w:val="auto"/>
                <w:kern w:val="0"/>
                <w:sz w:val="21"/>
                <w:szCs w:val="21"/>
                <w:lang w:bidi="ar"/>
              </w:rPr>
              <w:t>23</w:t>
            </w:r>
          </w:p>
        </w:tc>
        <w:tc>
          <w:tcPr>
            <w:tcW w:w="710" w:type="pct"/>
            <w:tcBorders>
              <w:top w:val="nil"/>
              <w:left w:val="nil"/>
              <w:bottom w:val="single" w:color="auto" w:sz="8" w:space="0"/>
              <w:right w:val="single" w:color="auto" w:sz="8" w:space="0"/>
            </w:tcBorders>
            <w:shd w:val="clear" w:color="auto" w:fill="auto"/>
            <w:vAlign w:val="center"/>
          </w:tcPr>
          <w:p w14:paraId="18A1FA46">
            <w:pPr>
              <w:widowControl/>
              <w:spacing w:line="240" w:lineRule="auto"/>
              <w:ind w:firstLine="0" w:firstLineChars="0"/>
              <w:jc w:val="center"/>
              <w:textAlignment w:val="center"/>
              <w:rPr>
                <w:color w:val="auto"/>
                <w:sz w:val="21"/>
                <w:szCs w:val="21"/>
              </w:rPr>
            </w:pPr>
            <w:r>
              <w:rPr>
                <w:color w:val="auto"/>
                <w:kern w:val="0"/>
                <w:sz w:val="21"/>
                <w:szCs w:val="21"/>
                <w:lang w:bidi="ar"/>
              </w:rPr>
              <w:t>乙苯</w:t>
            </w:r>
          </w:p>
        </w:tc>
        <w:tc>
          <w:tcPr>
            <w:tcW w:w="395" w:type="pct"/>
            <w:tcBorders>
              <w:top w:val="nil"/>
              <w:left w:val="nil"/>
              <w:bottom w:val="single" w:color="auto" w:sz="8" w:space="0"/>
              <w:right w:val="single" w:color="auto" w:sz="8" w:space="0"/>
            </w:tcBorders>
            <w:shd w:val="clear" w:color="auto" w:fill="auto"/>
            <w:vAlign w:val="center"/>
          </w:tcPr>
          <w:p w14:paraId="190B060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6F40A8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B447C7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D66B2A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7E05BC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52CBF9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0BF2B2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0E8019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1F92BA9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5B0C9D33">
            <w:pPr>
              <w:widowControl/>
              <w:spacing w:line="240" w:lineRule="auto"/>
              <w:ind w:firstLine="0" w:firstLineChars="0"/>
              <w:jc w:val="center"/>
              <w:textAlignment w:val="center"/>
              <w:rPr>
                <w:color w:val="auto"/>
                <w:sz w:val="21"/>
                <w:szCs w:val="21"/>
              </w:rPr>
            </w:pPr>
            <w:r>
              <w:rPr>
                <w:color w:val="auto"/>
                <w:kern w:val="0"/>
                <w:sz w:val="21"/>
                <w:szCs w:val="21"/>
                <w:lang w:bidi="ar"/>
              </w:rPr>
              <w:t>28</w:t>
            </w:r>
          </w:p>
        </w:tc>
      </w:tr>
      <w:tr w14:paraId="2DA66C82">
        <w:tblPrEx>
          <w:tblCellMar>
            <w:top w:w="0" w:type="dxa"/>
            <w:left w:w="108" w:type="dxa"/>
            <w:bottom w:w="0" w:type="dxa"/>
            <w:right w:w="108" w:type="dxa"/>
          </w:tblCellMar>
        </w:tblPrEx>
        <w:trPr>
          <w:trHeight w:val="307" w:hRule="atLeast"/>
        </w:trPr>
        <w:tc>
          <w:tcPr>
            <w:tcW w:w="230" w:type="pct"/>
            <w:tcBorders>
              <w:top w:val="nil"/>
              <w:left w:val="nil"/>
              <w:bottom w:val="single" w:color="auto" w:sz="8" w:space="0"/>
              <w:right w:val="single" w:color="auto" w:sz="8" w:space="0"/>
            </w:tcBorders>
            <w:shd w:val="clear" w:color="auto" w:fill="auto"/>
            <w:vAlign w:val="center"/>
          </w:tcPr>
          <w:p w14:paraId="6EF97153">
            <w:pPr>
              <w:widowControl/>
              <w:spacing w:line="240" w:lineRule="auto"/>
              <w:ind w:firstLine="0" w:firstLineChars="0"/>
              <w:jc w:val="center"/>
              <w:textAlignment w:val="center"/>
              <w:rPr>
                <w:color w:val="auto"/>
                <w:sz w:val="21"/>
                <w:szCs w:val="21"/>
              </w:rPr>
            </w:pPr>
            <w:r>
              <w:rPr>
                <w:color w:val="auto"/>
                <w:kern w:val="0"/>
                <w:sz w:val="21"/>
                <w:szCs w:val="21"/>
                <w:lang w:bidi="ar"/>
              </w:rPr>
              <w:t>24</w:t>
            </w:r>
          </w:p>
        </w:tc>
        <w:tc>
          <w:tcPr>
            <w:tcW w:w="710" w:type="pct"/>
            <w:tcBorders>
              <w:top w:val="nil"/>
              <w:left w:val="nil"/>
              <w:bottom w:val="single" w:color="auto" w:sz="8" w:space="0"/>
              <w:right w:val="single" w:color="auto" w:sz="8" w:space="0"/>
            </w:tcBorders>
            <w:shd w:val="clear" w:color="auto" w:fill="auto"/>
            <w:vAlign w:val="center"/>
          </w:tcPr>
          <w:p w14:paraId="727D5D5C">
            <w:pPr>
              <w:widowControl/>
              <w:spacing w:line="240" w:lineRule="auto"/>
              <w:ind w:firstLine="0" w:firstLineChars="0"/>
              <w:jc w:val="center"/>
              <w:textAlignment w:val="center"/>
              <w:rPr>
                <w:color w:val="auto"/>
                <w:sz w:val="21"/>
                <w:szCs w:val="21"/>
              </w:rPr>
            </w:pPr>
            <w:r>
              <w:rPr>
                <w:color w:val="auto"/>
                <w:kern w:val="0"/>
                <w:sz w:val="21"/>
                <w:szCs w:val="21"/>
                <w:lang w:bidi="ar"/>
              </w:rPr>
              <w:t>苯乙烯</w:t>
            </w:r>
          </w:p>
        </w:tc>
        <w:tc>
          <w:tcPr>
            <w:tcW w:w="395" w:type="pct"/>
            <w:tcBorders>
              <w:top w:val="nil"/>
              <w:left w:val="nil"/>
              <w:bottom w:val="single" w:color="auto" w:sz="8" w:space="0"/>
              <w:right w:val="single" w:color="auto" w:sz="8" w:space="0"/>
            </w:tcBorders>
            <w:shd w:val="clear" w:color="auto" w:fill="auto"/>
            <w:vAlign w:val="center"/>
          </w:tcPr>
          <w:p w14:paraId="4E7374F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E5A891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3249DFA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716725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32C8D6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F398B8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DAB5F9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27FD72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3D6D300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20D88657">
            <w:pPr>
              <w:widowControl/>
              <w:spacing w:line="240" w:lineRule="auto"/>
              <w:ind w:firstLine="0" w:firstLineChars="0"/>
              <w:jc w:val="center"/>
              <w:textAlignment w:val="center"/>
              <w:rPr>
                <w:color w:val="auto"/>
                <w:sz w:val="21"/>
                <w:szCs w:val="21"/>
              </w:rPr>
            </w:pPr>
            <w:r>
              <w:rPr>
                <w:color w:val="auto"/>
                <w:kern w:val="0"/>
                <w:sz w:val="21"/>
                <w:szCs w:val="21"/>
                <w:lang w:bidi="ar"/>
              </w:rPr>
              <w:t>1290</w:t>
            </w:r>
          </w:p>
        </w:tc>
      </w:tr>
      <w:tr w14:paraId="29C401F1">
        <w:tblPrEx>
          <w:tblCellMar>
            <w:top w:w="0" w:type="dxa"/>
            <w:left w:w="108" w:type="dxa"/>
            <w:bottom w:w="0" w:type="dxa"/>
            <w:right w:w="108" w:type="dxa"/>
          </w:tblCellMar>
        </w:tblPrEx>
        <w:trPr>
          <w:trHeight w:val="261" w:hRule="atLeast"/>
        </w:trPr>
        <w:tc>
          <w:tcPr>
            <w:tcW w:w="230" w:type="pct"/>
            <w:tcBorders>
              <w:top w:val="nil"/>
              <w:left w:val="nil"/>
              <w:bottom w:val="single" w:color="auto" w:sz="8" w:space="0"/>
              <w:right w:val="single" w:color="auto" w:sz="8" w:space="0"/>
            </w:tcBorders>
            <w:shd w:val="clear" w:color="auto" w:fill="auto"/>
            <w:vAlign w:val="center"/>
          </w:tcPr>
          <w:p w14:paraId="649D73D7">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710" w:type="pct"/>
            <w:tcBorders>
              <w:top w:val="nil"/>
              <w:left w:val="nil"/>
              <w:bottom w:val="single" w:color="auto" w:sz="8" w:space="0"/>
              <w:right w:val="single" w:color="auto" w:sz="8" w:space="0"/>
            </w:tcBorders>
            <w:shd w:val="clear" w:color="auto" w:fill="auto"/>
            <w:vAlign w:val="center"/>
          </w:tcPr>
          <w:p w14:paraId="0771FD4A">
            <w:pPr>
              <w:widowControl/>
              <w:spacing w:line="240" w:lineRule="auto"/>
              <w:ind w:firstLine="0" w:firstLineChars="0"/>
              <w:jc w:val="center"/>
              <w:textAlignment w:val="center"/>
              <w:rPr>
                <w:color w:val="auto"/>
                <w:sz w:val="21"/>
                <w:szCs w:val="21"/>
              </w:rPr>
            </w:pPr>
            <w:r>
              <w:rPr>
                <w:color w:val="auto"/>
                <w:kern w:val="0"/>
                <w:sz w:val="21"/>
                <w:szCs w:val="21"/>
                <w:lang w:bidi="ar"/>
              </w:rPr>
              <w:t>甲苯</w:t>
            </w:r>
          </w:p>
        </w:tc>
        <w:tc>
          <w:tcPr>
            <w:tcW w:w="395" w:type="pct"/>
            <w:tcBorders>
              <w:top w:val="nil"/>
              <w:left w:val="nil"/>
              <w:bottom w:val="single" w:color="auto" w:sz="8" w:space="0"/>
              <w:right w:val="single" w:color="auto" w:sz="8" w:space="0"/>
            </w:tcBorders>
            <w:shd w:val="clear" w:color="auto" w:fill="auto"/>
            <w:vAlign w:val="center"/>
          </w:tcPr>
          <w:p w14:paraId="3B0EAED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D5729D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3ED7AA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887D03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D4C46A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23FE2C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7EC431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0DD7805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1F62293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3D33C7B">
            <w:pPr>
              <w:widowControl/>
              <w:spacing w:line="240" w:lineRule="auto"/>
              <w:ind w:firstLine="0" w:firstLineChars="0"/>
              <w:jc w:val="center"/>
              <w:textAlignment w:val="center"/>
              <w:rPr>
                <w:color w:val="auto"/>
                <w:sz w:val="21"/>
                <w:szCs w:val="21"/>
              </w:rPr>
            </w:pPr>
            <w:r>
              <w:rPr>
                <w:color w:val="auto"/>
                <w:kern w:val="0"/>
                <w:sz w:val="21"/>
                <w:szCs w:val="21"/>
                <w:lang w:bidi="ar"/>
              </w:rPr>
              <w:t>1200</w:t>
            </w:r>
          </w:p>
        </w:tc>
      </w:tr>
      <w:tr w14:paraId="16FECE43">
        <w:tblPrEx>
          <w:tblCellMar>
            <w:top w:w="0" w:type="dxa"/>
            <w:left w:w="108" w:type="dxa"/>
            <w:bottom w:w="0" w:type="dxa"/>
            <w:right w:w="108" w:type="dxa"/>
          </w:tblCellMar>
        </w:tblPrEx>
        <w:trPr>
          <w:trHeight w:val="392" w:hRule="atLeast"/>
        </w:trPr>
        <w:tc>
          <w:tcPr>
            <w:tcW w:w="230" w:type="pct"/>
            <w:tcBorders>
              <w:top w:val="nil"/>
              <w:left w:val="nil"/>
              <w:bottom w:val="single" w:color="auto" w:sz="8" w:space="0"/>
              <w:right w:val="single" w:color="auto" w:sz="8" w:space="0"/>
            </w:tcBorders>
            <w:shd w:val="clear" w:color="auto" w:fill="auto"/>
            <w:vAlign w:val="center"/>
          </w:tcPr>
          <w:p w14:paraId="5F8B4A6C">
            <w:pPr>
              <w:widowControl/>
              <w:spacing w:line="240" w:lineRule="auto"/>
              <w:ind w:firstLine="0" w:firstLineChars="0"/>
              <w:jc w:val="center"/>
              <w:textAlignment w:val="center"/>
              <w:rPr>
                <w:color w:val="auto"/>
                <w:sz w:val="21"/>
                <w:szCs w:val="21"/>
              </w:rPr>
            </w:pPr>
            <w:r>
              <w:rPr>
                <w:color w:val="auto"/>
                <w:kern w:val="0"/>
                <w:sz w:val="21"/>
                <w:szCs w:val="21"/>
                <w:lang w:bidi="ar"/>
              </w:rPr>
              <w:t>26</w:t>
            </w:r>
          </w:p>
        </w:tc>
        <w:tc>
          <w:tcPr>
            <w:tcW w:w="710" w:type="pct"/>
            <w:tcBorders>
              <w:top w:val="nil"/>
              <w:left w:val="nil"/>
              <w:bottom w:val="single" w:color="auto" w:sz="8" w:space="0"/>
              <w:right w:val="single" w:color="auto" w:sz="8" w:space="0"/>
            </w:tcBorders>
            <w:shd w:val="clear" w:color="auto" w:fill="auto"/>
            <w:vAlign w:val="center"/>
          </w:tcPr>
          <w:p w14:paraId="7DB30332">
            <w:pPr>
              <w:widowControl/>
              <w:spacing w:line="240" w:lineRule="auto"/>
              <w:ind w:firstLine="0" w:firstLineChars="0"/>
              <w:jc w:val="center"/>
              <w:textAlignment w:val="center"/>
              <w:rPr>
                <w:color w:val="auto"/>
                <w:sz w:val="21"/>
                <w:szCs w:val="21"/>
              </w:rPr>
            </w:pPr>
            <w:r>
              <w:rPr>
                <w:color w:val="auto"/>
                <w:kern w:val="0"/>
                <w:sz w:val="21"/>
                <w:szCs w:val="21"/>
                <w:lang w:bidi="ar"/>
              </w:rPr>
              <w:t>间，对-二甲苯</w:t>
            </w:r>
          </w:p>
        </w:tc>
        <w:tc>
          <w:tcPr>
            <w:tcW w:w="395" w:type="pct"/>
            <w:tcBorders>
              <w:top w:val="nil"/>
              <w:left w:val="nil"/>
              <w:bottom w:val="single" w:color="auto" w:sz="8" w:space="0"/>
              <w:right w:val="single" w:color="auto" w:sz="8" w:space="0"/>
            </w:tcBorders>
            <w:shd w:val="clear" w:color="auto" w:fill="auto"/>
            <w:vAlign w:val="center"/>
          </w:tcPr>
          <w:p w14:paraId="578E9FE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59A569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CF88C4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629C30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B2BB17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6441ED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E5FD43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1D5CAE4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796960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3706B29C">
            <w:pPr>
              <w:widowControl/>
              <w:spacing w:line="240" w:lineRule="auto"/>
              <w:ind w:firstLine="0" w:firstLineChars="0"/>
              <w:jc w:val="center"/>
              <w:textAlignment w:val="center"/>
              <w:rPr>
                <w:color w:val="auto"/>
                <w:sz w:val="21"/>
                <w:szCs w:val="21"/>
              </w:rPr>
            </w:pPr>
            <w:r>
              <w:rPr>
                <w:color w:val="auto"/>
                <w:kern w:val="0"/>
                <w:sz w:val="21"/>
                <w:szCs w:val="21"/>
                <w:lang w:bidi="ar"/>
              </w:rPr>
              <w:t>570</w:t>
            </w:r>
          </w:p>
        </w:tc>
      </w:tr>
      <w:tr w14:paraId="46DC4D1A">
        <w:tblPrEx>
          <w:tblCellMar>
            <w:top w:w="0" w:type="dxa"/>
            <w:left w:w="108" w:type="dxa"/>
            <w:bottom w:w="0" w:type="dxa"/>
            <w:right w:w="108" w:type="dxa"/>
          </w:tblCellMar>
        </w:tblPrEx>
        <w:trPr>
          <w:trHeight w:val="308" w:hRule="atLeast"/>
        </w:trPr>
        <w:tc>
          <w:tcPr>
            <w:tcW w:w="230" w:type="pct"/>
            <w:tcBorders>
              <w:top w:val="nil"/>
              <w:left w:val="nil"/>
              <w:bottom w:val="single" w:color="auto" w:sz="8" w:space="0"/>
              <w:right w:val="single" w:color="auto" w:sz="8" w:space="0"/>
            </w:tcBorders>
            <w:shd w:val="clear" w:color="auto" w:fill="auto"/>
            <w:vAlign w:val="center"/>
          </w:tcPr>
          <w:p w14:paraId="483B8DAC">
            <w:pPr>
              <w:widowControl/>
              <w:spacing w:line="240" w:lineRule="auto"/>
              <w:ind w:firstLine="0" w:firstLineChars="0"/>
              <w:jc w:val="center"/>
              <w:textAlignment w:val="center"/>
              <w:rPr>
                <w:color w:val="auto"/>
                <w:sz w:val="21"/>
                <w:szCs w:val="21"/>
              </w:rPr>
            </w:pPr>
            <w:r>
              <w:rPr>
                <w:color w:val="auto"/>
                <w:kern w:val="0"/>
                <w:sz w:val="21"/>
                <w:szCs w:val="21"/>
                <w:lang w:bidi="ar"/>
              </w:rPr>
              <w:t>27</w:t>
            </w:r>
          </w:p>
        </w:tc>
        <w:tc>
          <w:tcPr>
            <w:tcW w:w="710" w:type="pct"/>
            <w:tcBorders>
              <w:top w:val="nil"/>
              <w:left w:val="nil"/>
              <w:bottom w:val="single" w:color="auto" w:sz="8" w:space="0"/>
              <w:right w:val="single" w:color="auto" w:sz="8" w:space="0"/>
            </w:tcBorders>
            <w:shd w:val="clear" w:color="auto" w:fill="auto"/>
            <w:vAlign w:val="center"/>
          </w:tcPr>
          <w:p w14:paraId="2FB6D534">
            <w:pPr>
              <w:widowControl/>
              <w:spacing w:line="240" w:lineRule="auto"/>
              <w:ind w:firstLine="0" w:firstLineChars="0"/>
              <w:jc w:val="center"/>
              <w:textAlignment w:val="center"/>
              <w:rPr>
                <w:color w:val="auto"/>
                <w:sz w:val="21"/>
                <w:szCs w:val="21"/>
              </w:rPr>
            </w:pPr>
            <w:r>
              <w:rPr>
                <w:color w:val="auto"/>
                <w:kern w:val="0"/>
                <w:sz w:val="21"/>
                <w:szCs w:val="21"/>
                <w:lang w:bidi="ar"/>
              </w:rPr>
              <w:t>邻二甲苯</w:t>
            </w:r>
          </w:p>
        </w:tc>
        <w:tc>
          <w:tcPr>
            <w:tcW w:w="395" w:type="pct"/>
            <w:tcBorders>
              <w:top w:val="nil"/>
              <w:left w:val="nil"/>
              <w:bottom w:val="single" w:color="auto" w:sz="8" w:space="0"/>
              <w:right w:val="single" w:color="auto" w:sz="8" w:space="0"/>
            </w:tcBorders>
            <w:shd w:val="clear" w:color="auto" w:fill="auto"/>
            <w:vAlign w:val="center"/>
          </w:tcPr>
          <w:p w14:paraId="141DFDF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DA3B60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C8C171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55DDB2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CADBAF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FEB68D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522777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164D1AD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70AABE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5F72816E">
            <w:pPr>
              <w:widowControl/>
              <w:spacing w:line="240" w:lineRule="auto"/>
              <w:ind w:firstLine="0" w:firstLineChars="0"/>
              <w:jc w:val="center"/>
              <w:textAlignment w:val="center"/>
              <w:rPr>
                <w:color w:val="auto"/>
                <w:sz w:val="21"/>
                <w:szCs w:val="21"/>
              </w:rPr>
            </w:pPr>
            <w:r>
              <w:rPr>
                <w:color w:val="auto"/>
                <w:kern w:val="0"/>
                <w:sz w:val="21"/>
                <w:szCs w:val="21"/>
                <w:lang w:bidi="ar"/>
              </w:rPr>
              <w:t>640</w:t>
            </w:r>
          </w:p>
        </w:tc>
      </w:tr>
      <w:tr w14:paraId="24B7F875">
        <w:tblPrEx>
          <w:tblCellMar>
            <w:top w:w="0" w:type="dxa"/>
            <w:left w:w="108" w:type="dxa"/>
            <w:bottom w:w="0" w:type="dxa"/>
            <w:right w:w="108" w:type="dxa"/>
          </w:tblCellMar>
        </w:tblPrEx>
        <w:trPr>
          <w:trHeight w:val="315" w:hRule="atLeast"/>
        </w:trPr>
        <w:tc>
          <w:tcPr>
            <w:tcW w:w="5000" w:type="pct"/>
            <w:gridSpan w:val="12"/>
            <w:tcBorders>
              <w:top w:val="single" w:color="auto" w:sz="8" w:space="0"/>
              <w:left w:val="nil"/>
              <w:bottom w:val="single" w:color="auto" w:sz="8" w:space="0"/>
              <w:right w:val="nil"/>
            </w:tcBorders>
            <w:shd w:val="clear" w:color="auto" w:fill="auto"/>
            <w:vAlign w:val="center"/>
          </w:tcPr>
          <w:p w14:paraId="0C86A6C1">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半挥发性有机物</w:t>
            </w:r>
          </w:p>
        </w:tc>
      </w:tr>
      <w:tr w14:paraId="7596852F">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40C358C6">
            <w:pPr>
              <w:widowControl/>
              <w:spacing w:line="240" w:lineRule="auto"/>
              <w:ind w:firstLine="0" w:firstLineChars="0"/>
              <w:jc w:val="center"/>
              <w:textAlignment w:val="center"/>
              <w:rPr>
                <w:color w:val="auto"/>
                <w:sz w:val="21"/>
                <w:szCs w:val="21"/>
              </w:rPr>
            </w:pPr>
            <w:r>
              <w:rPr>
                <w:color w:val="auto"/>
                <w:kern w:val="0"/>
                <w:sz w:val="21"/>
                <w:szCs w:val="21"/>
                <w:lang w:bidi="ar"/>
              </w:rPr>
              <w:t>1</w:t>
            </w:r>
          </w:p>
        </w:tc>
        <w:tc>
          <w:tcPr>
            <w:tcW w:w="710" w:type="pct"/>
            <w:tcBorders>
              <w:top w:val="nil"/>
              <w:left w:val="nil"/>
              <w:bottom w:val="single" w:color="auto" w:sz="8" w:space="0"/>
              <w:right w:val="single" w:color="auto" w:sz="8" w:space="0"/>
            </w:tcBorders>
            <w:shd w:val="clear" w:color="auto" w:fill="auto"/>
            <w:vAlign w:val="center"/>
          </w:tcPr>
          <w:p w14:paraId="21318D95">
            <w:pPr>
              <w:widowControl/>
              <w:spacing w:line="240" w:lineRule="auto"/>
              <w:ind w:firstLine="0" w:firstLineChars="0"/>
              <w:jc w:val="center"/>
              <w:textAlignment w:val="center"/>
              <w:rPr>
                <w:color w:val="auto"/>
                <w:sz w:val="21"/>
                <w:szCs w:val="21"/>
              </w:rPr>
            </w:pPr>
            <w:r>
              <w:rPr>
                <w:color w:val="auto"/>
                <w:kern w:val="0"/>
                <w:sz w:val="21"/>
                <w:szCs w:val="21"/>
                <w:lang w:bidi="ar"/>
              </w:rPr>
              <w:t>苯胺</w:t>
            </w:r>
          </w:p>
        </w:tc>
        <w:tc>
          <w:tcPr>
            <w:tcW w:w="395" w:type="pct"/>
            <w:tcBorders>
              <w:top w:val="nil"/>
              <w:left w:val="nil"/>
              <w:bottom w:val="single" w:color="auto" w:sz="8" w:space="0"/>
              <w:right w:val="single" w:color="auto" w:sz="8" w:space="0"/>
            </w:tcBorders>
            <w:shd w:val="clear" w:color="auto" w:fill="auto"/>
            <w:vAlign w:val="center"/>
          </w:tcPr>
          <w:p w14:paraId="051144F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28F047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3ABB33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2D07C26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DB94CA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8BE395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64ABCCC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DDBAAE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5F38847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63E7837">
            <w:pPr>
              <w:widowControl/>
              <w:spacing w:line="240" w:lineRule="auto"/>
              <w:ind w:firstLine="0" w:firstLineChars="0"/>
              <w:jc w:val="center"/>
              <w:textAlignment w:val="center"/>
              <w:rPr>
                <w:color w:val="auto"/>
                <w:sz w:val="21"/>
                <w:szCs w:val="21"/>
              </w:rPr>
            </w:pPr>
            <w:r>
              <w:rPr>
                <w:color w:val="auto"/>
                <w:kern w:val="0"/>
                <w:sz w:val="21"/>
                <w:szCs w:val="21"/>
                <w:lang w:bidi="ar"/>
              </w:rPr>
              <w:t>260</w:t>
            </w:r>
          </w:p>
        </w:tc>
      </w:tr>
      <w:tr w14:paraId="531153FE">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2A80468D">
            <w:pPr>
              <w:widowControl/>
              <w:spacing w:line="240" w:lineRule="auto"/>
              <w:ind w:firstLine="0" w:firstLineChars="0"/>
              <w:jc w:val="center"/>
              <w:textAlignment w:val="center"/>
              <w:rPr>
                <w:color w:val="auto"/>
                <w:sz w:val="21"/>
                <w:szCs w:val="21"/>
              </w:rPr>
            </w:pPr>
            <w:r>
              <w:rPr>
                <w:color w:val="auto"/>
                <w:kern w:val="0"/>
                <w:sz w:val="21"/>
                <w:szCs w:val="21"/>
                <w:lang w:bidi="ar"/>
              </w:rPr>
              <w:t>2</w:t>
            </w:r>
          </w:p>
        </w:tc>
        <w:tc>
          <w:tcPr>
            <w:tcW w:w="710" w:type="pct"/>
            <w:tcBorders>
              <w:top w:val="nil"/>
              <w:left w:val="nil"/>
              <w:bottom w:val="single" w:color="auto" w:sz="8" w:space="0"/>
              <w:right w:val="single" w:color="auto" w:sz="8" w:space="0"/>
            </w:tcBorders>
            <w:shd w:val="clear" w:color="auto" w:fill="auto"/>
            <w:vAlign w:val="center"/>
          </w:tcPr>
          <w:p w14:paraId="161F470C">
            <w:pPr>
              <w:widowControl/>
              <w:spacing w:line="240" w:lineRule="auto"/>
              <w:ind w:firstLine="0" w:firstLineChars="0"/>
              <w:jc w:val="center"/>
              <w:textAlignment w:val="center"/>
              <w:rPr>
                <w:color w:val="auto"/>
                <w:sz w:val="21"/>
                <w:szCs w:val="21"/>
              </w:rPr>
            </w:pPr>
            <w:r>
              <w:rPr>
                <w:color w:val="auto"/>
                <w:kern w:val="0"/>
                <w:sz w:val="21"/>
                <w:szCs w:val="21"/>
                <w:lang w:bidi="ar"/>
              </w:rPr>
              <w:t>硝基苯</w:t>
            </w:r>
          </w:p>
        </w:tc>
        <w:tc>
          <w:tcPr>
            <w:tcW w:w="395" w:type="pct"/>
            <w:tcBorders>
              <w:top w:val="nil"/>
              <w:left w:val="nil"/>
              <w:bottom w:val="single" w:color="auto" w:sz="8" w:space="0"/>
              <w:right w:val="single" w:color="auto" w:sz="8" w:space="0"/>
            </w:tcBorders>
            <w:shd w:val="clear" w:color="auto" w:fill="auto"/>
            <w:vAlign w:val="center"/>
          </w:tcPr>
          <w:p w14:paraId="48F5573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71F101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DB88CD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C00933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D1D514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8C484A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62310B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1A44AF2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57FFEB8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0FFC09D1">
            <w:pPr>
              <w:widowControl/>
              <w:spacing w:line="240" w:lineRule="auto"/>
              <w:ind w:firstLine="0" w:firstLineChars="0"/>
              <w:jc w:val="center"/>
              <w:textAlignment w:val="center"/>
              <w:rPr>
                <w:color w:val="auto"/>
                <w:sz w:val="21"/>
                <w:szCs w:val="21"/>
              </w:rPr>
            </w:pPr>
            <w:r>
              <w:rPr>
                <w:color w:val="auto"/>
                <w:kern w:val="0"/>
                <w:sz w:val="21"/>
                <w:szCs w:val="21"/>
                <w:lang w:bidi="ar"/>
              </w:rPr>
              <w:t>76</w:t>
            </w:r>
          </w:p>
        </w:tc>
      </w:tr>
      <w:tr w14:paraId="3CBDF59B">
        <w:tblPrEx>
          <w:tblCellMar>
            <w:top w:w="0" w:type="dxa"/>
            <w:left w:w="108" w:type="dxa"/>
            <w:bottom w:w="0" w:type="dxa"/>
            <w:right w:w="108" w:type="dxa"/>
          </w:tblCellMar>
        </w:tblPrEx>
        <w:trPr>
          <w:trHeight w:val="315" w:hRule="atLeast"/>
        </w:trPr>
        <w:tc>
          <w:tcPr>
            <w:tcW w:w="230" w:type="pct"/>
            <w:tcBorders>
              <w:top w:val="nil"/>
              <w:left w:val="nil"/>
              <w:bottom w:val="single" w:color="auto" w:sz="8" w:space="0"/>
              <w:right w:val="single" w:color="auto" w:sz="8" w:space="0"/>
            </w:tcBorders>
            <w:shd w:val="clear" w:color="auto" w:fill="auto"/>
            <w:vAlign w:val="center"/>
          </w:tcPr>
          <w:p w14:paraId="5AD01289">
            <w:pPr>
              <w:widowControl/>
              <w:spacing w:line="240" w:lineRule="auto"/>
              <w:ind w:firstLine="0" w:firstLineChars="0"/>
              <w:jc w:val="center"/>
              <w:textAlignment w:val="center"/>
              <w:rPr>
                <w:color w:val="auto"/>
                <w:sz w:val="21"/>
                <w:szCs w:val="21"/>
              </w:rPr>
            </w:pPr>
            <w:r>
              <w:rPr>
                <w:color w:val="auto"/>
                <w:kern w:val="0"/>
                <w:sz w:val="21"/>
                <w:szCs w:val="21"/>
                <w:lang w:bidi="ar"/>
              </w:rPr>
              <w:t>3</w:t>
            </w:r>
          </w:p>
        </w:tc>
        <w:tc>
          <w:tcPr>
            <w:tcW w:w="710" w:type="pct"/>
            <w:tcBorders>
              <w:top w:val="nil"/>
              <w:left w:val="nil"/>
              <w:bottom w:val="single" w:color="auto" w:sz="8" w:space="0"/>
              <w:right w:val="single" w:color="auto" w:sz="8" w:space="0"/>
            </w:tcBorders>
            <w:shd w:val="clear" w:color="auto" w:fill="auto"/>
            <w:vAlign w:val="center"/>
          </w:tcPr>
          <w:p w14:paraId="7B63F4BF">
            <w:pPr>
              <w:widowControl/>
              <w:spacing w:line="240" w:lineRule="auto"/>
              <w:ind w:firstLine="0" w:firstLineChars="0"/>
              <w:jc w:val="center"/>
              <w:textAlignment w:val="center"/>
              <w:rPr>
                <w:color w:val="auto"/>
                <w:sz w:val="21"/>
                <w:szCs w:val="21"/>
              </w:rPr>
            </w:pPr>
            <w:r>
              <w:rPr>
                <w:color w:val="auto"/>
                <w:kern w:val="0"/>
                <w:sz w:val="21"/>
                <w:szCs w:val="21"/>
                <w:lang w:bidi="ar"/>
              </w:rPr>
              <w:t>2-氯酚</w:t>
            </w:r>
          </w:p>
        </w:tc>
        <w:tc>
          <w:tcPr>
            <w:tcW w:w="395" w:type="pct"/>
            <w:tcBorders>
              <w:top w:val="nil"/>
              <w:left w:val="nil"/>
              <w:bottom w:val="single" w:color="auto" w:sz="8" w:space="0"/>
              <w:right w:val="single" w:color="auto" w:sz="8" w:space="0"/>
            </w:tcBorders>
            <w:shd w:val="clear" w:color="auto" w:fill="auto"/>
            <w:vAlign w:val="center"/>
          </w:tcPr>
          <w:p w14:paraId="44B1419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F2D2D0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6324EE6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ADA101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AA7870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7F35D5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E500DD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02F14D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694071D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685C6C91">
            <w:pPr>
              <w:widowControl/>
              <w:spacing w:line="240" w:lineRule="auto"/>
              <w:ind w:firstLine="0" w:firstLineChars="0"/>
              <w:jc w:val="center"/>
              <w:textAlignment w:val="center"/>
              <w:rPr>
                <w:color w:val="auto"/>
                <w:sz w:val="21"/>
                <w:szCs w:val="21"/>
              </w:rPr>
            </w:pPr>
            <w:r>
              <w:rPr>
                <w:color w:val="auto"/>
                <w:kern w:val="0"/>
                <w:sz w:val="21"/>
                <w:szCs w:val="21"/>
                <w:lang w:bidi="ar"/>
              </w:rPr>
              <w:t>2256</w:t>
            </w:r>
          </w:p>
        </w:tc>
      </w:tr>
      <w:tr w14:paraId="487F8BE2">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5E84099B">
            <w:pPr>
              <w:widowControl/>
              <w:spacing w:line="240" w:lineRule="auto"/>
              <w:ind w:firstLine="0" w:firstLineChars="0"/>
              <w:jc w:val="center"/>
              <w:textAlignment w:val="center"/>
              <w:rPr>
                <w:color w:val="auto"/>
                <w:sz w:val="21"/>
                <w:szCs w:val="21"/>
              </w:rPr>
            </w:pPr>
            <w:r>
              <w:rPr>
                <w:color w:val="auto"/>
                <w:kern w:val="0"/>
                <w:sz w:val="21"/>
                <w:szCs w:val="21"/>
                <w:lang w:bidi="ar"/>
              </w:rPr>
              <w:t>4</w:t>
            </w:r>
          </w:p>
        </w:tc>
        <w:tc>
          <w:tcPr>
            <w:tcW w:w="710" w:type="pct"/>
            <w:tcBorders>
              <w:top w:val="nil"/>
              <w:left w:val="nil"/>
              <w:bottom w:val="single" w:color="auto" w:sz="8" w:space="0"/>
              <w:right w:val="single" w:color="auto" w:sz="8" w:space="0"/>
            </w:tcBorders>
            <w:shd w:val="clear" w:color="auto" w:fill="auto"/>
            <w:vAlign w:val="center"/>
          </w:tcPr>
          <w:p w14:paraId="0A717865">
            <w:pPr>
              <w:widowControl/>
              <w:spacing w:line="240" w:lineRule="auto"/>
              <w:ind w:firstLine="0" w:firstLineChars="0"/>
              <w:jc w:val="center"/>
              <w:textAlignment w:val="center"/>
              <w:rPr>
                <w:color w:val="auto"/>
                <w:sz w:val="21"/>
                <w:szCs w:val="21"/>
              </w:rPr>
            </w:pPr>
            <w:r>
              <w:rPr>
                <w:color w:val="auto"/>
                <w:kern w:val="0"/>
                <w:sz w:val="21"/>
                <w:szCs w:val="21"/>
                <w:lang w:bidi="ar"/>
              </w:rPr>
              <w:t>苯并(a)蒽</w:t>
            </w:r>
          </w:p>
        </w:tc>
        <w:tc>
          <w:tcPr>
            <w:tcW w:w="395" w:type="pct"/>
            <w:tcBorders>
              <w:top w:val="nil"/>
              <w:left w:val="nil"/>
              <w:bottom w:val="single" w:color="auto" w:sz="8" w:space="0"/>
              <w:right w:val="single" w:color="auto" w:sz="8" w:space="0"/>
            </w:tcBorders>
            <w:shd w:val="clear" w:color="auto" w:fill="auto"/>
            <w:vAlign w:val="center"/>
          </w:tcPr>
          <w:p w14:paraId="3E24828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9B1161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39AA4DE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57B319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722A612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EDE9D5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D47E49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6A19F6C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11C524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368C8964">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r>
      <w:tr w14:paraId="72DBA021">
        <w:tblPrEx>
          <w:tblCellMar>
            <w:top w:w="0" w:type="dxa"/>
            <w:left w:w="108" w:type="dxa"/>
            <w:bottom w:w="0" w:type="dxa"/>
            <w:right w:w="108" w:type="dxa"/>
          </w:tblCellMar>
        </w:tblPrEx>
        <w:trPr>
          <w:trHeight w:val="300" w:hRule="atLeast"/>
        </w:trPr>
        <w:tc>
          <w:tcPr>
            <w:tcW w:w="230" w:type="pct"/>
            <w:tcBorders>
              <w:top w:val="nil"/>
              <w:left w:val="nil"/>
              <w:bottom w:val="single" w:color="auto" w:sz="8" w:space="0"/>
              <w:right w:val="single" w:color="auto" w:sz="8" w:space="0"/>
            </w:tcBorders>
            <w:shd w:val="clear" w:color="auto" w:fill="auto"/>
            <w:vAlign w:val="center"/>
          </w:tcPr>
          <w:p w14:paraId="60263823">
            <w:pPr>
              <w:widowControl/>
              <w:spacing w:line="240" w:lineRule="auto"/>
              <w:ind w:firstLine="0" w:firstLineChars="0"/>
              <w:jc w:val="center"/>
              <w:textAlignment w:val="center"/>
              <w:rPr>
                <w:color w:val="auto"/>
                <w:sz w:val="21"/>
                <w:szCs w:val="21"/>
              </w:rPr>
            </w:pPr>
            <w:r>
              <w:rPr>
                <w:color w:val="auto"/>
                <w:kern w:val="0"/>
                <w:sz w:val="21"/>
                <w:szCs w:val="21"/>
                <w:lang w:bidi="ar"/>
              </w:rPr>
              <w:t>5</w:t>
            </w:r>
          </w:p>
        </w:tc>
        <w:tc>
          <w:tcPr>
            <w:tcW w:w="710" w:type="pct"/>
            <w:tcBorders>
              <w:top w:val="nil"/>
              <w:left w:val="nil"/>
              <w:bottom w:val="single" w:color="auto" w:sz="8" w:space="0"/>
              <w:right w:val="single" w:color="auto" w:sz="8" w:space="0"/>
            </w:tcBorders>
            <w:shd w:val="clear" w:color="auto" w:fill="auto"/>
            <w:vAlign w:val="center"/>
          </w:tcPr>
          <w:p w14:paraId="35448B28">
            <w:pPr>
              <w:widowControl/>
              <w:spacing w:line="240" w:lineRule="auto"/>
              <w:ind w:firstLine="0" w:firstLineChars="0"/>
              <w:jc w:val="center"/>
              <w:textAlignment w:val="center"/>
              <w:rPr>
                <w:color w:val="auto"/>
                <w:sz w:val="21"/>
                <w:szCs w:val="21"/>
              </w:rPr>
            </w:pPr>
            <w:r>
              <w:rPr>
                <w:color w:val="auto"/>
                <w:kern w:val="0"/>
                <w:sz w:val="21"/>
                <w:szCs w:val="21"/>
                <w:lang w:bidi="ar"/>
              </w:rPr>
              <w:t>苯并(a)芘</w:t>
            </w:r>
          </w:p>
        </w:tc>
        <w:tc>
          <w:tcPr>
            <w:tcW w:w="395" w:type="pct"/>
            <w:tcBorders>
              <w:top w:val="nil"/>
              <w:left w:val="nil"/>
              <w:bottom w:val="single" w:color="auto" w:sz="8" w:space="0"/>
              <w:right w:val="single" w:color="auto" w:sz="8" w:space="0"/>
            </w:tcBorders>
            <w:shd w:val="clear" w:color="auto" w:fill="auto"/>
            <w:vAlign w:val="center"/>
          </w:tcPr>
          <w:p w14:paraId="219B3B5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B40998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84F965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047FCA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64B3384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A81DCF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7306152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B65EF2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09391F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585292EE">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r>
      <w:tr w14:paraId="7BAC18DB">
        <w:tblPrEx>
          <w:tblCellMar>
            <w:top w:w="0" w:type="dxa"/>
            <w:left w:w="108" w:type="dxa"/>
            <w:bottom w:w="0" w:type="dxa"/>
            <w:right w:w="108" w:type="dxa"/>
          </w:tblCellMar>
        </w:tblPrEx>
        <w:trPr>
          <w:trHeight w:val="282" w:hRule="atLeast"/>
        </w:trPr>
        <w:tc>
          <w:tcPr>
            <w:tcW w:w="230" w:type="pct"/>
            <w:tcBorders>
              <w:top w:val="nil"/>
              <w:left w:val="nil"/>
              <w:bottom w:val="single" w:color="auto" w:sz="8" w:space="0"/>
              <w:right w:val="single" w:color="auto" w:sz="8" w:space="0"/>
            </w:tcBorders>
            <w:shd w:val="clear" w:color="auto" w:fill="auto"/>
            <w:vAlign w:val="center"/>
          </w:tcPr>
          <w:p w14:paraId="6E9B12DD">
            <w:pPr>
              <w:widowControl/>
              <w:spacing w:line="240" w:lineRule="auto"/>
              <w:ind w:firstLine="0" w:firstLineChars="0"/>
              <w:jc w:val="center"/>
              <w:textAlignment w:val="center"/>
              <w:rPr>
                <w:color w:val="auto"/>
                <w:sz w:val="21"/>
                <w:szCs w:val="21"/>
              </w:rPr>
            </w:pPr>
            <w:r>
              <w:rPr>
                <w:color w:val="auto"/>
                <w:kern w:val="0"/>
                <w:sz w:val="21"/>
                <w:szCs w:val="21"/>
                <w:lang w:bidi="ar"/>
              </w:rPr>
              <w:t>6</w:t>
            </w:r>
          </w:p>
        </w:tc>
        <w:tc>
          <w:tcPr>
            <w:tcW w:w="710" w:type="pct"/>
            <w:tcBorders>
              <w:top w:val="nil"/>
              <w:left w:val="nil"/>
              <w:bottom w:val="single" w:color="auto" w:sz="8" w:space="0"/>
              <w:right w:val="single" w:color="auto" w:sz="8" w:space="0"/>
            </w:tcBorders>
            <w:shd w:val="clear" w:color="auto" w:fill="auto"/>
            <w:vAlign w:val="center"/>
          </w:tcPr>
          <w:p w14:paraId="4E2F924F">
            <w:pPr>
              <w:widowControl/>
              <w:spacing w:line="240" w:lineRule="auto"/>
              <w:ind w:firstLine="0" w:firstLineChars="0"/>
              <w:jc w:val="center"/>
              <w:textAlignment w:val="center"/>
              <w:rPr>
                <w:color w:val="auto"/>
                <w:sz w:val="21"/>
                <w:szCs w:val="21"/>
              </w:rPr>
            </w:pPr>
            <w:r>
              <w:rPr>
                <w:color w:val="auto"/>
                <w:kern w:val="0"/>
                <w:sz w:val="21"/>
                <w:szCs w:val="21"/>
                <w:lang w:bidi="ar"/>
              </w:rPr>
              <w:t>苯并(b)荧蒽</w:t>
            </w:r>
          </w:p>
        </w:tc>
        <w:tc>
          <w:tcPr>
            <w:tcW w:w="395" w:type="pct"/>
            <w:tcBorders>
              <w:top w:val="nil"/>
              <w:left w:val="nil"/>
              <w:bottom w:val="single" w:color="auto" w:sz="8" w:space="0"/>
              <w:right w:val="single" w:color="auto" w:sz="8" w:space="0"/>
            </w:tcBorders>
            <w:shd w:val="clear" w:color="auto" w:fill="auto"/>
            <w:vAlign w:val="center"/>
          </w:tcPr>
          <w:p w14:paraId="120CBB7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D7F904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71CDDBE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017A72B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19037C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4B921A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6D4C6D0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7FFF80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21DA942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5971BEA8">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r>
      <w:tr w14:paraId="04740FD2">
        <w:tblPrEx>
          <w:tblCellMar>
            <w:top w:w="0" w:type="dxa"/>
            <w:left w:w="108" w:type="dxa"/>
            <w:bottom w:w="0" w:type="dxa"/>
            <w:right w:w="108" w:type="dxa"/>
          </w:tblCellMar>
        </w:tblPrEx>
        <w:trPr>
          <w:trHeight w:val="350" w:hRule="atLeast"/>
        </w:trPr>
        <w:tc>
          <w:tcPr>
            <w:tcW w:w="230" w:type="pct"/>
            <w:tcBorders>
              <w:top w:val="nil"/>
              <w:left w:val="nil"/>
              <w:bottom w:val="single" w:color="auto" w:sz="8" w:space="0"/>
              <w:right w:val="single" w:color="auto" w:sz="8" w:space="0"/>
            </w:tcBorders>
            <w:shd w:val="clear" w:color="auto" w:fill="auto"/>
            <w:vAlign w:val="center"/>
          </w:tcPr>
          <w:p w14:paraId="144283FF">
            <w:pPr>
              <w:widowControl/>
              <w:spacing w:line="240" w:lineRule="auto"/>
              <w:ind w:firstLine="0" w:firstLineChars="0"/>
              <w:jc w:val="center"/>
              <w:textAlignment w:val="center"/>
              <w:rPr>
                <w:color w:val="auto"/>
                <w:sz w:val="21"/>
                <w:szCs w:val="21"/>
              </w:rPr>
            </w:pPr>
            <w:r>
              <w:rPr>
                <w:color w:val="auto"/>
                <w:kern w:val="0"/>
                <w:sz w:val="21"/>
                <w:szCs w:val="21"/>
                <w:lang w:bidi="ar"/>
              </w:rPr>
              <w:t>7</w:t>
            </w:r>
          </w:p>
        </w:tc>
        <w:tc>
          <w:tcPr>
            <w:tcW w:w="710" w:type="pct"/>
            <w:tcBorders>
              <w:top w:val="nil"/>
              <w:left w:val="nil"/>
              <w:bottom w:val="single" w:color="auto" w:sz="8" w:space="0"/>
              <w:right w:val="single" w:color="auto" w:sz="8" w:space="0"/>
            </w:tcBorders>
            <w:shd w:val="clear" w:color="auto" w:fill="auto"/>
            <w:vAlign w:val="center"/>
          </w:tcPr>
          <w:p w14:paraId="56CE799E">
            <w:pPr>
              <w:widowControl/>
              <w:spacing w:line="240" w:lineRule="auto"/>
              <w:ind w:firstLine="0" w:firstLineChars="0"/>
              <w:jc w:val="center"/>
              <w:textAlignment w:val="center"/>
              <w:rPr>
                <w:color w:val="auto"/>
                <w:sz w:val="21"/>
                <w:szCs w:val="21"/>
              </w:rPr>
            </w:pPr>
            <w:r>
              <w:rPr>
                <w:color w:val="auto"/>
                <w:kern w:val="0"/>
                <w:sz w:val="21"/>
                <w:szCs w:val="21"/>
                <w:lang w:bidi="ar"/>
              </w:rPr>
              <w:t>苯并(k)荧蒽</w:t>
            </w:r>
          </w:p>
        </w:tc>
        <w:tc>
          <w:tcPr>
            <w:tcW w:w="395" w:type="pct"/>
            <w:tcBorders>
              <w:top w:val="nil"/>
              <w:left w:val="nil"/>
              <w:bottom w:val="single" w:color="auto" w:sz="8" w:space="0"/>
              <w:right w:val="single" w:color="auto" w:sz="8" w:space="0"/>
            </w:tcBorders>
            <w:shd w:val="clear" w:color="auto" w:fill="auto"/>
            <w:vAlign w:val="center"/>
          </w:tcPr>
          <w:p w14:paraId="4A1C942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456BF89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5A2C14E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682A417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381EA63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ADB24A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14192B7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4A5ABE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2BFB84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100E021F">
            <w:pPr>
              <w:widowControl/>
              <w:spacing w:line="240" w:lineRule="auto"/>
              <w:ind w:firstLine="0" w:firstLineChars="0"/>
              <w:jc w:val="center"/>
              <w:textAlignment w:val="center"/>
              <w:rPr>
                <w:color w:val="auto"/>
                <w:sz w:val="21"/>
                <w:szCs w:val="21"/>
              </w:rPr>
            </w:pPr>
            <w:r>
              <w:rPr>
                <w:color w:val="auto"/>
                <w:kern w:val="0"/>
                <w:sz w:val="21"/>
                <w:szCs w:val="21"/>
                <w:lang w:bidi="ar"/>
              </w:rPr>
              <w:t>151</w:t>
            </w:r>
          </w:p>
        </w:tc>
      </w:tr>
      <w:tr w14:paraId="3A4B7062">
        <w:tblPrEx>
          <w:tblCellMar>
            <w:top w:w="0" w:type="dxa"/>
            <w:left w:w="108" w:type="dxa"/>
            <w:bottom w:w="0" w:type="dxa"/>
            <w:right w:w="108" w:type="dxa"/>
          </w:tblCellMar>
        </w:tblPrEx>
        <w:trPr>
          <w:trHeight w:val="335" w:hRule="atLeast"/>
        </w:trPr>
        <w:tc>
          <w:tcPr>
            <w:tcW w:w="230" w:type="pct"/>
            <w:tcBorders>
              <w:top w:val="nil"/>
              <w:left w:val="nil"/>
              <w:bottom w:val="single" w:color="auto" w:sz="8" w:space="0"/>
              <w:right w:val="single" w:color="auto" w:sz="8" w:space="0"/>
            </w:tcBorders>
            <w:shd w:val="clear" w:color="auto" w:fill="auto"/>
            <w:vAlign w:val="center"/>
          </w:tcPr>
          <w:p w14:paraId="738FAA60">
            <w:pPr>
              <w:widowControl/>
              <w:spacing w:line="240" w:lineRule="auto"/>
              <w:ind w:firstLine="0" w:firstLineChars="0"/>
              <w:jc w:val="center"/>
              <w:textAlignment w:val="center"/>
              <w:rPr>
                <w:color w:val="auto"/>
                <w:sz w:val="21"/>
                <w:szCs w:val="21"/>
              </w:rPr>
            </w:pPr>
            <w:r>
              <w:rPr>
                <w:color w:val="auto"/>
                <w:kern w:val="0"/>
                <w:sz w:val="21"/>
                <w:szCs w:val="21"/>
                <w:lang w:bidi="ar"/>
              </w:rPr>
              <w:t>8</w:t>
            </w:r>
          </w:p>
        </w:tc>
        <w:tc>
          <w:tcPr>
            <w:tcW w:w="710" w:type="pct"/>
            <w:tcBorders>
              <w:top w:val="nil"/>
              <w:left w:val="nil"/>
              <w:bottom w:val="single" w:color="auto" w:sz="8" w:space="0"/>
              <w:right w:val="single" w:color="auto" w:sz="8" w:space="0"/>
            </w:tcBorders>
            <w:shd w:val="clear" w:color="auto" w:fill="auto"/>
            <w:vAlign w:val="center"/>
          </w:tcPr>
          <w:p w14:paraId="698822D4">
            <w:pPr>
              <w:widowControl/>
              <w:spacing w:line="240" w:lineRule="auto"/>
              <w:ind w:firstLine="0" w:firstLineChars="0"/>
              <w:jc w:val="center"/>
              <w:textAlignment w:val="center"/>
              <w:rPr>
                <w:color w:val="auto"/>
                <w:sz w:val="21"/>
                <w:szCs w:val="21"/>
              </w:rPr>
            </w:pPr>
            <w:r>
              <w:rPr>
                <w:color w:val="auto"/>
                <w:kern w:val="0"/>
                <w:sz w:val="21"/>
                <w:szCs w:val="21"/>
                <w:lang w:bidi="ar"/>
              </w:rPr>
              <w:t>䓛</w:t>
            </w:r>
          </w:p>
        </w:tc>
        <w:tc>
          <w:tcPr>
            <w:tcW w:w="395" w:type="pct"/>
            <w:tcBorders>
              <w:top w:val="nil"/>
              <w:left w:val="nil"/>
              <w:bottom w:val="single" w:color="auto" w:sz="8" w:space="0"/>
              <w:right w:val="single" w:color="auto" w:sz="8" w:space="0"/>
            </w:tcBorders>
            <w:shd w:val="clear" w:color="auto" w:fill="auto"/>
            <w:vAlign w:val="center"/>
          </w:tcPr>
          <w:p w14:paraId="26AD05E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6C7E4B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D9E98C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858B32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5DDDF8B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79AA57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72CAE08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6C13B4F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4B133F2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3C699A26">
            <w:pPr>
              <w:widowControl/>
              <w:spacing w:line="240" w:lineRule="auto"/>
              <w:ind w:firstLine="0" w:firstLineChars="0"/>
              <w:jc w:val="center"/>
              <w:textAlignment w:val="center"/>
              <w:rPr>
                <w:color w:val="auto"/>
                <w:sz w:val="21"/>
                <w:szCs w:val="21"/>
              </w:rPr>
            </w:pPr>
            <w:r>
              <w:rPr>
                <w:color w:val="auto"/>
                <w:kern w:val="0"/>
                <w:sz w:val="21"/>
                <w:szCs w:val="21"/>
                <w:lang w:bidi="ar"/>
              </w:rPr>
              <w:t>1293</w:t>
            </w:r>
          </w:p>
        </w:tc>
      </w:tr>
      <w:tr w14:paraId="7AAB243C">
        <w:tblPrEx>
          <w:tblCellMar>
            <w:top w:w="0" w:type="dxa"/>
            <w:left w:w="108" w:type="dxa"/>
            <w:bottom w:w="0" w:type="dxa"/>
            <w:right w:w="108" w:type="dxa"/>
          </w:tblCellMar>
        </w:tblPrEx>
        <w:trPr>
          <w:trHeight w:val="337" w:hRule="atLeast"/>
        </w:trPr>
        <w:tc>
          <w:tcPr>
            <w:tcW w:w="230" w:type="pct"/>
            <w:tcBorders>
              <w:top w:val="nil"/>
              <w:left w:val="nil"/>
              <w:bottom w:val="single" w:color="auto" w:sz="8" w:space="0"/>
              <w:right w:val="single" w:color="auto" w:sz="8" w:space="0"/>
            </w:tcBorders>
            <w:shd w:val="clear" w:color="auto" w:fill="auto"/>
            <w:vAlign w:val="center"/>
          </w:tcPr>
          <w:p w14:paraId="7B232B80">
            <w:pPr>
              <w:widowControl/>
              <w:spacing w:line="240" w:lineRule="auto"/>
              <w:ind w:firstLine="0" w:firstLineChars="0"/>
              <w:jc w:val="center"/>
              <w:textAlignment w:val="center"/>
              <w:rPr>
                <w:color w:val="auto"/>
                <w:sz w:val="21"/>
                <w:szCs w:val="21"/>
              </w:rPr>
            </w:pPr>
            <w:r>
              <w:rPr>
                <w:color w:val="auto"/>
                <w:kern w:val="0"/>
                <w:sz w:val="21"/>
                <w:szCs w:val="21"/>
                <w:lang w:bidi="ar"/>
              </w:rPr>
              <w:t>9</w:t>
            </w:r>
          </w:p>
        </w:tc>
        <w:tc>
          <w:tcPr>
            <w:tcW w:w="710" w:type="pct"/>
            <w:tcBorders>
              <w:top w:val="nil"/>
              <w:left w:val="nil"/>
              <w:bottom w:val="single" w:color="auto" w:sz="8" w:space="0"/>
              <w:right w:val="single" w:color="auto" w:sz="8" w:space="0"/>
            </w:tcBorders>
            <w:shd w:val="clear" w:color="auto" w:fill="auto"/>
            <w:vAlign w:val="center"/>
          </w:tcPr>
          <w:p w14:paraId="0F48CDC8">
            <w:pPr>
              <w:widowControl/>
              <w:spacing w:line="240" w:lineRule="auto"/>
              <w:ind w:firstLine="0" w:firstLineChars="0"/>
              <w:jc w:val="center"/>
              <w:textAlignment w:val="center"/>
              <w:rPr>
                <w:color w:val="auto"/>
                <w:sz w:val="21"/>
                <w:szCs w:val="21"/>
              </w:rPr>
            </w:pPr>
            <w:r>
              <w:rPr>
                <w:color w:val="auto"/>
                <w:kern w:val="0"/>
                <w:sz w:val="21"/>
                <w:szCs w:val="21"/>
                <w:lang w:bidi="ar"/>
              </w:rPr>
              <w:t>二苯并(a,h)蒽</w:t>
            </w:r>
          </w:p>
        </w:tc>
        <w:tc>
          <w:tcPr>
            <w:tcW w:w="395" w:type="pct"/>
            <w:tcBorders>
              <w:top w:val="nil"/>
              <w:left w:val="nil"/>
              <w:bottom w:val="single" w:color="auto" w:sz="8" w:space="0"/>
              <w:right w:val="single" w:color="auto" w:sz="8" w:space="0"/>
            </w:tcBorders>
            <w:shd w:val="clear" w:color="auto" w:fill="auto"/>
            <w:vAlign w:val="center"/>
          </w:tcPr>
          <w:p w14:paraId="770B23E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16E5D1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01F6307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CAE41C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41DB6D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22FBE49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347C6AB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2415BDE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71220F5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42B37C0F">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r>
      <w:tr w14:paraId="7F8AB439">
        <w:tblPrEx>
          <w:tblCellMar>
            <w:top w:w="0" w:type="dxa"/>
            <w:left w:w="108" w:type="dxa"/>
            <w:bottom w:w="0" w:type="dxa"/>
            <w:right w:w="108" w:type="dxa"/>
          </w:tblCellMar>
        </w:tblPrEx>
        <w:trPr>
          <w:trHeight w:val="214" w:hRule="atLeast"/>
        </w:trPr>
        <w:tc>
          <w:tcPr>
            <w:tcW w:w="230" w:type="pct"/>
            <w:tcBorders>
              <w:top w:val="nil"/>
              <w:left w:val="nil"/>
              <w:bottom w:val="single" w:color="auto" w:sz="8" w:space="0"/>
              <w:right w:val="single" w:color="auto" w:sz="8" w:space="0"/>
            </w:tcBorders>
            <w:shd w:val="clear" w:color="auto" w:fill="auto"/>
            <w:vAlign w:val="center"/>
          </w:tcPr>
          <w:p w14:paraId="129A1B5E">
            <w:pPr>
              <w:widowControl/>
              <w:spacing w:line="240" w:lineRule="auto"/>
              <w:ind w:firstLine="0" w:firstLineChars="0"/>
              <w:jc w:val="center"/>
              <w:textAlignment w:val="center"/>
              <w:rPr>
                <w:color w:val="auto"/>
                <w:sz w:val="21"/>
                <w:szCs w:val="21"/>
              </w:rPr>
            </w:pPr>
            <w:r>
              <w:rPr>
                <w:color w:val="auto"/>
                <w:kern w:val="0"/>
                <w:sz w:val="21"/>
                <w:szCs w:val="21"/>
                <w:lang w:bidi="ar"/>
              </w:rPr>
              <w:t>10</w:t>
            </w:r>
          </w:p>
        </w:tc>
        <w:tc>
          <w:tcPr>
            <w:tcW w:w="710" w:type="pct"/>
            <w:tcBorders>
              <w:top w:val="nil"/>
              <w:left w:val="nil"/>
              <w:bottom w:val="single" w:color="auto" w:sz="8" w:space="0"/>
              <w:right w:val="single" w:color="auto" w:sz="8" w:space="0"/>
            </w:tcBorders>
            <w:shd w:val="clear" w:color="auto" w:fill="auto"/>
            <w:vAlign w:val="center"/>
          </w:tcPr>
          <w:p w14:paraId="3D18AB82">
            <w:pPr>
              <w:widowControl/>
              <w:spacing w:line="240" w:lineRule="auto"/>
              <w:ind w:firstLine="0" w:firstLineChars="0"/>
              <w:jc w:val="center"/>
              <w:textAlignment w:val="center"/>
              <w:rPr>
                <w:color w:val="auto"/>
                <w:sz w:val="21"/>
                <w:szCs w:val="21"/>
              </w:rPr>
            </w:pPr>
            <w:r>
              <w:rPr>
                <w:color w:val="auto"/>
                <w:kern w:val="0"/>
                <w:sz w:val="21"/>
                <w:szCs w:val="21"/>
                <w:lang w:bidi="ar"/>
              </w:rPr>
              <w:t>茚并(1,2,3-cd)芘</w:t>
            </w:r>
          </w:p>
        </w:tc>
        <w:tc>
          <w:tcPr>
            <w:tcW w:w="395" w:type="pct"/>
            <w:tcBorders>
              <w:top w:val="nil"/>
              <w:left w:val="nil"/>
              <w:bottom w:val="single" w:color="auto" w:sz="8" w:space="0"/>
              <w:right w:val="single" w:color="auto" w:sz="8" w:space="0"/>
            </w:tcBorders>
            <w:shd w:val="clear" w:color="auto" w:fill="auto"/>
            <w:vAlign w:val="center"/>
          </w:tcPr>
          <w:p w14:paraId="7678633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382BEF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8" w:space="0"/>
              <w:right w:val="single" w:color="auto" w:sz="8" w:space="0"/>
            </w:tcBorders>
            <w:shd w:val="clear" w:color="auto" w:fill="auto"/>
            <w:vAlign w:val="center"/>
          </w:tcPr>
          <w:p w14:paraId="49E429E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51282A2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0CE7077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8" w:space="0"/>
              <w:right w:val="single" w:color="auto" w:sz="8" w:space="0"/>
            </w:tcBorders>
            <w:shd w:val="clear" w:color="auto" w:fill="auto"/>
            <w:vAlign w:val="center"/>
          </w:tcPr>
          <w:p w14:paraId="1615670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8" w:space="0"/>
              <w:right w:val="single" w:color="auto" w:sz="8" w:space="0"/>
            </w:tcBorders>
            <w:shd w:val="clear" w:color="auto" w:fill="auto"/>
            <w:vAlign w:val="center"/>
          </w:tcPr>
          <w:p w14:paraId="4E1D228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8" w:space="0"/>
              <w:right w:val="single" w:color="auto" w:sz="8" w:space="0"/>
            </w:tcBorders>
            <w:shd w:val="clear" w:color="auto" w:fill="auto"/>
            <w:vAlign w:val="center"/>
          </w:tcPr>
          <w:p w14:paraId="4EC23902">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8" w:space="0"/>
              <w:right w:val="single" w:color="auto" w:sz="8" w:space="0"/>
            </w:tcBorders>
            <w:shd w:val="clear" w:color="auto" w:fill="auto"/>
            <w:vAlign w:val="center"/>
          </w:tcPr>
          <w:p w14:paraId="0C11E2C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8" w:space="0"/>
              <w:right w:val="nil"/>
            </w:tcBorders>
            <w:shd w:val="clear" w:color="auto" w:fill="auto"/>
            <w:vAlign w:val="center"/>
          </w:tcPr>
          <w:p w14:paraId="25350EEF">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r>
      <w:tr w14:paraId="216E454E">
        <w:tblPrEx>
          <w:tblCellMar>
            <w:top w:w="0" w:type="dxa"/>
            <w:left w:w="108" w:type="dxa"/>
            <w:bottom w:w="0" w:type="dxa"/>
            <w:right w:w="108" w:type="dxa"/>
          </w:tblCellMar>
        </w:tblPrEx>
        <w:trPr>
          <w:trHeight w:val="315" w:hRule="atLeast"/>
        </w:trPr>
        <w:tc>
          <w:tcPr>
            <w:tcW w:w="230" w:type="pct"/>
            <w:tcBorders>
              <w:top w:val="nil"/>
              <w:left w:val="nil"/>
              <w:bottom w:val="single" w:color="auto" w:sz="12" w:space="0"/>
              <w:right w:val="single" w:color="auto" w:sz="8" w:space="0"/>
            </w:tcBorders>
            <w:shd w:val="clear" w:color="auto" w:fill="auto"/>
            <w:vAlign w:val="center"/>
          </w:tcPr>
          <w:p w14:paraId="0730E0E7">
            <w:pPr>
              <w:widowControl/>
              <w:spacing w:line="240" w:lineRule="auto"/>
              <w:ind w:firstLine="0" w:firstLineChars="0"/>
              <w:jc w:val="center"/>
              <w:textAlignment w:val="center"/>
              <w:rPr>
                <w:color w:val="auto"/>
                <w:sz w:val="21"/>
                <w:szCs w:val="21"/>
              </w:rPr>
            </w:pPr>
            <w:r>
              <w:rPr>
                <w:color w:val="auto"/>
                <w:kern w:val="0"/>
                <w:sz w:val="21"/>
                <w:szCs w:val="21"/>
                <w:lang w:bidi="ar"/>
              </w:rPr>
              <w:t>11</w:t>
            </w:r>
          </w:p>
        </w:tc>
        <w:tc>
          <w:tcPr>
            <w:tcW w:w="710" w:type="pct"/>
            <w:tcBorders>
              <w:top w:val="nil"/>
              <w:left w:val="nil"/>
              <w:bottom w:val="single" w:color="auto" w:sz="12" w:space="0"/>
              <w:right w:val="single" w:color="auto" w:sz="8" w:space="0"/>
            </w:tcBorders>
            <w:shd w:val="clear" w:color="auto" w:fill="auto"/>
            <w:vAlign w:val="center"/>
          </w:tcPr>
          <w:p w14:paraId="7930AA7F">
            <w:pPr>
              <w:widowControl/>
              <w:spacing w:line="240" w:lineRule="auto"/>
              <w:ind w:firstLine="0" w:firstLineChars="0"/>
              <w:jc w:val="center"/>
              <w:textAlignment w:val="center"/>
              <w:rPr>
                <w:color w:val="auto"/>
                <w:sz w:val="21"/>
                <w:szCs w:val="21"/>
              </w:rPr>
            </w:pPr>
            <w:r>
              <w:rPr>
                <w:color w:val="auto"/>
                <w:kern w:val="0"/>
                <w:sz w:val="21"/>
                <w:szCs w:val="21"/>
                <w:lang w:bidi="ar"/>
              </w:rPr>
              <w:t>萘</w:t>
            </w:r>
          </w:p>
        </w:tc>
        <w:tc>
          <w:tcPr>
            <w:tcW w:w="395" w:type="pct"/>
            <w:tcBorders>
              <w:top w:val="nil"/>
              <w:left w:val="nil"/>
              <w:bottom w:val="single" w:color="auto" w:sz="12" w:space="0"/>
              <w:right w:val="single" w:color="auto" w:sz="8" w:space="0"/>
            </w:tcBorders>
            <w:shd w:val="clear" w:color="auto" w:fill="auto"/>
            <w:vAlign w:val="center"/>
          </w:tcPr>
          <w:p w14:paraId="5B09CD4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12" w:space="0"/>
              <w:right w:val="single" w:color="auto" w:sz="8" w:space="0"/>
            </w:tcBorders>
            <w:shd w:val="clear" w:color="auto" w:fill="auto"/>
            <w:vAlign w:val="center"/>
          </w:tcPr>
          <w:p w14:paraId="2214586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9" w:type="pct"/>
            <w:tcBorders>
              <w:top w:val="nil"/>
              <w:left w:val="nil"/>
              <w:bottom w:val="single" w:color="auto" w:sz="12" w:space="0"/>
              <w:right w:val="single" w:color="auto" w:sz="8" w:space="0"/>
            </w:tcBorders>
            <w:shd w:val="clear" w:color="auto" w:fill="auto"/>
            <w:vAlign w:val="center"/>
          </w:tcPr>
          <w:p w14:paraId="018F87A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12" w:space="0"/>
              <w:right w:val="single" w:color="auto" w:sz="8" w:space="0"/>
            </w:tcBorders>
            <w:shd w:val="clear" w:color="auto" w:fill="auto"/>
            <w:vAlign w:val="center"/>
          </w:tcPr>
          <w:p w14:paraId="7A5432FC">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12" w:space="0"/>
              <w:right w:val="single" w:color="auto" w:sz="8" w:space="0"/>
            </w:tcBorders>
            <w:shd w:val="clear" w:color="auto" w:fill="auto"/>
            <w:vAlign w:val="center"/>
          </w:tcPr>
          <w:p w14:paraId="0B34F08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402" w:type="pct"/>
            <w:tcBorders>
              <w:top w:val="nil"/>
              <w:left w:val="nil"/>
              <w:bottom w:val="single" w:color="auto" w:sz="12" w:space="0"/>
              <w:right w:val="single" w:color="auto" w:sz="8" w:space="0"/>
            </w:tcBorders>
            <w:shd w:val="clear" w:color="auto" w:fill="auto"/>
            <w:vAlign w:val="center"/>
          </w:tcPr>
          <w:p w14:paraId="08FC172E">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95" w:type="pct"/>
            <w:tcBorders>
              <w:top w:val="nil"/>
              <w:left w:val="nil"/>
              <w:bottom w:val="single" w:color="auto" w:sz="12" w:space="0"/>
              <w:right w:val="single" w:color="auto" w:sz="8" w:space="0"/>
            </w:tcBorders>
            <w:shd w:val="clear" w:color="auto" w:fill="auto"/>
            <w:vAlign w:val="center"/>
          </w:tcPr>
          <w:p w14:paraId="4A11F2A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64" w:type="pct"/>
            <w:tcBorders>
              <w:top w:val="nil"/>
              <w:left w:val="nil"/>
              <w:bottom w:val="single" w:color="auto" w:sz="12" w:space="0"/>
              <w:right w:val="single" w:color="auto" w:sz="8" w:space="0"/>
            </w:tcBorders>
            <w:shd w:val="clear" w:color="auto" w:fill="auto"/>
            <w:vAlign w:val="center"/>
          </w:tcPr>
          <w:p w14:paraId="2D972B0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334" w:type="pct"/>
            <w:tcBorders>
              <w:top w:val="nil"/>
              <w:left w:val="nil"/>
              <w:bottom w:val="single" w:color="auto" w:sz="12" w:space="0"/>
              <w:right w:val="single" w:color="auto" w:sz="8" w:space="0"/>
            </w:tcBorders>
            <w:shd w:val="clear" w:color="auto" w:fill="auto"/>
            <w:vAlign w:val="center"/>
          </w:tcPr>
          <w:p w14:paraId="1B5A085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557" w:type="pct"/>
            <w:tcBorders>
              <w:top w:val="nil"/>
              <w:left w:val="nil"/>
              <w:bottom w:val="single" w:color="auto" w:sz="12" w:space="0"/>
              <w:right w:val="nil"/>
            </w:tcBorders>
            <w:shd w:val="clear" w:color="auto" w:fill="auto"/>
            <w:vAlign w:val="center"/>
          </w:tcPr>
          <w:p w14:paraId="67FE4A1E">
            <w:pPr>
              <w:widowControl/>
              <w:spacing w:line="240" w:lineRule="auto"/>
              <w:ind w:firstLine="0" w:firstLineChars="0"/>
              <w:jc w:val="center"/>
              <w:textAlignment w:val="center"/>
              <w:rPr>
                <w:color w:val="auto"/>
                <w:sz w:val="21"/>
                <w:szCs w:val="21"/>
              </w:rPr>
            </w:pPr>
            <w:r>
              <w:rPr>
                <w:color w:val="auto"/>
                <w:kern w:val="0"/>
                <w:sz w:val="21"/>
                <w:szCs w:val="21"/>
                <w:lang w:bidi="ar"/>
              </w:rPr>
              <w:t>70</w:t>
            </w:r>
          </w:p>
        </w:tc>
      </w:tr>
    </w:tbl>
    <w:p w14:paraId="1E658419">
      <w:pPr>
        <w:ind w:firstLine="480"/>
        <w:rPr>
          <w:color w:val="auto"/>
          <w:szCs w:val="28"/>
        </w:rPr>
      </w:pPr>
      <w:r>
        <w:rPr>
          <w:color w:val="auto"/>
          <w:szCs w:val="28"/>
        </w:rPr>
        <w:t>由表</w:t>
      </w:r>
      <w:r>
        <w:rPr>
          <w:rFonts w:hint="eastAsia"/>
          <w:color w:val="auto"/>
          <w:szCs w:val="28"/>
        </w:rPr>
        <w:t>5.2.4-4</w:t>
      </w:r>
      <w:r>
        <w:rPr>
          <w:color w:val="auto"/>
          <w:szCs w:val="28"/>
        </w:rPr>
        <w:t>可知，T1</w:t>
      </w:r>
      <w:r>
        <w:rPr>
          <w:rFonts w:hint="eastAsia"/>
          <w:color w:val="auto"/>
          <w:szCs w:val="28"/>
        </w:rPr>
        <w:t>~T11</w:t>
      </w:r>
      <w:r>
        <w:rPr>
          <w:color w:val="auto"/>
          <w:szCs w:val="28"/>
        </w:rPr>
        <w:t>监测点位的各监测因子均低于《土壤环境质量标准 建设用地土壤污染风险管控标准（试行）》（GB36600-2018）第二类用地筛选值。</w:t>
      </w:r>
    </w:p>
    <w:p w14:paraId="0E4A0337">
      <w:pPr>
        <w:ind w:firstLine="480"/>
        <w:rPr>
          <w:color w:val="auto"/>
          <w:szCs w:val="28"/>
        </w:rPr>
        <w:sectPr>
          <w:pgSz w:w="16840" w:h="11907" w:orient="landscape"/>
          <w:pgMar w:top="1361" w:right="1361" w:bottom="1361" w:left="1361" w:header="851" w:footer="992" w:gutter="0"/>
          <w:cols w:space="720" w:num="1"/>
          <w:docGrid w:linePitch="326" w:charSpace="0"/>
        </w:sectPr>
      </w:pP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129"/>
    <w:bookmarkEnd w:id="130"/>
    <w:p w14:paraId="320735E2">
      <w:pPr>
        <w:keepNext/>
        <w:keepLines/>
        <w:spacing w:before="120" w:beforeLines="50"/>
        <w:ind w:firstLine="0" w:firstLineChars="0"/>
        <w:outlineLvl w:val="2"/>
        <w:rPr>
          <w:b/>
          <w:bCs/>
          <w:color w:val="auto"/>
          <w:sz w:val="28"/>
          <w:szCs w:val="28"/>
        </w:rPr>
      </w:pPr>
      <w:r>
        <w:rPr>
          <w:rFonts w:hint="eastAsia"/>
          <w:b/>
          <w:bCs/>
          <w:color w:val="auto"/>
          <w:sz w:val="28"/>
          <w:szCs w:val="28"/>
        </w:rPr>
        <w:t>5</w:t>
      </w:r>
      <w:r>
        <w:rPr>
          <w:b/>
          <w:bCs/>
          <w:color w:val="auto"/>
          <w:sz w:val="28"/>
          <w:szCs w:val="28"/>
        </w:rPr>
        <w:t>.2.5 地下水环境质量现状监测与评价</w:t>
      </w:r>
    </w:p>
    <w:p w14:paraId="59AAED07">
      <w:pPr>
        <w:spacing w:before="120" w:beforeLines="50"/>
        <w:ind w:firstLine="0" w:firstLineChars="0"/>
        <w:jc w:val="left"/>
        <w:outlineLvl w:val="3"/>
        <w:rPr>
          <w:b/>
          <w:color w:val="auto"/>
        </w:rPr>
      </w:pPr>
      <w:r>
        <w:rPr>
          <w:rFonts w:hint="eastAsia"/>
          <w:b/>
          <w:color w:val="auto"/>
        </w:rPr>
        <w:t>5</w:t>
      </w:r>
      <w:r>
        <w:rPr>
          <w:b/>
          <w:color w:val="auto"/>
        </w:rPr>
        <w:t>.2.</w:t>
      </w:r>
      <w:r>
        <w:rPr>
          <w:rFonts w:hint="eastAsia"/>
          <w:b/>
          <w:color w:val="auto"/>
        </w:rPr>
        <w:t>5</w:t>
      </w:r>
      <w:r>
        <w:rPr>
          <w:b/>
          <w:color w:val="auto"/>
        </w:rPr>
        <w:t>.</w:t>
      </w:r>
      <w:r>
        <w:rPr>
          <w:rFonts w:hint="eastAsia"/>
          <w:b/>
          <w:color w:val="auto"/>
        </w:rPr>
        <w:t>1</w:t>
      </w:r>
      <w:r>
        <w:rPr>
          <w:b/>
          <w:color w:val="auto"/>
        </w:rPr>
        <w:t xml:space="preserve"> </w:t>
      </w:r>
      <w:r>
        <w:rPr>
          <w:rFonts w:hint="eastAsia"/>
          <w:b/>
          <w:color w:val="auto"/>
        </w:rPr>
        <w:t>地下水</w:t>
      </w:r>
      <w:r>
        <w:rPr>
          <w:b/>
          <w:color w:val="auto"/>
        </w:rPr>
        <w:t>环境质量现状评价</w:t>
      </w:r>
    </w:p>
    <w:p w14:paraId="0D53FBCA">
      <w:pPr>
        <w:pStyle w:val="1356"/>
        <w:ind w:firstLine="482"/>
        <w:rPr>
          <w:b/>
          <w:bCs/>
          <w:color w:val="auto"/>
        </w:rPr>
      </w:pPr>
      <w:r>
        <w:rPr>
          <w:rFonts w:hint="eastAsia"/>
          <w:b/>
          <w:bCs/>
          <w:color w:val="auto"/>
        </w:rPr>
        <w:t>1、监测点位布设</w:t>
      </w:r>
    </w:p>
    <w:p w14:paraId="69EF2A7B">
      <w:pPr>
        <w:pStyle w:val="1356"/>
        <w:ind w:firstLine="480"/>
        <w:rPr>
          <w:color w:val="auto"/>
        </w:rPr>
      </w:pPr>
      <w:r>
        <w:rPr>
          <w:rFonts w:hint="eastAsia"/>
          <w:color w:val="auto"/>
        </w:rPr>
        <w:t>评价范围内共布设3个地下水水质监测点位和6个地下水水位监测点位。具体地下水监测点位见表5.2.5-1和图5.2-1。</w:t>
      </w:r>
    </w:p>
    <w:p w14:paraId="173D9012">
      <w:pPr>
        <w:pStyle w:val="1356"/>
        <w:spacing w:line="240" w:lineRule="auto"/>
        <w:ind w:firstLine="0" w:firstLineChars="0"/>
        <w:jc w:val="center"/>
        <w:rPr>
          <w:b/>
          <w:bCs/>
          <w:color w:val="auto"/>
        </w:rPr>
      </w:pPr>
      <w:r>
        <w:rPr>
          <w:rFonts w:hint="eastAsia"/>
          <w:b/>
          <w:bCs/>
          <w:color w:val="auto"/>
        </w:rPr>
        <w:t>表5.2.5-1  地下水环境现状监测点位</w:t>
      </w:r>
    </w:p>
    <w:tbl>
      <w:tblPr>
        <w:tblStyle w:val="88"/>
        <w:tblW w:w="5000" w:type="pct"/>
        <w:jc w:val="center"/>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99"/>
        <w:gridCol w:w="1406"/>
        <w:gridCol w:w="1858"/>
        <w:gridCol w:w="3213"/>
      </w:tblGrid>
      <w:tr w14:paraId="44FFFAC3">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000000" w:sz="12" w:space="0"/>
              <w:left w:val="nil"/>
              <w:bottom w:val="single" w:color="auto" w:sz="4" w:space="0"/>
              <w:right w:val="single" w:color="auto" w:sz="4" w:space="0"/>
            </w:tcBorders>
            <w:shd w:val="clear" w:color="auto" w:fill="auto"/>
            <w:vAlign w:val="center"/>
          </w:tcPr>
          <w:p w14:paraId="2FCCBEC8">
            <w:pPr>
              <w:spacing w:line="240" w:lineRule="auto"/>
              <w:ind w:firstLine="0" w:firstLineChars="0"/>
              <w:jc w:val="center"/>
              <w:textAlignment w:val="baseline"/>
              <w:rPr>
                <w:b/>
                <w:bCs/>
                <w:color w:val="auto"/>
                <w:kern w:val="0"/>
                <w:szCs w:val="21"/>
              </w:rPr>
            </w:pPr>
            <w:r>
              <w:rPr>
                <w:rFonts w:hint="eastAsia"/>
                <w:b/>
                <w:bCs/>
                <w:color w:val="auto"/>
                <w:kern w:val="0"/>
                <w:sz w:val="21"/>
                <w:szCs w:val="21"/>
                <w:lang w:bidi="ar"/>
              </w:rPr>
              <w:t>序号</w:t>
            </w:r>
          </w:p>
        </w:tc>
        <w:tc>
          <w:tcPr>
            <w:tcW w:w="1116" w:type="pct"/>
            <w:tcBorders>
              <w:top w:val="single" w:color="000000" w:sz="12" w:space="0"/>
              <w:left w:val="single" w:color="auto" w:sz="4" w:space="0"/>
              <w:bottom w:val="single" w:color="auto" w:sz="4" w:space="0"/>
              <w:right w:val="single" w:color="auto" w:sz="4" w:space="0"/>
            </w:tcBorders>
            <w:shd w:val="clear" w:color="auto" w:fill="auto"/>
            <w:vAlign w:val="center"/>
          </w:tcPr>
          <w:p w14:paraId="5CBFD9FE">
            <w:pPr>
              <w:spacing w:line="240" w:lineRule="auto"/>
              <w:ind w:firstLine="0" w:firstLineChars="0"/>
              <w:jc w:val="center"/>
              <w:textAlignment w:val="baseline"/>
              <w:rPr>
                <w:b/>
                <w:bCs/>
                <w:color w:val="auto"/>
                <w:kern w:val="0"/>
                <w:szCs w:val="21"/>
              </w:rPr>
            </w:pPr>
            <w:r>
              <w:rPr>
                <w:rFonts w:hint="eastAsia"/>
                <w:b/>
                <w:bCs/>
                <w:color w:val="auto"/>
                <w:kern w:val="0"/>
                <w:sz w:val="21"/>
                <w:szCs w:val="21"/>
                <w:lang w:bidi="ar"/>
              </w:rPr>
              <w:t>监测点位置</w:t>
            </w:r>
          </w:p>
        </w:tc>
        <w:tc>
          <w:tcPr>
            <w:tcW w:w="748" w:type="pct"/>
            <w:tcBorders>
              <w:top w:val="single" w:color="000000" w:sz="12" w:space="0"/>
              <w:left w:val="single" w:color="auto" w:sz="4" w:space="0"/>
              <w:bottom w:val="single" w:color="auto" w:sz="4" w:space="0"/>
              <w:right w:val="single" w:color="auto" w:sz="4" w:space="0"/>
            </w:tcBorders>
            <w:shd w:val="clear" w:color="auto" w:fill="auto"/>
            <w:vAlign w:val="center"/>
          </w:tcPr>
          <w:p w14:paraId="471ACF39">
            <w:pPr>
              <w:spacing w:line="240" w:lineRule="auto"/>
              <w:ind w:firstLine="0" w:firstLineChars="0"/>
              <w:jc w:val="center"/>
              <w:textAlignment w:val="baseline"/>
              <w:rPr>
                <w:b/>
                <w:bCs/>
                <w:color w:val="auto"/>
                <w:kern w:val="0"/>
                <w:szCs w:val="21"/>
              </w:rPr>
            </w:pPr>
            <w:r>
              <w:rPr>
                <w:rFonts w:hint="eastAsia"/>
                <w:b/>
                <w:bCs/>
                <w:color w:val="auto"/>
                <w:kern w:val="0"/>
                <w:sz w:val="21"/>
                <w:szCs w:val="21"/>
                <w:lang w:bidi="ar"/>
              </w:rPr>
              <w:t>方位</w:t>
            </w:r>
          </w:p>
        </w:tc>
        <w:tc>
          <w:tcPr>
            <w:tcW w:w="988" w:type="pct"/>
            <w:tcBorders>
              <w:top w:val="single" w:color="000000" w:sz="12" w:space="0"/>
              <w:left w:val="single" w:color="auto" w:sz="4" w:space="0"/>
              <w:bottom w:val="single" w:color="auto" w:sz="4" w:space="0"/>
              <w:right w:val="single" w:color="auto" w:sz="4" w:space="0"/>
            </w:tcBorders>
            <w:shd w:val="clear" w:color="auto" w:fill="auto"/>
            <w:vAlign w:val="center"/>
          </w:tcPr>
          <w:p w14:paraId="6A8C9166">
            <w:pPr>
              <w:spacing w:line="240" w:lineRule="auto"/>
              <w:ind w:firstLine="0" w:firstLineChars="0"/>
              <w:jc w:val="center"/>
              <w:textAlignment w:val="baseline"/>
              <w:rPr>
                <w:b/>
                <w:bCs/>
                <w:color w:val="auto"/>
                <w:kern w:val="0"/>
                <w:szCs w:val="21"/>
              </w:rPr>
            </w:pPr>
            <w:r>
              <w:rPr>
                <w:rFonts w:hint="eastAsia"/>
                <w:b/>
                <w:bCs/>
                <w:color w:val="auto"/>
                <w:kern w:val="0"/>
                <w:sz w:val="21"/>
                <w:szCs w:val="21"/>
                <w:lang w:bidi="ar"/>
              </w:rPr>
              <w:t>距离（</w:t>
            </w:r>
            <w:r>
              <w:rPr>
                <w:b/>
                <w:bCs/>
                <w:color w:val="auto"/>
                <w:kern w:val="0"/>
                <w:sz w:val="21"/>
                <w:szCs w:val="21"/>
                <w:lang w:bidi="ar"/>
              </w:rPr>
              <w:t>m</w:t>
            </w:r>
            <w:r>
              <w:rPr>
                <w:rFonts w:hint="eastAsia"/>
                <w:b/>
                <w:bCs/>
                <w:color w:val="auto"/>
                <w:kern w:val="0"/>
                <w:sz w:val="21"/>
                <w:szCs w:val="21"/>
                <w:lang w:bidi="ar"/>
              </w:rPr>
              <w:t>）</w:t>
            </w:r>
          </w:p>
        </w:tc>
        <w:tc>
          <w:tcPr>
            <w:tcW w:w="1708" w:type="pct"/>
            <w:tcBorders>
              <w:top w:val="single" w:color="000000" w:sz="12" w:space="0"/>
              <w:left w:val="single" w:color="auto" w:sz="4" w:space="0"/>
              <w:bottom w:val="single" w:color="auto" w:sz="4" w:space="0"/>
              <w:right w:val="nil"/>
            </w:tcBorders>
            <w:shd w:val="clear" w:color="auto" w:fill="auto"/>
            <w:vAlign w:val="center"/>
          </w:tcPr>
          <w:p w14:paraId="2DB2F223">
            <w:pPr>
              <w:spacing w:line="240" w:lineRule="auto"/>
              <w:ind w:firstLine="0" w:firstLineChars="0"/>
              <w:jc w:val="center"/>
              <w:textAlignment w:val="baseline"/>
              <w:rPr>
                <w:b/>
                <w:bCs/>
                <w:color w:val="auto"/>
                <w:kern w:val="0"/>
                <w:szCs w:val="21"/>
              </w:rPr>
            </w:pPr>
            <w:r>
              <w:rPr>
                <w:rFonts w:hint="eastAsia"/>
                <w:b/>
                <w:bCs/>
                <w:color w:val="auto"/>
                <w:kern w:val="0"/>
                <w:sz w:val="21"/>
                <w:szCs w:val="21"/>
                <w:lang w:bidi="ar"/>
              </w:rPr>
              <w:t>监测内容</w:t>
            </w:r>
          </w:p>
        </w:tc>
      </w:tr>
      <w:tr w14:paraId="663E980C">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auto" w:sz="4" w:space="0"/>
              <w:left w:val="nil"/>
              <w:bottom w:val="single" w:color="auto" w:sz="4" w:space="0"/>
              <w:right w:val="single" w:color="auto" w:sz="4" w:space="0"/>
            </w:tcBorders>
            <w:shd w:val="clear" w:color="auto" w:fill="auto"/>
            <w:vAlign w:val="center"/>
          </w:tcPr>
          <w:p w14:paraId="2B43E0B6">
            <w:pPr>
              <w:spacing w:line="240" w:lineRule="auto"/>
              <w:ind w:firstLine="0" w:firstLineChars="0"/>
              <w:jc w:val="center"/>
              <w:textAlignment w:val="baseline"/>
              <w:rPr>
                <w:color w:val="auto"/>
                <w:kern w:val="0"/>
                <w:szCs w:val="21"/>
              </w:rPr>
            </w:pPr>
            <w:r>
              <w:rPr>
                <w:color w:val="auto"/>
                <w:kern w:val="0"/>
                <w:sz w:val="21"/>
                <w:szCs w:val="21"/>
                <w:lang w:bidi="ar"/>
              </w:rPr>
              <w:t>D1</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14:paraId="66105FBC">
            <w:pPr>
              <w:spacing w:line="240" w:lineRule="auto"/>
              <w:ind w:firstLine="0" w:firstLineChars="0"/>
              <w:jc w:val="center"/>
              <w:textAlignment w:val="baseline"/>
              <w:rPr>
                <w:color w:val="auto"/>
                <w:kern w:val="0"/>
                <w:szCs w:val="21"/>
              </w:rPr>
            </w:pPr>
            <w:r>
              <w:rPr>
                <w:rFonts w:hint="eastAsia"/>
                <w:color w:val="auto"/>
                <w:kern w:val="0"/>
                <w:sz w:val="21"/>
                <w:szCs w:val="21"/>
                <w:lang w:bidi="ar"/>
              </w:rPr>
              <w:t>项目场地内</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1D35A34A">
            <w:pPr>
              <w:spacing w:line="240" w:lineRule="auto"/>
              <w:ind w:firstLine="0" w:firstLineChars="0"/>
              <w:jc w:val="center"/>
              <w:textAlignment w:val="baseline"/>
              <w:rPr>
                <w:color w:val="auto"/>
                <w:kern w:val="0"/>
                <w:szCs w:val="21"/>
              </w:rPr>
            </w:pPr>
            <w:r>
              <w:rPr>
                <w:rFonts w:hint="eastAsia"/>
                <w:color w:val="auto"/>
                <w:kern w:val="0"/>
                <w:sz w:val="21"/>
                <w:szCs w:val="21"/>
                <w:lang w:bidi="ar"/>
              </w:rPr>
              <w:t>—</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2DC60841">
            <w:pPr>
              <w:spacing w:line="240" w:lineRule="auto"/>
              <w:ind w:firstLine="0" w:firstLineChars="0"/>
              <w:jc w:val="center"/>
              <w:textAlignment w:val="baseline"/>
              <w:rPr>
                <w:color w:val="auto"/>
                <w:kern w:val="0"/>
                <w:szCs w:val="21"/>
              </w:rPr>
            </w:pPr>
            <w:r>
              <w:rPr>
                <w:rFonts w:hint="eastAsia"/>
                <w:color w:val="auto"/>
                <w:kern w:val="0"/>
                <w:sz w:val="21"/>
                <w:szCs w:val="21"/>
                <w:lang w:bidi="ar"/>
              </w:rPr>
              <w:t>—</w:t>
            </w:r>
          </w:p>
        </w:tc>
        <w:tc>
          <w:tcPr>
            <w:tcW w:w="1708" w:type="pct"/>
            <w:vMerge w:val="restart"/>
            <w:tcBorders>
              <w:top w:val="single" w:color="auto" w:sz="4" w:space="0"/>
              <w:left w:val="single" w:color="auto" w:sz="4" w:space="0"/>
              <w:bottom w:val="single" w:color="auto" w:sz="4" w:space="0"/>
              <w:right w:val="nil"/>
            </w:tcBorders>
            <w:shd w:val="clear" w:color="auto" w:fill="auto"/>
            <w:vAlign w:val="center"/>
          </w:tcPr>
          <w:p w14:paraId="21376C33">
            <w:pPr>
              <w:spacing w:line="240" w:lineRule="auto"/>
              <w:ind w:firstLine="0" w:firstLineChars="0"/>
              <w:jc w:val="center"/>
              <w:rPr>
                <w:color w:val="auto"/>
                <w:szCs w:val="18"/>
              </w:rPr>
            </w:pPr>
            <w:r>
              <w:rPr>
                <w:rFonts w:hint="eastAsia"/>
                <w:color w:val="auto"/>
                <w:szCs w:val="18"/>
              </w:rPr>
              <w:t>水质+水位</w:t>
            </w:r>
          </w:p>
        </w:tc>
      </w:tr>
      <w:tr w14:paraId="2718B48E">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auto" w:sz="4" w:space="0"/>
              <w:left w:val="nil"/>
              <w:bottom w:val="single" w:color="auto" w:sz="4" w:space="0"/>
              <w:right w:val="single" w:color="auto" w:sz="4" w:space="0"/>
            </w:tcBorders>
            <w:shd w:val="clear" w:color="auto" w:fill="auto"/>
            <w:vAlign w:val="center"/>
          </w:tcPr>
          <w:p w14:paraId="0A5BF50E">
            <w:pPr>
              <w:widowControl/>
              <w:spacing w:line="240" w:lineRule="auto"/>
              <w:ind w:firstLine="0" w:firstLineChars="0"/>
              <w:jc w:val="center"/>
              <w:rPr>
                <w:color w:val="auto"/>
                <w:kern w:val="0"/>
                <w:szCs w:val="21"/>
              </w:rPr>
            </w:pPr>
            <w:r>
              <w:rPr>
                <w:color w:val="auto"/>
                <w:kern w:val="0"/>
                <w:sz w:val="21"/>
                <w:szCs w:val="21"/>
                <w:lang w:bidi="ar"/>
              </w:rPr>
              <w:t>D2</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14:paraId="04D4D4C2">
            <w:pPr>
              <w:spacing w:line="240" w:lineRule="auto"/>
              <w:ind w:firstLine="0" w:firstLineChars="0"/>
              <w:jc w:val="center"/>
              <w:rPr>
                <w:color w:val="auto"/>
                <w:kern w:val="0"/>
                <w:szCs w:val="21"/>
              </w:rPr>
            </w:pPr>
            <w:r>
              <w:rPr>
                <w:rFonts w:hint="eastAsia"/>
                <w:color w:val="auto"/>
                <w:kern w:val="0"/>
                <w:sz w:val="21"/>
                <w:szCs w:val="21"/>
                <w:lang w:bidi="ar"/>
              </w:rPr>
              <w:t>厂界西北侧</w:t>
            </w:r>
            <w:r>
              <w:rPr>
                <w:color w:val="auto"/>
                <w:kern w:val="0"/>
                <w:sz w:val="21"/>
                <w:szCs w:val="21"/>
                <w:lang w:bidi="ar"/>
              </w:rPr>
              <w:t>800m</w:t>
            </w:r>
            <w:r>
              <w:rPr>
                <w:rFonts w:hint="eastAsia"/>
                <w:color w:val="auto"/>
                <w:kern w:val="0"/>
                <w:sz w:val="21"/>
                <w:szCs w:val="21"/>
                <w:lang w:bidi="ar"/>
              </w:rPr>
              <w:t>处</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73F2D291">
            <w:pPr>
              <w:widowControl/>
              <w:spacing w:line="240" w:lineRule="auto"/>
              <w:ind w:firstLine="0" w:firstLineChars="0"/>
              <w:jc w:val="center"/>
              <w:rPr>
                <w:color w:val="auto"/>
                <w:kern w:val="0"/>
                <w:szCs w:val="21"/>
              </w:rPr>
            </w:pPr>
            <w:r>
              <w:rPr>
                <w:color w:val="auto"/>
                <w:kern w:val="0"/>
                <w:sz w:val="21"/>
                <w:szCs w:val="21"/>
                <w:lang w:bidi="ar"/>
              </w:rPr>
              <w:t>NW</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4584F871">
            <w:pPr>
              <w:widowControl/>
              <w:spacing w:line="240" w:lineRule="auto"/>
              <w:ind w:firstLine="0" w:firstLineChars="0"/>
              <w:jc w:val="center"/>
              <w:rPr>
                <w:bCs/>
                <w:color w:val="auto"/>
                <w:szCs w:val="21"/>
              </w:rPr>
            </w:pPr>
            <w:r>
              <w:rPr>
                <w:bCs/>
                <w:color w:val="auto"/>
                <w:sz w:val="21"/>
                <w:szCs w:val="21"/>
                <w:lang w:bidi="ar"/>
              </w:rPr>
              <w:t>800</w:t>
            </w:r>
          </w:p>
        </w:tc>
        <w:tc>
          <w:tcPr>
            <w:tcW w:w="1708" w:type="pct"/>
            <w:vMerge w:val="continue"/>
            <w:tcBorders>
              <w:top w:val="single" w:color="auto" w:sz="4" w:space="0"/>
              <w:left w:val="single" w:color="auto" w:sz="4" w:space="0"/>
              <w:bottom w:val="single" w:color="auto" w:sz="4" w:space="0"/>
              <w:right w:val="nil"/>
            </w:tcBorders>
            <w:shd w:val="clear" w:color="auto" w:fill="auto"/>
            <w:vAlign w:val="center"/>
          </w:tcPr>
          <w:p w14:paraId="193BD2F5">
            <w:pPr>
              <w:spacing w:line="240" w:lineRule="auto"/>
              <w:ind w:firstLine="0" w:firstLineChars="0"/>
              <w:jc w:val="center"/>
              <w:rPr>
                <w:rFonts w:hint="eastAsia" w:ascii="等线" w:hAnsi="等线" w:eastAsia="等线" w:cs="等线"/>
                <w:color w:val="auto"/>
                <w:sz w:val="20"/>
                <w:szCs w:val="20"/>
              </w:rPr>
            </w:pPr>
          </w:p>
        </w:tc>
      </w:tr>
      <w:tr w14:paraId="597AB88F">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auto" w:sz="4" w:space="0"/>
              <w:left w:val="nil"/>
              <w:bottom w:val="single" w:color="auto" w:sz="4" w:space="0"/>
              <w:right w:val="single" w:color="auto" w:sz="4" w:space="0"/>
            </w:tcBorders>
            <w:shd w:val="clear" w:color="auto" w:fill="auto"/>
            <w:vAlign w:val="center"/>
          </w:tcPr>
          <w:p w14:paraId="79D38439">
            <w:pPr>
              <w:spacing w:line="240" w:lineRule="auto"/>
              <w:ind w:firstLine="0" w:firstLineChars="0"/>
              <w:jc w:val="center"/>
              <w:textAlignment w:val="baseline"/>
              <w:rPr>
                <w:color w:val="auto"/>
                <w:kern w:val="0"/>
                <w:szCs w:val="21"/>
              </w:rPr>
            </w:pPr>
            <w:r>
              <w:rPr>
                <w:color w:val="auto"/>
                <w:kern w:val="0"/>
                <w:sz w:val="21"/>
                <w:szCs w:val="21"/>
                <w:lang w:bidi="ar"/>
              </w:rPr>
              <w:t>D3</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14:paraId="42847A57">
            <w:pPr>
              <w:spacing w:line="240" w:lineRule="auto"/>
              <w:ind w:firstLine="0" w:firstLineChars="0"/>
              <w:jc w:val="center"/>
              <w:textAlignment w:val="baseline"/>
              <w:rPr>
                <w:color w:val="auto"/>
                <w:kern w:val="0"/>
                <w:szCs w:val="21"/>
              </w:rPr>
            </w:pPr>
            <w:r>
              <w:rPr>
                <w:rFonts w:hint="eastAsia"/>
                <w:color w:val="auto"/>
                <w:kern w:val="0"/>
                <w:sz w:val="21"/>
                <w:szCs w:val="21"/>
                <w:lang w:bidi="ar"/>
              </w:rPr>
              <w:t>厂界东北侧</w:t>
            </w:r>
            <w:r>
              <w:rPr>
                <w:color w:val="auto"/>
                <w:kern w:val="0"/>
                <w:sz w:val="21"/>
                <w:szCs w:val="21"/>
                <w:lang w:bidi="ar"/>
              </w:rPr>
              <w:t>900m</w:t>
            </w:r>
            <w:r>
              <w:rPr>
                <w:rFonts w:hint="eastAsia"/>
                <w:color w:val="auto"/>
                <w:kern w:val="0"/>
                <w:sz w:val="21"/>
                <w:szCs w:val="21"/>
                <w:lang w:bidi="ar"/>
              </w:rPr>
              <w:t>处</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6F562A5A">
            <w:pPr>
              <w:spacing w:line="240" w:lineRule="auto"/>
              <w:ind w:firstLine="0" w:firstLineChars="0"/>
              <w:jc w:val="center"/>
              <w:textAlignment w:val="baseline"/>
              <w:rPr>
                <w:color w:val="auto"/>
                <w:kern w:val="0"/>
                <w:szCs w:val="21"/>
              </w:rPr>
            </w:pPr>
            <w:r>
              <w:rPr>
                <w:color w:val="auto"/>
                <w:kern w:val="0"/>
                <w:sz w:val="21"/>
                <w:szCs w:val="21"/>
                <w:lang w:bidi="ar"/>
              </w:rPr>
              <w:t>NE</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57A3BB3A">
            <w:pPr>
              <w:spacing w:line="240" w:lineRule="auto"/>
              <w:ind w:firstLine="0" w:firstLineChars="0"/>
              <w:jc w:val="center"/>
              <w:textAlignment w:val="baseline"/>
              <w:rPr>
                <w:color w:val="auto"/>
                <w:kern w:val="0"/>
                <w:szCs w:val="21"/>
              </w:rPr>
            </w:pPr>
            <w:r>
              <w:rPr>
                <w:color w:val="auto"/>
                <w:kern w:val="0"/>
                <w:sz w:val="21"/>
                <w:szCs w:val="21"/>
                <w:lang w:bidi="ar"/>
              </w:rPr>
              <w:t>900</w:t>
            </w:r>
          </w:p>
        </w:tc>
        <w:tc>
          <w:tcPr>
            <w:tcW w:w="1708" w:type="pct"/>
            <w:vMerge w:val="continue"/>
            <w:tcBorders>
              <w:top w:val="single" w:color="auto" w:sz="4" w:space="0"/>
              <w:left w:val="single" w:color="auto" w:sz="4" w:space="0"/>
              <w:bottom w:val="single" w:color="auto" w:sz="4" w:space="0"/>
              <w:right w:val="nil"/>
            </w:tcBorders>
            <w:shd w:val="clear" w:color="auto" w:fill="auto"/>
            <w:vAlign w:val="center"/>
          </w:tcPr>
          <w:p w14:paraId="3F5275B7">
            <w:pPr>
              <w:spacing w:line="240" w:lineRule="auto"/>
              <w:ind w:firstLine="0" w:firstLineChars="0"/>
              <w:jc w:val="center"/>
              <w:rPr>
                <w:rFonts w:hint="eastAsia" w:ascii="等线" w:hAnsi="等线" w:eastAsia="等线" w:cs="等线"/>
                <w:color w:val="auto"/>
                <w:sz w:val="20"/>
                <w:szCs w:val="20"/>
              </w:rPr>
            </w:pPr>
          </w:p>
        </w:tc>
      </w:tr>
      <w:tr w14:paraId="596540D3">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auto" w:sz="4" w:space="0"/>
              <w:left w:val="nil"/>
              <w:bottom w:val="single" w:color="auto" w:sz="4" w:space="0"/>
              <w:right w:val="single" w:color="auto" w:sz="4" w:space="0"/>
            </w:tcBorders>
            <w:shd w:val="clear" w:color="auto" w:fill="auto"/>
            <w:vAlign w:val="center"/>
          </w:tcPr>
          <w:p w14:paraId="54071FF0">
            <w:pPr>
              <w:spacing w:line="240" w:lineRule="auto"/>
              <w:ind w:firstLine="0" w:firstLineChars="0"/>
              <w:jc w:val="center"/>
              <w:textAlignment w:val="baseline"/>
              <w:rPr>
                <w:color w:val="auto"/>
                <w:kern w:val="0"/>
                <w:szCs w:val="21"/>
              </w:rPr>
            </w:pPr>
            <w:r>
              <w:rPr>
                <w:color w:val="auto"/>
                <w:kern w:val="0"/>
                <w:sz w:val="21"/>
                <w:szCs w:val="21"/>
                <w:lang w:bidi="ar"/>
              </w:rPr>
              <w:t>D4</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14:paraId="306119CC">
            <w:pPr>
              <w:spacing w:line="240" w:lineRule="auto"/>
              <w:ind w:firstLine="0" w:firstLineChars="0"/>
              <w:jc w:val="center"/>
              <w:textAlignment w:val="baseline"/>
              <w:rPr>
                <w:color w:val="auto"/>
                <w:kern w:val="0"/>
                <w:szCs w:val="21"/>
              </w:rPr>
            </w:pPr>
            <w:r>
              <w:rPr>
                <w:rFonts w:hint="eastAsia"/>
                <w:color w:val="auto"/>
                <w:kern w:val="0"/>
                <w:sz w:val="21"/>
                <w:szCs w:val="21"/>
                <w:lang w:bidi="ar"/>
              </w:rPr>
              <w:t>连云港华杰高级中学附近</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18277842">
            <w:pPr>
              <w:spacing w:line="240" w:lineRule="auto"/>
              <w:ind w:firstLine="0" w:firstLineChars="0"/>
              <w:jc w:val="center"/>
              <w:textAlignment w:val="baseline"/>
              <w:rPr>
                <w:color w:val="auto"/>
                <w:kern w:val="0"/>
                <w:szCs w:val="21"/>
              </w:rPr>
            </w:pPr>
            <w:r>
              <w:rPr>
                <w:color w:val="auto"/>
                <w:kern w:val="0"/>
                <w:sz w:val="21"/>
                <w:szCs w:val="21"/>
                <w:lang w:bidi="ar"/>
              </w:rPr>
              <w:t>E</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D3D4AF4">
            <w:pPr>
              <w:spacing w:line="240" w:lineRule="auto"/>
              <w:ind w:firstLine="0" w:firstLineChars="0"/>
              <w:jc w:val="center"/>
              <w:textAlignment w:val="baseline"/>
              <w:rPr>
                <w:color w:val="auto"/>
                <w:kern w:val="0"/>
                <w:szCs w:val="21"/>
              </w:rPr>
            </w:pPr>
            <w:r>
              <w:rPr>
                <w:color w:val="auto"/>
                <w:kern w:val="0"/>
                <w:sz w:val="21"/>
                <w:szCs w:val="21"/>
                <w:lang w:bidi="ar"/>
              </w:rPr>
              <w:t>900</w:t>
            </w:r>
          </w:p>
        </w:tc>
        <w:tc>
          <w:tcPr>
            <w:tcW w:w="1708" w:type="pct"/>
            <w:vMerge w:val="restart"/>
            <w:tcBorders>
              <w:top w:val="single" w:color="auto" w:sz="4" w:space="0"/>
              <w:left w:val="single" w:color="auto" w:sz="4" w:space="0"/>
              <w:bottom w:val="single" w:color="000000" w:sz="12" w:space="0"/>
              <w:right w:val="nil"/>
            </w:tcBorders>
            <w:shd w:val="clear" w:color="auto" w:fill="auto"/>
            <w:vAlign w:val="center"/>
          </w:tcPr>
          <w:p w14:paraId="73713759">
            <w:pPr>
              <w:spacing w:line="240" w:lineRule="auto"/>
              <w:ind w:firstLine="0" w:firstLineChars="0"/>
              <w:jc w:val="center"/>
              <w:textAlignment w:val="baseline"/>
              <w:rPr>
                <w:color w:val="auto"/>
                <w:kern w:val="0"/>
                <w:szCs w:val="21"/>
              </w:rPr>
            </w:pPr>
            <w:r>
              <w:rPr>
                <w:rFonts w:hint="eastAsia"/>
                <w:color w:val="auto"/>
                <w:kern w:val="0"/>
                <w:sz w:val="21"/>
                <w:szCs w:val="21"/>
                <w:lang w:bidi="ar"/>
              </w:rPr>
              <w:t>水位</w:t>
            </w:r>
          </w:p>
        </w:tc>
      </w:tr>
      <w:tr w14:paraId="0A10EC2F">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auto" w:sz="4" w:space="0"/>
              <w:left w:val="nil"/>
              <w:bottom w:val="single" w:color="auto" w:sz="4" w:space="0"/>
              <w:right w:val="single" w:color="auto" w:sz="4" w:space="0"/>
            </w:tcBorders>
            <w:shd w:val="clear" w:color="auto" w:fill="auto"/>
            <w:vAlign w:val="center"/>
          </w:tcPr>
          <w:p w14:paraId="1C74C349">
            <w:pPr>
              <w:spacing w:line="240" w:lineRule="auto"/>
              <w:ind w:firstLine="0" w:firstLineChars="0"/>
              <w:jc w:val="center"/>
              <w:textAlignment w:val="baseline"/>
              <w:rPr>
                <w:color w:val="auto"/>
                <w:kern w:val="0"/>
                <w:szCs w:val="21"/>
              </w:rPr>
            </w:pPr>
            <w:r>
              <w:rPr>
                <w:color w:val="auto"/>
                <w:kern w:val="0"/>
                <w:sz w:val="21"/>
                <w:szCs w:val="21"/>
                <w:lang w:bidi="ar"/>
              </w:rPr>
              <w:t>D5</w:t>
            </w:r>
          </w:p>
        </w:tc>
        <w:tc>
          <w:tcPr>
            <w:tcW w:w="1116" w:type="pct"/>
            <w:tcBorders>
              <w:top w:val="single" w:color="auto" w:sz="4" w:space="0"/>
              <w:left w:val="single" w:color="auto" w:sz="4" w:space="0"/>
              <w:bottom w:val="single" w:color="auto" w:sz="4" w:space="0"/>
              <w:right w:val="single" w:color="auto" w:sz="4" w:space="0"/>
            </w:tcBorders>
            <w:shd w:val="clear" w:color="auto" w:fill="auto"/>
            <w:vAlign w:val="center"/>
          </w:tcPr>
          <w:p w14:paraId="467478D3">
            <w:pPr>
              <w:spacing w:line="240" w:lineRule="auto"/>
              <w:ind w:firstLine="0" w:firstLineChars="0"/>
              <w:jc w:val="center"/>
              <w:textAlignment w:val="baseline"/>
              <w:rPr>
                <w:color w:val="auto"/>
                <w:kern w:val="0"/>
                <w:szCs w:val="21"/>
              </w:rPr>
            </w:pPr>
            <w:r>
              <w:rPr>
                <w:rFonts w:hint="eastAsia"/>
                <w:color w:val="auto"/>
                <w:kern w:val="0"/>
                <w:sz w:val="21"/>
                <w:szCs w:val="21"/>
                <w:lang w:bidi="ar"/>
              </w:rPr>
              <w:t>港逸花园小区附近</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14:paraId="7D4BFE0E">
            <w:pPr>
              <w:spacing w:line="240" w:lineRule="auto"/>
              <w:ind w:firstLine="0" w:firstLineChars="0"/>
              <w:jc w:val="center"/>
              <w:textAlignment w:val="baseline"/>
              <w:rPr>
                <w:color w:val="auto"/>
                <w:kern w:val="0"/>
                <w:szCs w:val="21"/>
              </w:rPr>
            </w:pPr>
            <w:r>
              <w:rPr>
                <w:color w:val="auto"/>
                <w:kern w:val="0"/>
                <w:sz w:val="21"/>
                <w:szCs w:val="21"/>
                <w:lang w:bidi="ar"/>
              </w:rPr>
              <w:t>SE</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675E6342">
            <w:pPr>
              <w:spacing w:line="240" w:lineRule="auto"/>
              <w:ind w:firstLine="0" w:firstLineChars="0"/>
              <w:jc w:val="center"/>
              <w:textAlignment w:val="baseline"/>
              <w:rPr>
                <w:color w:val="auto"/>
                <w:kern w:val="0"/>
                <w:szCs w:val="21"/>
              </w:rPr>
            </w:pPr>
            <w:r>
              <w:rPr>
                <w:color w:val="auto"/>
                <w:kern w:val="0"/>
                <w:sz w:val="21"/>
                <w:szCs w:val="21"/>
                <w:lang w:bidi="ar"/>
              </w:rPr>
              <w:t>950</w:t>
            </w:r>
          </w:p>
        </w:tc>
        <w:tc>
          <w:tcPr>
            <w:tcW w:w="1708" w:type="pct"/>
            <w:vMerge w:val="continue"/>
            <w:tcBorders>
              <w:top w:val="single" w:color="auto" w:sz="4" w:space="0"/>
              <w:left w:val="single" w:color="auto" w:sz="4" w:space="0"/>
              <w:bottom w:val="single" w:color="000000" w:sz="12" w:space="0"/>
              <w:right w:val="nil"/>
            </w:tcBorders>
            <w:shd w:val="clear" w:color="auto" w:fill="auto"/>
            <w:vAlign w:val="center"/>
          </w:tcPr>
          <w:p w14:paraId="2B12C4B4">
            <w:pPr>
              <w:spacing w:line="240" w:lineRule="auto"/>
              <w:ind w:firstLine="0" w:firstLineChars="0"/>
              <w:jc w:val="center"/>
              <w:rPr>
                <w:rFonts w:hint="eastAsia" w:ascii="等线" w:hAnsi="等线" w:eastAsia="等线" w:cs="等线"/>
                <w:color w:val="auto"/>
                <w:sz w:val="20"/>
                <w:szCs w:val="20"/>
              </w:rPr>
            </w:pPr>
          </w:p>
        </w:tc>
      </w:tr>
      <w:tr w14:paraId="32C0B540">
        <w:tblPrEx>
          <w:tblBorders>
            <w:top w:val="single" w:color="000000" w:sz="12" w:space="0"/>
            <w:left w:val="none" w:color="auto" w:sz="6" w:space="0"/>
            <w:bottom w:val="single" w:color="000000"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tcBorders>
              <w:top w:val="single" w:color="auto" w:sz="4" w:space="0"/>
              <w:left w:val="nil"/>
              <w:bottom w:val="single" w:color="000000" w:sz="12" w:space="0"/>
              <w:right w:val="single" w:color="auto" w:sz="4" w:space="0"/>
            </w:tcBorders>
            <w:shd w:val="clear" w:color="auto" w:fill="auto"/>
            <w:vAlign w:val="center"/>
          </w:tcPr>
          <w:p w14:paraId="464182CB">
            <w:pPr>
              <w:spacing w:line="240" w:lineRule="auto"/>
              <w:ind w:firstLine="0" w:firstLineChars="0"/>
              <w:jc w:val="center"/>
              <w:textAlignment w:val="baseline"/>
              <w:rPr>
                <w:color w:val="auto"/>
                <w:kern w:val="0"/>
                <w:szCs w:val="21"/>
              </w:rPr>
            </w:pPr>
            <w:r>
              <w:rPr>
                <w:color w:val="auto"/>
                <w:kern w:val="0"/>
                <w:sz w:val="21"/>
                <w:szCs w:val="21"/>
                <w:lang w:bidi="ar"/>
              </w:rPr>
              <w:t>D6</w:t>
            </w:r>
          </w:p>
        </w:tc>
        <w:tc>
          <w:tcPr>
            <w:tcW w:w="1116" w:type="pct"/>
            <w:tcBorders>
              <w:top w:val="single" w:color="auto" w:sz="4" w:space="0"/>
              <w:left w:val="single" w:color="auto" w:sz="4" w:space="0"/>
              <w:bottom w:val="single" w:color="000000" w:sz="12" w:space="0"/>
              <w:right w:val="single" w:color="auto" w:sz="4" w:space="0"/>
            </w:tcBorders>
            <w:shd w:val="clear" w:color="auto" w:fill="auto"/>
            <w:vAlign w:val="center"/>
          </w:tcPr>
          <w:p w14:paraId="5A4376AB">
            <w:pPr>
              <w:spacing w:line="240" w:lineRule="auto"/>
              <w:ind w:firstLine="0" w:firstLineChars="0"/>
              <w:jc w:val="center"/>
              <w:textAlignment w:val="baseline"/>
              <w:rPr>
                <w:color w:val="auto"/>
                <w:kern w:val="0"/>
                <w:szCs w:val="21"/>
              </w:rPr>
            </w:pPr>
            <w:r>
              <w:rPr>
                <w:rFonts w:hint="eastAsia"/>
                <w:color w:val="auto"/>
                <w:kern w:val="0"/>
                <w:sz w:val="21"/>
                <w:szCs w:val="21"/>
                <w:lang w:bidi="ar"/>
              </w:rPr>
              <w:t>厂界西南侧</w:t>
            </w:r>
            <w:r>
              <w:rPr>
                <w:color w:val="auto"/>
                <w:kern w:val="0"/>
                <w:sz w:val="21"/>
                <w:szCs w:val="21"/>
                <w:lang w:bidi="ar"/>
              </w:rPr>
              <w:t>500m</w:t>
            </w:r>
            <w:r>
              <w:rPr>
                <w:rFonts w:hint="eastAsia"/>
                <w:color w:val="auto"/>
                <w:kern w:val="0"/>
                <w:sz w:val="21"/>
                <w:szCs w:val="21"/>
                <w:lang w:bidi="ar"/>
              </w:rPr>
              <w:t>处</w:t>
            </w:r>
          </w:p>
        </w:tc>
        <w:tc>
          <w:tcPr>
            <w:tcW w:w="748" w:type="pct"/>
            <w:tcBorders>
              <w:top w:val="single" w:color="auto" w:sz="4" w:space="0"/>
              <w:left w:val="single" w:color="auto" w:sz="4" w:space="0"/>
              <w:bottom w:val="single" w:color="000000" w:sz="12" w:space="0"/>
              <w:right w:val="single" w:color="auto" w:sz="4" w:space="0"/>
            </w:tcBorders>
            <w:shd w:val="clear" w:color="auto" w:fill="auto"/>
            <w:vAlign w:val="center"/>
          </w:tcPr>
          <w:p w14:paraId="692C5E8D">
            <w:pPr>
              <w:spacing w:line="240" w:lineRule="auto"/>
              <w:ind w:firstLine="0" w:firstLineChars="0"/>
              <w:jc w:val="center"/>
              <w:textAlignment w:val="baseline"/>
              <w:rPr>
                <w:color w:val="auto"/>
                <w:kern w:val="0"/>
                <w:szCs w:val="21"/>
              </w:rPr>
            </w:pPr>
            <w:r>
              <w:rPr>
                <w:color w:val="auto"/>
                <w:kern w:val="0"/>
                <w:sz w:val="21"/>
                <w:szCs w:val="21"/>
                <w:lang w:bidi="ar"/>
              </w:rPr>
              <w:t>SW</w:t>
            </w:r>
          </w:p>
        </w:tc>
        <w:tc>
          <w:tcPr>
            <w:tcW w:w="988" w:type="pct"/>
            <w:tcBorders>
              <w:top w:val="single" w:color="auto" w:sz="4" w:space="0"/>
              <w:left w:val="single" w:color="auto" w:sz="4" w:space="0"/>
              <w:bottom w:val="single" w:color="000000" w:sz="12" w:space="0"/>
              <w:right w:val="single" w:color="auto" w:sz="4" w:space="0"/>
            </w:tcBorders>
            <w:shd w:val="clear" w:color="auto" w:fill="auto"/>
            <w:vAlign w:val="center"/>
          </w:tcPr>
          <w:p w14:paraId="66343EA8">
            <w:pPr>
              <w:spacing w:line="240" w:lineRule="auto"/>
              <w:ind w:firstLine="0" w:firstLineChars="0"/>
              <w:jc w:val="center"/>
              <w:textAlignment w:val="baseline"/>
              <w:rPr>
                <w:color w:val="auto"/>
                <w:kern w:val="0"/>
                <w:szCs w:val="21"/>
              </w:rPr>
            </w:pPr>
            <w:r>
              <w:rPr>
                <w:color w:val="auto"/>
                <w:kern w:val="0"/>
                <w:sz w:val="21"/>
                <w:szCs w:val="21"/>
                <w:lang w:bidi="ar"/>
              </w:rPr>
              <w:t>500</w:t>
            </w:r>
          </w:p>
        </w:tc>
        <w:tc>
          <w:tcPr>
            <w:tcW w:w="1708" w:type="pct"/>
            <w:vMerge w:val="continue"/>
            <w:tcBorders>
              <w:top w:val="single" w:color="auto" w:sz="4" w:space="0"/>
              <w:left w:val="single" w:color="auto" w:sz="4" w:space="0"/>
              <w:bottom w:val="single" w:color="000000" w:sz="12" w:space="0"/>
              <w:right w:val="nil"/>
            </w:tcBorders>
            <w:shd w:val="clear" w:color="auto" w:fill="auto"/>
            <w:vAlign w:val="center"/>
          </w:tcPr>
          <w:p w14:paraId="7D54A166">
            <w:pPr>
              <w:spacing w:line="240" w:lineRule="auto"/>
              <w:ind w:firstLine="0" w:firstLineChars="0"/>
              <w:jc w:val="center"/>
              <w:rPr>
                <w:rFonts w:hint="eastAsia" w:ascii="等线" w:hAnsi="等线" w:eastAsia="等线" w:cs="等线"/>
                <w:color w:val="auto"/>
                <w:sz w:val="20"/>
                <w:szCs w:val="20"/>
              </w:rPr>
            </w:pPr>
          </w:p>
        </w:tc>
      </w:tr>
    </w:tbl>
    <w:p w14:paraId="25F62102">
      <w:pPr>
        <w:pStyle w:val="1356"/>
        <w:ind w:firstLine="482"/>
        <w:rPr>
          <w:b/>
          <w:bCs/>
          <w:color w:val="auto"/>
        </w:rPr>
      </w:pPr>
      <w:r>
        <w:rPr>
          <w:rFonts w:hint="eastAsia"/>
          <w:b/>
          <w:bCs/>
          <w:color w:val="auto"/>
        </w:rPr>
        <w:t>2、监测项目</w:t>
      </w:r>
    </w:p>
    <w:p w14:paraId="6E5D0B83">
      <w:pPr>
        <w:ind w:firstLine="480"/>
        <w:rPr>
          <w:color w:val="auto"/>
          <w:szCs w:val="21"/>
        </w:rPr>
      </w:pPr>
      <w:r>
        <w:rPr>
          <w:rFonts w:hint="eastAsia"/>
          <w:color w:val="auto"/>
        </w:rPr>
        <w:t>（1）水质监测项目（D1、D2、D3）：</w:t>
      </w:r>
      <w:r>
        <w:rPr>
          <w:color w:val="auto"/>
          <w:szCs w:val="21"/>
          <w:lang w:bidi="ar"/>
        </w:rPr>
        <w:t>K</w:t>
      </w:r>
      <w:r>
        <w:rPr>
          <w:color w:val="auto"/>
          <w:szCs w:val="21"/>
          <w:vertAlign w:val="superscript"/>
          <w:lang w:bidi="ar"/>
        </w:rPr>
        <w:t>+</w:t>
      </w:r>
      <w:r>
        <w:rPr>
          <w:rFonts w:hint="eastAsia"/>
          <w:color w:val="auto"/>
          <w:szCs w:val="21"/>
          <w:lang w:bidi="ar"/>
        </w:rPr>
        <w:t>、</w:t>
      </w:r>
      <w:r>
        <w:rPr>
          <w:color w:val="auto"/>
          <w:szCs w:val="21"/>
          <w:lang w:bidi="ar"/>
        </w:rPr>
        <w:t>Na</w:t>
      </w:r>
      <w:r>
        <w:rPr>
          <w:color w:val="auto"/>
          <w:szCs w:val="21"/>
          <w:vertAlign w:val="superscript"/>
          <w:lang w:bidi="ar"/>
        </w:rPr>
        <w:t>+</w:t>
      </w:r>
      <w:r>
        <w:rPr>
          <w:rFonts w:hint="eastAsia"/>
          <w:color w:val="auto"/>
          <w:szCs w:val="21"/>
          <w:lang w:bidi="ar"/>
        </w:rPr>
        <w:t>、</w:t>
      </w:r>
      <w:r>
        <w:rPr>
          <w:color w:val="auto"/>
          <w:szCs w:val="21"/>
          <w:lang w:bidi="ar"/>
        </w:rPr>
        <w:t>Ca</w:t>
      </w:r>
      <w:r>
        <w:rPr>
          <w:color w:val="auto"/>
          <w:szCs w:val="21"/>
          <w:vertAlign w:val="superscript"/>
          <w:lang w:bidi="ar"/>
        </w:rPr>
        <w:t>2+</w:t>
      </w:r>
      <w:r>
        <w:rPr>
          <w:rFonts w:hint="eastAsia"/>
          <w:color w:val="auto"/>
          <w:szCs w:val="21"/>
          <w:lang w:bidi="ar"/>
        </w:rPr>
        <w:t>、</w:t>
      </w:r>
      <w:r>
        <w:rPr>
          <w:color w:val="auto"/>
          <w:szCs w:val="21"/>
          <w:lang w:bidi="ar"/>
        </w:rPr>
        <w:t>Mg</w:t>
      </w:r>
      <w:r>
        <w:rPr>
          <w:color w:val="auto"/>
          <w:szCs w:val="21"/>
          <w:vertAlign w:val="superscript"/>
          <w:lang w:bidi="ar"/>
        </w:rPr>
        <w:t>2+</w:t>
      </w:r>
      <w:r>
        <w:rPr>
          <w:rFonts w:hint="eastAsia"/>
          <w:color w:val="auto"/>
          <w:szCs w:val="21"/>
          <w:lang w:bidi="ar"/>
        </w:rPr>
        <w:t>、</w:t>
      </w:r>
      <w:r>
        <w:rPr>
          <w:color w:val="auto"/>
          <w:szCs w:val="21"/>
          <w:lang w:bidi="ar"/>
        </w:rPr>
        <w:t>CO</w:t>
      </w:r>
      <w:r>
        <w:rPr>
          <w:color w:val="auto"/>
          <w:szCs w:val="21"/>
          <w:vertAlign w:val="subscript"/>
          <w:lang w:bidi="ar"/>
        </w:rPr>
        <w:t>3</w:t>
      </w:r>
      <w:r>
        <w:rPr>
          <w:color w:val="auto"/>
          <w:szCs w:val="21"/>
          <w:vertAlign w:val="superscript"/>
          <w:lang w:bidi="ar"/>
        </w:rPr>
        <w:t>2-</w:t>
      </w:r>
      <w:r>
        <w:rPr>
          <w:rFonts w:hint="eastAsia"/>
          <w:color w:val="auto"/>
          <w:szCs w:val="21"/>
          <w:lang w:bidi="ar"/>
        </w:rPr>
        <w:t>、</w:t>
      </w:r>
      <w:r>
        <w:rPr>
          <w:color w:val="auto"/>
          <w:szCs w:val="21"/>
          <w:lang w:bidi="ar"/>
        </w:rPr>
        <w:t>HCO</w:t>
      </w:r>
      <w:r>
        <w:rPr>
          <w:color w:val="auto"/>
          <w:szCs w:val="21"/>
          <w:vertAlign w:val="subscript"/>
          <w:lang w:bidi="ar"/>
        </w:rPr>
        <w:t>3</w:t>
      </w:r>
      <w:r>
        <w:rPr>
          <w:color w:val="auto"/>
          <w:szCs w:val="21"/>
          <w:vertAlign w:val="superscript"/>
          <w:lang w:bidi="ar"/>
        </w:rPr>
        <w:t>-</w:t>
      </w:r>
      <w:r>
        <w:rPr>
          <w:rFonts w:hint="eastAsia"/>
          <w:color w:val="auto"/>
          <w:szCs w:val="21"/>
          <w:lang w:bidi="ar"/>
        </w:rPr>
        <w:t>、</w:t>
      </w:r>
      <w:r>
        <w:rPr>
          <w:color w:val="auto"/>
          <w:szCs w:val="21"/>
          <w:lang w:bidi="ar"/>
        </w:rPr>
        <w:t>Cl</w:t>
      </w:r>
      <w:r>
        <w:rPr>
          <w:color w:val="auto"/>
          <w:szCs w:val="21"/>
          <w:vertAlign w:val="superscript"/>
          <w:lang w:bidi="ar"/>
        </w:rPr>
        <w:t>-</w:t>
      </w:r>
      <w:r>
        <w:rPr>
          <w:rFonts w:hint="eastAsia"/>
          <w:color w:val="auto"/>
          <w:szCs w:val="21"/>
          <w:lang w:bidi="ar"/>
        </w:rPr>
        <w:t>、</w:t>
      </w:r>
      <w:r>
        <w:rPr>
          <w:color w:val="auto"/>
          <w:szCs w:val="21"/>
          <w:lang w:bidi="ar"/>
        </w:rPr>
        <w:t>SO</w:t>
      </w:r>
      <w:r>
        <w:rPr>
          <w:color w:val="auto"/>
          <w:szCs w:val="21"/>
          <w:vertAlign w:val="subscript"/>
          <w:lang w:bidi="ar"/>
        </w:rPr>
        <w:t>4</w:t>
      </w:r>
      <w:r>
        <w:rPr>
          <w:color w:val="auto"/>
          <w:szCs w:val="21"/>
          <w:vertAlign w:val="superscript"/>
          <w:lang w:bidi="ar"/>
        </w:rPr>
        <w:t>2-</w:t>
      </w:r>
      <w:r>
        <w:rPr>
          <w:rFonts w:hint="eastAsia"/>
          <w:color w:val="auto"/>
          <w:szCs w:val="21"/>
          <w:lang w:bidi="ar"/>
        </w:rPr>
        <w:t>；</w:t>
      </w:r>
      <w:r>
        <w:rPr>
          <w:color w:val="auto"/>
          <w:szCs w:val="21"/>
          <w:lang w:bidi="ar"/>
        </w:rPr>
        <w:t>pH</w:t>
      </w:r>
      <w:r>
        <w:rPr>
          <w:rFonts w:hint="eastAsia"/>
          <w:color w:val="auto"/>
          <w:szCs w:val="21"/>
          <w:lang w:bidi="ar"/>
        </w:rPr>
        <w:t>、氨氮、硝酸盐、亚硝酸盐、挥发性酚类、氰化物、砷、汞、铬（六价）、总硬度、铅、氟化物、镉、铁、锰、溶解性总固体、耗氧量（</w:t>
      </w:r>
      <w:r>
        <w:rPr>
          <w:color w:val="auto"/>
          <w:szCs w:val="21"/>
          <w:lang w:bidi="ar"/>
        </w:rPr>
        <w:t>COD</w:t>
      </w:r>
      <w:r>
        <w:rPr>
          <w:color w:val="auto"/>
          <w:szCs w:val="21"/>
          <w:vertAlign w:val="subscript"/>
          <w:lang w:bidi="ar"/>
        </w:rPr>
        <w:t>Mn</w:t>
      </w:r>
      <w:r>
        <w:rPr>
          <w:rFonts w:hint="eastAsia"/>
          <w:color w:val="auto"/>
          <w:szCs w:val="21"/>
          <w:lang w:bidi="ar"/>
        </w:rPr>
        <w:t>法）、硫酸盐、氯化物、总大肠菌群、细菌总数、硫化物、铜、镍、铝、</w:t>
      </w:r>
      <w:r>
        <w:rPr>
          <w:color w:val="auto"/>
          <w:szCs w:val="21"/>
          <w:lang w:bidi="ar"/>
        </w:rPr>
        <w:t>LAS</w:t>
      </w:r>
      <w:r>
        <w:rPr>
          <w:rFonts w:hint="eastAsia"/>
          <w:color w:val="auto"/>
          <w:szCs w:val="21"/>
          <w:lang w:bidi="ar"/>
        </w:rPr>
        <w:t>、水位、水温及其他有关水文要素</w:t>
      </w:r>
      <w:r>
        <w:rPr>
          <w:rFonts w:hint="eastAsia"/>
          <w:color w:val="auto"/>
          <w:szCs w:val="22"/>
          <w:lang w:bidi="ar"/>
        </w:rPr>
        <w:t>。</w:t>
      </w:r>
    </w:p>
    <w:p w14:paraId="028F8CDE">
      <w:pPr>
        <w:pStyle w:val="1356"/>
        <w:ind w:firstLine="480"/>
        <w:rPr>
          <w:color w:val="auto"/>
        </w:rPr>
      </w:pPr>
      <w:r>
        <w:rPr>
          <w:rFonts w:hint="eastAsia"/>
          <w:color w:val="auto"/>
        </w:rPr>
        <w:t>（2）水位监测项目（D1、D2、D3、D4、D5、D6）：水位。</w:t>
      </w:r>
    </w:p>
    <w:p w14:paraId="581BBFE4">
      <w:pPr>
        <w:pStyle w:val="1356"/>
        <w:ind w:firstLine="482"/>
        <w:rPr>
          <w:b/>
          <w:bCs/>
          <w:color w:val="auto"/>
        </w:rPr>
      </w:pPr>
      <w:r>
        <w:rPr>
          <w:rFonts w:hint="eastAsia"/>
          <w:b/>
          <w:bCs/>
          <w:color w:val="auto"/>
        </w:rPr>
        <w:t>3、监测时间及频次</w:t>
      </w:r>
    </w:p>
    <w:p w14:paraId="3B9D8438">
      <w:pPr>
        <w:pStyle w:val="1356"/>
        <w:ind w:firstLine="480"/>
        <w:rPr>
          <w:color w:val="auto"/>
        </w:rPr>
      </w:pPr>
      <w:r>
        <w:rPr>
          <w:rFonts w:hint="eastAsia"/>
          <w:color w:val="auto"/>
        </w:rPr>
        <w:t>采集一次水样进行分析。</w:t>
      </w:r>
    </w:p>
    <w:p w14:paraId="24E62286">
      <w:pPr>
        <w:pStyle w:val="1356"/>
        <w:ind w:firstLine="482"/>
        <w:rPr>
          <w:b/>
          <w:bCs/>
          <w:color w:val="auto"/>
        </w:rPr>
      </w:pPr>
      <w:r>
        <w:rPr>
          <w:rFonts w:hint="eastAsia"/>
          <w:b/>
          <w:bCs/>
          <w:color w:val="auto"/>
        </w:rPr>
        <w:t>4、分析方法</w:t>
      </w:r>
    </w:p>
    <w:p w14:paraId="2BC741C7">
      <w:pPr>
        <w:pStyle w:val="1356"/>
        <w:ind w:firstLine="480"/>
        <w:rPr>
          <w:color w:val="auto"/>
        </w:rPr>
      </w:pPr>
      <w:r>
        <w:rPr>
          <w:rFonts w:hint="eastAsia"/>
          <w:color w:val="auto"/>
        </w:rPr>
        <w:t>按照《水与废水监测分析方法》执行。</w:t>
      </w:r>
    </w:p>
    <w:p w14:paraId="163333A1">
      <w:pPr>
        <w:spacing w:before="120" w:beforeLines="50"/>
        <w:ind w:firstLine="0" w:firstLineChars="0"/>
        <w:jc w:val="left"/>
        <w:outlineLvl w:val="3"/>
        <w:rPr>
          <w:b/>
          <w:color w:val="auto"/>
        </w:rPr>
      </w:pPr>
      <w:r>
        <w:rPr>
          <w:rFonts w:hint="eastAsia"/>
          <w:b/>
          <w:color w:val="auto"/>
        </w:rPr>
        <w:t>5</w:t>
      </w:r>
      <w:r>
        <w:rPr>
          <w:b/>
          <w:color w:val="auto"/>
        </w:rPr>
        <w:t>.2.</w:t>
      </w:r>
      <w:r>
        <w:rPr>
          <w:rFonts w:hint="eastAsia"/>
          <w:b/>
          <w:color w:val="auto"/>
        </w:rPr>
        <w:t>5</w:t>
      </w:r>
      <w:r>
        <w:rPr>
          <w:b/>
          <w:color w:val="auto"/>
        </w:rPr>
        <w:t>.</w:t>
      </w:r>
      <w:r>
        <w:rPr>
          <w:rFonts w:hint="eastAsia"/>
          <w:b/>
          <w:color w:val="auto"/>
        </w:rPr>
        <w:t>2</w:t>
      </w:r>
      <w:r>
        <w:rPr>
          <w:b/>
          <w:color w:val="auto"/>
        </w:rPr>
        <w:t xml:space="preserve"> </w:t>
      </w:r>
      <w:r>
        <w:rPr>
          <w:rFonts w:hint="eastAsia"/>
          <w:b/>
          <w:color w:val="auto"/>
        </w:rPr>
        <w:t>地下水水质监测结果及评价</w:t>
      </w:r>
    </w:p>
    <w:p w14:paraId="45507424">
      <w:pPr>
        <w:pStyle w:val="1356"/>
        <w:ind w:firstLine="480"/>
        <w:rPr>
          <w:color w:val="auto"/>
        </w:rPr>
      </w:pPr>
      <w:r>
        <w:rPr>
          <w:rFonts w:hint="eastAsia"/>
          <w:color w:val="auto"/>
        </w:rPr>
        <w:t>安徽晟创检测技术有限公司对项目周边地下水进行实地监测（报告编号：AHSC2024052409），监测时间为2024年6月4日。本项目地下水环境质量现状监测及评价结果汇总情况见表5.2.5-2。</w:t>
      </w:r>
    </w:p>
    <w:p w14:paraId="3A845BF3">
      <w:pPr>
        <w:pStyle w:val="1356"/>
        <w:ind w:firstLine="480"/>
        <w:rPr>
          <w:color w:val="auto"/>
        </w:rPr>
      </w:pPr>
    </w:p>
    <w:p w14:paraId="02C84F13">
      <w:pPr>
        <w:pStyle w:val="1356"/>
        <w:spacing w:line="240" w:lineRule="auto"/>
        <w:ind w:firstLine="0" w:firstLineChars="0"/>
        <w:jc w:val="center"/>
        <w:rPr>
          <w:b/>
          <w:bCs/>
          <w:color w:val="auto"/>
        </w:rPr>
      </w:pPr>
      <w:r>
        <w:rPr>
          <w:b/>
          <w:bCs/>
          <w:color w:val="auto"/>
        </w:rPr>
        <w:t>表</w:t>
      </w:r>
      <w:r>
        <w:rPr>
          <w:rFonts w:hint="eastAsia"/>
          <w:b/>
          <w:bCs/>
          <w:color w:val="auto"/>
        </w:rPr>
        <w:t>5.2.5-2</w:t>
      </w:r>
      <w:r>
        <w:rPr>
          <w:b/>
          <w:bCs/>
          <w:color w:val="auto"/>
        </w:rPr>
        <w:t xml:space="preserve">  地下水环境质量监测结果汇总表（单位：mg/L，pH无量纲）</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933"/>
        <w:gridCol w:w="900"/>
        <w:gridCol w:w="1417"/>
        <w:gridCol w:w="1843"/>
        <w:gridCol w:w="1560"/>
        <w:gridCol w:w="1532"/>
      </w:tblGrid>
      <w:tr w14:paraId="5F9646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542" w:type="pct"/>
            <w:gridSpan w:val="2"/>
            <w:vMerge w:val="restart"/>
            <w:vAlign w:val="center"/>
          </w:tcPr>
          <w:p w14:paraId="598E3E8D">
            <w:pPr>
              <w:kinsoku w:val="0"/>
              <w:overflowPunct w:val="0"/>
              <w:spacing w:line="240" w:lineRule="auto"/>
              <w:ind w:firstLine="0" w:firstLineChars="0"/>
              <w:jc w:val="center"/>
              <w:rPr>
                <w:b/>
                <w:bCs/>
                <w:color w:val="auto"/>
                <w:sz w:val="21"/>
                <w:szCs w:val="21"/>
              </w:rPr>
            </w:pPr>
            <w:r>
              <w:rPr>
                <w:b/>
                <w:bCs/>
                <w:color w:val="auto"/>
                <w:sz w:val="21"/>
                <w:szCs w:val="21"/>
              </w:rPr>
              <w:t>检测项目</w:t>
            </w:r>
          </w:p>
        </w:tc>
        <w:tc>
          <w:tcPr>
            <w:tcW w:w="771" w:type="pct"/>
            <w:vMerge w:val="restart"/>
            <w:vAlign w:val="center"/>
          </w:tcPr>
          <w:p w14:paraId="41029F56">
            <w:pPr>
              <w:kinsoku w:val="0"/>
              <w:overflowPunct w:val="0"/>
              <w:spacing w:line="240" w:lineRule="auto"/>
              <w:ind w:firstLine="0" w:firstLineChars="0"/>
              <w:jc w:val="center"/>
              <w:rPr>
                <w:b/>
                <w:bCs/>
                <w:color w:val="auto"/>
                <w:sz w:val="21"/>
                <w:szCs w:val="21"/>
              </w:rPr>
            </w:pPr>
            <w:r>
              <w:rPr>
                <w:b/>
                <w:bCs/>
                <w:color w:val="auto"/>
                <w:sz w:val="21"/>
                <w:szCs w:val="21"/>
              </w:rPr>
              <w:t>单位</w:t>
            </w:r>
          </w:p>
        </w:tc>
        <w:tc>
          <w:tcPr>
            <w:tcW w:w="2686" w:type="pct"/>
            <w:gridSpan w:val="3"/>
            <w:vAlign w:val="center"/>
          </w:tcPr>
          <w:p w14:paraId="1CA7773E">
            <w:pPr>
              <w:kinsoku w:val="0"/>
              <w:overflowPunct w:val="0"/>
              <w:spacing w:line="240" w:lineRule="auto"/>
              <w:ind w:firstLine="0" w:firstLineChars="0"/>
              <w:jc w:val="center"/>
              <w:rPr>
                <w:b/>
                <w:bCs/>
                <w:color w:val="auto"/>
                <w:sz w:val="21"/>
                <w:szCs w:val="21"/>
              </w:rPr>
            </w:pPr>
            <w:r>
              <w:rPr>
                <w:b/>
                <w:bCs/>
                <w:color w:val="auto"/>
                <w:sz w:val="21"/>
                <w:szCs w:val="21"/>
              </w:rPr>
              <w:t>结果</w:t>
            </w:r>
          </w:p>
        </w:tc>
      </w:tr>
      <w:tr w14:paraId="327A75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542" w:type="pct"/>
            <w:gridSpan w:val="2"/>
            <w:vMerge w:val="continue"/>
            <w:vAlign w:val="center"/>
          </w:tcPr>
          <w:p w14:paraId="231DCF44">
            <w:pPr>
              <w:kinsoku w:val="0"/>
              <w:overflowPunct w:val="0"/>
              <w:spacing w:line="240" w:lineRule="auto"/>
              <w:ind w:firstLine="0" w:firstLineChars="0"/>
              <w:jc w:val="center"/>
              <w:rPr>
                <w:b/>
                <w:bCs/>
                <w:color w:val="auto"/>
                <w:sz w:val="21"/>
                <w:szCs w:val="21"/>
              </w:rPr>
            </w:pPr>
          </w:p>
        </w:tc>
        <w:tc>
          <w:tcPr>
            <w:tcW w:w="771" w:type="pct"/>
            <w:vMerge w:val="continue"/>
            <w:vAlign w:val="center"/>
          </w:tcPr>
          <w:p w14:paraId="49A52C15">
            <w:pPr>
              <w:kinsoku w:val="0"/>
              <w:overflowPunct w:val="0"/>
              <w:spacing w:line="240" w:lineRule="auto"/>
              <w:ind w:firstLine="0" w:firstLineChars="0"/>
              <w:jc w:val="center"/>
              <w:rPr>
                <w:b/>
                <w:bCs/>
                <w:color w:val="auto"/>
                <w:sz w:val="21"/>
                <w:szCs w:val="21"/>
              </w:rPr>
            </w:pPr>
          </w:p>
        </w:tc>
        <w:tc>
          <w:tcPr>
            <w:tcW w:w="1003" w:type="pct"/>
            <w:vAlign w:val="center"/>
          </w:tcPr>
          <w:p w14:paraId="60990D4D">
            <w:pPr>
              <w:kinsoku w:val="0"/>
              <w:overflowPunct w:val="0"/>
              <w:spacing w:line="240" w:lineRule="auto"/>
              <w:ind w:firstLine="0" w:firstLineChars="0"/>
              <w:jc w:val="center"/>
              <w:rPr>
                <w:b/>
                <w:bCs/>
                <w:color w:val="auto"/>
                <w:sz w:val="21"/>
                <w:szCs w:val="21"/>
              </w:rPr>
            </w:pPr>
            <w:r>
              <w:rPr>
                <w:b/>
                <w:bCs/>
                <w:color w:val="auto"/>
                <w:sz w:val="21"/>
                <w:szCs w:val="21"/>
              </w:rPr>
              <w:t>D1</w:t>
            </w:r>
          </w:p>
        </w:tc>
        <w:tc>
          <w:tcPr>
            <w:tcW w:w="849" w:type="pct"/>
            <w:vAlign w:val="center"/>
          </w:tcPr>
          <w:p w14:paraId="6AA01D7C">
            <w:pPr>
              <w:kinsoku w:val="0"/>
              <w:overflowPunct w:val="0"/>
              <w:spacing w:line="240" w:lineRule="auto"/>
              <w:ind w:firstLine="0" w:firstLineChars="0"/>
              <w:jc w:val="center"/>
              <w:rPr>
                <w:b/>
                <w:bCs/>
                <w:color w:val="auto"/>
                <w:sz w:val="21"/>
                <w:szCs w:val="21"/>
              </w:rPr>
            </w:pPr>
            <w:r>
              <w:rPr>
                <w:b/>
                <w:bCs/>
                <w:color w:val="auto"/>
                <w:sz w:val="21"/>
                <w:szCs w:val="21"/>
              </w:rPr>
              <w:t>D2</w:t>
            </w:r>
          </w:p>
        </w:tc>
        <w:tc>
          <w:tcPr>
            <w:tcW w:w="833" w:type="pct"/>
            <w:vAlign w:val="center"/>
          </w:tcPr>
          <w:p w14:paraId="1B980813">
            <w:pPr>
              <w:kinsoku w:val="0"/>
              <w:overflowPunct w:val="0"/>
              <w:spacing w:line="240" w:lineRule="auto"/>
              <w:ind w:firstLine="0" w:firstLineChars="0"/>
              <w:jc w:val="center"/>
              <w:rPr>
                <w:b/>
                <w:bCs/>
                <w:color w:val="auto"/>
                <w:sz w:val="21"/>
                <w:szCs w:val="21"/>
              </w:rPr>
            </w:pPr>
            <w:r>
              <w:rPr>
                <w:b/>
                <w:bCs/>
                <w:color w:val="auto"/>
                <w:sz w:val="21"/>
                <w:szCs w:val="21"/>
              </w:rPr>
              <w:t>D3</w:t>
            </w:r>
          </w:p>
        </w:tc>
      </w:tr>
      <w:tr w14:paraId="3B1216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1EEF1D7D">
            <w:pPr>
              <w:kinsoku w:val="0"/>
              <w:overflowPunct w:val="0"/>
              <w:spacing w:line="240" w:lineRule="auto"/>
              <w:ind w:firstLine="0" w:firstLineChars="0"/>
              <w:jc w:val="center"/>
              <w:rPr>
                <w:color w:val="auto"/>
                <w:sz w:val="21"/>
                <w:szCs w:val="21"/>
              </w:rPr>
            </w:pPr>
            <w:r>
              <w:rPr>
                <w:color w:val="auto"/>
                <w:sz w:val="21"/>
                <w:szCs w:val="21"/>
              </w:rPr>
              <w:t>pH值</w:t>
            </w:r>
          </w:p>
        </w:tc>
        <w:tc>
          <w:tcPr>
            <w:tcW w:w="489" w:type="pct"/>
            <w:vAlign w:val="center"/>
          </w:tcPr>
          <w:p w14:paraId="564B16D5">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19B7BBBA">
            <w:pPr>
              <w:kinsoku w:val="0"/>
              <w:overflowPunct w:val="0"/>
              <w:spacing w:line="240" w:lineRule="auto"/>
              <w:ind w:firstLine="0" w:firstLineChars="0"/>
              <w:jc w:val="center"/>
              <w:rPr>
                <w:color w:val="auto"/>
                <w:sz w:val="21"/>
                <w:szCs w:val="21"/>
              </w:rPr>
            </w:pPr>
            <w:r>
              <w:rPr>
                <w:color w:val="auto"/>
                <w:sz w:val="21"/>
                <w:szCs w:val="21"/>
              </w:rPr>
              <w:t>无量纲</w:t>
            </w:r>
          </w:p>
        </w:tc>
        <w:tc>
          <w:tcPr>
            <w:tcW w:w="1003" w:type="pct"/>
            <w:vAlign w:val="center"/>
          </w:tcPr>
          <w:p w14:paraId="38A999F3">
            <w:pPr>
              <w:kinsoku w:val="0"/>
              <w:overflowPunct w:val="0"/>
              <w:spacing w:line="240" w:lineRule="auto"/>
              <w:ind w:firstLine="0" w:firstLineChars="0"/>
              <w:jc w:val="center"/>
              <w:rPr>
                <w:color w:val="auto"/>
                <w:sz w:val="21"/>
                <w:szCs w:val="21"/>
              </w:rPr>
            </w:pPr>
            <w:r>
              <w:rPr>
                <w:color w:val="auto"/>
                <w:sz w:val="21"/>
                <w:szCs w:val="21"/>
              </w:rPr>
              <w:t>6.3</w:t>
            </w:r>
          </w:p>
        </w:tc>
        <w:tc>
          <w:tcPr>
            <w:tcW w:w="849" w:type="pct"/>
            <w:vAlign w:val="center"/>
          </w:tcPr>
          <w:p w14:paraId="5D83CEC6">
            <w:pPr>
              <w:kinsoku w:val="0"/>
              <w:overflowPunct w:val="0"/>
              <w:spacing w:line="240" w:lineRule="auto"/>
              <w:ind w:firstLine="0" w:firstLineChars="0"/>
              <w:jc w:val="center"/>
              <w:rPr>
                <w:color w:val="auto"/>
                <w:sz w:val="21"/>
                <w:szCs w:val="21"/>
              </w:rPr>
            </w:pPr>
            <w:r>
              <w:rPr>
                <w:color w:val="auto"/>
                <w:sz w:val="21"/>
                <w:szCs w:val="21"/>
              </w:rPr>
              <w:t>6.5</w:t>
            </w:r>
          </w:p>
        </w:tc>
        <w:tc>
          <w:tcPr>
            <w:tcW w:w="833" w:type="pct"/>
            <w:vAlign w:val="center"/>
          </w:tcPr>
          <w:p w14:paraId="24A0776B">
            <w:pPr>
              <w:kinsoku w:val="0"/>
              <w:overflowPunct w:val="0"/>
              <w:spacing w:line="240" w:lineRule="auto"/>
              <w:ind w:firstLine="0" w:firstLineChars="0"/>
              <w:jc w:val="center"/>
              <w:rPr>
                <w:color w:val="auto"/>
                <w:sz w:val="21"/>
                <w:szCs w:val="21"/>
              </w:rPr>
            </w:pPr>
            <w:r>
              <w:rPr>
                <w:color w:val="auto"/>
                <w:sz w:val="21"/>
                <w:szCs w:val="21"/>
              </w:rPr>
              <w:t>6.7</w:t>
            </w:r>
          </w:p>
        </w:tc>
      </w:tr>
      <w:tr w14:paraId="12FD58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3FF6AD34">
            <w:pPr>
              <w:kinsoku w:val="0"/>
              <w:overflowPunct w:val="0"/>
              <w:spacing w:line="240" w:lineRule="auto"/>
              <w:ind w:firstLine="0" w:firstLineChars="0"/>
              <w:jc w:val="center"/>
              <w:rPr>
                <w:color w:val="auto"/>
                <w:sz w:val="21"/>
                <w:szCs w:val="21"/>
              </w:rPr>
            </w:pPr>
          </w:p>
        </w:tc>
        <w:tc>
          <w:tcPr>
            <w:tcW w:w="489" w:type="pct"/>
            <w:vAlign w:val="center"/>
          </w:tcPr>
          <w:p w14:paraId="755F8944">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6D21ECB0">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498206DC">
            <w:pPr>
              <w:kinsoku w:val="0"/>
              <w:overflowPunct w:val="0"/>
              <w:spacing w:line="240" w:lineRule="auto"/>
              <w:ind w:firstLine="0" w:firstLineChars="0"/>
              <w:jc w:val="center"/>
              <w:rPr>
                <w:color w:val="auto"/>
                <w:sz w:val="21"/>
                <w:szCs w:val="21"/>
              </w:rPr>
            </w:pPr>
            <w:r>
              <w:rPr>
                <w:color w:val="auto"/>
                <w:sz w:val="21"/>
                <w:szCs w:val="21"/>
              </w:rPr>
              <w:t>I</w:t>
            </w:r>
          </w:p>
        </w:tc>
        <w:tc>
          <w:tcPr>
            <w:tcW w:w="849" w:type="pct"/>
            <w:vAlign w:val="center"/>
          </w:tcPr>
          <w:p w14:paraId="1C4E078E">
            <w:pPr>
              <w:kinsoku w:val="0"/>
              <w:overflowPunct w:val="0"/>
              <w:spacing w:line="240" w:lineRule="auto"/>
              <w:ind w:firstLine="0" w:firstLineChars="0"/>
              <w:jc w:val="center"/>
              <w:rPr>
                <w:color w:val="auto"/>
                <w:sz w:val="21"/>
                <w:szCs w:val="21"/>
              </w:rPr>
            </w:pPr>
            <w:r>
              <w:rPr>
                <w:color w:val="auto"/>
                <w:sz w:val="21"/>
                <w:szCs w:val="21"/>
              </w:rPr>
              <w:t>I</w:t>
            </w:r>
          </w:p>
        </w:tc>
        <w:tc>
          <w:tcPr>
            <w:tcW w:w="833" w:type="pct"/>
            <w:vAlign w:val="center"/>
          </w:tcPr>
          <w:p w14:paraId="7884A00F">
            <w:pPr>
              <w:kinsoku w:val="0"/>
              <w:overflowPunct w:val="0"/>
              <w:spacing w:line="240" w:lineRule="auto"/>
              <w:ind w:firstLine="0" w:firstLineChars="0"/>
              <w:jc w:val="center"/>
              <w:rPr>
                <w:color w:val="auto"/>
                <w:sz w:val="21"/>
                <w:szCs w:val="21"/>
              </w:rPr>
            </w:pPr>
            <w:r>
              <w:rPr>
                <w:color w:val="auto"/>
                <w:sz w:val="21"/>
                <w:szCs w:val="21"/>
              </w:rPr>
              <w:t>I</w:t>
            </w:r>
          </w:p>
        </w:tc>
      </w:tr>
      <w:tr w14:paraId="1A5D20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1C3D2793">
            <w:pPr>
              <w:kinsoku w:val="0"/>
              <w:overflowPunct w:val="0"/>
              <w:spacing w:line="240" w:lineRule="auto"/>
              <w:ind w:firstLine="0" w:firstLineChars="0"/>
              <w:jc w:val="center"/>
              <w:rPr>
                <w:color w:val="auto"/>
                <w:spacing w:val="-14"/>
                <w:sz w:val="21"/>
                <w:szCs w:val="21"/>
              </w:rPr>
            </w:pPr>
            <w:r>
              <w:rPr>
                <w:color w:val="auto"/>
                <w:spacing w:val="-14"/>
                <w:sz w:val="21"/>
                <w:szCs w:val="21"/>
              </w:rPr>
              <w:t>总硬度</w:t>
            </w:r>
          </w:p>
        </w:tc>
        <w:tc>
          <w:tcPr>
            <w:tcW w:w="489" w:type="pct"/>
            <w:vAlign w:val="center"/>
          </w:tcPr>
          <w:p w14:paraId="7123F024">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0AC088B2">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1748D2A2">
            <w:pPr>
              <w:kinsoku w:val="0"/>
              <w:overflowPunct w:val="0"/>
              <w:spacing w:line="240" w:lineRule="auto"/>
              <w:ind w:firstLine="0" w:firstLineChars="0"/>
              <w:jc w:val="center"/>
              <w:rPr>
                <w:color w:val="auto"/>
                <w:sz w:val="21"/>
                <w:szCs w:val="21"/>
              </w:rPr>
            </w:pPr>
            <w:r>
              <w:rPr>
                <w:color w:val="auto"/>
                <w:sz w:val="21"/>
                <w:szCs w:val="21"/>
              </w:rPr>
              <w:t>192</w:t>
            </w:r>
          </w:p>
        </w:tc>
        <w:tc>
          <w:tcPr>
            <w:tcW w:w="849" w:type="pct"/>
            <w:vAlign w:val="center"/>
          </w:tcPr>
          <w:p w14:paraId="5FC54CA5">
            <w:pPr>
              <w:kinsoku w:val="0"/>
              <w:overflowPunct w:val="0"/>
              <w:spacing w:line="240" w:lineRule="auto"/>
              <w:ind w:firstLine="0" w:firstLineChars="0"/>
              <w:jc w:val="center"/>
              <w:rPr>
                <w:color w:val="auto"/>
                <w:sz w:val="21"/>
                <w:szCs w:val="21"/>
              </w:rPr>
            </w:pPr>
            <w:r>
              <w:rPr>
                <w:color w:val="auto"/>
                <w:sz w:val="21"/>
                <w:szCs w:val="21"/>
              </w:rPr>
              <w:t>195</w:t>
            </w:r>
          </w:p>
        </w:tc>
        <w:tc>
          <w:tcPr>
            <w:tcW w:w="833" w:type="pct"/>
            <w:vAlign w:val="center"/>
          </w:tcPr>
          <w:p w14:paraId="2F1A2DD5">
            <w:pPr>
              <w:kinsoku w:val="0"/>
              <w:overflowPunct w:val="0"/>
              <w:spacing w:line="240" w:lineRule="auto"/>
              <w:ind w:firstLine="0" w:firstLineChars="0"/>
              <w:jc w:val="center"/>
              <w:rPr>
                <w:color w:val="auto"/>
                <w:sz w:val="21"/>
                <w:szCs w:val="21"/>
              </w:rPr>
            </w:pPr>
            <w:r>
              <w:rPr>
                <w:color w:val="auto"/>
                <w:sz w:val="21"/>
                <w:szCs w:val="21"/>
              </w:rPr>
              <w:t>186</w:t>
            </w:r>
          </w:p>
        </w:tc>
      </w:tr>
      <w:tr w14:paraId="757068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01BBF7C1">
            <w:pPr>
              <w:kinsoku w:val="0"/>
              <w:overflowPunct w:val="0"/>
              <w:spacing w:line="240" w:lineRule="auto"/>
              <w:ind w:firstLine="0" w:firstLineChars="0"/>
              <w:jc w:val="center"/>
              <w:rPr>
                <w:color w:val="auto"/>
                <w:spacing w:val="-14"/>
                <w:sz w:val="21"/>
                <w:szCs w:val="21"/>
              </w:rPr>
            </w:pPr>
          </w:p>
        </w:tc>
        <w:tc>
          <w:tcPr>
            <w:tcW w:w="489" w:type="pct"/>
            <w:vAlign w:val="center"/>
          </w:tcPr>
          <w:p w14:paraId="231C453D">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0E98E964">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1B3E5C99">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4273270F">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56AE3D3E">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0BE6E0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746DEB40">
            <w:pPr>
              <w:kinsoku w:val="0"/>
              <w:overflowPunct w:val="0"/>
              <w:spacing w:line="240" w:lineRule="auto"/>
              <w:ind w:firstLine="0" w:firstLineChars="0"/>
              <w:jc w:val="center"/>
              <w:rPr>
                <w:color w:val="auto"/>
                <w:spacing w:val="-14"/>
                <w:sz w:val="21"/>
                <w:szCs w:val="21"/>
              </w:rPr>
            </w:pPr>
            <w:r>
              <w:rPr>
                <w:color w:val="auto"/>
                <w:spacing w:val="-14"/>
                <w:sz w:val="21"/>
                <w:szCs w:val="21"/>
              </w:rPr>
              <w:t>氨氮</w:t>
            </w:r>
          </w:p>
        </w:tc>
        <w:tc>
          <w:tcPr>
            <w:tcW w:w="489" w:type="pct"/>
            <w:vAlign w:val="center"/>
          </w:tcPr>
          <w:p w14:paraId="37E6EE10">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3147A060">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3E03E12">
            <w:pPr>
              <w:widowControl/>
              <w:spacing w:line="240" w:lineRule="auto"/>
              <w:ind w:firstLine="0" w:firstLineChars="0"/>
              <w:jc w:val="center"/>
              <w:textAlignment w:val="center"/>
              <w:rPr>
                <w:color w:val="auto"/>
                <w:sz w:val="21"/>
                <w:szCs w:val="21"/>
              </w:rPr>
            </w:pPr>
            <w:r>
              <w:rPr>
                <w:color w:val="auto"/>
                <w:kern w:val="0"/>
                <w:sz w:val="21"/>
                <w:szCs w:val="21"/>
                <w:lang w:bidi="ar"/>
              </w:rPr>
              <w:t>0.132</w:t>
            </w:r>
          </w:p>
        </w:tc>
        <w:tc>
          <w:tcPr>
            <w:tcW w:w="849" w:type="pct"/>
            <w:vAlign w:val="center"/>
          </w:tcPr>
          <w:p w14:paraId="6CB9FF0B">
            <w:pPr>
              <w:widowControl/>
              <w:spacing w:line="240" w:lineRule="auto"/>
              <w:ind w:firstLine="0" w:firstLineChars="0"/>
              <w:jc w:val="center"/>
              <w:textAlignment w:val="center"/>
              <w:rPr>
                <w:color w:val="auto"/>
                <w:sz w:val="21"/>
                <w:szCs w:val="21"/>
              </w:rPr>
            </w:pPr>
            <w:r>
              <w:rPr>
                <w:color w:val="auto"/>
                <w:kern w:val="0"/>
                <w:sz w:val="21"/>
                <w:szCs w:val="21"/>
                <w:lang w:bidi="ar"/>
              </w:rPr>
              <w:t>0.074</w:t>
            </w:r>
          </w:p>
        </w:tc>
        <w:tc>
          <w:tcPr>
            <w:tcW w:w="833" w:type="pct"/>
            <w:vAlign w:val="center"/>
          </w:tcPr>
          <w:p w14:paraId="367A4647">
            <w:pPr>
              <w:widowControl/>
              <w:spacing w:line="240" w:lineRule="auto"/>
              <w:ind w:firstLine="0" w:firstLineChars="0"/>
              <w:jc w:val="center"/>
              <w:textAlignment w:val="center"/>
              <w:rPr>
                <w:color w:val="auto"/>
                <w:sz w:val="21"/>
                <w:szCs w:val="21"/>
              </w:rPr>
            </w:pPr>
            <w:r>
              <w:rPr>
                <w:color w:val="auto"/>
                <w:kern w:val="0"/>
                <w:sz w:val="21"/>
                <w:szCs w:val="21"/>
                <w:lang w:bidi="ar"/>
              </w:rPr>
              <w:t>0.223</w:t>
            </w:r>
          </w:p>
        </w:tc>
      </w:tr>
      <w:tr w14:paraId="4849D3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33358B2F">
            <w:pPr>
              <w:kinsoku w:val="0"/>
              <w:overflowPunct w:val="0"/>
              <w:spacing w:line="240" w:lineRule="auto"/>
              <w:ind w:firstLine="0" w:firstLineChars="0"/>
              <w:jc w:val="center"/>
              <w:rPr>
                <w:color w:val="auto"/>
                <w:spacing w:val="-14"/>
                <w:sz w:val="21"/>
                <w:szCs w:val="21"/>
              </w:rPr>
            </w:pPr>
          </w:p>
        </w:tc>
        <w:tc>
          <w:tcPr>
            <w:tcW w:w="489" w:type="pct"/>
            <w:vAlign w:val="center"/>
          </w:tcPr>
          <w:p w14:paraId="282949B1">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52FCC6F1">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4668FBDE">
            <w:pPr>
              <w:kinsoku w:val="0"/>
              <w:overflowPunct w:val="0"/>
              <w:spacing w:line="240" w:lineRule="auto"/>
              <w:ind w:firstLine="0" w:firstLineChars="0"/>
              <w:jc w:val="center"/>
              <w:rPr>
                <w:color w:val="auto"/>
                <w:sz w:val="21"/>
                <w:szCs w:val="21"/>
              </w:rPr>
            </w:pPr>
            <w:r>
              <w:rPr>
                <w:rFonts w:hint="eastAsia"/>
                <w:color w:val="auto"/>
                <w:sz w:val="21"/>
                <w:szCs w:val="21"/>
              </w:rPr>
              <w:t>III</w:t>
            </w:r>
          </w:p>
        </w:tc>
        <w:tc>
          <w:tcPr>
            <w:tcW w:w="849" w:type="pct"/>
            <w:vAlign w:val="center"/>
          </w:tcPr>
          <w:p w14:paraId="44935834">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63AB9396">
            <w:pPr>
              <w:kinsoku w:val="0"/>
              <w:overflowPunct w:val="0"/>
              <w:spacing w:line="240" w:lineRule="auto"/>
              <w:ind w:firstLine="0" w:firstLineChars="0"/>
              <w:jc w:val="center"/>
              <w:rPr>
                <w:color w:val="auto"/>
                <w:sz w:val="21"/>
                <w:szCs w:val="21"/>
              </w:rPr>
            </w:pPr>
            <w:r>
              <w:rPr>
                <w:rFonts w:hint="eastAsia"/>
                <w:color w:val="auto"/>
                <w:sz w:val="21"/>
                <w:szCs w:val="21"/>
              </w:rPr>
              <w:t>III</w:t>
            </w:r>
          </w:p>
        </w:tc>
      </w:tr>
      <w:tr w14:paraId="6EF39A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533F3409">
            <w:pPr>
              <w:kinsoku w:val="0"/>
              <w:overflowPunct w:val="0"/>
              <w:spacing w:line="240" w:lineRule="auto"/>
              <w:ind w:firstLine="0" w:firstLineChars="0"/>
              <w:jc w:val="center"/>
              <w:rPr>
                <w:color w:val="auto"/>
                <w:spacing w:val="-14"/>
                <w:sz w:val="21"/>
                <w:szCs w:val="21"/>
              </w:rPr>
            </w:pPr>
            <w:r>
              <w:rPr>
                <w:color w:val="auto"/>
                <w:spacing w:val="-14"/>
                <w:sz w:val="21"/>
                <w:szCs w:val="21"/>
              </w:rPr>
              <w:t>耗氧量</w:t>
            </w:r>
          </w:p>
        </w:tc>
        <w:tc>
          <w:tcPr>
            <w:tcW w:w="489" w:type="pct"/>
            <w:vAlign w:val="center"/>
          </w:tcPr>
          <w:p w14:paraId="3ABC2A84">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5FB7DD59">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BB37F8B">
            <w:pPr>
              <w:widowControl/>
              <w:spacing w:line="240" w:lineRule="auto"/>
              <w:ind w:firstLine="0" w:firstLineChars="0"/>
              <w:jc w:val="center"/>
              <w:textAlignment w:val="center"/>
              <w:rPr>
                <w:color w:val="auto"/>
                <w:sz w:val="21"/>
                <w:szCs w:val="21"/>
              </w:rPr>
            </w:pPr>
            <w:r>
              <w:rPr>
                <w:color w:val="auto"/>
                <w:sz w:val="21"/>
                <w:szCs w:val="21"/>
                <w:lang w:bidi="ar"/>
              </w:rPr>
              <w:t>1.37</w:t>
            </w:r>
          </w:p>
        </w:tc>
        <w:tc>
          <w:tcPr>
            <w:tcW w:w="849" w:type="pct"/>
            <w:vAlign w:val="center"/>
          </w:tcPr>
          <w:p w14:paraId="2030B3AA">
            <w:pPr>
              <w:widowControl/>
              <w:spacing w:line="240" w:lineRule="auto"/>
              <w:ind w:firstLine="0" w:firstLineChars="0"/>
              <w:jc w:val="center"/>
              <w:textAlignment w:val="center"/>
              <w:rPr>
                <w:color w:val="auto"/>
                <w:sz w:val="21"/>
                <w:szCs w:val="21"/>
              </w:rPr>
            </w:pPr>
            <w:r>
              <w:rPr>
                <w:color w:val="auto"/>
                <w:sz w:val="21"/>
                <w:szCs w:val="21"/>
                <w:lang w:bidi="ar"/>
              </w:rPr>
              <w:t>1.59</w:t>
            </w:r>
          </w:p>
        </w:tc>
        <w:tc>
          <w:tcPr>
            <w:tcW w:w="833" w:type="pct"/>
            <w:vAlign w:val="center"/>
          </w:tcPr>
          <w:p w14:paraId="07695521">
            <w:pPr>
              <w:widowControl/>
              <w:spacing w:line="240" w:lineRule="auto"/>
              <w:ind w:firstLine="0" w:firstLineChars="0"/>
              <w:jc w:val="center"/>
              <w:textAlignment w:val="center"/>
              <w:rPr>
                <w:color w:val="auto"/>
                <w:sz w:val="21"/>
                <w:szCs w:val="21"/>
              </w:rPr>
            </w:pPr>
            <w:r>
              <w:rPr>
                <w:color w:val="auto"/>
                <w:sz w:val="21"/>
                <w:szCs w:val="21"/>
                <w:lang w:bidi="ar"/>
              </w:rPr>
              <w:t>1.64</w:t>
            </w:r>
          </w:p>
        </w:tc>
      </w:tr>
      <w:tr w14:paraId="0F714F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128271FD">
            <w:pPr>
              <w:kinsoku w:val="0"/>
              <w:overflowPunct w:val="0"/>
              <w:spacing w:line="240" w:lineRule="auto"/>
              <w:ind w:firstLine="0" w:firstLineChars="0"/>
              <w:jc w:val="center"/>
              <w:rPr>
                <w:color w:val="auto"/>
                <w:spacing w:val="-14"/>
                <w:sz w:val="21"/>
                <w:szCs w:val="21"/>
              </w:rPr>
            </w:pPr>
          </w:p>
        </w:tc>
        <w:tc>
          <w:tcPr>
            <w:tcW w:w="489" w:type="pct"/>
            <w:vAlign w:val="center"/>
          </w:tcPr>
          <w:p w14:paraId="315BA9CA">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248D6AAC">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60421C7A">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634B65E9">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5E918392">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62FB09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52" w:type="pct"/>
            <w:vMerge w:val="restart"/>
            <w:vAlign w:val="center"/>
          </w:tcPr>
          <w:p w14:paraId="09001AAE">
            <w:pPr>
              <w:kinsoku w:val="0"/>
              <w:overflowPunct w:val="0"/>
              <w:spacing w:line="240" w:lineRule="auto"/>
              <w:ind w:firstLine="0" w:firstLineChars="0"/>
              <w:jc w:val="center"/>
              <w:rPr>
                <w:color w:val="auto"/>
                <w:sz w:val="21"/>
                <w:szCs w:val="21"/>
              </w:rPr>
            </w:pPr>
            <w:r>
              <w:rPr>
                <w:color w:val="auto"/>
                <w:sz w:val="21"/>
                <w:szCs w:val="21"/>
              </w:rPr>
              <w:t>氯化物（Cl</w:t>
            </w:r>
            <w:r>
              <w:rPr>
                <w:color w:val="auto"/>
                <w:position w:val="7"/>
                <w:sz w:val="21"/>
                <w:szCs w:val="21"/>
              </w:rPr>
              <w:t>-</w:t>
            </w:r>
            <w:r>
              <w:rPr>
                <w:color w:val="auto"/>
                <w:sz w:val="21"/>
                <w:szCs w:val="21"/>
              </w:rPr>
              <w:t>）</w:t>
            </w:r>
          </w:p>
        </w:tc>
        <w:tc>
          <w:tcPr>
            <w:tcW w:w="489" w:type="pct"/>
            <w:vAlign w:val="center"/>
          </w:tcPr>
          <w:p w14:paraId="640C4D24">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46F8464E">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3DADEB36">
            <w:pPr>
              <w:widowControl/>
              <w:spacing w:line="240" w:lineRule="auto"/>
              <w:ind w:firstLine="0" w:firstLineChars="0"/>
              <w:jc w:val="center"/>
              <w:textAlignment w:val="center"/>
              <w:rPr>
                <w:color w:val="auto"/>
                <w:sz w:val="21"/>
                <w:szCs w:val="21"/>
              </w:rPr>
            </w:pPr>
            <w:r>
              <w:rPr>
                <w:color w:val="auto"/>
                <w:kern w:val="0"/>
                <w:sz w:val="21"/>
                <w:szCs w:val="21"/>
                <w:lang w:bidi="ar"/>
              </w:rPr>
              <w:t>52.4</w:t>
            </w:r>
          </w:p>
        </w:tc>
        <w:tc>
          <w:tcPr>
            <w:tcW w:w="849" w:type="pct"/>
            <w:vAlign w:val="center"/>
          </w:tcPr>
          <w:p w14:paraId="54255E64">
            <w:pPr>
              <w:widowControl/>
              <w:spacing w:line="240" w:lineRule="auto"/>
              <w:ind w:firstLine="0" w:firstLineChars="0"/>
              <w:jc w:val="center"/>
              <w:textAlignment w:val="center"/>
              <w:rPr>
                <w:color w:val="auto"/>
                <w:sz w:val="21"/>
                <w:szCs w:val="21"/>
              </w:rPr>
            </w:pPr>
            <w:r>
              <w:rPr>
                <w:color w:val="auto"/>
                <w:kern w:val="0"/>
                <w:sz w:val="21"/>
                <w:szCs w:val="21"/>
                <w:lang w:bidi="ar"/>
              </w:rPr>
              <w:t>51.1</w:t>
            </w:r>
          </w:p>
        </w:tc>
        <w:tc>
          <w:tcPr>
            <w:tcW w:w="833" w:type="pct"/>
            <w:vAlign w:val="center"/>
          </w:tcPr>
          <w:p w14:paraId="38A3121F">
            <w:pPr>
              <w:widowControl/>
              <w:spacing w:line="240" w:lineRule="auto"/>
              <w:ind w:firstLine="0" w:firstLineChars="0"/>
              <w:jc w:val="center"/>
              <w:textAlignment w:val="center"/>
              <w:rPr>
                <w:color w:val="auto"/>
                <w:sz w:val="21"/>
                <w:szCs w:val="21"/>
              </w:rPr>
            </w:pPr>
            <w:r>
              <w:rPr>
                <w:color w:val="auto"/>
                <w:kern w:val="0"/>
                <w:sz w:val="21"/>
                <w:szCs w:val="21"/>
                <w:lang w:bidi="ar"/>
              </w:rPr>
              <w:t>52.8</w:t>
            </w:r>
          </w:p>
        </w:tc>
      </w:tr>
      <w:tr w14:paraId="5395A6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3A47B99">
            <w:pPr>
              <w:kinsoku w:val="0"/>
              <w:overflowPunct w:val="0"/>
              <w:spacing w:line="240" w:lineRule="auto"/>
              <w:ind w:firstLine="0" w:firstLineChars="0"/>
              <w:jc w:val="center"/>
              <w:rPr>
                <w:color w:val="auto"/>
                <w:sz w:val="21"/>
                <w:szCs w:val="21"/>
              </w:rPr>
            </w:pPr>
          </w:p>
        </w:tc>
        <w:tc>
          <w:tcPr>
            <w:tcW w:w="489" w:type="pct"/>
            <w:vAlign w:val="center"/>
          </w:tcPr>
          <w:p w14:paraId="68268BD9">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29CFF9EC">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2AB39067">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45B785B3">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2C910C67">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6601E1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2F1704F8">
            <w:pPr>
              <w:kinsoku w:val="0"/>
              <w:overflowPunct w:val="0"/>
              <w:spacing w:line="240" w:lineRule="auto"/>
              <w:ind w:firstLine="0" w:firstLineChars="0"/>
              <w:jc w:val="center"/>
              <w:rPr>
                <w:color w:val="auto"/>
                <w:sz w:val="21"/>
                <w:szCs w:val="21"/>
              </w:rPr>
            </w:pPr>
            <w:r>
              <w:rPr>
                <w:color w:val="auto"/>
                <w:sz w:val="21"/>
                <w:szCs w:val="21"/>
              </w:rPr>
              <w:t>硫酸盐</w:t>
            </w:r>
            <w:r>
              <w:rPr>
                <w:color w:val="auto"/>
                <w:position w:val="2"/>
                <w:sz w:val="21"/>
                <w:szCs w:val="21"/>
              </w:rPr>
              <w:t>（SO</w:t>
            </w:r>
            <w:r>
              <w:rPr>
                <w:color w:val="auto"/>
                <w:sz w:val="21"/>
                <w:szCs w:val="21"/>
                <w:vertAlign w:val="subscript"/>
              </w:rPr>
              <w:t>4</w:t>
            </w:r>
            <w:r>
              <w:rPr>
                <w:color w:val="auto"/>
                <w:sz w:val="21"/>
                <w:szCs w:val="21"/>
                <w:vertAlign w:val="superscript"/>
              </w:rPr>
              <w:t>2-</w:t>
            </w:r>
            <w:r>
              <w:rPr>
                <w:color w:val="auto"/>
                <w:sz w:val="21"/>
                <w:szCs w:val="21"/>
              </w:rPr>
              <w:t>）</w:t>
            </w:r>
          </w:p>
        </w:tc>
        <w:tc>
          <w:tcPr>
            <w:tcW w:w="489" w:type="pct"/>
            <w:vAlign w:val="center"/>
          </w:tcPr>
          <w:p w14:paraId="21266846">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597B1886">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6268B760">
            <w:pPr>
              <w:widowControl/>
              <w:spacing w:line="240" w:lineRule="auto"/>
              <w:ind w:firstLine="0" w:firstLineChars="0"/>
              <w:jc w:val="center"/>
              <w:textAlignment w:val="center"/>
              <w:rPr>
                <w:color w:val="auto"/>
                <w:sz w:val="21"/>
                <w:szCs w:val="21"/>
              </w:rPr>
            </w:pPr>
            <w:r>
              <w:rPr>
                <w:color w:val="auto"/>
                <w:sz w:val="21"/>
                <w:szCs w:val="21"/>
                <w:lang w:bidi="ar"/>
              </w:rPr>
              <w:t>43.3</w:t>
            </w:r>
          </w:p>
        </w:tc>
        <w:tc>
          <w:tcPr>
            <w:tcW w:w="849" w:type="pct"/>
            <w:vAlign w:val="center"/>
          </w:tcPr>
          <w:p w14:paraId="664FD0E3">
            <w:pPr>
              <w:widowControl/>
              <w:spacing w:line="240" w:lineRule="auto"/>
              <w:ind w:firstLine="0" w:firstLineChars="0"/>
              <w:jc w:val="center"/>
              <w:textAlignment w:val="center"/>
              <w:rPr>
                <w:color w:val="auto"/>
                <w:sz w:val="21"/>
                <w:szCs w:val="21"/>
              </w:rPr>
            </w:pPr>
            <w:r>
              <w:rPr>
                <w:color w:val="auto"/>
                <w:sz w:val="21"/>
                <w:szCs w:val="21"/>
                <w:lang w:bidi="ar"/>
              </w:rPr>
              <w:t>42.4</w:t>
            </w:r>
          </w:p>
        </w:tc>
        <w:tc>
          <w:tcPr>
            <w:tcW w:w="833" w:type="pct"/>
            <w:vAlign w:val="center"/>
          </w:tcPr>
          <w:p w14:paraId="1F0D8DB3">
            <w:pPr>
              <w:widowControl/>
              <w:spacing w:line="240" w:lineRule="auto"/>
              <w:ind w:firstLine="0" w:firstLineChars="0"/>
              <w:jc w:val="center"/>
              <w:textAlignment w:val="center"/>
              <w:rPr>
                <w:color w:val="auto"/>
                <w:sz w:val="21"/>
                <w:szCs w:val="21"/>
              </w:rPr>
            </w:pPr>
            <w:r>
              <w:rPr>
                <w:color w:val="auto"/>
                <w:sz w:val="21"/>
                <w:szCs w:val="21"/>
                <w:lang w:bidi="ar"/>
              </w:rPr>
              <w:t>43.3</w:t>
            </w:r>
          </w:p>
        </w:tc>
      </w:tr>
      <w:tr w14:paraId="58E6BC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71410E4D">
            <w:pPr>
              <w:kinsoku w:val="0"/>
              <w:overflowPunct w:val="0"/>
              <w:spacing w:line="240" w:lineRule="auto"/>
              <w:ind w:firstLine="0" w:firstLineChars="0"/>
              <w:jc w:val="center"/>
              <w:rPr>
                <w:color w:val="auto"/>
                <w:sz w:val="21"/>
                <w:szCs w:val="21"/>
              </w:rPr>
            </w:pPr>
          </w:p>
        </w:tc>
        <w:tc>
          <w:tcPr>
            <w:tcW w:w="489" w:type="pct"/>
            <w:vAlign w:val="center"/>
          </w:tcPr>
          <w:p w14:paraId="67CE9815">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7BAD3E0F">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4032BCE3">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7585189E">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0E0E6288">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129B26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26C9CF04">
            <w:pPr>
              <w:kinsoku w:val="0"/>
              <w:overflowPunct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氰化物</w:t>
            </w:r>
          </w:p>
        </w:tc>
        <w:tc>
          <w:tcPr>
            <w:tcW w:w="489" w:type="pct"/>
            <w:vAlign w:val="center"/>
          </w:tcPr>
          <w:p w14:paraId="27178314">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4C0C59B3">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10DA1427">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1943D3C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5A1FD78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60949E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651D6CF9">
            <w:pPr>
              <w:kinsoku w:val="0"/>
              <w:overflowPunct w:val="0"/>
              <w:spacing w:line="240" w:lineRule="auto"/>
              <w:ind w:firstLine="0" w:firstLineChars="0"/>
              <w:jc w:val="center"/>
              <w:rPr>
                <w:rFonts w:hint="eastAsia" w:ascii="宋体" w:hAnsi="宋体" w:cs="宋体"/>
                <w:color w:val="auto"/>
                <w:sz w:val="21"/>
                <w:szCs w:val="21"/>
              </w:rPr>
            </w:pPr>
          </w:p>
        </w:tc>
        <w:tc>
          <w:tcPr>
            <w:tcW w:w="489" w:type="pct"/>
            <w:vAlign w:val="center"/>
          </w:tcPr>
          <w:p w14:paraId="34EA7CB3">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22BEBC9D">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0A56A7DC">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397247B6">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7035F212">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5DED47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408D33ED">
            <w:pPr>
              <w:kinsoku w:val="0"/>
              <w:overflowPunct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溶解性总固体</w:t>
            </w:r>
          </w:p>
        </w:tc>
        <w:tc>
          <w:tcPr>
            <w:tcW w:w="489" w:type="pct"/>
            <w:vAlign w:val="center"/>
          </w:tcPr>
          <w:p w14:paraId="040DDD86">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22F809AA">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0978A23">
            <w:pPr>
              <w:widowControl/>
              <w:spacing w:line="240" w:lineRule="auto"/>
              <w:ind w:firstLine="0" w:firstLineChars="0"/>
              <w:jc w:val="center"/>
              <w:textAlignment w:val="center"/>
              <w:rPr>
                <w:color w:val="auto"/>
                <w:sz w:val="21"/>
                <w:szCs w:val="21"/>
              </w:rPr>
            </w:pPr>
            <w:r>
              <w:rPr>
                <w:color w:val="auto"/>
                <w:kern w:val="0"/>
                <w:sz w:val="21"/>
                <w:szCs w:val="21"/>
                <w:lang w:bidi="ar"/>
              </w:rPr>
              <w:t>281</w:t>
            </w:r>
          </w:p>
        </w:tc>
        <w:tc>
          <w:tcPr>
            <w:tcW w:w="849" w:type="pct"/>
            <w:vAlign w:val="center"/>
          </w:tcPr>
          <w:p w14:paraId="709B3036">
            <w:pPr>
              <w:widowControl/>
              <w:spacing w:line="240" w:lineRule="auto"/>
              <w:ind w:firstLine="0" w:firstLineChars="0"/>
              <w:jc w:val="center"/>
              <w:textAlignment w:val="center"/>
              <w:rPr>
                <w:color w:val="auto"/>
                <w:sz w:val="21"/>
                <w:szCs w:val="21"/>
              </w:rPr>
            </w:pPr>
            <w:r>
              <w:rPr>
                <w:color w:val="auto"/>
                <w:kern w:val="0"/>
                <w:sz w:val="21"/>
                <w:szCs w:val="21"/>
                <w:lang w:bidi="ar"/>
              </w:rPr>
              <w:t>291</w:t>
            </w:r>
          </w:p>
        </w:tc>
        <w:tc>
          <w:tcPr>
            <w:tcW w:w="833" w:type="pct"/>
            <w:vAlign w:val="center"/>
          </w:tcPr>
          <w:p w14:paraId="0C957D1C">
            <w:pPr>
              <w:widowControl/>
              <w:spacing w:line="240" w:lineRule="auto"/>
              <w:ind w:firstLine="0" w:firstLineChars="0"/>
              <w:jc w:val="center"/>
              <w:textAlignment w:val="center"/>
              <w:rPr>
                <w:color w:val="auto"/>
                <w:sz w:val="21"/>
                <w:szCs w:val="21"/>
              </w:rPr>
            </w:pPr>
            <w:r>
              <w:rPr>
                <w:color w:val="auto"/>
                <w:kern w:val="0"/>
                <w:sz w:val="21"/>
                <w:szCs w:val="21"/>
                <w:lang w:bidi="ar"/>
              </w:rPr>
              <w:t>269</w:t>
            </w:r>
          </w:p>
        </w:tc>
      </w:tr>
      <w:tr w14:paraId="136CD9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72DB1464">
            <w:pPr>
              <w:kinsoku w:val="0"/>
              <w:overflowPunct w:val="0"/>
              <w:spacing w:line="240" w:lineRule="auto"/>
              <w:ind w:firstLine="0" w:firstLineChars="0"/>
              <w:jc w:val="center"/>
              <w:rPr>
                <w:rFonts w:hint="eastAsia" w:ascii="宋体" w:hAnsi="宋体" w:cs="宋体"/>
                <w:color w:val="auto"/>
                <w:sz w:val="21"/>
                <w:szCs w:val="21"/>
              </w:rPr>
            </w:pPr>
          </w:p>
        </w:tc>
        <w:tc>
          <w:tcPr>
            <w:tcW w:w="489" w:type="pct"/>
            <w:vAlign w:val="center"/>
          </w:tcPr>
          <w:p w14:paraId="59AA25B4">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6F756173">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05286AAC">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7A90FF8E">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27A8D7D5">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7DEB27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51F120E1">
            <w:pPr>
              <w:kinsoku w:val="0"/>
              <w:overflowPunct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硝酸盐氮</w:t>
            </w:r>
          </w:p>
        </w:tc>
        <w:tc>
          <w:tcPr>
            <w:tcW w:w="489" w:type="pct"/>
            <w:vAlign w:val="center"/>
          </w:tcPr>
          <w:p w14:paraId="2A873207">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1F970BAA">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00A7396D">
            <w:pPr>
              <w:widowControl/>
              <w:spacing w:line="240" w:lineRule="auto"/>
              <w:ind w:firstLine="0" w:firstLineChars="0"/>
              <w:jc w:val="center"/>
              <w:textAlignment w:val="center"/>
              <w:rPr>
                <w:color w:val="auto"/>
                <w:sz w:val="21"/>
                <w:szCs w:val="21"/>
              </w:rPr>
            </w:pPr>
            <w:r>
              <w:rPr>
                <w:color w:val="auto"/>
                <w:kern w:val="0"/>
                <w:sz w:val="21"/>
                <w:szCs w:val="21"/>
                <w:lang w:bidi="ar"/>
              </w:rPr>
              <w:t>1.10</w:t>
            </w:r>
          </w:p>
        </w:tc>
        <w:tc>
          <w:tcPr>
            <w:tcW w:w="849" w:type="pct"/>
            <w:vAlign w:val="center"/>
          </w:tcPr>
          <w:p w14:paraId="2A52B4B6">
            <w:pPr>
              <w:widowControl/>
              <w:spacing w:line="240" w:lineRule="auto"/>
              <w:ind w:firstLine="0" w:firstLineChars="0"/>
              <w:jc w:val="center"/>
              <w:textAlignment w:val="center"/>
              <w:rPr>
                <w:color w:val="auto"/>
                <w:sz w:val="21"/>
                <w:szCs w:val="21"/>
              </w:rPr>
            </w:pPr>
            <w:r>
              <w:rPr>
                <w:color w:val="auto"/>
                <w:kern w:val="0"/>
                <w:sz w:val="21"/>
                <w:szCs w:val="21"/>
                <w:lang w:bidi="ar"/>
              </w:rPr>
              <w:t>1.07</w:t>
            </w:r>
          </w:p>
        </w:tc>
        <w:tc>
          <w:tcPr>
            <w:tcW w:w="833" w:type="pct"/>
            <w:vAlign w:val="center"/>
          </w:tcPr>
          <w:p w14:paraId="41EB60BE">
            <w:pPr>
              <w:widowControl/>
              <w:spacing w:line="240" w:lineRule="auto"/>
              <w:ind w:firstLine="0" w:firstLineChars="0"/>
              <w:jc w:val="center"/>
              <w:textAlignment w:val="center"/>
              <w:rPr>
                <w:color w:val="auto"/>
                <w:sz w:val="21"/>
                <w:szCs w:val="21"/>
              </w:rPr>
            </w:pPr>
            <w:r>
              <w:rPr>
                <w:color w:val="auto"/>
                <w:kern w:val="0"/>
                <w:sz w:val="21"/>
                <w:szCs w:val="21"/>
                <w:lang w:bidi="ar"/>
              </w:rPr>
              <w:t>1.09</w:t>
            </w:r>
          </w:p>
        </w:tc>
      </w:tr>
      <w:tr w14:paraId="7525F4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4168DCBD">
            <w:pPr>
              <w:kinsoku w:val="0"/>
              <w:overflowPunct w:val="0"/>
              <w:spacing w:line="240" w:lineRule="auto"/>
              <w:ind w:firstLine="0" w:firstLineChars="0"/>
              <w:jc w:val="center"/>
              <w:rPr>
                <w:rFonts w:hint="eastAsia" w:ascii="宋体" w:hAnsi="宋体" w:cs="宋体"/>
                <w:color w:val="auto"/>
                <w:sz w:val="21"/>
                <w:szCs w:val="21"/>
              </w:rPr>
            </w:pPr>
          </w:p>
        </w:tc>
        <w:tc>
          <w:tcPr>
            <w:tcW w:w="489" w:type="pct"/>
            <w:vAlign w:val="center"/>
          </w:tcPr>
          <w:p w14:paraId="6EE90684">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7CABD735">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676C03C3">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35D94541">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6B429A4A">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0451F0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trPr>
        <w:tc>
          <w:tcPr>
            <w:tcW w:w="1052" w:type="pct"/>
            <w:vMerge w:val="restart"/>
            <w:vAlign w:val="center"/>
          </w:tcPr>
          <w:p w14:paraId="4C1846B1">
            <w:pPr>
              <w:kinsoku w:val="0"/>
              <w:overflowPunct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亚硝酸盐氮</w:t>
            </w:r>
          </w:p>
        </w:tc>
        <w:tc>
          <w:tcPr>
            <w:tcW w:w="489" w:type="pct"/>
            <w:vAlign w:val="center"/>
          </w:tcPr>
          <w:p w14:paraId="5A5CCF7D">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3590CA6C">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0EB26D2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6E1305F3">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6AD83ABA">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7AD077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68CCC7C">
            <w:pPr>
              <w:kinsoku w:val="0"/>
              <w:overflowPunct w:val="0"/>
              <w:spacing w:line="240" w:lineRule="auto"/>
              <w:ind w:firstLine="0" w:firstLineChars="0"/>
              <w:jc w:val="center"/>
              <w:rPr>
                <w:color w:val="auto"/>
                <w:spacing w:val="-19"/>
                <w:sz w:val="21"/>
                <w:szCs w:val="21"/>
              </w:rPr>
            </w:pPr>
          </w:p>
        </w:tc>
        <w:tc>
          <w:tcPr>
            <w:tcW w:w="489" w:type="pct"/>
            <w:vAlign w:val="center"/>
          </w:tcPr>
          <w:p w14:paraId="728DA4BC">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3EF5AB85">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71C1E475">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36663FDC">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0BACAF5F">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61435C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2A91A8DA">
            <w:pPr>
              <w:kinsoku w:val="0"/>
              <w:overflowPunct w:val="0"/>
              <w:spacing w:line="240" w:lineRule="auto"/>
              <w:ind w:firstLine="0" w:firstLineChars="0"/>
              <w:jc w:val="center"/>
              <w:rPr>
                <w:color w:val="auto"/>
                <w:spacing w:val="-9"/>
                <w:sz w:val="21"/>
                <w:szCs w:val="21"/>
              </w:rPr>
            </w:pPr>
            <w:r>
              <w:rPr>
                <w:color w:val="auto"/>
                <w:spacing w:val="-9"/>
                <w:sz w:val="21"/>
                <w:szCs w:val="21"/>
              </w:rPr>
              <w:t>钾（K</w:t>
            </w:r>
            <w:r>
              <w:rPr>
                <w:color w:val="auto"/>
                <w:spacing w:val="-9"/>
                <w:position w:val="7"/>
                <w:sz w:val="21"/>
                <w:szCs w:val="21"/>
                <w:vertAlign w:val="superscript"/>
              </w:rPr>
              <w:t>+</w:t>
            </w:r>
            <w:r>
              <w:rPr>
                <w:color w:val="auto"/>
                <w:spacing w:val="-9"/>
                <w:sz w:val="21"/>
                <w:szCs w:val="21"/>
              </w:rPr>
              <w:t>）</w:t>
            </w:r>
          </w:p>
        </w:tc>
        <w:tc>
          <w:tcPr>
            <w:tcW w:w="489" w:type="pct"/>
            <w:vAlign w:val="center"/>
          </w:tcPr>
          <w:p w14:paraId="31078CE3">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09B4A434">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720C1A28">
            <w:pPr>
              <w:widowControl/>
              <w:spacing w:line="240" w:lineRule="auto"/>
              <w:ind w:firstLine="0" w:firstLineChars="0"/>
              <w:jc w:val="center"/>
              <w:textAlignment w:val="center"/>
              <w:rPr>
                <w:color w:val="auto"/>
                <w:sz w:val="21"/>
                <w:szCs w:val="21"/>
              </w:rPr>
            </w:pPr>
            <w:r>
              <w:rPr>
                <w:color w:val="auto"/>
                <w:kern w:val="0"/>
                <w:sz w:val="21"/>
                <w:szCs w:val="21"/>
                <w:lang w:bidi="ar"/>
              </w:rPr>
              <w:t>5.42</w:t>
            </w:r>
          </w:p>
        </w:tc>
        <w:tc>
          <w:tcPr>
            <w:tcW w:w="849" w:type="pct"/>
            <w:vAlign w:val="center"/>
          </w:tcPr>
          <w:p w14:paraId="5554645F">
            <w:pPr>
              <w:widowControl/>
              <w:spacing w:line="240" w:lineRule="auto"/>
              <w:ind w:firstLine="0" w:firstLineChars="0"/>
              <w:jc w:val="center"/>
              <w:textAlignment w:val="center"/>
              <w:rPr>
                <w:color w:val="auto"/>
                <w:sz w:val="21"/>
                <w:szCs w:val="21"/>
              </w:rPr>
            </w:pPr>
            <w:r>
              <w:rPr>
                <w:color w:val="auto"/>
                <w:kern w:val="0"/>
                <w:sz w:val="21"/>
                <w:szCs w:val="21"/>
                <w:lang w:bidi="ar"/>
              </w:rPr>
              <w:t>7.17</w:t>
            </w:r>
          </w:p>
        </w:tc>
        <w:tc>
          <w:tcPr>
            <w:tcW w:w="833" w:type="pct"/>
            <w:vAlign w:val="center"/>
          </w:tcPr>
          <w:p w14:paraId="219B6376">
            <w:pPr>
              <w:widowControl/>
              <w:spacing w:line="240" w:lineRule="auto"/>
              <w:ind w:firstLine="0" w:firstLineChars="0"/>
              <w:jc w:val="center"/>
              <w:textAlignment w:val="center"/>
              <w:rPr>
                <w:color w:val="auto"/>
                <w:sz w:val="21"/>
                <w:szCs w:val="21"/>
              </w:rPr>
            </w:pPr>
            <w:r>
              <w:rPr>
                <w:color w:val="auto"/>
                <w:kern w:val="0"/>
                <w:sz w:val="21"/>
                <w:szCs w:val="21"/>
                <w:lang w:bidi="ar"/>
              </w:rPr>
              <w:t>5.64</w:t>
            </w:r>
          </w:p>
        </w:tc>
      </w:tr>
      <w:tr w14:paraId="506C01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52" w:type="pct"/>
            <w:vMerge w:val="continue"/>
            <w:vAlign w:val="center"/>
          </w:tcPr>
          <w:p w14:paraId="70377198">
            <w:pPr>
              <w:kinsoku w:val="0"/>
              <w:overflowPunct w:val="0"/>
              <w:spacing w:line="240" w:lineRule="auto"/>
              <w:ind w:firstLine="0" w:firstLineChars="0"/>
              <w:jc w:val="center"/>
              <w:rPr>
                <w:color w:val="auto"/>
                <w:spacing w:val="-9"/>
                <w:sz w:val="21"/>
                <w:szCs w:val="21"/>
              </w:rPr>
            </w:pPr>
          </w:p>
        </w:tc>
        <w:tc>
          <w:tcPr>
            <w:tcW w:w="489" w:type="pct"/>
            <w:vAlign w:val="center"/>
          </w:tcPr>
          <w:p w14:paraId="1A0DCCB5">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1E72F23B">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3AC376EF">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49" w:type="pct"/>
            <w:vAlign w:val="center"/>
          </w:tcPr>
          <w:p w14:paraId="77B67CD2">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33" w:type="pct"/>
            <w:vAlign w:val="center"/>
          </w:tcPr>
          <w:p w14:paraId="2EDF87DD">
            <w:pPr>
              <w:kinsoku w:val="0"/>
              <w:overflowPunct w:val="0"/>
              <w:spacing w:line="240" w:lineRule="auto"/>
              <w:ind w:firstLine="0" w:firstLineChars="0"/>
              <w:jc w:val="center"/>
              <w:rPr>
                <w:color w:val="auto"/>
                <w:sz w:val="21"/>
                <w:szCs w:val="21"/>
              </w:rPr>
            </w:pPr>
            <w:r>
              <w:rPr>
                <w:rFonts w:hint="eastAsia"/>
                <w:color w:val="auto"/>
                <w:sz w:val="21"/>
                <w:szCs w:val="21"/>
              </w:rPr>
              <w:t>—</w:t>
            </w:r>
          </w:p>
        </w:tc>
      </w:tr>
      <w:tr w14:paraId="1A89CC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5A8736E2">
            <w:pPr>
              <w:kinsoku w:val="0"/>
              <w:overflowPunct w:val="0"/>
              <w:spacing w:line="240" w:lineRule="auto"/>
              <w:ind w:firstLine="0" w:firstLineChars="0"/>
              <w:jc w:val="center"/>
              <w:rPr>
                <w:color w:val="auto"/>
                <w:sz w:val="21"/>
                <w:szCs w:val="21"/>
              </w:rPr>
            </w:pPr>
            <w:r>
              <w:rPr>
                <w:color w:val="auto"/>
                <w:sz w:val="21"/>
                <w:szCs w:val="21"/>
              </w:rPr>
              <w:t>钠（Na</w:t>
            </w:r>
            <w:r>
              <w:rPr>
                <w:color w:val="auto"/>
                <w:position w:val="7"/>
                <w:sz w:val="21"/>
                <w:szCs w:val="21"/>
                <w:vertAlign w:val="superscript"/>
              </w:rPr>
              <w:t>+</w:t>
            </w:r>
            <w:r>
              <w:rPr>
                <w:color w:val="auto"/>
                <w:sz w:val="21"/>
                <w:szCs w:val="21"/>
              </w:rPr>
              <w:t>）</w:t>
            </w:r>
          </w:p>
        </w:tc>
        <w:tc>
          <w:tcPr>
            <w:tcW w:w="489" w:type="pct"/>
            <w:vAlign w:val="center"/>
          </w:tcPr>
          <w:p w14:paraId="10515B30">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1C24072C">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D33E872">
            <w:pPr>
              <w:widowControl/>
              <w:spacing w:line="240" w:lineRule="auto"/>
              <w:ind w:firstLine="0" w:firstLineChars="0"/>
              <w:jc w:val="center"/>
              <w:textAlignment w:val="center"/>
              <w:rPr>
                <w:color w:val="auto"/>
                <w:sz w:val="21"/>
                <w:szCs w:val="21"/>
              </w:rPr>
            </w:pPr>
            <w:r>
              <w:rPr>
                <w:color w:val="auto"/>
                <w:kern w:val="0"/>
                <w:sz w:val="21"/>
                <w:szCs w:val="21"/>
                <w:lang w:bidi="ar"/>
              </w:rPr>
              <w:t>24.8</w:t>
            </w:r>
          </w:p>
        </w:tc>
        <w:tc>
          <w:tcPr>
            <w:tcW w:w="849" w:type="pct"/>
            <w:vAlign w:val="center"/>
          </w:tcPr>
          <w:p w14:paraId="3B691F80">
            <w:pPr>
              <w:widowControl/>
              <w:spacing w:line="240" w:lineRule="auto"/>
              <w:ind w:firstLine="0" w:firstLineChars="0"/>
              <w:jc w:val="center"/>
              <w:textAlignment w:val="center"/>
              <w:rPr>
                <w:color w:val="auto"/>
                <w:sz w:val="21"/>
                <w:szCs w:val="21"/>
              </w:rPr>
            </w:pPr>
            <w:r>
              <w:rPr>
                <w:color w:val="auto"/>
                <w:kern w:val="0"/>
                <w:sz w:val="21"/>
                <w:szCs w:val="21"/>
                <w:lang w:bidi="ar"/>
              </w:rPr>
              <w:t>24.1</w:t>
            </w:r>
          </w:p>
        </w:tc>
        <w:tc>
          <w:tcPr>
            <w:tcW w:w="833" w:type="pct"/>
            <w:vAlign w:val="center"/>
          </w:tcPr>
          <w:p w14:paraId="4AEA5348">
            <w:pPr>
              <w:widowControl/>
              <w:spacing w:line="240" w:lineRule="auto"/>
              <w:ind w:firstLine="0" w:firstLineChars="0"/>
              <w:jc w:val="center"/>
              <w:textAlignment w:val="center"/>
              <w:rPr>
                <w:color w:val="auto"/>
                <w:sz w:val="21"/>
                <w:szCs w:val="21"/>
              </w:rPr>
            </w:pPr>
            <w:r>
              <w:rPr>
                <w:color w:val="auto"/>
                <w:kern w:val="0"/>
                <w:sz w:val="21"/>
                <w:szCs w:val="21"/>
                <w:lang w:bidi="ar"/>
              </w:rPr>
              <w:t>24.5</w:t>
            </w:r>
          </w:p>
        </w:tc>
      </w:tr>
      <w:tr w14:paraId="0BABB4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3379C798">
            <w:pPr>
              <w:kinsoku w:val="0"/>
              <w:overflowPunct w:val="0"/>
              <w:spacing w:line="240" w:lineRule="auto"/>
              <w:ind w:firstLine="0" w:firstLineChars="0"/>
              <w:jc w:val="center"/>
              <w:rPr>
                <w:color w:val="auto"/>
                <w:sz w:val="21"/>
                <w:szCs w:val="21"/>
              </w:rPr>
            </w:pPr>
          </w:p>
        </w:tc>
        <w:tc>
          <w:tcPr>
            <w:tcW w:w="489" w:type="pct"/>
            <w:vAlign w:val="center"/>
          </w:tcPr>
          <w:p w14:paraId="61EAE1CA">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0AE4FED8">
            <w:pPr>
              <w:kinsoku w:val="0"/>
              <w:overflowPunct w:val="0"/>
              <w:spacing w:line="240" w:lineRule="auto"/>
              <w:ind w:firstLine="0" w:firstLineChars="0"/>
              <w:jc w:val="center"/>
              <w:rPr>
                <w:color w:val="auto"/>
                <w:sz w:val="21"/>
                <w:szCs w:val="21"/>
              </w:rPr>
            </w:pPr>
            <w:r>
              <w:rPr>
                <w:color w:val="auto"/>
                <w:sz w:val="21"/>
                <w:szCs w:val="21"/>
              </w:rPr>
              <w:t>/</w:t>
            </w:r>
          </w:p>
        </w:tc>
        <w:tc>
          <w:tcPr>
            <w:tcW w:w="1003" w:type="pct"/>
            <w:shd w:val="clear" w:color="auto" w:fill="auto"/>
            <w:vAlign w:val="center"/>
          </w:tcPr>
          <w:p w14:paraId="0E114CA2">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49" w:type="pct"/>
            <w:shd w:val="clear" w:color="auto" w:fill="auto"/>
            <w:vAlign w:val="center"/>
          </w:tcPr>
          <w:p w14:paraId="48B5A41D">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33" w:type="pct"/>
            <w:shd w:val="clear" w:color="auto" w:fill="auto"/>
            <w:vAlign w:val="center"/>
          </w:tcPr>
          <w:p w14:paraId="7B65CE63">
            <w:pPr>
              <w:kinsoku w:val="0"/>
              <w:overflowPunct w:val="0"/>
              <w:spacing w:line="240" w:lineRule="auto"/>
              <w:ind w:firstLine="0" w:firstLineChars="0"/>
              <w:jc w:val="center"/>
              <w:rPr>
                <w:color w:val="auto"/>
                <w:sz w:val="21"/>
                <w:szCs w:val="21"/>
              </w:rPr>
            </w:pPr>
            <w:r>
              <w:rPr>
                <w:rFonts w:hint="eastAsia"/>
                <w:color w:val="auto"/>
                <w:sz w:val="21"/>
                <w:szCs w:val="21"/>
              </w:rPr>
              <w:t>—</w:t>
            </w:r>
          </w:p>
        </w:tc>
      </w:tr>
      <w:tr w14:paraId="2B6E1F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554070A0">
            <w:pPr>
              <w:kinsoku w:val="0"/>
              <w:overflowPunct w:val="0"/>
              <w:spacing w:line="240" w:lineRule="auto"/>
              <w:ind w:firstLine="0" w:firstLineChars="0"/>
              <w:jc w:val="center"/>
              <w:rPr>
                <w:color w:val="auto"/>
                <w:sz w:val="21"/>
                <w:szCs w:val="21"/>
              </w:rPr>
            </w:pPr>
            <w:r>
              <w:rPr>
                <w:color w:val="auto"/>
                <w:sz w:val="21"/>
                <w:szCs w:val="21"/>
              </w:rPr>
              <w:t>钙（Ca</w:t>
            </w:r>
            <w:r>
              <w:rPr>
                <w:color w:val="auto"/>
                <w:position w:val="7"/>
                <w:sz w:val="21"/>
                <w:szCs w:val="21"/>
                <w:vertAlign w:val="superscript"/>
              </w:rPr>
              <w:t>2+</w:t>
            </w:r>
            <w:r>
              <w:rPr>
                <w:color w:val="auto"/>
                <w:sz w:val="21"/>
                <w:szCs w:val="21"/>
              </w:rPr>
              <w:t>）</w:t>
            </w:r>
          </w:p>
        </w:tc>
        <w:tc>
          <w:tcPr>
            <w:tcW w:w="489" w:type="pct"/>
            <w:vAlign w:val="center"/>
          </w:tcPr>
          <w:p w14:paraId="242D810B">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00BC5173">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538D6312">
            <w:pPr>
              <w:widowControl/>
              <w:spacing w:line="240" w:lineRule="auto"/>
              <w:ind w:firstLine="0" w:firstLineChars="0"/>
              <w:jc w:val="center"/>
              <w:textAlignment w:val="center"/>
              <w:rPr>
                <w:color w:val="auto"/>
                <w:sz w:val="21"/>
                <w:szCs w:val="21"/>
              </w:rPr>
            </w:pPr>
            <w:r>
              <w:rPr>
                <w:color w:val="auto"/>
                <w:kern w:val="0"/>
                <w:sz w:val="21"/>
                <w:szCs w:val="21"/>
                <w:lang w:bidi="ar"/>
              </w:rPr>
              <w:t>45.3</w:t>
            </w:r>
          </w:p>
        </w:tc>
        <w:tc>
          <w:tcPr>
            <w:tcW w:w="849" w:type="pct"/>
            <w:vAlign w:val="center"/>
          </w:tcPr>
          <w:p w14:paraId="721E8F84">
            <w:pPr>
              <w:widowControl/>
              <w:spacing w:line="240" w:lineRule="auto"/>
              <w:ind w:firstLine="0" w:firstLineChars="0"/>
              <w:jc w:val="center"/>
              <w:textAlignment w:val="center"/>
              <w:rPr>
                <w:color w:val="auto"/>
                <w:sz w:val="21"/>
                <w:szCs w:val="21"/>
              </w:rPr>
            </w:pPr>
            <w:r>
              <w:rPr>
                <w:color w:val="auto"/>
                <w:kern w:val="0"/>
                <w:sz w:val="21"/>
                <w:szCs w:val="21"/>
                <w:lang w:bidi="ar"/>
              </w:rPr>
              <w:t>47.4</w:t>
            </w:r>
          </w:p>
        </w:tc>
        <w:tc>
          <w:tcPr>
            <w:tcW w:w="833" w:type="pct"/>
            <w:vAlign w:val="center"/>
          </w:tcPr>
          <w:p w14:paraId="1974A86D">
            <w:pPr>
              <w:widowControl/>
              <w:spacing w:line="240" w:lineRule="auto"/>
              <w:ind w:firstLine="0" w:firstLineChars="0"/>
              <w:jc w:val="center"/>
              <w:textAlignment w:val="center"/>
              <w:rPr>
                <w:color w:val="auto"/>
                <w:sz w:val="21"/>
                <w:szCs w:val="21"/>
              </w:rPr>
            </w:pPr>
            <w:r>
              <w:rPr>
                <w:color w:val="auto"/>
                <w:kern w:val="0"/>
                <w:sz w:val="21"/>
                <w:szCs w:val="21"/>
                <w:lang w:bidi="ar"/>
              </w:rPr>
              <w:t>45.5</w:t>
            </w:r>
          </w:p>
        </w:tc>
      </w:tr>
      <w:tr w14:paraId="579D7C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3ABF7E7C">
            <w:pPr>
              <w:kinsoku w:val="0"/>
              <w:overflowPunct w:val="0"/>
              <w:spacing w:line="240" w:lineRule="auto"/>
              <w:ind w:firstLine="0" w:firstLineChars="0"/>
              <w:jc w:val="center"/>
              <w:rPr>
                <w:color w:val="auto"/>
                <w:sz w:val="21"/>
                <w:szCs w:val="21"/>
              </w:rPr>
            </w:pPr>
          </w:p>
        </w:tc>
        <w:tc>
          <w:tcPr>
            <w:tcW w:w="489" w:type="pct"/>
            <w:vAlign w:val="center"/>
          </w:tcPr>
          <w:p w14:paraId="5F643A94">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2328304F">
            <w:pPr>
              <w:kinsoku w:val="0"/>
              <w:overflowPunct w:val="0"/>
              <w:spacing w:line="240" w:lineRule="auto"/>
              <w:ind w:firstLine="0" w:firstLineChars="0"/>
              <w:jc w:val="center"/>
              <w:rPr>
                <w:color w:val="auto"/>
                <w:sz w:val="21"/>
                <w:szCs w:val="21"/>
              </w:rPr>
            </w:pPr>
            <w:r>
              <w:rPr>
                <w:color w:val="auto"/>
                <w:sz w:val="21"/>
                <w:szCs w:val="21"/>
              </w:rPr>
              <w:t>/</w:t>
            </w:r>
          </w:p>
        </w:tc>
        <w:tc>
          <w:tcPr>
            <w:tcW w:w="1003" w:type="pct"/>
            <w:shd w:val="clear" w:color="auto" w:fill="auto"/>
            <w:vAlign w:val="center"/>
          </w:tcPr>
          <w:p w14:paraId="57D219CB">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49" w:type="pct"/>
            <w:shd w:val="clear" w:color="auto" w:fill="auto"/>
            <w:vAlign w:val="center"/>
          </w:tcPr>
          <w:p w14:paraId="32346B72">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33" w:type="pct"/>
            <w:shd w:val="clear" w:color="auto" w:fill="auto"/>
            <w:vAlign w:val="center"/>
          </w:tcPr>
          <w:p w14:paraId="200AC111">
            <w:pPr>
              <w:kinsoku w:val="0"/>
              <w:overflowPunct w:val="0"/>
              <w:spacing w:line="240" w:lineRule="auto"/>
              <w:ind w:firstLine="0" w:firstLineChars="0"/>
              <w:jc w:val="center"/>
              <w:rPr>
                <w:color w:val="auto"/>
                <w:sz w:val="21"/>
                <w:szCs w:val="21"/>
              </w:rPr>
            </w:pPr>
            <w:r>
              <w:rPr>
                <w:rFonts w:hint="eastAsia"/>
                <w:color w:val="auto"/>
                <w:sz w:val="21"/>
                <w:szCs w:val="21"/>
              </w:rPr>
              <w:t>—</w:t>
            </w:r>
          </w:p>
        </w:tc>
      </w:tr>
      <w:tr w14:paraId="069856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4FACAE27">
            <w:pPr>
              <w:kinsoku w:val="0"/>
              <w:overflowPunct w:val="0"/>
              <w:spacing w:line="240" w:lineRule="auto"/>
              <w:ind w:firstLine="0" w:firstLineChars="0"/>
              <w:jc w:val="center"/>
              <w:rPr>
                <w:color w:val="auto"/>
                <w:sz w:val="21"/>
                <w:szCs w:val="21"/>
              </w:rPr>
            </w:pPr>
            <w:r>
              <w:rPr>
                <w:color w:val="auto"/>
                <w:sz w:val="21"/>
                <w:szCs w:val="21"/>
              </w:rPr>
              <w:t>镁（Mg</w:t>
            </w:r>
            <w:r>
              <w:rPr>
                <w:color w:val="auto"/>
                <w:position w:val="7"/>
                <w:sz w:val="21"/>
                <w:szCs w:val="21"/>
                <w:vertAlign w:val="superscript"/>
              </w:rPr>
              <w:t>2+</w:t>
            </w:r>
            <w:r>
              <w:rPr>
                <w:color w:val="auto"/>
                <w:sz w:val="21"/>
                <w:szCs w:val="21"/>
              </w:rPr>
              <w:t>）</w:t>
            </w:r>
          </w:p>
        </w:tc>
        <w:tc>
          <w:tcPr>
            <w:tcW w:w="489" w:type="pct"/>
            <w:vAlign w:val="center"/>
          </w:tcPr>
          <w:p w14:paraId="2EA1E72F">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142EC7D3">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61B4A3A5">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16.8 </w:t>
            </w:r>
          </w:p>
        </w:tc>
        <w:tc>
          <w:tcPr>
            <w:tcW w:w="849" w:type="pct"/>
            <w:vAlign w:val="center"/>
          </w:tcPr>
          <w:p w14:paraId="69F6E168">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17.2 </w:t>
            </w:r>
          </w:p>
        </w:tc>
        <w:tc>
          <w:tcPr>
            <w:tcW w:w="833" w:type="pct"/>
            <w:vAlign w:val="center"/>
          </w:tcPr>
          <w:p w14:paraId="3F324546">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17.0 </w:t>
            </w:r>
          </w:p>
        </w:tc>
      </w:tr>
      <w:tr w14:paraId="15EF0F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1D4A0EBF">
            <w:pPr>
              <w:kinsoku w:val="0"/>
              <w:overflowPunct w:val="0"/>
              <w:spacing w:line="240" w:lineRule="auto"/>
              <w:ind w:firstLine="0" w:firstLineChars="0"/>
              <w:jc w:val="center"/>
              <w:rPr>
                <w:color w:val="auto"/>
                <w:sz w:val="21"/>
                <w:szCs w:val="21"/>
              </w:rPr>
            </w:pPr>
          </w:p>
        </w:tc>
        <w:tc>
          <w:tcPr>
            <w:tcW w:w="489" w:type="pct"/>
            <w:vAlign w:val="center"/>
          </w:tcPr>
          <w:p w14:paraId="3D24656B">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38537DE8">
            <w:pPr>
              <w:kinsoku w:val="0"/>
              <w:overflowPunct w:val="0"/>
              <w:spacing w:line="240" w:lineRule="auto"/>
              <w:ind w:firstLine="0" w:firstLineChars="0"/>
              <w:jc w:val="center"/>
              <w:rPr>
                <w:color w:val="auto"/>
                <w:sz w:val="21"/>
                <w:szCs w:val="21"/>
              </w:rPr>
            </w:pPr>
            <w:r>
              <w:rPr>
                <w:color w:val="auto"/>
                <w:sz w:val="21"/>
                <w:szCs w:val="21"/>
              </w:rPr>
              <w:t>/</w:t>
            </w:r>
          </w:p>
        </w:tc>
        <w:tc>
          <w:tcPr>
            <w:tcW w:w="1003" w:type="pct"/>
            <w:shd w:val="clear" w:color="auto" w:fill="auto"/>
            <w:vAlign w:val="center"/>
          </w:tcPr>
          <w:p w14:paraId="7612046B">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49" w:type="pct"/>
            <w:shd w:val="clear" w:color="auto" w:fill="auto"/>
            <w:vAlign w:val="center"/>
          </w:tcPr>
          <w:p w14:paraId="2C408697">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33" w:type="pct"/>
            <w:shd w:val="clear" w:color="auto" w:fill="auto"/>
            <w:vAlign w:val="center"/>
          </w:tcPr>
          <w:p w14:paraId="4278234D">
            <w:pPr>
              <w:kinsoku w:val="0"/>
              <w:overflowPunct w:val="0"/>
              <w:spacing w:line="240" w:lineRule="auto"/>
              <w:ind w:firstLine="0" w:firstLineChars="0"/>
              <w:jc w:val="center"/>
              <w:rPr>
                <w:color w:val="auto"/>
                <w:sz w:val="21"/>
                <w:szCs w:val="21"/>
              </w:rPr>
            </w:pPr>
            <w:r>
              <w:rPr>
                <w:rFonts w:hint="eastAsia"/>
                <w:color w:val="auto"/>
                <w:sz w:val="21"/>
                <w:szCs w:val="21"/>
              </w:rPr>
              <w:t>—</w:t>
            </w:r>
          </w:p>
        </w:tc>
      </w:tr>
      <w:tr w14:paraId="6946A5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0F382282">
            <w:pPr>
              <w:kinsoku w:val="0"/>
              <w:overflowPunct w:val="0"/>
              <w:spacing w:line="240" w:lineRule="auto"/>
              <w:ind w:firstLine="0" w:firstLineChars="0"/>
              <w:jc w:val="center"/>
              <w:rPr>
                <w:color w:val="auto"/>
                <w:sz w:val="21"/>
                <w:szCs w:val="21"/>
              </w:rPr>
            </w:pPr>
            <w:r>
              <w:rPr>
                <w:color w:val="auto"/>
                <w:sz w:val="21"/>
                <w:szCs w:val="21"/>
              </w:rPr>
              <w:t>碳酸盐(CO</w:t>
            </w:r>
            <w:r>
              <w:rPr>
                <w:color w:val="auto"/>
                <w:sz w:val="21"/>
                <w:szCs w:val="21"/>
                <w:vertAlign w:val="subscript"/>
              </w:rPr>
              <w:t>3</w:t>
            </w:r>
            <w:r>
              <w:rPr>
                <w:color w:val="auto"/>
                <w:position w:val="7"/>
                <w:sz w:val="21"/>
                <w:szCs w:val="21"/>
                <w:vertAlign w:val="superscript"/>
              </w:rPr>
              <w:t>2-</w:t>
            </w:r>
            <w:r>
              <w:rPr>
                <w:color w:val="auto"/>
                <w:sz w:val="21"/>
                <w:szCs w:val="21"/>
              </w:rPr>
              <w:t>）</w:t>
            </w:r>
          </w:p>
        </w:tc>
        <w:tc>
          <w:tcPr>
            <w:tcW w:w="489" w:type="pct"/>
            <w:vAlign w:val="center"/>
          </w:tcPr>
          <w:p w14:paraId="77908879">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7ED09372">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2B5889B">
            <w:pPr>
              <w:widowControl/>
              <w:spacing w:line="240" w:lineRule="auto"/>
              <w:ind w:firstLine="0" w:firstLineChars="0"/>
              <w:jc w:val="center"/>
              <w:textAlignment w:val="center"/>
              <w:rPr>
                <w:color w:val="auto"/>
                <w:sz w:val="21"/>
                <w:szCs w:val="21"/>
              </w:rPr>
            </w:pPr>
            <w:r>
              <w:rPr>
                <w:color w:val="auto"/>
                <w:sz w:val="21"/>
                <w:szCs w:val="21"/>
                <w:lang w:bidi="ar"/>
              </w:rPr>
              <w:t>ND</w:t>
            </w:r>
          </w:p>
        </w:tc>
        <w:tc>
          <w:tcPr>
            <w:tcW w:w="849" w:type="pct"/>
            <w:vAlign w:val="center"/>
          </w:tcPr>
          <w:p w14:paraId="29467674">
            <w:pPr>
              <w:widowControl/>
              <w:spacing w:line="240" w:lineRule="auto"/>
              <w:ind w:firstLine="0" w:firstLineChars="0"/>
              <w:jc w:val="center"/>
              <w:textAlignment w:val="center"/>
              <w:rPr>
                <w:color w:val="auto"/>
                <w:sz w:val="21"/>
                <w:szCs w:val="21"/>
              </w:rPr>
            </w:pPr>
            <w:r>
              <w:rPr>
                <w:color w:val="auto"/>
                <w:sz w:val="21"/>
                <w:szCs w:val="21"/>
                <w:lang w:bidi="ar"/>
              </w:rPr>
              <w:t>ND</w:t>
            </w:r>
          </w:p>
        </w:tc>
        <w:tc>
          <w:tcPr>
            <w:tcW w:w="833" w:type="pct"/>
            <w:vAlign w:val="center"/>
          </w:tcPr>
          <w:p w14:paraId="0F3B194F">
            <w:pPr>
              <w:widowControl/>
              <w:spacing w:line="240" w:lineRule="auto"/>
              <w:ind w:firstLine="0" w:firstLineChars="0"/>
              <w:jc w:val="center"/>
              <w:textAlignment w:val="center"/>
              <w:rPr>
                <w:color w:val="auto"/>
                <w:sz w:val="21"/>
                <w:szCs w:val="21"/>
              </w:rPr>
            </w:pPr>
            <w:r>
              <w:rPr>
                <w:color w:val="auto"/>
                <w:sz w:val="21"/>
                <w:szCs w:val="21"/>
                <w:lang w:bidi="ar"/>
              </w:rPr>
              <w:t>ND</w:t>
            </w:r>
          </w:p>
        </w:tc>
      </w:tr>
      <w:tr w14:paraId="7220CF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63588EE">
            <w:pPr>
              <w:kinsoku w:val="0"/>
              <w:overflowPunct w:val="0"/>
              <w:spacing w:line="240" w:lineRule="auto"/>
              <w:ind w:firstLine="0" w:firstLineChars="0"/>
              <w:jc w:val="center"/>
              <w:rPr>
                <w:color w:val="auto"/>
                <w:sz w:val="21"/>
                <w:szCs w:val="21"/>
              </w:rPr>
            </w:pPr>
          </w:p>
        </w:tc>
        <w:tc>
          <w:tcPr>
            <w:tcW w:w="489" w:type="pct"/>
            <w:vAlign w:val="center"/>
          </w:tcPr>
          <w:p w14:paraId="5ED303AD">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6040EF4B">
            <w:pPr>
              <w:kinsoku w:val="0"/>
              <w:overflowPunct w:val="0"/>
              <w:spacing w:line="240" w:lineRule="auto"/>
              <w:ind w:firstLine="0" w:firstLineChars="0"/>
              <w:jc w:val="center"/>
              <w:rPr>
                <w:color w:val="auto"/>
                <w:sz w:val="21"/>
                <w:szCs w:val="21"/>
              </w:rPr>
            </w:pPr>
            <w:r>
              <w:rPr>
                <w:color w:val="auto"/>
                <w:sz w:val="21"/>
                <w:szCs w:val="21"/>
              </w:rPr>
              <w:t>/</w:t>
            </w:r>
          </w:p>
        </w:tc>
        <w:tc>
          <w:tcPr>
            <w:tcW w:w="1003" w:type="pct"/>
            <w:shd w:val="clear" w:color="auto" w:fill="auto"/>
            <w:vAlign w:val="center"/>
          </w:tcPr>
          <w:p w14:paraId="3628FC38">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49" w:type="pct"/>
            <w:shd w:val="clear" w:color="auto" w:fill="auto"/>
            <w:vAlign w:val="center"/>
          </w:tcPr>
          <w:p w14:paraId="5D60C05E">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33" w:type="pct"/>
            <w:shd w:val="clear" w:color="auto" w:fill="auto"/>
            <w:vAlign w:val="center"/>
          </w:tcPr>
          <w:p w14:paraId="63C0AFB0">
            <w:pPr>
              <w:kinsoku w:val="0"/>
              <w:overflowPunct w:val="0"/>
              <w:spacing w:line="240" w:lineRule="auto"/>
              <w:ind w:firstLine="0" w:firstLineChars="0"/>
              <w:jc w:val="center"/>
              <w:rPr>
                <w:color w:val="auto"/>
                <w:sz w:val="21"/>
                <w:szCs w:val="21"/>
              </w:rPr>
            </w:pPr>
            <w:r>
              <w:rPr>
                <w:rFonts w:hint="eastAsia"/>
                <w:color w:val="auto"/>
                <w:sz w:val="21"/>
                <w:szCs w:val="21"/>
              </w:rPr>
              <w:t>—</w:t>
            </w:r>
          </w:p>
        </w:tc>
      </w:tr>
      <w:tr w14:paraId="7E3F6D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6FB5DBF4">
            <w:pPr>
              <w:kinsoku w:val="0"/>
              <w:overflowPunct w:val="0"/>
              <w:spacing w:line="240" w:lineRule="auto"/>
              <w:ind w:firstLine="0" w:firstLineChars="0"/>
              <w:jc w:val="center"/>
              <w:rPr>
                <w:color w:val="auto"/>
                <w:sz w:val="21"/>
                <w:szCs w:val="21"/>
              </w:rPr>
            </w:pPr>
            <w:r>
              <w:rPr>
                <w:color w:val="auto"/>
                <w:sz w:val="21"/>
                <w:szCs w:val="21"/>
              </w:rPr>
              <w:t>重碳酸盐</w:t>
            </w:r>
            <w:r>
              <w:rPr>
                <w:rFonts w:hint="eastAsia"/>
                <w:color w:val="auto"/>
                <w:sz w:val="21"/>
                <w:szCs w:val="21"/>
                <w:lang w:eastAsia="zh-CN"/>
              </w:rPr>
              <w:t>（</w:t>
            </w:r>
            <w:r>
              <w:rPr>
                <w:color w:val="auto"/>
                <w:sz w:val="21"/>
                <w:szCs w:val="21"/>
              </w:rPr>
              <w:t>HCO</w:t>
            </w:r>
            <w:r>
              <w:rPr>
                <w:color w:val="auto"/>
                <w:w w:val="99"/>
                <w:sz w:val="21"/>
                <w:szCs w:val="21"/>
                <w:vertAlign w:val="subscript"/>
              </w:rPr>
              <w:t>3</w:t>
            </w:r>
            <w:r>
              <w:rPr>
                <w:color w:val="auto"/>
                <w:position w:val="7"/>
                <w:sz w:val="21"/>
                <w:szCs w:val="21"/>
                <w:vertAlign w:val="superscript"/>
              </w:rPr>
              <w:t>-</w:t>
            </w:r>
            <w:r>
              <w:rPr>
                <w:rFonts w:hint="eastAsia"/>
                <w:color w:val="auto"/>
                <w:sz w:val="21"/>
                <w:szCs w:val="21"/>
                <w:lang w:eastAsia="zh-CN"/>
              </w:rPr>
              <w:t>）</w:t>
            </w:r>
          </w:p>
        </w:tc>
        <w:tc>
          <w:tcPr>
            <w:tcW w:w="489" w:type="pct"/>
            <w:vAlign w:val="center"/>
          </w:tcPr>
          <w:p w14:paraId="2EC412CF">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331249B8">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5FA2EC5C">
            <w:pPr>
              <w:widowControl/>
              <w:spacing w:line="240" w:lineRule="auto"/>
              <w:ind w:firstLine="0" w:firstLineChars="0"/>
              <w:jc w:val="center"/>
              <w:textAlignment w:val="center"/>
              <w:rPr>
                <w:color w:val="auto"/>
                <w:sz w:val="21"/>
                <w:szCs w:val="21"/>
              </w:rPr>
            </w:pPr>
            <w:r>
              <w:rPr>
                <w:color w:val="auto"/>
                <w:kern w:val="0"/>
                <w:sz w:val="21"/>
                <w:szCs w:val="21"/>
                <w:lang w:bidi="ar"/>
              </w:rPr>
              <w:t>154</w:t>
            </w:r>
          </w:p>
        </w:tc>
        <w:tc>
          <w:tcPr>
            <w:tcW w:w="849" w:type="pct"/>
            <w:vAlign w:val="center"/>
          </w:tcPr>
          <w:p w14:paraId="0852816F">
            <w:pPr>
              <w:widowControl/>
              <w:spacing w:line="240" w:lineRule="auto"/>
              <w:ind w:firstLine="0" w:firstLineChars="0"/>
              <w:jc w:val="center"/>
              <w:textAlignment w:val="center"/>
              <w:rPr>
                <w:color w:val="auto"/>
                <w:sz w:val="21"/>
                <w:szCs w:val="21"/>
              </w:rPr>
            </w:pPr>
            <w:r>
              <w:rPr>
                <w:color w:val="auto"/>
                <w:kern w:val="0"/>
                <w:sz w:val="21"/>
                <w:szCs w:val="21"/>
                <w:lang w:bidi="ar"/>
              </w:rPr>
              <w:t>151</w:t>
            </w:r>
          </w:p>
        </w:tc>
        <w:tc>
          <w:tcPr>
            <w:tcW w:w="833" w:type="pct"/>
            <w:vAlign w:val="center"/>
          </w:tcPr>
          <w:p w14:paraId="603C240A">
            <w:pPr>
              <w:widowControl/>
              <w:spacing w:line="240" w:lineRule="auto"/>
              <w:ind w:firstLine="0" w:firstLineChars="0"/>
              <w:jc w:val="center"/>
              <w:textAlignment w:val="center"/>
              <w:rPr>
                <w:color w:val="auto"/>
                <w:sz w:val="21"/>
                <w:szCs w:val="21"/>
              </w:rPr>
            </w:pPr>
            <w:r>
              <w:rPr>
                <w:color w:val="auto"/>
                <w:kern w:val="0"/>
                <w:sz w:val="21"/>
                <w:szCs w:val="21"/>
                <w:lang w:bidi="ar"/>
              </w:rPr>
              <w:t>149</w:t>
            </w:r>
          </w:p>
        </w:tc>
      </w:tr>
      <w:tr w14:paraId="7B8BD9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625D4C5E">
            <w:pPr>
              <w:kinsoku w:val="0"/>
              <w:overflowPunct w:val="0"/>
              <w:spacing w:line="240" w:lineRule="auto"/>
              <w:ind w:firstLine="0" w:firstLineChars="0"/>
              <w:jc w:val="center"/>
              <w:rPr>
                <w:color w:val="auto"/>
                <w:sz w:val="21"/>
                <w:szCs w:val="21"/>
              </w:rPr>
            </w:pPr>
          </w:p>
        </w:tc>
        <w:tc>
          <w:tcPr>
            <w:tcW w:w="489" w:type="pct"/>
            <w:vAlign w:val="center"/>
          </w:tcPr>
          <w:p w14:paraId="3047A9A9">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4844875E">
            <w:pPr>
              <w:kinsoku w:val="0"/>
              <w:overflowPunct w:val="0"/>
              <w:spacing w:line="240" w:lineRule="auto"/>
              <w:ind w:firstLine="0" w:firstLineChars="0"/>
              <w:jc w:val="center"/>
              <w:rPr>
                <w:color w:val="auto"/>
                <w:sz w:val="21"/>
                <w:szCs w:val="21"/>
              </w:rPr>
            </w:pPr>
            <w:r>
              <w:rPr>
                <w:color w:val="auto"/>
                <w:sz w:val="21"/>
                <w:szCs w:val="21"/>
              </w:rPr>
              <w:t>/</w:t>
            </w:r>
          </w:p>
        </w:tc>
        <w:tc>
          <w:tcPr>
            <w:tcW w:w="1003" w:type="pct"/>
            <w:shd w:val="clear" w:color="auto" w:fill="auto"/>
            <w:vAlign w:val="center"/>
          </w:tcPr>
          <w:p w14:paraId="080A0C3A">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49" w:type="pct"/>
            <w:shd w:val="clear" w:color="auto" w:fill="auto"/>
            <w:vAlign w:val="center"/>
          </w:tcPr>
          <w:p w14:paraId="0483AFD7">
            <w:pPr>
              <w:kinsoku w:val="0"/>
              <w:overflowPunct w:val="0"/>
              <w:spacing w:line="240" w:lineRule="auto"/>
              <w:ind w:firstLine="0" w:firstLineChars="0"/>
              <w:jc w:val="center"/>
              <w:rPr>
                <w:color w:val="auto"/>
                <w:sz w:val="21"/>
                <w:szCs w:val="21"/>
              </w:rPr>
            </w:pPr>
            <w:r>
              <w:rPr>
                <w:rFonts w:hint="eastAsia"/>
                <w:color w:val="auto"/>
                <w:sz w:val="21"/>
                <w:szCs w:val="21"/>
              </w:rPr>
              <w:t>—</w:t>
            </w:r>
          </w:p>
        </w:tc>
        <w:tc>
          <w:tcPr>
            <w:tcW w:w="833" w:type="pct"/>
            <w:shd w:val="clear" w:color="auto" w:fill="auto"/>
            <w:vAlign w:val="center"/>
          </w:tcPr>
          <w:p w14:paraId="4AFD895F">
            <w:pPr>
              <w:kinsoku w:val="0"/>
              <w:overflowPunct w:val="0"/>
              <w:spacing w:line="240" w:lineRule="auto"/>
              <w:ind w:firstLine="0" w:firstLineChars="0"/>
              <w:jc w:val="center"/>
              <w:rPr>
                <w:color w:val="auto"/>
                <w:sz w:val="21"/>
                <w:szCs w:val="21"/>
              </w:rPr>
            </w:pPr>
            <w:r>
              <w:rPr>
                <w:rFonts w:hint="eastAsia"/>
                <w:color w:val="auto"/>
                <w:sz w:val="21"/>
                <w:szCs w:val="21"/>
              </w:rPr>
              <w:t>—</w:t>
            </w:r>
          </w:p>
        </w:tc>
      </w:tr>
      <w:tr w14:paraId="03BF5D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3F17811E">
            <w:pPr>
              <w:kinsoku w:val="0"/>
              <w:overflowPunct w:val="0"/>
              <w:spacing w:line="240" w:lineRule="auto"/>
              <w:ind w:firstLine="0" w:firstLineChars="0"/>
              <w:jc w:val="center"/>
              <w:rPr>
                <w:color w:val="auto"/>
                <w:sz w:val="21"/>
                <w:szCs w:val="21"/>
              </w:rPr>
            </w:pPr>
            <w:r>
              <w:rPr>
                <w:color w:val="auto"/>
                <w:sz w:val="21"/>
                <w:szCs w:val="21"/>
              </w:rPr>
              <w:t>砷</w:t>
            </w:r>
          </w:p>
        </w:tc>
        <w:tc>
          <w:tcPr>
            <w:tcW w:w="489" w:type="pct"/>
            <w:vAlign w:val="center"/>
          </w:tcPr>
          <w:p w14:paraId="03C139CA">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26D29E5A">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79119D5C">
            <w:pPr>
              <w:widowControl/>
              <w:spacing w:line="240" w:lineRule="auto"/>
              <w:ind w:firstLine="0" w:firstLineChars="0"/>
              <w:jc w:val="center"/>
              <w:textAlignment w:val="center"/>
              <w:rPr>
                <w:color w:val="auto"/>
                <w:sz w:val="21"/>
                <w:szCs w:val="21"/>
              </w:rPr>
            </w:pPr>
            <w:r>
              <w:rPr>
                <w:color w:val="auto"/>
                <w:sz w:val="21"/>
                <w:szCs w:val="21"/>
                <w:lang w:bidi="ar"/>
              </w:rPr>
              <w:t>ND</w:t>
            </w:r>
          </w:p>
        </w:tc>
        <w:tc>
          <w:tcPr>
            <w:tcW w:w="849" w:type="pct"/>
            <w:vAlign w:val="center"/>
          </w:tcPr>
          <w:p w14:paraId="33CEDB3E">
            <w:pPr>
              <w:widowControl/>
              <w:spacing w:line="240" w:lineRule="auto"/>
              <w:ind w:firstLine="0" w:firstLineChars="0"/>
              <w:jc w:val="center"/>
              <w:textAlignment w:val="center"/>
              <w:rPr>
                <w:color w:val="auto"/>
                <w:sz w:val="21"/>
                <w:szCs w:val="21"/>
              </w:rPr>
            </w:pPr>
            <w:r>
              <w:rPr>
                <w:color w:val="auto"/>
                <w:sz w:val="21"/>
                <w:szCs w:val="21"/>
                <w:lang w:bidi="ar"/>
              </w:rPr>
              <w:t>ND</w:t>
            </w:r>
          </w:p>
        </w:tc>
        <w:tc>
          <w:tcPr>
            <w:tcW w:w="833" w:type="pct"/>
            <w:vAlign w:val="center"/>
          </w:tcPr>
          <w:p w14:paraId="21BDA714">
            <w:pPr>
              <w:widowControl/>
              <w:spacing w:line="240" w:lineRule="auto"/>
              <w:ind w:firstLine="0" w:firstLineChars="0"/>
              <w:jc w:val="center"/>
              <w:textAlignment w:val="center"/>
              <w:rPr>
                <w:color w:val="auto"/>
                <w:sz w:val="21"/>
                <w:szCs w:val="21"/>
              </w:rPr>
            </w:pPr>
            <w:r>
              <w:rPr>
                <w:color w:val="auto"/>
                <w:sz w:val="21"/>
                <w:szCs w:val="21"/>
                <w:lang w:bidi="ar"/>
              </w:rPr>
              <w:t>ND</w:t>
            </w:r>
          </w:p>
        </w:tc>
      </w:tr>
      <w:tr w14:paraId="3880D3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atLeast"/>
        </w:trPr>
        <w:tc>
          <w:tcPr>
            <w:tcW w:w="1052" w:type="pct"/>
            <w:vMerge w:val="continue"/>
            <w:vAlign w:val="center"/>
          </w:tcPr>
          <w:p w14:paraId="5F7933D3">
            <w:pPr>
              <w:kinsoku w:val="0"/>
              <w:overflowPunct w:val="0"/>
              <w:spacing w:line="240" w:lineRule="auto"/>
              <w:ind w:firstLine="0" w:firstLineChars="0"/>
              <w:jc w:val="center"/>
              <w:rPr>
                <w:color w:val="auto"/>
                <w:sz w:val="21"/>
                <w:szCs w:val="21"/>
              </w:rPr>
            </w:pPr>
          </w:p>
        </w:tc>
        <w:tc>
          <w:tcPr>
            <w:tcW w:w="489" w:type="pct"/>
            <w:vAlign w:val="center"/>
          </w:tcPr>
          <w:p w14:paraId="47C6032A">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1274301D">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0E667173">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0B1B0300">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264ECFA6">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3BE2FB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412E231E">
            <w:pPr>
              <w:kinsoku w:val="0"/>
              <w:overflowPunct w:val="0"/>
              <w:spacing w:line="240" w:lineRule="auto"/>
              <w:ind w:firstLine="0" w:firstLineChars="0"/>
              <w:jc w:val="center"/>
              <w:rPr>
                <w:color w:val="auto"/>
                <w:sz w:val="21"/>
                <w:szCs w:val="21"/>
              </w:rPr>
            </w:pPr>
            <w:r>
              <w:rPr>
                <w:color w:val="auto"/>
                <w:sz w:val="21"/>
                <w:szCs w:val="21"/>
              </w:rPr>
              <w:t>汞</w:t>
            </w:r>
          </w:p>
        </w:tc>
        <w:tc>
          <w:tcPr>
            <w:tcW w:w="489" w:type="pct"/>
            <w:vAlign w:val="center"/>
          </w:tcPr>
          <w:p w14:paraId="22061DFA">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5FB8BEC2">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4D7B087E">
            <w:pPr>
              <w:widowControl/>
              <w:spacing w:line="240" w:lineRule="auto"/>
              <w:ind w:firstLine="0" w:firstLineChars="0"/>
              <w:jc w:val="center"/>
              <w:textAlignment w:val="center"/>
              <w:rPr>
                <w:color w:val="auto"/>
                <w:position w:val="7"/>
                <w:sz w:val="21"/>
                <w:szCs w:val="21"/>
              </w:rPr>
            </w:pPr>
            <w:r>
              <w:rPr>
                <w:color w:val="auto"/>
                <w:kern w:val="0"/>
                <w:sz w:val="21"/>
                <w:szCs w:val="21"/>
                <w:lang w:bidi="ar"/>
              </w:rPr>
              <w:t>0.00010</w:t>
            </w:r>
          </w:p>
        </w:tc>
        <w:tc>
          <w:tcPr>
            <w:tcW w:w="849" w:type="pct"/>
            <w:vAlign w:val="center"/>
          </w:tcPr>
          <w:p w14:paraId="0401B8D2">
            <w:pPr>
              <w:widowControl/>
              <w:spacing w:line="240" w:lineRule="auto"/>
              <w:ind w:firstLine="0" w:firstLineChars="0"/>
              <w:jc w:val="center"/>
              <w:textAlignment w:val="center"/>
              <w:rPr>
                <w:color w:val="auto"/>
                <w:position w:val="7"/>
                <w:sz w:val="21"/>
                <w:szCs w:val="21"/>
              </w:rPr>
            </w:pPr>
            <w:r>
              <w:rPr>
                <w:color w:val="auto"/>
                <w:kern w:val="0"/>
                <w:sz w:val="21"/>
                <w:szCs w:val="21"/>
                <w:lang w:bidi="ar"/>
              </w:rPr>
              <w:t>0.00015</w:t>
            </w:r>
          </w:p>
        </w:tc>
        <w:tc>
          <w:tcPr>
            <w:tcW w:w="833" w:type="pct"/>
            <w:vAlign w:val="center"/>
          </w:tcPr>
          <w:p w14:paraId="511C0B1B">
            <w:pPr>
              <w:widowControl/>
              <w:spacing w:line="240" w:lineRule="auto"/>
              <w:ind w:firstLine="0" w:firstLineChars="0"/>
              <w:jc w:val="center"/>
              <w:textAlignment w:val="center"/>
              <w:rPr>
                <w:color w:val="auto"/>
                <w:position w:val="7"/>
                <w:sz w:val="21"/>
                <w:szCs w:val="21"/>
              </w:rPr>
            </w:pPr>
            <w:r>
              <w:rPr>
                <w:color w:val="auto"/>
                <w:kern w:val="0"/>
                <w:sz w:val="21"/>
                <w:szCs w:val="21"/>
                <w:lang w:bidi="ar"/>
              </w:rPr>
              <w:t>0.00026</w:t>
            </w:r>
          </w:p>
        </w:tc>
      </w:tr>
      <w:tr w14:paraId="728A7A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0DCBBF0E">
            <w:pPr>
              <w:kinsoku w:val="0"/>
              <w:overflowPunct w:val="0"/>
              <w:spacing w:line="240" w:lineRule="auto"/>
              <w:ind w:firstLine="0" w:firstLineChars="0"/>
              <w:jc w:val="center"/>
              <w:rPr>
                <w:color w:val="auto"/>
                <w:sz w:val="21"/>
                <w:szCs w:val="21"/>
              </w:rPr>
            </w:pPr>
          </w:p>
        </w:tc>
        <w:tc>
          <w:tcPr>
            <w:tcW w:w="489" w:type="pct"/>
            <w:vAlign w:val="center"/>
          </w:tcPr>
          <w:p w14:paraId="5C6D224C">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61C9AFE0">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116CFE4B">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1D643587">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28662AF3">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60811D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4598D1F8">
            <w:pPr>
              <w:kinsoku w:val="0"/>
              <w:overflowPunct w:val="0"/>
              <w:spacing w:line="240" w:lineRule="auto"/>
              <w:ind w:firstLine="0" w:firstLineChars="0"/>
              <w:jc w:val="center"/>
              <w:rPr>
                <w:color w:val="auto"/>
                <w:spacing w:val="-19"/>
                <w:sz w:val="21"/>
                <w:szCs w:val="21"/>
              </w:rPr>
            </w:pPr>
            <w:r>
              <w:rPr>
                <w:color w:val="auto"/>
                <w:spacing w:val="-19"/>
                <w:sz w:val="21"/>
                <w:szCs w:val="21"/>
              </w:rPr>
              <w:t>铬（六价）</w:t>
            </w:r>
          </w:p>
        </w:tc>
        <w:tc>
          <w:tcPr>
            <w:tcW w:w="489" w:type="pct"/>
            <w:vAlign w:val="center"/>
          </w:tcPr>
          <w:p w14:paraId="12BBF4D5">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4FAC4BC5">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1FE3ADD8">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7C90F2CF">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5FBFEA01">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2AC691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454A77D">
            <w:pPr>
              <w:kinsoku w:val="0"/>
              <w:overflowPunct w:val="0"/>
              <w:spacing w:line="240" w:lineRule="auto"/>
              <w:ind w:firstLine="0" w:firstLineChars="0"/>
              <w:jc w:val="center"/>
              <w:rPr>
                <w:color w:val="auto"/>
                <w:spacing w:val="-19"/>
                <w:sz w:val="21"/>
                <w:szCs w:val="21"/>
              </w:rPr>
            </w:pPr>
          </w:p>
        </w:tc>
        <w:tc>
          <w:tcPr>
            <w:tcW w:w="489" w:type="pct"/>
            <w:vAlign w:val="center"/>
          </w:tcPr>
          <w:p w14:paraId="4EAA3BE7">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73C8F06B">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7EBC4176">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1728512B">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00BE977F">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07F2A5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1EC67FA2">
            <w:pPr>
              <w:kinsoku w:val="0"/>
              <w:overflowPunct w:val="0"/>
              <w:spacing w:line="240" w:lineRule="auto"/>
              <w:ind w:firstLine="0" w:firstLineChars="0"/>
              <w:jc w:val="center"/>
              <w:rPr>
                <w:color w:val="auto"/>
                <w:spacing w:val="-19"/>
                <w:sz w:val="21"/>
                <w:szCs w:val="21"/>
              </w:rPr>
            </w:pPr>
            <w:r>
              <w:rPr>
                <w:color w:val="auto"/>
                <w:sz w:val="21"/>
                <w:szCs w:val="21"/>
              </w:rPr>
              <w:t>铅</w:t>
            </w:r>
          </w:p>
        </w:tc>
        <w:tc>
          <w:tcPr>
            <w:tcW w:w="489" w:type="pct"/>
            <w:vAlign w:val="center"/>
          </w:tcPr>
          <w:p w14:paraId="401B3830">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6F4772D2">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30CE1AB">
            <w:pPr>
              <w:widowControl/>
              <w:spacing w:line="240" w:lineRule="auto"/>
              <w:ind w:firstLine="0" w:firstLineChars="0"/>
              <w:jc w:val="center"/>
              <w:textAlignment w:val="center"/>
              <w:rPr>
                <w:color w:val="auto"/>
                <w:sz w:val="21"/>
                <w:szCs w:val="21"/>
              </w:rPr>
            </w:pPr>
            <w:r>
              <w:rPr>
                <w:color w:val="auto"/>
                <w:kern w:val="0"/>
                <w:sz w:val="21"/>
                <w:szCs w:val="21"/>
                <w:lang w:bidi="ar"/>
              </w:rPr>
              <w:t>0.007</w:t>
            </w:r>
          </w:p>
        </w:tc>
        <w:tc>
          <w:tcPr>
            <w:tcW w:w="849" w:type="pct"/>
            <w:vAlign w:val="center"/>
          </w:tcPr>
          <w:p w14:paraId="403A2EDE">
            <w:pPr>
              <w:widowControl/>
              <w:spacing w:line="240" w:lineRule="auto"/>
              <w:ind w:firstLine="0" w:firstLineChars="0"/>
              <w:jc w:val="center"/>
              <w:textAlignment w:val="center"/>
              <w:rPr>
                <w:color w:val="auto"/>
                <w:sz w:val="21"/>
                <w:szCs w:val="21"/>
              </w:rPr>
            </w:pPr>
            <w:r>
              <w:rPr>
                <w:color w:val="auto"/>
                <w:kern w:val="0"/>
                <w:sz w:val="21"/>
                <w:szCs w:val="21"/>
                <w:lang w:bidi="ar"/>
              </w:rPr>
              <w:t>0.006</w:t>
            </w:r>
          </w:p>
        </w:tc>
        <w:tc>
          <w:tcPr>
            <w:tcW w:w="833" w:type="pct"/>
            <w:vAlign w:val="center"/>
          </w:tcPr>
          <w:p w14:paraId="1324DB02">
            <w:pPr>
              <w:widowControl/>
              <w:spacing w:line="240" w:lineRule="auto"/>
              <w:ind w:firstLine="0" w:firstLineChars="0"/>
              <w:jc w:val="center"/>
              <w:textAlignment w:val="center"/>
              <w:rPr>
                <w:color w:val="auto"/>
                <w:sz w:val="21"/>
                <w:szCs w:val="21"/>
              </w:rPr>
            </w:pPr>
            <w:r>
              <w:rPr>
                <w:color w:val="auto"/>
                <w:kern w:val="0"/>
                <w:sz w:val="21"/>
                <w:szCs w:val="21"/>
                <w:lang w:bidi="ar"/>
              </w:rPr>
              <w:t>0.007</w:t>
            </w:r>
          </w:p>
        </w:tc>
      </w:tr>
      <w:tr w14:paraId="4A0925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02D0A883">
            <w:pPr>
              <w:kinsoku w:val="0"/>
              <w:overflowPunct w:val="0"/>
              <w:spacing w:line="240" w:lineRule="auto"/>
              <w:ind w:firstLine="0" w:firstLineChars="0"/>
              <w:jc w:val="center"/>
              <w:rPr>
                <w:color w:val="auto"/>
                <w:sz w:val="21"/>
                <w:szCs w:val="21"/>
              </w:rPr>
            </w:pPr>
          </w:p>
        </w:tc>
        <w:tc>
          <w:tcPr>
            <w:tcW w:w="489" w:type="pct"/>
            <w:vAlign w:val="center"/>
          </w:tcPr>
          <w:p w14:paraId="19DD4BAF">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59AD44DA">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67374C97">
            <w:pPr>
              <w:kinsoku w:val="0"/>
              <w:overflowPunct w:val="0"/>
              <w:spacing w:line="240" w:lineRule="auto"/>
              <w:ind w:firstLine="0" w:firstLineChars="0"/>
              <w:jc w:val="center"/>
              <w:rPr>
                <w:color w:val="auto"/>
                <w:sz w:val="21"/>
                <w:szCs w:val="21"/>
              </w:rPr>
            </w:pPr>
            <w:r>
              <w:rPr>
                <w:rFonts w:hint="eastAsia"/>
                <w:color w:val="auto"/>
                <w:sz w:val="21"/>
                <w:szCs w:val="21"/>
              </w:rPr>
              <w:t>III</w:t>
            </w:r>
          </w:p>
        </w:tc>
        <w:tc>
          <w:tcPr>
            <w:tcW w:w="849" w:type="pct"/>
            <w:vAlign w:val="center"/>
          </w:tcPr>
          <w:p w14:paraId="4F821E30">
            <w:pPr>
              <w:kinsoku w:val="0"/>
              <w:overflowPunct w:val="0"/>
              <w:spacing w:line="240" w:lineRule="auto"/>
              <w:ind w:firstLine="0" w:firstLineChars="0"/>
              <w:jc w:val="center"/>
              <w:rPr>
                <w:color w:val="auto"/>
                <w:sz w:val="21"/>
                <w:szCs w:val="21"/>
              </w:rPr>
            </w:pPr>
            <w:r>
              <w:rPr>
                <w:rFonts w:hint="eastAsia"/>
                <w:color w:val="auto"/>
                <w:sz w:val="21"/>
                <w:szCs w:val="21"/>
              </w:rPr>
              <w:t>III</w:t>
            </w:r>
          </w:p>
        </w:tc>
        <w:tc>
          <w:tcPr>
            <w:tcW w:w="833" w:type="pct"/>
            <w:vAlign w:val="center"/>
          </w:tcPr>
          <w:p w14:paraId="4DCCEF67">
            <w:pPr>
              <w:kinsoku w:val="0"/>
              <w:overflowPunct w:val="0"/>
              <w:spacing w:line="240" w:lineRule="auto"/>
              <w:ind w:firstLine="0" w:firstLineChars="0"/>
              <w:jc w:val="center"/>
              <w:rPr>
                <w:color w:val="auto"/>
                <w:sz w:val="21"/>
                <w:szCs w:val="21"/>
              </w:rPr>
            </w:pPr>
            <w:r>
              <w:rPr>
                <w:rFonts w:hint="eastAsia"/>
                <w:color w:val="auto"/>
                <w:sz w:val="21"/>
                <w:szCs w:val="21"/>
              </w:rPr>
              <w:t>III</w:t>
            </w:r>
          </w:p>
        </w:tc>
      </w:tr>
      <w:tr w14:paraId="611EF9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1052" w:type="pct"/>
            <w:vMerge w:val="restart"/>
            <w:vAlign w:val="center"/>
          </w:tcPr>
          <w:p w14:paraId="5BF8115A">
            <w:pPr>
              <w:kinsoku w:val="0"/>
              <w:overflowPunct w:val="0"/>
              <w:spacing w:line="240" w:lineRule="auto"/>
              <w:ind w:firstLine="0" w:firstLineChars="0"/>
              <w:jc w:val="center"/>
              <w:rPr>
                <w:color w:val="auto"/>
                <w:spacing w:val="-19"/>
                <w:sz w:val="21"/>
                <w:szCs w:val="21"/>
              </w:rPr>
            </w:pPr>
            <w:r>
              <w:rPr>
                <w:color w:val="auto"/>
                <w:spacing w:val="-16"/>
                <w:sz w:val="21"/>
                <w:szCs w:val="21"/>
              </w:rPr>
              <w:t>氟化物</w:t>
            </w:r>
          </w:p>
        </w:tc>
        <w:tc>
          <w:tcPr>
            <w:tcW w:w="489" w:type="pct"/>
            <w:vAlign w:val="center"/>
          </w:tcPr>
          <w:p w14:paraId="56BE94EB">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6863D270">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588CEF13">
            <w:pPr>
              <w:widowControl/>
              <w:spacing w:line="240" w:lineRule="auto"/>
              <w:ind w:firstLine="0" w:firstLineChars="0"/>
              <w:jc w:val="center"/>
              <w:textAlignment w:val="center"/>
              <w:rPr>
                <w:color w:val="auto"/>
                <w:sz w:val="21"/>
                <w:szCs w:val="21"/>
              </w:rPr>
            </w:pPr>
            <w:r>
              <w:rPr>
                <w:color w:val="auto"/>
                <w:kern w:val="0"/>
                <w:sz w:val="21"/>
                <w:szCs w:val="21"/>
                <w:lang w:bidi="ar"/>
              </w:rPr>
              <w:t>0.460</w:t>
            </w:r>
          </w:p>
        </w:tc>
        <w:tc>
          <w:tcPr>
            <w:tcW w:w="849" w:type="pct"/>
            <w:vAlign w:val="center"/>
          </w:tcPr>
          <w:p w14:paraId="31BC8452">
            <w:pPr>
              <w:widowControl/>
              <w:spacing w:line="240" w:lineRule="auto"/>
              <w:ind w:firstLine="0" w:firstLineChars="0"/>
              <w:jc w:val="center"/>
              <w:textAlignment w:val="center"/>
              <w:rPr>
                <w:color w:val="auto"/>
                <w:sz w:val="21"/>
                <w:szCs w:val="21"/>
              </w:rPr>
            </w:pPr>
            <w:r>
              <w:rPr>
                <w:rFonts w:hint="eastAsia"/>
                <w:color w:val="auto"/>
                <w:sz w:val="21"/>
                <w:szCs w:val="21"/>
              </w:rPr>
              <w:t>1.73</w:t>
            </w:r>
          </w:p>
        </w:tc>
        <w:tc>
          <w:tcPr>
            <w:tcW w:w="833" w:type="pct"/>
            <w:vAlign w:val="center"/>
          </w:tcPr>
          <w:p w14:paraId="282CFE27">
            <w:pPr>
              <w:widowControl/>
              <w:spacing w:line="240" w:lineRule="auto"/>
              <w:ind w:firstLine="0" w:firstLineChars="0"/>
              <w:jc w:val="center"/>
              <w:textAlignment w:val="center"/>
              <w:rPr>
                <w:color w:val="auto"/>
                <w:sz w:val="21"/>
                <w:szCs w:val="21"/>
              </w:rPr>
            </w:pPr>
            <w:r>
              <w:rPr>
                <w:color w:val="auto"/>
                <w:kern w:val="0"/>
                <w:sz w:val="21"/>
                <w:szCs w:val="21"/>
                <w:lang w:bidi="ar"/>
              </w:rPr>
              <w:t>0.107</w:t>
            </w:r>
          </w:p>
        </w:tc>
      </w:tr>
      <w:tr w14:paraId="1C4055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7C485475">
            <w:pPr>
              <w:kinsoku w:val="0"/>
              <w:overflowPunct w:val="0"/>
              <w:spacing w:line="240" w:lineRule="auto"/>
              <w:ind w:firstLine="0" w:firstLineChars="0"/>
              <w:jc w:val="center"/>
              <w:rPr>
                <w:color w:val="auto"/>
                <w:spacing w:val="-16"/>
                <w:sz w:val="21"/>
                <w:szCs w:val="21"/>
              </w:rPr>
            </w:pPr>
          </w:p>
        </w:tc>
        <w:tc>
          <w:tcPr>
            <w:tcW w:w="489" w:type="pct"/>
            <w:vAlign w:val="center"/>
          </w:tcPr>
          <w:p w14:paraId="7DDCF4CD">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20A856AF">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751234F0">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5685D253">
            <w:pPr>
              <w:kinsoku w:val="0"/>
              <w:overflowPunct w:val="0"/>
              <w:spacing w:line="240" w:lineRule="auto"/>
              <w:ind w:firstLine="0" w:firstLineChars="0"/>
              <w:jc w:val="center"/>
              <w:rPr>
                <w:color w:val="auto"/>
                <w:sz w:val="21"/>
                <w:szCs w:val="21"/>
              </w:rPr>
            </w:pPr>
            <w:r>
              <w:rPr>
                <w:rFonts w:hint="eastAsia"/>
                <w:color w:val="auto"/>
                <w:sz w:val="21"/>
                <w:szCs w:val="21"/>
              </w:rPr>
              <w:t>IV</w:t>
            </w:r>
          </w:p>
        </w:tc>
        <w:tc>
          <w:tcPr>
            <w:tcW w:w="833" w:type="pct"/>
            <w:vAlign w:val="center"/>
          </w:tcPr>
          <w:p w14:paraId="66E28CCC">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2050F7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52" w:type="pct"/>
            <w:vMerge w:val="restart"/>
            <w:vAlign w:val="center"/>
          </w:tcPr>
          <w:p w14:paraId="6B178FCC">
            <w:pPr>
              <w:kinsoku w:val="0"/>
              <w:overflowPunct w:val="0"/>
              <w:spacing w:line="240" w:lineRule="auto"/>
              <w:ind w:firstLine="0" w:firstLineChars="0"/>
              <w:jc w:val="center"/>
              <w:rPr>
                <w:color w:val="auto"/>
                <w:spacing w:val="-19"/>
                <w:sz w:val="21"/>
                <w:szCs w:val="21"/>
              </w:rPr>
            </w:pPr>
            <w:r>
              <w:rPr>
                <w:color w:val="auto"/>
                <w:sz w:val="21"/>
                <w:szCs w:val="21"/>
              </w:rPr>
              <w:t>镉</w:t>
            </w:r>
          </w:p>
        </w:tc>
        <w:tc>
          <w:tcPr>
            <w:tcW w:w="489" w:type="pct"/>
            <w:vAlign w:val="center"/>
          </w:tcPr>
          <w:p w14:paraId="01F47C1A">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1B498FA5">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70186822">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0.0008 </w:t>
            </w:r>
          </w:p>
        </w:tc>
        <w:tc>
          <w:tcPr>
            <w:tcW w:w="849" w:type="pct"/>
            <w:vAlign w:val="center"/>
          </w:tcPr>
          <w:p w14:paraId="735FE439">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0.0004 </w:t>
            </w:r>
          </w:p>
        </w:tc>
        <w:tc>
          <w:tcPr>
            <w:tcW w:w="833" w:type="pct"/>
            <w:vAlign w:val="center"/>
          </w:tcPr>
          <w:p w14:paraId="40C352EC">
            <w:pPr>
              <w:widowControl/>
              <w:spacing w:line="240" w:lineRule="auto"/>
              <w:ind w:firstLine="0" w:firstLineChars="0"/>
              <w:jc w:val="center"/>
              <w:textAlignment w:val="center"/>
              <w:rPr>
                <w:color w:val="auto"/>
                <w:sz w:val="21"/>
                <w:szCs w:val="21"/>
              </w:rPr>
            </w:pPr>
            <w:r>
              <w:rPr>
                <w:color w:val="auto"/>
                <w:kern w:val="0"/>
                <w:sz w:val="21"/>
                <w:szCs w:val="21"/>
                <w:lang w:bidi="ar"/>
              </w:rPr>
              <w:t xml:space="preserve">0.0010 </w:t>
            </w:r>
          </w:p>
        </w:tc>
      </w:tr>
      <w:tr w14:paraId="47FF1A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D23C82E">
            <w:pPr>
              <w:kinsoku w:val="0"/>
              <w:overflowPunct w:val="0"/>
              <w:spacing w:line="240" w:lineRule="auto"/>
              <w:ind w:firstLine="0" w:firstLineChars="0"/>
              <w:jc w:val="center"/>
              <w:rPr>
                <w:color w:val="auto"/>
                <w:sz w:val="21"/>
                <w:szCs w:val="21"/>
              </w:rPr>
            </w:pPr>
          </w:p>
        </w:tc>
        <w:tc>
          <w:tcPr>
            <w:tcW w:w="489" w:type="pct"/>
            <w:vAlign w:val="center"/>
          </w:tcPr>
          <w:p w14:paraId="40C36799">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236A3F16">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3E02F50D">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127FC732">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4B0989FA">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45149F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209E1E2E">
            <w:pPr>
              <w:kinsoku w:val="0"/>
              <w:overflowPunct w:val="0"/>
              <w:spacing w:line="240" w:lineRule="auto"/>
              <w:ind w:firstLine="0" w:firstLineChars="0"/>
              <w:jc w:val="center"/>
              <w:rPr>
                <w:color w:val="auto"/>
                <w:spacing w:val="-19"/>
                <w:sz w:val="21"/>
                <w:szCs w:val="21"/>
              </w:rPr>
            </w:pPr>
            <w:r>
              <w:rPr>
                <w:color w:val="auto"/>
                <w:sz w:val="21"/>
                <w:szCs w:val="21"/>
              </w:rPr>
              <w:t>铁</w:t>
            </w:r>
          </w:p>
        </w:tc>
        <w:tc>
          <w:tcPr>
            <w:tcW w:w="489" w:type="pct"/>
            <w:vAlign w:val="center"/>
          </w:tcPr>
          <w:p w14:paraId="6CF88EE5">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168ECC46">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7F3F4E4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3AA9EFA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245AA91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6A42A0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434294BF">
            <w:pPr>
              <w:kinsoku w:val="0"/>
              <w:overflowPunct w:val="0"/>
              <w:spacing w:line="240" w:lineRule="auto"/>
              <w:ind w:firstLine="0" w:firstLineChars="0"/>
              <w:jc w:val="center"/>
              <w:rPr>
                <w:color w:val="auto"/>
                <w:sz w:val="21"/>
                <w:szCs w:val="21"/>
              </w:rPr>
            </w:pPr>
          </w:p>
        </w:tc>
        <w:tc>
          <w:tcPr>
            <w:tcW w:w="489" w:type="pct"/>
            <w:vAlign w:val="center"/>
          </w:tcPr>
          <w:p w14:paraId="6C513C19">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037B8DB0">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35F73D21">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68F0EA8F">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7D636C67">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24A232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190CB7F7">
            <w:pPr>
              <w:kinsoku w:val="0"/>
              <w:overflowPunct w:val="0"/>
              <w:spacing w:line="240" w:lineRule="auto"/>
              <w:ind w:firstLine="0" w:firstLineChars="0"/>
              <w:jc w:val="center"/>
              <w:rPr>
                <w:color w:val="auto"/>
                <w:sz w:val="21"/>
                <w:szCs w:val="21"/>
              </w:rPr>
            </w:pPr>
            <w:r>
              <w:rPr>
                <w:color w:val="auto"/>
                <w:sz w:val="21"/>
                <w:szCs w:val="21"/>
              </w:rPr>
              <w:t>锰</w:t>
            </w:r>
          </w:p>
        </w:tc>
        <w:tc>
          <w:tcPr>
            <w:tcW w:w="489" w:type="pct"/>
            <w:vAlign w:val="center"/>
          </w:tcPr>
          <w:p w14:paraId="17FA3A3A">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75987F16">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76505BC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03DE245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7C24A385">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12EC52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1052" w:type="pct"/>
            <w:vMerge w:val="continue"/>
            <w:vAlign w:val="center"/>
          </w:tcPr>
          <w:p w14:paraId="7D88B9FC">
            <w:pPr>
              <w:kinsoku w:val="0"/>
              <w:overflowPunct w:val="0"/>
              <w:spacing w:line="240" w:lineRule="auto"/>
              <w:ind w:firstLine="0" w:firstLineChars="0"/>
              <w:jc w:val="center"/>
              <w:rPr>
                <w:color w:val="auto"/>
                <w:sz w:val="21"/>
                <w:szCs w:val="21"/>
              </w:rPr>
            </w:pPr>
          </w:p>
        </w:tc>
        <w:tc>
          <w:tcPr>
            <w:tcW w:w="489" w:type="pct"/>
            <w:vAlign w:val="center"/>
          </w:tcPr>
          <w:p w14:paraId="0153FD79">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0E2FC76D">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5A026A7A">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29BBB369">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20DE804A">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132052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0F2F6E9D">
            <w:pPr>
              <w:kinsoku w:val="0"/>
              <w:overflowPunct w:val="0"/>
              <w:spacing w:line="240" w:lineRule="auto"/>
              <w:ind w:firstLine="0" w:firstLineChars="0"/>
              <w:jc w:val="center"/>
              <w:rPr>
                <w:color w:val="auto"/>
                <w:sz w:val="21"/>
                <w:szCs w:val="21"/>
              </w:rPr>
            </w:pPr>
            <w:r>
              <w:rPr>
                <w:color w:val="auto"/>
                <w:sz w:val="21"/>
                <w:szCs w:val="21"/>
              </w:rPr>
              <w:t>总大肠菌群</w:t>
            </w:r>
          </w:p>
        </w:tc>
        <w:tc>
          <w:tcPr>
            <w:tcW w:w="489" w:type="pct"/>
            <w:vAlign w:val="center"/>
          </w:tcPr>
          <w:p w14:paraId="29B32EDD">
            <w:pPr>
              <w:kinsoku w:val="0"/>
              <w:overflowPunct w:val="0"/>
              <w:spacing w:line="240" w:lineRule="auto"/>
              <w:ind w:firstLine="0" w:firstLineChars="0"/>
              <w:jc w:val="center"/>
              <w:rPr>
                <w:color w:val="auto"/>
                <w:spacing w:val="-14"/>
                <w:sz w:val="21"/>
                <w:szCs w:val="21"/>
              </w:rPr>
            </w:pPr>
            <w:r>
              <w:rPr>
                <w:color w:val="auto"/>
                <w:sz w:val="21"/>
                <w:szCs w:val="21"/>
              </w:rPr>
              <w:t>检测值</w:t>
            </w:r>
          </w:p>
        </w:tc>
        <w:tc>
          <w:tcPr>
            <w:tcW w:w="771" w:type="pct"/>
            <w:vAlign w:val="center"/>
          </w:tcPr>
          <w:p w14:paraId="5A19A61B">
            <w:pPr>
              <w:kinsoku w:val="0"/>
              <w:overflowPunct w:val="0"/>
              <w:spacing w:line="240" w:lineRule="auto"/>
              <w:ind w:firstLine="0" w:firstLineChars="0"/>
              <w:jc w:val="center"/>
              <w:rPr>
                <w:color w:val="auto"/>
                <w:spacing w:val="-14"/>
                <w:sz w:val="21"/>
                <w:szCs w:val="21"/>
              </w:rPr>
            </w:pPr>
            <w:r>
              <w:rPr>
                <w:color w:val="auto"/>
                <w:spacing w:val="-14"/>
                <w:sz w:val="21"/>
                <w:szCs w:val="21"/>
              </w:rPr>
              <w:t>MPN/100mL</w:t>
            </w:r>
          </w:p>
        </w:tc>
        <w:tc>
          <w:tcPr>
            <w:tcW w:w="1003" w:type="pct"/>
            <w:vAlign w:val="center"/>
          </w:tcPr>
          <w:p w14:paraId="25064123">
            <w:pPr>
              <w:spacing w:line="240" w:lineRule="auto"/>
              <w:ind w:firstLine="0" w:firstLineChars="0"/>
              <w:jc w:val="center"/>
              <w:rPr>
                <w:color w:val="auto"/>
                <w:sz w:val="21"/>
                <w:szCs w:val="21"/>
              </w:rPr>
            </w:pPr>
            <w:r>
              <w:rPr>
                <w:color w:val="auto"/>
                <w:sz w:val="21"/>
                <w:szCs w:val="21"/>
                <w:lang w:bidi="ar"/>
              </w:rPr>
              <w:t>&lt;20</w:t>
            </w:r>
          </w:p>
        </w:tc>
        <w:tc>
          <w:tcPr>
            <w:tcW w:w="849" w:type="pct"/>
            <w:vAlign w:val="center"/>
          </w:tcPr>
          <w:p w14:paraId="7BFDA1B2">
            <w:pPr>
              <w:spacing w:line="240" w:lineRule="auto"/>
              <w:ind w:firstLine="0" w:firstLineChars="0"/>
              <w:jc w:val="center"/>
              <w:rPr>
                <w:color w:val="auto"/>
                <w:sz w:val="21"/>
                <w:szCs w:val="21"/>
              </w:rPr>
            </w:pPr>
            <w:r>
              <w:rPr>
                <w:color w:val="auto"/>
                <w:sz w:val="21"/>
                <w:szCs w:val="21"/>
                <w:lang w:bidi="ar"/>
              </w:rPr>
              <w:t>&lt;20</w:t>
            </w:r>
          </w:p>
        </w:tc>
        <w:tc>
          <w:tcPr>
            <w:tcW w:w="833" w:type="pct"/>
            <w:vAlign w:val="center"/>
          </w:tcPr>
          <w:p w14:paraId="4C311C87">
            <w:pPr>
              <w:spacing w:line="240" w:lineRule="auto"/>
              <w:ind w:firstLine="0" w:firstLineChars="0"/>
              <w:jc w:val="center"/>
              <w:rPr>
                <w:color w:val="auto"/>
                <w:sz w:val="21"/>
                <w:szCs w:val="21"/>
              </w:rPr>
            </w:pPr>
            <w:r>
              <w:rPr>
                <w:color w:val="auto"/>
                <w:sz w:val="21"/>
                <w:szCs w:val="21"/>
                <w:lang w:bidi="ar"/>
              </w:rPr>
              <w:t>&lt;20</w:t>
            </w:r>
          </w:p>
        </w:tc>
      </w:tr>
      <w:tr w14:paraId="0D35B7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A069183">
            <w:pPr>
              <w:kinsoku w:val="0"/>
              <w:overflowPunct w:val="0"/>
              <w:spacing w:line="240" w:lineRule="auto"/>
              <w:ind w:firstLine="0" w:firstLineChars="0"/>
              <w:jc w:val="center"/>
              <w:rPr>
                <w:color w:val="auto"/>
                <w:sz w:val="21"/>
                <w:szCs w:val="21"/>
              </w:rPr>
            </w:pPr>
          </w:p>
        </w:tc>
        <w:tc>
          <w:tcPr>
            <w:tcW w:w="489" w:type="pct"/>
            <w:vAlign w:val="center"/>
          </w:tcPr>
          <w:p w14:paraId="490922BC">
            <w:pPr>
              <w:kinsoku w:val="0"/>
              <w:overflowPunct w:val="0"/>
              <w:spacing w:line="240" w:lineRule="auto"/>
              <w:ind w:firstLine="0" w:firstLineChars="0"/>
              <w:jc w:val="center"/>
              <w:rPr>
                <w:color w:val="auto"/>
                <w:spacing w:val="-14"/>
                <w:sz w:val="21"/>
                <w:szCs w:val="21"/>
              </w:rPr>
            </w:pPr>
            <w:r>
              <w:rPr>
                <w:color w:val="auto"/>
                <w:sz w:val="21"/>
                <w:szCs w:val="21"/>
              </w:rPr>
              <w:t>水质类别</w:t>
            </w:r>
          </w:p>
        </w:tc>
        <w:tc>
          <w:tcPr>
            <w:tcW w:w="771" w:type="pct"/>
            <w:vAlign w:val="center"/>
          </w:tcPr>
          <w:p w14:paraId="7E865F75">
            <w:pPr>
              <w:kinsoku w:val="0"/>
              <w:overflowPunct w:val="0"/>
              <w:spacing w:line="240" w:lineRule="auto"/>
              <w:ind w:firstLine="0" w:firstLineChars="0"/>
              <w:jc w:val="center"/>
              <w:rPr>
                <w:color w:val="auto"/>
                <w:spacing w:val="-14"/>
                <w:sz w:val="21"/>
                <w:szCs w:val="21"/>
              </w:rPr>
            </w:pPr>
            <w:r>
              <w:rPr>
                <w:color w:val="auto"/>
                <w:spacing w:val="-14"/>
                <w:sz w:val="21"/>
                <w:szCs w:val="21"/>
              </w:rPr>
              <w:t>/</w:t>
            </w:r>
          </w:p>
        </w:tc>
        <w:tc>
          <w:tcPr>
            <w:tcW w:w="1003" w:type="pct"/>
            <w:vAlign w:val="center"/>
          </w:tcPr>
          <w:p w14:paraId="0409118E">
            <w:pPr>
              <w:kinsoku w:val="0"/>
              <w:overflowPunct w:val="0"/>
              <w:spacing w:line="240" w:lineRule="auto"/>
              <w:ind w:firstLine="0" w:firstLineChars="0"/>
              <w:jc w:val="center"/>
              <w:rPr>
                <w:color w:val="auto"/>
                <w:spacing w:val="-14"/>
                <w:sz w:val="21"/>
                <w:szCs w:val="21"/>
              </w:rPr>
            </w:pPr>
            <w:r>
              <w:rPr>
                <w:rFonts w:hint="eastAsia"/>
                <w:color w:val="auto"/>
                <w:spacing w:val="-14"/>
                <w:sz w:val="21"/>
                <w:szCs w:val="21"/>
              </w:rPr>
              <w:t>IV</w:t>
            </w:r>
          </w:p>
        </w:tc>
        <w:tc>
          <w:tcPr>
            <w:tcW w:w="849" w:type="pct"/>
            <w:vAlign w:val="center"/>
          </w:tcPr>
          <w:p w14:paraId="6AF32669">
            <w:pPr>
              <w:kinsoku w:val="0"/>
              <w:overflowPunct w:val="0"/>
              <w:spacing w:line="240" w:lineRule="auto"/>
              <w:ind w:firstLine="0" w:firstLineChars="0"/>
              <w:jc w:val="center"/>
              <w:rPr>
                <w:color w:val="auto"/>
                <w:sz w:val="21"/>
                <w:szCs w:val="21"/>
              </w:rPr>
            </w:pPr>
            <w:r>
              <w:rPr>
                <w:rFonts w:hint="eastAsia"/>
                <w:color w:val="auto"/>
                <w:sz w:val="21"/>
                <w:szCs w:val="21"/>
              </w:rPr>
              <w:t>IV</w:t>
            </w:r>
          </w:p>
        </w:tc>
        <w:tc>
          <w:tcPr>
            <w:tcW w:w="833" w:type="pct"/>
            <w:vAlign w:val="center"/>
          </w:tcPr>
          <w:p w14:paraId="0D158255">
            <w:pPr>
              <w:kinsoku w:val="0"/>
              <w:overflowPunct w:val="0"/>
              <w:spacing w:line="240" w:lineRule="auto"/>
              <w:ind w:firstLine="0" w:firstLineChars="0"/>
              <w:jc w:val="center"/>
              <w:rPr>
                <w:color w:val="auto"/>
                <w:sz w:val="21"/>
                <w:szCs w:val="21"/>
              </w:rPr>
            </w:pPr>
            <w:r>
              <w:rPr>
                <w:rFonts w:hint="eastAsia"/>
                <w:color w:val="auto"/>
                <w:sz w:val="21"/>
                <w:szCs w:val="21"/>
              </w:rPr>
              <w:t>IV</w:t>
            </w:r>
          </w:p>
        </w:tc>
      </w:tr>
      <w:tr w14:paraId="066ED2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60DA9F73">
            <w:pPr>
              <w:kinsoku w:val="0"/>
              <w:overflowPunct w:val="0"/>
              <w:spacing w:line="240" w:lineRule="auto"/>
              <w:ind w:firstLine="0" w:firstLineChars="0"/>
              <w:jc w:val="center"/>
              <w:rPr>
                <w:color w:val="auto"/>
                <w:sz w:val="21"/>
                <w:szCs w:val="21"/>
              </w:rPr>
            </w:pPr>
            <w:r>
              <w:rPr>
                <w:color w:val="auto"/>
                <w:sz w:val="21"/>
                <w:szCs w:val="21"/>
              </w:rPr>
              <w:t>挥发酚</w:t>
            </w:r>
          </w:p>
        </w:tc>
        <w:tc>
          <w:tcPr>
            <w:tcW w:w="489" w:type="pct"/>
            <w:vAlign w:val="center"/>
          </w:tcPr>
          <w:p w14:paraId="3E23F1A5">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03FA0BE1">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AA66E6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4DE68A69">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2058B6F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469A88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647C4343">
            <w:pPr>
              <w:kinsoku w:val="0"/>
              <w:overflowPunct w:val="0"/>
              <w:spacing w:line="240" w:lineRule="auto"/>
              <w:ind w:firstLine="0" w:firstLineChars="0"/>
              <w:jc w:val="center"/>
              <w:rPr>
                <w:color w:val="auto"/>
                <w:sz w:val="21"/>
                <w:szCs w:val="21"/>
              </w:rPr>
            </w:pPr>
          </w:p>
        </w:tc>
        <w:tc>
          <w:tcPr>
            <w:tcW w:w="489" w:type="pct"/>
            <w:vAlign w:val="center"/>
          </w:tcPr>
          <w:p w14:paraId="0E2D50B0">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7B7D2043">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0A4BB09D">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14C33DB2">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21229428">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5D9BC2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317C9C11">
            <w:pPr>
              <w:kinsoku w:val="0"/>
              <w:overflowPunct w:val="0"/>
              <w:spacing w:line="240" w:lineRule="auto"/>
              <w:ind w:firstLine="0" w:firstLineChars="0"/>
              <w:jc w:val="center"/>
              <w:rPr>
                <w:color w:val="auto"/>
                <w:sz w:val="21"/>
                <w:szCs w:val="21"/>
              </w:rPr>
            </w:pPr>
            <w:r>
              <w:rPr>
                <w:color w:val="auto"/>
                <w:sz w:val="21"/>
                <w:szCs w:val="21"/>
              </w:rPr>
              <w:t>铜</w:t>
            </w:r>
          </w:p>
        </w:tc>
        <w:tc>
          <w:tcPr>
            <w:tcW w:w="489" w:type="pct"/>
            <w:vAlign w:val="center"/>
          </w:tcPr>
          <w:p w14:paraId="147C171D">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778F6C54">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543BC694">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143E038B">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2A1AB4E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1B1543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3B776558">
            <w:pPr>
              <w:kinsoku w:val="0"/>
              <w:overflowPunct w:val="0"/>
              <w:spacing w:line="240" w:lineRule="auto"/>
              <w:ind w:firstLine="0" w:firstLineChars="0"/>
              <w:jc w:val="center"/>
              <w:rPr>
                <w:color w:val="auto"/>
                <w:sz w:val="21"/>
                <w:szCs w:val="21"/>
              </w:rPr>
            </w:pPr>
          </w:p>
        </w:tc>
        <w:tc>
          <w:tcPr>
            <w:tcW w:w="489" w:type="pct"/>
            <w:vAlign w:val="center"/>
          </w:tcPr>
          <w:p w14:paraId="6E77A9DF">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7FBCC618">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0808911D">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4BB3CBE4">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4BA1D92C">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0777BA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19D223C2">
            <w:pPr>
              <w:kinsoku w:val="0"/>
              <w:overflowPunct w:val="0"/>
              <w:spacing w:line="240" w:lineRule="auto"/>
              <w:ind w:firstLine="0" w:firstLineChars="0"/>
              <w:jc w:val="center"/>
              <w:rPr>
                <w:color w:val="auto"/>
                <w:sz w:val="21"/>
                <w:szCs w:val="21"/>
              </w:rPr>
            </w:pPr>
            <w:r>
              <w:rPr>
                <w:color w:val="auto"/>
                <w:sz w:val="21"/>
                <w:szCs w:val="21"/>
              </w:rPr>
              <w:t>镍</w:t>
            </w:r>
          </w:p>
        </w:tc>
        <w:tc>
          <w:tcPr>
            <w:tcW w:w="489" w:type="pct"/>
            <w:vAlign w:val="center"/>
          </w:tcPr>
          <w:p w14:paraId="2DB29023">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36504D35">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41AEB07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65B48046">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33" w:type="pct"/>
            <w:vAlign w:val="center"/>
          </w:tcPr>
          <w:p w14:paraId="58A9DC5D">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r>
      <w:tr w14:paraId="292769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174BA39E">
            <w:pPr>
              <w:kinsoku w:val="0"/>
              <w:overflowPunct w:val="0"/>
              <w:spacing w:line="240" w:lineRule="auto"/>
              <w:ind w:firstLine="0" w:firstLineChars="0"/>
              <w:jc w:val="center"/>
              <w:rPr>
                <w:color w:val="auto"/>
                <w:sz w:val="21"/>
                <w:szCs w:val="21"/>
              </w:rPr>
            </w:pPr>
          </w:p>
        </w:tc>
        <w:tc>
          <w:tcPr>
            <w:tcW w:w="489" w:type="pct"/>
            <w:vAlign w:val="center"/>
          </w:tcPr>
          <w:p w14:paraId="4BD0A5BC">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1E730620">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3DBEB186">
            <w:pPr>
              <w:kinsoku w:val="0"/>
              <w:overflowPunct w:val="0"/>
              <w:spacing w:line="240" w:lineRule="auto"/>
              <w:ind w:firstLine="0" w:firstLineChars="0"/>
              <w:jc w:val="center"/>
              <w:rPr>
                <w:color w:val="auto"/>
                <w:sz w:val="21"/>
                <w:szCs w:val="21"/>
              </w:rPr>
            </w:pPr>
            <w:r>
              <w:rPr>
                <w:rFonts w:hint="eastAsia"/>
                <w:color w:val="auto"/>
                <w:sz w:val="21"/>
                <w:szCs w:val="21"/>
              </w:rPr>
              <w:t>III</w:t>
            </w:r>
          </w:p>
        </w:tc>
        <w:tc>
          <w:tcPr>
            <w:tcW w:w="849" w:type="pct"/>
            <w:vAlign w:val="center"/>
          </w:tcPr>
          <w:p w14:paraId="57AD287C">
            <w:pPr>
              <w:kinsoku w:val="0"/>
              <w:overflowPunct w:val="0"/>
              <w:spacing w:line="240" w:lineRule="auto"/>
              <w:ind w:firstLine="0" w:firstLineChars="0"/>
              <w:jc w:val="center"/>
              <w:rPr>
                <w:color w:val="auto"/>
                <w:sz w:val="21"/>
                <w:szCs w:val="21"/>
              </w:rPr>
            </w:pPr>
            <w:r>
              <w:rPr>
                <w:rFonts w:hint="eastAsia"/>
                <w:color w:val="auto"/>
                <w:sz w:val="21"/>
                <w:szCs w:val="21"/>
              </w:rPr>
              <w:t>III</w:t>
            </w:r>
          </w:p>
        </w:tc>
        <w:tc>
          <w:tcPr>
            <w:tcW w:w="833" w:type="pct"/>
            <w:vAlign w:val="center"/>
          </w:tcPr>
          <w:p w14:paraId="28F70FD7">
            <w:pPr>
              <w:kinsoku w:val="0"/>
              <w:overflowPunct w:val="0"/>
              <w:spacing w:line="240" w:lineRule="auto"/>
              <w:ind w:firstLine="0" w:firstLineChars="0"/>
              <w:jc w:val="center"/>
              <w:rPr>
                <w:color w:val="auto"/>
                <w:sz w:val="21"/>
                <w:szCs w:val="21"/>
              </w:rPr>
            </w:pPr>
            <w:r>
              <w:rPr>
                <w:rFonts w:hint="eastAsia"/>
                <w:color w:val="auto"/>
                <w:sz w:val="21"/>
                <w:szCs w:val="21"/>
              </w:rPr>
              <w:t>III</w:t>
            </w:r>
          </w:p>
        </w:tc>
      </w:tr>
      <w:tr w14:paraId="146D7B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67F6B9B1">
            <w:pPr>
              <w:kinsoku w:val="0"/>
              <w:overflowPunct w:val="0"/>
              <w:spacing w:line="240" w:lineRule="auto"/>
              <w:ind w:firstLine="0" w:firstLineChars="0"/>
              <w:jc w:val="center"/>
              <w:rPr>
                <w:color w:val="auto"/>
                <w:sz w:val="21"/>
                <w:szCs w:val="21"/>
              </w:rPr>
            </w:pPr>
            <w:r>
              <w:rPr>
                <w:color w:val="auto"/>
                <w:sz w:val="21"/>
                <w:szCs w:val="21"/>
              </w:rPr>
              <w:t>铝</w:t>
            </w:r>
          </w:p>
        </w:tc>
        <w:tc>
          <w:tcPr>
            <w:tcW w:w="489" w:type="pct"/>
            <w:vAlign w:val="center"/>
          </w:tcPr>
          <w:p w14:paraId="7F3EB98D">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vAlign w:val="center"/>
          </w:tcPr>
          <w:p w14:paraId="246158E6">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459C4100">
            <w:pPr>
              <w:widowControl/>
              <w:spacing w:line="240" w:lineRule="auto"/>
              <w:ind w:firstLine="0" w:firstLineChars="0"/>
              <w:jc w:val="center"/>
              <w:textAlignment w:val="center"/>
              <w:rPr>
                <w:color w:val="auto"/>
                <w:sz w:val="21"/>
                <w:szCs w:val="21"/>
              </w:rPr>
            </w:pPr>
            <w:r>
              <w:rPr>
                <w:color w:val="auto"/>
                <w:kern w:val="0"/>
                <w:sz w:val="21"/>
                <w:szCs w:val="21"/>
                <w:lang w:bidi="ar"/>
              </w:rPr>
              <w:t>ND</w:t>
            </w:r>
          </w:p>
        </w:tc>
        <w:tc>
          <w:tcPr>
            <w:tcW w:w="849" w:type="pct"/>
            <w:vAlign w:val="center"/>
          </w:tcPr>
          <w:p w14:paraId="167687DA">
            <w:pPr>
              <w:widowControl/>
              <w:spacing w:line="240" w:lineRule="auto"/>
              <w:ind w:firstLine="0" w:firstLineChars="0"/>
              <w:jc w:val="center"/>
              <w:textAlignment w:val="center"/>
              <w:rPr>
                <w:color w:val="auto"/>
                <w:sz w:val="21"/>
                <w:szCs w:val="21"/>
              </w:rPr>
            </w:pPr>
            <w:r>
              <w:rPr>
                <w:color w:val="auto"/>
                <w:kern w:val="0"/>
                <w:sz w:val="21"/>
                <w:szCs w:val="21"/>
                <w:lang w:bidi="ar"/>
              </w:rPr>
              <w:t>0.088</w:t>
            </w:r>
          </w:p>
        </w:tc>
        <w:tc>
          <w:tcPr>
            <w:tcW w:w="833" w:type="pct"/>
            <w:vAlign w:val="center"/>
          </w:tcPr>
          <w:p w14:paraId="5C466A6B">
            <w:pPr>
              <w:widowControl/>
              <w:spacing w:line="240" w:lineRule="auto"/>
              <w:ind w:firstLine="0" w:firstLineChars="0"/>
              <w:jc w:val="center"/>
              <w:textAlignment w:val="center"/>
              <w:rPr>
                <w:color w:val="auto"/>
                <w:sz w:val="21"/>
                <w:szCs w:val="21"/>
              </w:rPr>
            </w:pPr>
            <w:r>
              <w:rPr>
                <w:color w:val="auto"/>
                <w:kern w:val="0"/>
                <w:sz w:val="21"/>
                <w:szCs w:val="21"/>
                <w:lang w:bidi="ar"/>
              </w:rPr>
              <w:t>0.013</w:t>
            </w:r>
          </w:p>
        </w:tc>
      </w:tr>
      <w:tr w14:paraId="6735A3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trPr>
        <w:tc>
          <w:tcPr>
            <w:tcW w:w="1052" w:type="pct"/>
            <w:vMerge w:val="continue"/>
            <w:vAlign w:val="center"/>
          </w:tcPr>
          <w:p w14:paraId="4735A3D4">
            <w:pPr>
              <w:kinsoku w:val="0"/>
              <w:overflowPunct w:val="0"/>
              <w:spacing w:line="240" w:lineRule="auto"/>
              <w:ind w:firstLine="0" w:firstLineChars="0"/>
              <w:jc w:val="center"/>
              <w:rPr>
                <w:color w:val="auto"/>
                <w:sz w:val="21"/>
                <w:szCs w:val="21"/>
              </w:rPr>
            </w:pPr>
          </w:p>
        </w:tc>
        <w:tc>
          <w:tcPr>
            <w:tcW w:w="489" w:type="pct"/>
            <w:vAlign w:val="center"/>
          </w:tcPr>
          <w:p w14:paraId="6FDACDFC">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vAlign w:val="center"/>
          </w:tcPr>
          <w:p w14:paraId="381D31CF">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530CB661">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29BD7B76">
            <w:pPr>
              <w:kinsoku w:val="0"/>
              <w:overflowPunct w:val="0"/>
              <w:spacing w:line="240" w:lineRule="auto"/>
              <w:ind w:firstLine="0" w:firstLineChars="0"/>
              <w:jc w:val="center"/>
              <w:rPr>
                <w:color w:val="auto"/>
                <w:sz w:val="21"/>
                <w:szCs w:val="21"/>
              </w:rPr>
            </w:pPr>
            <w:r>
              <w:rPr>
                <w:rFonts w:hint="eastAsia"/>
                <w:color w:val="auto"/>
                <w:sz w:val="21"/>
                <w:szCs w:val="21"/>
              </w:rPr>
              <w:t>III</w:t>
            </w:r>
          </w:p>
        </w:tc>
        <w:tc>
          <w:tcPr>
            <w:tcW w:w="833" w:type="pct"/>
            <w:vAlign w:val="center"/>
          </w:tcPr>
          <w:p w14:paraId="653617A3">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61C153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0FD8E1C9">
            <w:pPr>
              <w:kinsoku w:val="0"/>
              <w:overflowPunct w:val="0"/>
              <w:spacing w:line="240" w:lineRule="auto"/>
              <w:ind w:firstLine="0" w:firstLineChars="0"/>
              <w:jc w:val="center"/>
              <w:rPr>
                <w:color w:val="auto"/>
                <w:sz w:val="21"/>
                <w:szCs w:val="21"/>
              </w:rPr>
            </w:pPr>
            <w:r>
              <w:rPr>
                <w:color w:val="auto"/>
                <w:sz w:val="21"/>
                <w:szCs w:val="21"/>
              </w:rPr>
              <w:t>细菌总数</w:t>
            </w:r>
          </w:p>
        </w:tc>
        <w:tc>
          <w:tcPr>
            <w:tcW w:w="489" w:type="pct"/>
            <w:shd w:val="clear" w:color="auto" w:fill="auto"/>
            <w:vAlign w:val="center"/>
          </w:tcPr>
          <w:p w14:paraId="0E5AA35B">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shd w:val="clear" w:color="auto" w:fill="auto"/>
            <w:vAlign w:val="center"/>
          </w:tcPr>
          <w:p w14:paraId="46398A8A">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2884979E">
            <w:pPr>
              <w:spacing w:line="240" w:lineRule="auto"/>
              <w:ind w:firstLine="0" w:firstLineChars="0"/>
              <w:jc w:val="center"/>
              <w:rPr>
                <w:color w:val="auto"/>
                <w:sz w:val="21"/>
                <w:szCs w:val="21"/>
              </w:rPr>
            </w:pPr>
            <w:r>
              <w:rPr>
                <w:color w:val="auto"/>
                <w:sz w:val="21"/>
                <w:szCs w:val="21"/>
                <w:lang w:bidi="ar"/>
              </w:rPr>
              <w:t>19</w:t>
            </w:r>
          </w:p>
        </w:tc>
        <w:tc>
          <w:tcPr>
            <w:tcW w:w="849" w:type="pct"/>
            <w:vAlign w:val="center"/>
          </w:tcPr>
          <w:p w14:paraId="01B946D1">
            <w:pPr>
              <w:spacing w:line="240" w:lineRule="auto"/>
              <w:ind w:firstLine="0" w:firstLineChars="0"/>
              <w:jc w:val="center"/>
              <w:rPr>
                <w:color w:val="auto"/>
                <w:sz w:val="21"/>
                <w:szCs w:val="21"/>
              </w:rPr>
            </w:pPr>
            <w:r>
              <w:rPr>
                <w:color w:val="auto"/>
                <w:sz w:val="21"/>
                <w:szCs w:val="21"/>
                <w:lang w:bidi="ar"/>
              </w:rPr>
              <w:t>23</w:t>
            </w:r>
          </w:p>
        </w:tc>
        <w:tc>
          <w:tcPr>
            <w:tcW w:w="833" w:type="pct"/>
            <w:vAlign w:val="center"/>
          </w:tcPr>
          <w:p w14:paraId="3BDE7F2A">
            <w:pPr>
              <w:spacing w:line="240" w:lineRule="auto"/>
              <w:ind w:firstLine="0" w:firstLineChars="0"/>
              <w:jc w:val="center"/>
              <w:rPr>
                <w:color w:val="auto"/>
                <w:sz w:val="21"/>
                <w:szCs w:val="21"/>
              </w:rPr>
            </w:pPr>
            <w:r>
              <w:rPr>
                <w:color w:val="auto"/>
                <w:sz w:val="21"/>
                <w:szCs w:val="21"/>
                <w:lang w:bidi="ar"/>
              </w:rPr>
              <w:t>22</w:t>
            </w:r>
          </w:p>
        </w:tc>
      </w:tr>
      <w:tr w14:paraId="68FA9D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50B83B95">
            <w:pPr>
              <w:kinsoku w:val="0"/>
              <w:overflowPunct w:val="0"/>
              <w:spacing w:line="240" w:lineRule="auto"/>
              <w:ind w:firstLine="0" w:firstLineChars="0"/>
              <w:jc w:val="center"/>
              <w:rPr>
                <w:color w:val="auto"/>
                <w:sz w:val="21"/>
                <w:szCs w:val="21"/>
              </w:rPr>
            </w:pPr>
          </w:p>
        </w:tc>
        <w:tc>
          <w:tcPr>
            <w:tcW w:w="489" w:type="pct"/>
            <w:shd w:val="clear" w:color="auto" w:fill="auto"/>
            <w:vAlign w:val="center"/>
          </w:tcPr>
          <w:p w14:paraId="46D29CBE">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shd w:val="clear" w:color="auto" w:fill="auto"/>
            <w:vAlign w:val="center"/>
          </w:tcPr>
          <w:p w14:paraId="18D40828">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1949A5EC">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49" w:type="pct"/>
            <w:vAlign w:val="center"/>
          </w:tcPr>
          <w:p w14:paraId="396F1BD6">
            <w:pPr>
              <w:kinsoku w:val="0"/>
              <w:overflowPunct w:val="0"/>
              <w:spacing w:line="240" w:lineRule="auto"/>
              <w:ind w:firstLine="0" w:firstLineChars="0"/>
              <w:jc w:val="center"/>
              <w:rPr>
                <w:color w:val="auto"/>
                <w:sz w:val="21"/>
                <w:szCs w:val="21"/>
              </w:rPr>
            </w:pPr>
            <w:r>
              <w:rPr>
                <w:rFonts w:hint="eastAsia"/>
                <w:color w:val="auto"/>
                <w:sz w:val="21"/>
                <w:szCs w:val="21"/>
              </w:rPr>
              <w:t>I</w:t>
            </w:r>
          </w:p>
        </w:tc>
        <w:tc>
          <w:tcPr>
            <w:tcW w:w="833" w:type="pct"/>
            <w:vAlign w:val="center"/>
          </w:tcPr>
          <w:p w14:paraId="768BB70E">
            <w:pPr>
              <w:kinsoku w:val="0"/>
              <w:overflowPunct w:val="0"/>
              <w:spacing w:line="240" w:lineRule="auto"/>
              <w:ind w:firstLine="0" w:firstLineChars="0"/>
              <w:jc w:val="center"/>
              <w:rPr>
                <w:color w:val="auto"/>
                <w:sz w:val="21"/>
                <w:szCs w:val="21"/>
              </w:rPr>
            </w:pPr>
            <w:r>
              <w:rPr>
                <w:rFonts w:hint="eastAsia"/>
                <w:color w:val="auto"/>
                <w:sz w:val="21"/>
                <w:szCs w:val="21"/>
              </w:rPr>
              <w:t>I</w:t>
            </w:r>
          </w:p>
        </w:tc>
      </w:tr>
      <w:tr w14:paraId="4B00CC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71879C13">
            <w:pPr>
              <w:kinsoku w:val="0"/>
              <w:overflowPunct w:val="0"/>
              <w:spacing w:line="240" w:lineRule="auto"/>
              <w:ind w:firstLine="0" w:firstLineChars="0"/>
              <w:jc w:val="center"/>
              <w:rPr>
                <w:color w:val="auto"/>
                <w:sz w:val="21"/>
                <w:szCs w:val="21"/>
              </w:rPr>
            </w:pPr>
            <w:r>
              <w:rPr>
                <w:color w:val="auto"/>
                <w:sz w:val="21"/>
                <w:szCs w:val="21"/>
              </w:rPr>
              <w:t>阴离子表面活性剂</w:t>
            </w:r>
          </w:p>
        </w:tc>
        <w:tc>
          <w:tcPr>
            <w:tcW w:w="489" w:type="pct"/>
            <w:shd w:val="clear" w:color="auto" w:fill="auto"/>
            <w:vAlign w:val="center"/>
          </w:tcPr>
          <w:p w14:paraId="7A7B6ED9">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shd w:val="clear" w:color="auto" w:fill="auto"/>
            <w:vAlign w:val="center"/>
          </w:tcPr>
          <w:p w14:paraId="6C58750A">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188EE45D">
            <w:pPr>
              <w:spacing w:line="240" w:lineRule="auto"/>
              <w:ind w:firstLine="0" w:firstLineChars="0"/>
              <w:jc w:val="center"/>
              <w:rPr>
                <w:color w:val="auto"/>
                <w:sz w:val="21"/>
                <w:szCs w:val="21"/>
              </w:rPr>
            </w:pPr>
            <w:r>
              <w:rPr>
                <w:color w:val="auto"/>
                <w:sz w:val="21"/>
                <w:szCs w:val="21"/>
                <w:lang w:bidi="ar"/>
              </w:rPr>
              <w:t>ND</w:t>
            </w:r>
          </w:p>
        </w:tc>
        <w:tc>
          <w:tcPr>
            <w:tcW w:w="849" w:type="pct"/>
            <w:vAlign w:val="center"/>
          </w:tcPr>
          <w:p w14:paraId="3CDB94A2">
            <w:pPr>
              <w:spacing w:line="240" w:lineRule="auto"/>
              <w:ind w:firstLine="0" w:firstLineChars="0"/>
              <w:jc w:val="center"/>
              <w:rPr>
                <w:color w:val="auto"/>
                <w:sz w:val="21"/>
                <w:szCs w:val="21"/>
              </w:rPr>
            </w:pPr>
            <w:r>
              <w:rPr>
                <w:color w:val="auto"/>
                <w:sz w:val="21"/>
                <w:szCs w:val="21"/>
                <w:lang w:bidi="ar"/>
              </w:rPr>
              <w:t>ND</w:t>
            </w:r>
          </w:p>
        </w:tc>
        <w:tc>
          <w:tcPr>
            <w:tcW w:w="833" w:type="pct"/>
            <w:vAlign w:val="center"/>
          </w:tcPr>
          <w:p w14:paraId="4EE1E451">
            <w:pPr>
              <w:spacing w:line="240" w:lineRule="auto"/>
              <w:ind w:firstLine="0" w:firstLineChars="0"/>
              <w:jc w:val="center"/>
              <w:rPr>
                <w:color w:val="auto"/>
                <w:sz w:val="21"/>
                <w:szCs w:val="21"/>
              </w:rPr>
            </w:pPr>
            <w:r>
              <w:rPr>
                <w:color w:val="auto"/>
                <w:sz w:val="21"/>
                <w:szCs w:val="21"/>
                <w:lang w:bidi="ar"/>
              </w:rPr>
              <w:t>ND</w:t>
            </w:r>
          </w:p>
        </w:tc>
      </w:tr>
      <w:tr w14:paraId="206A4A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78B6B764">
            <w:pPr>
              <w:kinsoku w:val="0"/>
              <w:overflowPunct w:val="0"/>
              <w:spacing w:line="240" w:lineRule="auto"/>
              <w:ind w:firstLine="0" w:firstLineChars="0"/>
              <w:jc w:val="center"/>
              <w:rPr>
                <w:color w:val="auto"/>
                <w:sz w:val="21"/>
                <w:szCs w:val="21"/>
              </w:rPr>
            </w:pPr>
          </w:p>
        </w:tc>
        <w:tc>
          <w:tcPr>
            <w:tcW w:w="489" w:type="pct"/>
            <w:shd w:val="clear" w:color="auto" w:fill="auto"/>
            <w:vAlign w:val="center"/>
          </w:tcPr>
          <w:p w14:paraId="14A66A0C">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shd w:val="clear" w:color="auto" w:fill="auto"/>
            <w:vAlign w:val="center"/>
          </w:tcPr>
          <w:p w14:paraId="4F3F056E">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3FC03A35">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4C85D6A6">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45887E83">
            <w:pPr>
              <w:kinsoku w:val="0"/>
              <w:overflowPunct w:val="0"/>
              <w:spacing w:line="240" w:lineRule="auto"/>
              <w:ind w:firstLine="0" w:firstLineChars="0"/>
              <w:jc w:val="center"/>
              <w:rPr>
                <w:color w:val="auto"/>
                <w:sz w:val="21"/>
                <w:szCs w:val="21"/>
              </w:rPr>
            </w:pPr>
            <w:r>
              <w:rPr>
                <w:rFonts w:hint="eastAsia"/>
                <w:color w:val="auto"/>
                <w:sz w:val="21"/>
                <w:szCs w:val="21"/>
              </w:rPr>
              <w:t>II</w:t>
            </w:r>
          </w:p>
        </w:tc>
      </w:tr>
      <w:tr w14:paraId="24F2D8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restart"/>
            <w:vAlign w:val="center"/>
          </w:tcPr>
          <w:p w14:paraId="28AA5BA2">
            <w:pPr>
              <w:kinsoku w:val="0"/>
              <w:overflowPunct w:val="0"/>
              <w:spacing w:line="240" w:lineRule="auto"/>
              <w:ind w:firstLine="0" w:firstLineChars="0"/>
              <w:jc w:val="center"/>
              <w:rPr>
                <w:color w:val="auto"/>
                <w:sz w:val="21"/>
                <w:szCs w:val="21"/>
              </w:rPr>
            </w:pPr>
            <w:r>
              <w:rPr>
                <w:color w:val="auto"/>
                <w:sz w:val="21"/>
                <w:szCs w:val="21"/>
              </w:rPr>
              <w:t>硫化物</w:t>
            </w:r>
          </w:p>
        </w:tc>
        <w:tc>
          <w:tcPr>
            <w:tcW w:w="489" w:type="pct"/>
            <w:shd w:val="clear" w:color="auto" w:fill="auto"/>
            <w:vAlign w:val="center"/>
          </w:tcPr>
          <w:p w14:paraId="2A8A1D8F">
            <w:pPr>
              <w:kinsoku w:val="0"/>
              <w:overflowPunct w:val="0"/>
              <w:spacing w:line="240" w:lineRule="auto"/>
              <w:ind w:firstLine="0" w:firstLineChars="0"/>
              <w:jc w:val="center"/>
              <w:rPr>
                <w:color w:val="auto"/>
                <w:sz w:val="21"/>
                <w:szCs w:val="21"/>
              </w:rPr>
            </w:pPr>
            <w:r>
              <w:rPr>
                <w:color w:val="auto"/>
                <w:sz w:val="21"/>
                <w:szCs w:val="21"/>
              </w:rPr>
              <w:t>检测值</w:t>
            </w:r>
          </w:p>
        </w:tc>
        <w:tc>
          <w:tcPr>
            <w:tcW w:w="771" w:type="pct"/>
            <w:shd w:val="clear" w:color="auto" w:fill="auto"/>
            <w:vAlign w:val="center"/>
          </w:tcPr>
          <w:p w14:paraId="0F9CCA46">
            <w:pPr>
              <w:kinsoku w:val="0"/>
              <w:overflowPunct w:val="0"/>
              <w:spacing w:line="240" w:lineRule="auto"/>
              <w:ind w:firstLine="0" w:firstLineChars="0"/>
              <w:jc w:val="center"/>
              <w:rPr>
                <w:color w:val="auto"/>
                <w:sz w:val="21"/>
                <w:szCs w:val="21"/>
              </w:rPr>
            </w:pPr>
            <w:r>
              <w:rPr>
                <w:color w:val="auto"/>
                <w:sz w:val="21"/>
                <w:szCs w:val="21"/>
              </w:rPr>
              <w:t>mg/L</w:t>
            </w:r>
          </w:p>
        </w:tc>
        <w:tc>
          <w:tcPr>
            <w:tcW w:w="1003" w:type="pct"/>
            <w:vAlign w:val="center"/>
          </w:tcPr>
          <w:p w14:paraId="0D08924F">
            <w:pPr>
              <w:spacing w:line="240" w:lineRule="auto"/>
              <w:ind w:firstLine="0" w:firstLineChars="0"/>
              <w:jc w:val="center"/>
              <w:rPr>
                <w:color w:val="auto"/>
                <w:sz w:val="21"/>
                <w:szCs w:val="21"/>
              </w:rPr>
            </w:pPr>
            <w:r>
              <w:rPr>
                <w:color w:val="auto"/>
                <w:sz w:val="21"/>
                <w:szCs w:val="21"/>
                <w:lang w:bidi="ar"/>
              </w:rPr>
              <w:t>ND</w:t>
            </w:r>
          </w:p>
        </w:tc>
        <w:tc>
          <w:tcPr>
            <w:tcW w:w="849" w:type="pct"/>
            <w:vAlign w:val="center"/>
          </w:tcPr>
          <w:p w14:paraId="1CE1A0FD">
            <w:pPr>
              <w:spacing w:line="240" w:lineRule="auto"/>
              <w:ind w:firstLine="0" w:firstLineChars="0"/>
              <w:jc w:val="center"/>
              <w:rPr>
                <w:color w:val="auto"/>
                <w:sz w:val="21"/>
                <w:szCs w:val="21"/>
              </w:rPr>
            </w:pPr>
            <w:r>
              <w:rPr>
                <w:color w:val="auto"/>
                <w:sz w:val="21"/>
                <w:szCs w:val="21"/>
                <w:lang w:bidi="ar"/>
              </w:rPr>
              <w:t>ND</w:t>
            </w:r>
          </w:p>
        </w:tc>
        <w:tc>
          <w:tcPr>
            <w:tcW w:w="833" w:type="pct"/>
            <w:vAlign w:val="center"/>
          </w:tcPr>
          <w:p w14:paraId="16E9DDE8">
            <w:pPr>
              <w:spacing w:line="240" w:lineRule="auto"/>
              <w:ind w:firstLine="0" w:firstLineChars="0"/>
              <w:jc w:val="center"/>
              <w:rPr>
                <w:color w:val="auto"/>
                <w:sz w:val="21"/>
                <w:szCs w:val="21"/>
              </w:rPr>
            </w:pPr>
            <w:r>
              <w:rPr>
                <w:color w:val="auto"/>
                <w:sz w:val="21"/>
                <w:szCs w:val="21"/>
                <w:lang w:bidi="ar"/>
              </w:rPr>
              <w:t>ND</w:t>
            </w:r>
          </w:p>
        </w:tc>
      </w:tr>
      <w:tr w14:paraId="30BEFB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052" w:type="pct"/>
            <w:vMerge w:val="continue"/>
            <w:vAlign w:val="center"/>
          </w:tcPr>
          <w:p w14:paraId="1368DB28">
            <w:pPr>
              <w:kinsoku w:val="0"/>
              <w:overflowPunct w:val="0"/>
              <w:spacing w:line="240" w:lineRule="auto"/>
              <w:ind w:firstLine="0" w:firstLineChars="0"/>
              <w:jc w:val="center"/>
              <w:rPr>
                <w:color w:val="auto"/>
                <w:sz w:val="21"/>
                <w:szCs w:val="21"/>
              </w:rPr>
            </w:pPr>
          </w:p>
        </w:tc>
        <w:tc>
          <w:tcPr>
            <w:tcW w:w="489" w:type="pct"/>
            <w:shd w:val="clear" w:color="auto" w:fill="auto"/>
            <w:vAlign w:val="center"/>
          </w:tcPr>
          <w:p w14:paraId="38AC3E89">
            <w:pPr>
              <w:kinsoku w:val="0"/>
              <w:overflowPunct w:val="0"/>
              <w:spacing w:line="240" w:lineRule="auto"/>
              <w:ind w:firstLine="0" w:firstLineChars="0"/>
              <w:jc w:val="center"/>
              <w:rPr>
                <w:color w:val="auto"/>
                <w:sz w:val="21"/>
                <w:szCs w:val="21"/>
              </w:rPr>
            </w:pPr>
            <w:r>
              <w:rPr>
                <w:color w:val="auto"/>
                <w:sz w:val="21"/>
                <w:szCs w:val="21"/>
              </w:rPr>
              <w:t>水质类别</w:t>
            </w:r>
          </w:p>
        </w:tc>
        <w:tc>
          <w:tcPr>
            <w:tcW w:w="771" w:type="pct"/>
            <w:shd w:val="clear" w:color="auto" w:fill="auto"/>
            <w:vAlign w:val="center"/>
          </w:tcPr>
          <w:p w14:paraId="42E7DFAB">
            <w:pPr>
              <w:kinsoku w:val="0"/>
              <w:overflowPunct w:val="0"/>
              <w:spacing w:line="240" w:lineRule="auto"/>
              <w:ind w:firstLine="0" w:firstLineChars="0"/>
              <w:jc w:val="center"/>
              <w:rPr>
                <w:color w:val="auto"/>
                <w:sz w:val="21"/>
                <w:szCs w:val="21"/>
              </w:rPr>
            </w:pPr>
            <w:r>
              <w:rPr>
                <w:color w:val="auto"/>
                <w:sz w:val="21"/>
                <w:szCs w:val="21"/>
              </w:rPr>
              <w:t>/</w:t>
            </w:r>
          </w:p>
        </w:tc>
        <w:tc>
          <w:tcPr>
            <w:tcW w:w="1003" w:type="pct"/>
            <w:vAlign w:val="center"/>
          </w:tcPr>
          <w:p w14:paraId="547C6B0D">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49" w:type="pct"/>
            <w:vAlign w:val="center"/>
          </w:tcPr>
          <w:p w14:paraId="4423B9F3">
            <w:pPr>
              <w:kinsoku w:val="0"/>
              <w:overflowPunct w:val="0"/>
              <w:spacing w:line="240" w:lineRule="auto"/>
              <w:ind w:firstLine="0" w:firstLineChars="0"/>
              <w:jc w:val="center"/>
              <w:rPr>
                <w:color w:val="auto"/>
                <w:sz w:val="21"/>
                <w:szCs w:val="21"/>
              </w:rPr>
            </w:pPr>
            <w:r>
              <w:rPr>
                <w:rFonts w:hint="eastAsia"/>
                <w:color w:val="auto"/>
                <w:sz w:val="21"/>
                <w:szCs w:val="21"/>
              </w:rPr>
              <w:t>II</w:t>
            </w:r>
          </w:p>
        </w:tc>
        <w:tc>
          <w:tcPr>
            <w:tcW w:w="833" w:type="pct"/>
            <w:vAlign w:val="center"/>
          </w:tcPr>
          <w:p w14:paraId="29A16C28">
            <w:pPr>
              <w:kinsoku w:val="0"/>
              <w:overflowPunct w:val="0"/>
              <w:spacing w:line="240" w:lineRule="auto"/>
              <w:ind w:firstLine="0" w:firstLineChars="0"/>
              <w:jc w:val="center"/>
              <w:rPr>
                <w:color w:val="auto"/>
                <w:sz w:val="21"/>
                <w:szCs w:val="21"/>
              </w:rPr>
            </w:pPr>
            <w:r>
              <w:rPr>
                <w:rFonts w:hint="eastAsia"/>
                <w:color w:val="auto"/>
                <w:sz w:val="21"/>
                <w:szCs w:val="21"/>
              </w:rPr>
              <w:t>II</w:t>
            </w:r>
          </w:p>
        </w:tc>
      </w:tr>
    </w:tbl>
    <w:p w14:paraId="29D43C58">
      <w:pPr>
        <w:pStyle w:val="1356"/>
        <w:spacing w:line="240" w:lineRule="auto"/>
        <w:ind w:firstLine="0" w:firstLineChars="0"/>
        <w:rPr>
          <w:color w:val="auto"/>
          <w:sz w:val="21"/>
          <w:szCs w:val="22"/>
        </w:rPr>
      </w:pPr>
      <w:r>
        <w:rPr>
          <w:b/>
          <w:bCs/>
          <w:color w:val="auto"/>
          <w:sz w:val="21"/>
          <w:szCs w:val="22"/>
        </w:rPr>
        <w:t>注</w:t>
      </w:r>
      <w:r>
        <w:rPr>
          <w:color w:val="auto"/>
          <w:sz w:val="21"/>
          <w:szCs w:val="22"/>
        </w:rPr>
        <w:t>：氰化物检出限为0.002mg/L；亚硝酸盐检出限为0.003mg/L；砷检出限为0.3μg/L；六价铬检出限为0.004mg/L；铁检出限为0.01mg/L；锰检出限为0.01mg/L；挥发酚检出限为0.0003mg/L；铜检出限为0.04mg/L；镍检出限为0.007mg/L；</w:t>
      </w:r>
      <w:r>
        <w:rPr>
          <w:rFonts w:hint="eastAsia"/>
          <w:color w:val="auto"/>
          <w:sz w:val="21"/>
          <w:szCs w:val="22"/>
        </w:rPr>
        <w:t>铝检出限为10</w:t>
      </w:r>
      <w:r>
        <w:rPr>
          <w:color w:val="auto"/>
          <w:sz w:val="21"/>
          <w:szCs w:val="22"/>
        </w:rPr>
        <w:t>μg/L；阴离子表面活性剂检出限为0.050mg/L；硫化物检出限为0.01mg/L。</w:t>
      </w:r>
    </w:p>
    <w:p w14:paraId="4E1BD61B">
      <w:pPr>
        <w:pStyle w:val="1356"/>
        <w:spacing w:before="120" w:beforeLines="50"/>
        <w:ind w:firstLine="480"/>
        <w:rPr>
          <w:color w:val="auto"/>
        </w:rPr>
      </w:pPr>
      <w:r>
        <w:rPr>
          <w:color w:val="auto"/>
        </w:rPr>
        <w:t>由上表可知，各监测点位（D1、D2、D3）地下水环境质量现状各监测因子中，各</w:t>
      </w:r>
      <w:r>
        <w:rPr>
          <w:rFonts w:hint="eastAsia"/>
          <w:color w:val="auto"/>
        </w:rPr>
        <w:t>监测</w:t>
      </w:r>
      <w:r>
        <w:rPr>
          <w:color w:val="auto"/>
        </w:rPr>
        <w:t>点位各项因子均能满足《地下水质量标准》（GB/T14848-2017）Ⅳ类地下水水质以上标准要求。</w:t>
      </w:r>
      <w:r>
        <w:rPr>
          <w:color w:val="auto"/>
        </w:rPr>
        <w:br w:type="page"/>
      </w:r>
    </w:p>
    <w:p w14:paraId="1CF1B75B">
      <w:pPr>
        <w:pStyle w:val="3"/>
        <w:spacing w:before="120" w:beforeLines="50"/>
        <w:ind w:firstLine="0" w:firstLineChars="0"/>
        <w:rPr>
          <w:b w:val="0"/>
          <w:bCs w:val="0"/>
          <w:color w:val="auto"/>
        </w:rPr>
      </w:pPr>
      <w:bookmarkStart w:id="132" w:name="_Toc12838"/>
      <w:r>
        <w:rPr>
          <w:rFonts w:hint="eastAsia"/>
          <w:color w:val="auto"/>
        </w:rPr>
        <w:t>6</w:t>
      </w:r>
      <w:r>
        <w:rPr>
          <w:color w:val="auto"/>
        </w:rPr>
        <w:t xml:space="preserve"> 环境影响预测与评价</w:t>
      </w:r>
      <w:bookmarkEnd w:id="132"/>
    </w:p>
    <w:p w14:paraId="0013E6F8">
      <w:pPr>
        <w:pStyle w:val="4"/>
        <w:spacing w:beforeLines="50" w:after="0"/>
        <w:ind w:firstLine="0" w:firstLineChars="0"/>
        <w:rPr>
          <w:b w:val="0"/>
          <w:bCs w:val="0"/>
          <w:color w:val="auto"/>
          <w:sz w:val="30"/>
          <w:szCs w:val="30"/>
        </w:rPr>
      </w:pPr>
      <w:bookmarkStart w:id="133" w:name="_Toc509190939"/>
      <w:bookmarkStart w:id="134" w:name="_Toc42456753"/>
      <w:bookmarkStart w:id="135" w:name="_Toc2985"/>
      <w:r>
        <w:rPr>
          <w:rFonts w:hint="eastAsia"/>
          <w:color w:val="auto"/>
          <w:sz w:val="30"/>
          <w:szCs w:val="30"/>
        </w:rPr>
        <w:t>6</w:t>
      </w:r>
      <w:r>
        <w:rPr>
          <w:color w:val="auto"/>
          <w:sz w:val="30"/>
          <w:szCs w:val="30"/>
        </w:rPr>
        <w:t>.1 施工期环境影响分析</w:t>
      </w:r>
      <w:bookmarkEnd w:id="133"/>
      <w:bookmarkEnd w:id="134"/>
      <w:bookmarkEnd w:id="135"/>
    </w:p>
    <w:p w14:paraId="16906175">
      <w:pPr>
        <w:keepNext/>
        <w:keepLines/>
        <w:spacing w:before="120" w:beforeLines="50"/>
        <w:ind w:firstLine="0" w:firstLineChars="0"/>
        <w:outlineLvl w:val="2"/>
        <w:rPr>
          <w:b/>
          <w:bCs/>
          <w:color w:val="auto"/>
          <w:sz w:val="28"/>
          <w:szCs w:val="28"/>
        </w:rPr>
      </w:pPr>
      <w:r>
        <w:rPr>
          <w:rFonts w:hint="eastAsia"/>
          <w:b/>
          <w:bCs/>
          <w:color w:val="auto"/>
          <w:sz w:val="28"/>
          <w:szCs w:val="28"/>
        </w:rPr>
        <w:t>6</w:t>
      </w:r>
      <w:r>
        <w:rPr>
          <w:b/>
          <w:bCs/>
          <w:color w:val="auto"/>
          <w:sz w:val="28"/>
          <w:szCs w:val="28"/>
        </w:rPr>
        <w:t>.1.1 施工期废气环境影响分析及防治对策</w:t>
      </w:r>
    </w:p>
    <w:p w14:paraId="3BF7832C">
      <w:pPr>
        <w:ind w:firstLine="482"/>
        <w:rPr>
          <w:b/>
          <w:color w:val="auto"/>
        </w:rPr>
      </w:pPr>
      <w:r>
        <w:rPr>
          <w:b/>
          <w:color w:val="auto"/>
        </w:rPr>
        <w:t>1、施工作业扬尘影响分析</w:t>
      </w:r>
    </w:p>
    <w:p w14:paraId="217002ED">
      <w:pPr>
        <w:ind w:firstLine="480"/>
        <w:rPr>
          <w:color w:val="auto"/>
        </w:rPr>
      </w:pPr>
      <w:r>
        <w:rPr>
          <w:color w:val="auto"/>
        </w:rPr>
        <w:t>施工起尘量的多少取决于风力大小，物料干湿程度、施工工艺、施工机械设备、作业文明程度、场地条件等因素。因施工尘土的含水量比较低，颗粒较小，在风速大于3m/s时，施工过程会有扬尘产生。这部分扬尘大部分在施工场地附近沉降。根据类比调查资料，由于粉尘颗粒的重力沉降作用，施工工地扬尘的污染影响范围和程度随着距离的不同而有所差异，在施工场地及其下风向0～50m为较重污染带，50～100m为污染带，100～200m为轻污染带，200m以外对空气影响甚微。</w:t>
      </w:r>
    </w:p>
    <w:p w14:paraId="612CFA7D">
      <w:pPr>
        <w:ind w:firstLine="480"/>
        <w:rPr>
          <w:color w:val="auto"/>
        </w:rPr>
      </w:pPr>
      <w:r>
        <w:rPr>
          <w:color w:val="auto"/>
        </w:rPr>
        <w:t>本项目施工期产生的大气污染物均属无组织排放，在时间及空间上均较零散，采用类比调查的方法进行分析：</w:t>
      </w:r>
    </w:p>
    <w:p w14:paraId="159276B0">
      <w:pPr>
        <w:ind w:firstLine="480"/>
        <w:rPr>
          <w:color w:val="auto"/>
        </w:rPr>
      </w:pPr>
      <w:r>
        <w:rPr>
          <w:color w:val="auto"/>
        </w:rPr>
        <w:t>①根据类比调查资料，运输车辆下风向50m处TSP浓度为11.62mg/m</w:t>
      </w:r>
      <w:r>
        <w:rPr>
          <w:color w:val="auto"/>
          <w:vertAlign w:val="superscript"/>
        </w:rPr>
        <w:t>3</w:t>
      </w:r>
      <w:r>
        <w:rPr>
          <w:color w:val="auto"/>
        </w:rPr>
        <w:t>，下风向100m处为9.69mg/m</w:t>
      </w:r>
      <w:r>
        <w:rPr>
          <w:color w:val="auto"/>
          <w:vertAlign w:val="superscript"/>
        </w:rPr>
        <w:t>3</w:t>
      </w:r>
      <w:r>
        <w:rPr>
          <w:color w:val="auto"/>
        </w:rPr>
        <w:t>，下风向150m处为5.09mg/m</w:t>
      </w:r>
      <w:r>
        <w:rPr>
          <w:color w:val="auto"/>
          <w:vertAlign w:val="superscript"/>
        </w:rPr>
        <w:t>3</w:t>
      </w:r>
      <w:r>
        <w:rPr>
          <w:color w:val="auto"/>
        </w:rPr>
        <w:t>。</w:t>
      </w:r>
    </w:p>
    <w:p w14:paraId="2EDFF948">
      <w:pPr>
        <w:ind w:firstLine="480"/>
        <w:rPr>
          <w:color w:val="auto"/>
        </w:rPr>
      </w:pPr>
      <w:r>
        <w:rPr>
          <w:color w:val="auto"/>
        </w:rPr>
        <w:t>②根据类比调查资料，如不采取抑尘措施和阻挡措施，土石方周转场扬尘会对周边300m范围内环境空气产生一定影响。其中不同风速、不同大气稳定度条件下，距离堆场100m处最大浓度为3.02mg/m</w:t>
      </w:r>
      <w:r>
        <w:rPr>
          <w:color w:val="auto"/>
          <w:vertAlign w:val="superscript"/>
        </w:rPr>
        <w:t>3</w:t>
      </w:r>
      <w:r>
        <w:rPr>
          <w:color w:val="auto"/>
        </w:rPr>
        <w:t>，200m处最大浓度为2.00mg/m</w:t>
      </w:r>
      <w:r>
        <w:rPr>
          <w:color w:val="auto"/>
          <w:vertAlign w:val="superscript"/>
        </w:rPr>
        <w:t>3</w:t>
      </w:r>
      <w:r>
        <w:rPr>
          <w:color w:val="auto"/>
        </w:rPr>
        <w:t>，250m处最大浓度为1.73mg/m</w:t>
      </w:r>
      <w:r>
        <w:rPr>
          <w:color w:val="auto"/>
          <w:vertAlign w:val="superscript"/>
        </w:rPr>
        <w:t>3</w:t>
      </w:r>
      <w:r>
        <w:rPr>
          <w:color w:val="auto"/>
        </w:rPr>
        <w:t>，300m处最大浓度为1.64mg/m</w:t>
      </w:r>
      <w:r>
        <w:rPr>
          <w:color w:val="auto"/>
          <w:vertAlign w:val="superscript"/>
        </w:rPr>
        <w:t>3</w:t>
      </w:r>
      <w:r>
        <w:rPr>
          <w:color w:val="auto"/>
        </w:rPr>
        <w:t>。</w:t>
      </w:r>
    </w:p>
    <w:p w14:paraId="616B1399">
      <w:pPr>
        <w:ind w:firstLine="480"/>
        <w:rPr>
          <w:color w:val="auto"/>
        </w:rPr>
      </w:pPr>
      <w:r>
        <w:rPr>
          <w:color w:val="auto"/>
        </w:rPr>
        <w:t>③</w:t>
      </w:r>
      <w:r>
        <w:rPr>
          <w:rFonts w:hint="eastAsia"/>
          <w:color w:val="auto"/>
        </w:rPr>
        <w:t>其他作业</w:t>
      </w:r>
      <w:r>
        <w:rPr>
          <w:color w:val="auto"/>
        </w:rPr>
        <w:t>环节如场地平整、材料运输和堆存等施工作业产生的扬尘污染，在正常风况下，一般可控制在施工现场50～100m范围内，在此范围以外符合《环境空气质量标准》（GB3095-2012）二级标准。</w:t>
      </w:r>
    </w:p>
    <w:p w14:paraId="63DBC99E">
      <w:pPr>
        <w:ind w:firstLine="480"/>
        <w:rPr>
          <w:color w:val="auto"/>
        </w:rPr>
      </w:pPr>
      <w:r>
        <w:rPr>
          <w:color w:val="auto"/>
        </w:rPr>
        <w:t>物料堆放场采取苫盖、洒水措施后，TSP浓度明显降低，采取措施前、后TSP浓度对比见表</w:t>
      </w:r>
      <w:r>
        <w:rPr>
          <w:rFonts w:hint="eastAsia"/>
          <w:color w:val="auto"/>
        </w:rPr>
        <w:t>6</w:t>
      </w:r>
      <w:r>
        <w:rPr>
          <w:color w:val="auto"/>
        </w:rPr>
        <w:t>.1-1。</w:t>
      </w:r>
    </w:p>
    <w:p w14:paraId="01D2A7F7">
      <w:pPr>
        <w:spacing w:line="240" w:lineRule="auto"/>
        <w:ind w:firstLine="0" w:firstLineChars="0"/>
        <w:jc w:val="center"/>
        <w:rPr>
          <w:b/>
          <w:bCs/>
          <w:color w:val="auto"/>
        </w:rPr>
      </w:pPr>
      <w:r>
        <w:rPr>
          <w:b/>
          <w:bCs/>
          <w:color w:val="auto"/>
        </w:rPr>
        <w:t>表</w:t>
      </w:r>
      <w:r>
        <w:rPr>
          <w:rFonts w:hint="eastAsia"/>
          <w:b/>
          <w:bCs/>
          <w:color w:val="auto"/>
        </w:rPr>
        <w:t>6</w:t>
      </w:r>
      <w:r>
        <w:rPr>
          <w:b/>
          <w:bCs/>
          <w:color w:val="auto"/>
        </w:rPr>
        <w:t>.1-1  施工场地TSP浓度变化对比表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50"/>
        <w:gridCol w:w="2350"/>
        <w:gridCol w:w="2350"/>
        <w:gridCol w:w="2351"/>
      </w:tblGrid>
      <w:tr w14:paraId="49AEBA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9" w:type="pct"/>
            <w:gridSpan w:val="2"/>
            <w:vAlign w:val="center"/>
          </w:tcPr>
          <w:p w14:paraId="098261FC">
            <w:pPr>
              <w:autoSpaceDE w:val="0"/>
              <w:autoSpaceDN w:val="0"/>
              <w:spacing w:line="240" w:lineRule="auto"/>
              <w:ind w:firstLine="0" w:firstLineChars="0"/>
              <w:jc w:val="center"/>
              <w:rPr>
                <w:b/>
                <w:color w:val="auto"/>
                <w:sz w:val="21"/>
                <w:szCs w:val="18"/>
              </w:rPr>
            </w:pPr>
            <w:r>
              <w:rPr>
                <w:b/>
                <w:color w:val="auto"/>
                <w:sz w:val="21"/>
                <w:szCs w:val="18"/>
              </w:rPr>
              <w:t>监测点位</w:t>
            </w:r>
          </w:p>
        </w:tc>
        <w:tc>
          <w:tcPr>
            <w:tcW w:w="1250" w:type="pct"/>
            <w:vAlign w:val="center"/>
          </w:tcPr>
          <w:p w14:paraId="69F5BD50">
            <w:pPr>
              <w:autoSpaceDE w:val="0"/>
              <w:autoSpaceDN w:val="0"/>
              <w:spacing w:line="240" w:lineRule="auto"/>
              <w:ind w:firstLine="0" w:firstLineChars="0"/>
              <w:jc w:val="center"/>
              <w:rPr>
                <w:b/>
                <w:color w:val="auto"/>
                <w:sz w:val="21"/>
                <w:szCs w:val="18"/>
              </w:rPr>
            </w:pPr>
            <w:r>
              <w:rPr>
                <w:b/>
                <w:color w:val="auto"/>
                <w:sz w:val="21"/>
                <w:szCs w:val="18"/>
              </w:rPr>
              <w:t>场地不洒水</w:t>
            </w:r>
          </w:p>
        </w:tc>
        <w:tc>
          <w:tcPr>
            <w:tcW w:w="1250" w:type="pct"/>
            <w:vAlign w:val="center"/>
          </w:tcPr>
          <w:p w14:paraId="136CA2D0">
            <w:pPr>
              <w:autoSpaceDE w:val="0"/>
              <w:autoSpaceDN w:val="0"/>
              <w:spacing w:line="240" w:lineRule="auto"/>
              <w:ind w:firstLine="0" w:firstLineChars="0"/>
              <w:jc w:val="center"/>
              <w:rPr>
                <w:b/>
                <w:color w:val="auto"/>
                <w:sz w:val="21"/>
                <w:szCs w:val="18"/>
              </w:rPr>
            </w:pPr>
            <w:r>
              <w:rPr>
                <w:b/>
                <w:color w:val="auto"/>
                <w:sz w:val="21"/>
                <w:szCs w:val="18"/>
              </w:rPr>
              <w:t>场地洒水后</w:t>
            </w:r>
          </w:p>
        </w:tc>
      </w:tr>
      <w:tr w14:paraId="01970C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restart"/>
            <w:vAlign w:val="center"/>
          </w:tcPr>
          <w:p w14:paraId="4F2E641B">
            <w:pPr>
              <w:autoSpaceDE w:val="0"/>
              <w:autoSpaceDN w:val="0"/>
              <w:spacing w:line="240" w:lineRule="auto"/>
              <w:ind w:firstLine="0" w:firstLineChars="0"/>
              <w:jc w:val="center"/>
              <w:rPr>
                <w:color w:val="auto"/>
                <w:sz w:val="21"/>
                <w:szCs w:val="18"/>
              </w:rPr>
            </w:pPr>
            <w:r>
              <w:rPr>
                <w:color w:val="auto"/>
                <w:sz w:val="21"/>
                <w:szCs w:val="18"/>
              </w:rPr>
              <w:t>距场地不同距离处TSP的浓度值（mg/m</w:t>
            </w:r>
            <w:r>
              <w:rPr>
                <w:color w:val="auto"/>
                <w:sz w:val="21"/>
                <w:szCs w:val="18"/>
                <w:vertAlign w:val="superscript"/>
              </w:rPr>
              <w:t>3</w:t>
            </w:r>
            <w:r>
              <w:rPr>
                <w:color w:val="auto"/>
                <w:sz w:val="21"/>
                <w:szCs w:val="18"/>
              </w:rPr>
              <w:t>）</w:t>
            </w:r>
          </w:p>
        </w:tc>
        <w:tc>
          <w:tcPr>
            <w:tcW w:w="1250" w:type="pct"/>
            <w:vAlign w:val="center"/>
          </w:tcPr>
          <w:p w14:paraId="41C33FDE">
            <w:pPr>
              <w:autoSpaceDE w:val="0"/>
              <w:autoSpaceDN w:val="0"/>
              <w:spacing w:line="240" w:lineRule="auto"/>
              <w:ind w:firstLine="0" w:firstLineChars="0"/>
              <w:jc w:val="center"/>
              <w:rPr>
                <w:color w:val="auto"/>
                <w:sz w:val="21"/>
                <w:szCs w:val="18"/>
              </w:rPr>
            </w:pPr>
            <w:r>
              <w:rPr>
                <w:color w:val="auto"/>
                <w:sz w:val="21"/>
                <w:szCs w:val="18"/>
              </w:rPr>
              <w:t>10m</w:t>
            </w:r>
          </w:p>
        </w:tc>
        <w:tc>
          <w:tcPr>
            <w:tcW w:w="1250" w:type="pct"/>
            <w:vAlign w:val="center"/>
          </w:tcPr>
          <w:p w14:paraId="7A75FC3D">
            <w:pPr>
              <w:autoSpaceDE w:val="0"/>
              <w:autoSpaceDN w:val="0"/>
              <w:spacing w:line="240" w:lineRule="auto"/>
              <w:ind w:firstLine="0" w:firstLineChars="0"/>
              <w:jc w:val="center"/>
              <w:rPr>
                <w:color w:val="auto"/>
                <w:sz w:val="21"/>
                <w:szCs w:val="18"/>
              </w:rPr>
            </w:pPr>
            <w:r>
              <w:rPr>
                <w:color w:val="auto"/>
                <w:sz w:val="21"/>
                <w:szCs w:val="18"/>
              </w:rPr>
              <w:t>1.75</w:t>
            </w:r>
          </w:p>
        </w:tc>
        <w:tc>
          <w:tcPr>
            <w:tcW w:w="1250" w:type="pct"/>
            <w:vAlign w:val="center"/>
          </w:tcPr>
          <w:p w14:paraId="1B5AB323">
            <w:pPr>
              <w:autoSpaceDE w:val="0"/>
              <w:autoSpaceDN w:val="0"/>
              <w:spacing w:line="240" w:lineRule="auto"/>
              <w:ind w:firstLine="0" w:firstLineChars="0"/>
              <w:jc w:val="center"/>
              <w:rPr>
                <w:color w:val="auto"/>
                <w:sz w:val="21"/>
                <w:szCs w:val="18"/>
              </w:rPr>
            </w:pPr>
            <w:r>
              <w:rPr>
                <w:color w:val="auto"/>
                <w:sz w:val="21"/>
                <w:szCs w:val="18"/>
              </w:rPr>
              <w:t>0.437</w:t>
            </w:r>
          </w:p>
        </w:tc>
      </w:tr>
      <w:tr w14:paraId="2C8485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vAlign w:val="center"/>
          </w:tcPr>
          <w:p w14:paraId="1ACDFCDA">
            <w:pPr>
              <w:autoSpaceDE w:val="0"/>
              <w:autoSpaceDN w:val="0"/>
              <w:spacing w:line="240" w:lineRule="auto"/>
              <w:ind w:firstLine="0" w:firstLineChars="0"/>
              <w:jc w:val="center"/>
              <w:rPr>
                <w:color w:val="auto"/>
                <w:sz w:val="21"/>
                <w:szCs w:val="18"/>
              </w:rPr>
            </w:pPr>
          </w:p>
        </w:tc>
        <w:tc>
          <w:tcPr>
            <w:tcW w:w="1250" w:type="pct"/>
            <w:vAlign w:val="center"/>
          </w:tcPr>
          <w:p w14:paraId="6B69ECEB">
            <w:pPr>
              <w:autoSpaceDE w:val="0"/>
              <w:autoSpaceDN w:val="0"/>
              <w:spacing w:line="240" w:lineRule="auto"/>
              <w:ind w:firstLine="0" w:firstLineChars="0"/>
              <w:jc w:val="center"/>
              <w:rPr>
                <w:color w:val="auto"/>
                <w:sz w:val="21"/>
                <w:szCs w:val="18"/>
              </w:rPr>
            </w:pPr>
            <w:r>
              <w:rPr>
                <w:color w:val="auto"/>
                <w:sz w:val="21"/>
                <w:szCs w:val="18"/>
              </w:rPr>
              <w:t>20m</w:t>
            </w:r>
          </w:p>
        </w:tc>
        <w:tc>
          <w:tcPr>
            <w:tcW w:w="1250" w:type="pct"/>
            <w:vAlign w:val="center"/>
          </w:tcPr>
          <w:p w14:paraId="59B2E1C7">
            <w:pPr>
              <w:autoSpaceDE w:val="0"/>
              <w:autoSpaceDN w:val="0"/>
              <w:spacing w:line="240" w:lineRule="auto"/>
              <w:ind w:firstLine="0" w:firstLineChars="0"/>
              <w:jc w:val="center"/>
              <w:rPr>
                <w:color w:val="auto"/>
                <w:sz w:val="21"/>
                <w:szCs w:val="18"/>
              </w:rPr>
            </w:pPr>
            <w:r>
              <w:rPr>
                <w:color w:val="auto"/>
                <w:sz w:val="21"/>
                <w:szCs w:val="18"/>
              </w:rPr>
              <w:t>1.30</w:t>
            </w:r>
          </w:p>
        </w:tc>
        <w:tc>
          <w:tcPr>
            <w:tcW w:w="1250" w:type="pct"/>
            <w:vAlign w:val="center"/>
          </w:tcPr>
          <w:p w14:paraId="3E8C6ED4">
            <w:pPr>
              <w:autoSpaceDE w:val="0"/>
              <w:autoSpaceDN w:val="0"/>
              <w:spacing w:line="240" w:lineRule="auto"/>
              <w:ind w:firstLine="0" w:firstLineChars="0"/>
              <w:jc w:val="center"/>
              <w:rPr>
                <w:color w:val="auto"/>
                <w:sz w:val="21"/>
                <w:szCs w:val="18"/>
              </w:rPr>
            </w:pPr>
            <w:r>
              <w:rPr>
                <w:color w:val="auto"/>
                <w:sz w:val="21"/>
                <w:szCs w:val="18"/>
              </w:rPr>
              <w:t>0.350</w:t>
            </w:r>
          </w:p>
        </w:tc>
      </w:tr>
      <w:tr w14:paraId="1DCAD8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vAlign w:val="center"/>
          </w:tcPr>
          <w:p w14:paraId="72F6A242">
            <w:pPr>
              <w:autoSpaceDE w:val="0"/>
              <w:autoSpaceDN w:val="0"/>
              <w:spacing w:line="240" w:lineRule="auto"/>
              <w:ind w:firstLine="0" w:firstLineChars="0"/>
              <w:jc w:val="center"/>
              <w:rPr>
                <w:color w:val="auto"/>
                <w:sz w:val="21"/>
                <w:szCs w:val="18"/>
              </w:rPr>
            </w:pPr>
          </w:p>
        </w:tc>
        <w:tc>
          <w:tcPr>
            <w:tcW w:w="1250" w:type="pct"/>
            <w:vAlign w:val="center"/>
          </w:tcPr>
          <w:p w14:paraId="7ABBA8AC">
            <w:pPr>
              <w:autoSpaceDE w:val="0"/>
              <w:autoSpaceDN w:val="0"/>
              <w:spacing w:line="240" w:lineRule="auto"/>
              <w:ind w:firstLine="0" w:firstLineChars="0"/>
              <w:jc w:val="center"/>
              <w:rPr>
                <w:color w:val="auto"/>
                <w:sz w:val="21"/>
                <w:szCs w:val="18"/>
              </w:rPr>
            </w:pPr>
            <w:r>
              <w:rPr>
                <w:color w:val="auto"/>
                <w:sz w:val="21"/>
                <w:szCs w:val="18"/>
              </w:rPr>
              <w:t>30m</w:t>
            </w:r>
          </w:p>
        </w:tc>
        <w:tc>
          <w:tcPr>
            <w:tcW w:w="1250" w:type="pct"/>
            <w:vAlign w:val="center"/>
          </w:tcPr>
          <w:p w14:paraId="0C42C181">
            <w:pPr>
              <w:autoSpaceDE w:val="0"/>
              <w:autoSpaceDN w:val="0"/>
              <w:spacing w:line="240" w:lineRule="auto"/>
              <w:ind w:firstLine="0" w:firstLineChars="0"/>
              <w:jc w:val="center"/>
              <w:rPr>
                <w:color w:val="auto"/>
                <w:sz w:val="21"/>
                <w:szCs w:val="18"/>
              </w:rPr>
            </w:pPr>
            <w:r>
              <w:rPr>
                <w:color w:val="auto"/>
                <w:sz w:val="21"/>
                <w:szCs w:val="18"/>
              </w:rPr>
              <w:t>0.78</w:t>
            </w:r>
          </w:p>
        </w:tc>
        <w:tc>
          <w:tcPr>
            <w:tcW w:w="1250" w:type="pct"/>
            <w:vAlign w:val="center"/>
          </w:tcPr>
          <w:p w14:paraId="78061E71">
            <w:pPr>
              <w:autoSpaceDE w:val="0"/>
              <w:autoSpaceDN w:val="0"/>
              <w:spacing w:line="240" w:lineRule="auto"/>
              <w:ind w:firstLine="0" w:firstLineChars="0"/>
              <w:jc w:val="center"/>
              <w:rPr>
                <w:color w:val="auto"/>
                <w:sz w:val="21"/>
                <w:szCs w:val="18"/>
              </w:rPr>
            </w:pPr>
            <w:r>
              <w:rPr>
                <w:color w:val="auto"/>
                <w:sz w:val="21"/>
                <w:szCs w:val="18"/>
              </w:rPr>
              <w:t>0.310</w:t>
            </w:r>
          </w:p>
        </w:tc>
      </w:tr>
      <w:tr w14:paraId="6EC2FE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vAlign w:val="center"/>
          </w:tcPr>
          <w:p w14:paraId="09D40B65">
            <w:pPr>
              <w:autoSpaceDE w:val="0"/>
              <w:autoSpaceDN w:val="0"/>
              <w:spacing w:line="240" w:lineRule="auto"/>
              <w:ind w:firstLine="0" w:firstLineChars="0"/>
              <w:jc w:val="center"/>
              <w:rPr>
                <w:color w:val="auto"/>
                <w:sz w:val="21"/>
                <w:szCs w:val="18"/>
              </w:rPr>
            </w:pPr>
          </w:p>
        </w:tc>
        <w:tc>
          <w:tcPr>
            <w:tcW w:w="1250" w:type="pct"/>
            <w:vAlign w:val="center"/>
          </w:tcPr>
          <w:p w14:paraId="26C5DB63">
            <w:pPr>
              <w:autoSpaceDE w:val="0"/>
              <w:autoSpaceDN w:val="0"/>
              <w:spacing w:line="240" w:lineRule="auto"/>
              <w:ind w:firstLine="0" w:firstLineChars="0"/>
              <w:jc w:val="center"/>
              <w:rPr>
                <w:color w:val="auto"/>
                <w:sz w:val="21"/>
                <w:szCs w:val="18"/>
              </w:rPr>
            </w:pPr>
            <w:r>
              <w:rPr>
                <w:color w:val="auto"/>
                <w:sz w:val="21"/>
                <w:szCs w:val="18"/>
              </w:rPr>
              <w:t>40m</w:t>
            </w:r>
          </w:p>
        </w:tc>
        <w:tc>
          <w:tcPr>
            <w:tcW w:w="1250" w:type="pct"/>
            <w:vAlign w:val="center"/>
          </w:tcPr>
          <w:p w14:paraId="0F7E3990">
            <w:pPr>
              <w:autoSpaceDE w:val="0"/>
              <w:autoSpaceDN w:val="0"/>
              <w:spacing w:line="240" w:lineRule="auto"/>
              <w:ind w:firstLine="0" w:firstLineChars="0"/>
              <w:jc w:val="center"/>
              <w:rPr>
                <w:color w:val="auto"/>
                <w:sz w:val="21"/>
                <w:szCs w:val="18"/>
              </w:rPr>
            </w:pPr>
            <w:r>
              <w:rPr>
                <w:color w:val="auto"/>
                <w:sz w:val="21"/>
                <w:szCs w:val="18"/>
              </w:rPr>
              <w:t>0.365</w:t>
            </w:r>
          </w:p>
        </w:tc>
        <w:tc>
          <w:tcPr>
            <w:tcW w:w="1250" w:type="pct"/>
            <w:vAlign w:val="center"/>
          </w:tcPr>
          <w:p w14:paraId="7872FF8F">
            <w:pPr>
              <w:autoSpaceDE w:val="0"/>
              <w:autoSpaceDN w:val="0"/>
              <w:spacing w:line="240" w:lineRule="auto"/>
              <w:ind w:firstLine="0" w:firstLineChars="0"/>
              <w:jc w:val="center"/>
              <w:rPr>
                <w:color w:val="auto"/>
                <w:sz w:val="21"/>
                <w:szCs w:val="18"/>
              </w:rPr>
            </w:pPr>
            <w:r>
              <w:rPr>
                <w:color w:val="auto"/>
                <w:sz w:val="21"/>
                <w:szCs w:val="18"/>
              </w:rPr>
              <w:t>0.265</w:t>
            </w:r>
          </w:p>
        </w:tc>
      </w:tr>
      <w:tr w14:paraId="7D50C5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vAlign w:val="center"/>
          </w:tcPr>
          <w:p w14:paraId="49A17781">
            <w:pPr>
              <w:autoSpaceDE w:val="0"/>
              <w:autoSpaceDN w:val="0"/>
              <w:spacing w:line="240" w:lineRule="auto"/>
              <w:ind w:firstLine="0" w:firstLineChars="0"/>
              <w:jc w:val="center"/>
              <w:rPr>
                <w:color w:val="auto"/>
                <w:sz w:val="21"/>
                <w:szCs w:val="18"/>
              </w:rPr>
            </w:pPr>
          </w:p>
        </w:tc>
        <w:tc>
          <w:tcPr>
            <w:tcW w:w="1250" w:type="pct"/>
            <w:vAlign w:val="center"/>
          </w:tcPr>
          <w:p w14:paraId="527272FE">
            <w:pPr>
              <w:autoSpaceDE w:val="0"/>
              <w:autoSpaceDN w:val="0"/>
              <w:spacing w:line="240" w:lineRule="auto"/>
              <w:ind w:firstLine="0" w:firstLineChars="0"/>
              <w:jc w:val="center"/>
              <w:rPr>
                <w:color w:val="auto"/>
                <w:sz w:val="21"/>
                <w:szCs w:val="18"/>
              </w:rPr>
            </w:pPr>
            <w:r>
              <w:rPr>
                <w:color w:val="auto"/>
                <w:sz w:val="21"/>
                <w:szCs w:val="18"/>
              </w:rPr>
              <w:t>50m</w:t>
            </w:r>
          </w:p>
        </w:tc>
        <w:tc>
          <w:tcPr>
            <w:tcW w:w="1250" w:type="pct"/>
            <w:vAlign w:val="center"/>
          </w:tcPr>
          <w:p w14:paraId="0BB26008">
            <w:pPr>
              <w:autoSpaceDE w:val="0"/>
              <w:autoSpaceDN w:val="0"/>
              <w:spacing w:line="240" w:lineRule="auto"/>
              <w:ind w:firstLine="0" w:firstLineChars="0"/>
              <w:jc w:val="center"/>
              <w:rPr>
                <w:color w:val="auto"/>
                <w:sz w:val="21"/>
                <w:szCs w:val="18"/>
              </w:rPr>
            </w:pPr>
            <w:r>
              <w:rPr>
                <w:color w:val="auto"/>
                <w:sz w:val="21"/>
                <w:szCs w:val="18"/>
              </w:rPr>
              <w:t>0.345</w:t>
            </w:r>
          </w:p>
        </w:tc>
        <w:tc>
          <w:tcPr>
            <w:tcW w:w="1250" w:type="pct"/>
            <w:vAlign w:val="center"/>
          </w:tcPr>
          <w:p w14:paraId="551AB9A5">
            <w:pPr>
              <w:autoSpaceDE w:val="0"/>
              <w:autoSpaceDN w:val="0"/>
              <w:spacing w:line="240" w:lineRule="auto"/>
              <w:ind w:firstLine="0" w:firstLineChars="0"/>
              <w:jc w:val="center"/>
              <w:rPr>
                <w:color w:val="auto"/>
                <w:sz w:val="21"/>
                <w:szCs w:val="18"/>
              </w:rPr>
            </w:pPr>
            <w:r>
              <w:rPr>
                <w:color w:val="auto"/>
                <w:sz w:val="21"/>
                <w:szCs w:val="18"/>
              </w:rPr>
              <w:t>0.250</w:t>
            </w:r>
          </w:p>
        </w:tc>
      </w:tr>
      <w:tr w14:paraId="2D0EBD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vAlign w:val="center"/>
          </w:tcPr>
          <w:p w14:paraId="1EAC5869">
            <w:pPr>
              <w:autoSpaceDE w:val="0"/>
              <w:autoSpaceDN w:val="0"/>
              <w:spacing w:line="240" w:lineRule="auto"/>
              <w:ind w:firstLine="0" w:firstLineChars="0"/>
              <w:jc w:val="center"/>
              <w:rPr>
                <w:color w:val="auto"/>
                <w:sz w:val="21"/>
                <w:szCs w:val="18"/>
              </w:rPr>
            </w:pPr>
          </w:p>
        </w:tc>
        <w:tc>
          <w:tcPr>
            <w:tcW w:w="1250" w:type="pct"/>
            <w:vAlign w:val="center"/>
          </w:tcPr>
          <w:p w14:paraId="54C8691E">
            <w:pPr>
              <w:autoSpaceDE w:val="0"/>
              <w:autoSpaceDN w:val="0"/>
              <w:spacing w:line="240" w:lineRule="auto"/>
              <w:ind w:firstLine="0" w:firstLineChars="0"/>
              <w:jc w:val="center"/>
              <w:rPr>
                <w:color w:val="auto"/>
                <w:sz w:val="21"/>
                <w:szCs w:val="18"/>
              </w:rPr>
            </w:pPr>
            <w:r>
              <w:rPr>
                <w:color w:val="auto"/>
                <w:sz w:val="21"/>
                <w:szCs w:val="18"/>
              </w:rPr>
              <w:t>100m</w:t>
            </w:r>
          </w:p>
        </w:tc>
        <w:tc>
          <w:tcPr>
            <w:tcW w:w="1250" w:type="pct"/>
            <w:vAlign w:val="center"/>
          </w:tcPr>
          <w:p w14:paraId="27758DD9">
            <w:pPr>
              <w:autoSpaceDE w:val="0"/>
              <w:autoSpaceDN w:val="0"/>
              <w:spacing w:line="240" w:lineRule="auto"/>
              <w:ind w:firstLine="0" w:firstLineChars="0"/>
              <w:jc w:val="center"/>
              <w:rPr>
                <w:color w:val="auto"/>
                <w:sz w:val="21"/>
                <w:szCs w:val="18"/>
              </w:rPr>
            </w:pPr>
            <w:r>
              <w:rPr>
                <w:color w:val="auto"/>
                <w:sz w:val="21"/>
                <w:szCs w:val="18"/>
              </w:rPr>
              <w:t>0.330</w:t>
            </w:r>
          </w:p>
        </w:tc>
        <w:tc>
          <w:tcPr>
            <w:tcW w:w="1250" w:type="pct"/>
            <w:vAlign w:val="center"/>
          </w:tcPr>
          <w:p w14:paraId="63CF9186">
            <w:pPr>
              <w:autoSpaceDE w:val="0"/>
              <w:autoSpaceDN w:val="0"/>
              <w:spacing w:line="240" w:lineRule="auto"/>
              <w:ind w:firstLine="0" w:firstLineChars="0"/>
              <w:jc w:val="center"/>
              <w:rPr>
                <w:color w:val="auto"/>
                <w:sz w:val="21"/>
                <w:szCs w:val="18"/>
              </w:rPr>
            </w:pPr>
            <w:r>
              <w:rPr>
                <w:color w:val="auto"/>
                <w:sz w:val="21"/>
                <w:szCs w:val="18"/>
              </w:rPr>
              <w:t>0.238</w:t>
            </w:r>
          </w:p>
        </w:tc>
      </w:tr>
    </w:tbl>
    <w:p w14:paraId="2992B3E3">
      <w:pPr>
        <w:ind w:firstLine="480"/>
        <w:rPr>
          <w:color w:val="auto"/>
        </w:rPr>
      </w:pPr>
      <w:r>
        <w:rPr>
          <w:color w:val="auto"/>
        </w:rPr>
        <w:t>由表可见，物料堆放场等场地采取苫盖、洒水措施后，分布在厂界外30m范围内的居民点施工期间受TSP影响相对较大，其TSP浓度不能达到《环境空气质量标准》（GB3095-2012）日平均二级标准，本项目施工临时生产场地选址位于工程用地范围内，与最近的袁庄之间距离约460m，远大于30m，采取苫盖、洒水等措施后物料堆放对周围居民点的环境空气影响不大。</w:t>
      </w:r>
    </w:p>
    <w:p w14:paraId="7C0BE154">
      <w:pPr>
        <w:ind w:firstLine="480"/>
        <w:rPr>
          <w:color w:val="auto"/>
        </w:rPr>
      </w:pPr>
      <w:r>
        <w:rPr>
          <w:color w:val="auto"/>
        </w:rPr>
        <w:t>施工过程中物料和弃土等采用汽车运输，运输道路利用周边现有道路或修建临时施工便道。根据相关工程经验，施工便道属于临时性占地，路面含尘量很高，尤其遇到干旱少雨季节，道路扬尘较为严重，施工便道和未完工路段的路面积尘数量与湿度、施工机械和运输车辆速度、风速等有关，此外风速和风向还直接影响道路扬尘的污染范围。施工路段洒水降尘实验结果显示，通过对路面定时洒水，可有效抑制扬尘，实验结果见表</w:t>
      </w:r>
      <w:r>
        <w:rPr>
          <w:rFonts w:hint="eastAsia"/>
          <w:color w:val="auto"/>
        </w:rPr>
        <w:t>6</w:t>
      </w:r>
      <w:r>
        <w:rPr>
          <w:color w:val="auto"/>
        </w:rPr>
        <w:t>.1-2。从表中数据可见，离路边越近，洒水的降尘效果越好。</w:t>
      </w:r>
    </w:p>
    <w:p w14:paraId="6ED059DC">
      <w:pPr>
        <w:spacing w:line="240" w:lineRule="auto"/>
        <w:ind w:firstLine="0" w:firstLineChars="0"/>
        <w:jc w:val="center"/>
        <w:rPr>
          <w:b/>
          <w:bCs/>
          <w:color w:val="auto"/>
        </w:rPr>
      </w:pPr>
      <w:r>
        <w:rPr>
          <w:b/>
          <w:bCs/>
          <w:color w:val="auto"/>
        </w:rPr>
        <w:t>表</w:t>
      </w:r>
      <w:r>
        <w:rPr>
          <w:rFonts w:hint="eastAsia"/>
          <w:b/>
          <w:bCs/>
          <w:color w:val="auto"/>
        </w:rPr>
        <w:t>6</w:t>
      </w:r>
      <w:r>
        <w:rPr>
          <w:b/>
          <w:bCs/>
          <w:color w:val="auto"/>
        </w:rPr>
        <w:t>.1-2  施工路段洒水降尘试验结果</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56" w:type="dxa"/>
          <w:bottom w:w="0" w:type="dxa"/>
          <w:right w:w="56" w:type="dxa"/>
        </w:tblCellMar>
      </w:tblPr>
      <w:tblGrid>
        <w:gridCol w:w="1864"/>
        <w:gridCol w:w="1705"/>
        <w:gridCol w:w="1324"/>
        <w:gridCol w:w="1103"/>
        <w:gridCol w:w="1101"/>
        <w:gridCol w:w="1101"/>
        <w:gridCol w:w="1099"/>
      </w:tblGrid>
      <w:tr w14:paraId="5D5D3A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6" w:type="dxa"/>
            <w:bottom w:w="0" w:type="dxa"/>
            <w:right w:w="56" w:type="dxa"/>
          </w:tblCellMar>
        </w:tblPrEx>
        <w:trPr>
          <w:trHeight w:val="340" w:hRule="atLeast"/>
        </w:trPr>
        <w:tc>
          <w:tcPr>
            <w:tcW w:w="1920" w:type="pct"/>
            <w:gridSpan w:val="2"/>
            <w:vAlign w:val="center"/>
          </w:tcPr>
          <w:p w14:paraId="4A1440FC">
            <w:pPr>
              <w:spacing w:line="240" w:lineRule="auto"/>
              <w:ind w:firstLine="422"/>
              <w:jc w:val="center"/>
              <w:rPr>
                <w:b/>
                <w:color w:val="auto"/>
                <w:sz w:val="21"/>
                <w:szCs w:val="20"/>
              </w:rPr>
            </w:pPr>
            <w:r>
              <w:rPr>
                <w:b/>
                <w:color w:val="auto"/>
                <w:sz w:val="21"/>
                <w:szCs w:val="20"/>
              </w:rPr>
              <w:t>距路边距离</w:t>
            </w:r>
          </w:p>
        </w:tc>
        <w:tc>
          <w:tcPr>
            <w:tcW w:w="712" w:type="pct"/>
            <w:vAlign w:val="center"/>
          </w:tcPr>
          <w:p w14:paraId="060DEB54">
            <w:pPr>
              <w:spacing w:line="240" w:lineRule="auto"/>
              <w:ind w:firstLine="422"/>
              <w:jc w:val="center"/>
              <w:rPr>
                <w:b/>
                <w:color w:val="auto"/>
                <w:sz w:val="21"/>
                <w:szCs w:val="20"/>
              </w:rPr>
            </w:pPr>
            <w:r>
              <w:rPr>
                <w:b/>
                <w:color w:val="auto"/>
                <w:sz w:val="21"/>
                <w:szCs w:val="20"/>
              </w:rPr>
              <w:t>0</w:t>
            </w:r>
          </w:p>
        </w:tc>
        <w:tc>
          <w:tcPr>
            <w:tcW w:w="593" w:type="pct"/>
            <w:vAlign w:val="center"/>
          </w:tcPr>
          <w:p w14:paraId="5F099895">
            <w:pPr>
              <w:spacing w:line="240" w:lineRule="auto"/>
              <w:ind w:firstLine="422"/>
              <w:jc w:val="center"/>
              <w:rPr>
                <w:b/>
                <w:color w:val="auto"/>
                <w:sz w:val="21"/>
                <w:szCs w:val="20"/>
              </w:rPr>
            </w:pPr>
            <w:r>
              <w:rPr>
                <w:b/>
                <w:color w:val="auto"/>
                <w:sz w:val="21"/>
                <w:szCs w:val="20"/>
              </w:rPr>
              <w:t>20</w:t>
            </w:r>
          </w:p>
        </w:tc>
        <w:tc>
          <w:tcPr>
            <w:tcW w:w="592" w:type="pct"/>
            <w:vAlign w:val="center"/>
          </w:tcPr>
          <w:p w14:paraId="0E2F6645">
            <w:pPr>
              <w:spacing w:line="240" w:lineRule="auto"/>
              <w:ind w:firstLine="422"/>
              <w:jc w:val="center"/>
              <w:rPr>
                <w:b/>
                <w:color w:val="auto"/>
                <w:sz w:val="21"/>
                <w:szCs w:val="20"/>
              </w:rPr>
            </w:pPr>
            <w:r>
              <w:rPr>
                <w:b/>
                <w:color w:val="auto"/>
                <w:sz w:val="21"/>
                <w:szCs w:val="20"/>
              </w:rPr>
              <w:t>50</w:t>
            </w:r>
          </w:p>
        </w:tc>
        <w:tc>
          <w:tcPr>
            <w:tcW w:w="592" w:type="pct"/>
            <w:vAlign w:val="center"/>
          </w:tcPr>
          <w:p w14:paraId="4B732C3F">
            <w:pPr>
              <w:spacing w:line="240" w:lineRule="auto"/>
              <w:ind w:firstLine="422"/>
              <w:jc w:val="center"/>
              <w:rPr>
                <w:b/>
                <w:color w:val="auto"/>
                <w:sz w:val="21"/>
                <w:szCs w:val="20"/>
              </w:rPr>
            </w:pPr>
            <w:r>
              <w:rPr>
                <w:b/>
                <w:color w:val="auto"/>
                <w:sz w:val="21"/>
                <w:szCs w:val="20"/>
              </w:rPr>
              <w:t>100</w:t>
            </w:r>
          </w:p>
        </w:tc>
        <w:tc>
          <w:tcPr>
            <w:tcW w:w="592" w:type="pct"/>
            <w:vAlign w:val="center"/>
          </w:tcPr>
          <w:p w14:paraId="1C755C28">
            <w:pPr>
              <w:spacing w:line="240" w:lineRule="auto"/>
              <w:ind w:firstLine="422"/>
              <w:jc w:val="center"/>
              <w:rPr>
                <w:b/>
                <w:color w:val="auto"/>
                <w:sz w:val="21"/>
                <w:szCs w:val="20"/>
              </w:rPr>
            </w:pPr>
            <w:r>
              <w:rPr>
                <w:b/>
                <w:color w:val="auto"/>
                <w:sz w:val="21"/>
                <w:szCs w:val="20"/>
              </w:rPr>
              <w:t>200</w:t>
            </w:r>
          </w:p>
        </w:tc>
      </w:tr>
      <w:tr w14:paraId="446CBD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6" w:type="dxa"/>
            <w:bottom w:w="0" w:type="dxa"/>
            <w:right w:w="56" w:type="dxa"/>
          </w:tblCellMar>
        </w:tblPrEx>
        <w:trPr>
          <w:trHeight w:val="340" w:hRule="atLeast"/>
        </w:trPr>
        <w:tc>
          <w:tcPr>
            <w:tcW w:w="1003" w:type="pct"/>
            <w:vMerge w:val="restart"/>
            <w:vAlign w:val="center"/>
          </w:tcPr>
          <w:p w14:paraId="5C90B3A4">
            <w:pPr>
              <w:spacing w:line="240" w:lineRule="auto"/>
              <w:ind w:firstLine="420"/>
              <w:jc w:val="center"/>
              <w:rPr>
                <w:color w:val="auto"/>
                <w:sz w:val="21"/>
                <w:szCs w:val="20"/>
              </w:rPr>
            </w:pPr>
            <w:r>
              <w:rPr>
                <w:color w:val="auto"/>
                <w:sz w:val="21"/>
                <w:szCs w:val="20"/>
              </w:rPr>
              <w:t>TSP(mg/Nm</w:t>
            </w:r>
            <w:r>
              <w:rPr>
                <w:color w:val="auto"/>
                <w:sz w:val="21"/>
                <w:szCs w:val="20"/>
                <w:vertAlign w:val="superscript"/>
              </w:rPr>
              <w:t>3</w:t>
            </w:r>
            <w:r>
              <w:rPr>
                <w:color w:val="auto"/>
                <w:sz w:val="21"/>
                <w:szCs w:val="20"/>
              </w:rPr>
              <w:t>)</w:t>
            </w:r>
          </w:p>
        </w:tc>
        <w:tc>
          <w:tcPr>
            <w:tcW w:w="917" w:type="pct"/>
            <w:vAlign w:val="center"/>
          </w:tcPr>
          <w:p w14:paraId="3648873A">
            <w:pPr>
              <w:spacing w:line="240" w:lineRule="auto"/>
              <w:ind w:firstLine="420"/>
              <w:jc w:val="center"/>
              <w:rPr>
                <w:color w:val="auto"/>
                <w:sz w:val="21"/>
                <w:szCs w:val="20"/>
              </w:rPr>
            </w:pPr>
            <w:r>
              <w:rPr>
                <w:color w:val="auto"/>
                <w:sz w:val="21"/>
                <w:szCs w:val="20"/>
              </w:rPr>
              <w:t>不洒水</w:t>
            </w:r>
          </w:p>
        </w:tc>
        <w:tc>
          <w:tcPr>
            <w:tcW w:w="712" w:type="pct"/>
            <w:vAlign w:val="center"/>
          </w:tcPr>
          <w:p w14:paraId="17787E16">
            <w:pPr>
              <w:spacing w:line="240" w:lineRule="auto"/>
              <w:ind w:firstLine="420"/>
              <w:jc w:val="center"/>
              <w:rPr>
                <w:color w:val="auto"/>
                <w:sz w:val="21"/>
                <w:szCs w:val="20"/>
              </w:rPr>
            </w:pPr>
            <w:r>
              <w:rPr>
                <w:color w:val="auto"/>
                <w:sz w:val="21"/>
                <w:szCs w:val="20"/>
              </w:rPr>
              <w:t>11.03</w:t>
            </w:r>
          </w:p>
        </w:tc>
        <w:tc>
          <w:tcPr>
            <w:tcW w:w="593" w:type="pct"/>
            <w:vAlign w:val="center"/>
          </w:tcPr>
          <w:p w14:paraId="0489C672">
            <w:pPr>
              <w:spacing w:line="240" w:lineRule="auto"/>
              <w:ind w:firstLine="420"/>
              <w:jc w:val="center"/>
              <w:rPr>
                <w:color w:val="auto"/>
                <w:sz w:val="21"/>
                <w:szCs w:val="20"/>
              </w:rPr>
            </w:pPr>
            <w:r>
              <w:rPr>
                <w:color w:val="auto"/>
                <w:sz w:val="21"/>
                <w:szCs w:val="20"/>
              </w:rPr>
              <w:t>2.89</w:t>
            </w:r>
          </w:p>
        </w:tc>
        <w:tc>
          <w:tcPr>
            <w:tcW w:w="592" w:type="pct"/>
            <w:vAlign w:val="center"/>
          </w:tcPr>
          <w:p w14:paraId="348EBC96">
            <w:pPr>
              <w:spacing w:line="240" w:lineRule="auto"/>
              <w:ind w:firstLine="420"/>
              <w:jc w:val="center"/>
              <w:rPr>
                <w:color w:val="auto"/>
                <w:sz w:val="21"/>
                <w:szCs w:val="20"/>
              </w:rPr>
            </w:pPr>
            <w:r>
              <w:rPr>
                <w:color w:val="auto"/>
                <w:sz w:val="21"/>
                <w:szCs w:val="20"/>
              </w:rPr>
              <w:t>1.15</w:t>
            </w:r>
          </w:p>
        </w:tc>
        <w:tc>
          <w:tcPr>
            <w:tcW w:w="592" w:type="pct"/>
            <w:vAlign w:val="center"/>
          </w:tcPr>
          <w:p w14:paraId="62E590AB">
            <w:pPr>
              <w:spacing w:line="240" w:lineRule="auto"/>
              <w:ind w:firstLine="420"/>
              <w:jc w:val="center"/>
              <w:rPr>
                <w:color w:val="auto"/>
                <w:sz w:val="21"/>
                <w:szCs w:val="20"/>
              </w:rPr>
            </w:pPr>
            <w:r>
              <w:rPr>
                <w:color w:val="auto"/>
                <w:sz w:val="21"/>
                <w:szCs w:val="20"/>
              </w:rPr>
              <w:t>0.86</w:t>
            </w:r>
          </w:p>
        </w:tc>
        <w:tc>
          <w:tcPr>
            <w:tcW w:w="592" w:type="pct"/>
            <w:vAlign w:val="center"/>
          </w:tcPr>
          <w:p w14:paraId="1BEBE995">
            <w:pPr>
              <w:spacing w:line="240" w:lineRule="auto"/>
              <w:ind w:firstLine="420"/>
              <w:jc w:val="center"/>
              <w:rPr>
                <w:color w:val="auto"/>
                <w:sz w:val="21"/>
                <w:szCs w:val="20"/>
              </w:rPr>
            </w:pPr>
            <w:r>
              <w:rPr>
                <w:color w:val="auto"/>
                <w:sz w:val="21"/>
                <w:szCs w:val="20"/>
              </w:rPr>
              <w:t>0.56</w:t>
            </w:r>
          </w:p>
        </w:tc>
      </w:tr>
      <w:tr w14:paraId="1D312F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6" w:type="dxa"/>
            <w:bottom w:w="0" w:type="dxa"/>
            <w:right w:w="56" w:type="dxa"/>
          </w:tblCellMar>
        </w:tblPrEx>
        <w:trPr>
          <w:trHeight w:val="340" w:hRule="atLeast"/>
        </w:trPr>
        <w:tc>
          <w:tcPr>
            <w:tcW w:w="1003" w:type="pct"/>
            <w:vMerge w:val="continue"/>
            <w:vAlign w:val="center"/>
          </w:tcPr>
          <w:p w14:paraId="1AAD4AE2">
            <w:pPr>
              <w:spacing w:line="240" w:lineRule="auto"/>
              <w:ind w:firstLine="420"/>
              <w:jc w:val="center"/>
              <w:rPr>
                <w:color w:val="auto"/>
                <w:sz w:val="21"/>
                <w:szCs w:val="20"/>
              </w:rPr>
            </w:pPr>
          </w:p>
        </w:tc>
        <w:tc>
          <w:tcPr>
            <w:tcW w:w="917" w:type="pct"/>
            <w:vAlign w:val="center"/>
          </w:tcPr>
          <w:p w14:paraId="051E92FA">
            <w:pPr>
              <w:spacing w:line="240" w:lineRule="auto"/>
              <w:ind w:firstLine="420"/>
              <w:jc w:val="center"/>
              <w:rPr>
                <w:color w:val="auto"/>
                <w:sz w:val="21"/>
                <w:szCs w:val="20"/>
              </w:rPr>
            </w:pPr>
            <w:r>
              <w:rPr>
                <w:color w:val="auto"/>
                <w:sz w:val="21"/>
                <w:szCs w:val="20"/>
              </w:rPr>
              <w:t>洒水</w:t>
            </w:r>
          </w:p>
        </w:tc>
        <w:tc>
          <w:tcPr>
            <w:tcW w:w="712" w:type="pct"/>
            <w:vAlign w:val="center"/>
          </w:tcPr>
          <w:p w14:paraId="00F93041">
            <w:pPr>
              <w:spacing w:line="240" w:lineRule="auto"/>
              <w:ind w:firstLine="420"/>
              <w:jc w:val="center"/>
              <w:rPr>
                <w:color w:val="auto"/>
                <w:sz w:val="21"/>
                <w:szCs w:val="20"/>
              </w:rPr>
            </w:pPr>
            <w:r>
              <w:rPr>
                <w:color w:val="auto"/>
                <w:sz w:val="21"/>
                <w:szCs w:val="20"/>
              </w:rPr>
              <w:t>2.11</w:t>
            </w:r>
          </w:p>
        </w:tc>
        <w:tc>
          <w:tcPr>
            <w:tcW w:w="593" w:type="pct"/>
            <w:vAlign w:val="center"/>
          </w:tcPr>
          <w:p w14:paraId="72BCE043">
            <w:pPr>
              <w:spacing w:line="240" w:lineRule="auto"/>
              <w:ind w:firstLine="420"/>
              <w:jc w:val="center"/>
              <w:rPr>
                <w:color w:val="auto"/>
                <w:sz w:val="21"/>
                <w:szCs w:val="20"/>
              </w:rPr>
            </w:pPr>
            <w:r>
              <w:rPr>
                <w:color w:val="auto"/>
                <w:sz w:val="21"/>
                <w:szCs w:val="20"/>
              </w:rPr>
              <w:t>1.40</w:t>
            </w:r>
          </w:p>
        </w:tc>
        <w:tc>
          <w:tcPr>
            <w:tcW w:w="592" w:type="pct"/>
            <w:vAlign w:val="center"/>
          </w:tcPr>
          <w:p w14:paraId="52F46273">
            <w:pPr>
              <w:spacing w:line="240" w:lineRule="auto"/>
              <w:ind w:firstLine="420"/>
              <w:jc w:val="center"/>
              <w:rPr>
                <w:color w:val="auto"/>
                <w:sz w:val="21"/>
                <w:szCs w:val="20"/>
              </w:rPr>
            </w:pPr>
            <w:r>
              <w:rPr>
                <w:color w:val="auto"/>
                <w:sz w:val="21"/>
                <w:szCs w:val="20"/>
              </w:rPr>
              <w:t>0.68</w:t>
            </w:r>
          </w:p>
        </w:tc>
        <w:tc>
          <w:tcPr>
            <w:tcW w:w="592" w:type="pct"/>
            <w:vAlign w:val="center"/>
          </w:tcPr>
          <w:p w14:paraId="0471C1C1">
            <w:pPr>
              <w:spacing w:line="240" w:lineRule="auto"/>
              <w:ind w:firstLine="420"/>
              <w:jc w:val="center"/>
              <w:rPr>
                <w:color w:val="auto"/>
                <w:sz w:val="21"/>
                <w:szCs w:val="20"/>
              </w:rPr>
            </w:pPr>
            <w:r>
              <w:rPr>
                <w:color w:val="auto"/>
                <w:sz w:val="21"/>
                <w:szCs w:val="20"/>
              </w:rPr>
              <w:t>0.60</w:t>
            </w:r>
          </w:p>
        </w:tc>
        <w:tc>
          <w:tcPr>
            <w:tcW w:w="592" w:type="pct"/>
            <w:vAlign w:val="center"/>
          </w:tcPr>
          <w:p w14:paraId="1B22B2C7">
            <w:pPr>
              <w:spacing w:line="240" w:lineRule="auto"/>
              <w:ind w:firstLine="420"/>
              <w:jc w:val="center"/>
              <w:rPr>
                <w:color w:val="auto"/>
                <w:sz w:val="21"/>
                <w:szCs w:val="20"/>
              </w:rPr>
            </w:pPr>
            <w:r>
              <w:rPr>
                <w:color w:val="auto"/>
                <w:sz w:val="21"/>
                <w:szCs w:val="20"/>
              </w:rPr>
              <w:t>0.29</w:t>
            </w:r>
          </w:p>
        </w:tc>
      </w:tr>
      <w:tr w14:paraId="247F3D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6" w:type="dxa"/>
            <w:bottom w:w="0" w:type="dxa"/>
            <w:right w:w="56" w:type="dxa"/>
          </w:tblCellMar>
        </w:tblPrEx>
        <w:trPr>
          <w:trHeight w:val="340" w:hRule="atLeast"/>
        </w:trPr>
        <w:tc>
          <w:tcPr>
            <w:tcW w:w="1920" w:type="pct"/>
            <w:gridSpan w:val="2"/>
            <w:vAlign w:val="center"/>
          </w:tcPr>
          <w:p w14:paraId="02F6EAC2">
            <w:pPr>
              <w:spacing w:line="240" w:lineRule="auto"/>
              <w:ind w:firstLine="420"/>
              <w:jc w:val="center"/>
              <w:rPr>
                <w:color w:val="auto"/>
                <w:sz w:val="21"/>
                <w:szCs w:val="20"/>
              </w:rPr>
            </w:pPr>
            <w:r>
              <w:rPr>
                <w:color w:val="auto"/>
                <w:sz w:val="21"/>
                <w:szCs w:val="20"/>
              </w:rPr>
              <w:t>降尘率（%）</w:t>
            </w:r>
          </w:p>
        </w:tc>
        <w:tc>
          <w:tcPr>
            <w:tcW w:w="712" w:type="pct"/>
            <w:vAlign w:val="center"/>
          </w:tcPr>
          <w:p w14:paraId="5598D7FC">
            <w:pPr>
              <w:spacing w:line="240" w:lineRule="auto"/>
              <w:ind w:firstLine="420"/>
              <w:jc w:val="center"/>
              <w:rPr>
                <w:color w:val="auto"/>
                <w:sz w:val="21"/>
                <w:szCs w:val="20"/>
              </w:rPr>
            </w:pPr>
            <w:r>
              <w:rPr>
                <w:color w:val="auto"/>
                <w:sz w:val="21"/>
                <w:szCs w:val="20"/>
              </w:rPr>
              <w:t>81</w:t>
            </w:r>
          </w:p>
        </w:tc>
        <w:tc>
          <w:tcPr>
            <w:tcW w:w="593" w:type="pct"/>
            <w:vAlign w:val="center"/>
          </w:tcPr>
          <w:p w14:paraId="63A2D1A3">
            <w:pPr>
              <w:spacing w:line="240" w:lineRule="auto"/>
              <w:ind w:firstLine="420"/>
              <w:jc w:val="center"/>
              <w:rPr>
                <w:color w:val="auto"/>
                <w:sz w:val="21"/>
                <w:szCs w:val="20"/>
              </w:rPr>
            </w:pPr>
            <w:r>
              <w:rPr>
                <w:color w:val="auto"/>
                <w:sz w:val="21"/>
                <w:szCs w:val="20"/>
              </w:rPr>
              <w:t>52</w:t>
            </w:r>
          </w:p>
        </w:tc>
        <w:tc>
          <w:tcPr>
            <w:tcW w:w="592" w:type="pct"/>
            <w:vAlign w:val="center"/>
          </w:tcPr>
          <w:p w14:paraId="78514B0E">
            <w:pPr>
              <w:spacing w:line="240" w:lineRule="auto"/>
              <w:ind w:firstLine="420"/>
              <w:jc w:val="center"/>
              <w:rPr>
                <w:color w:val="auto"/>
                <w:sz w:val="21"/>
                <w:szCs w:val="20"/>
              </w:rPr>
            </w:pPr>
            <w:r>
              <w:rPr>
                <w:color w:val="auto"/>
                <w:sz w:val="21"/>
                <w:szCs w:val="20"/>
              </w:rPr>
              <w:t>41</w:t>
            </w:r>
          </w:p>
        </w:tc>
        <w:tc>
          <w:tcPr>
            <w:tcW w:w="592" w:type="pct"/>
            <w:vAlign w:val="center"/>
          </w:tcPr>
          <w:p w14:paraId="61B9470E">
            <w:pPr>
              <w:spacing w:line="240" w:lineRule="auto"/>
              <w:ind w:firstLine="420"/>
              <w:jc w:val="center"/>
              <w:rPr>
                <w:color w:val="auto"/>
                <w:sz w:val="21"/>
                <w:szCs w:val="20"/>
              </w:rPr>
            </w:pPr>
            <w:r>
              <w:rPr>
                <w:color w:val="auto"/>
                <w:sz w:val="21"/>
                <w:szCs w:val="20"/>
              </w:rPr>
              <w:t>30</w:t>
            </w:r>
          </w:p>
        </w:tc>
        <w:tc>
          <w:tcPr>
            <w:tcW w:w="592" w:type="pct"/>
            <w:vAlign w:val="center"/>
          </w:tcPr>
          <w:p w14:paraId="1BE7BE61">
            <w:pPr>
              <w:spacing w:line="240" w:lineRule="auto"/>
              <w:ind w:firstLine="420"/>
              <w:jc w:val="center"/>
              <w:rPr>
                <w:color w:val="auto"/>
                <w:sz w:val="21"/>
                <w:szCs w:val="20"/>
              </w:rPr>
            </w:pPr>
            <w:r>
              <w:rPr>
                <w:color w:val="auto"/>
                <w:sz w:val="21"/>
                <w:szCs w:val="20"/>
              </w:rPr>
              <w:t>48</w:t>
            </w:r>
          </w:p>
        </w:tc>
      </w:tr>
    </w:tbl>
    <w:p w14:paraId="407A204D">
      <w:pPr>
        <w:ind w:firstLine="480"/>
        <w:rPr>
          <w:color w:val="auto"/>
        </w:rPr>
      </w:pPr>
      <w:r>
        <w:rPr>
          <w:color w:val="auto"/>
        </w:rPr>
        <w:t>由上表可知，在施工过程中通过对运输道路洒水可有效减少起尘量，同时环评要求运送土方、水泥、石灰等要袋装或用封闭式车辆，禁止超载，运输车辆</w:t>
      </w:r>
      <w:r>
        <w:rPr>
          <w:rFonts w:hint="eastAsia"/>
          <w:color w:val="auto"/>
        </w:rPr>
        <w:t>盖篷布</w:t>
      </w:r>
      <w:r>
        <w:rPr>
          <w:color w:val="auto"/>
        </w:rPr>
        <w:t>，运输路线尽量避开居民点，对临时施工便道采取道路硬化等，采取以上措施后，道路运输扬尘</w:t>
      </w:r>
      <w:r>
        <w:rPr>
          <w:rFonts w:hint="eastAsia"/>
          <w:color w:val="auto"/>
        </w:rPr>
        <w:t>对</w:t>
      </w:r>
      <w:r>
        <w:rPr>
          <w:color w:val="auto"/>
        </w:rPr>
        <w:t>敏感点环境空气的影响有效降低。</w:t>
      </w:r>
    </w:p>
    <w:p w14:paraId="2835FA73">
      <w:pPr>
        <w:ind w:firstLine="482"/>
        <w:rPr>
          <w:b/>
          <w:color w:val="auto"/>
        </w:rPr>
      </w:pPr>
      <w:r>
        <w:rPr>
          <w:b/>
          <w:color w:val="auto"/>
        </w:rPr>
        <w:t>2、施工机械及运输车辆废气</w:t>
      </w:r>
    </w:p>
    <w:p w14:paraId="39D5C467">
      <w:pPr>
        <w:ind w:firstLine="480"/>
        <w:rPr>
          <w:color w:val="auto"/>
        </w:rPr>
      </w:pPr>
      <w:r>
        <w:rPr>
          <w:color w:val="auto"/>
        </w:rPr>
        <w:t>施工期间以燃油为动力的施工机械设备、施工车辆在施工场地附近排放一定量的SO</w:t>
      </w:r>
      <w:r>
        <w:rPr>
          <w:color w:val="auto"/>
          <w:vertAlign w:val="subscript"/>
        </w:rPr>
        <w:t>2</w:t>
      </w:r>
      <w:r>
        <w:rPr>
          <w:color w:val="auto"/>
        </w:rPr>
        <w:t>、NOx、CO和碳氢化合物等废气，由于本工程施工作业具有流动性和间歇性的特点，施工机械及车辆废气使所在地区废气排放量在总量上增加不大。另外，本工程施工作业区域地形开阔，空气流动条件较好，有利于污染物的扩散。因此，施工机械及运输车辆排放的有害气体将迅速扩散，只要加强设备及车辆的养护，其对周围空气环境不会有明显的影响。</w:t>
      </w:r>
    </w:p>
    <w:p w14:paraId="58DC66DA">
      <w:pPr>
        <w:keepNext/>
        <w:keepLines/>
        <w:spacing w:before="120" w:beforeLines="50"/>
        <w:ind w:firstLine="0" w:firstLineChars="0"/>
        <w:outlineLvl w:val="2"/>
        <w:rPr>
          <w:b/>
          <w:bCs/>
          <w:color w:val="auto"/>
          <w:sz w:val="28"/>
          <w:szCs w:val="28"/>
        </w:rPr>
      </w:pPr>
      <w:r>
        <w:rPr>
          <w:rFonts w:hint="eastAsia"/>
          <w:b/>
          <w:bCs/>
          <w:color w:val="auto"/>
          <w:sz w:val="28"/>
          <w:szCs w:val="28"/>
        </w:rPr>
        <w:t>6</w:t>
      </w:r>
      <w:r>
        <w:rPr>
          <w:b/>
          <w:bCs/>
          <w:color w:val="auto"/>
          <w:sz w:val="28"/>
          <w:szCs w:val="28"/>
        </w:rPr>
        <w:t>.1.2 施工期废水环境影响分析及防治对策</w:t>
      </w:r>
    </w:p>
    <w:p w14:paraId="1A62A552">
      <w:pPr>
        <w:autoSpaceDE w:val="0"/>
        <w:autoSpaceDN w:val="0"/>
        <w:ind w:firstLine="482"/>
        <w:rPr>
          <w:b/>
          <w:bCs/>
          <w:color w:val="auto"/>
          <w:lang w:val="zh-CN"/>
        </w:rPr>
      </w:pPr>
      <w:r>
        <w:rPr>
          <w:b/>
          <w:bCs/>
          <w:color w:val="auto"/>
          <w:lang w:val="zh-CN"/>
        </w:rPr>
        <w:t>1、生产废水</w:t>
      </w:r>
    </w:p>
    <w:p w14:paraId="556CF263">
      <w:pPr>
        <w:autoSpaceDE w:val="0"/>
        <w:autoSpaceDN w:val="0"/>
        <w:ind w:firstLine="504" w:firstLineChars="210"/>
        <w:rPr>
          <w:color w:val="auto"/>
          <w:lang w:val="zh-CN"/>
        </w:rPr>
      </w:pPr>
      <w:r>
        <w:rPr>
          <w:color w:val="auto"/>
          <w:lang w:val="zh-CN"/>
        </w:rPr>
        <w:t>拟建项目建设施工过程的废水主要来自暴雨的地表径流和建筑施工废水，建筑施工废水主要为</w:t>
      </w:r>
      <w:r>
        <w:rPr>
          <w:rFonts w:hint="eastAsia"/>
          <w:color w:val="auto"/>
          <w:lang w:val="zh-CN"/>
        </w:rPr>
        <w:t>基坑开挖</w:t>
      </w:r>
      <w:r>
        <w:rPr>
          <w:color w:val="auto"/>
          <w:lang w:val="zh-CN"/>
        </w:rPr>
        <w:t>产生的泥浆水和施工设备清洗废水。在施工场地，雨水径流以“黄泥水”的形式进入市政排水沟，沉积后将会堵塞排水沟；若泥浆水直接排入河流，增加河水的含砂量，造成河床淤积。同时泥浆水还夹带施工场地上的水泥、油污等污染物进入水体，造成水体污染。因此，应重视施工期废水对周围环境所造成的影响。</w:t>
      </w:r>
    </w:p>
    <w:p w14:paraId="4F9B9143">
      <w:pPr>
        <w:autoSpaceDE w:val="0"/>
        <w:autoSpaceDN w:val="0"/>
        <w:ind w:firstLine="504" w:firstLineChars="210"/>
        <w:rPr>
          <w:color w:val="auto"/>
          <w:lang w:val="zh-CN"/>
        </w:rPr>
      </w:pPr>
      <w:r>
        <w:rPr>
          <w:color w:val="auto"/>
          <w:lang w:val="zh-CN"/>
        </w:rPr>
        <w:t>建设单位应对施工单位进行有效的监督管理，要求施工单位严格执行国家和地方的有关规定，对施工期废水的排放进行组织设计，严禁乱排，施工废水需经沉砂池沉淀后方可排放。</w:t>
      </w:r>
    </w:p>
    <w:p w14:paraId="1E209441">
      <w:pPr>
        <w:autoSpaceDE w:val="0"/>
        <w:autoSpaceDN w:val="0"/>
        <w:ind w:firstLine="506" w:firstLineChars="210"/>
        <w:rPr>
          <w:b/>
          <w:bCs/>
          <w:color w:val="auto"/>
          <w:lang w:val="zh-CN"/>
        </w:rPr>
      </w:pPr>
      <w:r>
        <w:rPr>
          <w:b/>
          <w:bCs/>
          <w:color w:val="auto"/>
          <w:lang w:val="zh-CN"/>
        </w:rPr>
        <w:t>2、生活污水</w:t>
      </w:r>
    </w:p>
    <w:p w14:paraId="62E43E14">
      <w:pPr>
        <w:autoSpaceDE w:val="0"/>
        <w:autoSpaceDN w:val="0"/>
        <w:ind w:firstLine="480"/>
        <w:rPr>
          <w:color w:val="auto"/>
          <w:lang w:val="zh-CN"/>
        </w:rPr>
      </w:pPr>
      <w:r>
        <w:rPr>
          <w:color w:val="auto"/>
          <w:lang w:val="zh-CN"/>
        </w:rPr>
        <w:t>生活污水主要由施工队伍的生活活动造成的，生活污水含有大量细菌和病原体，拟由化粪池处理后接管至</w:t>
      </w:r>
      <w:r>
        <w:rPr>
          <w:rFonts w:hint="eastAsia"/>
          <w:color w:val="auto"/>
        </w:rPr>
        <w:t>开发区临港</w:t>
      </w:r>
      <w:r>
        <w:rPr>
          <w:color w:val="auto"/>
          <w:lang w:val="zh-CN"/>
        </w:rPr>
        <w:t>污水处理厂集中处理。</w:t>
      </w:r>
    </w:p>
    <w:p w14:paraId="692E7582">
      <w:pPr>
        <w:autoSpaceDE w:val="0"/>
        <w:autoSpaceDN w:val="0"/>
        <w:ind w:firstLine="480"/>
        <w:rPr>
          <w:color w:val="auto"/>
          <w:lang w:val="zh-CN"/>
        </w:rPr>
      </w:pPr>
      <w:r>
        <w:rPr>
          <w:color w:val="auto"/>
          <w:lang w:val="zh-CN"/>
        </w:rPr>
        <w:t>上述废水水量不大，但如果不经处理或处理不当，同样会危害环境。所以，施工期废水不能随意直排。其防治措施主要有：</w:t>
      </w:r>
    </w:p>
    <w:p w14:paraId="365ED9D0">
      <w:pPr>
        <w:autoSpaceDE w:val="0"/>
        <w:autoSpaceDN w:val="0"/>
        <w:ind w:firstLine="480"/>
        <w:rPr>
          <w:color w:val="auto"/>
          <w:lang w:val="zh-CN"/>
        </w:rPr>
      </w:pPr>
      <w:r>
        <w:rPr>
          <w:color w:val="auto"/>
          <w:lang w:val="zh-CN"/>
        </w:rPr>
        <w:t>①尽量减少物料流失、散落和溢流现象，以减少废水的产生量。</w:t>
      </w:r>
    </w:p>
    <w:p w14:paraId="6FD6D561">
      <w:pPr>
        <w:autoSpaceDE w:val="0"/>
        <w:autoSpaceDN w:val="0"/>
        <w:ind w:firstLine="480"/>
        <w:rPr>
          <w:color w:val="auto"/>
          <w:lang w:val="zh-CN"/>
        </w:rPr>
      </w:pPr>
      <w:r>
        <w:rPr>
          <w:color w:val="auto"/>
          <w:lang w:val="zh-CN"/>
        </w:rPr>
        <w:t>②建造集水池、砂池、排水沟等水处理构筑物，对废水进行必要的分类处理后排放。</w:t>
      </w:r>
    </w:p>
    <w:p w14:paraId="1FC4DBC2">
      <w:pPr>
        <w:autoSpaceDE w:val="0"/>
        <w:autoSpaceDN w:val="0"/>
        <w:ind w:firstLine="480"/>
        <w:rPr>
          <w:color w:val="auto"/>
          <w:lang w:val="zh-CN"/>
        </w:rPr>
      </w:pPr>
      <w:r>
        <w:rPr>
          <w:color w:val="auto"/>
          <w:lang w:val="zh-CN"/>
        </w:rPr>
        <w:t>③水泥、</w:t>
      </w:r>
      <w:r>
        <w:rPr>
          <w:rFonts w:hint="eastAsia"/>
          <w:color w:val="auto"/>
          <w:lang w:val="zh-CN"/>
        </w:rPr>
        <w:t>黄沙</w:t>
      </w:r>
      <w:r>
        <w:rPr>
          <w:color w:val="auto"/>
          <w:lang w:val="zh-CN"/>
        </w:rPr>
        <w:t>、石灰类的建筑材料须集中堆放，并采取一定的防雨措施，及时清扫施工运输过程中抛洒的上述建筑材料，以免这些物质被雨水冲刷带入污水处理装置内。</w:t>
      </w:r>
    </w:p>
    <w:p w14:paraId="5E2F5C25">
      <w:pPr>
        <w:keepNext/>
        <w:keepLines/>
        <w:spacing w:before="120" w:beforeLines="50"/>
        <w:ind w:firstLine="0" w:firstLineChars="0"/>
        <w:outlineLvl w:val="2"/>
        <w:rPr>
          <w:b/>
          <w:bCs/>
          <w:color w:val="auto"/>
          <w:sz w:val="28"/>
          <w:szCs w:val="28"/>
        </w:rPr>
      </w:pPr>
      <w:r>
        <w:rPr>
          <w:rFonts w:hint="eastAsia"/>
          <w:b/>
          <w:bCs/>
          <w:color w:val="auto"/>
          <w:sz w:val="28"/>
          <w:szCs w:val="28"/>
        </w:rPr>
        <w:t>6</w:t>
      </w:r>
      <w:r>
        <w:rPr>
          <w:b/>
          <w:bCs/>
          <w:color w:val="auto"/>
          <w:sz w:val="28"/>
          <w:szCs w:val="28"/>
        </w:rPr>
        <w:t>.1.3 施工期噪声环境影响分析及防治对策</w:t>
      </w:r>
    </w:p>
    <w:p w14:paraId="59EED9E5">
      <w:pPr>
        <w:autoSpaceDE w:val="0"/>
        <w:autoSpaceDN w:val="0"/>
        <w:ind w:firstLine="480"/>
        <w:rPr>
          <w:color w:val="auto"/>
          <w:lang w:val="zh-CN"/>
        </w:rPr>
      </w:pPr>
      <w:r>
        <w:rPr>
          <w:color w:val="auto"/>
          <w:lang w:val="zh-CN"/>
        </w:rPr>
        <w:t>噪声是施工期主要的污染因子，施工过程中使用的运输车辆及各种施工机械，如打桩机、挖掘机、推土机、混凝土搅拌机等都是噪声源。根据有关资料将主要施工机械的噪声状况列于表</w:t>
      </w:r>
      <w:r>
        <w:rPr>
          <w:rFonts w:hint="eastAsia"/>
          <w:color w:val="auto"/>
        </w:rPr>
        <w:t>6</w:t>
      </w:r>
      <w:r>
        <w:rPr>
          <w:color w:val="auto"/>
          <w:lang w:val="zh-CN"/>
        </w:rPr>
        <w:t>.1-3。</w:t>
      </w:r>
    </w:p>
    <w:p w14:paraId="3B2A19F5">
      <w:pPr>
        <w:spacing w:line="240" w:lineRule="auto"/>
        <w:ind w:firstLine="0" w:firstLineChars="0"/>
        <w:jc w:val="center"/>
        <w:rPr>
          <w:b/>
          <w:bCs/>
          <w:color w:val="auto"/>
        </w:rPr>
      </w:pPr>
      <w:r>
        <w:rPr>
          <w:b/>
          <w:bCs/>
          <w:color w:val="auto"/>
        </w:rPr>
        <w:t>表</w:t>
      </w:r>
      <w:r>
        <w:rPr>
          <w:rFonts w:hint="eastAsia"/>
          <w:b/>
          <w:bCs/>
          <w:color w:val="auto"/>
        </w:rPr>
        <w:t>6</w:t>
      </w:r>
      <w:r>
        <w:rPr>
          <w:b/>
          <w:bCs/>
          <w:color w:val="auto"/>
        </w:rPr>
        <w:t>.1-3  施工机械设备噪声</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12"/>
        <w:gridCol w:w="5789"/>
      </w:tblGrid>
      <w:tr w14:paraId="29C1E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921" w:type="pct"/>
            <w:vAlign w:val="center"/>
          </w:tcPr>
          <w:p w14:paraId="593297D5">
            <w:pPr>
              <w:autoSpaceDE w:val="0"/>
              <w:autoSpaceDN w:val="0"/>
              <w:spacing w:line="240" w:lineRule="auto"/>
              <w:ind w:firstLine="422"/>
              <w:jc w:val="center"/>
              <w:rPr>
                <w:b/>
                <w:bCs/>
                <w:color w:val="auto"/>
                <w:sz w:val="21"/>
                <w:szCs w:val="21"/>
                <w:lang w:val="zh-CN"/>
              </w:rPr>
            </w:pPr>
            <w:r>
              <w:rPr>
                <w:b/>
                <w:bCs/>
                <w:color w:val="auto"/>
                <w:sz w:val="21"/>
                <w:szCs w:val="21"/>
                <w:lang w:val="zh-CN"/>
              </w:rPr>
              <w:t>施工设备名称</w:t>
            </w:r>
          </w:p>
        </w:tc>
        <w:tc>
          <w:tcPr>
            <w:tcW w:w="3079" w:type="pct"/>
            <w:vAlign w:val="center"/>
          </w:tcPr>
          <w:p w14:paraId="04F79954">
            <w:pPr>
              <w:autoSpaceDE w:val="0"/>
              <w:autoSpaceDN w:val="0"/>
              <w:spacing w:line="240" w:lineRule="auto"/>
              <w:ind w:firstLine="422"/>
              <w:jc w:val="center"/>
              <w:rPr>
                <w:b/>
                <w:bCs/>
                <w:color w:val="auto"/>
                <w:sz w:val="21"/>
                <w:szCs w:val="21"/>
                <w:lang w:val="zh-CN"/>
              </w:rPr>
            </w:pPr>
            <w:r>
              <w:rPr>
                <w:b/>
                <w:bCs/>
                <w:color w:val="auto"/>
                <w:sz w:val="21"/>
                <w:szCs w:val="21"/>
                <w:lang w:val="zh-CN"/>
              </w:rPr>
              <w:t>距设备</w:t>
            </w:r>
            <w:r>
              <w:rPr>
                <w:b/>
                <w:bCs/>
                <w:color w:val="auto"/>
                <w:sz w:val="21"/>
                <w:szCs w:val="21"/>
              </w:rPr>
              <w:t>10m</w:t>
            </w:r>
            <w:r>
              <w:rPr>
                <w:b/>
                <w:bCs/>
                <w:color w:val="auto"/>
                <w:sz w:val="21"/>
                <w:szCs w:val="21"/>
                <w:lang w:val="zh-CN"/>
              </w:rPr>
              <w:t>处平均A声级</w:t>
            </w:r>
            <w:r>
              <w:rPr>
                <w:b/>
                <w:bCs/>
                <w:color w:val="auto"/>
                <w:sz w:val="21"/>
                <w:szCs w:val="21"/>
              </w:rPr>
              <w:t>dB(A)</w:t>
            </w:r>
          </w:p>
        </w:tc>
      </w:tr>
      <w:tr w14:paraId="51273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0E04A2E8">
            <w:pPr>
              <w:autoSpaceDE w:val="0"/>
              <w:autoSpaceDN w:val="0"/>
              <w:spacing w:line="240" w:lineRule="auto"/>
              <w:ind w:firstLine="420"/>
              <w:jc w:val="center"/>
              <w:rPr>
                <w:color w:val="auto"/>
                <w:sz w:val="21"/>
                <w:szCs w:val="21"/>
                <w:lang w:val="zh-CN"/>
              </w:rPr>
            </w:pPr>
            <w:r>
              <w:rPr>
                <w:color w:val="auto"/>
                <w:sz w:val="21"/>
                <w:szCs w:val="21"/>
                <w:lang w:val="zh-CN"/>
              </w:rPr>
              <w:t>打桩机</w:t>
            </w:r>
          </w:p>
        </w:tc>
        <w:tc>
          <w:tcPr>
            <w:tcW w:w="3079" w:type="pct"/>
            <w:vAlign w:val="center"/>
          </w:tcPr>
          <w:p w14:paraId="62EA4A0A">
            <w:pPr>
              <w:autoSpaceDE w:val="0"/>
              <w:autoSpaceDN w:val="0"/>
              <w:spacing w:line="240" w:lineRule="auto"/>
              <w:ind w:firstLine="420"/>
              <w:jc w:val="center"/>
              <w:rPr>
                <w:color w:val="auto"/>
                <w:sz w:val="21"/>
                <w:szCs w:val="21"/>
              </w:rPr>
            </w:pPr>
            <w:r>
              <w:rPr>
                <w:color w:val="auto"/>
                <w:sz w:val="21"/>
                <w:szCs w:val="21"/>
              </w:rPr>
              <w:t>105</w:t>
            </w:r>
          </w:p>
        </w:tc>
      </w:tr>
      <w:tr w14:paraId="470F7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69945D74">
            <w:pPr>
              <w:autoSpaceDE w:val="0"/>
              <w:autoSpaceDN w:val="0"/>
              <w:spacing w:line="240" w:lineRule="auto"/>
              <w:ind w:firstLine="420"/>
              <w:jc w:val="center"/>
              <w:rPr>
                <w:color w:val="auto"/>
                <w:sz w:val="21"/>
                <w:szCs w:val="21"/>
                <w:lang w:val="zh-CN"/>
              </w:rPr>
            </w:pPr>
            <w:r>
              <w:rPr>
                <w:color w:val="auto"/>
                <w:sz w:val="21"/>
                <w:szCs w:val="21"/>
                <w:lang w:val="zh-CN"/>
              </w:rPr>
              <w:t>挖掘机</w:t>
            </w:r>
          </w:p>
        </w:tc>
        <w:tc>
          <w:tcPr>
            <w:tcW w:w="3079" w:type="pct"/>
            <w:vAlign w:val="center"/>
          </w:tcPr>
          <w:p w14:paraId="7BD21F80">
            <w:pPr>
              <w:autoSpaceDE w:val="0"/>
              <w:autoSpaceDN w:val="0"/>
              <w:spacing w:line="240" w:lineRule="auto"/>
              <w:ind w:firstLine="420"/>
              <w:jc w:val="center"/>
              <w:rPr>
                <w:color w:val="auto"/>
                <w:sz w:val="21"/>
                <w:szCs w:val="21"/>
              </w:rPr>
            </w:pPr>
            <w:r>
              <w:rPr>
                <w:color w:val="auto"/>
                <w:sz w:val="21"/>
                <w:szCs w:val="21"/>
              </w:rPr>
              <w:t>82</w:t>
            </w:r>
          </w:p>
        </w:tc>
      </w:tr>
      <w:tr w14:paraId="06152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370B323E">
            <w:pPr>
              <w:autoSpaceDE w:val="0"/>
              <w:autoSpaceDN w:val="0"/>
              <w:spacing w:line="240" w:lineRule="auto"/>
              <w:ind w:firstLine="420"/>
              <w:jc w:val="center"/>
              <w:rPr>
                <w:color w:val="auto"/>
                <w:sz w:val="21"/>
                <w:szCs w:val="21"/>
                <w:lang w:val="zh-CN"/>
              </w:rPr>
            </w:pPr>
            <w:r>
              <w:rPr>
                <w:color w:val="auto"/>
                <w:sz w:val="21"/>
                <w:szCs w:val="21"/>
                <w:lang w:val="zh-CN"/>
              </w:rPr>
              <w:t>推土机</w:t>
            </w:r>
          </w:p>
        </w:tc>
        <w:tc>
          <w:tcPr>
            <w:tcW w:w="3079" w:type="pct"/>
            <w:vAlign w:val="center"/>
          </w:tcPr>
          <w:p w14:paraId="43935448">
            <w:pPr>
              <w:autoSpaceDE w:val="0"/>
              <w:autoSpaceDN w:val="0"/>
              <w:spacing w:line="240" w:lineRule="auto"/>
              <w:ind w:firstLine="420"/>
              <w:jc w:val="center"/>
              <w:rPr>
                <w:color w:val="auto"/>
                <w:sz w:val="21"/>
                <w:szCs w:val="21"/>
              </w:rPr>
            </w:pPr>
            <w:r>
              <w:rPr>
                <w:color w:val="auto"/>
                <w:sz w:val="21"/>
                <w:szCs w:val="21"/>
              </w:rPr>
              <w:t>76</w:t>
            </w:r>
          </w:p>
        </w:tc>
      </w:tr>
      <w:tr w14:paraId="4DE12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75756A41">
            <w:pPr>
              <w:autoSpaceDE w:val="0"/>
              <w:autoSpaceDN w:val="0"/>
              <w:spacing w:line="240" w:lineRule="auto"/>
              <w:ind w:firstLine="420"/>
              <w:jc w:val="center"/>
              <w:rPr>
                <w:color w:val="auto"/>
                <w:sz w:val="21"/>
                <w:szCs w:val="21"/>
                <w:lang w:val="zh-CN"/>
              </w:rPr>
            </w:pPr>
            <w:r>
              <w:rPr>
                <w:color w:val="auto"/>
                <w:sz w:val="21"/>
                <w:szCs w:val="21"/>
                <w:lang w:val="zh-CN"/>
              </w:rPr>
              <w:t>混凝土搅拌机</w:t>
            </w:r>
          </w:p>
        </w:tc>
        <w:tc>
          <w:tcPr>
            <w:tcW w:w="3079" w:type="pct"/>
            <w:vAlign w:val="center"/>
          </w:tcPr>
          <w:p w14:paraId="347A2B70">
            <w:pPr>
              <w:autoSpaceDE w:val="0"/>
              <w:autoSpaceDN w:val="0"/>
              <w:spacing w:line="240" w:lineRule="auto"/>
              <w:ind w:firstLine="420"/>
              <w:jc w:val="center"/>
              <w:rPr>
                <w:color w:val="auto"/>
                <w:sz w:val="21"/>
                <w:szCs w:val="21"/>
              </w:rPr>
            </w:pPr>
            <w:r>
              <w:rPr>
                <w:color w:val="auto"/>
                <w:sz w:val="21"/>
                <w:szCs w:val="21"/>
              </w:rPr>
              <w:t>84</w:t>
            </w:r>
          </w:p>
        </w:tc>
      </w:tr>
      <w:tr w14:paraId="1AD6F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520F5295">
            <w:pPr>
              <w:autoSpaceDE w:val="0"/>
              <w:autoSpaceDN w:val="0"/>
              <w:spacing w:line="240" w:lineRule="auto"/>
              <w:ind w:firstLine="420"/>
              <w:jc w:val="center"/>
              <w:rPr>
                <w:color w:val="auto"/>
                <w:sz w:val="21"/>
                <w:szCs w:val="21"/>
                <w:lang w:val="zh-CN"/>
              </w:rPr>
            </w:pPr>
            <w:r>
              <w:rPr>
                <w:color w:val="auto"/>
                <w:sz w:val="21"/>
                <w:szCs w:val="21"/>
                <w:lang w:val="zh-CN"/>
              </w:rPr>
              <w:t>起重机</w:t>
            </w:r>
          </w:p>
        </w:tc>
        <w:tc>
          <w:tcPr>
            <w:tcW w:w="3079" w:type="pct"/>
            <w:vAlign w:val="center"/>
          </w:tcPr>
          <w:p w14:paraId="30DFF56C">
            <w:pPr>
              <w:autoSpaceDE w:val="0"/>
              <w:autoSpaceDN w:val="0"/>
              <w:spacing w:line="240" w:lineRule="auto"/>
              <w:ind w:firstLine="420"/>
              <w:jc w:val="center"/>
              <w:rPr>
                <w:color w:val="auto"/>
                <w:sz w:val="21"/>
                <w:szCs w:val="21"/>
              </w:rPr>
            </w:pPr>
            <w:r>
              <w:rPr>
                <w:color w:val="auto"/>
                <w:sz w:val="21"/>
                <w:szCs w:val="21"/>
              </w:rPr>
              <w:t>82</w:t>
            </w:r>
          </w:p>
        </w:tc>
      </w:tr>
      <w:tr w14:paraId="7D95E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446E464F">
            <w:pPr>
              <w:autoSpaceDE w:val="0"/>
              <w:autoSpaceDN w:val="0"/>
              <w:spacing w:line="240" w:lineRule="auto"/>
              <w:ind w:firstLine="420"/>
              <w:jc w:val="center"/>
              <w:rPr>
                <w:color w:val="auto"/>
                <w:sz w:val="21"/>
                <w:szCs w:val="21"/>
                <w:lang w:val="zh-CN"/>
              </w:rPr>
            </w:pPr>
            <w:r>
              <w:rPr>
                <w:color w:val="auto"/>
                <w:sz w:val="21"/>
                <w:szCs w:val="21"/>
                <w:lang w:val="zh-CN"/>
              </w:rPr>
              <w:t>压路机</w:t>
            </w:r>
          </w:p>
        </w:tc>
        <w:tc>
          <w:tcPr>
            <w:tcW w:w="3079" w:type="pct"/>
            <w:vAlign w:val="center"/>
          </w:tcPr>
          <w:p w14:paraId="558C2C8D">
            <w:pPr>
              <w:autoSpaceDE w:val="0"/>
              <w:autoSpaceDN w:val="0"/>
              <w:spacing w:line="240" w:lineRule="auto"/>
              <w:ind w:firstLine="420"/>
              <w:jc w:val="center"/>
              <w:rPr>
                <w:color w:val="auto"/>
                <w:sz w:val="21"/>
                <w:szCs w:val="21"/>
              </w:rPr>
            </w:pPr>
            <w:r>
              <w:rPr>
                <w:color w:val="auto"/>
                <w:sz w:val="21"/>
                <w:szCs w:val="21"/>
              </w:rPr>
              <w:t>82</w:t>
            </w:r>
          </w:p>
        </w:tc>
      </w:tr>
      <w:tr w14:paraId="35C01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7BC9C2C7">
            <w:pPr>
              <w:autoSpaceDE w:val="0"/>
              <w:autoSpaceDN w:val="0"/>
              <w:spacing w:line="240" w:lineRule="auto"/>
              <w:ind w:firstLine="420"/>
              <w:jc w:val="center"/>
              <w:rPr>
                <w:color w:val="auto"/>
                <w:sz w:val="21"/>
                <w:szCs w:val="21"/>
                <w:lang w:val="zh-CN"/>
              </w:rPr>
            </w:pPr>
            <w:r>
              <w:rPr>
                <w:color w:val="auto"/>
                <w:sz w:val="21"/>
                <w:szCs w:val="21"/>
                <w:lang w:val="zh-CN"/>
              </w:rPr>
              <w:t>卡车</w:t>
            </w:r>
          </w:p>
        </w:tc>
        <w:tc>
          <w:tcPr>
            <w:tcW w:w="3079" w:type="pct"/>
            <w:vAlign w:val="center"/>
          </w:tcPr>
          <w:p w14:paraId="06423A37">
            <w:pPr>
              <w:autoSpaceDE w:val="0"/>
              <w:autoSpaceDN w:val="0"/>
              <w:spacing w:line="240" w:lineRule="auto"/>
              <w:ind w:firstLine="420"/>
              <w:jc w:val="center"/>
              <w:rPr>
                <w:color w:val="auto"/>
                <w:sz w:val="21"/>
                <w:szCs w:val="21"/>
              </w:rPr>
            </w:pPr>
            <w:r>
              <w:rPr>
                <w:color w:val="auto"/>
                <w:sz w:val="21"/>
                <w:szCs w:val="21"/>
              </w:rPr>
              <w:t>85</w:t>
            </w:r>
          </w:p>
        </w:tc>
      </w:tr>
      <w:tr w14:paraId="529AE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25035224">
            <w:pPr>
              <w:autoSpaceDE w:val="0"/>
              <w:autoSpaceDN w:val="0"/>
              <w:spacing w:line="240" w:lineRule="auto"/>
              <w:ind w:firstLine="420"/>
              <w:jc w:val="center"/>
              <w:rPr>
                <w:color w:val="auto"/>
                <w:sz w:val="21"/>
                <w:szCs w:val="21"/>
                <w:lang w:val="zh-CN"/>
              </w:rPr>
            </w:pPr>
            <w:r>
              <w:rPr>
                <w:color w:val="auto"/>
                <w:sz w:val="21"/>
                <w:szCs w:val="21"/>
                <w:lang w:val="zh-CN"/>
              </w:rPr>
              <w:t>电锯</w:t>
            </w:r>
          </w:p>
        </w:tc>
        <w:tc>
          <w:tcPr>
            <w:tcW w:w="3079" w:type="pct"/>
            <w:vAlign w:val="center"/>
          </w:tcPr>
          <w:p w14:paraId="0B72EA80">
            <w:pPr>
              <w:autoSpaceDE w:val="0"/>
              <w:autoSpaceDN w:val="0"/>
              <w:spacing w:line="240" w:lineRule="auto"/>
              <w:ind w:firstLine="420"/>
              <w:jc w:val="center"/>
              <w:rPr>
                <w:color w:val="auto"/>
                <w:sz w:val="21"/>
                <w:szCs w:val="21"/>
              </w:rPr>
            </w:pPr>
            <w:r>
              <w:rPr>
                <w:color w:val="auto"/>
                <w:sz w:val="21"/>
                <w:szCs w:val="21"/>
              </w:rPr>
              <w:t>84</w:t>
            </w:r>
          </w:p>
        </w:tc>
      </w:tr>
      <w:tr w14:paraId="599F9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1B651CC7">
            <w:pPr>
              <w:autoSpaceDE w:val="0"/>
              <w:autoSpaceDN w:val="0"/>
              <w:spacing w:line="240" w:lineRule="auto"/>
              <w:ind w:firstLine="420"/>
              <w:jc w:val="center"/>
              <w:rPr>
                <w:color w:val="auto"/>
                <w:sz w:val="21"/>
                <w:szCs w:val="21"/>
                <w:lang w:val="zh-CN"/>
              </w:rPr>
            </w:pPr>
            <w:r>
              <w:rPr>
                <w:color w:val="auto"/>
                <w:sz w:val="21"/>
                <w:szCs w:val="21"/>
                <w:lang w:val="zh-CN"/>
              </w:rPr>
              <w:t>装载机</w:t>
            </w:r>
          </w:p>
        </w:tc>
        <w:tc>
          <w:tcPr>
            <w:tcW w:w="3079" w:type="pct"/>
            <w:vAlign w:val="center"/>
          </w:tcPr>
          <w:p w14:paraId="110DCDDF">
            <w:pPr>
              <w:autoSpaceDE w:val="0"/>
              <w:autoSpaceDN w:val="0"/>
              <w:spacing w:line="240" w:lineRule="auto"/>
              <w:ind w:firstLine="420"/>
              <w:jc w:val="center"/>
              <w:rPr>
                <w:color w:val="auto"/>
                <w:sz w:val="21"/>
                <w:szCs w:val="21"/>
              </w:rPr>
            </w:pPr>
            <w:r>
              <w:rPr>
                <w:color w:val="auto"/>
                <w:sz w:val="21"/>
                <w:szCs w:val="21"/>
              </w:rPr>
              <w:t>84</w:t>
            </w:r>
          </w:p>
        </w:tc>
      </w:tr>
      <w:tr w14:paraId="57C42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21" w:type="pct"/>
            <w:vAlign w:val="center"/>
          </w:tcPr>
          <w:p w14:paraId="59F3AE8C">
            <w:pPr>
              <w:autoSpaceDE w:val="0"/>
              <w:autoSpaceDN w:val="0"/>
              <w:spacing w:line="240" w:lineRule="auto"/>
              <w:ind w:firstLine="420"/>
              <w:jc w:val="center"/>
              <w:rPr>
                <w:color w:val="auto"/>
                <w:sz w:val="21"/>
                <w:szCs w:val="21"/>
                <w:lang w:val="zh-CN"/>
              </w:rPr>
            </w:pPr>
            <w:r>
              <w:rPr>
                <w:color w:val="auto"/>
                <w:sz w:val="21"/>
                <w:szCs w:val="21"/>
                <w:lang w:val="zh-CN"/>
              </w:rPr>
              <w:t>平土机</w:t>
            </w:r>
          </w:p>
        </w:tc>
        <w:tc>
          <w:tcPr>
            <w:tcW w:w="3079" w:type="pct"/>
            <w:vAlign w:val="center"/>
          </w:tcPr>
          <w:p w14:paraId="747C187B">
            <w:pPr>
              <w:autoSpaceDE w:val="0"/>
              <w:autoSpaceDN w:val="0"/>
              <w:spacing w:line="240" w:lineRule="auto"/>
              <w:ind w:firstLine="420"/>
              <w:jc w:val="center"/>
              <w:rPr>
                <w:color w:val="auto"/>
                <w:sz w:val="21"/>
                <w:szCs w:val="21"/>
              </w:rPr>
            </w:pPr>
            <w:r>
              <w:rPr>
                <w:color w:val="auto"/>
                <w:sz w:val="21"/>
                <w:szCs w:val="21"/>
              </w:rPr>
              <w:t>84</w:t>
            </w:r>
          </w:p>
        </w:tc>
      </w:tr>
    </w:tbl>
    <w:p w14:paraId="1C483674">
      <w:pPr>
        <w:autoSpaceDE w:val="0"/>
        <w:autoSpaceDN w:val="0"/>
        <w:ind w:firstLine="480"/>
        <w:rPr>
          <w:color w:val="auto"/>
          <w:lang w:val="zh-CN"/>
        </w:rPr>
      </w:pPr>
      <w:r>
        <w:rPr>
          <w:color w:val="auto"/>
          <w:lang w:val="zh-CN"/>
        </w:rPr>
        <w:t>由表</w:t>
      </w:r>
      <w:r>
        <w:rPr>
          <w:rFonts w:hint="eastAsia"/>
          <w:color w:val="auto"/>
        </w:rPr>
        <w:t>6</w:t>
      </w:r>
      <w:r>
        <w:rPr>
          <w:color w:val="auto"/>
          <w:lang w:val="zh-CN"/>
        </w:rPr>
        <w:t>.1-3中可以看出，现场施工机械设备噪声很高，而且实际施工过程中，往往是多种机械同时工作，各种噪声源辐射的相互叠加，噪声级将更高，辐射范围亦更大。</w:t>
      </w:r>
    </w:p>
    <w:p w14:paraId="195DAE26">
      <w:pPr>
        <w:autoSpaceDE w:val="0"/>
        <w:autoSpaceDN w:val="0"/>
        <w:ind w:firstLine="480"/>
        <w:rPr>
          <w:color w:val="auto"/>
          <w:lang w:val="zh-CN"/>
        </w:rPr>
      </w:pPr>
      <w:r>
        <w:rPr>
          <w:color w:val="auto"/>
          <w:lang w:val="zh-CN"/>
        </w:rPr>
        <w:t>施工噪声对周围地区声环境的影响，采用</w:t>
      </w:r>
      <w:r>
        <w:rPr>
          <w:color w:val="auto"/>
          <w:kern w:val="0"/>
        </w:rPr>
        <w:t>《建筑施工场界环境噪声排放标准》（GB12523-2011）</w:t>
      </w:r>
      <w:r>
        <w:rPr>
          <w:color w:val="auto"/>
          <w:lang w:val="zh-CN"/>
        </w:rPr>
        <w:t>进行评价，具体见表</w:t>
      </w:r>
      <w:r>
        <w:rPr>
          <w:rFonts w:hint="eastAsia"/>
          <w:color w:val="auto"/>
        </w:rPr>
        <w:t>6</w:t>
      </w:r>
      <w:r>
        <w:rPr>
          <w:color w:val="auto"/>
          <w:lang w:val="zh-CN"/>
        </w:rPr>
        <w:t>.1-4。</w:t>
      </w:r>
    </w:p>
    <w:p w14:paraId="39EEAF83">
      <w:pPr>
        <w:spacing w:line="240" w:lineRule="auto"/>
        <w:ind w:firstLine="0" w:firstLineChars="0"/>
        <w:jc w:val="center"/>
        <w:rPr>
          <w:b/>
          <w:bCs/>
          <w:color w:val="auto"/>
        </w:rPr>
      </w:pPr>
      <w:r>
        <w:rPr>
          <w:b/>
          <w:bCs/>
          <w:color w:val="auto"/>
        </w:rPr>
        <w:t>表</w:t>
      </w:r>
      <w:r>
        <w:rPr>
          <w:rFonts w:hint="eastAsia"/>
          <w:b/>
          <w:bCs/>
          <w:color w:val="auto"/>
        </w:rPr>
        <w:t>6</w:t>
      </w:r>
      <w:r>
        <w:rPr>
          <w:b/>
          <w:bCs/>
          <w:color w:val="auto"/>
        </w:rPr>
        <w:t>.1-4  不同施工阶段作业噪声限值</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01"/>
        <w:gridCol w:w="2101"/>
        <w:gridCol w:w="2099"/>
      </w:tblGrid>
      <w:tr w14:paraId="373E3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66" w:type="pct"/>
            <w:vAlign w:val="center"/>
          </w:tcPr>
          <w:p w14:paraId="14D007EA">
            <w:pPr>
              <w:autoSpaceDE w:val="0"/>
              <w:autoSpaceDN w:val="0"/>
              <w:spacing w:line="240" w:lineRule="auto"/>
              <w:ind w:firstLine="0" w:firstLineChars="0"/>
              <w:jc w:val="center"/>
              <w:rPr>
                <w:b/>
                <w:bCs/>
                <w:color w:val="auto"/>
                <w:sz w:val="21"/>
                <w:szCs w:val="21"/>
                <w:lang w:val="zh-CN"/>
              </w:rPr>
            </w:pPr>
            <w:r>
              <w:rPr>
                <w:b/>
                <w:bCs/>
                <w:color w:val="auto"/>
                <w:sz w:val="21"/>
                <w:szCs w:val="21"/>
                <w:lang w:val="zh-CN"/>
              </w:rPr>
              <w:t>类别</w:t>
            </w:r>
          </w:p>
        </w:tc>
        <w:tc>
          <w:tcPr>
            <w:tcW w:w="1117" w:type="pct"/>
            <w:vAlign w:val="center"/>
          </w:tcPr>
          <w:p w14:paraId="0BCC4EE3">
            <w:pPr>
              <w:autoSpaceDE w:val="0"/>
              <w:autoSpaceDN w:val="0"/>
              <w:spacing w:line="240" w:lineRule="auto"/>
              <w:ind w:firstLine="0" w:firstLineChars="0"/>
              <w:jc w:val="center"/>
              <w:rPr>
                <w:b/>
                <w:bCs/>
                <w:color w:val="auto"/>
                <w:sz w:val="21"/>
                <w:szCs w:val="21"/>
                <w:lang w:val="zh-CN"/>
              </w:rPr>
            </w:pPr>
            <w:r>
              <w:rPr>
                <w:b/>
                <w:bCs/>
                <w:color w:val="auto"/>
                <w:sz w:val="21"/>
                <w:szCs w:val="21"/>
                <w:lang w:val="zh-CN"/>
              </w:rPr>
              <w:t>昼间</w:t>
            </w:r>
          </w:p>
        </w:tc>
        <w:tc>
          <w:tcPr>
            <w:tcW w:w="1116" w:type="pct"/>
            <w:vAlign w:val="center"/>
          </w:tcPr>
          <w:p w14:paraId="37FB1AC1">
            <w:pPr>
              <w:autoSpaceDE w:val="0"/>
              <w:autoSpaceDN w:val="0"/>
              <w:spacing w:line="240" w:lineRule="auto"/>
              <w:ind w:firstLine="0" w:firstLineChars="0"/>
              <w:jc w:val="center"/>
              <w:rPr>
                <w:b/>
                <w:bCs/>
                <w:color w:val="auto"/>
                <w:sz w:val="21"/>
                <w:szCs w:val="21"/>
                <w:lang w:val="zh-CN"/>
              </w:rPr>
            </w:pPr>
            <w:r>
              <w:rPr>
                <w:b/>
                <w:bCs/>
                <w:color w:val="auto"/>
                <w:sz w:val="21"/>
                <w:szCs w:val="21"/>
                <w:lang w:val="zh-CN"/>
              </w:rPr>
              <w:t>夜间</w:t>
            </w:r>
          </w:p>
        </w:tc>
      </w:tr>
      <w:tr w14:paraId="16218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6" w:type="pct"/>
            <w:vAlign w:val="center"/>
          </w:tcPr>
          <w:p w14:paraId="68152766">
            <w:pPr>
              <w:autoSpaceDE w:val="0"/>
              <w:autoSpaceDN w:val="0"/>
              <w:spacing w:line="240" w:lineRule="auto"/>
              <w:ind w:firstLine="0" w:firstLineChars="0"/>
              <w:jc w:val="center"/>
              <w:rPr>
                <w:color w:val="auto"/>
                <w:sz w:val="21"/>
                <w:szCs w:val="21"/>
                <w:lang w:val="zh-CN"/>
              </w:rPr>
            </w:pPr>
            <w:r>
              <w:rPr>
                <w:color w:val="auto"/>
                <w:sz w:val="21"/>
                <w:szCs w:val="21"/>
                <w:lang w:val="zh-CN"/>
              </w:rPr>
              <w:t>噪声排放限值dB（A）</w:t>
            </w:r>
          </w:p>
        </w:tc>
        <w:tc>
          <w:tcPr>
            <w:tcW w:w="1117" w:type="pct"/>
            <w:vAlign w:val="center"/>
          </w:tcPr>
          <w:p w14:paraId="0E955BFC">
            <w:pPr>
              <w:autoSpaceDE w:val="0"/>
              <w:autoSpaceDN w:val="0"/>
              <w:spacing w:line="240" w:lineRule="auto"/>
              <w:ind w:firstLine="0" w:firstLineChars="0"/>
              <w:jc w:val="center"/>
              <w:rPr>
                <w:color w:val="auto"/>
                <w:sz w:val="21"/>
                <w:szCs w:val="21"/>
                <w:lang w:val="zh-CN"/>
              </w:rPr>
            </w:pPr>
            <w:r>
              <w:rPr>
                <w:color w:val="auto"/>
                <w:sz w:val="21"/>
                <w:szCs w:val="21"/>
                <w:lang w:val="zh-CN"/>
              </w:rPr>
              <w:t>70</w:t>
            </w:r>
          </w:p>
        </w:tc>
        <w:tc>
          <w:tcPr>
            <w:tcW w:w="1116" w:type="pct"/>
            <w:vAlign w:val="center"/>
          </w:tcPr>
          <w:p w14:paraId="12F6838E">
            <w:pPr>
              <w:autoSpaceDE w:val="0"/>
              <w:autoSpaceDN w:val="0"/>
              <w:spacing w:line="240" w:lineRule="auto"/>
              <w:ind w:firstLine="0" w:firstLineChars="0"/>
              <w:jc w:val="center"/>
              <w:rPr>
                <w:color w:val="auto"/>
                <w:sz w:val="21"/>
                <w:szCs w:val="21"/>
                <w:lang w:val="zh-CN"/>
              </w:rPr>
            </w:pPr>
            <w:r>
              <w:rPr>
                <w:color w:val="auto"/>
                <w:sz w:val="21"/>
                <w:szCs w:val="21"/>
                <w:lang w:val="zh-CN"/>
              </w:rPr>
              <w:t>55</w:t>
            </w:r>
          </w:p>
        </w:tc>
      </w:tr>
    </w:tbl>
    <w:p w14:paraId="1FBC8F32">
      <w:pPr>
        <w:ind w:firstLine="480"/>
        <w:rPr>
          <w:bCs/>
          <w:color w:val="auto"/>
        </w:rPr>
      </w:pPr>
      <w:r>
        <w:rPr>
          <w:bCs/>
          <w:color w:val="auto"/>
        </w:rPr>
        <w:t>施工过程中使用的施工机械所产生的噪声主要属于中低频噪声，因此在预测其影响时可只考虑其扩散衰减，即预测模型可选用：</w:t>
      </w:r>
    </w:p>
    <w:p w14:paraId="1FCE3307">
      <w:pPr>
        <w:autoSpaceDE w:val="0"/>
        <w:autoSpaceDN w:val="0"/>
        <w:ind w:firstLine="480"/>
        <w:jc w:val="center"/>
        <w:rPr>
          <w:color w:val="auto"/>
        </w:rPr>
      </w:pPr>
      <w:r>
        <w:rPr>
          <w:color w:val="auto"/>
        </w:rPr>
        <w:t>L</w:t>
      </w:r>
      <w:r>
        <w:rPr>
          <w:color w:val="auto"/>
          <w:vertAlign w:val="subscript"/>
        </w:rPr>
        <w:t>2</w:t>
      </w:r>
      <w:r>
        <w:rPr>
          <w:color w:val="auto"/>
        </w:rPr>
        <w:t>=L</w:t>
      </w:r>
      <w:r>
        <w:rPr>
          <w:color w:val="auto"/>
          <w:vertAlign w:val="subscript"/>
        </w:rPr>
        <w:t>1</w:t>
      </w:r>
      <w:r>
        <w:rPr>
          <w:color w:val="auto"/>
        </w:rPr>
        <w:t>-20lgr</w:t>
      </w:r>
      <w:r>
        <w:rPr>
          <w:color w:val="auto"/>
          <w:vertAlign w:val="subscript"/>
        </w:rPr>
        <w:t>2</w:t>
      </w:r>
      <w:r>
        <w:rPr>
          <w:color w:val="auto"/>
        </w:rPr>
        <w:t>/r</w:t>
      </w:r>
      <w:r>
        <w:rPr>
          <w:color w:val="auto"/>
          <w:vertAlign w:val="subscript"/>
        </w:rPr>
        <w:t>1</w:t>
      </w:r>
      <w:r>
        <w:rPr>
          <w:color w:val="auto"/>
        </w:rPr>
        <w:t>(r</w:t>
      </w:r>
      <w:r>
        <w:rPr>
          <w:color w:val="auto"/>
          <w:vertAlign w:val="subscript"/>
        </w:rPr>
        <w:t>2</w:t>
      </w:r>
      <w:r>
        <w:rPr>
          <w:color w:val="auto"/>
        </w:rPr>
        <w:t>&gt;r</w:t>
      </w:r>
      <w:r>
        <w:rPr>
          <w:color w:val="auto"/>
          <w:vertAlign w:val="subscript"/>
        </w:rPr>
        <w:t>1</w:t>
      </w:r>
      <w:r>
        <w:rPr>
          <w:color w:val="auto"/>
        </w:rPr>
        <w:t>)</w:t>
      </w:r>
    </w:p>
    <w:p w14:paraId="4488606B">
      <w:pPr>
        <w:autoSpaceDE w:val="0"/>
        <w:autoSpaceDN w:val="0"/>
        <w:ind w:firstLine="480"/>
        <w:rPr>
          <w:color w:val="auto"/>
        </w:rPr>
      </w:pPr>
      <w:r>
        <w:rPr>
          <w:color w:val="auto"/>
        </w:rPr>
        <w:t>式中：L</w:t>
      </w:r>
      <w:r>
        <w:rPr>
          <w:color w:val="auto"/>
          <w:vertAlign w:val="subscript"/>
        </w:rPr>
        <w:t>1</w:t>
      </w:r>
      <w:r>
        <w:rPr>
          <w:color w:val="auto"/>
        </w:rPr>
        <w:t>、L</w:t>
      </w:r>
      <w:r>
        <w:rPr>
          <w:color w:val="auto"/>
          <w:vertAlign w:val="subscript"/>
        </w:rPr>
        <w:t>2</w:t>
      </w:r>
      <w:r>
        <w:rPr>
          <w:color w:val="auto"/>
        </w:rPr>
        <w:t>分别为距声源r</w:t>
      </w:r>
      <w:r>
        <w:rPr>
          <w:color w:val="auto"/>
          <w:vertAlign w:val="subscript"/>
        </w:rPr>
        <w:t>1</w:t>
      </w:r>
      <w:r>
        <w:rPr>
          <w:color w:val="auto"/>
        </w:rPr>
        <w:t>、r</w:t>
      </w:r>
      <w:r>
        <w:rPr>
          <w:color w:val="auto"/>
          <w:vertAlign w:val="subscript"/>
        </w:rPr>
        <w:t>2</w:t>
      </w:r>
      <w:r>
        <w:rPr>
          <w:color w:val="auto"/>
        </w:rPr>
        <w:t>处的等效A声级（dB(A)）；</w:t>
      </w:r>
    </w:p>
    <w:p w14:paraId="3EE7D0A6">
      <w:pPr>
        <w:tabs>
          <w:tab w:val="left" w:pos="7391"/>
        </w:tabs>
        <w:autoSpaceDE w:val="0"/>
        <w:autoSpaceDN w:val="0"/>
        <w:ind w:firstLine="1200" w:firstLineChars="500"/>
        <w:rPr>
          <w:color w:val="auto"/>
        </w:rPr>
      </w:pPr>
      <w:r>
        <w:rPr>
          <w:color w:val="auto"/>
        </w:rPr>
        <w:t>r</w:t>
      </w:r>
      <w:r>
        <w:rPr>
          <w:color w:val="auto"/>
          <w:vertAlign w:val="subscript"/>
        </w:rPr>
        <w:t>1</w:t>
      </w:r>
      <w:r>
        <w:rPr>
          <w:color w:val="auto"/>
        </w:rPr>
        <w:t>、r</w:t>
      </w:r>
      <w:r>
        <w:rPr>
          <w:color w:val="auto"/>
          <w:vertAlign w:val="subscript"/>
        </w:rPr>
        <w:t>2</w:t>
      </w:r>
      <w:r>
        <w:rPr>
          <w:color w:val="auto"/>
        </w:rPr>
        <w:t>为接受点距声源的距离（m）。</w:t>
      </w:r>
    </w:p>
    <w:p w14:paraId="5E3C39BC">
      <w:pPr>
        <w:autoSpaceDE w:val="0"/>
        <w:autoSpaceDN w:val="0"/>
        <w:ind w:firstLine="480"/>
        <w:rPr>
          <w:color w:val="auto"/>
        </w:rPr>
      </w:pPr>
      <w:r>
        <w:rPr>
          <w:color w:val="auto"/>
        </w:rPr>
        <w:t>由上式可推出噪声随距离增加而衰减的量△L：</w:t>
      </w:r>
    </w:p>
    <w:p w14:paraId="477FBB6F">
      <w:pPr>
        <w:autoSpaceDE w:val="0"/>
        <w:autoSpaceDN w:val="0"/>
        <w:ind w:firstLine="480"/>
        <w:jc w:val="center"/>
        <w:rPr>
          <w:color w:val="auto"/>
        </w:rPr>
      </w:pPr>
      <w:r>
        <w:rPr>
          <w:color w:val="auto"/>
        </w:rPr>
        <w:t>△L=L</w:t>
      </w:r>
      <w:r>
        <w:rPr>
          <w:color w:val="auto"/>
          <w:vertAlign w:val="subscript"/>
        </w:rPr>
        <w:t>1</w:t>
      </w:r>
      <w:r>
        <w:rPr>
          <w:color w:val="auto"/>
        </w:rPr>
        <w:t>-L</w:t>
      </w:r>
      <w:r>
        <w:rPr>
          <w:color w:val="auto"/>
          <w:vertAlign w:val="subscript"/>
        </w:rPr>
        <w:t>2</w:t>
      </w:r>
      <w:r>
        <w:rPr>
          <w:color w:val="auto"/>
        </w:rPr>
        <w:t>=20lgr</w:t>
      </w:r>
      <w:r>
        <w:rPr>
          <w:color w:val="auto"/>
          <w:vertAlign w:val="subscript"/>
        </w:rPr>
        <w:t>2</w:t>
      </w:r>
      <w:r>
        <w:rPr>
          <w:color w:val="auto"/>
        </w:rPr>
        <w:t>/r</w:t>
      </w:r>
      <w:r>
        <w:rPr>
          <w:color w:val="auto"/>
          <w:vertAlign w:val="subscript"/>
        </w:rPr>
        <w:t>1</w:t>
      </w:r>
    </w:p>
    <w:p w14:paraId="0A467EDF">
      <w:pPr>
        <w:autoSpaceDE w:val="0"/>
        <w:autoSpaceDN w:val="0"/>
        <w:ind w:firstLine="480"/>
        <w:rPr>
          <w:color w:val="auto"/>
          <w:lang w:val="zh-CN"/>
        </w:rPr>
      </w:pPr>
      <w:r>
        <w:rPr>
          <w:color w:val="auto"/>
          <w:lang w:val="zh-CN"/>
        </w:rPr>
        <w:t>由上式可计算出噪声值随距离衰减的情况，结果见表</w:t>
      </w:r>
      <w:r>
        <w:rPr>
          <w:rFonts w:hint="eastAsia"/>
          <w:color w:val="auto"/>
        </w:rPr>
        <w:t>6</w:t>
      </w:r>
      <w:r>
        <w:rPr>
          <w:color w:val="auto"/>
          <w:lang w:val="zh-CN"/>
        </w:rPr>
        <w:t>.1-5。</w:t>
      </w:r>
    </w:p>
    <w:p w14:paraId="4D7DF9EB">
      <w:pPr>
        <w:spacing w:line="240" w:lineRule="auto"/>
        <w:ind w:firstLine="0" w:firstLineChars="0"/>
        <w:jc w:val="center"/>
        <w:rPr>
          <w:b/>
          <w:bCs/>
          <w:color w:val="auto"/>
        </w:rPr>
      </w:pPr>
      <w:r>
        <w:rPr>
          <w:b/>
          <w:bCs/>
          <w:color w:val="auto"/>
        </w:rPr>
        <w:t>表</w:t>
      </w:r>
      <w:r>
        <w:rPr>
          <w:rFonts w:hint="eastAsia"/>
          <w:b/>
          <w:bCs/>
          <w:color w:val="auto"/>
        </w:rPr>
        <w:t>6</w:t>
      </w:r>
      <w:r>
        <w:rPr>
          <w:b/>
          <w:bCs/>
          <w:color w:val="auto"/>
        </w:rPr>
        <w:t>.1-5  噪声值随距离的衰减关系</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792"/>
        <w:gridCol w:w="829"/>
        <w:gridCol w:w="767"/>
        <w:gridCol w:w="667"/>
        <w:gridCol w:w="720"/>
        <w:gridCol w:w="720"/>
        <w:gridCol w:w="720"/>
        <w:gridCol w:w="664"/>
        <w:gridCol w:w="664"/>
        <w:gridCol w:w="662"/>
      </w:tblGrid>
      <w:tr w14:paraId="1D72C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168" w:type="pct"/>
            <w:vAlign w:val="center"/>
          </w:tcPr>
          <w:p w14:paraId="74E97C18">
            <w:pPr>
              <w:autoSpaceDE w:val="0"/>
              <w:autoSpaceDN w:val="0"/>
              <w:spacing w:line="240" w:lineRule="auto"/>
              <w:ind w:firstLine="0" w:firstLineChars="0"/>
              <w:jc w:val="center"/>
              <w:rPr>
                <w:color w:val="auto"/>
                <w:sz w:val="21"/>
                <w:szCs w:val="21"/>
                <w:lang w:val="zh-CN"/>
              </w:rPr>
            </w:pPr>
            <w:r>
              <w:rPr>
                <w:color w:val="auto"/>
                <w:sz w:val="21"/>
                <w:szCs w:val="21"/>
                <w:lang w:val="zh-CN"/>
              </w:rPr>
              <w:t>距离（m）</w:t>
            </w:r>
          </w:p>
        </w:tc>
        <w:tc>
          <w:tcPr>
            <w:tcW w:w="421" w:type="pct"/>
            <w:vAlign w:val="center"/>
          </w:tcPr>
          <w:p w14:paraId="3C4A88C0">
            <w:pPr>
              <w:autoSpaceDE w:val="0"/>
              <w:autoSpaceDN w:val="0"/>
              <w:spacing w:line="240" w:lineRule="auto"/>
              <w:ind w:firstLine="0" w:firstLineChars="0"/>
              <w:jc w:val="center"/>
              <w:rPr>
                <w:color w:val="auto"/>
                <w:sz w:val="21"/>
                <w:szCs w:val="21"/>
                <w:lang w:val="zh-CN"/>
              </w:rPr>
            </w:pPr>
            <w:r>
              <w:rPr>
                <w:color w:val="auto"/>
                <w:sz w:val="21"/>
                <w:szCs w:val="21"/>
                <w:lang w:val="zh-CN"/>
              </w:rPr>
              <w:t>1</w:t>
            </w:r>
          </w:p>
        </w:tc>
        <w:tc>
          <w:tcPr>
            <w:tcW w:w="441" w:type="pct"/>
            <w:vAlign w:val="center"/>
          </w:tcPr>
          <w:p w14:paraId="126CF41C">
            <w:pPr>
              <w:autoSpaceDE w:val="0"/>
              <w:autoSpaceDN w:val="0"/>
              <w:spacing w:line="240" w:lineRule="auto"/>
              <w:ind w:firstLine="0" w:firstLineChars="0"/>
              <w:jc w:val="center"/>
              <w:rPr>
                <w:color w:val="auto"/>
                <w:sz w:val="21"/>
                <w:szCs w:val="21"/>
                <w:lang w:val="zh-CN"/>
              </w:rPr>
            </w:pPr>
            <w:r>
              <w:rPr>
                <w:color w:val="auto"/>
                <w:sz w:val="21"/>
                <w:szCs w:val="21"/>
                <w:lang w:val="zh-CN"/>
              </w:rPr>
              <w:t>10</w:t>
            </w:r>
          </w:p>
        </w:tc>
        <w:tc>
          <w:tcPr>
            <w:tcW w:w="408" w:type="pct"/>
            <w:vAlign w:val="center"/>
          </w:tcPr>
          <w:p w14:paraId="78DD9F26">
            <w:pPr>
              <w:autoSpaceDE w:val="0"/>
              <w:autoSpaceDN w:val="0"/>
              <w:spacing w:line="240" w:lineRule="auto"/>
              <w:ind w:firstLine="0" w:firstLineChars="0"/>
              <w:jc w:val="center"/>
              <w:rPr>
                <w:color w:val="auto"/>
                <w:sz w:val="21"/>
                <w:szCs w:val="21"/>
                <w:lang w:val="zh-CN"/>
              </w:rPr>
            </w:pPr>
            <w:r>
              <w:rPr>
                <w:color w:val="auto"/>
                <w:sz w:val="21"/>
                <w:szCs w:val="21"/>
                <w:lang w:val="zh-CN"/>
              </w:rPr>
              <w:t>50</w:t>
            </w:r>
          </w:p>
        </w:tc>
        <w:tc>
          <w:tcPr>
            <w:tcW w:w="355" w:type="pct"/>
            <w:vAlign w:val="center"/>
          </w:tcPr>
          <w:p w14:paraId="692F71DC">
            <w:pPr>
              <w:autoSpaceDE w:val="0"/>
              <w:autoSpaceDN w:val="0"/>
              <w:spacing w:line="240" w:lineRule="auto"/>
              <w:ind w:firstLine="0" w:firstLineChars="0"/>
              <w:jc w:val="center"/>
              <w:rPr>
                <w:color w:val="auto"/>
                <w:sz w:val="21"/>
                <w:szCs w:val="21"/>
                <w:lang w:val="zh-CN"/>
              </w:rPr>
            </w:pPr>
            <w:r>
              <w:rPr>
                <w:color w:val="auto"/>
                <w:sz w:val="21"/>
                <w:szCs w:val="21"/>
                <w:lang w:val="zh-CN"/>
              </w:rPr>
              <w:t>100</w:t>
            </w:r>
          </w:p>
        </w:tc>
        <w:tc>
          <w:tcPr>
            <w:tcW w:w="383" w:type="pct"/>
            <w:vAlign w:val="center"/>
          </w:tcPr>
          <w:p w14:paraId="5C2FE4E7">
            <w:pPr>
              <w:autoSpaceDE w:val="0"/>
              <w:autoSpaceDN w:val="0"/>
              <w:spacing w:line="240" w:lineRule="auto"/>
              <w:ind w:firstLine="0" w:firstLineChars="0"/>
              <w:jc w:val="center"/>
              <w:rPr>
                <w:color w:val="auto"/>
                <w:sz w:val="21"/>
                <w:szCs w:val="21"/>
                <w:lang w:val="zh-CN"/>
              </w:rPr>
            </w:pPr>
            <w:r>
              <w:rPr>
                <w:color w:val="auto"/>
                <w:sz w:val="21"/>
                <w:szCs w:val="21"/>
                <w:lang w:val="zh-CN"/>
              </w:rPr>
              <w:t>150</w:t>
            </w:r>
          </w:p>
        </w:tc>
        <w:tc>
          <w:tcPr>
            <w:tcW w:w="383" w:type="pct"/>
            <w:vAlign w:val="center"/>
          </w:tcPr>
          <w:p w14:paraId="346D65E8">
            <w:pPr>
              <w:autoSpaceDE w:val="0"/>
              <w:autoSpaceDN w:val="0"/>
              <w:spacing w:line="240" w:lineRule="auto"/>
              <w:ind w:firstLine="0" w:firstLineChars="0"/>
              <w:jc w:val="center"/>
              <w:rPr>
                <w:color w:val="auto"/>
                <w:sz w:val="21"/>
                <w:szCs w:val="21"/>
                <w:lang w:val="zh-CN"/>
              </w:rPr>
            </w:pPr>
            <w:r>
              <w:rPr>
                <w:color w:val="auto"/>
                <w:sz w:val="21"/>
                <w:szCs w:val="21"/>
                <w:lang w:val="zh-CN"/>
              </w:rPr>
              <w:t>200</w:t>
            </w:r>
          </w:p>
        </w:tc>
        <w:tc>
          <w:tcPr>
            <w:tcW w:w="383" w:type="pct"/>
            <w:vAlign w:val="center"/>
          </w:tcPr>
          <w:p w14:paraId="63EB5603">
            <w:pPr>
              <w:autoSpaceDE w:val="0"/>
              <w:autoSpaceDN w:val="0"/>
              <w:spacing w:line="240" w:lineRule="auto"/>
              <w:ind w:firstLine="0" w:firstLineChars="0"/>
              <w:jc w:val="center"/>
              <w:rPr>
                <w:color w:val="auto"/>
                <w:sz w:val="21"/>
                <w:szCs w:val="21"/>
                <w:lang w:val="zh-CN"/>
              </w:rPr>
            </w:pPr>
            <w:r>
              <w:rPr>
                <w:color w:val="auto"/>
                <w:sz w:val="21"/>
                <w:szCs w:val="21"/>
                <w:lang w:val="zh-CN"/>
              </w:rPr>
              <w:t>250</w:t>
            </w:r>
          </w:p>
        </w:tc>
        <w:tc>
          <w:tcPr>
            <w:tcW w:w="353" w:type="pct"/>
            <w:vAlign w:val="center"/>
          </w:tcPr>
          <w:p w14:paraId="564F9E09">
            <w:pPr>
              <w:autoSpaceDE w:val="0"/>
              <w:autoSpaceDN w:val="0"/>
              <w:spacing w:line="240" w:lineRule="auto"/>
              <w:ind w:firstLine="0" w:firstLineChars="0"/>
              <w:jc w:val="center"/>
              <w:rPr>
                <w:color w:val="auto"/>
                <w:sz w:val="21"/>
                <w:szCs w:val="21"/>
                <w:lang w:val="zh-CN"/>
              </w:rPr>
            </w:pPr>
            <w:r>
              <w:rPr>
                <w:color w:val="auto"/>
                <w:sz w:val="21"/>
                <w:szCs w:val="21"/>
                <w:lang w:val="zh-CN"/>
              </w:rPr>
              <w:t>300</w:t>
            </w:r>
          </w:p>
        </w:tc>
        <w:tc>
          <w:tcPr>
            <w:tcW w:w="353" w:type="pct"/>
            <w:vAlign w:val="center"/>
          </w:tcPr>
          <w:p w14:paraId="476E9D28">
            <w:pPr>
              <w:autoSpaceDE w:val="0"/>
              <w:autoSpaceDN w:val="0"/>
              <w:spacing w:line="240" w:lineRule="auto"/>
              <w:ind w:firstLine="0" w:firstLineChars="0"/>
              <w:jc w:val="center"/>
              <w:rPr>
                <w:color w:val="auto"/>
                <w:sz w:val="21"/>
                <w:szCs w:val="21"/>
                <w:lang w:val="zh-CN"/>
              </w:rPr>
            </w:pPr>
            <w:r>
              <w:rPr>
                <w:color w:val="auto"/>
                <w:sz w:val="21"/>
                <w:szCs w:val="21"/>
                <w:lang w:val="zh-CN"/>
              </w:rPr>
              <w:t>400</w:t>
            </w:r>
          </w:p>
        </w:tc>
        <w:tc>
          <w:tcPr>
            <w:tcW w:w="353" w:type="pct"/>
            <w:vAlign w:val="center"/>
          </w:tcPr>
          <w:p w14:paraId="798FD1DB">
            <w:pPr>
              <w:autoSpaceDE w:val="0"/>
              <w:autoSpaceDN w:val="0"/>
              <w:spacing w:line="240" w:lineRule="auto"/>
              <w:ind w:firstLine="0" w:firstLineChars="0"/>
              <w:jc w:val="center"/>
              <w:rPr>
                <w:color w:val="auto"/>
                <w:sz w:val="21"/>
                <w:szCs w:val="21"/>
                <w:lang w:val="zh-CN"/>
              </w:rPr>
            </w:pPr>
            <w:r>
              <w:rPr>
                <w:color w:val="auto"/>
                <w:sz w:val="21"/>
                <w:szCs w:val="21"/>
                <w:lang w:val="zh-CN"/>
              </w:rPr>
              <w:t>600</w:t>
            </w:r>
          </w:p>
        </w:tc>
      </w:tr>
      <w:tr w14:paraId="6C233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168" w:type="pct"/>
            <w:vAlign w:val="center"/>
          </w:tcPr>
          <w:p w14:paraId="5721042C">
            <w:pPr>
              <w:autoSpaceDE w:val="0"/>
              <w:autoSpaceDN w:val="0"/>
              <w:spacing w:line="240" w:lineRule="auto"/>
              <w:ind w:firstLine="0" w:firstLineChars="0"/>
              <w:jc w:val="center"/>
              <w:rPr>
                <w:color w:val="auto"/>
                <w:sz w:val="21"/>
                <w:szCs w:val="21"/>
                <w:lang w:val="zh-CN"/>
              </w:rPr>
            </w:pPr>
            <w:r>
              <w:rPr>
                <w:color w:val="auto"/>
                <w:sz w:val="21"/>
                <w:szCs w:val="21"/>
                <w:lang w:val="zh-CN"/>
              </w:rPr>
              <w:t>△LdB(A)</w:t>
            </w:r>
          </w:p>
        </w:tc>
        <w:tc>
          <w:tcPr>
            <w:tcW w:w="421" w:type="pct"/>
            <w:vAlign w:val="center"/>
          </w:tcPr>
          <w:p w14:paraId="28A9E05B">
            <w:pPr>
              <w:autoSpaceDE w:val="0"/>
              <w:autoSpaceDN w:val="0"/>
              <w:spacing w:line="240" w:lineRule="auto"/>
              <w:ind w:firstLine="0" w:firstLineChars="0"/>
              <w:jc w:val="center"/>
              <w:rPr>
                <w:color w:val="auto"/>
                <w:sz w:val="21"/>
                <w:szCs w:val="21"/>
                <w:lang w:val="zh-CN"/>
              </w:rPr>
            </w:pPr>
            <w:r>
              <w:rPr>
                <w:color w:val="auto"/>
                <w:sz w:val="21"/>
                <w:szCs w:val="21"/>
                <w:lang w:val="zh-CN"/>
              </w:rPr>
              <w:t>0</w:t>
            </w:r>
          </w:p>
        </w:tc>
        <w:tc>
          <w:tcPr>
            <w:tcW w:w="441" w:type="pct"/>
            <w:vAlign w:val="center"/>
          </w:tcPr>
          <w:p w14:paraId="1810CAC5">
            <w:pPr>
              <w:autoSpaceDE w:val="0"/>
              <w:autoSpaceDN w:val="0"/>
              <w:spacing w:line="240" w:lineRule="auto"/>
              <w:ind w:firstLine="0" w:firstLineChars="0"/>
              <w:jc w:val="center"/>
              <w:rPr>
                <w:color w:val="auto"/>
                <w:sz w:val="21"/>
                <w:szCs w:val="21"/>
                <w:lang w:val="zh-CN"/>
              </w:rPr>
            </w:pPr>
            <w:r>
              <w:rPr>
                <w:color w:val="auto"/>
                <w:sz w:val="21"/>
                <w:szCs w:val="21"/>
                <w:lang w:val="zh-CN"/>
              </w:rPr>
              <w:t>20</w:t>
            </w:r>
          </w:p>
        </w:tc>
        <w:tc>
          <w:tcPr>
            <w:tcW w:w="408" w:type="pct"/>
            <w:vAlign w:val="center"/>
          </w:tcPr>
          <w:p w14:paraId="573F9486">
            <w:pPr>
              <w:autoSpaceDE w:val="0"/>
              <w:autoSpaceDN w:val="0"/>
              <w:spacing w:line="240" w:lineRule="auto"/>
              <w:ind w:firstLine="0" w:firstLineChars="0"/>
              <w:jc w:val="center"/>
              <w:rPr>
                <w:color w:val="auto"/>
                <w:sz w:val="21"/>
                <w:szCs w:val="21"/>
                <w:lang w:val="zh-CN"/>
              </w:rPr>
            </w:pPr>
            <w:r>
              <w:rPr>
                <w:color w:val="auto"/>
                <w:sz w:val="21"/>
                <w:szCs w:val="21"/>
                <w:lang w:val="zh-CN"/>
              </w:rPr>
              <w:t>34</w:t>
            </w:r>
          </w:p>
        </w:tc>
        <w:tc>
          <w:tcPr>
            <w:tcW w:w="355" w:type="pct"/>
            <w:vAlign w:val="center"/>
          </w:tcPr>
          <w:p w14:paraId="3D31B1EB">
            <w:pPr>
              <w:autoSpaceDE w:val="0"/>
              <w:autoSpaceDN w:val="0"/>
              <w:spacing w:line="240" w:lineRule="auto"/>
              <w:ind w:firstLine="0" w:firstLineChars="0"/>
              <w:jc w:val="center"/>
              <w:rPr>
                <w:color w:val="auto"/>
                <w:sz w:val="21"/>
                <w:szCs w:val="21"/>
                <w:lang w:val="zh-CN"/>
              </w:rPr>
            </w:pPr>
            <w:r>
              <w:rPr>
                <w:color w:val="auto"/>
                <w:sz w:val="21"/>
                <w:szCs w:val="21"/>
                <w:lang w:val="zh-CN"/>
              </w:rPr>
              <w:t>40</w:t>
            </w:r>
          </w:p>
        </w:tc>
        <w:tc>
          <w:tcPr>
            <w:tcW w:w="383" w:type="pct"/>
            <w:vAlign w:val="center"/>
          </w:tcPr>
          <w:p w14:paraId="36836B06">
            <w:pPr>
              <w:autoSpaceDE w:val="0"/>
              <w:autoSpaceDN w:val="0"/>
              <w:spacing w:line="240" w:lineRule="auto"/>
              <w:ind w:firstLine="0" w:firstLineChars="0"/>
              <w:jc w:val="center"/>
              <w:rPr>
                <w:color w:val="auto"/>
                <w:sz w:val="21"/>
                <w:szCs w:val="21"/>
                <w:lang w:val="zh-CN"/>
              </w:rPr>
            </w:pPr>
            <w:r>
              <w:rPr>
                <w:color w:val="auto"/>
                <w:sz w:val="21"/>
                <w:szCs w:val="21"/>
                <w:lang w:val="zh-CN"/>
              </w:rPr>
              <w:t>43</w:t>
            </w:r>
          </w:p>
        </w:tc>
        <w:tc>
          <w:tcPr>
            <w:tcW w:w="383" w:type="pct"/>
            <w:vAlign w:val="center"/>
          </w:tcPr>
          <w:p w14:paraId="6AAD992C">
            <w:pPr>
              <w:autoSpaceDE w:val="0"/>
              <w:autoSpaceDN w:val="0"/>
              <w:spacing w:line="240" w:lineRule="auto"/>
              <w:ind w:firstLine="0" w:firstLineChars="0"/>
              <w:jc w:val="center"/>
              <w:rPr>
                <w:color w:val="auto"/>
                <w:sz w:val="21"/>
                <w:szCs w:val="21"/>
                <w:lang w:val="zh-CN"/>
              </w:rPr>
            </w:pPr>
            <w:r>
              <w:rPr>
                <w:color w:val="auto"/>
                <w:sz w:val="21"/>
                <w:szCs w:val="21"/>
                <w:lang w:val="zh-CN"/>
              </w:rPr>
              <w:t>46</w:t>
            </w:r>
          </w:p>
        </w:tc>
        <w:tc>
          <w:tcPr>
            <w:tcW w:w="383" w:type="pct"/>
            <w:vAlign w:val="center"/>
          </w:tcPr>
          <w:p w14:paraId="20DA1E94">
            <w:pPr>
              <w:autoSpaceDE w:val="0"/>
              <w:autoSpaceDN w:val="0"/>
              <w:spacing w:line="240" w:lineRule="auto"/>
              <w:ind w:firstLine="0" w:firstLineChars="0"/>
              <w:jc w:val="center"/>
              <w:rPr>
                <w:color w:val="auto"/>
                <w:sz w:val="21"/>
                <w:szCs w:val="21"/>
                <w:lang w:val="zh-CN"/>
              </w:rPr>
            </w:pPr>
            <w:r>
              <w:rPr>
                <w:color w:val="auto"/>
                <w:sz w:val="21"/>
                <w:szCs w:val="21"/>
                <w:lang w:val="zh-CN"/>
              </w:rPr>
              <w:t>48</w:t>
            </w:r>
          </w:p>
        </w:tc>
        <w:tc>
          <w:tcPr>
            <w:tcW w:w="353" w:type="pct"/>
            <w:vAlign w:val="center"/>
          </w:tcPr>
          <w:p w14:paraId="6AD3D553">
            <w:pPr>
              <w:autoSpaceDE w:val="0"/>
              <w:autoSpaceDN w:val="0"/>
              <w:spacing w:line="240" w:lineRule="auto"/>
              <w:ind w:firstLine="0" w:firstLineChars="0"/>
              <w:jc w:val="center"/>
              <w:rPr>
                <w:color w:val="auto"/>
                <w:sz w:val="21"/>
                <w:szCs w:val="21"/>
                <w:lang w:val="zh-CN"/>
              </w:rPr>
            </w:pPr>
            <w:r>
              <w:rPr>
                <w:color w:val="auto"/>
                <w:sz w:val="21"/>
                <w:szCs w:val="21"/>
                <w:lang w:val="zh-CN"/>
              </w:rPr>
              <w:t>49</w:t>
            </w:r>
          </w:p>
        </w:tc>
        <w:tc>
          <w:tcPr>
            <w:tcW w:w="353" w:type="pct"/>
            <w:vAlign w:val="center"/>
          </w:tcPr>
          <w:p w14:paraId="5BABCEE1">
            <w:pPr>
              <w:autoSpaceDE w:val="0"/>
              <w:autoSpaceDN w:val="0"/>
              <w:spacing w:line="240" w:lineRule="auto"/>
              <w:ind w:firstLine="0" w:firstLineChars="0"/>
              <w:jc w:val="center"/>
              <w:rPr>
                <w:color w:val="auto"/>
                <w:sz w:val="21"/>
                <w:szCs w:val="21"/>
                <w:lang w:val="zh-CN"/>
              </w:rPr>
            </w:pPr>
            <w:r>
              <w:rPr>
                <w:color w:val="auto"/>
                <w:sz w:val="21"/>
                <w:szCs w:val="21"/>
                <w:lang w:val="zh-CN"/>
              </w:rPr>
              <w:t>52</w:t>
            </w:r>
          </w:p>
        </w:tc>
        <w:tc>
          <w:tcPr>
            <w:tcW w:w="353" w:type="pct"/>
            <w:vAlign w:val="center"/>
          </w:tcPr>
          <w:p w14:paraId="692C8625">
            <w:pPr>
              <w:autoSpaceDE w:val="0"/>
              <w:autoSpaceDN w:val="0"/>
              <w:spacing w:line="240" w:lineRule="auto"/>
              <w:ind w:firstLine="0" w:firstLineChars="0"/>
              <w:jc w:val="center"/>
              <w:rPr>
                <w:color w:val="auto"/>
                <w:sz w:val="21"/>
                <w:szCs w:val="21"/>
                <w:lang w:val="zh-CN"/>
              </w:rPr>
            </w:pPr>
            <w:r>
              <w:rPr>
                <w:color w:val="auto"/>
                <w:sz w:val="21"/>
                <w:szCs w:val="21"/>
                <w:lang w:val="zh-CN"/>
              </w:rPr>
              <w:t>57</w:t>
            </w:r>
          </w:p>
        </w:tc>
      </w:tr>
    </w:tbl>
    <w:p w14:paraId="1DCEE778">
      <w:pPr>
        <w:autoSpaceDE w:val="0"/>
        <w:autoSpaceDN w:val="0"/>
        <w:ind w:firstLine="480"/>
        <w:rPr>
          <w:color w:val="auto"/>
          <w:lang w:val="zh-CN"/>
        </w:rPr>
      </w:pPr>
      <w:r>
        <w:rPr>
          <w:color w:val="auto"/>
          <w:lang w:val="zh-CN"/>
        </w:rPr>
        <w:t>若按表5.1-5中噪声最高的设备打桩机和混凝土搅拌机计算，工程施工噪声随距离衰减后的情况如表</w:t>
      </w:r>
      <w:r>
        <w:rPr>
          <w:rFonts w:hint="eastAsia"/>
          <w:color w:val="auto"/>
        </w:rPr>
        <w:t>6</w:t>
      </w:r>
      <w:r>
        <w:rPr>
          <w:color w:val="auto"/>
          <w:lang w:val="zh-CN"/>
        </w:rPr>
        <w:t>.1-6所示。</w:t>
      </w:r>
    </w:p>
    <w:p w14:paraId="2592B44C">
      <w:pPr>
        <w:spacing w:line="240" w:lineRule="auto"/>
        <w:ind w:firstLine="0" w:firstLineChars="0"/>
        <w:jc w:val="center"/>
        <w:rPr>
          <w:b/>
          <w:bCs/>
          <w:color w:val="auto"/>
        </w:rPr>
      </w:pPr>
      <w:r>
        <w:rPr>
          <w:b/>
          <w:bCs/>
          <w:color w:val="auto"/>
        </w:rPr>
        <w:t>表</w:t>
      </w:r>
      <w:r>
        <w:rPr>
          <w:rFonts w:hint="eastAsia"/>
          <w:b/>
          <w:bCs/>
          <w:color w:val="auto"/>
        </w:rPr>
        <w:t>6</w:t>
      </w:r>
      <w:r>
        <w:rPr>
          <w:b/>
          <w:bCs/>
          <w:color w:val="auto"/>
        </w:rPr>
        <w:t>.1-6  施工噪声值随距离的衰减值</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367"/>
        <w:gridCol w:w="720"/>
        <w:gridCol w:w="643"/>
        <w:gridCol w:w="720"/>
        <w:gridCol w:w="720"/>
        <w:gridCol w:w="720"/>
        <w:gridCol w:w="720"/>
        <w:gridCol w:w="671"/>
        <w:gridCol w:w="720"/>
        <w:gridCol w:w="720"/>
        <w:gridCol w:w="721"/>
      </w:tblGrid>
      <w:tr w14:paraId="4CCCD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10" w:type="pct"/>
            <w:vAlign w:val="center"/>
          </w:tcPr>
          <w:p w14:paraId="081B88F3">
            <w:pPr>
              <w:autoSpaceDE w:val="0"/>
              <w:autoSpaceDN w:val="0"/>
              <w:spacing w:line="240" w:lineRule="auto"/>
              <w:ind w:firstLine="0" w:firstLineChars="0"/>
              <w:jc w:val="center"/>
              <w:rPr>
                <w:color w:val="auto"/>
                <w:sz w:val="21"/>
                <w:szCs w:val="21"/>
                <w:lang w:val="zh-CN"/>
              </w:rPr>
            </w:pPr>
            <w:r>
              <w:rPr>
                <w:color w:val="auto"/>
                <w:sz w:val="21"/>
                <w:szCs w:val="21"/>
                <w:lang w:val="zh-CN"/>
              </w:rPr>
              <w:t>噪声源</w:t>
            </w:r>
          </w:p>
        </w:tc>
        <w:tc>
          <w:tcPr>
            <w:tcW w:w="727" w:type="pct"/>
            <w:vAlign w:val="center"/>
          </w:tcPr>
          <w:p w14:paraId="236194BE">
            <w:pPr>
              <w:autoSpaceDE w:val="0"/>
              <w:autoSpaceDN w:val="0"/>
              <w:spacing w:line="240" w:lineRule="auto"/>
              <w:ind w:firstLine="0" w:firstLineChars="0"/>
              <w:jc w:val="center"/>
              <w:rPr>
                <w:color w:val="auto"/>
                <w:sz w:val="21"/>
                <w:szCs w:val="21"/>
                <w:lang w:val="zh-CN"/>
              </w:rPr>
            </w:pPr>
            <w:r>
              <w:rPr>
                <w:color w:val="auto"/>
                <w:sz w:val="21"/>
                <w:szCs w:val="21"/>
                <w:lang w:val="zh-CN"/>
              </w:rPr>
              <w:t>距离（m）</w:t>
            </w:r>
          </w:p>
        </w:tc>
        <w:tc>
          <w:tcPr>
            <w:tcW w:w="383" w:type="pct"/>
            <w:vAlign w:val="center"/>
          </w:tcPr>
          <w:p w14:paraId="7193F4EB">
            <w:pPr>
              <w:autoSpaceDE w:val="0"/>
              <w:autoSpaceDN w:val="0"/>
              <w:spacing w:line="240" w:lineRule="auto"/>
              <w:ind w:firstLine="0" w:firstLineChars="0"/>
              <w:jc w:val="center"/>
              <w:rPr>
                <w:color w:val="auto"/>
                <w:sz w:val="21"/>
                <w:szCs w:val="21"/>
                <w:lang w:val="zh-CN"/>
              </w:rPr>
            </w:pPr>
            <w:r>
              <w:rPr>
                <w:color w:val="auto"/>
                <w:sz w:val="21"/>
                <w:szCs w:val="21"/>
                <w:lang w:val="zh-CN"/>
              </w:rPr>
              <w:t>10</w:t>
            </w:r>
          </w:p>
        </w:tc>
        <w:tc>
          <w:tcPr>
            <w:tcW w:w="342" w:type="pct"/>
            <w:vAlign w:val="center"/>
          </w:tcPr>
          <w:p w14:paraId="5427C88A">
            <w:pPr>
              <w:autoSpaceDE w:val="0"/>
              <w:autoSpaceDN w:val="0"/>
              <w:spacing w:line="240" w:lineRule="auto"/>
              <w:ind w:firstLine="0" w:firstLineChars="0"/>
              <w:jc w:val="center"/>
              <w:rPr>
                <w:color w:val="auto"/>
                <w:sz w:val="21"/>
                <w:szCs w:val="21"/>
                <w:lang w:val="zh-CN"/>
              </w:rPr>
            </w:pPr>
            <w:r>
              <w:rPr>
                <w:color w:val="auto"/>
                <w:sz w:val="21"/>
                <w:szCs w:val="21"/>
                <w:lang w:val="zh-CN"/>
              </w:rPr>
              <w:t>50</w:t>
            </w:r>
          </w:p>
        </w:tc>
        <w:tc>
          <w:tcPr>
            <w:tcW w:w="383" w:type="pct"/>
            <w:vAlign w:val="center"/>
          </w:tcPr>
          <w:p w14:paraId="15454900">
            <w:pPr>
              <w:autoSpaceDE w:val="0"/>
              <w:autoSpaceDN w:val="0"/>
              <w:spacing w:line="240" w:lineRule="auto"/>
              <w:ind w:firstLine="0" w:firstLineChars="0"/>
              <w:jc w:val="center"/>
              <w:rPr>
                <w:color w:val="auto"/>
                <w:sz w:val="21"/>
                <w:szCs w:val="21"/>
                <w:lang w:val="zh-CN"/>
              </w:rPr>
            </w:pPr>
            <w:r>
              <w:rPr>
                <w:color w:val="auto"/>
                <w:sz w:val="21"/>
                <w:szCs w:val="21"/>
                <w:lang w:val="zh-CN"/>
              </w:rPr>
              <w:t>100</w:t>
            </w:r>
          </w:p>
        </w:tc>
        <w:tc>
          <w:tcPr>
            <w:tcW w:w="383" w:type="pct"/>
            <w:vAlign w:val="center"/>
          </w:tcPr>
          <w:p w14:paraId="1E0E49F0">
            <w:pPr>
              <w:autoSpaceDE w:val="0"/>
              <w:autoSpaceDN w:val="0"/>
              <w:spacing w:line="240" w:lineRule="auto"/>
              <w:ind w:firstLine="0" w:firstLineChars="0"/>
              <w:jc w:val="center"/>
              <w:rPr>
                <w:color w:val="auto"/>
                <w:sz w:val="21"/>
                <w:szCs w:val="21"/>
                <w:lang w:val="zh-CN"/>
              </w:rPr>
            </w:pPr>
            <w:r>
              <w:rPr>
                <w:color w:val="auto"/>
                <w:sz w:val="21"/>
                <w:szCs w:val="21"/>
                <w:lang w:val="zh-CN"/>
              </w:rPr>
              <w:t>150</w:t>
            </w:r>
          </w:p>
        </w:tc>
        <w:tc>
          <w:tcPr>
            <w:tcW w:w="383" w:type="pct"/>
            <w:vAlign w:val="center"/>
          </w:tcPr>
          <w:p w14:paraId="253733DC">
            <w:pPr>
              <w:autoSpaceDE w:val="0"/>
              <w:autoSpaceDN w:val="0"/>
              <w:spacing w:line="240" w:lineRule="auto"/>
              <w:ind w:firstLine="0" w:firstLineChars="0"/>
              <w:jc w:val="center"/>
              <w:rPr>
                <w:color w:val="auto"/>
                <w:sz w:val="21"/>
                <w:szCs w:val="21"/>
                <w:lang w:val="zh-CN"/>
              </w:rPr>
            </w:pPr>
            <w:r>
              <w:rPr>
                <w:color w:val="auto"/>
                <w:sz w:val="21"/>
                <w:szCs w:val="21"/>
                <w:lang w:val="zh-CN"/>
              </w:rPr>
              <w:t>200</w:t>
            </w:r>
          </w:p>
        </w:tc>
        <w:tc>
          <w:tcPr>
            <w:tcW w:w="383" w:type="pct"/>
            <w:vAlign w:val="center"/>
          </w:tcPr>
          <w:p w14:paraId="51CD5730">
            <w:pPr>
              <w:autoSpaceDE w:val="0"/>
              <w:autoSpaceDN w:val="0"/>
              <w:spacing w:line="240" w:lineRule="auto"/>
              <w:ind w:firstLine="0" w:firstLineChars="0"/>
              <w:jc w:val="center"/>
              <w:rPr>
                <w:color w:val="auto"/>
                <w:sz w:val="21"/>
                <w:szCs w:val="21"/>
                <w:lang w:val="zh-CN"/>
              </w:rPr>
            </w:pPr>
            <w:r>
              <w:rPr>
                <w:color w:val="auto"/>
                <w:sz w:val="21"/>
                <w:szCs w:val="21"/>
                <w:lang w:val="zh-CN"/>
              </w:rPr>
              <w:t>250</w:t>
            </w:r>
          </w:p>
        </w:tc>
        <w:tc>
          <w:tcPr>
            <w:tcW w:w="357" w:type="pct"/>
            <w:vAlign w:val="center"/>
          </w:tcPr>
          <w:p w14:paraId="4D96A53A">
            <w:pPr>
              <w:autoSpaceDE w:val="0"/>
              <w:autoSpaceDN w:val="0"/>
              <w:spacing w:line="240" w:lineRule="auto"/>
              <w:ind w:firstLine="0" w:firstLineChars="0"/>
              <w:jc w:val="center"/>
              <w:rPr>
                <w:color w:val="auto"/>
                <w:sz w:val="21"/>
                <w:szCs w:val="21"/>
                <w:lang w:val="zh-CN"/>
              </w:rPr>
            </w:pPr>
            <w:r>
              <w:rPr>
                <w:color w:val="auto"/>
                <w:sz w:val="21"/>
                <w:szCs w:val="21"/>
                <w:lang w:val="zh-CN"/>
              </w:rPr>
              <w:t>300</w:t>
            </w:r>
          </w:p>
        </w:tc>
        <w:tc>
          <w:tcPr>
            <w:tcW w:w="383" w:type="pct"/>
            <w:vAlign w:val="center"/>
          </w:tcPr>
          <w:p w14:paraId="274D8547">
            <w:pPr>
              <w:autoSpaceDE w:val="0"/>
              <w:autoSpaceDN w:val="0"/>
              <w:spacing w:line="240" w:lineRule="auto"/>
              <w:ind w:firstLine="0" w:firstLineChars="0"/>
              <w:jc w:val="center"/>
              <w:rPr>
                <w:color w:val="auto"/>
                <w:sz w:val="21"/>
                <w:szCs w:val="21"/>
                <w:lang w:val="zh-CN"/>
              </w:rPr>
            </w:pPr>
            <w:r>
              <w:rPr>
                <w:color w:val="auto"/>
                <w:sz w:val="21"/>
                <w:szCs w:val="21"/>
                <w:lang w:val="zh-CN"/>
              </w:rPr>
              <w:t>400</w:t>
            </w:r>
          </w:p>
        </w:tc>
        <w:tc>
          <w:tcPr>
            <w:tcW w:w="383" w:type="pct"/>
            <w:vAlign w:val="center"/>
          </w:tcPr>
          <w:p w14:paraId="63FEBB26">
            <w:pPr>
              <w:autoSpaceDE w:val="0"/>
              <w:autoSpaceDN w:val="0"/>
              <w:spacing w:line="240" w:lineRule="auto"/>
              <w:ind w:firstLine="0" w:firstLineChars="0"/>
              <w:jc w:val="center"/>
              <w:rPr>
                <w:color w:val="auto"/>
                <w:sz w:val="21"/>
                <w:szCs w:val="21"/>
                <w:lang w:val="zh-CN"/>
              </w:rPr>
            </w:pPr>
            <w:r>
              <w:rPr>
                <w:color w:val="auto"/>
                <w:sz w:val="21"/>
                <w:szCs w:val="21"/>
                <w:lang w:val="zh-CN"/>
              </w:rPr>
              <w:t>500</w:t>
            </w:r>
          </w:p>
        </w:tc>
        <w:tc>
          <w:tcPr>
            <w:tcW w:w="383" w:type="pct"/>
            <w:vAlign w:val="center"/>
          </w:tcPr>
          <w:p w14:paraId="3E5E9026">
            <w:pPr>
              <w:autoSpaceDE w:val="0"/>
              <w:autoSpaceDN w:val="0"/>
              <w:spacing w:line="240" w:lineRule="auto"/>
              <w:ind w:firstLine="0" w:firstLineChars="0"/>
              <w:jc w:val="center"/>
              <w:rPr>
                <w:color w:val="auto"/>
                <w:sz w:val="21"/>
                <w:szCs w:val="21"/>
                <w:lang w:val="zh-CN"/>
              </w:rPr>
            </w:pPr>
            <w:r>
              <w:rPr>
                <w:color w:val="auto"/>
                <w:sz w:val="21"/>
                <w:szCs w:val="21"/>
                <w:lang w:val="zh-CN"/>
              </w:rPr>
              <w:t>600</w:t>
            </w:r>
          </w:p>
        </w:tc>
      </w:tr>
      <w:tr w14:paraId="12D29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10" w:type="pct"/>
            <w:vAlign w:val="center"/>
          </w:tcPr>
          <w:p w14:paraId="699A600B">
            <w:pPr>
              <w:autoSpaceDE w:val="0"/>
              <w:autoSpaceDN w:val="0"/>
              <w:spacing w:line="240" w:lineRule="auto"/>
              <w:ind w:firstLine="0" w:firstLineChars="0"/>
              <w:jc w:val="center"/>
              <w:rPr>
                <w:color w:val="auto"/>
                <w:sz w:val="21"/>
                <w:szCs w:val="21"/>
                <w:lang w:val="zh-CN"/>
              </w:rPr>
            </w:pPr>
            <w:r>
              <w:rPr>
                <w:color w:val="auto"/>
                <w:sz w:val="21"/>
                <w:szCs w:val="21"/>
                <w:lang w:val="zh-CN"/>
              </w:rPr>
              <w:t>打桩机</w:t>
            </w:r>
          </w:p>
        </w:tc>
        <w:tc>
          <w:tcPr>
            <w:tcW w:w="727" w:type="pct"/>
            <w:vAlign w:val="center"/>
          </w:tcPr>
          <w:p w14:paraId="62637304">
            <w:pPr>
              <w:autoSpaceDE w:val="0"/>
              <w:autoSpaceDN w:val="0"/>
              <w:spacing w:line="240" w:lineRule="auto"/>
              <w:ind w:firstLine="0" w:firstLineChars="0"/>
              <w:jc w:val="center"/>
              <w:rPr>
                <w:color w:val="auto"/>
                <w:sz w:val="21"/>
                <w:szCs w:val="21"/>
                <w:lang w:val="zh-CN"/>
              </w:rPr>
            </w:pPr>
            <w:r>
              <w:rPr>
                <w:color w:val="auto"/>
                <w:sz w:val="21"/>
                <w:szCs w:val="21"/>
                <w:lang w:val="zh-CN"/>
              </w:rPr>
              <w:t>噪声值</w:t>
            </w:r>
          </w:p>
          <w:p w14:paraId="1C40454F">
            <w:pPr>
              <w:autoSpaceDE w:val="0"/>
              <w:autoSpaceDN w:val="0"/>
              <w:spacing w:line="240" w:lineRule="auto"/>
              <w:ind w:firstLine="0" w:firstLineChars="0"/>
              <w:jc w:val="center"/>
              <w:rPr>
                <w:color w:val="auto"/>
                <w:sz w:val="21"/>
                <w:szCs w:val="21"/>
                <w:lang w:val="zh-CN"/>
              </w:rPr>
            </w:pPr>
            <w:r>
              <w:rPr>
                <w:color w:val="auto"/>
                <w:sz w:val="21"/>
                <w:szCs w:val="21"/>
                <w:lang w:val="zh-CN"/>
              </w:rPr>
              <w:t>dB(A)</w:t>
            </w:r>
          </w:p>
        </w:tc>
        <w:tc>
          <w:tcPr>
            <w:tcW w:w="383" w:type="pct"/>
            <w:vAlign w:val="center"/>
          </w:tcPr>
          <w:p w14:paraId="68AFADE8">
            <w:pPr>
              <w:autoSpaceDE w:val="0"/>
              <w:autoSpaceDN w:val="0"/>
              <w:spacing w:line="240" w:lineRule="auto"/>
              <w:ind w:firstLine="0" w:firstLineChars="0"/>
              <w:jc w:val="center"/>
              <w:rPr>
                <w:color w:val="auto"/>
                <w:sz w:val="21"/>
                <w:szCs w:val="21"/>
                <w:lang w:val="zh-CN"/>
              </w:rPr>
            </w:pPr>
            <w:r>
              <w:rPr>
                <w:color w:val="auto"/>
                <w:sz w:val="21"/>
                <w:szCs w:val="21"/>
                <w:lang w:val="zh-CN"/>
              </w:rPr>
              <w:t>105</w:t>
            </w:r>
          </w:p>
        </w:tc>
        <w:tc>
          <w:tcPr>
            <w:tcW w:w="342" w:type="pct"/>
            <w:vAlign w:val="center"/>
          </w:tcPr>
          <w:p w14:paraId="36AF7EB0">
            <w:pPr>
              <w:autoSpaceDE w:val="0"/>
              <w:autoSpaceDN w:val="0"/>
              <w:spacing w:line="240" w:lineRule="auto"/>
              <w:ind w:firstLine="0" w:firstLineChars="0"/>
              <w:jc w:val="center"/>
              <w:rPr>
                <w:color w:val="auto"/>
                <w:sz w:val="21"/>
                <w:szCs w:val="21"/>
                <w:lang w:val="zh-CN"/>
              </w:rPr>
            </w:pPr>
            <w:r>
              <w:rPr>
                <w:color w:val="auto"/>
                <w:sz w:val="21"/>
                <w:szCs w:val="21"/>
                <w:lang w:val="zh-CN"/>
              </w:rPr>
              <w:t>91</w:t>
            </w:r>
          </w:p>
        </w:tc>
        <w:tc>
          <w:tcPr>
            <w:tcW w:w="383" w:type="pct"/>
            <w:vAlign w:val="center"/>
          </w:tcPr>
          <w:p w14:paraId="059C04E0">
            <w:pPr>
              <w:autoSpaceDE w:val="0"/>
              <w:autoSpaceDN w:val="0"/>
              <w:spacing w:line="240" w:lineRule="auto"/>
              <w:ind w:firstLine="0" w:firstLineChars="0"/>
              <w:jc w:val="center"/>
              <w:rPr>
                <w:color w:val="auto"/>
                <w:sz w:val="21"/>
                <w:szCs w:val="21"/>
                <w:lang w:val="zh-CN"/>
              </w:rPr>
            </w:pPr>
            <w:r>
              <w:rPr>
                <w:color w:val="auto"/>
                <w:sz w:val="21"/>
                <w:szCs w:val="21"/>
                <w:lang w:val="zh-CN"/>
              </w:rPr>
              <w:t>85</w:t>
            </w:r>
          </w:p>
        </w:tc>
        <w:tc>
          <w:tcPr>
            <w:tcW w:w="383" w:type="pct"/>
            <w:vAlign w:val="center"/>
          </w:tcPr>
          <w:p w14:paraId="4D73BE2C">
            <w:pPr>
              <w:autoSpaceDE w:val="0"/>
              <w:autoSpaceDN w:val="0"/>
              <w:spacing w:line="240" w:lineRule="auto"/>
              <w:ind w:firstLine="0" w:firstLineChars="0"/>
              <w:jc w:val="center"/>
              <w:rPr>
                <w:color w:val="auto"/>
                <w:sz w:val="21"/>
                <w:szCs w:val="21"/>
                <w:lang w:val="zh-CN"/>
              </w:rPr>
            </w:pPr>
            <w:r>
              <w:rPr>
                <w:color w:val="auto"/>
                <w:sz w:val="21"/>
                <w:szCs w:val="21"/>
                <w:lang w:val="zh-CN"/>
              </w:rPr>
              <w:t>82</w:t>
            </w:r>
          </w:p>
        </w:tc>
        <w:tc>
          <w:tcPr>
            <w:tcW w:w="383" w:type="pct"/>
            <w:vAlign w:val="center"/>
          </w:tcPr>
          <w:p w14:paraId="6C536BAF">
            <w:pPr>
              <w:autoSpaceDE w:val="0"/>
              <w:autoSpaceDN w:val="0"/>
              <w:spacing w:line="240" w:lineRule="auto"/>
              <w:ind w:firstLine="0" w:firstLineChars="0"/>
              <w:jc w:val="center"/>
              <w:rPr>
                <w:color w:val="auto"/>
                <w:sz w:val="21"/>
                <w:szCs w:val="21"/>
                <w:lang w:val="zh-CN"/>
              </w:rPr>
            </w:pPr>
            <w:r>
              <w:rPr>
                <w:color w:val="auto"/>
                <w:sz w:val="21"/>
                <w:szCs w:val="21"/>
                <w:lang w:val="zh-CN"/>
              </w:rPr>
              <w:t>79</w:t>
            </w:r>
          </w:p>
        </w:tc>
        <w:tc>
          <w:tcPr>
            <w:tcW w:w="383" w:type="pct"/>
            <w:vAlign w:val="center"/>
          </w:tcPr>
          <w:p w14:paraId="57570046">
            <w:pPr>
              <w:autoSpaceDE w:val="0"/>
              <w:autoSpaceDN w:val="0"/>
              <w:spacing w:line="240" w:lineRule="auto"/>
              <w:ind w:firstLine="0" w:firstLineChars="0"/>
              <w:jc w:val="center"/>
              <w:rPr>
                <w:color w:val="auto"/>
                <w:sz w:val="21"/>
                <w:szCs w:val="21"/>
                <w:lang w:val="zh-CN"/>
              </w:rPr>
            </w:pPr>
            <w:r>
              <w:rPr>
                <w:color w:val="auto"/>
                <w:sz w:val="21"/>
                <w:szCs w:val="21"/>
                <w:lang w:val="zh-CN"/>
              </w:rPr>
              <w:t>77</w:t>
            </w:r>
          </w:p>
        </w:tc>
        <w:tc>
          <w:tcPr>
            <w:tcW w:w="357" w:type="pct"/>
            <w:vAlign w:val="center"/>
          </w:tcPr>
          <w:p w14:paraId="3FB26641">
            <w:pPr>
              <w:autoSpaceDE w:val="0"/>
              <w:autoSpaceDN w:val="0"/>
              <w:spacing w:line="240" w:lineRule="auto"/>
              <w:ind w:firstLine="0" w:firstLineChars="0"/>
              <w:jc w:val="center"/>
              <w:rPr>
                <w:color w:val="auto"/>
                <w:sz w:val="21"/>
                <w:szCs w:val="21"/>
                <w:lang w:val="zh-CN"/>
              </w:rPr>
            </w:pPr>
            <w:r>
              <w:rPr>
                <w:color w:val="auto"/>
                <w:sz w:val="21"/>
                <w:szCs w:val="21"/>
                <w:lang w:val="zh-CN"/>
              </w:rPr>
              <w:t>76</w:t>
            </w:r>
          </w:p>
        </w:tc>
        <w:tc>
          <w:tcPr>
            <w:tcW w:w="383" w:type="pct"/>
            <w:vAlign w:val="center"/>
          </w:tcPr>
          <w:p w14:paraId="3A09A9E0">
            <w:pPr>
              <w:autoSpaceDE w:val="0"/>
              <w:autoSpaceDN w:val="0"/>
              <w:spacing w:line="240" w:lineRule="auto"/>
              <w:ind w:firstLine="0" w:firstLineChars="0"/>
              <w:jc w:val="center"/>
              <w:rPr>
                <w:color w:val="auto"/>
                <w:sz w:val="21"/>
                <w:szCs w:val="21"/>
                <w:lang w:val="zh-CN"/>
              </w:rPr>
            </w:pPr>
            <w:r>
              <w:rPr>
                <w:color w:val="auto"/>
                <w:sz w:val="21"/>
                <w:szCs w:val="21"/>
                <w:lang w:val="zh-CN"/>
              </w:rPr>
              <w:t>73</w:t>
            </w:r>
          </w:p>
        </w:tc>
        <w:tc>
          <w:tcPr>
            <w:tcW w:w="383" w:type="pct"/>
            <w:vAlign w:val="center"/>
          </w:tcPr>
          <w:p w14:paraId="1FC6BD2F">
            <w:pPr>
              <w:autoSpaceDE w:val="0"/>
              <w:autoSpaceDN w:val="0"/>
              <w:spacing w:line="240" w:lineRule="auto"/>
              <w:ind w:firstLine="0" w:firstLineChars="0"/>
              <w:jc w:val="center"/>
              <w:rPr>
                <w:color w:val="auto"/>
                <w:sz w:val="21"/>
                <w:szCs w:val="21"/>
                <w:lang w:val="zh-CN"/>
              </w:rPr>
            </w:pPr>
            <w:r>
              <w:rPr>
                <w:color w:val="auto"/>
                <w:sz w:val="21"/>
                <w:szCs w:val="21"/>
                <w:lang w:val="zh-CN"/>
              </w:rPr>
              <w:t>70</w:t>
            </w:r>
          </w:p>
        </w:tc>
        <w:tc>
          <w:tcPr>
            <w:tcW w:w="383" w:type="pct"/>
            <w:vAlign w:val="center"/>
          </w:tcPr>
          <w:p w14:paraId="26548081">
            <w:pPr>
              <w:autoSpaceDE w:val="0"/>
              <w:autoSpaceDN w:val="0"/>
              <w:spacing w:line="240" w:lineRule="auto"/>
              <w:ind w:firstLine="0" w:firstLineChars="0"/>
              <w:jc w:val="center"/>
              <w:rPr>
                <w:color w:val="auto"/>
                <w:sz w:val="21"/>
                <w:szCs w:val="21"/>
                <w:lang w:val="zh-CN"/>
              </w:rPr>
            </w:pPr>
            <w:r>
              <w:rPr>
                <w:color w:val="auto"/>
                <w:sz w:val="21"/>
                <w:szCs w:val="21"/>
                <w:lang w:val="zh-CN"/>
              </w:rPr>
              <w:t>68</w:t>
            </w:r>
          </w:p>
        </w:tc>
      </w:tr>
      <w:tr w14:paraId="65F31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510" w:type="pct"/>
            <w:vAlign w:val="center"/>
          </w:tcPr>
          <w:p w14:paraId="3357B12C">
            <w:pPr>
              <w:autoSpaceDE w:val="0"/>
              <w:autoSpaceDN w:val="0"/>
              <w:spacing w:line="240" w:lineRule="auto"/>
              <w:ind w:firstLine="0" w:firstLineChars="0"/>
              <w:jc w:val="center"/>
              <w:rPr>
                <w:color w:val="auto"/>
                <w:sz w:val="21"/>
                <w:szCs w:val="21"/>
                <w:lang w:val="zh-CN"/>
              </w:rPr>
            </w:pPr>
            <w:r>
              <w:rPr>
                <w:color w:val="auto"/>
                <w:sz w:val="21"/>
                <w:szCs w:val="21"/>
                <w:lang w:val="zh-CN"/>
              </w:rPr>
              <w:t>混凝土搅拌机</w:t>
            </w:r>
          </w:p>
        </w:tc>
        <w:tc>
          <w:tcPr>
            <w:tcW w:w="727" w:type="pct"/>
            <w:vAlign w:val="center"/>
          </w:tcPr>
          <w:p w14:paraId="4634BCE0">
            <w:pPr>
              <w:autoSpaceDE w:val="0"/>
              <w:autoSpaceDN w:val="0"/>
              <w:spacing w:line="240" w:lineRule="auto"/>
              <w:ind w:firstLine="0" w:firstLineChars="0"/>
              <w:jc w:val="center"/>
              <w:rPr>
                <w:color w:val="auto"/>
                <w:sz w:val="21"/>
                <w:szCs w:val="21"/>
                <w:lang w:val="zh-CN"/>
              </w:rPr>
            </w:pPr>
            <w:r>
              <w:rPr>
                <w:color w:val="auto"/>
                <w:sz w:val="21"/>
                <w:szCs w:val="21"/>
                <w:lang w:val="zh-CN"/>
              </w:rPr>
              <w:t>噪声值</w:t>
            </w:r>
          </w:p>
          <w:p w14:paraId="703EB9AF">
            <w:pPr>
              <w:autoSpaceDE w:val="0"/>
              <w:autoSpaceDN w:val="0"/>
              <w:spacing w:line="240" w:lineRule="auto"/>
              <w:ind w:firstLine="0" w:firstLineChars="0"/>
              <w:jc w:val="center"/>
              <w:rPr>
                <w:color w:val="auto"/>
                <w:sz w:val="21"/>
                <w:szCs w:val="21"/>
                <w:lang w:val="zh-CN"/>
              </w:rPr>
            </w:pPr>
            <w:r>
              <w:rPr>
                <w:color w:val="auto"/>
                <w:sz w:val="21"/>
                <w:szCs w:val="21"/>
                <w:lang w:val="zh-CN"/>
              </w:rPr>
              <w:t>dB(A)</w:t>
            </w:r>
          </w:p>
        </w:tc>
        <w:tc>
          <w:tcPr>
            <w:tcW w:w="383" w:type="pct"/>
            <w:vAlign w:val="center"/>
          </w:tcPr>
          <w:p w14:paraId="31666663">
            <w:pPr>
              <w:autoSpaceDE w:val="0"/>
              <w:autoSpaceDN w:val="0"/>
              <w:spacing w:line="240" w:lineRule="auto"/>
              <w:ind w:firstLine="0" w:firstLineChars="0"/>
              <w:jc w:val="center"/>
              <w:rPr>
                <w:color w:val="auto"/>
                <w:sz w:val="21"/>
                <w:szCs w:val="21"/>
                <w:lang w:val="zh-CN"/>
              </w:rPr>
            </w:pPr>
            <w:r>
              <w:rPr>
                <w:color w:val="auto"/>
                <w:sz w:val="21"/>
                <w:szCs w:val="21"/>
                <w:lang w:val="zh-CN"/>
              </w:rPr>
              <w:t>84</w:t>
            </w:r>
          </w:p>
        </w:tc>
        <w:tc>
          <w:tcPr>
            <w:tcW w:w="342" w:type="pct"/>
            <w:vAlign w:val="center"/>
          </w:tcPr>
          <w:p w14:paraId="4072A886">
            <w:pPr>
              <w:autoSpaceDE w:val="0"/>
              <w:autoSpaceDN w:val="0"/>
              <w:spacing w:line="240" w:lineRule="auto"/>
              <w:ind w:firstLine="0" w:firstLineChars="0"/>
              <w:jc w:val="center"/>
              <w:rPr>
                <w:color w:val="auto"/>
                <w:sz w:val="21"/>
                <w:szCs w:val="21"/>
                <w:lang w:val="zh-CN"/>
              </w:rPr>
            </w:pPr>
            <w:r>
              <w:rPr>
                <w:color w:val="auto"/>
                <w:sz w:val="21"/>
                <w:szCs w:val="21"/>
                <w:lang w:val="zh-CN"/>
              </w:rPr>
              <w:t>70</w:t>
            </w:r>
          </w:p>
        </w:tc>
        <w:tc>
          <w:tcPr>
            <w:tcW w:w="383" w:type="pct"/>
            <w:vAlign w:val="center"/>
          </w:tcPr>
          <w:p w14:paraId="09B7FE3D">
            <w:pPr>
              <w:autoSpaceDE w:val="0"/>
              <w:autoSpaceDN w:val="0"/>
              <w:spacing w:line="240" w:lineRule="auto"/>
              <w:ind w:firstLine="0" w:firstLineChars="0"/>
              <w:jc w:val="center"/>
              <w:rPr>
                <w:color w:val="auto"/>
                <w:sz w:val="21"/>
                <w:szCs w:val="21"/>
                <w:lang w:val="zh-CN"/>
              </w:rPr>
            </w:pPr>
            <w:r>
              <w:rPr>
                <w:color w:val="auto"/>
                <w:sz w:val="21"/>
                <w:szCs w:val="21"/>
                <w:lang w:val="zh-CN"/>
              </w:rPr>
              <w:t>64</w:t>
            </w:r>
          </w:p>
        </w:tc>
        <w:tc>
          <w:tcPr>
            <w:tcW w:w="383" w:type="pct"/>
            <w:vAlign w:val="center"/>
          </w:tcPr>
          <w:p w14:paraId="72A130AA">
            <w:pPr>
              <w:autoSpaceDE w:val="0"/>
              <w:autoSpaceDN w:val="0"/>
              <w:spacing w:line="240" w:lineRule="auto"/>
              <w:ind w:firstLine="0" w:firstLineChars="0"/>
              <w:jc w:val="center"/>
              <w:rPr>
                <w:color w:val="auto"/>
                <w:sz w:val="21"/>
                <w:szCs w:val="21"/>
                <w:lang w:val="zh-CN"/>
              </w:rPr>
            </w:pPr>
            <w:r>
              <w:rPr>
                <w:color w:val="auto"/>
                <w:sz w:val="21"/>
                <w:szCs w:val="21"/>
                <w:lang w:val="zh-CN"/>
              </w:rPr>
              <w:t>61</w:t>
            </w:r>
          </w:p>
        </w:tc>
        <w:tc>
          <w:tcPr>
            <w:tcW w:w="383" w:type="pct"/>
            <w:vAlign w:val="center"/>
          </w:tcPr>
          <w:p w14:paraId="2CD4E70A">
            <w:pPr>
              <w:autoSpaceDE w:val="0"/>
              <w:autoSpaceDN w:val="0"/>
              <w:spacing w:line="240" w:lineRule="auto"/>
              <w:ind w:firstLine="0" w:firstLineChars="0"/>
              <w:jc w:val="center"/>
              <w:rPr>
                <w:color w:val="auto"/>
                <w:sz w:val="21"/>
                <w:szCs w:val="21"/>
                <w:lang w:val="zh-CN"/>
              </w:rPr>
            </w:pPr>
            <w:r>
              <w:rPr>
                <w:color w:val="auto"/>
                <w:sz w:val="21"/>
                <w:szCs w:val="21"/>
                <w:lang w:val="zh-CN"/>
              </w:rPr>
              <w:t>58</w:t>
            </w:r>
          </w:p>
        </w:tc>
        <w:tc>
          <w:tcPr>
            <w:tcW w:w="383" w:type="pct"/>
            <w:vAlign w:val="center"/>
          </w:tcPr>
          <w:p w14:paraId="7EB03914">
            <w:pPr>
              <w:autoSpaceDE w:val="0"/>
              <w:autoSpaceDN w:val="0"/>
              <w:spacing w:line="240" w:lineRule="auto"/>
              <w:ind w:firstLine="0" w:firstLineChars="0"/>
              <w:jc w:val="center"/>
              <w:rPr>
                <w:color w:val="auto"/>
                <w:sz w:val="21"/>
                <w:szCs w:val="21"/>
                <w:lang w:val="zh-CN"/>
              </w:rPr>
            </w:pPr>
            <w:r>
              <w:rPr>
                <w:color w:val="auto"/>
                <w:sz w:val="21"/>
                <w:szCs w:val="21"/>
                <w:lang w:val="zh-CN"/>
              </w:rPr>
              <w:t>56</w:t>
            </w:r>
          </w:p>
        </w:tc>
        <w:tc>
          <w:tcPr>
            <w:tcW w:w="357" w:type="pct"/>
            <w:vAlign w:val="center"/>
          </w:tcPr>
          <w:p w14:paraId="498ABB49">
            <w:pPr>
              <w:autoSpaceDE w:val="0"/>
              <w:autoSpaceDN w:val="0"/>
              <w:spacing w:line="240" w:lineRule="auto"/>
              <w:ind w:firstLine="0" w:firstLineChars="0"/>
              <w:jc w:val="center"/>
              <w:rPr>
                <w:color w:val="auto"/>
                <w:sz w:val="21"/>
                <w:szCs w:val="21"/>
                <w:lang w:val="zh-CN"/>
              </w:rPr>
            </w:pPr>
            <w:r>
              <w:rPr>
                <w:color w:val="auto"/>
                <w:sz w:val="21"/>
                <w:szCs w:val="21"/>
                <w:lang w:val="zh-CN"/>
              </w:rPr>
              <w:t>55</w:t>
            </w:r>
          </w:p>
        </w:tc>
        <w:tc>
          <w:tcPr>
            <w:tcW w:w="383" w:type="pct"/>
            <w:vAlign w:val="center"/>
          </w:tcPr>
          <w:p w14:paraId="6A3FC5A5">
            <w:pPr>
              <w:autoSpaceDE w:val="0"/>
              <w:autoSpaceDN w:val="0"/>
              <w:spacing w:line="240" w:lineRule="auto"/>
              <w:ind w:firstLine="0" w:firstLineChars="0"/>
              <w:jc w:val="center"/>
              <w:rPr>
                <w:color w:val="auto"/>
                <w:sz w:val="21"/>
                <w:szCs w:val="21"/>
                <w:lang w:val="zh-CN"/>
              </w:rPr>
            </w:pPr>
            <w:r>
              <w:rPr>
                <w:color w:val="auto"/>
                <w:sz w:val="21"/>
                <w:szCs w:val="21"/>
                <w:lang w:val="zh-CN"/>
              </w:rPr>
              <w:t>52</w:t>
            </w:r>
          </w:p>
        </w:tc>
        <w:tc>
          <w:tcPr>
            <w:tcW w:w="383" w:type="pct"/>
            <w:vAlign w:val="center"/>
          </w:tcPr>
          <w:p w14:paraId="2B8E3AE3">
            <w:pPr>
              <w:autoSpaceDE w:val="0"/>
              <w:autoSpaceDN w:val="0"/>
              <w:spacing w:line="240" w:lineRule="auto"/>
              <w:ind w:firstLine="0" w:firstLineChars="0"/>
              <w:jc w:val="center"/>
              <w:rPr>
                <w:color w:val="auto"/>
                <w:sz w:val="21"/>
                <w:szCs w:val="21"/>
                <w:lang w:val="zh-CN"/>
              </w:rPr>
            </w:pPr>
            <w:r>
              <w:rPr>
                <w:color w:val="auto"/>
                <w:sz w:val="21"/>
                <w:szCs w:val="21"/>
                <w:lang w:val="zh-CN"/>
              </w:rPr>
              <w:t>49</w:t>
            </w:r>
          </w:p>
        </w:tc>
        <w:tc>
          <w:tcPr>
            <w:tcW w:w="383" w:type="pct"/>
            <w:vAlign w:val="center"/>
          </w:tcPr>
          <w:p w14:paraId="0A75D82E">
            <w:pPr>
              <w:autoSpaceDE w:val="0"/>
              <w:autoSpaceDN w:val="0"/>
              <w:spacing w:line="240" w:lineRule="auto"/>
              <w:ind w:firstLine="0" w:firstLineChars="0"/>
              <w:jc w:val="center"/>
              <w:rPr>
                <w:color w:val="auto"/>
                <w:sz w:val="21"/>
                <w:szCs w:val="21"/>
                <w:lang w:val="zh-CN"/>
              </w:rPr>
            </w:pPr>
            <w:r>
              <w:rPr>
                <w:color w:val="auto"/>
                <w:sz w:val="21"/>
                <w:szCs w:val="21"/>
                <w:lang w:val="zh-CN"/>
              </w:rPr>
              <w:t>47</w:t>
            </w:r>
          </w:p>
        </w:tc>
      </w:tr>
    </w:tbl>
    <w:p w14:paraId="3A789F53">
      <w:pPr>
        <w:autoSpaceDE w:val="0"/>
        <w:autoSpaceDN w:val="0"/>
        <w:ind w:firstLine="480"/>
        <w:rPr>
          <w:color w:val="auto"/>
          <w:lang w:val="zh-CN"/>
        </w:rPr>
      </w:pPr>
      <w:r>
        <w:rPr>
          <w:color w:val="auto"/>
          <w:lang w:val="zh-CN"/>
        </w:rPr>
        <w:t>由上表计算结果可知，白天施工机械超标范围为100m以内；夜间打桩机禁止施工作业，对</w:t>
      </w:r>
      <w:r>
        <w:rPr>
          <w:rFonts w:hint="eastAsia"/>
          <w:color w:val="auto"/>
          <w:lang w:val="zh-CN"/>
        </w:rPr>
        <w:t>其他施工</w:t>
      </w:r>
      <w:r>
        <w:rPr>
          <w:color w:val="auto"/>
          <w:lang w:val="zh-CN"/>
        </w:rPr>
        <w:t>机械而言，在300m外才能达到施工作业噪声限值。</w:t>
      </w:r>
    </w:p>
    <w:p w14:paraId="4084FBD5">
      <w:pPr>
        <w:autoSpaceDE w:val="0"/>
        <w:autoSpaceDN w:val="0"/>
        <w:ind w:firstLine="480"/>
        <w:rPr>
          <w:color w:val="auto"/>
          <w:lang w:val="zh-CN"/>
        </w:rPr>
      </w:pPr>
      <w:r>
        <w:rPr>
          <w:color w:val="auto"/>
          <w:lang w:val="zh-CN"/>
        </w:rPr>
        <w:t>为了减轻施工噪声对周围环境的影响，建议采取以下措施：</w:t>
      </w:r>
    </w:p>
    <w:p w14:paraId="48BDFB90">
      <w:pPr>
        <w:autoSpaceDE w:val="0"/>
        <w:autoSpaceDN w:val="0"/>
        <w:ind w:firstLine="480"/>
        <w:rPr>
          <w:color w:val="auto"/>
          <w:lang w:val="zh-CN"/>
        </w:rPr>
      </w:pPr>
      <w:r>
        <w:rPr>
          <w:color w:val="auto"/>
          <w:lang w:val="zh-CN"/>
        </w:rPr>
        <w:t>（1）加强施工管理，合理安排施工作业时间，严格按照施工噪声管理的有关规定执行，严禁夜间进行高噪声施工作业；</w:t>
      </w:r>
    </w:p>
    <w:p w14:paraId="3B688D58">
      <w:pPr>
        <w:autoSpaceDE w:val="0"/>
        <w:autoSpaceDN w:val="0"/>
        <w:ind w:firstLine="480"/>
        <w:rPr>
          <w:color w:val="auto"/>
          <w:lang w:val="zh-CN"/>
        </w:rPr>
      </w:pPr>
      <w:r>
        <w:rPr>
          <w:color w:val="auto"/>
          <w:lang w:val="zh-CN"/>
        </w:rPr>
        <w:t>（2）尽量采用低噪声的施工工具，如以液压工具代替气压工具，同时尽可能采用施工噪声低的施工方法；</w:t>
      </w:r>
    </w:p>
    <w:p w14:paraId="35032E21">
      <w:pPr>
        <w:autoSpaceDE w:val="0"/>
        <w:autoSpaceDN w:val="0"/>
        <w:ind w:firstLine="480"/>
        <w:rPr>
          <w:color w:val="auto"/>
          <w:lang w:val="zh-CN"/>
        </w:rPr>
      </w:pPr>
      <w:r>
        <w:rPr>
          <w:color w:val="auto"/>
          <w:lang w:val="zh-CN"/>
        </w:rPr>
        <w:t>（3）在高噪声设备周围设置掩蔽物；</w:t>
      </w:r>
    </w:p>
    <w:p w14:paraId="560D7490">
      <w:pPr>
        <w:autoSpaceDE w:val="0"/>
        <w:autoSpaceDN w:val="0"/>
        <w:ind w:firstLine="480"/>
        <w:rPr>
          <w:color w:val="auto"/>
          <w:lang w:val="zh-CN"/>
        </w:rPr>
      </w:pPr>
      <w:r>
        <w:rPr>
          <w:color w:val="auto"/>
          <w:lang w:val="zh-CN"/>
        </w:rPr>
        <w:t>（4）混凝土需要</w:t>
      </w:r>
      <w:r>
        <w:rPr>
          <w:rFonts w:hint="eastAsia"/>
          <w:color w:val="auto"/>
          <w:lang w:val="zh-CN"/>
        </w:rPr>
        <w:t>连续浇筑</w:t>
      </w:r>
      <w:r>
        <w:rPr>
          <w:color w:val="auto"/>
          <w:lang w:val="zh-CN"/>
        </w:rPr>
        <w:t>作业前，应做好各项准备工作，将搅拌机运行时间压到最低限度。</w:t>
      </w:r>
    </w:p>
    <w:p w14:paraId="5D3DAA94">
      <w:pPr>
        <w:autoSpaceDE w:val="0"/>
        <w:autoSpaceDN w:val="0"/>
        <w:ind w:firstLine="480"/>
        <w:rPr>
          <w:color w:val="auto"/>
          <w:lang w:val="zh-CN"/>
        </w:rPr>
      </w:pPr>
      <w:r>
        <w:rPr>
          <w:color w:val="auto"/>
          <w:lang w:val="zh-CN"/>
        </w:rPr>
        <w:t>除上述施工机械产生的噪声外，施工过程中各种运输车辆的运行，还将会引起公路沿线噪声级的增加。因此，应加强对运输车辆的管理，尽量压缩工区汽车数量和行车密度，控制汽车鸣笛。设备调试尽量在白天进行。</w:t>
      </w:r>
    </w:p>
    <w:p w14:paraId="21C5C9AF">
      <w:pPr>
        <w:keepNext/>
        <w:keepLines/>
        <w:spacing w:before="120" w:beforeLines="50"/>
        <w:ind w:firstLine="0" w:firstLineChars="0"/>
        <w:outlineLvl w:val="2"/>
        <w:rPr>
          <w:b/>
          <w:bCs/>
          <w:color w:val="auto"/>
          <w:sz w:val="28"/>
          <w:szCs w:val="28"/>
        </w:rPr>
      </w:pPr>
      <w:r>
        <w:rPr>
          <w:rFonts w:hint="eastAsia"/>
          <w:b/>
          <w:bCs/>
          <w:color w:val="auto"/>
          <w:sz w:val="28"/>
          <w:szCs w:val="28"/>
        </w:rPr>
        <w:t>6</w:t>
      </w:r>
      <w:r>
        <w:rPr>
          <w:b/>
          <w:bCs/>
          <w:color w:val="auto"/>
          <w:sz w:val="28"/>
          <w:szCs w:val="28"/>
        </w:rPr>
        <w:t>.1.4 施工期固体废物环境影响分析及防治对策</w:t>
      </w:r>
    </w:p>
    <w:p w14:paraId="3BD6F0DA">
      <w:pPr>
        <w:autoSpaceDE w:val="0"/>
        <w:autoSpaceDN w:val="0"/>
        <w:ind w:firstLine="480"/>
        <w:rPr>
          <w:color w:val="auto"/>
          <w:lang w:val="zh-CN"/>
        </w:rPr>
      </w:pPr>
      <w:r>
        <w:rPr>
          <w:color w:val="auto"/>
          <w:lang w:val="zh-CN"/>
        </w:rPr>
        <w:t>施工垃圾主要来自施工所产生的建筑垃圾和施工队伍生活产生的生活垃圾。</w:t>
      </w:r>
    </w:p>
    <w:p w14:paraId="3FE2B077">
      <w:pPr>
        <w:autoSpaceDE w:val="0"/>
        <w:autoSpaceDN w:val="0"/>
        <w:ind w:firstLine="504" w:firstLineChars="210"/>
        <w:rPr>
          <w:color w:val="auto"/>
          <w:lang w:val="zh-CN"/>
        </w:rPr>
      </w:pPr>
      <w:r>
        <w:rPr>
          <w:color w:val="auto"/>
          <w:lang w:val="zh-CN"/>
        </w:rPr>
        <w:t>施工期间将</w:t>
      </w:r>
      <w:r>
        <w:rPr>
          <w:rFonts w:hint="eastAsia"/>
          <w:color w:val="auto"/>
          <w:lang w:val="zh-CN"/>
        </w:rPr>
        <w:t>涉及</w:t>
      </w:r>
      <w:r>
        <w:rPr>
          <w:color w:val="auto"/>
          <w:lang w:val="zh-CN"/>
        </w:rPr>
        <w:t>土地开挖、管道敷设、材料运输、基础工程、房屋建筑等工程，在此期间将有一定数量的废弃建筑材料如砂石、石灰、混凝土、废砖、土石方等。拟建项目施工期为12个月，类比同类项目施工期建筑垃圾产生情况，拟建项目施工期建筑垃圾产生量为300吨。</w:t>
      </w:r>
    </w:p>
    <w:p w14:paraId="769893D4">
      <w:pPr>
        <w:autoSpaceDE w:val="0"/>
        <w:autoSpaceDN w:val="0"/>
        <w:ind w:firstLine="504" w:firstLineChars="210"/>
        <w:rPr>
          <w:color w:val="auto"/>
          <w:lang w:val="zh-CN"/>
        </w:rPr>
      </w:pPr>
      <w:r>
        <w:rPr>
          <w:color w:val="auto"/>
          <w:lang w:val="zh-CN"/>
        </w:rPr>
        <w:t>拟建项目建设期间，必然有大量的施工人员工作和生活在施工现场，其日常生活将产生一定数量的生活垃圾。生活垃圾如不及时清运处理，则会腐烂变质，滋生蚊虫苍蝇，产生恶臭，传染疾病，从而对周围环境和作业人员健康带来不利影响。</w:t>
      </w:r>
    </w:p>
    <w:p w14:paraId="566C1A9C">
      <w:pPr>
        <w:autoSpaceDE w:val="0"/>
        <w:autoSpaceDN w:val="0"/>
        <w:ind w:firstLine="480"/>
        <w:rPr>
          <w:color w:val="auto"/>
          <w:lang w:val="zh-CN"/>
        </w:rPr>
      </w:pPr>
      <w:r>
        <w:rPr>
          <w:color w:val="auto"/>
          <w:lang w:val="zh-CN"/>
        </w:rPr>
        <w:t>因此，拟建项目建设期间对施工现场要及时进行清理，建筑垃圾要及时清运、加以利用，防止其因长期堆放而产生扬尘。对生活垃圾要进行专门收集，并定期将之送往较近的垃圾场进行合理处置，严禁乱堆乱扔，防止产生二次污染。</w:t>
      </w:r>
    </w:p>
    <w:p w14:paraId="0C45B069">
      <w:pPr>
        <w:ind w:firstLine="480"/>
        <w:rPr>
          <w:color w:val="auto"/>
          <w:lang w:val="zh-CN"/>
        </w:rPr>
      </w:pPr>
      <w:r>
        <w:rPr>
          <w:color w:val="auto"/>
          <w:lang w:val="zh-CN"/>
        </w:rPr>
        <w:br w:type="page"/>
      </w:r>
    </w:p>
    <w:p w14:paraId="688D6889">
      <w:pPr>
        <w:pStyle w:val="4"/>
        <w:spacing w:beforeLines="50" w:after="0"/>
        <w:ind w:firstLine="0" w:firstLineChars="0"/>
        <w:rPr>
          <w:b w:val="0"/>
          <w:bCs w:val="0"/>
          <w:color w:val="auto"/>
          <w:sz w:val="30"/>
          <w:szCs w:val="30"/>
        </w:rPr>
      </w:pPr>
      <w:bookmarkStart w:id="136" w:name="_Toc12058"/>
      <w:r>
        <w:rPr>
          <w:rFonts w:hint="eastAsia"/>
          <w:color w:val="auto"/>
          <w:sz w:val="30"/>
          <w:szCs w:val="30"/>
        </w:rPr>
        <w:t>6</w:t>
      </w:r>
      <w:r>
        <w:rPr>
          <w:color w:val="auto"/>
          <w:sz w:val="30"/>
          <w:szCs w:val="30"/>
        </w:rPr>
        <w:t>.2 运营期环境影响预测与评价</w:t>
      </w:r>
      <w:bookmarkEnd w:id="136"/>
    </w:p>
    <w:p w14:paraId="13F0390C">
      <w:pPr>
        <w:keepNext/>
        <w:keepLines/>
        <w:spacing w:before="120" w:beforeLines="50"/>
        <w:ind w:firstLine="0" w:firstLineChars="0"/>
        <w:outlineLvl w:val="2"/>
        <w:rPr>
          <w:b/>
          <w:bCs/>
          <w:color w:val="auto"/>
          <w:sz w:val="28"/>
          <w:szCs w:val="36"/>
        </w:rPr>
      </w:pPr>
      <w:r>
        <w:rPr>
          <w:rFonts w:hint="eastAsia"/>
          <w:b/>
          <w:bCs/>
          <w:color w:val="auto"/>
          <w:sz w:val="28"/>
          <w:szCs w:val="36"/>
        </w:rPr>
        <w:t>6</w:t>
      </w:r>
      <w:r>
        <w:rPr>
          <w:b/>
          <w:bCs/>
          <w:color w:val="auto"/>
          <w:sz w:val="28"/>
          <w:szCs w:val="36"/>
        </w:rPr>
        <w:t>.2.1 运营期大气环境影响评价</w:t>
      </w:r>
    </w:p>
    <w:p w14:paraId="01C93CB5">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.2.1.1 运营期大气环境影响分析</w:t>
      </w:r>
    </w:p>
    <w:p w14:paraId="202A99D6">
      <w:pPr>
        <w:ind w:firstLine="482"/>
        <w:rPr>
          <w:b/>
          <w:color w:val="auto"/>
          <w:szCs w:val="28"/>
        </w:rPr>
      </w:pPr>
      <w:r>
        <w:rPr>
          <w:b/>
          <w:color w:val="auto"/>
          <w:szCs w:val="28"/>
        </w:rPr>
        <w:t>1、预测源强</w:t>
      </w:r>
    </w:p>
    <w:p w14:paraId="1D5C756C">
      <w:pPr>
        <w:ind w:firstLine="480"/>
        <w:rPr>
          <w:bCs/>
          <w:color w:val="auto"/>
          <w:szCs w:val="28"/>
        </w:rPr>
      </w:pPr>
      <w:r>
        <w:rPr>
          <w:bCs/>
          <w:color w:val="auto"/>
          <w:szCs w:val="28"/>
        </w:rPr>
        <w:t>本项目大气环境影响评价等级为二级，依据《环境影响评价技术导则大气环境》（HJ2.2-2018）的要求，不需进行进一步预测与评价。正常工况下建设项目有组织废气排放源强参数见表</w:t>
      </w:r>
      <w:r>
        <w:rPr>
          <w:rFonts w:hint="eastAsia"/>
          <w:bCs/>
          <w:color w:val="auto"/>
          <w:szCs w:val="28"/>
        </w:rPr>
        <w:t>6</w:t>
      </w:r>
      <w:r>
        <w:rPr>
          <w:bCs/>
          <w:color w:val="auto"/>
          <w:szCs w:val="28"/>
        </w:rPr>
        <w:t>.2</w:t>
      </w:r>
      <w:r>
        <w:rPr>
          <w:rFonts w:hint="eastAsia"/>
          <w:bCs/>
          <w:color w:val="auto"/>
          <w:szCs w:val="28"/>
        </w:rPr>
        <w:t>.1</w:t>
      </w:r>
      <w:r>
        <w:rPr>
          <w:bCs/>
          <w:color w:val="auto"/>
          <w:szCs w:val="28"/>
        </w:rPr>
        <w:t>-1，无组织废气排放源强参数见表</w:t>
      </w:r>
      <w:r>
        <w:rPr>
          <w:rFonts w:hint="eastAsia"/>
          <w:bCs/>
          <w:color w:val="auto"/>
          <w:szCs w:val="28"/>
        </w:rPr>
        <w:t>6</w:t>
      </w:r>
      <w:r>
        <w:rPr>
          <w:bCs/>
          <w:color w:val="auto"/>
          <w:szCs w:val="28"/>
        </w:rPr>
        <w:t>.2</w:t>
      </w:r>
      <w:r>
        <w:rPr>
          <w:rFonts w:hint="eastAsia"/>
          <w:bCs/>
          <w:color w:val="auto"/>
          <w:szCs w:val="28"/>
        </w:rPr>
        <w:t>.1</w:t>
      </w:r>
      <w:r>
        <w:rPr>
          <w:bCs/>
          <w:color w:val="auto"/>
          <w:szCs w:val="28"/>
        </w:rPr>
        <w:t>-2，非正常排放情况见表</w:t>
      </w:r>
      <w:r>
        <w:rPr>
          <w:rFonts w:hint="eastAsia"/>
          <w:bCs/>
          <w:color w:val="auto"/>
          <w:szCs w:val="28"/>
        </w:rPr>
        <w:t>6</w:t>
      </w:r>
      <w:r>
        <w:rPr>
          <w:bCs/>
          <w:color w:val="auto"/>
          <w:szCs w:val="28"/>
        </w:rPr>
        <w:t>.2</w:t>
      </w:r>
      <w:r>
        <w:rPr>
          <w:rFonts w:hint="eastAsia"/>
          <w:bCs/>
          <w:color w:val="auto"/>
          <w:szCs w:val="28"/>
        </w:rPr>
        <w:t>.1</w:t>
      </w:r>
      <w:r>
        <w:rPr>
          <w:bCs/>
          <w:color w:val="auto"/>
          <w:szCs w:val="28"/>
        </w:rPr>
        <w:t>-3。</w:t>
      </w:r>
    </w:p>
    <w:p w14:paraId="23A785A5">
      <w:pPr>
        <w:ind w:firstLine="482"/>
        <w:jc w:val="center"/>
        <w:rPr>
          <w:b/>
          <w:bCs/>
          <w:color w:val="auto"/>
          <w:kern w:val="0"/>
          <w:szCs w:val="20"/>
        </w:rPr>
        <w:sectPr>
          <w:footerReference r:id="rId17" w:type="default"/>
          <w:pgSz w:w="11907" w:h="16840"/>
          <w:pgMar w:top="1361" w:right="1361" w:bottom="1361" w:left="1361" w:header="851" w:footer="992" w:gutter="0"/>
          <w:cols w:space="720" w:num="1"/>
          <w:docGrid w:linePitch="326" w:charSpace="0"/>
        </w:sectPr>
      </w:pPr>
    </w:p>
    <w:p w14:paraId="5B055973">
      <w:pPr>
        <w:spacing w:line="240" w:lineRule="auto"/>
        <w:ind w:firstLine="0" w:firstLineChars="0"/>
        <w:jc w:val="center"/>
        <w:rPr>
          <w:b/>
          <w:color w:val="auto"/>
        </w:rPr>
      </w:pPr>
      <w:r>
        <w:rPr>
          <w:b/>
          <w:color w:val="auto"/>
        </w:rPr>
        <w:t>表</w:t>
      </w:r>
      <w:r>
        <w:rPr>
          <w:rFonts w:hint="eastAsia"/>
          <w:b/>
          <w:color w:val="auto"/>
        </w:rPr>
        <w:t>6.</w:t>
      </w:r>
      <w:r>
        <w:rPr>
          <w:b/>
          <w:color w:val="auto"/>
        </w:rPr>
        <w:t>2</w:t>
      </w:r>
      <w:r>
        <w:rPr>
          <w:rFonts w:hint="eastAsia"/>
          <w:b/>
          <w:color w:val="auto"/>
        </w:rPr>
        <w:t>.1</w:t>
      </w:r>
      <w:r>
        <w:rPr>
          <w:b/>
          <w:color w:val="auto"/>
        </w:rPr>
        <w:t>-1  本项目点源参数表</w:t>
      </w:r>
    </w:p>
    <w:tbl>
      <w:tblPr>
        <w:tblStyle w:val="88"/>
        <w:tblW w:w="5020"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1279"/>
        <w:gridCol w:w="1132"/>
        <w:gridCol w:w="1135"/>
        <w:gridCol w:w="1132"/>
        <w:gridCol w:w="851"/>
        <w:gridCol w:w="993"/>
        <w:gridCol w:w="1132"/>
        <w:gridCol w:w="1277"/>
        <w:gridCol w:w="1132"/>
        <w:gridCol w:w="1132"/>
        <w:gridCol w:w="1416"/>
        <w:gridCol w:w="1137"/>
      </w:tblGrid>
      <w:tr w14:paraId="513FFC4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1" w:hRule="atLeast"/>
          <w:tblHeader/>
          <w:jc w:val="center"/>
        </w:trPr>
        <w:tc>
          <w:tcPr>
            <w:tcW w:w="150" w:type="pct"/>
            <w:vMerge w:val="restart"/>
            <w:vAlign w:val="center"/>
          </w:tcPr>
          <w:p w14:paraId="774574CE">
            <w:pPr>
              <w:widowControl/>
              <w:spacing w:line="240" w:lineRule="auto"/>
              <w:ind w:firstLine="0" w:firstLineChars="0"/>
              <w:jc w:val="center"/>
              <w:rPr>
                <w:b/>
                <w:bCs/>
                <w:color w:val="auto"/>
                <w:kern w:val="0"/>
                <w:sz w:val="21"/>
                <w:szCs w:val="21"/>
              </w:rPr>
            </w:pPr>
            <w:r>
              <w:rPr>
                <w:b/>
                <w:bCs/>
                <w:color w:val="auto"/>
                <w:kern w:val="0"/>
                <w:sz w:val="21"/>
                <w:szCs w:val="21"/>
              </w:rPr>
              <w:t>编号</w:t>
            </w:r>
          </w:p>
        </w:tc>
        <w:tc>
          <w:tcPr>
            <w:tcW w:w="451" w:type="pct"/>
            <w:vMerge w:val="restart"/>
            <w:shd w:val="clear" w:color="auto" w:fill="auto"/>
            <w:vAlign w:val="center"/>
          </w:tcPr>
          <w:p w14:paraId="3E9EEF7B">
            <w:pPr>
              <w:spacing w:line="240" w:lineRule="auto"/>
              <w:ind w:firstLine="0" w:firstLineChars="0"/>
              <w:jc w:val="center"/>
              <w:rPr>
                <w:b/>
                <w:bCs/>
                <w:color w:val="auto"/>
                <w:kern w:val="0"/>
                <w:sz w:val="21"/>
                <w:szCs w:val="21"/>
              </w:rPr>
            </w:pPr>
            <w:r>
              <w:rPr>
                <w:b/>
                <w:bCs/>
                <w:color w:val="auto"/>
                <w:kern w:val="0"/>
                <w:sz w:val="21"/>
                <w:szCs w:val="21"/>
              </w:rPr>
              <w:t>名称</w:t>
            </w:r>
          </w:p>
        </w:tc>
        <w:tc>
          <w:tcPr>
            <w:tcW w:w="799" w:type="pct"/>
            <w:gridSpan w:val="2"/>
            <w:shd w:val="clear" w:color="auto" w:fill="auto"/>
            <w:vAlign w:val="center"/>
          </w:tcPr>
          <w:p w14:paraId="72562A35">
            <w:pPr>
              <w:widowControl/>
              <w:spacing w:line="240" w:lineRule="auto"/>
              <w:ind w:firstLine="0" w:firstLineChars="0"/>
              <w:jc w:val="center"/>
              <w:rPr>
                <w:b/>
                <w:bCs/>
                <w:color w:val="auto"/>
                <w:kern w:val="0"/>
                <w:sz w:val="21"/>
                <w:szCs w:val="21"/>
              </w:rPr>
            </w:pPr>
            <w:r>
              <w:rPr>
                <w:b/>
                <w:bCs/>
                <w:color w:val="auto"/>
                <w:kern w:val="0"/>
                <w:sz w:val="21"/>
                <w:szCs w:val="21"/>
              </w:rPr>
              <w:t>排气筒底部中心坐标/m</w:t>
            </w:r>
          </w:p>
        </w:tc>
        <w:tc>
          <w:tcPr>
            <w:tcW w:w="399" w:type="pct"/>
            <w:vMerge w:val="restart"/>
            <w:shd w:val="clear" w:color="auto" w:fill="auto"/>
            <w:vAlign w:val="center"/>
          </w:tcPr>
          <w:p w14:paraId="6E9E1C00">
            <w:pPr>
              <w:spacing w:line="240" w:lineRule="auto"/>
              <w:ind w:firstLine="0" w:firstLineChars="0"/>
              <w:jc w:val="center"/>
              <w:rPr>
                <w:b/>
                <w:bCs/>
                <w:color w:val="auto"/>
                <w:kern w:val="0"/>
                <w:sz w:val="21"/>
                <w:szCs w:val="21"/>
              </w:rPr>
            </w:pPr>
            <w:r>
              <w:rPr>
                <w:b/>
                <w:bCs/>
                <w:color w:val="auto"/>
                <w:kern w:val="0"/>
                <w:sz w:val="21"/>
                <w:szCs w:val="21"/>
              </w:rPr>
              <w:t>排气筒底部海拔高度/m</w:t>
            </w:r>
          </w:p>
        </w:tc>
        <w:tc>
          <w:tcPr>
            <w:tcW w:w="300" w:type="pct"/>
            <w:vMerge w:val="restart"/>
            <w:shd w:val="clear" w:color="auto" w:fill="auto"/>
            <w:vAlign w:val="center"/>
          </w:tcPr>
          <w:p w14:paraId="42A529CE">
            <w:pPr>
              <w:spacing w:line="240" w:lineRule="auto"/>
              <w:ind w:firstLine="0" w:firstLineChars="0"/>
              <w:jc w:val="center"/>
              <w:rPr>
                <w:b/>
                <w:bCs/>
                <w:color w:val="auto"/>
                <w:kern w:val="0"/>
                <w:sz w:val="21"/>
                <w:szCs w:val="21"/>
              </w:rPr>
            </w:pPr>
            <w:r>
              <w:rPr>
                <w:b/>
                <w:bCs/>
                <w:color w:val="auto"/>
                <w:kern w:val="0"/>
                <w:sz w:val="21"/>
                <w:szCs w:val="21"/>
              </w:rPr>
              <w:t>排气筒高度/m</w:t>
            </w:r>
          </w:p>
        </w:tc>
        <w:tc>
          <w:tcPr>
            <w:tcW w:w="350" w:type="pct"/>
            <w:vMerge w:val="restart"/>
            <w:shd w:val="clear" w:color="auto" w:fill="auto"/>
            <w:vAlign w:val="center"/>
          </w:tcPr>
          <w:p w14:paraId="55419CC6">
            <w:pPr>
              <w:spacing w:line="240" w:lineRule="auto"/>
              <w:ind w:firstLine="0" w:firstLineChars="0"/>
              <w:jc w:val="center"/>
              <w:rPr>
                <w:b/>
                <w:bCs/>
                <w:color w:val="auto"/>
                <w:kern w:val="0"/>
                <w:sz w:val="21"/>
                <w:szCs w:val="21"/>
              </w:rPr>
            </w:pPr>
            <w:r>
              <w:rPr>
                <w:b/>
                <w:bCs/>
                <w:color w:val="auto"/>
                <w:kern w:val="0"/>
                <w:sz w:val="21"/>
                <w:szCs w:val="21"/>
              </w:rPr>
              <w:t>排气筒出口内径/m</w:t>
            </w:r>
          </w:p>
        </w:tc>
        <w:tc>
          <w:tcPr>
            <w:tcW w:w="399" w:type="pct"/>
            <w:vMerge w:val="restart"/>
            <w:shd w:val="clear" w:color="auto" w:fill="auto"/>
            <w:vAlign w:val="center"/>
          </w:tcPr>
          <w:p w14:paraId="51284912">
            <w:pPr>
              <w:spacing w:line="240" w:lineRule="auto"/>
              <w:ind w:firstLine="0" w:firstLineChars="0"/>
              <w:jc w:val="center"/>
              <w:rPr>
                <w:b/>
                <w:bCs/>
                <w:color w:val="auto"/>
                <w:kern w:val="0"/>
                <w:sz w:val="21"/>
                <w:szCs w:val="21"/>
              </w:rPr>
            </w:pPr>
            <w:r>
              <w:rPr>
                <w:b/>
                <w:bCs/>
                <w:color w:val="auto"/>
                <w:kern w:val="0"/>
                <w:sz w:val="21"/>
                <w:szCs w:val="21"/>
              </w:rPr>
              <w:t>烟气流速/（m/s）</w:t>
            </w:r>
          </w:p>
        </w:tc>
        <w:tc>
          <w:tcPr>
            <w:tcW w:w="450" w:type="pct"/>
            <w:vMerge w:val="restart"/>
            <w:shd w:val="clear" w:color="auto" w:fill="auto"/>
            <w:vAlign w:val="center"/>
          </w:tcPr>
          <w:p w14:paraId="11881C05">
            <w:pPr>
              <w:spacing w:line="240" w:lineRule="auto"/>
              <w:ind w:firstLine="0" w:firstLineChars="0"/>
              <w:jc w:val="center"/>
              <w:rPr>
                <w:b/>
                <w:bCs/>
                <w:color w:val="auto"/>
                <w:kern w:val="0"/>
                <w:sz w:val="21"/>
                <w:szCs w:val="21"/>
              </w:rPr>
            </w:pPr>
            <w:r>
              <w:rPr>
                <w:b/>
                <w:bCs/>
                <w:color w:val="auto"/>
                <w:kern w:val="0"/>
                <w:sz w:val="21"/>
                <w:szCs w:val="21"/>
              </w:rPr>
              <w:t>烟气温度/℃</w:t>
            </w:r>
          </w:p>
        </w:tc>
        <w:tc>
          <w:tcPr>
            <w:tcW w:w="399" w:type="pct"/>
            <w:vMerge w:val="restart"/>
            <w:vAlign w:val="center"/>
          </w:tcPr>
          <w:p w14:paraId="2DA7B58C">
            <w:pPr>
              <w:spacing w:line="240" w:lineRule="auto"/>
              <w:ind w:firstLine="0" w:firstLineChars="0"/>
              <w:jc w:val="center"/>
              <w:rPr>
                <w:b/>
                <w:bCs/>
                <w:color w:val="auto"/>
                <w:kern w:val="0"/>
                <w:sz w:val="21"/>
                <w:szCs w:val="21"/>
              </w:rPr>
            </w:pPr>
            <w:r>
              <w:rPr>
                <w:b/>
                <w:bCs/>
                <w:color w:val="auto"/>
                <w:kern w:val="0"/>
                <w:sz w:val="21"/>
                <w:szCs w:val="21"/>
              </w:rPr>
              <w:t>年排放小时数/h</w:t>
            </w:r>
          </w:p>
        </w:tc>
        <w:tc>
          <w:tcPr>
            <w:tcW w:w="399" w:type="pct"/>
            <w:vMerge w:val="restart"/>
            <w:shd w:val="clear" w:color="auto" w:fill="auto"/>
            <w:vAlign w:val="center"/>
          </w:tcPr>
          <w:p w14:paraId="15EC8B83">
            <w:pPr>
              <w:spacing w:line="240" w:lineRule="auto"/>
              <w:ind w:firstLine="0" w:firstLineChars="0"/>
              <w:jc w:val="center"/>
              <w:rPr>
                <w:b/>
                <w:bCs/>
                <w:color w:val="auto"/>
                <w:kern w:val="0"/>
                <w:sz w:val="21"/>
                <w:szCs w:val="21"/>
              </w:rPr>
            </w:pPr>
            <w:r>
              <w:rPr>
                <w:b/>
                <w:bCs/>
                <w:color w:val="auto"/>
                <w:kern w:val="0"/>
                <w:sz w:val="21"/>
                <w:szCs w:val="21"/>
              </w:rPr>
              <w:t>排放工况</w:t>
            </w:r>
          </w:p>
        </w:tc>
        <w:tc>
          <w:tcPr>
            <w:tcW w:w="900" w:type="pct"/>
            <w:gridSpan w:val="2"/>
            <w:vMerge w:val="restart"/>
            <w:shd w:val="clear" w:color="auto" w:fill="auto"/>
            <w:vAlign w:val="center"/>
          </w:tcPr>
          <w:p w14:paraId="2EB0D74A">
            <w:pPr>
              <w:spacing w:line="240" w:lineRule="auto"/>
              <w:ind w:firstLine="0" w:firstLineChars="0"/>
              <w:jc w:val="center"/>
              <w:rPr>
                <w:b/>
                <w:bCs/>
                <w:color w:val="auto"/>
                <w:kern w:val="0"/>
                <w:sz w:val="21"/>
                <w:szCs w:val="21"/>
              </w:rPr>
            </w:pPr>
            <w:r>
              <w:rPr>
                <w:b/>
                <w:bCs/>
                <w:color w:val="auto"/>
                <w:kern w:val="0"/>
                <w:sz w:val="21"/>
                <w:szCs w:val="21"/>
              </w:rPr>
              <w:t>污染物排放速率/（kg/h）</w:t>
            </w:r>
          </w:p>
        </w:tc>
      </w:tr>
      <w:tr w14:paraId="0612E47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1" w:hRule="atLeast"/>
          <w:tblHeader/>
          <w:jc w:val="center"/>
        </w:trPr>
        <w:tc>
          <w:tcPr>
            <w:tcW w:w="150" w:type="pct"/>
            <w:vMerge w:val="continue"/>
            <w:vAlign w:val="center"/>
          </w:tcPr>
          <w:p w14:paraId="1EBE6486">
            <w:pPr>
              <w:widowControl/>
              <w:spacing w:line="240" w:lineRule="auto"/>
              <w:ind w:firstLine="0" w:firstLineChars="0"/>
              <w:jc w:val="center"/>
              <w:rPr>
                <w:b/>
                <w:bCs/>
                <w:color w:val="auto"/>
                <w:kern w:val="0"/>
                <w:sz w:val="21"/>
                <w:szCs w:val="21"/>
              </w:rPr>
            </w:pPr>
          </w:p>
        </w:tc>
        <w:tc>
          <w:tcPr>
            <w:tcW w:w="451" w:type="pct"/>
            <w:vMerge w:val="continue"/>
            <w:shd w:val="clear" w:color="auto" w:fill="auto"/>
            <w:vAlign w:val="center"/>
          </w:tcPr>
          <w:p w14:paraId="092320A8">
            <w:pPr>
              <w:spacing w:line="240" w:lineRule="auto"/>
              <w:ind w:firstLine="0" w:firstLineChars="0"/>
              <w:jc w:val="center"/>
              <w:rPr>
                <w:b/>
                <w:bCs/>
                <w:color w:val="auto"/>
                <w:kern w:val="0"/>
                <w:sz w:val="21"/>
                <w:szCs w:val="21"/>
              </w:rPr>
            </w:pPr>
          </w:p>
        </w:tc>
        <w:tc>
          <w:tcPr>
            <w:tcW w:w="399" w:type="pct"/>
            <w:shd w:val="clear" w:color="auto" w:fill="auto"/>
            <w:vAlign w:val="center"/>
          </w:tcPr>
          <w:p w14:paraId="23A87472">
            <w:pPr>
              <w:widowControl/>
              <w:spacing w:line="240" w:lineRule="auto"/>
              <w:ind w:firstLine="0" w:firstLineChars="0"/>
              <w:jc w:val="center"/>
              <w:rPr>
                <w:b/>
                <w:bCs/>
                <w:color w:val="auto"/>
                <w:kern w:val="0"/>
                <w:sz w:val="21"/>
                <w:szCs w:val="21"/>
              </w:rPr>
            </w:pPr>
            <w:r>
              <w:rPr>
                <w:b/>
                <w:bCs/>
                <w:color w:val="auto"/>
                <w:kern w:val="0"/>
                <w:sz w:val="21"/>
                <w:szCs w:val="21"/>
              </w:rPr>
              <w:t>X</w:t>
            </w:r>
          </w:p>
        </w:tc>
        <w:tc>
          <w:tcPr>
            <w:tcW w:w="400" w:type="pct"/>
            <w:shd w:val="clear" w:color="auto" w:fill="auto"/>
            <w:vAlign w:val="center"/>
          </w:tcPr>
          <w:p w14:paraId="108801B9">
            <w:pPr>
              <w:widowControl/>
              <w:spacing w:line="240" w:lineRule="auto"/>
              <w:ind w:firstLine="0" w:firstLineChars="0"/>
              <w:jc w:val="center"/>
              <w:rPr>
                <w:b/>
                <w:bCs/>
                <w:color w:val="auto"/>
                <w:kern w:val="0"/>
                <w:sz w:val="21"/>
                <w:szCs w:val="21"/>
              </w:rPr>
            </w:pPr>
            <w:r>
              <w:rPr>
                <w:b/>
                <w:bCs/>
                <w:color w:val="auto"/>
                <w:kern w:val="0"/>
                <w:sz w:val="21"/>
                <w:szCs w:val="21"/>
              </w:rPr>
              <w:t>Y</w:t>
            </w:r>
          </w:p>
        </w:tc>
        <w:tc>
          <w:tcPr>
            <w:tcW w:w="399" w:type="pct"/>
            <w:vMerge w:val="continue"/>
            <w:shd w:val="clear" w:color="auto" w:fill="auto"/>
            <w:vAlign w:val="center"/>
          </w:tcPr>
          <w:p w14:paraId="4CB6D48C">
            <w:pPr>
              <w:spacing w:line="240" w:lineRule="auto"/>
              <w:ind w:firstLine="0" w:firstLineChars="0"/>
              <w:jc w:val="center"/>
              <w:rPr>
                <w:b/>
                <w:bCs/>
                <w:color w:val="auto"/>
                <w:kern w:val="0"/>
                <w:sz w:val="21"/>
                <w:szCs w:val="21"/>
              </w:rPr>
            </w:pPr>
          </w:p>
        </w:tc>
        <w:tc>
          <w:tcPr>
            <w:tcW w:w="300" w:type="pct"/>
            <w:vMerge w:val="continue"/>
            <w:shd w:val="clear" w:color="auto" w:fill="auto"/>
            <w:vAlign w:val="center"/>
          </w:tcPr>
          <w:p w14:paraId="1D04DD7F">
            <w:pPr>
              <w:spacing w:line="240" w:lineRule="auto"/>
              <w:ind w:firstLine="0" w:firstLineChars="0"/>
              <w:jc w:val="center"/>
              <w:rPr>
                <w:b/>
                <w:bCs/>
                <w:color w:val="auto"/>
                <w:kern w:val="0"/>
                <w:sz w:val="21"/>
                <w:szCs w:val="21"/>
              </w:rPr>
            </w:pPr>
          </w:p>
        </w:tc>
        <w:tc>
          <w:tcPr>
            <w:tcW w:w="350" w:type="pct"/>
            <w:vMerge w:val="continue"/>
            <w:shd w:val="clear" w:color="auto" w:fill="auto"/>
            <w:vAlign w:val="center"/>
          </w:tcPr>
          <w:p w14:paraId="5EB2146C">
            <w:pPr>
              <w:spacing w:line="240" w:lineRule="auto"/>
              <w:ind w:firstLine="0" w:firstLineChars="0"/>
              <w:jc w:val="center"/>
              <w:rPr>
                <w:b/>
                <w:bCs/>
                <w:color w:val="auto"/>
                <w:kern w:val="0"/>
                <w:sz w:val="21"/>
                <w:szCs w:val="21"/>
              </w:rPr>
            </w:pPr>
          </w:p>
        </w:tc>
        <w:tc>
          <w:tcPr>
            <w:tcW w:w="399" w:type="pct"/>
            <w:vMerge w:val="continue"/>
            <w:shd w:val="clear" w:color="auto" w:fill="auto"/>
            <w:vAlign w:val="center"/>
          </w:tcPr>
          <w:p w14:paraId="70C6516B">
            <w:pPr>
              <w:spacing w:line="240" w:lineRule="auto"/>
              <w:ind w:firstLine="0" w:firstLineChars="0"/>
              <w:jc w:val="center"/>
              <w:rPr>
                <w:b/>
                <w:bCs/>
                <w:color w:val="auto"/>
                <w:kern w:val="0"/>
                <w:sz w:val="21"/>
                <w:szCs w:val="21"/>
              </w:rPr>
            </w:pPr>
          </w:p>
        </w:tc>
        <w:tc>
          <w:tcPr>
            <w:tcW w:w="450" w:type="pct"/>
            <w:vMerge w:val="continue"/>
            <w:shd w:val="clear" w:color="auto" w:fill="auto"/>
            <w:vAlign w:val="center"/>
          </w:tcPr>
          <w:p w14:paraId="032E5C14">
            <w:pPr>
              <w:spacing w:line="240" w:lineRule="auto"/>
              <w:ind w:firstLine="0" w:firstLineChars="0"/>
              <w:jc w:val="center"/>
              <w:rPr>
                <w:b/>
                <w:bCs/>
                <w:color w:val="auto"/>
                <w:kern w:val="0"/>
                <w:sz w:val="21"/>
                <w:szCs w:val="21"/>
              </w:rPr>
            </w:pPr>
          </w:p>
        </w:tc>
        <w:tc>
          <w:tcPr>
            <w:tcW w:w="399" w:type="pct"/>
            <w:vMerge w:val="continue"/>
            <w:vAlign w:val="center"/>
          </w:tcPr>
          <w:p w14:paraId="248F1574">
            <w:pPr>
              <w:spacing w:line="240" w:lineRule="auto"/>
              <w:ind w:firstLine="0" w:firstLineChars="0"/>
              <w:jc w:val="center"/>
              <w:rPr>
                <w:b/>
                <w:bCs/>
                <w:color w:val="auto"/>
                <w:kern w:val="0"/>
                <w:sz w:val="21"/>
                <w:szCs w:val="21"/>
              </w:rPr>
            </w:pPr>
          </w:p>
        </w:tc>
        <w:tc>
          <w:tcPr>
            <w:tcW w:w="399" w:type="pct"/>
            <w:vMerge w:val="continue"/>
            <w:shd w:val="clear" w:color="auto" w:fill="auto"/>
            <w:vAlign w:val="center"/>
          </w:tcPr>
          <w:p w14:paraId="2036C0BC">
            <w:pPr>
              <w:spacing w:line="240" w:lineRule="auto"/>
              <w:ind w:firstLine="0" w:firstLineChars="0"/>
              <w:jc w:val="center"/>
              <w:rPr>
                <w:b/>
                <w:bCs/>
                <w:color w:val="auto"/>
                <w:kern w:val="0"/>
                <w:sz w:val="21"/>
                <w:szCs w:val="21"/>
              </w:rPr>
            </w:pPr>
          </w:p>
        </w:tc>
        <w:tc>
          <w:tcPr>
            <w:tcW w:w="900" w:type="pct"/>
            <w:gridSpan w:val="2"/>
            <w:vMerge w:val="continue"/>
            <w:shd w:val="clear" w:color="auto" w:fill="auto"/>
            <w:vAlign w:val="center"/>
          </w:tcPr>
          <w:p w14:paraId="6F8CC29D">
            <w:pPr>
              <w:spacing w:line="240" w:lineRule="auto"/>
              <w:ind w:firstLine="0" w:firstLineChars="0"/>
              <w:jc w:val="center"/>
              <w:rPr>
                <w:b/>
                <w:bCs/>
                <w:color w:val="auto"/>
                <w:kern w:val="0"/>
                <w:sz w:val="21"/>
                <w:szCs w:val="21"/>
              </w:rPr>
            </w:pPr>
          </w:p>
        </w:tc>
      </w:tr>
      <w:tr w14:paraId="6F82E70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restart"/>
            <w:vAlign w:val="center"/>
          </w:tcPr>
          <w:p w14:paraId="1DD38492">
            <w:pPr>
              <w:widowControl/>
              <w:spacing w:line="240" w:lineRule="auto"/>
              <w:ind w:firstLine="0" w:firstLineChars="0"/>
              <w:jc w:val="center"/>
              <w:rPr>
                <w:color w:val="auto"/>
                <w:kern w:val="0"/>
                <w:sz w:val="21"/>
                <w:szCs w:val="21"/>
              </w:rPr>
            </w:pPr>
            <w:r>
              <w:rPr>
                <w:color w:val="auto"/>
                <w:kern w:val="0"/>
                <w:sz w:val="21"/>
                <w:szCs w:val="21"/>
              </w:rPr>
              <w:t>1</w:t>
            </w:r>
          </w:p>
        </w:tc>
        <w:tc>
          <w:tcPr>
            <w:tcW w:w="451" w:type="pct"/>
            <w:vMerge w:val="restart"/>
            <w:shd w:val="clear" w:color="auto" w:fill="auto"/>
            <w:noWrap/>
            <w:vAlign w:val="center"/>
          </w:tcPr>
          <w:p w14:paraId="569198A0">
            <w:pPr>
              <w:widowControl/>
              <w:spacing w:line="240" w:lineRule="auto"/>
              <w:ind w:firstLine="0" w:firstLineChars="0"/>
              <w:jc w:val="center"/>
              <w:rPr>
                <w:color w:val="auto"/>
                <w:kern w:val="0"/>
                <w:sz w:val="21"/>
                <w:szCs w:val="21"/>
              </w:rPr>
            </w:pPr>
            <w:r>
              <w:rPr>
                <w:color w:val="auto"/>
                <w:kern w:val="0"/>
                <w:sz w:val="21"/>
                <w:szCs w:val="21"/>
              </w:rPr>
              <w:t>DA001</w:t>
            </w:r>
          </w:p>
        </w:tc>
        <w:tc>
          <w:tcPr>
            <w:tcW w:w="399" w:type="pct"/>
            <w:vMerge w:val="restart"/>
            <w:shd w:val="clear" w:color="auto" w:fill="auto"/>
            <w:noWrap/>
            <w:vAlign w:val="center"/>
          </w:tcPr>
          <w:p w14:paraId="2A9905D2">
            <w:pPr>
              <w:widowControl/>
              <w:spacing w:line="240" w:lineRule="auto"/>
              <w:ind w:firstLine="0" w:firstLineChars="0"/>
              <w:jc w:val="center"/>
              <w:rPr>
                <w:color w:val="auto"/>
                <w:kern w:val="0"/>
                <w:sz w:val="21"/>
                <w:szCs w:val="21"/>
              </w:rPr>
            </w:pPr>
            <w:r>
              <w:rPr>
                <w:rFonts w:hint="eastAsia"/>
                <w:color w:val="auto"/>
                <w:kern w:val="0"/>
                <w:sz w:val="21"/>
                <w:szCs w:val="21"/>
              </w:rPr>
              <w:t>703896</w:t>
            </w:r>
          </w:p>
        </w:tc>
        <w:tc>
          <w:tcPr>
            <w:tcW w:w="400" w:type="pct"/>
            <w:vMerge w:val="restart"/>
            <w:shd w:val="clear" w:color="auto" w:fill="auto"/>
            <w:noWrap/>
            <w:vAlign w:val="center"/>
          </w:tcPr>
          <w:p w14:paraId="4B811F02">
            <w:pPr>
              <w:widowControl/>
              <w:spacing w:line="240" w:lineRule="auto"/>
              <w:ind w:firstLine="0" w:firstLineChars="0"/>
              <w:jc w:val="center"/>
              <w:rPr>
                <w:color w:val="auto"/>
                <w:kern w:val="0"/>
                <w:sz w:val="21"/>
                <w:szCs w:val="21"/>
              </w:rPr>
            </w:pPr>
            <w:r>
              <w:rPr>
                <w:rFonts w:hint="eastAsia"/>
                <w:color w:val="auto"/>
                <w:kern w:val="0"/>
                <w:sz w:val="21"/>
                <w:szCs w:val="21"/>
              </w:rPr>
              <w:t>3846466</w:t>
            </w:r>
          </w:p>
        </w:tc>
        <w:tc>
          <w:tcPr>
            <w:tcW w:w="399" w:type="pct"/>
            <w:vMerge w:val="restart"/>
            <w:shd w:val="clear" w:color="auto" w:fill="auto"/>
            <w:noWrap/>
            <w:vAlign w:val="center"/>
          </w:tcPr>
          <w:p w14:paraId="338F61C6">
            <w:pPr>
              <w:widowControl/>
              <w:spacing w:line="240" w:lineRule="auto"/>
              <w:ind w:firstLine="0" w:firstLineChars="0"/>
              <w:jc w:val="center"/>
              <w:rPr>
                <w:color w:val="auto"/>
                <w:kern w:val="0"/>
                <w:sz w:val="21"/>
                <w:szCs w:val="21"/>
              </w:rPr>
            </w:pPr>
            <w:r>
              <w:rPr>
                <w:rFonts w:hint="eastAsia"/>
                <w:color w:val="auto"/>
                <w:kern w:val="0"/>
                <w:sz w:val="21"/>
                <w:szCs w:val="21"/>
              </w:rPr>
              <w:t>2.40</w:t>
            </w:r>
          </w:p>
        </w:tc>
        <w:tc>
          <w:tcPr>
            <w:tcW w:w="300" w:type="pct"/>
            <w:vMerge w:val="restart"/>
            <w:shd w:val="clear" w:color="auto" w:fill="auto"/>
            <w:noWrap/>
            <w:vAlign w:val="center"/>
          </w:tcPr>
          <w:p w14:paraId="1EA6BECD">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350" w:type="pct"/>
            <w:vMerge w:val="restart"/>
            <w:shd w:val="clear" w:color="auto" w:fill="auto"/>
            <w:noWrap/>
            <w:vAlign w:val="center"/>
          </w:tcPr>
          <w:p w14:paraId="7DF27817">
            <w:pPr>
              <w:widowControl/>
              <w:spacing w:line="240" w:lineRule="auto"/>
              <w:ind w:firstLine="0" w:firstLineChars="0"/>
              <w:jc w:val="center"/>
              <w:rPr>
                <w:color w:val="auto"/>
                <w:kern w:val="0"/>
                <w:sz w:val="21"/>
                <w:szCs w:val="21"/>
              </w:rPr>
            </w:pPr>
            <w:r>
              <w:rPr>
                <w:rFonts w:hint="eastAsia"/>
                <w:color w:val="auto"/>
                <w:kern w:val="0"/>
                <w:sz w:val="21"/>
                <w:szCs w:val="21"/>
              </w:rPr>
              <w:t>0.44</w:t>
            </w:r>
          </w:p>
        </w:tc>
        <w:tc>
          <w:tcPr>
            <w:tcW w:w="399" w:type="pct"/>
            <w:vMerge w:val="restart"/>
            <w:shd w:val="clear" w:color="auto" w:fill="auto"/>
            <w:noWrap/>
            <w:vAlign w:val="center"/>
          </w:tcPr>
          <w:p w14:paraId="59F5FE58">
            <w:pPr>
              <w:widowControl/>
              <w:spacing w:line="240" w:lineRule="auto"/>
              <w:ind w:firstLine="0" w:firstLineChars="0"/>
              <w:jc w:val="center"/>
              <w:rPr>
                <w:color w:val="auto"/>
                <w:kern w:val="0"/>
                <w:sz w:val="21"/>
                <w:szCs w:val="21"/>
              </w:rPr>
            </w:pPr>
            <w:r>
              <w:rPr>
                <w:rFonts w:hint="eastAsia"/>
                <w:color w:val="auto"/>
                <w:kern w:val="0"/>
                <w:sz w:val="21"/>
                <w:szCs w:val="21"/>
              </w:rPr>
              <w:t>14.85</w:t>
            </w:r>
          </w:p>
        </w:tc>
        <w:tc>
          <w:tcPr>
            <w:tcW w:w="450" w:type="pct"/>
            <w:vMerge w:val="restart"/>
            <w:shd w:val="clear" w:color="auto" w:fill="auto"/>
            <w:noWrap/>
            <w:vAlign w:val="center"/>
          </w:tcPr>
          <w:p w14:paraId="4D2B56B3">
            <w:pPr>
              <w:widowControl/>
              <w:spacing w:line="240" w:lineRule="auto"/>
              <w:ind w:firstLine="0" w:firstLineChars="0"/>
              <w:jc w:val="center"/>
              <w:rPr>
                <w:color w:val="auto"/>
                <w:kern w:val="0"/>
                <w:sz w:val="21"/>
                <w:szCs w:val="21"/>
              </w:rPr>
            </w:pPr>
            <w:r>
              <w:rPr>
                <w:rFonts w:hint="eastAsia"/>
                <w:color w:val="auto"/>
                <w:sz w:val="21"/>
                <w:szCs w:val="21"/>
              </w:rPr>
              <w:t>50</w:t>
            </w:r>
          </w:p>
        </w:tc>
        <w:tc>
          <w:tcPr>
            <w:tcW w:w="399" w:type="pct"/>
            <w:vMerge w:val="restart"/>
            <w:vAlign w:val="center"/>
          </w:tcPr>
          <w:p w14:paraId="12A9FDFA">
            <w:pPr>
              <w:widowControl/>
              <w:spacing w:line="240" w:lineRule="auto"/>
              <w:ind w:firstLine="0" w:firstLineChars="0"/>
              <w:jc w:val="center"/>
              <w:rPr>
                <w:color w:val="auto"/>
                <w:kern w:val="0"/>
                <w:sz w:val="21"/>
                <w:szCs w:val="21"/>
              </w:rPr>
            </w:pPr>
            <w:r>
              <w:rPr>
                <w:rFonts w:hint="eastAsia"/>
                <w:color w:val="auto"/>
                <w:kern w:val="0"/>
                <w:sz w:val="21"/>
                <w:szCs w:val="21"/>
              </w:rPr>
              <w:t>7920</w:t>
            </w:r>
          </w:p>
        </w:tc>
        <w:tc>
          <w:tcPr>
            <w:tcW w:w="399" w:type="pct"/>
            <w:vMerge w:val="restart"/>
            <w:shd w:val="clear" w:color="auto" w:fill="auto"/>
            <w:noWrap/>
            <w:vAlign w:val="center"/>
          </w:tcPr>
          <w:p w14:paraId="1E811758">
            <w:pPr>
              <w:widowControl/>
              <w:spacing w:line="240" w:lineRule="auto"/>
              <w:ind w:firstLine="0" w:firstLineChars="0"/>
              <w:jc w:val="center"/>
              <w:rPr>
                <w:color w:val="auto"/>
                <w:kern w:val="0"/>
                <w:sz w:val="21"/>
                <w:szCs w:val="21"/>
              </w:rPr>
            </w:pPr>
            <w:r>
              <w:rPr>
                <w:color w:val="auto"/>
                <w:kern w:val="0"/>
                <w:sz w:val="21"/>
                <w:szCs w:val="21"/>
              </w:rPr>
              <w:t>正常</w:t>
            </w:r>
          </w:p>
        </w:tc>
        <w:tc>
          <w:tcPr>
            <w:tcW w:w="499" w:type="pct"/>
            <w:shd w:val="clear" w:color="auto" w:fill="auto"/>
            <w:noWrap/>
            <w:vAlign w:val="center"/>
          </w:tcPr>
          <w:p w14:paraId="5969554C">
            <w:pPr>
              <w:widowControl/>
              <w:spacing w:line="240" w:lineRule="auto"/>
              <w:ind w:firstLine="0" w:firstLineChars="0"/>
              <w:jc w:val="center"/>
              <w:rPr>
                <w:color w:val="auto"/>
                <w:kern w:val="0"/>
                <w:sz w:val="21"/>
                <w:szCs w:val="21"/>
              </w:rPr>
            </w:pPr>
            <w:r>
              <w:rPr>
                <w:color w:val="auto"/>
                <w:kern w:val="0"/>
                <w:sz w:val="21"/>
                <w:szCs w:val="21"/>
              </w:rPr>
              <w:t>颗粒物</w:t>
            </w:r>
          </w:p>
        </w:tc>
        <w:tc>
          <w:tcPr>
            <w:tcW w:w="401" w:type="pct"/>
            <w:shd w:val="clear" w:color="auto" w:fill="auto"/>
            <w:noWrap/>
            <w:vAlign w:val="center"/>
          </w:tcPr>
          <w:p w14:paraId="38FA25A4">
            <w:pPr>
              <w:tabs>
                <w:tab w:val="left" w:pos="2227"/>
              </w:tabs>
              <w:spacing w:line="240" w:lineRule="auto"/>
              <w:ind w:firstLine="0" w:firstLineChars="0"/>
              <w:jc w:val="center"/>
              <w:rPr>
                <w:color w:val="auto"/>
                <w:kern w:val="0"/>
                <w:sz w:val="21"/>
                <w:szCs w:val="21"/>
              </w:rPr>
            </w:pPr>
            <w:r>
              <w:rPr>
                <w:rFonts w:hint="eastAsia"/>
                <w:color w:val="auto"/>
                <w:sz w:val="21"/>
                <w:szCs w:val="21"/>
              </w:rPr>
              <w:t>0.096</w:t>
            </w:r>
          </w:p>
        </w:tc>
      </w:tr>
      <w:tr w14:paraId="3662D6B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continue"/>
            <w:vAlign w:val="center"/>
          </w:tcPr>
          <w:p w14:paraId="0BE611AD">
            <w:pPr>
              <w:widowControl/>
              <w:spacing w:line="240" w:lineRule="auto"/>
              <w:ind w:firstLine="0" w:firstLineChars="0"/>
              <w:jc w:val="center"/>
              <w:rPr>
                <w:color w:val="auto"/>
                <w:kern w:val="0"/>
                <w:sz w:val="21"/>
                <w:szCs w:val="21"/>
              </w:rPr>
            </w:pPr>
          </w:p>
        </w:tc>
        <w:tc>
          <w:tcPr>
            <w:tcW w:w="451" w:type="pct"/>
            <w:vMerge w:val="continue"/>
            <w:shd w:val="clear" w:color="auto" w:fill="auto"/>
            <w:noWrap/>
            <w:vAlign w:val="center"/>
          </w:tcPr>
          <w:p w14:paraId="1440BF64">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2FB12E2">
            <w:pPr>
              <w:widowControl/>
              <w:spacing w:line="240" w:lineRule="auto"/>
              <w:ind w:firstLine="0" w:firstLineChars="0"/>
              <w:jc w:val="center"/>
              <w:rPr>
                <w:color w:val="auto"/>
                <w:kern w:val="0"/>
                <w:sz w:val="21"/>
                <w:szCs w:val="21"/>
              </w:rPr>
            </w:pPr>
          </w:p>
        </w:tc>
        <w:tc>
          <w:tcPr>
            <w:tcW w:w="400" w:type="pct"/>
            <w:vMerge w:val="continue"/>
            <w:shd w:val="clear" w:color="auto" w:fill="auto"/>
            <w:noWrap/>
            <w:vAlign w:val="center"/>
          </w:tcPr>
          <w:p w14:paraId="45101A61">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5D0D082">
            <w:pPr>
              <w:widowControl/>
              <w:spacing w:line="240" w:lineRule="auto"/>
              <w:ind w:firstLine="0" w:firstLineChars="0"/>
              <w:jc w:val="center"/>
              <w:rPr>
                <w:color w:val="auto"/>
                <w:sz w:val="21"/>
                <w:szCs w:val="21"/>
              </w:rPr>
            </w:pPr>
          </w:p>
        </w:tc>
        <w:tc>
          <w:tcPr>
            <w:tcW w:w="300" w:type="pct"/>
            <w:vMerge w:val="continue"/>
            <w:shd w:val="clear" w:color="auto" w:fill="auto"/>
            <w:noWrap/>
            <w:vAlign w:val="center"/>
          </w:tcPr>
          <w:p w14:paraId="06DBD9D5">
            <w:pPr>
              <w:widowControl/>
              <w:spacing w:line="240" w:lineRule="auto"/>
              <w:ind w:firstLine="0" w:firstLineChars="0"/>
              <w:jc w:val="center"/>
              <w:rPr>
                <w:color w:val="auto"/>
                <w:kern w:val="0"/>
                <w:sz w:val="21"/>
                <w:szCs w:val="21"/>
              </w:rPr>
            </w:pPr>
          </w:p>
        </w:tc>
        <w:tc>
          <w:tcPr>
            <w:tcW w:w="350" w:type="pct"/>
            <w:vMerge w:val="continue"/>
            <w:shd w:val="clear" w:color="auto" w:fill="auto"/>
            <w:noWrap/>
            <w:vAlign w:val="center"/>
          </w:tcPr>
          <w:p w14:paraId="3B40623F">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3005E8A0">
            <w:pPr>
              <w:widowControl/>
              <w:spacing w:line="240" w:lineRule="auto"/>
              <w:ind w:firstLine="0" w:firstLineChars="0"/>
              <w:jc w:val="center"/>
              <w:rPr>
                <w:color w:val="auto"/>
                <w:kern w:val="0"/>
                <w:sz w:val="21"/>
                <w:szCs w:val="21"/>
              </w:rPr>
            </w:pPr>
          </w:p>
        </w:tc>
        <w:tc>
          <w:tcPr>
            <w:tcW w:w="450" w:type="pct"/>
            <w:vMerge w:val="continue"/>
            <w:shd w:val="clear" w:color="auto" w:fill="auto"/>
            <w:noWrap/>
            <w:vAlign w:val="center"/>
          </w:tcPr>
          <w:p w14:paraId="6DB9FE84">
            <w:pPr>
              <w:widowControl/>
              <w:spacing w:line="240" w:lineRule="auto"/>
              <w:ind w:firstLine="0" w:firstLineChars="0"/>
              <w:jc w:val="center"/>
              <w:rPr>
                <w:color w:val="auto"/>
                <w:sz w:val="21"/>
                <w:szCs w:val="21"/>
              </w:rPr>
            </w:pPr>
          </w:p>
        </w:tc>
        <w:tc>
          <w:tcPr>
            <w:tcW w:w="399" w:type="pct"/>
            <w:vMerge w:val="continue"/>
            <w:vAlign w:val="center"/>
          </w:tcPr>
          <w:p w14:paraId="1365F73B">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49CA4DDA">
            <w:pPr>
              <w:widowControl/>
              <w:spacing w:line="240" w:lineRule="auto"/>
              <w:ind w:firstLine="0" w:firstLineChars="0"/>
              <w:jc w:val="center"/>
              <w:rPr>
                <w:color w:val="auto"/>
                <w:kern w:val="0"/>
                <w:sz w:val="21"/>
                <w:szCs w:val="21"/>
              </w:rPr>
            </w:pPr>
          </w:p>
        </w:tc>
        <w:tc>
          <w:tcPr>
            <w:tcW w:w="499" w:type="pct"/>
            <w:shd w:val="clear" w:color="auto" w:fill="auto"/>
            <w:noWrap/>
            <w:vAlign w:val="center"/>
          </w:tcPr>
          <w:p w14:paraId="71197F9B">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401" w:type="pct"/>
            <w:shd w:val="clear" w:color="auto" w:fill="auto"/>
            <w:noWrap/>
            <w:vAlign w:val="center"/>
          </w:tcPr>
          <w:p w14:paraId="7A414E39">
            <w:pPr>
              <w:tabs>
                <w:tab w:val="left" w:pos="2227"/>
              </w:tabs>
              <w:spacing w:line="240" w:lineRule="auto"/>
              <w:ind w:firstLine="0" w:firstLineChars="0"/>
              <w:jc w:val="center"/>
              <w:rPr>
                <w:color w:val="auto"/>
                <w:kern w:val="0"/>
                <w:sz w:val="21"/>
                <w:szCs w:val="21"/>
              </w:rPr>
            </w:pPr>
            <w:r>
              <w:rPr>
                <w:rFonts w:hint="eastAsia"/>
                <w:color w:val="auto"/>
                <w:sz w:val="21"/>
                <w:szCs w:val="21"/>
              </w:rPr>
              <w:t>0.067</w:t>
            </w:r>
          </w:p>
        </w:tc>
      </w:tr>
      <w:tr w14:paraId="4BF19A5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continue"/>
            <w:vAlign w:val="center"/>
          </w:tcPr>
          <w:p w14:paraId="08D42DFC">
            <w:pPr>
              <w:widowControl/>
              <w:spacing w:line="240" w:lineRule="auto"/>
              <w:ind w:firstLine="0" w:firstLineChars="0"/>
              <w:jc w:val="center"/>
              <w:rPr>
                <w:color w:val="auto"/>
                <w:kern w:val="0"/>
                <w:sz w:val="21"/>
                <w:szCs w:val="21"/>
              </w:rPr>
            </w:pPr>
          </w:p>
        </w:tc>
        <w:tc>
          <w:tcPr>
            <w:tcW w:w="451" w:type="pct"/>
            <w:vMerge w:val="continue"/>
            <w:shd w:val="clear" w:color="auto" w:fill="auto"/>
            <w:noWrap/>
            <w:vAlign w:val="center"/>
          </w:tcPr>
          <w:p w14:paraId="4EF4C78E">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F987678">
            <w:pPr>
              <w:widowControl/>
              <w:spacing w:line="240" w:lineRule="auto"/>
              <w:ind w:firstLine="0" w:firstLineChars="0"/>
              <w:jc w:val="center"/>
              <w:rPr>
                <w:color w:val="auto"/>
                <w:kern w:val="0"/>
                <w:sz w:val="21"/>
                <w:szCs w:val="21"/>
              </w:rPr>
            </w:pPr>
          </w:p>
        </w:tc>
        <w:tc>
          <w:tcPr>
            <w:tcW w:w="400" w:type="pct"/>
            <w:vMerge w:val="continue"/>
            <w:shd w:val="clear" w:color="auto" w:fill="auto"/>
            <w:noWrap/>
            <w:vAlign w:val="center"/>
          </w:tcPr>
          <w:p w14:paraId="370591F1">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6BBC94CD">
            <w:pPr>
              <w:widowControl/>
              <w:spacing w:line="240" w:lineRule="auto"/>
              <w:ind w:firstLine="0" w:firstLineChars="0"/>
              <w:jc w:val="center"/>
              <w:rPr>
                <w:color w:val="auto"/>
                <w:sz w:val="21"/>
                <w:szCs w:val="21"/>
              </w:rPr>
            </w:pPr>
          </w:p>
        </w:tc>
        <w:tc>
          <w:tcPr>
            <w:tcW w:w="300" w:type="pct"/>
            <w:vMerge w:val="continue"/>
            <w:shd w:val="clear" w:color="auto" w:fill="auto"/>
            <w:noWrap/>
            <w:vAlign w:val="center"/>
          </w:tcPr>
          <w:p w14:paraId="3CA57CE6">
            <w:pPr>
              <w:widowControl/>
              <w:spacing w:line="240" w:lineRule="auto"/>
              <w:ind w:firstLine="0" w:firstLineChars="0"/>
              <w:jc w:val="center"/>
              <w:rPr>
                <w:color w:val="auto"/>
                <w:kern w:val="0"/>
                <w:sz w:val="21"/>
                <w:szCs w:val="21"/>
              </w:rPr>
            </w:pPr>
          </w:p>
        </w:tc>
        <w:tc>
          <w:tcPr>
            <w:tcW w:w="350" w:type="pct"/>
            <w:vMerge w:val="continue"/>
            <w:shd w:val="clear" w:color="auto" w:fill="auto"/>
            <w:noWrap/>
            <w:vAlign w:val="center"/>
          </w:tcPr>
          <w:p w14:paraId="33B56A48">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51BB271E">
            <w:pPr>
              <w:widowControl/>
              <w:spacing w:line="240" w:lineRule="auto"/>
              <w:ind w:firstLine="0" w:firstLineChars="0"/>
              <w:jc w:val="center"/>
              <w:rPr>
                <w:color w:val="auto"/>
                <w:kern w:val="0"/>
                <w:sz w:val="21"/>
                <w:szCs w:val="21"/>
              </w:rPr>
            </w:pPr>
          </w:p>
        </w:tc>
        <w:tc>
          <w:tcPr>
            <w:tcW w:w="450" w:type="pct"/>
            <w:vMerge w:val="continue"/>
            <w:shd w:val="clear" w:color="auto" w:fill="auto"/>
            <w:noWrap/>
            <w:vAlign w:val="center"/>
          </w:tcPr>
          <w:p w14:paraId="13D8975F">
            <w:pPr>
              <w:widowControl/>
              <w:spacing w:line="240" w:lineRule="auto"/>
              <w:ind w:firstLine="0" w:firstLineChars="0"/>
              <w:jc w:val="center"/>
              <w:rPr>
                <w:color w:val="auto"/>
                <w:sz w:val="21"/>
                <w:szCs w:val="21"/>
              </w:rPr>
            </w:pPr>
          </w:p>
        </w:tc>
        <w:tc>
          <w:tcPr>
            <w:tcW w:w="399" w:type="pct"/>
            <w:vMerge w:val="continue"/>
            <w:vAlign w:val="center"/>
          </w:tcPr>
          <w:p w14:paraId="7733D972">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B29E4A0">
            <w:pPr>
              <w:widowControl/>
              <w:spacing w:line="240" w:lineRule="auto"/>
              <w:ind w:firstLine="0" w:firstLineChars="0"/>
              <w:jc w:val="center"/>
              <w:rPr>
                <w:color w:val="auto"/>
                <w:kern w:val="0"/>
                <w:sz w:val="21"/>
                <w:szCs w:val="21"/>
              </w:rPr>
            </w:pPr>
          </w:p>
        </w:tc>
        <w:tc>
          <w:tcPr>
            <w:tcW w:w="499" w:type="pct"/>
            <w:shd w:val="clear" w:color="auto" w:fill="auto"/>
            <w:noWrap/>
            <w:vAlign w:val="center"/>
          </w:tcPr>
          <w:p w14:paraId="31348B7E">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401" w:type="pct"/>
            <w:shd w:val="clear" w:color="auto" w:fill="auto"/>
            <w:noWrap/>
            <w:vAlign w:val="center"/>
          </w:tcPr>
          <w:p w14:paraId="47D8318C">
            <w:pPr>
              <w:tabs>
                <w:tab w:val="left" w:pos="2227"/>
              </w:tabs>
              <w:spacing w:line="240" w:lineRule="auto"/>
              <w:ind w:firstLine="0" w:firstLineChars="0"/>
              <w:jc w:val="center"/>
              <w:rPr>
                <w:color w:val="auto"/>
                <w:kern w:val="0"/>
                <w:sz w:val="21"/>
                <w:szCs w:val="21"/>
              </w:rPr>
            </w:pPr>
            <w:r>
              <w:rPr>
                <w:rFonts w:hint="eastAsia"/>
                <w:color w:val="auto"/>
                <w:sz w:val="21"/>
                <w:szCs w:val="21"/>
              </w:rPr>
              <w:t>0.628</w:t>
            </w:r>
          </w:p>
        </w:tc>
      </w:tr>
      <w:tr w14:paraId="1D43A341">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restart"/>
            <w:vAlign w:val="center"/>
          </w:tcPr>
          <w:p w14:paraId="0EBB6E60">
            <w:pPr>
              <w:widowControl/>
              <w:spacing w:line="240" w:lineRule="auto"/>
              <w:ind w:firstLine="0" w:firstLineChars="0"/>
              <w:jc w:val="center"/>
              <w:rPr>
                <w:color w:val="auto"/>
                <w:kern w:val="0"/>
                <w:sz w:val="21"/>
                <w:szCs w:val="21"/>
              </w:rPr>
            </w:pPr>
            <w:r>
              <w:rPr>
                <w:rFonts w:hint="eastAsia"/>
                <w:color w:val="auto"/>
                <w:kern w:val="0"/>
                <w:sz w:val="21"/>
                <w:szCs w:val="21"/>
              </w:rPr>
              <w:t>2</w:t>
            </w:r>
          </w:p>
        </w:tc>
        <w:tc>
          <w:tcPr>
            <w:tcW w:w="451" w:type="pct"/>
            <w:vMerge w:val="restart"/>
            <w:shd w:val="clear" w:color="auto" w:fill="auto"/>
            <w:noWrap/>
            <w:vAlign w:val="center"/>
          </w:tcPr>
          <w:p w14:paraId="47862022">
            <w:pPr>
              <w:widowControl/>
              <w:spacing w:line="240" w:lineRule="auto"/>
              <w:ind w:firstLine="0" w:firstLineChars="0"/>
              <w:jc w:val="center"/>
              <w:rPr>
                <w:color w:val="auto"/>
                <w:kern w:val="0"/>
                <w:sz w:val="21"/>
                <w:szCs w:val="21"/>
              </w:rPr>
            </w:pPr>
            <w:r>
              <w:rPr>
                <w:rFonts w:hint="eastAsia"/>
                <w:color w:val="auto"/>
                <w:kern w:val="0"/>
                <w:sz w:val="21"/>
                <w:szCs w:val="21"/>
              </w:rPr>
              <w:t xml:space="preserve">DA002 </w:t>
            </w:r>
          </w:p>
        </w:tc>
        <w:tc>
          <w:tcPr>
            <w:tcW w:w="399" w:type="pct"/>
            <w:vMerge w:val="restart"/>
            <w:shd w:val="clear" w:color="auto" w:fill="auto"/>
            <w:noWrap/>
            <w:vAlign w:val="center"/>
          </w:tcPr>
          <w:p w14:paraId="7F8B8839">
            <w:pPr>
              <w:widowControl/>
              <w:spacing w:line="240" w:lineRule="auto"/>
              <w:ind w:firstLine="0" w:firstLineChars="0"/>
              <w:jc w:val="center"/>
              <w:rPr>
                <w:color w:val="auto"/>
                <w:kern w:val="0"/>
                <w:sz w:val="21"/>
                <w:szCs w:val="21"/>
              </w:rPr>
            </w:pPr>
            <w:r>
              <w:rPr>
                <w:rFonts w:hint="eastAsia"/>
                <w:color w:val="auto"/>
                <w:kern w:val="0"/>
                <w:sz w:val="21"/>
                <w:szCs w:val="21"/>
              </w:rPr>
              <w:t>703811</w:t>
            </w:r>
          </w:p>
        </w:tc>
        <w:tc>
          <w:tcPr>
            <w:tcW w:w="400" w:type="pct"/>
            <w:vMerge w:val="restart"/>
            <w:shd w:val="clear" w:color="auto" w:fill="auto"/>
            <w:noWrap/>
            <w:vAlign w:val="center"/>
          </w:tcPr>
          <w:p w14:paraId="26F5E4AD">
            <w:pPr>
              <w:widowControl/>
              <w:spacing w:line="240" w:lineRule="auto"/>
              <w:ind w:firstLine="0" w:firstLineChars="0"/>
              <w:jc w:val="center"/>
              <w:rPr>
                <w:color w:val="auto"/>
                <w:kern w:val="0"/>
                <w:sz w:val="21"/>
                <w:szCs w:val="21"/>
              </w:rPr>
            </w:pPr>
            <w:r>
              <w:rPr>
                <w:rFonts w:hint="eastAsia"/>
                <w:color w:val="auto"/>
                <w:kern w:val="0"/>
                <w:sz w:val="21"/>
                <w:szCs w:val="21"/>
              </w:rPr>
              <w:t>3846301</w:t>
            </w:r>
          </w:p>
        </w:tc>
        <w:tc>
          <w:tcPr>
            <w:tcW w:w="399" w:type="pct"/>
            <w:vMerge w:val="restart"/>
            <w:shd w:val="clear" w:color="auto" w:fill="auto"/>
            <w:noWrap/>
            <w:vAlign w:val="center"/>
          </w:tcPr>
          <w:p w14:paraId="42527EF7">
            <w:pPr>
              <w:widowControl/>
              <w:spacing w:line="240" w:lineRule="auto"/>
              <w:ind w:firstLine="0" w:firstLineChars="0"/>
              <w:jc w:val="center"/>
              <w:rPr>
                <w:color w:val="auto"/>
                <w:sz w:val="21"/>
                <w:szCs w:val="21"/>
              </w:rPr>
            </w:pPr>
            <w:r>
              <w:rPr>
                <w:rFonts w:hint="eastAsia"/>
                <w:color w:val="auto"/>
                <w:sz w:val="21"/>
                <w:szCs w:val="21"/>
              </w:rPr>
              <w:t>2.40</w:t>
            </w:r>
          </w:p>
        </w:tc>
        <w:tc>
          <w:tcPr>
            <w:tcW w:w="300" w:type="pct"/>
            <w:vMerge w:val="restart"/>
            <w:shd w:val="clear" w:color="auto" w:fill="auto"/>
            <w:noWrap/>
            <w:vAlign w:val="center"/>
          </w:tcPr>
          <w:p w14:paraId="71DD9375">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350" w:type="pct"/>
            <w:vMerge w:val="restart"/>
            <w:shd w:val="clear" w:color="auto" w:fill="auto"/>
            <w:noWrap/>
            <w:vAlign w:val="center"/>
          </w:tcPr>
          <w:p w14:paraId="5C6EE584">
            <w:pPr>
              <w:widowControl/>
              <w:spacing w:line="240" w:lineRule="auto"/>
              <w:ind w:firstLine="0" w:firstLineChars="0"/>
              <w:jc w:val="center"/>
              <w:rPr>
                <w:color w:val="auto"/>
                <w:kern w:val="0"/>
                <w:sz w:val="21"/>
                <w:szCs w:val="21"/>
              </w:rPr>
            </w:pPr>
            <w:r>
              <w:rPr>
                <w:rFonts w:hint="eastAsia"/>
                <w:color w:val="auto"/>
                <w:kern w:val="0"/>
                <w:sz w:val="21"/>
                <w:szCs w:val="21"/>
              </w:rPr>
              <w:t>0.36</w:t>
            </w:r>
          </w:p>
        </w:tc>
        <w:tc>
          <w:tcPr>
            <w:tcW w:w="399" w:type="pct"/>
            <w:vMerge w:val="restart"/>
            <w:shd w:val="clear" w:color="auto" w:fill="auto"/>
            <w:noWrap/>
            <w:vAlign w:val="center"/>
          </w:tcPr>
          <w:p w14:paraId="2567D617">
            <w:pPr>
              <w:widowControl/>
              <w:spacing w:line="240" w:lineRule="auto"/>
              <w:ind w:firstLine="0" w:firstLineChars="0"/>
              <w:jc w:val="center"/>
              <w:rPr>
                <w:color w:val="auto"/>
                <w:kern w:val="0"/>
                <w:sz w:val="21"/>
                <w:szCs w:val="21"/>
              </w:rPr>
            </w:pPr>
            <w:r>
              <w:rPr>
                <w:rFonts w:hint="eastAsia"/>
                <w:color w:val="auto"/>
                <w:kern w:val="0"/>
                <w:sz w:val="21"/>
                <w:szCs w:val="21"/>
              </w:rPr>
              <w:t>13.75</w:t>
            </w:r>
          </w:p>
        </w:tc>
        <w:tc>
          <w:tcPr>
            <w:tcW w:w="450" w:type="pct"/>
            <w:vMerge w:val="restart"/>
            <w:shd w:val="clear" w:color="auto" w:fill="auto"/>
            <w:noWrap/>
            <w:vAlign w:val="center"/>
          </w:tcPr>
          <w:p w14:paraId="1B8D01BB">
            <w:pPr>
              <w:widowControl/>
              <w:spacing w:line="240" w:lineRule="auto"/>
              <w:ind w:firstLine="0" w:firstLineChars="0"/>
              <w:jc w:val="center"/>
              <w:rPr>
                <w:color w:val="auto"/>
                <w:sz w:val="21"/>
                <w:szCs w:val="21"/>
              </w:rPr>
            </w:pPr>
            <w:r>
              <w:rPr>
                <w:rFonts w:hint="eastAsia"/>
                <w:color w:val="auto"/>
                <w:sz w:val="21"/>
                <w:szCs w:val="21"/>
              </w:rPr>
              <w:t>50</w:t>
            </w:r>
          </w:p>
        </w:tc>
        <w:tc>
          <w:tcPr>
            <w:tcW w:w="399" w:type="pct"/>
            <w:vMerge w:val="restart"/>
            <w:vAlign w:val="center"/>
          </w:tcPr>
          <w:p w14:paraId="0B882074">
            <w:pPr>
              <w:widowControl/>
              <w:spacing w:line="240" w:lineRule="auto"/>
              <w:ind w:firstLine="0" w:firstLineChars="0"/>
              <w:jc w:val="center"/>
              <w:rPr>
                <w:color w:val="auto"/>
                <w:kern w:val="0"/>
                <w:sz w:val="21"/>
                <w:szCs w:val="21"/>
              </w:rPr>
            </w:pPr>
            <w:r>
              <w:rPr>
                <w:rFonts w:hint="eastAsia"/>
                <w:color w:val="auto"/>
                <w:kern w:val="0"/>
                <w:sz w:val="21"/>
                <w:szCs w:val="21"/>
              </w:rPr>
              <w:t>7920</w:t>
            </w:r>
          </w:p>
        </w:tc>
        <w:tc>
          <w:tcPr>
            <w:tcW w:w="399" w:type="pct"/>
            <w:vMerge w:val="restart"/>
            <w:shd w:val="clear" w:color="auto" w:fill="auto"/>
            <w:noWrap/>
            <w:vAlign w:val="center"/>
          </w:tcPr>
          <w:p w14:paraId="0051BA7E">
            <w:pPr>
              <w:widowControl/>
              <w:spacing w:line="240" w:lineRule="auto"/>
              <w:ind w:firstLine="0" w:firstLineChars="0"/>
              <w:jc w:val="center"/>
              <w:rPr>
                <w:color w:val="auto"/>
                <w:kern w:val="0"/>
                <w:sz w:val="21"/>
                <w:szCs w:val="21"/>
              </w:rPr>
            </w:pPr>
            <w:r>
              <w:rPr>
                <w:color w:val="auto"/>
                <w:kern w:val="0"/>
                <w:sz w:val="21"/>
                <w:szCs w:val="21"/>
              </w:rPr>
              <w:t>正常</w:t>
            </w:r>
          </w:p>
        </w:tc>
        <w:tc>
          <w:tcPr>
            <w:tcW w:w="499" w:type="pct"/>
            <w:shd w:val="clear" w:color="auto" w:fill="auto"/>
            <w:noWrap/>
            <w:vAlign w:val="center"/>
          </w:tcPr>
          <w:p w14:paraId="5A6C17AA">
            <w:pPr>
              <w:widowControl/>
              <w:spacing w:line="240" w:lineRule="auto"/>
              <w:ind w:firstLine="0" w:firstLineChars="0"/>
              <w:jc w:val="center"/>
              <w:rPr>
                <w:color w:val="auto"/>
                <w:kern w:val="0"/>
                <w:sz w:val="21"/>
                <w:szCs w:val="21"/>
              </w:rPr>
            </w:pPr>
            <w:r>
              <w:rPr>
                <w:color w:val="auto"/>
                <w:kern w:val="0"/>
                <w:sz w:val="21"/>
                <w:szCs w:val="21"/>
              </w:rPr>
              <w:t>颗粒物</w:t>
            </w:r>
          </w:p>
        </w:tc>
        <w:tc>
          <w:tcPr>
            <w:tcW w:w="401" w:type="pct"/>
            <w:shd w:val="clear" w:color="auto" w:fill="auto"/>
            <w:noWrap/>
            <w:vAlign w:val="center"/>
          </w:tcPr>
          <w:p w14:paraId="7FD4AED2">
            <w:pPr>
              <w:tabs>
                <w:tab w:val="left" w:pos="2227"/>
              </w:tabs>
              <w:spacing w:line="240" w:lineRule="auto"/>
              <w:ind w:firstLine="0" w:firstLineChars="0"/>
              <w:jc w:val="center"/>
              <w:rPr>
                <w:color w:val="auto"/>
                <w:sz w:val="21"/>
                <w:szCs w:val="21"/>
              </w:rPr>
            </w:pPr>
            <w:r>
              <w:rPr>
                <w:rFonts w:hint="eastAsia"/>
                <w:color w:val="auto"/>
                <w:sz w:val="21"/>
                <w:szCs w:val="21"/>
              </w:rPr>
              <w:t>0.065</w:t>
            </w:r>
          </w:p>
        </w:tc>
      </w:tr>
      <w:tr w14:paraId="7F6BB30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continue"/>
            <w:vAlign w:val="center"/>
          </w:tcPr>
          <w:p w14:paraId="46DABCEB">
            <w:pPr>
              <w:widowControl/>
              <w:spacing w:line="240" w:lineRule="auto"/>
              <w:ind w:firstLine="0" w:firstLineChars="0"/>
              <w:jc w:val="center"/>
              <w:rPr>
                <w:color w:val="auto"/>
                <w:kern w:val="0"/>
                <w:sz w:val="21"/>
                <w:szCs w:val="21"/>
              </w:rPr>
            </w:pPr>
          </w:p>
        </w:tc>
        <w:tc>
          <w:tcPr>
            <w:tcW w:w="451" w:type="pct"/>
            <w:vMerge w:val="continue"/>
            <w:shd w:val="clear" w:color="auto" w:fill="auto"/>
            <w:noWrap/>
            <w:vAlign w:val="center"/>
          </w:tcPr>
          <w:p w14:paraId="508E6813">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023B7F8A">
            <w:pPr>
              <w:widowControl/>
              <w:spacing w:line="240" w:lineRule="auto"/>
              <w:ind w:firstLine="0" w:firstLineChars="0"/>
              <w:jc w:val="center"/>
              <w:rPr>
                <w:color w:val="auto"/>
                <w:kern w:val="0"/>
                <w:sz w:val="21"/>
                <w:szCs w:val="21"/>
              </w:rPr>
            </w:pPr>
          </w:p>
        </w:tc>
        <w:tc>
          <w:tcPr>
            <w:tcW w:w="400" w:type="pct"/>
            <w:vMerge w:val="continue"/>
            <w:shd w:val="clear" w:color="auto" w:fill="auto"/>
            <w:noWrap/>
            <w:vAlign w:val="center"/>
          </w:tcPr>
          <w:p w14:paraId="3F98946B">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5B82AB0F">
            <w:pPr>
              <w:widowControl/>
              <w:spacing w:line="240" w:lineRule="auto"/>
              <w:ind w:firstLine="0" w:firstLineChars="0"/>
              <w:jc w:val="center"/>
              <w:rPr>
                <w:color w:val="auto"/>
                <w:sz w:val="21"/>
                <w:szCs w:val="21"/>
              </w:rPr>
            </w:pPr>
          </w:p>
        </w:tc>
        <w:tc>
          <w:tcPr>
            <w:tcW w:w="300" w:type="pct"/>
            <w:vMerge w:val="continue"/>
            <w:shd w:val="clear" w:color="auto" w:fill="auto"/>
            <w:noWrap/>
            <w:vAlign w:val="center"/>
          </w:tcPr>
          <w:p w14:paraId="3EE9354B">
            <w:pPr>
              <w:widowControl/>
              <w:spacing w:line="240" w:lineRule="auto"/>
              <w:ind w:firstLine="0" w:firstLineChars="0"/>
              <w:jc w:val="center"/>
              <w:rPr>
                <w:color w:val="auto"/>
                <w:kern w:val="0"/>
                <w:sz w:val="21"/>
                <w:szCs w:val="21"/>
              </w:rPr>
            </w:pPr>
          </w:p>
        </w:tc>
        <w:tc>
          <w:tcPr>
            <w:tcW w:w="350" w:type="pct"/>
            <w:vMerge w:val="continue"/>
            <w:shd w:val="clear" w:color="auto" w:fill="auto"/>
            <w:noWrap/>
            <w:vAlign w:val="center"/>
          </w:tcPr>
          <w:p w14:paraId="13AE45BB">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FB5D55A">
            <w:pPr>
              <w:widowControl/>
              <w:spacing w:line="240" w:lineRule="auto"/>
              <w:ind w:firstLine="0" w:firstLineChars="0"/>
              <w:jc w:val="center"/>
              <w:rPr>
                <w:color w:val="auto"/>
                <w:kern w:val="0"/>
                <w:sz w:val="21"/>
                <w:szCs w:val="21"/>
              </w:rPr>
            </w:pPr>
          </w:p>
        </w:tc>
        <w:tc>
          <w:tcPr>
            <w:tcW w:w="450" w:type="pct"/>
            <w:vMerge w:val="continue"/>
            <w:shd w:val="clear" w:color="auto" w:fill="auto"/>
            <w:noWrap/>
            <w:vAlign w:val="center"/>
          </w:tcPr>
          <w:p w14:paraId="1DC69CF0">
            <w:pPr>
              <w:widowControl/>
              <w:spacing w:line="240" w:lineRule="auto"/>
              <w:ind w:firstLine="0" w:firstLineChars="0"/>
              <w:jc w:val="center"/>
              <w:rPr>
                <w:color w:val="auto"/>
                <w:sz w:val="21"/>
                <w:szCs w:val="21"/>
              </w:rPr>
            </w:pPr>
          </w:p>
        </w:tc>
        <w:tc>
          <w:tcPr>
            <w:tcW w:w="399" w:type="pct"/>
            <w:vMerge w:val="continue"/>
            <w:vAlign w:val="center"/>
          </w:tcPr>
          <w:p w14:paraId="677F625A">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CECF542">
            <w:pPr>
              <w:widowControl/>
              <w:spacing w:line="240" w:lineRule="auto"/>
              <w:ind w:firstLine="0" w:firstLineChars="0"/>
              <w:jc w:val="center"/>
              <w:rPr>
                <w:color w:val="auto"/>
                <w:kern w:val="0"/>
                <w:sz w:val="21"/>
                <w:szCs w:val="21"/>
              </w:rPr>
            </w:pPr>
          </w:p>
        </w:tc>
        <w:tc>
          <w:tcPr>
            <w:tcW w:w="499" w:type="pct"/>
            <w:shd w:val="clear" w:color="auto" w:fill="auto"/>
            <w:noWrap/>
            <w:vAlign w:val="center"/>
          </w:tcPr>
          <w:p w14:paraId="4989A14B">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401" w:type="pct"/>
            <w:shd w:val="clear" w:color="auto" w:fill="auto"/>
            <w:noWrap/>
            <w:vAlign w:val="center"/>
          </w:tcPr>
          <w:p w14:paraId="3FFD9C8D">
            <w:pPr>
              <w:tabs>
                <w:tab w:val="left" w:pos="2227"/>
              </w:tabs>
              <w:spacing w:line="240" w:lineRule="auto"/>
              <w:ind w:firstLine="0" w:firstLineChars="0"/>
              <w:jc w:val="center"/>
              <w:rPr>
                <w:color w:val="auto"/>
                <w:sz w:val="21"/>
                <w:szCs w:val="21"/>
              </w:rPr>
            </w:pPr>
            <w:r>
              <w:rPr>
                <w:rFonts w:hint="eastAsia"/>
                <w:color w:val="auto"/>
                <w:sz w:val="21"/>
                <w:szCs w:val="21"/>
              </w:rPr>
              <w:t>0.046</w:t>
            </w:r>
          </w:p>
        </w:tc>
      </w:tr>
      <w:tr w14:paraId="0884144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continue"/>
            <w:vAlign w:val="center"/>
          </w:tcPr>
          <w:p w14:paraId="61C0CDCA">
            <w:pPr>
              <w:widowControl/>
              <w:spacing w:line="240" w:lineRule="auto"/>
              <w:ind w:firstLine="0" w:firstLineChars="0"/>
              <w:jc w:val="center"/>
              <w:rPr>
                <w:color w:val="auto"/>
                <w:kern w:val="0"/>
                <w:sz w:val="21"/>
                <w:szCs w:val="21"/>
              </w:rPr>
            </w:pPr>
          </w:p>
        </w:tc>
        <w:tc>
          <w:tcPr>
            <w:tcW w:w="451" w:type="pct"/>
            <w:vMerge w:val="continue"/>
            <w:shd w:val="clear" w:color="auto" w:fill="auto"/>
            <w:noWrap/>
            <w:vAlign w:val="center"/>
          </w:tcPr>
          <w:p w14:paraId="3CA3B718">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6FB3DF18">
            <w:pPr>
              <w:widowControl/>
              <w:spacing w:line="240" w:lineRule="auto"/>
              <w:ind w:firstLine="0" w:firstLineChars="0"/>
              <w:jc w:val="center"/>
              <w:rPr>
                <w:color w:val="auto"/>
                <w:kern w:val="0"/>
                <w:sz w:val="21"/>
                <w:szCs w:val="21"/>
              </w:rPr>
            </w:pPr>
          </w:p>
        </w:tc>
        <w:tc>
          <w:tcPr>
            <w:tcW w:w="400" w:type="pct"/>
            <w:vMerge w:val="continue"/>
            <w:shd w:val="clear" w:color="auto" w:fill="auto"/>
            <w:noWrap/>
            <w:vAlign w:val="center"/>
          </w:tcPr>
          <w:p w14:paraId="62829194">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4617D054">
            <w:pPr>
              <w:widowControl/>
              <w:spacing w:line="240" w:lineRule="auto"/>
              <w:ind w:firstLine="0" w:firstLineChars="0"/>
              <w:jc w:val="center"/>
              <w:rPr>
                <w:color w:val="auto"/>
                <w:sz w:val="21"/>
                <w:szCs w:val="21"/>
              </w:rPr>
            </w:pPr>
          </w:p>
        </w:tc>
        <w:tc>
          <w:tcPr>
            <w:tcW w:w="300" w:type="pct"/>
            <w:vMerge w:val="continue"/>
            <w:shd w:val="clear" w:color="auto" w:fill="auto"/>
            <w:noWrap/>
            <w:vAlign w:val="center"/>
          </w:tcPr>
          <w:p w14:paraId="1AA00022">
            <w:pPr>
              <w:widowControl/>
              <w:spacing w:line="240" w:lineRule="auto"/>
              <w:ind w:firstLine="0" w:firstLineChars="0"/>
              <w:jc w:val="center"/>
              <w:rPr>
                <w:color w:val="auto"/>
                <w:kern w:val="0"/>
                <w:sz w:val="21"/>
                <w:szCs w:val="21"/>
              </w:rPr>
            </w:pPr>
          </w:p>
        </w:tc>
        <w:tc>
          <w:tcPr>
            <w:tcW w:w="350" w:type="pct"/>
            <w:vMerge w:val="continue"/>
            <w:shd w:val="clear" w:color="auto" w:fill="auto"/>
            <w:noWrap/>
            <w:vAlign w:val="center"/>
          </w:tcPr>
          <w:p w14:paraId="0731D51F">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DC9C5A7">
            <w:pPr>
              <w:widowControl/>
              <w:spacing w:line="240" w:lineRule="auto"/>
              <w:ind w:firstLine="0" w:firstLineChars="0"/>
              <w:jc w:val="center"/>
              <w:rPr>
                <w:color w:val="auto"/>
                <w:kern w:val="0"/>
                <w:sz w:val="21"/>
                <w:szCs w:val="21"/>
              </w:rPr>
            </w:pPr>
          </w:p>
        </w:tc>
        <w:tc>
          <w:tcPr>
            <w:tcW w:w="450" w:type="pct"/>
            <w:vMerge w:val="continue"/>
            <w:shd w:val="clear" w:color="auto" w:fill="auto"/>
            <w:noWrap/>
            <w:vAlign w:val="center"/>
          </w:tcPr>
          <w:p w14:paraId="60B064C4">
            <w:pPr>
              <w:widowControl/>
              <w:spacing w:line="240" w:lineRule="auto"/>
              <w:ind w:firstLine="0" w:firstLineChars="0"/>
              <w:jc w:val="center"/>
              <w:rPr>
                <w:color w:val="auto"/>
                <w:sz w:val="21"/>
                <w:szCs w:val="21"/>
              </w:rPr>
            </w:pPr>
          </w:p>
        </w:tc>
        <w:tc>
          <w:tcPr>
            <w:tcW w:w="399" w:type="pct"/>
            <w:vMerge w:val="continue"/>
            <w:vAlign w:val="center"/>
          </w:tcPr>
          <w:p w14:paraId="6A16AFE2">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03665489">
            <w:pPr>
              <w:widowControl/>
              <w:spacing w:line="240" w:lineRule="auto"/>
              <w:ind w:firstLine="0" w:firstLineChars="0"/>
              <w:jc w:val="center"/>
              <w:rPr>
                <w:color w:val="auto"/>
                <w:kern w:val="0"/>
                <w:sz w:val="21"/>
                <w:szCs w:val="21"/>
              </w:rPr>
            </w:pPr>
          </w:p>
        </w:tc>
        <w:tc>
          <w:tcPr>
            <w:tcW w:w="499" w:type="pct"/>
            <w:shd w:val="clear" w:color="auto" w:fill="auto"/>
            <w:noWrap/>
            <w:vAlign w:val="center"/>
          </w:tcPr>
          <w:p w14:paraId="07C5C0AC">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401" w:type="pct"/>
            <w:shd w:val="clear" w:color="auto" w:fill="auto"/>
            <w:noWrap/>
            <w:vAlign w:val="center"/>
          </w:tcPr>
          <w:p w14:paraId="487D431A">
            <w:pPr>
              <w:tabs>
                <w:tab w:val="left" w:pos="2227"/>
              </w:tabs>
              <w:spacing w:line="240" w:lineRule="auto"/>
              <w:ind w:firstLine="0" w:firstLineChars="0"/>
              <w:jc w:val="center"/>
              <w:rPr>
                <w:color w:val="auto"/>
                <w:sz w:val="21"/>
                <w:szCs w:val="21"/>
              </w:rPr>
            </w:pPr>
            <w:r>
              <w:rPr>
                <w:rFonts w:hint="eastAsia"/>
                <w:color w:val="auto"/>
                <w:sz w:val="21"/>
                <w:szCs w:val="21"/>
              </w:rPr>
              <w:t>0.427</w:t>
            </w:r>
          </w:p>
        </w:tc>
      </w:tr>
      <w:tr w14:paraId="5DDF43A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restart"/>
            <w:vAlign w:val="center"/>
          </w:tcPr>
          <w:p w14:paraId="4E0A23AF">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451" w:type="pct"/>
            <w:vMerge w:val="restart"/>
            <w:shd w:val="clear" w:color="auto" w:fill="auto"/>
            <w:noWrap/>
            <w:vAlign w:val="center"/>
          </w:tcPr>
          <w:p w14:paraId="7607C624">
            <w:pPr>
              <w:widowControl/>
              <w:spacing w:line="240" w:lineRule="auto"/>
              <w:ind w:firstLine="0" w:firstLineChars="0"/>
              <w:jc w:val="center"/>
              <w:rPr>
                <w:color w:val="auto"/>
                <w:kern w:val="0"/>
                <w:sz w:val="21"/>
                <w:szCs w:val="21"/>
              </w:rPr>
            </w:pPr>
            <w:r>
              <w:rPr>
                <w:color w:val="auto"/>
                <w:kern w:val="0"/>
                <w:sz w:val="21"/>
                <w:szCs w:val="21"/>
              </w:rPr>
              <w:t>DA00</w:t>
            </w:r>
            <w:r>
              <w:rPr>
                <w:rFonts w:hint="eastAsia"/>
                <w:color w:val="auto"/>
                <w:kern w:val="0"/>
                <w:sz w:val="21"/>
                <w:szCs w:val="21"/>
              </w:rPr>
              <w:t>3</w:t>
            </w:r>
          </w:p>
        </w:tc>
        <w:tc>
          <w:tcPr>
            <w:tcW w:w="399" w:type="pct"/>
            <w:vMerge w:val="restart"/>
            <w:shd w:val="clear" w:color="auto" w:fill="auto"/>
            <w:noWrap/>
            <w:vAlign w:val="center"/>
          </w:tcPr>
          <w:p w14:paraId="23493D8E">
            <w:pPr>
              <w:widowControl/>
              <w:spacing w:line="240" w:lineRule="auto"/>
              <w:ind w:firstLine="0" w:firstLineChars="0"/>
              <w:jc w:val="center"/>
              <w:rPr>
                <w:color w:val="auto"/>
                <w:kern w:val="0"/>
                <w:sz w:val="21"/>
                <w:szCs w:val="21"/>
              </w:rPr>
            </w:pPr>
            <w:r>
              <w:rPr>
                <w:rFonts w:hint="eastAsia"/>
                <w:color w:val="auto"/>
                <w:kern w:val="0"/>
                <w:sz w:val="21"/>
                <w:szCs w:val="21"/>
              </w:rPr>
              <w:t>703589</w:t>
            </w:r>
          </w:p>
        </w:tc>
        <w:tc>
          <w:tcPr>
            <w:tcW w:w="400" w:type="pct"/>
            <w:vMerge w:val="restart"/>
            <w:shd w:val="clear" w:color="auto" w:fill="auto"/>
            <w:noWrap/>
            <w:vAlign w:val="center"/>
          </w:tcPr>
          <w:p w14:paraId="4BCB2868">
            <w:pPr>
              <w:widowControl/>
              <w:spacing w:line="240" w:lineRule="auto"/>
              <w:ind w:firstLine="0" w:firstLineChars="0"/>
              <w:jc w:val="center"/>
              <w:rPr>
                <w:color w:val="auto"/>
                <w:kern w:val="0"/>
                <w:sz w:val="21"/>
                <w:szCs w:val="21"/>
              </w:rPr>
            </w:pPr>
            <w:r>
              <w:rPr>
                <w:rFonts w:hint="eastAsia"/>
                <w:color w:val="auto"/>
                <w:kern w:val="0"/>
                <w:sz w:val="21"/>
                <w:szCs w:val="21"/>
              </w:rPr>
              <w:t>3846210</w:t>
            </w:r>
          </w:p>
        </w:tc>
        <w:tc>
          <w:tcPr>
            <w:tcW w:w="399" w:type="pct"/>
            <w:vMerge w:val="restart"/>
            <w:shd w:val="clear" w:color="auto" w:fill="auto"/>
            <w:noWrap/>
            <w:vAlign w:val="center"/>
          </w:tcPr>
          <w:p w14:paraId="4BDA03FC">
            <w:pPr>
              <w:widowControl/>
              <w:spacing w:line="240" w:lineRule="auto"/>
              <w:ind w:firstLine="0" w:firstLineChars="0"/>
              <w:jc w:val="center"/>
              <w:rPr>
                <w:color w:val="auto"/>
                <w:sz w:val="21"/>
                <w:szCs w:val="21"/>
              </w:rPr>
            </w:pPr>
            <w:r>
              <w:rPr>
                <w:rFonts w:hint="eastAsia"/>
                <w:color w:val="auto"/>
                <w:sz w:val="21"/>
                <w:szCs w:val="21"/>
              </w:rPr>
              <w:t>2.40</w:t>
            </w:r>
          </w:p>
        </w:tc>
        <w:tc>
          <w:tcPr>
            <w:tcW w:w="300" w:type="pct"/>
            <w:vMerge w:val="restart"/>
            <w:shd w:val="clear" w:color="auto" w:fill="auto"/>
            <w:noWrap/>
            <w:vAlign w:val="center"/>
          </w:tcPr>
          <w:p w14:paraId="05D7AB19">
            <w:pPr>
              <w:widowControl/>
              <w:spacing w:line="240" w:lineRule="auto"/>
              <w:ind w:firstLine="0" w:firstLineChars="0"/>
              <w:jc w:val="center"/>
              <w:rPr>
                <w:color w:val="auto"/>
                <w:kern w:val="0"/>
                <w:sz w:val="21"/>
                <w:szCs w:val="21"/>
              </w:rPr>
            </w:pPr>
            <w:r>
              <w:rPr>
                <w:rFonts w:hint="eastAsia"/>
                <w:color w:val="auto"/>
                <w:kern w:val="0"/>
                <w:sz w:val="21"/>
                <w:szCs w:val="21"/>
              </w:rPr>
              <w:t>151</w:t>
            </w:r>
          </w:p>
        </w:tc>
        <w:tc>
          <w:tcPr>
            <w:tcW w:w="350" w:type="pct"/>
            <w:vMerge w:val="restart"/>
            <w:shd w:val="clear" w:color="auto" w:fill="auto"/>
            <w:noWrap/>
            <w:vAlign w:val="center"/>
          </w:tcPr>
          <w:p w14:paraId="3DCB9BAC">
            <w:pPr>
              <w:widowControl/>
              <w:spacing w:line="240" w:lineRule="auto"/>
              <w:ind w:firstLine="0" w:firstLineChars="0"/>
              <w:jc w:val="center"/>
              <w:rPr>
                <w:color w:val="auto"/>
                <w:kern w:val="0"/>
                <w:sz w:val="21"/>
                <w:szCs w:val="21"/>
              </w:rPr>
            </w:pPr>
            <w:r>
              <w:rPr>
                <w:rFonts w:hint="eastAsia"/>
                <w:color w:val="auto"/>
                <w:kern w:val="0"/>
                <w:sz w:val="21"/>
                <w:szCs w:val="21"/>
              </w:rPr>
              <w:t>0.16</w:t>
            </w:r>
          </w:p>
        </w:tc>
        <w:tc>
          <w:tcPr>
            <w:tcW w:w="399" w:type="pct"/>
            <w:vMerge w:val="restart"/>
            <w:shd w:val="clear" w:color="auto" w:fill="auto"/>
            <w:noWrap/>
            <w:vAlign w:val="center"/>
          </w:tcPr>
          <w:p w14:paraId="471FFB29">
            <w:pPr>
              <w:widowControl/>
              <w:spacing w:line="240" w:lineRule="auto"/>
              <w:ind w:firstLine="0" w:firstLineChars="0"/>
              <w:jc w:val="center"/>
              <w:rPr>
                <w:color w:val="auto"/>
                <w:kern w:val="0"/>
                <w:sz w:val="21"/>
                <w:szCs w:val="21"/>
              </w:rPr>
            </w:pPr>
            <w:r>
              <w:rPr>
                <w:rFonts w:hint="eastAsia"/>
                <w:color w:val="auto"/>
                <w:kern w:val="0"/>
                <w:sz w:val="21"/>
                <w:szCs w:val="21"/>
              </w:rPr>
              <w:t>13.42</w:t>
            </w:r>
          </w:p>
        </w:tc>
        <w:tc>
          <w:tcPr>
            <w:tcW w:w="450" w:type="pct"/>
            <w:vMerge w:val="restart"/>
            <w:shd w:val="clear" w:color="auto" w:fill="auto"/>
            <w:noWrap/>
            <w:vAlign w:val="center"/>
          </w:tcPr>
          <w:p w14:paraId="30F34064">
            <w:pPr>
              <w:widowControl/>
              <w:spacing w:line="240" w:lineRule="auto"/>
              <w:ind w:firstLine="0" w:firstLineChars="0"/>
              <w:jc w:val="center"/>
              <w:rPr>
                <w:color w:val="auto"/>
                <w:sz w:val="21"/>
                <w:szCs w:val="21"/>
              </w:rPr>
            </w:pPr>
            <w:r>
              <w:rPr>
                <w:rFonts w:hint="eastAsia"/>
                <w:color w:val="auto"/>
                <w:sz w:val="21"/>
                <w:szCs w:val="21"/>
              </w:rPr>
              <w:t>50</w:t>
            </w:r>
          </w:p>
        </w:tc>
        <w:tc>
          <w:tcPr>
            <w:tcW w:w="399" w:type="pct"/>
            <w:vMerge w:val="restart"/>
            <w:shd w:val="clear" w:color="auto" w:fill="auto"/>
            <w:vAlign w:val="center"/>
          </w:tcPr>
          <w:p w14:paraId="7EFA16C3">
            <w:pPr>
              <w:widowControl/>
              <w:spacing w:line="240" w:lineRule="auto"/>
              <w:ind w:firstLine="0" w:firstLineChars="0"/>
              <w:jc w:val="center"/>
              <w:rPr>
                <w:color w:val="auto"/>
                <w:kern w:val="0"/>
                <w:sz w:val="21"/>
                <w:szCs w:val="21"/>
              </w:rPr>
            </w:pPr>
            <w:r>
              <w:rPr>
                <w:rFonts w:hint="eastAsia"/>
                <w:color w:val="auto"/>
                <w:kern w:val="0"/>
                <w:sz w:val="21"/>
                <w:szCs w:val="21"/>
              </w:rPr>
              <w:t>7920</w:t>
            </w:r>
          </w:p>
        </w:tc>
        <w:tc>
          <w:tcPr>
            <w:tcW w:w="399" w:type="pct"/>
            <w:vMerge w:val="restart"/>
            <w:shd w:val="clear" w:color="auto" w:fill="auto"/>
            <w:noWrap/>
            <w:vAlign w:val="center"/>
          </w:tcPr>
          <w:p w14:paraId="5B484042">
            <w:pPr>
              <w:widowControl/>
              <w:spacing w:line="240" w:lineRule="auto"/>
              <w:ind w:firstLine="0" w:firstLineChars="0"/>
              <w:jc w:val="center"/>
              <w:rPr>
                <w:color w:val="auto"/>
                <w:kern w:val="0"/>
                <w:sz w:val="21"/>
                <w:szCs w:val="21"/>
              </w:rPr>
            </w:pPr>
            <w:r>
              <w:rPr>
                <w:color w:val="auto"/>
                <w:kern w:val="0"/>
                <w:sz w:val="21"/>
                <w:szCs w:val="21"/>
              </w:rPr>
              <w:t>正常</w:t>
            </w:r>
          </w:p>
        </w:tc>
        <w:tc>
          <w:tcPr>
            <w:tcW w:w="499" w:type="pct"/>
            <w:shd w:val="clear" w:color="auto" w:fill="auto"/>
            <w:noWrap/>
            <w:vAlign w:val="center"/>
          </w:tcPr>
          <w:p w14:paraId="7DD602E8">
            <w:pPr>
              <w:widowControl/>
              <w:spacing w:line="240" w:lineRule="auto"/>
              <w:ind w:firstLine="0" w:firstLineChars="0"/>
              <w:jc w:val="center"/>
              <w:rPr>
                <w:color w:val="auto"/>
                <w:kern w:val="0"/>
                <w:sz w:val="21"/>
                <w:szCs w:val="21"/>
              </w:rPr>
            </w:pPr>
            <w:r>
              <w:rPr>
                <w:color w:val="auto"/>
                <w:kern w:val="0"/>
                <w:sz w:val="21"/>
                <w:szCs w:val="21"/>
              </w:rPr>
              <w:t>颗粒物</w:t>
            </w:r>
          </w:p>
        </w:tc>
        <w:tc>
          <w:tcPr>
            <w:tcW w:w="401" w:type="pct"/>
            <w:shd w:val="clear" w:color="auto" w:fill="auto"/>
            <w:noWrap/>
            <w:vAlign w:val="center"/>
          </w:tcPr>
          <w:p w14:paraId="163A83CE">
            <w:pPr>
              <w:tabs>
                <w:tab w:val="left" w:pos="2227"/>
              </w:tabs>
              <w:spacing w:line="240" w:lineRule="auto"/>
              <w:ind w:firstLine="0" w:firstLineChars="0"/>
              <w:jc w:val="center"/>
              <w:rPr>
                <w:color w:val="auto"/>
                <w:sz w:val="21"/>
                <w:szCs w:val="21"/>
              </w:rPr>
            </w:pPr>
            <w:r>
              <w:rPr>
                <w:rFonts w:hint="eastAsia"/>
                <w:color w:val="auto"/>
                <w:sz w:val="21"/>
                <w:szCs w:val="21"/>
              </w:rPr>
              <w:t>0.001</w:t>
            </w:r>
          </w:p>
        </w:tc>
      </w:tr>
      <w:tr w14:paraId="4818BDA0">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continue"/>
            <w:vAlign w:val="center"/>
          </w:tcPr>
          <w:p w14:paraId="59348636">
            <w:pPr>
              <w:widowControl/>
              <w:spacing w:line="240" w:lineRule="auto"/>
              <w:ind w:firstLine="0" w:firstLineChars="0"/>
              <w:jc w:val="center"/>
              <w:rPr>
                <w:color w:val="auto"/>
                <w:kern w:val="0"/>
                <w:sz w:val="21"/>
                <w:szCs w:val="21"/>
              </w:rPr>
            </w:pPr>
          </w:p>
        </w:tc>
        <w:tc>
          <w:tcPr>
            <w:tcW w:w="451" w:type="pct"/>
            <w:vMerge w:val="continue"/>
            <w:shd w:val="clear" w:color="auto" w:fill="auto"/>
            <w:noWrap/>
            <w:vAlign w:val="center"/>
          </w:tcPr>
          <w:p w14:paraId="4F0DA633">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59ADD189">
            <w:pPr>
              <w:widowControl/>
              <w:spacing w:line="240" w:lineRule="auto"/>
              <w:ind w:firstLine="0" w:firstLineChars="0"/>
              <w:jc w:val="center"/>
              <w:rPr>
                <w:color w:val="auto"/>
                <w:kern w:val="0"/>
                <w:sz w:val="21"/>
                <w:szCs w:val="21"/>
              </w:rPr>
            </w:pPr>
          </w:p>
        </w:tc>
        <w:tc>
          <w:tcPr>
            <w:tcW w:w="400" w:type="pct"/>
            <w:vMerge w:val="continue"/>
            <w:shd w:val="clear" w:color="auto" w:fill="auto"/>
            <w:noWrap/>
            <w:vAlign w:val="center"/>
          </w:tcPr>
          <w:p w14:paraId="7C4C5AE5">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1847F323">
            <w:pPr>
              <w:widowControl/>
              <w:spacing w:line="240" w:lineRule="auto"/>
              <w:ind w:firstLine="0" w:firstLineChars="0"/>
              <w:jc w:val="center"/>
              <w:rPr>
                <w:color w:val="auto"/>
                <w:sz w:val="21"/>
                <w:szCs w:val="21"/>
              </w:rPr>
            </w:pPr>
          </w:p>
        </w:tc>
        <w:tc>
          <w:tcPr>
            <w:tcW w:w="300" w:type="pct"/>
            <w:vMerge w:val="continue"/>
            <w:shd w:val="clear" w:color="auto" w:fill="auto"/>
            <w:noWrap/>
            <w:vAlign w:val="center"/>
          </w:tcPr>
          <w:p w14:paraId="1B474794">
            <w:pPr>
              <w:widowControl/>
              <w:spacing w:line="240" w:lineRule="auto"/>
              <w:ind w:firstLine="0" w:firstLineChars="0"/>
              <w:jc w:val="center"/>
              <w:rPr>
                <w:color w:val="auto"/>
                <w:kern w:val="0"/>
                <w:sz w:val="21"/>
                <w:szCs w:val="21"/>
              </w:rPr>
            </w:pPr>
          </w:p>
        </w:tc>
        <w:tc>
          <w:tcPr>
            <w:tcW w:w="350" w:type="pct"/>
            <w:vMerge w:val="continue"/>
            <w:shd w:val="clear" w:color="auto" w:fill="auto"/>
            <w:noWrap/>
            <w:vAlign w:val="center"/>
          </w:tcPr>
          <w:p w14:paraId="1891C5A5">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2B580C5B">
            <w:pPr>
              <w:widowControl/>
              <w:spacing w:line="240" w:lineRule="auto"/>
              <w:ind w:firstLine="0" w:firstLineChars="0"/>
              <w:jc w:val="center"/>
              <w:rPr>
                <w:color w:val="auto"/>
                <w:kern w:val="0"/>
                <w:sz w:val="21"/>
                <w:szCs w:val="21"/>
              </w:rPr>
            </w:pPr>
          </w:p>
        </w:tc>
        <w:tc>
          <w:tcPr>
            <w:tcW w:w="450" w:type="pct"/>
            <w:vMerge w:val="continue"/>
            <w:shd w:val="clear" w:color="auto" w:fill="auto"/>
            <w:noWrap/>
            <w:vAlign w:val="center"/>
          </w:tcPr>
          <w:p w14:paraId="6BDEC87C">
            <w:pPr>
              <w:widowControl/>
              <w:spacing w:line="240" w:lineRule="auto"/>
              <w:ind w:firstLine="0" w:firstLineChars="0"/>
              <w:jc w:val="center"/>
              <w:rPr>
                <w:color w:val="auto"/>
                <w:sz w:val="21"/>
                <w:szCs w:val="21"/>
              </w:rPr>
            </w:pPr>
          </w:p>
        </w:tc>
        <w:tc>
          <w:tcPr>
            <w:tcW w:w="399" w:type="pct"/>
            <w:vMerge w:val="continue"/>
            <w:vAlign w:val="center"/>
          </w:tcPr>
          <w:p w14:paraId="5CBE3D8C">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094C117C">
            <w:pPr>
              <w:widowControl/>
              <w:spacing w:line="240" w:lineRule="auto"/>
              <w:ind w:firstLine="0" w:firstLineChars="0"/>
              <w:jc w:val="center"/>
              <w:rPr>
                <w:color w:val="auto"/>
                <w:kern w:val="0"/>
                <w:sz w:val="21"/>
                <w:szCs w:val="21"/>
              </w:rPr>
            </w:pPr>
          </w:p>
        </w:tc>
        <w:tc>
          <w:tcPr>
            <w:tcW w:w="499" w:type="pct"/>
            <w:shd w:val="clear" w:color="auto" w:fill="auto"/>
            <w:noWrap/>
            <w:vAlign w:val="center"/>
          </w:tcPr>
          <w:p w14:paraId="46476B8F">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401" w:type="pct"/>
            <w:shd w:val="clear" w:color="auto" w:fill="auto"/>
            <w:noWrap/>
            <w:vAlign w:val="center"/>
          </w:tcPr>
          <w:p w14:paraId="3CF6188D">
            <w:pPr>
              <w:tabs>
                <w:tab w:val="left" w:pos="2227"/>
              </w:tabs>
              <w:spacing w:line="240" w:lineRule="auto"/>
              <w:ind w:firstLine="0" w:firstLineChars="0"/>
              <w:jc w:val="center"/>
              <w:rPr>
                <w:color w:val="auto"/>
                <w:sz w:val="21"/>
                <w:szCs w:val="21"/>
              </w:rPr>
            </w:pPr>
            <w:r>
              <w:rPr>
                <w:rFonts w:hint="eastAsia"/>
                <w:color w:val="auto"/>
                <w:sz w:val="21"/>
                <w:szCs w:val="21"/>
              </w:rPr>
              <w:t>0.001</w:t>
            </w:r>
          </w:p>
        </w:tc>
      </w:tr>
      <w:tr w14:paraId="08FBF246">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50" w:type="pct"/>
            <w:vMerge w:val="continue"/>
            <w:vAlign w:val="center"/>
          </w:tcPr>
          <w:p w14:paraId="782F8C3F">
            <w:pPr>
              <w:widowControl/>
              <w:spacing w:line="240" w:lineRule="auto"/>
              <w:ind w:firstLine="0" w:firstLineChars="0"/>
              <w:jc w:val="center"/>
              <w:rPr>
                <w:color w:val="auto"/>
                <w:kern w:val="0"/>
                <w:sz w:val="21"/>
                <w:szCs w:val="21"/>
              </w:rPr>
            </w:pPr>
          </w:p>
        </w:tc>
        <w:tc>
          <w:tcPr>
            <w:tcW w:w="451" w:type="pct"/>
            <w:vMerge w:val="continue"/>
            <w:shd w:val="clear" w:color="auto" w:fill="auto"/>
            <w:noWrap/>
            <w:vAlign w:val="center"/>
          </w:tcPr>
          <w:p w14:paraId="53244705">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31C567A7">
            <w:pPr>
              <w:widowControl/>
              <w:spacing w:line="240" w:lineRule="auto"/>
              <w:ind w:firstLine="0" w:firstLineChars="0"/>
              <w:jc w:val="center"/>
              <w:rPr>
                <w:color w:val="auto"/>
                <w:kern w:val="0"/>
                <w:sz w:val="21"/>
                <w:szCs w:val="21"/>
              </w:rPr>
            </w:pPr>
          </w:p>
        </w:tc>
        <w:tc>
          <w:tcPr>
            <w:tcW w:w="400" w:type="pct"/>
            <w:vMerge w:val="continue"/>
            <w:shd w:val="clear" w:color="auto" w:fill="auto"/>
            <w:noWrap/>
            <w:vAlign w:val="center"/>
          </w:tcPr>
          <w:p w14:paraId="7D264D87">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41792868">
            <w:pPr>
              <w:widowControl/>
              <w:spacing w:line="240" w:lineRule="auto"/>
              <w:ind w:firstLine="0" w:firstLineChars="0"/>
              <w:jc w:val="center"/>
              <w:rPr>
                <w:color w:val="auto"/>
                <w:sz w:val="21"/>
                <w:szCs w:val="21"/>
              </w:rPr>
            </w:pPr>
          </w:p>
        </w:tc>
        <w:tc>
          <w:tcPr>
            <w:tcW w:w="300" w:type="pct"/>
            <w:vMerge w:val="continue"/>
            <w:shd w:val="clear" w:color="auto" w:fill="auto"/>
            <w:noWrap/>
            <w:vAlign w:val="center"/>
          </w:tcPr>
          <w:p w14:paraId="600FFB11">
            <w:pPr>
              <w:widowControl/>
              <w:spacing w:line="240" w:lineRule="auto"/>
              <w:ind w:firstLine="0" w:firstLineChars="0"/>
              <w:jc w:val="center"/>
              <w:rPr>
                <w:color w:val="auto"/>
                <w:kern w:val="0"/>
                <w:sz w:val="21"/>
                <w:szCs w:val="21"/>
              </w:rPr>
            </w:pPr>
          </w:p>
        </w:tc>
        <w:tc>
          <w:tcPr>
            <w:tcW w:w="350" w:type="pct"/>
            <w:vMerge w:val="continue"/>
            <w:shd w:val="clear" w:color="auto" w:fill="auto"/>
            <w:noWrap/>
            <w:vAlign w:val="center"/>
          </w:tcPr>
          <w:p w14:paraId="601F9A7C">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377662AF">
            <w:pPr>
              <w:widowControl/>
              <w:spacing w:line="240" w:lineRule="auto"/>
              <w:ind w:firstLine="0" w:firstLineChars="0"/>
              <w:jc w:val="center"/>
              <w:rPr>
                <w:color w:val="auto"/>
                <w:kern w:val="0"/>
                <w:sz w:val="21"/>
                <w:szCs w:val="21"/>
              </w:rPr>
            </w:pPr>
          </w:p>
        </w:tc>
        <w:tc>
          <w:tcPr>
            <w:tcW w:w="450" w:type="pct"/>
            <w:vMerge w:val="continue"/>
            <w:shd w:val="clear" w:color="auto" w:fill="auto"/>
            <w:noWrap/>
            <w:vAlign w:val="center"/>
          </w:tcPr>
          <w:p w14:paraId="53B4B308">
            <w:pPr>
              <w:widowControl/>
              <w:spacing w:line="240" w:lineRule="auto"/>
              <w:ind w:firstLine="0" w:firstLineChars="0"/>
              <w:jc w:val="center"/>
              <w:rPr>
                <w:color w:val="auto"/>
                <w:sz w:val="21"/>
                <w:szCs w:val="21"/>
              </w:rPr>
            </w:pPr>
          </w:p>
        </w:tc>
        <w:tc>
          <w:tcPr>
            <w:tcW w:w="399" w:type="pct"/>
            <w:vMerge w:val="continue"/>
            <w:vAlign w:val="center"/>
          </w:tcPr>
          <w:p w14:paraId="5645237B">
            <w:pPr>
              <w:widowControl/>
              <w:spacing w:line="240" w:lineRule="auto"/>
              <w:ind w:firstLine="0" w:firstLineChars="0"/>
              <w:jc w:val="center"/>
              <w:rPr>
                <w:color w:val="auto"/>
                <w:kern w:val="0"/>
                <w:sz w:val="21"/>
                <w:szCs w:val="21"/>
              </w:rPr>
            </w:pPr>
          </w:p>
        </w:tc>
        <w:tc>
          <w:tcPr>
            <w:tcW w:w="399" w:type="pct"/>
            <w:vMerge w:val="continue"/>
            <w:shd w:val="clear" w:color="auto" w:fill="auto"/>
            <w:noWrap/>
            <w:vAlign w:val="center"/>
          </w:tcPr>
          <w:p w14:paraId="356EFCE7">
            <w:pPr>
              <w:widowControl/>
              <w:spacing w:line="240" w:lineRule="auto"/>
              <w:ind w:firstLine="0" w:firstLineChars="0"/>
              <w:jc w:val="center"/>
              <w:rPr>
                <w:color w:val="auto"/>
                <w:kern w:val="0"/>
                <w:sz w:val="21"/>
                <w:szCs w:val="21"/>
              </w:rPr>
            </w:pPr>
          </w:p>
        </w:tc>
        <w:tc>
          <w:tcPr>
            <w:tcW w:w="499" w:type="pct"/>
            <w:shd w:val="clear" w:color="auto" w:fill="auto"/>
            <w:noWrap/>
            <w:vAlign w:val="center"/>
          </w:tcPr>
          <w:p w14:paraId="7DE8EDE0">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401" w:type="pct"/>
            <w:shd w:val="clear" w:color="auto" w:fill="auto"/>
            <w:noWrap/>
            <w:vAlign w:val="center"/>
          </w:tcPr>
          <w:p w14:paraId="6BFAA0E9">
            <w:pPr>
              <w:tabs>
                <w:tab w:val="left" w:pos="2227"/>
              </w:tabs>
              <w:spacing w:line="240" w:lineRule="auto"/>
              <w:ind w:firstLine="0" w:firstLineChars="0"/>
              <w:jc w:val="center"/>
              <w:rPr>
                <w:color w:val="auto"/>
                <w:sz w:val="21"/>
                <w:szCs w:val="21"/>
              </w:rPr>
            </w:pPr>
            <w:r>
              <w:rPr>
                <w:rFonts w:hint="eastAsia"/>
                <w:color w:val="auto"/>
                <w:sz w:val="21"/>
                <w:szCs w:val="21"/>
              </w:rPr>
              <w:t>0.009</w:t>
            </w:r>
          </w:p>
        </w:tc>
      </w:tr>
      <w:tr w14:paraId="6201BA3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50" w:type="pct"/>
            <w:vAlign w:val="center"/>
          </w:tcPr>
          <w:p w14:paraId="448A22FF">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451" w:type="pct"/>
            <w:shd w:val="clear" w:color="auto" w:fill="auto"/>
            <w:noWrap/>
            <w:vAlign w:val="center"/>
          </w:tcPr>
          <w:p w14:paraId="026D79FD">
            <w:pPr>
              <w:widowControl/>
              <w:spacing w:line="240" w:lineRule="auto"/>
              <w:ind w:firstLine="0" w:firstLineChars="0"/>
              <w:jc w:val="center"/>
              <w:rPr>
                <w:color w:val="auto"/>
                <w:kern w:val="0"/>
                <w:sz w:val="21"/>
                <w:szCs w:val="21"/>
              </w:rPr>
            </w:pPr>
            <w:r>
              <w:rPr>
                <w:color w:val="auto"/>
                <w:kern w:val="0"/>
                <w:sz w:val="21"/>
                <w:szCs w:val="21"/>
              </w:rPr>
              <w:t>DA00</w:t>
            </w:r>
            <w:r>
              <w:rPr>
                <w:rFonts w:hint="eastAsia"/>
                <w:color w:val="auto"/>
                <w:kern w:val="0"/>
                <w:sz w:val="21"/>
                <w:szCs w:val="21"/>
              </w:rPr>
              <w:t>4</w:t>
            </w:r>
          </w:p>
        </w:tc>
        <w:tc>
          <w:tcPr>
            <w:tcW w:w="399" w:type="pct"/>
            <w:shd w:val="clear" w:color="auto" w:fill="auto"/>
            <w:noWrap/>
            <w:vAlign w:val="center"/>
          </w:tcPr>
          <w:p w14:paraId="3CEDA139">
            <w:pPr>
              <w:widowControl/>
              <w:spacing w:line="240" w:lineRule="auto"/>
              <w:ind w:firstLine="0" w:firstLineChars="0"/>
              <w:jc w:val="center"/>
              <w:rPr>
                <w:color w:val="auto"/>
                <w:kern w:val="0"/>
                <w:sz w:val="21"/>
                <w:szCs w:val="21"/>
              </w:rPr>
            </w:pPr>
            <w:r>
              <w:rPr>
                <w:rFonts w:hint="eastAsia"/>
                <w:color w:val="auto"/>
                <w:kern w:val="0"/>
                <w:sz w:val="21"/>
                <w:szCs w:val="21"/>
              </w:rPr>
              <w:t>703740</w:t>
            </w:r>
          </w:p>
        </w:tc>
        <w:tc>
          <w:tcPr>
            <w:tcW w:w="400" w:type="pct"/>
            <w:shd w:val="clear" w:color="auto" w:fill="auto"/>
            <w:noWrap/>
            <w:vAlign w:val="center"/>
          </w:tcPr>
          <w:p w14:paraId="034ED809">
            <w:pPr>
              <w:widowControl/>
              <w:spacing w:line="240" w:lineRule="auto"/>
              <w:ind w:firstLine="0" w:firstLineChars="0"/>
              <w:jc w:val="center"/>
              <w:rPr>
                <w:color w:val="auto"/>
                <w:kern w:val="0"/>
                <w:sz w:val="21"/>
                <w:szCs w:val="21"/>
              </w:rPr>
            </w:pPr>
            <w:r>
              <w:rPr>
                <w:rFonts w:hint="eastAsia"/>
                <w:color w:val="auto"/>
                <w:kern w:val="0"/>
                <w:sz w:val="21"/>
                <w:szCs w:val="21"/>
              </w:rPr>
              <w:t>3846492</w:t>
            </w:r>
          </w:p>
        </w:tc>
        <w:tc>
          <w:tcPr>
            <w:tcW w:w="399" w:type="pct"/>
            <w:shd w:val="clear" w:color="auto" w:fill="auto"/>
            <w:noWrap/>
            <w:vAlign w:val="center"/>
          </w:tcPr>
          <w:p w14:paraId="02C290F6">
            <w:pPr>
              <w:widowControl/>
              <w:spacing w:line="240" w:lineRule="auto"/>
              <w:ind w:firstLine="0" w:firstLineChars="0"/>
              <w:jc w:val="center"/>
              <w:rPr>
                <w:color w:val="auto"/>
                <w:kern w:val="0"/>
                <w:sz w:val="21"/>
                <w:szCs w:val="21"/>
              </w:rPr>
            </w:pPr>
            <w:r>
              <w:rPr>
                <w:rFonts w:hint="eastAsia"/>
                <w:color w:val="auto"/>
                <w:kern w:val="0"/>
                <w:sz w:val="21"/>
                <w:szCs w:val="21"/>
              </w:rPr>
              <w:t>2.40</w:t>
            </w:r>
          </w:p>
        </w:tc>
        <w:tc>
          <w:tcPr>
            <w:tcW w:w="300" w:type="pct"/>
            <w:shd w:val="clear" w:color="auto" w:fill="auto"/>
            <w:noWrap/>
            <w:vAlign w:val="center"/>
          </w:tcPr>
          <w:p w14:paraId="7D3FEFFA">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350" w:type="pct"/>
            <w:shd w:val="clear" w:color="auto" w:fill="auto"/>
            <w:noWrap/>
            <w:vAlign w:val="center"/>
          </w:tcPr>
          <w:p w14:paraId="18E64D05">
            <w:pPr>
              <w:widowControl/>
              <w:spacing w:line="240" w:lineRule="auto"/>
              <w:ind w:firstLine="0" w:firstLineChars="0"/>
              <w:jc w:val="center"/>
              <w:rPr>
                <w:color w:val="auto"/>
                <w:kern w:val="0"/>
                <w:sz w:val="21"/>
                <w:szCs w:val="21"/>
              </w:rPr>
            </w:pPr>
            <w:r>
              <w:rPr>
                <w:rFonts w:hint="eastAsia"/>
                <w:color w:val="auto"/>
                <w:kern w:val="0"/>
                <w:sz w:val="21"/>
                <w:szCs w:val="21"/>
              </w:rPr>
              <w:t>0.62</w:t>
            </w:r>
          </w:p>
        </w:tc>
        <w:tc>
          <w:tcPr>
            <w:tcW w:w="399" w:type="pct"/>
            <w:shd w:val="clear" w:color="auto" w:fill="auto"/>
            <w:noWrap/>
            <w:vAlign w:val="center"/>
          </w:tcPr>
          <w:p w14:paraId="562566BF">
            <w:pPr>
              <w:widowControl/>
              <w:spacing w:line="240" w:lineRule="auto"/>
              <w:ind w:firstLine="0" w:firstLineChars="0"/>
              <w:jc w:val="center"/>
              <w:rPr>
                <w:color w:val="auto"/>
                <w:kern w:val="0"/>
                <w:sz w:val="21"/>
                <w:szCs w:val="21"/>
              </w:rPr>
            </w:pPr>
            <w:r>
              <w:rPr>
                <w:rFonts w:hint="eastAsia"/>
                <w:color w:val="auto"/>
                <w:kern w:val="0"/>
                <w:sz w:val="21"/>
                <w:szCs w:val="21"/>
              </w:rPr>
              <w:t>13.84</w:t>
            </w:r>
          </w:p>
        </w:tc>
        <w:tc>
          <w:tcPr>
            <w:tcW w:w="450" w:type="pct"/>
            <w:shd w:val="clear" w:color="auto" w:fill="auto"/>
            <w:noWrap/>
            <w:vAlign w:val="center"/>
          </w:tcPr>
          <w:p w14:paraId="73E3947C">
            <w:pPr>
              <w:widowControl/>
              <w:spacing w:line="240" w:lineRule="auto"/>
              <w:ind w:firstLine="0" w:firstLineChars="0"/>
              <w:jc w:val="center"/>
              <w:rPr>
                <w:color w:val="auto"/>
                <w:kern w:val="0"/>
                <w:sz w:val="21"/>
                <w:szCs w:val="21"/>
              </w:rPr>
            </w:pPr>
            <w:r>
              <w:rPr>
                <w:rFonts w:hint="eastAsia"/>
                <w:color w:val="auto"/>
                <w:sz w:val="21"/>
                <w:szCs w:val="21"/>
              </w:rPr>
              <w:t>25</w:t>
            </w:r>
          </w:p>
        </w:tc>
        <w:tc>
          <w:tcPr>
            <w:tcW w:w="399" w:type="pct"/>
            <w:vAlign w:val="center"/>
          </w:tcPr>
          <w:p w14:paraId="7CC456D9">
            <w:pPr>
              <w:widowControl/>
              <w:spacing w:line="240" w:lineRule="auto"/>
              <w:ind w:firstLine="0" w:firstLineChars="0"/>
              <w:jc w:val="center"/>
              <w:rPr>
                <w:color w:val="auto"/>
                <w:kern w:val="0"/>
                <w:sz w:val="21"/>
                <w:szCs w:val="21"/>
              </w:rPr>
            </w:pPr>
            <w:r>
              <w:rPr>
                <w:rFonts w:hint="eastAsia"/>
                <w:color w:val="auto"/>
                <w:kern w:val="0"/>
                <w:sz w:val="21"/>
                <w:szCs w:val="21"/>
              </w:rPr>
              <w:t>7920</w:t>
            </w:r>
          </w:p>
        </w:tc>
        <w:tc>
          <w:tcPr>
            <w:tcW w:w="399" w:type="pct"/>
            <w:shd w:val="clear" w:color="auto" w:fill="auto"/>
            <w:noWrap/>
            <w:vAlign w:val="center"/>
          </w:tcPr>
          <w:p w14:paraId="1344C223">
            <w:pPr>
              <w:widowControl/>
              <w:spacing w:line="240" w:lineRule="auto"/>
              <w:ind w:firstLine="0" w:firstLineChars="0"/>
              <w:jc w:val="center"/>
              <w:rPr>
                <w:color w:val="auto"/>
                <w:kern w:val="0"/>
                <w:sz w:val="21"/>
                <w:szCs w:val="21"/>
              </w:rPr>
            </w:pPr>
            <w:r>
              <w:rPr>
                <w:color w:val="auto"/>
                <w:kern w:val="0"/>
                <w:sz w:val="21"/>
                <w:szCs w:val="21"/>
              </w:rPr>
              <w:t>正常</w:t>
            </w:r>
          </w:p>
        </w:tc>
        <w:tc>
          <w:tcPr>
            <w:tcW w:w="499" w:type="pct"/>
            <w:shd w:val="clear" w:color="auto" w:fill="auto"/>
            <w:noWrap/>
            <w:vAlign w:val="center"/>
          </w:tcPr>
          <w:p w14:paraId="4FD88391">
            <w:pPr>
              <w:spacing w:line="240" w:lineRule="auto"/>
              <w:ind w:firstLine="0" w:firstLineChars="0"/>
              <w:jc w:val="center"/>
              <w:rPr>
                <w:color w:val="auto"/>
                <w:kern w:val="0"/>
                <w:sz w:val="21"/>
                <w:szCs w:val="21"/>
                <w:vertAlign w:val="subscript"/>
              </w:rPr>
            </w:pPr>
            <w:r>
              <w:rPr>
                <w:rFonts w:hint="eastAsia"/>
                <w:color w:val="auto"/>
                <w:kern w:val="0"/>
                <w:sz w:val="21"/>
                <w:szCs w:val="21"/>
              </w:rPr>
              <w:t>颗粒物</w:t>
            </w:r>
          </w:p>
        </w:tc>
        <w:tc>
          <w:tcPr>
            <w:tcW w:w="401" w:type="pct"/>
            <w:shd w:val="clear" w:color="auto" w:fill="auto"/>
            <w:noWrap/>
            <w:vAlign w:val="center"/>
          </w:tcPr>
          <w:p w14:paraId="403C3D20">
            <w:pPr>
              <w:spacing w:line="240" w:lineRule="auto"/>
              <w:ind w:firstLine="0" w:firstLineChars="0"/>
              <w:jc w:val="center"/>
              <w:rPr>
                <w:color w:val="auto"/>
                <w:kern w:val="0"/>
                <w:sz w:val="21"/>
                <w:szCs w:val="21"/>
              </w:rPr>
            </w:pPr>
            <w:r>
              <w:rPr>
                <w:rFonts w:hint="eastAsia"/>
                <w:color w:val="auto"/>
                <w:kern w:val="0"/>
                <w:sz w:val="21"/>
                <w:szCs w:val="21"/>
              </w:rPr>
              <w:t>0.095</w:t>
            </w:r>
          </w:p>
        </w:tc>
      </w:tr>
      <w:tr w14:paraId="3EDC5A9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50" w:type="pct"/>
            <w:shd w:val="clear" w:color="auto" w:fill="auto"/>
            <w:vAlign w:val="center"/>
          </w:tcPr>
          <w:p w14:paraId="77525FD1">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451" w:type="pct"/>
            <w:shd w:val="clear" w:color="auto" w:fill="auto"/>
            <w:noWrap/>
            <w:vAlign w:val="center"/>
          </w:tcPr>
          <w:p w14:paraId="2E32D4D4">
            <w:pPr>
              <w:widowControl/>
              <w:spacing w:line="240" w:lineRule="auto"/>
              <w:ind w:firstLine="0" w:firstLineChars="0"/>
              <w:jc w:val="center"/>
              <w:rPr>
                <w:color w:val="auto"/>
                <w:kern w:val="0"/>
                <w:sz w:val="21"/>
                <w:szCs w:val="21"/>
              </w:rPr>
            </w:pPr>
            <w:r>
              <w:rPr>
                <w:rFonts w:hint="eastAsia"/>
                <w:color w:val="auto"/>
                <w:kern w:val="0"/>
                <w:sz w:val="21"/>
                <w:szCs w:val="21"/>
              </w:rPr>
              <w:t>DA006</w:t>
            </w:r>
          </w:p>
        </w:tc>
        <w:tc>
          <w:tcPr>
            <w:tcW w:w="399" w:type="pct"/>
            <w:shd w:val="clear" w:color="auto" w:fill="auto"/>
            <w:noWrap/>
            <w:vAlign w:val="center"/>
          </w:tcPr>
          <w:p w14:paraId="6F1BA540">
            <w:pPr>
              <w:widowControl/>
              <w:spacing w:line="240" w:lineRule="auto"/>
              <w:ind w:firstLine="0" w:firstLineChars="0"/>
              <w:jc w:val="center"/>
              <w:rPr>
                <w:color w:val="auto"/>
                <w:kern w:val="0"/>
                <w:sz w:val="21"/>
                <w:szCs w:val="21"/>
              </w:rPr>
            </w:pPr>
            <w:r>
              <w:rPr>
                <w:rFonts w:hint="eastAsia"/>
                <w:color w:val="auto"/>
                <w:kern w:val="0"/>
                <w:sz w:val="21"/>
                <w:szCs w:val="21"/>
              </w:rPr>
              <w:t>703683</w:t>
            </w:r>
          </w:p>
        </w:tc>
        <w:tc>
          <w:tcPr>
            <w:tcW w:w="400" w:type="pct"/>
            <w:shd w:val="clear" w:color="auto" w:fill="auto"/>
            <w:noWrap/>
            <w:vAlign w:val="center"/>
          </w:tcPr>
          <w:p w14:paraId="129F7918">
            <w:pPr>
              <w:widowControl/>
              <w:spacing w:line="240" w:lineRule="auto"/>
              <w:ind w:firstLine="0" w:firstLineChars="0"/>
              <w:jc w:val="center"/>
              <w:rPr>
                <w:color w:val="auto"/>
                <w:kern w:val="0"/>
                <w:sz w:val="21"/>
                <w:szCs w:val="21"/>
              </w:rPr>
            </w:pPr>
            <w:r>
              <w:rPr>
                <w:rFonts w:hint="eastAsia"/>
                <w:color w:val="auto"/>
                <w:kern w:val="0"/>
                <w:sz w:val="21"/>
                <w:szCs w:val="21"/>
              </w:rPr>
              <w:t>3846428</w:t>
            </w:r>
          </w:p>
        </w:tc>
        <w:tc>
          <w:tcPr>
            <w:tcW w:w="399" w:type="pct"/>
            <w:shd w:val="clear" w:color="auto" w:fill="auto"/>
            <w:noWrap/>
            <w:vAlign w:val="center"/>
          </w:tcPr>
          <w:p w14:paraId="0AF5567A">
            <w:pPr>
              <w:widowControl/>
              <w:spacing w:line="240" w:lineRule="auto"/>
              <w:ind w:firstLine="0" w:firstLineChars="0"/>
              <w:jc w:val="center"/>
              <w:rPr>
                <w:color w:val="auto"/>
                <w:sz w:val="21"/>
                <w:szCs w:val="21"/>
              </w:rPr>
            </w:pPr>
            <w:r>
              <w:rPr>
                <w:rFonts w:hint="eastAsia"/>
                <w:color w:val="auto"/>
                <w:sz w:val="21"/>
                <w:szCs w:val="21"/>
              </w:rPr>
              <w:t>2.40</w:t>
            </w:r>
          </w:p>
        </w:tc>
        <w:tc>
          <w:tcPr>
            <w:tcW w:w="300" w:type="pct"/>
            <w:shd w:val="clear" w:color="auto" w:fill="auto"/>
            <w:noWrap/>
            <w:vAlign w:val="center"/>
          </w:tcPr>
          <w:p w14:paraId="0103481D">
            <w:pPr>
              <w:widowControl/>
              <w:spacing w:line="240" w:lineRule="auto"/>
              <w:ind w:firstLine="0" w:firstLineChars="0"/>
              <w:jc w:val="center"/>
              <w:rPr>
                <w:color w:val="auto"/>
                <w:kern w:val="0"/>
                <w:sz w:val="21"/>
                <w:szCs w:val="21"/>
              </w:rPr>
            </w:pPr>
            <w:r>
              <w:rPr>
                <w:rFonts w:hint="eastAsia"/>
                <w:color w:val="auto"/>
                <w:kern w:val="0"/>
                <w:sz w:val="21"/>
                <w:szCs w:val="21"/>
              </w:rPr>
              <w:t>30</w:t>
            </w:r>
          </w:p>
        </w:tc>
        <w:tc>
          <w:tcPr>
            <w:tcW w:w="350" w:type="pct"/>
            <w:shd w:val="clear" w:color="auto" w:fill="auto"/>
            <w:noWrap/>
            <w:vAlign w:val="center"/>
          </w:tcPr>
          <w:p w14:paraId="75F22014">
            <w:pPr>
              <w:widowControl/>
              <w:spacing w:line="240" w:lineRule="auto"/>
              <w:ind w:firstLine="0" w:firstLineChars="0"/>
              <w:jc w:val="center"/>
              <w:rPr>
                <w:color w:val="auto"/>
                <w:kern w:val="0"/>
                <w:sz w:val="21"/>
                <w:szCs w:val="21"/>
              </w:rPr>
            </w:pPr>
            <w:r>
              <w:rPr>
                <w:rFonts w:hint="eastAsia"/>
                <w:color w:val="auto"/>
                <w:kern w:val="0"/>
                <w:sz w:val="21"/>
                <w:szCs w:val="21"/>
              </w:rPr>
              <w:t>0.94</w:t>
            </w:r>
          </w:p>
        </w:tc>
        <w:tc>
          <w:tcPr>
            <w:tcW w:w="399" w:type="pct"/>
            <w:shd w:val="clear" w:color="auto" w:fill="auto"/>
            <w:noWrap/>
            <w:vAlign w:val="center"/>
          </w:tcPr>
          <w:p w14:paraId="64C58B29">
            <w:pPr>
              <w:widowControl/>
              <w:spacing w:line="240" w:lineRule="auto"/>
              <w:ind w:firstLine="0" w:firstLineChars="0"/>
              <w:jc w:val="center"/>
              <w:rPr>
                <w:color w:val="auto"/>
                <w:kern w:val="0"/>
                <w:sz w:val="21"/>
                <w:szCs w:val="21"/>
              </w:rPr>
            </w:pPr>
            <w:r>
              <w:rPr>
                <w:rFonts w:hint="eastAsia"/>
                <w:color w:val="auto"/>
                <w:kern w:val="0"/>
                <w:sz w:val="21"/>
                <w:szCs w:val="21"/>
              </w:rPr>
              <w:t>13.52</w:t>
            </w:r>
          </w:p>
        </w:tc>
        <w:tc>
          <w:tcPr>
            <w:tcW w:w="450" w:type="pct"/>
            <w:shd w:val="clear" w:color="auto" w:fill="auto"/>
            <w:noWrap/>
            <w:vAlign w:val="center"/>
          </w:tcPr>
          <w:p w14:paraId="09789EDB">
            <w:pPr>
              <w:widowControl/>
              <w:spacing w:line="240" w:lineRule="auto"/>
              <w:ind w:firstLine="0" w:firstLineChars="0"/>
              <w:jc w:val="center"/>
              <w:rPr>
                <w:color w:val="auto"/>
                <w:sz w:val="21"/>
                <w:szCs w:val="21"/>
              </w:rPr>
            </w:pPr>
            <w:r>
              <w:rPr>
                <w:rFonts w:hint="eastAsia"/>
                <w:color w:val="auto"/>
                <w:sz w:val="21"/>
                <w:szCs w:val="21"/>
              </w:rPr>
              <w:t>25</w:t>
            </w:r>
          </w:p>
        </w:tc>
        <w:tc>
          <w:tcPr>
            <w:tcW w:w="399" w:type="pct"/>
            <w:shd w:val="clear" w:color="auto" w:fill="auto"/>
            <w:vAlign w:val="center"/>
          </w:tcPr>
          <w:p w14:paraId="7372EDCE">
            <w:pPr>
              <w:widowControl/>
              <w:spacing w:line="240" w:lineRule="auto"/>
              <w:ind w:firstLine="0" w:firstLineChars="0"/>
              <w:jc w:val="center"/>
              <w:rPr>
                <w:color w:val="auto"/>
                <w:kern w:val="0"/>
                <w:sz w:val="21"/>
                <w:szCs w:val="21"/>
              </w:rPr>
            </w:pPr>
            <w:r>
              <w:rPr>
                <w:rFonts w:hint="eastAsia"/>
                <w:color w:val="auto"/>
                <w:kern w:val="0"/>
                <w:sz w:val="21"/>
                <w:szCs w:val="21"/>
              </w:rPr>
              <w:t>7920</w:t>
            </w:r>
          </w:p>
        </w:tc>
        <w:tc>
          <w:tcPr>
            <w:tcW w:w="399" w:type="pct"/>
            <w:shd w:val="clear" w:color="auto" w:fill="auto"/>
            <w:noWrap/>
            <w:vAlign w:val="center"/>
          </w:tcPr>
          <w:p w14:paraId="1B19E529">
            <w:pPr>
              <w:widowControl/>
              <w:spacing w:line="240" w:lineRule="auto"/>
              <w:ind w:firstLine="0" w:firstLineChars="0"/>
              <w:jc w:val="center"/>
              <w:rPr>
                <w:color w:val="auto"/>
                <w:kern w:val="0"/>
                <w:sz w:val="21"/>
                <w:szCs w:val="21"/>
              </w:rPr>
            </w:pPr>
            <w:r>
              <w:rPr>
                <w:color w:val="auto"/>
                <w:kern w:val="0"/>
                <w:sz w:val="21"/>
                <w:szCs w:val="21"/>
              </w:rPr>
              <w:t>正常</w:t>
            </w:r>
          </w:p>
        </w:tc>
        <w:tc>
          <w:tcPr>
            <w:tcW w:w="499" w:type="pct"/>
            <w:shd w:val="clear" w:color="auto" w:fill="auto"/>
            <w:noWrap/>
            <w:vAlign w:val="center"/>
          </w:tcPr>
          <w:p w14:paraId="4B7909F8">
            <w:pPr>
              <w:spacing w:line="240" w:lineRule="auto"/>
              <w:ind w:firstLine="0" w:firstLineChars="0"/>
              <w:jc w:val="center"/>
              <w:rPr>
                <w:color w:val="auto"/>
                <w:kern w:val="0"/>
                <w:sz w:val="21"/>
                <w:szCs w:val="21"/>
              </w:rPr>
            </w:pPr>
            <w:r>
              <w:rPr>
                <w:rFonts w:hint="eastAsia"/>
                <w:color w:val="auto"/>
                <w:kern w:val="0"/>
                <w:sz w:val="21"/>
                <w:szCs w:val="21"/>
              </w:rPr>
              <w:t>硫酸雾</w:t>
            </w:r>
          </w:p>
        </w:tc>
        <w:tc>
          <w:tcPr>
            <w:tcW w:w="401" w:type="pct"/>
            <w:shd w:val="clear" w:color="auto" w:fill="auto"/>
            <w:noWrap/>
            <w:vAlign w:val="center"/>
          </w:tcPr>
          <w:p w14:paraId="7D805225">
            <w:pPr>
              <w:spacing w:line="240" w:lineRule="auto"/>
              <w:ind w:firstLine="0" w:firstLineChars="0"/>
              <w:jc w:val="center"/>
              <w:rPr>
                <w:color w:val="auto"/>
                <w:kern w:val="0"/>
                <w:sz w:val="21"/>
                <w:szCs w:val="21"/>
              </w:rPr>
            </w:pPr>
            <w:r>
              <w:rPr>
                <w:rFonts w:hint="eastAsia"/>
                <w:color w:val="auto"/>
                <w:kern w:val="0"/>
                <w:sz w:val="21"/>
                <w:szCs w:val="21"/>
              </w:rPr>
              <w:t>0.503</w:t>
            </w:r>
          </w:p>
        </w:tc>
      </w:tr>
      <w:tr w14:paraId="0C205C5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50" w:type="pct"/>
            <w:vAlign w:val="center"/>
          </w:tcPr>
          <w:p w14:paraId="268C2428">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451" w:type="pct"/>
            <w:shd w:val="clear" w:color="auto" w:fill="auto"/>
            <w:noWrap/>
            <w:vAlign w:val="center"/>
          </w:tcPr>
          <w:p w14:paraId="6953C914">
            <w:pPr>
              <w:widowControl/>
              <w:spacing w:line="240" w:lineRule="auto"/>
              <w:ind w:firstLine="0" w:firstLineChars="0"/>
              <w:jc w:val="center"/>
              <w:rPr>
                <w:color w:val="auto"/>
                <w:kern w:val="0"/>
                <w:sz w:val="21"/>
                <w:szCs w:val="21"/>
              </w:rPr>
            </w:pPr>
            <w:r>
              <w:rPr>
                <w:rFonts w:hint="eastAsia"/>
                <w:color w:val="auto"/>
                <w:kern w:val="0"/>
                <w:sz w:val="21"/>
                <w:szCs w:val="21"/>
              </w:rPr>
              <w:t>DA008</w:t>
            </w:r>
          </w:p>
        </w:tc>
        <w:tc>
          <w:tcPr>
            <w:tcW w:w="399" w:type="pct"/>
            <w:shd w:val="clear" w:color="auto" w:fill="auto"/>
            <w:noWrap/>
            <w:vAlign w:val="center"/>
          </w:tcPr>
          <w:p w14:paraId="4E55E718">
            <w:pPr>
              <w:widowControl/>
              <w:spacing w:line="240" w:lineRule="auto"/>
              <w:ind w:firstLine="0" w:firstLineChars="0"/>
              <w:jc w:val="center"/>
              <w:rPr>
                <w:color w:val="auto"/>
                <w:kern w:val="0"/>
                <w:sz w:val="21"/>
                <w:szCs w:val="21"/>
              </w:rPr>
            </w:pPr>
            <w:r>
              <w:rPr>
                <w:rFonts w:hint="eastAsia"/>
                <w:color w:val="auto"/>
                <w:kern w:val="0"/>
                <w:sz w:val="21"/>
                <w:szCs w:val="21"/>
              </w:rPr>
              <w:t>703582</w:t>
            </w:r>
          </w:p>
        </w:tc>
        <w:tc>
          <w:tcPr>
            <w:tcW w:w="400" w:type="pct"/>
            <w:shd w:val="clear" w:color="auto" w:fill="auto"/>
            <w:noWrap/>
            <w:vAlign w:val="center"/>
          </w:tcPr>
          <w:p w14:paraId="508F73F6">
            <w:pPr>
              <w:widowControl/>
              <w:spacing w:line="240" w:lineRule="auto"/>
              <w:ind w:firstLine="0" w:firstLineChars="0"/>
              <w:jc w:val="center"/>
              <w:rPr>
                <w:color w:val="auto"/>
                <w:kern w:val="0"/>
                <w:sz w:val="21"/>
                <w:szCs w:val="21"/>
              </w:rPr>
            </w:pPr>
            <w:r>
              <w:rPr>
                <w:rFonts w:hint="eastAsia"/>
                <w:color w:val="auto"/>
                <w:kern w:val="0"/>
                <w:sz w:val="21"/>
                <w:szCs w:val="21"/>
              </w:rPr>
              <w:t>3846371</w:t>
            </w:r>
          </w:p>
        </w:tc>
        <w:tc>
          <w:tcPr>
            <w:tcW w:w="399" w:type="pct"/>
            <w:shd w:val="clear" w:color="auto" w:fill="auto"/>
            <w:noWrap/>
            <w:vAlign w:val="center"/>
          </w:tcPr>
          <w:p w14:paraId="2A6081F4">
            <w:pPr>
              <w:widowControl/>
              <w:spacing w:line="240" w:lineRule="auto"/>
              <w:ind w:firstLine="0" w:firstLineChars="0"/>
              <w:jc w:val="center"/>
              <w:rPr>
                <w:color w:val="auto"/>
                <w:sz w:val="21"/>
                <w:szCs w:val="21"/>
              </w:rPr>
            </w:pPr>
            <w:r>
              <w:rPr>
                <w:rFonts w:hint="eastAsia"/>
                <w:color w:val="auto"/>
                <w:sz w:val="21"/>
                <w:szCs w:val="21"/>
              </w:rPr>
              <w:t>1.03</w:t>
            </w:r>
          </w:p>
        </w:tc>
        <w:tc>
          <w:tcPr>
            <w:tcW w:w="300" w:type="pct"/>
            <w:shd w:val="clear" w:color="auto" w:fill="auto"/>
            <w:noWrap/>
            <w:vAlign w:val="center"/>
          </w:tcPr>
          <w:p w14:paraId="53664275">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350" w:type="pct"/>
            <w:shd w:val="clear" w:color="auto" w:fill="auto"/>
            <w:noWrap/>
            <w:vAlign w:val="center"/>
          </w:tcPr>
          <w:p w14:paraId="15107406">
            <w:pPr>
              <w:widowControl/>
              <w:spacing w:line="240" w:lineRule="auto"/>
              <w:ind w:firstLine="0" w:firstLineChars="0"/>
              <w:jc w:val="center"/>
              <w:rPr>
                <w:color w:val="auto"/>
                <w:kern w:val="0"/>
                <w:sz w:val="21"/>
                <w:szCs w:val="21"/>
              </w:rPr>
            </w:pPr>
            <w:r>
              <w:rPr>
                <w:rFonts w:hint="eastAsia"/>
                <w:color w:val="auto"/>
                <w:kern w:val="0"/>
                <w:sz w:val="21"/>
                <w:szCs w:val="21"/>
              </w:rPr>
              <w:t>0.60</w:t>
            </w:r>
          </w:p>
        </w:tc>
        <w:tc>
          <w:tcPr>
            <w:tcW w:w="399" w:type="pct"/>
            <w:shd w:val="clear" w:color="auto" w:fill="auto"/>
            <w:noWrap/>
            <w:vAlign w:val="center"/>
          </w:tcPr>
          <w:p w14:paraId="333FC4C6">
            <w:pPr>
              <w:widowControl/>
              <w:spacing w:line="240" w:lineRule="auto"/>
              <w:ind w:firstLine="0" w:firstLineChars="0"/>
              <w:jc w:val="center"/>
              <w:rPr>
                <w:color w:val="auto"/>
                <w:kern w:val="0"/>
                <w:sz w:val="21"/>
                <w:szCs w:val="21"/>
              </w:rPr>
            </w:pPr>
            <w:r>
              <w:rPr>
                <w:rFonts w:hint="eastAsia"/>
                <w:color w:val="auto"/>
                <w:kern w:val="0"/>
                <w:sz w:val="21"/>
                <w:szCs w:val="21"/>
              </w:rPr>
              <w:t>14.87</w:t>
            </w:r>
          </w:p>
        </w:tc>
        <w:tc>
          <w:tcPr>
            <w:tcW w:w="450" w:type="pct"/>
            <w:shd w:val="clear" w:color="auto" w:fill="auto"/>
            <w:noWrap/>
            <w:vAlign w:val="center"/>
          </w:tcPr>
          <w:p w14:paraId="306CBB6B">
            <w:pPr>
              <w:widowControl/>
              <w:spacing w:line="240" w:lineRule="auto"/>
              <w:ind w:firstLine="0" w:firstLineChars="0"/>
              <w:jc w:val="center"/>
              <w:rPr>
                <w:color w:val="auto"/>
                <w:sz w:val="21"/>
                <w:szCs w:val="21"/>
              </w:rPr>
            </w:pPr>
            <w:r>
              <w:rPr>
                <w:rFonts w:hint="eastAsia"/>
                <w:color w:val="auto"/>
                <w:sz w:val="21"/>
                <w:szCs w:val="21"/>
              </w:rPr>
              <w:t>25</w:t>
            </w:r>
          </w:p>
        </w:tc>
        <w:tc>
          <w:tcPr>
            <w:tcW w:w="399" w:type="pct"/>
            <w:vAlign w:val="center"/>
          </w:tcPr>
          <w:p w14:paraId="565EC964">
            <w:pPr>
              <w:widowControl/>
              <w:spacing w:line="240" w:lineRule="auto"/>
              <w:ind w:firstLine="0" w:firstLineChars="0"/>
              <w:jc w:val="center"/>
              <w:rPr>
                <w:color w:val="auto"/>
                <w:kern w:val="0"/>
                <w:sz w:val="21"/>
                <w:szCs w:val="21"/>
              </w:rPr>
            </w:pPr>
            <w:r>
              <w:rPr>
                <w:rFonts w:hint="eastAsia"/>
                <w:color w:val="auto"/>
                <w:kern w:val="0"/>
                <w:sz w:val="21"/>
                <w:szCs w:val="21"/>
              </w:rPr>
              <w:t>7920</w:t>
            </w:r>
          </w:p>
        </w:tc>
        <w:tc>
          <w:tcPr>
            <w:tcW w:w="399" w:type="pct"/>
            <w:shd w:val="clear" w:color="auto" w:fill="auto"/>
            <w:noWrap/>
            <w:vAlign w:val="center"/>
          </w:tcPr>
          <w:p w14:paraId="0D60F326">
            <w:pPr>
              <w:widowControl/>
              <w:spacing w:line="240" w:lineRule="auto"/>
              <w:ind w:firstLine="0" w:firstLineChars="0"/>
              <w:jc w:val="center"/>
              <w:rPr>
                <w:color w:val="auto"/>
                <w:kern w:val="0"/>
                <w:sz w:val="21"/>
                <w:szCs w:val="21"/>
              </w:rPr>
            </w:pPr>
            <w:r>
              <w:rPr>
                <w:color w:val="auto"/>
                <w:kern w:val="0"/>
                <w:sz w:val="21"/>
                <w:szCs w:val="21"/>
              </w:rPr>
              <w:t>正常</w:t>
            </w:r>
          </w:p>
        </w:tc>
        <w:tc>
          <w:tcPr>
            <w:tcW w:w="499" w:type="pct"/>
            <w:shd w:val="clear" w:color="auto" w:fill="auto"/>
            <w:noWrap/>
            <w:vAlign w:val="center"/>
          </w:tcPr>
          <w:p w14:paraId="5B5CA8E8">
            <w:pPr>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401" w:type="pct"/>
            <w:shd w:val="clear" w:color="auto" w:fill="auto"/>
            <w:noWrap/>
            <w:vAlign w:val="center"/>
          </w:tcPr>
          <w:p w14:paraId="0CC8BDA7">
            <w:pPr>
              <w:spacing w:line="240" w:lineRule="auto"/>
              <w:ind w:firstLine="0" w:firstLineChars="0"/>
              <w:jc w:val="center"/>
              <w:rPr>
                <w:color w:val="auto"/>
                <w:kern w:val="0"/>
                <w:sz w:val="21"/>
                <w:szCs w:val="21"/>
              </w:rPr>
            </w:pPr>
            <w:r>
              <w:rPr>
                <w:rFonts w:hint="eastAsia"/>
                <w:color w:val="auto"/>
                <w:kern w:val="0"/>
                <w:sz w:val="21"/>
                <w:szCs w:val="21"/>
              </w:rPr>
              <w:t>0.067</w:t>
            </w:r>
          </w:p>
        </w:tc>
      </w:tr>
    </w:tbl>
    <w:p w14:paraId="5082BFE2">
      <w:pPr>
        <w:spacing w:before="120" w:beforeLines="50" w:line="240" w:lineRule="auto"/>
        <w:ind w:firstLine="0" w:firstLineChars="0"/>
        <w:jc w:val="center"/>
        <w:rPr>
          <w:b/>
          <w:color w:val="auto"/>
        </w:rPr>
      </w:pPr>
      <w:r>
        <w:rPr>
          <w:b/>
          <w:color w:val="auto"/>
        </w:rPr>
        <w:t>表</w:t>
      </w:r>
      <w:r>
        <w:rPr>
          <w:rFonts w:hint="eastAsia"/>
          <w:b/>
          <w:color w:val="auto"/>
        </w:rPr>
        <w:t>6</w:t>
      </w:r>
      <w:r>
        <w:rPr>
          <w:b/>
          <w:color w:val="auto"/>
        </w:rPr>
        <w:t>.2</w:t>
      </w:r>
      <w:r>
        <w:rPr>
          <w:rFonts w:hint="eastAsia"/>
          <w:b/>
          <w:color w:val="auto"/>
        </w:rPr>
        <w:t>.1</w:t>
      </w:r>
      <w:r>
        <w:rPr>
          <w:b/>
          <w:color w:val="auto"/>
        </w:rPr>
        <w:t>-2  本项目面源参数表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185"/>
        <w:gridCol w:w="864"/>
        <w:gridCol w:w="983"/>
        <w:gridCol w:w="1278"/>
        <w:gridCol w:w="1132"/>
        <w:gridCol w:w="1278"/>
        <w:gridCol w:w="1419"/>
        <w:gridCol w:w="992"/>
        <w:gridCol w:w="849"/>
        <w:gridCol w:w="706"/>
        <w:gridCol w:w="1419"/>
        <w:gridCol w:w="1473"/>
      </w:tblGrid>
      <w:tr w14:paraId="59959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vMerge w:val="restart"/>
            <w:shd w:val="clear" w:color="auto" w:fill="auto"/>
            <w:vAlign w:val="center"/>
          </w:tcPr>
          <w:p w14:paraId="430811E0">
            <w:pPr>
              <w:widowControl/>
              <w:spacing w:line="240" w:lineRule="auto"/>
              <w:ind w:firstLine="0" w:firstLineChars="0"/>
              <w:jc w:val="center"/>
              <w:rPr>
                <w:b/>
                <w:bCs/>
                <w:color w:val="auto"/>
                <w:kern w:val="0"/>
                <w:sz w:val="21"/>
                <w:szCs w:val="21"/>
              </w:rPr>
            </w:pPr>
            <w:r>
              <w:rPr>
                <w:b/>
                <w:bCs/>
                <w:color w:val="auto"/>
                <w:kern w:val="0"/>
                <w:sz w:val="21"/>
                <w:szCs w:val="21"/>
              </w:rPr>
              <w:t>编号</w:t>
            </w:r>
          </w:p>
        </w:tc>
        <w:tc>
          <w:tcPr>
            <w:tcW w:w="413" w:type="pct"/>
            <w:vMerge w:val="restart"/>
            <w:shd w:val="clear" w:color="auto" w:fill="auto"/>
            <w:vAlign w:val="center"/>
          </w:tcPr>
          <w:p w14:paraId="27A290DF">
            <w:pPr>
              <w:widowControl/>
              <w:spacing w:line="240" w:lineRule="auto"/>
              <w:ind w:firstLine="0" w:firstLineChars="0"/>
              <w:jc w:val="center"/>
              <w:rPr>
                <w:b/>
                <w:bCs/>
                <w:color w:val="auto"/>
                <w:kern w:val="0"/>
                <w:sz w:val="21"/>
                <w:szCs w:val="21"/>
              </w:rPr>
            </w:pPr>
            <w:r>
              <w:rPr>
                <w:b/>
                <w:bCs/>
                <w:color w:val="auto"/>
                <w:kern w:val="0"/>
                <w:sz w:val="21"/>
                <w:szCs w:val="21"/>
              </w:rPr>
              <w:t>名称</w:t>
            </w:r>
          </w:p>
        </w:tc>
        <w:tc>
          <w:tcPr>
            <w:tcW w:w="644" w:type="pct"/>
            <w:gridSpan w:val="2"/>
            <w:shd w:val="clear" w:color="auto" w:fill="auto"/>
            <w:vAlign w:val="center"/>
          </w:tcPr>
          <w:p w14:paraId="229C9454">
            <w:pPr>
              <w:widowControl/>
              <w:spacing w:line="240" w:lineRule="auto"/>
              <w:ind w:firstLine="0" w:firstLineChars="0"/>
              <w:jc w:val="center"/>
              <w:rPr>
                <w:b/>
                <w:bCs/>
                <w:color w:val="auto"/>
                <w:kern w:val="0"/>
                <w:sz w:val="21"/>
                <w:szCs w:val="21"/>
              </w:rPr>
            </w:pPr>
            <w:r>
              <w:rPr>
                <w:b/>
                <w:bCs/>
                <w:color w:val="auto"/>
                <w:kern w:val="0"/>
                <w:sz w:val="21"/>
                <w:szCs w:val="21"/>
              </w:rPr>
              <w:t>面源中心坐标/m</w:t>
            </w:r>
          </w:p>
        </w:tc>
        <w:tc>
          <w:tcPr>
            <w:tcW w:w="445" w:type="pct"/>
            <w:vMerge w:val="restart"/>
            <w:shd w:val="clear" w:color="auto" w:fill="auto"/>
            <w:vAlign w:val="center"/>
          </w:tcPr>
          <w:p w14:paraId="6BF321C5">
            <w:pPr>
              <w:widowControl/>
              <w:spacing w:line="240" w:lineRule="auto"/>
              <w:ind w:firstLine="0" w:firstLineChars="0"/>
              <w:jc w:val="center"/>
              <w:rPr>
                <w:b/>
                <w:bCs/>
                <w:color w:val="auto"/>
                <w:kern w:val="0"/>
                <w:sz w:val="21"/>
                <w:szCs w:val="21"/>
              </w:rPr>
            </w:pPr>
            <w:r>
              <w:rPr>
                <w:b/>
                <w:bCs/>
                <w:color w:val="auto"/>
                <w:kern w:val="0"/>
                <w:sz w:val="21"/>
                <w:szCs w:val="21"/>
              </w:rPr>
              <w:t>面源海拔高度/m</w:t>
            </w:r>
          </w:p>
        </w:tc>
        <w:tc>
          <w:tcPr>
            <w:tcW w:w="395" w:type="pct"/>
            <w:vMerge w:val="restart"/>
            <w:vAlign w:val="center"/>
          </w:tcPr>
          <w:p w14:paraId="696378CD">
            <w:pPr>
              <w:widowControl/>
              <w:spacing w:line="240" w:lineRule="auto"/>
              <w:ind w:firstLine="0" w:firstLineChars="0"/>
              <w:jc w:val="center"/>
              <w:rPr>
                <w:b/>
                <w:bCs/>
                <w:color w:val="auto"/>
                <w:kern w:val="0"/>
                <w:sz w:val="21"/>
                <w:szCs w:val="21"/>
              </w:rPr>
            </w:pPr>
            <w:r>
              <w:rPr>
                <w:b/>
                <w:bCs/>
                <w:color w:val="auto"/>
                <w:kern w:val="0"/>
                <w:sz w:val="21"/>
                <w:szCs w:val="21"/>
              </w:rPr>
              <w:t>面源长度/m</w:t>
            </w:r>
          </w:p>
        </w:tc>
        <w:tc>
          <w:tcPr>
            <w:tcW w:w="445" w:type="pct"/>
            <w:vMerge w:val="restart"/>
            <w:vAlign w:val="center"/>
          </w:tcPr>
          <w:p w14:paraId="281E4297">
            <w:pPr>
              <w:widowControl/>
              <w:spacing w:line="240" w:lineRule="auto"/>
              <w:ind w:firstLine="0" w:firstLineChars="0"/>
              <w:jc w:val="center"/>
              <w:rPr>
                <w:b/>
                <w:bCs/>
                <w:color w:val="auto"/>
                <w:kern w:val="0"/>
                <w:sz w:val="21"/>
                <w:szCs w:val="21"/>
              </w:rPr>
            </w:pPr>
            <w:r>
              <w:rPr>
                <w:b/>
                <w:bCs/>
                <w:color w:val="auto"/>
                <w:kern w:val="0"/>
                <w:sz w:val="21"/>
                <w:szCs w:val="21"/>
              </w:rPr>
              <w:t>面源宽度/m</w:t>
            </w:r>
          </w:p>
        </w:tc>
        <w:tc>
          <w:tcPr>
            <w:tcW w:w="494" w:type="pct"/>
            <w:vMerge w:val="restart"/>
            <w:vAlign w:val="center"/>
          </w:tcPr>
          <w:p w14:paraId="2BED66D6">
            <w:pPr>
              <w:widowControl/>
              <w:spacing w:line="240" w:lineRule="auto"/>
              <w:ind w:firstLine="0" w:firstLineChars="0"/>
              <w:jc w:val="center"/>
              <w:rPr>
                <w:b/>
                <w:bCs/>
                <w:color w:val="auto"/>
                <w:kern w:val="0"/>
                <w:sz w:val="21"/>
                <w:szCs w:val="21"/>
              </w:rPr>
            </w:pPr>
            <w:r>
              <w:rPr>
                <w:b/>
                <w:bCs/>
                <w:color w:val="auto"/>
                <w:kern w:val="0"/>
                <w:sz w:val="21"/>
                <w:szCs w:val="21"/>
              </w:rPr>
              <w:t>与正北向夹角/°</w:t>
            </w:r>
          </w:p>
        </w:tc>
        <w:tc>
          <w:tcPr>
            <w:tcW w:w="346" w:type="pct"/>
            <w:vMerge w:val="restart"/>
            <w:shd w:val="clear" w:color="auto" w:fill="auto"/>
            <w:vAlign w:val="center"/>
          </w:tcPr>
          <w:p w14:paraId="4D8EDA43">
            <w:pPr>
              <w:widowControl/>
              <w:spacing w:line="240" w:lineRule="auto"/>
              <w:ind w:firstLine="0" w:firstLineChars="0"/>
              <w:jc w:val="center"/>
              <w:rPr>
                <w:b/>
                <w:bCs/>
                <w:color w:val="auto"/>
                <w:kern w:val="0"/>
                <w:sz w:val="21"/>
                <w:szCs w:val="21"/>
              </w:rPr>
            </w:pPr>
            <w:r>
              <w:rPr>
                <w:b/>
                <w:bCs/>
                <w:color w:val="auto"/>
                <w:kern w:val="0"/>
                <w:sz w:val="21"/>
                <w:szCs w:val="21"/>
              </w:rPr>
              <w:t>面源有效排放高度/m</w:t>
            </w:r>
          </w:p>
        </w:tc>
        <w:tc>
          <w:tcPr>
            <w:tcW w:w="296" w:type="pct"/>
            <w:vMerge w:val="restart"/>
            <w:shd w:val="clear" w:color="auto" w:fill="auto"/>
            <w:vAlign w:val="center"/>
          </w:tcPr>
          <w:p w14:paraId="7C5810DB">
            <w:pPr>
              <w:widowControl/>
              <w:spacing w:line="240" w:lineRule="auto"/>
              <w:ind w:firstLine="0" w:firstLineChars="0"/>
              <w:jc w:val="center"/>
              <w:rPr>
                <w:b/>
                <w:bCs/>
                <w:color w:val="auto"/>
                <w:kern w:val="0"/>
                <w:sz w:val="21"/>
                <w:szCs w:val="21"/>
              </w:rPr>
            </w:pPr>
            <w:r>
              <w:rPr>
                <w:b/>
                <w:bCs/>
                <w:color w:val="auto"/>
                <w:kern w:val="0"/>
                <w:sz w:val="21"/>
                <w:szCs w:val="21"/>
              </w:rPr>
              <w:t>年排放小时数/h</w:t>
            </w:r>
          </w:p>
        </w:tc>
        <w:tc>
          <w:tcPr>
            <w:tcW w:w="246" w:type="pct"/>
            <w:vMerge w:val="restart"/>
            <w:shd w:val="clear" w:color="auto" w:fill="auto"/>
            <w:vAlign w:val="center"/>
          </w:tcPr>
          <w:p w14:paraId="598B9D90">
            <w:pPr>
              <w:widowControl/>
              <w:spacing w:line="240" w:lineRule="auto"/>
              <w:ind w:firstLine="0" w:firstLineChars="0"/>
              <w:jc w:val="center"/>
              <w:rPr>
                <w:b/>
                <w:bCs/>
                <w:color w:val="auto"/>
                <w:kern w:val="0"/>
                <w:sz w:val="21"/>
                <w:szCs w:val="21"/>
              </w:rPr>
            </w:pPr>
            <w:r>
              <w:rPr>
                <w:b/>
                <w:bCs/>
                <w:color w:val="auto"/>
                <w:kern w:val="0"/>
                <w:sz w:val="21"/>
                <w:szCs w:val="21"/>
              </w:rPr>
              <w:t>排放工况</w:t>
            </w:r>
          </w:p>
        </w:tc>
        <w:tc>
          <w:tcPr>
            <w:tcW w:w="494" w:type="pct"/>
            <w:vMerge w:val="restart"/>
            <w:vAlign w:val="center"/>
          </w:tcPr>
          <w:p w14:paraId="5C288ED4">
            <w:pPr>
              <w:widowControl/>
              <w:spacing w:line="240" w:lineRule="auto"/>
              <w:ind w:firstLine="0" w:firstLineChars="0"/>
              <w:jc w:val="center"/>
              <w:rPr>
                <w:b/>
                <w:bCs/>
                <w:color w:val="auto"/>
                <w:kern w:val="0"/>
                <w:sz w:val="21"/>
                <w:szCs w:val="21"/>
              </w:rPr>
            </w:pPr>
            <w:r>
              <w:rPr>
                <w:b/>
                <w:bCs/>
                <w:color w:val="auto"/>
                <w:kern w:val="0"/>
                <w:sz w:val="21"/>
                <w:szCs w:val="21"/>
              </w:rPr>
              <w:t>污染物名称</w:t>
            </w:r>
          </w:p>
        </w:tc>
        <w:tc>
          <w:tcPr>
            <w:tcW w:w="513" w:type="pct"/>
            <w:vMerge w:val="restart"/>
            <w:vAlign w:val="center"/>
          </w:tcPr>
          <w:p w14:paraId="1AFC3BFA">
            <w:pPr>
              <w:widowControl/>
              <w:spacing w:line="240" w:lineRule="auto"/>
              <w:ind w:firstLine="0" w:firstLineChars="0"/>
              <w:jc w:val="center"/>
              <w:rPr>
                <w:b/>
                <w:bCs/>
                <w:color w:val="auto"/>
                <w:kern w:val="0"/>
                <w:sz w:val="21"/>
                <w:szCs w:val="21"/>
              </w:rPr>
            </w:pPr>
            <w:r>
              <w:rPr>
                <w:b/>
                <w:bCs/>
                <w:color w:val="auto"/>
                <w:kern w:val="0"/>
                <w:sz w:val="21"/>
                <w:szCs w:val="21"/>
              </w:rPr>
              <w:t>污染物排放速率/（kg/h）</w:t>
            </w:r>
          </w:p>
        </w:tc>
      </w:tr>
      <w:tr w14:paraId="1BD24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vMerge w:val="continue"/>
            <w:shd w:val="clear" w:color="auto" w:fill="auto"/>
            <w:vAlign w:val="center"/>
          </w:tcPr>
          <w:p w14:paraId="5B66076F">
            <w:pPr>
              <w:widowControl/>
              <w:spacing w:line="240" w:lineRule="auto"/>
              <w:ind w:firstLine="0" w:firstLineChars="0"/>
              <w:jc w:val="center"/>
              <w:rPr>
                <w:b/>
                <w:bCs/>
                <w:color w:val="auto"/>
                <w:kern w:val="0"/>
                <w:sz w:val="21"/>
                <w:szCs w:val="21"/>
              </w:rPr>
            </w:pPr>
          </w:p>
        </w:tc>
        <w:tc>
          <w:tcPr>
            <w:tcW w:w="413" w:type="pct"/>
            <w:vMerge w:val="continue"/>
            <w:shd w:val="clear" w:color="auto" w:fill="auto"/>
            <w:vAlign w:val="center"/>
          </w:tcPr>
          <w:p w14:paraId="74381F23">
            <w:pPr>
              <w:widowControl/>
              <w:spacing w:line="240" w:lineRule="auto"/>
              <w:ind w:firstLine="0" w:firstLineChars="0"/>
              <w:jc w:val="center"/>
              <w:rPr>
                <w:b/>
                <w:bCs/>
                <w:color w:val="auto"/>
                <w:kern w:val="0"/>
                <w:sz w:val="21"/>
                <w:szCs w:val="21"/>
              </w:rPr>
            </w:pPr>
          </w:p>
        </w:tc>
        <w:tc>
          <w:tcPr>
            <w:tcW w:w="301" w:type="pct"/>
            <w:shd w:val="clear" w:color="auto" w:fill="auto"/>
            <w:vAlign w:val="center"/>
          </w:tcPr>
          <w:p w14:paraId="280F7E8C">
            <w:pPr>
              <w:widowControl/>
              <w:spacing w:line="240" w:lineRule="auto"/>
              <w:ind w:firstLine="0" w:firstLineChars="0"/>
              <w:jc w:val="center"/>
              <w:rPr>
                <w:b/>
                <w:bCs/>
                <w:color w:val="auto"/>
                <w:kern w:val="0"/>
                <w:sz w:val="21"/>
                <w:szCs w:val="21"/>
              </w:rPr>
            </w:pPr>
            <w:r>
              <w:rPr>
                <w:b/>
                <w:bCs/>
                <w:color w:val="auto"/>
                <w:kern w:val="0"/>
                <w:sz w:val="21"/>
                <w:szCs w:val="21"/>
              </w:rPr>
              <w:t>X</w:t>
            </w:r>
          </w:p>
        </w:tc>
        <w:tc>
          <w:tcPr>
            <w:tcW w:w="342" w:type="pct"/>
            <w:shd w:val="clear" w:color="auto" w:fill="auto"/>
            <w:vAlign w:val="center"/>
          </w:tcPr>
          <w:p w14:paraId="75768C02">
            <w:pPr>
              <w:widowControl/>
              <w:spacing w:line="240" w:lineRule="auto"/>
              <w:ind w:firstLine="0" w:firstLineChars="0"/>
              <w:jc w:val="center"/>
              <w:rPr>
                <w:b/>
                <w:bCs/>
                <w:color w:val="auto"/>
                <w:kern w:val="0"/>
                <w:sz w:val="21"/>
                <w:szCs w:val="21"/>
              </w:rPr>
            </w:pPr>
            <w:r>
              <w:rPr>
                <w:b/>
                <w:bCs/>
                <w:color w:val="auto"/>
                <w:kern w:val="0"/>
                <w:sz w:val="21"/>
                <w:szCs w:val="21"/>
              </w:rPr>
              <w:t>Y</w:t>
            </w:r>
          </w:p>
        </w:tc>
        <w:tc>
          <w:tcPr>
            <w:tcW w:w="445" w:type="pct"/>
            <w:vMerge w:val="continue"/>
            <w:shd w:val="clear" w:color="auto" w:fill="auto"/>
            <w:vAlign w:val="center"/>
          </w:tcPr>
          <w:p w14:paraId="5FE6300C">
            <w:pPr>
              <w:widowControl/>
              <w:spacing w:line="240" w:lineRule="auto"/>
              <w:ind w:firstLine="0" w:firstLineChars="0"/>
              <w:jc w:val="center"/>
              <w:rPr>
                <w:color w:val="auto"/>
                <w:kern w:val="0"/>
                <w:sz w:val="21"/>
                <w:szCs w:val="21"/>
              </w:rPr>
            </w:pPr>
          </w:p>
        </w:tc>
        <w:tc>
          <w:tcPr>
            <w:tcW w:w="395" w:type="pct"/>
            <w:vMerge w:val="continue"/>
            <w:vAlign w:val="center"/>
          </w:tcPr>
          <w:p w14:paraId="1CCE1800">
            <w:pPr>
              <w:widowControl/>
              <w:spacing w:line="240" w:lineRule="auto"/>
              <w:ind w:firstLine="0" w:firstLineChars="0"/>
              <w:jc w:val="center"/>
              <w:rPr>
                <w:color w:val="auto"/>
                <w:kern w:val="0"/>
                <w:sz w:val="21"/>
                <w:szCs w:val="21"/>
              </w:rPr>
            </w:pPr>
          </w:p>
        </w:tc>
        <w:tc>
          <w:tcPr>
            <w:tcW w:w="445" w:type="pct"/>
            <w:vMerge w:val="continue"/>
            <w:vAlign w:val="center"/>
          </w:tcPr>
          <w:p w14:paraId="297B7119">
            <w:pPr>
              <w:widowControl/>
              <w:spacing w:line="240" w:lineRule="auto"/>
              <w:ind w:firstLine="0" w:firstLineChars="0"/>
              <w:jc w:val="center"/>
              <w:rPr>
                <w:color w:val="auto"/>
                <w:kern w:val="0"/>
                <w:sz w:val="21"/>
                <w:szCs w:val="21"/>
              </w:rPr>
            </w:pPr>
          </w:p>
        </w:tc>
        <w:tc>
          <w:tcPr>
            <w:tcW w:w="494" w:type="pct"/>
            <w:vMerge w:val="continue"/>
            <w:vAlign w:val="center"/>
          </w:tcPr>
          <w:p w14:paraId="7FAE8F4A">
            <w:pPr>
              <w:widowControl/>
              <w:spacing w:line="240" w:lineRule="auto"/>
              <w:ind w:firstLine="0" w:firstLineChars="0"/>
              <w:jc w:val="center"/>
              <w:rPr>
                <w:color w:val="auto"/>
                <w:kern w:val="0"/>
                <w:sz w:val="21"/>
                <w:szCs w:val="21"/>
              </w:rPr>
            </w:pPr>
          </w:p>
        </w:tc>
        <w:tc>
          <w:tcPr>
            <w:tcW w:w="346" w:type="pct"/>
            <w:vMerge w:val="continue"/>
            <w:shd w:val="clear" w:color="auto" w:fill="auto"/>
            <w:vAlign w:val="center"/>
          </w:tcPr>
          <w:p w14:paraId="66BC0776">
            <w:pPr>
              <w:widowControl/>
              <w:spacing w:line="240" w:lineRule="auto"/>
              <w:ind w:firstLine="0" w:firstLineChars="0"/>
              <w:jc w:val="center"/>
              <w:rPr>
                <w:color w:val="auto"/>
                <w:kern w:val="0"/>
                <w:sz w:val="21"/>
                <w:szCs w:val="21"/>
              </w:rPr>
            </w:pPr>
          </w:p>
        </w:tc>
        <w:tc>
          <w:tcPr>
            <w:tcW w:w="296" w:type="pct"/>
            <w:vMerge w:val="continue"/>
            <w:shd w:val="clear" w:color="auto" w:fill="auto"/>
            <w:vAlign w:val="center"/>
          </w:tcPr>
          <w:p w14:paraId="56772430">
            <w:pPr>
              <w:widowControl/>
              <w:spacing w:line="240" w:lineRule="auto"/>
              <w:ind w:firstLine="0" w:firstLineChars="0"/>
              <w:jc w:val="center"/>
              <w:rPr>
                <w:color w:val="auto"/>
                <w:kern w:val="0"/>
                <w:sz w:val="21"/>
                <w:szCs w:val="21"/>
              </w:rPr>
            </w:pPr>
          </w:p>
        </w:tc>
        <w:tc>
          <w:tcPr>
            <w:tcW w:w="246" w:type="pct"/>
            <w:vMerge w:val="continue"/>
            <w:shd w:val="clear" w:color="auto" w:fill="auto"/>
            <w:vAlign w:val="center"/>
          </w:tcPr>
          <w:p w14:paraId="33B43BFA">
            <w:pPr>
              <w:widowControl/>
              <w:spacing w:line="240" w:lineRule="auto"/>
              <w:ind w:firstLine="0" w:firstLineChars="0"/>
              <w:jc w:val="center"/>
              <w:rPr>
                <w:color w:val="auto"/>
                <w:kern w:val="0"/>
                <w:sz w:val="21"/>
                <w:szCs w:val="21"/>
              </w:rPr>
            </w:pPr>
          </w:p>
        </w:tc>
        <w:tc>
          <w:tcPr>
            <w:tcW w:w="494" w:type="pct"/>
            <w:vMerge w:val="continue"/>
            <w:vAlign w:val="center"/>
          </w:tcPr>
          <w:p w14:paraId="246DA6EF">
            <w:pPr>
              <w:widowControl/>
              <w:spacing w:line="240" w:lineRule="auto"/>
              <w:ind w:firstLine="0" w:firstLineChars="0"/>
              <w:jc w:val="center"/>
              <w:rPr>
                <w:color w:val="auto"/>
                <w:kern w:val="0"/>
                <w:sz w:val="21"/>
                <w:szCs w:val="21"/>
              </w:rPr>
            </w:pPr>
          </w:p>
        </w:tc>
        <w:tc>
          <w:tcPr>
            <w:tcW w:w="513" w:type="pct"/>
            <w:vMerge w:val="continue"/>
            <w:vAlign w:val="center"/>
          </w:tcPr>
          <w:p w14:paraId="1DA9F2BF">
            <w:pPr>
              <w:widowControl/>
              <w:spacing w:line="240" w:lineRule="auto"/>
              <w:ind w:firstLine="0" w:firstLineChars="0"/>
              <w:jc w:val="center"/>
              <w:rPr>
                <w:color w:val="auto"/>
                <w:kern w:val="0"/>
                <w:sz w:val="21"/>
                <w:szCs w:val="21"/>
              </w:rPr>
            </w:pPr>
          </w:p>
        </w:tc>
      </w:tr>
      <w:tr w14:paraId="0DC03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6DF99EFC">
            <w:pPr>
              <w:widowControl/>
              <w:spacing w:line="240" w:lineRule="auto"/>
              <w:ind w:firstLine="0" w:firstLineChars="0"/>
              <w:jc w:val="center"/>
              <w:rPr>
                <w:color w:val="auto"/>
                <w:kern w:val="0"/>
                <w:sz w:val="21"/>
                <w:szCs w:val="21"/>
              </w:rPr>
            </w:pPr>
            <w:r>
              <w:rPr>
                <w:color w:val="auto"/>
                <w:kern w:val="0"/>
                <w:sz w:val="21"/>
                <w:szCs w:val="21"/>
              </w:rPr>
              <w:t>1</w:t>
            </w:r>
          </w:p>
        </w:tc>
        <w:tc>
          <w:tcPr>
            <w:tcW w:w="413" w:type="pct"/>
            <w:vMerge w:val="restart"/>
            <w:shd w:val="clear" w:color="auto" w:fill="auto"/>
            <w:vAlign w:val="center"/>
          </w:tcPr>
          <w:p w14:paraId="1C5526E8">
            <w:pPr>
              <w:widowControl/>
              <w:spacing w:line="240" w:lineRule="auto"/>
              <w:ind w:firstLine="0" w:firstLineChars="0"/>
              <w:jc w:val="center"/>
              <w:rPr>
                <w:color w:val="auto"/>
                <w:kern w:val="0"/>
                <w:sz w:val="21"/>
                <w:szCs w:val="21"/>
              </w:rPr>
            </w:pPr>
            <w:r>
              <w:rPr>
                <w:rFonts w:hint="eastAsia"/>
                <w:color w:val="auto"/>
                <w:kern w:val="0"/>
                <w:sz w:val="21"/>
                <w:szCs w:val="21"/>
              </w:rPr>
              <w:t>厂房</w:t>
            </w:r>
          </w:p>
        </w:tc>
        <w:tc>
          <w:tcPr>
            <w:tcW w:w="301" w:type="pct"/>
            <w:vMerge w:val="restart"/>
            <w:shd w:val="clear" w:color="auto" w:fill="auto"/>
            <w:vAlign w:val="center"/>
          </w:tcPr>
          <w:p w14:paraId="09C2416A">
            <w:pPr>
              <w:widowControl/>
              <w:spacing w:line="240" w:lineRule="auto"/>
              <w:ind w:firstLine="0" w:firstLineChars="0"/>
              <w:jc w:val="center"/>
              <w:rPr>
                <w:color w:val="auto"/>
                <w:kern w:val="0"/>
                <w:sz w:val="21"/>
                <w:szCs w:val="21"/>
              </w:rPr>
            </w:pPr>
            <w:r>
              <w:rPr>
                <w:rFonts w:hint="eastAsia"/>
                <w:color w:val="auto"/>
                <w:kern w:val="0"/>
                <w:sz w:val="21"/>
                <w:szCs w:val="21"/>
              </w:rPr>
              <w:t>703870</w:t>
            </w:r>
          </w:p>
        </w:tc>
        <w:tc>
          <w:tcPr>
            <w:tcW w:w="342" w:type="pct"/>
            <w:vMerge w:val="restart"/>
            <w:shd w:val="clear" w:color="auto" w:fill="auto"/>
            <w:vAlign w:val="center"/>
          </w:tcPr>
          <w:p w14:paraId="7C543CA5">
            <w:pPr>
              <w:widowControl/>
              <w:spacing w:line="240" w:lineRule="auto"/>
              <w:ind w:firstLine="0" w:firstLineChars="0"/>
              <w:jc w:val="center"/>
              <w:rPr>
                <w:color w:val="auto"/>
                <w:kern w:val="0"/>
                <w:sz w:val="21"/>
                <w:szCs w:val="21"/>
              </w:rPr>
            </w:pPr>
            <w:r>
              <w:rPr>
                <w:rFonts w:hint="eastAsia"/>
                <w:color w:val="auto"/>
                <w:kern w:val="0"/>
                <w:sz w:val="21"/>
                <w:szCs w:val="21"/>
              </w:rPr>
              <w:t>3846441</w:t>
            </w:r>
          </w:p>
        </w:tc>
        <w:tc>
          <w:tcPr>
            <w:tcW w:w="445" w:type="pct"/>
            <w:vMerge w:val="restart"/>
            <w:shd w:val="clear" w:color="auto" w:fill="auto"/>
            <w:vAlign w:val="center"/>
          </w:tcPr>
          <w:p w14:paraId="46A78E89">
            <w:pPr>
              <w:widowControl/>
              <w:spacing w:line="240" w:lineRule="auto"/>
              <w:ind w:firstLine="0" w:firstLineChars="0"/>
              <w:jc w:val="center"/>
              <w:rPr>
                <w:color w:val="auto"/>
                <w:kern w:val="0"/>
                <w:sz w:val="21"/>
                <w:szCs w:val="21"/>
              </w:rPr>
            </w:pPr>
            <w:r>
              <w:rPr>
                <w:rFonts w:hint="eastAsia"/>
                <w:color w:val="auto"/>
                <w:kern w:val="0"/>
                <w:sz w:val="21"/>
                <w:szCs w:val="21"/>
              </w:rPr>
              <w:t>2.96</w:t>
            </w:r>
          </w:p>
        </w:tc>
        <w:tc>
          <w:tcPr>
            <w:tcW w:w="395" w:type="pct"/>
            <w:vMerge w:val="restart"/>
            <w:vAlign w:val="center"/>
          </w:tcPr>
          <w:p w14:paraId="2513FCB5">
            <w:pPr>
              <w:widowControl/>
              <w:spacing w:line="240" w:lineRule="auto"/>
              <w:ind w:firstLine="0" w:firstLineChars="0"/>
              <w:jc w:val="center"/>
              <w:rPr>
                <w:color w:val="auto"/>
                <w:kern w:val="0"/>
                <w:sz w:val="21"/>
                <w:szCs w:val="21"/>
              </w:rPr>
            </w:pPr>
            <w:r>
              <w:rPr>
                <w:rFonts w:hint="eastAsia"/>
                <w:color w:val="auto"/>
                <w:kern w:val="0"/>
                <w:sz w:val="21"/>
                <w:szCs w:val="21"/>
              </w:rPr>
              <w:t>213</w:t>
            </w:r>
          </w:p>
        </w:tc>
        <w:tc>
          <w:tcPr>
            <w:tcW w:w="445" w:type="pct"/>
            <w:vMerge w:val="restart"/>
            <w:vAlign w:val="center"/>
          </w:tcPr>
          <w:p w14:paraId="0AD2648E">
            <w:pPr>
              <w:widowControl/>
              <w:spacing w:line="240" w:lineRule="auto"/>
              <w:ind w:firstLine="0" w:firstLineChars="0"/>
              <w:jc w:val="center"/>
              <w:rPr>
                <w:color w:val="auto"/>
                <w:kern w:val="0"/>
                <w:sz w:val="21"/>
                <w:szCs w:val="21"/>
              </w:rPr>
            </w:pPr>
            <w:r>
              <w:rPr>
                <w:rFonts w:hint="eastAsia"/>
                <w:color w:val="auto"/>
                <w:kern w:val="0"/>
                <w:sz w:val="21"/>
                <w:szCs w:val="21"/>
              </w:rPr>
              <w:t>265</w:t>
            </w:r>
          </w:p>
        </w:tc>
        <w:tc>
          <w:tcPr>
            <w:tcW w:w="494" w:type="pct"/>
            <w:vAlign w:val="center"/>
          </w:tcPr>
          <w:p w14:paraId="446842EC">
            <w:pPr>
              <w:widowControl/>
              <w:spacing w:line="240" w:lineRule="auto"/>
              <w:ind w:firstLine="0" w:firstLineChars="0"/>
              <w:jc w:val="center"/>
              <w:rPr>
                <w:color w:val="auto"/>
                <w:kern w:val="0"/>
                <w:sz w:val="21"/>
                <w:szCs w:val="21"/>
              </w:rPr>
            </w:pPr>
            <w:r>
              <w:rPr>
                <w:color w:val="auto"/>
                <w:kern w:val="0"/>
                <w:sz w:val="21"/>
                <w:szCs w:val="21"/>
              </w:rPr>
              <w:t>/</w:t>
            </w:r>
          </w:p>
        </w:tc>
        <w:tc>
          <w:tcPr>
            <w:tcW w:w="346" w:type="pct"/>
            <w:vMerge w:val="restart"/>
            <w:shd w:val="clear" w:color="auto" w:fill="auto"/>
            <w:vAlign w:val="center"/>
          </w:tcPr>
          <w:p w14:paraId="6EDC3F6F">
            <w:pPr>
              <w:widowControl/>
              <w:spacing w:line="240" w:lineRule="auto"/>
              <w:ind w:firstLine="0" w:firstLineChars="0"/>
              <w:jc w:val="center"/>
              <w:rPr>
                <w:color w:val="auto"/>
                <w:kern w:val="0"/>
                <w:sz w:val="21"/>
                <w:szCs w:val="21"/>
              </w:rPr>
            </w:pPr>
            <w:r>
              <w:rPr>
                <w:rFonts w:hint="eastAsia"/>
                <w:color w:val="auto"/>
                <w:kern w:val="0"/>
                <w:sz w:val="21"/>
                <w:szCs w:val="21"/>
              </w:rPr>
              <w:t>24.9</w:t>
            </w:r>
          </w:p>
        </w:tc>
        <w:tc>
          <w:tcPr>
            <w:tcW w:w="296" w:type="pct"/>
            <w:vMerge w:val="restart"/>
            <w:shd w:val="clear" w:color="auto" w:fill="auto"/>
            <w:vAlign w:val="center"/>
          </w:tcPr>
          <w:p w14:paraId="127A6E27">
            <w:pPr>
              <w:spacing w:line="240" w:lineRule="auto"/>
              <w:ind w:firstLine="0" w:firstLineChars="0"/>
              <w:jc w:val="center"/>
              <w:rPr>
                <w:color w:val="auto"/>
                <w:kern w:val="0"/>
                <w:sz w:val="21"/>
                <w:szCs w:val="21"/>
              </w:rPr>
            </w:pPr>
            <w:r>
              <w:rPr>
                <w:rFonts w:hint="eastAsia"/>
                <w:color w:val="auto"/>
                <w:kern w:val="0"/>
                <w:sz w:val="21"/>
                <w:szCs w:val="21"/>
              </w:rPr>
              <w:t>7920</w:t>
            </w:r>
          </w:p>
        </w:tc>
        <w:tc>
          <w:tcPr>
            <w:tcW w:w="246" w:type="pct"/>
            <w:vMerge w:val="restart"/>
            <w:shd w:val="clear" w:color="auto" w:fill="auto"/>
            <w:vAlign w:val="center"/>
          </w:tcPr>
          <w:p w14:paraId="7DE08623">
            <w:pPr>
              <w:widowControl/>
              <w:spacing w:line="240" w:lineRule="auto"/>
              <w:ind w:firstLine="0" w:firstLineChars="0"/>
              <w:jc w:val="center"/>
              <w:rPr>
                <w:color w:val="auto"/>
                <w:kern w:val="0"/>
                <w:sz w:val="21"/>
                <w:szCs w:val="21"/>
              </w:rPr>
            </w:pPr>
            <w:r>
              <w:rPr>
                <w:color w:val="auto"/>
                <w:kern w:val="0"/>
                <w:sz w:val="21"/>
                <w:szCs w:val="21"/>
              </w:rPr>
              <w:t>正常</w:t>
            </w:r>
          </w:p>
        </w:tc>
        <w:tc>
          <w:tcPr>
            <w:tcW w:w="494" w:type="pct"/>
            <w:vAlign w:val="center"/>
          </w:tcPr>
          <w:p w14:paraId="2986E0DB">
            <w:pPr>
              <w:widowControl/>
              <w:spacing w:line="240" w:lineRule="auto"/>
              <w:ind w:firstLine="0" w:firstLineChars="0"/>
              <w:jc w:val="center"/>
              <w:rPr>
                <w:color w:val="auto"/>
                <w:kern w:val="0"/>
                <w:sz w:val="21"/>
                <w:szCs w:val="21"/>
              </w:rPr>
            </w:pPr>
            <w:r>
              <w:rPr>
                <w:color w:val="auto"/>
                <w:kern w:val="0"/>
                <w:sz w:val="21"/>
                <w:szCs w:val="21"/>
              </w:rPr>
              <w:t>颗粒物</w:t>
            </w:r>
          </w:p>
        </w:tc>
        <w:tc>
          <w:tcPr>
            <w:tcW w:w="513" w:type="pct"/>
            <w:vAlign w:val="center"/>
          </w:tcPr>
          <w:p w14:paraId="366CFA04">
            <w:pPr>
              <w:spacing w:line="240" w:lineRule="auto"/>
              <w:ind w:firstLine="0" w:firstLineChars="0"/>
              <w:jc w:val="center"/>
              <w:rPr>
                <w:color w:val="auto"/>
                <w:kern w:val="0"/>
                <w:sz w:val="21"/>
                <w:szCs w:val="21"/>
              </w:rPr>
            </w:pPr>
            <w:r>
              <w:rPr>
                <w:rFonts w:hint="eastAsia"/>
                <w:color w:val="auto"/>
                <w:kern w:val="0"/>
                <w:sz w:val="21"/>
                <w:szCs w:val="21"/>
              </w:rPr>
              <w:t>0.316</w:t>
            </w:r>
          </w:p>
        </w:tc>
      </w:tr>
      <w:tr w14:paraId="054E4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2226D754">
            <w:pPr>
              <w:widowControl/>
              <w:spacing w:line="240" w:lineRule="auto"/>
              <w:ind w:firstLine="0" w:firstLineChars="0"/>
              <w:jc w:val="center"/>
              <w:rPr>
                <w:color w:val="auto"/>
                <w:kern w:val="0"/>
                <w:sz w:val="21"/>
                <w:szCs w:val="21"/>
              </w:rPr>
            </w:pPr>
            <w:r>
              <w:rPr>
                <w:color w:val="auto"/>
                <w:kern w:val="0"/>
                <w:sz w:val="21"/>
                <w:szCs w:val="21"/>
              </w:rPr>
              <w:t>2</w:t>
            </w:r>
          </w:p>
        </w:tc>
        <w:tc>
          <w:tcPr>
            <w:tcW w:w="413" w:type="pct"/>
            <w:vMerge w:val="continue"/>
            <w:shd w:val="clear" w:color="auto" w:fill="auto"/>
            <w:vAlign w:val="center"/>
          </w:tcPr>
          <w:p w14:paraId="471F758D">
            <w:pPr>
              <w:widowControl/>
              <w:spacing w:line="240" w:lineRule="auto"/>
              <w:ind w:firstLine="0" w:firstLineChars="0"/>
              <w:jc w:val="center"/>
              <w:rPr>
                <w:color w:val="auto"/>
                <w:kern w:val="0"/>
                <w:sz w:val="21"/>
                <w:szCs w:val="21"/>
              </w:rPr>
            </w:pPr>
          </w:p>
        </w:tc>
        <w:tc>
          <w:tcPr>
            <w:tcW w:w="301" w:type="pct"/>
            <w:vMerge w:val="continue"/>
            <w:shd w:val="clear" w:color="auto" w:fill="auto"/>
            <w:vAlign w:val="center"/>
          </w:tcPr>
          <w:p w14:paraId="1CED795E">
            <w:pPr>
              <w:widowControl/>
              <w:spacing w:line="240" w:lineRule="auto"/>
              <w:ind w:firstLine="0" w:firstLineChars="0"/>
              <w:jc w:val="center"/>
              <w:rPr>
                <w:color w:val="auto"/>
                <w:sz w:val="21"/>
                <w:szCs w:val="21"/>
              </w:rPr>
            </w:pPr>
          </w:p>
        </w:tc>
        <w:tc>
          <w:tcPr>
            <w:tcW w:w="342" w:type="pct"/>
            <w:vMerge w:val="continue"/>
            <w:shd w:val="clear" w:color="auto" w:fill="auto"/>
            <w:vAlign w:val="center"/>
          </w:tcPr>
          <w:p w14:paraId="5D55C823">
            <w:pPr>
              <w:widowControl/>
              <w:spacing w:line="240" w:lineRule="auto"/>
              <w:ind w:firstLine="0" w:firstLineChars="0"/>
              <w:jc w:val="center"/>
              <w:rPr>
                <w:color w:val="auto"/>
                <w:sz w:val="21"/>
                <w:szCs w:val="21"/>
              </w:rPr>
            </w:pPr>
          </w:p>
        </w:tc>
        <w:tc>
          <w:tcPr>
            <w:tcW w:w="445" w:type="pct"/>
            <w:vMerge w:val="continue"/>
            <w:shd w:val="clear" w:color="auto" w:fill="auto"/>
            <w:vAlign w:val="center"/>
          </w:tcPr>
          <w:p w14:paraId="3EEBE15F">
            <w:pPr>
              <w:widowControl/>
              <w:spacing w:line="240" w:lineRule="auto"/>
              <w:ind w:firstLine="0" w:firstLineChars="0"/>
              <w:jc w:val="center"/>
              <w:rPr>
                <w:color w:val="auto"/>
                <w:kern w:val="0"/>
                <w:sz w:val="21"/>
                <w:szCs w:val="21"/>
              </w:rPr>
            </w:pPr>
          </w:p>
        </w:tc>
        <w:tc>
          <w:tcPr>
            <w:tcW w:w="395" w:type="pct"/>
            <w:vMerge w:val="continue"/>
            <w:vAlign w:val="center"/>
          </w:tcPr>
          <w:p w14:paraId="7A31E09C">
            <w:pPr>
              <w:widowControl/>
              <w:spacing w:line="240" w:lineRule="auto"/>
              <w:ind w:firstLine="0" w:firstLineChars="0"/>
              <w:jc w:val="center"/>
              <w:rPr>
                <w:color w:val="auto"/>
                <w:kern w:val="0"/>
                <w:sz w:val="21"/>
                <w:szCs w:val="21"/>
              </w:rPr>
            </w:pPr>
          </w:p>
        </w:tc>
        <w:tc>
          <w:tcPr>
            <w:tcW w:w="445" w:type="pct"/>
            <w:vMerge w:val="continue"/>
            <w:vAlign w:val="center"/>
          </w:tcPr>
          <w:p w14:paraId="6682BE79">
            <w:pPr>
              <w:widowControl/>
              <w:spacing w:line="240" w:lineRule="auto"/>
              <w:ind w:firstLine="0" w:firstLineChars="0"/>
              <w:jc w:val="center"/>
              <w:rPr>
                <w:color w:val="auto"/>
                <w:kern w:val="0"/>
                <w:sz w:val="21"/>
                <w:szCs w:val="21"/>
              </w:rPr>
            </w:pPr>
          </w:p>
        </w:tc>
        <w:tc>
          <w:tcPr>
            <w:tcW w:w="494" w:type="pct"/>
            <w:vAlign w:val="center"/>
          </w:tcPr>
          <w:p w14:paraId="40D22743">
            <w:pPr>
              <w:widowControl/>
              <w:spacing w:line="240" w:lineRule="auto"/>
              <w:ind w:firstLine="0" w:firstLineChars="0"/>
              <w:jc w:val="center"/>
              <w:rPr>
                <w:color w:val="auto"/>
                <w:kern w:val="0"/>
                <w:sz w:val="21"/>
                <w:szCs w:val="21"/>
              </w:rPr>
            </w:pPr>
            <w:r>
              <w:rPr>
                <w:color w:val="auto"/>
                <w:kern w:val="0"/>
                <w:sz w:val="21"/>
                <w:szCs w:val="21"/>
              </w:rPr>
              <w:t>/</w:t>
            </w:r>
          </w:p>
        </w:tc>
        <w:tc>
          <w:tcPr>
            <w:tcW w:w="346" w:type="pct"/>
            <w:vMerge w:val="continue"/>
            <w:shd w:val="clear" w:color="auto" w:fill="auto"/>
            <w:vAlign w:val="center"/>
          </w:tcPr>
          <w:p w14:paraId="5939001E">
            <w:pPr>
              <w:widowControl/>
              <w:spacing w:line="240" w:lineRule="auto"/>
              <w:ind w:firstLine="0" w:firstLineChars="0"/>
              <w:jc w:val="center"/>
              <w:rPr>
                <w:color w:val="auto"/>
                <w:kern w:val="0"/>
                <w:sz w:val="21"/>
                <w:szCs w:val="21"/>
              </w:rPr>
            </w:pPr>
          </w:p>
        </w:tc>
        <w:tc>
          <w:tcPr>
            <w:tcW w:w="296" w:type="pct"/>
            <w:vMerge w:val="continue"/>
            <w:shd w:val="clear" w:color="auto" w:fill="auto"/>
            <w:vAlign w:val="center"/>
          </w:tcPr>
          <w:p w14:paraId="7AC66360">
            <w:pPr>
              <w:widowControl/>
              <w:spacing w:line="240" w:lineRule="auto"/>
              <w:ind w:firstLine="0" w:firstLineChars="0"/>
              <w:jc w:val="center"/>
              <w:rPr>
                <w:color w:val="auto"/>
                <w:kern w:val="0"/>
                <w:sz w:val="21"/>
                <w:szCs w:val="21"/>
              </w:rPr>
            </w:pPr>
          </w:p>
        </w:tc>
        <w:tc>
          <w:tcPr>
            <w:tcW w:w="246" w:type="pct"/>
            <w:vMerge w:val="continue"/>
            <w:shd w:val="clear" w:color="auto" w:fill="auto"/>
            <w:vAlign w:val="center"/>
          </w:tcPr>
          <w:p w14:paraId="27DF49F8">
            <w:pPr>
              <w:widowControl/>
              <w:spacing w:line="240" w:lineRule="auto"/>
              <w:ind w:firstLine="0" w:firstLineChars="0"/>
              <w:jc w:val="center"/>
              <w:rPr>
                <w:color w:val="auto"/>
                <w:kern w:val="0"/>
                <w:sz w:val="21"/>
                <w:szCs w:val="21"/>
              </w:rPr>
            </w:pPr>
          </w:p>
        </w:tc>
        <w:tc>
          <w:tcPr>
            <w:tcW w:w="494" w:type="pct"/>
            <w:shd w:val="clear" w:color="auto" w:fill="auto"/>
            <w:vAlign w:val="center"/>
          </w:tcPr>
          <w:p w14:paraId="3C257EBE">
            <w:pPr>
              <w:widowControl/>
              <w:spacing w:line="240" w:lineRule="auto"/>
              <w:ind w:firstLine="0" w:firstLineChars="0"/>
              <w:jc w:val="center"/>
              <w:rPr>
                <w:color w:val="auto"/>
                <w:kern w:val="0"/>
                <w:sz w:val="21"/>
                <w:szCs w:val="21"/>
              </w:rPr>
            </w:pPr>
            <w:r>
              <w:rPr>
                <w:rFonts w:hint="eastAsia"/>
                <w:color w:val="auto"/>
                <w:kern w:val="0"/>
                <w:sz w:val="21"/>
                <w:szCs w:val="21"/>
              </w:rPr>
              <w:t>硫酸雾</w:t>
            </w:r>
          </w:p>
        </w:tc>
        <w:tc>
          <w:tcPr>
            <w:tcW w:w="513" w:type="pct"/>
            <w:shd w:val="clear" w:color="auto" w:fill="auto"/>
            <w:vAlign w:val="center"/>
          </w:tcPr>
          <w:p w14:paraId="057C1C17">
            <w:pPr>
              <w:spacing w:line="240" w:lineRule="auto"/>
              <w:ind w:firstLine="0" w:firstLineChars="0"/>
              <w:jc w:val="center"/>
              <w:rPr>
                <w:color w:val="auto"/>
                <w:kern w:val="0"/>
                <w:sz w:val="21"/>
                <w:szCs w:val="21"/>
              </w:rPr>
            </w:pPr>
            <w:r>
              <w:rPr>
                <w:rFonts w:hint="eastAsia"/>
                <w:color w:val="auto"/>
                <w:kern w:val="0"/>
                <w:sz w:val="21"/>
                <w:szCs w:val="21"/>
              </w:rPr>
              <w:t>0.264</w:t>
            </w:r>
          </w:p>
        </w:tc>
      </w:tr>
      <w:tr w14:paraId="61443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265604B2">
            <w:pPr>
              <w:widowControl/>
              <w:spacing w:line="240" w:lineRule="auto"/>
              <w:ind w:firstLine="0" w:firstLineChars="0"/>
              <w:jc w:val="center"/>
              <w:rPr>
                <w:color w:val="auto"/>
                <w:kern w:val="0"/>
                <w:sz w:val="21"/>
                <w:szCs w:val="21"/>
              </w:rPr>
            </w:pPr>
            <w:r>
              <w:rPr>
                <w:rFonts w:hint="eastAsia"/>
                <w:color w:val="auto"/>
                <w:kern w:val="0"/>
                <w:sz w:val="21"/>
                <w:szCs w:val="21"/>
              </w:rPr>
              <w:t>3</w:t>
            </w:r>
          </w:p>
        </w:tc>
        <w:tc>
          <w:tcPr>
            <w:tcW w:w="413" w:type="pct"/>
            <w:vMerge w:val="continue"/>
            <w:shd w:val="clear" w:color="auto" w:fill="auto"/>
            <w:vAlign w:val="center"/>
          </w:tcPr>
          <w:p w14:paraId="4CFED8A3">
            <w:pPr>
              <w:widowControl/>
              <w:spacing w:line="240" w:lineRule="auto"/>
              <w:ind w:firstLine="0" w:firstLineChars="0"/>
              <w:jc w:val="center"/>
              <w:rPr>
                <w:color w:val="auto"/>
                <w:kern w:val="0"/>
                <w:sz w:val="21"/>
                <w:szCs w:val="21"/>
              </w:rPr>
            </w:pPr>
          </w:p>
        </w:tc>
        <w:tc>
          <w:tcPr>
            <w:tcW w:w="301" w:type="pct"/>
            <w:vMerge w:val="continue"/>
            <w:shd w:val="clear" w:color="auto" w:fill="auto"/>
            <w:vAlign w:val="center"/>
          </w:tcPr>
          <w:p w14:paraId="67C9B2FD">
            <w:pPr>
              <w:widowControl/>
              <w:spacing w:line="240" w:lineRule="auto"/>
              <w:ind w:firstLine="0" w:firstLineChars="0"/>
              <w:jc w:val="center"/>
              <w:rPr>
                <w:color w:val="auto"/>
                <w:sz w:val="21"/>
                <w:szCs w:val="21"/>
              </w:rPr>
            </w:pPr>
          </w:p>
        </w:tc>
        <w:tc>
          <w:tcPr>
            <w:tcW w:w="342" w:type="pct"/>
            <w:vMerge w:val="continue"/>
            <w:shd w:val="clear" w:color="auto" w:fill="auto"/>
            <w:vAlign w:val="center"/>
          </w:tcPr>
          <w:p w14:paraId="3FE48294">
            <w:pPr>
              <w:widowControl/>
              <w:spacing w:line="240" w:lineRule="auto"/>
              <w:ind w:firstLine="0" w:firstLineChars="0"/>
              <w:jc w:val="center"/>
              <w:rPr>
                <w:color w:val="auto"/>
                <w:sz w:val="21"/>
                <w:szCs w:val="21"/>
              </w:rPr>
            </w:pPr>
          </w:p>
        </w:tc>
        <w:tc>
          <w:tcPr>
            <w:tcW w:w="445" w:type="pct"/>
            <w:vMerge w:val="continue"/>
            <w:shd w:val="clear" w:color="auto" w:fill="auto"/>
            <w:vAlign w:val="center"/>
          </w:tcPr>
          <w:p w14:paraId="3C724C78">
            <w:pPr>
              <w:widowControl/>
              <w:spacing w:line="240" w:lineRule="auto"/>
              <w:ind w:firstLine="0" w:firstLineChars="0"/>
              <w:jc w:val="center"/>
              <w:rPr>
                <w:color w:val="auto"/>
                <w:kern w:val="0"/>
                <w:sz w:val="21"/>
                <w:szCs w:val="21"/>
              </w:rPr>
            </w:pPr>
          </w:p>
        </w:tc>
        <w:tc>
          <w:tcPr>
            <w:tcW w:w="395" w:type="pct"/>
            <w:vMerge w:val="continue"/>
            <w:vAlign w:val="center"/>
          </w:tcPr>
          <w:p w14:paraId="07EC763B">
            <w:pPr>
              <w:widowControl/>
              <w:spacing w:line="240" w:lineRule="auto"/>
              <w:ind w:firstLine="0" w:firstLineChars="0"/>
              <w:jc w:val="center"/>
              <w:rPr>
                <w:color w:val="auto"/>
                <w:kern w:val="0"/>
                <w:sz w:val="21"/>
                <w:szCs w:val="21"/>
              </w:rPr>
            </w:pPr>
          </w:p>
        </w:tc>
        <w:tc>
          <w:tcPr>
            <w:tcW w:w="445" w:type="pct"/>
            <w:vMerge w:val="continue"/>
            <w:vAlign w:val="center"/>
          </w:tcPr>
          <w:p w14:paraId="158078B9">
            <w:pPr>
              <w:widowControl/>
              <w:spacing w:line="240" w:lineRule="auto"/>
              <w:ind w:firstLine="0" w:firstLineChars="0"/>
              <w:jc w:val="center"/>
              <w:rPr>
                <w:color w:val="auto"/>
                <w:kern w:val="0"/>
                <w:sz w:val="21"/>
                <w:szCs w:val="21"/>
              </w:rPr>
            </w:pPr>
          </w:p>
        </w:tc>
        <w:tc>
          <w:tcPr>
            <w:tcW w:w="494" w:type="pct"/>
            <w:vAlign w:val="center"/>
          </w:tcPr>
          <w:p w14:paraId="7CA40906">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346" w:type="pct"/>
            <w:vMerge w:val="continue"/>
            <w:shd w:val="clear" w:color="auto" w:fill="auto"/>
            <w:vAlign w:val="center"/>
          </w:tcPr>
          <w:p w14:paraId="3BFB37BF">
            <w:pPr>
              <w:widowControl/>
              <w:spacing w:line="240" w:lineRule="auto"/>
              <w:ind w:firstLine="0" w:firstLineChars="0"/>
              <w:jc w:val="center"/>
              <w:rPr>
                <w:color w:val="auto"/>
                <w:kern w:val="0"/>
                <w:sz w:val="21"/>
                <w:szCs w:val="21"/>
              </w:rPr>
            </w:pPr>
          </w:p>
        </w:tc>
        <w:tc>
          <w:tcPr>
            <w:tcW w:w="296" w:type="pct"/>
            <w:vMerge w:val="continue"/>
            <w:shd w:val="clear" w:color="auto" w:fill="auto"/>
            <w:vAlign w:val="center"/>
          </w:tcPr>
          <w:p w14:paraId="2F966AF0">
            <w:pPr>
              <w:widowControl/>
              <w:spacing w:line="240" w:lineRule="auto"/>
              <w:ind w:firstLine="0" w:firstLineChars="0"/>
              <w:jc w:val="center"/>
              <w:rPr>
                <w:color w:val="auto"/>
                <w:kern w:val="0"/>
                <w:sz w:val="21"/>
                <w:szCs w:val="21"/>
              </w:rPr>
            </w:pPr>
          </w:p>
        </w:tc>
        <w:tc>
          <w:tcPr>
            <w:tcW w:w="246" w:type="pct"/>
            <w:vMerge w:val="continue"/>
            <w:shd w:val="clear" w:color="auto" w:fill="auto"/>
            <w:vAlign w:val="center"/>
          </w:tcPr>
          <w:p w14:paraId="389136C8">
            <w:pPr>
              <w:widowControl/>
              <w:spacing w:line="240" w:lineRule="auto"/>
              <w:ind w:firstLine="0" w:firstLineChars="0"/>
              <w:jc w:val="center"/>
              <w:rPr>
                <w:color w:val="auto"/>
                <w:kern w:val="0"/>
                <w:sz w:val="21"/>
                <w:szCs w:val="21"/>
              </w:rPr>
            </w:pPr>
          </w:p>
        </w:tc>
        <w:tc>
          <w:tcPr>
            <w:tcW w:w="494" w:type="pct"/>
            <w:vAlign w:val="center"/>
          </w:tcPr>
          <w:p w14:paraId="35EF55F9">
            <w:pPr>
              <w:widowControl/>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513" w:type="pct"/>
            <w:vAlign w:val="center"/>
          </w:tcPr>
          <w:p w14:paraId="39C1F797">
            <w:pPr>
              <w:spacing w:line="240" w:lineRule="auto"/>
              <w:ind w:firstLine="0" w:firstLineChars="0"/>
              <w:jc w:val="center"/>
              <w:rPr>
                <w:color w:val="auto"/>
                <w:kern w:val="0"/>
                <w:sz w:val="21"/>
                <w:szCs w:val="21"/>
              </w:rPr>
            </w:pPr>
            <w:r>
              <w:rPr>
                <w:rFonts w:hint="eastAsia"/>
                <w:color w:val="auto"/>
                <w:kern w:val="0"/>
                <w:sz w:val="21"/>
                <w:szCs w:val="21"/>
              </w:rPr>
              <w:t>0.071</w:t>
            </w:r>
          </w:p>
        </w:tc>
      </w:tr>
    </w:tbl>
    <w:p w14:paraId="10E3BE4E">
      <w:pPr>
        <w:ind w:firstLine="482"/>
        <w:rPr>
          <w:b/>
          <w:bCs/>
          <w:color w:val="auto"/>
          <w:kern w:val="0"/>
          <w:szCs w:val="20"/>
        </w:rPr>
      </w:pPr>
      <w:r>
        <w:rPr>
          <w:b/>
          <w:bCs/>
          <w:color w:val="auto"/>
          <w:kern w:val="0"/>
          <w:szCs w:val="20"/>
        </w:rPr>
        <w:t>（2）预测结果</w:t>
      </w:r>
    </w:p>
    <w:p w14:paraId="0C086EC3">
      <w:pPr>
        <w:ind w:firstLine="480"/>
        <w:rPr>
          <w:color w:val="auto"/>
          <w:kern w:val="0"/>
          <w:szCs w:val="20"/>
        </w:rPr>
      </w:pPr>
      <w:r>
        <w:rPr>
          <w:color w:val="auto"/>
          <w:kern w:val="0"/>
          <w:szCs w:val="20"/>
        </w:rPr>
        <w:t>根据《环境影响评价技术导则 大气环境》（HJ2.2-2018）中相关规定，采用估算模式AERSCREEN预测结果见表</w:t>
      </w:r>
      <w:r>
        <w:rPr>
          <w:rFonts w:hint="eastAsia"/>
          <w:color w:val="auto"/>
          <w:kern w:val="0"/>
          <w:szCs w:val="20"/>
        </w:rPr>
        <w:t>6</w:t>
      </w:r>
      <w:r>
        <w:rPr>
          <w:color w:val="auto"/>
          <w:kern w:val="0"/>
          <w:szCs w:val="20"/>
        </w:rPr>
        <w:t>.2</w:t>
      </w:r>
      <w:r>
        <w:rPr>
          <w:rFonts w:hint="eastAsia"/>
          <w:color w:val="auto"/>
          <w:kern w:val="0"/>
          <w:szCs w:val="20"/>
        </w:rPr>
        <w:t>.1</w:t>
      </w:r>
      <w:r>
        <w:rPr>
          <w:color w:val="auto"/>
          <w:kern w:val="0"/>
          <w:szCs w:val="20"/>
        </w:rPr>
        <w:t>-4~</w:t>
      </w:r>
      <w:r>
        <w:rPr>
          <w:rFonts w:hint="eastAsia"/>
          <w:color w:val="auto"/>
          <w:kern w:val="0"/>
          <w:szCs w:val="20"/>
        </w:rPr>
        <w:t>6</w:t>
      </w:r>
      <w:r>
        <w:rPr>
          <w:color w:val="auto"/>
          <w:kern w:val="0"/>
          <w:szCs w:val="20"/>
        </w:rPr>
        <w:t>.2</w:t>
      </w:r>
      <w:r>
        <w:rPr>
          <w:rFonts w:hint="eastAsia"/>
          <w:color w:val="auto"/>
          <w:kern w:val="0"/>
          <w:szCs w:val="20"/>
        </w:rPr>
        <w:t>.1</w:t>
      </w:r>
      <w:r>
        <w:rPr>
          <w:color w:val="auto"/>
          <w:kern w:val="0"/>
          <w:szCs w:val="20"/>
        </w:rPr>
        <w:t>-6。</w:t>
      </w:r>
    </w:p>
    <w:p w14:paraId="3A8DD9B3">
      <w:pPr>
        <w:widowControl/>
        <w:spacing w:line="240" w:lineRule="auto"/>
        <w:ind w:firstLine="0" w:firstLineChars="0"/>
        <w:jc w:val="center"/>
        <w:rPr>
          <w:b/>
          <w:bCs/>
          <w:color w:val="auto"/>
          <w:kern w:val="0"/>
        </w:rPr>
      </w:pPr>
      <w:r>
        <w:rPr>
          <w:b/>
          <w:bCs/>
          <w:color w:val="auto"/>
          <w:kern w:val="0"/>
        </w:rPr>
        <w:t>表</w:t>
      </w:r>
      <w:r>
        <w:rPr>
          <w:rFonts w:hint="eastAsia"/>
          <w:b/>
          <w:bCs/>
          <w:color w:val="auto"/>
          <w:kern w:val="0"/>
        </w:rPr>
        <w:t>6</w:t>
      </w:r>
      <w:r>
        <w:rPr>
          <w:b/>
          <w:bCs/>
          <w:color w:val="auto"/>
          <w:kern w:val="0"/>
        </w:rPr>
        <w:t>.2</w:t>
      </w:r>
      <w:r>
        <w:rPr>
          <w:rFonts w:hint="eastAsia"/>
          <w:b/>
          <w:bCs/>
          <w:color w:val="auto"/>
          <w:kern w:val="0"/>
        </w:rPr>
        <w:t>.1</w:t>
      </w:r>
      <w:r>
        <w:rPr>
          <w:b/>
          <w:bCs/>
          <w:color w:val="auto"/>
          <w:kern w:val="0"/>
        </w:rPr>
        <w:t>-4  有组织废气估算模型计算结果表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47"/>
        <w:gridCol w:w="1192"/>
        <w:gridCol w:w="828"/>
        <w:gridCol w:w="1390"/>
        <w:gridCol w:w="1067"/>
        <w:gridCol w:w="1387"/>
        <w:gridCol w:w="684"/>
        <w:gridCol w:w="1279"/>
        <w:gridCol w:w="585"/>
        <w:gridCol w:w="998"/>
        <w:gridCol w:w="482"/>
        <w:gridCol w:w="1054"/>
        <w:gridCol w:w="490"/>
        <w:gridCol w:w="1088"/>
        <w:gridCol w:w="601"/>
      </w:tblGrid>
      <w:tr w14:paraId="7F979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blHeader/>
          <w:jc w:val="center"/>
        </w:trPr>
        <w:tc>
          <w:tcPr>
            <w:tcW w:w="369" w:type="pct"/>
            <w:vMerge w:val="restart"/>
            <w:shd w:val="clear" w:color="auto" w:fill="auto"/>
            <w:vAlign w:val="center"/>
          </w:tcPr>
          <w:p w14:paraId="6EE57DF8">
            <w:pPr>
              <w:widowControl/>
              <w:spacing w:line="240" w:lineRule="auto"/>
              <w:ind w:firstLine="0" w:firstLineChars="0"/>
              <w:jc w:val="center"/>
              <w:rPr>
                <w:b/>
                <w:bCs/>
                <w:color w:val="auto"/>
                <w:kern w:val="0"/>
                <w:sz w:val="21"/>
                <w:szCs w:val="21"/>
              </w:rPr>
            </w:pPr>
            <w:r>
              <w:rPr>
                <w:b/>
                <w:bCs/>
                <w:color w:val="auto"/>
                <w:kern w:val="0"/>
                <w:sz w:val="21"/>
                <w:szCs w:val="21"/>
              </w:rPr>
              <w:t>下风向距离/m</w:t>
            </w:r>
          </w:p>
        </w:tc>
        <w:tc>
          <w:tcPr>
            <w:tcW w:w="2308" w:type="pct"/>
            <w:gridSpan w:val="6"/>
            <w:shd w:val="clear" w:color="auto" w:fill="auto"/>
            <w:noWrap/>
            <w:vAlign w:val="center"/>
          </w:tcPr>
          <w:p w14:paraId="751E7A0B">
            <w:pPr>
              <w:widowControl/>
              <w:spacing w:line="240" w:lineRule="auto"/>
              <w:ind w:firstLine="0" w:firstLineChars="0"/>
              <w:jc w:val="center"/>
              <w:rPr>
                <w:b/>
                <w:bCs/>
                <w:color w:val="auto"/>
                <w:kern w:val="0"/>
                <w:sz w:val="21"/>
                <w:szCs w:val="21"/>
              </w:rPr>
            </w:pPr>
            <w:r>
              <w:rPr>
                <w:b/>
                <w:bCs/>
                <w:color w:val="auto"/>
                <w:kern w:val="0"/>
                <w:sz w:val="21"/>
                <w:szCs w:val="21"/>
              </w:rPr>
              <w:t>DA001</w:t>
            </w:r>
          </w:p>
        </w:tc>
        <w:tc>
          <w:tcPr>
            <w:tcW w:w="1724" w:type="pct"/>
            <w:gridSpan w:val="6"/>
          </w:tcPr>
          <w:p w14:paraId="2D3CE804">
            <w:pPr>
              <w:widowControl/>
              <w:spacing w:line="240" w:lineRule="auto"/>
              <w:ind w:firstLine="0" w:firstLineChars="0"/>
              <w:jc w:val="center"/>
              <w:rPr>
                <w:b/>
                <w:bCs/>
                <w:color w:val="auto"/>
                <w:kern w:val="0"/>
                <w:sz w:val="21"/>
                <w:szCs w:val="21"/>
              </w:rPr>
            </w:pPr>
            <w:r>
              <w:rPr>
                <w:b/>
                <w:bCs/>
                <w:color w:val="auto"/>
                <w:kern w:val="0"/>
                <w:sz w:val="21"/>
                <w:szCs w:val="21"/>
              </w:rPr>
              <w:t>DA00</w:t>
            </w:r>
            <w:r>
              <w:rPr>
                <w:rFonts w:hint="eastAsia"/>
                <w:b/>
                <w:bCs/>
                <w:color w:val="auto"/>
                <w:kern w:val="0"/>
                <w:sz w:val="21"/>
                <w:szCs w:val="21"/>
              </w:rPr>
              <w:t>2</w:t>
            </w:r>
          </w:p>
        </w:tc>
        <w:tc>
          <w:tcPr>
            <w:tcW w:w="596" w:type="pct"/>
            <w:gridSpan w:val="2"/>
            <w:shd w:val="clear" w:color="auto" w:fill="auto"/>
            <w:vAlign w:val="center"/>
          </w:tcPr>
          <w:p w14:paraId="149DAA36">
            <w:pPr>
              <w:widowControl/>
              <w:spacing w:line="240" w:lineRule="auto"/>
              <w:ind w:firstLine="0" w:firstLineChars="0"/>
              <w:jc w:val="center"/>
              <w:rPr>
                <w:b/>
                <w:bCs/>
                <w:color w:val="auto"/>
                <w:kern w:val="0"/>
                <w:sz w:val="21"/>
                <w:szCs w:val="21"/>
              </w:rPr>
            </w:pPr>
            <w:r>
              <w:rPr>
                <w:b/>
                <w:bCs/>
                <w:color w:val="auto"/>
                <w:kern w:val="0"/>
                <w:sz w:val="21"/>
                <w:szCs w:val="21"/>
              </w:rPr>
              <w:t>DA00</w:t>
            </w:r>
            <w:r>
              <w:rPr>
                <w:rFonts w:hint="eastAsia"/>
                <w:b/>
                <w:bCs/>
                <w:color w:val="auto"/>
                <w:kern w:val="0"/>
                <w:sz w:val="21"/>
                <w:szCs w:val="21"/>
              </w:rPr>
              <w:t>4</w:t>
            </w:r>
          </w:p>
        </w:tc>
      </w:tr>
      <w:tr w14:paraId="380E7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blHeader/>
          <w:jc w:val="center"/>
        </w:trPr>
        <w:tc>
          <w:tcPr>
            <w:tcW w:w="369" w:type="pct"/>
            <w:vMerge w:val="continue"/>
            <w:vAlign w:val="center"/>
          </w:tcPr>
          <w:p w14:paraId="7631AAB0">
            <w:pPr>
              <w:widowControl/>
              <w:spacing w:line="240" w:lineRule="auto"/>
              <w:ind w:firstLine="0" w:firstLineChars="0"/>
              <w:jc w:val="center"/>
              <w:rPr>
                <w:b/>
                <w:bCs/>
                <w:color w:val="auto"/>
                <w:kern w:val="0"/>
                <w:sz w:val="21"/>
                <w:szCs w:val="21"/>
              </w:rPr>
            </w:pPr>
          </w:p>
        </w:tc>
        <w:tc>
          <w:tcPr>
            <w:tcW w:w="712" w:type="pct"/>
            <w:gridSpan w:val="2"/>
            <w:shd w:val="clear" w:color="auto" w:fill="auto"/>
            <w:noWrap/>
            <w:vAlign w:val="center"/>
          </w:tcPr>
          <w:p w14:paraId="6A6E0DE8">
            <w:pPr>
              <w:widowControl/>
              <w:spacing w:line="240" w:lineRule="auto"/>
              <w:ind w:firstLine="0" w:firstLineChars="0"/>
              <w:jc w:val="center"/>
              <w:rPr>
                <w:b/>
                <w:bCs/>
                <w:color w:val="auto"/>
                <w:kern w:val="0"/>
                <w:sz w:val="21"/>
                <w:szCs w:val="21"/>
              </w:rPr>
            </w:pPr>
            <w:r>
              <w:rPr>
                <w:b/>
                <w:bCs/>
                <w:color w:val="auto"/>
                <w:kern w:val="0"/>
                <w:sz w:val="21"/>
                <w:szCs w:val="21"/>
              </w:rPr>
              <w:t>颗粒物</w:t>
            </w:r>
          </w:p>
        </w:tc>
        <w:tc>
          <w:tcPr>
            <w:tcW w:w="866" w:type="pct"/>
            <w:gridSpan w:val="2"/>
            <w:shd w:val="clear" w:color="auto" w:fill="auto"/>
            <w:vAlign w:val="center"/>
          </w:tcPr>
          <w:p w14:paraId="1B1873BF">
            <w:pPr>
              <w:widowControl/>
              <w:spacing w:line="240" w:lineRule="auto"/>
              <w:ind w:firstLine="0" w:firstLineChars="0"/>
              <w:jc w:val="center"/>
              <w:rPr>
                <w:b/>
                <w:bCs/>
                <w:color w:val="auto"/>
                <w:kern w:val="0"/>
                <w:sz w:val="21"/>
                <w:szCs w:val="21"/>
              </w:rPr>
            </w:pPr>
            <w:r>
              <w:rPr>
                <w:rFonts w:hint="eastAsia"/>
                <w:b/>
                <w:bCs/>
                <w:color w:val="auto"/>
                <w:kern w:val="0"/>
                <w:sz w:val="21"/>
                <w:szCs w:val="21"/>
              </w:rPr>
              <w:t>SO</w:t>
            </w:r>
            <w:r>
              <w:rPr>
                <w:rFonts w:hint="eastAsia"/>
                <w:b/>
                <w:bCs/>
                <w:color w:val="auto"/>
                <w:kern w:val="0"/>
                <w:sz w:val="21"/>
                <w:szCs w:val="21"/>
                <w:vertAlign w:val="subscript"/>
              </w:rPr>
              <w:t>2</w:t>
            </w:r>
          </w:p>
        </w:tc>
        <w:tc>
          <w:tcPr>
            <w:tcW w:w="729" w:type="pct"/>
            <w:gridSpan w:val="2"/>
            <w:shd w:val="clear" w:color="auto" w:fill="auto"/>
            <w:vAlign w:val="center"/>
          </w:tcPr>
          <w:p w14:paraId="141D2089">
            <w:pPr>
              <w:widowControl/>
              <w:spacing w:line="240" w:lineRule="auto"/>
              <w:ind w:firstLine="0" w:firstLineChars="0"/>
              <w:jc w:val="center"/>
              <w:rPr>
                <w:b/>
                <w:bCs/>
                <w:color w:val="auto"/>
                <w:kern w:val="0"/>
                <w:sz w:val="21"/>
                <w:szCs w:val="21"/>
              </w:rPr>
            </w:pPr>
            <w:r>
              <w:rPr>
                <w:rFonts w:hint="eastAsia"/>
                <w:b/>
                <w:bCs/>
                <w:color w:val="auto"/>
                <w:kern w:val="0"/>
                <w:sz w:val="21"/>
                <w:szCs w:val="21"/>
              </w:rPr>
              <w:t>NO</w:t>
            </w:r>
            <w:r>
              <w:rPr>
                <w:rFonts w:hint="eastAsia"/>
                <w:b/>
                <w:bCs/>
                <w:color w:val="auto"/>
                <w:kern w:val="0"/>
                <w:sz w:val="21"/>
                <w:szCs w:val="21"/>
                <w:vertAlign w:val="subscript"/>
              </w:rPr>
              <w:t>2</w:t>
            </w:r>
          </w:p>
        </w:tc>
        <w:tc>
          <w:tcPr>
            <w:tcW w:w="657" w:type="pct"/>
            <w:gridSpan w:val="2"/>
            <w:shd w:val="clear" w:color="auto" w:fill="auto"/>
            <w:vAlign w:val="center"/>
          </w:tcPr>
          <w:p w14:paraId="3C75D973">
            <w:pPr>
              <w:widowControl/>
              <w:spacing w:line="240" w:lineRule="auto"/>
              <w:ind w:firstLine="0" w:firstLineChars="0"/>
              <w:jc w:val="center"/>
              <w:rPr>
                <w:b/>
                <w:bCs/>
                <w:color w:val="auto"/>
                <w:kern w:val="0"/>
                <w:sz w:val="21"/>
                <w:szCs w:val="21"/>
              </w:rPr>
            </w:pPr>
            <w:r>
              <w:rPr>
                <w:b/>
                <w:bCs/>
                <w:color w:val="auto"/>
                <w:kern w:val="0"/>
                <w:sz w:val="21"/>
                <w:szCs w:val="21"/>
              </w:rPr>
              <w:t>颗粒物</w:t>
            </w:r>
          </w:p>
        </w:tc>
        <w:tc>
          <w:tcPr>
            <w:tcW w:w="522" w:type="pct"/>
            <w:gridSpan w:val="2"/>
            <w:shd w:val="clear" w:color="auto" w:fill="auto"/>
            <w:vAlign w:val="center"/>
          </w:tcPr>
          <w:p w14:paraId="1023D4AA">
            <w:pPr>
              <w:widowControl/>
              <w:spacing w:line="240" w:lineRule="auto"/>
              <w:ind w:firstLine="0" w:firstLineChars="0"/>
              <w:jc w:val="center"/>
              <w:rPr>
                <w:b/>
                <w:bCs/>
                <w:color w:val="auto"/>
                <w:kern w:val="0"/>
                <w:sz w:val="21"/>
                <w:szCs w:val="21"/>
              </w:rPr>
            </w:pPr>
            <w:r>
              <w:rPr>
                <w:rFonts w:hint="eastAsia"/>
                <w:b/>
                <w:bCs/>
                <w:color w:val="auto"/>
                <w:kern w:val="0"/>
                <w:sz w:val="21"/>
                <w:szCs w:val="21"/>
              </w:rPr>
              <w:t>SO</w:t>
            </w:r>
            <w:r>
              <w:rPr>
                <w:rFonts w:hint="eastAsia"/>
                <w:b/>
                <w:bCs/>
                <w:color w:val="auto"/>
                <w:kern w:val="0"/>
                <w:sz w:val="21"/>
                <w:szCs w:val="21"/>
                <w:vertAlign w:val="subscript"/>
              </w:rPr>
              <w:t>2</w:t>
            </w:r>
          </w:p>
        </w:tc>
        <w:tc>
          <w:tcPr>
            <w:tcW w:w="545" w:type="pct"/>
            <w:gridSpan w:val="2"/>
            <w:shd w:val="clear" w:color="auto" w:fill="auto"/>
            <w:vAlign w:val="center"/>
          </w:tcPr>
          <w:p w14:paraId="49A246F6">
            <w:pPr>
              <w:widowControl/>
              <w:spacing w:line="240" w:lineRule="auto"/>
              <w:ind w:firstLine="0" w:firstLineChars="0"/>
              <w:jc w:val="center"/>
              <w:rPr>
                <w:b/>
                <w:bCs/>
                <w:color w:val="auto"/>
                <w:kern w:val="0"/>
                <w:sz w:val="21"/>
                <w:szCs w:val="21"/>
              </w:rPr>
            </w:pPr>
            <w:r>
              <w:rPr>
                <w:rFonts w:hint="eastAsia"/>
                <w:b/>
                <w:bCs/>
                <w:color w:val="auto"/>
                <w:kern w:val="0"/>
                <w:sz w:val="21"/>
                <w:szCs w:val="21"/>
              </w:rPr>
              <w:t>NO</w:t>
            </w:r>
            <w:r>
              <w:rPr>
                <w:rFonts w:hint="eastAsia"/>
                <w:b/>
                <w:bCs/>
                <w:color w:val="auto"/>
                <w:kern w:val="0"/>
                <w:sz w:val="21"/>
                <w:szCs w:val="21"/>
                <w:vertAlign w:val="subscript"/>
              </w:rPr>
              <w:t>2</w:t>
            </w:r>
          </w:p>
        </w:tc>
        <w:tc>
          <w:tcPr>
            <w:tcW w:w="596" w:type="pct"/>
            <w:gridSpan w:val="2"/>
            <w:shd w:val="clear" w:color="auto" w:fill="auto"/>
            <w:vAlign w:val="center"/>
          </w:tcPr>
          <w:p w14:paraId="718936F6">
            <w:pPr>
              <w:widowControl/>
              <w:spacing w:line="240" w:lineRule="auto"/>
              <w:ind w:firstLine="0" w:firstLineChars="0"/>
              <w:jc w:val="center"/>
              <w:rPr>
                <w:b/>
                <w:bCs/>
                <w:color w:val="auto"/>
                <w:kern w:val="0"/>
                <w:sz w:val="21"/>
                <w:szCs w:val="21"/>
              </w:rPr>
            </w:pPr>
            <w:r>
              <w:rPr>
                <w:rFonts w:hint="eastAsia"/>
                <w:b/>
                <w:bCs/>
                <w:color w:val="auto"/>
                <w:kern w:val="0"/>
                <w:sz w:val="21"/>
                <w:szCs w:val="21"/>
              </w:rPr>
              <w:t>颗粒物</w:t>
            </w:r>
          </w:p>
        </w:tc>
      </w:tr>
      <w:tr w14:paraId="2CDF7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0" w:hRule="atLeast"/>
          <w:tblHeader/>
          <w:jc w:val="center"/>
        </w:trPr>
        <w:tc>
          <w:tcPr>
            <w:tcW w:w="369" w:type="pct"/>
            <w:vMerge w:val="continue"/>
            <w:vAlign w:val="center"/>
          </w:tcPr>
          <w:p w14:paraId="1DB5ECA7">
            <w:pPr>
              <w:widowControl/>
              <w:spacing w:line="240" w:lineRule="auto"/>
              <w:ind w:firstLine="0" w:firstLineChars="0"/>
              <w:jc w:val="center"/>
              <w:rPr>
                <w:b/>
                <w:bCs/>
                <w:color w:val="auto"/>
                <w:kern w:val="0"/>
                <w:sz w:val="21"/>
                <w:szCs w:val="21"/>
              </w:rPr>
            </w:pPr>
          </w:p>
        </w:tc>
        <w:tc>
          <w:tcPr>
            <w:tcW w:w="420" w:type="pct"/>
            <w:shd w:val="clear" w:color="auto" w:fill="auto"/>
            <w:noWrap/>
            <w:vAlign w:val="center"/>
          </w:tcPr>
          <w:p w14:paraId="67447D8F">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292" w:type="pct"/>
            <w:shd w:val="clear" w:color="auto" w:fill="auto"/>
            <w:noWrap/>
            <w:vAlign w:val="center"/>
          </w:tcPr>
          <w:p w14:paraId="4991CE4F">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490" w:type="pct"/>
            <w:shd w:val="clear" w:color="auto" w:fill="auto"/>
            <w:vAlign w:val="center"/>
          </w:tcPr>
          <w:p w14:paraId="79A49419">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376" w:type="pct"/>
            <w:shd w:val="clear" w:color="auto" w:fill="auto"/>
            <w:vAlign w:val="center"/>
          </w:tcPr>
          <w:p w14:paraId="39D27666">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489" w:type="pct"/>
            <w:shd w:val="clear" w:color="auto" w:fill="auto"/>
            <w:vAlign w:val="center"/>
          </w:tcPr>
          <w:p w14:paraId="5A14EF82">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239" w:type="pct"/>
            <w:shd w:val="clear" w:color="auto" w:fill="auto"/>
            <w:vAlign w:val="center"/>
          </w:tcPr>
          <w:p w14:paraId="703540DD">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451" w:type="pct"/>
            <w:shd w:val="clear" w:color="auto" w:fill="auto"/>
            <w:vAlign w:val="center"/>
          </w:tcPr>
          <w:p w14:paraId="46065B0A">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206" w:type="pct"/>
            <w:shd w:val="clear" w:color="auto" w:fill="auto"/>
            <w:vAlign w:val="center"/>
          </w:tcPr>
          <w:p w14:paraId="7CDF791A">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352" w:type="pct"/>
            <w:vAlign w:val="center"/>
          </w:tcPr>
          <w:p w14:paraId="2435DEEC">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170" w:type="pct"/>
            <w:vAlign w:val="center"/>
          </w:tcPr>
          <w:p w14:paraId="41B5BC9B">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372" w:type="pct"/>
            <w:shd w:val="clear" w:color="auto" w:fill="auto"/>
            <w:vAlign w:val="center"/>
          </w:tcPr>
          <w:p w14:paraId="74115AFA">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172" w:type="pct"/>
            <w:shd w:val="clear" w:color="auto" w:fill="auto"/>
            <w:vAlign w:val="center"/>
          </w:tcPr>
          <w:p w14:paraId="58DC0C66">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384" w:type="pct"/>
            <w:shd w:val="clear" w:color="auto" w:fill="auto"/>
            <w:vAlign w:val="center"/>
          </w:tcPr>
          <w:p w14:paraId="0CD48E55">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212" w:type="pct"/>
            <w:shd w:val="clear" w:color="auto" w:fill="auto"/>
            <w:vAlign w:val="center"/>
          </w:tcPr>
          <w:p w14:paraId="51650E39">
            <w:pPr>
              <w:widowControl/>
              <w:spacing w:line="240" w:lineRule="auto"/>
              <w:ind w:firstLine="0" w:firstLineChars="0"/>
              <w:jc w:val="center"/>
              <w:rPr>
                <w:b/>
                <w:bCs/>
                <w:color w:val="auto"/>
                <w:kern w:val="0"/>
                <w:sz w:val="21"/>
                <w:szCs w:val="21"/>
              </w:rPr>
            </w:pPr>
            <w:r>
              <w:rPr>
                <w:b/>
                <w:bCs/>
                <w:color w:val="auto"/>
                <w:kern w:val="0"/>
                <w:sz w:val="21"/>
                <w:szCs w:val="21"/>
              </w:rPr>
              <w:t>占标率%</w:t>
            </w:r>
          </w:p>
        </w:tc>
      </w:tr>
      <w:tr w14:paraId="6A720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39E27D9">
            <w:pPr>
              <w:widowControl/>
              <w:spacing w:line="240" w:lineRule="auto"/>
              <w:ind w:firstLine="0" w:firstLineChars="0"/>
              <w:jc w:val="center"/>
              <w:rPr>
                <w:color w:val="auto"/>
                <w:kern w:val="0"/>
                <w:sz w:val="21"/>
                <w:szCs w:val="21"/>
              </w:rPr>
            </w:pPr>
            <w:r>
              <w:rPr>
                <w:color w:val="auto"/>
                <w:sz w:val="21"/>
                <w:szCs w:val="21"/>
              </w:rPr>
              <w:t>10</w:t>
            </w:r>
          </w:p>
        </w:tc>
        <w:tc>
          <w:tcPr>
            <w:tcW w:w="420" w:type="pct"/>
            <w:shd w:val="clear" w:color="auto" w:fill="auto"/>
            <w:noWrap/>
          </w:tcPr>
          <w:p w14:paraId="356B58AB">
            <w:pPr>
              <w:widowControl/>
              <w:spacing w:line="240" w:lineRule="auto"/>
              <w:ind w:firstLine="0" w:firstLineChars="0"/>
              <w:jc w:val="center"/>
              <w:rPr>
                <w:color w:val="auto"/>
                <w:kern w:val="0"/>
                <w:sz w:val="21"/>
                <w:szCs w:val="21"/>
              </w:rPr>
            </w:pPr>
            <w:r>
              <w:rPr>
                <w:rFonts w:hint="eastAsia"/>
                <w:color w:val="auto"/>
                <w:sz w:val="21"/>
                <w:szCs w:val="21"/>
              </w:rPr>
              <w:t>3.02E-07</w:t>
            </w:r>
          </w:p>
        </w:tc>
        <w:tc>
          <w:tcPr>
            <w:tcW w:w="292" w:type="pct"/>
            <w:shd w:val="clear" w:color="auto" w:fill="auto"/>
            <w:noWrap/>
          </w:tcPr>
          <w:p w14:paraId="723571BC">
            <w:pPr>
              <w:widowControl/>
              <w:spacing w:line="240" w:lineRule="auto"/>
              <w:ind w:firstLine="0" w:firstLineChars="0"/>
              <w:jc w:val="center"/>
              <w:rPr>
                <w:color w:val="auto"/>
                <w:kern w:val="0"/>
                <w:sz w:val="21"/>
                <w:szCs w:val="21"/>
              </w:rPr>
            </w:pPr>
            <w:r>
              <w:rPr>
                <w:rFonts w:hint="eastAsia"/>
                <w:color w:val="auto"/>
                <w:sz w:val="21"/>
                <w:szCs w:val="21"/>
              </w:rPr>
              <w:t>0.00</w:t>
            </w:r>
          </w:p>
        </w:tc>
        <w:tc>
          <w:tcPr>
            <w:tcW w:w="490" w:type="pct"/>
            <w:shd w:val="clear" w:color="auto" w:fill="auto"/>
          </w:tcPr>
          <w:p w14:paraId="07591C6E">
            <w:pPr>
              <w:widowControl/>
              <w:spacing w:line="240" w:lineRule="auto"/>
              <w:ind w:firstLine="0" w:firstLineChars="0"/>
              <w:jc w:val="center"/>
              <w:rPr>
                <w:color w:val="auto"/>
                <w:kern w:val="0"/>
                <w:sz w:val="21"/>
                <w:szCs w:val="21"/>
              </w:rPr>
            </w:pPr>
            <w:r>
              <w:rPr>
                <w:rFonts w:hint="eastAsia"/>
                <w:color w:val="auto"/>
                <w:sz w:val="21"/>
                <w:szCs w:val="21"/>
              </w:rPr>
              <w:t>2.12E-07</w:t>
            </w:r>
          </w:p>
        </w:tc>
        <w:tc>
          <w:tcPr>
            <w:tcW w:w="376" w:type="pct"/>
            <w:shd w:val="clear" w:color="auto" w:fill="auto"/>
          </w:tcPr>
          <w:p w14:paraId="00A4676E">
            <w:pPr>
              <w:widowControl/>
              <w:spacing w:line="240" w:lineRule="auto"/>
              <w:ind w:firstLine="0" w:firstLineChars="0"/>
              <w:jc w:val="center"/>
              <w:rPr>
                <w:color w:val="auto"/>
                <w:kern w:val="0"/>
                <w:sz w:val="21"/>
                <w:szCs w:val="21"/>
              </w:rPr>
            </w:pPr>
            <w:r>
              <w:rPr>
                <w:rFonts w:hint="eastAsia"/>
                <w:color w:val="auto"/>
                <w:sz w:val="21"/>
                <w:szCs w:val="21"/>
              </w:rPr>
              <w:t>0.00</w:t>
            </w:r>
          </w:p>
        </w:tc>
        <w:tc>
          <w:tcPr>
            <w:tcW w:w="489" w:type="pct"/>
            <w:shd w:val="clear" w:color="auto" w:fill="auto"/>
          </w:tcPr>
          <w:p w14:paraId="3E2094AB">
            <w:pPr>
              <w:widowControl/>
              <w:spacing w:line="240" w:lineRule="auto"/>
              <w:ind w:firstLine="0" w:firstLineChars="0"/>
              <w:jc w:val="center"/>
              <w:rPr>
                <w:color w:val="auto"/>
                <w:kern w:val="0"/>
                <w:sz w:val="21"/>
                <w:szCs w:val="21"/>
              </w:rPr>
            </w:pPr>
            <w:r>
              <w:rPr>
                <w:rFonts w:hint="eastAsia"/>
                <w:color w:val="auto"/>
                <w:sz w:val="21"/>
                <w:szCs w:val="21"/>
              </w:rPr>
              <w:t>1.94E-06</w:t>
            </w:r>
          </w:p>
        </w:tc>
        <w:tc>
          <w:tcPr>
            <w:tcW w:w="239" w:type="pct"/>
            <w:shd w:val="clear" w:color="auto" w:fill="auto"/>
          </w:tcPr>
          <w:p w14:paraId="02F43653">
            <w:pPr>
              <w:widowControl/>
              <w:spacing w:line="240" w:lineRule="auto"/>
              <w:ind w:firstLine="0" w:firstLineChars="0"/>
              <w:jc w:val="center"/>
              <w:rPr>
                <w:color w:val="auto"/>
                <w:kern w:val="0"/>
                <w:sz w:val="21"/>
                <w:szCs w:val="21"/>
              </w:rPr>
            </w:pPr>
            <w:r>
              <w:rPr>
                <w:rFonts w:hint="eastAsia"/>
                <w:color w:val="auto"/>
                <w:sz w:val="21"/>
                <w:szCs w:val="21"/>
              </w:rPr>
              <w:t>0.00</w:t>
            </w:r>
          </w:p>
        </w:tc>
        <w:tc>
          <w:tcPr>
            <w:tcW w:w="451" w:type="pct"/>
            <w:shd w:val="clear" w:color="auto" w:fill="auto"/>
          </w:tcPr>
          <w:p w14:paraId="6DD4B0B1">
            <w:pPr>
              <w:widowControl/>
              <w:spacing w:line="240" w:lineRule="auto"/>
              <w:ind w:firstLine="0" w:firstLineChars="0"/>
              <w:jc w:val="center"/>
              <w:rPr>
                <w:color w:val="auto"/>
                <w:kern w:val="0"/>
                <w:sz w:val="21"/>
                <w:szCs w:val="21"/>
              </w:rPr>
            </w:pPr>
            <w:r>
              <w:rPr>
                <w:rFonts w:hint="eastAsia"/>
                <w:color w:val="auto"/>
                <w:sz w:val="21"/>
                <w:szCs w:val="21"/>
              </w:rPr>
              <w:t>2.01E-07</w:t>
            </w:r>
          </w:p>
        </w:tc>
        <w:tc>
          <w:tcPr>
            <w:tcW w:w="206" w:type="pct"/>
            <w:shd w:val="clear" w:color="auto" w:fill="auto"/>
          </w:tcPr>
          <w:p w14:paraId="138B6C65">
            <w:pPr>
              <w:widowControl/>
              <w:spacing w:line="240" w:lineRule="auto"/>
              <w:ind w:firstLine="0" w:firstLineChars="0"/>
              <w:jc w:val="center"/>
              <w:rPr>
                <w:color w:val="auto"/>
                <w:kern w:val="0"/>
                <w:sz w:val="21"/>
                <w:szCs w:val="21"/>
              </w:rPr>
            </w:pPr>
            <w:r>
              <w:rPr>
                <w:rFonts w:hint="eastAsia"/>
                <w:color w:val="auto"/>
                <w:sz w:val="21"/>
                <w:szCs w:val="21"/>
              </w:rPr>
              <w:t>0.00</w:t>
            </w:r>
          </w:p>
        </w:tc>
        <w:tc>
          <w:tcPr>
            <w:tcW w:w="352" w:type="pct"/>
          </w:tcPr>
          <w:p w14:paraId="66CA0D12">
            <w:pPr>
              <w:widowControl/>
              <w:spacing w:line="240" w:lineRule="auto"/>
              <w:ind w:firstLine="0" w:firstLineChars="0"/>
              <w:jc w:val="center"/>
              <w:rPr>
                <w:color w:val="auto"/>
                <w:sz w:val="21"/>
                <w:szCs w:val="21"/>
              </w:rPr>
            </w:pPr>
            <w:r>
              <w:rPr>
                <w:rFonts w:hint="eastAsia"/>
                <w:color w:val="auto"/>
                <w:sz w:val="21"/>
                <w:szCs w:val="21"/>
              </w:rPr>
              <w:t>1.45E-07</w:t>
            </w:r>
          </w:p>
        </w:tc>
        <w:tc>
          <w:tcPr>
            <w:tcW w:w="170" w:type="pct"/>
          </w:tcPr>
          <w:p w14:paraId="70645616">
            <w:pPr>
              <w:widowControl/>
              <w:spacing w:line="240" w:lineRule="auto"/>
              <w:ind w:firstLine="0" w:firstLineChars="0"/>
              <w:jc w:val="center"/>
              <w:rPr>
                <w:color w:val="auto"/>
                <w:sz w:val="21"/>
                <w:szCs w:val="21"/>
              </w:rPr>
            </w:pPr>
            <w:r>
              <w:rPr>
                <w:rFonts w:hint="eastAsia"/>
                <w:color w:val="auto"/>
                <w:sz w:val="21"/>
                <w:szCs w:val="21"/>
              </w:rPr>
              <w:t>0.00</w:t>
            </w:r>
          </w:p>
        </w:tc>
        <w:tc>
          <w:tcPr>
            <w:tcW w:w="372" w:type="pct"/>
            <w:shd w:val="clear" w:color="auto" w:fill="auto"/>
          </w:tcPr>
          <w:p w14:paraId="54476F12">
            <w:pPr>
              <w:widowControl/>
              <w:spacing w:line="240" w:lineRule="auto"/>
              <w:ind w:firstLine="0" w:firstLineChars="0"/>
              <w:jc w:val="center"/>
              <w:rPr>
                <w:color w:val="auto"/>
                <w:kern w:val="0"/>
                <w:sz w:val="21"/>
                <w:szCs w:val="21"/>
              </w:rPr>
            </w:pPr>
            <w:r>
              <w:rPr>
                <w:rFonts w:hint="eastAsia"/>
                <w:color w:val="auto"/>
                <w:sz w:val="21"/>
                <w:szCs w:val="21"/>
              </w:rPr>
              <w:t>1.33E-06</w:t>
            </w:r>
          </w:p>
        </w:tc>
        <w:tc>
          <w:tcPr>
            <w:tcW w:w="172" w:type="pct"/>
            <w:shd w:val="clear" w:color="auto" w:fill="auto"/>
          </w:tcPr>
          <w:p w14:paraId="537CE0BA">
            <w:pPr>
              <w:widowControl/>
              <w:spacing w:line="240" w:lineRule="auto"/>
              <w:ind w:firstLine="0" w:firstLineChars="0"/>
              <w:jc w:val="center"/>
              <w:rPr>
                <w:color w:val="auto"/>
                <w:kern w:val="0"/>
                <w:sz w:val="21"/>
                <w:szCs w:val="21"/>
              </w:rPr>
            </w:pPr>
            <w:r>
              <w:rPr>
                <w:rFonts w:hint="eastAsia"/>
                <w:color w:val="auto"/>
                <w:sz w:val="21"/>
                <w:szCs w:val="21"/>
              </w:rPr>
              <w:t>0.00</w:t>
            </w:r>
          </w:p>
        </w:tc>
        <w:tc>
          <w:tcPr>
            <w:tcW w:w="384" w:type="pct"/>
            <w:shd w:val="clear" w:color="auto" w:fill="auto"/>
          </w:tcPr>
          <w:p w14:paraId="78C61B94">
            <w:pPr>
              <w:widowControl/>
              <w:spacing w:line="240" w:lineRule="auto"/>
              <w:ind w:firstLine="0" w:firstLineChars="0"/>
              <w:jc w:val="center"/>
              <w:rPr>
                <w:color w:val="auto"/>
                <w:kern w:val="0"/>
                <w:sz w:val="21"/>
                <w:szCs w:val="21"/>
              </w:rPr>
            </w:pPr>
            <w:r>
              <w:rPr>
                <w:rFonts w:hint="eastAsia"/>
                <w:color w:val="auto"/>
                <w:sz w:val="21"/>
                <w:szCs w:val="21"/>
              </w:rPr>
              <w:t>3.38E-07</w:t>
            </w:r>
          </w:p>
        </w:tc>
        <w:tc>
          <w:tcPr>
            <w:tcW w:w="212" w:type="pct"/>
            <w:shd w:val="clear" w:color="auto" w:fill="auto"/>
          </w:tcPr>
          <w:p w14:paraId="631CFF10">
            <w:pPr>
              <w:widowControl/>
              <w:spacing w:line="240" w:lineRule="auto"/>
              <w:ind w:firstLine="0" w:firstLineChars="0"/>
              <w:jc w:val="center"/>
              <w:rPr>
                <w:color w:val="auto"/>
                <w:kern w:val="0"/>
                <w:sz w:val="21"/>
                <w:szCs w:val="21"/>
              </w:rPr>
            </w:pPr>
            <w:r>
              <w:rPr>
                <w:rFonts w:hint="eastAsia"/>
                <w:color w:val="auto"/>
                <w:sz w:val="21"/>
                <w:szCs w:val="21"/>
              </w:rPr>
              <w:t>0.00</w:t>
            </w:r>
          </w:p>
        </w:tc>
      </w:tr>
      <w:tr w14:paraId="00288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318B867">
            <w:pPr>
              <w:widowControl/>
              <w:spacing w:line="240" w:lineRule="auto"/>
              <w:ind w:firstLine="0" w:firstLineChars="0"/>
              <w:jc w:val="center"/>
              <w:rPr>
                <w:color w:val="auto"/>
                <w:kern w:val="0"/>
                <w:sz w:val="21"/>
                <w:szCs w:val="21"/>
              </w:rPr>
            </w:pPr>
            <w:r>
              <w:rPr>
                <w:color w:val="auto"/>
                <w:sz w:val="21"/>
                <w:szCs w:val="21"/>
              </w:rPr>
              <w:t>25</w:t>
            </w:r>
          </w:p>
        </w:tc>
        <w:tc>
          <w:tcPr>
            <w:tcW w:w="420" w:type="pct"/>
            <w:shd w:val="clear" w:color="auto" w:fill="auto"/>
            <w:noWrap/>
          </w:tcPr>
          <w:p w14:paraId="56671C03">
            <w:pPr>
              <w:widowControl/>
              <w:spacing w:line="240" w:lineRule="auto"/>
              <w:ind w:firstLine="0" w:firstLineChars="0"/>
              <w:jc w:val="center"/>
              <w:rPr>
                <w:color w:val="auto"/>
                <w:kern w:val="0"/>
                <w:sz w:val="21"/>
                <w:szCs w:val="21"/>
              </w:rPr>
            </w:pPr>
            <w:r>
              <w:rPr>
                <w:rFonts w:hint="eastAsia"/>
                <w:color w:val="auto"/>
                <w:sz w:val="21"/>
                <w:szCs w:val="21"/>
              </w:rPr>
              <w:t>1.29E-04</w:t>
            </w:r>
          </w:p>
        </w:tc>
        <w:tc>
          <w:tcPr>
            <w:tcW w:w="292" w:type="pct"/>
            <w:shd w:val="clear" w:color="auto" w:fill="auto"/>
            <w:noWrap/>
          </w:tcPr>
          <w:p w14:paraId="4CAA7BB3">
            <w:pPr>
              <w:widowControl/>
              <w:spacing w:line="240" w:lineRule="auto"/>
              <w:ind w:firstLine="0" w:firstLineChars="0"/>
              <w:jc w:val="center"/>
              <w:rPr>
                <w:color w:val="auto"/>
                <w:kern w:val="0"/>
                <w:sz w:val="21"/>
                <w:szCs w:val="21"/>
              </w:rPr>
            </w:pPr>
            <w:r>
              <w:rPr>
                <w:rFonts w:hint="eastAsia"/>
                <w:color w:val="auto"/>
                <w:sz w:val="21"/>
                <w:szCs w:val="21"/>
              </w:rPr>
              <w:t>0.03</w:t>
            </w:r>
          </w:p>
        </w:tc>
        <w:tc>
          <w:tcPr>
            <w:tcW w:w="490" w:type="pct"/>
            <w:shd w:val="clear" w:color="auto" w:fill="auto"/>
          </w:tcPr>
          <w:p w14:paraId="43586F59">
            <w:pPr>
              <w:widowControl/>
              <w:spacing w:line="240" w:lineRule="auto"/>
              <w:ind w:firstLine="0" w:firstLineChars="0"/>
              <w:jc w:val="center"/>
              <w:rPr>
                <w:color w:val="auto"/>
                <w:kern w:val="0"/>
                <w:sz w:val="21"/>
                <w:szCs w:val="21"/>
              </w:rPr>
            </w:pPr>
            <w:r>
              <w:rPr>
                <w:rFonts w:hint="eastAsia"/>
                <w:color w:val="auto"/>
                <w:sz w:val="21"/>
                <w:szCs w:val="21"/>
              </w:rPr>
              <w:t>9.11E-05</w:t>
            </w:r>
          </w:p>
        </w:tc>
        <w:tc>
          <w:tcPr>
            <w:tcW w:w="376" w:type="pct"/>
            <w:shd w:val="clear" w:color="auto" w:fill="auto"/>
          </w:tcPr>
          <w:p w14:paraId="32B483B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522D1FC0">
            <w:pPr>
              <w:widowControl/>
              <w:spacing w:line="240" w:lineRule="auto"/>
              <w:ind w:firstLine="0" w:firstLineChars="0"/>
              <w:jc w:val="center"/>
              <w:rPr>
                <w:color w:val="auto"/>
                <w:kern w:val="0"/>
                <w:sz w:val="21"/>
                <w:szCs w:val="21"/>
              </w:rPr>
            </w:pPr>
            <w:r>
              <w:rPr>
                <w:rFonts w:hint="eastAsia"/>
                <w:color w:val="auto"/>
                <w:sz w:val="21"/>
                <w:szCs w:val="21"/>
              </w:rPr>
              <w:t>8.34E-04</w:t>
            </w:r>
          </w:p>
        </w:tc>
        <w:tc>
          <w:tcPr>
            <w:tcW w:w="239" w:type="pct"/>
            <w:shd w:val="clear" w:color="auto" w:fill="auto"/>
          </w:tcPr>
          <w:p w14:paraId="2827EBA8">
            <w:pPr>
              <w:widowControl/>
              <w:spacing w:line="240" w:lineRule="auto"/>
              <w:ind w:firstLine="0" w:firstLineChars="0"/>
              <w:jc w:val="center"/>
              <w:rPr>
                <w:color w:val="auto"/>
                <w:kern w:val="0"/>
                <w:sz w:val="21"/>
                <w:szCs w:val="21"/>
              </w:rPr>
            </w:pPr>
            <w:r>
              <w:rPr>
                <w:rFonts w:hint="eastAsia"/>
                <w:color w:val="auto"/>
                <w:sz w:val="21"/>
                <w:szCs w:val="21"/>
              </w:rPr>
              <w:t>0.42</w:t>
            </w:r>
          </w:p>
        </w:tc>
        <w:tc>
          <w:tcPr>
            <w:tcW w:w="451" w:type="pct"/>
            <w:shd w:val="clear" w:color="auto" w:fill="auto"/>
          </w:tcPr>
          <w:p w14:paraId="1E885CE2">
            <w:pPr>
              <w:widowControl/>
              <w:spacing w:line="240" w:lineRule="auto"/>
              <w:ind w:firstLine="0" w:firstLineChars="0"/>
              <w:jc w:val="center"/>
              <w:rPr>
                <w:color w:val="auto"/>
                <w:kern w:val="0"/>
                <w:sz w:val="21"/>
                <w:szCs w:val="21"/>
              </w:rPr>
            </w:pPr>
            <w:r>
              <w:rPr>
                <w:rFonts w:hint="eastAsia"/>
                <w:color w:val="auto"/>
                <w:sz w:val="21"/>
                <w:szCs w:val="21"/>
              </w:rPr>
              <w:t>8.63E-05</w:t>
            </w:r>
          </w:p>
        </w:tc>
        <w:tc>
          <w:tcPr>
            <w:tcW w:w="206" w:type="pct"/>
            <w:shd w:val="clear" w:color="auto" w:fill="auto"/>
          </w:tcPr>
          <w:p w14:paraId="705FFD33">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2D818916">
            <w:pPr>
              <w:widowControl/>
              <w:spacing w:line="240" w:lineRule="auto"/>
              <w:ind w:firstLine="0" w:firstLineChars="0"/>
              <w:jc w:val="center"/>
              <w:rPr>
                <w:color w:val="auto"/>
                <w:sz w:val="21"/>
                <w:szCs w:val="21"/>
              </w:rPr>
            </w:pPr>
            <w:r>
              <w:rPr>
                <w:rFonts w:hint="eastAsia"/>
                <w:color w:val="auto"/>
                <w:sz w:val="21"/>
                <w:szCs w:val="21"/>
              </w:rPr>
              <w:t>6.23E-05</w:t>
            </w:r>
          </w:p>
        </w:tc>
        <w:tc>
          <w:tcPr>
            <w:tcW w:w="170" w:type="pct"/>
          </w:tcPr>
          <w:p w14:paraId="5D74D8B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6AA1E58">
            <w:pPr>
              <w:widowControl/>
              <w:spacing w:line="240" w:lineRule="auto"/>
              <w:ind w:firstLine="0" w:firstLineChars="0"/>
              <w:jc w:val="center"/>
              <w:rPr>
                <w:color w:val="auto"/>
                <w:kern w:val="0"/>
                <w:sz w:val="21"/>
                <w:szCs w:val="21"/>
              </w:rPr>
            </w:pPr>
            <w:r>
              <w:rPr>
                <w:rFonts w:hint="eastAsia"/>
                <w:color w:val="auto"/>
                <w:sz w:val="21"/>
                <w:szCs w:val="21"/>
              </w:rPr>
              <w:t>5.71E-04</w:t>
            </w:r>
          </w:p>
        </w:tc>
        <w:tc>
          <w:tcPr>
            <w:tcW w:w="172" w:type="pct"/>
            <w:shd w:val="clear" w:color="auto" w:fill="auto"/>
          </w:tcPr>
          <w:p w14:paraId="275B1593">
            <w:pPr>
              <w:widowControl/>
              <w:spacing w:line="240" w:lineRule="auto"/>
              <w:ind w:firstLine="0" w:firstLineChars="0"/>
              <w:jc w:val="center"/>
              <w:rPr>
                <w:color w:val="auto"/>
                <w:kern w:val="0"/>
                <w:sz w:val="21"/>
                <w:szCs w:val="21"/>
              </w:rPr>
            </w:pPr>
            <w:r>
              <w:rPr>
                <w:rFonts w:hint="eastAsia"/>
                <w:color w:val="auto"/>
                <w:sz w:val="21"/>
                <w:szCs w:val="21"/>
              </w:rPr>
              <w:t>0.29</w:t>
            </w:r>
          </w:p>
        </w:tc>
        <w:tc>
          <w:tcPr>
            <w:tcW w:w="384" w:type="pct"/>
            <w:shd w:val="clear" w:color="auto" w:fill="auto"/>
          </w:tcPr>
          <w:p w14:paraId="6C5768B0">
            <w:pPr>
              <w:widowControl/>
              <w:spacing w:line="240" w:lineRule="auto"/>
              <w:ind w:firstLine="0" w:firstLineChars="0"/>
              <w:jc w:val="center"/>
              <w:rPr>
                <w:color w:val="auto"/>
                <w:kern w:val="0"/>
                <w:sz w:val="21"/>
                <w:szCs w:val="21"/>
              </w:rPr>
            </w:pPr>
            <w:r>
              <w:rPr>
                <w:rFonts w:hint="eastAsia"/>
                <w:color w:val="auto"/>
                <w:sz w:val="21"/>
                <w:szCs w:val="21"/>
              </w:rPr>
              <w:t>1.45E-04</w:t>
            </w:r>
          </w:p>
        </w:tc>
        <w:tc>
          <w:tcPr>
            <w:tcW w:w="212" w:type="pct"/>
            <w:shd w:val="clear" w:color="auto" w:fill="auto"/>
          </w:tcPr>
          <w:p w14:paraId="7058224B">
            <w:pPr>
              <w:widowControl/>
              <w:spacing w:line="240" w:lineRule="auto"/>
              <w:ind w:firstLine="0" w:firstLineChars="0"/>
              <w:jc w:val="center"/>
              <w:rPr>
                <w:color w:val="auto"/>
                <w:kern w:val="0"/>
                <w:sz w:val="21"/>
                <w:szCs w:val="21"/>
              </w:rPr>
            </w:pPr>
            <w:r>
              <w:rPr>
                <w:rFonts w:hint="eastAsia"/>
                <w:color w:val="auto"/>
                <w:sz w:val="21"/>
                <w:szCs w:val="21"/>
              </w:rPr>
              <w:t>0.02</w:t>
            </w:r>
          </w:p>
        </w:tc>
      </w:tr>
      <w:tr w14:paraId="4B942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E19419D">
            <w:pPr>
              <w:widowControl/>
              <w:spacing w:line="240" w:lineRule="auto"/>
              <w:ind w:firstLine="0" w:firstLineChars="0"/>
              <w:jc w:val="center"/>
              <w:rPr>
                <w:color w:val="auto"/>
                <w:kern w:val="0"/>
                <w:sz w:val="21"/>
                <w:szCs w:val="21"/>
              </w:rPr>
            </w:pPr>
            <w:r>
              <w:rPr>
                <w:color w:val="auto"/>
                <w:sz w:val="21"/>
                <w:szCs w:val="21"/>
              </w:rPr>
              <w:t>50</w:t>
            </w:r>
          </w:p>
        </w:tc>
        <w:tc>
          <w:tcPr>
            <w:tcW w:w="420" w:type="pct"/>
            <w:shd w:val="clear" w:color="auto" w:fill="auto"/>
            <w:noWrap/>
          </w:tcPr>
          <w:p w14:paraId="19F6FE41">
            <w:pPr>
              <w:widowControl/>
              <w:spacing w:line="240" w:lineRule="auto"/>
              <w:ind w:firstLine="0" w:firstLineChars="0"/>
              <w:jc w:val="center"/>
              <w:rPr>
                <w:color w:val="auto"/>
                <w:kern w:val="0"/>
                <w:sz w:val="21"/>
                <w:szCs w:val="21"/>
              </w:rPr>
            </w:pPr>
            <w:r>
              <w:rPr>
                <w:rFonts w:hint="eastAsia"/>
                <w:color w:val="auto"/>
                <w:sz w:val="21"/>
                <w:szCs w:val="21"/>
              </w:rPr>
              <w:t>4.11E-04</w:t>
            </w:r>
          </w:p>
        </w:tc>
        <w:tc>
          <w:tcPr>
            <w:tcW w:w="292" w:type="pct"/>
            <w:shd w:val="clear" w:color="auto" w:fill="auto"/>
            <w:noWrap/>
          </w:tcPr>
          <w:p w14:paraId="3384B9CA">
            <w:pPr>
              <w:widowControl/>
              <w:spacing w:line="240" w:lineRule="auto"/>
              <w:ind w:firstLine="0" w:firstLineChars="0"/>
              <w:jc w:val="center"/>
              <w:rPr>
                <w:color w:val="auto"/>
                <w:kern w:val="0"/>
                <w:sz w:val="21"/>
                <w:szCs w:val="21"/>
              </w:rPr>
            </w:pPr>
            <w:r>
              <w:rPr>
                <w:rFonts w:hint="eastAsia"/>
                <w:color w:val="auto"/>
                <w:sz w:val="21"/>
                <w:szCs w:val="21"/>
              </w:rPr>
              <w:t>0.09</w:t>
            </w:r>
          </w:p>
        </w:tc>
        <w:tc>
          <w:tcPr>
            <w:tcW w:w="490" w:type="pct"/>
            <w:shd w:val="clear" w:color="auto" w:fill="auto"/>
          </w:tcPr>
          <w:p w14:paraId="05D83A60">
            <w:pPr>
              <w:widowControl/>
              <w:spacing w:line="240" w:lineRule="auto"/>
              <w:ind w:firstLine="0" w:firstLineChars="0"/>
              <w:jc w:val="center"/>
              <w:rPr>
                <w:color w:val="auto"/>
                <w:kern w:val="0"/>
                <w:sz w:val="21"/>
                <w:szCs w:val="21"/>
              </w:rPr>
            </w:pPr>
            <w:r>
              <w:rPr>
                <w:rFonts w:hint="eastAsia"/>
                <w:color w:val="auto"/>
                <w:sz w:val="21"/>
                <w:szCs w:val="21"/>
              </w:rPr>
              <w:t>2.89E-04</w:t>
            </w:r>
          </w:p>
        </w:tc>
        <w:tc>
          <w:tcPr>
            <w:tcW w:w="376" w:type="pct"/>
            <w:shd w:val="clear" w:color="auto" w:fill="auto"/>
          </w:tcPr>
          <w:p w14:paraId="53442CFF">
            <w:pPr>
              <w:widowControl/>
              <w:spacing w:line="240" w:lineRule="auto"/>
              <w:ind w:firstLine="0" w:firstLineChars="0"/>
              <w:jc w:val="center"/>
              <w:rPr>
                <w:color w:val="auto"/>
                <w:kern w:val="0"/>
                <w:sz w:val="21"/>
                <w:szCs w:val="21"/>
              </w:rPr>
            </w:pPr>
            <w:r>
              <w:rPr>
                <w:rFonts w:hint="eastAsia"/>
                <w:color w:val="auto"/>
                <w:sz w:val="21"/>
                <w:szCs w:val="21"/>
              </w:rPr>
              <w:t>0.06</w:t>
            </w:r>
          </w:p>
        </w:tc>
        <w:tc>
          <w:tcPr>
            <w:tcW w:w="489" w:type="pct"/>
            <w:shd w:val="clear" w:color="auto" w:fill="auto"/>
          </w:tcPr>
          <w:p w14:paraId="797F0E59">
            <w:pPr>
              <w:widowControl/>
              <w:spacing w:line="240" w:lineRule="auto"/>
              <w:ind w:firstLine="0" w:firstLineChars="0"/>
              <w:jc w:val="center"/>
              <w:rPr>
                <w:color w:val="auto"/>
                <w:kern w:val="0"/>
                <w:sz w:val="21"/>
                <w:szCs w:val="21"/>
              </w:rPr>
            </w:pPr>
            <w:r>
              <w:rPr>
                <w:rFonts w:hint="eastAsia"/>
                <w:color w:val="auto"/>
                <w:sz w:val="21"/>
                <w:szCs w:val="21"/>
              </w:rPr>
              <w:t>2.65E-03</w:t>
            </w:r>
          </w:p>
        </w:tc>
        <w:tc>
          <w:tcPr>
            <w:tcW w:w="239" w:type="pct"/>
            <w:shd w:val="clear" w:color="auto" w:fill="auto"/>
          </w:tcPr>
          <w:p w14:paraId="1A5652C3">
            <w:pPr>
              <w:widowControl/>
              <w:spacing w:line="240" w:lineRule="auto"/>
              <w:ind w:firstLine="0" w:firstLineChars="0"/>
              <w:jc w:val="center"/>
              <w:rPr>
                <w:color w:val="auto"/>
                <w:kern w:val="0"/>
                <w:sz w:val="21"/>
                <w:szCs w:val="21"/>
              </w:rPr>
            </w:pPr>
            <w:r>
              <w:rPr>
                <w:rFonts w:hint="eastAsia"/>
                <w:color w:val="auto"/>
                <w:sz w:val="21"/>
                <w:szCs w:val="21"/>
              </w:rPr>
              <w:t>1.33</w:t>
            </w:r>
          </w:p>
        </w:tc>
        <w:tc>
          <w:tcPr>
            <w:tcW w:w="451" w:type="pct"/>
            <w:shd w:val="clear" w:color="auto" w:fill="auto"/>
          </w:tcPr>
          <w:p w14:paraId="7CB1C200">
            <w:pPr>
              <w:widowControl/>
              <w:spacing w:line="240" w:lineRule="auto"/>
              <w:ind w:firstLine="0" w:firstLineChars="0"/>
              <w:jc w:val="center"/>
              <w:rPr>
                <w:color w:val="auto"/>
                <w:kern w:val="0"/>
                <w:sz w:val="21"/>
                <w:szCs w:val="21"/>
              </w:rPr>
            </w:pPr>
            <w:r>
              <w:rPr>
                <w:rFonts w:hint="eastAsia"/>
                <w:color w:val="auto"/>
                <w:sz w:val="21"/>
                <w:szCs w:val="21"/>
              </w:rPr>
              <w:t>2.74E-04</w:t>
            </w:r>
          </w:p>
        </w:tc>
        <w:tc>
          <w:tcPr>
            <w:tcW w:w="206" w:type="pct"/>
            <w:shd w:val="clear" w:color="auto" w:fill="auto"/>
          </w:tcPr>
          <w:p w14:paraId="4A6C7EEC">
            <w:pPr>
              <w:widowControl/>
              <w:spacing w:line="240" w:lineRule="auto"/>
              <w:ind w:firstLine="0" w:firstLineChars="0"/>
              <w:jc w:val="center"/>
              <w:rPr>
                <w:color w:val="auto"/>
                <w:kern w:val="0"/>
                <w:sz w:val="21"/>
                <w:szCs w:val="21"/>
              </w:rPr>
            </w:pPr>
            <w:r>
              <w:rPr>
                <w:rFonts w:hint="eastAsia"/>
                <w:color w:val="auto"/>
                <w:sz w:val="21"/>
                <w:szCs w:val="21"/>
              </w:rPr>
              <w:t>0.06</w:t>
            </w:r>
          </w:p>
        </w:tc>
        <w:tc>
          <w:tcPr>
            <w:tcW w:w="352" w:type="pct"/>
          </w:tcPr>
          <w:p w14:paraId="3F4E0691">
            <w:pPr>
              <w:widowControl/>
              <w:spacing w:line="240" w:lineRule="auto"/>
              <w:ind w:firstLine="0" w:firstLineChars="0"/>
              <w:jc w:val="center"/>
              <w:rPr>
                <w:color w:val="auto"/>
                <w:sz w:val="21"/>
                <w:szCs w:val="21"/>
              </w:rPr>
            </w:pPr>
            <w:r>
              <w:rPr>
                <w:rFonts w:hint="eastAsia"/>
                <w:color w:val="auto"/>
                <w:sz w:val="21"/>
                <w:szCs w:val="21"/>
              </w:rPr>
              <w:t>1.98E-04</w:t>
            </w:r>
          </w:p>
        </w:tc>
        <w:tc>
          <w:tcPr>
            <w:tcW w:w="170" w:type="pct"/>
          </w:tcPr>
          <w:p w14:paraId="2F5EB28E">
            <w:pPr>
              <w:widowControl/>
              <w:spacing w:line="240" w:lineRule="auto"/>
              <w:ind w:firstLine="0" w:firstLineChars="0"/>
              <w:jc w:val="center"/>
              <w:rPr>
                <w:color w:val="auto"/>
                <w:sz w:val="21"/>
                <w:szCs w:val="21"/>
              </w:rPr>
            </w:pPr>
            <w:r>
              <w:rPr>
                <w:rFonts w:hint="eastAsia"/>
                <w:color w:val="auto"/>
                <w:sz w:val="21"/>
                <w:szCs w:val="21"/>
              </w:rPr>
              <w:t>0.04</w:t>
            </w:r>
          </w:p>
        </w:tc>
        <w:tc>
          <w:tcPr>
            <w:tcW w:w="372" w:type="pct"/>
            <w:shd w:val="clear" w:color="auto" w:fill="auto"/>
          </w:tcPr>
          <w:p w14:paraId="5EF4CF2B">
            <w:pPr>
              <w:widowControl/>
              <w:spacing w:line="240" w:lineRule="auto"/>
              <w:ind w:firstLine="0" w:firstLineChars="0"/>
              <w:jc w:val="center"/>
              <w:rPr>
                <w:color w:val="auto"/>
                <w:kern w:val="0"/>
                <w:sz w:val="21"/>
                <w:szCs w:val="21"/>
              </w:rPr>
            </w:pPr>
            <w:r>
              <w:rPr>
                <w:rFonts w:hint="eastAsia"/>
                <w:color w:val="auto"/>
                <w:sz w:val="21"/>
                <w:szCs w:val="21"/>
              </w:rPr>
              <w:t>1.81E-03</w:t>
            </w:r>
          </w:p>
        </w:tc>
        <w:tc>
          <w:tcPr>
            <w:tcW w:w="172" w:type="pct"/>
            <w:shd w:val="clear" w:color="auto" w:fill="auto"/>
          </w:tcPr>
          <w:p w14:paraId="70BC9FCD">
            <w:pPr>
              <w:widowControl/>
              <w:spacing w:line="240" w:lineRule="auto"/>
              <w:ind w:firstLine="0" w:firstLineChars="0"/>
              <w:jc w:val="center"/>
              <w:rPr>
                <w:color w:val="auto"/>
                <w:kern w:val="0"/>
                <w:sz w:val="21"/>
                <w:szCs w:val="21"/>
              </w:rPr>
            </w:pPr>
            <w:r>
              <w:rPr>
                <w:rFonts w:hint="eastAsia"/>
                <w:color w:val="auto"/>
                <w:sz w:val="21"/>
                <w:szCs w:val="21"/>
              </w:rPr>
              <w:t>0.91</w:t>
            </w:r>
          </w:p>
        </w:tc>
        <w:tc>
          <w:tcPr>
            <w:tcW w:w="384" w:type="pct"/>
            <w:shd w:val="clear" w:color="auto" w:fill="auto"/>
          </w:tcPr>
          <w:p w14:paraId="0F4B6CFE">
            <w:pPr>
              <w:widowControl/>
              <w:spacing w:line="240" w:lineRule="auto"/>
              <w:ind w:firstLine="0" w:firstLineChars="0"/>
              <w:jc w:val="center"/>
              <w:rPr>
                <w:color w:val="auto"/>
                <w:kern w:val="0"/>
                <w:sz w:val="21"/>
                <w:szCs w:val="21"/>
              </w:rPr>
            </w:pPr>
            <w:r>
              <w:rPr>
                <w:rFonts w:hint="eastAsia"/>
                <w:color w:val="auto"/>
                <w:sz w:val="21"/>
                <w:szCs w:val="21"/>
              </w:rPr>
              <w:t>4.61E-04</w:t>
            </w:r>
          </w:p>
        </w:tc>
        <w:tc>
          <w:tcPr>
            <w:tcW w:w="212" w:type="pct"/>
            <w:shd w:val="clear" w:color="auto" w:fill="auto"/>
          </w:tcPr>
          <w:p w14:paraId="5BA106F1">
            <w:pPr>
              <w:widowControl/>
              <w:spacing w:line="240" w:lineRule="auto"/>
              <w:ind w:firstLine="0" w:firstLineChars="0"/>
              <w:jc w:val="center"/>
              <w:rPr>
                <w:color w:val="auto"/>
                <w:kern w:val="0"/>
                <w:sz w:val="21"/>
                <w:szCs w:val="21"/>
              </w:rPr>
            </w:pPr>
            <w:r>
              <w:rPr>
                <w:rFonts w:hint="eastAsia"/>
                <w:color w:val="auto"/>
                <w:sz w:val="21"/>
                <w:szCs w:val="21"/>
              </w:rPr>
              <w:t>0.05</w:t>
            </w:r>
          </w:p>
        </w:tc>
      </w:tr>
      <w:tr w14:paraId="77E57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EB5D021">
            <w:pPr>
              <w:widowControl/>
              <w:spacing w:line="240" w:lineRule="auto"/>
              <w:ind w:firstLine="0" w:firstLineChars="0"/>
              <w:jc w:val="center"/>
              <w:rPr>
                <w:color w:val="auto"/>
                <w:kern w:val="0"/>
                <w:sz w:val="21"/>
                <w:szCs w:val="21"/>
              </w:rPr>
            </w:pPr>
            <w:r>
              <w:rPr>
                <w:color w:val="auto"/>
                <w:sz w:val="21"/>
                <w:szCs w:val="21"/>
              </w:rPr>
              <w:t>75</w:t>
            </w:r>
          </w:p>
        </w:tc>
        <w:tc>
          <w:tcPr>
            <w:tcW w:w="420" w:type="pct"/>
            <w:shd w:val="clear" w:color="auto" w:fill="auto"/>
            <w:noWrap/>
          </w:tcPr>
          <w:p w14:paraId="6FFE4DD0">
            <w:pPr>
              <w:widowControl/>
              <w:spacing w:line="240" w:lineRule="auto"/>
              <w:ind w:firstLine="0" w:firstLineChars="0"/>
              <w:jc w:val="center"/>
              <w:rPr>
                <w:color w:val="auto"/>
                <w:kern w:val="0"/>
                <w:sz w:val="21"/>
                <w:szCs w:val="21"/>
              </w:rPr>
            </w:pPr>
            <w:r>
              <w:rPr>
                <w:rFonts w:hint="eastAsia"/>
                <w:color w:val="auto"/>
                <w:sz w:val="21"/>
                <w:szCs w:val="21"/>
              </w:rPr>
              <w:t>3.33E-04</w:t>
            </w:r>
          </w:p>
        </w:tc>
        <w:tc>
          <w:tcPr>
            <w:tcW w:w="292" w:type="pct"/>
            <w:shd w:val="clear" w:color="auto" w:fill="auto"/>
            <w:noWrap/>
          </w:tcPr>
          <w:p w14:paraId="09FC1DE0">
            <w:pPr>
              <w:widowControl/>
              <w:spacing w:line="240" w:lineRule="auto"/>
              <w:ind w:firstLine="0" w:firstLineChars="0"/>
              <w:jc w:val="center"/>
              <w:rPr>
                <w:color w:val="auto"/>
                <w:kern w:val="0"/>
                <w:sz w:val="21"/>
                <w:szCs w:val="21"/>
              </w:rPr>
            </w:pPr>
            <w:r>
              <w:rPr>
                <w:rFonts w:hint="eastAsia"/>
                <w:color w:val="auto"/>
                <w:sz w:val="21"/>
                <w:szCs w:val="21"/>
              </w:rPr>
              <w:t>0.07</w:t>
            </w:r>
          </w:p>
        </w:tc>
        <w:tc>
          <w:tcPr>
            <w:tcW w:w="490" w:type="pct"/>
            <w:shd w:val="clear" w:color="auto" w:fill="auto"/>
          </w:tcPr>
          <w:p w14:paraId="2812D0DA">
            <w:pPr>
              <w:widowControl/>
              <w:spacing w:line="240" w:lineRule="auto"/>
              <w:ind w:firstLine="0" w:firstLineChars="0"/>
              <w:jc w:val="center"/>
              <w:rPr>
                <w:color w:val="auto"/>
                <w:kern w:val="0"/>
                <w:sz w:val="21"/>
                <w:szCs w:val="21"/>
              </w:rPr>
            </w:pPr>
            <w:r>
              <w:rPr>
                <w:rFonts w:hint="eastAsia"/>
                <w:color w:val="auto"/>
                <w:sz w:val="21"/>
                <w:szCs w:val="21"/>
              </w:rPr>
              <w:t>2.35E-04</w:t>
            </w:r>
          </w:p>
        </w:tc>
        <w:tc>
          <w:tcPr>
            <w:tcW w:w="376" w:type="pct"/>
            <w:shd w:val="clear" w:color="auto" w:fill="auto"/>
          </w:tcPr>
          <w:p w14:paraId="74E2F0B1">
            <w:pPr>
              <w:widowControl/>
              <w:spacing w:line="240" w:lineRule="auto"/>
              <w:ind w:firstLine="0" w:firstLineChars="0"/>
              <w:jc w:val="center"/>
              <w:rPr>
                <w:color w:val="auto"/>
                <w:kern w:val="0"/>
                <w:sz w:val="21"/>
                <w:szCs w:val="21"/>
              </w:rPr>
            </w:pPr>
            <w:r>
              <w:rPr>
                <w:rFonts w:hint="eastAsia"/>
                <w:color w:val="auto"/>
                <w:sz w:val="21"/>
                <w:szCs w:val="21"/>
              </w:rPr>
              <w:t>0.05</w:t>
            </w:r>
          </w:p>
        </w:tc>
        <w:tc>
          <w:tcPr>
            <w:tcW w:w="489" w:type="pct"/>
            <w:shd w:val="clear" w:color="auto" w:fill="auto"/>
          </w:tcPr>
          <w:p w14:paraId="4138AAAA">
            <w:pPr>
              <w:widowControl/>
              <w:spacing w:line="240" w:lineRule="auto"/>
              <w:ind w:firstLine="0" w:firstLineChars="0"/>
              <w:jc w:val="center"/>
              <w:rPr>
                <w:color w:val="auto"/>
                <w:kern w:val="0"/>
                <w:sz w:val="21"/>
                <w:szCs w:val="21"/>
              </w:rPr>
            </w:pPr>
            <w:r>
              <w:rPr>
                <w:rFonts w:hint="eastAsia"/>
                <w:color w:val="auto"/>
                <w:sz w:val="21"/>
                <w:szCs w:val="21"/>
              </w:rPr>
              <w:t>2.15E-03</w:t>
            </w:r>
          </w:p>
        </w:tc>
        <w:tc>
          <w:tcPr>
            <w:tcW w:w="239" w:type="pct"/>
            <w:shd w:val="clear" w:color="auto" w:fill="auto"/>
          </w:tcPr>
          <w:p w14:paraId="35F8190B">
            <w:pPr>
              <w:widowControl/>
              <w:spacing w:line="240" w:lineRule="auto"/>
              <w:ind w:firstLine="0" w:firstLineChars="0"/>
              <w:jc w:val="center"/>
              <w:rPr>
                <w:color w:val="auto"/>
                <w:kern w:val="0"/>
                <w:sz w:val="21"/>
                <w:szCs w:val="21"/>
              </w:rPr>
            </w:pPr>
            <w:r>
              <w:rPr>
                <w:rFonts w:hint="eastAsia"/>
                <w:color w:val="auto"/>
                <w:sz w:val="21"/>
                <w:szCs w:val="21"/>
              </w:rPr>
              <w:t>1.07</w:t>
            </w:r>
          </w:p>
        </w:tc>
        <w:tc>
          <w:tcPr>
            <w:tcW w:w="451" w:type="pct"/>
            <w:shd w:val="clear" w:color="auto" w:fill="auto"/>
          </w:tcPr>
          <w:p w14:paraId="09E59A4F">
            <w:pPr>
              <w:widowControl/>
              <w:spacing w:line="240" w:lineRule="auto"/>
              <w:ind w:firstLine="0" w:firstLineChars="0"/>
              <w:jc w:val="center"/>
              <w:rPr>
                <w:color w:val="auto"/>
                <w:kern w:val="0"/>
                <w:sz w:val="21"/>
                <w:szCs w:val="21"/>
              </w:rPr>
            </w:pPr>
            <w:r>
              <w:rPr>
                <w:rFonts w:hint="eastAsia"/>
                <w:color w:val="auto"/>
                <w:sz w:val="21"/>
                <w:szCs w:val="21"/>
              </w:rPr>
              <w:t>2.22E-04</w:t>
            </w:r>
          </w:p>
        </w:tc>
        <w:tc>
          <w:tcPr>
            <w:tcW w:w="206" w:type="pct"/>
            <w:shd w:val="clear" w:color="auto" w:fill="auto"/>
          </w:tcPr>
          <w:p w14:paraId="485D7DF9">
            <w:pPr>
              <w:widowControl/>
              <w:spacing w:line="240" w:lineRule="auto"/>
              <w:ind w:firstLine="0" w:firstLineChars="0"/>
              <w:jc w:val="center"/>
              <w:rPr>
                <w:color w:val="auto"/>
                <w:kern w:val="0"/>
                <w:sz w:val="21"/>
                <w:szCs w:val="21"/>
              </w:rPr>
            </w:pPr>
            <w:r>
              <w:rPr>
                <w:rFonts w:hint="eastAsia"/>
                <w:color w:val="auto"/>
                <w:sz w:val="21"/>
                <w:szCs w:val="21"/>
              </w:rPr>
              <w:t>0.05</w:t>
            </w:r>
          </w:p>
        </w:tc>
        <w:tc>
          <w:tcPr>
            <w:tcW w:w="352" w:type="pct"/>
          </w:tcPr>
          <w:p w14:paraId="45B698EA">
            <w:pPr>
              <w:widowControl/>
              <w:spacing w:line="240" w:lineRule="auto"/>
              <w:ind w:firstLine="0" w:firstLineChars="0"/>
              <w:jc w:val="center"/>
              <w:rPr>
                <w:color w:val="auto"/>
                <w:sz w:val="21"/>
                <w:szCs w:val="21"/>
              </w:rPr>
            </w:pPr>
            <w:r>
              <w:rPr>
                <w:rFonts w:hint="eastAsia"/>
                <w:color w:val="auto"/>
                <w:sz w:val="21"/>
                <w:szCs w:val="21"/>
              </w:rPr>
              <w:t>1.61E-04</w:t>
            </w:r>
          </w:p>
        </w:tc>
        <w:tc>
          <w:tcPr>
            <w:tcW w:w="170" w:type="pct"/>
          </w:tcPr>
          <w:p w14:paraId="09153296">
            <w:pPr>
              <w:widowControl/>
              <w:spacing w:line="240" w:lineRule="auto"/>
              <w:ind w:firstLine="0" w:firstLineChars="0"/>
              <w:jc w:val="center"/>
              <w:rPr>
                <w:color w:val="auto"/>
                <w:sz w:val="21"/>
                <w:szCs w:val="21"/>
              </w:rPr>
            </w:pPr>
            <w:r>
              <w:rPr>
                <w:rFonts w:hint="eastAsia"/>
                <w:color w:val="auto"/>
                <w:sz w:val="21"/>
                <w:szCs w:val="21"/>
              </w:rPr>
              <w:t>0.03</w:t>
            </w:r>
          </w:p>
        </w:tc>
        <w:tc>
          <w:tcPr>
            <w:tcW w:w="372" w:type="pct"/>
            <w:shd w:val="clear" w:color="auto" w:fill="auto"/>
          </w:tcPr>
          <w:p w14:paraId="0D425559">
            <w:pPr>
              <w:widowControl/>
              <w:spacing w:line="240" w:lineRule="auto"/>
              <w:ind w:firstLine="0" w:firstLineChars="0"/>
              <w:jc w:val="center"/>
              <w:rPr>
                <w:color w:val="auto"/>
                <w:kern w:val="0"/>
                <w:sz w:val="21"/>
                <w:szCs w:val="21"/>
              </w:rPr>
            </w:pPr>
            <w:r>
              <w:rPr>
                <w:rFonts w:hint="eastAsia"/>
                <w:color w:val="auto"/>
                <w:sz w:val="21"/>
                <w:szCs w:val="21"/>
              </w:rPr>
              <w:t>1.47E-03</w:t>
            </w:r>
          </w:p>
        </w:tc>
        <w:tc>
          <w:tcPr>
            <w:tcW w:w="172" w:type="pct"/>
            <w:shd w:val="clear" w:color="auto" w:fill="auto"/>
          </w:tcPr>
          <w:p w14:paraId="44D0FB4B">
            <w:pPr>
              <w:widowControl/>
              <w:spacing w:line="240" w:lineRule="auto"/>
              <w:ind w:firstLine="0" w:firstLineChars="0"/>
              <w:jc w:val="center"/>
              <w:rPr>
                <w:color w:val="auto"/>
                <w:kern w:val="0"/>
                <w:sz w:val="21"/>
                <w:szCs w:val="21"/>
              </w:rPr>
            </w:pPr>
            <w:r>
              <w:rPr>
                <w:rFonts w:hint="eastAsia"/>
                <w:color w:val="auto"/>
                <w:sz w:val="21"/>
                <w:szCs w:val="21"/>
              </w:rPr>
              <w:t>0.73</w:t>
            </w:r>
          </w:p>
        </w:tc>
        <w:tc>
          <w:tcPr>
            <w:tcW w:w="384" w:type="pct"/>
            <w:shd w:val="clear" w:color="auto" w:fill="auto"/>
          </w:tcPr>
          <w:p w14:paraId="20453C6C">
            <w:pPr>
              <w:widowControl/>
              <w:spacing w:line="240" w:lineRule="auto"/>
              <w:ind w:firstLine="0" w:firstLineChars="0"/>
              <w:jc w:val="center"/>
              <w:rPr>
                <w:color w:val="auto"/>
                <w:kern w:val="0"/>
                <w:sz w:val="21"/>
                <w:szCs w:val="21"/>
              </w:rPr>
            </w:pPr>
            <w:r>
              <w:rPr>
                <w:rFonts w:hint="eastAsia"/>
                <w:color w:val="auto"/>
                <w:sz w:val="21"/>
                <w:szCs w:val="21"/>
              </w:rPr>
              <w:t>3.74E-04</w:t>
            </w:r>
          </w:p>
        </w:tc>
        <w:tc>
          <w:tcPr>
            <w:tcW w:w="212" w:type="pct"/>
            <w:shd w:val="clear" w:color="auto" w:fill="auto"/>
          </w:tcPr>
          <w:p w14:paraId="1B2BBC5A">
            <w:pPr>
              <w:widowControl/>
              <w:spacing w:line="240" w:lineRule="auto"/>
              <w:ind w:firstLine="0" w:firstLineChars="0"/>
              <w:jc w:val="center"/>
              <w:rPr>
                <w:color w:val="auto"/>
                <w:kern w:val="0"/>
                <w:sz w:val="21"/>
                <w:szCs w:val="21"/>
              </w:rPr>
            </w:pPr>
            <w:r>
              <w:rPr>
                <w:rFonts w:hint="eastAsia"/>
                <w:color w:val="auto"/>
                <w:sz w:val="21"/>
                <w:szCs w:val="21"/>
              </w:rPr>
              <w:t>0.04</w:t>
            </w:r>
          </w:p>
        </w:tc>
      </w:tr>
      <w:tr w14:paraId="6F73F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8F65FE0">
            <w:pPr>
              <w:widowControl/>
              <w:spacing w:line="240" w:lineRule="auto"/>
              <w:ind w:firstLine="0" w:firstLineChars="0"/>
              <w:jc w:val="center"/>
              <w:rPr>
                <w:color w:val="auto"/>
                <w:kern w:val="0"/>
                <w:sz w:val="21"/>
                <w:szCs w:val="21"/>
              </w:rPr>
            </w:pPr>
            <w:r>
              <w:rPr>
                <w:color w:val="auto"/>
                <w:sz w:val="21"/>
                <w:szCs w:val="21"/>
              </w:rPr>
              <w:t>100</w:t>
            </w:r>
          </w:p>
        </w:tc>
        <w:tc>
          <w:tcPr>
            <w:tcW w:w="420" w:type="pct"/>
            <w:shd w:val="clear" w:color="auto" w:fill="auto"/>
            <w:noWrap/>
          </w:tcPr>
          <w:p w14:paraId="5EC8DA22">
            <w:pPr>
              <w:widowControl/>
              <w:spacing w:line="240" w:lineRule="auto"/>
              <w:ind w:firstLine="0" w:firstLineChars="0"/>
              <w:jc w:val="center"/>
              <w:rPr>
                <w:color w:val="auto"/>
                <w:kern w:val="0"/>
                <w:sz w:val="21"/>
                <w:szCs w:val="21"/>
              </w:rPr>
            </w:pPr>
            <w:r>
              <w:rPr>
                <w:rFonts w:hint="eastAsia"/>
                <w:color w:val="auto"/>
                <w:sz w:val="21"/>
                <w:szCs w:val="21"/>
              </w:rPr>
              <w:t>2.54E-04</w:t>
            </w:r>
          </w:p>
        </w:tc>
        <w:tc>
          <w:tcPr>
            <w:tcW w:w="292" w:type="pct"/>
            <w:shd w:val="clear" w:color="auto" w:fill="auto"/>
            <w:noWrap/>
          </w:tcPr>
          <w:p w14:paraId="5A65284F">
            <w:pPr>
              <w:widowControl/>
              <w:spacing w:line="240" w:lineRule="auto"/>
              <w:ind w:firstLine="0" w:firstLineChars="0"/>
              <w:jc w:val="center"/>
              <w:rPr>
                <w:color w:val="auto"/>
                <w:kern w:val="0"/>
                <w:sz w:val="21"/>
                <w:szCs w:val="21"/>
              </w:rPr>
            </w:pPr>
            <w:r>
              <w:rPr>
                <w:rFonts w:hint="eastAsia"/>
                <w:color w:val="auto"/>
                <w:sz w:val="21"/>
                <w:szCs w:val="21"/>
              </w:rPr>
              <w:t>0.06</w:t>
            </w:r>
          </w:p>
        </w:tc>
        <w:tc>
          <w:tcPr>
            <w:tcW w:w="490" w:type="pct"/>
            <w:shd w:val="clear" w:color="auto" w:fill="auto"/>
          </w:tcPr>
          <w:p w14:paraId="75C8565B">
            <w:pPr>
              <w:widowControl/>
              <w:spacing w:line="240" w:lineRule="auto"/>
              <w:ind w:firstLine="0" w:firstLineChars="0"/>
              <w:jc w:val="center"/>
              <w:rPr>
                <w:color w:val="auto"/>
                <w:kern w:val="0"/>
                <w:sz w:val="21"/>
                <w:szCs w:val="21"/>
              </w:rPr>
            </w:pPr>
            <w:r>
              <w:rPr>
                <w:rFonts w:hint="eastAsia"/>
                <w:color w:val="auto"/>
                <w:sz w:val="21"/>
                <w:szCs w:val="21"/>
              </w:rPr>
              <w:t>1.79E-04</w:t>
            </w:r>
          </w:p>
        </w:tc>
        <w:tc>
          <w:tcPr>
            <w:tcW w:w="376" w:type="pct"/>
            <w:shd w:val="clear" w:color="auto" w:fill="auto"/>
          </w:tcPr>
          <w:p w14:paraId="21A5E456">
            <w:pPr>
              <w:widowControl/>
              <w:spacing w:line="240" w:lineRule="auto"/>
              <w:ind w:firstLine="0" w:firstLineChars="0"/>
              <w:jc w:val="center"/>
              <w:rPr>
                <w:color w:val="auto"/>
                <w:kern w:val="0"/>
                <w:sz w:val="21"/>
                <w:szCs w:val="21"/>
              </w:rPr>
            </w:pPr>
            <w:r>
              <w:rPr>
                <w:rFonts w:hint="eastAsia"/>
                <w:color w:val="auto"/>
                <w:sz w:val="21"/>
                <w:szCs w:val="21"/>
              </w:rPr>
              <w:t>0.04</w:t>
            </w:r>
          </w:p>
        </w:tc>
        <w:tc>
          <w:tcPr>
            <w:tcW w:w="489" w:type="pct"/>
            <w:shd w:val="clear" w:color="auto" w:fill="auto"/>
          </w:tcPr>
          <w:p w14:paraId="743573B5">
            <w:pPr>
              <w:widowControl/>
              <w:spacing w:line="240" w:lineRule="auto"/>
              <w:ind w:firstLine="0" w:firstLineChars="0"/>
              <w:jc w:val="center"/>
              <w:rPr>
                <w:color w:val="auto"/>
                <w:kern w:val="0"/>
                <w:sz w:val="21"/>
                <w:szCs w:val="21"/>
              </w:rPr>
            </w:pPr>
            <w:r>
              <w:rPr>
                <w:rFonts w:hint="eastAsia"/>
                <w:color w:val="auto"/>
                <w:sz w:val="21"/>
                <w:szCs w:val="21"/>
              </w:rPr>
              <w:t>1.64E-03</w:t>
            </w:r>
          </w:p>
        </w:tc>
        <w:tc>
          <w:tcPr>
            <w:tcW w:w="239" w:type="pct"/>
            <w:shd w:val="clear" w:color="auto" w:fill="auto"/>
          </w:tcPr>
          <w:p w14:paraId="41A4D6FF">
            <w:pPr>
              <w:widowControl/>
              <w:spacing w:line="240" w:lineRule="auto"/>
              <w:ind w:firstLine="0" w:firstLineChars="0"/>
              <w:jc w:val="center"/>
              <w:rPr>
                <w:color w:val="auto"/>
                <w:kern w:val="0"/>
                <w:sz w:val="21"/>
                <w:szCs w:val="21"/>
              </w:rPr>
            </w:pPr>
            <w:r>
              <w:rPr>
                <w:rFonts w:hint="eastAsia"/>
                <w:color w:val="auto"/>
                <w:sz w:val="21"/>
                <w:szCs w:val="21"/>
              </w:rPr>
              <w:t>0.82</w:t>
            </w:r>
          </w:p>
        </w:tc>
        <w:tc>
          <w:tcPr>
            <w:tcW w:w="451" w:type="pct"/>
            <w:shd w:val="clear" w:color="auto" w:fill="auto"/>
          </w:tcPr>
          <w:p w14:paraId="6BD8D25F">
            <w:pPr>
              <w:widowControl/>
              <w:spacing w:line="240" w:lineRule="auto"/>
              <w:ind w:firstLine="0" w:firstLineChars="0"/>
              <w:jc w:val="center"/>
              <w:rPr>
                <w:color w:val="auto"/>
                <w:kern w:val="0"/>
                <w:sz w:val="21"/>
                <w:szCs w:val="21"/>
              </w:rPr>
            </w:pPr>
            <w:r>
              <w:rPr>
                <w:rFonts w:hint="eastAsia"/>
                <w:color w:val="auto"/>
                <w:sz w:val="21"/>
                <w:szCs w:val="21"/>
              </w:rPr>
              <w:t>1.69E-04</w:t>
            </w:r>
          </w:p>
        </w:tc>
        <w:tc>
          <w:tcPr>
            <w:tcW w:w="206" w:type="pct"/>
            <w:shd w:val="clear" w:color="auto" w:fill="auto"/>
          </w:tcPr>
          <w:p w14:paraId="780B6944">
            <w:pPr>
              <w:widowControl/>
              <w:spacing w:line="240" w:lineRule="auto"/>
              <w:ind w:firstLine="0" w:firstLineChars="0"/>
              <w:jc w:val="center"/>
              <w:rPr>
                <w:color w:val="auto"/>
                <w:kern w:val="0"/>
                <w:sz w:val="21"/>
                <w:szCs w:val="21"/>
              </w:rPr>
            </w:pPr>
            <w:r>
              <w:rPr>
                <w:rFonts w:hint="eastAsia"/>
                <w:color w:val="auto"/>
                <w:sz w:val="21"/>
                <w:szCs w:val="21"/>
              </w:rPr>
              <w:t>0.04</w:t>
            </w:r>
          </w:p>
        </w:tc>
        <w:tc>
          <w:tcPr>
            <w:tcW w:w="352" w:type="pct"/>
          </w:tcPr>
          <w:p w14:paraId="68D23F20">
            <w:pPr>
              <w:widowControl/>
              <w:spacing w:line="240" w:lineRule="auto"/>
              <w:ind w:firstLine="0" w:firstLineChars="0"/>
              <w:jc w:val="center"/>
              <w:rPr>
                <w:color w:val="auto"/>
                <w:sz w:val="21"/>
                <w:szCs w:val="21"/>
              </w:rPr>
            </w:pPr>
            <w:r>
              <w:rPr>
                <w:rFonts w:hint="eastAsia"/>
                <w:color w:val="auto"/>
                <w:sz w:val="21"/>
                <w:szCs w:val="21"/>
              </w:rPr>
              <w:t>1.22E-04</w:t>
            </w:r>
          </w:p>
        </w:tc>
        <w:tc>
          <w:tcPr>
            <w:tcW w:w="170" w:type="pct"/>
          </w:tcPr>
          <w:p w14:paraId="64CC9E57">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18E36924">
            <w:pPr>
              <w:widowControl/>
              <w:spacing w:line="240" w:lineRule="auto"/>
              <w:ind w:firstLine="0" w:firstLineChars="0"/>
              <w:jc w:val="center"/>
              <w:rPr>
                <w:color w:val="auto"/>
                <w:kern w:val="0"/>
                <w:sz w:val="21"/>
                <w:szCs w:val="21"/>
              </w:rPr>
            </w:pPr>
            <w:r>
              <w:rPr>
                <w:rFonts w:hint="eastAsia"/>
                <w:color w:val="auto"/>
                <w:sz w:val="21"/>
                <w:szCs w:val="21"/>
              </w:rPr>
              <w:t>1.12E-03</w:t>
            </w:r>
          </w:p>
        </w:tc>
        <w:tc>
          <w:tcPr>
            <w:tcW w:w="172" w:type="pct"/>
            <w:shd w:val="clear" w:color="auto" w:fill="auto"/>
          </w:tcPr>
          <w:p w14:paraId="67455561">
            <w:pPr>
              <w:widowControl/>
              <w:spacing w:line="240" w:lineRule="auto"/>
              <w:ind w:firstLine="0" w:firstLineChars="0"/>
              <w:jc w:val="center"/>
              <w:rPr>
                <w:color w:val="auto"/>
                <w:kern w:val="0"/>
                <w:sz w:val="21"/>
                <w:szCs w:val="21"/>
              </w:rPr>
            </w:pPr>
            <w:r>
              <w:rPr>
                <w:rFonts w:hint="eastAsia"/>
                <w:color w:val="auto"/>
                <w:sz w:val="21"/>
                <w:szCs w:val="21"/>
              </w:rPr>
              <w:t>0.56</w:t>
            </w:r>
          </w:p>
        </w:tc>
        <w:tc>
          <w:tcPr>
            <w:tcW w:w="384" w:type="pct"/>
            <w:shd w:val="clear" w:color="auto" w:fill="auto"/>
          </w:tcPr>
          <w:p w14:paraId="69E95921">
            <w:pPr>
              <w:widowControl/>
              <w:spacing w:line="240" w:lineRule="auto"/>
              <w:ind w:firstLine="0" w:firstLineChars="0"/>
              <w:jc w:val="center"/>
              <w:rPr>
                <w:color w:val="auto"/>
                <w:kern w:val="0"/>
                <w:sz w:val="21"/>
                <w:szCs w:val="21"/>
              </w:rPr>
            </w:pPr>
            <w:r>
              <w:rPr>
                <w:rFonts w:hint="eastAsia"/>
                <w:color w:val="auto"/>
                <w:sz w:val="21"/>
                <w:szCs w:val="21"/>
              </w:rPr>
              <w:t>2.85E-04</w:t>
            </w:r>
          </w:p>
        </w:tc>
        <w:tc>
          <w:tcPr>
            <w:tcW w:w="212" w:type="pct"/>
            <w:shd w:val="clear" w:color="auto" w:fill="auto"/>
          </w:tcPr>
          <w:p w14:paraId="380D4099">
            <w:pPr>
              <w:widowControl/>
              <w:spacing w:line="240" w:lineRule="auto"/>
              <w:ind w:firstLine="0" w:firstLineChars="0"/>
              <w:jc w:val="center"/>
              <w:rPr>
                <w:color w:val="auto"/>
                <w:kern w:val="0"/>
                <w:sz w:val="21"/>
                <w:szCs w:val="21"/>
              </w:rPr>
            </w:pPr>
            <w:r>
              <w:rPr>
                <w:rFonts w:hint="eastAsia"/>
                <w:color w:val="auto"/>
                <w:sz w:val="21"/>
                <w:szCs w:val="21"/>
              </w:rPr>
              <w:t>0.03</w:t>
            </w:r>
          </w:p>
        </w:tc>
      </w:tr>
      <w:tr w14:paraId="27174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02B38F8">
            <w:pPr>
              <w:widowControl/>
              <w:spacing w:line="240" w:lineRule="auto"/>
              <w:ind w:firstLine="0" w:firstLineChars="0"/>
              <w:jc w:val="center"/>
              <w:rPr>
                <w:color w:val="auto"/>
                <w:kern w:val="0"/>
                <w:sz w:val="21"/>
                <w:szCs w:val="21"/>
              </w:rPr>
            </w:pPr>
            <w:r>
              <w:rPr>
                <w:color w:val="auto"/>
                <w:sz w:val="21"/>
                <w:szCs w:val="21"/>
              </w:rPr>
              <w:t>125</w:t>
            </w:r>
          </w:p>
        </w:tc>
        <w:tc>
          <w:tcPr>
            <w:tcW w:w="420" w:type="pct"/>
            <w:shd w:val="clear" w:color="auto" w:fill="auto"/>
            <w:noWrap/>
          </w:tcPr>
          <w:p w14:paraId="253555CA">
            <w:pPr>
              <w:widowControl/>
              <w:spacing w:line="240" w:lineRule="auto"/>
              <w:ind w:firstLine="0" w:firstLineChars="0"/>
              <w:jc w:val="center"/>
              <w:rPr>
                <w:color w:val="auto"/>
                <w:kern w:val="0"/>
                <w:sz w:val="21"/>
                <w:szCs w:val="21"/>
              </w:rPr>
            </w:pPr>
            <w:r>
              <w:rPr>
                <w:rFonts w:hint="eastAsia"/>
                <w:color w:val="auto"/>
                <w:sz w:val="21"/>
                <w:szCs w:val="21"/>
              </w:rPr>
              <w:t>2.26E-04</w:t>
            </w:r>
          </w:p>
        </w:tc>
        <w:tc>
          <w:tcPr>
            <w:tcW w:w="292" w:type="pct"/>
            <w:shd w:val="clear" w:color="auto" w:fill="auto"/>
            <w:noWrap/>
          </w:tcPr>
          <w:p w14:paraId="0A28FC1B">
            <w:pPr>
              <w:widowControl/>
              <w:spacing w:line="240" w:lineRule="auto"/>
              <w:ind w:firstLine="0" w:firstLineChars="0"/>
              <w:jc w:val="center"/>
              <w:rPr>
                <w:color w:val="auto"/>
                <w:kern w:val="0"/>
                <w:sz w:val="21"/>
                <w:szCs w:val="21"/>
              </w:rPr>
            </w:pPr>
            <w:r>
              <w:rPr>
                <w:rFonts w:hint="eastAsia"/>
                <w:color w:val="auto"/>
                <w:sz w:val="21"/>
                <w:szCs w:val="21"/>
              </w:rPr>
              <w:t>0.05</w:t>
            </w:r>
          </w:p>
        </w:tc>
        <w:tc>
          <w:tcPr>
            <w:tcW w:w="490" w:type="pct"/>
            <w:shd w:val="clear" w:color="auto" w:fill="auto"/>
          </w:tcPr>
          <w:p w14:paraId="615C437D">
            <w:pPr>
              <w:widowControl/>
              <w:spacing w:line="240" w:lineRule="auto"/>
              <w:ind w:firstLine="0" w:firstLineChars="0"/>
              <w:jc w:val="center"/>
              <w:rPr>
                <w:color w:val="auto"/>
                <w:kern w:val="0"/>
                <w:sz w:val="21"/>
                <w:szCs w:val="21"/>
              </w:rPr>
            </w:pPr>
            <w:r>
              <w:rPr>
                <w:rFonts w:hint="eastAsia"/>
                <w:color w:val="auto"/>
                <w:sz w:val="21"/>
                <w:szCs w:val="21"/>
              </w:rPr>
              <w:t>1.59E-04</w:t>
            </w:r>
          </w:p>
        </w:tc>
        <w:tc>
          <w:tcPr>
            <w:tcW w:w="376" w:type="pct"/>
            <w:shd w:val="clear" w:color="auto" w:fill="auto"/>
          </w:tcPr>
          <w:p w14:paraId="2B960EA5">
            <w:pPr>
              <w:widowControl/>
              <w:spacing w:line="240" w:lineRule="auto"/>
              <w:ind w:firstLine="0" w:firstLineChars="0"/>
              <w:jc w:val="center"/>
              <w:rPr>
                <w:color w:val="auto"/>
                <w:kern w:val="0"/>
                <w:sz w:val="21"/>
                <w:szCs w:val="21"/>
              </w:rPr>
            </w:pPr>
            <w:r>
              <w:rPr>
                <w:rFonts w:hint="eastAsia"/>
                <w:color w:val="auto"/>
                <w:sz w:val="21"/>
                <w:szCs w:val="21"/>
              </w:rPr>
              <w:t>0.03</w:t>
            </w:r>
          </w:p>
        </w:tc>
        <w:tc>
          <w:tcPr>
            <w:tcW w:w="489" w:type="pct"/>
            <w:shd w:val="clear" w:color="auto" w:fill="auto"/>
          </w:tcPr>
          <w:p w14:paraId="36BC8990">
            <w:pPr>
              <w:widowControl/>
              <w:spacing w:line="240" w:lineRule="auto"/>
              <w:ind w:firstLine="0" w:firstLineChars="0"/>
              <w:jc w:val="center"/>
              <w:rPr>
                <w:color w:val="auto"/>
                <w:kern w:val="0"/>
                <w:sz w:val="21"/>
                <w:szCs w:val="21"/>
              </w:rPr>
            </w:pPr>
            <w:r>
              <w:rPr>
                <w:rFonts w:hint="eastAsia"/>
                <w:color w:val="auto"/>
                <w:sz w:val="21"/>
                <w:szCs w:val="21"/>
              </w:rPr>
              <w:t>1.46E-03</w:t>
            </w:r>
          </w:p>
        </w:tc>
        <w:tc>
          <w:tcPr>
            <w:tcW w:w="239" w:type="pct"/>
            <w:shd w:val="clear" w:color="auto" w:fill="auto"/>
          </w:tcPr>
          <w:p w14:paraId="79F626EF">
            <w:pPr>
              <w:widowControl/>
              <w:spacing w:line="240" w:lineRule="auto"/>
              <w:ind w:firstLine="0" w:firstLineChars="0"/>
              <w:jc w:val="center"/>
              <w:rPr>
                <w:color w:val="auto"/>
                <w:kern w:val="0"/>
                <w:sz w:val="21"/>
                <w:szCs w:val="21"/>
              </w:rPr>
            </w:pPr>
            <w:r>
              <w:rPr>
                <w:rFonts w:hint="eastAsia"/>
                <w:color w:val="auto"/>
                <w:sz w:val="21"/>
                <w:szCs w:val="21"/>
              </w:rPr>
              <w:t>0.73</w:t>
            </w:r>
          </w:p>
        </w:tc>
        <w:tc>
          <w:tcPr>
            <w:tcW w:w="451" w:type="pct"/>
            <w:shd w:val="clear" w:color="auto" w:fill="auto"/>
          </w:tcPr>
          <w:p w14:paraId="7340A5EB">
            <w:pPr>
              <w:widowControl/>
              <w:spacing w:line="240" w:lineRule="auto"/>
              <w:ind w:firstLine="0" w:firstLineChars="0"/>
              <w:jc w:val="center"/>
              <w:rPr>
                <w:color w:val="auto"/>
                <w:kern w:val="0"/>
                <w:sz w:val="21"/>
                <w:szCs w:val="21"/>
              </w:rPr>
            </w:pPr>
            <w:r>
              <w:rPr>
                <w:rFonts w:hint="eastAsia"/>
                <w:color w:val="auto"/>
                <w:sz w:val="21"/>
                <w:szCs w:val="21"/>
              </w:rPr>
              <w:t>1.51E-04</w:t>
            </w:r>
          </w:p>
        </w:tc>
        <w:tc>
          <w:tcPr>
            <w:tcW w:w="206" w:type="pct"/>
            <w:shd w:val="clear" w:color="auto" w:fill="auto"/>
          </w:tcPr>
          <w:p w14:paraId="122A1565">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73838241">
            <w:pPr>
              <w:widowControl/>
              <w:spacing w:line="240" w:lineRule="auto"/>
              <w:ind w:firstLine="0" w:firstLineChars="0"/>
              <w:jc w:val="center"/>
              <w:rPr>
                <w:color w:val="auto"/>
                <w:sz w:val="21"/>
                <w:szCs w:val="21"/>
              </w:rPr>
            </w:pPr>
            <w:r>
              <w:rPr>
                <w:rFonts w:hint="eastAsia"/>
                <w:color w:val="auto"/>
                <w:sz w:val="21"/>
                <w:szCs w:val="21"/>
              </w:rPr>
              <w:t>1.09E-04</w:t>
            </w:r>
          </w:p>
        </w:tc>
        <w:tc>
          <w:tcPr>
            <w:tcW w:w="170" w:type="pct"/>
          </w:tcPr>
          <w:p w14:paraId="1728EB28">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17D2149B">
            <w:pPr>
              <w:widowControl/>
              <w:spacing w:line="240" w:lineRule="auto"/>
              <w:ind w:firstLine="0" w:firstLineChars="0"/>
              <w:jc w:val="center"/>
              <w:rPr>
                <w:color w:val="auto"/>
                <w:kern w:val="0"/>
                <w:sz w:val="21"/>
                <w:szCs w:val="21"/>
              </w:rPr>
            </w:pPr>
            <w:r>
              <w:rPr>
                <w:rFonts w:hint="eastAsia"/>
                <w:color w:val="auto"/>
                <w:sz w:val="21"/>
                <w:szCs w:val="21"/>
              </w:rPr>
              <w:t>9.98E-04</w:t>
            </w:r>
          </w:p>
        </w:tc>
        <w:tc>
          <w:tcPr>
            <w:tcW w:w="172" w:type="pct"/>
            <w:shd w:val="clear" w:color="auto" w:fill="auto"/>
          </w:tcPr>
          <w:p w14:paraId="716D4530">
            <w:pPr>
              <w:widowControl/>
              <w:spacing w:line="240" w:lineRule="auto"/>
              <w:ind w:firstLine="0" w:firstLineChars="0"/>
              <w:jc w:val="center"/>
              <w:rPr>
                <w:color w:val="auto"/>
                <w:kern w:val="0"/>
                <w:sz w:val="21"/>
                <w:szCs w:val="21"/>
              </w:rPr>
            </w:pPr>
            <w:r>
              <w:rPr>
                <w:rFonts w:hint="eastAsia"/>
                <w:color w:val="auto"/>
                <w:sz w:val="21"/>
                <w:szCs w:val="21"/>
              </w:rPr>
              <w:t>0.50</w:t>
            </w:r>
          </w:p>
        </w:tc>
        <w:tc>
          <w:tcPr>
            <w:tcW w:w="384" w:type="pct"/>
            <w:shd w:val="clear" w:color="auto" w:fill="auto"/>
          </w:tcPr>
          <w:p w14:paraId="08043C33">
            <w:pPr>
              <w:widowControl/>
              <w:spacing w:line="240" w:lineRule="auto"/>
              <w:ind w:firstLine="0" w:firstLineChars="0"/>
              <w:jc w:val="center"/>
              <w:rPr>
                <w:color w:val="auto"/>
                <w:kern w:val="0"/>
                <w:sz w:val="21"/>
                <w:szCs w:val="21"/>
              </w:rPr>
            </w:pPr>
            <w:r>
              <w:rPr>
                <w:rFonts w:hint="eastAsia"/>
                <w:color w:val="auto"/>
                <w:sz w:val="21"/>
                <w:szCs w:val="21"/>
              </w:rPr>
              <w:t>2.54E-04</w:t>
            </w:r>
          </w:p>
        </w:tc>
        <w:tc>
          <w:tcPr>
            <w:tcW w:w="212" w:type="pct"/>
            <w:shd w:val="clear" w:color="auto" w:fill="auto"/>
          </w:tcPr>
          <w:p w14:paraId="25862A73">
            <w:pPr>
              <w:widowControl/>
              <w:spacing w:line="240" w:lineRule="auto"/>
              <w:ind w:firstLine="0" w:firstLineChars="0"/>
              <w:jc w:val="center"/>
              <w:rPr>
                <w:color w:val="auto"/>
                <w:kern w:val="0"/>
                <w:sz w:val="21"/>
                <w:szCs w:val="21"/>
              </w:rPr>
            </w:pPr>
            <w:r>
              <w:rPr>
                <w:rFonts w:hint="eastAsia"/>
                <w:color w:val="auto"/>
                <w:sz w:val="21"/>
                <w:szCs w:val="21"/>
              </w:rPr>
              <w:t>0.03</w:t>
            </w:r>
          </w:p>
        </w:tc>
      </w:tr>
      <w:tr w14:paraId="4B074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2222142">
            <w:pPr>
              <w:widowControl/>
              <w:spacing w:line="240" w:lineRule="auto"/>
              <w:ind w:firstLine="0" w:firstLineChars="0"/>
              <w:jc w:val="center"/>
              <w:rPr>
                <w:color w:val="auto"/>
                <w:kern w:val="0"/>
                <w:sz w:val="21"/>
                <w:szCs w:val="21"/>
              </w:rPr>
            </w:pPr>
            <w:r>
              <w:rPr>
                <w:color w:val="auto"/>
                <w:sz w:val="21"/>
                <w:szCs w:val="21"/>
              </w:rPr>
              <w:t>150</w:t>
            </w:r>
          </w:p>
        </w:tc>
        <w:tc>
          <w:tcPr>
            <w:tcW w:w="420" w:type="pct"/>
            <w:shd w:val="clear" w:color="auto" w:fill="auto"/>
            <w:noWrap/>
          </w:tcPr>
          <w:p w14:paraId="3262A90F">
            <w:pPr>
              <w:widowControl/>
              <w:spacing w:line="240" w:lineRule="auto"/>
              <w:ind w:firstLine="0" w:firstLineChars="0"/>
              <w:jc w:val="center"/>
              <w:rPr>
                <w:color w:val="auto"/>
                <w:kern w:val="0"/>
                <w:sz w:val="21"/>
                <w:szCs w:val="21"/>
              </w:rPr>
            </w:pPr>
            <w:r>
              <w:rPr>
                <w:rFonts w:hint="eastAsia"/>
                <w:color w:val="auto"/>
                <w:sz w:val="21"/>
                <w:szCs w:val="21"/>
              </w:rPr>
              <w:t>2.29E-04</w:t>
            </w:r>
          </w:p>
        </w:tc>
        <w:tc>
          <w:tcPr>
            <w:tcW w:w="292" w:type="pct"/>
            <w:shd w:val="clear" w:color="auto" w:fill="auto"/>
            <w:noWrap/>
          </w:tcPr>
          <w:p w14:paraId="0DFC7440">
            <w:pPr>
              <w:widowControl/>
              <w:spacing w:line="240" w:lineRule="auto"/>
              <w:ind w:firstLine="0" w:firstLineChars="0"/>
              <w:jc w:val="center"/>
              <w:rPr>
                <w:color w:val="auto"/>
                <w:kern w:val="0"/>
                <w:sz w:val="21"/>
                <w:szCs w:val="21"/>
              </w:rPr>
            </w:pPr>
            <w:r>
              <w:rPr>
                <w:rFonts w:hint="eastAsia"/>
                <w:color w:val="auto"/>
                <w:sz w:val="21"/>
                <w:szCs w:val="21"/>
              </w:rPr>
              <w:t>0.05</w:t>
            </w:r>
          </w:p>
        </w:tc>
        <w:tc>
          <w:tcPr>
            <w:tcW w:w="490" w:type="pct"/>
            <w:shd w:val="clear" w:color="auto" w:fill="auto"/>
          </w:tcPr>
          <w:p w14:paraId="29047FE3">
            <w:pPr>
              <w:widowControl/>
              <w:spacing w:line="240" w:lineRule="auto"/>
              <w:ind w:firstLine="0" w:firstLineChars="0"/>
              <w:jc w:val="center"/>
              <w:rPr>
                <w:color w:val="auto"/>
                <w:kern w:val="0"/>
                <w:sz w:val="21"/>
                <w:szCs w:val="21"/>
              </w:rPr>
            </w:pPr>
            <w:r>
              <w:rPr>
                <w:rFonts w:hint="eastAsia"/>
                <w:color w:val="auto"/>
                <w:sz w:val="21"/>
                <w:szCs w:val="21"/>
              </w:rPr>
              <w:t>1.61E-04</w:t>
            </w:r>
          </w:p>
        </w:tc>
        <w:tc>
          <w:tcPr>
            <w:tcW w:w="376" w:type="pct"/>
            <w:shd w:val="clear" w:color="auto" w:fill="auto"/>
          </w:tcPr>
          <w:p w14:paraId="2CAAE9A1">
            <w:pPr>
              <w:widowControl/>
              <w:spacing w:line="240" w:lineRule="auto"/>
              <w:ind w:firstLine="0" w:firstLineChars="0"/>
              <w:jc w:val="center"/>
              <w:rPr>
                <w:color w:val="auto"/>
                <w:kern w:val="0"/>
                <w:sz w:val="21"/>
                <w:szCs w:val="21"/>
              </w:rPr>
            </w:pPr>
            <w:r>
              <w:rPr>
                <w:rFonts w:hint="eastAsia"/>
                <w:color w:val="auto"/>
                <w:sz w:val="21"/>
                <w:szCs w:val="21"/>
              </w:rPr>
              <w:t>0.03</w:t>
            </w:r>
          </w:p>
        </w:tc>
        <w:tc>
          <w:tcPr>
            <w:tcW w:w="489" w:type="pct"/>
            <w:shd w:val="clear" w:color="auto" w:fill="auto"/>
          </w:tcPr>
          <w:p w14:paraId="33D187E0">
            <w:pPr>
              <w:widowControl/>
              <w:spacing w:line="240" w:lineRule="auto"/>
              <w:ind w:firstLine="0" w:firstLineChars="0"/>
              <w:jc w:val="center"/>
              <w:rPr>
                <w:color w:val="auto"/>
                <w:kern w:val="0"/>
                <w:sz w:val="21"/>
                <w:szCs w:val="21"/>
              </w:rPr>
            </w:pPr>
            <w:r>
              <w:rPr>
                <w:rFonts w:hint="eastAsia"/>
                <w:color w:val="auto"/>
                <w:sz w:val="21"/>
                <w:szCs w:val="21"/>
              </w:rPr>
              <w:t>1.47E-03</w:t>
            </w:r>
          </w:p>
        </w:tc>
        <w:tc>
          <w:tcPr>
            <w:tcW w:w="239" w:type="pct"/>
            <w:shd w:val="clear" w:color="auto" w:fill="auto"/>
          </w:tcPr>
          <w:p w14:paraId="085673AC">
            <w:pPr>
              <w:widowControl/>
              <w:spacing w:line="240" w:lineRule="auto"/>
              <w:ind w:firstLine="0" w:firstLineChars="0"/>
              <w:jc w:val="center"/>
              <w:rPr>
                <w:color w:val="auto"/>
                <w:kern w:val="0"/>
                <w:sz w:val="21"/>
                <w:szCs w:val="21"/>
              </w:rPr>
            </w:pPr>
            <w:r>
              <w:rPr>
                <w:rFonts w:hint="eastAsia"/>
                <w:color w:val="auto"/>
                <w:sz w:val="21"/>
                <w:szCs w:val="21"/>
              </w:rPr>
              <w:t>0.74</w:t>
            </w:r>
          </w:p>
        </w:tc>
        <w:tc>
          <w:tcPr>
            <w:tcW w:w="451" w:type="pct"/>
            <w:shd w:val="clear" w:color="auto" w:fill="auto"/>
          </w:tcPr>
          <w:p w14:paraId="77A0320C">
            <w:pPr>
              <w:widowControl/>
              <w:spacing w:line="240" w:lineRule="auto"/>
              <w:ind w:firstLine="0" w:firstLineChars="0"/>
              <w:jc w:val="center"/>
              <w:rPr>
                <w:color w:val="auto"/>
                <w:kern w:val="0"/>
                <w:sz w:val="21"/>
                <w:szCs w:val="21"/>
              </w:rPr>
            </w:pPr>
            <w:r>
              <w:rPr>
                <w:rFonts w:hint="eastAsia"/>
                <w:color w:val="auto"/>
                <w:sz w:val="21"/>
                <w:szCs w:val="21"/>
              </w:rPr>
              <w:t>1.52E-04</w:t>
            </w:r>
          </w:p>
        </w:tc>
        <w:tc>
          <w:tcPr>
            <w:tcW w:w="206" w:type="pct"/>
            <w:shd w:val="clear" w:color="auto" w:fill="auto"/>
          </w:tcPr>
          <w:p w14:paraId="57ACE8C6">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1F6ADBDC">
            <w:pPr>
              <w:widowControl/>
              <w:spacing w:line="240" w:lineRule="auto"/>
              <w:ind w:firstLine="0" w:firstLineChars="0"/>
              <w:jc w:val="center"/>
              <w:rPr>
                <w:color w:val="auto"/>
                <w:sz w:val="21"/>
                <w:szCs w:val="21"/>
              </w:rPr>
            </w:pPr>
            <w:r>
              <w:rPr>
                <w:rFonts w:hint="eastAsia"/>
                <w:color w:val="auto"/>
                <w:sz w:val="21"/>
                <w:szCs w:val="21"/>
              </w:rPr>
              <w:t>1.10E-04</w:t>
            </w:r>
          </w:p>
        </w:tc>
        <w:tc>
          <w:tcPr>
            <w:tcW w:w="170" w:type="pct"/>
          </w:tcPr>
          <w:p w14:paraId="618137EC">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354B50FF">
            <w:pPr>
              <w:widowControl/>
              <w:spacing w:line="240" w:lineRule="auto"/>
              <w:ind w:firstLine="0" w:firstLineChars="0"/>
              <w:jc w:val="center"/>
              <w:rPr>
                <w:color w:val="auto"/>
                <w:kern w:val="0"/>
                <w:sz w:val="21"/>
                <w:szCs w:val="21"/>
              </w:rPr>
            </w:pPr>
            <w:r>
              <w:rPr>
                <w:rFonts w:hint="eastAsia"/>
                <w:color w:val="auto"/>
                <w:sz w:val="21"/>
                <w:szCs w:val="21"/>
              </w:rPr>
              <w:t>1.01E-03</w:t>
            </w:r>
          </w:p>
        </w:tc>
        <w:tc>
          <w:tcPr>
            <w:tcW w:w="172" w:type="pct"/>
            <w:shd w:val="clear" w:color="auto" w:fill="auto"/>
          </w:tcPr>
          <w:p w14:paraId="256F0E92">
            <w:pPr>
              <w:widowControl/>
              <w:spacing w:line="240" w:lineRule="auto"/>
              <w:ind w:firstLine="0" w:firstLineChars="0"/>
              <w:jc w:val="center"/>
              <w:rPr>
                <w:color w:val="auto"/>
                <w:kern w:val="0"/>
                <w:sz w:val="21"/>
                <w:szCs w:val="21"/>
              </w:rPr>
            </w:pPr>
            <w:r>
              <w:rPr>
                <w:rFonts w:hint="eastAsia"/>
                <w:color w:val="auto"/>
                <w:sz w:val="21"/>
                <w:szCs w:val="21"/>
              </w:rPr>
              <w:t>0.50</w:t>
            </w:r>
          </w:p>
        </w:tc>
        <w:tc>
          <w:tcPr>
            <w:tcW w:w="384" w:type="pct"/>
            <w:shd w:val="clear" w:color="auto" w:fill="auto"/>
          </w:tcPr>
          <w:p w14:paraId="308EB8E7">
            <w:pPr>
              <w:widowControl/>
              <w:spacing w:line="240" w:lineRule="auto"/>
              <w:ind w:firstLine="0" w:firstLineChars="0"/>
              <w:jc w:val="center"/>
              <w:rPr>
                <w:color w:val="auto"/>
                <w:kern w:val="0"/>
                <w:sz w:val="21"/>
                <w:szCs w:val="21"/>
              </w:rPr>
            </w:pPr>
            <w:r>
              <w:rPr>
                <w:rFonts w:hint="eastAsia"/>
                <w:color w:val="auto"/>
                <w:sz w:val="21"/>
                <w:szCs w:val="21"/>
              </w:rPr>
              <w:t>2.56E-04</w:t>
            </w:r>
          </w:p>
        </w:tc>
        <w:tc>
          <w:tcPr>
            <w:tcW w:w="212" w:type="pct"/>
            <w:shd w:val="clear" w:color="auto" w:fill="auto"/>
          </w:tcPr>
          <w:p w14:paraId="6E5842CB">
            <w:pPr>
              <w:widowControl/>
              <w:spacing w:line="240" w:lineRule="auto"/>
              <w:ind w:firstLine="0" w:firstLineChars="0"/>
              <w:jc w:val="center"/>
              <w:rPr>
                <w:color w:val="auto"/>
                <w:kern w:val="0"/>
                <w:sz w:val="21"/>
                <w:szCs w:val="21"/>
              </w:rPr>
            </w:pPr>
            <w:r>
              <w:rPr>
                <w:rFonts w:hint="eastAsia"/>
                <w:color w:val="auto"/>
                <w:sz w:val="21"/>
                <w:szCs w:val="21"/>
              </w:rPr>
              <w:t>0.03</w:t>
            </w:r>
          </w:p>
        </w:tc>
      </w:tr>
      <w:tr w14:paraId="2C86C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235D72E">
            <w:pPr>
              <w:widowControl/>
              <w:spacing w:line="240" w:lineRule="auto"/>
              <w:ind w:firstLine="0" w:firstLineChars="0"/>
              <w:jc w:val="center"/>
              <w:rPr>
                <w:color w:val="auto"/>
                <w:kern w:val="0"/>
                <w:sz w:val="21"/>
                <w:szCs w:val="21"/>
              </w:rPr>
            </w:pPr>
            <w:r>
              <w:rPr>
                <w:color w:val="auto"/>
                <w:sz w:val="21"/>
                <w:szCs w:val="21"/>
              </w:rPr>
              <w:t>175</w:t>
            </w:r>
          </w:p>
        </w:tc>
        <w:tc>
          <w:tcPr>
            <w:tcW w:w="420" w:type="pct"/>
            <w:shd w:val="clear" w:color="auto" w:fill="auto"/>
            <w:noWrap/>
          </w:tcPr>
          <w:p w14:paraId="168D072F">
            <w:pPr>
              <w:widowControl/>
              <w:spacing w:line="240" w:lineRule="auto"/>
              <w:ind w:firstLine="0" w:firstLineChars="0"/>
              <w:jc w:val="center"/>
              <w:rPr>
                <w:color w:val="auto"/>
                <w:kern w:val="0"/>
                <w:sz w:val="21"/>
                <w:szCs w:val="21"/>
              </w:rPr>
            </w:pPr>
            <w:r>
              <w:rPr>
                <w:rFonts w:hint="eastAsia"/>
                <w:color w:val="auto"/>
                <w:sz w:val="21"/>
                <w:szCs w:val="21"/>
              </w:rPr>
              <w:t>2.23E-04</w:t>
            </w:r>
          </w:p>
        </w:tc>
        <w:tc>
          <w:tcPr>
            <w:tcW w:w="292" w:type="pct"/>
            <w:shd w:val="clear" w:color="auto" w:fill="auto"/>
            <w:noWrap/>
          </w:tcPr>
          <w:p w14:paraId="3B595923">
            <w:pPr>
              <w:widowControl/>
              <w:spacing w:line="240" w:lineRule="auto"/>
              <w:ind w:firstLine="0" w:firstLineChars="0"/>
              <w:jc w:val="center"/>
              <w:rPr>
                <w:color w:val="auto"/>
                <w:kern w:val="0"/>
                <w:sz w:val="21"/>
                <w:szCs w:val="21"/>
              </w:rPr>
            </w:pPr>
            <w:r>
              <w:rPr>
                <w:rFonts w:hint="eastAsia"/>
                <w:color w:val="auto"/>
                <w:sz w:val="21"/>
                <w:szCs w:val="21"/>
              </w:rPr>
              <w:t>0.05</w:t>
            </w:r>
          </w:p>
        </w:tc>
        <w:tc>
          <w:tcPr>
            <w:tcW w:w="490" w:type="pct"/>
            <w:shd w:val="clear" w:color="auto" w:fill="auto"/>
          </w:tcPr>
          <w:p w14:paraId="6DBD5CFE">
            <w:pPr>
              <w:widowControl/>
              <w:spacing w:line="240" w:lineRule="auto"/>
              <w:ind w:firstLine="0" w:firstLineChars="0"/>
              <w:jc w:val="center"/>
              <w:rPr>
                <w:color w:val="auto"/>
                <w:kern w:val="0"/>
                <w:sz w:val="21"/>
                <w:szCs w:val="21"/>
              </w:rPr>
            </w:pPr>
            <w:r>
              <w:rPr>
                <w:rFonts w:hint="eastAsia"/>
                <w:color w:val="auto"/>
                <w:sz w:val="21"/>
                <w:szCs w:val="21"/>
              </w:rPr>
              <w:t>1.57E-04</w:t>
            </w:r>
          </w:p>
        </w:tc>
        <w:tc>
          <w:tcPr>
            <w:tcW w:w="376" w:type="pct"/>
            <w:shd w:val="clear" w:color="auto" w:fill="auto"/>
          </w:tcPr>
          <w:p w14:paraId="14A56ED7">
            <w:pPr>
              <w:widowControl/>
              <w:spacing w:line="240" w:lineRule="auto"/>
              <w:ind w:firstLine="0" w:firstLineChars="0"/>
              <w:jc w:val="center"/>
              <w:rPr>
                <w:color w:val="auto"/>
                <w:kern w:val="0"/>
                <w:sz w:val="21"/>
                <w:szCs w:val="21"/>
              </w:rPr>
            </w:pPr>
            <w:r>
              <w:rPr>
                <w:rFonts w:hint="eastAsia"/>
                <w:color w:val="auto"/>
                <w:sz w:val="21"/>
                <w:szCs w:val="21"/>
              </w:rPr>
              <w:t>0.03</w:t>
            </w:r>
          </w:p>
        </w:tc>
        <w:tc>
          <w:tcPr>
            <w:tcW w:w="489" w:type="pct"/>
            <w:shd w:val="clear" w:color="auto" w:fill="auto"/>
          </w:tcPr>
          <w:p w14:paraId="2999FD9B">
            <w:pPr>
              <w:widowControl/>
              <w:spacing w:line="240" w:lineRule="auto"/>
              <w:ind w:firstLine="0" w:firstLineChars="0"/>
              <w:jc w:val="center"/>
              <w:rPr>
                <w:color w:val="auto"/>
                <w:kern w:val="0"/>
                <w:sz w:val="21"/>
                <w:szCs w:val="21"/>
              </w:rPr>
            </w:pPr>
            <w:r>
              <w:rPr>
                <w:rFonts w:hint="eastAsia"/>
                <w:color w:val="auto"/>
                <w:sz w:val="21"/>
                <w:szCs w:val="21"/>
              </w:rPr>
              <w:t>1.44E-03</w:t>
            </w:r>
          </w:p>
        </w:tc>
        <w:tc>
          <w:tcPr>
            <w:tcW w:w="239" w:type="pct"/>
            <w:shd w:val="clear" w:color="auto" w:fill="auto"/>
          </w:tcPr>
          <w:p w14:paraId="13A2F270">
            <w:pPr>
              <w:widowControl/>
              <w:spacing w:line="240" w:lineRule="auto"/>
              <w:ind w:firstLine="0" w:firstLineChars="0"/>
              <w:jc w:val="center"/>
              <w:rPr>
                <w:color w:val="auto"/>
                <w:kern w:val="0"/>
                <w:sz w:val="21"/>
                <w:szCs w:val="21"/>
              </w:rPr>
            </w:pPr>
            <w:r>
              <w:rPr>
                <w:rFonts w:hint="eastAsia"/>
                <w:color w:val="auto"/>
                <w:sz w:val="21"/>
                <w:szCs w:val="21"/>
              </w:rPr>
              <w:t>0.72</w:t>
            </w:r>
          </w:p>
        </w:tc>
        <w:tc>
          <w:tcPr>
            <w:tcW w:w="451" w:type="pct"/>
            <w:shd w:val="clear" w:color="auto" w:fill="auto"/>
          </w:tcPr>
          <w:p w14:paraId="6D3B5EF8">
            <w:pPr>
              <w:widowControl/>
              <w:spacing w:line="240" w:lineRule="auto"/>
              <w:ind w:firstLine="0" w:firstLineChars="0"/>
              <w:jc w:val="center"/>
              <w:rPr>
                <w:color w:val="auto"/>
                <w:kern w:val="0"/>
                <w:sz w:val="21"/>
                <w:szCs w:val="21"/>
              </w:rPr>
            </w:pPr>
            <w:r>
              <w:rPr>
                <w:rFonts w:hint="eastAsia"/>
                <w:color w:val="auto"/>
                <w:sz w:val="21"/>
                <w:szCs w:val="21"/>
              </w:rPr>
              <w:t>1.49E-04</w:t>
            </w:r>
          </w:p>
        </w:tc>
        <w:tc>
          <w:tcPr>
            <w:tcW w:w="206" w:type="pct"/>
            <w:shd w:val="clear" w:color="auto" w:fill="auto"/>
          </w:tcPr>
          <w:p w14:paraId="19B73759">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24D31080">
            <w:pPr>
              <w:widowControl/>
              <w:spacing w:line="240" w:lineRule="auto"/>
              <w:ind w:firstLine="0" w:firstLineChars="0"/>
              <w:jc w:val="center"/>
              <w:rPr>
                <w:color w:val="auto"/>
                <w:sz w:val="21"/>
                <w:szCs w:val="21"/>
              </w:rPr>
            </w:pPr>
            <w:r>
              <w:rPr>
                <w:rFonts w:hint="eastAsia"/>
                <w:color w:val="auto"/>
                <w:sz w:val="21"/>
                <w:szCs w:val="21"/>
              </w:rPr>
              <w:t>1.07E-04</w:t>
            </w:r>
          </w:p>
        </w:tc>
        <w:tc>
          <w:tcPr>
            <w:tcW w:w="170" w:type="pct"/>
          </w:tcPr>
          <w:p w14:paraId="502CB6B2">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5E69AD58">
            <w:pPr>
              <w:widowControl/>
              <w:spacing w:line="240" w:lineRule="auto"/>
              <w:ind w:firstLine="0" w:firstLineChars="0"/>
              <w:jc w:val="center"/>
              <w:rPr>
                <w:color w:val="auto"/>
                <w:kern w:val="0"/>
                <w:sz w:val="21"/>
                <w:szCs w:val="21"/>
              </w:rPr>
            </w:pPr>
            <w:r>
              <w:rPr>
                <w:rFonts w:hint="eastAsia"/>
                <w:color w:val="auto"/>
                <w:sz w:val="21"/>
                <w:szCs w:val="21"/>
              </w:rPr>
              <w:t>9.82E-04</w:t>
            </w:r>
          </w:p>
        </w:tc>
        <w:tc>
          <w:tcPr>
            <w:tcW w:w="172" w:type="pct"/>
            <w:shd w:val="clear" w:color="auto" w:fill="auto"/>
          </w:tcPr>
          <w:p w14:paraId="172BEB47">
            <w:pPr>
              <w:widowControl/>
              <w:spacing w:line="240" w:lineRule="auto"/>
              <w:ind w:firstLine="0" w:firstLineChars="0"/>
              <w:jc w:val="center"/>
              <w:rPr>
                <w:color w:val="auto"/>
                <w:kern w:val="0"/>
                <w:sz w:val="21"/>
                <w:szCs w:val="21"/>
              </w:rPr>
            </w:pPr>
            <w:r>
              <w:rPr>
                <w:rFonts w:hint="eastAsia"/>
                <w:color w:val="auto"/>
                <w:sz w:val="21"/>
                <w:szCs w:val="21"/>
              </w:rPr>
              <w:t>0.49</w:t>
            </w:r>
          </w:p>
        </w:tc>
        <w:tc>
          <w:tcPr>
            <w:tcW w:w="384" w:type="pct"/>
            <w:shd w:val="clear" w:color="auto" w:fill="auto"/>
          </w:tcPr>
          <w:p w14:paraId="0AEDC243">
            <w:pPr>
              <w:widowControl/>
              <w:spacing w:line="240" w:lineRule="auto"/>
              <w:ind w:firstLine="0" w:firstLineChars="0"/>
              <w:jc w:val="center"/>
              <w:rPr>
                <w:color w:val="auto"/>
                <w:kern w:val="0"/>
                <w:sz w:val="21"/>
                <w:szCs w:val="21"/>
              </w:rPr>
            </w:pPr>
            <w:r>
              <w:rPr>
                <w:rFonts w:hint="eastAsia"/>
                <w:color w:val="auto"/>
                <w:sz w:val="21"/>
                <w:szCs w:val="21"/>
              </w:rPr>
              <w:t>2.50E-04</w:t>
            </w:r>
          </w:p>
        </w:tc>
        <w:tc>
          <w:tcPr>
            <w:tcW w:w="212" w:type="pct"/>
            <w:shd w:val="clear" w:color="auto" w:fill="auto"/>
          </w:tcPr>
          <w:p w14:paraId="5E42320B">
            <w:pPr>
              <w:widowControl/>
              <w:spacing w:line="240" w:lineRule="auto"/>
              <w:ind w:firstLine="0" w:firstLineChars="0"/>
              <w:jc w:val="center"/>
              <w:rPr>
                <w:color w:val="auto"/>
                <w:kern w:val="0"/>
                <w:sz w:val="21"/>
                <w:szCs w:val="21"/>
              </w:rPr>
            </w:pPr>
            <w:r>
              <w:rPr>
                <w:rFonts w:hint="eastAsia"/>
                <w:color w:val="auto"/>
                <w:sz w:val="21"/>
                <w:szCs w:val="21"/>
              </w:rPr>
              <w:t>0.03</w:t>
            </w:r>
          </w:p>
        </w:tc>
      </w:tr>
      <w:tr w14:paraId="65B24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9C8D364">
            <w:pPr>
              <w:widowControl/>
              <w:spacing w:line="240" w:lineRule="auto"/>
              <w:ind w:firstLine="0" w:firstLineChars="0"/>
              <w:jc w:val="center"/>
              <w:rPr>
                <w:color w:val="auto"/>
                <w:kern w:val="0"/>
                <w:sz w:val="21"/>
                <w:szCs w:val="21"/>
              </w:rPr>
            </w:pPr>
            <w:r>
              <w:rPr>
                <w:color w:val="auto"/>
                <w:sz w:val="21"/>
                <w:szCs w:val="21"/>
              </w:rPr>
              <w:t>200</w:t>
            </w:r>
          </w:p>
        </w:tc>
        <w:tc>
          <w:tcPr>
            <w:tcW w:w="420" w:type="pct"/>
            <w:shd w:val="clear" w:color="auto" w:fill="auto"/>
            <w:noWrap/>
          </w:tcPr>
          <w:p w14:paraId="38627B12">
            <w:pPr>
              <w:widowControl/>
              <w:spacing w:line="240" w:lineRule="auto"/>
              <w:ind w:firstLine="0" w:firstLineChars="0"/>
              <w:jc w:val="center"/>
              <w:rPr>
                <w:color w:val="auto"/>
                <w:kern w:val="0"/>
                <w:sz w:val="21"/>
                <w:szCs w:val="21"/>
              </w:rPr>
            </w:pPr>
            <w:r>
              <w:rPr>
                <w:rFonts w:hint="eastAsia"/>
                <w:color w:val="auto"/>
                <w:sz w:val="21"/>
                <w:szCs w:val="21"/>
              </w:rPr>
              <w:t>2.07E-04</w:t>
            </w:r>
          </w:p>
        </w:tc>
        <w:tc>
          <w:tcPr>
            <w:tcW w:w="292" w:type="pct"/>
            <w:shd w:val="clear" w:color="auto" w:fill="auto"/>
            <w:noWrap/>
          </w:tcPr>
          <w:p w14:paraId="35182FEA">
            <w:pPr>
              <w:widowControl/>
              <w:spacing w:line="240" w:lineRule="auto"/>
              <w:ind w:firstLine="0" w:firstLineChars="0"/>
              <w:jc w:val="center"/>
              <w:rPr>
                <w:color w:val="auto"/>
                <w:kern w:val="0"/>
                <w:sz w:val="21"/>
                <w:szCs w:val="21"/>
              </w:rPr>
            </w:pPr>
            <w:r>
              <w:rPr>
                <w:rFonts w:hint="eastAsia"/>
                <w:color w:val="auto"/>
                <w:sz w:val="21"/>
                <w:szCs w:val="21"/>
              </w:rPr>
              <w:t>0.05</w:t>
            </w:r>
          </w:p>
        </w:tc>
        <w:tc>
          <w:tcPr>
            <w:tcW w:w="490" w:type="pct"/>
            <w:shd w:val="clear" w:color="auto" w:fill="auto"/>
          </w:tcPr>
          <w:p w14:paraId="7BF2FDB2">
            <w:pPr>
              <w:widowControl/>
              <w:spacing w:line="240" w:lineRule="auto"/>
              <w:ind w:firstLine="0" w:firstLineChars="0"/>
              <w:jc w:val="center"/>
              <w:rPr>
                <w:color w:val="auto"/>
                <w:kern w:val="0"/>
                <w:sz w:val="21"/>
                <w:szCs w:val="21"/>
              </w:rPr>
            </w:pPr>
            <w:r>
              <w:rPr>
                <w:rFonts w:hint="eastAsia"/>
                <w:color w:val="auto"/>
                <w:sz w:val="21"/>
                <w:szCs w:val="21"/>
              </w:rPr>
              <w:t>1.46E-04</w:t>
            </w:r>
          </w:p>
        </w:tc>
        <w:tc>
          <w:tcPr>
            <w:tcW w:w="376" w:type="pct"/>
            <w:shd w:val="clear" w:color="auto" w:fill="auto"/>
          </w:tcPr>
          <w:p w14:paraId="33FB7FC3">
            <w:pPr>
              <w:widowControl/>
              <w:spacing w:line="240" w:lineRule="auto"/>
              <w:ind w:firstLine="0" w:firstLineChars="0"/>
              <w:jc w:val="center"/>
              <w:rPr>
                <w:color w:val="auto"/>
                <w:kern w:val="0"/>
                <w:sz w:val="21"/>
                <w:szCs w:val="21"/>
              </w:rPr>
            </w:pPr>
            <w:r>
              <w:rPr>
                <w:rFonts w:hint="eastAsia"/>
                <w:color w:val="auto"/>
                <w:sz w:val="21"/>
                <w:szCs w:val="21"/>
              </w:rPr>
              <w:t>0.03</w:t>
            </w:r>
          </w:p>
        </w:tc>
        <w:tc>
          <w:tcPr>
            <w:tcW w:w="489" w:type="pct"/>
            <w:shd w:val="clear" w:color="auto" w:fill="auto"/>
          </w:tcPr>
          <w:p w14:paraId="52613D78">
            <w:pPr>
              <w:widowControl/>
              <w:spacing w:line="240" w:lineRule="auto"/>
              <w:ind w:firstLine="0" w:firstLineChars="0"/>
              <w:jc w:val="center"/>
              <w:rPr>
                <w:color w:val="auto"/>
                <w:kern w:val="0"/>
                <w:sz w:val="21"/>
                <w:szCs w:val="21"/>
              </w:rPr>
            </w:pPr>
            <w:r>
              <w:rPr>
                <w:rFonts w:hint="eastAsia"/>
                <w:color w:val="auto"/>
                <w:sz w:val="21"/>
                <w:szCs w:val="21"/>
              </w:rPr>
              <w:t>1.33E-03</w:t>
            </w:r>
          </w:p>
        </w:tc>
        <w:tc>
          <w:tcPr>
            <w:tcW w:w="239" w:type="pct"/>
            <w:shd w:val="clear" w:color="auto" w:fill="auto"/>
          </w:tcPr>
          <w:p w14:paraId="7780186E">
            <w:pPr>
              <w:widowControl/>
              <w:spacing w:line="240" w:lineRule="auto"/>
              <w:ind w:firstLine="0" w:firstLineChars="0"/>
              <w:jc w:val="center"/>
              <w:rPr>
                <w:color w:val="auto"/>
                <w:kern w:val="0"/>
                <w:sz w:val="21"/>
                <w:szCs w:val="21"/>
              </w:rPr>
            </w:pPr>
            <w:r>
              <w:rPr>
                <w:rFonts w:hint="eastAsia"/>
                <w:color w:val="auto"/>
                <w:sz w:val="21"/>
                <w:szCs w:val="21"/>
              </w:rPr>
              <w:t>0.67</w:t>
            </w:r>
          </w:p>
        </w:tc>
        <w:tc>
          <w:tcPr>
            <w:tcW w:w="451" w:type="pct"/>
            <w:shd w:val="clear" w:color="auto" w:fill="auto"/>
          </w:tcPr>
          <w:p w14:paraId="08362D20">
            <w:pPr>
              <w:widowControl/>
              <w:spacing w:line="240" w:lineRule="auto"/>
              <w:ind w:firstLine="0" w:firstLineChars="0"/>
              <w:jc w:val="center"/>
              <w:rPr>
                <w:color w:val="auto"/>
                <w:kern w:val="0"/>
                <w:sz w:val="21"/>
                <w:szCs w:val="21"/>
              </w:rPr>
            </w:pPr>
            <w:r>
              <w:rPr>
                <w:rFonts w:hint="eastAsia"/>
                <w:color w:val="auto"/>
                <w:sz w:val="21"/>
                <w:szCs w:val="21"/>
              </w:rPr>
              <w:t>1.38E-04</w:t>
            </w:r>
          </w:p>
        </w:tc>
        <w:tc>
          <w:tcPr>
            <w:tcW w:w="206" w:type="pct"/>
            <w:shd w:val="clear" w:color="auto" w:fill="auto"/>
          </w:tcPr>
          <w:p w14:paraId="216DCD2A">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0C648201">
            <w:pPr>
              <w:widowControl/>
              <w:spacing w:line="240" w:lineRule="auto"/>
              <w:ind w:firstLine="0" w:firstLineChars="0"/>
              <w:jc w:val="center"/>
              <w:rPr>
                <w:color w:val="auto"/>
                <w:sz w:val="21"/>
                <w:szCs w:val="21"/>
              </w:rPr>
            </w:pPr>
            <w:r>
              <w:rPr>
                <w:rFonts w:hint="eastAsia"/>
                <w:color w:val="auto"/>
                <w:sz w:val="21"/>
                <w:szCs w:val="21"/>
              </w:rPr>
              <w:t>9.96E-05</w:t>
            </w:r>
          </w:p>
        </w:tc>
        <w:tc>
          <w:tcPr>
            <w:tcW w:w="170" w:type="pct"/>
          </w:tcPr>
          <w:p w14:paraId="06DC0741">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420F0681">
            <w:pPr>
              <w:widowControl/>
              <w:spacing w:line="240" w:lineRule="auto"/>
              <w:ind w:firstLine="0" w:firstLineChars="0"/>
              <w:jc w:val="center"/>
              <w:rPr>
                <w:color w:val="auto"/>
                <w:kern w:val="0"/>
                <w:sz w:val="21"/>
                <w:szCs w:val="21"/>
              </w:rPr>
            </w:pPr>
            <w:r>
              <w:rPr>
                <w:rFonts w:hint="eastAsia"/>
                <w:color w:val="auto"/>
                <w:sz w:val="21"/>
                <w:szCs w:val="21"/>
              </w:rPr>
              <w:t>9.11E-04</w:t>
            </w:r>
          </w:p>
        </w:tc>
        <w:tc>
          <w:tcPr>
            <w:tcW w:w="172" w:type="pct"/>
            <w:shd w:val="clear" w:color="auto" w:fill="auto"/>
          </w:tcPr>
          <w:p w14:paraId="55795E0D">
            <w:pPr>
              <w:widowControl/>
              <w:spacing w:line="240" w:lineRule="auto"/>
              <w:ind w:firstLine="0" w:firstLineChars="0"/>
              <w:jc w:val="center"/>
              <w:rPr>
                <w:color w:val="auto"/>
                <w:kern w:val="0"/>
                <w:sz w:val="21"/>
                <w:szCs w:val="21"/>
              </w:rPr>
            </w:pPr>
            <w:r>
              <w:rPr>
                <w:rFonts w:hint="eastAsia"/>
                <w:color w:val="auto"/>
                <w:sz w:val="21"/>
                <w:szCs w:val="21"/>
              </w:rPr>
              <w:t>0.46</w:t>
            </w:r>
          </w:p>
        </w:tc>
        <w:tc>
          <w:tcPr>
            <w:tcW w:w="384" w:type="pct"/>
            <w:shd w:val="clear" w:color="auto" w:fill="auto"/>
          </w:tcPr>
          <w:p w14:paraId="2C19F4BC">
            <w:pPr>
              <w:widowControl/>
              <w:spacing w:line="240" w:lineRule="auto"/>
              <w:ind w:firstLine="0" w:firstLineChars="0"/>
              <w:jc w:val="center"/>
              <w:rPr>
                <w:color w:val="auto"/>
                <w:kern w:val="0"/>
                <w:sz w:val="21"/>
                <w:szCs w:val="21"/>
              </w:rPr>
            </w:pPr>
            <w:r>
              <w:rPr>
                <w:rFonts w:hint="eastAsia"/>
                <w:color w:val="auto"/>
                <w:sz w:val="21"/>
                <w:szCs w:val="21"/>
              </w:rPr>
              <w:t>2.32E-04</w:t>
            </w:r>
          </w:p>
        </w:tc>
        <w:tc>
          <w:tcPr>
            <w:tcW w:w="212" w:type="pct"/>
            <w:shd w:val="clear" w:color="auto" w:fill="auto"/>
          </w:tcPr>
          <w:p w14:paraId="7ACEAC3B">
            <w:pPr>
              <w:widowControl/>
              <w:spacing w:line="240" w:lineRule="auto"/>
              <w:ind w:firstLine="0" w:firstLineChars="0"/>
              <w:jc w:val="center"/>
              <w:rPr>
                <w:color w:val="auto"/>
                <w:kern w:val="0"/>
                <w:sz w:val="21"/>
                <w:szCs w:val="21"/>
              </w:rPr>
            </w:pPr>
            <w:r>
              <w:rPr>
                <w:rFonts w:hint="eastAsia"/>
                <w:color w:val="auto"/>
                <w:sz w:val="21"/>
                <w:szCs w:val="21"/>
              </w:rPr>
              <w:t>0.03</w:t>
            </w:r>
          </w:p>
        </w:tc>
      </w:tr>
      <w:tr w14:paraId="29B34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4848E72">
            <w:pPr>
              <w:widowControl/>
              <w:spacing w:line="240" w:lineRule="auto"/>
              <w:ind w:firstLine="0" w:firstLineChars="0"/>
              <w:jc w:val="center"/>
              <w:rPr>
                <w:color w:val="auto"/>
                <w:kern w:val="0"/>
                <w:sz w:val="21"/>
                <w:szCs w:val="21"/>
              </w:rPr>
            </w:pPr>
            <w:r>
              <w:rPr>
                <w:color w:val="auto"/>
                <w:sz w:val="21"/>
                <w:szCs w:val="21"/>
              </w:rPr>
              <w:t>225</w:t>
            </w:r>
          </w:p>
        </w:tc>
        <w:tc>
          <w:tcPr>
            <w:tcW w:w="420" w:type="pct"/>
            <w:shd w:val="clear" w:color="auto" w:fill="auto"/>
            <w:noWrap/>
          </w:tcPr>
          <w:p w14:paraId="6C596BB3">
            <w:pPr>
              <w:widowControl/>
              <w:spacing w:line="240" w:lineRule="auto"/>
              <w:ind w:firstLine="0" w:firstLineChars="0"/>
              <w:jc w:val="center"/>
              <w:rPr>
                <w:color w:val="auto"/>
                <w:kern w:val="0"/>
                <w:sz w:val="21"/>
                <w:szCs w:val="21"/>
              </w:rPr>
            </w:pPr>
            <w:r>
              <w:rPr>
                <w:rFonts w:hint="eastAsia"/>
                <w:color w:val="auto"/>
                <w:sz w:val="21"/>
                <w:szCs w:val="21"/>
              </w:rPr>
              <w:t>1.90E-04</w:t>
            </w:r>
          </w:p>
        </w:tc>
        <w:tc>
          <w:tcPr>
            <w:tcW w:w="292" w:type="pct"/>
            <w:shd w:val="clear" w:color="auto" w:fill="auto"/>
            <w:noWrap/>
          </w:tcPr>
          <w:p w14:paraId="3D85AC63">
            <w:pPr>
              <w:widowControl/>
              <w:spacing w:line="240" w:lineRule="auto"/>
              <w:ind w:firstLine="0" w:firstLineChars="0"/>
              <w:jc w:val="center"/>
              <w:rPr>
                <w:color w:val="auto"/>
                <w:kern w:val="0"/>
                <w:sz w:val="21"/>
                <w:szCs w:val="21"/>
              </w:rPr>
            </w:pPr>
            <w:r>
              <w:rPr>
                <w:rFonts w:hint="eastAsia"/>
                <w:color w:val="auto"/>
                <w:sz w:val="21"/>
                <w:szCs w:val="21"/>
              </w:rPr>
              <w:t>0.04</w:t>
            </w:r>
          </w:p>
        </w:tc>
        <w:tc>
          <w:tcPr>
            <w:tcW w:w="490" w:type="pct"/>
            <w:shd w:val="clear" w:color="auto" w:fill="auto"/>
          </w:tcPr>
          <w:p w14:paraId="4C331D44">
            <w:pPr>
              <w:widowControl/>
              <w:spacing w:line="240" w:lineRule="auto"/>
              <w:ind w:firstLine="0" w:firstLineChars="0"/>
              <w:jc w:val="center"/>
              <w:rPr>
                <w:color w:val="auto"/>
                <w:kern w:val="0"/>
                <w:sz w:val="21"/>
                <w:szCs w:val="21"/>
              </w:rPr>
            </w:pPr>
            <w:r>
              <w:rPr>
                <w:rFonts w:hint="eastAsia"/>
                <w:color w:val="auto"/>
                <w:sz w:val="21"/>
                <w:szCs w:val="21"/>
              </w:rPr>
              <w:t>1.34E-04</w:t>
            </w:r>
          </w:p>
        </w:tc>
        <w:tc>
          <w:tcPr>
            <w:tcW w:w="376" w:type="pct"/>
            <w:shd w:val="clear" w:color="auto" w:fill="auto"/>
          </w:tcPr>
          <w:p w14:paraId="5FF6A898">
            <w:pPr>
              <w:widowControl/>
              <w:spacing w:line="240" w:lineRule="auto"/>
              <w:ind w:firstLine="0" w:firstLineChars="0"/>
              <w:jc w:val="center"/>
              <w:rPr>
                <w:color w:val="auto"/>
                <w:kern w:val="0"/>
                <w:sz w:val="21"/>
                <w:szCs w:val="21"/>
              </w:rPr>
            </w:pPr>
            <w:r>
              <w:rPr>
                <w:rFonts w:hint="eastAsia"/>
                <w:color w:val="auto"/>
                <w:sz w:val="21"/>
                <w:szCs w:val="21"/>
              </w:rPr>
              <w:t>0.03</w:t>
            </w:r>
          </w:p>
        </w:tc>
        <w:tc>
          <w:tcPr>
            <w:tcW w:w="489" w:type="pct"/>
            <w:shd w:val="clear" w:color="auto" w:fill="auto"/>
          </w:tcPr>
          <w:p w14:paraId="14AEC8D5">
            <w:pPr>
              <w:widowControl/>
              <w:spacing w:line="240" w:lineRule="auto"/>
              <w:ind w:firstLine="0" w:firstLineChars="0"/>
              <w:jc w:val="center"/>
              <w:rPr>
                <w:color w:val="auto"/>
                <w:kern w:val="0"/>
                <w:sz w:val="21"/>
                <w:szCs w:val="21"/>
              </w:rPr>
            </w:pPr>
            <w:r>
              <w:rPr>
                <w:rFonts w:hint="eastAsia"/>
                <w:color w:val="auto"/>
                <w:sz w:val="21"/>
                <w:szCs w:val="21"/>
              </w:rPr>
              <w:t>1.22E-03</w:t>
            </w:r>
          </w:p>
        </w:tc>
        <w:tc>
          <w:tcPr>
            <w:tcW w:w="239" w:type="pct"/>
            <w:shd w:val="clear" w:color="auto" w:fill="auto"/>
          </w:tcPr>
          <w:p w14:paraId="105B3F4A">
            <w:pPr>
              <w:widowControl/>
              <w:spacing w:line="240" w:lineRule="auto"/>
              <w:ind w:firstLine="0" w:firstLineChars="0"/>
              <w:jc w:val="center"/>
              <w:rPr>
                <w:color w:val="auto"/>
                <w:kern w:val="0"/>
                <w:sz w:val="21"/>
                <w:szCs w:val="21"/>
              </w:rPr>
            </w:pPr>
            <w:r>
              <w:rPr>
                <w:rFonts w:hint="eastAsia"/>
                <w:color w:val="auto"/>
                <w:sz w:val="21"/>
                <w:szCs w:val="21"/>
              </w:rPr>
              <w:t>0.61</w:t>
            </w:r>
          </w:p>
        </w:tc>
        <w:tc>
          <w:tcPr>
            <w:tcW w:w="451" w:type="pct"/>
            <w:shd w:val="clear" w:color="auto" w:fill="auto"/>
          </w:tcPr>
          <w:p w14:paraId="1797BE4C">
            <w:pPr>
              <w:widowControl/>
              <w:spacing w:line="240" w:lineRule="auto"/>
              <w:ind w:firstLine="0" w:firstLineChars="0"/>
              <w:jc w:val="center"/>
              <w:rPr>
                <w:color w:val="auto"/>
                <w:kern w:val="0"/>
                <w:sz w:val="21"/>
                <w:szCs w:val="21"/>
              </w:rPr>
            </w:pPr>
            <w:r>
              <w:rPr>
                <w:rFonts w:hint="eastAsia"/>
                <w:color w:val="auto"/>
                <w:sz w:val="21"/>
                <w:szCs w:val="21"/>
              </w:rPr>
              <w:t>1.27E-04</w:t>
            </w:r>
          </w:p>
        </w:tc>
        <w:tc>
          <w:tcPr>
            <w:tcW w:w="206" w:type="pct"/>
            <w:shd w:val="clear" w:color="auto" w:fill="auto"/>
          </w:tcPr>
          <w:p w14:paraId="336C16DE">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54B61166">
            <w:pPr>
              <w:widowControl/>
              <w:spacing w:line="240" w:lineRule="auto"/>
              <w:ind w:firstLine="0" w:firstLineChars="0"/>
              <w:jc w:val="center"/>
              <w:rPr>
                <w:color w:val="auto"/>
                <w:sz w:val="21"/>
                <w:szCs w:val="21"/>
              </w:rPr>
            </w:pPr>
            <w:r>
              <w:rPr>
                <w:rFonts w:hint="eastAsia"/>
                <w:color w:val="auto"/>
                <w:sz w:val="21"/>
                <w:szCs w:val="21"/>
              </w:rPr>
              <w:t>9.15E-05</w:t>
            </w:r>
          </w:p>
        </w:tc>
        <w:tc>
          <w:tcPr>
            <w:tcW w:w="170" w:type="pct"/>
          </w:tcPr>
          <w:p w14:paraId="67C64C38">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3D66FC33">
            <w:pPr>
              <w:widowControl/>
              <w:spacing w:line="240" w:lineRule="auto"/>
              <w:ind w:firstLine="0" w:firstLineChars="0"/>
              <w:jc w:val="center"/>
              <w:rPr>
                <w:color w:val="auto"/>
                <w:kern w:val="0"/>
                <w:sz w:val="21"/>
                <w:szCs w:val="21"/>
              </w:rPr>
            </w:pPr>
            <w:r>
              <w:rPr>
                <w:rFonts w:hint="eastAsia"/>
                <w:color w:val="auto"/>
                <w:sz w:val="21"/>
                <w:szCs w:val="21"/>
              </w:rPr>
              <w:t>8.37E-04</w:t>
            </w:r>
          </w:p>
        </w:tc>
        <w:tc>
          <w:tcPr>
            <w:tcW w:w="172" w:type="pct"/>
            <w:shd w:val="clear" w:color="auto" w:fill="auto"/>
          </w:tcPr>
          <w:p w14:paraId="32E61409">
            <w:pPr>
              <w:widowControl/>
              <w:spacing w:line="240" w:lineRule="auto"/>
              <w:ind w:firstLine="0" w:firstLineChars="0"/>
              <w:jc w:val="center"/>
              <w:rPr>
                <w:color w:val="auto"/>
                <w:kern w:val="0"/>
                <w:sz w:val="21"/>
                <w:szCs w:val="21"/>
              </w:rPr>
            </w:pPr>
            <w:r>
              <w:rPr>
                <w:rFonts w:hint="eastAsia"/>
                <w:color w:val="auto"/>
                <w:sz w:val="21"/>
                <w:szCs w:val="21"/>
              </w:rPr>
              <w:t>0.42</w:t>
            </w:r>
          </w:p>
        </w:tc>
        <w:tc>
          <w:tcPr>
            <w:tcW w:w="384" w:type="pct"/>
            <w:shd w:val="clear" w:color="auto" w:fill="auto"/>
          </w:tcPr>
          <w:p w14:paraId="3F9B5923">
            <w:pPr>
              <w:widowControl/>
              <w:spacing w:line="240" w:lineRule="auto"/>
              <w:ind w:firstLine="0" w:firstLineChars="0"/>
              <w:jc w:val="center"/>
              <w:rPr>
                <w:color w:val="auto"/>
                <w:kern w:val="0"/>
                <w:sz w:val="21"/>
                <w:szCs w:val="21"/>
              </w:rPr>
            </w:pPr>
            <w:r>
              <w:rPr>
                <w:rFonts w:hint="eastAsia"/>
                <w:color w:val="auto"/>
                <w:sz w:val="21"/>
                <w:szCs w:val="21"/>
              </w:rPr>
              <w:t>2.13E-04</w:t>
            </w:r>
          </w:p>
        </w:tc>
        <w:tc>
          <w:tcPr>
            <w:tcW w:w="212" w:type="pct"/>
            <w:shd w:val="clear" w:color="auto" w:fill="auto"/>
          </w:tcPr>
          <w:p w14:paraId="45B77293">
            <w:pPr>
              <w:widowControl/>
              <w:spacing w:line="240" w:lineRule="auto"/>
              <w:ind w:firstLine="0" w:firstLineChars="0"/>
              <w:jc w:val="center"/>
              <w:rPr>
                <w:color w:val="auto"/>
                <w:kern w:val="0"/>
                <w:sz w:val="21"/>
                <w:szCs w:val="21"/>
              </w:rPr>
            </w:pPr>
            <w:r>
              <w:rPr>
                <w:rFonts w:hint="eastAsia"/>
                <w:color w:val="auto"/>
                <w:sz w:val="21"/>
                <w:szCs w:val="21"/>
              </w:rPr>
              <w:t>0.02</w:t>
            </w:r>
          </w:p>
        </w:tc>
      </w:tr>
      <w:tr w14:paraId="22C47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E1B1E0A">
            <w:pPr>
              <w:widowControl/>
              <w:spacing w:line="240" w:lineRule="auto"/>
              <w:ind w:firstLine="0" w:firstLineChars="0"/>
              <w:jc w:val="center"/>
              <w:rPr>
                <w:color w:val="auto"/>
                <w:kern w:val="0"/>
                <w:sz w:val="21"/>
                <w:szCs w:val="21"/>
              </w:rPr>
            </w:pPr>
            <w:r>
              <w:rPr>
                <w:color w:val="auto"/>
                <w:sz w:val="21"/>
                <w:szCs w:val="21"/>
              </w:rPr>
              <w:t>250</w:t>
            </w:r>
          </w:p>
        </w:tc>
        <w:tc>
          <w:tcPr>
            <w:tcW w:w="420" w:type="pct"/>
            <w:shd w:val="clear" w:color="auto" w:fill="auto"/>
            <w:noWrap/>
          </w:tcPr>
          <w:p w14:paraId="515C4CF5">
            <w:pPr>
              <w:widowControl/>
              <w:spacing w:line="240" w:lineRule="auto"/>
              <w:ind w:firstLine="0" w:firstLineChars="0"/>
              <w:jc w:val="center"/>
              <w:rPr>
                <w:color w:val="auto"/>
                <w:kern w:val="0"/>
                <w:sz w:val="21"/>
                <w:szCs w:val="21"/>
              </w:rPr>
            </w:pPr>
            <w:r>
              <w:rPr>
                <w:rFonts w:hint="eastAsia"/>
                <w:color w:val="auto"/>
                <w:sz w:val="21"/>
                <w:szCs w:val="21"/>
              </w:rPr>
              <w:t>1.81E-04</w:t>
            </w:r>
          </w:p>
        </w:tc>
        <w:tc>
          <w:tcPr>
            <w:tcW w:w="292" w:type="pct"/>
            <w:shd w:val="clear" w:color="auto" w:fill="auto"/>
            <w:noWrap/>
          </w:tcPr>
          <w:p w14:paraId="5D013F59">
            <w:pPr>
              <w:widowControl/>
              <w:spacing w:line="240" w:lineRule="auto"/>
              <w:ind w:firstLine="0" w:firstLineChars="0"/>
              <w:jc w:val="center"/>
              <w:rPr>
                <w:color w:val="auto"/>
                <w:kern w:val="0"/>
                <w:sz w:val="21"/>
                <w:szCs w:val="21"/>
              </w:rPr>
            </w:pPr>
            <w:r>
              <w:rPr>
                <w:rFonts w:hint="eastAsia"/>
                <w:color w:val="auto"/>
                <w:sz w:val="21"/>
                <w:szCs w:val="21"/>
              </w:rPr>
              <w:t>0.04</w:t>
            </w:r>
          </w:p>
        </w:tc>
        <w:tc>
          <w:tcPr>
            <w:tcW w:w="490" w:type="pct"/>
            <w:shd w:val="clear" w:color="auto" w:fill="auto"/>
          </w:tcPr>
          <w:p w14:paraId="13E82C33">
            <w:pPr>
              <w:widowControl/>
              <w:spacing w:line="240" w:lineRule="auto"/>
              <w:ind w:firstLine="0" w:firstLineChars="0"/>
              <w:jc w:val="center"/>
              <w:rPr>
                <w:color w:val="auto"/>
                <w:kern w:val="0"/>
                <w:sz w:val="21"/>
                <w:szCs w:val="21"/>
              </w:rPr>
            </w:pPr>
            <w:r>
              <w:rPr>
                <w:rFonts w:hint="eastAsia"/>
                <w:color w:val="auto"/>
                <w:sz w:val="21"/>
                <w:szCs w:val="21"/>
              </w:rPr>
              <w:t>1.27E-04</w:t>
            </w:r>
          </w:p>
        </w:tc>
        <w:tc>
          <w:tcPr>
            <w:tcW w:w="376" w:type="pct"/>
            <w:shd w:val="clear" w:color="auto" w:fill="auto"/>
          </w:tcPr>
          <w:p w14:paraId="4CF46576">
            <w:pPr>
              <w:widowControl/>
              <w:spacing w:line="240" w:lineRule="auto"/>
              <w:ind w:firstLine="0" w:firstLineChars="0"/>
              <w:jc w:val="center"/>
              <w:rPr>
                <w:color w:val="auto"/>
                <w:kern w:val="0"/>
                <w:sz w:val="21"/>
                <w:szCs w:val="21"/>
              </w:rPr>
            </w:pPr>
            <w:r>
              <w:rPr>
                <w:rFonts w:hint="eastAsia"/>
                <w:color w:val="auto"/>
                <w:sz w:val="21"/>
                <w:szCs w:val="21"/>
              </w:rPr>
              <w:t>0.03</w:t>
            </w:r>
          </w:p>
        </w:tc>
        <w:tc>
          <w:tcPr>
            <w:tcW w:w="489" w:type="pct"/>
            <w:shd w:val="clear" w:color="auto" w:fill="auto"/>
          </w:tcPr>
          <w:p w14:paraId="56E53DE7">
            <w:pPr>
              <w:widowControl/>
              <w:spacing w:line="240" w:lineRule="auto"/>
              <w:ind w:firstLine="0" w:firstLineChars="0"/>
              <w:jc w:val="center"/>
              <w:rPr>
                <w:color w:val="auto"/>
                <w:kern w:val="0"/>
                <w:sz w:val="21"/>
                <w:szCs w:val="21"/>
              </w:rPr>
            </w:pPr>
            <w:r>
              <w:rPr>
                <w:rFonts w:hint="eastAsia"/>
                <w:color w:val="auto"/>
                <w:sz w:val="21"/>
                <w:szCs w:val="21"/>
              </w:rPr>
              <w:t>1.17E-03</w:t>
            </w:r>
          </w:p>
        </w:tc>
        <w:tc>
          <w:tcPr>
            <w:tcW w:w="239" w:type="pct"/>
            <w:shd w:val="clear" w:color="auto" w:fill="auto"/>
          </w:tcPr>
          <w:p w14:paraId="33849F2F">
            <w:pPr>
              <w:widowControl/>
              <w:spacing w:line="240" w:lineRule="auto"/>
              <w:ind w:firstLine="0" w:firstLineChars="0"/>
              <w:jc w:val="center"/>
              <w:rPr>
                <w:color w:val="auto"/>
                <w:kern w:val="0"/>
                <w:sz w:val="21"/>
                <w:szCs w:val="21"/>
              </w:rPr>
            </w:pPr>
            <w:r>
              <w:rPr>
                <w:rFonts w:hint="eastAsia"/>
                <w:color w:val="auto"/>
                <w:sz w:val="21"/>
                <w:szCs w:val="21"/>
              </w:rPr>
              <w:t>0.58</w:t>
            </w:r>
          </w:p>
        </w:tc>
        <w:tc>
          <w:tcPr>
            <w:tcW w:w="451" w:type="pct"/>
            <w:shd w:val="clear" w:color="auto" w:fill="auto"/>
          </w:tcPr>
          <w:p w14:paraId="01DBA6DE">
            <w:pPr>
              <w:widowControl/>
              <w:spacing w:line="240" w:lineRule="auto"/>
              <w:ind w:firstLine="0" w:firstLineChars="0"/>
              <w:jc w:val="center"/>
              <w:rPr>
                <w:color w:val="auto"/>
                <w:kern w:val="0"/>
                <w:sz w:val="21"/>
                <w:szCs w:val="21"/>
              </w:rPr>
            </w:pPr>
            <w:r>
              <w:rPr>
                <w:rFonts w:hint="eastAsia"/>
                <w:color w:val="auto"/>
                <w:sz w:val="21"/>
                <w:szCs w:val="21"/>
              </w:rPr>
              <w:t>1.21E-04</w:t>
            </w:r>
          </w:p>
        </w:tc>
        <w:tc>
          <w:tcPr>
            <w:tcW w:w="206" w:type="pct"/>
            <w:shd w:val="clear" w:color="auto" w:fill="auto"/>
          </w:tcPr>
          <w:p w14:paraId="629D4F7D">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47FF5B22">
            <w:pPr>
              <w:widowControl/>
              <w:spacing w:line="240" w:lineRule="auto"/>
              <w:ind w:firstLine="0" w:firstLineChars="0"/>
              <w:jc w:val="center"/>
              <w:rPr>
                <w:color w:val="auto"/>
                <w:sz w:val="21"/>
                <w:szCs w:val="21"/>
              </w:rPr>
            </w:pPr>
            <w:r>
              <w:rPr>
                <w:rFonts w:hint="eastAsia"/>
                <w:color w:val="auto"/>
                <w:sz w:val="21"/>
                <w:szCs w:val="21"/>
              </w:rPr>
              <w:t>8.72E-05</w:t>
            </w:r>
          </w:p>
        </w:tc>
        <w:tc>
          <w:tcPr>
            <w:tcW w:w="170" w:type="pct"/>
          </w:tcPr>
          <w:p w14:paraId="2A580756">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0E1E3BDF">
            <w:pPr>
              <w:widowControl/>
              <w:spacing w:line="240" w:lineRule="auto"/>
              <w:ind w:firstLine="0" w:firstLineChars="0"/>
              <w:jc w:val="center"/>
              <w:rPr>
                <w:color w:val="auto"/>
                <w:kern w:val="0"/>
                <w:sz w:val="21"/>
                <w:szCs w:val="21"/>
              </w:rPr>
            </w:pPr>
            <w:r>
              <w:rPr>
                <w:rFonts w:hint="eastAsia"/>
                <w:color w:val="auto"/>
                <w:sz w:val="21"/>
                <w:szCs w:val="21"/>
              </w:rPr>
              <w:t>7.98E-04</w:t>
            </w:r>
          </w:p>
        </w:tc>
        <w:tc>
          <w:tcPr>
            <w:tcW w:w="172" w:type="pct"/>
            <w:shd w:val="clear" w:color="auto" w:fill="auto"/>
          </w:tcPr>
          <w:p w14:paraId="38EB9462">
            <w:pPr>
              <w:widowControl/>
              <w:spacing w:line="240" w:lineRule="auto"/>
              <w:ind w:firstLine="0" w:firstLineChars="0"/>
              <w:jc w:val="center"/>
              <w:rPr>
                <w:color w:val="auto"/>
                <w:kern w:val="0"/>
                <w:sz w:val="21"/>
                <w:szCs w:val="21"/>
              </w:rPr>
            </w:pPr>
            <w:r>
              <w:rPr>
                <w:rFonts w:hint="eastAsia"/>
                <w:color w:val="auto"/>
                <w:sz w:val="21"/>
                <w:szCs w:val="21"/>
              </w:rPr>
              <w:t>0.40</w:t>
            </w:r>
          </w:p>
        </w:tc>
        <w:tc>
          <w:tcPr>
            <w:tcW w:w="384" w:type="pct"/>
            <w:shd w:val="clear" w:color="auto" w:fill="auto"/>
          </w:tcPr>
          <w:p w14:paraId="40A83A2F">
            <w:pPr>
              <w:widowControl/>
              <w:spacing w:line="240" w:lineRule="auto"/>
              <w:ind w:firstLine="0" w:firstLineChars="0"/>
              <w:jc w:val="center"/>
              <w:rPr>
                <w:color w:val="auto"/>
                <w:kern w:val="0"/>
                <w:sz w:val="21"/>
                <w:szCs w:val="21"/>
              </w:rPr>
            </w:pPr>
            <w:r>
              <w:rPr>
                <w:rFonts w:hint="eastAsia"/>
                <w:color w:val="auto"/>
                <w:sz w:val="21"/>
                <w:szCs w:val="21"/>
              </w:rPr>
              <w:t>2.03E-04</w:t>
            </w:r>
          </w:p>
        </w:tc>
        <w:tc>
          <w:tcPr>
            <w:tcW w:w="212" w:type="pct"/>
            <w:shd w:val="clear" w:color="auto" w:fill="auto"/>
          </w:tcPr>
          <w:p w14:paraId="10CCFAF6">
            <w:pPr>
              <w:widowControl/>
              <w:spacing w:line="240" w:lineRule="auto"/>
              <w:ind w:firstLine="0" w:firstLineChars="0"/>
              <w:jc w:val="center"/>
              <w:rPr>
                <w:color w:val="auto"/>
                <w:kern w:val="0"/>
                <w:sz w:val="21"/>
                <w:szCs w:val="21"/>
              </w:rPr>
            </w:pPr>
            <w:r>
              <w:rPr>
                <w:rFonts w:hint="eastAsia"/>
                <w:color w:val="auto"/>
                <w:sz w:val="21"/>
                <w:szCs w:val="21"/>
              </w:rPr>
              <w:t>0.02</w:t>
            </w:r>
          </w:p>
        </w:tc>
      </w:tr>
      <w:tr w14:paraId="64364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67D82B2">
            <w:pPr>
              <w:widowControl/>
              <w:spacing w:line="240" w:lineRule="auto"/>
              <w:ind w:firstLine="0" w:firstLineChars="0"/>
              <w:jc w:val="center"/>
              <w:rPr>
                <w:color w:val="auto"/>
                <w:kern w:val="0"/>
                <w:sz w:val="21"/>
                <w:szCs w:val="21"/>
              </w:rPr>
            </w:pPr>
            <w:r>
              <w:rPr>
                <w:color w:val="auto"/>
                <w:sz w:val="21"/>
                <w:szCs w:val="21"/>
              </w:rPr>
              <w:t>275</w:t>
            </w:r>
          </w:p>
        </w:tc>
        <w:tc>
          <w:tcPr>
            <w:tcW w:w="420" w:type="pct"/>
            <w:shd w:val="clear" w:color="auto" w:fill="auto"/>
            <w:noWrap/>
          </w:tcPr>
          <w:p w14:paraId="780BC91E">
            <w:pPr>
              <w:widowControl/>
              <w:spacing w:line="240" w:lineRule="auto"/>
              <w:ind w:firstLine="0" w:firstLineChars="0"/>
              <w:jc w:val="center"/>
              <w:rPr>
                <w:color w:val="auto"/>
                <w:kern w:val="0"/>
                <w:sz w:val="21"/>
                <w:szCs w:val="21"/>
              </w:rPr>
            </w:pPr>
            <w:r>
              <w:rPr>
                <w:rFonts w:hint="eastAsia"/>
                <w:color w:val="auto"/>
                <w:sz w:val="21"/>
                <w:szCs w:val="21"/>
              </w:rPr>
              <w:t>1.70E-04</w:t>
            </w:r>
          </w:p>
        </w:tc>
        <w:tc>
          <w:tcPr>
            <w:tcW w:w="292" w:type="pct"/>
            <w:shd w:val="clear" w:color="auto" w:fill="auto"/>
            <w:noWrap/>
          </w:tcPr>
          <w:p w14:paraId="772F77A9">
            <w:pPr>
              <w:widowControl/>
              <w:spacing w:line="240" w:lineRule="auto"/>
              <w:ind w:firstLine="0" w:firstLineChars="0"/>
              <w:jc w:val="center"/>
              <w:rPr>
                <w:color w:val="auto"/>
                <w:kern w:val="0"/>
                <w:sz w:val="21"/>
                <w:szCs w:val="21"/>
              </w:rPr>
            </w:pPr>
            <w:r>
              <w:rPr>
                <w:rFonts w:hint="eastAsia"/>
                <w:color w:val="auto"/>
                <w:sz w:val="21"/>
                <w:szCs w:val="21"/>
              </w:rPr>
              <w:t>0.04</w:t>
            </w:r>
          </w:p>
        </w:tc>
        <w:tc>
          <w:tcPr>
            <w:tcW w:w="490" w:type="pct"/>
            <w:shd w:val="clear" w:color="auto" w:fill="auto"/>
          </w:tcPr>
          <w:p w14:paraId="730E80A8">
            <w:pPr>
              <w:widowControl/>
              <w:spacing w:line="240" w:lineRule="auto"/>
              <w:ind w:firstLine="0" w:firstLineChars="0"/>
              <w:jc w:val="center"/>
              <w:rPr>
                <w:color w:val="auto"/>
                <w:kern w:val="0"/>
                <w:sz w:val="21"/>
                <w:szCs w:val="21"/>
              </w:rPr>
            </w:pPr>
            <w:r>
              <w:rPr>
                <w:rFonts w:hint="eastAsia"/>
                <w:color w:val="auto"/>
                <w:sz w:val="21"/>
                <w:szCs w:val="21"/>
              </w:rPr>
              <w:t>1.19E-04</w:t>
            </w:r>
          </w:p>
        </w:tc>
        <w:tc>
          <w:tcPr>
            <w:tcW w:w="376" w:type="pct"/>
            <w:shd w:val="clear" w:color="auto" w:fill="auto"/>
          </w:tcPr>
          <w:p w14:paraId="0E6AAD6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2D8A6849">
            <w:pPr>
              <w:widowControl/>
              <w:spacing w:line="240" w:lineRule="auto"/>
              <w:ind w:firstLine="0" w:firstLineChars="0"/>
              <w:jc w:val="center"/>
              <w:rPr>
                <w:color w:val="auto"/>
                <w:kern w:val="0"/>
                <w:sz w:val="21"/>
                <w:szCs w:val="21"/>
              </w:rPr>
            </w:pPr>
            <w:r>
              <w:rPr>
                <w:rFonts w:hint="eastAsia"/>
                <w:color w:val="auto"/>
                <w:sz w:val="21"/>
                <w:szCs w:val="21"/>
              </w:rPr>
              <w:t>1.09E-03</w:t>
            </w:r>
          </w:p>
        </w:tc>
        <w:tc>
          <w:tcPr>
            <w:tcW w:w="239" w:type="pct"/>
            <w:shd w:val="clear" w:color="auto" w:fill="auto"/>
          </w:tcPr>
          <w:p w14:paraId="31CF90A3">
            <w:pPr>
              <w:widowControl/>
              <w:spacing w:line="240" w:lineRule="auto"/>
              <w:ind w:firstLine="0" w:firstLineChars="0"/>
              <w:jc w:val="center"/>
              <w:rPr>
                <w:color w:val="auto"/>
                <w:kern w:val="0"/>
                <w:sz w:val="21"/>
                <w:szCs w:val="21"/>
              </w:rPr>
            </w:pPr>
            <w:r>
              <w:rPr>
                <w:rFonts w:hint="eastAsia"/>
                <w:color w:val="auto"/>
                <w:sz w:val="21"/>
                <w:szCs w:val="21"/>
              </w:rPr>
              <w:t>0.55</w:t>
            </w:r>
          </w:p>
        </w:tc>
        <w:tc>
          <w:tcPr>
            <w:tcW w:w="451" w:type="pct"/>
            <w:shd w:val="clear" w:color="auto" w:fill="auto"/>
          </w:tcPr>
          <w:p w14:paraId="02EC8812">
            <w:pPr>
              <w:widowControl/>
              <w:spacing w:line="240" w:lineRule="auto"/>
              <w:ind w:firstLine="0" w:firstLineChars="0"/>
              <w:jc w:val="center"/>
              <w:rPr>
                <w:color w:val="auto"/>
                <w:kern w:val="0"/>
                <w:sz w:val="21"/>
                <w:szCs w:val="21"/>
              </w:rPr>
            </w:pPr>
            <w:r>
              <w:rPr>
                <w:rFonts w:hint="eastAsia"/>
                <w:color w:val="auto"/>
                <w:sz w:val="21"/>
                <w:szCs w:val="21"/>
              </w:rPr>
              <w:t>1.13E-04</w:t>
            </w:r>
          </w:p>
        </w:tc>
        <w:tc>
          <w:tcPr>
            <w:tcW w:w="206" w:type="pct"/>
            <w:shd w:val="clear" w:color="auto" w:fill="auto"/>
          </w:tcPr>
          <w:p w14:paraId="472CDF9F">
            <w:pPr>
              <w:widowControl/>
              <w:spacing w:line="240" w:lineRule="auto"/>
              <w:ind w:firstLine="0" w:firstLineChars="0"/>
              <w:jc w:val="center"/>
              <w:rPr>
                <w:color w:val="auto"/>
                <w:kern w:val="0"/>
                <w:sz w:val="21"/>
                <w:szCs w:val="21"/>
              </w:rPr>
            </w:pPr>
            <w:r>
              <w:rPr>
                <w:rFonts w:hint="eastAsia"/>
                <w:color w:val="auto"/>
                <w:sz w:val="21"/>
                <w:szCs w:val="21"/>
              </w:rPr>
              <w:t>0.03</w:t>
            </w:r>
          </w:p>
        </w:tc>
        <w:tc>
          <w:tcPr>
            <w:tcW w:w="352" w:type="pct"/>
          </w:tcPr>
          <w:p w14:paraId="1F8BC2BD">
            <w:pPr>
              <w:widowControl/>
              <w:spacing w:line="240" w:lineRule="auto"/>
              <w:ind w:firstLine="0" w:firstLineChars="0"/>
              <w:jc w:val="center"/>
              <w:rPr>
                <w:color w:val="auto"/>
                <w:sz w:val="21"/>
                <w:szCs w:val="21"/>
              </w:rPr>
            </w:pPr>
            <w:r>
              <w:rPr>
                <w:rFonts w:hint="eastAsia"/>
                <w:color w:val="auto"/>
                <w:sz w:val="21"/>
                <w:szCs w:val="21"/>
              </w:rPr>
              <w:t>8.17E-05</w:t>
            </w:r>
          </w:p>
        </w:tc>
        <w:tc>
          <w:tcPr>
            <w:tcW w:w="170" w:type="pct"/>
          </w:tcPr>
          <w:p w14:paraId="4FBA8D53">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42CC79A0">
            <w:pPr>
              <w:widowControl/>
              <w:spacing w:line="240" w:lineRule="auto"/>
              <w:ind w:firstLine="0" w:firstLineChars="0"/>
              <w:jc w:val="center"/>
              <w:rPr>
                <w:color w:val="auto"/>
                <w:kern w:val="0"/>
                <w:sz w:val="21"/>
                <w:szCs w:val="21"/>
              </w:rPr>
            </w:pPr>
            <w:r>
              <w:rPr>
                <w:rFonts w:hint="eastAsia"/>
                <w:color w:val="auto"/>
                <w:sz w:val="21"/>
                <w:szCs w:val="21"/>
              </w:rPr>
              <w:t>7.48E-04</w:t>
            </w:r>
          </w:p>
        </w:tc>
        <w:tc>
          <w:tcPr>
            <w:tcW w:w="172" w:type="pct"/>
            <w:shd w:val="clear" w:color="auto" w:fill="auto"/>
          </w:tcPr>
          <w:p w14:paraId="3962CC1D">
            <w:pPr>
              <w:widowControl/>
              <w:spacing w:line="240" w:lineRule="auto"/>
              <w:ind w:firstLine="0" w:firstLineChars="0"/>
              <w:jc w:val="center"/>
              <w:rPr>
                <w:color w:val="auto"/>
                <w:kern w:val="0"/>
                <w:sz w:val="21"/>
                <w:szCs w:val="21"/>
              </w:rPr>
            </w:pPr>
            <w:r>
              <w:rPr>
                <w:rFonts w:hint="eastAsia"/>
                <w:color w:val="auto"/>
                <w:sz w:val="21"/>
                <w:szCs w:val="21"/>
              </w:rPr>
              <w:t>0.37</w:t>
            </w:r>
          </w:p>
        </w:tc>
        <w:tc>
          <w:tcPr>
            <w:tcW w:w="384" w:type="pct"/>
            <w:shd w:val="clear" w:color="auto" w:fill="auto"/>
          </w:tcPr>
          <w:p w14:paraId="1E3D37F9">
            <w:pPr>
              <w:widowControl/>
              <w:spacing w:line="240" w:lineRule="auto"/>
              <w:ind w:firstLine="0" w:firstLineChars="0"/>
              <w:jc w:val="center"/>
              <w:rPr>
                <w:color w:val="auto"/>
                <w:kern w:val="0"/>
                <w:sz w:val="21"/>
                <w:szCs w:val="21"/>
              </w:rPr>
            </w:pPr>
            <w:r>
              <w:rPr>
                <w:rFonts w:hint="eastAsia"/>
                <w:color w:val="auto"/>
                <w:sz w:val="21"/>
                <w:szCs w:val="21"/>
              </w:rPr>
              <w:t>1.90E-04</w:t>
            </w:r>
          </w:p>
        </w:tc>
        <w:tc>
          <w:tcPr>
            <w:tcW w:w="212" w:type="pct"/>
            <w:shd w:val="clear" w:color="auto" w:fill="auto"/>
          </w:tcPr>
          <w:p w14:paraId="2D991137">
            <w:pPr>
              <w:widowControl/>
              <w:spacing w:line="240" w:lineRule="auto"/>
              <w:ind w:firstLine="0" w:firstLineChars="0"/>
              <w:jc w:val="center"/>
              <w:rPr>
                <w:color w:val="auto"/>
                <w:kern w:val="0"/>
                <w:sz w:val="21"/>
                <w:szCs w:val="21"/>
              </w:rPr>
            </w:pPr>
            <w:r>
              <w:rPr>
                <w:rFonts w:hint="eastAsia"/>
                <w:color w:val="auto"/>
                <w:sz w:val="21"/>
                <w:szCs w:val="21"/>
              </w:rPr>
              <w:t>0.02</w:t>
            </w:r>
          </w:p>
        </w:tc>
      </w:tr>
      <w:tr w14:paraId="45C77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19916DA">
            <w:pPr>
              <w:widowControl/>
              <w:spacing w:line="240" w:lineRule="auto"/>
              <w:ind w:firstLine="0" w:firstLineChars="0"/>
              <w:jc w:val="center"/>
              <w:rPr>
                <w:color w:val="auto"/>
                <w:kern w:val="0"/>
                <w:sz w:val="21"/>
                <w:szCs w:val="21"/>
              </w:rPr>
            </w:pPr>
            <w:r>
              <w:rPr>
                <w:color w:val="auto"/>
                <w:sz w:val="21"/>
                <w:szCs w:val="21"/>
              </w:rPr>
              <w:t>300</w:t>
            </w:r>
          </w:p>
        </w:tc>
        <w:tc>
          <w:tcPr>
            <w:tcW w:w="420" w:type="pct"/>
            <w:shd w:val="clear" w:color="auto" w:fill="auto"/>
            <w:noWrap/>
          </w:tcPr>
          <w:p w14:paraId="390E5FBE">
            <w:pPr>
              <w:widowControl/>
              <w:spacing w:line="240" w:lineRule="auto"/>
              <w:ind w:firstLine="0" w:firstLineChars="0"/>
              <w:jc w:val="center"/>
              <w:rPr>
                <w:color w:val="auto"/>
                <w:kern w:val="0"/>
                <w:sz w:val="21"/>
                <w:szCs w:val="21"/>
              </w:rPr>
            </w:pPr>
            <w:r>
              <w:rPr>
                <w:rFonts w:hint="eastAsia"/>
                <w:color w:val="auto"/>
                <w:sz w:val="21"/>
                <w:szCs w:val="21"/>
              </w:rPr>
              <w:t>1.57E-04</w:t>
            </w:r>
          </w:p>
        </w:tc>
        <w:tc>
          <w:tcPr>
            <w:tcW w:w="292" w:type="pct"/>
            <w:shd w:val="clear" w:color="auto" w:fill="auto"/>
            <w:noWrap/>
          </w:tcPr>
          <w:p w14:paraId="777BDEDA">
            <w:pPr>
              <w:widowControl/>
              <w:spacing w:line="240" w:lineRule="auto"/>
              <w:ind w:firstLine="0" w:firstLineChars="0"/>
              <w:jc w:val="center"/>
              <w:rPr>
                <w:color w:val="auto"/>
                <w:kern w:val="0"/>
                <w:sz w:val="21"/>
                <w:szCs w:val="21"/>
              </w:rPr>
            </w:pPr>
            <w:r>
              <w:rPr>
                <w:rFonts w:hint="eastAsia"/>
                <w:color w:val="auto"/>
                <w:sz w:val="21"/>
                <w:szCs w:val="21"/>
              </w:rPr>
              <w:t>0.03</w:t>
            </w:r>
          </w:p>
        </w:tc>
        <w:tc>
          <w:tcPr>
            <w:tcW w:w="490" w:type="pct"/>
            <w:shd w:val="clear" w:color="auto" w:fill="auto"/>
          </w:tcPr>
          <w:p w14:paraId="66214170">
            <w:pPr>
              <w:widowControl/>
              <w:spacing w:line="240" w:lineRule="auto"/>
              <w:ind w:firstLine="0" w:firstLineChars="0"/>
              <w:jc w:val="center"/>
              <w:rPr>
                <w:color w:val="auto"/>
                <w:kern w:val="0"/>
                <w:sz w:val="21"/>
                <w:szCs w:val="21"/>
              </w:rPr>
            </w:pPr>
            <w:r>
              <w:rPr>
                <w:rFonts w:hint="eastAsia"/>
                <w:color w:val="auto"/>
                <w:sz w:val="21"/>
                <w:szCs w:val="21"/>
              </w:rPr>
              <w:t>1.11E-04</w:t>
            </w:r>
          </w:p>
        </w:tc>
        <w:tc>
          <w:tcPr>
            <w:tcW w:w="376" w:type="pct"/>
            <w:shd w:val="clear" w:color="auto" w:fill="auto"/>
          </w:tcPr>
          <w:p w14:paraId="24D8436D">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179F68FE">
            <w:pPr>
              <w:widowControl/>
              <w:spacing w:line="240" w:lineRule="auto"/>
              <w:ind w:firstLine="0" w:firstLineChars="0"/>
              <w:jc w:val="center"/>
              <w:rPr>
                <w:color w:val="auto"/>
                <w:kern w:val="0"/>
                <w:sz w:val="21"/>
                <w:szCs w:val="21"/>
              </w:rPr>
            </w:pPr>
            <w:r>
              <w:rPr>
                <w:rFonts w:hint="eastAsia"/>
                <w:color w:val="auto"/>
                <w:sz w:val="21"/>
                <w:szCs w:val="21"/>
              </w:rPr>
              <w:t>1.01E-03</w:t>
            </w:r>
          </w:p>
        </w:tc>
        <w:tc>
          <w:tcPr>
            <w:tcW w:w="239" w:type="pct"/>
            <w:shd w:val="clear" w:color="auto" w:fill="auto"/>
          </w:tcPr>
          <w:p w14:paraId="598B9B2F">
            <w:pPr>
              <w:widowControl/>
              <w:spacing w:line="240" w:lineRule="auto"/>
              <w:ind w:firstLine="0" w:firstLineChars="0"/>
              <w:jc w:val="center"/>
              <w:rPr>
                <w:color w:val="auto"/>
                <w:kern w:val="0"/>
                <w:sz w:val="21"/>
                <w:szCs w:val="21"/>
              </w:rPr>
            </w:pPr>
            <w:r>
              <w:rPr>
                <w:rFonts w:hint="eastAsia"/>
                <w:color w:val="auto"/>
                <w:sz w:val="21"/>
                <w:szCs w:val="21"/>
              </w:rPr>
              <w:t>0.51</w:t>
            </w:r>
          </w:p>
        </w:tc>
        <w:tc>
          <w:tcPr>
            <w:tcW w:w="451" w:type="pct"/>
            <w:shd w:val="clear" w:color="auto" w:fill="auto"/>
          </w:tcPr>
          <w:p w14:paraId="5BCD3BC8">
            <w:pPr>
              <w:widowControl/>
              <w:spacing w:line="240" w:lineRule="auto"/>
              <w:ind w:firstLine="0" w:firstLineChars="0"/>
              <w:jc w:val="center"/>
              <w:rPr>
                <w:color w:val="auto"/>
                <w:kern w:val="0"/>
                <w:sz w:val="21"/>
                <w:szCs w:val="21"/>
              </w:rPr>
            </w:pPr>
            <w:r>
              <w:rPr>
                <w:rFonts w:hint="eastAsia"/>
                <w:color w:val="auto"/>
                <w:sz w:val="21"/>
                <w:szCs w:val="21"/>
              </w:rPr>
              <w:t>1.05E-04</w:t>
            </w:r>
          </w:p>
        </w:tc>
        <w:tc>
          <w:tcPr>
            <w:tcW w:w="206" w:type="pct"/>
            <w:shd w:val="clear" w:color="auto" w:fill="auto"/>
          </w:tcPr>
          <w:p w14:paraId="6B7B3C19">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71BD801E">
            <w:pPr>
              <w:widowControl/>
              <w:spacing w:line="240" w:lineRule="auto"/>
              <w:ind w:firstLine="0" w:firstLineChars="0"/>
              <w:jc w:val="center"/>
              <w:rPr>
                <w:color w:val="auto"/>
                <w:sz w:val="21"/>
                <w:szCs w:val="21"/>
              </w:rPr>
            </w:pPr>
            <w:r>
              <w:rPr>
                <w:rFonts w:hint="eastAsia"/>
                <w:color w:val="auto"/>
                <w:sz w:val="21"/>
                <w:szCs w:val="21"/>
              </w:rPr>
              <w:t>7.58E-05</w:t>
            </w:r>
          </w:p>
        </w:tc>
        <w:tc>
          <w:tcPr>
            <w:tcW w:w="170" w:type="pct"/>
          </w:tcPr>
          <w:p w14:paraId="0DE8F49D">
            <w:pPr>
              <w:widowControl/>
              <w:spacing w:line="240" w:lineRule="auto"/>
              <w:ind w:firstLine="0" w:firstLineChars="0"/>
              <w:jc w:val="center"/>
              <w:rPr>
                <w:color w:val="auto"/>
                <w:sz w:val="21"/>
                <w:szCs w:val="21"/>
              </w:rPr>
            </w:pPr>
            <w:r>
              <w:rPr>
                <w:rFonts w:hint="eastAsia"/>
                <w:color w:val="auto"/>
                <w:sz w:val="21"/>
                <w:szCs w:val="21"/>
              </w:rPr>
              <w:t>0.02</w:t>
            </w:r>
          </w:p>
        </w:tc>
        <w:tc>
          <w:tcPr>
            <w:tcW w:w="372" w:type="pct"/>
            <w:shd w:val="clear" w:color="auto" w:fill="auto"/>
          </w:tcPr>
          <w:p w14:paraId="3CFCEC4C">
            <w:pPr>
              <w:widowControl/>
              <w:spacing w:line="240" w:lineRule="auto"/>
              <w:ind w:firstLine="0" w:firstLineChars="0"/>
              <w:jc w:val="center"/>
              <w:rPr>
                <w:color w:val="auto"/>
                <w:kern w:val="0"/>
                <w:sz w:val="21"/>
                <w:szCs w:val="21"/>
              </w:rPr>
            </w:pPr>
            <w:r>
              <w:rPr>
                <w:rFonts w:hint="eastAsia"/>
                <w:color w:val="auto"/>
                <w:sz w:val="21"/>
                <w:szCs w:val="21"/>
              </w:rPr>
              <w:t>6.94E-04</w:t>
            </w:r>
          </w:p>
        </w:tc>
        <w:tc>
          <w:tcPr>
            <w:tcW w:w="172" w:type="pct"/>
            <w:shd w:val="clear" w:color="auto" w:fill="auto"/>
          </w:tcPr>
          <w:p w14:paraId="4E020177">
            <w:pPr>
              <w:widowControl/>
              <w:spacing w:line="240" w:lineRule="auto"/>
              <w:ind w:firstLine="0" w:firstLineChars="0"/>
              <w:jc w:val="center"/>
              <w:rPr>
                <w:color w:val="auto"/>
                <w:kern w:val="0"/>
                <w:sz w:val="21"/>
                <w:szCs w:val="21"/>
              </w:rPr>
            </w:pPr>
            <w:r>
              <w:rPr>
                <w:rFonts w:hint="eastAsia"/>
                <w:color w:val="auto"/>
                <w:sz w:val="21"/>
                <w:szCs w:val="21"/>
              </w:rPr>
              <w:t>0.35</w:t>
            </w:r>
          </w:p>
        </w:tc>
        <w:tc>
          <w:tcPr>
            <w:tcW w:w="384" w:type="pct"/>
            <w:shd w:val="clear" w:color="auto" w:fill="auto"/>
          </w:tcPr>
          <w:p w14:paraId="3DFF149D">
            <w:pPr>
              <w:widowControl/>
              <w:spacing w:line="240" w:lineRule="auto"/>
              <w:ind w:firstLine="0" w:firstLineChars="0"/>
              <w:jc w:val="center"/>
              <w:rPr>
                <w:color w:val="auto"/>
                <w:kern w:val="0"/>
                <w:sz w:val="21"/>
                <w:szCs w:val="21"/>
              </w:rPr>
            </w:pPr>
            <w:r>
              <w:rPr>
                <w:rFonts w:hint="eastAsia"/>
                <w:color w:val="auto"/>
                <w:sz w:val="21"/>
                <w:szCs w:val="21"/>
              </w:rPr>
              <w:t>1.76E-04</w:t>
            </w:r>
          </w:p>
        </w:tc>
        <w:tc>
          <w:tcPr>
            <w:tcW w:w="212" w:type="pct"/>
            <w:shd w:val="clear" w:color="auto" w:fill="auto"/>
          </w:tcPr>
          <w:p w14:paraId="7DC69177">
            <w:pPr>
              <w:widowControl/>
              <w:spacing w:line="240" w:lineRule="auto"/>
              <w:ind w:firstLine="0" w:firstLineChars="0"/>
              <w:jc w:val="center"/>
              <w:rPr>
                <w:color w:val="auto"/>
                <w:kern w:val="0"/>
                <w:sz w:val="21"/>
                <w:szCs w:val="21"/>
              </w:rPr>
            </w:pPr>
            <w:r>
              <w:rPr>
                <w:rFonts w:hint="eastAsia"/>
                <w:color w:val="auto"/>
                <w:sz w:val="21"/>
                <w:szCs w:val="21"/>
              </w:rPr>
              <w:t>0.02</w:t>
            </w:r>
          </w:p>
        </w:tc>
      </w:tr>
      <w:tr w14:paraId="3541B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0683F25">
            <w:pPr>
              <w:widowControl/>
              <w:spacing w:line="240" w:lineRule="auto"/>
              <w:ind w:firstLine="0" w:firstLineChars="0"/>
              <w:jc w:val="center"/>
              <w:rPr>
                <w:color w:val="auto"/>
                <w:kern w:val="0"/>
                <w:sz w:val="21"/>
                <w:szCs w:val="21"/>
              </w:rPr>
            </w:pPr>
            <w:r>
              <w:rPr>
                <w:color w:val="auto"/>
                <w:sz w:val="21"/>
                <w:szCs w:val="21"/>
              </w:rPr>
              <w:t>325</w:t>
            </w:r>
          </w:p>
        </w:tc>
        <w:tc>
          <w:tcPr>
            <w:tcW w:w="420" w:type="pct"/>
            <w:shd w:val="clear" w:color="auto" w:fill="auto"/>
            <w:noWrap/>
          </w:tcPr>
          <w:p w14:paraId="0A4B2F55">
            <w:pPr>
              <w:widowControl/>
              <w:spacing w:line="240" w:lineRule="auto"/>
              <w:ind w:firstLine="0" w:firstLineChars="0"/>
              <w:jc w:val="center"/>
              <w:rPr>
                <w:color w:val="auto"/>
                <w:kern w:val="0"/>
                <w:sz w:val="21"/>
                <w:szCs w:val="21"/>
              </w:rPr>
            </w:pPr>
            <w:r>
              <w:rPr>
                <w:rFonts w:hint="eastAsia"/>
                <w:color w:val="auto"/>
                <w:sz w:val="21"/>
                <w:szCs w:val="21"/>
              </w:rPr>
              <w:t>1.46E-04</w:t>
            </w:r>
          </w:p>
        </w:tc>
        <w:tc>
          <w:tcPr>
            <w:tcW w:w="292" w:type="pct"/>
            <w:shd w:val="clear" w:color="auto" w:fill="auto"/>
            <w:noWrap/>
          </w:tcPr>
          <w:p w14:paraId="01638EE6">
            <w:pPr>
              <w:widowControl/>
              <w:spacing w:line="240" w:lineRule="auto"/>
              <w:ind w:firstLine="0" w:firstLineChars="0"/>
              <w:jc w:val="center"/>
              <w:rPr>
                <w:color w:val="auto"/>
                <w:kern w:val="0"/>
                <w:sz w:val="21"/>
                <w:szCs w:val="21"/>
              </w:rPr>
            </w:pPr>
            <w:r>
              <w:rPr>
                <w:rFonts w:hint="eastAsia"/>
                <w:color w:val="auto"/>
                <w:sz w:val="21"/>
                <w:szCs w:val="21"/>
              </w:rPr>
              <w:t>0.03</w:t>
            </w:r>
          </w:p>
        </w:tc>
        <w:tc>
          <w:tcPr>
            <w:tcW w:w="490" w:type="pct"/>
            <w:shd w:val="clear" w:color="auto" w:fill="auto"/>
          </w:tcPr>
          <w:p w14:paraId="636DB7D0">
            <w:pPr>
              <w:widowControl/>
              <w:spacing w:line="240" w:lineRule="auto"/>
              <w:ind w:firstLine="0" w:firstLineChars="0"/>
              <w:jc w:val="center"/>
              <w:rPr>
                <w:color w:val="auto"/>
                <w:kern w:val="0"/>
                <w:sz w:val="21"/>
                <w:szCs w:val="21"/>
              </w:rPr>
            </w:pPr>
            <w:r>
              <w:rPr>
                <w:rFonts w:hint="eastAsia"/>
                <w:color w:val="auto"/>
                <w:sz w:val="21"/>
                <w:szCs w:val="21"/>
              </w:rPr>
              <w:t>1.03E-04</w:t>
            </w:r>
          </w:p>
        </w:tc>
        <w:tc>
          <w:tcPr>
            <w:tcW w:w="376" w:type="pct"/>
            <w:shd w:val="clear" w:color="auto" w:fill="auto"/>
          </w:tcPr>
          <w:p w14:paraId="0331917E">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1FA72F12">
            <w:pPr>
              <w:widowControl/>
              <w:spacing w:line="240" w:lineRule="auto"/>
              <w:ind w:firstLine="0" w:firstLineChars="0"/>
              <w:jc w:val="center"/>
              <w:rPr>
                <w:color w:val="auto"/>
                <w:kern w:val="0"/>
                <w:sz w:val="21"/>
                <w:szCs w:val="21"/>
              </w:rPr>
            </w:pPr>
            <w:r>
              <w:rPr>
                <w:rFonts w:hint="eastAsia"/>
                <w:color w:val="auto"/>
                <w:sz w:val="21"/>
                <w:szCs w:val="21"/>
              </w:rPr>
              <w:t>9.40E-04</w:t>
            </w:r>
          </w:p>
        </w:tc>
        <w:tc>
          <w:tcPr>
            <w:tcW w:w="239" w:type="pct"/>
            <w:shd w:val="clear" w:color="auto" w:fill="auto"/>
          </w:tcPr>
          <w:p w14:paraId="6BC58407">
            <w:pPr>
              <w:widowControl/>
              <w:spacing w:line="240" w:lineRule="auto"/>
              <w:ind w:firstLine="0" w:firstLineChars="0"/>
              <w:jc w:val="center"/>
              <w:rPr>
                <w:color w:val="auto"/>
                <w:kern w:val="0"/>
                <w:sz w:val="21"/>
                <w:szCs w:val="21"/>
              </w:rPr>
            </w:pPr>
            <w:r>
              <w:rPr>
                <w:rFonts w:hint="eastAsia"/>
                <w:color w:val="auto"/>
                <w:sz w:val="21"/>
                <w:szCs w:val="21"/>
              </w:rPr>
              <w:t>0.47</w:t>
            </w:r>
          </w:p>
        </w:tc>
        <w:tc>
          <w:tcPr>
            <w:tcW w:w="451" w:type="pct"/>
            <w:shd w:val="clear" w:color="auto" w:fill="auto"/>
          </w:tcPr>
          <w:p w14:paraId="1367041F">
            <w:pPr>
              <w:widowControl/>
              <w:spacing w:line="240" w:lineRule="auto"/>
              <w:ind w:firstLine="0" w:firstLineChars="0"/>
              <w:jc w:val="center"/>
              <w:rPr>
                <w:color w:val="auto"/>
                <w:kern w:val="0"/>
                <w:sz w:val="21"/>
                <w:szCs w:val="21"/>
              </w:rPr>
            </w:pPr>
            <w:r>
              <w:rPr>
                <w:rFonts w:hint="eastAsia"/>
                <w:color w:val="auto"/>
                <w:sz w:val="21"/>
                <w:szCs w:val="21"/>
              </w:rPr>
              <w:t>9.73E-05</w:t>
            </w:r>
          </w:p>
        </w:tc>
        <w:tc>
          <w:tcPr>
            <w:tcW w:w="206" w:type="pct"/>
            <w:shd w:val="clear" w:color="auto" w:fill="auto"/>
          </w:tcPr>
          <w:p w14:paraId="7215CB3C">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4922C2EB">
            <w:pPr>
              <w:widowControl/>
              <w:spacing w:line="240" w:lineRule="auto"/>
              <w:ind w:firstLine="0" w:firstLineChars="0"/>
              <w:jc w:val="center"/>
              <w:rPr>
                <w:color w:val="auto"/>
                <w:sz w:val="21"/>
                <w:szCs w:val="21"/>
              </w:rPr>
            </w:pPr>
            <w:r>
              <w:rPr>
                <w:rFonts w:hint="eastAsia"/>
                <w:color w:val="auto"/>
                <w:sz w:val="21"/>
                <w:szCs w:val="21"/>
              </w:rPr>
              <w:t>7.03E-05</w:t>
            </w:r>
          </w:p>
        </w:tc>
        <w:tc>
          <w:tcPr>
            <w:tcW w:w="170" w:type="pct"/>
          </w:tcPr>
          <w:p w14:paraId="559C909B">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2645EFA">
            <w:pPr>
              <w:widowControl/>
              <w:spacing w:line="240" w:lineRule="auto"/>
              <w:ind w:firstLine="0" w:firstLineChars="0"/>
              <w:jc w:val="center"/>
              <w:rPr>
                <w:color w:val="auto"/>
                <w:kern w:val="0"/>
                <w:sz w:val="21"/>
                <w:szCs w:val="21"/>
              </w:rPr>
            </w:pPr>
            <w:r>
              <w:rPr>
                <w:rFonts w:hint="eastAsia"/>
                <w:color w:val="auto"/>
                <w:sz w:val="21"/>
                <w:szCs w:val="21"/>
              </w:rPr>
              <w:t>6.43E-04</w:t>
            </w:r>
          </w:p>
        </w:tc>
        <w:tc>
          <w:tcPr>
            <w:tcW w:w="172" w:type="pct"/>
            <w:shd w:val="clear" w:color="auto" w:fill="auto"/>
          </w:tcPr>
          <w:p w14:paraId="0F9C8067">
            <w:pPr>
              <w:widowControl/>
              <w:spacing w:line="240" w:lineRule="auto"/>
              <w:ind w:firstLine="0" w:firstLineChars="0"/>
              <w:jc w:val="center"/>
              <w:rPr>
                <w:color w:val="auto"/>
                <w:kern w:val="0"/>
                <w:sz w:val="21"/>
                <w:szCs w:val="21"/>
              </w:rPr>
            </w:pPr>
            <w:r>
              <w:rPr>
                <w:rFonts w:hint="eastAsia"/>
                <w:color w:val="auto"/>
                <w:sz w:val="21"/>
                <w:szCs w:val="21"/>
              </w:rPr>
              <w:t>0.32</w:t>
            </w:r>
          </w:p>
        </w:tc>
        <w:tc>
          <w:tcPr>
            <w:tcW w:w="384" w:type="pct"/>
            <w:shd w:val="clear" w:color="auto" w:fill="auto"/>
          </w:tcPr>
          <w:p w14:paraId="01F6B255">
            <w:pPr>
              <w:widowControl/>
              <w:spacing w:line="240" w:lineRule="auto"/>
              <w:ind w:firstLine="0" w:firstLineChars="0"/>
              <w:jc w:val="center"/>
              <w:rPr>
                <w:color w:val="auto"/>
                <w:kern w:val="0"/>
                <w:sz w:val="21"/>
                <w:szCs w:val="21"/>
              </w:rPr>
            </w:pPr>
            <w:r>
              <w:rPr>
                <w:rFonts w:hint="eastAsia"/>
                <w:color w:val="auto"/>
                <w:sz w:val="21"/>
                <w:szCs w:val="21"/>
              </w:rPr>
              <w:t>1.64E-04</w:t>
            </w:r>
          </w:p>
        </w:tc>
        <w:tc>
          <w:tcPr>
            <w:tcW w:w="212" w:type="pct"/>
            <w:shd w:val="clear" w:color="auto" w:fill="auto"/>
          </w:tcPr>
          <w:p w14:paraId="70242238">
            <w:pPr>
              <w:widowControl/>
              <w:spacing w:line="240" w:lineRule="auto"/>
              <w:ind w:firstLine="0" w:firstLineChars="0"/>
              <w:jc w:val="center"/>
              <w:rPr>
                <w:color w:val="auto"/>
                <w:kern w:val="0"/>
                <w:sz w:val="21"/>
                <w:szCs w:val="21"/>
              </w:rPr>
            </w:pPr>
            <w:r>
              <w:rPr>
                <w:rFonts w:hint="eastAsia"/>
                <w:color w:val="auto"/>
                <w:sz w:val="21"/>
                <w:szCs w:val="21"/>
              </w:rPr>
              <w:t>0.02</w:t>
            </w:r>
          </w:p>
        </w:tc>
      </w:tr>
      <w:tr w14:paraId="59F1F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568F2D9">
            <w:pPr>
              <w:widowControl/>
              <w:spacing w:line="240" w:lineRule="auto"/>
              <w:ind w:firstLine="0" w:firstLineChars="0"/>
              <w:jc w:val="center"/>
              <w:rPr>
                <w:color w:val="auto"/>
                <w:kern w:val="0"/>
                <w:sz w:val="21"/>
                <w:szCs w:val="21"/>
              </w:rPr>
            </w:pPr>
            <w:r>
              <w:rPr>
                <w:color w:val="auto"/>
                <w:sz w:val="21"/>
                <w:szCs w:val="21"/>
              </w:rPr>
              <w:t>350</w:t>
            </w:r>
          </w:p>
        </w:tc>
        <w:tc>
          <w:tcPr>
            <w:tcW w:w="420" w:type="pct"/>
            <w:shd w:val="clear" w:color="auto" w:fill="auto"/>
            <w:noWrap/>
          </w:tcPr>
          <w:p w14:paraId="163934F8">
            <w:pPr>
              <w:widowControl/>
              <w:spacing w:line="240" w:lineRule="auto"/>
              <w:ind w:firstLine="0" w:firstLineChars="0"/>
              <w:jc w:val="center"/>
              <w:rPr>
                <w:color w:val="auto"/>
                <w:kern w:val="0"/>
                <w:sz w:val="21"/>
                <w:szCs w:val="21"/>
              </w:rPr>
            </w:pPr>
            <w:r>
              <w:rPr>
                <w:rFonts w:hint="eastAsia"/>
                <w:color w:val="auto"/>
                <w:sz w:val="21"/>
                <w:szCs w:val="21"/>
              </w:rPr>
              <w:t>1.35E-04</w:t>
            </w:r>
          </w:p>
        </w:tc>
        <w:tc>
          <w:tcPr>
            <w:tcW w:w="292" w:type="pct"/>
            <w:shd w:val="clear" w:color="auto" w:fill="auto"/>
            <w:noWrap/>
          </w:tcPr>
          <w:p w14:paraId="2BB1C22C">
            <w:pPr>
              <w:widowControl/>
              <w:spacing w:line="240" w:lineRule="auto"/>
              <w:ind w:firstLine="0" w:firstLineChars="0"/>
              <w:jc w:val="center"/>
              <w:rPr>
                <w:color w:val="auto"/>
                <w:kern w:val="0"/>
                <w:sz w:val="21"/>
                <w:szCs w:val="21"/>
              </w:rPr>
            </w:pPr>
            <w:r>
              <w:rPr>
                <w:rFonts w:hint="eastAsia"/>
                <w:color w:val="auto"/>
                <w:sz w:val="21"/>
                <w:szCs w:val="21"/>
              </w:rPr>
              <w:t>0.03</w:t>
            </w:r>
          </w:p>
        </w:tc>
        <w:tc>
          <w:tcPr>
            <w:tcW w:w="490" w:type="pct"/>
            <w:shd w:val="clear" w:color="auto" w:fill="auto"/>
          </w:tcPr>
          <w:p w14:paraId="5D72CEAD">
            <w:pPr>
              <w:widowControl/>
              <w:spacing w:line="240" w:lineRule="auto"/>
              <w:ind w:firstLine="0" w:firstLineChars="0"/>
              <w:jc w:val="center"/>
              <w:rPr>
                <w:color w:val="auto"/>
                <w:kern w:val="0"/>
                <w:sz w:val="21"/>
                <w:szCs w:val="21"/>
              </w:rPr>
            </w:pPr>
            <w:r>
              <w:rPr>
                <w:rFonts w:hint="eastAsia"/>
                <w:color w:val="auto"/>
                <w:sz w:val="21"/>
                <w:szCs w:val="21"/>
              </w:rPr>
              <w:t>9.51E-05</w:t>
            </w:r>
          </w:p>
        </w:tc>
        <w:tc>
          <w:tcPr>
            <w:tcW w:w="376" w:type="pct"/>
            <w:shd w:val="clear" w:color="auto" w:fill="auto"/>
          </w:tcPr>
          <w:p w14:paraId="186FA1A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0D989514">
            <w:pPr>
              <w:widowControl/>
              <w:spacing w:line="240" w:lineRule="auto"/>
              <w:ind w:firstLine="0" w:firstLineChars="0"/>
              <w:jc w:val="center"/>
              <w:rPr>
                <w:color w:val="auto"/>
                <w:kern w:val="0"/>
                <w:sz w:val="21"/>
                <w:szCs w:val="21"/>
              </w:rPr>
            </w:pPr>
            <w:r>
              <w:rPr>
                <w:rFonts w:hint="eastAsia"/>
                <w:color w:val="auto"/>
                <w:sz w:val="21"/>
                <w:szCs w:val="21"/>
              </w:rPr>
              <w:t>8.71E-04</w:t>
            </w:r>
          </w:p>
        </w:tc>
        <w:tc>
          <w:tcPr>
            <w:tcW w:w="239" w:type="pct"/>
            <w:shd w:val="clear" w:color="auto" w:fill="auto"/>
          </w:tcPr>
          <w:p w14:paraId="319BCFD9">
            <w:pPr>
              <w:widowControl/>
              <w:spacing w:line="240" w:lineRule="auto"/>
              <w:ind w:firstLine="0" w:firstLineChars="0"/>
              <w:jc w:val="center"/>
              <w:rPr>
                <w:color w:val="auto"/>
                <w:kern w:val="0"/>
                <w:sz w:val="21"/>
                <w:szCs w:val="21"/>
              </w:rPr>
            </w:pPr>
            <w:r>
              <w:rPr>
                <w:rFonts w:hint="eastAsia"/>
                <w:color w:val="auto"/>
                <w:sz w:val="21"/>
                <w:szCs w:val="21"/>
              </w:rPr>
              <w:t>0.44</w:t>
            </w:r>
          </w:p>
        </w:tc>
        <w:tc>
          <w:tcPr>
            <w:tcW w:w="451" w:type="pct"/>
            <w:shd w:val="clear" w:color="auto" w:fill="auto"/>
          </w:tcPr>
          <w:p w14:paraId="4181786C">
            <w:pPr>
              <w:widowControl/>
              <w:spacing w:line="240" w:lineRule="auto"/>
              <w:ind w:firstLine="0" w:firstLineChars="0"/>
              <w:jc w:val="center"/>
              <w:rPr>
                <w:color w:val="auto"/>
                <w:kern w:val="0"/>
                <w:sz w:val="21"/>
                <w:szCs w:val="21"/>
              </w:rPr>
            </w:pPr>
            <w:r>
              <w:rPr>
                <w:rFonts w:hint="eastAsia"/>
                <w:color w:val="auto"/>
                <w:sz w:val="21"/>
                <w:szCs w:val="21"/>
              </w:rPr>
              <w:t>9.01E-05</w:t>
            </w:r>
          </w:p>
        </w:tc>
        <w:tc>
          <w:tcPr>
            <w:tcW w:w="206" w:type="pct"/>
            <w:shd w:val="clear" w:color="auto" w:fill="auto"/>
          </w:tcPr>
          <w:p w14:paraId="1EF590BE">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4DBE83C4">
            <w:pPr>
              <w:widowControl/>
              <w:spacing w:line="240" w:lineRule="auto"/>
              <w:ind w:firstLine="0" w:firstLineChars="0"/>
              <w:jc w:val="center"/>
              <w:rPr>
                <w:color w:val="auto"/>
                <w:sz w:val="21"/>
                <w:szCs w:val="21"/>
              </w:rPr>
            </w:pPr>
            <w:r>
              <w:rPr>
                <w:rFonts w:hint="eastAsia"/>
                <w:color w:val="auto"/>
                <w:sz w:val="21"/>
                <w:szCs w:val="21"/>
              </w:rPr>
              <w:t>6.51E-05</w:t>
            </w:r>
          </w:p>
        </w:tc>
        <w:tc>
          <w:tcPr>
            <w:tcW w:w="170" w:type="pct"/>
          </w:tcPr>
          <w:p w14:paraId="20D1DFA1">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E7CECC5">
            <w:pPr>
              <w:widowControl/>
              <w:spacing w:line="240" w:lineRule="auto"/>
              <w:ind w:firstLine="0" w:firstLineChars="0"/>
              <w:jc w:val="center"/>
              <w:rPr>
                <w:color w:val="auto"/>
                <w:kern w:val="0"/>
                <w:sz w:val="21"/>
                <w:szCs w:val="21"/>
              </w:rPr>
            </w:pPr>
            <w:r>
              <w:rPr>
                <w:rFonts w:hint="eastAsia"/>
                <w:color w:val="auto"/>
                <w:sz w:val="21"/>
                <w:szCs w:val="21"/>
              </w:rPr>
              <w:t>5.96E-04</w:t>
            </w:r>
          </w:p>
        </w:tc>
        <w:tc>
          <w:tcPr>
            <w:tcW w:w="172" w:type="pct"/>
            <w:shd w:val="clear" w:color="auto" w:fill="auto"/>
          </w:tcPr>
          <w:p w14:paraId="09940DC6">
            <w:pPr>
              <w:widowControl/>
              <w:spacing w:line="240" w:lineRule="auto"/>
              <w:ind w:firstLine="0" w:firstLineChars="0"/>
              <w:jc w:val="center"/>
              <w:rPr>
                <w:color w:val="auto"/>
                <w:kern w:val="0"/>
                <w:sz w:val="21"/>
                <w:szCs w:val="21"/>
              </w:rPr>
            </w:pPr>
            <w:r>
              <w:rPr>
                <w:rFonts w:hint="eastAsia"/>
                <w:color w:val="auto"/>
                <w:sz w:val="21"/>
                <w:szCs w:val="21"/>
              </w:rPr>
              <w:t>0.30</w:t>
            </w:r>
          </w:p>
        </w:tc>
        <w:tc>
          <w:tcPr>
            <w:tcW w:w="384" w:type="pct"/>
            <w:shd w:val="clear" w:color="auto" w:fill="auto"/>
          </w:tcPr>
          <w:p w14:paraId="0FE10DFE">
            <w:pPr>
              <w:widowControl/>
              <w:spacing w:line="240" w:lineRule="auto"/>
              <w:ind w:firstLine="0" w:firstLineChars="0"/>
              <w:jc w:val="center"/>
              <w:rPr>
                <w:color w:val="auto"/>
                <w:kern w:val="0"/>
                <w:sz w:val="21"/>
                <w:szCs w:val="21"/>
              </w:rPr>
            </w:pPr>
            <w:r>
              <w:rPr>
                <w:rFonts w:hint="eastAsia"/>
                <w:color w:val="auto"/>
                <w:sz w:val="21"/>
                <w:szCs w:val="21"/>
              </w:rPr>
              <w:t>1.52E-04</w:t>
            </w:r>
          </w:p>
        </w:tc>
        <w:tc>
          <w:tcPr>
            <w:tcW w:w="212" w:type="pct"/>
            <w:shd w:val="clear" w:color="auto" w:fill="auto"/>
          </w:tcPr>
          <w:p w14:paraId="47E2916E">
            <w:pPr>
              <w:widowControl/>
              <w:spacing w:line="240" w:lineRule="auto"/>
              <w:ind w:firstLine="0" w:firstLineChars="0"/>
              <w:jc w:val="center"/>
              <w:rPr>
                <w:color w:val="auto"/>
                <w:kern w:val="0"/>
                <w:sz w:val="21"/>
                <w:szCs w:val="21"/>
              </w:rPr>
            </w:pPr>
            <w:r>
              <w:rPr>
                <w:rFonts w:hint="eastAsia"/>
                <w:color w:val="auto"/>
                <w:sz w:val="21"/>
                <w:szCs w:val="21"/>
              </w:rPr>
              <w:t>0.02</w:t>
            </w:r>
          </w:p>
        </w:tc>
      </w:tr>
      <w:tr w14:paraId="6A547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3EC6973">
            <w:pPr>
              <w:widowControl/>
              <w:spacing w:line="240" w:lineRule="auto"/>
              <w:ind w:firstLine="0" w:firstLineChars="0"/>
              <w:jc w:val="center"/>
              <w:rPr>
                <w:color w:val="auto"/>
                <w:kern w:val="0"/>
                <w:sz w:val="21"/>
                <w:szCs w:val="21"/>
              </w:rPr>
            </w:pPr>
            <w:r>
              <w:rPr>
                <w:color w:val="auto"/>
                <w:sz w:val="21"/>
                <w:szCs w:val="21"/>
              </w:rPr>
              <w:t>375</w:t>
            </w:r>
          </w:p>
        </w:tc>
        <w:tc>
          <w:tcPr>
            <w:tcW w:w="420" w:type="pct"/>
            <w:shd w:val="clear" w:color="auto" w:fill="auto"/>
            <w:noWrap/>
          </w:tcPr>
          <w:p w14:paraId="0F962351">
            <w:pPr>
              <w:widowControl/>
              <w:spacing w:line="240" w:lineRule="auto"/>
              <w:ind w:firstLine="0" w:firstLineChars="0"/>
              <w:jc w:val="center"/>
              <w:rPr>
                <w:color w:val="auto"/>
                <w:kern w:val="0"/>
                <w:sz w:val="21"/>
                <w:szCs w:val="21"/>
              </w:rPr>
            </w:pPr>
            <w:r>
              <w:rPr>
                <w:rFonts w:hint="eastAsia"/>
                <w:color w:val="auto"/>
                <w:sz w:val="21"/>
                <w:szCs w:val="21"/>
              </w:rPr>
              <w:t>1.26E-04</w:t>
            </w:r>
          </w:p>
        </w:tc>
        <w:tc>
          <w:tcPr>
            <w:tcW w:w="292" w:type="pct"/>
            <w:shd w:val="clear" w:color="auto" w:fill="auto"/>
            <w:noWrap/>
          </w:tcPr>
          <w:p w14:paraId="0DD5994B">
            <w:pPr>
              <w:widowControl/>
              <w:spacing w:line="240" w:lineRule="auto"/>
              <w:ind w:firstLine="0" w:firstLineChars="0"/>
              <w:jc w:val="center"/>
              <w:rPr>
                <w:color w:val="auto"/>
                <w:kern w:val="0"/>
                <w:sz w:val="21"/>
                <w:szCs w:val="21"/>
              </w:rPr>
            </w:pPr>
            <w:r>
              <w:rPr>
                <w:rFonts w:hint="eastAsia"/>
                <w:color w:val="auto"/>
                <w:sz w:val="21"/>
                <w:szCs w:val="21"/>
              </w:rPr>
              <w:t>0.03</w:t>
            </w:r>
          </w:p>
        </w:tc>
        <w:tc>
          <w:tcPr>
            <w:tcW w:w="490" w:type="pct"/>
            <w:shd w:val="clear" w:color="auto" w:fill="auto"/>
          </w:tcPr>
          <w:p w14:paraId="566694EE">
            <w:pPr>
              <w:widowControl/>
              <w:spacing w:line="240" w:lineRule="auto"/>
              <w:ind w:firstLine="0" w:firstLineChars="0"/>
              <w:jc w:val="center"/>
              <w:rPr>
                <w:color w:val="auto"/>
                <w:kern w:val="0"/>
                <w:sz w:val="21"/>
                <w:szCs w:val="21"/>
              </w:rPr>
            </w:pPr>
            <w:r>
              <w:rPr>
                <w:rFonts w:hint="eastAsia"/>
                <w:color w:val="auto"/>
                <w:sz w:val="21"/>
                <w:szCs w:val="21"/>
              </w:rPr>
              <w:t>8.89E-05</w:t>
            </w:r>
          </w:p>
        </w:tc>
        <w:tc>
          <w:tcPr>
            <w:tcW w:w="376" w:type="pct"/>
            <w:shd w:val="clear" w:color="auto" w:fill="auto"/>
          </w:tcPr>
          <w:p w14:paraId="386C61A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30EA17EF">
            <w:pPr>
              <w:widowControl/>
              <w:spacing w:line="240" w:lineRule="auto"/>
              <w:ind w:firstLine="0" w:firstLineChars="0"/>
              <w:jc w:val="center"/>
              <w:rPr>
                <w:color w:val="auto"/>
                <w:kern w:val="0"/>
                <w:sz w:val="21"/>
                <w:szCs w:val="21"/>
              </w:rPr>
            </w:pPr>
            <w:r>
              <w:rPr>
                <w:rFonts w:hint="eastAsia"/>
                <w:color w:val="auto"/>
                <w:sz w:val="21"/>
                <w:szCs w:val="21"/>
              </w:rPr>
              <w:t>8.14E-04</w:t>
            </w:r>
          </w:p>
        </w:tc>
        <w:tc>
          <w:tcPr>
            <w:tcW w:w="239" w:type="pct"/>
            <w:shd w:val="clear" w:color="auto" w:fill="auto"/>
          </w:tcPr>
          <w:p w14:paraId="1FA4F961">
            <w:pPr>
              <w:widowControl/>
              <w:spacing w:line="240" w:lineRule="auto"/>
              <w:ind w:firstLine="0" w:firstLineChars="0"/>
              <w:jc w:val="center"/>
              <w:rPr>
                <w:color w:val="auto"/>
                <w:kern w:val="0"/>
                <w:sz w:val="21"/>
                <w:szCs w:val="21"/>
              </w:rPr>
            </w:pPr>
            <w:r>
              <w:rPr>
                <w:rFonts w:hint="eastAsia"/>
                <w:color w:val="auto"/>
                <w:sz w:val="21"/>
                <w:szCs w:val="21"/>
              </w:rPr>
              <w:t>0.41</w:t>
            </w:r>
          </w:p>
        </w:tc>
        <w:tc>
          <w:tcPr>
            <w:tcW w:w="451" w:type="pct"/>
            <w:shd w:val="clear" w:color="auto" w:fill="auto"/>
          </w:tcPr>
          <w:p w14:paraId="16FFB1A4">
            <w:pPr>
              <w:widowControl/>
              <w:spacing w:line="240" w:lineRule="auto"/>
              <w:ind w:firstLine="0" w:firstLineChars="0"/>
              <w:jc w:val="center"/>
              <w:rPr>
                <w:color w:val="auto"/>
                <w:kern w:val="0"/>
                <w:sz w:val="21"/>
                <w:szCs w:val="21"/>
              </w:rPr>
            </w:pPr>
            <w:r>
              <w:rPr>
                <w:rFonts w:hint="eastAsia"/>
                <w:color w:val="auto"/>
                <w:sz w:val="21"/>
                <w:szCs w:val="21"/>
              </w:rPr>
              <w:t>8.42E-05</w:t>
            </w:r>
          </w:p>
        </w:tc>
        <w:tc>
          <w:tcPr>
            <w:tcW w:w="206" w:type="pct"/>
            <w:shd w:val="clear" w:color="auto" w:fill="auto"/>
          </w:tcPr>
          <w:p w14:paraId="6A4EAB48">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670DC6AA">
            <w:pPr>
              <w:widowControl/>
              <w:spacing w:line="240" w:lineRule="auto"/>
              <w:ind w:firstLine="0" w:firstLineChars="0"/>
              <w:jc w:val="center"/>
              <w:rPr>
                <w:color w:val="auto"/>
                <w:sz w:val="21"/>
                <w:szCs w:val="21"/>
              </w:rPr>
            </w:pPr>
            <w:r>
              <w:rPr>
                <w:rFonts w:hint="eastAsia"/>
                <w:color w:val="auto"/>
                <w:sz w:val="21"/>
                <w:szCs w:val="21"/>
              </w:rPr>
              <w:t>6.08E-05</w:t>
            </w:r>
          </w:p>
        </w:tc>
        <w:tc>
          <w:tcPr>
            <w:tcW w:w="170" w:type="pct"/>
          </w:tcPr>
          <w:p w14:paraId="168B5BF9">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B542EBA">
            <w:pPr>
              <w:widowControl/>
              <w:spacing w:line="240" w:lineRule="auto"/>
              <w:ind w:firstLine="0" w:firstLineChars="0"/>
              <w:jc w:val="center"/>
              <w:rPr>
                <w:color w:val="auto"/>
                <w:kern w:val="0"/>
                <w:sz w:val="21"/>
                <w:szCs w:val="21"/>
              </w:rPr>
            </w:pPr>
            <w:r>
              <w:rPr>
                <w:rFonts w:hint="eastAsia"/>
                <w:color w:val="auto"/>
                <w:sz w:val="21"/>
                <w:szCs w:val="21"/>
              </w:rPr>
              <w:t>5.57E-04</w:t>
            </w:r>
          </w:p>
        </w:tc>
        <w:tc>
          <w:tcPr>
            <w:tcW w:w="172" w:type="pct"/>
            <w:shd w:val="clear" w:color="auto" w:fill="auto"/>
          </w:tcPr>
          <w:p w14:paraId="67919C84">
            <w:pPr>
              <w:widowControl/>
              <w:spacing w:line="240" w:lineRule="auto"/>
              <w:ind w:firstLine="0" w:firstLineChars="0"/>
              <w:jc w:val="center"/>
              <w:rPr>
                <w:color w:val="auto"/>
                <w:kern w:val="0"/>
                <w:sz w:val="21"/>
                <w:szCs w:val="21"/>
              </w:rPr>
            </w:pPr>
            <w:r>
              <w:rPr>
                <w:rFonts w:hint="eastAsia"/>
                <w:color w:val="auto"/>
                <w:sz w:val="21"/>
                <w:szCs w:val="21"/>
              </w:rPr>
              <w:t>0.28</w:t>
            </w:r>
          </w:p>
        </w:tc>
        <w:tc>
          <w:tcPr>
            <w:tcW w:w="384" w:type="pct"/>
            <w:shd w:val="clear" w:color="auto" w:fill="auto"/>
          </w:tcPr>
          <w:p w14:paraId="582E5309">
            <w:pPr>
              <w:widowControl/>
              <w:spacing w:line="240" w:lineRule="auto"/>
              <w:ind w:firstLine="0" w:firstLineChars="0"/>
              <w:jc w:val="center"/>
              <w:rPr>
                <w:color w:val="auto"/>
                <w:kern w:val="0"/>
                <w:sz w:val="21"/>
                <w:szCs w:val="21"/>
              </w:rPr>
            </w:pPr>
            <w:r>
              <w:rPr>
                <w:rFonts w:hint="eastAsia"/>
                <w:color w:val="auto"/>
                <w:sz w:val="21"/>
                <w:szCs w:val="21"/>
              </w:rPr>
              <w:t>1.42E-04</w:t>
            </w:r>
          </w:p>
        </w:tc>
        <w:tc>
          <w:tcPr>
            <w:tcW w:w="212" w:type="pct"/>
            <w:shd w:val="clear" w:color="auto" w:fill="auto"/>
          </w:tcPr>
          <w:p w14:paraId="04346D5E">
            <w:pPr>
              <w:widowControl/>
              <w:spacing w:line="240" w:lineRule="auto"/>
              <w:ind w:firstLine="0" w:firstLineChars="0"/>
              <w:jc w:val="center"/>
              <w:rPr>
                <w:color w:val="auto"/>
                <w:kern w:val="0"/>
                <w:sz w:val="21"/>
                <w:szCs w:val="21"/>
              </w:rPr>
            </w:pPr>
            <w:r>
              <w:rPr>
                <w:rFonts w:hint="eastAsia"/>
                <w:color w:val="auto"/>
                <w:sz w:val="21"/>
                <w:szCs w:val="21"/>
              </w:rPr>
              <w:t>0.02</w:t>
            </w:r>
          </w:p>
        </w:tc>
      </w:tr>
      <w:tr w14:paraId="4E569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50A46C2">
            <w:pPr>
              <w:widowControl/>
              <w:spacing w:line="240" w:lineRule="auto"/>
              <w:ind w:firstLine="0" w:firstLineChars="0"/>
              <w:jc w:val="center"/>
              <w:rPr>
                <w:color w:val="auto"/>
                <w:kern w:val="0"/>
                <w:sz w:val="21"/>
                <w:szCs w:val="21"/>
              </w:rPr>
            </w:pPr>
            <w:r>
              <w:rPr>
                <w:color w:val="auto"/>
                <w:sz w:val="21"/>
                <w:szCs w:val="21"/>
              </w:rPr>
              <w:t>400</w:t>
            </w:r>
          </w:p>
        </w:tc>
        <w:tc>
          <w:tcPr>
            <w:tcW w:w="420" w:type="pct"/>
            <w:shd w:val="clear" w:color="auto" w:fill="auto"/>
            <w:noWrap/>
          </w:tcPr>
          <w:p w14:paraId="36496242">
            <w:pPr>
              <w:widowControl/>
              <w:spacing w:line="240" w:lineRule="auto"/>
              <w:ind w:firstLine="0" w:firstLineChars="0"/>
              <w:jc w:val="center"/>
              <w:rPr>
                <w:color w:val="auto"/>
                <w:kern w:val="0"/>
                <w:sz w:val="21"/>
                <w:szCs w:val="21"/>
              </w:rPr>
            </w:pPr>
            <w:r>
              <w:rPr>
                <w:rFonts w:hint="eastAsia"/>
                <w:color w:val="auto"/>
                <w:sz w:val="21"/>
                <w:szCs w:val="21"/>
              </w:rPr>
              <w:t>1.18E-04</w:t>
            </w:r>
          </w:p>
        </w:tc>
        <w:tc>
          <w:tcPr>
            <w:tcW w:w="292" w:type="pct"/>
            <w:shd w:val="clear" w:color="auto" w:fill="auto"/>
            <w:noWrap/>
          </w:tcPr>
          <w:p w14:paraId="384B5964">
            <w:pPr>
              <w:widowControl/>
              <w:spacing w:line="240" w:lineRule="auto"/>
              <w:ind w:firstLine="0" w:firstLineChars="0"/>
              <w:jc w:val="center"/>
              <w:rPr>
                <w:color w:val="auto"/>
                <w:kern w:val="0"/>
                <w:sz w:val="21"/>
                <w:szCs w:val="21"/>
              </w:rPr>
            </w:pPr>
            <w:r>
              <w:rPr>
                <w:rFonts w:hint="eastAsia"/>
                <w:color w:val="auto"/>
                <w:sz w:val="21"/>
                <w:szCs w:val="21"/>
              </w:rPr>
              <w:t>0.03</w:t>
            </w:r>
          </w:p>
        </w:tc>
        <w:tc>
          <w:tcPr>
            <w:tcW w:w="490" w:type="pct"/>
            <w:shd w:val="clear" w:color="auto" w:fill="auto"/>
          </w:tcPr>
          <w:p w14:paraId="3DB11BE2">
            <w:pPr>
              <w:widowControl/>
              <w:spacing w:line="240" w:lineRule="auto"/>
              <w:ind w:firstLine="0" w:firstLineChars="0"/>
              <w:jc w:val="center"/>
              <w:rPr>
                <w:color w:val="auto"/>
                <w:kern w:val="0"/>
                <w:sz w:val="21"/>
                <w:szCs w:val="21"/>
              </w:rPr>
            </w:pPr>
            <w:r>
              <w:rPr>
                <w:rFonts w:hint="eastAsia"/>
                <w:color w:val="auto"/>
                <w:sz w:val="21"/>
                <w:szCs w:val="21"/>
              </w:rPr>
              <w:t>8.32E-05</w:t>
            </w:r>
          </w:p>
        </w:tc>
        <w:tc>
          <w:tcPr>
            <w:tcW w:w="376" w:type="pct"/>
            <w:shd w:val="clear" w:color="auto" w:fill="auto"/>
          </w:tcPr>
          <w:p w14:paraId="4E877CAD">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3EC6CEF1">
            <w:pPr>
              <w:widowControl/>
              <w:spacing w:line="240" w:lineRule="auto"/>
              <w:ind w:firstLine="0" w:firstLineChars="0"/>
              <w:jc w:val="center"/>
              <w:rPr>
                <w:color w:val="auto"/>
                <w:kern w:val="0"/>
                <w:sz w:val="21"/>
                <w:szCs w:val="21"/>
              </w:rPr>
            </w:pPr>
            <w:r>
              <w:rPr>
                <w:rFonts w:hint="eastAsia"/>
                <w:color w:val="auto"/>
                <w:sz w:val="21"/>
                <w:szCs w:val="21"/>
              </w:rPr>
              <w:t>7.62E-04</w:t>
            </w:r>
          </w:p>
        </w:tc>
        <w:tc>
          <w:tcPr>
            <w:tcW w:w="239" w:type="pct"/>
            <w:shd w:val="clear" w:color="auto" w:fill="auto"/>
          </w:tcPr>
          <w:p w14:paraId="6BFDC213">
            <w:pPr>
              <w:widowControl/>
              <w:spacing w:line="240" w:lineRule="auto"/>
              <w:ind w:firstLine="0" w:firstLineChars="0"/>
              <w:jc w:val="center"/>
              <w:rPr>
                <w:color w:val="auto"/>
                <w:kern w:val="0"/>
                <w:sz w:val="21"/>
                <w:szCs w:val="21"/>
              </w:rPr>
            </w:pPr>
            <w:r>
              <w:rPr>
                <w:rFonts w:hint="eastAsia"/>
                <w:color w:val="auto"/>
                <w:sz w:val="21"/>
                <w:szCs w:val="21"/>
              </w:rPr>
              <w:t>0.38</w:t>
            </w:r>
          </w:p>
        </w:tc>
        <w:tc>
          <w:tcPr>
            <w:tcW w:w="451" w:type="pct"/>
            <w:shd w:val="clear" w:color="auto" w:fill="auto"/>
          </w:tcPr>
          <w:p w14:paraId="010B3A88">
            <w:pPr>
              <w:widowControl/>
              <w:spacing w:line="240" w:lineRule="auto"/>
              <w:ind w:firstLine="0" w:firstLineChars="0"/>
              <w:jc w:val="center"/>
              <w:rPr>
                <w:color w:val="auto"/>
                <w:kern w:val="0"/>
                <w:sz w:val="21"/>
                <w:szCs w:val="21"/>
              </w:rPr>
            </w:pPr>
            <w:r>
              <w:rPr>
                <w:rFonts w:hint="eastAsia"/>
                <w:color w:val="auto"/>
                <w:sz w:val="21"/>
                <w:szCs w:val="21"/>
              </w:rPr>
              <w:t>7.89E-05</w:t>
            </w:r>
          </w:p>
        </w:tc>
        <w:tc>
          <w:tcPr>
            <w:tcW w:w="206" w:type="pct"/>
            <w:shd w:val="clear" w:color="auto" w:fill="auto"/>
          </w:tcPr>
          <w:p w14:paraId="26D12EFA">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4203EFCF">
            <w:pPr>
              <w:widowControl/>
              <w:spacing w:line="240" w:lineRule="auto"/>
              <w:ind w:firstLine="0" w:firstLineChars="0"/>
              <w:jc w:val="center"/>
              <w:rPr>
                <w:color w:val="auto"/>
                <w:sz w:val="21"/>
                <w:szCs w:val="21"/>
              </w:rPr>
            </w:pPr>
            <w:r>
              <w:rPr>
                <w:rFonts w:hint="eastAsia"/>
                <w:color w:val="auto"/>
                <w:sz w:val="21"/>
                <w:szCs w:val="21"/>
              </w:rPr>
              <w:t>5.70E-05</w:t>
            </w:r>
          </w:p>
        </w:tc>
        <w:tc>
          <w:tcPr>
            <w:tcW w:w="170" w:type="pct"/>
          </w:tcPr>
          <w:p w14:paraId="2C13A60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8D4A01A">
            <w:pPr>
              <w:widowControl/>
              <w:spacing w:line="240" w:lineRule="auto"/>
              <w:ind w:firstLine="0" w:firstLineChars="0"/>
              <w:jc w:val="center"/>
              <w:rPr>
                <w:color w:val="auto"/>
                <w:kern w:val="0"/>
                <w:sz w:val="21"/>
                <w:szCs w:val="21"/>
              </w:rPr>
            </w:pPr>
            <w:r>
              <w:rPr>
                <w:rFonts w:hint="eastAsia"/>
                <w:color w:val="auto"/>
                <w:sz w:val="21"/>
                <w:szCs w:val="21"/>
              </w:rPr>
              <w:t>5.21E-04</w:t>
            </w:r>
          </w:p>
        </w:tc>
        <w:tc>
          <w:tcPr>
            <w:tcW w:w="172" w:type="pct"/>
            <w:shd w:val="clear" w:color="auto" w:fill="auto"/>
          </w:tcPr>
          <w:p w14:paraId="600EC535">
            <w:pPr>
              <w:widowControl/>
              <w:spacing w:line="240" w:lineRule="auto"/>
              <w:ind w:firstLine="0" w:firstLineChars="0"/>
              <w:jc w:val="center"/>
              <w:rPr>
                <w:color w:val="auto"/>
                <w:kern w:val="0"/>
                <w:sz w:val="21"/>
                <w:szCs w:val="21"/>
              </w:rPr>
            </w:pPr>
            <w:r>
              <w:rPr>
                <w:rFonts w:hint="eastAsia"/>
                <w:color w:val="auto"/>
                <w:sz w:val="21"/>
                <w:szCs w:val="21"/>
              </w:rPr>
              <w:t>0.26</w:t>
            </w:r>
          </w:p>
        </w:tc>
        <w:tc>
          <w:tcPr>
            <w:tcW w:w="384" w:type="pct"/>
            <w:shd w:val="clear" w:color="auto" w:fill="auto"/>
          </w:tcPr>
          <w:p w14:paraId="31B07233">
            <w:pPr>
              <w:widowControl/>
              <w:spacing w:line="240" w:lineRule="auto"/>
              <w:ind w:firstLine="0" w:firstLineChars="0"/>
              <w:jc w:val="center"/>
              <w:rPr>
                <w:color w:val="auto"/>
                <w:kern w:val="0"/>
                <w:sz w:val="21"/>
                <w:szCs w:val="21"/>
              </w:rPr>
            </w:pPr>
            <w:r>
              <w:rPr>
                <w:rFonts w:hint="eastAsia"/>
                <w:color w:val="auto"/>
                <w:sz w:val="21"/>
                <w:szCs w:val="21"/>
              </w:rPr>
              <w:t>1.33E-04</w:t>
            </w:r>
          </w:p>
        </w:tc>
        <w:tc>
          <w:tcPr>
            <w:tcW w:w="212" w:type="pct"/>
            <w:shd w:val="clear" w:color="auto" w:fill="auto"/>
          </w:tcPr>
          <w:p w14:paraId="5919D03D">
            <w:pPr>
              <w:widowControl/>
              <w:spacing w:line="240" w:lineRule="auto"/>
              <w:ind w:firstLine="0" w:firstLineChars="0"/>
              <w:jc w:val="center"/>
              <w:rPr>
                <w:color w:val="auto"/>
                <w:kern w:val="0"/>
                <w:sz w:val="21"/>
                <w:szCs w:val="21"/>
              </w:rPr>
            </w:pPr>
            <w:r>
              <w:rPr>
                <w:rFonts w:hint="eastAsia"/>
                <w:color w:val="auto"/>
                <w:sz w:val="21"/>
                <w:szCs w:val="21"/>
              </w:rPr>
              <w:t>0.01</w:t>
            </w:r>
          </w:p>
        </w:tc>
      </w:tr>
      <w:tr w14:paraId="6CB97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B4A33E2">
            <w:pPr>
              <w:widowControl/>
              <w:spacing w:line="240" w:lineRule="auto"/>
              <w:ind w:firstLine="0" w:firstLineChars="0"/>
              <w:jc w:val="center"/>
              <w:rPr>
                <w:color w:val="auto"/>
                <w:kern w:val="0"/>
                <w:sz w:val="21"/>
                <w:szCs w:val="21"/>
              </w:rPr>
            </w:pPr>
            <w:r>
              <w:rPr>
                <w:color w:val="auto"/>
                <w:sz w:val="21"/>
                <w:szCs w:val="21"/>
              </w:rPr>
              <w:t>425</w:t>
            </w:r>
          </w:p>
        </w:tc>
        <w:tc>
          <w:tcPr>
            <w:tcW w:w="420" w:type="pct"/>
            <w:shd w:val="clear" w:color="auto" w:fill="auto"/>
            <w:noWrap/>
          </w:tcPr>
          <w:p w14:paraId="18B55426">
            <w:pPr>
              <w:widowControl/>
              <w:spacing w:line="240" w:lineRule="auto"/>
              <w:ind w:firstLine="0" w:firstLineChars="0"/>
              <w:jc w:val="center"/>
              <w:rPr>
                <w:color w:val="auto"/>
                <w:kern w:val="0"/>
                <w:sz w:val="21"/>
                <w:szCs w:val="21"/>
              </w:rPr>
            </w:pPr>
            <w:r>
              <w:rPr>
                <w:rFonts w:hint="eastAsia"/>
                <w:color w:val="auto"/>
                <w:sz w:val="21"/>
                <w:szCs w:val="21"/>
              </w:rPr>
              <w:t>1.12E-04</w:t>
            </w:r>
          </w:p>
        </w:tc>
        <w:tc>
          <w:tcPr>
            <w:tcW w:w="292" w:type="pct"/>
            <w:shd w:val="clear" w:color="auto" w:fill="auto"/>
            <w:noWrap/>
          </w:tcPr>
          <w:p w14:paraId="7F69F0C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E46B3E6">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376" w:type="pct"/>
            <w:shd w:val="clear" w:color="auto" w:fill="auto"/>
          </w:tcPr>
          <w:p w14:paraId="19703BA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89" w:type="pct"/>
            <w:shd w:val="clear" w:color="auto" w:fill="auto"/>
          </w:tcPr>
          <w:p w14:paraId="01AC1E07">
            <w:pPr>
              <w:widowControl/>
              <w:spacing w:line="240" w:lineRule="auto"/>
              <w:ind w:firstLine="0" w:firstLineChars="0"/>
              <w:jc w:val="center"/>
              <w:rPr>
                <w:color w:val="auto"/>
                <w:kern w:val="0"/>
                <w:sz w:val="21"/>
                <w:szCs w:val="21"/>
              </w:rPr>
            </w:pPr>
            <w:r>
              <w:rPr>
                <w:rFonts w:hint="eastAsia"/>
                <w:color w:val="auto"/>
                <w:sz w:val="21"/>
                <w:szCs w:val="21"/>
              </w:rPr>
              <w:t>7.19E-04</w:t>
            </w:r>
          </w:p>
        </w:tc>
        <w:tc>
          <w:tcPr>
            <w:tcW w:w="239" w:type="pct"/>
            <w:shd w:val="clear" w:color="auto" w:fill="auto"/>
          </w:tcPr>
          <w:p w14:paraId="4308AF29">
            <w:pPr>
              <w:widowControl/>
              <w:spacing w:line="240" w:lineRule="auto"/>
              <w:ind w:firstLine="0" w:firstLineChars="0"/>
              <w:jc w:val="center"/>
              <w:rPr>
                <w:color w:val="auto"/>
                <w:kern w:val="0"/>
                <w:sz w:val="21"/>
                <w:szCs w:val="21"/>
              </w:rPr>
            </w:pPr>
            <w:r>
              <w:rPr>
                <w:rFonts w:hint="eastAsia"/>
                <w:color w:val="auto"/>
                <w:sz w:val="21"/>
                <w:szCs w:val="21"/>
              </w:rPr>
              <w:t>0.36</w:t>
            </w:r>
          </w:p>
        </w:tc>
        <w:tc>
          <w:tcPr>
            <w:tcW w:w="451" w:type="pct"/>
            <w:shd w:val="clear" w:color="auto" w:fill="auto"/>
          </w:tcPr>
          <w:p w14:paraId="3F348FB7">
            <w:pPr>
              <w:widowControl/>
              <w:spacing w:line="240" w:lineRule="auto"/>
              <w:ind w:firstLine="0" w:firstLineChars="0"/>
              <w:jc w:val="center"/>
              <w:rPr>
                <w:color w:val="auto"/>
                <w:kern w:val="0"/>
                <w:sz w:val="21"/>
                <w:szCs w:val="21"/>
              </w:rPr>
            </w:pPr>
            <w:r>
              <w:rPr>
                <w:rFonts w:hint="eastAsia"/>
                <w:color w:val="auto"/>
                <w:sz w:val="21"/>
                <w:szCs w:val="21"/>
              </w:rPr>
              <w:t>7.44E-05</w:t>
            </w:r>
          </w:p>
        </w:tc>
        <w:tc>
          <w:tcPr>
            <w:tcW w:w="206" w:type="pct"/>
            <w:shd w:val="clear" w:color="auto" w:fill="auto"/>
          </w:tcPr>
          <w:p w14:paraId="5E7A2576">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0EFC12BC">
            <w:pPr>
              <w:widowControl/>
              <w:spacing w:line="240" w:lineRule="auto"/>
              <w:ind w:firstLine="0" w:firstLineChars="0"/>
              <w:jc w:val="center"/>
              <w:rPr>
                <w:color w:val="auto"/>
                <w:sz w:val="21"/>
                <w:szCs w:val="21"/>
              </w:rPr>
            </w:pPr>
            <w:r>
              <w:rPr>
                <w:rFonts w:hint="eastAsia"/>
                <w:color w:val="auto"/>
                <w:sz w:val="21"/>
                <w:szCs w:val="21"/>
              </w:rPr>
              <w:t>5.37E-05</w:t>
            </w:r>
          </w:p>
        </w:tc>
        <w:tc>
          <w:tcPr>
            <w:tcW w:w="170" w:type="pct"/>
          </w:tcPr>
          <w:p w14:paraId="77677B3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7EF6478">
            <w:pPr>
              <w:widowControl/>
              <w:spacing w:line="240" w:lineRule="auto"/>
              <w:ind w:firstLine="0" w:firstLineChars="0"/>
              <w:jc w:val="center"/>
              <w:rPr>
                <w:color w:val="auto"/>
                <w:kern w:val="0"/>
                <w:sz w:val="21"/>
                <w:szCs w:val="21"/>
              </w:rPr>
            </w:pPr>
            <w:r>
              <w:rPr>
                <w:rFonts w:hint="eastAsia"/>
                <w:color w:val="auto"/>
                <w:sz w:val="21"/>
                <w:szCs w:val="21"/>
              </w:rPr>
              <w:t>4.92E-04</w:t>
            </w:r>
          </w:p>
        </w:tc>
        <w:tc>
          <w:tcPr>
            <w:tcW w:w="172" w:type="pct"/>
            <w:shd w:val="clear" w:color="auto" w:fill="auto"/>
          </w:tcPr>
          <w:p w14:paraId="15EE27F0">
            <w:pPr>
              <w:widowControl/>
              <w:spacing w:line="240" w:lineRule="auto"/>
              <w:ind w:firstLine="0" w:firstLineChars="0"/>
              <w:jc w:val="center"/>
              <w:rPr>
                <w:color w:val="auto"/>
                <w:kern w:val="0"/>
                <w:sz w:val="21"/>
                <w:szCs w:val="21"/>
              </w:rPr>
            </w:pPr>
            <w:r>
              <w:rPr>
                <w:rFonts w:hint="eastAsia"/>
                <w:color w:val="auto"/>
                <w:sz w:val="21"/>
                <w:szCs w:val="21"/>
              </w:rPr>
              <w:t>0.25</w:t>
            </w:r>
          </w:p>
        </w:tc>
        <w:tc>
          <w:tcPr>
            <w:tcW w:w="384" w:type="pct"/>
            <w:shd w:val="clear" w:color="auto" w:fill="auto"/>
          </w:tcPr>
          <w:p w14:paraId="6C7EDB95">
            <w:pPr>
              <w:widowControl/>
              <w:spacing w:line="240" w:lineRule="auto"/>
              <w:ind w:firstLine="0" w:firstLineChars="0"/>
              <w:jc w:val="center"/>
              <w:rPr>
                <w:color w:val="auto"/>
                <w:kern w:val="0"/>
                <w:sz w:val="21"/>
                <w:szCs w:val="21"/>
              </w:rPr>
            </w:pPr>
            <w:r>
              <w:rPr>
                <w:rFonts w:hint="eastAsia"/>
                <w:color w:val="auto"/>
                <w:sz w:val="21"/>
                <w:szCs w:val="21"/>
              </w:rPr>
              <w:t>1.25E-04</w:t>
            </w:r>
          </w:p>
        </w:tc>
        <w:tc>
          <w:tcPr>
            <w:tcW w:w="212" w:type="pct"/>
            <w:shd w:val="clear" w:color="auto" w:fill="auto"/>
          </w:tcPr>
          <w:p w14:paraId="59BAC236">
            <w:pPr>
              <w:widowControl/>
              <w:spacing w:line="240" w:lineRule="auto"/>
              <w:ind w:firstLine="0" w:firstLineChars="0"/>
              <w:jc w:val="center"/>
              <w:rPr>
                <w:color w:val="auto"/>
                <w:kern w:val="0"/>
                <w:sz w:val="21"/>
                <w:szCs w:val="21"/>
              </w:rPr>
            </w:pPr>
            <w:r>
              <w:rPr>
                <w:rFonts w:hint="eastAsia"/>
                <w:color w:val="auto"/>
                <w:sz w:val="21"/>
                <w:szCs w:val="21"/>
              </w:rPr>
              <w:t>0.01</w:t>
            </w:r>
          </w:p>
        </w:tc>
      </w:tr>
      <w:tr w14:paraId="0FF98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341D7D0">
            <w:pPr>
              <w:widowControl/>
              <w:spacing w:line="240" w:lineRule="auto"/>
              <w:ind w:firstLine="0" w:firstLineChars="0"/>
              <w:jc w:val="center"/>
              <w:rPr>
                <w:color w:val="auto"/>
                <w:kern w:val="0"/>
                <w:sz w:val="21"/>
                <w:szCs w:val="21"/>
              </w:rPr>
            </w:pPr>
            <w:r>
              <w:rPr>
                <w:color w:val="auto"/>
                <w:sz w:val="21"/>
                <w:szCs w:val="21"/>
              </w:rPr>
              <w:t>450</w:t>
            </w:r>
          </w:p>
        </w:tc>
        <w:tc>
          <w:tcPr>
            <w:tcW w:w="420" w:type="pct"/>
            <w:shd w:val="clear" w:color="auto" w:fill="auto"/>
            <w:noWrap/>
          </w:tcPr>
          <w:p w14:paraId="30010488">
            <w:pPr>
              <w:widowControl/>
              <w:spacing w:line="240" w:lineRule="auto"/>
              <w:ind w:firstLine="0" w:firstLineChars="0"/>
              <w:jc w:val="center"/>
              <w:rPr>
                <w:color w:val="auto"/>
                <w:kern w:val="0"/>
                <w:sz w:val="21"/>
                <w:szCs w:val="21"/>
              </w:rPr>
            </w:pPr>
            <w:r>
              <w:rPr>
                <w:rFonts w:hint="eastAsia"/>
                <w:color w:val="auto"/>
                <w:sz w:val="21"/>
                <w:szCs w:val="21"/>
              </w:rPr>
              <w:t>1.05E-04</w:t>
            </w:r>
          </w:p>
        </w:tc>
        <w:tc>
          <w:tcPr>
            <w:tcW w:w="292" w:type="pct"/>
            <w:shd w:val="clear" w:color="auto" w:fill="auto"/>
            <w:noWrap/>
          </w:tcPr>
          <w:p w14:paraId="3217913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D2A296B">
            <w:pPr>
              <w:widowControl/>
              <w:spacing w:line="240" w:lineRule="auto"/>
              <w:ind w:firstLine="0" w:firstLineChars="0"/>
              <w:jc w:val="center"/>
              <w:rPr>
                <w:color w:val="auto"/>
                <w:kern w:val="0"/>
                <w:sz w:val="21"/>
                <w:szCs w:val="21"/>
              </w:rPr>
            </w:pPr>
            <w:r>
              <w:rPr>
                <w:rFonts w:hint="eastAsia"/>
                <w:color w:val="auto"/>
                <w:sz w:val="21"/>
                <w:szCs w:val="21"/>
              </w:rPr>
              <w:t>7.39E-05</w:t>
            </w:r>
          </w:p>
        </w:tc>
        <w:tc>
          <w:tcPr>
            <w:tcW w:w="376" w:type="pct"/>
            <w:shd w:val="clear" w:color="auto" w:fill="auto"/>
          </w:tcPr>
          <w:p w14:paraId="6583CA2E">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BF03E86">
            <w:pPr>
              <w:widowControl/>
              <w:spacing w:line="240" w:lineRule="auto"/>
              <w:ind w:firstLine="0" w:firstLineChars="0"/>
              <w:jc w:val="center"/>
              <w:rPr>
                <w:color w:val="auto"/>
                <w:kern w:val="0"/>
                <w:sz w:val="21"/>
                <w:szCs w:val="21"/>
              </w:rPr>
            </w:pPr>
            <w:r>
              <w:rPr>
                <w:rFonts w:hint="eastAsia"/>
                <w:color w:val="auto"/>
                <w:sz w:val="21"/>
                <w:szCs w:val="21"/>
              </w:rPr>
              <w:t>6.77E-04</w:t>
            </w:r>
          </w:p>
        </w:tc>
        <w:tc>
          <w:tcPr>
            <w:tcW w:w="239" w:type="pct"/>
            <w:shd w:val="clear" w:color="auto" w:fill="auto"/>
          </w:tcPr>
          <w:p w14:paraId="1A9B5F2B">
            <w:pPr>
              <w:widowControl/>
              <w:spacing w:line="240" w:lineRule="auto"/>
              <w:ind w:firstLine="0" w:firstLineChars="0"/>
              <w:jc w:val="center"/>
              <w:rPr>
                <w:color w:val="auto"/>
                <w:kern w:val="0"/>
                <w:sz w:val="21"/>
                <w:szCs w:val="21"/>
              </w:rPr>
            </w:pPr>
            <w:r>
              <w:rPr>
                <w:rFonts w:hint="eastAsia"/>
                <w:color w:val="auto"/>
                <w:sz w:val="21"/>
                <w:szCs w:val="21"/>
              </w:rPr>
              <w:t>0.34</w:t>
            </w:r>
          </w:p>
        </w:tc>
        <w:tc>
          <w:tcPr>
            <w:tcW w:w="451" w:type="pct"/>
            <w:shd w:val="clear" w:color="auto" w:fill="auto"/>
          </w:tcPr>
          <w:p w14:paraId="559EA8D8">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06" w:type="pct"/>
            <w:shd w:val="clear" w:color="auto" w:fill="auto"/>
          </w:tcPr>
          <w:p w14:paraId="42C05776">
            <w:pPr>
              <w:widowControl/>
              <w:spacing w:line="240" w:lineRule="auto"/>
              <w:ind w:firstLine="0" w:firstLineChars="0"/>
              <w:jc w:val="center"/>
              <w:rPr>
                <w:color w:val="auto"/>
                <w:kern w:val="0"/>
                <w:sz w:val="21"/>
                <w:szCs w:val="21"/>
              </w:rPr>
            </w:pPr>
            <w:r>
              <w:rPr>
                <w:rFonts w:hint="eastAsia"/>
                <w:color w:val="auto"/>
                <w:sz w:val="21"/>
                <w:szCs w:val="21"/>
              </w:rPr>
              <w:t>0.02</w:t>
            </w:r>
          </w:p>
        </w:tc>
        <w:tc>
          <w:tcPr>
            <w:tcW w:w="352" w:type="pct"/>
          </w:tcPr>
          <w:p w14:paraId="67E82068">
            <w:pPr>
              <w:widowControl/>
              <w:spacing w:line="240" w:lineRule="auto"/>
              <w:ind w:firstLine="0" w:firstLineChars="0"/>
              <w:jc w:val="center"/>
              <w:rPr>
                <w:color w:val="auto"/>
                <w:sz w:val="21"/>
                <w:szCs w:val="21"/>
              </w:rPr>
            </w:pPr>
            <w:r>
              <w:rPr>
                <w:rFonts w:hint="eastAsia"/>
                <w:color w:val="auto"/>
                <w:sz w:val="21"/>
                <w:szCs w:val="21"/>
              </w:rPr>
              <w:t>5.06E-05</w:t>
            </w:r>
          </w:p>
        </w:tc>
        <w:tc>
          <w:tcPr>
            <w:tcW w:w="170" w:type="pct"/>
          </w:tcPr>
          <w:p w14:paraId="4F302E1E">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66603CD">
            <w:pPr>
              <w:widowControl/>
              <w:spacing w:line="240" w:lineRule="auto"/>
              <w:ind w:firstLine="0" w:firstLineChars="0"/>
              <w:jc w:val="center"/>
              <w:rPr>
                <w:color w:val="auto"/>
                <w:kern w:val="0"/>
                <w:sz w:val="21"/>
                <w:szCs w:val="21"/>
              </w:rPr>
            </w:pPr>
            <w:r>
              <w:rPr>
                <w:rFonts w:hint="eastAsia"/>
                <w:color w:val="auto"/>
                <w:sz w:val="21"/>
                <w:szCs w:val="21"/>
              </w:rPr>
              <w:t>4.63E-04</w:t>
            </w:r>
          </w:p>
        </w:tc>
        <w:tc>
          <w:tcPr>
            <w:tcW w:w="172" w:type="pct"/>
            <w:shd w:val="clear" w:color="auto" w:fill="auto"/>
          </w:tcPr>
          <w:p w14:paraId="12AC8D37">
            <w:pPr>
              <w:widowControl/>
              <w:spacing w:line="240" w:lineRule="auto"/>
              <w:ind w:firstLine="0" w:firstLineChars="0"/>
              <w:jc w:val="center"/>
              <w:rPr>
                <w:color w:val="auto"/>
                <w:kern w:val="0"/>
                <w:sz w:val="21"/>
                <w:szCs w:val="21"/>
              </w:rPr>
            </w:pPr>
            <w:r>
              <w:rPr>
                <w:rFonts w:hint="eastAsia"/>
                <w:color w:val="auto"/>
                <w:sz w:val="21"/>
                <w:szCs w:val="21"/>
              </w:rPr>
              <w:t>0.23</w:t>
            </w:r>
          </w:p>
        </w:tc>
        <w:tc>
          <w:tcPr>
            <w:tcW w:w="384" w:type="pct"/>
            <w:shd w:val="clear" w:color="auto" w:fill="auto"/>
          </w:tcPr>
          <w:p w14:paraId="00B2443C">
            <w:pPr>
              <w:widowControl/>
              <w:spacing w:line="240" w:lineRule="auto"/>
              <w:ind w:firstLine="0" w:firstLineChars="0"/>
              <w:jc w:val="center"/>
              <w:rPr>
                <w:color w:val="auto"/>
                <w:kern w:val="0"/>
                <w:sz w:val="21"/>
                <w:szCs w:val="21"/>
              </w:rPr>
            </w:pPr>
            <w:r>
              <w:rPr>
                <w:rFonts w:hint="eastAsia"/>
                <w:color w:val="auto"/>
                <w:sz w:val="21"/>
                <w:szCs w:val="21"/>
              </w:rPr>
              <w:t>1.18E-04</w:t>
            </w:r>
          </w:p>
        </w:tc>
        <w:tc>
          <w:tcPr>
            <w:tcW w:w="212" w:type="pct"/>
            <w:shd w:val="clear" w:color="auto" w:fill="auto"/>
          </w:tcPr>
          <w:p w14:paraId="51F06FB0">
            <w:pPr>
              <w:widowControl/>
              <w:spacing w:line="240" w:lineRule="auto"/>
              <w:ind w:firstLine="0" w:firstLineChars="0"/>
              <w:jc w:val="center"/>
              <w:rPr>
                <w:color w:val="auto"/>
                <w:kern w:val="0"/>
                <w:sz w:val="21"/>
                <w:szCs w:val="21"/>
              </w:rPr>
            </w:pPr>
            <w:r>
              <w:rPr>
                <w:rFonts w:hint="eastAsia"/>
                <w:color w:val="auto"/>
                <w:sz w:val="21"/>
                <w:szCs w:val="21"/>
              </w:rPr>
              <w:t>0.01</w:t>
            </w:r>
          </w:p>
        </w:tc>
      </w:tr>
      <w:tr w14:paraId="028F0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3CE4919">
            <w:pPr>
              <w:widowControl/>
              <w:spacing w:line="240" w:lineRule="auto"/>
              <w:ind w:firstLine="0" w:firstLineChars="0"/>
              <w:jc w:val="center"/>
              <w:rPr>
                <w:color w:val="auto"/>
                <w:kern w:val="0"/>
                <w:sz w:val="21"/>
                <w:szCs w:val="21"/>
              </w:rPr>
            </w:pPr>
            <w:r>
              <w:rPr>
                <w:color w:val="auto"/>
                <w:sz w:val="21"/>
                <w:szCs w:val="21"/>
              </w:rPr>
              <w:t>475</w:t>
            </w:r>
          </w:p>
        </w:tc>
        <w:tc>
          <w:tcPr>
            <w:tcW w:w="420" w:type="pct"/>
            <w:shd w:val="clear" w:color="auto" w:fill="auto"/>
            <w:noWrap/>
          </w:tcPr>
          <w:p w14:paraId="4BD73E5D">
            <w:pPr>
              <w:widowControl/>
              <w:spacing w:line="240" w:lineRule="auto"/>
              <w:ind w:firstLine="0" w:firstLineChars="0"/>
              <w:jc w:val="center"/>
              <w:rPr>
                <w:color w:val="auto"/>
                <w:kern w:val="0"/>
                <w:sz w:val="21"/>
                <w:szCs w:val="21"/>
              </w:rPr>
            </w:pPr>
            <w:r>
              <w:rPr>
                <w:rFonts w:hint="eastAsia"/>
                <w:color w:val="auto"/>
                <w:sz w:val="21"/>
                <w:szCs w:val="21"/>
              </w:rPr>
              <w:t>9.88E-05</w:t>
            </w:r>
          </w:p>
        </w:tc>
        <w:tc>
          <w:tcPr>
            <w:tcW w:w="292" w:type="pct"/>
            <w:shd w:val="clear" w:color="auto" w:fill="auto"/>
            <w:noWrap/>
          </w:tcPr>
          <w:p w14:paraId="1B80606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6FF61D4">
            <w:pPr>
              <w:widowControl/>
              <w:spacing w:line="240" w:lineRule="auto"/>
              <w:ind w:firstLine="0" w:firstLineChars="0"/>
              <w:jc w:val="center"/>
              <w:rPr>
                <w:color w:val="auto"/>
                <w:kern w:val="0"/>
                <w:sz w:val="21"/>
                <w:szCs w:val="21"/>
              </w:rPr>
            </w:pPr>
            <w:r>
              <w:rPr>
                <w:rFonts w:hint="eastAsia"/>
                <w:color w:val="auto"/>
                <w:sz w:val="21"/>
                <w:szCs w:val="21"/>
              </w:rPr>
              <w:t>6.95E-05</w:t>
            </w:r>
          </w:p>
        </w:tc>
        <w:tc>
          <w:tcPr>
            <w:tcW w:w="376" w:type="pct"/>
            <w:shd w:val="clear" w:color="auto" w:fill="auto"/>
          </w:tcPr>
          <w:p w14:paraId="2E58D902">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189F726">
            <w:pPr>
              <w:widowControl/>
              <w:spacing w:line="240" w:lineRule="auto"/>
              <w:ind w:firstLine="0" w:firstLineChars="0"/>
              <w:jc w:val="center"/>
              <w:rPr>
                <w:color w:val="auto"/>
                <w:kern w:val="0"/>
                <w:sz w:val="21"/>
                <w:szCs w:val="21"/>
              </w:rPr>
            </w:pPr>
            <w:r>
              <w:rPr>
                <w:rFonts w:hint="eastAsia"/>
                <w:color w:val="auto"/>
                <w:sz w:val="21"/>
                <w:szCs w:val="21"/>
              </w:rPr>
              <w:t>6.37E-04</w:t>
            </w:r>
          </w:p>
        </w:tc>
        <w:tc>
          <w:tcPr>
            <w:tcW w:w="239" w:type="pct"/>
            <w:shd w:val="clear" w:color="auto" w:fill="auto"/>
          </w:tcPr>
          <w:p w14:paraId="44DB22FA">
            <w:pPr>
              <w:widowControl/>
              <w:spacing w:line="240" w:lineRule="auto"/>
              <w:ind w:firstLine="0" w:firstLineChars="0"/>
              <w:jc w:val="center"/>
              <w:rPr>
                <w:color w:val="auto"/>
                <w:kern w:val="0"/>
                <w:sz w:val="21"/>
                <w:szCs w:val="21"/>
              </w:rPr>
            </w:pPr>
            <w:r>
              <w:rPr>
                <w:rFonts w:hint="eastAsia"/>
                <w:color w:val="auto"/>
                <w:sz w:val="21"/>
                <w:szCs w:val="21"/>
              </w:rPr>
              <w:t>0.32</w:t>
            </w:r>
          </w:p>
        </w:tc>
        <w:tc>
          <w:tcPr>
            <w:tcW w:w="451" w:type="pct"/>
            <w:shd w:val="clear" w:color="auto" w:fill="auto"/>
          </w:tcPr>
          <w:p w14:paraId="25D9B72D">
            <w:pPr>
              <w:widowControl/>
              <w:spacing w:line="240" w:lineRule="auto"/>
              <w:ind w:firstLine="0" w:firstLineChars="0"/>
              <w:jc w:val="center"/>
              <w:rPr>
                <w:color w:val="auto"/>
                <w:kern w:val="0"/>
                <w:sz w:val="21"/>
                <w:szCs w:val="21"/>
              </w:rPr>
            </w:pPr>
            <w:r>
              <w:rPr>
                <w:rFonts w:hint="eastAsia"/>
                <w:color w:val="auto"/>
                <w:sz w:val="21"/>
                <w:szCs w:val="21"/>
              </w:rPr>
              <w:t>6.59E-05</w:t>
            </w:r>
          </w:p>
        </w:tc>
        <w:tc>
          <w:tcPr>
            <w:tcW w:w="206" w:type="pct"/>
            <w:shd w:val="clear" w:color="auto" w:fill="auto"/>
          </w:tcPr>
          <w:p w14:paraId="2C54F178">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1C0644E">
            <w:pPr>
              <w:widowControl/>
              <w:spacing w:line="240" w:lineRule="auto"/>
              <w:ind w:firstLine="0" w:firstLineChars="0"/>
              <w:jc w:val="center"/>
              <w:rPr>
                <w:color w:val="auto"/>
                <w:sz w:val="21"/>
                <w:szCs w:val="21"/>
              </w:rPr>
            </w:pPr>
            <w:r>
              <w:rPr>
                <w:rFonts w:hint="eastAsia"/>
                <w:color w:val="auto"/>
                <w:sz w:val="21"/>
                <w:szCs w:val="21"/>
              </w:rPr>
              <w:t>4.76E-05</w:t>
            </w:r>
          </w:p>
        </w:tc>
        <w:tc>
          <w:tcPr>
            <w:tcW w:w="170" w:type="pct"/>
          </w:tcPr>
          <w:p w14:paraId="5CD4EAC3">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F3F204A">
            <w:pPr>
              <w:widowControl/>
              <w:spacing w:line="240" w:lineRule="auto"/>
              <w:ind w:firstLine="0" w:firstLineChars="0"/>
              <w:jc w:val="center"/>
              <w:rPr>
                <w:color w:val="auto"/>
                <w:kern w:val="0"/>
                <w:sz w:val="21"/>
                <w:szCs w:val="21"/>
              </w:rPr>
            </w:pPr>
            <w:r>
              <w:rPr>
                <w:rFonts w:hint="eastAsia"/>
                <w:color w:val="auto"/>
                <w:sz w:val="21"/>
                <w:szCs w:val="21"/>
              </w:rPr>
              <w:t>4.35E-04</w:t>
            </w:r>
          </w:p>
        </w:tc>
        <w:tc>
          <w:tcPr>
            <w:tcW w:w="172" w:type="pct"/>
            <w:shd w:val="clear" w:color="auto" w:fill="auto"/>
          </w:tcPr>
          <w:p w14:paraId="63C6B4D6">
            <w:pPr>
              <w:widowControl/>
              <w:spacing w:line="240" w:lineRule="auto"/>
              <w:ind w:firstLine="0" w:firstLineChars="0"/>
              <w:jc w:val="center"/>
              <w:rPr>
                <w:color w:val="auto"/>
                <w:kern w:val="0"/>
                <w:sz w:val="21"/>
                <w:szCs w:val="21"/>
              </w:rPr>
            </w:pPr>
            <w:r>
              <w:rPr>
                <w:rFonts w:hint="eastAsia"/>
                <w:color w:val="auto"/>
                <w:sz w:val="21"/>
                <w:szCs w:val="21"/>
              </w:rPr>
              <w:t>0.22</w:t>
            </w:r>
          </w:p>
        </w:tc>
        <w:tc>
          <w:tcPr>
            <w:tcW w:w="384" w:type="pct"/>
            <w:shd w:val="clear" w:color="auto" w:fill="auto"/>
          </w:tcPr>
          <w:p w14:paraId="59145C9E">
            <w:pPr>
              <w:widowControl/>
              <w:spacing w:line="240" w:lineRule="auto"/>
              <w:ind w:firstLine="0" w:firstLineChars="0"/>
              <w:jc w:val="center"/>
              <w:rPr>
                <w:color w:val="auto"/>
                <w:kern w:val="0"/>
                <w:sz w:val="21"/>
                <w:szCs w:val="21"/>
              </w:rPr>
            </w:pPr>
            <w:r>
              <w:rPr>
                <w:rFonts w:hint="eastAsia"/>
                <w:color w:val="auto"/>
                <w:sz w:val="21"/>
                <w:szCs w:val="21"/>
              </w:rPr>
              <w:t>1.11E-04</w:t>
            </w:r>
          </w:p>
        </w:tc>
        <w:tc>
          <w:tcPr>
            <w:tcW w:w="212" w:type="pct"/>
            <w:shd w:val="clear" w:color="auto" w:fill="auto"/>
          </w:tcPr>
          <w:p w14:paraId="7D32024B">
            <w:pPr>
              <w:widowControl/>
              <w:spacing w:line="240" w:lineRule="auto"/>
              <w:ind w:firstLine="0" w:firstLineChars="0"/>
              <w:jc w:val="center"/>
              <w:rPr>
                <w:color w:val="auto"/>
                <w:kern w:val="0"/>
                <w:sz w:val="21"/>
                <w:szCs w:val="21"/>
              </w:rPr>
            </w:pPr>
            <w:r>
              <w:rPr>
                <w:rFonts w:hint="eastAsia"/>
                <w:color w:val="auto"/>
                <w:sz w:val="21"/>
                <w:szCs w:val="21"/>
              </w:rPr>
              <w:t>0.01</w:t>
            </w:r>
          </w:p>
        </w:tc>
      </w:tr>
      <w:tr w14:paraId="44F4C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36CB4DE">
            <w:pPr>
              <w:widowControl/>
              <w:spacing w:line="240" w:lineRule="auto"/>
              <w:ind w:firstLine="0" w:firstLineChars="0"/>
              <w:jc w:val="center"/>
              <w:rPr>
                <w:color w:val="auto"/>
                <w:kern w:val="0"/>
                <w:sz w:val="21"/>
                <w:szCs w:val="21"/>
              </w:rPr>
            </w:pPr>
            <w:r>
              <w:rPr>
                <w:color w:val="auto"/>
                <w:sz w:val="21"/>
                <w:szCs w:val="21"/>
              </w:rPr>
              <w:t>500</w:t>
            </w:r>
          </w:p>
        </w:tc>
        <w:tc>
          <w:tcPr>
            <w:tcW w:w="420" w:type="pct"/>
            <w:shd w:val="clear" w:color="auto" w:fill="auto"/>
            <w:noWrap/>
          </w:tcPr>
          <w:p w14:paraId="3C637C6C">
            <w:pPr>
              <w:widowControl/>
              <w:spacing w:line="240" w:lineRule="auto"/>
              <w:ind w:firstLine="0" w:firstLineChars="0"/>
              <w:jc w:val="center"/>
              <w:rPr>
                <w:color w:val="auto"/>
                <w:kern w:val="0"/>
                <w:sz w:val="21"/>
                <w:szCs w:val="21"/>
              </w:rPr>
            </w:pPr>
            <w:r>
              <w:rPr>
                <w:rFonts w:hint="eastAsia"/>
                <w:color w:val="auto"/>
                <w:sz w:val="21"/>
                <w:szCs w:val="21"/>
              </w:rPr>
              <w:t>9.36E-05</w:t>
            </w:r>
          </w:p>
        </w:tc>
        <w:tc>
          <w:tcPr>
            <w:tcW w:w="292" w:type="pct"/>
            <w:shd w:val="clear" w:color="auto" w:fill="auto"/>
            <w:noWrap/>
          </w:tcPr>
          <w:p w14:paraId="4FA9088F">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2BA412C">
            <w:pPr>
              <w:widowControl/>
              <w:spacing w:line="240" w:lineRule="auto"/>
              <w:ind w:firstLine="0" w:firstLineChars="0"/>
              <w:jc w:val="center"/>
              <w:rPr>
                <w:color w:val="auto"/>
                <w:kern w:val="0"/>
                <w:sz w:val="21"/>
                <w:szCs w:val="21"/>
              </w:rPr>
            </w:pPr>
            <w:r>
              <w:rPr>
                <w:rFonts w:hint="eastAsia"/>
                <w:color w:val="auto"/>
                <w:sz w:val="21"/>
                <w:szCs w:val="21"/>
              </w:rPr>
              <w:t>6.59E-05</w:t>
            </w:r>
          </w:p>
        </w:tc>
        <w:tc>
          <w:tcPr>
            <w:tcW w:w="376" w:type="pct"/>
            <w:shd w:val="clear" w:color="auto" w:fill="auto"/>
          </w:tcPr>
          <w:p w14:paraId="5E630C0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8D22B1D">
            <w:pPr>
              <w:widowControl/>
              <w:spacing w:line="240" w:lineRule="auto"/>
              <w:ind w:firstLine="0" w:firstLineChars="0"/>
              <w:jc w:val="center"/>
              <w:rPr>
                <w:color w:val="auto"/>
                <w:kern w:val="0"/>
                <w:sz w:val="21"/>
                <w:szCs w:val="21"/>
              </w:rPr>
            </w:pPr>
            <w:r>
              <w:rPr>
                <w:rFonts w:hint="eastAsia"/>
                <w:color w:val="auto"/>
                <w:sz w:val="21"/>
                <w:szCs w:val="21"/>
              </w:rPr>
              <w:t>6.03E-04</w:t>
            </w:r>
          </w:p>
        </w:tc>
        <w:tc>
          <w:tcPr>
            <w:tcW w:w="239" w:type="pct"/>
            <w:shd w:val="clear" w:color="auto" w:fill="auto"/>
          </w:tcPr>
          <w:p w14:paraId="51CCA996">
            <w:pPr>
              <w:widowControl/>
              <w:spacing w:line="240" w:lineRule="auto"/>
              <w:ind w:firstLine="0" w:firstLineChars="0"/>
              <w:jc w:val="center"/>
              <w:rPr>
                <w:color w:val="auto"/>
                <w:kern w:val="0"/>
                <w:sz w:val="21"/>
                <w:szCs w:val="21"/>
              </w:rPr>
            </w:pPr>
            <w:r>
              <w:rPr>
                <w:rFonts w:hint="eastAsia"/>
                <w:color w:val="auto"/>
                <w:sz w:val="21"/>
                <w:szCs w:val="21"/>
              </w:rPr>
              <w:t>0.30</w:t>
            </w:r>
          </w:p>
        </w:tc>
        <w:tc>
          <w:tcPr>
            <w:tcW w:w="451" w:type="pct"/>
            <w:shd w:val="clear" w:color="auto" w:fill="auto"/>
          </w:tcPr>
          <w:p w14:paraId="3392C638">
            <w:pPr>
              <w:widowControl/>
              <w:spacing w:line="240" w:lineRule="auto"/>
              <w:ind w:firstLine="0" w:firstLineChars="0"/>
              <w:jc w:val="center"/>
              <w:rPr>
                <w:color w:val="auto"/>
                <w:kern w:val="0"/>
                <w:sz w:val="21"/>
                <w:szCs w:val="21"/>
              </w:rPr>
            </w:pPr>
            <w:r>
              <w:rPr>
                <w:rFonts w:hint="eastAsia"/>
                <w:color w:val="auto"/>
                <w:sz w:val="21"/>
                <w:szCs w:val="21"/>
              </w:rPr>
              <w:t>6.24E-05</w:t>
            </w:r>
          </w:p>
        </w:tc>
        <w:tc>
          <w:tcPr>
            <w:tcW w:w="206" w:type="pct"/>
            <w:shd w:val="clear" w:color="auto" w:fill="auto"/>
          </w:tcPr>
          <w:p w14:paraId="20CB2D4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D95F6CF">
            <w:pPr>
              <w:widowControl/>
              <w:spacing w:line="240" w:lineRule="auto"/>
              <w:ind w:firstLine="0" w:firstLineChars="0"/>
              <w:jc w:val="center"/>
              <w:rPr>
                <w:color w:val="auto"/>
                <w:sz w:val="21"/>
                <w:szCs w:val="21"/>
              </w:rPr>
            </w:pPr>
            <w:r>
              <w:rPr>
                <w:rFonts w:hint="eastAsia"/>
                <w:color w:val="auto"/>
                <w:sz w:val="21"/>
                <w:szCs w:val="21"/>
              </w:rPr>
              <w:t>4.51E-05</w:t>
            </w:r>
          </w:p>
        </w:tc>
        <w:tc>
          <w:tcPr>
            <w:tcW w:w="170" w:type="pct"/>
          </w:tcPr>
          <w:p w14:paraId="6D2A252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4DF8390">
            <w:pPr>
              <w:widowControl/>
              <w:spacing w:line="240" w:lineRule="auto"/>
              <w:ind w:firstLine="0" w:firstLineChars="0"/>
              <w:jc w:val="center"/>
              <w:rPr>
                <w:color w:val="auto"/>
                <w:kern w:val="0"/>
                <w:sz w:val="21"/>
                <w:szCs w:val="21"/>
              </w:rPr>
            </w:pPr>
            <w:r>
              <w:rPr>
                <w:rFonts w:hint="eastAsia"/>
                <w:color w:val="auto"/>
                <w:sz w:val="21"/>
                <w:szCs w:val="21"/>
              </w:rPr>
              <w:t>4.13E-04</w:t>
            </w:r>
          </w:p>
        </w:tc>
        <w:tc>
          <w:tcPr>
            <w:tcW w:w="172" w:type="pct"/>
            <w:shd w:val="clear" w:color="auto" w:fill="auto"/>
          </w:tcPr>
          <w:p w14:paraId="0DC6E8AF">
            <w:pPr>
              <w:widowControl/>
              <w:spacing w:line="240" w:lineRule="auto"/>
              <w:ind w:firstLine="0" w:firstLineChars="0"/>
              <w:jc w:val="center"/>
              <w:rPr>
                <w:color w:val="auto"/>
                <w:kern w:val="0"/>
                <w:sz w:val="21"/>
                <w:szCs w:val="21"/>
              </w:rPr>
            </w:pPr>
            <w:r>
              <w:rPr>
                <w:rFonts w:hint="eastAsia"/>
                <w:color w:val="auto"/>
                <w:sz w:val="21"/>
                <w:szCs w:val="21"/>
              </w:rPr>
              <w:t>0.21</w:t>
            </w:r>
          </w:p>
        </w:tc>
        <w:tc>
          <w:tcPr>
            <w:tcW w:w="384" w:type="pct"/>
            <w:shd w:val="clear" w:color="auto" w:fill="auto"/>
          </w:tcPr>
          <w:p w14:paraId="22D92BFC">
            <w:pPr>
              <w:widowControl/>
              <w:spacing w:line="240" w:lineRule="auto"/>
              <w:ind w:firstLine="0" w:firstLineChars="0"/>
              <w:jc w:val="center"/>
              <w:rPr>
                <w:color w:val="auto"/>
                <w:kern w:val="0"/>
                <w:sz w:val="21"/>
                <w:szCs w:val="21"/>
              </w:rPr>
            </w:pPr>
            <w:r>
              <w:rPr>
                <w:rFonts w:hint="eastAsia"/>
                <w:color w:val="auto"/>
                <w:sz w:val="21"/>
                <w:szCs w:val="21"/>
              </w:rPr>
              <w:t>1.05E-04</w:t>
            </w:r>
          </w:p>
        </w:tc>
        <w:tc>
          <w:tcPr>
            <w:tcW w:w="212" w:type="pct"/>
            <w:shd w:val="clear" w:color="auto" w:fill="auto"/>
          </w:tcPr>
          <w:p w14:paraId="0079350C">
            <w:pPr>
              <w:widowControl/>
              <w:spacing w:line="240" w:lineRule="auto"/>
              <w:ind w:firstLine="0" w:firstLineChars="0"/>
              <w:jc w:val="center"/>
              <w:rPr>
                <w:color w:val="auto"/>
                <w:kern w:val="0"/>
                <w:sz w:val="21"/>
                <w:szCs w:val="21"/>
              </w:rPr>
            </w:pPr>
            <w:r>
              <w:rPr>
                <w:rFonts w:hint="eastAsia"/>
                <w:color w:val="auto"/>
                <w:sz w:val="21"/>
                <w:szCs w:val="21"/>
              </w:rPr>
              <w:t>0.01</w:t>
            </w:r>
          </w:p>
        </w:tc>
      </w:tr>
      <w:tr w14:paraId="03013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C828451">
            <w:pPr>
              <w:widowControl/>
              <w:spacing w:line="240" w:lineRule="auto"/>
              <w:ind w:firstLine="0" w:firstLineChars="0"/>
              <w:jc w:val="center"/>
              <w:rPr>
                <w:color w:val="auto"/>
                <w:kern w:val="0"/>
                <w:sz w:val="21"/>
                <w:szCs w:val="21"/>
              </w:rPr>
            </w:pPr>
            <w:r>
              <w:rPr>
                <w:color w:val="auto"/>
                <w:sz w:val="21"/>
                <w:szCs w:val="21"/>
              </w:rPr>
              <w:t>525</w:t>
            </w:r>
          </w:p>
        </w:tc>
        <w:tc>
          <w:tcPr>
            <w:tcW w:w="420" w:type="pct"/>
            <w:shd w:val="clear" w:color="auto" w:fill="auto"/>
            <w:noWrap/>
          </w:tcPr>
          <w:p w14:paraId="361B1921">
            <w:pPr>
              <w:widowControl/>
              <w:spacing w:line="240" w:lineRule="auto"/>
              <w:ind w:firstLine="0" w:firstLineChars="0"/>
              <w:jc w:val="center"/>
              <w:rPr>
                <w:color w:val="auto"/>
                <w:kern w:val="0"/>
                <w:sz w:val="21"/>
                <w:szCs w:val="21"/>
              </w:rPr>
            </w:pPr>
            <w:r>
              <w:rPr>
                <w:rFonts w:hint="eastAsia"/>
                <w:color w:val="auto"/>
                <w:sz w:val="21"/>
                <w:szCs w:val="21"/>
              </w:rPr>
              <w:t>9.05E-05</w:t>
            </w:r>
          </w:p>
        </w:tc>
        <w:tc>
          <w:tcPr>
            <w:tcW w:w="292" w:type="pct"/>
            <w:shd w:val="clear" w:color="auto" w:fill="auto"/>
            <w:noWrap/>
          </w:tcPr>
          <w:p w14:paraId="489FCAA6">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52E1CF8">
            <w:pPr>
              <w:widowControl/>
              <w:spacing w:line="240" w:lineRule="auto"/>
              <w:ind w:firstLine="0" w:firstLineChars="0"/>
              <w:jc w:val="center"/>
              <w:rPr>
                <w:color w:val="auto"/>
                <w:kern w:val="0"/>
                <w:sz w:val="21"/>
                <w:szCs w:val="21"/>
              </w:rPr>
            </w:pPr>
            <w:r>
              <w:rPr>
                <w:rFonts w:hint="eastAsia"/>
                <w:color w:val="auto"/>
                <w:sz w:val="21"/>
                <w:szCs w:val="21"/>
              </w:rPr>
              <w:t>6.37E-05</w:t>
            </w:r>
          </w:p>
        </w:tc>
        <w:tc>
          <w:tcPr>
            <w:tcW w:w="376" w:type="pct"/>
            <w:shd w:val="clear" w:color="auto" w:fill="auto"/>
          </w:tcPr>
          <w:p w14:paraId="451A27B1">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77183BA">
            <w:pPr>
              <w:widowControl/>
              <w:spacing w:line="240" w:lineRule="auto"/>
              <w:ind w:firstLine="0" w:firstLineChars="0"/>
              <w:jc w:val="center"/>
              <w:rPr>
                <w:color w:val="auto"/>
                <w:kern w:val="0"/>
                <w:sz w:val="21"/>
                <w:szCs w:val="21"/>
              </w:rPr>
            </w:pPr>
            <w:r>
              <w:rPr>
                <w:rFonts w:hint="eastAsia"/>
                <w:color w:val="auto"/>
                <w:sz w:val="21"/>
                <w:szCs w:val="21"/>
              </w:rPr>
              <w:t>5.83E-04</w:t>
            </w:r>
          </w:p>
        </w:tc>
        <w:tc>
          <w:tcPr>
            <w:tcW w:w="239" w:type="pct"/>
            <w:shd w:val="clear" w:color="auto" w:fill="auto"/>
          </w:tcPr>
          <w:p w14:paraId="78D7228D">
            <w:pPr>
              <w:widowControl/>
              <w:spacing w:line="240" w:lineRule="auto"/>
              <w:ind w:firstLine="0" w:firstLineChars="0"/>
              <w:jc w:val="center"/>
              <w:rPr>
                <w:color w:val="auto"/>
                <w:kern w:val="0"/>
                <w:sz w:val="21"/>
                <w:szCs w:val="21"/>
              </w:rPr>
            </w:pPr>
            <w:r>
              <w:rPr>
                <w:rFonts w:hint="eastAsia"/>
                <w:color w:val="auto"/>
                <w:sz w:val="21"/>
                <w:szCs w:val="21"/>
              </w:rPr>
              <w:t>0.29</w:t>
            </w:r>
          </w:p>
        </w:tc>
        <w:tc>
          <w:tcPr>
            <w:tcW w:w="451" w:type="pct"/>
            <w:shd w:val="clear" w:color="auto" w:fill="auto"/>
          </w:tcPr>
          <w:p w14:paraId="70556CF6">
            <w:pPr>
              <w:widowControl/>
              <w:spacing w:line="240" w:lineRule="auto"/>
              <w:ind w:firstLine="0" w:firstLineChars="0"/>
              <w:jc w:val="center"/>
              <w:rPr>
                <w:color w:val="auto"/>
                <w:kern w:val="0"/>
                <w:sz w:val="21"/>
                <w:szCs w:val="21"/>
              </w:rPr>
            </w:pPr>
            <w:r>
              <w:rPr>
                <w:rFonts w:hint="eastAsia"/>
                <w:color w:val="auto"/>
                <w:sz w:val="21"/>
                <w:szCs w:val="21"/>
              </w:rPr>
              <w:t>6.03E-05</w:t>
            </w:r>
          </w:p>
        </w:tc>
        <w:tc>
          <w:tcPr>
            <w:tcW w:w="206" w:type="pct"/>
            <w:shd w:val="clear" w:color="auto" w:fill="auto"/>
          </w:tcPr>
          <w:p w14:paraId="18420F62">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3954D960">
            <w:pPr>
              <w:widowControl/>
              <w:spacing w:line="240" w:lineRule="auto"/>
              <w:ind w:firstLine="0" w:firstLineChars="0"/>
              <w:jc w:val="center"/>
              <w:rPr>
                <w:color w:val="auto"/>
                <w:sz w:val="21"/>
                <w:szCs w:val="21"/>
              </w:rPr>
            </w:pPr>
            <w:r>
              <w:rPr>
                <w:rFonts w:hint="eastAsia"/>
                <w:color w:val="auto"/>
                <w:sz w:val="21"/>
                <w:szCs w:val="21"/>
              </w:rPr>
              <w:t>4.36E-05</w:t>
            </w:r>
          </w:p>
        </w:tc>
        <w:tc>
          <w:tcPr>
            <w:tcW w:w="170" w:type="pct"/>
          </w:tcPr>
          <w:p w14:paraId="0724094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C8399C5">
            <w:pPr>
              <w:widowControl/>
              <w:spacing w:line="240" w:lineRule="auto"/>
              <w:ind w:firstLine="0" w:firstLineChars="0"/>
              <w:jc w:val="center"/>
              <w:rPr>
                <w:color w:val="auto"/>
                <w:kern w:val="0"/>
                <w:sz w:val="21"/>
                <w:szCs w:val="21"/>
              </w:rPr>
            </w:pPr>
            <w:r>
              <w:rPr>
                <w:rFonts w:hint="eastAsia"/>
                <w:color w:val="auto"/>
                <w:sz w:val="21"/>
                <w:szCs w:val="21"/>
              </w:rPr>
              <w:t>3.99E-04</w:t>
            </w:r>
          </w:p>
        </w:tc>
        <w:tc>
          <w:tcPr>
            <w:tcW w:w="172" w:type="pct"/>
            <w:shd w:val="clear" w:color="auto" w:fill="auto"/>
          </w:tcPr>
          <w:p w14:paraId="2FAED2EA">
            <w:pPr>
              <w:widowControl/>
              <w:spacing w:line="240" w:lineRule="auto"/>
              <w:ind w:firstLine="0" w:firstLineChars="0"/>
              <w:jc w:val="center"/>
              <w:rPr>
                <w:color w:val="auto"/>
                <w:kern w:val="0"/>
                <w:sz w:val="21"/>
                <w:szCs w:val="21"/>
              </w:rPr>
            </w:pPr>
            <w:r>
              <w:rPr>
                <w:rFonts w:hint="eastAsia"/>
                <w:color w:val="auto"/>
                <w:sz w:val="21"/>
                <w:szCs w:val="21"/>
              </w:rPr>
              <w:t>0.20</w:t>
            </w:r>
          </w:p>
        </w:tc>
        <w:tc>
          <w:tcPr>
            <w:tcW w:w="384" w:type="pct"/>
            <w:shd w:val="clear" w:color="auto" w:fill="auto"/>
          </w:tcPr>
          <w:p w14:paraId="60DE2543">
            <w:pPr>
              <w:widowControl/>
              <w:spacing w:line="240" w:lineRule="auto"/>
              <w:ind w:firstLine="0" w:firstLineChars="0"/>
              <w:jc w:val="center"/>
              <w:rPr>
                <w:color w:val="auto"/>
                <w:kern w:val="0"/>
                <w:sz w:val="21"/>
                <w:szCs w:val="21"/>
              </w:rPr>
            </w:pPr>
            <w:r>
              <w:rPr>
                <w:rFonts w:hint="eastAsia"/>
                <w:color w:val="auto"/>
                <w:sz w:val="21"/>
                <w:szCs w:val="21"/>
              </w:rPr>
              <w:t>1.01E-04</w:t>
            </w:r>
          </w:p>
        </w:tc>
        <w:tc>
          <w:tcPr>
            <w:tcW w:w="212" w:type="pct"/>
            <w:shd w:val="clear" w:color="auto" w:fill="auto"/>
          </w:tcPr>
          <w:p w14:paraId="45485567">
            <w:pPr>
              <w:widowControl/>
              <w:spacing w:line="240" w:lineRule="auto"/>
              <w:ind w:firstLine="0" w:firstLineChars="0"/>
              <w:jc w:val="center"/>
              <w:rPr>
                <w:color w:val="auto"/>
                <w:kern w:val="0"/>
                <w:sz w:val="21"/>
                <w:szCs w:val="21"/>
              </w:rPr>
            </w:pPr>
            <w:r>
              <w:rPr>
                <w:rFonts w:hint="eastAsia"/>
                <w:color w:val="auto"/>
                <w:sz w:val="21"/>
                <w:szCs w:val="21"/>
              </w:rPr>
              <w:t>0.01</w:t>
            </w:r>
          </w:p>
        </w:tc>
      </w:tr>
      <w:tr w14:paraId="517B2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0A7A1A9">
            <w:pPr>
              <w:widowControl/>
              <w:spacing w:line="240" w:lineRule="auto"/>
              <w:ind w:firstLine="0" w:firstLineChars="0"/>
              <w:jc w:val="center"/>
              <w:rPr>
                <w:color w:val="auto"/>
                <w:kern w:val="0"/>
                <w:sz w:val="21"/>
                <w:szCs w:val="21"/>
              </w:rPr>
            </w:pPr>
            <w:r>
              <w:rPr>
                <w:color w:val="auto"/>
                <w:sz w:val="21"/>
                <w:szCs w:val="21"/>
              </w:rPr>
              <w:t>550</w:t>
            </w:r>
          </w:p>
        </w:tc>
        <w:tc>
          <w:tcPr>
            <w:tcW w:w="420" w:type="pct"/>
            <w:shd w:val="clear" w:color="auto" w:fill="auto"/>
            <w:noWrap/>
          </w:tcPr>
          <w:p w14:paraId="19F1C61D">
            <w:pPr>
              <w:widowControl/>
              <w:spacing w:line="240" w:lineRule="auto"/>
              <w:ind w:firstLine="0" w:firstLineChars="0"/>
              <w:jc w:val="center"/>
              <w:rPr>
                <w:color w:val="auto"/>
                <w:kern w:val="0"/>
                <w:sz w:val="21"/>
                <w:szCs w:val="21"/>
              </w:rPr>
            </w:pPr>
            <w:r>
              <w:rPr>
                <w:rFonts w:hint="eastAsia"/>
                <w:color w:val="auto"/>
                <w:sz w:val="21"/>
                <w:szCs w:val="21"/>
              </w:rPr>
              <w:t>8.72E-05</w:t>
            </w:r>
          </w:p>
        </w:tc>
        <w:tc>
          <w:tcPr>
            <w:tcW w:w="292" w:type="pct"/>
            <w:shd w:val="clear" w:color="auto" w:fill="auto"/>
            <w:noWrap/>
          </w:tcPr>
          <w:p w14:paraId="6B49F85C">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FC9D99C">
            <w:pPr>
              <w:widowControl/>
              <w:spacing w:line="240" w:lineRule="auto"/>
              <w:ind w:firstLine="0" w:firstLineChars="0"/>
              <w:jc w:val="center"/>
              <w:rPr>
                <w:color w:val="auto"/>
                <w:kern w:val="0"/>
                <w:sz w:val="21"/>
                <w:szCs w:val="21"/>
              </w:rPr>
            </w:pPr>
            <w:r>
              <w:rPr>
                <w:rFonts w:hint="eastAsia"/>
                <w:color w:val="auto"/>
                <w:sz w:val="21"/>
                <w:szCs w:val="21"/>
              </w:rPr>
              <w:t>6.13E-05</w:t>
            </w:r>
          </w:p>
        </w:tc>
        <w:tc>
          <w:tcPr>
            <w:tcW w:w="376" w:type="pct"/>
            <w:shd w:val="clear" w:color="auto" w:fill="auto"/>
          </w:tcPr>
          <w:p w14:paraId="4DADF6A2">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5DB9133">
            <w:pPr>
              <w:widowControl/>
              <w:spacing w:line="240" w:lineRule="auto"/>
              <w:ind w:firstLine="0" w:firstLineChars="0"/>
              <w:jc w:val="center"/>
              <w:rPr>
                <w:color w:val="auto"/>
                <w:kern w:val="0"/>
                <w:sz w:val="21"/>
                <w:szCs w:val="21"/>
              </w:rPr>
            </w:pPr>
            <w:r>
              <w:rPr>
                <w:rFonts w:hint="eastAsia"/>
                <w:color w:val="auto"/>
                <w:sz w:val="21"/>
                <w:szCs w:val="21"/>
              </w:rPr>
              <w:t>5.62E-04</w:t>
            </w:r>
          </w:p>
        </w:tc>
        <w:tc>
          <w:tcPr>
            <w:tcW w:w="239" w:type="pct"/>
            <w:shd w:val="clear" w:color="auto" w:fill="auto"/>
          </w:tcPr>
          <w:p w14:paraId="735E1E07">
            <w:pPr>
              <w:widowControl/>
              <w:spacing w:line="240" w:lineRule="auto"/>
              <w:ind w:firstLine="0" w:firstLineChars="0"/>
              <w:jc w:val="center"/>
              <w:rPr>
                <w:color w:val="auto"/>
                <w:kern w:val="0"/>
                <w:sz w:val="21"/>
                <w:szCs w:val="21"/>
              </w:rPr>
            </w:pPr>
            <w:r>
              <w:rPr>
                <w:rFonts w:hint="eastAsia"/>
                <w:color w:val="auto"/>
                <w:sz w:val="21"/>
                <w:szCs w:val="21"/>
              </w:rPr>
              <w:t>0.28</w:t>
            </w:r>
          </w:p>
        </w:tc>
        <w:tc>
          <w:tcPr>
            <w:tcW w:w="451" w:type="pct"/>
            <w:shd w:val="clear" w:color="auto" w:fill="auto"/>
          </w:tcPr>
          <w:p w14:paraId="7CB2DDD6">
            <w:pPr>
              <w:widowControl/>
              <w:spacing w:line="240" w:lineRule="auto"/>
              <w:ind w:firstLine="0" w:firstLineChars="0"/>
              <w:jc w:val="center"/>
              <w:rPr>
                <w:color w:val="auto"/>
                <w:kern w:val="0"/>
                <w:sz w:val="21"/>
                <w:szCs w:val="21"/>
              </w:rPr>
            </w:pPr>
            <w:r>
              <w:rPr>
                <w:rFonts w:hint="eastAsia"/>
                <w:color w:val="auto"/>
                <w:sz w:val="21"/>
                <w:szCs w:val="21"/>
              </w:rPr>
              <w:t>5.81E-05</w:t>
            </w:r>
          </w:p>
        </w:tc>
        <w:tc>
          <w:tcPr>
            <w:tcW w:w="206" w:type="pct"/>
            <w:shd w:val="clear" w:color="auto" w:fill="auto"/>
          </w:tcPr>
          <w:p w14:paraId="74F55F2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44FC06C">
            <w:pPr>
              <w:widowControl/>
              <w:spacing w:line="240" w:lineRule="auto"/>
              <w:ind w:firstLine="0" w:firstLineChars="0"/>
              <w:jc w:val="center"/>
              <w:rPr>
                <w:color w:val="auto"/>
                <w:sz w:val="21"/>
                <w:szCs w:val="21"/>
              </w:rPr>
            </w:pPr>
            <w:r>
              <w:rPr>
                <w:rFonts w:hint="eastAsia"/>
                <w:color w:val="auto"/>
                <w:sz w:val="21"/>
                <w:szCs w:val="21"/>
              </w:rPr>
              <w:t>4.20E-05</w:t>
            </w:r>
          </w:p>
        </w:tc>
        <w:tc>
          <w:tcPr>
            <w:tcW w:w="170" w:type="pct"/>
          </w:tcPr>
          <w:p w14:paraId="0295A8B5">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275E771">
            <w:pPr>
              <w:widowControl/>
              <w:spacing w:line="240" w:lineRule="auto"/>
              <w:ind w:firstLine="0" w:firstLineChars="0"/>
              <w:jc w:val="center"/>
              <w:rPr>
                <w:color w:val="auto"/>
                <w:kern w:val="0"/>
                <w:sz w:val="21"/>
                <w:szCs w:val="21"/>
              </w:rPr>
            </w:pPr>
            <w:r>
              <w:rPr>
                <w:rFonts w:hint="eastAsia"/>
                <w:color w:val="auto"/>
                <w:sz w:val="21"/>
                <w:szCs w:val="21"/>
              </w:rPr>
              <w:t>3.84E-04</w:t>
            </w:r>
          </w:p>
        </w:tc>
        <w:tc>
          <w:tcPr>
            <w:tcW w:w="172" w:type="pct"/>
            <w:shd w:val="clear" w:color="auto" w:fill="auto"/>
          </w:tcPr>
          <w:p w14:paraId="403CC307">
            <w:pPr>
              <w:widowControl/>
              <w:spacing w:line="240" w:lineRule="auto"/>
              <w:ind w:firstLine="0" w:firstLineChars="0"/>
              <w:jc w:val="center"/>
              <w:rPr>
                <w:color w:val="auto"/>
                <w:kern w:val="0"/>
                <w:sz w:val="21"/>
                <w:szCs w:val="21"/>
              </w:rPr>
            </w:pPr>
            <w:r>
              <w:rPr>
                <w:rFonts w:hint="eastAsia"/>
                <w:color w:val="auto"/>
                <w:sz w:val="21"/>
                <w:szCs w:val="21"/>
              </w:rPr>
              <w:t>0.19</w:t>
            </w:r>
          </w:p>
        </w:tc>
        <w:tc>
          <w:tcPr>
            <w:tcW w:w="384" w:type="pct"/>
            <w:shd w:val="clear" w:color="auto" w:fill="auto"/>
          </w:tcPr>
          <w:p w14:paraId="7612C060">
            <w:pPr>
              <w:widowControl/>
              <w:spacing w:line="240" w:lineRule="auto"/>
              <w:ind w:firstLine="0" w:firstLineChars="0"/>
              <w:jc w:val="center"/>
              <w:rPr>
                <w:color w:val="auto"/>
                <w:kern w:val="0"/>
                <w:sz w:val="21"/>
                <w:szCs w:val="21"/>
              </w:rPr>
            </w:pPr>
            <w:r>
              <w:rPr>
                <w:rFonts w:hint="eastAsia"/>
                <w:color w:val="auto"/>
                <w:sz w:val="21"/>
                <w:szCs w:val="21"/>
              </w:rPr>
              <w:t>9.78E-05</w:t>
            </w:r>
          </w:p>
        </w:tc>
        <w:tc>
          <w:tcPr>
            <w:tcW w:w="212" w:type="pct"/>
            <w:shd w:val="clear" w:color="auto" w:fill="auto"/>
          </w:tcPr>
          <w:p w14:paraId="486B251A">
            <w:pPr>
              <w:widowControl/>
              <w:spacing w:line="240" w:lineRule="auto"/>
              <w:ind w:firstLine="0" w:firstLineChars="0"/>
              <w:jc w:val="center"/>
              <w:rPr>
                <w:color w:val="auto"/>
                <w:kern w:val="0"/>
                <w:sz w:val="21"/>
                <w:szCs w:val="21"/>
              </w:rPr>
            </w:pPr>
            <w:r>
              <w:rPr>
                <w:rFonts w:hint="eastAsia"/>
                <w:color w:val="auto"/>
                <w:sz w:val="21"/>
                <w:szCs w:val="21"/>
              </w:rPr>
              <w:t>0.01</w:t>
            </w:r>
          </w:p>
        </w:tc>
      </w:tr>
      <w:tr w14:paraId="2D6CB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C37C65D">
            <w:pPr>
              <w:widowControl/>
              <w:spacing w:line="240" w:lineRule="auto"/>
              <w:ind w:firstLine="0" w:firstLineChars="0"/>
              <w:jc w:val="center"/>
              <w:rPr>
                <w:color w:val="auto"/>
                <w:kern w:val="0"/>
                <w:sz w:val="21"/>
                <w:szCs w:val="21"/>
              </w:rPr>
            </w:pPr>
            <w:r>
              <w:rPr>
                <w:color w:val="auto"/>
                <w:sz w:val="21"/>
                <w:szCs w:val="21"/>
              </w:rPr>
              <w:t>575</w:t>
            </w:r>
          </w:p>
        </w:tc>
        <w:tc>
          <w:tcPr>
            <w:tcW w:w="420" w:type="pct"/>
            <w:shd w:val="clear" w:color="auto" w:fill="auto"/>
            <w:noWrap/>
          </w:tcPr>
          <w:p w14:paraId="02C1D440">
            <w:pPr>
              <w:widowControl/>
              <w:spacing w:line="240" w:lineRule="auto"/>
              <w:ind w:firstLine="0" w:firstLineChars="0"/>
              <w:jc w:val="center"/>
              <w:rPr>
                <w:color w:val="auto"/>
                <w:kern w:val="0"/>
                <w:sz w:val="21"/>
                <w:szCs w:val="21"/>
              </w:rPr>
            </w:pPr>
            <w:r>
              <w:rPr>
                <w:rFonts w:hint="eastAsia"/>
                <w:color w:val="auto"/>
                <w:sz w:val="21"/>
                <w:szCs w:val="21"/>
              </w:rPr>
              <w:t>8.38E-05</w:t>
            </w:r>
          </w:p>
        </w:tc>
        <w:tc>
          <w:tcPr>
            <w:tcW w:w="292" w:type="pct"/>
            <w:shd w:val="clear" w:color="auto" w:fill="auto"/>
            <w:noWrap/>
          </w:tcPr>
          <w:p w14:paraId="60F85578">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1F3BB9B">
            <w:pPr>
              <w:widowControl/>
              <w:spacing w:line="240" w:lineRule="auto"/>
              <w:ind w:firstLine="0" w:firstLineChars="0"/>
              <w:jc w:val="center"/>
              <w:rPr>
                <w:color w:val="auto"/>
                <w:kern w:val="0"/>
                <w:sz w:val="21"/>
                <w:szCs w:val="21"/>
              </w:rPr>
            </w:pPr>
            <w:r>
              <w:rPr>
                <w:rFonts w:hint="eastAsia"/>
                <w:color w:val="auto"/>
                <w:sz w:val="21"/>
                <w:szCs w:val="21"/>
              </w:rPr>
              <w:t>5.90E-05</w:t>
            </w:r>
          </w:p>
        </w:tc>
        <w:tc>
          <w:tcPr>
            <w:tcW w:w="376" w:type="pct"/>
            <w:shd w:val="clear" w:color="auto" w:fill="auto"/>
          </w:tcPr>
          <w:p w14:paraId="6E710013">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01CBFC8">
            <w:pPr>
              <w:widowControl/>
              <w:spacing w:line="240" w:lineRule="auto"/>
              <w:ind w:firstLine="0" w:firstLineChars="0"/>
              <w:jc w:val="center"/>
              <w:rPr>
                <w:color w:val="auto"/>
                <w:kern w:val="0"/>
                <w:sz w:val="21"/>
                <w:szCs w:val="21"/>
              </w:rPr>
            </w:pPr>
            <w:r>
              <w:rPr>
                <w:rFonts w:hint="eastAsia"/>
                <w:color w:val="auto"/>
                <w:sz w:val="21"/>
                <w:szCs w:val="21"/>
              </w:rPr>
              <w:t>5.40E-04</w:t>
            </w:r>
          </w:p>
        </w:tc>
        <w:tc>
          <w:tcPr>
            <w:tcW w:w="239" w:type="pct"/>
            <w:shd w:val="clear" w:color="auto" w:fill="auto"/>
          </w:tcPr>
          <w:p w14:paraId="69F61E44">
            <w:pPr>
              <w:widowControl/>
              <w:spacing w:line="240" w:lineRule="auto"/>
              <w:ind w:firstLine="0" w:firstLineChars="0"/>
              <w:jc w:val="center"/>
              <w:rPr>
                <w:color w:val="auto"/>
                <w:kern w:val="0"/>
                <w:sz w:val="21"/>
                <w:szCs w:val="21"/>
              </w:rPr>
            </w:pPr>
            <w:r>
              <w:rPr>
                <w:rFonts w:hint="eastAsia"/>
                <w:color w:val="auto"/>
                <w:sz w:val="21"/>
                <w:szCs w:val="21"/>
              </w:rPr>
              <w:t>0.27</w:t>
            </w:r>
          </w:p>
        </w:tc>
        <w:tc>
          <w:tcPr>
            <w:tcW w:w="451" w:type="pct"/>
            <w:shd w:val="clear" w:color="auto" w:fill="auto"/>
          </w:tcPr>
          <w:p w14:paraId="21F402E7">
            <w:pPr>
              <w:widowControl/>
              <w:spacing w:line="240" w:lineRule="auto"/>
              <w:ind w:firstLine="0" w:firstLineChars="0"/>
              <w:jc w:val="center"/>
              <w:rPr>
                <w:color w:val="auto"/>
                <w:kern w:val="0"/>
                <w:sz w:val="21"/>
                <w:szCs w:val="21"/>
              </w:rPr>
            </w:pPr>
            <w:r>
              <w:rPr>
                <w:rFonts w:hint="eastAsia"/>
                <w:color w:val="auto"/>
                <w:sz w:val="21"/>
                <w:szCs w:val="21"/>
              </w:rPr>
              <w:t>5.59E-05</w:t>
            </w:r>
          </w:p>
        </w:tc>
        <w:tc>
          <w:tcPr>
            <w:tcW w:w="206" w:type="pct"/>
            <w:shd w:val="clear" w:color="auto" w:fill="auto"/>
          </w:tcPr>
          <w:p w14:paraId="292024D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1334764">
            <w:pPr>
              <w:widowControl/>
              <w:spacing w:line="240" w:lineRule="auto"/>
              <w:ind w:firstLine="0" w:firstLineChars="0"/>
              <w:jc w:val="center"/>
              <w:rPr>
                <w:color w:val="auto"/>
                <w:sz w:val="21"/>
                <w:szCs w:val="21"/>
              </w:rPr>
            </w:pPr>
            <w:r>
              <w:rPr>
                <w:rFonts w:hint="eastAsia"/>
                <w:color w:val="auto"/>
                <w:sz w:val="21"/>
                <w:szCs w:val="21"/>
              </w:rPr>
              <w:t>4.04E-05</w:t>
            </w:r>
          </w:p>
        </w:tc>
        <w:tc>
          <w:tcPr>
            <w:tcW w:w="170" w:type="pct"/>
          </w:tcPr>
          <w:p w14:paraId="3746B30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E4DE184">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172" w:type="pct"/>
            <w:shd w:val="clear" w:color="auto" w:fill="auto"/>
          </w:tcPr>
          <w:p w14:paraId="7CD1489C">
            <w:pPr>
              <w:widowControl/>
              <w:spacing w:line="240" w:lineRule="auto"/>
              <w:ind w:firstLine="0" w:firstLineChars="0"/>
              <w:jc w:val="center"/>
              <w:rPr>
                <w:color w:val="auto"/>
                <w:kern w:val="0"/>
                <w:sz w:val="21"/>
                <w:szCs w:val="21"/>
              </w:rPr>
            </w:pPr>
            <w:r>
              <w:rPr>
                <w:rFonts w:hint="eastAsia"/>
                <w:color w:val="auto"/>
                <w:sz w:val="21"/>
                <w:szCs w:val="21"/>
              </w:rPr>
              <w:t>0.18</w:t>
            </w:r>
          </w:p>
        </w:tc>
        <w:tc>
          <w:tcPr>
            <w:tcW w:w="384" w:type="pct"/>
            <w:shd w:val="clear" w:color="auto" w:fill="auto"/>
          </w:tcPr>
          <w:p w14:paraId="03DB89B4">
            <w:pPr>
              <w:widowControl/>
              <w:spacing w:line="240" w:lineRule="auto"/>
              <w:ind w:firstLine="0" w:firstLineChars="0"/>
              <w:jc w:val="center"/>
              <w:rPr>
                <w:color w:val="auto"/>
                <w:kern w:val="0"/>
                <w:sz w:val="21"/>
                <w:szCs w:val="21"/>
              </w:rPr>
            </w:pPr>
            <w:r>
              <w:rPr>
                <w:rFonts w:hint="eastAsia"/>
                <w:color w:val="auto"/>
                <w:sz w:val="21"/>
                <w:szCs w:val="21"/>
              </w:rPr>
              <w:t>9.40E-05</w:t>
            </w:r>
          </w:p>
        </w:tc>
        <w:tc>
          <w:tcPr>
            <w:tcW w:w="212" w:type="pct"/>
            <w:shd w:val="clear" w:color="auto" w:fill="auto"/>
          </w:tcPr>
          <w:p w14:paraId="183E69C7">
            <w:pPr>
              <w:widowControl/>
              <w:spacing w:line="240" w:lineRule="auto"/>
              <w:ind w:firstLine="0" w:firstLineChars="0"/>
              <w:jc w:val="center"/>
              <w:rPr>
                <w:color w:val="auto"/>
                <w:kern w:val="0"/>
                <w:sz w:val="21"/>
                <w:szCs w:val="21"/>
              </w:rPr>
            </w:pPr>
            <w:r>
              <w:rPr>
                <w:rFonts w:hint="eastAsia"/>
                <w:color w:val="auto"/>
                <w:sz w:val="21"/>
                <w:szCs w:val="21"/>
              </w:rPr>
              <w:t>0.01</w:t>
            </w:r>
          </w:p>
        </w:tc>
      </w:tr>
      <w:tr w14:paraId="79508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DDA2DFD">
            <w:pPr>
              <w:widowControl/>
              <w:spacing w:line="240" w:lineRule="auto"/>
              <w:ind w:firstLine="0" w:firstLineChars="0"/>
              <w:jc w:val="center"/>
              <w:rPr>
                <w:color w:val="auto"/>
                <w:kern w:val="0"/>
                <w:sz w:val="21"/>
                <w:szCs w:val="21"/>
              </w:rPr>
            </w:pPr>
            <w:r>
              <w:rPr>
                <w:color w:val="auto"/>
                <w:sz w:val="21"/>
                <w:szCs w:val="21"/>
              </w:rPr>
              <w:t>600</w:t>
            </w:r>
          </w:p>
        </w:tc>
        <w:tc>
          <w:tcPr>
            <w:tcW w:w="420" w:type="pct"/>
            <w:shd w:val="clear" w:color="auto" w:fill="auto"/>
            <w:noWrap/>
          </w:tcPr>
          <w:p w14:paraId="76230F09">
            <w:pPr>
              <w:widowControl/>
              <w:spacing w:line="240" w:lineRule="auto"/>
              <w:ind w:firstLine="0" w:firstLineChars="0"/>
              <w:jc w:val="center"/>
              <w:rPr>
                <w:color w:val="auto"/>
                <w:kern w:val="0"/>
                <w:sz w:val="21"/>
                <w:szCs w:val="21"/>
              </w:rPr>
            </w:pPr>
            <w:r>
              <w:rPr>
                <w:rFonts w:hint="eastAsia"/>
                <w:color w:val="auto"/>
                <w:sz w:val="21"/>
                <w:szCs w:val="21"/>
              </w:rPr>
              <w:t>8.09E-05</w:t>
            </w:r>
          </w:p>
        </w:tc>
        <w:tc>
          <w:tcPr>
            <w:tcW w:w="292" w:type="pct"/>
            <w:shd w:val="clear" w:color="auto" w:fill="auto"/>
            <w:noWrap/>
          </w:tcPr>
          <w:p w14:paraId="3A04BB1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628A2DB5">
            <w:pPr>
              <w:widowControl/>
              <w:spacing w:line="240" w:lineRule="auto"/>
              <w:ind w:firstLine="0" w:firstLineChars="0"/>
              <w:jc w:val="center"/>
              <w:rPr>
                <w:color w:val="auto"/>
                <w:kern w:val="0"/>
                <w:sz w:val="21"/>
                <w:szCs w:val="21"/>
              </w:rPr>
            </w:pPr>
            <w:r>
              <w:rPr>
                <w:rFonts w:hint="eastAsia"/>
                <w:color w:val="auto"/>
                <w:sz w:val="21"/>
                <w:szCs w:val="21"/>
              </w:rPr>
              <w:t>5.69E-05</w:t>
            </w:r>
          </w:p>
        </w:tc>
        <w:tc>
          <w:tcPr>
            <w:tcW w:w="376" w:type="pct"/>
            <w:shd w:val="clear" w:color="auto" w:fill="auto"/>
          </w:tcPr>
          <w:p w14:paraId="6A08561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CDC7CD0">
            <w:pPr>
              <w:widowControl/>
              <w:spacing w:line="240" w:lineRule="auto"/>
              <w:ind w:firstLine="0" w:firstLineChars="0"/>
              <w:jc w:val="center"/>
              <w:rPr>
                <w:color w:val="auto"/>
                <w:kern w:val="0"/>
                <w:sz w:val="21"/>
                <w:szCs w:val="21"/>
              </w:rPr>
            </w:pPr>
            <w:r>
              <w:rPr>
                <w:rFonts w:hint="eastAsia"/>
                <w:color w:val="auto"/>
                <w:sz w:val="21"/>
                <w:szCs w:val="21"/>
              </w:rPr>
              <w:t>5.21E-04</w:t>
            </w:r>
          </w:p>
        </w:tc>
        <w:tc>
          <w:tcPr>
            <w:tcW w:w="239" w:type="pct"/>
            <w:shd w:val="clear" w:color="auto" w:fill="auto"/>
          </w:tcPr>
          <w:p w14:paraId="11AD0F15">
            <w:pPr>
              <w:widowControl/>
              <w:spacing w:line="240" w:lineRule="auto"/>
              <w:ind w:firstLine="0" w:firstLineChars="0"/>
              <w:jc w:val="center"/>
              <w:rPr>
                <w:color w:val="auto"/>
                <w:kern w:val="0"/>
                <w:sz w:val="21"/>
                <w:szCs w:val="21"/>
              </w:rPr>
            </w:pPr>
            <w:r>
              <w:rPr>
                <w:rFonts w:hint="eastAsia"/>
                <w:color w:val="auto"/>
                <w:sz w:val="21"/>
                <w:szCs w:val="21"/>
              </w:rPr>
              <w:t>0.26</w:t>
            </w:r>
          </w:p>
        </w:tc>
        <w:tc>
          <w:tcPr>
            <w:tcW w:w="451" w:type="pct"/>
            <w:shd w:val="clear" w:color="auto" w:fill="auto"/>
          </w:tcPr>
          <w:p w14:paraId="3728521A">
            <w:pPr>
              <w:widowControl/>
              <w:spacing w:line="240" w:lineRule="auto"/>
              <w:ind w:firstLine="0" w:firstLineChars="0"/>
              <w:jc w:val="center"/>
              <w:rPr>
                <w:color w:val="auto"/>
                <w:kern w:val="0"/>
                <w:sz w:val="21"/>
                <w:szCs w:val="21"/>
              </w:rPr>
            </w:pPr>
            <w:r>
              <w:rPr>
                <w:rFonts w:hint="eastAsia"/>
                <w:color w:val="auto"/>
                <w:sz w:val="21"/>
                <w:szCs w:val="21"/>
              </w:rPr>
              <w:t>5.39E-05</w:t>
            </w:r>
          </w:p>
        </w:tc>
        <w:tc>
          <w:tcPr>
            <w:tcW w:w="206" w:type="pct"/>
            <w:shd w:val="clear" w:color="auto" w:fill="auto"/>
          </w:tcPr>
          <w:p w14:paraId="20E26F2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9CE5454">
            <w:pPr>
              <w:widowControl/>
              <w:spacing w:line="240" w:lineRule="auto"/>
              <w:ind w:firstLine="0" w:firstLineChars="0"/>
              <w:jc w:val="center"/>
              <w:rPr>
                <w:color w:val="auto"/>
                <w:sz w:val="21"/>
                <w:szCs w:val="21"/>
              </w:rPr>
            </w:pPr>
            <w:r>
              <w:rPr>
                <w:rFonts w:hint="eastAsia"/>
                <w:color w:val="auto"/>
                <w:sz w:val="21"/>
                <w:szCs w:val="21"/>
              </w:rPr>
              <w:t>3.90E-05</w:t>
            </w:r>
          </w:p>
        </w:tc>
        <w:tc>
          <w:tcPr>
            <w:tcW w:w="170" w:type="pct"/>
          </w:tcPr>
          <w:p w14:paraId="6B85E059">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9FC9B44">
            <w:pPr>
              <w:widowControl/>
              <w:spacing w:line="240" w:lineRule="auto"/>
              <w:ind w:firstLine="0" w:firstLineChars="0"/>
              <w:jc w:val="center"/>
              <w:rPr>
                <w:color w:val="auto"/>
                <w:kern w:val="0"/>
                <w:sz w:val="21"/>
                <w:szCs w:val="21"/>
              </w:rPr>
            </w:pPr>
            <w:r>
              <w:rPr>
                <w:rFonts w:hint="eastAsia"/>
                <w:color w:val="auto"/>
                <w:sz w:val="21"/>
                <w:szCs w:val="21"/>
              </w:rPr>
              <w:t>3.57E-04</w:t>
            </w:r>
          </w:p>
        </w:tc>
        <w:tc>
          <w:tcPr>
            <w:tcW w:w="172" w:type="pct"/>
            <w:shd w:val="clear" w:color="auto" w:fill="auto"/>
          </w:tcPr>
          <w:p w14:paraId="3ADD2697">
            <w:pPr>
              <w:widowControl/>
              <w:spacing w:line="240" w:lineRule="auto"/>
              <w:ind w:firstLine="0" w:firstLineChars="0"/>
              <w:jc w:val="center"/>
              <w:rPr>
                <w:color w:val="auto"/>
                <w:kern w:val="0"/>
                <w:sz w:val="21"/>
                <w:szCs w:val="21"/>
              </w:rPr>
            </w:pPr>
            <w:r>
              <w:rPr>
                <w:rFonts w:hint="eastAsia"/>
                <w:color w:val="auto"/>
                <w:sz w:val="21"/>
                <w:szCs w:val="21"/>
              </w:rPr>
              <w:t>0.18</w:t>
            </w:r>
          </w:p>
        </w:tc>
        <w:tc>
          <w:tcPr>
            <w:tcW w:w="384" w:type="pct"/>
            <w:shd w:val="clear" w:color="auto" w:fill="auto"/>
          </w:tcPr>
          <w:p w14:paraId="511E531C">
            <w:pPr>
              <w:widowControl/>
              <w:spacing w:line="240" w:lineRule="auto"/>
              <w:ind w:firstLine="0" w:firstLineChars="0"/>
              <w:jc w:val="center"/>
              <w:rPr>
                <w:color w:val="auto"/>
                <w:kern w:val="0"/>
                <w:sz w:val="21"/>
                <w:szCs w:val="21"/>
              </w:rPr>
            </w:pPr>
            <w:r>
              <w:rPr>
                <w:rFonts w:hint="eastAsia"/>
                <w:color w:val="auto"/>
                <w:sz w:val="21"/>
                <w:szCs w:val="21"/>
              </w:rPr>
              <w:t>9.07E-05</w:t>
            </w:r>
          </w:p>
        </w:tc>
        <w:tc>
          <w:tcPr>
            <w:tcW w:w="212" w:type="pct"/>
            <w:shd w:val="clear" w:color="auto" w:fill="auto"/>
          </w:tcPr>
          <w:p w14:paraId="1367345D">
            <w:pPr>
              <w:widowControl/>
              <w:spacing w:line="240" w:lineRule="auto"/>
              <w:ind w:firstLine="0" w:firstLineChars="0"/>
              <w:jc w:val="center"/>
              <w:rPr>
                <w:color w:val="auto"/>
                <w:kern w:val="0"/>
                <w:sz w:val="21"/>
                <w:szCs w:val="21"/>
              </w:rPr>
            </w:pPr>
            <w:r>
              <w:rPr>
                <w:rFonts w:hint="eastAsia"/>
                <w:color w:val="auto"/>
                <w:sz w:val="21"/>
                <w:szCs w:val="21"/>
              </w:rPr>
              <w:t>0.01</w:t>
            </w:r>
          </w:p>
        </w:tc>
      </w:tr>
      <w:tr w14:paraId="3F43A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1B54343">
            <w:pPr>
              <w:widowControl/>
              <w:spacing w:line="240" w:lineRule="auto"/>
              <w:ind w:firstLine="0" w:firstLineChars="0"/>
              <w:jc w:val="center"/>
              <w:rPr>
                <w:color w:val="auto"/>
                <w:kern w:val="0"/>
                <w:sz w:val="21"/>
                <w:szCs w:val="21"/>
              </w:rPr>
            </w:pPr>
            <w:r>
              <w:rPr>
                <w:color w:val="auto"/>
                <w:sz w:val="21"/>
                <w:szCs w:val="21"/>
              </w:rPr>
              <w:t>625</w:t>
            </w:r>
          </w:p>
        </w:tc>
        <w:tc>
          <w:tcPr>
            <w:tcW w:w="420" w:type="pct"/>
            <w:shd w:val="clear" w:color="auto" w:fill="auto"/>
            <w:noWrap/>
          </w:tcPr>
          <w:p w14:paraId="41E23662">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292" w:type="pct"/>
            <w:shd w:val="clear" w:color="auto" w:fill="auto"/>
            <w:noWrap/>
          </w:tcPr>
          <w:p w14:paraId="1E4D2DA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1DD80FE">
            <w:pPr>
              <w:widowControl/>
              <w:spacing w:line="240" w:lineRule="auto"/>
              <w:ind w:firstLine="0" w:firstLineChars="0"/>
              <w:jc w:val="center"/>
              <w:rPr>
                <w:color w:val="auto"/>
                <w:kern w:val="0"/>
                <w:sz w:val="21"/>
                <w:szCs w:val="21"/>
              </w:rPr>
            </w:pPr>
            <w:r>
              <w:rPr>
                <w:rFonts w:hint="eastAsia"/>
                <w:color w:val="auto"/>
                <w:sz w:val="21"/>
                <w:szCs w:val="21"/>
              </w:rPr>
              <w:t>5.53E-05</w:t>
            </w:r>
          </w:p>
        </w:tc>
        <w:tc>
          <w:tcPr>
            <w:tcW w:w="376" w:type="pct"/>
            <w:shd w:val="clear" w:color="auto" w:fill="auto"/>
          </w:tcPr>
          <w:p w14:paraId="79AA468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46049A4">
            <w:pPr>
              <w:widowControl/>
              <w:spacing w:line="240" w:lineRule="auto"/>
              <w:ind w:firstLine="0" w:firstLineChars="0"/>
              <w:jc w:val="center"/>
              <w:rPr>
                <w:color w:val="auto"/>
                <w:kern w:val="0"/>
                <w:sz w:val="21"/>
                <w:szCs w:val="21"/>
              </w:rPr>
            </w:pPr>
            <w:r>
              <w:rPr>
                <w:rFonts w:hint="eastAsia"/>
                <w:color w:val="auto"/>
                <w:sz w:val="21"/>
                <w:szCs w:val="21"/>
              </w:rPr>
              <w:t>5.06E-04</w:t>
            </w:r>
          </w:p>
        </w:tc>
        <w:tc>
          <w:tcPr>
            <w:tcW w:w="239" w:type="pct"/>
            <w:shd w:val="clear" w:color="auto" w:fill="auto"/>
          </w:tcPr>
          <w:p w14:paraId="4CF5CCA7">
            <w:pPr>
              <w:widowControl/>
              <w:spacing w:line="240" w:lineRule="auto"/>
              <w:ind w:firstLine="0" w:firstLineChars="0"/>
              <w:jc w:val="center"/>
              <w:rPr>
                <w:color w:val="auto"/>
                <w:kern w:val="0"/>
                <w:sz w:val="21"/>
                <w:szCs w:val="21"/>
              </w:rPr>
            </w:pPr>
            <w:r>
              <w:rPr>
                <w:rFonts w:hint="eastAsia"/>
                <w:color w:val="auto"/>
                <w:sz w:val="21"/>
                <w:szCs w:val="21"/>
              </w:rPr>
              <w:t>0.25</w:t>
            </w:r>
          </w:p>
        </w:tc>
        <w:tc>
          <w:tcPr>
            <w:tcW w:w="451" w:type="pct"/>
            <w:shd w:val="clear" w:color="auto" w:fill="auto"/>
          </w:tcPr>
          <w:p w14:paraId="0CB905BA">
            <w:pPr>
              <w:widowControl/>
              <w:spacing w:line="240" w:lineRule="auto"/>
              <w:ind w:firstLine="0" w:firstLineChars="0"/>
              <w:jc w:val="center"/>
              <w:rPr>
                <w:color w:val="auto"/>
                <w:kern w:val="0"/>
                <w:sz w:val="21"/>
                <w:szCs w:val="21"/>
              </w:rPr>
            </w:pPr>
            <w:r>
              <w:rPr>
                <w:rFonts w:hint="eastAsia"/>
                <w:color w:val="auto"/>
                <w:sz w:val="21"/>
                <w:szCs w:val="21"/>
              </w:rPr>
              <w:t>5.23E-05</w:t>
            </w:r>
          </w:p>
        </w:tc>
        <w:tc>
          <w:tcPr>
            <w:tcW w:w="206" w:type="pct"/>
            <w:shd w:val="clear" w:color="auto" w:fill="auto"/>
          </w:tcPr>
          <w:p w14:paraId="311D68F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051A97F">
            <w:pPr>
              <w:widowControl/>
              <w:spacing w:line="240" w:lineRule="auto"/>
              <w:ind w:firstLine="0" w:firstLineChars="0"/>
              <w:jc w:val="center"/>
              <w:rPr>
                <w:color w:val="auto"/>
                <w:sz w:val="21"/>
                <w:szCs w:val="21"/>
              </w:rPr>
            </w:pPr>
            <w:r>
              <w:rPr>
                <w:rFonts w:hint="eastAsia"/>
                <w:color w:val="auto"/>
                <w:sz w:val="21"/>
                <w:szCs w:val="21"/>
              </w:rPr>
              <w:t>3.78E-05</w:t>
            </w:r>
          </w:p>
        </w:tc>
        <w:tc>
          <w:tcPr>
            <w:tcW w:w="170" w:type="pct"/>
          </w:tcPr>
          <w:p w14:paraId="67E0431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17A3D38">
            <w:pPr>
              <w:widowControl/>
              <w:spacing w:line="240" w:lineRule="auto"/>
              <w:ind w:firstLine="0" w:firstLineChars="0"/>
              <w:jc w:val="center"/>
              <w:rPr>
                <w:color w:val="auto"/>
                <w:kern w:val="0"/>
                <w:sz w:val="21"/>
                <w:szCs w:val="21"/>
              </w:rPr>
            </w:pPr>
            <w:r>
              <w:rPr>
                <w:rFonts w:hint="eastAsia"/>
                <w:color w:val="auto"/>
                <w:sz w:val="21"/>
                <w:szCs w:val="21"/>
              </w:rPr>
              <w:t>3.46E-04</w:t>
            </w:r>
          </w:p>
        </w:tc>
        <w:tc>
          <w:tcPr>
            <w:tcW w:w="172" w:type="pct"/>
            <w:shd w:val="clear" w:color="auto" w:fill="auto"/>
          </w:tcPr>
          <w:p w14:paraId="698B56D9">
            <w:pPr>
              <w:widowControl/>
              <w:spacing w:line="240" w:lineRule="auto"/>
              <w:ind w:firstLine="0" w:firstLineChars="0"/>
              <w:jc w:val="center"/>
              <w:rPr>
                <w:color w:val="auto"/>
                <w:kern w:val="0"/>
                <w:sz w:val="21"/>
                <w:szCs w:val="21"/>
              </w:rPr>
            </w:pPr>
            <w:r>
              <w:rPr>
                <w:rFonts w:hint="eastAsia"/>
                <w:color w:val="auto"/>
                <w:sz w:val="21"/>
                <w:szCs w:val="21"/>
              </w:rPr>
              <w:t>0.17</w:t>
            </w:r>
          </w:p>
        </w:tc>
        <w:tc>
          <w:tcPr>
            <w:tcW w:w="384" w:type="pct"/>
            <w:shd w:val="clear" w:color="auto" w:fill="auto"/>
          </w:tcPr>
          <w:p w14:paraId="218FA3F1">
            <w:pPr>
              <w:widowControl/>
              <w:spacing w:line="240" w:lineRule="auto"/>
              <w:ind w:firstLine="0" w:firstLineChars="0"/>
              <w:jc w:val="center"/>
              <w:rPr>
                <w:color w:val="auto"/>
                <w:kern w:val="0"/>
                <w:sz w:val="21"/>
                <w:szCs w:val="21"/>
              </w:rPr>
            </w:pPr>
            <w:r>
              <w:rPr>
                <w:rFonts w:hint="eastAsia"/>
                <w:color w:val="auto"/>
                <w:sz w:val="21"/>
                <w:szCs w:val="21"/>
              </w:rPr>
              <w:t>8.81E-05</w:t>
            </w:r>
          </w:p>
        </w:tc>
        <w:tc>
          <w:tcPr>
            <w:tcW w:w="212" w:type="pct"/>
            <w:shd w:val="clear" w:color="auto" w:fill="auto"/>
          </w:tcPr>
          <w:p w14:paraId="1E91179D">
            <w:pPr>
              <w:widowControl/>
              <w:spacing w:line="240" w:lineRule="auto"/>
              <w:ind w:firstLine="0" w:firstLineChars="0"/>
              <w:jc w:val="center"/>
              <w:rPr>
                <w:color w:val="auto"/>
                <w:kern w:val="0"/>
                <w:sz w:val="21"/>
                <w:szCs w:val="21"/>
              </w:rPr>
            </w:pPr>
            <w:r>
              <w:rPr>
                <w:rFonts w:hint="eastAsia"/>
                <w:color w:val="auto"/>
                <w:sz w:val="21"/>
                <w:szCs w:val="21"/>
              </w:rPr>
              <w:t>0.01</w:t>
            </w:r>
          </w:p>
        </w:tc>
      </w:tr>
      <w:tr w14:paraId="40EAE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2100EA1">
            <w:pPr>
              <w:widowControl/>
              <w:spacing w:line="240" w:lineRule="auto"/>
              <w:ind w:firstLine="0" w:firstLineChars="0"/>
              <w:jc w:val="center"/>
              <w:rPr>
                <w:color w:val="auto"/>
                <w:kern w:val="0"/>
                <w:sz w:val="21"/>
                <w:szCs w:val="21"/>
              </w:rPr>
            </w:pPr>
            <w:r>
              <w:rPr>
                <w:color w:val="auto"/>
                <w:sz w:val="21"/>
                <w:szCs w:val="21"/>
              </w:rPr>
              <w:t>650</w:t>
            </w:r>
          </w:p>
        </w:tc>
        <w:tc>
          <w:tcPr>
            <w:tcW w:w="420" w:type="pct"/>
            <w:shd w:val="clear" w:color="auto" w:fill="auto"/>
            <w:noWrap/>
          </w:tcPr>
          <w:p w14:paraId="5D0E05E9">
            <w:pPr>
              <w:widowControl/>
              <w:spacing w:line="240" w:lineRule="auto"/>
              <w:ind w:firstLine="0" w:firstLineChars="0"/>
              <w:jc w:val="center"/>
              <w:rPr>
                <w:color w:val="auto"/>
                <w:kern w:val="0"/>
                <w:sz w:val="21"/>
                <w:szCs w:val="21"/>
              </w:rPr>
            </w:pPr>
            <w:r>
              <w:rPr>
                <w:rFonts w:hint="eastAsia"/>
                <w:color w:val="auto"/>
                <w:sz w:val="21"/>
                <w:szCs w:val="21"/>
              </w:rPr>
              <w:t>7.61E-05</w:t>
            </w:r>
          </w:p>
        </w:tc>
        <w:tc>
          <w:tcPr>
            <w:tcW w:w="292" w:type="pct"/>
            <w:shd w:val="clear" w:color="auto" w:fill="auto"/>
            <w:noWrap/>
          </w:tcPr>
          <w:p w14:paraId="7E05AA2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A5DE407">
            <w:pPr>
              <w:widowControl/>
              <w:spacing w:line="240" w:lineRule="auto"/>
              <w:ind w:firstLine="0" w:firstLineChars="0"/>
              <w:jc w:val="center"/>
              <w:rPr>
                <w:color w:val="auto"/>
                <w:kern w:val="0"/>
                <w:sz w:val="21"/>
                <w:szCs w:val="21"/>
              </w:rPr>
            </w:pPr>
            <w:r>
              <w:rPr>
                <w:rFonts w:hint="eastAsia"/>
                <w:color w:val="auto"/>
                <w:sz w:val="21"/>
                <w:szCs w:val="21"/>
              </w:rPr>
              <w:t>5.35E-05</w:t>
            </w:r>
          </w:p>
        </w:tc>
        <w:tc>
          <w:tcPr>
            <w:tcW w:w="376" w:type="pct"/>
            <w:shd w:val="clear" w:color="auto" w:fill="auto"/>
          </w:tcPr>
          <w:p w14:paraId="3F01A13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C923EBA">
            <w:pPr>
              <w:widowControl/>
              <w:spacing w:line="240" w:lineRule="auto"/>
              <w:ind w:firstLine="0" w:firstLineChars="0"/>
              <w:jc w:val="center"/>
              <w:rPr>
                <w:color w:val="auto"/>
                <w:kern w:val="0"/>
                <w:sz w:val="21"/>
                <w:szCs w:val="21"/>
              </w:rPr>
            </w:pPr>
            <w:r>
              <w:rPr>
                <w:rFonts w:hint="eastAsia"/>
                <w:color w:val="auto"/>
                <w:sz w:val="21"/>
                <w:szCs w:val="21"/>
              </w:rPr>
              <w:t>4.90E-04</w:t>
            </w:r>
          </w:p>
        </w:tc>
        <w:tc>
          <w:tcPr>
            <w:tcW w:w="239" w:type="pct"/>
            <w:shd w:val="clear" w:color="auto" w:fill="auto"/>
          </w:tcPr>
          <w:p w14:paraId="517D428E">
            <w:pPr>
              <w:widowControl/>
              <w:spacing w:line="240" w:lineRule="auto"/>
              <w:ind w:firstLine="0" w:firstLineChars="0"/>
              <w:jc w:val="center"/>
              <w:rPr>
                <w:color w:val="auto"/>
                <w:kern w:val="0"/>
                <w:sz w:val="21"/>
                <w:szCs w:val="21"/>
              </w:rPr>
            </w:pPr>
            <w:r>
              <w:rPr>
                <w:rFonts w:hint="eastAsia"/>
                <w:color w:val="auto"/>
                <w:sz w:val="21"/>
                <w:szCs w:val="21"/>
              </w:rPr>
              <w:t>0.25</w:t>
            </w:r>
          </w:p>
        </w:tc>
        <w:tc>
          <w:tcPr>
            <w:tcW w:w="451" w:type="pct"/>
            <w:shd w:val="clear" w:color="auto" w:fill="auto"/>
          </w:tcPr>
          <w:p w14:paraId="4D6F2B62">
            <w:pPr>
              <w:widowControl/>
              <w:spacing w:line="240" w:lineRule="auto"/>
              <w:ind w:firstLine="0" w:firstLineChars="0"/>
              <w:jc w:val="center"/>
              <w:rPr>
                <w:color w:val="auto"/>
                <w:kern w:val="0"/>
                <w:sz w:val="21"/>
                <w:szCs w:val="21"/>
              </w:rPr>
            </w:pPr>
            <w:r>
              <w:rPr>
                <w:rFonts w:hint="eastAsia"/>
                <w:color w:val="auto"/>
                <w:sz w:val="21"/>
                <w:szCs w:val="21"/>
              </w:rPr>
              <w:t>5.07E-05</w:t>
            </w:r>
          </w:p>
        </w:tc>
        <w:tc>
          <w:tcPr>
            <w:tcW w:w="206" w:type="pct"/>
            <w:shd w:val="clear" w:color="auto" w:fill="auto"/>
          </w:tcPr>
          <w:p w14:paraId="3CE03AB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139A92C">
            <w:pPr>
              <w:widowControl/>
              <w:spacing w:line="240" w:lineRule="auto"/>
              <w:ind w:firstLine="0" w:firstLineChars="0"/>
              <w:jc w:val="center"/>
              <w:rPr>
                <w:color w:val="auto"/>
                <w:sz w:val="21"/>
                <w:szCs w:val="21"/>
              </w:rPr>
            </w:pPr>
            <w:r>
              <w:rPr>
                <w:rFonts w:hint="eastAsia"/>
                <w:color w:val="auto"/>
                <w:sz w:val="21"/>
                <w:szCs w:val="21"/>
              </w:rPr>
              <w:t>3.66E-05</w:t>
            </w:r>
          </w:p>
        </w:tc>
        <w:tc>
          <w:tcPr>
            <w:tcW w:w="170" w:type="pct"/>
          </w:tcPr>
          <w:p w14:paraId="1C1BA7EC">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C05BF48">
            <w:pPr>
              <w:widowControl/>
              <w:spacing w:line="240" w:lineRule="auto"/>
              <w:ind w:firstLine="0" w:firstLineChars="0"/>
              <w:jc w:val="center"/>
              <w:rPr>
                <w:color w:val="auto"/>
                <w:kern w:val="0"/>
                <w:sz w:val="21"/>
                <w:szCs w:val="21"/>
              </w:rPr>
            </w:pPr>
            <w:r>
              <w:rPr>
                <w:rFonts w:hint="eastAsia"/>
                <w:color w:val="auto"/>
                <w:sz w:val="21"/>
                <w:szCs w:val="21"/>
              </w:rPr>
              <w:t>3.35E-04</w:t>
            </w:r>
          </w:p>
        </w:tc>
        <w:tc>
          <w:tcPr>
            <w:tcW w:w="172" w:type="pct"/>
            <w:shd w:val="clear" w:color="auto" w:fill="auto"/>
          </w:tcPr>
          <w:p w14:paraId="33881B7D">
            <w:pPr>
              <w:widowControl/>
              <w:spacing w:line="240" w:lineRule="auto"/>
              <w:ind w:firstLine="0" w:firstLineChars="0"/>
              <w:jc w:val="center"/>
              <w:rPr>
                <w:color w:val="auto"/>
                <w:kern w:val="0"/>
                <w:sz w:val="21"/>
                <w:szCs w:val="21"/>
              </w:rPr>
            </w:pPr>
            <w:r>
              <w:rPr>
                <w:rFonts w:hint="eastAsia"/>
                <w:color w:val="auto"/>
                <w:sz w:val="21"/>
                <w:szCs w:val="21"/>
              </w:rPr>
              <w:t>0.17</w:t>
            </w:r>
          </w:p>
        </w:tc>
        <w:tc>
          <w:tcPr>
            <w:tcW w:w="384" w:type="pct"/>
            <w:shd w:val="clear" w:color="auto" w:fill="auto"/>
          </w:tcPr>
          <w:p w14:paraId="0793630E">
            <w:pPr>
              <w:widowControl/>
              <w:spacing w:line="240" w:lineRule="auto"/>
              <w:ind w:firstLine="0" w:firstLineChars="0"/>
              <w:jc w:val="center"/>
              <w:rPr>
                <w:color w:val="auto"/>
                <w:kern w:val="0"/>
                <w:sz w:val="21"/>
                <w:szCs w:val="21"/>
              </w:rPr>
            </w:pPr>
            <w:r>
              <w:rPr>
                <w:rFonts w:hint="eastAsia"/>
                <w:color w:val="auto"/>
                <w:sz w:val="21"/>
                <w:szCs w:val="21"/>
              </w:rPr>
              <w:t>8.53E-05</w:t>
            </w:r>
          </w:p>
        </w:tc>
        <w:tc>
          <w:tcPr>
            <w:tcW w:w="212" w:type="pct"/>
            <w:shd w:val="clear" w:color="auto" w:fill="auto"/>
          </w:tcPr>
          <w:p w14:paraId="3C4BBEFE">
            <w:pPr>
              <w:widowControl/>
              <w:spacing w:line="240" w:lineRule="auto"/>
              <w:ind w:firstLine="0" w:firstLineChars="0"/>
              <w:jc w:val="center"/>
              <w:rPr>
                <w:color w:val="auto"/>
                <w:kern w:val="0"/>
                <w:sz w:val="21"/>
                <w:szCs w:val="21"/>
              </w:rPr>
            </w:pPr>
            <w:r>
              <w:rPr>
                <w:rFonts w:hint="eastAsia"/>
                <w:color w:val="auto"/>
                <w:sz w:val="21"/>
                <w:szCs w:val="21"/>
              </w:rPr>
              <w:t>0.01</w:t>
            </w:r>
          </w:p>
        </w:tc>
      </w:tr>
      <w:tr w14:paraId="3D1A9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E5B2D9C">
            <w:pPr>
              <w:widowControl/>
              <w:spacing w:line="240" w:lineRule="auto"/>
              <w:ind w:firstLine="0" w:firstLineChars="0"/>
              <w:jc w:val="center"/>
              <w:rPr>
                <w:color w:val="auto"/>
                <w:kern w:val="0"/>
                <w:sz w:val="21"/>
                <w:szCs w:val="21"/>
              </w:rPr>
            </w:pPr>
            <w:r>
              <w:rPr>
                <w:color w:val="auto"/>
                <w:sz w:val="21"/>
                <w:szCs w:val="21"/>
              </w:rPr>
              <w:t>675</w:t>
            </w:r>
          </w:p>
        </w:tc>
        <w:tc>
          <w:tcPr>
            <w:tcW w:w="420" w:type="pct"/>
            <w:shd w:val="clear" w:color="auto" w:fill="auto"/>
            <w:noWrap/>
          </w:tcPr>
          <w:p w14:paraId="5AF1710B">
            <w:pPr>
              <w:widowControl/>
              <w:spacing w:line="240" w:lineRule="auto"/>
              <w:ind w:firstLine="0" w:firstLineChars="0"/>
              <w:jc w:val="center"/>
              <w:rPr>
                <w:color w:val="auto"/>
                <w:kern w:val="0"/>
                <w:sz w:val="21"/>
                <w:szCs w:val="21"/>
              </w:rPr>
            </w:pPr>
            <w:r>
              <w:rPr>
                <w:rFonts w:hint="eastAsia"/>
                <w:color w:val="auto"/>
                <w:sz w:val="21"/>
                <w:szCs w:val="21"/>
              </w:rPr>
              <w:t>7.36E-05</w:t>
            </w:r>
          </w:p>
        </w:tc>
        <w:tc>
          <w:tcPr>
            <w:tcW w:w="292" w:type="pct"/>
            <w:shd w:val="clear" w:color="auto" w:fill="auto"/>
            <w:noWrap/>
          </w:tcPr>
          <w:p w14:paraId="7B8A95C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E9FD007">
            <w:pPr>
              <w:widowControl/>
              <w:spacing w:line="240" w:lineRule="auto"/>
              <w:ind w:firstLine="0" w:firstLineChars="0"/>
              <w:jc w:val="center"/>
              <w:rPr>
                <w:color w:val="auto"/>
                <w:kern w:val="0"/>
                <w:sz w:val="21"/>
                <w:szCs w:val="21"/>
              </w:rPr>
            </w:pPr>
            <w:r>
              <w:rPr>
                <w:rFonts w:hint="eastAsia"/>
                <w:color w:val="auto"/>
                <w:sz w:val="21"/>
                <w:szCs w:val="21"/>
              </w:rPr>
              <w:t>5.18E-05</w:t>
            </w:r>
          </w:p>
        </w:tc>
        <w:tc>
          <w:tcPr>
            <w:tcW w:w="376" w:type="pct"/>
            <w:shd w:val="clear" w:color="auto" w:fill="auto"/>
          </w:tcPr>
          <w:p w14:paraId="23FC57F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2C753C8">
            <w:pPr>
              <w:widowControl/>
              <w:spacing w:line="240" w:lineRule="auto"/>
              <w:ind w:firstLine="0" w:firstLineChars="0"/>
              <w:jc w:val="center"/>
              <w:rPr>
                <w:color w:val="auto"/>
                <w:kern w:val="0"/>
                <w:sz w:val="21"/>
                <w:szCs w:val="21"/>
              </w:rPr>
            </w:pPr>
            <w:r>
              <w:rPr>
                <w:rFonts w:hint="eastAsia"/>
                <w:color w:val="auto"/>
                <w:sz w:val="21"/>
                <w:szCs w:val="21"/>
              </w:rPr>
              <w:t>4.75E-04</w:t>
            </w:r>
          </w:p>
        </w:tc>
        <w:tc>
          <w:tcPr>
            <w:tcW w:w="239" w:type="pct"/>
            <w:shd w:val="clear" w:color="auto" w:fill="auto"/>
          </w:tcPr>
          <w:p w14:paraId="53E5EA36">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3656E931">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206" w:type="pct"/>
            <w:shd w:val="clear" w:color="auto" w:fill="auto"/>
          </w:tcPr>
          <w:p w14:paraId="3F3CD2E5">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B7369B8">
            <w:pPr>
              <w:widowControl/>
              <w:spacing w:line="240" w:lineRule="auto"/>
              <w:ind w:firstLine="0" w:firstLineChars="0"/>
              <w:jc w:val="center"/>
              <w:rPr>
                <w:color w:val="auto"/>
                <w:sz w:val="21"/>
                <w:szCs w:val="21"/>
              </w:rPr>
            </w:pPr>
            <w:r>
              <w:rPr>
                <w:rFonts w:hint="eastAsia"/>
                <w:color w:val="auto"/>
                <w:sz w:val="21"/>
                <w:szCs w:val="21"/>
              </w:rPr>
              <w:t>3.55E-05</w:t>
            </w:r>
          </w:p>
        </w:tc>
        <w:tc>
          <w:tcPr>
            <w:tcW w:w="170" w:type="pct"/>
          </w:tcPr>
          <w:p w14:paraId="35AB791B">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E51E2AB">
            <w:pPr>
              <w:widowControl/>
              <w:spacing w:line="240" w:lineRule="auto"/>
              <w:ind w:firstLine="0" w:firstLineChars="0"/>
              <w:jc w:val="center"/>
              <w:rPr>
                <w:color w:val="auto"/>
                <w:kern w:val="0"/>
                <w:sz w:val="21"/>
                <w:szCs w:val="21"/>
              </w:rPr>
            </w:pPr>
            <w:r>
              <w:rPr>
                <w:rFonts w:hint="eastAsia"/>
                <w:color w:val="auto"/>
                <w:sz w:val="21"/>
                <w:szCs w:val="21"/>
              </w:rPr>
              <w:t>3.25E-04</w:t>
            </w:r>
          </w:p>
        </w:tc>
        <w:tc>
          <w:tcPr>
            <w:tcW w:w="172" w:type="pct"/>
            <w:shd w:val="clear" w:color="auto" w:fill="auto"/>
          </w:tcPr>
          <w:p w14:paraId="76717623">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79CE0982">
            <w:pPr>
              <w:widowControl/>
              <w:spacing w:line="240" w:lineRule="auto"/>
              <w:ind w:firstLine="0" w:firstLineChars="0"/>
              <w:jc w:val="center"/>
              <w:rPr>
                <w:color w:val="auto"/>
                <w:kern w:val="0"/>
                <w:sz w:val="21"/>
                <w:szCs w:val="21"/>
              </w:rPr>
            </w:pPr>
            <w:r>
              <w:rPr>
                <w:rFonts w:hint="eastAsia"/>
                <w:color w:val="auto"/>
                <w:sz w:val="21"/>
                <w:szCs w:val="21"/>
              </w:rPr>
              <w:t>8.26E-05</w:t>
            </w:r>
          </w:p>
        </w:tc>
        <w:tc>
          <w:tcPr>
            <w:tcW w:w="212" w:type="pct"/>
            <w:shd w:val="clear" w:color="auto" w:fill="auto"/>
          </w:tcPr>
          <w:p w14:paraId="704FB689">
            <w:pPr>
              <w:widowControl/>
              <w:spacing w:line="240" w:lineRule="auto"/>
              <w:ind w:firstLine="0" w:firstLineChars="0"/>
              <w:jc w:val="center"/>
              <w:rPr>
                <w:color w:val="auto"/>
                <w:kern w:val="0"/>
                <w:sz w:val="21"/>
                <w:szCs w:val="21"/>
              </w:rPr>
            </w:pPr>
            <w:r>
              <w:rPr>
                <w:rFonts w:hint="eastAsia"/>
                <w:color w:val="auto"/>
                <w:sz w:val="21"/>
                <w:szCs w:val="21"/>
              </w:rPr>
              <w:t>0.01</w:t>
            </w:r>
          </w:p>
        </w:tc>
      </w:tr>
      <w:tr w14:paraId="1DBE4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14A1F9F">
            <w:pPr>
              <w:widowControl/>
              <w:spacing w:line="240" w:lineRule="auto"/>
              <w:ind w:firstLine="0" w:firstLineChars="0"/>
              <w:jc w:val="center"/>
              <w:rPr>
                <w:color w:val="auto"/>
                <w:kern w:val="0"/>
                <w:sz w:val="21"/>
                <w:szCs w:val="21"/>
              </w:rPr>
            </w:pPr>
            <w:r>
              <w:rPr>
                <w:color w:val="auto"/>
                <w:sz w:val="21"/>
                <w:szCs w:val="21"/>
              </w:rPr>
              <w:t>700</w:t>
            </w:r>
          </w:p>
        </w:tc>
        <w:tc>
          <w:tcPr>
            <w:tcW w:w="420" w:type="pct"/>
            <w:shd w:val="clear" w:color="auto" w:fill="auto"/>
            <w:noWrap/>
          </w:tcPr>
          <w:p w14:paraId="53ABDCBE">
            <w:pPr>
              <w:widowControl/>
              <w:spacing w:line="240" w:lineRule="auto"/>
              <w:ind w:firstLine="0" w:firstLineChars="0"/>
              <w:jc w:val="center"/>
              <w:rPr>
                <w:color w:val="auto"/>
                <w:kern w:val="0"/>
                <w:sz w:val="21"/>
                <w:szCs w:val="21"/>
              </w:rPr>
            </w:pPr>
            <w:r>
              <w:rPr>
                <w:rFonts w:hint="eastAsia"/>
                <w:color w:val="auto"/>
                <w:sz w:val="21"/>
                <w:szCs w:val="21"/>
              </w:rPr>
              <w:t>7.12E-05</w:t>
            </w:r>
          </w:p>
        </w:tc>
        <w:tc>
          <w:tcPr>
            <w:tcW w:w="292" w:type="pct"/>
            <w:shd w:val="clear" w:color="auto" w:fill="auto"/>
            <w:noWrap/>
          </w:tcPr>
          <w:p w14:paraId="034057E4">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56788AC3">
            <w:pPr>
              <w:widowControl/>
              <w:spacing w:line="240" w:lineRule="auto"/>
              <w:ind w:firstLine="0" w:firstLineChars="0"/>
              <w:jc w:val="center"/>
              <w:rPr>
                <w:color w:val="auto"/>
                <w:kern w:val="0"/>
                <w:sz w:val="21"/>
                <w:szCs w:val="21"/>
              </w:rPr>
            </w:pPr>
            <w:r>
              <w:rPr>
                <w:rFonts w:hint="eastAsia"/>
                <w:color w:val="auto"/>
                <w:sz w:val="21"/>
                <w:szCs w:val="21"/>
              </w:rPr>
              <w:t>5.01E-05</w:t>
            </w:r>
          </w:p>
        </w:tc>
        <w:tc>
          <w:tcPr>
            <w:tcW w:w="376" w:type="pct"/>
            <w:shd w:val="clear" w:color="auto" w:fill="auto"/>
          </w:tcPr>
          <w:p w14:paraId="697038E0">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142D8A6">
            <w:pPr>
              <w:widowControl/>
              <w:spacing w:line="240" w:lineRule="auto"/>
              <w:ind w:firstLine="0" w:firstLineChars="0"/>
              <w:jc w:val="center"/>
              <w:rPr>
                <w:color w:val="auto"/>
                <w:kern w:val="0"/>
                <w:sz w:val="21"/>
                <w:szCs w:val="21"/>
              </w:rPr>
            </w:pPr>
            <w:r>
              <w:rPr>
                <w:rFonts w:hint="eastAsia"/>
                <w:color w:val="auto"/>
                <w:sz w:val="21"/>
                <w:szCs w:val="21"/>
              </w:rPr>
              <w:t>4.59E-04</w:t>
            </w:r>
          </w:p>
        </w:tc>
        <w:tc>
          <w:tcPr>
            <w:tcW w:w="239" w:type="pct"/>
            <w:shd w:val="clear" w:color="auto" w:fill="auto"/>
          </w:tcPr>
          <w:p w14:paraId="4C7E01A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912BACA">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7E949DA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6716B23">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6827D23D">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AB954A9">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12F1C3D2">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FF1FC65">
            <w:pPr>
              <w:widowControl/>
              <w:spacing w:line="240" w:lineRule="auto"/>
              <w:ind w:firstLine="0" w:firstLineChars="0"/>
              <w:jc w:val="center"/>
              <w:rPr>
                <w:color w:val="auto"/>
                <w:kern w:val="0"/>
                <w:sz w:val="21"/>
                <w:szCs w:val="21"/>
              </w:rPr>
            </w:pPr>
            <w:r>
              <w:rPr>
                <w:rFonts w:hint="eastAsia"/>
                <w:color w:val="auto"/>
                <w:sz w:val="21"/>
                <w:szCs w:val="21"/>
              </w:rPr>
              <w:t>7.99E-05</w:t>
            </w:r>
          </w:p>
        </w:tc>
        <w:tc>
          <w:tcPr>
            <w:tcW w:w="212" w:type="pct"/>
            <w:shd w:val="clear" w:color="auto" w:fill="auto"/>
          </w:tcPr>
          <w:p w14:paraId="616C95DE">
            <w:pPr>
              <w:widowControl/>
              <w:spacing w:line="240" w:lineRule="auto"/>
              <w:ind w:firstLine="0" w:firstLineChars="0"/>
              <w:jc w:val="center"/>
              <w:rPr>
                <w:color w:val="auto"/>
                <w:kern w:val="0"/>
                <w:sz w:val="21"/>
                <w:szCs w:val="21"/>
              </w:rPr>
            </w:pPr>
            <w:r>
              <w:rPr>
                <w:rFonts w:hint="eastAsia"/>
                <w:color w:val="auto"/>
                <w:sz w:val="21"/>
                <w:szCs w:val="21"/>
              </w:rPr>
              <w:t>0.01</w:t>
            </w:r>
          </w:p>
        </w:tc>
      </w:tr>
      <w:tr w14:paraId="77577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745C832">
            <w:pPr>
              <w:widowControl/>
              <w:spacing w:line="240" w:lineRule="auto"/>
              <w:ind w:firstLine="0" w:firstLineChars="0"/>
              <w:jc w:val="center"/>
              <w:rPr>
                <w:color w:val="auto"/>
                <w:kern w:val="0"/>
                <w:sz w:val="21"/>
                <w:szCs w:val="21"/>
              </w:rPr>
            </w:pPr>
            <w:r>
              <w:rPr>
                <w:color w:val="auto"/>
                <w:sz w:val="21"/>
                <w:szCs w:val="21"/>
              </w:rPr>
              <w:t>725</w:t>
            </w:r>
          </w:p>
        </w:tc>
        <w:tc>
          <w:tcPr>
            <w:tcW w:w="420" w:type="pct"/>
            <w:shd w:val="clear" w:color="auto" w:fill="auto"/>
            <w:noWrap/>
          </w:tcPr>
          <w:p w14:paraId="3B1DEA59">
            <w:pPr>
              <w:widowControl/>
              <w:spacing w:line="240" w:lineRule="auto"/>
              <w:ind w:firstLine="0" w:firstLineChars="0"/>
              <w:jc w:val="center"/>
              <w:rPr>
                <w:color w:val="auto"/>
                <w:kern w:val="0"/>
                <w:sz w:val="21"/>
                <w:szCs w:val="21"/>
              </w:rPr>
            </w:pPr>
            <w:r>
              <w:rPr>
                <w:rFonts w:hint="eastAsia"/>
                <w:color w:val="auto"/>
                <w:sz w:val="21"/>
                <w:szCs w:val="21"/>
              </w:rPr>
              <w:t>6.88E-05</w:t>
            </w:r>
          </w:p>
        </w:tc>
        <w:tc>
          <w:tcPr>
            <w:tcW w:w="292" w:type="pct"/>
            <w:shd w:val="clear" w:color="auto" w:fill="auto"/>
            <w:noWrap/>
          </w:tcPr>
          <w:p w14:paraId="05B43D6A">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6EA4C041">
            <w:pPr>
              <w:widowControl/>
              <w:spacing w:line="240" w:lineRule="auto"/>
              <w:ind w:firstLine="0" w:firstLineChars="0"/>
              <w:jc w:val="center"/>
              <w:rPr>
                <w:color w:val="auto"/>
                <w:kern w:val="0"/>
                <w:sz w:val="21"/>
                <w:szCs w:val="21"/>
              </w:rPr>
            </w:pPr>
            <w:r>
              <w:rPr>
                <w:rFonts w:hint="eastAsia"/>
                <w:color w:val="auto"/>
                <w:sz w:val="21"/>
                <w:szCs w:val="21"/>
              </w:rPr>
              <w:t>4.84E-05</w:t>
            </w:r>
          </w:p>
        </w:tc>
        <w:tc>
          <w:tcPr>
            <w:tcW w:w="376" w:type="pct"/>
            <w:shd w:val="clear" w:color="auto" w:fill="auto"/>
          </w:tcPr>
          <w:p w14:paraId="4170790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2DF94F4">
            <w:pPr>
              <w:widowControl/>
              <w:spacing w:line="240" w:lineRule="auto"/>
              <w:ind w:firstLine="0" w:firstLineChars="0"/>
              <w:jc w:val="center"/>
              <w:rPr>
                <w:color w:val="auto"/>
                <w:kern w:val="0"/>
                <w:sz w:val="21"/>
                <w:szCs w:val="21"/>
              </w:rPr>
            </w:pPr>
            <w:r>
              <w:rPr>
                <w:rFonts w:hint="eastAsia"/>
                <w:color w:val="auto"/>
                <w:sz w:val="21"/>
                <w:szCs w:val="21"/>
              </w:rPr>
              <w:t>4.44E-04</w:t>
            </w:r>
          </w:p>
        </w:tc>
        <w:tc>
          <w:tcPr>
            <w:tcW w:w="239" w:type="pct"/>
            <w:shd w:val="clear" w:color="auto" w:fill="auto"/>
          </w:tcPr>
          <w:p w14:paraId="266209D7">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1A205599">
            <w:pPr>
              <w:widowControl/>
              <w:spacing w:line="240" w:lineRule="auto"/>
              <w:ind w:firstLine="0" w:firstLineChars="0"/>
              <w:jc w:val="center"/>
              <w:rPr>
                <w:color w:val="auto"/>
                <w:kern w:val="0"/>
                <w:sz w:val="21"/>
                <w:szCs w:val="21"/>
              </w:rPr>
            </w:pPr>
            <w:r>
              <w:rPr>
                <w:rFonts w:hint="eastAsia"/>
                <w:color w:val="auto"/>
                <w:sz w:val="21"/>
                <w:szCs w:val="21"/>
              </w:rPr>
              <w:t>4.59E-05</w:t>
            </w:r>
          </w:p>
        </w:tc>
        <w:tc>
          <w:tcPr>
            <w:tcW w:w="206" w:type="pct"/>
            <w:shd w:val="clear" w:color="auto" w:fill="auto"/>
          </w:tcPr>
          <w:p w14:paraId="658095E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10408DA">
            <w:pPr>
              <w:widowControl/>
              <w:spacing w:line="240" w:lineRule="auto"/>
              <w:ind w:firstLine="0" w:firstLineChars="0"/>
              <w:jc w:val="center"/>
              <w:rPr>
                <w:color w:val="auto"/>
                <w:sz w:val="21"/>
                <w:szCs w:val="21"/>
              </w:rPr>
            </w:pPr>
            <w:r>
              <w:rPr>
                <w:rFonts w:hint="eastAsia"/>
                <w:color w:val="auto"/>
                <w:sz w:val="21"/>
                <w:szCs w:val="21"/>
              </w:rPr>
              <w:t>3.31E-05</w:t>
            </w:r>
          </w:p>
        </w:tc>
        <w:tc>
          <w:tcPr>
            <w:tcW w:w="170" w:type="pct"/>
          </w:tcPr>
          <w:p w14:paraId="62D45AAD">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7A783A1">
            <w:pPr>
              <w:widowControl/>
              <w:spacing w:line="240" w:lineRule="auto"/>
              <w:ind w:firstLine="0" w:firstLineChars="0"/>
              <w:jc w:val="center"/>
              <w:rPr>
                <w:color w:val="auto"/>
                <w:kern w:val="0"/>
                <w:sz w:val="21"/>
                <w:szCs w:val="21"/>
              </w:rPr>
            </w:pPr>
            <w:r>
              <w:rPr>
                <w:rFonts w:hint="eastAsia"/>
                <w:color w:val="auto"/>
                <w:sz w:val="21"/>
                <w:szCs w:val="21"/>
              </w:rPr>
              <w:t>3.03E-04</w:t>
            </w:r>
          </w:p>
        </w:tc>
        <w:tc>
          <w:tcPr>
            <w:tcW w:w="172" w:type="pct"/>
            <w:shd w:val="clear" w:color="auto" w:fill="auto"/>
          </w:tcPr>
          <w:p w14:paraId="407176BA">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5BE4A319">
            <w:pPr>
              <w:widowControl/>
              <w:spacing w:line="240" w:lineRule="auto"/>
              <w:ind w:firstLine="0" w:firstLineChars="0"/>
              <w:jc w:val="center"/>
              <w:rPr>
                <w:color w:val="auto"/>
                <w:kern w:val="0"/>
                <w:sz w:val="21"/>
                <w:szCs w:val="21"/>
              </w:rPr>
            </w:pPr>
            <w:r>
              <w:rPr>
                <w:rFonts w:hint="eastAsia"/>
                <w:color w:val="auto"/>
                <w:sz w:val="21"/>
                <w:szCs w:val="21"/>
              </w:rPr>
              <w:t>7.72E-05</w:t>
            </w:r>
          </w:p>
        </w:tc>
        <w:tc>
          <w:tcPr>
            <w:tcW w:w="212" w:type="pct"/>
            <w:shd w:val="clear" w:color="auto" w:fill="auto"/>
          </w:tcPr>
          <w:p w14:paraId="6D51D4A4">
            <w:pPr>
              <w:widowControl/>
              <w:spacing w:line="240" w:lineRule="auto"/>
              <w:ind w:firstLine="0" w:firstLineChars="0"/>
              <w:jc w:val="center"/>
              <w:rPr>
                <w:color w:val="auto"/>
                <w:kern w:val="0"/>
                <w:sz w:val="21"/>
                <w:szCs w:val="21"/>
              </w:rPr>
            </w:pPr>
            <w:r>
              <w:rPr>
                <w:rFonts w:hint="eastAsia"/>
                <w:color w:val="auto"/>
                <w:sz w:val="21"/>
                <w:szCs w:val="21"/>
              </w:rPr>
              <w:t>0.01</w:t>
            </w:r>
          </w:p>
        </w:tc>
      </w:tr>
      <w:tr w14:paraId="17F93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1FA185B">
            <w:pPr>
              <w:widowControl/>
              <w:spacing w:line="240" w:lineRule="auto"/>
              <w:ind w:firstLine="0" w:firstLineChars="0"/>
              <w:jc w:val="center"/>
              <w:rPr>
                <w:color w:val="auto"/>
                <w:kern w:val="0"/>
                <w:sz w:val="21"/>
                <w:szCs w:val="21"/>
              </w:rPr>
            </w:pPr>
            <w:r>
              <w:rPr>
                <w:color w:val="auto"/>
                <w:sz w:val="21"/>
                <w:szCs w:val="21"/>
              </w:rPr>
              <w:t>750</w:t>
            </w:r>
          </w:p>
        </w:tc>
        <w:tc>
          <w:tcPr>
            <w:tcW w:w="420" w:type="pct"/>
            <w:shd w:val="clear" w:color="auto" w:fill="auto"/>
            <w:noWrap/>
          </w:tcPr>
          <w:p w14:paraId="228547EE">
            <w:pPr>
              <w:widowControl/>
              <w:spacing w:line="240" w:lineRule="auto"/>
              <w:ind w:firstLine="0" w:firstLineChars="0"/>
              <w:jc w:val="center"/>
              <w:rPr>
                <w:color w:val="auto"/>
                <w:kern w:val="0"/>
                <w:sz w:val="21"/>
                <w:szCs w:val="21"/>
              </w:rPr>
            </w:pPr>
            <w:r>
              <w:rPr>
                <w:rFonts w:hint="eastAsia"/>
                <w:color w:val="auto"/>
                <w:sz w:val="21"/>
                <w:szCs w:val="21"/>
              </w:rPr>
              <w:t>6.73E-05</w:t>
            </w:r>
          </w:p>
        </w:tc>
        <w:tc>
          <w:tcPr>
            <w:tcW w:w="292" w:type="pct"/>
            <w:shd w:val="clear" w:color="auto" w:fill="auto"/>
            <w:noWrap/>
          </w:tcPr>
          <w:p w14:paraId="6E254C73">
            <w:pPr>
              <w:widowControl/>
              <w:spacing w:line="240" w:lineRule="auto"/>
              <w:ind w:firstLine="0" w:firstLineChars="0"/>
              <w:jc w:val="center"/>
              <w:rPr>
                <w:color w:val="auto"/>
                <w:kern w:val="0"/>
                <w:sz w:val="21"/>
                <w:szCs w:val="21"/>
              </w:rPr>
            </w:pPr>
            <w:r>
              <w:rPr>
                <w:rFonts w:hint="eastAsia"/>
                <w:color w:val="auto"/>
                <w:sz w:val="21"/>
                <w:szCs w:val="21"/>
              </w:rPr>
              <w:t>0.01</w:t>
            </w:r>
          </w:p>
        </w:tc>
        <w:tc>
          <w:tcPr>
            <w:tcW w:w="490" w:type="pct"/>
            <w:shd w:val="clear" w:color="auto" w:fill="auto"/>
          </w:tcPr>
          <w:p w14:paraId="27F2D390">
            <w:pPr>
              <w:widowControl/>
              <w:spacing w:line="240" w:lineRule="auto"/>
              <w:ind w:firstLine="0" w:firstLineChars="0"/>
              <w:jc w:val="center"/>
              <w:rPr>
                <w:color w:val="auto"/>
                <w:kern w:val="0"/>
                <w:sz w:val="21"/>
                <w:szCs w:val="21"/>
              </w:rPr>
            </w:pPr>
            <w:r>
              <w:rPr>
                <w:rFonts w:hint="eastAsia"/>
                <w:color w:val="auto"/>
                <w:sz w:val="21"/>
                <w:szCs w:val="21"/>
              </w:rPr>
              <w:t>4.74E-05</w:t>
            </w:r>
          </w:p>
        </w:tc>
        <w:tc>
          <w:tcPr>
            <w:tcW w:w="376" w:type="pct"/>
            <w:shd w:val="clear" w:color="auto" w:fill="auto"/>
          </w:tcPr>
          <w:p w14:paraId="29AAF17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DFF0867">
            <w:pPr>
              <w:widowControl/>
              <w:spacing w:line="240" w:lineRule="auto"/>
              <w:ind w:firstLine="0" w:firstLineChars="0"/>
              <w:jc w:val="center"/>
              <w:rPr>
                <w:color w:val="auto"/>
                <w:kern w:val="0"/>
                <w:sz w:val="21"/>
                <w:szCs w:val="21"/>
              </w:rPr>
            </w:pPr>
            <w:r>
              <w:rPr>
                <w:rFonts w:hint="eastAsia"/>
                <w:color w:val="auto"/>
                <w:sz w:val="21"/>
                <w:szCs w:val="21"/>
              </w:rPr>
              <w:t>4.34E-04</w:t>
            </w:r>
          </w:p>
        </w:tc>
        <w:tc>
          <w:tcPr>
            <w:tcW w:w="239" w:type="pct"/>
            <w:shd w:val="clear" w:color="auto" w:fill="auto"/>
          </w:tcPr>
          <w:p w14:paraId="5BF20F8A">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704AFCD8">
            <w:pPr>
              <w:widowControl/>
              <w:spacing w:line="240" w:lineRule="auto"/>
              <w:ind w:firstLine="0" w:firstLineChars="0"/>
              <w:jc w:val="center"/>
              <w:rPr>
                <w:color w:val="auto"/>
                <w:kern w:val="0"/>
                <w:sz w:val="21"/>
                <w:szCs w:val="21"/>
              </w:rPr>
            </w:pPr>
            <w:r>
              <w:rPr>
                <w:rFonts w:hint="eastAsia"/>
                <w:color w:val="auto"/>
                <w:sz w:val="21"/>
                <w:szCs w:val="21"/>
              </w:rPr>
              <w:t>4.49E-05</w:t>
            </w:r>
          </w:p>
        </w:tc>
        <w:tc>
          <w:tcPr>
            <w:tcW w:w="206" w:type="pct"/>
            <w:shd w:val="clear" w:color="auto" w:fill="auto"/>
          </w:tcPr>
          <w:p w14:paraId="07D2D0E6">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3DA4C6B8">
            <w:pPr>
              <w:widowControl/>
              <w:spacing w:line="240" w:lineRule="auto"/>
              <w:ind w:firstLine="0" w:firstLineChars="0"/>
              <w:jc w:val="center"/>
              <w:rPr>
                <w:color w:val="auto"/>
                <w:sz w:val="21"/>
                <w:szCs w:val="21"/>
              </w:rPr>
            </w:pPr>
            <w:r>
              <w:rPr>
                <w:rFonts w:hint="eastAsia"/>
                <w:color w:val="auto"/>
                <w:sz w:val="21"/>
                <w:szCs w:val="21"/>
              </w:rPr>
              <w:t>3.24E-05</w:t>
            </w:r>
          </w:p>
        </w:tc>
        <w:tc>
          <w:tcPr>
            <w:tcW w:w="170" w:type="pct"/>
          </w:tcPr>
          <w:p w14:paraId="75685F66">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020D519">
            <w:pPr>
              <w:widowControl/>
              <w:spacing w:line="240" w:lineRule="auto"/>
              <w:ind w:firstLine="0" w:firstLineChars="0"/>
              <w:jc w:val="center"/>
              <w:rPr>
                <w:color w:val="auto"/>
                <w:kern w:val="0"/>
                <w:sz w:val="21"/>
                <w:szCs w:val="21"/>
              </w:rPr>
            </w:pPr>
            <w:r>
              <w:rPr>
                <w:rFonts w:hint="eastAsia"/>
                <w:color w:val="auto"/>
                <w:sz w:val="21"/>
                <w:szCs w:val="21"/>
              </w:rPr>
              <w:t>2.97E-04</w:t>
            </w:r>
          </w:p>
        </w:tc>
        <w:tc>
          <w:tcPr>
            <w:tcW w:w="172" w:type="pct"/>
            <w:shd w:val="clear" w:color="auto" w:fill="auto"/>
          </w:tcPr>
          <w:p w14:paraId="469C0276">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6A1755A9">
            <w:pPr>
              <w:widowControl/>
              <w:spacing w:line="240" w:lineRule="auto"/>
              <w:ind w:firstLine="0" w:firstLineChars="0"/>
              <w:jc w:val="center"/>
              <w:rPr>
                <w:color w:val="auto"/>
                <w:kern w:val="0"/>
                <w:sz w:val="21"/>
                <w:szCs w:val="21"/>
              </w:rPr>
            </w:pPr>
            <w:r>
              <w:rPr>
                <w:rFonts w:hint="eastAsia"/>
                <w:color w:val="auto"/>
                <w:sz w:val="21"/>
                <w:szCs w:val="21"/>
              </w:rPr>
              <w:t>7.55E-05</w:t>
            </w:r>
          </w:p>
        </w:tc>
        <w:tc>
          <w:tcPr>
            <w:tcW w:w="212" w:type="pct"/>
            <w:shd w:val="clear" w:color="auto" w:fill="auto"/>
          </w:tcPr>
          <w:p w14:paraId="1C3E2AB5">
            <w:pPr>
              <w:widowControl/>
              <w:spacing w:line="240" w:lineRule="auto"/>
              <w:ind w:firstLine="0" w:firstLineChars="0"/>
              <w:jc w:val="center"/>
              <w:rPr>
                <w:color w:val="auto"/>
                <w:kern w:val="0"/>
                <w:sz w:val="21"/>
                <w:szCs w:val="21"/>
              </w:rPr>
            </w:pPr>
            <w:r>
              <w:rPr>
                <w:rFonts w:hint="eastAsia"/>
                <w:color w:val="auto"/>
                <w:sz w:val="21"/>
                <w:szCs w:val="21"/>
              </w:rPr>
              <w:t>0.01</w:t>
            </w:r>
          </w:p>
        </w:tc>
      </w:tr>
      <w:tr w14:paraId="39BBD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E59346F">
            <w:pPr>
              <w:widowControl/>
              <w:spacing w:line="240" w:lineRule="auto"/>
              <w:ind w:firstLine="0" w:firstLineChars="0"/>
              <w:jc w:val="center"/>
              <w:rPr>
                <w:color w:val="auto"/>
                <w:kern w:val="0"/>
                <w:sz w:val="21"/>
                <w:szCs w:val="21"/>
              </w:rPr>
            </w:pPr>
            <w:r>
              <w:rPr>
                <w:color w:val="auto"/>
                <w:sz w:val="21"/>
                <w:szCs w:val="21"/>
              </w:rPr>
              <w:t>775</w:t>
            </w:r>
          </w:p>
        </w:tc>
        <w:tc>
          <w:tcPr>
            <w:tcW w:w="420" w:type="pct"/>
            <w:shd w:val="clear" w:color="auto" w:fill="auto"/>
            <w:noWrap/>
          </w:tcPr>
          <w:p w14:paraId="4F3D6FD3">
            <w:pPr>
              <w:widowControl/>
              <w:spacing w:line="240" w:lineRule="auto"/>
              <w:ind w:firstLine="0" w:firstLineChars="0"/>
              <w:jc w:val="center"/>
              <w:rPr>
                <w:color w:val="auto"/>
                <w:kern w:val="0"/>
                <w:sz w:val="21"/>
                <w:szCs w:val="21"/>
              </w:rPr>
            </w:pPr>
            <w:r>
              <w:rPr>
                <w:rFonts w:hint="eastAsia"/>
                <w:color w:val="auto"/>
                <w:sz w:val="21"/>
                <w:szCs w:val="21"/>
              </w:rPr>
              <w:t>6.86E-05</w:t>
            </w:r>
          </w:p>
        </w:tc>
        <w:tc>
          <w:tcPr>
            <w:tcW w:w="292" w:type="pct"/>
            <w:shd w:val="clear" w:color="auto" w:fill="auto"/>
            <w:noWrap/>
          </w:tcPr>
          <w:p w14:paraId="02F7C1E8">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5D682FF">
            <w:pPr>
              <w:widowControl/>
              <w:spacing w:line="240" w:lineRule="auto"/>
              <w:ind w:firstLine="0" w:firstLineChars="0"/>
              <w:jc w:val="center"/>
              <w:rPr>
                <w:color w:val="auto"/>
                <w:kern w:val="0"/>
                <w:sz w:val="21"/>
                <w:szCs w:val="21"/>
              </w:rPr>
            </w:pPr>
            <w:r>
              <w:rPr>
                <w:rFonts w:hint="eastAsia"/>
                <w:color w:val="auto"/>
                <w:sz w:val="21"/>
                <w:szCs w:val="21"/>
              </w:rPr>
              <w:t>4.83E-05</w:t>
            </w:r>
          </w:p>
        </w:tc>
        <w:tc>
          <w:tcPr>
            <w:tcW w:w="376" w:type="pct"/>
            <w:shd w:val="clear" w:color="auto" w:fill="auto"/>
          </w:tcPr>
          <w:p w14:paraId="416C66C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6B0A21B">
            <w:pPr>
              <w:widowControl/>
              <w:spacing w:line="240" w:lineRule="auto"/>
              <w:ind w:firstLine="0" w:firstLineChars="0"/>
              <w:jc w:val="center"/>
              <w:rPr>
                <w:color w:val="auto"/>
                <w:kern w:val="0"/>
                <w:sz w:val="21"/>
                <w:szCs w:val="21"/>
              </w:rPr>
            </w:pPr>
            <w:r>
              <w:rPr>
                <w:rFonts w:hint="eastAsia"/>
                <w:color w:val="auto"/>
                <w:sz w:val="21"/>
                <w:szCs w:val="21"/>
              </w:rPr>
              <w:t>4.42E-04</w:t>
            </w:r>
          </w:p>
        </w:tc>
        <w:tc>
          <w:tcPr>
            <w:tcW w:w="239" w:type="pct"/>
            <w:shd w:val="clear" w:color="auto" w:fill="auto"/>
          </w:tcPr>
          <w:p w14:paraId="7147EBA1">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6F276936">
            <w:pPr>
              <w:widowControl/>
              <w:spacing w:line="240" w:lineRule="auto"/>
              <w:ind w:firstLine="0" w:firstLineChars="0"/>
              <w:jc w:val="center"/>
              <w:rPr>
                <w:color w:val="auto"/>
                <w:kern w:val="0"/>
                <w:sz w:val="21"/>
                <w:szCs w:val="21"/>
              </w:rPr>
            </w:pPr>
            <w:r>
              <w:rPr>
                <w:rFonts w:hint="eastAsia"/>
                <w:color w:val="auto"/>
                <w:sz w:val="21"/>
                <w:szCs w:val="21"/>
              </w:rPr>
              <w:t>4.57E-05</w:t>
            </w:r>
          </w:p>
        </w:tc>
        <w:tc>
          <w:tcPr>
            <w:tcW w:w="206" w:type="pct"/>
            <w:shd w:val="clear" w:color="auto" w:fill="auto"/>
          </w:tcPr>
          <w:p w14:paraId="55FC21D8">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4AB4498">
            <w:pPr>
              <w:widowControl/>
              <w:spacing w:line="240" w:lineRule="auto"/>
              <w:ind w:firstLine="0" w:firstLineChars="0"/>
              <w:jc w:val="center"/>
              <w:rPr>
                <w:color w:val="auto"/>
                <w:sz w:val="21"/>
                <w:szCs w:val="21"/>
              </w:rPr>
            </w:pPr>
            <w:r>
              <w:rPr>
                <w:rFonts w:hint="eastAsia"/>
                <w:color w:val="auto"/>
                <w:sz w:val="21"/>
                <w:szCs w:val="21"/>
              </w:rPr>
              <w:t>3.30E-05</w:t>
            </w:r>
          </w:p>
        </w:tc>
        <w:tc>
          <w:tcPr>
            <w:tcW w:w="170" w:type="pct"/>
          </w:tcPr>
          <w:p w14:paraId="79734EFC">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7AA1C98">
            <w:pPr>
              <w:widowControl/>
              <w:spacing w:line="240" w:lineRule="auto"/>
              <w:ind w:firstLine="0" w:firstLineChars="0"/>
              <w:jc w:val="center"/>
              <w:rPr>
                <w:color w:val="auto"/>
                <w:kern w:val="0"/>
                <w:sz w:val="21"/>
                <w:szCs w:val="21"/>
              </w:rPr>
            </w:pPr>
            <w:r>
              <w:rPr>
                <w:rFonts w:hint="eastAsia"/>
                <w:color w:val="auto"/>
                <w:sz w:val="21"/>
                <w:szCs w:val="21"/>
              </w:rPr>
              <w:t>3.02E-04</w:t>
            </w:r>
          </w:p>
        </w:tc>
        <w:tc>
          <w:tcPr>
            <w:tcW w:w="172" w:type="pct"/>
            <w:shd w:val="clear" w:color="auto" w:fill="auto"/>
          </w:tcPr>
          <w:p w14:paraId="3417E795">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141C1C58">
            <w:pPr>
              <w:widowControl/>
              <w:spacing w:line="240" w:lineRule="auto"/>
              <w:ind w:firstLine="0" w:firstLineChars="0"/>
              <w:jc w:val="center"/>
              <w:rPr>
                <w:color w:val="auto"/>
                <w:kern w:val="0"/>
                <w:sz w:val="21"/>
                <w:szCs w:val="21"/>
              </w:rPr>
            </w:pPr>
            <w:r>
              <w:rPr>
                <w:rFonts w:hint="eastAsia"/>
                <w:color w:val="auto"/>
                <w:sz w:val="21"/>
                <w:szCs w:val="21"/>
              </w:rPr>
              <w:t>7.70E-05</w:t>
            </w:r>
          </w:p>
        </w:tc>
        <w:tc>
          <w:tcPr>
            <w:tcW w:w="212" w:type="pct"/>
            <w:shd w:val="clear" w:color="auto" w:fill="auto"/>
          </w:tcPr>
          <w:p w14:paraId="15780DF3">
            <w:pPr>
              <w:widowControl/>
              <w:spacing w:line="240" w:lineRule="auto"/>
              <w:ind w:firstLine="0" w:firstLineChars="0"/>
              <w:jc w:val="center"/>
              <w:rPr>
                <w:color w:val="auto"/>
                <w:kern w:val="0"/>
                <w:sz w:val="21"/>
                <w:szCs w:val="21"/>
              </w:rPr>
            </w:pPr>
            <w:r>
              <w:rPr>
                <w:rFonts w:hint="eastAsia"/>
                <w:color w:val="auto"/>
                <w:sz w:val="21"/>
                <w:szCs w:val="21"/>
              </w:rPr>
              <w:t>0.01</w:t>
            </w:r>
          </w:p>
        </w:tc>
      </w:tr>
      <w:tr w14:paraId="7334B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70D9191">
            <w:pPr>
              <w:widowControl/>
              <w:spacing w:line="240" w:lineRule="auto"/>
              <w:ind w:firstLine="0" w:firstLineChars="0"/>
              <w:jc w:val="center"/>
              <w:rPr>
                <w:color w:val="auto"/>
                <w:kern w:val="0"/>
                <w:sz w:val="21"/>
                <w:szCs w:val="21"/>
              </w:rPr>
            </w:pPr>
            <w:r>
              <w:rPr>
                <w:color w:val="auto"/>
                <w:sz w:val="21"/>
                <w:szCs w:val="21"/>
              </w:rPr>
              <w:t>800</w:t>
            </w:r>
          </w:p>
        </w:tc>
        <w:tc>
          <w:tcPr>
            <w:tcW w:w="420" w:type="pct"/>
            <w:shd w:val="clear" w:color="auto" w:fill="auto"/>
            <w:noWrap/>
          </w:tcPr>
          <w:p w14:paraId="5E9654C5">
            <w:pPr>
              <w:widowControl/>
              <w:spacing w:line="240" w:lineRule="auto"/>
              <w:ind w:firstLine="0" w:firstLineChars="0"/>
              <w:jc w:val="center"/>
              <w:rPr>
                <w:color w:val="auto"/>
                <w:kern w:val="0"/>
                <w:sz w:val="21"/>
                <w:szCs w:val="21"/>
              </w:rPr>
            </w:pPr>
            <w:r>
              <w:rPr>
                <w:rFonts w:hint="eastAsia"/>
                <w:color w:val="auto"/>
                <w:sz w:val="21"/>
                <w:szCs w:val="21"/>
              </w:rPr>
              <w:t>6.97E-05</w:t>
            </w:r>
          </w:p>
        </w:tc>
        <w:tc>
          <w:tcPr>
            <w:tcW w:w="292" w:type="pct"/>
            <w:shd w:val="clear" w:color="auto" w:fill="auto"/>
            <w:noWrap/>
          </w:tcPr>
          <w:p w14:paraId="483EF56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258BF6B">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376" w:type="pct"/>
            <w:shd w:val="clear" w:color="auto" w:fill="auto"/>
          </w:tcPr>
          <w:p w14:paraId="11B4274B">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7541D4C">
            <w:pPr>
              <w:widowControl/>
              <w:spacing w:line="240" w:lineRule="auto"/>
              <w:ind w:firstLine="0" w:firstLineChars="0"/>
              <w:jc w:val="center"/>
              <w:rPr>
                <w:color w:val="auto"/>
                <w:kern w:val="0"/>
                <w:sz w:val="21"/>
                <w:szCs w:val="21"/>
              </w:rPr>
            </w:pPr>
            <w:r>
              <w:rPr>
                <w:rFonts w:hint="eastAsia"/>
                <w:color w:val="auto"/>
                <w:sz w:val="21"/>
                <w:szCs w:val="21"/>
              </w:rPr>
              <w:t>4.49E-04</w:t>
            </w:r>
          </w:p>
        </w:tc>
        <w:tc>
          <w:tcPr>
            <w:tcW w:w="239" w:type="pct"/>
            <w:shd w:val="clear" w:color="auto" w:fill="auto"/>
          </w:tcPr>
          <w:p w14:paraId="00F4B72B">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472395D5">
            <w:pPr>
              <w:widowControl/>
              <w:spacing w:line="240" w:lineRule="auto"/>
              <w:ind w:firstLine="0" w:firstLineChars="0"/>
              <w:jc w:val="center"/>
              <w:rPr>
                <w:color w:val="auto"/>
                <w:kern w:val="0"/>
                <w:sz w:val="21"/>
                <w:szCs w:val="21"/>
              </w:rPr>
            </w:pPr>
            <w:r>
              <w:rPr>
                <w:rFonts w:hint="eastAsia"/>
                <w:color w:val="auto"/>
                <w:sz w:val="21"/>
                <w:szCs w:val="21"/>
              </w:rPr>
              <w:t>4.65E-05</w:t>
            </w:r>
          </w:p>
        </w:tc>
        <w:tc>
          <w:tcPr>
            <w:tcW w:w="206" w:type="pct"/>
            <w:shd w:val="clear" w:color="auto" w:fill="auto"/>
          </w:tcPr>
          <w:p w14:paraId="3B37E27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9F815F2">
            <w:pPr>
              <w:widowControl/>
              <w:spacing w:line="240" w:lineRule="auto"/>
              <w:ind w:firstLine="0" w:firstLineChars="0"/>
              <w:jc w:val="center"/>
              <w:rPr>
                <w:color w:val="auto"/>
                <w:sz w:val="21"/>
                <w:szCs w:val="21"/>
              </w:rPr>
            </w:pPr>
            <w:r>
              <w:rPr>
                <w:rFonts w:hint="eastAsia"/>
                <w:color w:val="auto"/>
                <w:sz w:val="21"/>
                <w:szCs w:val="21"/>
              </w:rPr>
              <w:t>3.36E-05</w:t>
            </w:r>
          </w:p>
        </w:tc>
        <w:tc>
          <w:tcPr>
            <w:tcW w:w="170" w:type="pct"/>
          </w:tcPr>
          <w:p w14:paraId="6D6EC485">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D7619D4">
            <w:pPr>
              <w:widowControl/>
              <w:spacing w:line="240" w:lineRule="auto"/>
              <w:ind w:firstLine="0" w:firstLineChars="0"/>
              <w:jc w:val="center"/>
              <w:rPr>
                <w:color w:val="auto"/>
                <w:kern w:val="0"/>
                <w:sz w:val="21"/>
                <w:szCs w:val="21"/>
              </w:rPr>
            </w:pPr>
            <w:r>
              <w:rPr>
                <w:rFonts w:hint="eastAsia"/>
                <w:color w:val="auto"/>
                <w:sz w:val="21"/>
                <w:szCs w:val="21"/>
              </w:rPr>
              <w:t>3.07E-04</w:t>
            </w:r>
          </w:p>
        </w:tc>
        <w:tc>
          <w:tcPr>
            <w:tcW w:w="172" w:type="pct"/>
            <w:shd w:val="clear" w:color="auto" w:fill="auto"/>
          </w:tcPr>
          <w:p w14:paraId="46C9A911">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4167BCDB">
            <w:pPr>
              <w:widowControl/>
              <w:spacing w:line="240" w:lineRule="auto"/>
              <w:ind w:firstLine="0" w:firstLineChars="0"/>
              <w:jc w:val="center"/>
              <w:rPr>
                <w:color w:val="auto"/>
                <w:kern w:val="0"/>
                <w:sz w:val="21"/>
                <w:szCs w:val="21"/>
              </w:rPr>
            </w:pPr>
            <w:r>
              <w:rPr>
                <w:rFonts w:hint="eastAsia"/>
                <w:color w:val="auto"/>
                <w:sz w:val="21"/>
                <w:szCs w:val="21"/>
              </w:rPr>
              <w:t>7.82E-05</w:t>
            </w:r>
          </w:p>
        </w:tc>
        <w:tc>
          <w:tcPr>
            <w:tcW w:w="212" w:type="pct"/>
            <w:shd w:val="clear" w:color="auto" w:fill="auto"/>
          </w:tcPr>
          <w:p w14:paraId="43C4E291">
            <w:pPr>
              <w:widowControl/>
              <w:spacing w:line="240" w:lineRule="auto"/>
              <w:ind w:firstLine="0" w:firstLineChars="0"/>
              <w:jc w:val="center"/>
              <w:rPr>
                <w:color w:val="auto"/>
                <w:kern w:val="0"/>
                <w:sz w:val="21"/>
                <w:szCs w:val="21"/>
              </w:rPr>
            </w:pPr>
            <w:r>
              <w:rPr>
                <w:rFonts w:hint="eastAsia"/>
                <w:color w:val="auto"/>
                <w:sz w:val="21"/>
                <w:szCs w:val="21"/>
              </w:rPr>
              <w:t>0.01</w:t>
            </w:r>
          </w:p>
        </w:tc>
      </w:tr>
      <w:tr w14:paraId="0E350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8C41C5B">
            <w:pPr>
              <w:widowControl/>
              <w:spacing w:line="240" w:lineRule="auto"/>
              <w:ind w:firstLine="0" w:firstLineChars="0"/>
              <w:jc w:val="center"/>
              <w:rPr>
                <w:color w:val="auto"/>
                <w:kern w:val="0"/>
                <w:sz w:val="21"/>
                <w:szCs w:val="21"/>
              </w:rPr>
            </w:pPr>
            <w:r>
              <w:rPr>
                <w:color w:val="auto"/>
                <w:sz w:val="21"/>
                <w:szCs w:val="21"/>
              </w:rPr>
              <w:t>825</w:t>
            </w:r>
          </w:p>
        </w:tc>
        <w:tc>
          <w:tcPr>
            <w:tcW w:w="420" w:type="pct"/>
            <w:shd w:val="clear" w:color="auto" w:fill="auto"/>
            <w:noWrap/>
          </w:tcPr>
          <w:p w14:paraId="2680A84D">
            <w:pPr>
              <w:widowControl/>
              <w:spacing w:line="240" w:lineRule="auto"/>
              <w:ind w:firstLine="0" w:firstLineChars="0"/>
              <w:jc w:val="center"/>
              <w:rPr>
                <w:color w:val="auto"/>
                <w:kern w:val="0"/>
                <w:sz w:val="21"/>
                <w:szCs w:val="21"/>
              </w:rPr>
            </w:pPr>
            <w:r>
              <w:rPr>
                <w:rFonts w:hint="eastAsia"/>
                <w:color w:val="auto"/>
                <w:sz w:val="21"/>
                <w:szCs w:val="21"/>
              </w:rPr>
              <w:t>7.07E-05</w:t>
            </w:r>
          </w:p>
        </w:tc>
        <w:tc>
          <w:tcPr>
            <w:tcW w:w="292" w:type="pct"/>
            <w:shd w:val="clear" w:color="auto" w:fill="auto"/>
            <w:noWrap/>
          </w:tcPr>
          <w:p w14:paraId="30C5524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CF1A856">
            <w:pPr>
              <w:widowControl/>
              <w:spacing w:line="240" w:lineRule="auto"/>
              <w:ind w:firstLine="0" w:firstLineChars="0"/>
              <w:jc w:val="center"/>
              <w:rPr>
                <w:color w:val="auto"/>
                <w:kern w:val="0"/>
                <w:sz w:val="21"/>
                <w:szCs w:val="21"/>
              </w:rPr>
            </w:pPr>
            <w:r>
              <w:rPr>
                <w:rFonts w:hint="eastAsia"/>
                <w:color w:val="auto"/>
                <w:sz w:val="21"/>
                <w:szCs w:val="21"/>
              </w:rPr>
              <w:t>4.97E-05</w:t>
            </w:r>
          </w:p>
        </w:tc>
        <w:tc>
          <w:tcPr>
            <w:tcW w:w="376" w:type="pct"/>
            <w:shd w:val="clear" w:color="auto" w:fill="auto"/>
          </w:tcPr>
          <w:p w14:paraId="7DD3B67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E0C0185">
            <w:pPr>
              <w:widowControl/>
              <w:spacing w:line="240" w:lineRule="auto"/>
              <w:ind w:firstLine="0" w:firstLineChars="0"/>
              <w:jc w:val="center"/>
              <w:rPr>
                <w:color w:val="auto"/>
                <w:kern w:val="0"/>
                <w:sz w:val="21"/>
                <w:szCs w:val="21"/>
              </w:rPr>
            </w:pPr>
            <w:r>
              <w:rPr>
                <w:rFonts w:hint="eastAsia"/>
                <w:color w:val="auto"/>
                <w:sz w:val="21"/>
                <w:szCs w:val="21"/>
              </w:rPr>
              <w:t>4.56E-04</w:t>
            </w:r>
          </w:p>
        </w:tc>
        <w:tc>
          <w:tcPr>
            <w:tcW w:w="239" w:type="pct"/>
            <w:shd w:val="clear" w:color="auto" w:fill="auto"/>
          </w:tcPr>
          <w:p w14:paraId="6DA322C1">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6794558">
            <w:pPr>
              <w:widowControl/>
              <w:spacing w:line="240" w:lineRule="auto"/>
              <w:ind w:firstLine="0" w:firstLineChars="0"/>
              <w:jc w:val="center"/>
              <w:rPr>
                <w:color w:val="auto"/>
                <w:kern w:val="0"/>
                <w:sz w:val="21"/>
                <w:szCs w:val="21"/>
              </w:rPr>
            </w:pPr>
            <w:r>
              <w:rPr>
                <w:rFonts w:hint="eastAsia"/>
                <w:color w:val="auto"/>
                <w:sz w:val="21"/>
                <w:szCs w:val="21"/>
              </w:rPr>
              <w:t>4.71E-05</w:t>
            </w:r>
          </w:p>
        </w:tc>
        <w:tc>
          <w:tcPr>
            <w:tcW w:w="206" w:type="pct"/>
            <w:shd w:val="clear" w:color="auto" w:fill="auto"/>
          </w:tcPr>
          <w:p w14:paraId="156604E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5D7EEA3">
            <w:pPr>
              <w:widowControl/>
              <w:spacing w:line="240" w:lineRule="auto"/>
              <w:ind w:firstLine="0" w:firstLineChars="0"/>
              <w:jc w:val="center"/>
              <w:rPr>
                <w:color w:val="auto"/>
                <w:sz w:val="21"/>
                <w:szCs w:val="21"/>
              </w:rPr>
            </w:pPr>
            <w:r>
              <w:rPr>
                <w:rFonts w:hint="eastAsia"/>
                <w:color w:val="auto"/>
                <w:sz w:val="21"/>
                <w:szCs w:val="21"/>
              </w:rPr>
              <w:t>3.40E-05</w:t>
            </w:r>
          </w:p>
        </w:tc>
        <w:tc>
          <w:tcPr>
            <w:tcW w:w="170" w:type="pct"/>
          </w:tcPr>
          <w:p w14:paraId="47EAA45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FAEFE70">
            <w:pPr>
              <w:widowControl/>
              <w:spacing w:line="240" w:lineRule="auto"/>
              <w:ind w:firstLine="0" w:firstLineChars="0"/>
              <w:jc w:val="center"/>
              <w:rPr>
                <w:color w:val="auto"/>
                <w:kern w:val="0"/>
                <w:sz w:val="21"/>
                <w:szCs w:val="21"/>
              </w:rPr>
            </w:pPr>
            <w:r>
              <w:rPr>
                <w:rFonts w:hint="eastAsia"/>
                <w:color w:val="auto"/>
                <w:sz w:val="21"/>
                <w:szCs w:val="21"/>
              </w:rPr>
              <w:t>3.12E-04</w:t>
            </w:r>
          </w:p>
        </w:tc>
        <w:tc>
          <w:tcPr>
            <w:tcW w:w="172" w:type="pct"/>
            <w:shd w:val="clear" w:color="auto" w:fill="auto"/>
          </w:tcPr>
          <w:p w14:paraId="4763D2F2">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BA079F6">
            <w:pPr>
              <w:widowControl/>
              <w:spacing w:line="240" w:lineRule="auto"/>
              <w:ind w:firstLine="0" w:firstLineChars="0"/>
              <w:jc w:val="center"/>
              <w:rPr>
                <w:color w:val="auto"/>
                <w:kern w:val="0"/>
                <w:sz w:val="21"/>
                <w:szCs w:val="21"/>
              </w:rPr>
            </w:pPr>
            <w:r>
              <w:rPr>
                <w:rFonts w:hint="eastAsia"/>
                <w:color w:val="auto"/>
                <w:sz w:val="21"/>
                <w:szCs w:val="21"/>
              </w:rPr>
              <w:t>7.93E-05</w:t>
            </w:r>
          </w:p>
        </w:tc>
        <w:tc>
          <w:tcPr>
            <w:tcW w:w="212" w:type="pct"/>
            <w:shd w:val="clear" w:color="auto" w:fill="auto"/>
          </w:tcPr>
          <w:p w14:paraId="3673A95C">
            <w:pPr>
              <w:widowControl/>
              <w:spacing w:line="240" w:lineRule="auto"/>
              <w:ind w:firstLine="0" w:firstLineChars="0"/>
              <w:jc w:val="center"/>
              <w:rPr>
                <w:color w:val="auto"/>
                <w:kern w:val="0"/>
                <w:sz w:val="21"/>
                <w:szCs w:val="21"/>
              </w:rPr>
            </w:pPr>
            <w:r>
              <w:rPr>
                <w:rFonts w:hint="eastAsia"/>
                <w:color w:val="auto"/>
                <w:sz w:val="21"/>
                <w:szCs w:val="21"/>
              </w:rPr>
              <w:t>0.01</w:t>
            </w:r>
          </w:p>
        </w:tc>
      </w:tr>
      <w:tr w14:paraId="65E47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2E12BA5">
            <w:pPr>
              <w:widowControl/>
              <w:spacing w:line="240" w:lineRule="auto"/>
              <w:ind w:firstLine="0" w:firstLineChars="0"/>
              <w:jc w:val="center"/>
              <w:rPr>
                <w:color w:val="auto"/>
                <w:kern w:val="0"/>
                <w:sz w:val="21"/>
                <w:szCs w:val="21"/>
              </w:rPr>
            </w:pPr>
            <w:r>
              <w:rPr>
                <w:color w:val="auto"/>
                <w:sz w:val="21"/>
                <w:szCs w:val="21"/>
              </w:rPr>
              <w:t>850</w:t>
            </w:r>
          </w:p>
        </w:tc>
        <w:tc>
          <w:tcPr>
            <w:tcW w:w="420" w:type="pct"/>
            <w:shd w:val="clear" w:color="auto" w:fill="auto"/>
            <w:noWrap/>
          </w:tcPr>
          <w:p w14:paraId="335418EE">
            <w:pPr>
              <w:widowControl/>
              <w:spacing w:line="240" w:lineRule="auto"/>
              <w:ind w:firstLine="0" w:firstLineChars="0"/>
              <w:jc w:val="center"/>
              <w:rPr>
                <w:color w:val="auto"/>
                <w:kern w:val="0"/>
                <w:sz w:val="21"/>
                <w:szCs w:val="21"/>
              </w:rPr>
            </w:pPr>
            <w:r>
              <w:rPr>
                <w:rFonts w:hint="eastAsia"/>
                <w:color w:val="auto"/>
                <w:sz w:val="21"/>
                <w:szCs w:val="21"/>
              </w:rPr>
              <w:t>7.15E-05</w:t>
            </w:r>
          </w:p>
        </w:tc>
        <w:tc>
          <w:tcPr>
            <w:tcW w:w="292" w:type="pct"/>
            <w:shd w:val="clear" w:color="auto" w:fill="auto"/>
            <w:noWrap/>
          </w:tcPr>
          <w:p w14:paraId="3C4D40F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AC15F9F">
            <w:pPr>
              <w:widowControl/>
              <w:spacing w:line="240" w:lineRule="auto"/>
              <w:ind w:firstLine="0" w:firstLineChars="0"/>
              <w:jc w:val="center"/>
              <w:rPr>
                <w:color w:val="auto"/>
                <w:kern w:val="0"/>
                <w:sz w:val="21"/>
                <w:szCs w:val="21"/>
              </w:rPr>
            </w:pPr>
            <w:r>
              <w:rPr>
                <w:rFonts w:hint="eastAsia"/>
                <w:color w:val="auto"/>
                <w:sz w:val="21"/>
                <w:szCs w:val="21"/>
              </w:rPr>
              <w:t>5.03E-05</w:t>
            </w:r>
          </w:p>
        </w:tc>
        <w:tc>
          <w:tcPr>
            <w:tcW w:w="376" w:type="pct"/>
            <w:shd w:val="clear" w:color="auto" w:fill="auto"/>
          </w:tcPr>
          <w:p w14:paraId="677E638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6BDFDBF">
            <w:pPr>
              <w:widowControl/>
              <w:spacing w:line="240" w:lineRule="auto"/>
              <w:ind w:firstLine="0" w:firstLineChars="0"/>
              <w:jc w:val="center"/>
              <w:rPr>
                <w:color w:val="auto"/>
                <w:kern w:val="0"/>
                <w:sz w:val="21"/>
                <w:szCs w:val="21"/>
              </w:rPr>
            </w:pPr>
            <w:r>
              <w:rPr>
                <w:rFonts w:hint="eastAsia"/>
                <w:color w:val="auto"/>
                <w:sz w:val="21"/>
                <w:szCs w:val="21"/>
              </w:rPr>
              <w:t>4.61E-04</w:t>
            </w:r>
          </w:p>
        </w:tc>
        <w:tc>
          <w:tcPr>
            <w:tcW w:w="239" w:type="pct"/>
            <w:shd w:val="clear" w:color="auto" w:fill="auto"/>
          </w:tcPr>
          <w:p w14:paraId="71BC8D4F">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6985F287">
            <w:pPr>
              <w:widowControl/>
              <w:spacing w:line="240" w:lineRule="auto"/>
              <w:ind w:firstLine="0" w:firstLineChars="0"/>
              <w:jc w:val="center"/>
              <w:rPr>
                <w:color w:val="auto"/>
                <w:kern w:val="0"/>
                <w:sz w:val="21"/>
                <w:szCs w:val="21"/>
              </w:rPr>
            </w:pPr>
            <w:r>
              <w:rPr>
                <w:rFonts w:hint="eastAsia"/>
                <w:color w:val="auto"/>
                <w:sz w:val="21"/>
                <w:szCs w:val="21"/>
              </w:rPr>
              <w:t>4.77E-05</w:t>
            </w:r>
          </w:p>
        </w:tc>
        <w:tc>
          <w:tcPr>
            <w:tcW w:w="206" w:type="pct"/>
            <w:shd w:val="clear" w:color="auto" w:fill="auto"/>
          </w:tcPr>
          <w:p w14:paraId="52B6155C">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E5E4EFA">
            <w:pPr>
              <w:widowControl/>
              <w:spacing w:line="240" w:lineRule="auto"/>
              <w:ind w:firstLine="0" w:firstLineChars="0"/>
              <w:jc w:val="center"/>
              <w:rPr>
                <w:color w:val="auto"/>
                <w:sz w:val="21"/>
                <w:szCs w:val="21"/>
              </w:rPr>
            </w:pPr>
            <w:r>
              <w:rPr>
                <w:rFonts w:hint="eastAsia"/>
                <w:color w:val="auto"/>
                <w:sz w:val="21"/>
                <w:szCs w:val="21"/>
              </w:rPr>
              <w:t>3.44E-05</w:t>
            </w:r>
          </w:p>
        </w:tc>
        <w:tc>
          <w:tcPr>
            <w:tcW w:w="170" w:type="pct"/>
          </w:tcPr>
          <w:p w14:paraId="73089D8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C8FC2D8">
            <w:pPr>
              <w:widowControl/>
              <w:spacing w:line="240" w:lineRule="auto"/>
              <w:ind w:firstLine="0" w:firstLineChars="0"/>
              <w:jc w:val="center"/>
              <w:rPr>
                <w:color w:val="auto"/>
                <w:kern w:val="0"/>
                <w:sz w:val="21"/>
                <w:szCs w:val="21"/>
              </w:rPr>
            </w:pPr>
            <w:r>
              <w:rPr>
                <w:rFonts w:hint="eastAsia"/>
                <w:color w:val="auto"/>
                <w:sz w:val="21"/>
                <w:szCs w:val="21"/>
              </w:rPr>
              <w:t>3.15E-04</w:t>
            </w:r>
          </w:p>
        </w:tc>
        <w:tc>
          <w:tcPr>
            <w:tcW w:w="172" w:type="pct"/>
            <w:shd w:val="clear" w:color="auto" w:fill="auto"/>
          </w:tcPr>
          <w:p w14:paraId="2232B5E8">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0E794C2B">
            <w:pPr>
              <w:widowControl/>
              <w:spacing w:line="240" w:lineRule="auto"/>
              <w:ind w:firstLine="0" w:firstLineChars="0"/>
              <w:jc w:val="center"/>
              <w:rPr>
                <w:color w:val="auto"/>
                <w:kern w:val="0"/>
                <w:sz w:val="21"/>
                <w:szCs w:val="21"/>
              </w:rPr>
            </w:pPr>
            <w:r>
              <w:rPr>
                <w:rFonts w:hint="eastAsia"/>
                <w:color w:val="auto"/>
                <w:sz w:val="21"/>
                <w:szCs w:val="21"/>
              </w:rPr>
              <w:t>8.02E-05</w:t>
            </w:r>
          </w:p>
        </w:tc>
        <w:tc>
          <w:tcPr>
            <w:tcW w:w="212" w:type="pct"/>
            <w:shd w:val="clear" w:color="auto" w:fill="auto"/>
          </w:tcPr>
          <w:p w14:paraId="5E6BBAA7">
            <w:pPr>
              <w:widowControl/>
              <w:spacing w:line="240" w:lineRule="auto"/>
              <w:ind w:firstLine="0" w:firstLineChars="0"/>
              <w:jc w:val="center"/>
              <w:rPr>
                <w:color w:val="auto"/>
                <w:kern w:val="0"/>
                <w:sz w:val="21"/>
                <w:szCs w:val="21"/>
              </w:rPr>
            </w:pPr>
            <w:r>
              <w:rPr>
                <w:rFonts w:hint="eastAsia"/>
                <w:color w:val="auto"/>
                <w:sz w:val="21"/>
                <w:szCs w:val="21"/>
              </w:rPr>
              <w:t>0.01</w:t>
            </w:r>
          </w:p>
        </w:tc>
      </w:tr>
      <w:tr w14:paraId="6210D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8FE0BE9">
            <w:pPr>
              <w:widowControl/>
              <w:spacing w:line="240" w:lineRule="auto"/>
              <w:ind w:firstLine="0" w:firstLineChars="0"/>
              <w:jc w:val="center"/>
              <w:rPr>
                <w:color w:val="auto"/>
                <w:kern w:val="0"/>
                <w:sz w:val="21"/>
                <w:szCs w:val="21"/>
              </w:rPr>
            </w:pPr>
            <w:r>
              <w:rPr>
                <w:color w:val="auto"/>
                <w:sz w:val="21"/>
                <w:szCs w:val="21"/>
              </w:rPr>
              <w:t>875</w:t>
            </w:r>
          </w:p>
        </w:tc>
        <w:tc>
          <w:tcPr>
            <w:tcW w:w="420" w:type="pct"/>
            <w:shd w:val="clear" w:color="auto" w:fill="auto"/>
            <w:noWrap/>
          </w:tcPr>
          <w:p w14:paraId="151B97A7">
            <w:pPr>
              <w:widowControl/>
              <w:spacing w:line="240" w:lineRule="auto"/>
              <w:ind w:firstLine="0" w:firstLineChars="0"/>
              <w:jc w:val="center"/>
              <w:rPr>
                <w:color w:val="auto"/>
                <w:kern w:val="0"/>
                <w:sz w:val="21"/>
                <w:szCs w:val="21"/>
              </w:rPr>
            </w:pPr>
            <w:r>
              <w:rPr>
                <w:rFonts w:hint="eastAsia"/>
                <w:color w:val="auto"/>
                <w:sz w:val="21"/>
                <w:szCs w:val="21"/>
              </w:rPr>
              <w:t>7.22E-05</w:t>
            </w:r>
          </w:p>
        </w:tc>
        <w:tc>
          <w:tcPr>
            <w:tcW w:w="292" w:type="pct"/>
            <w:shd w:val="clear" w:color="auto" w:fill="auto"/>
            <w:noWrap/>
          </w:tcPr>
          <w:p w14:paraId="5E95A95F">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E8F9B32">
            <w:pPr>
              <w:widowControl/>
              <w:spacing w:line="240" w:lineRule="auto"/>
              <w:ind w:firstLine="0" w:firstLineChars="0"/>
              <w:jc w:val="center"/>
              <w:rPr>
                <w:color w:val="auto"/>
                <w:kern w:val="0"/>
                <w:sz w:val="21"/>
                <w:szCs w:val="21"/>
              </w:rPr>
            </w:pPr>
            <w:r>
              <w:rPr>
                <w:rFonts w:hint="eastAsia"/>
                <w:color w:val="auto"/>
                <w:sz w:val="21"/>
                <w:szCs w:val="21"/>
              </w:rPr>
              <w:t>5.08E-05</w:t>
            </w:r>
          </w:p>
        </w:tc>
        <w:tc>
          <w:tcPr>
            <w:tcW w:w="376" w:type="pct"/>
            <w:shd w:val="clear" w:color="auto" w:fill="auto"/>
          </w:tcPr>
          <w:p w14:paraId="5641A66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F99A412">
            <w:pPr>
              <w:widowControl/>
              <w:spacing w:line="240" w:lineRule="auto"/>
              <w:ind w:firstLine="0" w:firstLineChars="0"/>
              <w:jc w:val="center"/>
              <w:rPr>
                <w:color w:val="auto"/>
                <w:kern w:val="0"/>
                <w:sz w:val="21"/>
                <w:szCs w:val="21"/>
              </w:rPr>
            </w:pPr>
            <w:r>
              <w:rPr>
                <w:rFonts w:hint="eastAsia"/>
                <w:color w:val="auto"/>
                <w:sz w:val="21"/>
                <w:szCs w:val="21"/>
              </w:rPr>
              <w:t>4.65E-04</w:t>
            </w:r>
          </w:p>
        </w:tc>
        <w:tc>
          <w:tcPr>
            <w:tcW w:w="239" w:type="pct"/>
            <w:shd w:val="clear" w:color="auto" w:fill="auto"/>
          </w:tcPr>
          <w:p w14:paraId="34381A89">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675EC4FF">
            <w:pPr>
              <w:widowControl/>
              <w:spacing w:line="240" w:lineRule="auto"/>
              <w:ind w:firstLine="0" w:firstLineChars="0"/>
              <w:jc w:val="center"/>
              <w:rPr>
                <w:color w:val="auto"/>
                <w:kern w:val="0"/>
                <w:sz w:val="21"/>
                <w:szCs w:val="21"/>
              </w:rPr>
            </w:pPr>
            <w:r>
              <w:rPr>
                <w:rFonts w:hint="eastAsia"/>
                <w:color w:val="auto"/>
                <w:sz w:val="21"/>
                <w:szCs w:val="21"/>
              </w:rPr>
              <w:t>4.81E-05</w:t>
            </w:r>
          </w:p>
        </w:tc>
        <w:tc>
          <w:tcPr>
            <w:tcW w:w="206" w:type="pct"/>
            <w:shd w:val="clear" w:color="auto" w:fill="auto"/>
          </w:tcPr>
          <w:p w14:paraId="39B8529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F4435AD">
            <w:pPr>
              <w:widowControl/>
              <w:spacing w:line="240" w:lineRule="auto"/>
              <w:ind w:firstLine="0" w:firstLineChars="0"/>
              <w:jc w:val="center"/>
              <w:rPr>
                <w:color w:val="auto"/>
                <w:sz w:val="21"/>
                <w:szCs w:val="21"/>
              </w:rPr>
            </w:pPr>
            <w:r>
              <w:rPr>
                <w:rFonts w:hint="eastAsia"/>
                <w:color w:val="auto"/>
                <w:sz w:val="21"/>
                <w:szCs w:val="21"/>
              </w:rPr>
              <w:t>3.48E-05</w:t>
            </w:r>
          </w:p>
        </w:tc>
        <w:tc>
          <w:tcPr>
            <w:tcW w:w="170" w:type="pct"/>
          </w:tcPr>
          <w:p w14:paraId="26CC261C">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0DEC82F">
            <w:pPr>
              <w:widowControl/>
              <w:spacing w:line="240" w:lineRule="auto"/>
              <w:ind w:firstLine="0" w:firstLineChars="0"/>
              <w:jc w:val="center"/>
              <w:rPr>
                <w:color w:val="auto"/>
                <w:kern w:val="0"/>
                <w:sz w:val="21"/>
                <w:szCs w:val="21"/>
              </w:rPr>
            </w:pPr>
            <w:r>
              <w:rPr>
                <w:rFonts w:hint="eastAsia"/>
                <w:color w:val="auto"/>
                <w:sz w:val="21"/>
                <w:szCs w:val="21"/>
              </w:rPr>
              <w:t>3.18E-04</w:t>
            </w:r>
          </w:p>
        </w:tc>
        <w:tc>
          <w:tcPr>
            <w:tcW w:w="172" w:type="pct"/>
            <w:shd w:val="clear" w:color="auto" w:fill="auto"/>
          </w:tcPr>
          <w:p w14:paraId="7DB2558A">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3D887E41">
            <w:pPr>
              <w:widowControl/>
              <w:spacing w:line="240" w:lineRule="auto"/>
              <w:ind w:firstLine="0" w:firstLineChars="0"/>
              <w:jc w:val="center"/>
              <w:rPr>
                <w:color w:val="auto"/>
                <w:kern w:val="0"/>
                <w:sz w:val="21"/>
                <w:szCs w:val="21"/>
              </w:rPr>
            </w:pPr>
            <w:r>
              <w:rPr>
                <w:rFonts w:hint="eastAsia"/>
                <w:color w:val="auto"/>
                <w:sz w:val="21"/>
                <w:szCs w:val="21"/>
              </w:rPr>
              <w:t>8.10E-05</w:t>
            </w:r>
          </w:p>
        </w:tc>
        <w:tc>
          <w:tcPr>
            <w:tcW w:w="212" w:type="pct"/>
            <w:shd w:val="clear" w:color="auto" w:fill="auto"/>
          </w:tcPr>
          <w:p w14:paraId="38605104">
            <w:pPr>
              <w:widowControl/>
              <w:spacing w:line="240" w:lineRule="auto"/>
              <w:ind w:firstLine="0" w:firstLineChars="0"/>
              <w:jc w:val="center"/>
              <w:rPr>
                <w:color w:val="auto"/>
                <w:kern w:val="0"/>
                <w:sz w:val="21"/>
                <w:szCs w:val="21"/>
              </w:rPr>
            </w:pPr>
            <w:r>
              <w:rPr>
                <w:rFonts w:hint="eastAsia"/>
                <w:color w:val="auto"/>
                <w:sz w:val="21"/>
                <w:szCs w:val="21"/>
              </w:rPr>
              <w:t>0.01</w:t>
            </w:r>
          </w:p>
        </w:tc>
      </w:tr>
      <w:tr w14:paraId="0F445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A5FE71A">
            <w:pPr>
              <w:widowControl/>
              <w:spacing w:line="240" w:lineRule="auto"/>
              <w:ind w:firstLine="0" w:firstLineChars="0"/>
              <w:jc w:val="center"/>
              <w:rPr>
                <w:color w:val="auto"/>
                <w:kern w:val="0"/>
                <w:sz w:val="21"/>
                <w:szCs w:val="21"/>
              </w:rPr>
            </w:pPr>
            <w:r>
              <w:rPr>
                <w:color w:val="auto"/>
                <w:sz w:val="21"/>
                <w:szCs w:val="21"/>
              </w:rPr>
              <w:t>900</w:t>
            </w:r>
          </w:p>
        </w:tc>
        <w:tc>
          <w:tcPr>
            <w:tcW w:w="420" w:type="pct"/>
            <w:shd w:val="clear" w:color="auto" w:fill="auto"/>
            <w:noWrap/>
          </w:tcPr>
          <w:p w14:paraId="0C31AD36">
            <w:pPr>
              <w:widowControl/>
              <w:spacing w:line="240" w:lineRule="auto"/>
              <w:ind w:firstLine="0" w:firstLineChars="0"/>
              <w:jc w:val="center"/>
              <w:rPr>
                <w:color w:val="auto"/>
                <w:kern w:val="0"/>
                <w:sz w:val="21"/>
                <w:szCs w:val="21"/>
              </w:rPr>
            </w:pPr>
            <w:r>
              <w:rPr>
                <w:rFonts w:hint="eastAsia"/>
                <w:color w:val="auto"/>
                <w:sz w:val="21"/>
                <w:szCs w:val="21"/>
              </w:rPr>
              <w:t>7.28E-05</w:t>
            </w:r>
          </w:p>
        </w:tc>
        <w:tc>
          <w:tcPr>
            <w:tcW w:w="292" w:type="pct"/>
            <w:shd w:val="clear" w:color="auto" w:fill="auto"/>
            <w:noWrap/>
          </w:tcPr>
          <w:p w14:paraId="68CE9F2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59BC46ED">
            <w:pPr>
              <w:widowControl/>
              <w:spacing w:line="240" w:lineRule="auto"/>
              <w:ind w:firstLine="0" w:firstLineChars="0"/>
              <w:jc w:val="center"/>
              <w:rPr>
                <w:color w:val="auto"/>
                <w:kern w:val="0"/>
                <w:sz w:val="21"/>
                <w:szCs w:val="21"/>
              </w:rPr>
            </w:pPr>
            <w:r>
              <w:rPr>
                <w:rFonts w:hint="eastAsia"/>
                <w:color w:val="auto"/>
                <w:sz w:val="21"/>
                <w:szCs w:val="21"/>
              </w:rPr>
              <w:t>5.12E-05</w:t>
            </w:r>
          </w:p>
        </w:tc>
        <w:tc>
          <w:tcPr>
            <w:tcW w:w="376" w:type="pct"/>
            <w:shd w:val="clear" w:color="auto" w:fill="auto"/>
          </w:tcPr>
          <w:p w14:paraId="26F9CEF0">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88482AF">
            <w:pPr>
              <w:widowControl/>
              <w:spacing w:line="240" w:lineRule="auto"/>
              <w:ind w:firstLine="0" w:firstLineChars="0"/>
              <w:jc w:val="center"/>
              <w:rPr>
                <w:color w:val="auto"/>
                <w:kern w:val="0"/>
                <w:sz w:val="21"/>
                <w:szCs w:val="21"/>
              </w:rPr>
            </w:pPr>
            <w:r>
              <w:rPr>
                <w:rFonts w:hint="eastAsia"/>
                <w:color w:val="auto"/>
                <w:sz w:val="21"/>
                <w:szCs w:val="21"/>
              </w:rPr>
              <w:t>4.69E-04</w:t>
            </w:r>
          </w:p>
        </w:tc>
        <w:tc>
          <w:tcPr>
            <w:tcW w:w="239" w:type="pct"/>
            <w:shd w:val="clear" w:color="auto" w:fill="auto"/>
          </w:tcPr>
          <w:p w14:paraId="6E9667EF">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B1E3F67">
            <w:pPr>
              <w:widowControl/>
              <w:spacing w:line="240" w:lineRule="auto"/>
              <w:ind w:firstLine="0" w:firstLineChars="0"/>
              <w:jc w:val="center"/>
              <w:rPr>
                <w:color w:val="auto"/>
                <w:kern w:val="0"/>
                <w:sz w:val="21"/>
                <w:szCs w:val="21"/>
              </w:rPr>
            </w:pPr>
            <w:r>
              <w:rPr>
                <w:rFonts w:hint="eastAsia"/>
                <w:color w:val="auto"/>
                <w:sz w:val="21"/>
                <w:szCs w:val="21"/>
              </w:rPr>
              <w:t>4.85E-05</w:t>
            </w:r>
          </w:p>
        </w:tc>
        <w:tc>
          <w:tcPr>
            <w:tcW w:w="206" w:type="pct"/>
            <w:shd w:val="clear" w:color="auto" w:fill="auto"/>
          </w:tcPr>
          <w:p w14:paraId="72730464">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17C7673">
            <w:pPr>
              <w:widowControl/>
              <w:spacing w:line="240" w:lineRule="auto"/>
              <w:ind w:firstLine="0" w:firstLineChars="0"/>
              <w:jc w:val="center"/>
              <w:rPr>
                <w:color w:val="auto"/>
                <w:sz w:val="21"/>
                <w:szCs w:val="21"/>
              </w:rPr>
            </w:pPr>
            <w:r>
              <w:rPr>
                <w:rFonts w:hint="eastAsia"/>
                <w:color w:val="auto"/>
                <w:sz w:val="21"/>
                <w:szCs w:val="21"/>
              </w:rPr>
              <w:t>3.50E-05</w:t>
            </w:r>
          </w:p>
        </w:tc>
        <w:tc>
          <w:tcPr>
            <w:tcW w:w="170" w:type="pct"/>
          </w:tcPr>
          <w:p w14:paraId="5ED8F90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4D5BCC2">
            <w:pPr>
              <w:widowControl/>
              <w:spacing w:line="240" w:lineRule="auto"/>
              <w:ind w:firstLine="0" w:firstLineChars="0"/>
              <w:jc w:val="center"/>
              <w:rPr>
                <w:color w:val="auto"/>
                <w:kern w:val="0"/>
                <w:sz w:val="21"/>
                <w:szCs w:val="21"/>
              </w:rPr>
            </w:pPr>
            <w:r>
              <w:rPr>
                <w:rFonts w:hint="eastAsia"/>
                <w:color w:val="auto"/>
                <w:sz w:val="21"/>
                <w:szCs w:val="21"/>
              </w:rPr>
              <w:t>3.21E-04</w:t>
            </w:r>
          </w:p>
        </w:tc>
        <w:tc>
          <w:tcPr>
            <w:tcW w:w="172" w:type="pct"/>
            <w:shd w:val="clear" w:color="auto" w:fill="auto"/>
          </w:tcPr>
          <w:p w14:paraId="56B7420E">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4F6DFC49">
            <w:pPr>
              <w:widowControl/>
              <w:spacing w:line="240" w:lineRule="auto"/>
              <w:ind w:firstLine="0" w:firstLineChars="0"/>
              <w:jc w:val="center"/>
              <w:rPr>
                <w:color w:val="auto"/>
                <w:kern w:val="0"/>
                <w:sz w:val="21"/>
                <w:szCs w:val="21"/>
              </w:rPr>
            </w:pPr>
            <w:r>
              <w:rPr>
                <w:rFonts w:hint="eastAsia"/>
                <w:color w:val="auto"/>
                <w:sz w:val="21"/>
                <w:szCs w:val="21"/>
              </w:rPr>
              <w:t>8.16E-05</w:t>
            </w:r>
          </w:p>
        </w:tc>
        <w:tc>
          <w:tcPr>
            <w:tcW w:w="212" w:type="pct"/>
            <w:shd w:val="clear" w:color="auto" w:fill="auto"/>
          </w:tcPr>
          <w:p w14:paraId="49745742">
            <w:pPr>
              <w:widowControl/>
              <w:spacing w:line="240" w:lineRule="auto"/>
              <w:ind w:firstLine="0" w:firstLineChars="0"/>
              <w:jc w:val="center"/>
              <w:rPr>
                <w:color w:val="auto"/>
                <w:kern w:val="0"/>
                <w:sz w:val="21"/>
                <w:szCs w:val="21"/>
              </w:rPr>
            </w:pPr>
            <w:r>
              <w:rPr>
                <w:rFonts w:hint="eastAsia"/>
                <w:color w:val="auto"/>
                <w:sz w:val="21"/>
                <w:szCs w:val="21"/>
              </w:rPr>
              <w:t>0.01</w:t>
            </w:r>
          </w:p>
        </w:tc>
      </w:tr>
      <w:tr w14:paraId="7BB49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BDF3DCC">
            <w:pPr>
              <w:widowControl/>
              <w:spacing w:line="240" w:lineRule="auto"/>
              <w:ind w:firstLine="0" w:firstLineChars="0"/>
              <w:jc w:val="center"/>
              <w:rPr>
                <w:color w:val="auto"/>
                <w:kern w:val="0"/>
                <w:sz w:val="21"/>
                <w:szCs w:val="21"/>
              </w:rPr>
            </w:pPr>
            <w:r>
              <w:rPr>
                <w:color w:val="auto"/>
                <w:sz w:val="21"/>
                <w:szCs w:val="21"/>
              </w:rPr>
              <w:t>925</w:t>
            </w:r>
          </w:p>
        </w:tc>
        <w:tc>
          <w:tcPr>
            <w:tcW w:w="420" w:type="pct"/>
            <w:shd w:val="clear" w:color="auto" w:fill="auto"/>
            <w:noWrap/>
          </w:tcPr>
          <w:p w14:paraId="4E528DD4">
            <w:pPr>
              <w:widowControl/>
              <w:spacing w:line="240" w:lineRule="auto"/>
              <w:ind w:firstLine="0" w:firstLineChars="0"/>
              <w:jc w:val="center"/>
              <w:rPr>
                <w:color w:val="auto"/>
                <w:kern w:val="0"/>
                <w:sz w:val="21"/>
                <w:szCs w:val="21"/>
              </w:rPr>
            </w:pPr>
            <w:r>
              <w:rPr>
                <w:rFonts w:hint="eastAsia"/>
                <w:color w:val="auto"/>
                <w:sz w:val="21"/>
                <w:szCs w:val="21"/>
              </w:rPr>
              <w:t>7.32E-05</w:t>
            </w:r>
          </w:p>
        </w:tc>
        <w:tc>
          <w:tcPr>
            <w:tcW w:w="292" w:type="pct"/>
            <w:shd w:val="clear" w:color="auto" w:fill="auto"/>
            <w:noWrap/>
          </w:tcPr>
          <w:p w14:paraId="5017EC3C">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0CE9B0E">
            <w:pPr>
              <w:widowControl/>
              <w:spacing w:line="240" w:lineRule="auto"/>
              <w:ind w:firstLine="0" w:firstLineChars="0"/>
              <w:jc w:val="center"/>
              <w:rPr>
                <w:color w:val="auto"/>
                <w:kern w:val="0"/>
                <w:sz w:val="21"/>
                <w:szCs w:val="21"/>
              </w:rPr>
            </w:pPr>
            <w:r>
              <w:rPr>
                <w:rFonts w:hint="eastAsia"/>
                <w:color w:val="auto"/>
                <w:sz w:val="21"/>
                <w:szCs w:val="21"/>
              </w:rPr>
              <w:t>5.15E-05</w:t>
            </w:r>
          </w:p>
        </w:tc>
        <w:tc>
          <w:tcPr>
            <w:tcW w:w="376" w:type="pct"/>
            <w:shd w:val="clear" w:color="auto" w:fill="auto"/>
          </w:tcPr>
          <w:p w14:paraId="511F391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5DDC208">
            <w:pPr>
              <w:widowControl/>
              <w:spacing w:line="240" w:lineRule="auto"/>
              <w:ind w:firstLine="0" w:firstLineChars="0"/>
              <w:jc w:val="center"/>
              <w:rPr>
                <w:color w:val="auto"/>
                <w:kern w:val="0"/>
                <w:sz w:val="21"/>
                <w:szCs w:val="21"/>
              </w:rPr>
            </w:pPr>
            <w:r>
              <w:rPr>
                <w:rFonts w:hint="eastAsia"/>
                <w:color w:val="auto"/>
                <w:sz w:val="21"/>
                <w:szCs w:val="21"/>
              </w:rPr>
              <w:t>4.72E-04</w:t>
            </w:r>
          </w:p>
        </w:tc>
        <w:tc>
          <w:tcPr>
            <w:tcW w:w="239" w:type="pct"/>
            <w:shd w:val="clear" w:color="auto" w:fill="auto"/>
          </w:tcPr>
          <w:p w14:paraId="176979DC">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4474B54D">
            <w:pPr>
              <w:widowControl/>
              <w:spacing w:line="240" w:lineRule="auto"/>
              <w:ind w:firstLine="0" w:firstLineChars="0"/>
              <w:jc w:val="center"/>
              <w:rPr>
                <w:color w:val="auto"/>
                <w:kern w:val="0"/>
                <w:sz w:val="21"/>
                <w:szCs w:val="21"/>
              </w:rPr>
            </w:pPr>
            <w:r>
              <w:rPr>
                <w:rFonts w:hint="eastAsia"/>
                <w:color w:val="auto"/>
                <w:sz w:val="21"/>
                <w:szCs w:val="21"/>
              </w:rPr>
              <w:t>4.88E-05</w:t>
            </w:r>
          </w:p>
        </w:tc>
        <w:tc>
          <w:tcPr>
            <w:tcW w:w="206" w:type="pct"/>
            <w:shd w:val="clear" w:color="auto" w:fill="auto"/>
          </w:tcPr>
          <w:p w14:paraId="4C5C36A5">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8A93275">
            <w:pPr>
              <w:widowControl/>
              <w:spacing w:line="240" w:lineRule="auto"/>
              <w:ind w:firstLine="0" w:firstLineChars="0"/>
              <w:jc w:val="center"/>
              <w:rPr>
                <w:color w:val="auto"/>
                <w:sz w:val="21"/>
                <w:szCs w:val="21"/>
              </w:rPr>
            </w:pPr>
            <w:r>
              <w:rPr>
                <w:rFonts w:hint="eastAsia"/>
                <w:color w:val="auto"/>
                <w:sz w:val="21"/>
                <w:szCs w:val="21"/>
              </w:rPr>
              <w:t>3.53E-05</w:t>
            </w:r>
          </w:p>
        </w:tc>
        <w:tc>
          <w:tcPr>
            <w:tcW w:w="170" w:type="pct"/>
          </w:tcPr>
          <w:p w14:paraId="5E01762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91F03EB">
            <w:pPr>
              <w:widowControl/>
              <w:spacing w:line="240" w:lineRule="auto"/>
              <w:ind w:firstLine="0" w:firstLineChars="0"/>
              <w:jc w:val="center"/>
              <w:rPr>
                <w:color w:val="auto"/>
                <w:kern w:val="0"/>
                <w:sz w:val="21"/>
                <w:szCs w:val="21"/>
              </w:rPr>
            </w:pPr>
            <w:r>
              <w:rPr>
                <w:rFonts w:hint="eastAsia"/>
                <w:color w:val="auto"/>
                <w:sz w:val="21"/>
                <w:szCs w:val="21"/>
              </w:rPr>
              <w:t>3.23E-04</w:t>
            </w:r>
          </w:p>
        </w:tc>
        <w:tc>
          <w:tcPr>
            <w:tcW w:w="172" w:type="pct"/>
            <w:shd w:val="clear" w:color="auto" w:fill="auto"/>
          </w:tcPr>
          <w:p w14:paraId="35E64655">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E24FD60">
            <w:pPr>
              <w:widowControl/>
              <w:spacing w:line="240" w:lineRule="auto"/>
              <w:ind w:firstLine="0" w:firstLineChars="0"/>
              <w:jc w:val="center"/>
              <w:rPr>
                <w:color w:val="auto"/>
                <w:kern w:val="0"/>
                <w:sz w:val="21"/>
                <w:szCs w:val="21"/>
              </w:rPr>
            </w:pPr>
            <w:r>
              <w:rPr>
                <w:rFonts w:hint="eastAsia"/>
                <w:color w:val="auto"/>
                <w:sz w:val="21"/>
                <w:szCs w:val="21"/>
              </w:rPr>
              <w:t>8.21E-05</w:t>
            </w:r>
          </w:p>
        </w:tc>
        <w:tc>
          <w:tcPr>
            <w:tcW w:w="212" w:type="pct"/>
            <w:shd w:val="clear" w:color="auto" w:fill="auto"/>
          </w:tcPr>
          <w:p w14:paraId="4C192530">
            <w:pPr>
              <w:widowControl/>
              <w:spacing w:line="240" w:lineRule="auto"/>
              <w:ind w:firstLine="0" w:firstLineChars="0"/>
              <w:jc w:val="center"/>
              <w:rPr>
                <w:color w:val="auto"/>
                <w:kern w:val="0"/>
                <w:sz w:val="21"/>
                <w:szCs w:val="21"/>
              </w:rPr>
            </w:pPr>
            <w:r>
              <w:rPr>
                <w:rFonts w:hint="eastAsia"/>
                <w:color w:val="auto"/>
                <w:sz w:val="21"/>
                <w:szCs w:val="21"/>
              </w:rPr>
              <w:t>0.01</w:t>
            </w:r>
          </w:p>
        </w:tc>
      </w:tr>
      <w:tr w14:paraId="54203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9075F52">
            <w:pPr>
              <w:widowControl/>
              <w:spacing w:line="240" w:lineRule="auto"/>
              <w:ind w:firstLine="0" w:firstLineChars="0"/>
              <w:jc w:val="center"/>
              <w:rPr>
                <w:color w:val="auto"/>
                <w:kern w:val="0"/>
                <w:sz w:val="21"/>
                <w:szCs w:val="21"/>
              </w:rPr>
            </w:pPr>
            <w:r>
              <w:rPr>
                <w:color w:val="auto"/>
                <w:sz w:val="21"/>
                <w:szCs w:val="21"/>
              </w:rPr>
              <w:t>950</w:t>
            </w:r>
          </w:p>
        </w:tc>
        <w:tc>
          <w:tcPr>
            <w:tcW w:w="420" w:type="pct"/>
            <w:shd w:val="clear" w:color="auto" w:fill="auto"/>
            <w:noWrap/>
          </w:tcPr>
          <w:p w14:paraId="0AE0BEE9">
            <w:pPr>
              <w:widowControl/>
              <w:spacing w:line="240" w:lineRule="auto"/>
              <w:ind w:firstLine="0" w:firstLineChars="0"/>
              <w:jc w:val="center"/>
              <w:rPr>
                <w:color w:val="auto"/>
                <w:kern w:val="0"/>
                <w:sz w:val="21"/>
                <w:szCs w:val="21"/>
              </w:rPr>
            </w:pPr>
            <w:r>
              <w:rPr>
                <w:rFonts w:hint="eastAsia"/>
                <w:color w:val="auto"/>
                <w:sz w:val="21"/>
                <w:szCs w:val="21"/>
              </w:rPr>
              <w:t>7.36E-05</w:t>
            </w:r>
          </w:p>
        </w:tc>
        <w:tc>
          <w:tcPr>
            <w:tcW w:w="292" w:type="pct"/>
            <w:shd w:val="clear" w:color="auto" w:fill="auto"/>
            <w:noWrap/>
          </w:tcPr>
          <w:p w14:paraId="6B08964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37942DC">
            <w:pPr>
              <w:widowControl/>
              <w:spacing w:line="240" w:lineRule="auto"/>
              <w:ind w:firstLine="0" w:firstLineChars="0"/>
              <w:jc w:val="center"/>
              <w:rPr>
                <w:color w:val="auto"/>
                <w:kern w:val="0"/>
                <w:sz w:val="21"/>
                <w:szCs w:val="21"/>
              </w:rPr>
            </w:pPr>
            <w:r>
              <w:rPr>
                <w:rFonts w:hint="eastAsia"/>
                <w:color w:val="auto"/>
                <w:sz w:val="21"/>
                <w:szCs w:val="21"/>
              </w:rPr>
              <w:t>5.18E-05</w:t>
            </w:r>
          </w:p>
        </w:tc>
        <w:tc>
          <w:tcPr>
            <w:tcW w:w="376" w:type="pct"/>
            <w:shd w:val="clear" w:color="auto" w:fill="auto"/>
          </w:tcPr>
          <w:p w14:paraId="1E06C68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4FA9292">
            <w:pPr>
              <w:widowControl/>
              <w:spacing w:line="240" w:lineRule="auto"/>
              <w:ind w:firstLine="0" w:firstLineChars="0"/>
              <w:jc w:val="center"/>
              <w:rPr>
                <w:color w:val="auto"/>
                <w:kern w:val="0"/>
                <w:sz w:val="21"/>
                <w:szCs w:val="21"/>
              </w:rPr>
            </w:pPr>
            <w:r>
              <w:rPr>
                <w:rFonts w:hint="eastAsia"/>
                <w:color w:val="auto"/>
                <w:sz w:val="21"/>
                <w:szCs w:val="21"/>
              </w:rPr>
              <w:t>4.74E-04</w:t>
            </w:r>
          </w:p>
        </w:tc>
        <w:tc>
          <w:tcPr>
            <w:tcW w:w="239" w:type="pct"/>
            <w:shd w:val="clear" w:color="auto" w:fill="auto"/>
          </w:tcPr>
          <w:p w14:paraId="1BD58BA3">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6A5AA036">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206" w:type="pct"/>
            <w:shd w:val="clear" w:color="auto" w:fill="auto"/>
          </w:tcPr>
          <w:p w14:paraId="31C13A12">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CDD8114">
            <w:pPr>
              <w:widowControl/>
              <w:spacing w:line="240" w:lineRule="auto"/>
              <w:ind w:firstLine="0" w:firstLineChars="0"/>
              <w:jc w:val="center"/>
              <w:rPr>
                <w:color w:val="auto"/>
                <w:sz w:val="21"/>
                <w:szCs w:val="21"/>
              </w:rPr>
            </w:pPr>
            <w:r>
              <w:rPr>
                <w:rFonts w:hint="eastAsia"/>
                <w:color w:val="auto"/>
                <w:sz w:val="21"/>
                <w:szCs w:val="21"/>
              </w:rPr>
              <w:t>3.54E-05</w:t>
            </w:r>
          </w:p>
        </w:tc>
        <w:tc>
          <w:tcPr>
            <w:tcW w:w="170" w:type="pct"/>
          </w:tcPr>
          <w:p w14:paraId="38ADD37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F96C8C8">
            <w:pPr>
              <w:widowControl/>
              <w:spacing w:line="240" w:lineRule="auto"/>
              <w:ind w:firstLine="0" w:firstLineChars="0"/>
              <w:jc w:val="center"/>
              <w:rPr>
                <w:color w:val="auto"/>
                <w:kern w:val="0"/>
                <w:sz w:val="21"/>
                <w:szCs w:val="21"/>
              </w:rPr>
            </w:pPr>
            <w:r>
              <w:rPr>
                <w:rFonts w:hint="eastAsia"/>
                <w:color w:val="auto"/>
                <w:sz w:val="21"/>
                <w:szCs w:val="21"/>
              </w:rPr>
              <w:t>3.24E-04</w:t>
            </w:r>
          </w:p>
        </w:tc>
        <w:tc>
          <w:tcPr>
            <w:tcW w:w="172" w:type="pct"/>
            <w:shd w:val="clear" w:color="auto" w:fill="auto"/>
          </w:tcPr>
          <w:p w14:paraId="56A19C36">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0F2B1B1">
            <w:pPr>
              <w:widowControl/>
              <w:spacing w:line="240" w:lineRule="auto"/>
              <w:ind w:firstLine="0" w:firstLineChars="0"/>
              <w:jc w:val="center"/>
              <w:rPr>
                <w:color w:val="auto"/>
                <w:kern w:val="0"/>
                <w:sz w:val="21"/>
                <w:szCs w:val="21"/>
              </w:rPr>
            </w:pPr>
            <w:r>
              <w:rPr>
                <w:rFonts w:hint="eastAsia"/>
                <w:color w:val="auto"/>
                <w:sz w:val="21"/>
                <w:szCs w:val="21"/>
              </w:rPr>
              <w:t>8.25E-05</w:t>
            </w:r>
          </w:p>
        </w:tc>
        <w:tc>
          <w:tcPr>
            <w:tcW w:w="212" w:type="pct"/>
            <w:shd w:val="clear" w:color="auto" w:fill="auto"/>
          </w:tcPr>
          <w:p w14:paraId="49978042">
            <w:pPr>
              <w:widowControl/>
              <w:spacing w:line="240" w:lineRule="auto"/>
              <w:ind w:firstLine="0" w:firstLineChars="0"/>
              <w:jc w:val="center"/>
              <w:rPr>
                <w:color w:val="auto"/>
                <w:kern w:val="0"/>
                <w:sz w:val="21"/>
                <w:szCs w:val="21"/>
              </w:rPr>
            </w:pPr>
            <w:r>
              <w:rPr>
                <w:rFonts w:hint="eastAsia"/>
                <w:color w:val="auto"/>
                <w:sz w:val="21"/>
                <w:szCs w:val="21"/>
              </w:rPr>
              <w:t>0.01</w:t>
            </w:r>
          </w:p>
        </w:tc>
      </w:tr>
      <w:tr w14:paraId="47177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3D94DA1">
            <w:pPr>
              <w:widowControl/>
              <w:spacing w:line="240" w:lineRule="auto"/>
              <w:ind w:firstLine="0" w:firstLineChars="0"/>
              <w:jc w:val="center"/>
              <w:rPr>
                <w:color w:val="auto"/>
                <w:kern w:val="0"/>
                <w:sz w:val="21"/>
                <w:szCs w:val="21"/>
              </w:rPr>
            </w:pPr>
            <w:r>
              <w:rPr>
                <w:color w:val="auto"/>
                <w:sz w:val="21"/>
                <w:szCs w:val="21"/>
              </w:rPr>
              <w:t>975</w:t>
            </w:r>
          </w:p>
        </w:tc>
        <w:tc>
          <w:tcPr>
            <w:tcW w:w="420" w:type="pct"/>
            <w:shd w:val="clear" w:color="auto" w:fill="auto"/>
            <w:noWrap/>
          </w:tcPr>
          <w:p w14:paraId="728413D8">
            <w:pPr>
              <w:widowControl/>
              <w:spacing w:line="240" w:lineRule="auto"/>
              <w:ind w:firstLine="0" w:firstLineChars="0"/>
              <w:jc w:val="center"/>
              <w:rPr>
                <w:color w:val="auto"/>
                <w:kern w:val="0"/>
                <w:sz w:val="21"/>
                <w:szCs w:val="21"/>
              </w:rPr>
            </w:pPr>
            <w:r>
              <w:rPr>
                <w:rFonts w:hint="eastAsia"/>
                <w:color w:val="auto"/>
                <w:sz w:val="21"/>
                <w:szCs w:val="21"/>
              </w:rPr>
              <w:t>7.38E-05</w:t>
            </w:r>
          </w:p>
        </w:tc>
        <w:tc>
          <w:tcPr>
            <w:tcW w:w="292" w:type="pct"/>
            <w:shd w:val="clear" w:color="auto" w:fill="auto"/>
            <w:noWrap/>
          </w:tcPr>
          <w:p w14:paraId="4FFA372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D220252">
            <w:pPr>
              <w:widowControl/>
              <w:spacing w:line="240" w:lineRule="auto"/>
              <w:ind w:firstLine="0" w:firstLineChars="0"/>
              <w:jc w:val="center"/>
              <w:rPr>
                <w:color w:val="auto"/>
                <w:kern w:val="0"/>
                <w:sz w:val="21"/>
                <w:szCs w:val="21"/>
              </w:rPr>
            </w:pPr>
            <w:r>
              <w:rPr>
                <w:rFonts w:hint="eastAsia"/>
                <w:color w:val="auto"/>
                <w:sz w:val="21"/>
                <w:szCs w:val="21"/>
              </w:rPr>
              <w:t>5.20E-05</w:t>
            </w:r>
          </w:p>
        </w:tc>
        <w:tc>
          <w:tcPr>
            <w:tcW w:w="376" w:type="pct"/>
            <w:shd w:val="clear" w:color="auto" w:fill="auto"/>
          </w:tcPr>
          <w:p w14:paraId="2CBFDE01">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7B49A83">
            <w:pPr>
              <w:widowControl/>
              <w:spacing w:line="240" w:lineRule="auto"/>
              <w:ind w:firstLine="0" w:firstLineChars="0"/>
              <w:jc w:val="center"/>
              <w:rPr>
                <w:color w:val="auto"/>
                <w:kern w:val="0"/>
                <w:sz w:val="21"/>
                <w:szCs w:val="21"/>
              </w:rPr>
            </w:pPr>
            <w:r>
              <w:rPr>
                <w:rFonts w:hint="eastAsia"/>
                <w:color w:val="auto"/>
                <w:sz w:val="21"/>
                <w:szCs w:val="21"/>
              </w:rPr>
              <w:t>4.76E-04</w:t>
            </w:r>
          </w:p>
        </w:tc>
        <w:tc>
          <w:tcPr>
            <w:tcW w:w="239" w:type="pct"/>
            <w:shd w:val="clear" w:color="auto" w:fill="auto"/>
          </w:tcPr>
          <w:p w14:paraId="46987EBD">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6342E8C2">
            <w:pPr>
              <w:widowControl/>
              <w:spacing w:line="240" w:lineRule="auto"/>
              <w:ind w:firstLine="0" w:firstLineChars="0"/>
              <w:jc w:val="center"/>
              <w:rPr>
                <w:color w:val="auto"/>
                <w:kern w:val="0"/>
                <w:sz w:val="21"/>
                <w:szCs w:val="21"/>
              </w:rPr>
            </w:pPr>
            <w:r>
              <w:rPr>
                <w:rFonts w:hint="eastAsia"/>
                <w:color w:val="auto"/>
                <w:sz w:val="21"/>
                <w:szCs w:val="21"/>
              </w:rPr>
              <w:t>4.92E-05</w:t>
            </w:r>
          </w:p>
        </w:tc>
        <w:tc>
          <w:tcPr>
            <w:tcW w:w="206" w:type="pct"/>
            <w:shd w:val="clear" w:color="auto" w:fill="auto"/>
          </w:tcPr>
          <w:p w14:paraId="18E83AF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02BAD97">
            <w:pPr>
              <w:widowControl/>
              <w:spacing w:line="240" w:lineRule="auto"/>
              <w:ind w:firstLine="0" w:firstLineChars="0"/>
              <w:jc w:val="center"/>
              <w:rPr>
                <w:color w:val="auto"/>
                <w:sz w:val="21"/>
                <w:szCs w:val="21"/>
              </w:rPr>
            </w:pPr>
            <w:r>
              <w:rPr>
                <w:rFonts w:hint="eastAsia"/>
                <w:color w:val="auto"/>
                <w:sz w:val="21"/>
                <w:szCs w:val="21"/>
              </w:rPr>
              <w:t>3.56E-05</w:t>
            </w:r>
          </w:p>
        </w:tc>
        <w:tc>
          <w:tcPr>
            <w:tcW w:w="170" w:type="pct"/>
          </w:tcPr>
          <w:p w14:paraId="46AF3DBE">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BE06B3A">
            <w:pPr>
              <w:widowControl/>
              <w:spacing w:line="240" w:lineRule="auto"/>
              <w:ind w:firstLine="0" w:firstLineChars="0"/>
              <w:jc w:val="center"/>
              <w:rPr>
                <w:color w:val="auto"/>
                <w:kern w:val="0"/>
                <w:sz w:val="21"/>
                <w:szCs w:val="21"/>
              </w:rPr>
            </w:pPr>
            <w:r>
              <w:rPr>
                <w:rFonts w:hint="eastAsia"/>
                <w:color w:val="auto"/>
                <w:sz w:val="21"/>
                <w:szCs w:val="21"/>
              </w:rPr>
              <w:t>3.25E-04</w:t>
            </w:r>
          </w:p>
        </w:tc>
        <w:tc>
          <w:tcPr>
            <w:tcW w:w="172" w:type="pct"/>
            <w:shd w:val="clear" w:color="auto" w:fill="auto"/>
          </w:tcPr>
          <w:p w14:paraId="7B7E7BAA">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3E5B22AB">
            <w:pPr>
              <w:widowControl/>
              <w:spacing w:line="240" w:lineRule="auto"/>
              <w:ind w:firstLine="0" w:firstLineChars="0"/>
              <w:jc w:val="center"/>
              <w:rPr>
                <w:color w:val="auto"/>
                <w:kern w:val="0"/>
                <w:sz w:val="21"/>
                <w:szCs w:val="21"/>
              </w:rPr>
            </w:pPr>
            <w:r>
              <w:rPr>
                <w:rFonts w:hint="eastAsia"/>
                <w:color w:val="auto"/>
                <w:sz w:val="21"/>
                <w:szCs w:val="21"/>
              </w:rPr>
              <w:t>8.28E-05</w:t>
            </w:r>
          </w:p>
        </w:tc>
        <w:tc>
          <w:tcPr>
            <w:tcW w:w="212" w:type="pct"/>
            <w:shd w:val="clear" w:color="auto" w:fill="auto"/>
          </w:tcPr>
          <w:p w14:paraId="494DC1FA">
            <w:pPr>
              <w:widowControl/>
              <w:spacing w:line="240" w:lineRule="auto"/>
              <w:ind w:firstLine="0" w:firstLineChars="0"/>
              <w:jc w:val="center"/>
              <w:rPr>
                <w:color w:val="auto"/>
                <w:kern w:val="0"/>
                <w:sz w:val="21"/>
                <w:szCs w:val="21"/>
              </w:rPr>
            </w:pPr>
            <w:r>
              <w:rPr>
                <w:rFonts w:hint="eastAsia"/>
                <w:color w:val="auto"/>
                <w:sz w:val="21"/>
                <w:szCs w:val="21"/>
              </w:rPr>
              <w:t>0.01</w:t>
            </w:r>
          </w:p>
        </w:tc>
      </w:tr>
      <w:tr w14:paraId="2CDA4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9F35143">
            <w:pPr>
              <w:widowControl/>
              <w:spacing w:line="240" w:lineRule="auto"/>
              <w:ind w:firstLine="0" w:firstLineChars="0"/>
              <w:jc w:val="center"/>
              <w:rPr>
                <w:color w:val="auto"/>
                <w:kern w:val="0"/>
                <w:sz w:val="21"/>
                <w:szCs w:val="21"/>
              </w:rPr>
            </w:pPr>
            <w:r>
              <w:rPr>
                <w:color w:val="auto"/>
                <w:sz w:val="21"/>
                <w:szCs w:val="21"/>
              </w:rPr>
              <w:t>1000</w:t>
            </w:r>
          </w:p>
        </w:tc>
        <w:tc>
          <w:tcPr>
            <w:tcW w:w="420" w:type="pct"/>
            <w:shd w:val="clear" w:color="auto" w:fill="auto"/>
            <w:noWrap/>
          </w:tcPr>
          <w:p w14:paraId="36815EBE">
            <w:pPr>
              <w:widowControl/>
              <w:spacing w:line="240" w:lineRule="auto"/>
              <w:ind w:firstLine="0" w:firstLineChars="0"/>
              <w:jc w:val="center"/>
              <w:rPr>
                <w:color w:val="auto"/>
                <w:kern w:val="0"/>
                <w:sz w:val="21"/>
                <w:szCs w:val="21"/>
              </w:rPr>
            </w:pPr>
            <w:r>
              <w:rPr>
                <w:rFonts w:hint="eastAsia"/>
                <w:color w:val="auto"/>
                <w:sz w:val="21"/>
                <w:szCs w:val="21"/>
              </w:rPr>
              <w:t>7.40E-05</w:t>
            </w:r>
          </w:p>
        </w:tc>
        <w:tc>
          <w:tcPr>
            <w:tcW w:w="292" w:type="pct"/>
            <w:shd w:val="clear" w:color="auto" w:fill="auto"/>
            <w:noWrap/>
          </w:tcPr>
          <w:p w14:paraId="1C1C6BFA">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9671E34">
            <w:pPr>
              <w:widowControl/>
              <w:spacing w:line="240" w:lineRule="auto"/>
              <w:ind w:firstLine="0" w:firstLineChars="0"/>
              <w:jc w:val="center"/>
              <w:rPr>
                <w:color w:val="auto"/>
                <w:kern w:val="0"/>
                <w:sz w:val="21"/>
                <w:szCs w:val="21"/>
              </w:rPr>
            </w:pPr>
            <w:r>
              <w:rPr>
                <w:rFonts w:hint="eastAsia"/>
                <w:color w:val="auto"/>
                <w:sz w:val="21"/>
                <w:szCs w:val="21"/>
              </w:rPr>
              <w:t>5.21E-05</w:t>
            </w:r>
          </w:p>
        </w:tc>
        <w:tc>
          <w:tcPr>
            <w:tcW w:w="376" w:type="pct"/>
            <w:shd w:val="clear" w:color="auto" w:fill="auto"/>
          </w:tcPr>
          <w:p w14:paraId="53FE7633">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4095D0A">
            <w:pPr>
              <w:widowControl/>
              <w:spacing w:line="240" w:lineRule="auto"/>
              <w:ind w:firstLine="0" w:firstLineChars="0"/>
              <w:jc w:val="center"/>
              <w:rPr>
                <w:color w:val="auto"/>
                <w:kern w:val="0"/>
                <w:sz w:val="21"/>
                <w:szCs w:val="21"/>
              </w:rPr>
            </w:pPr>
            <w:r>
              <w:rPr>
                <w:rFonts w:hint="eastAsia"/>
                <w:color w:val="auto"/>
                <w:sz w:val="21"/>
                <w:szCs w:val="21"/>
              </w:rPr>
              <w:t>4.77E-04</w:t>
            </w:r>
          </w:p>
        </w:tc>
        <w:tc>
          <w:tcPr>
            <w:tcW w:w="239" w:type="pct"/>
            <w:shd w:val="clear" w:color="auto" w:fill="auto"/>
          </w:tcPr>
          <w:p w14:paraId="564332A8">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6AFB31B1">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206" w:type="pct"/>
            <w:shd w:val="clear" w:color="auto" w:fill="auto"/>
          </w:tcPr>
          <w:p w14:paraId="41AE4B4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68A1BD6">
            <w:pPr>
              <w:widowControl/>
              <w:spacing w:line="240" w:lineRule="auto"/>
              <w:ind w:firstLine="0" w:firstLineChars="0"/>
              <w:jc w:val="center"/>
              <w:rPr>
                <w:color w:val="auto"/>
                <w:sz w:val="21"/>
                <w:szCs w:val="21"/>
              </w:rPr>
            </w:pPr>
            <w:r>
              <w:rPr>
                <w:rFonts w:hint="eastAsia"/>
                <w:color w:val="auto"/>
                <w:sz w:val="21"/>
                <w:szCs w:val="21"/>
              </w:rPr>
              <w:t>3.56E-05</w:t>
            </w:r>
          </w:p>
        </w:tc>
        <w:tc>
          <w:tcPr>
            <w:tcW w:w="170" w:type="pct"/>
          </w:tcPr>
          <w:p w14:paraId="0B5ABA0F">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32A098B5">
            <w:pPr>
              <w:widowControl/>
              <w:spacing w:line="240" w:lineRule="auto"/>
              <w:ind w:firstLine="0" w:firstLineChars="0"/>
              <w:jc w:val="center"/>
              <w:rPr>
                <w:color w:val="auto"/>
                <w:kern w:val="0"/>
                <w:sz w:val="21"/>
                <w:szCs w:val="21"/>
              </w:rPr>
            </w:pPr>
            <w:r>
              <w:rPr>
                <w:rFonts w:hint="eastAsia"/>
                <w:color w:val="auto"/>
                <w:sz w:val="21"/>
                <w:szCs w:val="21"/>
              </w:rPr>
              <w:t>3.26E-04</w:t>
            </w:r>
          </w:p>
        </w:tc>
        <w:tc>
          <w:tcPr>
            <w:tcW w:w="172" w:type="pct"/>
            <w:shd w:val="clear" w:color="auto" w:fill="auto"/>
          </w:tcPr>
          <w:p w14:paraId="560F27A0">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E701718">
            <w:pPr>
              <w:widowControl/>
              <w:spacing w:line="240" w:lineRule="auto"/>
              <w:ind w:firstLine="0" w:firstLineChars="0"/>
              <w:jc w:val="center"/>
              <w:rPr>
                <w:color w:val="auto"/>
                <w:kern w:val="0"/>
                <w:sz w:val="21"/>
                <w:szCs w:val="21"/>
              </w:rPr>
            </w:pPr>
            <w:r>
              <w:rPr>
                <w:rFonts w:hint="eastAsia"/>
                <w:color w:val="auto"/>
                <w:sz w:val="21"/>
                <w:szCs w:val="21"/>
              </w:rPr>
              <w:t>8.30E-05</w:t>
            </w:r>
          </w:p>
        </w:tc>
        <w:tc>
          <w:tcPr>
            <w:tcW w:w="212" w:type="pct"/>
            <w:shd w:val="clear" w:color="auto" w:fill="auto"/>
          </w:tcPr>
          <w:p w14:paraId="4D32B1C2">
            <w:pPr>
              <w:widowControl/>
              <w:spacing w:line="240" w:lineRule="auto"/>
              <w:ind w:firstLine="0" w:firstLineChars="0"/>
              <w:jc w:val="center"/>
              <w:rPr>
                <w:color w:val="auto"/>
                <w:kern w:val="0"/>
                <w:sz w:val="21"/>
                <w:szCs w:val="21"/>
              </w:rPr>
            </w:pPr>
            <w:r>
              <w:rPr>
                <w:rFonts w:hint="eastAsia"/>
                <w:color w:val="auto"/>
                <w:sz w:val="21"/>
                <w:szCs w:val="21"/>
              </w:rPr>
              <w:t>0.01</w:t>
            </w:r>
          </w:p>
        </w:tc>
      </w:tr>
      <w:tr w14:paraId="6BCC8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D200FB7">
            <w:pPr>
              <w:widowControl/>
              <w:spacing w:line="240" w:lineRule="auto"/>
              <w:ind w:firstLine="0" w:firstLineChars="0"/>
              <w:jc w:val="center"/>
              <w:rPr>
                <w:color w:val="auto"/>
                <w:kern w:val="0"/>
                <w:sz w:val="21"/>
                <w:szCs w:val="21"/>
              </w:rPr>
            </w:pPr>
            <w:r>
              <w:rPr>
                <w:color w:val="auto"/>
                <w:sz w:val="21"/>
                <w:szCs w:val="21"/>
              </w:rPr>
              <w:t>1025</w:t>
            </w:r>
          </w:p>
        </w:tc>
        <w:tc>
          <w:tcPr>
            <w:tcW w:w="420" w:type="pct"/>
            <w:shd w:val="clear" w:color="auto" w:fill="auto"/>
            <w:noWrap/>
          </w:tcPr>
          <w:p w14:paraId="6207BC2A">
            <w:pPr>
              <w:widowControl/>
              <w:spacing w:line="240" w:lineRule="auto"/>
              <w:ind w:firstLine="0" w:firstLineChars="0"/>
              <w:jc w:val="center"/>
              <w:rPr>
                <w:color w:val="auto"/>
                <w:kern w:val="0"/>
                <w:sz w:val="21"/>
                <w:szCs w:val="21"/>
              </w:rPr>
            </w:pPr>
            <w:r>
              <w:rPr>
                <w:rFonts w:hint="eastAsia"/>
                <w:color w:val="auto"/>
                <w:sz w:val="21"/>
                <w:szCs w:val="21"/>
              </w:rPr>
              <w:t>7.41E-05</w:t>
            </w:r>
          </w:p>
        </w:tc>
        <w:tc>
          <w:tcPr>
            <w:tcW w:w="292" w:type="pct"/>
            <w:shd w:val="clear" w:color="auto" w:fill="auto"/>
            <w:noWrap/>
          </w:tcPr>
          <w:p w14:paraId="5DCA8B8C">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E58501A">
            <w:pPr>
              <w:widowControl/>
              <w:spacing w:line="240" w:lineRule="auto"/>
              <w:ind w:firstLine="0" w:firstLineChars="0"/>
              <w:jc w:val="center"/>
              <w:rPr>
                <w:color w:val="auto"/>
                <w:kern w:val="0"/>
                <w:sz w:val="21"/>
                <w:szCs w:val="21"/>
              </w:rPr>
            </w:pPr>
            <w:r>
              <w:rPr>
                <w:rFonts w:hint="eastAsia"/>
                <w:color w:val="auto"/>
                <w:sz w:val="21"/>
                <w:szCs w:val="21"/>
              </w:rPr>
              <w:t>5.22E-05</w:t>
            </w:r>
          </w:p>
        </w:tc>
        <w:tc>
          <w:tcPr>
            <w:tcW w:w="376" w:type="pct"/>
            <w:shd w:val="clear" w:color="auto" w:fill="auto"/>
          </w:tcPr>
          <w:p w14:paraId="5D05D1E8">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35290AA">
            <w:pPr>
              <w:widowControl/>
              <w:spacing w:line="240" w:lineRule="auto"/>
              <w:ind w:firstLine="0" w:firstLineChars="0"/>
              <w:jc w:val="center"/>
              <w:rPr>
                <w:color w:val="auto"/>
                <w:kern w:val="0"/>
                <w:sz w:val="21"/>
                <w:szCs w:val="21"/>
              </w:rPr>
            </w:pPr>
            <w:r>
              <w:rPr>
                <w:rFonts w:hint="eastAsia"/>
                <w:color w:val="auto"/>
                <w:sz w:val="21"/>
                <w:szCs w:val="21"/>
              </w:rPr>
              <w:t>4.78E-04</w:t>
            </w:r>
          </w:p>
        </w:tc>
        <w:tc>
          <w:tcPr>
            <w:tcW w:w="239" w:type="pct"/>
            <w:shd w:val="clear" w:color="auto" w:fill="auto"/>
          </w:tcPr>
          <w:p w14:paraId="5184AC5D">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69D5471F">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206" w:type="pct"/>
            <w:shd w:val="clear" w:color="auto" w:fill="auto"/>
          </w:tcPr>
          <w:p w14:paraId="36165A36">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28F9D51">
            <w:pPr>
              <w:widowControl/>
              <w:spacing w:line="240" w:lineRule="auto"/>
              <w:ind w:firstLine="0" w:firstLineChars="0"/>
              <w:jc w:val="center"/>
              <w:rPr>
                <w:color w:val="auto"/>
                <w:sz w:val="21"/>
                <w:szCs w:val="21"/>
              </w:rPr>
            </w:pPr>
            <w:r>
              <w:rPr>
                <w:rFonts w:hint="eastAsia"/>
                <w:color w:val="auto"/>
                <w:sz w:val="21"/>
                <w:szCs w:val="21"/>
              </w:rPr>
              <w:t>3.57E-05</w:t>
            </w:r>
          </w:p>
        </w:tc>
        <w:tc>
          <w:tcPr>
            <w:tcW w:w="170" w:type="pct"/>
          </w:tcPr>
          <w:p w14:paraId="2A92DBC8">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F0659B3">
            <w:pPr>
              <w:widowControl/>
              <w:spacing w:line="240" w:lineRule="auto"/>
              <w:ind w:firstLine="0" w:firstLineChars="0"/>
              <w:jc w:val="center"/>
              <w:rPr>
                <w:color w:val="auto"/>
                <w:kern w:val="0"/>
                <w:sz w:val="21"/>
                <w:szCs w:val="21"/>
              </w:rPr>
            </w:pPr>
            <w:r>
              <w:rPr>
                <w:rFonts w:hint="eastAsia"/>
                <w:color w:val="auto"/>
                <w:sz w:val="21"/>
                <w:szCs w:val="21"/>
              </w:rPr>
              <w:t>3.27E-04</w:t>
            </w:r>
          </w:p>
        </w:tc>
        <w:tc>
          <w:tcPr>
            <w:tcW w:w="172" w:type="pct"/>
            <w:shd w:val="clear" w:color="auto" w:fill="auto"/>
          </w:tcPr>
          <w:p w14:paraId="11AC2443">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3F7D7F6">
            <w:pPr>
              <w:widowControl/>
              <w:spacing w:line="240" w:lineRule="auto"/>
              <w:ind w:firstLine="0" w:firstLineChars="0"/>
              <w:jc w:val="center"/>
              <w:rPr>
                <w:color w:val="auto"/>
                <w:kern w:val="0"/>
                <w:sz w:val="21"/>
                <w:szCs w:val="21"/>
              </w:rPr>
            </w:pPr>
            <w:r>
              <w:rPr>
                <w:rFonts w:hint="eastAsia"/>
                <w:color w:val="auto"/>
                <w:sz w:val="21"/>
                <w:szCs w:val="21"/>
              </w:rPr>
              <w:t>8.31E-05</w:t>
            </w:r>
          </w:p>
        </w:tc>
        <w:tc>
          <w:tcPr>
            <w:tcW w:w="212" w:type="pct"/>
            <w:shd w:val="clear" w:color="auto" w:fill="auto"/>
          </w:tcPr>
          <w:p w14:paraId="2624C5FF">
            <w:pPr>
              <w:widowControl/>
              <w:spacing w:line="240" w:lineRule="auto"/>
              <w:ind w:firstLine="0" w:firstLineChars="0"/>
              <w:jc w:val="center"/>
              <w:rPr>
                <w:color w:val="auto"/>
                <w:kern w:val="0"/>
                <w:sz w:val="21"/>
                <w:szCs w:val="21"/>
              </w:rPr>
            </w:pPr>
            <w:r>
              <w:rPr>
                <w:rFonts w:hint="eastAsia"/>
                <w:color w:val="auto"/>
                <w:sz w:val="21"/>
                <w:szCs w:val="21"/>
              </w:rPr>
              <w:t>0.01</w:t>
            </w:r>
          </w:p>
        </w:tc>
      </w:tr>
      <w:tr w14:paraId="47095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FA44D50">
            <w:pPr>
              <w:widowControl/>
              <w:spacing w:line="240" w:lineRule="auto"/>
              <w:ind w:firstLine="0" w:firstLineChars="0"/>
              <w:jc w:val="center"/>
              <w:rPr>
                <w:color w:val="auto"/>
                <w:kern w:val="0"/>
                <w:sz w:val="21"/>
                <w:szCs w:val="21"/>
              </w:rPr>
            </w:pPr>
            <w:r>
              <w:rPr>
                <w:color w:val="auto"/>
                <w:sz w:val="21"/>
                <w:szCs w:val="21"/>
              </w:rPr>
              <w:t>1050</w:t>
            </w:r>
          </w:p>
        </w:tc>
        <w:tc>
          <w:tcPr>
            <w:tcW w:w="420" w:type="pct"/>
            <w:shd w:val="clear" w:color="auto" w:fill="auto"/>
            <w:noWrap/>
          </w:tcPr>
          <w:p w14:paraId="7D36ADBB">
            <w:pPr>
              <w:widowControl/>
              <w:spacing w:line="240" w:lineRule="auto"/>
              <w:ind w:firstLine="0" w:firstLineChars="0"/>
              <w:jc w:val="center"/>
              <w:rPr>
                <w:color w:val="auto"/>
                <w:kern w:val="0"/>
                <w:sz w:val="21"/>
                <w:szCs w:val="21"/>
              </w:rPr>
            </w:pPr>
            <w:r>
              <w:rPr>
                <w:rFonts w:hint="eastAsia"/>
                <w:color w:val="auto"/>
                <w:sz w:val="21"/>
                <w:szCs w:val="21"/>
              </w:rPr>
              <w:t>7.42E-05</w:t>
            </w:r>
          </w:p>
        </w:tc>
        <w:tc>
          <w:tcPr>
            <w:tcW w:w="292" w:type="pct"/>
            <w:shd w:val="clear" w:color="auto" w:fill="auto"/>
            <w:noWrap/>
          </w:tcPr>
          <w:p w14:paraId="35B3DD9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5047B640">
            <w:pPr>
              <w:widowControl/>
              <w:spacing w:line="240" w:lineRule="auto"/>
              <w:ind w:firstLine="0" w:firstLineChars="0"/>
              <w:jc w:val="center"/>
              <w:rPr>
                <w:color w:val="auto"/>
                <w:kern w:val="0"/>
                <w:sz w:val="21"/>
                <w:szCs w:val="21"/>
              </w:rPr>
            </w:pPr>
            <w:r>
              <w:rPr>
                <w:rFonts w:hint="eastAsia"/>
                <w:color w:val="auto"/>
                <w:sz w:val="21"/>
                <w:szCs w:val="21"/>
              </w:rPr>
              <w:t>5.22E-05</w:t>
            </w:r>
          </w:p>
        </w:tc>
        <w:tc>
          <w:tcPr>
            <w:tcW w:w="376" w:type="pct"/>
            <w:shd w:val="clear" w:color="auto" w:fill="auto"/>
          </w:tcPr>
          <w:p w14:paraId="6A27A664">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E272ECF">
            <w:pPr>
              <w:widowControl/>
              <w:spacing w:line="240" w:lineRule="auto"/>
              <w:ind w:firstLine="0" w:firstLineChars="0"/>
              <w:jc w:val="center"/>
              <w:rPr>
                <w:color w:val="auto"/>
                <w:kern w:val="0"/>
                <w:sz w:val="21"/>
                <w:szCs w:val="21"/>
              </w:rPr>
            </w:pPr>
            <w:r>
              <w:rPr>
                <w:rFonts w:hint="eastAsia"/>
                <w:color w:val="auto"/>
                <w:sz w:val="21"/>
                <w:szCs w:val="21"/>
              </w:rPr>
              <w:t>4.78E-04</w:t>
            </w:r>
          </w:p>
        </w:tc>
        <w:tc>
          <w:tcPr>
            <w:tcW w:w="239" w:type="pct"/>
            <w:shd w:val="clear" w:color="auto" w:fill="auto"/>
          </w:tcPr>
          <w:p w14:paraId="103B84EF">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56676E1C">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206" w:type="pct"/>
            <w:shd w:val="clear" w:color="auto" w:fill="auto"/>
          </w:tcPr>
          <w:p w14:paraId="58F8053B">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3DED9933">
            <w:pPr>
              <w:widowControl/>
              <w:spacing w:line="240" w:lineRule="auto"/>
              <w:ind w:firstLine="0" w:firstLineChars="0"/>
              <w:jc w:val="center"/>
              <w:rPr>
                <w:color w:val="auto"/>
                <w:sz w:val="21"/>
                <w:szCs w:val="21"/>
              </w:rPr>
            </w:pPr>
            <w:r>
              <w:rPr>
                <w:rFonts w:hint="eastAsia"/>
                <w:color w:val="auto"/>
                <w:sz w:val="21"/>
                <w:szCs w:val="21"/>
              </w:rPr>
              <w:t>3.57E-05</w:t>
            </w:r>
          </w:p>
        </w:tc>
        <w:tc>
          <w:tcPr>
            <w:tcW w:w="170" w:type="pct"/>
          </w:tcPr>
          <w:p w14:paraId="5F1B2187">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EE21661">
            <w:pPr>
              <w:widowControl/>
              <w:spacing w:line="240" w:lineRule="auto"/>
              <w:ind w:firstLine="0" w:firstLineChars="0"/>
              <w:jc w:val="center"/>
              <w:rPr>
                <w:color w:val="auto"/>
                <w:kern w:val="0"/>
                <w:sz w:val="21"/>
                <w:szCs w:val="21"/>
              </w:rPr>
            </w:pPr>
            <w:r>
              <w:rPr>
                <w:rFonts w:hint="eastAsia"/>
                <w:color w:val="auto"/>
                <w:sz w:val="21"/>
                <w:szCs w:val="21"/>
              </w:rPr>
              <w:t>3.27E-04</w:t>
            </w:r>
          </w:p>
        </w:tc>
        <w:tc>
          <w:tcPr>
            <w:tcW w:w="172" w:type="pct"/>
            <w:shd w:val="clear" w:color="auto" w:fill="auto"/>
          </w:tcPr>
          <w:p w14:paraId="32815504">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6A742C3">
            <w:pPr>
              <w:widowControl/>
              <w:spacing w:line="240" w:lineRule="auto"/>
              <w:ind w:firstLine="0" w:firstLineChars="0"/>
              <w:jc w:val="center"/>
              <w:rPr>
                <w:color w:val="auto"/>
                <w:kern w:val="0"/>
                <w:sz w:val="21"/>
                <w:szCs w:val="21"/>
              </w:rPr>
            </w:pPr>
            <w:r>
              <w:rPr>
                <w:rFonts w:hint="eastAsia"/>
                <w:color w:val="auto"/>
                <w:sz w:val="21"/>
                <w:szCs w:val="21"/>
              </w:rPr>
              <w:t>8.32E-05</w:t>
            </w:r>
          </w:p>
        </w:tc>
        <w:tc>
          <w:tcPr>
            <w:tcW w:w="212" w:type="pct"/>
            <w:shd w:val="clear" w:color="auto" w:fill="auto"/>
          </w:tcPr>
          <w:p w14:paraId="79B8F12D">
            <w:pPr>
              <w:widowControl/>
              <w:spacing w:line="240" w:lineRule="auto"/>
              <w:ind w:firstLine="0" w:firstLineChars="0"/>
              <w:jc w:val="center"/>
              <w:rPr>
                <w:color w:val="auto"/>
                <w:kern w:val="0"/>
                <w:sz w:val="21"/>
                <w:szCs w:val="21"/>
              </w:rPr>
            </w:pPr>
            <w:r>
              <w:rPr>
                <w:rFonts w:hint="eastAsia"/>
                <w:color w:val="auto"/>
                <w:sz w:val="21"/>
                <w:szCs w:val="21"/>
              </w:rPr>
              <w:t>0.01</w:t>
            </w:r>
          </w:p>
        </w:tc>
      </w:tr>
      <w:tr w14:paraId="431B6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B5C29B1">
            <w:pPr>
              <w:widowControl/>
              <w:spacing w:line="240" w:lineRule="auto"/>
              <w:ind w:firstLine="0" w:firstLineChars="0"/>
              <w:jc w:val="center"/>
              <w:rPr>
                <w:color w:val="auto"/>
                <w:kern w:val="0"/>
                <w:sz w:val="21"/>
                <w:szCs w:val="21"/>
              </w:rPr>
            </w:pPr>
            <w:r>
              <w:rPr>
                <w:color w:val="auto"/>
                <w:sz w:val="21"/>
                <w:szCs w:val="21"/>
              </w:rPr>
              <w:t>1075</w:t>
            </w:r>
          </w:p>
        </w:tc>
        <w:tc>
          <w:tcPr>
            <w:tcW w:w="420" w:type="pct"/>
            <w:shd w:val="clear" w:color="auto" w:fill="auto"/>
            <w:noWrap/>
          </w:tcPr>
          <w:p w14:paraId="29B85075">
            <w:pPr>
              <w:widowControl/>
              <w:spacing w:line="240" w:lineRule="auto"/>
              <w:ind w:firstLine="0" w:firstLineChars="0"/>
              <w:jc w:val="center"/>
              <w:rPr>
                <w:color w:val="auto"/>
                <w:kern w:val="0"/>
                <w:sz w:val="21"/>
                <w:szCs w:val="21"/>
              </w:rPr>
            </w:pPr>
            <w:r>
              <w:rPr>
                <w:rFonts w:hint="eastAsia"/>
                <w:color w:val="auto"/>
                <w:sz w:val="21"/>
                <w:szCs w:val="21"/>
              </w:rPr>
              <w:t>7.41E-05</w:t>
            </w:r>
          </w:p>
        </w:tc>
        <w:tc>
          <w:tcPr>
            <w:tcW w:w="292" w:type="pct"/>
            <w:shd w:val="clear" w:color="auto" w:fill="auto"/>
            <w:noWrap/>
          </w:tcPr>
          <w:p w14:paraId="1EF3543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7F2DFA0">
            <w:pPr>
              <w:widowControl/>
              <w:spacing w:line="240" w:lineRule="auto"/>
              <w:ind w:firstLine="0" w:firstLineChars="0"/>
              <w:jc w:val="center"/>
              <w:rPr>
                <w:color w:val="auto"/>
                <w:kern w:val="0"/>
                <w:sz w:val="21"/>
                <w:szCs w:val="21"/>
              </w:rPr>
            </w:pPr>
            <w:r>
              <w:rPr>
                <w:rFonts w:hint="eastAsia"/>
                <w:color w:val="auto"/>
                <w:sz w:val="21"/>
                <w:szCs w:val="21"/>
              </w:rPr>
              <w:t>5.22E-05</w:t>
            </w:r>
          </w:p>
        </w:tc>
        <w:tc>
          <w:tcPr>
            <w:tcW w:w="376" w:type="pct"/>
            <w:shd w:val="clear" w:color="auto" w:fill="auto"/>
          </w:tcPr>
          <w:p w14:paraId="3B7A03E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2F545E2">
            <w:pPr>
              <w:widowControl/>
              <w:spacing w:line="240" w:lineRule="auto"/>
              <w:ind w:firstLine="0" w:firstLineChars="0"/>
              <w:jc w:val="center"/>
              <w:rPr>
                <w:color w:val="auto"/>
                <w:kern w:val="0"/>
                <w:sz w:val="21"/>
                <w:szCs w:val="21"/>
              </w:rPr>
            </w:pPr>
            <w:r>
              <w:rPr>
                <w:rFonts w:hint="eastAsia"/>
                <w:color w:val="auto"/>
                <w:sz w:val="21"/>
                <w:szCs w:val="21"/>
              </w:rPr>
              <w:t>4.78E-04</w:t>
            </w:r>
          </w:p>
        </w:tc>
        <w:tc>
          <w:tcPr>
            <w:tcW w:w="239" w:type="pct"/>
            <w:shd w:val="clear" w:color="auto" w:fill="auto"/>
          </w:tcPr>
          <w:p w14:paraId="2686BE14">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1A36C9FA">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206" w:type="pct"/>
            <w:shd w:val="clear" w:color="auto" w:fill="auto"/>
          </w:tcPr>
          <w:p w14:paraId="42EF44F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703502E7">
            <w:pPr>
              <w:widowControl/>
              <w:spacing w:line="240" w:lineRule="auto"/>
              <w:ind w:firstLine="0" w:firstLineChars="0"/>
              <w:jc w:val="center"/>
              <w:rPr>
                <w:color w:val="auto"/>
                <w:sz w:val="21"/>
                <w:szCs w:val="21"/>
              </w:rPr>
            </w:pPr>
            <w:r>
              <w:rPr>
                <w:rFonts w:hint="eastAsia"/>
                <w:color w:val="auto"/>
                <w:sz w:val="21"/>
                <w:szCs w:val="21"/>
              </w:rPr>
              <w:t>3.57E-05</w:t>
            </w:r>
          </w:p>
        </w:tc>
        <w:tc>
          <w:tcPr>
            <w:tcW w:w="170" w:type="pct"/>
          </w:tcPr>
          <w:p w14:paraId="3CBD55F3">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69712D5">
            <w:pPr>
              <w:widowControl/>
              <w:spacing w:line="240" w:lineRule="auto"/>
              <w:ind w:firstLine="0" w:firstLineChars="0"/>
              <w:jc w:val="center"/>
              <w:rPr>
                <w:color w:val="auto"/>
                <w:kern w:val="0"/>
                <w:sz w:val="21"/>
                <w:szCs w:val="21"/>
              </w:rPr>
            </w:pPr>
            <w:r>
              <w:rPr>
                <w:rFonts w:hint="eastAsia"/>
                <w:color w:val="auto"/>
                <w:sz w:val="21"/>
                <w:szCs w:val="21"/>
              </w:rPr>
              <w:t>3.27E-04</w:t>
            </w:r>
          </w:p>
        </w:tc>
        <w:tc>
          <w:tcPr>
            <w:tcW w:w="172" w:type="pct"/>
            <w:shd w:val="clear" w:color="auto" w:fill="auto"/>
          </w:tcPr>
          <w:p w14:paraId="2CBA6121">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052CEA1C">
            <w:pPr>
              <w:widowControl/>
              <w:spacing w:line="240" w:lineRule="auto"/>
              <w:ind w:firstLine="0" w:firstLineChars="0"/>
              <w:jc w:val="center"/>
              <w:rPr>
                <w:color w:val="auto"/>
                <w:kern w:val="0"/>
                <w:sz w:val="21"/>
                <w:szCs w:val="21"/>
              </w:rPr>
            </w:pPr>
            <w:r>
              <w:rPr>
                <w:rFonts w:hint="eastAsia"/>
                <w:color w:val="auto"/>
                <w:sz w:val="21"/>
                <w:szCs w:val="21"/>
              </w:rPr>
              <w:t>8.31E-05</w:t>
            </w:r>
          </w:p>
        </w:tc>
        <w:tc>
          <w:tcPr>
            <w:tcW w:w="212" w:type="pct"/>
            <w:shd w:val="clear" w:color="auto" w:fill="auto"/>
          </w:tcPr>
          <w:p w14:paraId="271DF3B7">
            <w:pPr>
              <w:widowControl/>
              <w:spacing w:line="240" w:lineRule="auto"/>
              <w:ind w:firstLine="0" w:firstLineChars="0"/>
              <w:jc w:val="center"/>
              <w:rPr>
                <w:color w:val="auto"/>
                <w:kern w:val="0"/>
                <w:sz w:val="21"/>
                <w:szCs w:val="21"/>
              </w:rPr>
            </w:pPr>
            <w:r>
              <w:rPr>
                <w:rFonts w:hint="eastAsia"/>
                <w:color w:val="auto"/>
                <w:sz w:val="21"/>
                <w:szCs w:val="21"/>
              </w:rPr>
              <w:t>0.01</w:t>
            </w:r>
          </w:p>
        </w:tc>
      </w:tr>
      <w:tr w14:paraId="43E05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D77949C">
            <w:pPr>
              <w:widowControl/>
              <w:spacing w:line="240" w:lineRule="auto"/>
              <w:ind w:firstLine="0" w:firstLineChars="0"/>
              <w:jc w:val="center"/>
              <w:rPr>
                <w:color w:val="auto"/>
                <w:kern w:val="0"/>
                <w:sz w:val="21"/>
                <w:szCs w:val="21"/>
              </w:rPr>
            </w:pPr>
            <w:r>
              <w:rPr>
                <w:color w:val="auto"/>
                <w:sz w:val="21"/>
                <w:szCs w:val="21"/>
              </w:rPr>
              <w:t>1100</w:t>
            </w:r>
          </w:p>
        </w:tc>
        <w:tc>
          <w:tcPr>
            <w:tcW w:w="420" w:type="pct"/>
            <w:shd w:val="clear" w:color="auto" w:fill="auto"/>
            <w:noWrap/>
          </w:tcPr>
          <w:p w14:paraId="3F8CE27D">
            <w:pPr>
              <w:widowControl/>
              <w:spacing w:line="240" w:lineRule="auto"/>
              <w:ind w:firstLine="0" w:firstLineChars="0"/>
              <w:jc w:val="center"/>
              <w:rPr>
                <w:color w:val="auto"/>
                <w:kern w:val="0"/>
                <w:sz w:val="21"/>
                <w:szCs w:val="21"/>
              </w:rPr>
            </w:pPr>
            <w:r>
              <w:rPr>
                <w:rFonts w:hint="eastAsia"/>
                <w:color w:val="auto"/>
                <w:sz w:val="21"/>
                <w:szCs w:val="21"/>
              </w:rPr>
              <w:t>7.40E-05</w:t>
            </w:r>
          </w:p>
        </w:tc>
        <w:tc>
          <w:tcPr>
            <w:tcW w:w="292" w:type="pct"/>
            <w:shd w:val="clear" w:color="auto" w:fill="auto"/>
            <w:noWrap/>
          </w:tcPr>
          <w:p w14:paraId="1AD9A9A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B4D659F">
            <w:pPr>
              <w:widowControl/>
              <w:spacing w:line="240" w:lineRule="auto"/>
              <w:ind w:firstLine="0" w:firstLineChars="0"/>
              <w:jc w:val="center"/>
              <w:rPr>
                <w:color w:val="auto"/>
                <w:kern w:val="0"/>
                <w:sz w:val="21"/>
                <w:szCs w:val="21"/>
              </w:rPr>
            </w:pPr>
            <w:r>
              <w:rPr>
                <w:rFonts w:hint="eastAsia"/>
                <w:color w:val="auto"/>
                <w:sz w:val="21"/>
                <w:szCs w:val="21"/>
              </w:rPr>
              <w:t>5.21E-05</w:t>
            </w:r>
          </w:p>
        </w:tc>
        <w:tc>
          <w:tcPr>
            <w:tcW w:w="376" w:type="pct"/>
            <w:shd w:val="clear" w:color="auto" w:fill="auto"/>
          </w:tcPr>
          <w:p w14:paraId="53406053">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7BC28A4">
            <w:pPr>
              <w:widowControl/>
              <w:spacing w:line="240" w:lineRule="auto"/>
              <w:ind w:firstLine="0" w:firstLineChars="0"/>
              <w:jc w:val="center"/>
              <w:rPr>
                <w:color w:val="auto"/>
                <w:kern w:val="0"/>
                <w:sz w:val="21"/>
                <w:szCs w:val="21"/>
              </w:rPr>
            </w:pPr>
            <w:r>
              <w:rPr>
                <w:rFonts w:hint="eastAsia"/>
                <w:color w:val="auto"/>
                <w:sz w:val="21"/>
                <w:szCs w:val="21"/>
              </w:rPr>
              <w:t>4.77E-04</w:t>
            </w:r>
          </w:p>
        </w:tc>
        <w:tc>
          <w:tcPr>
            <w:tcW w:w="239" w:type="pct"/>
            <w:shd w:val="clear" w:color="auto" w:fill="auto"/>
          </w:tcPr>
          <w:p w14:paraId="38700946">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3D209946">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206" w:type="pct"/>
            <w:shd w:val="clear" w:color="auto" w:fill="auto"/>
          </w:tcPr>
          <w:p w14:paraId="26A4D9EA">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D48A46D">
            <w:pPr>
              <w:widowControl/>
              <w:spacing w:line="240" w:lineRule="auto"/>
              <w:ind w:firstLine="0" w:firstLineChars="0"/>
              <w:jc w:val="center"/>
              <w:rPr>
                <w:color w:val="auto"/>
                <w:sz w:val="21"/>
                <w:szCs w:val="21"/>
              </w:rPr>
            </w:pPr>
            <w:r>
              <w:rPr>
                <w:rFonts w:hint="eastAsia"/>
                <w:color w:val="auto"/>
                <w:sz w:val="21"/>
                <w:szCs w:val="21"/>
              </w:rPr>
              <w:t>3.56E-05</w:t>
            </w:r>
          </w:p>
        </w:tc>
        <w:tc>
          <w:tcPr>
            <w:tcW w:w="170" w:type="pct"/>
          </w:tcPr>
          <w:p w14:paraId="06D8A8D7">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0D1FF45">
            <w:pPr>
              <w:widowControl/>
              <w:spacing w:line="240" w:lineRule="auto"/>
              <w:ind w:firstLine="0" w:firstLineChars="0"/>
              <w:jc w:val="center"/>
              <w:rPr>
                <w:color w:val="auto"/>
                <w:kern w:val="0"/>
                <w:sz w:val="21"/>
                <w:szCs w:val="21"/>
              </w:rPr>
            </w:pPr>
            <w:r>
              <w:rPr>
                <w:rFonts w:hint="eastAsia"/>
                <w:color w:val="auto"/>
                <w:sz w:val="21"/>
                <w:szCs w:val="21"/>
              </w:rPr>
              <w:t>3.26E-04</w:t>
            </w:r>
          </w:p>
        </w:tc>
        <w:tc>
          <w:tcPr>
            <w:tcW w:w="172" w:type="pct"/>
            <w:shd w:val="clear" w:color="auto" w:fill="auto"/>
          </w:tcPr>
          <w:p w14:paraId="533AD8A0">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39554CF">
            <w:pPr>
              <w:widowControl/>
              <w:spacing w:line="240" w:lineRule="auto"/>
              <w:ind w:firstLine="0" w:firstLineChars="0"/>
              <w:jc w:val="center"/>
              <w:rPr>
                <w:color w:val="auto"/>
                <w:kern w:val="0"/>
                <w:sz w:val="21"/>
                <w:szCs w:val="21"/>
              </w:rPr>
            </w:pPr>
            <w:r>
              <w:rPr>
                <w:rFonts w:hint="eastAsia"/>
                <w:color w:val="auto"/>
                <w:sz w:val="21"/>
                <w:szCs w:val="21"/>
              </w:rPr>
              <w:t>8.30E-05</w:t>
            </w:r>
          </w:p>
        </w:tc>
        <w:tc>
          <w:tcPr>
            <w:tcW w:w="212" w:type="pct"/>
            <w:shd w:val="clear" w:color="auto" w:fill="auto"/>
          </w:tcPr>
          <w:p w14:paraId="62E34524">
            <w:pPr>
              <w:widowControl/>
              <w:spacing w:line="240" w:lineRule="auto"/>
              <w:ind w:firstLine="0" w:firstLineChars="0"/>
              <w:jc w:val="center"/>
              <w:rPr>
                <w:color w:val="auto"/>
                <w:kern w:val="0"/>
                <w:sz w:val="21"/>
                <w:szCs w:val="21"/>
              </w:rPr>
            </w:pPr>
            <w:r>
              <w:rPr>
                <w:rFonts w:hint="eastAsia"/>
                <w:color w:val="auto"/>
                <w:sz w:val="21"/>
                <w:szCs w:val="21"/>
              </w:rPr>
              <w:t>0.01</w:t>
            </w:r>
          </w:p>
        </w:tc>
      </w:tr>
      <w:tr w14:paraId="7AB35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132A75B">
            <w:pPr>
              <w:widowControl/>
              <w:spacing w:line="240" w:lineRule="auto"/>
              <w:ind w:firstLine="0" w:firstLineChars="0"/>
              <w:jc w:val="center"/>
              <w:rPr>
                <w:color w:val="auto"/>
                <w:kern w:val="0"/>
                <w:sz w:val="21"/>
                <w:szCs w:val="21"/>
              </w:rPr>
            </w:pPr>
            <w:r>
              <w:rPr>
                <w:color w:val="auto"/>
                <w:sz w:val="21"/>
                <w:szCs w:val="21"/>
              </w:rPr>
              <w:t>1125</w:t>
            </w:r>
          </w:p>
        </w:tc>
        <w:tc>
          <w:tcPr>
            <w:tcW w:w="420" w:type="pct"/>
            <w:shd w:val="clear" w:color="auto" w:fill="auto"/>
            <w:noWrap/>
          </w:tcPr>
          <w:p w14:paraId="5F4AF9E4">
            <w:pPr>
              <w:widowControl/>
              <w:spacing w:line="240" w:lineRule="auto"/>
              <w:ind w:firstLine="0" w:firstLineChars="0"/>
              <w:jc w:val="center"/>
              <w:rPr>
                <w:color w:val="auto"/>
                <w:kern w:val="0"/>
                <w:sz w:val="21"/>
                <w:szCs w:val="21"/>
              </w:rPr>
            </w:pPr>
            <w:r>
              <w:rPr>
                <w:rFonts w:hint="eastAsia"/>
                <w:color w:val="auto"/>
                <w:sz w:val="21"/>
                <w:szCs w:val="21"/>
              </w:rPr>
              <w:t>7.39E-05</w:t>
            </w:r>
          </w:p>
        </w:tc>
        <w:tc>
          <w:tcPr>
            <w:tcW w:w="292" w:type="pct"/>
            <w:shd w:val="clear" w:color="auto" w:fill="auto"/>
            <w:noWrap/>
          </w:tcPr>
          <w:p w14:paraId="5A6183A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6A03B597">
            <w:pPr>
              <w:widowControl/>
              <w:spacing w:line="240" w:lineRule="auto"/>
              <w:ind w:firstLine="0" w:firstLineChars="0"/>
              <w:jc w:val="center"/>
              <w:rPr>
                <w:color w:val="auto"/>
                <w:kern w:val="0"/>
                <w:sz w:val="21"/>
                <w:szCs w:val="21"/>
              </w:rPr>
            </w:pPr>
            <w:r>
              <w:rPr>
                <w:rFonts w:hint="eastAsia"/>
                <w:color w:val="auto"/>
                <w:sz w:val="21"/>
                <w:szCs w:val="21"/>
              </w:rPr>
              <w:t>5.20E-05</w:t>
            </w:r>
          </w:p>
        </w:tc>
        <w:tc>
          <w:tcPr>
            <w:tcW w:w="376" w:type="pct"/>
            <w:shd w:val="clear" w:color="auto" w:fill="auto"/>
          </w:tcPr>
          <w:p w14:paraId="2B5A5698">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3B8DEE8">
            <w:pPr>
              <w:widowControl/>
              <w:spacing w:line="240" w:lineRule="auto"/>
              <w:ind w:firstLine="0" w:firstLineChars="0"/>
              <w:jc w:val="center"/>
              <w:rPr>
                <w:color w:val="auto"/>
                <w:kern w:val="0"/>
                <w:sz w:val="21"/>
                <w:szCs w:val="21"/>
              </w:rPr>
            </w:pPr>
            <w:r>
              <w:rPr>
                <w:rFonts w:hint="eastAsia"/>
                <w:color w:val="auto"/>
                <w:sz w:val="21"/>
                <w:szCs w:val="21"/>
              </w:rPr>
              <w:t>4.76E-04</w:t>
            </w:r>
          </w:p>
        </w:tc>
        <w:tc>
          <w:tcPr>
            <w:tcW w:w="239" w:type="pct"/>
            <w:shd w:val="clear" w:color="auto" w:fill="auto"/>
          </w:tcPr>
          <w:p w14:paraId="264C5462">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594DEEDE">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206" w:type="pct"/>
            <w:shd w:val="clear" w:color="auto" w:fill="auto"/>
          </w:tcPr>
          <w:p w14:paraId="1DD1AE7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01FC436">
            <w:pPr>
              <w:widowControl/>
              <w:spacing w:line="240" w:lineRule="auto"/>
              <w:ind w:firstLine="0" w:firstLineChars="0"/>
              <w:jc w:val="center"/>
              <w:rPr>
                <w:color w:val="auto"/>
                <w:sz w:val="21"/>
                <w:szCs w:val="21"/>
              </w:rPr>
            </w:pPr>
            <w:r>
              <w:rPr>
                <w:rFonts w:hint="eastAsia"/>
                <w:color w:val="auto"/>
                <w:sz w:val="21"/>
                <w:szCs w:val="21"/>
              </w:rPr>
              <w:t>3.56E-05</w:t>
            </w:r>
          </w:p>
        </w:tc>
        <w:tc>
          <w:tcPr>
            <w:tcW w:w="170" w:type="pct"/>
          </w:tcPr>
          <w:p w14:paraId="2DB6F41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EBE8066">
            <w:pPr>
              <w:widowControl/>
              <w:spacing w:line="240" w:lineRule="auto"/>
              <w:ind w:firstLine="0" w:firstLineChars="0"/>
              <w:jc w:val="center"/>
              <w:rPr>
                <w:color w:val="auto"/>
                <w:kern w:val="0"/>
                <w:sz w:val="21"/>
                <w:szCs w:val="21"/>
              </w:rPr>
            </w:pPr>
            <w:r>
              <w:rPr>
                <w:rFonts w:hint="eastAsia"/>
                <w:color w:val="auto"/>
                <w:sz w:val="21"/>
                <w:szCs w:val="21"/>
              </w:rPr>
              <w:t>3.26E-04</w:t>
            </w:r>
          </w:p>
        </w:tc>
        <w:tc>
          <w:tcPr>
            <w:tcW w:w="172" w:type="pct"/>
            <w:shd w:val="clear" w:color="auto" w:fill="auto"/>
          </w:tcPr>
          <w:p w14:paraId="4D50C0CA">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E00E943">
            <w:pPr>
              <w:widowControl/>
              <w:spacing w:line="240" w:lineRule="auto"/>
              <w:ind w:firstLine="0" w:firstLineChars="0"/>
              <w:jc w:val="center"/>
              <w:rPr>
                <w:color w:val="auto"/>
                <w:kern w:val="0"/>
                <w:sz w:val="21"/>
                <w:szCs w:val="21"/>
              </w:rPr>
            </w:pPr>
            <w:r>
              <w:rPr>
                <w:rFonts w:hint="eastAsia"/>
                <w:color w:val="auto"/>
                <w:sz w:val="21"/>
                <w:szCs w:val="21"/>
              </w:rPr>
              <w:t>8.29E-05</w:t>
            </w:r>
          </w:p>
        </w:tc>
        <w:tc>
          <w:tcPr>
            <w:tcW w:w="212" w:type="pct"/>
            <w:shd w:val="clear" w:color="auto" w:fill="auto"/>
          </w:tcPr>
          <w:p w14:paraId="74018E0C">
            <w:pPr>
              <w:widowControl/>
              <w:spacing w:line="240" w:lineRule="auto"/>
              <w:ind w:firstLine="0" w:firstLineChars="0"/>
              <w:jc w:val="center"/>
              <w:rPr>
                <w:color w:val="auto"/>
                <w:kern w:val="0"/>
                <w:sz w:val="21"/>
                <w:szCs w:val="21"/>
              </w:rPr>
            </w:pPr>
            <w:r>
              <w:rPr>
                <w:rFonts w:hint="eastAsia"/>
                <w:color w:val="auto"/>
                <w:sz w:val="21"/>
                <w:szCs w:val="21"/>
              </w:rPr>
              <w:t>0.01</w:t>
            </w:r>
          </w:p>
        </w:tc>
      </w:tr>
      <w:tr w14:paraId="3ED8D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C831AF5">
            <w:pPr>
              <w:widowControl/>
              <w:spacing w:line="240" w:lineRule="auto"/>
              <w:ind w:firstLine="0" w:firstLineChars="0"/>
              <w:jc w:val="center"/>
              <w:rPr>
                <w:color w:val="auto"/>
                <w:kern w:val="0"/>
                <w:sz w:val="21"/>
                <w:szCs w:val="21"/>
              </w:rPr>
            </w:pPr>
            <w:r>
              <w:rPr>
                <w:color w:val="auto"/>
                <w:sz w:val="21"/>
                <w:szCs w:val="21"/>
              </w:rPr>
              <w:t>1150</w:t>
            </w:r>
          </w:p>
        </w:tc>
        <w:tc>
          <w:tcPr>
            <w:tcW w:w="420" w:type="pct"/>
            <w:shd w:val="clear" w:color="auto" w:fill="auto"/>
            <w:noWrap/>
          </w:tcPr>
          <w:p w14:paraId="5CAE169F">
            <w:pPr>
              <w:widowControl/>
              <w:spacing w:line="240" w:lineRule="auto"/>
              <w:ind w:firstLine="0" w:firstLineChars="0"/>
              <w:jc w:val="center"/>
              <w:rPr>
                <w:color w:val="auto"/>
                <w:kern w:val="0"/>
                <w:sz w:val="21"/>
                <w:szCs w:val="21"/>
              </w:rPr>
            </w:pPr>
            <w:r>
              <w:rPr>
                <w:rFonts w:hint="eastAsia"/>
                <w:color w:val="auto"/>
                <w:sz w:val="21"/>
                <w:szCs w:val="21"/>
              </w:rPr>
              <w:t>7.37E-05</w:t>
            </w:r>
          </w:p>
        </w:tc>
        <w:tc>
          <w:tcPr>
            <w:tcW w:w="292" w:type="pct"/>
            <w:shd w:val="clear" w:color="auto" w:fill="auto"/>
            <w:noWrap/>
          </w:tcPr>
          <w:p w14:paraId="1DA6C80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253739B">
            <w:pPr>
              <w:widowControl/>
              <w:spacing w:line="240" w:lineRule="auto"/>
              <w:ind w:firstLine="0" w:firstLineChars="0"/>
              <w:jc w:val="center"/>
              <w:rPr>
                <w:color w:val="auto"/>
                <w:kern w:val="0"/>
                <w:sz w:val="21"/>
                <w:szCs w:val="21"/>
              </w:rPr>
            </w:pPr>
            <w:r>
              <w:rPr>
                <w:rFonts w:hint="eastAsia"/>
                <w:color w:val="auto"/>
                <w:sz w:val="21"/>
                <w:szCs w:val="21"/>
              </w:rPr>
              <w:t>5.19E-05</w:t>
            </w:r>
          </w:p>
        </w:tc>
        <w:tc>
          <w:tcPr>
            <w:tcW w:w="376" w:type="pct"/>
            <w:shd w:val="clear" w:color="auto" w:fill="auto"/>
          </w:tcPr>
          <w:p w14:paraId="7686BF59">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A67A275">
            <w:pPr>
              <w:widowControl/>
              <w:spacing w:line="240" w:lineRule="auto"/>
              <w:ind w:firstLine="0" w:firstLineChars="0"/>
              <w:jc w:val="center"/>
              <w:rPr>
                <w:color w:val="auto"/>
                <w:kern w:val="0"/>
                <w:sz w:val="21"/>
                <w:szCs w:val="21"/>
              </w:rPr>
            </w:pPr>
            <w:r>
              <w:rPr>
                <w:rFonts w:hint="eastAsia"/>
                <w:color w:val="auto"/>
                <w:sz w:val="21"/>
                <w:szCs w:val="21"/>
              </w:rPr>
              <w:t>4.75E-04</w:t>
            </w:r>
          </w:p>
        </w:tc>
        <w:tc>
          <w:tcPr>
            <w:tcW w:w="239" w:type="pct"/>
            <w:shd w:val="clear" w:color="auto" w:fill="auto"/>
          </w:tcPr>
          <w:p w14:paraId="64D03659">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22C1D7FD">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206" w:type="pct"/>
            <w:shd w:val="clear" w:color="auto" w:fill="auto"/>
          </w:tcPr>
          <w:p w14:paraId="0187CEB8">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2121919">
            <w:pPr>
              <w:widowControl/>
              <w:spacing w:line="240" w:lineRule="auto"/>
              <w:ind w:firstLine="0" w:firstLineChars="0"/>
              <w:jc w:val="center"/>
              <w:rPr>
                <w:color w:val="auto"/>
                <w:sz w:val="21"/>
                <w:szCs w:val="21"/>
              </w:rPr>
            </w:pPr>
            <w:r>
              <w:rPr>
                <w:rFonts w:hint="eastAsia"/>
                <w:color w:val="auto"/>
                <w:sz w:val="21"/>
                <w:szCs w:val="21"/>
              </w:rPr>
              <w:t>3.55E-05</w:t>
            </w:r>
          </w:p>
        </w:tc>
        <w:tc>
          <w:tcPr>
            <w:tcW w:w="170" w:type="pct"/>
          </w:tcPr>
          <w:p w14:paraId="1B59AD07">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A4F956C">
            <w:pPr>
              <w:widowControl/>
              <w:spacing w:line="240" w:lineRule="auto"/>
              <w:ind w:firstLine="0" w:firstLineChars="0"/>
              <w:jc w:val="center"/>
              <w:rPr>
                <w:color w:val="auto"/>
                <w:kern w:val="0"/>
                <w:sz w:val="21"/>
                <w:szCs w:val="21"/>
              </w:rPr>
            </w:pPr>
            <w:r>
              <w:rPr>
                <w:rFonts w:hint="eastAsia"/>
                <w:color w:val="auto"/>
                <w:sz w:val="21"/>
                <w:szCs w:val="21"/>
              </w:rPr>
              <w:t>3.25E-04</w:t>
            </w:r>
          </w:p>
        </w:tc>
        <w:tc>
          <w:tcPr>
            <w:tcW w:w="172" w:type="pct"/>
            <w:shd w:val="clear" w:color="auto" w:fill="auto"/>
          </w:tcPr>
          <w:p w14:paraId="3A242CB2">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8D3880D">
            <w:pPr>
              <w:widowControl/>
              <w:spacing w:line="240" w:lineRule="auto"/>
              <w:ind w:firstLine="0" w:firstLineChars="0"/>
              <w:jc w:val="center"/>
              <w:rPr>
                <w:color w:val="auto"/>
                <w:kern w:val="0"/>
                <w:sz w:val="21"/>
                <w:szCs w:val="21"/>
              </w:rPr>
            </w:pPr>
            <w:r>
              <w:rPr>
                <w:rFonts w:hint="eastAsia"/>
                <w:color w:val="auto"/>
                <w:sz w:val="21"/>
                <w:szCs w:val="21"/>
              </w:rPr>
              <w:t>8.27E-05</w:t>
            </w:r>
          </w:p>
        </w:tc>
        <w:tc>
          <w:tcPr>
            <w:tcW w:w="212" w:type="pct"/>
            <w:shd w:val="clear" w:color="auto" w:fill="auto"/>
          </w:tcPr>
          <w:p w14:paraId="061716F8">
            <w:pPr>
              <w:widowControl/>
              <w:spacing w:line="240" w:lineRule="auto"/>
              <w:ind w:firstLine="0" w:firstLineChars="0"/>
              <w:jc w:val="center"/>
              <w:rPr>
                <w:color w:val="auto"/>
                <w:kern w:val="0"/>
                <w:sz w:val="21"/>
                <w:szCs w:val="21"/>
              </w:rPr>
            </w:pPr>
            <w:r>
              <w:rPr>
                <w:rFonts w:hint="eastAsia"/>
                <w:color w:val="auto"/>
                <w:sz w:val="21"/>
                <w:szCs w:val="21"/>
              </w:rPr>
              <w:t>0.01</w:t>
            </w:r>
          </w:p>
        </w:tc>
      </w:tr>
      <w:tr w14:paraId="6FEC4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0A5BF20">
            <w:pPr>
              <w:widowControl/>
              <w:spacing w:line="240" w:lineRule="auto"/>
              <w:ind w:firstLine="0" w:firstLineChars="0"/>
              <w:jc w:val="center"/>
              <w:rPr>
                <w:color w:val="auto"/>
                <w:kern w:val="0"/>
                <w:sz w:val="21"/>
                <w:szCs w:val="21"/>
              </w:rPr>
            </w:pPr>
            <w:r>
              <w:rPr>
                <w:color w:val="auto"/>
                <w:sz w:val="21"/>
                <w:szCs w:val="21"/>
              </w:rPr>
              <w:t>1175</w:t>
            </w:r>
          </w:p>
        </w:tc>
        <w:tc>
          <w:tcPr>
            <w:tcW w:w="420" w:type="pct"/>
            <w:shd w:val="clear" w:color="auto" w:fill="auto"/>
            <w:noWrap/>
          </w:tcPr>
          <w:p w14:paraId="11A20253">
            <w:pPr>
              <w:widowControl/>
              <w:spacing w:line="240" w:lineRule="auto"/>
              <w:ind w:firstLine="0" w:firstLineChars="0"/>
              <w:jc w:val="center"/>
              <w:rPr>
                <w:color w:val="auto"/>
                <w:kern w:val="0"/>
                <w:sz w:val="21"/>
                <w:szCs w:val="21"/>
              </w:rPr>
            </w:pPr>
            <w:r>
              <w:rPr>
                <w:rFonts w:hint="eastAsia"/>
                <w:color w:val="auto"/>
                <w:sz w:val="21"/>
                <w:szCs w:val="21"/>
              </w:rPr>
              <w:t>7.35E-05</w:t>
            </w:r>
          </w:p>
        </w:tc>
        <w:tc>
          <w:tcPr>
            <w:tcW w:w="292" w:type="pct"/>
            <w:shd w:val="clear" w:color="auto" w:fill="auto"/>
            <w:noWrap/>
          </w:tcPr>
          <w:p w14:paraId="0F3FD98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F882246">
            <w:pPr>
              <w:widowControl/>
              <w:spacing w:line="240" w:lineRule="auto"/>
              <w:ind w:firstLine="0" w:firstLineChars="0"/>
              <w:jc w:val="center"/>
              <w:rPr>
                <w:color w:val="auto"/>
                <w:kern w:val="0"/>
                <w:sz w:val="21"/>
                <w:szCs w:val="21"/>
              </w:rPr>
            </w:pPr>
            <w:r>
              <w:rPr>
                <w:rFonts w:hint="eastAsia"/>
                <w:color w:val="auto"/>
                <w:sz w:val="21"/>
                <w:szCs w:val="21"/>
              </w:rPr>
              <w:t>5.17E-05</w:t>
            </w:r>
          </w:p>
        </w:tc>
        <w:tc>
          <w:tcPr>
            <w:tcW w:w="376" w:type="pct"/>
            <w:shd w:val="clear" w:color="auto" w:fill="auto"/>
          </w:tcPr>
          <w:p w14:paraId="4497AD4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9E01C99">
            <w:pPr>
              <w:widowControl/>
              <w:spacing w:line="240" w:lineRule="auto"/>
              <w:ind w:firstLine="0" w:firstLineChars="0"/>
              <w:jc w:val="center"/>
              <w:rPr>
                <w:color w:val="auto"/>
                <w:kern w:val="0"/>
                <w:sz w:val="21"/>
                <w:szCs w:val="21"/>
              </w:rPr>
            </w:pPr>
            <w:r>
              <w:rPr>
                <w:rFonts w:hint="eastAsia"/>
                <w:color w:val="auto"/>
                <w:sz w:val="21"/>
                <w:szCs w:val="21"/>
              </w:rPr>
              <w:t>4.74E-04</w:t>
            </w:r>
          </w:p>
        </w:tc>
        <w:tc>
          <w:tcPr>
            <w:tcW w:w="239" w:type="pct"/>
            <w:shd w:val="clear" w:color="auto" w:fill="auto"/>
          </w:tcPr>
          <w:p w14:paraId="75B5C0D7">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58B3FF33">
            <w:pPr>
              <w:widowControl/>
              <w:spacing w:line="240" w:lineRule="auto"/>
              <w:ind w:firstLine="0" w:firstLineChars="0"/>
              <w:jc w:val="center"/>
              <w:rPr>
                <w:color w:val="auto"/>
                <w:kern w:val="0"/>
                <w:sz w:val="21"/>
                <w:szCs w:val="21"/>
              </w:rPr>
            </w:pPr>
            <w:r>
              <w:rPr>
                <w:rFonts w:hint="eastAsia"/>
                <w:color w:val="auto"/>
                <w:sz w:val="21"/>
                <w:szCs w:val="21"/>
              </w:rPr>
              <w:t>4.90E-05</w:t>
            </w:r>
          </w:p>
        </w:tc>
        <w:tc>
          <w:tcPr>
            <w:tcW w:w="206" w:type="pct"/>
            <w:shd w:val="clear" w:color="auto" w:fill="auto"/>
          </w:tcPr>
          <w:p w14:paraId="0C52348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8B6C3B6">
            <w:pPr>
              <w:widowControl/>
              <w:spacing w:line="240" w:lineRule="auto"/>
              <w:ind w:firstLine="0" w:firstLineChars="0"/>
              <w:jc w:val="center"/>
              <w:rPr>
                <w:color w:val="auto"/>
                <w:sz w:val="21"/>
                <w:szCs w:val="21"/>
              </w:rPr>
            </w:pPr>
            <w:r>
              <w:rPr>
                <w:rFonts w:hint="eastAsia"/>
                <w:color w:val="auto"/>
                <w:sz w:val="21"/>
                <w:szCs w:val="21"/>
              </w:rPr>
              <w:t>3.54E-05</w:t>
            </w:r>
          </w:p>
        </w:tc>
        <w:tc>
          <w:tcPr>
            <w:tcW w:w="170" w:type="pct"/>
          </w:tcPr>
          <w:p w14:paraId="267F09B1">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2A38657">
            <w:pPr>
              <w:widowControl/>
              <w:spacing w:line="240" w:lineRule="auto"/>
              <w:ind w:firstLine="0" w:firstLineChars="0"/>
              <w:jc w:val="center"/>
              <w:rPr>
                <w:color w:val="auto"/>
                <w:kern w:val="0"/>
                <w:sz w:val="21"/>
                <w:szCs w:val="21"/>
              </w:rPr>
            </w:pPr>
            <w:r>
              <w:rPr>
                <w:rFonts w:hint="eastAsia"/>
                <w:color w:val="auto"/>
                <w:sz w:val="21"/>
                <w:szCs w:val="21"/>
              </w:rPr>
              <w:t>3.24E-04</w:t>
            </w:r>
          </w:p>
        </w:tc>
        <w:tc>
          <w:tcPr>
            <w:tcW w:w="172" w:type="pct"/>
            <w:shd w:val="clear" w:color="auto" w:fill="auto"/>
          </w:tcPr>
          <w:p w14:paraId="0665BCE8">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080CC928">
            <w:pPr>
              <w:widowControl/>
              <w:spacing w:line="240" w:lineRule="auto"/>
              <w:ind w:firstLine="0" w:firstLineChars="0"/>
              <w:jc w:val="center"/>
              <w:rPr>
                <w:color w:val="auto"/>
                <w:kern w:val="0"/>
                <w:sz w:val="21"/>
                <w:szCs w:val="21"/>
              </w:rPr>
            </w:pPr>
            <w:r>
              <w:rPr>
                <w:rFonts w:hint="eastAsia"/>
                <w:color w:val="auto"/>
                <w:sz w:val="21"/>
                <w:szCs w:val="21"/>
              </w:rPr>
              <w:t>8.24E-05</w:t>
            </w:r>
          </w:p>
        </w:tc>
        <w:tc>
          <w:tcPr>
            <w:tcW w:w="212" w:type="pct"/>
            <w:shd w:val="clear" w:color="auto" w:fill="auto"/>
          </w:tcPr>
          <w:p w14:paraId="6D8DB1D6">
            <w:pPr>
              <w:widowControl/>
              <w:spacing w:line="240" w:lineRule="auto"/>
              <w:ind w:firstLine="0" w:firstLineChars="0"/>
              <w:jc w:val="center"/>
              <w:rPr>
                <w:color w:val="auto"/>
                <w:kern w:val="0"/>
                <w:sz w:val="21"/>
                <w:szCs w:val="21"/>
              </w:rPr>
            </w:pPr>
            <w:r>
              <w:rPr>
                <w:rFonts w:hint="eastAsia"/>
                <w:color w:val="auto"/>
                <w:sz w:val="21"/>
                <w:szCs w:val="21"/>
              </w:rPr>
              <w:t>0.01</w:t>
            </w:r>
          </w:p>
        </w:tc>
      </w:tr>
      <w:tr w14:paraId="5F6AD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5B92D10">
            <w:pPr>
              <w:widowControl/>
              <w:spacing w:line="240" w:lineRule="auto"/>
              <w:ind w:firstLine="0" w:firstLineChars="0"/>
              <w:jc w:val="center"/>
              <w:rPr>
                <w:color w:val="auto"/>
                <w:kern w:val="0"/>
                <w:sz w:val="21"/>
                <w:szCs w:val="21"/>
              </w:rPr>
            </w:pPr>
            <w:r>
              <w:rPr>
                <w:color w:val="auto"/>
                <w:sz w:val="21"/>
                <w:szCs w:val="21"/>
              </w:rPr>
              <w:t>1200</w:t>
            </w:r>
          </w:p>
        </w:tc>
        <w:tc>
          <w:tcPr>
            <w:tcW w:w="420" w:type="pct"/>
            <w:shd w:val="clear" w:color="auto" w:fill="auto"/>
            <w:noWrap/>
          </w:tcPr>
          <w:p w14:paraId="3C02A098">
            <w:pPr>
              <w:widowControl/>
              <w:spacing w:line="240" w:lineRule="auto"/>
              <w:ind w:firstLine="0" w:firstLineChars="0"/>
              <w:jc w:val="center"/>
              <w:rPr>
                <w:color w:val="auto"/>
                <w:kern w:val="0"/>
                <w:sz w:val="21"/>
                <w:szCs w:val="21"/>
              </w:rPr>
            </w:pPr>
            <w:r>
              <w:rPr>
                <w:rFonts w:hint="eastAsia"/>
                <w:color w:val="auto"/>
                <w:sz w:val="21"/>
                <w:szCs w:val="21"/>
              </w:rPr>
              <w:t>7.32E-05</w:t>
            </w:r>
          </w:p>
        </w:tc>
        <w:tc>
          <w:tcPr>
            <w:tcW w:w="292" w:type="pct"/>
            <w:shd w:val="clear" w:color="auto" w:fill="auto"/>
            <w:noWrap/>
          </w:tcPr>
          <w:p w14:paraId="4BD7C2A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F528B68">
            <w:pPr>
              <w:widowControl/>
              <w:spacing w:line="240" w:lineRule="auto"/>
              <w:ind w:firstLine="0" w:firstLineChars="0"/>
              <w:jc w:val="center"/>
              <w:rPr>
                <w:color w:val="auto"/>
                <w:kern w:val="0"/>
                <w:sz w:val="21"/>
                <w:szCs w:val="21"/>
              </w:rPr>
            </w:pPr>
            <w:r>
              <w:rPr>
                <w:rFonts w:hint="eastAsia"/>
                <w:color w:val="auto"/>
                <w:sz w:val="21"/>
                <w:szCs w:val="21"/>
              </w:rPr>
              <w:t>5.15E-05</w:t>
            </w:r>
          </w:p>
        </w:tc>
        <w:tc>
          <w:tcPr>
            <w:tcW w:w="376" w:type="pct"/>
            <w:shd w:val="clear" w:color="auto" w:fill="auto"/>
          </w:tcPr>
          <w:p w14:paraId="0CBAE45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8D74D26">
            <w:pPr>
              <w:widowControl/>
              <w:spacing w:line="240" w:lineRule="auto"/>
              <w:ind w:firstLine="0" w:firstLineChars="0"/>
              <w:jc w:val="center"/>
              <w:rPr>
                <w:color w:val="auto"/>
                <w:kern w:val="0"/>
                <w:sz w:val="21"/>
                <w:szCs w:val="21"/>
              </w:rPr>
            </w:pPr>
            <w:r>
              <w:rPr>
                <w:rFonts w:hint="eastAsia"/>
                <w:color w:val="auto"/>
                <w:sz w:val="21"/>
                <w:szCs w:val="21"/>
              </w:rPr>
              <w:t>4.72E-04</w:t>
            </w:r>
          </w:p>
        </w:tc>
        <w:tc>
          <w:tcPr>
            <w:tcW w:w="239" w:type="pct"/>
            <w:shd w:val="clear" w:color="auto" w:fill="auto"/>
          </w:tcPr>
          <w:p w14:paraId="76B79FB1">
            <w:pPr>
              <w:widowControl/>
              <w:spacing w:line="240" w:lineRule="auto"/>
              <w:ind w:firstLine="0" w:firstLineChars="0"/>
              <w:jc w:val="center"/>
              <w:rPr>
                <w:color w:val="auto"/>
                <w:kern w:val="0"/>
                <w:sz w:val="21"/>
                <w:szCs w:val="21"/>
              </w:rPr>
            </w:pPr>
            <w:r>
              <w:rPr>
                <w:rFonts w:hint="eastAsia"/>
                <w:color w:val="auto"/>
                <w:sz w:val="21"/>
                <w:szCs w:val="21"/>
              </w:rPr>
              <w:t>0.24</w:t>
            </w:r>
          </w:p>
        </w:tc>
        <w:tc>
          <w:tcPr>
            <w:tcW w:w="451" w:type="pct"/>
            <w:shd w:val="clear" w:color="auto" w:fill="auto"/>
          </w:tcPr>
          <w:p w14:paraId="7D7630EC">
            <w:pPr>
              <w:widowControl/>
              <w:spacing w:line="240" w:lineRule="auto"/>
              <w:ind w:firstLine="0" w:firstLineChars="0"/>
              <w:jc w:val="center"/>
              <w:rPr>
                <w:color w:val="auto"/>
                <w:kern w:val="0"/>
                <w:sz w:val="21"/>
                <w:szCs w:val="21"/>
              </w:rPr>
            </w:pPr>
            <w:r>
              <w:rPr>
                <w:rFonts w:hint="eastAsia"/>
                <w:color w:val="auto"/>
                <w:sz w:val="21"/>
                <w:szCs w:val="21"/>
              </w:rPr>
              <w:t>4.88E-05</w:t>
            </w:r>
          </w:p>
        </w:tc>
        <w:tc>
          <w:tcPr>
            <w:tcW w:w="206" w:type="pct"/>
            <w:shd w:val="clear" w:color="auto" w:fill="auto"/>
          </w:tcPr>
          <w:p w14:paraId="3A3FD608">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3E02B3F8">
            <w:pPr>
              <w:widowControl/>
              <w:spacing w:line="240" w:lineRule="auto"/>
              <w:ind w:firstLine="0" w:firstLineChars="0"/>
              <w:jc w:val="center"/>
              <w:rPr>
                <w:color w:val="auto"/>
                <w:sz w:val="21"/>
                <w:szCs w:val="21"/>
              </w:rPr>
            </w:pPr>
            <w:r>
              <w:rPr>
                <w:rFonts w:hint="eastAsia"/>
                <w:color w:val="auto"/>
                <w:sz w:val="21"/>
                <w:szCs w:val="21"/>
              </w:rPr>
              <w:t>3.53E-05</w:t>
            </w:r>
          </w:p>
        </w:tc>
        <w:tc>
          <w:tcPr>
            <w:tcW w:w="170" w:type="pct"/>
          </w:tcPr>
          <w:p w14:paraId="08BEFA61">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1980114">
            <w:pPr>
              <w:widowControl/>
              <w:spacing w:line="240" w:lineRule="auto"/>
              <w:ind w:firstLine="0" w:firstLineChars="0"/>
              <w:jc w:val="center"/>
              <w:rPr>
                <w:color w:val="auto"/>
                <w:kern w:val="0"/>
                <w:sz w:val="21"/>
                <w:szCs w:val="21"/>
              </w:rPr>
            </w:pPr>
            <w:r>
              <w:rPr>
                <w:rFonts w:hint="eastAsia"/>
                <w:color w:val="auto"/>
                <w:sz w:val="21"/>
                <w:szCs w:val="21"/>
              </w:rPr>
              <w:t>3.23E-04</w:t>
            </w:r>
          </w:p>
        </w:tc>
        <w:tc>
          <w:tcPr>
            <w:tcW w:w="172" w:type="pct"/>
            <w:shd w:val="clear" w:color="auto" w:fill="auto"/>
          </w:tcPr>
          <w:p w14:paraId="5F6E2BB0">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08EED75">
            <w:pPr>
              <w:widowControl/>
              <w:spacing w:line="240" w:lineRule="auto"/>
              <w:ind w:firstLine="0" w:firstLineChars="0"/>
              <w:jc w:val="center"/>
              <w:rPr>
                <w:color w:val="auto"/>
                <w:kern w:val="0"/>
                <w:sz w:val="21"/>
                <w:szCs w:val="21"/>
              </w:rPr>
            </w:pPr>
            <w:r>
              <w:rPr>
                <w:rFonts w:hint="eastAsia"/>
                <w:color w:val="auto"/>
                <w:sz w:val="21"/>
                <w:szCs w:val="21"/>
              </w:rPr>
              <w:t>8.21E-05</w:t>
            </w:r>
          </w:p>
        </w:tc>
        <w:tc>
          <w:tcPr>
            <w:tcW w:w="212" w:type="pct"/>
            <w:shd w:val="clear" w:color="auto" w:fill="auto"/>
          </w:tcPr>
          <w:p w14:paraId="26387846">
            <w:pPr>
              <w:widowControl/>
              <w:spacing w:line="240" w:lineRule="auto"/>
              <w:ind w:firstLine="0" w:firstLineChars="0"/>
              <w:jc w:val="center"/>
              <w:rPr>
                <w:color w:val="auto"/>
                <w:kern w:val="0"/>
                <w:sz w:val="21"/>
                <w:szCs w:val="21"/>
              </w:rPr>
            </w:pPr>
            <w:r>
              <w:rPr>
                <w:rFonts w:hint="eastAsia"/>
                <w:color w:val="auto"/>
                <w:sz w:val="21"/>
                <w:szCs w:val="21"/>
              </w:rPr>
              <w:t>0.01</w:t>
            </w:r>
          </w:p>
        </w:tc>
      </w:tr>
      <w:tr w14:paraId="6C2B5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09E6774">
            <w:pPr>
              <w:widowControl/>
              <w:spacing w:line="240" w:lineRule="auto"/>
              <w:ind w:firstLine="0" w:firstLineChars="0"/>
              <w:jc w:val="center"/>
              <w:rPr>
                <w:color w:val="auto"/>
                <w:kern w:val="0"/>
                <w:sz w:val="21"/>
                <w:szCs w:val="21"/>
              </w:rPr>
            </w:pPr>
            <w:r>
              <w:rPr>
                <w:color w:val="auto"/>
                <w:sz w:val="21"/>
                <w:szCs w:val="21"/>
              </w:rPr>
              <w:t>1225</w:t>
            </w:r>
          </w:p>
        </w:tc>
        <w:tc>
          <w:tcPr>
            <w:tcW w:w="420" w:type="pct"/>
            <w:shd w:val="clear" w:color="auto" w:fill="auto"/>
            <w:noWrap/>
          </w:tcPr>
          <w:p w14:paraId="77F38C01">
            <w:pPr>
              <w:widowControl/>
              <w:spacing w:line="240" w:lineRule="auto"/>
              <w:ind w:firstLine="0" w:firstLineChars="0"/>
              <w:jc w:val="center"/>
              <w:rPr>
                <w:color w:val="auto"/>
                <w:kern w:val="0"/>
                <w:sz w:val="21"/>
                <w:szCs w:val="21"/>
              </w:rPr>
            </w:pPr>
            <w:r>
              <w:rPr>
                <w:rFonts w:hint="eastAsia"/>
                <w:color w:val="auto"/>
                <w:sz w:val="21"/>
                <w:szCs w:val="21"/>
              </w:rPr>
              <w:t>7.29E-05</w:t>
            </w:r>
          </w:p>
        </w:tc>
        <w:tc>
          <w:tcPr>
            <w:tcW w:w="292" w:type="pct"/>
            <w:shd w:val="clear" w:color="auto" w:fill="auto"/>
            <w:noWrap/>
          </w:tcPr>
          <w:p w14:paraId="554EEB6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FAA0E75">
            <w:pPr>
              <w:widowControl/>
              <w:spacing w:line="240" w:lineRule="auto"/>
              <w:ind w:firstLine="0" w:firstLineChars="0"/>
              <w:jc w:val="center"/>
              <w:rPr>
                <w:color w:val="auto"/>
                <w:kern w:val="0"/>
                <w:sz w:val="21"/>
                <w:szCs w:val="21"/>
              </w:rPr>
            </w:pPr>
            <w:r>
              <w:rPr>
                <w:rFonts w:hint="eastAsia"/>
                <w:color w:val="auto"/>
                <w:sz w:val="21"/>
                <w:szCs w:val="21"/>
              </w:rPr>
              <w:t>5.13E-05</w:t>
            </w:r>
          </w:p>
        </w:tc>
        <w:tc>
          <w:tcPr>
            <w:tcW w:w="376" w:type="pct"/>
            <w:shd w:val="clear" w:color="auto" w:fill="auto"/>
          </w:tcPr>
          <w:p w14:paraId="49F98D3F">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5AC9590">
            <w:pPr>
              <w:widowControl/>
              <w:spacing w:line="240" w:lineRule="auto"/>
              <w:ind w:firstLine="0" w:firstLineChars="0"/>
              <w:jc w:val="center"/>
              <w:rPr>
                <w:color w:val="auto"/>
                <w:kern w:val="0"/>
                <w:sz w:val="21"/>
                <w:szCs w:val="21"/>
              </w:rPr>
            </w:pPr>
            <w:r>
              <w:rPr>
                <w:rFonts w:hint="eastAsia"/>
                <w:color w:val="auto"/>
                <w:sz w:val="21"/>
                <w:szCs w:val="21"/>
              </w:rPr>
              <w:t>4.70E-04</w:t>
            </w:r>
          </w:p>
        </w:tc>
        <w:tc>
          <w:tcPr>
            <w:tcW w:w="239" w:type="pct"/>
            <w:shd w:val="clear" w:color="auto" w:fill="auto"/>
          </w:tcPr>
          <w:p w14:paraId="48F26976">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6C4BDE5">
            <w:pPr>
              <w:widowControl/>
              <w:spacing w:line="240" w:lineRule="auto"/>
              <w:ind w:firstLine="0" w:firstLineChars="0"/>
              <w:jc w:val="center"/>
              <w:rPr>
                <w:color w:val="auto"/>
                <w:kern w:val="0"/>
                <w:sz w:val="21"/>
                <w:szCs w:val="21"/>
              </w:rPr>
            </w:pPr>
            <w:r>
              <w:rPr>
                <w:rFonts w:hint="eastAsia"/>
                <w:color w:val="auto"/>
                <w:sz w:val="21"/>
                <w:szCs w:val="21"/>
              </w:rPr>
              <w:t>4.86E-05</w:t>
            </w:r>
          </w:p>
        </w:tc>
        <w:tc>
          <w:tcPr>
            <w:tcW w:w="206" w:type="pct"/>
            <w:shd w:val="clear" w:color="auto" w:fill="auto"/>
          </w:tcPr>
          <w:p w14:paraId="14B5AE7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8F3E960">
            <w:pPr>
              <w:widowControl/>
              <w:spacing w:line="240" w:lineRule="auto"/>
              <w:ind w:firstLine="0" w:firstLineChars="0"/>
              <w:jc w:val="center"/>
              <w:rPr>
                <w:color w:val="auto"/>
                <w:sz w:val="21"/>
                <w:szCs w:val="21"/>
              </w:rPr>
            </w:pPr>
            <w:r>
              <w:rPr>
                <w:rFonts w:hint="eastAsia"/>
                <w:color w:val="auto"/>
                <w:sz w:val="21"/>
                <w:szCs w:val="21"/>
              </w:rPr>
              <w:t>3.51E-05</w:t>
            </w:r>
          </w:p>
        </w:tc>
        <w:tc>
          <w:tcPr>
            <w:tcW w:w="170" w:type="pct"/>
          </w:tcPr>
          <w:p w14:paraId="604CB3EE">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99FAA2B">
            <w:pPr>
              <w:widowControl/>
              <w:spacing w:line="240" w:lineRule="auto"/>
              <w:ind w:firstLine="0" w:firstLineChars="0"/>
              <w:jc w:val="center"/>
              <w:rPr>
                <w:color w:val="auto"/>
                <w:kern w:val="0"/>
                <w:sz w:val="21"/>
                <w:szCs w:val="21"/>
              </w:rPr>
            </w:pPr>
            <w:r>
              <w:rPr>
                <w:rFonts w:hint="eastAsia"/>
                <w:color w:val="auto"/>
                <w:sz w:val="21"/>
                <w:szCs w:val="21"/>
              </w:rPr>
              <w:t>3.21E-04</w:t>
            </w:r>
          </w:p>
        </w:tc>
        <w:tc>
          <w:tcPr>
            <w:tcW w:w="172" w:type="pct"/>
            <w:shd w:val="clear" w:color="auto" w:fill="auto"/>
          </w:tcPr>
          <w:p w14:paraId="7D50255C">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06B63070">
            <w:pPr>
              <w:widowControl/>
              <w:spacing w:line="240" w:lineRule="auto"/>
              <w:ind w:firstLine="0" w:firstLineChars="0"/>
              <w:jc w:val="center"/>
              <w:rPr>
                <w:color w:val="auto"/>
                <w:kern w:val="0"/>
                <w:sz w:val="21"/>
                <w:szCs w:val="21"/>
              </w:rPr>
            </w:pPr>
            <w:r>
              <w:rPr>
                <w:rFonts w:hint="eastAsia"/>
                <w:color w:val="auto"/>
                <w:sz w:val="21"/>
                <w:szCs w:val="21"/>
              </w:rPr>
              <w:t>8.18E-05</w:t>
            </w:r>
          </w:p>
        </w:tc>
        <w:tc>
          <w:tcPr>
            <w:tcW w:w="212" w:type="pct"/>
            <w:shd w:val="clear" w:color="auto" w:fill="auto"/>
          </w:tcPr>
          <w:p w14:paraId="166CEF77">
            <w:pPr>
              <w:widowControl/>
              <w:spacing w:line="240" w:lineRule="auto"/>
              <w:ind w:firstLine="0" w:firstLineChars="0"/>
              <w:jc w:val="center"/>
              <w:rPr>
                <w:color w:val="auto"/>
                <w:kern w:val="0"/>
                <w:sz w:val="21"/>
                <w:szCs w:val="21"/>
              </w:rPr>
            </w:pPr>
            <w:r>
              <w:rPr>
                <w:rFonts w:hint="eastAsia"/>
                <w:color w:val="auto"/>
                <w:sz w:val="21"/>
                <w:szCs w:val="21"/>
              </w:rPr>
              <w:t>0.01</w:t>
            </w:r>
          </w:p>
        </w:tc>
      </w:tr>
      <w:tr w14:paraId="7A234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5252F0A">
            <w:pPr>
              <w:widowControl/>
              <w:spacing w:line="240" w:lineRule="auto"/>
              <w:ind w:firstLine="0" w:firstLineChars="0"/>
              <w:jc w:val="center"/>
              <w:rPr>
                <w:color w:val="auto"/>
                <w:kern w:val="0"/>
                <w:sz w:val="21"/>
                <w:szCs w:val="21"/>
              </w:rPr>
            </w:pPr>
            <w:r>
              <w:rPr>
                <w:color w:val="auto"/>
                <w:sz w:val="21"/>
                <w:szCs w:val="21"/>
              </w:rPr>
              <w:t>1250</w:t>
            </w:r>
          </w:p>
        </w:tc>
        <w:tc>
          <w:tcPr>
            <w:tcW w:w="420" w:type="pct"/>
            <w:shd w:val="clear" w:color="auto" w:fill="auto"/>
            <w:noWrap/>
          </w:tcPr>
          <w:p w14:paraId="0E8A716C">
            <w:pPr>
              <w:widowControl/>
              <w:spacing w:line="240" w:lineRule="auto"/>
              <w:ind w:firstLine="0" w:firstLineChars="0"/>
              <w:jc w:val="center"/>
              <w:rPr>
                <w:color w:val="auto"/>
                <w:kern w:val="0"/>
                <w:sz w:val="21"/>
                <w:szCs w:val="21"/>
              </w:rPr>
            </w:pPr>
            <w:r>
              <w:rPr>
                <w:rFonts w:hint="eastAsia"/>
                <w:color w:val="auto"/>
                <w:sz w:val="21"/>
                <w:szCs w:val="21"/>
              </w:rPr>
              <w:t>7.26E-05</w:t>
            </w:r>
          </w:p>
        </w:tc>
        <w:tc>
          <w:tcPr>
            <w:tcW w:w="292" w:type="pct"/>
            <w:shd w:val="clear" w:color="auto" w:fill="auto"/>
            <w:noWrap/>
          </w:tcPr>
          <w:p w14:paraId="702DE71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C0759AA">
            <w:pPr>
              <w:widowControl/>
              <w:spacing w:line="240" w:lineRule="auto"/>
              <w:ind w:firstLine="0" w:firstLineChars="0"/>
              <w:jc w:val="center"/>
              <w:rPr>
                <w:color w:val="auto"/>
                <w:kern w:val="0"/>
                <w:sz w:val="21"/>
                <w:szCs w:val="21"/>
              </w:rPr>
            </w:pPr>
            <w:r>
              <w:rPr>
                <w:rFonts w:hint="eastAsia"/>
                <w:color w:val="auto"/>
                <w:sz w:val="21"/>
                <w:szCs w:val="21"/>
              </w:rPr>
              <w:t>5.11E-05</w:t>
            </w:r>
          </w:p>
        </w:tc>
        <w:tc>
          <w:tcPr>
            <w:tcW w:w="376" w:type="pct"/>
            <w:shd w:val="clear" w:color="auto" w:fill="auto"/>
          </w:tcPr>
          <w:p w14:paraId="31078F6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A15F2B6">
            <w:pPr>
              <w:widowControl/>
              <w:spacing w:line="240" w:lineRule="auto"/>
              <w:ind w:firstLine="0" w:firstLineChars="0"/>
              <w:jc w:val="center"/>
              <w:rPr>
                <w:color w:val="auto"/>
                <w:kern w:val="0"/>
                <w:sz w:val="21"/>
                <w:szCs w:val="21"/>
              </w:rPr>
            </w:pPr>
            <w:r>
              <w:rPr>
                <w:rFonts w:hint="eastAsia"/>
                <w:color w:val="auto"/>
                <w:sz w:val="21"/>
                <w:szCs w:val="21"/>
              </w:rPr>
              <w:t>4.68E-04</w:t>
            </w:r>
          </w:p>
        </w:tc>
        <w:tc>
          <w:tcPr>
            <w:tcW w:w="239" w:type="pct"/>
            <w:shd w:val="clear" w:color="auto" w:fill="auto"/>
          </w:tcPr>
          <w:p w14:paraId="070CE6BE">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4FCCA76">
            <w:pPr>
              <w:widowControl/>
              <w:spacing w:line="240" w:lineRule="auto"/>
              <w:ind w:firstLine="0" w:firstLineChars="0"/>
              <w:jc w:val="center"/>
              <w:rPr>
                <w:color w:val="auto"/>
                <w:kern w:val="0"/>
                <w:sz w:val="21"/>
                <w:szCs w:val="21"/>
              </w:rPr>
            </w:pPr>
            <w:r>
              <w:rPr>
                <w:rFonts w:hint="eastAsia"/>
                <w:color w:val="auto"/>
                <w:sz w:val="21"/>
                <w:szCs w:val="21"/>
              </w:rPr>
              <w:t>4.84E-05</w:t>
            </w:r>
          </w:p>
        </w:tc>
        <w:tc>
          <w:tcPr>
            <w:tcW w:w="206" w:type="pct"/>
            <w:shd w:val="clear" w:color="auto" w:fill="auto"/>
          </w:tcPr>
          <w:p w14:paraId="40EFD6A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C099616">
            <w:pPr>
              <w:widowControl/>
              <w:spacing w:line="240" w:lineRule="auto"/>
              <w:ind w:firstLine="0" w:firstLineChars="0"/>
              <w:jc w:val="center"/>
              <w:rPr>
                <w:color w:val="auto"/>
                <w:sz w:val="21"/>
                <w:szCs w:val="21"/>
              </w:rPr>
            </w:pPr>
            <w:r>
              <w:rPr>
                <w:rFonts w:hint="eastAsia"/>
                <w:color w:val="auto"/>
                <w:sz w:val="21"/>
                <w:szCs w:val="21"/>
              </w:rPr>
              <w:t>3.49E-05</w:t>
            </w:r>
          </w:p>
        </w:tc>
        <w:tc>
          <w:tcPr>
            <w:tcW w:w="170" w:type="pct"/>
          </w:tcPr>
          <w:p w14:paraId="26CF9B4B">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58542CC">
            <w:pPr>
              <w:widowControl/>
              <w:spacing w:line="240" w:lineRule="auto"/>
              <w:ind w:firstLine="0" w:firstLineChars="0"/>
              <w:jc w:val="center"/>
              <w:rPr>
                <w:color w:val="auto"/>
                <w:kern w:val="0"/>
                <w:sz w:val="21"/>
                <w:szCs w:val="21"/>
              </w:rPr>
            </w:pPr>
            <w:r>
              <w:rPr>
                <w:rFonts w:hint="eastAsia"/>
                <w:color w:val="auto"/>
                <w:sz w:val="21"/>
                <w:szCs w:val="21"/>
              </w:rPr>
              <w:t>3.20E-04</w:t>
            </w:r>
          </w:p>
        </w:tc>
        <w:tc>
          <w:tcPr>
            <w:tcW w:w="172" w:type="pct"/>
            <w:shd w:val="clear" w:color="auto" w:fill="auto"/>
          </w:tcPr>
          <w:p w14:paraId="64604893">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CCD1FA5">
            <w:pPr>
              <w:widowControl/>
              <w:spacing w:line="240" w:lineRule="auto"/>
              <w:ind w:firstLine="0" w:firstLineChars="0"/>
              <w:jc w:val="center"/>
              <w:rPr>
                <w:color w:val="auto"/>
                <w:kern w:val="0"/>
                <w:sz w:val="21"/>
                <w:szCs w:val="21"/>
              </w:rPr>
            </w:pPr>
            <w:r>
              <w:rPr>
                <w:rFonts w:hint="eastAsia"/>
                <w:color w:val="auto"/>
                <w:sz w:val="21"/>
                <w:szCs w:val="21"/>
              </w:rPr>
              <w:t>8.14E-05</w:t>
            </w:r>
          </w:p>
        </w:tc>
        <w:tc>
          <w:tcPr>
            <w:tcW w:w="212" w:type="pct"/>
            <w:shd w:val="clear" w:color="auto" w:fill="auto"/>
          </w:tcPr>
          <w:p w14:paraId="4443DA87">
            <w:pPr>
              <w:widowControl/>
              <w:spacing w:line="240" w:lineRule="auto"/>
              <w:ind w:firstLine="0" w:firstLineChars="0"/>
              <w:jc w:val="center"/>
              <w:rPr>
                <w:color w:val="auto"/>
                <w:kern w:val="0"/>
                <w:sz w:val="21"/>
                <w:szCs w:val="21"/>
              </w:rPr>
            </w:pPr>
            <w:r>
              <w:rPr>
                <w:rFonts w:hint="eastAsia"/>
                <w:color w:val="auto"/>
                <w:sz w:val="21"/>
                <w:szCs w:val="21"/>
              </w:rPr>
              <w:t>0.01</w:t>
            </w:r>
          </w:p>
        </w:tc>
      </w:tr>
      <w:tr w14:paraId="65A95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5A28670">
            <w:pPr>
              <w:widowControl/>
              <w:spacing w:line="240" w:lineRule="auto"/>
              <w:ind w:firstLine="0" w:firstLineChars="0"/>
              <w:jc w:val="center"/>
              <w:rPr>
                <w:color w:val="auto"/>
                <w:kern w:val="0"/>
                <w:sz w:val="21"/>
                <w:szCs w:val="21"/>
              </w:rPr>
            </w:pPr>
            <w:r>
              <w:rPr>
                <w:color w:val="auto"/>
                <w:sz w:val="21"/>
                <w:szCs w:val="21"/>
              </w:rPr>
              <w:t>1275</w:t>
            </w:r>
          </w:p>
        </w:tc>
        <w:tc>
          <w:tcPr>
            <w:tcW w:w="420" w:type="pct"/>
            <w:shd w:val="clear" w:color="auto" w:fill="auto"/>
            <w:noWrap/>
          </w:tcPr>
          <w:p w14:paraId="370C57B8">
            <w:pPr>
              <w:widowControl/>
              <w:spacing w:line="240" w:lineRule="auto"/>
              <w:ind w:firstLine="0" w:firstLineChars="0"/>
              <w:jc w:val="center"/>
              <w:rPr>
                <w:color w:val="auto"/>
                <w:kern w:val="0"/>
                <w:sz w:val="21"/>
                <w:szCs w:val="21"/>
              </w:rPr>
            </w:pPr>
            <w:r>
              <w:rPr>
                <w:rFonts w:hint="eastAsia"/>
                <w:color w:val="auto"/>
                <w:sz w:val="21"/>
                <w:szCs w:val="21"/>
              </w:rPr>
              <w:t>7.22E-05</w:t>
            </w:r>
          </w:p>
        </w:tc>
        <w:tc>
          <w:tcPr>
            <w:tcW w:w="292" w:type="pct"/>
            <w:shd w:val="clear" w:color="auto" w:fill="auto"/>
            <w:noWrap/>
          </w:tcPr>
          <w:p w14:paraId="6F8E104C">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8142760">
            <w:pPr>
              <w:widowControl/>
              <w:spacing w:line="240" w:lineRule="auto"/>
              <w:ind w:firstLine="0" w:firstLineChars="0"/>
              <w:jc w:val="center"/>
              <w:rPr>
                <w:color w:val="auto"/>
                <w:kern w:val="0"/>
                <w:sz w:val="21"/>
                <w:szCs w:val="21"/>
              </w:rPr>
            </w:pPr>
            <w:r>
              <w:rPr>
                <w:rFonts w:hint="eastAsia"/>
                <w:color w:val="auto"/>
                <w:sz w:val="21"/>
                <w:szCs w:val="21"/>
              </w:rPr>
              <w:t>5.08E-05</w:t>
            </w:r>
          </w:p>
        </w:tc>
        <w:tc>
          <w:tcPr>
            <w:tcW w:w="376" w:type="pct"/>
            <w:shd w:val="clear" w:color="auto" w:fill="auto"/>
          </w:tcPr>
          <w:p w14:paraId="783759C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E7C0134">
            <w:pPr>
              <w:widowControl/>
              <w:spacing w:line="240" w:lineRule="auto"/>
              <w:ind w:firstLine="0" w:firstLineChars="0"/>
              <w:jc w:val="center"/>
              <w:rPr>
                <w:color w:val="auto"/>
                <w:kern w:val="0"/>
                <w:sz w:val="21"/>
                <w:szCs w:val="21"/>
              </w:rPr>
            </w:pPr>
            <w:r>
              <w:rPr>
                <w:rFonts w:hint="eastAsia"/>
                <w:color w:val="auto"/>
                <w:sz w:val="21"/>
                <w:szCs w:val="21"/>
              </w:rPr>
              <w:t>4.65E-04</w:t>
            </w:r>
          </w:p>
        </w:tc>
        <w:tc>
          <w:tcPr>
            <w:tcW w:w="239" w:type="pct"/>
            <w:shd w:val="clear" w:color="auto" w:fill="auto"/>
          </w:tcPr>
          <w:p w14:paraId="764726E4">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2ABF489">
            <w:pPr>
              <w:widowControl/>
              <w:spacing w:line="240" w:lineRule="auto"/>
              <w:ind w:firstLine="0" w:firstLineChars="0"/>
              <w:jc w:val="center"/>
              <w:rPr>
                <w:color w:val="auto"/>
                <w:kern w:val="0"/>
                <w:sz w:val="21"/>
                <w:szCs w:val="21"/>
              </w:rPr>
            </w:pPr>
            <w:r>
              <w:rPr>
                <w:rFonts w:hint="eastAsia"/>
                <w:color w:val="auto"/>
                <w:sz w:val="21"/>
                <w:szCs w:val="21"/>
              </w:rPr>
              <w:t>4.81E-05</w:t>
            </w:r>
          </w:p>
        </w:tc>
        <w:tc>
          <w:tcPr>
            <w:tcW w:w="206" w:type="pct"/>
            <w:shd w:val="clear" w:color="auto" w:fill="auto"/>
          </w:tcPr>
          <w:p w14:paraId="39D1016A">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2300A97">
            <w:pPr>
              <w:widowControl/>
              <w:spacing w:line="240" w:lineRule="auto"/>
              <w:ind w:firstLine="0" w:firstLineChars="0"/>
              <w:jc w:val="center"/>
              <w:rPr>
                <w:color w:val="auto"/>
                <w:sz w:val="21"/>
                <w:szCs w:val="21"/>
              </w:rPr>
            </w:pPr>
            <w:r>
              <w:rPr>
                <w:rFonts w:hint="eastAsia"/>
                <w:color w:val="auto"/>
                <w:sz w:val="21"/>
                <w:szCs w:val="21"/>
              </w:rPr>
              <w:t>3.48E-05</w:t>
            </w:r>
          </w:p>
        </w:tc>
        <w:tc>
          <w:tcPr>
            <w:tcW w:w="170" w:type="pct"/>
          </w:tcPr>
          <w:p w14:paraId="2812F67C">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A86AC4A">
            <w:pPr>
              <w:widowControl/>
              <w:spacing w:line="240" w:lineRule="auto"/>
              <w:ind w:firstLine="0" w:firstLineChars="0"/>
              <w:jc w:val="center"/>
              <w:rPr>
                <w:color w:val="auto"/>
                <w:kern w:val="0"/>
                <w:sz w:val="21"/>
                <w:szCs w:val="21"/>
              </w:rPr>
            </w:pPr>
            <w:r>
              <w:rPr>
                <w:rFonts w:hint="eastAsia"/>
                <w:color w:val="auto"/>
                <w:sz w:val="21"/>
                <w:szCs w:val="21"/>
              </w:rPr>
              <w:t>3.18E-04</w:t>
            </w:r>
          </w:p>
        </w:tc>
        <w:tc>
          <w:tcPr>
            <w:tcW w:w="172" w:type="pct"/>
            <w:shd w:val="clear" w:color="auto" w:fill="auto"/>
          </w:tcPr>
          <w:p w14:paraId="1B8C8A65">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79A613BD">
            <w:pPr>
              <w:widowControl/>
              <w:spacing w:line="240" w:lineRule="auto"/>
              <w:ind w:firstLine="0" w:firstLineChars="0"/>
              <w:jc w:val="center"/>
              <w:rPr>
                <w:color w:val="auto"/>
                <w:kern w:val="0"/>
                <w:sz w:val="21"/>
                <w:szCs w:val="21"/>
              </w:rPr>
            </w:pPr>
            <w:r>
              <w:rPr>
                <w:rFonts w:hint="eastAsia"/>
                <w:color w:val="auto"/>
                <w:sz w:val="21"/>
                <w:szCs w:val="21"/>
              </w:rPr>
              <w:t>8.10E-05</w:t>
            </w:r>
          </w:p>
        </w:tc>
        <w:tc>
          <w:tcPr>
            <w:tcW w:w="212" w:type="pct"/>
            <w:shd w:val="clear" w:color="auto" w:fill="auto"/>
          </w:tcPr>
          <w:p w14:paraId="73502BB3">
            <w:pPr>
              <w:widowControl/>
              <w:spacing w:line="240" w:lineRule="auto"/>
              <w:ind w:firstLine="0" w:firstLineChars="0"/>
              <w:jc w:val="center"/>
              <w:rPr>
                <w:color w:val="auto"/>
                <w:kern w:val="0"/>
                <w:sz w:val="21"/>
                <w:szCs w:val="21"/>
              </w:rPr>
            </w:pPr>
            <w:r>
              <w:rPr>
                <w:rFonts w:hint="eastAsia"/>
                <w:color w:val="auto"/>
                <w:sz w:val="21"/>
                <w:szCs w:val="21"/>
              </w:rPr>
              <w:t>0.01</w:t>
            </w:r>
          </w:p>
        </w:tc>
      </w:tr>
      <w:tr w14:paraId="57D49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D76B6E0">
            <w:pPr>
              <w:widowControl/>
              <w:spacing w:line="240" w:lineRule="auto"/>
              <w:ind w:firstLine="0" w:firstLineChars="0"/>
              <w:jc w:val="center"/>
              <w:rPr>
                <w:color w:val="auto"/>
                <w:kern w:val="0"/>
                <w:sz w:val="21"/>
                <w:szCs w:val="21"/>
              </w:rPr>
            </w:pPr>
            <w:r>
              <w:rPr>
                <w:color w:val="auto"/>
                <w:sz w:val="21"/>
                <w:szCs w:val="21"/>
              </w:rPr>
              <w:t>1300</w:t>
            </w:r>
          </w:p>
        </w:tc>
        <w:tc>
          <w:tcPr>
            <w:tcW w:w="420" w:type="pct"/>
            <w:shd w:val="clear" w:color="auto" w:fill="auto"/>
            <w:noWrap/>
          </w:tcPr>
          <w:p w14:paraId="3E52823F">
            <w:pPr>
              <w:widowControl/>
              <w:spacing w:line="240" w:lineRule="auto"/>
              <w:ind w:firstLine="0" w:firstLineChars="0"/>
              <w:jc w:val="center"/>
              <w:rPr>
                <w:color w:val="auto"/>
                <w:kern w:val="0"/>
                <w:sz w:val="21"/>
                <w:szCs w:val="21"/>
              </w:rPr>
            </w:pPr>
            <w:r>
              <w:rPr>
                <w:rFonts w:hint="eastAsia"/>
                <w:color w:val="auto"/>
                <w:sz w:val="21"/>
                <w:szCs w:val="21"/>
              </w:rPr>
              <w:t>7.18E-05</w:t>
            </w:r>
          </w:p>
        </w:tc>
        <w:tc>
          <w:tcPr>
            <w:tcW w:w="292" w:type="pct"/>
            <w:shd w:val="clear" w:color="auto" w:fill="auto"/>
            <w:noWrap/>
          </w:tcPr>
          <w:p w14:paraId="7E5B80AD">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7646C3B">
            <w:pPr>
              <w:widowControl/>
              <w:spacing w:line="240" w:lineRule="auto"/>
              <w:ind w:firstLine="0" w:firstLineChars="0"/>
              <w:jc w:val="center"/>
              <w:rPr>
                <w:color w:val="auto"/>
                <w:kern w:val="0"/>
                <w:sz w:val="21"/>
                <w:szCs w:val="21"/>
              </w:rPr>
            </w:pPr>
            <w:r>
              <w:rPr>
                <w:rFonts w:hint="eastAsia"/>
                <w:color w:val="auto"/>
                <w:sz w:val="21"/>
                <w:szCs w:val="21"/>
              </w:rPr>
              <w:t>5.05E-05</w:t>
            </w:r>
          </w:p>
        </w:tc>
        <w:tc>
          <w:tcPr>
            <w:tcW w:w="376" w:type="pct"/>
            <w:shd w:val="clear" w:color="auto" w:fill="auto"/>
          </w:tcPr>
          <w:p w14:paraId="0298BED2">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8DD3849">
            <w:pPr>
              <w:widowControl/>
              <w:spacing w:line="240" w:lineRule="auto"/>
              <w:ind w:firstLine="0" w:firstLineChars="0"/>
              <w:jc w:val="center"/>
              <w:rPr>
                <w:color w:val="auto"/>
                <w:kern w:val="0"/>
                <w:sz w:val="21"/>
                <w:szCs w:val="21"/>
              </w:rPr>
            </w:pPr>
            <w:r>
              <w:rPr>
                <w:rFonts w:hint="eastAsia"/>
                <w:color w:val="auto"/>
                <w:sz w:val="21"/>
                <w:szCs w:val="21"/>
              </w:rPr>
              <w:t>4.63E-04</w:t>
            </w:r>
          </w:p>
        </w:tc>
        <w:tc>
          <w:tcPr>
            <w:tcW w:w="239" w:type="pct"/>
            <w:shd w:val="clear" w:color="auto" w:fill="auto"/>
          </w:tcPr>
          <w:p w14:paraId="19C512A1">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38686742">
            <w:pPr>
              <w:widowControl/>
              <w:spacing w:line="240" w:lineRule="auto"/>
              <w:ind w:firstLine="0" w:firstLineChars="0"/>
              <w:jc w:val="center"/>
              <w:rPr>
                <w:color w:val="auto"/>
                <w:kern w:val="0"/>
                <w:sz w:val="21"/>
                <w:szCs w:val="21"/>
              </w:rPr>
            </w:pPr>
            <w:r>
              <w:rPr>
                <w:rFonts w:hint="eastAsia"/>
                <w:color w:val="auto"/>
                <w:sz w:val="21"/>
                <w:szCs w:val="21"/>
              </w:rPr>
              <w:t>4.79E-05</w:t>
            </w:r>
          </w:p>
        </w:tc>
        <w:tc>
          <w:tcPr>
            <w:tcW w:w="206" w:type="pct"/>
            <w:shd w:val="clear" w:color="auto" w:fill="auto"/>
          </w:tcPr>
          <w:p w14:paraId="184E0E5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589F941">
            <w:pPr>
              <w:widowControl/>
              <w:spacing w:line="240" w:lineRule="auto"/>
              <w:ind w:firstLine="0" w:firstLineChars="0"/>
              <w:jc w:val="center"/>
              <w:rPr>
                <w:color w:val="auto"/>
                <w:sz w:val="21"/>
                <w:szCs w:val="21"/>
              </w:rPr>
            </w:pPr>
            <w:r>
              <w:rPr>
                <w:rFonts w:hint="eastAsia"/>
                <w:color w:val="auto"/>
                <w:sz w:val="21"/>
                <w:szCs w:val="21"/>
              </w:rPr>
              <w:t>3.46E-05</w:t>
            </w:r>
          </w:p>
        </w:tc>
        <w:tc>
          <w:tcPr>
            <w:tcW w:w="170" w:type="pct"/>
          </w:tcPr>
          <w:p w14:paraId="192BE29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39FB81B">
            <w:pPr>
              <w:widowControl/>
              <w:spacing w:line="240" w:lineRule="auto"/>
              <w:ind w:firstLine="0" w:firstLineChars="0"/>
              <w:jc w:val="center"/>
              <w:rPr>
                <w:color w:val="auto"/>
                <w:kern w:val="0"/>
                <w:sz w:val="21"/>
                <w:szCs w:val="21"/>
              </w:rPr>
            </w:pPr>
            <w:r>
              <w:rPr>
                <w:rFonts w:hint="eastAsia"/>
                <w:color w:val="auto"/>
                <w:sz w:val="21"/>
                <w:szCs w:val="21"/>
              </w:rPr>
              <w:t>3.17E-04</w:t>
            </w:r>
          </w:p>
        </w:tc>
        <w:tc>
          <w:tcPr>
            <w:tcW w:w="172" w:type="pct"/>
            <w:shd w:val="clear" w:color="auto" w:fill="auto"/>
          </w:tcPr>
          <w:p w14:paraId="6166BF12">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3DBCF885">
            <w:pPr>
              <w:widowControl/>
              <w:spacing w:line="240" w:lineRule="auto"/>
              <w:ind w:firstLine="0" w:firstLineChars="0"/>
              <w:jc w:val="center"/>
              <w:rPr>
                <w:color w:val="auto"/>
                <w:kern w:val="0"/>
                <w:sz w:val="21"/>
                <w:szCs w:val="21"/>
              </w:rPr>
            </w:pPr>
            <w:r>
              <w:rPr>
                <w:rFonts w:hint="eastAsia"/>
                <w:color w:val="auto"/>
                <w:sz w:val="21"/>
                <w:szCs w:val="21"/>
              </w:rPr>
              <w:t>8.06E-05</w:t>
            </w:r>
          </w:p>
        </w:tc>
        <w:tc>
          <w:tcPr>
            <w:tcW w:w="212" w:type="pct"/>
            <w:shd w:val="clear" w:color="auto" w:fill="auto"/>
          </w:tcPr>
          <w:p w14:paraId="1596DE23">
            <w:pPr>
              <w:widowControl/>
              <w:spacing w:line="240" w:lineRule="auto"/>
              <w:ind w:firstLine="0" w:firstLineChars="0"/>
              <w:jc w:val="center"/>
              <w:rPr>
                <w:color w:val="auto"/>
                <w:kern w:val="0"/>
                <w:sz w:val="21"/>
                <w:szCs w:val="21"/>
              </w:rPr>
            </w:pPr>
            <w:r>
              <w:rPr>
                <w:rFonts w:hint="eastAsia"/>
                <w:color w:val="auto"/>
                <w:sz w:val="21"/>
                <w:szCs w:val="21"/>
              </w:rPr>
              <w:t>0.01</w:t>
            </w:r>
          </w:p>
        </w:tc>
      </w:tr>
      <w:tr w14:paraId="53941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132E93C">
            <w:pPr>
              <w:widowControl/>
              <w:spacing w:line="240" w:lineRule="auto"/>
              <w:ind w:firstLine="0" w:firstLineChars="0"/>
              <w:jc w:val="center"/>
              <w:rPr>
                <w:color w:val="auto"/>
                <w:kern w:val="0"/>
                <w:sz w:val="21"/>
                <w:szCs w:val="21"/>
              </w:rPr>
            </w:pPr>
            <w:r>
              <w:rPr>
                <w:color w:val="auto"/>
                <w:sz w:val="21"/>
                <w:szCs w:val="21"/>
              </w:rPr>
              <w:t>1325</w:t>
            </w:r>
          </w:p>
        </w:tc>
        <w:tc>
          <w:tcPr>
            <w:tcW w:w="420" w:type="pct"/>
            <w:shd w:val="clear" w:color="auto" w:fill="auto"/>
            <w:noWrap/>
          </w:tcPr>
          <w:p w14:paraId="692A66E8">
            <w:pPr>
              <w:widowControl/>
              <w:spacing w:line="240" w:lineRule="auto"/>
              <w:ind w:firstLine="0" w:firstLineChars="0"/>
              <w:jc w:val="center"/>
              <w:rPr>
                <w:color w:val="auto"/>
                <w:kern w:val="0"/>
                <w:sz w:val="21"/>
                <w:szCs w:val="21"/>
              </w:rPr>
            </w:pPr>
            <w:r>
              <w:rPr>
                <w:rFonts w:hint="eastAsia"/>
                <w:color w:val="auto"/>
                <w:sz w:val="21"/>
                <w:szCs w:val="21"/>
              </w:rPr>
              <w:t>7.14E-05</w:t>
            </w:r>
          </w:p>
        </w:tc>
        <w:tc>
          <w:tcPr>
            <w:tcW w:w="292" w:type="pct"/>
            <w:shd w:val="clear" w:color="auto" w:fill="auto"/>
            <w:noWrap/>
          </w:tcPr>
          <w:p w14:paraId="1ABAB06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70DCB91">
            <w:pPr>
              <w:widowControl/>
              <w:spacing w:line="240" w:lineRule="auto"/>
              <w:ind w:firstLine="0" w:firstLineChars="0"/>
              <w:jc w:val="center"/>
              <w:rPr>
                <w:color w:val="auto"/>
                <w:kern w:val="0"/>
                <w:sz w:val="21"/>
                <w:szCs w:val="21"/>
              </w:rPr>
            </w:pPr>
            <w:r>
              <w:rPr>
                <w:rFonts w:hint="eastAsia"/>
                <w:color w:val="auto"/>
                <w:sz w:val="21"/>
                <w:szCs w:val="21"/>
              </w:rPr>
              <w:t>5.03E-05</w:t>
            </w:r>
          </w:p>
        </w:tc>
        <w:tc>
          <w:tcPr>
            <w:tcW w:w="376" w:type="pct"/>
            <w:shd w:val="clear" w:color="auto" w:fill="auto"/>
          </w:tcPr>
          <w:p w14:paraId="374727FB">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FD5ABC3">
            <w:pPr>
              <w:widowControl/>
              <w:spacing w:line="240" w:lineRule="auto"/>
              <w:ind w:firstLine="0" w:firstLineChars="0"/>
              <w:jc w:val="center"/>
              <w:rPr>
                <w:color w:val="auto"/>
                <w:kern w:val="0"/>
                <w:sz w:val="21"/>
                <w:szCs w:val="21"/>
              </w:rPr>
            </w:pPr>
            <w:r>
              <w:rPr>
                <w:rFonts w:hint="eastAsia"/>
                <w:color w:val="auto"/>
                <w:sz w:val="21"/>
                <w:szCs w:val="21"/>
              </w:rPr>
              <w:t>4.60E-04</w:t>
            </w:r>
          </w:p>
        </w:tc>
        <w:tc>
          <w:tcPr>
            <w:tcW w:w="239" w:type="pct"/>
            <w:shd w:val="clear" w:color="auto" w:fill="auto"/>
          </w:tcPr>
          <w:p w14:paraId="032B410B">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D6AF75F">
            <w:pPr>
              <w:widowControl/>
              <w:spacing w:line="240" w:lineRule="auto"/>
              <w:ind w:firstLine="0" w:firstLineChars="0"/>
              <w:jc w:val="center"/>
              <w:rPr>
                <w:color w:val="auto"/>
                <w:kern w:val="0"/>
                <w:sz w:val="21"/>
                <w:szCs w:val="21"/>
              </w:rPr>
            </w:pPr>
            <w:r>
              <w:rPr>
                <w:rFonts w:hint="eastAsia"/>
                <w:color w:val="auto"/>
                <w:sz w:val="21"/>
                <w:szCs w:val="21"/>
              </w:rPr>
              <w:t>4.76E-05</w:t>
            </w:r>
          </w:p>
        </w:tc>
        <w:tc>
          <w:tcPr>
            <w:tcW w:w="206" w:type="pct"/>
            <w:shd w:val="clear" w:color="auto" w:fill="auto"/>
          </w:tcPr>
          <w:p w14:paraId="7BA0D01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35B7491">
            <w:pPr>
              <w:widowControl/>
              <w:spacing w:line="240" w:lineRule="auto"/>
              <w:ind w:firstLine="0" w:firstLineChars="0"/>
              <w:jc w:val="center"/>
              <w:rPr>
                <w:color w:val="auto"/>
                <w:sz w:val="21"/>
                <w:szCs w:val="21"/>
              </w:rPr>
            </w:pPr>
            <w:r>
              <w:rPr>
                <w:rFonts w:hint="eastAsia"/>
                <w:color w:val="auto"/>
                <w:sz w:val="21"/>
                <w:szCs w:val="21"/>
              </w:rPr>
              <w:t>3.44E-05</w:t>
            </w:r>
          </w:p>
        </w:tc>
        <w:tc>
          <w:tcPr>
            <w:tcW w:w="170" w:type="pct"/>
          </w:tcPr>
          <w:p w14:paraId="4693CEB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F6D4B59">
            <w:pPr>
              <w:widowControl/>
              <w:spacing w:line="240" w:lineRule="auto"/>
              <w:ind w:firstLine="0" w:firstLineChars="0"/>
              <w:jc w:val="center"/>
              <w:rPr>
                <w:color w:val="auto"/>
                <w:kern w:val="0"/>
                <w:sz w:val="21"/>
                <w:szCs w:val="21"/>
              </w:rPr>
            </w:pPr>
            <w:r>
              <w:rPr>
                <w:rFonts w:hint="eastAsia"/>
                <w:color w:val="auto"/>
                <w:sz w:val="21"/>
                <w:szCs w:val="21"/>
              </w:rPr>
              <w:t>3.15E-04</w:t>
            </w:r>
          </w:p>
        </w:tc>
        <w:tc>
          <w:tcPr>
            <w:tcW w:w="172" w:type="pct"/>
            <w:shd w:val="clear" w:color="auto" w:fill="auto"/>
          </w:tcPr>
          <w:p w14:paraId="0EF05027">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343FB233">
            <w:pPr>
              <w:widowControl/>
              <w:spacing w:line="240" w:lineRule="auto"/>
              <w:ind w:firstLine="0" w:firstLineChars="0"/>
              <w:jc w:val="center"/>
              <w:rPr>
                <w:color w:val="auto"/>
                <w:kern w:val="0"/>
                <w:sz w:val="21"/>
                <w:szCs w:val="21"/>
              </w:rPr>
            </w:pPr>
            <w:r>
              <w:rPr>
                <w:rFonts w:hint="eastAsia"/>
                <w:color w:val="auto"/>
                <w:sz w:val="21"/>
                <w:szCs w:val="21"/>
              </w:rPr>
              <w:t>8.01E-05</w:t>
            </w:r>
          </w:p>
        </w:tc>
        <w:tc>
          <w:tcPr>
            <w:tcW w:w="212" w:type="pct"/>
            <w:shd w:val="clear" w:color="auto" w:fill="auto"/>
          </w:tcPr>
          <w:p w14:paraId="0AA413B1">
            <w:pPr>
              <w:widowControl/>
              <w:spacing w:line="240" w:lineRule="auto"/>
              <w:ind w:firstLine="0" w:firstLineChars="0"/>
              <w:jc w:val="center"/>
              <w:rPr>
                <w:color w:val="auto"/>
                <w:kern w:val="0"/>
                <w:sz w:val="21"/>
                <w:szCs w:val="21"/>
              </w:rPr>
            </w:pPr>
            <w:r>
              <w:rPr>
                <w:rFonts w:hint="eastAsia"/>
                <w:color w:val="auto"/>
                <w:sz w:val="21"/>
                <w:szCs w:val="21"/>
              </w:rPr>
              <w:t>0.01</w:t>
            </w:r>
          </w:p>
        </w:tc>
      </w:tr>
      <w:tr w14:paraId="5DF62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2BD7ADA">
            <w:pPr>
              <w:widowControl/>
              <w:spacing w:line="240" w:lineRule="auto"/>
              <w:ind w:firstLine="0" w:firstLineChars="0"/>
              <w:jc w:val="center"/>
              <w:rPr>
                <w:color w:val="auto"/>
                <w:kern w:val="0"/>
                <w:sz w:val="21"/>
                <w:szCs w:val="21"/>
              </w:rPr>
            </w:pPr>
            <w:r>
              <w:rPr>
                <w:color w:val="auto"/>
                <w:sz w:val="21"/>
                <w:szCs w:val="21"/>
              </w:rPr>
              <w:t>1350</w:t>
            </w:r>
          </w:p>
        </w:tc>
        <w:tc>
          <w:tcPr>
            <w:tcW w:w="420" w:type="pct"/>
            <w:shd w:val="clear" w:color="auto" w:fill="auto"/>
            <w:noWrap/>
          </w:tcPr>
          <w:p w14:paraId="6A1EFD78">
            <w:pPr>
              <w:widowControl/>
              <w:spacing w:line="240" w:lineRule="auto"/>
              <w:ind w:firstLine="0" w:firstLineChars="0"/>
              <w:jc w:val="center"/>
              <w:rPr>
                <w:color w:val="auto"/>
                <w:kern w:val="0"/>
                <w:sz w:val="21"/>
                <w:szCs w:val="21"/>
              </w:rPr>
            </w:pPr>
            <w:r>
              <w:rPr>
                <w:rFonts w:hint="eastAsia"/>
                <w:color w:val="auto"/>
                <w:sz w:val="21"/>
                <w:szCs w:val="21"/>
              </w:rPr>
              <w:t>7.10E-05</w:t>
            </w:r>
          </w:p>
        </w:tc>
        <w:tc>
          <w:tcPr>
            <w:tcW w:w="292" w:type="pct"/>
            <w:shd w:val="clear" w:color="auto" w:fill="auto"/>
            <w:noWrap/>
          </w:tcPr>
          <w:p w14:paraId="41EEE39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49E39DB">
            <w:pPr>
              <w:widowControl/>
              <w:spacing w:line="240" w:lineRule="auto"/>
              <w:ind w:firstLine="0" w:firstLineChars="0"/>
              <w:jc w:val="center"/>
              <w:rPr>
                <w:color w:val="auto"/>
                <w:kern w:val="0"/>
                <w:sz w:val="21"/>
                <w:szCs w:val="21"/>
              </w:rPr>
            </w:pPr>
            <w:r>
              <w:rPr>
                <w:rFonts w:hint="eastAsia"/>
                <w:color w:val="auto"/>
                <w:sz w:val="21"/>
                <w:szCs w:val="21"/>
              </w:rPr>
              <w:t>5.00E-05</w:t>
            </w:r>
          </w:p>
        </w:tc>
        <w:tc>
          <w:tcPr>
            <w:tcW w:w="376" w:type="pct"/>
            <w:shd w:val="clear" w:color="auto" w:fill="auto"/>
          </w:tcPr>
          <w:p w14:paraId="451E2EC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1F61057">
            <w:pPr>
              <w:widowControl/>
              <w:spacing w:line="240" w:lineRule="auto"/>
              <w:ind w:firstLine="0" w:firstLineChars="0"/>
              <w:jc w:val="center"/>
              <w:rPr>
                <w:color w:val="auto"/>
                <w:kern w:val="0"/>
                <w:sz w:val="21"/>
                <w:szCs w:val="21"/>
              </w:rPr>
            </w:pPr>
            <w:r>
              <w:rPr>
                <w:rFonts w:hint="eastAsia"/>
                <w:color w:val="auto"/>
                <w:sz w:val="21"/>
                <w:szCs w:val="21"/>
              </w:rPr>
              <w:t>4.57E-04</w:t>
            </w:r>
          </w:p>
        </w:tc>
        <w:tc>
          <w:tcPr>
            <w:tcW w:w="239" w:type="pct"/>
            <w:shd w:val="clear" w:color="auto" w:fill="auto"/>
          </w:tcPr>
          <w:p w14:paraId="47DDB757">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FCF675D">
            <w:pPr>
              <w:widowControl/>
              <w:spacing w:line="240" w:lineRule="auto"/>
              <w:ind w:firstLine="0" w:firstLineChars="0"/>
              <w:jc w:val="center"/>
              <w:rPr>
                <w:color w:val="auto"/>
                <w:kern w:val="0"/>
                <w:sz w:val="21"/>
                <w:szCs w:val="21"/>
              </w:rPr>
            </w:pPr>
            <w:r>
              <w:rPr>
                <w:rFonts w:hint="eastAsia"/>
                <w:color w:val="auto"/>
                <w:sz w:val="21"/>
                <w:szCs w:val="21"/>
              </w:rPr>
              <w:t>4.73E-05</w:t>
            </w:r>
          </w:p>
        </w:tc>
        <w:tc>
          <w:tcPr>
            <w:tcW w:w="206" w:type="pct"/>
            <w:shd w:val="clear" w:color="auto" w:fill="auto"/>
          </w:tcPr>
          <w:p w14:paraId="72BD1DB1">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C29175F">
            <w:pPr>
              <w:widowControl/>
              <w:spacing w:line="240" w:lineRule="auto"/>
              <w:ind w:firstLine="0" w:firstLineChars="0"/>
              <w:jc w:val="center"/>
              <w:rPr>
                <w:color w:val="auto"/>
                <w:sz w:val="21"/>
                <w:szCs w:val="21"/>
              </w:rPr>
            </w:pPr>
            <w:r>
              <w:rPr>
                <w:rFonts w:hint="eastAsia"/>
                <w:color w:val="auto"/>
                <w:sz w:val="21"/>
                <w:szCs w:val="21"/>
              </w:rPr>
              <w:t>3.42E-05</w:t>
            </w:r>
          </w:p>
        </w:tc>
        <w:tc>
          <w:tcPr>
            <w:tcW w:w="170" w:type="pct"/>
          </w:tcPr>
          <w:p w14:paraId="2F726BF5">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3A464AE">
            <w:pPr>
              <w:widowControl/>
              <w:spacing w:line="240" w:lineRule="auto"/>
              <w:ind w:firstLine="0" w:firstLineChars="0"/>
              <w:jc w:val="center"/>
              <w:rPr>
                <w:color w:val="auto"/>
                <w:kern w:val="0"/>
                <w:sz w:val="21"/>
                <w:szCs w:val="21"/>
              </w:rPr>
            </w:pPr>
            <w:r>
              <w:rPr>
                <w:rFonts w:hint="eastAsia"/>
                <w:color w:val="auto"/>
                <w:sz w:val="21"/>
                <w:szCs w:val="21"/>
              </w:rPr>
              <w:t>3.13E-04</w:t>
            </w:r>
          </w:p>
        </w:tc>
        <w:tc>
          <w:tcPr>
            <w:tcW w:w="172" w:type="pct"/>
            <w:shd w:val="clear" w:color="auto" w:fill="auto"/>
          </w:tcPr>
          <w:p w14:paraId="64B73669">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63AF33C2">
            <w:pPr>
              <w:widowControl/>
              <w:spacing w:line="240" w:lineRule="auto"/>
              <w:ind w:firstLine="0" w:firstLineChars="0"/>
              <w:jc w:val="center"/>
              <w:rPr>
                <w:color w:val="auto"/>
                <w:kern w:val="0"/>
                <w:sz w:val="21"/>
                <w:szCs w:val="21"/>
              </w:rPr>
            </w:pPr>
            <w:r>
              <w:rPr>
                <w:rFonts w:hint="eastAsia"/>
                <w:color w:val="auto"/>
                <w:sz w:val="21"/>
                <w:szCs w:val="21"/>
              </w:rPr>
              <w:t>7.96E-05</w:t>
            </w:r>
          </w:p>
        </w:tc>
        <w:tc>
          <w:tcPr>
            <w:tcW w:w="212" w:type="pct"/>
            <w:shd w:val="clear" w:color="auto" w:fill="auto"/>
          </w:tcPr>
          <w:p w14:paraId="53617C9B">
            <w:pPr>
              <w:widowControl/>
              <w:spacing w:line="240" w:lineRule="auto"/>
              <w:ind w:firstLine="0" w:firstLineChars="0"/>
              <w:jc w:val="center"/>
              <w:rPr>
                <w:color w:val="auto"/>
                <w:kern w:val="0"/>
                <w:sz w:val="21"/>
                <w:szCs w:val="21"/>
              </w:rPr>
            </w:pPr>
            <w:r>
              <w:rPr>
                <w:rFonts w:hint="eastAsia"/>
                <w:color w:val="auto"/>
                <w:sz w:val="21"/>
                <w:szCs w:val="21"/>
              </w:rPr>
              <w:t>0.01</w:t>
            </w:r>
          </w:p>
        </w:tc>
      </w:tr>
      <w:tr w14:paraId="37A3F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8052EEA">
            <w:pPr>
              <w:widowControl/>
              <w:spacing w:line="240" w:lineRule="auto"/>
              <w:ind w:firstLine="0" w:firstLineChars="0"/>
              <w:jc w:val="center"/>
              <w:rPr>
                <w:color w:val="auto"/>
                <w:kern w:val="0"/>
                <w:sz w:val="21"/>
                <w:szCs w:val="21"/>
              </w:rPr>
            </w:pPr>
            <w:r>
              <w:rPr>
                <w:color w:val="auto"/>
                <w:sz w:val="21"/>
                <w:szCs w:val="21"/>
              </w:rPr>
              <w:t>1375</w:t>
            </w:r>
          </w:p>
        </w:tc>
        <w:tc>
          <w:tcPr>
            <w:tcW w:w="420" w:type="pct"/>
            <w:shd w:val="clear" w:color="auto" w:fill="auto"/>
            <w:noWrap/>
          </w:tcPr>
          <w:p w14:paraId="09E59D54">
            <w:pPr>
              <w:widowControl/>
              <w:spacing w:line="240" w:lineRule="auto"/>
              <w:ind w:firstLine="0" w:firstLineChars="0"/>
              <w:jc w:val="center"/>
              <w:rPr>
                <w:color w:val="auto"/>
                <w:kern w:val="0"/>
                <w:sz w:val="21"/>
                <w:szCs w:val="21"/>
              </w:rPr>
            </w:pPr>
            <w:r>
              <w:rPr>
                <w:rFonts w:hint="eastAsia"/>
                <w:color w:val="auto"/>
                <w:sz w:val="21"/>
                <w:szCs w:val="21"/>
              </w:rPr>
              <w:t>7.05E-05</w:t>
            </w:r>
          </w:p>
        </w:tc>
        <w:tc>
          <w:tcPr>
            <w:tcW w:w="292" w:type="pct"/>
            <w:shd w:val="clear" w:color="auto" w:fill="auto"/>
            <w:noWrap/>
          </w:tcPr>
          <w:p w14:paraId="48D15C9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2D99B65">
            <w:pPr>
              <w:widowControl/>
              <w:spacing w:line="240" w:lineRule="auto"/>
              <w:ind w:firstLine="0" w:firstLineChars="0"/>
              <w:jc w:val="center"/>
              <w:rPr>
                <w:color w:val="auto"/>
                <w:kern w:val="0"/>
                <w:sz w:val="21"/>
                <w:szCs w:val="21"/>
              </w:rPr>
            </w:pPr>
            <w:r>
              <w:rPr>
                <w:rFonts w:hint="eastAsia"/>
                <w:color w:val="auto"/>
                <w:sz w:val="21"/>
                <w:szCs w:val="21"/>
              </w:rPr>
              <w:t>4.96E-05</w:t>
            </w:r>
          </w:p>
        </w:tc>
        <w:tc>
          <w:tcPr>
            <w:tcW w:w="376" w:type="pct"/>
            <w:shd w:val="clear" w:color="auto" w:fill="auto"/>
          </w:tcPr>
          <w:p w14:paraId="112B2E50">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09C6484">
            <w:pPr>
              <w:widowControl/>
              <w:spacing w:line="240" w:lineRule="auto"/>
              <w:ind w:firstLine="0" w:firstLineChars="0"/>
              <w:jc w:val="center"/>
              <w:rPr>
                <w:color w:val="auto"/>
                <w:kern w:val="0"/>
                <w:sz w:val="21"/>
                <w:szCs w:val="21"/>
              </w:rPr>
            </w:pPr>
            <w:r>
              <w:rPr>
                <w:rFonts w:hint="eastAsia"/>
                <w:color w:val="auto"/>
                <w:sz w:val="21"/>
                <w:szCs w:val="21"/>
              </w:rPr>
              <w:t>4.55E-04</w:t>
            </w:r>
          </w:p>
        </w:tc>
        <w:tc>
          <w:tcPr>
            <w:tcW w:w="239" w:type="pct"/>
            <w:shd w:val="clear" w:color="auto" w:fill="auto"/>
          </w:tcPr>
          <w:p w14:paraId="4AC8F14C">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9DDC62E">
            <w:pPr>
              <w:widowControl/>
              <w:spacing w:line="240" w:lineRule="auto"/>
              <w:ind w:firstLine="0" w:firstLineChars="0"/>
              <w:jc w:val="center"/>
              <w:rPr>
                <w:color w:val="auto"/>
                <w:kern w:val="0"/>
                <w:sz w:val="21"/>
                <w:szCs w:val="21"/>
              </w:rPr>
            </w:pPr>
            <w:r>
              <w:rPr>
                <w:rFonts w:hint="eastAsia"/>
                <w:color w:val="auto"/>
                <w:sz w:val="21"/>
                <w:szCs w:val="21"/>
              </w:rPr>
              <w:t>4.70E-05</w:t>
            </w:r>
          </w:p>
        </w:tc>
        <w:tc>
          <w:tcPr>
            <w:tcW w:w="206" w:type="pct"/>
            <w:shd w:val="clear" w:color="auto" w:fill="auto"/>
          </w:tcPr>
          <w:p w14:paraId="6C0896D2">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08ED467">
            <w:pPr>
              <w:widowControl/>
              <w:spacing w:line="240" w:lineRule="auto"/>
              <w:ind w:firstLine="0" w:firstLineChars="0"/>
              <w:jc w:val="center"/>
              <w:rPr>
                <w:color w:val="auto"/>
                <w:sz w:val="21"/>
                <w:szCs w:val="21"/>
              </w:rPr>
            </w:pPr>
            <w:r>
              <w:rPr>
                <w:rFonts w:hint="eastAsia"/>
                <w:color w:val="auto"/>
                <w:sz w:val="21"/>
                <w:szCs w:val="21"/>
              </w:rPr>
              <w:t>3.40E-05</w:t>
            </w:r>
          </w:p>
        </w:tc>
        <w:tc>
          <w:tcPr>
            <w:tcW w:w="170" w:type="pct"/>
          </w:tcPr>
          <w:p w14:paraId="22772C4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0EAE78D">
            <w:pPr>
              <w:widowControl/>
              <w:spacing w:line="240" w:lineRule="auto"/>
              <w:ind w:firstLine="0" w:firstLineChars="0"/>
              <w:jc w:val="center"/>
              <w:rPr>
                <w:color w:val="auto"/>
                <w:kern w:val="0"/>
                <w:sz w:val="21"/>
                <w:szCs w:val="21"/>
              </w:rPr>
            </w:pPr>
            <w:r>
              <w:rPr>
                <w:rFonts w:hint="eastAsia"/>
                <w:color w:val="auto"/>
                <w:sz w:val="21"/>
                <w:szCs w:val="21"/>
              </w:rPr>
              <w:t>3.11E-04</w:t>
            </w:r>
          </w:p>
        </w:tc>
        <w:tc>
          <w:tcPr>
            <w:tcW w:w="172" w:type="pct"/>
            <w:shd w:val="clear" w:color="auto" w:fill="auto"/>
          </w:tcPr>
          <w:p w14:paraId="5EC1EFCD">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11974AC">
            <w:pPr>
              <w:widowControl/>
              <w:spacing w:line="240" w:lineRule="auto"/>
              <w:ind w:firstLine="0" w:firstLineChars="0"/>
              <w:jc w:val="center"/>
              <w:rPr>
                <w:color w:val="auto"/>
                <w:kern w:val="0"/>
                <w:sz w:val="21"/>
                <w:szCs w:val="21"/>
              </w:rPr>
            </w:pPr>
            <w:r>
              <w:rPr>
                <w:rFonts w:hint="eastAsia"/>
                <w:color w:val="auto"/>
                <w:sz w:val="21"/>
                <w:szCs w:val="21"/>
              </w:rPr>
              <w:t>7.91E-05</w:t>
            </w:r>
          </w:p>
        </w:tc>
        <w:tc>
          <w:tcPr>
            <w:tcW w:w="212" w:type="pct"/>
            <w:shd w:val="clear" w:color="auto" w:fill="auto"/>
          </w:tcPr>
          <w:p w14:paraId="589DC539">
            <w:pPr>
              <w:widowControl/>
              <w:spacing w:line="240" w:lineRule="auto"/>
              <w:ind w:firstLine="0" w:firstLineChars="0"/>
              <w:jc w:val="center"/>
              <w:rPr>
                <w:color w:val="auto"/>
                <w:kern w:val="0"/>
                <w:sz w:val="21"/>
                <w:szCs w:val="21"/>
              </w:rPr>
            </w:pPr>
            <w:r>
              <w:rPr>
                <w:rFonts w:hint="eastAsia"/>
                <w:color w:val="auto"/>
                <w:sz w:val="21"/>
                <w:szCs w:val="21"/>
              </w:rPr>
              <w:t>0.01</w:t>
            </w:r>
          </w:p>
        </w:tc>
      </w:tr>
      <w:tr w14:paraId="1FDB0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7DEEFBB">
            <w:pPr>
              <w:widowControl/>
              <w:spacing w:line="240" w:lineRule="auto"/>
              <w:ind w:firstLine="0" w:firstLineChars="0"/>
              <w:jc w:val="center"/>
              <w:rPr>
                <w:color w:val="auto"/>
                <w:kern w:val="0"/>
                <w:sz w:val="21"/>
                <w:szCs w:val="21"/>
              </w:rPr>
            </w:pPr>
            <w:r>
              <w:rPr>
                <w:color w:val="auto"/>
                <w:sz w:val="21"/>
                <w:szCs w:val="21"/>
              </w:rPr>
              <w:t>1400</w:t>
            </w:r>
          </w:p>
        </w:tc>
        <w:tc>
          <w:tcPr>
            <w:tcW w:w="420" w:type="pct"/>
            <w:shd w:val="clear" w:color="auto" w:fill="auto"/>
            <w:noWrap/>
          </w:tcPr>
          <w:p w14:paraId="2E9FABA8">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3E8913E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BCCCCB9">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6AD6A634">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7B3004B">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391F0A33">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76D70EE8">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3363C5F4">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5ADFC3B">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4EB22E1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49DF25B">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5A675F07">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4AB584CE">
            <w:pPr>
              <w:widowControl/>
              <w:spacing w:line="240" w:lineRule="auto"/>
              <w:ind w:firstLine="0" w:firstLineChars="0"/>
              <w:jc w:val="center"/>
              <w:rPr>
                <w:color w:val="auto"/>
                <w:kern w:val="0"/>
                <w:sz w:val="21"/>
                <w:szCs w:val="21"/>
              </w:rPr>
            </w:pPr>
            <w:r>
              <w:rPr>
                <w:rFonts w:hint="eastAsia"/>
                <w:color w:val="auto"/>
                <w:sz w:val="21"/>
                <w:szCs w:val="21"/>
              </w:rPr>
              <w:t>7.86E-05</w:t>
            </w:r>
          </w:p>
        </w:tc>
        <w:tc>
          <w:tcPr>
            <w:tcW w:w="212" w:type="pct"/>
            <w:shd w:val="clear" w:color="auto" w:fill="auto"/>
          </w:tcPr>
          <w:p w14:paraId="30B4B6F1">
            <w:pPr>
              <w:widowControl/>
              <w:spacing w:line="240" w:lineRule="auto"/>
              <w:ind w:firstLine="0" w:firstLineChars="0"/>
              <w:jc w:val="center"/>
              <w:rPr>
                <w:color w:val="auto"/>
                <w:kern w:val="0"/>
                <w:sz w:val="21"/>
                <w:szCs w:val="21"/>
              </w:rPr>
            </w:pPr>
            <w:r>
              <w:rPr>
                <w:rFonts w:hint="eastAsia"/>
                <w:color w:val="auto"/>
                <w:sz w:val="21"/>
                <w:szCs w:val="21"/>
              </w:rPr>
              <w:t>0.01</w:t>
            </w:r>
          </w:p>
        </w:tc>
      </w:tr>
      <w:tr w14:paraId="4304C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0ED84BA">
            <w:pPr>
              <w:widowControl/>
              <w:spacing w:line="240" w:lineRule="auto"/>
              <w:ind w:firstLine="0" w:firstLineChars="0"/>
              <w:jc w:val="center"/>
              <w:rPr>
                <w:color w:val="auto"/>
                <w:kern w:val="0"/>
                <w:sz w:val="21"/>
                <w:szCs w:val="21"/>
              </w:rPr>
            </w:pPr>
            <w:r>
              <w:rPr>
                <w:color w:val="auto"/>
                <w:sz w:val="21"/>
                <w:szCs w:val="21"/>
              </w:rPr>
              <w:t>1425</w:t>
            </w:r>
          </w:p>
        </w:tc>
        <w:tc>
          <w:tcPr>
            <w:tcW w:w="420" w:type="pct"/>
            <w:shd w:val="clear" w:color="auto" w:fill="auto"/>
            <w:noWrap/>
          </w:tcPr>
          <w:p w14:paraId="2309AEC3">
            <w:pPr>
              <w:widowControl/>
              <w:spacing w:line="240" w:lineRule="auto"/>
              <w:ind w:firstLine="0" w:firstLineChars="0"/>
              <w:jc w:val="center"/>
              <w:rPr>
                <w:color w:val="auto"/>
                <w:kern w:val="0"/>
                <w:sz w:val="21"/>
                <w:szCs w:val="21"/>
              </w:rPr>
            </w:pPr>
            <w:r>
              <w:rPr>
                <w:rFonts w:hint="eastAsia"/>
                <w:color w:val="auto"/>
                <w:sz w:val="21"/>
                <w:szCs w:val="21"/>
              </w:rPr>
              <w:t>6.99E-05</w:t>
            </w:r>
          </w:p>
        </w:tc>
        <w:tc>
          <w:tcPr>
            <w:tcW w:w="292" w:type="pct"/>
            <w:shd w:val="clear" w:color="auto" w:fill="auto"/>
            <w:noWrap/>
          </w:tcPr>
          <w:p w14:paraId="4582247D">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CBEAB59">
            <w:pPr>
              <w:widowControl/>
              <w:spacing w:line="240" w:lineRule="auto"/>
              <w:ind w:firstLine="0" w:firstLineChars="0"/>
              <w:jc w:val="center"/>
              <w:rPr>
                <w:color w:val="auto"/>
                <w:kern w:val="0"/>
                <w:sz w:val="21"/>
                <w:szCs w:val="21"/>
              </w:rPr>
            </w:pPr>
            <w:r>
              <w:rPr>
                <w:rFonts w:hint="eastAsia"/>
                <w:color w:val="auto"/>
                <w:sz w:val="21"/>
                <w:szCs w:val="21"/>
              </w:rPr>
              <w:t>4.92E-05</w:t>
            </w:r>
          </w:p>
        </w:tc>
        <w:tc>
          <w:tcPr>
            <w:tcW w:w="376" w:type="pct"/>
            <w:shd w:val="clear" w:color="auto" w:fill="auto"/>
          </w:tcPr>
          <w:p w14:paraId="29C04A4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0EF4510">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06394F88">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5FACCA47">
            <w:pPr>
              <w:widowControl/>
              <w:spacing w:line="240" w:lineRule="auto"/>
              <w:ind w:firstLine="0" w:firstLineChars="0"/>
              <w:jc w:val="center"/>
              <w:rPr>
                <w:color w:val="auto"/>
                <w:kern w:val="0"/>
                <w:sz w:val="21"/>
                <w:szCs w:val="21"/>
              </w:rPr>
            </w:pPr>
            <w:r>
              <w:rPr>
                <w:rFonts w:hint="eastAsia"/>
                <w:color w:val="auto"/>
                <w:sz w:val="21"/>
                <w:szCs w:val="21"/>
              </w:rPr>
              <w:t>4.66E-05</w:t>
            </w:r>
          </w:p>
        </w:tc>
        <w:tc>
          <w:tcPr>
            <w:tcW w:w="206" w:type="pct"/>
            <w:shd w:val="clear" w:color="auto" w:fill="auto"/>
          </w:tcPr>
          <w:p w14:paraId="02D8F6A4">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87A93D2">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7185B981">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322A6F05">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20F1CEB0">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7792EE6E">
            <w:pPr>
              <w:widowControl/>
              <w:spacing w:line="240" w:lineRule="auto"/>
              <w:ind w:firstLine="0" w:firstLineChars="0"/>
              <w:jc w:val="center"/>
              <w:rPr>
                <w:color w:val="auto"/>
                <w:kern w:val="0"/>
                <w:sz w:val="21"/>
                <w:szCs w:val="21"/>
              </w:rPr>
            </w:pPr>
            <w:r>
              <w:rPr>
                <w:rFonts w:hint="eastAsia"/>
                <w:color w:val="auto"/>
                <w:sz w:val="21"/>
                <w:szCs w:val="21"/>
              </w:rPr>
              <w:t>7.84E-05</w:t>
            </w:r>
          </w:p>
        </w:tc>
        <w:tc>
          <w:tcPr>
            <w:tcW w:w="212" w:type="pct"/>
            <w:shd w:val="clear" w:color="auto" w:fill="auto"/>
          </w:tcPr>
          <w:p w14:paraId="5AD1F083">
            <w:pPr>
              <w:widowControl/>
              <w:spacing w:line="240" w:lineRule="auto"/>
              <w:ind w:firstLine="0" w:firstLineChars="0"/>
              <w:jc w:val="center"/>
              <w:rPr>
                <w:color w:val="auto"/>
                <w:kern w:val="0"/>
                <w:sz w:val="21"/>
                <w:szCs w:val="21"/>
              </w:rPr>
            </w:pPr>
            <w:r>
              <w:rPr>
                <w:rFonts w:hint="eastAsia"/>
                <w:color w:val="auto"/>
                <w:sz w:val="21"/>
                <w:szCs w:val="21"/>
              </w:rPr>
              <w:t>0.01</w:t>
            </w:r>
          </w:p>
        </w:tc>
      </w:tr>
      <w:tr w14:paraId="6230F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9C07821">
            <w:pPr>
              <w:widowControl/>
              <w:spacing w:line="240" w:lineRule="auto"/>
              <w:ind w:firstLine="0" w:firstLineChars="0"/>
              <w:jc w:val="center"/>
              <w:rPr>
                <w:color w:val="auto"/>
                <w:kern w:val="0"/>
                <w:sz w:val="21"/>
                <w:szCs w:val="21"/>
              </w:rPr>
            </w:pPr>
            <w:r>
              <w:rPr>
                <w:color w:val="auto"/>
                <w:sz w:val="21"/>
                <w:szCs w:val="21"/>
              </w:rPr>
              <w:t>1450</w:t>
            </w:r>
          </w:p>
        </w:tc>
        <w:tc>
          <w:tcPr>
            <w:tcW w:w="420" w:type="pct"/>
            <w:shd w:val="clear" w:color="auto" w:fill="auto"/>
            <w:noWrap/>
          </w:tcPr>
          <w:p w14:paraId="57CD4BD9">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92" w:type="pct"/>
            <w:shd w:val="clear" w:color="auto" w:fill="auto"/>
            <w:noWrap/>
          </w:tcPr>
          <w:p w14:paraId="79E3B71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FF31551">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1B858DEF">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DA2C491">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185BD81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67E26CE">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00A359A6">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5B2DA3F">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096B6B6C">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904C69D">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47447C51">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29621AA6">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212" w:type="pct"/>
            <w:shd w:val="clear" w:color="auto" w:fill="auto"/>
          </w:tcPr>
          <w:p w14:paraId="33A5295F">
            <w:pPr>
              <w:widowControl/>
              <w:spacing w:line="240" w:lineRule="auto"/>
              <w:ind w:firstLine="0" w:firstLineChars="0"/>
              <w:jc w:val="center"/>
              <w:rPr>
                <w:color w:val="auto"/>
                <w:kern w:val="0"/>
                <w:sz w:val="21"/>
                <w:szCs w:val="21"/>
              </w:rPr>
            </w:pPr>
            <w:r>
              <w:rPr>
                <w:rFonts w:hint="eastAsia"/>
                <w:color w:val="auto"/>
                <w:sz w:val="21"/>
                <w:szCs w:val="21"/>
              </w:rPr>
              <w:t>0.01</w:t>
            </w:r>
          </w:p>
        </w:tc>
      </w:tr>
      <w:tr w14:paraId="4C9AC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C8938F9">
            <w:pPr>
              <w:widowControl/>
              <w:spacing w:line="240" w:lineRule="auto"/>
              <w:ind w:firstLine="0" w:firstLineChars="0"/>
              <w:jc w:val="center"/>
              <w:rPr>
                <w:color w:val="auto"/>
                <w:kern w:val="0"/>
                <w:sz w:val="21"/>
                <w:szCs w:val="21"/>
              </w:rPr>
            </w:pPr>
            <w:r>
              <w:rPr>
                <w:color w:val="auto"/>
                <w:sz w:val="21"/>
                <w:szCs w:val="21"/>
              </w:rPr>
              <w:t>1475</w:t>
            </w:r>
          </w:p>
        </w:tc>
        <w:tc>
          <w:tcPr>
            <w:tcW w:w="420" w:type="pct"/>
            <w:shd w:val="clear" w:color="auto" w:fill="auto"/>
            <w:noWrap/>
          </w:tcPr>
          <w:p w14:paraId="075B68D3">
            <w:pPr>
              <w:widowControl/>
              <w:spacing w:line="240" w:lineRule="auto"/>
              <w:ind w:firstLine="0" w:firstLineChars="0"/>
              <w:jc w:val="center"/>
              <w:rPr>
                <w:color w:val="auto"/>
                <w:kern w:val="0"/>
                <w:sz w:val="21"/>
                <w:szCs w:val="21"/>
              </w:rPr>
            </w:pPr>
            <w:r>
              <w:rPr>
                <w:rFonts w:hint="eastAsia"/>
                <w:color w:val="auto"/>
                <w:sz w:val="21"/>
                <w:szCs w:val="21"/>
              </w:rPr>
              <w:t>7.04E-05</w:t>
            </w:r>
          </w:p>
        </w:tc>
        <w:tc>
          <w:tcPr>
            <w:tcW w:w="292" w:type="pct"/>
            <w:shd w:val="clear" w:color="auto" w:fill="auto"/>
            <w:noWrap/>
          </w:tcPr>
          <w:p w14:paraId="58D11B4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690F53B8">
            <w:pPr>
              <w:widowControl/>
              <w:spacing w:line="240" w:lineRule="auto"/>
              <w:ind w:firstLine="0" w:firstLineChars="0"/>
              <w:jc w:val="center"/>
              <w:rPr>
                <w:color w:val="auto"/>
                <w:kern w:val="0"/>
                <w:sz w:val="21"/>
                <w:szCs w:val="21"/>
              </w:rPr>
            </w:pPr>
            <w:r>
              <w:rPr>
                <w:rFonts w:hint="eastAsia"/>
                <w:color w:val="auto"/>
                <w:sz w:val="21"/>
                <w:szCs w:val="21"/>
              </w:rPr>
              <w:t>4.96E-05</w:t>
            </w:r>
          </w:p>
        </w:tc>
        <w:tc>
          <w:tcPr>
            <w:tcW w:w="376" w:type="pct"/>
            <w:shd w:val="clear" w:color="auto" w:fill="auto"/>
          </w:tcPr>
          <w:p w14:paraId="0C0BA22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558394A">
            <w:pPr>
              <w:widowControl/>
              <w:spacing w:line="240" w:lineRule="auto"/>
              <w:ind w:firstLine="0" w:firstLineChars="0"/>
              <w:jc w:val="center"/>
              <w:rPr>
                <w:color w:val="auto"/>
                <w:kern w:val="0"/>
                <w:sz w:val="21"/>
                <w:szCs w:val="21"/>
              </w:rPr>
            </w:pPr>
            <w:r>
              <w:rPr>
                <w:rFonts w:hint="eastAsia"/>
                <w:color w:val="auto"/>
                <w:sz w:val="21"/>
                <w:szCs w:val="21"/>
              </w:rPr>
              <w:t>4.54E-04</w:t>
            </w:r>
          </w:p>
        </w:tc>
        <w:tc>
          <w:tcPr>
            <w:tcW w:w="239" w:type="pct"/>
            <w:shd w:val="clear" w:color="auto" w:fill="auto"/>
          </w:tcPr>
          <w:p w14:paraId="149A892D">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078D4D28">
            <w:pPr>
              <w:widowControl/>
              <w:spacing w:line="240" w:lineRule="auto"/>
              <w:ind w:firstLine="0" w:firstLineChars="0"/>
              <w:jc w:val="center"/>
              <w:rPr>
                <w:color w:val="auto"/>
                <w:kern w:val="0"/>
                <w:sz w:val="21"/>
                <w:szCs w:val="21"/>
              </w:rPr>
            </w:pPr>
            <w:r>
              <w:rPr>
                <w:rFonts w:hint="eastAsia"/>
                <w:color w:val="auto"/>
                <w:sz w:val="21"/>
                <w:szCs w:val="21"/>
              </w:rPr>
              <w:t>4.70E-05</w:t>
            </w:r>
          </w:p>
        </w:tc>
        <w:tc>
          <w:tcPr>
            <w:tcW w:w="206" w:type="pct"/>
            <w:shd w:val="clear" w:color="auto" w:fill="auto"/>
          </w:tcPr>
          <w:p w14:paraId="52D5A7C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992A2F5">
            <w:pPr>
              <w:widowControl/>
              <w:spacing w:line="240" w:lineRule="auto"/>
              <w:ind w:firstLine="0" w:firstLineChars="0"/>
              <w:jc w:val="center"/>
              <w:rPr>
                <w:color w:val="auto"/>
                <w:sz w:val="21"/>
                <w:szCs w:val="21"/>
              </w:rPr>
            </w:pPr>
            <w:r>
              <w:rPr>
                <w:rFonts w:hint="eastAsia"/>
                <w:color w:val="auto"/>
                <w:sz w:val="21"/>
                <w:szCs w:val="21"/>
              </w:rPr>
              <w:t>3.39E-05</w:t>
            </w:r>
          </w:p>
        </w:tc>
        <w:tc>
          <w:tcPr>
            <w:tcW w:w="170" w:type="pct"/>
          </w:tcPr>
          <w:p w14:paraId="39828225">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EC7A9EB">
            <w:pPr>
              <w:widowControl/>
              <w:spacing w:line="240" w:lineRule="auto"/>
              <w:ind w:firstLine="0" w:firstLineChars="0"/>
              <w:jc w:val="center"/>
              <w:rPr>
                <w:color w:val="auto"/>
                <w:kern w:val="0"/>
                <w:sz w:val="21"/>
                <w:szCs w:val="21"/>
              </w:rPr>
            </w:pPr>
            <w:r>
              <w:rPr>
                <w:rFonts w:hint="eastAsia"/>
                <w:color w:val="auto"/>
                <w:sz w:val="21"/>
                <w:szCs w:val="21"/>
              </w:rPr>
              <w:t>3.10E-04</w:t>
            </w:r>
          </w:p>
        </w:tc>
        <w:tc>
          <w:tcPr>
            <w:tcW w:w="172" w:type="pct"/>
            <w:shd w:val="clear" w:color="auto" w:fill="auto"/>
          </w:tcPr>
          <w:p w14:paraId="2CCE8C77">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0AEF80E2">
            <w:pPr>
              <w:widowControl/>
              <w:spacing w:line="240" w:lineRule="auto"/>
              <w:ind w:firstLine="0" w:firstLineChars="0"/>
              <w:jc w:val="center"/>
              <w:rPr>
                <w:color w:val="auto"/>
                <w:kern w:val="0"/>
                <w:sz w:val="21"/>
                <w:szCs w:val="21"/>
              </w:rPr>
            </w:pPr>
            <w:r>
              <w:rPr>
                <w:rFonts w:hint="eastAsia"/>
                <w:color w:val="auto"/>
                <w:sz w:val="21"/>
                <w:szCs w:val="21"/>
              </w:rPr>
              <w:t>7.90E-05</w:t>
            </w:r>
          </w:p>
        </w:tc>
        <w:tc>
          <w:tcPr>
            <w:tcW w:w="212" w:type="pct"/>
            <w:shd w:val="clear" w:color="auto" w:fill="auto"/>
          </w:tcPr>
          <w:p w14:paraId="213014CD">
            <w:pPr>
              <w:widowControl/>
              <w:spacing w:line="240" w:lineRule="auto"/>
              <w:ind w:firstLine="0" w:firstLineChars="0"/>
              <w:jc w:val="center"/>
              <w:rPr>
                <w:color w:val="auto"/>
                <w:kern w:val="0"/>
                <w:sz w:val="21"/>
                <w:szCs w:val="21"/>
              </w:rPr>
            </w:pPr>
            <w:r>
              <w:rPr>
                <w:rFonts w:hint="eastAsia"/>
                <w:color w:val="auto"/>
                <w:sz w:val="21"/>
                <w:szCs w:val="21"/>
              </w:rPr>
              <w:t>0.01</w:t>
            </w:r>
          </w:p>
        </w:tc>
      </w:tr>
      <w:tr w14:paraId="025AD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8CC6760">
            <w:pPr>
              <w:widowControl/>
              <w:spacing w:line="240" w:lineRule="auto"/>
              <w:ind w:firstLine="0" w:firstLineChars="0"/>
              <w:jc w:val="center"/>
              <w:rPr>
                <w:color w:val="auto"/>
                <w:kern w:val="0"/>
                <w:sz w:val="21"/>
                <w:szCs w:val="21"/>
              </w:rPr>
            </w:pPr>
            <w:r>
              <w:rPr>
                <w:color w:val="auto"/>
                <w:sz w:val="21"/>
                <w:szCs w:val="21"/>
              </w:rPr>
              <w:t>1500</w:t>
            </w:r>
          </w:p>
        </w:tc>
        <w:tc>
          <w:tcPr>
            <w:tcW w:w="420" w:type="pct"/>
            <w:shd w:val="clear" w:color="auto" w:fill="auto"/>
            <w:noWrap/>
          </w:tcPr>
          <w:p w14:paraId="04A6AC37">
            <w:pPr>
              <w:widowControl/>
              <w:spacing w:line="240" w:lineRule="auto"/>
              <w:ind w:firstLine="0" w:firstLineChars="0"/>
              <w:jc w:val="center"/>
              <w:rPr>
                <w:color w:val="auto"/>
                <w:kern w:val="0"/>
                <w:sz w:val="21"/>
                <w:szCs w:val="21"/>
              </w:rPr>
            </w:pPr>
            <w:r>
              <w:rPr>
                <w:rFonts w:hint="eastAsia"/>
                <w:color w:val="auto"/>
                <w:sz w:val="21"/>
                <w:szCs w:val="21"/>
              </w:rPr>
              <w:t>7.07E-05</w:t>
            </w:r>
          </w:p>
        </w:tc>
        <w:tc>
          <w:tcPr>
            <w:tcW w:w="292" w:type="pct"/>
            <w:shd w:val="clear" w:color="auto" w:fill="auto"/>
            <w:noWrap/>
          </w:tcPr>
          <w:p w14:paraId="0929616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38A2800">
            <w:pPr>
              <w:widowControl/>
              <w:spacing w:line="240" w:lineRule="auto"/>
              <w:ind w:firstLine="0" w:firstLineChars="0"/>
              <w:jc w:val="center"/>
              <w:rPr>
                <w:color w:val="auto"/>
                <w:kern w:val="0"/>
                <w:sz w:val="21"/>
                <w:szCs w:val="21"/>
              </w:rPr>
            </w:pPr>
            <w:r>
              <w:rPr>
                <w:rFonts w:hint="eastAsia"/>
                <w:color w:val="auto"/>
                <w:sz w:val="21"/>
                <w:szCs w:val="21"/>
              </w:rPr>
              <w:t>4.97E-05</w:t>
            </w:r>
          </w:p>
        </w:tc>
        <w:tc>
          <w:tcPr>
            <w:tcW w:w="376" w:type="pct"/>
            <w:shd w:val="clear" w:color="auto" w:fill="auto"/>
          </w:tcPr>
          <w:p w14:paraId="362D465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1F0563E">
            <w:pPr>
              <w:widowControl/>
              <w:spacing w:line="240" w:lineRule="auto"/>
              <w:ind w:firstLine="0" w:firstLineChars="0"/>
              <w:jc w:val="center"/>
              <w:rPr>
                <w:color w:val="auto"/>
                <w:kern w:val="0"/>
                <w:sz w:val="21"/>
                <w:szCs w:val="21"/>
              </w:rPr>
            </w:pPr>
            <w:r>
              <w:rPr>
                <w:rFonts w:hint="eastAsia"/>
                <w:color w:val="auto"/>
                <w:sz w:val="21"/>
                <w:szCs w:val="21"/>
              </w:rPr>
              <w:t>4.55E-04</w:t>
            </w:r>
          </w:p>
        </w:tc>
        <w:tc>
          <w:tcPr>
            <w:tcW w:w="239" w:type="pct"/>
            <w:shd w:val="clear" w:color="auto" w:fill="auto"/>
          </w:tcPr>
          <w:p w14:paraId="7C294BCE">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574E2263">
            <w:pPr>
              <w:widowControl/>
              <w:spacing w:line="240" w:lineRule="auto"/>
              <w:ind w:firstLine="0" w:firstLineChars="0"/>
              <w:jc w:val="center"/>
              <w:rPr>
                <w:color w:val="auto"/>
                <w:kern w:val="0"/>
                <w:sz w:val="21"/>
                <w:szCs w:val="21"/>
              </w:rPr>
            </w:pPr>
            <w:r>
              <w:rPr>
                <w:rFonts w:hint="eastAsia"/>
                <w:color w:val="auto"/>
                <w:sz w:val="21"/>
                <w:szCs w:val="21"/>
              </w:rPr>
              <w:t>4.71E-05</w:t>
            </w:r>
          </w:p>
        </w:tc>
        <w:tc>
          <w:tcPr>
            <w:tcW w:w="206" w:type="pct"/>
            <w:shd w:val="clear" w:color="auto" w:fill="auto"/>
          </w:tcPr>
          <w:p w14:paraId="6B8A06C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933FAAF">
            <w:pPr>
              <w:widowControl/>
              <w:spacing w:line="240" w:lineRule="auto"/>
              <w:ind w:firstLine="0" w:firstLineChars="0"/>
              <w:jc w:val="center"/>
              <w:rPr>
                <w:color w:val="auto"/>
                <w:sz w:val="21"/>
                <w:szCs w:val="21"/>
              </w:rPr>
            </w:pPr>
            <w:r>
              <w:rPr>
                <w:rFonts w:hint="eastAsia"/>
                <w:color w:val="auto"/>
                <w:sz w:val="21"/>
                <w:szCs w:val="21"/>
              </w:rPr>
              <w:t>3.40E-05</w:t>
            </w:r>
          </w:p>
        </w:tc>
        <w:tc>
          <w:tcPr>
            <w:tcW w:w="170" w:type="pct"/>
          </w:tcPr>
          <w:p w14:paraId="4A24CA2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06B9442">
            <w:pPr>
              <w:widowControl/>
              <w:spacing w:line="240" w:lineRule="auto"/>
              <w:ind w:firstLine="0" w:firstLineChars="0"/>
              <w:jc w:val="center"/>
              <w:rPr>
                <w:color w:val="auto"/>
                <w:kern w:val="0"/>
                <w:sz w:val="21"/>
                <w:szCs w:val="21"/>
              </w:rPr>
            </w:pPr>
            <w:r>
              <w:rPr>
                <w:rFonts w:hint="eastAsia"/>
                <w:color w:val="auto"/>
                <w:sz w:val="21"/>
                <w:szCs w:val="21"/>
              </w:rPr>
              <w:t>3.11E-04</w:t>
            </w:r>
          </w:p>
        </w:tc>
        <w:tc>
          <w:tcPr>
            <w:tcW w:w="172" w:type="pct"/>
            <w:shd w:val="clear" w:color="auto" w:fill="auto"/>
          </w:tcPr>
          <w:p w14:paraId="3A235EE6">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79FC7CDD">
            <w:pPr>
              <w:widowControl/>
              <w:spacing w:line="240" w:lineRule="auto"/>
              <w:ind w:firstLine="0" w:firstLineChars="0"/>
              <w:jc w:val="center"/>
              <w:rPr>
                <w:color w:val="auto"/>
                <w:kern w:val="0"/>
                <w:sz w:val="21"/>
                <w:szCs w:val="21"/>
              </w:rPr>
            </w:pPr>
            <w:r>
              <w:rPr>
                <w:rFonts w:hint="eastAsia"/>
                <w:color w:val="auto"/>
                <w:sz w:val="21"/>
                <w:szCs w:val="21"/>
              </w:rPr>
              <w:t>7.92E-05</w:t>
            </w:r>
          </w:p>
        </w:tc>
        <w:tc>
          <w:tcPr>
            <w:tcW w:w="212" w:type="pct"/>
            <w:shd w:val="clear" w:color="auto" w:fill="auto"/>
          </w:tcPr>
          <w:p w14:paraId="664F1162">
            <w:pPr>
              <w:widowControl/>
              <w:spacing w:line="240" w:lineRule="auto"/>
              <w:ind w:firstLine="0" w:firstLineChars="0"/>
              <w:jc w:val="center"/>
              <w:rPr>
                <w:color w:val="auto"/>
                <w:kern w:val="0"/>
                <w:sz w:val="21"/>
                <w:szCs w:val="21"/>
              </w:rPr>
            </w:pPr>
            <w:r>
              <w:rPr>
                <w:rFonts w:hint="eastAsia"/>
                <w:color w:val="auto"/>
                <w:sz w:val="21"/>
                <w:szCs w:val="21"/>
              </w:rPr>
              <w:t>0.01</w:t>
            </w:r>
          </w:p>
        </w:tc>
      </w:tr>
      <w:tr w14:paraId="4B610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279A0A5">
            <w:pPr>
              <w:widowControl/>
              <w:spacing w:line="240" w:lineRule="auto"/>
              <w:ind w:firstLine="0" w:firstLineChars="0"/>
              <w:jc w:val="center"/>
              <w:rPr>
                <w:color w:val="auto"/>
                <w:kern w:val="0"/>
                <w:sz w:val="21"/>
                <w:szCs w:val="21"/>
              </w:rPr>
            </w:pPr>
            <w:r>
              <w:rPr>
                <w:color w:val="auto"/>
                <w:sz w:val="21"/>
                <w:szCs w:val="21"/>
              </w:rPr>
              <w:t>1525</w:t>
            </w:r>
          </w:p>
        </w:tc>
        <w:tc>
          <w:tcPr>
            <w:tcW w:w="420" w:type="pct"/>
            <w:shd w:val="clear" w:color="auto" w:fill="auto"/>
            <w:noWrap/>
          </w:tcPr>
          <w:p w14:paraId="3F14C41E">
            <w:pPr>
              <w:widowControl/>
              <w:spacing w:line="240" w:lineRule="auto"/>
              <w:ind w:firstLine="0" w:firstLineChars="0"/>
              <w:jc w:val="center"/>
              <w:rPr>
                <w:color w:val="auto"/>
                <w:kern w:val="0"/>
                <w:sz w:val="21"/>
                <w:szCs w:val="21"/>
              </w:rPr>
            </w:pPr>
            <w:r>
              <w:rPr>
                <w:rFonts w:hint="eastAsia"/>
                <w:color w:val="auto"/>
                <w:sz w:val="21"/>
                <w:szCs w:val="21"/>
              </w:rPr>
              <w:t>7.09E-05</w:t>
            </w:r>
          </w:p>
        </w:tc>
        <w:tc>
          <w:tcPr>
            <w:tcW w:w="292" w:type="pct"/>
            <w:shd w:val="clear" w:color="auto" w:fill="auto"/>
            <w:noWrap/>
          </w:tcPr>
          <w:p w14:paraId="1AB48C24">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B71015F">
            <w:pPr>
              <w:widowControl/>
              <w:spacing w:line="240" w:lineRule="auto"/>
              <w:ind w:firstLine="0" w:firstLineChars="0"/>
              <w:jc w:val="center"/>
              <w:rPr>
                <w:color w:val="auto"/>
                <w:kern w:val="0"/>
                <w:sz w:val="21"/>
                <w:szCs w:val="21"/>
              </w:rPr>
            </w:pPr>
            <w:r>
              <w:rPr>
                <w:rFonts w:hint="eastAsia"/>
                <w:color w:val="auto"/>
                <w:sz w:val="21"/>
                <w:szCs w:val="21"/>
              </w:rPr>
              <w:t>4.99E-05</w:t>
            </w:r>
          </w:p>
        </w:tc>
        <w:tc>
          <w:tcPr>
            <w:tcW w:w="376" w:type="pct"/>
            <w:shd w:val="clear" w:color="auto" w:fill="auto"/>
          </w:tcPr>
          <w:p w14:paraId="594E4724">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B0C21AC">
            <w:pPr>
              <w:widowControl/>
              <w:spacing w:line="240" w:lineRule="auto"/>
              <w:ind w:firstLine="0" w:firstLineChars="0"/>
              <w:jc w:val="center"/>
              <w:rPr>
                <w:color w:val="auto"/>
                <w:kern w:val="0"/>
                <w:sz w:val="21"/>
                <w:szCs w:val="21"/>
              </w:rPr>
            </w:pPr>
            <w:r>
              <w:rPr>
                <w:rFonts w:hint="eastAsia"/>
                <w:color w:val="auto"/>
                <w:sz w:val="21"/>
                <w:szCs w:val="21"/>
              </w:rPr>
              <w:t>4.57E-04</w:t>
            </w:r>
          </w:p>
        </w:tc>
        <w:tc>
          <w:tcPr>
            <w:tcW w:w="239" w:type="pct"/>
            <w:shd w:val="clear" w:color="auto" w:fill="auto"/>
          </w:tcPr>
          <w:p w14:paraId="0B74850D">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020F4BB">
            <w:pPr>
              <w:widowControl/>
              <w:spacing w:line="240" w:lineRule="auto"/>
              <w:ind w:firstLine="0" w:firstLineChars="0"/>
              <w:jc w:val="center"/>
              <w:rPr>
                <w:color w:val="auto"/>
                <w:kern w:val="0"/>
                <w:sz w:val="21"/>
                <w:szCs w:val="21"/>
              </w:rPr>
            </w:pPr>
            <w:r>
              <w:rPr>
                <w:rFonts w:hint="eastAsia"/>
                <w:color w:val="auto"/>
                <w:sz w:val="21"/>
                <w:szCs w:val="21"/>
              </w:rPr>
              <w:t>4.72E-05</w:t>
            </w:r>
          </w:p>
        </w:tc>
        <w:tc>
          <w:tcPr>
            <w:tcW w:w="206" w:type="pct"/>
            <w:shd w:val="clear" w:color="auto" w:fill="auto"/>
          </w:tcPr>
          <w:p w14:paraId="5B595577">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D30A487">
            <w:pPr>
              <w:widowControl/>
              <w:spacing w:line="240" w:lineRule="auto"/>
              <w:ind w:firstLine="0" w:firstLineChars="0"/>
              <w:jc w:val="center"/>
              <w:rPr>
                <w:color w:val="auto"/>
                <w:sz w:val="21"/>
                <w:szCs w:val="21"/>
              </w:rPr>
            </w:pPr>
            <w:r>
              <w:rPr>
                <w:rFonts w:hint="eastAsia"/>
                <w:color w:val="auto"/>
                <w:sz w:val="21"/>
                <w:szCs w:val="21"/>
              </w:rPr>
              <w:t>3.41E-05</w:t>
            </w:r>
          </w:p>
        </w:tc>
        <w:tc>
          <w:tcPr>
            <w:tcW w:w="170" w:type="pct"/>
          </w:tcPr>
          <w:p w14:paraId="1E2490E8">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BD7E128">
            <w:pPr>
              <w:widowControl/>
              <w:spacing w:line="240" w:lineRule="auto"/>
              <w:ind w:firstLine="0" w:firstLineChars="0"/>
              <w:jc w:val="center"/>
              <w:rPr>
                <w:color w:val="auto"/>
                <w:kern w:val="0"/>
                <w:sz w:val="21"/>
                <w:szCs w:val="21"/>
              </w:rPr>
            </w:pPr>
            <w:r>
              <w:rPr>
                <w:rFonts w:hint="eastAsia"/>
                <w:color w:val="auto"/>
                <w:sz w:val="21"/>
                <w:szCs w:val="21"/>
              </w:rPr>
              <w:t>3.12E-04</w:t>
            </w:r>
          </w:p>
        </w:tc>
        <w:tc>
          <w:tcPr>
            <w:tcW w:w="172" w:type="pct"/>
            <w:shd w:val="clear" w:color="auto" w:fill="auto"/>
          </w:tcPr>
          <w:p w14:paraId="23E5A34F">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3BB6D734">
            <w:pPr>
              <w:widowControl/>
              <w:spacing w:line="240" w:lineRule="auto"/>
              <w:ind w:firstLine="0" w:firstLineChars="0"/>
              <w:jc w:val="center"/>
              <w:rPr>
                <w:color w:val="auto"/>
                <w:kern w:val="0"/>
                <w:sz w:val="21"/>
                <w:szCs w:val="21"/>
              </w:rPr>
            </w:pPr>
            <w:r>
              <w:rPr>
                <w:rFonts w:hint="eastAsia"/>
                <w:color w:val="auto"/>
                <w:sz w:val="21"/>
                <w:szCs w:val="21"/>
              </w:rPr>
              <w:t>7.95E-05</w:t>
            </w:r>
          </w:p>
        </w:tc>
        <w:tc>
          <w:tcPr>
            <w:tcW w:w="212" w:type="pct"/>
            <w:shd w:val="clear" w:color="auto" w:fill="auto"/>
          </w:tcPr>
          <w:p w14:paraId="706AC6FF">
            <w:pPr>
              <w:widowControl/>
              <w:spacing w:line="240" w:lineRule="auto"/>
              <w:ind w:firstLine="0" w:firstLineChars="0"/>
              <w:jc w:val="center"/>
              <w:rPr>
                <w:color w:val="auto"/>
                <w:kern w:val="0"/>
                <w:sz w:val="21"/>
                <w:szCs w:val="21"/>
              </w:rPr>
            </w:pPr>
            <w:r>
              <w:rPr>
                <w:rFonts w:hint="eastAsia"/>
                <w:color w:val="auto"/>
                <w:sz w:val="21"/>
                <w:szCs w:val="21"/>
              </w:rPr>
              <w:t>0.01</w:t>
            </w:r>
          </w:p>
        </w:tc>
      </w:tr>
      <w:tr w14:paraId="05DCC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565452A">
            <w:pPr>
              <w:widowControl/>
              <w:spacing w:line="240" w:lineRule="auto"/>
              <w:ind w:firstLine="0" w:firstLineChars="0"/>
              <w:jc w:val="center"/>
              <w:rPr>
                <w:color w:val="auto"/>
                <w:kern w:val="0"/>
                <w:sz w:val="21"/>
                <w:szCs w:val="21"/>
              </w:rPr>
            </w:pPr>
            <w:r>
              <w:rPr>
                <w:color w:val="auto"/>
                <w:sz w:val="21"/>
                <w:szCs w:val="21"/>
              </w:rPr>
              <w:t>1550</w:t>
            </w:r>
          </w:p>
        </w:tc>
        <w:tc>
          <w:tcPr>
            <w:tcW w:w="420" w:type="pct"/>
            <w:shd w:val="clear" w:color="auto" w:fill="auto"/>
            <w:noWrap/>
          </w:tcPr>
          <w:p w14:paraId="791B55CA">
            <w:pPr>
              <w:widowControl/>
              <w:spacing w:line="240" w:lineRule="auto"/>
              <w:ind w:firstLine="0" w:firstLineChars="0"/>
              <w:jc w:val="center"/>
              <w:rPr>
                <w:color w:val="auto"/>
                <w:kern w:val="0"/>
                <w:sz w:val="21"/>
                <w:szCs w:val="21"/>
              </w:rPr>
            </w:pPr>
            <w:r>
              <w:rPr>
                <w:rFonts w:hint="eastAsia"/>
                <w:color w:val="auto"/>
                <w:sz w:val="21"/>
                <w:szCs w:val="21"/>
              </w:rPr>
              <w:t>7.10E-05</w:t>
            </w:r>
          </w:p>
        </w:tc>
        <w:tc>
          <w:tcPr>
            <w:tcW w:w="292" w:type="pct"/>
            <w:shd w:val="clear" w:color="auto" w:fill="auto"/>
            <w:noWrap/>
          </w:tcPr>
          <w:p w14:paraId="28B7180D">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3227355">
            <w:pPr>
              <w:widowControl/>
              <w:spacing w:line="240" w:lineRule="auto"/>
              <w:ind w:firstLine="0" w:firstLineChars="0"/>
              <w:jc w:val="center"/>
              <w:rPr>
                <w:color w:val="auto"/>
                <w:kern w:val="0"/>
                <w:sz w:val="21"/>
                <w:szCs w:val="21"/>
              </w:rPr>
            </w:pPr>
            <w:r>
              <w:rPr>
                <w:rFonts w:hint="eastAsia"/>
                <w:color w:val="auto"/>
                <w:sz w:val="21"/>
                <w:szCs w:val="21"/>
              </w:rPr>
              <w:t>5.00E-05</w:t>
            </w:r>
          </w:p>
        </w:tc>
        <w:tc>
          <w:tcPr>
            <w:tcW w:w="376" w:type="pct"/>
            <w:shd w:val="clear" w:color="auto" w:fill="auto"/>
          </w:tcPr>
          <w:p w14:paraId="2BAF37BB">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BF9CF15">
            <w:pPr>
              <w:widowControl/>
              <w:spacing w:line="240" w:lineRule="auto"/>
              <w:ind w:firstLine="0" w:firstLineChars="0"/>
              <w:jc w:val="center"/>
              <w:rPr>
                <w:color w:val="auto"/>
                <w:kern w:val="0"/>
                <w:sz w:val="21"/>
                <w:szCs w:val="21"/>
              </w:rPr>
            </w:pPr>
            <w:r>
              <w:rPr>
                <w:rFonts w:hint="eastAsia"/>
                <w:color w:val="auto"/>
                <w:sz w:val="21"/>
                <w:szCs w:val="21"/>
              </w:rPr>
              <w:t>4.58E-04</w:t>
            </w:r>
          </w:p>
        </w:tc>
        <w:tc>
          <w:tcPr>
            <w:tcW w:w="239" w:type="pct"/>
            <w:shd w:val="clear" w:color="auto" w:fill="auto"/>
          </w:tcPr>
          <w:p w14:paraId="398A43C7">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0856F98B">
            <w:pPr>
              <w:widowControl/>
              <w:spacing w:line="240" w:lineRule="auto"/>
              <w:ind w:firstLine="0" w:firstLineChars="0"/>
              <w:jc w:val="center"/>
              <w:rPr>
                <w:color w:val="auto"/>
                <w:kern w:val="0"/>
                <w:sz w:val="21"/>
                <w:szCs w:val="21"/>
              </w:rPr>
            </w:pPr>
            <w:r>
              <w:rPr>
                <w:rFonts w:hint="eastAsia"/>
                <w:color w:val="auto"/>
                <w:sz w:val="21"/>
                <w:szCs w:val="21"/>
              </w:rPr>
              <w:t>4.73E-05</w:t>
            </w:r>
          </w:p>
        </w:tc>
        <w:tc>
          <w:tcPr>
            <w:tcW w:w="206" w:type="pct"/>
            <w:shd w:val="clear" w:color="auto" w:fill="auto"/>
          </w:tcPr>
          <w:p w14:paraId="0BB01195">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7C9F2A90">
            <w:pPr>
              <w:widowControl/>
              <w:spacing w:line="240" w:lineRule="auto"/>
              <w:ind w:firstLine="0" w:firstLineChars="0"/>
              <w:jc w:val="center"/>
              <w:rPr>
                <w:color w:val="auto"/>
                <w:sz w:val="21"/>
                <w:szCs w:val="21"/>
              </w:rPr>
            </w:pPr>
            <w:r>
              <w:rPr>
                <w:rFonts w:hint="eastAsia"/>
                <w:color w:val="auto"/>
                <w:sz w:val="21"/>
                <w:szCs w:val="21"/>
              </w:rPr>
              <w:t>3.42E-05</w:t>
            </w:r>
          </w:p>
        </w:tc>
        <w:tc>
          <w:tcPr>
            <w:tcW w:w="170" w:type="pct"/>
          </w:tcPr>
          <w:p w14:paraId="0130C15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674DC39">
            <w:pPr>
              <w:widowControl/>
              <w:spacing w:line="240" w:lineRule="auto"/>
              <w:ind w:firstLine="0" w:firstLineChars="0"/>
              <w:jc w:val="center"/>
              <w:rPr>
                <w:color w:val="auto"/>
                <w:kern w:val="0"/>
                <w:sz w:val="21"/>
                <w:szCs w:val="21"/>
              </w:rPr>
            </w:pPr>
            <w:r>
              <w:rPr>
                <w:rFonts w:hint="eastAsia"/>
                <w:color w:val="auto"/>
                <w:sz w:val="21"/>
                <w:szCs w:val="21"/>
              </w:rPr>
              <w:t>3.13E-04</w:t>
            </w:r>
          </w:p>
        </w:tc>
        <w:tc>
          <w:tcPr>
            <w:tcW w:w="172" w:type="pct"/>
            <w:shd w:val="clear" w:color="auto" w:fill="auto"/>
          </w:tcPr>
          <w:p w14:paraId="0C315F76">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D27EE42">
            <w:pPr>
              <w:widowControl/>
              <w:spacing w:line="240" w:lineRule="auto"/>
              <w:ind w:firstLine="0" w:firstLineChars="0"/>
              <w:jc w:val="center"/>
              <w:rPr>
                <w:color w:val="auto"/>
                <w:kern w:val="0"/>
                <w:sz w:val="21"/>
                <w:szCs w:val="21"/>
              </w:rPr>
            </w:pPr>
            <w:r>
              <w:rPr>
                <w:rFonts w:hint="eastAsia"/>
                <w:color w:val="auto"/>
                <w:sz w:val="21"/>
                <w:szCs w:val="21"/>
              </w:rPr>
              <w:t>7.96E-05</w:t>
            </w:r>
          </w:p>
        </w:tc>
        <w:tc>
          <w:tcPr>
            <w:tcW w:w="212" w:type="pct"/>
            <w:shd w:val="clear" w:color="auto" w:fill="auto"/>
          </w:tcPr>
          <w:p w14:paraId="5FEC4340">
            <w:pPr>
              <w:widowControl/>
              <w:spacing w:line="240" w:lineRule="auto"/>
              <w:ind w:firstLine="0" w:firstLineChars="0"/>
              <w:jc w:val="center"/>
              <w:rPr>
                <w:color w:val="auto"/>
                <w:kern w:val="0"/>
                <w:sz w:val="21"/>
                <w:szCs w:val="21"/>
              </w:rPr>
            </w:pPr>
            <w:r>
              <w:rPr>
                <w:rFonts w:hint="eastAsia"/>
                <w:color w:val="auto"/>
                <w:sz w:val="21"/>
                <w:szCs w:val="21"/>
              </w:rPr>
              <w:t>0.01</w:t>
            </w:r>
          </w:p>
        </w:tc>
      </w:tr>
      <w:tr w14:paraId="5F245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322BE74">
            <w:pPr>
              <w:widowControl/>
              <w:spacing w:line="240" w:lineRule="auto"/>
              <w:ind w:firstLine="0" w:firstLineChars="0"/>
              <w:jc w:val="center"/>
              <w:rPr>
                <w:color w:val="auto"/>
                <w:kern w:val="0"/>
                <w:sz w:val="21"/>
                <w:szCs w:val="21"/>
              </w:rPr>
            </w:pPr>
            <w:r>
              <w:rPr>
                <w:color w:val="auto"/>
                <w:sz w:val="21"/>
                <w:szCs w:val="21"/>
              </w:rPr>
              <w:t>1575</w:t>
            </w:r>
          </w:p>
        </w:tc>
        <w:tc>
          <w:tcPr>
            <w:tcW w:w="420" w:type="pct"/>
            <w:shd w:val="clear" w:color="auto" w:fill="auto"/>
            <w:noWrap/>
          </w:tcPr>
          <w:p w14:paraId="66F11073">
            <w:pPr>
              <w:widowControl/>
              <w:spacing w:line="240" w:lineRule="auto"/>
              <w:ind w:firstLine="0" w:firstLineChars="0"/>
              <w:jc w:val="center"/>
              <w:rPr>
                <w:color w:val="auto"/>
                <w:kern w:val="0"/>
                <w:sz w:val="21"/>
                <w:szCs w:val="21"/>
              </w:rPr>
            </w:pPr>
            <w:r>
              <w:rPr>
                <w:rFonts w:hint="eastAsia"/>
                <w:color w:val="auto"/>
                <w:sz w:val="21"/>
                <w:szCs w:val="21"/>
              </w:rPr>
              <w:t>7.11E-05</w:t>
            </w:r>
          </w:p>
        </w:tc>
        <w:tc>
          <w:tcPr>
            <w:tcW w:w="292" w:type="pct"/>
            <w:shd w:val="clear" w:color="auto" w:fill="auto"/>
            <w:noWrap/>
          </w:tcPr>
          <w:p w14:paraId="49110158">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C6D5739">
            <w:pPr>
              <w:widowControl/>
              <w:spacing w:line="240" w:lineRule="auto"/>
              <w:ind w:firstLine="0" w:firstLineChars="0"/>
              <w:jc w:val="center"/>
              <w:rPr>
                <w:color w:val="auto"/>
                <w:kern w:val="0"/>
                <w:sz w:val="21"/>
                <w:szCs w:val="21"/>
              </w:rPr>
            </w:pPr>
            <w:r>
              <w:rPr>
                <w:rFonts w:hint="eastAsia"/>
                <w:color w:val="auto"/>
                <w:sz w:val="21"/>
                <w:szCs w:val="21"/>
              </w:rPr>
              <w:t>5.01E-05</w:t>
            </w:r>
          </w:p>
        </w:tc>
        <w:tc>
          <w:tcPr>
            <w:tcW w:w="376" w:type="pct"/>
            <w:shd w:val="clear" w:color="auto" w:fill="auto"/>
          </w:tcPr>
          <w:p w14:paraId="79B7FFC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2DC0F25">
            <w:pPr>
              <w:widowControl/>
              <w:spacing w:line="240" w:lineRule="auto"/>
              <w:ind w:firstLine="0" w:firstLineChars="0"/>
              <w:jc w:val="center"/>
              <w:rPr>
                <w:color w:val="auto"/>
                <w:kern w:val="0"/>
                <w:sz w:val="21"/>
                <w:szCs w:val="21"/>
              </w:rPr>
            </w:pPr>
            <w:r>
              <w:rPr>
                <w:rFonts w:hint="eastAsia"/>
                <w:color w:val="auto"/>
                <w:sz w:val="21"/>
                <w:szCs w:val="21"/>
              </w:rPr>
              <w:t>4.58E-04</w:t>
            </w:r>
          </w:p>
        </w:tc>
        <w:tc>
          <w:tcPr>
            <w:tcW w:w="239" w:type="pct"/>
            <w:shd w:val="clear" w:color="auto" w:fill="auto"/>
          </w:tcPr>
          <w:p w14:paraId="6F3DCB8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30B669D1">
            <w:pPr>
              <w:widowControl/>
              <w:spacing w:line="240" w:lineRule="auto"/>
              <w:ind w:firstLine="0" w:firstLineChars="0"/>
              <w:jc w:val="center"/>
              <w:rPr>
                <w:color w:val="auto"/>
                <w:kern w:val="0"/>
                <w:sz w:val="21"/>
                <w:szCs w:val="21"/>
              </w:rPr>
            </w:pPr>
            <w:r>
              <w:rPr>
                <w:rFonts w:hint="eastAsia"/>
                <w:color w:val="auto"/>
                <w:sz w:val="21"/>
                <w:szCs w:val="21"/>
              </w:rPr>
              <w:t>4.74E-05</w:t>
            </w:r>
          </w:p>
        </w:tc>
        <w:tc>
          <w:tcPr>
            <w:tcW w:w="206" w:type="pct"/>
            <w:shd w:val="clear" w:color="auto" w:fill="auto"/>
          </w:tcPr>
          <w:p w14:paraId="610633F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6057289">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5A07D4C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979A190">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4A380D05">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63584E75">
            <w:pPr>
              <w:widowControl/>
              <w:spacing w:line="240" w:lineRule="auto"/>
              <w:ind w:firstLine="0" w:firstLineChars="0"/>
              <w:jc w:val="center"/>
              <w:rPr>
                <w:color w:val="auto"/>
                <w:kern w:val="0"/>
                <w:sz w:val="21"/>
                <w:szCs w:val="21"/>
              </w:rPr>
            </w:pPr>
            <w:r>
              <w:rPr>
                <w:rFonts w:hint="eastAsia"/>
                <w:color w:val="auto"/>
                <w:sz w:val="21"/>
                <w:szCs w:val="21"/>
              </w:rPr>
              <w:t>7.98E-05</w:t>
            </w:r>
          </w:p>
        </w:tc>
        <w:tc>
          <w:tcPr>
            <w:tcW w:w="212" w:type="pct"/>
            <w:shd w:val="clear" w:color="auto" w:fill="auto"/>
          </w:tcPr>
          <w:p w14:paraId="4DC6CFF2">
            <w:pPr>
              <w:widowControl/>
              <w:spacing w:line="240" w:lineRule="auto"/>
              <w:ind w:firstLine="0" w:firstLineChars="0"/>
              <w:jc w:val="center"/>
              <w:rPr>
                <w:color w:val="auto"/>
                <w:kern w:val="0"/>
                <w:sz w:val="21"/>
                <w:szCs w:val="21"/>
              </w:rPr>
            </w:pPr>
            <w:r>
              <w:rPr>
                <w:rFonts w:hint="eastAsia"/>
                <w:color w:val="auto"/>
                <w:sz w:val="21"/>
                <w:szCs w:val="21"/>
              </w:rPr>
              <w:t>0.01</w:t>
            </w:r>
          </w:p>
        </w:tc>
      </w:tr>
      <w:tr w14:paraId="266F3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F408D88">
            <w:pPr>
              <w:widowControl/>
              <w:spacing w:line="240" w:lineRule="auto"/>
              <w:ind w:firstLine="0" w:firstLineChars="0"/>
              <w:jc w:val="center"/>
              <w:rPr>
                <w:color w:val="auto"/>
                <w:kern w:val="0"/>
                <w:sz w:val="21"/>
                <w:szCs w:val="21"/>
              </w:rPr>
            </w:pPr>
            <w:r>
              <w:rPr>
                <w:color w:val="auto"/>
                <w:sz w:val="21"/>
                <w:szCs w:val="21"/>
              </w:rPr>
              <w:t>1600</w:t>
            </w:r>
          </w:p>
        </w:tc>
        <w:tc>
          <w:tcPr>
            <w:tcW w:w="420" w:type="pct"/>
            <w:shd w:val="clear" w:color="auto" w:fill="auto"/>
            <w:noWrap/>
          </w:tcPr>
          <w:p w14:paraId="3A824531">
            <w:pPr>
              <w:widowControl/>
              <w:spacing w:line="240" w:lineRule="auto"/>
              <w:ind w:firstLine="0" w:firstLineChars="0"/>
              <w:jc w:val="center"/>
              <w:rPr>
                <w:color w:val="auto"/>
                <w:kern w:val="0"/>
                <w:sz w:val="21"/>
                <w:szCs w:val="21"/>
              </w:rPr>
            </w:pPr>
            <w:r>
              <w:rPr>
                <w:rFonts w:hint="eastAsia"/>
                <w:color w:val="auto"/>
                <w:sz w:val="21"/>
                <w:szCs w:val="21"/>
              </w:rPr>
              <w:t>7.12E-05</w:t>
            </w:r>
          </w:p>
        </w:tc>
        <w:tc>
          <w:tcPr>
            <w:tcW w:w="292" w:type="pct"/>
            <w:shd w:val="clear" w:color="auto" w:fill="auto"/>
            <w:noWrap/>
          </w:tcPr>
          <w:p w14:paraId="32A537C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7599202">
            <w:pPr>
              <w:widowControl/>
              <w:spacing w:line="240" w:lineRule="auto"/>
              <w:ind w:firstLine="0" w:firstLineChars="0"/>
              <w:jc w:val="center"/>
              <w:rPr>
                <w:color w:val="auto"/>
                <w:kern w:val="0"/>
                <w:sz w:val="21"/>
                <w:szCs w:val="21"/>
              </w:rPr>
            </w:pPr>
            <w:r>
              <w:rPr>
                <w:rFonts w:hint="eastAsia"/>
                <w:color w:val="auto"/>
                <w:sz w:val="21"/>
                <w:szCs w:val="21"/>
              </w:rPr>
              <w:t>5.01E-05</w:t>
            </w:r>
          </w:p>
        </w:tc>
        <w:tc>
          <w:tcPr>
            <w:tcW w:w="376" w:type="pct"/>
            <w:shd w:val="clear" w:color="auto" w:fill="auto"/>
          </w:tcPr>
          <w:p w14:paraId="1242F97F">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E6A3B67">
            <w:pPr>
              <w:widowControl/>
              <w:spacing w:line="240" w:lineRule="auto"/>
              <w:ind w:firstLine="0" w:firstLineChars="0"/>
              <w:jc w:val="center"/>
              <w:rPr>
                <w:color w:val="auto"/>
                <w:kern w:val="0"/>
                <w:sz w:val="21"/>
                <w:szCs w:val="21"/>
              </w:rPr>
            </w:pPr>
            <w:r>
              <w:rPr>
                <w:rFonts w:hint="eastAsia"/>
                <w:color w:val="auto"/>
                <w:sz w:val="21"/>
                <w:szCs w:val="21"/>
              </w:rPr>
              <w:t>4.59E-04</w:t>
            </w:r>
          </w:p>
        </w:tc>
        <w:tc>
          <w:tcPr>
            <w:tcW w:w="239" w:type="pct"/>
            <w:shd w:val="clear" w:color="auto" w:fill="auto"/>
          </w:tcPr>
          <w:p w14:paraId="3C75B616">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0AD73167">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7C8EF3D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32E4F03">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7299E4F4">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4F14DB1">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083E4C42">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590021FE">
            <w:pPr>
              <w:widowControl/>
              <w:spacing w:line="240" w:lineRule="auto"/>
              <w:ind w:firstLine="0" w:firstLineChars="0"/>
              <w:jc w:val="center"/>
              <w:rPr>
                <w:color w:val="auto"/>
                <w:kern w:val="0"/>
                <w:sz w:val="21"/>
                <w:szCs w:val="21"/>
              </w:rPr>
            </w:pPr>
            <w:r>
              <w:rPr>
                <w:rFonts w:hint="eastAsia"/>
                <w:color w:val="auto"/>
                <w:sz w:val="21"/>
                <w:szCs w:val="21"/>
              </w:rPr>
              <w:t>7.99E-05</w:t>
            </w:r>
          </w:p>
        </w:tc>
        <w:tc>
          <w:tcPr>
            <w:tcW w:w="212" w:type="pct"/>
            <w:shd w:val="clear" w:color="auto" w:fill="auto"/>
          </w:tcPr>
          <w:p w14:paraId="7524F8F1">
            <w:pPr>
              <w:widowControl/>
              <w:spacing w:line="240" w:lineRule="auto"/>
              <w:ind w:firstLine="0" w:firstLineChars="0"/>
              <w:jc w:val="center"/>
              <w:rPr>
                <w:color w:val="auto"/>
                <w:kern w:val="0"/>
                <w:sz w:val="21"/>
                <w:szCs w:val="21"/>
              </w:rPr>
            </w:pPr>
            <w:r>
              <w:rPr>
                <w:rFonts w:hint="eastAsia"/>
                <w:color w:val="auto"/>
                <w:sz w:val="21"/>
                <w:szCs w:val="21"/>
              </w:rPr>
              <w:t>0.01</w:t>
            </w:r>
          </w:p>
        </w:tc>
      </w:tr>
      <w:tr w14:paraId="4B1AE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387DDA0">
            <w:pPr>
              <w:widowControl/>
              <w:spacing w:line="240" w:lineRule="auto"/>
              <w:ind w:firstLine="0" w:firstLineChars="0"/>
              <w:jc w:val="center"/>
              <w:rPr>
                <w:color w:val="auto"/>
                <w:kern w:val="0"/>
                <w:sz w:val="21"/>
                <w:szCs w:val="21"/>
              </w:rPr>
            </w:pPr>
            <w:r>
              <w:rPr>
                <w:color w:val="auto"/>
                <w:sz w:val="21"/>
                <w:szCs w:val="21"/>
              </w:rPr>
              <w:t>1625</w:t>
            </w:r>
          </w:p>
        </w:tc>
        <w:tc>
          <w:tcPr>
            <w:tcW w:w="420" w:type="pct"/>
            <w:shd w:val="clear" w:color="auto" w:fill="auto"/>
            <w:noWrap/>
          </w:tcPr>
          <w:p w14:paraId="5E4DF76C">
            <w:pPr>
              <w:widowControl/>
              <w:spacing w:line="240" w:lineRule="auto"/>
              <w:ind w:firstLine="0" w:firstLineChars="0"/>
              <w:jc w:val="center"/>
              <w:rPr>
                <w:color w:val="auto"/>
                <w:kern w:val="0"/>
                <w:sz w:val="21"/>
                <w:szCs w:val="21"/>
              </w:rPr>
            </w:pPr>
            <w:r>
              <w:rPr>
                <w:rFonts w:hint="eastAsia"/>
                <w:color w:val="auto"/>
                <w:sz w:val="21"/>
                <w:szCs w:val="21"/>
              </w:rPr>
              <w:t>7.13E-05</w:t>
            </w:r>
          </w:p>
        </w:tc>
        <w:tc>
          <w:tcPr>
            <w:tcW w:w="292" w:type="pct"/>
            <w:shd w:val="clear" w:color="auto" w:fill="auto"/>
            <w:noWrap/>
          </w:tcPr>
          <w:p w14:paraId="7019E231">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C076A96">
            <w:pPr>
              <w:widowControl/>
              <w:spacing w:line="240" w:lineRule="auto"/>
              <w:ind w:firstLine="0" w:firstLineChars="0"/>
              <w:jc w:val="center"/>
              <w:rPr>
                <w:color w:val="auto"/>
                <w:kern w:val="0"/>
                <w:sz w:val="21"/>
                <w:szCs w:val="21"/>
              </w:rPr>
            </w:pPr>
            <w:r>
              <w:rPr>
                <w:rFonts w:hint="eastAsia"/>
                <w:color w:val="auto"/>
                <w:sz w:val="21"/>
                <w:szCs w:val="21"/>
              </w:rPr>
              <w:t>5.02E-05</w:t>
            </w:r>
          </w:p>
        </w:tc>
        <w:tc>
          <w:tcPr>
            <w:tcW w:w="376" w:type="pct"/>
            <w:shd w:val="clear" w:color="auto" w:fill="auto"/>
          </w:tcPr>
          <w:p w14:paraId="3390CED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55BD97B">
            <w:pPr>
              <w:widowControl/>
              <w:spacing w:line="240" w:lineRule="auto"/>
              <w:ind w:firstLine="0" w:firstLineChars="0"/>
              <w:jc w:val="center"/>
              <w:rPr>
                <w:color w:val="auto"/>
                <w:kern w:val="0"/>
                <w:sz w:val="21"/>
                <w:szCs w:val="21"/>
              </w:rPr>
            </w:pPr>
            <w:r>
              <w:rPr>
                <w:rFonts w:hint="eastAsia"/>
                <w:color w:val="auto"/>
                <w:sz w:val="21"/>
                <w:szCs w:val="21"/>
              </w:rPr>
              <w:t>4.59E-04</w:t>
            </w:r>
          </w:p>
        </w:tc>
        <w:tc>
          <w:tcPr>
            <w:tcW w:w="239" w:type="pct"/>
            <w:shd w:val="clear" w:color="auto" w:fill="auto"/>
          </w:tcPr>
          <w:p w14:paraId="3FB3398C">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59B37EFB">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561B5C31">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72ACAB0D">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652AF719">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3C567125">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5B3F63F8">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9EAFE88">
            <w:pPr>
              <w:widowControl/>
              <w:spacing w:line="240" w:lineRule="auto"/>
              <w:ind w:firstLine="0" w:firstLineChars="0"/>
              <w:jc w:val="center"/>
              <w:rPr>
                <w:color w:val="auto"/>
                <w:kern w:val="0"/>
                <w:sz w:val="21"/>
                <w:szCs w:val="21"/>
              </w:rPr>
            </w:pPr>
            <w:r>
              <w:rPr>
                <w:rFonts w:hint="eastAsia"/>
                <w:color w:val="auto"/>
                <w:sz w:val="21"/>
                <w:szCs w:val="21"/>
              </w:rPr>
              <w:t>7.99E-05</w:t>
            </w:r>
          </w:p>
        </w:tc>
        <w:tc>
          <w:tcPr>
            <w:tcW w:w="212" w:type="pct"/>
            <w:shd w:val="clear" w:color="auto" w:fill="auto"/>
          </w:tcPr>
          <w:p w14:paraId="37336E4A">
            <w:pPr>
              <w:widowControl/>
              <w:spacing w:line="240" w:lineRule="auto"/>
              <w:ind w:firstLine="0" w:firstLineChars="0"/>
              <w:jc w:val="center"/>
              <w:rPr>
                <w:color w:val="auto"/>
                <w:kern w:val="0"/>
                <w:sz w:val="21"/>
                <w:szCs w:val="21"/>
              </w:rPr>
            </w:pPr>
            <w:r>
              <w:rPr>
                <w:rFonts w:hint="eastAsia"/>
                <w:color w:val="auto"/>
                <w:sz w:val="21"/>
                <w:szCs w:val="21"/>
              </w:rPr>
              <w:t>0.01</w:t>
            </w:r>
          </w:p>
        </w:tc>
      </w:tr>
      <w:tr w14:paraId="4748E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11AE400">
            <w:pPr>
              <w:widowControl/>
              <w:spacing w:line="240" w:lineRule="auto"/>
              <w:ind w:firstLine="0" w:firstLineChars="0"/>
              <w:jc w:val="center"/>
              <w:rPr>
                <w:color w:val="auto"/>
                <w:kern w:val="0"/>
                <w:sz w:val="21"/>
                <w:szCs w:val="21"/>
              </w:rPr>
            </w:pPr>
            <w:r>
              <w:rPr>
                <w:color w:val="auto"/>
                <w:sz w:val="21"/>
                <w:szCs w:val="21"/>
              </w:rPr>
              <w:t>1650</w:t>
            </w:r>
          </w:p>
        </w:tc>
        <w:tc>
          <w:tcPr>
            <w:tcW w:w="420" w:type="pct"/>
            <w:shd w:val="clear" w:color="auto" w:fill="auto"/>
            <w:noWrap/>
          </w:tcPr>
          <w:p w14:paraId="5FA9B687">
            <w:pPr>
              <w:widowControl/>
              <w:spacing w:line="240" w:lineRule="auto"/>
              <w:ind w:firstLine="0" w:firstLineChars="0"/>
              <w:jc w:val="center"/>
              <w:rPr>
                <w:color w:val="auto"/>
                <w:kern w:val="0"/>
                <w:sz w:val="21"/>
                <w:szCs w:val="21"/>
              </w:rPr>
            </w:pPr>
            <w:r>
              <w:rPr>
                <w:rFonts w:hint="eastAsia"/>
                <w:color w:val="auto"/>
                <w:sz w:val="21"/>
                <w:szCs w:val="21"/>
              </w:rPr>
              <w:t>7.13E-05</w:t>
            </w:r>
          </w:p>
        </w:tc>
        <w:tc>
          <w:tcPr>
            <w:tcW w:w="292" w:type="pct"/>
            <w:shd w:val="clear" w:color="auto" w:fill="auto"/>
            <w:noWrap/>
          </w:tcPr>
          <w:p w14:paraId="0CCC53C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5B6C101">
            <w:pPr>
              <w:widowControl/>
              <w:spacing w:line="240" w:lineRule="auto"/>
              <w:ind w:firstLine="0" w:firstLineChars="0"/>
              <w:jc w:val="center"/>
              <w:rPr>
                <w:color w:val="auto"/>
                <w:kern w:val="0"/>
                <w:sz w:val="21"/>
                <w:szCs w:val="21"/>
              </w:rPr>
            </w:pPr>
            <w:r>
              <w:rPr>
                <w:rFonts w:hint="eastAsia"/>
                <w:color w:val="auto"/>
                <w:sz w:val="21"/>
                <w:szCs w:val="21"/>
              </w:rPr>
              <w:t>5.02E-05</w:t>
            </w:r>
          </w:p>
        </w:tc>
        <w:tc>
          <w:tcPr>
            <w:tcW w:w="376" w:type="pct"/>
            <w:shd w:val="clear" w:color="auto" w:fill="auto"/>
          </w:tcPr>
          <w:p w14:paraId="1F16F053">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E0E5307">
            <w:pPr>
              <w:widowControl/>
              <w:spacing w:line="240" w:lineRule="auto"/>
              <w:ind w:firstLine="0" w:firstLineChars="0"/>
              <w:jc w:val="center"/>
              <w:rPr>
                <w:color w:val="auto"/>
                <w:kern w:val="0"/>
                <w:sz w:val="21"/>
                <w:szCs w:val="21"/>
              </w:rPr>
            </w:pPr>
            <w:r>
              <w:rPr>
                <w:rFonts w:hint="eastAsia"/>
                <w:color w:val="auto"/>
                <w:sz w:val="21"/>
                <w:szCs w:val="21"/>
              </w:rPr>
              <w:t>4.60E-04</w:t>
            </w:r>
          </w:p>
        </w:tc>
        <w:tc>
          <w:tcPr>
            <w:tcW w:w="239" w:type="pct"/>
            <w:shd w:val="clear" w:color="auto" w:fill="auto"/>
          </w:tcPr>
          <w:p w14:paraId="16941A33">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4ABDC429">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6D1B241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545A130">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1B4585E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52DE19A">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5C34BB1E">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6DFB567F">
            <w:pPr>
              <w:widowControl/>
              <w:spacing w:line="240" w:lineRule="auto"/>
              <w:ind w:firstLine="0" w:firstLineChars="0"/>
              <w:jc w:val="center"/>
              <w:rPr>
                <w:color w:val="auto"/>
                <w:kern w:val="0"/>
                <w:sz w:val="21"/>
                <w:szCs w:val="21"/>
              </w:rPr>
            </w:pPr>
            <w:r>
              <w:rPr>
                <w:rFonts w:hint="eastAsia"/>
                <w:color w:val="auto"/>
                <w:sz w:val="21"/>
                <w:szCs w:val="21"/>
              </w:rPr>
              <w:t>8.00E-05</w:t>
            </w:r>
          </w:p>
        </w:tc>
        <w:tc>
          <w:tcPr>
            <w:tcW w:w="212" w:type="pct"/>
            <w:shd w:val="clear" w:color="auto" w:fill="auto"/>
          </w:tcPr>
          <w:p w14:paraId="5E3235DA">
            <w:pPr>
              <w:widowControl/>
              <w:spacing w:line="240" w:lineRule="auto"/>
              <w:ind w:firstLine="0" w:firstLineChars="0"/>
              <w:jc w:val="center"/>
              <w:rPr>
                <w:color w:val="auto"/>
                <w:kern w:val="0"/>
                <w:sz w:val="21"/>
                <w:szCs w:val="21"/>
              </w:rPr>
            </w:pPr>
            <w:r>
              <w:rPr>
                <w:rFonts w:hint="eastAsia"/>
                <w:color w:val="auto"/>
                <w:sz w:val="21"/>
                <w:szCs w:val="21"/>
              </w:rPr>
              <w:t>0.01</w:t>
            </w:r>
          </w:p>
        </w:tc>
      </w:tr>
      <w:tr w14:paraId="14FF8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2A4E21B">
            <w:pPr>
              <w:widowControl/>
              <w:spacing w:line="240" w:lineRule="auto"/>
              <w:ind w:firstLine="0" w:firstLineChars="0"/>
              <w:jc w:val="center"/>
              <w:rPr>
                <w:color w:val="auto"/>
                <w:kern w:val="0"/>
                <w:sz w:val="21"/>
                <w:szCs w:val="21"/>
              </w:rPr>
            </w:pPr>
            <w:r>
              <w:rPr>
                <w:color w:val="auto"/>
                <w:sz w:val="21"/>
                <w:szCs w:val="21"/>
              </w:rPr>
              <w:t>1675</w:t>
            </w:r>
          </w:p>
        </w:tc>
        <w:tc>
          <w:tcPr>
            <w:tcW w:w="420" w:type="pct"/>
            <w:shd w:val="clear" w:color="auto" w:fill="auto"/>
            <w:noWrap/>
          </w:tcPr>
          <w:p w14:paraId="1A831096">
            <w:pPr>
              <w:widowControl/>
              <w:spacing w:line="240" w:lineRule="auto"/>
              <w:ind w:firstLine="0" w:firstLineChars="0"/>
              <w:jc w:val="center"/>
              <w:rPr>
                <w:color w:val="auto"/>
                <w:kern w:val="0"/>
                <w:sz w:val="21"/>
                <w:szCs w:val="21"/>
              </w:rPr>
            </w:pPr>
            <w:r>
              <w:rPr>
                <w:rFonts w:hint="eastAsia"/>
                <w:color w:val="auto"/>
                <w:sz w:val="21"/>
                <w:szCs w:val="21"/>
              </w:rPr>
              <w:t>7.13E-05</w:t>
            </w:r>
          </w:p>
        </w:tc>
        <w:tc>
          <w:tcPr>
            <w:tcW w:w="292" w:type="pct"/>
            <w:shd w:val="clear" w:color="auto" w:fill="auto"/>
            <w:noWrap/>
          </w:tcPr>
          <w:p w14:paraId="311FF7C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2704F80">
            <w:pPr>
              <w:widowControl/>
              <w:spacing w:line="240" w:lineRule="auto"/>
              <w:ind w:firstLine="0" w:firstLineChars="0"/>
              <w:jc w:val="center"/>
              <w:rPr>
                <w:color w:val="auto"/>
                <w:kern w:val="0"/>
                <w:sz w:val="21"/>
                <w:szCs w:val="21"/>
              </w:rPr>
            </w:pPr>
            <w:r>
              <w:rPr>
                <w:rFonts w:hint="eastAsia"/>
                <w:color w:val="auto"/>
                <w:sz w:val="21"/>
                <w:szCs w:val="21"/>
              </w:rPr>
              <w:t>5.02E-05</w:t>
            </w:r>
          </w:p>
        </w:tc>
        <w:tc>
          <w:tcPr>
            <w:tcW w:w="376" w:type="pct"/>
            <w:shd w:val="clear" w:color="auto" w:fill="auto"/>
          </w:tcPr>
          <w:p w14:paraId="19A6B7A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BE0F09E">
            <w:pPr>
              <w:widowControl/>
              <w:spacing w:line="240" w:lineRule="auto"/>
              <w:ind w:firstLine="0" w:firstLineChars="0"/>
              <w:jc w:val="center"/>
              <w:rPr>
                <w:color w:val="auto"/>
                <w:kern w:val="0"/>
                <w:sz w:val="21"/>
                <w:szCs w:val="21"/>
              </w:rPr>
            </w:pPr>
            <w:r>
              <w:rPr>
                <w:rFonts w:hint="eastAsia"/>
                <w:color w:val="auto"/>
                <w:sz w:val="21"/>
                <w:szCs w:val="21"/>
              </w:rPr>
              <w:t>4.60E-04</w:t>
            </w:r>
          </w:p>
        </w:tc>
        <w:tc>
          <w:tcPr>
            <w:tcW w:w="239" w:type="pct"/>
            <w:shd w:val="clear" w:color="auto" w:fill="auto"/>
          </w:tcPr>
          <w:p w14:paraId="6F7B9A8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73E4825C">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206A08B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EDD5A14">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2CD585F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6800568">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485C299E">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2B56D24">
            <w:pPr>
              <w:widowControl/>
              <w:spacing w:line="240" w:lineRule="auto"/>
              <w:ind w:firstLine="0" w:firstLineChars="0"/>
              <w:jc w:val="center"/>
              <w:rPr>
                <w:color w:val="auto"/>
                <w:kern w:val="0"/>
                <w:sz w:val="21"/>
                <w:szCs w:val="21"/>
              </w:rPr>
            </w:pPr>
            <w:r>
              <w:rPr>
                <w:rFonts w:hint="eastAsia"/>
                <w:color w:val="auto"/>
                <w:sz w:val="21"/>
                <w:szCs w:val="21"/>
              </w:rPr>
              <w:t>8.00E-05</w:t>
            </w:r>
          </w:p>
        </w:tc>
        <w:tc>
          <w:tcPr>
            <w:tcW w:w="212" w:type="pct"/>
            <w:shd w:val="clear" w:color="auto" w:fill="auto"/>
          </w:tcPr>
          <w:p w14:paraId="5528B047">
            <w:pPr>
              <w:widowControl/>
              <w:spacing w:line="240" w:lineRule="auto"/>
              <w:ind w:firstLine="0" w:firstLineChars="0"/>
              <w:jc w:val="center"/>
              <w:rPr>
                <w:color w:val="auto"/>
                <w:kern w:val="0"/>
                <w:sz w:val="21"/>
                <w:szCs w:val="21"/>
              </w:rPr>
            </w:pPr>
            <w:r>
              <w:rPr>
                <w:rFonts w:hint="eastAsia"/>
                <w:color w:val="auto"/>
                <w:sz w:val="21"/>
                <w:szCs w:val="21"/>
              </w:rPr>
              <w:t>0.01</w:t>
            </w:r>
          </w:p>
        </w:tc>
      </w:tr>
      <w:tr w14:paraId="05075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A22C33A">
            <w:pPr>
              <w:widowControl/>
              <w:spacing w:line="240" w:lineRule="auto"/>
              <w:ind w:firstLine="0" w:firstLineChars="0"/>
              <w:jc w:val="center"/>
              <w:rPr>
                <w:color w:val="auto"/>
                <w:kern w:val="0"/>
                <w:sz w:val="21"/>
                <w:szCs w:val="21"/>
              </w:rPr>
            </w:pPr>
            <w:r>
              <w:rPr>
                <w:color w:val="auto"/>
                <w:sz w:val="21"/>
                <w:szCs w:val="21"/>
              </w:rPr>
              <w:t>1700</w:t>
            </w:r>
          </w:p>
        </w:tc>
        <w:tc>
          <w:tcPr>
            <w:tcW w:w="420" w:type="pct"/>
            <w:shd w:val="clear" w:color="auto" w:fill="auto"/>
            <w:noWrap/>
          </w:tcPr>
          <w:p w14:paraId="12A84FEE">
            <w:pPr>
              <w:widowControl/>
              <w:spacing w:line="240" w:lineRule="auto"/>
              <w:ind w:firstLine="0" w:firstLineChars="0"/>
              <w:jc w:val="center"/>
              <w:rPr>
                <w:color w:val="auto"/>
                <w:kern w:val="0"/>
                <w:sz w:val="21"/>
                <w:szCs w:val="21"/>
              </w:rPr>
            </w:pPr>
            <w:r>
              <w:rPr>
                <w:rFonts w:hint="eastAsia"/>
                <w:color w:val="auto"/>
                <w:sz w:val="21"/>
                <w:szCs w:val="21"/>
              </w:rPr>
              <w:t>7.13E-05</w:t>
            </w:r>
          </w:p>
        </w:tc>
        <w:tc>
          <w:tcPr>
            <w:tcW w:w="292" w:type="pct"/>
            <w:shd w:val="clear" w:color="auto" w:fill="auto"/>
            <w:noWrap/>
          </w:tcPr>
          <w:p w14:paraId="5E0F185A">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4262C0F">
            <w:pPr>
              <w:widowControl/>
              <w:spacing w:line="240" w:lineRule="auto"/>
              <w:ind w:firstLine="0" w:firstLineChars="0"/>
              <w:jc w:val="center"/>
              <w:rPr>
                <w:color w:val="auto"/>
                <w:kern w:val="0"/>
                <w:sz w:val="21"/>
                <w:szCs w:val="21"/>
              </w:rPr>
            </w:pPr>
            <w:r>
              <w:rPr>
                <w:rFonts w:hint="eastAsia"/>
                <w:color w:val="auto"/>
                <w:sz w:val="21"/>
                <w:szCs w:val="21"/>
              </w:rPr>
              <w:t>5.02E-05</w:t>
            </w:r>
          </w:p>
        </w:tc>
        <w:tc>
          <w:tcPr>
            <w:tcW w:w="376" w:type="pct"/>
            <w:shd w:val="clear" w:color="auto" w:fill="auto"/>
          </w:tcPr>
          <w:p w14:paraId="4774FC7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E07145C">
            <w:pPr>
              <w:widowControl/>
              <w:spacing w:line="240" w:lineRule="auto"/>
              <w:ind w:firstLine="0" w:firstLineChars="0"/>
              <w:jc w:val="center"/>
              <w:rPr>
                <w:color w:val="auto"/>
                <w:kern w:val="0"/>
                <w:sz w:val="21"/>
                <w:szCs w:val="21"/>
              </w:rPr>
            </w:pPr>
            <w:r>
              <w:rPr>
                <w:rFonts w:hint="eastAsia"/>
                <w:color w:val="auto"/>
                <w:sz w:val="21"/>
                <w:szCs w:val="21"/>
              </w:rPr>
              <w:t>4.59E-04</w:t>
            </w:r>
          </w:p>
        </w:tc>
        <w:tc>
          <w:tcPr>
            <w:tcW w:w="239" w:type="pct"/>
            <w:shd w:val="clear" w:color="auto" w:fill="auto"/>
          </w:tcPr>
          <w:p w14:paraId="20A4FC2B">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746AC314">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3ECABEB7">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303546A">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31CA297F">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33A6AF74">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1CA5B61B">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1C47EFCB">
            <w:pPr>
              <w:widowControl/>
              <w:spacing w:line="240" w:lineRule="auto"/>
              <w:ind w:firstLine="0" w:firstLineChars="0"/>
              <w:jc w:val="center"/>
              <w:rPr>
                <w:color w:val="auto"/>
                <w:kern w:val="0"/>
                <w:sz w:val="21"/>
                <w:szCs w:val="21"/>
              </w:rPr>
            </w:pPr>
            <w:r>
              <w:rPr>
                <w:rFonts w:hint="eastAsia"/>
                <w:color w:val="auto"/>
                <w:sz w:val="21"/>
                <w:szCs w:val="21"/>
              </w:rPr>
              <w:t>8.00E-05</w:t>
            </w:r>
          </w:p>
        </w:tc>
        <w:tc>
          <w:tcPr>
            <w:tcW w:w="212" w:type="pct"/>
            <w:shd w:val="clear" w:color="auto" w:fill="auto"/>
          </w:tcPr>
          <w:p w14:paraId="0EC70B40">
            <w:pPr>
              <w:widowControl/>
              <w:spacing w:line="240" w:lineRule="auto"/>
              <w:ind w:firstLine="0" w:firstLineChars="0"/>
              <w:jc w:val="center"/>
              <w:rPr>
                <w:color w:val="auto"/>
                <w:kern w:val="0"/>
                <w:sz w:val="21"/>
                <w:szCs w:val="21"/>
              </w:rPr>
            </w:pPr>
            <w:r>
              <w:rPr>
                <w:rFonts w:hint="eastAsia"/>
                <w:color w:val="auto"/>
                <w:sz w:val="21"/>
                <w:szCs w:val="21"/>
              </w:rPr>
              <w:t>0.01</w:t>
            </w:r>
          </w:p>
        </w:tc>
      </w:tr>
      <w:tr w14:paraId="2E4B2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641F81D">
            <w:pPr>
              <w:widowControl/>
              <w:spacing w:line="240" w:lineRule="auto"/>
              <w:ind w:firstLine="0" w:firstLineChars="0"/>
              <w:jc w:val="center"/>
              <w:rPr>
                <w:color w:val="auto"/>
                <w:kern w:val="0"/>
                <w:sz w:val="21"/>
                <w:szCs w:val="21"/>
              </w:rPr>
            </w:pPr>
            <w:r>
              <w:rPr>
                <w:color w:val="auto"/>
                <w:sz w:val="21"/>
                <w:szCs w:val="21"/>
              </w:rPr>
              <w:t>1725</w:t>
            </w:r>
          </w:p>
        </w:tc>
        <w:tc>
          <w:tcPr>
            <w:tcW w:w="420" w:type="pct"/>
            <w:shd w:val="clear" w:color="auto" w:fill="auto"/>
            <w:noWrap/>
          </w:tcPr>
          <w:p w14:paraId="2BD82270">
            <w:pPr>
              <w:widowControl/>
              <w:spacing w:line="240" w:lineRule="auto"/>
              <w:ind w:firstLine="0" w:firstLineChars="0"/>
              <w:jc w:val="center"/>
              <w:rPr>
                <w:color w:val="auto"/>
                <w:kern w:val="0"/>
                <w:sz w:val="21"/>
                <w:szCs w:val="21"/>
              </w:rPr>
            </w:pPr>
            <w:r>
              <w:rPr>
                <w:rFonts w:hint="eastAsia"/>
                <w:color w:val="auto"/>
                <w:sz w:val="21"/>
                <w:szCs w:val="21"/>
              </w:rPr>
              <w:t>7.13E-05</w:t>
            </w:r>
          </w:p>
        </w:tc>
        <w:tc>
          <w:tcPr>
            <w:tcW w:w="292" w:type="pct"/>
            <w:shd w:val="clear" w:color="auto" w:fill="auto"/>
            <w:noWrap/>
          </w:tcPr>
          <w:p w14:paraId="1DADFB7B">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6955A87">
            <w:pPr>
              <w:widowControl/>
              <w:spacing w:line="240" w:lineRule="auto"/>
              <w:ind w:firstLine="0" w:firstLineChars="0"/>
              <w:jc w:val="center"/>
              <w:rPr>
                <w:color w:val="auto"/>
                <w:kern w:val="0"/>
                <w:sz w:val="21"/>
                <w:szCs w:val="21"/>
              </w:rPr>
            </w:pPr>
            <w:r>
              <w:rPr>
                <w:rFonts w:hint="eastAsia"/>
                <w:color w:val="auto"/>
                <w:sz w:val="21"/>
                <w:szCs w:val="21"/>
              </w:rPr>
              <w:t>5.01E-05</w:t>
            </w:r>
          </w:p>
        </w:tc>
        <w:tc>
          <w:tcPr>
            <w:tcW w:w="376" w:type="pct"/>
            <w:shd w:val="clear" w:color="auto" w:fill="auto"/>
          </w:tcPr>
          <w:p w14:paraId="1ABEB36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0F53F66">
            <w:pPr>
              <w:widowControl/>
              <w:spacing w:line="240" w:lineRule="auto"/>
              <w:ind w:firstLine="0" w:firstLineChars="0"/>
              <w:jc w:val="center"/>
              <w:rPr>
                <w:color w:val="auto"/>
                <w:kern w:val="0"/>
                <w:sz w:val="21"/>
                <w:szCs w:val="21"/>
              </w:rPr>
            </w:pPr>
            <w:r>
              <w:rPr>
                <w:rFonts w:hint="eastAsia"/>
                <w:color w:val="auto"/>
                <w:sz w:val="21"/>
                <w:szCs w:val="21"/>
              </w:rPr>
              <w:t>4.59E-04</w:t>
            </w:r>
          </w:p>
        </w:tc>
        <w:tc>
          <w:tcPr>
            <w:tcW w:w="239" w:type="pct"/>
            <w:shd w:val="clear" w:color="auto" w:fill="auto"/>
          </w:tcPr>
          <w:p w14:paraId="7B8E02BE">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20C394C">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79FEDF4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41C8188F">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3462EC4F">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2105BAE">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5899F8E7">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5EE95D4">
            <w:pPr>
              <w:widowControl/>
              <w:spacing w:line="240" w:lineRule="auto"/>
              <w:ind w:firstLine="0" w:firstLineChars="0"/>
              <w:jc w:val="center"/>
              <w:rPr>
                <w:color w:val="auto"/>
                <w:kern w:val="0"/>
                <w:sz w:val="21"/>
                <w:szCs w:val="21"/>
              </w:rPr>
            </w:pPr>
            <w:r>
              <w:rPr>
                <w:rFonts w:hint="eastAsia"/>
                <w:color w:val="auto"/>
                <w:sz w:val="21"/>
                <w:szCs w:val="21"/>
              </w:rPr>
              <w:t>7.99E-05</w:t>
            </w:r>
          </w:p>
        </w:tc>
        <w:tc>
          <w:tcPr>
            <w:tcW w:w="212" w:type="pct"/>
            <w:shd w:val="clear" w:color="auto" w:fill="auto"/>
          </w:tcPr>
          <w:p w14:paraId="4CF6ACAC">
            <w:pPr>
              <w:widowControl/>
              <w:spacing w:line="240" w:lineRule="auto"/>
              <w:ind w:firstLine="0" w:firstLineChars="0"/>
              <w:jc w:val="center"/>
              <w:rPr>
                <w:color w:val="auto"/>
                <w:kern w:val="0"/>
                <w:sz w:val="21"/>
                <w:szCs w:val="21"/>
              </w:rPr>
            </w:pPr>
            <w:r>
              <w:rPr>
                <w:rFonts w:hint="eastAsia"/>
                <w:color w:val="auto"/>
                <w:sz w:val="21"/>
                <w:szCs w:val="21"/>
              </w:rPr>
              <w:t>0.01</w:t>
            </w:r>
          </w:p>
        </w:tc>
      </w:tr>
      <w:tr w14:paraId="176A5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430FAD1">
            <w:pPr>
              <w:widowControl/>
              <w:spacing w:line="240" w:lineRule="auto"/>
              <w:ind w:firstLine="0" w:firstLineChars="0"/>
              <w:jc w:val="center"/>
              <w:rPr>
                <w:color w:val="auto"/>
                <w:kern w:val="0"/>
                <w:sz w:val="21"/>
                <w:szCs w:val="21"/>
              </w:rPr>
            </w:pPr>
            <w:r>
              <w:rPr>
                <w:color w:val="auto"/>
                <w:sz w:val="21"/>
                <w:szCs w:val="21"/>
              </w:rPr>
              <w:t>1750</w:t>
            </w:r>
          </w:p>
        </w:tc>
        <w:tc>
          <w:tcPr>
            <w:tcW w:w="420" w:type="pct"/>
            <w:shd w:val="clear" w:color="auto" w:fill="auto"/>
            <w:noWrap/>
          </w:tcPr>
          <w:p w14:paraId="3612DEF8">
            <w:pPr>
              <w:widowControl/>
              <w:spacing w:line="240" w:lineRule="auto"/>
              <w:ind w:firstLine="0" w:firstLineChars="0"/>
              <w:jc w:val="center"/>
              <w:rPr>
                <w:color w:val="auto"/>
                <w:kern w:val="0"/>
                <w:sz w:val="21"/>
                <w:szCs w:val="21"/>
              </w:rPr>
            </w:pPr>
            <w:r>
              <w:rPr>
                <w:rFonts w:hint="eastAsia"/>
                <w:color w:val="auto"/>
                <w:sz w:val="21"/>
                <w:szCs w:val="21"/>
              </w:rPr>
              <w:t>7.12E-05</w:t>
            </w:r>
          </w:p>
        </w:tc>
        <w:tc>
          <w:tcPr>
            <w:tcW w:w="292" w:type="pct"/>
            <w:shd w:val="clear" w:color="auto" w:fill="auto"/>
            <w:noWrap/>
          </w:tcPr>
          <w:p w14:paraId="0D00AF08">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6E477EB3">
            <w:pPr>
              <w:widowControl/>
              <w:spacing w:line="240" w:lineRule="auto"/>
              <w:ind w:firstLine="0" w:firstLineChars="0"/>
              <w:jc w:val="center"/>
              <w:rPr>
                <w:color w:val="auto"/>
                <w:kern w:val="0"/>
                <w:sz w:val="21"/>
                <w:szCs w:val="21"/>
              </w:rPr>
            </w:pPr>
            <w:r>
              <w:rPr>
                <w:rFonts w:hint="eastAsia"/>
                <w:color w:val="auto"/>
                <w:sz w:val="21"/>
                <w:szCs w:val="21"/>
              </w:rPr>
              <w:t>5.01E-05</w:t>
            </w:r>
          </w:p>
        </w:tc>
        <w:tc>
          <w:tcPr>
            <w:tcW w:w="376" w:type="pct"/>
            <w:shd w:val="clear" w:color="auto" w:fill="auto"/>
          </w:tcPr>
          <w:p w14:paraId="47D48D1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0359322">
            <w:pPr>
              <w:widowControl/>
              <w:spacing w:line="240" w:lineRule="auto"/>
              <w:ind w:firstLine="0" w:firstLineChars="0"/>
              <w:jc w:val="center"/>
              <w:rPr>
                <w:color w:val="auto"/>
                <w:kern w:val="0"/>
                <w:sz w:val="21"/>
                <w:szCs w:val="21"/>
              </w:rPr>
            </w:pPr>
            <w:r>
              <w:rPr>
                <w:rFonts w:hint="eastAsia"/>
                <w:color w:val="auto"/>
                <w:sz w:val="21"/>
                <w:szCs w:val="21"/>
              </w:rPr>
              <w:t>4.59E-04</w:t>
            </w:r>
          </w:p>
        </w:tc>
        <w:tc>
          <w:tcPr>
            <w:tcW w:w="239" w:type="pct"/>
            <w:shd w:val="clear" w:color="auto" w:fill="auto"/>
          </w:tcPr>
          <w:p w14:paraId="625A48C8">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3CA6FACC">
            <w:pPr>
              <w:widowControl/>
              <w:spacing w:line="240" w:lineRule="auto"/>
              <w:ind w:firstLine="0" w:firstLineChars="0"/>
              <w:jc w:val="center"/>
              <w:rPr>
                <w:color w:val="auto"/>
                <w:kern w:val="0"/>
                <w:sz w:val="21"/>
                <w:szCs w:val="21"/>
              </w:rPr>
            </w:pPr>
            <w:r>
              <w:rPr>
                <w:rFonts w:hint="eastAsia"/>
                <w:color w:val="auto"/>
                <w:sz w:val="21"/>
                <w:szCs w:val="21"/>
              </w:rPr>
              <w:t>4.75E-05</w:t>
            </w:r>
          </w:p>
        </w:tc>
        <w:tc>
          <w:tcPr>
            <w:tcW w:w="206" w:type="pct"/>
            <w:shd w:val="clear" w:color="auto" w:fill="auto"/>
          </w:tcPr>
          <w:p w14:paraId="6CF02B4A">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4B9A527">
            <w:pPr>
              <w:widowControl/>
              <w:spacing w:line="240" w:lineRule="auto"/>
              <w:ind w:firstLine="0" w:firstLineChars="0"/>
              <w:jc w:val="center"/>
              <w:rPr>
                <w:color w:val="auto"/>
                <w:sz w:val="21"/>
                <w:szCs w:val="21"/>
              </w:rPr>
            </w:pPr>
            <w:r>
              <w:rPr>
                <w:rFonts w:hint="eastAsia"/>
                <w:color w:val="auto"/>
                <w:sz w:val="21"/>
                <w:szCs w:val="21"/>
              </w:rPr>
              <w:t>3.43E-05</w:t>
            </w:r>
          </w:p>
        </w:tc>
        <w:tc>
          <w:tcPr>
            <w:tcW w:w="170" w:type="pct"/>
          </w:tcPr>
          <w:p w14:paraId="710198F7">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55626BA">
            <w:pPr>
              <w:widowControl/>
              <w:spacing w:line="240" w:lineRule="auto"/>
              <w:ind w:firstLine="0" w:firstLineChars="0"/>
              <w:jc w:val="center"/>
              <w:rPr>
                <w:color w:val="auto"/>
                <w:kern w:val="0"/>
                <w:sz w:val="21"/>
                <w:szCs w:val="21"/>
              </w:rPr>
            </w:pPr>
            <w:r>
              <w:rPr>
                <w:rFonts w:hint="eastAsia"/>
                <w:color w:val="auto"/>
                <w:sz w:val="21"/>
                <w:szCs w:val="21"/>
              </w:rPr>
              <w:t>3.14E-04</w:t>
            </w:r>
          </w:p>
        </w:tc>
        <w:tc>
          <w:tcPr>
            <w:tcW w:w="172" w:type="pct"/>
            <w:shd w:val="clear" w:color="auto" w:fill="auto"/>
          </w:tcPr>
          <w:p w14:paraId="35189619">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0B42FF79">
            <w:pPr>
              <w:widowControl/>
              <w:spacing w:line="240" w:lineRule="auto"/>
              <w:ind w:firstLine="0" w:firstLineChars="0"/>
              <w:jc w:val="center"/>
              <w:rPr>
                <w:color w:val="auto"/>
                <w:kern w:val="0"/>
                <w:sz w:val="21"/>
                <w:szCs w:val="21"/>
              </w:rPr>
            </w:pPr>
            <w:r>
              <w:rPr>
                <w:rFonts w:hint="eastAsia"/>
                <w:color w:val="auto"/>
                <w:sz w:val="21"/>
                <w:szCs w:val="21"/>
              </w:rPr>
              <w:t>7.98E-05</w:t>
            </w:r>
          </w:p>
        </w:tc>
        <w:tc>
          <w:tcPr>
            <w:tcW w:w="212" w:type="pct"/>
            <w:shd w:val="clear" w:color="auto" w:fill="auto"/>
          </w:tcPr>
          <w:p w14:paraId="244F75E3">
            <w:pPr>
              <w:widowControl/>
              <w:spacing w:line="240" w:lineRule="auto"/>
              <w:ind w:firstLine="0" w:firstLineChars="0"/>
              <w:jc w:val="center"/>
              <w:rPr>
                <w:color w:val="auto"/>
                <w:kern w:val="0"/>
                <w:sz w:val="21"/>
                <w:szCs w:val="21"/>
              </w:rPr>
            </w:pPr>
            <w:r>
              <w:rPr>
                <w:rFonts w:hint="eastAsia"/>
                <w:color w:val="auto"/>
                <w:sz w:val="21"/>
                <w:szCs w:val="21"/>
              </w:rPr>
              <w:t>0.01</w:t>
            </w:r>
          </w:p>
        </w:tc>
      </w:tr>
      <w:tr w14:paraId="0468F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49AFEBE">
            <w:pPr>
              <w:widowControl/>
              <w:spacing w:line="240" w:lineRule="auto"/>
              <w:ind w:firstLine="0" w:firstLineChars="0"/>
              <w:jc w:val="center"/>
              <w:rPr>
                <w:color w:val="auto"/>
                <w:kern w:val="0"/>
                <w:sz w:val="21"/>
                <w:szCs w:val="21"/>
              </w:rPr>
            </w:pPr>
            <w:r>
              <w:rPr>
                <w:color w:val="auto"/>
                <w:sz w:val="21"/>
                <w:szCs w:val="21"/>
              </w:rPr>
              <w:t>1775</w:t>
            </w:r>
          </w:p>
        </w:tc>
        <w:tc>
          <w:tcPr>
            <w:tcW w:w="420" w:type="pct"/>
            <w:shd w:val="clear" w:color="auto" w:fill="auto"/>
            <w:noWrap/>
          </w:tcPr>
          <w:p w14:paraId="292BA6E0">
            <w:pPr>
              <w:widowControl/>
              <w:spacing w:line="240" w:lineRule="auto"/>
              <w:ind w:firstLine="0" w:firstLineChars="0"/>
              <w:jc w:val="center"/>
              <w:rPr>
                <w:color w:val="auto"/>
                <w:kern w:val="0"/>
                <w:sz w:val="21"/>
                <w:szCs w:val="21"/>
              </w:rPr>
            </w:pPr>
            <w:r>
              <w:rPr>
                <w:rFonts w:hint="eastAsia"/>
                <w:color w:val="auto"/>
                <w:sz w:val="21"/>
                <w:szCs w:val="21"/>
              </w:rPr>
              <w:t>7.11E-05</w:t>
            </w:r>
          </w:p>
        </w:tc>
        <w:tc>
          <w:tcPr>
            <w:tcW w:w="292" w:type="pct"/>
            <w:shd w:val="clear" w:color="auto" w:fill="auto"/>
            <w:noWrap/>
          </w:tcPr>
          <w:p w14:paraId="0AADAFC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43D14F3">
            <w:pPr>
              <w:widowControl/>
              <w:spacing w:line="240" w:lineRule="auto"/>
              <w:ind w:firstLine="0" w:firstLineChars="0"/>
              <w:jc w:val="center"/>
              <w:rPr>
                <w:color w:val="auto"/>
                <w:kern w:val="0"/>
                <w:sz w:val="21"/>
                <w:szCs w:val="21"/>
              </w:rPr>
            </w:pPr>
            <w:r>
              <w:rPr>
                <w:rFonts w:hint="eastAsia"/>
                <w:color w:val="auto"/>
                <w:sz w:val="21"/>
                <w:szCs w:val="21"/>
              </w:rPr>
              <w:t>5.00E-05</w:t>
            </w:r>
          </w:p>
        </w:tc>
        <w:tc>
          <w:tcPr>
            <w:tcW w:w="376" w:type="pct"/>
            <w:shd w:val="clear" w:color="auto" w:fill="auto"/>
          </w:tcPr>
          <w:p w14:paraId="765975D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10A5820">
            <w:pPr>
              <w:widowControl/>
              <w:spacing w:line="240" w:lineRule="auto"/>
              <w:ind w:firstLine="0" w:firstLineChars="0"/>
              <w:jc w:val="center"/>
              <w:rPr>
                <w:color w:val="auto"/>
                <w:kern w:val="0"/>
                <w:sz w:val="21"/>
                <w:szCs w:val="21"/>
              </w:rPr>
            </w:pPr>
            <w:r>
              <w:rPr>
                <w:rFonts w:hint="eastAsia"/>
                <w:color w:val="auto"/>
                <w:sz w:val="21"/>
                <w:szCs w:val="21"/>
              </w:rPr>
              <w:t>4.58E-04</w:t>
            </w:r>
          </w:p>
        </w:tc>
        <w:tc>
          <w:tcPr>
            <w:tcW w:w="239" w:type="pct"/>
            <w:shd w:val="clear" w:color="auto" w:fill="auto"/>
          </w:tcPr>
          <w:p w14:paraId="64E3A541">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0C47A275">
            <w:pPr>
              <w:widowControl/>
              <w:spacing w:line="240" w:lineRule="auto"/>
              <w:ind w:firstLine="0" w:firstLineChars="0"/>
              <w:jc w:val="center"/>
              <w:rPr>
                <w:color w:val="auto"/>
                <w:kern w:val="0"/>
                <w:sz w:val="21"/>
                <w:szCs w:val="21"/>
              </w:rPr>
            </w:pPr>
            <w:r>
              <w:rPr>
                <w:rFonts w:hint="eastAsia"/>
                <w:color w:val="auto"/>
                <w:sz w:val="21"/>
                <w:szCs w:val="21"/>
              </w:rPr>
              <w:t>4.74E-05</w:t>
            </w:r>
          </w:p>
        </w:tc>
        <w:tc>
          <w:tcPr>
            <w:tcW w:w="206" w:type="pct"/>
            <w:shd w:val="clear" w:color="auto" w:fill="auto"/>
          </w:tcPr>
          <w:p w14:paraId="33300EF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5B9DC03">
            <w:pPr>
              <w:widowControl/>
              <w:spacing w:line="240" w:lineRule="auto"/>
              <w:ind w:firstLine="0" w:firstLineChars="0"/>
              <w:jc w:val="center"/>
              <w:rPr>
                <w:color w:val="auto"/>
                <w:sz w:val="21"/>
                <w:szCs w:val="21"/>
              </w:rPr>
            </w:pPr>
            <w:r>
              <w:rPr>
                <w:rFonts w:hint="eastAsia"/>
                <w:color w:val="auto"/>
                <w:sz w:val="21"/>
                <w:szCs w:val="21"/>
              </w:rPr>
              <w:t>3.42E-05</w:t>
            </w:r>
          </w:p>
        </w:tc>
        <w:tc>
          <w:tcPr>
            <w:tcW w:w="170" w:type="pct"/>
          </w:tcPr>
          <w:p w14:paraId="563A3C3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3254E72">
            <w:pPr>
              <w:widowControl/>
              <w:spacing w:line="240" w:lineRule="auto"/>
              <w:ind w:firstLine="0" w:firstLineChars="0"/>
              <w:jc w:val="center"/>
              <w:rPr>
                <w:color w:val="auto"/>
                <w:kern w:val="0"/>
                <w:sz w:val="21"/>
                <w:szCs w:val="21"/>
              </w:rPr>
            </w:pPr>
            <w:r>
              <w:rPr>
                <w:rFonts w:hint="eastAsia"/>
                <w:color w:val="auto"/>
                <w:sz w:val="21"/>
                <w:szCs w:val="21"/>
              </w:rPr>
              <w:t>3.13E-04</w:t>
            </w:r>
          </w:p>
        </w:tc>
        <w:tc>
          <w:tcPr>
            <w:tcW w:w="172" w:type="pct"/>
            <w:shd w:val="clear" w:color="auto" w:fill="auto"/>
          </w:tcPr>
          <w:p w14:paraId="193F28EF">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712112C">
            <w:pPr>
              <w:widowControl/>
              <w:spacing w:line="240" w:lineRule="auto"/>
              <w:ind w:firstLine="0" w:firstLineChars="0"/>
              <w:jc w:val="center"/>
              <w:rPr>
                <w:color w:val="auto"/>
                <w:kern w:val="0"/>
                <w:sz w:val="21"/>
                <w:szCs w:val="21"/>
              </w:rPr>
            </w:pPr>
            <w:r>
              <w:rPr>
                <w:rFonts w:hint="eastAsia"/>
                <w:color w:val="auto"/>
                <w:sz w:val="21"/>
                <w:szCs w:val="21"/>
              </w:rPr>
              <w:t>7.97E-05</w:t>
            </w:r>
          </w:p>
        </w:tc>
        <w:tc>
          <w:tcPr>
            <w:tcW w:w="212" w:type="pct"/>
            <w:shd w:val="clear" w:color="auto" w:fill="auto"/>
          </w:tcPr>
          <w:p w14:paraId="7B298F3C">
            <w:pPr>
              <w:widowControl/>
              <w:spacing w:line="240" w:lineRule="auto"/>
              <w:ind w:firstLine="0" w:firstLineChars="0"/>
              <w:jc w:val="center"/>
              <w:rPr>
                <w:color w:val="auto"/>
                <w:kern w:val="0"/>
                <w:sz w:val="21"/>
                <w:szCs w:val="21"/>
              </w:rPr>
            </w:pPr>
            <w:r>
              <w:rPr>
                <w:rFonts w:hint="eastAsia"/>
                <w:color w:val="auto"/>
                <w:sz w:val="21"/>
                <w:szCs w:val="21"/>
              </w:rPr>
              <w:t>0.01</w:t>
            </w:r>
          </w:p>
        </w:tc>
      </w:tr>
      <w:tr w14:paraId="48798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8FAFE6F">
            <w:pPr>
              <w:widowControl/>
              <w:spacing w:line="240" w:lineRule="auto"/>
              <w:ind w:firstLine="0" w:firstLineChars="0"/>
              <w:jc w:val="center"/>
              <w:rPr>
                <w:color w:val="auto"/>
                <w:kern w:val="0"/>
                <w:sz w:val="21"/>
                <w:szCs w:val="21"/>
              </w:rPr>
            </w:pPr>
            <w:r>
              <w:rPr>
                <w:color w:val="auto"/>
                <w:sz w:val="21"/>
                <w:szCs w:val="21"/>
              </w:rPr>
              <w:t>1800</w:t>
            </w:r>
          </w:p>
        </w:tc>
        <w:tc>
          <w:tcPr>
            <w:tcW w:w="420" w:type="pct"/>
            <w:shd w:val="clear" w:color="auto" w:fill="auto"/>
            <w:noWrap/>
          </w:tcPr>
          <w:p w14:paraId="5FFFC349">
            <w:pPr>
              <w:widowControl/>
              <w:spacing w:line="240" w:lineRule="auto"/>
              <w:ind w:firstLine="0" w:firstLineChars="0"/>
              <w:jc w:val="center"/>
              <w:rPr>
                <w:color w:val="auto"/>
                <w:kern w:val="0"/>
                <w:sz w:val="21"/>
                <w:szCs w:val="21"/>
              </w:rPr>
            </w:pPr>
            <w:r>
              <w:rPr>
                <w:rFonts w:hint="eastAsia"/>
                <w:color w:val="auto"/>
                <w:sz w:val="21"/>
                <w:szCs w:val="21"/>
              </w:rPr>
              <w:t>7.10E-05</w:t>
            </w:r>
          </w:p>
        </w:tc>
        <w:tc>
          <w:tcPr>
            <w:tcW w:w="292" w:type="pct"/>
            <w:shd w:val="clear" w:color="auto" w:fill="auto"/>
            <w:noWrap/>
          </w:tcPr>
          <w:p w14:paraId="71F3B4FD">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D733636">
            <w:pPr>
              <w:widowControl/>
              <w:spacing w:line="240" w:lineRule="auto"/>
              <w:ind w:firstLine="0" w:firstLineChars="0"/>
              <w:jc w:val="center"/>
              <w:rPr>
                <w:color w:val="auto"/>
                <w:kern w:val="0"/>
                <w:sz w:val="21"/>
                <w:szCs w:val="21"/>
              </w:rPr>
            </w:pPr>
            <w:r>
              <w:rPr>
                <w:rFonts w:hint="eastAsia"/>
                <w:color w:val="auto"/>
                <w:sz w:val="21"/>
                <w:szCs w:val="21"/>
              </w:rPr>
              <w:t>5.00E-05</w:t>
            </w:r>
          </w:p>
        </w:tc>
        <w:tc>
          <w:tcPr>
            <w:tcW w:w="376" w:type="pct"/>
            <w:shd w:val="clear" w:color="auto" w:fill="auto"/>
          </w:tcPr>
          <w:p w14:paraId="37F3897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4ED5786">
            <w:pPr>
              <w:widowControl/>
              <w:spacing w:line="240" w:lineRule="auto"/>
              <w:ind w:firstLine="0" w:firstLineChars="0"/>
              <w:jc w:val="center"/>
              <w:rPr>
                <w:color w:val="auto"/>
                <w:kern w:val="0"/>
                <w:sz w:val="21"/>
                <w:szCs w:val="21"/>
              </w:rPr>
            </w:pPr>
            <w:r>
              <w:rPr>
                <w:rFonts w:hint="eastAsia"/>
                <w:color w:val="auto"/>
                <w:sz w:val="21"/>
                <w:szCs w:val="21"/>
              </w:rPr>
              <w:t>4.58E-04</w:t>
            </w:r>
          </w:p>
        </w:tc>
        <w:tc>
          <w:tcPr>
            <w:tcW w:w="239" w:type="pct"/>
            <w:shd w:val="clear" w:color="auto" w:fill="auto"/>
          </w:tcPr>
          <w:p w14:paraId="7043797B">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679860A9">
            <w:pPr>
              <w:widowControl/>
              <w:spacing w:line="240" w:lineRule="auto"/>
              <w:ind w:firstLine="0" w:firstLineChars="0"/>
              <w:jc w:val="center"/>
              <w:rPr>
                <w:color w:val="auto"/>
                <w:kern w:val="0"/>
                <w:sz w:val="21"/>
                <w:szCs w:val="21"/>
              </w:rPr>
            </w:pPr>
            <w:r>
              <w:rPr>
                <w:rFonts w:hint="eastAsia"/>
                <w:color w:val="auto"/>
                <w:sz w:val="21"/>
                <w:szCs w:val="21"/>
              </w:rPr>
              <w:t>4.73E-05</w:t>
            </w:r>
          </w:p>
        </w:tc>
        <w:tc>
          <w:tcPr>
            <w:tcW w:w="206" w:type="pct"/>
            <w:shd w:val="clear" w:color="auto" w:fill="auto"/>
          </w:tcPr>
          <w:p w14:paraId="5BC132B2">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DC2C7CF">
            <w:pPr>
              <w:widowControl/>
              <w:spacing w:line="240" w:lineRule="auto"/>
              <w:ind w:firstLine="0" w:firstLineChars="0"/>
              <w:jc w:val="center"/>
              <w:rPr>
                <w:color w:val="auto"/>
                <w:sz w:val="21"/>
                <w:szCs w:val="21"/>
              </w:rPr>
            </w:pPr>
            <w:r>
              <w:rPr>
                <w:rFonts w:hint="eastAsia"/>
                <w:color w:val="auto"/>
                <w:sz w:val="21"/>
                <w:szCs w:val="21"/>
              </w:rPr>
              <w:t>3.42E-05</w:t>
            </w:r>
          </w:p>
        </w:tc>
        <w:tc>
          <w:tcPr>
            <w:tcW w:w="170" w:type="pct"/>
          </w:tcPr>
          <w:p w14:paraId="54780E5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CCA0328">
            <w:pPr>
              <w:widowControl/>
              <w:spacing w:line="240" w:lineRule="auto"/>
              <w:ind w:firstLine="0" w:firstLineChars="0"/>
              <w:jc w:val="center"/>
              <w:rPr>
                <w:color w:val="auto"/>
                <w:kern w:val="0"/>
                <w:sz w:val="21"/>
                <w:szCs w:val="21"/>
              </w:rPr>
            </w:pPr>
            <w:r>
              <w:rPr>
                <w:rFonts w:hint="eastAsia"/>
                <w:color w:val="auto"/>
                <w:sz w:val="21"/>
                <w:szCs w:val="21"/>
              </w:rPr>
              <w:t>3.13E-04</w:t>
            </w:r>
          </w:p>
        </w:tc>
        <w:tc>
          <w:tcPr>
            <w:tcW w:w="172" w:type="pct"/>
            <w:shd w:val="clear" w:color="auto" w:fill="auto"/>
          </w:tcPr>
          <w:p w14:paraId="0CE7E52F">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374FF2C6">
            <w:pPr>
              <w:widowControl/>
              <w:spacing w:line="240" w:lineRule="auto"/>
              <w:ind w:firstLine="0" w:firstLineChars="0"/>
              <w:jc w:val="center"/>
              <w:rPr>
                <w:color w:val="auto"/>
                <w:kern w:val="0"/>
                <w:sz w:val="21"/>
                <w:szCs w:val="21"/>
              </w:rPr>
            </w:pPr>
            <w:r>
              <w:rPr>
                <w:rFonts w:hint="eastAsia"/>
                <w:color w:val="auto"/>
                <w:sz w:val="21"/>
                <w:szCs w:val="21"/>
              </w:rPr>
              <w:t>7.96E-05</w:t>
            </w:r>
          </w:p>
        </w:tc>
        <w:tc>
          <w:tcPr>
            <w:tcW w:w="212" w:type="pct"/>
            <w:shd w:val="clear" w:color="auto" w:fill="auto"/>
          </w:tcPr>
          <w:p w14:paraId="11216056">
            <w:pPr>
              <w:widowControl/>
              <w:spacing w:line="240" w:lineRule="auto"/>
              <w:ind w:firstLine="0" w:firstLineChars="0"/>
              <w:jc w:val="center"/>
              <w:rPr>
                <w:color w:val="auto"/>
                <w:kern w:val="0"/>
                <w:sz w:val="21"/>
                <w:szCs w:val="21"/>
              </w:rPr>
            </w:pPr>
            <w:r>
              <w:rPr>
                <w:rFonts w:hint="eastAsia"/>
                <w:color w:val="auto"/>
                <w:sz w:val="21"/>
                <w:szCs w:val="21"/>
              </w:rPr>
              <w:t>0.01</w:t>
            </w:r>
          </w:p>
        </w:tc>
      </w:tr>
      <w:tr w14:paraId="6C02D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78EB8A12">
            <w:pPr>
              <w:widowControl/>
              <w:spacing w:line="240" w:lineRule="auto"/>
              <w:ind w:firstLine="0" w:firstLineChars="0"/>
              <w:jc w:val="center"/>
              <w:rPr>
                <w:color w:val="auto"/>
                <w:kern w:val="0"/>
                <w:sz w:val="21"/>
                <w:szCs w:val="21"/>
              </w:rPr>
            </w:pPr>
            <w:r>
              <w:rPr>
                <w:color w:val="auto"/>
                <w:sz w:val="21"/>
                <w:szCs w:val="21"/>
              </w:rPr>
              <w:t>1825</w:t>
            </w:r>
          </w:p>
        </w:tc>
        <w:tc>
          <w:tcPr>
            <w:tcW w:w="420" w:type="pct"/>
            <w:shd w:val="clear" w:color="auto" w:fill="auto"/>
            <w:noWrap/>
          </w:tcPr>
          <w:p w14:paraId="7F1CC8AD">
            <w:pPr>
              <w:widowControl/>
              <w:spacing w:line="240" w:lineRule="auto"/>
              <w:ind w:firstLine="0" w:firstLineChars="0"/>
              <w:jc w:val="center"/>
              <w:rPr>
                <w:color w:val="auto"/>
                <w:kern w:val="0"/>
                <w:sz w:val="21"/>
                <w:szCs w:val="21"/>
              </w:rPr>
            </w:pPr>
            <w:r>
              <w:rPr>
                <w:rFonts w:hint="eastAsia"/>
                <w:color w:val="auto"/>
                <w:sz w:val="21"/>
                <w:szCs w:val="21"/>
              </w:rPr>
              <w:t>7.09E-05</w:t>
            </w:r>
          </w:p>
        </w:tc>
        <w:tc>
          <w:tcPr>
            <w:tcW w:w="292" w:type="pct"/>
            <w:shd w:val="clear" w:color="auto" w:fill="auto"/>
            <w:noWrap/>
          </w:tcPr>
          <w:p w14:paraId="0E4B83AC">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207037A">
            <w:pPr>
              <w:widowControl/>
              <w:spacing w:line="240" w:lineRule="auto"/>
              <w:ind w:firstLine="0" w:firstLineChars="0"/>
              <w:jc w:val="center"/>
              <w:rPr>
                <w:color w:val="auto"/>
                <w:kern w:val="0"/>
                <w:sz w:val="21"/>
                <w:szCs w:val="21"/>
              </w:rPr>
            </w:pPr>
            <w:r>
              <w:rPr>
                <w:rFonts w:hint="eastAsia"/>
                <w:color w:val="auto"/>
                <w:sz w:val="21"/>
                <w:szCs w:val="21"/>
              </w:rPr>
              <w:t>4.99E-05</w:t>
            </w:r>
          </w:p>
        </w:tc>
        <w:tc>
          <w:tcPr>
            <w:tcW w:w="376" w:type="pct"/>
            <w:shd w:val="clear" w:color="auto" w:fill="auto"/>
          </w:tcPr>
          <w:p w14:paraId="621D1651">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0EE07B5">
            <w:pPr>
              <w:widowControl/>
              <w:spacing w:line="240" w:lineRule="auto"/>
              <w:ind w:firstLine="0" w:firstLineChars="0"/>
              <w:jc w:val="center"/>
              <w:rPr>
                <w:color w:val="auto"/>
                <w:kern w:val="0"/>
                <w:sz w:val="21"/>
                <w:szCs w:val="21"/>
              </w:rPr>
            </w:pPr>
            <w:r>
              <w:rPr>
                <w:rFonts w:hint="eastAsia"/>
                <w:color w:val="auto"/>
                <w:sz w:val="21"/>
                <w:szCs w:val="21"/>
              </w:rPr>
              <w:t>4.57E-04</w:t>
            </w:r>
          </w:p>
        </w:tc>
        <w:tc>
          <w:tcPr>
            <w:tcW w:w="239" w:type="pct"/>
            <w:shd w:val="clear" w:color="auto" w:fill="auto"/>
          </w:tcPr>
          <w:p w14:paraId="16AA72E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4072B6A">
            <w:pPr>
              <w:widowControl/>
              <w:spacing w:line="240" w:lineRule="auto"/>
              <w:ind w:firstLine="0" w:firstLineChars="0"/>
              <w:jc w:val="center"/>
              <w:rPr>
                <w:color w:val="auto"/>
                <w:kern w:val="0"/>
                <w:sz w:val="21"/>
                <w:szCs w:val="21"/>
              </w:rPr>
            </w:pPr>
            <w:r>
              <w:rPr>
                <w:rFonts w:hint="eastAsia"/>
                <w:color w:val="auto"/>
                <w:sz w:val="21"/>
                <w:szCs w:val="21"/>
              </w:rPr>
              <w:t>4.72E-05</w:t>
            </w:r>
          </w:p>
        </w:tc>
        <w:tc>
          <w:tcPr>
            <w:tcW w:w="206" w:type="pct"/>
            <w:shd w:val="clear" w:color="auto" w:fill="auto"/>
          </w:tcPr>
          <w:p w14:paraId="42194205">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E06A2B7">
            <w:pPr>
              <w:widowControl/>
              <w:spacing w:line="240" w:lineRule="auto"/>
              <w:ind w:firstLine="0" w:firstLineChars="0"/>
              <w:jc w:val="center"/>
              <w:rPr>
                <w:color w:val="auto"/>
                <w:sz w:val="21"/>
                <w:szCs w:val="21"/>
              </w:rPr>
            </w:pPr>
            <w:r>
              <w:rPr>
                <w:rFonts w:hint="eastAsia"/>
                <w:color w:val="auto"/>
                <w:sz w:val="21"/>
                <w:szCs w:val="21"/>
              </w:rPr>
              <w:t>3.41E-05</w:t>
            </w:r>
          </w:p>
        </w:tc>
        <w:tc>
          <w:tcPr>
            <w:tcW w:w="170" w:type="pct"/>
          </w:tcPr>
          <w:p w14:paraId="3F9D2BB5">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BA2A7CF">
            <w:pPr>
              <w:widowControl/>
              <w:spacing w:line="240" w:lineRule="auto"/>
              <w:ind w:firstLine="0" w:firstLineChars="0"/>
              <w:jc w:val="center"/>
              <w:rPr>
                <w:color w:val="auto"/>
                <w:kern w:val="0"/>
                <w:sz w:val="21"/>
                <w:szCs w:val="21"/>
              </w:rPr>
            </w:pPr>
            <w:r>
              <w:rPr>
                <w:rFonts w:hint="eastAsia"/>
                <w:color w:val="auto"/>
                <w:sz w:val="21"/>
                <w:szCs w:val="21"/>
              </w:rPr>
              <w:t>3.12E-04</w:t>
            </w:r>
          </w:p>
        </w:tc>
        <w:tc>
          <w:tcPr>
            <w:tcW w:w="172" w:type="pct"/>
            <w:shd w:val="clear" w:color="auto" w:fill="auto"/>
          </w:tcPr>
          <w:p w14:paraId="7A0C56A2">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46648C06">
            <w:pPr>
              <w:widowControl/>
              <w:spacing w:line="240" w:lineRule="auto"/>
              <w:ind w:firstLine="0" w:firstLineChars="0"/>
              <w:jc w:val="center"/>
              <w:rPr>
                <w:color w:val="auto"/>
                <w:kern w:val="0"/>
                <w:sz w:val="21"/>
                <w:szCs w:val="21"/>
              </w:rPr>
            </w:pPr>
            <w:r>
              <w:rPr>
                <w:rFonts w:hint="eastAsia"/>
                <w:color w:val="auto"/>
                <w:sz w:val="21"/>
                <w:szCs w:val="21"/>
              </w:rPr>
              <w:t>7.95E-05</w:t>
            </w:r>
          </w:p>
        </w:tc>
        <w:tc>
          <w:tcPr>
            <w:tcW w:w="212" w:type="pct"/>
            <w:shd w:val="clear" w:color="auto" w:fill="auto"/>
          </w:tcPr>
          <w:p w14:paraId="1A5C8FBC">
            <w:pPr>
              <w:widowControl/>
              <w:spacing w:line="240" w:lineRule="auto"/>
              <w:ind w:firstLine="0" w:firstLineChars="0"/>
              <w:jc w:val="center"/>
              <w:rPr>
                <w:color w:val="auto"/>
                <w:kern w:val="0"/>
                <w:sz w:val="21"/>
                <w:szCs w:val="21"/>
              </w:rPr>
            </w:pPr>
            <w:r>
              <w:rPr>
                <w:rFonts w:hint="eastAsia"/>
                <w:color w:val="auto"/>
                <w:sz w:val="21"/>
                <w:szCs w:val="21"/>
              </w:rPr>
              <w:t>0.01</w:t>
            </w:r>
          </w:p>
        </w:tc>
      </w:tr>
      <w:tr w14:paraId="29F17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359E7BB">
            <w:pPr>
              <w:widowControl/>
              <w:spacing w:line="240" w:lineRule="auto"/>
              <w:ind w:firstLine="0" w:firstLineChars="0"/>
              <w:jc w:val="center"/>
              <w:rPr>
                <w:color w:val="auto"/>
                <w:kern w:val="0"/>
                <w:sz w:val="21"/>
                <w:szCs w:val="21"/>
              </w:rPr>
            </w:pPr>
            <w:r>
              <w:rPr>
                <w:color w:val="auto"/>
                <w:sz w:val="21"/>
                <w:szCs w:val="21"/>
              </w:rPr>
              <w:t>1850</w:t>
            </w:r>
          </w:p>
        </w:tc>
        <w:tc>
          <w:tcPr>
            <w:tcW w:w="420" w:type="pct"/>
            <w:shd w:val="clear" w:color="auto" w:fill="auto"/>
            <w:noWrap/>
          </w:tcPr>
          <w:p w14:paraId="6B1BCE84">
            <w:pPr>
              <w:widowControl/>
              <w:spacing w:line="240" w:lineRule="auto"/>
              <w:ind w:firstLine="0" w:firstLineChars="0"/>
              <w:jc w:val="center"/>
              <w:rPr>
                <w:color w:val="auto"/>
                <w:kern w:val="0"/>
                <w:sz w:val="21"/>
                <w:szCs w:val="21"/>
              </w:rPr>
            </w:pPr>
            <w:r>
              <w:rPr>
                <w:rFonts w:hint="eastAsia"/>
                <w:color w:val="auto"/>
                <w:sz w:val="21"/>
                <w:szCs w:val="21"/>
              </w:rPr>
              <w:t>7.07E-05</w:t>
            </w:r>
          </w:p>
        </w:tc>
        <w:tc>
          <w:tcPr>
            <w:tcW w:w="292" w:type="pct"/>
            <w:shd w:val="clear" w:color="auto" w:fill="auto"/>
            <w:noWrap/>
          </w:tcPr>
          <w:p w14:paraId="24CE9923">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4D59EDF">
            <w:pPr>
              <w:widowControl/>
              <w:spacing w:line="240" w:lineRule="auto"/>
              <w:ind w:firstLine="0" w:firstLineChars="0"/>
              <w:jc w:val="center"/>
              <w:rPr>
                <w:color w:val="auto"/>
                <w:kern w:val="0"/>
                <w:sz w:val="21"/>
                <w:szCs w:val="21"/>
              </w:rPr>
            </w:pPr>
            <w:r>
              <w:rPr>
                <w:rFonts w:hint="eastAsia"/>
                <w:color w:val="auto"/>
                <w:sz w:val="21"/>
                <w:szCs w:val="21"/>
              </w:rPr>
              <w:t>4.98E-05</w:t>
            </w:r>
          </w:p>
        </w:tc>
        <w:tc>
          <w:tcPr>
            <w:tcW w:w="376" w:type="pct"/>
            <w:shd w:val="clear" w:color="auto" w:fill="auto"/>
          </w:tcPr>
          <w:p w14:paraId="323C8B9B">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7C494CB">
            <w:pPr>
              <w:widowControl/>
              <w:spacing w:line="240" w:lineRule="auto"/>
              <w:ind w:firstLine="0" w:firstLineChars="0"/>
              <w:jc w:val="center"/>
              <w:rPr>
                <w:color w:val="auto"/>
                <w:kern w:val="0"/>
                <w:sz w:val="21"/>
                <w:szCs w:val="21"/>
              </w:rPr>
            </w:pPr>
            <w:r>
              <w:rPr>
                <w:rFonts w:hint="eastAsia"/>
                <w:color w:val="auto"/>
                <w:sz w:val="21"/>
                <w:szCs w:val="21"/>
              </w:rPr>
              <w:t>4.56E-04</w:t>
            </w:r>
          </w:p>
        </w:tc>
        <w:tc>
          <w:tcPr>
            <w:tcW w:w="239" w:type="pct"/>
            <w:shd w:val="clear" w:color="auto" w:fill="auto"/>
          </w:tcPr>
          <w:p w14:paraId="2B8D27A2">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61363D4D">
            <w:pPr>
              <w:widowControl/>
              <w:spacing w:line="240" w:lineRule="auto"/>
              <w:ind w:firstLine="0" w:firstLineChars="0"/>
              <w:jc w:val="center"/>
              <w:rPr>
                <w:color w:val="auto"/>
                <w:kern w:val="0"/>
                <w:sz w:val="21"/>
                <w:szCs w:val="21"/>
              </w:rPr>
            </w:pPr>
            <w:r>
              <w:rPr>
                <w:rFonts w:hint="eastAsia"/>
                <w:color w:val="auto"/>
                <w:sz w:val="21"/>
                <w:szCs w:val="21"/>
              </w:rPr>
              <w:t>4.71E-05</w:t>
            </w:r>
          </w:p>
        </w:tc>
        <w:tc>
          <w:tcPr>
            <w:tcW w:w="206" w:type="pct"/>
            <w:shd w:val="clear" w:color="auto" w:fill="auto"/>
          </w:tcPr>
          <w:p w14:paraId="78DAAFC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78973CD6">
            <w:pPr>
              <w:widowControl/>
              <w:spacing w:line="240" w:lineRule="auto"/>
              <w:ind w:firstLine="0" w:firstLineChars="0"/>
              <w:jc w:val="center"/>
              <w:rPr>
                <w:color w:val="auto"/>
                <w:sz w:val="21"/>
                <w:szCs w:val="21"/>
              </w:rPr>
            </w:pPr>
            <w:r>
              <w:rPr>
                <w:rFonts w:hint="eastAsia"/>
                <w:color w:val="auto"/>
                <w:sz w:val="21"/>
                <w:szCs w:val="21"/>
              </w:rPr>
              <w:t>3.41E-05</w:t>
            </w:r>
          </w:p>
        </w:tc>
        <w:tc>
          <w:tcPr>
            <w:tcW w:w="170" w:type="pct"/>
          </w:tcPr>
          <w:p w14:paraId="5D05D733">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41DAA4D">
            <w:pPr>
              <w:widowControl/>
              <w:spacing w:line="240" w:lineRule="auto"/>
              <w:ind w:firstLine="0" w:firstLineChars="0"/>
              <w:jc w:val="center"/>
              <w:rPr>
                <w:color w:val="auto"/>
                <w:kern w:val="0"/>
                <w:sz w:val="21"/>
                <w:szCs w:val="21"/>
              </w:rPr>
            </w:pPr>
            <w:r>
              <w:rPr>
                <w:rFonts w:hint="eastAsia"/>
                <w:color w:val="auto"/>
                <w:sz w:val="21"/>
                <w:szCs w:val="21"/>
              </w:rPr>
              <w:t>3.12E-04</w:t>
            </w:r>
          </w:p>
        </w:tc>
        <w:tc>
          <w:tcPr>
            <w:tcW w:w="172" w:type="pct"/>
            <w:shd w:val="clear" w:color="auto" w:fill="auto"/>
          </w:tcPr>
          <w:p w14:paraId="411B1F98">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4897D8F8">
            <w:pPr>
              <w:widowControl/>
              <w:spacing w:line="240" w:lineRule="auto"/>
              <w:ind w:firstLine="0" w:firstLineChars="0"/>
              <w:jc w:val="center"/>
              <w:rPr>
                <w:color w:val="auto"/>
                <w:kern w:val="0"/>
                <w:sz w:val="21"/>
                <w:szCs w:val="21"/>
              </w:rPr>
            </w:pPr>
            <w:r>
              <w:rPr>
                <w:rFonts w:hint="eastAsia"/>
                <w:color w:val="auto"/>
                <w:sz w:val="21"/>
                <w:szCs w:val="21"/>
              </w:rPr>
              <w:t>7.93E-05</w:t>
            </w:r>
          </w:p>
        </w:tc>
        <w:tc>
          <w:tcPr>
            <w:tcW w:w="212" w:type="pct"/>
            <w:shd w:val="clear" w:color="auto" w:fill="auto"/>
          </w:tcPr>
          <w:p w14:paraId="046B7844">
            <w:pPr>
              <w:widowControl/>
              <w:spacing w:line="240" w:lineRule="auto"/>
              <w:ind w:firstLine="0" w:firstLineChars="0"/>
              <w:jc w:val="center"/>
              <w:rPr>
                <w:color w:val="auto"/>
                <w:kern w:val="0"/>
                <w:sz w:val="21"/>
                <w:szCs w:val="21"/>
              </w:rPr>
            </w:pPr>
            <w:r>
              <w:rPr>
                <w:rFonts w:hint="eastAsia"/>
                <w:color w:val="auto"/>
                <w:sz w:val="21"/>
                <w:szCs w:val="21"/>
              </w:rPr>
              <w:t>0.01</w:t>
            </w:r>
          </w:p>
        </w:tc>
      </w:tr>
      <w:tr w14:paraId="1FBD7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F8F09E3">
            <w:pPr>
              <w:widowControl/>
              <w:spacing w:line="240" w:lineRule="auto"/>
              <w:ind w:firstLine="0" w:firstLineChars="0"/>
              <w:jc w:val="center"/>
              <w:rPr>
                <w:color w:val="auto"/>
                <w:kern w:val="0"/>
                <w:sz w:val="21"/>
                <w:szCs w:val="21"/>
              </w:rPr>
            </w:pPr>
            <w:r>
              <w:rPr>
                <w:color w:val="auto"/>
                <w:sz w:val="21"/>
                <w:szCs w:val="21"/>
              </w:rPr>
              <w:t>1875</w:t>
            </w:r>
          </w:p>
        </w:tc>
        <w:tc>
          <w:tcPr>
            <w:tcW w:w="420" w:type="pct"/>
            <w:shd w:val="clear" w:color="auto" w:fill="auto"/>
            <w:noWrap/>
          </w:tcPr>
          <w:p w14:paraId="1D7B0556">
            <w:pPr>
              <w:widowControl/>
              <w:spacing w:line="240" w:lineRule="auto"/>
              <w:ind w:firstLine="0" w:firstLineChars="0"/>
              <w:jc w:val="center"/>
              <w:rPr>
                <w:color w:val="auto"/>
                <w:kern w:val="0"/>
                <w:sz w:val="21"/>
                <w:szCs w:val="21"/>
              </w:rPr>
            </w:pPr>
            <w:r>
              <w:rPr>
                <w:rFonts w:hint="eastAsia"/>
                <w:color w:val="auto"/>
                <w:sz w:val="21"/>
                <w:szCs w:val="21"/>
              </w:rPr>
              <w:t>7.06E-05</w:t>
            </w:r>
          </w:p>
        </w:tc>
        <w:tc>
          <w:tcPr>
            <w:tcW w:w="292" w:type="pct"/>
            <w:shd w:val="clear" w:color="auto" w:fill="auto"/>
            <w:noWrap/>
          </w:tcPr>
          <w:p w14:paraId="13886CBE">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3C066D9">
            <w:pPr>
              <w:widowControl/>
              <w:spacing w:line="240" w:lineRule="auto"/>
              <w:ind w:firstLine="0" w:firstLineChars="0"/>
              <w:jc w:val="center"/>
              <w:rPr>
                <w:color w:val="auto"/>
                <w:kern w:val="0"/>
                <w:sz w:val="21"/>
                <w:szCs w:val="21"/>
              </w:rPr>
            </w:pPr>
            <w:r>
              <w:rPr>
                <w:rFonts w:hint="eastAsia"/>
                <w:color w:val="auto"/>
                <w:sz w:val="21"/>
                <w:szCs w:val="21"/>
              </w:rPr>
              <w:t>4.97E-05</w:t>
            </w:r>
          </w:p>
        </w:tc>
        <w:tc>
          <w:tcPr>
            <w:tcW w:w="376" w:type="pct"/>
            <w:shd w:val="clear" w:color="auto" w:fill="auto"/>
          </w:tcPr>
          <w:p w14:paraId="37368B0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27FFFC8">
            <w:pPr>
              <w:widowControl/>
              <w:spacing w:line="240" w:lineRule="auto"/>
              <w:ind w:firstLine="0" w:firstLineChars="0"/>
              <w:jc w:val="center"/>
              <w:rPr>
                <w:color w:val="auto"/>
                <w:kern w:val="0"/>
                <w:sz w:val="21"/>
                <w:szCs w:val="21"/>
              </w:rPr>
            </w:pPr>
            <w:r>
              <w:rPr>
                <w:rFonts w:hint="eastAsia"/>
                <w:color w:val="auto"/>
                <w:sz w:val="21"/>
                <w:szCs w:val="21"/>
              </w:rPr>
              <w:t>4.55E-04</w:t>
            </w:r>
          </w:p>
        </w:tc>
        <w:tc>
          <w:tcPr>
            <w:tcW w:w="239" w:type="pct"/>
            <w:shd w:val="clear" w:color="auto" w:fill="auto"/>
          </w:tcPr>
          <w:p w14:paraId="438461A4">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48A29D14">
            <w:pPr>
              <w:widowControl/>
              <w:spacing w:line="240" w:lineRule="auto"/>
              <w:ind w:firstLine="0" w:firstLineChars="0"/>
              <w:jc w:val="center"/>
              <w:rPr>
                <w:color w:val="auto"/>
                <w:kern w:val="0"/>
                <w:sz w:val="21"/>
                <w:szCs w:val="21"/>
              </w:rPr>
            </w:pPr>
            <w:r>
              <w:rPr>
                <w:rFonts w:hint="eastAsia"/>
                <w:color w:val="auto"/>
                <w:sz w:val="21"/>
                <w:szCs w:val="21"/>
              </w:rPr>
              <w:t>4.70E-05</w:t>
            </w:r>
          </w:p>
        </w:tc>
        <w:tc>
          <w:tcPr>
            <w:tcW w:w="206" w:type="pct"/>
            <w:shd w:val="clear" w:color="auto" w:fill="auto"/>
          </w:tcPr>
          <w:p w14:paraId="2170F391">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53CB95A">
            <w:pPr>
              <w:widowControl/>
              <w:spacing w:line="240" w:lineRule="auto"/>
              <w:ind w:firstLine="0" w:firstLineChars="0"/>
              <w:jc w:val="center"/>
              <w:rPr>
                <w:color w:val="auto"/>
                <w:sz w:val="21"/>
                <w:szCs w:val="21"/>
              </w:rPr>
            </w:pPr>
            <w:r>
              <w:rPr>
                <w:rFonts w:hint="eastAsia"/>
                <w:color w:val="auto"/>
                <w:sz w:val="21"/>
                <w:szCs w:val="21"/>
              </w:rPr>
              <w:t>3.40E-05</w:t>
            </w:r>
          </w:p>
        </w:tc>
        <w:tc>
          <w:tcPr>
            <w:tcW w:w="170" w:type="pct"/>
          </w:tcPr>
          <w:p w14:paraId="059F639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EBCBD5F">
            <w:pPr>
              <w:widowControl/>
              <w:spacing w:line="240" w:lineRule="auto"/>
              <w:ind w:firstLine="0" w:firstLineChars="0"/>
              <w:jc w:val="center"/>
              <w:rPr>
                <w:color w:val="auto"/>
                <w:kern w:val="0"/>
                <w:sz w:val="21"/>
                <w:szCs w:val="21"/>
              </w:rPr>
            </w:pPr>
            <w:r>
              <w:rPr>
                <w:rFonts w:hint="eastAsia"/>
                <w:color w:val="auto"/>
                <w:sz w:val="21"/>
                <w:szCs w:val="21"/>
              </w:rPr>
              <w:t>3.11E-04</w:t>
            </w:r>
          </w:p>
        </w:tc>
        <w:tc>
          <w:tcPr>
            <w:tcW w:w="172" w:type="pct"/>
            <w:shd w:val="clear" w:color="auto" w:fill="auto"/>
          </w:tcPr>
          <w:p w14:paraId="39B9C8B8">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7560134">
            <w:pPr>
              <w:widowControl/>
              <w:spacing w:line="240" w:lineRule="auto"/>
              <w:ind w:firstLine="0" w:firstLineChars="0"/>
              <w:jc w:val="center"/>
              <w:rPr>
                <w:color w:val="auto"/>
                <w:kern w:val="0"/>
                <w:sz w:val="21"/>
                <w:szCs w:val="21"/>
              </w:rPr>
            </w:pPr>
            <w:r>
              <w:rPr>
                <w:rFonts w:hint="eastAsia"/>
                <w:color w:val="auto"/>
                <w:sz w:val="21"/>
                <w:szCs w:val="21"/>
              </w:rPr>
              <w:t>7.91E-05</w:t>
            </w:r>
          </w:p>
        </w:tc>
        <w:tc>
          <w:tcPr>
            <w:tcW w:w="212" w:type="pct"/>
            <w:shd w:val="clear" w:color="auto" w:fill="auto"/>
          </w:tcPr>
          <w:p w14:paraId="2978F0DF">
            <w:pPr>
              <w:widowControl/>
              <w:spacing w:line="240" w:lineRule="auto"/>
              <w:ind w:firstLine="0" w:firstLineChars="0"/>
              <w:jc w:val="center"/>
              <w:rPr>
                <w:color w:val="auto"/>
                <w:kern w:val="0"/>
                <w:sz w:val="21"/>
                <w:szCs w:val="21"/>
              </w:rPr>
            </w:pPr>
            <w:r>
              <w:rPr>
                <w:rFonts w:hint="eastAsia"/>
                <w:color w:val="auto"/>
                <w:sz w:val="21"/>
                <w:szCs w:val="21"/>
              </w:rPr>
              <w:t>0.01</w:t>
            </w:r>
          </w:p>
        </w:tc>
      </w:tr>
      <w:tr w14:paraId="4789F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1BFE64D">
            <w:pPr>
              <w:widowControl/>
              <w:spacing w:line="240" w:lineRule="auto"/>
              <w:ind w:firstLine="0" w:firstLineChars="0"/>
              <w:jc w:val="center"/>
              <w:rPr>
                <w:color w:val="auto"/>
                <w:kern w:val="0"/>
                <w:sz w:val="21"/>
                <w:szCs w:val="21"/>
              </w:rPr>
            </w:pPr>
            <w:r>
              <w:rPr>
                <w:color w:val="auto"/>
                <w:sz w:val="21"/>
                <w:szCs w:val="21"/>
              </w:rPr>
              <w:t>1900</w:t>
            </w:r>
          </w:p>
        </w:tc>
        <w:tc>
          <w:tcPr>
            <w:tcW w:w="420" w:type="pct"/>
            <w:shd w:val="clear" w:color="auto" w:fill="auto"/>
            <w:noWrap/>
          </w:tcPr>
          <w:p w14:paraId="79F2DEA0">
            <w:pPr>
              <w:widowControl/>
              <w:spacing w:line="240" w:lineRule="auto"/>
              <w:ind w:firstLine="0" w:firstLineChars="0"/>
              <w:jc w:val="center"/>
              <w:rPr>
                <w:color w:val="auto"/>
                <w:kern w:val="0"/>
                <w:sz w:val="21"/>
                <w:szCs w:val="21"/>
              </w:rPr>
            </w:pPr>
            <w:r>
              <w:rPr>
                <w:rFonts w:hint="eastAsia"/>
                <w:color w:val="auto"/>
                <w:sz w:val="21"/>
                <w:szCs w:val="21"/>
              </w:rPr>
              <w:t>7.04E-05</w:t>
            </w:r>
          </w:p>
        </w:tc>
        <w:tc>
          <w:tcPr>
            <w:tcW w:w="292" w:type="pct"/>
            <w:shd w:val="clear" w:color="auto" w:fill="auto"/>
            <w:noWrap/>
          </w:tcPr>
          <w:p w14:paraId="7553AB5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5E11554">
            <w:pPr>
              <w:widowControl/>
              <w:spacing w:line="240" w:lineRule="auto"/>
              <w:ind w:firstLine="0" w:firstLineChars="0"/>
              <w:jc w:val="center"/>
              <w:rPr>
                <w:color w:val="auto"/>
                <w:kern w:val="0"/>
                <w:sz w:val="21"/>
                <w:szCs w:val="21"/>
              </w:rPr>
            </w:pPr>
            <w:r>
              <w:rPr>
                <w:rFonts w:hint="eastAsia"/>
                <w:color w:val="auto"/>
                <w:sz w:val="21"/>
                <w:szCs w:val="21"/>
              </w:rPr>
              <w:t>4.95E-05</w:t>
            </w:r>
          </w:p>
        </w:tc>
        <w:tc>
          <w:tcPr>
            <w:tcW w:w="376" w:type="pct"/>
            <w:shd w:val="clear" w:color="auto" w:fill="auto"/>
          </w:tcPr>
          <w:p w14:paraId="46FC0092">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CAEBEB3">
            <w:pPr>
              <w:widowControl/>
              <w:spacing w:line="240" w:lineRule="auto"/>
              <w:ind w:firstLine="0" w:firstLineChars="0"/>
              <w:jc w:val="center"/>
              <w:rPr>
                <w:color w:val="auto"/>
                <w:kern w:val="0"/>
                <w:sz w:val="21"/>
                <w:szCs w:val="21"/>
              </w:rPr>
            </w:pPr>
            <w:r>
              <w:rPr>
                <w:rFonts w:hint="eastAsia"/>
                <w:color w:val="auto"/>
                <w:sz w:val="21"/>
                <w:szCs w:val="21"/>
              </w:rPr>
              <w:t>4.54E-04</w:t>
            </w:r>
          </w:p>
        </w:tc>
        <w:tc>
          <w:tcPr>
            <w:tcW w:w="239" w:type="pct"/>
            <w:shd w:val="clear" w:color="auto" w:fill="auto"/>
          </w:tcPr>
          <w:p w14:paraId="66D6B4D0">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55E37CF5">
            <w:pPr>
              <w:widowControl/>
              <w:spacing w:line="240" w:lineRule="auto"/>
              <w:ind w:firstLine="0" w:firstLineChars="0"/>
              <w:jc w:val="center"/>
              <w:rPr>
                <w:color w:val="auto"/>
                <w:kern w:val="0"/>
                <w:sz w:val="21"/>
                <w:szCs w:val="21"/>
              </w:rPr>
            </w:pPr>
            <w:r>
              <w:rPr>
                <w:rFonts w:hint="eastAsia"/>
                <w:color w:val="auto"/>
                <w:sz w:val="21"/>
                <w:szCs w:val="21"/>
              </w:rPr>
              <w:t>4.69E-05</w:t>
            </w:r>
          </w:p>
        </w:tc>
        <w:tc>
          <w:tcPr>
            <w:tcW w:w="206" w:type="pct"/>
            <w:shd w:val="clear" w:color="auto" w:fill="auto"/>
          </w:tcPr>
          <w:p w14:paraId="133DA457">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3ED64F35">
            <w:pPr>
              <w:widowControl/>
              <w:spacing w:line="240" w:lineRule="auto"/>
              <w:ind w:firstLine="0" w:firstLineChars="0"/>
              <w:jc w:val="center"/>
              <w:rPr>
                <w:color w:val="auto"/>
                <w:sz w:val="21"/>
                <w:szCs w:val="21"/>
              </w:rPr>
            </w:pPr>
            <w:r>
              <w:rPr>
                <w:rFonts w:hint="eastAsia"/>
                <w:color w:val="auto"/>
                <w:sz w:val="21"/>
                <w:szCs w:val="21"/>
              </w:rPr>
              <w:t>3.39E-05</w:t>
            </w:r>
          </w:p>
        </w:tc>
        <w:tc>
          <w:tcPr>
            <w:tcW w:w="170" w:type="pct"/>
          </w:tcPr>
          <w:p w14:paraId="3EA98789">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8C16019">
            <w:pPr>
              <w:widowControl/>
              <w:spacing w:line="240" w:lineRule="auto"/>
              <w:ind w:firstLine="0" w:firstLineChars="0"/>
              <w:jc w:val="center"/>
              <w:rPr>
                <w:color w:val="auto"/>
                <w:kern w:val="0"/>
                <w:sz w:val="21"/>
                <w:szCs w:val="21"/>
              </w:rPr>
            </w:pPr>
            <w:r>
              <w:rPr>
                <w:rFonts w:hint="eastAsia"/>
                <w:color w:val="auto"/>
                <w:sz w:val="21"/>
                <w:szCs w:val="21"/>
              </w:rPr>
              <w:t>3.10E-04</w:t>
            </w:r>
          </w:p>
        </w:tc>
        <w:tc>
          <w:tcPr>
            <w:tcW w:w="172" w:type="pct"/>
            <w:shd w:val="clear" w:color="auto" w:fill="auto"/>
          </w:tcPr>
          <w:p w14:paraId="7D9063F0">
            <w:pPr>
              <w:widowControl/>
              <w:spacing w:line="240" w:lineRule="auto"/>
              <w:ind w:firstLine="0" w:firstLineChars="0"/>
              <w:jc w:val="center"/>
              <w:rPr>
                <w:color w:val="auto"/>
                <w:kern w:val="0"/>
                <w:sz w:val="21"/>
                <w:szCs w:val="21"/>
              </w:rPr>
            </w:pPr>
            <w:r>
              <w:rPr>
                <w:rFonts w:hint="eastAsia"/>
                <w:color w:val="auto"/>
                <w:sz w:val="21"/>
                <w:szCs w:val="21"/>
              </w:rPr>
              <w:t>0.16</w:t>
            </w:r>
          </w:p>
        </w:tc>
        <w:tc>
          <w:tcPr>
            <w:tcW w:w="384" w:type="pct"/>
            <w:shd w:val="clear" w:color="auto" w:fill="auto"/>
          </w:tcPr>
          <w:p w14:paraId="2756EB9F">
            <w:pPr>
              <w:widowControl/>
              <w:spacing w:line="240" w:lineRule="auto"/>
              <w:ind w:firstLine="0" w:firstLineChars="0"/>
              <w:jc w:val="center"/>
              <w:rPr>
                <w:color w:val="auto"/>
                <w:kern w:val="0"/>
                <w:sz w:val="21"/>
                <w:szCs w:val="21"/>
              </w:rPr>
            </w:pPr>
            <w:r>
              <w:rPr>
                <w:rFonts w:hint="eastAsia"/>
                <w:color w:val="auto"/>
                <w:sz w:val="21"/>
                <w:szCs w:val="21"/>
              </w:rPr>
              <w:t>7.89E-05</w:t>
            </w:r>
          </w:p>
        </w:tc>
        <w:tc>
          <w:tcPr>
            <w:tcW w:w="212" w:type="pct"/>
            <w:shd w:val="clear" w:color="auto" w:fill="auto"/>
          </w:tcPr>
          <w:p w14:paraId="4C99E8EF">
            <w:pPr>
              <w:widowControl/>
              <w:spacing w:line="240" w:lineRule="auto"/>
              <w:ind w:firstLine="0" w:firstLineChars="0"/>
              <w:jc w:val="center"/>
              <w:rPr>
                <w:color w:val="auto"/>
                <w:kern w:val="0"/>
                <w:sz w:val="21"/>
                <w:szCs w:val="21"/>
              </w:rPr>
            </w:pPr>
            <w:r>
              <w:rPr>
                <w:rFonts w:hint="eastAsia"/>
                <w:color w:val="auto"/>
                <w:sz w:val="21"/>
                <w:szCs w:val="21"/>
              </w:rPr>
              <w:t>0.01</w:t>
            </w:r>
          </w:p>
        </w:tc>
      </w:tr>
      <w:tr w14:paraId="7ECD3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40F3FD6">
            <w:pPr>
              <w:widowControl/>
              <w:spacing w:line="240" w:lineRule="auto"/>
              <w:ind w:firstLine="0" w:firstLineChars="0"/>
              <w:jc w:val="center"/>
              <w:rPr>
                <w:color w:val="auto"/>
                <w:kern w:val="0"/>
                <w:sz w:val="21"/>
                <w:szCs w:val="21"/>
              </w:rPr>
            </w:pPr>
            <w:r>
              <w:rPr>
                <w:color w:val="auto"/>
                <w:sz w:val="21"/>
                <w:szCs w:val="21"/>
              </w:rPr>
              <w:t>1925</w:t>
            </w:r>
          </w:p>
        </w:tc>
        <w:tc>
          <w:tcPr>
            <w:tcW w:w="420" w:type="pct"/>
            <w:shd w:val="clear" w:color="auto" w:fill="auto"/>
            <w:noWrap/>
          </w:tcPr>
          <w:p w14:paraId="2810AA18">
            <w:pPr>
              <w:widowControl/>
              <w:spacing w:line="240" w:lineRule="auto"/>
              <w:ind w:firstLine="0" w:firstLineChars="0"/>
              <w:jc w:val="center"/>
              <w:rPr>
                <w:color w:val="auto"/>
                <w:kern w:val="0"/>
                <w:sz w:val="21"/>
                <w:szCs w:val="21"/>
              </w:rPr>
            </w:pPr>
            <w:r>
              <w:rPr>
                <w:rFonts w:hint="eastAsia"/>
                <w:color w:val="auto"/>
                <w:sz w:val="21"/>
                <w:szCs w:val="21"/>
              </w:rPr>
              <w:t>7.02E-05</w:t>
            </w:r>
          </w:p>
        </w:tc>
        <w:tc>
          <w:tcPr>
            <w:tcW w:w="292" w:type="pct"/>
            <w:shd w:val="clear" w:color="auto" w:fill="auto"/>
            <w:noWrap/>
          </w:tcPr>
          <w:p w14:paraId="225A1AC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5C2501B">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376" w:type="pct"/>
            <w:shd w:val="clear" w:color="auto" w:fill="auto"/>
          </w:tcPr>
          <w:p w14:paraId="3A8819C4">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125134B8">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50603961">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6862378">
            <w:pPr>
              <w:widowControl/>
              <w:spacing w:line="240" w:lineRule="auto"/>
              <w:ind w:firstLine="0" w:firstLineChars="0"/>
              <w:jc w:val="center"/>
              <w:rPr>
                <w:color w:val="auto"/>
                <w:kern w:val="0"/>
                <w:sz w:val="21"/>
                <w:szCs w:val="21"/>
              </w:rPr>
            </w:pPr>
            <w:r>
              <w:rPr>
                <w:rFonts w:hint="eastAsia"/>
                <w:color w:val="auto"/>
                <w:sz w:val="21"/>
                <w:szCs w:val="21"/>
              </w:rPr>
              <w:t>4.68E-05</w:t>
            </w:r>
          </w:p>
        </w:tc>
        <w:tc>
          <w:tcPr>
            <w:tcW w:w="206" w:type="pct"/>
            <w:shd w:val="clear" w:color="auto" w:fill="auto"/>
          </w:tcPr>
          <w:p w14:paraId="330B7548">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99F17F5">
            <w:pPr>
              <w:widowControl/>
              <w:spacing w:line="240" w:lineRule="auto"/>
              <w:ind w:firstLine="0" w:firstLineChars="0"/>
              <w:jc w:val="center"/>
              <w:rPr>
                <w:color w:val="auto"/>
                <w:sz w:val="21"/>
                <w:szCs w:val="21"/>
              </w:rPr>
            </w:pPr>
            <w:r>
              <w:rPr>
                <w:rFonts w:hint="eastAsia"/>
                <w:color w:val="auto"/>
                <w:sz w:val="21"/>
                <w:szCs w:val="21"/>
              </w:rPr>
              <w:t>3.38E-05</w:t>
            </w:r>
          </w:p>
        </w:tc>
        <w:tc>
          <w:tcPr>
            <w:tcW w:w="170" w:type="pct"/>
          </w:tcPr>
          <w:p w14:paraId="4766F2D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37DE31D">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1F7EA94D">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5931B9AD">
            <w:pPr>
              <w:widowControl/>
              <w:spacing w:line="240" w:lineRule="auto"/>
              <w:ind w:firstLine="0" w:firstLineChars="0"/>
              <w:jc w:val="center"/>
              <w:rPr>
                <w:color w:val="auto"/>
                <w:kern w:val="0"/>
                <w:sz w:val="21"/>
                <w:szCs w:val="21"/>
              </w:rPr>
            </w:pPr>
            <w:r>
              <w:rPr>
                <w:rFonts w:hint="eastAsia"/>
                <w:color w:val="auto"/>
                <w:sz w:val="21"/>
                <w:szCs w:val="21"/>
              </w:rPr>
              <w:t>7.87E-05</w:t>
            </w:r>
          </w:p>
        </w:tc>
        <w:tc>
          <w:tcPr>
            <w:tcW w:w="212" w:type="pct"/>
            <w:shd w:val="clear" w:color="auto" w:fill="auto"/>
          </w:tcPr>
          <w:p w14:paraId="63ACFF5B">
            <w:pPr>
              <w:widowControl/>
              <w:spacing w:line="240" w:lineRule="auto"/>
              <w:ind w:firstLine="0" w:firstLineChars="0"/>
              <w:jc w:val="center"/>
              <w:rPr>
                <w:color w:val="auto"/>
                <w:kern w:val="0"/>
                <w:sz w:val="21"/>
                <w:szCs w:val="21"/>
              </w:rPr>
            </w:pPr>
            <w:r>
              <w:rPr>
                <w:rFonts w:hint="eastAsia"/>
                <w:color w:val="auto"/>
                <w:sz w:val="21"/>
                <w:szCs w:val="21"/>
              </w:rPr>
              <w:t>0.01</w:t>
            </w:r>
          </w:p>
        </w:tc>
      </w:tr>
      <w:tr w14:paraId="500EF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2415EB5">
            <w:pPr>
              <w:widowControl/>
              <w:spacing w:line="240" w:lineRule="auto"/>
              <w:ind w:firstLine="0" w:firstLineChars="0"/>
              <w:jc w:val="center"/>
              <w:rPr>
                <w:color w:val="auto"/>
                <w:kern w:val="0"/>
                <w:sz w:val="21"/>
                <w:szCs w:val="21"/>
              </w:rPr>
            </w:pPr>
            <w:r>
              <w:rPr>
                <w:color w:val="auto"/>
                <w:sz w:val="21"/>
                <w:szCs w:val="21"/>
              </w:rPr>
              <w:t>1950</w:t>
            </w:r>
          </w:p>
        </w:tc>
        <w:tc>
          <w:tcPr>
            <w:tcW w:w="420" w:type="pct"/>
            <w:shd w:val="clear" w:color="auto" w:fill="auto"/>
            <w:noWrap/>
          </w:tcPr>
          <w:p w14:paraId="40DB0020">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92" w:type="pct"/>
            <w:shd w:val="clear" w:color="auto" w:fill="auto"/>
            <w:noWrap/>
          </w:tcPr>
          <w:p w14:paraId="2CA0923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715D924">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0C380469">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C0DEAD0">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1CF61005">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6D15D38">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48F1F92C">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5F0DFEF">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04CB8A3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F82819B">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1CB2C312">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10F24004">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212" w:type="pct"/>
            <w:shd w:val="clear" w:color="auto" w:fill="auto"/>
          </w:tcPr>
          <w:p w14:paraId="388E8EF4">
            <w:pPr>
              <w:widowControl/>
              <w:spacing w:line="240" w:lineRule="auto"/>
              <w:ind w:firstLine="0" w:firstLineChars="0"/>
              <w:jc w:val="center"/>
              <w:rPr>
                <w:color w:val="auto"/>
                <w:kern w:val="0"/>
                <w:sz w:val="21"/>
                <w:szCs w:val="21"/>
              </w:rPr>
            </w:pPr>
            <w:r>
              <w:rPr>
                <w:rFonts w:hint="eastAsia"/>
                <w:color w:val="auto"/>
                <w:sz w:val="21"/>
                <w:szCs w:val="21"/>
              </w:rPr>
              <w:t>0.01</w:t>
            </w:r>
          </w:p>
        </w:tc>
      </w:tr>
      <w:tr w14:paraId="44FAD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8CC14C9">
            <w:pPr>
              <w:widowControl/>
              <w:spacing w:line="240" w:lineRule="auto"/>
              <w:ind w:firstLine="0" w:firstLineChars="0"/>
              <w:jc w:val="center"/>
              <w:rPr>
                <w:color w:val="auto"/>
                <w:kern w:val="0"/>
                <w:sz w:val="21"/>
                <w:szCs w:val="21"/>
              </w:rPr>
            </w:pPr>
            <w:r>
              <w:rPr>
                <w:color w:val="auto"/>
                <w:sz w:val="21"/>
                <w:szCs w:val="21"/>
              </w:rPr>
              <w:t>1975</w:t>
            </w:r>
          </w:p>
        </w:tc>
        <w:tc>
          <w:tcPr>
            <w:tcW w:w="420" w:type="pct"/>
            <w:shd w:val="clear" w:color="auto" w:fill="auto"/>
            <w:noWrap/>
          </w:tcPr>
          <w:p w14:paraId="784661B8">
            <w:pPr>
              <w:widowControl/>
              <w:spacing w:line="240" w:lineRule="auto"/>
              <w:ind w:firstLine="0" w:firstLineChars="0"/>
              <w:jc w:val="center"/>
              <w:rPr>
                <w:color w:val="auto"/>
                <w:kern w:val="0"/>
                <w:sz w:val="21"/>
                <w:szCs w:val="21"/>
              </w:rPr>
            </w:pPr>
            <w:r>
              <w:rPr>
                <w:rFonts w:hint="eastAsia"/>
                <w:color w:val="auto"/>
                <w:sz w:val="21"/>
                <w:szCs w:val="21"/>
              </w:rPr>
              <w:t>6.98E-05</w:t>
            </w:r>
          </w:p>
        </w:tc>
        <w:tc>
          <w:tcPr>
            <w:tcW w:w="292" w:type="pct"/>
            <w:shd w:val="clear" w:color="auto" w:fill="auto"/>
            <w:noWrap/>
          </w:tcPr>
          <w:p w14:paraId="3F1FD5F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36043F7">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376" w:type="pct"/>
            <w:shd w:val="clear" w:color="auto" w:fill="auto"/>
          </w:tcPr>
          <w:p w14:paraId="5F1C2F6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7533FA2">
            <w:pPr>
              <w:widowControl/>
              <w:spacing w:line="240" w:lineRule="auto"/>
              <w:ind w:firstLine="0" w:firstLineChars="0"/>
              <w:jc w:val="center"/>
              <w:rPr>
                <w:color w:val="auto"/>
                <w:kern w:val="0"/>
                <w:sz w:val="21"/>
                <w:szCs w:val="21"/>
              </w:rPr>
            </w:pPr>
            <w:r>
              <w:rPr>
                <w:rFonts w:hint="eastAsia"/>
                <w:color w:val="auto"/>
                <w:sz w:val="21"/>
                <w:szCs w:val="21"/>
              </w:rPr>
              <w:t>4.50E-04</w:t>
            </w:r>
          </w:p>
        </w:tc>
        <w:tc>
          <w:tcPr>
            <w:tcW w:w="239" w:type="pct"/>
            <w:shd w:val="clear" w:color="auto" w:fill="auto"/>
          </w:tcPr>
          <w:p w14:paraId="2FBD130D">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0390B477">
            <w:pPr>
              <w:widowControl/>
              <w:spacing w:line="240" w:lineRule="auto"/>
              <w:ind w:firstLine="0" w:firstLineChars="0"/>
              <w:jc w:val="center"/>
              <w:rPr>
                <w:color w:val="auto"/>
                <w:kern w:val="0"/>
                <w:sz w:val="21"/>
                <w:szCs w:val="21"/>
              </w:rPr>
            </w:pPr>
            <w:r>
              <w:rPr>
                <w:rFonts w:hint="eastAsia"/>
                <w:color w:val="auto"/>
                <w:sz w:val="21"/>
                <w:szCs w:val="21"/>
              </w:rPr>
              <w:t>4.65E-05</w:t>
            </w:r>
          </w:p>
        </w:tc>
        <w:tc>
          <w:tcPr>
            <w:tcW w:w="206" w:type="pct"/>
            <w:shd w:val="clear" w:color="auto" w:fill="auto"/>
          </w:tcPr>
          <w:p w14:paraId="6167EB6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ABFCF9F">
            <w:pPr>
              <w:widowControl/>
              <w:spacing w:line="240" w:lineRule="auto"/>
              <w:ind w:firstLine="0" w:firstLineChars="0"/>
              <w:jc w:val="center"/>
              <w:rPr>
                <w:color w:val="auto"/>
                <w:sz w:val="21"/>
                <w:szCs w:val="21"/>
              </w:rPr>
            </w:pPr>
            <w:r>
              <w:rPr>
                <w:rFonts w:hint="eastAsia"/>
                <w:color w:val="auto"/>
                <w:sz w:val="21"/>
                <w:szCs w:val="21"/>
              </w:rPr>
              <w:t>3.36E-05</w:t>
            </w:r>
          </w:p>
        </w:tc>
        <w:tc>
          <w:tcPr>
            <w:tcW w:w="170" w:type="pct"/>
          </w:tcPr>
          <w:p w14:paraId="5B8CFFD8">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B3FEFB0">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6EDB1431">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65A29329">
            <w:pPr>
              <w:widowControl/>
              <w:spacing w:line="240" w:lineRule="auto"/>
              <w:ind w:firstLine="0" w:firstLineChars="0"/>
              <w:jc w:val="center"/>
              <w:rPr>
                <w:color w:val="auto"/>
                <w:kern w:val="0"/>
                <w:sz w:val="21"/>
                <w:szCs w:val="21"/>
              </w:rPr>
            </w:pPr>
            <w:r>
              <w:rPr>
                <w:rFonts w:hint="eastAsia"/>
                <w:color w:val="auto"/>
                <w:sz w:val="21"/>
                <w:szCs w:val="21"/>
              </w:rPr>
              <w:t>7.83E-05</w:t>
            </w:r>
          </w:p>
        </w:tc>
        <w:tc>
          <w:tcPr>
            <w:tcW w:w="212" w:type="pct"/>
            <w:shd w:val="clear" w:color="auto" w:fill="auto"/>
          </w:tcPr>
          <w:p w14:paraId="28F4735F">
            <w:pPr>
              <w:widowControl/>
              <w:spacing w:line="240" w:lineRule="auto"/>
              <w:ind w:firstLine="0" w:firstLineChars="0"/>
              <w:jc w:val="center"/>
              <w:rPr>
                <w:color w:val="auto"/>
                <w:kern w:val="0"/>
                <w:sz w:val="21"/>
                <w:szCs w:val="21"/>
              </w:rPr>
            </w:pPr>
            <w:r>
              <w:rPr>
                <w:rFonts w:hint="eastAsia"/>
                <w:color w:val="auto"/>
                <w:sz w:val="21"/>
                <w:szCs w:val="21"/>
              </w:rPr>
              <w:t>0.01</w:t>
            </w:r>
          </w:p>
        </w:tc>
      </w:tr>
      <w:tr w14:paraId="1716E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6278195">
            <w:pPr>
              <w:widowControl/>
              <w:spacing w:line="240" w:lineRule="auto"/>
              <w:ind w:firstLine="0" w:firstLineChars="0"/>
              <w:jc w:val="center"/>
              <w:rPr>
                <w:color w:val="auto"/>
                <w:kern w:val="0"/>
                <w:sz w:val="21"/>
                <w:szCs w:val="21"/>
              </w:rPr>
            </w:pPr>
            <w:r>
              <w:rPr>
                <w:color w:val="auto"/>
                <w:sz w:val="21"/>
                <w:szCs w:val="21"/>
              </w:rPr>
              <w:t>2000</w:t>
            </w:r>
          </w:p>
        </w:tc>
        <w:tc>
          <w:tcPr>
            <w:tcW w:w="420" w:type="pct"/>
            <w:shd w:val="clear" w:color="auto" w:fill="auto"/>
            <w:noWrap/>
          </w:tcPr>
          <w:p w14:paraId="14A31D2E">
            <w:pPr>
              <w:widowControl/>
              <w:spacing w:line="240" w:lineRule="auto"/>
              <w:ind w:firstLine="0" w:firstLineChars="0"/>
              <w:jc w:val="center"/>
              <w:rPr>
                <w:color w:val="auto"/>
                <w:kern w:val="0"/>
                <w:sz w:val="21"/>
                <w:szCs w:val="21"/>
              </w:rPr>
            </w:pPr>
            <w:r>
              <w:rPr>
                <w:rFonts w:hint="eastAsia"/>
                <w:color w:val="auto"/>
                <w:sz w:val="21"/>
                <w:szCs w:val="21"/>
              </w:rPr>
              <w:t>6.96E-05</w:t>
            </w:r>
          </w:p>
        </w:tc>
        <w:tc>
          <w:tcPr>
            <w:tcW w:w="292" w:type="pct"/>
            <w:shd w:val="clear" w:color="auto" w:fill="auto"/>
            <w:noWrap/>
          </w:tcPr>
          <w:p w14:paraId="50A31E5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CCFC507">
            <w:pPr>
              <w:widowControl/>
              <w:spacing w:line="240" w:lineRule="auto"/>
              <w:ind w:firstLine="0" w:firstLineChars="0"/>
              <w:jc w:val="center"/>
              <w:rPr>
                <w:color w:val="auto"/>
                <w:kern w:val="0"/>
                <w:sz w:val="21"/>
                <w:szCs w:val="21"/>
              </w:rPr>
            </w:pPr>
            <w:r>
              <w:rPr>
                <w:rFonts w:hint="eastAsia"/>
                <w:color w:val="auto"/>
                <w:sz w:val="21"/>
                <w:szCs w:val="21"/>
              </w:rPr>
              <w:t>4.90E-05</w:t>
            </w:r>
          </w:p>
        </w:tc>
        <w:tc>
          <w:tcPr>
            <w:tcW w:w="376" w:type="pct"/>
            <w:shd w:val="clear" w:color="auto" w:fill="auto"/>
          </w:tcPr>
          <w:p w14:paraId="69C653B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88679D4">
            <w:pPr>
              <w:widowControl/>
              <w:spacing w:line="240" w:lineRule="auto"/>
              <w:ind w:firstLine="0" w:firstLineChars="0"/>
              <w:jc w:val="center"/>
              <w:rPr>
                <w:color w:val="auto"/>
                <w:kern w:val="0"/>
                <w:sz w:val="21"/>
                <w:szCs w:val="21"/>
              </w:rPr>
            </w:pPr>
            <w:r>
              <w:rPr>
                <w:rFonts w:hint="eastAsia"/>
                <w:color w:val="auto"/>
                <w:sz w:val="21"/>
                <w:szCs w:val="21"/>
              </w:rPr>
              <w:t>4.48E-04</w:t>
            </w:r>
          </w:p>
        </w:tc>
        <w:tc>
          <w:tcPr>
            <w:tcW w:w="239" w:type="pct"/>
            <w:shd w:val="clear" w:color="auto" w:fill="auto"/>
          </w:tcPr>
          <w:p w14:paraId="59FCBEDD">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50330012">
            <w:pPr>
              <w:widowControl/>
              <w:spacing w:line="240" w:lineRule="auto"/>
              <w:ind w:firstLine="0" w:firstLineChars="0"/>
              <w:jc w:val="center"/>
              <w:rPr>
                <w:color w:val="auto"/>
                <w:kern w:val="0"/>
                <w:sz w:val="21"/>
                <w:szCs w:val="21"/>
              </w:rPr>
            </w:pPr>
            <w:r>
              <w:rPr>
                <w:rFonts w:hint="eastAsia"/>
                <w:color w:val="auto"/>
                <w:sz w:val="21"/>
                <w:szCs w:val="21"/>
              </w:rPr>
              <w:t>4.64E-05</w:t>
            </w:r>
          </w:p>
        </w:tc>
        <w:tc>
          <w:tcPr>
            <w:tcW w:w="206" w:type="pct"/>
            <w:shd w:val="clear" w:color="auto" w:fill="auto"/>
          </w:tcPr>
          <w:p w14:paraId="4F969FE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0827528">
            <w:pPr>
              <w:widowControl/>
              <w:spacing w:line="240" w:lineRule="auto"/>
              <w:ind w:firstLine="0" w:firstLineChars="0"/>
              <w:jc w:val="center"/>
              <w:rPr>
                <w:color w:val="auto"/>
                <w:sz w:val="21"/>
                <w:szCs w:val="21"/>
              </w:rPr>
            </w:pPr>
            <w:r>
              <w:rPr>
                <w:rFonts w:hint="eastAsia"/>
                <w:color w:val="auto"/>
                <w:sz w:val="21"/>
                <w:szCs w:val="21"/>
              </w:rPr>
              <w:t>3.35E-05</w:t>
            </w:r>
          </w:p>
        </w:tc>
        <w:tc>
          <w:tcPr>
            <w:tcW w:w="170" w:type="pct"/>
          </w:tcPr>
          <w:p w14:paraId="07D5578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E8A866B">
            <w:pPr>
              <w:widowControl/>
              <w:spacing w:line="240" w:lineRule="auto"/>
              <w:ind w:firstLine="0" w:firstLineChars="0"/>
              <w:jc w:val="center"/>
              <w:rPr>
                <w:color w:val="auto"/>
                <w:kern w:val="0"/>
                <w:sz w:val="21"/>
                <w:szCs w:val="21"/>
              </w:rPr>
            </w:pPr>
            <w:r>
              <w:rPr>
                <w:rFonts w:hint="eastAsia"/>
                <w:color w:val="auto"/>
                <w:sz w:val="21"/>
                <w:szCs w:val="21"/>
              </w:rPr>
              <w:t>3.07E-04</w:t>
            </w:r>
          </w:p>
        </w:tc>
        <w:tc>
          <w:tcPr>
            <w:tcW w:w="172" w:type="pct"/>
            <w:shd w:val="clear" w:color="auto" w:fill="auto"/>
          </w:tcPr>
          <w:p w14:paraId="43538432">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76035D62">
            <w:pPr>
              <w:widowControl/>
              <w:spacing w:line="240" w:lineRule="auto"/>
              <w:ind w:firstLine="0" w:firstLineChars="0"/>
              <w:jc w:val="center"/>
              <w:rPr>
                <w:color w:val="auto"/>
                <w:kern w:val="0"/>
                <w:sz w:val="21"/>
                <w:szCs w:val="21"/>
              </w:rPr>
            </w:pPr>
            <w:r>
              <w:rPr>
                <w:rFonts w:hint="eastAsia"/>
                <w:color w:val="auto"/>
                <w:sz w:val="21"/>
                <w:szCs w:val="21"/>
              </w:rPr>
              <w:t>7.80E-05</w:t>
            </w:r>
          </w:p>
        </w:tc>
        <w:tc>
          <w:tcPr>
            <w:tcW w:w="212" w:type="pct"/>
            <w:shd w:val="clear" w:color="auto" w:fill="auto"/>
          </w:tcPr>
          <w:p w14:paraId="7A227607">
            <w:pPr>
              <w:widowControl/>
              <w:spacing w:line="240" w:lineRule="auto"/>
              <w:ind w:firstLine="0" w:firstLineChars="0"/>
              <w:jc w:val="center"/>
              <w:rPr>
                <w:color w:val="auto"/>
                <w:kern w:val="0"/>
                <w:sz w:val="21"/>
                <w:szCs w:val="21"/>
              </w:rPr>
            </w:pPr>
            <w:r>
              <w:rPr>
                <w:rFonts w:hint="eastAsia"/>
                <w:color w:val="auto"/>
                <w:sz w:val="21"/>
                <w:szCs w:val="21"/>
              </w:rPr>
              <w:t>0.01</w:t>
            </w:r>
          </w:p>
        </w:tc>
      </w:tr>
      <w:tr w14:paraId="141CA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59FEE7A">
            <w:pPr>
              <w:widowControl/>
              <w:spacing w:line="240" w:lineRule="auto"/>
              <w:ind w:firstLine="0" w:firstLineChars="0"/>
              <w:jc w:val="center"/>
              <w:rPr>
                <w:color w:val="auto"/>
                <w:kern w:val="0"/>
                <w:sz w:val="21"/>
                <w:szCs w:val="21"/>
              </w:rPr>
            </w:pPr>
            <w:r>
              <w:rPr>
                <w:color w:val="auto"/>
                <w:sz w:val="21"/>
                <w:szCs w:val="21"/>
              </w:rPr>
              <w:t>2025</w:t>
            </w:r>
          </w:p>
        </w:tc>
        <w:tc>
          <w:tcPr>
            <w:tcW w:w="420" w:type="pct"/>
            <w:shd w:val="clear" w:color="auto" w:fill="auto"/>
            <w:noWrap/>
          </w:tcPr>
          <w:p w14:paraId="438CA3C6">
            <w:pPr>
              <w:widowControl/>
              <w:spacing w:line="240" w:lineRule="auto"/>
              <w:ind w:firstLine="0" w:firstLineChars="0"/>
              <w:jc w:val="center"/>
              <w:rPr>
                <w:color w:val="auto"/>
                <w:kern w:val="0"/>
                <w:sz w:val="21"/>
                <w:szCs w:val="21"/>
              </w:rPr>
            </w:pPr>
            <w:r>
              <w:rPr>
                <w:rFonts w:hint="eastAsia"/>
                <w:color w:val="auto"/>
                <w:sz w:val="21"/>
                <w:szCs w:val="21"/>
              </w:rPr>
              <w:t>6.97E-05</w:t>
            </w:r>
          </w:p>
        </w:tc>
        <w:tc>
          <w:tcPr>
            <w:tcW w:w="292" w:type="pct"/>
            <w:shd w:val="clear" w:color="auto" w:fill="auto"/>
            <w:noWrap/>
          </w:tcPr>
          <w:p w14:paraId="0573BA86">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3C7671E">
            <w:pPr>
              <w:widowControl/>
              <w:spacing w:line="240" w:lineRule="auto"/>
              <w:ind w:firstLine="0" w:firstLineChars="0"/>
              <w:jc w:val="center"/>
              <w:rPr>
                <w:color w:val="auto"/>
                <w:kern w:val="0"/>
                <w:sz w:val="21"/>
                <w:szCs w:val="21"/>
              </w:rPr>
            </w:pPr>
            <w:r>
              <w:rPr>
                <w:rFonts w:hint="eastAsia"/>
                <w:color w:val="auto"/>
                <w:sz w:val="21"/>
                <w:szCs w:val="21"/>
              </w:rPr>
              <w:t>4.90E-05</w:t>
            </w:r>
          </w:p>
        </w:tc>
        <w:tc>
          <w:tcPr>
            <w:tcW w:w="376" w:type="pct"/>
            <w:shd w:val="clear" w:color="auto" w:fill="auto"/>
          </w:tcPr>
          <w:p w14:paraId="53CBCBD4">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C576D5D">
            <w:pPr>
              <w:widowControl/>
              <w:spacing w:line="240" w:lineRule="auto"/>
              <w:ind w:firstLine="0" w:firstLineChars="0"/>
              <w:jc w:val="center"/>
              <w:rPr>
                <w:color w:val="auto"/>
                <w:kern w:val="0"/>
                <w:sz w:val="21"/>
                <w:szCs w:val="21"/>
              </w:rPr>
            </w:pPr>
            <w:r>
              <w:rPr>
                <w:rFonts w:hint="eastAsia"/>
                <w:color w:val="auto"/>
                <w:sz w:val="21"/>
                <w:szCs w:val="21"/>
              </w:rPr>
              <w:t>4.49E-04</w:t>
            </w:r>
          </w:p>
        </w:tc>
        <w:tc>
          <w:tcPr>
            <w:tcW w:w="239" w:type="pct"/>
            <w:shd w:val="clear" w:color="auto" w:fill="auto"/>
          </w:tcPr>
          <w:p w14:paraId="510B7176">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3F0C8C31">
            <w:pPr>
              <w:widowControl/>
              <w:spacing w:line="240" w:lineRule="auto"/>
              <w:ind w:firstLine="0" w:firstLineChars="0"/>
              <w:jc w:val="center"/>
              <w:rPr>
                <w:color w:val="auto"/>
                <w:kern w:val="0"/>
                <w:sz w:val="21"/>
                <w:szCs w:val="21"/>
              </w:rPr>
            </w:pPr>
            <w:r>
              <w:rPr>
                <w:rFonts w:hint="eastAsia"/>
                <w:color w:val="auto"/>
                <w:sz w:val="21"/>
                <w:szCs w:val="21"/>
              </w:rPr>
              <w:t>4.65E-05</w:t>
            </w:r>
          </w:p>
        </w:tc>
        <w:tc>
          <w:tcPr>
            <w:tcW w:w="206" w:type="pct"/>
            <w:shd w:val="clear" w:color="auto" w:fill="auto"/>
          </w:tcPr>
          <w:p w14:paraId="5F6B02D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75930E0">
            <w:pPr>
              <w:widowControl/>
              <w:spacing w:line="240" w:lineRule="auto"/>
              <w:ind w:firstLine="0" w:firstLineChars="0"/>
              <w:jc w:val="center"/>
              <w:rPr>
                <w:color w:val="auto"/>
                <w:sz w:val="21"/>
                <w:szCs w:val="21"/>
              </w:rPr>
            </w:pPr>
            <w:r>
              <w:rPr>
                <w:rFonts w:hint="eastAsia"/>
                <w:color w:val="auto"/>
                <w:sz w:val="21"/>
                <w:szCs w:val="21"/>
              </w:rPr>
              <w:t>3.36E-05</w:t>
            </w:r>
          </w:p>
        </w:tc>
        <w:tc>
          <w:tcPr>
            <w:tcW w:w="170" w:type="pct"/>
          </w:tcPr>
          <w:p w14:paraId="23B4C663">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92B829A">
            <w:pPr>
              <w:widowControl/>
              <w:spacing w:line="240" w:lineRule="auto"/>
              <w:ind w:firstLine="0" w:firstLineChars="0"/>
              <w:jc w:val="center"/>
              <w:rPr>
                <w:color w:val="auto"/>
                <w:kern w:val="0"/>
                <w:sz w:val="21"/>
                <w:szCs w:val="21"/>
              </w:rPr>
            </w:pPr>
            <w:r>
              <w:rPr>
                <w:rFonts w:hint="eastAsia"/>
                <w:color w:val="auto"/>
                <w:sz w:val="21"/>
                <w:szCs w:val="21"/>
              </w:rPr>
              <w:t>3.07E-04</w:t>
            </w:r>
          </w:p>
        </w:tc>
        <w:tc>
          <w:tcPr>
            <w:tcW w:w="172" w:type="pct"/>
            <w:shd w:val="clear" w:color="auto" w:fill="auto"/>
          </w:tcPr>
          <w:p w14:paraId="453E4874">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016E634F">
            <w:pPr>
              <w:widowControl/>
              <w:spacing w:line="240" w:lineRule="auto"/>
              <w:ind w:firstLine="0" w:firstLineChars="0"/>
              <w:jc w:val="center"/>
              <w:rPr>
                <w:color w:val="auto"/>
                <w:kern w:val="0"/>
                <w:sz w:val="21"/>
                <w:szCs w:val="21"/>
              </w:rPr>
            </w:pPr>
            <w:r>
              <w:rPr>
                <w:rFonts w:hint="eastAsia"/>
                <w:color w:val="auto"/>
                <w:sz w:val="21"/>
                <w:szCs w:val="21"/>
              </w:rPr>
              <w:t>7.82E-05</w:t>
            </w:r>
          </w:p>
        </w:tc>
        <w:tc>
          <w:tcPr>
            <w:tcW w:w="212" w:type="pct"/>
            <w:shd w:val="clear" w:color="auto" w:fill="auto"/>
          </w:tcPr>
          <w:p w14:paraId="02E48706">
            <w:pPr>
              <w:widowControl/>
              <w:spacing w:line="240" w:lineRule="auto"/>
              <w:ind w:firstLine="0" w:firstLineChars="0"/>
              <w:jc w:val="center"/>
              <w:rPr>
                <w:color w:val="auto"/>
                <w:kern w:val="0"/>
                <w:sz w:val="21"/>
                <w:szCs w:val="21"/>
              </w:rPr>
            </w:pPr>
            <w:r>
              <w:rPr>
                <w:rFonts w:hint="eastAsia"/>
                <w:color w:val="auto"/>
                <w:sz w:val="21"/>
                <w:szCs w:val="21"/>
              </w:rPr>
              <w:t>0.01</w:t>
            </w:r>
          </w:p>
        </w:tc>
      </w:tr>
      <w:tr w14:paraId="7A960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9A3812E">
            <w:pPr>
              <w:widowControl/>
              <w:spacing w:line="240" w:lineRule="auto"/>
              <w:ind w:firstLine="0" w:firstLineChars="0"/>
              <w:jc w:val="center"/>
              <w:rPr>
                <w:color w:val="auto"/>
                <w:kern w:val="0"/>
                <w:sz w:val="21"/>
                <w:szCs w:val="21"/>
              </w:rPr>
            </w:pPr>
            <w:r>
              <w:rPr>
                <w:color w:val="auto"/>
                <w:sz w:val="21"/>
                <w:szCs w:val="21"/>
              </w:rPr>
              <w:t>2050</w:t>
            </w:r>
          </w:p>
        </w:tc>
        <w:tc>
          <w:tcPr>
            <w:tcW w:w="420" w:type="pct"/>
            <w:shd w:val="clear" w:color="auto" w:fill="auto"/>
            <w:noWrap/>
          </w:tcPr>
          <w:p w14:paraId="009F7E72">
            <w:pPr>
              <w:widowControl/>
              <w:spacing w:line="240" w:lineRule="auto"/>
              <w:ind w:firstLine="0" w:firstLineChars="0"/>
              <w:jc w:val="center"/>
              <w:rPr>
                <w:color w:val="auto"/>
                <w:kern w:val="0"/>
                <w:sz w:val="21"/>
                <w:szCs w:val="21"/>
              </w:rPr>
            </w:pPr>
            <w:r>
              <w:rPr>
                <w:rFonts w:hint="eastAsia"/>
                <w:color w:val="auto"/>
                <w:sz w:val="21"/>
                <w:szCs w:val="21"/>
              </w:rPr>
              <w:t>6.98E-05</w:t>
            </w:r>
          </w:p>
        </w:tc>
        <w:tc>
          <w:tcPr>
            <w:tcW w:w="292" w:type="pct"/>
            <w:shd w:val="clear" w:color="auto" w:fill="auto"/>
            <w:noWrap/>
          </w:tcPr>
          <w:p w14:paraId="01C28424">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E541510">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376" w:type="pct"/>
            <w:shd w:val="clear" w:color="auto" w:fill="auto"/>
          </w:tcPr>
          <w:p w14:paraId="1AB8C215">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CFA561A">
            <w:pPr>
              <w:widowControl/>
              <w:spacing w:line="240" w:lineRule="auto"/>
              <w:ind w:firstLine="0" w:firstLineChars="0"/>
              <w:jc w:val="center"/>
              <w:rPr>
                <w:color w:val="auto"/>
                <w:kern w:val="0"/>
                <w:sz w:val="21"/>
                <w:szCs w:val="21"/>
              </w:rPr>
            </w:pPr>
            <w:r>
              <w:rPr>
                <w:rFonts w:hint="eastAsia"/>
                <w:color w:val="auto"/>
                <w:sz w:val="21"/>
                <w:szCs w:val="21"/>
              </w:rPr>
              <w:t>4.50E-04</w:t>
            </w:r>
          </w:p>
        </w:tc>
        <w:tc>
          <w:tcPr>
            <w:tcW w:w="239" w:type="pct"/>
            <w:shd w:val="clear" w:color="auto" w:fill="auto"/>
          </w:tcPr>
          <w:p w14:paraId="6AC5FF4E">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48E047B3">
            <w:pPr>
              <w:widowControl/>
              <w:spacing w:line="240" w:lineRule="auto"/>
              <w:ind w:firstLine="0" w:firstLineChars="0"/>
              <w:jc w:val="center"/>
              <w:rPr>
                <w:color w:val="auto"/>
                <w:kern w:val="0"/>
                <w:sz w:val="21"/>
                <w:szCs w:val="21"/>
              </w:rPr>
            </w:pPr>
            <w:r>
              <w:rPr>
                <w:rFonts w:hint="eastAsia"/>
                <w:color w:val="auto"/>
                <w:sz w:val="21"/>
                <w:szCs w:val="21"/>
              </w:rPr>
              <w:t>4.65E-05</w:t>
            </w:r>
          </w:p>
        </w:tc>
        <w:tc>
          <w:tcPr>
            <w:tcW w:w="206" w:type="pct"/>
            <w:shd w:val="clear" w:color="auto" w:fill="auto"/>
          </w:tcPr>
          <w:p w14:paraId="5F2B7B5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2268B60">
            <w:pPr>
              <w:widowControl/>
              <w:spacing w:line="240" w:lineRule="auto"/>
              <w:ind w:firstLine="0" w:firstLineChars="0"/>
              <w:jc w:val="center"/>
              <w:rPr>
                <w:color w:val="auto"/>
                <w:sz w:val="21"/>
                <w:szCs w:val="21"/>
              </w:rPr>
            </w:pPr>
            <w:r>
              <w:rPr>
                <w:rFonts w:hint="eastAsia"/>
                <w:color w:val="auto"/>
                <w:sz w:val="21"/>
                <w:szCs w:val="21"/>
              </w:rPr>
              <w:t>3.36E-05</w:t>
            </w:r>
          </w:p>
        </w:tc>
        <w:tc>
          <w:tcPr>
            <w:tcW w:w="170" w:type="pct"/>
          </w:tcPr>
          <w:p w14:paraId="3BBD9726">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735C6C43">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3BB22FEA">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3DE4FB4D">
            <w:pPr>
              <w:widowControl/>
              <w:spacing w:line="240" w:lineRule="auto"/>
              <w:ind w:firstLine="0" w:firstLineChars="0"/>
              <w:jc w:val="center"/>
              <w:rPr>
                <w:color w:val="auto"/>
                <w:kern w:val="0"/>
                <w:sz w:val="21"/>
                <w:szCs w:val="21"/>
              </w:rPr>
            </w:pPr>
            <w:r>
              <w:rPr>
                <w:rFonts w:hint="eastAsia"/>
                <w:color w:val="auto"/>
                <w:sz w:val="21"/>
                <w:szCs w:val="21"/>
              </w:rPr>
              <w:t>7.83E-05</w:t>
            </w:r>
          </w:p>
        </w:tc>
        <w:tc>
          <w:tcPr>
            <w:tcW w:w="212" w:type="pct"/>
            <w:shd w:val="clear" w:color="auto" w:fill="auto"/>
          </w:tcPr>
          <w:p w14:paraId="148983E7">
            <w:pPr>
              <w:widowControl/>
              <w:spacing w:line="240" w:lineRule="auto"/>
              <w:ind w:firstLine="0" w:firstLineChars="0"/>
              <w:jc w:val="center"/>
              <w:rPr>
                <w:color w:val="auto"/>
                <w:kern w:val="0"/>
                <w:sz w:val="21"/>
                <w:szCs w:val="21"/>
              </w:rPr>
            </w:pPr>
            <w:r>
              <w:rPr>
                <w:rFonts w:hint="eastAsia"/>
                <w:color w:val="auto"/>
                <w:sz w:val="21"/>
                <w:szCs w:val="21"/>
              </w:rPr>
              <w:t>0.01</w:t>
            </w:r>
          </w:p>
        </w:tc>
      </w:tr>
      <w:tr w14:paraId="4CD85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7B011F1">
            <w:pPr>
              <w:widowControl/>
              <w:spacing w:line="240" w:lineRule="auto"/>
              <w:ind w:firstLine="0" w:firstLineChars="0"/>
              <w:jc w:val="center"/>
              <w:rPr>
                <w:color w:val="auto"/>
                <w:kern w:val="0"/>
                <w:sz w:val="21"/>
                <w:szCs w:val="21"/>
              </w:rPr>
            </w:pPr>
            <w:r>
              <w:rPr>
                <w:color w:val="auto"/>
                <w:sz w:val="21"/>
                <w:szCs w:val="21"/>
              </w:rPr>
              <w:t>2075</w:t>
            </w:r>
          </w:p>
        </w:tc>
        <w:tc>
          <w:tcPr>
            <w:tcW w:w="420" w:type="pct"/>
            <w:shd w:val="clear" w:color="auto" w:fill="auto"/>
            <w:noWrap/>
          </w:tcPr>
          <w:p w14:paraId="68AD4176">
            <w:pPr>
              <w:widowControl/>
              <w:spacing w:line="240" w:lineRule="auto"/>
              <w:ind w:firstLine="0" w:firstLineChars="0"/>
              <w:jc w:val="center"/>
              <w:rPr>
                <w:color w:val="auto"/>
                <w:kern w:val="0"/>
                <w:sz w:val="21"/>
                <w:szCs w:val="21"/>
              </w:rPr>
            </w:pPr>
            <w:r>
              <w:rPr>
                <w:rFonts w:hint="eastAsia"/>
                <w:color w:val="auto"/>
                <w:sz w:val="21"/>
                <w:szCs w:val="21"/>
              </w:rPr>
              <w:t>6.99E-05</w:t>
            </w:r>
          </w:p>
        </w:tc>
        <w:tc>
          <w:tcPr>
            <w:tcW w:w="292" w:type="pct"/>
            <w:shd w:val="clear" w:color="auto" w:fill="auto"/>
            <w:noWrap/>
          </w:tcPr>
          <w:p w14:paraId="59B52FD2">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6F870F8">
            <w:pPr>
              <w:widowControl/>
              <w:spacing w:line="240" w:lineRule="auto"/>
              <w:ind w:firstLine="0" w:firstLineChars="0"/>
              <w:jc w:val="center"/>
              <w:rPr>
                <w:color w:val="auto"/>
                <w:kern w:val="0"/>
                <w:sz w:val="21"/>
                <w:szCs w:val="21"/>
              </w:rPr>
            </w:pPr>
            <w:r>
              <w:rPr>
                <w:rFonts w:hint="eastAsia"/>
                <w:color w:val="auto"/>
                <w:sz w:val="21"/>
                <w:szCs w:val="21"/>
              </w:rPr>
              <w:t>4.92E-05</w:t>
            </w:r>
          </w:p>
        </w:tc>
        <w:tc>
          <w:tcPr>
            <w:tcW w:w="376" w:type="pct"/>
            <w:shd w:val="clear" w:color="auto" w:fill="auto"/>
          </w:tcPr>
          <w:p w14:paraId="5412A03A">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999AB82">
            <w:pPr>
              <w:widowControl/>
              <w:spacing w:line="240" w:lineRule="auto"/>
              <w:ind w:firstLine="0" w:firstLineChars="0"/>
              <w:jc w:val="center"/>
              <w:rPr>
                <w:color w:val="auto"/>
                <w:kern w:val="0"/>
                <w:sz w:val="21"/>
                <w:szCs w:val="21"/>
              </w:rPr>
            </w:pPr>
            <w:r>
              <w:rPr>
                <w:rFonts w:hint="eastAsia"/>
                <w:color w:val="auto"/>
                <w:sz w:val="21"/>
                <w:szCs w:val="21"/>
              </w:rPr>
              <w:t>4.50E-04</w:t>
            </w:r>
          </w:p>
        </w:tc>
        <w:tc>
          <w:tcPr>
            <w:tcW w:w="239" w:type="pct"/>
            <w:shd w:val="clear" w:color="auto" w:fill="auto"/>
          </w:tcPr>
          <w:p w14:paraId="47557D48">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35B411F1">
            <w:pPr>
              <w:widowControl/>
              <w:spacing w:line="240" w:lineRule="auto"/>
              <w:ind w:firstLine="0" w:firstLineChars="0"/>
              <w:jc w:val="center"/>
              <w:rPr>
                <w:color w:val="auto"/>
                <w:kern w:val="0"/>
                <w:sz w:val="21"/>
                <w:szCs w:val="21"/>
              </w:rPr>
            </w:pPr>
            <w:r>
              <w:rPr>
                <w:rFonts w:hint="eastAsia"/>
                <w:color w:val="auto"/>
                <w:sz w:val="21"/>
                <w:szCs w:val="21"/>
              </w:rPr>
              <w:t>4.66E-05</w:t>
            </w:r>
          </w:p>
        </w:tc>
        <w:tc>
          <w:tcPr>
            <w:tcW w:w="206" w:type="pct"/>
            <w:shd w:val="clear" w:color="auto" w:fill="auto"/>
          </w:tcPr>
          <w:p w14:paraId="58211BC6">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93350E0">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10B261F7">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6650A3D">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0D4680E8">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64CC0757">
            <w:pPr>
              <w:widowControl/>
              <w:spacing w:line="240" w:lineRule="auto"/>
              <w:ind w:firstLine="0" w:firstLineChars="0"/>
              <w:jc w:val="center"/>
              <w:rPr>
                <w:color w:val="auto"/>
                <w:kern w:val="0"/>
                <w:sz w:val="21"/>
                <w:szCs w:val="21"/>
              </w:rPr>
            </w:pPr>
            <w:r>
              <w:rPr>
                <w:rFonts w:hint="eastAsia"/>
                <w:color w:val="auto"/>
                <w:sz w:val="21"/>
                <w:szCs w:val="21"/>
              </w:rPr>
              <w:t>7.84E-05</w:t>
            </w:r>
          </w:p>
        </w:tc>
        <w:tc>
          <w:tcPr>
            <w:tcW w:w="212" w:type="pct"/>
            <w:shd w:val="clear" w:color="auto" w:fill="auto"/>
          </w:tcPr>
          <w:p w14:paraId="02428441">
            <w:pPr>
              <w:widowControl/>
              <w:spacing w:line="240" w:lineRule="auto"/>
              <w:ind w:firstLine="0" w:firstLineChars="0"/>
              <w:jc w:val="center"/>
              <w:rPr>
                <w:color w:val="auto"/>
                <w:kern w:val="0"/>
                <w:sz w:val="21"/>
                <w:szCs w:val="21"/>
              </w:rPr>
            </w:pPr>
            <w:r>
              <w:rPr>
                <w:rFonts w:hint="eastAsia"/>
                <w:color w:val="auto"/>
                <w:sz w:val="21"/>
                <w:szCs w:val="21"/>
              </w:rPr>
              <w:t>0.01</w:t>
            </w:r>
          </w:p>
        </w:tc>
      </w:tr>
      <w:tr w14:paraId="46475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29FCC92">
            <w:pPr>
              <w:widowControl/>
              <w:spacing w:line="240" w:lineRule="auto"/>
              <w:ind w:firstLine="0" w:firstLineChars="0"/>
              <w:jc w:val="center"/>
              <w:rPr>
                <w:color w:val="auto"/>
                <w:kern w:val="0"/>
                <w:sz w:val="21"/>
                <w:szCs w:val="21"/>
              </w:rPr>
            </w:pPr>
            <w:r>
              <w:rPr>
                <w:color w:val="auto"/>
                <w:sz w:val="21"/>
                <w:szCs w:val="21"/>
              </w:rPr>
              <w:t>2100</w:t>
            </w:r>
          </w:p>
        </w:tc>
        <w:tc>
          <w:tcPr>
            <w:tcW w:w="420" w:type="pct"/>
            <w:shd w:val="clear" w:color="auto" w:fill="auto"/>
            <w:noWrap/>
          </w:tcPr>
          <w:p w14:paraId="6777B5D5">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92" w:type="pct"/>
            <w:shd w:val="clear" w:color="auto" w:fill="auto"/>
            <w:noWrap/>
          </w:tcPr>
          <w:p w14:paraId="7687A071">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4C22F6C0">
            <w:pPr>
              <w:widowControl/>
              <w:spacing w:line="240" w:lineRule="auto"/>
              <w:ind w:firstLine="0" w:firstLineChars="0"/>
              <w:jc w:val="center"/>
              <w:rPr>
                <w:color w:val="auto"/>
                <w:kern w:val="0"/>
                <w:sz w:val="21"/>
                <w:szCs w:val="21"/>
              </w:rPr>
            </w:pPr>
            <w:r>
              <w:rPr>
                <w:rFonts w:hint="eastAsia"/>
                <w:color w:val="auto"/>
                <w:sz w:val="21"/>
                <w:szCs w:val="21"/>
              </w:rPr>
              <w:t>4.92E-05</w:t>
            </w:r>
          </w:p>
        </w:tc>
        <w:tc>
          <w:tcPr>
            <w:tcW w:w="376" w:type="pct"/>
            <w:shd w:val="clear" w:color="auto" w:fill="auto"/>
          </w:tcPr>
          <w:p w14:paraId="74610C92">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A2C41A9">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1EDFDDB8">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0D498FD9">
            <w:pPr>
              <w:widowControl/>
              <w:spacing w:line="240" w:lineRule="auto"/>
              <w:ind w:firstLine="0" w:firstLineChars="0"/>
              <w:jc w:val="center"/>
              <w:rPr>
                <w:color w:val="auto"/>
                <w:kern w:val="0"/>
                <w:sz w:val="21"/>
                <w:szCs w:val="21"/>
              </w:rPr>
            </w:pPr>
            <w:r>
              <w:rPr>
                <w:rFonts w:hint="eastAsia"/>
                <w:color w:val="auto"/>
                <w:sz w:val="21"/>
                <w:szCs w:val="21"/>
              </w:rPr>
              <w:t>4.66E-05</w:t>
            </w:r>
          </w:p>
        </w:tc>
        <w:tc>
          <w:tcPr>
            <w:tcW w:w="206" w:type="pct"/>
            <w:shd w:val="clear" w:color="auto" w:fill="auto"/>
          </w:tcPr>
          <w:p w14:paraId="5A202D8E">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1F80837E">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204149A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3B2323B">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663DB043">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679FE855">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212" w:type="pct"/>
            <w:shd w:val="clear" w:color="auto" w:fill="auto"/>
          </w:tcPr>
          <w:p w14:paraId="7CA0F797">
            <w:pPr>
              <w:widowControl/>
              <w:spacing w:line="240" w:lineRule="auto"/>
              <w:ind w:firstLine="0" w:firstLineChars="0"/>
              <w:jc w:val="center"/>
              <w:rPr>
                <w:color w:val="auto"/>
                <w:kern w:val="0"/>
                <w:sz w:val="21"/>
                <w:szCs w:val="21"/>
              </w:rPr>
            </w:pPr>
            <w:r>
              <w:rPr>
                <w:rFonts w:hint="eastAsia"/>
                <w:color w:val="auto"/>
                <w:sz w:val="21"/>
                <w:szCs w:val="21"/>
              </w:rPr>
              <w:t>0.01</w:t>
            </w:r>
          </w:p>
        </w:tc>
      </w:tr>
      <w:tr w14:paraId="228C8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3B2A9731">
            <w:pPr>
              <w:widowControl/>
              <w:spacing w:line="240" w:lineRule="auto"/>
              <w:ind w:firstLine="0" w:firstLineChars="0"/>
              <w:jc w:val="center"/>
              <w:rPr>
                <w:color w:val="auto"/>
                <w:kern w:val="0"/>
                <w:sz w:val="21"/>
                <w:szCs w:val="21"/>
              </w:rPr>
            </w:pPr>
            <w:r>
              <w:rPr>
                <w:color w:val="auto"/>
                <w:sz w:val="21"/>
                <w:szCs w:val="21"/>
              </w:rPr>
              <w:t>2125</w:t>
            </w:r>
          </w:p>
        </w:tc>
        <w:tc>
          <w:tcPr>
            <w:tcW w:w="420" w:type="pct"/>
            <w:shd w:val="clear" w:color="auto" w:fill="auto"/>
            <w:noWrap/>
          </w:tcPr>
          <w:p w14:paraId="6BF71840">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92" w:type="pct"/>
            <w:shd w:val="clear" w:color="auto" w:fill="auto"/>
            <w:noWrap/>
          </w:tcPr>
          <w:p w14:paraId="016A4D3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6620AAC4">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0E440A1B">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3447823">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54C1B7BF">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6B2FCD8">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3B9AB7D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398CB1D7">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658F580D">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731C77C">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5BBEB4F0">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3E3053AC">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212" w:type="pct"/>
            <w:shd w:val="clear" w:color="auto" w:fill="auto"/>
          </w:tcPr>
          <w:p w14:paraId="5F06CA52">
            <w:pPr>
              <w:widowControl/>
              <w:spacing w:line="240" w:lineRule="auto"/>
              <w:ind w:firstLine="0" w:firstLineChars="0"/>
              <w:jc w:val="center"/>
              <w:rPr>
                <w:color w:val="auto"/>
                <w:kern w:val="0"/>
                <w:sz w:val="21"/>
                <w:szCs w:val="21"/>
              </w:rPr>
            </w:pPr>
            <w:r>
              <w:rPr>
                <w:rFonts w:hint="eastAsia"/>
                <w:color w:val="auto"/>
                <w:sz w:val="21"/>
                <w:szCs w:val="21"/>
              </w:rPr>
              <w:t>0.01</w:t>
            </w:r>
          </w:p>
        </w:tc>
      </w:tr>
      <w:tr w14:paraId="12100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43CDFAC">
            <w:pPr>
              <w:widowControl/>
              <w:spacing w:line="240" w:lineRule="auto"/>
              <w:ind w:firstLine="0" w:firstLineChars="0"/>
              <w:jc w:val="center"/>
              <w:rPr>
                <w:color w:val="auto"/>
                <w:kern w:val="0"/>
                <w:sz w:val="21"/>
                <w:szCs w:val="21"/>
              </w:rPr>
            </w:pPr>
            <w:r>
              <w:rPr>
                <w:color w:val="auto"/>
                <w:sz w:val="21"/>
                <w:szCs w:val="21"/>
              </w:rPr>
              <w:t>2150</w:t>
            </w:r>
          </w:p>
        </w:tc>
        <w:tc>
          <w:tcPr>
            <w:tcW w:w="420" w:type="pct"/>
            <w:shd w:val="clear" w:color="auto" w:fill="auto"/>
            <w:noWrap/>
          </w:tcPr>
          <w:p w14:paraId="2E5D8055">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54111538">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E67E51A">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62CCF587">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6BF42923">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10DB0F8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3EEFE34B">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13EF9D0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A66B9ED">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01F7AA65">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5508A62">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4DD99317">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2EECC0C2">
            <w:pPr>
              <w:widowControl/>
              <w:spacing w:line="240" w:lineRule="auto"/>
              <w:ind w:firstLine="0" w:firstLineChars="0"/>
              <w:jc w:val="center"/>
              <w:rPr>
                <w:color w:val="auto"/>
                <w:kern w:val="0"/>
                <w:sz w:val="21"/>
                <w:szCs w:val="21"/>
              </w:rPr>
            </w:pPr>
            <w:r>
              <w:rPr>
                <w:rFonts w:hint="eastAsia"/>
                <w:color w:val="auto"/>
                <w:sz w:val="21"/>
                <w:szCs w:val="21"/>
              </w:rPr>
              <w:t>7.86E-05</w:t>
            </w:r>
          </w:p>
        </w:tc>
        <w:tc>
          <w:tcPr>
            <w:tcW w:w="212" w:type="pct"/>
            <w:shd w:val="clear" w:color="auto" w:fill="auto"/>
          </w:tcPr>
          <w:p w14:paraId="4BAB9F6D">
            <w:pPr>
              <w:widowControl/>
              <w:spacing w:line="240" w:lineRule="auto"/>
              <w:ind w:firstLine="0" w:firstLineChars="0"/>
              <w:jc w:val="center"/>
              <w:rPr>
                <w:color w:val="auto"/>
                <w:kern w:val="0"/>
                <w:sz w:val="21"/>
                <w:szCs w:val="21"/>
              </w:rPr>
            </w:pPr>
            <w:r>
              <w:rPr>
                <w:rFonts w:hint="eastAsia"/>
                <w:color w:val="auto"/>
                <w:sz w:val="21"/>
                <w:szCs w:val="21"/>
              </w:rPr>
              <w:t>0.01</w:t>
            </w:r>
          </w:p>
        </w:tc>
      </w:tr>
      <w:tr w14:paraId="34701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BF68048">
            <w:pPr>
              <w:widowControl/>
              <w:spacing w:line="240" w:lineRule="auto"/>
              <w:ind w:firstLine="0" w:firstLineChars="0"/>
              <w:jc w:val="center"/>
              <w:rPr>
                <w:color w:val="auto"/>
                <w:kern w:val="0"/>
                <w:sz w:val="21"/>
                <w:szCs w:val="21"/>
              </w:rPr>
            </w:pPr>
            <w:r>
              <w:rPr>
                <w:color w:val="auto"/>
                <w:sz w:val="21"/>
                <w:szCs w:val="21"/>
              </w:rPr>
              <w:t>2175</w:t>
            </w:r>
          </w:p>
        </w:tc>
        <w:tc>
          <w:tcPr>
            <w:tcW w:w="420" w:type="pct"/>
            <w:shd w:val="clear" w:color="auto" w:fill="auto"/>
            <w:noWrap/>
          </w:tcPr>
          <w:p w14:paraId="0AA3FE4F">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505FE05C">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92F0417">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6BBC919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3C2A2047">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37251624">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4CF2E75">
            <w:pPr>
              <w:widowControl/>
              <w:spacing w:line="240" w:lineRule="auto"/>
              <w:ind w:firstLine="0" w:firstLineChars="0"/>
              <w:jc w:val="center"/>
              <w:rPr>
                <w:color w:val="auto"/>
                <w:kern w:val="0"/>
                <w:sz w:val="21"/>
                <w:szCs w:val="21"/>
              </w:rPr>
            </w:pPr>
            <w:r>
              <w:rPr>
                <w:rFonts w:hint="eastAsia"/>
                <w:color w:val="auto"/>
                <w:sz w:val="21"/>
                <w:szCs w:val="21"/>
              </w:rPr>
              <w:t>4.68E-05</w:t>
            </w:r>
          </w:p>
        </w:tc>
        <w:tc>
          <w:tcPr>
            <w:tcW w:w="206" w:type="pct"/>
            <w:shd w:val="clear" w:color="auto" w:fill="auto"/>
          </w:tcPr>
          <w:p w14:paraId="3B360E01">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3C40B7D">
            <w:pPr>
              <w:widowControl/>
              <w:spacing w:line="240" w:lineRule="auto"/>
              <w:ind w:firstLine="0" w:firstLineChars="0"/>
              <w:jc w:val="center"/>
              <w:rPr>
                <w:color w:val="auto"/>
                <w:sz w:val="21"/>
                <w:szCs w:val="21"/>
              </w:rPr>
            </w:pPr>
            <w:r>
              <w:rPr>
                <w:rFonts w:hint="eastAsia"/>
                <w:color w:val="auto"/>
                <w:sz w:val="21"/>
                <w:szCs w:val="21"/>
              </w:rPr>
              <w:t>3.38E-05</w:t>
            </w:r>
          </w:p>
        </w:tc>
        <w:tc>
          <w:tcPr>
            <w:tcW w:w="170" w:type="pct"/>
          </w:tcPr>
          <w:p w14:paraId="32F98D0F">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2AA53957">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1F957D9F">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45010D62">
            <w:pPr>
              <w:widowControl/>
              <w:spacing w:line="240" w:lineRule="auto"/>
              <w:ind w:firstLine="0" w:firstLineChars="0"/>
              <w:jc w:val="center"/>
              <w:rPr>
                <w:color w:val="auto"/>
                <w:kern w:val="0"/>
                <w:sz w:val="21"/>
                <w:szCs w:val="21"/>
              </w:rPr>
            </w:pPr>
            <w:r>
              <w:rPr>
                <w:rFonts w:hint="eastAsia"/>
                <w:color w:val="auto"/>
                <w:sz w:val="21"/>
                <w:szCs w:val="21"/>
              </w:rPr>
              <w:t>7.86E-05</w:t>
            </w:r>
          </w:p>
        </w:tc>
        <w:tc>
          <w:tcPr>
            <w:tcW w:w="212" w:type="pct"/>
            <w:shd w:val="clear" w:color="auto" w:fill="auto"/>
          </w:tcPr>
          <w:p w14:paraId="546B5386">
            <w:pPr>
              <w:widowControl/>
              <w:spacing w:line="240" w:lineRule="auto"/>
              <w:ind w:firstLine="0" w:firstLineChars="0"/>
              <w:jc w:val="center"/>
              <w:rPr>
                <w:color w:val="auto"/>
                <w:kern w:val="0"/>
                <w:sz w:val="21"/>
                <w:szCs w:val="21"/>
              </w:rPr>
            </w:pPr>
            <w:r>
              <w:rPr>
                <w:rFonts w:hint="eastAsia"/>
                <w:color w:val="auto"/>
                <w:sz w:val="21"/>
                <w:szCs w:val="21"/>
              </w:rPr>
              <w:t>0.01</w:t>
            </w:r>
          </w:p>
        </w:tc>
      </w:tr>
      <w:tr w14:paraId="3122A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C1E73AB">
            <w:pPr>
              <w:widowControl/>
              <w:spacing w:line="240" w:lineRule="auto"/>
              <w:ind w:firstLine="0" w:firstLineChars="0"/>
              <w:jc w:val="center"/>
              <w:rPr>
                <w:color w:val="auto"/>
                <w:kern w:val="0"/>
                <w:sz w:val="21"/>
                <w:szCs w:val="21"/>
              </w:rPr>
            </w:pPr>
            <w:r>
              <w:rPr>
                <w:color w:val="auto"/>
                <w:sz w:val="21"/>
                <w:szCs w:val="21"/>
              </w:rPr>
              <w:t>2200</w:t>
            </w:r>
          </w:p>
        </w:tc>
        <w:tc>
          <w:tcPr>
            <w:tcW w:w="420" w:type="pct"/>
            <w:shd w:val="clear" w:color="auto" w:fill="auto"/>
            <w:noWrap/>
          </w:tcPr>
          <w:p w14:paraId="47483E0A">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3980D41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1E550A4A">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376" w:type="pct"/>
            <w:shd w:val="clear" w:color="auto" w:fill="auto"/>
          </w:tcPr>
          <w:p w14:paraId="3F78787F">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BB38225">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00948F66">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5E4DFA3E">
            <w:pPr>
              <w:widowControl/>
              <w:spacing w:line="240" w:lineRule="auto"/>
              <w:ind w:firstLine="0" w:firstLineChars="0"/>
              <w:jc w:val="center"/>
              <w:rPr>
                <w:color w:val="auto"/>
                <w:kern w:val="0"/>
                <w:sz w:val="21"/>
                <w:szCs w:val="21"/>
              </w:rPr>
            </w:pPr>
            <w:r>
              <w:rPr>
                <w:rFonts w:hint="eastAsia"/>
                <w:color w:val="auto"/>
                <w:sz w:val="21"/>
                <w:szCs w:val="21"/>
              </w:rPr>
              <w:t>4.68E-05</w:t>
            </w:r>
          </w:p>
        </w:tc>
        <w:tc>
          <w:tcPr>
            <w:tcW w:w="206" w:type="pct"/>
            <w:shd w:val="clear" w:color="auto" w:fill="auto"/>
          </w:tcPr>
          <w:p w14:paraId="70861395">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2AA387B">
            <w:pPr>
              <w:widowControl/>
              <w:spacing w:line="240" w:lineRule="auto"/>
              <w:ind w:firstLine="0" w:firstLineChars="0"/>
              <w:jc w:val="center"/>
              <w:rPr>
                <w:color w:val="auto"/>
                <w:sz w:val="21"/>
                <w:szCs w:val="21"/>
              </w:rPr>
            </w:pPr>
            <w:r>
              <w:rPr>
                <w:rFonts w:hint="eastAsia"/>
                <w:color w:val="auto"/>
                <w:sz w:val="21"/>
                <w:szCs w:val="21"/>
              </w:rPr>
              <w:t>3.38E-05</w:t>
            </w:r>
          </w:p>
        </w:tc>
        <w:tc>
          <w:tcPr>
            <w:tcW w:w="170" w:type="pct"/>
          </w:tcPr>
          <w:p w14:paraId="3745C28A">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A450BA4">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15DC4E73">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3FBA4A46">
            <w:pPr>
              <w:widowControl/>
              <w:spacing w:line="240" w:lineRule="auto"/>
              <w:ind w:firstLine="0" w:firstLineChars="0"/>
              <w:jc w:val="center"/>
              <w:rPr>
                <w:color w:val="auto"/>
                <w:kern w:val="0"/>
                <w:sz w:val="21"/>
                <w:szCs w:val="21"/>
              </w:rPr>
            </w:pPr>
            <w:r>
              <w:rPr>
                <w:rFonts w:hint="eastAsia"/>
                <w:color w:val="auto"/>
                <w:sz w:val="21"/>
                <w:szCs w:val="21"/>
              </w:rPr>
              <w:t>7.87E-05</w:t>
            </w:r>
          </w:p>
        </w:tc>
        <w:tc>
          <w:tcPr>
            <w:tcW w:w="212" w:type="pct"/>
            <w:shd w:val="clear" w:color="auto" w:fill="auto"/>
          </w:tcPr>
          <w:p w14:paraId="68C0379E">
            <w:pPr>
              <w:widowControl/>
              <w:spacing w:line="240" w:lineRule="auto"/>
              <w:ind w:firstLine="0" w:firstLineChars="0"/>
              <w:jc w:val="center"/>
              <w:rPr>
                <w:color w:val="auto"/>
                <w:kern w:val="0"/>
                <w:sz w:val="21"/>
                <w:szCs w:val="21"/>
              </w:rPr>
            </w:pPr>
            <w:r>
              <w:rPr>
                <w:rFonts w:hint="eastAsia"/>
                <w:color w:val="auto"/>
                <w:sz w:val="21"/>
                <w:szCs w:val="21"/>
              </w:rPr>
              <w:t>0.01</w:t>
            </w:r>
          </w:p>
        </w:tc>
      </w:tr>
      <w:tr w14:paraId="666B8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8775B75">
            <w:pPr>
              <w:widowControl/>
              <w:spacing w:line="240" w:lineRule="auto"/>
              <w:ind w:firstLine="0" w:firstLineChars="0"/>
              <w:jc w:val="center"/>
              <w:rPr>
                <w:color w:val="auto"/>
                <w:kern w:val="0"/>
                <w:sz w:val="21"/>
                <w:szCs w:val="21"/>
              </w:rPr>
            </w:pPr>
            <w:r>
              <w:rPr>
                <w:color w:val="auto"/>
                <w:sz w:val="21"/>
                <w:szCs w:val="21"/>
              </w:rPr>
              <w:t>2225</w:t>
            </w:r>
          </w:p>
        </w:tc>
        <w:tc>
          <w:tcPr>
            <w:tcW w:w="420" w:type="pct"/>
            <w:shd w:val="clear" w:color="auto" w:fill="auto"/>
            <w:noWrap/>
          </w:tcPr>
          <w:p w14:paraId="35FC5D7D">
            <w:pPr>
              <w:widowControl/>
              <w:spacing w:line="240" w:lineRule="auto"/>
              <w:ind w:firstLine="0" w:firstLineChars="0"/>
              <w:jc w:val="center"/>
              <w:rPr>
                <w:color w:val="auto"/>
                <w:kern w:val="0"/>
                <w:sz w:val="21"/>
                <w:szCs w:val="21"/>
              </w:rPr>
            </w:pPr>
            <w:r>
              <w:rPr>
                <w:rFonts w:hint="eastAsia"/>
                <w:color w:val="auto"/>
                <w:sz w:val="21"/>
                <w:szCs w:val="21"/>
              </w:rPr>
              <w:t>7.02E-05</w:t>
            </w:r>
          </w:p>
        </w:tc>
        <w:tc>
          <w:tcPr>
            <w:tcW w:w="292" w:type="pct"/>
            <w:shd w:val="clear" w:color="auto" w:fill="auto"/>
            <w:noWrap/>
          </w:tcPr>
          <w:p w14:paraId="2D9B50EA">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A7BE5F1">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376" w:type="pct"/>
            <w:shd w:val="clear" w:color="auto" w:fill="auto"/>
          </w:tcPr>
          <w:p w14:paraId="3E312C9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F884EC1">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2B424145">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7CEB0FC">
            <w:pPr>
              <w:widowControl/>
              <w:spacing w:line="240" w:lineRule="auto"/>
              <w:ind w:firstLine="0" w:firstLineChars="0"/>
              <w:jc w:val="center"/>
              <w:rPr>
                <w:color w:val="auto"/>
                <w:kern w:val="0"/>
                <w:sz w:val="21"/>
                <w:szCs w:val="21"/>
              </w:rPr>
            </w:pPr>
            <w:r>
              <w:rPr>
                <w:rFonts w:hint="eastAsia"/>
                <w:color w:val="auto"/>
                <w:sz w:val="21"/>
                <w:szCs w:val="21"/>
              </w:rPr>
              <w:t>4.68E-05</w:t>
            </w:r>
          </w:p>
        </w:tc>
        <w:tc>
          <w:tcPr>
            <w:tcW w:w="206" w:type="pct"/>
            <w:shd w:val="clear" w:color="auto" w:fill="auto"/>
          </w:tcPr>
          <w:p w14:paraId="3F6880E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724D63C">
            <w:pPr>
              <w:widowControl/>
              <w:spacing w:line="240" w:lineRule="auto"/>
              <w:ind w:firstLine="0" w:firstLineChars="0"/>
              <w:jc w:val="center"/>
              <w:rPr>
                <w:color w:val="auto"/>
                <w:sz w:val="21"/>
                <w:szCs w:val="21"/>
              </w:rPr>
            </w:pPr>
            <w:r>
              <w:rPr>
                <w:rFonts w:hint="eastAsia"/>
                <w:color w:val="auto"/>
                <w:sz w:val="21"/>
                <w:szCs w:val="21"/>
              </w:rPr>
              <w:t>3.38E-05</w:t>
            </w:r>
          </w:p>
        </w:tc>
        <w:tc>
          <w:tcPr>
            <w:tcW w:w="170" w:type="pct"/>
          </w:tcPr>
          <w:p w14:paraId="4B3B92DD">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477E04AC">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488612E6">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5A8FE848">
            <w:pPr>
              <w:widowControl/>
              <w:spacing w:line="240" w:lineRule="auto"/>
              <w:ind w:firstLine="0" w:firstLineChars="0"/>
              <w:jc w:val="center"/>
              <w:rPr>
                <w:color w:val="auto"/>
                <w:kern w:val="0"/>
                <w:sz w:val="21"/>
                <w:szCs w:val="21"/>
              </w:rPr>
            </w:pPr>
            <w:r>
              <w:rPr>
                <w:rFonts w:hint="eastAsia"/>
                <w:color w:val="auto"/>
                <w:sz w:val="21"/>
                <w:szCs w:val="21"/>
              </w:rPr>
              <w:t>7.87E-05</w:t>
            </w:r>
          </w:p>
        </w:tc>
        <w:tc>
          <w:tcPr>
            <w:tcW w:w="212" w:type="pct"/>
            <w:shd w:val="clear" w:color="auto" w:fill="auto"/>
          </w:tcPr>
          <w:p w14:paraId="5DCEED1E">
            <w:pPr>
              <w:widowControl/>
              <w:spacing w:line="240" w:lineRule="auto"/>
              <w:ind w:firstLine="0" w:firstLineChars="0"/>
              <w:jc w:val="center"/>
              <w:rPr>
                <w:color w:val="auto"/>
                <w:kern w:val="0"/>
                <w:sz w:val="21"/>
                <w:szCs w:val="21"/>
              </w:rPr>
            </w:pPr>
            <w:r>
              <w:rPr>
                <w:rFonts w:hint="eastAsia"/>
                <w:color w:val="auto"/>
                <w:sz w:val="21"/>
                <w:szCs w:val="21"/>
              </w:rPr>
              <w:t>0.01</w:t>
            </w:r>
          </w:p>
        </w:tc>
      </w:tr>
      <w:tr w14:paraId="27900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5E84F73">
            <w:pPr>
              <w:widowControl/>
              <w:spacing w:line="240" w:lineRule="auto"/>
              <w:ind w:firstLine="0" w:firstLineChars="0"/>
              <w:jc w:val="center"/>
              <w:rPr>
                <w:color w:val="auto"/>
                <w:kern w:val="0"/>
                <w:sz w:val="21"/>
                <w:szCs w:val="21"/>
              </w:rPr>
            </w:pPr>
            <w:r>
              <w:rPr>
                <w:color w:val="auto"/>
                <w:sz w:val="21"/>
                <w:szCs w:val="21"/>
              </w:rPr>
              <w:t>2250</w:t>
            </w:r>
          </w:p>
        </w:tc>
        <w:tc>
          <w:tcPr>
            <w:tcW w:w="420" w:type="pct"/>
            <w:shd w:val="clear" w:color="auto" w:fill="auto"/>
            <w:noWrap/>
          </w:tcPr>
          <w:p w14:paraId="7C3CC29E">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4203316B">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F8B9FD4">
            <w:pPr>
              <w:widowControl/>
              <w:spacing w:line="240" w:lineRule="auto"/>
              <w:ind w:firstLine="0" w:firstLineChars="0"/>
              <w:jc w:val="center"/>
              <w:rPr>
                <w:color w:val="auto"/>
                <w:kern w:val="0"/>
                <w:sz w:val="21"/>
                <w:szCs w:val="21"/>
              </w:rPr>
            </w:pPr>
            <w:r>
              <w:rPr>
                <w:rFonts w:hint="eastAsia"/>
                <w:color w:val="auto"/>
                <w:sz w:val="21"/>
                <w:szCs w:val="21"/>
              </w:rPr>
              <w:t>4.94E-05</w:t>
            </w:r>
          </w:p>
        </w:tc>
        <w:tc>
          <w:tcPr>
            <w:tcW w:w="376" w:type="pct"/>
            <w:shd w:val="clear" w:color="auto" w:fill="auto"/>
          </w:tcPr>
          <w:p w14:paraId="7A7F4634">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FB52FF3">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64FD6F3E">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69A18200">
            <w:pPr>
              <w:widowControl/>
              <w:spacing w:line="240" w:lineRule="auto"/>
              <w:ind w:firstLine="0" w:firstLineChars="0"/>
              <w:jc w:val="center"/>
              <w:rPr>
                <w:color w:val="auto"/>
                <w:kern w:val="0"/>
                <w:sz w:val="21"/>
                <w:szCs w:val="21"/>
              </w:rPr>
            </w:pPr>
            <w:r>
              <w:rPr>
                <w:rFonts w:hint="eastAsia"/>
                <w:color w:val="auto"/>
                <w:sz w:val="21"/>
                <w:szCs w:val="21"/>
              </w:rPr>
              <w:t>4.68E-05</w:t>
            </w:r>
          </w:p>
        </w:tc>
        <w:tc>
          <w:tcPr>
            <w:tcW w:w="206" w:type="pct"/>
            <w:shd w:val="clear" w:color="auto" w:fill="auto"/>
          </w:tcPr>
          <w:p w14:paraId="74052A17">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052CAA5F">
            <w:pPr>
              <w:widowControl/>
              <w:spacing w:line="240" w:lineRule="auto"/>
              <w:ind w:firstLine="0" w:firstLineChars="0"/>
              <w:jc w:val="center"/>
              <w:rPr>
                <w:color w:val="auto"/>
                <w:sz w:val="21"/>
                <w:szCs w:val="21"/>
              </w:rPr>
            </w:pPr>
            <w:r>
              <w:rPr>
                <w:rFonts w:hint="eastAsia"/>
                <w:color w:val="auto"/>
                <w:sz w:val="21"/>
                <w:szCs w:val="21"/>
              </w:rPr>
              <w:t>3.38E-05</w:t>
            </w:r>
          </w:p>
        </w:tc>
        <w:tc>
          <w:tcPr>
            <w:tcW w:w="170" w:type="pct"/>
          </w:tcPr>
          <w:p w14:paraId="1D90B549">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38782E4">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10B548B6">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15B32677">
            <w:pPr>
              <w:widowControl/>
              <w:spacing w:line="240" w:lineRule="auto"/>
              <w:ind w:firstLine="0" w:firstLineChars="0"/>
              <w:jc w:val="center"/>
              <w:rPr>
                <w:color w:val="auto"/>
                <w:kern w:val="0"/>
                <w:sz w:val="21"/>
                <w:szCs w:val="21"/>
              </w:rPr>
            </w:pPr>
            <w:r>
              <w:rPr>
                <w:rFonts w:hint="eastAsia"/>
                <w:color w:val="auto"/>
                <w:sz w:val="21"/>
                <w:szCs w:val="21"/>
              </w:rPr>
              <w:t>7.87E-05</w:t>
            </w:r>
          </w:p>
        </w:tc>
        <w:tc>
          <w:tcPr>
            <w:tcW w:w="212" w:type="pct"/>
            <w:shd w:val="clear" w:color="auto" w:fill="auto"/>
          </w:tcPr>
          <w:p w14:paraId="14D76D7D">
            <w:pPr>
              <w:widowControl/>
              <w:spacing w:line="240" w:lineRule="auto"/>
              <w:ind w:firstLine="0" w:firstLineChars="0"/>
              <w:jc w:val="center"/>
              <w:rPr>
                <w:color w:val="auto"/>
                <w:kern w:val="0"/>
                <w:sz w:val="21"/>
                <w:szCs w:val="21"/>
              </w:rPr>
            </w:pPr>
            <w:r>
              <w:rPr>
                <w:rFonts w:hint="eastAsia"/>
                <w:color w:val="auto"/>
                <w:sz w:val="21"/>
                <w:szCs w:val="21"/>
              </w:rPr>
              <w:t>0.01</w:t>
            </w:r>
          </w:p>
        </w:tc>
      </w:tr>
      <w:tr w14:paraId="2020E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B9400BF">
            <w:pPr>
              <w:widowControl/>
              <w:spacing w:line="240" w:lineRule="auto"/>
              <w:ind w:firstLine="0" w:firstLineChars="0"/>
              <w:jc w:val="center"/>
              <w:rPr>
                <w:color w:val="auto"/>
                <w:kern w:val="0"/>
                <w:sz w:val="21"/>
                <w:szCs w:val="21"/>
              </w:rPr>
            </w:pPr>
            <w:r>
              <w:rPr>
                <w:color w:val="auto"/>
                <w:sz w:val="21"/>
                <w:szCs w:val="21"/>
              </w:rPr>
              <w:t>2275</w:t>
            </w:r>
          </w:p>
        </w:tc>
        <w:tc>
          <w:tcPr>
            <w:tcW w:w="420" w:type="pct"/>
            <w:shd w:val="clear" w:color="auto" w:fill="auto"/>
            <w:noWrap/>
          </w:tcPr>
          <w:p w14:paraId="57ED92C6">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5024ABA4">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9D99A21">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1BFABEE1">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D797DE0">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38DEE6CC">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5A48F3A7">
            <w:pPr>
              <w:widowControl/>
              <w:spacing w:line="240" w:lineRule="auto"/>
              <w:ind w:firstLine="0" w:firstLineChars="0"/>
              <w:jc w:val="center"/>
              <w:rPr>
                <w:color w:val="auto"/>
                <w:kern w:val="0"/>
                <w:sz w:val="21"/>
                <w:szCs w:val="21"/>
              </w:rPr>
            </w:pPr>
            <w:r>
              <w:rPr>
                <w:rFonts w:hint="eastAsia"/>
                <w:color w:val="auto"/>
                <w:sz w:val="21"/>
                <w:szCs w:val="21"/>
              </w:rPr>
              <w:t>4.68E-05</w:t>
            </w:r>
          </w:p>
        </w:tc>
        <w:tc>
          <w:tcPr>
            <w:tcW w:w="206" w:type="pct"/>
            <w:shd w:val="clear" w:color="auto" w:fill="auto"/>
          </w:tcPr>
          <w:p w14:paraId="3BB83BD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5DB74DA">
            <w:pPr>
              <w:widowControl/>
              <w:spacing w:line="240" w:lineRule="auto"/>
              <w:ind w:firstLine="0" w:firstLineChars="0"/>
              <w:jc w:val="center"/>
              <w:rPr>
                <w:color w:val="auto"/>
                <w:sz w:val="21"/>
                <w:szCs w:val="21"/>
              </w:rPr>
            </w:pPr>
            <w:r>
              <w:rPr>
                <w:rFonts w:hint="eastAsia"/>
                <w:color w:val="auto"/>
                <w:sz w:val="21"/>
                <w:szCs w:val="21"/>
              </w:rPr>
              <w:t>3.38E-05</w:t>
            </w:r>
          </w:p>
        </w:tc>
        <w:tc>
          <w:tcPr>
            <w:tcW w:w="170" w:type="pct"/>
          </w:tcPr>
          <w:p w14:paraId="6F1EA450">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5927818">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5F15DAE7">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647BB3DF">
            <w:pPr>
              <w:widowControl/>
              <w:spacing w:line="240" w:lineRule="auto"/>
              <w:ind w:firstLine="0" w:firstLineChars="0"/>
              <w:jc w:val="center"/>
              <w:rPr>
                <w:color w:val="auto"/>
                <w:kern w:val="0"/>
                <w:sz w:val="21"/>
                <w:szCs w:val="21"/>
              </w:rPr>
            </w:pPr>
            <w:r>
              <w:rPr>
                <w:rFonts w:hint="eastAsia"/>
                <w:color w:val="auto"/>
                <w:sz w:val="21"/>
                <w:szCs w:val="21"/>
              </w:rPr>
              <w:t>7.86E-05</w:t>
            </w:r>
          </w:p>
        </w:tc>
        <w:tc>
          <w:tcPr>
            <w:tcW w:w="212" w:type="pct"/>
            <w:shd w:val="clear" w:color="auto" w:fill="auto"/>
          </w:tcPr>
          <w:p w14:paraId="78B057B0">
            <w:pPr>
              <w:widowControl/>
              <w:spacing w:line="240" w:lineRule="auto"/>
              <w:ind w:firstLine="0" w:firstLineChars="0"/>
              <w:jc w:val="center"/>
              <w:rPr>
                <w:color w:val="auto"/>
                <w:kern w:val="0"/>
                <w:sz w:val="21"/>
                <w:szCs w:val="21"/>
              </w:rPr>
            </w:pPr>
            <w:r>
              <w:rPr>
                <w:rFonts w:hint="eastAsia"/>
                <w:color w:val="auto"/>
                <w:sz w:val="21"/>
                <w:szCs w:val="21"/>
              </w:rPr>
              <w:t>0.01</w:t>
            </w:r>
          </w:p>
        </w:tc>
      </w:tr>
      <w:tr w14:paraId="769F2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295B67C4">
            <w:pPr>
              <w:widowControl/>
              <w:spacing w:line="240" w:lineRule="auto"/>
              <w:ind w:firstLine="0" w:firstLineChars="0"/>
              <w:jc w:val="center"/>
              <w:rPr>
                <w:color w:val="auto"/>
                <w:kern w:val="0"/>
                <w:sz w:val="21"/>
                <w:szCs w:val="21"/>
              </w:rPr>
            </w:pPr>
            <w:r>
              <w:rPr>
                <w:color w:val="auto"/>
                <w:sz w:val="21"/>
                <w:szCs w:val="21"/>
              </w:rPr>
              <w:t>2300</w:t>
            </w:r>
          </w:p>
        </w:tc>
        <w:tc>
          <w:tcPr>
            <w:tcW w:w="420" w:type="pct"/>
            <w:shd w:val="clear" w:color="auto" w:fill="auto"/>
            <w:noWrap/>
          </w:tcPr>
          <w:p w14:paraId="32A886E5">
            <w:pPr>
              <w:widowControl/>
              <w:spacing w:line="240" w:lineRule="auto"/>
              <w:ind w:firstLine="0" w:firstLineChars="0"/>
              <w:jc w:val="center"/>
              <w:rPr>
                <w:color w:val="auto"/>
                <w:kern w:val="0"/>
                <w:sz w:val="21"/>
                <w:szCs w:val="21"/>
              </w:rPr>
            </w:pPr>
            <w:r>
              <w:rPr>
                <w:rFonts w:hint="eastAsia"/>
                <w:color w:val="auto"/>
                <w:sz w:val="21"/>
                <w:szCs w:val="21"/>
              </w:rPr>
              <w:t>7.01E-05</w:t>
            </w:r>
          </w:p>
        </w:tc>
        <w:tc>
          <w:tcPr>
            <w:tcW w:w="292" w:type="pct"/>
            <w:shd w:val="clear" w:color="auto" w:fill="auto"/>
            <w:noWrap/>
          </w:tcPr>
          <w:p w14:paraId="064BDDFB">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78F910B">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49BC28F0">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527B6623">
            <w:pPr>
              <w:widowControl/>
              <w:spacing w:line="240" w:lineRule="auto"/>
              <w:ind w:firstLine="0" w:firstLineChars="0"/>
              <w:jc w:val="center"/>
              <w:rPr>
                <w:color w:val="auto"/>
                <w:kern w:val="0"/>
                <w:sz w:val="21"/>
                <w:szCs w:val="21"/>
              </w:rPr>
            </w:pPr>
            <w:r>
              <w:rPr>
                <w:rFonts w:hint="eastAsia"/>
                <w:color w:val="auto"/>
                <w:sz w:val="21"/>
                <w:szCs w:val="21"/>
              </w:rPr>
              <w:t>4.52E-04</w:t>
            </w:r>
          </w:p>
        </w:tc>
        <w:tc>
          <w:tcPr>
            <w:tcW w:w="239" w:type="pct"/>
            <w:shd w:val="clear" w:color="auto" w:fill="auto"/>
          </w:tcPr>
          <w:p w14:paraId="630A3C95">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1AC3013D">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46134439">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C2D07FC">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1698411D">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A06C508">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20C1B965">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42F22A56">
            <w:pPr>
              <w:widowControl/>
              <w:spacing w:line="240" w:lineRule="auto"/>
              <w:ind w:firstLine="0" w:firstLineChars="0"/>
              <w:jc w:val="center"/>
              <w:rPr>
                <w:color w:val="auto"/>
                <w:kern w:val="0"/>
                <w:sz w:val="21"/>
                <w:szCs w:val="21"/>
              </w:rPr>
            </w:pPr>
            <w:r>
              <w:rPr>
                <w:rFonts w:hint="eastAsia"/>
                <w:color w:val="auto"/>
                <w:sz w:val="21"/>
                <w:szCs w:val="21"/>
              </w:rPr>
              <w:t>7.86E-05</w:t>
            </w:r>
          </w:p>
        </w:tc>
        <w:tc>
          <w:tcPr>
            <w:tcW w:w="212" w:type="pct"/>
            <w:shd w:val="clear" w:color="auto" w:fill="auto"/>
          </w:tcPr>
          <w:p w14:paraId="5F4F0C7E">
            <w:pPr>
              <w:widowControl/>
              <w:spacing w:line="240" w:lineRule="auto"/>
              <w:ind w:firstLine="0" w:firstLineChars="0"/>
              <w:jc w:val="center"/>
              <w:rPr>
                <w:color w:val="auto"/>
                <w:kern w:val="0"/>
                <w:sz w:val="21"/>
                <w:szCs w:val="21"/>
              </w:rPr>
            </w:pPr>
            <w:r>
              <w:rPr>
                <w:rFonts w:hint="eastAsia"/>
                <w:color w:val="auto"/>
                <w:sz w:val="21"/>
                <w:szCs w:val="21"/>
              </w:rPr>
              <w:t>0.01</w:t>
            </w:r>
          </w:p>
        </w:tc>
      </w:tr>
      <w:tr w14:paraId="1A735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2145FCA">
            <w:pPr>
              <w:widowControl/>
              <w:spacing w:line="240" w:lineRule="auto"/>
              <w:ind w:firstLine="0" w:firstLineChars="0"/>
              <w:jc w:val="center"/>
              <w:rPr>
                <w:color w:val="auto"/>
                <w:kern w:val="0"/>
                <w:sz w:val="21"/>
                <w:szCs w:val="21"/>
              </w:rPr>
            </w:pPr>
            <w:r>
              <w:rPr>
                <w:color w:val="auto"/>
                <w:sz w:val="21"/>
                <w:szCs w:val="21"/>
              </w:rPr>
              <w:t>2325</w:t>
            </w:r>
          </w:p>
        </w:tc>
        <w:tc>
          <w:tcPr>
            <w:tcW w:w="420" w:type="pct"/>
            <w:shd w:val="clear" w:color="auto" w:fill="auto"/>
            <w:noWrap/>
          </w:tcPr>
          <w:p w14:paraId="72ABB34D">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92" w:type="pct"/>
            <w:shd w:val="clear" w:color="auto" w:fill="auto"/>
            <w:noWrap/>
          </w:tcPr>
          <w:p w14:paraId="400A98E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1984FD9">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7B3C1CAF">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C25524B">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4ED2F6AA">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0E4DB56C">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5635A5A8">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3210B6D">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05C035EF">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39E1C36D">
            <w:pPr>
              <w:widowControl/>
              <w:spacing w:line="240" w:lineRule="auto"/>
              <w:ind w:firstLine="0" w:firstLineChars="0"/>
              <w:jc w:val="center"/>
              <w:rPr>
                <w:color w:val="auto"/>
                <w:kern w:val="0"/>
                <w:sz w:val="21"/>
                <w:szCs w:val="21"/>
              </w:rPr>
            </w:pPr>
            <w:r>
              <w:rPr>
                <w:rFonts w:hint="eastAsia"/>
                <w:color w:val="auto"/>
                <w:sz w:val="21"/>
                <w:szCs w:val="21"/>
              </w:rPr>
              <w:t>3.09E-04</w:t>
            </w:r>
          </w:p>
        </w:tc>
        <w:tc>
          <w:tcPr>
            <w:tcW w:w="172" w:type="pct"/>
            <w:shd w:val="clear" w:color="auto" w:fill="auto"/>
          </w:tcPr>
          <w:p w14:paraId="25130FE1">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6754F810">
            <w:pPr>
              <w:widowControl/>
              <w:spacing w:line="240" w:lineRule="auto"/>
              <w:ind w:firstLine="0" w:firstLineChars="0"/>
              <w:jc w:val="center"/>
              <w:rPr>
                <w:color w:val="auto"/>
                <w:kern w:val="0"/>
                <w:sz w:val="21"/>
                <w:szCs w:val="21"/>
              </w:rPr>
            </w:pPr>
            <w:r>
              <w:rPr>
                <w:rFonts w:hint="eastAsia"/>
                <w:color w:val="auto"/>
                <w:sz w:val="21"/>
                <w:szCs w:val="21"/>
              </w:rPr>
              <w:t>7.86E-05</w:t>
            </w:r>
          </w:p>
        </w:tc>
        <w:tc>
          <w:tcPr>
            <w:tcW w:w="212" w:type="pct"/>
            <w:shd w:val="clear" w:color="auto" w:fill="auto"/>
          </w:tcPr>
          <w:p w14:paraId="41BD6909">
            <w:pPr>
              <w:widowControl/>
              <w:spacing w:line="240" w:lineRule="auto"/>
              <w:ind w:firstLine="0" w:firstLineChars="0"/>
              <w:jc w:val="center"/>
              <w:rPr>
                <w:color w:val="auto"/>
                <w:kern w:val="0"/>
                <w:sz w:val="21"/>
                <w:szCs w:val="21"/>
              </w:rPr>
            </w:pPr>
            <w:r>
              <w:rPr>
                <w:rFonts w:hint="eastAsia"/>
                <w:color w:val="auto"/>
                <w:sz w:val="21"/>
                <w:szCs w:val="21"/>
              </w:rPr>
              <w:t>0.01</w:t>
            </w:r>
          </w:p>
        </w:tc>
      </w:tr>
      <w:tr w14:paraId="3E315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59DA0A1">
            <w:pPr>
              <w:widowControl/>
              <w:spacing w:line="240" w:lineRule="auto"/>
              <w:ind w:firstLine="0" w:firstLineChars="0"/>
              <w:jc w:val="center"/>
              <w:rPr>
                <w:color w:val="auto"/>
                <w:kern w:val="0"/>
                <w:sz w:val="21"/>
                <w:szCs w:val="21"/>
              </w:rPr>
            </w:pPr>
            <w:r>
              <w:rPr>
                <w:color w:val="auto"/>
                <w:sz w:val="21"/>
                <w:szCs w:val="21"/>
              </w:rPr>
              <w:t>2350</w:t>
            </w:r>
          </w:p>
        </w:tc>
        <w:tc>
          <w:tcPr>
            <w:tcW w:w="420" w:type="pct"/>
            <w:shd w:val="clear" w:color="auto" w:fill="auto"/>
            <w:noWrap/>
          </w:tcPr>
          <w:p w14:paraId="1B2818E8">
            <w:pPr>
              <w:widowControl/>
              <w:spacing w:line="240" w:lineRule="auto"/>
              <w:ind w:firstLine="0" w:firstLineChars="0"/>
              <w:jc w:val="center"/>
              <w:rPr>
                <w:color w:val="auto"/>
                <w:kern w:val="0"/>
                <w:sz w:val="21"/>
                <w:szCs w:val="21"/>
              </w:rPr>
            </w:pPr>
            <w:r>
              <w:rPr>
                <w:rFonts w:hint="eastAsia"/>
                <w:color w:val="auto"/>
                <w:sz w:val="21"/>
                <w:szCs w:val="21"/>
              </w:rPr>
              <w:t>7.00E-05</w:t>
            </w:r>
          </w:p>
        </w:tc>
        <w:tc>
          <w:tcPr>
            <w:tcW w:w="292" w:type="pct"/>
            <w:shd w:val="clear" w:color="auto" w:fill="auto"/>
            <w:noWrap/>
          </w:tcPr>
          <w:p w14:paraId="6C503CA4">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5D3360E7">
            <w:pPr>
              <w:widowControl/>
              <w:spacing w:line="240" w:lineRule="auto"/>
              <w:ind w:firstLine="0" w:firstLineChars="0"/>
              <w:jc w:val="center"/>
              <w:rPr>
                <w:color w:val="auto"/>
                <w:kern w:val="0"/>
                <w:sz w:val="21"/>
                <w:szCs w:val="21"/>
              </w:rPr>
            </w:pPr>
            <w:r>
              <w:rPr>
                <w:rFonts w:hint="eastAsia"/>
                <w:color w:val="auto"/>
                <w:sz w:val="21"/>
                <w:szCs w:val="21"/>
              </w:rPr>
              <w:t>4.93E-05</w:t>
            </w:r>
          </w:p>
        </w:tc>
        <w:tc>
          <w:tcPr>
            <w:tcW w:w="376" w:type="pct"/>
            <w:shd w:val="clear" w:color="auto" w:fill="auto"/>
          </w:tcPr>
          <w:p w14:paraId="17196B8A">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53F5D02">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2ADFE155">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69D437EB">
            <w:pPr>
              <w:widowControl/>
              <w:spacing w:line="240" w:lineRule="auto"/>
              <w:ind w:firstLine="0" w:firstLineChars="0"/>
              <w:jc w:val="center"/>
              <w:rPr>
                <w:color w:val="auto"/>
                <w:kern w:val="0"/>
                <w:sz w:val="21"/>
                <w:szCs w:val="21"/>
              </w:rPr>
            </w:pPr>
            <w:r>
              <w:rPr>
                <w:rFonts w:hint="eastAsia"/>
                <w:color w:val="auto"/>
                <w:sz w:val="21"/>
                <w:szCs w:val="21"/>
              </w:rPr>
              <w:t>4.67E-05</w:t>
            </w:r>
          </w:p>
        </w:tc>
        <w:tc>
          <w:tcPr>
            <w:tcW w:w="206" w:type="pct"/>
            <w:shd w:val="clear" w:color="auto" w:fill="auto"/>
          </w:tcPr>
          <w:p w14:paraId="0D721B80">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6D95AAE7">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21CA62F8">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C439217">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77487FED">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3360A5CD">
            <w:pPr>
              <w:widowControl/>
              <w:spacing w:line="240" w:lineRule="auto"/>
              <w:ind w:firstLine="0" w:firstLineChars="0"/>
              <w:jc w:val="center"/>
              <w:rPr>
                <w:color w:val="auto"/>
                <w:kern w:val="0"/>
                <w:sz w:val="21"/>
                <w:szCs w:val="21"/>
              </w:rPr>
            </w:pPr>
            <w:r>
              <w:rPr>
                <w:rFonts w:hint="eastAsia"/>
                <w:color w:val="auto"/>
                <w:sz w:val="21"/>
                <w:szCs w:val="21"/>
              </w:rPr>
              <w:t>7.85E-05</w:t>
            </w:r>
          </w:p>
        </w:tc>
        <w:tc>
          <w:tcPr>
            <w:tcW w:w="212" w:type="pct"/>
            <w:shd w:val="clear" w:color="auto" w:fill="auto"/>
          </w:tcPr>
          <w:p w14:paraId="1DC5894F">
            <w:pPr>
              <w:widowControl/>
              <w:spacing w:line="240" w:lineRule="auto"/>
              <w:ind w:firstLine="0" w:firstLineChars="0"/>
              <w:jc w:val="center"/>
              <w:rPr>
                <w:color w:val="auto"/>
                <w:kern w:val="0"/>
                <w:sz w:val="21"/>
                <w:szCs w:val="21"/>
              </w:rPr>
            </w:pPr>
            <w:r>
              <w:rPr>
                <w:rFonts w:hint="eastAsia"/>
                <w:color w:val="auto"/>
                <w:sz w:val="21"/>
                <w:szCs w:val="21"/>
              </w:rPr>
              <w:t>0.01</w:t>
            </w:r>
          </w:p>
        </w:tc>
      </w:tr>
      <w:tr w14:paraId="3FE4C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068BCDF1">
            <w:pPr>
              <w:widowControl/>
              <w:spacing w:line="240" w:lineRule="auto"/>
              <w:ind w:firstLine="0" w:firstLineChars="0"/>
              <w:jc w:val="center"/>
              <w:rPr>
                <w:color w:val="auto"/>
                <w:kern w:val="0"/>
                <w:sz w:val="21"/>
                <w:szCs w:val="21"/>
              </w:rPr>
            </w:pPr>
            <w:r>
              <w:rPr>
                <w:color w:val="auto"/>
                <w:sz w:val="21"/>
                <w:szCs w:val="21"/>
              </w:rPr>
              <w:t>2375</w:t>
            </w:r>
          </w:p>
        </w:tc>
        <w:tc>
          <w:tcPr>
            <w:tcW w:w="420" w:type="pct"/>
            <w:shd w:val="clear" w:color="auto" w:fill="auto"/>
            <w:noWrap/>
          </w:tcPr>
          <w:p w14:paraId="3C685C62">
            <w:pPr>
              <w:widowControl/>
              <w:spacing w:line="240" w:lineRule="auto"/>
              <w:ind w:firstLine="0" w:firstLineChars="0"/>
              <w:jc w:val="center"/>
              <w:rPr>
                <w:color w:val="auto"/>
                <w:kern w:val="0"/>
                <w:sz w:val="21"/>
                <w:szCs w:val="21"/>
              </w:rPr>
            </w:pPr>
            <w:r>
              <w:rPr>
                <w:rFonts w:hint="eastAsia"/>
                <w:color w:val="auto"/>
                <w:sz w:val="21"/>
                <w:szCs w:val="21"/>
              </w:rPr>
              <w:t>6.99E-05</w:t>
            </w:r>
          </w:p>
        </w:tc>
        <w:tc>
          <w:tcPr>
            <w:tcW w:w="292" w:type="pct"/>
            <w:shd w:val="clear" w:color="auto" w:fill="auto"/>
            <w:noWrap/>
          </w:tcPr>
          <w:p w14:paraId="0AAD0089">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29FA2E96">
            <w:pPr>
              <w:widowControl/>
              <w:spacing w:line="240" w:lineRule="auto"/>
              <w:ind w:firstLine="0" w:firstLineChars="0"/>
              <w:jc w:val="center"/>
              <w:rPr>
                <w:color w:val="auto"/>
                <w:kern w:val="0"/>
                <w:sz w:val="21"/>
                <w:szCs w:val="21"/>
              </w:rPr>
            </w:pPr>
            <w:r>
              <w:rPr>
                <w:rFonts w:hint="eastAsia"/>
                <w:color w:val="auto"/>
                <w:sz w:val="21"/>
                <w:szCs w:val="21"/>
              </w:rPr>
              <w:t>4.92E-05</w:t>
            </w:r>
          </w:p>
        </w:tc>
        <w:tc>
          <w:tcPr>
            <w:tcW w:w="376" w:type="pct"/>
            <w:shd w:val="clear" w:color="auto" w:fill="auto"/>
          </w:tcPr>
          <w:p w14:paraId="7DD9E769">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2B8FACD1">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239" w:type="pct"/>
            <w:shd w:val="clear" w:color="auto" w:fill="auto"/>
          </w:tcPr>
          <w:p w14:paraId="41E5A990">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22A6D8C6">
            <w:pPr>
              <w:widowControl/>
              <w:spacing w:line="240" w:lineRule="auto"/>
              <w:ind w:firstLine="0" w:firstLineChars="0"/>
              <w:jc w:val="center"/>
              <w:rPr>
                <w:color w:val="auto"/>
                <w:kern w:val="0"/>
                <w:sz w:val="21"/>
                <w:szCs w:val="21"/>
              </w:rPr>
            </w:pPr>
            <w:r>
              <w:rPr>
                <w:rFonts w:hint="eastAsia"/>
                <w:color w:val="auto"/>
                <w:sz w:val="21"/>
                <w:szCs w:val="21"/>
              </w:rPr>
              <w:t>4.66E-05</w:t>
            </w:r>
          </w:p>
        </w:tc>
        <w:tc>
          <w:tcPr>
            <w:tcW w:w="206" w:type="pct"/>
            <w:shd w:val="clear" w:color="auto" w:fill="auto"/>
          </w:tcPr>
          <w:p w14:paraId="75D6E723">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06E274B">
            <w:pPr>
              <w:widowControl/>
              <w:spacing w:line="240" w:lineRule="auto"/>
              <w:ind w:firstLine="0" w:firstLineChars="0"/>
              <w:jc w:val="center"/>
              <w:rPr>
                <w:color w:val="auto"/>
                <w:sz w:val="21"/>
                <w:szCs w:val="21"/>
              </w:rPr>
            </w:pPr>
            <w:r>
              <w:rPr>
                <w:rFonts w:hint="eastAsia"/>
                <w:color w:val="auto"/>
                <w:sz w:val="21"/>
                <w:szCs w:val="21"/>
              </w:rPr>
              <w:t>3.37E-05</w:t>
            </w:r>
          </w:p>
        </w:tc>
        <w:tc>
          <w:tcPr>
            <w:tcW w:w="170" w:type="pct"/>
          </w:tcPr>
          <w:p w14:paraId="2CE65292">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AFA7B37">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1655AE19">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7004A2A3">
            <w:pPr>
              <w:widowControl/>
              <w:spacing w:line="240" w:lineRule="auto"/>
              <w:ind w:firstLine="0" w:firstLineChars="0"/>
              <w:jc w:val="center"/>
              <w:rPr>
                <w:color w:val="auto"/>
                <w:kern w:val="0"/>
                <w:sz w:val="21"/>
                <w:szCs w:val="21"/>
              </w:rPr>
            </w:pPr>
            <w:r>
              <w:rPr>
                <w:rFonts w:hint="eastAsia"/>
                <w:color w:val="auto"/>
                <w:sz w:val="21"/>
                <w:szCs w:val="21"/>
              </w:rPr>
              <w:t>7.84E-05</w:t>
            </w:r>
          </w:p>
        </w:tc>
        <w:tc>
          <w:tcPr>
            <w:tcW w:w="212" w:type="pct"/>
            <w:shd w:val="clear" w:color="auto" w:fill="auto"/>
          </w:tcPr>
          <w:p w14:paraId="7CE031D6">
            <w:pPr>
              <w:widowControl/>
              <w:spacing w:line="240" w:lineRule="auto"/>
              <w:ind w:firstLine="0" w:firstLineChars="0"/>
              <w:jc w:val="center"/>
              <w:rPr>
                <w:color w:val="auto"/>
                <w:kern w:val="0"/>
                <w:sz w:val="21"/>
                <w:szCs w:val="21"/>
              </w:rPr>
            </w:pPr>
            <w:r>
              <w:rPr>
                <w:rFonts w:hint="eastAsia"/>
                <w:color w:val="auto"/>
                <w:sz w:val="21"/>
                <w:szCs w:val="21"/>
              </w:rPr>
              <w:t>0.01</w:t>
            </w:r>
          </w:p>
        </w:tc>
      </w:tr>
      <w:tr w14:paraId="158CA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47475E52">
            <w:pPr>
              <w:widowControl/>
              <w:spacing w:line="240" w:lineRule="auto"/>
              <w:ind w:firstLine="0" w:firstLineChars="0"/>
              <w:jc w:val="center"/>
              <w:rPr>
                <w:color w:val="auto"/>
                <w:kern w:val="0"/>
                <w:sz w:val="21"/>
                <w:szCs w:val="21"/>
              </w:rPr>
            </w:pPr>
            <w:r>
              <w:rPr>
                <w:color w:val="auto"/>
                <w:sz w:val="21"/>
                <w:szCs w:val="21"/>
              </w:rPr>
              <w:t>2400</w:t>
            </w:r>
          </w:p>
        </w:tc>
        <w:tc>
          <w:tcPr>
            <w:tcW w:w="420" w:type="pct"/>
            <w:shd w:val="clear" w:color="auto" w:fill="auto"/>
            <w:noWrap/>
          </w:tcPr>
          <w:p w14:paraId="17FA480F">
            <w:pPr>
              <w:widowControl/>
              <w:spacing w:line="240" w:lineRule="auto"/>
              <w:ind w:firstLine="0" w:firstLineChars="0"/>
              <w:jc w:val="center"/>
              <w:rPr>
                <w:color w:val="auto"/>
                <w:kern w:val="0"/>
                <w:sz w:val="21"/>
                <w:szCs w:val="21"/>
              </w:rPr>
            </w:pPr>
            <w:r>
              <w:rPr>
                <w:rFonts w:hint="eastAsia"/>
                <w:color w:val="auto"/>
                <w:sz w:val="21"/>
                <w:szCs w:val="21"/>
              </w:rPr>
              <w:t>6.98E-05</w:t>
            </w:r>
          </w:p>
        </w:tc>
        <w:tc>
          <w:tcPr>
            <w:tcW w:w="292" w:type="pct"/>
            <w:shd w:val="clear" w:color="auto" w:fill="auto"/>
            <w:noWrap/>
          </w:tcPr>
          <w:p w14:paraId="77AB19DF">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A0C8994">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376" w:type="pct"/>
            <w:shd w:val="clear" w:color="auto" w:fill="auto"/>
          </w:tcPr>
          <w:p w14:paraId="4E06DF7C">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8B88776">
            <w:pPr>
              <w:widowControl/>
              <w:spacing w:line="240" w:lineRule="auto"/>
              <w:ind w:firstLine="0" w:firstLineChars="0"/>
              <w:jc w:val="center"/>
              <w:rPr>
                <w:color w:val="auto"/>
                <w:kern w:val="0"/>
                <w:sz w:val="21"/>
                <w:szCs w:val="21"/>
              </w:rPr>
            </w:pPr>
            <w:r>
              <w:rPr>
                <w:rFonts w:hint="eastAsia"/>
                <w:color w:val="auto"/>
                <w:sz w:val="21"/>
                <w:szCs w:val="21"/>
              </w:rPr>
              <w:t>4.50E-04</w:t>
            </w:r>
          </w:p>
        </w:tc>
        <w:tc>
          <w:tcPr>
            <w:tcW w:w="239" w:type="pct"/>
            <w:shd w:val="clear" w:color="auto" w:fill="auto"/>
          </w:tcPr>
          <w:p w14:paraId="5A31BDE4">
            <w:pPr>
              <w:widowControl/>
              <w:spacing w:line="240" w:lineRule="auto"/>
              <w:ind w:firstLine="0" w:firstLineChars="0"/>
              <w:jc w:val="center"/>
              <w:rPr>
                <w:color w:val="auto"/>
                <w:kern w:val="0"/>
                <w:sz w:val="21"/>
                <w:szCs w:val="21"/>
              </w:rPr>
            </w:pPr>
            <w:r>
              <w:rPr>
                <w:rFonts w:hint="eastAsia"/>
                <w:color w:val="auto"/>
                <w:sz w:val="21"/>
                <w:szCs w:val="21"/>
              </w:rPr>
              <w:t>0.23</w:t>
            </w:r>
          </w:p>
        </w:tc>
        <w:tc>
          <w:tcPr>
            <w:tcW w:w="451" w:type="pct"/>
            <w:shd w:val="clear" w:color="auto" w:fill="auto"/>
          </w:tcPr>
          <w:p w14:paraId="414EAFC4">
            <w:pPr>
              <w:widowControl/>
              <w:spacing w:line="240" w:lineRule="auto"/>
              <w:ind w:firstLine="0" w:firstLineChars="0"/>
              <w:jc w:val="center"/>
              <w:rPr>
                <w:color w:val="auto"/>
                <w:kern w:val="0"/>
                <w:sz w:val="21"/>
                <w:szCs w:val="21"/>
              </w:rPr>
            </w:pPr>
            <w:r>
              <w:rPr>
                <w:rFonts w:hint="eastAsia"/>
                <w:color w:val="auto"/>
                <w:sz w:val="21"/>
                <w:szCs w:val="21"/>
              </w:rPr>
              <w:t>4.66E-05</w:t>
            </w:r>
          </w:p>
        </w:tc>
        <w:tc>
          <w:tcPr>
            <w:tcW w:w="206" w:type="pct"/>
            <w:shd w:val="clear" w:color="auto" w:fill="auto"/>
          </w:tcPr>
          <w:p w14:paraId="02B9C72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2C1ABC13">
            <w:pPr>
              <w:widowControl/>
              <w:spacing w:line="240" w:lineRule="auto"/>
              <w:ind w:firstLine="0" w:firstLineChars="0"/>
              <w:jc w:val="center"/>
              <w:rPr>
                <w:color w:val="auto"/>
                <w:sz w:val="21"/>
                <w:szCs w:val="21"/>
              </w:rPr>
            </w:pPr>
            <w:r>
              <w:rPr>
                <w:rFonts w:hint="eastAsia"/>
                <w:color w:val="auto"/>
                <w:sz w:val="21"/>
                <w:szCs w:val="21"/>
              </w:rPr>
              <w:t>3.36E-05</w:t>
            </w:r>
          </w:p>
        </w:tc>
        <w:tc>
          <w:tcPr>
            <w:tcW w:w="170" w:type="pct"/>
          </w:tcPr>
          <w:p w14:paraId="18ADFD9F">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5E789A3">
            <w:pPr>
              <w:widowControl/>
              <w:spacing w:line="240" w:lineRule="auto"/>
              <w:ind w:firstLine="0" w:firstLineChars="0"/>
              <w:jc w:val="center"/>
              <w:rPr>
                <w:color w:val="auto"/>
                <w:kern w:val="0"/>
                <w:sz w:val="21"/>
                <w:szCs w:val="21"/>
              </w:rPr>
            </w:pPr>
            <w:r>
              <w:rPr>
                <w:rFonts w:hint="eastAsia"/>
                <w:color w:val="auto"/>
                <w:sz w:val="21"/>
                <w:szCs w:val="21"/>
              </w:rPr>
              <w:t>3.08E-04</w:t>
            </w:r>
          </w:p>
        </w:tc>
        <w:tc>
          <w:tcPr>
            <w:tcW w:w="172" w:type="pct"/>
            <w:shd w:val="clear" w:color="auto" w:fill="auto"/>
          </w:tcPr>
          <w:p w14:paraId="7E9819FD">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2C29EEB4">
            <w:pPr>
              <w:widowControl/>
              <w:spacing w:line="240" w:lineRule="auto"/>
              <w:ind w:firstLine="0" w:firstLineChars="0"/>
              <w:jc w:val="center"/>
              <w:rPr>
                <w:color w:val="auto"/>
                <w:kern w:val="0"/>
                <w:sz w:val="21"/>
                <w:szCs w:val="21"/>
              </w:rPr>
            </w:pPr>
            <w:r>
              <w:rPr>
                <w:rFonts w:hint="eastAsia"/>
                <w:color w:val="auto"/>
                <w:sz w:val="21"/>
                <w:szCs w:val="21"/>
              </w:rPr>
              <w:t>7.83E-05</w:t>
            </w:r>
          </w:p>
        </w:tc>
        <w:tc>
          <w:tcPr>
            <w:tcW w:w="212" w:type="pct"/>
            <w:shd w:val="clear" w:color="auto" w:fill="auto"/>
          </w:tcPr>
          <w:p w14:paraId="5FB74987">
            <w:pPr>
              <w:widowControl/>
              <w:spacing w:line="240" w:lineRule="auto"/>
              <w:ind w:firstLine="0" w:firstLineChars="0"/>
              <w:jc w:val="center"/>
              <w:rPr>
                <w:color w:val="auto"/>
                <w:kern w:val="0"/>
                <w:sz w:val="21"/>
                <w:szCs w:val="21"/>
              </w:rPr>
            </w:pPr>
            <w:r>
              <w:rPr>
                <w:rFonts w:hint="eastAsia"/>
                <w:color w:val="auto"/>
                <w:sz w:val="21"/>
                <w:szCs w:val="21"/>
              </w:rPr>
              <w:t>0.01</w:t>
            </w:r>
          </w:p>
        </w:tc>
      </w:tr>
      <w:tr w14:paraId="73966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50EC42C3">
            <w:pPr>
              <w:widowControl/>
              <w:spacing w:line="240" w:lineRule="auto"/>
              <w:ind w:firstLine="0" w:firstLineChars="0"/>
              <w:jc w:val="center"/>
              <w:rPr>
                <w:color w:val="auto"/>
                <w:kern w:val="0"/>
                <w:sz w:val="21"/>
                <w:szCs w:val="21"/>
              </w:rPr>
            </w:pPr>
            <w:r>
              <w:rPr>
                <w:color w:val="auto"/>
                <w:sz w:val="21"/>
                <w:szCs w:val="21"/>
              </w:rPr>
              <w:t>2425</w:t>
            </w:r>
          </w:p>
        </w:tc>
        <w:tc>
          <w:tcPr>
            <w:tcW w:w="420" w:type="pct"/>
            <w:shd w:val="clear" w:color="auto" w:fill="auto"/>
            <w:noWrap/>
          </w:tcPr>
          <w:p w14:paraId="12CA0291">
            <w:pPr>
              <w:widowControl/>
              <w:spacing w:line="240" w:lineRule="auto"/>
              <w:ind w:firstLine="0" w:firstLineChars="0"/>
              <w:jc w:val="center"/>
              <w:rPr>
                <w:color w:val="auto"/>
                <w:kern w:val="0"/>
                <w:sz w:val="21"/>
                <w:szCs w:val="21"/>
              </w:rPr>
            </w:pPr>
            <w:r>
              <w:rPr>
                <w:rFonts w:hint="eastAsia"/>
                <w:color w:val="auto"/>
                <w:sz w:val="21"/>
                <w:szCs w:val="21"/>
              </w:rPr>
              <w:t>6.97E-05</w:t>
            </w:r>
          </w:p>
        </w:tc>
        <w:tc>
          <w:tcPr>
            <w:tcW w:w="292" w:type="pct"/>
            <w:shd w:val="clear" w:color="auto" w:fill="auto"/>
            <w:noWrap/>
          </w:tcPr>
          <w:p w14:paraId="6AD13257">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76852040">
            <w:pPr>
              <w:widowControl/>
              <w:spacing w:line="240" w:lineRule="auto"/>
              <w:ind w:firstLine="0" w:firstLineChars="0"/>
              <w:jc w:val="center"/>
              <w:rPr>
                <w:color w:val="auto"/>
                <w:kern w:val="0"/>
                <w:sz w:val="21"/>
                <w:szCs w:val="21"/>
              </w:rPr>
            </w:pPr>
            <w:r>
              <w:rPr>
                <w:rFonts w:hint="eastAsia"/>
                <w:color w:val="auto"/>
                <w:sz w:val="21"/>
                <w:szCs w:val="21"/>
              </w:rPr>
              <w:t>4.91E-05</w:t>
            </w:r>
          </w:p>
        </w:tc>
        <w:tc>
          <w:tcPr>
            <w:tcW w:w="376" w:type="pct"/>
            <w:shd w:val="clear" w:color="auto" w:fill="auto"/>
          </w:tcPr>
          <w:p w14:paraId="6C331FC6">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056D7C2">
            <w:pPr>
              <w:widowControl/>
              <w:spacing w:line="240" w:lineRule="auto"/>
              <w:ind w:firstLine="0" w:firstLineChars="0"/>
              <w:jc w:val="center"/>
              <w:rPr>
                <w:color w:val="auto"/>
                <w:kern w:val="0"/>
                <w:sz w:val="21"/>
                <w:szCs w:val="21"/>
              </w:rPr>
            </w:pPr>
            <w:r>
              <w:rPr>
                <w:rFonts w:hint="eastAsia"/>
                <w:color w:val="auto"/>
                <w:sz w:val="21"/>
                <w:szCs w:val="21"/>
              </w:rPr>
              <w:t>4.49E-04</w:t>
            </w:r>
          </w:p>
        </w:tc>
        <w:tc>
          <w:tcPr>
            <w:tcW w:w="239" w:type="pct"/>
            <w:shd w:val="clear" w:color="auto" w:fill="auto"/>
          </w:tcPr>
          <w:p w14:paraId="1E9FE573">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77323A8D">
            <w:pPr>
              <w:widowControl/>
              <w:spacing w:line="240" w:lineRule="auto"/>
              <w:ind w:firstLine="0" w:firstLineChars="0"/>
              <w:jc w:val="center"/>
              <w:rPr>
                <w:color w:val="auto"/>
                <w:kern w:val="0"/>
                <w:sz w:val="21"/>
                <w:szCs w:val="21"/>
              </w:rPr>
            </w:pPr>
            <w:r>
              <w:rPr>
                <w:rFonts w:hint="eastAsia"/>
                <w:color w:val="auto"/>
                <w:sz w:val="21"/>
                <w:szCs w:val="21"/>
              </w:rPr>
              <w:t>4.65E-05</w:t>
            </w:r>
          </w:p>
        </w:tc>
        <w:tc>
          <w:tcPr>
            <w:tcW w:w="206" w:type="pct"/>
            <w:shd w:val="clear" w:color="auto" w:fill="auto"/>
          </w:tcPr>
          <w:p w14:paraId="5CFD3047">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7831F3C6">
            <w:pPr>
              <w:widowControl/>
              <w:spacing w:line="240" w:lineRule="auto"/>
              <w:ind w:firstLine="0" w:firstLineChars="0"/>
              <w:jc w:val="center"/>
              <w:rPr>
                <w:color w:val="auto"/>
                <w:sz w:val="21"/>
                <w:szCs w:val="21"/>
              </w:rPr>
            </w:pPr>
            <w:r>
              <w:rPr>
                <w:rFonts w:hint="eastAsia"/>
                <w:color w:val="auto"/>
                <w:sz w:val="21"/>
                <w:szCs w:val="21"/>
              </w:rPr>
              <w:t>3.36E-05</w:t>
            </w:r>
          </w:p>
        </w:tc>
        <w:tc>
          <w:tcPr>
            <w:tcW w:w="170" w:type="pct"/>
          </w:tcPr>
          <w:p w14:paraId="2F61E6EC">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59E4A61A">
            <w:pPr>
              <w:widowControl/>
              <w:spacing w:line="240" w:lineRule="auto"/>
              <w:ind w:firstLine="0" w:firstLineChars="0"/>
              <w:jc w:val="center"/>
              <w:rPr>
                <w:color w:val="auto"/>
                <w:kern w:val="0"/>
                <w:sz w:val="21"/>
                <w:szCs w:val="21"/>
              </w:rPr>
            </w:pPr>
            <w:r>
              <w:rPr>
                <w:rFonts w:hint="eastAsia"/>
                <w:color w:val="auto"/>
                <w:sz w:val="21"/>
                <w:szCs w:val="21"/>
              </w:rPr>
              <w:t>3.07E-04</w:t>
            </w:r>
          </w:p>
        </w:tc>
        <w:tc>
          <w:tcPr>
            <w:tcW w:w="172" w:type="pct"/>
            <w:shd w:val="clear" w:color="auto" w:fill="auto"/>
          </w:tcPr>
          <w:p w14:paraId="33C52064">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2C787A37">
            <w:pPr>
              <w:widowControl/>
              <w:spacing w:line="240" w:lineRule="auto"/>
              <w:ind w:firstLine="0" w:firstLineChars="0"/>
              <w:jc w:val="center"/>
              <w:rPr>
                <w:color w:val="auto"/>
                <w:kern w:val="0"/>
                <w:sz w:val="21"/>
                <w:szCs w:val="21"/>
              </w:rPr>
            </w:pPr>
            <w:r>
              <w:rPr>
                <w:rFonts w:hint="eastAsia"/>
                <w:color w:val="auto"/>
                <w:sz w:val="21"/>
                <w:szCs w:val="21"/>
              </w:rPr>
              <w:t>7.82E-05</w:t>
            </w:r>
          </w:p>
        </w:tc>
        <w:tc>
          <w:tcPr>
            <w:tcW w:w="212" w:type="pct"/>
            <w:shd w:val="clear" w:color="auto" w:fill="auto"/>
          </w:tcPr>
          <w:p w14:paraId="24F55A50">
            <w:pPr>
              <w:widowControl/>
              <w:spacing w:line="240" w:lineRule="auto"/>
              <w:ind w:firstLine="0" w:firstLineChars="0"/>
              <w:jc w:val="center"/>
              <w:rPr>
                <w:color w:val="auto"/>
                <w:kern w:val="0"/>
                <w:sz w:val="21"/>
                <w:szCs w:val="21"/>
              </w:rPr>
            </w:pPr>
            <w:r>
              <w:rPr>
                <w:rFonts w:hint="eastAsia"/>
                <w:color w:val="auto"/>
                <w:sz w:val="21"/>
                <w:szCs w:val="21"/>
              </w:rPr>
              <w:t>0.01</w:t>
            </w:r>
          </w:p>
        </w:tc>
      </w:tr>
      <w:tr w14:paraId="49535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6C630D63">
            <w:pPr>
              <w:widowControl/>
              <w:spacing w:line="240" w:lineRule="auto"/>
              <w:ind w:firstLine="0" w:firstLineChars="0"/>
              <w:jc w:val="center"/>
              <w:rPr>
                <w:color w:val="auto"/>
                <w:kern w:val="0"/>
                <w:sz w:val="21"/>
                <w:szCs w:val="21"/>
              </w:rPr>
            </w:pPr>
            <w:r>
              <w:rPr>
                <w:color w:val="auto"/>
                <w:sz w:val="21"/>
                <w:szCs w:val="21"/>
              </w:rPr>
              <w:t>2450</w:t>
            </w:r>
          </w:p>
        </w:tc>
        <w:tc>
          <w:tcPr>
            <w:tcW w:w="420" w:type="pct"/>
            <w:shd w:val="clear" w:color="auto" w:fill="auto"/>
            <w:noWrap/>
          </w:tcPr>
          <w:p w14:paraId="2F0582E1">
            <w:pPr>
              <w:widowControl/>
              <w:spacing w:line="240" w:lineRule="auto"/>
              <w:ind w:firstLine="0" w:firstLineChars="0"/>
              <w:jc w:val="center"/>
              <w:rPr>
                <w:color w:val="auto"/>
                <w:kern w:val="0"/>
                <w:sz w:val="21"/>
                <w:szCs w:val="21"/>
              </w:rPr>
            </w:pPr>
            <w:r>
              <w:rPr>
                <w:rFonts w:hint="eastAsia"/>
                <w:color w:val="auto"/>
                <w:sz w:val="21"/>
                <w:szCs w:val="21"/>
              </w:rPr>
              <w:t>6.96E-05</w:t>
            </w:r>
          </w:p>
        </w:tc>
        <w:tc>
          <w:tcPr>
            <w:tcW w:w="292" w:type="pct"/>
            <w:shd w:val="clear" w:color="auto" w:fill="auto"/>
            <w:noWrap/>
          </w:tcPr>
          <w:p w14:paraId="017ACB95">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5EE0BE70">
            <w:pPr>
              <w:widowControl/>
              <w:spacing w:line="240" w:lineRule="auto"/>
              <w:ind w:firstLine="0" w:firstLineChars="0"/>
              <w:jc w:val="center"/>
              <w:rPr>
                <w:color w:val="auto"/>
                <w:kern w:val="0"/>
                <w:sz w:val="21"/>
                <w:szCs w:val="21"/>
              </w:rPr>
            </w:pPr>
            <w:r>
              <w:rPr>
                <w:rFonts w:hint="eastAsia"/>
                <w:color w:val="auto"/>
                <w:sz w:val="21"/>
                <w:szCs w:val="21"/>
              </w:rPr>
              <w:t>4.90E-05</w:t>
            </w:r>
          </w:p>
        </w:tc>
        <w:tc>
          <w:tcPr>
            <w:tcW w:w="376" w:type="pct"/>
            <w:shd w:val="clear" w:color="auto" w:fill="auto"/>
          </w:tcPr>
          <w:p w14:paraId="6EF6A813">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079AE0F5">
            <w:pPr>
              <w:widowControl/>
              <w:spacing w:line="240" w:lineRule="auto"/>
              <w:ind w:firstLine="0" w:firstLineChars="0"/>
              <w:jc w:val="center"/>
              <w:rPr>
                <w:color w:val="auto"/>
                <w:kern w:val="0"/>
                <w:sz w:val="21"/>
                <w:szCs w:val="21"/>
              </w:rPr>
            </w:pPr>
            <w:r>
              <w:rPr>
                <w:rFonts w:hint="eastAsia"/>
                <w:color w:val="auto"/>
                <w:sz w:val="21"/>
                <w:szCs w:val="21"/>
              </w:rPr>
              <w:t>4.49E-04</w:t>
            </w:r>
          </w:p>
        </w:tc>
        <w:tc>
          <w:tcPr>
            <w:tcW w:w="239" w:type="pct"/>
            <w:shd w:val="clear" w:color="auto" w:fill="auto"/>
          </w:tcPr>
          <w:p w14:paraId="5BB4DAD0">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443B462A">
            <w:pPr>
              <w:widowControl/>
              <w:spacing w:line="240" w:lineRule="auto"/>
              <w:ind w:firstLine="0" w:firstLineChars="0"/>
              <w:jc w:val="center"/>
              <w:rPr>
                <w:color w:val="auto"/>
                <w:kern w:val="0"/>
                <w:sz w:val="21"/>
                <w:szCs w:val="21"/>
              </w:rPr>
            </w:pPr>
            <w:r>
              <w:rPr>
                <w:rFonts w:hint="eastAsia"/>
                <w:color w:val="auto"/>
                <w:sz w:val="21"/>
                <w:szCs w:val="21"/>
              </w:rPr>
              <w:t>4.64E-05</w:t>
            </w:r>
          </w:p>
        </w:tc>
        <w:tc>
          <w:tcPr>
            <w:tcW w:w="206" w:type="pct"/>
            <w:shd w:val="clear" w:color="auto" w:fill="auto"/>
          </w:tcPr>
          <w:p w14:paraId="30FF829D">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5429434">
            <w:pPr>
              <w:widowControl/>
              <w:spacing w:line="240" w:lineRule="auto"/>
              <w:ind w:firstLine="0" w:firstLineChars="0"/>
              <w:jc w:val="center"/>
              <w:rPr>
                <w:color w:val="auto"/>
                <w:sz w:val="21"/>
                <w:szCs w:val="21"/>
              </w:rPr>
            </w:pPr>
            <w:r>
              <w:rPr>
                <w:rFonts w:hint="eastAsia"/>
                <w:color w:val="auto"/>
                <w:sz w:val="21"/>
                <w:szCs w:val="21"/>
              </w:rPr>
              <w:t>3.35E-05</w:t>
            </w:r>
          </w:p>
        </w:tc>
        <w:tc>
          <w:tcPr>
            <w:tcW w:w="170" w:type="pct"/>
          </w:tcPr>
          <w:p w14:paraId="763C808E">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0A1CB67C">
            <w:pPr>
              <w:widowControl/>
              <w:spacing w:line="240" w:lineRule="auto"/>
              <w:ind w:firstLine="0" w:firstLineChars="0"/>
              <w:jc w:val="center"/>
              <w:rPr>
                <w:color w:val="auto"/>
                <w:kern w:val="0"/>
                <w:sz w:val="21"/>
                <w:szCs w:val="21"/>
              </w:rPr>
            </w:pPr>
            <w:r>
              <w:rPr>
                <w:rFonts w:hint="eastAsia"/>
                <w:color w:val="auto"/>
                <w:sz w:val="21"/>
                <w:szCs w:val="21"/>
              </w:rPr>
              <w:t>3.07E-04</w:t>
            </w:r>
          </w:p>
        </w:tc>
        <w:tc>
          <w:tcPr>
            <w:tcW w:w="172" w:type="pct"/>
            <w:shd w:val="clear" w:color="auto" w:fill="auto"/>
          </w:tcPr>
          <w:p w14:paraId="0A915FEF">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0619FFBC">
            <w:pPr>
              <w:widowControl/>
              <w:spacing w:line="240" w:lineRule="auto"/>
              <w:ind w:firstLine="0" w:firstLineChars="0"/>
              <w:jc w:val="center"/>
              <w:rPr>
                <w:color w:val="auto"/>
                <w:kern w:val="0"/>
                <w:sz w:val="21"/>
                <w:szCs w:val="21"/>
              </w:rPr>
            </w:pPr>
            <w:r>
              <w:rPr>
                <w:rFonts w:hint="eastAsia"/>
                <w:color w:val="auto"/>
                <w:sz w:val="21"/>
                <w:szCs w:val="21"/>
              </w:rPr>
              <w:t>7.81E-05</w:t>
            </w:r>
          </w:p>
        </w:tc>
        <w:tc>
          <w:tcPr>
            <w:tcW w:w="212" w:type="pct"/>
            <w:shd w:val="clear" w:color="auto" w:fill="auto"/>
          </w:tcPr>
          <w:p w14:paraId="2E7493B5">
            <w:pPr>
              <w:widowControl/>
              <w:spacing w:line="240" w:lineRule="auto"/>
              <w:ind w:firstLine="0" w:firstLineChars="0"/>
              <w:jc w:val="center"/>
              <w:rPr>
                <w:color w:val="auto"/>
                <w:kern w:val="0"/>
                <w:sz w:val="21"/>
                <w:szCs w:val="21"/>
              </w:rPr>
            </w:pPr>
            <w:r>
              <w:rPr>
                <w:rFonts w:hint="eastAsia"/>
                <w:color w:val="auto"/>
                <w:sz w:val="21"/>
                <w:szCs w:val="21"/>
              </w:rPr>
              <w:t>0.01</w:t>
            </w:r>
          </w:p>
        </w:tc>
      </w:tr>
      <w:tr w14:paraId="7322D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DBEE3A1">
            <w:pPr>
              <w:widowControl/>
              <w:spacing w:line="240" w:lineRule="auto"/>
              <w:ind w:firstLine="0" w:firstLineChars="0"/>
              <w:jc w:val="center"/>
              <w:rPr>
                <w:color w:val="auto"/>
                <w:kern w:val="0"/>
                <w:sz w:val="21"/>
                <w:szCs w:val="21"/>
              </w:rPr>
            </w:pPr>
            <w:r>
              <w:rPr>
                <w:color w:val="auto"/>
                <w:sz w:val="21"/>
                <w:szCs w:val="21"/>
              </w:rPr>
              <w:t>2475</w:t>
            </w:r>
          </w:p>
        </w:tc>
        <w:tc>
          <w:tcPr>
            <w:tcW w:w="420" w:type="pct"/>
            <w:shd w:val="clear" w:color="auto" w:fill="auto"/>
            <w:noWrap/>
          </w:tcPr>
          <w:p w14:paraId="3F2F474B">
            <w:pPr>
              <w:widowControl/>
              <w:spacing w:line="240" w:lineRule="auto"/>
              <w:ind w:firstLine="0" w:firstLineChars="0"/>
              <w:jc w:val="center"/>
              <w:rPr>
                <w:color w:val="auto"/>
                <w:kern w:val="0"/>
                <w:sz w:val="21"/>
                <w:szCs w:val="21"/>
              </w:rPr>
            </w:pPr>
            <w:r>
              <w:rPr>
                <w:rFonts w:hint="eastAsia"/>
                <w:color w:val="auto"/>
                <w:sz w:val="21"/>
                <w:szCs w:val="21"/>
              </w:rPr>
              <w:t>6.95E-05</w:t>
            </w:r>
          </w:p>
        </w:tc>
        <w:tc>
          <w:tcPr>
            <w:tcW w:w="292" w:type="pct"/>
            <w:shd w:val="clear" w:color="auto" w:fill="auto"/>
            <w:noWrap/>
          </w:tcPr>
          <w:p w14:paraId="13CEDDBE">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021D7F2B">
            <w:pPr>
              <w:widowControl/>
              <w:spacing w:line="240" w:lineRule="auto"/>
              <w:ind w:firstLine="0" w:firstLineChars="0"/>
              <w:jc w:val="center"/>
              <w:rPr>
                <w:color w:val="auto"/>
                <w:kern w:val="0"/>
                <w:sz w:val="21"/>
                <w:szCs w:val="21"/>
              </w:rPr>
            </w:pPr>
            <w:r>
              <w:rPr>
                <w:rFonts w:hint="eastAsia"/>
                <w:color w:val="auto"/>
                <w:sz w:val="21"/>
                <w:szCs w:val="21"/>
              </w:rPr>
              <w:t>4.89E-05</w:t>
            </w:r>
          </w:p>
        </w:tc>
        <w:tc>
          <w:tcPr>
            <w:tcW w:w="376" w:type="pct"/>
            <w:shd w:val="clear" w:color="auto" w:fill="auto"/>
          </w:tcPr>
          <w:p w14:paraId="40A4507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7AB0AA45">
            <w:pPr>
              <w:widowControl/>
              <w:spacing w:line="240" w:lineRule="auto"/>
              <w:ind w:firstLine="0" w:firstLineChars="0"/>
              <w:jc w:val="center"/>
              <w:rPr>
                <w:color w:val="auto"/>
                <w:kern w:val="0"/>
                <w:sz w:val="21"/>
                <w:szCs w:val="21"/>
              </w:rPr>
            </w:pPr>
            <w:r>
              <w:rPr>
                <w:rFonts w:hint="eastAsia"/>
                <w:color w:val="auto"/>
                <w:sz w:val="21"/>
                <w:szCs w:val="21"/>
              </w:rPr>
              <w:t>4.48E-04</w:t>
            </w:r>
          </w:p>
        </w:tc>
        <w:tc>
          <w:tcPr>
            <w:tcW w:w="239" w:type="pct"/>
            <w:shd w:val="clear" w:color="auto" w:fill="auto"/>
          </w:tcPr>
          <w:p w14:paraId="66810842">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7F26BB17">
            <w:pPr>
              <w:widowControl/>
              <w:spacing w:line="240" w:lineRule="auto"/>
              <w:ind w:firstLine="0" w:firstLineChars="0"/>
              <w:jc w:val="center"/>
              <w:rPr>
                <w:color w:val="auto"/>
                <w:kern w:val="0"/>
                <w:sz w:val="21"/>
                <w:szCs w:val="21"/>
              </w:rPr>
            </w:pPr>
            <w:r>
              <w:rPr>
                <w:rFonts w:hint="eastAsia"/>
                <w:color w:val="auto"/>
                <w:sz w:val="21"/>
                <w:szCs w:val="21"/>
              </w:rPr>
              <w:t>4.64E-05</w:t>
            </w:r>
          </w:p>
        </w:tc>
        <w:tc>
          <w:tcPr>
            <w:tcW w:w="206" w:type="pct"/>
            <w:shd w:val="clear" w:color="auto" w:fill="auto"/>
          </w:tcPr>
          <w:p w14:paraId="0BE46FDF">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55A48412">
            <w:pPr>
              <w:widowControl/>
              <w:spacing w:line="240" w:lineRule="auto"/>
              <w:ind w:firstLine="0" w:firstLineChars="0"/>
              <w:jc w:val="center"/>
              <w:rPr>
                <w:color w:val="auto"/>
                <w:sz w:val="21"/>
                <w:szCs w:val="21"/>
              </w:rPr>
            </w:pPr>
            <w:r>
              <w:rPr>
                <w:rFonts w:hint="eastAsia"/>
                <w:color w:val="auto"/>
                <w:sz w:val="21"/>
                <w:szCs w:val="21"/>
              </w:rPr>
              <w:t>3.35E-05</w:t>
            </w:r>
          </w:p>
        </w:tc>
        <w:tc>
          <w:tcPr>
            <w:tcW w:w="170" w:type="pct"/>
          </w:tcPr>
          <w:p w14:paraId="236B7A03">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6D3485E6">
            <w:pPr>
              <w:widowControl/>
              <w:spacing w:line="240" w:lineRule="auto"/>
              <w:ind w:firstLine="0" w:firstLineChars="0"/>
              <w:jc w:val="center"/>
              <w:rPr>
                <w:color w:val="auto"/>
                <w:kern w:val="0"/>
                <w:sz w:val="21"/>
                <w:szCs w:val="21"/>
              </w:rPr>
            </w:pPr>
            <w:r>
              <w:rPr>
                <w:rFonts w:hint="eastAsia"/>
                <w:color w:val="auto"/>
                <w:sz w:val="21"/>
                <w:szCs w:val="21"/>
              </w:rPr>
              <w:t>3.06E-04</w:t>
            </w:r>
          </w:p>
        </w:tc>
        <w:tc>
          <w:tcPr>
            <w:tcW w:w="172" w:type="pct"/>
            <w:shd w:val="clear" w:color="auto" w:fill="auto"/>
          </w:tcPr>
          <w:p w14:paraId="1301CD55">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472EE442">
            <w:pPr>
              <w:widowControl/>
              <w:spacing w:line="240" w:lineRule="auto"/>
              <w:ind w:firstLine="0" w:firstLineChars="0"/>
              <w:jc w:val="center"/>
              <w:rPr>
                <w:color w:val="auto"/>
                <w:kern w:val="0"/>
                <w:sz w:val="21"/>
                <w:szCs w:val="21"/>
              </w:rPr>
            </w:pPr>
            <w:r>
              <w:rPr>
                <w:rFonts w:hint="eastAsia"/>
                <w:color w:val="auto"/>
                <w:sz w:val="21"/>
                <w:szCs w:val="21"/>
              </w:rPr>
              <w:t>7.80E-05</w:t>
            </w:r>
          </w:p>
        </w:tc>
        <w:tc>
          <w:tcPr>
            <w:tcW w:w="212" w:type="pct"/>
            <w:shd w:val="clear" w:color="auto" w:fill="auto"/>
          </w:tcPr>
          <w:p w14:paraId="6CF7A286">
            <w:pPr>
              <w:widowControl/>
              <w:spacing w:line="240" w:lineRule="auto"/>
              <w:ind w:firstLine="0" w:firstLineChars="0"/>
              <w:jc w:val="center"/>
              <w:rPr>
                <w:color w:val="auto"/>
                <w:kern w:val="0"/>
                <w:sz w:val="21"/>
                <w:szCs w:val="21"/>
              </w:rPr>
            </w:pPr>
            <w:r>
              <w:rPr>
                <w:rFonts w:hint="eastAsia"/>
                <w:color w:val="auto"/>
                <w:sz w:val="21"/>
                <w:szCs w:val="21"/>
              </w:rPr>
              <w:t>0.01</w:t>
            </w:r>
          </w:p>
        </w:tc>
      </w:tr>
      <w:tr w14:paraId="29A14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69" w:type="pct"/>
            <w:shd w:val="clear" w:color="auto" w:fill="auto"/>
          </w:tcPr>
          <w:p w14:paraId="1A2294AB">
            <w:pPr>
              <w:widowControl/>
              <w:spacing w:line="240" w:lineRule="auto"/>
              <w:ind w:firstLine="0" w:firstLineChars="0"/>
              <w:jc w:val="center"/>
              <w:rPr>
                <w:color w:val="auto"/>
                <w:kern w:val="0"/>
                <w:sz w:val="21"/>
                <w:szCs w:val="21"/>
              </w:rPr>
            </w:pPr>
            <w:r>
              <w:rPr>
                <w:color w:val="auto"/>
                <w:sz w:val="21"/>
                <w:szCs w:val="21"/>
              </w:rPr>
              <w:t>2500</w:t>
            </w:r>
          </w:p>
        </w:tc>
        <w:tc>
          <w:tcPr>
            <w:tcW w:w="420" w:type="pct"/>
            <w:shd w:val="clear" w:color="auto" w:fill="auto"/>
            <w:noWrap/>
          </w:tcPr>
          <w:p w14:paraId="3BAE19D8">
            <w:pPr>
              <w:widowControl/>
              <w:spacing w:line="240" w:lineRule="auto"/>
              <w:ind w:firstLine="0" w:firstLineChars="0"/>
              <w:jc w:val="center"/>
              <w:rPr>
                <w:color w:val="auto"/>
                <w:kern w:val="0"/>
                <w:sz w:val="21"/>
                <w:szCs w:val="21"/>
              </w:rPr>
            </w:pPr>
            <w:r>
              <w:rPr>
                <w:rFonts w:hint="eastAsia"/>
                <w:color w:val="auto"/>
                <w:sz w:val="21"/>
                <w:szCs w:val="21"/>
              </w:rPr>
              <w:t>6.94E-05</w:t>
            </w:r>
          </w:p>
        </w:tc>
        <w:tc>
          <w:tcPr>
            <w:tcW w:w="292" w:type="pct"/>
            <w:shd w:val="clear" w:color="auto" w:fill="auto"/>
            <w:noWrap/>
          </w:tcPr>
          <w:p w14:paraId="21225660">
            <w:pPr>
              <w:widowControl/>
              <w:spacing w:line="240" w:lineRule="auto"/>
              <w:ind w:firstLine="0" w:firstLineChars="0"/>
              <w:jc w:val="center"/>
              <w:rPr>
                <w:color w:val="auto"/>
                <w:kern w:val="0"/>
                <w:sz w:val="21"/>
                <w:szCs w:val="21"/>
              </w:rPr>
            </w:pPr>
            <w:r>
              <w:rPr>
                <w:rFonts w:hint="eastAsia"/>
                <w:color w:val="auto"/>
                <w:sz w:val="21"/>
                <w:szCs w:val="21"/>
              </w:rPr>
              <w:t>0.02</w:t>
            </w:r>
          </w:p>
        </w:tc>
        <w:tc>
          <w:tcPr>
            <w:tcW w:w="490" w:type="pct"/>
            <w:shd w:val="clear" w:color="auto" w:fill="auto"/>
          </w:tcPr>
          <w:p w14:paraId="3D5871B9">
            <w:pPr>
              <w:widowControl/>
              <w:spacing w:line="240" w:lineRule="auto"/>
              <w:ind w:firstLine="0" w:firstLineChars="0"/>
              <w:jc w:val="center"/>
              <w:rPr>
                <w:color w:val="auto"/>
                <w:kern w:val="0"/>
                <w:sz w:val="21"/>
                <w:szCs w:val="21"/>
              </w:rPr>
            </w:pPr>
            <w:r>
              <w:rPr>
                <w:rFonts w:hint="eastAsia"/>
                <w:color w:val="auto"/>
                <w:sz w:val="21"/>
                <w:szCs w:val="21"/>
              </w:rPr>
              <w:t>4.88E-05</w:t>
            </w:r>
          </w:p>
        </w:tc>
        <w:tc>
          <w:tcPr>
            <w:tcW w:w="376" w:type="pct"/>
            <w:shd w:val="clear" w:color="auto" w:fill="auto"/>
          </w:tcPr>
          <w:p w14:paraId="050F9FAD">
            <w:pPr>
              <w:widowControl/>
              <w:spacing w:line="240" w:lineRule="auto"/>
              <w:ind w:firstLine="0" w:firstLineChars="0"/>
              <w:jc w:val="center"/>
              <w:rPr>
                <w:color w:val="auto"/>
                <w:kern w:val="0"/>
                <w:sz w:val="21"/>
                <w:szCs w:val="21"/>
              </w:rPr>
            </w:pPr>
            <w:r>
              <w:rPr>
                <w:rFonts w:hint="eastAsia"/>
                <w:color w:val="auto"/>
                <w:sz w:val="21"/>
                <w:szCs w:val="21"/>
              </w:rPr>
              <w:t>0.01</w:t>
            </w:r>
          </w:p>
        </w:tc>
        <w:tc>
          <w:tcPr>
            <w:tcW w:w="489" w:type="pct"/>
            <w:shd w:val="clear" w:color="auto" w:fill="auto"/>
          </w:tcPr>
          <w:p w14:paraId="436D5EAE">
            <w:pPr>
              <w:widowControl/>
              <w:spacing w:line="240" w:lineRule="auto"/>
              <w:ind w:firstLine="0" w:firstLineChars="0"/>
              <w:jc w:val="center"/>
              <w:rPr>
                <w:color w:val="auto"/>
                <w:kern w:val="0"/>
                <w:sz w:val="21"/>
                <w:szCs w:val="21"/>
              </w:rPr>
            </w:pPr>
            <w:r>
              <w:rPr>
                <w:rFonts w:hint="eastAsia"/>
                <w:color w:val="auto"/>
                <w:sz w:val="21"/>
                <w:szCs w:val="21"/>
              </w:rPr>
              <w:t>4.47E-04</w:t>
            </w:r>
          </w:p>
        </w:tc>
        <w:tc>
          <w:tcPr>
            <w:tcW w:w="239" w:type="pct"/>
            <w:shd w:val="clear" w:color="auto" w:fill="auto"/>
          </w:tcPr>
          <w:p w14:paraId="55D600D7">
            <w:pPr>
              <w:widowControl/>
              <w:spacing w:line="240" w:lineRule="auto"/>
              <w:ind w:firstLine="0" w:firstLineChars="0"/>
              <w:jc w:val="center"/>
              <w:rPr>
                <w:color w:val="auto"/>
                <w:kern w:val="0"/>
                <w:sz w:val="21"/>
                <w:szCs w:val="21"/>
              </w:rPr>
            </w:pPr>
            <w:r>
              <w:rPr>
                <w:rFonts w:hint="eastAsia"/>
                <w:color w:val="auto"/>
                <w:sz w:val="21"/>
                <w:szCs w:val="21"/>
              </w:rPr>
              <w:t>0.22</w:t>
            </w:r>
          </w:p>
        </w:tc>
        <w:tc>
          <w:tcPr>
            <w:tcW w:w="451" w:type="pct"/>
            <w:shd w:val="clear" w:color="auto" w:fill="auto"/>
          </w:tcPr>
          <w:p w14:paraId="0DEB2AD3">
            <w:pPr>
              <w:widowControl/>
              <w:spacing w:line="240" w:lineRule="auto"/>
              <w:ind w:firstLine="0" w:firstLineChars="0"/>
              <w:jc w:val="center"/>
              <w:rPr>
                <w:color w:val="auto"/>
                <w:kern w:val="0"/>
                <w:sz w:val="21"/>
                <w:szCs w:val="21"/>
              </w:rPr>
            </w:pPr>
            <w:r>
              <w:rPr>
                <w:rFonts w:hint="eastAsia"/>
                <w:color w:val="auto"/>
                <w:sz w:val="21"/>
                <w:szCs w:val="21"/>
              </w:rPr>
              <w:t>4.63E-05</w:t>
            </w:r>
          </w:p>
        </w:tc>
        <w:tc>
          <w:tcPr>
            <w:tcW w:w="206" w:type="pct"/>
            <w:shd w:val="clear" w:color="auto" w:fill="auto"/>
          </w:tcPr>
          <w:p w14:paraId="11D697A7">
            <w:pPr>
              <w:widowControl/>
              <w:spacing w:line="240" w:lineRule="auto"/>
              <w:ind w:firstLine="0" w:firstLineChars="0"/>
              <w:jc w:val="center"/>
              <w:rPr>
                <w:color w:val="auto"/>
                <w:kern w:val="0"/>
                <w:sz w:val="21"/>
                <w:szCs w:val="21"/>
              </w:rPr>
            </w:pPr>
            <w:r>
              <w:rPr>
                <w:rFonts w:hint="eastAsia"/>
                <w:color w:val="auto"/>
                <w:sz w:val="21"/>
                <w:szCs w:val="21"/>
              </w:rPr>
              <w:t>0.01</w:t>
            </w:r>
          </w:p>
        </w:tc>
        <w:tc>
          <w:tcPr>
            <w:tcW w:w="352" w:type="pct"/>
          </w:tcPr>
          <w:p w14:paraId="7084A194">
            <w:pPr>
              <w:widowControl/>
              <w:spacing w:line="240" w:lineRule="auto"/>
              <w:ind w:firstLine="0" w:firstLineChars="0"/>
              <w:jc w:val="center"/>
              <w:rPr>
                <w:color w:val="auto"/>
                <w:sz w:val="21"/>
                <w:szCs w:val="21"/>
              </w:rPr>
            </w:pPr>
            <w:r>
              <w:rPr>
                <w:rFonts w:hint="eastAsia"/>
                <w:color w:val="auto"/>
                <w:sz w:val="21"/>
                <w:szCs w:val="21"/>
              </w:rPr>
              <w:t>3.34E-05</w:t>
            </w:r>
          </w:p>
        </w:tc>
        <w:tc>
          <w:tcPr>
            <w:tcW w:w="170" w:type="pct"/>
          </w:tcPr>
          <w:p w14:paraId="2B37A8A6">
            <w:pPr>
              <w:widowControl/>
              <w:spacing w:line="240" w:lineRule="auto"/>
              <w:ind w:firstLine="0" w:firstLineChars="0"/>
              <w:jc w:val="center"/>
              <w:rPr>
                <w:color w:val="auto"/>
                <w:sz w:val="21"/>
                <w:szCs w:val="21"/>
              </w:rPr>
            </w:pPr>
            <w:r>
              <w:rPr>
                <w:rFonts w:hint="eastAsia"/>
                <w:color w:val="auto"/>
                <w:sz w:val="21"/>
                <w:szCs w:val="21"/>
              </w:rPr>
              <w:t>0.01</w:t>
            </w:r>
          </w:p>
        </w:tc>
        <w:tc>
          <w:tcPr>
            <w:tcW w:w="372" w:type="pct"/>
            <w:shd w:val="clear" w:color="auto" w:fill="auto"/>
          </w:tcPr>
          <w:p w14:paraId="114DA1C7">
            <w:pPr>
              <w:widowControl/>
              <w:spacing w:line="240" w:lineRule="auto"/>
              <w:ind w:firstLine="0" w:firstLineChars="0"/>
              <w:jc w:val="center"/>
              <w:rPr>
                <w:color w:val="auto"/>
                <w:kern w:val="0"/>
                <w:sz w:val="21"/>
                <w:szCs w:val="21"/>
              </w:rPr>
            </w:pPr>
            <w:r>
              <w:rPr>
                <w:rFonts w:hint="eastAsia"/>
                <w:color w:val="auto"/>
                <w:sz w:val="21"/>
                <w:szCs w:val="21"/>
              </w:rPr>
              <w:t>3.06E-04</w:t>
            </w:r>
          </w:p>
        </w:tc>
        <w:tc>
          <w:tcPr>
            <w:tcW w:w="172" w:type="pct"/>
            <w:shd w:val="clear" w:color="auto" w:fill="auto"/>
          </w:tcPr>
          <w:p w14:paraId="6A440EFB">
            <w:pPr>
              <w:widowControl/>
              <w:spacing w:line="240" w:lineRule="auto"/>
              <w:ind w:firstLine="0" w:firstLineChars="0"/>
              <w:jc w:val="center"/>
              <w:rPr>
                <w:color w:val="auto"/>
                <w:kern w:val="0"/>
                <w:sz w:val="21"/>
                <w:szCs w:val="21"/>
              </w:rPr>
            </w:pPr>
            <w:r>
              <w:rPr>
                <w:rFonts w:hint="eastAsia"/>
                <w:color w:val="auto"/>
                <w:sz w:val="21"/>
                <w:szCs w:val="21"/>
              </w:rPr>
              <w:t>0.15</w:t>
            </w:r>
          </w:p>
        </w:tc>
        <w:tc>
          <w:tcPr>
            <w:tcW w:w="384" w:type="pct"/>
            <w:shd w:val="clear" w:color="auto" w:fill="auto"/>
          </w:tcPr>
          <w:p w14:paraId="4FFF9C28">
            <w:pPr>
              <w:widowControl/>
              <w:spacing w:line="240" w:lineRule="auto"/>
              <w:ind w:firstLine="0" w:firstLineChars="0"/>
              <w:jc w:val="center"/>
              <w:rPr>
                <w:color w:val="auto"/>
                <w:kern w:val="0"/>
                <w:sz w:val="21"/>
                <w:szCs w:val="21"/>
              </w:rPr>
            </w:pPr>
            <w:r>
              <w:rPr>
                <w:rFonts w:hint="eastAsia"/>
                <w:color w:val="auto"/>
                <w:sz w:val="21"/>
                <w:szCs w:val="21"/>
              </w:rPr>
              <w:t>7.78E-05</w:t>
            </w:r>
          </w:p>
        </w:tc>
        <w:tc>
          <w:tcPr>
            <w:tcW w:w="212" w:type="pct"/>
            <w:shd w:val="clear" w:color="auto" w:fill="auto"/>
          </w:tcPr>
          <w:p w14:paraId="1C1696BB">
            <w:pPr>
              <w:widowControl/>
              <w:spacing w:line="240" w:lineRule="auto"/>
              <w:ind w:firstLine="0" w:firstLineChars="0"/>
              <w:jc w:val="center"/>
              <w:rPr>
                <w:color w:val="auto"/>
                <w:kern w:val="0"/>
                <w:sz w:val="21"/>
                <w:szCs w:val="21"/>
              </w:rPr>
            </w:pPr>
            <w:r>
              <w:rPr>
                <w:rFonts w:hint="eastAsia"/>
                <w:color w:val="auto"/>
                <w:sz w:val="21"/>
                <w:szCs w:val="21"/>
              </w:rPr>
              <w:t>0.01</w:t>
            </w:r>
          </w:p>
        </w:tc>
      </w:tr>
      <w:tr w14:paraId="5798A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50" w:hRule="atLeast"/>
          <w:jc w:val="center"/>
        </w:trPr>
        <w:tc>
          <w:tcPr>
            <w:tcW w:w="369" w:type="pct"/>
            <w:shd w:val="clear" w:color="auto" w:fill="auto"/>
            <w:vAlign w:val="center"/>
          </w:tcPr>
          <w:p w14:paraId="2A80F5AE">
            <w:pPr>
              <w:widowControl/>
              <w:spacing w:line="240" w:lineRule="auto"/>
              <w:ind w:firstLine="0" w:firstLineChars="0"/>
              <w:jc w:val="center"/>
              <w:rPr>
                <w:color w:val="auto"/>
                <w:kern w:val="0"/>
                <w:sz w:val="21"/>
                <w:szCs w:val="21"/>
              </w:rPr>
            </w:pPr>
            <w:r>
              <w:rPr>
                <w:color w:val="auto"/>
                <w:kern w:val="0"/>
                <w:sz w:val="21"/>
                <w:szCs w:val="21"/>
              </w:rPr>
              <w:t>下风向最大质量浓度及占标率/%</w:t>
            </w:r>
          </w:p>
        </w:tc>
        <w:tc>
          <w:tcPr>
            <w:tcW w:w="420" w:type="pct"/>
            <w:shd w:val="clear" w:color="auto" w:fill="auto"/>
            <w:noWrap/>
            <w:vAlign w:val="center"/>
          </w:tcPr>
          <w:p w14:paraId="305DCB22">
            <w:pPr>
              <w:widowControl/>
              <w:spacing w:line="240" w:lineRule="auto"/>
              <w:ind w:firstLine="0" w:firstLineChars="0"/>
              <w:jc w:val="center"/>
              <w:rPr>
                <w:color w:val="auto"/>
                <w:kern w:val="0"/>
                <w:sz w:val="21"/>
                <w:szCs w:val="21"/>
              </w:rPr>
            </w:pPr>
            <w:r>
              <w:rPr>
                <w:color w:val="auto"/>
                <w:kern w:val="0"/>
                <w:sz w:val="21"/>
                <w:szCs w:val="21"/>
              </w:rPr>
              <w:t>4.</w:t>
            </w:r>
            <w:r>
              <w:rPr>
                <w:rFonts w:hint="eastAsia"/>
                <w:color w:val="auto"/>
                <w:kern w:val="0"/>
                <w:sz w:val="21"/>
                <w:szCs w:val="21"/>
              </w:rPr>
              <w:t>11</w:t>
            </w:r>
            <w:r>
              <w:rPr>
                <w:color w:val="auto"/>
                <w:kern w:val="0"/>
                <w:sz w:val="21"/>
                <w:szCs w:val="21"/>
              </w:rPr>
              <w:t>E-04</w:t>
            </w:r>
          </w:p>
        </w:tc>
        <w:tc>
          <w:tcPr>
            <w:tcW w:w="292" w:type="pct"/>
            <w:shd w:val="clear" w:color="auto" w:fill="auto"/>
            <w:noWrap/>
            <w:vAlign w:val="center"/>
          </w:tcPr>
          <w:p w14:paraId="1946B6AA">
            <w:pPr>
              <w:widowControl/>
              <w:spacing w:line="240" w:lineRule="auto"/>
              <w:ind w:firstLine="0" w:firstLineChars="0"/>
              <w:jc w:val="center"/>
              <w:rPr>
                <w:color w:val="auto"/>
                <w:kern w:val="0"/>
                <w:sz w:val="21"/>
                <w:szCs w:val="21"/>
              </w:rPr>
            </w:pPr>
            <w:r>
              <w:rPr>
                <w:color w:val="auto"/>
                <w:kern w:val="0"/>
                <w:sz w:val="21"/>
                <w:szCs w:val="21"/>
              </w:rPr>
              <w:t>0.</w:t>
            </w:r>
            <w:r>
              <w:rPr>
                <w:rFonts w:hint="eastAsia"/>
                <w:color w:val="auto"/>
                <w:kern w:val="0"/>
                <w:sz w:val="21"/>
                <w:szCs w:val="21"/>
              </w:rPr>
              <w:t>09</w:t>
            </w:r>
          </w:p>
        </w:tc>
        <w:tc>
          <w:tcPr>
            <w:tcW w:w="490" w:type="pct"/>
            <w:shd w:val="clear" w:color="auto" w:fill="auto"/>
            <w:vAlign w:val="center"/>
          </w:tcPr>
          <w:p w14:paraId="48DA4D08">
            <w:pPr>
              <w:widowControl/>
              <w:spacing w:line="240" w:lineRule="auto"/>
              <w:ind w:firstLine="0" w:firstLineChars="0"/>
              <w:jc w:val="center"/>
              <w:rPr>
                <w:color w:val="auto"/>
                <w:kern w:val="0"/>
                <w:sz w:val="21"/>
                <w:szCs w:val="21"/>
              </w:rPr>
            </w:pPr>
            <w:r>
              <w:rPr>
                <w:rFonts w:hint="eastAsia"/>
                <w:color w:val="auto"/>
                <w:kern w:val="0"/>
                <w:sz w:val="21"/>
                <w:szCs w:val="21"/>
              </w:rPr>
              <w:t>2.89</w:t>
            </w:r>
            <w:r>
              <w:rPr>
                <w:color w:val="auto"/>
                <w:kern w:val="0"/>
                <w:sz w:val="21"/>
                <w:szCs w:val="21"/>
              </w:rPr>
              <w:t>E-0</w:t>
            </w:r>
            <w:r>
              <w:rPr>
                <w:rFonts w:hint="eastAsia"/>
                <w:color w:val="auto"/>
                <w:kern w:val="0"/>
                <w:sz w:val="21"/>
                <w:szCs w:val="21"/>
              </w:rPr>
              <w:t>4</w:t>
            </w:r>
          </w:p>
        </w:tc>
        <w:tc>
          <w:tcPr>
            <w:tcW w:w="376" w:type="pct"/>
            <w:shd w:val="clear" w:color="auto" w:fill="auto"/>
            <w:vAlign w:val="center"/>
          </w:tcPr>
          <w:p w14:paraId="79CA0B5D">
            <w:pPr>
              <w:widowControl/>
              <w:spacing w:line="240" w:lineRule="auto"/>
              <w:ind w:firstLine="0" w:firstLineChars="0"/>
              <w:jc w:val="center"/>
              <w:rPr>
                <w:color w:val="auto"/>
                <w:kern w:val="0"/>
                <w:sz w:val="21"/>
                <w:szCs w:val="21"/>
              </w:rPr>
            </w:pPr>
            <w:r>
              <w:rPr>
                <w:color w:val="auto"/>
                <w:kern w:val="0"/>
                <w:sz w:val="21"/>
                <w:szCs w:val="21"/>
              </w:rPr>
              <w:t>0.0</w:t>
            </w:r>
            <w:r>
              <w:rPr>
                <w:rFonts w:hint="eastAsia"/>
                <w:color w:val="auto"/>
                <w:kern w:val="0"/>
                <w:sz w:val="21"/>
                <w:szCs w:val="21"/>
              </w:rPr>
              <w:t>6</w:t>
            </w:r>
          </w:p>
        </w:tc>
        <w:tc>
          <w:tcPr>
            <w:tcW w:w="489" w:type="pct"/>
            <w:shd w:val="clear" w:color="auto" w:fill="auto"/>
            <w:vAlign w:val="center"/>
          </w:tcPr>
          <w:p w14:paraId="5722D85C">
            <w:pPr>
              <w:widowControl/>
              <w:spacing w:line="240" w:lineRule="auto"/>
              <w:ind w:firstLine="0" w:firstLineChars="0"/>
              <w:jc w:val="center"/>
              <w:rPr>
                <w:color w:val="auto"/>
                <w:kern w:val="0"/>
                <w:sz w:val="21"/>
                <w:szCs w:val="21"/>
              </w:rPr>
            </w:pPr>
            <w:r>
              <w:rPr>
                <w:rFonts w:hint="eastAsia"/>
                <w:color w:val="auto"/>
                <w:kern w:val="0"/>
                <w:sz w:val="21"/>
                <w:szCs w:val="21"/>
              </w:rPr>
              <w:t>2.65</w:t>
            </w:r>
            <w:r>
              <w:rPr>
                <w:color w:val="auto"/>
                <w:kern w:val="0"/>
                <w:sz w:val="21"/>
                <w:szCs w:val="21"/>
              </w:rPr>
              <w:t>E-03</w:t>
            </w:r>
          </w:p>
        </w:tc>
        <w:tc>
          <w:tcPr>
            <w:tcW w:w="239" w:type="pct"/>
            <w:shd w:val="clear" w:color="auto" w:fill="auto"/>
            <w:vAlign w:val="center"/>
          </w:tcPr>
          <w:p w14:paraId="6ED318B6">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33</w:t>
            </w:r>
          </w:p>
        </w:tc>
        <w:tc>
          <w:tcPr>
            <w:tcW w:w="451" w:type="pct"/>
            <w:shd w:val="clear" w:color="auto" w:fill="auto"/>
            <w:vAlign w:val="center"/>
          </w:tcPr>
          <w:p w14:paraId="3367EF69">
            <w:pPr>
              <w:widowControl/>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74</w:t>
            </w:r>
            <w:r>
              <w:rPr>
                <w:color w:val="auto"/>
                <w:kern w:val="0"/>
                <w:sz w:val="21"/>
                <w:szCs w:val="21"/>
              </w:rPr>
              <w:t>E-04</w:t>
            </w:r>
          </w:p>
        </w:tc>
        <w:tc>
          <w:tcPr>
            <w:tcW w:w="206" w:type="pct"/>
            <w:shd w:val="clear" w:color="auto" w:fill="auto"/>
            <w:vAlign w:val="center"/>
          </w:tcPr>
          <w:p w14:paraId="35585B33">
            <w:pPr>
              <w:widowControl/>
              <w:spacing w:line="240" w:lineRule="auto"/>
              <w:ind w:firstLine="0" w:firstLineChars="0"/>
              <w:jc w:val="center"/>
              <w:rPr>
                <w:color w:val="auto"/>
                <w:kern w:val="0"/>
                <w:sz w:val="21"/>
                <w:szCs w:val="21"/>
              </w:rPr>
            </w:pPr>
            <w:r>
              <w:rPr>
                <w:color w:val="auto"/>
                <w:kern w:val="0"/>
                <w:sz w:val="21"/>
                <w:szCs w:val="21"/>
              </w:rPr>
              <w:t>0.0</w:t>
            </w:r>
            <w:r>
              <w:rPr>
                <w:rFonts w:hint="eastAsia"/>
                <w:color w:val="auto"/>
                <w:kern w:val="0"/>
                <w:sz w:val="21"/>
                <w:szCs w:val="21"/>
              </w:rPr>
              <w:t>6</w:t>
            </w:r>
          </w:p>
        </w:tc>
        <w:tc>
          <w:tcPr>
            <w:tcW w:w="352" w:type="pct"/>
            <w:vAlign w:val="center"/>
          </w:tcPr>
          <w:p w14:paraId="19AF7504">
            <w:pPr>
              <w:widowControl/>
              <w:spacing w:line="240" w:lineRule="auto"/>
              <w:ind w:firstLine="0" w:firstLineChars="0"/>
              <w:jc w:val="center"/>
              <w:rPr>
                <w:color w:val="auto"/>
                <w:sz w:val="21"/>
                <w:szCs w:val="21"/>
              </w:rPr>
            </w:pPr>
            <w:r>
              <w:rPr>
                <w:color w:val="auto"/>
                <w:sz w:val="21"/>
                <w:szCs w:val="21"/>
              </w:rPr>
              <w:t>1.</w:t>
            </w:r>
            <w:r>
              <w:rPr>
                <w:rFonts w:hint="eastAsia"/>
                <w:color w:val="auto"/>
                <w:sz w:val="21"/>
                <w:szCs w:val="21"/>
              </w:rPr>
              <w:t>98</w:t>
            </w:r>
            <w:r>
              <w:rPr>
                <w:color w:val="auto"/>
                <w:sz w:val="21"/>
                <w:szCs w:val="21"/>
              </w:rPr>
              <w:t xml:space="preserve">E-04 </w:t>
            </w:r>
          </w:p>
        </w:tc>
        <w:tc>
          <w:tcPr>
            <w:tcW w:w="170" w:type="pct"/>
            <w:vAlign w:val="center"/>
          </w:tcPr>
          <w:p w14:paraId="7B28EAD9">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4</w:t>
            </w:r>
          </w:p>
        </w:tc>
        <w:tc>
          <w:tcPr>
            <w:tcW w:w="372" w:type="pct"/>
            <w:shd w:val="clear" w:color="auto" w:fill="auto"/>
            <w:vAlign w:val="center"/>
          </w:tcPr>
          <w:p w14:paraId="6BC68336">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81</w:t>
            </w:r>
            <w:r>
              <w:rPr>
                <w:color w:val="auto"/>
                <w:kern w:val="0"/>
                <w:sz w:val="21"/>
                <w:szCs w:val="21"/>
              </w:rPr>
              <w:t>E-03</w:t>
            </w:r>
          </w:p>
        </w:tc>
        <w:tc>
          <w:tcPr>
            <w:tcW w:w="172" w:type="pct"/>
            <w:shd w:val="clear" w:color="auto" w:fill="auto"/>
            <w:vAlign w:val="center"/>
          </w:tcPr>
          <w:p w14:paraId="39A49C8A">
            <w:pPr>
              <w:widowControl/>
              <w:spacing w:line="240" w:lineRule="auto"/>
              <w:ind w:firstLine="0" w:firstLineChars="0"/>
              <w:jc w:val="center"/>
              <w:rPr>
                <w:color w:val="auto"/>
                <w:kern w:val="0"/>
                <w:sz w:val="21"/>
                <w:szCs w:val="21"/>
              </w:rPr>
            </w:pPr>
            <w:r>
              <w:rPr>
                <w:color w:val="auto"/>
                <w:kern w:val="0"/>
                <w:sz w:val="21"/>
                <w:szCs w:val="21"/>
              </w:rPr>
              <w:t>0.</w:t>
            </w:r>
            <w:r>
              <w:rPr>
                <w:rFonts w:hint="eastAsia"/>
                <w:color w:val="auto"/>
                <w:kern w:val="0"/>
                <w:sz w:val="21"/>
                <w:szCs w:val="21"/>
              </w:rPr>
              <w:t>91</w:t>
            </w:r>
          </w:p>
        </w:tc>
        <w:tc>
          <w:tcPr>
            <w:tcW w:w="384" w:type="pct"/>
            <w:shd w:val="clear" w:color="auto" w:fill="auto"/>
            <w:vAlign w:val="center"/>
          </w:tcPr>
          <w:p w14:paraId="7B161F97">
            <w:pPr>
              <w:widowControl/>
              <w:spacing w:line="240" w:lineRule="auto"/>
              <w:ind w:firstLine="0" w:firstLineChars="0"/>
              <w:jc w:val="center"/>
              <w:rPr>
                <w:color w:val="auto"/>
                <w:kern w:val="0"/>
                <w:sz w:val="21"/>
                <w:szCs w:val="21"/>
              </w:rPr>
            </w:pPr>
            <w:r>
              <w:rPr>
                <w:color w:val="auto"/>
                <w:kern w:val="0"/>
                <w:sz w:val="21"/>
                <w:szCs w:val="21"/>
              </w:rPr>
              <w:t>4.61E-04</w:t>
            </w:r>
          </w:p>
        </w:tc>
        <w:tc>
          <w:tcPr>
            <w:tcW w:w="212" w:type="pct"/>
            <w:shd w:val="clear" w:color="auto" w:fill="auto"/>
            <w:vAlign w:val="center"/>
          </w:tcPr>
          <w:p w14:paraId="1AC6CC4F">
            <w:pPr>
              <w:pStyle w:val="151"/>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0.05</w:t>
            </w:r>
          </w:p>
        </w:tc>
      </w:tr>
      <w:tr w14:paraId="769A7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50" w:hRule="atLeast"/>
          <w:jc w:val="center"/>
        </w:trPr>
        <w:tc>
          <w:tcPr>
            <w:tcW w:w="369" w:type="pct"/>
            <w:shd w:val="clear" w:color="auto" w:fill="auto"/>
            <w:vAlign w:val="center"/>
          </w:tcPr>
          <w:p w14:paraId="1762500E">
            <w:pPr>
              <w:widowControl/>
              <w:spacing w:line="240" w:lineRule="auto"/>
              <w:ind w:firstLine="0" w:firstLineChars="0"/>
              <w:jc w:val="center"/>
              <w:rPr>
                <w:color w:val="auto"/>
                <w:kern w:val="0"/>
                <w:sz w:val="21"/>
                <w:szCs w:val="21"/>
              </w:rPr>
            </w:pPr>
            <w:r>
              <w:rPr>
                <w:color w:val="auto"/>
                <w:kern w:val="0"/>
                <w:sz w:val="21"/>
                <w:szCs w:val="21"/>
              </w:rPr>
              <w:t>D</w:t>
            </w:r>
            <w:r>
              <w:rPr>
                <w:color w:val="auto"/>
                <w:kern w:val="0"/>
                <w:sz w:val="21"/>
                <w:szCs w:val="21"/>
                <w:vertAlign w:val="subscript"/>
              </w:rPr>
              <w:t>10%</w:t>
            </w:r>
            <w:r>
              <w:rPr>
                <w:color w:val="auto"/>
                <w:kern w:val="0"/>
                <w:sz w:val="21"/>
                <w:szCs w:val="21"/>
              </w:rPr>
              <w:t>最远距离/m</w:t>
            </w:r>
          </w:p>
        </w:tc>
        <w:tc>
          <w:tcPr>
            <w:tcW w:w="712" w:type="pct"/>
            <w:gridSpan w:val="2"/>
            <w:shd w:val="clear" w:color="auto" w:fill="auto"/>
            <w:noWrap/>
            <w:vAlign w:val="center"/>
          </w:tcPr>
          <w:p w14:paraId="31A5EB66">
            <w:pPr>
              <w:widowControl/>
              <w:spacing w:line="240" w:lineRule="auto"/>
              <w:ind w:firstLine="0" w:firstLineChars="0"/>
              <w:jc w:val="center"/>
              <w:rPr>
                <w:color w:val="auto"/>
                <w:kern w:val="0"/>
                <w:sz w:val="21"/>
                <w:szCs w:val="21"/>
              </w:rPr>
            </w:pPr>
            <w:r>
              <w:rPr>
                <w:rFonts w:hint="eastAsia"/>
                <w:color w:val="auto"/>
                <w:kern w:val="0"/>
                <w:sz w:val="21"/>
                <w:szCs w:val="21"/>
              </w:rPr>
              <w:t>50</w:t>
            </w:r>
          </w:p>
        </w:tc>
        <w:tc>
          <w:tcPr>
            <w:tcW w:w="866" w:type="pct"/>
            <w:gridSpan w:val="2"/>
            <w:shd w:val="clear" w:color="auto" w:fill="auto"/>
            <w:vAlign w:val="center"/>
          </w:tcPr>
          <w:p w14:paraId="45447861">
            <w:pPr>
              <w:widowControl/>
              <w:spacing w:line="240" w:lineRule="auto"/>
              <w:ind w:firstLine="0" w:firstLineChars="0"/>
              <w:jc w:val="center"/>
              <w:rPr>
                <w:color w:val="auto"/>
                <w:kern w:val="0"/>
                <w:sz w:val="21"/>
                <w:szCs w:val="21"/>
              </w:rPr>
            </w:pPr>
            <w:r>
              <w:rPr>
                <w:color w:val="auto"/>
                <w:kern w:val="0"/>
                <w:sz w:val="21"/>
                <w:szCs w:val="21"/>
              </w:rPr>
              <w:t>50</w:t>
            </w:r>
          </w:p>
        </w:tc>
        <w:tc>
          <w:tcPr>
            <w:tcW w:w="729" w:type="pct"/>
            <w:gridSpan w:val="2"/>
            <w:shd w:val="clear" w:color="auto" w:fill="auto"/>
            <w:vAlign w:val="center"/>
          </w:tcPr>
          <w:p w14:paraId="6ECAF049">
            <w:pPr>
              <w:widowControl/>
              <w:spacing w:line="240" w:lineRule="auto"/>
              <w:ind w:firstLine="0" w:firstLineChars="0"/>
              <w:jc w:val="center"/>
              <w:rPr>
                <w:color w:val="auto"/>
                <w:kern w:val="0"/>
                <w:sz w:val="21"/>
                <w:szCs w:val="21"/>
              </w:rPr>
            </w:pPr>
            <w:r>
              <w:rPr>
                <w:color w:val="auto"/>
                <w:kern w:val="0"/>
                <w:sz w:val="21"/>
                <w:szCs w:val="21"/>
              </w:rPr>
              <w:t>50</w:t>
            </w:r>
          </w:p>
        </w:tc>
        <w:tc>
          <w:tcPr>
            <w:tcW w:w="657" w:type="pct"/>
            <w:gridSpan w:val="2"/>
            <w:shd w:val="clear" w:color="auto" w:fill="auto"/>
            <w:vAlign w:val="center"/>
          </w:tcPr>
          <w:p w14:paraId="7A71128F">
            <w:pPr>
              <w:widowControl/>
              <w:spacing w:line="240" w:lineRule="auto"/>
              <w:ind w:firstLine="0" w:firstLineChars="0"/>
              <w:jc w:val="center"/>
              <w:rPr>
                <w:color w:val="auto"/>
                <w:sz w:val="21"/>
                <w:szCs w:val="21"/>
              </w:rPr>
            </w:pPr>
            <w:r>
              <w:rPr>
                <w:color w:val="auto"/>
                <w:sz w:val="21"/>
                <w:szCs w:val="21"/>
              </w:rPr>
              <w:t>50</w:t>
            </w:r>
          </w:p>
        </w:tc>
        <w:tc>
          <w:tcPr>
            <w:tcW w:w="522" w:type="pct"/>
            <w:gridSpan w:val="2"/>
            <w:vAlign w:val="center"/>
          </w:tcPr>
          <w:p w14:paraId="5EE1E378">
            <w:pPr>
              <w:widowControl/>
              <w:spacing w:line="240" w:lineRule="auto"/>
              <w:ind w:firstLine="0" w:firstLineChars="0"/>
              <w:jc w:val="center"/>
              <w:rPr>
                <w:color w:val="auto"/>
                <w:sz w:val="21"/>
                <w:szCs w:val="21"/>
              </w:rPr>
            </w:pPr>
            <w:r>
              <w:rPr>
                <w:color w:val="auto"/>
                <w:sz w:val="21"/>
                <w:szCs w:val="21"/>
              </w:rPr>
              <w:t>50</w:t>
            </w:r>
          </w:p>
        </w:tc>
        <w:tc>
          <w:tcPr>
            <w:tcW w:w="545" w:type="pct"/>
            <w:gridSpan w:val="2"/>
            <w:shd w:val="clear" w:color="auto" w:fill="auto"/>
            <w:vAlign w:val="center"/>
          </w:tcPr>
          <w:p w14:paraId="1AE0659C">
            <w:pPr>
              <w:widowControl/>
              <w:spacing w:line="240" w:lineRule="auto"/>
              <w:ind w:firstLine="0" w:firstLineChars="0"/>
              <w:jc w:val="center"/>
              <w:rPr>
                <w:color w:val="auto"/>
                <w:kern w:val="0"/>
                <w:sz w:val="21"/>
                <w:szCs w:val="21"/>
              </w:rPr>
            </w:pPr>
            <w:r>
              <w:rPr>
                <w:color w:val="auto"/>
                <w:kern w:val="0"/>
                <w:sz w:val="21"/>
                <w:szCs w:val="21"/>
              </w:rPr>
              <w:t>50</w:t>
            </w:r>
          </w:p>
        </w:tc>
        <w:tc>
          <w:tcPr>
            <w:tcW w:w="596" w:type="pct"/>
            <w:gridSpan w:val="2"/>
            <w:shd w:val="clear" w:color="auto" w:fill="auto"/>
            <w:vAlign w:val="center"/>
          </w:tcPr>
          <w:p w14:paraId="2DA6E48B">
            <w:pPr>
              <w:widowControl/>
              <w:spacing w:line="240" w:lineRule="auto"/>
              <w:ind w:firstLine="0" w:firstLineChars="0"/>
              <w:jc w:val="center"/>
              <w:rPr>
                <w:color w:val="auto"/>
                <w:kern w:val="0"/>
                <w:sz w:val="21"/>
                <w:szCs w:val="21"/>
              </w:rPr>
            </w:pPr>
            <w:r>
              <w:rPr>
                <w:color w:val="auto"/>
                <w:kern w:val="0"/>
                <w:sz w:val="21"/>
                <w:szCs w:val="21"/>
              </w:rPr>
              <w:t>50</w:t>
            </w:r>
          </w:p>
        </w:tc>
      </w:tr>
    </w:tbl>
    <w:p w14:paraId="1FEBB5E6">
      <w:pPr>
        <w:spacing w:before="120" w:beforeLines="50" w:line="240" w:lineRule="auto"/>
        <w:ind w:firstLine="0" w:firstLineChars="0"/>
        <w:jc w:val="center"/>
        <w:rPr>
          <w:b/>
          <w:bCs/>
          <w:color w:val="auto"/>
          <w:kern w:val="0"/>
        </w:rPr>
      </w:pPr>
      <w:r>
        <w:rPr>
          <w:b/>
          <w:color w:val="auto"/>
        </w:rPr>
        <w:t>表</w:t>
      </w:r>
      <w:r>
        <w:rPr>
          <w:rFonts w:hint="eastAsia"/>
          <w:b/>
          <w:bCs/>
          <w:color w:val="auto"/>
          <w:kern w:val="0"/>
          <w:szCs w:val="20"/>
        </w:rPr>
        <w:t>6</w:t>
      </w:r>
      <w:r>
        <w:rPr>
          <w:b/>
          <w:bCs/>
          <w:color w:val="auto"/>
          <w:kern w:val="0"/>
          <w:szCs w:val="20"/>
        </w:rPr>
        <w:t>.2</w:t>
      </w:r>
      <w:r>
        <w:rPr>
          <w:rFonts w:hint="eastAsia"/>
          <w:b/>
          <w:bCs/>
          <w:color w:val="auto"/>
          <w:kern w:val="0"/>
          <w:szCs w:val="20"/>
        </w:rPr>
        <w:t>.1</w:t>
      </w:r>
      <w:r>
        <w:rPr>
          <w:b/>
          <w:bCs/>
          <w:color w:val="auto"/>
          <w:kern w:val="0"/>
          <w:szCs w:val="20"/>
        </w:rPr>
        <w:t xml:space="preserve">-5  </w:t>
      </w:r>
      <w:r>
        <w:rPr>
          <w:b/>
          <w:color w:val="auto"/>
        </w:rPr>
        <w:t>本项目有组织</w:t>
      </w:r>
      <w:r>
        <w:rPr>
          <w:b/>
          <w:bCs/>
          <w:color w:val="auto"/>
          <w:kern w:val="0"/>
        </w:rPr>
        <w:t>污染源估算模型计算结果</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66"/>
        <w:gridCol w:w="1179"/>
        <w:gridCol w:w="1165"/>
        <w:gridCol w:w="1179"/>
        <w:gridCol w:w="1159"/>
        <w:gridCol w:w="1179"/>
        <w:gridCol w:w="1202"/>
        <w:gridCol w:w="1967"/>
        <w:gridCol w:w="1508"/>
        <w:gridCol w:w="1542"/>
        <w:gridCol w:w="1022"/>
      </w:tblGrid>
      <w:tr w14:paraId="131D1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blHeader/>
          <w:jc w:val="center"/>
        </w:trPr>
        <w:tc>
          <w:tcPr>
            <w:tcW w:w="376" w:type="pct"/>
            <w:vMerge w:val="restart"/>
            <w:shd w:val="clear" w:color="auto" w:fill="auto"/>
            <w:vAlign w:val="center"/>
          </w:tcPr>
          <w:p w14:paraId="30AE0A4D">
            <w:pPr>
              <w:widowControl/>
              <w:spacing w:line="240" w:lineRule="auto"/>
              <w:ind w:firstLine="0" w:firstLineChars="0"/>
              <w:jc w:val="center"/>
              <w:rPr>
                <w:b/>
                <w:bCs/>
                <w:color w:val="auto"/>
                <w:kern w:val="0"/>
                <w:sz w:val="21"/>
                <w:szCs w:val="21"/>
              </w:rPr>
            </w:pPr>
            <w:r>
              <w:rPr>
                <w:b/>
                <w:bCs/>
                <w:color w:val="auto"/>
                <w:kern w:val="0"/>
                <w:sz w:val="21"/>
                <w:szCs w:val="21"/>
              </w:rPr>
              <w:t>下风向距离/m</w:t>
            </w:r>
          </w:p>
        </w:tc>
        <w:tc>
          <w:tcPr>
            <w:tcW w:w="2492" w:type="pct"/>
            <w:gridSpan w:val="6"/>
            <w:shd w:val="clear" w:color="auto" w:fill="auto"/>
            <w:noWrap/>
            <w:vAlign w:val="center"/>
          </w:tcPr>
          <w:p w14:paraId="1FCE0C55">
            <w:pPr>
              <w:widowControl/>
              <w:spacing w:line="240" w:lineRule="auto"/>
              <w:ind w:firstLine="0" w:firstLineChars="0"/>
              <w:jc w:val="center"/>
              <w:rPr>
                <w:b/>
                <w:bCs/>
                <w:color w:val="auto"/>
                <w:kern w:val="0"/>
                <w:sz w:val="21"/>
                <w:szCs w:val="21"/>
              </w:rPr>
            </w:pPr>
            <w:r>
              <w:rPr>
                <w:rFonts w:hint="eastAsia"/>
                <w:b/>
                <w:bCs/>
                <w:color w:val="auto"/>
                <w:kern w:val="0"/>
                <w:sz w:val="21"/>
                <w:szCs w:val="21"/>
              </w:rPr>
              <w:t>DA003</w:t>
            </w:r>
          </w:p>
        </w:tc>
        <w:tc>
          <w:tcPr>
            <w:tcW w:w="1226" w:type="pct"/>
            <w:gridSpan w:val="2"/>
            <w:shd w:val="clear" w:color="auto" w:fill="auto"/>
            <w:noWrap/>
            <w:vAlign w:val="center"/>
          </w:tcPr>
          <w:p w14:paraId="3EBBE2FC">
            <w:pPr>
              <w:widowControl/>
              <w:spacing w:line="240" w:lineRule="auto"/>
              <w:ind w:firstLine="0" w:firstLineChars="0"/>
              <w:jc w:val="center"/>
              <w:rPr>
                <w:b/>
                <w:bCs/>
                <w:color w:val="auto"/>
                <w:kern w:val="0"/>
                <w:sz w:val="21"/>
                <w:szCs w:val="21"/>
              </w:rPr>
            </w:pPr>
            <w:r>
              <w:rPr>
                <w:b/>
                <w:bCs/>
                <w:color w:val="auto"/>
                <w:kern w:val="0"/>
                <w:sz w:val="21"/>
                <w:szCs w:val="21"/>
              </w:rPr>
              <w:t>DA005</w:t>
            </w:r>
          </w:p>
        </w:tc>
        <w:tc>
          <w:tcPr>
            <w:tcW w:w="904" w:type="pct"/>
            <w:gridSpan w:val="2"/>
            <w:shd w:val="clear" w:color="auto" w:fill="auto"/>
            <w:vAlign w:val="center"/>
          </w:tcPr>
          <w:p w14:paraId="48FFA9AC">
            <w:pPr>
              <w:widowControl/>
              <w:spacing w:line="240" w:lineRule="auto"/>
              <w:ind w:firstLine="0" w:firstLineChars="0"/>
              <w:jc w:val="center"/>
              <w:rPr>
                <w:b/>
                <w:bCs/>
                <w:color w:val="auto"/>
                <w:kern w:val="0"/>
                <w:sz w:val="21"/>
                <w:szCs w:val="21"/>
              </w:rPr>
            </w:pPr>
            <w:r>
              <w:rPr>
                <w:b/>
                <w:bCs/>
                <w:color w:val="auto"/>
                <w:kern w:val="0"/>
                <w:sz w:val="21"/>
                <w:szCs w:val="21"/>
              </w:rPr>
              <w:t>DA007</w:t>
            </w:r>
          </w:p>
        </w:tc>
      </w:tr>
      <w:tr w14:paraId="6D9B5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blHeader/>
          <w:jc w:val="center"/>
        </w:trPr>
        <w:tc>
          <w:tcPr>
            <w:tcW w:w="376" w:type="pct"/>
            <w:vMerge w:val="continue"/>
            <w:vAlign w:val="center"/>
          </w:tcPr>
          <w:p w14:paraId="5E86EE9D">
            <w:pPr>
              <w:widowControl/>
              <w:spacing w:line="240" w:lineRule="auto"/>
              <w:ind w:firstLine="0" w:firstLineChars="0"/>
              <w:jc w:val="center"/>
              <w:rPr>
                <w:b/>
                <w:bCs/>
                <w:color w:val="auto"/>
                <w:kern w:val="0"/>
                <w:sz w:val="21"/>
                <w:szCs w:val="21"/>
              </w:rPr>
            </w:pPr>
          </w:p>
        </w:tc>
        <w:tc>
          <w:tcPr>
            <w:tcW w:w="827" w:type="pct"/>
            <w:gridSpan w:val="2"/>
            <w:shd w:val="clear" w:color="auto" w:fill="auto"/>
            <w:vAlign w:val="center"/>
          </w:tcPr>
          <w:p w14:paraId="797CD36D">
            <w:pPr>
              <w:widowControl/>
              <w:spacing w:line="240" w:lineRule="auto"/>
              <w:ind w:firstLine="0" w:firstLineChars="0"/>
              <w:jc w:val="center"/>
              <w:rPr>
                <w:b/>
                <w:bCs/>
                <w:color w:val="auto"/>
                <w:kern w:val="0"/>
                <w:sz w:val="21"/>
                <w:szCs w:val="21"/>
              </w:rPr>
            </w:pPr>
            <w:r>
              <w:rPr>
                <w:rFonts w:hint="eastAsia"/>
                <w:b/>
                <w:bCs/>
                <w:color w:val="auto"/>
                <w:kern w:val="0"/>
                <w:sz w:val="21"/>
                <w:szCs w:val="21"/>
              </w:rPr>
              <w:t>颗粒物</w:t>
            </w:r>
          </w:p>
        </w:tc>
        <w:tc>
          <w:tcPr>
            <w:tcW w:w="825" w:type="pct"/>
            <w:gridSpan w:val="2"/>
            <w:shd w:val="clear" w:color="auto" w:fill="auto"/>
            <w:vAlign w:val="center"/>
          </w:tcPr>
          <w:p w14:paraId="44C7E6FF">
            <w:pPr>
              <w:widowControl/>
              <w:spacing w:line="240" w:lineRule="auto"/>
              <w:ind w:firstLine="0" w:firstLineChars="0"/>
              <w:jc w:val="center"/>
              <w:rPr>
                <w:b/>
                <w:bCs/>
                <w:color w:val="auto"/>
                <w:kern w:val="0"/>
                <w:sz w:val="21"/>
                <w:szCs w:val="21"/>
              </w:rPr>
            </w:pPr>
            <w:r>
              <w:rPr>
                <w:rFonts w:hint="eastAsia"/>
                <w:b/>
                <w:bCs/>
                <w:color w:val="auto"/>
                <w:kern w:val="0"/>
                <w:sz w:val="21"/>
                <w:szCs w:val="21"/>
              </w:rPr>
              <w:t>SO</w:t>
            </w:r>
            <w:r>
              <w:rPr>
                <w:rFonts w:hint="eastAsia"/>
                <w:b/>
                <w:bCs/>
                <w:color w:val="auto"/>
                <w:kern w:val="0"/>
                <w:sz w:val="21"/>
                <w:szCs w:val="21"/>
                <w:vertAlign w:val="subscript"/>
              </w:rPr>
              <w:t>2</w:t>
            </w:r>
          </w:p>
        </w:tc>
        <w:tc>
          <w:tcPr>
            <w:tcW w:w="839" w:type="pct"/>
            <w:gridSpan w:val="2"/>
            <w:shd w:val="clear" w:color="auto" w:fill="auto"/>
            <w:vAlign w:val="center"/>
          </w:tcPr>
          <w:p w14:paraId="43F59BC7">
            <w:pPr>
              <w:widowControl/>
              <w:spacing w:line="240" w:lineRule="auto"/>
              <w:ind w:firstLine="0" w:firstLineChars="0"/>
              <w:jc w:val="center"/>
              <w:rPr>
                <w:b/>
                <w:bCs/>
                <w:color w:val="auto"/>
                <w:kern w:val="0"/>
                <w:sz w:val="21"/>
                <w:szCs w:val="21"/>
              </w:rPr>
            </w:pPr>
            <w:r>
              <w:rPr>
                <w:rFonts w:hint="eastAsia"/>
                <w:b/>
                <w:bCs/>
                <w:color w:val="auto"/>
                <w:kern w:val="0"/>
                <w:sz w:val="21"/>
                <w:szCs w:val="21"/>
              </w:rPr>
              <w:t>NO</w:t>
            </w:r>
            <w:r>
              <w:rPr>
                <w:rFonts w:hint="eastAsia"/>
                <w:b/>
                <w:bCs/>
                <w:color w:val="auto"/>
                <w:kern w:val="0"/>
                <w:sz w:val="21"/>
                <w:szCs w:val="21"/>
                <w:vertAlign w:val="subscript"/>
              </w:rPr>
              <w:t>2</w:t>
            </w:r>
          </w:p>
        </w:tc>
        <w:tc>
          <w:tcPr>
            <w:tcW w:w="1226" w:type="pct"/>
            <w:gridSpan w:val="2"/>
            <w:shd w:val="clear" w:color="auto" w:fill="auto"/>
            <w:vAlign w:val="center"/>
          </w:tcPr>
          <w:p w14:paraId="406604A6">
            <w:pPr>
              <w:widowControl/>
              <w:spacing w:line="240" w:lineRule="auto"/>
              <w:ind w:firstLine="0" w:firstLineChars="0"/>
              <w:jc w:val="center"/>
              <w:rPr>
                <w:b/>
                <w:bCs/>
                <w:color w:val="auto"/>
                <w:kern w:val="0"/>
                <w:sz w:val="21"/>
                <w:szCs w:val="21"/>
              </w:rPr>
            </w:pPr>
            <w:r>
              <w:rPr>
                <w:b/>
                <w:bCs/>
                <w:color w:val="auto"/>
                <w:kern w:val="0"/>
                <w:sz w:val="21"/>
                <w:szCs w:val="21"/>
              </w:rPr>
              <w:t>硫酸雾</w:t>
            </w:r>
          </w:p>
        </w:tc>
        <w:tc>
          <w:tcPr>
            <w:tcW w:w="904" w:type="pct"/>
            <w:gridSpan w:val="2"/>
            <w:shd w:val="clear" w:color="auto" w:fill="auto"/>
            <w:vAlign w:val="center"/>
          </w:tcPr>
          <w:p w14:paraId="24CD289A">
            <w:pPr>
              <w:widowControl/>
              <w:spacing w:line="240" w:lineRule="auto"/>
              <w:ind w:firstLine="0" w:firstLineChars="0"/>
              <w:jc w:val="center"/>
              <w:rPr>
                <w:b/>
                <w:bCs/>
                <w:color w:val="auto"/>
                <w:kern w:val="0"/>
                <w:sz w:val="21"/>
                <w:szCs w:val="21"/>
              </w:rPr>
            </w:pPr>
            <w:r>
              <w:rPr>
                <w:b/>
                <w:bCs/>
                <w:color w:val="auto"/>
                <w:kern w:val="0"/>
                <w:sz w:val="21"/>
                <w:szCs w:val="21"/>
              </w:rPr>
              <w:t>NH</w:t>
            </w:r>
            <w:r>
              <w:rPr>
                <w:b/>
                <w:bCs/>
                <w:color w:val="auto"/>
                <w:kern w:val="0"/>
                <w:sz w:val="21"/>
                <w:szCs w:val="21"/>
                <w:vertAlign w:val="subscript"/>
              </w:rPr>
              <w:t>3</w:t>
            </w:r>
          </w:p>
        </w:tc>
      </w:tr>
      <w:tr w14:paraId="3CD02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376" w:type="pct"/>
            <w:vMerge w:val="continue"/>
            <w:vAlign w:val="center"/>
          </w:tcPr>
          <w:p w14:paraId="7C3F7D03">
            <w:pPr>
              <w:widowControl/>
              <w:spacing w:line="240" w:lineRule="auto"/>
              <w:ind w:firstLine="0" w:firstLineChars="0"/>
              <w:jc w:val="center"/>
              <w:rPr>
                <w:b/>
                <w:bCs/>
                <w:color w:val="auto"/>
                <w:kern w:val="0"/>
                <w:sz w:val="21"/>
                <w:szCs w:val="21"/>
              </w:rPr>
            </w:pPr>
          </w:p>
        </w:tc>
        <w:tc>
          <w:tcPr>
            <w:tcW w:w="416" w:type="pct"/>
            <w:shd w:val="clear" w:color="auto" w:fill="auto"/>
            <w:vAlign w:val="center"/>
          </w:tcPr>
          <w:p w14:paraId="2AABDB65">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410" w:type="pct"/>
            <w:shd w:val="clear" w:color="auto" w:fill="auto"/>
            <w:vAlign w:val="center"/>
          </w:tcPr>
          <w:p w14:paraId="1E0C7C8C">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416" w:type="pct"/>
            <w:shd w:val="clear" w:color="auto" w:fill="auto"/>
            <w:vAlign w:val="center"/>
          </w:tcPr>
          <w:p w14:paraId="6012CBF1">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409" w:type="pct"/>
            <w:shd w:val="clear" w:color="auto" w:fill="auto"/>
            <w:vAlign w:val="center"/>
          </w:tcPr>
          <w:p w14:paraId="4C26C886">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416" w:type="pct"/>
            <w:shd w:val="clear" w:color="auto" w:fill="auto"/>
            <w:vAlign w:val="center"/>
          </w:tcPr>
          <w:p w14:paraId="06E78CB5">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423" w:type="pct"/>
            <w:shd w:val="clear" w:color="auto" w:fill="auto"/>
            <w:vAlign w:val="center"/>
          </w:tcPr>
          <w:p w14:paraId="7C0DAEED">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694" w:type="pct"/>
            <w:shd w:val="clear" w:color="auto" w:fill="auto"/>
            <w:vAlign w:val="center"/>
          </w:tcPr>
          <w:p w14:paraId="33FCBCA0">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532" w:type="pct"/>
            <w:shd w:val="clear" w:color="auto" w:fill="auto"/>
            <w:vAlign w:val="center"/>
          </w:tcPr>
          <w:p w14:paraId="01DD09CA">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544" w:type="pct"/>
            <w:shd w:val="clear" w:color="auto" w:fill="auto"/>
            <w:vAlign w:val="center"/>
          </w:tcPr>
          <w:p w14:paraId="17CD3EAF">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360" w:type="pct"/>
            <w:shd w:val="clear" w:color="auto" w:fill="auto"/>
            <w:vAlign w:val="center"/>
          </w:tcPr>
          <w:p w14:paraId="37EA912D">
            <w:pPr>
              <w:widowControl/>
              <w:spacing w:line="240" w:lineRule="auto"/>
              <w:ind w:firstLine="0" w:firstLineChars="0"/>
              <w:jc w:val="center"/>
              <w:rPr>
                <w:b/>
                <w:bCs/>
                <w:color w:val="auto"/>
                <w:kern w:val="0"/>
                <w:sz w:val="21"/>
                <w:szCs w:val="21"/>
              </w:rPr>
            </w:pPr>
            <w:r>
              <w:rPr>
                <w:b/>
                <w:bCs/>
                <w:color w:val="auto"/>
                <w:kern w:val="0"/>
                <w:sz w:val="21"/>
                <w:szCs w:val="21"/>
              </w:rPr>
              <w:t>占标率%</w:t>
            </w:r>
          </w:p>
        </w:tc>
      </w:tr>
      <w:tr w14:paraId="6D79C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6" w:type="pct"/>
            <w:shd w:val="clear" w:color="auto" w:fill="auto"/>
          </w:tcPr>
          <w:p w14:paraId="19913B6D">
            <w:pPr>
              <w:widowControl/>
              <w:spacing w:line="240" w:lineRule="auto"/>
              <w:ind w:firstLine="0" w:firstLineChars="0"/>
              <w:jc w:val="center"/>
              <w:rPr>
                <w:color w:val="auto"/>
                <w:kern w:val="0"/>
                <w:sz w:val="21"/>
                <w:szCs w:val="21"/>
              </w:rPr>
            </w:pPr>
            <w:r>
              <w:rPr>
                <w:color w:val="auto"/>
                <w:sz w:val="21"/>
                <w:szCs w:val="21"/>
              </w:rPr>
              <w:t>10</w:t>
            </w:r>
          </w:p>
        </w:tc>
        <w:tc>
          <w:tcPr>
            <w:tcW w:w="416" w:type="pct"/>
            <w:shd w:val="clear" w:color="auto" w:fill="auto"/>
          </w:tcPr>
          <w:p w14:paraId="73A190CC">
            <w:pPr>
              <w:widowControl/>
              <w:spacing w:line="240" w:lineRule="auto"/>
              <w:ind w:firstLine="0" w:firstLineChars="0"/>
              <w:jc w:val="center"/>
              <w:rPr>
                <w:color w:val="auto"/>
                <w:sz w:val="21"/>
                <w:szCs w:val="21"/>
              </w:rPr>
            </w:pPr>
            <w:r>
              <w:rPr>
                <w:rFonts w:hint="eastAsia"/>
                <w:color w:val="auto"/>
                <w:sz w:val="21"/>
                <w:szCs w:val="21"/>
              </w:rPr>
              <w:t>1.54E-06</w:t>
            </w:r>
          </w:p>
        </w:tc>
        <w:tc>
          <w:tcPr>
            <w:tcW w:w="410" w:type="pct"/>
            <w:shd w:val="clear" w:color="auto" w:fill="auto"/>
          </w:tcPr>
          <w:p w14:paraId="183CD7E6">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1335AB5">
            <w:pPr>
              <w:widowControl/>
              <w:spacing w:line="240" w:lineRule="auto"/>
              <w:ind w:firstLine="0" w:firstLineChars="0"/>
              <w:jc w:val="center"/>
              <w:rPr>
                <w:color w:val="auto"/>
                <w:sz w:val="21"/>
                <w:szCs w:val="21"/>
              </w:rPr>
            </w:pPr>
            <w:r>
              <w:rPr>
                <w:rFonts w:hint="eastAsia"/>
                <w:color w:val="auto"/>
                <w:sz w:val="21"/>
                <w:szCs w:val="21"/>
              </w:rPr>
              <w:t>1.12E-06</w:t>
            </w:r>
          </w:p>
        </w:tc>
        <w:tc>
          <w:tcPr>
            <w:tcW w:w="409" w:type="pct"/>
            <w:shd w:val="clear" w:color="auto" w:fill="auto"/>
          </w:tcPr>
          <w:p w14:paraId="5A2BCEE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DAC9B20">
            <w:pPr>
              <w:widowControl/>
              <w:spacing w:line="240" w:lineRule="auto"/>
              <w:ind w:firstLine="0" w:firstLineChars="0"/>
              <w:jc w:val="center"/>
              <w:rPr>
                <w:color w:val="auto"/>
                <w:sz w:val="21"/>
                <w:szCs w:val="21"/>
              </w:rPr>
            </w:pPr>
            <w:r>
              <w:rPr>
                <w:rFonts w:hint="eastAsia"/>
                <w:color w:val="auto"/>
                <w:sz w:val="21"/>
                <w:szCs w:val="21"/>
              </w:rPr>
              <w:t>1.06E-05</w:t>
            </w:r>
          </w:p>
        </w:tc>
        <w:tc>
          <w:tcPr>
            <w:tcW w:w="423" w:type="pct"/>
            <w:shd w:val="clear" w:color="auto" w:fill="auto"/>
          </w:tcPr>
          <w:p w14:paraId="41C81176">
            <w:pPr>
              <w:widowControl/>
              <w:spacing w:line="240" w:lineRule="auto"/>
              <w:ind w:firstLine="0" w:firstLineChars="0"/>
              <w:jc w:val="center"/>
              <w:rPr>
                <w:color w:val="auto"/>
                <w:sz w:val="21"/>
                <w:szCs w:val="21"/>
              </w:rPr>
            </w:pPr>
            <w:r>
              <w:rPr>
                <w:rFonts w:hint="eastAsia"/>
                <w:color w:val="auto"/>
                <w:sz w:val="21"/>
                <w:szCs w:val="21"/>
              </w:rPr>
              <w:t>0.01</w:t>
            </w:r>
          </w:p>
        </w:tc>
        <w:tc>
          <w:tcPr>
            <w:tcW w:w="694" w:type="pct"/>
            <w:shd w:val="clear" w:color="auto" w:fill="auto"/>
          </w:tcPr>
          <w:p w14:paraId="3352B8DB">
            <w:pPr>
              <w:widowControl/>
              <w:spacing w:line="240" w:lineRule="auto"/>
              <w:ind w:firstLine="0" w:firstLineChars="0"/>
              <w:jc w:val="center"/>
              <w:rPr>
                <w:color w:val="auto"/>
                <w:kern w:val="0"/>
                <w:sz w:val="21"/>
                <w:szCs w:val="21"/>
              </w:rPr>
            </w:pPr>
            <w:r>
              <w:rPr>
                <w:rFonts w:hint="eastAsia"/>
                <w:color w:val="auto"/>
                <w:sz w:val="21"/>
                <w:szCs w:val="21"/>
              </w:rPr>
              <w:t>1.56E-06</w:t>
            </w:r>
          </w:p>
        </w:tc>
        <w:tc>
          <w:tcPr>
            <w:tcW w:w="532" w:type="pct"/>
            <w:shd w:val="clear" w:color="auto" w:fill="auto"/>
          </w:tcPr>
          <w:p w14:paraId="078A6CFF">
            <w:pPr>
              <w:widowControl/>
              <w:spacing w:line="240" w:lineRule="auto"/>
              <w:ind w:firstLine="0" w:firstLineChars="0"/>
              <w:jc w:val="center"/>
              <w:rPr>
                <w:color w:val="auto"/>
                <w:kern w:val="0"/>
                <w:sz w:val="21"/>
                <w:szCs w:val="21"/>
              </w:rPr>
            </w:pPr>
            <w:r>
              <w:rPr>
                <w:rFonts w:hint="eastAsia"/>
                <w:color w:val="auto"/>
                <w:sz w:val="21"/>
                <w:szCs w:val="21"/>
              </w:rPr>
              <w:t>0.00</w:t>
            </w:r>
          </w:p>
        </w:tc>
        <w:tc>
          <w:tcPr>
            <w:tcW w:w="544" w:type="pct"/>
            <w:shd w:val="clear" w:color="auto" w:fill="auto"/>
          </w:tcPr>
          <w:p w14:paraId="64843865">
            <w:pPr>
              <w:widowControl/>
              <w:spacing w:line="240" w:lineRule="auto"/>
              <w:ind w:firstLine="0" w:firstLineChars="0"/>
              <w:jc w:val="center"/>
              <w:rPr>
                <w:color w:val="auto"/>
                <w:kern w:val="0"/>
                <w:sz w:val="21"/>
                <w:szCs w:val="21"/>
              </w:rPr>
            </w:pPr>
            <w:r>
              <w:rPr>
                <w:color w:val="auto"/>
                <w:sz w:val="21"/>
                <w:szCs w:val="21"/>
              </w:rPr>
              <w:t>4.69E-05</w:t>
            </w:r>
          </w:p>
        </w:tc>
        <w:tc>
          <w:tcPr>
            <w:tcW w:w="360" w:type="pct"/>
            <w:shd w:val="clear" w:color="auto" w:fill="auto"/>
          </w:tcPr>
          <w:p w14:paraId="3F7458A7">
            <w:pPr>
              <w:widowControl/>
              <w:spacing w:line="240" w:lineRule="auto"/>
              <w:ind w:firstLine="0" w:firstLineChars="0"/>
              <w:jc w:val="center"/>
              <w:rPr>
                <w:color w:val="auto"/>
                <w:kern w:val="0"/>
                <w:sz w:val="21"/>
                <w:szCs w:val="21"/>
              </w:rPr>
            </w:pPr>
            <w:r>
              <w:rPr>
                <w:color w:val="auto"/>
                <w:sz w:val="21"/>
                <w:szCs w:val="21"/>
              </w:rPr>
              <w:t>0.02</w:t>
            </w:r>
          </w:p>
        </w:tc>
      </w:tr>
      <w:tr w14:paraId="27E70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52C13A3">
            <w:pPr>
              <w:widowControl/>
              <w:spacing w:line="240" w:lineRule="auto"/>
              <w:ind w:firstLine="0" w:firstLineChars="0"/>
              <w:jc w:val="center"/>
              <w:rPr>
                <w:color w:val="auto"/>
                <w:kern w:val="0"/>
                <w:sz w:val="21"/>
                <w:szCs w:val="21"/>
              </w:rPr>
            </w:pPr>
            <w:r>
              <w:rPr>
                <w:color w:val="auto"/>
                <w:sz w:val="21"/>
                <w:szCs w:val="21"/>
              </w:rPr>
              <w:t>25</w:t>
            </w:r>
          </w:p>
        </w:tc>
        <w:tc>
          <w:tcPr>
            <w:tcW w:w="416" w:type="pct"/>
            <w:shd w:val="clear" w:color="auto" w:fill="auto"/>
          </w:tcPr>
          <w:p w14:paraId="36FA5D69">
            <w:pPr>
              <w:widowControl/>
              <w:spacing w:line="240" w:lineRule="auto"/>
              <w:ind w:firstLine="0" w:firstLineChars="0"/>
              <w:jc w:val="center"/>
              <w:rPr>
                <w:color w:val="auto"/>
                <w:sz w:val="21"/>
                <w:szCs w:val="21"/>
              </w:rPr>
            </w:pPr>
            <w:r>
              <w:rPr>
                <w:rFonts w:hint="eastAsia"/>
                <w:color w:val="auto"/>
                <w:sz w:val="21"/>
                <w:szCs w:val="21"/>
              </w:rPr>
              <w:t>6.64E-05</w:t>
            </w:r>
          </w:p>
        </w:tc>
        <w:tc>
          <w:tcPr>
            <w:tcW w:w="410" w:type="pct"/>
            <w:shd w:val="clear" w:color="auto" w:fill="auto"/>
          </w:tcPr>
          <w:p w14:paraId="3DDE4F19">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148D56A4">
            <w:pPr>
              <w:widowControl/>
              <w:spacing w:line="240" w:lineRule="auto"/>
              <w:ind w:firstLine="0" w:firstLineChars="0"/>
              <w:jc w:val="center"/>
              <w:rPr>
                <w:color w:val="auto"/>
                <w:sz w:val="21"/>
                <w:szCs w:val="21"/>
              </w:rPr>
            </w:pPr>
            <w:r>
              <w:rPr>
                <w:rFonts w:hint="eastAsia"/>
                <w:color w:val="auto"/>
                <w:sz w:val="21"/>
                <w:szCs w:val="21"/>
              </w:rPr>
              <w:t>4.82E-05</w:t>
            </w:r>
          </w:p>
        </w:tc>
        <w:tc>
          <w:tcPr>
            <w:tcW w:w="409" w:type="pct"/>
            <w:shd w:val="clear" w:color="auto" w:fill="auto"/>
          </w:tcPr>
          <w:p w14:paraId="0D417BEB">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243B8B8A">
            <w:pPr>
              <w:widowControl/>
              <w:spacing w:line="240" w:lineRule="auto"/>
              <w:ind w:firstLine="0" w:firstLineChars="0"/>
              <w:jc w:val="center"/>
              <w:rPr>
                <w:color w:val="auto"/>
                <w:sz w:val="21"/>
                <w:szCs w:val="21"/>
              </w:rPr>
            </w:pPr>
            <w:r>
              <w:rPr>
                <w:rFonts w:hint="eastAsia"/>
                <w:color w:val="auto"/>
                <w:sz w:val="21"/>
                <w:szCs w:val="21"/>
              </w:rPr>
              <w:t>4.56E-04</w:t>
            </w:r>
          </w:p>
        </w:tc>
        <w:tc>
          <w:tcPr>
            <w:tcW w:w="423" w:type="pct"/>
            <w:shd w:val="clear" w:color="auto" w:fill="auto"/>
          </w:tcPr>
          <w:p w14:paraId="1B64E435">
            <w:pPr>
              <w:widowControl/>
              <w:spacing w:line="240" w:lineRule="auto"/>
              <w:ind w:firstLine="0" w:firstLineChars="0"/>
              <w:jc w:val="center"/>
              <w:rPr>
                <w:color w:val="auto"/>
                <w:sz w:val="21"/>
                <w:szCs w:val="21"/>
              </w:rPr>
            </w:pPr>
            <w:r>
              <w:rPr>
                <w:rFonts w:hint="eastAsia"/>
                <w:color w:val="auto"/>
                <w:sz w:val="21"/>
                <w:szCs w:val="21"/>
              </w:rPr>
              <w:t>0.23</w:t>
            </w:r>
          </w:p>
        </w:tc>
        <w:tc>
          <w:tcPr>
            <w:tcW w:w="694" w:type="pct"/>
            <w:shd w:val="clear" w:color="auto" w:fill="auto"/>
          </w:tcPr>
          <w:p w14:paraId="08938C24">
            <w:pPr>
              <w:widowControl/>
              <w:spacing w:line="240" w:lineRule="auto"/>
              <w:ind w:firstLine="0" w:firstLineChars="0"/>
              <w:jc w:val="center"/>
              <w:rPr>
                <w:color w:val="auto"/>
                <w:kern w:val="0"/>
                <w:sz w:val="21"/>
                <w:szCs w:val="21"/>
              </w:rPr>
            </w:pPr>
            <w:r>
              <w:rPr>
                <w:rFonts w:hint="eastAsia"/>
                <w:color w:val="auto"/>
                <w:sz w:val="21"/>
                <w:szCs w:val="21"/>
              </w:rPr>
              <w:t>6.70E-04</w:t>
            </w:r>
          </w:p>
        </w:tc>
        <w:tc>
          <w:tcPr>
            <w:tcW w:w="532" w:type="pct"/>
            <w:shd w:val="clear" w:color="auto" w:fill="auto"/>
          </w:tcPr>
          <w:p w14:paraId="1F73EE1D">
            <w:pPr>
              <w:widowControl/>
              <w:spacing w:line="240" w:lineRule="auto"/>
              <w:ind w:firstLine="0" w:firstLineChars="0"/>
              <w:jc w:val="center"/>
              <w:rPr>
                <w:color w:val="auto"/>
                <w:kern w:val="0"/>
                <w:sz w:val="21"/>
                <w:szCs w:val="21"/>
              </w:rPr>
            </w:pPr>
            <w:r>
              <w:rPr>
                <w:rFonts w:hint="eastAsia"/>
                <w:color w:val="auto"/>
                <w:sz w:val="21"/>
                <w:szCs w:val="21"/>
              </w:rPr>
              <w:t>0.22</w:t>
            </w:r>
          </w:p>
        </w:tc>
        <w:tc>
          <w:tcPr>
            <w:tcW w:w="544" w:type="pct"/>
            <w:shd w:val="clear" w:color="auto" w:fill="auto"/>
          </w:tcPr>
          <w:p w14:paraId="3D828861">
            <w:pPr>
              <w:widowControl/>
              <w:spacing w:line="240" w:lineRule="auto"/>
              <w:ind w:firstLine="0" w:firstLineChars="0"/>
              <w:jc w:val="center"/>
              <w:rPr>
                <w:color w:val="auto"/>
                <w:kern w:val="0"/>
                <w:sz w:val="21"/>
                <w:szCs w:val="21"/>
              </w:rPr>
            </w:pPr>
            <w:r>
              <w:rPr>
                <w:color w:val="auto"/>
                <w:sz w:val="21"/>
                <w:szCs w:val="21"/>
              </w:rPr>
              <w:t>2.03E-03</w:t>
            </w:r>
          </w:p>
        </w:tc>
        <w:tc>
          <w:tcPr>
            <w:tcW w:w="360" w:type="pct"/>
            <w:shd w:val="clear" w:color="auto" w:fill="auto"/>
          </w:tcPr>
          <w:p w14:paraId="53B6D3C5">
            <w:pPr>
              <w:widowControl/>
              <w:spacing w:line="240" w:lineRule="auto"/>
              <w:ind w:firstLine="0" w:firstLineChars="0"/>
              <w:jc w:val="center"/>
              <w:rPr>
                <w:color w:val="auto"/>
                <w:kern w:val="0"/>
                <w:sz w:val="21"/>
                <w:szCs w:val="21"/>
              </w:rPr>
            </w:pPr>
            <w:r>
              <w:rPr>
                <w:color w:val="auto"/>
                <w:sz w:val="21"/>
                <w:szCs w:val="21"/>
              </w:rPr>
              <w:t>1.01</w:t>
            </w:r>
          </w:p>
        </w:tc>
      </w:tr>
      <w:tr w14:paraId="225DB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41BBEE4">
            <w:pPr>
              <w:widowControl/>
              <w:spacing w:line="240" w:lineRule="auto"/>
              <w:ind w:firstLine="0" w:firstLineChars="0"/>
              <w:jc w:val="center"/>
              <w:rPr>
                <w:color w:val="auto"/>
                <w:kern w:val="0"/>
                <w:sz w:val="21"/>
                <w:szCs w:val="21"/>
              </w:rPr>
            </w:pPr>
            <w:r>
              <w:rPr>
                <w:color w:val="auto"/>
                <w:sz w:val="21"/>
                <w:szCs w:val="21"/>
              </w:rPr>
              <w:t>50</w:t>
            </w:r>
          </w:p>
        </w:tc>
        <w:tc>
          <w:tcPr>
            <w:tcW w:w="416" w:type="pct"/>
            <w:shd w:val="clear" w:color="auto" w:fill="auto"/>
          </w:tcPr>
          <w:p w14:paraId="17772A84">
            <w:pPr>
              <w:widowControl/>
              <w:spacing w:line="240" w:lineRule="auto"/>
              <w:ind w:firstLine="0" w:firstLineChars="0"/>
              <w:jc w:val="center"/>
              <w:rPr>
                <w:color w:val="auto"/>
                <w:sz w:val="21"/>
                <w:szCs w:val="21"/>
              </w:rPr>
            </w:pPr>
            <w:r>
              <w:rPr>
                <w:rFonts w:hint="eastAsia"/>
                <w:color w:val="auto"/>
                <w:sz w:val="21"/>
                <w:szCs w:val="21"/>
              </w:rPr>
              <w:t>7.42E-05</w:t>
            </w:r>
          </w:p>
        </w:tc>
        <w:tc>
          <w:tcPr>
            <w:tcW w:w="410" w:type="pct"/>
            <w:shd w:val="clear" w:color="auto" w:fill="auto"/>
          </w:tcPr>
          <w:p w14:paraId="51A6BCD4">
            <w:pPr>
              <w:widowControl/>
              <w:spacing w:line="240" w:lineRule="auto"/>
              <w:ind w:firstLine="0" w:firstLineChars="0"/>
              <w:jc w:val="center"/>
              <w:rPr>
                <w:color w:val="auto"/>
                <w:sz w:val="21"/>
                <w:szCs w:val="21"/>
              </w:rPr>
            </w:pPr>
            <w:r>
              <w:rPr>
                <w:rFonts w:hint="eastAsia"/>
                <w:color w:val="auto"/>
                <w:sz w:val="21"/>
                <w:szCs w:val="21"/>
              </w:rPr>
              <w:t>0.02</w:t>
            </w:r>
          </w:p>
        </w:tc>
        <w:tc>
          <w:tcPr>
            <w:tcW w:w="416" w:type="pct"/>
            <w:shd w:val="clear" w:color="auto" w:fill="auto"/>
          </w:tcPr>
          <w:p w14:paraId="04A6F7AC">
            <w:pPr>
              <w:widowControl/>
              <w:spacing w:line="240" w:lineRule="auto"/>
              <w:ind w:firstLine="0" w:firstLineChars="0"/>
              <w:jc w:val="center"/>
              <w:rPr>
                <w:color w:val="auto"/>
                <w:sz w:val="21"/>
                <w:szCs w:val="21"/>
              </w:rPr>
            </w:pPr>
            <w:r>
              <w:rPr>
                <w:rFonts w:hint="eastAsia"/>
                <w:color w:val="auto"/>
                <w:sz w:val="21"/>
                <w:szCs w:val="21"/>
              </w:rPr>
              <w:t>5.39E-05</w:t>
            </w:r>
          </w:p>
        </w:tc>
        <w:tc>
          <w:tcPr>
            <w:tcW w:w="409" w:type="pct"/>
            <w:shd w:val="clear" w:color="auto" w:fill="auto"/>
          </w:tcPr>
          <w:p w14:paraId="14782F1E">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61B45D20">
            <w:pPr>
              <w:widowControl/>
              <w:spacing w:line="240" w:lineRule="auto"/>
              <w:ind w:firstLine="0" w:firstLineChars="0"/>
              <w:jc w:val="center"/>
              <w:rPr>
                <w:color w:val="auto"/>
                <w:sz w:val="21"/>
                <w:szCs w:val="21"/>
              </w:rPr>
            </w:pPr>
            <w:r>
              <w:rPr>
                <w:rFonts w:hint="eastAsia"/>
                <w:color w:val="auto"/>
                <w:sz w:val="21"/>
                <w:szCs w:val="21"/>
              </w:rPr>
              <w:t>5.10E-04</w:t>
            </w:r>
          </w:p>
        </w:tc>
        <w:tc>
          <w:tcPr>
            <w:tcW w:w="423" w:type="pct"/>
            <w:shd w:val="clear" w:color="auto" w:fill="auto"/>
          </w:tcPr>
          <w:p w14:paraId="5F657C8D">
            <w:pPr>
              <w:widowControl/>
              <w:spacing w:line="240" w:lineRule="auto"/>
              <w:ind w:firstLine="0" w:firstLineChars="0"/>
              <w:jc w:val="center"/>
              <w:rPr>
                <w:color w:val="auto"/>
                <w:sz w:val="21"/>
                <w:szCs w:val="21"/>
              </w:rPr>
            </w:pPr>
            <w:r>
              <w:rPr>
                <w:rFonts w:hint="eastAsia"/>
                <w:color w:val="auto"/>
                <w:sz w:val="21"/>
                <w:szCs w:val="21"/>
              </w:rPr>
              <w:t>0.25</w:t>
            </w:r>
          </w:p>
        </w:tc>
        <w:tc>
          <w:tcPr>
            <w:tcW w:w="694" w:type="pct"/>
            <w:shd w:val="clear" w:color="auto" w:fill="auto"/>
          </w:tcPr>
          <w:p w14:paraId="53680497">
            <w:pPr>
              <w:widowControl/>
              <w:spacing w:line="240" w:lineRule="auto"/>
              <w:ind w:firstLine="0" w:firstLineChars="0"/>
              <w:jc w:val="center"/>
              <w:rPr>
                <w:color w:val="auto"/>
                <w:kern w:val="0"/>
                <w:sz w:val="21"/>
                <w:szCs w:val="21"/>
              </w:rPr>
            </w:pPr>
            <w:r>
              <w:rPr>
                <w:rFonts w:hint="eastAsia"/>
                <w:color w:val="auto"/>
                <w:sz w:val="21"/>
                <w:szCs w:val="21"/>
              </w:rPr>
              <w:t>2.13E-03</w:t>
            </w:r>
          </w:p>
        </w:tc>
        <w:tc>
          <w:tcPr>
            <w:tcW w:w="532" w:type="pct"/>
            <w:shd w:val="clear" w:color="auto" w:fill="auto"/>
          </w:tcPr>
          <w:p w14:paraId="5884E6C0">
            <w:pPr>
              <w:widowControl/>
              <w:spacing w:line="240" w:lineRule="auto"/>
              <w:ind w:firstLine="0" w:firstLineChars="0"/>
              <w:jc w:val="center"/>
              <w:rPr>
                <w:color w:val="auto"/>
                <w:kern w:val="0"/>
                <w:sz w:val="21"/>
                <w:szCs w:val="21"/>
              </w:rPr>
            </w:pPr>
            <w:r>
              <w:rPr>
                <w:rFonts w:hint="eastAsia"/>
                <w:color w:val="auto"/>
                <w:sz w:val="21"/>
                <w:szCs w:val="21"/>
              </w:rPr>
              <w:t>0.71</w:t>
            </w:r>
          </w:p>
        </w:tc>
        <w:tc>
          <w:tcPr>
            <w:tcW w:w="544" w:type="pct"/>
            <w:shd w:val="clear" w:color="auto" w:fill="auto"/>
          </w:tcPr>
          <w:p w14:paraId="7D95420A">
            <w:pPr>
              <w:widowControl/>
              <w:spacing w:line="240" w:lineRule="auto"/>
              <w:ind w:firstLine="0" w:firstLineChars="0"/>
              <w:jc w:val="center"/>
              <w:rPr>
                <w:color w:val="auto"/>
                <w:kern w:val="0"/>
                <w:sz w:val="21"/>
                <w:szCs w:val="21"/>
              </w:rPr>
            </w:pPr>
            <w:r>
              <w:rPr>
                <w:color w:val="auto"/>
                <w:sz w:val="21"/>
                <w:szCs w:val="21"/>
              </w:rPr>
              <w:t>2.26E-03</w:t>
            </w:r>
          </w:p>
        </w:tc>
        <w:tc>
          <w:tcPr>
            <w:tcW w:w="360" w:type="pct"/>
            <w:shd w:val="clear" w:color="auto" w:fill="auto"/>
          </w:tcPr>
          <w:p w14:paraId="62138838">
            <w:pPr>
              <w:widowControl/>
              <w:spacing w:line="240" w:lineRule="auto"/>
              <w:ind w:firstLine="0" w:firstLineChars="0"/>
              <w:jc w:val="center"/>
              <w:rPr>
                <w:color w:val="auto"/>
                <w:kern w:val="0"/>
                <w:sz w:val="21"/>
                <w:szCs w:val="21"/>
              </w:rPr>
            </w:pPr>
            <w:r>
              <w:rPr>
                <w:color w:val="auto"/>
                <w:sz w:val="21"/>
                <w:szCs w:val="21"/>
              </w:rPr>
              <w:t>1.13</w:t>
            </w:r>
          </w:p>
        </w:tc>
      </w:tr>
      <w:tr w14:paraId="118FE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018E7EC8">
            <w:pPr>
              <w:widowControl/>
              <w:spacing w:line="240" w:lineRule="auto"/>
              <w:ind w:firstLine="0" w:firstLineChars="0"/>
              <w:jc w:val="center"/>
              <w:rPr>
                <w:color w:val="auto"/>
                <w:kern w:val="0"/>
                <w:sz w:val="21"/>
                <w:szCs w:val="21"/>
              </w:rPr>
            </w:pPr>
            <w:r>
              <w:rPr>
                <w:color w:val="auto"/>
                <w:sz w:val="21"/>
                <w:szCs w:val="21"/>
              </w:rPr>
              <w:t>75</w:t>
            </w:r>
          </w:p>
        </w:tc>
        <w:tc>
          <w:tcPr>
            <w:tcW w:w="416" w:type="pct"/>
            <w:shd w:val="clear" w:color="auto" w:fill="auto"/>
          </w:tcPr>
          <w:p w14:paraId="52A25D9A">
            <w:pPr>
              <w:widowControl/>
              <w:spacing w:line="240" w:lineRule="auto"/>
              <w:ind w:firstLine="0" w:firstLineChars="0"/>
              <w:jc w:val="center"/>
              <w:rPr>
                <w:color w:val="auto"/>
                <w:sz w:val="21"/>
                <w:szCs w:val="21"/>
              </w:rPr>
            </w:pPr>
            <w:r>
              <w:rPr>
                <w:rFonts w:hint="eastAsia"/>
                <w:color w:val="auto"/>
                <w:sz w:val="21"/>
                <w:szCs w:val="21"/>
              </w:rPr>
              <w:t>4.81E-05</w:t>
            </w:r>
          </w:p>
        </w:tc>
        <w:tc>
          <w:tcPr>
            <w:tcW w:w="410" w:type="pct"/>
            <w:shd w:val="clear" w:color="auto" w:fill="auto"/>
          </w:tcPr>
          <w:p w14:paraId="39EDB776">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6FA3F8FD">
            <w:pPr>
              <w:widowControl/>
              <w:spacing w:line="240" w:lineRule="auto"/>
              <w:ind w:firstLine="0" w:firstLineChars="0"/>
              <w:jc w:val="center"/>
              <w:rPr>
                <w:color w:val="auto"/>
                <w:sz w:val="21"/>
                <w:szCs w:val="21"/>
              </w:rPr>
            </w:pPr>
            <w:r>
              <w:rPr>
                <w:rFonts w:hint="eastAsia"/>
                <w:color w:val="auto"/>
                <w:sz w:val="21"/>
                <w:szCs w:val="21"/>
              </w:rPr>
              <w:t>3.49E-05</w:t>
            </w:r>
          </w:p>
        </w:tc>
        <w:tc>
          <w:tcPr>
            <w:tcW w:w="409" w:type="pct"/>
            <w:shd w:val="clear" w:color="auto" w:fill="auto"/>
          </w:tcPr>
          <w:p w14:paraId="0093FAEC">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480DF0B2">
            <w:pPr>
              <w:widowControl/>
              <w:spacing w:line="240" w:lineRule="auto"/>
              <w:ind w:firstLine="0" w:firstLineChars="0"/>
              <w:jc w:val="center"/>
              <w:rPr>
                <w:color w:val="auto"/>
                <w:sz w:val="21"/>
                <w:szCs w:val="21"/>
              </w:rPr>
            </w:pPr>
            <w:r>
              <w:rPr>
                <w:rFonts w:hint="eastAsia"/>
                <w:color w:val="auto"/>
                <w:sz w:val="21"/>
                <w:szCs w:val="21"/>
              </w:rPr>
              <w:t>3.30E-04</w:t>
            </w:r>
          </w:p>
        </w:tc>
        <w:tc>
          <w:tcPr>
            <w:tcW w:w="423" w:type="pct"/>
            <w:shd w:val="clear" w:color="auto" w:fill="auto"/>
          </w:tcPr>
          <w:p w14:paraId="59D7C903">
            <w:pPr>
              <w:widowControl/>
              <w:spacing w:line="240" w:lineRule="auto"/>
              <w:ind w:firstLine="0" w:firstLineChars="0"/>
              <w:jc w:val="center"/>
              <w:rPr>
                <w:color w:val="auto"/>
                <w:sz w:val="21"/>
                <w:szCs w:val="21"/>
              </w:rPr>
            </w:pPr>
            <w:r>
              <w:rPr>
                <w:rFonts w:hint="eastAsia"/>
                <w:color w:val="auto"/>
                <w:sz w:val="21"/>
                <w:szCs w:val="21"/>
              </w:rPr>
              <w:t>0.16</w:t>
            </w:r>
          </w:p>
        </w:tc>
        <w:tc>
          <w:tcPr>
            <w:tcW w:w="694" w:type="pct"/>
            <w:shd w:val="clear" w:color="auto" w:fill="auto"/>
          </w:tcPr>
          <w:p w14:paraId="4647500E">
            <w:pPr>
              <w:widowControl/>
              <w:spacing w:line="240" w:lineRule="auto"/>
              <w:ind w:firstLine="0" w:firstLineChars="0"/>
              <w:jc w:val="center"/>
              <w:rPr>
                <w:color w:val="auto"/>
                <w:kern w:val="0"/>
                <w:sz w:val="21"/>
                <w:szCs w:val="21"/>
              </w:rPr>
            </w:pPr>
            <w:r>
              <w:rPr>
                <w:rFonts w:hint="eastAsia"/>
                <w:color w:val="auto"/>
                <w:sz w:val="21"/>
                <w:szCs w:val="21"/>
              </w:rPr>
              <w:t>1.72E-03</w:t>
            </w:r>
          </w:p>
        </w:tc>
        <w:tc>
          <w:tcPr>
            <w:tcW w:w="532" w:type="pct"/>
            <w:shd w:val="clear" w:color="auto" w:fill="auto"/>
          </w:tcPr>
          <w:p w14:paraId="38D70C5E">
            <w:pPr>
              <w:widowControl/>
              <w:spacing w:line="240" w:lineRule="auto"/>
              <w:ind w:firstLine="0" w:firstLineChars="0"/>
              <w:jc w:val="center"/>
              <w:rPr>
                <w:color w:val="auto"/>
                <w:kern w:val="0"/>
                <w:sz w:val="21"/>
                <w:szCs w:val="21"/>
              </w:rPr>
            </w:pPr>
            <w:r>
              <w:rPr>
                <w:rFonts w:hint="eastAsia"/>
                <w:color w:val="auto"/>
                <w:sz w:val="21"/>
                <w:szCs w:val="21"/>
              </w:rPr>
              <w:t>0.57</w:t>
            </w:r>
          </w:p>
        </w:tc>
        <w:tc>
          <w:tcPr>
            <w:tcW w:w="544" w:type="pct"/>
            <w:shd w:val="clear" w:color="auto" w:fill="auto"/>
          </w:tcPr>
          <w:p w14:paraId="2D023F7A">
            <w:pPr>
              <w:widowControl/>
              <w:spacing w:line="240" w:lineRule="auto"/>
              <w:ind w:firstLine="0" w:firstLineChars="0"/>
              <w:jc w:val="center"/>
              <w:rPr>
                <w:color w:val="auto"/>
                <w:kern w:val="0"/>
                <w:sz w:val="21"/>
                <w:szCs w:val="21"/>
              </w:rPr>
            </w:pPr>
            <w:r>
              <w:rPr>
                <w:color w:val="auto"/>
                <w:sz w:val="21"/>
                <w:szCs w:val="21"/>
              </w:rPr>
              <w:t>1.47E-03</w:t>
            </w:r>
          </w:p>
        </w:tc>
        <w:tc>
          <w:tcPr>
            <w:tcW w:w="360" w:type="pct"/>
            <w:shd w:val="clear" w:color="auto" w:fill="auto"/>
          </w:tcPr>
          <w:p w14:paraId="4A49F02E">
            <w:pPr>
              <w:widowControl/>
              <w:spacing w:line="240" w:lineRule="auto"/>
              <w:ind w:firstLine="0" w:firstLineChars="0"/>
              <w:jc w:val="center"/>
              <w:rPr>
                <w:color w:val="auto"/>
                <w:kern w:val="0"/>
                <w:sz w:val="21"/>
                <w:szCs w:val="21"/>
              </w:rPr>
            </w:pPr>
            <w:r>
              <w:rPr>
                <w:color w:val="auto"/>
                <w:sz w:val="21"/>
                <w:szCs w:val="21"/>
              </w:rPr>
              <w:t>0.73</w:t>
            </w:r>
          </w:p>
        </w:tc>
      </w:tr>
      <w:tr w14:paraId="06F82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9550DAE">
            <w:pPr>
              <w:widowControl/>
              <w:spacing w:line="240" w:lineRule="auto"/>
              <w:ind w:firstLine="0" w:firstLineChars="0"/>
              <w:jc w:val="center"/>
              <w:rPr>
                <w:color w:val="auto"/>
                <w:kern w:val="0"/>
                <w:sz w:val="21"/>
                <w:szCs w:val="21"/>
              </w:rPr>
            </w:pPr>
            <w:r>
              <w:rPr>
                <w:color w:val="auto"/>
                <w:sz w:val="21"/>
                <w:szCs w:val="21"/>
              </w:rPr>
              <w:t>100</w:t>
            </w:r>
          </w:p>
        </w:tc>
        <w:tc>
          <w:tcPr>
            <w:tcW w:w="416" w:type="pct"/>
            <w:shd w:val="clear" w:color="auto" w:fill="auto"/>
          </w:tcPr>
          <w:p w14:paraId="2EFAA4A1">
            <w:pPr>
              <w:widowControl/>
              <w:spacing w:line="240" w:lineRule="auto"/>
              <w:ind w:firstLine="0" w:firstLineChars="0"/>
              <w:jc w:val="center"/>
              <w:rPr>
                <w:color w:val="auto"/>
                <w:sz w:val="21"/>
                <w:szCs w:val="21"/>
              </w:rPr>
            </w:pPr>
            <w:r>
              <w:rPr>
                <w:rFonts w:hint="eastAsia"/>
                <w:color w:val="auto"/>
                <w:sz w:val="21"/>
                <w:szCs w:val="21"/>
              </w:rPr>
              <w:t>5.26E-05</w:t>
            </w:r>
          </w:p>
        </w:tc>
        <w:tc>
          <w:tcPr>
            <w:tcW w:w="410" w:type="pct"/>
            <w:shd w:val="clear" w:color="auto" w:fill="auto"/>
          </w:tcPr>
          <w:p w14:paraId="608A74DA">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3AB1AA29">
            <w:pPr>
              <w:widowControl/>
              <w:spacing w:line="240" w:lineRule="auto"/>
              <w:ind w:firstLine="0" w:firstLineChars="0"/>
              <w:jc w:val="center"/>
              <w:rPr>
                <w:color w:val="auto"/>
                <w:sz w:val="21"/>
                <w:szCs w:val="21"/>
              </w:rPr>
            </w:pPr>
            <w:r>
              <w:rPr>
                <w:rFonts w:hint="eastAsia"/>
                <w:color w:val="auto"/>
                <w:sz w:val="21"/>
                <w:szCs w:val="21"/>
              </w:rPr>
              <w:t>3.81E-05</w:t>
            </w:r>
          </w:p>
        </w:tc>
        <w:tc>
          <w:tcPr>
            <w:tcW w:w="409" w:type="pct"/>
            <w:shd w:val="clear" w:color="auto" w:fill="auto"/>
          </w:tcPr>
          <w:p w14:paraId="4CD9AE00">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55F51E4D">
            <w:pPr>
              <w:widowControl/>
              <w:spacing w:line="240" w:lineRule="auto"/>
              <w:ind w:firstLine="0" w:firstLineChars="0"/>
              <w:jc w:val="center"/>
              <w:rPr>
                <w:color w:val="auto"/>
                <w:sz w:val="21"/>
                <w:szCs w:val="21"/>
              </w:rPr>
            </w:pPr>
            <w:r>
              <w:rPr>
                <w:rFonts w:hint="eastAsia"/>
                <w:color w:val="auto"/>
                <w:sz w:val="21"/>
                <w:szCs w:val="21"/>
              </w:rPr>
              <w:t>3.61E-04</w:t>
            </w:r>
          </w:p>
        </w:tc>
        <w:tc>
          <w:tcPr>
            <w:tcW w:w="423" w:type="pct"/>
            <w:shd w:val="clear" w:color="auto" w:fill="auto"/>
          </w:tcPr>
          <w:p w14:paraId="379843D1">
            <w:pPr>
              <w:widowControl/>
              <w:spacing w:line="240" w:lineRule="auto"/>
              <w:ind w:firstLine="0" w:firstLineChars="0"/>
              <w:jc w:val="center"/>
              <w:rPr>
                <w:color w:val="auto"/>
                <w:sz w:val="21"/>
                <w:szCs w:val="21"/>
              </w:rPr>
            </w:pPr>
            <w:r>
              <w:rPr>
                <w:rFonts w:hint="eastAsia"/>
                <w:color w:val="auto"/>
                <w:sz w:val="21"/>
                <w:szCs w:val="21"/>
              </w:rPr>
              <w:t>0.18</w:t>
            </w:r>
          </w:p>
        </w:tc>
        <w:tc>
          <w:tcPr>
            <w:tcW w:w="694" w:type="pct"/>
            <w:shd w:val="clear" w:color="auto" w:fill="auto"/>
          </w:tcPr>
          <w:p w14:paraId="676E8C94">
            <w:pPr>
              <w:widowControl/>
              <w:spacing w:line="240" w:lineRule="auto"/>
              <w:ind w:firstLine="0" w:firstLineChars="0"/>
              <w:jc w:val="center"/>
              <w:rPr>
                <w:color w:val="auto"/>
                <w:kern w:val="0"/>
                <w:sz w:val="21"/>
                <w:szCs w:val="21"/>
              </w:rPr>
            </w:pPr>
            <w:r>
              <w:rPr>
                <w:rFonts w:hint="eastAsia"/>
                <w:color w:val="auto"/>
                <w:sz w:val="21"/>
                <w:szCs w:val="21"/>
              </w:rPr>
              <w:t>1.31E-03</w:t>
            </w:r>
          </w:p>
        </w:tc>
        <w:tc>
          <w:tcPr>
            <w:tcW w:w="532" w:type="pct"/>
            <w:shd w:val="clear" w:color="auto" w:fill="auto"/>
          </w:tcPr>
          <w:p w14:paraId="1713F9F0">
            <w:pPr>
              <w:widowControl/>
              <w:spacing w:line="240" w:lineRule="auto"/>
              <w:ind w:firstLine="0" w:firstLineChars="0"/>
              <w:jc w:val="center"/>
              <w:rPr>
                <w:color w:val="auto"/>
                <w:kern w:val="0"/>
                <w:sz w:val="21"/>
                <w:szCs w:val="21"/>
              </w:rPr>
            </w:pPr>
            <w:r>
              <w:rPr>
                <w:rFonts w:hint="eastAsia"/>
                <w:color w:val="auto"/>
                <w:sz w:val="21"/>
                <w:szCs w:val="21"/>
              </w:rPr>
              <w:t>0.44</w:t>
            </w:r>
          </w:p>
        </w:tc>
        <w:tc>
          <w:tcPr>
            <w:tcW w:w="544" w:type="pct"/>
            <w:shd w:val="clear" w:color="auto" w:fill="auto"/>
          </w:tcPr>
          <w:p w14:paraId="74681C70">
            <w:pPr>
              <w:widowControl/>
              <w:spacing w:line="240" w:lineRule="auto"/>
              <w:ind w:firstLine="0" w:firstLineChars="0"/>
              <w:jc w:val="center"/>
              <w:rPr>
                <w:color w:val="auto"/>
                <w:kern w:val="0"/>
                <w:sz w:val="21"/>
                <w:szCs w:val="21"/>
              </w:rPr>
            </w:pPr>
            <w:r>
              <w:rPr>
                <w:color w:val="auto"/>
                <w:sz w:val="21"/>
                <w:szCs w:val="21"/>
              </w:rPr>
              <w:t>1.60E-03</w:t>
            </w:r>
          </w:p>
        </w:tc>
        <w:tc>
          <w:tcPr>
            <w:tcW w:w="360" w:type="pct"/>
            <w:shd w:val="clear" w:color="auto" w:fill="auto"/>
          </w:tcPr>
          <w:p w14:paraId="5917F3FD">
            <w:pPr>
              <w:widowControl/>
              <w:spacing w:line="240" w:lineRule="auto"/>
              <w:ind w:firstLine="0" w:firstLineChars="0"/>
              <w:jc w:val="center"/>
              <w:rPr>
                <w:color w:val="auto"/>
                <w:kern w:val="0"/>
                <w:sz w:val="21"/>
                <w:szCs w:val="21"/>
              </w:rPr>
            </w:pPr>
            <w:r>
              <w:rPr>
                <w:color w:val="auto"/>
                <w:sz w:val="21"/>
                <w:szCs w:val="21"/>
              </w:rPr>
              <w:t>0.80</w:t>
            </w:r>
          </w:p>
        </w:tc>
      </w:tr>
      <w:tr w14:paraId="1BA22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8421112">
            <w:pPr>
              <w:widowControl/>
              <w:spacing w:line="240" w:lineRule="auto"/>
              <w:ind w:firstLine="0" w:firstLineChars="0"/>
              <w:jc w:val="center"/>
              <w:rPr>
                <w:color w:val="auto"/>
                <w:kern w:val="0"/>
                <w:sz w:val="21"/>
                <w:szCs w:val="21"/>
              </w:rPr>
            </w:pPr>
            <w:r>
              <w:rPr>
                <w:color w:val="auto"/>
                <w:sz w:val="21"/>
                <w:szCs w:val="21"/>
              </w:rPr>
              <w:t>125</w:t>
            </w:r>
          </w:p>
        </w:tc>
        <w:tc>
          <w:tcPr>
            <w:tcW w:w="416" w:type="pct"/>
            <w:shd w:val="clear" w:color="auto" w:fill="auto"/>
          </w:tcPr>
          <w:p w14:paraId="1995CB83">
            <w:pPr>
              <w:widowControl/>
              <w:spacing w:line="240" w:lineRule="auto"/>
              <w:ind w:firstLine="0" w:firstLineChars="0"/>
              <w:jc w:val="center"/>
              <w:rPr>
                <w:color w:val="auto"/>
                <w:sz w:val="21"/>
                <w:szCs w:val="21"/>
              </w:rPr>
            </w:pPr>
            <w:r>
              <w:rPr>
                <w:rFonts w:hint="eastAsia"/>
                <w:color w:val="auto"/>
                <w:sz w:val="21"/>
                <w:szCs w:val="21"/>
              </w:rPr>
              <w:t>4.87E-05</w:t>
            </w:r>
          </w:p>
        </w:tc>
        <w:tc>
          <w:tcPr>
            <w:tcW w:w="410" w:type="pct"/>
            <w:shd w:val="clear" w:color="auto" w:fill="auto"/>
          </w:tcPr>
          <w:p w14:paraId="22AD30B1">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6931B071">
            <w:pPr>
              <w:widowControl/>
              <w:spacing w:line="240" w:lineRule="auto"/>
              <w:ind w:firstLine="0" w:firstLineChars="0"/>
              <w:jc w:val="center"/>
              <w:rPr>
                <w:color w:val="auto"/>
                <w:sz w:val="21"/>
                <w:szCs w:val="21"/>
              </w:rPr>
            </w:pPr>
            <w:r>
              <w:rPr>
                <w:rFonts w:hint="eastAsia"/>
                <w:color w:val="auto"/>
                <w:sz w:val="21"/>
                <w:szCs w:val="21"/>
              </w:rPr>
              <w:t>3.54E-05</w:t>
            </w:r>
          </w:p>
        </w:tc>
        <w:tc>
          <w:tcPr>
            <w:tcW w:w="409" w:type="pct"/>
            <w:shd w:val="clear" w:color="auto" w:fill="auto"/>
          </w:tcPr>
          <w:p w14:paraId="324ADD75">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7D1E9563">
            <w:pPr>
              <w:widowControl/>
              <w:spacing w:line="240" w:lineRule="auto"/>
              <w:ind w:firstLine="0" w:firstLineChars="0"/>
              <w:jc w:val="center"/>
              <w:rPr>
                <w:color w:val="auto"/>
                <w:sz w:val="21"/>
                <w:szCs w:val="21"/>
              </w:rPr>
            </w:pPr>
            <w:r>
              <w:rPr>
                <w:rFonts w:hint="eastAsia"/>
                <w:color w:val="auto"/>
                <w:sz w:val="21"/>
                <w:szCs w:val="21"/>
              </w:rPr>
              <w:t>3.35E-04</w:t>
            </w:r>
          </w:p>
        </w:tc>
        <w:tc>
          <w:tcPr>
            <w:tcW w:w="423" w:type="pct"/>
            <w:shd w:val="clear" w:color="auto" w:fill="auto"/>
          </w:tcPr>
          <w:p w14:paraId="1955E689">
            <w:pPr>
              <w:widowControl/>
              <w:spacing w:line="240" w:lineRule="auto"/>
              <w:ind w:firstLine="0" w:firstLineChars="0"/>
              <w:jc w:val="center"/>
              <w:rPr>
                <w:color w:val="auto"/>
                <w:sz w:val="21"/>
                <w:szCs w:val="21"/>
              </w:rPr>
            </w:pPr>
            <w:r>
              <w:rPr>
                <w:rFonts w:hint="eastAsia"/>
                <w:color w:val="auto"/>
                <w:sz w:val="21"/>
                <w:szCs w:val="21"/>
              </w:rPr>
              <w:t>0.17</w:t>
            </w:r>
          </w:p>
        </w:tc>
        <w:tc>
          <w:tcPr>
            <w:tcW w:w="694" w:type="pct"/>
            <w:shd w:val="clear" w:color="auto" w:fill="auto"/>
          </w:tcPr>
          <w:p w14:paraId="0F79DB15">
            <w:pPr>
              <w:widowControl/>
              <w:spacing w:line="240" w:lineRule="auto"/>
              <w:ind w:firstLine="0" w:firstLineChars="0"/>
              <w:jc w:val="center"/>
              <w:rPr>
                <w:color w:val="auto"/>
                <w:kern w:val="0"/>
                <w:sz w:val="21"/>
                <w:szCs w:val="21"/>
              </w:rPr>
            </w:pPr>
            <w:r>
              <w:rPr>
                <w:rFonts w:hint="eastAsia"/>
                <w:color w:val="auto"/>
                <w:sz w:val="21"/>
                <w:szCs w:val="21"/>
              </w:rPr>
              <w:t>1.17E-03</w:t>
            </w:r>
          </w:p>
        </w:tc>
        <w:tc>
          <w:tcPr>
            <w:tcW w:w="532" w:type="pct"/>
            <w:shd w:val="clear" w:color="auto" w:fill="auto"/>
          </w:tcPr>
          <w:p w14:paraId="50D668C7">
            <w:pPr>
              <w:widowControl/>
              <w:spacing w:line="240" w:lineRule="auto"/>
              <w:ind w:firstLine="0" w:firstLineChars="0"/>
              <w:jc w:val="center"/>
              <w:rPr>
                <w:color w:val="auto"/>
                <w:kern w:val="0"/>
                <w:sz w:val="21"/>
                <w:szCs w:val="21"/>
              </w:rPr>
            </w:pPr>
            <w:r>
              <w:rPr>
                <w:rFonts w:hint="eastAsia"/>
                <w:color w:val="auto"/>
                <w:sz w:val="21"/>
                <w:szCs w:val="21"/>
              </w:rPr>
              <w:t>0.39</w:t>
            </w:r>
          </w:p>
        </w:tc>
        <w:tc>
          <w:tcPr>
            <w:tcW w:w="544" w:type="pct"/>
            <w:shd w:val="clear" w:color="auto" w:fill="auto"/>
          </w:tcPr>
          <w:p w14:paraId="4C7E8451">
            <w:pPr>
              <w:widowControl/>
              <w:spacing w:line="240" w:lineRule="auto"/>
              <w:ind w:firstLine="0" w:firstLineChars="0"/>
              <w:jc w:val="center"/>
              <w:rPr>
                <w:color w:val="auto"/>
                <w:kern w:val="0"/>
                <w:sz w:val="21"/>
                <w:szCs w:val="21"/>
              </w:rPr>
            </w:pPr>
            <w:r>
              <w:rPr>
                <w:color w:val="auto"/>
                <w:sz w:val="21"/>
                <w:szCs w:val="21"/>
              </w:rPr>
              <w:t>1.49E-03</w:t>
            </w:r>
          </w:p>
        </w:tc>
        <w:tc>
          <w:tcPr>
            <w:tcW w:w="360" w:type="pct"/>
            <w:shd w:val="clear" w:color="auto" w:fill="auto"/>
          </w:tcPr>
          <w:p w14:paraId="2CA6F217">
            <w:pPr>
              <w:widowControl/>
              <w:spacing w:line="240" w:lineRule="auto"/>
              <w:ind w:firstLine="0" w:firstLineChars="0"/>
              <w:jc w:val="center"/>
              <w:rPr>
                <w:color w:val="auto"/>
                <w:kern w:val="0"/>
                <w:sz w:val="21"/>
                <w:szCs w:val="21"/>
              </w:rPr>
            </w:pPr>
            <w:r>
              <w:rPr>
                <w:color w:val="auto"/>
                <w:sz w:val="21"/>
                <w:szCs w:val="21"/>
              </w:rPr>
              <w:t>0.74</w:t>
            </w:r>
          </w:p>
        </w:tc>
      </w:tr>
      <w:tr w14:paraId="392B9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7C9BC10">
            <w:pPr>
              <w:widowControl/>
              <w:spacing w:line="240" w:lineRule="auto"/>
              <w:ind w:firstLine="0" w:firstLineChars="0"/>
              <w:jc w:val="center"/>
              <w:rPr>
                <w:color w:val="auto"/>
                <w:kern w:val="0"/>
                <w:sz w:val="21"/>
                <w:szCs w:val="21"/>
              </w:rPr>
            </w:pPr>
            <w:r>
              <w:rPr>
                <w:color w:val="auto"/>
                <w:sz w:val="21"/>
                <w:szCs w:val="21"/>
              </w:rPr>
              <w:t>150</w:t>
            </w:r>
          </w:p>
        </w:tc>
        <w:tc>
          <w:tcPr>
            <w:tcW w:w="416" w:type="pct"/>
            <w:shd w:val="clear" w:color="auto" w:fill="auto"/>
          </w:tcPr>
          <w:p w14:paraId="51408428">
            <w:pPr>
              <w:widowControl/>
              <w:spacing w:line="240" w:lineRule="auto"/>
              <w:ind w:firstLine="0" w:firstLineChars="0"/>
              <w:jc w:val="center"/>
              <w:rPr>
                <w:color w:val="auto"/>
                <w:sz w:val="21"/>
                <w:szCs w:val="21"/>
              </w:rPr>
            </w:pPr>
            <w:r>
              <w:rPr>
                <w:rFonts w:hint="eastAsia"/>
                <w:color w:val="auto"/>
                <w:sz w:val="21"/>
                <w:szCs w:val="21"/>
              </w:rPr>
              <w:t>4.23E-05</w:t>
            </w:r>
          </w:p>
        </w:tc>
        <w:tc>
          <w:tcPr>
            <w:tcW w:w="410" w:type="pct"/>
            <w:shd w:val="clear" w:color="auto" w:fill="auto"/>
          </w:tcPr>
          <w:p w14:paraId="331AE446">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29B420EE">
            <w:pPr>
              <w:widowControl/>
              <w:spacing w:line="240" w:lineRule="auto"/>
              <w:ind w:firstLine="0" w:firstLineChars="0"/>
              <w:jc w:val="center"/>
              <w:rPr>
                <w:color w:val="auto"/>
                <w:sz w:val="21"/>
                <w:szCs w:val="21"/>
              </w:rPr>
            </w:pPr>
            <w:r>
              <w:rPr>
                <w:rFonts w:hint="eastAsia"/>
                <w:color w:val="auto"/>
                <w:sz w:val="21"/>
                <w:szCs w:val="21"/>
              </w:rPr>
              <w:t>3.07E-05</w:t>
            </w:r>
          </w:p>
        </w:tc>
        <w:tc>
          <w:tcPr>
            <w:tcW w:w="409" w:type="pct"/>
            <w:shd w:val="clear" w:color="auto" w:fill="auto"/>
          </w:tcPr>
          <w:p w14:paraId="7E601995">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47C26223">
            <w:pPr>
              <w:widowControl/>
              <w:spacing w:line="240" w:lineRule="auto"/>
              <w:ind w:firstLine="0" w:firstLineChars="0"/>
              <w:jc w:val="center"/>
              <w:rPr>
                <w:color w:val="auto"/>
                <w:sz w:val="21"/>
                <w:szCs w:val="21"/>
              </w:rPr>
            </w:pPr>
            <w:r>
              <w:rPr>
                <w:rFonts w:hint="eastAsia"/>
                <w:color w:val="auto"/>
                <w:sz w:val="21"/>
                <w:szCs w:val="21"/>
              </w:rPr>
              <w:t>2.90E-04</w:t>
            </w:r>
          </w:p>
        </w:tc>
        <w:tc>
          <w:tcPr>
            <w:tcW w:w="423" w:type="pct"/>
            <w:shd w:val="clear" w:color="auto" w:fill="auto"/>
          </w:tcPr>
          <w:p w14:paraId="073BC00B">
            <w:pPr>
              <w:widowControl/>
              <w:spacing w:line="240" w:lineRule="auto"/>
              <w:ind w:firstLine="0" w:firstLineChars="0"/>
              <w:jc w:val="center"/>
              <w:rPr>
                <w:color w:val="auto"/>
                <w:sz w:val="21"/>
                <w:szCs w:val="21"/>
              </w:rPr>
            </w:pPr>
            <w:r>
              <w:rPr>
                <w:rFonts w:hint="eastAsia"/>
                <w:color w:val="auto"/>
                <w:sz w:val="21"/>
                <w:szCs w:val="21"/>
              </w:rPr>
              <w:t>0.15</w:t>
            </w:r>
          </w:p>
        </w:tc>
        <w:tc>
          <w:tcPr>
            <w:tcW w:w="694" w:type="pct"/>
            <w:shd w:val="clear" w:color="auto" w:fill="auto"/>
          </w:tcPr>
          <w:p w14:paraId="1A432BFB">
            <w:pPr>
              <w:widowControl/>
              <w:spacing w:line="240" w:lineRule="auto"/>
              <w:ind w:firstLine="0" w:firstLineChars="0"/>
              <w:jc w:val="center"/>
              <w:rPr>
                <w:color w:val="auto"/>
                <w:kern w:val="0"/>
                <w:sz w:val="21"/>
                <w:szCs w:val="21"/>
              </w:rPr>
            </w:pPr>
            <w:r>
              <w:rPr>
                <w:rFonts w:hint="eastAsia"/>
                <w:color w:val="auto"/>
                <w:sz w:val="21"/>
                <w:szCs w:val="21"/>
              </w:rPr>
              <w:t>1.18E-03</w:t>
            </w:r>
          </w:p>
        </w:tc>
        <w:tc>
          <w:tcPr>
            <w:tcW w:w="532" w:type="pct"/>
            <w:shd w:val="clear" w:color="auto" w:fill="auto"/>
          </w:tcPr>
          <w:p w14:paraId="1DFB08B0">
            <w:pPr>
              <w:widowControl/>
              <w:spacing w:line="240" w:lineRule="auto"/>
              <w:ind w:firstLine="0" w:firstLineChars="0"/>
              <w:jc w:val="center"/>
              <w:rPr>
                <w:color w:val="auto"/>
                <w:kern w:val="0"/>
                <w:sz w:val="21"/>
                <w:szCs w:val="21"/>
              </w:rPr>
            </w:pPr>
            <w:r>
              <w:rPr>
                <w:rFonts w:hint="eastAsia"/>
                <w:color w:val="auto"/>
                <w:sz w:val="21"/>
                <w:szCs w:val="21"/>
              </w:rPr>
              <w:t>0.39</w:t>
            </w:r>
          </w:p>
        </w:tc>
        <w:tc>
          <w:tcPr>
            <w:tcW w:w="544" w:type="pct"/>
            <w:shd w:val="clear" w:color="auto" w:fill="auto"/>
          </w:tcPr>
          <w:p w14:paraId="42890CDF">
            <w:pPr>
              <w:widowControl/>
              <w:spacing w:line="240" w:lineRule="auto"/>
              <w:ind w:firstLine="0" w:firstLineChars="0"/>
              <w:jc w:val="center"/>
              <w:rPr>
                <w:color w:val="auto"/>
                <w:kern w:val="0"/>
                <w:sz w:val="21"/>
                <w:szCs w:val="21"/>
              </w:rPr>
            </w:pPr>
            <w:r>
              <w:rPr>
                <w:color w:val="auto"/>
                <w:sz w:val="21"/>
                <w:szCs w:val="21"/>
              </w:rPr>
              <w:t>1.29E-03</w:t>
            </w:r>
          </w:p>
        </w:tc>
        <w:tc>
          <w:tcPr>
            <w:tcW w:w="360" w:type="pct"/>
            <w:shd w:val="clear" w:color="auto" w:fill="auto"/>
          </w:tcPr>
          <w:p w14:paraId="1EBFA50D">
            <w:pPr>
              <w:widowControl/>
              <w:spacing w:line="240" w:lineRule="auto"/>
              <w:ind w:firstLine="0" w:firstLineChars="0"/>
              <w:jc w:val="center"/>
              <w:rPr>
                <w:color w:val="auto"/>
                <w:kern w:val="0"/>
                <w:sz w:val="21"/>
                <w:szCs w:val="21"/>
              </w:rPr>
            </w:pPr>
            <w:r>
              <w:rPr>
                <w:color w:val="auto"/>
                <w:sz w:val="21"/>
                <w:szCs w:val="21"/>
              </w:rPr>
              <w:t>0.65</w:t>
            </w:r>
          </w:p>
        </w:tc>
      </w:tr>
      <w:tr w14:paraId="2C702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817F3EA">
            <w:pPr>
              <w:widowControl/>
              <w:spacing w:line="240" w:lineRule="auto"/>
              <w:ind w:firstLine="0" w:firstLineChars="0"/>
              <w:jc w:val="center"/>
              <w:rPr>
                <w:color w:val="auto"/>
                <w:kern w:val="0"/>
                <w:sz w:val="21"/>
                <w:szCs w:val="21"/>
              </w:rPr>
            </w:pPr>
            <w:r>
              <w:rPr>
                <w:color w:val="auto"/>
                <w:sz w:val="21"/>
                <w:szCs w:val="21"/>
              </w:rPr>
              <w:t>175</w:t>
            </w:r>
          </w:p>
        </w:tc>
        <w:tc>
          <w:tcPr>
            <w:tcW w:w="416" w:type="pct"/>
            <w:shd w:val="clear" w:color="auto" w:fill="auto"/>
          </w:tcPr>
          <w:p w14:paraId="29F53B37">
            <w:pPr>
              <w:widowControl/>
              <w:spacing w:line="240" w:lineRule="auto"/>
              <w:ind w:firstLine="0" w:firstLineChars="0"/>
              <w:jc w:val="center"/>
              <w:rPr>
                <w:color w:val="auto"/>
                <w:sz w:val="21"/>
                <w:szCs w:val="21"/>
              </w:rPr>
            </w:pPr>
            <w:r>
              <w:rPr>
                <w:rFonts w:hint="eastAsia"/>
                <w:color w:val="auto"/>
                <w:sz w:val="21"/>
                <w:szCs w:val="21"/>
              </w:rPr>
              <w:t>3.83E-05</w:t>
            </w:r>
          </w:p>
        </w:tc>
        <w:tc>
          <w:tcPr>
            <w:tcW w:w="410" w:type="pct"/>
            <w:shd w:val="clear" w:color="auto" w:fill="auto"/>
          </w:tcPr>
          <w:p w14:paraId="3FED7357">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136E9997">
            <w:pPr>
              <w:widowControl/>
              <w:spacing w:line="240" w:lineRule="auto"/>
              <w:ind w:firstLine="0" w:firstLineChars="0"/>
              <w:jc w:val="center"/>
              <w:rPr>
                <w:color w:val="auto"/>
                <w:sz w:val="21"/>
                <w:szCs w:val="21"/>
              </w:rPr>
            </w:pPr>
            <w:r>
              <w:rPr>
                <w:rFonts w:hint="eastAsia"/>
                <w:color w:val="auto"/>
                <w:sz w:val="21"/>
                <w:szCs w:val="21"/>
              </w:rPr>
              <w:t>2.78E-05</w:t>
            </w:r>
          </w:p>
        </w:tc>
        <w:tc>
          <w:tcPr>
            <w:tcW w:w="409" w:type="pct"/>
            <w:shd w:val="clear" w:color="auto" w:fill="auto"/>
          </w:tcPr>
          <w:p w14:paraId="1506E630">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44B978FC">
            <w:pPr>
              <w:widowControl/>
              <w:spacing w:line="240" w:lineRule="auto"/>
              <w:ind w:firstLine="0" w:firstLineChars="0"/>
              <w:jc w:val="center"/>
              <w:rPr>
                <w:color w:val="auto"/>
                <w:sz w:val="21"/>
                <w:szCs w:val="21"/>
              </w:rPr>
            </w:pPr>
            <w:r>
              <w:rPr>
                <w:rFonts w:hint="eastAsia"/>
                <w:color w:val="auto"/>
                <w:sz w:val="21"/>
                <w:szCs w:val="21"/>
              </w:rPr>
              <w:t>2.63E-04</w:t>
            </w:r>
          </w:p>
        </w:tc>
        <w:tc>
          <w:tcPr>
            <w:tcW w:w="423" w:type="pct"/>
            <w:shd w:val="clear" w:color="auto" w:fill="auto"/>
          </w:tcPr>
          <w:p w14:paraId="1A632235">
            <w:pPr>
              <w:widowControl/>
              <w:spacing w:line="240" w:lineRule="auto"/>
              <w:ind w:firstLine="0" w:firstLineChars="0"/>
              <w:jc w:val="center"/>
              <w:rPr>
                <w:color w:val="auto"/>
                <w:sz w:val="21"/>
                <w:szCs w:val="21"/>
              </w:rPr>
            </w:pPr>
            <w:r>
              <w:rPr>
                <w:rFonts w:hint="eastAsia"/>
                <w:color w:val="auto"/>
                <w:sz w:val="21"/>
                <w:szCs w:val="21"/>
              </w:rPr>
              <w:t>0.13</w:t>
            </w:r>
          </w:p>
        </w:tc>
        <w:tc>
          <w:tcPr>
            <w:tcW w:w="694" w:type="pct"/>
            <w:shd w:val="clear" w:color="auto" w:fill="auto"/>
          </w:tcPr>
          <w:p w14:paraId="682409BE">
            <w:pPr>
              <w:widowControl/>
              <w:spacing w:line="240" w:lineRule="auto"/>
              <w:ind w:firstLine="0" w:firstLineChars="0"/>
              <w:jc w:val="center"/>
              <w:rPr>
                <w:color w:val="auto"/>
                <w:kern w:val="0"/>
                <w:sz w:val="21"/>
                <w:szCs w:val="21"/>
              </w:rPr>
            </w:pPr>
            <w:r>
              <w:rPr>
                <w:rFonts w:hint="eastAsia"/>
                <w:color w:val="auto"/>
                <w:sz w:val="21"/>
                <w:szCs w:val="21"/>
              </w:rPr>
              <w:t>1.15E-03</w:t>
            </w:r>
          </w:p>
        </w:tc>
        <w:tc>
          <w:tcPr>
            <w:tcW w:w="532" w:type="pct"/>
            <w:shd w:val="clear" w:color="auto" w:fill="auto"/>
          </w:tcPr>
          <w:p w14:paraId="4996AA98">
            <w:pPr>
              <w:widowControl/>
              <w:spacing w:line="240" w:lineRule="auto"/>
              <w:ind w:firstLine="0" w:firstLineChars="0"/>
              <w:jc w:val="center"/>
              <w:rPr>
                <w:color w:val="auto"/>
                <w:kern w:val="0"/>
                <w:sz w:val="21"/>
                <w:szCs w:val="21"/>
              </w:rPr>
            </w:pPr>
            <w:r>
              <w:rPr>
                <w:rFonts w:hint="eastAsia"/>
                <w:color w:val="auto"/>
                <w:sz w:val="21"/>
                <w:szCs w:val="21"/>
              </w:rPr>
              <w:t>0.38</w:t>
            </w:r>
          </w:p>
        </w:tc>
        <w:tc>
          <w:tcPr>
            <w:tcW w:w="544" w:type="pct"/>
            <w:shd w:val="clear" w:color="auto" w:fill="auto"/>
          </w:tcPr>
          <w:p w14:paraId="341B6AA0">
            <w:pPr>
              <w:widowControl/>
              <w:spacing w:line="240" w:lineRule="auto"/>
              <w:ind w:firstLine="0" w:firstLineChars="0"/>
              <w:jc w:val="center"/>
              <w:rPr>
                <w:color w:val="auto"/>
                <w:kern w:val="0"/>
                <w:sz w:val="21"/>
                <w:szCs w:val="21"/>
              </w:rPr>
            </w:pPr>
            <w:r>
              <w:rPr>
                <w:color w:val="auto"/>
                <w:sz w:val="21"/>
                <w:szCs w:val="21"/>
              </w:rPr>
              <w:t>1.17E-03</w:t>
            </w:r>
          </w:p>
        </w:tc>
        <w:tc>
          <w:tcPr>
            <w:tcW w:w="360" w:type="pct"/>
            <w:shd w:val="clear" w:color="auto" w:fill="auto"/>
          </w:tcPr>
          <w:p w14:paraId="1AD65B10">
            <w:pPr>
              <w:widowControl/>
              <w:spacing w:line="240" w:lineRule="auto"/>
              <w:ind w:firstLine="0" w:firstLineChars="0"/>
              <w:jc w:val="center"/>
              <w:rPr>
                <w:color w:val="auto"/>
                <w:kern w:val="0"/>
                <w:sz w:val="21"/>
                <w:szCs w:val="21"/>
              </w:rPr>
            </w:pPr>
            <w:r>
              <w:rPr>
                <w:color w:val="auto"/>
                <w:sz w:val="21"/>
                <w:szCs w:val="21"/>
              </w:rPr>
              <w:t>0.58</w:t>
            </w:r>
          </w:p>
        </w:tc>
      </w:tr>
      <w:tr w14:paraId="1A78D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692875F">
            <w:pPr>
              <w:widowControl/>
              <w:spacing w:line="240" w:lineRule="auto"/>
              <w:ind w:firstLine="0" w:firstLineChars="0"/>
              <w:jc w:val="center"/>
              <w:rPr>
                <w:color w:val="auto"/>
                <w:kern w:val="0"/>
                <w:sz w:val="21"/>
                <w:szCs w:val="21"/>
              </w:rPr>
            </w:pPr>
            <w:r>
              <w:rPr>
                <w:color w:val="auto"/>
                <w:sz w:val="21"/>
                <w:szCs w:val="21"/>
              </w:rPr>
              <w:t>200</w:t>
            </w:r>
          </w:p>
        </w:tc>
        <w:tc>
          <w:tcPr>
            <w:tcW w:w="416" w:type="pct"/>
            <w:shd w:val="clear" w:color="auto" w:fill="auto"/>
          </w:tcPr>
          <w:p w14:paraId="1E602F37">
            <w:pPr>
              <w:widowControl/>
              <w:spacing w:line="240" w:lineRule="auto"/>
              <w:ind w:firstLine="0" w:firstLineChars="0"/>
              <w:jc w:val="center"/>
              <w:rPr>
                <w:color w:val="auto"/>
                <w:sz w:val="21"/>
                <w:szCs w:val="21"/>
              </w:rPr>
            </w:pPr>
            <w:r>
              <w:rPr>
                <w:rFonts w:hint="eastAsia"/>
                <w:color w:val="auto"/>
                <w:sz w:val="21"/>
                <w:szCs w:val="21"/>
              </w:rPr>
              <w:t>3.48E-05</w:t>
            </w:r>
          </w:p>
        </w:tc>
        <w:tc>
          <w:tcPr>
            <w:tcW w:w="410" w:type="pct"/>
            <w:shd w:val="clear" w:color="auto" w:fill="auto"/>
          </w:tcPr>
          <w:p w14:paraId="6B001371">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7CF6B44F">
            <w:pPr>
              <w:widowControl/>
              <w:spacing w:line="240" w:lineRule="auto"/>
              <w:ind w:firstLine="0" w:firstLineChars="0"/>
              <w:jc w:val="center"/>
              <w:rPr>
                <w:color w:val="auto"/>
                <w:sz w:val="21"/>
                <w:szCs w:val="21"/>
              </w:rPr>
            </w:pPr>
            <w:r>
              <w:rPr>
                <w:rFonts w:hint="eastAsia"/>
                <w:color w:val="auto"/>
                <w:sz w:val="21"/>
                <w:szCs w:val="21"/>
              </w:rPr>
              <w:t>2.53E-05</w:t>
            </w:r>
          </w:p>
        </w:tc>
        <w:tc>
          <w:tcPr>
            <w:tcW w:w="409" w:type="pct"/>
            <w:shd w:val="clear" w:color="auto" w:fill="auto"/>
          </w:tcPr>
          <w:p w14:paraId="1F702806">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2CBC2242">
            <w:pPr>
              <w:widowControl/>
              <w:spacing w:line="240" w:lineRule="auto"/>
              <w:ind w:firstLine="0" w:firstLineChars="0"/>
              <w:jc w:val="center"/>
              <w:rPr>
                <w:color w:val="auto"/>
                <w:sz w:val="21"/>
                <w:szCs w:val="21"/>
              </w:rPr>
            </w:pPr>
            <w:r>
              <w:rPr>
                <w:rFonts w:hint="eastAsia"/>
                <w:color w:val="auto"/>
                <w:sz w:val="21"/>
                <w:szCs w:val="21"/>
              </w:rPr>
              <w:t>2.39E-04</w:t>
            </w:r>
          </w:p>
        </w:tc>
        <w:tc>
          <w:tcPr>
            <w:tcW w:w="423" w:type="pct"/>
            <w:shd w:val="clear" w:color="auto" w:fill="auto"/>
          </w:tcPr>
          <w:p w14:paraId="487AFAAB">
            <w:pPr>
              <w:widowControl/>
              <w:spacing w:line="240" w:lineRule="auto"/>
              <w:ind w:firstLine="0" w:firstLineChars="0"/>
              <w:jc w:val="center"/>
              <w:rPr>
                <w:color w:val="auto"/>
                <w:sz w:val="21"/>
                <w:szCs w:val="21"/>
              </w:rPr>
            </w:pPr>
            <w:r>
              <w:rPr>
                <w:rFonts w:hint="eastAsia"/>
                <w:color w:val="auto"/>
                <w:sz w:val="21"/>
                <w:szCs w:val="21"/>
              </w:rPr>
              <w:t>0.12</w:t>
            </w:r>
          </w:p>
        </w:tc>
        <w:tc>
          <w:tcPr>
            <w:tcW w:w="694" w:type="pct"/>
            <w:shd w:val="clear" w:color="auto" w:fill="auto"/>
          </w:tcPr>
          <w:p w14:paraId="30EF50E8">
            <w:pPr>
              <w:widowControl/>
              <w:spacing w:line="240" w:lineRule="auto"/>
              <w:ind w:firstLine="0" w:firstLineChars="0"/>
              <w:jc w:val="center"/>
              <w:rPr>
                <w:color w:val="auto"/>
                <w:kern w:val="0"/>
                <w:sz w:val="21"/>
                <w:szCs w:val="21"/>
              </w:rPr>
            </w:pPr>
            <w:r>
              <w:rPr>
                <w:rFonts w:hint="eastAsia"/>
                <w:color w:val="auto"/>
                <w:sz w:val="21"/>
                <w:szCs w:val="21"/>
              </w:rPr>
              <w:t>1.07E-03</w:t>
            </w:r>
          </w:p>
        </w:tc>
        <w:tc>
          <w:tcPr>
            <w:tcW w:w="532" w:type="pct"/>
            <w:shd w:val="clear" w:color="auto" w:fill="auto"/>
          </w:tcPr>
          <w:p w14:paraId="67FFA580">
            <w:pPr>
              <w:widowControl/>
              <w:spacing w:line="240" w:lineRule="auto"/>
              <w:ind w:firstLine="0" w:firstLineChars="0"/>
              <w:jc w:val="center"/>
              <w:rPr>
                <w:color w:val="auto"/>
                <w:kern w:val="0"/>
                <w:sz w:val="21"/>
                <w:szCs w:val="21"/>
              </w:rPr>
            </w:pPr>
            <w:r>
              <w:rPr>
                <w:rFonts w:hint="eastAsia"/>
                <w:color w:val="auto"/>
                <w:sz w:val="21"/>
                <w:szCs w:val="21"/>
              </w:rPr>
              <w:t>0.36</w:t>
            </w:r>
          </w:p>
        </w:tc>
        <w:tc>
          <w:tcPr>
            <w:tcW w:w="544" w:type="pct"/>
            <w:shd w:val="clear" w:color="auto" w:fill="auto"/>
          </w:tcPr>
          <w:p w14:paraId="557D1BCE">
            <w:pPr>
              <w:widowControl/>
              <w:spacing w:line="240" w:lineRule="auto"/>
              <w:ind w:firstLine="0" w:firstLineChars="0"/>
              <w:jc w:val="center"/>
              <w:rPr>
                <w:color w:val="auto"/>
                <w:kern w:val="0"/>
                <w:sz w:val="21"/>
                <w:szCs w:val="21"/>
              </w:rPr>
            </w:pPr>
            <w:r>
              <w:rPr>
                <w:color w:val="auto"/>
                <w:sz w:val="21"/>
                <w:szCs w:val="21"/>
              </w:rPr>
              <w:t>1.06E-03</w:t>
            </w:r>
          </w:p>
        </w:tc>
        <w:tc>
          <w:tcPr>
            <w:tcW w:w="360" w:type="pct"/>
            <w:shd w:val="clear" w:color="auto" w:fill="auto"/>
          </w:tcPr>
          <w:p w14:paraId="3BA094CA">
            <w:pPr>
              <w:widowControl/>
              <w:spacing w:line="240" w:lineRule="auto"/>
              <w:ind w:firstLine="0" w:firstLineChars="0"/>
              <w:jc w:val="center"/>
              <w:rPr>
                <w:color w:val="auto"/>
                <w:kern w:val="0"/>
                <w:sz w:val="21"/>
                <w:szCs w:val="21"/>
              </w:rPr>
            </w:pPr>
            <w:r>
              <w:rPr>
                <w:color w:val="auto"/>
                <w:sz w:val="21"/>
                <w:szCs w:val="21"/>
              </w:rPr>
              <w:t>0.53</w:t>
            </w:r>
          </w:p>
        </w:tc>
      </w:tr>
      <w:tr w14:paraId="23544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83F2F93">
            <w:pPr>
              <w:widowControl/>
              <w:spacing w:line="240" w:lineRule="auto"/>
              <w:ind w:firstLine="0" w:firstLineChars="0"/>
              <w:jc w:val="center"/>
              <w:rPr>
                <w:color w:val="auto"/>
                <w:kern w:val="0"/>
                <w:sz w:val="21"/>
                <w:szCs w:val="21"/>
              </w:rPr>
            </w:pPr>
            <w:r>
              <w:rPr>
                <w:color w:val="auto"/>
                <w:sz w:val="21"/>
                <w:szCs w:val="21"/>
              </w:rPr>
              <w:t>225</w:t>
            </w:r>
          </w:p>
        </w:tc>
        <w:tc>
          <w:tcPr>
            <w:tcW w:w="416" w:type="pct"/>
            <w:shd w:val="clear" w:color="auto" w:fill="auto"/>
          </w:tcPr>
          <w:p w14:paraId="1B10DD77">
            <w:pPr>
              <w:widowControl/>
              <w:spacing w:line="240" w:lineRule="auto"/>
              <w:ind w:firstLine="0" w:firstLineChars="0"/>
              <w:jc w:val="center"/>
              <w:rPr>
                <w:color w:val="auto"/>
                <w:sz w:val="21"/>
                <w:szCs w:val="21"/>
              </w:rPr>
            </w:pPr>
            <w:r>
              <w:rPr>
                <w:rFonts w:hint="eastAsia"/>
                <w:color w:val="auto"/>
                <w:sz w:val="21"/>
                <w:szCs w:val="21"/>
              </w:rPr>
              <w:t>3.14E-05</w:t>
            </w:r>
          </w:p>
        </w:tc>
        <w:tc>
          <w:tcPr>
            <w:tcW w:w="410" w:type="pct"/>
            <w:shd w:val="clear" w:color="auto" w:fill="auto"/>
          </w:tcPr>
          <w:p w14:paraId="710CE782">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171A58CB">
            <w:pPr>
              <w:widowControl/>
              <w:spacing w:line="240" w:lineRule="auto"/>
              <w:ind w:firstLine="0" w:firstLineChars="0"/>
              <w:jc w:val="center"/>
              <w:rPr>
                <w:color w:val="auto"/>
                <w:sz w:val="21"/>
                <w:szCs w:val="21"/>
              </w:rPr>
            </w:pPr>
            <w:r>
              <w:rPr>
                <w:rFonts w:hint="eastAsia"/>
                <w:color w:val="auto"/>
                <w:sz w:val="21"/>
                <w:szCs w:val="21"/>
              </w:rPr>
              <w:t>2.28E-05</w:t>
            </w:r>
          </w:p>
        </w:tc>
        <w:tc>
          <w:tcPr>
            <w:tcW w:w="409" w:type="pct"/>
            <w:shd w:val="clear" w:color="auto" w:fill="auto"/>
          </w:tcPr>
          <w:p w14:paraId="68CD333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333C703">
            <w:pPr>
              <w:widowControl/>
              <w:spacing w:line="240" w:lineRule="auto"/>
              <w:ind w:firstLine="0" w:firstLineChars="0"/>
              <w:jc w:val="center"/>
              <w:rPr>
                <w:color w:val="auto"/>
                <w:sz w:val="21"/>
                <w:szCs w:val="21"/>
              </w:rPr>
            </w:pPr>
            <w:r>
              <w:rPr>
                <w:rFonts w:hint="eastAsia"/>
                <w:color w:val="auto"/>
                <w:sz w:val="21"/>
                <w:szCs w:val="21"/>
              </w:rPr>
              <w:t>2.15E-04</w:t>
            </w:r>
          </w:p>
        </w:tc>
        <w:tc>
          <w:tcPr>
            <w:tcW w:w="423" w:type="pct"/>
            <w:shd w:val="clear" w:color="auto" w:fill="auto"/>
          </w:tcPr>
          <w:p w14:paraId="146690BD">
            <w:pPr>
              <w:widowControl/>
              <w:spacing w:line="240" w:lineRule="auto"/>
              <w:ind w:firstLine="0" w:firstLineChars="0"/>
              <w:jc w:val="center"/>
              <w:rPr>
                <w:color w:val="auto"/>
                <w:sz w:val="21"/>
                <w:szCs w:val="21"/>
              </w:rPr>
            </w:pPr>
            <w:r>
              <w:rPr>
                <w:rFonts w:hint="eastAsia"/>
                <w:color w:val="auto"/>
                <w:sz w:val="21"/>
                <w:szCs w:val="21"/>
              </w:rPr>
              <w:t>0.11</w:t>
            </w:r>
          </w:p>
        </w:tc>
        <w:tc>
          <w:tcPr>
            <w:tcW w:w="694" w:type="pct"/>
            <w:shd w:val="clear" w:color="auto" w:fill="auto"/>
          </w:tcPr>
          <w:p w14:paraId="3DCB638C">
            <w:pPr>
              <w:widowControl/>
              <w:spacing w:line="240" w:lineRule="auto"/>
              <w:ind w:firstLine="0" w:firstLineChars="0"/>
              <w:jc w:val="center"/>
              <w:rPr>
                <w:color w:val="auto"/>
                <w:kern w:val="0"/>
                <w:sz w:val="21"/>
                <w:szCs w:val="21"/>
              </w:rPr>
            </w:pPr>
            <w:r>
              <w:rPr>
                <w:rFonts w:hint="eastAsia"/>
                <w:color w:val="auto"/>
                <w:sz w:val="21"/>
                <w:szCs w:val="21"/>
              </w:rPr>
              <w:t>9.83E-04</w:t>
            </w:r>
          </w:p>
        </w:tc>
        <w:tc>
          <w:tcPr>
            <w:tcW w:w="532" w:type="pct"/>
            <w:shd w:val="clear" w:color="auto" w:fill="auto"/>
          </w:tcPr>
          <w:p w14:paraId="3EB6D73D">
            <w:pPr>
              <w:widowControl/>
              <w:spacing w:line="240" w:lineRule="auto"/>
              <w:ind w:firstLine="0" w:firstLineChars="0"/>
              <w:jc w:val="center"/>
              <w:rPr>
                <w:color w:val="auto"/>
                <w:kern w:val="0"/>
                <w:sz w:val="21"/>
                <w:szCs w:val="21"/>
              </w:rPr>
            </w:pPr>
            <w:r>
              <w:rPr>
                <w:rFonts w:hint="eastAsia"/>
                <w:color w:val="auto"/>
                <w:sz w:val="21"/>
                <w:szCs w:val="21"/>
              </w:rPr>
              <w:t>0.33</w:t>
            </w:r>
          </w:p>
        </w:tc>
        <w:tc>
          <w:tcPr>
            <w:tcW w:w="544" w:type="pct"/>
            <w:shd w:val="clear" w:color="auto" w:fill="auto"/>
          </w:tcPr>
          <w:p w14:paraId="076C0FC9">
            <w:pPr>
              <w:widowControl/>
              <w:spacing w:line="240" w:lineRule="auto"/>
              <w:ind w:firstLine="0" w:firstLineChars="0"/>
              <w:jc w:val="center"/>
              <w:rPr>
                <w:color w:val="auto"/>
                <w:kern w:val="0"/>
                <w:sz w:val="21"/>
                <w:szCs w:val="21"/>
              </w:rPr>
            </w:pPr>
            <w:r>
              <w:rPr>
                <w:color w:val="auto"/>
                <w:sz w:val="21"/>
                <w:szCs w:val="21"/>
              </w:rPr>
              <w:t>9.57E-04</w:t>
            </w:r>
          </w:p>
        </w:tc>
        <w:tc>
          <w:tcPr>
            <w:tcW w:w="360" w:type="pct"/>
            <w:shd w:val="clear" w:color="auto" w:fill="auto"/>
          </w:tcPr>
          <w:p w14:paraId="57A65694">
            <w:pPr>
              <w:widowControl/>
              <w:spacing w:line="240" w:lineRule="auto"/>
              <w:ind w:firstLine="0" w:firstLineChars="0"/>
              <w:jc w:val="center"/>
              <w:rPr>
                <w:color w:val="auto"/>
                <w:kern w:val="0"/>
                <w:sz w:val="21"/>
                <w:szCs w:val="21"/>
              </w:rPr>
            </w:pPr>
            <w:r>
              <w:rPr>
                <w:color w:val="auto"/>
                <w:sz w:val="21"/>
                <w:szCs w:val="21"/>
              </w:rPr>
              <w:t>0.48</w:t>
            </w:r>
          </w:p>
        </w:tc>
      </w:tr>
      <w:tr w14:paraId="70400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4272FA8">
            <w:pPr>
              <w:widowControl/>
              <w:spacing w:line="240" w:lineRule="auto"/>
              <w:ind w:firstLine="0" w:firstLineChars="0"/>
              <w:jc w:val="center"/>
              <w:rPr>
                <w:color w:val="auto"/>
                <w:kern w:val="0"/>
                <w:sz w:val="21"/>
                <w:szCs w:val="21"/>
              </w:rPr>
            </w:pPr>
            <w:r>
              <w:rPr>
                <w:color w:val="auto"/>
                <w:sz w:val="21"/>
                <w:szCs w:val="21"/>
              </w:rPr>
              <w:t>250</w:t>
            </w:r>
          </w:p>
        </w:tc>
        <w:tc>
          <w:tcPr>
            <w:tcW w:w="416" w:type="pct"/>
            <w:shd w:val="clear" w:color="auto" w:fill="auto"/>
          </w:tcPr>
          <w:p w14:paraId="1E5C3D50">
            <w:pPr>
              <w:widowControl/>
              <w:spacing w:line="240" w:lineRule="auto"/>
              <w:ind w:firstLine="0" w:firstLineChars="0"/>
              <w:jc w:val="center"/>
              <w:rPr>
                <w:color w:val="auto"/>
                <w:sz w:val="21"/>
                <w:szCs w:val="21"/>
              </w:rPr>
            </w:pPr>
            <w:r>
              <w:rPr>
                <w:rFonts w:hint="eastAsia"/>
                <w:color w:val="auto"/>
                <w:sz w:val="21"/>
                <w:szCs w:val="21"/>
              </w:rPr>
              <w:t>2.86E-05</w:t>
            </w:r>
          </w:p>
        </w:tc>
        <w:tc>
          <w:tcPr>
            <w:tcW w:w="410" w:type="pct"/>
            <w:shd w:val="clear" w:color="auto" w:fill="auto"/>
          </w:tcPr>
          <w:p w14:paraId="53A8F483">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13B92640">
            <w:pPr>
              <w:widowControl/>
              <w:spacing w:line="240" w:lineRule="auto"/>
              <w:ind w:firstLine="0" w:firstLineChars="0"/>
              <w:jc w:val="center"/>
              <w:rPr>
                <w:color w:val="auto"/>
                <w:sz w:val="21"/>
                <w:szCs w:val="21"/>
              </w:rPr>
            </w:pPr>
            <w:r>
              <w:rPr>
                <w:rFonts w:hint="eastAsia"/>
                <w:color w:val="auto"/>
                <w:sz w:val="21"/>
                <w:szCs w:val="21"/>
              </w:rPr>
              <w:t>2.08E-05</w:t>
            </w:r>
          </w:p>
        </w:tc>
        <w:tc>
          <w:tcPr>
            <w:tcW w:w="409" w:type="pct"/>
            <w:shd w:val="clear" w:color="auto" w:fill="auto"/>
          </w:tcPr>
          <w:p w14:paraId="40FD24D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A7C144B">
            <w:pPr>
              <w:widowControl/>
              <w:spacing w:line="240" w:lineRule="auto"/>
              <w:ind w:firstLine="0" w:firstLineChars="0"/>
              <w:jc w:val="center"/>
              <w:rPr>
                <w:color w:val="auto"/>
                <w:sz w:val="21"/>
                <w:szCs w:val="21"/>
              </w:rPr>
            </w:pPr>
            <w:r>
              <w:rPr>
                <w:rFonts w:hint="eastAsia"/>
                <w:color w:val="auto"/>
                <w:sz w:val="21"/>
                <w:szCs w:val="21"/>
              </w:rPr>
              <w:t>1.97E-04</w:t>
            </w:r>
          </w:p>
        </w:tc>
        <w:tc>
          <w:tcPr>
            <w:tcW w:w="423" w:type="pct"/>
            <w:shd w:val="clear" w:color="auto" w:fill="auto"/>
          </w:tcPr>
          <w:p w14:paraId="15234B34">
            <w:pPr>
              <w:widowControl/>
              <w:spacing w:line="240" w:lineRule="auto"/>
              <w:ind w:firstLine="0" w:firstLineChars="0"/>
              <w:jc w:val="center"/>
              <w:rPr>
                <w:color w:val="auto"/>
                <w:sz w:val="21"/>
                <w:szCs w:val="21"/>
              </w:rPr>
            </w:pPr>
            <w:r>
              <w:rPr>
                <w:rFonts w:hint="eastAsia"/>
                <w:color w:val="auto"/>
                <w:sz w:val="21"/>
                <w:szCs w:val="21"/>
              </w:rPr>
              <w:t>0.10</w:t>
            </w:r>
          </w:p>
        </w:tc>
        <w:tc>
          <w:tcPr>
            <w:tcW w:w="694" w:type="pct"/>
            <w:shd w:val="clear" w:color="auto" w:fill="auto"/>
          </w:tcPr>
          <w:p w14:paraId="0608C816">
            <w:pPr>
              <w:widowControl/>
              <w:spacing w:line="240" w:lineRule="auto"/>
              <w:ind w:firstLine="0" w:firstLineChars="0"/>
              <w:jc w:val="center"/>
              <w:rPr>
                <w:color w:val="auto"/>
                <w:kern w:val="0"/>
                <w:sz w:val="21"/>
                <w:szCs w:val="21"/>
              </w:rPr>
            </w:pPr>
            <w:r>
              <w:rPr>
                <w:rFonts w:hint="eastAsia"/>
                <w:color w:val="auto"/>
                <w:sz w:val="21"/>
                <w:szCs w:val="21"/>
              </w:rPr>
              <w:t>9.37E-04</w:t>
            </w:r>
          </w:p>
        </w:tc>
        <w:tc>
          <w:tcPr>
            <w:tcW w:w="532" w:type="pct"/>
            <w:shd w:val="clear" w:color="auto" w:fill="auto"/>
          </w:tcPr>
          <w:p w14:paraId="19F09E54">
            <w:pPr>
              <w:widowControl/>
              <w:spacing w:line="240" w:lineRule="auto"/>
              <w:ind w:firstLine="0" w:firstLineChars="0"/>
              <w:jc w:val="center"/>
              <w:rPr>
                <w:color w:val="auto"/>
                <w:kern w:val="0"/>
                <w:sz w:val="21"/>
                <w:szCs w:val="21"/>
              </w:rPr>
            </w:pPr>
            <w:r>
              <w:rPr>
                <w:rFonts w:hint="eastAsia"/>
                <w:color w:val="auto"/>
                <w:sz w:val="21"/>
                <w:szCs w:val="21"/>
              </w:rPr>
              <w:t>0.31</w:t>
            </w:r>
          </w:p>
        </w:tc>
        <w:tc>
          <w:tcPr>
            <w:tcW w:w="544" w:type="pct"/>
            <w:shd w:val="clear" w:color="auto" w:fill="auto"/>
          </w:tcPr>
          <w:p w14:paraId="3EF6C80B">
            <w:pPr>
              <w:widowControl/>
              <w:spacing w:line="240" w:lineRule="auto"/>
              <w:ind w:firstLine="0" w:firstLineChars="0"/>
              <w:jc w:val="center"/>
              <w:rPr>
                <w:color w:val="auto"/>
                <w:kern w:val="0"/>
                <w:sz w:val="21"/>
                <w:szCs w:val="21"/>
              </w:rPr>
            </w:pPr>
            <w:r>
              <w:rPr>
                <w:color w:val="auto"/>
                <w:sz w:val="21"/>
                <w:szCs w:val="21"/>
              </w:rPr>
              <w:t>8.74E-04</w:t>
            </w:r>
          </w:p>
        </w:tc>
        <w:tc>
          <w:tcPr>
            <w:tcW w:w="360" w:type="pct"/>
            <w:shd w:val="clear" w:color="auto" w:fill="auto"/>
          </w:tcPr>
          <w:p w14:paraId="1C652B6F">
            <w:pPr>
              <w:widowControl/>
              <w:spacing w:line="240" w:lineRule="auto"/>
              <w:ind w:firstLine="0" w:firstLineChars="0"/>
              <w:jc w:val="center"/>
              <w:rPr>
                <w:color w:val="auto"/>
                <w:kern w:val="0"/>
                <w:sz w:val="21"/>
                <w:szCs w:val="21"/>
              </w:rPr>
            </w:pPr>
            <w:r>
              <w:rPr>
                <w:color w:val="auto"/>
                <w:sz w:val="21"/>
                <w:szCs w:val="21"/>
              </w:rPr>
              <w:t>0.44</w:t>
            </w:r>
          </w:p>
        </w:tc>
      </w:tr>
      <w:tr w14:paraId="4D0BC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387ACA6">
            <w:pPr>
              <w:widowControl/>
              <w:spacing w:line="240" w:lineRule="auto"/>
              <w:ind w:firstLine="0" w:firstLineChars="0"/>
              <w:jc w:val="center"/>
              <w:rPr>
                <w:color w:val="auto"/>
                <w:kern w:val="0"/>
                <w:sz w:val="21"/>
                <w:szCs w:val="21"/>
              </w:rPr>
            </w:pPr>
            <w:r>
              <w:rPr>
                <w:color w:val="auto"/>
                <w:sz w:val="21"/>
                <w:szCs w:val="21"/>
              </w:rPr>
              <w:t>275</w:t>
            </w:r>
          </w:p>
        </w:tc>
        <w:tc>
          <w:tcPr>
            <w:tcW w:w="416" w:type="pct"/>
            <w:shd w:val="clear" w:color="auto" w:fill="auto"/>
          </w:tcPr>
          <w:p w14:paraId="66F73C96">
            <w:pPr>
              <w:widowControl/>
              <w:spacing w:line="240" w:lineRule="auto"/>
              <w:ind w:firstLine="0" w:firstLineChars="0"/>
              <w:jc w:val="center"/>
              <w:rPr>
                <w:color w:val="auto"/>
                <w:sz w:val="21"/>
                <w:szCs w:val="21"/>
              </w:rPr>
            </w:pPr>
            <w:r>
              <w:rPr>
                <w:rFonts w:hint="eastAsia"/>
                <w:color w:val="auto"/>
                <w:sz w:val="21"/>
                <w:szCs w:val="21"/>
              </w:rPr>
              <w:t>2.60E-05</w:t>
            </w:r>
          </w:p>
        </w:tc>
        <w:tc>
          <w:tcPr>
            <w:tcW w:w="410" w:type="pct"/>
            <w:shd w:val="clear" w:color="auto" w:fill="auto"/>
          </w:tcPr>
          <w:p w14:paraId="35DC2FFE">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5B29F385">
            <w:pPr>
              <w:widowControl/>
              <w:spacing w:line="240" w:lineRule="auto"/>
              <w:ind w:firstLine="0" w:firstLineChars="0"/>
              <w:jc w:val="center"/>
              <w:rPr>
                <w:color w:val="auto"/>
                <w:sz w:val="21"/>
                <w:szCs w:val="21"/>
              </w:rPr>
            </w:pPr>
            <w:r>
              <w:rPr>
                <w:rFonts w:hint="eastAsia"/>
                <w:color w:val="auto"/>
                <w:sz w:val="21"/>
                <w:szCs w:val="21"/>
              </w:rPr>
              <w:t>1.88E-05</w:t>
            </w:r>
          </w:p>
        </w:tc>
        <w:tc>
          <w:tcPr>
            <w:tcW w:w="409" w:type="pct"/>
            <w:shd w:val="clear" w:color="auto" w:fill="auto"/>
          </w:tcPr>
          <w:p w14:paraId="737023C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018BFA4">
            <w:pPr>
              <w:widowControl/>
              <w:spacing w:line="240" w:lineRule="auto"/>
              <w:ind w:firstLine="0" w:firstLineChars="0"/>
              <w:jc w:val="center"/>
              <w:rPr>
                <w:color w:val="auto"/>
                <w:sz w:val="21"/>
                <w:szCs w:val="21"/>
              </w:rPr>
            </w:pPr>
            <w:r>
              <w:rPr>
                <w:rFonts w:hint="eastAsia"/>
                <w:color w:val="auto"/>
                <w:sz w:val="21"/>
                <w:szCs w:val="21"/>
              </w:rPr>
              <w:t>1.78E-04</w:t>
            </w:r>
          </w:p>
        </w:tc>
        <w:tc>
          <w:tcPr>
            <w:tcW w:w="423" w:type="pct"/>
            <w:shd w:val="clear" w:color="auto" w:fill="auto"/>
          </w:tcPr>
          <w:p w14:paraId="407CBB4A">
            <w:pPr>
              <w:widowControl/>
              <w:spacing w:line="240" w:lineRule="auto"/>
              <w:ind w:firstLine="0" w:firstLineChars="0"/>
              <w:jc w:val="center"/>
              <w:rPr>
                <w:color w:val="auto"/>
                <w:sz w:val="21"/>
                <w:szCs w:val="21"/>
              </w:rPr>
            </w:pPr>
            <w:r>
              <w:rPr>
                <w:rFonts w:hint="eastAsia"/>
                <w:color w:val="auto"/>
                <w:sz w:val="21"/>
                <w:szCs w:val="21"/>
              </w:rPr>
              <w:t>0.09</w:t>
            </w:r>
          </w:p>
        </w:tc>
        <w:tc>
          <w:tcPr>
            <w:tcW w:w="694" w:type="pct"/>
            <w:shd w:val="clear" w:color="auto" w:fill="auto"/>
          </w:tcPr>
          <w:p w14:paraId="0C29CF04">
            <w:pPr>
              <w:widowControl/>
              <w:spacing w:line="240" w:lineRule="auto"/>
              <w:ind w:firstLine="0" w:firstLineChars="0"/>
              <w:jc w:val="center"/>
              <w:rPr>
                <w:color w:val="auto"/>
                <w:kern w:val="0"/>
                <w:sz w:val="21"/>
                <w:szCs w:val="21"/>
              </w:rPr>
            </w:pPr>
            <w:r>
              <w:rPr>
                <w:rFonts w:hint="eastAsia"/>
                <w:color w:val="auto"/>
                <w:sz w:val="21"/>
                <w:szCs w:val="21"/>
              </w:rPr>
              <w:t>8.78E-04</w:t>
            </w:r>
          </w:p>
        </w:tc>
        <w:tc>
          <w:tcPr>
            <w:tcW w:w="532" w:type="pct"/>
            <w:shd w:val="clear" w:color="auto" w:fill="auto"/>
          </w:tcPr>
          <w:p w14:paraId="3AF78AB8">
            <w:pPr>
              <w:widowControl/>
              <w:spacing w:line="240" w:lineRule="auto"/>
              <w:ind w:firstLine="0" w:firstLineChars="0"/>
              <w:jc w:val="center"/>
              <w:rPr>
                <w:color w:val="auto"/>
                <w:kern w:val="0"/>
                <w:sz w:val="21"/>
                <w:szCs w:val="21"/>
              </w:rPr>
            </w:pPr>
            <w:r>
              <w:rPr>
                <w:rFonts w:hint="eastAsia"/>
                <w:color w:val="auto"/>
                <w:sz w:val="21"/>
                <w:szCs w:val="21"/>
              </w:rPr>
              <w:t>0.29</w:t>
            </w:r>
          </w:p>
        </w:tc>
        <w:tc>
          <w:tcPr>
            <w:tcW w:w="544" w:type="pct"/>
            <w:shd w:val="clear" w:color="auto" w:fill="auto"/>
          </w:tcPr>
          <w:p w14:paraId="45918C83">
            <w:pPr>
              <w:widowControl/>
              <w:spacing w:line="240" w:lineRule="auto"/>
              <w:ind w:firstLine="0" w:firstLineChars="0"/>
              <w:jc w:val="center"/>
              <w:rPr>
                <w:color w:val="auto"/>
                <w:kern w:val="0"/>
                <w:sz w:val="21"/>
                <w:szCs w:val="21"/>
              </w:rPr>
            </w:pPr>
            <w:r>
              <w:rPr>
                <w:color w:val="auto"/>
                <w:sz w:val="21"/>
                <w:szCs w:val="21"/>
              </w:rPr>
              <w:t>7.92E-04</w:t>
            </w:r>
          </w:p>
        </w:tc>
        <w:tc>
          <w:tcPr>
            <w:tcW w:w="360" w:type="pct"/>
            <w:shd w:val="clear" w:color="auto" w:fill="auto"/>
          </w:tcPr>
          <w:p w14:paraId="7BC844FE">
            <w:pPr>
              <w:widowControl/>
              <w:spacing w:line="240" w:lineRule="auto"/>
              <w:ind w:firstLine="0" w:firstLineChars="0"/>
              <w:jc w:val="center"/>
              <w:rPr>
                <w:color w:val="auto"/>
                <w:kern w:val="0"/>
                <w:sz w:val="21"/>
                <w:szCs w:val="21"/>
              </w:rPr>
            </w:pPr>
            <w:r>
              <w:rPr>
                <w:color w:val="auto"/>
                <w:sz w:val="21"/>
                <w:szCs w:val="21"/>
              </w:rPr>
              <w:t>0.40</w:t>
            </w:r>
          </w:p>
        </w:tc>
      </w:tr>
      <w:tr w14:paraId="62543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815A723">
            <w:pPr>
              <w:widowControl/>
              <w:spacing w:line="240" w:lineRule="auto"/>
              <w:ind w:firstLine="0" w:firstLineChars="0"/>
              <w:jc w:val="center"/>
              <w:rPr>
                <w:color w:val="auto"/>
                <w:kern w:val="0"/>
                <w:sz w:val="21"/>
                <w:szCs w:val="21"/>
              </w:rPr>
            </w:pPr>
            <w:r>
              <w:rPr>
                <w:color w:val="auto"/>
                <w:sz w:val="21"/>
                <w:szCs w:val="21"/>
              </w:rPr>
              <w:t>300</w:t>
            </w:r>
          </w:p>
        </w:tc>
        <w:tc>
          <w:tcPr>
            <w:tcW w:w="416" w:type="pct"/>
            <w:shd w:val="clear" w:color="auto" w:fill="auto"/>
          </w:tcPr>
          <w:p w14:paraId="51B9CEDE">
            <w:pPr>
              <w:widowControl/>
              <w:spacing w:line="240" w:lineRule="auto"/>
              <w:ind w:firstLine="0" w:firstLineChars="0"/>
              <w:jc w:val="center"/>
              <w:rPr>
                <w:color w:val="auto"/>
                <w:sz w:val="21"/>
                <w:szCs w:val="21"/>
              </w:rPr>
            </w:pPr>
            <w:r>
              <w:rPr>
                <w:rFonts w:hint="eastAsia"/>
                <w:color w:val="auto"/>
                <w:sz w:val="21"/>
                <w:szCs w:val="21"/>
              </w:rPr>
              <w:t>2.37E-05</w:t>
            </w:r>
          </w:p>
        </w:tc>
        <w:tc>
          <w:tcPr>
            <w:tcW w:w="410" w:type="pct"/>
            <w:shd w:val="clear" w:color="auto" w:fill="auto"/>
          </w:tcPr>
          <w:p w14:paraId="6041FCBA">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tcPr>
          <w:p w14:paraId="5E8962DB">
            <w:pPr>
              <w:widowControl/>
              <w:spacing w:line="240" w:lineRule="auto"/>
              <w:ind w:firstLine="0" w:firstLineChars="0"/>
              <w:jc w:val="center"/>
              <w:rPr>
                <w:color w:val="auto"/>
                <w:sz w:val="21"/>
                <w:szCs w:val="21"/>
              </w:rPr>
            </w:pPr>
            <w:r>
              <w:rPr>
                <w:rFonts w:hint="eastAsia"/>
                <w:color w:val="auto"/>
                <w:sz w:val="21"/>
                <w:szCs w:val="21"/>
              </w:rPr>
              <w:t>1.72E-05</w:t>
            </w:r>
          </w:p>
        </w:tc>
        <w:tc>
          <w:tcPr>
            <w:tcW w:w="409" w:type="pct"/>
            <w:shd w:val="clear" w:color="auto" w:fill="auto"/>
          </w:tcPr>
          <w:p w14:paraId="57A24BF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84A2059">
            <w:pPr>
              <w:widowControl/>
              <w:spacing w:line="240" w:lineRule="auto"/>
              <w:ind w:firstLine="0" w:firstLineChars="0"/>
              <w:jc w:val="center"/>
              <w:rPr>
                <w:color w:val="auto"/>
                <w:sz w:val="21"/>
                <w:szCs w:val="21"/>
              </w:rPr>
            </w:pPr>
            <w:r>
              <w:rPr>
                <w:rFonts w:hint="eastAsia"/>
                <w:color w:val="auto"/>
                <w:sz w:val="21"/>
                <w:szCs w:val="21"/>
              </w:rPr>
              <w:t>1.63E-04</w:t>
            </w:r>
          </w:p>
        </w:tc>
        <w:tc>
          <w:tcPr>
            <w:tcW w:w="423" w:type="pct"/>
            <w:shd w:val="clear" w:color="auto" w:fill="auto"/>
          </w:tcPr>
          <w:p w14:paraId="1EC7BE57">
            <w:pPr>
              <w:widowControl/>
              <w:spacing w:line="240" w:lineRule="auto"/>
              <w:ind w:firstLine="0" w:firstLineChars="0"/>
              <w:jc w:val="center"/>
              <w:rPr>
                <w:color w:val="auto"/>
                <w:sz w:val="21"/>
                <w:szCs w:val="21"/>
              </w:rPr>
            </w:pPr>
            <w:r>
              <w:rPr>
                <w:rFonts w:hint="eastAsia"/>
                <w:color w:val="auto"/>
                <w:sz w:val="21"/>
                <w:szCs w:val="21"/>
              </w:rPr>
              <w:t>0.08</w:t>
            </w:r>
          </w:p>
        </w:tc>
        <w:tc>
          <w:tcPr>
            <w:tcW w:w="694" w:type="pct"/>
            <w:shd w:val="clear" w:color="auto" w:fill="auto"/>
          </w:tcPr>
          <w:p w14:paraId="6FDDD86F">
            <w:pPr>
              <w:widowControl/>
              <w:spacing w:line="240" w:lineRule="auto"/>
              <w:ind w:firstLine="0" w:firstLineChars="0"/>
              <w:jc w:val="center"/>
              <w:rPr>
                <w:color w:val="auto"/>
                <w:kern w:val="0"/>
                <w:sz w:val="21"/>
                <w:szCs w:val="21"/>
              </w:rPr>
            </w:pPr>
            <w:r>
              <w:rPr>
                <w:rFonts w:hint="eastAsia"/>
                <w:color w:val="auto"/>
                <w:sz w:val="21"/>
                <w:szCs w:val="21"/>
              </w:rPr>
              <w:t>8.14E-04</w:t>
            </w:r>
          </w:p>
        </w:tc>
        <w:tc>
          <w:tcPr>
            <w:tcW w:w="532" w:type="pct"/>
            <w:shd w:val="clear" w:color="auto" w:fill="auto"/>
          </w:tcPr>
          <w:p w14:paraId="2CC50972">
            <w:pPr>
              <w:widowControl/>
              <w:spacing w:line="240" w:lineRule="auto"/>
              <w:ind w:firstLine="0" w:firstLineChars="0"/>
              <w:jc w:val="center"/>
              <w:rPr>
                <w:color w:val="auto"/>
                <w:kern w:val="0"/>
                <w:sz w:val="21"/>
                <w:szCs w:val="21"/>
              </w:rPr>
            </w:pPr>
            <w:r>
              <w:rPr>
                <w:rFonts w:hint="eastAsia"/>
                <w:color w:val="auto"/>
                <w:sz w:val="21"/>
                <w:szCs w:val="21"/>
              </w:rPr>
              <w:t>0.27</w:t>
            </w:r>
          </w:p>
        </w:tc>
        <w:tc>
          <w:tcPr>
            <w:tcW w:w="544" w:type="pct"/>
            <w:shd w:val="clear" w:color="auto" w:fill="auto"/>
          </w:tcPr>
          <w:p w14:paraId="1E081C47">
            <w:pPr>
              <w:widowControl/>
              <w:spacing w:line="240" w:lineRule="auto"/>
              <w:ind w:firstLine="0" w:firstLineChars="0"/>
              <w:jc w:val="center"/>
              <w:rPr>
                <w:color w:val="auto"/>
                <w:kern w:val="0"/>
                <w:sz w:val="21"/>
                <w:szCs w:val="21"/>
              </w:rPr>
            </w:pPr>
            <w:r>
              <w:rPr>
                <w:color w:val="auto"/>
                <w:sz w:val="21"/>
                <w:szCs w:val="21"/>
              </w:rPr>
              <w:t>7.24E-04</w:t>
            </w:r>
          </w:p>
        </w:tc>
        <w:tc>
          <w:tcPr>
            <w:tcW w:w="360" w:type="pct"/>
            <w:shd w:val="clear" w:color="auto" w:fill="auto"/>
          </w:tcPr>
          <w:p w14:paraId="38319CAC">
            <w:pPr>
              <w:widowControl/>
              <w:spacing w:line="240" w:lineRule="auto"/>
              <w:ind w:firstLine="0" w:firstLineChars="0"/>
              <w:jc w:val="center"/>
              <w:rPr>
                <w:color w:val="auto"/>
                <w:kern w:val="0"/>
                <w:sz w:val="21"/>
                <w:szCs w:val="21"/>
              </w:rPr>
            </w:pPr>
            <w:r>
              <w:rPr>
                <w:color w:val="auto"/>
                <w:sz w:val="21"/>
                <w:szCs w:val="21"/>
              </w:rPr>
              <w:t>0.36</w:t>
            </w:r>
          </w:p>
        </w:tc>
      </w:tr>
      <w:tr w14:paraId="5564F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357C7FC">
            <w:pPr>
              <w:widowControl/>
              <w:spacing w:line="240" w:lineRule="auto"/>
              <w:ind w:firstLine="0" w:firstLineChars="0"/>
              <w:jc w:val="center"/>
              <w:rPr>
                <w:color w:val="auto"/>
                <w:kern w:val="0"/>
                <w:sz w:val="21"/>
                <w:szCs w:val="21"/>
              </w:rPr>
            </w:pPr>
            <w:r>
              <w:rPr>
                <w:color w:val="auto"/>
                <w:sz w:val="21"/>
                <w:szCs w:val="21"/>
              </w:rPr>
              <w:t>325</w:t>
            </w:r>
          </w:p>
        </w:tc>
        <w:tc>
          <w:tcPr>
            <w:tcW w:w="416" w:type="pct"/>
            <w:shd w:val="clear" w:color="auto" w:fill="auto"/>
          </w:tcPr>
          <w:p w14:paraId="699FE8AF">
            <w:pPr>
              <w:widowControl/>
              <w:spacing w:line="240" w:lineRule="auto"/>
              <w:ind w:firstLine="0" w:firstLineChars="0"/>
              <w:jc w:val="center"/>
              <w:rPr>
                <w:color w:val="auto"/>
                <w:sz w:val="21"/>
                <w:szCs w:val="21"/>
              </w:rPr>
            </w:pPr>
            <w:r>
              <w:rPr>
                <w:rFonts w:hint="eastAsia"/>
                <w:color w:val="auto"/>
                <w:sz w:val="21"/>
                <w:szCs w:val="21"/>
              </w:rPr>
              <w:t>2.18E-05</w:t>
            </w:r>
          </w:p>
        </w:tc>
        <w:tc>
          <w:tcPr>
            <w:tcW w:w="410" w:type="pct"/>
            <w:shd w:val="clear" w:color="auto" w:fill="auto"/>
          </w:tcPr>
          <w:p w14:paraId="36AE6F1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CE9C12A">
            <w:pPr>
              <w:widowControl/>
              <w:spacing w:line="240" w:lineRule="auto"/>
              <w:ind w:firstLine="0" w:firstLineChars="0"/>
              <w:jc w:val="center"/>
              <w:rPr>
                <w:color w:val="auto"/>
                <w:sz w:val="21"/>
                <w:szCs w:val="21"/>
              </w:rPr>
            </w:pPr>
            <w:r>
              <w:rPr>
                <w:rFonts w:hint="eastAsia"/>
                <w:color w:val="auto"/>
                <w:sz w:val="21"/>
                <w:szCs w:val="21"/>
              </w:rPr>
              <w:t>1.58E-05</w:t>
            </w:r>
          </w:p>
        </w:tc>
        <w:tc>
          <w:tcPr>
            <w:tcW w:w="409" w:type="pct"/>
            <w:shd w:val="clear" w:color="auto" w:fill="auto"/>
          </w:tcPr>
          <w:p w14:paraId="0EA45E5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2C439FF">
            <w:pPr>
              <w:widowControl/>
              <w:spacing w:line="240" w:lineRule="auto"/>
              <w:ind w:firstLine="0" w:firstLineChars="0"/>
              <w:jc w:val="center"/>
              <w:rPr>
                <w:color w:val="auto"/>
                <w:sz w:val="21"/>
                <w:szCs w:val="21"/>
              </w:rPr>
            </w:pPr>
            <w:r>
              <w:rPr>
                <w:rFonts w:hint="eastAsia"/>
                <w:color w:val="auto"/>
                <w:sz w:val="21"/>
                <w:szCs w:val="21"/>
              </w:rPr>
              <w:t>1.49E-04</w:t>
            </w:r>
          </w:p>
        </w:tc>
        <w:tc>
          <w:tcPr>
            <w:tcW w:w="423" w:type="pct"/>
            <w:shd w:val="clear" w:color="auto" w:fill="auto"/>
          </w:tcPr>
          <w:p w14:paraId="4CF1D848">
            <w:pPr>
              <w:widowControl/>
              <w:spacing w:line="240" w:lineRule="auto"/>
              <w:ind w:firstLine="0" w:firstLineChars="0"/>
              <w:jc w:val="center"/>
              <w:rPr>
                <w:color w:val="auto"/>
                <w:sz w:val="21"/>
                <w:szCs w:val="21"/>
              </w:rPr>
            </w:pPr>
            <w:r>
              <w:rPr>
                <w:rFonts w:hint="eastAsia"/>
                <w:color w:val="auto"/>
                <w:sz w:val="21"/>
                <w:szCs w:val="21"/>
              </w:rPr>
              <w:t>0.07</w:t>
            </w:r>
          </w:p>
        </w:tc>
        <w:tc>
          <w:tcPr>
            <w:tcW w:w="694" w:type="pct"/>
            <w:shd w:val="clear" w:color="auto" w:fill="auto"/>
          </w:tcPr>
          <w:p w14:paraId="75032A87">
            <w:pPr>
              <w:widowControl/>
              <w:spacing w:line="240" w:lineRule="auto"/>
              <w:ind w:firstLine="0" w:firstLineChars="0"/>
              <w:jc w:val="center"/>
              <w:rPr>
                <w:color w:val="auto"/>
                <w:kern w:val="0"/>
                <w:sz w:val="21"/>
                <w:szCs w:val="21"/>
              </w:rPr>
            </w:pPr>
            <w:r>
              <w:rPr>
                <w:rFonts w:hint="eastAsia"/>
                <w:color w:val="auto"/>
                <w:sz w:val="21"/>
                <w:szCs w:val="21"/>
              </w:rPr>
              <w:t>7.55E-04</w:t>
            </w:r>
          </w:p>
        </w:tc>
        <w:tc>
          <w:tcPr>
            <w:tcW w:w="532" w:type="pct"/>
            <w:shd w:val="clear" w:color="auto" w:fill="auto"/>
          </w:tcPr>
          <w:p w14:paraId="15837E39">
            <w:pPr>
              <w:widowControl/>
              <w:spacing w:line="240" w:lineRule="auto"/>
              <w:ind w:firstLine="0" w:firstLineChars="0"/>
              <w:jc w:val="center"/>
              <w:rPr>
                <w:color w:val="auto"/>
                <w:kern w:val="0"/>
                <w:sz w:val="21"/>
                <w:szCs w:val="21"/>
              </w:rPr>
            </w:pPr>
            <w:r>
              <w:rPr>
                <w:rFonts w:hint="eastAsia"/>
                <w:color w:val="auto"/>
                <w:sz w:val="21"/>
                <w:szCs w:val="21"/>
              </w:rPr>
              <w:t>0.25</w:t>
            </w:r>
          </w:p>
        </w:tc>
        <w:tc>
          <w:tcPr>
            <w:tcW w:w="544" w:type="pct"/>
            <w:shd w:val="clear" w:color="auto" w:fill="auto"/>
          </w:tcPr>
          <w:p w14:paraId="708E09E0">
            <w:pPr>
              <w:widowControl/>
              <w:spacing w:line="240" w:lineRule="auto"/>
              <w:ind w:firstLine="0" w:firstLineChars="0"/>
              <w:jc w:val="center"/>
              <w:rPr>
                <w:color w:val="auto"/>
                <w:kern w:val="0"/>
                <w:sz w:val="21"/>
                <w:szCs w:val="21"/>
              </w:rPr>
            </w:pPr>
            <w:r>
              <w:rPr>
                <w:color w:val="auto"/>
                <w:sz w:val="21"/>
                <w:szCs w:val="21"/>
              </w:rPr>
              <w:t>6.64E-04</w:t>
            </w:r>
          </w:p>
        </w:tc>
        <w:tc>
          <w:tcPr>
            <w:tcW w:w="360" w:type="pct"/>
            <w:shd w:val="clear" w:color="auto" w:fill="auto"/>
          </w:tcPr>
          <w:p w14:paraId="141DC6EC">
            <w:pPr>
              <w:widowControl/>
              <w:spacing w:line="240" w:lineRule="auto"/>
              <w:ind w:firstLine="0" w:firstLineChars="0"/>
              <w:jc w:val="center"/>
              <w:rPr>
                <w:color w:val="auto"/>
                <w:kern w:val="0"/>
                <w:sz w:val="21"/>
                <w:szCs w:val="21"/>
              </w:rPr>
            </w:pPr>
            <w:r>
              <w:rPr>
                <w:color w:val="auto"/>
                <w:sz w:val="21"/>
                <w:szCs w:val="21"/>
              </w:rPr>
              <w:t>0.33</w:t>
            </w:r>
          </w:p>
        </w:tc>
      </w:tr>
      <w:tr w14:paraId="17350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DA297AC">
            <w:pPr>
              <w:widowControl/>
              <w:spacing w:line="240" w:lineRule="auto"/>
              <w:ind w:firstLine="0" w:firstLineChars="0"/>
              <w:jc w:val="center"/>
              <w:rPr>
                <w:color w:val="auto"/>
                <w:kern w:val="0"/>
                <w:sz w:val="21"/>
                <w:szCs w:val="21"/>
              </w:rPr>
            </w:pPr>
            <w:r>
              <w:rPr>
                <w:color w:val="auto"/>
                <w:sz w:val="21"/>
                <w:szCs w:val="21"/>
              </w:rPr>
              <w:t>350</w:t>
            </w:r>
          </w:p>
        </w:tc>
        <w:tc>
          <w:tcPr>
            <w:tcW w:w="416" w:type="pct"/>
            <w:shd w:val="clear" w:color="auto" w:fill="auto"/>
          </w:tcPr>
          <w:p w14:paraId="01A165E6">
            <w:pPr>
              <w:widowControl/>
              <w:spacing w:line="240" w:lineRule="auto"/>
              <w:ind w:firstLine="0" w:firstLineChars="0"/>
              <w:jc w:val="center"/>
              <w:rPr>
                <w:color w:val="auto"/>
                <w:sz w:val="21"/>
                <w:szCs w:val="21"/>
              </w:rPr>
            </w:pPr>
            <w:r>
              <w:rPr>
                <w:rFonts w:hint="eastAsia"/>
                <w:color w:val="auto"/>
                <w:sz w:val="21"/>
                <w:szCs w:val="21"/>
              </w:rPr>
              <w:t>2.11E-05</w:t>
            </w:r>
          </w:p>
        </w:tc>
        <w:tc>
          <w:tcPr>
            <w:tcW w:w="410" w:type="pct"/>
            <w:shd w:val="clear" w:color="auto" w:fill="auto"/>
          </w:tcPr>
          <w:p w14:paraId="27CED5D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4ED5B50">
            <w:pPr>
              <w:widowControl/>
              <w:spacing w:line="240" w:lineRule="auto"/>
              <w:ind w:firstLine="0" w:firstLineChars="0"/>
              <w:jc w:val="center"/>
              <w:rPr>
                <w:color w:val="auto"/>
                <w:sz w:val="21"/>
                <w:szCs w:val="21"/>
              </w:rPr>
            </w:pPr>
            <w:r>
              <w:rPr>
                <w:rFonts w:hint="eastAsia"/>
                <w:color w:val="auto"/>
                <w:sz w:val="21"/>
                <w:szCs w:val="21"/>
              </w:rPr>
              <w:t>1.53E-05</w:t>
            </w:r>
          </w:p>
        </w:tc>
        <w:tc>
          <w:tcPr>
            <w:tcW w:w="409" w:type="pct"/>
            <w:shd w:val="clear" w:color="auto" w:fill="auto"/>
          </w:tcPr>
          <w:p w14:paraId="60D4EDB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3B10309">
            <w:pPr>
              <w:widowControl/>
              <w:spacing w:line="240" w:lineRule="auto"/>
              <w:ind w:firstLine="0" w:firstLineChars="0"/>
              <w:jc w:val="center"/>
              <w:rPr>
                <w:color w:val="auto"/>
                <w:sz w:val="21"/>
                <w:szCs w:val="21"/>
              </w:rPr>
            </w:pPr>
            <w:r>
              <w:rPr>
                <w:rFonts w:hint="eastAsia"/>
                <w:color w:val="auto"/>
                <w:sz w:val="21"/>
                <w:szCs w:val="21"/>
              </w:rPr>
              <w:t>1.45E-04</w:t>
            </w:r>
          </w:p>
        </w:tc>
        <w:tc>
          <w:tcPr>
            <w:tcW w:w="423" w:type="pct"/>
            <w:shd w:val="clear" w:color="auto" w:fill="auto"/>
          </w:tcPr>
          <w:p w14:paraId="18CE63E3">
            <w:pPr>
              <w:widowControl/>
              <w:spacing w:line="240" w:lineRule="auto"/>
              <w:ind w:firstLine="0" w:firstLineChars="0"/>
              <w:jc w:val="center"/>
              <w:rPr>
                <w:color w:val="auto"/>
                <w:sz w:val="21"/>
                <w:szCs w:val="21"/>
              </w:rPr>
            </w:pPr>
            <w:r>
              <w:rPr>
                <w:rFonts w:hint="eastAsia"/>
                <w:color w:val="auto"/>
                <w:sz w:val="21"/>
                <w:szCs w:val="21"/>
              </w:rPr>
              <w:t>0.07</w:t>
            </w:r>
          </w:p>
        </w:tc>
        <w:tc>
          <w:tcPr>
            <w:tcW w:w="694" w:type="pct"/>
            <w:shd w:val="clear" w:color="auto" w:fill="auto"/>
          </w:tcPr>
          <w:p w14:paraId="40DAB95B">
            <w:pPr>
              <w:widowControl/>
              <w:spacing w:line="240" w:lineRule="auto"/>
              <w:ind w:firstLine="0" w:firstLineChars="0"/>
              <w:jc w:val="center"/>
              <w:rPr>
                <w:color w:val="auto"/>
                <w:kern w:val="0"/>
                <w:sz w:val="21"/>
                <w:szCs w:val="21"/>
              </w:rPr>
            </w:pPr>
            <w:r>
              <w:rPr>
                <w:rFonts w:hint="eastAsia"/>
                <w:color w:val="auto"/>
                <w:sz w:val="21"/>
                <w:szCs w:val="21"/>
              </w:rPr>
              <w:t>6.99E-04</w:t>
            </w:r>
          </w:p>
        </w:tc>
        <w:tc>
          <w:tcPr>
            <w:tcW w:w="532" w:type="pct"/>
            <w:shd w:val="clear" w:color="auto" w:fill="auto"/>
          </w:tcPr>
          <w:p w14:paraId="2205B340">
            <w:pPr>
              <w:widowControl/>
              <w:spacing w:line="240" w:lineRule="auto"/>
              <w:ind w:firstLine="0" w:firstLineChars="0"/>
              <w:jc w:val="center"/>
              <w:rPr>
                <w:color w:val="auto"/>
                <w:kern w:val="0"/>
                <w:sz w:val="21"/>
                <w:szCs w:val="21"/>
              </w:rPr>
            </w:pPr>
            <w:r>
              <w:rPr>
                <w:rFonts w:hint="eastAsia"/>
                <w:color w:val="auto"/>
                <w:sz w:val="21"/>
                <w:szCs w:val="21"/>
              </w:rPr>
              <w:t>0.23</w:t>
            </w:r>
          </w:p>
        </w:tc>
        <w:tc>
          <w:tcPr>
            <w:tcW w:w="544" w:type="pct"/>
            <w:shd w:val="clear" w:color="auto" w:fill="auto"/>
          </w:tcPr>
          <w:p w14:paraId="4FBA53E6">
            <w:pPr>
              <w:widowControl/>
              <w:spacing w:line="240" w:lineRule="auto"/>
              <w:ind w:firstLine="0" w:firstLineChars="0"/>
              <w:jc w:val="center"/>
              <w:rPr>
                <w:color w:val="auto"/>
                <w:kern w:val="0"/>
                <w:sz w:val="21"/>
                <w:szCs w:val="21"/>
              </w:rPr>
            </w:pPr>
            <w:r>
              <w:rPr>
                <w:color w:val="auto"/>
                <w:sz w:val="21"/>
                <w:szCs w:val="21"/>
              </w:rPr>
              <w:t>6.44E-04</w:t>
            </w:r>
          </w:p>
        </w:tc>
        <w:tc>
          <w:tcPr>
            <w:tcW w:w="360" w:type="pct"/>
            <w:shd w:val="clear" w:color="auto" w:fill="auto"/>
          </w:tcPr>
          <w:p w14:paraId="3A317A7E">
            <w:pPr>
              <w:widowControl/>
              <w:spacing w:line="240" w:lineRule="auto"/>
              <w:ind w:firstLine="0" w:firstLineChars="0"/>
              <w:jc w:val="center"/>
              <w:rPr>
                <w:color w:val="auto"/>
                <w:kern w:val="0"/>
                <w:sz w:val="21"/>
                <w:szCs w:val="21"/>
              </w:rPr>
            </w:pPr>
            <w:r>
              <w:rPr>
                <w:color w:val="auto"/>
                <w:sz w:val="21"/>
                <w:szCs w:val="21"/>
              </w:rPr>
              <w:t>0.32</w:t>
            </w:r>
          </w:p>
        </w:tc>
      </w:tr>
      <w:tr w14:paraId="32B4E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89D3A1C">
            <w:pPr>
              <w:widowControl/>
              <w:spacing w:line="240" w:lineRule="auto"/>
              <w:ind w:firstLine="0" w:firstLineChars="0"/>
              <w:jc w:val="center"/>
              <w:rPr>
                <w:color w:val="auto"/>
                <w:kern w:val="0"/>
                <w:sz w:val="21"/>
                <w:szCs w:val="21"/>
              </w:rPr>
            </w:pPr>
            <w:r>
              <w:rPr>
                <w:color w:val="auto"/>
                <w:sz w:val="21"/>
                <w:szCs w:val="21"/>
              </w:rPr>
              <w:t>375</w:t>
            </w:r>
          </w:p>
        </w:tc>
        <w:tc>
          <w:tcPr>
            <w:tcW w:w="416" w:type="pct"/>
            <w:shd w:val="clear" w:color="auto" w:fill="auto"/>
          </w:tcPr>
          <w:p w14:paraId="72CB433F">
            <w:pPr>
              <w:widowControl/>
              <w:spacing w:line="240" w:lineRule="auto"/>
              <w:ind w:firstLine="0" w:firstLineChars="0"/>
              <w:jc w:val="center"/>
              <w:rPr>
                <w:color w:val="auto"/>
                <w:sz w:val="21"/>
                <w:szCs w:val="21"/>
              </w:rPr>
            </w:pPr>
            <w:r>
              <w:rPr>
                <w:rFonts w:hint="eastAsia"/>
                <w:color w:val="auto"/>
                <w:sz w:val="21"/>
                <w:szCs w:val="21"/>
              </w:rPr>
              <w:t>2.04E-05</w:t>
            </w:r>
          </w:p>
        </w:tc>
        <w:tc>
          <w:tcPr>
            <w:tcW w:w="410" w:type="pct"/>
            <w:shd w:val="clear" w:color="auto" w:fill="auto"/>
          </w:tcPr>
          <w:p w14:paraId="7ADFCA7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667E7F6">
            <w:pPr>
              <w:widowControl/>
              <w:spacing w:line="240" w:lineRule="auto"/>
              <w:ind w:firstLine="0" w:firstLineChars="0"/>
              <w:jc w:val="center"/>
              <w:rPr>
                <w:color w:val="auto"/>
                <w:sz w:val="21"/>
                <w:szCs w:val="21"/>
              </w:rPr>
            </w:pPr>
            <w:r>
              <w:rPr>
                <w:rFonts w:hint="eastAsia"/>
                <w:color w:val="auto"/>
                <w:sz w:val="21"/>
                <w:szCs w:val="21"/>
              </w:rPr>
              <w:t>1.48E-05</w:t>
            </w:r>
          </w:p>
        </w:tc>
        <w:tc>
          <w:tcPr>
            <w:tcW w:w="409" w:type="pct"/>
            <w:shd w:val="clear" w:color="auto" w:fill="auto"/>
          </w:tcPr>
          <w:p w14:paraId="0B3ABE6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7A66C5F">
            <w:pPr>
              <w:widowControl/>
              <w:spacing w:line="240" w:lineRule="auto"/>
              <w:ind w:firstLine="0" w:firstLineChars="0"/>
              <w:jc w:val="center"/>
              <w:rPr>
                <w:color w:val="auto"/>
                <w:sz w:val="21"/>
                <w:szCs w:val="21"/>
              </w:rPr>
            </w:pPr>
            <w:r>
              <w:rPr>
                <w:rFonts w:hint="eastAsia"/>
                <w:color w:val="auto"/>
                <w:sz w:val="21"/>
                <w:szCs w:val="21"/>
              </w:rPr>
              <w:t>1.40E-04</w:t>
            </w:r>
          </w:p>
        </w:tc>
        <w:tc>
          <w:tcPr>
            <w:tcW w:w="423" w:type="pct"/>
            <w:shd w:val="clear" w:color="auto" w:fill="auto"/>
          </w:tcPr>
          <w:p w14:paraId="7698703E">
            <w:pPr>
              <w:widowControl/>
              <w:spacing w:line="240" w:lineRule="auto"/>
              <w:ind w:firstLine="0" w:firstLineChars="0"/>
              <w:jc w:val="center"/>
              <w:rPr>
                <w:color w:val="auto"/>
                <w:sz w:val="21"/>
                <w:szCs w:val="21"/>
              </w:rPr>
            </w:pPr>
            <w:r>
              <w:rPr>
                <w:rFonts w:hint="eastAsia"/>
                <w:color w:val="auto"/>
                <w:sz w:val="21"/>
                <w:szCs w:val="21"/>
              </w:rPr>
              <w:t>0.07</w:t>
            </w:r>
          </w:p>
        </w:tc>
        <w:tc>
          <w:tcPr>
            <w:tcW w:w="694" w:type="pct"/>
            <w:shd w:val="clear" w:color="auto" w:fill="auto"/>
          </w:tcPr>
          <w:p w14:paraId="511704C4">
            <w:pPr>
              <w:widowControl/>
              <w:spacing w:line="240" w:lineRule="auto"/>
              <w:ind w:firstLine="0" w:firstLineChars="0"/>
              <w:jc w:val="center"/>
              <w:rPr>
                <w:color w:val="auto"/>
                <w:kern w:val="0"/>
                <w:sz w:val="21"/>
                <w:szCs w:val="21"/>
              </w:rPr>
            </w:pPr>
            <w:r>
              <w:rPr>
                <w:rFonts w:hint="eastAsia"/>
                <w:color w:val="auto"/>
                <w:sz w:val="21"/>
                <w:szCs w:val="21"/>
              </w:rPr>
              <w:t>6.53E-04</w:t>
            </w:r>
          </w:p>
        </w:tc>
        <w:tc>
          <w:tcPr>
            <w:tcW w:w="532" w:type="pct"/>
            <w:shd w:val="clear" w:color="auto" w:fill="auto"/>
          </w:tcPr>
          <w:p w14:paraId="7B1EB1FC">
            <w:pPr>
              <w:widowControl/>
              <w:spacing w:line="240" w:lineRule="auto"/>
              <w:ind w:firstLine="0" w:firstLineChars="0"/>
              <w:jc w:val="center"/>
              <w:rPr>
                <w:color w:val="auto"/>
                <w:kern w:val="0"/>
                <w:sz w:val="21"/>
                <w:szCs w:val="21"/>
              </w:rPr>
            </w:pPr>
            <w:r>
              <w:rPr>
                <w:rFonts w:hint="eastAsia"/>
                <w:color w:val="auto"/>
                <w:sz w:val="21"/>
                <w:szCs w:val="21"/>
              </w:rPr>
              <w:t>0.22</w:t>
            </w:r>
          </w:p>
        </w:tc>
        <w:tc>
          <w:tcPr>
            <w:tcW w:w="544" w:type="pct"/>
            <w:shd w:val="clear" w:color="auto" w:fill="auto"/>
          </w:tcPr>
          <w:p w14:paraId="639F0821">
            <w:pPr>
              <w:widowControl/>
              <w:spacing w:line="240" w:lineRule="auto"/>
              <w:ind w:firstLine="0" w:firstLineChars="0"/>
              <w:jc w:val="center"/>
              <w:rPr>
                <w:color w:val="auto"/>
                <w:kern w:val="0"/>
                <w:sz w:val="21"/>
                <w:szCs w:val="21"/>
              </w:rPr>
            </w:pPr>
            <w:r>
              <w:rPr>
                <w:color w:val="auto"/>
                <w:sz w:val="21"/>
                <w:szCs w:val="21"/>
              </w:rPr>
              <w:t>6.22E-04</w:t>
            </w:r>
          </w:p>
        </w:tc>
        <w:tc>
          <w:tcPr>
            <w:tcW w:w="360" w:type="pct"/>
            <w:shd w:val="clear" w:color="auto" w:fill="auto"/>
          </w:tcPr>
          <w:p w14:paraId="6707D64B">
            <w:pPr>
              <w:widowControl/>
              <w:spacing w:line="240" w:lineRule="auto"/>
              <w:ind w:firstLine="0" w:firstLineChars="0"/>
              <w:jc w:val="center"/>
              <w:rPr>
                <w:color w:val="auto"/>
                <w:kern w:val="0"/>
                <w:sz w:val="21"/>
                <w:szCs w:val="21"/>
              </w:rPr>
            </w:pPr>
            <w:r>
              <w:rPr>
                <w:color w:val="auto"/>
                <w:sz w:val="21"/>
                <w:szCs w:val="21"/>
              </w:rPr>
              <w:t>0.31</w:t>
            </w:r>
          </w:p>
        </w:tc>
      </w:tr>
      <w:tr w14:paraId="58D5F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0568808">
            <w:pPr>
              <w:widowControl/>
              <w:spacing w:line="240" w:lineRule="auto"/>
              <w:ind w:firstLine="0" w:firstLineChars="0"/>
              <w:jc w:val="center"/>
              <w:rPr>
                <w:color w:val="auto"/>
                <w:kern w:val="0"/>
                <w:sz w:val="21"/>
                <w:szCs w:val="21"/>
              </w:rPr>
            </w:pPr>
            <w:r>
              <w:rPr>
                <w:color w:val="auto"/>
                <w:sz w:val="21"/>
                <w:szCs w:val="21"/>
              </w:rPr>
              <w:t>400</w:t>
            </w:r>
          </w:p>
        </w:tc>
        <w:tc>
          <w:tcPr>
            <w:tcW w:w="416" w:type="pct"/>
            <w:shd w:val="clear" w:color="auto" w:fill="auto"/>
          </w:tcPr>
          <w:p w14:paraId="72AD7C03">
            <w:pPr>
              <w:widowControl/>
              <w:spacing w:line="240" w:lineRule="auto"/>
              <w:ind w:firstLine="0" w:firstLineChars="0"/>
              <w:jc w:val="center"/>
              <w:rPr>
                <w:color w:val="auto"/>
                <w:sz w:val="21"/>
                <w:szCs w:val="21"/>
              </w:rPr>
            </w:pPr>
            <w:r>
              <w:rPr>
                <w:rFonts w:hint="eastAsia"/>
                <w:color w:val="auto"/>
                <w:sz w:val="21"/>
                <w:szCs w:val="21"/>
              </w:rPr>
              <w:t>1.97E-05</w:t>
            </w:r>
          </w:p>
        </w:tc>
        <w:tc>
          <w:tcPr>
            <w:tcW w:w="410" w:type="pct"/>
            <w:shd w:val="clear" w:color="auto" w:fill="auto"/>
          </w:tcPr>
          <w:p w14:paraId="047B688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D655950">
            <w:pPr>
              <w:widowControl/>
              <w:spacing w:line="240" w:lineRule="auto"/>
              <w:ind w:firstLine="0" w:firstLineChars="0"/>
              <w:jc w:val="center"/>
              <w:rPr>
                <w:color w:val="auto"/>
                <w:sz w:val="21"/>
                <w:szCs w:val="21"/>
              </w:rPr>
            </w:pPr>
            <w:r>
              <w:rPr>
                <w:rFonts w:hint="eastAsia"/>
                <w:color w:val="auto"/>
                <w:sz w:val="21"/>
                <w:szCs w:val="21"/>
              </w:rPr>
              <w:t>1.43E-05</w:t>
            </w:r>
          </w:p>
        </w:tc>
        <w:tc>
          <w:tcPr>
            <w:tcW w:w="409" w:type="pct"/>
            <w:shd w:val="clear" w:color="auto" w:fill="auto"/>
          </w:tcPr>
          <w:p w14:paraId="041FFEE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A817C50">
            <w:pPr>
              <w:widowControl/>
              <w:spacing w:line="240" w:lineRule="auto"/>
              <w:ind w:firstLine="0" w:firstLineChars="0"/>
              <w:jc w:val="center"/>
              <w:rPr>
                <w:color w:val="auto"/>
                <w:sz w:val="21"/>
                <w:szCs w:val="21"/>
              </w:rPr>
            </w:pPr>
            <w:r>
              <w:rPr>
                <w:rFonts w:hint="eastAsia"/>
                <w:color w:val="auto"/>
                <w:sz w:val="21"/>
                <w:szCs w:val="21"/>
              </w:rPr>
              <w:t>1.35E-04</w:t>
            </w:r>
          </w:p>
        </w:tc>
        <w:tc>
          <w:tcPr>
            <w:tcW w:w="423" w:type="pct"/>
            <w:shd w:val="clear" w:color="auto" w:fill="auto"/>
          </w:tcPr>
          <w:p w14:paraId="348AF7F5">
            <w:pPr>
              <w:widowControl/>
              <w:spacing w:line="240" w:lineRule="auto"/>
              <w:ind w:firstLine="0" w:firstLineChars="0"/>
              <w:jc w:val="center"/>
              <w:rPr>
                <w:color w:val="auto"/>
                <w:sz w:val="21"/>
                <w:szCs w:val="21"/>
              </w:rPr>
            </w:pPr>
            <w:r>
              <w:rPr>
                <w:rFonts w:hint="eastAsia"/>
                <w:color w:val="auto"/>
                <w:sz w:val="21"/>
                <w:szCs w:val="21"/>
              </w:rPr>
              <w:t>0.07</w:t>
            </w:r>
          </w:p>
        </w:tc>
        <w:tc>
          <w:tcPr>
            <w:tcW w:w="694" w:type="pct"/>
            <w:shd w:val="clear" w:color="auto" w:fill="auto"/>
          </w:tcPr>
          <w:p w14:paraId="52574540">
            <w:pPr>
              <w:widowControl/>
              <w:spacing w:line="240" w:lineRule="auto"/>
              <w:ind w:firstLine="0" w:firstLineChars="0"/>
              <w:jc w:val="center"/>
              <w:rPr>
                <w:color w:val="auto"/>
                <w:kern w:val="0"/>
                <w:sz w:val="21"/>
                <w:szCs w:val="21"/>
              </w:rPr>
            </w:pPr>
            <w:r>
              <w:rPr>
                <w:rFonts w:hint="eastAsia"/>
                <w:color w:val="auto"/>
                <w:sz w:val="21"/>
                <w:szCs w:val="21"/>
              </w:rPr>
              <w:t>6.12E-04</w:t>
            </w:r>
          </w:p>
        </w:tc>
        <w:tc>
          <w:tcPr>
            <w:tcW w:w="532" w:type="pct"/>
            <w:shd w:val="clear" w:color="auto" w:fill="auto"/>
          </w:tcPr>
          <w:p w14:paraId="79087A85">
            <w:pPr>
              <w:widowControl/>
              <w:spacing w:line="240" w:lineRule="auto"/>
              <w:ind w:firstLine="0" w:firstLineChars="0"/>
              <w:jc w:val="center"/>
              <w:rPr>
                <w:color w:val="auto"/>
                <w:kern w:val="0"/>
                <w:sz w:val="21"/>
                <w:szCs w:val="21"/>
              </w:rPr>
            </w:pPr>
            <w:r>
              <w:rPr>
                <w:rFonts w:hint="eastAsia"/>
                <w:color w:val="auto"/>
                <w:sz w:val="21"/>
                <w:szCs w:val="21"/>
              </w:rPr>
              <w:t>0.20</w:t>
            </w:r>
          </w:p>
        </w:tc>
        <w:tc>
          <w:tcPr>
            <w:tcW w:w="544" w:type="pct"/>
            <w:shd w:val="clear" w:color="auto" w:fill="auto"/>
          </w:tcPr>
          <w:p w14:paraId="55512B17">
            <w:pPr>
              <w:widowControl/>
              <w:spacing w:line="240" w:lineRule="auto"/>
              <w:ind w:firstLine="0" w:firstLineChars="0"/>
              <w:jc w:val="center"/>
              <w:rPr>
                <w:color w:val="auto"/>
                <w:kern w:val="0"/>
                <w:sz w:val="21"/>
                <w:szCs w:val="21"/>
              </w:rPr>
            </w:pPr>
            <w:r>
              <w:rPr>
                <w:color w:val="auto"/>
                <w:sz w:val="21"/>
                <w:szCs w:val="21"/>
              </w:rPr>
              <w:t>6.01E-04</w:t>
            </w:r>
          </w:p>
        </w:tc>
        <w:tc>
          <w:tcPr>
            <w:tcW w:w="360" w:type="pct"/>
            <w:shd w:val="clear" w:color="auto" w:fill="auto"/>
          </w:tcPr>
          <w:p w14:paraId="25EEE50D">
            <w:pPr>
              <w:widowControl/>
              <w:spacing w:line="240" w:lineRule="auto"/>
              <w:ind w:firstLine="0" w:firstLineChars="0"/>
              <w:jc w:val="center"/>
              <w:rPr>
                <w:color w:val="auto"/>
                <w:kern w:val="0"/>
                <w:sz w:val="21"/>
                <w:szCs w:val="21"/>
              </w:rPr>
            </w:pPr>
            <w:r>
              <w:rPr>
                <w:color w:val="auto"/>
                <w:sz w:val="21"/>
                <w:szCs w:val="21"/>
              </w:rPr>
              <w:t>0.30</w:t>
            </w:r>
          </w:p>
        </w:tc>
      </w:tr>
      <w:tr w14:paraId="40AD6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3CF3619">
            <w:pPr>
              <w:widowControl/>
              <w:spacing w:line="240" w:lineRule="auto"/>
              <w:ind w:firstLine="0" w:firstLineChars="0"/>
              <w:jc w:val="center"/>
              <w:rPr>
                <w:color w:val="auto"/>
                <w:kern w:val="0"/>
                <w:sz w:val="21"/>
                <w:szCs w:val="21"/>
              </w:rPr>
            </w:pPr>
            <w:r>
              <w:rPr>
                <w:color w:val="auto"/>
                <w:sz w:val="21"/>
                <w:szCs w:val="21"/>
              </w:rPr>
              <w:t>425</w:t>
            </w:r>
          </w:p>
        </w:tc>
        <w:tc>
          <w:tcPr>
            <w:tcW w:w="416" w:type="pct"/>
            <w:shd w:val="clear" w:color="auto" w:fill="auto"/>
          </w:tcPr>
          <w:p w14:paraId="5F5B32F3">
            <w:pPr>
              <w:widowControl/>
              <w:spacing w:line="240" w:lineRule="auto"/>
              <w:ind w:firstLine="0" w:firstLineChars="0"/>
              <w:jc w:val="center"/>
              <w:rPr>
                <w:color w:val="auto"/>
                <w:sz w:val="21"/>
                <w:szCs w:val="21"/>
              </w:rPr>
            </w:pPr>
            <w:r>
              <w:rPr>
                <w:rFonts w:hint="eastAsia"/>
                <w:color w:val="auto"/>
                <w:sz w:val="21"/>
                <w:szCs w:val="21"/>
              </w:rPr>
              <w:t>1.91E-05</w:t>
            </w:r>
          </w:p>
        </w:tc>
        <w:tc>
          <w:tcPr>
            <w:tcW w:w="410" w:type="pct"/>
            <w:shd w:val="clear" w:color="auto" w:fill="auto"/>
          </w:tcPr>
          <w:p w14:paraId="48BE7443">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D7EFBF7">
            <w:pPr>
              <w:widowControl/>
              <w:spacing w:line="240" w:lineRule="auto"/>
              <w:ind w:firstLine="0" w:firstLineChars="0"/>
              <w:jc w:val="center"/>
              <w:rPr>
                <w:color w:val="auto"/>
                <w:sz w:val="21"/>
                <w:szCs w:val="21"/>
              </w:rPr>
            </w:pPr>
            <w:r>
              <w:rPr>
                <w:rFonts w:hint="eastAsia"/>
                <w:color w:val="auto"/>
                <w:sz w:val="21"/>
                <w:szCs w:val="21"/>
              </w:rPr>
              <w:t>1.38E-05</w:t>
            </w:r>
          </w:p>
        </w:tc>
        <w:tc>
          <w:tcPr>
            <w:tcW w:w="409" w:type="pct"/>
            <w:shd w:val="clear" w:color="auto" w:fill="auto"/>
          </w:tcPr>
          <w:p w14:paraId="1B95137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11882D0">
            <w:pPr>
              <w:widowControl/>
              <w:spacing w:line="240" w:lineRule="auto"/>
              <w:ind w:firstLine="0" w:firstLineChars="0"/>
              <w:jc w:val="center"/>
              <w:rPr>
                <w:color w:val="auto"/>
                <w:sz w:val="21"/>
                <w:szCs w:val="21"/>
              </w:rPr>
            </w:pPr>
            <w:r>
              <w:rPr>
                <w:rFonts w:hint="eastAsia"/>
                <w:color w:val="auto"/>
                <w:sz w:val="21"/>
                <w:szCs w:val="21"/>
              </w:rPr>
              <w:t>1.31E-04</w:t>
            </w:r>
          </w:p>
        </w:tc>
        <w:tc>
          <w:tcPr>
            <w:tcW w:w="423" w:type="pct"/>
            <w:shd w:val="clear" w:color="auto" w:fill="auto"/>
          </w:tcPr>
          <w:p w14:paraId="645F4372">
            <w:pPr>
              <w:widowControl/>
              <w:spacing w:line="240" w:lineRule="auto"/>
              <w:ind w:firstLine="0" w:firstLineChars="0"/>
              <w:jc w:val="center"/>
              <w:rPr>
                <w:color w:val="auto"/>
                <w:sz w:val="21"/>
                <w:szCs w:val="21"/>
              </w:rPr>
            </w:pPr>
            <w:r>
              <w:rPr>
                <w:rFonts w:hint="eastAsia"/>
                <w:color w:val="auto"/>
                <w:sz w:val="21"/>
                <w:szCs w:val="21"/>
              </w:rPr>
              <w:t>0.07</w:t>
            </w:r>
          </w:p>
        </w:tc>
        <w:tc>
          <w:tcPr>
            <w:tcW w:w="694" w:type="pct"/>
            <w:shd w:val="clear" w:color="auto" w:fill="auto"/>
          </w:tcPr>
          <w:p w14:paraId="35AB5D1B">
            <w:pPr>
              <w:widowControl/>
              <w:spacing w:line="240" w:lineRule="auto"/>
              <w:ind w:firstLine="0" w:firstLineChars="0"/>
              <w:jc w:val="center"/>
              <w:rPr>
                <w:color w:val="auto"/>
                <w:kern w:val="0"/>
                <w:sz w:val="21"/>
                <w:szCs w:val="21"/>
              </w:rPr>
            </w:pPr>
            <w:r>
              <w:rPr>
                <w:rFonts w:hint="eastAsia"/>
                <w:color w:val="auto"/>
                <w:sz w:val="21"/>
                <w:szCs w:val="21"/>
              </w:rPr>
              <w:t>5.78E-04</w:t>
            </w:r>
          </w:p>
        </w:tc>
        <w:tc>
          <w:tcPr>
            <w:tcW w:w="532" w:type="pct"/>
            <w:shd w:val="clear" w:color="auto" w:fill="auto"/>
          </w:tcPr>
          <w:p w14:paraId="0A1FB5D8">
            <w:pPr>
              <w:widowControl/>
              <w:spacing w:line="240" w:lineRule="auto"/>
              <w:ind w:firstLine="0" w:firstLineChars="0"/>
              <w:jc w:val="center"/>
              <w:rPr>
                <w:color w:val="auto"/>
                <w:kern w:val="0"/>
                <w:sz w:val="21"/>
                <w:szCs w:val="21"/>
              </w:rPr>
            </w:pPr>
            <w:r>
              <w:rPr>
                <w:rFonts w:hint="eastAsia"/>
                <w:color w:val="auto"/>
                <w:sz w:val="21"/>
                <w:szCs w:val="21"/>
              </w:rPr>
              <w:t>0.19</w:t>
            </w:r>
          </w:p>
        </w:tc>
        <w:tc>
          <w:tcPr>
            <w:tcW w:w="544" w:type="pct"/>
            <w:shd w:val="clear" w:color="auto" w:fill="auto"/>
          </w:tcPr>
          <w:p w14:paraId="7D8FDB8F">
            <w:pPr>
              <w:widowControl/>
              <w:spacing w:line="240" w:lineRule="auto"/>
              <w:ind w:firstLine="0" w:firstLineChars="0"/>
              <w:jc w:val="center"/>
              <w:rPr>
                <w:color w:val="auto"/>
                <w:kern w:val="0"/>
                <w:sz w:val="21"/>
                <w:szCs w:val="21"/>
              </w:rPr>
            </w:pPr>
            <w:r>
              <w:rPr>
                <w:color w:val="auto"/>
                <w:sz w:val="21"/>
                <w:szCs w:val="21"/>
              </w:rPr>
              <w:t>5.82E-04</w:t>
            </w:r>
          </w:p>
        </w:tc>
        <w:tc>
          <w:tcPr>
            <w:tcW w:w="360" w:type="pct"/>
            <w:shd w:val="clear" w:color="auto" w:fill="auto"/>
          </w:tcPr>
          <w:p w14:paraId="12E6F0B7">
            <w:pPr>
              <w:widowControl/>
              <w:spacing w:line="240" w:lineRule="auto"/>
              <w:ind w:firstLine="0" w:firstLineChars="0"/>
              <w:jc w:val="center"/>
              <w:rPr>
                <w:color w:val="auto"/>
                <w:kern w:val="0"/>
                <w:sz w:val="21"/>
                <w:szCs w:val="21"/>
              </w:rPr>
            </w:pPr>
            <w:r>
              <w:rPr>
                <w:color w:val="auto"/>
                <w:sz w:val="21"/>
                <w:szCs w:val="21"/>
              </w:rPr>
              <w:t>0.29</w:t>
            </w:r>
          </w:p>
        </w:tc>
      </w:tr>
      <w:tr w14:paraId="7CE29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78A5184">
            <w:pPr>
              <w:widowControl/>
              <w:spacing w:line="240" w:lineRule="auto"/>
              <w:ind w:firstLine="0" w:firstLineChars="0"/>
              <w:jc w:val="center"/>
              <w:rPr>
                <w:color w:val="auto"/>
                <w:kern w:val="0"/>
                <w:sz w:val="21"/>
                <w:szCs w:val="21"/>
              </w:rPr>
            </w:pPr>
            <w:r>
              <w:rPr>
                <w:color w:val="auto"/>
                <w:sz w:val="21"/>
                <w:szCs w:val="21"/>
              </w:rPr>
              <w:t>450</w:t>
            </w:r>
          </w:p>
        </w:tc>
        <w:tc>
          <w:tcPr>
            <w:tcW w:w="416" w:type="pct"/>
            <w:shd w:val="clear" w:color="auto" w:fill="auto"/>
          </w:tcPr>
          <w:p w14:paraId="70660D97">
            <w:pPr>
              <w:widowControl/>
              <w:spacing w:line="240" w:lineRule="auto"/>
              <w:ind w:firstLine="0" w:firstLineChars="0"/>
              <w:jc w:val="center"/>
              <w:rPr>
                <w:color w:val="auto"/>
                <w:sz w:val="21"/>
                <w:szCs w:val="21"/>
              </w:rPr>
            </w:pPr>
            <w:r>
              <w:rPr>
                <w:rFonts w:hint="eastAsia"/>
                <w:color w:val="auto"/>
                <w:sz w:val="21"/>
                <w:szCs w:val="21"/>
              </w:rPr>
              <w:t>1.84E-05</w:t>
            </w:r>
          </w:p>
        </w:tc>
        <w:tc>
          <w:tcPr>
            <w:tcW w:w="410" w:type="pct"/>
            <w:shd w:val="clear" w:color="auto" w:fill="auto"/>
          </w:tcPr>
          <w:p w14:paraId="1624557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AF06B2A">
            <w:pPr>
              <w:widowControl/>
              <w:spacing w:line="240" w:lineRule="auto"/>
              <w:ind w:firstLine="0" w:firstLineChars="0"/>
              <w:jc w:val="center"/>
              <w:rPr>
                <w:color w:val="auto"/>
                <w:sz w:val="21"/>
                <w:szCs w:val="21"/>
              </w:rPr>
            </w:pPr>
            <w:r>
              <w:rPr>
                <w:rFonts w:hint="eastAsia"/>
                <w:color w:val="auto"/>
                <w:sz w:val="21"/>
                <w:szCs w:val="21"/>
              </w:rPr>
              <w:t>1.34E-05</w:t>
            </w:r>
          </w:p>
        </w:tc>
        <w:tc>
          <w:tcPr>
            <w:tcW w:w="409" w:type="pct"/>
            <w:shd w:val="clear" w:color="auto" w:fill="auto"/>
          </w:tcPr>
          <w:p w14:paraId="444BDA1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CF96D4F">
            <w:pPr>
              <w:widowControl/>
              <w:spacing w:line="240" w:lineRule="auto"/>
              <w:ind w:firstLine="0" w:firstLineChars="0"/>
              <w:jc w:val="center"/>
              <w:rPr>
                <w:color w:val="auto"/>
                <w:sz w:val="21"/>
                <w:szCs w:val="21"/>
              </w:rPr>
            </w:pPr>
            <w:r>
              <w:rPr>
                <w:rFonts w:hint="eastAsia"/>
                <w:color w:val="auto"/>
                <w:sz w:val="21"/>
                <w:szCs w:val="21"/>
              </w:rPr>
              <w:t>1.26E-04</w:t>
            </w:r>
          </w:p>
        </w:tc>
        <w:tc>
          <w:tcPr>
            <w:tcW w:w="423" w:type="pct"/>
            <w:shd w:val="clear" w:color="auto" w:fill="auto"/>
          </w:tcPr>
          <w:p w14:paraId="77E32CD6">
            <w:pPr>
              <w:widowControl/>
              <w:spacing w:line="240" w:lineRule="auto"/>
              <w:ind w:firstLine="0" w:firstLineChars="0"/>
              <w:jc w:val="center"/>
              <w:rPr>
                <w:color w:val="auto"/>
                <w:sz w:val="21"/>
                <w:szCs w:val="21"/>
              </w:rPr>
            </w:pPr>
            <w:r>
              <w:rPr>
                <w:rFonts w:hint="eastAsia"/>
                <w:color w:val="auto"/>
                <w:sz w:val="21"/>
                <w:szCs w:val="21"/>
              </w:rPr>
              <w:t>0.06</w:t>
            </w:r>
          </w:p>
        </w:tc>
        <w:tc>
          <w:tcPr>
            <w:tcW w:w="694" w:type="pct"/>
            <w:shd w:val="clear" w:color="auto" w:fill="auto"/>
          </w:tcPr>
          <w:p w14:paraId="613C1656">
            <w:pPr>
              <w:widowControl/>
              <w:spacing w:line="240" w:lineRule="auto"/>
              <w:ind w:firstLine="0" w:firstLineChars="0"/>
              <w:jc w:val="center"/>
              <w:rPr>
                <w:color w:val="auto"/>
                <w:kern w:val="0"/>
                <w:sz w:val="21"/>
                <w:szCs w:val="21"/>
              </w:rPr>
            </w:pPr>
            <w:r>
              <w:rPr>
                <w:rFonts w:hint="eastAsia"/>
                <w:color w:val="auto"/>
                <w:sz w:val="21"/>
                <w:szCs w:val="21"/>
              </w:rPr>
              <w:t>5.44E-04</w:t>
            </w:r>
          </w:p>
        </w:tc>
        <w:tc>
          <w:tcPr>
            <w:tcW w:w="532" w:type="pct"/>
            <w:shd w:val="clear" w:color="auto" w:fill="auto"/>
          </w:tcPr>
          <w:p w14:paraId="5931C02D">
            <w:pPr>
              <w:widowControl/>
              <w:spacing w:line="240" w:lineRule="auto"/>
              <w:ind w:firstLine="0" w:firstLineChars="0"/>
              <w:jc w:val="center"/>
              <w:rPr>
                <w:color w:val="auto"/>
                <w:kern w:val="0"/>
                <w:sz w:val="21"/>
                <w:szCs w:val="21"/>
              </w:rPr>
            </w:pPr>
            <w:r>
              <w:rPr>
                <w:rFonts w:hint="eastAsia"/>
                <w:color w:val="auto"/>
                <w:sz w:val="21"/>
                <w:szCs w:val="21"/>
              </w:rPr>
              <w:t>0.18</w:t>
            </w:r>
          </w:p>
        </w:tc>
        <w:tc>
          <w:tcPr>
            <w:tcW w:w="544" w:type="pct"/>
            <w:shd w:val="clear" w:color="auto" w:fill="auto"/>
          </w:tcPr>
          <w:p w14:paraId="64A65D81">
            <w:pPr>
              <w:widowControl/>
              <w:spacing w:line="240" w:lineRule="auto"/>
              <w:ind w:firstLine="0" w:firstLineChars="0"/>
              <w:jc w:val="center"/>
              <w:rPr>
                <w:color w:val="auto"/>
                <w:kern w:val="0"/>
                <w:sz w:val="21"/>
                <w:szCs w:val="21"/>
              </w:rPr>
            </w:pPr>
            <w:r>
              <w:rPr>
                <w:color w:val="auto"/>
                <w:sz w:val="21"/>
                <w:szCs w:val="21"/>
              </w:rPr>
              <w:t>5.62E-04</w:t>
            </w:r>
          </w:p>
        </w:tc>
        <w:tc>
          <w:tcPr>
            <w:tcW w:w="360" w:type="pct"/>
            <w:shd w:val="clear" w:color="auto" w:fill="auto"/>
          </w:tcPr>
          <w:p w14:paraId="5D5E11ED">
            <w:pPr>
              <w:widowControl/>
              <w:spacing w:line="240" w:lineRule="auto"/>
              <w:ind w:firstLine="0" w:firstLineChars="0"/>
              <w:jc w:val="center"/>
              <w:rPr>
                <w:color w:val="auto"/>
                <w:kern w:val="0"/>
                <w:sz w:val="21"/>
                <w:szCs w:val="21"/>
              </w:rPr>
            </w:pPr>
            <w:r>
              <w:rPr>
                <w:color w:val="auto"/>
                <w:sz w:val="21"/>
                <w:szCs w:val="21"/>
              </w:rPr>
              <w:t>0.28</w:t>
            </w:r>
          </w:p>
        </w:tc>
      </w:tr>
      <w:tr w14:paraId="3BC98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C0CB2F0">
            <w:pPr>
              <w:widowControl/>
              <w:spacing w:line="240" w:lineRule="auto"/>
              <w:ind w:firstLine="0" w:firstLineChars="0"/>
              <w:jc w:val="center"/>
              <w:rPr>
                <w:color w:val="auto"/>
                <w:kern w:val="0"/>
                <w:sz w:val="21"/>
                <w:szCs w:val="21"/>
              </w:rPr>
            </w:pPr>
            <w:r>
              <w:rPr>
                <w:color w:val="auto"/>
                <w:sz w:val="21"/>
                <w:szCs w:val="21"/>
              </w:rPr>
              <w:t>475</w:t>
            </w:r>
          </w:p>
        </w:tc>
        <w:tc>
          <w:tcPr>
            <w:tcW w:w="416" w:type="pct"/>
            <w:shd w:val="clear" w:color="auto" w:fill="auto"/>
          </w:tcPr>
          <w:p w14:paraId="2E395929">
            <w:pPr>
              <w:widowControl/>
              <w:spacing w:line="240" w:lineRule="auto"/>
              <w:ind w:firstLine="0" w:firstLineChars="0"/>
              <w:jc w:val="center"/>
              <w:rPr>
                <w:color w:val="auto"/>
                <w:sz w:val="21"/>
                <w:szCs w:val="21"/>
              </w:rPr>
            </w:pPr>
            <w:r>
              <w:rPr>
                <w:rFonts w:hint="eastAsia"/>
                <w:color w:val="auto"/>
                <w:sz w:val="21"/>
                <w:szCs w:val="21"/>
              </w:rPr>
              <w:t>1.77E-05</w:t>
            </w:r>
          </w:p>
        </w:tc>
        <w:tc>
          <w:tcPr>
            <w:tcW w:w="410" w:type="pct"/>
            <w:shd w:val="clear" w:color="auto" w:fill="auto"/>
          </w:tcPr>
          <w:p w14:paraId="691E47A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9B059CA">
            <w:pPr>
              <w:widowControl/>
              <w:spacing w:line="240" w:lineRule="auto"/>
              <w:ind w:firstLine="0" w:firstLineChars="0"/>
              <w:jc w:val="center"/>
              <w:rPr>
                <w:color w:val="auto"/>
                <w:sz w:val="21"/>
                <w:szCs w:val="21"/>
              </w:rPr>
            </w:pPr>
            <w:r>
              <w:rPr>
                <w:rFonts w:hint="eastAsia"/>
                <w:color w:val="auto"/>
                <w:sz w:val="21"/>
                <w:szCs w:val="21"/>
              </w:rPr>
              <w:t>1.29E-05</w:t>
            </w:r>
          </w:p>
        </w:tc>
        <w:tc>
          <w:tcPr>
            <w:tcW w:w="409" w:type="pct"/>
            <w:shd w:val="clear" w:color="auto" w:fill="auto"/>
          </w:tcPr>
          <w:p w14:paraId="0D717F1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6254DA0">
            <w:pPr>
              <w:widowControl/>
              <w:spacing w:line="240" w:lineRule="auto"/>
              <w:ind w:firstLine="0" w:firstLineChars="0"/>
              <w:jc w:val="center"/>
              <w:rPr>
                <w:color w:val="auto"/>
                <w:sz w:val="21"/>
                <w:szCs w:val="21"/>
              </w:rPr>
            </w:pPr>
            <w:r>
              <w:rPr>
                <w:rFonts w:hint="eastAsia"/>
                <w:color w:val="auto"/>
                <w:sz w:val="21"/>
                <w:szCs w:val="21"/>
              </w:rPr>
              <w:t>1.22E-04</w:t>
            </w:r>
          </w:p>
        </w:tc>
        <w:tc>
          <w:tcPr>
            <w:tcW w:w="423" w:type="pct"/>
            <w:shd w:val="clear" w:color="auto" w:fill="auto"/>
          </w:tcPr>
          <w:p w14:paraId="701FDCC5">
            <w:pPr>
              <w:widowControl/>
              <w:spacing w:line="240" w:lineRule="auto"/>
              <w:ind w:firstLine="0" w:firstLineChars="0"/>
              <w:jc w:val="center"/>
              <w:rPr>
                <w:color w:val="auto"/>
                <w:sz w:val="21"/>
                <w:szCs w:val="21"/>
              </w:rPr>
            </w:pPr>
            <w:r>
              <w:rPr>
                <w:rFonts w:hint="eastAsia"/>
                <w:color w:val="auto"/>
                <w:sz w:val="21"/>
                <w:szCs w:val="21"/>
              </w:rPr>
              <w:t>0.06</w:t>
            </w:r>
          </w:p>
        </w:tc>
        <w:tc>
          <w:tcPr>
            <w:tcW w:w="694" w:type="pct"/>
            <w:shd w:val="clear" w:color="auto" w:fill="auto"/>
          </w:tcPr>
          <w:p w14:paraId="1165761E">
            <w:pPr>
              <w:widowControl/>
              <w:spacing w:line="240" w:lineRule="auto"/>
              <w:ind w:firstLine="0" w:firstLineChars="0"/>
              <w:jc w:val="center"/>
              <w:rPr>
                <w:color w:val="auto"/>
                <w:kern w:val="0"/>
                <w:sz w:val="21"/>
                <w:szCs w:val="21"/>
              </w:rPr>
            </w:pPr>
            <w:r>
              <w:rPr>
                <w:rFonts w:hint="eastAsia"/>
                <w:color w:val="auto"/>
                <w:sz w:val="21"/>
                <w:szCs w:val="21"/>
              </w:rPr>
              <w:t>5.11E-04</w:t>
            </w:r>
          </w:p>
        </w:tc>
        <w:tc>
          <w:tcPr>
            <w:tcW w:w="532" w:type="pct"/>
            <w:shd w:val="clear" w:color="auto" w:fill="auto"/>
          </w:tcPr>
          <w:p w14:paraId="7C711CCF">
            <w:pPr>
              <w:widowControl/>
              <w:spacing w:line="240" w:lineRule="auto"/>
              <w:ind w:firstLine="0" w:firstLineChars="0"/>
              <w:jc w:val="center"/>
              <w:rPr>
                <w:color w:val="auto"/>
                <w:kern w:val="0"/>
                <w:sz w:val="21"/>
                <w:szCs w:val="21"/>
              </w:rPr>
            </w:pPr>
            <w:r>
              <w:rPr>
                <w:rFonts w:hint="eastAsia"/>
                <w:color w:val="auto"/>
                <w:sz w:val="21"/>
                <w:szCs w:val="21"/>
              </w:rPr>
              <w:t>0.17</w:t>
            </w:r>
          </w:p>
        </w:tc>
        <w:tc>
          <w:tcPr>
            <w:tcW w:w="544" w:type="pct"/>
            <w:shd w:val="clear" w:color="auto" w:fill="auto"/>
          </w:tcPr>
          <w:p w14:paraId="1A6B2F15">
            <w:pPr>
              <w:widowControl/>
              <w:spacing w:line="240" w:lineRule="auto"/>
              <w:ind w:firstLine="0" w:firstLineChars="0"/>
              <w:jc w:val="center"/>
              <w:rPr>
                <w:color w:val="auto"/>
                <w:kern w:val="0"/>
                <w:sz w:val="21"/>
                <w:szCs w:val="21"/>
              </w:rPr>
            </w:pPr>
            <w:r>
              <w:rPr>
                <w:color w:val="auto"/>
                <w:sz w:val="21"/>
                <w:szCs w:val="21"/>
              </w:rPr>
              <w:t>5.40E-04</w:t>
            </w:r>
          </w:p>
        </w:tc>
        <w:tc>
          <w:tcPr>
            <w:tcW w:w="360" w:type="pct"/>
            <w:shd w:val="clear" w:color="auto" w:fill="auto"/>
          </w:tcPr>
          <w:p w14:paraId="1CF9F21A">
            <w:pPr>
              <w:widowControl/>
              <w:spacing w:line="240" w:lineRule="auto"/>
              <w:ind w:firstLine="0" w:firstLineChars="0"/>
              <w:jc w:val="center"/>
              <w:rPr>
                <w:color w:val="auto"/>
                <w:kern w:val="0"/>
                <w:sz w:val="21"/>
                <w:szCs w:val="21"/>
              </w:rPr>
            </w:pPr>
            <w:r>
              <w:rPr>
                <w:color w:val="auto"/>
                <w:sz w:val="21"/>
                <w:szCs w:val="21"/>
              </w:rPr>
              <w:t>0.27</w:t>
            </w:r>
          </w:p>
        </w:tc>
      </w:tr>
      <w:tr w14:paraId="4EDD9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E84F454">
            <w:pPr>
              <w:widowControl/>
              <w:spacing w:line="240" w:lineRule="auto"/>
              <w:ind w:firstLine="0" w:firstLineChars="0"/>
              <w:jc w:val="center"/>
              <w:rPr>
                <w:color w:val="auto"/>
                <w:kern w:val="0"/>
                <w:sz w:val="21"/>
                <w:szCs w:val="21"/>
              </w:rPr>
            </w:pPr>
            <w:r>
              <w:rPr>
                <w:color w:val="auto"/>
                <w:sz w:val="21"/>
                <w:szCs w:val="21"/>
              </w:rPr>
              <w:t>500</w:t>
            </w:r>
          </w:p>
        </w:tc>
        <w:tc>
          <w:tcPr>
            <w:tcW w:w="416" w:type="pct"/>
            <w:shd w:val="clear" w:color="auto" w:fill="auto"/>
          </w:tcPr>
          <w:p w14:paraId="0D9E005A">
            <w:pPr>
              <w:widowControl/>
              <w:spacing w:line="240" w:lineRule="auto"/>
              <w:ind w:firstLine="0" w:firstLineChars="0"/>
              <w:jc w:val="center"/>
              <w:rPr>
                <w:color w:val="auto"/>
                <w:sz w:val="21"/>
                <w:szCs w:val="21"/>
              </w:rPr>
            </w:pPr>
            <w:r>
              <w:rPr>
                <w:rFonts w:hint="eastAsia"/>
                <w:color w:val="auto"/>
                <w:sz w:val="21"/>
                <w:szCs w:val="21"/>
              </w:rPr>
              <w:t>1.70E-05</w:t>
            </w:r>
          </w:p>
        </w:tc>
        <w:tc>
          <w:tcPr>
            <w:tcW w:w="410" w:type="pct"/>
            <w:shd w:val="clear" w:color="auto" w:fill="auto"/>
          </w:tcPr>
          <w:p w14:paraId="01803B4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F6E4684">
            <w:pPr>
              <w:widowControl/>
              <w:spacing w:line="240" w:lineRule="auto"/>
              <w:ind w:firstLine="0" w:firstLineChars="0"/>
              <w:jc w:val="center"/>
              <w:rPr>
                <w:color w:val="auto"/>
                <w:sz w:val="21"/>
                <w:szCs w:val="21"/>
              </w:rPr>
            </w:pPr>
            <w:r>
              <w:rPr>
                <w:rFonts w:hint="eastAsia"/>
                <w:color w:val="auto"/>
                <w:sz w:val="21"/>
                <w:szCs w:val="21"/>
              </w:rPr>
              <w:t>1.23E-05</w:t>
            </w:r>
          </w:p>
        </w:tc>
        <w:tc>
          <w:tcPr>
            <w:tcW w:w="409" w:type="pct"/>
            <w:shd w:val="clear" w:color="auto" w:fill="auto"/>
          </w:tcPr>
          <w:p w14:paraId="3494133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FB2F5F9">
            <w:pPr>
              <w:widowControl/>
              <w:spacing w:line="240" w:lineRule="auto"/>
              <w:ind w:firstLine="0" w:firstLineChars="0"/>
              <w:jc w:val="center"/>
              <w:rPr>
                <w:color w:val="auto"/>
                <w:sz w:val="21"/>
                <w:szCs w:val="21"/>
              </w:rPr>
            </w:pPr>
            <w:r>
              <w:rPr>
                <w:rFonts w:hint="eastAsia"/>
                <w:color w:val="auto"/>
                <w:sz w:val="21"/>
                <w:szCs w:val="21"/>
              </w:rPr>
              <w:t>1.17E-04</w:t>
            </w:r>
          </w:p>
        </w:tc>
        <w:tc>
          <w:tcPr>
            <w:tcW w:w="423" w:type="pct"/>
            <w:shd w:val="clear" w:color="auto" w:fill="auto"/>
          </w:tcPr>
          <w:p w14:paraId="7F931560">
            <w:pPr>
              <w:widowControl/>
              <w:spacing w:line="240" w:lineRule="auto"/>
              <w:ind w:firstLine="0" w:firstLineChars="0"/>
              <w:jc w:val="center"/>
              <w:rPr>
                <w:color w:val="auto"/>
                <w:sz w:val="21"/>
                <w:szCs w:val="21"/>
              </w:rPr>
            </w:pPr>
            <w:r>
              <w:rPr>
                <w:rFonts w:hint="eastAsia"/>
                <w:color w:val="auto"/>
                <w:sz w:val="21"/>
                <w:szCs w:val="21"/>
              </w:rPr>
              <w:t>0.06</w:t>
            </w:r>
          </w:p>
        </w:tc>
        <w:tc>
          <w:tcPr>
            <w:tcW w:w="694" w:type="pct"/>
            <w:shd w:val="clear" w:color="auto" w:fill="auto"/>
          </w:tcPr>
          <w:p w14:paraId="48A80A1C">
            <w:pPr>
              <w:widowControl/>
              <w:spacing w:line="240" w:lineRule="auto"/>
              <w:ind w:firstLine="0" w:firstLineChars="0"/>
              <w:jc w:val="center"/>
              <w:rPr>
                <w:color w:val="auto"/>
                <w:kern w:val="0"/>
                <w:sz w:val="21"/>
                <w:szCs w:val="21"/>
              </w:rPr>
            </w:pPr>
            <w:r>
              <w:rPr>
                <w:rFonts w:hint="eastAsia"/>
                <w:color w:val="auto"/>
                <w:sz w:val="21"/>
                <w:szCs w:val="21"/>
              </w:rPr>
              <w:t>4.84E-04</w:t>
            </w:r>
          </w:p>
        </w:tc>
        <w:tc>
          <w:tcPr>
            <w:tcW w:w="532" w:type="pct"/>
            <w:shd w:val="clear" w:color="auto" w:fill="auto"/>
          </w:tcPr>
          <w:p w14:paraId="7198AA90">
            <w:pPr>
              <w:widowControl/>
              <w:spacing w:line="240" w:lineRule="auto"/>
              <w:ind w:firstLine="0" w:firstLineChars="0"/>
              <w:jc w:val="center"/>
              <w:rPr>
                <w:color w:val="auto"/>
                <w:kern w:val="0"/>
                <w:sz w:val="21"/>
                <w:szCs w:val="21"/>
              </w:rPr>
            </w:pPr>
            <w:r>
              <w:rPr>
                <w:rFonts w:hint="eastAsia"/>
                <w:color w:val="auto"/>
                <w:sz w:val="21"/>
                <w:szCs w:val="21"/>
              </w:rPr>
              <w:t>0.16</w:t>
            </w:r>
          </w:p>
        </w:tc>
        <w:tc>
          <w:tcPr>
            <w:tcW w:w="544" w:type="pct"/>
            <w:shd w:val="clear" w:color="auto" w:fill="auto"/>
          </w:tcPr>
          <w:p w14:paraId="08D440B7">
            <w:pPr>
              <w:widowControl/>
              <w:spacing w:line="240" w:lineRule="auto"/>
              <w:ind w:firstLine="0" w:firstLineChars="0"/>
              <w:jc w:val="center"/>
              <w:rPr>
                <w:color w:val="auto"/>
                <w:kern w:val="0"/>
                <w:sz w:val="21"/>
                <w:szCs w:val="21"/>
              </w:rPr>
            </w:pPr>
            <w:r>
              <w:rPr>
                <w:color w:val="auto"/>
                <w:sz w:val="21"/>
                <w:szCs w:val="21"/>
              </w:rPr>
              <w:t>5.19E-04</w:t>
            </w:r>
          </w:p>
        </w:tc>
        <w:tc>
          <w:tcPr>
            <w:tcW w:w="360" w:type="pct"/>
            <w:shd w:val="clear" w:color="auto" w:fill="auto"/>
          </w:tcPr>
          <w:p w14:paraId="51C35D42">
            <w:pPr>
              <w:widowControl/>
              <w:spacing w:line="240" w:lineRule="auto"/>
              <w:ind w:firstLine="0" w:firstLineChars="0"/>
              <w:jc w:val="center"/>
              <w:rPr>
                <w:color w:val="auto"/>
                <w:kern w:val="0"/>
                <w:sz w:val="21"/>
                <w:szCs w:val="21"/>
              </w:rPr>
            </w:pPr>
            <w:r>
              <w:rPr>
                <w:color w:val="auto"/>
                <w:sz w:val="21"/>
                <w:szCs w:val="21"/>
              </w:rPr>
              <w:t>0.26</w:t>
            </w:r>
          </w:p>
        </w:tc>
      </w:tr>
      <w:tr w14:paraId="2A65E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4F6E12D">
            <w:pPr>
              <w:widowControl/>
              <w:spacing w:line="240" w:lineRule="auto"/>
              <w:ind w:firstLine="0" w:firstLineChars="0"/>
              <w:jc w:val="center"/>
              <w:rPr>
                <w:color w:val="auto"/>
                <w:kern w:val="0"/>
                <w:sz w:val="21"/>
                <w:szCs w:val="21"/>
              </w:rPr>
            </w:pPr>
            <w:r>
              <w:rPr>
                <w:color w:val="auto"/>
                <w:sz w:val="21"/>
                <w:szCs w:val="21"/>
              </w:rPr>
              <w:t>525</w:t>
            </w:r>
          </w:p>
        </w:tc>
        <w:tc>
          <w:tcPr>
            <w:tcW w:w="416" w:type="pct"/>
            <w:shd w:val="clear" w:color="auto" w:fill="auto"/>
          </w:tcPr>
          <w:p w14:paraId="2E293C16">
            <w:pPr>
              <w:widowControl/>
              <w:spacing w:line="240" w:lineRule="auto"/>
              <w:ind w:firstLine="0" w:firstLineChars="0"/>
              <w:jc w:val="center"/>
              <w:rPr>
                <w:color w:val="auto"/>
                <w:sz w:val="21"/>
                <w:szCs w:val="21"/>
              </w:rPr>
            </w:pPr>
            <w:r>
              <w:rPr>
                <w:rFonts w:hint="eastAsia"/>
                <w:color w:val="auto"/>
                <w:sz w:val="21"/>
                <w:szCs w:val="21"/>
              </w:rPr>
              <w:t>1.63E-05</w:t>
            </w:r>
          </w:p>
        </w:tc>
        <w:tc>
          <w:tcPr>
            <w:tcW w:w="410" w:type="pct"/>
            <w:shd w:val="clear" w:color="auto" w:fill="auto"/>
          </w:tcPr>
          <w:p w14:paraId="7EF2EF6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8D84E30">
            <w:pPr>
              <w:widowControl/>
              <w:spacing w:line="240" w:lineRule="auto"/>
              <w:ind w:firstLine="0" w:firstLineChars="0"/>
              <w:jc w:val="center"/>
              <w:rPr>
                <w:color w:val="auto"/>
                <w:sz w:val="21"/>
                <w:szCs w:val="21"/>
              </w:rPr>
            </w:pPr>
            <w:r>
              <w:rPr>
                <w:rFonts w:hint="eastAsia"/>
                <w:color w:val="auto"/>
                <w:sz w:val="21"/>
                <w:szCs w:val="21"/>
              </w:rPr>
              <w:t>1.18E-05</w:t>
            </w:r>
          </w:p>
        </w:tc>
        <w:tc>
          <w:tcPr>
            <w:tcW w:w="409" w:type="pct"/>
            <w:shd w:val="clear" w:color="auto" w:fill="auto"/>
          </w:tcPr>
          <w:p w14:paraId="2D3C71C3">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2E51604">
            <w:pPr>
              <w:widowControl/>
              <w:spacing w:line="240" w:lineRule="auto"/>
              <w:ind w:firstLine="0" w:firstLineChars="0"/>
              <w:jc w:val="center"/>
              <w:rPr>
                <w:color w:val="auto"/>
                <w:sz w:val="21"/>
                <w:szCs w:val="21"/>
              </w:rPr>
            </w:pPr>
            <w:r>
              <w:rPr>
                <w:rFonts w:hint="eastAsia"/>
                <w:color w:val="auto"/>
                <w:sz w:val="21"/>
                <w:szCs w:val="21"/>
              </w:rPr>
              <w:t>1.12E-04</w:t>
            </w:r>
          </w:p>
        </w:tc>
        <w:tc>
          <w:tcPr>
            <w:tcW w:w="423" w:type="pct"/>
            <w:shd w:val="clear" w:color="auto" w:fill="auto"/>
          </w:tcPr>
          <w:p w14:paraId="298A5891">
            <w:pPr>
              <w:widowControl/>
              <w:spacing w:line="240" w:lineRule="auto"/>
              <w:ind w:firstLine="0" w:firstLineChars="0"/>
              <w:jc w:val="center"/>
              <w:rPr>
                <w:color w:val="auto"/>
                <w:sz w:val="21"/>
                <w:szCs w:val="21"/>
              </w:rPr>
            </w:pPr>
            <w:r>
              <w:rPr>
                <w:rFonts w:hint="eastAsia"/>
                <w:color w:val="auto"/>
                <w:sz w:val="21"/>
                <w:szCs w:val="21"/>
              </w:rPr>
              <w:t>0.06</w:t>
            </w:r>
          </w:p>
        </w:tc>
        <w:tc>
          <w:tcPr>
            <w:tcW w:w="694" w:type="pct"/>
            <w:shd w:val="clear" w:color="auto" w:fill="auto"/>
          </w:tcPr>
          <w:p w14:paraId="3B748699">
            <w:pPr>
              <w:widowControl/>
              <w:spacing w:line="240" w:lineRule="auto"/>
              <w:ind w:firstLine="0" w:firstLineChars="0"/>
              <w:jc w:val="center"/>
              <w:rPr>
                <w:color w:val="auto"/>
                <w:kern w:val="0"/>
                <w:sz w:val="21"/>
                <w:szCs w:val="21"/>
              </w:rPr>
            </w:pPr>
            <w:r>
              <w:rPr>
                <w:rFonts w:hint="eastAsia"/>
                <w:color w:val="auto"/>
                <w:sz w:val="21"/>
                <w:szCs w:val="21"/>
              </w:rPr>
              <w:t>4.68E-04</w:t>
            </w:r>
          </w:p>
        </w:tc>
        <w:tc>
          <w:tcPr>
            <w:tcW w:w="532" w:type="pct"/>
            <w:shd w:val="clear" w:color="auto" w:fill="auto"/>
          </w:tcPr>
          <w:p w14:paraId="005C76D9">
            <w:pPr>
              <w:widowControl/>
              <w:spacing w:line="240" w:lineRule="auto"/>
              <w:ind w:firstLine="0" w:firstLineChars="0"/>
              <w:jc w:val="center"/>
              <w:rPr>
                <w:color w:val="auto"/>
                <w:kern w:val="0"/>
                <w:sz w:val="21"/>
                <w:szCs w:val="21"/>
              </w:rPr>
            </w:pPr>
            <w:r>
              <w:rPr>
                <w:rFonts w:hint="eastAsia"/>
                <w:color w:val="auto"/>
                <w:sz w:val="21"/>
                <w:szCs w:val="21"/>
              </w:rPr>
              <w:t>0.16</w:t>
            </w:r>
          </w:p>
        </w:tc>
        <w:tc>
          <w:tcPr>
            <w:tcW w:w="544" w:type="pct"/>
            <w:shd w:val="clear" w:color="auto" w:fill="auto"/>
          </w:tcPr>
          <w:p w14:paraId="76481F72">
            <w:pPr>
              <w:widowControl/>
              <w:spacing w:line="240" w:lineRule="auto"/>
              <w:ind w:firstLine="0" w:firstLineChars="0"/>
              <w:jc w:val="center"/>
              <w:rPr>
                <w:color w:val="auto"/>
                <w:kern w:val="0"/>
                <w:sz w:val="21"/>
                <w:szCs w:val="21"/>
              </w:rPr>
            </w:pPr>
            <w:r>
              <w:rPr>
                <w:color w:val="auto"/>
                <w:sz w:val="21"/>
                <w:szCs w:val="21"/>
              </w:rPr>
              <w:t>4.98E-04</w:t>
            </w:r>
          </w:p>
        </w:tc>
        <w:tc>
          <w:tcPr>
            <w:tcW w:w="360" w:type="pct"/>
            <w:shd w:val="clear" w:color="auto" w:fill="auto"/>
          </w:tcPr>
          <w:p w14:paraId="47EB5698">
            <w:pPr>
              <w:widowControl/>
              <w:spacing w:line="240" w:lineRule="auto"/>
              <w:ind w:firstLine="0" w:firstLineChars="0"/>
              <w:jc w:val="center"/>
              <w:rPr>
                <w:color w:val="auto"/>
                <w:kern w:val="0"/>
                <w:sz w:val="21"/>
                <w:szCs w:val="21"/>
              </w:rPr>
            </w:pPr>
            <w:r>
              <w:rPr>
                <w:color w:val="auto"/>
                <w:sz w:val="21"/>
                <w:szCs w:val="21"/>
              </w:rPr>
              <w:t>0.25</w:t>
            </w:r>
          </w:p>
        </w:tc>
      </w:tr>
      <w:tr w14:paraId="7BCF5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2A6830D">
            <w:pPr>
              <w:widowControl/>
              <w:spacing w:line="240" w:lineRule="auto"/>
              <w:ind w:firstLine="0" w:firstLineChars="0"/>
              <w:jc w:val="center"/>
              <w:rPr>
                <w:color w:val="auto"/>
                <w:kern w:val="0"/>
                <w:sz w:val="21"/>
                <w:szCs w:val="21"/>
              </w:rPr>
            </w:pPr>
            <w:r>
              <w:rPr>
                <w:color w:val="auto"/>
                <w:sz w:val="21"/>
                <w:szCs w:val="21"/>
              </w:rPr>
              <w:t>550</w:t>
            </w:r>
          </w:p>
        </w:tc>
        <w:tc>
          <w:tcPr>
            <w:tcW w:w="416" w:type="pct"/>
            <w:shd w:val="clear" w:color="auto" w:fill="auto"/>
          </w:tcPr>
          <w:p w14:paraId="68FE5C37">
            <w:pPr>
              <w:widowControl/>
              <w:spacing w:line="240" w:lineRule="auto"/>
              <w:ind w:firstLine="0" w:firstLineChars="0"/>
              <w:jc w:val="center"/>
              <w:rPr>
                <w:color w:val="auto"/>
                <w:sz w:val="21"/>
                <w:szCs w:val="21"/>
              </w:rPr>
            </w:pPr>
            <w:r>
              <w:rPr>
                <w:rFonts w:hint="eastAsia"/>
                <w:color w:val="auto"/>
                <w:sz w:val="21"/>
                <w:szCs w:val="21"/>
              </w:rPr>
              <w:t>1.57E-05</w:t>
            </w:r>
          </w:p>
        </w:tc>
        <w:tc>
          <w:tcPr>
            <w:tcW w:w="410" w:type="pct"/>
            <w:shd w:val="clear" w:color="auto" w:fill="auto"/>
          </w:tcPr>
          <w:p w14:paraId="0124A9A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68D7FA6">
            <w:pPr>
              <w:widowControl/>
              <w:spacing w:line="240" w:lineRule="auto"/>
              <w:ind w:firstLine="0" w:firstLineChars="0"/>
              <w:jc w:val="center"/>
              <w:rPr>
                <w:color w:val="auto"/>
                <w:sz w:val="21"/>
                <w:szCs w:val="21"/>
              </w:rPr>
            </w:pPr>
            <w:r>
              <w:rPr>
                <w:rFonts w:hint="eastAsia"/>
                <w:color w:val="auto"/>
                <w:sz w:val="21"/>
                <w:szCs w:val="21"/>
              </w:rPr>
              <w:t>1.14E-05</w:t>
            </w:r>
          </w:p>
        </w:tc>
        <w:tc>
          <w:tcPr>
            <w:tcW w:w="409" w:type="pct"/>
            <w:shd w:val="clear" w:color="auto" w:fill="auto"/>
          </w:tcPr>
          <w:p w14:paraId="2D66F98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28020A3">
            <w:pPr>
              <w:widowControl/>
              <w:spacing w:line="240" w:lineRule="auto"/>
              <w:ind w:firstLine="0" w:firstLineChars="0"/>
              <w:jc w:val="center"/>
              <w:rPr>
                <w:color w:val="auto"/>
                <w:sz w:val="21"/>
                <w:szCs w:val="21"/>
              </w:rPr>
            </w:pPr>
            <w:r>
              <w:rPr>
                <w:rFonts w:hint="eastAsia"/>
                <w:color w:val="auto"/>
                <w:sz w:val="21"/>
                <w:szCs w:val="21"/>
              </w:rPr>
              <w:t>1.07E-04</w:t>
            </w:r>
          </w:p>
        </w:tc>
        <w:tc>
          <w:tcPr>
            <w:tcW w:w="423" w:type="pct"/>
            <w:shd w:val="clear" w:color="auto" w:fill="auto"/>
          </w:tcPr>
          <w:p w14:paraId="6870F091">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4FC9E555">
            <w:pPr>
              <w:widowControl/>
              <w:spacing w:line="240" w:lineRule="auto"/>
              <w:ind w:firstLine="0" w:firstLineChars="0"/>
              <w:jc w:val="center"/>
              <w:rPr>
                <w:color w:val="auto"/>
                <w:kern w:val="0"/>
                <w:sz w:val="21"/>
                <w:szCs w:val="21"/>
              </w:rPr>
            </w:pPr>
            <w:r>
              <w:rPr>
                <w:rFonts w:hint="eastAsia"/>
                <w:color w:val="auto"/>
                <w:sz w:val="21"/>
                <w:szCs w:val="21"/>
              </w:rPr>
              <w:t>4.51E-04</w:t>
            </w:r>
          </w:p>
        </w:tc>
        <w:tc>
          <w:tcPr>
            <w:tcW w:w="532" w:type="pct"/>
            <w:shd w:val="clear" w:color="auto" w:fill="auto"/>
          </w:tcPr>
          <w:p w14:paraId="0F6FD4FC">
            <w:pPr>
              <w:widowControl/>
              <w:spacing w:line="240" w:lineRule="auto"/>
              <w:ind w:firstLine="0" w:firstLineChars="0"/>
              <w:jc w:val="center"/>
              <w:rPr>
                <w:color w:val="auto"/>
                <w:kern w:val="0"/>
                <w:sz w:val="21"/>
                <w:szCs w:val="21"/>
              </w:rPr>
            </w:pPr>
            <w:r>
              <w:rPr>
                <w:rFonts w:hint="eastAsia"/>
                <w:color w:val="auto"/>
                <w:sz w:val="21"/>
                <w:szCs w:val="21"/>
              </w:rPr>
              <w:t>0.15</w:t>
            </w:r>
          </w:p>
        </w:tc>
        <w:tc>
          <w:tcPr>
            <w:tcW w:w="544" w:type="pct"/>
            <w:shd w:val="clear" w:color="auto" w:fill="auto"/>
          </w:tcPr>
          <w:p w14:paraId="504A78A0">
            <w:pPr>
              <w:widowControl/>
              <w:spacing w:line="240" w:lineRule="auto"/>
              <w:ind w:firstLine="0" w:firstLineChars="0"/>
              <w:jc w:val="center"/>
              <w:rPr>
                <w:color w:val="auto"/>
                <w:kern w:val="0"/>
                <w:sz w:val="21"/>
                <w:szCs w:val="21"/>
              </w:rPr>
            </w:pPr>
            <w:r>
              <w:rPr>
                <w:color w:val="auto"/>
                <w:sz w:val="21"/>
                <w:szCs w:val="21"/>
              </w:rPr>
              <w:t>4.78E-04</w:t>
            </w:r>
          </w:p>
        </w:tc>
        <w:tc>
          <w:tcPr>
            <w:tcW w:w="360" w:type="pct"/>
            <w:shd w:val="clear" w:color="auto" w:fill="auto"/>
          </w:tcPr>
          <w:p w14:paraId="54026AFD">
            <w:pPr>
              <w:widowControl/>
              <w:spacing w:line="240" w:lineRule="auto"/>
              <w:ind w:firstLine="0" w:firstLineChars="0"/>
              <w:jc w:val="center"/>
              <w:rPr>
                <w:color w:val="auto"/>
                <w:kern w:val="0"/>
                <w:sz w:val="21"/>
                <w:szCs w:val="21"/>
              </w:rPr>
            </w:pPr>
            <w:r>
              <w:rPr>
                <w:color w:val="auto"/>
                <w:sz w:val="21"/>
                <w:szCs w:val="21"/>
              </w:rPr>
              <w:t>0.24</w:t>
            </w:r>
          </w:p>
        </w:tc>
      </w:tr>
      <w:tr w14:paraId="772F9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C264C3A">
            <w:pPr>
              <w:widowControl/>
              <w:spacing w:line="240" w:lineRule="auto"/>
              <w:ind w:firstLine="0" w:firstLineChars="0"/>
              <w:jc w:val="center"/>
              <w:rPr>
                <w:color w:val="auto"/>
                <w:kern w:val="0"/>
                <w:sz w:val="21"/>
                <w:szCs w:val="21"/>
              </w:rPr>
            </w:pPr>
            <w:r>
              <w:rPr>
                <w:color w:val="auto"/>
                <w:sz w:val="21"/>
                <w:szCs w:val="21"/>
              </w:rPr>
              <w:t>575</w:t>
            </w:r>
          </w:p>
        </w:tc>
        <w:tc>
          <w:tcPr>
            <w:tcW w:w="416" w:type="pct"/>
            <w:shd w:val="clear" w:color="auto" w:fill="auto"/>
          </w:tcPr>
          <w:p w14:paraId="44473CCA">
            <w:pPr>
              <w:widowControl/>
              <w:spacing w:line="240" w:lineRule="auto"/>
              <w:ind w:firstLine="0" w:firstLineChars="0"/>
              <w:jc w:val="center"/>
              <w:rPr>
                <w:color w:val="auto"/>
                <w:sz w:val="21"/>
                <w:szCs w:val="21"/>
              </w:rPr>
            </w:pPr>
            <w:r>
              <w:rPr>
                <w:rFonts w:hint="eastAsia"/>
                <w:color w:val="auto"/>
                <w:sz w:val="21"/>
                <w:szCs w:val="21"/>
              </w:rPr>
              <w:t>1.50E-05</w:t>
            </w:r>
          </w:p>
        </w:tc>
        <w:tc>
          <w:tcPr>
            <w:tcW w:w="410" w:type="pct"/>
            <w:shd w:val="clear" w:color="auto" w:fill="auto"/>
          </w:tcPr>
          <w:p w14:paraId="7BF3E48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693E6E3">
            <w:pPr>
              <w:widowControl/>
              <w:spacing w:line="240" w:lineRule="auto"/>
              <w:ind w:firstLine="0" w:firstLineChars="0"/>
              <w:jc w:val="center"/>
              <w:rPr>
                <w:color w:val="auto"/>
                <w:sz w:val="21"/>
                <w:szCs w:val="21"/>
              </w:rPr>
            </w:pPr>
            <w:r>
              <w:rPr>
                <w:rFonts w:hint="eastAsia"/>
                <w:color w:val="auto"/>
                <w:sz w:val="21"/>
                <w:szCs w:val="21"/>
              </w:rPr>
              <w:t>1.09E-05</w:t>
            </w:r>
          </w:p>
        </w:tc>
        <w:tc>
          <w:tcPr>
            <w:tcW w:w="409" w:type="pct"/>
            <w:shd w:val="clear" w:color="auto" w:fill="auto"/>
          </w:tcPr>
          <w:p w14:paraId="030D817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82B598A">
            <w:pPr>
              <w:widowControl/>
              <w:spacing w:line="240" w:lineRule="auto"/>
              <w:ind w:firstLine="0" w:firstLineChars="0"/>
              <w:jc w:val="center"/>
              <w:rPr>
                <w:color w:val="auto"/>
                <w:sz w:val="21"/>
                <w:szCs w:val="21"/>
              </w:rPr>
            </w:pPr>
            <w:r>
              <w:rPr>
                <w:rFonts w:hint="eastAsia"/>
                <w:color w:val="auto"/>
                <w:sz w:val="21"/>
                <w:szCs w:val="21"/>
              </w:rPr>
              <w:t>1.03E-04</w:t>
            </w:r>
          </w:p>
        </w:tc>
        <w:tc>
          <w:tcPr>
            <w:tcW w:w="423" w:type="pct"/>
            <w:shd w:val="clear" w:color="auto" w:fill="auto"/>
          </w:tcPr>
          <w:p w14:paraId="7216D148">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7067B94E">
            <w:pPr>
              <w:widowControl/>
              <w:spacing w:line="240" w:lineRule="auto"/>
              <w:ind w:firstLine="0" w:firstLineChars="0"/>
              <w:jc w:val="center"/>
              <w:rPr>
                <w:color w:val="auto"/>
                <w:kern w:val="0"/>
                <w:sz w:val="21"/>
                <w:szCs w:val="21"/>
              </w:rPr>
            </w:pPr>
            <w:r>
              <w:rPr>
                <w:rFonts w:hint="eastAsia"/>
                <w:color w:val="auto"/>
                <w:sz w:val="21"/>
                <w:szCs w:val="21"/>
              </w:rPr>
              <w:t>4.34E-04</w:t>
            </w:r>
          </w:p>
        </w:tc>
        <w:tc>
          <w:tcPr>
            <w:tcW w:w="532" w:type="pct"/>
            <w:shd w:val="clear" w:color="auto" w:fill="auto"/>
          </w:tcPr>
          <w:p w14:paraId="563CD2CE">
            <w:pPr>
              <w:widowControl/>
              <w:spacing w:line="240" w:lineRule="auto"/>
              <w:ind w:firstLine="0" w:firstLineChars="0"/>
              <w:jc w:val="center"/>
              <w:rPr>
                <w:color w:val="auto"/>
                <w:kern w:val="0"/>
                <w:sz w:val="21"/>
                <w:szCs w:val="21"/>
              </w:rPr>
            </w:pPr>
            <w:r>
              <w:rPr>
                <w:rFonts w:hint="eastAsia"/>
                <w:color w:val="auto"/>
                <w:sz w:val="21"/>
                <w:szCs w:val="21"/>
              </w:rPr>
              <w:t>0.14</w:t>
            </w:r>
          </w:p>
        </w:tc>
        <w:tc>
          <w:tcPr>
            <w:tcW w:w="544" w:type="pct"/>
            <w:shd w:val="clear" w:color="auto" w:fill="auto"/>
          </w:tcPr>
          <w:p w14:paraId="76701135">
            <w:pPr>
              <w:widowControl/>
              <w:spacing w:line="240" w:lineRule="auto"/>
              <w:ind w:firstLine="0" w:firstLineChars="0"/>
              <w:jc w:val="center"/>
              <w:rPr>
                <w:color w:val="auto"/>
                <w:kern w:val="0"/>
                <w:sz w:val="21"/>
                <w:szCs w:val="21"/>
              </w:rPr>
            </w:pPr>
            <w:r>
              <w:rPr>
                <w:color w:val="auto"/>
                <w:sz w:val="21"/>
                <w:szCs w:val="21"/>
              </w:rPr>
              <w:t>4.58E-04</w:t>
            </w:r>
          </w:p>
        </w:tc>
        <w:tc>
          <w:tcPr>
            <w:tcW w:w="360" w:type="pct"/>
            <w:shd w:val="clear" w:color="auto" w:fill="auto"/>
          </w:tcPr>
          <w:p w14:paraId="44511F6E">
            <w:pPr>
              <w:widowControl/>
              <w:spacing w:line="240" w:lineRule="auto"/>
              <w:ind w:firstLine="0" w:firstLineChars="0"/>
              <w:jc w:val="center"/>
              <w:rPr>
                <w:color w:val="auto"/>
                <w:kern w:val="0"/>
                <w:sz w:val="21"/>
                <w:szCs w:val="21"/>
              </w:rPr>
            </w:pPr>
            <w:r>
              <w:rPr>
                <w:color w:val="auto"/>
                <w:sz w:val="21"/>
                <w:szCs w:val="21"/>
              </w:rPr>
              <w:t>0.23</w:t>
            </w:r>
          </w:p>
        </w:tc>
      </w:tr>
      <w:tr w14:paraId="56CF0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8E03850">
            <w:pPr>
              <w:widowControl/>
              <w:spacing w:line="240" w:lineRule="auto"/>
              <w:ind w:firstLine="0" w:firstLineChars="0"/>
              <w:jc w:val="center"/>
              <w:rPr>
                <w:color w:val="auto"/>
                <w:kern w:val="0"/>
                <w:sz w:val="21"/>
                <w:szCs w:val="21"/>
              </w:rPr>
            </w:pPr>
            <w:r>
              <w:rPr>
                <w:color w:val="auto"/>
                <w:sz w:val="21"/>
                <w:szCs w:val="21"/>
              </w:rPr>
              <w:t>600</w:t>
            </w:r>
          </w:p>
        </w:tc>
        <w:tc>
          <w:tcPr>
            <w:tcW w:w="416" w:type="pct"/>
            <w:shd w:val="clear" w:color="auto" w:fill="auto"/>
          </w:tcPr>
          <w:p w14:paraId="4CDD4EAC">
            <w:pPr>
              <w:widowControl/>
              <w:spacing w:line="240" w:lineRule="auto"/>
              <w:ind w:firstLine="0" w:firstLineChars="0"/>
              <w:jc w:val="center"/>
              <w:rPr>
                <w:color w:val="auto"/>
                <w:sz w:val="21"/>
                <w:szCs w:val="21"/>
              </w:rPr>
            </w:pPr>
            <w:r>
              <w:rPr>
                <w:rFonts w:hint="eastAsia"/>
                <w:color w:val="auto"/>
                <w:sz w:val="21"/>
                <w:szCs w:val="21"/>
              </w:rPr>
              <w:t>1.44E-05</w:t>
            </w:r>
          </w:p>
        </w:tc>
        <w:tc>
          <w:tcPr>
            <w:tcW w:w="410" w:type="pct"/>
            <w:shd w:val="clear" w:color="auto" w:fill="auto"/>
          </w:tcPr>
          <w:p w14:paraId="611FEED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11A2CC2">
            <w:pPr>
              <w:widowControl/>
              <w:spacing w:line="240" w:lineRule="auto"/>
              <w:ind w:firstLine="0" w:firstLineChars="0"/>
              <w:jc w:val="center"/>
              <w:rPr>
                <w:color w:val="auto"/>
                <w:sz w:val="21"/>
                <w:szCs w:val="21"/>
              </w:rPr>
            </w:pPr>
            <w:r>
              <w:rPr>
                <w:rFonts w:hint="eastAsia"/>
                <w:color w:val="auto"/>
                <w:sz w:val="21"/>
                <w:szCs w:val="21"/>
              </w:rPr>
              <w:t>1.04E-05</w:t>
            </w:r>
          </w:p>
        </w:tc>
        <w:tc>
          <w:tcPr>
            <w:tcW w:w="409" w:type="pct"/>
            <w:shd w:val="clear" w:color="auto" w:fill="auto"/>
          </w:tcPr>
          <w:p w14:paraId="0433DDF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4D78EF2">
            <w:pPr>
              <w:widowControl/>
              <w:spacing w:line="240" w:lineRule="auto"/>
              <w:ind w:firstLine="0" w:firstLineChars="0"/>
              <w:jc w:val="center"/>
              <w:rPr>
                <w:color w:val="auto"/>
                <w:sz w:val="21"/>
                <w:szCs w:val="21"/>
              </w:rPr>
            </w:pPr>
            <w:r>
              <w:rPr>
                <w:rFonts w:hint="eastAsia"/>
                <w:color w:val="auto"/>
                <w:sz w:val="21"/>
                <w:szCs w:val="21"/>
              </w:rPr>
              <w:t>9.88E-05</w:t>
            </w:r>
          </w:p>
        </w:tc>
        <w:tc>
          <w:tcPr>
            <w:tcW w:w="423" w:type="pct"/>
            <w:shd w:val="clear" w:color="auto" w:fill="auto"/>
          </w:tcPr>
          <w:p w14:paraId="6C93AC8F">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784FD133">
            <w:pPr>
              <w:widowControl/>
              <w:spacing w:line="240" w:lineRule="auto"/>
              <w:ind w:firstLine="0" w:firstLineChars="0"/>
              <w:jc w:val="center"/>
              <w:rPr>
                <w:color w:val="auto"/>
                <w:kern w:val="0"/>
                <w:sz w:val="21"/>
                <w:szCs w:val="21"/>
              </w:rPr>
            </w:pPr>
            <w:r>
              <w:rPr>
                <w:rFonts w:hint="eastAsia"/>
                <w:color w:val="auto"/>
                <w:sz w:val="21"/>
                <w:szCs w:val="21"/>
              </w:rPr>
              <w:t>4.19E-04</w:t>
            </w:r>
          </w:p>
        </w:tc>
        <w:tc>
          <w:tcPr>
            <w:tcW w:w="532" w:type="pct"/>
            <w:shd w:val="clear" w:color="auto" w:fill="auto"/>
          </w:tcPr>
          <w:p w14:paraId="2919770F">
            <w:pPr>
              <w:widowControl/>
              <w:spacing w:line="240" w:lineRule="auto"/>
              <w:ind w:firstLine="0" w:firstLineChars="0"/>
              <w:jc w:val="center"/>
              <w:rPr>
                <w:color w:val="auto"/>
                <w:kern w:val="0"/>
                <w:sz w:val="21"/>
                <w:szCs w:val="21"/>
              </w:rPr>
            </w:pPr>
            <w:r>
              <w:rPr>
                <w:rFonts w:hint="eastAsia"/>
                <w:color w:val="auto"/>
                <w:sz w:val="21"/>
                <w:szCs w:val="21"/>
              </w:rPr>
              <w:t>0.14</w:t>
            </w:r>
          </w:p>
        </w:tc>
        <w:tc>
          <w:tcPr>
            <w:tcW w:w="544" w:type="pct"/>
            <w:shd w:val="clear" w:color="auto" w:fill="auto"/>
          </w:tcPr>
          <w:p w14:paraId="50F932B8">
            <w:pPr>
              <w:widowControl/>
              <w:spacing w:line="240" w:lineRule="auto"/>
              <w:ind w:firstLine="0" w:firstLineChars="0"/>
              <w:jc w:val="center"/>
              <w:rPr>
                <w:color w:val="auto"/>
                <w:kern w:val="0"/>
                <w:sz w:val="21"/>
                <w:szCs w:val="21"/>
              </w:rPr>
            </w:pPr>
            <w:r>
              <w:rPr>
                <w:color w:val="auto"/>
                <w:sz w:val="21"/>
                <w:szCs w:val="21"/>
              </w:rPr>
              <w:t>4.39E-04</w:t>
            </w:r>
          </w:p>
        </w:tc>
        <w:tc>
          <w:tcPr>
            <w:tcW w:w="360" w:type="pct"/>
            <w:shd w:val="clear" w:color="auto" w:fill="auto"/>
          </w:tcPr>
          <w:p w14:paraId="031BA67F">
            <w:pPr>
              <w:widowControl/>
              <w:spacing w:line="240" w:lineRule="auto"/>
              <w:ind w:firstLine="0" w:firstLineChars="0"/>
              <w:jc w:val="center"/>
              <w:rPr>
                <w:color w:val="auto"/>
                <w:kern w:val="0"/>
                <w:sz w:val="21"/>
                <w:szCs w:val="21"/>
              </w:rPr>
            </w:pPr>
            <w:r>
              <w:rPr>
                <w:color w:val="auto"/>
                <w:sz w:val="21"/>
                <w:szCs w:val="21"/>
              </w:rPr>
              <w:t>0.22</w:t>
            </w:r>
          </w:p>
        </w:tc>
      </w:tr>
      <w:tr w14:paraId="37886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0575635">
            <w:pPr>
              <w:widowControl/>
              <w:spacing w:line="240" w:lineRule="auto"/>
              <w:ind w:firstLine="0" w:firstLineChars="0"/>
              <w:jc w:val="center"/>
              <w:rPr>
                <w:color w:val="auto"/>
                <w:kern w:val="0"/>
                <w:sz w:val="21"/>
                <w:szCs w:val="21"/>
              </w:rPr>
            </w:pPr>
            <w:r>
              <w:rPr>
                <w:color w:val="auto"/>
                <w:sz w:val="21"/>
                <w:szCs w:val="21"/>
              </w:rPr>
              <w:t>625</w:t>
            </w:r>
          </w:p>
        </w:tc>
        <w:tc>
          <w:tcPr>
            <w:tcW w:w="416" w:type="pct"/>
            <w:shd w:val="clear" w:color="auto" w:fill="auto"/>
          </w:tcPr>
          <w:p w14:paraId="119316CF">
            <w:pPr>
              <w:widowControl/>
              <w:spacing w:line="240" w:lineRule="auto"/>
              <w:ind w:firstLine="0" w:firstLineChars="0"/>
              <w:jc w:val="center"/>
              <w:rPr>
                <w:color w:val="auto"/>
                <w:sz w:val="21"/>
                <w:szCs w:val="21"/>
              </w:rPr>
            </w:pPr>
            <w:r>
              <w:rPr>
                <w:rFonts w:hint="eastAsia"/>
                <w:color w:val="auto"/>
                <w:sz w:val="21"/>
                <w:szCs w:val="21"/>
              </w:rPr>
              <w:t>1.38E-05</w:t>
            </w:r>
          </w:p>
        </w:tc>
        <w:tc>
          <w:tcPr>
            <w:tcW w:w="410" w:type="pct"/>
            <w:shd w:val="clear" w:color="auto" w:fill="auto"/>
          </w:tcPr>
          <w:p w14:paraId="52DEB7B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53B1AB5">
            <w:pPr>
              <w:widowControl/>
              <w:spacing w:line="240" w:lineRule="auto"/>
              <w:ind w:firstLine="0" w:firstLineChars="0"/>
              <w:jc w:val="center"/>
              <w:rPr>
                <w:color w:val="auto"/>
                <w:sz w:val="21"/>
                <w:szCs w:val="21"/>
              </w:rPr>
            </w:pPr>
            <w:r>
              <w:rPr>
                <w:rFonts w:hint="eastAsia"/>
                <w:color w:val="auto"/>
                <w:sz w:val="21"/>
                <w:szCs w:val="21"/>
              </w:rPr>
              <w:t>1.00E-05</w:t>
            </w:r>
          </w:p>
        </w:tc>
        <w:tc>
          <w:tcPr>
            <w:tcW w:w="409" w:type="pct"/>
            <w:shd w:val="clear" w:color="auto" w:fill="auto"/>
          </w:tcPr>
          <w:p w14:paraId="077C7E2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E0157D1">
            <w:pPr>
              <w:widowControl/>
              <w:spacing w:line="240" w:lineRule="auto"/>
              <w:ind w:firstLine="0" w:firstLineChars="0"/>
              <w:jc w:val="center"/>
              <w:rPr>
                <w:color w:val="auto"/>
                <w:sz w:val="21"/>
                <w:szCs w:val="21"/>
              </w:rPr>
            </w:pPr>
            <w:r>
              <w:rPr>
                <w:rFonts w:hint="eastAsia"/>
                <w:color w:val="auto"/>
                <w:sz w:val="21"/>
                <w:szCs w:val="21"/>
              </w:rPr>
              <w:t>9.47E-05</w:t>
            </w:r>
          </w:p>
        </w:tc>
        <w:tc>
          <w:tcPr>
            <w:tcW w:w="423" w:type="pct"/>
            <w:shd w:val="clear" w:color="auto" w:fill="auto"/>
          </w:tcPr>
          <w:p w14:paraId="2492D41B">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2FDFC7DB">
            <w:pPr>
              <w:widowControl/>
              <w:spacing w:line="240" w:lineRule="auto"/>
              <w:ind w:firstLine="0" w:firstLineChars="0"/>
              <w:jc w:val="center"/>
              <w:rPr>
                <w:color w:val="auto"/>
                <w:kern w:val="0"/>
                <w:sz w:val="21"/>
                <w:szCs w:val="21"/>
              </w:rPr>
            </w:pPr>
            <w:r>
              <w:rPr>
                <w:rFonts w:hint="eastAsia"/>
                <w:color w:val="auto"/>
                <w:sz w:val="21"/>
                <w:szCs w:val="21"/>
              </w:rPr>
              <w:t>4.06E-04</w:t>
            </w:r>
          </w:p>
        </w:tc>
        <w:tc>
          <w:tcPr>
            <w:tcW w:w="532" w:type="pct"/>
            <w:shd w:val="clear" w:color="auto" w:fill="auto"/>
          </w:tcPr>
          <w:p w14:paraId="3702F14E">
            <w:pPr>
              <w:widowControl/>
              <w:spacing w:line="240" w:lineRule="auto"/>
              <w:ind w:firstLine="0" w:firstLineChars="0"/>
              <w:jc w:val="center"/>
              <w:rPr>
                <w:color w:val="auto"/>
                <w:kern w:val="0"/>
                <w:sz w:val="21"/>
                <w:szCs w:val="21"/>
              </w:rPr>
            </w:pPr>
            <w:r>
              <w:rPr>
                <w:rFonts w:hint="eastAsia"/>
                <w:color w:val="auto"/>
                <w:sz w:val="21"/>
                <w:szCs w:val="21"/>
              </w:rPr>
              <w:t>0.14</w:t>
            </w:r>
          </w:p>
        </w:tc>
        <w:tc>
          <w:tcPr>
            <w:tcW w:w="544" w:type="pct"/>
            <w:shd w:val="clear" w:color="auto" w:fill="auto"/>
          </w:tcPr>
          <w:p w14:paraId="06F00186">
            <w:pPr>
              <w:widowControl/>
              <w:spacing w:line="240" w:lineRule="auto"/>
              <w:ind w:firstLine="0" w:firstLineChars="0"/>
              <w:jc w:val="center"/>
              <w:rPr>
                <w:color w:val="auto"/>
                <w:kern w:val="0"/>
                <w:sz w:val="21"/>
                <w:szCs w:val="21"/>
              </w:rPr>
            </w:pPr>
            <w:r>
              <w:rPr>
                <w:color w:val="auto"/>
                <w:sz w:val="21"/>
                <w:szCs w:val="21"/>
              </w:rPr>
              <w:t>4.21E-04</w:t>
            </w:r>
          </w:p>
        </w:tc>
        <w:tc>
          <w:tcPr>
            <w:tcW w:w="360" w:type="pct"/>
            <w:shd w:val="clear" w:color="auto" w:fill="auto"/>
          </w:tcPr>
          <w:p w14:paraId="40773065">
            <w:pPr>
              <w:widowControl/>
              <w:spacing w:line="240" w:lineRule="auto"/>
              <w:ind w:firstLine="0" w:firstLineChars="0"/>
              <w:jc w:val="center"/>
              <w:rPr>
                <w:color w:val="auto"/>
                <w:kern w:val="0"/>
                <w:sz w:val="21"/>
                <w:szCs w:val="21"/>
              </w:rPr>
            </w:pPr>
            <w:r>
              <w:rPr>
                <w:color w:val="auto"/>
                <w:sz w:val="21"/>
                <w:szCs w:val="21"/>
              </w:rPr>
              <w:t>0.21</w:t>
            </w:r>
          </w:p>
        </w:tc>
      </w:tr>
      <w:tr w14:paraId="610E5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07E94CE2">
            <w:pPr>
              <w:widowControl/>
              <w:spacing w:line="240" w:lineRule="auto"/>
              <w:ind w:firstLine="0" w:firstLineChars="0"/>
              <w:jc w:val="center"/>
              <w:rPr>
                <w:color w:val="auto"/>
                <w:kern w:val="0"/>
                <w:sz w:val="21"/>
                <w:szCs w:val="21"/>
              </w:rPr>
            </w:pPr>
            <w:r>
              <w:rPr>
                <w:color w:val="auto"/>
                <w:sz w:val="21"/>
                <w:szCs w:val="21"/>
              </w:rPr>
              <w:t>650</w:t>
            </w:r>
          </w:p>
        </w:tc>
        <w:tc>
          <w:tcPr>
            <w:tcW w:w="416" w:type="pct"/>
            <w:shd w:val="clear" w:color="auto" w:fill="auto"/>
          </w:tcPr>
          <w:p w14:paraId="1C3733CD">
            <w:pPr>
              <w:widowControl/>
              <w:spacing w:line="240" w:lineRule="auto"/>
              <w:ind w:firstLine="0" w:firstLineChars="0"/>
              <w:jc w:val="center"/>
              <w:rPr>
                <w:color w:val="auto"/>
                <w:sz w:val="21"/>
                <w:szCs w:val="21"/>
              </w:rPr>
            </w:pPr>
            <w:r>
              <w:rPr>
                <w:rFonts w:hint="eastAsia"/>
                <w:color w:val="auto"/>
                <w:sz w:val="21"/>
                <w:szCs w:val="21"/>
              </w:rPr>
              <w:t>1.32E-05</w:t>
            </w:r>
          </w:p>
        </w:tc>
        <w:tc>
          <w:tcPr>
            <w:tcW w:w="410" w:type="pct"/>
            <w:shd w:val="clear" w:color="auto" w:fill="auto"/>
          </w:tcPr>
          <w:p w14:paraId="0CCAEDB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00DEF00">
            <w:pPr>
              <w:widowControl/>
              <w:spacing w:line="240" w:lineRule="auto"/>
              <w:ind w:firstLine="0" w:firstLineChars="0"/>
              <w:jc w:val="center"/>
              <w:rPr>
                <w:color w:val="auto"/>
                <w:sz w:val="21"/>
                <w:szCs w:val="21"/>
              </w:rPr>
            </w:pPr>
            <w:r>
              <w:rPr>
                <w:rFonts w:hint="eastAsia"/>
                <w:color w:val="auto"/>
                <w:sz w:val="21"/>
                <w:szCs w:val="21"/>
              </w:rPr>
              <w:t>9.60E-06</w:t>
            </w:r>
          </w:p>
        </w:tc>
        <w:tc>
          <w:tcPr>
            <w:tcW w:w="409" w:type="pct"/>
            <w:shd w:val="clear" w:color="auto" w:fill="auto"/>
          </w:tcPr>
          <w:p w14:paraId="1196C053">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F5CE427">
            <w:pPr>
              <w:widowControl/>
              <w:spacing w:line="240" w:lineRule="auto"/>
              <w:ind w:firstLine="0" w:firstLineChars="0"/>
              <w:jc w:val="center"/>
              <w:rPr>
                <w:color w:val="auto"/>
                <w:sz w:val="21"/>
                <w:szCs w:val="21"/>
              </w:rPr>
            </w:pPr>
            <w:r>
              <w:rPr>
                <w:rFonts w:hint="eastAsia"/>
                <w:color w:val="auto"/>
                <w:sz w:val="21"/>
                <w:szCs w:val="21"/>
              </w:rPr>
              <w:t>9.08E-05</w:t>
            </w:r>
          </w:p>
        </w:tc>
        <w:tc>
          <w:tcPr>
            <w:tcW w:w="423" w:type="pct"/>
            <w:shd w:val="clear" w:color="auto" w:fill="auto"/>
          </w:tcPr>
          <w:p w14:paraId="09A98842">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47DD0885">
            <w:pPr>
              <w:widowControl/>
              <w:spacing w:line="240" w:lineRule="auto"/>
              <w:ind w:firstLine="0" w:firstLineChars="0"/>
              <w:jc w:val="center"/>
              <w:rPr>
                <w:color w:val="auto"/>
                <w:kern w:val="0"/>
                <w:sz w:val="21"/>
                <w:szCs w:val="21"/>
              </w:rPr>
            </w:pPr>
            <w:r>
              <w:rPr>
                <w:rFonts w:hint="eastAsia"/>
                <w:color w:val="auto"/>
                <w:sz w:val="21"/>
                <w:szCs w:val="21"/>
              </w:rPr>
              <w:t>3.94E-04</w:t>
            </w:r>
          </w:p>
        </w:tc>
        <w:tc>
          <w:tcPr>
            <w:tcW w:w="532" w:type="pct"/>
            <w:shd w:val="clear" w:color="auto" w:fill="auto"/>
          </w:tcPr>
          <w:p w14:paraId="059CA72B">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65C5CFB8">
            <w:pPr>
              <w:widowControl/>
              <w:spacing w:line="240" w:lineRule="auto"/>
              <w:ind w:firstLine="0" w:firstLineChars="0"/>
              <w:jc w:val="center"/>
              <w:rPr>
                <w:color w:val="auto"/>
                <w:kern w:val="0"/>
                <w:sz w:val="21"/>
                <w:szCs w:val="21"/>
              </w:rPr>
            </w:pPr>
            <w:r>
              <w:rPr>
                <w:color w:val="auto"/>
                <w:sz w:val="21"/>
                <w:szCs w:val="21"/>
              </w:rPr>
              <w:t>4.04E-04</w:t>
            </w:r>
          </w:p>
        </w:tc>
        <w:tc>
          <w:tcPr>
            <w:tcW w:w="360" w:type="pct"/>
            <w:shd w:val="clear" w:color="auto" w:fill="auto"/>
          </w:tcPr>
          <w:p w14:paraId="70BEC166">
            <w:pPr>
              <w:widowControl/>
              <w:spacing w:line="240" w:lineRule="auto"/>
              <w:ind w:firstLine="0" w:firstLineChars="0"/>
              <w:jc w:val="center"/>
              <w:rPr>
                <w:color w:val="auto"/>
                <w:kern w:val="0"/>
                <w:sz w:val="21"/>
                <w:szCs w:val="21"/>
              </w:rPr>
            </w:pPr>
            <w:r>
              <w:rPr>
                <w:color w:val="auto"/>
                <w:sz w:val="21"/>
                <w:szCs w:val="21"/>
              </w:rPr>
              <w:t>0.20</w:t>
            </w:r>
          </w:p>
        </w:tc>
      </w:tr>
      <w:tr w14:paraId="38A15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DBB4312">
            <w:pPr>
              <w:widowControl/>
              <w:spacing w:line="240" w:lineRule="auto"/>
              <w:ind w:firstLine="0" w:firstLineChars="0"/>
              <w:jc w:val="center"/>
              <w:rPr>
                <w:color w:val="auto"/>
                <w:kern w:val="0"/>
                <w:sz w:val="21"/>
                <w:szCs w:val="21"/>
              </w:rPr>
            </w:pPr>
            <w:r>
              <w:rPr>
                <w:color w:val="auto"/>
                <w:sz w:val="21"/>
                <w:szCs w:val="21"/>
              </w:rPr>
              <w:t>675</w:t>
            </w:r>
          </w:p>
        </w:tc>
        <w:tc>
          <w:tcPr>
            <w:tcW w:w="416" w:type="pct"/>
            <w:shd w:val="clear" w:color="auto" w:fill="auto"/>
          </w:tcPr>
          <w:p w14:paraId="14090D44">
            <w:pPr>
              <w:widowControl/>
              <w:spacing w:line="240" w:lineRule="auto"/>
              <w:ind w:firstLine="0" w:firstLineChars="0"/>
              <w:jc w:val="center"/>
              <w:rPr>
                <w:color w:val="auto"/>
                <w:sz w:val="21"/>
                <w:szCs w:val="21"/>
              </w:rPr>
            </w:pPr>
            <w:r>
              <w:rPr>
                <w:rFonts w:hint="eastAsia"/>
                <w:color w:val="auto"/>
                <w:sz w:val="21"/>
                <w:szCs w:val="21"/>
              </w:rPr>
              <w:t>1.27E-05</w:t>
            </w:r>
          </w:p>
        </w:tc>
        <w:tc>
          <w:tcPr>
            <w:tcW w:w="410" w:type="pct"/>
            <w:shd w:val="clear" w:color="auto" w:fill="auto"/>
          </w:tcPr>
          <w:p w14:paraId="3A4EA9C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6D3A9A7">
            <w:pPr>
              <w:widowControl/>
              <w:spacing w:line="240" w:lineRule="auto"/>
              <w:ind w:firstLine="0" w:firstLineChars="0"/>
              <w:jc w:val="center"/>
              <w:rPr>
                <w:color w:val="auto"/>
                <w:sz w:val="21"/>
                <w:szCs w:val="21"/>
              </w:rPr>
            </w:pPr>
            <w:r>
              <w:rPr>
                <w:rFonts w:hint="eastAsia"/>
                <w:color w:val="auto"/>
                <w:sz w:val="21"/>
                <w:szCs w:val="21"/>
              </w:rPr>
              <w:t>9.21E-06</w:t>
            </w:r>
          </w:p>
        </w:tc>
        <w:tc>
          <w:tcPr>
            <w:tcW w:w="409" w:type="pct"/>
            <w:shd w:val="clear" w:color="auto" w:fill="auto"/>
          </w:tcPr>
          <w:p w14:paraId="312069A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380DFA3">
            <w:pPr>
              <w:widowControl/>
              <w:spacing w:line="240" w:lineRule="auto"/>
              <w:ind w:firstLine="0" w:firstLineChars="0"/>
              <w:jc w:val="center"/>
              <w:rPr>
                <w:color w:val="auto"/>
                <w:sz w:val="21"/>
                <w:szCs w:val="21"/>
              </w:rPr>
            </w:pPr>
            <w:r>
              <w:rPr>
                <w:rFonts w:hint="eastAsia"/>
                <w:color w:val="auto"/>
                <w:sz w:val="21"/>
                <w:szCs w:val="21"/>
              </w:rPr>
              <w:t>8.71E-05</w:t>
            </w:r>
          </w:p>
        </w:tc>
        <w:tc>
          <w:tcPr>
            <w:tcW w:w="423" w:type="pct"/>
            <w:shd w:val="clear" w:color="auto" w:fill="auto"/>
          </w:tcPr>
          <w:p w14:paraId="4210591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83792C4">
            <w:pPr>
              <w:widowControl/>
              <w:spacing w:line="240" w:lineRule="auto"/>
              <w:ind w:firstLine="0" w:firstLineChars="0"/>
              <w:jc w:val="center"/>
              <w:rPr>
                <w:color w:val="auto"/>
                <w:kern w:val="0"/>
                <w:sz w:val="21"/>
                <w:szCs w:val="21"/>
              </w:rPr>
            </w:pPr>
            <w:r>
              <w:rPr>
                <w:rFonts w:hint="eastAsia"/>
                <w:color w:val="auto"/>
                <w:sz w:val="21"/>
                <w:szCs w:val="21"/>
              </w:rPr>
              <w:t>3.81E-04</w:t>
            </w:r>
          </w:p>
        </w:tc>
        <w:tc>
          <w:tcPr>
            <w:tcW w:w="532" w:type="pct"/>
            <w:shd w:val="clear" w:color="auto" w:fill="auto"/>
          </w:tcPr>
          <w:p w14:paraId="57062BE3">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22CE96A2">
            <w:pPr>
              <w:widowControl/>
              <w:spacing w:line="240" w:lineRule="auto"/>
              <w:ind w:firstLine="0" w:firstLineChars="0"/>
              <w:jc w:val="center"/>
              <w:rPr>
                <w:color w:val="auto"/>
                <w:kern w:val="0"/>
                <w:sz w:val="21"/>
                <w:szCs w:val="21"/>
              </w:rPr>
            </w:pPr>
            <w:r>
              <w:rPr>
                <w:color w:val="auto"/>
                <w:sz w:val="21"/>
                <w:szCs w:val="21"/>
              </w:rPr>
              <w:t>3.87E-04</w:t>
            </w:r>
          </w:p>
        </w:tc>
        <w:tc>
          <w:tcPr>
            <w:tcW w:w="360" w:type="pct"/>
            <w:shd w:val="clear" w:color="auto" w:fill="auto"/>
          </w:tcPr>
          <w:p w14:paraId="6A757F4B">
            <w:pPr>
              <w:widowControl/>
              <w:spacing w:line="240" w:lineRule="auto"/>
              <w:ind w:firstLine="0" w:firstLineChars="0"/>
              <w:jc w:val="center"/>
              <w:rPr>
                <w:color w:val="auto"/>
                <w:kern w:val="0"/>
                <w:sz w:val="21"/>
                <w:szCs w:val="21"/>
              </w:rPr>
            </w:pPr>
            <w:r>
              <w:rPr>
                <w:color w:val="auto"/>
                <w:sz w:val="21"/>
                <w:szCs w:val="21"/>
              </w:rPr>
              <w:t>0.19</w:t>
            </w:r>
          </w:p>
        </w:tc>
      </w:tr>
      <w:tr w14:paraId="66CCB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02682A9">
            <w:pPr>
              <w:widowControl/>
              <w:spacing w:line="240" w:lineRule="auto"/>
              <w:ind w:firstLine="0" w:firstLineChars="0"/>
              <w:jc w:val="center"/>
              <w:rPr>
                <w:color w:val="auto"/>
                <w:kern w:val="0"/>
                <w:sz w:val="21"/>
                <w:szCs w:val="21"/>
              </w:rPr>
            </w:pPr>
            <w:r>
              <w:rPr>
                <w:color w:val="auto"/>
                <w:sz w:val="21"/>
                <w:szCs w:val="21"/>
              </w:rPr>
              <w:t>700</w:t>
            </w:r>
          </w:p>
        </w:tc>
        <w:tc>
          <w:tcPr>
            <w:tcW w:w="416" w:type="pct"/>
            <w:shd w:val="clear" w:color="auto" w:fill="auto"/>
          </w:tcPr>
          <w:p w14:paraId="006F581A">
            <w:pPr>
              <w:widowControl/>
              <w:spacing w:line="240" w:lineRule="auto"/>
              <w:ind w:firstLine="0" w:firstLineChars="0"/>
              <w:jc w:val="center"/>
              <w:rPr>
                <w:color w:val="auto"/>
                <w:sz w:val="21"/>
                <w:szCs w:val="21"/>
              </w:rPr>
            </w:pPr>
            <w:r>
              <w:rPr>
                <w:rFonts w:hint="eastAsia"/>
                <w:color w:val="auto"/>
                <w:sz w:val="21"/>
                <w:szCs w:val="21"/>
              </w:rPr>
              <w:t>1.22E-05</w:t>
            </w:r>
          </w:p>
        </w:tc>
        <w:tc>
          <w:tcPr>
            <w:tcW w:w="410" w:type="pct"/>
            <w:shd w:val="clear" w:color="auto" w:fill="auto"/>
          </w:tcPr>
          <w:p w14:paraId="4A93949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AB85913">
            <w:pPr>
              <w:widowControl/>
              <w:spacing w:line="240" w:lineRule="auto"/>
              <w:ind w:firstLine="0" w:firstLineChars="0"/>
              <w:jc w:val="center"/>
              <w:rPr>
                <w:color w:val="auto"/>
                <w:sz w:val="21"/>
                <w:szCs w:val="21"/>
              </w:rPr>
            </w:pPr>
            <w:r>
              <w:rPr>
                <w:rFonts w:hint="eastAsia"/>
                <w:color w:val="auto"/>
                <w:sz w:val="21"/>
                <w:szCs w:val="21"/>
              </w:rPr>
              <w:t>8.84E-06</w:t>
            </w:r>
          </w:p>
        </w:tc>
        <w:tc>
          <w:tcPr>
            <w:tcW w:w="409" w:type="pct"/>
            <w:shd w:val="clear" w:color="auto" w:fill="auto"/>
          </w:tcPr>
          <w:p w14:paraId="2D3DE24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A1E965C">
            <w:pPr>
              <w:widowControl/>
              <w:spacing w:line="240" w:lineRule="auto"/>
              <w:ind w:firstLine="0" w:firstLineChars="0"/>
              <w:jc w:val="center"/>
              <w:rPr>
                <w:color w:val="auto"/>
                <w:sz w:val="21"/>
                <w:szCs w:val="21"/>
              </w:rPr>
            </w:pPr>
            <w:r>
              <w:rPr>
                <w:rFonts w:hint="eastAsia"/>
                <w:color w:val="auto"/>
                <w:sz w:val="21"/>
                <w:szCs w:val="21"/>
              </w:rPr>
              <w:t>8.36E-05</w:t>
            </w:r>
          </w:p>
        </w:tc>
        <w:tc>
          <w:tcPr>
            <w:tcW w:w="423" w:type="pct"/>
            <w:shd w:val="clear" w:color="auto" w:fill="auto"/>
          </w:tcPr>
          <w:p w14:paraId="427B15B9">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6FD2CEF">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39B16E51">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6E1FAAE">
            <w:pPr>
              <w:widowControl/>
              <w:spacing w:line="240" w:lineRule="auto"/>
              <w:ind w:firstLine="0" w:firstLineChars="0"/>
              <w:jc w:val="center"/>
              <w:rPr>
                <w:color w:val="auto"/>
                <w:kern w:val="0"/>
                <w:sz w:val="21"/>
                <w:szCs w:val="21"/>
              </w:rPr>
            </w:pPr>
            <w:r>
              <w:rPr>
                <w:color w:val="auto"/>
                <w:sz w:val="21"/>
                <w:szCs w:val="21"/>
              </w:rPr>
              <w:t>3.72E-04</w:t>
            </w:r>
          </w:p>
        </w:tc>
        <w:tc>
          <w:tcPr>
            <w:tcW w:w="360" w:type="pct"/>
            <w:shd w:val="clear" w:color="auto" w:fill="auto"/>
          </w:tcPr>
          <w:p w14:paraId="065ADC93">
            <w:pPr>
              <w:widowControl/>
              <w:spacing w:line="240" w:lineRule="auto"/>
              <w:ind w:firstLine="0" w:firstLineChars="0"/>
              <w:jc w:val="center"/>
              <w:rPr>
                <w:color w:val="auto"/>
                <w:kern w:val="0"/>
                <w:sz w:val="21"/>
                <w:szCs w:val="21"/>
              </w:rPr>
            </w:pPr>
            <w:r>
              <w:rPr>
                <w:color w:val="auto"/>
                <w:sz w:val="21"/>
                <w:szCs w:val="21"/>
              </w:rPr>
              <w:t>0.19</w:t>
            </w:r>
          </w:p>
        </w:tc>
      </w:tr>
      <w:tr w14:paraId="32073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6332000">
            <w:pPr>
              <w:widowControl/>
              <w:spacing w:line="240" w:lineRule="auto"/>
              <w:ind w:firstLine="0" w:firstLineChars="0"/>
              <w:jc w:val="center"/>
              <w:rPr>
                <w:color w:val="auto"/>
                <w:kern w:val="0"/>
                <w:sz w:val="21"/>
                <w:szCs w:val="21"/>
              </w:rPr>
            </w:pPr>
            <w:r>
              <w:rPr>
                <w:color w:val="auto"/>
                <w:sz w:val="21"/>
                <w:szCs w:val="21"/>
              </w:rPr>
              <w:t>725</w:t>
            </w:r>
          </w:p>
        </w:tc>
        <w:tc>
          <w:tcPr>
            <w:tcW w:w="416" w:type="pct"/>
            <w:shd w:val="clear" w:color="auto" w:fill="auto"/>
          </w:tcPr>
          <w:p w14:paraId="025F8EC0">
            <w:pPr>
              <w:widowControl/>
              <w:spacing w:line="240" w:lineRule="auto"/>
              <w:ind w:firstLine="0" w:firstLineChars="0"/>
              <w:jc w:val="center"/>
              <w:rPr>
                <w:color w:val="auto"/>
                <w:sz w:val="21"/>
                <w:szCs w:val="21"/>
              </w:rPr>
            </w:pPr>
            <w:r>
              <w:rPr>
                <w:rFonts w:hint="eastAsia"/>
                <w:color w:val="auto"/>
                <w:sz w:val="21"/>
                <w:szCs w:val="21"/>
              </w:rPr>
              <w:t>1.17E-05</w:t>
            </w:r>
          </w:p>
        </w:tc>
        <w:tc>
          <w:tcPr>
            <w:tcW w:w="410" w:type="pct"/>
            <w:shd w:val="clear" w:color="auto" w:fill="auto"/>
          </w:tcPr>
          <w:p w14:paraId="26F3FAB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8E5592D">
            <w:pPr>
              <w:widowControl/>
              <w:spacing w:line="240" w:lineRule="auto"/>
              <w:ind w:firstLine="0" w:firstLineChars="0"/>
              <w:jc w:val="center"/>
              <w:rPr>
                <w:color w:val="auto"/>
                <w:sz w:val="21"/>
                <w:szCs w:val="21"/>
              </w:rPr>
            </w:pPr>
            <w:r>
              <w:rPr>
                <w:rFonts w:hint="eastAsia"/>
                <w:color w:val="auto"/>
                <w:sz w:val="21"/>
                <w:szCs w:val="21"/>
              </w:rPr>
              <w:t>8.49E-06</w:t>
            </w:r>
          </w:p>
        </w:tc>
        <w:tc>
          <w:tcPr>
            <w:tcW w:w="409" w:type="pct"/>
            <w:shd w:val="clear" w:color="auto" w:fill="auto"/>
          </w:tcPr>
          <w:p w14:paraId="119B146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56978A0">
            <w:pPr>
              <w:widowControl/>
              <w:spacing w:line="240" w:lineRule="auto"/>
              <w:ind w:firstLine="0" w:firstLineChars="0"/>
              <w:jc w:val="center"/>
              <w:rPr>
                <w:color w:val="auto"/>
                <w:sz w:val="21"/>
                <w:szCs w:val="21"/>
              </w:rPr>
            </w:pPr>
            <w:r>
              <w:rPr>
                <w:rFonts w:hint="eastAsia"/>
                <w:color w:val="auto"/>
                <w:sz w:val="21"/>
                <w:szCs w:val="21"/>
              </w:rPr>
              <w:t>8.03E-05</w:t>
            </w:r>
          </w:p>
        </w:tc>
        <w:tc>
          <w:tcPr>
            <w:tcW w:w="423" w:type="pct"/>
            <w:shd w:val="clear" w:color="auto" w:fill="auto"/>
          </w:tcPr>
          <w:p w14:paraId="3A454C1F">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F860B5E">
            <w:pPr>
              <w:widowControl/>
              <w:spacing w:line="240" w:lineRule="auto"/>
              <w:ind w:firstLine="0" w:firstLineChars="0"/>
              <w:jc w:val="center"/>
              <w:rPr>
                <w:color w:val="auto"/>
                <w:kern w:val="0"/>
                <w:sz w:val="21"/>
                <w:szCs w:val="21"/>
              </w:rPr>
            </w:pPr>
            <w:r>
              <w:rPr>
                <w:rFonts w:hint="eastAsia"/>
                <w:color w:val="auto"/>
                <w:sz w:val="21"/>
                <w:szCs w:val="21"/>
              </w:rPr>
              <w:t>3.56E-04</w:t>
            </w:r>
          </w:p>
        </w:tc>
        <w:tc>
          <w:tcPr>
            <w:tcW w:w="532" w:type="pct"/>
            <w:shd w:val="clear" w:color="auto" w:fill="auto"/>
          </w:tcPr>
          <w:p w14:paraId="246EE147">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CC52940">
            <w:pPr>
              <w:widowControl/>
              <w:spacing w:line="240" w:lineRule="auto"/>
              <w:ind w:firstLine="0" w:firstLineChars="0"/>
              <w:jc w:val="center"/>
              <w:rPr>
                <w:color w:val="auto"/>
                <w:kern w:val="0"/>
                <w:sz w:val="21"/>
                <w:szCs w:val="21"/>
              </w:rPr>
            </w:pPr>
            <w:r>
              <w:rPr>
                <w:color w:val="auto"/>
                <w:sz w:val="21"/>
                <w:szCs w:val="21"/>
              </w:rPr>
              <w:t>3.57E-04</w:t>
            </w:r>
          </w:p>
        </w:tc>
        <w:tc>
          <w:tcPr>
            <w:tcW w:w="360" w:type="pct"/>
            <w:shd w:val="clear" w:color="auto" w:fill="auto"/>
          </w:tcPr>
          <w:p w14:paraId="42CC4887">
            <w:pPr>
              <w:widowControl/>
              <w:spacing w:line="240" w:lineRule="auto"/>
              <w:ind w:firstLine="0" w:firstLineChars="0"/>
              <w:jc w:val="center"/>
              <w:rPr>
                <w:color w:val="auto"/>
                <w:kern w:val="0"/>
                <w:sz w:val="21"/>
                <w:szCs w:val="21"/>
              </w:rPr>
            </w:pPr>
            <w:r>
              <w:rPr>
                <w:color w:val="auto"/>
                <w:sz w:val="21"/>
                <w:szCs w:val="21"/>
              </w:rPr>
              <w:t>0.18</w:t>
            </w:r>
          </w:p>
        </w:tc>
      </w:tr>
      <w:tr w14:paraId="5FD22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A3341B9">
            <w:pPr>
              <w:widowControl/>
              <w:spacing w:line="240" w:lineRule="auto"/>
              <w:ind w:firstLine="0" w:firstLineChars="0"/>
              <w:jc w:val="center"/>
              <w:rPr>
                <w:color w:val="auto"/>
                <w:kern w:val="0"/>
                <w:sz w:val="21"/>
                <w:szCs w:val="21"/>
              </w:rPr>
            </w:pPr>
            <w:r>
              <w:rPr>
                <w:color w:val="auto"/>
                <w:sz w:val="21"/>
                <w:szCs w:val="21"/>
              </w:rPr>
              <w:t>750</w:t>
            </w:r>
          </w:p>
        </w:tc>
        <w:tc>
          <w:tcPr>
            <w:tcW w:w="416" w:type="pct"/>
            <w:shd w:val="clear" w:color="auto" w:fill="auto"/>
          </w:tcPr>
          <w:p w14:paraId="7B6D2D58">
            <w:pPr>
              <w:widowControl/>
              <w:spacing w:line="240" w:lineRule="auto"/>
              <w:ind w:firstLine="0" w:firstLineChars="0"/>
              <w:jc w:val="center"/>
              <w:rPr>
                <w:color w:val="auto"/>
                <w:sz w:val="21"/>
                <w:szCs w:val="21"/>
              </w:rPr>
            </w:pPr>
            <w:r>
              <w:rPr>
                <w:rFonts w:hint="eastAsia"/>
                <w:color w:val="auto"/>
                <w:sz w:val="21"/>
                <w:szCs w:val="21"/>
              </w:rPr>
              <w:t>1.15E-05</w:t>
            </w:r>
          </w:p>
        </w:tc>
        <w:tc>
          <w:tcPr>
            <w:tcW w:w="410" w:type="pct"/>
            <w:shd w:val="clear" w:color="auto" w:fill="auto"/>
          </w:tcPr>
          <w:p w14:paraId="267192B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E153E61">
            <w:pPr>
              <w:widowControl/>
              <w:spacing w:line="240" w:lineRule="auto"/>
              <w:ind w:firstLine="0" w:firstLineChars="0"/>
              <w:jc w:val="center"/>
              <w:rPr>
                <w:color w:val="auto"/>
                <w:sz w:val="21"/>
                <w:szCs w:val="21"/>
              </w:rPr>
            </w:pPr>
            <w:r>
              <w:rPr>
                <w:rFonts w:hint="eastAsia"/>
                <w:color w:val="auto"/>
                <w:sz w:val="21"/>
                <w:szCs w:val="21"/>
              </w:rPr>
              <w:t>8.34E-06</w:t>
            </w:r>
          </w:p>
        </w:tc>
        <w:tc>
          <w:tcPr>
            <w:tcW w:w="409" w:type="pct"/>
            <w:shd w:val="clear" w:color="auto" w:fill="auto"/>
          </w:tcPr>
          <w:p w14:paraId="4007044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83BE724">
            <w:pPr>
              <w:widowControl/>
              <w:spacing w:line="240" w:lineRule="auto"/>
              <w:ind w:firstLine="0" w:firstLineChars="0"/>
              <w:jc w:val="center"/>
              <w:rPr>
                <w:color w:val="auto"/>
                <w:sz w:val="21"/>
                <w:szCs w:val="21"/>
              </w:rPr>
            </w:pPr>
            <w:r>
              <w:rPr>
                <w:rFonts w:hint="eastAsia"/>
                <w:color w:val="auto"/>
                <w:sz w:val="21"/>
                <w:szCs w:val="21"/>
              </w:rPr>
              <w:t>7.89E-05</w:t>
            </w:r>
          </w:p>
        </w:tc>
        <w:tc>
          <w:tcPr>
            <w:tcW w:w="423" w:type="pct"/>
            <w:shd w:val="clear" w:color="auto" w:fill="auto"/>
          </w:tcPr>
          <w:p w14:paraId="5D1F37A1">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11A5F661">
            <w:pPr>
              <w:widowControl/>
              <w:spacing w:line="240" w:lineRule="auto"/>
              <w:ind w:firstLine="0" w:firstLineChars="0"/>
              <w:jc w:val="center"/>
              <w:rPr>
                <w:color w:val="auto"/>
                <w:kern w:val="0"/>
                <w:sz w:val="21"/>
                <w:szCs w:val="21"/>
              </w:rPr>
            </w:pPr>
            <w:r>
              <w:rPr>
                <w:rFonts w:hint="eastAsia"/>
                <w:color w:val="auto"/>
                <w:sz w:val="21"/>
                <w:szCs w:val="21"/>
              </w:rPr>
              <w:t>3.48E-04</w:t>
            </w:r>
          </w:p>
        </w:tc>
        <w:tc>
          <w:tcPr>
            <w:tcW w:w="532" w:type="pct"/>
            <w:shd w:val="clear" w:color="auto" w:fill="auto"/>
          </w:tcPr>
          <w:p w14:paraId="26E9A761">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CC6FA4B">
            <w:pPr>
              <w:widowControl/>
              <w:spacing w:line="240" w:lineRule="auto"/>
              <w:ind w:firstLine="0" w:firstLineChars="0"/>
              <w:jc w:val="center"/>
              <w:rPr>
                <w:color w:val="auto"/>
                <w:kern w:val="0"/>
                <w:sz w:val="21"/>
                <w:szCs w:val="21"/>
              </w:rPr>
            </w:pPr>
            <w:r>
              <w:rPr>
                <w:color w:val="auto"/>
                <w:sz w:val="21"/>
                <w:szCs w:val="21"/>
              </w:rPr>
              <w:t>3.51E-04</w:t>
            </w:r>
          </w:p>
        </w:tc>
        <w:tc>
          <w:tcPr>
            <w:tcW w:w="360" w:type="pct"/>
            <w:shd w:val="clear" w:color="auto" w:fill="auto"/>
          </w:tcPr>
          <w:p w14:paraId="287D0915">
            <w:pPr>
              <w:widowControl/>
              <w:spacing w:line="240" w:lineRule="auto"/>
              <w:ind w:firstLine="0" w:firstLineChars="0"/>
              <w:jc w:val="center"/>
              <w:rPr>
                <w:color w:val="auto"/>
                <w:kern w:val="0"/>
                <w:sz w:val="21"/>
                <w:szCs w:val="21"/>
              </w:rPr>
            </w:pPr>
            <w:r>
              <w:rPr>
                <w:color w:val="auto"/>
                <w:sz w:val="21"/>
                <w:szCs w:val="21"/>
              </w:rPr>
              <w:t>0.18</w:t>
            </w:r>
          </w:p>
        </w:tc>
      </w:tr>
      <w:tr w14:paraId="2C91D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CDF2C34">
            <w:pPr>
              <w:widowControl/>
              <w:spacing w:line="240" w:lineRule="auto"/>
              <w:ind w:firstLine="0" w:firstLineChars="0"/>
              <w:jc w:val="center"/>
              <w:rPr>
                <w:color w:val="auto"/>
                <w:kern w:val="0"/>
                <w:sz w:val="21"/>
                <w:szCs w:val="21"/>
              </w:rPr>
            </w:pPr>
            <w:r>
              <w:rPr>
                <w:color w:val="auto"/>
                <w:sz w:val="21"/>
                <w:szCs w:val="21"/>
              </w:rPr>
              <w:t>775</w:t>
            </w:r>
          </w:p>
        </w:tc>
        <w:tc>
          <w:tcPr>
            <w:tcW w:w="416" w:type="pct"/>
            <w:shd w:val="clear" w:color="auto" w:fill="auto"/>
          </w:tcPr>
          <w:p w14:paraId="38AF9365">
            <w:pPr>
              <w:widowControl/>
              <w:spacing w:line="240" w:lineRule="auto"/>
              <w:ind w:firstLine="0" w:firstLineChars="0"/>
              <w:jc w:val="center"/>
              <w:rPr>
                <w:color w:val="auto"/>
                <w:sz w:val="21"/>
                <w:szCs w:val="21"/>
              </w:rPr>
            </w:pPr>
            <w:r>
              <w:rPr>
                <w:rFonts w:hint="eastAsia"/>
                <w:color w:val="auto"/>
                <w:sz w:val="21"/>
                <w:szCs w:val="21"/>
              </w:rPr>
              <w:t>1.13E-05</w:t>
            </w:r>
          </w:p>
        </w:tc>
        <w:tc>
          <w:tcPr>
            <w:tcW w:w="410" w:type="pct"/>
            <w:shd w:val="clear" w:color="auto" w:fill="auto"/>
          </w:tcPr>
          <w:p w14:paraId="42B64EA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6F32E28">
            <w:pPr>
              <w:widowControl/>
              <w:spacing w:line="240" w:lineRule="auto"/>
              <w:ind w:firstLine="0" w:firstLineChars="0"/>
              <w:jc w:val="center"/>
              <w:rPr>
                <w:color w:val="auto"/>
                <w:sz w:val="21"/>
                <w:szCs w:val="21"/>
              </w:rPr>
            </w:pPr>
            <w:r>
              <w:rPr>
                <w:rFonts w:hint="eastAsia"/>
                <w:color w:val="auto"/>
                <w:sz w:val="21"/>
                <w:szCs w:val="21"/>
              </w:rPr>
              <w:t>8.20E-06</w:t>
            </w:r>
          </w:p>
        </w:tc>
        <w:tc>
          <w:tcPr>
            <w:tcW w:w="409" w:type="pct"/>
            <w:shd w:val="clear" w:color="auto" w:fill="auto"/>
          </w:tcPr>
          <w:p w14:paraId="1A3EB32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26C04AF">
            <w:pPr>
              <w:widowControl/>
              <w:spacing w:line="240" w:lineRule="auto"/>
              <w:ind w:firstLine="0" w:firstLineChars="0"/>
              <w:jc w:val="center"/>
              <w:rPr>
                <w:color w:val="auto"/>
                <w:sz w:val="21"/>
                <w:szCs w:val="21"/>
              </w:rPr>
            </w:pPr>
            <w:r>
              <w:rPr>
                <w:rFonts w:hint="eastAsia"/>
                <w:color w:val="auto"/>
                <w:sz w:val="21"/>
                <w:szCs w:val="21"/>
              </w:rPr>
              <w:t>7.75E-05</w:t>
            </w:r>
          </w:p>
        </w:tc>
        <w:tc>
          <w:tcPr>
            <w:tcW w:w="423" w:type="pct"/>
            <w:shd w:val="clear" w:color="auto" w:fill="auto"/>
          </w:tcPr>
          <w:p w14:paraId="34FC90C8">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84B0F03">
            <w:pPr>
              <w:widowControl/>
              <w:spacing w:line="240" w:lineRule="auto"/>
              <w:ind w:firstLine="0" w:firstLineChars="0"/>
              <w:jc w:val="center"/>
              <w:rPr>
                <w:color w:val="auto"/>
                <w:kern w:val="0"/>
                <w:sz w:val="21"/>
                <w:szCs w:val="21"/>
              </w:rPr>
            </w:pPr>
            <w:r>
              <w:rPr>
                <w:rFonts w:hint="eastAsia"/>
                <w:color w:val="auto"/>
                <w:sz w:val="21"/>
                <w:szCs w:val="21"/>
              </w:rPr>
              <w:t>3.55E-04</w:t>
            </w:r>
          </w:p>
        </w:tc>
        <w:tc>
          <w:tcPr>
            <w:tcW w:w="532" w:type="pct"/>
            <w:shd w:val="clear" w:color="auto" w:fill="auto"/>
          </w:tcPr>
          <w:p w14:paraId="528BD56F">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987DA04">
            <w:pPr>
              <w:widowControl/>
              <w:spacing w:line="240" w:lineRule="auto"/>
              <w:ind w:firstLine="0" w:firstLineChars="0"/>
              <w:jc w:val="center"/>
              <w:rPr>
                <w:color w:val="auto"/>
                <w:kern w:val="0"/>
                <w:sz w:val="21"/>
                <w:szCs w:val="21"/>
              </w:rPr>
            </w:pPr>
            <w:r>
              <w:rPr>
                <w:color w:val="auto"/>
                <w:sz w:val="21"/>
                <w:szCs w:val="21"/>
              </w:rPr>
              <w:t>3.45E-04</w:t>
            </w:r>
          </w:p>
        </w:tc>
        <w:tc>
          <w:tcPr>
            <w:tcW w:w="360" w:type="pct"/>
            <w:shd w:val="clear" w:color="auto" w:fill="auto"/>
          </w:tcPr>
          <w:p w14:paraId="4BC3AB5C">
            <w:pPr>
              <w:widowControl/>
              <w:spacing w:line="240" w:lineRule="auto"/>
              <w:ind w:firstLine="0" w:firstLineChars="0"/>
              <w:jc w:val="center"/>
              <w:rPr>
                <w:color w:val="auto"/>
                <w:kern w:val="0"/>
                <w:sz w:val="21"/>
                <w:szCs w:val="21"/>
              </w:rPr>
            </w:pPr>
            <w:r>
              <w:rPr>
                <w:color w:val="auto"/>
                <w:sz w:val="21"/>
                <w:szCs w:val="21"/>
              </w:rPr>
              <w:t>0.17</w:t>
            </w:r>
          </w:p>
        </w:tc>
      </w:tr>
      <w:tr w14:paraId="1C940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1B634E7">
            <w:pPr>
              <w:widowControl/>
              <w:spacing w:line="240" w:lineRule="auto"/>
              <w:ind w:firstLine="0" w:firstLineChars="0"/>
              <w:jc w:val="center"/>
              <w:rPr>
                <w:color w:val="auto"/>
                <w:kern w:val="0"/>
                <w:sz w:val="21"/>
                <w:szCs w:val="21"/>
              </w:rPr>
            </w:pPr>
            <w:r>
              <w:rPr>
                <w:color w:val="auto"/>
                <w:sz w:val="21"/>
                <w:szCs w:val="21"/>
              </w:rPr>
              <w:t>800</w:t>
            </w:r>
          </w:p>
        </w:tc>
        <w:tc>
          <w:tcPr>
            <w:tcW w:w="416" w:type="pct"/>
            <w:shd w:val="clear" w:color="auto" w:fill="auto"/>
          </w:tcPr>
          <w:p w14:paraId="76186E7C">
            <w:pPr>
              <w:widowControl/>
              <w:spacing w:line="240" w:lineRule="auto"/>
              <w:ind w:firstLine="0" w:firstLineChars="0"/>
              <w:jc w:val="center"/>
              <w:rPr>
                <w:color w:val="auto"/>
                <w:sz w:val="21"/>
                <w:szCs w:val="21"/>
              </w:rPr>
            </w:pPr>
            <w:r>
              <w:rPr>
                <w:rFonts w:hint="eastAsia"/>
                <w:color w:val="auto"/>
                <w:sz w:val="21"/>
                <w:szCs w:val="21"/>
              </w:rPr>
              <w:t>1.11E-05</w:t>
            </w:r>
          </w:p>
        </w:tc>
        <w:tc>
          <w:tcPr>
            <w:tcW w:w="410" w:type="pct"/>
            <w:shd w:val="clear" w:color="auto" w:fill="auto"/>
          </w:tcPr>
          <w:p w14:paraId="225392E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B371ACD">
            <w:pPr>
              <w:widowControl/>
              <w:spacing w:line="240" w:lineRule="auto"/>
              <w:ind w:firstLine="0" w:firstLineChars="0"/>
              <w:jc w:val="center"/>
              <w:rPr>
                <w:color w:val="auto"/>
                <w:sz w:val="21"/>
                <w:szCs w:val="21"/>
              </w:rPr>
            </w:pPr>
            <w:r>
              <w:rPr>
                <w:rFonts w:hint="eastAsia"/>
                <w:color w:val="auto"/>
                <w:sz w:val="21"/>
                <w:szCs w:val="21"/>
              </w:rPr>
              <w:t>8.05E-06</w:t>
            </w:r>
          </w:p>
        </w:tc>
        <w:tc>
          <w:tcPr>
            <w:tcW w:w="409" w:type="pct"/>
            <w:shd w:val="clear" w:color="auto" w:fill="auto"/>
          </w:tcPr>
          <w:p w14:paraId="0C0C32D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B07526C">
            <w:pPr>
              <w:widowControl/>
              <w:spacing w:line="240" w:lineRule="auto"/>
              <w:ind w:firstLine="0" w:firstLineChars="0"/>
              <w:jc w:val="center"/>
              <w:rPr>
                <w:color w:val="auto"/>
                <w:sz w:val="21"/>
                <w:szCs w:val="21"/>
              </w:rPr>
            </w:pPr>
            <w:r>
              <w:rPr>
                <w:rFonts w:hint="eastAsia"/>
                <w:color w:val="auto"/>
                <w:sz w:val="21"/>
                <w:szCs w:val="21"/>
              </w:rPr>
              <w:t>7.61E-05</w:t>
            </w:r>
          </w:p>
        </w:tc>
        <w:tc>
          <w:tcPr>
            <w:tcW w:w="423" w:type="pct"/>
            <w:shd w:val="clear" w:color="auto" w:fill="auto"/>
          </w:tcPr>
          <w:p w14:paraId="72F1DDC9">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3D65F15">
            <w:pPr>
              <w:widowControl/>
              <w:spacing w:line="240" w:lineRule="auto"/>
              <w:ind w:firstLine="0" w:firstLineChars="0"/>
              <w:jc w:val="center"/>
              <w:rPr>
                <w:color w:val="auto"/>
                <w:kern w:val="0"/>
                <w:sz w:val="21"/>
                <w:szCs w:val="21"/>
              </w:rPr>
            </w:pPr>
            <w:r>
              <w:rPr>
                <w:rFonts w:hint="eastAsia"/>
                <w:color w:val="auto"/>
                <w:sz w:val="21"/>
                <w:szCs w:val="21"/>
              </w:rPr>
              <w:t>3.61E-04</w:t>
            </w:r>
          </w:p>
        </w:tc>
        <w:tc>
          <w:tcPr>
            <w:tcW w:w="532" w:type="pct"/>
            <w:shd w:val="clear" w:color="auto" w:fill="auto"/>
          </w:tcPr>
          <w:p w14:paraId="120A743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3619DFD7">
            <w:pPr>
              <w:widowControl/>
              <w:spacing w:line="240" w:lineRule="auto"/>
              <w:ind w:firstLine="0" w:firstLineChars="0"/>
              <w:jc w:val="center"/>
              <w:rPr>
                <w:color w:val="auto"/>
                <w:kern w:val="0"/>
                <w:sz w:val="21"/>
                <w:szCs w:val="21"/>
              </w:rPr>
            </w:pPr>
            <w:r>
              <w:rPr>
                <w:color w:val="auto"/>
                <w:sz w:val="21"/>
                <w:szCs w:val="21"/>
              </w:rPr>
              <w:t>3.38E-04</w:t>
            </w:r>
          </w:p>
        </w:tc>
        <w:tc>
          <w:tcPr>
            <w:tcW w:w="360" w:type="pct"/>
            <w:shd w:val="clear" w:color="auto" w:fill="auto"/>
          </w:tcPr>
          <w:p w14:paraId="19ACFDDF">
            <w:pPr>
              <w:widowControl/>
              <w:spacing w:line="240" w:lineRule="auto"/>
              <w:ind w:firstLine="0" w:firstLineChars="0"/>
              <w:jc w:val="center"/>
              <w:rPr>
                <w:color w:val="auto"/>
                <w:kern w:val="0"/>
                <w:sz w:val="21"/>
                <w:szCs w:val="21"/>
              </w:rPr>
            </w:pPr>
            <w:r>
              <w:rPr>
                <w:color w:val="auto"/>
                <w:sz w:val="21"/>
                <w:szCs w:val="21"/>
              </w:rPr>
              <w:t>0.17</w:t>
            </w:r>
          </w:p>
        </w:tc>
      </w:tr>
      <w:tr w14:paraId="18B5B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507428E">
            <w:pPr>
              <w:widowControl/>
              <w:spacing w:line="240" w:lineRule="auto"/>
              <w:ind w:firstLine="0" w:firstLineChars="0"/>
              <w:jc w:val="center"/>
              <w:rPr>
                <w:color w:val="auto"/>
                <w:kern w:val="0"/>
                <w:sz w:val="21"/>
                <w:szCs w:val="21"/>
              </w:rPr>
            </w:pPr>
            <w:r>
              <w:rPr>
                <w:color w:val="auto"/>
                <w:sz w:val="21"/>
                <w:szCs w:val="21"/>
              </w:rPr>
              <w:t>825</w:t>
            </w:r>
          </w:p>
        </w:tc>
        <w:tc>
          <w:tcPr>
            <w:tcW w:w="416" w:type="pct"/>
            <w:shd w:val="clear" w:color="auto" w:fill="auto"/>
          </w:tcPr>
          <w:p w14:paraId="329135E0">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07CCA89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16D91DC">
            <w:pPr>
              <w:widowControl/>
              <w:spacing w:line="240" w:lineRule="auto"/>
              <w:ind w:firstLine="0" w:firstLineChars="0"/>
              <w:jc w:val="center"/>
              <w:rPr>
                <w:color w:val="auto"/>
                <w:sz w:val="21"/>
                <w:szCs w:val="21"/>
              </w:rPr>
            </w:pPr>
            <w:r>
              <w:rPr>
                <w:rFonts w:hint="eastAsia"/>
                <w:color w:val="auto"/>
                <w:sz w:val="21"/>
                <w:szCs w:val="21"/>
              </w:rPr>
              <w:t>7.90E-06</w:t>
            </w:r>
          </w:p>
        </w:tc>
        <w:tc>
          <w:tcPr>
            <w:tcW w:w="409" w:type="pct"/>
            <w:shd w:val="clear" w:color="auto" w:fill="auto"/>
          </w:tcPr>
          <w:p w14:paraId="7381844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ABD86F1">
            <w:pPr>
              <w:widowControl/>
              <w:spacing w:line="240" w:lineRule="auto"/>
              <w:ind w:firstLine="0" w:firstLineChars="0"/>
              <w:jc w:val="center"/>
              <w:rPr>
                <w:color w:val="auto"/>
                <w:sz w:val="21"/>
                <w:szCs w:val="21"/>
              </w:rPr>
            </w:pPr>
            <w:r>
              <w:rPr>
                <w:rFonts w:hint="eastAsia"/>
                <w:color w:val="auto"/>
                <w:sz w:val="21"/>
                <w:szCs w:val="21"/>
              </w:rPr>
              <w:t>7.47E-05</w:t>
            </w:r>
          </w:p>
        </w:tc>
        <w:tc>
          <w:tcPr>
            <w:tcW w:w="423" w:type="pct"/>
            <w:shd w:val="clear" w:color="auto" w:fill="auto"/>
          </w:tcPr>
          <w:p w14:paraId="63EEA6E3">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5853C6A">
            <w:pPr>
              <w:widowControl/>
              <w:spacing w:line="240" w:lineRule="auto"/>
              <w:ind w:firstLine="0" w:firstLineChars="0"/>
              <w:jc w:val="center"/>
              <w:rPr>
                <w:color w:val="auto"/>
                <w:kern w:val="0"/>
                <w:sz w:val="21"/>
                <w:szCs w:val="21"/>
              </w:rPr>
            </w:pPr>
            <w:r>
              <w:rPr>
                <w:rFonts w:hint="eastAsia"/>
                <w:color w:val="auto"/>
                <w:sz w:val="21"/>
                <w:szCs w:val="21"/>
              </w:rPr>
              <w:t>3.66E-04</w:t>
            </w:r>
          </w:p>
        </w:tc>
        <w:tc>
          <w:tcPr>
            <w:tcW w:w="532" w:type="pct"/>
            <w:shd w:val="clear" w:color="auto" w:fill="auto"/>
          </w:tcPr>
          <w:p w14:paraId="736B8233">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E6EDA9B">
            <w:pPr>
              <w:widowControl/>
              <w:spacing w:line="240" w:lineRule="auto"/>
              <w:ind w:firstLine="0" w:firstLineChars="0"/>
              <w:jc w:val="center"/>
              <w:rPr>
                <w:color w:val="auto"/>
                <w:kern w:val="0"/>
                <w:sz w:val="21"/>
                <w:szCs w:val="21"/>
              </w:rPr>
            </w:pPr>
            <w:r>
              <w:rPr>
                <w:color w:val="auto"/>
                <w:sz w:val="21"/>
                <w:szCs w:val="21"/>
              </w:rPr>
              <w:t>3.32E-04</w:t>
            </w:r>
          </w:p>
        </w:tc>
        <w:tc>
          <w:tcPr>
            <w:tcW w:w="360" w:type="pct"/>
            <w:shd w:val="clear" w:color="auto" w:fill="auto"/>
          </w:tcPr>
          <w:p w14:paraId="7DC564B7">
            <w:pPr>
              <w:widowControl/>
              <w:spacing w:line="240" w:lineRule="auto"/>
              <w:ind w:firstLine="0" w:firstLineChars="0"/>
              <w:jc w:val="center"/>
              <w:rPr>
                <w:color w:val="auto"/>
                <w:kern w:val="0"/>
                <w:sz w:val="21"/>
                <w:szCs w:val="21"/>
              </w:rPr>
            </w:pPr>
            <w:r>
              <w:rPr>
                <w:color w:val="auto"/>
                <w:sz w:val="21"/>
                <w:szCs w:val="21"/>
              </w:rPr>
              <w:t>0.17</w:t>
            </w:r>
          </w:p>
        </w:tc>
      </w:tr>
      <w:tr w14:paraId="1B924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0F18520D">
            <w:pPr>
              <w:widowControl/>
              <w:spacing w:line="240" w:lineRule="auto"/>
              <w:ind w:firstLine="0" w:firstLineChars="0"/>
              <w:jc w:val="center"/>
              <w:rPr>
                <w:color w:val="auto"/>
                <w:kern w:val="0"/>
                <w:sz w:val="21"/>
                <w:szCs w:val="21"/>
              </w:rPr>
            </w:pPr>
            <w:r>
              <w:rPr>
                <w:color w:val="auto"/>
                <w:sz w:val="21"/>
                <w:szCs w:val="21"/>
              </w:rPr>
              <w:t>850</w:t>
            </w:r>
          </w:p>
        </w:tc>
        <w:tc>
          <w:tcPr>
            <w:tcW w:w="416" w:type="pct"/>
            <w:shd w:val="clear" w:color="auto" w:fill="auto"/>
          </w:tcPr>
          <w:p w14:paraId="331066D5">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1745D65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D3D9795">
            <w:pPr>
              <w:widowControl/>
              <w:spacing w:line="240" w:lineRule="auto"/>
              <w:ind w:firstLine="0" w:firstLineChars="0"/>
              <w:jc w:val="center"/>
              <w:rPr>
                <w:color w:val="auto"/>
                <w:sz w:val="21"/>
                <w:szCs w:val="21"/>
              </w:rPr>
            </w:pPr>
            <w:r>
              <w:rPr>
                <w:rFonts w:hint="eastAsia"/>
                <w:color w:val="auto"/>
                <w:sz w:val="21"/>
                <w:szCs w:val="21"/>
              </w:rPr>
              <w:t>7.87E-06</w:t>
            </w:r>
          </w:p>
        </w:tc>
        <w:tc>
          <w:tcPr>
            <w:tcW w:w="409" w:type="pct"/>
            <w:shd w:val="clear" w:color="auto" w:fill="auto"/>
          </w:tcPr>
          <w:p w14:paraId="6EED1B3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93B444A">
            <w:pPr>
              <w:widowControl/>
              <w:spacing w:line="240" w:lineRule="auto"/>
              <w:ind w:firstLine="0" w:firstLineChars="0"/>
              <w:jc w:val="center"/>
              <w:rPr>
                <w:color w:val="auto"/>
                <w:sz w:val="21"/>
                <w:szCs w:val="21"/>
              </w:rPr>
            </w:pPr>
            <w:r>
              <w:rPr>
                <w:rFonts w:hint="eastAsia"/>
                <w:color w:val="auto"/>
                <w:sz w:val="21"/>
                <w:szCs w:val="21"/>
              </w:rPr>
              <w:t>7.45E-05</w:t>
            </w:r>
          </w:p>
        </w:tc>
        <w:tc>
          <w:tcPr>
            <w:tcW w:w="423" w:type="pct"/>
            <w:shd w:val="clear" w:color="auto" w:fill="auto"/>
          </w:tcPr>
          <w:p w14:paraId="11B77CD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73DE3AE">
            <w:pPr>
              <w:widowControl/>
              <w:spacing w:line="240" w:lineRule="auto"/>
              <w:ind w:firstLine="0" w:firstLineChars="0"/>
              <w:jc w:val="center"/>
              <w:rPr>
                <w:color w:val="auto"/>
                <w:kern w:val="0"/>
                <w:sz w:val="21"/>
                <w:szCs w:val="21"/>
              </w:rPr>
            </w:pPr>
            <w:r>
              <w:rPr>
                <w:rFonts w:hint="eastAsia"/>
                <w:color w:val="auto"/>
                <w:sz w:val="21"/>
                <w:szCs w:val="21"/>
              </w:rPr>
              <w:t>3.70E-04</w:t>
            </w:r>
          </w:p>
        </w:tc>
        <w:tc>
          <w:tcPr>
            <w:tcW w:w="532" w:type="pct"/>
            <w:shd w:val="clear" w:color="auto" w:fill="auto"/>
          </w:tcPr>
          <w:p w14:paraId="2C54694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3D584F58">
            <w:pPr>
              <w:widowControl/>
              <w:spacing w:line="240" w:lineRule="auto"/>
              <w:ind w:firstLine="0" w:firstLineChars="0"/>
              <w:jc w:val="center"/>
              <w:rPr>
                <w:color w:val="auto"/>
                <w:kern w:val="0"/>
                <w:sz w:val="21"/>
                <w:szCs w:val="21"/>
              </w:rPr>
            </w:pPr>
            <w:r>
              <w:rPr>
                <w:color w:val="auto"/>
                <w:sz w:val="21"/>
                <w:szCs w:val="21"/>
              </w:rPr>
              <w:t>3.31E-04</w:t>
            </w:r>
          </w:p>
        </w:tc>
        <w:tc>
          <w:tcPr>
            <w:tcW w:w="360" w:type="pct"/>
            <w:shd w:val="clear" w:color="auto" w:fill="auto"/>
          </w:tcPr>
          <w:p w14:paraId="7FE8A86C">
            <w:pPr>
              <w:widowControl/>
              <w:spacing w:line="240" w:lineRule="auto"/>
              <w:ind w:firstLine="0" w:firstLineChars="0"/>
              <w:jc w:val="center"/>
              <w:rPr>
                <w:color w:val="auto"/>
                <w:kern w:val="0"/>
                <w:sz w:val="21"/>
                <w:szCs w:val="21"/>
              </w:rPr>
            </w:pPr>
            <w:r>
              <w:rPr>
                <w:color w:val="auto"/>
                <w:sz w:val="21"/>
                <w:szCs w:val="21"/>
              </w:rPr>
              <w:t>0.17</w:t>
            </w:r>
          </w:p>
        </w:tc>
      </w:tr>
      <w:tr w14:paraId="18B16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5961C4A">
            <w:pPr>
              <w:widowControl/>
              <w:spacing w:line="240" w:lineRule="auto"/>
              <w:ind w:firstLine="0" w:firstLineChars="0"/>
              <w:jc w:val="center"/>
              <w:rPr>
                <w:color w:val="auto"/>
                <w:kern w:val="0"/>
                <w:sz w:val="21"/>
                <w:szCs w:val="21"/>
              </w:rPr>
            </w:pPr>
            <w:r>
              <w:rPr>
                <w:color w:val="auto"/>
                <w:sz w:val="21"/>
                <w:szCs w:val="21"/>
              </w:rPr>
              <w:t>875</w:t>
            </w:r>
          </w:p>
        </w:tc>
        <w:tc>
          <w:tcPr>
            <w:tcW w:w="416" w:type="pct"/>
            <w:shd w:val="clear" w:color="auto" w:fill="auto"/>
          </w:tcPr>
          <w:p w14:paraId="7AC82C3B">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6C55BC1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01E4E92">
            <w:pPr>
              <w:widowControl/>
              <w:spacing w:line="240" w:lineRule="auto"/>
              <w:ind w:firstLine="0" w:firstLineChars="0"/>
              <w:jc w:val="center"/>
              <w:rPr>
                <w:color w:val="auto"/>
                <w:sz w:val="21"/>
                <w:szCs w:val="21"/>
              </w:rPr>
            </w:pPr>
            <w:r>
              <w:rPr>
                <w:rFonts w:hint="eastAsia"/>
                <w:color w:val="auto"/>
                <w:sz w:val="21"/>
                <w:szCs w:val="21"/>
              </w:rPr>
              <w:t>7.90E-06</w:t>
            </w:r>
          </w:p>
        </w:tc>
        <w:tc>
          <w:tcPr>
            <w:tcW w:w="409" w:type="pct"/>
            <w:shd w:val="clear" w:color="auto" w:fill="auto"/>
          </w:tcPr>
          <w:p w14:paraId="15B90D2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7399FE0">
            <w:pPr>
              <w:widowControl/>
              <w:spacing w:line="240" w:lineRule="auto"/>
              <w:ind w:firstLine="0" w:firstLineChars="0"/>
              <w:jc w:val="center"/>
              <w:rPr>
                <w:color w:val="auto"/>
                <w:sz w:val="21"/>
                <w:szCs w:val="21"/>
              </w:rPr>
            </w:pPr>
            <w:r>
              <w:rPr>
                <w:rFonts w:hint="eastAsia"/>
                <w:color w:val="auto"/>
                <w:sz w:val="21"/>
                <w:szCs w:val="21"/>
              </w:rPr>
              <w:t>7.47E-05</w:t>
            </w:r>
          </w:p>
        </w:tc>
        <w:tc>
          <w:tcPr>
            <w:tcW w:w="423" w:type="pct"/>
            <w:shd w:val="clear" w:color="auto" w:fill="auto"/>
          </w:tcPr>
          <w:p w14:paraId="78B73BFF">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2885ADEF">
            <w:pPr>
              <w:widowControl/>
              <w:spacing w:line="240" w:lineRule="auto"/>
              <w:ind w:firstLine="0" w:firstLineChars="0"/>
              <w:jc w:val="center"/>
              <w:rPr>
                <w:color w:val="auto"/>
                <w:kern w:val="0"/>
                <w:sz w:val="21"/>
                <w:szCs w:val="21"/>
              </w:rPr>
            </w:pPr>
            <w:r>
              <w:rPr>
                <w:rFonts w:hint="eastAsia"/>
                <w:color w:val="auto"/>
                <w:sz w:val="21"/>
                <w:szCs w:val="21"/>
              </w:rPr>
              <w:t>3.74E-04</w:t>
            </w:r>
          </w:p>
        </w:tc>
        <w:tc>
          <w:tcPr>
            <w:tcW w:w="532" w:type="pct"/>
            <w:shd w:val="clear" w:color="auto" w:fill="auto"/>
          </w:tcPr>
          <w:p w14:paraId="2B6E6CE3">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65409BF">
            <w:pPr>
              <w:widowControl/>
              <w:spacing w:line="240" w:lineRule="auto"/>
              <w:ind w:firstLine="0" w:firstLineChars="0"/>
              <w:jc w:val="center"/>
              <w:rPr>
                <w:color w:val="auto"/>
                <w:kern w:val="0"/>
                <w:sz w:val="21"/>
                <w:szCs w:val="21"/>
              </w:rPr>
            </w:pPr>
            <w:r>
              <w:rPr>
                <w:color w:val="auto"/>
                <w:sz w:val="21"/>
                <w:szCs w:val="21"/>
              </w:rPr>
              <w:t>3.32E-04</w:t>
            </w:r>
          </w:p>
        </w:tc>
        <w:tc>
          <w:tcPr>
            <w:tcW w:w="360" w:type="pct"/>
            <w:shd w:val="clear" w:color="auto" w:fill="auto"/>
          </w:tcPr>
          <w:p w14:paraId="2106B097">
            <w:pPr>
              <w:widowControl/>
              <w:spacing w:line="240" w:lineRule="auto"/>
              <w:ind w:firstLine="0" w:firstLineChars="0"/>
              <w:jc w:val="center"/>
              <w:rPr>
                <w:color w:val="auto"/>
                <w:kern w:val="0"/>
                <w:sz w:val="21"/>
                <w:szCs w:val="21"/>
              </w:rPr>
            </w:pPr>
            <w:r>
              <w:rPr>
                <w:color w:val="auto"/>
                <w:sz w:val="21"/>
                <w:szCs w:val="21"/>
              </w:rPr>
              <w:t>0.17</w:t>
            </w:r>
          </w:p>
        </w:tc>
      </w:tr>
      <w:tr w14:paraId="601BB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7C7724F">
            <w:pPr>
              <w:widowControl/>
              <w:spacing w:line="240" w:lineRule="auto"/>
              <w:ind w:firstLine="0" w:firstLineChars="0"/>
              <w:jc w:val="center"/>
              <w:rPr>
                <w:color w:val="auto"/>
                <w:kern w:val="0"/>
                <w:sz w:val="21"/>
                <w:szCs w:val="21"/>
              </w:rPr>
            </w:pPr>
            <w:r>
              <w:rPr>
                <w:color w:val="auto"/>
                <w:sz w:val="21"/>
                <w:szCs w:val="21"/>
              </w:rPr>
              <w:t>900</w:t>
            </w:r>
          </w:p>
        </w:tc>
        <w:tc>
          <w:tcPr>
            <w:tcW w:w="416" w:type="pct"/>
            <w:shd w:val="clear" w:color="auto" w:fill="auto"/>
          </w:tcPr>
          <w:p w14:paraId="69793DD4">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6B45D4E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10517BA">
            <w:pPr>
              <w:widowControl/>
              <w:spacing w:line="240" w:lineRule="auto"/>
              <w:ind w:firstLine="0" w:firstLineChars="0"/>
              <w:jc w:val="center"/>
              <w:rPr>
                <w:color w:val="auto"/>
                <w:sz w:val="21"/>
                <w:szCs w:val="21"/>
              </w:rPr>
            </w:pPr>
            <w:r>
              <w:rPr>
                <w:rFonts w:hint="eastAsia"/>
                <w:color w:val="auto"/>
                <w:sz w:val="21"/>
                <w:szCs w:val="21"/>
              </w:rPr>
              <w:t>7.92E-06</w:t>
            </w:r>
          </w:p>
        </w:tc>
        <w:tc>
          <w:tcPr>
            <w:tcW w:w="409" w:type="pct"/>
            <w:shd w:val="clear" w:color="auto" w:fill="auto"/>
          </w:tcPr>
          <w:p w14:paraId="6B6C1FC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E0CBE3C">
            <w:pPr>
              <w:widowControl/>
              <w:spacing w:line="240" w:lineRule="auto"/>
              <w:ind w:firstLine="0" w:firstLineChars="0"/>
              <w:jc w:val="center"/>
              <w:rPr>
                <w:color w:val="auto"/>
                <w:sz w:val="21"/>
                <w:szCs w:val="21"/>
              </w:rPr>
            </w:pPr>
            <w:r>
              <w:rPr>
                <w:rFonts w:hint="eastAsia"/>
                <w:color w:val="auto"/>
                <w:sz w:val="21"/>
                <w:szCs w:val="21"/>
              </w:rPr>
              <w:t>7.49E-05</w:t>
            </w:r>
          </w:p>
        </w:tc>
        <w:tc>
          <w:tcPr>
            <w:tcW w:w="423" w:type="pct"/>
            <w:shd w:val="clear" w:color="auto" w:fill="auto"/>
          </w:tcPr>
          <w:p w14:paraId="39EAD7A4">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15F923D">
            <w:pPr>
              <w:widowControl/>
              <w:spacing w:line="240" w:lineRule="auto"/>
              <w:ind w:firstLine="0" w:firstLineChars="0"/>
              <w:jc w:val="center"/>
              <w:rPr>
                <w:color w:val="auto"/>
                <w:kern w:val="0"/>
                <w:sz w:val="21"/>
                <w:szCs w:val="21"/>
              </w:rPr>
            </w:pPr>
            <w:r>
              <w:rPr>
                <w:rFonts w:hint="eastAsia"/>
                <w:color w:val="auto"/>
                <w:sz w:val="21"/>
                <w:szCs w:val="21"/>
              </w:rPr>
              <w:t>3.77E-04</w:t>
            </w:r>
          </w:p>
        </w:tc>
        <w:tc>
          <w:tcPr>
            <w:tcW w:w="532" w:type="pct"/>
            <w:shd w:val="clear" w:color="auto" w:fill="auto"/>
          </w:tcPr>
          <w:p w14:paraId="4A79D19A">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3E6AD790">
            <w:pPr>
              <w:widowControl/>
              <w:spacing w:line="240" w:lineRule="auto"/>
              <w:ind w:firstLine="0" w:firstLineChars="0"/>
              <w:jc w:val="center"/>
              <w:rPr>
                <w:color w:val="auto"/>
                <w:kern w:val="0"/>
                <w:sz w:val="21"/>
                <w:szCs w:val="21"/>
              </w:rPr>
            </w:pPr>
            <w:r>
              <w:rPr>
                <w:color w:val="auto"/>
                <w:sz w:val="21"/>
                <w:szCs w:val="21"/>
              </w:rPr>
              <w:t>3.33E-04</w:t>
            </w:r>
          </w:p>
        </w:tc>
        <w:tc>
          <w:tcPr>
            <w:tcW w:w="360" w:type="pct"/>
            <w:shd w:val="clear" w:color="auto" w:fill="auto"/>
          </w:tcPr>
          <w:p w14:paraId="23DC93B8">
            <w:pPr>
              <w:widowControl/>
              <w:spacing w:line="240" w:lineRule="auto"/>
              <w:ind w:firstLine="0" w:firstLineChars="0"/>
              <w:jc w:val="center"/>
              <w:rPr>
                <w:color w:val="auto"/>
                <w:kern w:val="0"/>
                <w:sz w:val="21"/>
                <w:szCs w:val="21"/>
              </w:rPr>
            </w:pPr>
            <w:r>
              <w:rPr>
                <w:color w:val="auto"/>
                <w:sz w:val="21"/>
                <w:szCs w:val="21"/>
              </w:rPr>
              <w:t>0.17</w:t>
            </w:r>
          </w:p>
        </w:tc>
      </w:tr>
      <w:tr w14:paraId="55DB7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31F5A15">
            <w:pPr>
              <w:widowControl/>
              <w:spacing w:line="240" w:lineRule="auto"/>
              <w:ind w:firstLine="0" w:firstLineChars="0"/>
              <w:jc w:val="center"/>
              <w:rPr>
                <w:color w:val="auto"/>
                <w:kern w:val="0"/>
                <w:sz w:val="21"/>
                <w:szCs w:val="21"/>
              </w:rPr>
            </w:pPr>
            <w:r>
              <w:rPr>
                <w:color w:val="auto"/>
                <w:sz w:val="21"/>
                <w:szCs w:val="21"/>
              </w:rPr>
              <w:t>925</w:t>
            </w:r>
          </w:p>
        </w:tc>
        <w:tc>
          <w:tcPr>
            <w:tcW w:w="416" w:type="pct"/>
            <w:shd w:val="clear" w:color="auto" w:fill="auto"/>
          </w:tcPr>
          <w:p w14:paraId="04CF8DF5">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2985979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5146BEC">
            <w:pPr>
              <w:widowControl/>
              <w:spacing w:line="240" w:lineRule="auto"/>
              <w:ind w:firstLine="0" w:firstLineChars="0"/>
              <w:jc w:val="center"/>
              <w:rPr>
                <w:color w:val="auto"/>
                <w:sz w:val="21"/>
                <w:szCs w:val="21"/>
              </w:rPr>
            </w:pPr>
            <w:r>
              <w:rPr>
                <w:rFonts w:hint="eastAsia"/>
                <w:color w:val="auto"/>
                <w:sz w:val="21"/>
                <w:szCs w:val="21"/>
              </w:rPr>
              <w:t>7.92E-06</w:t>
            </w:r>
          </w:p>
        </w:tc>
        <w:tc>
          <w:tcPr>
            <w:tcW w:w="409" w:type="pct"/>
            <w:shd w:val="clear" w:color="auto" w:fill="auto"/>
          </w:tcPr>
          <w:p w14:paraId="7B7CF2D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37CB4C4">
            <w:pPr>
              <w:widowControl/>
              <w:spacing w:line="240" w:lineRule="auto"/>
              <w:ind w:firstLine="0" w:firstLineChars="0"/>
              <w:jc w:val="center"/>
              <w:rPr>
                <w:color w:val="auto"/>
                <w:sz w:val="21"/>
                <w:szCs w:val="21"/>
              </w:rPr>
            </w:pPr>
            <w:r>
              <w:rPr>
                <w:rFonts w:hint="eastAsia"/>
                <w:color w:val="auto"/>
                <w:sz w:val="21"/>
                <w:szCs w:val="21"/>
              </w:rPr>
              <w:t>7.49E-05</w:t>
            </w:r>
          </w:p>
        </w:tc>
        <w:tc>
          <w:tcPr>
            <w:tcW w:w="423" w:type="pct"/>
            <w:shd w:val="clear" w:color="auto" w:fill="auto"/>
          </w:tcPr>
          <w:p w14:paraId="622F7F85">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33BF39F">
            <w:pPr>
              <w:widowControl/>
              <w:spacing w:line="240" w:lineRule="auto"/>
              <w:ind w:firstLine="0" w:firstLineChars="0"/>
              <w:jc w:val="center"/>
              <w:rPr>
                <w:color w:val="auto"/>
                <w:kern w:val="0"/>
                <w:sz w:val="21"/>
                <w:szCs w:val="21"/>
              </w:rPr>
            </w:pPr>
            <w:r>
              <w:rPr>
                <w:rFonts w:hint="eastAsia"/>
                <w:color w:val="auto"/>
                <w:sz w:val="21"/>
                <w:szCs w:val="21"/>
              </w:rPr>
              <w:t>3.79E-04</w:t>
            </w:r>
          </w:p>
        </w:tc>
        <w:tc>
          <w:tcPr>
            <w:tcW w:w="532" w:type="pct"/>
            <w:shd w:val="clear" w:color="auto" w:fill="auto"/>
          </w:tcPr>
          <w:p w14:paraId="3DFE0097">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546974ED">
            <w:pPr>
              <w:widowControl/>
              <w:spacing w:line="240" w:lineRule="auto"/>
              <w:ind w:firstLine="0" w:firstLineChars="0"/>
              <w:jc w:val="center"/>
              <w:rPr>
                <w:color w:val="auto"/>
                <w:kern w:val="0"/>
                <w:sz w:val="21"/>
                <w:szCs w:val="21"/>
              </w:rPr>
            </w:pPr>
            <w:r>
              <w:rPr>
                <w:color w:val="auto"/>
                <w:sz w:val="21"/>
                <w:szCs w:val="21"/>
              </w:rPr>
              <w:t>3.33E-04</w:t>
            </w:r>
          </w:p>
        </w:tc>
        <w:tc>
          <w:tcPr>
            <w:tcW w:w="360" w:type="pct"/>
            <w:shd w:val="clear" w:color="auto" w:fill="auto"/>
          </w:tcPr>
          <w:p w14:paraId="6CB77A4B">
            <w:pPr>
              <w:widowControl/>
              <w:spacing w:line="240" w:lineRule="auto"/>
              <w:ind w:firstLine="0" w:firstLineChars="0"/>
              <w:jc w:val="center"/>
              <w:rPr>
                <w:color w:val="auto"/>
                <w:kern w:val="0"/>
                <w:sz w:val="21"/>
                <w:szCs w:val="21"/>
              </w:rPr>
            </w:pPr>
            <w:r>
              <w:rPr>
                <w:color w:val="auto"/>
                <w:sz w:val="21"/>
                <w:szCs w:val="21"/>
              </w:rPr>
              <w:t>0.17</w:t>
            </w:r>
          </w:p>
        </w:tc>
      </w:tr>
      <w:tr w14:paraId="138BF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ED99176">
            <w:pPr>
              <w:widowControl/>
              <w:spacing w:line="240" w:lineRule="auto"/>
              <w:ind w:firstLine="0" w:firstLineChars="0"/>
              <w:jc w:val="center"/>
              <w:rPr>
                <w:color w:val="auto"/>
                <w:kern w:val="0"/>
                <w:sz w:val="21"/>
                <w:szCs w:val="21"/>
              </w:rPr>
            </w:pPr>
            <w:r>
              <w:rPr>
                <w:color w:val="auto"/>
                <w:sz w:val="21"/>
                <w:szCs w:val="21"/>
              </w:rPr>
              <w:t>950</w:t>
            </w:r>
          </w:p>
        </w:tc>
        <w:tc>
          <w:tcPr>
            <w:tcW w:w="416" w:type="pct"/>
            <w:shd w:val="clear" w:color="auto" w:fill="auto"/>
          </w:tcPr>
          <w:p w14:paraId="5BAE509B">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495723F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F0CD7BD">
            <w:pPr>
              <w:widowControl/>
              <w:spacing w:line="240" w:lineRule="auto"/>
              <w:ind w:firstLine="0" w:firstLineChars="0"/>
              <w:jc w:val="center"/>
              <w:rPr>
                <w:color w:val="auto"/>
                <w:sz w:val="21"/>
                <w:szCs w:val="21"/>
              </w:rPr>
            </w:pPr>
            <w:r>
              <w:rPr>
                <w:rFonts w:hint="eastAsia"/>
                <w:color w:val="auto"/>
                <w:sz w:val="21"/>
                <w:szCs w:val="21"/>
              </w:rPr>
              <w:t>7.92E-06</w:t>
            </w:r>
          </w:p>
        </w:tc>
        <w:tc>
          <w:tcPr>
            <w:tcW w:w="409" w:type="pct"/>
            <w:shd w:val="clear" w:color="auto" w:fill="auto"/>
          </w:tcPr>
          <w:p w14:paraId="1ABD28E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5D7FFEF">
            <w:pPr>
              <w:widowControl/>
              <w:spacing w:line="240" w:lineRule="auto"/>
              <w:ind w:firstLine="0" w:firstLineChars="0"/>
              <w:jc w:val="center"/>
              <w:rPr>
                <w:color w:val="auto"/>
                <w:sz w:val="21"/>
                <w:szCs w:val="21"/>
              </w:rPr>
            </w:pPr>
            <w:r>
              <w:rPr>
                <w:rFonts w:hint="eastAsia"/>
                <w:color w:val="auto"/>
                <w:sz w:val="21"/>
                <w:szCs w:val="21"/>
              </w:rPr>
              <w:t>7.49E-05</w:t>
            </w:r>
          </w:p>
        </w:tc>
        <w:tc>
          <w:tcPr>
            <w:tcW w:w="423" w:type="pct"/>
            <w:shd w:val="clear" w:color="auto" w:fill="auto"/>
          </w:tcPr>
          <w:p w14:paraId="2A826CFC">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89BCE5F">
            <w:pPr>
              <w:widowControl/>
              <w:spacing w:line="240" w:lineRule="auto"/>
              <w:ind w:firstLine="0" w:firstLineChars="0"/>
              <w:jc w:val="center"/>
              <w:rPr>
                <w:color w:val="auto"/>
                <w:kern w:val="0"/>
                <w:sz w:val="21"/>
                <w:szCs w:val="21"/>
              </w:rPr>
            </w:pPr>
            <w:r>
              <w:rPr>
                <w:rFonts w:hint="eastAsia"/>
                <w:color w:val="auto"/>
                <w:sz w:val="21"/>
                <w:szCs w:val="21"/>
              </w:rPr>
              <w:t>3.81E-04</w:t>
            </w:r>
          </w:p>
        </w:tc>
        <w:tc>
          <w:tcPr>
            <w:tcW w:w="532" w:type="pct"/>
            <w:shd w:val="clear" w:color="auto" w:fill="auto"/>
          </w:tcPr>
          <w:p w14:paraId="3C48EFA6">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551E84AD">
            <w:pPr>
              <w:widowControl/>
              <w:spacing w:line="240" w:lineRule="auto"/>
              <w:ind w:firstLine="0" w:firstLineChars="0"/>
              <w:jc w:val="center"/>
              <w:rPr>
                <w:color w:val="auto"/>
                <w:kern w:val="0"/>
                <w:sz w:val="21"/>
                <w:szCs w:val="21"/>
              </w:rPr>
            </w:pPr>
            <w:r>
              <w:rPr>
                <w:color w:val="auto"/>
                <w:sz w:val="21"/>
                <w:szCs w:val="21"/>
              </w:rPr>
              <w:t>3.33E-04</w:t>
            </w:r>
          </w:p>
        </w:tc>
        <w:tc>
          <w:tcPr>
            <w:tcW w:w="360" w:type="pct"/>
            <w:shd w:val="clear" w:color="auto" w:fill="auto"/>
          </w:tcPr>
          <w:p w14:paraId="0ED4C4BB">
            <w:pPr>
              <w:widowControl/>
              <w:spacing w:line="240" w:lineRule="auto"/>
              <w:ind w:firstLine="0" w:firstLineChars="0"/>
              <w:jc w:val="center"/>
              <w:rPr>
                <w:color w:val="auto"/>
                <w:kern w:val="0"/>
                <w:sz w:val="21"/>
                <w:szCs w:val="21"/>
              </w:rPr>
            </w:pPr>
            <w:r>
              <w:rPr>
                <w:color w:val="auto"/>
                <w:sz w:val="21"/>
                <w:szCs w:val="21"/>
              </w:rPr>
              <w:t>0.17</w:t>
            </w:r>
          </w:p>
        </w:tc>
      </w:tr>
      <w:tr w14:paraId="20A6B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ADA7E68">
            <w:pPr>
              <w:widowControl/>
              <w:spacing w:line="240" w:lineRule="auto"/>
              <w:ind w:firstLine="0" w:firstLineChars="0"/>
              <w:jc w:val="center"/>
              <w:rPr>
                <w:color w:val="auto"/>
                <w:kern w:val="0"/>
                <w:sz w:val="21"/>
                <w:szCs w:val="21"/>
              </w:rPr>
            </w:pPr>
            <w:r>
              <w:rPr>
                <w:color w:val="auto"/>
                <w:sz w:val="21"/>
                <w:szCs w:val="21"/>
              </w:rPr>
              <w:t>975</w:t>
            </w:r>
          </w:p>
        </w:tc>
        <w:tc>
          <w:tcPr>
            <w:tcW w:w="416" w:type="pct"/>
            <w:shd w:val="clear" w:color="auto" w:fill="auto"/>
          </w:tcPr>
          <w:p w14:paraId="2B305C36">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794E43F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A92CF25">
            <w:pPr>
              <w:widowControl/>
              <w:spacing w:line="240" w:lineRule="auto"/>
              <w:ind w:firstLine="0" w:firstLineChars="0"/>
              <w:jc w:val="center"/>
              <w:rPr>
                <w:color w:val="auto"/>
                <w:sz w:val="21"/>
                <w:szCs w:val="21"/>
              </w:rPr>
            </w:pPr>
            <w:r>
              <w:rPr>
                <w:rFonts w:hint="eastAsia"/>
                <w:color w:val="auto"/>
                <w:sz w:val="21"/>
                <w:szCs w:val="21"/>
              </w:rPr>
              <w:t>7.91E-06</w:t>
            </w:r>
          </w:p>
        </w:tc>
        <w:tc>
          <w:tcPr>
            <w:tcW w:w="409" w:type="pct"/>
            <w:shd w:val="clear" w:color="auto" w:fill="auto"/>
          </w:tcPr>
          <w:p w14:paraId="7D21AC0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FD2B1B0">
            <w:pPr>
              <w:widowControl/>
              <w:spacing w:line="240" w:lineRule="auto"/>
              <w:ind w:firstLine="0" w:firstLineChars="0"/>
              <w:jc w:val="center"/>
              <w:rPr>
                <w:color w:val="auto"/>
                <w:sz w:val="21"/>
                <w:szCs w:val="21"/>
              </w:rPr>
            </w:pPr>
            <w:r>
              <w:rPr>
                <w:rFonts w:hint="eastAsia"/>
                <w:color w:val="auto"/>
                <w:sz w:val="21"/>
                <w:szCs w:val="21"/>
              </w:rPr>
              <w:t>7.49E-05</w:t>
            </w:r>
          </w:p>
        </w:tc>
        <w:tc>
          <w:tcPr>
            <w:tcW w:w="423" w:type="pct"/>
            <w:shd w:val="clear" w:color="auto" w:fill="auto"/>
          </w:tcPr>
          <w:p w14:paraId="20F778B1">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0DDEA47">
            <w:pPr>
              <w:widowControl/>
              <w:spacing w:line="240" w:lineRule="auto"/>
              <w:ind w:firstLine="0" w:firstLineChars="0"/>
              <w:jc w:val="center"/>
              <w:rPr>
                <w:color w:val="auto"/>
                <w:kern w:val="0"/>
                <w:sz w:val="21"/>
                <w:szCs w:val="21"/>
              </w:rPr>
            </w:pPr>
            <w:r>
              <w:rPr>
                <w:rFonts w:hint="eastAsia"/>
                <w:color w:val="auto"/>
                <w:sz w:val="21"/>
                <w:szCs w:val="21"/>
              </w:rPr>
              <w:t>3.82E-04</w:t>
            </w:r>
          </w:p>
        </w:tc>
        <w:tc>
          <w:tcPr>
            <w:tcW w:w="532" w:type="pct"/>
            <w:shd w:val="clear" w:color="auto" w:fill="auto"/>
          </w:tcPr>
          <w:p w14:paraId="6C7186AC">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5A486F5E">
            <w:pPr>
              <w:widowControl/>
              <w:spacing w:line="240" w:lineRule="auto"/>
              <w:ind w:firstLine="0" w:firstLineChars="0"/>
              <w:jc w:val="center"/>
              <w:rPr>
                <w:color w:val="auto"/>
                <w:kern w:val="0"/>
                <w:sz w:val="21"/>
                <w:szCs w:val="21"/>
              </w:rPr>
            </w:pPr>
            <w:r>
              <w:rPr>
                <w:color w:val="auto"/>
                <w:sz w:val="21"/>
                <w:szCs w:val="21"/>
              </w:rPr>
              <w:t>3.33E-04</w:t>
            </w:r>
          </w:p>
        </w:tc>
        <w:tc>
          <w:tcPr>
            <w:tcW w:w="360" w:type="pct"/>
            <w:shd w:val="clear" w:color="auto" w:fill="auto"/>
          </w:tcPr>
          <w:p w14:paraId="27E53ECB">
            <w:pPr>
              <w:widowControl/>
              <w:spacing w:line="240" w:lineRule="auto"/>
              <w:ind w:firstLine="0" w:firstLineChars="0"/>
              <w:jc w:val="center"/>
              <w:rPr>
                <w:color w:val="auto"/>
                <w:kern w:val="0"/>
                <w:sz w:val="21"/>
                <w:szCs w:val="21"/>
              </w:rPr>
            </w:pPr>
            <w:r>
              <w:rPr>
                <w:color w:val="auto"/>
                <w:sz w:val="21"/>
                <w:szCs w:val="21"/>
              </w:rPr>
              <w:t>0.17</w:t>
            </w:r>
          </w:p>
        </w:tc>
      </w:tr>
      <w:tr w14:paraId="12DAA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7A6C4A4">
            <w:pPr>
              <w:widowControl/>
              <w:spacing w:line="240" w:lineRule="auto"/>
              <w:ind w:firstLine="0" w:firstLineChars="0"/>
              <w:jc w:val="center"/>
              <w:rPr>
                <w:color w:val="auto"/>
                <w:kern w:val="0"/>
                <w:sz w:val="21"/>
                <w:szCs w:val="21"/>
              </w:rPr>
            </w:pPr>
            <w:r>
              <w:rPr>
                <w:color w:val="auto"/>
                <w:sz w:val="21"/>
                <w:szCs w:val="21"/>
              </w:rPr>
              <w:t>1000</w:t>
            </w:r>
          </w:p>
        </w:tc>
        <w:tc>
          <w:tcPr>
            <w:tcW w:w="416" w:type="pct"/>
            <w:shd w:val="clear" w:color="auto" w:fill="auto"/>
          </w:tcPr>
          <w:p w14:paraId="13D2A731">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1364AD96">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8642278">
            <w:pPr>
              <w:widowControl/>
              <w:spacing w:line="240" w:lineRule="auto"/>
              <w:ind w:firstLine="0" w:firstLineChars="0"/>
              <w:jc w:val="center"/>
              <w:rPr>
                <w:color w:val="auto"/>
                <w:sz w:val="21"/>
                <w:szCs w:val="21"/>
              </w:rPr>
            </w:pPr>
            <w:r>
              <w:rPr>
                <w:rFonts w:hint="eastAsia"/>
                <w:color w:val="auto"/>
                <w:sz w:val="21"/>
                <w:szCs w:val="21"/>
              </w:rPr>
              <w:t>7.90E-06</w:t>
            </w:r>
          </w:p>
        </w:tc>
        <w:tc>
          <w:tcPr>
            <w:tcW w:w="409" w:type="pct"/>
            <w:shd w:val="clear" w:color="auto" w:fill="auto"/>
          </w:tcPr>
          <w:p w14:paraId="548B1A4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77CEB77">
            <w:pPr>
              <w:widowControl/>
              <w:spacing w:line="240" w:lineRule="auto"/>
              <w:ind w:firstLine="0" w:firstLineChars="0"/>
              <w:jc w:val="center"/>
              <w:rPr>
                <w:color w:val="auto"/>
                <w:sz w:val="21"/>
                <w:szCs w:val="21"/>
              </w:rPr>
            </w:pPr>
            <w:r>
              <w:rPr>
                <w:rFonts w:hint="eastAsia"/>
                <w:color w:val="auto"/>
                <w:sz w:val="21"/>
                <w:szCs w:val="21"/>
              </w:rPr>
              <w:t>7.47E-05</w:t>
            </w:r>
          </w:p>
        </w:tc>
        <w:tc>
          <w:tcPr>
            <w:tcW w:w="423" w:type="pct"/>
            <w:shd w:val="clear" w:color="auto" w:fill="auto"/>
          </w:tcPr>
          <w:p w14:paraId="0E6218D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46087A9">
            <w:pPr>
              <w:widowControl/>
              <w:spacing w:line="240" w:lineRule="auto"/>
              <w:ind w:firstLine="0" w:firstLineChars="0"/>
              <w:jc w:val="center"/>
              <w:rPr>
                <w:color w:val="auto"/>
                <w:kern w:val="0"/>
                <w:sz w:val="21"/>
                <w:szCs w:val="21"/>
              </w:rPr>
            </w:pPr>
            <w:r>
              <w:rPr>
                <w:rFonts w:hint="eastAsia"/>
                <w:color w:val="auto"/>
                <w:sz w:val="21"/>
                <w:szCs w:val="21"/>
              </w:rPr>
              <w:t>3.83E-04</w:t>
            </w:r>
          </w:p>
        </w:tc>
        <w:tc>
          <w:tcPr>
            <w:tcW w:w="532" w:type="pct"/>
            <w:shd w:val="clear" w:color="auto" w:fill="auto"/>
          </w:tcPr>
          <w:p w14:paraId="66415321">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731F190A">
            <w:pPr>
              <w:widowControl/>
              <w:spacing w:line="240" w:lineRule="auto"/>
              <w:ind w:firstLine="0" w:firstLineChars="0"/>
              <w:jc w:val="center"/>
              <w:rPr>
                <w:color w:val="auto"/>
                <w:kern w:val="0"/>
                <w:sz w:val="21"/>
                <w:szCs w:val="21"/>
              </w:rPr>
            </w:pPr>
            <w:r>
              <w:rPr>
                <w:color w:val="auto"/>
                <w:sz w:val="21"/>
                <w:szCs w:val="21"/>
              </w:rPr>
              <w:t>3.32E-04</w:t>
            </w:r>
          </w:p>
        </w:tc>
        <w:tc>
          <w:tcPr>
            <w:tcW w:w="360" w:type="pct"/>
            <w:shd w:val="clear" w:color="auto" w:fill="auto"/>
          </w:tcPr>
          <w:p w14:paraId="0B107EBC">
            <w:pPr>
              <w:widowControl/>
              <w:spacing w:line="240" w:lineRule="auto"/>
              <w:ind w:firstLine="0" w:firstLineChars="0"/>
              <w:jc w:val="center"/>
              <w:rPr>
                <w:color w:val="auto"/>
                <w:kern w:val="0"/>
                <w:sz w:val="21"/>
                <w:szCs w:val="21"/>
              </w:rPr>
            </w:pPr>
            <w:r>
              <w:rPr>
                <w:color w:val="auto"/>
                <w:sz w:val="21"/>
                <w:szCs w:val="21"/>
              </w:rPr>
              <w:t>0.17</w:t>
            </w:r>
          </w:p>
        </w:tc>
      </w:tr>
      <w:tr w14:paraId="057DD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A416126">
            <w:pPr>
              <w:widowControl/>
              <w:spacing w:line="240" w:lineRule="auto"/>
              <w:ind w:firstLine="0" w:firstLineChars="0"/>
              <w:jc w:val="center"/>
              <w:rPr>
                <w:color w:val="auto"/>
                <w:kern w:val="0"/>
                <w:sz w:val="21"/>
                <w:szCs w:val="21"/>
              </w:rPr>
            </w:pPr>
            <w:r>
              <w:rPr>
                <w:color w:val="auto"/>
                <w:sz w:val="21"/>
                <w:szCs w:val="21"/>
              </w:rPr>
              <w:t>1025</w:t>
            </w:r>
          </w:p>
        </w:tc>
        <w:tc>
          <w:tcPr>
            <w:tcW w:w="416" w:type="pct"/>
            <w:shd w:val="clear" w:color="auto" w:fill="auto"/>
          </w:tcPr>
          <w:p w14:paraId="6938E7F6">
            <w:pPr>
              <w:widowControl/>
              <w:spacing w:line="240" w:lineRule="auto"/>
              <w:ind w:firstLine="0" w:firstLineChars="0"/>
              <w:jc w:val="center"/>
              <w:rPr>
                <w:color w:val="auto"/>
                <w:sz w:val="21"/>
                <w:szCs w:val="21"/>
              </w:rPr>
            </w:pPr>
            <w:r>
              <w:rPr>
                <w:rFonts w:hint="eastAsia"/>
                <w:color w:val="auto"/>
                <w:sz w:val="21"/>
                <w:szCs w:val="21"/>
              </w:rPr>
              <w:t>1.09E-05</w:t>
            </w:r>
          </w:p>
        </w:tc>
        <w:tc>
          <w:tcPr>
            <w:tcW w:w="410" w:type="pct"/>
            <w:shd w:val="clear" w:color="auto" w:fill="auto"/>
          </w:tcPr>
          <w:p w14:paraId="4727BD8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A9FCDB8">
            <w:pPr>
              <w:widowControl/>
              <w:spacing w:line="240" w:lineRule="auto"/>
              <w:ind w:firstLine="0" w:firstLineChars="0"/>
              <w:jc w:val="center"/>
              <w:rPr>
                <w:color w:val="auto"/>
                <w:sz w:val="21"/>
                <w:szCs w:val="21"/>
              </w:rPr>
            </w:pPr>
            <w:r>
              <w:rPr>
                <w:rFonts w:hint="eastAsia"/>
                <w:color w:val="auto"/>
                <w:sz w:val="21"/>
                <w:szCs w:val="21"/>
              </w:rPr>
              <w:t>7.88E-06</w:t>
            </w:r>
          </w:p>
        </w:tc>
        <w:tc>
          <w:tcPr>
            <w:tcW w:w="409" w:type="pct"/>
            <w:shd w:val="clear" w:color="auto" w:fill="auto"/>
          </w:tcPr>
          <w:p w14:paraId="3FA4039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22A28A6">
            <w:pPr>
              <w:widowControl/>
              <w:spacing w:line="240" w:lineRule="auto"/>
              <w:ind w:firstLine="0" w:firstLineChars="0"/>
              <w:jc w:val="center"/>
              <w:rPr>
                <w:color w:val="auto"/>
                <w:sz w:val="21"/>
                <w:szCs w:val="21"/>
              </w:rPr>
            </w:pPr>
            <w:r>
              <w:rPr>
                <w:rFonts w:hint="eastAsia"/>
                <w:color w:val="auto"/>
                <w:sz w:val="21"/>
                <w:szCs w:val="21"/>
              </w:rPr>
              <w:t>7.45E-05</w:t>
            </w:r>
          </w:p>
        </w:tc>
        <w:tc>
          <w:tcPr>
            <w:tcW w:w="423" w:type="pct"/>
            <w:shd w:val="clear" w:color="auto" w:fill="auto"/>
          </w:tcPr>
          <w:p w14:paraId="766620A6">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6FF70EC">
            <w:pPr>
              <w:widowControl/>
              <w:spacing w:line="240" w:lineRule="auto"/>
              <w:ind w:firstLine="0" w:firstLineChars="0"/>
              <w:jc w:val="center"/>
              <w:rPr>
                <w:color w:val="auto"/>
                <w:kern w:val="0"/>
                <w:sz w:val="21"/>
                <w:szCs w:val="21"/>
              </w:rPr>
            </w:pPr>
            <w:r>
              <w:rPr>
                <w:rFonts w:hint="eastAsia"/>
                <w:color w:val="auto"/>
                <w:sz w:val="21"/>
                <w:szCs w:val="21"/>
              </w:rPr>
              <w:t>3.84E-04</w:t>
            </w:r>
          </w:p>
        </w:tc>
        <w:tc>
          <w:tcPr>
            <w:tcW w:w="532" w:type="pct"/>
            <w:shd w:val="clear" w:color="auto" w:fill="auto"/>
          </w:tcPr>
          <w:p w14:paraId="509BE7DF">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081B4390">
            <w:pPr>
              <w:widowControl/>
              <w:spacing w:line="240" w:lineRule="auto"/>
              <w:ind w:firstLine="0" w:firstLineChars="0"/>
              <w:jc w:val="center"/>
              <w:rPr>
                <w:color w:val="auto"/>
                <w:kern w:val="0"/>
                <w:sz w:val="21"/>
                <w:szCs w:val="21"/>
              </w:rPr>
            </w:pPr>
            <w:r>
              <w:rPr>
                <w:color w:val="auto"/>
                <w:sz w:val="21"/>
                <w:szCs w:val="21"/>
              </w:rPr>
              <w:t>3.31E-04</w:t>
            </w:r>
          </w:p>
        </w:tc>
        <w:tc>
          <w:tcPr>
            <w:tcW w:w="360" w:type="pct"/>
            <w:shd w:val="clear" w:color="auto" w:fill="auto"/>
          </w:tcPr>
          <w:p w14:paraId="18FB8DDB">
            <w:pPr>
              <w:widowControl/>
              <w:spacing w:line="240" w:lineRule="auto"/>
              <w:ind w:firstLine="0" w:firstLineChars="0"/>
              <w:jc w:val="center"/>
              <w:rPr>
                <w:color w:val="auto"/>
                <w:kern w:val="0"/>
                <w:sz w:val="21"/>
                <w:szCs w:val="21"/>
              </w:rPr>
            </w:pPr>
            <w:r>
              <w:rPr>
                <w:color w:val="auto"/>
                <w:sz w:val="21"/>
                <w:szCs w:val="21"/>
              </w:rPr>
              <w:t>0.17</w:t>
            </w:r>
          </w:p>
        </w:tc>
      </w:tr>
      <w:tr w14:paraId="2C55F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82BE02F">
            <w:pPr>
              <w:widowControl/>
              <w:spacing w:line="240" w:lineRule="auto"/>
              <w:ind w:firstLine="0" w:firstLineChars="0"/>
              <w:jc w:val="center"/>
              <w:rPr>
                <w:color w:val="auto"/>
                <w:kern w:val="0"/>
                <w:sz w:val="21"/>
                <w:szCs w:val="21"/>
              </w:rPr>
            </w:pPr>
            <w:r>
              <w:rPr>
                <w:color w:val="auto"/>
                <w:sz w:val="21"/>
                <w:szCs w:val="21"/>
              </w:rPr>
              <w:t>1050</w:t>
            </w:r>
          </w:p>
        </w:tc>
        <w:tc>
          <w:tcPr>
            <w:tcW w:w="416" w:type="pct"/>
            <w:shd w:val="clear" w:color="auto" w:fill="auto"/>
          </w:tcPr>
          <w:p w14:paraId="564457B8">
            <w:pPr>
              <w:widowControl/>
              <w:spacing w:line="240" w:lineRule="auto"/>
              <w:ind w:firstLine="0" w:firstLineChars="0"/>
              <w:jc w:val="center"/>
              <w:rPr>
                <w:color w:val="auto"/>
                <w:sz w:val="21"/>
                <w:szCs w:val="21"/>
              </w:rPr>
            </w:pPr>
            <w:r>
              <w:rPr>
                <w:rFonts w:hint="eastAsia"/>
                <w:color w:val="auto"/>
                <w:sz w:val="21"/>
                <w:szCs w:val="21"/>
              </w:rPr>
              <w:t>1.08E-05</w:t>
            </w:r>
          </w:p>
        </w:tc>
        <w:tc>
          <w:tcPr>
            <w:tcW w:w="410" w:type="pct"/>
            <w:shd w:val="clear" w:color="auto" w:fill="auto"/>
          </w:tcPr>
          <w:p w14:paraId="16E6163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3EF3D29">
            <w:pPr>
              <w:widowControl/>
              <w:spacing w:line="240" w:lineRule="auto"/>
              <w:ind w:firstLine="0" w:firstLineChars="0"/>
              <w:jc w:val="center"/>
              <w:rPr>
                <w:color w:val="auto"/>
                <w:sz w:val="21"/>
                <w:szCs w:val="21"/>
              </w:rPr>
            </w:pPr>
            <w:r>
              <w:rPr>
                <w:rFonts w:hint="eastAsia"/>
                <w:color w:val="auto"/>
                <w:sz w:val="21"/>
                <w:szCs w:val="21"/>
              </w:rPr>
              <w:t>7.85E-06</w:t>
            </w:r>
          </w:p>
        </w:tc>
        <w:tc>
          <w:tcPr>
            <w:tcW w:w="409" w:type="pct"/>
            <w:shd w:val="clear" w:color="auto" w:fill="auto"/>
          </w:tcPr>
          <w:p w14:paraId="5C0A071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7BDE15C">
            <w:pPr>
              <w:widowControl/>
              <w:spacing w:line="240" w:lineRule="auto"/>
              <w:ind w:firstLine="0" w:firstLineChars="0"/>
              <w:jc w:val="center"/>
              <w:rPr>
                <w:color w:val="auto"/>
                <w:sz w:val="21"/>
                <w:szCs w:val="21"/>
              </w:rPr>
            </w:pPr>
            <w:r>
              <w:rPr>
                <w:rFonts w:hint="eastAsia"/>
                <w:color w:val="auto"/>
                <w:sz w:val="21"/>
                <w:szCs w:val="21"/>
              </w:rPr>
              <w:t>7.43E-05</w:t>
            </w:r>
          </w:p>
        </w:tc>
        <w:tc>
          <w:tcPr>
            <w:tcW w:w="423" w:type="pct"/>
            <w:shd w:val="clear" w:color="auto" w:fill="auto"/>
          </w:tcPr>
          <w:p w14:paraId="1A7B3328">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36649DF">
            <w:pPr>
              <w:widowControl/>
              <w:spacing w:line="240" w:lineRule="auto"/>
              <w:ind w:firstLine="0" w:firstLineChars="0"/>
              <w:jc w:val="center"/>
              <w:rPr>
                <w:color w:val="auto"/>
                <w:kern w:val="0"/>
                <w:sz w:val="21"/>
                <w:szCs w:val="21"/>
              </w:rPr>
            </w:pPr>
            <w:r>
              <w:rPr>
                <w:rFonts w:hint="eastAsia"/>
                <w:color w:val="auto"/>
                <w:sz w:val="21"/>
                <w:szCs w:val="21"/>
              </w:rPr>
              <w:t>3.84E-04</w:t>
            </w:r>
          </w:p>
        </w:tc>
        <w:tc>
          <w:tcPr>
            <w:tcW w:w="532" w:type="pct"/>
            <w:shd w:val="clear" w:color="auto" w:fill="auto"/>
          </w:tcPr>
          <w:p w14:paraId="062C964E">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778EDAD7">
            <w:pPr>
              <w:widowControl/>
              <w:spacing w:line="240" w:lineRule="auto"/>
              <w:ind w:firstLine="0" w:firstLineChars="0"/>
              <w:jc w:val="center"/>
              <w:rPr>
                <w:color w:val="auto"/>
                <w:kern w:val="0"/>
                <w:sz w:val="21"/>
                <w:szCs w:val="21"/>
              </w:rPr>
            </w:pPr>
            <w:r>
              <w:rPr>
                <w:color w:val="auto"/>
                <w:sz w:val="21"/>
                <w:szCs w:val="21"/>
              </w:rPr>
              <w:t>3.30E-04</w:t>
            </w:r>
          </w:p>
        </w:tc>
        <w:tc>
          <w:tcPr>
            <w:tcW w:w="360" w:type="pct"/>
            <w:shd w:val="clear" w:color="auto" w:fill="auto"/>
          </w:tcPr>
          <w:p w14:paraId="3E6E6643">
            <w:pPr>
              <w:widowControl/>
              <w:spacing w:line="240" w:lineRule="auto"/>
              <w:ind w:firstLine="0" w:firstLineChars="0"/>
              <w:jc w:val="center"/>
              <w:rPr>
                <w:color w:val="auto"/>
                <w:kern w:val="0"/>
                <w:sz w:val="21"/>
                <w:szCs w:val="21"/>
              </w:rPr>
            </w:pPr>
            <w:r>
              <w:rPr>
                <w:color w:val="auto"/>
                <w:sz w:val="21"/>
                <w:szCs w:val="21"/>
              </w:rPr>
              <w:t>0.17</w:t>
            </w:r>
          </w:p>
        </w:tc>
      </w:tr>
      <w:tr w14:paraId="46FB0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81BE1AC">
            <w:pPr>
              <w:widowControl/>
              <w:spacing w:line="240" w:lineRule="auto"/>
              <w:ind w:firstLine="0" w:firstLineChars="0"/>
              <w:jc w:val="center"/>
              <w:rPr>
                <w:color w:val="auto"/>
                <w:kern w:val="0"/>
                <w:sz w:val="21"/>
                <w:szCs w:val="21"/>
              </w:rPr>
            </w:pPr>
            <w:r>
              <w:rPr>
                <w:color w:val="auto"/>
                <w:sz w:val="21"/>
                <w:szCs w:val="21"/>
              </w:rPr>
              <w:t>1075</w:t>
            </w:r>
          </w:p>
        </w:tc>
        <w:tc>
          <w:tcPr>
            <w:tcW w:w="416" w:type="pct"/>
            <w:shd w:val="clear" w:color="auto" w:fill="auto"/>
          </w:tcPr>
          <w:p w14:paraId="60AD8615">
            <w:pPr>
              <w:widowControl/>
              <w:spacing w:line="240" w:lineRule="auto"/>
              <w:ind w:firstLine="0" w:firstLineChars="0"/>
              <w:jc w:val="center"/>
              <w:rPr>
                <w:color w:val="auto"/>
                <w:sz w:val="21"/>
                <w:szCs w:val="21"/>
              </w:rPr>
            </w:pPr>
            <w:r>
              <w:rPr>
                <w:rFonts w:hint="eastAsia"/>
                <w:color w:val="auto"/>
                <w:sz w:val="21"/>
                <w:szCs w:val="21"/>
              </w:rPr>
              <w:t>1.08E-05</w:t>
            </w:r>
          </w:p>
        </w:tc>
        <w:tc>
          <w:tcPr>
            <w:tcW w:w="410" w:type="pct"/>
            <w:shd w:val="clear" w:color="auto" w:fill="auto"/>
          </w:tcPr>
          <w:p w14:paraId="7BFDC48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169FE6F">
            <w:pPr>
              <w:widowControl/>
              <w:spacing w:line="240" w:lineRule="auto"/>
              <w:ind w:firstLine="0" w:firstLineChars="0"/>
              <w:jc w:val="center"/>
              <w:rPr>
                <w:color w:val="auto"/>
                <w:sz w:val="21"/>
                <w:szCs w:val="21"/>
              </w:rPr>
            </w:pPr>
            <w:r>
              <w:rPr>
                <w:rFonts w:hint="eastAsia"/>
                <w:color w:val="auto"/>
                <w:sz w:val="21"/>
                <w:szCs w:val="21"/>
              </w:rPr>
              <w:t>7.82E-06</w:t>
            </w:r>
          </w:p>
        </w:tc>
        <w:tc>
          <w:tcPr>
            <w:tcW w:w="409" w:type="pct"/>
            <w:shd w:val="clear" w:color="auto" w:fill="auto"/>
          </w:tcPr>
          <w:p w14:paraId="6A52BE9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3659D24">
            <w:pPr>
              <w:widowControl/>
              <w:spacing w:line="240" w:lineRule="auto"/>
              <w:ind w:firstLine="0" w:firstLineChars="0"/>
              <w:jc w:val="center"/>
              <w:rPr>
                <w:color w:val="auto"/>
                <w:sz w:val="21"/>
                <w:szCs w:val="21"/>
              </w:rPr>
            </w:pPr>
            <w:r>
              <w:rPr>
                <w:rFonts w:hint="eastAsia"/>
                <w:color w:val="auto"/>
                <w:sz w:val="21"/>
                <w:szCs w:val="21"/>
              </w:rPr>
              <w:t>7.40E-05</w:t>
            </w:r>
          </w:p>
        </w:tc>
        <w:tc>
          <w:tcPr>
            <w:tcW w:w="423" w:type="pct"/>
            <w:shd w:val="clear" w:color="auto" w:fill="auto"/>
          </w:tcPr>
          <w:p w14:paraId="6C4A2719">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3CACCAF">
            <w:pPr>
              <w:widowControl/>
              <w:spacing w:line="240" w:lineRule="auto"/>
              <w:ind w:firstLine="0" w:firstLineChars="0"/>
              <w:jc w:val="center"/>
              <w:rPr>
                <w:color w:val="auto"/>
                <w:kern w:val="0"/>
                <w:sz w:val="21"/>
                <w:szCs w:val="21"/>
              </w:rPr>
            </w:pPr>
            <w:r>
              <w:rPr>
                <w:rFonts w:hint="eastAsia"/>
                <w:color w:val="auto"/>
                <w:sz w:val="21"/>
                <w:szCs w:val="21"/>
              </w:rPr>
              <w:t>3.84E-04</w:t>
            </w:r>
          </w:p>
        </w:tc>
        <w:tc>
          <w:tcPr>
            <w:tcW w:w="532" w:type="pct"/>
            <w:shd w:val="clear" w:color="auto" w:fill="auto"/>
          </w:tcPr>
          <w:p w14:paraId="461B5746">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21F00275">
            <w:pPr>
              <w:widowControl/>
              <w:spacing w:line="240" w:lineRule="auto"/>
              <w:ind w:firstLine="0" w:firstLineChars="0"/>
              <w:jc w:val="center"/>
              <w:rPr>
                <w:color w:val="auto"/>
                <w:kern w:val="0"/>
                <w:sz w:val="21"/>
                <w:szCs w:val="21"/>
              </w:rPr>
            </w:pPr>
            <w:r>
              <w:rPr>
                <w:color w:val="auto"/>
                <w:sz w:val="21"/>
                <w:szCs w:val="21"/>
              </w:rPr>
              <w:t>3.29E-04</w:t>
            </w:r>
          </w:p>
        </w:tc>
        <w:tc>
          <w:tcPr>
            <w:tcW w:w="360" w:type="pct"/>
            <w:shd w:val="clear" w:color="auto" w:fill="auto"/>
          </w:tcPr>
          <w:p w14:paraId="0F9AF6CF">
            <w:pPr>
              <w:widowControl/>
              <w:spacing w:line="240" w:lineRule="auto"/>
              <w:ind w:firstLine="0" w:firstLineChars="0"/>
              <w:jc w:val="center"/>
              <w:rPr>
                <w:color w:val="auto"/>
                <w:kern w:val="0"/>
                <w:sz w:val="21"/>
                <w:szCs w:val="21"/>
              </w:rPr>
            </w:pPr>
            <w:r>
              <w:rPr>
                <w:color w:val="auto"/>
                <w:sz w:val="21"/>
                <w:szCs w:val="21"/>
              </w:rPr>
              <w:t>0.16</w:t>
            </w:r>
          </w:p>
        </w:tc>
      </w:tr>
      <w:tr w14:paraId="7DB08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8658ABF">
            <w:pPr>
              <w:widowControl/>
              <w:spacing w:line="240" w:lineRule="auto"/>
              <w:ind w:firstLine="0" w:firstLineChars="0"/>
              <w:jc w:val="center"/>
              <w:rPr>
                <w:color w:val="auto"/>
                <w:kern w:val="0"/>
                <w:sz w:val="21"/>
                <w:szCs w:val="21"/>
              </w:rPr>
            </w:pPr>
            <w:r>
              <w:rPr>
                <w:color w:val="auto"/>
                <w:sz w:val="21"/>
                <w:szCs w:val="21"/>
              </w:rPr>
              <w:t>1100</w:t>
            </w:r>
          </w:p>
        </w:tc>
        <w:tc>
          <w:tcPr>
            <w:tcW w:w="416" w:type="pct"/>
            <w:shd w:val="clear" w:color="auto" w:fill="auto"/>
          </w:tcPr>
          <w:p w14:paraId="5A8893BB">
            <w:pPr>
              <w:widowControl/>
              <w:spacing w:line="240" w:lineRule="auto"/>
              <w:ind w:firstLine="0" w:firstLineChars="0"/>
              <w:jc w:val="center"/>
              <w:rPr>
                <w:color w:val="auto"/>
                <w:sz w:val="21"/>
                <w:szCs w:val="21"/>
              </w:rPr>
            </w:pPr>
            <w:r>
              <w:rPr>
                <w:rFonts w:hint="eastAsia"/>
                <w:color w:val="auto"/>
                <w:sz w:val="21"/>
                <w:szCs w:val="21"/>
              </w:rPr>
              <w:t>1.07E-05</w:t>
            </w:r>
          </w:p>
        </w:tc>
        <w:tc>
          <w:tcPr>
            <w:tcW w:w="410" w:type="pct"/>
            <w:shd w:val="clear" w:color="auto" w:fill="auto"/>
          </w:tcPr>
          <w:p w14:paraId="44985EA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474E259">
            <w:pPr>
              <w:widowControl/>
              <w:spacing w:line="240" w:lineRule="auto"/>
              <w:ind w:firstLine="0" w:firstLineChars="0"/>
              <w:jc w:val="center"/>
              <w:rPr>
                <w:color w:val="auto"/>
                <w:sz w:val="21"/>
                <w:szCs w:val="21"/>
              </w:rPr>
            </w:pPr>
            <w:r>
              <w:rPr>
                <w:rFonts w:hint="eastAsia"/>
                <w:color w:val="auto"/>
                <w:sz w:val="21"/>
                <w:szCs w:val="21"/>
              </w:rPr>
              <w:t>7.78E-06</w:t>
            </w:r>
          </w:p>
        </w:tc>
        <w:tc>
          <w:tcPr>
            <w:tcW w:w="409" w:type="pct"/>
            <w:shd w:val="clear" w:color="auto" w:fill="auto"/>
          </w:tcPr>
          <w:p w14:paraId="331C3F7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DBB3E26">
            <w:pPr>
              <w:widowControl/>
              <w:spacing w:line="240" w:lineRule="auto"/>
              <w:ind w:firstLine="0" w:firstLineChars="0"/>
              <w:jc w:val="center"/>
              <w:rPr>
                <w:color w:val="auto"/>
                <w:sz w:val="21"/>
                <w:szCs w:val="21"/>
              </w:rPr>
            </w:pPr>
            <w:r>
              <w:rPr>
                <w:rFonts w:hint="eastAsia"/>
                <w:color w:val="auto"/>
                <w:sz w:val="21"/>
                <w:szCs w:val="21"/>
              </w:rPr>
              <w:t>7.36E-05</w:t>
            </w:r>
          </w:p>
        </w:tc>
        <w:tc>
          <w:tcPr>
            <w:tcW w:w="423" w:type="pct"/>
            <w:shd w:val="clear" w:color="auto" w:fill="auto"/>
          </w:tcPr>
          <w:p w14:paraId="734C1F0E">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A504177">
            <w:pPr>
              <w:widowControl/>
              <w:spacing w:line="240" w:lineRule="auto"/>
              <w:ind w:firstLine="0" w:firstLineChars="0"/>
              <w:jc w:val="center"/>
              <w:rPr>
                <w:color w:val="auto"/>
                <w:kern w:val="0"/>
                <w:sz w:val="21"/>
                <w:szCs w:val="21"/>
              </w:rPr>
            </w:pPr>
            <w:r>
              <w:rPr>
                <w:rFonts w:hint="eastAsia"/>
                <w:color w:val="auto"/>
                <w:sz w:val="21"/>
                <w:szCs w:val="21"/>
              </w:rPr>
              <w:t>3.83E-04</w:t>
            </w:r>
          </w:p>
        </w:tc>
        <w:tc>
          <w:tcPr>
            <w:tcW w:w="532" w:type="pct"/>
            <w:shd w:val="clear" w:color="auto" w:fill="auto"/>
          </w:tcPr>
          <w:p w14:paraId="03EC42EF">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19D06FFE">
            <w:pPr>
              <w:widowControl/>
              <w:spacing w:line="240" w:lineRule="auto"/>
              <w:ind w:firstLine="0" w:firstLineChars="0"/>
              <w:jc w:val="center"/>
              <w:rPr>
                <w:color w:val="auto"/>
                <w:kern w:val="0"/>
                <w:sz w:val="21"/>
                <w:szCs w:val="21"/>
              </w:rPr>
            </w:pPr>
            <w:r>
              <w:rPr>
                <w:color w:val="auto"/>
                <w:sz w:val="21"/>
                <w:szCs w:val="21"/>
              </w:rPr>
              <w:t>3.27E-04</w:t>
            </w:r>
          </w:p>
        </w:tc>
        <w:tc>
          <w:tcPr>
            <w:tcW w:w="360" w:type="pct"/>
            <w:shd w:val="clear" w:color="auto" w:fill="auto"/>
          </w:tcPr>
          <w:p w14:paraId="6C651A58">
            <w:pPr>
              <w:widowControl/>
              <w:spacing w:line="240" w:lineRule="auto"/>
              <w:ind w:firstLine="0" w:firstLineChars="0"/>
              <w:jc w:val="center"/>
              <w:rPr>
                <w:color w:val="auto"/>
                <w:kern w:val="0"/>
                <w:sz w:val="21"/>
                <w:szCs w:val="21"/>
              </w:rPr>
            </w:pPr>
            <w:r>
              <w:rPr>
                <w:color w:val="auto"/>
                <w:sz w:val="21"/>
                <w:szCs w:val="21"/>
              </w:rPr>
              <w:t>0.16</w:t>
            </w:r>
          </w:p>
        </w:tc>
      </w:tr>
      <w:tr w14:paraId="58E1B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9730486">
            <w:pPr>
              <w:widowControl/>
              <w:spacing w:line="240" w:lineRule="auto"/>
              <w:ind w:firstLine="0" w:firstLineChars="0"/>
              <w:jc w:val="center"/>
              <w:rPr>
                <w:color w:val="auto"/>
                <w:kern w:val="0"/>
                <w:sz w:val="21"/>
                <w:szCs w:val="21"/>
              </w:rPr>
            </w:pPr>
            <w:r>
              <w:rPr>
                <w:color w:val="auto"/>
                <w:sz w:val="21"/>
                <w:szCs w:val="21"/>
              </w:rPr>
              <w:t>1125</w:t>
            </w:r>
          </w:p>
        </w:tc>
        <w:tc>
          <w:tcPr>
            <w:tcW w:w="416" w:type="pct"/>
            <w:shd w:val="clear" w:color="auto" w:fill="auto"/>
          </w:tcPr>
          <w:p w14:paraId="4C8176E6">
            <w:pPr>
              <w:widowControl/>
              <w:spacing w:line="240" w:lineRule="auto"/>
              <w:ind w:firstLine="0" w:firstLineChars="0"/>
              <w:jc w:val="center"/>
              <w:rPr>
                <w:color w:val="auto"/>
                <w:sz w:val="21"/>
                <w:szCs w:val="21"/>
              </w:rPr>
            </w:pPr>
            <w:r>
              <w:rPr>
                <w:rFonts w:hint="eastAsia"/>
                <w:color w:val="auto"/>
                <w:sz w:val="21"/>
                <w:szCs w:val="21"/>
              </w:rPr>
              <w:t>1.07E-05</w:t>
            </w:r>
          </w:p>
        </w:tc>
        <w:tc>
          <w:tcPr>
            <w:tcW w:w="410" w:type="pct"/>
            <w:shd w:val="clear" w:color="auto" w:fill="auto"/>
          </w:tcPr>
          <w:p w14:paraId="1DBB36E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2357A6F">
            <w:pPr>
              <w:widowControl/>
              <w:spacing w:line="240" w:lineRule="auto"/>
              <w:ind w:firstLine="0" w:firstLineChars="0"/>
              <w:jc w:val="center"/>
              <w:rPr>
                <w:color w:val="auto"/>
                <w:sz w:val="21"/>
                <w:szCs w:val="21"/>
              </w:rPr>
            </w:pPr>
            <w:r>
              <w:rPr>
                <w:rFonts w:hint="eastAsia"/>
                <w:color w:val="auto"/>
                <w:sz w:val="21"/>
                <w:szCs w:val="21"/>
              </w:rPr>
              <w:t>7.74E-06</w:t>
            </w:r>
          </w:p>
        </w:tc>
        <w:tc>
          <w:tcPr>
            <w:tcW w:w="409" w:type="pct"/>
            <w:shd w:val="clear" w:color="auto" w:fill="auto"/>
          </w:tcPr>
          <w:p w14:paraId="48A6B13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DEA64DA">
            <w:pPr>
              <w:widowControl/>
              <w:spacing w:line="240" w:lineRule="auto"/>
              <w:ind w:firstLine="0" w:firstLineChars="0"/>
              <w:jc w:val="center"/>
              <w:rPr>
                <w:color w:val="auto"/>
                <w:sz w:val="21"/>
                <w:szCs w:val="21"/>
              </w:rPr>
            </w:pPr>
            <w:r>
              <w:rPr>
                <w:rFonts w:hint="eastAsia"/>
                <w:color w:val="auto"/>
                <w:sz w:val="21"/>
                <w:szCs w:val="21"/>
              </w:rPr>
              <w:t>7.32E-05</w:t>
            </w:r>
          </w:p>
        </w:tc>
        <w:tc>
          <w:tcPr>
            <w:tcW w:w="423" w:type="pct"/>
            <w:shd w:val="clear" w:color="auto" w:fill="auto"/>
          </w:tcPr>
          <w:p w14:paraId="642BC40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E0D2426">
            <w:pPr>
              <w:widowControl/>
              <w:spacing w:line="240" w:lineRule="auto"/>
              <w:ind w:firstLine="0" w:firstLineChars="0"/>
              <w:jc w:val="center"/>
              <w:rPr>
                <w:color w:val="auto"/>
                <w:kern w:val="0"/>
                <w:sz w:val="21"/>
                <w:szCs w:val="21"/>
              </w:rPr>
            </w:pPr>
            <w:r>
              <w:rPr>
                <w:rFonts w:hint="eastAsia"/>
                <w:color w:val="auto"/>
                <w:sz w:val="21"/>
                <w:szCs w:val="21"/>
              </w:rPr>
              <w:t>3.82E-04</w:t>
            </w:r>
          </w:p>
        </w:tc>
        <w:tc>
          <w:tcPr>
            <w:tcW w:w="532" w:type="pct"/>
            <w:shd w:val="clear" w:color="auto" w:fill="auto"/>
          </w:tcPr>
          <w:p w14:paraId="5930C88E">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3F8AC814">
            <w:pPr>
              <w:widowControl/>
              <w:spacing w:line="240" w:lineRule="auto"/>
              <w:ind w:firstLine="0" w:firstLineChars="0"/>
              <w:jc w:val="center"/>
              <w:rPr>
                <w:color w:val="auto"/>
                <w:kern w:val="0"/>
                <w:sz w:val="21"/>
                <w:szCs w:val="21"/>
              </w:rPr>
            </w:pPr>
            <w:r>
              <w:rPr>
                <w:color w:val="auto"/>
                <w:sz w:val="21"/>
                <w:szCs w:val="21"/>
              </w:rPr>
              <w:t>3.26E-04</w:t>
            </w:r>
          </w:p>
        </w:tc>
        <w:tc>
          <w:tcPr>
            <w:tcW w:w="360" w:type="pct"/>
            <w:shd w:val="clear" w:color="auto" w:fill="auto"/>
          </w:tcPr>
          <w:p w14:paraId="4A2A6E99">
            <w:pPr>
              <w:widowControl/>
              <w:spacing w:line="240" w:lineRule="auto"/>
              <w:ind w:firstLine="0" w:firstLineChars="0"/>
              <w:jc w:val="center"/>
              <w:rPr>
                <w:color w:val="auto"/>
                <w:kern w:val="0"/>
                <w:sz w:val="21"/>
                <w:szCs w:val="21"/>
              </w:rPr>
            </w:pPr>
            <w:r>
              <w:rPr>
                <w:color w:val="auto"/>
                <w:sz w:val="21"/>
                <w:szCs w:val="21"/>
              </w:rPr>
              <w:t>0.16</w:t>
            </w:r>
          </w:p>
        </w:tc>
      </w:tr>
      <w:tr w14:paraId="3EB46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6B9AF14">
            <w:pPr>
              <w:widowControl/>
              <w:spacing w:line="240" w:lineRule="auto"/>
              <w:ind w:firstLine="0" w:firstLineChars="0"/>
              <w:jc w:val="center"/>
              <w:rPr>
                <w:color w:val="auto"/>
                <w:kern w:val="0"/>
                <w:sz w:val="21"/>
                <w:szCs w:val="21"/>
              </w:rPr>
            </w:pPr>
            <w:r>
              <w:rPr>
                <w:color w:val="auto"/>
                <w:sz w:val="21"/>
                <w:szCs w:val="21"/>
              </w:rPr>
              <w:t>1150</w:t>
            </w:r>
          </w:p>
        </w:tc>
        <w:tc>
          <w:tcPr>
            <w:tcW w:w="416" w:type="pct"/>
            <w:shd w:val="clear" w:color="auto" w:fill="auto"/>
          </w:tcPr>
          <w:p w14:paraId="7C7E770A">
            <w:pPr>
              <w:widowControl/>
              <w:spacing w:line="240" w:lineRule="auto"/>
              <w:ind w:firstLine="0" w:firstLineChars="0"/>
              <w:jc w:val="center"/>
              <w:rPr>
                <w:color w:val="auto"/>
                <w:sz w:val="21"/>
                <w:szCs w:val="21"/>
              </w:rPr>
            </w:pPr>
            <w:r>
              <w:rPr>
                <w:rFonts w:hint="eastAsia"/>
                <w:color w:val="auto"/>
                <w:sz w:val="21"/>
                <w:szCs w:val="21"/>
              </w:rPr>
              <w:t>1.06E-05</w:t>
            </w:r>
          </w:p>
        </w:tc>
        <w:tc>
          <w:tcPr>
            <w:tcW w:w="410" w:type="pct"/>
            <w:shd w:val="clear" w:color="auto" w:fill="auto"/>
          </w:tcPr>
          <w:p w14:paraId="1AA9C69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E34C11B">
            <w:pPr>
              <w:widowControl/>
              <w:spacing w:line="240" w:lineRule="auto"/>
              <w:ind w:firstLine="0" w:firstLineChars="0"/>
              <w:jc w:val="center"/>
              <w:rPr>
                <w:color w:val="auto"/>
                <w:sz w:val="21"/>
                <w:szCs w:val="21"/>
              </w:rPr>
            </w:pPr>
            <w:r>
              <w:rPr>
                <w:rFonts w:hint="eastAsia"/>
                <w:color w:val="auto"/>
                <w:sz w:val="21"/>
                <w:szCs w:val="21"/>
              </w:rPr>
              <w:t>7.70E-06</w:t>
            </w:r>
          </w:p>
        </w:tc>
        <w:tc>
          <w:tcPr>
            <w:tcW w:w="409" w:type="pct"/>
            <w:shd w:val="clear" w:color="auto" w:fill="auto"/>
          </w:tcPr>
          <w:p w14:paraId="48E12DB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1A441C5">
            <w:pPr>
              <w:widowControl/>
              <w:spacing w:line="240" w:lineRule="auto"/>
              <w:ind w:firstLine="0" w:firstLineChars="0"/>
              <w:jc w:val="center"/>
              <w:rPr>
                <w:color w:val="auto"/>
                <w:sz w:val="21"/>
                <w:szCs w:val="21"/>
              </w:rPr>
            </w:pPr>
            <w:r>
              <w:rPr>
                <w:rFonts w:hint="eastAsia"/>
                <w:color w:val="auto"/>
                <w:sz w:val="21"/>
                <w:szCs w:val="21"/>
              </w:rPr>
              <w:t>7.28E-05</w:t>
            </w:r>
          </w:p>
        </w:tc>
        <w:tc>
          <w:tcPr>
            <w:tcW w:w="423" w:type="pct"/>
            <w:shd w:val="clear" w:color="auto" w:fill="auto"/>
          </w:tcPr>
          <w:p w14:paraId="157BC616">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86AF137">
            <w:pPr>
              <w:widowControl/>
              <w:spacing w:line="240" w:lineRule="auto"/>
              <w:ind w:firstLine="0" w:firstLineChars="0"/>
              <w:jc w:val="center"/>
              <w:rPr>
                <w:color w:val="auto"/>
                <w:kern w:val="0"/>
                <w:sz w:val="21"/>
                <w:szCs w:val="21"/>
              </w:rPr>
            </w:pPr>
            <w:r>
              <w:rPr>
                <w:rFonts w:hint="eastAsia"/>
                <w:color w:val="auto"/>
                <w:sz w:val="21"/>
                <w:szCs w:val="21"/>
              </w:rPr>
              <w:t>3.81E-04</w:t>
            </w:r>
          </w:p>
        </w:tc>
        <w:tc>
          <w:tcPr>
            <w:tcW w:w="532" w:type="pct"/>
            <w:shd w:val="clear" w:color="auto" w:fill="auto"/>
          </w:tcPr>
          <w:p w14:paraId="49B4AB4D">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331C82BD">
            <w:pPr>
              <w:widowControl/>
              <w:spacing w:line="240" w:lineRule="auto"/>
              <w:ind w:firstLine="0" w:firstLineChars="0"/>
              <w:jc w:val="center"/>
              <w:rPr>
                <w:color w:val="auto"/>
                <w:kern w:val="0"/>
                <w:sz w:val="21"/>
                <w:szCs w:val="21"/>
              </w:rPr>
            </w:pPr>
            <w:r>
              <w:rPr>
                <w:color w:val="auto"/>
                <w:sz w:val="21"/>
                <w:szCs w:val="21"/>
              </w:rPr>
              <w:t>3.24E-04</w:t>
            </w:r>
          </w:p>
        </w:tc>
        <w:tc>
          <w:tcPr>
            <w:tcW w:w="360" w:type="pct"/>
            <w:shd w:val="clear" w:color="auto" w:fill="auto"/>
          </w:tcPr>
          <w:p w14:paraId="67D0575D">
            <w:pPr>
              <w:widowControl/>
              <w:spacing w:line="240" w:lineRule="auto"/>
              <w:ind w:firstLine="0" w:firstLineChars="0"/>
              <w:jc w:val="center"/>
              <w:rPr>
                <w:color w:val="auto"/>
                <w:kern w:val="0"/>
                <w:sz w:val="21"/>
                <w:szCs w:val="21"/>
              </w:rPr>
            </w:pPr>
            <w:r>
              <w:rPr>
                <w:color w:val="auto"/>
                <w:sz w:val="21"/>
                <w:szCs w:val="21"/>
              </w:rPr>
              <w:t>0.16</w:t>
            </w:r>
          </w:p>
        </w:tc>
      </w:tr>
      <w:tr w14:paraId="5BA12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A11F976">
            <w:pPr>
              <w:widowControl/>
              <w:spacing w:line="240" w:lineRule="auto"/>
              <w:ind w:firstLine="0" w:firstLineChars="0"/>
              <w:jc w:val="center"/>
              <w:rPr>
                <w:color w:val="auto"/>
                <w:kern w:val="0"/>
                <w:sz w:val="21"/>
                <w:szCs w:val="21"/>
              </w:rPr>
            </w:pPr>
            <w:r>
              <w:rPr>
                <w:color w:val="auto"/>
                <w:sz w:val="21"/>
                <w:szCs w:val="21"/>
              </w:rPr>
              <w:t>1175</w:t>
            </w:r>
          </w:p>
        </w:tc>
        <w:tc>
          <w:tcPr>
            <w:tcW w:w="416" w:type="pct"/>
            <w:shd w:val="clear" w:color="auto" w:fill="auto"/>
          </w:tcPr>
          <w:p w14:paraId="0E9BF325">
            <w:pPr>
              <w:widowControl/>
              <w:spacing w:line="240" w:lineRule="auto"/>
              <w:ind w:firstLine="0" w:firstLineChars="0"/>
              <w:jc w:val="center"/>
              <w:rPr>
                <w:color w:val="auto"/>
                <w:sz w:val="21"/>
                <w:szCs w:val="21"/>
              </w:rPr>
            </w:pPr>
            <w:r>
              <w:rPr>
                <w:rFonts w:hint="eastAsia"/>
                <w:color w:val="auto"/>
                <w:sz w:val="21"/>
                <w:szCs w:val="21"/>
              </w:rPr>
              <w:t>1.06E-05</w:t>
            </w:r>
          </w:p>
        </w:tc>
        <w:tc>
          <w:tcPr>
            <w:tcW w:w="410" w:type="pct"/>
            <w:shd w:val="clear" w:color="auto" w:fill="auto"/>
          </w:tcPr>
          <w:p w14:paraId="0FCB8CA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EE00E68">
            <w:pPr>
              <w:widowControl/>
              <w:spacing w:line="240" w:lineRule="auto"/>
              <w:ind w:firstLine="0" w:firstLineChars="0"/>
              <w:jc w:val="center"/>
              <w:rPr>
                <w:color w:val="auto"/>
                <w:sz w:val="21"/>
                <w:szCs w:val="21"/>
              </w:rPr>
            </w:pPr>
            <w:r>
              <w:rPr>
                <w:rFonts w:hint="eastAsia"/>
                <w:color w:val="auto"/>
                <w:sz w:val="21"/>
                <w:szCs w:val="21"/>
              </w:rPr>
              <w:t>7.71E-06</w:t>
            </w:r>
          </w:p>
        </w:tc>
        <w:tc>
          <w:tcPr>
            <w:tcW w:w="409" w:type="pct"/>
            <w:shd w:val="clear" w:color="auto" w:fill="auto"/>
          </w:tcPr>
          <w:p w14:paraId="44956B8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34BA371">
            <w:pPr>
              <w:widowControl/>
              <w:spacing w:line="240" w:lineRule="auto"/>
              <w:ind w:firstLine="0" w:firstLineChars="0"/>
              <w:jc w:val="center"/>
              <w:rPr>
                <w:color w:val="auto"/>
                <w:sz w:val="21"/>
                <w:szCs w:val="21"/>
              </w:rPr>
            </w:pPr>
            <w:r>
              <w:rPr>
                <w:rFonts w:hint="eastAsia"/>
                <w:color w:val="auto"/>
                <w:sz w:val="21"/>
                <w:szCs w:val="21"/>
              </w:rPr>
              <w:t>7.29E-05</w:t>
            </w:r>
          </w:p>
        </w:tc>
        <w:tc>
          <w:tcPr>
            <w:tcW w:w="423" w:type="pct"/>
            <w:shd w:val="clear" w:color="auto" w:fill="auto"/>
          </w:tcPr>
          <w:p w14:paraId="77C9E7C3">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17CD0925">
            <w:pPr>
              <w:widowControl/>
              <w:spacing w:line="240" w:lineRule="auto"/>
              <w:ind w:firstLine="0" w:firstLineChars="0"/>
              <w:jc w:val="center"/>
              <w:rPr>
                <w:color w:val="auto"/>
                <w:kern w:val="0"/>
                <w:sz w:val="21"/>
                <w:szCs w:val="21"/>
              </w:rPr>
            </w:pPr>
            <w:r>
              <w:rPr>
                <w:rFonts w:hint="eastAsia"/>
                <w:color w:val="auto"/>
                <w:sz w:val="21"/>
                <w:szCs w:val="21"/>
              </w:rPr>
              <w:t>3.80E-04</w:t>
            </w:r>
          </w:p>
        </w:tc>
        <w:tc>
          <w:tcPr>
            <w:tcW w:w="532" w:type="pct"/>
            <w:shd w:val="clear" w:color="auto" w:fill="auto"/>
          </w:tcPr>
          <w:p w14:paraId="2FE49A19">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6FF879C3">
            <w:pPr>
              <w:widowControl/>
              <w:spacing w:line="240" w:lineRule="auto"/>
              <w:ind w:firstLine="0" w:firstLineChars="0"/>
              <w:jc w:val="center"/>
              <w:rPr>
                <w:color w:val="auto"/>
                <w:kern w:val="0"/>
                <w:sz w:val="21"/>
                <w:szCs w:val="21"/>
              </w:rPr>
            </w:pPr>
            <w:r>
              <w:rPr>
                <w:color w:val="auto"/>
                <w:sz w:val="21"/>
                <w:szCs w:val="21"/>
              </w:rPr>
              <w:t>3.24E-04</w:t>
            </w:r>
          </w:p>
        </w:tc>
        <w:tc>
          <w:tcPr>
            <w:tcW w:w="360" w:type="pct"/>
            <w:shd w:val="clear" w:color="auto" w:fill="auto"/>
          </w:tcPr>
          <w:p w14:paraId="2A640F06">
            <w:pPr>
              <w:widowControl/>
              <w:spacing w:line="240" w:lineRule="auto"/>
              <w:ind w:firstLine="0" w:firstLineChars="0"/>
              <w:jc w:val="center"/>
              <w:rPr>
                <w:color w:val="auto"/>
                <w:kern w:val="0"/>
                <w:sz w:val="21"/>
                <w:szCs w:val="21"/>
              </w:rPr>
            </w:pPr>
            <w:r>
              <w:rPr>
                <w:color w:val="auto"/>
                <w:sz w:val="21"/>
                <w:szCs w:val="21"/>
              </w:rPr>
              <w:t>0.16</w:t>
            </w:r>
          </w:p>
        </w:tc>
      </w:tr>
      <w:tr w14:paraId="486C5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FD373A5">
            <w:pPr>
              <w:widowControl/>
              <w:spacing w:line="240" w:lineRule="auto"/>
              <w:ind w:firstLine="0" w:firstLineChars="0"/>
              <w:jc w:val="center"/>
              <w:rPr>
                <w:color w:val="auto"/>
                <w:kern w:val="0"/>
                <w:sz w:val="21"/>
                <w:szCs w:val="21"/>
              </w:rPr>
            </w:pPr>
            <w:r>
              <w:rPr>
                <w:color w:val="auto"/>
                <w:sz w:val="21"/>
                <w:szCs w:val="21"/>
              </w:rPr>
              <w:t>1200</w:t>
            </w:r>
          </w:p>
        </w:tc>
        <w:tc>
          <w:tcPr>
            <w:tcW w:w="416" w:type="pct"/>
            <w:shd w:val="clear" w:color="auto" w:fill="auto"/>
          </w:tcPr>
          <w:p w14:paraId="7E086FC2">
            <w:pPr>
              <w:widowControl/>
              <w:spacing w:line="240" w:lineRule="auto"/>
              <w:ind w:firstLine="0" w:firstLineChars="0"/>
              <w:jc w:val="center"/>
              <w:rPr>
                <w:color w:val="auto"/>
                <w:sz w:val="21"/>
                <w:szCs w:val="21"/>
              </w:rPr>
            </w:pPr>
            <w:r>
              <w:rPr>
                <w:rFonts w:hint="eastAsia"/>
                <w:color w:val="auto"/>
                <w:sz w:val="21"/>
                <w:szCs w:val="21"/>
              </w:rPr>
              <w:t>1.10E-05</w:t>
            </w:r>
          </w:p>
        </w:tc>
        <w:tc>
          <w:tcPr>
            <w:tcW w:w="410" w:type="pct"/>
            <w:shd w:val="clear" w:color="auto" w:fill="auto"/>
          </w:tcPr>
          <w:p w14:paraId="24B4581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5A54D71">
            <w:pPr>
              <w:widowControl/>
              <w:spacing w:line="240" w:lineRule="auto"/>
              <w:ind w:firstLine="0" w:firstLineChars="0"/>
              <w:jc w:val="center"/>
              <w:rPr>
                <w:color w:val="auto"/>
                <w:sz w:val="21"/>
                <w:szCs w:val="21"/>
              </w:rPr>
            </w:pPr>
            <w:r>
              <w:rPr>
                <w:rFonts w:hint="eastAsia"/>
                <w:color w:val="auto"/>
                <w:sz w:val="21"/>
                <w:szCs w:val="21"/>
              </w:rPr>
              <w:t>7.95E-06</w:t>
            </w:r>
          </w:p>
        </w:tc>
        <w:tc>
          <w:tcPr>
            <w:tcW w:w="409" w:type="pct"/>
            <w:shd w:val="clear" w:color="auto" w:fill="auto"/>
          </w:tcPr>
          <w:p w14:paraId="2198BA06">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B254713">
            <w:pPr>
              <w:widowControl/>
              <w:spacing w:line="240" w:lineRule="auto"/>
              <w:ind w:firstLine="0" w:firstLineChars="0"/>
              <w:jc w:val="center"/>
              <w:rPr>
                <w:color w:val="auto"/>
                <w:sz w:val="21"/>
                <w:szCs w:val="21"/>
              </w:rPr>
            </w:pPr>
            <w:r>
              <w:rPr>
                <w:rFonts w:hint="eastAsia"/>
                <w:color w:val="auto"/>
                <w:sz w:val="21"/>
                <w:szCs w:val="21"/>
              </w:rPr>
              <w:t>7.52E-05</w:t>
            </w:r>
          </w:p>
        </w:tc>
        <w:tc>
          <w:tcPr>
            <w:tcW w:w="423" w:type="pct"/>
            <w:shd w:val="clear" w:color="auto" w:fill="auto"/>
          </w:tcPr>
          <w:p w14:paraId="6024AE5E">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A423FC2">
            <w:pPr>
              <w:widowControl/>
              <w:spacing w:line="240" w:lineRule="auto"/>
              <w:ind w:firstLine="0" w:firstLineChars="0"/>
              <w:jc w:val="center"/>
              <w:rPr>
                <w:color w:val="auto"/>
                <w:kern w:val="0"/>
                <w:sz w:val="21"/>
                <w:szCs w:val="21"/>
              </w:rPr>
            </w:pPr>
            <w:r>
              <w:rPr>
                <w:rFonts w:hint="eastAsia"/>
                <w:color w:val="auto"/>
                <w:sz w:val="21"/>
                <w:szCs w:val="21"/>
              </w:rPr>
              <w:t>3.79E-04</w:t>
            </w:r>
          </w:p>
        </w:tc>
        <w:tc>
          <w:tcPr>
            <w:tcW w:w="532" w:type="pct"/>
            <w:shd w:val="clear" w:color="auto" w:fill="auto"/>
          </w:tcPr>
          <w:p w14:paraId="5A950018">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2131740F">
            <w:pPr>
              <w:widowControl/>
              <w:spacing w:line="240" w:lineRule="auto"/>
              <w:ind w:firstLine="0" w:firstLineChars="0"/>
              <w:jc w:val="center"/>
              <w:rPr>
                <w:color w:val="auto"/>
                <w:kern w:val="0"/>
                <w:sz w:val="21"/>
                <w:szCs w:val="21"/>
              </w:rPr>
            </w:pPr>
            <w:r>
              <w:rPr>
                <w:color w:val="auto"/>
                <w:sz w:val="21"/>
                <w:szCs w:val="21"/>
              </w:rPr>
              <w:t>3.34E-04</w:t>
            </w:r>
          </w:p>
        </w:tc>
        <w:tc>
          <w:tcPr>
            <w:tcW w:w="360" w:type="pct"/>
            <w:shd w:val="clear" w:color="auto" w:fill="auto"/>
          </w:tcPr>
          <w:p w14:paraId="013E270A">
            <w:pPr>
              <w:widowControl/>
              <w:spacing w:line="240" w:lineRule="auto"/>
              <w:ind w:firstLine="0" w:firstLineChars="0"/>
              <w:jc w:val="center"/>
              <w:rPr>
                <w:color w:val="auto"/>
                <w:kern w:val="0"/>
                <w:sz w:val="21"/>
                <w:szCs w:val="21"/>
              </w:rPr>
            </w:pPr>
            <w:r>
              <w:rPr>
                <w:color w:val="auto"/>
                <w:sz w:val="21"/>
                <w:szCs w:val="21"/>
              </w:rPr>
              <w:t>0.17</w:t>
            </w:r>
          </w:p>
        </w:tc>
      </w:tr>
      <w:tr w14:paraId="545B9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F777472">
            <w:pPr>
              <w:widowControl/>
              <w:spacing w:line="240" w:lineRule="auto"/>
              <w:ind w:firstLine="0" w:firstLineChars="0"/>
              <w:jc w:val="center"/>
              <w:rPr>
                <w:color w:val="auto"/>
                <w:kern w:val="0"/>
                <w:sz w:val="21"/>
                <w:szCs w:val="21"/>
              </w:rPr>
            </w:pPr>
            <w:r>
              <w:rPr>
                <w:color w:val="auto"/>
                <w:sz w:val="21"/>
                <w:szCs w:val="21"/>
              </w:rPr>
              <w:t>1225</w:t>
            </w:r>
          </w:p>
        </w:tc>
        <w:tc>
          <w:tcPr>
            <w:tcW w:w="416" w:type="pct"/>
            <w:shd w:val="clear" w:color="auto" w:fill="auto"/>
          </w:tcPr>
          <w:p w14:paraId="24BB3D4A">
            <w:pPr>
              <w:widowControl/>
              <w:spacing w:line="240" w:lineRule="auto"/>
              <w:ind w:firstLine="0" w:firstLineChars="0"/>
              <w:jc w:val="center"/>
              <w:rPr>
                <w:color w:val="auto"/>
                <w:sz w:val="21"/>
                <w:szCs w:val="21"/>
              </w:rPr>
            </w:pPr>
            <w:r>
              <w:rPr>
                <w:rFonts w:hint="eastAsia"/>
                <w:color w:val="auto"/>
                <w:sz w:val="21"/>
                <w:szCs w:val="21"/>
              </w:rPr>
              <w:t>1.13E-05</w:t>
            </w:r>
          </w:p>
        </w:tc>
        <w:tc>
          <w:tcPr>
            <w:tcW w:w="410" w:type="pct"/>
            <w:shd w:val="clear" w:color="auto" w:fill="auto"/>
          </w:tcPr>
          <w:p w14:paraId="3E2B0DB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4BAB493">
            <w:pPr>
              <w:widowControl/>
              <w:spacing w:line="240" w:lineRule="auto"/>
              <w:ind w:firstLine="0" w:firstLineChars="0"/>
              <w:jc w:val="center"/>
              <w:rPr>
                <w:color w:val="auto"/>
                <w:sz w:val="21"/>
                <w:szCs w:val="21"/>
              </w:rPr>
            </w:pPr>
            <w:r>
              <w:rPr>
                <w:rFonts w:hint="eastAsia"/>
                <w:color w:val="auto"/>
                <w:sz w:val="21"/>
                <w:szCs w:val="21"/>
              </w:rPr>
              <w:t>8.18E-06</w:t>
            </w:r>
          </w:p>
        </w:tc>
        <w:tc>
          <w:tcPr>
            <w:tcW w:w="409" w:type="pct"/>
            <w:shd w:val="clear" w:color="auto" w:fill="auto"/>
          </w:tcPr>
          <w:p w14:paraId="59AE259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8E623C6">
            <w:pPr>
              <w:widowControl/>
              <w:spacing w:line="240" w:lineRule="auto"/>
              <w:ind w:firstLine="0" w:firstLineChars="0"/>
              <w:jc w:val="center"/>
              <w:rPr>
                <w:color w:val="auto"/>
                <w:sz w:val="21"/>
                <w:szCs w:val="21"/>
              </w:rPr>
            </w:pPr>
            <w:r>
              <w:rPr>
                <w:rFonts w:hint="eastAsia"/>
                <w:color w:val="auto"/>
                <w:sz w:val="21"/>
                <w:szCs w:val="21"/>
              </w:rPr>
              <w:t>7.74E-05</w:t>
            </w:r>
          </w:p>
        </w:tc>
        <w:tc>
          <w:tcPr>
            <w:tcW w:w="423" w:type="pct"/>
            <w:shd w:val="clear" w:color="auto" w:fill="auto"/>
          </w:tcPr>
          <w:p w14:paraId="7FF722B1">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6FAD03E">
            <w:pPr>
              <w:widowControl/>
              <w:spacing w:line="240" w:lineRule="auto"/>
              <w:ind w:firstLine="0" w:firstLineChars="0"/>
              <w:jc w:val="center"/>
              <w:rPr>
                <w:color w:val="auto"/>
                <w:kern w:val="0"/>
                <w:sz w:val="21"/>
                <w:szCs w:val="21"/>
              </w:rPr>
            </w:pPr>
            <w:r>
              <w:rPr>
                <w:rFonts w:hint="eastAsia"/>
                <w:color w:val="auto"/>
                <w:sz w:val="21"/>
                <w:szCs w:val="21"/>
              </w:rPr>
              <w:t>3.77E-04</w:t>
            </w:r>
          </w:p>
        </w:tc>
        <w:tc>
          <w:tcPr>
            <w:tcW w:w="532" w:type="pct"/>
            <w:shd w:val="clear" w:color="auto" w:fill="auto"/>
          </w:tcPr>
          <w:p w14:paraId="1F13C2C0">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54230CA0">
            <w:pPr>
              <w:widowControl/>
              <w:spacing w:line="240" w:lineRule="auto"/>
              <w:ind w:firstLine="0" w:firstLineChars="0"/>
              <w:jc w:val="center"/>
              <w:rPr>
                <w:color w:val="auto"/>
                <w:kern w:val="0"/>
                <w:sz w:val="21"/>
                <w:szCs w:val="21"/>
              </w:rPr>
            </w:pPr>
            <w:r>
              <w:rPr>
                <w:color w:val="auto"/>
                <w:sz w:val="21"/>
                <w:szCs w:val="21"/>
              </w:rPr>
              <w:t>3.44E-04</w:t>
            </w:r>
          </w:p>
        </w:tc>
        <w:tc>
          <w:tcPr>
            <w:tcW w:w="360" w:type="pct"/>
            <w:shd w:val="clear" w:color="auto" w:fill="auto"/>
          </w:tcPr>
          <w:p w14:paraId="5FA83DE6">
            <w:pPr>
              <w:widowControl/>
              <w:spacing w:line="240" w:lineRule="auto"/>
              <w:ind w:firstLine="0" w:firstLineChars="0"/>
              <w:jc w:val="center"/>
              <w:rPr>
                <w:color w:val="auto"/>
                <w:kern w:val="0"/>
                <w:sz w:val="21"/>
                <w:szCs w:val="21"/>
              </w:rPr>
            </w:pPr>
            <w:r>
              <w:rPr>
                <w:color w:val="auto"/>
                <w:sz w:val="21"/>
                <w:szCs w:val="21"/>
              </w:rPr>
              <w:t>0.17</w:t>
            </w:r>
          </w:p>
        </w:tc>
      </w:tr>
      <w:tr w14:paraId="006D2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7BD8078">
            <w:pPr>
              <w:widowControl/>
              <w:spacing w:line="240" w:lineRule="auto"/>
              <w:ind w:firstLine="0" w:firstLineChars="0"/>
              <w:jc w:val="center"/>
              <w:rPr>
                <w:color w:val="auto"/>
                <w:kern w:val="0"/>
                <w:sz w:val="21"/>
                <w:szCs w:val="21"/>
              </w:rPr>
            </w:pPr>
            <w:r>
              <w:rPr>
                <w:color w:val="auto"/>
                <w:sz w:val="21"/>
                <w:szCs w:val="21"/>
              </w:rPr>
              <w:t>1250</w:t>
            </w:r>
          </w:p>
        </w:tc>
        <w:tc>
          <w:tcPr>
            <w:tcW w:w="416" w:type="pct"/>
            <w:shd w:val="clear" w:color="auto" w:fill="auto"/>
          </w:tcPr>
          <w:p w14:paraId="1BF66924">
            <w:pPr>
              <w:widowControl/>
              <w:spacing w:line="240" w:lineRule="auto"/>
              <w:ind w:firstLine="0" w:firstLineChars="0"/>
              <w:jc w:val="center"/>
              <w:rPr>
                <w:color w:val="auto"/>
                <w:sz w:val="21"/>
                <w:szCs w:val="21"/>
              </w:rPr>
            </w:pPr>
            <w:r>
              <w:rPr>
                <w:rFonts w:hint="eastAsia"/>
                <w:color w:val="auto"/>
                <w:sz w:val="21"/>
                <w:szCs w:val="21"/>
              </w:rPr>
              <w:t>1.16E-05</w:t>
            </w:r>
          </w:p>
        </w:tc>
        <w:tc>
          <w:tcPr>
            <w:tcW w:w="410" w:type="pct"/>
            <w:shd w:val="clear" w:color="auto" w:fill="auto"/>
          </w:tcPr>
          <w:p w14:paraId="572C52F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A785D45">
            <w:pPr>
              <w:widowControl/>
              <w:spacing w:line="240" w:lineRule="auto"/>
              <w:ind w:firstLine="0" w:firstLineChars="0"/>
              <w:jc w:val="center"/>
              <w:rPr>
                <w:color w:val="auto"/>
                <w:sz w:val="21"/>
                <w:szCs w:val="21"/>
              </w:rPr>
            </w:pPr>
            <w:r>
              <w:rPr>
                <w:rFonts w:hint="eastAsia"/>
                <w:color w:val="auto"/>
                <w:sz w:val="21"/>
                <w:szCs w:val="21"/>
              </w:rPr>
              <w:t>8.39E-06</w:t>
            </w:r>
          </w:p>
        </w:tc>
        <w:tc>
          <w:tcPr>
            <w:tcW w:w="409" w:type="pct"/>
            <w:shd w:val="clear" w:color="auto" w:fill="auto"/>
          </w:tcPr>
          <w:p w14:paraId="569F041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D6CF95E">
            <w:pPr>
              <w:widowControl/>
              <w:spacing w:line="240" w:lineRule="auto"/>
              <w:ind w:firstLine="0" w:firstLineChars="0"/>
              <w:jc w:val="center"/>
              <w:rPr>
                <w:color w:val="auto"/>
                <w:sz w:val="21"/>
                <w:szCs w:val="21"/>
              </w:rPr>
            </w:pPr>
            <w:r>
              <w:rPr>
                <w:rFonts w:hint="eastAsia"/>
                <w:color w:val="auto"/>
                <w:sz w:val="21"/>
                <w:szCs w:val="21"/>
              </w:rPr>
              <w:t>7.94E-05</w:t>
            </w:r>
          </w:p>
        </w:tc>
        <w:tc>
          <w:tcPr>
            <w:tcW w:w="423" w:type="pct"/>
            <w:shd w:val="clear" w:color="auto" w:fill="auto"/>
          </w:tcPr>
          <w:p w14:paraId="48A74D29">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547F8B5">
            <w:pPr>
              <w:widowControl/>
              <w:spacing w:line="240" w:lineRule="auto"/>
              <w:ind w:firstLine="0" w:firstLineChars="0"/>
              <w:jc w:val="center"/>
              <w:rPr>
                <w:color w:val="auto"/>
                <w:kern w:val="0"/>
                <w:sz w:val="21"/>
                <w:szCs w:val="21"/>
              </w:rPr>
            </w:pPr>
            <w:r>
              <w:rPr>
                <w:rFonts w:hint="eastAsia"/>
                <w:color w:val="auto"/>
                <w:sz w:val="21"/>
                <w:szCs w:val="21"/>
              </w:rPr>
              <w:t>3.76E-04</w:t>
            </w:r>
          </w:p>
        </w:tc>
        <w:tc>
          <w:tcPr>
            <w:tcW w:w="532" w:type="pct"/>
            <w:shd w:val="clear" w:color="auto" w:fill="auto"/>
          </w:tcPr>
          <w:p w14:paraId="451D174A">
            <w:pPr>
              <w:widowControl/>
              <w:spacing w:line="240" w:lineRule="auto"/>
              <w:ind w:firstLine="0" w:firstLineChars="0"/>
              <w:jc w:val="center"/>
              <w:rPr>
                <w:color w:val="auto"/>
                <w:kern w:val="0"/>
                <w:sz w:val="21"/>
                <w:szCs w:val="21"/>
              </w:rPr>
            </w:pPr>
            <w:r>
              <w:rPr>
                <w:rFonts w:hint="eastAsia"/>
                <w:color w:val="auto"/>
                <w:sz w:val="21"/>
                <w:szCs w:val="21"/>
              </w:rPr>
              <w:t>0.13</w:t>
            </w:r>
          </w:p>
        </w:tc>
        <w:tc>
          <w:tcPr>
            <w:tcW w:w="544" w:type="pct"/>
            <w:shd w:val="clear" w:color="auto" w:fill="auto"/>
          </w:tcPr>
          <w:p w14:paraId="08133C11">
            <w:pPr>
              <w:widowControl/>
              <w:spacing w:line="240" w:lineRule="auto"/>
              <w:ind w:firstLine="0" w:firstLineChars="0"/>
              <w:jc w:val="center"/>
              <w:rPr>
                <w:color w:val="auto"/>
                <w:kern w:val="0"/>
                <w:sz w:val="21"/>
                <w:szCs w:val="21"/>
              </w:rPr>
            </w:pPr>
            <w:r>
              <w:rPr>
                <w:color w:val="auto"/>
                <w:sz w:val="21"/>
                <w:szCs w:val="21"/>
              </w:rPr>
              <w:t>3.53E-04</w:t>
            </w:r>
          </w:p>
        </w:tc>
        <w:tc>
          <w:tcPr>
            <w:tcW w:w="360" w:type="pct"/>
            <w:shd w:val="clear" w:color="auto" w:fill="auto"/>
          </w:tcPr>
          <w:p w14:paraId="64F404E8">
            <w:pPr>
              <w:widowControl/>
              <w:spacing w:line="240" w:lineRule="auto"/>
              <w:ind w:firstLine="0" w:firstLineChars="0"/>
              <w:jc w:val="center"/>
              <w:rPr>
                <w:color w:val="auto"/>
                <w:kern w:val="0"/>
                <w:sz w:val="21"/>
                <w:szCs w:val="21"/>
              </w:rPr>
            </w:pPr>
            <w:r>
              <w:rPr>
                <w:color w:val="auto"/>
                <w:sz w:val="21"/>
                <w:szCs w:val="21"/>
              </w:rPr>
              <w:t>0.18</w:t>
            </w:r>
          </w:p>
        </w:tc>
      </w:tr>
      <w:tr w14:paraId="2403D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5E3C3D5">
            <w:pPr>
              <w:widowControl/>
              <w:spacing w:line="240" w:lineRule="auto"/>
              <w:ind w:firstLine="0" w:firstLineChars="0"/>
              <w:jc w:val="center"/>
              <w:rPr>
                <w:color w:val="auto"/>
                <w:kern w:val="0"/>
                <w:sz w:val="21"/>
                <w:szCs w:val="21"/>
              </w:rPr>
            </w:pPr>
            <w:r>
              <w:rPr>
                <w:color w:val="auto"/>
                <w:sz w:val="21"/>
                <w:szCs w:val="21"/>
              </w:rPr>
              <w:t>1275</w:t>
            </w:r>
          </w:p>
        </w:tc>
        <w:tc>
          <w:tcPr>
            <w:tcW w:w="416" w:type="pct"/>
            <w:shd w:val="clear" w:color="auto" w:fill="auto"/>
          </w:tcPr>
          <w:p w14:paraId="3DDCBB9D">
            <w:pPr>
              <w:widowControl/>
              <w:spacing w:line="240" w:lineRule="auto"/>
              <w:ind w:firstLine="0" w:firstLineChars="0"/>
              <w:jc w:val="center"/>
              <w:rPr>
                <w:color w:val="auto"/>
                <w:sz w:val="21"/>
                <w:szCs w:val="21"/>
              </w:rPr>
            </w:pPr>
            <w:r>
              <w:rPr>
                <w:rFonts w:hint="eastAsia"/>
                <w:color w:val="auto"/>
                <w:sz w:val="21"/>
                <w:szCs w:val="21"/>
              </w:rPr>
              <w:t>1.19E-05</w:t>
            </w:r>
          </w:p>
        </w:tc>
        <w:tc>
          <w:tcPr>
            <w:tcW w:w="410" w:type="pct"/>
            <w:shd w:val="clear" w:color="auto" w:fill="auto"/>
          </w:tcPr>
          <w:p w14:paraId="5816575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C22891D">
            <w:pPr>
              <w:widowControl/>
              <w:spacing w:line="240" w:lineRule="auto"/>
              <w:ind w:firstLine="0" w:firstLineChars="0"/>
              <w:jc w:val="center"/>
              <w:rPr>
                <w:color w:val="auto"/>
                <w:sz w:val="21"/>
                <w:szCs w:val="21"/>
              </w:rPr>
            </w:pPr>
            <w:r>
              <w:rPr>
                <w:rFonts w:hint="eastAsia"/>
                <w:color w:val="auto"/>
                <w:sz w:val="21"/>
                <w:szCs w:val="21"/>
              </w:rPr>
              <w:t>8.60E-06</w:t>
            </w:r>
          </w:p>
        </w:tc>
        <w:tc>
          <w:tcPr>
            <w:tcW w:w="409" w:type="pct"/>
            <w:shd w:val="clear" w:color="auto" w:fill="auto"/>
          </w:tcPr>
          <w:p w14:paraId="03F300D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C731F54">
            <w:pPr>
              <w:widowControl/>
              <w:spacing w:line="240" w:lineRule="auto"/>
              <w:ind w:firstLine="0" w:firstLineChars="0"/>
              <w:jc w:val="center"/>
              <w:rPr>
                <w:color w:val="auto"/>
                <w:sz w:val="21"/>
                <w:szCs w:val="21"/>
              </w:rPr>
            </w:pPr>
            <w:r>
              <w:rPr>
                <w:rFonts w:hint="eastAsia"/>
                <w:color w:val="auto"/>
                <w:sz w:val="21"/>
                <w:szCs w:val="21"/>
              </w:rPr>
              <w:t>8.14E-05</w:t>
            </w:r>
          </w:p>
        </w:tc>
        <w:tc>
          <w:tcPr>
            <w:tcW w:w="423" w:type="pct"/>
            <w:shd w:val="clear" w:color="auto" w:fill="auto"/>
          </w:tcPr>
          <w:p w14:paraId="0785A559">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2D24F3EA">
            <w:pPr>
              <w:widowControl/>
              <w:spacing w:line="240" w:lineRule="auto"/>
              <w:ind w:firstLine="0" w:firstLineChars="0"/>
              <w:jc w:val="center"/>
              <w:rPr>
                <w:color w:val="auto"/>
                <w:kern w:val="0"/>
                <w:sz w:val="21"/>
                <w:szCs w:val="21"/>
              </w:rPr>
            </w:pPr>
            <w:r>
              <w:rPr>
                <w:rFonts w:hint="eastAsia"/>
                <w:color w:val="auto"/>
                <w:sz w:val="21"/>
                <w:szCs w:val="21"/>
              </w:rPr>
              <w:t>3.74E-04</w:t>
            </w:r>
          </w:p>
        </w:tc>
        <w:tc>
          <w:tcPr>
            <w:tcW w:w="532" w:type="pct"/>
            <w:shd w:val="clear" w:color="auto" w:fill="auto"/>
          </w:tcPr>
          <w:p w14:paraId="7DAE34C4">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1F2B3E76">
            <w:pPr>
              <w:widowControl/>
              <w:spacing w:line="240" w:lineRule="auto"/>
              <w:ind w:firstLine="0" w:firstLineChars="0"/>
              <w:jc w:val="center"/>
              <w:rPr>
                <w:color w:val="auto"/>
                <w:kern w:val="0"/>
                <w:sz w:val="21"/>
                <w:szCs w:val="21"/>
              </w:rPr>
            </w:pPr>
            <w:r>
              <w:rPr>
                <w:color w:val="auto"/>
                <w:sz w:val="21"/>
                <w:szCs w:val="21"/>
              </w:rPr>
              <w:t>3.62E-04</w:t>
            </w:r>
          </w:p>
        </w:tc>
        <w:tc>
          <w:tcPr>
            <w:tcW w:w="360" w:type="pct"/>
            <w:shd w:val="clear" w:color="auto" w:fill="auto"/>
          </w:tcPr>
          <w:p w14:paraId="59080710">
            <w:pPr>
              <w:widowControl/>
              <w:spacing w:line="240" w:lineRule="auto"/>
              <w:ind w:firstLine="0" w:firstLineChars="0"/>
              <w:jc w:val="center"/>
              <w:rPr>
                <w:color w:val="auto"/>
                <w:kern w:val="0"/>
                <w:sz w:val="21"/>
                <w:szCs w:val="21"/>
              </w:rPr>
            </w:pPr>
            <w:r>
              <w:rPr>
                <w:color w:val="auto"/>
                <w:sz w:val="21"/>
                <w:szCs w:val="21"/>
              </w:rPr>
              <w:t>0.18</w:t>
            </w:r>
          </w:p>
        </w:tc>
      </w:tr>
      <w:tr w14:paraId="015EC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2008924">
            <w:pPr>
              <w:widowControl/>
              <w:spacing w:line="240" w:lineRule="auto"/>
              <w:ind w:firstLine="0" w:firstLineChars="0"/>
              <w:jc w:val="center"/>
              <w:rPr>
                <w:color w:val="auto"/>
                <w:kern w:val="0"/>
                <w:sz w:val="21"/>
                <w:szCs w:val="21"/>
              </w:rPr>
            </w:pPr>
            <w:r>
              <w:rPr>
                <w:color w:val="auto"/>
                <w:sz w:val="21"/>
                <w:szCs w:val="21"/>
              </w:rPr>
              <w:t>1300</w:t>
            </w:r>
          </w:p>
        </w:tc>
        <w:tc>
          <w:tcPr>
            <w:tcW w:w="416" w:type="pct"/>
            <w:shd w:val="clear" w:color="auto" w:fill="auto"/>
          </w:tcPr>
          <w:p w14:paraId="2999F874">
            <w:pPr>
              <w:widowControl/>
              <w:spacing w:line="240" w:lineRule="auto"/>
              <w:ind w:firstLine="0" w:firstLineChars="0"/>
              <w:jc w:val="center"/>
              <w:rPr>
                <w:color w:val="auto"/>
                <w:sz w:val="21"/>
                <w:szCs w:val="21"/>
              </w:rPr>
            </w:pPr>
            <w:r>
              <w:rPr>
                <w:rFonts w:hint="eastAsia"/>
                <w:color w:val="auto"/>
                <w:sz w:val="21"/>
                <w:szCs w:val="21"/>
              </w:rPr>
              <w:t>1.21E-05</w:t>
            </w:r>
          </w:p>
        </w:tc>
        <w:tc>
          <w:tcPr>
            <w:tcW w:w="410" w:type="pct"/>
            <w:shd w:val="clear" w:color="auto" w:fill="auto"/>
          </w:tcPr>
          <w:p w14:paraId="12DD53D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FE5D61D">
            <w:pPr>
              <w:widowControl/>
              <w:spacing w:line="240" w:lineRule="auto"/>
              <w:ind w:firstLine="0" w:firstLineChars="0"/>
              <w:jc w:val="center"/>
              <w:rPr>
                <w:color w:val="auto"/>
                <w:sz w:val="21"/>
                <w:szCs w:val="21"/>
              </w:rPr>
            </w:pPr>
            <w:r>
              <w:rPr>
                <w:rFonts w:hint="eastAsia"/>
                <w:color w:val="auto"/>
                <w:sz w:val="21"/>
                <w:szCs w:val="21"/>
              </w:rPr>
              <w:t>8.79E-06</w:t>
            </w:r>
          </w:p>
        </w:tc>
        <w:tc>
          <w:tcPr>
            <w:tcW w:w="409" w:type="pct"/>
            <w:shd w:val="clear" w:color="auto" w:fill="auto"/>
          </w:tcPr>
          <w:p w14:paraId="3F53F82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364571A">
            <w:pPr>
              <w:widowControl/>
              <w:spacing w:line="240" w:lineRule="auto"/>
              <w:ind w:firstLine="0" w:firstLineChars="0"/>
              <w:jc w:val="center"/>
              <w:rPr>
                <w:color w:val="auto"/>
                <w:sz w:val="21"/>
                <w:szCs w:val="21"/>
              </w:rPr>
            </w:pPr>
            <w:r>
              <w:rPr>
                <w:rFonts w:hint="eastAsia"/>
                <w:color w:val="auto"/>
                <w:sz w:val="21"/>
                <w:szCs w:val="21"/>
              </w:rPr>
              <w:t>8.32E-05</w:t>
            </w:r>
          </w:p>
        </w:tc>
        <w:tc>
          <w:tcPr>
            <w:tcW w:w="423" w:type="pct"/>
            <w:shd w:val="clear" w:color="auto" w:fill="auto"/>
          </w:tcPr>
          <w:p w14:paraId="0B6E2CE2">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1CBC8291">
            <w:pPr>
              <w:widowControl/>
              <w:spacing w:line="240" w:lineRule="auto"/>
              <w:ind w:firstLine="0" w:firstLineChars="0"/>
              <w:jc w:val="center"/>
              <w:rPr>
                <w:color w:val="auto"/>
                <w:kern w:val="0"/>
                <w:sz w:val="21"/>
                <w:szCs w:val="21"/>
              </w:rPr>
            </w:pPr>
            <w:r>
              <w:rPr>
                <w:rFonts w:hint="eastAsia"/>
                <w:color w:val="auto"/>
                <w:sz w:val="21"/>
                <w:szCs w:val="21"/>
              </w:rPr>
              <w:t>3.72E-04</w:t>
            </w:r>
          </w:p>
        </w:tc>
        <w:tc>
          <w:tcPr>
            <w:tcW w:w="532" w:type="pct"/>
            <w:shd w:val="clear" w:color="auto" w:fill="auto"/>
          </w:tcPr>
          <w:p w14:paraId="06E9AB74">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D632C26">
            <w:pPr>
              <w:widowControl/>
              <w:spacing w:line="240" w:lineRule="auto"/>
              <w:ind w:firstLine="0" w:firstLineChars="0"/>
              <w:jc w:val="center"/>
              <w:rPr>
                <w:color w:val="auto"/>
                <w:kern w:val="0"/>
                <w:sz w:val="21"/>
                <w:szCs w:val="21"/>
              </w:rPr>
            </w:pPr>
            <w:r>
              <w:rPr>
                <w:color w:val="auto"/>
                <w:sz w:val="21"/>
                <w:szCs w:val="21"/>
              </w:rPr>
              <w:t>3.70E-04</w:t>
            </w:r>
          </w:p>
        </w:tc>
        <w:tc>
          <w:tcPr>
            <w:tcW w:w="360" w:type="pct"/>
            <w:shd w:val="clear" w:color="auto" w:fill="auto"/>
          </w:tcPr>
          <w:p w14:paraId="70A191AE">
            <w:pPr>
              <w:widowControl/>
              <w:spacing w:line="240" w:lineRule="auto"/>
              <w:ind w:firstLine="0" w:firstLineChars="0"/>
              <w:jc w:val="center"/>
              <w:rPr>
                <w:color w:val="auto"/>
                <w:kern w:val="0"/>
                <w:sz w:val="21"/>
                <w:szCs w:val="21"/>
              </w:rPr>
            </w:pPr>
            <w:r>
              <w:rPr>
                <w:color w:val="auto"/>
                <w:sz w:val="21"/>
                <w:szCs w:val="21"/>
              </w:rPr>
              <w:t>0.18</w:t>
            </w:r>
          </w:p>
        </w:tc>
      </w:tr>
      <w:tr w14:paraId="3B917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BC34BC6">
            <w:pPr>
              <w:widowControl/>
              <w:spacing w:line="240" w:lineRule="auto"/>
              <w:ind w:firstLine="0" w:firstLineChars="0"/>
              <w:jc w:val="center"/>
              <w:rPr>
                <w:color w:val="auto"/>
                <w:kern w:val="0"/>
                <w:sz w:val="21"/>
                <w:szCs w:val="21"/>
              </w:rPr>
            </w:pPr>
            <w:r>
              <w:rPr>
                <w:color w:val="auto"/>
                <w:sz w:val="21"/>
                <w:szCs w:val="21"/>
              </w:rPr>
              <w:t>1325</w:t>
            </w:r>
          </w:p>
        </w:tc>
        <w:tc>
          <w:tcPr>
            <w:tcW w:w="416" w:type="pct"/>
            <w:shd w:val="clear" w:color="auto" w:fill="auto"/>
          </w:tcPr>
          <w:p w14:paraId="7E3EC4FE">
            <w:pPr>
              <w:widowControl/>
              <w:spacing w:line="240" w:lineRule="auto"/>
              <w:ind w:firstLine="0" w:firstLineChars="0"/>
              <w:jc w:val="center"/>
              <w:rPr>
                <w:color w:val="auto"/>
                <w:sz w:val="21"/>
                <w:szCs w:val="21"/>
              </w:rPr>
            </w:pPr>
            <w:r>
              <w:rPr>
                <w:rFonts w:hint="eastAsia"/>
                <w:color w:val="auto"/>
                <w:sz w:val="21"/>
                <w:szCs w:val="21"/>
              </w:rPr>
              <w:t>1.24E-05</w:t>
            </w:r>
          </w:p>
        </w:tc>
        <w:tc>
          <w:tcPr>
            <w:tcW w:w="410" w:type="pct"/>
            <w:shd w:val="clear" w:color="auto" w:fill="auto"/>
          </w:tcPr>
          <w:p w14:paraId="4918365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0E9F67C">
            <w:pPr>
              <w:widowControl/>
              <w:spacing w:line="240" w:lineRule="auto"/>
              <w:ind w:firstLine="0" w:firstLineChars="0"/>
              <w:jc w:val="center"/>
              <w:rPr>
                <w:color w:val="auto"/>
                <w:sz w:val="21"/>
                <w:szCs w:val="21"/>
              </w:rPr>
            </w:pPr>
            <w:r>
              <w:rPr>
                <w:rFonts w:hint="eastAsia"/>
                <w:color w:val="auto"/>
                <w:sz w:val="21"/>
                <w:szCs w:val="21"/>
              </w:rPr>
              <w:t>8.98E-06</w:t>
            </w:r>
          </w:p>
        </w:tc>
        <w:tc>
          <w:tcPr>
            <w:tcW w:w="409" w:type="pct"/>
            <w:shd w:val="clear" w:color="auto" w:fill="auto"/>
          </w:tcPr>
          <w:p w14:paraId="6AA1BA1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96C7299">
            <w:pPr>
              <w:widowControl/>
              <w:spacing w:line="240" w:lineRule="auto"/>
              <w:ind w:firstLine="0" w:firstLineChars="0"/>
              <w:jc w:val="center"/>
              <w:rPr>
                <w:color w:val="auto"/>
                <w:sz w:val="21"/>
                <w:szCs w:val="21"/>
              </w:rPr>
            </w:pPr>
            <w:r>
              <w:rPr>
                <w:rFonts w:hint="eastAsia"/>
                <w:color w:val="auto"/>
                <w:sz w:val="21"/>
                <w:szCs w:val="21"/>
              </w:rPr>
              <w:t>8.49E-05</w:t>
            </w:r>
          </w:p>
        </w:tc>
        <w:tc>
          <w:tcPr>
            <w:tcW w:w="423" w:type="pct"/>
            <w:shd w:val="clear" w:color="auto" w:fill="auto"/>
          </w:tcPr>
          <w:p w14:paraId="30752F8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1AADF124">
            <w:pPr>
              <w:widowControl/>
              <w:spacing w:line="240" w:lineRule="auto"/>
              <w:ind w:firstLine="0" w:firstLineChars="0"/>
              <w:jc w:val="center"/>
              <w:rPr>
                <w:color w:val="auto"/>
                <w:kern w:val="0"/>
                <w:sz w:val="21"/>
                <w:szCs w:val="21"/>
              </w:rPr>
            </w:pPr>
            <w:r>
              <w:rPr>
                <w:rFonts w:hint="eastAsia"/>
                <w:color w:val="auto"/>
                <w:sz w:val="21"/>
                <w:szCs w:val="21"/>
              </w:rPr>
              <w:t>3.70E-04</w:t>
            </w:r>
          </w:p>
        </w:tc>
        <w:tc>
          <w:tcPr>
            <w:tcW w:w="532" w:type="pct"/>
            <w:shd w:val="clear" w:color="auto" w:fill="auto"/>
          </w:tcPr>
          <w:p w14:paraId="1E08BF68">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0A3BDA4">
            <w:pPr>
              <w:widowControl/>
              <w:spacing w:line="240" w:lineRule="auto"/>
              <w:ind w:firstLine="0" w:firstLineChars="0"/>
              <w:jc w:val="center"/>
              <w:rPr>
                <w:color w:val="auto"/>
                <w:kern w:val="0"/>
                <w:sz w:val="21"/>
                <w:szCs w:val="21"/>
              </w:rPr>
            </w:pPr>
            <w:r>
              <w:rPr>
                <w:color w:val="auto"/>
                <w:sz w:val="21"/>
                <w:szCs w:val="21"/>
              </w:rPr>
              <w:t>3.77E-04</w:t>
            </w:r>
          </w:p>
        </w:tc>
        <w:tc>
          <w:tcPr>
            <w:tcW w:w="360" w:type="pct"/>
            <w:shd w:val="clear" w:color="auto" w:fill="auto"/>
          </w:tcPr>
          <w:p w14:paraId="34AF13A5">
            <w:pPr>
              <w:widowControl/>
              <w:spacing w:line="240" w:lineRule="auto"/>
              <w:ind w:firstLine="0" w:firstLineChars="0"/>
              <w:jc w:val="center"/>
              <w:rPr>
                <w:color w:val="auto"/>
                <w:kern w:val="0"/>
                <w:sz w:val="21"/>
                <w:szCs w:val="21"/>
              </w:rPr>
            </w:pPr>
            <w:r>
              <w:rPr>
                <w:color w:val="auto"/>
                <w:sz w:val="21"/>
                <w:szCs w:val="21"/>
              </w:rPr>
              <w:t>0.19</w:t>
            </w:r>
          </w:p>
        </w:tc>
      </w:tr>
      <w:tr w14:paraId="299F8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781D7EE">
            <w:pPr>
              <w:widowControl/>
              <w:spacing w:line="240" w:lineRule="auto"/>
              <w:ind w:firstLine="0" w:firstLineChars="0"/>
              <w:jc w:val="center"/>
              <w:rPr>
                <w:color w:val="auto"/>
                <w:kern w:val="0"/>
                <w:sz w:val="21"/>
                <w:szCs w:val="21"/>
              </w:rPr>
            </w:pPr>
            <w:r>
              <w:rPr>
                <w:color w:val="auto"/>
                <w:sz w:val="21"/>
                <w:szCs w:val="21"/>
              </w:rPr>
              <w:t>1350</w:t>
            </w:r>
          </w:p>
        </w:tc>
        <w:tc>
          <w:tcPr>
            <w:tcW w:w="416" w:type="pct"/>
            <w:shd w:val="clear" w:color="auto" w:fill="auto"/>
          </w:tcPr>
          <w:p w14:paraId="2B45AC30">
            <w:pPr>
              <w:widowControl/>
              <w:spacing w:line="240" w:lineRule="auto"/>
              <w:ind w:firstLine="0" w:firstLineChars="0"/>
              <w:jc w:val="center"/>
              <w:rPr>
                <w:color w:val="auto"/>
                <w:sz w:val="21"/>
                <w:szCs w:val="21"/>
              </w:rPr>
            </w:pPr>
            <w:r>
              <w:rPr>
                <w:rFonts w:hint="eastAsia"/>
                <w:color w:val="auto"/>
                <w:sz w:val="21"/>
                <w:szCs w:val="21"/>
              </w:rPr>
              <w:t>1.26E-05</w:t>
            </w:r>
          </w:p>
        </w:tc>
        <w:tc>
          <w:tcPr>
            <w:tcW w:w="410" w:type="pct"/>
            <w:shd w:val="clear" w:color="auto" w:fill="auto"/>
          </w:tcPr>
          <w:p w14:paraId="2AEB886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8DC9E87">
            <w:pPr>
              <w:widowControl/>
              <w:spacing w:line="240" w:lineRule="auto"/>
              <w:ind w:firstLine="0" w:firstLineChars="0"/>
              <w:jc w:val="center"/>
              <w:rPr>
                <w:color w:val="auto"/>
                <w:sz w:val="21"/>
                <w:szCs w:val="21"/>
              </w:rPr>
            </w:pPr>
            <w:r>
              <w:rPr>
                <w:rFonts w:hint="eastAsia"/>
                <w:color w:val="auto"/>
                <w:sz w:val="21"/>
                <w:szCs w:val="21"/>
              </w:rPr>
              <w:t>9.15E-06</w:t>
            </w:r>
          </w:p>
        </w:tc>
        <w:tc>
          <w:tcPr>
            <w:tcW w:w="409" w:type="pct"/>
            <w:shd w:val="clear" w:color="auto" w:fill="auto"/>
          </w:tcPr>
          <w:p w14:paraId="32BA62F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3740B08">
            <w:pPr>
              <w:widowControl/>
              <w:spacing w:line="240" w:lineRule="auto"/>
              <w:ind w:firstLine="0" w:firstLineChars="0"/>
              <w:jc w:val="center"/>
              <w:rPr>
                <w:color w:val="auto"/>
                <w:sz w:val="21"/>
                <w:szCs w:val="21"/>
              </w:rPr>
            </w:pPr>
            <w:r>
              <w:rPr>
                <w:rFonts w:hint="eastAsia"/>
                <w:color w:val="auto"/>
                <w:sz w:val="21"/>
                <w:szCs w:val="21"/>
              </w:rPr>
              <w:t>8.65E-05</w:t>
            </w:r>
          </w:p>
        </w:tc>
        <w:tc>
          <w:tcPr>
            <w:tcW w:w="423" w:type="pct"/>
            <w:shd w:val="clear" w:color="auto" w:fill="auto"/>
          </w:tcPr>
          <w:p w14:paraId="05D7EF34">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8004155">
            <w:pPr>
              <w:widowControl/>
              <w:spacing w:line="240" w:lineRule="auto"/>
              <w:ind w:firstLine="0" w:firstLineChars="0"/>
              <w:jc w:val="center"/>
              <w:rPr>
                <w:color w:val="auto"/>
                <w:kern w:val="0"/>
                <w:sz w:val="21"/>
                <w:szCs w:val="21"/>
              </w:rPr>
            </w:pPr>
            <w:r>
              <w:rPr>
                <w:rFonts w:hint="eastAsia"/>
                <w:color w:val="auto"/>
                <w:sz w:val="21"/>
                <w:szCs w:val="21"/>
              </w:rPr>
              <w:t>3.67E-04</w:t>
            </w:r>
          </w:p>
        </w:tc>
        <w:tc>
          <w:tcPr>
            <w:tcW w:w="532" w:type="pct"/>
            <w:shd w:val="clear" w:color="auto" w:fill="auto"/>
          </w:tcPr>
          <w:p w14:paraId="4CD7307F">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66C5113">
            <w:pPr>
              <w:widowControl/>
              <w:spacing w:line="240" w:lineRule="auto"/>
              <w:ind w:firstLine="0" w:firstLineChars="0"/>
              <w:jc w:val="center"/>
              <w:rPr>
                <w:color w:val="auto"/>
                <w:kern w:val="0"/>
                <w:sz w:val="21"/>
                <w:szCs w:val="21"/>
              </w:rPr>
            </w:pPr>
            <w:r>
              <w:rPr>
                <w:color w:val="auto"/>
                <w:sz w:val="21"/>
                <w:szCs w:val="21"/>
              </w:rPr>
              <w:t>3.85E-04</w:t>
            </w:r>
          </w:p>
        </w:tc>
        <w:tc>
          <w:tcPr>
            <w:tcW w:w="360" w:type="pct"/>
            <w:shd w:val="clear" w:color="auto" w:fill="auto"/>
          </w:tcPr>
          <w:p w14:paraId="346F370C">
            <w:pPr>
              <w:widowControl/>
              <w:spacing w:line="240" w:lineRule="auto"/>
              <w:ind w:firstLine="0" w:firstLineChars="0"/>
              <w:jc w:val="center"/>
              <w:rPr>
                <w:color w:val="auto"/>
                <w:kern w:val="0"/>
                <w:sz w:val="21"/>
                <w:szCs w:val="21"/>
              </w:rPr>
            </w:pPr>
            <w:r>
              <w:rPr>
                <w:color w:val="auto"/>
                <w:sz w:val="21"/>
                <w:szCs w:val="21"/>
              </w:rPr>
              <w:t>0.19</w:t>
            </w:r>
          </w:p>
        </w:tc>
      </w:tr>
      <w:tr w14:paraId="79114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7D622CA">
            <w:pPr>
              <w:widowControl/>
              <w:spacing w:line="240" w:lineRule="auto"/>
              <w:ind w:firstLine="0" w:firstLineChars="0"/>
              <w:jc w:val="center"/>
              <w:rPr>
                <w:color w:val="auto"/>
                <w:kern w:val="0"/>
                <w:sz w:val="21"/>
                <w:szCs w:val="21"/>
              </w:rPr>
            </w:pPr>
            <w:r>
              <w:rPr>
                <w:color w:val="auto"/>
                <w:sz w:val="21"/>
                <w:szCs w:val="21"/>
              </w:rPr>
              <w:t>1375</w:t>
            </w:r>
          </w:p>
        </w:tc>
        <w:tc>
          <w:tcPr>
            <w:tcW w:w="416" w:type="pct"/>
            <w:shd w:val="clear" w:color="auto" w:fill="auto"/>
          </w:tcPr>
          <w:p w14:paraId="1D018D28">
            <w:pPr>
              <w:widowControl/>
              <w:spacing w:line="240" w:lineRule="auto"/>
              <w:ind w:firstLine="0" w:firstLineChars="0"/>
              <w:jc w:val="center"/>
              <w:rPr>
                <w:color w:val="auto"/>
                <w:sz w:val="21"/>
                <w:szCs w:val="21"/>
              </w:rPr>
            </w:pPr>
            <w:r>
              <w:rPr>
                <w:rFonts w:hint="eastAsia"/>
                <w:color w:val="auto"/>
                <w:sz w:val="21"/>
                <w:szCs w:val="21"/>
              </w:rPr>
              <w:t>1.28E-05</w:t>
            </w:r>
          </w:p>
        </w:tc>
        <w:tc>
          <w:tcPr>
            <w:tcW w:w="410" w:type="pct"/>
            <w:shd w:val="clear" w:color="auto" w:fill="auto"/>
          </w:tcPr>
          <w:p w14:paraId="5F90EEF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62CD68B">
            <w:pPr>
              <w:widowControl/>
              <w:spacing w:line="240" w:lineRule="auto"/>
              <w:ind w:firstLine="0" w:firstLineChars="0"/>
              <w:jc w:val="center"/>
              <w:rPr>
                <w:color w:val="auto"/>
                <w:sz w:val="21"/>
                <w:szCs w:val="21"/>
              </w:rPr>
            </w:pPr>
            <w:r>
              <w:rPr>
                <w:rFonts w:hint="eastAsia"/>
                <w:color w:val="auto"/>
                <w:sz w:val="21"/>
                <w:szCs w:val="21"/>
              </w:rPr>
              <w:t>9.31E-06</w:t>
            </w:r>
          </w:p>
        </w:tc>
        <w:tc>
          <w:tcPr>
            <w:tcW w:w="409" w:type="pct"/>
            <w:shd w:val="clear" w:color="auto" w:fill="auto"/>
          </w:tcPr>
          <w:p w14:paraId="112F77A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50DFD62">
            <w:pPr>
              <w:widowControl/>
              <w:spacing w:line="240" w:lineRule="auto"/>
              <w:ind w:firstLine="0" w:firstLineChars="0"/>
              <w:jc w:val="center"/>
              <w:rPr>
                <w:color w:val="auto"/>
                <w:sz w:val="21"/>
                <w:szCs w:val="21"/>
              </w:rPr>
            </w:pPr>
            <w:r>
              <w:rPr>
                <w:rFonts w:hint="eastAsia"/>
                <w:color w:val="auto"/>
                <w:sz w:val="21"/>
                <w:szCs w:val="21"/>
              </w:rPr>
              <w:t>8.80E-05</w:t>
            </w:r>
          </w:p>
        </w:tc>
        <w:tc>
          <w:tcPr>
            <w:tcW w:w="423" w:type="pct"/>
            <w:shd w:val="clear" w:color="auto" w:fill="auto"/>
          </w:tcPr>
          <w:p w14:paraId="64BE8FE3">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DA2D7E5">
            <w:pPr>
              <w:widowControl/>
              <w:spacing w:line="240" w:lineRule="auto"/>
              <w:ind w:firstLine="0" w:firstLineChars="0"/>
              <w:jc w:val="center"/>
              <w:rPr>
                <w:color w:val="auto"/>
                <w:kern w:val="0"/>
                <w:sz w:val="21"/>
                <w:szCs w:val="21"/>
              </w:rPr>
            </w:pPr>
            <w:r>
              <w:rPr>
                <w:rFonts w:hint="eastAsia"/>
                <w:color w:val="auto"/>
                <w:sz w:val="21"/>
                <w:szCs w:val="21"/>
              </w:rPr>
              <w:t>3.65E-04</w:t>
            </w:r>
          </w:p>
        </w:tc>
        <w:tc>
          <w:tcPr>
            <w:tcW w:w="532" w:type="pct"/>
            <w:shd w:val="clear" w:color="auto" w:fill="auto"/>
          </w:tcPr>
          <w:p w14:paraId="6B4163A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697DFA5">
            <w:pPr>
              <w:widowControl/>
              <w:spacing w:line="240" w:lineRule="auto"/>
              <w:ind w:firstLine="0" w:firstLineChars="0"/>
              <w:jc w:val="center"/>
              <w:rPr>
                <w:color w:val="auto"/>
                <w:kern w:val="0"/>
                <w:sz w:val="21"/>
                <w:szCs w:val="21"/>
              </w:rPr>
            </w:pPr>
            <w:r>
              <w:rPr>
                <w:color w:val="auto"/>
                <w:sz w:val="21"/>
                <w:szCs w:val="21"/>
              </w:rPr>
              <w:t>3.91E-04</w:t>
            </w:r>
          </w:p>
        </w:tc>
        <w:tc>
          <w:tcPr>
            <w:tcW w:w="360" w:type="pct"/>
            <w:shd w:val="clear" w:color="auto" w:fill="auto"/>
          </w:tcPr>
          <w:p w14:paraId="4B6B93C8">
            <w:pPr>
              <w:widowControl/>
              <w:spacing w:line="240" w:lineRule="auto"/>
              <w:ind w:firstLine="0" w:firstLineChars="0"/>
              <w:jc w:val="center"/>
              <w:rPr>
                <w:color w:val="auto"/>
                <w:kern w:val="0"/>
                <w:sz w:val="21"/>
                <w:szCs w:val="21"/>
              </w:rPr>
            </w:pPr>
            <w:r>
              <w:rPr>
                <w:color w:val="auto"/>
                <w:sz w:val="21"/>
                <w:szCs w:val="21"/>
              </w:rPr>
              <w:t>0.20</w:t>
            </w:r>
          </w:p>
        </w:tc>
      </w:tr>
      <w:tr w14:paraId="5F202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7D70C48">
            <w:pPr>
              <w:widowControl/>
              <w:spacing w:line="240" w:lineRule="auto"/>
              <w:ind w:firstLine="0" w:firstLineChars="0"/>
              <w:jc w:val="center"/>
              <w:rPr>
                <w:color w:val="auto"/>
                <w:kern w:val="0"/>
                <w:sz w:val="21"/>
                <w:szCs w:val="21"/>
              </w:rPr>
            </w:pPr>
            <w:r>
              <w:rPr>
                <w:color w:val="auto"/>
                <w:sz w:val="21"/>
                <w:szCs w:val="21"/>
              </w:rPr>
              <w:t>1400</w:t>
            </w:r>
          </w:p>
        </w:tc>
        <w:tc>
          <w:tcPr>
            <w:tcW w:w="416" w:type="pct"/>
            <w:shd w:val="clear" w:color="auto" w:fill="auto"/>
          </w:tcPr>
          <w:p w14:paraId="7FFEE578">
            <w:pPr>
              <w:widowControl/>
              <w:spacing w:line="240" w:lineRule="auto"/>
              <w:ind w:firstLine="0" w:firstLineChars="0"/>
              <w:jc w:val="center"/>
              <w:rPr>
                <w:color w:val="auto"/>
                <w:sz w:val="21"/>
                <w:szCs w:val="21"/>
              </w:rPr>
            </w:pPr>
            <w:r>
              <w:rPr>
                <w:rFonts w:hint="eastAsia"/>
                <w:color w:val="auto"/>
                <w:sz w:val="21"/>
                <w:szCs w:val="21"/>
              </w:rPr>
              <w:t>1.29E-05</w:t>
            </w:r>
          </w:p>
        </w:tc>
        <w:tc>
          <w:tcPr>
            <w:tcW w:w="410" w:type="pct"/>
            <w:shd w:val="clear" w:color="auto" w:fill="auto"/>
          </w:tcPr>
          <w:p w14:paraId="70B61916">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4ED61CC">
            <w:pPr>
              <w:widowControl/>
              <w:spacing w:line="240" w:lineRule="auto"/>
              <w:ind w:firstLine="0" w:firstLineChars="0"/>
              <w:jc w:val="center"/>
              <w:rPr>
                <w:color w:val="auto"/>
                <w:sz w:val="21"/>
                <w:szCs w:val="21"/>
              </w:rPr>
            </w:pPr>
            <w:r>
              <w:rPr>
                <w:rFonts w:hint="eastAsia"/>
                <w:color w:val="auto"/>
                <w:sz w:val="21"/>
                <w:szCs w:val="21"/>
              </w:rPr>
              <w:t>9.39E-06</w:t>
            </w:r>
          </w:p>
        </w:tc>
        <w:tc>
          <w:tcPr>
            <w:tcW w:w="409" w:type="pct"/>
            <w:shd w:val="clear" w:color="auto" w:fill="auto"/>
          </w:tcPr>
          <w:p w14:paraId="71CD8BE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57BF620">
            <w:pPr>
              <w:widowControl/>
              <w:spacing w:line="240" w:lineRule="auto"/>
              <w:ind w:firstLine="0" w:firstLineChars="0"/>
              <w:jc w:val="center"/>
              <w:rPr>
                <w:color w:val="auto"/>
                <w:sz w:val="21"/>
                <w:szCs w:val="21"/>
              </w:rPr>
            </w:pPr>
            <w:r>
              <w:rPr>
                <w:rFonts w:hint="eastAsia"/>
                <w:color w:val="auto"/>
                <w:sz w:val="21"/>
                <w:szCs w:val="21"/>
              </w:rPr>
              <w:t>8.88E-05</w:t>
            </w:r>
          </w:p>
        </w:tc>
        <w:tc>
          <w:tcPr>
            <w:tcW w:w="423" w:type="pct"/>
            <w:shd w:val="clear" w:color="auto" w:fill="auto"/>
          </w:tcPr>
          <w:p w14:paraId="2F9E1D3E">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FD4917D">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78DE4A9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02DF7492">
            <w:pPr>
              <w:widowControl/>
              <w:spacing w:line="240" w:lineRule="auto"/>
              <w:ind w:firstLine="0" w:firstLineChars="0"/>
              <w:jc w:val="center"/>
              <w:rPr>
                <w:color w:val="auto"/>
                <w:kern w:val="0"/>
                <w:sz w:val="21"/>
                <w:szCs w:val="21"/>
              </w:rPr>
            </w:pPr>
            <w:r>
              <w:rPr>
                <w:color w:val="auto"/>
                <w:sz w:val="21"/>
                <w:szCs w:val="21"/>
              </w:rPr>
              <w:t>3.95E-04</w:t>
            </w:r>
          </w:p>
        </w:tc>
        <w:tc>
          <w:tcPr>
            <w:tcW w:w="360" w:type="pct"/>
            <w:shd w:val="clear" w:color="auto" w:fill="auto"/>
          </w:tcPr>
          <w:p w14:paraId="5187BB10">
            <w:pPr>
              <w:widowControl/>
              <w:spacing w:line="240" w:lineRule="auto"/>
              <w:ind w:firstLine="0" w:firstLineChars="0"/>
              <w:jc w:val="center"/>
              <w:rPr>
                <w:color w:val="auto"/>
                <w:kern w:val="0"/>
                <w:sz w:val="21"/>
                <w:szCs w:val="21"/>
              </w:rPr>
            </w:pPr>
            <w:r>
              <w:rPr>
                <w:color w:val="auto"/>
                <w:sz w:val="21"/>
                <w:szCs w:val="21"/>
              </w:rPr>
              <w:t>0.20</w:t>
            </w:r>
          </w:p>
        </w:tc>
      </w:tr>
      <w:tr w14:paraId="505CF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07407CC">
            <w:pPr>
              <w:widowControl/>
              <w:spacing w:line="240" w:lineRule="auto"/>
              <w:ind w:firstLine="0" w:firstLineChars="0"/>
              <w:jc w:val="center"/>
              <w:rPr>
                <w:color w:val="auto"/>
                <w:kern w:val="0"/>
                <w:sz w:val="21"/>
                <w:szCs w:val="21"/>
              </w:rPr>
            </w:pPr>
            <w:r>
              <w:rPr>
                <w:color w:val="auto"/>
                <w:sz w:val="21"/>
                <w:szCs w:val="21"/>
              </w:rPr>
              <w:t>1425</w:t>
            </w:r>
          </w:p>
        </w:tc>
        <w:tc>
          <w:tcPr>
            <w:tcW w:w="416" w:type="pct"/>
            <w:shd w:val="clear" w:color="auto" w:fill="auto"/>
          </w:tcPr>
          <w:p w14:paraId="2E5C155F">
            <w:pPr>
              <w:widowControl/>
              <w:spacing w:line="240" w:lineRule="auto"/>
              <w:ind w:firstLine="0" w:firstLineChars="0"/>
              <w:jc w:val="center"/>
              <w:rPr>
                <w:color w:val="auto"/>
                <w:sz w:val="21"/>
                <w:szCs w:val="21"/>
              </w:rPr>
            </w:pPr>
            <w:r>
              <w:rPr>
                <w:rFonts w:hint="eastAsia"/>
                <w:color w:val="auto"/>
                <w:sz w:val="21"/>
                <w:szCs w:val="21"/>
              </w:rPr>
              <w:t>1.30E-05</w:t>
            </w:r>
          </w:p>
        </w:tc>
        <w:tc>
          <w:tcPr>
            <w:tcW w:w="410" w:type="pct"/>
            <w:shd w:val="clear" w:color="auto" w:fill="auto"/>
          </w:tcPr>
          <w:p w14:paraId="1DACA58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356A827">
            <w:pPr>
              <w:widowControl/>
              <w:spacing w:line="240" w:lineRule="auto"/>
              <w:ind w:firstLine="0" w:firstLineChars="0"/>
              <w:jc w:val="center"/>
              <w:rPr>
                <w:color w:val="auto"/>
                <w:sz w:val="21"/>
                <w:szCs w:val="21"/>
              </w:rPr>
            </w:pPr>
            <w:r>
              <w:rPr>
                <w:rFonts w:hint="eastAsia"/>
                <w:color w:val="auto"/>
                <w:sz w:val="21"/>
                <w:szCs w:val="21"/>
              </w:rPr>
              <w:t>9.43E-06</w:t>
            </w:r>
          </w:p>
        </w:tc>
        <w:tc>
          <w:tcPr>
            <w:tcW w:w="409" w:type="pct"/>
            <w:shd w:val="clear" w:color="auto" w:fill="auto"/>
          </w:tcPr>
          <w:p w14:paraId="2E7D829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006901A">
            <w:pPr>
              <w:widowControl/>
              <w:spacing w:line="240" w:lineRule="auto"/>
              <w:ind w:firstLine="0" w:firstLineChars="0"/>
              <w:jc w:val="center"/>
              <w:rPr>
                <w:color w:val="auto"/>
                <w:sz w:val="21"/>
                <w:szCs w:val="21"/>
              </w:rPr>
            </w:pPr>
            <w:r>
              <w:rPr>
                <w:rFonts w:hint="eastAsia"/>
                <w:color w:val="auto"/>
                <w:sz w:val="21"/>
                <w:szCs w:val="21"/>
              </w:rPr>
              <w:t>8.92E-05</w:t>
            </w:r>
          </w:p>
        </w:tc>
        <w:tc>
          <w:tcPr>
            <w:tcW w:w="423" w:type="pct"/>
            <w:shd w:val="clear" w:color="auto" w:fill="auto"/>
          </w:tcPr>
          <w:p w14:paraId="36D2FB5B">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7019797">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73216B45">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41D3A17">
            <w:pPr>
              <w:widowControl/>
              <w:spacing w:line="240" w:lineRule="auto"/>
              <w:ind w:firstLine="0" w:firstLineChars="0"/>
              <w:jc w:val="center"/>
              <w:rPr>
                <w:color w:val="auto"/>
                <w:kern w:val="0"/>
                <w:sz w:val="21"/>
                <w:szCs w:val="21"/>
              </w:rPr>
            </w:pPr>
            <w:r>
              <w:rPr>
                <w:color w:val="auto"/>
                <w:sz w:val="21"/>
                <w:szCs w:val="21"/>
              </w:rPr>
              <w:t>3.96E-04</w:t>
            </w:r>
          </w:p>
        </w:tc>
        <w:tc>
          <w:tcPr>
            <w:tcW w:w="360" w:type="pct"/>
            <w:shd w:val="clear" w:color="auto" w:fill="auto"/>
          </w:tcPr>
          <w:p w14:paraId="504A604B">
            <w:pPr>
              <w:widowControl/>
              <w:spacing w:line="240" w:lineRule="auto"/>
              <w:ind w:firstLine="0" w:firstLineChars="0"/>
              <w:jc w:val="center"/>
              <w:rPr>
                <w:color w:val="auto"/>
                <w:kern w:val="0"/>
                <w:sz w:val="21"/>
                <w:szCs w:val="21"/>
              </w:rPr>
            </w:pPr>
            <w:r>
              <w:rPr>
                <w:color w:val="auto"/>
                <w:sz w:val="21"/>
                <w:szCs w:val="21"/>
              </w:rPr>
              <w:t>0.20</w:t>
            </w:r>
          </w:p>
        </w:tc>
      </w:tr>
      <w:tr w14:paraId="2D6A9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8C50113">
            <w:pPr>
              <w:widowControl/>
              <w:spacing w:line="240" w:lineRule="auto"/>
              <w:ind w:firstLine="0" w:firstLineChars="0"/>
              <w:jc w:val="center"/>
              <w:rPr>
                <w:color w:val="auto"/>
                <w:kern w:val="0"/>
                <w:sz w:val="21"/>
                <w:szCs w:val="21"/>
              </w:rPr>
            </w:pPr>
            <w:r>
              <w:rPr>
                <w:color w:val="auto"/>
                <w:sz w:val="21"/>
                <w:szCs w:val="21"/>
              </w:rPr>
              <w:t>1450</w:t>
            </w:r>
          </w:p>
        </w:tc>
        <w:tc>
          <w:tcPr>
            <w:tcW w:w="416" w:type="pct"/>
            <w:shd w:val="clear" w:color="auto" w:fill="auto"/>
          </w:tcPr>
          <w:p w14:paraId="58C6E841">
            <w:pPr>
              <w:widowControl/>
              <w:spacing w:line="240" w:lineRule="auto"/>
              <w:ind w:firstLine="0" w:firstLineChars="0"/>
              <w:jc w:val="center"/>
              <w:rPr>
                <w:color w:val="auto"/>
                <w:sz w:val="21"/>
                <w:szCs w:val="21"/>
              </w:rPr>
            </w:pPr>
            <w:r>
              <w:rPr>
                <w:rFonts w:hint="eastAsia"/>
                <w:color w:val="auto"/>
                <w:sz w:val="21"/>
                <w:szCs w:val="21"/>
              </w:rPr>
              <w:t>1.30E-05</w:t>
            </w:r>
          </w:p>
        </w:tc>
        <w:tc>
          <w:tcPr>
            <w:tcW w:w="410" w:type="pct"/>
            <w:shd w:val="clear" w:color="auto" w:fill="auto"/>
          </w:tcPr>
          <w:p w14:paraId="61C8E1D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28D32AC">
            <w:pPr>
              <w:widowControl/>
              <w:spacing w:line="240" w:lineRule="auto"/>
              <w:ind w:firstLine="0" w:firstLineChars="0"/>
              <w:jc w:val="center"/>
              <w:rPr>
                <w:color w:val="auto"/>
                <w:sz w:val="21"/>
                <w:szCs w:val="21"/>
              </w:rPr>
            </w:pPr>
            <w:r>
              <w:rPr>
                <w:rFonts w:hint="eastAsia"/>
                <w:color w:val="auto"/>
                <w:sz w:val="21"/>
                <w:szCs w:val="21"/>
              </w:rPr>
              <w:t>9.46E-06</w:t>
            </w:r>
          </w:p>
        </w:tc>
        <w:tc>
          <w:tcPr>
            <w:tcW w:w="409" w:type="pct"/>
            <w:shd w:val="clear" w:color="auto" w:fill="auto"/>
          </w:tcPr>
          <w:p w14:paraId="2DDDDF7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3D23F6E">
            <w:pPr>
              <w:widowControl/>
              <w:spacing w:line="240" w:lineRule="auto"/>
              <w:ind w:firstLine="0" w:firstLineChars="0"/>
              <w:jc w:val="center"/>
              <w:rPr>
                <w:color w:val="auto"/>
                <w:sz w:val="21"/>
                <w:szCs w:val="21"/>
              </w:rPr>
            </w:pPr>
            <w:r>
              <w:rPr>
                <w:rFonts w:hint="eastAsia"/>
                <w:color w:val="auto"/>
                <w:sz w:val="21"/>
                <w:szCs w:val="21"/>
              </w:rPr>
              <w:t>8.95E-05</w:t>
            </w:r>
          </w:p>
        </w:tc>
        <w:tc>
          <w:tcPr>
            <w:tcW w:w="423" w:type="pct"/>
            <w:shd w:val="clear" w:color="auto" w:fill="auto"/>
          </w:tcPr>
          <w:p w14:paraId="23D83415">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852CA4B">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5B276FB8">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12F5C2D5">
            <w:pPr>
              <w:widowControl/>
              <w:spacing w:line="240" w:lineRule="auto"/>
              <w:ind w:firstLine="0" w:firstLineChars="0"/>
              <w:jc w:val="center"/>
              <w:rPr>
                <w:color w:val="auto"/>
                <w:kern w:val="0"/>
                <w:sz w:val="21"/>
                <w:szCs w:val="21"/>
              </w:rPr>
            </w:pPr>
            <w:r>
              <w:rPr>
                <w:color w:val="auto"/>
                <w:sz w:val="21"/>
                <w:szCs w:val="21"/>
              </w:rPr>
              <w:t>3.98E-04</w:t>
            </w:r>
          </w:p>
        </w:tc>
        <w:tc>
          <w:tcPr>
            <w:tcW w:w="360" w:type="pct"/>
            <w:shd w:val="clear" w:color="auto" w:fill="auto"/>
          </w:tcPr>
          <w:p w14:paraId="794028D0">
            <w:pPr>
              <w:widowControl/>
              <w:spacing w:line="240" w:lineRule="auto"/>
              <w:ind w:firstLine="0" w:firstLineChars="0"/>
              <w:jc w:val="center"/>
              <w:rPr>
                <w:color w:val="auto"/>
                <w:kern w:val="0"/>
                <w:sz w:val="21"/>
                <w:szCs w:val="21"/>
              </w:rPr>
            </w:pPr>
            <w:r>
              <w:rPr>
                <w:color w:val="auto"/>
                <w:sz w:val="21"/>
                <w:szCs w:val="21"/>
              </w:rPr>
              <w:t>0.20</w:t>
            </w:r>
          </w:p>
        </w:tc>
      </w:tr>
      <w:tr w14:paraId="53041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E7CDA9B">
            <w:pPr>
              <w:widowControl/>
              <w:spacing w:line="240" w:lineRule="auto"/>
              <w:ind w:firstLine="0" w:firstLineChars="0"/>
              <w:jc w:val="center"/>
              <w:rPr>
                <w:color w:val="auto"/>
                <w:kern w:val="0"/>
                <w:sz w:val="21"/>
                <w:szCs w:val="21"/>
              </w:rPr>
            </w:pPr>
            <w:r>
              <w:rPr>
                <w:color w:val="auto"/>
                <w:sz w:val="21"/>
                <w:szCs w:val="21"/>
              </w:rPr>
              <w:t>1475</w:t>
            </w:r>
          </w:p>
        </w:tc>
        <w:tc>
          <w:tcPr>
            <w:tcW w:w="416" w:type="pct"/>
            <w:shd w:val="clear" w:color="auto" w:fill="auto"/>
          </w:tcPr>
          <w:p w14:paraId="46DB6AF0">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6AA2522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03586C4">
            <w:pPr>
              <w:widowControl/>
              <w:spacing w:line="240" w:lineRule="auto"/>
              <w:ind w:firstLine="0" w:firstLineChars="0"/>
              <w:jc w:val="center"/>
              <w:rPr>
                <w:color w:val="auto"/>
                <w:sz w:val="21"/>
                <w:szCs w:val="21"/>
              </w:rPr>
            </w:pPr>
            <w:r>
              <w:rPr>
                <w:rFonts w:hint="eastAsia"/>
                <w:color w:val="auto"/>
                <w:sz w:val="21"/>
                <w:szCs w:val="21"/>
              </w:rPr>
              <w:t>9.48E-06</w:t>
            </w:r>
          </w:p>
        </w:tc>
        <w:tc>
          <w:tcPr>
            <w:tcW w:w="409" w:type="pct"/>
            <w:shd w:val="clear" w:color="auto" w:fill="auto"/>
          </w:tcPr>
          <w:p w14:paraId="507FF1A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7679061">
            <w:pPr>
              <w:widowControl/>
              <w:spacing w:line="240" w:lineRule="auto"/>
              <w:ind w:firstLine="0" w:firstLineChars="0"/>
              <w:jc w:val="center"/>
              <w:rPr>
                <w:color w:val="auto"/>
                <w:sz w:val="21"/>
                <w:szCs w:val="21"/>
              </w:rPr>
            </w:pPr>
            <w:r>
              <w:rPr>
                <w:rFonts w:hint="eastAsia"/>
                <w:color w:val="auto"/>
                <w:sz w:val="21"/>
                <w:szCs w:val="21"/>
              </w:rPr>
              <w:t>8.97E-05</w:t>
            </w:r>
          </w:p>
        </w:tc>
        <w:tc>
          <w:tcPr>
            <w:tcW w:w="423" w:type="pct"/>
            <w:shd w:val="clear" w:color="auto" w:fill="auto"/>
          </w:tcPr>
          <w:p w14:paraId="3B1AAFDB">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9D93D81">
            <w:pPr>
              <w:widowControl/>
              <w:spacing w:line="240" w:lineRule="auto"/>
              <w:ind w:firstLine="0" w:firstLineChars="0"/>
              <w:jc w:val="center"/>
              <w:rPr>
                <w:color w:val="auto"/>
                <w:kern w:val="0"/>
                <w:sz w:val="21"/>
                <w:szCs w:val="21"/>
              </w:rPr>
            </w:pPr>
            <w:r>
              <w:rPr>
                <w:rFonts w:hint="eastAsia"/>
                <w:color w:val="auto"/>
                <w:sz w:val="21"/>
                <w:szCs w:val="21"/>
              </w:rPr>
              <w:t>3.64E-04</w:t>
            </w:r>
          </w:p>
        </w:tc>
        <w:tc>
          <w:tcPr>
            <w:tcW w:w="532" w:type="pct"/>
            <w:shd w:val="clear" w:color="auto" w:fill="auto"/>
          </w:tcPr>
          <w:p w14:paraId="6E192247">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544E245">
            <w:pPr>
              <w:widowControl/>
              <w:spacing w:line="240" w:lineRule="auto"/>
              <w:ind w:firstLine="0" w:firstLineChars="0"/>
              <w:jc w:val="center"/>
              <w:rPr>
                <w:color w:val="auto"/>
                <w:kern w:val="0"/>
                <w:sz w:val="21"/>
                <w:szCs w:val="21"/>
              </w:rPr>
            </w:pPr>
            <w:r>
              <w:rPr>
                <w:color w:val="auto"/>
                <w:sz w:val="21"/>
                <w:szCs w:val="21"/>
              </w:rPr>
              <w:t>3.99E-04</w:t>
            </w:r>
          </w:p>
        </w:tc>
        <w:tc>
          <w:tcPr>
            <w:tcW w:w="360" w:type="pct"/>
            <w:shd w:val="clear" w:color="auto" w:fill="auto"/>
          </w:tcPr>
          <w:p w14:paraId="4EA9613C">
            <w:pPr>
              <w:widowControl/>
              <w:spacing w:line="240" w:lineRule="auto"/>
              <w:ind w:firstLine="0" w:firstLineChars="0"/>
              <w:jc w:val="center"/>
              <w:rPr>
                <w:color w:val="auto"/>
                <w:kern w:val="0"/>
                <w:sz w:val="21"/>
                <w:szCs w:val="21"/>
              </w:rPr>
            </w:pPr>
            <w:r>
              <w:rPr>
                <w:color w:val="auto"/>
                <w:sz w:val="21"/>
                <w:szCs w:val="21"/>
              </w:rPr>
              <w:t>0.20</w:t>
            </w:r>
          </w:p>
        </w:tc>
      </w:tr>
      <w:tr w14:paraId="5CB04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E1CE872">
            <w:pPr>
              <w:widowControl/>
              <w:spacing w:line="240" w:lineRule="auto"/>
              <w:ind w:firstLine="0" w:firstLineChars="0"/>
              <w:jc w:val="center"/>
              <w:rPr>
                <w:color w:val="auto"/>
                <w:kern w:val="0"/>
                <w:sz w:val="21"/>
                <w:szCs w:val="21"/>
              </w:rPr>
            </w:pPr>
            <w:r>
              <w:rPr>
                <w:color w:val="auto"/>
                <w:sz w:val="21"/>
                <w:szCs w:val="21"/>
              </w:rPr>
              <w:t>1500</w:t>
            </w:r>
          </w:p>
        </w:tc>
        <w:tc>
          <w:tcPr>
            <w:tcW w:w="416" w:type="pct"/>
            <w:shd w:val="clear" w:color="auto" w:fill="auto"/>
          </w:tcPr>
          <w:p w14:paraId="160E4E8F">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3DE8821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BD28FE8">
            <w:pPr>
              <w:widowControl/>
              <w:spacing w:line="240" w:lineRule="auto"/>
              <w:ind w:firstLine="0" w:firstLineChars="0"/>
              <w:jc w:val="center"/>
              <w:rPr>
                <w:color w:val="auto"/>
                <w:sz w:val="21"/>
                <w:szCs w:val="21"/>
              </w:rPr>
            </w:pPr>
            <w:r>
              <w:rPr>
                <w:rFonts w:hint="eastAsia"/>
                <w:color w:val="auto"/>
                <w:sz w:val="21"/>
                <w:szCs w:val="21"/>
              </w:rPr>
              <w:t>9.50E-06</w:t>
            </w:r>
          </w:p>
        </w:tc>
        <w:tc>
          <w:tcPr>
            <w:tcW w:w="409" w:type="pct"/>
            <w:shd w:val="clear" w:color="auto" w:fill="auto"/>
          </w:tcPr>
          <w:p w14:paraId="77E786E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8303587">
            <w:pPr>
              <w:widowControl/>
              <w:spacing w:line="240" w:lineRule="auto"/>
              <w:ind w:firstLine="0" w:firstLineChars="0"/>
              <w:jc w:val="center"/>
              <w:rPr>
                <w:color w:val="auto"/>
                <w:sz w:val="21"/>
                <w:szCs w:val="21"/>
              </w:rPr>
            </w:pPr>
            <w:r>
              <w:rPr>
                <w:rFonts w:hint="eastAsia"/>
                <w:color w:val="auto"/>
                <w:sz w:val="21"/>
                <w:szCs w:val="21"/>
              </w:rPr>
              <w:t>8.99E-05</w:t>
            </w:r>
          </w:p>
        </w:tc>
        <w:tc>
          <w:tcPr>
            <w:tcW w:w="423" w:type="pct"/>
            <w:shd w:val="clear" w:color="auto" w:fill="auto"/>
          </w:tcPr>
          <w:p w14:paraId="3C82203C">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71B6D5E">
            <w:pPr>
              <w:widowControl/>
              <w:spacing w:line="240" w:lineRule="auto"/>
              <w:ind w:firstLine="0" w:firstLineChars="0"/>
              <w:jc w:val="center"/>
              <w:rPr>
                <w:color w:val="auto"/>
                <w:kern w:val="0"/>
                <w:sz w:val="21"/>
                <w:szCs w:val="21"/>
              </w:rPr>
            </w:pPr>
            <w:r>
              <w:rPr>
                <w:rFonts w:hint="eastAsia"/>
                <w:color w:val="auto"/>
                <w:sz w:val="21"/>
                <w:szCs w:val="21"/>
              </w:rPr>
              <w:t>3.66E-04</w:t>
            </w:r>
          </w:p>
        </w:tc>
        <w:tc>
          <w:tcPr>
            <w:tcW w:w="532" w:type="pct"/>
            <w:shd w:val="clear" w:color="auto" w:fill="auto"/>
          </w:tcPr>
          <w:p w14:paraId="223FAB9B">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FA727D4">
            <w:pPr>
              <w:widowControl/>
              <w:spacing w:line="240" w:lineRule="auto"/>
              <w:ind w:firstLine="0" w:firstLineChars="0"/>
              <w:jc w:val="center"/>
              <w:rPr>
                <w:color w:val="auto"/>
                <w:kern w:val="0"/>
                <w:sz w:val="21"/>
                <w:szCs w:val="21"/>
              </w:rPr>
            </w:pPr>
            <w:r>
              <w:rPr>
                <w:color w:val="auto"/>
                <w:sz w:val="21"/>
                <w:szCs w:val="21"/>
              </w:rPr>
              <w:t>3.99E-04</w:t>
            </w:r>
          </w:p>
        </w:tc>
        <w:tc>
          <w:tcPr>
            <w:tcW w:w="360" w:type="pct"/>
            <w:shd w:val="clear" w:color="auto" w:fill="auto"/>
          </w:tcPr>
          <w:p w14:paraId="4AAFFE01">
            <w:pPr>
              <w:widowControl/>
              <w:spacing w:line="240" w:lineRule="auto"/>
              <w:ind w:firstLine="0" w:firstLineChars="0"/>
              <w:jc w:val="center"/>
              <w:rPr>
                <w:color w:val="auto"/>
                <w:kern w:val="0"/>
                <w:sz w:val="21"/>
                <w:szCs w:val="21"/>
              </w:rPr>
            </w:pPr>
            <w:r>
              <w:rPr>
                <w:color w:val="auto"/>
                <w:sz w:val="21"/>
                <w:szCs w:val="21"/>
              </w:rPr>
              <w:t>0.20</w:t>
            </w:r>
          </w:p>
        </w:tc>
      </w:tr>
      <w:tr w14:paraId="15BFE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2B87C98">
            <w:pPr>
              <w:widowControl/>
              <w:spacing w:line="240" w:lineRule="auto"/>
              <w:ind w:firstLine="0" w:firstLineChars="0"/>
              <w:jc w:val="center"/>
              <w:rPr>
                <w:color w:val="auto"/>
                <w:kern w:val="0"/>
                <w:sz w:val="21"/>
                <w:szCs w:val="21"/>
              </w:rPr>
            </w:pPr>
            <w:r>
              <w:rPr>
                <w:color w:val="auto"/>
                <w:sz w:val="21"/>
                <w:szCs w:val="21"/>
              </w:rPr>
              <w:t>1525</w:t>
            </w:r>
          </w:p>
        </w:tc>
        <w:tc>
          <w:tcPr>
            <w:tcW w:w="416" w:type="pct"/>
            <w:shd w:val="clear" w:color="auto" w:fill="auto"/>
          </w:tcPr>
          <w:p w14:paraId="2A90BBE5">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0D85109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4DA46E0">
            <w:pPr>
              <w:widowControl/>
              <w:spacing w:line="240" w:lineRule="auto"/>
              <w:ind w:firstLine="0" w:firstLineChars="0"/>
              <w:jc w:val="center"/>
              <w:rPr>
                <w:color w:val="auto"/>
                <w:sz w:val="21"/>
                <w:szCs w:val="21"/>
              </w:rPr>
            </w:pPr>
            <w:r>
              <w:rPr>
                <w:rFonts w:hint="eastAsia"/>
                <w:color w:val="auto"/>
                <w:sz w:val="21"/>
                <w:szCs w:val="21"/>
              </w:rPr>
              <w:t>9.51E-06</w:t>
            </w:r>
          </w:p>
        </w:tc>
        <w:tc>
          <w:tcPr>
            <w:tcW w:w="409" w:type="pct"/>
            <w:shd w:val="clear" w:color="auto" w:fill="auto"/>
          </w:tcPr>
          <w:p w14:paraId="04DDC6E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B258435">
            <w:pPr>
              <w:widowControl/>
              <w:spacing w:line="240" w:lineRule="auto"/>
              <w:ind w:firstLine="0" w:firstLineChars="0"/>
              <w:jc w:val="center"/>
              <w:rPr>
                <w:color w:val="auto"/>
                <w:sz w:val="21"/>
                <w:szCs w:val="21"/>
              </w:rPr>
            </w:pPr>
            <w:r>
              <w:rPr>
                <w:rFonts w:hint="eastAsia"/>
                <w:color w:val="auto"/>
                <w:sz w:val="21"/>
                <w:szCs w:val="21"/>
              </w:rPr>
              <w:t>9.00E-05</w:t>
            </w:r>
          </w:p>
        </w:tc>
        <w:tc>
          <w:tcPr>
            <w:tcW w:w="423" w:type="pct"/>
            <w:shd w:val="clear" w:color="auto" w:fill="auto"/>
          </w:tcPr>
          <w:p w14:paraId="794DC6BC">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37CE0033">
            <w:pPr>
              <w:widowControl/>
              <w:spacing w:line="240" w:lineRule="auto"/>
              <w:ind w:firstLine="0" w:firstLineChars="0"/>
              <w:jc w:val="center"/>
              <w:rPr>
                <w:color w:val="auto"/>
                <w:kern w:val="0"/>
                <w:sz w:val="21"/>
                <w:szCs w:val="21"/>
              </w:rPr>
            </w:pPr>
            <w:r>
              <w:rPr>
                <w:rFonts w:hint="eastAsia"/>
                <w:color w:val="auto"/>
                <w:sz w:val="21"/>
                <w:szCs w:val="21"/>
              </w:rPr>
              <w:t>3.67E-04</w:t>
            </w:r>
          </w:p>
        </w:tc>
        <w:tc>
          <w:tcPr>
            <w:tcW w:w="532" w:type="pct"/>
            <w:shd w:val="clear" w:color="auto" w:fill="auto"/>
          </w:tcPr>
          <w:p w14:paraId="74EA7F9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32CABC0">
            <w:pPr>
              <w:widowControl/>
              <w:spacing w:line="240" w:lineRule="auto"/>
              <w:ind w:firstLine="0" w:firstLineChars="0"/>
              <w:jc w:val="center"/>
              <w:rPr>
                <w:color w:val="auto"/>
                <w:kern w:val="0"/>
                <w:sz w:val="21"/>
                <w:szCs w:val="21"/>
              </w:rPr>
            </w:pPr>
            <w:r>
              <w:rPr>
                <w:color w:val="auto"/>
                <w:sz w:val="21"/>
                <w:szCs w:val="21"/>
              </w:rPr>
              <w:t>4.00E-04</w:t>
            </w:r>
          </w:p>
        </w:tc>
        <w:tc>
          <w:tcPr>
            <w:tcW w:w="360" w:type="pct"/>
            <w:shd w:val="clear" w:color="auto" w:fill="auto"/>
          </w:tcPr>
          <w:p w14:paraId="43C5C914">
            <w:pPr>
              <w:widowControl/>
              <w:spacing w:line="240" w:lineRule="auto"/>
              <w:ind w:firstLine="0" w:firstLineChars="0"/>
              <w:jc w:val="center"/>
              <w:rPr>
                <w:color w:val="auto"/>
                <w:kern w:val="0"/>
                <w:sz w:val="21"/>
                <w:szCs w:val="21"/>
              </w:rPr>
            </w:pPr>
            <w:r>
              <w:rPr>
                <w:color w:val="auto"/>
                <w:sz w:val="21"/>
                <w:szCs w:val="21"/>
              </w:rPr>
              <w:t>0.20</w:t>
            </w:r>
          </w:p>
        </w:tc>
      </w:tr>
      <w:tr w14:paraId="66813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DF7951F">
            <w:pPr>
              <w:widowControl/>
              <w:spacing w:line="240" w:lineRule="auto"/>
              <w:ind w:firstLine="0" w:firstLineChars="0"/>
              <w:jc w:val="center"/>
              <w:rPr>
                <w:color w:val="auto"/>
                <w:kern w:val="0"/>
                <w:sz w:val="21"/>
                <w:szCs w:val="21"/>
              </w:rPr>
            </w:pPr>
            <w:r>
              <w:rPr>
                <w:color w:val="auto"/>
                <w:sz w:val="21"/>
                <w:szCs w:val="21"/>
              </w:rPr>
              <w:t>1550</w:t>
            </w:r>
          </w:p>
        </w:tc>
        <w:tc>
          <w:tcPr>
            <w:tcW w:w="416" w:type="pct"/>
            <w:shd w:val="clear" w:color="auto" w:fill="auto"/>
          </w:tcPr>
          <w:p w14:paraId="1E20C8F0">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6AC970A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CF2E1B3">
            <w:pPr>
              <w:widowControl/>
              <w:spacing w:line="240" w:lineRule="auto"/>
              <w:ind w:firstLine="0" w:firstLineChars="0"/>
              <w:jc w:val="center"/>
              <w:rPr>
                <w:color w:val="auto"/>
                <w:sz w:val="21"/>
                <w:szCs w:val="21"/>
              </w:rPr>
            </w:pPr>
            <w:r>
              <w:rPr>
                <w:rFonts w:hint="eastAsia"/>
                <w:color w:val="auto"/>
                <w:sz w:val="21"/>
                <w:szCs w:val="21"/>
              </w:rPr>
              <w:t>9.52E-06</w:t>
            </w:r>
          </w:p>
        </w:tc>
        <w:tc>
          <w:tcPr>
            <w:tcW w:w="409" w:type="pct"/>
            <w:shd w:val="clear" w:color="auto" w:fill="auto"/>
          </w:tcPr>
          <w:p w14:paraId="1CC96AC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611B9C4">
            <w:pPr>
              <w:widowControl/>
              <w:spacing w:line="240" w:lineRule="auto"/>
              <w:ind w:firstLine="0" w:firstLineChars="0"/>
              <w:jc w:val="center"/>
              <w:rPr>
                <w:color w:val="auto"/>
                <w:sz w:val="21"/>
                <w:szCs w:val="21"/>
              </w:rPr>
            </w:pPr>
            <w:r>
              <w:rPr>
                <w:rFonts w:hint="eastAsia"/>
                <w:color w:val="auto"/>
                <w:sz w:val="21"/>
                <w:szCs w:val="21"/>
              </w:rPr>
              <w:t>9.01E-05</w:t>
            </w:r>
          </w:p>
        </w:tc>
        <w:tc>
          <w:tcPr>
            <w:tcW w:w="423" w:type="pct"/>
            <w:shd w:val="clear" w:color="auto" w:fill="auto"/>
          </w:tcPr>
          <w:p w14:paraId="211088DE">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125F7F73">
            <w:pPr>
              <w:widowControl/>
              <w:spacing w:line="240" w:lineRule="auto"/>
              <w:ind w:firstLine="0" w:firstLineChars="0"/>
              <w:jc w:val="center"/>
              <w:rPr>
                <w:color w:val="auto"/>
                <w:kern w:val="0"/>
                <w:sz w:val="21"/>
                <w:szCs w:val="21"/>
              </w:rPr>
            </w:pPr>
            <w:r>
              <w:rPr>
                <w:rFonts w:hint="eastAsia"/>
                <w:color w:val="auto"/>
                <w:sz w:val="21"/>
                <w:szCs w:val="21"/>
              </w:rPr>
              <w:t>3.67E-04</w:t>
            </w:r>
          </w:p>
        </w:tc>
        <w:tc>
          <w:tcPr>
            <w:tcW w:w="532" w:type="pct"/>
            <w:shd w:val="clear" w:color="auto" w:fill="auto"/>
          </w:tcPr>
          <w:p w14:paraId="74A9073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13878C4D">
            <w:pPr>
              <w:widowControl/>
              <w:spacing w:line="240" w:lineRule="auto"/>
              <w:ind w:firstLine="0" w:firstLineChars="0"/>
              <w:jc w:val="center"/>
              <w:rPr>
                <w:color w:val="auto"/>
                <w:kern w:val="0"/>
                <w:sz w:val="21"/>
                <w:szCs w:val="21"/>
              </w:rPr>
            </w:pPr>
            <w:r>
              <w:rPr>
                <w:color w:val="auto"/>
                <w:sz w:val="21"/>
                <w:szCs w:val="21"/>
              </w:rPr>
              <w:t>4.00E-04</w:t>
            </w:r>
          </w:p>
        </w:tc>
        <w:tc>
          <w:tcPr>
            <w:tcW w:w="360" w:type="pct"/>
            <w:shd w:val="clear" w:color="auto" w:fill="auto"/>
          </w:tcPr>
          <w:p w14:paraId="521E110E">
            <w:pPr>
              <w:widowControl/>
              <w:spacing w:line="240" w:lineRule="auto"/>
              <w:ind w:firstLine="0" w:firstLineChars="0"/>
              <w:jc w:val="center"/>
              <w:rPr>
                <w:color w:val="auto"/>
                <w:kern w:val="0"/>
                <w:sz w:val="21"/>
                <w:szCs w:val="21"/>
              </w:rPr>
            </w:pPr>
            <w:r>
              <w:rPr>
                <w:color w:val="auto"/>
                <w:sz w:val="21"/>
                <w:szCs w:val="21"/>
              </w:rPr>
              <w:t>0.20</w:t>
            </w:r>
          </w:p>
        </w:tc>
      </w:tr>
      <w:tr w14:paraId="65C55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053F1B6B">
            <w:pPr>
              <w:widowControl/>
              <w:spacing w:line="240" w:lineRule="auto"/>
              <w:ind w:firstLine="0" w:firstLineChars="0"/>
              <w:jc w:val="center"/>
              <w:rPr>
                <w:color w:val="auto"/>
                <w:kern w:val="0"/>
                <w:sz w:val="21"/>
                <w:szCs w:val="21"/>
              </w:rPr>
            </w:pPr>
            <w:r>
              <w:rPr>
                <w:color w:val="auto"/>
                <w:sz w:val="21"/>
                <w:szCs w:val="21"/>
              </w:rPr>
              <w:t>1575</w:t>
            </w:r>
          </w:p>
        </w:tc>
        <w:tc>
          <w:tcPr>
            <w:tcW w:w="416" w:type="pct"/>
            <w:shd w:val="clear" w:color="auto" w:fill="auto"/>
          </w:tcPr>
          <w:p w14:paraId="610B7C22">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10A62143">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056B2F3">
            <w:pPr>
              <w:widowControl/>
              <w:spacing w:line="240" w:lineRule="auto"/>
              <w:ind w:firstLine="0" w:firstLineChars="0"/>
              <w:jc w:val="center"/>
              <w:rPr>
                <w:color w:val="auto"/>
                <w:sz w:val="21"/>
                <w:szCs w:val="21"/>
              </w:rPr>
            </w:pPr>
            <w:r>
              <w:rPr>
                <w:rFonts w:hint="eastAsia"/>
                <w:color w:val="auto"/>
                <w:sz w:val="21"/>
                <w:szCs w:val="21"/>
              </w:rPr>
              <w:t>9.53E-06</w:t>
            </w:r>
          </w:p>
        </w:tc>
        <w:tc>
          <w:tcPr>
            <w:tcW w:w="409" w:type="pct"/>
            <w:shd w:val="clear" w:color="auto" w:fill="auto"/>
          </w:tcPr>
          <w:p w14:paraId="291BE32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DE71974">
            <w:pPr>
              <w:widowControl/>
              <w:spacing w:line="240" w:lineRule="auto"/>
              <w:ind w:firstLine="0" w:firstLineChars="0"/>
              <w:jc w:val="center"/>
              <w:rPr>
                <w:color w:val="auto"/>
                <w:sz w:val="21"/>
                <w:szCs w:val="21"/>
              </w:rPr>
            </w:pPr>
            <w:r>
              <w:rPr>
                <w:rFonts w:hint="eastAsia"/>
                <w:color w:val="auto"/>
                <w:sz w:val="21"/>
                <w:szCs w:val="21"/>
              </w:rPr>
              <w:t>9.02E-05</w:t>
            </w:r>
          </w:p>
        </w:tc>
        <w:tc>
          <w:tcPr>
            <w:tcW w:w="423" w:type="pct"/>
            <w:shd w:val="clear" w:color="auto" w:fill="auto"/>
          </w:tcPr>
          <w:p w14:paraId="15C84465">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3EF49495">
            <w:pPr>
              <w:widowControl/>
              <w:spacing w:line="240" w:lineRule="auto"/>
              <w:ind w:firstLine="0" w:firstLineChars="0"/>
              <w:jc w:val="center"/>
              <w:rPr>
                <w:color w:val="auto"/>
                <w:kern w:val="0"/>
                <w:sz w:val="21"/>
                <w:szCs w:val="21"/>
              </w:rPr>
            </w:pPr>
            <w:r>
              <w:rPr>
                <w:rFonts w:hint="eastAsia"/>
                <w:color w:val="auto"/>
                <w:sz w:val="21"/>
                <w:szCs w:val="21"/>
              </w:rPr>
              <w:t>3.68E-04</w:t>
            </w:r>
          </w:p>
        </w:tc>
        <w:tc>
          <w:tcPr>
            <w:tcW w:w="532" w:type="pct"/>
            <w:shd w:val="clear" w:color="auto" w:fill="auto"/>
          </w:tcPr>
          <w:p w14:paraId="47F4F351">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1B274671">
            <w:pPr>
              <w:widowControl/>
              <w:spacing w:line="240" w:lineRule="auto"/>
              <w:ind w:firstLine="0" w:firstLineChars="0"/>
              <w:jc w:val="center"/>
              <w:rPr>
                <w:color w:val="auto"/>
                <w:kern w:val="0"/>
                <w:sz w:val="21"/>
                <w:szCs w:val="21"/>
              </w:rPr>
            </w:pPr>
            <w:r>
              <w:rPr>
                <w:color w:val="auto"/>
                <w:sz w:val="21"/>
                <w:szCs w:val="21"/>
              </w:rPr>
              <w:t>4.01E-04</w:t>
            </w:r>
          </w:p>
        </w:tc>
        <w:tc>
          <w:tcPr>
            <w:tcW w:w="360" w:type="pct"/>
            <w:shd w:val="clear" w:color="auto" w:fill="auto"/>
          </w:tcPr>
          <w:p w14:paraId="4CC612A0">
            <w:pPr>
              <w:widowControl/>
              <w:spacing w:line="240" w:lineRule="auto"/>
              <w:ind w:firstLine="0" w:firstLineChars="0"/>
              <w:jc w:val="center"/>
              <w:rPr>
                <w:color w:val="auto"/>
                <w:kern w:val="0"/>
                <w:sz w:val="21"/>
                <w:szCs w:val="21"/>
              </w:rPr>
            </w:pPr>
            <w:r>
              <w:rPr>
                <w:color w:val="auto"/>
                <w:sz w:val="21"/>
                <w:szCs w:val="21"/>
              </w:rPr>
              <w:t>0.20</w:t>
            </w:r>
          </w:p>
        </w:tc>
      </w:tr>
      <w:tr w14:paraId="3B67A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EF7C6CF">
            <w:pPr>
              <w:widowControl/>
              <w:spacing w:line="240" w:lineRule="auto"/>
              <w:ind w:firstLine="0" w:firstLineChars="0"/>
              <w:jc w:val="center"/>
              <w:rPr>
                <w:color w:val="auto"/>
                <w:kern w:val="0"/>
                <w:sz w:val="21"/>
                <w:szCs w:val="21"/>
              </w:rPr>
            </w:pPr>
            <w:r>
              <w:rPr>
                <w:color w:val="auto"/>
                <w:sz w:val="21"/>
                <w:szCs w:val="21"/>
              </w:rPr>
              <w:t>1600</w:t>
            </w:r>
          </w:p>
        </w:tc>
        <w:tc>
          <w:tcPr>
            <w:tcW w:w="416" w:type="pct"/>
            <w:shd w:val="clear" w:color="auto" w:fill="auto"/>
          </w:tcPr>
          <w:p w14:paraId="6292CBEA">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34A5AC3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2CDB75D">
            <w:pPr>
              <w:widowControl/>
              <w:spacing w:line="240" w:lineRule="auto"/>
              <w:ind w:firstLine="0" w:firstLineChars="0"/>
              <w:jc w:val="center"/>
              <w:rPr>
                <w:color w:val="auto"/>
                <w:sz w:val="21"/>
                <w:szCs w:val="21"/>
              </w:rPr>
            </w:pPr>
            <w:r>
              <w:rPr>
                <w:rFonts w:hint="eastAsia"/>
                <w:color w:val="auto"/>
                <w:sz w:val="21"/>
                <w:szCs w:val="21"/>
              </w:rPr>
              <w:t>9.53E-06</w:t>
            </w:r>
          </w:p>
        </w:tc>
        <w:tc>
          <w:tcPr>
            <w:tcW w:w="409" w:type="pct"/>
            <w:shd w:val="clear" w:color="auto" w:fill="auto"/>
          </w:tcPr>
          <w:p w14:paraId="390059C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D801B53">
            <w:pPr>
              <w:widowControl/>
              <w:spacing w:line="240" w:lineRule="auto"/>
              <w:ind w:firstLine="0" w:firstLineChars="0"/>
              <w:jc w:val="center"/>
              <w:rPr>
                <w:color w:val="auto"/>
                <w:sz w:val="21"/>
                <w:szCs w:val="21"/>
              </w:rPr>
            </w:pPr>
            <w:r>
              <w:rPr>
                <w:rFonts w:hint="eastAsia"/>
                <w:color w:val="auto"/>
                <w:sz w:val="21"/>
                <w:szCs w:val="21"/>
              </w:rPr>
              <w:t>9.02E-05</w:t>
            </w:r>
          </w:p>
        </w:tc>
        <w:tc>
          <w:tcPr>
            <w:tcW w:w="423" w:type="pct"/>
            <w:shd w:val="clear" w:color="auto" w:fill="auto"/>
          </w:tcPr>
          <w:p w14:paraId="16A533AB">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5ABBEBE7">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7655F36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A66B0BF">
            <w:pPr>
              <w:widowControl/>
              <w:spacing w:line="240" w:lineRule="auto"/>
              <w:ind w:firstLine="0" w:firstLineChars="0"/>
              <w:jc w:val="center"/>
              <w:rPr>
                <w:color w:val="auto"/>
                <w:kern w:val="0"/>
                <w:sz w:val="21"/>
                <w:szCs w:val="21"/>
              </w:rPr>
            </w:pPr>
            <w:r>
              <w:rPr>
                <w:color w:val="auto"/>
                <w:sz w:val="21"/>
                <w:szCs w:val="21"/>
              </w:rPr>
              <w:t>4.01E-04</w:t>
            </w:r>
          </w:p>
        </w:tc>
        <w:tc>
          <w:tcPr>
            <w:tcW w:w="360" w:type="pct"/>
            <w:shd w:val="clear" w:color="auto" w:fill="auto"/>
          </w:tcPr>
          <w:p w14:paraId="3097676E">
            <w:pPr>
              <w:widowControl/>
              <w:spacing w:line="240" w:lineRule="auto"/>
              <w:ind w:firstLine="0" w:firstLineChars="0"/>
              <w:jc w:val="center"/>
              <w:rPr>
                <w:color w:val="auto"/>
                <w:kern w:val="0"/>
                <w:sz w:val="21"/>
                <w:szCs w:val="21"/>
              </w:rPr>
            </w:pPr>
            <w:r>
              <w:rPr>
                <w:color w:val="auto"/>
                <w:sz w:val="21"/>
                <w:szCs w:val="21"/>
              </w:rPr>
              <w:t>0.20</w:t>
            </w:r>
          </w:p>
        </w:tc>
      </w:tr>
      <w:tr w14:paraId="740D8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312100A">
            <w:pPr>
              <w:widowControl/>
              <w:spacing w:line="240" w:lineRule="auto"/>
              <w:ind w:firstLine="0" w:firstLineChars="0"/>
              <w:jc w:val="center"/>
              <w:rPr>
                <w:color w:val="auto"/>
                <w:kern w:val="0"/>
                <w:sz w:val="21"/>
                <w:szCs w:val="21"/>
              </w:rPr>
            </w:pPr>
            <w:r>
              <w:rPr>
                <w:color w:val="auto"/>
                <w:sz w:val="21"/>
                <w:szCs w:val="21"/>
              </w:rPr>
              <w:t>1625</w:t>
            </w:r>
          </w:p>
        </w:tc>
        <w:tc>
          <w:tcPr>
            <w:tcW w:w="416" w:type="pct"/>
            <w:shd w:val="clear" w:color="auto" w:fill="auto"/>
          </w:tcPr>
          <w:p w14:paraId="36FE14DE">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4C735C3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0A4B1F3">
            <w:pPr>
              <w:widowControl/>
              <w:spacing w:line="240" w:lineRule="auto"/>
              <w:ind w:firstLine="0" w:firstLineChars="0"/>
              <w:jc w:val="center"/>
              <w:rPr>
                <w:color w:val="auto"/>
                <w:sz w:val="21"/>
                <w:szCs w:val="21"/>
              </w:rPr>
            </w:pPr>
            <w:r>
              <w:rPr>
                <w:rFonts w:hint="eastAsia"/>
                <w:color w:val="auto"/>
                <w:sz w:val="21"/>
                <w:szCs w:val="21"/>
              </w:rPr>
              <w:t>9.53E-06</w:t>
            </w:r>
          </w:p>
        </w:tc>
        <w:tc>
          <w:tcPr>
            <w:tcW w:w="409" w:type="pct"/>
            <w:shd w:val="clear" w:color="auto" w:fill="auto"/>
          </w:tcPr>
          <w:p w14:paraId="494B6B3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D5C7F02">
            <w:pPr>
              <w:widowControl/>
              <w:spacing w:line="240" w:lineRule="auto"/>
              <w:ind w:firstLine="0" w:firstLineChars="0"/>
              <w:jc w:val="center"/>
              <w:rPr>
                <w:color w:val="auto"/>
                <w:sz w:val="21"/>
                <w:szCs w:val="21"/>
              </w:rPr>
            </w:pPr>
            <w:r>
              <w:rPr>
                <w:rFonts w:hint="eastAsia"/>
                <w:color w:val="auto"/>
                <w:sz w:val="21"/>
                <w:szCs w:val="21"/>
              </w:rPr>
              <w:t>9.01E-05</w:t>
            </w:r>
          </w:p>
        </w:tc>
        <w:tc>
          <w:tcPr>
            <w:tcW w:w="423" w:type="pct"/>
            <w:shd w:val="clear" w:color="auto" w:fill="auto"/>
          </w:tcPr>
          <w:p w14:paraId="10816238">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4EA1C6CD">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2F5472C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5C30624">
            <w:pPr>
              <w:widowControl/>
              <w:spacing w:line="240" w:lineRule="auto"/>
              <w:ind w:firstLine="0" w:firstLineChars="0"/>
              <w:jc w:val="center"/>
              <w:rPr>
                <w:color w:val="auto"/>
                <w:kern w:val="0"/>
                <w:sz w:val="21"/>
                <w:szCs w:val="21"/>
              </w:rPr>
            </w:pPr>
            <w:r>
              <w:rPr>
                <w:color w:val="auto"/>
                <w:sz w:val="21"/>
                <w:szCs w:val="21"/>
              </w:rPr>
              <w:t>4.01E-04</w:t>
            </w:r>
          </w:p>
        </w:tc>
        <w:tc>
          <w:tcPr>
            <w:tcW w:w="360" w:type="pct"/>
            <w:shd w:val="clear" w:color="auto" w:fill="auto"/>
          </w:tcPr>
          <w:p w14:paraId="35CF7D7A">
            <w:pPr>
              <w:widowControl/>
              <w:spacing w:line="240" w:lineRule="auto"/>
              <w:ind w:firstLine="0" w:firstLineChars="0"/>
              <w:jc w:val="center"/>
              <w:rPr>
                <w:color w:val="auto"/>
                <w:kern w:val="0"/>
                <w:sz w:val="21"/>
                <w:szCs w:val="21"/>
              </w:rPr>
            </w:pPr>
            <w:r>
              <w:rPr>
                <w:color w:val="auto"/>
                <w:sz w:val="21"/>
                <w:szCs w:val="21"/>
              </w:rPr>
              <w:t>0.20</w:t>
            </w:r>
          </w:p>
        </w:tc>
      </w:tr>
      <w:tr w14:paraId="2CB38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638FA39">
            <w:pPr>
              <w:widowControl/>
              <w:spacing w:line="240" w:lineRule="auto"/>
              <w:ind w:firstLine="0" w:firstLineChars="0"/>
              <w:jc w:val="center"/>
              <w:rPr>
                <w:color w:val="auto"/>
                <w:kern w:val="0"/>
                <w:sz w:val="21"/>
                <w:szCs w:val="21"/>
              </w:rPr>
            </w:pPr>
            <w:r>
              <w:rPr>
                <w:color w:val="auto"/>
                <w:sz w:val="21"/>
                <w:szCs w:val="21"/>
              </w:rPr>
              <w:t>1650</w:t>
            </w:r>
          </w:p>
        </w:tc>
        <w:tc>
          <w:tcPr>
            <w:tcW w:w="416" w:type="pct"/>
            <w:shd w:val="clear" w:color="auto" w:fill="auto"/>
          </w:tcPr>
          <w:p w14:paraId="12E43127">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573E73D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1EEF4AC">
            <w:pPr>
              <w:widowControl/>
              <w:spacing w:line="240" w:lineRule="auto"/>
              <w:ind w:firstLine="0" w:firstLineChars="0"/>
              <w:jc w:val="center"/>
              <w:rPr>
                <w:color w:val="auto"/>
                <w:sz w:val="21"/>
                <w:szCs w:val="21"/>
              </w:rPr>
            </w:pPr>
            <w:r>
              <w:rPr>
                <w:rFonts w:hint="eastAsia"/>
                <w:color w:val="auto"/>
                <w:sz w:val="21"/>
                <w:szCs w:val="21"/>
              </w:rPr>
              <w:t>9.52E-06</w:t>
            </w:r>
          </w:p>
        </w:tc>
        <w:tc>
          <w:tcPr>
            <w:tcW w:w="409" w:type="pct"/>
            <w:shd w:val="clear" w:color="auto" w:fill="auto"/>
          </w:tcPr>
          <w:p w14:paraId="172D1DB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8DA986E">
            <w:pPr>
              <w:widowControl/>
              <w:spacing w:line="240" w:lineRule="auto"/>
              <w:ind w:firstLine="0" w:firstLineChars="0"/>
              <w:jc w:val="center"/>
              <w:rPr>
                <w:color w:val="auto"/>
                <w:sz w:val="21"/>
                <w:szCs w:val="21"/>
              </w:rPr>
            </w:pPr>
            <w:r>
              <w:rPr>
                <w:rFonts w:hint="eastAsia"/>
                <w:color w:val="auto"/>
                <w:sz w:val="21"/>
                <w:szCs w:val="21"/>
              </w:rPr>
              <w:t>9.01E-05</w:t>
            </w:r>
          </w:p>
        </w:tc>
        <w:tc>
          <w:tcPr>
            <w:tcW w:w="423" w:type="pct"/>
            <w:shd w:val="clear" w:color="auto" w:fill="auto"/>
          </w:tcPr>
          <w:p w14:paraId="3516735A">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395410CC">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6915386D">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E229106">
            <w:pPr>
              <w:widowControl/>
              <w:spacing w:line="240" w:lineRule="auto"/>
              <w:ind w:firstLine="0" w:firstLineChars="0"/>
              <w:jc w:val="center"/>
              <w:rPr>
                <w:color w:val="auto"/>
                <w:kern w:val="0"/>
                <w:sz w:val="21"/>
                <w:szCs w:val="21"/>
              </w:rPr>
            </w:pPr>
            <w:r>
              <w:rPr>
                <w:color w:val="auto"/>
                <w:sz w:val="21"/>
                <w:szCs w:val="21"/>
              </w:rPr>
              <w:t>4.00E-04</w:t>
            </w:r>
          </w:p>
        </w:tc>
        <w:tc>
          <w:tcPr>
            <w:tcW w:w="360" w:type="pct"/>
            <w:shd w:val="clear" w:color="auto" w:fill="auto"/>
          </w:tcPr>
          <w:p w14:paraId="3F2294CE">
            <w:pPr>
              <w:widowControl/>
              <w:spacing w:line="240" w:lineRule="auto"/>
              <w:ind w:firstLine="0" w:firstLineChars="0"/>
              <w:jc w:val="center"/>
              <w:rPr>
                <w:color w:val="auto"/>
                <w:kern w:val="0"/>
                <w:sz w:val="21"/>
                <w:szCs w:val="21"/>
              </w:rPr>
            </w:pPr>
            <w:r>
              <w:rPr>
                <w:color w:val="auto"/>
                <w:sz w:val="21"/>
                <w:szCs w:val="21"/>
              </w:rPr>
              <w:t>0.20</w:t>
            </w:r>
          </w:p>
        </w:tc>
      </w:tr>
      <w:tr w14:paraId="0FAD5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E273A7B">
            <w:pPr>
              <w:widowControl/>
              <w:spacing w:line="240" w:lineRule="auto"/>
              <w:ind w:firstLine="0" w:firstLineChars="0"/>
              <w:jc w:val="center"/>
              <w:rPr>
                <w:color w:val="auto"/>
                <w:kern w:val="0"/>
                <w:sz w:val="21"/>
                <w:szCs w:val="21"/>
              </w:rPr>
            </w:pPr>
            <w:r>
              <w:rPr>
                <w:color w:val="auto"/>
                <w:sz w:val="21"/>
                <w:szCs w:val="21"/>
              </w:rPr>
              <w:t>1675</w:t>
            </w:r>
          </w:p>
        </w:tc>
        <w:tc>
          <w:tcPr>
            <w:tcW w:w="416" w:type="pct"/>
            <w:shd w:val="clear" w:color="auto" w:fill="auto"/>
          </w:tcPr>
          <w:p w14:paraId="41FB7426">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66A3AC3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011E490">
            <w:pPr>
              <w:widowControl/>
              <w:spacing w:line="240" w:lineRule="auto"/>
              <w:ind w:firstLine="0" w:firstLineChars="0"/>
              <w:jc w:val="center"/>
              <w:rPr>
                <w:color w:val="auto"/>
                <w:sz w:val="21"/>
                <w:szCs w:val="21"/>
              </w:rPr>
            </w:pPr>
            <w:r>
              <w:rPr>
                <w:rFonts w:hint="eastAsia"/>
                <w:color w:val="auto"/>
                <w:sz w:val="21"/>
                <w:szCs w:val="21"/>
              </w:rPr>
              <w:t>9.52E-06</w:t>
            </w:r>
          </w:p>
        </w:tc>
        <w:tc>
          <w:tcPr>
            <w:tcW w:w="409" w:type="pct"/>
            <w:shd w:val="clear" w:color="auto" w:fill="auto"/>
          </w:tcPr>
          <w:p w14:paraId="397A3F7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1E1287F">
            <w:pPr>
              <w:widowControl/>
              <w:spacing w:line="240" w:lineRule="auto"/>
              <w:ind w:firstLine="0" w:firstLineChars="0"/>
              <w:jc w:val="center"/>
              <w:rPr>
                <w:color w:val="auto"/>
                <w:sz w:val="21"/>
                <w:szCs w:val="21"/>
              </w:rPr>
            </w:pPr>
            <w:r>
              <w:rPr>
                <w:rFonts w:hint="eastAsia"/>
                <w:color w:val="auto"/>
                <w:sz w:val="21"/>
                <w:szCs w:val="21"/>
              </w:rPr>
              <w:t>9.00E-05</w:t>
            </w:r>
          </w:p>
        </w:tc>
        <w:tc>
          <w:tcPr>
            <w:tcW w:w="423" w:type="pct"/>
            <w:shd w:val="clear" w:color="auto" w:fill="auto"/>
          </w:tcPr>
          <w:p w14:paraId="55DB646E">
            <w:pPr>
              <w:widowControl/>
              <w:spacing w:line="240" w:lineRule="auto"/>
              <w:ind w:firstLine="0" w:firstLineChars="0"/>
              <w:jc w:val="center"/>
              <w:rPr>
                <w:color w:val="auto"/>
                <w:sz w:val="21"/>
                <w:szCs w:val="21"/>
              </w:rPr>
            </w:pPr>
            <w:r>
              <w:rPr>
                <w:rFonts w:hint="eastAsia"/>
                <w:color w:val="auto"/>
                <w:sz w:val="21"/>
                <w:szCs w:val="21"/>
              </w:rPr>
              <w:t>0.05</w:t>
            </w:r>
          </w:p>
        </w:tc>
        <w:tc>
          <w:tcPr>
            <w:tcW w:w="694" w:type="pct"/>
            <w:shd w:val="clear" w:color="auto" w:fill="auto"/>
          </w:tcPr>
          <w:p w14:paraId="5CA8B710">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4F83B841">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0B406E7B">
            <w:pPr>
              <w:widowControl/>
              <w:spacing w:line="240" w:lineRule="auto"/>
              <w:ind w:firstLine="0" w:firstLineChars="0"/>
              <w:jc w:val="center"/>
              <w:rPr>
                <w:color w:val="auto"/>
                <w:kern w:val="0"/>
                <w:sz w:val="21"/>
                <w:szCs w:val="21"/>
              </w:rPr>
            </w:pPr>
            <w:r>
              <w:rPr>
                <w:color w:val="auto"/>
                <w:sz w:val="21"/>
                <w:szCs w:val="21"/>
              </w:rPr>
              <w:t>4.00E-04</w:t>
            </w:r>
          </w:p>
        </w:tc>
        <w:tc>
          <w:tcPr>
            <w:tcW w:w="360" w:type="pct"/>
            <w:shd w:val="clear" w:color="auto" w:fill="auto"/>
          </w:tcPr>
          <w:p w14:paraId="41DB287E">
            <w:pPr>
              <w:widowControl/>
              <w:spacing w:line="240" w:lineRule="auto"/>
              <w:ind w:firstLine="0" w:firstLineChars="0"/>
              <w:jc w:val="center"/>
              <w:rPr>
                <w:color w:val="auto"/>
                <w:kern w:val="0"/>
                <w:sz w:val="21"/>
                <w:szCs w:val="21"/>
              </w:rPr>
            </w:pPr>
            <w:r>
              <w:rPr>
                <w:color w:val="auto"/>
                <w:sz w:val="21"/>
                <w:szCs w:val="21"/>
              </w:rPr>
              <w:t>0.20</w:t>
            </w:r>
          </w:p>
        </w:tc>
      </w:tr>
      <w:tr w14:paraId="24B7F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073DF63C">
            <w:pPr>
              <w:widowControl/>
              <w:spacing w:line="240" w:lineRule="auto"/>
              <w:ind w:firstLine="0" w:firstLineChars="0"/>
              <w:jc w:val="center"/>
              <w:rPr>
                <w:color w:val="auto"/>
                <w:kern w:val="0"/>
                <w:sz w:val="21"/>
                <w:szCs w:val="21"/>
              </w:rPr>
            </w:pPr>
            <w:r>
              <w:rPr>
                <w:color w:val="auto"/>
                <w:sz w:val="21"/>
                <w:szCs w:val="21"/>
              </w:rPr>
              <w:t>1700</w:t>
            </w:r>
          </w:p>
        </w:tc>
        <w:tc>
          <w:tcPr>
            <w:tcW w:w="416" w:type="pct"/>
            <w:shd w:val="clear" w:color="auto" w:fill="auto"/>
          </w:tcPr>
          <w:p w14:paraId="6F1C089A">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2182ED9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6E268A4">
            <w:pPr>
              <w:widowControl/>
              <w:spacing w:line="240" w:lineRule="auto"/>
              <w:ind w:firstLine="0" w:firstLineChars="0"/>
              <w:jc w:val="center"/>
              <w:rPr>
                <w:color w:val="auto"/>
                <w:sz w:val="21"/>
                <w:szCs w:val="21"/>
              </w:rPr>
            </w:pPr>
            <w:r>
              <w:rPr>
                <w:rFonts w:hint="eastAsia"/>
                <w:color w:val="auto"/>
                <w:sz w:val="21"/>
                <w:szCs w:val="21"/>
              </w:rPr>
              <w:t>9.51E-06</w:t>
            </w:r>
          </w:p>
        </w:tc>
        <w:tc>
          <w:tcPr>
            <w:tcW w:w="409" w:type="pct"/>
            <w:shd w:val="clear" w:color="auto" w:fill="auto"/>
          </w:tcPr>
          <w:p w14:paraId="26D535C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C7D7AE5">
            <w:pPr>
              <w:widowControl/>
              <w:spacing w:line="240" w:lineRule="auto"/>
              <w:ind w:firstLine="0" w:firstLineChars="0"/>
              <w:jc w:val="center"/>
              <w:rPr>
                <w:color w:val="auto"/>
                <w:sz w:val="21"/>
                <w:szCs w:val="21"/>
              </w:rPr>
            </w:pPr>
            <w:r>
              <w:rPr>
                <w:rFonts w:hint="eastAsia"/>
                <w:color w:val="auto"/>
                <w:sz w:val="21"/>
                <w:szCs w:val="21"/>
              </w:rPr>
              <w:t>8.99E-05</w:t>
            </w:r>
          </w:p>
        </w:tc>
        <w:tc>
          <w:tcPr>
            <w:tcW w:w="423" w:type="pct"/>
            <w:shd w:val="clear" w:color="auto" w:fill="auto"/>
          </w:tcPr>
          <w:p w14:paraId="54E08E57">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5C16FB4">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28E72CE6">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7B24B98">
            <w:pPr>
              <w:widowControl/>
              <w:spacing w:line="240" w:lineRule="auto"/>
              <w:ind w:firstLine="0" w:firstLineChars="0"/>
              <w:jc w:val="center"/>
              <w:rPr>
                <w:color w:val="auto"/>
                <w:kern w:val="0"/>
                <w:sz w:val="21"/>
                <w:szCs w:val="21"/>
              </w:rPr>
            </w:pPr>
            <w:r>
              <w:rPr>
                <w:color w:val="auto"/>
                <w:sz w:val="21"/>
                <w:szCs w:val="21"/>
              </w:rPr>
              <w:t>4.00E-04</w:t>
            </w:r>
          </w:p>
        </w:tc>
        <w:tc>
          <w:tcPr>
            <w:tcW w:w="360" w:type="pct"/>
            <w:shd w:val="clear" w:color="auto" w:fill="auto"/>
          </w:tcPr>
          <w:p w14:paraId="1E0AF078">
            <w:pPr>
              <w:widowControl/>
              <w:spacing w:line="240" w:lineRule="auto"/>
              <w:ind w:firstLine="0" w:firstLineChars="0"/>
              <w:jc w:val="center"/>
              <w:rPr>
                <w:color w:val="auto"/>
                <w:kern w:val="0"/>
                <w:sz w:val="21"/>
                <w:szCs w:val="21"/>
              </w:rPr>
            </w:pPr>
            <w:r>
              <w:rPr>
                <w:color w:val="auto"/>
                <w:sz w:val="21"/>
                <w:szCs w:val="21"/>
              </w:rPr>
              <w:t>0.20</w:t>
            </w:r>
          </w:p>
        </w:tc>
      </w:tr>
      <w:tr w14:paraId="4EB58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03721B5">
            <w:pPr>
              <w:widowControl/>
              <w:spacing w:line="240" w:lineRule="auto"/>
              <w:ind w:firstLine="0" w:firstLineChars="0"/>
              <w:jc w:val="center"/>
              <w:rPr>
                <w:color w:val="auto"/>
                <w:kern w:val="0"/>
                <w:sz w:val="21"/>
                <w:szCs w:val="21"/>
              </w:rPr>
            </w:pPr>
            <w:r>
              <w:rPr>
                <w:color w:val="auto"/>
                <w:sz w:val="21"/>
                <w:szCs w:val="21"/>
              </w:rPr>
              <w:t>1725</w:t>
            </w:r>
          </w:p>
        </w:tc>
        <w:tc>
          <w:tcPr>
            <w:tcW w:w="416" w:type="pct"/>
            <w:shd w:val="clear" w:color="auto" w:fill="auto"/>
          </w:tcPr>
          <w:p w14:paraId="1E14F04D">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245381C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2A5A367">
            <w:pPr>
              <w:widowControl/>
              <w:spacing w:line="240" w:lineRule="auto"/>
              <w:ind w:firstLine="0" w:firstLineChars="0"/>
              <w:jc w:val="center"/>
              <w:rPr>
                <w:color w:val="auto"/>
                <w:sz w:val="21"/>
                <w:szCs w:val="21"/>
              </w:rPr>
            </w:pPr>
            <w:r>
              <w:rPr>
                <w:rFonts w:hint="eastAsia"/>
                <w:color w:val="auto"/>
                <w:sz w:val="21"/>
                <w:szCs w:val="21"/>
              </w:rPr>
              <w:t>9.49E-06</w:t>
            </w:r>
          </w:p>
        </w:tc>
        <w:tc>
          <w:tcPr>
            <w:tcW w:w="409" w:type="pct"/>
            <w:shd w:val="clear" w:color="auto" w:fill="auto"/>
          </w:tcPr>
          <w:p w14:paraId="177A7B8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0E21DCC">
            <w:pPr>
              <w:widowControl/>
              <w:spacing w:line="240" w:lineRule="auto"/>
              <w:ind w:firstLine="0" w:firstLineChars="0"/>
              <w:jc w:val="center"/>
              <w:rPr>
                <w:color w:val="auto"/>
                <w:sz w:val="21"/>
                <w:szCs w:val="21"/>
              </w:rPr>
            </w:pPr>
            <w:r>
              <w:rPr>
                <w:rFonts w:hint="eastAsia"/>
                <w:color w:val="auto"/>
                <w:sz w:val="21"/>
                <w:szCs w:val="21"/>
              </w:rPr>
              <w:t>8.98E-05</w:t>
            </w:r>
          </w:p>
        </w:tc>
        <w:tc>
          <w:tcPr>
            <w:tcW w:w="423" w:type="pct"/>
            <w:shd w:val="clear" w:color="auto" w:fill="auto"/>
          </w:tcPr>
          <w:p w14:paraId="0D9DEB96">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E63901D">
            <w:pPr>
              <w:widowControl/>
              <w:spacing w:line="240" w:lineRule="auto"/>
              <w:ind w:firstLine="0" w:firstLineChars="0"/>
              <w:jc w:val="center"/>
              <w:rPr>
                <w:color w:val="auto"/>
                <w:kern w:val="0"/>
                <w:sz w:val="21"/>
                <w:szCs w:val="21"/>
              </w:rPr>
            </w:pPr>
            <w:r>
              <w:rPr>
                <w:rFonts w:hint="eastAsia"/>
                <w:color w:val="auto"/>
                <w:sz w:val="21"/>
                <w:szCs w:val="21"/>
              </w:rPr>
              <w:t>3.69E-04</w:t>
            </w:r>
          </w:p>
        </w:tc>
        <w:tc>
          <w:tcPr>
            <w:tcW w:w="532" w:type="pct"/>
            <w:shd w:val="clear" w:color="auto" w:fill="auto"/>
          </w:tcPr>
          <w:p w14:paraId="4C9C9255">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2DA6B300">
            <w:pPr>
              <w:widowControl/>
              <w:spacing w:line="240" w:lineRule="auto"/>
              <w:ind w:firstLine="0" w:firstLineChars="0"/>
              <w:jc w:val="center"/>
              <w:rPr>
                <w:color w:val="auto"/>
                <w:kern w:val="0"/>
                <w:sz w:val="21"/>
                <w:szCs w:val="21"/>
              </w:rPr>
            </w:pPr>
            <w:r>
              <w:rPr>
                <w:color w:val="auto"/>
                <w:sz w:val="21"/>
                <w:szCs w:val="21"/>
              </w:rPr>
              <w:t>3.99E-04</w:t>
            </w:r>
          </w:p>
        </w:tc>
        <w:tc>
          <w:tcPr>
            <w:tcW w:w="360" w:type="pct"/>
            <w:shd w:val="clear" w:color="auto" w:fill="auto"/>
          </w:tcPr>
          <w:p w14:paraId="6F2DE4F5">
            <w:pPr>
              <w:widowControl/>
              <w:spacing w:line="240" w:lineRule="auto"/>
              <w:ind w:firstLine="0" w:firstLineChars="0"/>
              <w:jc w:val="center"/>
              <w:rPr>
                <w:color w:val="auto"/>
                <w:kern w:val="0"/>
                <w:sz w:val="21"/>
                <w:szCs w:val="21"/>
              </w:rPr>
            </w:pPr>
            <w:r>
              <w:rPr>
                <w:color w:val="auto"/>
                <w:sz w:val="21"/>
                <w:szCs w:val="21"/>
              </w:rPr>
              <w:t>0.20</w:t>
            </w:r>
          </w:p>
        </w:tc>
      </w:tr>
      <w:tr w14:paraId="21F0A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46290BF">
            <w:pPr>
              <w:widowControl/>
              <w:spacing w:line="240" w:lineRule="auto"/>
              <w:ind w:firstLine="0" w:firstLineChars="0"/>
              <w:jc w:val="center"/>
              <w:rPr>
                <w:color w:val="auto"/>
                <w:kern w:val="0"/>
                <w:sz w:val="21"/>
                <w:szCs w:val="21"/>
              </w:rPr>
            </w:pPr>
            <w:r>
              <w:rPr>
                <w:color w:val="auto"/>
                <w:sz w:val="21"/>
                <w:szCs w:val="21"/>
              </w:rPr>
              <w:t>1750</w:t>
            </w:r>
          </w:p>
        </w:tc>
        <w:tc>
          <w:tcPr>
            <w:tcW w:w="416" w:type="pct"/>
            <w:shd w:val="clear" w:color="auto" w:fill="auto"/>
          </w:tcPr>
          <w:p w14:paraId="7457B2D2">
            <w:pPr>
              <w:widowControl/>
              <w:spacing w:line="240" w:lineRule="auto"/>
              <w:ind w:firstLine="0" w:firstLineChars="0"/>
              <w:jc w:val="center"/>
              <w:rPr>
                <w:color w:val="auto"/>
                <w:sz w:val="21"/>
                <w:szCs w:val="21"/>
              </w:rPr>
            </w:pPr>
            <w:r>
              <w:rPr>
                <w:rFonts w:hint="eastAsia"/>
                <w:color w:val="auto"/>
                <w:sz w:val="21"/>
                <w:szCs w:val="21"/>
              </w:rPr>
              <w:t>1.31E-05</w:t>
            </w:r>
          </w:p>
        </w:tc>
        <w:tc>
          <w:tcPr>
            <w:tcW w:w="410" w:type="pct"/>
            <w:shd w:val="clear" w:color="auto" w:fill="auto"/>
          </w:tcPr>
          <w:p w14:paraId="63740E6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659B02D">
            <w:pPr>
              <w:widowControl/>
              <w:spacing w:line="240" w:lineRule="auto"/>
              <w:ind w:firstLine="0" w:firstLineChars="0"/>
              <w:jc w:val="center"/>
              <w:rPr>
                <w:color w:val="auto"/>
                <w:sz w:val="21"/>
                <w:szCs w:val="21"/>
              </w:rPr>
            </w:pPr>
            <w:r>
              <w:rPr>
                <w:rFonts w:hint="eastAsia"/>
                <w:color w:val="auto"/>
                <w:sz w:val="21"/>
                <w:szCs w:val="21"/>
              </w:rPr>
              <w:t>9.48E-06</w:t>
            </w:r>
          </w:p>
        </w:tc>
        <w:tc>
          <w:tcPr>
            <w:tcW w:w="409" w:type="pct"/>
            <w:shd w:val="clear" w:color="auto" w:fill="auto"/>
          </w:tcPr>
          <w:p w14:paraId="69C8ACF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2A0CBC2">
            <w:pPr>
              <w:widowControl/>
              <w:spacing w:line="240" w:lineRule="auto"/>
              <w:ind w:firstLine="0" w:firstLineChars="0"/>
              <w:jc w:val="center"/>
              <w:rPr>
                <w:color w:val="auto"/>
                <w:sz w:val="21"/>
                <w:szCs w:val="21"/>
              </w:rPr>
            </w:pPr>
            <w:r>
              <w:rPr>
                <w:rFonts w:hint="eastAsia"/>
                <w:color w:val="auto"/>
                <w:sz w:val="21"/>
                <w:szCs w:val="21"/>
              </w:rPr>
              <w:t>8.96E-05</w:t>
            </w:r>
          </w:p>
        </w:tc>
        <w:tc>
          <w:tcPr>
            <w:tcW w:w="423" w:type="pct"/>
            <w:shd w:val="clear" w:color="auto" w:fill="auto"/>
          </w:tcPr>
          <w:p w14:paraId="7DB5C29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0F80BE1">
            <w:pPr>
              <w:widowControl/>
              <w:spacing w:line="240" w:lineRule="auto"/>
              <w:ind w:firstLine="0" w:firstLineChars="0"/>
              <w:jc w:val="center"/>
              <w:rPr>
                <w:color w:val="auto"/>
                <w:kern w:val="0"/>
                <w:sz w:val="21"/>
                <w:szCs w:val="21"/>
              </w:rPr>
            </w:pPr>
            <w:r>
              <w:rPr>
                <w:rFonts w:hint="eastAsia"/>
                <w:color w:val="auto"/>
                <w:sz w:val="21"/>
                <w:szCs w:val="21"/>
              </w:rPr>
              <w:t>3.68E-04</w:t>
            </w:r>
          </w:p>
        </w:tc>
        <w:tc>
          <w:tcPr>
            <w:tcW w:w="532" w:type="pct"/>
            <w:shd w:val="clear" w:color="auto" w:fill="auto"/>
          </w:tcPr>
          <w:p w14:paraId="06EC808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3A0C2B1D">
            <w:pPr>
              <w:widowControl/>
              <w:spacing w:line="240" w:lineRule="auto"/>
              <w:ind w:firstLine="0" w:firstLineChars="0"/>
              <w:jc w:val="center"/>
              <w:rPr>
                <w:color w:val="auto"/>
                <w:kern w:val="0"/>
                <w:sz w:val="21"/>
                <w:szCs w:val="21"/>
              </w:rPr>
            </w:pPr>
            <w:r>
              <w:rPr>
                <w:color w:val="auto"/>
                <w:sz w:val="21"/>
                <w:szCs w:val="21"/>
              </w:rPr>
              <w:t>3.98E-04</w:t>
            </w:r>
          </w:p>
        </w:tc>
        <w:tc>
          <w:tcPr>
            <w:tcW w:w="360" w:type="pct"/>
            <w:shd w:val="clear" w:color="auto" w:fill="auto"/>
          </w:tcPr>
          <w:p w14:paraId="7FDED079">
            <w:pPr>
              <w:widowControl/>
              <w:spacing w:line="240" w:lineRule="auto"/>
              <w:ind w:firstLine="0" w:firstLineChars="0"/>
              <w:jc w:val="center"/>
              <w:rPr>
                <w:color w:val="auto"/>
                <w:kern w:val="0"/>
                <w:sz w:val="21"/>
                <w:szCs w:val="21"/>
              </w:rPr>
            </w:pPr>
            <w:r>
              <w:rPr>
                <w:color w:val="auto"/>
                <w:sz w:val="21"/>
                <w:szCs w:val="21"/>
              </w:rPr>
              <w:t>0.20</w:t>
            </w:r>
          </w:p>
        </w:tc>
      </w:tr>
      <w:tr w14:paraId="1BC36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7ADDAB6">
            <w:pPr>
              <w:widowControl/>
              <w:spacing w:line="240" w:lineRule="auto"/>
              <w:ind w:firstLine="0" w:firstLineChars="0"/>
              <w:jc w:val="center"/>
              <w:rPr>
                <w:color w:val="auto"/>
                <w:kern w:val="0"/>
                <w:sz w:val="21"/>
                <w:szCs w:val="21"/>
              </w:rPr>
            </w:pPr>
            <w:r>
              <w:rPr>
                <w:color w:val="auto"/>
                <w:sz w:val="21"/>
                <w:szCs w:val="21"/>
              </w:rPr>
              <w:t>1775</w:t>
            </w:r>
          </w:p>
        </w:tc>
        <w:tc>
          <w:tcPr>
            <w:tcW w:w="416" w:type="pct"/>
            <w:shd w:val="clear" w:color="auto" w:fill="auto"/>
          </w:tcPr>
          <w:p w14:paraId="53AC4FC8">
            <w:pPr>
              <w:widowControl/>
              <w:spacing w:line="240" w:lineRule="auto"/>
              <w:ind w:firstLine="0" w:firstLineChars="0"/>
              <w:jc w:val="center"/>
              <w:rPr>
                <w:color w:val="auto"/>
                <w:sz w:val="21"/>
                <w:szCs w:val="21"/>
              </w:rPr>
            </w:pPr>
            <w:r>
              <w:rPr>
                <w:rFonts w:hint="eastAsia"/>
                <w:color w:val="auto"/>
                <w:sz w:val="21"/>
                <w:szCs w:val="21"/>
              </w:rPr>
              <w:t>1.30E-05</w:t>
            </w:r>
          </w:p>
        </w:tc>
        <w:tc>
          <w:tcPr>
            <w:tcW w:w="410" w:type="pct"/>
            <w:shd w:val="clear" w:color="auto" w:fill="auto"/>
          </w:tcPr>
          <w:p w14:paraId="147D996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173C869">
            <w:pPr>
              <w:widowControl/>
              <w:spacing w:line="240" w:lineRule="auto"/>
              <w:ind w:firstLine="0" w:firstLineChars="0"/>
              <w:jc w:val="center"/>
              <w:rPr>
                <w:color w:val="auto"/>
                <w:sz w:val="21"/>
                <w:szCs w:val="21"/>
              </w:rPr>
            </w:pPr>
            <w:r>
              <w:rPr>
                <w:rFonts w:hint="eastAsia"/>
                <w:color w:val="auto"/>
                <w:sz w:val="21"/>
                <w:szCs w:val="21"/>
              </w:rPr>
              <w:t>9.46E-06</w:t>
            </w:r>
          </w:p>
        </w:tc>
        <w:tc>
          <w:tcPr>
            <w:tcW w:w="409" w:type="pct"/>
            <w:shd w:val="clear" w:color="auto" w:fill="auto"/>
          </w:tcPr>
          <w:p w14:paraId="41DC278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5E46504">
            <w:pPr>
              <w:widowControl/>
              <w:spacing w:line="240" w:lineRule="auto"/>
              <w:ind w:firstLine="0" w:firstLineChars="0"/>
              <w:jc w:val="center"/>
              <w:rPr>
                <w:color w:val="auto"/>
                <w:sz w:val="21"/>
                <w:szCs w:val="21"/>
              </w:rPr>
            </w:pPr>
            <w:r>
              <w:rPr>
                <w:rFonts w:hint="eastAsia"/>
                <w:color w:val="auto"/>
                <w:sz w:val="21"/>
                <w:szCs w:val="21"/>
              </w:rPr>
              <w:t>8.95E-05</w:t>
            </w:r>
          </w:p>
        </w:tc>
        <w:tc>
          <w:tcPr>
            <w:tcW w:w="423" w:type="pct"/>
            <w:shd w:val="clear" w:color="auto" w:fill="auto"/>
          </w:tcPr>
          <w:p w14:paraId="16042C8A">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92D54B1">
            <w:pPr>
              <w:widowControl/>
              <w:spacing w:line="240" w:lineRule="auto"/>
              <w:ind w:firstLine="0" w:firstLineChars="0"/>
              <w:jc w:val="center"/>
              <w:rPr>
                <w:color w:val="auto"/>
                <w:kern w:val="0"/>
                <w:sz w:val="21"/>
                <w:szCs w:val="21"/>
              </w:rPr>
            </w:pPr>
            <w:r>
              <w:rPr>
                <w:rFonts w:hint="eastAsia"/>
                <w:color w:val="auto"/>
                <w:sz w:val="21"/>
                <w:szCs w:val="21"/>
              </w:rPr>
              <w:t>3.68E-04</w:t>
            </w:r>
          </w:p>
        </w:tc>
        <w:tc>
          <w:tcPr>
            <w:tcW w:w="532" w:type="pct"/>
            <w:shd w:val="clear" w:color="auto" w:fill="auto"/>
          </w:tcPr>
          <w:p w14:paraId="1B16EAB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937FF5E">
            <w:pPr>
              <w:widowControl/>
              <w:spacing w:line="240" w:lineRule="auto"/>
              <w:ind w:firstLine="0" w:firstLineChars="0"/>
              <w:jc w:val="center"/>
              <w:rPr>
                <w:color w:val="auto"/>
                <w:kern w:val="0"/>
                <w:sz w:val="21"/>
                <w:szCs w:val="21"/>
              </w:rPr>
            </w:pPr>
            <w:r>
              <w:rPr>
                <w:color w:val="auto"/>
                <w:sz w:val="21"/>
                <w:szCs w:val="21"/>
              </w:rPr>
              <w:t>3.98E-04</w:t>
            </w:r>
          </w:p>
        </w:tc>
        <w:tc>
          <w:tcPr>
            <w:tcW w:w="360" w:type="pct"/>
            <w:shd w:val="clear" w:color="auto" w:fill="auto"/>
          </w:tcPr>
          <w:p w14:paraId="544CA784">
            <w:pPr>
              <w:widowControl/>
              <w:spacing w:line="240" w:lineRule="auto"/>
              <w:ind w:firstLine="0" w:firstLineChars="0"/>
              <w:jc w:val="center"/>
              <w:rPr>
                <w:color w:val="auto"/>
                <w:kern w:val="0"/>
                <w:sz w:val="21"/>
                <w:szCs w:val="21"/>
              </w:rPr>
            </w:pPr>
            <w:r>
              <w:rPr>
                <w:color w:val="auto"/>
                <w:sz w:val="21"/>
                <w:szCs w:val="21"/>
              </w:rPr>
              <w:t>0.20</w:t>
            </w:r>
          </w:p>
        </w:tc>
      </w:tr>
      <w:tr w14:paraId="2B72C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1991490">
            <w:pPr>
              <w:widowControl/>
              <w:spacing w:line="240" w:lineRule="auto"/>
              <w:ind w:firstLine="0" w:firstLineChars="0"/>
              <w:jc w:val="center"/>
              <w:rPr>
                <w:color w:val="auto"/>
                <w:kern w:val="0"/>
                <w:sz w:val="21"/>
                <w:szCs w:val="21"/>
              </w:rPr>
            </w:pPr>
            <w:r>
              <w:rPr>
                <w:color w:val="auto"/>
                <w:sz w:val="21"/>
                <w:szCs w:val="21"/>
              </w:rPr>
              <w:t>1800</w:t>
            </w:r>
          </w:p>
        </w:tc>
        <w:tc>
          <w:tcPr>
            <w:tcW w:w="416" w:type="pct"/>
            <w:shd w:val="clear" w:color="auto" w:fill="auto"/>
          </w:tcPr>
          <w:p w14:paraId="58B69A19">
            <w:pPr>
              <w:widowControl/>
              <w:spacing w:line="240" w:lineRule="auto"/>
              <w:ind w:firstLine="0" w:firstLineChars="0"/>
              <w:jc w:val="center"/>
              <w:rPr>
                <w:color w:val="auto"/>
                <w:sz w:val="21"/>
                <w:szCs w:val="21"/>
              </w:rPr>
            </w:pPr>
            <w:r>
              <w:rPr>
                <w:rFonts w:hint="eastAsia"/>
                <w:color w:val="auto"/>
                <w:sz w:val="21"/>
                <w:szCs w:val="21"/>
              </w:rPr>
              <w:t>1.30E-05</w:t>
            </w:r>
          </w:p>
        </w:tc>
        <w:tc>
          <w:tcPr>
            <w:tcW w:w="410" w:type="pct"/>
            <w:shd w:val="clear" w:color="auto" w:fill="auto"/>
          </w:tcPr>
          <w:p w14:paraId="70429D5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69B7198">
            <w:pPr>
              <w:widowControl/>
              <w:spacing w:line="240" w:lineRule="auto"/>
              <w:ind w:firstLine="0" w:firstLineChars="0"/>
              <w:jc w:val="center"/>
              <w:rPr>
                <w:color w:val="auto"/>
                <w:sz w:val="21"/>
                <w:szCs w:val="21"/>
              </w:rPr>
            </w:pPr>
            <w:r>
              <w:rPr>
                <w:rFonts w:hint="eastAsia"/>
                <w:color w:val="auto"/>
                <w:sz w:val="21"/>
                <w:szCs w:val="21"/>
              </w:rPr>
              <w:t>9.44E-06</w:t>
            </w:r>
          </w:p>
        </w:tc>
        <w:tc>
          <w:tcPr>
            <w:tcW w:w="409" w:type="pct"/>
            <w:shd w:val="clear" w:color="auto" w:fill="auto"/>
          </w:tcPr>
          <w:p w14:paraId="54619D46">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FDB6417">
            <w:pPr>
              <w:widowControl/>
              <w:spacing w:line="240" w:lineRule="auto"/>
              <w:ind w:firstLine="0" w:firstLineChars="0"/>
              <w:jc w:val="center"/>
              <w:rPr>
                <w:color w:val="auto"/>
                <w:sz w:val="21"/>
                <w:szCs w:val="21"/>
              </w:rPr>
            </w:pPr>
            <w:r>
              <w:rPr>
                <w:rFonts w:hint="eastAsia"/>
                <w:color w:val="auto"/>
                <w:sz w:val="21"/>
                <w:szCs w:val="21"/>
              </w:rPr>
              <w:t>8.93E-05</w:t>
            </w:r>
          </w:p>
        </w:tc>
        <w:tc>
          <w:tcPr>
            <w:tcW w:w="423" w:type="pct"/>
            <w:shd w:val="clear" w:color="auto" w:fill="auto"/>
          </w:tcPr>
          <w:p w14:paraId="5E9BA224">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13A82C7A">
            <w:pPr>
              <w:widowControl/>
              <w:spacing w:line="240" w:lineRule="auto"/>
              <w:ind w:firstLine="0" w:firstLineChars="0"/>
              <w:jc w:val="center"/>
              <w:rPr>
                <w:color w:val="auto"/>
                <w:kern w:val="0"/>
                <w:sz w:val="21"/>
                <w:szCs w:val="21"/>
              </w:rPr>
            </w:pPr>
            <w:r>
              <w:rPr>
                <w:rFonts w:hint="eastAsia"/>
                <w:color w:val="auto"/>
                <w:sz w:val="21"/>
                <w:szCs w:val="21"/>
              </w:rPr>
              <w:t>3.67E-04</w:t>
            </w:r>
          </w:p>
        </w:tc>
        <w:tc>
          <w:tcPr>
            <w:tcW w:w="532" w:type="pct"/>
            <w:shd w:val="clear" w:color="auto" w:fill="auto"/>
          </w:tcPr>
          <w:p w14:paraId="35BEFF4A">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B5491D8">
            <w:pPr>
              <w:widowControl/>
              <w:spacing w:line="240" w:lineRule="auto"/>
              <w:ind w:firstLine="0" w:firstLineChars="0"/>
              <w:jc w:val="center"/>
              <w:rPr>
                <w:color w:val="auto"/>
                <w:kern w:val="0"/>
                <w:sz w:val="21"/>
                <w:szCs w:val="21"/>
              </w:rPr>
            </w:pPr>
            <w:r>
              <w:rPr>
                <w:color w:val="auto"/>
                <w:sz w:val="21"/>
                <w:szCs w:val="21"/>
              </w:rPr>
              <w:t>3.97E-04</w:t>
            </w:r>
          </w:p>
        </w:tc>
        <w:tc>
          <w:tcPr>
            <w:tcW w:w="360" w:type="pct"/>
            <w:shd w:val="clear" w:color="auto" w:fill="auto"/>
          </w:tcPr>
          <w:p w14:paraId="766C151C">
            <w:pPr>
              <w:widowControl/>
              <w:spacing w:line="240" w:lineRule="auto"/>
              <w:ind w:firstLine="0" w:firstLineChars="0"/>
              <w:jc w:val="center"/>
              <w:rPr>
                <w:color w:val="auto"/>
                <w:kern w:val="0"/>
                <w:sz w:val="21"/>
                <w:szCs w:val="21"/>
              </w:rPr>
            </w:pPr>
            <w:r>
              <w:rPr>
                <w:color w:val="auto"/>
                <w:sz w:val="21"/>
                <w:szCs w:val="21"/>
              </w:rPr>
              <w:t>0.20</w:t>
            </w:r>
          </w:p>
        </w:tc>
      </w:tr>
      <w:tr w14:paraId="4974C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D46B116">
            <w:pPr>
              <w:widowControl/>
              <w:spacing w:line="240" w:lineRule="auto"/>
              <w:ind w:firstLine="0" w:firstLineChars="0"/>
              <w:jc w:val="center"/>
              <w:rPr>
                <w:color w:val="auto"/>
                <w:kern w:val="0"/>
                <w:sz w:val="21"/>
                <w:szCs w:val="21"/>
              </w:rPr>
            </w:pPr>
            <w:r>
              <w:rPr>
                <w:color w:val="auto"/>
                <w:sz w:val="21"/>
                <w:szCs w:val="21"/>
              </w:rPr>
              <w:t>1825</w:t>
            </w:r>
          </w:p>
        </w:tc>
        <w:tc>
          <w:tcPr>
            <w:tcW w:w="416" w:type="pct"/>
            <w:shd w:val="clear" w:color="auto" w:fill="auto"/>
          </w:tcPr>
          <w:p w14:paraId="4C049945">
            <w:pPr>
              <w:widowControl/>
              <w:spacing w:line="240" w:lineRule="auto"/>
              <w:ind w:firstLine="0" w:firstLineChars="0"/>
              <w:jc w:val="center"/>
              <w:rPr>
                <w:color w:val="auto"/>
                <w:sz w:val="21"/>
                <w:szCs w:val="21"/>
              </w:rPr>
            </w:pPr>
            <w:r>
              <w:rPr>
                <w:rFonts w:hint="eastAsia"/>
                <w:color w:val="auto"/>
                <w:sz w:val="21"/>
                <w:szCs w:val="21"/>
              </w:rPr>
              <w:t>1.30E-05</w:t>
            </w:r>
          </w:p>
        </w:tc>
        <w:tc>
          <w:tcPr>
            <w:tcW w:w="410" w:type="pct"/>
            <w:shd w:val="clear" w:color="auto" w:fill="auto"/>
          </w:tcPr>
          <w:p w14:paraId="6778C4B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F1F2906">
            <w:pPr>
              <w:widowControl/>
              <w:spacing w:line="240" w:lineRule="auto"/>
              <w:ind w:firstLine="0" w:firstLineChars="0"/>
              <w:jc w:val="center"/>
              <w:rPr>
                <w:color w:val="auto"/>
                <w:sz w:val="21"/>
                <w:szCs w:val="21"/>
              </w:rPr>
            </w:pPr>
            <w:r>
              <w:rPr>
                <w:rFonts w:hint="eastAsia"/>
                <w:color w:val="auto"/>
                <w:sz w:val="21"/>
                <w:szCs w:val="21"/>
              </w:rPr>
              <w:t>9.41E-06</w:t>
            </w:r>
          </w:p>
        </w:tc>
        <w:tc>
          <w:tcPr>
            <w:tcW w:w="409" w:type="pct"/>
            <w:shd w:val="clear" w:color="auto" w:fill="auto"/>
          </w:tcPr>
          <w:p w14:paraId="097599C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F9955E2">
            <w:pPr>
              <w:widowControl/>
              <w:spacing w:line="240" w:lineRule="auto"/>
              <w:ind w:firstLine="0" w:firstLineChars="0"/>
              <w:jc w:val="center"/>
              <w:rPr>
                <w:color w:val="auto"/>
                <w:sz w:val="21"/>
                <w:szCs w:val="21"/>
              </w:rPr>
            </w:pPr>
            <w:r>
              <w:rPr>
                <w:rFonts w:hint="eastAsia"/>
                <w:color w:val="auto"/>
                <w:sz w:val="21"/>
                <w:szCs w:val="21"/>
              </w:rPr>
              <w:t>8.91E-05</w:t>
            </w:r>
          </w:p>
        </w:tc>
        <w:tc>
          <w:tcPr>
            <w:tcW w:w="423" w:type="pct"/>
            <w:shd w:val="clear" w:color="auto" w:fill="auto"/>
          </w:tcPr>
          <w:p w14:paraId="3880C333">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ECD5E5C">
            <w:pPr>
              <w:widowControl/>
              <w:spacing w:line="240" w:lineRule="auto"/>
              <w:ind w:firstLine="0" w:firstLineChars="0"/>
              <w:jc w:val="center"/>
              <w:rPr>
                <w:color w:val="auto"/>
                <w:kern w:val="0"/>
                <w:sz w:val="21"/>
                <w:szCs w:val="21"/>
              </w:rPr>
            </w:pPr>
            <w:r>
              <w:rPr>
                <w:rFonts w:hint="eastAsia"/>
                <w:color w:val="auto"/>
                <w:sz w:val="21"/>
                <w:szCs w:val="21"/>
              </w:rPr>
              <w:t>3.67E-04</w:t>
            </w:r>
          </w:p>
        </w:tc>
        <w:tc>
          <w:tcPr>
            <w:tcW w:w="532" w:type="pct"/>
            <w:shd w:val="clear" w:color="auto" w:fill="auto"/>
          </w:tcPr>
          <w:p w14:paraId="67A9B94D">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5369C8E">
            <w:pPr>
              <w:widowControl/>
              <w:spacing w:line="240" w:lineRule="auto"/>
              <w:ind w:firstLine="0" w:firstLineChars="0"/>
              <w:jc w:val="center"/>
              <w:rPr>
                <w:color w:val="auto"/>
                <w:kern w:val="0"/>
                <w:sz w:val="21"/>
                <w:szCs w:val="21"/>
              </w:rPr>
            </w:pPr>
            <w:r>
              <w:rPr>
                <w:color w:val="auto"/>
                <w:sz w:val="21"/>
                <w:szCs w:val="21"/>
              </w:rPr>
              <w:t>3.96E-04</w:t>
            </w:r>
          </w:p>
        </w:tc>
        <w:tc>
          <w:tcPr>
            <w:tcW w:w="360" w:type="pct"/>
            <w:shd w:val="clear" w:color="auto" w:fill="auto"/>
          </w:tcPr>
          <w:p w14:paraId="4B20EEC5">
            <w:pPr>
              <w:widowControl/>
              <w:spacing w:line="240" w:lineRule="auto"/>
              <w:ind w:firstLine="0" w:firstLineChars="0"/>
              <w:jc w:val="center"/>
              <w:rPr>
                <w:color w:val="auto"/>
                <w:kern w:val="0"/>
                <w:sz w:val="21"/>
                <w:szCs w:val="21"/>
              </w:rPr>
            </w:pPr>
            <w:r>
              <w:rPr>
                <w:color w:val="auto"/>
                <w:sz w:val="21"/>
                <w:szCs w:val="21"/>
              </w:rPr>
              <w:t>0.20</w:t>
            </w:r>
          </w:p>
        </w:tc>
      </w:tr>
      <w:tr w14:paraId="4556E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FF861CE">
            <w:pPr>
              <w:widowControl/>
              <w:spacing w:line="240" w:lineRule="auto"/>
              <w:ind w:firstLine="0" w:firstLineChars="0"/>
              <w:jc w:val="center"/>
              <w:rPr>
                <w:color w:val="auto"/>
                <w:kern w:val="0"/>
                <w:sz w:val="21"/>
                <w:szCs w:val="21"/>
              </w:rPr>
            </w:pPr>
            <w:r>
              <w:rPr>
                <w:color w:val="auto"/>
                <w:sz w:val="21"/>
                <w:szCs w:val="21"/>
              </w:rPr>
              <w:t>1850</w:t>
            </w:r>
          </w:p>
        </w:tc>
        <w:tc>
          <w:tcPr>
            <w:tcW w:w="416" w:type="pct"/>
            <w:shd w:val="clear" w:color="auto" w:fill="auto"/>
          </w:tcPr>
          <w:p w14:paraId="16CCD0F7">
            <w:pPr>
              <w:widowControl/>
              <w:spacing w:line="240" w:lineRule="auto"/>
              <w:ind w:firstLine="0" w:firstLineChars="0"/>
              <w:jc w:val="center"/>
              <w:rPr>
                <w:color w:val="auto"/>
                <w:sz w:val="21"/>
                <w:szCs w:val="21"/>
              </w:rPr>
            </w:pPr>
            <w:r>
              <w:rPr>
                <w:rFonts w:hint="eastAsia"/>
                <w:color w:val="auto"/>
                <w:sz w:val="21"/>
                <w:szCs w:val="21"/>
              </w:rPr>
              <w:t>1.29E-05</w:t>
            </w:r>
          </w:p>
        </w:tc>
        <w:tc>
          <w:tcPr>
            <w:tcW w:w="410" w:type="pct"/>
            <w:shd w:val="clear" w:color="auto" w:fill="auto"/>
          </w:tcPr>
          <w:p w14:paraId="4A793EE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86E7C48">
            <w:pPr>
              <w:widowControl/>
              <w:spacing w:line="240" w:lineRule="auto"/>
              <w:ind w:firstLine="0" w:firstLineChars="0"/>
              <w:jc w:val="center"/>
              <w:rPr>
                <w:color w:val="auto"/>
                <w:sz w:val="21"/>
                <w:szCs w:val="21"/>
              </w:rPr>
            </w:pPr>
            <w:r>
              <w:rPr>
                <w:rFonts w:hint="eastAsia"/>
                <w:color w:val="auto"/>
                <w:sz w:val="21"/>
                <w:szCs w:val="21"/>
              </w:rPr>
              <w:t>9.39E-06</w:t>
            </w:r>
          </w:p>
        </w:tc>
        <w:tc>
          <w:tcPr>
            <w:tcW w:w="409" w:type="pct"/>
            <w:shd w:val="clear" w:color="auto" w:fill="auto"/>
          </w:tcPr>
          <w:p w14:paraId="31A2ACA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8C54121">
            <w:pPr>
              <w:widowControl/>
              <w:spacing w:line="240" w:lineRule="auto"/>
              <w:ind w:firstLine="0" w:firstLineChars="0"/>
              <w:jc w:val="center"/>
              <w:rPr>
                <w:color w:val="auto"/>
                <w:sz w:val="21"/>
                <w:szCs w:val="21"/>
              </w:rPr>
            </w:pPr>
            <w:r>
              <w:rPr>
                <w:rFonts w:hint="eastAsia"/>
                <w:color w:val="auto"/>
                <w:sz w:val="21"/>
                <w:szCs w:val="21"/>
              </w:rPr>
              <w:t>8.88E-05</w:t>
            </w:r>
          </w:p>
        </w:tc>
        <w:tc>
          <w:tcPr>
            <w:tcW w:w="423" w:type="pct"/>
            <w:shd w:val="clear" w:color="auto" w:fill="auto"/>
          </w:tcPr>
          <w:p w14:paraId="52606202">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69CCA74">
            <w:pPr>
              <w:widowControl/>
              <w:spacing w:line="240" w:lineRule="auto"/>
              <w:ind w:firstLine="0" w:firstLineChars="0"/>
              <w:jc w:val="center"/>
              <w:rPr>
                <w:color w:val="auto"/>
                <w:kern w:val="0"/>
                <w:sz w:val="21"/>
                <w:szCs w:val="21"/>
              </w:rPr>
            </w:pPr>
            <w:r>
              <w:rPr>
                <w:rFonts w:hint="eastAsia"/>
                <w:color w:val="auto"/>
                <w:sz w:val="21"/>
                <w:szCs w:val="21"/>
              </w:rPr>
              <w:t>3.66E-04</w:t>
            </w:r>
          </w:p>
        </w:tc>
        <w:tc>
          <w:tcPr>
            <w:tcW w:w="532" w:type="pct"/>
            <w:shd w:val="clear" w:color="auto" w:fill="auto"/>
          </w:tcPr>
          <w:p w14:paraId="580FBB47">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E906549">
            <w:pPr>
              <w:widowControl/>
              <w:spacing w:line="240" w:lineRule="auto"/>
              <w:ind w:firstLine="0" w:firstLineChars="0"/>
              <w:jc w:val="center"/>
              <w:rPr>
                <w:color w:val="auto"/>
                <w:kern w:val="0"/>
                <w:sz w:val="21"/>
                <w:szCs w:val="21"/>
              </w:rPr>
            </w:pPr>
            <w:r>
              <w:rPr>
                <w:color w:val="auto"/>
                <w:sz w:val="21"/>
                <w:szCs w:val="21"/>
              </w:rPr>
              <w:t>3.95E-04</w:t>
            </w:r>
          </w:p>
        </w:tc>
        <w:tc>
          <w:tcPr>
            <w:tcW w:w="360" w:type="pct"/>
            <w:shd w:val="clear" w:color="auto" w:fill="auto"/>
          </w:tcPr>
          <w:p w14:paraId="348AA133">
            <w:pPr>
              <w:widowControl/>
              <w:spacing w:line="240" w:lineRule="auto"/>
              <w:ind w:firstLine="0" w:firstLineChars="0"/>
              <w:jc w:val="center"/>
              <w:rPr>
                <w:color w:val="auto"/>
                <w:kern w:val="0"/>
                <w:sz w:val="21"/>
                <w:szCs w:val="21"/>
              </w:rPr>
            </w:pPr>
            <w:r>
              <w:rPr>
                <w:color w:val="auto"/>
                <w:sz w:val="21"/>
                <w:szCs w:val="21"/>
              </w:rPr>
              <w:t>0.20</w:t>
            </w:r>
          </w:p>
        </w:tc>
      </w:tr>
      <w:tr w14:paraId="49A34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22D36E5">
            <w:pPr>
              <w:widowControl/>
              <w:spacing w:line="240" w:lineRule="auto"/>
              <w:ind w:firstLine="0" w:firstLineChars="0"/>
              <w:jc w:val="center"/>
              <w:rPr>
                <w:color w:val="auto"/>
                <w:kern w:val="0"/>
                <w:sz w:val="21"/>
                <w:szCs w:val="21"/>
              </w:rPr>
            </w:pPr>
            <w:r>
              <w:rPr>
                <w:color w:val="auto"/>
                <w:sz w:val="21"/>
                <w:szCs w:val="21"/>
              </w:rPr>
              <w:t>1875</w:t>
            </w:r>
          </w:p>
        </w:tc>
        <w:tc>
          <w:tcPr>
            <w:tcW w:w="416" w:type="pct"/>
            <w:shd w:val="clear" w:color="auto" w:fill="auto"/>
          </w:tcPr>
          <w:p w14:paraId="0B9FBACC">
            <w:pPr>
              <w:widowControl/>
              <w:spacing w:line="240" w:lineRule="auto"/>
              <w:ind w:firstLine="0" w:firstLineChars="0"/>
              <w:jc w:val="center"/>
              <w:rPr>
                <w:color w:val="auto"/>
                <w:sz w:val="21"/>
                <w:szCs w:val="21"/>
              </w:rPr>
            </w:pPr>
            <w:r>
              <w:rPr>
                <w:rFonts w:hint="eastAsia"/>
                <w:color w:val="auto"/>
                <w:sz w:val="21"/>
                <w:szCs w:val="21"/>
              </w:rPr>
              <w:t>1.29E-05</w:t>
            </w:r>
          </w:p>
        </w:tc>
        <w:tc>
          <w:tcPr>
            <w:tcW w:w="410" w:type="pct"/>
            <w:shd w:val="clear" w:color="auto" w:fill="auto"/>
          </w:tcPr>
          <w:p w14:paraId="09CDE22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A69B4EE">
            <w:pPr>
              <w:widowControl/>
              <w:spacing w:line="240" w:lineRule="auto"/>
              <w:ind w:firstLine="0" w:firstLineChars="0"/>
              <w:jc w:val="center"/>
              <w:rPr>
                <w:color w:val="auto"/>
                <w:sz w:val="21"/>
                <w:szCs w:val="21"/>
              </w:rPr>
            </w:pPr>
            <w:r>
              <w:rPr>
                <w:rFonts w:hint="eastAsia"/>
                <w:color w:val="auto"/>
                <w:sz w:val="21"/>
                <w:szCs w:val="21"/>
              </w:rPr>
              <w:t>9.36E-06</w:t>
            </w:r>
          </w:p>
        </w:tc>
        <w:tc>
          <w:tcPr>
            <w:tcW w:w="409" w:type="pct"/>
            <w:shd w:val="clear" w:color="auto" w:fill="auto"/>
          </w:tcPr>
          <w:p w14:paraId="044EE23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149CE1E">
            <w:pPr>
              <w:widowControl/>
              <w:spacing w:line="240" w:lineRule="auto"/>
              <w:ind w:firstLine="0" w:firstLineChars="0"/>
              <w:jc w:val="center"/>
              <w:rPr>
                <w:color w:val="auto"/>
                <w:sz w:val="21"/>
                <w:szCs w:val="21"/>
              </w:rPr>
            </w:pPr>
            <w:r>
              <w:rPr>
                <w:rFonts w:hint="eastAsia"/>
                <w:color w:val="auto"/>
                <w:sz w:val="21"/>
                <w:szCs w:val="21"/>
              </w:rPr>
              <w:t>8.86E-05</w:t>
            </w:r>
          </w:p>
        </w:tc>
        <w:tc>
          <w:tcPr>
            <w:tcW w:w="423" w:type="pct"/>
            <w:shd w:val="clear" w:color="auto" w:fill="auto"/>
          </w:tcPr>
          <w:p w14:paraId="6775492F">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19858CAF">
            <w:pPr>
              <w:widowControl/>
              <w:spacing w:line="240" w:lineRule="auto"/>
              <w:ind w:firstLine="0" w:firstLineChars="0"/>
              <w:jc w:val="center"/>
              <w:rPr>
                <w:color w:val="auto"/>
                <w:kern w:val="0"/>
                <w:sz w:val="21"/>
                <w:szCs w:val="21"/>
              </w:rPr>
            </w:pPr>
            <w:r>
              <w:rPr>
                <w:rFonts w:hint="eastAsia"/>
                <w:color w:val="auto"/>
                <w:sz w:val="21"/>
                <w:szCs w:val="21"/>
              </w:rPr>
              <w:t>3.65E-04</w:t>
            </w:r>
          </w:p>
        </w:tc>
        <w:tc>
          <w:tcPr>
            <w:tcW w:w="532" w:type="pct"/>
            <w:shd w:val="clear" w:color="auto" w:fill="auto"/>
          </w:tcPr>
          <w:p w14:paraId="3372CBA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5FC64DE">
            <w:pPr>
              <w:widowControl/>
              <w:spacing w:line="240" w:lineRule="auto"/>
              <w:ind w:firstLine="0" w:firstLineChars="0"/>
              <w:jc w:val="center"/>
              <w:rPr>
                <w:color w:val="auto"/>
                <w:kern w:val="0"/>
                <w:sz w:val="21"/>
                <w:szCs w:val="21"/>
              </w:rPr>
            </w:pPr>
            <w:r>
              <w:rPr>
                <w:color w:val="auto"/>
                <w:sz w:val="21"/>
                <w:szCs w:val="21"/>
              </w:rPr>
              <w:t>3.94E-04</w:t>
            </w:r>
          </w:p>
        </w:tc>
        <w:tc>
          <w:tcPr>
            <w:tcW w:w="360" w:type="pct"/>
            <w:shd w:val="clear" w:color="auto" w:fill="auto"/>
          </w:tcPr>
          <w:p w14:paraId="4EB67B41">
            <w:pPr>
              <w:widowControl/>
              <w:spacing w:line="240" w:lineRule="auto"/>
              <w:ind w:firstLine="0" w:firstLineChars="0"/>
              <w:jc w:val="center"/>
              <w:rPr>
                <w:color w:val="auto"/>
                <w:kern w:val="0"/>
                <w:sz w:val="21"/>
                <w:szCs w:val="21"/>
              </w:rPr>
            </w:pPr>
            <w:r>
              <w:rPr>
                <w:color w:val="auto"/>
                <w:sz w:val="21"/>
                <w:szCs w:val="21"/>
              </w:rPr>
              <w:t>0.20</w:t>
            </w:r>
          </w:p>
        </w:tc>
      </w:tr>
      <w:tr w14:paraId="49042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80C1F3B">
            <w:pPr>
              <w:widowControl/>
              <w:spacing w:line="240" w:lineRule="auto"/>
              <w:ind w:firstLine="0" w:firstLineChars="0"/>
              <w:jc w:val="center"/>
              <w:rPr>
                <w:color w:val="auto"/>
                <w:kern w:val="0"/>
                <w:sz w:val="21"/>
                <w:szCs w:val="21"/>
              </w:rPr>
            </w:pPr>
            <w:r>
              <w:rPr>
                <w:color w:val="auto"/>
                <w:sz w:val="21"/>
                <w:szCs w:val="21"/>
              </w:rPr>
              <w:t>1900</w:t>
            </w:r>
          </w:p>
        </w:tc>
        <w:tc>
          <w:tcPr>
            <w:tcW w:w="416" w:type="pct"/>
            <w:shd w:val="clear" w:color="auto" w:fill="auto"/>
          </w:tcPr>
          <w:p w14:paraId="2416C7C4">
            <w:pPr>
              <w:widowControl/>
              <w:spacing w:line="240" w:lineRule="auto"/>
              <w:ind w:firstLine="0" w:firstLineChars="0"/>
              <w:jc w:val="center"/>
              <w:rPr>
                <w:color w:val="auto"/>
                <w:sz w:val="21"/>
                <w:szCs w:val="21"/>
              </w:rPr>
            </w:pPr>
            <w:r>
              <w:rPr>
                <w:rFonts w:hint="eastAsia"/>
                <w:color w:val="auto"/>
                <w:sz w:val="21"/>
                <w:szCs w:val="21"/>
              </w:rPr>
              <w:t>1.29E-05</w:t>
            </w:r>
          </w:p>
        </w:tc>
        <w:tc>
          <w:tcPr>
            <w:tcW w:w="410" w:type="pct"/>
            <w:shd w:val="clear" w:color="auto" w:fill="auto"/>
          </w:tcPr>
          <w:p w14:paraId="18FA7FE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D0A52C8">
            <w:pPr>
              <w:widowControl/>
              <w:spacing w:line="240" w:lineRule="auto"/>
              <w:ind w:firstLine="0" w:firstLineChars="0"/>
              <w:jc w:val="center"/>
              <w:rPr>
                <w:color w:val="auto"/>
                <w:sz w:val="21"/>
                <w:szCs w:val="21"/>
              </w:rPr>
            </w:pPr>
            <w:r>
              <w:rPr>
                <w:rFonts w:hint="eastAsia"/>
                <w:color w:val="auto"/>
                <w:sz w:val="21"/>
                <w:szCs w:val="21"/>
              </w:rPr>
              <w:t>9.33E-06</w:t>
            </w:r>
          </w:p>
        </w:tc>
        <w:tc>
          <w:tcPr>
            <w:tcW w:w="409" w:type="pct"/>
            <w:shd w:val="clear" w:color="auto" w:fill="auto"/>
          </w:tcPr>
          <w:p w14:paraId="7016988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DE62CAA">
            <w:pPr>
              <w:widowControl/>
              <w:spacing w:line="240" w:lineRule="auto"/>
              <w:ind w:firstLine="0" w:firstLineChars="0"/>
              <w:jc w:val="center"/>
              <w:rPr>
                <w:color w:val="auto"/>
                <w:sz w:val="21"/>
                <w:szCs w:val="21"/>
              </w:rPr>
            </w:pPr>
            <w:r>
              <w:rPr>
                <w:rFonts w:hint="eastAsia"/>
                <w:color w:val="auto"/>
                <w:sz w:val="21"/>
                <w:szCs w:val="21"/>
              </w:rPr>
              <w:t>8.83E-05</w:t>
            </w:r>
          </w:p>
        </w:tc>
        <w:tc>
          <w:tcPr>
            <w:tcW w:w="423" w:type="pct"/>
            <w:shd w:val="clear" w:color="auto" w:fill="auto"/>
          </w:tcPr>
          <w:p w14:paraId="724C4375">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2C4C734">
            <w:pPr>
              <w:widowControl/>
              <w:spacing w:line="240" w:lineRule="auto"/>
              <w:ind w:firstLine="0" w:firstLineChars="0"/>
              <w:jc w:val="center"/>
              <w:rPr>
                <w:color w:val="auto"/>
                <w:kern w:val="0"/>
                <w:sz w:val="21"/>
                <w:szCs w:val="21"/>
              </w:rPr>
            </w:pPr>
            <w:r>
              <w:rPr>
                <w:rFonts w:hint="eastAsia"/>
                <w:color w:val="auto"/>
                <w:sz w:val="21"/>
                <w:szCs w:val="21"/>
              </w:rPr>
              <w:t>3.64E-04</w:t>
            </w:r>
          </w:p>
        </w:tc>
        <w:tc>
          <w:tcPr>
            <w:tcW w:w="532" w:type="pct"/>
            <w:shd w:val="clear" w:color="auto" w:fill="auto"/>
          </w:tcPr>
          <w:p w14:paraId="021AFEB8">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0AA90D0">
            <w:pPr>
              <w:widowControl/>
              <w:spacing w:line="240" w:lineRule="auto"/>
              <w:ind w:firstLine="0" w:firstLineChars="0"/>
              <w:jc w:val="center"/>
              <w:rPr>
                <w:color w:val="auto"/>
                <w:kern w:val="0"/>
                <w:sz w:val="21"/>
                <w:szCs w:val="21"/>
              </w:rPr>
            </w:pPr>
            <w:r>
              <w:rPr>
                <w:color w:val="auto"/>
                <w:sz w:val="21"/>
                <w:szCs w:val="21"/>
              </w:rPr>
              <w:t>3.92E-04</w:t>
            </w:r>
          </w:p>
        </w:tc>
        <w:tc>
          <w:tcPr>
            <w:tcW w:w="360" w:type="pct"/>
            <w:shd w:val="clear" w:color="auto" w:fill="auto"/>
          </w:tcPr>
          <w:p w14:paraId="0A826FB5">
            <w:pPr>
              <w:widowControl/>
              <w:spacing w:line="240" w:lineRule="auto"/>
              <w:ind w:firstLine="0" w:firstLineChars="0"/>
              <w:jc w:val="center"/>
              <w:rPr>
                <w:color w:val="auto"/>
                <w:kern w:val="0"/>
                <w:sz w:val="21"/>
                <w:szCs w:val="21"/>
              </w:rPr>
            </w:pPr>
            <w:r>
              <w:rPr>
                <w:color w:val="auto"/>
                <w:sz w:val="21"/>
                <w:szCs w:val="21"/>
              </w:rPr>
              <w:t>0.20</w:t>
            </w:r>
          </w:p>
        </w:tc>
      </w:tr>
      <w:tr w14:paraId="5271C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00D4DAA">
            <w:pPr>
              <w:widowControl/>
              <w:spacing w:line="240" w:lineRule="auto"/>
              <w:ind w:firstLine="0" w:firstLineChars="0"/>
              <w:jc w:val="center"/>
              <w:rPr>
                <w:color w:val="auto"/>
                <w:kern w:val="0"/>
                <w:sz w:val="21"/>
                <w:szCs w:val="21"/>
              </w:rPr>
            </w:pPr>
            <w:r>
              <w:rPr>
                <w:color w:val="auto"/>
                <w:sz w:val="21"/>
                <w:szCs w:val="21"/>
              </w:rPr>
              <w:t>1925</w:t>
            </w:r>
          </w:p>
        </w:tc>
        <w:tc>
          <w:tcPr>
            <w:tcW w:w="416" w:type="pct"/>
            <w:shd w:val="clear" w:color="auto" w:fill="auto"/>
          </w:tcPr>
          <w:p w14:paraId="59695237">
            <w:pPr>
              <w:widowControl/>
              <w:spacing w:line="240" w:lineRule="auto"/>
              <w:ind w:firstLine="0" w:firstLineChars="0"/>
              <w:jc w:val="center"/>
              <w:rPr>
                <w:color w:val="auto"/>
                <w:sz w:val="21"/>
                <w:szCs w:val="21"/>
              </w:rPr>
            </w:pPr>
            <w:r>
              <w:rPr>
                <w:rFonts w:hint="eastAsia"/>
                <w:color w:val="auto"/>
                <w:sz w:val="21"/>
                <w:szCs w:val="21"/>
              </w:rPr>
              <w:t>1.28E-05</w:t>
            </w:r>
          </w:p>
        </w:tc>
        <w:tc>
          <w:tcPr>
            <w:tcW w:w="410" w:type="pct"/>
            <w:shd w:val="clear" w:color="auto" w:fill="auto"/>
          </w:tcPr>
          <w:p w14:paraId="3883F18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8D6ABCE">
            <w:pPr>
              <w:widowControl/>
              <w:spacing w:line="240" w:lineRule="auto"/>
              <w:ind w:firstLine="0" w:firstLineChars="0"/>
              <w:jc w:val="center"/>
              <w:rPr>
                <w:color w:val="auto"/>
                <w:sz w:val="21"/>
                <w:szCs w:val="21"/>
              </w:rPr>
            </w:pPr>
            <w:r>
              <w:rPr>
                <w:rFonts w:hint="eastAsia"/>
                <w:color w:val="auto"/>
                <w:sz w:val="21"/>
                <w:szCs w:val="21"/>
              </w:rPr>
              <w:t>9.30E-06</w:t>
            </w:r>
          </w:p>
        </w:tc>
        <w:tc>
          <w:tcPr>
            <w:tcW w:w="409" w:type="pct"/>
            <w:shd w:val="clear" w:color="auto" w:fill="auto"/>
          </w:tcPr>
          <w:p w14:paraId="1E89C1C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5DC7F49">
            <w:pPr>
              <w:widowControl/>
              <w:spacing w:line="240" w:lineRule="auto"/>
              <w:ind w:firstLine="0" w:firstLineChars="0"/>
              <w:jc w:val="center"/>
              <w:rPr>
                <w:color w:val="auto"/>
                <w:sz w:val="21"/>
                <w:szCs w:val="21"/>
              </w:rPr>
            </w:pPr>
            <w:r>
              <w:rPr>
                <w:rFonts w:hint="eastAsia"/>
                <w:color w:val="auto"/>
                <w:sz w:val="21"/>
                <w:szCs w:val="21"/>
              </w:rPr>
              <w:t>8.80E-05</w:t>
            </w:r>
          </w:p>
        </w:tc>
        <w:tc>
          <w:tcPr>
            <w:tcW w:w="423" w:type="pct"/>
            <w:shd w:val="clear" w:color="auto" w:fill="auto"/>
          </w:tcPr>
          <w:p w14:paraId="170BD4A3">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BE91EC6">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794E563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D4D5B7C">
            <w:pPr>
              <w:widowControl/>
              <w:spacing w:line="240" w:lineRule="auto"/>
              <w:ind w:firstLine="0" w:firstLineChars="0"/>
              <w:jc w:val="center"/>
              <w:rPr>
                <w:color w:val="auto"/>
                <w:kern w:val="0"/>
                <w:sz w:val="21"/>
                <w:szCs w:val="21"/>
              </w:rPr>
            </w:pPr>
            <w:r>
              <w:rPr>
                <w:color w:val="auto"/>
                <w:sz w:val="21"/>
                <w:szCs w:val="21"/>
              </w:rPr>
              <w:t>3.91E-04</w:t>
            </w:r>
          </w:p>
        </w:tc>
        <w:tc>
          <w:tcPr>
            <w:tcW w:w="360" w:type="pct"/>
            <w:shd w:val="clear" w:color="auto" w:fill="auto"/>
          </w:tcPr>
          <w:p w14:paraId="2BBB7B31">
            <w:pPr>
              <w:widowControl/>
              <w:spacing w:line="240" w:lineRule="auto"/>
              <w:ind w:firstLine="0" w:firstLineChars="0"/>
              <w:jc w:val="center"/>
              <w:rPr>
                <w:color w:val="auto"/>
                <w:kern w:val="0"/>
                <w:sz w:val="21"/>
                <w:szCs w:val="21"/>
              </w:rPr>
            </w:pPr>
            <w:r>
              <w:rPr>
                <w:color w:val="auto"/>
                <w:sz w:val="21"/>
                <w:szCs w:val="21"/>
              </w:rPr>
              <w:t>0.20</w:t>
            </w:r>
          </w:p>
        </w:tc>
      </w:tr>
      <w:tr w14:paraId="0B025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171170A">
            <w:pPr>
              <w:widowControl/>
              <w:spacing w:line="240" w:lineRule="auto"/>
              <w:ind w:firstLine="0" w:firstLineChars="0"/>
              <w:jc w:val="center"/>
              <w:rPr>
                <w:color w:val="auto"/>
                <w:kern w:val="0"/>
                <w:sz w:val="21"/>
                <w:szCs w:val="21"/>
              </w:rPr>
            </w:pPr>
            <w:r>
              <w:rPr>
                <w:color w:val="auto"/>
                <w:sz w:val="21"/>
                <w:szCs w:val="21"/>
              </w:rPr>
              <w:t>1950</w:t>
            </w:r>
          </w:p>
        </w:tc>
        <w:tc>
          <w:tcPr>
            <w:tcW w:w="416" w:type="pct"/>
            <w:shd w:val="clear" w:color="auto" w:fill="auto"/>
          </w:tcPr>
          <w:p w14:paraId="1A8DC1BD">
            <w:pPr>
              <w:widowControl/>
              <w:spacing w:line="240" w:lineRule="auto"/>
              <w:ind w:firstLine="0" w:firstLineChars="0"/>
              <w:jc w:val="center"/>
              <w:rPr>
                <w:color w:val="auto"/>
                <w:sz w:val="21"/>
                <w:szCs w:val="21"/>
              </w:rPr>
            </w:pPr>
            <w:r>
              <w:rPr>
                <w:rFonts w:hint="eastAsia"/>
                <w:color w:val="auto"/>
                <w:sz w:val="21"/>
                <w:szCs w:val="21"/>
              </w:rPr>
              <w:t>1.28E-05</w:t>
            </w:r>
          </w:p>
        </w:tc>
        <w:tc>
          <w:tcPr>
            <w:tcW w:w="410" w:type="pct"/>
            <w:shd w:val="clear" w:color="auto" w:fill="auto"/>
          </w:tcPr>
          <w:p w14:paraId="4B4E20B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F4ACB87">
            <w:pPr>
              <w:widowControl/>
              <w:spacing w:line="240" w:lineRule="auto"/>
              <w:ind w:firstLine="0" w:firstLineChars="0"/>
              <w:jc w:val="center"/>
              <w:rPr>
                <w:color w:val="auto"/>
                <w:sz w:val="21"/>
                <w:szCs w:val="21"/>
              </w:rPr>
            </w:pPr>
            <w:r>
              <w:rPr>
                <w:rFonts w:hint="eastAsia"/>
                <w:color w:val="auto"/>
                <w:sz w:val="21"/>
                <w:szCs w:val="21"/>
              </w:rPr>
              <w:t>9.27E-06</w:t>
            </w:r>
          </w:p>
        </w:tc>
        <w:tc>
          <w:tcPr>
            <w:tcW w:w="409" w:type="pct"/>
            <w:shd w:val="clear" w:color="auto" w:fill="auto"/>
          </w:tcPr>
          <w:p w14:paraId="436EBDD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A763CCC">
            <w:pPr>
              <w:widowControl/>
              <w:spacing w:line="240" w:lineRule="auto"/>
              <w:ind w:firstLine="0" w:firstLineChars="0"/>
              <w:jc w:val="center"/>
              <w:rPr>
                <w:color w:val="auto"/>
                <w:sz w:val="21"/>
                <w:szCs w:val="21"/>
              </w:rPr>
            </w:pPr>
            <w:r>
              <w:rPr>
                <w:rFonts w:hint="eastAsia"/>
                <w:color w:val="auto"/>
                <w:sz w:val="21"/>
                <w:szCs w:val="21"/>
              </w:rPr>
              <w:t>8.77E-05</w:t>
            </w:r>
          </w:p>
        </w:tc>
        <w:tc>
          <w:tcPr>
            <w:tcW w:w="423" w:type="pct"/>
            <w:shd w:val="clear" w:color="auto" w:fill="auto"/>
          </w:tcPr>
          <w:p w14:paraId="75072776">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2E81D367">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4597E1DF">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EC0FE7A">
            <w:pPr>
              <w:widowControl/>
              <w:spacing w:line="240" w:lineRule="auto"/>
              <w:ind w:firstLine="0" w:firstLineChars="0"/>
              <w:jc w:val="center"/>
              <w:rPr>
                <w:color w:val="auto"/>
                <w:kern w:val="0"/>
                <w:sz w:val="21"/>
                <w:szCs w:val="21"/>
              </w:rPr>
            </w:pPr>
            <w:r>
              <w:rPr>
                <w:color w:val="auto"/>
                <w:sz w:val="21"/>
                <w:szCs w:val="21"/>
              </w:rPr>
              <w:t>3.90E-04</w:t>
            </w:r>
          </w:p>
        </w:tc>
        <w:tc>
          <w:tcPr>
            <w:tcW w:w="360" w:type="pct"/>
            <w:shd w:val="clear" w:color="auto" w:fill="auto"/>
          </w:tcPr>
          <w:p w14:paraId="7CEF7FAF">
            <w:pPr>
              <w:widowControl/>
              <w:spacing w:line="240" w:lineRule="auto"/>
              <w:ind w:firstLine="0" w:firstLineChars="0"/>
              <w:jc w:val="center"/>
              <w:rPr>
                <w:color w:val="auto"/>
                <w:kern w:val="0"/>
                <w:sz w:val="21"/>
                <w:szCs w:val="21"/>
              </w:rPr>
            </w:pPr>
            <w:r>
              <w:rPr>
                <w:color w:val="auto"/>
                <w:sz w:val="21"/>
                <w:szCs w:val="21"/>
              </w:rPr>
              <w:t>0.19</w:t>
            </w:r>
          </w:p>
        </w:tc>
      </w:tr>
      <w:tr w14:paraId="519EB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3AB5BAD">
            <w:pPr>
              <w:widowControl/>
              <w:spacing w:line="240" w:lineRule="auto"/>
              <w:ind w:firstLine="0" w:firstLineChars="0"/>
              <w:jc w:val="center"/>
              <w:rPr>
                <w:color w:val="auto"/>
                <w:kern w:val="0"/>
                <w:sz w:val="21"/>
                <w:szCs w:val="21"/>
              </w:rPr>
            </w:pPr>
            <w:r>
              <w:rPr>
                <w:color w:val="auto"/>
                <w:sz w:val="21"/>
                <w:szCs w:val="21"/>
              </w:rPr>
              <w:t>1975</w:t>
            </w:r>
          </w:p>
        </w:tc>
        <w:tc>
          <w:tcPr>
            <w:tcW w:w="416" w:type="pct"/>
            <w:shd w:val="clear" w:color="auto" w:fill="auto"/>
          </w:tcPr>
          <w:p w14:paraId="0FE8F5D6">
            <w:pPr>
              <w:widowControl/>
              <w:spacing w:line="240" w:lineRule="auto"/>
              <w:ind w:firstLine="0" w:firstLineChars="0"/>
              <w:jc w:val="center"/>
              <w:rPr>
                <w:color w:val="auto"/>
                <w:sz w:val="21"/>
                <w:szCs w:val="21"/>
              </w:rPr>
            </w:pPr>
            <w:r>
              <w:rPr>
                <w:rFonts w:hint="eastAsia"/>
                <w:color w:val="auto"/>
                <w:sz w:val="21"/>
                <w:szCs w:val="21"/>
              </w:rPr>
              <w:t>1.27E-05</w:t>
            </w:r>
          </w:p>
        </w:tc>
        <w:tc>
          <w:tcPr>
            <w:tcW w:w="410" w:type="pct"/>
            <w:shd w:val="clear" w:color="auto" w:fill="auto"/>
          </w:tcPr>
          <w:p w14:paraId="772BBB2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3B6B727">
            <w:pPr>
              <w:widowControl/>
              <w:spacing w:line="240" w:lineRule="auto"/>
              <w:ind w:firstLine="0" w:firstLineChars="0"/>
              <w:jc w:val="center"/>
              <w:rPr>
                <w:color w:val="auto"/>
                <w:sz w:val="21"/>
                <w:szCs w:val="21"/>
              </w:rPr>
            </w:pPr>
            <w:r>
              <w:rPr>
                <w:rFonts w:hint="eastAsia"/>
                <w:color w:val="auto"/>
                <w:sz w:val="21"/>
                <w:szCs w:val="21"/>
              </w:rPr>
              <w:t>9.24E-06</w:t>
            </w:r>
          </w:p>
        </w:tc>
        <w:tc>
          <w:tcPr>
            <w:tcW w:w="409" w:type="pct"/>
            <w:shd w:val="clear" w:color="auto" w:fill="auto"/>
          </w:tcPr>
          <w:p w14:paraId="739D4F2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4F33C6C">
            <w:pPr>
              <w:widowControl/>
              <w:spacing w:line="240" w:lineRule="auto"/>
              <w:ind w:firstLine="0" w:firstLineChars="0"/>
              <w:jc w:val="center"/>
              <w:rPr>
                <w:color w:val="auto"/>
                <w:sz w:val="21"/>
                <w:szCs w:val="21"/>
              </w:rPr>
            </w:pPr>
            <w:r>
              <w:rPr>
                <w:rFonts w:hint="eastAsia"/>
                <w:color w:val="auto"/>
                <w:sz w:val="21"/>
                <w:szCs w:val="21"/>
              </w:rPr>
              <w:t>8.74E-05</w:t>
            </w:r>
          </w:p>
        </w:tc>
        <w:tc>
          <w:tcPr>
            <w:tcW w:w="423" w:type="pct"/>
            <w:shd w:val="clear" w:color="auto" w:fill="auto"/>
          </w:tcPr>
          <w:p w14:paraId="3261FBBD">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40348EA">
            <w:pPr>
              <w:widowControl/>
              <w:spacing w:line="240" w:lineRule="auto"/>
              <w:ind w:firstLine="0" w:firstLineChars="0"/>
              <w:jc w:val="center"/>
              <w:rPr>
                <w:color w:val="auto"/>
                <w:kern w:val="0"/>
                <w:sz w:val="21"/>
                <w:szCs w:val="21"/>
              </w:rPr>
            </w:pPr>
            <w:r>
              <w:rPr>
                <w:rFonts w:hint="eastAsia"/>
                <w:color w:val="auto"/>
                <w:sz w:val="21"/>
                <w:szCs w:val="21"/>
              </w:rPr>
              <w:t>3.61E-04</w:t>
            </w:r>
          </w:p>
        </w:tc>
        <w:tc>
          <w:tcPr>
            <w:tcW w:w="532" w:type="pct"/>
            <w:shd w:val="clear" w:color="auto" w:fill="auto"/>
          </w:tcPr>
          <w:p w14:paraId="3D112F3F">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74E4FA3">
            <w:pPr>
              <w:widowControl/>
              <w:spacing w:line="240" w:lineRule="auto"/>
              <w:ind w:firstLine="0" w:firstLineChars="0"/>
              <w:jc w:val="center"/>
              <w:rPr>
                <w:color w:val="auto"/>
                <w:kern w:val="0"/>
                <w:sz w:val="21"/>
                <w:szCs w:val="21"/>
              </w:rPr>
            </w:pPr>
            <w:r>
              <w:rPr>
                <w:color w:val="auto"/>
                <w:sz w:val="21"/>
                <w:szCs w:val="21"/>
              </w:rPr>
              <w:t>3.88E-04</w:t>
            </w:r>
          </w:p>
        </w:tc>
        <w:tc>
          <w:tcPr>
            <w:tcW w:w="360" w:type="pct"/>
            <w:shd w:val="clear" w:color="auto" w:fill="auto"/>
          </w:tcPr>
          <w:p w14:paraId="7252128D">
            <w:pPr>
              <w:widowControl/>
              <w:spacing w:line="240" w:lineRule="auto"/>
              <w:ind w:firstLine="0" w:firstLineChars="0"/>
              <w:jc w:val="center"/>
              <w:rPr>
                <w:color w:val="auto"/>
                <w:kern w:val="0"/>
                <w:sz w:val="21"/>
                <w:szCs w:val="21"/>
              </w:rPr>
            </w:pPr>
            <w:r>
              <w:rPr>
                <w:color w:val="auto"/>
                <w:sz w:val="21"/>
                <w:szCs w:val="21"/>
              </w:rPr>
              <w:t>0.19</w:t>
            </w:r>
          </w:p>
        </w:tc>
      </w:tr>
      <w:tr w14:paraId="38790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0317A30">
            <w:pPr>
              <w:widowControl/>
              <w:spacing w:line="240" w:lineRule="auto"/>
              <w:ind w:firstLine="0" w:firstLineChars="0"/>
              <w:jc w:val="center"/>
              <w:rPr>
                <w:color w:val="auto"/>
                <w:kern w:val="0"/>
                <w:sz w:val="21"/>
                <w:szCs w:val="21"/>
              </w:rPr>
            </w:pPr>
            <w:r>
              <w:rPr>
                <w:color w:val="auto"/>
                <w:sz w:val="21"/>
                <w:szCs w:val="21"/>
              </w:rPr>
              <w:t>2000</w:t>
            </w:r>
          </w:p>
        </w:tc>
        <w:tc>
          <w:tcPr>
            <w:tcW w:w="416" w:type="pct"/>
            <w:shd w:val="clear" w:color="auto" w:fill="auto"/>
          </w:tcPr>
          <w:p w14:paraId="1529600D">
            <w:pPr>
              <w:widowControl/>
              <w:spacing w:line="240" w:lineRule="auto"/>
              <w:ind w:firstLine="0" w:firstLineChars="0"/>
              <w:jc w:val="center"/>
              <w:rPr>
                <w:color w:val="auto"/>
                <w:sz w:val="21"/>
                <w:szCs w:val="21"/>
              </w:rPr>
            </w:pPr>
            <w:r>
              <w:rPr>
                <w:rFonts w:hint="eastAsia"/>
                <w:color w:val="auto"/>
                <w:sz w:val="21"/>
                <w:szCs w:val="21"/>
              </w:rPr>
              <w:t>1.27E-05</w:t>
            </w:r>
          </w:p>
        </w:tc>
        <w:tc>
          <w:tcPr>
            <w:tcW w:w="410" w:type="pct"/>
            <w:shd w:val="clear" w:color="auto" w:fill="auto"/>
          </w:tcPr>
          <w:p w14:paraId="6F5699A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8528293">
            <w:pPr>
              <w:widowControl/>
              <w:spacing w:line="240" w:lineRule="auto"/>
              <w:ind w:firstLine="0" w:firstLineChars="0"/>
              <w:jc w:val="center"/>
              <w:rPr>
                <w:color w:val="auto"/>
                <w:sz w:val="21"/>
                <w:szCs w:val="21"/>
              </w:rPr>
            </w:pPr>
            <w:r>
              <w:rPr>
                <w:rFonts w:hint="eastAsia"/>
                <w:color w:val="auto"/>
                <w:sz w:val="21"/>
                <w:szCs w:val="21"/>
              </w:rPr>
              <w:t>9.20E-06</w:t>
            </w:r>
          </w:p>
        </w:tc>
        <w:tc>
          <w:tcPr>
            <w:tcW w:w="409" w:type="pct"/>
            <w:shd w:val="clear" w:color="auto" w:fill="auto"/>
          </w:tcPr>
          <w:p w14:paraId="40681DA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545E70E">
            <w:pPr>
              <w:widowControl/>
              <w:spacing w:line="240" w:lineRule="auto"/>
              <w:ind w:firstLine="0" w:firstLineChars="0"/>
              <w:jc w:val="center"/>
              <w:rPr>
                <w:color w:val="auto"/>
                <w:sz w:val="21"/>
                <w:szCs w:val="21"/>
              </w:rPr>
            </w:pPr>
            <w:r>
              <w:rPr>
                <w:rFonts w:hint="eastAsia"/>
                <w:color w:val="auto"/>
                <w:sz w:val="21"/>
                <w:szCs w:val="21"/>
              </w:rPr>
              <w:t>8.71E-05</w:t>
            </w:r>
          </w:p>
        </w:tc>
        <w:tc>
          <w:tcPr>
            <w:tcW w:w="423" w:type="pct"/>
            <w:shd w:val="clear" w:color="auto" w:fill="auto"/>
          </w:tcPr>
          <w:p w14:paraId="15BDF30F">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3223A60">
            <w:pPr>
              <w:widowControl/>
              <w:spacing w:line="240" w:lineRule="auto"/>
              <w:ind w:firstLine="0" w:firstLineChars="0"/>
              <w:jc w:val="center"/>
              <w:rPr>
                <w:color w:val="auto"/>
                <w:kern w:val="0"/>
                <w:sz w:val="21"/>
                <w:szCs w:val="21"/>
              </w:rPr>
            </w:pPr>
            <w:r>
              <w:rPr>
                <w:rFonts w:hint="eastAsia"/>
                <w:color w:val="auto"/>
                <w:sz w:val="21"/>
                <w:szCs w:val="21"/>
              </w:rPr>
              <w:t>3.60E-04</w:t>
            </w:r>
          </w:p>
        </w:tc>
        <w:tc>
          <w:tcPr>
            <w:tcW w:w="532" w:type="pct"/>
            <w:shd w:val="clear" w:color="auto" w:fill="auto"/>
          </w:tcPr>
          <w:p w14:paraId="432649FE">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2EF17C4D">
            <w:pPr>
              <w:widowControl/>
              <w:spacing w:line="240" w:lineRule="auto"/>
              <w:ind w:firstLine="0" w:firstLineChars="0"/>
              <w:jc w:val="center"/>
              <w:rPr>
                <w:color w:val="auto"/>
                <w:kern w:val="0"/>
                <w:sz w:val="21"/>
                <w:szCs w:val="21"/>
              </w:rPr>
            </w:pPr>
            <w:r>
              <w:rPr>
                <w:color w:val="auto"/>
                <w:sz w:val="21"/>
                <w:szCs w:val="21"/>
              </w:rPr>
              <w:t>3.87E-04</w:t>
            </w:r>
          </w:p>
        </w:tc>
        <w:tc>
          <w:tcPr>
            <w:tcW w:w="360" w:type="pct"/>
            <w:shd w:val="clear" w:color="auto" w:fill="auto"/>
          </w:tcPr>
          <w:p w14:paraId="013A6673">
            <w:pPr>
              <w:widowControl/>
              <w:spacing w:line="240" w:lineRule="auto"/>
              <w:ind w:firstLine="0" w:firstLineChars="0"/>
              <w:jc w:val="center"/>
              <w:rPr>
                <w:color w:val="auto"/>
                <w:kern w:val="0"/>
                <w:sz w:val="21"/>
                <w:szCs w:val="21"/>
              </w:rPr>
            </w:pPr>
            <w:r>
              <w:rPr>
                <w:color w:val="auto"/>
                <w:sz w:val="21"/>
                <w:szCs w:val="21"/>
              </w:rPr>
              <w:t>0.19</w:t>
            </w:r>
          </w:p>
        </w:tc>
      </w:tr>
      <w:tr w14:paraId="79F38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51132DC">
            <w:pPr>
              <w:widowControl/>
              <w:spacing w:line="240" w:lineRule="auto"/>
              <w:ind w:firstLine="0" w:firstLineChars="0"/>
              <w:jc w:val="center"/>
              <w:rPr>
                <w:color w:val="auto"/>
                <w:kern w:val="0"/>
                <w:sz w:val="21"/>
                <w:szCs w:val="21"/>
              </w:rPr>
            </w:pPr>
            <w:r>
              <w:rPr>
                <w:color w:val="auto"/>
                <w:sz w:val="21"/>
                <w:szCs w:val="21"/>
              </w:rPr>
              <w:t>2025</w:t>
            </w:r>
          </w:p>
        </w:tc>
        <w:tc>
          <w:tcPr>
            <w:tcW w:w="416" w:type="pct"/>
            <w:shd w:val="clear" w:color="auto" w:fill="auto"/>
          </w:tcPr>
          <w:p w14:paraId="4FD8CCC8">
            <w:pPr>
              <w:widowControl/>
              <w:spacing w:line="240" w:lineRule="auto"/>
              <w:ind w:firstLine="0" w:firstLineChars="0"/>
              <w:jc w:val="center"/>
              <w:rPr>
                <w:color w:val="auto"/>
                <w:sz w:val="21"/>
                <w:szCs w:val="21"/>
              </w:rPr>
            </w:pPr>
            <w:r>
              <w:rPr>
                <w:rFonts w:hint="eastAsia"/>
                <w:color w:val="auto"/>
                <w:sz w:val="21"/>
                <w:szCs w:val="21"/>
              </w:rPr>
              <w:t>1.26E-05</w:t>
            </w:r>
          </w:p>
        </w:tc>
        <w:tc>
          <w:tcPr>
            <w:tcW w:w="410" w:type="pct"/>
            <w:shd w:val="clear" w:color="auto" w:fill="auto"/>
          </w:tcPr>
          <w:p w14:paraId="4B34EA9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818D689">
            <w:pPr>
              <w:widowControl/>
              <w:spacing w:line="240" w:lineRule="auto"/>
              <w:ind w:firstLine="0" w:firstLineChars="0"/>
              <w:jc w:val="center"/>
              <w:rPr>
                <w:color w:val="auto"/>
                <w:sz w:val="21"/>
                <w:szCs w:val="21"/>
              </w:rPr>
            </w:pPr>
            <w:r>
              <w:rPr>
                <w:rFonts w:hint="eastAsia"/>
                <w:color w:val="auto"/>
                <w:sz w:val="21"/>
                <w:szCs w:val="21"/>
              </w:rPr>
              <w:t>9.17E-06</w:t>
            </w:r>
          </w:p>
        </w:tc>
        <w:tc>
          <w:tcPr>
            <w:tcW w:w="409" w:type="pct"/>
            <w:shd w:val="clear" w:color="auto" w:fill="auto"/>
          </w:tcPr>
          <w:p w14:paraId="7BEB0F4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3B5D18A">
            <w:pPr>
              <w:widowControl/>
              <w:spacing w:line="240" w:lineRule="auto"/>
              <w:ind w:firstLine="0" w:firstLineChars="0"/>
              <w:jc w:val="center"/>
              <w:rPr>
                <w:color w:val="auto"/>
                <w:sz w:val="21"/>
                <w:szCs w:val="21"/>
              </w:rPr>
            </w:pPr>
            <w:r>
              <w:rPr>
                <w:rFonts w:hint="eastAsia"/>
                <w:color w:val="auto"/>
                <w:sz w:val="21"/>
                <w:szCs w:val="21"/>
              </w:rPr>
              <w:t>8.67E-05</w:t>
            </w:r>
          </w:p>
        </w:tc>
        <w:tc>
          <w:tcPr>
            <w:tcW w:w="423" w:type="pct"/>
            <w:shd w:val="clear" w:color="auto" w:fill="auto"/>
          </w:tcPr>
          <w:p w14:paraId="71345E31">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10E6D73">
            <w:pPr>
              <w:widowControl/>
              <w:spacing w:line="240" w:lineRule="auto"/>
              <w:ind w:firstLine="0" w:firstLineChars="0"/>
              <w:jc w:val="center"/>
              <w:rPr>
                <w:color w:val="auto"/>
                <w:kern w:val="0"/>
                <w:sz w:val="21"/>
                <w:szCs w:val="21"/>
              </w:rPr>
            </w:pPr>
            <w:r>
              <w:rPr>
                <w:rFonts w:hint="eastAsia"/>
                <w:color w:val="auto"/>
                <w:sz w:val="21"/>
                <w:szCs w:val="21"/>
              </w:rPr>
              <w:t>3.61E-04</w:t>
            </w:r>
          </w:p>
        </w:tc>
        <w:tc>
          <w:tcPr>
            <w:tcW w:w="532" w:type="pct"/>
            <w:shd w:val="clear" w:color="auto" w:fill="auto"/>
          </w:tcPr>
          <w:p w14:paraId="21897AC5">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32378E91">
            <w:pPr>
              <w:widowControl/>
              <w:spacing w:line="240" w:lineRule="auto"/>
              <w:ind w:firstLine="0" w:firstLineChars="0"/>
              <w:jc w:val="center"/>
              <w:rPr>
                <w:color w:val="auto"/>
                <w:kern w:val="0"/>
                <w:sz w:val="21"/>
                <w:szCs w:val="21"/>
              </w:rPr>
            </w:pPr>
            <w:r>
              <w:rPr>
                <w:color w:val="auto"/>
                <w:sz w:val="21"/>
                <w:szCs w:val="21"/>
              </w:rPr>
              <w:t>3.85E-04</w:t>
            </w:r>
          </w:p>
        </w:tc>
        <w:tc>
          <w:tcPr>
            <w:tcW w:w="360" w:type="pct"/>
            <w:shd w:val="clear" w:color="auto" w:fill="auto"/>
          </w:tcPr>
          <w:p w14:paraId="18651C18">
            <w:pPr>
              <w:widowControl/>
              <w:spacing w:line="240" w:lineRule="auto"/>
              <w:ind w:firstLine="0" w:firstLineChars="0"/>
              <w:jc w:val="center"/>
              <w:rPr>
                <w:color w:val="auto"/>
                <w:kern w:val="0"/>
                <w:sz w:val="21"/>
                <w:szCs w:val="21"/>
              </w:rPr>
            </w:pPr>
            <w:r>
              <w:rPr>
                <w:color w:val="auto"/>
                <w:sz w:val="21"/>
                <w:szCs w:val="21"/>
              </w:rPr>
              <w:t>0.19</w:t>
            </w:r>
          </w:p>
        </w:tc>
      </w:tr>
      <w:tr w14:paraId="1301F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0E2FC291">
            <w:pPr>
              <w:widowControl/>
              <w:spacing w:line="240" w:lineRule="auto"/>
              <w:ind w:firstLine="0" w:firstLineChars="0"/>
              <w:jc w:val="center"/>
              <w:rPr>
                <w:color w:val="auto"/>
                <w:kern w:val="0"/>
                <w:sz w:val="21"/>
                <w:szCs w:val="21"/>
              </w:rPr>
            </w:pPr>
            <w:r>
              <w:rPr>
                <w:color w:val="auto"/>
                <w:sz w:val="21"/>
                <w:szCs w:val="21"/>
              </w:rPr>
              <w:t>2050</w:t>
            </w:r>
          </w:p>
        </w:tc>
        <w:tc>
          <w:tcPr>
            <w:tcW w:w="416" w:type="pct"/>
            <w:shd w:val="clear" w:color="auto" w:fill="auto"/>
          </w:tcPr>
          <w:p w14:paraId="5947E142">
            <w:pPr>
              <w:widowControl/>
              <w:spacing w:line="240" w:lineRule="auto"/>
              <w:ind w:firstLine="0" w:firstLineChars="0"/>
              <w:jc w:val="center"/>
              <w:rPr>
                <w:color w:val="auto"/>
                <w:sz w:val="21"/>
                <w:szCs w:val="21"/>
              </w:rPr>
            </w:pPr>
            <w:r>
              <w:rPr>
                <w:rFonts w:hint="eastAsia"/>
                <w:color w:val="auto"/>
                <w:sz w:val="21"/>
                <w:szCs w:val="21"/>
              </w:rPr>
              <w:t>1.26E-05</w:t>
            </w:r>
          </w:p>
        </w:tc>
        <w:tc>
          <w:tcPr>
            <w:tcW w:w="410" w:type="pct"/>
            <w:shd w:val="clear" w:color="auto" w:fill="auto"/>
          </w:tcPr>
          <w:p w14:paraId="35997DB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C79908D">
            <w:pPr>
              <w:widowControl/>
              <w:spacing w:line="240" w:lineRule="auto"/>
              <w:ind w:firstLine="0" w:firstLineChars="0"/>
              <w:jc w:val="center"/>
              <w:rPr>
                <w:color w:val="auto"/>
                <w:sz w:val="21"/>
                <w:szCs w:val="21"/>
              </w:rPr>
            </w:pPr>
            <w:r>
              <w:rPr>
                <w:rFonts w:hint="eastAsia"/>
                <w:color w:val="auto"/>
                <w:sz w:val="21"/>
                <w:szCs w:val="21"/>
              </w:rPr>
              <w:t>9.13E-06</w:t>
            </w:r>
          </w:p>
        </w:tc>
        <w:tc>
          <w:tcPr>
            <w:tcW w:w="409" w:type="pct"/>
            <w:shd w:val="clear" w:color="auto" w:fill="auto"/>
          </w:tcPr>
          <w:p w14:paraId="3EAB69B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1032197">
            <w:pPr>
              <w:widowControl/>
              <w:spacing w:line="240" w:lineRule="auto"/>
              <w:ind w:firstLine="0" w:firstLineChars="0"/>
              <w:jc w:val="center"/>
              <w:rPr>
                <w:color w:val="auto"/>
                <w:sz w:val="21"/>
                <w:szCs w:val="21"/>
              </w:rPr>
            </w:pPr>
            <w:r>
              <w:rPr>
                <w:rFonts w:hint="eastAsia"/>
                <w:color w:val="auto"/>
                <w:sz w:val="21"/>
                <w:szCs w:val="21"/>
              </w:rPr>
              <w:t>8.64E-05</w:t>
            </w:r>
          </w:p>
        </w:tc>
        <w:tc>
          <w:tcPr>
            <w:tcW w:w="423" w:type="pct"/>
            <w:shd w:val="clear" w:color="auto" w:fill="auto"/>
          </w:tcPr>
          <w:p w14:paraId="002C79B9">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54655D8">
            <w:pPr>
              <w:widowControl/>
              <w:spacing w:line="240" w:lineRule="auto"/>
              <w:ind w:firstLine="0" w:firstLineChars="0"/>
              <w:jc w:val="center"/>
              <w:rPr>
                <w:color w:val="auto"/>
                <w:kern w:val="0"/>
                <w:sz w:val="21"/>
                <w:szCs w:val="21"/>
              </w:rPr>
            </w:pPr>
            <w:r>
              <w:rPr>
                <w:rFonts w:hint="eastAsia"/>
                <w:color w:val="auto"/>
                <w:sz w:val="21"/>
                <w:szCs w:val="21"/>
              </w:rPr>
              <w:t>3.61E-04</w:t>
            </w:r>
          </w:p>
        </w:tc>
        <w:tc>
          <w:tcPr>
            <w:tcW w:w="532" w:type="pct"/>
            <w:shd w:val="clear" w:color="auto" w:fill="auto"/>
          </w:tcPr>
          <w:p w14:paraId="36581CAF">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D5125EF">
            <w:pPr>
              <w:widowControl/>
              <w:spacing w:line="240" w:lineRule="auto"/>
              <w:ind w:firstLine="0" w:firstLineChars="0"/>
              <w:jc w:val="center"/>
              <w:rPr>
                <w:color w:val="auto"/>
                <w:kern w:val="0"/>
                <w:sz w:val="21"/>
                <w:szCs w:val="21"/>
              </w:rPr>
            </w:pPr>
            <w:r>
              <w:rPr>
                <w:color w:val="auto"/>
                <w:sz w:val="21"/>
                <w:szCs w:val="21"/>
              </w:rPr>
              <w:t>3.84E-04</w:t>
            </w:r>
          </w:p>
        </w:tc>
        <w:tc>
          <w:tcPr>
            <w:tcW w:w="360" w:type="pct"/>
            <w:shd w:val="clear" w:color="auto" w:fill="auto"/>
          </w:tcPr>
          <w:p w14:paraId="5D294326">
            <w:pPr>
              <w:widowControl/>
              <w:spacing w:line="240" w:lineRule="auto"/>
              <w:ind w:firstLine="0" w:firstLineChars="0"/>
              <w:jc w:val="center"/>
              <w:rPr>
                <w:color w:val="auto"/>
                <w:kern w:val="0"/>
                <w:sz w:val="21"/>
                <w:szCs w:val="21"/>
              </w:rPr>
            </w:pPr>
            <w:r>
              <w:rPr>
                <w:color w:val="auto"/>
                <w:sz w:val="21"/>
                <w:szCs w:val="21"/>
              </w:rPr>
              <w:t>0.19</w:t>
            </w:r>
          </w:p>
        </w:tc>
      </w:tr>
      <w:tr w14:paraId="34FA1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D578379">
            <w:pPr>
              <w:widowControl/>
              <w:spacing w:line="240" w:lineRule="auto"/>
              <w:ind w:firstLine="0" w:firstLineChars="0"/>
              <w:jc w:val="center"/>
              <w:rPr>
                <w:color w:val="auto"/>
                <w:kern w:val="0"/>
                <w:sz w:val="21"/>
                <w:szCs w:val="21"/>
              </w:rPr>
            </w:pPr>
            <w:r>
              <w:rPr>
                <w:color w:val="auto"/>
                <w:sz w:val="21"/>
                <w:szCs w:val="21"/>
              </w:rPr>
              <w:t>2075</w:t>
            </w:r>
          </w:p>
        </w:tc>
        <w:tc>
          <w:tcPr>
            <w:tcW w:w="416" w:type="pct"/>
            <w:shd w:val="clear" w:color="auto" w:fill="auto"/>
          </w:tcPr>
          <w:p w14:paraId="315B8490">
            <w:pPr>
              <w:widowControl/>
              <w:spacing w:line="240" w:lineRule="auto"/>
              <w:ind w:firstLine="0" w:firstLineChars="0"/>
              <w:jc w:val="center"/>
              <w:rPr>
                <w:color w:val="auto"/>
                <w:sz w:val="21"/>
                <w:szCs w:val="21"/>
              </w:rPr>
            </w:pPr>
            <w:r>
              <w:rPr>
                <w:rFonts w:hint="eastAsia"/>
                <w:color w:val="auto"/>
                <w:sz w:val="21"/>
                <w:szCs w:val="21"/>
              </w:rPr>
              <w:t>1.25E-05</w:t>
            </w:r>
          </w:p>
        </w:tc>
        <w:tc>
          <w:tcPr>
            <w:tcW w:w="410" w:type="pct"/>
            <w:shd w:val="clear" w:color="auto" w:fill="auto"/>
          </w:tcPr>
          <w:p w14:paraId="1EF9465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C0CD3D1">
            <w:pPr>
              <w:widowControl/>
              <w:spacing w:line="240" w:lineRule="auto"/>
              <w:ind w:firstLine="0" w:firstLineChars="0"/>
              <w:jc w:val="center"/>
              <w:rPr>
                <w:color w:val="auto"/>
                <w:sz w:val="21"/>
                <w:szCs w:val="21"/>
              </w:rPr>
            </w:pPr>
            <w:r>
              <w:rPr>
                <w:rFonts w:hint="eastAsia"/>
                <w:color w:val="auto"/>
                <w:sz w:val="21"/>
                <w:szCs w:val="21"/>
              </w:rPr>
              <w:t>9.09E-06</w:t>
            </w:r>
          </w:p>
        </w:tc>
        <w:tc>
          <w:tcPr>
            <w:tcW w:w="409" w:type="pct"/>
            <w:shd w:val="clear" w:color="auto" w:fill="auto"/>
          </w:tcPr>
          <w:p w14:paraId="7326F30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8476323">
            <w:pPr>
              <w:widowControl/>
              <w:spacing w:line="240" w:lineRule="auto"/>
              <w:ind w:firstLine="0" w:firstLineChars="0"/>
              <w:jc w:val="center"/>
              <w:rPr>
                <w:color w:val="auto"/>
                <w:sz w:val="21"/>
                <w:szCs w:val="21"/>
              </w:rPr>
            </w:pPr>
            <w:r>
              <w:rPr>
                <w:rFonts w:hint="eastAsia"/>
                <w:color w:val="auto"/>
                <w:sz w:val="21"/>
                <w:szCs w:val="21"/>
              </w:rPr>
              <w:t>8.60E-05</w:t>
            </w:r>
          </w:p>
        </w:tc>
        <w:tc>
          <w:tcPr>
            <w:tcW w:w="423" w:type="pct"/>
            <w:shd w:val="clear" w:color="auto" w:fill="auto"/>
          </w:tcPr>
          <w:p w14:paraId="25B303B8">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FA260B1">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73643EA3">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67C3F956">
            <w:pPr>
              <w:widowControl/>
              <w:spacing w:line="240" w:lineRule="auto"/>
              <w:ind w:firstLine="0" w:firstLineChars="0"/>
              <w:jc w:val="center"/>
              <w:rPr>
                <w:color w:val="auto"/>
                <w:kern w:val="0"/>
                <w:sz w:val="21"/>
                <w:szCs w:val="21"/>
              </w:rPr>
            </w:pPr>
            <w:r>
              <w:rPr>
                <w:color w:val="auto"/>
                <w:sz w:val="21"/>
                <w:szCs w:val="21"/>
              </w:rPr>
              <w:t>3.82E-04</w:t>
            </w:r>
          </w:p>
        </w:tc>
        <w:tc>
          <w:tcPr>
            <w:tcW w:w="360" w:type="pct"/>
            <w:shd w:val="clear" w:color="auto" w:fill="auto"/>
          </w:tcPr>
          <w:p w14:paraId="64413779">
            <w:pPr>
              <w:widowControl/>
              <w:spacing w:line="240" w:lineRule="auto"/>
              <w:ind w:firstLine="0" w:firstLineChars="0"/>
              <w:jc w:val="center"/>
              <w:rPr>
                <w:color w:val="auto"/>
                <w:kern w:val="0"/>
                <w:sz w:val="21"/>
                <w:szCs w:val="21"/>
              </w:rPr>
            </w:pPr>
            <w:r>
              <w:rPr>
                <w:color w:val="auto"/>
                <w:sz w:val="21"/>
                <w:szCs w:val="21"/>
              </w:rPr>
              <w:t>0.19</w:t>
            </w:r>
          </w:p>
        </w:tc>
      </w:tr>
      <w:tr w14:paraId="15721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977287D">
            <w:pPr>
              <w:widowControl/>
              <w:spacing w:line="240" w:lineRule="auto"/>
              <w:ind w:firstLine="0" w:firstLineChars="0"/>
              <w:jc w:val="center"/>
              <w:rPr>
                <w:color w:val="auto"/>
                <w:kern w:val="0"/>
                <w:sz w:val="21"/>
                <w:szCs w:val="21"/>
              </w:rPr>
            </w:pPr>
            <w:r>
              <w:rPr>
                <w:color w:val="auto"/>
                <w:sz w:val="21"/>
                <w:szCs w:val="21"/>
              </w:rPr>
              <w:t>2100</w:t>
            </w:r>
          </w:p>
        </w:tc>
        <w:tc>
          <w:tcPr>
            <w:tcW w:w="416" w:type="pct"/>
            <w:shd w:val="clear" w:color="auto" w:fill="auto"/>
          </w:tcPr>
          <w:p w14:paraId="6B592C9B">
            <w:pPr>
              <w:widowControl/>
              <w:spacing w:line="240" w:lineRule="auto"/>
              <w:ind w:firstLine="0" w:firstLineChars="0"/>
              <w:jc w:val="center"/>
              <w:rPr>
                <w:color w:val="auto"/>
                <w:sz w:val="21"/>
                <w:szCs w:val="21"/>
              </w:rPr>
            </w:pPr>
            <w:r>
              <w:rPr>
                <w:rFonts w:hint="eastAsia"/>
                <w:color w:val="auto"/>
                <w:sz w:val="21"/>
                <w:szCs w:val="21"/>
              </w:rPr>
              <w:t>1.25E-05</w:t>
            </w:r>
          </w:p>
        </w:tc>
        <w:tc>
          <w:tcPr>
            <w:tcW w:w="410" w:type="pct"/>
            <w:shd w:val="clear" w:color="auto" w:fill="auto"/>
          </w:tcPr>
          <w:p w14:paraId="5711376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A878FC9">
            <w:pPr>
              <w:widowControl/>
              <w:spacing w:line="240" w:lineRule="auto"/>
              <w:ind w:firstLine="0" w:firstLineChars="0"/>
              <w:jc w:val="center"/>
              <w:rPr>
                <w:color w:val="auto"/>
                <w:sz w:val="21"/>
                <w:szCs w:val="21"/>
              </w:rPr>
            </w:pPr>
            <w:r>
              <w:rPr>
                <w:rFonts w:hint="eastAsia"/>
                <w:color w:val="auto"/>
                <w:sz w:val="21"/>
                <w:szCs w:val="21"/>
              </w:rPr>
              <w:t>9.06E-06</w:t>
            </w:r>
          </w:p>
        </w:tc>
        <w:tc>
          <w:tcPr>
            <w:tcW w:w="409" w:type="pct"/>
            <w:shd w:val="clear" w:color="auto" w:fill="auto"/>
          </w:tcPr>
          <w:p w14:paraId="4DA3E74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3ECD07C">
            <w:pPr>
              <w:widowControl/>
              <w:spacing w:line="240" w:lineRule="auto"/>
              <w:ind w:firstLine="0" w:firstLineChars="0"/>
              <w:jc w:val="center"/>
              <w:rPr>
                <w:color w:val="auto"/>
                <w:sz w:val="21"/>
                <w:szCs w:val="21"/>
              </w:rPr>
            </w:pPr>
            <w:r>
              <w:rPr>
                <w:rFonts w:hint="eastAsia"/>
                <w:color w:val="auto"/>
                <w:sz w:val="21"/>
                <w:szCs w:val="21"/>
              </w:rPr>
              <w:t>8.57E-05</w:t>
            </w:r>
          </w:p>
        </w:tc>
        <w:tc>
          <w:tcPr>
            <w:tcW w:w="423" w:type="pct"/>
            <w:shd w:val="clear" w:color="auto" w:fill="auto"/>
          </w:tcPr>
          <w:p w14:paraId="4F06ED47">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7C99A87">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6C3A0FC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0A7CEE63">
            <w:pPr>
              <w:widowControl/>
              <w:spacing w:line="240" w:lineRule="auto"/>
              <w:ind w:firstLine="0" w:firstLineChars="0"/>
              <w:jc w:val="center"/>
              <w:rPr>
                <w:color w:val="auto"/>
                <w:kern w:val="0"/>
                <w:sz w:val="21"/>
                <w:szCs w:val="21"/>
              </w:rPr>
            </w:pPr>
            <w:r>
              <w:rPr>
                <w:color w:val="auto"/>
                <w:sz w:val="21"/>
                <w:szCs w:val="21"/>
              </w:rPr>
              <w:t>3.81E-04</w:t>
            </w:r>
          </w:p>
        </w:tc>
        <w:tc>
          <w:tcPr>
            <w:tcW w:w="360" w:type="pct"/>
            <w:shd w:val="clear" w:color="auto" w:fill="auto"/>
          </w:tcPr>
          <w:p w14:paraId="75D20761">
            <w:pPr>
              <w:widowControl/>
              <w:spacing w:line="240" w:lineRule="auto"/>
              <w:ind w:firstLine="0" w:firstLineChars="0"/>
              <w:jc w:val="center"/>
              <w:rPr>
                <w:color w:val="auto"/>
                <w:kern w:val="0"/>
                <w:sz w:val="21"/>
                <w:szCs w:val="21"/>
              </w:rPr>
            </w:pPr>
            <w:r>
              <w:rPr>
                <w:color w:val="auto"/>
                <w:sz w:val="21"/>
                <w:szCs w:val="21"/>
              </w:rPr>
              <w:t>0.19</w:t>
            </w:r>
          </w:p>
        </w:tc>
      </w:tr>
      <w:tr w14:paraId="2CB90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4C36201">
            <w:pPr>
              <w:widowControl/>
              <w:spacing w:line="240" w:lineRule="auto"/>
              <w:ind w:firstLine="0" w:firstLineChars="0"/>
              <w:jc w:val="center"/>
              <w:rPr>
                <w:color w:val="auto"/>
                <w:kern w:val="0"/>
                <w:sz w:val="21"/>
                <w:szCs w:val="21"/>
              </w:rPr>
            </w:pPr>
            <w:r>
              <w:rPr>
                <w:color w:val="auto"/>
                <w:sz w:val="21"/>
                <w:szCs w:val="21"/>
              </w:rPr>
              <w:t>2125</w:t>
            </w:r>
          </w:p>
        </w:tc>
        <w:tc>
          <w:tcPr>
            <w:tcW w:w="416" w:type="pct"/>
            <w:shd w:val="clear" w:color="auto" w:fill="auto"/>
          </w:tcPr>
          <w:p w14:paraId="6693B64C">
            <w:pPr>
              <w:widowControl/>
              <w:spacing w:line="240" w:lineRule="auto"/>
              <w:ind w:firstLine="0" w:firstLineChars="0"/>
              <w:jc w:val="center"/>
              <w:rPr>
                <w:color w:val="auto"/>
                <w:sz w:val="21"/>
                <w:szCs w:val="21"/>
              </w:rPr>
            </w:pPr>
            <w:r>
              <w:rPr>
                <w:rFonts w:hint="eastAsia"/>
                <w:color w:val="auto"/>
                <w:sz w:val="21"/>
                <w:szCs w:val="21"/>
              </w:rPr>
              <w:t>1.24E-05</w:t>
            </w:r>
          </w:p>
        </w:tc>
        <w:tc>
          <w:tcPr>
            <w:tcW w:w="410" w:type="pct"/>
            <w:shd w:val="clear" w:color="auto" w:fill="auto"/>
          </w:tcPr>
          <w:p w14:paraId="4BC57E1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28220B3">
            <w:pPr>
              <w:widowControl/>
              <w:spacing w:line="240" w:lineRule="auto"/>
              <w:ind w:firstLine="0" w:firstLineChars="0"/>
              <w:jc w:val="center"/>
              <w:rPr>
                <w:color w:val="auto"/>
                <w:sz w:val="21"/>
                <w:szCs w:val="21"/>
              </w:rPr>
            </w:pPr>
            <w:r>
              <w:rPr>
                <w:rFonts w:hint="eastAsia"/>
                <w:color w:val="auto"/>
                <w:sz w:val="21"/>
                <w:szCs w:val="21"/>
              </w:rPr>
              <w:t>9.02E-06</w:t>
            </w:r>
          </w:p>
        </w:tc>
        <w:tc>
          <w:tcPr>
            <w:tcW w:w="409" w:type="pct"/>
            <w:shd w:val="clear" w:color="auto" w:fill="auto"/>
          </w:tcPr>
          <w:p w14:paraId="052D5AA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7FB9A9A">
            <w:pPr>
              <w:widowControl/>
              <w:spacing w:line="240" w:lineRule="auto"/>
              <w:ind w:firstLine="0" w:firstLineChars="0"/>
              <w:jc w:val="center"/>
              <w:rPr>
                <w:color w:val="auto"/>
                <w:sz w:val="21"/>
                <w:szCs w:val="21"/>
              </w:rPr>
            </w:pPr>
            <w:r>
              <w:rPr>
                <w:rFonts w:hint="eastAsia"/>
                <w:color w:val="auto"/>
                <w:sz w:val="21"/>
                <w:szCs w:val="21"/>
              </w:rPr>
              <w:t>8.53E-05</w:t>
            </w:r>
          </w:p>
        </w:tc>
        <w:tc>
          <w:tcPr>
            <w:tcW w:w="423" w:type="pct"/>
            <w:shd w:val="clear" w:color="auto" w:fill="auto"/>
          </w:tcPr>
          <w:p w14:paraId="4A66C8EE">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4373B22">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35E47E0A">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19C414AF">
            <w:pPr>
              <w:widowControl/>
              <w:spacing w:line="240" w:lineRule="auto"/>
              <w:ind w:firstLine="0" w:firstLineChars="0"/>
              <w:jc w:val="center"/>
              <w:rPr>
                <w:color w:val="auto"/>
                <w:kern w:val="0"/>
                <w:sz w:val="21"/>
                <w:szCs w:val="21"/>
              </w:rPr>
            </w:pPr>
            <w:r>
              <w:rPr>
                <w:color w:val="auto"/>
                <w:sz w:val="21"/>
                <w:szCs w:val="21"/>
              </w:rPr>
              <w:t>3.79E-04</w:t>
            </w:r>
          </w:p>
        </w:tc>
        <w:tc>
          <w:tcPr>
            <w:tcW w:w="360" w:type="pct"/>
            <w:shd w:val="clear" w:color="auto" w:fill="auto"/>
          </w:tcPr>
          <w:p w14:paraId="125A4941">
            <w:pPr>
              <w:widowControl/>
              <w:spacing w:line="240" w:lineRule="auto"/>
              <w:ind w:firstLine="0" w:firstLineChars="0"/>
              <w:jc w:val="center"/>
              <w:rPr>
                <w:color w:val="auto"/>
                <w:kern w:val="0"/>
                <w:sz w:val="21"/>
                <w:szCs w:val="21"/>
              </w:rPr>
            </w:pPr>
            <w:r>
              <w:rPr>
                <w:color w:val="auto"/>
                <w:sz w:val="21"/>
                <w:szCs w:val="21"/>
              </w:rPr>
              <w:t>0.19</w:t>
            </w:r>
          </w:p>
        </w:tc>
      </w:tr>
      <w:tr w14:paraId="3928F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516643C4">
            <w:pPr>
              <w:widowControl/>
              <w:spacing w:line="240" w:lineRule="auto"/>
              <w:ind w:firstLine="0" w:firstLineChars="0"/>
              <w:jc w:val="center"/>
              <w:rPr>
                <w:color w:val="auto"/>
                <w:kern w:val="0"/>
                <w:sz w:val="21"/>
                <w:szCs w:val="21"/>
              </w:rPr>
            </w:pPr>
            <w:r>
              <w:rPr>
                <w:color w:val="auto"/>
                <w:sz w:val="21"/>
                <w:szCs w:val="21"/>
              </w:rPr>
              <w:t>2150</w:t>
            </w:r>
          </w:p>
        </w:tc>
        <w:tc>
          <w:tcPr>
            <w:tcW w:w="416" w:type="pct"/>
            <w:shd w:val="clear" w:color="auto" w:fill="auto"/>
          </w:tcPr>
          <w:p w14:paraId="5B428A59">
            <w:pPr>
              <w:widowControl/>
              <w:spacing w:line="240" w:lineRule="auto"/>
              <w:ind w:firstLine="0" w:firstLineChars="0"/>
              <w:jc w:val="center"/>
              <w:rPr>
                <w:color w:val="auto"/>
                <w:sz w:val="21"/>
                <w:szCs w:val="21"/>
              </w:rPr>
            </w:pPr>
            <w:r>
              <w:rPr>
                <w:rFonts w:hint="eastAsia"/>
                <w:color w:val="auto"/>
                <w:sz w:val="21"/>
                <w:szCs w:val="21"/>
              </w:rPr>
              <w:t>1.24E-05</w:t>
            </w:r>
          </w:p>
        </w:tc>
        <w:tc>
          <w:tcPr>
            <w:tcW w:w="410" w:type="pct"/>
            <w:shd w:val="clear" w:color="auto" w:fill="auto"/>
          </w:tcPr>
          <w:p w14:paraId="22C2518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3BD54D3">
            <w:pPr>
              <w:widowControl/>
              <w:spacing w:line="240" w:lineRule="auto"/>
              <w:ind w:firstLine="0" w:firstLineChars="0"/>
              <w:jc w:val="center"/>
              <w:rPr>
                <w:color w:val="auto"/>
                <w:sz w:val="21"/>
                <w:szCs w:val="21"/>
              </w:rPr>
            </w:pPr>
            <w:r>
              <w:rPr>
                <w:rFonts w:hint="eastAsia"/>
                <w:color w:val="auto"/>
                <w:sz w:val="21"/>
                <w:szCs w:val="21"/>
              </w:rPr>
              <w:t>8.98E-06</w:t>
            </w:r>
          </w:p>
        </w:tc>
        <w:tc>
          <w:tcPr>
            <w:tcW w:w="409" w:type="pct"/>
            <w:shd w:val="clear" w:color="auto" w:fill="auto"/>
          </w:tcPr>
          <w:p w14:paraId="616BD46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0C064A4">
            <w:pPr>
              <w:widowControl/>
              <w:spacing w:line="240" w:lineRule="auto"/>
              <w:ind w:firstLine="0" w:firstLineChars="0"/>
              <w:jc w:val="center"/>
              <w:rPr>
                <w:color w:val="auto"/>
                <w:sz w:val="21"/>
                <w:szCs w:val="21"/>
              </w:rPr>
            </w:pPr>
            <w:r>
              <w:rPr>
                <w:rFonts w:hint="eastAsia"/>
                <w:color w:val="auto"/>
                <w:sz w:val="21"/>
                <w:szCs w:val="21"/>
              </w:rPr>
              <w:t>8.49E-05</w:t>
            </w:r>
          </w:p>
        </w:tc>
        <w:tc>
          <w:tcPr>
            <w:tcW w:w="423" w:type="pct"/>
            <w:shd w:val="clear" w:color="auto" w:fill="auto"/>
          </w:tcPr>
          <w:p w14:paraId="6FE1864C">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9E9FD95">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60B218C4">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2B6CF6AA">
            <w:pPr>
              <w:widowControl/>
              <w:spacing w:line="240" w:lineRule="auto"/>
              <w:ind w:firstLine="0" w:firstLineChars="0"/>
              <w:jc w:val="center"/>
              <w:rPr>
                <w:color w:val="auto"/>
                <w:kern w:val="0"/>
                <w:sz w:val="21"/>
                <w:szCs w:val="21"/>
              </w:rPr>
            </w:pPr>
            <w:r>
              <w:rPr>
                <w:color w:val="auto"/>
                <w:sz w:val="21"/>
                <w:szCs w:val="21"/>
              </w:rPr>
              <w:t>3.77E-04</w:t>
            </w:r>
          </w:p>
        </w:tc>
        <w:tc>
          <w:tcPr>
            <w:tcW w:w="360" w:type="pct"/>
            <w:shd w:val="clear" w:color="auto" w:fill="auto"/>
          </w:tcPr>
          <w:p w14:paraId="0E3F9AF9">
            <w:pPr>
              <w:widowControl/>
              <w:spacing w:line="240" w:lineRule="auto"/>
              <w:ind w:firstLine="0" w:firstLineChars="0"/>
              <w:jc w:val="center"/>
              <w:rPr>
                <w:color w:val="auto"/>
                <w:kern w:val="0"/>
                <w:sz w:val="21"/>
                <w:szCs w:val="21"/>
              </w:rPr>
            </w:pPr>
            <w:r>
              <w:rPr>
                <w:color w:val="auto"/>
                <w:sz w:val="21"/>
                <w:szCs w:val="21"/>
              </w:rPr>
              <w:t>0.19</w:t>
            </w:r>
          </w:p>
        </w:tc>
      </w:tr>
      <w:tr w14:paraId="6C207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30B0805">
            <w:pPr>
              <w:widowControl/>
              <w:spacing w:line="240" w:lineRule="auto"/>
              <w:ind w:firstLine="0" w:firstLineChars="0"/>
              <w:jc w:val="center"/>
              <w:rPr>
                <w:color w:val="auto"/>
                <w:kern w:val="0"/>
                <w:sz w:val="21"/>
                <w:szCs w:val="21"/>
              </w:rPr>
            </w:pPr>
            <w:r>
              <w:rPr>
                <w:color w:val="auto"/>
                <w:sz w:val="21"/>
                <w:szCs w:val="21"/>
              </w:rPr>
              <w:t>2175</w:t>
            </w:r>
          </w:p>
        </w:tc>
        <w:tc>
          <w:tcPr>
            <w:tcW w:w="416" w:type="pct"/>
            <w:shd w:val="clear" w:color="auto" w:fill="auto"/>
          </w:tcPr>
          <w:p w14:paraId="093F9E5B">
            <w:pPr>
              <w:widowControl/>
              <w:spacing w:line="240" w:lineRule="auto"/>
              <w:ind w:firstLine="0" w:firstLineChars="0"/>
              <w:jc w:val="center"/>
              <w:rPr>
                <w:color w:val="auto"/>
                <w:sz w:val="21"/>
                <w:szCs w:val="21"/>
              </w:rPr>
            </w:pPr>
            <w:r>
              <w:rPr>
                <w:rFonts w:hint="eastAsia"/>
                <w:color w:val="auto"/>
                <w:sz w:val="21"/>
                <w:szCs w:val="21"/>
              </w:rPr>
              <w:t>1.23E-05</w:t>
            </w:r>
          </w:p>
        </w:tc>
        <w:tc>
          <w:tcPr>
            <w:tcW w:w="410" w:type="pct"/>
            <w:shd w:val="clear" w:color="auto" w:fill="auto"/>
          </w:tcPr>
          <w:p w14:paraId="68AACA52">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B208DA4">
            <w:pPr>
              <w:widowControl/>
              <w:spacing w:line="240" w:lineRule="auto"/>
              <w:ind w:firstLine="0" w:firstLineChars="0"/>
              <w:jc w:val="center"/>
              <w:rPr>
                <w:color w:val="auto"/>
                <w:sz w:val="21"/>
                <w:szCs w:val="21"/>
              </w:rPr>
            </w:pPr>
            <w:r>
              <w:rPr>
                <w:rFonts w:hint="eastAsia"/>
                <w:color w:val="auto"/>
                <w:sz w:val="21"/>
                <w:szCs w:val="21"/>
              </w:rPr>
              <w:t>8.94E-06</w:t>
            </w:r>
          </w:p>
        </w:tc>
        <w:tc>
          <w:tcPr>
            <w:tcW w:w="409" w:type="pct"/>
            <w:shd w:val="clear" w:color="auto" w:fill="auto"/>
          </w:tcPr>
          <w:p w14:paraId="2AE6D553">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49297A8">
            <w:pPr>
              <w:widowControl/>
              <w:spacing w:line="240" w:lineRule="auto"/>
              <w:ind w:firstLine="0" w:firstLineChars="0"/>
              <w:jc w:val="center"/>
              <w:rPr>
                <w:color w:val="auto"/>
                <w:sz w:val="21"/>
                <w:szCs w:val="21"/>
              </w:rPr>
            </w:pPr>
            <w:r>
              <w:rPr>
                <w:rFonts w:hint="eastAsia"/>
                <w:color w:val="auto"/>
                <w:sz w:val="21"/>
                <w:szCs w:val="21"/>
              </w:rPr>
              <w:t>8.45E-05</w:t>
            </w:r>
          </w:p>
        </w:tc>
        <w:tc>
          <w:tcPr>
            <w:tcW w:w="423" w:type="pct"/>
            <w:shd w:val="clear" w:color="auto" w:fill="auto"/>
          </w:tcPr>
          <w:p w14:paraId="36D10550">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BC59C84">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37122E4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F850CDD">
            <w:pPr>
              <w:widowControl/>
              <w:spacing w:line="240" w:lineRule="auto"/>
              <w:ind w:firstLine="0" w:firstLineChars="0"/>
              <w:jc w:val="center"/>
              <w:rPr>
                <w:color w:val="auto"/>
                <w:kern w:val="0"/>
                <w:sz w:val="21"/>
                <w:szCs w:val="21"/>
              </w:rPr>
            </w:pPr>
            <w:r>
              <w:rPr>
                <w:color w:val="auto"/>
                <w:sz w:val="21"/>
                <w:szCs w:val="21"/>
              </w:rPr>
              <w:t>3.76E-04</w:t>
            </w:r>
          </w:p>
        </w:tc>
        <w:tc>
          <w:tcPr>
            <w:tcW w:w="360" w:type="pct"/>
            <w:shd w:val="clear" w:color="auto" w:fill="auto"/>
          </w:tcPr>
          <w:p w14:paraId="3E4B5C4B">
            <w:pPr>
              <w:widowControl/>
              <w:spacing w:line="240" w:lineRule="auto"/>
              <w:ind w:firstLine="0" w:firstLineChars="0"/>
              <w:jc w:val="center"/>
              <w:rPr>
                <w:color w:val="auto"/>
                <w:kern w:val="0"/>
                <w:sz w:val="21"/>
                <w:szCs w:val="21"/>
              </w:rPr>
            </w:pPr>
            <w:r>
              <w:rPr>
                <w:color w:val="auto"/>
                <w:sz w:val="21"/>
                <w:szCs w:val="21"/>
              </w:rPr>
              <w:t>0.19</w:t>
            </w:r>
          </w:p>
        </w:tc>
      </w:tr>
      <w:tr w14:paraId="2F8BD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3F05015">
            <w:pPr>
              <w:widowControl/>
              <w:spacing w:line="240" w:lineRule="auto"/>
              <w:ind w:firstLine="0" w:firstLineChars="0"/>
              <w:jc w:val="center"/>
              <w:rPr>
                <w:color w:val="auto"/>
                <w:kern w:val="0"/>
                <w:sz w:val="21"/>
                <w:szCs w:val="21"/>
              </w:rPr>
            </w:pPr>
            <w:r>
              <w:rPr>
                <w:color w:val="auto"/>
                <w:sz w:val="21"/>
                <w:szCs w:val="21"/>
              </w:rPr>
              <w:t>2200</w:t>
            </w:r>
          </w:p>
        </w:tc>
        <w:tc>
          <w:tcPr>
            <w:tcW w:w="416" w:type="pct"/>
            <w:shd w:val="clear" w:color="auto" w:fill="auto"/>
          </w:tcPr>
          <w:p w14:paraId="253D067A">
            <w:pPr>
              <w:widowControl/>
              <w:spacing w:line="240" w:lineRule="auto"/>
              <w:ind w:firstLine="0" w:firstLineChars="0"/>
              <w:jc w:val="center"/>
              <w:rPr>
                <w:color w:val="auto"/>
                <w:sz w:val="21"/>
                <w:szCs w:val="21"/>
              </w:rPr>
            </w:pPr>
            <w:r>
              <w:rPr>
                <w:rFonts w:hint="eastAsia"/>
                <w:color w:val="auto"/>
                <w:sz w:val="21"/>
                <w:szCs w:val="21"/>
              </w:rPr>
              <w:t>1.23E-05</w:t>
            </w:r>
          </w:p>
        </w:tc>
        <w:tc>
          <w:tcPr>
            <w:tcW w:w="410" w:type="pct"/>
            <w:shd w:val="clear" w:color="auto" w:fill="auto"/>
          </w:tcPr>
          <w:p w14:paraId="312E4FC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8B7A736">
            <w:pPr>
              <w:widowControl/>
              <w:spacing w:line="240" w:lineRule="auto"/>
              <w:ind w:firstLine="0" w:firstLineChars="0"/>
              <w:jc w:val="center"/>
              <w:rPr>
                <w:color w:val="auto"/>
                <w:sz w:val="21"/>
                <w:szCs w:val="21"/>
              </w:rPr>
            </w:pPr>
            <w:r>
              <w:rPr>
                <w:rFonts w:hint="eastAsia"/>
                <w:color w:val="auto"/>
                <w:sz w:val="21"/>
                <w:szCs w:val="21"/>
              </w:rPr>
              <w:t>8.89E-06</w:t>
            </w:r>
          </w:p>
        </w:tc>
        <w:tc>
          <w:tcPr>
            <w:tcW w:w="409" w:type="pct"/>
            <w:shd w:val="clear" w:color="auto" w:fill="auto"/>
          </w:tcPr>
          <w:p w14:paraId="1896B09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8024363">
            <w:pPr>
              <w:widowControl/>
              <w:spacing w:line="240" w:lineRule="auto"/>
              <w:ind w:firstLine="0" w:firstLineChars="0"/>
              <w:jc w:val="center"/>
              <w:rPr>
                <w:color w:val="auto"/>
                <w:sz w:val="21"/>
                <w:szCs w:val="21"/>
              </w:rPr>
            </w:pPr>
            <w:r>
              <w:rPr>
                <w:rFonts w:hint="eastAsia"/>
                <w:color w:val="auto"/>
                <w:sz w:val="21"/>
                <w:szCs w:val="21"/>
              </w:rPr>
              <w:t>8.41E-05</w:t>
            </w:r>
          </w:p>
        </w:tc>
        <w:tc>
          <w:tcPr>
            <w:tcW w:w="423" w:type="pct"/>
            <w:shd w:val="clear" w:color="auto" w:fill="auto"/>
          </w:tcPr>
          <w:p w14:paraId="39E00A54">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2F8F86D">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045F6B7B">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BAB0727">
            <w:pPr>
              <w:widowControl/>
              <w:spacing w:line="240" w:lineRule="auto"/>
              <w:ind w:firstLine="0" w:firstLineChars="0"/>
              <w:jc w:val="center"/>
              <w:rPr>
                <w:color w:val="auto"/>
                <w:kern w:val="0"/>
                <w:sz w:val="21"/>
                <w:szCs w:val="21"/>
              </w:rPr>
            </w:pPr>
            <w:r>
              <w:rPr>
                <w:color w:val="auto"/>
                <w:sz w:val="21"/>
                <w:szCs w:val="21"/>
              </w:rPr>
              <w:t>3.74E-04</w:t>
            </w:r>
          </w:p>
        </w:tc>
        <w:tc>
          <w:tcPr>
            <w:tcW w:w="360" w:type="pct"/>
            <w:shd w:val="clear" w:color="auto" w:fill="auto"/>
          </w:tcPr>
          <w:p w14:paraId="4B3E4938">
            <w:pPr>
              <w:widowControl/>
              <w:spacing w:line="240" w:lineRule="auto"/>
              <w:ind w:firstLine="0" w:firstLineChars="0"/>
              <w:jc w:val="center"/>
              <w:rPr>
                <w:color w:val="auto"/>
                <w:kern w:val="0"/>
                <w:sz w:val="21"/>
                <w:szCs w:val="21"/>
              </w:rPr>
            </w:pPr>
            <w:r>
              <w:rPr>
                <w:color w:val="auto"/>
                <w:sz w:val="21"/>
                <w:szCs w:val="21"/>
              </w:rPr>
              <w:t>0.19</w:t>
            </w:r>
          </w:p>
        </w:tc>
      </w:tr>
      <w:tr w14:paraId="21FEF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221059A0">
            <w:pPr>
              <w:widowControl/>
              <w:spacing w:line="240" w:lineRule="auto"/>
              <w:ind w:firstLine="0" w:firstLineChars="0"/>
              <w:jc w:val="center"/>
              <w:rPr>
                <w:color w:val="auto"/>
                <w:kern w:val="0"/>
                <w:sz w:val="21"/>
                <w:szCs w:val="21"/>
              </w:rPr>
            </w:pPr>
            <w:r>
              <w:rPr>
                <w:color w:val="auto"/>
                <w:sz w:val="21"/>
                <w:szCs w:val="21"/>
              </w:rPr>
              <w:t>2225</w:t>
            </w:r>
          </w:p>
        </w:tc>
        <w:tc>
          <w:tcPr>
            <w:tcW w:w="416" w:type="pct"/>
            <w:shd w:val="clear" w:color="auto" w:fill="auto"/>
          </w:tcPr>
          <w:p w14:paraId="684B0DB0">
            <w:pPr>
              <w:widowControl/>
              <w:spacing w:line="240" w:lineRule="auto"/>
              <w:ind w:firstLine="0" w:firstLineChars="0"/>
              <w:jc w:val="center"/>
              <w:rPr>
                <w:color w:val="auto"/>
                <w:sz w:val="21"/>
                <w:szCs w:val="21"/>
              </w:rPr>
            </w:pPr>
            <w:r>
              <w:rPr>
                <w:rFonts w:hint="eastAsia"/>
                <w:color w:val="auto"/>
                <w:sz w:val="21"/>
                <w:szCs w:val="21"/>
              </w:rPr>
              <w:t>1.22E-05</w:t>
            </w:r>
          </w:p>
        </w:tc>
        <w:tc>
          <w:tcPr>
            <w:tcW w:w="410" w:type="pct"/>
            <w:shd w:val="clear" w:color="auto" w:fill="auto"/>
          </w:tcPr>
          <w:p w14:paraId="22590C7B">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D40819B">
            <w:pPr>
              <w:widowControl/>
              <w:spacing w:line="240" w:lineRule="auto"/>
              <w:ind w:firstLine="0" w:firstLineChars="0"/>
              <w:jc w:val="center"/>
              <w:rPr>
                <w:color w:val="auto"/>
                <w:sz w:val="21"/>
                <w:szCs w:val="21"/>
              </w:rPr>
            </w:pPr>
            <w:r>
              <w:rPr>
                <w:rFonts w:hint="eastAsia"/>
                <w:color w:val="auto"/>
                <w:sz w:val="21"/>
                <w:szCs w:val="21"/>
              </w:rPr>
              <w:t>8.85E-06</w:t>
            </w:r>
          </w:p>
        </w:tc>
        <w:tc>
          <w:tcPr>
            <w:tcW w:w="409" w:type="pct"/>
            <w:shd w:val="clear" w:color="auto" w:fill="auto"/>
          </w:tcPr>
          <w:p w14:paraId="3EB8F69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8D9E709">
            <w:pPr>
              <w:widowControl/>
              <w:spacing w:line="240" w:lineRule="auto"/>
              <w:ind w:firstLine="0" w:firstLineChars="0"/>
              <w:jc w:val="center"/>
              <w:rPr>
                <w:color w:val="auto"/>
                <w:sz w:val="21"/>
                <w:szCs w:val="21"/>
              </w:rPr>
            </w:pPr>
            <w:r>
              <w:rPr>
                <w:rFonts w:hint="eastAsia"/>
                <w:color w:val="auto"/>
                <w:sz w:val="21"/>
                <w:szCs w:val="21"/>
              </w:rPr>
              <w:t>8.37E-05</w:t>
            </w:r>
          </w:p>
        </w:tc>
        <w:tc>
          <w:tcPr>
            <w:tcW w:w="423" w:type="pct"/>
            <w:shd w:val="clear" w:color="auto" w:fill="auto"/>
          </w:tcPr>
          <w:p w14:paraId="3A8123BB">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07448026">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69F4E2A8">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2A8315A">
            <w:pPr>
              <w:widowControl/>
              <w:spacing w:line="240" w:lineRule="auto"/>
              <w:ind w:firstLine="0" w:firstLineChars="0"/>
              <w:jc w:val="center"/>
              <w:rPr>
                <w:color w:val="auto"/>
                <w:kern w:val="0"/>
                <w:sz w:val="21"/>
                <w:szCs w:val="21"/>
              </w:rPr>
            </w:pPr>
            <w:r>
              <w:rPr>
                <w:color w:val="auto"/>
                <w:sz w:val="21"/>
                <w:szCs w:val="21"/>
              </w:rPr>
              <w:t>3.72E-04</w:t>
            </w:r>
          </w:p>
        </w:tc>
        <w:tc>
          <w:tcPr>
            <w:tcW w:w="360" w:type="pct"/>
            <w:shd w:val="clear" w:color="auto" w:fill="auto"/>
          </w:tcPr>
          <w:p w14:paraId="397A403C">
            <w:pPr>
              <w:widowControl/>
              <w:spacing w:line="240" w:lineRule="auto"/>
              <w:ind w:firstLine="0" w:firstLineChars="0"/>
              <w:jc w:val="center"/>
              <w:rPr>
                <w:color w:val="auto"/>
                <w:kern w:val="0"/>
                <w:sz w:val="21"/>
                <w:szCs w:val="21"/>
              </w:rPr>
            </w:pPr>
            <w:r>
              <w:rPr>
                <w:color w:val="auto"/>
                <w:sz w:val="21"/>
                <w:szCs w:val="21"/>
              </w:rPr>
              <w:t>0.19</w:t>
            </w:r>
          </w:p>
        </w:tc>
      </w:tr>
      <w:tr w14:paraId="34F1A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E8BC44E">
            <w:pPr>
              <w:widowControl/>
              <w:spacing w:line="240" w:lineRule="auto"/>
              <w:ind w:firstLine="0" w:firstLineChars="0"/>
              <w:jc w:val="center"/>
              <w:rPr>
                <w:color w:val="auto"/>
                <w:kern w:val="0"/>
                <w:sz w:val="21"/>
                <w:szCs w:val="21"/>
              </w:rPr>
            </w:pPr>
            <w:r>
              <w:rPr>
                <w:color w:val="auto"/>
                <w:sz w:val="21"/>
                <w:szCs w:val="21"/>
              </w:rPr>
              <w:t>2250</w:t>
            </w:r>
          </w:p>
        </w:tc>
        <w:tc>
          <w:tcPr>
            <w:tcW w:w="416" w:type="pct"/>
            <w:shd w:val="clear" w:color="auto" w:fill="auto"/>
          </w:tcPr>
          <w:p w14:paraId="62F6C6B7">
            <w:pPr>
              <w:widowControl/>
              <w:spacing w:line="240" w:lineRule="auto"/>
              <w:ind w:firstLine="0" w:firstLineChars="0"/>
              <w:jc w:val="center"/>
              <w:rPr>
                <w:color w:val="auto"/>
                <w:sz w:val="21"/>
                <w:szCs w:val="21"/>
              </w:rPr>
            </w:pPr>
            <w:r>
              <w:rPr>
                <w:rFonts w:hint="eastAsia"/>
                <w:color w:val="auto"/>
                <w:sz w:val="21"/>
                <w:szCs w:val="21"/>
              </w:rPr>
              <w:t>1.21E-05</w:t>
            </w:r>
          </w:p>
        </w:tc>
        <w:tc>
          <w:tcPr>
            <w:tcW w:w="410" w:type="pct"/>
            <w:shd w:val="clear" w:color="auto" w:fill="auto"/>
          </w:tcPr>
          <w:p w14:paraId="30324747">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3E53EBF">
            <w:pPr>
              <w:widowControl/>
              <w:spacing w:line="240" w:lineRule="auto"/>
              <w:ind w:firstLine="0" w:firstLineChars="0"/>
              <w:jc w:val="center"/>
              <w:rPr>
                <w:color w:val="auto"/>
                <w:sz w:val="21"/>
                <w:szCs w:val="21"/>
              </w:rPr>
            </w:pPr>
            <w:r>
              <w:rPr>
                <w:rFonts w:hint="eastAsia"/>
                <w:color w:val="auto"/>
                <w:sz w:val="21"/>
                <w:szCs w:val="21"/>
              </w:rPr>
              <w:t>8.81E-06</w:t>
            </w:r>
          </w:p>
        </w:tc>
        <w:tc>
          <w:tcPr>
            <w:tcW w:w="409" w:type="pct"/>
            <w:shd w:val="clear" w:color="auto" w:fill="auto"/>
          </w:tcPr>
          <w:p w14:paraId="5CA4D19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3A099481">
            <w:pPr>
              <w:widowControl/>
              <w:spacing w:line="240" w:lineRule="auto"/>
              <w:ind w:firstLine="0" w:firstLineChars="0"/>
              <w:jc w:val="center"/>
              <w:rPr>
                <w:color w:val="auto"/>
                <w:sz w:val="21"/>
                <w:szCs w:val="21"/>
              </w:rPr>
            </w:pPr>
            <w:r>
              <w:rPr>
                <w:rFonts w:hint="eastAsia"/>
                <w:color w:val="auto"/>
                <w:sz w:val="21"/>
                <w:szCs w:val="21"/>
              </w:rPr>
              <w:t>8.33E-05</w:t>
            </w:r>
          </w:p>
        </w:tc>
        <w:tc>
          <w:tcPr>
            <w:tcW w:w="423" w:type="pct"/>
            <w:shd w:val="clear" w:color="auto" w:fill="auto"/>
          </w:tcPr>
          <w:p w14:paraId="1C92DC00">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490EBC3F">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5558AB54">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5B1ABAD">
            <w:pPr>
              <w:widowControl/>
              <w:spacing w:line="240" w:lineRule="auto"/>
              <w:ind w:firstLine="0" w:firstLineChars="0"/>
              <w:jc w:val="center"/>
              <w:rPr>
                <w:color w:val="auto"/>
                <w:kern w:val="0"/>
                <w:sz w:val="21"/>
                <w:szCs w:val="21"/>
              </w:rPr>
            </w:pPr>
            <w:r>
              <w:rPr>
                <w:color w:val="auto"/>
                <w:sz w:val="21"/>
                <w:szCs w:val="21"/>
              </w:rPr>
              <w:t>3.70E-04</w:t>
            </w:r>
          </w:p>
        </w:tc>
        <w:tc>
          <w:tcPr>
            <w:tcW w:w="360" w:type="pct"/>
            <w:shd w:val="clear" w:color="auto" w:fill="auto"/>
          </w:tcPr>
          <w:p w14:paraId="4C13F6D8">
            <w:pPr>
              <w:widowControl/>
              <w:spacing w:line="240" w:lineRule="auto"/>
              <w:ind w:firstLine="0" w:firstLineChars="0"/>
              <w:jc w:val="center"/>
              <w:rPr>
                <w:color w:val="auto"/>
                <w:kern w:val="0"/>
                <w:sz w:val="21"/>
                <w:szCs w:val="21"/>
              </w:rPr>
            </w:pPr>
            <w:r>
              <w:rPr>
                <w:color w:val="auto"/>
                <w:sz w:val="21"/>
                <w:szCs w:val="21"/>
              </w:rPr>
              <w:t>0.19</w:t>
            </w:r>
          </w:p>
        </w:tc>
      </w:tr>
      <w:tr w14:paraId="5BFC1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35538D06">
            <w:pPr>
              <w:widowControl/>
              <w:spacing w:line="240" w:lineRule="auto"/>
              <w:ind w:firstLine="0" w:firstLineChars="0"/>
              <w:jc w:val="center"/>
              <w:rPr>
                <w:color w:val="auto"/>
                <w:kern w:val="0"/>
                <w:sz w:val="21"/>
                <w:szCs w:val="21"/>
              </w:rPr>
            </w:pPr>
            <w:r>
              <w:rPr>
                <w:color w:val="auto"/>
                <w:sz w:val="21"/>
                <w:szCs w:val="21"/>
              </w:rPr>
              <w:t>2275</w:t>
            </w:r>
          </w:p>
        </w:tc>
        <w:tc>
          <w:tcPr>
            <w:tcW w:w="416" w:type="pct"/>
            <w:shd w:val="clear" w:color="auto" w:fill="auto"/>
          </w:tcPr>
          <w:p w14:paraId="6155F678">
            <w:pPr>
              <w:widowControl/>
              <w:spacing w:line="240" w:lineRule="auto"/>
              <w:ind w:firstLine="0" w:firstLineChars="0"/>
              <w:jc w:val="center"/>
              <w:rPr>
                <w:color w:val="auto"/>
                <w:sz w:val="21"/>
                <w:szCs w:val="21"/>
              </w:rPr>
            </w:pPr>
            <w:r>
              <w:rPr>
                <w:rFonts w:hint="eastAsia"/>
                <w:color w:val="auto"/>
                <w:sz w:val="21"/>
                <w:szCs w:val="21"/>
              </w:rPr>
              <w:t>1.21E-05</w:t>
            </w:r>
          </w:p>
        </w:tc>
        <w:tc>
          <w:tcPr>
            <w:tcW w:w="410" w:type="pct"/>
            <w:shd w:val="clear" w:color="auto" w:fill="auto"/>
          </w:tcPr>
          <w:p w14:paraId="39DD4AE3">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98EB284">
            <w:pPr>
              <w:widowControl/>
              <w:spacing w:line="240" w:lineRule="auto"/>
              <w:ind w:firstLine="0" w:firstLineChars="0"/>
              <w:jc w:val="center"/>
              <w:rPr>
                <w:color w:val="auto"/>
                <w:sz w:val="21"/>
                <w:szCs w:val="21"/>
              </w:rPr>
            </w:pPr>
            <w:r>
              <w:rPr>
                <w:rFonts w:hint="eastAsia"/>
                <w:color w:val="auto"/>
                <w:sz w:val="21"/>
                <w:szCs w:val="21"/>
              </w:rPr>
              <w:t>8.77E-06</w:t>
            </w:r>
          </w:p>
        </w:tc>
        <w:tc>
          <w:tcPr>
            <w:tcW w:w="409" w:type="pct"/>
            <w:shd w:val="clear" w:color="auto" w:fill="auto"/>
          </w:tcPr>
          <w:p w14:paraId="726359C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8790462">
            <w:pPr>
              <w:widowControl/>
              <w:spacing w:line="240" w:lineRule="auto"/>
              <w:ind w:firstLine="0" w:firstLineChars="0"/>
              <w:jc w:val="center"/>
              <w:rPr>
                <w:color w:val="auto"/>
                <w:sz w:val="21"/>
                <w:szCs w:val="21"/>
              </w:rPr>
            </w:pPr>
            <w:r>
              <w:rPr>
                <w:rFonts w:hint="eastAsia"/>
                <w:color w:val="auto"/>
                <w:sz w:val="21"/>
                <w:szCs w:val="21"/>
              </w:rPr>
              <w:t>8.29E-05</w:t>
            </w:r>
          </w:p>
        </w:tc>
        <w:tc>
          <w:tcPr>
            <w:tcW w:w="423" w:type="pct"/>
            <w:shd w:val="clear" w:color="auto" w:fill="auto"/>
          </w:tcPr>
          <w:p w14:paraId="05AA07A2">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6F39822">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2A2038BA">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312D1262">
            <w:pPr>
              <w:widowControl/>
              <w:spacing w:line="240" w:lineRule="auto"/>
              <w:ind w:firstLine="0" w:firstLineChars="0"/>
              <w:jc w:val="center"/>
              <w:rPr>
                <w:color w:val="auto"/>
                <w:kern w:val="0"/>
                <w:sz w:val="21"/>
                <w:szCs w:val="21"/>
              </w:rPr>
            </w:pPr>
            <w:r>
              <w:rPr>
                <w:color w:val="auto"/>
                <w:sz w:val="21"/>
                <w:szCs w:val="21"/>
              </w:rPr>
              <w:t>3.69E-04</w:t>
            </w:r>
          </w:p>
        </w:tc>
        <w:tc>
          <w:tcPr>
            <w:tcW w:w="360" w:type="pct"/>
            <w:shd w:val="clear" w:color="auto" w:fill="auto"/>
          </w:tcPr>
          <w:p w14:paraId="29271923">
            <w:pPr>
              <w:widowControl/>
              <w:spacing w:line="240" w:lineRule="auto"/>
              <w:ind w:firstLine="0" w:firstLineChars="0"/>
              <w:jc w:val="center"/>
              <w:rPr>
                <w:color w:val="auto"/>
                <w:kern w:val="0"/>
                <w:sz w:val="21"/>
                <w:szCs w:val="21"/>
              </w:rPr>
            </w:pPr>
            <w:r>
              <w:rPr>
                <w:color w:val="auto"/>
                <w:sz w:val="21"/>
                <w:szCs w:val="21"/>
              </w:rPr>
              <w:t>0.18</w:t>
            </w:r>
          </w:p>
        </w:tc>
      </w:tr>
      <w:tr w14:paraId="0AC41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7213AD49">
            <w:pPr>
              <w:widowControl/>
              <w:spacing w:line="240" w:lineRule="auto"/>
              <w:ind w:firstLine="0" w:firstLineChars="0"/>
              <w:jc w:val="center"/>
              <w:rPr>
                <w:color w:val="auto"/>
                <w:kern w:val="0"/>
                <w:sz w:val="21"/>
                <w:szCs w:val="21"/>
              </w:rPr>
            </w:pPr>
            <w:r>
              <w:rPr>
                <w:color w:val="auto"/>
                <w:sz w:val="21"/>
                <w:szCs w:val="21"/>
              </w:rPr>
              <w:t>2300</w:t>
            </w:r>
          </w:p>
        </w:tc>
        <w:tc>
          <w:tcPr>
            <w:tcW w:w="416" w:type="pct"/>
            <w:shd w:val="clear" w:color="auto" w:fill="auto"/>
          </w:tcPr>
          <w:p w14:paraId="77EBB437">
            <w:pPr>
              <w:widowControl/>
              <w:spacing w:line="240" w:lineRule="auto"/>
              <w:ind w:firstLine="0" w:firstLineChars="0"/>
              <w:jc w:val="center"/>
              <w:rPr>
                <w:color w:val="auto"/>
                <w:sz w:val="21"/>
                <w:szCs w:val="21"/>
              </w:rPr>
            </w:pPr>
            <w:r>
              <w:rPr>
                <w:rFonts w:hint="eastAsia"/>
                <w:color w:val="auto"/>
                <w:sz w:val="21"/>
                <w:szCs w:val="21"/>
              </w:rPr>
              <w:t>1.20E-05</w:t>
            </w:r>
          </w:p>
        </w:tc>
        <w:tc>
          <w:tcPr>
            <w:tcW w:w="410" w:type="pct"/>
            <w:shd w:val="clear" w:color="auto" w:fill="auto"/>
          </w:tcPr>
          <w:p w14:paraId="286D94F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EF9CD96">
            <w:pPr>
              <w:widowControl/>
              <w:spacing w:line="240" w:lineRule="auto"/>
              <w:ind w:firstLine="0" w:firstLineChars="0"/>
              <w:jc w:val="center"/>
              <w:rPr>
                <w:color w:val="auto"/>
                <w:sz w:val="21"/>
                <w:szCs w:val="21"/>
              </w:rPr>
            </w:pPr>
            <w:r>
              <w:rPr>
                <w:rFonts w:hint="eastAsia"/>
                <w:color w:val="auto"/>
                <w:sz w:val="21"/>
                <w:szCs w:val="21"/>
              </w:rPr>
              <w:t>8.72E-06</w:t>
            </w:r>
          </w:p>
        </w:tc>
        <w:tc>
          <w:tcPr>
            <w:tcW w:w="409" w:type="pct"/>
            <w:shd w:val="clear" w:color="auto" w:fill="auto"/>
          </w:tcPr>
          <w:p w14:paraId="2050A9E4">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19264B9">
            <w:pPr>
              <w:widowControl/>
              <w:spacing w:line="240" w:lineRule="auto"/>
              <w:ind w:firstLine="0" w:firstLineChars="0"/>
              <w:jc w:val="center"/>
              <w:rPr>
                <w:color w:val="auto"/>
                <w:sz w:val="21"/>
                <w:szCs w:val="21"/>
              </w:rPr>
            </w:pPr>
            <w:r>
              <w:rPr>
                <w:rFonts w:hint="eastAsia"/>
                <w:color w:val="auto"/>
                <w:sz w:val="21"/>
                <w:szCs w:val="21"/>
              </w:rPr>
              <w:t>8.25E-05</w:t>
            </w:r>
          </w:p>
        </w:tc>
        <w:tc>
          <w:tcPr>
            <w:tcW w:w="423" w:type="pct"/>
            <w:shd w:val="clear" w:color="auto" w:fill="auto"/>
          </w:tcPr>
          <w:p w14:paraId="782EDF53">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93A765A">
            <w:pPr>
              <w:widowControl/>
              <w:spacing w:line="240" w:lineRule="auto"/>
              <w:ind w:firstLine="0" w:firstLineChars="0"/>
              <w:jc w:val="center"/>
              <w:rPr>
                <w:color w:val="auto"/>
                <w:kern w:val="0"/>
                <w:sz w:val="21"/>
                <w:szCs w:val="21"/>
              </w:rPr>
            </w:pPr>
            <w:r>
              <w:rPr>
                <w:rFonts w:hint="eastAsia"/>
                <w:color w:val="auto"/>
                <w:sz w:val="21"/>
                <w:szCs w:val="21"/>
              </w:rPr>
              <w:t>3.63E-04</w:t>
            </w:r>
          </w:p>
        </w:tc>
        <w:tc>
          <w:tcPr>
            <w:tcW w:w="532" w:type="pct"/>
            <w:shd w:val="clear" w:color="auto" w:fill="auto"/>
          </w:tcPr>
          <w:p w14:paraId="12DB36A3">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ECBB9D1">
            <w:pPr>
              <w:widowControl/>
              <w:spacing w:line="240" w:lineRule="auto"/>
              <w:ind w:firstLine="0" w:firstLineChars="0"/>
              <w:jc w:val="center"/>
              <w:rPr>
                <w:color w:val="auto"/>
                <w:kern w:val="0"/>
                <w:sz w:val="21"/>
                <w:szCs w:val="21"/>
              </w:rPr>
            </w:pPr>
            <w:r>
              <w:rPr>
                <w:color w:val="auto"/>
                <w:sz w:val="21"/>
                <w:szCs w:val="21"/>
              </w:rPr>
              <w:t>3.67E-04</w:t>
            </w:r>
          </w:p>
        </w:tc>
        <w:tc>
          <w:tcPr>
            <w:tcW w:w="360" w:type="pct"/>
            <w:shd w:val="clear" w:color="auto" w:fill="auto"/>
          </w:tcPr>
          <w:p w14:paraId="68A48660">
            <w:pPr>
              <w:widowControl/>
              <w:spacing w:line="240" w:lineRule="auto"/>
              <w:ind w:firstLine="0" w:firstLineChars="0"/>
              <w:jc w:val="center"/>
              <w:rPr>
                <w:color w:val="auto"/>
                <w:kern w:val="0"/>
                <w:sz w:val="21"/>
                <w:szCs w:val="21"/>
              </w:rPr>
            </w:pPr>
            <w:r>
              <w:rPr>
                <w:color w:val="auto"/>
                <w:sz w:val="21"/>
                <w:szCs w:val="21"/>
              </w:rPr>
              <w:t>0.18</w:t>
            </w:r>
          </w:p>
        </w:tc>
      </w:tr>
      <w:tr w14:paraId="192F4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EA7BFC0">
            <w:pPr>
              <w:widowControl/>
              <w:spacing w:line="240" w:lineRule="auto"/>
              <w:ind w:firstLine="0" w:firstLineChars="0"/>
              <w:jc w:val="center"/>
              <w:rPr>
                <w:color w:val="auto"/>
                <w:kern w:val="0"/>
                <w:sz w:val="21"/>
                <w:szCs w:val="21"/>
              </w:rPr>
            </w:pPr>
            <w:r>
              <w:rPr>
                <w:color w:val="auto"/>
                <w:sz w:val="21"/>
                <w:szCs w:val="21"/>
              </w:rPr>
              <w:t>2325</w:t>
            </w:r>
          </w:p>
        </w:tc>
        <w:tc>
          <w:tcPr>
            <w:tcW w:w="416" w:type="pct"/>
            <w:shd w:val="clear" w:color="auto" w:fill="auto"/>
          </w:tcPr>
          <w:p w14:paraId="2473EF1C">
            <w:pPr>
              <w:widowControl/>
              <w:spacing w:line="240" w:lineRule="auto"/>
              <w:ind w:firstLine="0" w:firstLineChars="0"/>
              <w:jc w:val="center"/>
              <w:rPr>
                <w:color w:val="auto"/>
                <w:sz w:val="21"/>
                <w:szCs w:val="21"/>
              </w:rPr>
            </w:pPr>
            <w:r>
              <w:rPr>
                <w:rFonts w:hint="eastAsia"/>
                <w:color w:val="auto"/>
                <w:sz w:val="21"/>
                <w:szCs w:val="21"/>
              </w:rPr>
              <w:t>1.20E-05</w:t>
            </w:r>
          </w:p>
        </w:tc>
        <w:tc>
          <w:tcPr>
            <w:tcW w:w="410" w:type="pct"/>
            <w:shd w:val="clear" w:color="auto" w:fill="auto"/>
          </w:tcPr>
          <w:p w14:paraId="0EA8CE2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CF984DB">
            <w:pPr>
              <w:widowControl/>
              <w:spacing w:line="240" w:lineRule="auto"/>
              <w:ind w:firstLine="0" w:firstLineChars="0"/>
              <w:jc w:val="center"/>
              <w:rPr>
                <w:color w:val="auto"/>
                <w:sz w:val="21"/>
                <w:szCs w:val="21"/>
              </w:rPr>
            </w:pPr>
            <w:r>
              <w:rPr>
                <w:rFonts w:hint="eastAsia"/>
                <w:color w:val="auto"/>
                <w:sz w:val="21"/>
                <w:szCs w:val="21"/>
              </w:rPr>
              <w:t>8.68E-06</w:t>
            </w:r>
          </w:p>
        </w:tc>
        <w:tc>
          <w:tcPr>
            <w:tcW w:w="409" w:type="pct"/>
            <w:shd w:val="clear" w:color="auto" w:fill="auto"/>
          </w:tcPr>
          <w:p w14:paraId="0B6ACBD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B1A710A">
            <w:pPr>
              <w:widowControl/>
              <w:spacing w:line="240" w:lineRule="auto"/>
              <w:ind w:firstLine="0" w:firstLineChars="0"/>
              <w:jc w:val="center"/>
              <w:rPr>
                <w:color w:val="auto"/>
                <w:sz w:val="21"/>
                <w:szCs w:val="21"/>
              </w:rPr>
            </w:pPr>
            <w:r>
              <w:rPr>
                <w:rFonts w:hint="eastAsia"/>
                <w:color w:val="auto"/>
                <w:sz w:val="21"/>
                <w:szCs w:val="21"/>
              </w:rPr>
              <w:t>8.21E-05</w:t>
            </w:r>
          </w:p>
        </w:tc>
        <w:tc>
          <w:tcPr>
            <w:tcW w:w="423" w:type="pct"/>
            <w:shd w:val="clear" w:color="auto" w:fill="auto"/>
          </w:tcPr>
          <w:p w14:paraId="606F4B1F">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28A1D0D6">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62D55CC9">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2E5569F5">
            <w:pPr>
              <w:widowControl/>
              <w:spacing w:line="240" w:lineRule="auto"/>
              <w:ind w:firstLine="0" w:firstLineChars="0"/>
              <w:jc w:val="center"/>
              <w:rPr>
                <w:color w:val="auto"/>
                <w:kern w:val="0"/>
                <w:sz w:val="21"/>
                <w:szCs w:val="21"/>
              </w:rPr>
            </w:pPr>
            <w:r>
              <w:rPr>
                <w:color w:val="auto"/>
                <w:sz w:val="21"/>
                <w:szCs w:val="21"/>
              </w:rPr>
              <w:t>3.65E-04</w:t>
            </w:r>
          </w:p>
        </w:tc>
        <w:tc>
          <w:tcPr>
            <w:tcW w:w="360" w:type="pct"/>
            <w:shd w:val="clear" w:color="auto" w:fill="auto"/>
          </w:tcPr>
          <w:p w14:paraId="1DCE94CD">
            <w:pPr>
              <w:widowControl/>
              <w:spacing w:line="240" w:lineRule="auto"/>
              <w:ind w:firstLine="0" w:firstLineChars="0"/>
              <w:jc w:val="center"/>
              <w:rPr>
                <w:color w:val="auto"/>
                <w:kern w:val="0"/>
                <w:sz w:val="21"/>
                <w:szCs w:val="21"/>
              </w:rPr>
            </w:pPr>
            <w:r>
              <w:rPr>
                <w:color w:val="auto"/>
                <w:sz w:val="21"/>
                <w:szCs w:val="21"/>
              </w:rPr>
              <w:t>0.18</w:t>
            </w:r>
          </w:p>
        </w:tc>
      </w:tr>
      <w:tr w14:paraId="46BA2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463D61AF">
            <w:pPr>
              <w:widowControl/>
              <w:spacing w:line="240" w:lineRule="auto"/>
              <w:ind w:firstLine="0" w:firstLineChars="0"/>
              <w:jc w:val="center"/>
              <w:rPr>
                <w:color w:val="auto"/>
                <w:kern w:val="0"/>
                <w:sz w:val="21"/>
                <w:szCs w:val="21"/>
              </w:rPr>
            </w:pPr>
            <w:r>
              <w:rPr>
                <w:color w:val="auto"/>
                <w:sz w:val="21"/>
                <w:szCs w:val="21"/>
              </w:rPr>
              <w:t>2350</w:t>
            </w:r>
          </w:p>
        </w:tc>
        <w:tc>
          <w:tcPr>
            <w:tcW w:w="416" w:type="pct"/>
            <w:shd w:val="clear" w:color="auto" w:fill="auto"/>
          </w:tcPr>
          <w:p w14:paraId="3BD95F66">
            <w:pPr>
              <w:widowControl/>
              <w:spacing w:line="240" w:lineRule="auto"/>
              <w:ind w:firstLine="0" w:firstLineChars="0"/>
              <w:jc w:val="center"/>
              <w:rPr>
                <w:color w:val="auto"/>
                <w:sz w:val="21"/>
                <w:szCs w:val="21"/>
              </w:rPr>
            </w:pPr>
            <w:r>
              <w:rPr>
                <w:rFonts w:hint="eastAsia"/>
                <w:color w:val="auto"/>
                <w:sz w:val="21"/>
                <w:szCs w:val="21"/>
              </w:rPr>
              <w:t>1.19E-05</w:t>
            </w:r>
          </w:p>
        </w:tc>
        <w:tc>
          <w:tcPr>
            <w:tcW w:w="410" w:type="pct"/>
            <w:shd w:val="clear" w:color="auto" w:fill="auto"/>
          </w:tcPr>
          <w:p w14:paraId="1D2DAA51">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BEBAC3B">
            <w:pPr>
              <w:widowControl/>
              <w:spacing w:line="240" w:lineRule="auto"/>
              <w:ind w:firstLine="0" w:firstLineChars="0"/>
              <w:jc w:val="center"/>
              <w:rPr>
                <w:color w:val="auto"/>
                <w:sz w:val="21"/>
                <w:szCs w:val="21"/>
              </w:rPr>
            </w:pPr>
            <w:r>
              <w:rPr>
                <w:rFonts w:hint="eastAsia"/>
                <w:color w:val="auto"/>
                <w:sz w:val="21"/>
                <w:szCs w:val="21"/>
              </w:rPr>
              <w:t>8.63E-06</w:t>
            </w:r>
          </w:p>
        </w:tc>
        <w:tc>
          <w:tcPr>
            <w:tcW w:w="409" w:type="pct"/>
            <w:shd w:val="clear" w:color="auto" w:fill="auto"/>
          </w:tcPr>
          <w:p w14:paraId="1B3B463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4C01DD09">
            <w:pPr>
              <w:widowControl/>
              <w:spacing w:line="240" w:lineRule="auto"/>
              <w:ind w:firstLine="0" w:firstLineChars="0"/>
              <w:jc w:val="center"/>
              <w:rPr>
                <w:color w:val="auto"/>
                <w:sz w:val="21"/>
                <w:szCs w:val="21"/>
              </w:rPr>
            </w:pPr>
            <w:r>
              <w:rPr>
                <w:rFonts w:hint="eastAsia"/>
                <w:color w:val="auto"/>
                <w:sz w:val="21"/>
                <w:szCs w:val="21"/>
              </w:rPr>
              <w:t>8.17E-05</w:t>
            </w:r>
          </w:p>
        </w:tc>
        <w:tc>
          <w:tcPr>
            <w:tcW w:w="423" w:type="pct"/>
            <w:shd w:val="clear" w:color="auto" w:fill="auto"/>
          </w:tcPr>
          <w:p w14:paraId="7E89846C">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7CAA217C">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25D394CC">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41002E9A">
            <w:pPr>
              <w:widowControl/>
              <w:spacing w:line="240" w:lineRule="auto"/>
              <w:ind w:firstLine="0" w:firstLineChars="0"/>
              <w:jc w:val="center"/>
              <w:rPr>
                <w:color w:val="auto"/>
                <w:kern w:val="0"/>
                <w:sz w:val="21"/>
                <w:szCs w:val="21"/>
              </w:rPr>
            </w:pPr>
            <w:r>
              <w:rPr>
                <w:color w:val="auto"/>
                <w:sz w:val="21"/>
                <w:szCs w:val="21"/>
              </w:rPr>
              <w:t>3.63E-04</w:t>
            </w:r>
          </w:p>
        </w:tc>
        <w:tc>
          <w:tcPr>
            <w:tcW w:w="360" w:type="pct"/>
            <w:shd w:val="clear" w:color="auto" w:fill="auto"/>
          </w:tcPr>
          <w:p w14:paraId="3F089147">
            <w:pPr>
              <w:widowControl/>
              <w:spacing w:line="240" w:lineRule="auto"/>
              <w:ind w:firstLine="0" w:firstLineChars="0"/>
              <w:jc w:val="center"/>
              <w:rPr>
                <w:color w:val="auto"/>
                <w:kern w:val="0"/>
                <w:sz w:val="21"/>
                <w:szCs w:val="21"/>
              </w:rPr>
            </w:pPr>
            <w:r>
              <w:rPr>
                <w:color w:val="auto"/>
                <w:sz w:val="21"/>
                <w:szCs w:val="21"/>
              </w:rPr>
              <w:t>0.18</w:t>
            </w:r>
          </w:p>
        </w:tc>
      </w:tr>
      <w:tr w14:paraId="4E183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6E8F5FB2">
            <w:pPr>
              <w:widowControl/>
              <w:spacing w:line="240" w:lineRule="auto"/>
              <w:ind w:firstLine="0" w:firstLineChars="0"/>
              <w:jc w:val="center"/>
              <w:rPr>
                <w:color w:val="auto"/>
                <w:kern w:val="0"/>
                <w:sz w:val="21"/>
                <w:szCs w:val="21"/>
              </w:rPr>
            </w:pPr>
            <w:r>
              <w:rPr>
                <w:color w:val="auto"/>
                <w:sz w:val="21"/>
                <w:szCs w:val="21"/>
              </w:rPr>
              <w:t>2375</w:t>
            </w:r>
          </w:p>
        </w:tc>
        <w:tc>
          <w:tcPr>
            <w:tcW w:w="416" w:type="pct"/>
            <w:shd w:val="clear" w:color="auto" w:fill="auto"/>
          </w:tcPr>
          <w:p w14:paraId="0D571472">
            <w:pPr>
              <w:widowControl/>
              <w:spacing w:line="240" w:lineRule="auto"/>
              <w:ind w:firstLine="0" w:firstLineChars="0"/>
              <w:jc w:val="center"/>
              <w:rPr>
                <w:color w:val="auto"/>
                <w:sz w:val="21"/>
                <w:szCs w:val="21"/>
              </w:rPr>
            </w:pPr>
            <w:r>
              <w:rPr>
                <w:rFonts w:hint="eastAsia"/>
                <w:color w:val="auto"/>
                <w:sz w:val="21"/>
                <w:szCs w:val="21"/>
              </w:rPr>
              <w:t>1.18E-05</w:t>
            </w:r>
          </w:p>
        </w:tc>
        <w:tc>
          <w:tcPr>
            <w:tcW w:w="410" w:type="pct"/>
            <w:shd w:val="clear" w:color="auto" w:fill="auto"/>
          </w:tcPr>
          <w:p w14:paraId="60B818BA">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11998412">
            <w:pPr>
              <w:widowControl/>
              <w:spacing w:line="240" w:lineRule="auto"/>
              <w:ind w:firstLine="0" w:firstLineChars="0"/>
              <w:jc w:val="center"/>
              <w:rPr>
                <w:color w:val="auto"/>
                <w:sz w:val="21"/>
                <w:szCs w:val="21"/>
              </w:rPr>
            </w:pPr>
            <w:r>
              <w:rPr>
                <w:rFonts w:hint="eastAsia"/>
                <w:color w:val="auto"/>
                <w:sz w:val="21"/>
                <w:szCs w:val="21"/>
              </w:rPr>
              <w:t>8.59E-06</w:t>
            </w:r>
          </w:p>
        </w:tc>
        <w:tc>
          <w:tcPr>
            <w:tcW w:w="409" w:type="pct"/>
            <w:shd w:val="clear" w:color="auto" w:fill="auto"/>
          </w:tcPr>
          <w:p w14:paraId="496C5A9D">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CDD1C17">
            <w:pPr>
              <w:widowControl/>
              <w:spacing w:line="240" w:lineRule="auto"/>
              <w:ind w:firstLine="0" w:firstLineChars="0"/>
              <w:jc w:val="center"/>
              <w:rPr>
                <w:color w:val="auto"/>
                <w:sz w:val="21"/>
                <w:szCs w:val="21"/>
              </w:rPr>
            </w:pPr>
            <w:r>
              <w:rPr>
                <w:rFonts w:hint="eastAsia"/>
                <w:color w:val="auto"/>
                <w:sz w:val="21"/>
                <w:szCs w:val="21"/>
              </w:rPr>
              <w:t>8.13E-05</w:t>
            </w:r>
          </w:p>
        </w:tc>
        <w:tc>
          <w:tcPr>
            <w:tcW w:w="423" w:type="pct"/>
            <w:shd w:val="clear" w:color="auto" w:fill="auto"/>
          </w:tcPr>
          <w:p w14:paraId="298B7D24">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74C9F4C">
            <w:pPr>
              <w:widowControl/>
              <w:spacing w:line="240" w:lineRule="auto"/>
              <w:ind w:firstLine="0" w:firstLineChars="0"/>
              <w:jc w:val="center"/>
              <w:rPr>
                <w:color w:val="auto"/>
                <w:kern w:val="0"/>
                <w:sz w:val="21"/>
                <w:szCs w:val="21"/>
              </w:rPr>
            </w:pPr>
            <w:r>
              <w:rPr>
                <w:rFonts w:hint="eastAsia"/>
                <w:color w:val="auto"/>
                <w:sz w:val="21"/>
                <w:szCs w:val="21"/>
              </w:rPr>
              <w:t>3.62E-04</w:t>
            </w:r>
          </w:p>
        </w:tc>
        <w:tc>
          <w:tcPr>
            <w:tcW w:w="532" w:type="pct"/>
            <w:shd w:val="clear" w:color="auto" w:fill="auto"/>
          </w:tcPr>
          <w:p w14:paraId="018822EB">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5EB051F5">
            <w:pPr>
              <w:widowControl/>
              <w:spacing w:line="240" w:lineRule="auto"/>
              <w:ind w:firstLine="0" w:firstLineChars="0"/>
              <w:jc w:val="center"/>
              <w:rPr>
                <w:color w:val="auto"/>
                <w:kern w:val="0"/>
                <w:sz w:val="21"/>
                <w:szCs w:val="21"/>
              </w:rPr>
            </w:pPr>
            <w:r>
              <w:rPr>
                <w:color w:val="auto"/>
                <w:sz w:val="21"/>
                <w:szCs w:val="21"/>
              </w:rPr>
              <w:t>3.61E-04</w:t>
            </w:r>
          </w:p>
        </w:tc>
        <w:tc>
          <w:tcPr>
            <w:tcW w:w="360" w:type="pct"/>
            <w:shd w:val="clear" w:color="auto" w:fill="auto"/>
          </w:tcPr>
          <w:p w14:paraId="2D4513E0">
            <w:pPr>
              <w:widowControl/>
              <w:spacing w:line="240" w:lineRule="auto"/>
              <w:ind w:firstLine="0" w:firstLineChars="0"/>
              <w:jc w:val="center"/>
              <w:rPr>
                <w:color w:val="auto"/>
                <w:kern w:val="0"/>
                <w:sz w:val="21"/>
                <w:szCs w:val="21"/>
              </w:rPr>
            </w:pPr>
            <w:r>
              <w:rPr>
                <w:color w:val="auto"/>
                <w:sz w:val="21"/>
                <w:szCs w:val="21"/>
              </w:rPr>
              <w:t>0.18</w:t>
            </w:r>
          </w:p>
        </w:tc>
      </w:tr>
      <w:tr w14:paraId="4AE6F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76" w:type="pct"/>
            <w:shd w:val="clear" w:color="auto" w:fill="auto"/>
          </w:tcPr>
          <w:p w14:paraId="1325BB8A">
            <w:pPr>
              <w:widowControl/>
              <w:spacing w:line="240" w:lineRule="auto"/>
              <w:ind w:firstLine="0" w:firstLineChars="0"/>
              <w:jc w:val="center"/>
              <w:rPr>
                <w:color w:val="auto"/>
                <w:kern w:val="0"/>
                <w:sz w:val="21"/>
                <w:szCs w:val="21"/>
              </w:rPr>
            </w:pPr>
            <w:r>
              <w:rPr>
                <w:color w:val="auto"/>
                <w:sz w:val="21"/>
                <w:szCs w:val="21"/>
              </w:rPr>
              <w:t>2400</w:t>
            </w:r>
          </w:p>
        </w:tc>
        <w:tc>
          <w:tcPr>
            <w:tcW w:w="416" w:type="pct"/>
            <w:shd w:val="clear" w:color="auto" w:fill="auto"/>
          </w:tcPr>
          <w:p w14:paraId="299855B5">
            <w:pPr>
              <w:widowControl/>
              <w:spacing w:line="240" w:lineRule="auto"/>
              <w:ind w:firstLine="0" w:firstLineChars="0"/>
              <w:jc w:val="center"/>
              <w:rPr>
                <w:color w:val="auto"/>
                <w:sz w:val="21"/>
                <w:szCs w:val="21"/>
              </w:rPr>
            </w:pPr>
            <w:r>
              <w:rPr>
                <w:rFonts w:hint="eastAsia"/>
                <w:color w:val="auto"/>
                <w:sz w:val="21"/>
                <w:szCs w:val="21"/>
              </w:rPr>
              <w:t>1.18E-05</w:t>
            </w:r>
          </w:p>
        </w:tc>
        <w:tc>
          <w:tcPr>
            <w:tcW w:w="410" w:type="pct"/>
            <w:shd w:val="clear" w:color="auto" w:fill="auto"/>
          </w:tcPr>
          <w:p w14:paraId="541CB98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D0723EC">
            <w:pPr>
              <w:widowControl/>
              <w:spacing w:line="240" w:lineRule="auto"/>
              <w:ind w:firstLine="0" w:firstLineChars="0"/>
              <w:jc w:val="center"/>
              <w:rPr>
                <w:color w:val="auto"/>
                <w:sz w:val="21"/>
                <w:szCs w:val="21"/>
              </w:rPr>
            </w:pPr>
            <w:r>
              <w:rPr>
                <w:rFonts w:hint="eastAsia"/>
                <w:color w:val="auto"/>
                <w:sz w:val="21"/>
                <w:szCs w:val="21"/>
              </w:rPr>
              <w:t>8.55E-06</w:t>
            </w:r>
          </w:p>
        </w:tc>
        <w:tc>
          <w:tcPr>
            <w:tcW w:w="409" w:type="pct"/>
            <w:shd w:val="clear" w:color="auto" w:fill="auto"/>
          </w:tcPr>
          <w:p w14:paraId="45F9FC6F">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2561727">
            <w:pPr>
              <w:widowControl/>
              <w:spacing w:line="240" w:lineRule="auto"/>
              <w:ind w:firstLine="0" w:firstLineChars="0"/>
              <w:jc w:val="center"/>
              <w:rPr>
                <w:color w:val="auto"/>
                <w:sz w:val="21"/>
                <w:szCs w:val="21"/>
              </w:rPr>
            </w:pPr>
            <w:r>
              <w:rPr>
                <w:rFonts w:hint="eastAsia"/>
                <w:color w:val="auto"/>
                <w:sz w:val="21"/>
                <w:szCs w:val="21"/>
              </w:rPr>
              <w:t>8.08E-05</w:t>
            </w:r>
          </w:p>
        </w:tc>
        <w:tc>
          <w:tcPr>
            <w:tcW w:w="423" w:type="pct"/>
            <w:shd w:val="clear" w:color="auto" w:fill="auto"/>
          </w:tcPr>
          <w:p w14:paraId="5BC2EB10">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FC0B1FB">
            <w:pPr>
              <w:widowControl/>
              <w:spacing w:line="240" w:lineRule="auto"/>
              <w:ind w:firstLine="0" w:firstLineChars="0"/>
              <w:jc w:val="center"/>
              <w:rPr>
                <w:color w:val="auto"/>
                <w:kern w:val="0"/>
                <w:sz w:val="21"/>
                <w:szCs w:val="21"/>
              </w:rPr>
            </w:pPr>
            <w:r>
              <w:rPr>
                <w:rFonts w:hint="eastAsia"/>
                <w:color w:val="auto"/>
                <w:sz w:val="21"/>
                <w:szCs w:val="21"/>
              </w:rPr>
              <w:t>3.61E-04</w:t>
            </w:r>
          </w:p>
        </w:tc>
        <w:tc>
          <w:tcPr>
            <w:tcW w:w="532" w:type="pct"/>
            <w:shd w:val="clear" w:color="auto" w:fill="auto"/>
          </w:tcPr>
          <w:p w14:paraId="7E78DCF8">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DC220C8">
            <w:pPr>
              <w:widowControl/>
              <w:spacing w:line="240" w:lineRule="auto"/>
              <w:ind w:firstLine="0" w:firstLineChars="0"/>
              <w:jc w:val="center"/>
              <w:rPr>
                <w:color w:val="auto"/>
                <w:kern w:val="0"/>
                <w:sz w:val="21"/>
                <w:szCs w:val="21"/>
              </w:rPr>
            </w:pPr>
            <w:r>
              <w:rPr>
                <w:color w:val="auto"/>
                <w:sz w:val="21"/>
                <w:szCs w:val="21"/>
              </w:rPr>
              <w:t>3.59E-04</w:t>
            </w:r>
          </w:p>
        </w:tc>
        <w:tc>
          <w:tcPr>
            <w:tcW w:w="360" w:type="pct"/>
            <w:shd w:val="clear" w:color="auto" w:fill="auto"/>
          </w:tcPr>
          <w:p w14:paraId="1B70A141">
            <w:pPr>
              <w:widowControl/>
              <w:spacing w:line="240" w:lineRule="auto"/>
              <w:ind w:firstLine="0" w:firstLineChars="0"/>
              <w:jc w:val="center"/>
              <w:rPr>
                <w:color w:val="auto"/>
                <w:kern w:val="0"/>
                <w:sz w:val="21"/>
                <w:szCs w:val="21"/>
              </w:rPr>
            </w:pPr>
            <w:r>
              <w:rPr>
                <w:color w:val="auto"/>
                <w:sz w:val="21"/>
                <w:szCs w:val="21"/>
              </w:rPr>
              <w:t>0.18</w:t>
            </w:r>
          </w:p>
        </w:tc>
      </w:tr>
      <w:tr w14:paraId="4C348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7" w:hRule="atLeast"/>
          <w:jc w:val="center"/>
        </w:trPr>
        <w:tc>
          <w:tcPr>
            <w:tcW w:w="376" w:type="pct"/>
            <w:shd w:val="clear" w:color="auto" w:fill="auto"/>
          </w:tcPr>
          <w:p w14:paraId="190C313C">
            <w:pPr>
              <w:widowControl/>
              <w:spacing w:line="240" w:lineRule="auto"/>
              <w:ind w:firstLine="0" w:firstLineChars="0"/>
              <w:jc w:val="center"/>
              <w:rPr>
                <w:color w:val="auto"/>
                <w:kern w:val="0"/>
                <w:sz w:val="21"/>
                <w:szCs w:val="21"/>
              </w:rPr>
            </w:pPr>
            <w:r>
              <w:rPr>
                <w:color w:val="auto"/>
                <w:sz w:val="21"/>
                <w:szCs w:val="21"/>
              </w:rPr>
              <w:t>2425</w:t>
            </w:r>
          </w:p>
        </w:tc>
        <w:tc>
          <w:tcPr>
            <w:tcW w:w="416" w:type="pct"/>
            <w:shd w:val="clear" w:color="auto" w:fill="auto"/>
          </w:tcPr>
          <w:p w14:paraId="03C99880">
            <w:pPr>
              <w:widowControl/>
              <w:spacing w:line="240" w:lineRule="auto"/>
              <w:ind w:firstLine="0" w:firstLineChars="0"/>
              <w:jc w:val="center"/>
              <w:rPr>
                <w:color w:val="auto"/>
                <w:sz w:val="21"/>
                <w:szCs w:val="21"/>
              </w:rPr>
            </w:pPr>
            <w:r>
              <w:rPr>
                <w:rFonts w:hint="eastAsia"/>
                <w:color w:val="auto"/>
                <w:sz w:val="21"/>
                <w:szCs w:val="21"/>
              </w:rPr>
              <w:t>1.17E-05</w:t>
            </w:r>
          </w:p>
        </w:tc>
        <w:tc>
          <w:tcPr>
            <w:tcW w:w="410" w:type="pct"/>
            <w:shd w:val="clear" w:color="auto" w:fill="auto"/>
          </w:tcPr>
          <w:p w14:paraId="67EC27D6">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9C12591">
            <w:pPr>
              <w:widowControl/>
              <w:spacing w:line="240" w:lineRule="auto"/>
              <w:ind w:firstLine="0" w:firstLineChars="0"/>
              <w:jc w:val="center"/>
              <w:rPr>
                <w:color w:val="auto"/>
                <w:sz w:val="21"/>
                <w:szCs w:val="21"/>
              </w:rPr>
            </w:pPr>
            <w:r>
              <w:rPr>
                <w:rFonts w:hint="eastAsia"/>
                <w:color w:val="auto"/>
                <w:sz w:val="21"/>
                <w:szCs w:val="21"/>
              </w:rPr>
              <w:t>8.50E-06</w:t>
            </w:r>
          </w:p>
        </w:tc>
        <w:tc>
          <w:tcPr>
            <w:tcW w:w="409" w:type="pct"/>
            <w:shd w:val="clear" w:color="auto" w:fill="auto"/>
          </w:tcPr>
          <w:p w14:paraId="31CB09F0">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54902FE">
            <w:pPr>
              <w:widowControl/>
              <w:spacing w:line="240" w:lineRule="auto"/>
              <w:ind w:firstLine="0" w:firstLineChars="0"/>
              <w:jc w:val="center"/>
              <w:rPr>
                <w:color w:val="auto"/>
                <w:sz w:val="21"/>
                <w:szCs w:val="21"/>
              </w:rPr>
            </w:pPr>
            <w:r>
              <w:rPr>
                <w:rFonts w:hint="eastAsia"/>
                <w:color w:val="auto"/>
                <w:sz w:val="21"/>
                <w:szCs w:val="21"/>
              </w:rPr>
              <w:t>8.04E-05</w:t>
            </w:r>
          </w:p>
        </w:tc>
        <w:tc>
          <w:tcPr>
            <w:tcW w:w="423" w:type="pct"/>
            <w:shd w:val="clear" w:color="auto" w:fill="auto"/>
          </w:tcPr>
          <w:p w14:paraId="6D04BD10">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69D5F324">
            <w:pPr>
              <w:widowControl/>
              <w:spacing w:line="240" w:lineRule="auto"/>
              <w:ind w:firstLine="0" w:firstLineChars="0"/>
              <w:jc w:val="center"/>
              <w:rPr>
                <w:color w:val="auto"/>
                <w:kern w:val="0"/>
                <w:sz w:val="21"/>
                <w:szCs w:val="21"/>
              </w:rPr>
            </w:pPr>
            <w:r>
              <w:rPr>
                <w:rFonts w:hint="eastAsia"/>
                <w:color w:val="auto"/>
                <w:sz w:val="21"/>
                <w:szCs w:val="21"/>
              </w:rPr>
              <w:t>3.61E-04</w:t>
            </w:r>
          </w:p>
        </w:tc>
        <w:tc>
          <w:tcPr>
            <w:tcW w:w="532" w:type="pct"/>
            <w:shd w:val="clear" w:color="auto" w:fill="auto"/>
          </w:tcPr>
          <w:p w14:paraId="4FDD8E4F">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01A94B90">
            <w:pPr>
              <w:widowControl/>
              <w:spacing w:line="240" w:lineRule="auto"/>
              <w:ind w:firstLine="0" w:firstLineChars="0"/>
              <w:jc w:val="center"/>
              <w:rPr>
                <w:color w:val="auto"/>
                <w:kern w:val="0"/>
                <w:sz w:val="21"/>
                <w:szCs w:val="21"/>
              </w:rPr>
            </w:pPr>
            <w:r>
              <w:rPr>
                <w:color w:val="auto"/>
                <w:sz w:val="21"/>
                <w:szCs w:val="21"/>
              </w:rPr>
              <w:t>3.57E-04</w:t>
            </w:r>
          </w:p>
        </w:tc>
        <w:tc>
          <w:tcPr>
            <w:tcW w:w="360" w:type="pct"/>
            <w:shd w:val="clear" w:color="auto" w:fill="auto"/>
          </w:tcPr>
          <w:p w14:paraId="56C48524">
            <w:pPr>
              <w:widowControl/>
              <w:spacing w:line="240" w:lineRule="auto"/>
              <w:ind w:firstLine="0" w:firstLineChars="0"/>
              <w:jc w:val="center"/>
              <w:rPr>
                <w:color w:val="auto"/>
                <w:kern w:val="0"/>
                <w:sz w:val="21"/>
                <w:szCs w:val="21"/>
              </w:rPr>
            </w:pPr>
            <w:r>
              <w:rPr>
                <w:color w:val="auto"/>
                <w:sz w:val="21"/>
                <w:szCs w:val="21"/>
              </w:rPr>
              <w:t>0.18</w:t>
            </w:r>
          </w:p>
        </w:tc>
      </w:tr>
      <w:tr w14:paraId="6C536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3" w:hRule="atLeast"/>
          <w:jc w:val="center"/>
        </w:trPr>
        <w:tc>
          <w:tcPr>
            <w:tcW w:w="376" w:type="pct"/>
            <w:shd w:val="clear" w:color="auto" w:fill="auto"/>
          </w:tcPr>
          <w:p w14:paraId="164E7559">
            <w:pPr>
              <w:widowControl/>
              <w:spacing w:line="240" w:lineRule="auto"/>
              <w:ind w:firstLine="0" w:firstLineChars="0"/>
              <w:jc w:val="center"/>
              <w:rPr>
                <w:color w:val="auto"/>
                <w:kern w:val="0"/>
                <w:sz w:val="21"/>
                <w:szCs w:val="21"/>
              </w:rPr>
            </w:pPr>
            <w:r>
              <w:rPr>
                <w:color w:val="auto"/>
                <w:sz w:val="21"/>
                <w:szCs w:val="21"/>
              </w:rPr>
              <w:t>2450</w:t>
            </w:r>
          </w:p>
        </w:tc>
        <w:tc>
          <w:tcPr>
            <w:tcW w:w="416" w:type="pct"/>
            <w:shd w:val="clear" w:color="auto" w:fill="auto"/>
          </w:tcPr>
          <w:p w14:paraId="5AF8954C">
            <w:pPr>
              <w:widowControl/>
              <w:spacing w:line="240" w:lineRule="auto"/>
              <w:ind w:firstLine="0" w:firstLineChars="0"/>
              <w:jc w:val="center"/>
              <w:rPr>
                <w:color w:val="auto"/>
                <w:sz w:val="21"/>
                <w:szCs w:val="21"/>
              </w:rPr>
            </w:pPr>
            <w:r>
              <w:rPr>
                <w:rFonts w:hint="eastAsia"/>
                <w:color w:val="auto"/>
                <w:sz w:val="21"/>
                <w:szCs w:val="21"/>
              </w:rPr>
              <w:t>1.17E-05</w:t>
            </w:r>
          </w:p>
        </w:tc>
        <w:tc>
          <w:tcPr>
            <w:tcW w:w="410" w:type="pct"/>
            <w:shd w:val="clear" w:color="auto" w:fill="auto"/>
          </w:tcPr>
          <w:p w14:paraId="0D8466C5">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B674518">
            <w:pPr>
              <w:widowControl/>
              <w:spacing w:line="240" w:lineRule="auto"/>
              <w:ind w:firstLine="0" w:firstLineChars="0"/>
              <w:jc w:val="center"/>
              <w:rPr>
                <w:color w:val="auto"/>
                <w:sz w:val="21"/>
                <w:szCs w:val="21"/>
              </w:rPr>
            </w:pPr>
            <w:r>
              <w:rPr>
                <w:rFonts w:hint="eastAsia"/>
                <w:color w:val="auto"/>
                <w:sz w:val="21"/>
                <w:szCs w:val="21"/>
              </w:rPr>
              <w:t>8.45E-06</w:t>
            </w:r>
          </w:p>
        </w:tc>
        <w:tc>
          <w:tcPr>
            <w:tcW w:w="409" w:type="pct"/>
            <w:shd w:val="clear" w:color="auto" w:fill="auto"/>
          </w:tcPr>
          <w:p w14:paraId="33D28608">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2E6CB25B">
            <w:pPr>
              <w:widowControl/>
              <w:spacing w:line="240" w:lineRule="auto"/>
              <w:ind w:firstLine="0" w:firstLineChars="0"/>
              <w:jc w:val="center"/>
              <w:rPr>
                <w:color w:val="auto"/>
                <w:sz w:val="21"/>
                <w:szCs w:val="21"/>
              </w:rPr>
            </w:pPr>
            <w:r>
              <w:rPr>
                <w:rFonts w:hint="eastAsia"/>
                <w:color w:val="auto"/>
                <w:sz w:val="21"/>
                <w:szCs w:val="21"/>
              </w:rPr>
              <w:t>8.00E-05</w:t>
            </w:r>
          </w:p>
        </w:tc>
        <w:tc>
          <w:tcPr>
            <w:tcW w:w="423" w:type="pct"/>
            <w:shd w:val="clear" w:color="auto" w:fill="auto"/>
          </w:tcPr>
          <w:p w14:paraId="1B03118C">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5FC4DC15">
            <w:pPr>
              <w:widowControl/>
              <w:spacing w:line="240" w:lineRule="auto"/>
              <w:ind w:firstLine="0" w:firstLineChars="0"/>
              <w:jc w:val="center"/>
              <w:rPr>
                <w:color w:val="auto"/>
                <w:kern w:val="0"/>
                <w:sz w:val="21"/>
                <w:szCs w:val="21"/>
              </w:rPr>
            </w:pPr>
            <w:r>
              <w:rPr>
                <w:rFonts w:hint="eastAsia"/>
                <w:color w:val="auto"/>
                <w:sz w:val="21"/>
                <w:szCs w:val="21"/>
              </w:rPr>
              <w:t>3.60E-04</w:t>
            </w:r>
          </w:p>
        </w:tc>
        <w:tc>
          <w:tcPr>
            <w:tcW w:w="532" w:type="pct"/>
            <w:shd w:val="clear" w:color="auto" w:fill="auto"/>
          </w:tcPr>
          <w:p w14:paraId="1E3C02A0">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F3D644D">
            <w:pPr>
              <w:widowControl/>
              <w:spacing w:line="240" w:lineRule="auto"/>
              <w:ind w:firstLine="0" w:firstLineChars="0"/>
              <w:jc w:val="center"/>
              <w:rPr>
                <w:color w:val="auto"/>
                <w:kern w:val="0"/>
                <w:sz w:val="21"/>
                <w:szCs w:val="21"/>
              </w:rPr>
            </w:pPr>
            <w:r>
              <w:rPr>
                <w:color w:val="auto"/>
                <w:sz w:val="21"/>
                <w:szCs w:val="21"/>
              </w:rPr>
              <w:t>3.55E-04</w:t>
            </w:r>
          </w:p>
        </w:tc>
        <w:tc>
          <w:tcPr>
            <w:tcW w:w="360" w:type="pct"/>
            <w:shd w:val="clear" w:color="auto" w:fill="auto"/>
          </w:tcPr>
          <w:p w14:paraId="713DD64E">
            <w:pPr>
              <w:widowControl/>
              <w:spacing w:line="240" w:lineRule="auto"/>
              <w:ind w:firstLine="0" w:firstLineChars="0"/>
              <w:jc w:val="center"/>
              <w:rPr>
                <w:color w:val="auto"/>
                <w:kern w:val="0"/>
                <w:sz w:val="21"/>
                <w:szCs w:val="21"/>
              </w:rPr>
            </w:pPr>
            <w:r>
              <w:rPr>
                <w:color w:val="auto"/>
                <w:sz w:val="21"/>
                <w:szCs w:val="21"/>
              </w:rPr>
              <w:t>0.18</w:t>
            </w:r>
          </w:p>
        </w:tc>
      </w:tr>
      <w:tr w14:paraId="2ED12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376" w:type="pct"/>
            <w:shd w:val="clear" w:color="auto" w:fill="auto"/>
          </w:tcPr>
          <w:p w14:paraId="56268880">
            <w:pPr>
              <w:widowControl/>
              <w:spacing w:line="240" w:lineRule="auto"/>
              <w:ind w:firstLine="0" w:firstLineChars="0"/>
              <w:jc w:val="center"/>
              <w:rPr>
                <w:color w:val="auto"/>
                <w:kern w:val="0"/>
                <w:sz w:val="21"/>
                <w:szCs w:val="21"/>
              </w:rPr>
            </w:pPr>
            <w:r>
              <w:rPr>
                <w:color w:val="auto"/>
                <w:sz w:val="21"/>
                <w:szCs w:val="21"/>
              </w:rPr>
              <w:t>2475</w:t>
            </w:r>
          </w:p>
        </w:tc>
        <w:tc>
          <w:tcPr>
            <w:tcW w:w="416" w:type="pct"/>
            <w:shd w:val="clear" w:color="auto" w:fill="auto"/>
          </w:tcPr>
          <w:p w14:paraId="1F4F88EB">
            <w:pPr>
              <w:widowControl/>
              <w:spacing w:line="240" w:lineRule="auto"/>
              <w:ind w:firstLine="0" w:firstLineChars="0"/>
              <w:jc w:val="center"/>
              <w:rPr>
                <w:color w:val="auto"/>
                <w:sz w:val="21"/>
                <w:szCs w:val="21"/>
              </w:rPr>
            </w:pPr>
            <w:r>
              <w:rPr>
                <w:rFonts w:hint="eastAsia"/>
                <w:color w:val="auto"/>
                <w:sz w:val="21"/>
                <w:szCs w:val="21"/>
              </w:rPr>
              <w:t>1.16E-05</w:t>
            </w:r>
          </w:p>
        </w:tc>
        <w:tc>
          <w:tcPr>
            <w:tcW w:w="410" w:type="pct"/>
            <w:shd w:val="clear" w:color="auto" w:fill="auto"/>
          </w:tcPr>
          <w:p w14:paraId="494460DC">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5F44A851">
            <w:pPr>
              <w:widowControl/>
              <w:spacing w:line="240" w:lineRule="auto"/>
              <w:ind w:firstLine="0" w:firstLineChars="0"/>
              <w:jc w:val="center"/>
              <w:rPr>
                <w:color w:val="auto"/>
                <w:sz w:val="21"/>
                <w:szCs w:val="21"/>
              </w:rPr>
            </w:pPr>
            <w:r>
              <w:rPr>
                <w:rFonts w:hint="eastAsia"/>
                <w:color w:val="auto"/>
                <w:sz w:val="21"/>
                <w:szCs w:val="21"/>
              </w:rPr>
              <w:t>8.41E-06</w:t>
            </w:r>
          </w:p>
        </w:tc>
        <w:tc>
          <w:tcPr>
            <w:tcW w:w="409" w:type="pct"/>
            <w:shd w:val="clear" w:color="auto" w:fill="auto"/>
          </w:tcPr>
          <w:p w14:paraId="67FA27C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02D5F7C3">
            <w:pPr>
              <w:widowControl/>
              <w:spacing w:line="240" w:lineRule="auto"/>
              <w:ind w:firstLine="0" w:firstLineChars="0"/>
              <w:jc w:val="center"/>
              <w:rPr>
                <w:color w:val="auto"/>
                <w:sz w:val="21"/>
                <w:szCs w:val="21"/>
              </w:rPr>
            </w:pPr>
            <w:r>
              <w:rPr>
                <w:rFonts w:hint="eastAsia"/>
                <w:color w:val="auto"/>
                <w:sz w:val="21"/>
                <w:szCs w:val="21"/>
              </w:rPr>
              <w:t>7.95E-05</w:t>
            </w:r>
          </w:p>
        </w:tc>
        <w:tc>
          <w:tcPr>
            <w:tcW w:w="423" w:type="pct"/>
            <w:shd w:val="clear" w:color="auto" w:fill="auto"/>
          </w:tcPr>
          <w:p w14:paraId="658E92DC">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29A4E368">
            <w:pPr>
              <w:widowControl/>
              <w:spacing w:line="240" w:lineRule="auto"/>
              <w:ind w:firstLine="0" w:firstLineChars="0"/>
              <w:jc w:val="center"/>
              <w:rPr>
                <w:color w:val="auto"/>
                <w:kern w:val="0"/>
                <w:sz w:val="21"/>
                <w:szCs w:val="21"/>
              </w:rPr>
            </w:pPr>
            <w:r>
              <w:rPr>
                <w:rFonts w:hint="eastAsia"/>
                <w:color w:val="auto"/>
                <w:sz w:val="21"/>
                <w:szCs w:val="21"/>
              </w:rPr>
              <w:t>3.60E-04</w:t>
            </w:r>
          </w:p>
        </w:tc>
        <w:tc>
          <w:tcPr>
            <w:tcW w:w="532" w:type="pct"/>
            <w:shd w:val="clear" w:color="auto" w:fill="auto"/>
          </w:tcPr>
          <w:p w14:paraId="35B4E353">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7781B91F">
            <w:pPr>
              <w:widowControl/>
              <w:spacing w:line="240" w:lineRule="auto"/>
              <w:ind w:firstLine="0" w:firstLineChars="0"/>
              <w:jc w:val="center"/>
              <w:rPr>
                <w:color w:val="auto"/>
                <w:kern w:val="0"/>
                <w:sz w:val="21"/>
                <w:szCs w:val="21"/>
              </w:rPr>
            </w:pPr>
            <w:r>
              <w:rPr>
                <w:color w:val="auto"/>
                <w:sz w:val="21"/>
                <w:szCs w:val="21"/>
              </w:rPr>
              <w:t>3.54E-04</w:t>
            </w:r>
          </w:p>
        </w:tc>
        <w:tc>
          <w:tcPr>
            <w:tcW w:w="360" w:type="pct"/>
            <w:shd w:val="clear" w:color="auto" w:fill="auto"/>
          </w:tcPr>
          <w:p w14:paraId="46A7CF86">
            <w:pPr>
              <w:widowControl/>
              <w:spacing w:line="240" w:lineRule="auto"/>
              <w:ind w:firstLine="0" w:firstLineChars="0"/>
              <w:jc w:val="center"/>
              <w:rPr>
                <w:color w:val="auto"/>
                <w:kern w:val="0"/>
                <w:sz w:val="21"/>
                <w:szCs w:val="21"/>
              </w:rPr>
            </w:pPr>
            <w:r>
              <w:rPr>
                <w:color w:val="auto"/>
                <w:sz w:val="21"/>
                <w:szCs w:val="21"/>
              </w:rPr>
              <w:t>0.18</w:t>
            </w:r>
          </w:p>
        </w:tc>
      </w:tr>
      <w:tr w14:paraId="0AC5D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jc w:val="center"/>
        </w:trPr>
        <w:tc>
          <w:tcPr>
            <w:tcW w:w="376" w:type="pct"/>
            <w:shd w:val="clear" w:color="auto" w:fill="auto"/>
          </w:tcPr>
          <w:p w14:paraId="298C6B25">
            <w:pPr>
              <w:widowControl/>
              <w:spacing w:line="240" w:lineRule="auto"/>
              <w:ind w:firstLine="0" w:firstLineChars="0"/>
              <w:jc w:val="center"/>
              <w:rPr>
                <w:color w:val="auto"/>
                <w:kern w:val="0"/>
                <w:sz w:val="21"/>
                <w:szCs w:val="21"/>
              </w:rPr>
            </w:pPr>
            <w:r>
              <w:rPr>
                <w:color w:val="auto"/>
                <w:sz w:val="21"/>
                <w:szCs w:val="21"/>
              </w:rPr>
              <w:t>2500</w:t>
            </w:r>
          </w:p>
        </w:tc>
        <w:tc>
          <w:tcPr>
            <w:tcW w:w="416" w:type="pct"/>
            <w:shd w:val="clear" w:color="auto" w:fill="auto"/>
          </w:tcPr>
          <w:p w14:paraId="0AF72437">
            <w:pPr>
              <w:widowControl/>
              <w:spacing w:line="240" w:lineRule="auto"/>
              <w:ind w:firstLine="0" w:firstLineChars="0"/>
              <w:jc w:val="center"/>
              <w:rPr>
                <w:color w:val="auto"/>
                <w:sz w:val="21"/>
                <w:szCs w:val="21"/>
              </w:rPr>
            </w:pPr>
            <w:r>
              <w:rPr>
                <w:rFonts w:hint="eastAsia"/>
                <w:color w:val="auto"/>
                <w:sz w:val="21"/>
                <w:szCs w:val="21"/>
              </w:rPr>
              <w:t>1.15E-05</w:t>
            </w:r>
          </w:p>
        </w:tc>
        <w:tc>
          <w:tcPr>
            <w:tcW w:w="410" w:type="pct"/>
            <w:shd w:val="clear" w:color="auto" w:fill="auto"/>
          </w:tcPr>
          <w:p w14:paraId="4635072E">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7B614833">
            <w:pPr>
              <w:widowControl/>
              <w:spacing w:line="240" w:lineRule="auto"/>
              <w:ind w:firstLine="0" w:firstLineChars="0"/>
              <w:jc w:val="center"/>
              <w:rPr>
                <w:color w:val="auto"/>
                <w:sz w:val="21"/>
                <w:szCs w:val="21"/>
              </w:rPr>
            </w:pPr>
            <w:r>
              <w:rPr>
                <w:rFonts w:hint="eastAsia"/>
                <w:color w:val="auto"/>
                <w:sz w:val="21"/>
                <w:szCs w:val="21"/>
              </w:rPr>
              <w:t>8.36E-06</w:t>
            </w:r>
          </w:p>
        </w:tc>
        <w:tc>
          <w:tcPr>
            <w:tcW w:w="409" w:type="pct"/>
            <w:shd w:val="clear" w:color="auto" w:fill="auto"/>
          </w:tcPr>
          <w:p w14:paraId="5E1BBA39">
            <w:pPr>
              <w:widowControl/>
              <w:spacing w:line="240" w:lineRule="auto"/>
              <w:ind w:firstLine="0" w:firstLineChars="0"/>
              <w:jc w:val="center"/>
              <w:rPr>
                <w:color w:val="auto"/>
                <w:sz w:val="21"/>
                <w:szCs w:val="21"/>
              </w:rPr>
            </w:pPr>
            <w:r>
              <w:rPr>
                <w:rFonts w:hint="eastAsia"/>
                <w:color w:val="auto"/>
                <w:sz w:val="21"/>
                <w:szCs w:val="21"/>
              </w:rPr>
              <w:t>0.00</w:t>
            </w:r>
          </w:p>
        </w:tc>
        <w:tc>
          <w:tcPr>
            <w:tcW w:w="416" w:type="pct"/>
            <w:shd w:val="clear" w:color="auto" w:fill="auto"/>
          </w:tcPr>
          <w:p w14:paraId="68C3F38C">
            <w:pPr>
              <w:widowControl/>
              <w:spacing w:line="240" w:lineRule="auto"/>
              <w:ind w:firstLine="0" w:firstLineChars="0"/>
              <w:jc w:val="center"/>
              <w:rPr>
                <w:color w:val="auto"/>
                <w:sz w:val="21"/>
                <w:szCs w:val="21"/>
              </w:rPr>
            </w:pPr>
            <w:r>
              <w:rPr>
                <w:rFonts w:hint="eastAsia"/>
                <w:color w:val="auto"/>
                <w:sz w:val="21"/>
                <w:szCs w:val="21"/>
              </w:rPr>
              <w:t>7.91E-05</w:t>
            </w:r>
          </w:p>
        </w:tc>
        <w:tc>
          <w:tcPr>
            <w:tcW w:w="423" w:type="pct"/>
            <w:shd w:val="clear" w:color="auto" w:fill="auto"/>
          </w:tcPr>
          <w:p w14:paraId="40632FB4">
            <w:pPr>
              <w:widowControl/>
              <w:spacing w:line="240" w:lineRule="auto"/>
              <w:ind w:firstLine="0" w:firstLineChars="0"/>
              <w:jc w:val="center"/>
              <w:rPr>
                <w:color w:val="auto"/>
                <w:sz w:val="21"/>
                <w:szCs w:val="21"/>
              </w:rPr>
            </w:pPr>
            <w:r>
              <w:rPr>
                <w:rFonts w:hint="eastAsia"/>
                <w:color w:val="auto"/>
                <w:sz w:val="21"/>
                <w:szCs w:val="21"/>
              </w:rPr>
              <w:t>0.04</w:t>
            </w:r>
          </w:p>
        </w:tc>
        <w:tc>
          <w:tcPr>
            <w:tcW w:w="694" w:type="pct"/>
            <w:shd w:val="clear" w:color="auto" w:fill="auto"/>
          </w:tcPr>
          <w:p w14:paraId="3829F12C">
            <w:pPr>
              <w:widowControl/>
              <w:spacing w:line="240" w:lineRule="auto"/>
              <w:ind w:firstLine="0" w:firstLineChars="0"/>
              <w:jc w:val="center"/>
              <w:rPr>
                <w:color w:val="auto"/>
                <w:kern w:val="0"/>
                <w:sz w:val="21"/>
                <w:szCs w:val="21"/>
              </w:rPr>
            </w:pPr>
            <w:r>
              <w:rPr>
                <w:rFonts w:hint="eastAsia"/>
                <w:color w:val="auto"/>
                <w:sz w:val="21"/>
                <w:szCs w:val="21"/>
              </w:rPr>
              <w:t>3.59E-04</w:t>
            </w:r>
          </w:p>
        </w:tc>
        <w:tc>
          <w:tcPr>
            <w:tcW w:w="532" w:type="pct"/>
            <w:shd w:val="clear" w:color="auto" w:fill="auto"/>
          </w:tcPr>
          <w:p w14:paraId="3C15E439">
            <w:pPr>
              <w:widowControl/>
              <w:spacing w:line="240" w:lineRule="auto"/>
              <w:ind w:firstLine="0" w:firstLineChars="0"/>
              <w:jc w:val="center"/>
              <w:rPr>
                <w:color w:val="auto"/>
                <w:kern w:val="0"/>
                <w:sz w:val="21"/>
                <w:szCs w:val="21"/>
              </w:rPr>
            </w:pPr>
            <w:r>
              <w:rPr>
                <w:rFonts w:hint="eastAsia"/>
                <w:color w:val="auto"/>
                <w:sz w:val="21"/>
                <w:szCs w:val="21"/>
              </w:rPr>
              <w:t>0.12</w:t>
            </w:r>
          </w:p>
        </w:tc>
        <w:tc>
          <w:tcPr>
            <w:tcW w:w="544" w:type="pct"/>
            <w:shd w:val="clear" w:color="auto" w:fill="auto"/>
          </w:tcPr>
          <w:p w14:paraId="2EE1443C">
            <w:pPr>
              <w:widowControl/>
              <w:spacing w:line="240" w:lineRule="auto"/>
              <w:ind w:firstLine="0" w:firstLineChars="0"/>
              <w:jc w:val="center"/>
              <w:rPr>
                <w:color w:val="auto"/>
                <w:kern w:val="0"/>
                <w:sz w:val="21"/>
                <w:szCs w:val="21"/>
              </w:rPr>
            </w:pPr>
            <w:r>
              <w:rPr>
                <w:color w:val="auto"/>
                <w:sz w:val="21"/>
                <w:szCs w:val="21"/>
              </w:rPr>
              <w:t>3.52E-04</w:t>
            </w:r>
          </w:p>
        </w:tc>
        <w:tc>
          <w:tcPr>
            <w:tcW w:w="360" w:type="pct"/>
            <w:shd w:val="clear" w:color="auto" w:fill="auto"/>
          </w:tcPr>
          <w:p w14:paraId="1303905C">
            <w:pPr>
              <w:widowControl/>
              <w:spacing w:line="240" w:lineRule="auto"/>
              <w:ind w:firstLine="0" w:firstLineChars="0"/>
              <w:jc w:val="center"/>
              <w:rPr>
                <w:color w:val="auto"/>
                <w:kern w:val="0"/>
                <w:sz w:val="21"/>
                <w:szCs w:val="21"/>
              </w:rPr>
            </w:pPr>
            <w:r>
              <w:rPr>
                <w:color w:val="auto"/>
                <w:sz w:val="21"/>
                <w:szCs w:val="21"/>
              </w:rPr>
              <w:t>0.18</w:t>
            </w:r>
          </w:p>
        </w:tc>
      </w:tr>
      <w:tr w14:paraId="12DDE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376" w:type="pct"/>
            <w:shd w:val="clear" w:color="auto" w:fill="auto"/>
            <w:vAlign w:val="center"/>
          </w:tcPr>
          <w:p w14:paraId="62A595F7">
            <w:pPr>
              <w:widowControl/>
              <w:spacing w:line="240" w:lineRule="auto"/>
              <w:ind w:firstLine="0" w:firstLineChars="0"/>
              <w:jc w:val="center"/>
              <w:rPr>
                <w:color w:val="auto"/>
                <w:kern w:val="0"/>
                <w:sz w:val="21"/>
                <w:szCs w:val="21"/>
              </w:rPr>
            </w:pPr>
            <w:r>
              <w:rPr>
                <w:color w:val="auto"/>
                <w:kern w:val="0"/>
                <w:sz w:val="21"/>
                <w:szCs w:val="21"/>
              </w:rPr>
              <w:t>下风向最大质量浓度及占标率/%</w:t>
            </w:r>
          </w:p>
        </w:tc>
        <w:tc>
          <w:tcPr>
            <w:tcW w:w="416" w:type="pct"/>
            <w:shd w:val="clear" w:color="auto" w:fill="auto"/>
            <w:vAlign w:val="center"/>
          </w:tcPr>
          <w:p w14:paraId="05770A90">
            <w:pPr>
              <w:widowControl/>
              <w:spacing w:line="240" w:lineRule="auto"/>
              <w:ind w:firstLine="0" w:firstLineChars="0"/>
              <w:jc w:val="center"/>
              <w:rPr>
                <w:color w:val="auto"/>
                <w:sz w:val="21"/>
                <w:szCs w:val="21"/>
              </w:rPr>
            </w:pPr>
            <w:r>
              <w:rPr>
                <w:rFonts w:hint="eastAsia"/>
                <w:color w:val="auto"/>
                <w:sz w:val="21"/>
                <w:szCs w:val="21"/>
              </w:rPr>
              <w:t>8.76E-05</w:t>
            </w:r>
          </w:p>
        </w:tc>
        <w:tc>
          <w:tcPr>
            <w:tcW w:w="410" w:type="pct"/>
            <w:shd w:val="clear" w:color="auto" w:fill="auto"/>
            <w:vAlign w:val="center"/>
          </w:tcPr>
          <w:p w14:paraId="42DCE405">
            <w:pPr>
              <w:widowControl/>
              <w:spacing w:line="240" w:lineRule="auto"/>
              <w:ind w:firstLine="0" w:firstLineChars="0"/>
              <w:jc w:val="center"/>
              <w:rPr>
                <w:color w:val="auto"/>
                <w:sz w:val="21"/>
                <w:szCs w:val="21"/>
              </w:rPr>
            </w:pPr>
            <w:r>
              <w:rPr>
                <w:rFonts w:hint="eastAsia"/>
                <w:color w:val="auto"/>
                <w:sz w:val="21"/>
                <w:szCs w:val="21"/>
              </w:rPr>
              <w:t>0.02</w:t>
            </w:r>
          </w:p>
        </w:tc>
        <w:tc>
          <w:tcPr>
            <w:tcW w:w="416" w:type="pct"/>
            <w:shd w:val="clear" w:color="auto" w:fill="auto"/>
            <w:vAlign w:val="center"/>
          </w:tcPr>
          <w:p w14:paraId="2F246604">
            <w:pPr>
              <w:widowControl/>
              <w:spacing w:line="240" w:lineRule="auto"/>
              <w:ind w:firstLine="0" w:firstLineChars="0"/>
              <w:jc w:val="center"/>
              <w:rPr>
                <w:color w:val="auto"/>
                <w:sz w:val="21"/>
                <w:szCs w:val="21"/>
              </w:rPr>
            </w:pPr>
            <w:r>
              <w:rPr>
                <w:rFonts w:hint="eastAsia"/>
                <w:color w:val="auto"/>
                <w:sz w:val="21"/>
                <w:szCs w:val="21"/>
              </w:rPr>
              <w:t>6.35E-05</w:t>
            </w:r>
          </w:p>
        </w:tc>
        <w:tc>
          <w:tcPr>
            <w:tcW w:w="409" w:type="pct"/>
            <w:shd w:val="clear" w:color="auto" w:fill="auto"/>
            <w:vAlign w:val="center"/>
          </w:tcPr>
          <w:p w14:paraId="226A64E5">
            <w:pPr>
              <w:widowControl/>
              <w:spacing w:line="240" w:lineRule="auto"/>
              <w:ind w:firstLine="0" w:firstLineChars="0"/>
              <w:jc w:val="center"/>
              <w:rPr>
                <w:color w:val="auto"/>
                <w:sz w:val="21"/>
                <w:szCs w:val="21"/>
              </w:rPr>
            </w:pPr>
            <w:r>
              <w:rPr>
                <w:rFonts w:hint="eastAsia"/>
                <w:color w:val="auto"/>
                <w:sz w:val="21"/>
                <w:szCs w:val="21"/>
              </w:rPr>
              <w:t>0.01</w:t>
            </w:r>
          </w:p>
        </w:tc>
        <w:tc>
          <w:tcPr>
            <w:tcW w:w="416" w:type="pct"/>
            <w:shd w:val="clear" w:color="auto" w:fill="auto"/>
            <w:vAlign w:val="center"/>
          </w:tcPr>
          <w:p w14:paraId="66AD7CEE">
            <w:pPr>
              <w:widowControl/>
              <w:spacing w:line="240" w:lineRule="auto"/>
              <w:ind w:firstLine="0" w:firstLineChars="0"/>
              <w:jc w:val="center"/>
              <w:rPr>
                <w:color w:val="auto"/>
                <w:sz w:val="21"/>
                <w:szCs w:val="21"/>
              </w:rPr>
            </w:pPr>
            <w:r>
              <w:rPr>
                <w:rFonts w:hint="eastAsia"/>
                <w:color w:val="auto"/>
                <w:sz w:val="21"/>
                <w:szCs w:val="21"/>
              </w:rPr>
              <w:t>6.01E-04</w:t>
            </w:r>
          </w:p>
        </w:tc>
        <w:tc>
          <w:tcPr>
            <w:tcW w:w="423" w:type="pct"/>
            <w:shd w:val="clear" w:color="auto" w:fill="auto"/>
            <w:vAlign w:val="center"/>
          </w:tcPr>
          <w:p w14:paraId="289EAB33">
            <w:pPr>
              <w:widowControl/>
              <w:spacing w:line="240" w:lineRule="auto"/>
              <w:ind w:firstLine="0" w:firstLineChars="0"/>
              <w:jc w:val="center"/>
              <w:rPr>
                <w:color w:val="auto"/>
                <w:sz w:val="21"/>
                <w:szCs w:val="21"/>
              </w:rPr>
            </w:pPr>
            <w:r>
              <w:rPr>
                <w:rFonts w:hint="eastAsia"/>
                <w:color w:val="auto"/>
                <w:sz w:val="21"/>
                <w:szCs w:val="21"/>
              </w:rPr>
              <w:t>0.30</w:t>
            </w:r>
          </w:p>
        </w:tc>
        <w:tc>
          <w:tcPr>
            <w:tcW w:w="694" w:type="pct"/>
            <w:shd w:val="clear" w:color="auto" w:fill="auto"/>
            <w:vAlign w:val="center"/>
          </w:tcPr>
          <w:p w14:paraId="6A1A9D37">
            <w:pPr>
              <w:widowControl/>
              <w:spacing w:line="240" w:lineRule="auto"/>
              <w:ind w:firstLine="0" w:firstLineChars="0"/>
              <w:jc w:val="center"/>
              <w:rPr>
                <w:color w:val="auto"/>
                <w:kern w:val="0"/>
                <w:sz w:val="21"/>
                <w:szCs w:val="21"/>
              </w:rPr>
            </w:pPr>
            <w:r>
              <w:rPr>
                <w:rFonts w:hint="eastAsia"/>
                <w:color w:val="auto"/>
                <w:sz w:val="21"/>
                <w:szCs w:val="21"/>
              </w:rPr>
              <w:t>2.13E-03</w:t>
            </w:r>
          </w:p>
        </w:tc>
        <w:tc>
          <w:tcPr>
            <w:tcW w:w="532" w:type="pct"/>
            <w:shd w:val="clear" w:color="auto" w:fill="auto"/>
            <w:vAlign w:val="center"/>
          </w:tcPr>
          <w:p w14:paraId="1A0E3115">
            <w:pPr>
              <w:widowControl/>
              <w:spacing w:line="240" w:lineRule="auto"/>
              <w:ind w:firstLine="0" w:firstLineChars="0"/>
              <w:jc w:val="center"/>
              <w:rPr>
                <w:color w:val="auto"/>
                <w:kern w:val="0"/>
                <w:sz w:val="21"/>
                <w:szCs w:val="21"/>
              </w:rPr>
            </w:pPr>
            <w:r>
              <w:rPr>
                <w:rFonts w:hint="eastAsia"/>
                <w:color w:val="auto"/>
                <w:kern w:val="0"/>
                <w:sz w:val="21"/>
                <w:szCs w:val="21"/>
              </w:rPr>
              <w:t>0.71</w:t>
            </w:r>
          </w:p>
        </w:tc>
        <w:tc>
          <w:tcPr>
            <w:tcW w:w="544" w:type="pct"/>
            <w:shd w:val="clear" w:color="auto" w:fill="auto"/>
            <w:vAlign w:val="center"/>
          </w:tcPr>
          <w:p w14:paraId="2D7DADE6">
            <w:pPr>
              <w:widowControl/>
              <w:spacing w:line="240" w:lineRule="auto"/>
              <w:ind w:firstLine="0" w:firstLineChars="0"/>
              <w:jc w:val="center"/>
              <w:rPr>
                <w:color w:val="auto"/>
                <w:kern w:val="0"/>
                <w:sz w:val="21"/>
                <w:szCs w:val="21"/>
              </w:rPr>
            </w:pPr>
            <w:r>
              <w:rPr>
                <w:color w:val="auto"/>
                <w:kern w:val="0"/>
                <w:sz w:val="21"/>
                <w:szCs w:val="21"/>
              </w:rPr>
              <w:t>2.67E-03</w:t>
            </w:r>
          </w:p>
        </w:tc>
        <w:tc>
          <w:tcPr>
            <w:tcW w:w="360" w:type="pct"/>
            <w:shd w:val="clear" w:color="auto" w:fill="auto"/>
            <w:vAlign w:val="center"/>
          </w:tcPr>
          <w:p w14:paraId="49851E08">
            <w:pPr>
              <w:widowControl/>
              <w:spacing w:line="240" w:lineRule="auto"/>
              <w:ind w:firstLine="0" w:firstLineChars="0"/>
              <w:jc w:val="center"/>
              <w:rPr>
                <w:color w:val="auto"/>
                <w:kern w:val="0"/>
                <w:sz w:val="21"/>
                <w:szCs w:val="21"/>
              </w:rPr>
            </w:pPr>
            <w:r>
              <w:rPr>
                <w:color w:val="auto"/>
                <w:kern w:val="0"/>
                <w:sz w:val="21"/>
                <w:szCs w:val="21"/>
              </w:rPr>
              <w:t>1.34</w:t>
            </w:r>
          </w:p>
        </w:tc>
      </w:tr>
      <w:tr w14:paraId="3A5F6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6" w:type="pct"/>
            <w:shd w:val="clear" w:color="auto" w:fill="auto"/>
            <w:vAlign w:val="center"/>
          </w:tcPr>
          <w:p w14:paraId="66A82737">
            <w:pPr>
              <w:widowControl/>
              <w:spacing w:line="240" w:lineRule="auto"/>
              <w:ind w:firstLine="0" w:firstLineChars="0"/>
              <w:jc w:val="center"/>
              <w:rPr>
                <w:color w:val="auto"/>
                <w:kern w:val="0"/>
                <w:sz w:val="21"/>
                <w:szCs w:val="21"/>
              </w:rPr>
            </w:pPr>
            <w:r>
              <w:rPr>
                <w:color w:val="auto"/>
                <w:kern w:val="0"/>
                <w:sz w:val="21"/>
                <w:szCs w:val="21"/>
              </w:rPr>
              <w:t>D</w:t>
            </w:r>
            <w:r>
              <w:rPr>
                <w:color w:val="auto"/>
                <w:kern w:val="0"/>
                <w:sz w:val="21"/>
                <w:szCs w:val="21"/>
                <w:vertAlign w:val="subscript"/>
              </w:rPr>
              <w:t>10%</w:t>
            </w:r>
            <w:r>
              <w:rPr>
                <w:color w:val="auto"/>
                <w:kern w:val="0"/>
                <w:sz w:val="21"/>
                <w:szCs w:val="21"/>
              </w:rPr>
              <w:t>最远距离/m</w:t>
            </w:r>
          </w:p>
        </w:tc>
        <w:tc>
          <w:tcPr>
            <w:tcW w:w="2492" w:type="pct"/>
            <w:gridSpan w:val="6"/>
            <w:shd w:val="clear" w:color="auto" w:fill="auto"/>
            <w:vAlign w:val="center"/>
          </w:tcPr>
          <w:p w14:paraId="5BF5461D">
            <w:pPr>
              <w:widowControl/>
              <w:spacing w:line="240" w:lineRule="auto"/>
              <w:ind w:firstLine="0" w:firstLineChars="0"/>
              <w:jc w:val="center"/>
              <w:rPr>
                <w:color w:val="auto"/>
                <w:kern w:val="0"/>
                <w:sz w:val="21"/>
                <w:szCs w:val="21"/>
              </w:rPr>
            </w:pPr>
            <w:r>
              <w:rPr>
                <w:rFonts w:hint="eastAsia"/>
                <w:color w:val="auto"/>
                <w:kern w:val="0"/>
                <w:sz w:val="21"/>
                <w:szCs w:val="21"/>
              </w:rPr>
              <w:t>35</w:t>
            </w:r>
          </w:p>
        </w:tc>
        <w:tc>
          <w:tcPr>
            <w:tcW w:w="1226" w:type="pct"/>
            <w:gridSpan w:val="2"/>
            <w:shd w:val="clear" w:color="auto" w:fill="auto"/>
            <w:vAlign w:val="center"/>
          </w:tcPr>
          <w:p w14:paraId="6B8FBE45">
            <w:pPr>
              <w:widowControl/>
              <w:spacing w:line="240" w:lineRule="auto"/>
              <w:ind w:firstLine="0" w:firstLineChars="0"/>
              <w:jc w:val="center"/>
              <w:rPr>
                <w:color w:val="auto"/>
                <w:kern w:val="0"/>
                <w:sz w:val="21"/>
                <w:szCs w:val="21"/>
              </w:rPr>
            </w:pPr>
            <w:r>
              <w:rPr>
                <w:color w:val="auto"/>
                <w:kern w:val="0"/>
                <w:sz w:val="21"/>
                <w:szCs w:val="21"/>
              </w:rPr>
              <w:t>50</w:t>
            </w:r>
          </w:p>
        </w:tc>
        <w:tc>
          <w:tcPr>
            <w:tcW w:w="904" w:type="pct"/>
            <w:gridSpan w:val="2"/>
            <w:shd w:val="clear" w:color="auto" w:fill="auto"/>
            <w:vAlign w:val="center"/>
          </w:tcPr>
          <w:p w14:paraId="048340F3">
            <w:pPr>
              <w:widowControl/>
              <w:spacing w:line="240" w:lineRule="auto"/>
              <w:ind w:firstLine="0" w:firstLineChars="0"/>
              <w:jc w:val="center"/>
              <w:rPr>
                <w:color w:val="auto"/>
                <w:kern w:val="0"/>
                <w:sz w:val="21"/>
                <w:szCs w:val="21"/>
              </w:rPr>
            </w:pPr>
            <w:r>
              <w:rPr>
                <w:color w:val="auto"/>
                <w:kern w:val="0"/>
                <w:sz w:val="21"/>
                <w:szCs w:val="21"/>
              </w:rPr>
              <w:t>35</w:t>
            </w:r>
          </w:p>
        </w:tc>
      </w:tr>
    </w:tbl>
    <w:p w14:paraId="785A3E3F">
      <w:pPr>
        <w:spacing w:before="120" w:beforeLines="50" w:line="240" w:lineRule="auto"/>
        <w:ind w:firstLine="0" w:firstLineChars="0"/>
        <w:jc w:val="center"/>
        <w:rPr>
          <w:b/>
          <w:color w:val="auto"/>
        </w:rPr>
      </w:pPr>
      <w:r>
        <w:rPr>
          <w:b/>
          <w:color w:val="auto"/>
        </w:rPr>
        <w:t>表</w:t>
      </w:r>
      <w:r>
        <w:rPr>
          <w:rFonts w:hint="eastAsia"/>
          <w:b/>
          <w:bCs/>
          <w:color w:val="auto"/>
          <w:kern w:val="0"/>
          <w:szCs w:val="20"/>
        </w:rPr>
        <w:t>6</w:t>
      </w:r>
      <w:r>
        <w:rPr>
          <w:b/>
          <w:bCs/>
          <w:color w:val="auto"/>
          <w:kern w:val="0"/>
          <w:szCs w:val="20"/>
        </w:rPr>
        <w:t>.2</w:t>
      </w:r>
      <w:r>
        <w:rPr>
          <w:rFonts w:hint="eastAsia"/>
          <w:b/>
          <w:bCs/>
          <w:color w:val="auto"/>
          <w:kern w:val="0"/>
          <w:szCs w:val="20"/>
        </w:rPr>
        <w:t>.1</w:t>
      </w:r>
      <w:r>
        <w:rPr>
          <w:b/>
          <w:bCs/>
          <w:color w:val="auto"/>
          <w:kern w:val="0"/>
          <w:szCs w:val="20"/>
        </w:rPr>
        <w:t xml:space="preserve">-6  </w:t>
      </w:r>
      <w:r>
        <w:rPr>
          <w:b/>
          <w:color w:val="auto"/>
        </w:rPr>
        <w:t>本项目无组织</w:t>
      </w:r>
      <w:r>
        <w:rPr>
          <w:b/>
          <w:bCs/>
          <w:color w:val="auto"/>
          <w:kern w:val="0"/>
        </w:rPr>
        <w:t>污染源估算模型计算结果</w:t>
      </w:r>
    </w:p>
    <w:tbl>
      <w:tblPr>
        <w:tblStyle w:val="8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17"/>
        <w:gridCol w:w="1907"/>
        <w:gridCol w:w="1638"/>
        <w:gridCol w:w="2626"/>
        <w:gridCol w:w="2612"/>
        <w:gridCol w:w="2570"/>
        <w:gridCol w:w="1793"/>
      </w:tblGrid>
      <w:tr w14:paraId="0D02E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blHeader/>
        </w:trPr>
        <w:tc>
          <w:tcPr>
            <w:tcW w:w="359" w:type="pct"/>
            <w:vMerge w:val="restart"/>
            <w:shd w:val="clear" w:color="auto" w:fill="auto"/>
            <w:vAlign w:val="center"/>
          </w:tcPr>
          <w:p w14:paraId="3912F332">
            <w:pPr>
              <w:widowControl/>
              <w:spacing w:line="240" w:lineRule="auto"/>
              <w:ind w:firstLine="0" w:firstLineChars="0"/>
              <w:jc w:val="center"/>
              <w:rPr>
                <w:b/>
                <w:bCs/>
                <w:color w:val="auto"/>
                <w:kern w:val="0"/>
                <w:sz w:val="21"/>
                <w:szCs w:val="21"/>
              </w:rPr>
            </w:pPr>
            <w:r>
              <w:rPr>
                <w:b/>
                <w:bCs/>
                <w:color w:val="auto"/>
                <w:kern w:val="0"/>
                <w:sz w:val="21"/>
                <w:szCs w:val="21"/>
              </w:rPr>
              <w:t>下风向距离/m</w:t>
            </w:r>
          </w:p>
        </w:tc>
        <w:tc>
          <w:tcPr>
            <w:tcW w:w="4640" w:type="pct"/>
            <w:gridSpan w:val="6"/>
            <w:shd w:val="clear" w:color="auto" w:fill="auto"/>
            <w:vAlign w:val="center"/>
          </w:tcPr>
          <w:p w14:paraId="270885D4">
            <w:pPr>
              <w:widowControl/>
              <w:spacing w:line="240" w:lineRule="auto"/>
              <w:ind w:firstLine="0" w:firstLineChars="0"/>
              <w:jc w:val="center"/>
              <w:rPr>
                <w:b/>
                <w:bCs/>
                <w:color w:val="auto"/>
                <w:kern w:val="0"/>
                <w:sz w:val="21"/>
                <w:szCs w:val="21"/>
              </w:rPr>
            </w:pPr>
            <w:r>
              <w:rPr>
                <w:rFonts w:hint="eastAsia"/>
                <w:b/>
                <w:bCs/>
                <w:color w:val="auto"/>
                <w:kern w:val="0"/>
                <w:sz w:val="21"/>
                <w:szCs w:val="21"/>
              </w:rPr>
              <w:t>厂房</w:t>
            </w:r>
          </w:p>
        </w:tc>
      </w:tr>
      <w:tr w14:paraId="59242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tblHeader/>
        </w:trPr>
        <w:tc>
          <w:tcPr>
            <w:tcW w:w="359" w:type="pct"/>
            <w:vMerge w:val="continue"/>
            <w:vAlign w:val="center"/>
          </w:tcPr>
          <w:p w14:paraId="43512665">
            <w:pPr>
              <w:widowControl/>
              <w:spacing w:line="240" w:lineRule="auto"/>
              <w:ind w:firstLine="0" w:firstLineChars="0"/>
              <w:jc w:val="center"/>
              <w:rPr>
                <w:b/>
                <w:bCs/>
                <w:color w:val="auto"/>
                <w:kern w:val="0"/>
                <w:sz w:val="21"/>
                <w:szCs w:val="21"/>
              </w:rPr>
            </w:pPr>
          </w:p>
        </w:tc>
        <w:tc>
          <w:tcPr>
            <w:tcW w:w="1251" w:type="pct"/>
            <w:gridSpan w:val="2"/>
            <w:shd w:val="clear" w:color="auto" w:fill="auto"/>
            <w:vAlign w:val="center"/>
          </w:tcPr>
          <w:p w14:paraId="1B3ADA7E">
            <w:pPr>
              <w:widowControl/>
              <w:spacing w:line="240" w:lineRule="auto"/>
              <w:ind w:firstLine="0" w:firstLineChars="0"/>
              <w:jc w:val="center"/>
              <w:rPr>
                <w:b/>
                <w:bCs/>
                <w:color w:val="auto"/>
                <w:kern w:val="0"/>
                <w:sz w:val="21"/>
                <w:szCs w:val="21"/>
              </w:rPr>
            </w:pPr>
            <w:r>
              <w:rPr>
                <w:b/>
                <w:bCs/>
                <w:color w:val="auto"/>
                <w:kern w:val="0"/>
                <w:sz w:val="21"/>
                <w:szCs w:val="21"/>
              </w:rPr>
              <w:t>颗粒物</w:t>
            </w:r>
          </w:p>
        </w:tc>
        <w:tc>
          <w:tcPr>
            <w:tcW w:w="1849" w:type="pct"/>
            <w:gridSpan w:val="2"/>
            <w:shd w:val="clear" w:color="auto" w:fill="auto"/>
            <w:noWrap/>
            <w:vAlign w:val="center"/>
          </w:tcPr>
          <w:p w14:paraId="3BDCD988">
            <w:pPr>
              <w:widowControl/>
              <w:spacing w:line="240" w:lineRule="auto"/>
              <w:ind w:firstLine="0" w:firstLineChars="0"/>
              <w:jc w:val="center"/>
              <w:rPr>
                <w:b/>
                <w:bCs/>
                <w:color w:val="auto"/>
                <w:kern w:val="0"/>
                <w:sz w:val="21"/>
                <w:szCs w:val="21"/>
              </w:rPr>
            </w:pPr>
            <w:r>
              <w:rPr>
                <w:rFonts w:hint="eastAsia"/>
                <w:b/>
                <w:bCs/>
                <w:color w:val="auto"/>
                <w:kern w:val="0"/>
                <w:sz w:val="21"/>
                <w:szCs w:val="21"/>
              </w:rPr>
              <w:t>硫酸雾</w:t>
            </w:r>
          </w:p>
        </w:tc>
        <w:tc>
          <w:tcPr>
            <w:tcW w:w="1539" w:type="pct"/>
            <w:gridSpan w:val="2"/>
            <w:shd w:val="clear" w:color="auto" w:fill="auto"/>
            <w:noWrap/>
            <w:vAlign w:val="center"/>
          </w:tcPr>
          <w:p w14:paraId="2292145E">
            <w:pPr>
              <w:widowControl/>
              <w:spacing w:line="240" w:lineRule="auto"/>
              <w:ind w:firstLine="0" w:firstLineChars="0"/>
              <w:jc w:val="center"/>
              <w:rPr>
                <w:b/>
                <w:bCs/>
                <w:color w:val="auto"/>
                <w:kern w:val="0"/>
                <w:sz w:val="21"/>
                <w:szCs w:val="21"/>
              </w:rPr>
            </w:pPr>
            <w:r>
              <w:rPr>
                <w:rFonts w:hint="eastAsia"/>
                <w:b/>
                <w:bCs/>
                <w:color w:val="auto"/>
                <w:kern w:val="0"/>
                <w:sz w:val="21"/>
                <w:szCs w:val="21"/>
              </w:rPr>
              <w:t>NH</w:t>
            </w:r>
            <w:r>
              <w:rPr>
                <w:rFonts w:hint="eastAsia"/>
                <w:b/>
                <w:bCs/>
                <w:color w:val="auto"/>
                <w:kern w:val="0"/>
                <w:sz w:val="21"/>
                <w:szCs w:val="21"/>
                <w:vertAlign w:val="subscript"/>
              </w:rPr>
              <w:t>3</w:t>
            </w:r>
          </w:p>
        </w:tc>
      </w:tr>
      <w:tr w14:paraId="66439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 w:hRule="atLeast"/>
          <w:tblHeader/>
        </w:trPr>
        <w:tc>
          <w:tcPr>
            <w:tcW w:w="359" w:type="pct"/>
            <w:vMerge w:val="continue"/>
            <w:vAlign w:val="center"/>
          </w:tcPr>
          <w:p w14:paraId="5BA39153">
            <w:pPr>
              <w:widowControl/>
              <w:spacing w:line="240" w:lineRule="auto"/>
              <w:ind w:firstLine="0" w:firstLineChars="0"/>
              <w:jc w:val="center"/>
              <w:rPr>
                <w:b/>
                <w:bCs/>
                <w:color w:val="auto"/>
                <w:kern w:val="0"/>
                <w:sz w:val="21"/>
                <w:szCs w:val="21"/>
              </w:rPr>
            </w:pPr>
          </w:p>
        </w:tc>
        <w:tc>
          <w:tcPr>
            <w:tcW w:w="673" w:type="pct"/>
            <w:shd w:val="clear" w:color="auto" w:fill="auto"/>
            <w:vAlign w:val="center"/>
          </w:tcPr>
          <w:p w14:paraId="2D0AFFFC">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578" w:type="pct"/>
            <w:shd w:val="clear" w:color="auto" w:fill="auto"/>
            <w:vAlign w:val="center"/>
          </w:tcPr>
          <w:p w14:paraId="1A0B306E">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927" w:type="pct"/>
            <w:shd w:val="clear" w:color="auto" w:fill="auto"/>
            <w:noWrap/>
            <w:vAlign w:val="center"/>
          </w:tcPr>
          <w:p w14:paraId="3A4DA32F">
            <w:pPr>
              <w:widowControl/>
              <w:spacing w:line="240" w:lineRule="auto"/>
              <w:ind w:firstLine="0" w:firstLineChars="0"/>
              <w:jc w:val="center"/>
              <w:rPr>
                <w:b/>
                <w:bCs/>
                <w:color w:val="auto"/>
                <w:kern w:val="0"/>
                <w:sz w:val="21"/>
                <w:szCs w:val="21"/>
              </w:rPr>
            </w:pPr>
            <w:r>
              <w:rPr>
                <w:b/>
                <w:bCs/>
                <w:color w:val="auto"/>
                <w:kern w:val="0"/>
                <w:sz w:val="21"/>
                <w:szCs w:val="21"/>
              </w:rPr>
              <w:t>预测质量</w:t>
            </w:r>
            <w:r>
              <w:rPr>
                <w:rFonts w:hint="eastAsia"/>
                <w:b/>
                <w:bCs/>
                <w:color w:val="auto"/>
                <w:kern w:val="0"/>
                <w:sz w:val="21"/>
                <w:szCs w:val="21"/>
              </w:rPr>
              <w:t>浓度</w:t>
            </w:r>
            <w:r>
              <w:rPr>
                <w:b/>
                <w:bCs/>
                <w:color w:val="auto"/>
                <w:kern w:val="0"/>
                <w:sz w:val="21"/>
                <w:szCs w:val="21"/>
              </w:rPr>
              <w:t>（mg/m</w:t>
            </w:r>
            <w:r>
              <w:rPr>
                <w:b/>
                <w:bCs/>
                <w:color w:val="auto"/>
                <w:kern w:val="0"/>
                <w:sz w:val="21"/>
                <w:szCs w:val="21"/>
                <w:vertAlign w:val="superscript"/>
              </w:rPr>
              <w:t>3</w:t>
            </w:r>
            <w:r>
              <w:rPr>
                <w:b/>
                <w:bCs/>
                <w:color w:val="auto"/>
                <w:kern w:val="0"/>
                <w:sz w:val="21"/>
                <w:szCs w:val="21"/>
              </w:rPr>
              <w:t>）</w:t>
            </w:r>
          </w:p>
        </w:tc>
        <w:tc>
          <w:tcPr>
            <w:tcW w:w="922" w:type="pct"/>
            <w:shd w:val="clear" w:color="auto" w:fill="auto"/>
            <w:noWrap/>
            <w:vAlign w:val="center"/>
          </w:tcPr>
          <w:p w14:paraId="4F7A16E4">
            <w:pPr>
              <w:widowControl/>
              <w:spacing w:line="240" w:lineRule="auto"/>
              <w:ind w:firstLine="0" w:firstLineChars="0"/>
              <w:jc w:val="center"/>
              <w:rPr>
                <w:b/>
                <w:bCs/>
                <w:color w:val="auto"/>
                <w:kern w:val="0"/>
                <w:sz w:val="21"/>
                <w:szCs w:val="21"/>
              </w:rPr>
            </w:pPr>
            <w:r>
              <w:rPr>
                <w:b/>
                <w:bCs/>
                <w:color w:val="auto"/>
                <w:kern w:val="0"/>
                <w:sz w:val="21"/>
                <w:szCs w:val="21"/>
              </w:rPr>
              <w:t>占标率%</w:t>
            </w:r>
          </w:p>
        </w:tc>
        <w:tc>
          <w:tcPr>
            <w:tcW w:w="907" w:type="pct"/>
            <w:shd w:val="clear" w:color="auto" w:fill="auto"/>
            <w:noWrap/>
            <w:vAlign w:val="center"/>
          </w:tcPr>
          <w:p w14:paraId="19CD1A59">
            <w:pPr>
              <w:widowControl/>
              <w:spacing w:line="240" w:lineRule="auto"/>
              <w:ind w:firstLine="0" w:firstLineChars="0"/>
              <w:jc w:val="center"/>
              <w:rPr>
                <w:b/>
                <w:bCs/>
                <w:color w:val="auto"/>
                <w:kern w:val="0"/>
                <w:sz w:val="21"/>
                <w:szCs w:val="21"/>
              </w:rPr>
            </w:pPr>
            <w:r>
              <w:rPr>
                <w:b/>
                <w:bCs/>
                <w:color w:val="auto"/>
                <w:kern w:val="0"/>
                <w:sz w:val="21"/>
                <w:szCs w:val="21"/>
              </w:rPr>
              <w:t>预测质量浓度（mg/m</w:t>
            </w:r>
            <w:r>
              <w:rPr>
                <w:b/>
                <w:bCs/>
                <w:color w:val="auto"/>
                <w:kern w:val="0"/>
                <w:sz w:val="21"/>
                <w:szCs w:val="21"/>
                <w:vertAlign w:val="superscript"/>
              </w:rPr>
              <w:t>3</w:t>
            </w:r>
            <w:r>
              <w:rPr>
                <w:b/>
                <w:bCs/>
                <w:color w:val="auto"/>
                <w:kern w:val="0"/>
                <w:sz w:val="21"/>
                <w:szCs w:val="21"/>
              </w:rPr>
              <w:t>）</w:t>
            </w:r>
          </w:p>
        </w:tc>
        <w:tc>
          <w:tcPr>
            <w:tcW w:w="632" w:type="pct"/>
            <w:shd w:val="clear" w:color="auto" w:fill="auto"/>
            <w:noWrap/>
            <w:vAlign w:val="center"/>
          </w:tcPr>
          <w:p w14:paraId="6C7882EC">
            <w:pPr>
              <w:widowControl/>
              <w:spacing w:line="240" w:lineRule="auto"/>
              <w:ind w:firstLine="0" w:firstLineChars="0"/>
              <w:jc w:val="center"/>
              <w:rPr>
                <w:b/>
                <w:bCs/>
                <w:color w:val="auto"/>
                <w:kern w:val="0"/>
                <w:sz w:val="21"/>
                <w:szCs w:val="21"/>
              </w:rPr>
            </w:pPr>
            <w:r>
              <w:rPr>
                <w:b/>
                <w:bCs/>
                <w:color w:val="auto"/>
                <w:kern w:val="0"/>
                <w:sz w:val="21"/>
                <w:szCs w:val="21"/>
              </w:rPr>
              <w:t>占标率%</w:t>
            </w:r>
          </w:p>
        </w:tc>
      </w:tr>
      <w:tr w14:paraId="0C3B3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A67E117">
            <w:pPr>
              <w:widowControl/>
              <w:spacing w:line="240" w:lineRule="auto"/>
              <w:ind w:firstLine="0" w:firstLineChars="0"/>
              <w:jc w:val="center"/>
              <w:rPr>
                <w:color w:val="auto"/>
                <w:kern w:val="0"/>
                <w:sz w:val="21"/>
                <w:szCs w:val="21"/>
              </w:rPr>
            </w:pPr>
            <w:r>
              <w:rPr>
                <w:color w:val="auto"/>
                <w:kern w:val="0"/>
                <w:sz w:val="21"/>
                <w:szCs w:val="21"/>
              </w:rPr>
              <w:t>10</w:t>
            </w:r>
          </w:p>
        </w:tc>
        <w:tc>
          <w:tcPr>
            <w:tcW w:w="673" w:type="pct"/>
            <w:shd w:val="clear" w:color="auto" w:fill="auto"/>
          </w:tcPr>
          <w:p w14:paraId="0E3301C8">
            <w:pPr>
              <w:widowControl/>
              <w:spacing w:line="240" w:lineRule="auto"/>
              <w:ind w:firstLine="420"/>
              <w:jc w:val="center"/>
              <w:rPr>
                <w:color w:val="auto"/>
                <w:kern w:val="0"/>
                <w:sz w:val="21"/>
                <w:szCs w:val="21"/>
              </w:rPr>
            </w:pPr>
            <w:r>
              <w:rPr>
                <w:rFonts w:hint="eastAsia"/>
                <w:color w:val="auto"/>
                <w:sz w:val="21"/>
                <w:szCs w:val="21"/>
              </w:rPr>
              <w:t>3.44E-03</w:t>
            </w:r>
          </w:p>
        </w:tc>
        <w:tc>
          <w:tcPr>
            <w:tcW w:w="578" w:type="pct"/>
            <w:shd w:val="clear" w:color="auto" w:fill="auto"/>
          </w:tcPr>
          <w:p w14:paraId="55D801A3">
            <w:pPr>
              <w:widowControl/>
              <w:spacing w:line="240" w:lineRule="auto"/>
              <w:ind w:firstLine="420"/>
              <w:jc w:val="center"/>
              <w:rPr>
                <w:color w:val="auto"/>
                <w:kern w:val="0"/>
                <w:sz w:val="21"/>
                <w:szCs w:val="21"/>
              </w:rPr>
            </w:pPr>
            <w:r>
              <w:rPr>
                <w:rFonts w:hint="eastAsia"/>
                <w:color w:val="auto"/>
                <w:sz w:val="21"/>
                <w:szCs w:val="21"/>
              </w:rPr>
              <w:t>0.38</w:t>
            </w:r>
          </w:p>
        </w:tc>
        <w:tc>
          <w:tcPr>
            <w:tcW w:w="927" w:type="pct"/>
            <w:shd w:val="clear" w:color="auto" w:fill="auto"/>
          </w:tcPr>
          <w:p w14:paraId="5AC3BBF4">
            <w:pPr>
              <w:widowControl/>
              <w:spacing w:line="240" w:lineRule="auto"/>
              <w:ind w:firstLine="420"/>
              <w:jc w:val="center"/>
              <w:rPr>
                <w:color w:val="auto"/>
                <w:kern w:val="0"/>
                <w:sz w:val="21"/>
                <w:szCs w:val="21"/>
              </w:rPr>
            </w:pPr>
            <w:r>
              <w:rPr>
                <w:rFonts w:hint="eastAsia"/>
                <w:color w:val="auto"/>
                <w:sz w:val="21"/>
                <w:szCs w:val="21"/>
              </w:rPr>
              <w:t>5.44E-03</w:t>
            </w:r>
          </w:p>
        </w:tc>
        <w:tc>
          <w:tcPr>
            <w:tcW w:w="922" w:type="pct"/>
            <w:shd w:val="clear" w:color="auto" w:fill="auto"/>
          </w:tcPr>
          <w:p w14:paraId="220E7581">
            <w:pPr>
              <w:widowControl/>
              <w:spacing w:line="240" w:lineRule="auto"/>
              <w:ind w:firstLine="420"/>
              <w:jc w:val="center"/>
              <w:rPr>
                <w:color w:val="auto"/>
                <w:kern w:val="0"/>
                <w:sz w:val="21"/>
                <w:szCs w:val="21"/>
              </w:rPr>
            </w:pPr>
            <w:r>
              <w:rPr>
                <w:rFonts w:hint="eastAsia"/>
                <w:color w:val="auto"/>
                <w:sz w:val="21"/>
                <w:szCs w:val="21"/>
              </w:rPr>
              <w:t>1.81</w:t>
            </w:r>
          </w:p>
        </w:tc>
        <w:tc>
          <w:tcPr>
            <w:tcW w:w="907" w:type="pct"/>
            <w:shd w:val="clear" w:color="auto" w:fill="auto"/>
          </w:tcPr>
          <w:p w14:paraId="1FBEA4FD">
            <w:pPr>
              <w:widowControl/>
              <w:spacing w:line="240" w:lineRule="auto"/>
              <w:ind w:firstLine="420"/>
              <w:jc w:val="center"/>
              <w:rPr>
                <w:color w:val="auto"/>
                <w:kern w:val="0"/>
                <w:sz w:val="21"/>
                <w:szCs w:val="21"/>
              </w:rPr>
            </w:pPr>
            <w:r>
              <w:rPr>
                <w:rFonts w:hint="eastAsia"/>
                <w:color w:val="auto"/>
                <w:sz w:val="21"/>
                <w:szCs w:val="21"/>
              </w:rPr>
              <w:t>1.46E-03</w:t>
            </w:r>
          </w:p>
        </w:tc>
        <w:tc>
          <w:tcPr>
            <w:tcW w:w="632" w:type="pct"/>
            <w:shd w:val="clear" w:color="auto" w:fill="auto"/>
          </w:tcPr>
          <w:p w14:paraId="6FCC508E">
            <w:pPr>
              <w:widowControl/>
              <w:spacing w:line="240" w:lineRule="auto"/>
              <w:ind w:firstLine="420"/>
              <w:jc w:val="center"/>
              <w:rPr>
                <w:color w:val="auto"/>
                <w:kern w:val="0"/>
                <w:sz w:val="21"/>
                <w:szCs w:val="21"/>
              </w:rPr>
            </w:pPr>
            <w:r>
              <w:rPr>
                <w:rFonts w:hint="eastAsia"/>
                <w:color w:val="auto"/>
                <w:sz w:val="21"/>
                <w:szCs w:val="21"/>
              </w:rPr>
              <w:t>0.73</w:t>
            </w:r>
          </w:p>
        </w:tc>
      </w:tr>
      <w:tr w14:paraId="11F1D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0" w:hRule="atLeast"/>
        </w:trPr>
        <w:tc>
          <w:tcPr>
            <w:tcW w:w="359" w:type="pct"/>
            <w:shd w:val="clear" w:color="auto" w:fill="auto"/>
            <w:vAlign w:val="center"/>
          </w:tcPr>
          <w:p w14:paraId="57E67D45">
            <w:pPr>
              <w:widowControl/>
              <w:spacing w:line="240" w:lineRule="auto"/>
              <w:ind w:firstLine="0" w:firstLineChars="0"/>
              <w:jc w:val="center"/>
              <w:rPr>
                <w:color w:val="auto"/>
                <w:kern w:val="0"/>
                <w:sz w:val="21"/>
                <w:szCs w:val="21"/>
              </w:rPr>
            </w:pPr>
            <w:r>
              <w:rPr>
                <w:color w:val="auto"/>
                <w:kern w:val="0"/>
                <w:sz w:val="21"/>
                <w:szCs w:val="21"/>
              </w:rPr>
              <w:t>25</w:t>
            </w:r>
          </w:p>
        </w:tc>
        <w:tc>
          <w:tcPr>
            <w:tcW w:w="673" w:type="pct"/>
            <w:shd w:val="clear" w:color="auto" w:fill="auto"/>
          </w:tcPr>
          <w:p w14:paraId="40609EA0">
            <w:pPr>
              <w:widowControl/>
              <w:spacing w:line="240" w:lineRule="auto"/>
              <w:ind w:firstLine="420"/>
              <w:jc w:val="center"/>
              <w:rPr>
                <w:color w:val="auto"/>
                <w:kern w:val="0"/>
                <w:sz w:val="21"/>
                <w:szCs w:val="21"/>
              </w:rPr>
            </w:pPr>
            <w:r>
              <w:rPr>
                <w:rFonts w:hint="eastAsia"/>
                <w:color w:val="auto"/>
                <w:sz w:val="21"/>
                <w:szCs w:val="21"/>
              </w:rPr>
              <w:t>3.77E-03</w:t>
            </w:r>
          </w:p>
        </w:tc>
        <w:tc>
          <w:tcPr>
            <w:tcW w:w="578" w:type="pct"/>
            <w:shd w:val="clear" w:color="auto" w:fill="auto"/>
          </w:tcPr>
          <w:p w14:paraId="55B242CE">
            <w:pPr>
              <w:widowControl/>
              <w:spacing w:line="240" w:lineRule="auto"/>
              <w:ind w:firstLine="420"/>
              <w:jc w:val="center"/>
              <w:rPr>
                <w:color w:val="auto"/>
                <w:kern w:val="0"/>
                <w:sz w:val="21"/>
                <w:szCs w:val="21"/>
              </w:rPr>
            </w:pPr>
            <w:r>
              <w:rPr>
                <w:rFonts w:hint="eastAsia"/>
                <w:color w:val="auto"/>
                <w:sz w:val="21"/>
                <w:szCs w:val="21"/>
              </w:rPr>
              <w:t>0.42</w:t>
            </w:r>
          </w:p>
        </w:tc>
        <w:tc>
          <w:tcPr>
            <w:tcW w:w="927" w:type="pct"/>
            <w:shd w:val="clear" w:color="auto" w:fill="auto"/>
          </w:tcPr>
          <w:p w14:paraId="32B9BB25">
            <w:pPr>
              <w:widowControl/>
              <w:spacing w:line="240" w:lineRule="auto"/>
              <w:ind w:firstLine="420"/>
              <w:jc w:val="center"/>
              <w:rPr>
                <w:color w:val="auto"/>
                <w:kern w:val="0"/>
                <w:sz w:val="21"/>
                <w:szCs w:val="21"/>
              </w:rPr>
            </w:pPr>
            <w:r>
              <w:rPr>
                <w:rFonts w:hint="eastAsia"/>
                <w:color w:val="auto"/>
                <w:sz w:val="21"/>
                <w:szCs w:val="21"/>
              </w:rPr>
              <w:t>5.96E-03</w:t>
            </w:r>
          </w:p>
        </w:tc>
        <w:tc>
          <w:tcPr>
            <w:tcW w:w="922" w:type="pct"/>
            <w:shd w:val="clear" w:color="auto" w:fill="auto"/>
          </w:tcPr>
          <w:p w14:paraId="1A4D39E9">
            <w:pPr>
              <w:widowControl/>
              <w:spacing w:line="240" w:lineRule="auto"/>
              <w:ind w:firstLine="420"/>
              <w:jc w:val="center"/>
              <w:rPr>
                <w:color w:val="auto"/>
                <w:kern w:val="0"/>
                <w:sz w:val="21"/>
                <w:szCs w:val="21"/>
              </w:rPr>
            </w:pPr>
            <w:r>
              <w:rPr>
                <w:rFonts w:hint="eastAsia"/>
                <w:color w:val="auto"/>
                <w:sz w:val="21"/>
                <w:szCs w:val="21"/>
              </w:rPr>
              <w:t>1.99</w:t>
            </w:r>
          </w:p>
        </w:tc>
        <w:tc>
          <w:tcPr>
            <w:tcW w:w="907" w:type="pct"/>
            <w:shd w:val="clear" w:color="auto" w:fill="auto"/>
          </w:tcPr>
          <w:p w14:paraId="1FB34D5A">
            <w:pPr>
              <w:widowControl/>
              <w:spacing w:line="240" w:lineRule="auto"/>
              <w:ind w:firstLine="420"/>
              <w:jc w:val="center"/>
              <w:rPr>
                <w:color w:val="auto"/>
                <w:kern w:val="0"/>
                <w:sz w:val="21"/>
                <w:szCs w:val="21"/>
              </w:rPr>
            </w:pPr>
            <w:r>
              <w:rPr>
                <w:rFonts w:hint="eastAsia"/>
                <w:color w:val="auto"/>
                <w:sz w:val="21"/>
                <w:szCs w:val="21"/>
              </w:rPr>
              <w:t>1.60E-03</w:t>
            </w:r>
          </w:p>
        </w:tc>
        <w:tc>
          <w:tcPr>
            <w:tcW w:w="632" w:type="pct"/>
            <w:shd w:val="clear" w:color="auto" w:fill="auto"/>
          </w:tcPr>
          <w:p w14:paraId="3CAB47E4">
            <w:pPr>
              <w:widowControl/>
              <w:spacing w:line="240" w:lineRule="auto"/>
              <w:ind w:firstLine="420"/>
              <w:jc w:val="center"/>
              <w:rPr>
                <w:color w:val="auto"/>
                <w:kern w:val="0"/>
                <w:sz w:val="21"/>
                <w:szCs w:val="21"/>
              </w:rPr>
            </w:pPr>
            <w:r>
              <w:rPr>
                <w:rFonts w:hint="eastAsia"/>
                <w:color w:val="auto"/>
                <w:sz w:val="21"/>
                <w:szCs w:val="21"/>
              </w:rPr>
              <w:t>0.80</w:t>
            </w:r>
          </w:p>
        </w:tc>
      </w:tr>
      <w:tr w14:paraId="4E0D0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636F399">
            <w:pPr>
              <w:widowControl/>
              <w:spacing w:line="240" w:lineRule="auto"/>
              <w:ind w:firstLine="0" w:firstLineChars="0"/>
              <w:jc w:val="center"/>
              <w:rPr>
                <w:color w:val="auto"/>
                <w:kern w:val="0"/>
                <w:sz w:val="21"/>
                <w:szCs w:val="21"/>
              </w:rPr>
            </w:pPr>
            <w:r>
              <w:rPr>
                <w:color w:val="auto"/>
                <w:kern w:val="0"/>
                <w:sz w:val="21"/>
                <w:szCs w:val="21"/>
              </w:rPr>
              <w:t>50</w:t>
            </w:r>
          </w:p>
        </w:tc>
        <w:tc>
          <w:tcPr>
            <w:tcW w:w="673" w:type="pct"/>
            <w:shd w:val="clear" w:color="auto" w:fill="auto"/>
          </w:tcPr>
          <w:p w14:paraId="052BDC99">
            <w:pPr>
              <w:widowControl/>
              <w:spacing w:line="240" w:lineRule="auto"/>
              <w:ind w:firstLine="420"/>
              <w:jc w:val="center"/>
              <w:rPr>
                <w:color w:val="auto"/>
                <w:kern w:val="0"/>
                <w:sz w:val="21"/>
                <w:szCs w:val="21"/>
              </w:rPr>
            </w:pPr>
            <w:r>
              <w:rPr>
                <w:rFonts w:hint="eastAsia"/>
                <w:color w:val="auto"/>
                <w:sz w:val="21"/>
                <w:szCs w:val="21"/>
              </w:rPr>
              <w:t>4.22E-03</w:t>
            </w:r>
          </w:p>
        </w:tc>
        <w:tc>
          <w:tcPr>
            <w:tcW w:w="578" w:type="pct"/>
            <w:shd w:val="clear" w:color="auto" w:fill="auto"/>
          </w:tcPr>
          <w:p w14:paraId="7EBA8CE8">
            <w:pPr>
              <w:widowControl/>
              <w:spacing w:line="240" w:lineRule="auto"/>
              <w:ind w:firstLine="420"/>
              <w:jc w:val="center"/>
              <w:rPr>
                <w:color w:val="auto"/>
                <w:kern w:val="0"/>
                <w:sz w:val="21"/>
                <w:szCs w:val="21"/>
              </w:rPr>
            </w:pPr>
            <w:r>
              <w:rPr>
                <w:rFonts w:hint="eastAsia"/>
                <w:color w:val="auto"/>
                <w:sz w:val="21"/>
                <w:szCs w:val="21"/>
              </w:rPr>
              <w:t>0.47</w:t>
            </w:r>
          </w:p>
        </w:tc>
        <w:tc>
          <w:tcPr>
            <w:tcW w:w="927" w:type="pct"/>
            <w:shd w:val="clear" w:color="auto" w:fill="auto"/>
          </w:tcPr>
          <w:p w14:paraId="55BC8A61">
            <w:pPr>
              <w:widowControl/>
              <w:spacing w:line="240" w:lineRule="auto"/>
              <w:ind w:firstLine="420"/>
              <w:jc w:val="center"/>
              <w:rPr>
                <w:color w:val="auto"/>
                <w:kern w:val="0"/>
                <w:sz w:val="21"/>
                <w:szCs w:val="21"/>
              </w:rPr>
            </w:pPr>
            <w:r>
              <w:rPr>
                <w:rFonts w:hint="eastAsia"/>
                <w:color w:val="auto"/>
                <w:sz w:val="21"/>
                <w:szCs w:val="21"/>
              </w:rPr>
              <w:t>6.67E-03</w:t>
            </w:r>
          </w:p>
        </w:tc>
        <w:tc>
          <w:tcPr>
            <w:tcW w:w="922" w:type="pct"/>
            <w:shd w:val="clear" w:color="auto" w:fill="auto"/>
          </w:tcPr>
          <w:p w14:paraId="3D158CDF">
            <w:pPr>
              <w:widowControl/>
              <w:spacing w:line="240" w:lineRule="auto"/>
              <w:ind w:firstLine="420"/>
              <w:jc w:val="center"/>
              <w:rPr>
                <w:color w:val="auto"/>
                <w:kern w:val="0"/>
                <w:sz w:val="21"/>
                <w:szCs w:val="21"/>
              </w:rPr>
            </w:pPr>
            <w:r>
              <w:rPr>
                <w:rFonts w:hint="eastAsia"/>
                <w:color w:val="auto"/>
                <w:sz w:val="21"/>
                <w:szCs w:val="21"/>
              </w:rPr>
              <w:t>2.22</w:t>
            </w:r>
          </w:p>
        </w:tc>
        <w:tc>
          <w:tcPr>
            <w:tcW w:w="907" w:type="pct"/>
            <w:shd w:val="clear" w:color="auto" w:fill="auto"/>
          </w:tcPr>
          <w:p w14:paraId="7ECA147C">
            <w:pPr>
              <w:widowControl/>
              <w:spacing w:line="240" w:lineRule="auto"/>
              <w:ind w:firstLine="420"/>
              <w:jc w:val="center"/>
              <w:rPr>
                <w:color w:val="auto"/>
                <w:kern w:val="0"/>
                <w:sz w:val="21"/>
                <w:szCs w:val="21"/>
              </w:rPr>
            </w:pPr>
            <w:r>
              <w:rPr>
                <w:rFonts w:hint="eastAsia"/>
                <w:color w:val="auto"/>
                <w:sz w:val="21"/>
                <w:szCs w:val="21"/>
              </w:rPr>
              <w:t>1.79E-03</w:t>
            </w:r>
          </w:p>
        </w:tc>
        <w:tc>
          <w:tcPr>
            <w:tcW w:w="632" w:type="pct"/>
            <w:shd w:val="clear" w:color="auto" w:fill="auto"/>
          </w:tcPr>
          <w:p w14:paraId="2980D235">
            <w:pPr>
              <w:widowControl/>
              <w:spacing w:line="240" w:lineRule="auto"/>
              <w:ind w:firstLine="420"/>
              <w:jc w:val="center"/>
              <w:rPr>
                <w:color w:val="auto"/>
                <w:kern w:val="0"/>
                <w:sz w:val="21"/>
                <w:szCs w:val="21"/>
              </w:rPr>
            </w:pPr>
            <w:r>
              <w:rPr>
                <w:rFonts w:hint="eastAsia"/>
                <w:color w:val="auto"/>
                <w:sz w:val="21"/>
                <w:szCs w:val="21"/>
              </w:rPr>
              <w:t>0.90</w:t>
            </w:r>
          </w:p>
        </w:tc>
      </w:tr>
      <w:tr w14:paraId="666E3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54B5E45">
            <w:pPr>
              <w:widowControl/>
              <w:spacing w:line="240" w:lineRule="auto"/>
              <w:ind w:firstLine="0" w:firstLineChars="0"/>
              <w:jc w:val="center"/>
              <w:rPr>
                <w:color w:val="auto"/>
                <w:kern w:val="0"/>
                <w:sz w:val="21"/>
                <w:szCs w:val="21"/>
              </w:rPr>
            </w:pPr>
            <w:r>
              <w:rPr>
                <w:color w:val="auto"/>
                <w:kern w:val="0"/>
                <w:sz w:val="21"/>
                <w:szCs w:val="21"/>
              </w:rPr>
              <w:t>75</w:t>
            </w:r>
          </w:p>
        </w:tc>
        <w:tc>
          <w:tcPr>
            <w:tcW w:w="673" w:type="pct"/>
            <w:shd w:val="clear" w:color="auto" w:fill="auto"/>
          </w:tcPr>
          <w:p w14:paraId="176C70AF">
            <w:pPr>
              <w:widowControl/>
              <w:spacing w:line="240" w:lineRule="auto"/>
              <w:ind w:firstLine="420"/>
              <w:jc w:val="center"/>
              <w:rPr>
                <w:color w:val="auto"/>
                <w:kern w:val="0"/>
                <w:sz w:val="21"/>
                <w:szCs w:val="21"/>
              </w:rPr>
            </w:pPr>
            <w:r>
              <w:rPr>
                <w:rFonts w:hint="eastAsia"/>
                <w:color w:val="auto"/>
                <w:sz w:val="21"/>
                <w:szCs w:val="21"/>
              </w:rPr>
              <w:t>4.76E-03</w:t>
            </w:r>
          </w:p>
        </w:tc>
        <w:tc>
          <w:tcPr>
            <w:tcW w:w="578" w:type="pct"/>
            <w:shd w:val="clear" w:color="auto" w:fill="auto"/>
          </w:tcPr>
          <w:p w14:paraId="362BA777">
            <w:pPr>
              <w:widowControl/>
              <w:spacing w:line="240" w:lineRule="auto"/>
              <w:ind w:firstLine="420"/>
              <w:jc w:val="center"/>
              <w:rPr>
                <w:color w:val="auto"/>
                <w:kern w:val="0"/>
                <w:sz w:val="21"/>
                <w:szCs w:val="21"/>
              </w:rPr>
            </w:pPr>
            <w:r>
              <w:rPr>
                <w:rFonts w:hint="eastAsia"/>
                <w:color w:val="auto"/>
                <w:sz w:val="21"/>
                <w:szCs w:val="21"/>
              </w:rPr>
              <w:t>0.53</w:t>
            </w:r>
          </w:p>
        </w:tc>
        <w:tc>
          <w:tcPr>
            <w:tcW w:w="927" w:type="pct"/>
            <w:shd w:val="clear" w:color="auto" w:fill="auto"/>
          </w:tcPr>
          <w:p w14:paraId="43C45B6B">
            <w:pPr>
              <w:widowControl/>
              <w:spacing w:line="240" w:lineRule="auto"/>
              <w:ind w:firstLine="420"/>
              <w:jc w:val="center"/>
              <w:rPr>
                <w:color w:val="auto"/>
                <w:kern w:val="0"/>
                <w:sz w:val="21"/>
                <w:szCs w:val="21"/>
              </w:rPr>
            </w:pPr>
            <w:r>
              <w:rPr>
                <w:rFonts w:hint="eastAsia"/>
                <w:color w:val="auto"/>
                <w:sz w:val="21"/>
                <w:szCs w:val="21"/>
              </w:rPr>
              <w:t>7.52E-03</w:t>
            </w:r>
          </w:p>
        </w:tc>
        <w:tc>
          <w:tcPr>
            <w:tcW w:w="922" w:type="pct"/>
            <w:shd w:val="clear" w:color="auto" w:fill="auto"/>
          </w:tcPr>
          <w:p w14:paraId="5EF3F3E2">
            <w:pPr>
              <w:widowControl/>
              <w:spacing w:line="240" w:lineRule="auto"/>
              <w:ind w:firstLine="420"/>
              <w:jc w:val="center"/>
              <w:rPr>
                <w:color w:val="auto"/>
                <w:kern w:val="0"/>
                <w:sz w:val="21"/>
                <w:szCs w:val="21"/>
              </w:rPr>
            </w:pPr>
            <w:r>
              <w:rPr>
                <w:rFonts w:hint="eastAsia"/>
                <w:color w:val="auto"/>
                <w:sz w:val="21"/>
                <w:szCs w:val="21"/>
              </w:rPr>
              <w:t>2.51</w:t>
            </w:r>
          </w:p>
        </w:tc>
        <w:tc>
          <w:tcPr>
            <w:tcW w:w="907" w:type="pct"/>
            <w:shd w:val="clear" w:color="auto" w:fill="auto"/>
          </w:tcPr>
          <w:p w14:paraId="4FE0010A">
            <w:pPr>
              <w:widowControl/>
              <w:spacing w:line="240" w:lineRule="auto"/>
              <w:ind w:firstLine="420"/>
              <w:jc w:val="center"/>
              <w:rPr>
                <w:color w:val="auto"/>
                <w:kern w:val="0"/>
                <w:sz w:val="21"/>
                <w:szCs w:val="21"/>
              </w:rPr>
            </w:pPr>
            <w:r>
              <w:rPr>
                <w:rFonts w:hint="eastAsia"/>
                <w:color w:val="auto"/>
                <w:sz w:val="21"/>
                <w:szCs w:val="21"/>
              </w:rPr>
              <w:t>2.02E-03</w:t>
            </w:r>
          </w:p>
        </w:tc>
        <w:tc>
          <w:tcPr>
            <w:tcW w:w="632" w:type="pct"/>
            <w:shd w:val="clear" w:color="auto" w:fill="auto"/>
          </w:tcPr>
          <w:p w14:paraId="5F94B19A">
            <w:pPr>
              <w:widowControl/>
              <w:spacing w:line="240" w:lineRule="auto"/>
              <w:ind w:firstLine="420"/>
              <w:jc w:val="center"/>
              <w:rPr>
                <w:color w:val="auto"/>
                <w:kern w:val="0"/>
                <w:sz w:val="21"/>
                <w:szCs w:val="21"/>
              </w:rPr>
            </w:pPr>
            <w:r>
              <w:rPr>
                <w:rFonts w:hint="eastAsia"/>
                <w:color w:val="auto"/>
                <w:sz w:val="21"/>
                <w:szCs w:val="21"/>
              </w:rPr>
              <w:t>1.01</w:t>
            </w:r>
          </w:p>
        </w:tc>
      </w:tr>
      <w:tr w14:paraId="2E375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DB543FC">
            <w:pPr>
              <w:widowControl/>
              <w:spacing w:line="240" w:lineRule="auto"/>
              <w:ind w:firstLine="0" w:firstLineChars="0"/>
              <w:jc w:val="center"/>
              <w:rPr>
                <w:color w:val="auto"/>
                <w:kern w:val="0"/>
                <w:sz w:val="21"/>
                <w:szCs w:val="21"/>
              </w:rPr>
            </w:pPr>
            <w:r>
              <w:rPr>
                <w:color w:val="auto"/>
                <w:kern w:val="0"/>
                <w:sz w:val="21"/>
                <w:szCs w:val="21"/>
              </w:rPr>
              <w:t>100</w:t>
            </w:r>
          </w:p>
        </w:tc>
        <w:tc>
          <w:tcPr>
            <w:tcW w:w="673" w:type="pct"/>
            <w:shd w:val="clear" w:color="auto" w:fill="auto"/>
          </w:tcPr>
          <w:p w14:paraId="1DFDF6C9">
            <w:pPr>
              <w:widowControl/>
              <w:spacing w:line="240" w:lineRule="auto"/>
              <w:ind w:firstLine="420"/>
              <w:jc w:val="center"/>
              <w:rPr>
                <w:color w:val="auto"/>
                <w:kern w:val="0"/>
                <w:sz w:val="21"/>
                <w:szCs w:val="21"/>
              </w:rPr>
            </w:pPr>
            <w:r>
              <w:rPr>
                <w:rFonts w:hint="eastAsia"/>
                <w:color w:val="auto"/>
                <w:sz w:val="21"/>
                <w:szCs w:val="21"/>
              </w:rPr>
              <w:t>5.37E-03</w:t>
            </w:r>
          </w:p>
        </w:tc>
        <w:tc>
          <w:tcPr>
            <w:tcW w:w="578" w:type="pct"/>
            <w:shd w:val="clear" w:color="auto" w:fill="auto"/>
          </w:tcPr>
          <w:p w14:paraId="32F14780">
            <w:pPr>
              <w:widowControl/>
              <w:spacing w:line="240" w:lineRule="auto"/>
              <w:ind w:firstLine="420"/>
              <w:jc w:val="center"/>
              <w:rPr>
                <w:color w:val="auto"/>
                <w:kern w:val="0"/>
                <w:sz w:val="21"/>
                <w:szCs w:val="21"/>
              </w:rPr>
            </w:pPr>
            <w:r>
              <w:rPr>
                <w:rFonts w:hint="eastAsia"/>
                <w:color w:val="auto"/>
                <w:sz w:val="21"/>
                <w:szCs w:val="21"/>
              </w:rPr>
              <w:t>0.60</w:t>
            </w:r>
          </w:p>
        </w:tc>
        <w:tc>
          <w:tcPr>
            <w:tcW w:w="927" w:type="pct"/>
            <w:shd w:val="clear" w:color="auto" w:fill="auto"/>
          </w:tcPr>
          <w:p w14:paraId="6D50C21A">
            <w:pPr>
              <w:widowControl/>
              <w:spacing w:line="240" w:lineRule="auto"/>
              <w:ind w:firstLine="420"/>
              <w:jc w:val="center"/>
              <w:rPr>
                <w:color w:val="auto"/>
                <w:kern w:val="0"/>
                <w:sz w:val="21"/>
                <w:szCs w:val="21"/>
              </w:rPr>
            </w:pPr>
            <w:r>
              <w:rPr>
                <w:rFonts w:hint="eastAsia"/>
                <w:color w:val="auto"/>
                <w:sz w:val="21"/>
                <w:szCs w:val="21"/>
              </w:rPr>
              <w:t>8.49E-03</w:t>
            </w:r>
          </w:p>
        </w:tc>
        <w:tc>
          <w:tcPr>
            <w:tcW w:w="922" w:type="pct"/>
            <w:shd w:val="clear" w:color="auto" w:fill="auto"/>
          </w:tcPr>
          <w:p w14:paraId="4E336006">
            <w:pPr>
              <w:widowControl/>
              <w:spacing w:line="240" w:lineRule="auto"/>
              <w:ind w:firstLine="420"/>
              <w:jc w:val="center"/>
              <w:rPr>
                <w:color w:val="auto"/>
                <w:kern w:val="0"/>
                <w:sz w:val="21"/>
                <w:szCs w:val="21"/>
              </w:rPr>
            </w:pPr>
            <w:r>
              <w:rPr>
                <w:rFonts w:hint="eastAsia"/>
                <w:color w:val="auto"/>
                <w:sz w:val="21"/>
                <w:szCs w:val="21"/>
              </w:rPr>
              <w:t>2.83</w:t>
            </w:r>
          </w:p>
        </w:tc>
        <w:tc>
          <w:tcPr>
            <w:tcW w:w="907" w:type="pct"/>
            <w:shd w:val="clear" w:color="auto" w:fill="auto"/>
          </w:tcPr>
          <w:p w14:paraId="23F79455">
            <w:pPr>
              <w:widowControl/>
              <w:spacing w:line="240" w:lineRule="auto"/>
              <w:ind w:firstLine="420"/>
              <w:jc w:val="center"/>
              <w:rPr>
                <w:color w:val="auto"/>
                <w:kern w:val="0"/>
                <w:sz w:val="21"/>
                <w:szCs w:val="21"/>
              </w:rPr>
            </w:pPr>
            <w:r>
              <w:rPr>
                <w:rFonts w:hint="eastAsia"/>
                <w:color w:val="auto"/>
                <w:sz w:val="21"/>
                <w:szCs w:val="21"/>
              </w:rPr>
              <w:t>2.28E-03</w:t>
            </w:r>
          </w:p>
        </w:tc>
        <w:tc>
          <w:tcPr>
            <w:tcW w:w="632" w:type="pct"/>
            <w:shd w:val="clear" w:color="auto" w:fill="auto"/>
          </w:tcPr>
          <w:p w14:paraId="6C0245A9">
            <w:pPr>
              <w:widowControl/>
              <w:spacing w:line="240" w:lineRule="auto"/>
              <w:ind w:firstLine="420"/>
              <w:jc w:val="center"/>
              <w:rPr>
                <w:color w:val="auto"/>
                <w:kern w:val="0"/>
                <w:sz w:val="21"/>
                <w:szCs w:val="21"/>
              </w:rPr>
            </w:pPr>
            <w:r>
              <w:rPr>
                <w:rFonts w:hint="eastAsia"/>
                <w:color w:val="auto"/>
                <w:sz w:val="21"/>
                <w:szCs w:val="21"/>
              </w:rPr>
              <w:t>1.14</w:t>
            </w:r>
          </w:p>
        </w:tc>
      </w:tr>
      <w:tr w14:paraId="2B489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CA56425">
            <w:pPr>
              <w:widowControl/>
              <w:spacing w:line="240" w:lineRule="auto"/>
              <w:ind w:firstLine="0" w:firstLineChars="0"/>
              <w:jc w:val="center"/>
              <w:rPr>
                <w:color w:val="auto"/>
                <w:kern w:val="0"/>
                <w:sz w:val="21"/>
                <w:szCs w:val="21"/>
              </w:rPr>
            </w:pPr>
            <w:r>
              <w:rPr>
                <w:color w:val="auto"/>
                <w:kern w:val="0"/>
                <w:sz w:val="21"/>
                <w:szCs w:val="21"/>
              </w:rPr>
              <w:t>125</w:t>
            </w:r>
          </w:p>
        </w:tc>
        <w:tc>
          <w:tcPr>
            <w:tcW w:w="673" w:type="pct"/>
            <w:shd w:val="clear" w:color="auto" w:fill="auto"/>
          </w:tcPr>
          <w:p w14:paraId="0FFF9817">
            <w:pPr>
              <w:widowControl/>
              <w:spacing w:line="240" w:lineRule="auto"/>
              <w:ind w:firstLine="420"/>
              <w:jc w:val="center"/>
              <w:rPr>
                <w:color w:val="auto"/>
                <w:kern w:val="0"/>
                <w:sz w:val="21"/>
                <w:szCs w:val="21"/>
              </w:rPr>
            </w:pPr>
            <w:r>
              <w:rPr>
                <w:rFonts w:hint="eastAsia"/>
                <w:color w:val="auto"/>
                <w:sz w:val="21"/>
                <w:szCs w:val="21"/>
              </w:rPr>
              <w:t>5.96E-03</w:t>
            </w:r>
          </w:p>
        </w:tc>
        <w:tc>
          <w:tcPr>
            <w:tcW w:w="578" w:type="pct"/>
            <w:shd w:val="clear" w:color="auto" w:fill="auto"/>
          </w:tcPr>
          <w:p w14:paraId="5B7A6A1E">
            <w:pPr>
              <w:widowControl/>
              <w:spacing w:line="240" w:lineRule="auto"/>
              <w:ind w:firstLine="420"/>
              <w:jc w:val="center"/>
              <w:rPr>
                <w:color w:val="auto"/>
                <w:kern w:val="0"/>
                <w:sz w:val="21"/>
                <w:szCs w:val="21"/>
              </w:rPr>
            </w:pPr>
            <w:r>
              <w:rPr>
                <w:rFonts w:hint="eastAsia"/>
                <w:color w:val="auto"/>
                <w:kern w:val="0"/>
                <w:sz w:val="21"/>
                <w:szCs w:val="21"/>
              </w:rPr>
              <w:t>0.66</w:t>
            </w:r>
          </w:p>
        </w:tc>
        <w:tc>
          <w:tcPr>
            <w:tcW w:w="927" w:type="pct"/>
            <w:shd w:val="clear" w:color="auto" w:fill="auto"/>
          </w:tcPr>
          <w:p w14:paraId="0245F0D8">
            <w:pPr>
              <w:widowControl/>
              <w:spacing w:line="240" w:lineRule="auto"/>
              <w:ind w:firstLine="420"/>
              <w:jc w:val="center"/>
              <w:rPr>
                <w:color w:val="auto"/>
                <w:kern w:val="0"/>
                <w:sz w:val="21"/>
                <w:szCs w:val="21"/>
              </w:rPr>
            </w:pPr>
            <w:r>
              <w:rPr>
                <w:rFonts w:hint="eastAsia"/>
                <w:color w:val="auto"/>
                <w:sz w:val="21"/>
                <w:szCs w:val="21"/>
              </w:rPr>
              <w:t>9.42E-03</w:t>
            </w:r>
          </w:p>
        </w:tc>
        <w:tc>
          <w:tcPr>
            <w:tcW w:w="922" w:type="pct"/>
            <w:shd w:val="clear" w:color="auto" w:fill="auto"/>
          </w:tcPr>
          <w:p w14:paraId="5035502E">
            <w:pPr>
              <w:widowControl/>
              <w:spacing w:line="240" w:lineRule="auto"/>
              <w:ind w:firstLine="420"/>
              <w:jc w:val="center"/>
              <w:rPr>
                <w:color w:val="auto"/>
                <w:kern w:val="0"/>
                <w:sz w:val="21"/>
                <w:szCs w:val="21"/>
              </w:rPr>
            </w:pPr>
            <w:r>
              <w:rPr>
                <w:rFonts w:hint="eastAsia"/>
                <w:color w:val="auto"/>
                <w:sz w:val="21"/>
                <w:szCs w:val="21"/>
              </w:rPr>
              <w:t>3.14</w:t>
            </w:r>
          </w:p>
        </w:tc>
        <w:tc>
          <w:tcPr>
            <w:tcW w:w="907" w:type="pct"/>
            <w:shd w:val="clear" w:color="auto" w:fill="auto"/>
          </w:tcPr>
          <w:p w14:paraId="2851DA05">
            <w:pPr>
              <w:widowControl/>
              <w:spacing w:line="240" w:lineRule="auto"/>
              <w:ind w:firstLine="420"/>
              <w:jc w:val="center"/>
              <w:rPr>
                <w:color w:val="auto"/>
                <w:kern w:val="0"/>
                <w:sz w:val="21"/>
                <w:szCs w:val="21"/>
              </w:rPr>
            </w:pPr>
            <w:r>
              <w:rPr>
                <w:rFonts w:hint="eastAsia"/>
                <w:color w:val="auto"/>
                <w:sz w:val="21"/>
                <w:szCs w:val="21"/>
              </w:rPr>
              <w:t>2.53E-03</w:t>
            </w:r>
          </w:p>
        </w:tc>
        <w:tc>
          <w:tcPr>
            <w:tcW w:w="632" w:type="pct"/>
            <w:shd w:val="clear" w:color="auto" w:fill="auto"/>
          </w:tcPr>
          <w:p w14:paraId="6725AC1C">
            <w:pPr>
              <w:widowControl/>
              <w:spacing w:line="240" w:lineRule="auto"/>
              <w:ind w:firstLine="420"/>
              <w:jc w:val="center"/>
              <w:rPr>
                <w:color w:val="auto"/>
                <w:kern w:val="0"/>
                <w:sz w:val="21"/>
                <w:szCs w:val="21"/>
              </w:rPr>
            </w:pPr>
            <w:r>
              <w:rPr>
                <w:rFonts w:hint="eastAsia"/>
                <w:color w:val="auto"/>
                <w:sz w:val="21"/>
                <w:szCs w:val="21"/>
              </w:rPr>
              <w:t>1.27</w:t>
            </w:r>
          </w:p>
        </w:tc>
      </w:tr>
      <w:tr w14:paraId="6A3F4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A6857D0">
            <w:pPr>
              <w:widowControl/>
              <w:spacing w:line="240" w:lineRule="auto"/>
              <w:ind w:firstLine="0" w:firstLineChars="0"/>
              <w:jc w:val="center"/>
              <w:rPr>
                <w:color w:val="auto"/>
                <w:kern w:val="0"/>
                <w:sz w:val="21"/>
                <w:szCs w:val="21"/>
              </w:rPr>
            </w:pPr>
            <w:r>
              <w:rPr>
                <w:color w:val="auto"/>
                <w:kern w:val="0"/>
                <w:sz w:val="21"/>
                <w:szCs w:val="21"/>
              </w:rPr>
              <w:t>150</w:t>
            </w:r>
          </w:p>
        </w:tc>
        <w:tc>
          <w:tcPr>
            <w:tcW w:w="673" w:type="pct"/>
            <w:shd w:val="clear" w:color="auto" w:fill="auto"/>
          </w:tcPr>
          <w:p w14:paraId="2FFD9085">
            <w:pPr>
              <w:widowControl/>
              <w:spacing w:line="240" w:lineRule="auto"/>
              <w:ind w:firstLine="420"/>
              <w:jc w:val="center"/>
              <w:rPr>
                <w:color w:val="auto"/>
                <w:kern w:val="0"/>
                <w:sz w:val="21"/>
                <w:szCs w:val="21"/>
              </w:rPr>
            </w:pPr>
            <w:r>
              <w:rPr>
                <w:rFonts w:hint="eastAsia"/>
                <w:color w:val="auto"/>
                <w:sz w:val="21"/>
                <w:szCs w:val="21"/>
              </w:rPr>
              <w:t>6.41E-03</w:t>
            </w:r>
          </w:p>
        </w:tc>
        <w:tc>
          <w:tcPr>
            <w:tcW w:w="578" w:type="pct"/>
            <w:shd w:val="clear" w:color="auto" w:fill="auto"/>
          </w:tcPr>
          <w:p w14:paraId="2D9DFC82">
            <w:pPr>
              <w:widowControl/>
              <w:spacing w:line="240" w:lineRule="auto"/>
              <w:ind w:firstLine="420"/>
              <w:jc w:val="center"/>
              <w:rPr>
                <w:color w:val="auto"/>
                <w:kern w:val="0"/>
                <w:sz w:val="21"/>
                <w:szCs w:val="21"/>
              </w:rPr>
            </w:pPr>
            <w:r>
              <w:rPr>
                <w:rFonts w:hint="eastAsia"/>
                <w:color w:val="auto"/>
                <w:kern w:val="0"/>
                <w:sz w:val="21"/>
                <w:szCs w:val="21"/>
              </w:rPr>
              <w:t>0.71</w:t>
            </w:r>
          </w:p>
        </w:tc>
        <w:tc>
          <w:tcPr>
            <w:tcW w:w="927" w:type="pct"/>
            <w:shd w:val="clear" w:color="auto" w:fill="auto"/>
          </w:tcPr>
          <w:p w14:paraId="20ECD7ED">
            <w:pPr>
              <w:widowControl/>
              <w:spacing w:line="240" w:lineRule="auto"/>
              <w:ind w:firstLine="420"/>
              <w:jc w:val="center"/>
              <w:rPr>
                <w:color w:val="auto"/>
                <w:kern w:val="0"/>
                <w:sz w:val="21"/>
                <w:szCs w:val="21"/>
              </w:rPr>
            </w:pPr>
            <w:r>
              <w:rPr>
                <w:rFonts w:hint="eastAsia"/>
                <w:color w:val="auto"/>
                <w:sz w:val="21"/>
                <w:szCs w:val="21"/>
              </w:rPr>
              <w:t>1.01E-02</w:t>
            </w:r>
          </w:p>
        </w:tc>
        <w:tc>
          <w:tcPr>
            <w:tcW w:w="922" w:type="pct"/>
            <w:shd w:val="clear" w:color="auto" w:fill="auto"/>
          </w:tcPr>
          <w:p w14:paraId="39246AA0">
            <w:pPr>
              <w:widowControl/>
              <w:spacing w:line="240" w:lineRule="auto"/>
              <w:ind w:firstLine="420"/>
              <w:jc w:val="center"/>
              <w:rPr>
                <w:color w:val="auto"/>
                <w:kern w:val="0"/>
                <w:sz w:val="21"/>
                <w:szCs w:val="21"/>
              </w:rPr>
            </w:pPr>
            <w:r>
              <w:rPr>
                <w:rFonts w:hint="eastAsia"/>
                <w:color w:val="auto"/>
                <w:sz w:val="21"/>
                <w:szCs w:val="21"/>
              </w:rPr>
              <w:t>3.38</w:t>
            </w:r>
          </w:p>
        </w:tc>
        <w:tc>
          <w:tcPr>
            <w:tcW w:w="907" w:type="pct"/>
            <w:shd w:val="clear" w:color="auto" w:fill="auto"/>
          </w:tcPr>
          <w:p w14:paraId="451B5990">
            <w:pPr>
              <w:widowControl/>
              <w:spacing w:line="240" w:lineRule="auto"/>
              <w:ind w:firstLine="420"/>
              <w:jc w:val="center"/>
              <w:rPr>
                <w:color w:val="auto"/>
                <w:kern w:val="0"/>
                <w:sz w:val="21"/>
                <w:szCs w:val="21"/>
              </w:rPr>
            </w:pPr>
            <w:r>
              <w:rPr>
                <w:rFonts w:hint="eastAsia"/>
                <w:color w:val="auto"/>
                <w:sz w:val="21"/>
                <w:szCs w:val="21"/>
              </w:rPr>
              <w:t>2.73E-03</w:t>
            </w:r>
          </w:p>
        </w:tc>
        <w:tc>
          <w:tcPr>
            <w:tcW w:w="632" w:type="pct"/>
            <w:shd w:val="clear" w:color="auto" w:fill="auto"/>
          </w:tcPr>
          <w:p w14:paraId="4547B032">
            <w:pPr>
              <w:widowControl/>
              <w:spacing w:line="240" w:lineRule="auto"/>
              <w:ind w:firstLine="420"/>
              <w:jc w:val="center"/>
              <w:rPr>
                <w:color w:val="auto"/>
                <w:kern w:val="0"/>
                <w:sz w:val="21"/>
                <w:szCs w:val="21"/>
              </w:rPr>
            </w:pPr>
            <w:r>
              <w:rPr>
                <w:rFonts w:hint="eastAsia"/>
                <w:color w:val="auto"/>
                <w:sz w:val="21"/>
                <w:szCs w:val="21"/>
              </w:rPr>
              <w:t>1.36</w:t>
            </w:r>
          </w:p>
        </w:tc>
      </w:tr>
      <w:tr w14:paraId="1CBBB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7C2EB29">
            <w:pPr>
              <w:widowControl/>
              <w:spacing w:line="240" w:lineRule="auto"/>
              <w:ind w:firstLine="0" w:firstLineChars="0"/>
              <w:jc w:val="center"/>
              <w:rPr>
                <w:color w:val="auto"/>
                <w:kern w:val="0"/>
                <w:sz w:val="21"/>
                <w:szCs w:val="21"/>
              </w:rPr>
            </w:pPr>
            <w:r>
              <w:rPr>
                <w:color w:val="auto"/>
                <w:kern w:val="0"/>
                <w:sz w:val="21"/>
                <w:szCs w:val="21"/>
              </w:rPr>
              <w:t>175</w:t>
            </w:r>
          </w:p>
        </w:tc>
        <w:tc>
          <w:tcPr>
            <w:tcW w:w="673" w:type="pct"/>
            <w:shd w:val="clear" w:color="auto" w:fill="auto"/>
          </w:tcPr>
          <w:p w14:paraId="2BC44010">
            <w:pPr>
              <w:widowControl/>
              <w:spacing w:line="240" w:lineRule="auto"/>
              <w:ind w:firstLine="420"/>
              <w:jc w:val="center"/>
              <w:rPr>
                <w:color w:val="auto"/>
                <w:kern w:val="0"/>
                <w:sz w:val="21"/>
                <w:szCs w:val="21"/>
              </w:rPr>
            </w:pPr>
            <w:r>
              <w:rPr>
                <w:rFonts w:hint="eastAsia"/>
                <w:color w:val="auto"/>
                <w:sz w:val="21"/>
                <w:szCs w:val="21"/>
              </w:rPr>
              <w:t>6.69E-03</w:t>
            </w:r>
          </w:p>
        </w:tc>
        <w:tc>
          <w:tcPr>
            <w:tcW w:w="578" w:type="pct"/>
            <w:shd w:val="clear" w:color="auto" w:fill="auto"/>
          </w:tcPr>
          <w:p w14:paraId="22DA7A2F">
            <w:pPr>
              <w:widowControl/>
              <w:spacing w:line="240" w:lineRule="auto"/>
              <w:ind w:firstLine="420"/>
              <w:jc w:val="center"/>
              <w:rPr>
                <w:color w:val="auto"/>
                <w:kern w:val="0"/>
                <w:sz w:val="21"/>
                <w:szCs w:val="21"/>
              </w:rPr>
            </w:pPr>
            <w:r>
              <w:rPr>
                <w:rFonts w:hint="eastAsia"/>
                <w:color w:val="auto"/>
                <w:kern w:val="0"/>
                <w:sz w:val="21"/>
                <w:szCs w:val="21"/>
              </w:rPr>
              <w:t>0.74</w:t>
            </w:r>
          </w:p>
        </w:tc>
        <w:tc>
          <w:tcPr>
            <w:tcW w:w="927" w:type="pct"/>
            <w:shd w:val="clear" w:color="auto" w:fill="auto"/>
          </w:tcPr>
          <w:p w14:paraId="328E24C8">
            <w:pPr>
              <w:widowControl/>
              <w:spacing w:line="240" w:lineRule="auto"/>
              <w:ind w:firstLine="420"/>
              <w:jc w:val="center"/>
              <w:rPr>
                <w:color w:val="auto"/>
                <w:kern w:val="0"/>
                <w:sz w:val="21"/>
                <w:szCs w:val="21"/>
              </w:rPr>
            </w:pPr>
            <w:r>
              <w:rPr>
                <w:rFonts w:hint="eastAsia"/>
                <w:color w:val="auto"/>
                <w:sz w:val="21"/>
                <w:szCs w:val="21"/>
              </w:rPr>
              <w:t>1.06E-02</w:t>
            </w:r>
          </w:p>
        </w:tc>
        <w:tc>
          <w:tcPr>
            <w:tcW w:w="922" w:type="pct"/>
            <w:shd w:val="clear" w:color="auto" w:fill="auto"/>
          </w:tcPr>
          <w:p w14:paraId="1225DFFB">
            <w:pPr>
              <w:widowControl/>
              <w:spacing w:line="240" w:lineRule="auto"/>
              <w:ind w:firstLine="420"/>
              <w:jc w:val="center"/>
              <w:rPr>
                <w:color w:val="auto"/>
                <w:kern w:val="0"/>
                <w:sz w:val="21"/>
                <w:szCs w:val="21"/>
              </w:rPr>
            </w:pPr>
            <w:r>
              <w:rPr>
                <w:rFonts w:hint="eastAsia"/>
                <w:color w:val="auto"/>
                <w:sz w:val="21"/>
                <w:szCs w:val="21"/>
              </w:rPr>
              <w:t>3.52</w:t>
            </w:r>
          </w:p>
        </w:tc>
        <w:tc>
          <w:tcPr>
            <w:tcW w:w="907" w:type="pct"/>
            <w:shd w:val="clear" w:color="auto" w:fill="auto"/>
          </w:tcPr>
          <w:p w14:paraId="520E530F">
            <w:pPr>
              <w:widowControl/>
              <w:spacing w:line="240" w:lineRule="auto"/>
              <w:ind w:firstLine="420"/>
              <w:jc w:val="center"/>
              <w:rPr>
                <w:color w:val="auto"/>
                <w:kern w:val="0"/>
                <w:sz w:val="21"/>
                <w:szCs w:val="21"/>
              </w:rPr>
            </w:pPr>
            <w:r>
              <w:rPr>
                <w:rFonts w:hint="eastAsia"/>
                <w:color w:val="auto"/>
                <w:sz w:val="21"/>
                <w:szCs w:val="21"/>
              </w:rPr>
              <w:t>2.84E-03</w:t>
            </w:r>
          </w:p>
        </w:tc>
        <w:tc>
          <w:tcPr>
            <w:tcW w:w="632" w:type="pct"/>
            <w:shd w:val="clear" w:color="auto" w:fill="auto"/>
          </w:tcPr>
          <w:p w14:paraId="0A954D1B">
            <w:pPr>
              <w:widowControl/>
              <w:spacing w:line="240" w:lineRule="auto"/>
              <w:ind w:firstLine="420"/>
              <w:jc w:val="center"/>
              <w:rPr>
                <w:color w:val="auto"/>
                <w:kern w:val="0"/>
                <w:sz w:val="21"/>
                <w:szCs w:val="21"/>
              </w:rPr>
            </w:pPr>
            <w:r>
              <w:rPr>
                <w:rFonts w:hint="eastAsia"/>
                <w:color w:val="auto"/>
                <w:sz w:val="21"/>
                <w:szCs w:val="21"/>
              </w:rPr>
              <w:t>1.42</w:t>
            </w:r>
          </w:p>
        </w:tc>
      </w:tr>
      <w:tr w14:paraId="5FAA3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7B96447">
            <w:pPr>
              <w:widowControl/>
              <w:spacing w:line="240" w:lineRule="auto"/>
              <w:ind w:firstLine="0" w:firstLineChars="0"/>
              <w:jc w:val="center"/>
              <w:rPr>
                <w:color w:val="auto"/>
                <w:kern w:val="0"/>
                <w:sz w:val="21"/>
                <w:szCs w:val="21"/>
              </w:rPr>
            </w:pPr>
            <w:r>
              <w:rPr>
                <w:color w:val="auto"/>
                <w:kern w:val="0"/>
                <w:sz w:val="21"/>
                <w:szCs w:val="21"/>
              </w:rPr>
              <w:t>200</w:t>
            </w:r>
          </w:p>
        </w:tc>
        <w:tc>
          <w:tcPr>
            <w:tcW w:w="673" w:type="pct"/>
            <w:shd w:val="clear" w:color="auto" w:fill="auto"/>
          </w:tcPr>
          <w:p w14:paraId="4E48DFB8">
            <w:pPr>
              <w:widowControl/>
              <w:spacing w:line="240" w:lineRule="auto"/>
              <w:ind w:firstLine="420"/>
              <w:jc w:val="center"/>
              <w:rPr>
                <w:color w:val="auto"/>
                <w:kern w:val="0"/>
                <w:sz w:val="21"/>
                <w:szCs w:val="21"/>
              </w:rPr>
            </w:pPr>
            <w:r>
              <w:rPr>
                <w:rFonts w:hint="eastAsia"/>
                <w:color w:val="auto"/>
                <w:sz w:val="21"/>
                <w:szCs w:val="21"/>
              </w:rPr>
              <w:t>6.67E-03</w:t>
            </w:r>
          </w:p>
        </w:tc>
        <w:tc>
          <w:tcPr>
            <w:tcW w:w="578" w:type="pct"/>
            <w:shd w:val="clear" w:color="auto" w:fill="auto"/>
          </w:tcPr>
          <w:p w14:paraId="5CBB6D35">
            <w:pPr>
              <w:widowControl/>
              <w:spacing w:line="240" w:lineRule="auto"/>
              <w:ind w:firstLine="420"/>
              <w:jc w:val="center"/>
              <w:rPr>
                <w:color w:val="auto"/>
                <w:kern w:val="0"/>
                <w:sz w:val="21"/>
                <w:szCs w:val="21"/>
              </w:rPr>
            </w:pPr>
            <w:r>
              <w:rPr>
                <w:rFonts w:hint="eastAsia"/>
                <w:color w:val="auto"/>
                <w:sz w:val="21"/>
                <w:szCs w:val="21"/>
              </w:rPr>
              <w:t>0.74</w:t>
            </w:r>
          </w:p>
        </w:tc>
        <w:tc>
          <w:tcPr>
            <w:tcW w:w="927" w:type="pct"/>
            <w:shd w:val="clear" w:color="auto" w:fill="auto"/>
          </w:tcPr>
          <w:p w14:paraId="1D598284">
            <w:pPr>
              <w:widowControl/>
              <w:spacing w:line="240" w:lineRule="auto"/>
              <w:ind w:firstLine="420"/>
              <w:jc w:val="center"/>
              <w:rPr>
                <w:color w:val="auto"/>
                <w:kern w:val="0"/>
                <w:sz w:val="21"/>
                <w:szCs w:val="21"/>
              </w:rPr>
            </w:pPr>
            <w:r>
              <w:rPr>
                <w:rFonts w:hint="eastAsia"/>
                <w:color w:val="auto"/>
                <w:sz w:val="21"/>
                <w:szCs w:val="21"/>
              </w:rPr>
              <w:t>1.06E-02</w:t>
            </w:r>
          </w:p>
        </w:tc>
        <w:tc>
          <w:tcPr>
            <w:tcW w:w="922" w:type="pct"/>
            <w:shd w:val="clear" w:color="auto" w:fill="auto"/>
          </w:tcPr>
          <w:p w14:paraId="0DF0C9E3">
            <w:pPr>
              <w:widowControl/>
              <w:spacing w:line="240" w:lineRule="auto"/>
              <w:ind w:firstLine="420"/>
              <w:jc w:val="center"/>
              <w:rPr>
                <w:color w:val="auto"/>
                <w:kern w:val="0"/>
                <w:sz w:val="21"/>
                <w:szCs w:val="21"/>
              </w:rPr>
            </w:pPr>
            <w:r>
              <w:rPr>
                <w:rFonts w:hint="eastAsia"/>
                <w:color w:val="auto"/>
                <w:sz w:val="21"/>
                <w:szCs w:val="21"/>
              </w:rPr>
              <w:t>3.52</w:t>
            </w:r>
          </w:p>
        </w:tc>
        <w:tc>
          <w:tcPr>
            <w:tcW w:w="907" w:type="pct"/>
            <w:shd w:val="clear" w:color="auto" w:fill="auto"/>
          </w:tcPr>
          <w:p w14:paraId="697DCB53">
            <w:pPr>
              <w:widowControl/>
              <w:spacing w:line="240" w:lineRule="auto"/>
              <w:ind w:firstLine="420"/>
              <w:jc w:val="center"/>
              <w:rPr>
                <w:color w:val="auto"/>
                <w:kern w:val="0"/>
                <w:sz w:val="21"/>
                <w:szCs w:val="21"/>
              </w:rPr>
            </w:pPr>
            <w:r>
              <w:rPr>
                <w:rFonts w:hint="eastAsia"/>
                <w:color w:val="auto"/>
                <w:sz w:val="21"/>
                <w:szCs w:val="21"/>
              </w:rPr>
              <w:t>2.84E-03</w:t>
            </w:r>
          </w:p>
        </w:tc>
        <w:tc>
          <w:tcPr>
            <w:tcW w:w="632" w:type="pct"/>
            <w:shd w:val="clear" w:color="auto" w:fill="auto"/>
          </w:tcPr>
          <w:p w14:paraId="19EE2265">
            <w:pPr>
              <w:widowControl/>
              <w:spacing w:line="240" w:lineRule="auto"/>
              <w:ind w:firstLine="420"/>
              <w:jc w:val="center"/>
              <w:rPr>
                <w:color w:val="auto"/>
                <w:kern w:val="0"/>
                <w:sz w:val="21"/>
                <w:szCs w:val="21"/>
              </w:rPr>
            </w:pPr>
            <w:r>
              <w:rPr>
                <w:rFonts w:hint="eastAsia"/>
                <w:color w:val="auto"/>
                <w:sz w:val="21"/>
                <w:szCs w:val="21"/>
              </w:rPr>
              <w:t>1.42</w:t>
            </w:r>
          </w:p>
        </w:tc>
      </w:tr>
      <w:tr w14:paraId="656AF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11D5B3E">
            <w:pPr>
              <w:widowControl/>
              <w:spacing w:line="240" w:lineRule="auto"/>
              <w:ind w:firstLine="0" w:firstLineChars="0"/>
              <w:jc w:val="center"/>
              <w:rPr>
                <w:color w:val="auto"/>
                <w:kern w:val="0"/>
                <w:sz w:val="21"/>
                <w:szCs w:val="21"/>
              </w:rPr>
            </w:pPr>
            <w:r>
              <w:rPr>
                <w:color w:val="auto"/>
                <w:kern w:val="0"/>
                <w:sz w:val="21"/>
                <w:szCs w:val="21"/>
              </w:rPr>
              <w:t>225</w:t>
            </w:r>
          </w:p>
        </w:tc>
        <w:tc>
          <w:tcPr>
            <w:tcW w:w="673" w:type="pct"/>
            <w:shd w:val="clear" w:color="auto" w:fill="auto"/>
          </w:tcPr>
          <w:p w14:paraId="7E420D4C">
            <w:pPr>
              <w:widowControl/>
              <w:spacing w:line="240" w:lineRule="auto"/>
              <w:ind w:firstLine="420"/>
              <w:jc w:val="center"/>
              <w:rPr>
                <w:color w:val="auto"/>
                <w:kern w:val="0"/>
                <w:sz w:val="21"/>
                <w:szCs w:val="21"/>
              </w:rPr>
            </w:pPr>
            <w:r>
              <w:rPr>
                <w:rFonts w:hint="eastAsia"/>
                <w:color w:val="auto"/>
                <w:sz w:val="21"/>
                <w:szCs w:val="21"/>
              </w:rPr>
              <w:t>6.50E-03</w:t>
            </w:r>
          </w:p>
        </w:tc>
        <w:tc>
          <w:tcPr>
            <w:tcW w:w="578" w:type="pct"/>
            <w:shd w:val="clear" w:color="auto" w:fill="auto"/>
          </w:tcPr>
          <w:p w14:paraId="47050A28">
            <w:pPr>
              <w:widowControl/>
              <w:spacing w:line="240" w:lineRule="auto"/>
              <w:ind w:firstLine="420"/>
              <w:jc w:val="center"/>
              <w:rPr>
                <w:color w:val="auto"/>
                <w:kern w:val="0"/>
                <w:sz w:val="21"/>
                <w:szCs w:val="21"/>
              </w:rPr>
            </w:pPr>
            <w:r>
              <w:rPr>
                <w:rFonts w:hint="eastAsia"/>
                <w:color w:val="auto"/>
                <w:sz w:val="21"/>
                <w:szCs w:val="21"/>
              </w:rPr>
              <w:t>0.72</w:t>
            </w:r>
          </w:p>
        </w:tc>
        <w:tc>
          <w:tcPr>
            <w:tcW w:w="927" w:type="pct"/>
            <w:shd w:val="clear" w:color="auto" w:fill="auto"/>
          </w:tcPr>
          <w:p w14:paraId="27636997">
            <w:pPr>
              <w:widowControl/>
              <w:spacing w:line="240" w:lineRule="auto"/>
              <w:ind w:firstLine="420"/>
              <w:jc w:val="center"/>
              <w:rPr>
                <w:color w:val="auto"/>
                <w:kern w:val="0"/>
                <w:sz w:val="21"/>
                <w:szCs w:val="21"/>
              </w:rPr>
            </w:pPr>
            <w:r>
              <w:rPr>
                <w:rFonts w:hint="eastAsia"/>
                <w:color w:val="auto"/>
                <w:sz w:val="21"/>
                <w:szCs w:val="21"/>
              </w:rPr>
              <w:t>1.03E-02</w:t>
            </w:r>
          </w:p>
        </w:tc>
        <w:tc>
          <w:tcPr>
            <w:tcW w:w="922" w:type="pct"/>
            <w:shd w:val="clear" w:color="auto" w:fill="auto"/>
          </w:tcPr>
          <w:p w14:paraId="2BD67D27">
            <w:pPr>
              <w:widowControl/>
              <w:spacing w:line="240" w:lineRule="auto"/>
              <w:ind w:firstLine="420"/>
              <w:jc w:val="center"/>
              <w:rPr>
                <w:color w:val="auto"/>
                <w:kern w:val="0"/>
                <w:sz w:val="21"/>
                <w:szCs w:val="21"/>
              </w:rPr>
            </w:pPr>
            <w:r>
              <w:rPr>
                <w:rFonts w:hint="eastAsia"/>
                <w:color w:val="auto"/>
                <w:sz w:val="21"/>
                <w:szCs w:val="21"/>
              </w:rPr>
              <w:t>3.42</w:t>
            </w:r>
          </w:p>
        </w:tc>
        <w:tc>
          <w:tcPr>
            <w:tcW w:w="907" w:type="pct"/>
            <w:shd w:val="clear" w:color="auto" w:fill="auto"/>
          </w:tcPr>
          <w:p w14:paraId="5E8C1CF4">
            <w:pPr>
              <w:widowControl/>
              <w:spacing w:line="240" w:lineRule="auto"/>
              <w:ind w:firstLine="420"/>
              <w:jc w:val="center"/>
              <w:rPr>
                <w:color w:val="auto"/>
                <w:kern w:val="0"/>
                <w:sz w:val="21"/>
                <w:szCs w:val="21"/>
              </w:rPr>
            </w:pPr>
            <w:r>
              <w:rPr>
                <w:rFonts w:hint="eastAsia"/>
                <w:color w:val="auto"/>
                <w:sz w:val="21"/>
                <w:szCs w:val="21"/>
              </w:rPr>
              <w:t>2.76E-03</w:t>
            </w:r>
          </w:p>
        </w:tc>
        <w:tc>
          <w:tcPr>
            <w:tcW w:w="632" w:type="pct"/>
            <w:shd w:val="clear" w:color="auto" w:fill="auto"/>
          </w:tcPr>
          <w:p w14:paraId="403FAA09">
            <w:pPr>
              <w:widowControl/>
              <w:spacing w:line="240" w:lineRule="auto"/>
              <w:ind w:firstLine="420"/>
              <w:jc w:val="center"/>
              <w:rPr>
                <w:color w:val="auto"/>
                <w:kern w:val="0"/>
                <w:sz w:val="21"/>
                <w:szCs w:val="21"/>
              </w:rPr>
            </w:pPr>
            <w:r>
              <w:rPr>
                <w:rFonts w:hint="eastAsia"/>
                <w:color w:val="auto"/>
                <w:sz w:val="21"/>
                <w:szCs w:val="21"/>
              </w:rPr>
              <w:t>1.38</w:t>
            </w:r>
          </w:p>
        </w:tc>
      </w:tr>
      <w:tr w14:paraId="7C399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46977E9">
            <w:pPr>
              <w:widowControl/>
              <w:spacing w:line="240" w:lineRule="auto"/>
              <w:ind w:firstLine="0" w:firstLineChars="0"/>
              <w:jc w:val="center"/>
              <w:rPr>
                <w:color w:val="auto"/>
                <w:kern w:val="0"/>
                <w:sz w:val="21"/>
                <w:szCs w:val="21"/>
              </w:rPr>
            </w:pPr>
            <w:r>
              <w:rPr>
                <w:color w:val="auto"/>
                <w:kern w:val="0"/>
                <w:sz w:val="21"/>
                <w:szCs w:val="21"/>
              </w:rPr>
              <w:t>250</w:t>
            </w:r>
          </w:p>
        </w:tc>
        <w:tc>
          <w:tcPr>
            <w:tcW w:w="673" w:type="pct"/>
            <w:shd w:val="clear" w:color="auto" w:fill="auto"/>
          </w:tcPr>
          <w:p w14:paraId="6D2A08EC">
            <w:pPr>
              <w:widowControl/>
              <w:spacing w:line="240" w:lineRule="auto"/>
              <w:ind w:firstLine="420"/>
              <w:jc w:val="center"/>
              <w:rPr>
                <w:color w:val="auto"/>
                <w:kern w:val="0"/>
                <w:sz w:val="21"/>
                <w:szCs w:val="21"/>
              </w:rPr>
            </w:pPr>
            <w:r>
              <w:rPr>
                <w:rFonts w:hint="eastAsia"/>
                <w:color w:val="auto"/>
                <w:sz w:val="21"/>
                <w:szCs w:val="21"/>
              </w:rPr>
              <w:t>6.24E-03</w:t>
            </w:r>
          </w:p>
        </w:tc>
        <w:tc>
          <w:tcPr>
            <w:tcW w:w="578" w:type="pct"/>
            <w:shd w:val="clear" w:color="auto" w:fill="auto"/>
          </w:tcPr>
          <w:p w14:paraId="00A5396E">
            <w:pPr>
              <w:widowControl/>
              <w:spacing w:line="240" w:lineRule="auto"/>
              <w:ind w:firstLine="420"/>
              <w:jc w:val="center"/>
              <w:rPr>
                <w:color w:val="auto"/>
                <w:kern w:val="0"/>
                <w:sz w:val="21"/>
                <w:szCs w:val="21"/>
              </w:rPr>
            </w:pPr>
            <w:r>
              <w:rPr>
                <w:rFonts w:hint="eastAsia"/>
                <w:color w:val="auto"/>
                <w:sz w:val="21"/>
                <w:szCs w:val="21"/>
              </w:rPr>
              <w:t>0.69</w:t>
            </w:r>
          </w:p>
        </w:tc>
        <w:tc>
          <w:tcPr>
            <w:tcW w:w="927" w:type="pct"/>
            <w:shd w:val="clear" w:color="auto" w:fill="auto"/>
          </w:tcPr>
          <w:p w14:paraId="5D98CF75">
            <w:pPr>
              <w:widowControl/>
              <w:spacing w:line="240" w:lineRule="auto"/>
              <w:ind w:firstLine="420"/>
              <w:jc w:val="center"/>
              <w:rPr>
                <w:color w:val="auto"/>
                <w:kern w:val="0"/>
                <w:sz w:val="21"/>
                <w:szCs w:val="21"/>
              </w:rPr>
            </w:pPr>
            <w:r>
              <w:rPr>
                <w:rFonts w:hint="eastAsia"/>
                <w:color w:val="auto"/>
                <w:sz w:val="21"/>
                <w:szCs w:val="21"/>
              </w:rPr>
              <w:t>9.86E-03</w:t>
            </w:r>
          </w:p>
        </w:tc>
        <w:tc>
          <w:tcPr>
            <w:tcW w:w="922" w:type="pct"/>
            <w:shd w:val="clear" w:color="auto" w:fill="auto"/>
          </w:tcPr>
          <w:p w14:paraId="4A5B9292">
            <w:pPr>
              <w:widowControl/>
              <w:spacing w:line="240" w:lineRule="auto"/>
              <w:ind w:firstLine="420"/>
              <w:jc w:val="center"/>
              <w:rPr>
                <w:color w:val="auto"/>
                <w:kern w:val="0"/>
                <w:sz w:val="21"/>
                <w:szCs w:val="21"/>
              </w:rPr>
            </w:pPr>
            <w:r>
              <w:rPr>
                <w:rFonts w:hint="eastAsia"/>
                <w:color w:val="auto"/>
                <w:sz w:val="21"/>
                <w:szCs w:val="21"/>
              </w:rPr>
              <w:t>3.29</w:t>
            </w:r>
          </w:p>
        </w:tc>
        <w:tc>
          <w:tcPr>
            <w:tcW w:w="907" w:type="pct"/>
            <w:shd w:val="clear" w:color="auto" w:fill="auto"/>
          </w:tcPr>
          <w:p w14:paraId="3612D2E4">
            <w:pPr>
              <w:widowControl/>
              <w:spacing w:line="240" w:lineRule="auto"/>
              <w:ind w:firstLine="420"/>
              <w:jc w:val="center"/>
              <w:rPr>
                <w:color w:val="auto"/>
                <w:kern w:val="0"/>
                <w:sz w:val="21"/>
                <w:szCs w:val="21"/>
              </w:rPr>
            </w:pPr>
            <w:r>
              <w:rPr>
                <w:rFonts w:hint="eastAsia"/>
                <w:color w:val="auto"/>
                <w:sz w:val="21"/>
                <w:szCs w:val="21"/>
              </w:rPr>
              <w:t>2.65E-03</w:t>
            </w:r>
          </w:p>
        </w:tc>
        <w:tc>
          <w:tcPr>
            <w:tcW w:w="632" w:type="pct"/>
            <w:shd w:val="clear" w:color="auto" w:fill="auto"/>
          </w:tcPr>
          <w:p w14:paraId="0B31453B">
            <w:pPr>
              <w:widowControl/>
              <w:spacing w:line="240" w:lineRule="auto"/>
              <w:ind w:firstLine="420"/>
              <w:jc w:val="center"/>
              <w:rPr>
                <w:color w:val="auto"/>
                <w:kern w:val="0"/>
                <w:sz w:val="21"/>
                <w:szCs w:val="21"/>
              </w:rPr>
            </w:pPr>
            <w:r>
              <w:rPr>
                <w:rFonts w:hint="eastAsia"/>
                <w:color w:val="auto"/>
                <w:sz w:val="21"/>
                <w:szCs w:val="21"/>
              </w:rPr>
              <w:t>1.33</w:t>
            </w:r>
          </w:p>
        </w:tc>
      </w:tr>
      <w:tr w14:paraId="35666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88C71E9">
            <w:pPr>
              <w:widowControl/>
              <w:spacing w:line="240" w:lineRule="auto"/>
              <w:ind w:firstLine="0" w:firstLineChars="0"/>
              <w:jc w:val="center"/>
              <w:rPr>
                <w:color w:val="auto"/>
                <w:kern w:val="0"/>
                <w:sz w:val="21"/>
                <w:szCs w:val="21"/>
              </w:rPr>
            </w:pPr>
            <w:r>
              <w:rPr>
                <w:color w:val="auto"/>
                <w:kern w:val="0"/>
                <w:sz w:val="21"/>
                <w:szCs w:val="21"/>
              </w:rPr>
              <w:t>275</w:t>
            </w:r>
          </w:p>
        </w:tc>
        <w:tc>
          <w:tcPr>
            <w:tcW w:w="673" w:type="pct"/>
            <w:shd w:val="clear" w:color="auto" w:fill="auto"/>
          </w:tcPr>
          <w:p w14:paraId="4EFAE377">
            <w:pPr>
              <w:widowControl/>
              <w:spacing w:line="240" w:lineRule="auto"/>
              <w:ind w:firstLine="420"/>
              <w:jc w:val="center"/>
              <w:rPr>
                <w:color w:val="auto"/>
                <w:kern w:val="0"/>
                <w:sz w:val="21"/>
                <w:szCs w:val="21"/>
              </w:rPr>
            </w:pPr>
            <w:r>
              <w:rPr>
                <w:rFonts w:hint="eastAsia"/>
                <w:color w:val="auto"/>
                <w:sz w:val="21"/>
                <w:szCs w:val="21"/>
              </w:rPr>
              <w:t>5.95E-03</w:t>
            </w:r>
          </w:p>
        </w:tc>
        <w:tc>
          <w:tcPr>
            <w:tcW w:w="578" w:type="pct"/>
            <w:shd w:val="clear" w:color="auto" w:fill="auto"/>
          </w:tcPr>
          <w:p w14:paraId="09F534AF">
            <w:pPr>
              <w:widowControl/>
              <w:spacing w:line="240" w:lineRule="auto"/>
              <w:ind w:firstLine="420"/>
              <w:jc w:val="center"/>
              <w:rPr>
                <w:color w:val="auto"/>
                <w:kern w:val="0"/>
                <w:sz w:val="21"/>
                <w:szCs w:val="21"/>
              </w:rPr>
            </w:pPr>
            <w:r>
              <w:rPr>
                <w:rFonts w:hint="eastAsia"/>
                <w:color w:val="auto"/>
                <w:sz w:val="21"/>
                <w:szCs w:val="21"/>
              </w:rPr>
              <w:t>0.66</w:t>
            </w:r>
          </w:p>
        </w:tc>
        <w:tc>
          <w:tcPr>
            <w:tcW w:w="927" w:type="pct"/>
            <w:shd w:val="clear" w:color="auto" w:fill="auto"/>
          </w:tcPr>
          <w:p w14:paraId="1EF2D8FF">
            <w:pPr>
              <w:widowControl/>
              <w:spacing w:line="240" w:lineRule="auto"/>
              <w:ind w:firstLine="420"/>
              <w:jc w:val="center"/>
              <w:rPr>
                <w:color w:val="auto"/>
                <w:kern w:val="0"/>
                <w:sz w:val="21"/>
                <w:szCs w:val="21"/>
              </w:rPr>
            </w:pPr>
            <w:r>
              <w:rPr>
                <w:rFonts w:hint="eastAsia"/>
                <w:color w:val="auto"/>
                <w:sz w:val="21"/>
                <w:szCs w:val="21"/>
              </w:rPr>
              <w:t>9.41E-03</w:t>
            </w:r>
          </w:p>
        </w:tc>
        <w:tc>
          <w:tcPr>
            <w:tcW w:w="922" w:type="pct"/>
            <w:shd w:val="clear" w:color="auto" w:fill="auto"/>
          </w:tcPr>
          <w:p w14:paraId="657B63AF">
            <w:pPr>
              <w:widowControl/>
              <w:spacing w:line="240" w:lineRule="auto"/>
              <w:ind w:firstLine="420"/>
              <w:jc w:val="center"/>
              <w:rPr>
                <w:color w:val="auto"/>
                <w:kern w:val="0"/>
                <w:sz w:val="21"/>
                <w:szCs w:val="21"/>
              </w:rPr>
            </w:pPr>
            <w:r>
              <w:rPr>
                <w:rFonts w:hint="eastAsia"/>
                <w:color w:val="auto"/>
                <w:sz w:val="21"/>
                <w:szCs w:val="21"/>
              </w:rPr>
              <w:t>3.14</w:t>
            </w:r>
          </w:p>
        </w:tc>
        <w:tc>
          <w:tcPr>
            <w:tcW w:w="907" w:type="pct"/>
            <w:shd w:val="clear" w:color="auto" w:fill="auto"/>
          </w:tcPr>
          <w:p w14:paraId="49AC217E">
            <w:pPr>
              <w:widowControl/>
              <w:spacing w:line="240" w:lineRule="auto"/>
              <w:ind w:firstLine="420"/>
              <w:jc w:val="center"/>
              <w:rPr>
                <w:color w:val="auto"/>
                <w:kern w:val="0"/>
                <w:sz w:val="21"/>
                <w:szCs w:val="21"/>
              </w:rPr>
            </w:pPr>
            <w:r>
              <w:rPr>
                <w:rFonts w:hint="eastAsia"/>
                <w:color w:val="auto"/>
                <w:sz w:val="21"/>
                <w:szCs w:val="21"/>
              </w:rPr>
              <w:t>2.53E-03</w:t>
            </w:r>
          </w:p>
        </w:tc>
        <w:tc>
          <w:tcPr>
            <w:tcW w:w="632" w:type="pct"/>
            <w:shd w:val="clear" w:color="auto" w:fill="auto"/>
          </w:tcPr>
          <w:p w14:paraId="6B8DAE58">
            <w:pPr>
              <w:widowControl/>
              <w:spacing w:line="240" w:lineRule="auto"/>
              <w:ind w:firstLine="420"/>
              <w:jc w:val="center"/>
              <w:rPr>
                <w:color w:val="auto"/>
                <w:kern w:val="0"/>
                <w:sz w:val="21"/>
                <w:szCs w:val="21"/>
              </w:rPr>
            </w:pPr>
            <w:r>
              <w:rPr>
                <w:rFonts w:hint="eastAsia"/>
                <w:color w:val="auto"/>
                <w:sz w:val="21"/>
                <w:szCs w:val="21"/>
              </w:rPr>
              <w:t>1.27</w:t>
            </w:r>
          </w:p>
        </w:tc>
      </w:tr>
      <w:tr w14:paraId="52759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33DABE33">
            <w:pPr>
              <w:widowControl/>
              <w:spacing w:line="240" w:lineRule="auto"/>
              <w:ind w:firstLine="0" w:firstLineChars="0"/>
              <w:jc w:val="center"/>
              <w:rPr>
                <w:color w:val="auto"/>
                <w:kern w:val="0"/>
                <w:sz w:val="21"/>
                <w:szCs w:val="21"/>
              </w:rPr>
            </w:pPr>
            <w:r>
              <w:rPr>
                <w:color w:val="auto"/>
                <w:kern w:val="0"/>
                <w:sz w:val="21"/>
                <w:szCs w:val="21"/>
              </w:rPr>
              <w:t>300</w:t>
            </w:r>
          </w:p>
        </w:tc>
        <w:tc>
          <w:tcPr>
            <w:tcW w:w="673" w:type="pct"/>
            <w:shd w:val="clear" w:color="auto" w:fill="auto"/>
          </w:tcPr>
          <w:p w14:paraId="69BF72C2">
            <w:pPr>
              <w:widowControl/>
              <w:spacing w:line="240" w:lineRule="auto"/>
              <w:ind w:firstLine="420"/>
              <w:jc w:val="center"/>
              <w:rPr>
                <w:color w:val="auto"/>
                <w:kern w:val="0"/>
                <w:sz w:val="21"/>
                <w:szCs w:val="21"/>
              </w:rPr>
            </w:pPr>
            <w:r>
              <w:rPr>
                <w:rFonts w:hint="eastAsia"/>
                <w:color w:val="auto"/>
                <w:sz w:val="21"/>
                <w:szCs w:val="21"/>
              </w:rPr>
              <w:t>5.65E-03</w:t>
            </w:r>
          </w:p>
        </w:tc>
        <w:tc>
          <w:tcPr>
            <w:tcW w:w="578" w:type="pct"/>
            <w:shd w:val="clear" w:color="auto" w:fill="auto"/>
          </w:tcPr>
          <w:p w14:paraId="70A25A36">
            <w:pPr>
              <w:widowControl/>
              <w:spacing w:line="240" w:lineRule="auto"/>
              <w:ind w:firstLine="420"/>
              <w:jc w:val="center"/>
              <w:rPr>
                <w:color w:val="auto"/>
                <w:kern w:val="0"/>
                <w:sz w:val="21"/>
                <w:szCs w:val="21"/>
              </w:rPr>
            </w:pPr>
            <w:r>
              <w:rPr>
                <w:rFonts w:hint="eastAsia"/>
                <w:color w:val="auto"/>
                <w:sz w:val="21"/>
                <w:szCs w:val="21"/>
              </w:rPr>
              <w:t>0.63</w:t>
            </w:r>
          </w:p>
        </w:tc>
        <w:tc>
          <w:tcPr>
            <w:tcW w:w="927" w:type="pct"/>
            <w:shd w:val="clear" w:color="auto" w:fill="auto"/>
          </w:tcPr>
          <w:p w14:paraId="1F6BAC60">
            <w:pPr>
              <w:widowControl/>
              <w:spacing w:line="240" w:lineRule="auto"/>
              <w:ind w:firstLine="420"/>
              <w:jc w:val="center"/>
              <w:rPr>
                <w:color w:val="auto"/>
                <w:kern w:val="0"/>
                <w:sz w:val="21"/>
                <w:szCs w:val="21"/>
              </w:rPr>
            </w:pPr>
            <w:r>
              <w:rPr>
                <w:rFonts w:hint="eastAsia"/>
                <w:color w:val="auto"/>
                <w:sz w:val="21"/>
                <w:szCs w:val="21"/>
              </w:rPr>
              <w:t>8.93E-03</w:t>
            </w:r>
          </w:p>
        </w:tc>
        <w:tc>
          <w:tcPr>
            <w:tcW w:w="922" w:type="pct"/>
            <w:shd w:val="clear" w:color="auto" w:fill="auto"/>
          </w:tcPr>
          <w:p w14:paraId="00C0A1F1">
            <w:pPr>
              <w:widowControl/>
              <w:spacing w:line="240" w:lineRule="auto"/>
              <w:ind w:firstLine="420"/>
              <w:jc w:val="center"/>
              <w:rPr>
                <w:color w:val="auto"/>
                <w:kern w:val="0"/>
                <w:sz w:val="21"/>
                <w:szCs w:val="21"/>
              </w:rPr>
            </w:pPr>
            <w:r>
              <w:rPr>
                <w:rFonts w:hint="eastAsia"/>
                <w:color w:val="auto"/>
                <w:sz w:val="21"/>
                <w:szCs w:val="21"/>
              </w:rPr>
              <w:t>2.98</w:t>
            </w:r>
          </w:p>
        </w:tc>
        <w:tc>
          <w:tcPr>
            <w:tcW w:w="907" w:type="pct"/>
            <w:shd w:val="clear" w:color="auto" w:fill="auto"/>
          </w:tcPr>
          <w:p w14:paraId="79113D77">
            <w:pPr>
              <w:widowControl/>
              <w:spacing w:line="240" w:lineRule="auto"/>
              <w:ind w:firstLine="420"/>
              <w:jc w:val="center"/>
              <w:rPr>
                <w:color w:val="auto"/>
                <w:kern w:val="0"/>
                <w:sz w:val="21"/>
                <w:szCs w:val="21"/>
              </w:rPr>
            </w:pPr>
            <w:r>
              <w:rPr>
                <w:rFonts w:hint="eastAsia"/>
                <w:color w:val="auto"/>
                <w:sz w:val="21"/>
                <w:szCs w:val="21"/>
              </w:rPr>
              <w:t>2.40E-03</w:t>
            </w:r>
          </w:p>
        </w:tc>
        <w:tc>
          <w:tcPr>
            <w:tcW w:w="632" w:type="pct"/>
            <w:shd w:val="clear" w:color="auto" w:fill="auto"/>
          </w:tcPr>
          <w:p w14:paraId="256FF0CD">
            <w:pPr>
              <w:widowControl/>
              <w:spacing w:line="240" w:lineRule="auto"/>
              <w:ind w:firstLine="420"/>
              <w:jc w:val="center"/>
              <w:rPr>
                <w:color w:val="auto"/>
                <w:kern w:val="0"/>
                <w:sz w:val="21"/>
                <w:szCs w:val="21"/>
              </w:rPr>
            </w:pPr>
            <w:r>
              <w:rPr>
                <w:rFonts w:hint="eastAsia"/>
                <w:color w:val="auto"/>
                <w:sz w:val="21"/>
                <w:szCs w:val="21"/>
              </w:rPr>
              <w:t>1.20</w:t>
            </w:r>
          </w:p>
        </w:tc>
      </w:tr>
      <w:tr w14:paraId="2172F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51A88E2">
            <w:pPr>
              <w:widowControl/>
              <w:spacing w:line="240" w:lineRule="auto"/>
              <w:ind w:firstLine="0" w:firstLineChars="0"/>
              <w:jc w:val="center"/>
              <w:rPr>
                <w:color w:val="auto"/>
                <w:kern w:val="0"/>
                <w:sz w:val="21"/>
                <w:szCs w:val="21"/>
              </w:rPr>
            </w:pPr>
            <w:r>
              <w:rPr>
                <w:color w:val="auto"/>
                <w:kern w:val="0"/>
                <w:sz w:val="21"/>
                <w:szCs w:val="21"/>
              </w:rPr>
              <w:t>325</w:t>
            </w:r>
          </w:p>
        </w:tc>
        <w:tc>
          <w:tcPr>
            <w:tcW w:w="673" w:type="pct"/>
            <w:shd w:val="clear" w:color="auto" w:fill="auto"/>
          </w:tcPr>
          <w:p w14:paraId="660203EA">
            <w:pPr>
              <w:widowControl/>
              <w:spacing w:line="240" w:lineRule="auto"/>
              <w:ind w:firstLine="420"/>
              <w:jc w:val="center"/>
              <w:rPr>
                <w:color w:val="auto"/>
                <w:kern w:val="0"/>
                <w:sz w:val="21"/>
                <w:szCs w:val="21"/>
              </w:rPr>
            </w:pPr>
            <w:r>
              <w:rPr>
                <w:rFonts w:hint="eastAsia"/>
                <w:color w:val="auto"/>
                <w:sz w:val="21"/>
                <w:szCs w:val="21"/>
              </w:rPr>
              <w:t>5.36E-03</w:t>
            </w:r>
          </w:p>
        </w:tc>
        <w:tc>
          <w:tcPr>
            <w:tcW w:w="578" w:type="pct"/>
            <w:shd w:val="clear" w:color="auto" w:fill="auto"/>
          </w:tcPr>
          <w:p w14:paraId="765D2296">
            <w:pPr>
              <w:widowControl/>
              <w:spacing w:line="240" w:lineRule="auto"/>
              <w:ind w:firstLine="420"/>
              <w:jc w:val="center"/>
              <w:rPr>
                <w:color w:val="auto"/>
                <w:kern w:val="0"/>
                <w:sz w:val="21"/>
                <w:szCs w:val="21"/>
              </w:rPr>
            </w:pPr>
            <w:r>
              <w:rPr>
                <w:rFonts w:hint="eastAsia"/>
                <w:color w:val="auto"/>
                <w:sz w:val="21"/>
                <w:szCs w:val="21"/>
              </w:rPr>
              <w:t>0.60</w:t>
            </w:r>
          </w:p>
        </w:tc>
        <w:tc>
          <w:tcPr>
            <w:tcW w:w="927" w:type="pct"/>
            <w:shd w:val="clear" w:color="auto" w:fill="auto"/>
          </w:tcPr>
          <w:p w14:paraId="6E04DAFC">
            <w:pPr>
              <w:widowControl/>
              <w:spacing w:line="240" w:lineRule="auto"/>
              <w:ind w:firstLine="420"/>
              <w:jc w:val="center"/>
              <w:rPr>
                <w:color w:val="auto"/>
                <w:kern w:val="0"/>
                <w:sz w:val="21"/>
                <w:szCs w:val="21"/>
              </w:rPr>
            </w:pPr>
            <w:r>
              <w:rPr>
                <w:rFonts w:hint="eastAsia"/>
                <w:color w:val="auto"/>
                <w:sz w:val="21"/>
                <w:szCs w:val="21"/>
              </w:rPr>
              <w:t>8.48E-03</w:t>
            </w:r>
          </w:p>
        </w:tc>
        <w:tc>
          <w:tcPr>
            <w:tcW w:w="922" w:type="pct"/>
            <w:shd w:val="clear" w:color="auto" w:fill="auto"/>
          </w:tcPr>
          <w:p w14:paraId="4B51F78C">
            <w:pPr>
              <w:widowControl/>
              <w:spacing w:line="240" w:lineRule="auto"/>
              <w:ind w:firstLine="420"/>
              <w:jc w:val="center"/>
              <w:rPr>
                <w:color w:val="auto"/>
                <w:kern w:val="0"/>
                <w:sz w:val="21"/>
                <w:szCs w:val="21"/>
              </w:rPr>
            </w:pPr>
            <w:r>
              <w:rPr>
                <w:rFonts w:hint="eastAsia"/>
                <w:color w:val="auto"/>
                <w:sz w:val="21"/>
                <w:szCs w:val="21"/>
              </w:rPr>
              <w:t>2.83</w:t>
            </w:r>
          </w:p>
        </w:tc>
        <w:tc>
          <w:tcPr>
            <w:tcW w:w="907" w:type="pct"/>
            <w:shd w:val="clear" w:color="auto" w:fill="auto"/>
          </w:tcPr>
          <w:p w14:paraId="22929565">
            <w:pPr>
              <w:widowControl/>
              <w:spacing w:line="240" w:lineRule="auto"/>
              <w:ind w:firstLine="420"/>
              <w:jc w:val="center"/>
              <w:rPr>
                <w:color w:val="auto"/>
                <w:kern w:val="0"/>
                <w:sz w:val="21"/>
                <w:szCs w:val="21"/>
              </w:rPr>
            </w:pPr>
            <w:r>
              <w:rPr>
                <w:rFonts w:hint="eastAsia"/>
                <w:color w:val="auto"/>
                <w:sz w:val="21"/>
                <w:szCs w:val="21"/>
              </w:rPr>
              <w:t>2.28E-03</w:t>
            </w:r>
          </w:p>
        </w:tc>
        <w:tc>
          <w:tcPr>
            <w:tcW w:w="632" w:type="pct"/>
            <w:shd w:val="clear" w:color="auto" w:fill="auto"/>
          </w:tcPr>
          <w:p w14:paraId="6C7A0DDE">
            <w:pPr>
              <w:widowControl/>
              <w:spacing w:line="240" w:lineRule="auto"/>
              <w:ind w:firstLine="420"/>
              <w:jc w:val="center"/>
              <w:rPr>
                <w:color w:val="auto"/>
                <w:kern w:val="0"/>
                <w:sz w:val="21"/>
                <w:szCs w:val="21"/>
              </w:rPr>
            </w:pPr>
            <w:r>
              <w:rPr>
                <w:rFonts w:hint="eastAsia"/>
                <w:color w:val="auto"/>
                <w:sz w:val="21"/>
                <w:szCs w:val="21"/>
              </w:rPr>
              <w:t>1.14</w:t>
            </w:r>
          </w:p>
        </w:tc>
      </w:tr>
      <w:tr w14:paraId="4D03A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27EB195">
            <w:pPr>
              <w:widowControl/>
              <w:spacing w:line="240" w:lineRule="auto"/>
              <w:ind w:firstLine="0" w:firstLineChars="0"/>
              <w:jc w:val="center"/>
              <w:rPr>
                <w:color w:val="auto"/>
                <w:kern w:val="0"/>
                <w:sz w:val="21"/>
                <w:szCs w:val="21"/>
              </w:rPr>
            </w:pPr>
            <w:r>
              <w:rPr>
                <w:color w:val="auto"/>
                <w:kern w:val="0"/>
                <w:sz w:val="21"/>
                <w:szCs w:val="21"/>
              </w:rPr>
              <w:t>350</w:t>
            </w:r>
          </w:p>
        </w:tc>
        <w:tc>
          <w:tcPr>
            <w:tcW w:w="673" w:type="pct"/>
            <w:shd w:val="clear" w:color="auto" w:fill="auto"/>
          </w:tcPr>
          <w:p w14:paraId="616F74BF">
            <w:pPr>
              <w:widowControl/>
              <w:spacing w:line="240" w:lineRule="auto"/>
              <w:ind w:firstLine="420"/>
              <w:jc w:val="center"/>
              <w:rPr>
                <w:color w:val="auto"/>
                <w:kern w:val="0"/>
                <w:sz w:val="21"/>
                <w:szCs w:val="21"/>
              </w:rPr>
            </w:pPr>
            <w:r>
              <w:rPr>
                <w:rFonts w:hint="eastAsia"/>
                <w:color w:val="auto"/>
                <w:sz w:val="21"/>
                <w:szCs w:val="21"/>
              </w:rPr>
              <w:t>5.08E-03</w:t>
            </w:r>
          </w:p>
        </w:tc>
        <w:tc>
          <w:tcPr>
            <w:tcW w:w="578" w:type="pct"/>
            <w:shd w:val="clear" w:color="auto" w:fill="auto"/>
          </w:tcPr>
          <w:p w14:paraId="0BDEB881">
            <w:pPr>
              <w:widowControl/>
              <w:spacing w:line="240" w:lineRule="auto"/>
              <w:ind w:firstLine="420"/>
              <w:jc w:val="center"/>
              <w:rPr>
                <w:color w:val="auto"/>
                <w:kern w:val="0"/>
                <w:sz w:val="21"/>
                <w:szCs w:val="21"/>
              </w:rPr>
            </w:pPr>
            <w:r>
              <w:rPr>
                <w:rFonts w:hint="eastAsia"/>
                <w:color w:val="auto"/>
                <w:sz w:val="21"/>
                <w:szCs w:val="21"/>
              </w:rPr>
              <w:t>0.56</w:t>
            </w:r>
          </w:p>
        </w:tc>
        <w:tc>
          <w:tcPr>
            <w:tcW w:w="927" w:type="pct"/>
            <w:shd w:val="clear" w:color="auto" w:fill="auto"/>
          </w:tcPr>
          <w:p w14:paraId="7A58DCAA">
            <w:pPr>
              <w:widowControl/>
              <w:spacing w:line="240" w:lineRule="auto"/>
              <w:ind w:firstLine="420"/>
              <w:jc w:val="center"/>
              <w:rPr>
                <w:color w:val="auto"/>
                <w:kern w:val="0"/>
                <w:sz w:val="21"/>
                <w:szCs w:val="21"/>
              </w:rPr>
            </w:pPr>
            <w:r>
              <w:rPr>
                <w:rFonts w:hint="eastAsia"/>
                <w:color w:val="auto"/>
                <w:sz w:val="21"/>
                <w:szCs w:val="21"/>
              </w:rPr>
              <w:t>8.03E-03</w:t>
            </w:r>
          </w:p>
        </w:tc>
        <w:tc>
          <w:tcPr>
            <w:tcW w:w="922" w:type="pct"/>
            <w:shd w:val="clear" w:color="auto" w:fill="auto"/>
          </w:tcPr>
          <w:p w14:paraId="3E16619D">
            <w:pPr>
              <w:widowControl/>
              <w:spacing w:line="240" w:lineRule="auto"/>
              <w:ind w:firstLine="420"/>
              <w:jc w:val="center"/>
              <w:rPr>
                <w:color w:val="auto"/>
                <w:kern w:val="0"/>
                <w:sz w:val="21"/>
                <w:szCs w:val="21"/>
              </w:rPr>
            </w:pPr>
            <w:r>
              <w:rPr>
                <w:rFonts w:hint="eastAsia"/>
                <w:color w:val="auto"/>
                <w:sz w:val="21"/>
                <w:szCs w:val="21"/>
              </w:rPr>
              <w:t>2.68</w:t>
            </w:r>
          </w:p>
        </w:tc>
        <w:tc>
          <w:tcPr>
            <w:tcW w:w="907" w:type="pct"/>
            <w:shd w:val="clear" w:color="auto" w:fill="auto"/>
          </w:tcPr>
          <w:p w14:paraId="7BABA79D">
            <w:pPr>
              <w:widowControl/>
              <w:spacing w:line="240" w:lineRule="auto"/>
              <w:ind w:firstLine="420"/>
              <w:jc w:val="center"/>
              <w:rPr>
                <w:color w:val="auto"/>
                <w:kern w:val="0"/>
                <w:sz w:val="21"/>
                <w:szCs w:val="21"/>
              </w:rPr>
            </w:pPr>
            <w:r>
              <w:rPr>
                <w:rFonts w:hint="eastAsia"/>
                <w:color w:val="auto"/>
                <w:sz w:val="21"/>
                <w:szCs w:val="21"/>
              </w:rPr>
              <w:t>2.16E-03</w:t>
            </w:r>
          </w:p>
        </w:tc>
        <w:tc>
          <w:tcPr>
            <w:tcW w:w="632" w:type="pct"/>
            <w:shd w:val="clear" w:color="auto" w:fill="auto"/>
          </w:tcPr>
          <w:p w14:paraId="034A1B3D">
            <w:pPr>
              <w:widowControl/>
              <w:spacing w:line="240" w:lineRule="auto"/>
              <w:ind w:firstLine="420"/>
              <w:jc w:val="center"/>
              <w:rPr>
                <w:color w:val="auto"/>
                <w:kern w:val="0"/>
                <w:sz w:val="21"/>
                <w:szCs w:val="21"/>
              </w:rPr>
            </w:pPr>
            <w:r>
              <w:rPr>
                <w:rFonts w:hint="eastAsia"/>
                <w:color w:val="auto"/>
                <w:sz w:val="21"/>
                <w:szCs w:val="21"/>
              </w:rPr>
              <w:t>1.08</w:t>
            </w:r>
          </w:p>
        </w:tc>
      </w:tr>
      <w:tr w14:paraId="4A1EB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03F0B57">
            <w:pPr>
              <w:widowControl/>
              <w:spacing w:line="240" w:lineRule="auto"/>
              <w:ind w:firstLine="0" w:firstLineChars="0"/>
              <w:jc w:val="center"/>
              <w:rPr>
                <w:color w:val="auto"/>
                <w:kern w:val="0"/>
                <w:sz w:val="21"/>
                <w:szCs w:val="21"/>
              </w:rPr>
            </w:pPr>
            <w:r>
              <w:rPr>
                <w:color w:val="auto"/>
                <w:kern w:val="0"/>
                <w:sz w:val="21"/>
                <w:szCs w:val="21"/>
              </w:rPr>
              <w:t>375</w:t>
            </w:r>
          </w:p>
        </w:tc>
        <w:tc>
          <w:tcPr>
            <w:tcW w:w="673" w:type="pct"/>
            <w:shd w:val="clear" w:color="auto" w:fill="auto"/>
          </w:tcPr>
          <w:p w14:paraId="2DA2C78C">
            <w:pPr>
              <w:widowControl/>
              <w:spacing w:line="240" w:lineRule="auto"/>
              <w:ind w:firstLine="420"/>
              <w:jc w:val="center"/>
              <w:rPr>
                <w:color w:val="auto"/>
                <w:kern w:val="0"/>
                <w:sz w:val="21"/>
                <w:szCs w:val="21"/>
              </w:rPr>
            </w:pPr>
            <w:r>
              <w:rPr>
                <w:rFonts w:hint="eastAsia"/>
                <w:color w:val="auto"/>
                <w:sz w:val="21"/>
                <w:szCs w:val="21"/>
              </w:rPr>
              <w:t>4.81E-03</w:t>
            </w:r>
          </w:p>
        </w:tc>
        <w:tc>
          <w:tcPr>
            <w:tcW w:w="578" w:type="pct"/>
            <w:shd w:val="clear" w:color="auto" w:fill="auto"/>
          </w:tcPr>
          <w:p w14:paraId="58CE0F83">
            <w:pPr>
              <w:widowControl/>
              <w:spacing w:line="240" w:lineRule="auto"/>
              <w:ind w:firstLine="420"/>
              <w:jc w:val="center"/>
              <w:rPr>
                <w:color w:val="auto"/>
                <w:kern w:val="0"/>
                <w:sz w:val="21"/>
                <w:szCs w:val="21"/>
              </w:rPr>
            </w:pPr>
            <w:r>
              <w:rPr>
                <w:rFonts w:hint="eastAsia"/>
                <w:color w:val="auto"/>
                <w:sz w:val="21"/>
                <w:szCs w:val="21"/>
              </w:rPr>
              <w:t>0.53</w:t>
            </w:r>
          </w:p>
        </w:tc>
        <w:tc>
          <w:tcPr>
            <w:tcW w:w="927" w:type="pct"/>
            <w:shd w:val="clear" w:color="auto" w:fill="auto"/>
          </w:tcPr>
          <w:p w14:paraId="743603A1">
            <w:pPr>
              <w:widowControl/>
              <w:spacing w:line="240" w:lineRule="auto"/>
              <w:ind w:firstLine="420"/>
              <w:jc w:val="center"/>
              <w:rPr>
                <w:color w:val="auto"/>
                <w:kern w:val="0"/>
                <w:sz w:val="21"/>
                <w:szCs w:val="21"/>
              </w:rPr>
            </w:pPr>
            <w:r>
              <w:rPr>
                <w:rFonts w:hint="eastAsia"/>
                <w:color w:val="auto"/>
                <w:sz w:val="21"/>
                <w:szCs w:val="21"/>
              </w:rPr>
              <w:t>7.60E-03</w:t>
            </w:r>
          </w:p>
        </w:tc>
        <w:tc>
          <w:tcPr>
            <w:tcW w:w="922" w:type="pct"/>
            <w:shd w:val="clear" w:color="auto" w:fill="auto"/>
          </w:tcPr>
          <w:p w14:paraId="57363F08">
            <w:pPr>
              <w:widowControl/>
              <w:spacing w:line="240" w:lineRule="auto"/>
              <w:ind w:firstLine="420"/>
              <w:jc w:val="center"/>
              <w:rPr>
                <w:color w:val="auto"/>
                <w:kern w:val="0"/>
                <w:sz w:val="21"/>
                <w:szCs w:val="21"/>
              </w:rPr>
            </w:pPr>
            <w:r>
              <w:rPr>
                <w:rFonts w:hint="eastAsia"/>
                <w:color w:val="auto"/>
                <w:sz w:val="21"/>
                <w:szCs w:val="21"/>
              </w:rPr>
              <w:t>2.53</w:t>
            </w:r>
          </w:p>
        </w:tc>
        <w:tc>
          <w:tcPr>
            <w:tcW w:w="907" w:type="pct"/>
            <w:shd w:val="clear" w:color="auto" w:fill="auto"/>
          </w:tcPr>
          <w:p w14:paraId="571D065F">
            <w:pPr>
              <w:widowControl/>
              <w:spacing w:line="240" w:lineRule="auto"/>
              <w:ind w:firstLine="420"/>
              <w:jc w:val="center"/>
              <w:rPr>
                <w:color w:val="auto"/>
                <w:kern w:val="0"/>
                <w:sz w:val="21"/>
                <w:szCs w:val="21"/>
              </w:rPr>
            </w:pPr>
            <w:r>
              <w:rPr>
                <w:rFonts w:hint="eastAsia"/>
                <w:color w:val="auto"/>
                <w:sz w:val="21"/>
                <w:szCs w:val="21"/>
              </w:rPr>
              <w:t>2.04E-03</w:t>
            </w:r>
          </w:p>
        </w:tc>
        <w:tc>
          <w:tcPr>
            <w:tcW w:w="632" w:type="pct"/>
            <w:shd w:val="clear" w:color="auto" w:fill="auto"/>
          </w:tcPr>
          <w:p w14:paraId="0F8A5D01">
            <w:pPr>
              <w:widowControl/>
              <w:spacing w:line="240" w:lineRule="auto"/>
              <w:ind w:firstLine="420"/>
              <w:jc w:val="center"/>
              <w:rPr>
                <w:color w:val="auto"/>
                <w:kern w:val="0"/>
                <w:sz w:val="21"/>
                <w:szCs w:val="21"/>
              </w:rPr>
            </w:pPr>
            <w:r>
              <w:rPr>
                <w:rFonts w:hint="eastAsia"/>
                <w:color w:val="auto"/>
                <w:sz w:val="21"/>
                <w:szCs w:val="21"/>
              </w:rPr>
              <w:t>1.02</w:t>
            </w:r>
          </w:p>
        </w:tc>
      </w:tr>
      <w:tr w14:paraId="3011C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77EBF92">
            <w:pPr>
              <w:widowControl/>
              <w:spacing w:line="240" w:lineRule="auto"/>
              <w:ind w:firstLine="0" w:firstLineChars="0"/>
              <w:jc w:val="center"/>
              <w:rPr>
                <w:color w:val="auto"/>
                <w:kern w:val="0"/>
                <w:sz w:val="21"/>
                <w:szCs w:val="21"/>
              </w:rPr>
            </w:pPr>
            <w:r>
              <w:rPr>
                <w:color w:val="auto"/>
                <w:kern w:val="0"/>
                <w:sz w:val="21"/>
                <w:szCs w:val="21"/>
              </w:rPr>
              <w:t>400</w:t>
            </w:r>
          </w:p>
        </w:tc>
        <w:tc>
          <w:tcPr>
            <w:tcW w:w="673" w:type="pct"/>
            <w:shd w:val="clear" w:color="auto" w:fill="auto"/>
          </w:tcPr>
          <w:p w14:paraId="7487F411">
            <w:pPr>
              <w:widowControl/>
              <w:spacing w:line="240" w:lineRule="auto"/>
              <w:ind w:firstLine="420"/>
              <w:jc w:val="center"/>
              <w:rPr>
                <w:color w:val="auto"/>
                <w:kern w:val="0"/>
                <w:sz w:val="21"/>
                <w:szCs w:val="21"/>
              </w:rPr>
            </w:pPr>
            <w:r>
              <w:rPr>
                <w:rFonts w:hint="eastAsia"/>
                <w:color w:val="auto"/>
                <w:sz w:val="21"/>
                <w:szCs w:val="21"/>
              </w:rPr>
              <w:t>4.56E-03</w:t>
            </w:r>
          </w:p>
        </w:tc>
        <w:tc>
          <w:tcPr>
            <w:tcW w:w="578" w:type="pct"/>
            <w:shd w:val="clear" w:color="auto" w:fill="auto"/>
          </w:tcPr>
          <w:p w14:paraId="1EAB1A94">
            <w:pPr>
              <w:widowControl/>
              <w:spacing w:line="240" w:lineRule="auto"/>
              <w:ind w:firstLine="420"/>
              <w:jc w:val="center"/>
              <w:rPr>
                <w:color w:val="auto"/>
                <w:kern w:val="0"/>
                <w:sz w:val="21"/>
                <w:szCs w:val="21"/>
              </w:rPr>
            </w:pPr>
            <w:r>
              <w:rPr>
                <w:rFonts w:hint="eastAsia"/>
                <w:color w:val="auto"/>
                <w:sz w:val="21"/>
                <w:szCs w:val="21"/>
              </w:rPr>
              <w:t>0.51</w:t>
            </w:r>
          </w:p>
        </w:tc>
        <w:tc>
          <w:tcPr>
            <w:tcW w:w="927" w:type="pct"/>
            <w:shd w:val="clear" w:color="auto" w:fill="auto"/>
          </w:tcPr>
          <w:p w14:paraId="2527508C">
            <w:pPr>
              <w:widowControl/>
              <w:spacing w:line="240" w:lineRule="auto"/>
              <w:ind w:firstLine="420"/>
              <w:jc w:val="center"/>
              <w:rPr>
                <w:color w:val="auto"/>
                <w:kern w:val="0"/>
                <w:sz w:val="21"/>
                <w:szCs w:val="21"/>
              </w:rPr>
            </w:pPr>
            <w:r>
              <w:rPr>
                <w:rFonts w:hint="eastAsia"/>
                <w:color w:val="auto"/>
                <w:sz w:val="21"/>
                <w:szCs w:val="21"/>
              </w:rPr>
              <w:t>7.20E-03</w:t>
            </w:r>
          </w:p>
        </w:tc>
        <w:tc>
          <w:tcPr>
            <w:tcW w:w="922" w:type="pct"/>
            <w:shd w:val="clear" w:color="auto" w:fill="auto"/>
          </w:tcPr>
          <w:p w14:paraId="7049C7D9">
            <w:pPr>
              <w:widowControl/>
              <w:spacing w:line="240" w:lineRule="auto"/>
              <w:ind w:firstLine="420"/>
              <w:jc w:val="center"/>
              <w:rPr>
                <w:color w:val="auto"/>
                <w:kern w:val="0"/>
                <w:sz w:val="21"/>
                <w:szCs w:val="21"/>
              </w:rPr>
            </w:pPr>
            <w:r>
              <w:rPr>
                <w:rFonts w:hint="eastAsia"/>
                <w:color w:val="auto"/>
                <w:sz w:val="21"/>
                <w:szCs w:val="21"/>
              </w:rPr>
              <w:t>2.40</w:t>
            </w:r>
          </w:p>
        </w:tc>
        <w:tc>
          <w:tcPr>
            <w:tcW w:w="907" w:type="pct"/>
            <w:shd w:val="clear" w:color="auto" w:fill="auto"/>
          </w:tcPr>
          <w:p w14:paraId="5984CA7D">
            <w:pPr>
              <w:widowControl/>
              <w:spacing w:line="240" w:lineRule="auto"/>
              <w:ind w:firstLine="420"/>
              <w:jc w:val="center"/>
              <w:rPr>
                <w:color w:val="auto"/>
                <w:kern w:val="0"/>
                <w:sz w:val="21"/>
                <w:szCs w:val="21"/>
              </w:rPr>
            </w:pPr>
            <w:r>
              <w:rPr>
                <w:rFonts w:hint="eastAsia"/>
                <w:color w:val="auto"/>
                <w:sz w:val="21"/>
                <w:szCs w:val="21"/>
              </w:rPr>
              <w:t>1.94E-03</w:t>
            </w:r>
          </w:p>
        </w:tc>
        <w:tc>
          <w:tcPr>
            <w:tcW w:w="632" w:type="pct"/>
            <w:shd w:val="clear" w:color="auto" w:fill="auto"/>
          </w:tcPr>
          <w:p w14:paraId="56590496">
            <w:pPr>
              <w:widowControl/>
              <w:spacing w:line="240" w:lineRule="auto"/>
              <w:ind w:firstLine="420"/>
              <w:jc w:val="center"/>
              <w:rPr>
                <w:color w:val="auto"/>
                <w:kern w:val="0"/>
                <w:sz w:val="21"/>
                <w:szCs w:val="21"/>
              </w:rPr>
            </w:pPr>
            <w:r>
              <w:rPr>
                <w:rFonts w:hint="eastAsia"/>
                <w:color w:val="auto"/>
                <w:sz w:val="21"/>
                <w:szCs w:val="21"/>
              </w:rPr>
              <w:t>0.97</w:t>
            </w:r>
          </w:p>
        </w:tc>
      </w:tr>
      <w:tr w14:paraId="68F6F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35EE8EAA">
            <w:pPr>
              <w:widowControl/>
              <w:spacing w:line="240" w:lineRule="auto"/>
              <w:ind w:firstLine="0" w:firstLineChars="0"/>
              <w:jc w:val="center"/>
              <w:rPr>
                <w:color w:val="auto"/>
                <w:kern w:val="0"/>
                <w:sz w:val="21"/>
                <w:szCs w:val="21"/>
              </w:rPr>
            </w:pPr>
            <w:r>
              <w:rPr>
                <w:color w:val="auto"/>
                <w:kern w:val="0"/>
                <w:sz w:val="21"/>
                <w:szCs w:val="21"/>
              </w:rPr>
              <w:t>425</w:t>
            </w:r>
          </w:p>
        </w:tc>
        <w:tc>
          <w:tcPr>
            <w:tcW w:w="673" w:type="pct"/>
            <w:shd w:val="clear" w:color="auto" w:fill="auto"/>
          </w:tcPr>
          <w:p w14:paraId="1BE3D3F2">
            <w:pPr>
              <w:widowControl/>
              <w:spacing w:line="240" w:lineRule="auto"/>
              <w:ind w:firstLine="420"/>
              <w:jc w:val="center"/>
              <w:rPr>
                <w:color w:val="auto"/>
                <w:kern w:val="0"/>
                <w:sz w:val="21"/>
                <w:szCs w:val="21"/>
              </w:rPr>
            </w:pPr>
            <w:r>
              <w:rPr>
                <w:rFonts w:hint="eastAsia"/>
                <w:color w:val="auto"/>
                <w:sz w:val="21"/>
                <w:szCs w:val="21"/>
              </w:rPr>
              <w:t>4.32E-03</w:t>
            </w:r>
          </w:p>
        </w:tc>
        <w:tc>
          <w:tcPr>
            <w:tcW w:w="578" w:type="pct"/>
            <w:shd w:val="clear" w:color="auto" w:fill="auto"/>
          </w:tcPr>
          <w:p w14:paraId="0E46A9A2">
            <w:pPr>
              <w:widowControl/>
              <w:spacing w:line="240" w:lineRule="auto"/>
              <w:ind w:firstLine="420"/>
              <w:jc w:val="center"/>
              <w:rPr>
                <w:color w:val="auto"/>
                <w:kern w:val="0"/>
                <w:sz w:val="21"/>
                <w:szCs w:val="21"/>
              </w:rPr>
            </w:pPr>
            <w:r>
              <w:rPr>
                <w:rFonts w:hint="eastAsia"/>
                <w:color w:val="auto"/>
                <w:sz w:val="21"/>
                <w:szCs w:val="21"/>
              </w:rPr>
              <w:t>0.48</w:t>
            </w:r>
          </w:p>
        </w:tc>
        <w:tc>
          <w:tcPr>
            <w:tcW w:w="927" w:type="pct"/>
            <w:shd w:val="clear" w:color="auto" w:fill="auto"/>
          </w:tcPr>
          <w:p w14:paraId="47E6609A">
            <w:pPr>
              <w:widowControl/>
              <w:spacing w:line="240" w:lineRule="auto"/>
              <w:ind w:firstLine="420"/>
              <w:jc w:val="center"/>
              <w:rPr>
                <w:color w:val="auto"/>
                <w:kern w:val="0"/>
                <w:sz w:val="21"/>
                <w:szCs w:val="21"/>
              </w:rPr>
            </w:pPr>
            <w:r>
              <w:rPr>
                <w:rFonts w:hint="eastAsia"/>
                <w:color w:val="auto"/>
                <w:sz w:val="21"/>
                <w:szCs w:val="21"/>
              </w:rPr>
              <w:t>6.83E-03</w:t>
            </w:r>
          </w:p>
        </w:tc>
        <w:tc>
          <w:tcPr>
            <w:tcW w:w="922" w:type="pct"/>
            <w:shd w:val="clear" w:color="auto" w:fill="auto"/>
          </w:tcPr>
          <w:p w14:paraId="6C14C8FD">
            <w:pPr>
              <w:widowControl/>
              <w:spacing w:line="240" w:lineRule="auto"/>
              <w:ind w:firstLine="420"/>
              <w:jc w:val="center"/>
              <w:rPr>
                <w:color w:val="auto"/>
                <w:kern w:val="0"/>
                <w:sz w:val="21"/>
                <w:szCs w:val="21"/>
              </w:rPr>
            </w:pPr>
            <w:r>
              <w:rPr>
                <w:rFonts w:hint="eastAsia"/>
                <w:color w:val="auto"/>
                <w:sz w:val="21"/>
                <w:szCs w:val="21"/>
              </w:rPr>
              <w:t>2.28</w:t>
            </w:r>
          </w:p>
        </w:tc>
        <w:tc>
          <w:tcPr>
            <w:tcW w:w="907" w:type="pct"/>
            <w:shd w:val="clear" w:color="auto" w:fill="auto"/>
          </w:tcPr>
          <w:p w14:paraId="746F71F7">
            <w:pPr>
              <w:widowControl/>
              <w:spacing w:line="240" w:lineRule="auto"/>
              <w:ind w:firstLine="420"/>
              <w:jc w:val="center"/>
              <w:rPr>
                <w:color w:val="auto"/>
                <w:kern w:val="0"/>
                <w:sz w:val="21"/>
                <w:szCs w:val="21"/>
              </w:rPr>
            </w:pPr>
            <w:r>
              <w:rPr>
                <w:rFonts w:hint="eastAsia"/>
                <w:color w:val="auto"/>
                <w:sz w:val="21"/>
                <w:szCs w:val="21"/>
              </w:rPr>
              <w:t>1.84E-03</w:t>
            </w:r>
          </w:p>
        </w:tc>
        <w:tc>
          <w:tcPr>
            <w:tcW w:w="632" w:type="pct"/>
            <w:shd w:val="clear" w:color="auto" w:fill="auto"/>
          </w:tcPr>
          <w:p w14:paraId="72740BD6">
            <w:pPr>
              <w:widowControl/>
              <w:spacing w:line="240" w:lineRule="auto"/>
              <w:ind w:firstLine="420"/>
              <w:jc w:val="center"/>
              <w:rPr>
                <w:color w:val="auto"/>
                <w:kern w:val="0"/>
                <w:sz w:val="21"/>
                <w:szCs w:val="21"/>
              </w:rPr>
            </w:pPr>
            <w:r>
              <w:rPr>
                <w:rFonts w:hint="eastAsia"/>
                <w:color w:val="auto"/>
                <w:sz w:val="21"/>
                <w:szCs w:val="21"/>
              </w:rPr>
              <w:t>0.92</w:t>
            </w:r>
          </w:p>
        </w:tc>
      </w:tr>
      <w:tr w14:paraId="0654E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6160AE8">
            <w:pPr>
              <w:widowControl/>
              <w:spacing w:line="240" w:lineRule="auto"/>
              <w:ind w:firstLine="0" w:firstLineChars="0"/>
              <w:jc w:val="center"/>
              <w:rPr>
                <w:color w:val="auto"/>
                <w:kern w:val="0"/>
                <w:sz w:val="21"/>
                <w:szCs w:val="21"/>
              </w:rPr>
            </w:pPr>
            <w:r>
              <w:rPr>
                <w:color w:val="auto"/>
                <w:kern w:val="0"/>
                <w:sz w:val="21"/>
                <w:szCs w:val="21"/>
              </w:rPr>
              <w:t>450</w:t>
            </w:r>
          </w:p>
        </w:tc>
        <w:tc>
          <w:tcPr>
            <w:tcW w:w="673" w:type="pct"/>
            <w:shd w:val="clear" w:color="auto" w:fill="auto"/>
          </w:tcPr>
          <w:p w14:paraId="76AD443D">
            <w:pPr>
              <w:widowControl/>
              <w:spacing w:line="240" w:lineRule="auto"/>
              <w:ind w:firstLine="420"/>
              <w:jc w:val="center"/>
              <w:rPr>
                <w:color w:val="auto"/>
                <w:kern w:val="0"/>
                <w:sz w:val="21"/>
                <w:szCs w:val="21"/>
              </w:rPr>
            </w:pPr>
            <w:r>
              <w:rPr>
                <w:rFonts w:hint="eastAsia"/>
                <w:color w:val="auto"/>
                <w:sz w:val="21"/>
                <w:szCs w:val="21"/>
              </w:rPr>
              <w:t>4.10E-03</w:t>
            </w:r>
          </w:p>
        </w:tc>
        <w:tc>
          <w:tcPr>
            <w:tcW w:w="578" w:type="pct"/>
            <w:shd w:val="clear" w:color="auto" w:fill="auto"/>
          </w:tcPr>
          <w:p w14:paraId="701FCFD1">
            <w:pPr>
              <w:widowControl/>
              <w:spacing w:line="240" w:lineRule="auto"/>
              <w:ind w:firstLine="420"/>
              <w:jc w:val="center"/>
              <w:rPr>
                <w:color w:val="auto"/>
                <w:kern w:val="0"/>
                <w:sz w:val="21"/>
                <w:szCs w:val="21"/>
              </w:rPr>
            </w:pPr>
            <w:r>
              <w:rPr>
                <w:rFonts w:hint="eastAsia"/>
                <w:color w:val="auto"/>
                <w:sz w:val="21"/>
                <w:szCs w:val="21"/>
              </w:rPr>
              <w:t>0.46</w:t>
            </w:r>
          </w:p>
        </w:tc>
        <w:tc>
          <w:tcPr>
            <w:tcW w:w="927" w:type="pct"/>
            <w:shd w:val="clear" w:color="auto" w:fill="auto"/>
          </w:tcPr>
          <w:p w14:paraId="0F748847">
            <w:pPr>
              <w:widowControl/>
              <w:spacing w:line="240" w:lineRule="auto"/>
              <w:ind w:firstLine="420"/>
              <w:jc w:val="center"/>
              <w:rPr>
                <w:color w:val="auto"/>
                <w:kern w:val="0"/>
                <w:sz w:val="21"/>
                <w:szCs w:val="21"/>
              </w:rPr>
            </w:pPr>
            <w:r>
              <w:rPr>
                <w:rFonts w:hint="eastAsia"/>
                <w:color w:val="auto"/>
                <w:sz w:val="21"/>
                <w:szCs w:val="21"/>
              </w:rPr>
              <w:t>6.48E-03</w:t>
            </w:r>
          </w:p>
        </w:tc>
        <w:tc>
          <w:tcPr>
            <w:tcW w:w="922" w:type="pct"/>
            <w:shd w:val="clear" w:color="auto" w:fill="auto"/>
          </w:tcPr>
          <w:p w14:paraId="049CCF4F">
            <w:pPr>
              <w:widowControl/>
              <w:spacing w:line="240" w:lineRule="auto"/>
              <w:ind w:firstLine="420"/>
              <w:jc w:val="center"/>
              <w:rPr>
                <w:color w:val="auto"/>
                <w:kern w:val="0"/>
                <w:sz w:val="21"/>
                <w:szCs w:val="21"/>
              </w:rPr>
            </w:pPr>
            <w:r>
              <w:rPr>
                <w:rFonts w:hint="eastAsia"/>
                <w:color w:val="auto"/>
                <w:sz w:val="21"/>
                <w:szCs w:val="21"/>
              </w:rPr>
              <w:t>2.16</w:t>
            </w:r>
          </w:p>
        </w:tc>
        <w:tc>
          <w:tcPr>
            <w:tcW w:w="907" w:type="pct"/>
            <w:shd w:val="clear" w:color="auto" w:fill="auto"/>
          </w:tcPr>
          <w:p w14:paraId="0EC9B011">
            <w:pPr>
              <w:widowControl/>
              <w:spacing w:line="240" w:lineRule="auto"/>
              <w:ind w:firstLine="420"/>
              <w:jc w:val="center"/>
              <w:rPr>
                <w:color w:val="auto"/>
                <w:kern w:val="0"/>
                <w:sz w:val="21"/>
                <w:szCs w:val="21"/>
              </w:rPr>
            </w:pPr>
            <w:r>
              <w:rPr>
                <w:rFonts w:hint="eastAsia"/>
                <w:color w:val="auto"/>
                <w:sz w:val="21"/>
                <w:szCs w:val="21"/>
              </w:rPr>
              <w:t>1.74E-03</w:t>
            </w:r>
          </w:p>
        </w:tc>
        <w:tc>
          <w:tcPr>
            <w:tcW w:w="632" w:type="pct"/>
            <w:shd w:val="clear" w:color="auto" w:fill="auto"/>
          </w:tcPr>
          <w:p w14:paraId="6A742FA6">
            <w:pPr>
              <w:widowControl/>
              <w:spacing w:line="240" w:lineRule="auto"/>
              <w:ind w:firstLine="420"/>
              <w:jc w:val="center"/>
              <w:rPr>
                <w:color w:val="auto"/>
                <w:kern w:val="0"/>
                <w:sz w:val="21"/>
                <w:szCs w:val="21"/>
              </w:rPr>
            </w:pPr>
            <w:r>
              <w:rPr>
                <w:rFonts w:hint="eastAsia"/>
                <w:color w:val="auto"/>
                <w:sz w:val="21"/>
                <w:szCs w:val="21"/>
              </w:rPr>
              <w:t>0.87</w:t>
            </w:r>
          </w:p>
        </w:tc>
      </w:tr>
      <w:tr w14:paraId="10740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2D54200">
            <w:pPr>
              <w:widowControl/>
              <w:spacing w:line="240" w:lineRule="auto"/>
              <w:ind w:firstLine="0" w:firstLineChars="0"/>
              <w:jc w:val="center"/>
              <w:rPr>
                <w:color w:val="auto"/>
                <w:kern w:val="0"/>
                <w:sz w:val="21"/>
                <w:szCs w:val="21"/>
              </w:rPr>
            </w:pPr>
            <w:r>
              <w:rPr>
                <w:color w:val="auto"/>
                <w:kern w:val="0"/>
                <w:sz w:val="21"/>
                <w:szCs w:val="21"/>
              </w:rPr>
              <w:t>475</w:t>
            </w:r>
          </w:p>
        </w:tc>
        <w:tc>
          <w:tcPr>
            <w:tcW w:w="673" w:type="pct"/>
            <w:shd w:val="clear" w:color="auto" w:fill="auto"/>
          </w:tcPr>
          <w:p w14:paraId="4A51A1DD">
            <w:pPr>
              <w:widowControl/>
              <w:spacing w:line="240" w:lineRule="auto"/>
              <w:ind w:firstLine="420"/>
              <w:jc w:val="center"/>
              <w:rPr>
                <w:color w:val="auto"/>
                <w:kern w:val="0"/>
                <w:sz w:val="21"/>
                <w:szCs w:val="21"/>
              </w:rPr>
            </w:pPr>
            <w:r>
              <w:rPr>
                <w:rFonts w:hint="eastAsia"/>
                <w:color w:val="auto"/>
                <w:sz w:val="21"/>
                <w:szCs w:val="21"/>
              </w:rPr>
              <w:t>3.89E-03</w:t>
            </w:r>
          </w:p>
        </w:tc>
        <w:tc>
          <w:tcPr>
            <w:tcW w:w="578" w:type="pct"/>
            <w:shd w:val="clear" w:color="auto" w:fill="auto"/>
          </w:tcPr>
          <w:p w14:paraId="38BB670A">
            <w:pPr>
              <w:widowControl/>
              <w:spacing w:line="240" w:lineRule="auto"/>
              <w:ind w:firstLine="420"/>
              <w:jc w:val="center"/>
              <w:rPr>
                <w:color w:val="auto"/>
                <w:kern w:val="0"/>
                <w:sz w:val="21"/>
                <w:szCs w:val="21"/>
              </w:rPr>
            </w:pPr>
            <w:r>
              <w:rPr>
                <w:rFonts w:hint="eastAsia"/>
                <w:color w:val="auto"/>
                <w:sz w:val="21"/>
                <w:szCs w:val="21"/>
              </w:rPr>
              <w:t>0.43</w:t>
            </w:r>
          </w:p>
        </w:tc>
        <w:tc>
          <w:tcPr>
            <w:tcW w:w="927" w:type="pct"/>
            <w:shd w:val="clear" w:color="auto" w:fill="auto"/>
          </w:tcPr>
          <w:p w14:paraId="086CCD9E">
            <w:pPr>
              <w:widowControl/>
              <w:spacing w:line="240" w:lineRule="auto"/>
              <w:ind w:firstLine="420"/>
              <w:jc w:val="center"/>
              <w:rPr>
                <w:color w:val="auto"/>
                <w:kern w:val="0"/>
                <w:sz w:val="21"/>
                <w:szCs w:val="21"/>
              </w:rPr>
            </w:pPr>
            <w:r>
              <w:rPr>
                <w:rFonts w:hint="eastAsia"/>
                <w:color w:val="auto"/>
                <w:sz w:val="21"/>
                <w:szCs w:val="21"/>
              </w:rPr>
              <w:t>6.15E-03</w:t>
            </w:r>
          </w:p>
        </w:tc>
        <w:tc>
          <w:tcPr>
            <w:tcW w:w="922" w:type="pct"/>
            <w:shd w:val="clear" w:color="auto" w:fill="auto"/>
          </w:tcPr>
          <w:p w14:paraId="5118D7DA">
            <w:pPr>
              <w:widowControl/>
              <w:spacing w:line="240" w:lineRule="auto"/>
              <w:ind w:firstLine="420"/>
              <w:jc w:val="center"/>
              <w:rPr>
                <w:color w:val="auto"/>
                <w:kern w:val="0"/>
                <w:sz w:val="21"/>
                <w:szCs w:val="21"/>
              </w:rPr>
            </w:pPr>
            <w:r>
              <w:rPr>
                <w:rFonts w:hint="eastAsia"/>
                <w:color w:val="auto"/>
                <w:sz w:val="21"/>
                <w:szCs w:val="21"/>
              </w:rPr>
              <w:t>2.05</w:t>
            </w:r>
          </w:p>
        </w:tc>
        <w:tc>
          <w:tcPr>
            <w:tcW w:w="907" w:type="pct"/>
            <w:shd w:val="clear" w:color="auto" w:fill="auto"/>
          </w:tcPr>
          <w:p w14:paraId="411D9B8A">
            <w:pPr>
              <w:widowControl/>
              <w:spacing w:line="240" w:lineRule="auto"/>
              <w:ind w:firstLine="420"/>
              <w:jc w:val="center"/>
              <w:rPr>
                <w:color w:val="auto"/>
                <w:kern w:val="0"/>
                <w:sz w:val="21"/>
                <w:szCs w:val="21"/>
              </w:rPr>
            </w:pPr>
            <w:r>
              <w:rPr>
                <w:rFonts w:hint="eastAsia"/>
                <w:color w:val="auto"/>
                <w:sz w:val="21"/>
                <w:szCs w:val="21"/>
              </w:rPr>
              <w:t>1.66E-03</w:t>
            </w:r>
          </w:p>
        </w:tc>
        <w:tc>
          <w:tcPr>
            <w:tcW w:w="632" w:type="pct"/>
            <w:shd w:val="clear" w:color="auto" w:fill="auto"/>
          </w:tcPr>
          <w:p w14:paraId="27E4D2B4">
            <w:pPr>
              <w:widowControl/>
              <w:spacing w:line="240" w:lineRule="auto"/>
              <w:ind w:firstLine="420"/>
              <w:jc w:val="center"/>
              <w:rPr>
                <w:color w:val="auto"/>
                <w:kern w:val="0"/>
                <w:sz w:val="21"/>
                <w:szCs w:val="21"/>
              </w:rPr>
            </w:pPr>
            <w:r>
              <w:rPr>
                <w:rFonts w:hint="eastAsia"/>
                <w:color w:val="auto"/>
                <w:sz w:val="21"/>
                <w:szCs w:val="21"/>
              </w:rPr>
              <w:t>0.83</w:t>
            </w:r>
          </w:p>
        </w:tc>
      </w:tr>
      <w:tr w14:paraId="784DE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E50979C">
            <w:pPr>
              <w:widowControl/>
              <w:spacing w:line="240" w:lineRule="auto"/>
              <w:ind w:firstLine="0" w:firstLineChars="0"/>
              <w:jc w:val="center"/>
              <w:rPr>
                <w:color w:val="auto"/>
                <w:kern w:val="0"/>
                <w:sz w:val="21"/>
                <w:szCs w:val="21"/>
              </w:rPr>
            </w:pPr>
            <w:r>
              <w:rPr>
                <w:color w:val="auto"/>
                <w:kern w:val="0"/>
                <w:sz w:val="21"/>
                <w:szCs w:val="21"/>
              </w:rPr>
              <w:t>500</w:t>
            </w:r>
          </w:p>
        </w:tc>
        <w:tc>
          <w:tcPr>
            <w:tcW w:w="673" w:type="pct"/>
            <w:shd w:val="clear" w:color="auto" w:fill="auto"/>
          </w:tcPr>
          <w:p w14:paraId="04D51AE9">
            <w:pPr>
              <w:widowControl/>
              <w:spacing w:line="240" w:lineRule="auto"/>
              <w:ind w:firstLine="420"/>
              <w:jc w:val="center"/>
              <w:rPr>
                <w:color w:val="auto"/>
                <w:kern w:val="0"/>
                <w:sz w:val="21"/>
                <w:szCs w:val="21"/>
              </w:rPr>
            </w:pPr>
            <w:r>
              <w:rPr>
                <w:rFonts w:hint="eastAsia"/>
                <w:color w:val="auto"/>
                <w:sz w:val="21"/>
                <w:szCs w:val="21"/>
              </w:rPr>
              <w:t>3.70E-03</w:t>
            </w:r>
          </w:p>
        </w:tc>
        <w:tc>
          <w:tcPr>
            <w:tcW w:w="578" w:type="pct"/>
            <w:shd w:val="clear" w:color="auto" w:fill="auto"/>
          </w:tcPr>
          <w:p w14:paraId="7E760AF2">
            <w:pPr>
              <w:widowControl/>
              <w:spacing w:line="240" w:lineRule="auto"/>
              <w:ind w:firstLine="420"/>
              <w:jc w:val="center"/>
              <w:rPr>
                <w:color w:val="auto"/>
                <w:kern w:val="0"/>
                <w:sz w:val="21"/>
                <w:szCs w:val="21"/>
              </w:rPr>
            </w:pPr>
            <w:r>
              <w:rPr>
                <w:rFonts w:hint="eastAsia"/>
                <w:color w:val="auto"/>
                <w:sz w:val="21"/>
                <w:szCs w:val="21"/>
              </w:rPr>
              <w:t>0.41</w:t>
            </w:r>
          </w:p>
        </w:tc>
        <w:tc>
          <w:tcPr>
            <w:tcW w:w="927" w:type="pct"/>
            <w:shd w:val="clear" w:color="auto" w:fill="auto"/>
          </w:tcPr>
          <w:p w14:paraId="118EEFDC">
            <w:pPr>
              <w:widowControl/>
              <w:spacing w:line="240" w:lineRule="auto"/>
              <w:ind w:firstLine="420"/>
              <w:jc w:val="center"/>
              <w:rPr>
                <w:color w:val="auto"/>
                <w:kern w:val="0"/>
                <w:sz w:val="21"/>
                <w:szCs w:val="21"/>
              </w:rPr>
            </w:pPr>
            <w:r>
              <w:rPr>
                <w:rFonts w:hint="eastAsia"/>
                <w:color w:val="auto"/>
                <w:sz w:val="21"/>
                <w:szCs w:val="21"/>
              </w:rPr>
              <w:t>5.86E-03</w:t>
            </w:r>
          </w:p>
        </w:tc>
        <w:tc>
          <w:tcPr>
            <w:tcW w:w="922" w:type="pct"/>
            <w:shd w:val="clear" w:color="auto" w:fill="auto"/>
          </w:tcPr>
          <w:p w14:paraId="33948DD5">
            <w:pPr>
              <w:widowControl/>
              <w:spacing w:line="240" w:lineRule="auto"/>
              <w:ind w:firstLine="420"/>
              <w:jc w:val="center"/>
              <w:rPr>
                <w:color w:val="auto"/>
                <w:kern w:val="0"/>
                <w:sz w:val="21"/>
                <w:szCs w:val="21"/>
              </w:rPr>
            </w:pPr>
            <w:r>
              <w:rPr>
                <w:rFonts w:hint="eastAsia"/>
                <w:color w:val="auto"/>
                <w:sz w:val="21"/>
                <w:szCs w:val="21"/>
              </w:rPr>
              <w:t>1.95</w:t>
            </w:r>
          </w:p>
        </w:tc>
        <w:tc>
          <w:tcPr>
            <w:tcW w:w="907" w:type="pct"/>
            <w:shd w:val="clear" w:color="auto" w:fill="auto"/>
          </w:tcPr>
          <w:p w14:paraId="65120615">
            <w:pPr>
              <w:widowControl/>
              <w:spacing w:line="240" w:lineRule="auto"/>
              <w:ind w:firstLine="420"/>
              <w:jc w:val="center"/>
              <w:rPr>
                <w:color w:val="auto"/>
                <w:kern w:val="0"/>
                <w:sz w:val="21"/>
                <w:szCs w:val="21"/>
              </w:rPr>
            </w:pPr>
            <w:r>
              <w:rPr>
                <w:rFonts w:hint="eastAsia"/>
                <w:color w:val="auto"/>
                <w:sz w:val="21"/>
                <w:szCs w:val="21"/>
              </w:rPr>
              <w:t>1.58E-03</w:t>
            </w:r>
          </w:p>
        </w:tc>
        <w:tc>
          <w:tcPr>
            <w:tcW w:w="632" w:type="pct"/>
            <w:shd w:val="clear" w:color="auto" w:fill="auto"/>
          </w:tcPr>
          <w:p w14:paraId="7F804E6F">
            <w:pPr>
              <w:widowControl/>
              <w:spacing w:line="240" w:lineRule="auto"/>
              <w:ind w:firstLine="420"/>
              <w:jc w:val="center"/>
              <w:rPr>
                <w:color w:val="auto"/>
                <w:kern w:val="0"/>
                <w:sz w:val="21"/>
                <w:szCs w:val="21"/>
              </w:rPr>
            </w:pPr>
            <w:r>
              <w:rPr>
                <w:rFonts w:hint="eastAsia"/>
                <w:color w:val="auto"/>
                <w:sz w:val="21"/>
                <w:szCs w:val="21"/>
              </w:rPr>
              <w:t>0.79</w:t>
            </w:r>
          </w:p>
        </w:tc>
      </w:tr>
      <w:tr w14:paraId="03D75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097D822">
            <w:pPr>
              <w:widowControl/>
              <w:spacing w:line="240" w:lineRule="auto"/>
              <w:ind w:firstLine="0" w:firstLineChars="0"/>
              <w:jc w:val="center"/>
              <w:rPr>
                <w:color w:val="auto"/>
                <w:kern w:val="0"/>
                <w:sz w:val="21"/>
                <w:szCs w:val="21"/>
              </w:rPr>
            </w:pPr>
            <w:r>
              <w:rPr>
                <w:color w:val="auto"/>
                <w:kern w:val="0"/>
                <w:sz w:val="21"/>
                <w:szCs w:val="21"/>
              </w:rPr>
              <w:t>525</w:t>
            </w:r>
          </w:p>
        </w:tc>
        <w:tc>
          <w:tcPr>
            <w:tcW w:w="673" w:type="pct"/>
            <w:shd w:val="clear" w:color="auto" w:fill="auto"/>
          </w:tcPr>
          <w:p w14:paraId="3C4B77FA">
            <w:pPr>
              <w:widowControl/>
              <w:spacing w:line="240" w:lineRule="auto"/>
              <w:ind w:firstLine="420"/>
              <w:jc w:val="center"/>
              <w:rPr>
                <w:color w:val="auto"/>
                <w:kern w:val="0"/>
                <w:sz w:val="21"/>
                <w:szCs w:val="21"/>
              </w:rPr>
            </w:pPr>
            <w:r>
              <w:rPr>
                <w:rFonts w:hint="eastAsia"/>
                <w:color w:val="auto"/>
                <w:sz w:val="21"/>
                <w:szCs w:val="21"/>
              </w:rPr>
              <w:t>3.53E-03</w:t>
            </w:r>
          </w:p>
        </w:tc>
        <w:tc>
          <w:tcPr>
            <w:tcW w:w="578" w:type="pct"/>
            <w:shd w:val="clear" w:color="auto" w:fill="auto"/>
          </w:tcPr>
          <w:p w14:paraId="364693AD">
            <w:pPr>
              <w:widowControl/>
              <w:spacing w:line="240" w:lineRule="auto"/>
              <w:ind w:firstLine="420"/>
              <w:jc w:val="center"/>
              <w:rPr>
                <w:color w:val="auto"/>
                <w:kern w:val="0"/>
                <w:sz w:val="21"/>
                <w:szCs w:val="21"/>
              </w:rPr>
            </w:pPr>
            <w:r>
              <w:rPr>
                <w:rFonts w:hint="eastAsia"/>
                <w:color w:val="auto"/>
                <w:sz w:val="21"/>
                <w:szCs w:val="21"/>
              </w:rPr>
              <w:t>0.39</w:t>
            </w:r>
          </w:p>
        </w:tc>
        <w:tc>
          <w:tcPr>
            <w:tcW w:w="927" w:type="pct"/>
            <w:shd w:val="clear" w:color="auto" w:fill="auto"/>
          </w:tcPr>
          <w:p w14:paraId="4C9C363A">
            <w:pPr>
              <w:widowControl/>
              <w:spacing w:line="240" w:lineRule="auto"/>
              <w:ind w:firstLine="420"/>
              <w:jc w:val="center"/>
              <w:rPr>
                <w:color w:val="auto"/>
                <w:kern w:val="0"/>
                <w:sz w:val="21"/>
                <w:szCs w:val="21"/>
              </w:rPr>
            </w:pPr>
            <w:r>
              <w:rPr>
                <w:rFonts w:hint="eastAsia"/>
                <w:color w:val="auto"/>
                <w:sz w:val="21"/>
                <w:szCs w:val="21"/>
              </w:rPr>
              <w:t>5.58E-03</w:t>
            </w:r>
          </w:p>
        </w:tc>
        <w:tc>
          <w:tcPr>
            <w:tcW w:w="922" w:type="pct"/>
            <w:shd w:val="clear" w:color="auto" w:fill="auto"/>
          </w:tcPr>
          <w:p w14:paraId="1FD93BDE">
            <w:pPr>
              <w:widowControl/>
              <w:spacing w:line="240" w:lineRule="auto"/>
              <w:ind w:firstLine="420"/>
              <w:jc w:val="center"/>
              <w:rPr>
                <w:color w:val="auto"/>
                <w:kern w:val="0"/>
                <w:sz w:val="21"/>
                <w:szCs w:val="21"/>
              </w:rPr>
            </w:pPr>
            <w:r>
              <w:rPr>
                <w:rFonts w:hint="eastAsia"/>
                <w:color w:val="auto"/>
                <w:sz w:val="21"/>
                <w:szCs w:val="21"/>
              </w:rPr>
              <w:t>1.86</w:t>
            </w:r>
          </w:p>
        </w:tc>
        <w:tc>
          <w:tcPr>
            <w:tcW w:w="907" w:type="pct"/>
            <w:shd w:val="clear" w:color="auto" w:fill="auto"/>
          </w:tcPr>
          <w:p w14:paraId="6BDA8398">
            <w:pPr>
              <w:widowControl/>
              <w:spacing w:line="240" w:lineRule="auto"/>
              <w:ind w:firstLine="420"/>
              <w:jc w:val="center"/>
              <w:rPr>
                <w:color w:val="auto"/>
                <w:kern w:val="0"/>
                <w:sz w:val="21"/>
                <w:szCs w:val="21"/>
              </w:rPr>
            </w:pPr>
            <w:r>
              <w:rPr>
                <w:rFonts w:hint="eastAsia"/>
                <w:color w:val="auto"/>
                <w:sz w:val="21"/>
                <w:szCs w:val="21"/>
              </w:rPr>
              <w:t>1.50E-03</w:t>
            </w:r>
          </w:p>
        </w:tc>
        <w:tc>
          <w:tcPr>
            <w:tcW w:w="632" w:type="pct"/>
            <w:shd w:val="clear" w:color="auto" w:fill="auto"/>
          </w:tcPr>
          <w:p w14:paraId="38F75727">
            <w:pPr>
              <w:widowControl/>
              <w:spacing w:line="240" w:lineRule="auto"/>
              <w:ind w:firstLine="420"/>
              <w:jc w:val="center"/>
              <w:rPr>
                <w:color w:val="auto"/>
                <w:kern w:val="0"/>
                <w:sz w:val="21"/>
                <w:szCs w:val="21"/>
              </w:rPr>
            </w:pPr>
            <w:r>
              <w:rPr>
                <w:rFonts w:hint="eastAsia"/>
                <w:color w:val="auto"/>
                <w:sz w:val="21"/>
                <w:szCs w:val="21"/>
              </w:rPr>
              <w:t>0.75</w:t>
            </w:r>
          </w:p>
        </w:tc>
      </w:tr>
      <w:tr w14:paraId="1BB98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6AF0C04">
            <w:pPr>
              <w:widowControl/>
              <w:spacing w:line="240" w:lineRule="auto"/>
              <w:ind w:firstLine="0" w:firstLineChars="0"/>
              <w:jc w:val="center"/>
              <w:rPr>
                <w:color w:val="auto"/>
                <w:kern w:val="0"/>
                <w:sz w:val="21"/>
                <w:szCs w:val="21"/>
              </w:rPr>
            </w:pPr>
            <w:r>
              <w:rPr>
                <w:color w:val="auto"/>
                <w:kern w:val="0"/>
                <w:sz w:val="21"/>
                <w:szCs w:val="21"/>
              </w:rPr>
              <w:t>550</w:t>
            </w:r>
          </w:p>
        </w:tc>
        <w:tc>
          <w:tcPr>
            <w:tcW w:w="673" w:type="pct"/>
            <w:shd w:val="clear" w:color="auto" w:fill="auto"/>
          </w:tcPr>
          <w:p w14:paraId="346CE3D3">
            <w:pPr>
              <w:widowControl/>
              <w:spacing w:line="240" w:lineRule="auto"/>
              <w:ind w:firstLine="420"/>
              <w:jc w:val="center"/>
              <w:rPr>
                <w:color w:val="auto"/>
                <w:kern w:val="0"/>
                <w:sz w:val="21"/>
                <w:szCs w:val="21"/>
              </w:rPr>
            </w:pPr>
            <w:r>
              <w:rPr>
                <w:rFonts w:hint="eastAsia"/>
                <w:color w:val="auto"/>
                <w:sz w:val="21"/>
                <w:szCs w:val="21"/>
              </w:rPr>
              <w:t>3.36E-03</w:t>
            </w:r>
          </w:p>
        </w:tc>
        <w:tc>
          <w:tcPr>
            <w:tcW w:w="578" w:type="pct"/>
            <w:shd w:val="clear" w:color="auto" w:fill="auto"/>
          </w:tcPr>
          <w:p w14:paraId="506CDE8F">
            <w:pPr>
              <w:widowControl/>
              <w:spacing w:line="240" w:lineRule="auto"/>
              <w:ind w:firstLine="420"/>
              <w:jc w:val="center"/>
              <w:rPr>
                <w:color w:val="auto"/>
                <w:kern w:val="0"/>
                <w:sz w:val="21"/>
                <w:szCs w:val="21"/>
              </w:rPr>
            </w:pPr>
            <w:r>
              <w:rPr>
                <w:rFonts w:hint="eastAsia"/>
                <w:color w:val="auto"/>
                <w:sz w:val="21"/>
                <w:szCs w:val="21"/>
              </w:rPr>
              <w:t>0.37</w:t>
            </w:r>
          </w:p>
        </w:tc>
        <w:tc>
          <w:tcPr>
            <w:tcW w:w="927" w:type="pct"/>
            <w:shd w:val="clear" w:color="auto" w:fill="auto"/>
          </w:tcPr>
          <w:p w14:paraId="7BA2E3AB">
            <w:pPr>
              <w:widowControl/>
              <w:spacing w:line="240" w:lineRule="auto"/>
              <w:ind w:firstLine="420"/>
              <w:jc w:val="center"/>
              <w:rPr>
                <w:color w:val="auto"/>
                <w:kern w:val="0"/>
                <w:sz w:val="21"/>
                <w:szCs w:val="21"/>
              </w:rPr>
            </w:pPr>
            <w:r>
              <w:rPr>
                <w:rFonts w:hint="eastAsia"/>
                <w:color w:val="auto"/>
                <w:sz w:val="21"/>
                <w:szCs w:val="21"/>
              </w:rPr>
              <w:t>5.32E-03</w:t>
            </w:r>
          </w:p>
        </w:tc>
        <w:tc>
          <w:tcPr>
            <w:tcW w:w="922" w:type="pct"/>
            <w:shd w:val="clear" w:color="auto" w:fill="auto"/>
          </w:tcPr>
          <w:p w14:paraId="33052184">
            <w:pPr>
              <w:widowControl/>
              <w:spacing w:line="240" w:lineRule="auto"/>
              <w:ind w:firstLine="420"/>
              <w:jc w:val="center"/>
              <w:rPr>
                <w:color w:val="auto"/>
                <w:kern w:val="0"/>
                <w:sz w:val="21"/>
                <w:szCs w:val="21"/>
              </w:rPr>
            </w:pPr>
            <w:r>
              <w:rPr>
                <w:rFonts w:hint="eastAsia"/>
                <w:color w:val="auto"/>
                <w:sz w:val="21"/>
                <w:szCs w:val="21"/>
              </w:rPr>
              <w:t>1.77</w:t>
            </w:r>
          </w:p>
        </w:tc>
        <w:tc>
          <w:tcPr>
            <w:tcW w:w="907" w:type="pct"/>
            <w:shd w:val="clear" w:color="auto" w:fill="auto"/>
          </w:tcPr>
          <w:p w14:paraId="66E38B4F">
            <w:pPr>
              <w:widowControl/>
              <w:spacing w:line="240" w:lineRule="auto"/>
              <w:ind w:firstLine="420"/>
              <w:jc w:val="center"/>
              <w:rPr>
                <w:color w:val="auto"/>
                <w:kern w:val="0"/>
                <w:sz w:val="21"/>
                <w:szCs w:val="21"/>
              </w:rPr>
            </w:pPr>
            <w:r>
              <w:rPr>
                <w:rFonts w:hint="eastAsia"/>
                <w:color w:val="auto"/>
                <w:sz w:val="21"/>
                <w:szCs w:val="21"/>
              </w:rPr>
              <w:t>1.43E-03</w:t>
            </w:r>
          </w:p>
        </w:tc>
        <w:tc>
          <w:tcPr>
            <w:tcW w:w="632" w:type="pct"/>
            <w:shd w:val="clear" w:color="auto" w:fill="auto"/>
          </w:tcPr>
          <w:p w14:paraId="4264450B">
            <w:pPr>
              <w:widowControl/>
              <w:spacing w:line="240" w:lineRule="auto"/>
              <w:ind w:firstLine="420"/>
              <w:jc w:val="center"/>
              <w:rPr>
                <w:color w:val="auto"/>
                <w:kern w:val="0"/>
                <w:sz w:val="21"/>
                <w:szCs w:val="21"/>
              </w:rPr>
            </w:pPr>
            <w:r>
              <w:rPr>
                <w:rFonts w:hint="eastAsia"/>
                <w:color w:val="auto"/>
                <w:sz w:val="21"/>
                <w:szCs w:val="21"/>
              </w:rPr>
              <w:t>0.71</w:t>
            </w:r>
          </w:p>
        </w:tc>
      </w:tr>
      <w:tr w14:paraId="351BB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387D78D9">
            <w:pPr>
              <w:widowControl/>
              <w:spacing w:line="240" w:lineRule="auto"/>
              <w:ind w:firstLine="0" w:firstLineChars="0"/>
              <w:jc w:val="center"/>
              <w:rPr>
                <w:color w:val="auto"/>
                <w:kern w:val="0"/>
                <w:sz w:val="21"/>
                <w:szCs w:val="21"/>
              </w:rPr>
            </w:pPr>
            <w:r>
              <w:rPr>
                <w:color w:val="auto"/>
                <w:kern w:val="0"/>
                <w:sz w:val="21"/>
                <w:szCs w:val="21"/>
              </w:rPr>
              <w:t>575</w:t>
            </w:r>
          </w:p>
        </w:tc>
        <w:tc>
          <w:tcPr>
            <w:tcW w:w="673" w:type="pct"/>
            <w:shd w:val="clear" w:color="auto" w:fill="auto"/>
          </w:tcPr>
          <w:p w14:paraId="4091E37D">
            <w:pPr>
              <w:widowControl/>
              <w:spacing w:line="240" w:lineRule="auto"/>
              <w:ind w:firstLine="420"/>
              <w:jc w:val="center"/>
              <w:rPr>
                <w:color w:val="auto"/>
                <w:kern w:val="0"/>
                <w:sz w:val="21"/>
                <w:szCs w:val="21"/>
              </w:rPr>
            </w:pPr>
            <w:r>
              <w:rPr>
                <w:rFonts w:hint="eastAsia"/>
                <w:color w:val="auto"/>
                <w:sz w:val="21"/>
                <w:szCs w:val="21"/>
              </w:rPr>
              <w:t>3.21E-03</w:t>
            </w:r>
          </w:p>
        </w:tc>
        <w:tc>
          <w:tcPr>
            <w:tcW w:w="578" w:type="pct"/>
            <w:shd w:val="clear" w:color="auto" w:fill="auto"/>
          </w:tcPr>
          <w:p w14:paraId="37D11744">
            <w:pPr>
              <w:widowControl/>
              <w:spacing w:line="240" w:lineRule="auto"/>
              <w:ind w:firstLine="420"/>
              <w:jc w:val="center"/>
              <w:rPr>
                <w:color w:val="auto"/>
                <w:kern w:val="0"/>
                <w:sz w:val="21"/>
                <w:szCs w:val="21"/>
              </w:rPr>
            </w:pPr>
            <w:r>
              <w:rPr>
                <w:rFonts w:hint="eastAsia"/>
                <w:color w:val="auto"/>
                <w:sz w:val="21"/>
                <w:szCs w:val="21"/>
              </w:rPr>
              <w:t>0.36</w:t>
            </w:r>
          </w:p>
        </w:tc>
        <w:tc>
          <w:tcPr>
            <w:tcW w:w="927" w:type="pct"/>
            <w:shd w:val="clear" w:color="auto" w:fill="auto"/>
          </w:tcPr>
          <w:p w14:paraId="6B7651E9">
            <w:pPr>
              <w:widowControl/>
              <w:spacing w:line="240" w:lineRule="auto"/>
              <w:ind w:firstLine="420"/>
              <w:jc w:val="center"/>
              <w:rPr>
                <w:color w:val="auto"/>
                <w:kern w:val="0"/>
                <w:sz w:val="21"/>
                <w:szCs w:val="21"/>
              </w:rPr>
            </w:pPr>
            <w:r>
              <w:rPr>
                <w:rFonts w:hint="eastAsia"/>
                <w:color w:val="auto"/>
                <w:sz w:val="21"/>
                <w:szCs w:val="21"/>
              </w:rPr>
              <w:t>5.08E-03</w:t>
            </w:r>
          </w:p>
        </w:tc>
        <w:tc>
          <w:tcPr>
            <w:tcW w:w="922" w:type="pct"/>
            <w:shd w:val="clear" w:color="auto" w:fill="auto"/>
          </w:tcPr>
          <w:p w14:paraId="3531390D">
            <w:pPr>
              <w:widowControl/>
              <w:spacing w:line="240" w:lineRule="auto"/>
              <w:ind w:firstLine="420"/>
              <w:jc w:val="center"/>
              <w:rPr>
                <w:color w:val="auto"/>
                <w:kern w:val="0"/>
                <w:sz w:val="21"/>
                <w:szCs w:val="21"/>
              </w:rPr>
            </w:pPr>
            <w:r>
              <w:rPr>
                <w:rFonts w:hint="eastAsia"/>
                <w:color w:val="auto"/>
                <w:sz w:val="21"/>
                <w:szCs w:val="21"/>
              </w:rPr>
              <w:t>1.69</w:t>
            </w:r>
          </w:p>
        </w:tc>
        <w:tc>
          <w:tcPr>
            <w:tcW w:w="907" w:type="pct"/>
            <w:shd w:val="clear" w:color="auto" w:fill="auto"/>
          </w:tcPr>
          <w:p w14:paraId="3C6686A8">
            <w:pPr>
              <w:widowControl/>
              <w:spacing w:line="240" w:lineRule="auto"/>
              <w:ind w:firstLine="420"/>
              <w:jc w:val="center"/>
              <w:rPr>
                <w:color w:val="auto"/>
                <w:kern w:val="0"/>
                <w:sz w:val="21"/>
                <w:szCs w:val="21"/>
              </w:rPr>
            </w:pPr>
            <w:r>
              <w:rPr>
                <w:rFonts w:hint="eastAsia"/>
                <w:color w:val="auto"/>
                <w:sz w:val="21"/>
                <w:szCs w:val="21"/>
              </w:rPr>
              <w:t>1.37E-03</w:t>
            </w:r>
          </w:p>
        </w:tc>
        <w:tc>
          <w:tcPr>
            <w:tcW w:w="632" w:type="pct"/>
            <w:shd w:val="clear" w:color="auto" w:fill="auto"/>
          </w:tcPr>
          <w:p w14:paraId="4448BA31">
            <w:pPr>
              <w:widowControl/>
              <w:spacing w:line="240" w:lineRule="auto"/>
              <w:ind w:firstLine="420"/>
              <w:jc w:val="center"/>
              <w:rPr>
                <w:color w:val="auto"/>
                <w:kern w:val="0"/>
                <w:sz w:val="21"/>
                <w:szCs w:val="21"/>
              </w:rPr>
            </w:pPr>
            <w:r>
              <w:rPr>
                <w:rFonts w:hint="eastAsia"/>
                <w:color w:val="auto"/>
                <w:sz w:val="21"/>
                <w:szCs w:val="21"/>
              </w:rPr>
              <w:t>0.68</w:t>
            </w:r>
          </w:p>
        </w:tc>
      </w:tr>
      <w:tr w14:paraId="440F7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35B9134">
            <w:pPr>
              <w:widowControl/>
              <w:spacing w:line="240" w:lineRule="auto"/>
              <w:ind w:firstLine="0" w:firstLineChars="0"/>
              <w:jc w:val="center"/>
              <w:rPr>
                <w:color w:val="auto"/>
                <w:kern w:val="0"/>
                <w:sz w:val="21"/>
                <w:szCs w:val="21"/>
              </w:rPr>
            </w:pPr>
            <w:r>
              <w:rPr>
                <w:color w:val="auto"/>
                <w:kern w:val="0"/>
                <w:sz w:val="21"/>
                <w:szCs w:val="21"/>
              </w:rPr>
              <w:t>600</w:t>
            </w:r>
          </w:p>
        </w:tc>
        <w:tc>
          <w:tcPr>
            <w:tcW w:w="673" w:type="pct"/>
            <w:shd w:val="clear" w:color="auto" w:fill="auto"/>
          </w:tcPr>
          <w:p w14:paraId="6ADE3A5A">
            <w:pPr>
              <w:widowControl/>
              <w:spacing w:line="240" w:lineRule="auto"/>
              <w:ind w:firstLine="420"/>
              <w:jc w:val="center"/>
              <w:rPr>
                <w:color w:val="auto"/>
                <w:kern w:val="0"/>
                <w:sz w:val="21"/>
                <w:szCs w:val="21"/>
              </w:rPr>
            </w:pPr>
            <w:r>
              <w:rPr>
                <w:rFonts w:hint="eastAsia"/>
                <w:color w:val="auto"/>
                <w:sz w:val="21"/>
                <w:szCs w:val="21"/>
              </w:rPr>
              <w:t>3.07E-03</w:t>
            </w:r>
          </w:p>
        </w:tc>
        <w:tc>
          <w:tcPr>
            <w:tcW w:w="578" w:type="pct"/>
            <w:shd w:val="clear" w:color="auto" w:fill="auto"/>
          </w:tcPr>
          <w:p w14:paraId="6A716CF4">
            <w:pPr>
              <w:widowControl/>
              <w:spacing w:line="240" w:lineRule="auto"/>
              <w:ind w:firstLine="420"/>
              <w:jc w:val="center"/>
              <w:rPr>
                <w:color w:val="auto"/>
                <w:kern w:val="0"/>
                <w:sz w:val="21"/>
                <w:szCs w:val="21"/>
              </w:rPr>
            </w:pPr>
            <w:r>
              <w:rPr>
                <w:rFonts w:hint="eastAsia"/>
                <w:color w:val="auto"/>
                <w:sz w:val="21"/>
                <w:szCs w:val="21"/>
              </w:rPr>
              <w:t>0.34</w:t>
            </w:r>
          </w:p>
        </w:tc>
        <w:tc>
          <w:tcPr>
            <w:tcW w:w="927" w:type="pct"/>
            <w:shd w:val="clear" w:color="auto" w:fill="auto"/>
          </w:tcPr>
          <w:p w14:paraId="1C6DB9F7">
            <w:pPr>
              <w:widowControl/>
              <w:spacing w:line="240" w:lineRule="auto"/>
              <w:ind w:firstLine="420"/>
              <w:jc w:val="center"/>
              <w:rPr>
                <w:color w:val="auto"/>
                <w:kern w:val="0"/>
                <w:sz w:val="21"/>
                <w:szCs w:val="21"/>
              </w:rPr>
            </w:pPr>
            <w:r>
              <w:rPr>
                <w:rFonts w:hint="eastAsia"/>
                <w:color w:val="auto"/>
                <w:sz w:val="21"/>
                <w:szCs w:val="21"/>
              </w:rPr>
              <w:t>4.85E-03</w:t>
            </w:r>
          </w:p>
        </w:tc>
        <w:tc>
          <w:tcPr>
            <w:tcW w:w="922" w:type="pct"/>
            <w:shd w:val="clear" w:color="auto" w:fill="auto"/>
          </w:tcPr>
          <w:p w14:paraId="3883ECBB">
            <w:pPr>
              <w:widowControl/>
              <w:spacing w:line="240" w:lineRule="auto"/>
              <w:ind w:firstLine="420"/>
              <w:jc w:val="center"/>
              <w:rPr>
                <w:color w:val="auto"/>
                <w:kern w:val="0"/>
                <w:sz w:val="21"/>
                <w:szCs w:val="21"/>
              </w:rPr>
            </w:pPr>
            <w:r>
              <w:rPr>
                <w:rFonts w:hint="eastAsia"/>
                <w:color w:val="auto"/>
                <w:sz w:val="21"/>
                <w:szCs w:val="21"/>
              </w:rPr>
              <w:t>1.62</w:t>
            </w:r>
          </w:p>
        </w:tc>
        <w:tc>
          <w:tcPr>
            <w:tcW w:w="907" w:type="pct"/>
            <w:shd w:val="clear" w:color="auto" w:fill="auto"/>
          </w:tcPr>
          <w:p w14:paraId="381D9E05">
            <w:pPr>
              <w:widowControl/>
              <w:spacing w:line="240" w:lineRule="auto"/>
              <w:ind w:firstLine="420"/>
              <w:jc w:val="center"/>
              <w:rPr>
                <w:color w:val="auto"/>
                <w:kern w:val="0"/>
                <w:sz w:val="21"/>
                <w:szCs w:val="21"/>
              </w:rPr>
            </w:pPr>
            <w:r>
              <w:rPr>
                <w:rFonts w:hint="eastAsia"/>
                <w:color w:val="auto"/>
                <w:sz w:val="21"/>
                <w:szCs w:val="21"/>
              </w:rPr>
              <w:t>1.30E-03</w:t>
            </w:r>
          </w:p>
        </w:tc>
        <w:tc>
          <w:tcPr>
            <w:tcW w:w="632" w:type="pct"/>
            <w:shd w:val="clear" w:color="auto" w:fill="auto"/>
          </w:tcPr>
          <w:p w14:paraId="634408B8">
            <w:pPr>
              <w:widowControl/>
              <w:spacing w:line="240" w:lineRule="auto"/>
              <w:ind w:firstLine="420"/>
              <w:jc w:val="center"/>
              <w:rPr>
                <w:color w:val="auto"/>
                <w:kern w:val="0"/>
                <w:sz w:val="21"/>
                <w:szCs w:val="21"/>
              </w:rPr>
            </w:pPr>
            <w:r>
              <w:rPr>
                <w:rFonts w:hint="eastAsia"/>
                <w:color w:val="auto"/>
                <w:sz w:val="21"/>
                <w:szCs w:val="21"/>
              </w:rPr>
              <w:t>0.65</w:t>
            </w:r>
          </w:p>
        </w:tc>
      </w:tr>
      <w:tr w14:paraId="1B3C6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F975C8D">
            <w:pPr>
              <w:widowControl/>
              <w:spacing w:line="240" w:lineRule="auto"/>
              <w:ind w:firstLine="0" w:firstLineChars="0"/>
              <w:jc w:val="center"/>
              <w:rPr>
                <w:color w:val="auto"/>
                <w:kern w:val="0"/>
                <w:sz w:val="21"/>
                <w:szCs w:val="21"/>
              </w:rPr>
            </w:pPr>
            <w:r>
              <w:rPr>
                <w:color w:val="auto"/>
                <w:kern w:val="0"/>
                <w:sz w:val="21"/>
                <w:szCs w:val="21"/>
              </w:rPr>
              <w:t>625</w:t>
            </w:r>
          </w:p>
        </w:tc>
        <w:tc>
          <w:tcPr>
            <w:tcW w:w="673" w:type="pct"/>
            <w:shd w:val="clear" w:color="auto" w:fill="auto"/>
          </w:tcPr>
          <w:p w14:paraId="0CC6626B">
            <w:pPr>
              <w:widowControl/>
              <w:spacing w:line="240" w:lineRule="auto"/>
              <w:ind w:firstLine="420"/>
              <w:jc w:val="center"/>
              <w:rPr>
                <w:color w:val="auto"/>
                <w:kern w:val="0"/>
                <w:sz w:val="21"/>
                <w:szCs w:val="21"/>
              </w:rPr>
            </w:pPr>
            <w:r>
              <w:rPr>
                <w:rFonts w:hint="eastAsia"/>
                <w:color w:val="auto"/>
                <w:sz w:val="21"/>
                <w:szCs w:val="21"/>
              </w:rPr>
              <w:t>2.94E-03</w:t>
            </w:r>
          </w:p>
        </w:tc>
        <w:tc>
          <w:tcPr>
            <w:tcW w:w="578" w:type="pct"/>
            <w:shd w:val="clear" w:color="auto" w:fill="auto"/>
          </w:tcPr>
          <w:p w14:paraId="31BA6A81">
            <w:pPr>
              <w:widowControl/>
              <w:spacing w:line="240" w:lineRule="auto"/>
              <w:ind w:firstLine="420"/>
              <w:jc w:val="center"/>
              <w:rPr>
                <w:color w:val="auto"/>
                <w:kern w:val="0"/>
                <w:sz w:val="21"/>
                <w:szCs w:val="21"/>
              </w:rPr>
            </w:pPr>
            <w:r>
              <w:rPr>
                <w:rFonts w:hint="eastAsia"/>
                <w:color w:val="auto"/>
                <w:sz w:val="21"/>
                <w:szCs w:val="21"/>
              </w:rPr>
              <w:t>0.33</w:t>
            </w:r>
          </w:p>
        </w:tc>
        <w:tc>
          <w:tcPr>
            <w:tcW w:w="927" w:type="pct"/>
            <w:shd w:val="clear" w:color="auto" w:fill="auto"/>
          </w:tcPr>
          <w:p w14:paraId="5794A337">
            <w:pPr>
              <w:widowControl/>
              <w:spacing w:line="240" w:lineRule="auto"/>
              <w:ind w:firstLine="420"/>
              <w:jc w:val="center"/>
              <w:rPr>
                <w:color w:val="auto"/>
                <w:kern w:val="0"/>
                <w:sz w:val="21"/>
                <w:szCs w:val="21"/>
              </w:rPr>
            </w:pPr>
            <w:r>
              <w:rPr>
                <w:rFonts w:hint="eastAsia"/>
                <w:color w:val="auto"/>
                <w:sz w:val="21"/>
                <w:szCs w:val="21"/>
              </w:rPr>
              <w:t>4.64E-03</w:t>
            </w:r>
          </w:p>
        </w:tc>
        <w:tc>
          <w:tcPr>
            <w:tcW w:w="922" w:type="pct"/>
            <w:shd w:val="clear" w:color="auto" w:fill="auto"/>
          </w:tcPr>
          <w:p w14:paraId="7C465256">
            <w:pPr>
              <w:widowControl/>
              <w:spacing w:line="240" w:lineRule="auto"/>
              <w:ind w:firstLine="420"/>
              <w:jc w:val="center"/>
              <w:rPr>
                <w:color w:val="auto"/>
                <w:kern w:val="0"/>
                <w:sz w:val="21"/>
                <w:szCs w:val="21"/>
              </w:rPr>
            </w:pPr>
            <w:r>
              <w:rPr>
                <w:rFonts w:hint="eastAsia"/>
                <w:color w:val="auto"/>
                <w:sz w:val="21"/>
                <w:szCs w:val="21"/>
              </w:rPr>
              <w:t>1.55</w:t>
            </w:r>
          </w:p>
        </w:tc>
        <w:tc>
          <w:tcPr>
            <w:tcW w:w="907" w:type="pct"/>
            <w:shd w:val="clear" w:color="auto" w:fill="auto"/>
          </w:tcPr>
          <w:p w14:paraId="30D1B9E2">
            <w:pPr>
              <w:widowControl/>
              <w:spacing w:line="240" w:lineRule="auto"/>
              <w:ind w:firstLine="420"/>
              <w:jc w:val="center"/>
              <w:rPr>
                <w:color w:val="auto"/>
                <w:kern w:val="0"/>
                <w:sz w:val="21"/>
                <w:szCs w:val="21"/>
              </w:rPr>
            </w:pPr>
            <w:r>
              <w:rPr>
                <w:rFonts w:hint="eastAsia"/>
                <w:color w:val="auto"/>
                <w:sz w:val="21"/>
                <w:szCs w:val="21"/>
              </w:rPr>
              <w:t>1.25E-03</w:t>
            </w:r>
          </w:p>
        </w:tc>
        <w:tc>
          <w:tcPr>
            <w:tcW w:w="632" w:type="pct"/>
            <w:shd w:val="clear" w:color="auto" w:fill="auto"/>
          </w:tcPr>
          <w:p w14:paraId="78D4EAB1">
            <w:pPr>
              <w:widowControl/>
              <w:spacing w:line="240" w:lineRule="auto"/>
              <w:ind w:firstLine="420"/>
              <w:jc w:val="center"/>
              <w:rPr>
                <w:color w:val="auto"/>
                <w:kern w:val="0"/>
                <w:sz w:val="21"/>
                <w:szCs w:val="21"/>
              </w:rPr>
            </w:pPr>
            <w:r>
              <w:rPr>
                <w:rFonts w:hint="eastAsia"/>
                <w:color w:val="auto"/>
                <w:sz w:val="21"/>
                <w:szCs w:val="21"/>
              </w:rPr>
              <w:t>0.62</w:t>
            </w:r>
          </w:p>
        </w:tc>
      </w:tr>
      <w:tr w14:paraId="03EAA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87F1A60">
            <w:pPr>
              <w:widowControl/>
              <w:spacing w:line="240" w:lineRule="auto"/>
              <w:ind w:firstLine="0" w:firstLineChars="0"/>
              <w:jc w:val="center"/>
              <w:rPr>
                <w:color w:val="auto"/>
                <w:kern w:val="0"/>
                <w:sz w:val="21"/>
                <w:szCs w:val="21"/>
              </w:rPr>
            </w:pPr>
            <w:r>
              <w:rPr>
                <w:color w:val="auto"/>
                <w:kern w:val="0"/>
                <w:sz w:val="21"/>
                <w:szCs w:val="21"/>
              </w:rPr>
              <w:t>650</w:t>
            </w:r>
          </w:p>
        </w:tc>
        <w:tc>
          <w:tcPr>
            <w:tcW w:w="673" w:type="pct"/>
            <w:shd w:val="clear" w:color="auto" w:fill="auto"/>
          </w:tcPr>
          <w:p w14:paraId="3F23BE39">
            <w:pPr>
              <w:widowControl/>
              <w:spacing w:line="240" w:lineRule="auto"/>
              <w:ind w:firstLine="420"/>
              <w:jc w:val="center"/>
              <w:rPr>
                <w:color w:val="auto"/>
                <w:kern w:val="0"/>
                <w:sz w:val="21"/>
                <w:szCs w:val="21"/>
              </w:rPr>
            </w:pPr>
            <w:r>
              <w:rPr>
                <w:rFonts w:hint="eastAsia"/>
                <w:color w:val="auto"/>
                <w:sz w:val="21"/>
                <w:szCs w:val="21"/>
              </w:rPr>
              <w:t>2.81E-03</w:t>
            </w:r>
          </w:p>
        </w:tc>
        <w:tc>
          <w:tcPr>
            <w:tcW w:w="578" w:type="pct"/>
            <w:shd w:val="clear" w:color="auto" w:fill="auto"/>
          </w:tcPr>
          <w:p w14:paraId="59457988">
            <w:pPr>
              <w:widowControl/>
              <w:spacing w:line="240" w:lineRule="auto"/>
              <w:ind w:firstLine="420"/>
              <w:jc w:val="center"/>
              <w:rPr>
                <w:color w:val="auto"/>
                <w:kern w:val="0"/>
                <w:sz w:val="21"/>
                <w:szCs w:val="21"/>
              </w:rPr>
            </w:pPr>
            <w:r>
              <w:rPr>
                <w:rFonts w:hint="eastAsia"/>
                <w:color w:val="auto"/>
                <w:sz w:val="21"/>
                <w:szCs w:val="21"/>
              </w:rPr>
              <w:t>0.31</w:t>
            </w:r>
          </w:p>
        </w:tc>
        <w:tc>
          <w:tcPr>
            <w:tcW w:w="927" w:type="pct"/>
            <w:shd w:val="clear" w:color="auto" w:fill="auto"/>
          </w:tcPr>
          <w:p w14:paraId="595434AA">
            <w:pPr>
              <w:widowControl/>
              <w:spacing w:line="240" w:lineRule="auto"/>
              <w:ind w:firstLine="420"/>
              <w:jc w:val="center"/>
              <w:rPr>
                <w:color w:val="auto"/>
                <w:kern w:val="0"/>
                <w:sz w:val="21"/>
                <w:szCs w:val="21"/>
              </w:rPr>
            </w:pPr>
            <w:r>
              <w:rPr>
                <w:rFonts w:hint="eastAsia"/>
                <w:color w:val="auto"/>
                <w:sz w:val="21"/>
                <w:szCs w:val="21"/>
              </w:rPr>
              <w:t>4.45E-03</w:t>
            </w:r>
          </w:p>
        </w:tc>
        <w:tc>
          <w:tcPr>
            <w:tcW w:w="922" w:type="pct"/>
            <w:shd w:val="clear" w:color="auto" w:fill="auto"/>
          </w:tcPr>
          <w:p w14:paraId="0E754AEF">
            <w:pPr>
              <w:widowControl/>
              <w:spacing w:line="240" w:lineRule="auto"/>
              <w:ind w:firstLine="420"/>
              <w:jc w:val="center"/>
              <w:rPr>
                <w:color w:val="auto"/>
                <w:kern w:val="0"/>
                <w:sz w:val="21"/>
                <w:szCs w:val="21"/>
              </w:rPr>
            </w:pPr>
            <w:r>
              <w:rPr>
                <w:rFonts w:hint="eastAsia"/>
                <w:color w:val="auto"/>
                <w:sz w:val="21"/>
                <w:szCs w:val="21"/>
              </w:rPr>
              <w:t>1.48</w:t>
            </w:r>
          </w:p>
        </w:tc>
        <w:tc>
          <w:tcPr>
            <w:tcW w:w="907" w:type="pct"/>
            <w:shd w:val="clear" w:color="auto" w:fill="auto"/>
          </w:tcPr>
          <w:p w14:paraId="44C858E3">
            <w:pPr>
              <w:widowControl/>
              <w:spacing w:line="240" w:lineRule="auto"/>
              <w:ind w:firstLine="420"/>
              <w:jc w:val="center"/>
              <w:rPr>
                <w:color w:val="auto"/>
                <w:kern w:val="0"/>
                <w:sz w:val="21"/>
                <w:szCs w:val="21"/>
              </w:rPr>
            </w:pPr>
            <w:r>
              <w:rPr>
                <w:rFonts w:hint="eastAsia"/>
                <w:color w:val="auto"/>
                <w:sz w:val="21"/>
                <w:szCs w:val="21"/>
              </w:rPr>
              <w:t>1.20E-03</w:t>
            </w:r>
          </w:p>
        </w:tc>
        <w:tc>
          <w:tcPr>
            <w:tcW w:w="632" w:type="pct"/>
            <w:shd w:val="clear" w:color="auto" w:fill="auto"/>
          </w:tcPr>
          <w:p w14:paraId="5506E0CB">
            <w:pPr>
              <w:widowControl/>
              <w:spacing w:line="240" w:lineRule="auto"/>
              <w:ind w:firstLine="420"/>
              <w:jc w:val="center"/>
              <w:rPr>
                <w:color w:val="auto"/>
                <w:kern w:val="0"/>
                <w:sz w:val="21"/>
                <w:szCs w:val="21"/>
              </w:rPr>
            </w:pPr>
            <w:r>
              <w:rPr>
                <w:rFonts w:hint="eastAsia"/>
                <w:color w:val="auto"/>
                <w:sz w:val="21"/>
                <w:szCs w:val="21"/>
              </w:rPr>
              <w:t>0.60</w:t>
            </w:r>
          </w:p>
        </w:tc>
      </w:tr>
      <w:tr w14:paraId="3261F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D1E4ECF">
            <w:pPr>
              <w:widowControl/>
              <w:spacing w:line="240" w:lineRule="auto"/>
              <w:ind w:firstLine="0" w:firstLineChars="0"/>
              <w:jc w:val="center"/>
              <w:rPr>
                <w:color w:val="auto"/>
                <w:kern w:val="0"/>
                <w:sz w:val="21"/>
                <w:szCs w:val="21"/>
              </w:rPr>
            </w:pPr>
            <w:r>
              <w:rPr>
                <w:color w:val="auto"/>
                <w:kern w:val="0"/>
                <w:sz w:val="21"/>
                <w:szCs w:val="21"/>
              </w:rPr>
              <w:t>675</w:t>
            </w:r>
          </w:p>
        </w:tc>
        <w:tc>
          <w:tcPr>
            <w:tcW w:w="673" w:type="pct"/>
            <w:shd w:val="clear" w:color="auto" w:fill="auto"/>
          </w:tcPr>
          <w:p w14:paraId="6EC23782">
            <w:pPr>
              <w:widowControl/>
              <w:spacing w:line="240" w:lineRule="auto"/>
              <w:ind w:firstLine="420"/>
              <w:jc w:val="center"/>
              <w:rPr>
                <w:color w:val="auto"/>
                <w:kern w:val="0"/>
                <w:sz w:val="21"/>
                <w:szCs w:val="21"/>
              </w:rPr>
            </w:pPr>
            <w:r>
              <w:rPr>
                <w:rFonts w:hint="eastAsia"/>
                <w:color w:val="auto"/>
                <w:sz w:val="21"/>
                <w:szCs w:val="21"/>
              </w:rPr>
              <w:t>2.70E-03</w:t>
            </w:r>
          </w:p>
        </w:tc>
        <w:tc>
          <w:tcPr>
            <w:tcW w:w="578" w:type="pct"/>
            <w:shd w:val="clear" w:color="auto" w:fill="auto"/>
          </w:tcPr>
          <w:p w14:paraId="2BD86E0A">
            <w:pPr>
              <w:widowControl/>
              <w:spacing w:line="240" w:lineRule="auto"/>
              <w:ind w:firstLine="420"/>
              <w:jc w:val="center"/>
              <w:rPr>
                <w:color w:val="auto"/>
                <w:kern w:val="0"/>
                <w:sz w:val="21"/>
                <w:szCs w:val="21"/>
              </w:rPr>
            </w:pPr>
            <w:r>
              <w:rPr>
                <w:rFonts w:hint="eastAsia"/>
                <w:color w:val="auto"/>
                <w:sz w:val="21"/>
                <w:szCs w:val="21"/>
              </w:rPr>
              <w:t>0.30</w:t>
            </w:r>
          </w:p>
        </w:tc>
        <w:tc>
          <w:tcPr>
            <w:tcW w:w="927" w:type="pct"/>
            <w:shd w:val="clear" w:color="auto" w:fill="auto"/>
          </w:tcPr>
          <w:p w14:paraId="29023A32">
            <w:pPr>
              <w:widowControl/>
              <w:spacing w:line="240" w:lineRule="auto"/>
              <w:ind w:firstLine="420"/>
              <w:jc w:val="center"/>
              <w:rPr>
                <w:color w:val="auto"/>
                <w:kern w:val="0"/>
                <w:sz w:val="21"/>
                <w:szCs w:val="21"/>
              </w:rPr>
            </w:pPr>
            <w:r>
              <w:rPr>
                <w:rFonts w:hint="eastAsia"/>
                <w:color w:val="auto"/>
                <w:sz w:val="21"/>
                <w:szCs w:val="21"/>
              </w:rPr>
              <w:t>4.27E-03</w:t>
            </w:r>
          </w:p>
        </w:tc>
        <w:tc>
          <w:tcPr>
            <w:tcW w:w="922" w:type="pct"/>
            <w:shd w:val="clear" w:color="auto" w:fill="auto"/>
          </w:tcPr>
          <w:p w14:paraId="557F4B5B">
            <w:pPr>
              <w:widowControl/>
              <w:spacing w:line="240" w:lineRule="auto"/>
              <w:ind w:firstLine="420"/>
              <w:jc w:val="center"/>
              <w:rPr>
                <w:color w:val="auto"/>
                <w:kern w:val="0"/>
                <w:sz w:val="21"/>
                <w:szCs w:val="21"/>
              </w:rPr>
            </w:pPr>
            <w:r>
              <w:rPr>
                <w:rFonts w:hint="eastAsia"/>
                <w:color w:val="auto"/>
                <w:sz w:val="21"/>
                <w:szCs w:val="21"/>
              </w:rPr>
              <w:t>1.42</w:t>
            </w:r>
          </w:p>
        </w:tc>
        <w:tc>
          <w:tcPr>
            <w:tcW w:w="907" w:type="pct"/>
            <w:shd w:val="clear" w:color="auto" w:fill="auto"/>
          </w:tcPr>
          <w:p w14:paraId="0F7ACEEF">
            <w:pPr>
              <w:widowControl/>
              <w:spacing w:line="240" w:lineRule="auto"/>
              <w:ind w:firstLine="420"/>
              <w:jc w:val="center"/>
              <w:rPr>
                <w:color w:val="auto"/>
                <w:kern w:val="0"/>
                <w:sz w:val="21"/>
                <w:szCs w:val="21"/>
              </w:rPr>
            </w:pPr>
            <w:r>
              <w:rPr>
                <w:rFonts w:hint="eastAsia"/>
                <w:color w:val="auto"/>
                <w:sz w:val="21"/>
                <w:szCs w:val="21"/>
              </w:rPr>
              <w:t>1.15E-03</w:t>
            </w:r>
          </w:p>
        </w:tc>
        <w:tc>
          <w:tcPr>
            <w:tcW w:w="632" w:type="pct"/>
            <w:shd w:val="clear" w:color="auto" w:fill="auto"/>
          </w:tcPr>
          <w:p w14:paraId="75615760">
            <w:pPr>
              <w:widowControl/>
              <w:spacing w:line="240" w:lineRule="auto"/>
              <w:ind w:firstLine="420"/>
              <w:jc w:val="center"/>
              <w:rPr>
                <w:color w:val="auto"/>
                <w:kern w:val="0"/>
                <w:sz w:val="21"/>
                <w:szCs w:val="21"/>
              </w:rPr>
            </w:pPr>
            <w:r>
              <w:rPr>
                <w:rFonts w:hint="eastAsia"/>
                <w:color w:val="auto"/>
                <w:sz w:val="21"/>
                <w:szCs w:val="21"/>
              </w:rPr>
              <w:t>0.57</w:t>
            </w:r>
          </w:p>
        </w:tc>
      </w:tr>
      <w:tr w14:paraId="5FFA9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2A82AAB">
            <w:pPr>
              <w:widowControl/>
              <w:spacing w:line="240" w:lineRule="auto"/>
              <w:ind w:firstLine="0" w:firstLineChars="0"/>
              <w:jc w:val="center"/>
              <w:rPr>
                <w:color w:val="auto"/>
                <w:kern w:val="0"/>
                <w:sz w:val="21"/>
                <w:szCs w:val="21"/>
              </w:rPr>
            </w:pPr>
            <w:r>
              <w:rPr>
                <w:color w:val="auto"/>
                <w:kern w:val="0"/>
                <w:sz w:val="21"/>
                <w:szCs w:val="21"/>
              </w:rPr>
              <w:t>700</w:t>
            </w:r>
          </w:p>
        </w:tc>
        <w:tc>
          <w:tcPr>
            <w:tcW w:w="673" w:type="pct"/>
            <w:shd w:val="clear" w:color="auto" w:fill="auto"/>
          </w:tcPr>
          <w:p w14:paraId="3879CF11">
            <w:pPr>
              <w:widowControl/>
              <w:spacing w:line="240" w:lineRule="auto"/>
              <w:ind w:firstLine="420"/>
              <w:jc w:val="center"/>
              <w:rPr>
                <w:color w:val="auto"/>
                <w:kern w:val="0"/>
                <w:sz w:val="21"/>
                <w:szCs w:val="21"/>
              </w:rPr>
            </w:pPr>
            <w:r>
              <w:rPr>
                <w:rFonts w:hint="eastAsia"/>
                <w:color w:val="auto"/>
                <w:sz w:val="21"/>
                <w:szCs w:val="21"/>
              </w:rPr>
              <w:t>2.59E-03</w:t>
            </w:r>
          </w:p>
        </w:tc>
        <w:tc>
          <w:tcPr>
            <w:tcW w:w="578" w:type="pct"/>
            <w:shd w:val="clear" w:color="auto" w:fill="auto"/>
          </w:tcPr>
          <w:p w14:paraId="34099D36">
            <w:pPr>
              <w:widowControl/>
              <w:spacing w:line="240" w:lineRule="auto"/>
              <w:ind w:firstLine="420"/>
              <w:jc w:val="center"/>
              <w:rPr>
                <w:color w:val="auto"/>
                <w:kern w:val="0"/>
                <w:sz w:val="21"/>
                <w:szCs w:val="21"/>
              </w:rPr>
            </w:pPr>
            <w:r>
              <w:rPr>
                <w:rFonts w:hint="eastAsia"/>
                <w:color w:val="auto"/>
                <w:sz w:val="21"/>
                <w:szCs w:val="21"/>
              </w:rPr>
              <w:t>0.29</w:t>
            </w:r>
          </w:p>
        </w:tc>
        <w:tc>
          <w:tcPr>
            <w:tcW w:w="927" w:type="pct"/>
            <w:shd w:val="clear" w:color="auto" w:fill="auto"/>
          </w:tcPr>
          <w:p w14:paraId="6FE0F8E1">
            <w:pPr>
              <w:widowControl/>
              <w:spacing w:line="240" w:lineRule="auto"/>
              <w:ind w:firstLine="420"/>
              <w:jc w:val="center"/>
              <w:rPr>
                <w:color w:val="auto"/>
                <w:kern w:val="0"/>
                <w:sz w:val="21"/>
                <w:szCs w:val="21"/>
              </w:rPr>
            </w:pPr>
            <w:r>
              <w:rPr>
                <w:rFonts w:hint="eastAsia"/>
                <w:color w:val="auto"/>
                <w:sz w:val="21"/>
                <w:szCs w:val="21"/>
              </w:rPr>
              <w:t>4.09E-03</w:t>
            </w:r>
          </w:p>
        </w:tc>
        <w:tc>
          <w:tcPr>
            <w:tcW w:w="922" w:type="pct"/>
            <w:shd w:val="clear" w:color="auto" w:fill="auto"/>
          </w:tcPr>
          <w:p w14:paraId="24B8CEE5">
            <w:pPr>
              <w:widowControl/>
              <w:spacing w:line="240" w:lineRule="auto"/>
              <w:ind w:firstLine="420"/>
              <w:jc w:val="center"/>
              <w:rPr>
                <w:color w:val="auto"/>
                <w:kern w:val="0"/>
                <w:sz w:val="21"/>
                <w:szCs w:val="21"/>
              </w:rPr>
            </w:pPr>
            <w:r>
              <w:rPr>
                <w:rFonts w:hint="eastAsia"/>
                <w:color w:val="auto"/>
                <w:sz w:val="21"/>
                <w:szCs w:val="21"/>
              </w:rPr>
              <w:t>1.36</w:t>
            </w:r>
          </w:p>
        </w:tc>
        <w:tc>
          <w:tcPr>
            <w:tcW w:w="907" w:type="pct"/>
            <w:shd w:val="clear" w:color="auto" w:fill="auto"/>
          </w:tcPr>
          <w:p w14:paraId="60E5E41B">
            <w:pPr>
              <w:widowControl/>
              <w:spacing w:line="240" w:lineRule="auto"/>
              <w:ind w:firstLine="420"/>
              <w:jc w:val="center"/>
              <w:rPr>
                <w:color w:val="auto"/>
                <w:kern w:val="0"/>
                <w:sz w:val="21"/>
                <w:szCs w:val="21"/>
              </w:rPr>
            </w:pPr>
            <w:r>
              <w:rPr>
                <w:rFonts w:hint="eastAsia"/>
                <w:color w:val="auto"/>
                <w:sz w:val="21"/>
                <w:szCs w:val="21"/>
              </w:rPr>
              <w:t>1.10E-03</w:t>
            </w:r>
          </w:p>
        </w:tc>
        <w:tc>
          <w:tcPr>
            <w:tcW w:w="632" w:type="pct"/>
            <w:shd w:val="clear" w:color="auto" w:fill="auto"/>
          </w:tcPr>
          <w:p w14:paraId="6E6CD37F">
            <w:pPr>
              <w:widowControl/>
              <w:spacing w:line="240" w:lineRule="auto"/>
              <w:ind w:firstLine="420"/>
              <w:jc w:val="center"/>
              <w:rPr>
                <w:color w:val="auto"/>
                <w:kern w:val="0"/>
                <w:sz w:val="21"/>
                <w:szCs w:val="21"/>
              </w:rPr>
            </w:pPr>
            <w:r>
              <w:rPr>
                <w:rFonts w:hint="eastAsia"/>
                <w:color w:val="auto"/>
                <w:sz w:val="21"/>
                <w:szCs w:val="21"/>
              </w:rPr>
              <w:t>0.55</w:t>
            </w:r>
          </w:p>
        </w:tc>
      </w:tr>
      <w:tr w14:paraId="725D8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C009291">
            <w:pPr>
              <w:widowControl/>
              <w:spacing w:line="240" w:lineRule="auto"/>
              <w:ind w:firstLine="0" w:firstLineChars="0"/>
              <w:jc w:val="center"/>
              <w:rPr>
                <w:color w:val="auto"/>
                <w:kern w:val="0"/>
                <w:sz w:val="21"/>
                <w:szCs w:val="21"/>
              </w:rPr>
            </w:pPr>
            <w:r>
              <w:rPr>
                <w:color w:val="auto"/>
                <w:kern w:val="0"/>
                <w:sz w:val="21"/>
                <w:szCs w:val="21"/>
              </w:rPr>
              <w:t>725</w:t>
            </w:r>
          </w:p>
        </w:tc>
        <w:tc>
          <w:tcPr>
            <w:tcW w:w="673" w:type="pct"/>
            <w:shd w:val="clear" w:color="auto" w:fill="auto"/>
          </w:tcPr>
          <w:p w14:paraId="2D0381AB">
            <w:pPr>
              <w:widowControl/>
              <w:spacing w:line="240" w:lineRule="auto"/>
              <w:ind w:firstLine="420"/>
              <w:jc w:val="center"/>
              <w:rPr>
                <w:color w:val="auto"/>
                <w:kern w:val="0"/>
                <w:sz w:val="21"/>
                <w:szCs w:val="21"/>
              </w:rPr>
            </w:pPr>
            <w:r>
              <w:rPr>
                <w:rFonts w:hint="eastAsia"/>
                <w:color w:val="auto"/>
                <w:sz w:val="21"/>
                <w:szCs w:val="21"/>
              </w:rPr>
              <w:t>2.49E-03</w:t>
            </w:r>
          </w:p>
        </w:tc>
        <w:tc>
          <w:tcPr>
            <w:tcW w:w="578" w:type="pct"/>
            <w:shd w:val="clear" w:color="auto" w:fill="auto"/>
          </w:tcPr>
          <w:p w14:paraId="7A92516A">
            <w:pPr>
              <w:widowControl/>
              <w:spacing w:line="240" w:lineRule="auto"/>
              <w:ind w:firstLine="420"/>
              <w:jc w:val="center"/>
              <w:rPr>
                <w:color w:val="auto"/>
                <w:kern w:val="0"/>
                <w:sz w:val="21"/>
                <w:szCs w:val="21"/>
              </w:rPr>
            </w:pPr>
            <w:r>
              <w:rPr>
                <w:rFonts w:hint="eastAsia"/>
                <w:color w:val="auto"/>
                <w:sz w:val="21"/>
                <w:szCs w:val="21"/>
              </w:rPr>
              <w:t>0.28</w:t>
            </w:r>
          </w:p>
        </w:tc>
        <w:tc>
          <w:tcPr>
            <w:tcW w:w="927" w:type="pct"/>
            <w:shd w:val="clear" w:color="auto" w:fill="auto"/>
          </w:tcPr>
          <w:p w14:paraId="5A4A369C">
            <w:pPr>
              <w:widowControl/>
              <w:spacing w:line="240" w:lineRule="auto"/>
              <w:ind w:firstLine="420"/>
              <w:jc w:val="center"/>
              <w:rPr>
                <w:color w:val="auto"/>
                <w:kern w:val="0"/>
                <w:sz w:val="21"/>
                <w:szCs w:val="21"/>
              </w:rPr>
            </w:pPr>
            <w:r>
              <w:rPr>
                <w:rFonts w:hint="eastAsia"/>
                <w:color w:val="auto"/>
                <w:sz w:val="21"/>
                <w:szCs w:val="21"/>
              </w:rPr>
              <w:t>3.94E-03</w:t>
            </w:r>
          </w:p>
        </w:tc>
        <w:tc>
          <w:tcPr>
            <w:tcW w:w="922" w:type="pct"/>
            <w:shd w:val="clear" w:color="auto" w:fill="auto"/>
          </w:tcPr>
          <w:p w14:paraId="6C1DD61C">
            <w:pPr>
              <w:widowControl/>
              <w:spacing w:line="240" w:lineRule="auto"/>
              <w:ind w:firstLine="420"/>
              <w:jc w:val="center"/>
              <w:rPr>
                <w:color w:val="auto"/>
                <w:kern w:val="0"/>
                <w:sz w:val="21"/>
                <w:szCs w:val="21"/>
              </w:rPr>
            </w:pPr>
            <w:r>
              <w:rPr>
                <w:rFonts w:hint="eastAsia"/>
                <w:color w:val="auto"/>
                <w:sz w:val="21"/>
                <w:szCs w:val="21"/>
              </w:rPr>
              <w:t>1.31</w:t>
            </w:r>
          </w:p>
        </w:tc>
        <w:tc>
          <w:tcPr>
            <w:tcW w:w="907" w:type="pct"/>
            <w:shd w:val="clear" w:color="auto" w:fill="auto"/>
          </w:tcPr>
          <w:p w14:paraId="4FABEF66">
            <w:pPr>
              <w:widowControl/>
              <w:spacing w:line="240" w:lineRule="auto"/>
              <w:ind w:firstLine="420"/>
              <w:jc w:val="center"/>
              <w:rPr>
                <w:color w:val="auto"/>
                <w:kern w:val="0"/>
                <w:sz w:val="21"/>
                <w:szCs w:val="21"/>
              </w:rPr>
            </w:pPr>
            <w:r>
              <w:rPr>
                <w:rFonts w:hint="eastAsia"/>
                <w:color w:val="auto"/>
                <w:sz w:val="21"/>
                <w:szCs w:val="21"/>
              </w:rPr>
              <w:t>1.06E-03</w:t>
            </w:r>
          </w:p>
        </w:tc>
        <w:tc>
          <w:tcPr>
            <w:tcW w:w="632" w:type="pct"/>
            <w:shd w:val="clear" w:color="auto" w:fill="auto"/>
          </w:tcPr>
          <w:p w14:paraId="120C0662">
            <w:pPr>
              <w:widowControl/>
              <w:spacing w:line="240" w:lineRule="auto"/>
              <w:ind w:firstLine="420"/>
              <w:jc w:val="center"/>
              <w:rPr>
                <w:color w:val="auto"/>
                <w:kern w:val="0"/>
                <w:sz w:val="21"/>
                <w:szCs w:val="21"/>
              </w:rPr>
            </w:pPr>
            <w:r>
              <w:rPr>
                <w:rFonts w:hint="eastAsia"/>
                <w:color w:val="auto"/>
                <w:sz w:val="21"/>
                <w:szCs w:val="21"/>
              </w:rPr>
              <w:t>0.53</w:t>
            </w:r>
          </w:p>
        </w:tc>
      </w:tr>
      <w:tr w14:paraId="5D84D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920AEA0">
            <w:pPr>
              <w:widowControl/>
              <w:spacing w:line="240" w:lineRule="auto"/>
              <w:ind w:firstLine="0" w:firstLineChars="0"/>
              <w:jc w:val="center"/>
              <w:rPr>
                <w:color w:val="auto"/>
                <w:kern w:val="0"/>
                <w:sz w:val="21"/>
                <w:szCs w:val="21"/>
              </w:rPr>
            </w:pPr>
            <w:r>
              <w:rPr>
                <w:color w:val="auto"/>
                <w:kern w:val="0"/>
                <w:sz w:val="21"/>
                <w:szCs w:val="21"/>
              </w:rPr>
              <w:t>750</w:t>
            </w:r>
          </w:p>
        </w:tc>
        <w:tc>
          <w:tcPr>
            <w:tcW w:w="673" w:type="pct"/>
            <w:shd w:val="clear" w:color="auto" w:fill="auto"/>
          </w:tcPr>
          <w:p w14:paraId="45D7DDC2">
            <w:pPr>
              <w:widowControl/>
              <w:spacing w:line="240" w:lineRule="auto"/>
              <w:ind w:firstLine="420"/>
              <w:jc w:val="center"/>
              <w:rPr>
                <w:color w:val="auto"/>
                <w:kern w:val="0"/>
                <w:sz w:val="21"/>
                <w:szCs w:val="21"/>
              </w:rPr>
            </w:pPr>
            <w:r>
              <w:rPr>
                <w:rFonts w:hint="eastAsia"/>
                <w:color w:val="auto"/>
                <w:sz w:val="21"/>
                <w:szCs w:val="21"/>
              </w:rPr>
              <w:t>2.40E-03</w:t>
            </w:r>
          </w:p>
        </w:tc>
        <w:tc>
          <w:tcPr>
            <w:tcW w:w="578" w:type="pct"/>
            <w:shd w:val="clear" w:color="auto" w:fill="auto"/>
          </w:tcPr>
          <w:p w14:paraId="056326B5">
            <w:pPr>
              <w:widowControl/>
              <w:spacing w:line="240" w:lineRule="auto"/>
              <w:ind w:firstLine="420"/>
              <w:jc w:val="center"/>
              <w:rPr>
                <w:color w:val="auto"/>
                <w:kern w:val="0"/>
                <w:sz w:val="21"/>
                <w:szCs w:val="21"/>
              </w:rPr>
            </w:pPr>
            <w:r>
              <w:rPr>
                <w:rFonts w:hint="eastAsia"/>
                <w:color w:val="auto"/>
                <w:sz w:val="21"/>
                <w:szCs w:val="21"/>
              </w:rPr>
              <w:t>0.27</w:t>
            </w:r>
          </w:p>
        </w:tc>
        <w:tc>
          <w:tcPr>
            <w:tcW w:w="927" w:type="pct"/>
            <w:shd w:val="clear" w:color="auto" w:fill="auto"/>
          </w:tcPr>
          <w:p w14:paraId="47D0AF51">
            <w:pPr>
              <w:widowControl/>
              <w:spacing w:line="240" w:lineRule="auto"/>
              <w:ind w:firstLine="420"/>
              <w:jc w:val="center"/>
              <w:rPr>
                <w:color w:val="auto"/>
                <w:kern w:val="0"/>
                <w:sz w:val="21"/>
                <w:szCs w:val="21"/>
              </w:rPr>
            </w:pPr>
            <w:r>
              <w:rPr>
                <w:rFonts w:hint="eastAsia"/>
                <w:color w:val="auto"/>
                <w:sz w:val="21"/>
                <w:szCs w:val="21"/>
              </w:rPr>
              <w:t>3.79E-03</w:t>
            </w:r>
          </w:p>
        </w:tc>
        <w:tc>
          <w:tcPr>
            <w:tcW w:w="922" w:type="pct"/>
            <w:shd w:val="clear" w:color="auto" w:fill="auto"/>
          </w:tcPr>
          <w:p w14:paraId="2BE28DCB">
            <w:pPr>
              <w:widowControl/>
              <w:spacing w:line="240" w:lineRule="auto"/>
              <w:ind w:firstLine="420"/>
              <w:jc w:val="center"/>
              <w:rPr>
                <w:color w:val="auto"/>
                <w:kern w:val="0"/>
                <w:sz w:val="21"/>
                <w:szCs w:val="21"/>
              </w:rPr>
            </w:pPr>
            <w:r>
              <w:rPr>
                <w:rFonts w:hint="eastAsia"/>
                <w:color w:val="auto"/>
                <w:sz w:val="21"/>
                <w:szCs w:val="21"/>
              </w:rPr>
              <w:t>1.26</w:t>
            </w:r>
          </w:p>
        </w:tc>
        <w:tc>
          <w:tcPr>
            <w:tcW w:w="907" w:type="pct"/>
            <w:shd w:val="clear" w:color="auto" w:fill="auto"/>
          </w:tcPr>
          <w:p w14:paraId="2D6676A5">
            <w:pPr>
              <w:widowControl/>
              <w:spacing w:line="240" w:lineRule="auto"/>
              <w:ind w:firstLine="420"/>
              <w:jc w:val="center"/>
              <w:rPr>
                <w:color w:val="auto"/>
                <w:kern w:val="0"/>
                <w:sz w:val="21"/>
                <w:szCs w:val="21"/>
              </w:rPr>
            </w:pPr>
            <w:r>
              <w:rPr>
                <w:rFonts w:hint="eastAsia"/>
                <w:color w:val="auto"/>
                <w:sz w:val="21"/>
                <w:szCs w:val="21"/>
              </w:rPr>
              <w:t>1.02E-03</w:t>
            </w:r>
          </w:p>
        </w:tc>
        <w:tc>
          <w:tcPr>
            <w:tcW w:w="632" w:type="pct"/>
            <w:shd w:val="clear" w:color="auto" w:fill="auto"/>
          </w:tcPr>
          <w:p w14:paraId="4EE25FDF">
            <w:pPr>
              <w:widowControl/>
              <w:spacing w:line="240" w:lineRule="auto"/>
              <w:ind w:firstLine="420"/>
              <w:jc w:val="center"/>
              <w:rPr>
                <w:color w:val="auto"/>
                <w:kern w:val="0"/>
                <w:sz w:val="21"/>
                <w:szCs w:val="21"/>
              </w:rPr>
            </w:pPr>
            <w:r>
              <w:rPr>
                <w:rFonts w:hint="eastAsia"/>
                <w:color w:val="auto"/>
                <w:sz w:val="21"/>
                <w:szCs w:val="21"/>
              </w:rPr>
              <w:t>0.51</w:t>
            </w:r>
          </w:p>
        </w:tc>
      </w:tr>
      <w:tr w14:paraId="6DA59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C1BAF09">
            <w:pPr>
              <w:widowControl/>
              <w:spacing w:line="240" w:lineRule="auto"/>
              <w:ind w:firstLine="0" w:firstLineChars="0"/>
              <w:jc w:val="center"/>
              <w:rPr>
                <w:color w:val="auto"/>
                <w:kern w:val="0"/>
                <w:sz w:val="21"/>
                <w:szCs w:val="21"/>
              </w:rPr>
            </w:pPr>
            <w:r>
              <w:rPr>
                <w:color w:val="auto"/>
                <w:kern w:val="0"/>
                <w:sz w:val="21"/>
                <w:szCs w:val="21"/>
              </w:rPr>
              <w:t>775</w:t>
            </w:r>
          </w:p>
        </w:tc>
        <w:tc>
          <w:tcPr>
            <w:tcW w:w="673" w:type="pct"/>
            <w:shd w:val="clear" w:color="auto" w:fill="auto"/>
          </w:tcPr>
          <w:p w14:paraId="5D16D40B">
            <w:pPr>
              <w:widowControl/>
              <w:spacing w:line="240" w:lineRule="auto"/>
              <w:ind w:firstLine="420"/>
              <w:jc w:val="center"/>
              <w:rPr>
                <w:color w:val="auto"/>
                <w:kern w:val="0"/>
                <w:sz w:val="21"/>
                <w:szCs w:val="21"/>
              </w:rPr>
            </w:pPr>
            <w:r>
              <w:rPr>
                <w:rFonts w:hint="eastAsia"/>
                <w:color w:val="auto"/>
                <w:sz w:val="21"/>
                <w:szCs w:val="21"/>
              </w:rPr>
              <w:t>2.31E-03</w:t>
            </w:r>
          </w:p>
        </w:tc>
        <w:tc>
          <w:tcPr>
            <w:tcW w:w="578" w:type="pct"/>
            <w:shd w:val="clear" w:color="auto" w:fill="auto"/>
          </w:tcPr>
          <w:p w14:paraId="4FD199CA">
            <w:pPr>
              <w:widowControl/>
              <w:spacing w:line="240" w:lineRule="auto"/>
              <w:ind w:firstLine="420"/>
              <w:jc w:val="center"/>
              <w:rPr>
                <w:color w:val="auto"/>
                <w:kern w:val="0"/>
                <w:sz w:val="21"/>
                <w:szCs w:val="21"/>
              </w:rPr>
            </w:pPr>
            <w:r>
              <w:rPr>
                <w:rFonts w:hint="eastAsia"/>
                <w:color w:val="auto"/>
                <w:sz w:val="21"/>
                <w:szCs w:val="21"/>
              </w:rPr>
              <w:t>0.26</w:t>
            </w:r>
          </w:p>
        </w:tc>
        <w:tc>
          <w:tcPr>
            <w:tcW w:w="927" w:type="pct"/>
            <w:shd w:val="clear" w:color="auto" w:fill="auto"/>
          </w:tcPr>
          <w:p w14:paraId="3705B486">
            <w:pPr>
              <w:widowControl/>
              <w:spacing w:line="240" w:lineRule="auto"/>
              <w:ind w:firstLine="420"/>
              <w:jc w:val="center"/>
              <w:rPr>
                <w:color w:val="auto"/>
                <w:kern w:val="0"/>
                <w:sz w:val="21"/>
                <w:szCs w:val="21"/>
              </w:rPr>
            </w:pPr>
            <w:r>
              <w:rPr>
                <w:rFonts w:hint="eastAsia"/>
                <w:color w:val="auto"/>
                <w:sz w:val="21"/>
                <w:szCs w:val="21"/>
              </w:rPr>
              <w:t>3.65E-03</w:t>
            </w:r>
          </w:p>
        </w:tc>
        <w:tc>
          <w:tcPr>
            <w:tcW w:w="922" w:type="pct"/>
            <w:shd w:val="clear" w:color="auto" w:fill="auto"/>
          </w:tcPr>
          <w:p w14:paraId="70EB3FDC">
            <w:pPr>
              <w:widowControl/>
              <w:spacing w:line="240" w:lineRule="auto"/>
              <w:ind w:firstLine="420"/>
              <w:jc w:val="center"/>
              <w:rPr>
                <w:color w:val="auto"/>
                <w:kern w:val="0"/>
                <w:sz w:val="21"/>
                <w:szCs w:val="21"/>
              </w:rPr>
            </w:pPr>
            <w:r>
              <w:rPr>
                <w:rFonts w:hint="eastAsia"/>
                <w:color w:val="auto"/>
                <w:sz w:val="21"/>
                <w:szCs w:val="21"/>
              </w:rPr>
              <w:t>1.22</w:t>
            </w:r>
          </w:p>
        </w:tc>
        <w:tc>
          <w:tcPr>
            <w:tcW w:w="907" w:type="pct"/>
            <w:shd w:val="clear" w:color="auto" w:fill="auto"/>
          </w:tcPr>
          <w:p w14:paraId="0BFDCA32">
            <w:pPr>
              <w:widowControl/>
              <w:spacing w:line="240" w:lineRule="auto"/>
              <w:ind w:firstLine="420"/>
              <w:jc w:val="center"/>
              <w:rPr>
                <w:color w:val="auto"/>
                <w:kern w:val="0"/>
                <w:sz w:val="21"/>
                <w:szCs w:val="21"/>
              </w:rPr>
            </w:pPr>
            <w:r>
              <w:rPr>
                <w:rFonts w:hint="eastAsia"/>
                <w:color w:val="auto"/>
                <w:sz w:val="21"/>
                <w:szCs w:val="21"/>
              </w:rPr>
              <w:t>9.81E-04</w:t>
            </w:r>
          </w:p>
        </w:tc>
        <w:tc>
          <w:tcPr>
            <w:tcW w:w="632" w:type="pct"/>
            <w:shd w:val="clear" w:color="auto" w:fill="auto"/>
          </w:tcPr>
          <w:p w14:paraId="2242899A">
            <w:pPr>
              <w:widowControl/>
              <w:spacing w:line="240" w:lineRule="auto"/>
              <w:ind w:firstLine="420"/>
              <w:jc w:val="center"/>
              <w:rPr>
                <w:color w:val="auto"/>
                <w:kern w:val="0"/>
                <w:sz w:val="21"/>
                <w:szCs w:val="21"/>
              </w:rPr>
            </w:pPr>
            <w:r>
              <w:rPr>
                <w:rFonts w:hint="eastAsia"/>
                <w:color w:val="auto"/>
                <w:sz w:val="21"/>
                <w:szCs w:val="21"/>
              </w:rPr>
              <w:t>0.49</w:t>
            </w:r>
          </w:p>
        </w:tc>
      </w:tr>
      <w:tr w14:paraId="3D5D8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59B1F4B">
            <w:pPr>
              <w:widowControl/>
              <w:spacing w:line="240" w:lineRule="auto"/>
              <w:ind w:firstLine="0" w:firstLineChars="0"/>
              <w:jc w:val="center"/>
              <w:rPr>
                <w:color w:val="auto"/>
                <w:kern w:val="0"/>
                <w:sz w:val="21"/>
                <w:szCs w:val="21"/>
              </w:rPr>
            </w:pPr>
            <w:r>
              <w:rPr>
                <w:color w:val="auto"/>
                <w:kern w:val="0"/>
                <w:sz w:val="21"/>
                <w:szCs w:val="21"/>
              </w:rPr>
              <w:t>800</w:t>
            </w:r>
          </w:p>
        </w:tc>
        <w:tc>
          <w:tcPr>
            <w:tcW w:w="673" w:type="pct"/>
            <w:shd w:val="clear" w:color="auto" w:fill="auto"/>
          </w:tcPr>
          <w:p w14:paraId="2B0C42B6">
            <w:pPr>
              <w:widowControl/>
              <w:spacing w:line="240" w:lineRule="auto"/>
              <w:ind w:firstLine="420"/>
              <w:jc w:val="center"/>
              <w:rPr>
                <w:color w:val="auto"/>
                <w:kern w:val="0"/>
                <w:sz w:val="21"/>
                <w:szCs w:val="21"/>
              </w:rPr>
            </w:pPr>
            <w:r>
              <w:rPr>
                <w:rFonts w:hint="eastAsia"/>
                <w:color w:val="auto"/>
                <w:sz w:val="21"/>
                <w:szCs w:val="21"/>
              </w:rPr>
              <w:t>2.22E-03</w:t>
            </w:r>
          </w:p>
        </w:tc>
        <w:tc>
          <w:tcPr>
            <w:tcW w:w="578" w:type="pct"/>
            <w:shd w:val="clear" w:color="auto" w:fill="auto"/>
          </w:tcPr>
          <w:p w14:paraId="1067F804">
            <w:pPr>
              <w:widowControl/>
              <w:spacing w:line="240" w:lineRule="auto"/>
              <w:ind w:firstLine="420"/>
              <w:jc w:val="center"/>
              <w:rPr>
                <w:color w:val="auto"/>
                <w:kern w:val="0"/>
                <w:sz w:val="21"/>
                <w:szCs w:val="21"/>
              </w:rPr>
            </w:pPr>
            <w:r>
              <w:rPr>
                <w:rFonts w:hint="eastAsia"/>
                <w:color w:val="auto"/>
                <w:sz w:val="21"/>
                <w:szCs w:val="21"/>
              </w:rPr>
              <w:t>0.25</w:t>
            </w:r>
          </w:p>
        </w:tc>
        <w:tc>
          <w:tcPr>
            <w:tcW w:w="927" w:type="pct"/>
            <w:shd w:val="clear" w:color="auto" w:fill="auto"/>
          </w:tcPr>
          <w:p w14:paraId="7FA27842">
            <w:pPr>
              <w:widowControl/>
              <w:spacing w:line="240" w:lineRule="auto"/>
              <w:ind w:firstLine="420"/>
              <w:jc w:val="center"/>
              <w:rPr>
                <w:color w:val="auto"/>
                <w:kern w:val="0"/>
                <w:sz w:val="21"/>
                <w:szCs w:val="21"/>
              </w:rPr>
            </w:pPr>
            <w:r>
              <w:rPr>
                <w:rFonts w:hint="eastAsia"/>
                <w:color w:val="auto"/>
                <w:sz w:val="21"/>
                <w:szCs w:val="21"/>
              </w:rPr>
              <w:t>3.52E-03</w:t>
            </w:r>
          </w:p>
        </w:tc>
        <w:tc>
          <w:tcPr>
            <w:tcW w:w="922" w:type="pct"/>
            <w:shd w:val="clear" w:color="auto" w:fill="auto"/>
          </w:tcPr>
          <w:p w14:paraId="16EC6EC5">
            <w:pPr>
              <w:widowControl/>
              <w:spacing w:line="240" w:lineRule="auto"/>
              <w:ind w:firstLine="420"/>
              <w:jc w:val="center"/>
              <w:rPr>
                <w:color w:val="auto"/>
                <w:kern w:val="0"/>
                <w:sz w:val="21"/>
                <w:szCs w:val="21"/>
              </w:rPr>
            </w:pPr>
            <w:r>
              <w:rPr>
                <w:rFonts w:hint="eastAsia"/>
                <w:color w:val="auto"/>
                <w:sz w:val="21"/>
                <w:szCs w:val="21"/>
              </w:rPr>
              <w:t>1.17</w:t>
            </w:r>
          </w:p>
        </w:tc>
        <w:tc>
          <w:tcPr>
            <w:tcW w:w="907" w:type="pct"/>
            <w:shd w:val="clear" w:color="auto" w:fill="auto"/>
          </w:tcPr>
          <w:p w14:paraId="07623989">
            <w:pPr>
              <w:widowControl/>
              <w:spacing w:line="240" w:lineRule="auto"/>
              <w:ind w:firstLine="420"/>
              <w:jc w:val="center"/>
              <w:rPr>
                <w:color w:val="auto"/>
                <w:kern w:val="0"/>
                <w:sz w:val="21"/>
                <w:szCs w:val="21"/>
              </w:rPr>
            </w:pPr>
            <w:r>
              <w:rPr>
                <w:rFonts w:hint="eastAsia"/>
                <w:color w:val="auto"/>
                <w:sz w:val="21"/>
                <w:szCs w:val="21"/>
              </w:rPr>
              <w:t>9.45E-04</w:t>
            </w:r>
          </w:p>
        </w:tc>
        <w:tc>
          <w:tcPr>
            <w:tcW w:w="632" w:type="pct"/>
            <w:shd w:val="clear" w:color="auto" w:fill="auto"/>
          </w:tcPr>
          <w:p w14:paraId="5E45F890">
            <w:pPr>
              <w:widowControl/>
              <w:spacing w:line="240" w:lineRule="auto"/>
              <w:ind w:firstLine="420"/>
              <w:jc w:val="center"/>
              <w:rPr>
                <w:color w:val="auto"/>
                <w:kern w:val="0"/>
                <w:sz w:val="21"/>
                <w:szCs w:val="21"/>
              </w:rPr>
            </w:pPr>
            <w:r>
              <w:rPr>
                <w:rFonts w:hint="eastAsia"/>
                <w:color w:val="auto"/>
                <w:sz w:val="21"/>
                <w:szCs w:val="21"/>
              </w:rPr>
              <w:t>0.47</w:t>
            </w:r>
          </w:p>
        </w:tc>
      </w:tr>
      <w:tr w14:paraId="522CB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0" w:hRule="atLeast"/>
        </w:trPr>
        <w:tc>
          <w:tcPr>
            <w:tcW w:w="359" w:type="pct"/>
            <w:shd w:val="clear" w:color="auto" w:fill="auto"/>
            <w:vAlign w:val="center"/>
          </w:tcPr>
          <w:p w14:paraId="47A59B34">
            <w:pPr>
              <w:widowControl/>
              <w:spacing w:line="240" w:lineRule="auto"/>
              <w:ind w:firstLine="0" w:firstLineChars="0"/>
              <w:jc w:val="center"/>
              <w:rPr>
                <w:color w:val="auto"/>
                <w:kern w:val="0"/>
                <w:sz w:val="21"/>
                <w:szCs w:val="21"/>
              </w:rPr>
            </w:pPr>
            <w:r>
              <w:rPr>
                <w:color w:val="auto"/>
                <w:kern w:val="0"/>
                <w:sz w:val="21"/>
                <w:szCs w:val="21"/>
              </w:rPr>
              <w:t>825</w:t>
            </w:r>
          </w:p>
        </w:tc>
        <w:tc>
          <w:tcPr>
            <w:tcW w:w="673" w:type="pct"/>
            <w:shd w:val="clear" w:color="auto" w:fill="auto"/>
          </w:tcPr>
          <w:p w14:paraId="373FEB57">
            <w:pPr>
              <w:widowControl/>
              <w:spacing w:line="240" w:lineRule="auto"/>
              <w:ind w:firstLine="420"/>
              <w:jc w:val="center"/>
              <w:rPr>
                <w:color w:val="auto"/>
                <w:kern w:val="0"/>
                <w:sz w:val="21"/>
                <w:szCs w:val="21"/>
              </w:rPr>
            </w:pPr>
            <w:r>
              <w:rPr>
                <w:rFonts w:hint="eastAsia"/>
                <w:color w:val="auto"/>
                <w:sz w:val="21"/>
                <w:szCs w:val="21"/>
              </w:rPr>
              <w:t>2.15E-03</w:t>
            </w:r>
          </w:p>
        </w:tc>
        <w:tc>
          <w:tcPr>
            <w:tcW w:w="578" w:type="pct"/>
            <w:shd w:val="clear" w:color="auto" w:fill="auto"/>
          </w:tcPr>
          <w:p w14:paraId="2A342D17">
            <w:pPr>
              <w:widowControl/>
              <w:spacing w:line="240" w:lineRule="auto"/>
              <w:ind w:firstLine="420"/>
              <w:jc w:val="center"/>
              <w:rPr>
                <w:color w:val="auto"/>
                <w:kern w:val="0"/>
                <w:sz w:val="21"/>
                <w:szCs w:val="21"/>
              </w:rPr>
            </w:pPr>
            <w:r>
              <w:rPr>
                <w:rFonts w:hint="eastAsia"/>
                <w:color w:val="auto"/>
                <w:sz w:val="21"/>
                <w:szCs w:val="21"/>
              </w:rPr>
              <w:t>0.24</w:t>
            </w:r>
          </w:p>
        </w:tc>
        <w:tc>
          <w:tcPr>
            <w:tcW w:w="927" w:type="pct"/>
            <w:shd w:val="clear" w:color="auto" w:fill="auto"/>
          </w:tcPr>
          <w:p w14:paraId="2EB2A5F2">
            <w:pPr>
              <w:widowControl/>
              <w:spacing w:line="240" w:lineRule="auto"/>
              <w:ind w:firstLine="420"/>
              <w:jc w:val="center"/>
              <w:rPr>
                <w:color w:val="auto"/>
                <w:kern w:val="0"/>
                <w:sz w:val="21"/>
                <w:szCs w:val="21"/>
              </w:rPr>
            </w:pPr>
            <w:r>
              <w:rPr>
                <w:rFonts w:hint="eastAsia"/>
                <w:color w:val="auto"/>
                <w:sz w:val="21"/>
                <w:szCs w:val="21"/>
              </w:rPr>
              <w:t>3.39E-03</w:t>
            </w:r>
          </w:p>
        </w:tc>
        <w:tc>
          <w:tcPr>
            <w:tcW w:w="922" w:type="pct"/>
            <w:shd w:val="clear" w:color="auto" w:fill="auto"/>
          </w:tcPr>
          <w:p w14:paraId="1694FF8C">
            <w:pPr>
              <w:widowControl/>
              <w:spacing w:line="240" w:lineRule="auto"/>
              <w:ind w:firstLine="420"/>
              <w:jc w:val="center"/>
              <w:rPr>
                <w:color w:val="auto"/>
                <w:kern w:val="0"/>
                <w:sz w:val="21"/>
                <w:szCs w:val="21"/>
              </w:rPr>
            </w:pPr>
            <w:r>
              <w:rPr>
                <w:rFonts w:hint="eastAsia"/>
                <w:color w:val="auto"/>
                <w:sz w:val="21"/>
                <w:szCs w:val="21"/>
              </w:rPr>
              <w:t>1.13</w:t>
            </w:r>
          </w:p>
        </w:tc>
        <w:tc>
          <w:tcPr>
            <w:tcW w:w="907" w:type="pct"/>
            <w:shd w:val="clear" w:color="auto" w:fill="auto"/>
          </w:tcPr>
          <w:p w14:paraId="6D1C4E09">
            <w:pPr>
              <w:widowControl/>
              <w:spacing w:line="240" w:lineRule="auto"/>
              <w:ind w:firstLine="420"/>
              <w:jc w:val="center"/>
              <w:rPr>
                <w:color w:val="auto"/>
                <w:kern w:val="0"/>
                <w:sz w:val="21"/>
                <w:szCs w:val="21"/>
              </w:rPr>
            </w:pPr>
            <w:r>
              <w:rPr>
                <w:rFonts w:hint="eastAsia"/>
                <w:color w:val="auto"/>
                <w:sz w:val="21"/>
                <w:szCs w:val="21"/>
              </w:rPr>
              <w:t>9.12E-04</w:t>
            </w:r>
          </w:p>
        </w:tc>
        <w:tc>
          <w:tcPr>
            <w:tcW w:w="632" w:type="pct"/>
            <w:shd w:val="clear" w:color="auto" w:fill="auto"/>
          </w:tcPr>
          <w:p w14:paraId="71EAA79A">
            <w:pPr>
              <w:widowControl/>
              <w:spacing w:line="240" w:lineRule="auto"/>
              <w:ind w:firstLine="420"/>
              <w:jc w:val="center"/>
              <w:rPr>
                <w:color w:val="auto"/>
                <w:kern w:val="0"/>
                <w:sz w:val="21"/>
                <w:szCs w:val="21"/>
              </w:rPr>
            </w:pPr>
            <w:r>
              <w:rPr>
                <w:rFonts w:hint="eastAsia"/>
                <w:color w:val="auto"/>
                <w:sz w:val="21"/>
                <w:szCs w:val="21"/>
              </w:rPr>
              <w:t>0.46</w:t>
            </w:r>
          </w:p>
        </w:tc>
      </w:tr>
      <w:tr w14:paraId="027B7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80FF92D">
            <w:pPr>
              <w:widowControl/>
              <w:spacing w:line="240" w:lineRule="auto"/>
              <w:ind w:firstLine="0" w:firstLineChars="0"/>
              <w:jc w:val="center"/>
              <w:rPr>
                <w:color w:val="auto"/>
                <w:kern w:val="0"/>
                <w:sz w:val="21"/>
                <w:szCs w:val="21"/>
              </w:rPr>
            </w:pPr>
            <w:r>
              <w:rPr>
                <w:color w:val="auto"/>
                <w:kern w:val="0"/>
                <w:sz w:val="21"/>
                <w:szCs w:val="21"/>
              </w:rPr>
              <w:t>850</w:t>
            </w:r>
          </w:p>
        </w:tc>
        <w:tc>
          <w:tcPr>
            <w:tcW w:w="673" w:type="pct"/>
            <w:shd w:val="clear" w:color="auto" w:fill="auto"/>
          </w:tcPr>
          <w:p w14:paraId="37D6FF53">
            <w:pPr>
              <w:widowControl/>
              <w:spacing w:line="240" w:lineRule="auto"/>
              <w:ind w:firstLine="420"/>
              <w:jc w:val="center"/>
              <w:rPr>
                <w:color w:val="auto"/>
                <w:kern w:val="0"/>
                <w:sz w:val="21"/>
                <w:szCs w:val="21"/>
              </w:rPr>
            </w:pPr>
            <w:r>
              <w:rPr>
                <w:rFonts w:hint="eastAsia"/>
                <w:color w:val="auto"/>
                <w:sz w:val="21"/>
                <w:szCs w:val="21"/>
              </w:rPr>
              <w:t>2.07E-03</w:t>
            </w:r>
          </w:p>
        </w:tc>
        <w:tc>
          <w:tcPr>
            <w:tcW w:w="578" w:type="pct"/>
            <w:shd w:val="clear" w:color="auto" w:fill="auto"/>
          </w:tcPr>
          <w:p w14:paraId="4E0DF409">
            <w:pPr>
              <w:widowControl/>
              <w:spacing w:line="240" w:lineRule="auto"/>
              <w:ind w:firstLine="420"/>
              <w:jc w:val="center"/>
              <w:rPr>
                <w:color w:val="auto"/>
                <w:kern w:val="0"/>
                <w:sz w:val="21"/>
                <w:szCs w:val="21"/>
              </w:rPr>
            </w:pPr>
            <w:r>
              <w:rPr>
                <w:rFonts w:hint="eastAsia"/>
                <w:color w:val="auto"/>
                <w:sz w:val="21"/>
                <w:szCs w:val="21"/>
              </w:rPr>
              <w:t>0.23</w:t>
            </w:r>
          </w:p>
        </w:tc>
        <w:tc>
          <w:tcPr>
            <w:tcW w:w="927" w:type="pct"/>
            <w:shd w:val="clear" w:color="auto" w:fill="auto"/>
          </w:tcPr>
          <w:p w14:paraId="0857D1CB">
            <w:pPr>
              <w:widowControl/>
              <w:spacing w:line="240" w:lineRule="auto"/>
              <w:ind w:firstLine="420"/>
              <w:jc w:val="center"/>
              <w:rPr>
                <w:color w:val="auto"/>
                <w:kern w:val="0"/>
                <w:sz w:val="21"/>
                <w:szCs w:val="21"/>
              </w:rPr>
            </w:pPr>
            <w:r>
              <w:rPr>
                <w:rFonts w:hint="eastAsia"/>
                <w:color w:val="auto"/>
                <w:sz w:val="21"/>
                <w:szCs w:val="21"/>
              </w:rPr>
              <w:t>3.27E-03</w:t>
            </w:r>
          </w:p>
        </w:tc>
        <w:tc>
          <w:tcPr>
            <w:tcW w:w="922" w:type="pct"/>
            <w:shd w:val="clear" w:color="auto" w:fill="auto"/>
          </w:tcPr>
          <w:p w14:paraId="2C180807">
            <w:pPr>
              <w:widowControl/>
              <w:spacing w:line="240" w:lineRule="auto"/>
              <w:ind w:firstLine="420"/>
              <w:jc w:val="center"/>
              <w:rPr>
                <w:color w:val="auto"/>
                <w:kern w:val="0"/>
                <w:sz w:val="21"/>
                <w:szCs w:val="21"/>
              </w:rPr>
            </w:pPr>
            <w:r>
              <w:rPr>
                <w:rFonts w:hint="eastAsia"/>
                <w:color w:val="auto"/>
                <w:sz w:val="21"/>
                <w:szCs w:val="21"/>
              </w:rPr>
              <w:t>1.09</w:t>
            </w:r>
          </w:p>
        </w:tc>
        <w:tc>
          <w:tcPr>
            <w:tcW w:w="907" w:type="pct"/>
            <w:shd w:val="clear" w:color="auto" w:fill="auto"/>
          </w:tcPr>
          <w:p w14:paraId="30F8BF9F">
            <w:pPr>
              <w:widowControl/>
              <w:spacing w:line="240" w:lineRule="auto"/>
              <w:ind w:firstLine="420"/>
              <w:jc w:val="center"/>
              <w:rPr>
                <w:color w:val="auto"/>
                <w:kern w:val="0"/>
                <w:sz w:val="21"/>
                <w:szCs w:val="21"/>
              </w:rPr>
            </w:pPr>
            <w:r>
              <w:rPr>
                <w:rFonts w:hint="eastAsia"/>
                <w:color w:val="auto"/>
                <w:sz w:val="21"/>
                <w:szCs w:val="21"/>
              </w:rPr>
              <w:t>8.81E-04</w:t>
            </w:r>
          </w:p>
        </w:tc>
        <w:tc>
          <w:tcPr>
            <w:tcW w:w="632" w:type="pct"/>
            <w:shd w:val="clear" w:color="auto" w:fill="auto"/>
          </w:tcPr>
          <w:p w14:paraId="51DC10C0">
            <w:pPr>
              <w:widowControl/>
              <w:spacing w:line="240" w:lineRule="auto"/>
              <w:ind w:firstLine="420"/>
              <w:jc w:val="center"/>
              <w:rPr>
                <w:color w:val="auto"/>
                <w:kern w:val="0"/>
                <w:sz w:val="21"/>
                <w:szCs w:val="21"/>
              </w:rPr>
            </w:pPr>
            <w:r>
              <w:rPr>
                <w:rFonts w:hint="eastAsia"/>
                <w:color w:val="auto"/>
                <w:sz w:val="21"/>
                <w:szCs w:val="21"/>
              </w:rPr>
              <w:t>0.44</w:t>
            </w:r>
          </w:p>
        </w:tc>
      </w:tr>
      <w:tr w14:paraId="5EE5B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5521B91">
            <w:pPr>
              <w:widowControl/>
              <w:spacing w:line="240" w:lineRule="auto"/>
              <w:ind w:firstLine="0" w:firstLineChars="0"/>
              <w:jc w:val="center"/>
              <w:rPr>
                <w:color w:val="auto"/>
                <w:kern w:val="0"/>
                <w:sz w:val="21"/>
                <w:szCs w:val="21"/>
              </w:rPr>
            </w:pPr>
            <w:r>
              <w:rPr>
                <w:color w:val="auto"/>
                <w:kern w:val="0"/>
                <w:sz w:val="21"/>
                <w:szCs w:val="21"/>
              </w:rPr>
              <w:t>875</w:t>
            </w:r>
          </w:p>
        </w:tc>
        <w:tc>
          <w:tcPr>
            <w:tcW w:w="673" w:type="pct"/>
            <w:shd w:val="clear" w:color="auto" w:fill="auto"/>
          </w:tcPr>
          <w:p w14:paraId="49F87F04">
            <w:pPr>
              <w:widowControl/>
              <w:spacing w:line="240" w:lineRule="auto"/>
              <w:ind w:firstLine="420"/>
              <w:jc w:val="center"/>
              <w:rPr>
                <w:color w:val="auto"/>
                <w:kern w:val="0"/>
                <w:sz w:val="21"/>
                <w:szCs w:val="21"/>
              </w:rPr>
            </w:pPr>
            <w:r>
              <w:rPr>
                <w:rFonts w:hint="eastAsia"/>
                <w:color w:val="auto"/>
                <w:sz w:val="21"/>
                <w:szCs w:val="21"/>
              </w:rPr>
              <w:t>2.00E-03</w:t>
            </w:r>
          </w:p>
        </w:tc>
        <w:tc>
          <w:tcPr>
            <w:tcW w:w="578" w:type="pct"/>
            <w:shd w:val="clear" w:color="auto" w:fill="auto"/>
          </w:tcPr>
          <w:p w14:paraId="5D2D982A">
            <w:pPr>
              <w:widowControl/>
              <w:spacing w:line="240" w:lineRule="auto"/>
              <w:ind w:firstLine="420"/>
              <w:jc w:val="center"/>
              <w:rPr>
                <w:color w:val="auto"/>
                <w:kern w:val="0"/>
                <w:sz w:val="21"/>
                <w:szCs w:val="21"/>
              </w:rPr>
            </w:pPr>
            <w:r>
              <w:rPr>
                <w:rFonts w:hint="eastAsia"/>
                <w:color w:val="auto"/>
                <w:sz w:val="21"/>
                <w:szCs w:val="21"/>
              </w:rPr>
              <w:t>0.22</w:t>
            </w:r>
          </w:p>
        </w:tc>
        <w:tc>
          <w:tcPr>
            <w:tcW w:w="927" w:type="pct"/>
            <w:shd w:val="clear" w:color="auto" w:fill="auto"/>
          </w:tcPr>
          <w:p w14:paraId="393369AF">
            <w:pPr>
              <w:widowControl/>
              <w:spacing w:line="240" w:lineRule="auto"/>
              <w:ind w:firstLine="420"/>
              <w:jc w:val="center"/>
              <w:rPr>
                <w:color w:val="auto"/>
                <w:kern w:val="0"/>
                <w:sz w:val="21"/>
                <w:szCs w:val="21"/>
              </w:rPr>
            </w:pPr>
            <w:r>
              <w:rPr>
                <w:rFonts w:hint="eastAsia"/>
                <w:color w:val="auto"/>
                <w:sz w:val="21"/>
                <w:szCs w:val="21"/>
              </w:rPr>
              <w:t>3.16E-03</w:t>
            </w:r>
          </w:p>
        </w:tc>
        <w:tc>
          <w:tcPr>
            <w:tcW w:w="922" w:type="pct"/>
            <w:shd w:val="clear" w:color="auto" w:fill="auto"/>
          </w:tcPr>
          <w:p w14:paraId="046A4408">
            <w:pPr>
              <w:widowControl/>
              <w:spacing w:line="240" w:lineRule="auto"/>
              <w:ind w:firstLine="420"/>
              <w:jc w:val="center"/>
              <w:rPr>
                <w:color w:val="auto"/>
                <w:kern w:val="0"/>
                <w:sz w:val="21"/>
                <w:szCs w:val="21"/>
              </w:rPr>
            </w:pPr>
            <w:r>
              <w:rPr>
                <w:rFonts w:hint="eastAsia"/>
                <w:color w:val="auto"/>
                <w:sz w:val="21"/>
                <w:szCs w:val="21"/>
              </w:rPr>
              <w:t>1.05</w:t>
            </w:r>
          </w:p>
        </w:tc>
        <w:tc>
          <w:tcPr>
            <w:tcW w:w="907" w:type="pct"/>
            <w:shd w:val="clear" w:color="auto" w:fill="auto"/>
          </w:tcPr>
          <w:p w14:paraId="7BC09821">
            <w:pPr>
              <w:widowControl/>
              <w:spacing w:line="240" w:lineRule="auto"/>
              <w:ind w:firstLine="420"/>
              <w:jc w:val="center"/>
              <w:rPr>
                <w:color w:val="auto"/>
                <w:kern w:val="0"/>
                <w:sz w:val="21"/>
                <w:szCs w:val="21"/>
              </w:rPr>
            </w:pPr>
            <w:r>
              <w:rPr>
                <w:rFonts w:hint="eastAsia"/>
                <w:color w:val="auto"/>
                <w:sz w:val="21"/>
                <w:szCs w:val="21"/>
              </w:rPr>
              <w:t>8.51E-04</w:t>
            </w:r>
          </w:p>
        </w:tc>
        <w:tc>
          <w:tcPr>
            <w:tcW w:w="632" w:type="pct"/>
            <w:shd w:val="clear" w:color="auto" w:fill="auto"/>
          </w:tcPr>
          <w:p w14:paraId="26993728">
            <w:pPr>
              <w:widowControl/>
              <w:spacing w:line="240" w:lineRule="auto"/>
              <w:ind w:firstLine="420"/>
              <w:jc w:val="center"/>
              <w:rPr>
                <w:color w:val="auto"/>
                <w:kern w:val="0"/>
                <w:sz w:val="21"/>
                <w:szCs w:val="21"/>
              </w:rPr>
            </w:pPr>
            <w:r>
              <w:rPr>
                <w:rFonts w:hint="eastAsia"/>
                <w:color w:val="auto"/>
                <w:sz w:val="21"/>
                <w:szCs w:val="21"/>
              </w:rPr>
              <w:t>0.43</w:t>
            </w:r>
          </w:p>
        </w:tc>
      </w:tr>
      <w:tr w14:paraId="11593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D61696F">
            <w:pPr>
              <w:widowControl/>
              <w:spacing w:line="240" w:lineRule="auto"/>
              <w:ind w:firstLine="0" w:firstLineChars="0"/>
              <w:jc w:val="center"/>
              <w:rPr>
                <w:color w:val="auto"/>
                <w:kern w:val="0"/>
                <w:sz w:val="21"/>
                <w:szCs w:val="21"/>
              </w:rPr>
            </w:pPr>
            <w:r>
              <w:rPr>
                <w:color w:val="auto"/>
                <w:kern w:val="0"/>
                <w:sz w:val="21"/>
                <w:szCs w:val="21"/>
              </w:rPr>
              <w:t>900</w:t>
            </w:r>
          </w:p>
        </w:tc>
        <w:tc>
          <w:tcPr>
            <w:tcW w:w="673" w:type="pct"/>
            <w:shd w:val="clear" w:color="auto" w:fill="auto"/>
          </w:tcPr>
          <w:p w14:paraId="0D1689A4">
            <w:pPr>
              <w:widowControl/>
              <w:spacing w:line="240" w:lineRule="auto"/>
              <w:ind w:firstLine="420"/>
              <w:jc w:val="center"/>
              <w:rPr>
                <w:color w:val="auto"/>
                <w:kern w:val="0"/>
                <w:sz w:val="21"/>
                <w:szCs w:val="21"/>
              </w:rPr>
            </w:pPr>
            <w:r>
              <w:rPr>
                <w:rFonts w:hint="eastAsia"/>
                <w:color w:val="auto"/>
                <w:sz w:val="21"/>
                <w:szCs w:val="21"/>
              </w:rPr>
              <w:t>1.94E-03</w:t>
            </w:r>
          </w:p>
        </w:tc>
        <w:tc>
          <w:tcPr>
            <w:tcW w:w="578" w:type="pct"/>
            <w:shd w:val="clear" w:color="auto" w:fill="auto"/>
          </w:tcPr>
          <w:p w14:paraId="34AB028A">
            <w:pPr>
              <w:widowControl/>
              <w:spacing w:line="240" w:lineRule="auto"/>
              <w:ind w:firstLine="420"/>
              <w:jc w:val="center"/>
              <w:rPr>
                <w:color w:val="auto"/>
                <w:kern w:val="0"/>
                <w:sz w:val="21"/>
                <w:szCs w:val="21"/>
              </w:rPr>
            </w:pPr>
            <w:r>
              <w:rPr>
                <w:rFonts w:hint="eastAsia"/>
                <w:color w:val="auto"/>
                <w:sz w:val="21"/>
                <w:szCs w:val="21"/>
              </w:rPr>
              <w:t>0.22</w:t>
            </w:r>
          </w:p>
        </w:tc>
        <w:tc>
          <w:tcPr>
            <w:tcW w:w="927" w:type="pct"/>
            <w:shd w:val="clear" w:color="auto" w:fill="auto"/>
          </w:tcPr>
          <w:p w14:paraId="1F8D372F">
            <w:pPr>
              <w:widowControl/>
              <w:spacing w:line="240" w:lineRule="auto"/>
              <w:ind w:firstLine="420"/>
              <w:jc w:val="center"/>
              <w:rPr>
                <w:color w:val="auto"/>
                <w:kern w:val="0"/>
                <w:sz w:val="21"/>
                <w:szCs w:val="21"/>
              </w:rPr>
            </w:pPr>
            <w:r>
              <w:rPr>
                <w:rFonts w:hint="eastAsia"/>
                <w:color w:val="auto"/>
                <w:sz w:val="21"/>
                <w:szCs w:val="21"/>
              </w:rPr>
              <w:t>3.06E-03</w:t>
            </w:r>
          </w:p>
        </w:tc>
        <w:tc>
          <w:tcPr>
            <w:tcW w:w="922" w:type="pct"/>
            <w:shd w:val="clear" w:color="auto" w:fill="auto"/>
          </w:tcPr>
          <w:p w14:paraId="078AD1C1">
            <w:pPr>
              <w:widowControl/>
              <w:spacing w:line="240" w:lineRule="auto"/>
              <w:ind w:firstLine="420"/>
              <w:jc w:val="center"/>
              <w:rPr>
                <w:color w:val="auto"/>
                <w:kern w:val="0"/>
                <w:sz w:val="21"/>
                <w:szCs w:val="21"/>
              </w:rPr>
            </w:pPr>
            <w:r>
              <w:rPr>
                <w:rFonts w:hint="eastAsia"/>
                <w:color w:val="auto"/>
                <w:sz w:val="21"/>
                <w:szCs w:val="21"/>
              </w:rPr>
              <w:t>1.02</w:t>
            </w:r>
          </w:p>
        </w:tc>
        <w:tc>
          <w:tcPr>
            <w:tcW w:w="907" w:type="pct"/>
            <w:shd w:val="clear" w:color="auto" w:fill="auto"/>
          </w:tcPr>
          <w:p w14:paraId="739D9E1F">
            <w:pPr>
              <w:widowControl/>
              <w:spacing w:line="240" w:lineRule="auto"/>
              <w:ind w:firstLine="420"/>
              <w:jc w:val="center"/>
              <w:rPr>
                <w:color w:val="auto"/>
                <w:kern w:val="0"/>
                <w:sz w:val="21"/>
                <w:szCs w:val="21"/>
              </w:rPr>
            </w:pPr>
            <w:r>
              <w:rPr>
                <w:rFonts w:hint="eastAsia"/>
                <w:color w:val="auto"/>
                <w:sz w:val="21"/>
                <w:szCs w:val="21"/>
              </w:rPr>
              <w:t>8.23E-04</w:t>
            </w:r>
          </w:p>
        </w:tc>
        <w:tc>
          <w:tcPr>
            <w:tcW w:w="632" w:type="pct"/>
            <w:shd w:val="clear" w:color="auto" w:fill="auto"/>
          </w:tcPr>
          <w:p w14:paraId="00C7F045">
            <w:pPr>
              <w:widowControl/>
              <w:spacing w:line="240" w:lineRule="auto"/>
              <w:ind w:firstLine="420"/>
              <w:jc w:val="center"/>
              <w:rPr>
                <w:color w:val="auto"/>
                <w:kern w:val="0"/>
                <w:sz w:val="21"/>
                <w:szCs w:val="21"/>
              </w:rPr>
            </w:pPr>
            <w:r>
              <w:rPr>
                <w:rFonts w:hint="eastAsia"/>
                <w:color w:val="auto"/>
                <w:sz w:val="21"/>
                <w:szCs w:val="21"/>
              </w:rPr>
              <w:t>0.41</w:t>
            </w:r>
          </w:p>
        </w:tc>
      </w:tr>
      <w:tr w14:paraId="648E4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64D4200">
            <w:pPr>
              <w:widowControl/>
              <w:spacing w:line="240" w:lineRule="auto"/>
              <w:ind w:firstLine="0" w:firstLineChars="0"/>
              <w:jc w:val="center"/>
              <w:rPr>
                <w:color w:val="auto"/>
                <w:kern w:val="0"/>
                <w:sz w:val="21"/>
                <w:szCs w:val="21"/>
              </w:rPr>
            </w:pPr>
            <w:r>
              <w:rPr>
                <w:color w:val="auto"/>
                <w:kern w:val="0"/>
                <w:sz w:val="21"/>
                <w:szCs w:val="21"/>
              </w:rPr>
              <w:t>925</w:t>
            </w:r>
          </w:p>
        </w:tc>
        <w:tc>
          <w:tcPr>
            <w:tcW w:w="673" w:type="pct"/>
            <w:shd w:val="clear" w:color="auto" w:fill="auto"/>
          </w:tcPr>
          <w:p w14:paraId="7CE9BED1">
            <w:pPr>
              <w:widowControl/>
              <w:spacing w:line="240" w:lineRule="auto"/>
              <w:ind w:firstLine="420"/>
              <w:jc w:val="center"/>
              <w:rPr>
                <w:color w:val="auto"/>
                <w:kern w:val="0"/>
                <w:sz w:val="21"/>
                <w:szCs w:val="21"/>
              </w:rPr>
            </w:pPr>
            <w:r>
              <w:rPr>
                <w:rFonts w:hint="eastAsia"/>
                <w:color w:val="auto"/>
                <w:sz w:val="21"/>
                <w:szCs w:val="21"/>
              </w:rPr>
              <w:t>1.87E-03</w:t>
            </w:r>
          </w:p>
        </w:tc>
        <w:tc>
          <w:tcPr>
            <w:tcW w:w="578" w:type="pct"/>
            <w:shd w:val="clear" w:color="auto" w:fill="auto"/>
          </w:tcPr>
          <w:p w14:paraId="2E4A650E">
            <w:pPr>
              <w:widowControl/>
              <w:spacing w:line="240" w:lineRule="auto"/>
              <w:ind w:firstLine="420"/>
              <w:jc w:val="center"/>
              <w:rPr>
                <w:color w:val="auto"/>
                <w:kern w:val="0"/>
                <w:sz w:val="21"/>
                <w:szCs w:val="21"/>
              </w:rPr>
            </w:pPr>
            <w:r>
              <w:rPr>
                <w:rFonts w:hint="eastAsia"/>
                <w:color w:val="auto"/>
                <w:sz w:val="21"/>
                <w:szCs w:val="21"/>
              </w:rPr>
              <w:t>0.21</w:t>
            </w:r>
          </w:p>
        </w:tc>
        <w:tc>
          <w:tcPr>
            <w:tcW w:w="927" w:type="pct"/>
            <w:shd w:val="clear" w:color="auto" w:fill="auto"/>
          </w:tcPr>
          <w:p w14:paraId="77139563">
            <w:pPr>
              <w:widowControl/>
              <w:spacing w:line="240" w:lineRule="auto"/>
              <w:ind w:firstLine="420"/>
              <w:jc w:val="center"/>
              <w:rPr>
                <w:color w:val="auto"/>
                <w:kern w:val="0"/>
                <w:sz w:val="21"/>
                <w:szCs w:val="21"/>
              </w:rPr>
            </w:pPr>
            <w:r>
              <w:rPr>
                <w:rFonts w:hint="eastAsia"/>
                <w:color w:val="auto"/>
                <w:sz w:val="21"/>
                <w:szCs w:val="21"/>
              </w:rPr>
              <w:t>2.96E-03</w:t>
            </w:r>
          </w:p>
        </w:tc>
        <w:tc>
          <w:tcPr>
            <w:tcW w:w="922" w:type="pct"/>
            <w:shd w:val="clear" w:color="auto" w:fill="auto"/>
          </w:tcPr>
          <w:p w14:paraId="4556E5DC">
            <w:pPr>
              <w:widowControl/>
              <w:spacing w:line="240" w:lineRule="auto"/>
              <w:ind w:firstLine="420"/>
              <w:jc w:val="center"/>
              <w:rPr>
                <w:color w:val="auto"/>
                <w:kern w:val="0"/>
                <w:sz w:val="21"/>
                <w:szCs w:val="21"/>
              </w:rPr>
            </w:pPr>
            <w:r>
              <w:rPr>
                <w:rFonts w:hint="eastAsia"/>
                <w:color w:val="auto"/>
                <w:sz w:val="21"/>
                <w:szCs w:val="21"/>
              </w:rPr>
              <w:t>0.99</w:t>
            </w:r>
          </w:p>
        </w:tc>
        <w:tc>
          <w:tcPr>
            <w:tcW w:w="907" w:type="pct"/>
            <w:shd w:val="clear" w:color="auto" w:fill="auto"/>
          </w:tcPr>
          <w:p w14:paraId="31BCFC2B">
            <w:pPr>
              <w:widowControl/>
              <w:spacing w:line="240" w:lineRule="auto"/>
              <w:ind w:firstLine="420"/>
              <w:jc w:val="center"/>
              <w:rPr>
                <w:color w:val="auto"/>
                <w:kern w:val="0"/>
                <w:sz w:val="21"/>
                <w:szCs w:val="21"/>
              </w:rPr>
            </w:pPr>
            <w:r>
              <w:rPr>
                <w:rFonts w:hint="eastAsia"/>
                <w:color w:val="auto"/>
                <w:sz w:val="21"/>
                <w:szCs w:val="21"/>
              </w:rPr>
              <w:t>7.96E-04</w:t>
            </w:r>
          </w:p>
        </w:tc>
        <w:tc>
          <w:tcPr>
            <w:tcW w:w="632" w:type="pct"/>
            <w:shd w:val="clear" w:color="auto" w:fill="auto"/>
          </w:tcPr>
          <w:p w14:paraId="3A22CFE5">
            <w:pPr>
              <w:widowControl/>
              <w:spacing w:line="240" w:lineRule="auto"/>
              <w:ind w:firstLine="420"/>
              <w:jc w:val="center"/>
              <w:rPr>
                <w:color w:val="auto"/>
                <w:kern w:val="0"/>
                <w:sz w:val="21"/>
                <w:szCs w:val="21"/>
              </w:rPr>
            </w:pPr>
            <w:r>
              <w:rPr>
                <w:rFonts w:hint="eastAsia"/>
                <w:color w:val="auto"/>
                <w:sz w:val="21"/>
                <w:szCs w:val="21"/>
              </w:rPr>
              <w:t>0.40</w:t>
            </w:r>
          </w:p>
        </w:tc>
      </w:tr>
      <w:tr w14:paraId="306E1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1840F91">
            <w:pPr>
              <w:widowControl/>
              <w:spacing w:line="240" w:lineRule="auto"/>
              <w:ind w:firstLine="0" w:firstLineChars="0"/>
              <w:jc w:val="center"/>
              <w:rPr>
                <w:color w:val="auto"/>
                <w:kern w:val="0"/>
                <w:sz w:val="21"/>
                <w:szCs w:val="21"/>
              </w:rPr>
            </w:pPr>
            <w:r>
              <w:rPr>
                <w:color w:val="auto"/>
                <w:kern w:val="0"/>
                <w:sz w:val="21"/>
                <w:szCs w:val="21"/>
              </w:rPr>
              <w:t>950</w:t>
            </w:r>
          </w:p>
        </w:tc>
        <w:tc>
          <w:tcPr>
            <w:tcW w:w="673" w:type="pct"/>
            <w:shd w:val="clear" w:color="auto" w:fill="auto"/>
          </w:tcPr>
          <w:p w14:paraId="0255FC6E">
            <w:pPr>
              <w:widowControl/>
              <w:spacing w:line="240" w:lineRule="auto"/>
              <w:ind w:firstLine="420"/>
              <w:jc w:val="center"/>
              <w:rPr>
                <w:color w:val="auto"/>
                <w:kern w:val="0"/>
                <w:sz w:val="21"/>
                <w:szCs w:val="21"/>
              </w:rPr>
            </w:pPr>
            <w:r>
              <w:rPr>
                <w:rFonts w:hint="eastAsia"/>
                <w:color w:val="auto"/>
                <w:sz w:val="21"/>
                <w:szCs w:val="21"/>
              </w:rPr>
              <w:t>1.81E-03</w:t>
            </w:r>
          </w:p>
        </w:tc>
        <w:tc>
          <w:tcPr>
            <w:tcW w:w="578" w:type="pct"/>
            <w:shd w:val="clear" w:color="auto" w:fill="auto"/>
          </w:tcPr>
          <w:p w14:paraId="37C1B7C4">
            <w:pPr>
              <w:widowControl/>
              <w:spacing w:line="240" w:lineRule="auto"/>
              <w:ind w:firstLine="420"/>
              <w:jc w:val="center"/>
              <w:rPr>
                <w:color w:val="auto"/>
                <w:kern w:val="0"/>
                <w:sz w:val="21"/>
                <w:szCs w:val="21"/>
              </w:rPr>
            </w:pPr>
            <w:r>
              <w:rPr>
                <w:rFonts w:hint="eastAsia"/>
                <w:color w:val="auto"/>
                <w:sz w:val="21"/>
                <w:szCs w:val="21"/>
              </w:rPr>
              <w:t>0.20</w:t>
            </w:r>
          </w:p>
        </w:tc>
        <w:tc>
          <w:tcPr>
            <w:tcW w:w="927" w:type="pct"/>
            <w:shd w:val="clear" w:color="auto" w:fill="auto"/>
          </w:tcPr>
          <w:p w14:paraId="1DB3AFB3">
            <w:pPr>
              <w:widowControl/>
              <w:spacing w:line="240" w:lineRule="auto"/>
              <w:ind w:firstLine="420"/>
              <w:jc w:val="center"/>
              <w:rPr>
                <w:color w:val="auto"/>
                <w:kern w:val="0"/>
                <w:sz w:val="21"/>
                <w:szCs w:val="21"/>
              </w:rPr>
            </w:pPr>
            <w:r>
              <w:rPr>
                <w:rFonts w:hint="eastAsia"/>
                <w:color w:val="auto"/>
                <w:sz w:val="21"/>
                <w:szCs w:val="21"/>
              </w:rPr>
              <w:t>2.87E-03</w:t>
            </w:r>
          </w:p>
        </w:tc>
        <w:tc>
          <w:tcPr>
            <w:tcW w:w="922" w:type="pct"/>
            <w:shd w:val="clear" w:color="auto" w:fill="auto"/>
          </w:tcPr>
          <w:p w14:paraId="11683A2D">
            <w:pPr>
              <w:widowControl/>
              <w:spacing w:line="240" w:lineRule="auto"/>
              <w:ind w:firstLine="420"/>
              <w:jc w:val="center"/>
              <w:rPr>
                <w:color w:val="auto"/>
                <w:kern w:val="0"/>
                <w:sz w:val="21"/>
                <w:szCs w:val="21"/>
              </w:rPr>
            </w:pPr>
            <w:r>
              <w:rPr>
                <w:rFonts w:hint="eastAsia"/>
                <w:color w:val="auto"/>
                <w:sz w:val="21"/>
                <w:szCs w:val="21"/>
              </w:rPr>
              <w:t>0.96</w:t>
            </w:r>
          </w:p>
        </w:tc>
        <w:tc>
          <w:tcPr>
            <w:tcW w:w="907" w:type="pct"/>
            <w:shd w:val="clear" w:color="auto" w:fill="auto"/>
          </w:tcPr>
          <w:p w14:paraId="668C8326">
            <w:pPr>
              <w:widowControl/>
              <w:spacing w:line="240" w:lineRule="auto"/>
              <w:ind w:firstLine="420"/>
              <w:jc w:val="center"/>
              <w:rPr>
                <w:color w:val="auto"/>
                <w:kern w:val="0"/>
                <w:sz w:val="21"/>
                <w:szCs w:val="21"/>
              </w:rPr>
            </w:pPr>
            <w:r>
              <w:rPr>
                <w:rFonts w:hint="eastAsia"/>
                <w:color w:val="auto"/>
                <w:sz w:val="21"/>
                <w:szCs w:val="21"/>
              </w:rPr>
              <w:t>7.71E-04</w:t>
            </w:r>
          </w:p>
        </w:tc>
        <w:tc>
          <w:tcPr>
            <w:tcW w:w="632" w:type="pct"/>
            <w:shd w:val="clear" w:color="auto" w:fill="auto"/>
          </w:tcPr>
          <w:p w14:paraId="3790287D">
            <w:pPr>
              <w:widowControl/>
              <w:spacing w:line="240" w:lineRule="auto"/>
              <w:ind w:firstLine="420"/>
              <w:jc w:val="center"/>
              <w:rPr>
                <w:color w:val="auto"/>
                <w:kern w:val="0"/>
                <w:sz w:val="21"/>
                <w:szCs w:val="21"/>
              </w:rPr>
            </w:pPr>
            <w:r>
              <w:rPr>
                <w:rFonts w:hint="eastAsia"/>
                <w:color w:val="auto"/>
                <w:sz w:val="21"/>
                <w:szCs w:val="21"/>
              </w:rPr>
              <w:t>0.39</w:t>
            </w:r>
          </w:p>
        </w:tc>
      </w:tr>
      <w:tr w14:paraId="06E08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B22D4E6">
            <w:pPr>
              <w:widowControl/>
              <w:spacing w:line="240" w:lineRule="auto"/>
              <w:ind w:firstLine="0" w:firstLineChars="0"/>
              <w:jc w:val="center"/>
              <w:rPr>
                <w:color w:val="auto"/>
                <w:kern w:val="0"/>
                <w:sz w:val="21"/>
                <w:szCs w:val="21"/>
              </w:rPr>
            </w:pPr>
            <w:r>
              <w:rPr>
                <w:color w:val="auto"/>
                <w:kern w:val="0"/>
                <w:sz w:val="21"/>
                <w:szCs w:val="21"/>
              </w:rPr>
              <w:t>975</w:t>
            </w:r>
          </w:p>
        </w:tc>
        <w:tc>
          <w:tcPr>
            <w:tcW w:w="673" w:type="pct"/>
            <w:shd w:val="clear" w:color="auto" w:fill="auto"/>
          </w:tcPr>
          <w:p w14:paraId="524E40A3">
            <w:pPr>
              <w:widowControl/>
              <w:spacing w:line="240" w:lineRule="auto"/>
              <w:ind w:firstLine="420"/>
              <w:jc w:val="center"/>
              <w:rPr>
                <w:color w:val="auto"/>
                <w:kern w:val="0"/>
                <w:sz w:val="21"/>
                <w:szCs w:val="21"/>
              </w:rPr>
            </w:pPr>
            <w:r>
              <w:rPr>
                <w:rFonts w:hint="eastAsia"/>
                <w:color w:val="auto"/>
                <w:sz w:val="21"/>
                <w:szCs w:val="21"/>
              </w:rPr>
              <w:t>1.76E-03</w:t>
            </w:r>
          </w:p>
        </w:tc>
        <w:tc>
          <w:tcPr>
            <w:tcW w:w="578" w:type="pct"/>
            <w:shd w:val="clear" w:color="auto" w:fill="auto"/>
          </w:tcPr>
          <w:p w14:paraId="1F129930">
            <w:pPr>
              <w:widowControl/>
              <w:spacing w:line="240" w:lineRule="auto"/>
              <w:ind w:firstLine="420"/>
              <w:jc w:val="center"/>
              <w:rPr>
                <w:color w:val="auto"/>
                <w:kern w:val="0"/>
                <w:sz w:val="21"/>
                <w:szCs w:val="21"/>
              </w:rPr>
            </w:pPr>
            <w:r>
              <w:rPr>
                <w:rFonts w:hint="eastAsia"/>
                <w:color w:val="auto"/>
                <w:sz w:val="21"/>
                <w:szCs w:val="21"/>
              </w:rPr>
              <w:t>0.20</w:t>
            </w:r>
          </w:p>
        </w:tc>
        <w:tc>
          <w:tcPr>
            <w:tcW w:w="927" w:type="pct"/>
            <w:shd w:val="clear" w:color="auto" w:fill="auto"/>
          </w:tcPr>
          <w:p w14:paraId="278B9676">
            <w:pPr>
              <w:widowControl/>
              <w:spacing w:line="240" w:lineRule="auto"/>
              <w:ind w:firstLine="420"/>
              <w:jc w:val="center"/>
              <w:rPr>
                <w:color w:val="auto"/>
                <w:kern w:val="0"/>
                <w:sz w:val="21"/>
                <w:szCs w:val="21"/>
              </w:rPr>
            </w:pPr>
            <w:r>
              <w:rPr>
                <w:rFonts w:hint="eastAsia"/>
                <w:color w:val="auto"/>
                <w:sz w:val="21"/>
                <w:szCs w:val="21"/>
              </w:rPr>
              <w:t>2.78E-03</w:t>
            </w:r>
          </w:p>
        </w:tc>
        <w:tc>
          <w:tcPr>
            <w:tcW w:w="922" w:type="pct"/>
            <w:shd w:val="clear" w:color="auto" w:fill="auto"/>
          </w:tcPr>
          <w:p w14:paraId="31180668">
            <w:pPr>
              <w:widowControl/>
              <w:spacing w:line="240" w:lineRule="auto"/>
              <w:ind w:firstLine="420"/>
              <w:jc w:val="center"/>
              <w:rPr>
                <w:color w:val="auto"/>
                <w:kern w:val="0"/>
                <w:sz w:val="21"/>
                <w:szCs w:val="21"/>
              </w:rPr>
            </w:pPr>
            <w:r>
              <w:rPr>
                <w:rFonts w:hint="eastAsia"/>
                <w:color w:val="auto"/>
                <w:sz w:val="21"/>
                <w:szCs w:val="21"/>
              </w:rPr>
              <w:t>0.93</w:t>
            </w:r>
          </w:p>
        </w:tc>
        <w:tc>
          <w:tcPr>
            <w:tcW w:w="907" w:type="pct"/>
            <w:shd w:val="clear" w:color="auto" w:fill="auto"/>
          </w:tcPr>
          <w:p w14:paraId="01BA9FF2">
            <w:pPr>
              <w:widowControl/>
              <w:spacing w:line="240" w:lineRule="auto"/>
              <w:ind w:firstLine="420"/>
              <w:jc w:val="center"/>
              <w:rPr>
                <w:color w:val="auto"/>
                <w:kern w:val="0"/>
                <w:sz w:val="21"/>
                <w:szCs w:val="21"/>
              </w:rPr>
            </w:pPr>
            <w:r>
              <w:rPr>
                <w:rFonts w:hint="eastAsia"/>
                <w:color w:val="auto"/>
                <w:sz w:val="21"/>
                <w:szCs w:val="21"/>
              </w:rPr>
              <w:t>7.47E-04</w:t>
            </w:r>
          </w:p>
        </w:tc>
        <w:tc>
          <w:tcPr>
            <w:tcW w:w="632" w:type="pct"/>
            <w:shd w:val="clear" w:color="auto" w:fill="auto"/>
          </w:tcPr>
          <w:p w14:paraId="6F96CA6C">
            <w:pPr>
              <w:widowControl/>
              <w:spacing w:line="240" w:lineRule="auto"/>
              <w:ind w:firstLine="420"/>
              <w:jc w:val="center"/>
              <w:rPr>
                <w:color w:val="auto"/>
                <w:kern w:val="0"/>
                <w:sz w:val="21"/>
                <w:szCs w:val="21"/>
              </w:rPr>
            </w:pPr>
            <w:r>
              <w:rPr>
                <w:rFonts w:hint="eastAsia"/>
                <w:color w:val="auto"/>
                <w:sz w:val="21"/>
                <w:szCs w:val="21"/>
              </w:rPr>
              <w:t>0.37</w:t>
            </w:r>
          </w:p>
        </w:tc>
      </w:tr>
      <w:tr w14:paraId="08F34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E415511">
            <w:pPr>
              <w:widowControl/>
              <w:spacing w:line="240" w:lineRule="auto"/>
              <w:ind w:firstLine="0" w:firstLineChars="0"/>
              <w:jc w:val="center"/>
              <w:rPr>
                <w:color w:val="auto"/>
                <w:kern w:val="0"/>
                <w:sz w:val="21"/>
                <w:szCs w:val="21"/>
              </w:rPr>
            </w:pPr>
            <w:r>
              <w:rPr>
                <w:color w:val="auto"/>
                <w:kern w:val="0"/>
                <w:sz w:val="21"/>
                <w:szCs w:val="21"/>
              </w:rPr>
              <w:t>1000</w:t>
            </w:r>
          </w:p>
        </w:tc>
        <w:tc>
          <w:tcPr>
            <w:tcW w:w="673" w:type="pct"/>
            <w:shd w:val="clear" w:color="auto" w:fill="auto"/>
          </w:tcPr>
          <w:p w14:paraId="5B69631D">
            <w:pPr>
              <w:widowControl/>
              <w:spacing w:line="240" w:lineRule="auto"/>
              <w:ind w:firstLine="420"/>
              <w:jc w:val="center"/>
              <w:rPr>
                <w:color w:val="auto"/>
                <w:kern w:val="0"/>
                <w:sz w:val="21"/>
                <w:szCs w:val="21"/>
              </w:rPr>
            </w:pPr>
            <w:r>
              <w:rPr>
                <w:rFonts w:hint="eastAsia"/>
                <w:color w:val="auto"/>
                <w:sz w:val="21"/>
                <w:szCs w:val="21"/>
              </w:rPr>
              <w:t>1.70E-03</w:t>
            </w:r>
          </w:p>
        </w:tc>
        <w:tc>
          <w:tcPr>
            <w:tcW w:w="578" w:type="pct"/>
            <w:shd w:val="clear" w:color="auto" w:fill="auto"/>
          </w:tcPr>
          <w:p w14:paraId="750C25C6">
            <w:pPr>
              <w:widowControl/>
              <w:spacing w:line="240" w:lineRule="auto"/>
              <w:ind w:firstLine="420"/>
              <w:jc w:val="center"/>
              <w:rPr>
                <w:color w:val="auto"/>
                <w:kern w:val="0"/>
                <w:sz w:val="21"/>
                <w:szCs w:val="21"/>
              </w:rPr>
            </w:pPr>
            <w:r>
              <w:rPr>
                <w:rFonts w:hint="eastAsia"/>
                <w:color w:val="auto"/>
                <w:sz w:val="21"/>
                <w:szCs w:val="21"/>
              </w:rPr>
              <w:t>0.19</w:t>
            </w:r>
          </w:p>
        </w:tc>
        <w:tc>
          <w:tcPr>
            <w:tcW w:w="927" w:type="pct"/>
            <w:shd w:val="clear" w:color="auto" w:fill="auto"/>
          </w:tcPr>
          <w:p w14:paraId="6E121FC1">
            <w:pPr>
              <w:widowControl/>
              <w:spacing w:line="240" w:lineRule="auto"/>
              <w:ind w:firstLine="420"/>
              <w:jc w:val="center"/>
              <w:rPr>
                <w:color w:val="auto"/>
                <w:kern w:val="0"/>
                <w:sz w:val="21"/>
                <w:szCs w:val="21"/>
              </w:rPr>
            </w:pPr>
            <w:r>
              <w:rPr>
                <w:rFonts w:hint="eastAsia"/>
                <w:color w:val="auto"/>
                <w:sz w:val="21"/>
                <w:szCs w:val="21"/>
              </w:rPr>
              <w:t>2.70E-03</w:t>
            </w:r>
          </w:p>
        </w:tc>
        <w:tc>
          <w:tcPr>
            <w:tcW w:w="922" w:type="pct"/>
            <w:shd w:val="clear" w:color="auto" w:fill="auto"/>
          </w:tcPr>
          <w:p w14:paraId="48590EA6">
            <w:pPr>
              <w:widowControl/>
              <w:spacing w:line="240" w:lineRule="auto"/>
              <w:ind w:firstLine="420"/>
              <w:jc w:val="center"/>
              <w:rPr>
                <w:color w:val="auto"/>
                <w:kern w:val="0"/>
                <w:sz w:val="21"/>
                <w:szCs w:val="21"/>
              </w:rPr>
            </w:pPr>
            <w:r>
              <w:rPr>
                <w:rFonts w:hint="eastAsia"/>
                <w:color w:val="auto"/>
                <w:sz w:val="21"/>
                <w:szCs w:val="21"/>
              </w:rPr>
              <w:t>0.90</w:t>
            </w:r>
          </w:p>
        </w:tc>
        <w:tc>
          <w:tcPr>
            <w:tcW w:w="907" w:type="pct"/>
            <w:shd w:val="clear" w:color="auto" w:fill="auto"/>
          </w:tcPr>
          <w:p w14:paraId="1B93C090">
            <w:pPr>
              <w:widowControl/>
              <w:spacing w:line="240" w:lineRule="auto"/>
              <w:ind w:firstLine="420"/>
              <w:jc w:val="center"/>
              <w:rPr>
                <w:color w:val="auto"/>
                <w:kern w:val="0"/>
                <w:sz w:val="21"/>
                <w:szCs w:val="21"/>
              </w:rPr>
            </w:pPr>
            <w:r>
              <w:rPr>
                <w:rFonts w:hint="eastAsia"/>
                <w:color w:val="auto"/>
                <w:sz w:val="21"/>
                <w:szCs w:val="21"/>
              </w:rPr>
              <w:t>7.25E-04</w:t>
            </w:r>
          </w:p>
        </w:tc>
        <w:tc>
          <w:tcPr>
            <w:tcW w:w="632" w:type="pct"/>
            <w:shd w:val="clear" w:color="auto" w:fill="auto"/>
          </w:tcPr>
          <w:p w14:paraId="0E4F0804">
            <w:pPr>
              <w:widowControl/>
              <w:spacing w:line="240" w:lineRule="auto"/>
              <w:ind w:firstLine="420"/>
              <w:jc w:val="center"/>
              <w:rPr>
                <w:color w:val="auto"/>
                <w:kern w:val="0"/>
                <w:sz w:val="21"/>
                <w:szCs w:val="21"/>
              </w:rPr>
            </w:pPr>
            <w:r>
              <w:rPr>
                <w:rFonts w:hint="eastAsia"/>
                <w:color w:val="auto"/>
                <w:sz w:val="21"/>
                <w:szCs w:val="21"/>
              </w:rPr>
              <w:t>0.36</w:t>
            </w:r>
          </w:p>
        </w:tc>
      </w:tr>
      <w:tr w14:paraId="79155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72B0A25">
            <w:pPr>
              <w:widowControl/>
              <w:spacing w:line="240" w:lineRule="auto"/>
              <w:ind w:firstLine="0" w:firstLineChars="0"/>
              <w:jc w:val="center"/>
              <w:rPr>
                <w:color w:val="auto"/>
                <w:kern w:val="0"/>
                <w:sz w:val="21"/>
                <w:szCs w:val="21"/>
              </w:rPr>
            </w:pPr>
            <w:r>
              <w:rPr>
                <w:color w:val="auto"/>
                <w:kern w:val="0"/>
                <w:sz w:val="21"/>
                <w:szCs w:val="21"/>
              </w:rPr>
              <w:t>1025</w:t>
            </w:r>
          </w:p>
        </w:tc>
        <w:tc>
          <w:tcPr>
            <w:tcW w:w="673" w:type="pct"/>
            <w:shd w:val="clear" w:color="auto" w:fill="auto"/>
          </w:tcPr>
          <w:p w14:paraId="49312327">
            <w:pPr>
              <w:widowControl/>
              <w:spacing w:line="240" w:lineRule="auto"/>
              <w:ind w:firstLine="420"/>
              <w:jc w:val="center"/>
              <w:rPr>
                <w:color w:val="auto"/>
                <w:kern w:val="0"/>
                <w:sz w:val="21"/>
                <w:szCs w:val="21"/>
              </w:rPr>
            </w:pPr>
            <w:r>
              <w:rPr>
                <w:rFonts w:hint="eastAsia"/>
                <w:color w:val="auto"/>
                <w:sz w:val="21"/>
                <w:szCs w:val="21"/>
              </w:rPr>
              <w:t>1.65E-03</w:t>
            </w:r>
          </w:p>
        </w:tc>
        <w:tc>
          <w:tcPr>
            <w:tcW w:w="578" w:type="pct"/>
            <w:shd w:val="clear" w:color="auto" w:fill="auto"/>
          </w:tcPr>
          <w:p w14:paraId="7D1E76CA">
            <w:pPr>
              <w:widowControl/>
              <w:spacing w:line="240" w:lineRule="auto"/>
              <w:ind w:firstLine="420"/>
              <w:jc w:val="center"/>
              <w:rPr>
                <w:color w:val="auto"/>
                <w:kern w:val="0"/>
                <w:sz w:val="21"/>
                <w:szCs w:val="21"/>
              </w:rPr>
            </w:pPr>
            <w:r>
              <w:rPr>
                <w:rFonts w:hint="eastAsia"/>
                <w:color w:val="auto"/>
                <w:sz w:val="21"/>
                <w:szCs w:val="21"/>
              </w:rPr>
              <w:t>0.18</w:t>
            </w:r>
          </w:p>
        </w:tc>
        <w:tc>
          <w:tcPr>
            <w:tcW w:w="927" w:type="pct"/>
            <w:shd w:val="clear" w:color="auto" w:fill="auto"/>
          </w:tcPr>
          <w:p w14:paraId="14C02B9B">
            <w:pPr>
              <w:widowControl/>
              <w:spacing w:line="240" w:lineRule="auto"/>
              <w:ind w:firstLine="420"/>
              <w:jc w:val="center"/>
              <w:rPr>
                <w:color w:val="auto"/>
                <w:kern w:val="0"/>
                <w:sz w:val="21"/>
                <w:szCs w:val="21"/>
              </w:rPr>
            </w:pPr>
            <w:r>
              <w:rPr>
                <w:rFonts w:hint="eastAsia"/>
                <w:color w:val="auto"/>
                <w:sz w:val="21"/>
                <w:szCs w:val="21"/>
              </w:rPr>
              <w:t>2.62E-03</w:t>
            </w:r>
          </w:p>
        </w:tc>
        <w:tc>
          <w:tcPr>
            <w:tcW w:w="922" w:type="pct"/>
            <w:shd w:val="clear" w:color="auto" w:fill="auto"/>
          </w:tcPr>
          <w:p w14:paraId="2B55957A">
            <w:pPr>
              <w:widowControl/>
              <w:spacing w:line="240" w:lineRule="auto"/>
              <w:ind w:firstLine="420"/>
              <w:jc w:val="center"/>
              <w:rPr>
                <w:color w:val="auto"/>
                <w:kern w:val="0"/>
                <w:sz w:val="21"/>
                <w:szCs w:val="21"/>
              </w:rPr>
            </w:pPr>
            <w:r>
              <w:rPr>
                <w:rFonts w:hint="eastAsia"/>
                <w:color w:val="auto"/>
                <w:sz w:val="21"/>
                <w:szCs w:val="21"/>
              </w:rPr>
              <w:t>0.87</w:t>
            </w:r>
          </w:p>
        </w:tc>
        <w:tc>
          <w:tcPr>
            <w:tcW w:w="907" w:type="pct"/>
            <w:shd w:val="clear" w:color="auto" w:fill="auto"/>
          </w:tcPr>
          <w:p w14:paraId="0D543DB1">
            <w:pPr>
              <w:widowControl/>
              <w:spacing w:line="240" w:lineRule="auto"/>
              <w:ind w:firstLine="420"/>
              <w:jc w:val="center"/>
              <w:rPr>
                <w:color w:val="auto"/>
                <w:kern w:val="0"/>
                <w:sz w:val="21"/>
                <w:szCs w:val="21"/>
              </w:rPr>
            </w:pPr>
            <w:r>
              <w:rPr>
                <w:rFonts w:hint="eastAsia"/>
                <w:color w:val="auto"/>
                <w:sz w:val="21"/>
                <w:szCs w:val="21"/>
              </w:rPr>
              <w:t>7.04E-04</w:t>
            </w:r>
          </w:p>
        </w:tc>
        <w:tc>
          <w:tcPr>
            <w:tcW w:w="632" w:type="pct"/>
            <w:shd w:val="clear" w:color="auto" w:fill="auto"/>
          </w:tcPr>
          <w:p w14:paraId="73CF7701">
            <w:pPr>
              <w:widowControl/>
              <w:spacing w:line="240" w:lineRule="auto"/>
              <w:ind w:firstLine="420"/>
              <w:jc w:val="center"/>
              <w:rPr>
                <w:color w:val="auto"/>
                <w:kern w:val="0"/>
                <w:sz w:val="21"/>
                <w:szCs w:val="21"/>
              </w:rPr>
            </w:pPr>
            <w:r>
              <w:rPr>
                <w:rFonts w:hint="eastAsia"/>
                <w:color w:val="auto"/>
                <w:sz w:val="21"/>
                <w:szCs w:val="21"/>
              </w:rPr>
              <w:t>0.35</w:t>
            </w:r>
          </w:p>
        </w:tc>
      </w:tr>
      <w:tr w14:paraId="50077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352B499">
            <w:pPr>
              <w:widowControl/>
              <w:spacing w:line="240" w:lineRule="auto"/>
              <w:ind w:firstLine="0" w:firstLineChars="0"/>
              <w:jc w:val="center"/>
              <w:rPr>
                <w:color w:val="auto"/>
                <w:kern w:val="0"/>
                <w:sz w:val="21"/>
                <w:szCs w:val="21"/>
              </w:rPr>
            </w:pPr>
            <w:r>
              <w:rPr>
                <w:color w:val="auto"/>
                <w:kern w:val="0"/>
                <w:sz w:val="21"/>
                <w:szCs w:val="21"/>
              </w:rPr>
              <w:t>1050</w:t>
            </w:r>
          </w:p>
        </w:tc>
        <w:tc>
          <w:tcPr>
            <w:tcW w:w="673" w:type="pct"/>
            <w:shd w:val="clear" w:color="auto" w:fill="auto"/>
          </w:tcPr>
          <w:p w14:paraId="56E7384F">
            <w:pPr>
              <w:widowControl/>
              <w:spacing w:line="240" w:lineRule="auto"/>
              <w:ind w:firstLine="420"/>
              <w:jc w:val="center"/>
              <w:rPr>
                <w:color w:val="auto"/>
                <w:kern w:val="0"/>
                <w:sz w:val="21"/>
                <w:szCs w:val="21"/>
              </w:rPr>
            </w:pPr>
            <w:r>
              <w:rPr>
                <w:rFonts w:hint="eastAsia"/>
                <w:color w:val="auto"/>
                <w:sz w:val="21"/>
                <w:szCs w:val="21"/>
              </w:rPr>
              <w:t>1.61E-03</w:t>
            </w:r>
          </w:p>
        </w:tc>
        <w:tc>
          <w:tcPr>
            <w:tcW w:w="578" w:type="pct"/>
            <w:shd w:val="clear" w:color="auto" w:fill="auto"/>
          </w:tcPr>
          <w:p w14:paraId="7F6809A9">
            <w:pPr>
              <w:widowControl/>
              <w:spacing w:line="240" w:lineRule="auto"/>
              <w:ind w:firstLine="420"/>
              <w:jc w:val="center"/>
              <w:rPr>
                <w:color w:val="auto"/>
                <w:kern w:val="0"/>
                <w:sz w:val="21"/>
                <w:szCs w:val="21"/>
              </w:rPr>
            </w:pPr>
            <w:r>
              <w:rPr>
                <w:rFonts w:hint="eastAsia"/>
                <w:color w:val="auto"/>
                <w:sz w:val="21"/>
                <w:szCs w:val="21"/>
              </w:rPr>
              <w:t>0.18</w:t>
            </w:r>
          </w:p>
        </w:tc>
        <w:tc>
          <w:tcPr>
            <w:tcW w:w="927" w:type="pct"/>
            <w:shd w:val="clear" w:color="auto" w:fill="auto"/>
          </w:tcPr>
          <w:p w14:paraId="554785DD">
            <w:pPr>
              <w:widowControl/>
              <w:spacing w:line="240" w:lineRule="auto"/>
              <w:ind w:firstLine="420"/>
              <w:jc w:val="center"/>
              <w:rPr>
                <w:color w:val="auto"/>
                <w:kern w:val="0"/>
                <w:sz w:val="21"/>
                <w:szCs w:val="21"/>
              </w:rPr>
            </w:pPr>
            <w:r>
              <w:rPr>
                <w:rFonts w:hint="eastAsia"/>
                <w:color w:val="auto"/>
                <w:sz w:val="21"/>
                <w:szCs w:val="21"/>
              </w:rPr>
              <w:t>2.54E-03</w:t>
            </w:r>
          </w:p>
        </w:tc>
        <w:tc>
          <w:tcPr>
            <w:tcW w:w="922" w:type="pct"/>
            <w:shd w:val="clear" w:color="auto" w:fill="auto"/>
          </w:tcPr>
          <w:p w14:paraId="33E757A9">
            <w:pPr>
              <w:widowControl/>
              <w:spacing w:line="240" w:lineRule="auto"/>
              <w:ind w:firstLine="420"/>
              <w:jc w:val="center"/>
              <w:rPr>
                <w:color w:val="auto"/>
                <w:kern w:val="0"/>
                <w:sz w:val="21"/>
                <w:szCs w:val="21"/>
              </w:rPr>
            </w:pPr>
            <w:r>
              <w:rPr>
                <w:rFonts w:hint="eastAsia"/>
                <w:color w:val="auto"/>
                <w:sz w:val="21"/>
                <w:szCs w:val="21"/>
              </w:rPr>
              <w:t>0.85</w:t>
            </w:r>
          </w:p>
        </w:tc>
        <w:tc>
          <w:tcPr>
            <w:tcW w:w="907" w:type="pct"/>
            <w:shd w:val="clear" w:color="auto" w:fill="auto"/>
          </w:tcPr>
          <w:p w14:paraId="4D1AC935">
            <w:pPr>
              <w:widowControl/>
              <w:spacing w:line="240" w:lineRule="auto"/>
              <w:ind w:firstLine="420"/>
              <w:jc w:val="center"/>
              <w:rPr>
                <w:color w:val="auto"/>
                <w:kern w:val="0"/>
                <w:sz w:val="21"/>
                <w:szCs w:val="21"/>
              </w:rPr>
            </w:pPr>
            <w:r>
              <w:rPr>
                <w:rFonts w:hint="eastAsia"/>
                <w:color w:val="auto"/>
                <w:sz w:val="21"/>
                <w:szCs w:val="21"/>
              </w:rPr>
              <w:t>6.83E-04</w:t>
            </w:r>
          </w:p>
        </w:tc>
        <w:tc>
          <w:tcPr>
            <w:tcW w:w="632" w:type="pct"/>
            <w:shd w:val="clear" w:color="auto" w:fill="auto"/>
          </w:tcPr>
          <w:p w14:paraId="17A5D5CA">
            <w:pPr>
              <w:widowControl/>
              <w:spacing w:line="240" w:lineRule="auto"/>
              <w:ind w:firstLine="420"/>
              <w:jc w:val="center"/>
              <w:rPr>
                <w:color w:val="auto"/>
                <w:kern w:val="0"/>
                <w:sz w:val="21"/>
                <w:szCs w:val="21"/>
              </w:rPr>
            </w:pPr>
            <w:r>
              <w:rPr>
                <w:rFonts w:hint="eastAsia"/>
                <w:color w:val="auto"/>
                <w:sz w:val="21"/>
                <w:szCs w:val="21"/>
              </w:rPr>
              <w:t>0.34</w:t>
            </w:r>
          </w:p>
        </w:tc>
      </w:tr>
      <w:tr w14:paraId="37DEC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8761768">
            <w:pPr>
              <w:widowControl/>
              <w:spacing w:line="240" w:lineRule="auto"/>
              <w:ind w:firstLine="0" w:firstLineChars="0"/>
              <w:jc w:val="center"/>
              <w:rPr>
                <w:color w:val="auto"/>
                <w:kern w:val="0"/>
                <w:sz w:val="21"/>
                <w:szCs w:val="21"/>
              </w:rPr>
            </w:pPr>
            <w:r>
              <w:rPr>
                <w:color w:val="auto"/>
                <w:kern w:val="0"/>
                <w:sz w:val="21"/>
                <w:szCs w:val="21"/>
              </w:rPr>
              <w:t>1075</w:t>
            </w:r>
          </w:p>
        </w:tc>
        <w:tc>
          <w:tcPr>
            <w:tcW w:w="673" w:type="pct"/>
            <w:shd w:val="clear" w:color="auto" w:fill="auto"/>
          </w:tcPr>
          <w:p w14:paraId="756CDB7A">
            <w:pPr>
              <w:widowControl/>
              <w:spacing w:line="240" w:lineRule="auto"/>
              <w:ind w:firstLine="420"/>
              <w:jc w:val="center"/>
              <w:rPr>
                <w:color w:val="auto"/>
                <w:kern w:val="0"/>
                <w:sz w:val="21"/>
                <w:szCs w:val="21"/>
              </w:rPr>
            </w:pPr>
            <w:r>
              <w:rPr>
                <w:rFonts w:hint="eastAsia"/>
                <w:color w:val="auto"/>
                <w:sz w:val="21"/>
                <w:szCs w:val="21"/>
              </w:rPr>
              <w:t>1.56E-03</w:t>
            </w:r>
          </w:p>
        </w:tc>
        <w:tc>
          <w:tcPr>
            <w:tcW w:w="578" w:type="pct"/>
            <w:shd w:val="clear" w:color="auto" w:fill="auto"/>
          </w:tcPr>
          <w:p w14:paraId="6C2CCA55">
            <w:pPr>
              <w:widowControl/>
              <w:spacing w:line="240" w:lineRule="auto"/>
              <w:ind w:firstLine="420"/>
              <w:jc w:val="center"/>
              <w:rPr>
                <w:color w:val="auto"/>
                <w:kern w:val="0"/>
                <w:sz w:val="21"/>
                <w:szCs w:val="21"/>
              </w:rPr>
            </w:pPr>
            <w:r>
              <w:rPr>
                <w:rFonts w:hint="eastAsia"/>
                <w:color w:val="auto"/>
                <w:sz w:val="21"/>
                <w:szCs w:val="21"/>
              </w:rPr>
              <w:t>0.17</w:t>
            </w:r>
          </w:p>
        </w:tc>
        <w:tc>
          <w:tcPr>
            <w:tcW w:w="927" w:type="pct"/>
            <w:shd w:val="clear" w:color="auto" w:fill="auto"/>
          </w:tcPr>
          <w:p w14:paraId="0D5B1831">
            <w:pPr>
              <w:widowControl/>
              <w:spacing w:line="240" w:lineRule="auto"/>
              <w:ind w:firstLine="420"/>
              <w:jc w:val="center"/>
              <w:rPr>
                <w:color w:val="auto"/>
                <w:kern w:val="0"/>
                <w:sz w:val="21"/>
                <w:szCs w:val="21"/>
              </w:rPr>
            </w:pPr>
            <w:r>
              <w:rPr>
                <w:rFonts w:hint="eastAsia"/>
                <w:color w:val="auto"/>
                <w:sz w:val="21"/>
                <w:szCs w:val="21"/>
              </w:rPr>
              <w:t>2.47E-03</w:t>
            </w:r>
          </w:p>
        </w:tc>
        <w:tc>
          <w:tcPr>
            <w:tcW w:w="922" w:type="pct"/>
            <w:shd w:val="clear" w:color="auto" w:fill="auto"/>
          </w:tcPr>
          <w:p w14:paraId="7ABBC645">
            <w:pPr>
              <w:widowControl/>
              <w:spacing w:line="240" w:lineRule="auto"/>
              <w:ind w:firstLine="420"/>
              <w:jc w:val="center"/>
              <w:rPr>
                <w:color w:val="auto"/>
                <w:kern w:val="0"/>
                <w:sz w:val="21"/>
                <w:szCs w:val="21"/>
              </w:rPr>
            </w:pPr>
            <w:r>
              <w:rPr>
                <w:rFonts w:hint="eastAsia"/>
                <w:color w:val="auto"/>
                <w:sz w:val="21"/>
                <w:szCs w:val="21"/>
              </w:rPr>
              <w:t>0.82</w:t>
            </w:r>
          </w:p>
        </w:tc>
        <w:tc>
          <w:tcPr>
            <w:tcW w:w="907" w:type="pct"/>
            <w:shd w:val="clear" w:color="auto" w:fill="auto"/>
          </w:tcPr>
          <w:p w14:paraId="10B2474C">
            <w:pPr>
              <w:widowControl/>
              <w:spacing w:line="240" w:lineRule="auto"/>
              <w:ind w:firstLine="420"/>
              <w:jc w:val="center"/>
              <w:rPr>
                <w:color w:val="auto"/>
                <w:kern w:val="0"/>
                <w:sz w:val="21"/>
                <w:szCs w:val="21"/>
              </w:rPr>
            </w:pPr>
            <w:r>
              <w:rPr>
                <w:rFonts w:hint="eastAsia"/>
                <w:color w:val="auto"/>
                <w:sz w:val="21"/>
                <w:szCs w:val="21"/>
              </w:rPr>
              <w:t>6.64E-04</w:t>
            </w:r>
          </w:p>
        </w:tc>
        <w:tc>
          <w:tcPr>
            <w:tcW w:w="632" w:type="pct"/>
            <w:shd w:val="clear" w:color="auto" w:fill="auto"/>
          </w:tcPr>
          <w:p w14:paraId="2265D666">
            <w:pPr>
              <w:widowControl/>
              <w:spacing w:line="240" w:lineRule="auto"/>
              <w:ind w:firstLine="420"/>
              <w:jc w:val="center"/>
              <w:rPr>
                <w:color w:val="auto"/>
                <w:kern w:val="0"/>
                <w:sz w:val="21"/>
                <w:szCs w:val="21"/>
              </w:rPr>
            </w:pPr>
            <w:r>
              <w:rPr>
                <w:rFonts w:hint="eastAsia"/>
                <w:color w:val="auto"/>
                <w:sz w:val="21"/>
                <w:szCs w:val="21"/>
              </w:rPr>
              <w:t>0.33</w:t>
            </w:r>
          </w:p>
        </w:tc>
      </w:tr>
      <w:tr w14:paraId="523D0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93EC733">
            <w:pPr>
              <w:widowControl/>
              <w:spacing w:line="240" w:lineRule="auto"/>
              <w:ind w:firstLine="0" w:firstLineChars="0"/>
              <w:jc w:val="center"/>
              <w:rPr>
                <w:color w:val="auto"/>
                <w:kern w:val="0"/>
                <w:sz w:val="21"/>
                <w:szCs w:val="21"/>
              </w:rPr>
            </w:pPr>
            <w:r>
              <w:rPr>
                <w:color w:val="auto"/>
                <w:kern w:val="0"/>
                <w:sz w:val="21"/>
                <w:szCs w:val="21"/>
              </w:rPr>
              <w:t>1100</w:t>
            </w:r>
          </w:p>
        </w:tc>
        <w:tc>
          <w:tcPr>
            <w:tcW w:w="673" w:type="pct"/>
            <w:shd w:val="clear" w:color="auto" w:fill="auto"/>
          </w:tcPr>
          <w:p w14:paraId="786CF665">
            <w:pPr>
              <w:widowControl/>
              <w:spacing w:line="240" w:lineRule="auto"/>
              <w:ind w:firstLine="420"/>
              <w:jc w:val="center"/>
              <w:rPr>
                <w:color w:val="auto"/>
                <w:kern w:val="0"/>
                <w:sz w:val="21"/>
                <w:szCs w:val="21"/>
              </w:rPr>
            </w:pPr>
            <w:r>
              <w:rPr>
                <w:rFonts w:hint="eastAsia"/>
                <w:color w:val="auto"/>
                <w:sz w:val="21"/>
                <w:szCs w:val="21"/>
              </w:rPr>
              <w:t>1.52E-03</w:t>
            </w:r>
          </w:p>
        </w:tc>
        <w:tc>
          <w:tcPr>
            <w:tcW w:w="578" w:type="pct"/>
            <w:shd w:val="clear" w:color="auto" w:fill="auto"/>
          </w:tcPr>
          <w:p w14:paraId="07357F19">
            <w:pPr>
              <w:widowControl/>
              <w:spacing w:line="240" w:lineRule="auto"/>
              <w:ind w:firstLine="420"/>
              <w:jc w:val="center"/>
              <w:rPr>
                <w:color w:val="auto"/>
                <w:kern w:val="0"/>
                <w:sz w:val="21"/>
                <w:szCs w:val="21"/>
              </w:rPr>
            </w:pPr>
            <w:r>
              <w:rPr>
                <w:rFonts w:hint="eastAsia"/>
                <w:color w:val="auto"/>
                <w:sz w:val="21"/>
                <w:szCs w:val="21"/>
              </w:rPr>
              <w:t>0.17</w:t>
            </w:r>
          </w:p>
        </w:tc>
        <w:tc>
          <w:tcPr>
            <w:tcW w:w="927" w:type="pct"/>
            <w:shd w:val="clear" w:color="auto" w:fill="auto"/>
          </w:tcPr>
          <w:p w14:paraId="2A59A60B">
            <w:pPr>
              <w:widowControl/>
              <w:spacing w:line="240" w:lineRule="auto"/>
              <w:ind w:firstLine="420"/>
              <w:jc w:val="center"/>
              <w:rPr>
                <w:color w:val="auto"/>
                <w:kern w:val="0"/>
                <w:sz w:val="21"/>
                <w:szCs w:val="21"/>
              </w:rPr>
            </w:pPr>
            <w:r>
              <w:rPr>
                <w:rFonts w:hint="eastAsia"/>
                <w:color w:val="auto"/>
                <w:sz w:val="21"/>
                <w:szCs w:val="21"/>
              </w:rPr>
              <w:t>2.40E-03</w:t>
            </w:r>
          </w:p>
        </w:tc>
        <w:tc>
          <w:tcPr>
            <w:tcW w:w="922" w:type="pct"/>
            <w:shd w:val="clear" w:color="auto" w:fill="auto"/>
          </w:tcPr>
          <w:p w14:paraId="4C43C42B">
            <w:pPr>
              <w:widowControl/>
              <w:spacing w:line="240" w:lineRule="auto"/>
              <w:ind w:firstLine="420"/>
              <w:jc w:val="center"/>
              <w:rPr>
                <w:color w:val="auto"/>
                <w:kern w:val="0"/>
                <w:sz w:val="21"/>
                <w:szCs w:val="21"/>
              </w:rPr>
            </w:pPr>
            <w:r>
              <w:rPr>
                <w:rFonts w:hint="eastAsia"/>
                <w:color w:val="auto"/>
                <w:sz w:val="21"/>
                <w:szCs w:val="21"/>
              </w:rPr>
              <w:t>0.80</w:t>
            </w:r>
          </w:p>
        </w:tc>
        <w:tc>
          <w:tcPr>
            <w:tcW w:w="907" w:type="pct"/>
            <w:shd w:val="clear" w:color="auto" w:fill="auto"/>
          </w:tcPr>
          <w:p w14:paraId="5EC98D18">
            <w:pPr>
              <w:widowControl/>
              <w:spacing w:line="240" w:lineRule="auto"/>
              <w:ind w:firstLine="420"/>
              <w:jc w:val="center"/>
              <w:rPr>
                <w:color w:val="auto"/>
                <w:kern w:val="0"/>
                <w:sz w:val="21"/>
                <w:szCs w:val="21"/>
              </w:rPr>
            </w:pPr>
            <w:r>
              <w:rPr>
                <w:rFonts w:hint="eastAsia"/>
                <w:color w:val="auto"/>
                <w:sz w:val="21"/>
                <w:szCs w:val="21"/>
              </w:rPr>
              <w:t>6.45E-04</w:t>
            </w:r>
          </w:p>
        </w:tc>
        <w:tc>
          <w:tcPr>
            <w:tcW w:w="632" w:type="pct"/>
            <w:shd w:val="clear" w:color="auto" w:fill="auto"/>
          </w:tcPr>
          <w:p w14:paraId="7536CC00">
            <w:pPr>
              <w:widowControl/>
              <w:spacing w:line="240" w:lineRule="auto"/>
              <w:ind w:firstLine="420"/>
              <w:jc w:val="center"/>
              <w:rPr>
                <w:color w:val="auto"/>
                <w:kern w:val="0"/>
                <w:sz w:val="21"/>
                <w:szCs w:val="21"/>
              </w:rPr>
            </w:pPr>
            <w:r>
              <w:rPr>
                <w:rFonts w:hint="eastAsia"/>
                <w:color w:val="auto"/>
                <w:sz w:val="21"/>
                <w:szCs w:val="21"/>
              </w:rPr>
              <w:t>0.32</w:t>
            </w:r>
          </w:p>
        </w:tc>
      </w:tr>
      <w:tr w14:paraId="32E68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A33EDE3">
            <w:pPr>
              <w:widowControl/>
              <w:spacing w:line="240" w:lineRule="auto"/>
              <w:ind w:firstLine="0" w:firstLineChars="0"/>
              <w:jc w:val="center"/>
              <w:rPr>
                <w:color w:val="auto"/>
                <w:kern w:val="0"/>
                <w:sz w:val="21"/>
                <w:szCs w:val="21"/>
              </w:rPr>
            </w:pPr>
            <w:r>
              <w:rPr>
                <w:color w:val="auto"/>
                <w:kern w:val="0"/>
                <w:sz w:val="21"/>
                <w:szCs w:val="21"/>
              </w:rPr>
              <w:t>1125</w:t>
            </w:r>
          </w:p>
        </w:tc>
        <w:tc>
          <w:tcPr>
            <w:tcW w:w="673" w:type="pct"/>
            <w:shd w:val="clear" w:color="auto" w:fill="auto"/>
          </w:tcPr>
          <w:p w14:paraId="0539D511">
            <w:pPr>
              <w:widowControl/>
              <w:spacing w:line="240" w:lineRule="auto"/>
              <w:ind w:firstLine="420"/>
              <w:jc w:val="center"/>
              <w:rPr>
                <w:color w:val="auto"/>
                <w:kern w:val="0"/>
                <w:sz w:val="21"/>
                <w:szCs w:val="21"/>
              </w:rPr>
            </w:pPr>
            <w:r>
              <w:rPr>
                <w:rFonts w:hint="eastAsia"/>
                <w:color w:val="auto"/>
                <w:sz w:val="21"/>
                <w:szCs w:val="21"/>
              </w:rPr>
              <w:t>1.48E-03</w:t>
            </w:r>
          </w:p>
        </w:tc>
        <w:tc>
          <w:tcPr>
            <w:tcW w:w="578" w:type="pct"/>
            <w:shd w:val="clear" w:color="auto" w:fill="auto"/>
          </w:tcPr>
          <w:p w14:paraId="16AF981D">
            <w:pPr>
              <w:widowControl/>
              <w:spacing w:line="240" w:lineRule="auto"/>
              <w:ind w:firstLine="420"/>
              <w:jc w:val="center"/>
              <w:rPr>
                <w:color w:val="auto"/>
                <w:kern w:val="0"/>
                <w:sz w:val="21"/>
                <w:szCs w:val="21"/>
              </w:rPr>
            </w:pPr>
            <w:r>
              <w:rPr>
                <w:rFonts w:hint="eastAsia"/>
                <w:color w:val="auto"/>
                <w:sz w:val="21"/>
                <w:szCs w:val="21"/>
              </w:rPr>
              <w:t>0.16</w:t>
            </w:r>
          </w:p>
        </w:tc>
        <w:tc>
          <w:tcPr>
            <w:tcW w:w="927" w:type="pct"/>
            <w:shd w:val="clear" w:color="auto" w:fill="auto"/>
          </w:tcPr>
          <w:p w14:paraId="696B4715">
            <w:pPr>
              <w:widowControl/>
              <w:spacing w:line="240" w:lineRule="auto"/>
              <w:ind w:firstLine="420"/>
              <w:jc w:val="center"/>
              <w:rPr>
                <w:color w:val="auto"/>
                <w:kern w:val="0"/>
                <w:sz w:val="21"/>
                <w:szCs w:val="21"/>
              </w:rPr>
            </w:pPr>
            <w:r>
              <w:rPr>
                <w:rFonts w:hint="eastAsia"/>
                <w:color w:val="auto"/>
                <w:sz w:val="21"/>
                <w:szCs w:val="21"/>
              </w:rPr>
              <w:t>2.33E-03</w:t>
            </w:r>
          </w:p>
        </w:tc>
        <w:tc>
          <w:tcPr>
            <w:tcW w:w="922" w:type="pct"/>
            <w:shd w:val="clear" w:color="auto" w:fill="auto"/>
          </w:tcPr>
          <w:p w14:paraId="5392D375">
            <w:pPr>
              <w:widowControl/>
              <w:spacing w:line="240" w:lineRule="auto"/>
              <w:ind w:firstLine="420"/>
              <w:jc w:val="center"/>
              <w:rPr>
                <w:color w:val="auto"/>
                <w:kern w:val="0"/>
                <w:sz w:val="21"/>
                <w:szCs w:val="21"/>
              </w:rPr>
            </w:pPr>
            <w:r>
              <w:rPr>
                <w:rFonts w:hint="eastAsia"/>
                <w:color w:val="auto"/>
                <w:sz w:val="21"/>
                <w:szCs w:val="21"/>
              </w:rPr>
              <w:t>0.78</w:t>
            </w:r>
          </w:p>
        </w:tc>
        <w:tc>
          <w:tcPr>
            <w:tcW w:w="907" w:type="pct"/>
            <w:shd w:val="clear" w:color="auto" w:fill="auto"/>
          </w:tcPr>
          <w:p w14:paraId="42C71FBF">
            <w:pPr>
              <w:widowControl/>
              <w:spacing w:line="240" w:lineRule="auto"/>
              <w:ind w:firstLine="420"/>
              <w:jc w:val="center"/>
              <w:rPr>
                <w:color w:val="auto"/>
                <w:kern w:val="0"/>
                <w:sz w:val="21"/>
                <w:szCs w:val="21"/>
              </w:rPr>
            </w:pPr>
            <w:r>
              <w:rPr>
                <w:rFonts w:hint="eastAsia"/>
                <w:color w:val="auto"/>
                <w:sz w:val="21"/>
                <w:szCs w:val="21"/>
              </w:rPr>
              <w:t>6.28E-04</w:t>
            </w:r>
          </w:p>
        </w:tc>
        <w:tc>
          <w:tcPr>
            <w:tcW w:w="632" w:type="pct"/>
            <w:shd w:val="clear" w:color="auto" w:fill="auto"/>
          </w:tcPr>
          <w:p w14:paraId="6C19BFF8">
            <w:pPr>
              <w:widowControl/>
              <w:spacing w:line="240" w:lineRule="auto"/>
              <w:ind w:firstLine="420"/>
              <w:jc w:val="center"/>
              <w:rPr>
                <w:color w:val="auto"/>
                <w:kern w:val="0"/>
                <w:sz w:val="21"/>
                <w:szCs w:val="21"/>
              </w:rPr>
            </w:pPr>
            <w:r>
              <w:rPr>
                <w:rFonts w:hint="eastAsia"/>
                <w:color w:val="auto"/>
                <w:sz w:val="21"/>
                <w:szCs w:val="21"/>
              </w:rPr>
              <w:t>0.31</w:t>
            </w:r>
          </w:p>
        </w:tc>
      </w:tr>
      <w:tr w14:paraId="6B5D9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106D6F2">
            <w:pPr>
              <w:widowControl/>
              <w:spacing w:line="240" w:lineRule="auto"/>
              <w:ind w:firstLine="0" w:firstLineChars="0"/>
              <w:jc w:val="center"/>
              <w:rPr>
                <w:color w:val="auto"/>
                <w:kern w:val="0"/>
                <w:sz w:val="21"/>
                <w:szCs w:val="21"/>
              </w:rPr>
            </w:pPr>
            <w:r>
              <w:rPr>
                <w:color w:val="auto"/>
                <w:kern w:val="0"/>
                <w:sz w:val="21"/>
                <w:szCs w:val="21"/>
              </w:rPr>
              <w:t>1150</w:t>
            </w:r>
          </w:p>
        </w:tc>
        <w:tc>
          <w:tcPr>
            <w:tcW w:w="673" w:type="pct"/>
            <w:shd w:val="clear" w:color="auto" w:fill="auto"/>
          </w:tcPr>
          <w:p w14:paraId="0E70E2E0">
            <w:pPr>
              <w:widowControl/>
              <w:spacing w:line="240" w:lineRule="auto"/>
              <w:ind w:firstLine="420"/>
              <w:jc w:val="center"/>
              <w:rPr>
                <w:color w:val="auto"/>
                <w:kern w:val="0"/>
                <w:sz w:val="21"/>
                <w:szCs w:val="21"/>
              </w:rPr>
            </w:pPr>
            <w:r>
              <w:rPr>
                <w:rFonts w:hint="eastAsia"/>
                <w:color w:val="auto"/>
                <w:sz w:val="21"/>
                <w:szCs w:val="21"/>
              </w:rPr>
              <w:t>1.44E-03</w:t>
            </w:r>
          </w:p>
        </w:tc>
        <w:tc>
          <w:tcPr>
            <w:tcW w:w="578" w:type="pct"/>
            <w:shd w:val="clear" w:color="auto" w:fill="auto"/>
          </w:tcPr>
          <w:p w14:paraId="1BBC6080">
            <w:pPr>
              <w:widowControl/>
              <w:spacing w:line="240" w:lineRule="auto"/>
              <w:ind w:firstLine="420"/>
              <w:jc w:val="center"/>
              <w:rPr>
                <w:color w:val="auto"/>
                <w:kern w:val="0"/>
                <w:sz w:val="21"/>
                <w:szCs w:val="21"/>
              </w:rPr>
            </w:pPr>
            <w:r>
              <w:rPr>
                <w:rFonts w:hint="eastAsia"/>
                <w:color w:val="auto"/>
                <w:sz w:val="21"/>
                <w:szCs w:val="21"/>
              </w:rPr>
              <w:t>0.16</w:t>
            </w:r>
          </w:p>
        </w:tc>
        <w:tc>
          <w:tcPr>
            <w:tcW w:w="927" w:type="pct"/>
            <w:shd w:val="clear" w:color="auto" w:fill="auto"/>
          </w:tcPr>
          <w:p w14:paraId="24CEE006">
            <w:pPr>
              <w:widowControl/>
              <w:spacing w:line="240" w:lineRule="auto"/>
              <w:ind w:firstLine="420"/>
              <w:jc w:val="center"/>
              <w:rPr>
                <w:color w:val="auto"/>
                <w:kern w:val="0"/>
                <w:sz w:val="21"/>
                <w:szCs w:val="21"/>
              </w:rPr>
            </w:pPr>
            <w:r>
              <w:rPr>
                <w:rFonts w:hint="eastAsia"/>
                <w:color w:val="auto"/>
                <w:sz w:val="21"/>
                <w:szCs w:val="21"/>
              </w:rPr>
              <w:t>2.27E-03</w:t>
            </w:r>
          </w:p>
        </w:tc>
        <w:tc>
          <w:tcPr>
            <w:tcW w:w="922" w:type="pct"/>
            <w:shd w:val="clear" w:color="auto" w:fill="auto"/>
          </w:tcPr>
          <w:p w14:paraId="2F7511A2">
            <w:pPr>
              <w:widowControl/>
              <w:spacing w:line="240" w:lineRule="auto"/>
              <w:ind w:firstLine="420"/>
              <w:jc w:val="center"/>
              <w:rPr>
                <w:color w:val="auto"/>
                <w:kern w:val="0"/>
                <w:sz w:val="21"/>
                <w:szCs w:val="21"/>
              </w:rPr>
            </w:pPr>
            <w:r>
              <w:rPr>
                <w:rFonts w:hint="eastAsia"/>
                <w:color w:val="auto"/>
                <w:sz w:val="21"/>
                <w:szCs w:val="21"/>
              </w:rPr>
              <w:t>0.76</w:t>
            </w:r>
          </w:p>
        </w:tc>
        <w:tc>
          <w:tcPr>
            <w:tcW w:w="907" w:type="pct"/>
            <w:shd w:val="clear" w:color="auto" w:fill="auto"/>
          </w:tcPr>
          <w:p w14:paraId="39324A52">
            <w:pPr>
              <w:widowControl/>
              <w:spacing w:line="240" w:lineRule="auto"/>
              <w:ind w:firstLine="420"/>
              <w:jc w:val="center"/>
              <w:rPr>
                <w:color w:val="auto"/>
                <w:kern w:val="0"/>
                <w:sz w:val="21"/>
                <w:szCs w:val="21"/>
              </w:rPr>
            </w:pPr>
            <w:r>
              <w:rPr>
                <w:rFonts w:hint="eastAsia"/>
                <w:color w:val="auto"/>
                <w:sz w:val="21"/>
                <w:szCs w:val="21"/>
              </w:rPr>
              <w:t>6.11E-04</w:t>
            </w:r>
          </w:p>
        </w:tc>
        <w:tc>
          <w:tcPr>
            <w:tcW w:w="632" w:type="pct"/>
            <w:shd w:val="clear" w:color="auto" w:fill="auto"/>
          </w:tcPr>
          <w:p w14:paraId="5959F6CB">
            <w:pPr>
              <w:widowControl/>
              <w:spacing w:line="240" w:lineRule="auto"/>
              <w:ind w:firstLine="420"/>
              <w:jc w:val="center"/>
              <w:rPr>
                <w:color w:val="auto"/>
                <w:kern w:val="0"/>
                <w:sz w:val="21"/>
                <w:szCs w:val="21"/>
              </w:rPr>
            </w:pPr>
            <w:r>
              <w:rPr>
                <w:rFonts w:hint="eastAsia"/>
                <w:color w:val="auto"/>
                <w:sz w:val="21"/>
                <w:szCs w:val="21"/>
              </w:rPr>
              <w:t>0.31</w:t>
            </w:r>
          </w:p>
        </w:tc>
      </w:tr>
      <w:tr w14:paraId="0C419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153EEF0">
            <w:pPr>
              <w:widowControl/>
              <w:spacing w:line="240" w:lineRule="auto"/>
              <w:ind w:firstLine="0" w:firstLineChars="0"/>
              <w:jc w:val="center"/>
              <w:rPr>
                <w:color w:val="auto"/>
                <w:kern w:val="0"/>
                <w:sz w:val="21"/>
                <w:szCs w:val="21"/>
              </w:rPr>
            </w:pPr>
            <w:r>
              <w:rPr>
                <w:color w:val="auto"/>
                <w:kern w:val="0"/>
                <w:sz w:val="21"/>
                <w:szCs w:val="21"/>
              </w:rPr>
              <w:t>1175</w:t>
            </w:r>
          </w:p>
        </w:tc>
        <w:tc>
          <w:tcPr>
            <w:tcW w:w="673" w:type="pct"/>
            <w:shd w:val="clear" w:color="auto" w:fill="auto"/>
          </w:tcPr>
          <w:p w14:paraId="0C0217AD">
            <w:pPr>
              <w:widowControl/>
              <w:spacing w:line="240" w:lineRule="auto"/>
              <w:ind w:firstLine="420"/>
              <w:jc w:val="center"/>
              <w:rPr>
                <w:color w:val="auto"/>
                <w:kern w:val="0"/>
                <w:sz w:val="21"/>
                <w:szCs w:val="21"/>
              </w:rPr>
            </w:pPr>
            <w:r>
              <w:rPr>
                <w:rFonts w:hint="eastAsia"/>
                <w:color w:val="auto"/>
                <w:sz w:val="21"/>
                <w:szCs w:val="21"/>
              </w:rPr>
              <w:t>1.40E-03</w:t>
            </w:r>
          </w:p>
        </w:tc>
        <w:tc>
          <w:tcPr>
            <w:tcW w:w="578" w:type="pct"/>
            <w:shd w:val="clear" w:color="auto" w:fill="auto"/>
          </w:tcPr>
          <w:p w14:paraId="4752FAF3">
            <w:pPr>
              <w:widowControl/>
              <w:spacing w:line="240" w:lineRule="auto"/>
              <w:ind w:firstLine="420"/>
              <w:jc w:val="center"/>
              <w:rPr>
                <w:color w:val="auto"/>
                <w:kern w:val="0"/>
                <w:sz w:val="21"/>
                <w:szCs w:val="21"/>
              </w:rPr>
            </w:pPr>
            <w:r>
              <w:rPr>
                <w:rFonts w:hint="eastAsia"/>
                <w:color w:val="auto"/>
                <w:sz w:val="21"/>
                <w:szCs w:val="21"/>
              </w:rPr>
              <w:t>0.16</w:t>
            </w:r>
          </w:p>
        </w:tc>
        <w:tc>
          <w:tcPr>
            <w:tcW w:w="927" w:type="pct"/>
            <w:shd w:val="clear" w:color="auto" w:fill="auto"/>
          </w:tcPr>
          <w:p w14:paraId="55721CF9">
            <w:pPr>
              <w:widowControl/>
              <w:spacing w:line="240" w:lineRule="auto"/>
              <w:ind w:firstLine="420"/>
              <w:jc w:val="center"/>
              <w:rPr>
                <w:color w:val="auto"/>
                <w:kern w:val="0"/>
                <w:sz w:val="21"/>
                <w:szCs w:val="21"/>
              </w:rPr>
            </w:pPr>
            <w:r>
              <w:rPr>
                <w:rFonts w:hint="eastAsia"/>
                <w:color w:val="auto"/>
                <w:sz w:val="21"/>
                <w:szCs w:val="21"/>
              </w:rPr>
              <w:t>2.21E-03</w:t>
            </w:r>
          </w:p>
        </w:tc>
        <w:tc>
          <w:tcPr>
            <w:tcW w:w="922" w:type="pct"/>
            <w:shd w:val="clear" w:color="auto" w:fill="auto"/>
          </w:tcPr>
          <w:p w14:paraId="15CE52C7">
            <w:pPr>
              <w:widowControl/>
              <w:spacing w:line="240" w:lineRule="auto"/>
              <w:ind w:firstLine="420"/>
              <w:jc w:val="center"/>
              <w:rPr>
                <w:color w:val="auto"/>
                <w:kern w:val="0"/>
                <w:sz w:val="21"/>
                <w:szCs w:val="21"/>
              </w:rPr>
            </w:pPr>
            <w:r>
              <w:rPr>
                <w:rFonts w:hint="eastAsia"/>
                <w:color w:val="auto"/>
                <w:sz w:val="21"/>
                <w:szCs w:val="21"/>
              </w:rPr>
              <w:t>0.74</w:t>
            </w:r>
          </w:p>
        </w:tc>
        <w:tc>
          <w:tcPr>
            <w:tcW w:w="907" w:type="pct"/>
            <w:shd w:val="clear" w:color="auto" w:fill="auto"/>
          </w:tcPr>
          <w:p w14:paraId="274A595D">
            <w:pPr>
              <w:widowControl/>
              <w:spacing w:line="240" w:lineRule="auto"/>
              <w:ind w:firstLine="420"/>
              <w:jc w:val="center"/>
              <w:rPr>
                <w:color w:val="auto"/>
                <w:kern w:val="0"/>
                <w:sz w:val="21"/>
                <w:szCs w:val="21"/>
              </w:rPr>
            </w:pPr>
            <w:r>
              <w:rPr>
                <w:rFonts w:hint="eastAsia"/>
                <w:color w:val="auto"/>
                <w:sz w:val="21"/>
                <w:szCs w:val="21"/>
              </w:rPr>
              <w:t>5.95E-04</w:t>
            </w:r>
          </w:p>
        </w:tc>
        <w:tc>
          <w:tcPr>
            <w:tcW w:w="632" w:type="pct"/>
            <w:shd w:val="clear" w:color="auto" w:fill="auto"/>
          </w:tcPr>
          <w:p w14:paraId="6A52F9AF">
            <w:pPr>
              <w:widowControl/>
              <w:spacing w:line="240" w:lineRule="auto"/>
              <w:ind w:firstLine="420"/>
              <w:jc w:val="center"/>
              <w:rPr>
                <w:color w:val="auto"/>
                <w:kern w:val="0"/>
                <w:sz w:val="21"/>
                <w:szCs w:val="21"/>
              </w:rPr>
            </w:pPr>
            <w:r>
              <w:rPr>
                <w:rFonts w:hint="eastAsia"/>
                <w:color w:val="auto"/>
                <w:sz w:val="21"/>
                <w:szCs w:val="21"/>
              </w:rPr>
              <w:t>0.30</w:t>
            </w:r>
          </w:p>
        </w:tc>
      </w:tr>
      <w:tr w14:paraId="4D7D6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A79CC67">
            <w:pPr>
              <w:widowControl/>
              <w:spacing w:line="240" w:lineRule="auto"/>
              <w:ind w:firstLine="0" w:firstLineChars="0"/>
              <w:jc w:val="center"/>
              <w:rPr>
                <w:color w:val="auto"/>
                <w:kern w:val="0"/>
                <w:sz w:val="21"/>
                <w:szCs w:val="21"/>
              </w:rPr>
            </w:pPr>
            <w:r>
              <w:rPr>
                <w:color w:val="auto"/>
                <w:kern w:val="0"/>
                <w:sz w:val="21"/>
                <w:szCs w:val="21"/>
              </w:rPr>
              <w:t>1200</w:t>
            </w:r>
          </w:p>
        </w:tc>
        <w:tc>
          <w:tcPr>
            <w:tcW w:w="673" w:type="pct"/>
            <w:shd w:val="clear" w:color="auto" w:fill="auto"/>
          </w:tcPr>
          <w:p w14:paraId="3DA360C3">
            <w:pPr>
              <w:widowControl/>
              <w:spacing w:line="240" w:lineRule="auto"/>
              <w:ind w:firstLine="420"/>
              <w:jc w:val="center"/>
              <w:rPr>
                <w:color w:val="auto"/>
                <w:kern w:val="0"/>
                <w:sz w:val="21"/>
                <w:szCs w:val="21"/>
              </w:rPr>
            </w:pPr>
            <w:r>
              <w:rPr>
                <w:rFonts w:hint="eastAsia"/>
                <w:color w:val="auto"/>
                <w:sz w:val="21"/>
                <w:szCs w:val="21"/>
              </w:rPr>
              <w:t>1.36E-03</w:t>
            </w:r>
          </w:p>
        </w:tc>
        <w:tc>
          <w:tcPr>
            <w:tcW w:w="578" w:type="pct"/>
            <w:shd w:val="clear" w:color="auto" w:fill="auto"/>
          </w:tcPr>
          <w:p w14:paraId="3FC3EE69">
            <w:pPr>
              <w:widowControl/>
              <w:spacing w:line="240" w:lineRule="auto"/>
              <w:ind w:firstLine="420"/>
              <w:jc w:val="center"/>
              <w:rPr>
                <w:color w:val="auto"/>
                <w:kern w:val="0"/>
                <w:sz w:val="21"/>
                <w:szCs w:val="21"/>
              </w:rPr>
            </w:pPr>
            <w:r>
              <w:rPr>
                <w:rFonts w:hint="eastAsia"/>
                <w:color w:val="auto"/>
                <w:sz w:val="21"/>
                <w:szCs w:val="21"/>
              </w:rPr>
              <w:t>0.15</w:t>
            </w:r>
          </w:p>
        </w:tc>
        <w:tc>
          <w:tcPr>
            <w:tcW w:w="927" w:type="pct"/>
            <w:shd w:val="clear" w:color="auto" w:fill="auto"/>
          </w:tcPr>
          <w:p w14:paraId="5A9DF641">
            <w:pPr>
              <w:widowControl/>
              <w:spacing w:line="240" w:lineRule="auto"/>
              <w:ind w:firstLine="420"/>
              <w:jc w:val="center"/>
              <w:rPr>
                <w:color w:val="auto"/>
                <w:kern w:val="0"/>
                <w:sz w:val="21"/>
                <w:szCs w:val="21"/>
              </w:rPr>
            </w:pPr>
            <w:r>
              <w:rPr>
                <w:rFonts w:hint="eastAsia"/>
                <w:color w:val="auto"/>
                <w:sz w:val="21"/>
                <w:szCs w:val="21"/>
              </w:rPr>
              <w:t>2.15E-03</w:t>
            </w:r>
          </w:p>
        </w:tc>
        <w:tc>
          <w:tcPr>
            <w:tcW w:w="922" w:type="pct"/>
            <w:shd w:val="clear" w:color="auto" w:fill="auto"/>
          </w:tcPr>
          <w:p w14:paraId="78FCF9B8">
            <w:pPr>
              <w:widowControl/>
              <w:spacing w:line="240" w:lineRule="auto"/>
              <w:ind w:firstLine="420"/>
              <w:jc w:val="center"/>
              <w:rPr>
                <w:color w:val="auto"/>
                <w:kern w:val="0"/>
                <w:sz w:val="21"/>
                <w:szCs w:val="21"/>
              </w:rPr>
            </w:pPr>
            <w:r>
              <w:rPr>
                <w:rFonts w:hint="eastAsia"/>
                <w:color w:val="auto"/>
                <w:sz w:val="21"/>
                <w:szCs w:val="21"/>
              </w:rPr>
              <w:t>0.72</w:t>
            </w:r>
          </w:p>
        </w:tc>
        <w:tc>
          <w:tcPr>
            <w:tcW w:w="907" w:type="pct"/>
            <w:shd w:val="clear" w:color="auto" w:fill="auto"/>
          </w:tcPr>
          <w:p w14:paraId="1C050D72">
            <w:pPr>
              <w:widowControl/>
              <w:spacing w:line="240" w:lineRule="auto"/>
              <w:ind w:firstLine="420"/>
              <w:jc w:val="center"/>
              <w:rPr>
                <w:color w:val="auto"/>
                <w:kern w:val="0"/>
                <w:sz w:val="21"/>
                <w:szCs w:val="21"/>
              </w:rPr>
            </w:pPr>
            <w:r>
              <w:rPr>
                <w:rFonts w:hint="eastAsia"/>
                <w:color w:val="auto"/>
                <w:sz w:val="21"/>
                <w:szCs w:val="21"/>
              </w:rPr>
              <w:t>5.79E-04</w:t>
            </w:r>
          </w:p>
        </w:tc>
        <w:tc>
          <w:tcPr>
            <w:tcW w:w="632" w:type="pct"/>
            <w:shd w:val="clear" w:color="auto" w:fill="auto"/>
          </w:tcPr>
          <w:p w14:paraId="08E17CCC">
            <w:pPr>
              <w:widowControl/>
              <w:spacing w:line="240" w:lineRule="auto"/>
              <w:ind w:firstLine="420"/>
              <w:jc w:val="center"/>
              <w:rPr>
                <w:color w:val="auto"/>
                <w:kern w:val="0"/>
                <w:sz w:val="21"/>
                <w:szCs w:val="21"/>
              </w:rPr>
            </w:pPr>
            <w:r>
              <w:rPr>
                <w:rFonts w:hint="eastAsia"/>
                <w:color w:val="auto"/>
                <w:sz w:val="21"/>
                <w:szCs w:val="21"/>
              </w:rPr>
              <w:t>0.29</w:t>
            </w:r>
          </w:p>
        </w:tc>
      </w:tr>
      <w:tr w14:paraId="26C3D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E30BC53">
            <w:pPr>
              <w:widowControl/>
              <w:spacing w:line="240" w:lineRule="auto"/>
              <w:ind w:firstLine="0" w:firstLineChars="0"/>
              <w:jc w:val="center"/>
              <w:rPr>
                <w:color w:val="auto"/>
                <w:kern w:val="0"/>
                <w:sz w:val="21"/>
                <w:szCs w:val="21"/>
              </w:rPr>
            </w:pPr>
            <w:r>
              <w:rPr>
                <w:color w:val="auto"/>
                <w:kern w:val="0"/>
                <w:sz w:val="21"/>
                <w:szCs w:val="21"/>
              </w:rPr>
              <w:t>1225</w:t>
            </w:r>
          </w:p>
        </w:tc>
        <w:tc>
          <w:tcPr>
            <w:tcW w:w="673" w:type="pct"/>
            <w:shd w:val="clear" w:color="auto" w:fill="auto"/>
          </w:tcPr>
          <w:p w14:paraId="0EB59745">
            <w:pPr>
              <w:widowControl/>
              <w:spacing w:line="240" w:lineRule="auto"/>
              <w:ind w:firstLine="420"/>
              <w:jc w:val="center"/>
              <w:rPr>
                <w:color w:val="auto"/>
                <w:kern w:val="0"/>
                <w:sz w:val="21"/>
                <w:szCs w:val="21"/>
              </w:rPr>
            </w:pPr>
            <w:r>
              <w:rPr>
                <w:rFonts w:hint="eastAsia"/>
                <w:color w:val="auto"/>
                <w:sz w:val="21"/>
                <w:szCs w:val="21"/>
              </w:rPr>
              <w:t>1.33E-03</w:t>
            </w:r>
          </w:p>
        </w:tc>
        <w:tc>
          <w:tcPr>
            <w:tcW w:w="578" w:type="pct"/>
            <w:shd w:val="clear" w:color="auto" w:fill="auto"/>
          </w:tcPr>
          <w:p w14:paraId="6778E0BF">
            <w:pPr>
              <w:widowControl/>
              <w:spacing w:line="240" w:lineRule="auto"/>
              <w:ind w:firstLine="420"/>
              <w:jc w:val="center"/>
              <w:rPr>
                <w:color w:val="auto"/>
                <w:kern w:val="0"/>
                <w:sz w:val="21"/>
                <w:szCs w:val="21"/>
              </w:rPr>
            </w:pPr>
            <w:r>
              <w:rPr>
                <w:rFonts w:hint="eastAsia"/>
                <w:color w:val="auto"/>
                <w:sz w:val="21"/>
                <w:szCs w:val="21"/>
              </w:rPr>
              <w:t>0.15</w:t>
            </w:r>
          </w:p>
        </w:tc>
        <w:tc>
          <w:tcPr>
            <w:tcW w:w="927" w:type="pct"/>
            <w:shd w:val="clear" w:color="auto" w:fill="auto"/>
          </w:tcPr>
          <w:p w14:paraId="2352DF72">
            <w:pPr>
              <w:widowControl/>
              <w:spacing w:line="240" w:lineRule="auto"/>
              <w:ind w:firstLine="420"/>
              <w:jc w:val="center"/>
              <w:rPr>
                <w:color w:val="auto"/>
                <w:kern w:val="0"/>
                <w:sz w:val="21"/>
                <w:szCs w:val="21"/>
              </w:rPr>
            </w:pPr>
            <w:r>
              <w:rPr>
                <w:rFonts w:hint="eastAsia"/>
                <w:color w:val="auto"/>
                <w:sz w:val="21"/>
                <w:szCs w:val="21"/>
              </w:rPr>
              <w:t>2.10E-03</w:t>
            </w:r>
          </w:p>
        </w:tc>
        <w:tc>
          <w:tcPr>
            <w:tcW w:w="922" w:type="pct"/>
            <w:shd w:val="clear" w:color="auto" w:fill="auto"/>
          </w:tcPr>
          <w:p w14:paraId="3D52ED02">
            <w:pPr>
              <w:widowControl/>
              <w:spacing w:line="240" w:lineRule="auto"/>
              <w:ind w:firstLine="420"/>
              <w:jc w:val="center"/>
              <w:rPr>
                <w:color w:val="auto"/>
                <w:kern w:val="0"/>
                <w:sz w:val="21"/>
                <w:szCs w:val="21"/>
              </w:rPr>
            </w:pPr>
            <w:r>
              <w:rPr>
                <w:rFonts w:hint="eastAsia"/>
                <w:color w:val="auto"/>
                <w:sz w:val="21"/>
                <w:szCs w:val="21"/>
              </w:rPr>
              <w:t>0.70</w:t>
            </w:r>
          </w:p>
        </w:tc>
        <w:tc>
          <w:tcPr>
            <w:tcW w:w="907" w:type="pct"/>
            <w:shd w:val="clear" w:color="auto" w:fill="auto"/>
          </w:tcPr>
          <w:p w14:paraId="315B4257">
            <w:pPr>
              <w:widowControl/>
              <w:spacing w:line="240" w:lineRule="auto"/>
              <w:ind w:firstLine="420"/>
              <w:jc w:val="center"/>
              <w:rPr>
                <w:color w:val="auto"/>
                <w:kern w:val="0"/>
                <w:sz w:val="21"/>
                <w:szCs w:val="21"/>
              </w:rPr>
            </w:pPr>
            <w:r>
              <w:rPr>
                <w:rFonts w:hint="eastAsia"/>
                <w:color w:val="auto"/>
                <w:sz w:val="21"/>
                <w:szCs w:val="21"/>
              </w:rPr>
              <w:t>5.65E-04</w:t>
            </w:r>
          </w:p>
        </w:tc>
        <w:tc>
          <w:tcPr>
            <w:tcW w:w="632" w:type="pct"/>
            <w:shd w:val="clear" w:color="auto" w:fill="auto"/>
          </w:tcPr>
          <w:p w14:paraId="150CCA91">
            <w:pPr>
              <w:widowControl/>
              <w:spacing w:line="240" w:lineRule="auto"/>
              <w:ind w:firstLine="420"/>
              <w:jc w:val="center"/>
              <w:rPr>
                <w:color w:val="auto"/>
                <w:kern w:val="0"/>
                <w:sz w:val="21"/>
                <w:szCs w:val="21"/>
              </w:rPr>
            </w:pPr>
            <w:r>
              <w:rPr>
                <w:rFonts w:hint="eastAsia"/>
                <w:color w:val="auto"/>
                <w:sz w:val="21"/>
                <w:szCs w:val="21"/>
              </w:rPr>
              <w:t>0.28</w:t>
            </w:r>
          </w:p>
        </w:tc>
      </w:tr>
      <w:tr w14:paraId="36314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12958EF">
            <w:pPr>
              <w:widowControl/>
              <w:spacing w:line="240" w:lineRule="auto"/>
              <w:ind w:firstLine="0" w:firstLineChars="0"/>
              <w:jc w:val="center"/>
              <w:rPr>
                <w:color w:val="auto"/>
                <w:kern w:val="0"/>
                <w:sz w:val="21"/>
                <w:szCs w:val="21"/>
              </w:rPr>
            </w:pPr>
            <w:r>
              <w:rPr>
                <w:color w:val="auto"/>
                <w:kern w:val="0"/>
                <w:sz w:val="21"/>
                <w:szCs w:val="21"/>
              </w:rPr>
              <w:t>1250</w:t>
            </w:r>
          </w:p>
        </w:tc>
        <w:tc>
          <w:tcPr>
            <w:tcW w:w="673" w:type="pct"/>
            <w:shd w:val="clear" w:color="auto" w:fill="auto"/>
          </w:tcPr>
          <w:p w14:paraId="6A45ABBA">
            <w:pPr>
              <w:widowControl/>
              <w:spacing w:line="240" w:lineRule="auto"/>
              <w:ind w:firstLine="420"/>
              <w:jc w:val="center"/>
              <w:rPr>
                <w:color w:val="auto"/>
                <w:kern w:val="0"/>
                <w:sz w:val="21"/>
                <w:szCs w:val="21"/>
              </w:rPr>
            </w:pPr>
            <w:r>
              <w:rPr>
                <w:rFonts w:hint="eastAsia"/>
                <w:color w:val="auto"/>
                <w:sz w:val="21"/>
                <w:szCs w:val="21"/>
              </w:rPr>
              <w:t>1.30E-03</w:t>
            </w:r>
          </w:p>
        </w:tc>
        <w:tc>
          <w:tcPr>
            <w:tcW w:w="578" w:type="pct"/>
            <w:shd w:val="clear" w:color="auto" w:fill="auto"/>
          </w:tcPr>
          <w:p w14:paraId="0DD9F5C9">
            <w:pPr>
              <w:widowControl/>
              <w:spacing w:line="240" w:lineRule="auto"/>
              <w:ind w:firstLine="420"/>
              <w:jc w:val="center"/>
              <w:rPr>
                <w:color w:val="auto"/>
                <w:kern w:val="0"/>
                <w:sz w:val="21"/>
                <w:szCs w:val="21"/>
              </w:rPr>
            </w:pPr>
            <w:r>
              <w:rPr>
                <w:rFonts w:hint="eastAsia"/>
                <w:color w:val="auto"/>
                <w:sz w:val="21"/>
                <w:szCs w:val="21"/>
              </w:rPr>
              <w:t>0.14</w:t>
            </w:r>
          </w:p>
        </w:tc>
        <w:tc>
          <w:tcPr>
            <w:tcW w:w="927" w:type="pct"/>
            <w:shd w:val="clear" w:color="auto" w:fill="auto"/>
          </w:tcPr>
          <w:p w14:paraId="7DB6D31E">
            <w:pPr>
              <w:widowControl/>
              <w:spacing w:line="240" w:lineRule="auto"/>
              <w:ind w:firstLine="420"/>
              <w:jc w:val="center"/>
              <w:rPr>
                <w:color w:val="auto"/>
                <w:kern w:val="0"/>
                <w:sz w:val="21"/>
                <w:szCs w:val="21"/>
              </w:rPr>
            </w:pPr>
            <w:r>
              <w:rPr>
                <w:rFonts w:hint="eastAsia"/>
                <w:color w:val="auto"/>
                <w:sz w:val="21"/>
                <w:szCs w:val="21"/>
              </w:rPr>
              <w:t>2.05E-03</w:t>
            </w:r>
          </w:p>
        </w:tc>
        <w:tc>
          <w:tcPr>
            <w:tcW w:w="922" w:type="pct"/>
            <w:shd w:val="clear" w:color="auto" w:fill="auto"/>
          </w:tcPr>
          <w:p w14:paraId="69CE2174">
            <w:pPr>
              <w:widowControl/>
              <w:spacing w:line="240" w:lineRule="auto"/>
              <w:ind w:firstLine="420"/>
              <w:jc w:val="center"/>
              <w:rPr>
                <w:color w:val="auto"/>
                <w:kern w:val="0"/>
                <w:sz w:val="21"/>
                <w:szCs w:val="21"/>
              </w:rPr>
            </w:pPr>
            <w:r>
              <w:rPr>
                <w:rFonts w:hint="eastAsia"/>
                <w:color w:val="auto"/>
                <w:sz w:val="21"/>
                <w:szCs w:val="21"/>
              </w:rPr>
              <w:t>0.68</w:t>
            </w:r>
          </w:p>
        </w:tc>
        <w:tc>
          <w:tcPr>
            <w:tcW w:w="907" w:type="pct"/>
            <w:shd w:val="clear" w:color="auto" w:fill="auto"/>
          </w:tcPr>
          <w:p w14:paraId="23E64D36">
            <w:pPr>
              <w:widowControl/>
              <w:spacing w:line="240" w:lineRule="auto"/>
              <w:ind w:firstLine="420"/>
              <w:jc w:val="center"/>
              <w:rPr>
                <w:color w:val="auto"/>
                <w:kern w:val="0"/>
                <w:sz w:val="21"/>
                <w:szCs w:val="21"/>
              </w:rPr>
            </w:pPr>
            <w:r>
              <w:rPr>
                <w:rFonts w:hint="eastAsia"/>
                <w:color w:val="auto"/>
                <w:sz w:val="21"/>
                <w:szCs w:val="21"/>
              </w:rPr>
              <w:t>5.51E-04</w:t>
            </w:r>
          </w:p>
        </w:tc>
        <w:tc>
          <w:tcPr>
            <w:tcW w:w="632" w:type="pct"/>
            <w:shd w:val="clear" w:color="auto" w:fill="auto"/>
          </w:tcPr>
          <w:p w14:paraId="552CE3F0">
            <w:pPr>
              <w:widowControl/>
              <w:spacing w:line="240" w:lineRule="auto"/>
              <w:ind w:firstLine="420"/>
              <w:jc w:val="center"/>
              <w:rPr>
                <w:color w:val="auto"/>
                <w:kern w:val="0"/>
                <w:sz w:val="21"/>
                <w:szCs w:val="21"/>
              </w:rPr>
            </w:pPr>
            <w:r>
              <w:rPr>
                <w:rFonts w:hint="eastAsia"/>
                <w:color w:val="auto"/>
                <w:sz w:val="21"/>
                <w:szCs w:val="21"/>
              </w:rPr>
              <w:t>0.28</w:t>
            </w:r>
          </w:p>
        </w:tc>
      </w:tr>
      <w:tr w14:paraId="3BA31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B8E0741">
            <w:pPr>
              <w:widowControl/>
              <w:spacing w:line="240" w:lineRule="auto"/>
              <w:ind w:firstLine="0" w:firstLineChars="0"/>
              <w:jc w:val="center"/>
              <w:rPr>
                <w:color w:val="auto"/>
                <w:kern w:val="0"/>
                <w:sz w:val="21"/>
                <w:szCs w:val="21"/>
              </w:rPr>
            </w:pPr>
            <w:r>
              <w:rPr>
                <w:color w:val="auto"/>
                <w:kern w:val="0"/>
                <w:sz w:val="21"/>
                <w:szCs w:val="21"/>
              </w:rPr>
              <w:t>1275</w:t>
            </w:r>
          </w:p>
        </w:tc>
        <w:tc>
          <w:tcPr>
            <w:tcW w:w="673" w:type="pct"/>
            <w:shd w:val="clear" w:color="auto" w:fill="auto"/>
          </w:tcPr>
          <w:p w14:paraId="32B8F63F">
            <w:pPr>
              <w:widowControl/>
              <w:spacing w:line="240" w:lineRule="auto"/>
              <w:ind w:firstLine="420"/>
              <w:jc w:val="center"/>
              <w:rPr>
                <w:color w:val="auto"/>
                <w:kern w:val="0"/>
                <w:sz w:val="21"/>
                <w:szCs w:val="21"/>
              </w:rPr>
            </w:pPr>
            <w:r>
              <w:rPr>
                <w:rFonts w:hint="eastAsia"/>
                <w:color w:val="auto"/>
                <w:sz w:val="21"/>
                <w:szCs w:val="21"/>
              </w:rPr>
              <w:t>1.26E-03</w:t>
            </w:r>
          </w:p>
        </w:tc>
        <w:tc>
          <w:tcPr>
            <w:tcW w:w="578" w:type="pct"/>
            <w:shd w:val="clear" w:color="auto" w:fill="auto"/>
          </w:tcPr>
          <w:p w14:paraId="7CCB9A1D">
            <w:pPr>
              <w:widowControl/>
              <w:spacing w:line="240" w:lineRule="auto"/>
              <w:ind w:firstLine="420"/>
              <w:jc w:val="center"/>
              <w:rPr>
                <w:color w:val="auto"/>
                <w:kern w:val="0"/>
                <w:sz w:val="21"/>
                <w:szCs w:val="21"/>
              </w:rPr>
            </w:pPr>
            <w:r>
              <w:rPr>
                <w:rFonts w:hint="eastAsia"/>
                <w:color w:val="auto"/>
                <w:sz w:val="21"/>
                <w:szCs w:val="21"/>
              </w:rPr>
              <w:t>0.14</w:t>
            </w:r>
          </w:p>
        </w:tc>
        <w:tc>
          <w:tcPr>
            <w:tcW w:w="927" w:type="pct"/>
            <w:shd w:val="clear" w:color="auto" w:fill="auto"/>
          </w:tcPr>
          <w:p w14:paraId="29E43276">
            <w:pPr>
              <w:widowControl/>
              <w:spacing w:line="240" w:lineRule="auto"/>
              <w:ind w:firstLine="420"/>
              <w:jc w:val="center"/>
              <w:rPr>
                <w:color w:val="auto"/>
                <w:kern w:val="0"/>
                <w:sz w:val="21"/>
                <w:szCs w:val="21"/>
              </w:rPr>
            </w:pPr>
            <w:r>
              <w:rPr>
                <w:rFonts w:hint="eastAsia"/>
                <w:color w:val="auto"/>
                <w:sz w:val="21"/>
                <w:szCs w:val="21"/>
              </w:rPr>
              <w:t>2.00E-03</w:t>
            </w:r>
          </w:p>
        </w:tc>
        <w:tc>
          <w:tcPr>
            <w:tcW w:w="922" w:type="pct"/>
            <w:shd w:val="clear" w:color="auto" w:fill="auto"/>
          </w:tcPr>
          <w:p w14:paraId="3270B04F">
            <w:pPr>
              <w:widowControl/>
              <w:spacing w:line="240" w:lineRule="auto"/>
              <w:ind w:firstLine="420"/>
              <w:jc w:val="center"/>
              <w:rPr>
                <w:color w:val="auto"/>
                <w:kern w:val="0"/>
                <w:sz w:val="21"/>
                <w:szCs w:val="21"/>
              </w:rPr>
            </w:pPr>
            <w:r>
              <w:rPr>
                <w:rFonts w:hint="eastAsia"/>
                <w:color w:val="auto"/>
                <w:sz w:val="21"/>
                <w:szCs w:val="21"/>
              </w:rPr>
              <w:t>0.67</w:t>
            </w:r>
          </w:p>
        </w:tc>
        <w:tc>
          <w:tcPr>
            <w:tcW w:w="907" w:type="pct"/>
            <w:shd w:val="clear" w:color="auto" w:fill="auto"/>
          </w:tcPr>
          <w:p w14:paraId="28289F91">
            <w:pPr>
              <w:widowControl/>
              <w:spacing w:line="240" w:lineRule="auto"/>
              <w:ind w:firstLine="420"/>
              <w:jc w:val="center"/>
              <w:rPr>
                <w:color w:val="auto"/>
                <w:kern w:val="0"/>
                <w:sz w:val="21"/>
                <w:szCs w:val="21"/>
              </w:rPr>
            </w:pPr>
            <w:r>
              <w:rPr>
                <w:rFonts w:hint="eastAsia"/>
                <w:color w:val="auto"/>
                <w:sz w:val="21"/>
                <w:szCs w:val="21"/>
              </w:rPr>
              <w:t>5.37E-04</w:t>
            </w:r>
          </w:p>
        </w:tc>
        <w:tc>
          <w:tcPr>
            <w:tcW w:w="632" w:type="pct"/>
            <w:shd w:val="clear" w:color="auto" w:fill="auto"/>
          </w:tcPr>
          <w:p w14:paraId="397E417D">
            <w:pPr>
              <w:widowControl/>
              <w:spacing w:line="240" w:lineRule="auto"/>
              <w:ind w:firstLine="420"/>
              <w:jc w:val="center"/>
              <w:rPr>
                <w:color w:val="auto"/>
                <w:kern w:val="0"/>
                <w:sz w:val="21"/>
                <w:szCs w:val="21"/>
              </w:rPr>
            </w:pPr>
            <w:r>
              <w:rPr>
                <w:rFonts w:hint="eastAsia"/>
                <w:color w:val="auto"/>
                <w:sz w:val="21"/>
                <w:szCs w:val="21"/>
              </w:rPr>
              <w:t>0.27</w:t>
            </w:r>
          </w:p>
        </w:tc>
      </w:tr>
      <w:tr w14:paraId="70D12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B421BA8">
            <w:pPr>
              <w:widowControl/>
              <w:spacing w:line="240" w:lineRule="auto"/>
              <w:ind w:firstLine="0" w:firstLineChars="0"/>
              <w:jc w:val="center"/>
              <w:rPr>
                <w:color w:val="auto"/>
                <w:kern w:val="0"/>
                <w:sz w:val="21"/>
                <w:szCs w:val="21"/>
              </w:rPr>
            </w:pPr>
            <w:r>
              <w:rPr>
                <w:color w:val="auto"/>
                <w:kern w:val="0"/>
                <w:sz w:val="21"/>
                <w:szCs w:val="21"/>
              </w:rPr>
              <w:t>1300</w:t>
            </w:r>
          </w:p>
        </w:tc>
        <w:tc>
          <w:tcPr>
            <w:tcW w:w="673" w:type="pct"/>
            <w:shd w:val="clear" w:color="auto" w:fill="auto"/>
          </w:tcPr>
          <w:p w14:paraId="322BF591">
            <w:pPr>
              <w:widowControl/>
              <w:spacing w:line="240" w:lineRule="auto"/>
              <w:ind w:firstLine="420"/>
              <w:jc w:val="center"/>
              <w:rPr>
                <w:color w:val="auto"/>
                <w:kern w:val="0"/>
                <w:sz w:val="21"/>
                <w:szCs w:val="21"/>
              </w:rPr>
            </w:pPr>
            <w:r>
              <w:rPr>
                <w:rFonts w:hint="eastAsia"/>
                <w:color w:val="auto"/>
                <w:sz w:val="21"/>
                <w:szCs w:val="21"/>
              </w:rPr>
              <w:t>1.23E-03</w:t>
            </w:r>
          </w:p>
        </w:tc>
        <w:tc>
          <w:tcPr>
            <w:tcW w:w="578" w:type="pct"/>
            <w:shd w:val="clear" w:color="auto" w:fill="auto"/>
          </w:tcPr>
          <w:p w14:paraId="5B788721">
            <w:pPr>
              <w:widowControl/>
              <w:spacing w:line="240" w:lineRule="auto"/>
              <w:ind w:firstLine="420"/>
              <w:jc w:val="center"/>
              <w:rPr>
                <w:color w:val="auto"/>
                <w:kern w:val="0"/>
                <w:sz w:val="21"/>
                <w:szCs w:val="21"/>
              </w:rPr>
            </w:pPr>
            <w:r>
              <w:rPr>
                <w:rFonts w:hint="eastAsia"/>
                <w:color w:val="auto"/>
                <w:sz w:val="21"/>
                <w:szCs w:val="21"/>
              </w:rPr>
              <w:t>0.14</w:t>
            </w:r>
          </w:p>
        </w:tc>
        <w:tc>
          <w:tcPr>
            <w:tcW w:w="927" w:type="pct"/>
            <w:shd w:val="clear" w:color="auto" w:fill="auto"/>
          </w:tcPr>
          <w:p w14:paraId="39E4D375">
            <w:pPr>
              <w:widowControl/>
              <w:spacing w:line="240" w:lineRule="auto"/>
              <w:ind w:firstLine="420"/>
              <w:jc w:val="center"/>
              <w:rPr>
                <w:color w:val="auto"/>
                <w:kern w:val="0"/>
                <w:sz w:val="21"/>
                <w:szCs w:val="21"/>
              </w:rPr>
            </w:pPr>
            <w:r>
              <w:rPr>
                <w:rFonts w:hint="eastAsia"/>
                <w:color w:val="auto"/>
                <w:sz w:val="21"/>
                <w:szCs w:val="21"/>
              </w:rPr>
              <w:t>1.95E-03</w:t>
            </w:r>
          </w:p>
        </w:tc>
        <w:tc>
          <w:tcPr>
            <w:tcW w:w="922" w:type="pct"/>
            <w:shd w:val="clear" w:color="auto" w:fill="auto"/>
          </w:tcPr>
          <w:p w14:paraId="1A90FA82">
            <w:pPr>
              <w:widowControl/>
              <w:spacing w:line="240" w:lineRule="auto"/>
              <w:ind w:firstLine="420"/>
              <w:jc w:val="center"/>
              <w:rPr>
                <w:color w:val="auto"/>
                <w:kern w:val="0"/>
                <w:sz w:val="21"/>
                <w:szCs w:val="21"/>
              </w:rPr>
            </w:pPr>
            <w:r>
              <w:rPr>
                <w:rFonts w:hint="eastAsia"/>
                <w:color w:val="auto"/>
                <w:sz w:val="21"/>
                <w:szCs w:val="21"/>
              </w:rPr>
              <w:t>0.65</w:t>
            </w:r>
          </w:p>
        </w:tc>
        <w:tc>
          <w:tcPr>
            <w:tcW w:w="907" w:type="pct"/>
            <w:shd w:val="clear" w:color="auto" w:fill="auto"/>
          </w:tcPr>
          <w:p w14:paraId="46E7203F">
            <w:pPr>
              <w:widowControl/>
              <w:spacing w:line="240" w:lineRule="auto"/>
              <w:ind w:firstLine="420"/>
              <w:jc w:val="center"/>
              <w:rPr>
                <w:color w:val="auto"/>
                <w:kern w:val="0"/>
                <w:sz w:val="21"/>
                <w:szCs w:val="21"/>
              </w:rPr>
            </w:pPr>
            <w:r>
              <w:rPr>
                <w:rFonts w:hint="eastAsia"/>
                <w:color w:val="auto"/>
                <w:sz w:val="21"/>
                <w:szCs w:val="21"/>
              </w:rPr>
              <w:t>5.24E-04</w:t>
            </w:r>
          </w:p>
        </w:tc>
        <w:tc>
          <w:tcPr>
            <w:tcW w:w="632" w:type="pct"/>
            <w:shd w:val="clear" w:color="auto" w:fill="auto"/>
          </w:tcPr>
          <w:p w14:paraId="2BCCF49E">
            <w:pPr>
              <w:widowControl/>
              <w:spacing w:line="240" w:lineRule="auto"/>
              <w:ind w:firstLine="420"/>
              <w:jc w:val="center"/>
              <w:rPr>
                <w:color w:val="auto"/>
                <w:kern w:val="0"/>
                <w:sz w:val="21"/>
                <w:szCs w:val="21"/>
              </w:rPr>
            </w:pPr>
            <w:r>
              <w:rPr>
                <w:rFonts w:hint="eastAsia"/>
                <w:color w:val="auto"/>
                <w:sz w:val="21"/>
                <w:szCs w:val="21"/>
              </w:rPr>
              <w:t>0.26</w:t>
            </w:r>
          </w:p>
        </w:tc>
      </w:tr>
      <w:tr w14:paraId="1D006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218C47C">
            <w:pPr>
              <w:widowControl/>
              <w:spacing w:line="240" w:lineRule="auto"/>
              <w:ind w:firstLine="0" w:firstLineChars="0"/>
              <w:jc w:val="center"/>
              <w:rPr>
                <w:color w:val="auto"/>
                <w:kern w:val="0"/>
                <w:sz w:val="21"/>
                <w:szCs w:val="21"/>
              </w:rPr>
            </w:pPr>
            <w:r>
              <w:rPr>
                <w:color w:val="auto"/>
                <w:kern w:val="0"/>
                <w:sz w:val="21"/>
                <w:szCs w:val="21"/>
              </w:rPr>
              <w:t>1325</w:t>
            </w:r>
          </w:p>
        </w:tc>
        <w:tc>
          <w:tcPr>
            <w:tcW w:w="673" w:type="pct"/>
            <w:shd w:val="clear" w:color="auto" w:fill="auto"/>
          </w:tcPr>
          <w:p w14:paraId="2B367C13">
            <w:pPr>
              <w:widowControl/>
              <w:spacing w:line="240" w:lineRule="auto"/>
              <w:ind w:firstLine="420"/>
              <w:jc w:val="center"/>
              <w:rPr>
                <w:color w:val="auto"/>
                <w:kern w:val="0"/>
                <w:sz w:val="21"/>
                <w:szCs w:val="21"/>
              </w:rPr>
            </w:pPr>
            <w:r>
              <w:rPr>
                <w:rFonts w:hint="eastAsia"/>
                <w:color w:val="auto"/>
                <w:sz w:val="21"/>
                <w:szCs w:val="21"/>
              </w:rPr>
              <w:t>1.20E-03</w:t>
            </w:r>
          </w:p>
        </w:tc>
        <w:tc>
          <w:tcPr>
            <w:tcW w:w="578" w:type="pct"/>
            <w:shd w:val="clear" w:color="auto" w:fill="auto"/>
          </w:tcPr>
          <w:p w14:paraId="6442B320">
            <w:pPr>
              <w:widowControl/>
              <w:spacing w:line="240" w:lineRule="auto"/>
              <w:ind w:firstLine="420"/>
              <w:jc w:val="center"/>
              <w:rPr>
                <w:color w:val="auto"/>
                <w:kern w:val="0"/>
                <w:sz w:val="21"/>
                <w:szCs w:val="21"/>
              </w:rPr>
            </w:pPr>
            <w:r>
              <w:rPr>
                <w:rFonts w:hint="eastAsia"/>
                <w:color w:val="auto"/>
                <w:sz w:val="21"/>
                <w:szCs w:val="21"/>
              </w:rPr>
              <w:t>0.13</w:t>
            </w:r>
          </w:p>
        </w:tc>
        <w:tc>
          <w:tcPr>
            <w:tcW w:w="927" w:type="pct"/>
            <w:shd w:val="clear" w:color="auto" w:fill="auto"/>
          </w:tcPr>
          <w:p w14:paraId="6DDEC4BD">
            <w:pPr>
              <w:widowControl/>
              <w:spacing w:line="240" w:lineRule="auto"/>
              <w:ind w:firstLine="420"/>
              <w:jc w:val="center"/>
              <w:rPr>
                <w:color w:val="auto"/>
                <w:kern w:val="0"/>
                <w:sz w:val="21"/>
                <w:szCs w:val="21"/>
              </w:rPr>
            </w:pPr>
            <w:r>
              <w:rPr>
                <w:rFonts w:hint="eastAsia"/>
                <w:color w:val="auto"/>
                <w:sz w:val="21"/>
                <w:szCs w:val="21"/>
              </w:rPr>
              <w:t>1.90E-03</w:t>
            </w:r>
          </w:p>
        </w:tc>
        <w:tc>
          <w:tcPr>
            <w:tcW w:w="922" w:type="pct"/>
            <w:shd w:val="clear" w:color="auto" w:fill="auto"/>
          </w:tcPr>
          <w:p w14:paraId="162E7901">
            <w:pPr>
              <w:widowControl/>
              <w:spacing w:line="240" w:lineRule="auto"/>
              <w:ind w:firstLine="420"/>
              <w:jc w:val="center"/>
              <w:rPr>
                <w:color w:val="auto"/>
                <w:kern w:val="0"/>
                <w:sz w:val="21"/>
                <w:szCs w:val="21"/>
              </w:rPr>
            </w:pPr>
            <w:r>
              <w:rPr>
                <w:rFonts w:hint="eastAsia"/>
                <w:color w:val="auto"/>
                <w:sz w:val="21"/>
                <w:szCs w:val="21"/>
              </w:rPr>
              <w:t>0.63</w:t>
            </w:r>
          </w:p>
        </w:tc>
        <w:tc>
          <w:tcPr>
            <w:tcW w:w="907" w:type="pct"/>
            <w:shd w:val="clear" w:color="auto" w:fill="auto"/>
          </w:tcPr>
          <w:p w14:paraId="0FE4D609">
            <w:pPr>
              <w:widowControl/>
              <w:spacing w:line="240" w:lineRule="auto"/>
              <w:ind w:firstLine="420"/>
              <w:jc w:val="center"/>
              <w:rPr>
                <w:color w:val="auto"/>
                <w:kern w:val="0"/>
                <w:sz w:val="21"/>
                <w:szCs w:val="21"/>
              </w:rPr>
            </w:pPr>
            <w:r>
              <w:rPr>
                <w:rFonts w:hint="eastAsia"/>
                <w:color w:val="auto"/>
                <w:sz w:val="21"/>
                <w:szCs w:val="21"/>
              </w:rPr>
              <w:t>5.12E-04</w:t>
            </w:r>
          </w:p>
        </w:tc>
        <w:tc>
          <w:tcPr>
            <w:tcW w:w="632" w:type="pct"/>
            <w:shd w:val="clear" w:color="auto" w:fill="auto"/>
          </w:tcPr>
          <w:p w14:paraId="58F3D35C">
            <w:pPr>
              <w:widowControl/>
              <w:spacing w:line="240" w:lineRule="auto"/>
              <w:ind w:firstLine="420"/>
              <w:jc w:val="center"/>
              <w:rPr>
                <w:color w:val="auto"/>
                <w:kern w:val="0"/>
                <w:sz w:val="21"/>
                <w:szCs w:val="21"/>
              </w:rPr>
            </w:pPr>
            <w:r>
              <w:rPr>
                <w:rFonts w:hint="eastAsia"/>
                <w:color w:val="auto"/>
                <w:sz w:val="21"/>
                <w:szCs w:val="21"/>
              </w:rPr>
              <w:t>0.26</w:t>
            </w:r>
          </w:p>
        </w:tc>
      </w:tr>
      <w:tr w14:paraId="4907E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33105144">
            <w:pPr>
              <w:widowControl/>
              <w:spacing w:line="240" w:lineRule="auto"/>
              <w:ind w:firstLine="0" w:firstLineChars="0"/>
              <w:jc w:val="center"/>
              <w:rPr>
                <w:color w:val="auto"/>
                <w:kern w:val="0"/>
                <w:sz w:val="21"/>
                <w:szCs w:val="21"/>
              </w:rPr>
            </w:pPr>
            <w:r>
              <w:rPr>
                <w:color w:val="auto"/>
                <w:kern w:val="0"/>
                <w:sz w:val="21"/>
                <w:szCs w:val="21"/>
              </w:rPr>
              <w:t>1350</w:t>
            </w:r>
          </w:p>
        </w:tc>
        <w:tc>
          <w:tcPr>
            <w:tcW w:w="673" w:type="pct"/>
            <w:shd w:val="clear" w:color="auto" w:fill="auto"/>
          </w:tcPr>
          <w:p w14:paraId="140A70A7">
            <w:pPr>
              <w:widowControl/>
              <w:spacing w:line="240" w:lineRule="auto"/>
              <w:ind w:firstLine="420"/>
              <w:jc w:val="center"/>
              <w:rPr>
                <w:color w:val="auto"/>
                <w:kern w:val="0"/>
                <w:sz w:val="21"/>
                <w:szCs w:val="21"/>
              </w:rPr>
            </w:pPr>
            <w:r>
              <w:rPr>
                <w:rFonts w:hint="eastAsia"/>
                <w:color w:val="auto"/>
                <w:sz w:val="21"/>
                <w:szCs w:val="21"/>
              </w:rPr>
              <w:t>1.18E-03</w:t>
            </w:r>
          </w:p>
        </w:tc>
        <w:tc>
          <w:tcPr>
            <w:tcW w:w="578" w:type="pct"/>
            <w:shd w:val="clear" w:color="auto" w:fill="auto"/>
          </w:tcPr>
          <w:p w14:paraId="6F906D10">
            <w:pPr>
              <w:widowControl/>
              <w:spacing w:line="240" w:lineRule="auto"/>
              <w:ind w:firstLine="420"/>
              <w:jc w:val="center"/>
              <w:rPr>
                <w:color w:val="auto"/>
                <w:kern w:val="0"/>
                <w:sz w:val="21"/>
                <w:szCs w:val="21"/>
              </w:rPr>
            </w:pPr>
            <w:r>
              <w:rPr>
                <w:rFonts w:hint="eastAsia"/>
                <w:color w:val="auto"/>
                <w:sz w:val="21"/>
                <w:szCs w:val="21"/>
              </w:rPr>
              <w:t>0.13</w:t>
            </w:r>
          </w:p>
        </w:tc>
        <w:tc>
          <w:tcPr>
            <w:tcW w:w="927" w:type="pct"/>
            <w:shd w:val="clear" w:color="auto" w:fill="auto"/>
          </w:tcPr>
          <w:p w14:paraId="12B4FA13">
            <w:pPr>
              <w:widowControl/>
              <w:spacing w:line="240" w:lineRule="auto"/>
              <w:ind w:firstLine="420"/>
              <w:jc w:val="center"/>
              <w:rPr>
                <w:color w:val="auto"/>
                <w:kern w:val="0"/>
                <w:sz w:val="21"/>
                <w:szCs w:val="21"/>
              </w:rPr>
            </w:pPr>
            <w:r>
              <w:rPr>
                <w:rFonts w:hint="eastAsia"/>
                <w:color w:val="auto"/>
                <w:sz w:val="21"/>
                <w:szCs w:val="21"/>
              </w:rPr>
              <w:t>1.86E-03</w:t>
            </w:r>
          </w:p>
        </w:tc>
        <w:tc>
          <w:tcPr>
            <w:tcW w:w="922" w:type="pct"/>
            <w:shd w:val="clear" w:color="auto" w:fill="auto"/>
          </w:tcPr>
          <w:p w14:paraId="43EA56BC">
            <w:pPr>
              <w:widowControl/>
              <w:spacing w:line="240" w:lineRule="auto"/>
              <w:ind w:firstLine="420"/>
              <w:jc w:val="center"/>
              <w:rPr>
                <w:color w:val="auto"/>
                <w:kern w:val="0"/>
                <w:sz w:val="21"/>
                <w:szCs w:val="21"/>
              </w:rPr>
            </w:pPr>
            <w:r>
              <w:rPr>
                <w:rFonts w:hint="eastAsia"/>
                <w:color w:val="auto"/>
                <w:sz w:val="21"/>
                <w:szCs w:val="21"/>
              </w:rPr>
              <w:t>0.62</w:t>
            </w:r>
          </w:p>
        </w:tc>
        <w:tc>
          <w:tcPr>
            <w:tcW w:w="907" w:type="pct"/>
            <w:shd w:val="clear" w:color="auto" w:fill="auto"/>
          </w:tcPr>
          <w:p w14:paraId="100E4E1B">
            <w:pPr>
              <w:widowControl/>
              <w:spacing w:line="240" w:lineRule="auto"/>
              <w:ind w:firstLine="420"/>
              <w:jc w:val="center"/>
              <w:rPr>
                <w:color w:val="auto"/>
                <w:kern w:val="0"/>
                <w:sz w:val="21"/>
                <w:szCs w:val="21"/>
              </w:rPr>
            </w:pPr>
            <w:r>
              <w:rPr>
                <w:rFonts w:hint="eastAsia"/>
                <w:color w:val="auto"/>
                <w:sz w:val="21"/>
                <w:szCs w:val="21"/>
              </w:rPr>
              <w:t>5.00E-04</w:t>
            </w:r>
          </w:p>
        </w:tc>
        <w:tc>
          <w:tcPr>
            <w:tcW w:w="632" w:type="pct"/>
            <w:shd w:val="clear" w:color="auto" w:fill="auto"/>
          </w:tcPr>
          <w:p w14:paraId="0FD71331">
            <w:pPr>
              <w:widowControl/>
              <w:spacing w:line="240" w:lineRule="auto"/>
              <w:ind w:firstLine="420"/>
              <w:jc w:val="center"/>
              <w:rPr>
                <w:color w:val="auto"/>
                <w:kern w:val="0"/>
                <w:sz w:val="21"/>
                <w:szCs w:val="21"/>
              </w:rPr>
            </w:pPr>
            <w:r>
              <w:rPr>
                <w:rFonts w:hint="eastAsia"/>
                <w:color w:val="auto"/>
                <w:sz w:val="21"/>
                <w:szCs w:val="21"/>
              </w:rPr>
              <w:t>0.25</w:t>
            </w:r>
          </w:p>
        </w:tc>
      </w:tr>
      <w:tr w14:paraId="549FB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F2E9340">
            <w:pPr>
              <w:widowControl/>
              <w:spacing w:line="240" w:lineRule="auto"/>
              <w:ind w:firstLine="0" w:firstLineChars="0"/>
              <w:jc w:val="center"/>
              <w:rPr>
                <w:color w:val="auto"/>
                <w:kern w:val="0"/>
                <w:sz w:val="21"/>
                <w:szCs w:val="21"/>
              </w:rPr>
            </w:pPr>
            <w:r>
              <w:rPr>
                <w:color w:val="auto"/>
                <w:kern w:val="0"/>
                <w:sz w:val="21"/>
                <w:szCs w:val="21"/>
              </w:rPr>
              <w:t>1375</w:t>
            </w:r>
          </w:p>
        </w:tc>
        <w:tc>
          <w:tcPr>
            <w:tcW w:w="673" w:type="pct"/>
            <w:shd w:val="clear" w:color="auto" w:fill="auto"/>
          </w:tcPr>
          <w:p w14:paraId="48D3E859">
            <w:pPr>
              <w:widowControl/>
              <w:spacing w:line="240" w:lineRule="auto"/>
              <w:ind w:firstLine="420"/>
              <w:jc w:val="center"/>
              <w:rPr>
                <w:color w:val="auto"/>
                <w:kern w:val="0"/>
                <w:sz w:val="21"/>
                <w:szCs w:val="21"/>
              </w:rPr>
            </w:pPr>
            <w:r>
              <w:rPr>
                <w:rFonts w:hint="eastAsia"/>
                <w:color w:val="auto"/>
                <w:sz w:val="21"/>
                <w:szCs w:val="21"/>
              </w:rPr>
              <w:t>1.15E-03</w:t>
            </w:r>
          </w:p>
        </w:tc>
        <w:tc>
          <w:tcPr>
            <w:tcW w:w="578" w:type="pct"/>
            <w:shd w:val="clear" w:color="auto" w:fill="auto"/>
          </w:tcPr>
          <w:p w14:paraId="04857FF8">
            <w:pPr>
              <w:widowControl/>
              <w:spacing w:line="240" w:lineRule="auto"/>
              <w:ind w:firstLine="420"/>
              <w:jc w:val="center"/>
              <w:rPr>
                <w:color w:val="auto"/>
                <w:kern w:val="0"/>
                <w:sz w:val="21"/>
                <w:szCs w:val="21"/>
              </w:rPr>
            </w:pPr>
            <w:r>
              <w:rPr>
                <w:rFonts w:hint="eastAsia"/>
                <w:color w:val="auto"/>
                <w:sz w:val="21"/>
                <w:szCs w:val="21"/>
              </w:rPr>
              <w:t>0.13</w:t>
            </w:r>
          </w:p>
        </w:tc>
        <w:tc>
          <w:tcPr>
            <w:tcW w:w="927" w:type="pct"/>
            <w:shd w:val="clear" w:color="auto" w:fill="auto"/>
          </w:tcPr>
          <w:p w14:paraId="108AF436">
            <w:pPr>
              <w:widowControl/>
              <w:spacing w:line="240" w:lineRule="auto"/>
              <w:ind w:firstLine="420"/>
              <w:jc w:val="center"/>
              <w:rPr>
                <w:color w:val="auto"/>
                <w:kern w:val="0"/>
                <w:sz w:val="21"/>
                <w:szCs w:val="21"/>
              </w:rPr>
            </w:pPr>
            <w:r>
              <w:rPr>
                <w:rFonts w:hint="eastAsia"/>
                <w:color w:val="auto"/>
                <w:sz w:val="21"/>
                <w:szCs w:val="21"/>
              </w:rPr>
              <w:t>1.82E-03</w:t>
            </w:r>
          </w:p>
        </w:tc>
        <w:tc>
          <w:tcPr>
            <w:tcW w:w="922" w:type="pct"/>
            <w:shd w:val="clear" w:color="auto" w:fill="auto"/>
          </w:tcPr>
          <w:p w14:paraId="3DC7680D">
            <w:pPr>
              <w:widowControl/>
              <w:spacing w:line="240" w:lineRule="auto"/>
              <w:ind w:firstLine="420"/>
              <w:jc w:val="center"/>
              <w:rPr>
                <w:color w:val="auto"/>
                <w:kern w:val="0"/>
                <w:sz w:val="21"/>
                <w:szCs w:val="21"/>
              </w:rPr>
            </w:pPr>
            <w:r>
              <w:rPr>
                <w:rFonts w:hint="eastAsia"/>
                <w:color w:val="auto"/>
                <w:sz w:val="21"/>
                <w:szCs w:val="21"/>
              </w:rPr>
              <w:t>0.61</w:t>
            </w:r>
          </w:p>
        </w:tc>
        <w:tc>
          <w:tcPr>
            <w:tcW w:w="907" w:type="pct"/>
            <w:shd w:val="clear" w:color="auto" w:fill="auto"/>
          </w:tcPr>
          <w:p w14:paraId="25EF898D">
            <w:pPr>
              <w:widowControl/>
              <w:spacing w:line="240" w:lineRule="auto"/>
              <w:ind w:firstLine="420"/>
              <w:jc w:val="center"/>
              <w:rPr>
                <w:color w:val="auto"/>
                <w:kern w:val="0"/>
                <w:sz w:val="21"/>
                <w:szCs w:val="21"/>
              </w:rPr>
            </w:pPr>
            <w:r>
              <w:rPr>
                <w:rFonts w:hint="eastAsia"/>
                <w:color w:val="auto"/>
                <w:sz w:val="21"/>
                <w:szCs w:val="21"/>
              </w:rPr>
              <w:t>4.89E-04</w:t>
            </w:r>
          </w:p>
        </w:tc>
        <w:tc>
          <w:tcPr>
            <w:tcW w:w="632" w:type="pct"/>
            <w:shd w:val="clear" w:color="auto" w:fill="auto"/>
          </w:tcPr>
          <w:p w14:paraId="717C9CFE">
            <w:pPr>
              <w:widowControl/>
              <w:spacing w:line="240" w:lineRule="auto"/>
              <w:ind w:firstLine="420"/>
              <w:jc w:val="center"/>
              <w:rPr>
                <w:color w:val="auto"/>
                <w:kern w:val="0"/>
                <w:sz w:val="21"/>
                <w:szCs w:val="21"/>
              </w:rPr>
            </w:pPr>
            <w:r>
              <w:rPr>
                <w:rFonts w:hint="eastAsia"/>
                <w:color w:val="auto"/>
                <w:sz w:val="21"/>
                <w:szCs w:val="21"/>
              </w:rPr>
              <w:t>0.24</w:t>
            </w:r>
          </w:p>
        </w:tc>
      </w:tr>
      <w:tr w14:paraId="0F0F2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DC994C2">
            <w:pPr>
              <w:widowControl/>
              <w:spacing w:line="240" w:lineRule="auto"/>
              <w:ind w:firstLine="0" w:firstLineChars="0"/>
              <w:jc w:val="center"/>
              <w:rPr>
                <w:color w:val="auto"/>
                <w:kern w:val="0"/>
                <w:sz w:val="21"/>
                <w:szCs w:val="21"/>
              </w:rPr>
            </w:pPr>
            <w:r>
              <w:rPr>
                <w:color w:val="auto"/>
                <w:kern w:val="0"/>
                <w:sz w:val="21"/>
                <w:szCs w:val="21"/>
              </w:rPr>
              <w:t>1400</w:t>
            </w:r>
          </w:p>
        </w:tc>
        <w:tc>
          <w:tcPr>
            <w:tcW w:w="673" w:type="pct"/>
            <w:shd w:val="clear" w:color="auto" w:fill="auto"/>
          </w:tcPr>
          <w:p w14:paraId="095C9CC3">
            <w:pPr>
              <w:widowControl/>
              <w:spacing w:line="240" w:lineRule="auto"/>
              <w:ind w:firstLine="420"/>
              <w:jc w:val="center"/>
              <w:rPr>
                <w:color w:val="auto"/>
                <w:kern w:val="0"/>
                <w:sz w:val="21"/>
                <w:szCs w:val="21"/>
              </w:rPr>
            </w:pPr>
            <w:r>
              <w:rPr>
                <w:rFonts w:hint="eastAsia"/>
                <w:color w:val="auto"/>
                <w:sz w:val="21"/>
                <w:szCs w:val="21"/>
              </w:rPr>
              <w:t>1.12E-03</w:t>
            </w:r>
          </w:p>
        </w:tc>
        <w:tc>
          <w:tcPr>
            <w:tcW w:w="578" w:type="pct"/>
            <w:shd w:val="clear" w:color="auto" w:fill="auto"/>
          </w:tcPr>
          <w:p w14:paraId="40F6A6DA">
            <w:pPr>
              <w:widowControl/>
              <w:spacing w:line="240" w:lineRule="auto"/>
              <w:ind w:firstLine="420"/>
              <w:jc w:val="center"/>
              <w:rPr>
                <w:color w:val="auto"/>
                <w:kern w:val="0"/>
                <w:sz w:val="21"/>
                <w:szCs w:val="21"/>
              </w:rPr>
            </w:pPr>
            <w:r>
              <w:rPr>
                <w:rFonts w:hint="eastAsia"/>
                <w:color w:val="auto"/>
                <w:sz w:val="21"/>
                <w:szCs w:val="21"/>
              </w:rPr>
              <w:t>0.12</w:t>
            </w:r>
          </w:p>
        </w:tc>
        <w:tc>
          <w:tcPr>
            <w:tcW w:w="927" w:type="pct"/>
            <w:shd w:val="clear" w:color="auto" w:fill="auto"/>
          </w:tcPr>
          <w:p w14:paraId="516BD402">
            <w:pPr>
              <w:widowControl/>
              <w:spacing w:line="240" w:lineRule="auto"/>
              <w:ind w:firstLine="420"/>
              <w:jc w:val="center"/>
              <w:rPr>
                <w:color w:val="auto"/>
                <w:kern w:val="0"/>
                <w:sz w:val="21"/>
                <w:szCs w:val="21"/>
              </w:rPr>
            </w:pPr>
            <w:r>
              <w:rPr>
                <w:rFonts w:hint="eastAsia"/>
                <w:color w:val="auto"/>
                <w:sz w:val="21"/>
                <w:szCs w:val="21"/>
              </w:rPr>
              <w:t>1.78E-03</w:t>
            </w:r>
          </w:p>
        </w:tc>
        <w:tc>
          <w:tcPr>
            <w:tcW w:w="922" w:type="pct"/>
            <w:shd w:val="clear" w:color="auto" w:fill="auto"/>
          </w:tcPr>
          <w:p w14:paraId="30B13043">
            <w:pPr>
              <w:widowControl/>
              <w:spacing w:line="240" w:lineRule="auto"/>
              <w:ind w:firstLine="420"/>
              <w:jc w:val="center"/>
              <w:rPr>
                <w:color w:val="auto"/>
                <w:kern w:val="0"/>
                <w:sz w:val="21"/>
                <w:szCs w:val="21"/>
              </w:rPr>
            </w:pPr>
            <w:r>
              <w:rPr>
                <w:rFonts w:hint="eastAsia"/>
                <w:color w:val="auto"/>
                <w:sz w:val="21"/>
                <w:szCs w:val="21"/>
              </w:rPr>
              <w:t>0.59</w:t>
            </w:r>
          </w:p>
        </w:tc>
        <w:tc>
          <w:tcPr>
            <w:tcW w:w="907" w:type="pct"/>
            <w:shd w:val="clear" w:color="auto" w:fill="auto"/>
          </w:tcPr>
          <w:p w14:paraId="18954486">
            <w:pPr>
              <w:widowControl/>
              <w:spacing w:line="240" w:lineRule="auto"/>
              <w:ind w:firstLine="420"/>
              <w:jc w:val="center"/>
              <w:rPr>
                <w:color w:val="auto"/>
                <w:kern w:val="0"/>
                <w:sz w:val="21"/>
                <w:szCs w:val="21"/>
              </w:rPr>
            </w:pPr>
            <w:r>
              <w:rPr>
                <w:rFonts w:hint="eastAsia"/>
                <w:color w:val="auto"/>
                <w:sz w:val="21"/>
                <w:szCs w:val="21"/>
              </w:rPr>
              <w:t>4.78E-04</w:t>
            </w:r>
          </w:p>
        </w:tc>
        <w:tc>
          <w:tcPr>
            <w:tcW w:w="632" w:type="pct"/>
            <w:shd w:val="clear" w:color="auto" w:fill="auto"/>
          </w:tcPr>
          <w:p w14:paraId="3172756A">
            <w:pPr>
              <w:widowControl/>
              <w:spacing w:line="240" w:lineRule="auto"/>
              <w:ind w:firstLine="420"/>
              <w:jc w:val="center"/>
              <w:rPr>
                <w:color w:val="auto"/>
                <w:kern w:val="0"/>
                <w:sz w:val="21"/>
                <w:szCs w:val="21"/>
              </w:rPr>
            </w:pPr>
            <w:r>
              <w:rPr>
                <w:rFonts w:hint="eastAsia"/>
                <w:color w:val="auto"/>
                <w:sz w:val="21"/>
                <w:szCs w:val="21"/>
              </w:rPr>
              <w:t>0.24</w:t>
            </w:r>
          </w:p>
        </w:tc>
      </w:tr>
      <w:tr w14:paraId="0D2ED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378561F">
            <w:pPr>
              <w:widowControl/>
              <w:spacing w:line="240" w:lineRule="auto"/>
              <w:ind w:firstLine="0" w:firstLineChars="0"/>
              <w:jc w:val="center"/>
              <w:rPr>
                <w:color w:val="auto"/>
                <w:kern w:val="0"/>
                <w:sz w:val="21"/>
                <w:szCs w:val="21"/>
              </w:rPr>
            </w:pPr>
            <w:r>
              <w:rPr>
                <w:color w:val="auto"/>
                <w:kern w:val="0"/>
                <w:sz w:val="21"/>
                <w:szCs w:val="21"/>
              </w:rPr>
              <w:t>1425</w:t>
            </w:r>
          </w:p>
        </w:tc>
        <w:tc>
          <w:tcPr>
            <w:tcW w:w="673" w:type="pct"/>
            <w:shd w:val="clear" w:color="auto" w:fill="auto"/>
          </w:tcPr>
          <w:p w14:paraId="4A8CB622">
            <w:pPr>
              <w:widowControl/>
              <w:spacing w:line="240" w:lineRule="auto"/>
              <w:ind w:firstLine="420"/>
              <w:jc w:val="center"/>
              <w:rPr>
                <w:color w:val="auto"/>
                <w:kern w:val="0"/>
                <w:sz w:val="21"/>
                <w:szCs w:val="21"/>
              </w:rPr>
            </w:pPr>
            <w:r>
              <w:rPr>
                <w:rFonts w:hint="eastAsia"/>
                <w:color w:val="auto"/>
                <w:sz w:val="21"/>
                <w:szCs w:val="21"/>
              </w:rPr>
              <w:t>1.10E-03</w:t>
            </w:r>
          </w:p>
        </w:tc>
        <w:tc>
          <w:tcPr>
            <w:tcW w:w="578" w:type="pct"/>
            <w:shd w:val="clear" w:color="auto" w:fill="auto"/>
          </w:tcPr>
          <w:p w14:paraId="13340C26">
            <w:pPr>
              <w:widowControl/>
              <w:spacing w:line="240" w:lineRule="auto"/>
              <w:ind w:firstLine="420"/>
              <w:jc w:val="center"/>
              <w:rPr>
                <w:color w:val="auto"/>
                <w:kern w:val="0"/>
                <w:sz w:val="21"/>
                <w:szCs w:val="21"/>
              </w:rPr>
            </w:pPr>
            <w:r>
              <w:rPr>
                <w:rFonts w:hint="eastAsia"/>
                <w:color w:val="auto"/>
                <w:sz w:val="21"/>
                <w:szCs w:val="21"/>
              </w:rPr>
              <w:t>0.12</w:t>
            </w:r>
          </w:p>
        </w:tc>
        <w:tc>
          <w:tcPr>
            <w:tcW w:w="927" w:type="pct"/>
            <w:shd w:val="clear" w:color="auto" w:fill="auto"/>
          </w:tcPr>
          <w:p w14:paraId="4EC2C075">
            <w:pPr>
              <w:widowControl/>
              <w:spacing w:line="240" w:lineRule="auto"/>
              <w:ind w:firstLine="420"/>
              <w:jc w:val="center"/>
              <w:rPr>
                <w:color w:val="auto"/>
                <w:kern w:val="0"/>
                <w:sz w:val="21"/>
                <w:szCs w:val="21"/>
              </w:rPr>
            </w:pPr>
            <w:r>
              <w:rPr>
                <w:rFonts w:hint="eastAsia"/>
                <w:color w:val="auto"/>
                <w:sz w:val="21"/>
                <w:szCs w:val="21"/>
              </w:rPr>
              <w:t>1.74E-03</w:t>
            </w:r>
          </w:p>
        </w:tc>
        <w:tc>
          <w:tcPr>
            <w:tcW w:w="922" w:type="pct"/>
            <w:shd w:val="clear" w:color="auto" w:fill="auto"/>
          </w:tcPr>
          <w:p w14:paraId="205E1A41">
            <w:pPr>
              <w:widowControl/>
              <w:spacing w:line="240" w:lineRule="auto"/>
              <w:ind w:firstLine="420"/>
              <w:jc w:val="center"/>
              <w:rPr>
                <w:color w:val="auto"/>
                <w:kern w:val="0"/>
                <w:sz w:val="21"/>
                <w:szCs w:val="21"/>
              </w:rPr>
            </w:pPr>
            <w:r>
              <w:rPr>
                <w:rFonts w:hint="eastAsia"/>
                <w:color w:val="auto"/>
                <w:sz w:val="21"/>
                <w:szCs w:val="21"/>
              </w:rPr>
              <w:t>0.58</w:t>
            </w:r>
          </w:p>
        </w:tc>
        <w:tc>
          <w:tcPr>
            <w:tcW w:w="907" w:type="pct"/>
            <w:shd w:val="clear" w:color="auto" w:fill="auto"/>
          </w:tcPr>
          <w:p w14:paraId="5521E99B">
            <w:pPr>
              <w:widowControl/>
              <w:spacing w:line="240" w:lineRule="auto"/>
              <w:ind w:firstLine="420"/>
              <w:jc w:val="center"/>
              <w:rPr>
                <w:color w:val="auto"/>
                <w:kern w:val="0"/>
                <w:sz w:val="21"/>
                <w:szCs w:val="21"/>
              </w:rPr>
            </w:pPr>
            <w:r>
              <w:rPr>
                <w:rFonts w:hint="eastAsia"/>
                <w:color w:val="auto"/>
                <w:sz w:val="21"/>
                <w:szCs w:val="21"/>
              </w:rPr>
              <w:t>4.67E-04</w:t>
            </w:r>
          </w:p>
        </w:tc>
        <w:tc>
          <w:tcPr>
            <w:tcW w:w="632" w:type="pct"/>
            <w:shd w:val="clear" w:color="auto" w:fill="auto"/>
          </w:tcPr>
          <w:p w14:paraId="110BCFC7">
            <w:pPr>
              <w:widowControl/>
              <w:spacing w:line="240" w:lineRule="auto"/>
              <w:ind w:firstLine="420"/>
              <w:jc w:val="center"/>
              <w:rPr>
                <w:color w:val="auto"/>
                <w:kern w:val="0"/>
                <w:sz w:val="21"/>
                <w:szCs w:val="21"/>
              </w:rPr>
            </w:pPr>
            <w:r>
              <w:rPr>
                <w:rFonts w:hint="eastAsia"/>
                <w:color w:val="auto"/>
                <w:sz w:val="21"/>
                <w:szCs w:val="21"/>
              </w:rPr>
              <w:t>0.23</w:t>
            </w:r>
          </w:p>
        </w:tc>
      </w:tr>
      <w:tr w14:paraId="0B338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824E4B0">
            <w:pPr>
              <w:widowControl/>
              <w:spacing w:line="240" w:lineRule="auto"/>
              <w:ind w:firstLine="0" w:firstLineChars="0"/>
              <w:jc w:val="center"/>
              <w:rPr>
                <w:color w:val="auto"/>
                <w:kern w:val="0"/>
                <w:sz w:val="21"/>
                <w:szCs w:val="21"/>
              </w:rPr>
            </w:pPr>
            <w:r>
              <w:rPr>
                <w:color w:val="auto"/>
                <w:kern w:val="0"/>
                <w:sz w:val="21"/>
                <w:szCs w:val="21"/>
              </w:rPr>
              <w:t>1450</w:t>
            </w:r>
          </w:p>
        </w:tc>
        <w:tc>
          <w:tcPr>
            <w:tcW w:w="673" w:type="pct"/>
            <w:shd w:val="clear" w:color="auto" w:fill="auto"/>
          </w:tcPr>
          <w:p w14:paraId="1A662695">
            <w:pPr>
              <w:widowControl/>
              <w:spacing w:line="240" w:lineRule="auto"/>
              <w:ind w:firstLine="420"/>
              <w:jc w:val="center"/>
              <w:rPr>
                <w:color w:val="auto"/>
                <w:kern w:val="0"/>
                <w:sz w:val="21"/>
                <w:szCs w:val="21"/>
              </w:rPr>
            </w:pPr>
            <w:r>
              <w:rPr>
                <w:rFonts w:hint="eastAsia"/>
                <w:color w:val="auto"/>
                <w:sz w:val="21"/>
                <w:szCs w:val="21"/>
              </w:rPr>
              <w:t>1.07E-03</w:t>
            </w:r>
          </w:p>
        </w:tc>
        <w:tc>
          <w:tcPr>
            <w:tcW w:w="578" w:type="pct"/>
            <w:shd w:val="clear" w:color="auto" w:fill="auto"/>
          </w:tcPr>
          <w:p w14:paraId="5BE2D228">
            <w:pPr>
              <w:widowControl/>
              <w:spacing w:line="240" w:lineRule="auto"/>
              <w:ind w:firstLine="420"/>
              <w:jc w:val="center"/>
              <w:rPr>
                <w:color w:val="auto"/>
                <w:kern w:val="0"/>
                <w:sz w:val="21"/>
                <w:szCs w:val="21"/>
              </w:rPr>
            </w:pPr>
            <w:r>
              <w:rPr>
                <w:rFonts w:hint="eastAsia"/>
                <w:color w:val="auto"/>
                <w:sz w:val="21"/>
                <w:szCs w:val="21"/>
              </w:rPr>
              <w:t>0.12</w:t>
            </w:r>
          </w:p>
        </w:tc>
        <w:tc>
          <w:tcPr>
            <w:tcW w:w="927" w:type="pct"/>
            <w:shd w:val="clear" w:color="auto" w:fill="auto"/>
          </w:tcPr>
          <w:p w14:paraId="27A532EE">
            <w:pPr>
              <w:widowControl/>
              <w:spacing w:line="240" w:lineRule="auto"/>
              <w:ind w:firstLine="420"/>
              <w:jc w:val="center"/>
              <w:rPr>
                <w:color w:val="auto"/>
                <w:kern w:val="0"/>
                <w:sz w:val="21"/>
                <w:szCs w:val="21"/>
              </w:rPr>
            </w:pPr>
            <w:r>
              <w:rPr>
                <w:rFonts w:hint="eastAsia"/>
                <w:color w:val="auto"/>
                <w:sz w:val="21"/>
                <w:szCs w:val="21"/>
              </w:rPr>
              <w:t>1.70E-03</w:t>
            </w:r>
          </w:p>
        </w:tc>
        <w:tc>
          <w:tcPr>
            <w:tcW w:w="922" w:type="pct"/>
            <w:shd w:val="clear" w:color="auto" w:fill="auto"/>
          </w:tcPr>
          <w:p w14:paraId="079FAB9B">
            <w:pPr>
              <w:widowControl/>
              <w:spacing w:line="240" w:lineRule="auto"/>
              <w:ind w:firstLine="420"/>
              <w:jc w:val="center"/>
              <w:rPr>
                <w:color w:val="auto"/>
                <w:kern w:val="0"/>
                <w:sz w:val="21"/>
                <w:szCs w:val="21"/>
              </w:rPr>
            </w:pPr>
            <w:r>
              <w:rPr>
                <w:rFonts w:hint="eastAsia"/>
                <w:color w:val="auto"/>
                <w:sz w:val="21"/>
                <w:szCs w:val="21"/>
              </w:rPr>
              <w:t>0.57</w:t>
            </w:r>
          </w:p>
        </w:tc>
        <w:tc>
          <w:tcPr>
            <w:tcW w:w="907" w:type="pct"/>
            <w:shd w:val="clear" w:color="auto" w:fill="auto"/>
          </w:tcPr>
          <w:p w14:paraId="1387164E">
            <w:pPr>
              <w:widowControl/>
              <w:spacing w:line="240" w:lineRule="auto"/>
              <w:ind w:firstLine="420"/>
              <w:jc w:val="center"/>
              <w:rPr>
                <w:color w:val="auto"/>
                <w:kern w:val="0"/>
                <w:sz w:val="21"/>
                <w:szCs w:val="21"/>
              </w:rPr>
            </w:pPr>
            <w:r>
              <w:rPr>
                <w:rFonts w:hint="eastAsia"/>
                <w:color w:val="auto"/>
                <w:sz w:val="21"/>
                <w:szCs w:val="21"/>
              </w:rPr>
              <w:t>4.57E-04</w:t>
            </w:r>
          </w:p>
        </w:tc>
        <w:tc>
          <w:tcPr>
            <w:tcW w:w="632" w:type="pct"/>
            <w:shd w:val="clear" w:color="auto" w:fill="auto"/>
          </w:tcPr>
          <w:p w14:paraId="406F5C44">
            <w:pPr>
              <w:widowControl/>
              <w:spacing w:line="240" w:lineRule="auto"/>
              <w:ind w:firstLine="420"/>
              <w:jc w:val="center"/>
              <w:rPr>
                <w:color w:val="auto"/>
                <w:kern w:val="0"/>
                <w:sz w:val="21"/>
                <w:szCs w:val="21"/>
              </w:rPr>
            </w:pPr>
            <w:r>
              <w:rPr>
                <w:rFonts w:hint="eastAsia"/>
                <w:color w:val="auto"/>
                <w:sz w:val="21"/>
                <w:szCs w:val="21"/>
              </w:rPr>
              <w:t>0.23</w:t>
            </w:r>
          </w:p>
        </w:tc>
      </w:tr>
      <w:tr w14:paraId="49013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2544D47">
            <w:pPr>
              <w:widowControl/>
              <w:spacing w:line="240" w:lineRule="auto"/>
              <w:ind w:firstLine="0" w:firstLineChars="0"/>
              <w:jc w:val="center"/>
              <w:rPr>
                <w:color w:val="auto"/>
                <w:kern w:val="0"/>
                <w:sz w:val="21"/>
                <w:szCs w:val="21"/>
              </w:rPr>
            </w:pPr>
            <w:r>
              <w:rPr>
                <w:color w:val="auto"/>
                <w:kern w:val="0"/>
                <w:sz w:val="21"/>
                <w:szCs w:val="21"/>
              </w:rPr>
              <w:t>1475</w:t>
            </w:r>
          </w:p>
        </w:tc>
        <w:tc>
          <w:tcPr>
            <w:tcW w:w="673" w:type="pct"/>
            <w:shd w:val="clear" w:color="auto" w:fill="auto"/>
          </w:tcPr>
          <w:p w14:paraId="072575A9">
            <w:pPr>
              <w:widowControl/>
              <w:spacing w:line="240" w:lineRule="auto"/>
              <w:ind w:firstLine="420"/>
              <w:jc w:val="center"/>
              <w:rPr>
                <w:color w:val="auto"/>
                <w:kern w:val="0"/>
                <w:sz w:val="21"/>
                <w:szCs w:val="21"/>
              </w:rPr>
            </w:pPr>
            <w:r>
              <w:rPr>
                <w:rFonts w:hint="eastAsia"/>
                <w:color w:val="auto"/>
                <w:sz w:val="21"/>
                <w:szCs w:val="21"/>
              </w:rPr>
              <w:t>1.05E-03</w:t>
            </w:r>
          </w:p>
        </w:tc>
        <w:tc>
          <w:tcPr>
            <w:tcW w:w="578" w:type="pct"/>
            <w:shd w:val="clear" w:color="auto" w:fill="auto"/>
          </w:tcPr>
          <w:p w14:paraId="431F9834">
            <w:pPr>
              <w:widowControl/>
              <w:spacing w:line="240" w:lineRule="auto"/>
              <w:ind w:firstLine="420"/>
              <w:jc w:val="center"/>
              <w:rPr>
                <w:color w:val="auto"/>
                <w:kern w:val="0"/>
                <w:sz w:val="21"/>
                <w:szCs w:val="21"/>
              </w:rPr>
            </w:pPr>
            <w:r>
              <w:rPr>
                <w:rFonts w:hint="eastAsia"/>
                <w:color w:val="auto"/>
                <w:sz w:val="21"/>
                <w:szCs w:val="21"/>
              </w:rPr>
              <w:t>0.12</w:t>
            </w:r>
          </w:p>
        </w:tc>
        <w:tc>
          <w:tcPr>
            <w:tcW w:w="927" w:type="pct"/>
            <w:shd w:val="clear" w:color="auto" w:fill="auto"/>
          </w:tcPr>
          <w:p w14:paraId="2E1EEB7E">
            <w:pPr>
              <w:widowControl/>
              <w:spacing w:line="240" w:lineRule="auto"/>
              <w:ind w:firstLine="420"/>
              <w:jc w:val="center"/>
              <w:rPr>
                <w:color w:val="auto"/>
                <w:kern w:val="0"/>
                <w:sz w:val="21"/>
                <w:szCs w:val="21"/>
              </w:rPr>
            </w:pPr>
            <w:r>
              <w:rPr>
                <w:rFonts w:hint="eastAsia"/>
                <w:color w:val="auto"/>
                <w:sz w:val="21"/>
                <w:szCs w:val="21"/>
              </w:rPr>
              <w:t>1.66E-03</w:t>
            </w:r>
          </w:p>
        </w:tc>
        <w:tc>
          <w:tcPr>
            <w:tcW w:w="922" w:type="pct"/>
            <w:shd w:val="clear" w:color="auto" w:fill="auto"/>
          </w:tcPr>
          <w:p w14:paraId="733D0A20">
            <w:pPr>
              <w:widowControl/>
              <w:spacing w:line="240" w:lineRule="auto"/>
              <w:ind w:firstLine="420"/>
              <w:jc w:val="center"/>
              <w:rPr>
                <w:color w:val="auto"/>
                <w:kern w:val="0"/>
                <w:sz w:val="21"/>
                <w:szCs w:val="21"/>
              </w:rPr>
            </w:pPr>
            <w:r>
              <w:rPr>
                <w:rFonts w:hint="eastAsia"/>
                <w:color w:val="auto"/>
                <w:sz w:val="21"/>
                <w:szCs w:val="21"/>
              </w:rPr>
              <w:t>0.55</w:t>
            </w:r>
          </w:p>
        </w:tc>
        <w:tc>
          <w:tcPr>
            <w:tcW w:w="907" w:type="pct"/>
            <w:shd w:val="clear" w:color="auto" w:fill="auto"/>
          </w:tcPr>
          <w:p w14:paraId="07BA672A">
            <w:pPr>
              <w:widowControl/>
              <w:spacing w:line="240" w:lineRule="auto"/>
              <w:ind w:firstLine="420"/>
              <w:jc w:val="center"/>
              <w:rPr>
                <w:color w:val="auto"/>
                <w:kern w:val="0"/>
                <w:sz w:val="21"/>
                <w:szCs w:val="21"/>
              </w:rPr>
            </w:pPr>
            <w:r>
              <w:rPr>
                <w:rFonts w:hint="eastAsia"/>
                <w:color w:val="auto"/>
                <w:sz w:val="21"/>
                <w:szCs w:val="21"/>
              </w:rPr>
              <w:t>4.47E-04</w:t>
            </w:r>
          </w:p>
        </w:tc>
        <w:tc>
          <w:tcPr>
            <w:tcW w:w="632" w:type="pct"/>
            <w:shd w:val="clear" w:color="auto" w:fill="auto"/>
          </w:tcPr>
          <w:p w14:paraId="15145B5A">
            <w:pPr>
              <w:widowControl/>
              <w:spacing w:line="240" w:lineRule="auto"/>
              <w:ind w:firstLine="420"/>
              <w:jc w:val="center"/>
              <w:rPr>
                <w:color w:val="auto"/>
                <w:kern w:val="0"/>
                <w:sz w:val="21"/>
                <w:szCs w:val="21"/>
              </w:rPr>
            </w:pPr>
            <w:r>
              <w:rPr>
                <w:rFonts w:hint="eastAsia"/>
                <w:color w:val="auto"/>
                <w:sz w:val="21"/>
                <w:szCs w:val="21"/>
              </w:rPr>
              <w:t>0.22</w:t>
            </w:r>
          </w:p>
        </w:tc>
      </w:tr>
      <w:tr w14:paraId="67183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F5FF27A">
            <w:pPr>
              <w:widowControl/>
              <w:spacing w:line="240" w:lineRule="auto"/>
              <w:ind w:firstLine="0" w:firstLineChars="0"/>
              <w:jc w:val="center"/>
              <w:rPr>
                <w:color w:val="auto"/>
                <w:kern w:val="0"/>
                <w:sz w:val="21"/>
                <w:szCs w:val="21"/>
              </w:rPr>
            </w:pPr>
            <w:r>
              <w:rPr>
                <w:color w:val="auto"/>
                <w:kern w:val="0"/>
                <w:sz w:val="21"/>
                <w:szCs w:val="21"/>
              </w:rPr>
              <w:t>1500</w:t>
            </w:r>
          </w:p>
        </w:tc>
        <w:tc>
          <w:tcPr>
            <w:tcW w:w="673" w:type="pct"/>
            <w:shd w:val="clear" w:color="auto" w:fill="auto"/>
          </w:tcPr>
          <w:p w14:paraId="2EE60558">
            <w:pPr>
              <w:widowControl/>
              <w:spacing w:line="240" w:lineRule="auto"/>
              <w:ind w:firstLine="420"/>
              <w:jc w:val="center"/>
              <w:rPr>
                <w:color w:val="auto"/>
                <w:kern w:val="0"/>
                <w:sz w:val="21"/>
                <w:szCs w:val="21"/>
              </w:rPr>
            </w:pPr>
            <w:r>
              <w:rPr>
                <w:rFonts w:hint="eastAsia"/>
                <w:color w:val="auto"/>
                <w:sz w:val="21"/>
                <w:szCs w:val="21"/>
              </w:rPr>
              <w:t>1.03E-03</w:t>
            </w:r>
          </w:p>
        </w:tc>
        <w:tc>
          <w:tcPr>
            <w:tcW w:w="578" w:type="pct"/>
            <w:shd w:val="clear" w:color="auto" w:fill="auto"/>
          </w:tcPr>
          <w:p w14:paraId="4967BE56">
            <w:pPr>
              <w:widowControl/>
              <w:spacing w:line="240" w:lineRule="auto"/>
              <w:ind w:firstLine="420"/>
              <w:jc w:val="center"/>
              <w:rPr>
                <w:color w:val="auto"/>
                <w:kern w:val="0"/>
                <w:sz w:val="21"/>
                <w:szCs w:val="21"/>
              </w:rPr>
            </w:pPr>
            <w:r>
              <w:rPr>
                <w:rFonts w:hint="eastAsia"/>
                <w:color w:val="auto"/>
                <w:sz w:val="21"/>
                <w:szCs w:val="21"/>
              </w:rPr>
              <w:t>0.11</w:t>
            </w:r>
          </w:p>
        </w:tc>
        <w:tc>
          <w:tcPr>
            <w:tcW w:w="927" w:type="pct"/>
            <w:shd w:val="clear" w:color="auto" w:fill="auto"/>
          </w:tcPr>
          <w:p w14:paraId="2BFDBA04">
            <w:pPr>
              <w:widowControl/>
              <w:spacing w:line="240" w:lineRule="auto"/>
              <w:ind w:firstLine="420"/>
              <w:jc w:val="center"/>
              <w:rPr>
                <w:color w:val="auto"/>
                <w:kern w:val="0"/>
                <w:sz w:val="21"/>
                <w:szCs w:val="21"/>
              </w:rPr>
            </w:pPr>
            <w:r>
              <w:rPr>
                <w:rFonts w:hint="eastAsia"/>
                <w:color w:val="auto"/>
                <w:sz w:val="21"/>
                <w:szCs w:val="21"/>
              </w:rPr>
              <w:t>1.63E-03</w:t>
            </w:r>
          </w:p>
        </w:tc>
        <w:tc>
          <w:tcPr>
            <w:tcW w:w="922" w:type="pct"/>
            <w:shd w:val="clear" w:color="auto" w:fill="auto"/>
          </w:tcPr>
          <w:p w14:paraId="3FD5FDF3">
            <w:pPr>
              <w:widowControl/>
              <w:spacing w:line="240" w:lineRule="auto"/>
              <w:ind w:firstLine="420"/>
              <w:jc w:val="center"/>
              <w:rPr>
                <w:color w:val="auto"/>
                <w:kern w:val="0"/>
                <w:sz w:val="21"/>
                <w:szCs w:val="21"/>
              </w:rPr>
            </w:pPr>
            <w:r>
              <w:rPr>
                <w:rFonts w:hint="eastAsia"/>
                <w:color w:val="auto"/>
                <w:sz w:val="21"/>
                <w:szCs w:val="21"/>
              </w:rPr>
              <w:t>0.54</w:t>
            </w:r>
          </w:p>
        </w:tc>
        <w:tc>
          <w:tcPr>
            <w:tcW w:w="907" w:type="pct"/>
            <w:shd w:val="clear" w:color="auto" w:fill="auto"/>
          </w:tcPr>
          <w:p w14:paraId="0F7C2C98">
            <w:pPr>
              <w:widowControl/>
              <w:spacing w:line="240" w:lineRule="auto"/>
              <w:ind w:firstLine="420"/>
              <w:jc w:val="center"/>
              <w:rPr>
                <w:color w:val="auto"/>
                <w:kern w:val="0"/>
                <w:sz w:val="21"/>
                <w:szCs w:val="21"/>
              </w:rPr>
            </w:pPr>
            <w:r>
              <w:rPr>
                <w:rFonts w:hint="eastAsia"/>
                <w:color w:val="auto"/>
                <w:sz w:val="21"/>
                <w:szCs w:val="21"/>
              </w:rPr>
              <w:t>4.37E-04</w:t>
            </w:r>
          </w:p>
        </w:tc>
        <w:tc>
          <w:tcPr>
            <w:tcW w:w="632" w:type="pct"/>
            <w:shd w:val="clear" w:color="auto" w:fill="auto"/>
          </w:tcPr>
          <w:p w14:paraId="29C78A7A">
            <w:pPr>
              <w:widowControl/>
              <w:spacing w:line="240" w:lineRule="auto"/>
              <w:ind w:firstLine="420"/>
              <w:jc w:val="center"/>
              <w:rPr>
                <w:color w:val="auto"/>
                <w:kern w:val="0"/>
                <w:sz w:val="21"/>
                <w:szCs w:val="21"/>
              </w:rPr>
            </w:pPr>
            <w:r>
              <w:rPr>
                <w:rFonts w:hint="eastAsia"/>
                <w:color w:val="auto"/>
                <w:sz w:val="21"/>
                <w:szCs w:val="21"/>
              </w:rPr>
              <w:t>0.22</w:t>
            </w:r>
          </w:p>
        </w:tc>
      </w:tr>
      <w:tr w14:paraId="3ECDD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77D5BC5">
            <w:pPr>
              <w:widowControl/>
              <w:spacing w:line="240" w:lineRule="auto"/>
              <w:ind w:firstLine="0" w:firstLineChars="0"/>
              <w:jc w:val="center"/>
              <w:rPr>
                <w:color w:val="auto"/>
                <w:kern w:val="0"/>
                <w:sz w:val="21"/>
                <w:szCs w:val="21"/>
              </w:rPr>
            </w:pPr>
            <w:r>
              <w:rPr>
                <w:color w:val="auto"/>
                <w:kern w:val="0"/>
                <w:sz w:val="21"/>
                <w:szCs w:val="21"/>
              </w:rPr>
              <w:t>1525</w:t>
            </w:r>
          </w:p>
        </w:tc>
        <w:tc>
          <w:tcPr>
            <w:tcW w:w="673" w:type="pct"/>
            <w:shd w:val="clear" w:color="auto" w:fill="auto"/>
          </w:tcPr>
          <w:p w14:paraId="0F36529C">
            <w:pPr>
              <w:widowControl/>
              <w:spacing w:line="240" w:lineRule="auto"/>
              <w:ind w:firstLine="420"/>
              <w:jc w:val="center"/>
              <w:rPr>
                <w:color w:val="auto"/>
                <w:kern w:val="0"/>
                <w:sz w:val="21"/>
                <w:szCs w:val="21"/>
              </w:rPr>
            </w:pPr>
            <w:r>
              <w:rPr>
                <w:rFonts w:hint="eastAsia"/>
                <w:color w:val="auto"/>
                <w:sz w:val="21"/>
                <w:szCs w:val="21"/>
              </w:rPr>
              <w:t>1.01E-03</w:t>
            </w:r>
          </w:p>
        </w:tc>
        <w:tc>
          <w:tcPr>
            <w:tcW w:w="578" w:type="pct"/>
            <w:shd w:val="clear" w:color="auto" w:fill="auto"/>
          </w:tcPr>
          <w:p w14:paraId="320BED6F">
            <w:pPr>
              <w:widowControl/>
              <w:spacing w:line="240" w:lineRule="auto"/>
              <w:ind w:firstLine="420"/>
              <w:jc w:val="center"/>
              <w:rPr>
                <w:color w:val="auto"/>
                <w:kern w:val="0"/>
                <w:sz w:val="21"/>
                <w:szCs w:val="21"/>
              </w:rPr>
            </w:pPr>
            <w:r>
              <w:rPr>
                <w:rFonts w:hint="eastAsia"/>
                <w:color w:val="auto"/>
                <w:sz w:val="21"/>
                <w:szCs w:val="21"/>
              </w:rPr>
              <w:t>0.11</w:t>
            </w:r>
          </w:p>
        </w:tc>
        <w:tc>
          <w:tcPr>
            <w:tcW w:w="927" w:type="pct"/>
            <w:shd w:val="clear" w:color="auto" w:fill="auto"/>
          </w:tcPr>
          <w:p w14:paraId="0EA08F19">
            <w:pPr>
              <w:widowControl/>
              <w:spacing w:line="240" w:lineRule="auto"/>
              <w:ind w:firstLine="420"/>
              <w:jc w:val="center"/>
              <w:rPr>
                <w:color w:val="auto"/>
                <w:kern w:val="0"/>
                <w:sz w:val="21"/>
                <w:szCs w:val="21"/>
              </w:rPr>
            </w:pPr>
            <w:r>
              <w:rPr>
                <w:rFonts w:hint="eastAsia"/>
                <w:color w:val="auto"/>
                <w:sz w:val="21"/>
                <w:szCs w:val="21"/>
              </w:rPr>
              <w:t>1.59E-03</w:t>
            </w:r>
          </w:p>
        </w:tc>
        <w:tc>
          <w:tcPr>
            <w:tcW w:w="922" w:type="pct"/>
            <w:shd w:val="clear" w:color="auto" w:fill="auto"/>
          </w:tcPr>
          <w:p w14:paraId="409E6868">
            <w:pPr>
              <w:widowControl/>
              <w:spacing w:line="240" w:lineRule="auto"/>
              <w:ind w:firstLine="420"/>
              <w:jc w:val="center"/>
              <w:rPr>
                <w:color w:val="auto"/>
                <w:kern w:val="0"/>
                <w:sz w:val="21"/>
                <w:szCs w:val="21"/>
              </w:rPr>
            </w:pPr>
            <w:r>
              <w:rPr>
                <w:rFonts w:hint="eastAsia"/>
                <w:color w:val="auto"/>
                <w:sz w:val="21"/>
                <w:szCs w:val="21"/>
              </w:rPr>
              <w:t>0.53</w:t>
            </w:r>
          </w:p>
        </w:tc>
        <w:tc>
          <w:tcPr>
            <w:tcW w:w="907" w:type="pct"/>
            <w:shd w:val="clear" w:color="auto" w:fill="auto"/>
          </w:tcPr>
          <w:p w14:paraId="18182BB6">
            <w:pPr>
              <w:widowControl/>
              <w:spacing w:line="240" w:lineRule="auto"/>
              <w:ind w:firstLine="420"/>
              <w:jc w:val="center"/>
              <w:rPr>
                <w:color w:val="auto"/>
                <w:kern w:val="0"/>
                <w:sz w:val="21"/>
                <w:szCs w:val="21"/>
              </w:rPr>
            </w:pPr>
            <w:r>
              <w:rPr>
                <w:rFonts w:hint="eastAsia"/>
                <w:color w:val="auto"/>
                <w:sz w:val="21"/>
                <w:szCs w:val="21"/>
              </w:rPr>
              <w:t>4.28E-04</w:t>
            </w:r>
          </w:p>
        </w:tc>
        <w:tc>
          <w:tcPr>
            <w:tcW w:w="632" w:type="pct"/>
            <w:shd w:val="clear" w:color="auto" w:fill="auto"/>
          </w:tcPr>
          <w:p w14:paraId="725194FE">
            <w:pPr>
              <w:widowControl/>
              <w:spacing w:line="240" w:lineRule="auto"/>
              <w:ind w:firstLine="420"/>
              <w:jc w:val="center"/>
              <w:rPr>
                <w:color w:val="auto"/>
                <w:kern w:val="0"/>
                <w:sz w:val="21"/>
                <w:szCs w:val="21"/>
              </w:rPr>
            </w:pPr>
            <w:r>
              <w:rPr>
                <w:rFonts w:hint="eastAsia"/>
                <w:color w:val="auto"/>
                <w:sz w:val="21"/>
                <w:szCs w:val="21"/>
              </w:rPr>
              <w:t>0.21</w:t>
            </w:r>
          </w:p>
        </w:tc>
      </w:tr>
      <w:tr w14:paraId="38CD9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9C1B99D">
            <w:pPr>
              <w:widowControl/>
              <w:spacing w:line="240" w:lineRule="auto"/>
              <w:ind w:firstLine="0" w:firstLineChars="0"/>
              <w:jc w:val="center"/>
              <w:rPr>
                <w:color w:val="auto"/>
                <w:kern w:val="0"/>
                <w:sz w:val="21"/>
                <w:szCs w:val="21"/>
              </w:rPr>
            </w:pPr>
            <w:r>
              <w:rPr>
                <w:color w:val="auto"/>
                <w:kern w:val="0"/>
                <w:sz w:val="21"/>
                <w:szCs w:val="21"/>
              </w:rPr>
              <w:t>1550</w:t>
            </w:r>
          </w:p>
        </w:tc>
        <w:tc>
          <w:tcPr>
            <w:tcW w:w="673" w:type="pct"/>
            <w:shd w:val="clear" w:color="auto" w:fill="auto"/>
          </w:tcPr>
          <w:p w14:paraId="17FAAC95">
            <w:pPr>
              <w:widowControl/>
              <w:spacing w:line="240" w:lineRule="auto"/>
              <w:ind w:firstLine="420"/>
              <w:jc w:val="center"/>
              <w:rPr>
                <w:color w:val="auto"/>
                <w:kern w:val="0"/>
                <w:sz w:val="21"/>
                <w:szCs w:val="21"/>
              </w:rPr>
            </w:pPr>
            <w:r>
              <w:rPr>
                <w:rFonts w:hint="eastAsia"/>
                <w:color w:val="auto"/>
                <w:sz w:val="21"/>
                <w:szCs w:val="21"/>
              </w:rPr>
              <w:t>9.87E-04</w:t>
            </w:r>
          </w:p>
        </w:tc>
        <w:tc>
          <w:tcPr>
            <w:tcW w:w="578" w:type="pct"/>
            <w:shd w:val="clear" w:color="auto" w:fill="auto"/>
          </w:tcPr>
          <w:p w14:paraId="06BB7D04">
            <w:pPr>
              <w:widowControl/>
              <w:spacing w:line="240" w:lineRule="auto"/>
              <w:ind w:firstLine="420"/>
              <w:jc w:val="center"/>
              <w:rPr>
                <w:color w:val="auto"/>
                <w:kern w:val="0"/>
                <w:sz w:val="21"/>
                <w:szCs w:val="21"/>
              </w:rPr>
            </w:pPr>
            <w:r>
              <w:rPr>
                <w:rFonts w:hint="eastAsia"/>
                <w:color w:val="auto"/>
                <w:sz w:val="21"/>
                <w:szCs w:val="21"/>
              </w:rPr>
              <w:t>0.11</w:t>
            </w:r>
          </w:p>
        </w:tc>
        <w:tc>
          <w:tcPr>
            <w:tcW w:w="927" w:type="pct"/>
            <w:shd w:val="clear" w:color="auto" w:fill="auto"/>
          </w:tcPr>
          <w:p w14:paraId="61B7AE5C">
            <w:pPr>
              <w:widowControl/>
              <w:spacing w:line="240" w:lineRule="auto"/>
              <w:ind w:firstLine="420"/>
              <w:jc w:val="center"/>
              <w:rPr>
                <w:color w:val="auto"/>
                <w:kern w:val="0"/>
                <w:sz w:val="21"/>
                <w:szCs w:val="21"/>
              </w:rPr>
            </w:pPr>
            <w:r>
              <w:rPr>
                <w:rFonts w:hint="eastAsia"/>
                <w:color w:val="auto"/>
                <w:sz w:val="21"/>
                <w:szCs w:val="21"/>
              </w:rPr>
              <w:t>1.56E-03</w:t>
            </w:r>
          </w:p>
        </w:tc>
        <w:tc>
          <w:tcPr>
            <w:tcW w:w="922" w:type="pct"/>
            <w:shd w:val="clear" w:color="auto" w:fill="auto"/>
          </w:tcPr>
          <w:p w14:paraId="5EA8EA31">
            <w:pPr>
              <w:widowControl/>
              <w:spacing w:line="240" w:lineRule="auto"/>
              <w:ind w:firstLine="420"/>
              <w:jc w:val="center"/>
              <w:rPr>
                <w:color w:val="auto"/>
                <w:kern w:val="0"/>
                <w:sz w:val="21"/>
                <w:szCs w:val="21"/>
              </w:rPr>
            </w:pPr>
            <w:r>
              <w:rPr>
                <w:rFonts w:hint="eastAsia"/>
                <w:color w:val="auto"/>
                <w:sz w:val="21"/>
                <w:szCs w:val="21"/>
              </w:rPr>
              <w:t>0.52</w:t>
            </w:r>
          </w:p>
        </w:tc>
        <w:tc>
          <w:tcPr>
            <w:tcW w:w="907" w:type="pct"/>
            <w:shd w:val="clear" w:color="auto" w:fill="auto"/>
          </w:tcPr>
          <w:p w14:paraId="112D53CA">
            <w:pPr>
              <w:widowControl/>
              <w:spacing w:line="240" w:lineRule="auto"/>
              <w:ind w:firstLine="420"/>
              <w:jc w:val="center"/>
              <w:rPr>
                <w:color w:val="auto"/>
                <w:kern w:val="0"/>
                <w:sz w:val="21"/>
                <w:szCs w:val="21"/>
              </w:rPr>
            </w:pPr>
            <w:r>
              <w:rPr>
                <w:rFonts w:hint="eastAsia"/>
                <w:color w:val="auto"/>
                <w:sz w:val="21"/>
                <w:szCs w:val="21"/>
              </w:rPr>
              <w:t>4.19E-04</w:t>
            </w:r>
          </w:p>
        </w:tc>
        <w:tc>
          <w:tcPr>
            <w:tcW w:w="632" w:type="pct"/>
            <w:shd w:val="clear" w:color="auto" w:fill="auto"/>
          </w:tcPr>
          <w:p w14:paraId="12F414C6">
            <w:pPr>
              <w:widowControl/>
              <w:spacing w:line="240" w:lineRule="auto"/>
              <w:ind w:firstLine="420"/>
              <w:jc w:val="center"/>
              <w:rPr>
                <w:color w:val="auto"/>
                <w:kern w:val="0"/>
                <w:sz w:val="21"/>
                <w:szCs w:val="21"/>
              </w:rPr>
            </w:pPr>
            <w:r>
              <w:rPr>
                <w:rFonts w:hint="eastAsia"/>
                <w:color w:val="auto"/>
                <w:sz w:val="21"/>
                <w:szCs w:val="21"/>
              </w:rPr>
              <w:t>0.21</w:t>
            </w:r>
          </w:p>
        </w:tc>
      </w:tr>
      <w:tr w14:paraId="669E4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375C4CA">
            <w:pPr>
              <w:widowControl/>
              <w:spacing w:line="240" w:lineRule="auto"/>
              <w:ind w:firstLine="0" w:firstLineChars="0"/>
              <w:jc w:val="center"/>
              <w:rPr>
                <w:color w:val="auto"/>
                <w:kern w:val="0"/>
                <w:sz w:val="21"/>
                <w:szCs w:val="21"/>
              </w:rPr>
            </w:pPr>
            <w:r>
              <w:rPr>
                <w:color w:val="auto"/>
                <w:kern w:val="0"/>
                <w:sz w:val="21"/>
                <w:szCs w:val="21"/>
              </w:rPr>
              <w:t>1575</w:t>
            </w:r>
          </w:p>
        </w:tc>
        <w:tc>
          <w:tcPr>
            <w:tcW w:w="673" w:type="pct"/>
            <w:shd w:val="clear" w:color="auto" w:fill="auto"/>
          </w:tcPr>
          <w:p w14:paraId="180B5CE4">
            <w:pPr>
              <w:widowControl/>
              <w:spacing w:line="240" w:lineRule="auto"/>
              <w:ind w:firstLine="420"/>
              <w:jc w:val="center"/>
              <w:rPr>
                <w:color w:val="auto"/>
                <w:kern w:val="0"/>
                <w:sz w:val="21"/>
                <w:szCs w:val="21"/>
              </w:rPr>
            </w:pPr>
            <w:r>
              <w:rPr>
                <w:rFonts w:hint="eastAsia"/>
                <w:color w:val="auto"/>
                <w:sz w:val="21"/>
                <w:szCs w:val="21"/>
              </w:rPr>
              <w:t>9.67E-04</w:t>
            </w:r>
          </w:p>
        </w:tc>
        <w:tc>
          <w:tcPr>
            <w:tcW w:w="578" w:type="pct"/>
            <w:shd w:val="clear" w:color="auto" w:fill="auto"/>
          </w:tcPr>
          <w:p w14:paraId="06F752B3">
            <w:pPr>
              <w:widowControl/>
              <w:spacing w:line="240" w:lineRule="auto"/>
              <w:ind w:firstLine="420"/>
              <w:jc w:val="center"/>
              <w:rPr>
                <w:color w:val="auto"/>
                <w:kern w:val="0"/>
                <w:sz w:val="21"/>
                <w:szCs w:val="21"/>
              </w:rPr>
            </w:pPr>
            <w:r>
              <w:rPr>
                <w:rFonts w:hint="eastAsia"/>
                <w:color w:val="auto"/>
                <w:sz w:val="21"/>
                <w:szCs w:val="21"/>
              </w:rPr>
              <w:t>0.11</w:t>
            </w:r>
          </w:p>
        </w:tc>
        <w:tc>
          <w:tcPr>
            <w:tcW w:w="927" w:type="pct"/>
            <w:shd w:val="clear" w:color="auto" w:fill="auto"/>
          </w:tcPr>
          <w:p w14:paraId="592C5586">
            <w:pPr>
              <w:widowControl/>
              <w:spacing w:line="240" w:lineRule="auto"/>
              <w:ind w:firstLine="420"/>
              <w:jc w:val="center"/>
              <w:rPr>
                <w:color w:val="auto"/>
                <w:kern w:val="0"/>
                <w:sz w:val="21"/>
                <w:szCs w:val="21"/>
              </w:rPr>
            </w:pPr>
            <w:r>
              <w:rPr>
                <w:rFonts w:hint="eastAsia"/>
                <w:color w:val="auto"/>
                <w:sz w:val="21"/>
                <w:szCs w:val="21"/>
              </w:rPr>
              <w:t>1.53E-03</w:t>
            </w:r>
          </w:p>
        </w:tc>
        <w:tc>
          <w:tcPr>
            <w:tcW w:w="922" w:type="pct"/>
            <w:shd w:val="clear" w:color="auto" w:fill="auto"/>
          </w:tcPr>
          <w:p w14:paraId="14D9CDE0">
            <w:pPr>
              <w:widowControl/>
              <w:spacing w:line="240" w:lineRule="auto"/>
              <w:ind w:firstLine="420"/>
              <w:jc w:val="center"/>
              <w:rPr>
                <w:color w:val="auto"/>
                <w:kern w:val="0"/>
                <w:sz w:val="21"/>
                <w:szCs w:val="21"/>
              </w:rPr>
            </w:pPr>
            <w:r>
              <w:rPr>
                <w:rFonts w:hint="eastAsia"/>
                <w:color w:val="auto"/>
                <w:sz w:val="21"/>
                <w:szCs w:val="21"/>
              </w:rPr>
              <w:t>0.51</w:t>
            </w:r>
          </w:p>
        </w:tc>
        <w:tc>
          <w:tcPr>
            <w:tcW w:w="907" w:type="pct"/>
            <w:shd w:val="clear" w:color="auto" w:fill="auto"/>
          </w:tcPr>
          <w:p w14:paraId="02BBB5D6">
            <w:pPr>
              <w:widowControl/>
              <w:spacing w:line="240" w:lineRule="auto"/>
              <w:ind w:firstLine="420"/>
              <w:jc w:val="center"/>
              <w:rPr>
                <w:color w:val="auto"/>
                <w:kern w:val="0"/>
                <w:sz w:val="21"/>
                <w:szCs w:val="21"/>
              </w:rPr>
            </w:pPr>
            <w:r>
              <w:rPr>
                <w:rFonts w:hint="eastAsia"/>
                <w:color w:val="auto"/>
                <w:sz w:val="21"/>
                <w:szCs w:val="21"/>
              </w:rPr>
              <w:t>4.11E-04</w:t>
            </w:r>
          </w:p>
        </w:tc>
        <w:tc>
          <w:tcPr>
            <w:tcW w:w="632" w:type="pct"/>
            <w:shd w:val="clear" w:color="auto" w:fill="auto"/>
          </w:tcPr>
          <w:p w14:paraId="763B93B4">
            <w:pPr>
              <w:widowControl/>
              <w:spacing w:line="240" w:lineRule="auto"/>
              <w:ind w:firstLine="420"/>
              <w:jc w:val="center"/>
              <w:rPr>
                <w:color w:val="auto"/>
                <w:kern w:val="0"/>
                <w:sz w:val="21"/>
                <w:szCs w:val="21"/>
              </w:rPr>
            </w:pPr>
            <w:r>
              <w:rPr>
                <w:rFonts w:hint="eastAsia"/>
                <w:color w:val="auto"/>
                <w:sz w:val="21"/>
                <w:szCs w:val="21"/>
              </w:rPr>
              <w:t>0.21</w:t>
            </w:r>
          </w:p>
        </w:tc>
      </w:tr>
      <w:tr w14:paraId="2CAFE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1F2D23D">
            <w:pPr>
              <w:widowControl/>
              <w:spacing w:line="240" w:lineRule="auto"/>
              <w:ind w:firstLine="0" w:firstLineChars="0"/>
              <w:jc w:val="center"/>
              <w:rPr>
                <w:color w:val="auto"/>
                <w:kern w:val="0"/>
                <w:sz w:val="21"/>
                <w:szCs w:val="21"/>
              </w:rPr>
            </w:pPr>
            <w:r>
              <w:rPr>
                <w:color w:val="auto"/>
                <w:kern w:val="0"/>
                <w:sz w:val="21"/>
                <w:szCs w:val="21"/>
              </w:rPr>
              <w:t>1600</w:t>
            </w:r>
          </w:p>
        </w:tc>
        <w:tc>
          <w:tcPr>
            <w:tcW w:w="673" w:type="pct"/>
            <w:shd w:val="clear" w:color="auto" w:fill="auto"/>
          </w:tcPr>
          <w:p w14:paraId="3B78575C">
            <w:pPr>
              <w:widowControl/>
              <w:spacing w:line="240" w:lineRule="auto"/>
              <w:ind w:firstLine="420"/>
              <w:jc w:val="center"/>
              <w:rPr>
                <w:color w:val="auto"/>
                <w:kern w:val="0"/>
                <w:sz w:val="21"/>
                <w:szCs w:val="21"/>
              </w:rPr>
            </w:pPr>
            <w:r>
              <w:rPr>
                <w:rFonts w:hint="eastAsia"/>
                <w:color w:val="auto"/>
                <w:sz w:val="21"/>
                <w:szCs w:val="21"/>
              </w:rPr>
              <w:t>9.47E-04</w:t>
            </w:r>
          </w:p>
        </w:tc>
        <w:tc>
          <w:tcPr>
            <w:tcW w:w="578" w:type="pct"/>
            <w:shd w:val="clear" w:color="auto" w:fill="auto"/>
          </w:tcPr>
          <w:p w14:paraId="12BC3F2A">
            <w:pPr>
              <w:widowControl/>
              <w:spacing w:line="240" w:lineRule="auto"/>
              <w:ind w:firstLine="420"/>
              <w:jc w:val="center"/>
              <w:rPr>
                <w:color w:val="auto"/>
                <w:kern w:val="0"/>
                <w:sz w:val="21"/>
                <w:szCs w:val="21"/>
              </w:rPr>
            </w:pPr>
            <w:r>
              <w:rPr>
                <w:rFonts w:hint="eastAsia"/>
                <w:color w:val="auto"/>
                <w:sz w:val="21"/>
                <w:szCs w:val="21"/>
              </w:rPr>
              <w:t>0.11</w:t>
            </w:r>
          </w:p>
        </w:tc>
        <w:tc>
          <w:tcPr>
            <w:tcW w:w="927" w:type="pct"/>
            <w:shd w:val="clear" w:color="auto" w:fill="auto"/>
          </w:tcPr>
          <w:p w14:paraId="5ACFE075">
            <w:pPr>
              <w:widowControl/>
              <w:spacing w:line="240" w:lineRule="auto"/>
              <w:ind w:firstLine="420"/>
              <w:jc w:val="center"/>
              <w:rPr>
                <w:color w:val="auto"/>
                <w:kern w:val="0"/>
                <w:sz w:val="21"/>
                <w:szCs w:val="21"/>
              </w:rPr>
            </w:pPr>
            <w:r>
              <w:rPr>
                <w:rFonts w:hint="eastAsia"/>
                <w:color w:val="auto"/>
                <w:sz w:val="21"/>
                <w:szCs w:val="21"/>
              </w:rPr>
              <w:t>1.50E-03</w:t>
            </w:r>
          </w:p>
        </w:tc>
        <w:tc>
          <w:tcPr>
            <w:tcW w:w="922" w:type="pct"/>
            <w:shd w:val="clear" w:color="auto" w:fill="auto"/>
          </w:tcPr>
          <w:p w14:paraId="73E2DD2A">
            <w:pPr>
              <w:widowControl/>
              <w:spacing w:line="240" w:lineRule="auto"/>
              <w:ind w:firstLine="420"/>
              <w:jc w:val="center"/>
              <w:rPr>
                <w:color w:val="auto"/>
                <w:kern w:val="0"/>
                <w:sz w:val="21"/>
                <w:szCs w:val="21"/>
              </w:rPr>
            </w:pPr>
            <w:r>
              <w:rPr>
                <w:rFonts w:hint="eastAsia"/>
                <w:color w:val="auto"/>
                <w:sz w:val="21"/>
                <w:szCs w:val="21"/>
              </w:rPr>
              <w:t>0.50</w:t>
            </w:r>
          </w:p>
        </w:tc>
        <w:tc>
          <w:tcPr>
            <w:tcW w:w="907" w:type="pct"/>
            <w:shd w:val="clear" w:color="auto" w:fill="auto"/>
          </w:tcPr>
          <w:p w14:paraId="614B8D57">
            <w:pPr>
              <w:widowControl/>
              <w:spacing w:line="240" w:lineRule="auto"/>
              <w:ind w:firstLine="420"/>
              <w:jc w:val="center"/>
              <w:rPr>
                <w:color w:val="auto"/>
                <w:kern w:val="0"/>
                <w:sz w:val="21"/>
                <w:szCs w:val="21"/>
              </w:rPr>
            </w:pPr>
            <w:r>
              <w:rPr>
                <w:rFonts w:hint="eastAsia"/>
                <w:color w:val="auto"/>
                <w:sz w:val="21"/>
                <w:szCs w:val="21"/>
              </w:rPr>
              <w:t>4.03E-04</w:t>
            </w:r>
          </w:p>
        </w:tc>
        <w:tc>
          <w:tcPr>
            <w:tcW w:w="632" w:type="pct"/>
            <w:shd w:val="clear" w:color="auto" w:fill="auto"/>
          </w:tcPr>
          <w:p w14:paraId="2A7A30D4">
            <w:pPr>
              <w:widowControl/>
              <w:spacing w:line="240" w:lineRule="auto"/>
              <w:ind w:firstLine="420"/>
              <w:jc w:val="center"/>
              <w:rPr>
                <w:color w:val="auto"/>
                <w:kern w:val="0"/>
                <w:sz w:val="21"/>
                <w:szCs w:val="21"/>
              </w:rPr>
            </w:pPr>
            <w:r>
              <w:rPr>
                <w:rFonts w:hint="eastAsia"/>
                <w:color w:val="auto"/>
                <w:sz w:val="21"/>
                <w:szCs w:val="21"/>
              </w:rPr>
              <w:t>0.20</w:t>
            </w:r>
          </w:p>
        </w:tc>
      </w:tr>
      <w:tr w14:paraId="7D2F8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4938EA4">
            <w:pPr>
              <w:widowControl/>
              <w:spacing w:line="240" w:lineRule="auto"/>
              <w:ind w:firstLine="0" w:firstLineChars="0"/>
              <w:jc w:val="center"/>
              <w:rPr>
                <w:color w:val="auto"/>
                <w:kern w:val="0"/>
                <w:sz w:val="21"/>
                <w:szCs w:val="21"/>
              </w:rPr>
            </w:pPr>
            <w:r>
              <w:rPr>
                <w:color w:val="auto"/>
                <w:kern w:val="0"/>
                <w:sz w:val="21"/>
                <w:szCs w:val="21"/>
              </w:rPr>
              <w:t>1625</w:t>
            </w:r>
          </w:p>
        </w:tc>
        <w:tc>
          <w:tcPr>
            <w:tcW w:w="673" w:type="pct"/>
            <w:shd w:val="clear" w:color="auto" w:fill="auto"/>
          </w:tcPr>
          <w:p w14:paraId="5BD410FA">
            <w:pPr>
              <w:widowControl/>
              <w:spacing w:line="240" w:lineRule="auto"/>
              <w:ind w:firstLine="420"/>
              <w:jc w:val="center"/>
              <w:rPr>
                <w:color w:val="auto"/>
                <w:kern w:val="0"/>
                <w:sz w:val="21"/>
                <w:szCs w:val="21"/>
              </w:rPr>
            </w:pPr>
            <w:r>
              <w:rPr>
                <w:rFonts w:hint="eastAsia"/>
                <w:color w:val="auto"/>
                <w:sz w:val="21"/>
                <w:szCs w:val="21"/>
              </w:rPr>
              <w:t>9.28E-04</w:t>
            </w:r>
          </w:p>
        </w:tc>
        <w:tc>
          <w:tcPr>
            <w:tcW w:w="578" w:type="pct"/>
            <w:shd w:val="clear" w:color="auto" w:fill="auto"/>
          </w:tcPr>
          <w:p w14:paraId="719C3A22">
            <w:pPr>
              <w:widowControl/>
              <w:spacing w:line="240" w:lineRule="auto"/>
              <w:ind w:firstLine="420"/>
              <w:jc w:val="center"/>
              <w:rPr>
                <w:color w:val="auto"/>
                <w:kern w:val="0"/>
                <w:sz w:val="21"/>
                <w:szCs w:val="21"/>
              </w:rPr>
            </w:pPr>
            <w:r>
              <w:rPr>
                <w:rFonts w:hint="eastAsia"/>
                <w:color w:val="auto"/>
                <w:sz w:val="21"/>
                <w:szCs w:val="21"/>
              </w:rPr>
              <w:t>0.10</w:t>
            </w:r>
          </w:p>
        </w:tc>
        <w:tc>
          <w:tcPr>
            <w:tcW w:w="927" w:type="pct"/>
            <w:shd w:val="clear" w:color="auto" w:fill="auto"/>
          </w:tcPr>
          <w:p w14:paraId="116F1919">
            <w:pPr>
              <w:widowControl/>
              <w:spacing w:line="240" w:lineRule="auto"/>
              <w:ind w:firstLine="420"/>
              <w:jc w:val="center"/>
              <w:rPr>
                <w:color w:val="auto"/>
                <w:kern w:val="0"/>
                <w:sz w:val="21"/>
                <w:szCs w:val="21"/>
              </w:rPr>
            </w:pPr>
            <w:r>
              <w:rPr>
                <w:rFonts w:hint="eastAsia"/>
                <w:color w:val="auto"/>
                <w:sz w:val="21"/>
                <w:szCs w:val="21"/>
              </w:rPr>
              <w:t>1.47E-03</w:t>
            </w:r>
          </w:p>
        </w:tc>
        <w:tc>
          <w:tcPr>
            <w:tcW w:w="922" w:type="pct"/>
            <w:shd w:val="clear" w:color="auto" w:fill="auto"/>
          </w:tcPr>
          <w:p w14:paraId="6E22998A">
            <w:pPr>
              <w:widowControl/>
              <w:spacing w:line="240" w:lineRule="auto"/>
              <w:ind w:firstLine="420"/>
              <w:jc w:val="center"/>
              <w:rPr>
                <w:color w:val="auto"/>
                <w:kern w:val="0"/>
                <w:sz w:val="21"/>
                <w:szCs w:val="21"/>
              </w:rPr>
            </w:pPr>
            <w:r>
              <w:rPr>
                <w:rFonts w:hint="eastAsia"/>
                <w:color w:val="auto"/>
                <w:sz w:val="21"/>
                <w:szCs w:val="21"/>
              </w:rPr>
              <w:t>0.49</w:t>
            </w:r>
          </w:p>
        </w:tc>
        <w:tc>
          <w:tcPr>
            <w:tcW w:w="907" w:type="pct"/>
            <w:shd w:val="clear" w:color="auto" w:fill="auto"/>
          </w:tcPr>
          <w:p w14:paraId="40692B95">
            <w:pPr>
              <w:widowControl/>
              <w:spacing w:line="240" w:lineRule="auto"/>
              <w:ind w:firstLine="420"/>
              <w:jc w:val="center"/>
              <w:rPr>
                <w:color w:val="auto"/>
                <w:kern w:val="0"/>
                <w:sz w:val="21"/>
                <w:szCs w:val="21"/>
              </w:rPr>
            </w:pPr>
            <w:r>
              <w:rPr>
                <w:rFonts w:hint="eastAsia"/>
                <w:color w:val="auto"/>
                <w:sz w:val="21"/>
                <w:szCs w:val="21"/>
              </w:rPr>
              <w:t>3.95E-04</w:t>
            </w:r>
          </w:p>
        </w:tc>
        <w:tc>
          <w:tcPr>
            <w:tcW w:w="632" w:type="pct"/>
            <w:shd w:val="clear" w:color="auto" w:fill="auto"/>
          </w:tcPr>
          <w:p w14:paraId="1DB9D510">
            <w:pPr>
              <w:widowControl/>
              <w:spacing w:line="240" w:lineRule="auto"/>
              <w:ind w:firstLine="420"/>
              <w:jc w:val="center"/>
              <w:rPr>
                <w:color w:val="auto"/>
                <w:kern w:val="0"/>
                <w:sz w:val="21"/>
                <w:szCs w:val="21"/>
              </w:rPr>
            </w:pPr>
            <w:r>
              <w:rPr>
                <w:rFonts w:hint="eastAsia"/>
                <w:color w:val="auto"/>
                <w:sz w:val="21"/>
                <w:szCs w:val="21"/>
              </w:rPr>
              <w:t>0.20</w:t>
            </w:r>
          </w:p>
        </w:tc>
      </w:tr>
      <w:tr w14:paraId="6001A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3C63FC9">
            <w:pPr>
              <w:widowControl/>
              <w:spacing w:line="240" w:lineRule="auto"/>
              <w:ind w:firstLine="0" w:firstLineChars="0"/>
              <w:jc w:val="center"/>
              <w:rPr>
                <w:color w:val="auto"/>
                <w:kern w:val="0"/>
                <w:sz w:val="21"/>
                <w:szCs w:val="21"/>
              </w:rPr>
            </w:pPr>
            <w:r>
              <w:rPr>
                <w:color w:val="auto"/>
                <w:kern w:val="0"/>
                <w:sz w:val="21"/>
                <w:szCs w:val="21"/>
              </w:rPr>
              <w:t>1650</w:t>
            </w:r>
          </w:p>
        </w:tc>
        <w:tc>
          <w:tcPr>
            <w:tcW w:w="673" w:type="pct"/>
            <w:shd w:val="clear" w:color="auto" w:fill="auto"/>
          </w:tcPr>
          <w:p w14:paraId="0789D26C">
            <w:pPr>
              <w:widowControl/>
              <w:spacing w:line="240" w:lineRule="auto"/>
              <w:ind w:firstLine="420"/>
              <w:jc w:val="center"/>
              <w:rPr>
                <w:color w:val="auto"/>
                <w:kern w:val="0"/>
                <w:sz w:val="21"/>
                <w:szCs w:val="21"/>
              </w:rPr>
            </w:pPr>
            <w:r>
              <w:rPr>
                <w:rFonts w:hint="eastAsia"/>
                <w:color w:val="auto"/>
                <w:sz w:val="21"/>
                <w:szCs w:val="21"/>
              </w:rPr>
              <w:t>9.10E-04</w:t>
            </w:r>
          </w:p>
        </w:tc>
        <w:tc>
          <w:tcPr>
            <w:tcW w:w="578" w:type="pct"/>
            <w:shd w:val="clear" w:color="auto" w:fill="auto"/>
          </w:tcPr>
          <w:p w14:paraId="4D5A28E3">
            <w:pPr>
              <w:widowControl/>
              <w:spacing w:line="240" w:lineRule="auto"/>
              <w:ind w:firstLine="420"/>
              <w:jc w:val="center"/>
              <w:rPr>
                <w:color w:val="auto"/>
                <w:kern w:val="0"/>
                <w:sz w:val="21"/>
                <w:szCs w:val="21"/>
              </w:rPr>
            </w:pPr>
            <w:r>
              <w:rPr>
                <w:rFonts w:hint="eastAsia"/>
                <w:color w:val="auto"/>
                <w:sz w:val="21"/>
                <w:szCs w:val="21"/>
              </w:rPr>
              <w:t>0.10</w:t>
            </w:r>
          </w:p>
        </w:tc>
        <w:tc>
          <w:tcPr>
            <w:tcW w:w="927" w:type="pct"/>
            <w:shd w:val="clear" w:color="auto" w:fill="auto"/>
          </w:tcPr>
          <w:p w14:paraId="16DF7A63">
            <w:pPr>
              <w:widowControl/>
              <w:spacing w:line="240" w:lineRule="auto"/>
              <w:ind w:firstLine="420"/>
              <w:jc w:val="center"/>
              <w:rPr>
                <w:color w:val="auto"/>
                <w:kern w:val="0"/>
                <w:sz w:val="21"/>
                <w:szCs w:val="21"/>
              </w:rPr>
            </w:pPr>
            <w:r>
              <w:rPr>
                <w:rFonts w:hint="eastAsia"/>
                <w:color w:val="auto"/>
                <w:sz w:val="21"/>
                <w:szCs w:val="21"/>
              </w:rPr>
              <w:t>1.44E-03</w:t>
            </w:r>
          </w:p>
        </w:tc>
        <w:tc>
          <w:tcPr>
            <w:tcW w:w="922" w:type="pct"/>
            <w:shd w:val="clear" w:color="auto" w:fill="auto"/>
          </w:tcPr>
          <w:p w14:paraId="1666ED5A">
            <w:pPr>
              <w:widowControl/>
              <w:spacing w:line="240" w:lineRule="auto"/>
              <w:ind w:firstLine="420"/>
              <w:jc w:val="center"/>
              <w:rPr>
                <w:color w:val="auto"/>
                <w:kern w:val="0"/>
                <w:sz w:val="21"/>
                <w:szCs w:val="21"/>
              </w:rPr>
            </w:pPr>
            <w:r>
              <w:rPr>
                <w:rFonts w:hint="eastAsia"/>
                <w:color w:val="auto"/>
                <w:sz w:val="21"/>
                <w:szCs w:val="21"/>
              </w:rPr>
              <w:t>0.48</w:t>
            </w:r>
          </w:p>
        </w:tc>
        <w:tc>
          <w:tcPr>
            <w:tcW w:w="907" w:type="pct"/>
            <w:shd w:val="clear" w:color="auto" w:fill="auto"/>
          </w:tcPr>
          <w:p w14:paraId="05AC50D1">
            <w:pPr>
              <w:widowControl/>
              <w:spacing w:line="240" w:lineRule="auto"/>
              <w:ind w:firstLine="420"/>
              <w:jc w:val="center"/>
              <w:rPr>
                <w:color w:val="auto"/>
                <w:kern w:val="0"/>
                <w:sz w:val="21"/>
                <w:szCs w:val="21"/>
              </w:rPr>
            </w:pPr>
            <w:r>
              <w:rPr>
                <w:rFonts w:hint="eastAsia"/>
                <w:color w:val="auto"/>
                <w:sz w:val="21"/>
                <w:szCs w:val="21"/>
              </w:rPr>
              <w:t>3.87E-04</w:t>
            </w:r>
          </w:p>
        </w:tc>
        <w:tc>
          <w:tcPr>
            <w:tcW w:w="632" w:type="pct"/>
            <w:shd w:val="clear" w:color="auto" w:fill="auto"/>
          </w:tcPr>
          <w:p w14:paraId="3EA52177">
            <w:pPr>
              <w:widowControl/>
              <w:spacing w:line="240" w:lineRule="auto"/>
              <w:ind w:firstLine="420"/>
              <w:jc w:val="center"/>
              <w:rPr>
                <w:color w:val="auto"/>
                <w:kern w:val="0"/>
                <w:sz w:val="21"/>
                <w:szCs w:val="21"/>
              </w:rPr>
            </w:pPr>
            <w:r>
              <w:rPr>
                <w:rFonts w:hint="eastAsia"/>
                <w:color w:val="auto"/>
                <w:sz w:val="21"/>
                <w:szCs w:val="21"/>
              </w:rPr>
              <w:t>0.19</w:t>
            </w:r>
          </w:p>
        </w:tc>
      </w:tr>
      <w:tr w14:paraId="3E578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3B60FE24">
            <w:pPr>
              <w:widowControl/>
              <w:spacing w:line="240" w:lineRule="auto"/>
              <w:ind w:firstLine="0" w:firstLineChars="0"/>
              <w:jc w:val="center"/>
              <w:rPr>
                <w:color w:val="auto"/>
                <w:kern w:val="0"/>
                <w:sz w:val="21"/>
                <w:szCs w:val="21"/>
              </w:rPr>
            </w:pPr>
            <w:r>
              <w:rPr>
                <w:color w:val="auto"/>
                <w:kern w:val="0"/>
                <w:sz w:val="21"/>
                <w:szCs w:val="21"/>
              </w:rPr>
              <w:t>1675</w:t>
            </w:r>
          </w:p>
        </w:tc>
        <w:tc>
          <w:tcPr>
            <w:tcW w:w="673" w:type="pct"/>
            <w:shd w:val="clear" w:color="auto" w:fill="auto"/>
          </w:tcPr>
          <w:p w14:paraId="13028F43">
            <w:pPr>
              <w:widowControl/>
              <w:spacing w:line="240" w:lineRule="auto"/>
              <w:ind w:firstLine="420"/>
              <w:jc w:val="center"/>
              <w:rPr>
                <w:color w:val="auto"/>
                <w:kern w:val="0"/>
                <w:sz w:val="21"/>
                <w:szCs w:val="21"/>
              </w:rPr>
            </w:pPr>
            <w:r>
              <w:rPr>
                <w:rFonts w:hint="eastAsia"/>
                <w:color w:val="auto"/>
                <w:sz w:val="21"/>
                <w:szCs w:val="21"/>
              </w:rPr>
              <w:t>8.93E-04</w:t>
            </w:r>
          </w:p>
        </w:tc>
        <w:tc>
          <w:tcPr>
            <w:tcW w:w="578" w:type="pct"/>
            <w:shd w:val="clear" w:color="auto" w:fill="auto"/>
          </w:tcPr>
          <w:p w14:paraId="643EAB32">
            <w:pPr>
              <w:widowControl/>
              <w:spacing w:line="240" w:lineRule="auto"/>
              <w:ind w:firstLine="420"/>
              <w:jc w:val="center"/>
              <w:rPr>
                <w:color w:val="auto"/>
                <w:kern w:val="0"/>
                <w:sz w:val="21"/>
                <w:szCs w:val="21"/>
              </w:rPr>
            </w:pPr>
            <w:r>
              <w:rPr>
                <w:rFonts w:hint="eastAsia"/>
                <w:color w:val="auto"/>
                <w:sz w:val="21"/>
                <w:szCs w:val="21"/>
              </w:rPr>
              <w:t>0.10</w:t>
            </w:r>
          </w:p>
        </w:tc>
        <w:tc>
          <w:tcPr>
            <w:tcW w:w="927" w:type="pct"/>
            <w:shd w:val="clear" w:color="auto" w:fill="auto"/>
          </w:tcPr>
          <w:p w14:paraId="533A7D4C">
            <w:pPr>
              <w:widowControl/>
              <w:spacing w:line="240" w:lineRule="auto"/>
              <w:ind w:firstLine="420"/>
              <w:jc w:val="center"/>
              <w:rPr>
                <w:color w:val="auto"/>
                <w:kern w:val="0"/>
                <w:sz w:val="21"/>
                <w:szCs w:val="21"/>
              </w:rPr>
            </w:pPr>
            <w:r>
              <w:rPr>
                <w:rFonts w:hint="eastAsia"/>
                <w:color w:val="auto"/>
                <w:sz w:val="21"/>
                <w:szCs w:val="21"/>
              </w:rPr>
              <w:t>1.41E-03</w:t>
            </w:r>
          </w:p>
        </w:tc>
        <w:tc>
          <w:tcPr>
            <w:tcW w:w="922" w:type="pct"/>
            <w:shd w:val="clear" w:color="auto" w:fill="auto"/>
          </w:tcPr>
          <w:p w14:paraId="05E5A82D">
            <w:pPr>
              <w:widowControl/>
              <w:spacing w:line="240" w:lineRule="auto"/>
              <w:ind w:firstLine="420"/>
              <w:jc w:val="center"/>
              <w:rPr>
                <w:color w:val="auto"/>
                <w:kern w:val="0"/>
                <w:sz w:val="21"/>
                <w:szCs w:val="21"/>
              </w:rPr>
            </w:pPr>
            <w:r>
              <w:rPr>
                <w:rFonts w:hint="eastAsia"/>
                <w:color w:val="auto"/>
                <w:sz w:val="21"/>
                <w:szCs w:val="21"/>
              </w:rPr>
              <w:t>0.47</w:t>
            </w:r>
          </w:p>
        </w:tc>
        <w:tc>
          <w:tcPr>
            <w:tcW w:w="907" w:type="pct"/>
            <w:shd w:val="clear" w:color="auto" w:fill="auto"/>
          </w:tcPr>
          <w:p w14:paraId="56717879">
            <w:pPr>
              <w:widowControl/>
              <w:spacing w:line="240" w:lineRule="auto"/>
              <w:ind w:firstLine="420"/>
              <w:jc w:val="center"/>
              <w:rPr>
                <w:color w:val="auto"/>
                <w:kern w:val="0"/>
                <w:sz w:val="21"/>
                <w:szCs w:val="21"/>
              </w:rPr>
            </w:pPr>
            <w:r>
              <w:rPr>
                <w:rFonts w:hint="eastAsia"/>
                <w:color w:val="auto"/>
                <w:sz w:val="21"/>
                <w:szCs w:val="21"/>
              </w:rPr>
              <w:t>3.80E-04</w:t>
            </w:r>
          </w:p>
        </w:tc>
        <w:tc>
          <w:tcPr>
            <w:tcW w:w="632" w:type="pct"/>
            <w:shd w:val="clear" w:color="auto" w:fill="auto"/>
          </w:tcPr>
          <w:p w14:paraId="5A27A7A7">
            <w:pPr>
              <w:widowControl/>
              <w:spacing w:line="240" w:lineRule="auto"/>
              <w:ind w:firstLine="420"/>
              <w:jc w:val="center"/>
              <w:rPr>
                <w:color w:val="auto"/>
                <w:kern w:val="0"/>
                <w:sz w:val="21"/>
                <w:szCs w:val="21"/>
              </w:rPr>
            </w:pPr>
            <w:r>
              <w:rPr>
                <w:rFonts w:hint="eastAsia"/>
                <w:color w:val="auto"/>
                <w:sz w:val="21"/>
                <w:szCs w:val="21"/>
              </w:rPr>
              <w:t>0.19</w:t>
            </w:r>
          </w:p>
        </w:tc>
      </w:tr>
      <w:tr w14:paraId="2EEE4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3F1CD112">
            <w:pPr>
              <w:widowControl/>
              <w:spacing w:line="240" w:lineRule="auto"/>
              <w:ind w:firstLine="0" w:firstLineChars="0"/>
              <w:jc w:val="center"/>
              <w:rPr>
                <w:color w:val="auto"/>
                <w:kern w:val="0"/>
                <w:sz w:val="21"/>
                <w:szCs w:val="21"/>
              </w:rPr>
            </w:pPr>
            <w:r>
              <w:rPr>
                <w:color w:val="auto"/>
                <w:kern w:val="0"/>
                <w:sz w:val="21"/>
                <w:szCs w:val="21"/>
              </w:rPr>
              <w:t>1700</w:t>
            </w:r>
          </w:p>
        </w:tc>
        <w:tc>
          <w:tcPr>
            <w:tcW w:w="673" w:type="pct"/>
            <w:shd w:val="clear" w:color="auto" w:fill="auto"/>
          </w:tcPr>
          <w:p w14:paraId="4F8D8451">
            <w:pPr>
              <w:widowControl/>
              <w:spacing w:line="240" w:lineRule="auto"/>
              <w:ind w:firstLine="420"/>
              <w:jc w:val="center"/>
              <w:rPr>
                <w:color w:val="auto"/>
                <w:kern w:val="0"/>
                <w:sz w:val="21"/>
                <w:szCs w:val="21"/>
              </w:rPr>
            </w:pPr>
            <w:r>
              <w:rPr>
                <w:rFonts w:hint="eastAsia"/>
                <w:color w:val="auto"/>
                <w:sz w:val="21"/>
                <w:szCs w:val="21"/>
              </w:rPr>
              <w:t>8.76E-04</w:t>
            </w:r>
          </w:p>
        </w:tc>
        <w:tc>
          <w:tcPr>
            <w:tcW w:w="578" w:type="pct"/>
            <w:shd w:val="clear" w:color="auto" w:fill="auto"/>
          </w:tcPr>
          <w:p w14:paraId="0319FD08">
            <w:pPr>
              <w:widowControl/>
              <w:spacing w:line="240" w:lineRule="auto"/>
              <w:ind w:firstLine="420"/>
              <w:jc w:val="center"/>
              <w:rPr>
                <w:color w:val="auto"/>
                <w:kern w:val="0"/>
                <w:sz w:val="21"/>
                <w:szCs w:val="21"/>
              </w:rPr>
            </w:pPr>
            <w:r>
              <w:rPr>
                <w:rFonts w:hint="eastAsia"/>
                <w:color w:val="auto"/>
                <w:sz w:val="21"/>
                <w:szCs w:val="21"/>
              </w:rPr>
              <w:t>0.10</w:t>
            </w:r>
          </w:p>
        </w:tc>
        <w:tc>
          <w:tcPr>
            <w:tcW w:w="927" w:type="pct"/>
            <w:shd w:val="clear" w:color="auto" w:fill="auto"/>
          </w:tcPr>
          <w:p w14:paraId="170CDB13">
            <w:pPr>
              <w:widowControl/>
              <w:spacing w:line="240" w:lineRule="auto"/>
              <w:ind w:firstLine="420"/>
              <w:jc w:val="center"/>
              <w:rPr>
                <w:color w:val="auto"/>
                <w:kern w:val="0"/>
                <w:sz w:val="21"/>
                <w:szCs w:val="21"/>
              </w:rPr>
            </w:pPr>
            <w:r>
              <w:rPr>
                <w:rFonts w:hint="eastAsia"/>
                <w:color w:val="auto"/>
                <w:sz w:val="21"/>
                <w:szCs w:val="21"/>
              </w:rPr>
              <w:t>1.39E-03</w:t>
            </w:r>
          </w:p>
        </w:tc>
        <w:tc>
          <w:tcPr>
            <w:tcW w:w="922" w:type="pct"/>
            <w:shd w:val="clear" w:color="auto" w:fill="auto"/>
          </w:tcPr>
          <w:p w14:paraId="633D2019">
            <w:pPr>
              <w:widowControl/>
              <w:spacing w:line="240" w:lineRule="auto"/>
              <w:ind w:firstLine="420"/>
              <w:jc w:val="center"/>
              <w:rPr>
                <w:color w:val="auto"/>
                <w:kern w:val="0"/>
                <w:sz w:val="21"/>
                <w:szCs w:val="21"/>
              </w:rPr>
            </w:pPr>
            <w:r>
              <w:rPr>
                <w:rFonts w:hint="eastAsia"/>
                <w:color w:val="auto"/>
                <w:sz w:val="21"/>
                <w:szCs w:val="21"/>
              </w:rPr>
              <w:t>0.46</w:t>
            </w:r>
          </w:p>
        </w:tc>
        <w:tc>
          <w:tcPr>
            <w:tcW w:w="907" w:type="pct"/>
            <w:shd w:val="clear" w:color="auto" w:fill="auto"/>
          </w:tcPr>
          <w:p w14:paraId="3B0558C4">
            <w:pPr>
              <w:widowControl/>
              <w:spacing w:line="240" w:lineRule="auto"/>
              <w:ind w:firstLine="420"/>
              <w:jc w:val="center"/>
              <w:rPr>
                <w:color w:val="auto"/>
                <w:kern w:val="0"/>
                <w:sz w:val="21"/>
                <w:szCs w:val="21"/>
              </w:rPr>
            </w:pPr>
            <w:r>
              <w:rPr>
                <w:rFonts w:hint="eastAsia"/>
                <w:color w:val="auto"/>
                <w:sz w:val="21"/>
                <w:szCs w:val="21"/>
              </w:rPr>
              <w:t>3.73E-04</w:t>
            </w:r>
          </w:p>
        </w:tc>
        <w:tc>
          <w:tcPr>
            <w:tcW w:w="632" w:type="pct"/>
            <w:shd w:val="clear" w:color="auto" w:fill="auto"/>
          </w:tcPr>
          <w:p w14:paraId="572B3071">
            <w:pPr>
              <w:widowControl/>
              <w:spacing w:line="240" w:lineRule="auto"/>
              <w:ind w:firstLine="420"/>
              <w:jc w:val="center"/>
              <w:rPr>
                <w:color w:val="auto"/>
                <w:kern w:val="0"/>
                <w:sz w:val="21"/>
                <w:szCs w:val="21"/>
              </w:rPr>
            </w:pPr>
            <w:r>
              <w:rPr>
                <w:rFonts w:hint="eastAsia"/>
                <w:color w:val="auto"/>
                <w:sz w:val="21"/>
                <w:szCs w:val="21"/>
              </w:rPr>
              <w:t>0.19</w:t>
            </w:r>
          </w:p>
        </w:tc>
      </w:tr>
      <w:tr w14:paraId="1B2E6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5F4DE64">
            <w:pPr>
              <w:widowControl/>
              <w:spacing w:line="240" w:lineRule="auto"/>
              <w:ind w:firstLine="0" w:firstLineChars="0"/>
              <w:jc w:val="center"/>
              <w:rPr>
                <w:color w:val="auto"/>
                <w:kern w:val="0"/>
                <w:sz w:val="21"/>
                <w:szCs w:val="21"/>
              </w:rPr>
            </w:pPr>
            <w:r>
              <w:rPr>
                <w:color w:val="auto"/>
                <w:kern w:val="0"/>
                <w:sz w:val="21"/>
                <w:szCs w:val="21"/>
              </w:rPr>
              <w:t>1725</w:t>
            </w:r>
          </w:p>
        </w:tc>
        <w:tc>
          <w:tcPr>
            <w:tcW w:w="673" w:type="pct"/>
            <w:shd w:val="clear" w:color="auto" w:fill="auto"/>
          </w:tcPr>
          <w:p w14:paraId="1E044732">
            <w:pPr>
              <w:widowControl/>
              <w:spacing w:line="240" w:lineRule="auto"/>
              <w:ind w:firstLine="420"/>
              <w:jc w:val="center"/>
              <w:rPr>
                <w:color w:val="auto"/>
                <w:kern w:val="0"/>
                <w:sz w:val="21"/>
                <w:szCs w:val="21"/>
              </w:rPr>
            </w:pPr>
            <w:r>
              <w:rPr>
                <w:rFonts w:hint="eastAsia"/>
                <w:color w:val="auto"/>
                <w:sz w:val="21"/>
                <w:szCs w:val="21"/>
              </w:rPr>
              <w:t>8.60E-04</w:t>
            </w:r>
          </w:p>
        </w:tc>
        <w:tc>
          <w:tcPr>
            <w:tcW w:w="578" w:type="pct"/>
            <w:shd w:val="clear" w:color="auto" w:fill="auto"/>
          </w:tcPr>
          <w:p w14:paraId="252C0ABA">
            <w:pPr>
              <w:widowControl/>
              <w:spacing w:line="240" w:lineRule="auto"/>
              <w:ind w:firstLine="420"/>
              <w:jc w:val="center"/>
              <w:rPr>
                <w:color w:val="auto"/>
                <w:kern w:val="0"/>
                <w:sz w:val="21"/>
                <w:szCs w:val="21"/>
              </w:rPr>
            </w:pPr>
            <w:r>
              <w:rPr>
                <w:rFonts w:hint="eastAsia"/>
                <w:color w:val="auto"/>
                <w:sz w:val="21"/>
                <w:szCs w:val="21"/>
              </w:rPr>
              <w:t>0.10</w:t>
            </w:r>
          </w:p>
        </w:tc>
        <w:tc>
          <w:tcPr>
            <w:tcW w:w="927" w:type="pct"/>
            <w:shd w:val="clear" w:color="auto" w:fill="auto"/>
          </w:tcPr>
          <w:p w14:paraId="25A458F0">
            <w:pPr>
              <w:widowControl/>
              <w:spacing w:line="240" w:lineRule="auto"/>
              <w:ind w:firstLine="420"/>
              <w:jc w:val="center"/>
              <w:rPr>
                <w:color w:val="auto"/>
                <w:kern w:val="0"/>
                <w:sz w:val="21"/>
                <w:szCs w:val="21"/>
              </w:rPr>
            </w:pPr>
            <w:r>
              <w:rPr>
                <w:rFonts w:hint="eastAsia"/>
                <w:color w:val="auto"/>
                <w:sz w:val="21"/>
                <w:szCs w:val="21"/>
              </w:rPr>
              <w:t>1.36E-03</w:t>
            </w:r>
          </w:p>
        </w:tc>
        <w:tc>
          <w:tcPr>
            <w:tcW w:w="922" w:type="pct"/>
            <w:shd w:val="clear" w:color="auto" w:fill="auto"/>
          </w:tcPr>
          <w:p w14:paraId="2CF4C116">
            <w:pPr>
              <w:widowControl/>
              <w:spacing w:line="240" w:lineRule="auto"/>
              <w:ind w:firstLine="420"/>
              <w:jc w:val="center"/>
              <w:rPr>
                <w:color w:val="auto"/>
                <w:kern w:val="0"/>
                <w:sz w:val="21"/>
                <w:szCs w:val="21"/>
              </w:rPr>
            </w:pPr>
            <w:r>
              <w:rPr>
                <w:rFonts w:hint="eastAsia"/>
                <w:color w:val="auto"/>
                <w:sz w:val="21"/>
                <w:szCs w:val="21"/>
              </w:rPr>
              <w:t>0.45</w:t>
            </w:r>
          </w:p>
        </w:tc>
        <w:tc>
          <w:tcPr>
            <w:tcW w:w="907" w:type="pct"/>
            <w:shd w:val="clear" w:color="auto" w:fill="auto"/>
          </w:tcPr>
          <w:p w14:paraId="44A030EC">
            <w:pPr>
              <w:widowControl/>
              <w:spacing w:line="240" w:lineRule="auto"/>
              <w:ind w:firstLine="420"/>
              <w:jc w:val="center"/>
              <w:rPr>
                <w:color w:val="auto"/>
                <w:kern w:val="0"/>
                <w:sz w:val="21"/>
                <w:szCs w:val="21"/>
              </w:rPr>
            </w:pPr>
            <w:r>
              <w:rPr>
                <w:rFonts w:hint="eastAsia"/>
                <w:color w:val="auto"/>
                <w:sz w:val="21"/>
                <w:szCs w:val="21"/>
              </w:rPr>
              <w:t>3.66E-04</w:t>
            </w:r>
          </w:p>
        </w:tc>
        <w:tc>
          <w:tcPr>
            <w:tcW w:w="632" w:type="pct"/>
            <w:shd w:val="clear" w:color="auto" w:fill="auto"/>
          </w:tcPr>
          <w:p w14:paraId="5081B5F5">
            <w:pPr>
              <w:widowControl/>
              <w:spacing w:line="240" w:lineRule="auto"/>
              <w:ind w:firstLine="420"/>
              <w:jc w:val="center"/>
              <w:rPr>
                <w:color w:val="auto"/>
                <w:kern w:val="0"/>
                <w:sz w:val="21"/>
                <w:szCs w:val="21"/>
              </w:rPr>
            </w:pPr>
            <w:r>
              <w:rPr>
                <w:rFonts w:hint="eastAsia"/>
                <w:color w:val="auto"/>
                <w:sz w:val="21"/>
                <w:szCs w:val="21"/>
              </w:rPr>
              <w:t>0.18</w:t>
            </w:r>
          </w:p>
        </w:tc>
      </w:tr>
      <w:tr w14:paraId="198DD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ED5114C">
            <w:pPr>
              <w:widowControl/>
              <w:spacing w:line="240" w:lineRule="auto"/>
              <w:ind w:firstLine="0" w:firstLineChars="0"/>
              <w:jc w:val="center"/>
              <w:rPr>
                <w:color w:val="auto"/>
                <w:kern w:val="0"/>
                <w:sz w:val="21"/>
                <w:szCs w:val="21"/>
              </w:rPr>
            </w:pPr>
            <w:r>
              <w:rPr>
                <w:color w:val="auto"/>
                <w:kern w:val="0"/>
                <w:sz w:val="21"/>
                <w:szCs w:val="21"/>
              </w:rPr>
              <w:t>1750</w:t>
            </w:r>
          </w:p>
        </w:tc>
        <w:tc>
          <w:tcPr>
            <w:tcW w:w="673" w:type="pct"/>
            <w:shd w:val="clear" w:color="auto" w:fill="auto"/>
          </w:tcPr>
          <w:p w14:paraId="2F058067">
            <w:pPr>
              <w:widowControl/>
              <w:spacing w:line="240" w:lineRule="auto"/>
              <w:ind w:firstLine="420"/>
              <w:jc w:val="center"/>
              <w:rPr>
                <w:color w:val="auto"/>
                <w:kern w:val="0"/>
                <w:sz w:val="21"/>
                <w:szCs w:val="21"/>
              </w:rPr>
            </w:pPr>
            <w:r>
              <w:rPr>
                <w:rFonts w:hint="eastAsia"/>
                <w:color w:val="auto"/>
                <w:sz w:val="21"/>
                <w:szCs w:val="21"/>
              </w:rPr>
              <w:t>8.44E-04</w:t>
            </w:r>
          </w:p>
        </w:tc>
        <w:tc>
          <w:tcPr>
            <w:tcW w:w="578" w:type="pct"/>
            <w:shd w:val="clear" w:color="auto" w:fill="auto"/>
          </w:tcPr>
          <w:p w14:paraId="011BC990">
            <w:pPr>
              <w:widowControl/>
              <w:spacing w:line="240" w:lineRule="auto"/>
              <w:ind w:firstLine="420"/>
              <w:jc w:val="center"/>
              <w:rPr>
                <w:color w:val="auto"/>
                <w:kern w:val="0"/>
                <w:sz w:val="21"/>
                <w:szCs w:val="21"/>
              </w:rPr>
            </w:pPr>
            <w:r>
              <w:rPr>
                <w:rFonts w:hint="eastAsia"/>
                <w:color w:val="auto"/>
                <w:sz w:val="21"/>
                <w:szCs w:val="21"/>
              </w:rPr>
              <w:t>0.09</w:t>
            </w:r>
          </w:p>
        </w:tc>
        <w:tc>
          <w:tcPr>
            <w:tcW w:w="927" w:type="pct"/>
            <w:shd w:val="clear" w:color="auto" w:fill="auto"/>
          </w:tcPr>
          <w:p w14:paraId="22103A22">
            <w:pPr>
              <w:widowControl/>
              <w:spacing w:line="240" w:lineRule="auto"/>
              <w:ind w:firstLine="420"/>
              <w:jc w:val="center"/>
              <w:rPr>
                <w:color w:val="auto"/>
                <w:kern w:val="0"/>
                <w:sz w:val="21"/>
                <w:szCs w:val="21"/>
              </w:rPr>
            </w:pPr>
            <w:r>
              <w:rPr>
                <w:rFonts w:hint="eastAsia"/>
                <w:color w:val="auto"/>
                <w:sz w:val="21"/>
                <w:szCs w:val="21"/>
              </w:rPr>
              <w:t>1.33E-03</w:t>
            </w:r>
          </w:p>
        </w:tc>
        <w:tc>
          <w:tcPr>
            <w:tcW w:w="922" w:type="pct"/>
            <w:shd w:val="clear" w:color="auto" w:fill="auto"/>
          </w:tcPr>
          <w:p w14:paraId="6392F342">
            <w:pPr>
              <w:widowControl/>
              <w:spacing w:line="240" w:lineRule="auto"/>
              <w:ind w:firstLine="420"/>
              <w:jc w:val="center"/>
              <w:rPr>
                <w:color w:val="auto"/>
                <w:kern w:val="0"/>
                <w:sz w:val="21"/>
                <w:szCs w:val="21"/>
              </w:rPr>
            </w:pPr>
            <w:r>
              <w:rPr>
                <w:rFonts w:hint="eastAsia"/>
                <w:color w:val="auto"/>
                <w:sz w:val="21"/>
                <w:szCs w:val="21"/>
              </w:rPr>
              <w:t>0.44</w:t>
            </w:r>
          </w:p>
        </w:tc>
        <w:tc>
          <w:tcPr>
            <w:tcW w:w="907" w:type="pct"/>
            <w:shd w:val="clear" w:color="auto" w:fill="auto"/>
          </w:tcPr>
          <w:p w14:paraId="178B0634">
            <w:pPr>
              <w:widowControl/>
              <w:spacing w:line="240" w:lineRule="auto"/>
              <w:ind w:firstLine="420"/>
              <w:jc w:val="center"/>
              <w:rPr>
                <w:color w:val="auto"/>
                <w:kern w:val="0"/>
                <w:sz w:val="21"/>
                <w:szCs w:val="21"/>
              </w:rPr>
            </w:pPr>
            <w:r>
              <w:rPr>
                <w:rFonts w:hint="eastAsia"/>
                <w:color w:val="auto"/>
                <w:sz w:val="21"/>
                <w:szCs w:val="21"/>
              </w:rPr>
              <w:t>3.59E-04</w:t>
            </w:r>
          </w:p>
        </w:tc>
        <w:tc>
          <w:tcPr>
            <w:tcW w:w="632" w:type="pct"/>
            <w:shd w:val="clear" w:color="auto" w:fill="auto"/>
          </w:tcPr>
          <w:p w14:paraId="4B79C52B">
            <w:pPr>
              <w:widowControl/>
              <w:spacing w:line="240" w:lineRule="auto"/>
              <w:ind w:firstLine="420"/>
              <w:jc w:val="center"/>
              <w:rPr>
                <w:color w:val="auto"/>
                <w:kern w:val="0"/>
                <w:sz w:val="21"/>
                <w:szCs w:val="21"/>
              </w:rPr>
            </w:pPr>
            <w:r>
              <w:rPr>
                <w:rFonts w:hint="eastAsia"/>
                <w:color w:val="auto"/>
                <w:sz w:val="21"/>
                <w:szCs w:val="21"/>
              </w:rPr>
              <w:t>0.18</w:t>
            </w:r>
          </w:p>
        </w:tc>
      </w:tr>
      <w:tr w14:paraId="0900F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1CB327C">
            <w:pPr>
              <w:widowControl/>
              <w:spacing w:line="240" w:lineRule="auto"/>
              <w:ind w:firstLine="0" w:firstLineChars="0"/>
              <w:jc w:val="center"/>
              <w:rPr>
                <w:color w:val="auto"/>
                <w:kern w:val="0"/>
                <w:sz w:val="21"/>
                <w:szCs w:val="21"/>
              </w:rPr>
            </w:pPr>
            <w:r>
              <w:rPr>
                <w:color w:val="auto"/>
                <w:kern w:val="0"/>
                <w:sz w:val="21"/>
                <w:szCs w:val="21"/>
              </w:rPr>
              <w:t>1775</w:t>
            </w:r>
          </w:p>
        </w:tc>
        <w:tc>
          <w:tcPr>
            <w:tcW w:w="673" w:type="pct"/>
            <w:shd w:val="clear" w:color="auto" w:fill="auto"/>
          </w:tcPr>
          <w:p w14:paraId="1B5CBC8E">
            <w:pPr>
              <w:widowControl/>
              <w:spacing w:line="240" w:lineRule="auto"/>
              <w:ind w:firstLine="420"/>
              <w:jc w:val="center"/>
              <w:rPr>
                <w:color w:val="auto"/>
                <w:kern w:val="0"/>
                <w:sz w:val="21"/>
                <w:szCs w:val="21"/>
              </w:rPr>
            </w:pPr>
            <w:r>
              <w:rPr>
                <w:rFonts w:hint="eastAsia"/>
                <w:color w:val="auto"/>
                <w:sz w:val="21"/>
                <w:szCs w:val="21"/>
              </w:rPr>
              <w:t>8.29E-04</w:t>
            </w:r>
          </w:p>
        </w:tc>
        <w:tc>
          <w:tcPr>
            <w:tcW w:w="578" w:type="pct"/>
            <w:shd w:val="clear" w:color="auto" w:fill="auto"/>
          </w:tcPr>
          <w:p w14:paraId="4FBA50A7">
            <w:pPr>
              <w:widowControl/>
              <w:spacing w:line="240" w:lineRule="auto"/>
              <w:ind w:firstLine="420"/>
              <w:jc w:val="center"/>
              <w:rPr>
                <w:color w:val="auto"/>
                <w:kern w:val="0"/>
                <w:sz w:val="21"/>
                <w:szCs w:val="21"/>
              </w:rPr>
            </w:pPr>
            <w:r>
              <w:rPr>
                <w:rFonts w:hint="eastAsia"/>
                <w:color w:val="auto"/>
                <w:sz w:val="21"/>
                <w:szCs w:val="21"/>
              </w:rPr>
              <w:t>0.09</w:t>
            </w:r>
          </w:p>
        </w:tc>
        <w:tc>
          <w:tcPr>
            <w:tcW w:w="927" w:type="pct"/>
            <w:shd w:val="clear" w:color="auto" w:fill="auto"/>
          </w:tcPr>
          <w:p w14:paraId="39B4F1EE">
            <w:pPr>
              <w:widowControl/>
              <w:spacing w:line="240" w:lineRule="auto"/>
              <w:ind w:firstLine="420"/>
              <w:jc w:val="center"/>
              <w:rPr>
                <w:color w:val="auto"/>
                <w:kern w:val="0"/>
                <w:sz w:val="21"/>
                <w:szCs w:val="21"/>
              </w:rPr>
            </w:pPr>
            <w:r>
              <w:rPr>
                <w:rFonts w:hint="eastAsia"/>
                <w:color w:val="auto"/>
                <w:sz w:val="21"/>
                <w:szCs w:val="21"/>
              </w:rPr>
              <w:t>1.31E-03</w:t>
            </w:r>
          </w:p>
        </w:tc>
        <w:tc>
          <w:tcPr>
            <w:tcW w:w="922" w:type="pct"/>
            <w:shd w:val="clear" w:color="auto" w:fill="auto"/>
          </w:tcPr>
          <w:p w14:paraId="6DB21A70">
            <w:pPr>
              <w:widowControl/>
              <w:spacing w:line="240" w:lineRule="auto"/>
              <w:ind w:firstLine="420"/>
              <w:jc w:val="center"/>
              <w:rPr>
                <w:color w:val="auto"/>
                <w:kern w:val="0"/>
                <w:sz w:val="21"/>
                <w:szCs w:val="21"/>
              </w:rPr>
            </w:pPr>
            <w:r>
              <w:rPr>
                <w:rFonts w:hint="eastAsia"/>
                <w:color w:val="auto"/>
                <w:sz w:val="21"/>
                <w:szCs w:val="21"/>
              </w:rPr>
              <w:t>0.44</w:t>
            </w:r>
          </w:p>
        </w:tc>
        <w:tc>
          <w:tcPr>
            <w:tcW w:w="907" w:type="pct"/>
            <w:shd w:val="clear" w:color="auto" w:fill="auto"/>
          </w:tcPr>
          <w:p w14:paraId="64AD38DD">
            <w:pPr>
              <w:widowControl/>
              <w:spacing w:line="240" w:lineRule="auto"/>
              <w:ind w:firstLine="420"/>
              <w:jc w:val="center"/>
              <w:rPr>
                <w:color w:val="auto"/>
                <w:kern w:val="0"/>
                <w:sz w:val="21"/>
                <w:szCs w:val="21"/>
              </w:rPr>
            </w:pPr>
            <w:r>
              <w:rPr>
                <w:rFonts w:hint="eastAsia"/>
                <w:color w:val="auto"/>
                <w:sz w:val="21"/>
                <w:szCs w:val="21"/>
              </w:rPr>
              <w:t>3.52E-04</w:t>
            </w:r>
          </w:p>
        </w:tc>
        <w:tc>
          <w:tcPr>
            <w:tcW w:w="632" w:type="pct"/>
            <w:shd w:val="clear" w:color="auto" w:fill="auto"/>
          </w:tcPr>
          <w:p w14:paraId="646B71FD">
            <w:pPr>
              <w:widowControl/>
              <w:spacing w:line="240" w:lineRule="auto"/>
              <w:ind w:firstLine="420"/>
              <w:jc w:val="center"/>
              <w:rPr>
                <w:color w:val="auto"/>
                <w:kern w:val="0"/>
                <w:sz w:val="21"/>
                <w:szCs w:val="21"/>
              </w:rPr>
            </w:pPr>
            <w:r>
              <w:rPr>
                <w:rFonts w:hint="eastAsia"/>
                <w:color w:val="auto"/>
                <w:sz w:val="21"/>
                <w:szCs w:val="21"/>
              </w:rPr>
              <w:t>0.18</w:t>
            </w:r>
          </w:p>
        </w:tc>
      </w:tr>
      <w:tr w14:paraId="6E2D5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4710C95">
            <w:pPr>
              <w:widowControl/>
              <w:spacing w:line="240" w:lineRule="auto"/>
              <w:ind w:firstLine="0" w:firstLineChars="0"/>
              <w:jc w:val="center"/>
              <w:rPr>
                <w:color w:val="auto"/>
                <w:kern w:val="0"/>
                <w:sz w:val="21"/>
                <w:szCs w:val="21"/>
              </w:rPr>
            </w:pPr>
            <w:r>
              <w:rPr>
                <w:color w:val="auto"/>
                <w:kern w:val="0"/>
                <w:sz w:val="21"/>
                <w:szCs w:val="21"/>
              </w:rPr>
              <w:t>1800</w:t>
            </w:r>
          </w:p>
        </w:tc>
        <w:tc>
          <w:tcPr>
            <w:tcW w:w="673" w:type="pct"/>
            <w:shd w:val="clear" w:color="auto" w:fill="auto"/>
          </w:tcPr>
          <w:p w14:paraId="7FFC67DF">
            <w:pPr>
              <w:widowControl/>
              <w:spacing w:line="240" w:lineRule="auto"/>
              <w:ind w:firstLine="420"/>
              <w:jc w:val="center"/>
              <w:rPr>
                <w:color w:val="auto"/>
                <w:kern w:val="0"/>
                <w:sz w:val="21"/>
                <w:szCs w:val="21"/>
              </w:rPr>
            </w:pPr>
            <w:r>
              <w:rPr>
                <w:rFonts w:hint="eastAsia"/>
                <w:color w:val="auto"/>
                <w:sz w:val="21"/>
                <w:szCs w:val="21"/>
              </w:rPr>
              <w:t>8.14E-04</w:t>
            </w:r>
          </w:p>
        </w:tc>
        <w:tc>
          <w:tcPr>
            <w:tcW w:w="578" w:type="pct"/>
            <w:shd w:val="clear" w:color="auto" w:fill="auto"/>
          </w:tcPr>
          <w:p w14:paraId="1129DB9D">
            <w:pPr>
              <w:widowControl/>
              <w:spacing w:line="240" w:lineRule="auto"/>
              <w:ind w:firstLine="420"/>
              <w:jc w:val="center"/>
              <w:rPr>
                <w:color w:val="auto"/>
                <w:kern w:val="0"/>
                <w:sz w:val="21"/>
                <w:szCs w:val="21"/>
              </w:rPr>
            </w:pPr>
            <w:r>
              <w:rPr>
                <w:rFonts w:hint="eastAsia"/>
                <w:color w:val="auto"/>
                <w:sz w:val="21"/>
                <w:szCs w:val="21"/>
              </w:rPr>
              <w:t>0.09</w:t>
            </w:r>
          </w:p>
        </w:tc>
        <w:tc>
          <w:tcPr>
            <w:tcW w:w="927" w:type="pct"/>
            <w:shd w:val="clear" w:color="auto" w:fill="auto"/>
          </w:tcPr>
          <w:p w14:paraId="0DDAC46B">
            <w:pPr>
              <w:widowControl/>
              <w:spacing w:line="240" w:lineRule="auto"/>
              <w:ind w:firstLine="420"/>
              <w:jc w:val="center"/>
              <w:rPr>
                <w:color w:val="auto"/>
                <w:kern w:val="0"/>
                <w:sz w:val="21"/>
                <w:szCs w:val="21"/>
              </w:rPr>
            </w:pPr>
            <w:r>
              <w:rPr>
                <w:rFonts w:hint="eastAsia"/>
                <w:color w:val="auto"/>
                <w:sz w:val="21"/>
                <w:szCs w:val="21"/>
              </w:rPr>
              <w:t>1.29E-03</w:t>
            </w:r>
          </w:p>
        </w:tc>
        <w:tc>
          <w:tcPr>
            <w:tcW w:w="922" w:type="pct"/>
            <w:shd w:val="clear" w:color="auto" w:fill="auto"/>
          </w:tcPr>
          <w:p w14:paraId="1CAE010F">
            <w:pPr>
              <w:widowControl/>
              <w:spacing w:line="240" w:lineRule="auto"/>
              <w:ind w:firstLine="420"/>
              <w:jc w:val="center"/>
              <w:rPr>
                <w:color w:val="auto"/>
                <w:kern w:val="0"/>
                <w:sz w:val="21"/>
                <w:szCs w:val="21"/>
              </w:rPr>
            </w:pPr>
            <w:r>
              <w:rPr>
                <w:rFonts w:hint="eastAsia"/>
                <w:color w:val="auto"/>
                <w:sz w:val="21"/>
                <w:szCs w:val="21"/>
              </w:rPr>
              <w:t>0.43</w:t>
            </w:r>
          </w:p>
        </w:tc>
        <w:tc>
          <w:tcPr>
            <w:tcW w:w="907" w:type="pct"/>
            <w:shd w:val="clear" w:color="auto" w:fill="auto"/>
          </w:tcPr>
          <w:p w14:paraId="5A6B5B2A">
            <w:pPr>
              <w:widowControl/>
              <w:spacing w:line="240" w:lineRule="auto"/>
              <w:ind w:firstLine="420"/>
              <w:jc w:val="center"/>
              <w:rPr>
                <w:color w:val="auto"/>
                <w:kern w:val="0"/>
                <w:sz w:val="21"/>
                <w:szCs w:val="21"/>
              </w:rPr>
            </w:pPr>
            <w:r>
              <w:rPr>
                <w:rFonts w:hint="eastAsia"/>
                <w:color w:val="auto"/>
                <w:sz w:val="21"/>
                <w:szCs w:val="21"/>
              </w:rPr>
              <w:t>3.46E-04</w:t>
            </w:r>
          </w:p>
        </w:tc>
        <w:tc>
          <w:tcPr>
            <w:tcW w:w="632" w:type="pct"/>
            <w:shd w:val="clear" w:color="auto" w:fill="auto"/>
          </w:tcPr>
          <w:p w14:paraId="6395355E">
            <w:pPr>
              <w:widowControl/>
              <w:spacing w:line="240" w:lineRule="auto"/>
              <w:ind w:firstLine="420"/>
              <w:jc w:val="center"/>
              <w:rPr>
                <w:color w:val="auto"/>
                <w:kern w:val="0"/>
                <w:sz w:val="21"/>
                <w:szCs w:val="21"/>
              </w:rPr>
            </w:pPr>
            <w:r>
              <w:rPr>
                <w:rFonts w:hint="eastAsia"/>
                <w:color w:val="auto"/>
                <w:sz w:val="21"/>
                <w:szCs w:val="21"/>
              </w:rPr>
              <w:t>0.17</w:t>
            </w:r>
          </w:p>
        </w:tc>
      </w:tr>
      <w:tr w14:paraId="1D7CB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BC4F1A5">
            <w:pPr>
              <w:widowControl/>
              <w:spacing w:line="240" w:lineRule="auto"/>
              <w:ind w:firstLine="0" w:firstLineChars="0"/>
              <w:jc w:val="center"/>
              <w:rPr>
                <w:color w:val="auto"/>
                <w:kern w:val="0"/>
                <w:sz w:val="21"/>
                <w:szCs w:val="21"/>
              </w:rPr>
            </w:pPr>
            <w:r>
              <w:rPr>
                <w:color w:val="auto"/>
                <w:kern w:val="0"/>
                <w:sz w:val="21"/>
                <w:szCs w:val="21"/>
              </w:rPr>
              <w:t>1825</w:t>
            </w:r>
          </w:p>
        </w:tc>
        <w:tc>
          <w:tcPr>
            <w:tcW w:w="673" w:type="pct"/>
            <w:shd w:val="clear" w:color="auto" w:fill="auto"/>
          </w:tcPr>
          <w:p w14:paraId="2D771BB0">
            <w:pPr>
              <w:widowControl/>
              <w:spacing w:line="240" w:lineRule="auto"/>
              <w:ind w:firstLine="420"/>
              <w:jc w:val="center"/>
              <w:rPr>
                <w:color w:val="auto"/>
                <w:kern w:val="0"/>
                <w:sz w:val="21"/>
                <w:szCs w:val="21"/>
              </w:rPr>
            </w:pPr>
            <w:r>
              <w:rPr>
                <w:rFonts w:hint="eastAsia"/>
                <w:color w:val="auto"/>
                <w:sz w:val="21"/>
                <w:szCs w:val="21"/>
              </w:rPr>
              <w:t>8.00E-04</w:t>
            </w:r>
          </w:p>
        </w:tc>
        <w:tc>
          <w:tcPr>
            <w:tcW w:w="578" w:type="pct"/>
            <w:shd w:val="clear" w:color="auto" w:fill="auto"/>
          </w:tcPr>
          <w:p w14:paraId="4D6DF31F">
            <w:pPr>
              <w:widowControl/>
              <w:spacing w:line="240" w:lineRule="auto"/>
              <w:ind w:firstLine="420"/>
              <w:jc w:val="center"/>
              <w:rPr>
                <w:color w:val="auto"/>
                <w:kern w:val="0"/>
                <w:sz w:val="21"/>
                <w:szCs w:val="21"/>
              </w:rPr>
            </w:pPr>
            <w:r>
              <w:rPr>
                <w:rFonts w:hint="eastAsia"/>
                <w:color w:val="auto"/>
                <w:sz w:val="21"/>
                <w:szCs w:val="21"/>
              </w:rPr>
              <w:t>0.09</w:t>
            </w:r>
          </w:p>
        </w:tc>
        <w:tc>
          <w:tcPr>
            <w:tcW w:w="927" w:type="pct"/>
            <w:shd w:val="clear" w:color="auto" w:fill="auto"/>
          </w:tcPr>
          <w:p w14:paraId="0E14D158">
            <w:pPr>
              <w:widowControl/>
              <w:spacing w:line="240" w:lineRule="auto"/>
              <w:ind w:firstLine="420"/>
              <w:jc w:val="center"/>
              <w:rPr>
                <w:color w:val="auto"/>
                <w:kern w:val="0"/>
                <w:sz w:val="21"/>
                <w:szCs w:val="21"/>
              </w:rPr>
            </w:pPr>
            <w:r>
              <w:rPr>
                <w:rFonts w:hint="eastAsia"/>
                <w:color w:val="auto"/>
                <w:sz w:val="21"/>
                <w:szCs w:val="21"/>
              </w:rPr>
              <w:t>1.26E-03</w:t>
            </w:r>
          </w:p>
        </w:tc>
        <w:tc>
          <w:tcPr>
            <w:tcW w:w="922" w:type="pct"/>
            <w:shd w:val="clear" w:color="auto" w:fill="auto"/>
          </w:tcPr>
          <w:p w14:paraId="4FAFD1B8">
            <w:pPr>
              <w:widowControl/>
              <w:spacing w:line="240" w:lineRule="auto"/>
              <w:ind w:firstLine="420"/>
              <w:jc w:val="center"/>
              <w:rPr>
                <w:color w:val="auto"/>
                <w:kern w:val="0"/>
                <w:sz w:val="21"/>
                <w:szCs w:val="21"/>
              </w:rPr>
            </w:pPr>
            <w:r>
              <w:rPr>
                <w:rFonts w:hint="eastAsia"/>
                <w:color w:val="auto"/>
                <w:sz w:val="21"/>
                <w:szCs w:val="21"/>
              </w:rPr>
              <w:t>0.42</w:t>
            </w:r>
          </w:p>
        </w:tc>
        <w:tc>
          <w:tcPr>
            <w:tcW w:w="907" w:type="pct"/>
            <w:shd w:val="clear" w:color="auto" w:fill="auto"/>
          </w:tcPr>
          <w:p w14:paraId="270D54E4">
            <w:pPr>
              <w:widowControl/>
              <w:spacing w:line="240" w:lineRule="auto"/>
              <w:ind w:firstLine="420"/>
              <w:jc w:val="center"/>
              <w:rPr>
                <w:color w:val="auto"/>
                <w:kern w:val="0"/>
                <w:sz w:val="21"/>
                <w:szCs w:val="21"/>
              </w:rPr>
            </w:pPr>
            <w:r>
              <w:rPr>
                <w:rFonts w:hint="eastAsia"/>
                <w:color w:val="auto"/>
                <w:sz w:val="21"/>
                <w:szCs w:val="21"/>
              </w:rPr>
              <w:t>3.40E-04</w:t>
            </w:r>
          </w:p>
        </w:tc>
        <w:tc>
          <w:tcPr>
            <w:tcW w:w="632" w:type="pct"/>
            <w:shd w:val="clear" w:color="auto" w:fill="auto"/>
          </w:tcPr>
          <w:p w14:paraId="457E6886">
            <w:pPr>
              <w:widowControl/>
              <w:spacing w:line="240" w:lineRule="auto"/>
              <w:ind w:firstLine="420"/>
              <w:jc w:val="center"/>
              <w:rPr>
                <w:color w:val="auto"/>
                <w:kern w:val="0"/>
                <w:sz w:val="21"/>
                <w:szCs w:val="21"/>
              </w:rPr>
            </w:pPr>
            <w:r>
              <w:rPr>
                <w:rFonts w:hint="eastAsia"/>
                <w:color w:val="auto"/>
                <w:sz w:val="21"/>
                <w:szCs w:val="21"/>
              </w:rPr>
              <w:t>0.17</w:t>
            </w:r>
          </w:p>
        </w:tc>
      </w:tr>
      <w:tr w14:paraId="194FF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3A9A70A">
            <w:pPr>
              <w:widowControl/>
              <w:spacing w:line="240" w:lineRule="auto"/>
              <w:ind w:firstLine="0" w:firstLineChars="0"/>
              <w:jc w:val="center"/>
              <w:rPr>
                <w:color w:val="auto"/>
                <w:kern w:val="0"/>
                <w:sz w:val="21"/>
                <w:szCs w:val="21"/>
              </w:rPr>
            </w:pPr>
            <w:r>
              <w:rPr>
                <w:color w:val="auto"/>
                <w:kern w:val="0"/>
                <w:sz w:val="21"/>
                <w:szCs w:val="21"/>
              </w:rPr>
              <w:t>1850</w:t>
            </w:r>
          </w:p>
        </w:tc>
        <w:tc>
          <w:tcPr>
            <w:tcW w:w="673" w:type="pct"/>
            <w:shd w:val="clear" w:color="auto" w:fill="auto"/>
          </w:tcPr>
          <w:p w14:paraId="2E7A17F4">
            <w:pPr>
              <w:widowControl/>
              <w:spacing w:line="240" w:lineRule="auto"/>
              <w:ind w:firstLine="420"/>
              <w:jc w:val="center"/>
              <w:rPr>
                <w:color w:val="auto"/>
                <w:kern w:val="0"/>
                <w:sz w:val="21"/>
                <w:szCs w:val="21"/>
              </w:rPr>
            </w:pPr>
            <w:r>
              <w:rPr>
                <w:rFonts w:hint="eastAsia"/>
                <w:color w:val="auto"/>
                <w:sz w:val="21"/>
                <w:szCs w:val="21"/>
              </w:rPr>
              <w:t>7.86E-04</w:t>
            </w:r>
          </w:p>
        </w:tc>
        <w:tc>
          <w:tcPr>
            <w:tcW w:w="578" w:type="pct"/>
            <w:shd w:val="clear" w:color="auto" w:fill="auto"/>
          </w:tcPr>
          <w:p w14:paraId="1CF5C602">
            <w:pPr>
              <w:widowControl/>
              <w:spacing w:line="240" w:lineRule="auto"/>
              <w:ind w:firstLine="420"/>
              <w:jc w:val="center"/>
              <w:rPr>
                <w:color w:val="auto"/>
                <w:kern w:val="0"/>
                <w:sz w:val="21"/>
                <w:szCs w:val="21"/>
              </w:rPr>
            </w:pPr>
            <w:r>
              <w:rPr>
                <w:rFonts w:hint="eastAsia"/>
                <w:color w:val="auto"/>
                <w:sz w:val="21"/>
                <w:szCs w:val="21"/>
              </w:rPr>
              <w:t>0.09</w:t>
            </w:r>
          </w:p>
        </w:tc>
        <w:tc>
          <w:tcPr>
            <w:tcW w:w="927" w:type="pct"/>
            <w:shd w:val="clear" w:color="auto" w:fill="auto"/>
          </w:tcPr>
          <w:p w14:paraId="1BB9F074">
            <w:pPr>
              <w:widowControl/>
              <w:spacing w:line="240" w:lineRule="auto"/>
              <w:ind w:firstLine="420"/>
              <w:jc w:val="center"/>
              <w:rPr>
                <w:color w:val="auto"/>
                <w:kern w:val="0"/>
                <w:sz w:val="21"/>
                <w:szCs w:val="21"/>
              </w:rPr>
            </w:pPr>
            <w:r>
              <w:rPr>
                <w:rFonts w:hint="eastAsia"/>
                <w:color w:val="auto"/>
                <w:sz w:val="21"/>
                <w:szCs w:val="21"/>
              </w:rPr>
              <w:t>1.24E-03</w:t>
            </w:r>
          </w:p>
        </w:tc>
        <w:tc>
          <w:tcPr>
            <w:tcW w:w="922" w:type="pct"/>
            <w:shd w:val="clear" w:color="auto" w:fill="auto"/>
          </w:tcPr>
          <w:p w14:paraId="474A4EAF">
            <w:pPr>
              <w:widowControl/>
              <w:spacing w:line="240" w:lineRule="auto"/>
              <w:ind w:firstLine="420"/>
              <w:jc w:val="center"/>
              <w:rPr>
                <w:color w:val="auto"/>
                <w:kern w:val="0"/>
                <w:sz w:val="21"/>
                <w:szCs w:val="21"/>
              </w:rPr>
            </w:pPr>
            <w:r>
              <w:rPr>
                <w:rFonts w:hint="eastAsia"/>
                <w:color w:val="auto"/>
                <w:sz w:val="21"/>
                <w:szCs w:val="21"/>
              </w:rPr>
              <w:t>0.41</w:t>
            </w:r>
          </w:p>
        </w:tc>
        <w:tc>
          <w:tcPr>
            <w:tcW w:w="907" w:type="pct"/>
            <w:shd w:val="clear" w:color="auto" w:fill="auto"/>
          </w:tcPr>
          <w:p w14:paraId="08B9606D">
            <w:pPr>
              <w:widowControl/>
              <w:spacing w:line="240" w:lineRule="auto"/>
              <w:ind w:firstLine="420"/>
              <w:jc w:val="center"/>
              <w:rPr>
                <w:color w:val="auto"/>
                <w:kern w:val="0"/>
                <w:sz w:val="21"/>
                <w:szCs w:val="21"/>
              </w:rPr>
            </w:pPr>
            <w:r>
              <w:rPr>
                <w:rFonts w:hint="eastAsia"/>
                <w:color w:val="auto"/>
                <w:sz w:val="21"/>
                <w:szCs w:val="21"/>
              </w:rPr>
              <w:t>3.34E-04</w:t>
            </w:r>
          </w:p>
        </w:tc>
        <w:tc>
          <w:tcPr>
            <w:tcW w:w="632" w:type="pct"/>
            <w:shd w:val="clear" w:color="auto" w:fill="auto"/>
          </w:tcPr>
          <w:p w14:paraId="4AB4E8B3">
            <w:pPr>
              <w:widowControl/>
              <w:spacing w:line="240" w:lineRule="auto"/>
              <w:ind w:firstLine="420"/>
              <w:jc w:val="center"/>
              <w:rPr>
                <w:color w:val="auto"/>
                <w:kern w:val="0"/>
                <w:sz w:val="21"/>
                <w:szCs w:val="21"/>
              </w:rPr>
            </w:pPr>
            <w:r>
              <w:rPr>
                <w:rFonts w:hint="eastAsia"/>
                <w:color w:val="auto"/>
                <w:sz w:val="21"/>
                <w:szCs w:val="21"/>
              </w:rPr>
              <w:t>0.17</w:t>
            </w:r>
          </w:p>
        </w:tc>
      </w:tr>
      <w:tr w14:paraId="6C9D6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ABF8257">
            <w:pPr>
              <w:widowControl/>
              <w:spacing w:line="240" w:lineRule="auto"/>
              <w:ind w:firstLine="0" w:firstLineChars="0"/>
              <w:jc w:val="center"/>
              <w:rPr>
                <w:color w:val="auto"/>
                <w:kern w:val="0"/>
                <w:sz w:val="21"/>
                <w:szCs w:val="21"/>
              </w:rPr>
            </w:pPr>
            <w:r>
              <w:rPr>
                <w:color w:val="auto"/>
                <w:kern w:val="0"/>
                <w:sz w:val="21"/>
                <w:szCs w:val="21"/>
              </w:rPr>
              <w:t>1875</w:t>
            </w:r>
          </w:p>
        </w:tc>
        <w:tc>
          <w:tcPr>
            <w:tcW w:w="673" w:type="pct"/>
            <w:shd w:val="clear" w:color="auto" w:fill="auto"/>
          </w:tcPr>
          <w:p w14:paraId="0FF80FF6">
            <w:pPr>
              <w:widowControl/>
              <w:spacing w:line="240" w:lineRule="auto"/>
              <w:ind w:firstLine="420"/>
              <w:jc w:val="center"/>
              <w:rPr>
                <w:color w:val="auto"/>
                <w:kern w:val="0"/>
                <w:sz w:val="21"/>
                <w:szCs w:val="21"/>
              </w:rPr>
            </w:pPr>
            <w:r>
              <w:rPr>
                <w:rFonts w:hint="eastAsia"/>
                <w:color w:val="auto"/>
                <w:sz w:val="21"/>
                <w:szCs w:val="21"/>
              </w:rPr>
              <w:t>7.72E-04</w:t>
            </w:r>
          </w:p>
        </w:tc>
        <w:tc>
          <w:tcPr>
            <w:tcW w:w="578" w:type="pct"/>
            <w:shd w:val="clear" w:color="auto" w:fill="auto"/>
          </w:tcPr>
          <w:p w14:paraId="3A89075D">
            <w:pPr>
              <w:widowControl/>
              <w:spacing w:line="240" w:lineRule="auto"/>
              <w:ind w:firstLine="420"/>
              <w:jc w:val="center"/>
              <w:rPr>
                <w:color w:val="auto"/>
                <w:kern w:val="0"/>
                <w:sz w:val="21"/>
                <w:szCs w:val="21"/>
              </w:rPr>
            </w:pPr>
            <w:r>
              <w:rPr>
                <w:rFonts w:hint="eastAsia"/>
                <w:color w:val="auto"/>
                <w:sz w:val="21"/>
                <w:szCs w:val="21"/>
              </w:rPr>
              <w:t>0.09</w:t>
            </w:r>
          </w:p>
        </w:tc>
        <w:tc>
          <w:tcPr>
            <w:tcW w:w="927" w:type="pct"/>
            <w:shd w:val="clear" w:color="auto" w:fill="auto"/>
          </w:tcPr>
          <w:p w14:paraId="35EC6110">
            <w:pPr>
              <w:widowControl/>
              <w:spacing w:line="240" w:lineRule="auto"/>
              <w:ind w:firstLine="420"/>
              <w:jc w:val="center"/>
              <w:rPr>
                <w:color w:val="auto"/>
                <w:kern w:val="0"/>
                <w:sz w:val="21"/>
                <w:szCs w:val="21"/>
              </w:rPr>
            </w:pPr>
            <w:r>
              <w:rPr>
                <w:rFonts w:hint="eastAsia"/>
                <w:color w:val="auto"/>
                <w:sz w:val="21"/>
                <w:szCs w:val="21"/>
              </w:rPr>
              <w:t>1.22E-03</w:t>
            </w:r>
          </w:p>
        </w:tc>
        <w:tc>
          <w:tcPr>
            <w:tcW w:w="922" w:type="pct"/>
            <w:shd w:val="clear" w:color="auto" w:fill="auto"/>
          </w:tcPr>
          <w:p w14:paraId="48547A54">
            <w:pPr>
              <w:widowControl/>
              <w:spacing w:line="240" w:lineRule="auto"/>
              <w:ind w:firstLine="420"/>
              <w:jc w:val="center"/>
              <w:rPr>
                <w:color w:val="auto"/>
                <w:kern w:val="0"/>
                <w:sz w:val="21"/>
                <w:szCs w:val="21"/>
              </w:rPr>
            </w:pPr>
            <w:r>
              <w:rPr>
                <w:rFonts w:hint="eastAsia"/>
                <w:color w:val="auto"/>
                <w:sz w:val="21"/>
                <w:szCs w:val="21"/>
              </w:rPr>
              <w:t>0.41</w:t>
            </w:r>
          </w:p>
        </w:tc>
        <w:tc>
          <w:tcPr>
            <w:tcW w:w="907" w:type="pct"/>
            <w:shd w:val="clear" w:color="auto" w:fill="auto"/>
          </w:tcPr>
          <w:p w14:paraId="6BE5C859">
            <w:pPr>
              <w:widowControl/>
              <w:spacing w:line="240" w:lineRule="auto"/>
              <w:ind w:firstLine="420"/>
              <w:jc w:val="center"/>
              <w:rPr>
                <w:color w:val="auto"/>
                <w:kern w:val="0"/>
                <w:sz w:val="21"/>
                <w:szCs w:val="21"/>
              </w:rPr>
            </w:pPr>
            <w:r>
              <w:rPr>
                <w:rFonts w:hint="eastAsia"/>
                <w:color w:val="auto"/>
                <w:sz w:val="21"/>
                <w:szCs w:val="21"/>
              </w:rPr>
              <w:t>3.28E-04</w:t>
            </w:r>
          </w:p>
        </w:tc>
        <w:tc>
          <w:tcPr>
            <w:tcW w:w="632" w:type="pct"/>
            <w:shd w:val="clear" w:color="auto" w:fill="auto"/>
          </w:tcPr>
          <w:p w14:paraId="6943E462">
            <w:pPr>
              <w:widowControl/>
              <w:spacing w:line="240" w:lineRule="auto"/>
              <w:ind w:firstLine="420"/>
              <w:jc w:val="center"/>
              <w:rPr>
                <w:color w:val="auto"/>
                <w:kern w:val="0"/>
                <w:sz w:val="21"/>
                <w:szCs w:val="21"/>
              </w:rPr>
            </w:pPr>
            <w:r>
              <w:rPr>
                <w:rFonts w:hint="eastAsia"/>
                <w:color w:val="auto"/>
                <w:sz w:val="21"/>
                <w:szCs w:val="21"/>
              </w:rPr>
              <w:t>0.16</w:t>
            </w:r>
          </w:p>
        </w:tc>
      </w:tr>
      <w:tr w14:paraId="57B9C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E60EF56">
            <w:pPr>
              <w:widowControl/>
              <w:spacing w:line="240" w:lineRule="auto"/>
              <w:ind w:firstLine="0" w:firstLineChars="0"/>
              <w:jc w:val="center"/>
              <w:rPr>
                <w:color w:val="auto"/>
                <w:kern w:val="0"/>
                <w:sz w:val="21"/>
                <w:szCs w:val="21"/>
              </w:rPr>
            </w:pPr>
            <w:r>
              <w:rPr>
                <w:color w:val="auto"/>
                <w:kern w:val="0"/>
                <w:sz w:val="21"/>
                <w:szCs w:val="21"/>
              </w:rPr>
              <w:t>1900</w:t>
            </w:r>
          </w:p>
        </w:tc>
        <w:tc>
          <w:tcPr>
            <w:tcW w:w="673" w:type="pct"/>
            <w:shd w:val="clear" w:color="auto" w:fill="auto"/>
          </w:tcPr>
          <w:p w14:paraId="17CAB972">
            <w:pPr>
              <w:widowControl/>
              <w:spacing w:line="240" w:lineRule="auto"/>
              <w:ind w:firstLine="420"/>
              <w:jc w:val="center"/>
              <w:rPr>
                <w:color w:val="auto"/>
                <w:kern w:val="0"/>
                <w:sz w:val="21"/>
                <w:szCs w:val="21"/>
              </w:rPr>
            </w:pPr>
            <w:r>
              <w:rPr>
                <w:rFonts w:hint="eastAsia"/>
                <w:color w:val="auto"/>
                <w:sz w:val="21"/>
                <w:szCs w:val="21"/>
              </w:rPr>
              <w:t>7.59E-04</w:t>
            </w:r>
          </w:p>
        </w:tc>
        <w:tc>
          <w:tcPr>
            <w:tcW w:w="578" w:type="pct"/>
            <w:shd w:val="clear" w:color="auto" w:fill="auto"/>
          </w:tcPr>
          <w:p w14:paraId="5738FFFD">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40C161E1">
            <w:pPr>
              <w:widowControl/>
              <w:spacing w:line="240" w:lineRule="auto"/>
              <w:ind w:firstLine="420"/>
              <w:jc w:val="center"/>
              <w:rPr>
                <w:color w:val="auto"/>
                <w:kern w:val="0"/>
                <w:sz w:val="21"/>
                <w:szCs w:val="21"/>
              </w:rPr>
            </w:pPr>
            <w:r>
              <w:rPr>
                <w:rFonts w:hint="eastAsia"/>
                <w:color w:val="auto"/>
                <w:sz w:val="21"/>
                <w:szCs w:val="21"/>
              </w:rPr>
              <w:t>1.20E-03</w:t>
            </w:r>
          </w:p>
        </w:tc>
        <w:tc>
          <w:tcPr>
            <w:tcW w:w="922" w:type="pct"/>
            <w:shd w:val="clear" w:color="auto" w:fill="auto"/>
          </w:tcPr>
          <w:p w14:paraId="55D4CDD4">
            <w:pPr>
              <w:widowControl/>
              <w:spacing w:line="240" w:lineRule="auto"/>
              <w:ind w:firstLine="420"/>
              <w:jc w:val="center"/>
              <w:rPr>
                <w:color w:val="auto"/>
                <w:kern w:val="0"/>
                <w:sz w:val="21"/>
                <w:szCs w:val="21"/>
              </w:rPr>
            </w:pPr>
            <w:r>
              <w:rPr>
                <w:rFonts w:hint="eastAsia"/>
                <w:color w:val="auto"/>
                <w:sz w:val="21"/>
                <w:szCs w:val="21"/>
              </w:rPr>
              <w:t>0.40</w:t>
            </w:r>
          </w:p>
        </w:tc>
        <w:tc>
          <w:tcPr>
            <w:tcW w:w="907" w:type="pct"/>
            <w:shd w:val="clear" w:color="auto" w:fill="auto"/>
          </w:tcPr>
          <w:p w14:paraId="5FE916BB">
            <w:pPr>
              <w:widowControl/>
              <w:spacing w:line="240" w:lineRule="auto"/>
              <w:ind w:firstLine="420"/>
              <w:jc w:val="center"/>
              <w:rPr>
                <w:color w:val="auto"/>
                <w:kern w:val="0"/>
                <w:sz w:val="21"/>
                <w:szCs w:val="21"/>
              </w:rPr>
            </w:pPr>
            <w:r>
              <w:rPr>
                <w:rFonts w:hint="eastAsia"/>
                <w:color w:val="auto"/>
                <w:sz w:val="21"/>
                <w:szCs w:val="21"/>
              </w:rPr>
              <w:t>3.23E-04</w:t>
            </w:r>
          </w:p>
        </w:tc>
        <w:tc>
          <w:tcPr>
            <w:tcW w:w="632" w:type="pct"/>
            <w:shd w:val="clear" w:color="auto" w:fill="auto"/>
          </w:tcPr>
          <w:p w14:paraId="0C19E02C">
            <w:pPr>
              <w:widowControl/>
              <w:spacing w:line="240" w:lineRule="auto"/>
              <w:ind w:firstLine="420"/>
              <w:jc w:val="center"/>
              <w:rPr>
                <w:color w:val="auto"/>
                <w:kern w:val="0"/>
                <w:sz w:val="21"/>
                <w:szCs w:val="21"/>
              </w:rPr>
            </w:pPr>
            <w:r>
              <w:rPr>
                <w:rFonts w:hint="eastAsia"/>
                <w:color w:val="auto"/>
                <w:sz w:val="21"/>
                <w:szCs w:val="21"/>
              </w:rPr>
              <w:t>0.16</w:t>
            </w:r>
          </w:p>
        </w:tc>
      </w:tr>
      <w:tr w14:paraId="5FE8B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C6617D7">
            <w:pPr>
              <w:widowControl/>
              <w:spacing w:line="240" w:lineRule="auto"/>
              <w:ind w:firstLine="0" w:firstLineChars="0"/>
              <w:jc w:val="center"/>
              <w:rPr>
                <w:color w:val="auto"/>
                <w:kern w:val="0"/>
                <w:sz w:val="21"/>
                <w:szCs w:val="21"/>
              </w:rPr>
            </w:pPr>
            <w:r>
              <w:rPr>
                <w:color w:val="auto"/>
                <w:kern w:val="0"/>
                <w:sz w:val="21"/>
                <w:szCs w:val="21"/>
              </w:rPr>
              <w:t>1925</w:t>
            </w:r>
          </w:p>
        </w:tc>
        <w:tc>
          <w:tcPr>
            <w:tcW w:w="673" w:type="pct"/>
            <w:shd w:val="clear" w:color="auto" w:fill="auto"/>
          </w:tcPr>
          <w:p w14:paraId="43AD46F5">
            <w:pPr>
              <w:widowControl/>
              <w:spacing w:line="240" w:lineRule="auto"/>
              <w:ind w:firstLine="420"/>
              <w:jc w:val="center"/>
              <w:rPr>
                <w:color w:val="auto"/>
                <w:kern w:val="0"/>
                <w:sz w:val="21"/>
                <w:szCs w:val="21"/>
              </w:rPr>
            </w:pPr>
            <w:r>
              <w:rPr>
                <w:rFonts w:hint="eastAsia"/>
                <w:color w:val="auto"/>
                <w:sz w:val="21"/>
                <w:szCs w:val="21"/>
              </w:rPr>
              <w:t>7.46E-04</w:t>
            </w:r>
          </w:p>
        </w:tc>
        <w:tc>
          <w:tcPr>
            <w:tcW w:w="578" w:type="pct"/>
            <w:shd w:val="clear" w:color="auto" w:fill="auto"/>
          </w:tcPr>
          <w:p w14:paraId="6987F327">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1F880A51">
            <w:pPr>
              <w:widowControl/>
              <w:spacing w:line="240" w:lineRule="auto"/>
              <w:ind w:firstLine="420"/>
              <w:jc w:val="center"/>
              <w:rPr>
                <w:color w:val="auto"/>
                <w:kern w:val="0"/>
                <w:sz w:val="21"/>
                <w:szCs w:val="21"/>
              </w:rPr>
            </w:pPr>
            <w:r>
              <w:rPr>
                <w:rFonts w:hint="eastAsia"/>
                <w:color w:val="auto"/>
                <w:sz w:val="21"/>
                <w:szCs w:val="21"/>
              </w:rPr>
              <w:t>1.18E-03</w:t>
            </w:r>
          </w:p>
        </w:tc>
        <w:tc>
          <w:tcPr>
            <w:tcW w:w="922" w:type="pct"/>
            <w:shd w:val="clear" w:color="auto" w:fill="auto"/>
          </w:tcPr>
          <w:p w14:paraId="41009586">
            <w:pPr>
              <w:widowControl/>
              <w:spacing w:line="240" w:lineRule="auto"/>
              <w:ind w:firstLine="420"/>
              <w:jc w:val="center"/>
              <w:rPr>
                <w:color w:val="auto"/>
                <w:kern w:val="0"/>
                <w:sz w:val="21"/>
                <w:szCs w:val="21"/>
              </w:rPr>
            </w:pPr>
            <w:r>
              <w:rPr>
                <w:rFonts w:hint="eastAsia"/>
                <w:color w:val="auto"/>
                <w:sz w:val="21"/>
                <w:szCs w:val="21"/>
              </w:rPr>
              <w:t>0.39</w:t>
            </w:r>
          </w:p>
        </w:tc>
        <w:tc>
          <w:tcPr>
            <w:tcW w:w="907" w:type="pct"/>
            <w:shd w:val="clear" w:color="auto" w:fill="auto"/>
          </w:tcPr>
          <w:p w14:paraId="4E751630">
            <w:pPr>
              <w:widowControl/>
              <w:spacing w:line="240" w:lineRule="auto"/>
              <w:ind w:firstLine="420"/>
              <w:jc w:val="center"/>
              <w:rPr>
                <w:color w:val="auto"/>
                <w:kern w:val="0"/>
                <w:sz w:val="21"/>
                <w:szCs w:val="21"/>
              </w:rPr>
            </w:pPr>
            <w:r>
              <w:rPr>
                <w:rFonts w:hint="eastAsia"/>
                <w:color w:val="auto"/>
                <w:sz w:val="21"/>
                <w:szCs w:val="21"/>
              </w:rPr>
              <w:t>3.17E-04</w:t>
            </w:r>
          </w:p>
        </w:tc>
        <w:tc>
          <w:tcPr>
            <w:tcW w:w="632" w:type="pct"/>
            <w:shd w:val="clear" w:color="auto" w:fill="auto"/>
          </w:tcPr>
          <w:p w14:paraId="7CE1077A">
            <w:pPr>
              <w:widowControl/>
              <w:spacing w:line="240" w:lineRule="auto"/>
              <w:ind w:firstLine="420"/>
              <w:jc w:val="center"/>
              <w:rPr>
                <w:color w:val="auto"/>
                <w:kern w:val="0"/>
                <w:sz w:val="21"/>
                <w:szCs w:val="21"/>
              </w:rPr>
            </w:pPr>
            <w:r>
              <w:rPr>
                <w:rFonts w:hint="eastAsia"/>
                <w:color w:val="auto"/>
                <w:sz w:val="21"/>
                <w:szCs w:val="21"/>
              </w:rPr>
              <w:t>0.16</w:t>
            </w:r>
          </w:p>
        </w:tc>
      </w:tr>
      <w:tr w14:paraId="3A1FB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EBD5364">
            <w:pPr>
              <w:widowControl/>
              <w:spacing w:line="240" w:lineRule="auto"/>
              <w:ind w:firstLine="0" w:firstLineChars="0"/>
              <w:jc w:val="center"/>
              <w:rPr>
                <w:color w:val="auto"/>
                <w:kern w:val="0"/>
                <w:sz w:val="21"/>
                <w:szCs w:val="21"/>
              </w:rPr>
            </w:pPr>
            <w:r>
              <w:rPr>
                <w:color w:val="auto"/>
                <w:kern w:val="0"/>
                <w:sz w:val="21"/>
                <w:szCs w:val="21"/>
              </w:rPr>
              <w:t>1950</w:t>
            </w:r>
          </w:p>
        </w:tc>
        <w:tc>
          <w:tcPr>
            <w:tcW w:w="673" w:type="pct"/>
            <w:shd w:val="clear" w:color="auto" w:fill="auto"/>
          </w:tcPr>
          <w:p w14:paraId="40351CDD">
            <w:pPr>
              <w:widowControl/>
              <w:spacing w:line="240" w:lineRule="auto"/>
              <w:ind w:firstLine="420"/>
              <w:jc w:val="center"/>
              <w:rPr>
                <w:color w:val="auto"/>
                <w:kern w:val="0"/>
                <w:sz w:val="21"/>
                <w:szCs w:val="21"/>
              </w:rPr>
            </w:pPr>
            <w:r>
              <w:rPr>
                <w:rFonts w:hint="eastAsia"/>
                <w:color w:val="auto"/>
                <w:sz w:val="21"/>
                <w:szCs w:val="21"/>
              </w:rPr>
              <w:t>7.34E-04</w:t>
            </w:r>
          </w:p>
        </w:tc>
        <w:tc>
          <w:tcPr>
            <w:tcW w:w="578" w:type="pct"/>
            <w:shd w:val="clear" w:color="auto" w:fill="auto"/>
          </w:tcPr>
          <w:p w14:paraId="50A115BD">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4ECBCA20">
            <w:pPr>
              <w:widowControl/>
              <w:spacing w:line="240" w:lineRule="auto"/>
              <w:ind w:firstLine="420"/>
              <w:jc w:val="center"/>
              <w:rPr>
                <w:color w:val="auto"/>
                <w:kern w:val="0"/>
                <w:sz w:val="21"/>
                <w:szCs w:val="21"/>
              </w:rPr>
            </w:pPr>
            <w:r>
              <w:rPr>
                <w:rFonts w:hint="eastAsia"/>
                <w:color w:val="auto"/>
                <w:sz w:val="21"/>
                <w:szCs w:val="21"/>
              </w:rPr>
              <w:t>1.16E-03</w:t>
            </w:r>
          </w:p>
        </w:tc>
        <w:tc>
          <w:tcPr>
            <w:tcW w:w="922" w:type="pct"/>
            <w:shd w:val="clear" w:color="auto" w:fill="auto"/>
          </w:tcPr>
          <w:p w14:paraId="7B161EFD">
            <w:pPr>
              <w:widowControl/>
              <w:spacing w:line="240" w:lineRule="auto"/>
              <w:ind w:firstLine="420"/>
              <w:jc w:val="center"/>
              <w:rPr>
                <w:color w:val="auto"/>
                <w:kern w:val="0"/>
                <w:sz w:val="21"/>
                <w:szCs w:val="21"/>
              </w:rPr>
            </w:pPr>
            <w:r>
              <w:rPr>
                <w:rFonts w:hint="eastAsia"/>
                <w:color w:val="auto"/>
                <w:sz w:val="21"/>
                <w:szCs w:val="21"/>
              </w:rPr>
              <w:t>0.39</w:t>
            </w:r>
          </w:p>
        </w:tc>
        <w:tc>
          <w:tcPr>
            <w:tcW w:w="907" w:type="pct"/>
            <w:shd w:val="clear" w:color="auto" w:fill="auto"/>
          </w:tcPr>
          <w:p w14:paraId="1AAFC94C">
            <w:pPr>
              <w:widowControl/>
              <w:spacing w:line="240" w:lineRule="auto"/>
              <w:ind w:firstLine="420"/>
              <w:jc w:val="center"/>
              <w:rPr>
                <w:color w:val="auto"/>
                <w:kern w:val="0"/>
                <w:sz w:val="21"/>
                <w:szCs w:val="21"/>
              </w:rPr>
            </w:pPr>
            <w:r>
              <w:rPr>
                <w:rFonts w:hint="eastAsia"/>
                <w:color w:val="auto"/>
                <w:sz w:val="21"/>
                <w:szCs w:val="21"/>
              </w:rPr>
              <w:t>3.12E-04</w:t>
            </w:r>
          </w:p>
        </w:tc>
        <w:tc>
          <w:tcPr>
            <w:tcW w:w="632" w:type="pct"/>
            <w:shd w:val="clear" w:color="auto" w:fill="auto"/>
          </w:tcPr>
          <w:p w14:paraId="64CA25F9">
            <w:pPr>
              <w:widowControl/>
              <w:spacing w:line="240" w:lineRule="auto"/>
              <w:ind w:firstLine="420"/>
              <w:jc w:val="center"/>
              <w:rPr>
                <w:color w:val="auto"/>
                <w:kern w:val="0"/>
                <w:sz w:val="21"/>
                <w:szCs w:val="21"/>
              </w:rPr>
            </w:pPr>
            <w:r>
              <w:rPr>
                <w:rFonts w:hint="eastAsia"/>
                <w:color w:val="auto"/>
                <w:sz w:val="21"/>
                <w:szCs w:val="21"/>
              </w:rPr>
              <w:t>0.16</w:t>
            </w:r>
          </w:p>
        </w:tc>
      </w:tr>
      <w:tr w14:paraId="0E428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DF971B6">
            <w:pPr>
              <w:widowControl/>
              <w:spacing w:line="240" w:lineRule="auto"/>
              <w:ind w:firstLine="0" w:firstLineChars="0"/>
              <w:jc w:val="center"/>
              <w:rPr>
                <w:color w:val="auto"/>
                <w:kern w:val="0"/>
                <w:sz w:val="21"/>
                <w:szCs w:val="21"/>
              </w:rPr>
            </w:pPr>
            <w:r>
              <w:rPr>
                <w:color w:val="auto"/>
                <w:kern w:val="0"/>
                <w:sz w:val="21"/>
                <w:szCs w:val="21"/>
              </w:rPr>
              <w:t>1975</w:t>
            </w:r>
          </w:p>
        </w:tc>
        <w:tc>
          <w:tcPr>
            <w:tcW w:w="673" w:type="pct"/>
            <w:shd w:val="clear" w:color="auto" w:fill="auto"/>
          </w:tcPr>
          <w:p w14:paraId="158C52CC">
            <w:pPr>
              <w:widowControl/>
              <w:spacing w:line="240" w:lineRule="auto"/>
              <w:ind w:firstLine="420"/>
              <w:jc w:val="center"/>
              <w:rPr>
                <w:color w:val="auto"/>
                <w:kern w:val="0"/>
                <w:sz w:val="21"/>
                <w:szCs w:val="21"/>
              </w:rPr>
            </w:pPr>
            <w:r>
              <w:rPr>
                <w:rFonts w:hint="eastAsia"/>
                <w:color w:val="auto"/>
                <w:sz w:val="21"/>
                <w:szCs w:val="21"/>
              </w:rPr>
              <w:t>7.22E-04</w:t>
            </w:r>
          </w:p>
        </w:tc>
        <w:tc>
          <w:tcPr>
            <w:tcW w:w="578" w:type="pct"/>
            <w:shd w:val="clear" w:color="auto" w:fill="auto"/>
          </w:tcPr>
          <w:p w14:paraId="4351235E">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1AC69D06">
            <w:pPr>
              <w:widowControl/>
              <w:spacing w:line="240" w:lineRule="auto"/>
              <w:ind w:firstLine="420"/>
              <w:jc w:val="center"/>
              <w:rPr>
                <w:color w:val="auto"/>
                <w:kern w:val="0"/>
                <w:sz w:val="21"/>
                <w:szCs w:val="21"/>
              </w:rPr>
            </w:pPr>
            <w:r>
              <w:rPr>
                <w:rFonts w:hint="eastAsia"/>
                <w:color w:val="auto"/>
                <w:sz w:val="21"/>
                <w:szCs w:val="21"/>
              </w:rPr>
              <w:t>1.14E-03</w:t>
            </w:r>
          </w:p>
        </w:tc>
        <w:tc>
          <w:tcPr>
            <w:tcW w:w="922" w:type="pct"/>
            <w:shd w:val="clear" w:color="auto" w:fill="auto"/>
          </w:tcPr>
          <w:p w14:paraId="5082BAC8">
            <w:pPr>
              <w:widowControl/>
              <w:spacing w:line="240" w:lineRule="auto"/>
              <w:ind w:firstLine="420"/>
              <w:jc w:val="center"/>
              <w:rPr>
                <w:color w:val="auto"/>
                <w:kern w:val="0"/>
                <w:sz w:val="21"/>
                <w:szCs w:val="21"/>
              </w:rPr>
            </w:pPr>
            <w:r>
              <w:rPr>
                <w:rFonts w:hint="eastAsia"/>
                <w:color w:val="auto"/>
                <w:sz w:val="21"/>
                <w:szCs w:val="21"/>
              </w:rPr>
              <w:t>0.38</w:t>
            </w:r>
          </w:p>
        </w:tc>
        <w:tc>
          <w:tcPr>
            <w:tcW w:w="907" w:type="pct"/>
            <w:shd w:val="clear" w:color="auto" w:fill="auto"/>
          </w:tcPr>
          <w:p w14:paraId="42446F0F">
            <w:pPr>
              <w:widowControl/>
              <w:spacing w:line="240" w:lineRule="auto"/>
              <w:ind w:firstLine="420"/>
              <w:jc w:val="center"/>
              <w:rPr>
                <w:color w:val="auto"/>
                <w:kern w:val="0"/>
                <w:sz w:val="21"/>
                <w:szCs w:val="21"/>
              </w:rPr>
            </w:pPr>
            <w:r>
              <w:rPr>
                <w:rFonts w:hint="eastAsia"/>
                <w:color w:val="auto"/>
                <w:sz w:val="21"/>
                <w:szCs w:val="21"/>
              </w:rPr>
              <w:t>3.07E-04</w:t>
            </w:r>
          </w:p>
        </w:tc>
        <w:tc>
          <w:tcPr>
            <w:tcW w:w="632" w:type="pct"/>
            <w:shd w:val="clear" w:color="auto" w:fill="auto"/>
          </w:tcPr>
          <w:p w14:paraId="56657B93">
            <w:pPr>
              <w:widowControl/>
              <w:spacing w:line="240" w:lineRule="auto"/>
              <w:ind w:firstLine="420"/>
              <w:jc w:val="center"/>
              <w:rPr>
                <w:color w:val="auto"/>
                <w:kern w:val="0"/>
                <w:sz w:val="21"/>
                <w:szCs w:val="21"/>
              </w:rPr>
            </w:pPr>
            <w:r>
              <w:rPr>
                <w:rFonts w:hint="eastAsia"/>
                <w:color w:val="auto"/>
                <w:sz w:val="21"/>
                <w:szCs w:val="21"/>
              </w:rPr>
              <w:t>0.15</w:t>
            </w:r>
          </w:p>
        </w:tc>
      </w:tr>
      <w:tr w14:paraId="01C51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9BB96AC">
            <w:pPr>
              <w:widowControl/>
              <w:spacing w:line="240" w:lineRule="auto"/>
              <w:ind w:firstLine="0" w:firstLineChars="0"/>
              <w:jc w:val="center"/>
              <w:rPr>
                <w:color w:val="auto"/>
                <w:kern w:val="0"/>
                <w:sz w:val="21"/>
                <w:szCs w:val="21"/>
              </w:rPr>
            </w:pPr>
            <w:r>
              <w:rPr>
                <w:color w:val="auto"/>
                <w:kern w:val="0"/>
                <w:sz w:val="21"/>
                <w:szCs w:val="21"/>
              </w:rPr>
              <w:t>2000</w:t>
            </w:r>
          </w:p>
        </w:tc>
        <w:tc>
          <w:tcPr>
            <w:tcW w:w="673" w:type="pct"/>
            <w:shd w:val="clear" w:color="auto" w:fill="auto"/>
          </w:tcPr>
          <w:p w14:paraId="1C90126A">
            <w:pPr>
              <w:widowControl/>
              <w:spacing w:line="240" w:lineRule="auto"/>
              <w:ind w:firstLine="420"/>
              <w:jc w:val="center"/>
              <w:rPr>
                <w:color w:val="auto"/>
                <w:kern w:val="0"/>
                <w:sz w:val="21"/>
                <w:szCs w:val="21"/>
              </w:rPr>
            </w:pPr>
            <w:r>
              <w:rPr>
                <w:rFonts w:hint="eastAsia"/>
                <w:color w:val="auto"/>
                <w:sz w:val="21"/>
                <w:szCs w:val="21"/>
              </w:rPr>
              <w:t>7.10E-04</w:t>
            </w:r>
          </w:p>
        </w:tc>
        <w:tc>
          <w:tcPr>
            <w:tcW w:w="578" w:type="pct"/>
            <w:shd w:val="clear" w:color="auto" w:fill="auto"/>
          </w:tcPr>
          <w:p w14:paraId="5E1F1C63">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6A90DE6D">
            <w:pPr>
              <w:widowControl/>
              <w:spacing w:line="240" w:lineRule="auto"/>
              <w:ind w:firstLine="420"/>
              <w:jc w:val="center"/>
              <w:rPr>
                <w:color w:val="auto"/>
                <w:kern w:val="0"/>
                <w:sz w:val="21"/>
                <w:szCs w:val="21"/>
              </w:rPr>
            </w:pPr>
            <w:r>
              <w:rPr>
                <w:rFonts w:hint="eastAsia"/>
                <w:color w:val="auto"/>
                <w:sz w:val="21"/>
                <w:szCs w:val="21"/>
              </w:rPr>
              <w:t>1.12E-03</w:t>
            </w:r>
          </w:p>
        </w:tc>
        <w:tc>
          <w:tcPr>
            <w:tcW w:w="922" w:type="pct"/>
            <w:shd w:val="clear" w:color="auto" w:fill="auto"/>
          </w:tcPr>
          <w:p w14:paraId="52B1DAFB">
            <w:pPr>
              <w:widowControl/>
              <w:spacing w:line="240" w:lineRule="auto"/>
              <w:ind w:firstLine="420"/>
              <w:jc w:val="center"/>
              <w:rPr>
                <w:color w:val="auto"/>
                <w:kern w:val="0"/>
                <w:sz w:val="21"/>
                <w:szCs w:val="21"/>
              </w:rPr>
            </w:pPr>
            <w:r>
              <w:rPr>
                <w:rFonts w:hint="eastAsia"/>
                <w:color w:val="auto"/>
                <w:sz w:val="21"/>
                <w:szCs w:val="21"/>
              </w:rPr>
              <w:t>0.37</w:t>
            </w:r>
          </w:p>
        </w:tc>
        <w:tc>
          <w:tcPr>
            <w:tcW w:w="907" w:type="pct"/>
            <w:shd w:val="clear" w:color="auto" w:fill="auto"/>
          </w:tcPr>
          <w:p w14:paraId="0C2AB1CB">
            <w:pPr>
              <w:widowControl/>
              <w:spacing w:line="240" w:lineRule="auto"/>
              <w:ind w:firstLine="420"/>
              <w:jc w:val="center"/>
              <w:rPr>
                <w:color w:val="auto"/>
                <w:kern w:val="0"/>
                <w:sz w:val="21"/>
                <w:szCs w:val="21"/>
              </w:rPr>
            </w:pPr>
            <w:r>
              <w:rPr>
                <w:rFonts w:hint="eastAsia"/>
                <w:color w:val="auto"/>
                <w:sz w:val="21"/>
                <w:szCs w:val="21"/>
              </w:rPr>
              <w:t>3.02E-04</w:t>
            </w:r>
          </w:p>
        </w:tc>
        <w:tc>
          <w:tcPr>
            <w:tcW w:w="632" w:type="pct"/>
            <w:shd w:val="clear" w:color="auto" w:fill="auto"/>
          </w:tcPr>
          <w:p w14:paraId="5CF36DB8">
            <w:pPr>
              <w:widowControl/>
              <w:spacing w:line="240" w:lineRule="auto"/>
              <w:ind w:firstLine="420"/>
              <w:jc w:val="center"/>
              <w:rPr>
                <w:color w:val="auto"/>
                <w:kern w:val="0"/>
                <w:sz w:val="21"/>
                <w:szCs w:val="21"/>
              </w:rPr>
            </w:pPr>
            <w:r>
              <w:rPr>
                <w:rFonts w:hint="eastAsia"/>
                <w:color w:val="auto"/>
                <w:sz w:val="21"/>
                <w:szCs w:val="21"/>
              </w:rPr>
              <w:t>0.15</w:t>
            </w:r>
          </w:p>
        </w:tc>
      </w:tr>
      <w:tr w14:paraId="69452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0E1E072">
            <w:pPr>
              <w:widowControl/>
              <w:spacing w:line="240" w:lineRule="auto"/>
              <w:ind w:firstLine="0" w:firstLineChars="0"/>
              <w:jc w:val="center"/>
              <w:rPr>
                <w:color w:val="auto"/>
                <w:kern w:val="0"/>
                <w:sz w:val="21"/>
                <w:szCs w:val="21"/>
              </w:rPr>
            </w:pPr>
            <w:r>
              <w:rPr>
                <w:color w:val="auto"/>
                <w:kern w:val="0"/>
                <w:sz w:val="21"/>
                <w:szCs w:val="21"/>
              </w:rPr>
              <w:t>2025</w:t>
            </w:r>
          </w:p>
        </w:tc>
        <w:tc>
          <w:tcPr>
            <w:tcW w:w="673" w:type="pct"/>
            <w:shd w:val="clear" w:color="auto" w:fill="auto"/>
          </w:tcPr>
          <w:p w14:paraId="746C24C5">
            <w:pPr>
              <w:widowControl/>
              <w:spacing w:line="240" w:lineRule="auto"/>
              <w:ind w:firstLine="420"/>
              <w:jc w:val="center"/>
              <w:rPr>
                <w:color w:val="auto"/>
                <w:kern w:val="0"/>
                <w:sz w:val="21"/>
                <w:szCs w:val="21"/>
              </w:rPr>
            </w:pPr>
            <w:r>
              <w:rPr>
                <w:rFonts w:hint="eastAsia"/>
                <w:color w:val="auto"/>
                <w:sz w:val="21"/>
                <w:szCs w:val="21"/>
              </w:rPr>
              <w:t>6.99E-04</w:t>
            </w:r>
          </w:p>
        </w:tc>
        <w:tc>
          <w:tcPr>
            <w:tcW w:w="578" w:type="pct"/>
            <w:shd w:val="clear" w:color="auto" w:fill="auto"/>
          </w:tcPr>
          <w:p w14:paraId="73CB829B">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615E7ACE">
            <w:pPr>
              <w:widowControl/>
              <w:spacing w:line="240" w:lineRule="auto"/>
              <w:ind w:firstLine="420"/>
              <w:jc w:val="center"/>
              <w:rPr>
                <w:color w:val="auto"/>
                <w:kern w:val="0"/>
                <w:sz w:val="21"/>
                <w:szCs w:val="21"/>
              </w:rPr>
            </w:pPr>
            <w:r>
              <w:rPr>
                <w:rFonts w:hint="eastAsia"/>
                <w:color w:val="auto"/>
                <w:sz w:val="21"/>
                <w:szCs w:val="21"/>
              </w:rPr>
              <w:t>1.10E-03</w:t>
            </w:r>
          </w:p>
        </w:tc>
        <w:tc>
          <w:tcPr>
            <w:tcW w:w="922" w:type="pct"/>
            <w:shd w:val="clear" w:color="auto" w:fill="auto"/>
          </w:tcPr>
          <w:p w14:paraId="009A0C7A">
            <w:pPr>
              <w:widowControl/>
              <w:spacing w:line="240" w:lineRule="auto"/>
              <w:ind w:firstLine="420"/>
              <w:jc w:val="center"/>
              <w:rPr>
                <w:color w:val="auto"/>
                <w:kern w:val="0"/>
                <w:sz w:val="21"/>
                <w:szCs w:val="21"/>
              </w:rPr>
            </w:pPr>
            <w:r>
              <w:rPr>
                <w:rFonts w:hint="eastAsia"/>
                <w:color w:val="auto"/>
                <w:sz w:val="21"/>
                <w:szCs w:val="21"/>
              </w:rPr>
              <w:t>0.37</w:t>
            </w:r>
          </w:p>
        </w:tc>
        <w:tc>
          <w:tcPr>
            <w:tcW w:w="907" w:type="pct"/>
            <w:shd w:val="clear" w:color="auto" w:fill="auto"/>
          </w:tcPr>
          <w:p w14:paraId="30DD5D6B">
            <w:pPr>
              <w:widowControl/>
              <w:spacing w:line="240" w:lineRule="auto"/>
              <w:ind w:firstLine="420"/>
              <w:jc w:val="center"/>
              <w:rPr>
                <w:color w:val="auto"/>
                <w:kern w:val="0"/>
                <w:sz w:val="21"/>
                <w:szCs w:val="21"/>
              </w:rPr>
            </w:pPr>
            <w:r>
              <w:rPr>
                <w:rFonts w:hint="eastAsia"/>
                <w:color w:val="auto"/>
                <w:sz w:val="21"/>
                <w:szCs w:val="21"/>
              </w:rPr>
              <w:t>2.97E-04</w:t>
            </w:r>
          </w:p>
        </w:tc>
        <w:tc>
          <w:tcPr>
            <w:tcW w:w="632" w:type="pct"/>
            <w:shd w:val="clear" w:color="auto" w:fill="auto"/>
          </w:tcPr>
          <w:p w14:paraId="37559515">
            <w:pPr>
              <w:widowControl/>
              <w:spacing w:line="240" w:lineRule="auto"/>
              <w:ind w:firstLine="420"/>
              <w:jc w:val="center"/>
              <w:rPr>
                <w:color w:val="auto"/>
                <w:kern w:val="0"/>
                <w:sz w:val="21"/>
                <w:szCs w:val="21"/>
              </w:rPr>
            </w:pPr>
            <w:r>
              <w:rPr>
                <w:rFonts w:hint="eastAsia"/>
                <w:color w:val="auto"/>
                <w:sz w:val="21"/>
                <w:szCs w:val="21"/>
              </w:rPr>
              <w:t>0.15</w:t>
            </w:r>
          </w:p>
        </w:tc>
      </w:tr>
      <w:tr w14:paraId="2919F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D500DE8">
            <w:pPr>
              <w:widowControl/>
              <w:spacing w:line="240" w:lineRule="auto"/>
              <w:ind w:firstLine="0" w:firstLineChars="0"/>
              <w:jc w:val="center"/>
              <w:rPr>
                <w:color w:val="auto"/>
                <w:kern w:val="0"/>
                <w:sz w:val="21"/>
                <w:szCs w:val="21"/>
              </w:rPr>
            </w:pPr>
            <w:r>
              <w:rPr>
                <w:color w:val="auto"/>
                <w:kern w:val="0"/>
                <w:sz w:val="21"/>
                <w:szCs w:val="21"/>
              </w:rPr>
              <w:t>2050</w:t>
            </w:r>
          </w:p>
        </w:tc>
        <w:tc>
          <w:tcPr>
            <w:tcW w:w="673" w:type="pct"/>
            <w:shd w:val="clear" w:color="auto" w:fill="auto"/>
          </w:tcPr>
          <w:p w14:paraId="23323734">
            <w:pPr>
              <w:widowControl/>
              <w:spacing w:line="240" w:lineRule="auto"/>
              <w:ind w:firstLine="420"/>
              <w:jc w:val="center"/>
              <w:rPr>
                <w:color w:val="auto"/>
                <w:kern w:val="0"/>
                <w:sz w:val="21"/>
                <w:szCs w:val="21"/>
              </w:rPr>
            </w:pPr>
            <w:r>
              <w:rPr>
                <w:rFonts w:hint="eastAsia"/>
                <w:color w:val="auto"/>
                <w:sz w:val="21"/>
                <w:szCs w:val="21"/>
              </w:rPr>
              <w:t>6.88E-04</w:t>
            </w:r>
          </w:p>
        </w:tc>
        <w:tc>
          <w:tcPr>
            <w:tcW w:w="578" w:type="pct"/>
            <w:shd w:val="clear" w:color="auto" w:fill="auto"/>
          </w:tcPr>
          <w:p w14:paraId="587C8906">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3CA1A1CB">
            <w:pPr>
              <w:widowControl/>
              <w:spacing w:line="240" w:lineRule="auto"/>
              <w:ind w:firstLine="420"/>
              <w:jc w:val="center"/>
              <w:rPr>
                <w:color w:val="auto"/>
                <w:kern w:val="0"/>
                <w:sz w:val="21"/>
                <w:szCs w:val="21"/>
              </w:rPr>
            </w:pPr>
            <w:r>
              <w:rPr>
                <w:rFonts w:hint="eastAsia"/>
                <w:color w:val="auto"/>
                <w:sz w:val="21"/>
                <w:szCs w:val="21"/>
              </w:rPr>
              <w:t>1.09E-03</w:t>
            </w:r>
          </w:p>
        </w:tc>
        <w:tc>
          <w:tcPr>
            <w:tcW w:w="922" w:type="pct"/>
            <w:shd w:val="clear" w:color="auto" w:fill="auto"/>
          </w:tcPr>
          <w:p w14:paraId="1FC8B0D4">
            <w:pPr>
              <w:widowControl/>
              <w:spacing w:line="240" w:lineRule="auto"/>
              <w:ind w:firstLine="420"/>
              <w:jc w:val="center"/>
              <w:rPr>
                <w:color w:val="auto"/>
                <w:kern w:val="0"/>
                <w:sz w:val="21"/>
                <w:szCs w:val="21"/>
              </w:rPr>
            </w:pPr>
            <w:r>
              <w:rPr>
                <w:rFonts w:hint="eastAsia"/>
                <w:color w:val="auto"/>
                <w:sz w:val="21"/>
                <w:szCs w:val="21"/>
              </w:rPr>
              <w:t>0.36</w:t>
            </w:r>
          </w:p>
        </w:tc>
        <w:tc>
          <w:tcPr>
            <w:tcW w:w="907" w:type="pct"/>
            <w:shd w:val="clear" w:color="auto" w:fill="auto"/>
          </w:tcPr>
          <w:p w14:paraId="713484D0">
            <w:pPr>
              <w:widowControl/>
              <w:spacing w:line="240" w:lineRule="auto"/>
              <w:ind w:firstLine="420"/>
              <w:jc w:val="center"/>
              <w:rPr>
                <w:color w:val="auto"/>
                <w:kern w:val="0"/>
                <w:sz w:val="21"/>
                <w:szCs w:val="21"/>
              </w:rPr>
            </w:pPr>
            <w:r>
              <w:rPr>
                <w:rFonts w:hint="eastAsia"/>
                <w:color w:val="auto"/>
                <w:sz w:val="21"/>
                <w:szCs w:val="21"/>
              </w:rPr>
              <w:t>2.92E-04</w:t>
            </w:r>
          </w:p>
        </w:tc>
        <w:tc>
          <w:tcPr>
            <w:tcW w:w="632" w:type="pct"/>
            <w:shd w:val="clear" w:color="auto" w:fill="auto"/>
          </w:tcPr>
          <w:p w14:paraId="06D80A90">
            <w:pPr>
              <w:widowControl/>
              <w:spacing w:line="240" w:lineRule="auto"/>
              <w:ind w:firstLine="420"/>
              <w:jc w:val="center"/>
              <w:rPr>
                <w:color w:val="auto"/>
                <w:kern w:val="0"/>
                <w:sz w:val="21"/>
                <w:szCs w:val="21"/>
              </w:rPr>
            </w:pPr>
            <w:r>
              <w:rPr>
                <w:rFonts w:hint="eastAsia"/>
                <w:color w:val="auto"/>
                <w:sz w:val="21"/>
                <w:szCs w:val="21"/>
              </w:rPr>
              <w:t>0.15</w:t>
            </w:r>
          </w:p>
        </w:tc>
      </w:tr>
      <w:tr w14:paraId="08F32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45E22B4">
            <w:pPr>
              <w:widowControl/>
              <w:spacing w:line="240" w:lineRule="auto"/>
              <w:ind w:firstLine="0" w:firstLineChars="0"/>
              <w:jc w:val="center"/>
              <w:rPr>
                <w:color w:val="auto"/>
                <w:kern w:val="0"/>
                <w:sz w:val="21"/>
                <w:szCs w:val="21"/>
              </w:rPr>
            </w:pPr>
            <w:r>
              <w:rPr>
                <w:color w:val="auto"/>
                <w:kern w:val="0"/>
                <w:sz w:val="21"/>
                <w:szCs w:val="21"/>
              </w:rPr>
              <w:t>2075</w:t>
            </w:r>
          </w:p>
        </w:tc>
        <w:tc>
          <w:tcPr>
            <w:tcW w:w="673" w:type="pct"/>
            <w:shd w:val="clear" w:color="auto" w:fill="auto"/>
          </w:tcPr>
          <w:p w14:paraId="0A66510D">
            <w:pPr>
              <w:widowControl/>
              <w:spacing w:line="240" w:lineRule="auto"/>
              <w:ind w:firstLine="420"/>
              <w:jc w:val="center"/>
              <w:rPr>
                <w:color w:val="auto"/>
                <w:kern w:val="0"/>
                <w:sz w:val="21"/>
                <w:szCs w:val="21"/>
              </w:rPr>
            </w:pPr>
            <w:r>
              <w:rPr>
                <w:rFonts w:hint="eastAsia"/>
                <w:color w:val="auto"/>
                <w:sz w:val="21"/>
                <w:szCs w:val="21"/>
              </w:rPr>
              <w:t>6.77E-04</w:t>
            </w:r>
          </w:p>
        </w:tc>
        <w:tc>
          <w:tcPr>
            <w:tcW w:w="578" w:type="pct"/>
            <w:shd w:val="clear" w:color="auto" w:fill="auto"/>
          </w:tcPr>
          <w:p w14:paraId="1240044A">
            <w:pPr>
              <w:widowControl/>
              <w:spacing w:line="240" w:lineRule="auto"/>
              <w:ind w:firstLine="420"/>
              <w:jc w:val="center"/>
              <w:rPr>
                <w:color w:val="auto"/>
                <w:kern w:val="0"/>
                <w:sz w:val="21"/>
                <w:szCs w:val="21"/>
              </w:rPr>
            </w:pPr>
            <w:r>
              <w:rPr>
                <w:rFonts w:hint="eastAsia"/>
                <w:color w:val="auto"/>
                <w:sz w:val="21"/>
                <w:szCs w:val="21"/>
              </w:rPr>
              <w:t>0.08</w:t>
            </w:r>
          </w:p>
        </w:tc>
        <w:tc>
          <w:tcPr>
            <w:tcW w:w="927" w:type="pct"/>
            <w:shd w:val="clear" w:color="auto" w:fill="auto"/>
          </w:tcPr>
          <w:p w14:paraId="3CF156EF">
            <w:pPr>
              <w:widowControl/>
              <w:spacing w:line="240" w:lineRule="auto"/>
              <w:ind w:firstLine="420"/>
              <w:jc w:val="center"/>
              <w:rPr>
                <w:color w:val="auto"/>
                <w:kern w:val="0"/>
                <w:sz w:val="21"/>
                <w:szCs w:val="21"/>
              </w:rPr>
            </w:pPr>
            <w:r>
              <w:rPr>
                <w:rFonts w:hint="eastAsia"/>
                <w:color w:val="auto"/>
                <w:sz w:val="21"/>
                <w:szCs w:val="21"/>
              </w:rPr>
              <w:t>1.07E-03</w:t>
            </w:r>
          </w:p>
        </w:tc>
        <w:tc>
          <w:tcPr>
            <w:tcW w:w="922" w:type="pct"/>
            <w:shd w:val="clear" w:color="auto" w:fill="auto"/>
          </w:tcPr>
          <w:p w14:paraId="11A0F6AE">
            <w:pPr>
              <w:widowControl/>
              <w:spacing w:line="240" w:lineRule="auto"/>
              <w:ind w:firstLine="420"/>
              <w:jc w:val="center"/>
              <w:rPr>
                <w:color w:val="auto"/>
                <w:kern w:val="0"/>
                <w:sz w:val="21"/>
                <w:szCs w:val="21"/>
              </w:rPr>
            </w:pPr>
            <w:r>
              <w:rPr>
                <w:rFonts w:hint="eastAsia"/>
                <w:color w:val="auto"/>
                <w:sz w:val="21"/>
                <w:szCs w:val="21"/>
              </w:rPr>
              <w:t>0.36</w:t>
            </w:r>
          </w:p>
        </w:tc>
        <w:tc>
          <w:tcPr>
            <w:tcW w:w="907" w:type="pct"/>
            <w:shd w:val="clear" w:color="auto" w:fill="auto"/>
          </w:tcPr>
          <w:p w14:paraId="67241B3E">
            <w:pPr>
              <w:widowControl/>
              <w:spacing w:line="240" w:lineRule="auto"/>
              <w:ind w:firstLine="420"/>
              <w:jc w:val="center"/>
              <w:rPr>
                <w:color w:val="auto"/>
                <w:kern w:val="0"/>
                <w:sz w:val="21"/>
                <w:szCs w:val="21"/>
              </w:rPr>
            </w:pPr>
            <w:r>
              <w:rPr>
                <w:rFonts w:hint="eastAsia"/>
                <w:color w:val="auto"/>
                <w:sz w:val="21"/>
                <w:szCs w:val="21"/>
              </w:rPr>
              <w:t>2.88E-04</w:t>
            </w:r>
          </w:p>
        </w:tc>
        <w:tc>
          <w:tcPr>
            <w:tcW w:w="632" w:type="pct"/>
            <w:shd w:val="clear" w:color="auto" w:fill="auto"/>
          </w:tcPr>
          <w:p w14:paraId="6F3615E7">
            <w:pPr>
              <w:widowControl/>
              <w:spacing w:line="240" w:lineRule="auto"/>
              <w:ind w:firstLine="420"/>
              <w:jc w:val="center"/>
              <w:rPr>
                <w:color w:val="auto"/>
                <w:kern w:val="0"/>
                <w:sz w:val="21"/>
                <w:szCs w:val="21"/>
              </w:rPr>
            </w:pPr>
            <w:r>
              <w:rPr>
                <w:rFonts w:hint="eastAsia"/>
                <w:color w:val="auto"/>
                <w:sz w:val="21"/>
                <w:szCs w:val="21"/>
              </w:rPr>
              <w:t>0.14</w:t>
            </w:r>
          </w:p>
        </w:tc>
      </w:tr>
      <w:tr w14:paraId="225FC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740BF990">
            <w:pPr>
              <w:widowControl/>
              <w:spacing w:line="240" w:lineRule="auto"/>
              <w:ind w:firstLine="0" w:firstLineChars="0"/>
              <w:jc w:val="center"/>
              <w:rPr>
                <w:color w:val="auto"/>
                <w:kern w:val="0"/>
                <w:sz w:val="21"/>
                <w:szCs w:val="21"/>
              </w:rPr>
            </w:pPr>
            <w:r>
              <w:rPr>
                <w:color w:val="auto"/>
                <w:kern w:val="0"/>
                <w:sz w:val="21"/>
                <w:szCs w:val="21"/>
              </w:rPr>
              <w:t>2100</w:t>
            </w:r>
          </w:p>
        </w:tc>
        <w:tc>
          <w:tcPr>
            <w:tcW w:w="673" w:type="pct"/>
            <w:shd w:val="clear" w:color="auto" w:fill="auto"/>
          </w:tcPr>
          <w:p w14:paraId="0A71F1C4">
            <w:pPr>
              <w:widowControl/>
              <w:spacing w:line="240" w:lineRule="auto"/>
              <w:ind w:firstLine="420"/>
              <w:jc w:val="center"/>
              <w:rPr>
                <w:color w:val="auto"/>
                <w:kern w:val="0"/>
                <w:sz w:val="21"/>
                <w:szCs w:val="21"/>
              </w:rPr>
            </w:pPr>
            <w:r>
              <w:rPr>
                <w:rFonts w:hint="eastAsia"/>
                <w:color w:val="auto"/>
                <w:sz w:val="21"/>
                <w:szCs w:val="21"/>
              </w:rPr>
              <w:t>6.66E-04</w:t>
            </w:r>
          </w:p>
        </w:tc>
        <w:tc>
          <w:tcPr>
            <w:tcW w:w="578" w:type="pct"/>
            <w:shd w:val="clear" w:color="auto" w:fill="auto"/>
          </w:tcPr>
          <w:p w14:paraId="5054A7C5">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5AB519EA">
            <w:pPr>
              <w:widowControl/>
              <w:spacing w:line="240" w:lineRule="auto"/>
              <w:ind w:firstLine="420"/>
              <w:jc w:val="center"/>
              <w:rPr>
                <w:color w:val="auto"/>
                <w:kern w:val="0"/>
                <w:sz w:val="21"/>
                <w:szCs w:val="21"/>
              </w:rPr>
            </w:pPr>
            <w:r>
              <w:rPr>
                <w:rFonts w:hint="eastAsia"/>
                <w:color w:val="auto"/>
                <w:sz w:val="21"/>
                <w:szCs w:val="21"/>
              </w:rPr>
              <w:t>1.05E-03</w:t>
            </w:r>
          </w:p>
        </w:tc>
        <w:tc>
          <w:tcPr>
            <w:tcW w:w="922" w:type="pct"/>
            <w:shd w:val="clear" w:color="auto" w:fill="auto"/>
          </w:tcPr>
          <w:p w14:paraId="70B00EAE">
            <w:pPr>
              <w:widowControl/>
              <w:spacing w:line="240" w:lineRule="auto"/>
              <w:ind w:firstLine="420"/>
              <w:jc w:val="center"/>
              <w:rPr>
                <w:color w:val="auto"/>
                <w:kern w:val="0"/>
                <w:sz w:val="21"/>
                <w:szCs w:val="21"/>
              </w:rPr>
            </w:pPr>
            <w:r>
              <w:rPr>
                <w:rFonts w:hint="eastAsia"/>
                <w:color w:val="auto"/>
                <w:sz w:val="21"/>
                <w:szCs w:val="21"/>
              </w:rPr>
              <w:t>0.35</w:t>
            </w:r>
          </w:p>
        </w:tc>
        <w:tc>
          <w:tcPr>
            <w:tcW w:w="907" w:type="pct"/>
            <w:shd w:val="clear" w:color="auto" w:fill="auto"/>
          </w:tcPr>
          <w:p w14:paraId="2D301FE6">
            <w:pPr>
              <w:widowControl/>
              <w:spacing w:line="240" w:lineRule="auto"/>
              <w:ind w:firstLine="420"/>
              <w:jc w:val="center"/>
              <w:rPr>
                <w:color w:val="auto"/>
                <w:kern w:val="0"/>
                <w:sz w:val="21"/>
                <w:szCs w:val="21"/>
              </w:rPr>
            </w:pPr>
            <w:r>
              <w:rPr>
                <w:rFonts w:hint="eastAsia"/>
                <w:color w:val="auto"/>
                <w:sz w:val="21"/>
                <w:szCs w:val="21"/>
              </w:rPr>
              <w:t>2.83E-04</w:t>
            </w:r>
          </w:p>
        </w:tc>
        <w:tc>
          <w:tcPr>
            <w:tcW w:w="632" w:type="pct"/>
            <w:shd w:val="clear" w:color="auto" w:fill="auto"/>
          </w:tcPr>
          <w:p w14:paraId="2A44899B">
            <w:pPr>
              <w:widowControl/>
              <w:spacing w:line="240" w:lineRule="auto"/>
              <w:ind w:firstLine="420"/>
              <w:jc w:val="center"/>
              <w:rPr>
                <w:color w:val="auto"/>
                <w:kern w:val="0"/>
                <w:sz w:val="21"/>
                <w:szCs w:val="21"/>
              </w:rPr>
            </w:pPr>
            <w:r>
              <w:rPr>
                <w:rFonts w:hint="eastAsia"/>
                <w:color w:val="auto"/>
                <w:sz w:val="21"/>
                <w:szCs w:val="21"/>
              </w:rPr>
              <w:t>0.14</w:t>
            </w:r>
          </w:p>
        </w:tc>
      </w:tr>
      <w:tr w14:paraId="0DCB9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FFB10EB">
            <w:pPr>
              <w:widowControl/>
              <w:spacing w:line="240" w:lineRule="auto"/>
              <w:ind w:firstLine="0" w:firstLineChars="0"/>
              <w:jc w:val="center"/>
              <w:rPr>
                <w:color w:val="auto"/>
                <w:kern w:val="0"/>
                <w:sz w:val="21"/>
                <w:szCs w:val="21"/>
              </w:rPr>
            </w:pPr>
            <w:r>
              <w:rPr>
                <w:color w:val="auto"/>
                <w:kern w:val="0"/>
                <w:sz w:val="21"/>
                <w:szCs w:val="21"/>
              </w:rPr>
              <w:t>2125</w:t>
            </w:r>
          </w:p>
        </w:tc>
        <w:tc>
          <w:tcPr>
            <w:tcW w:w="673" w:type="pct"/>
            <w:shd w:val="clear" w:color="auto" w:fill="auto"/>
          </w:tcPr>
          <w:p w14:paraId="6DC4EC5F">
            <w:pPr>
              <w:widowControl/>
              <w:spacing w:line="240" w:lineRule="auto"/>
              <w:ind w:firstLine="420"/>
              <w:jc w:val="center"/>
              <w:rPr>
                <w:color w:val="auto"/>
                <w:kern w:val="0"/>
                <w:sz w:val="21"/>
                <w:szCs w:val="21"/>
              </w:rPr>
            </w:pPr>
            <w:r>
              <w:rPr>
                <w:rFonts w:hint="eastAsia"/>
                <w:color w:val="auto"/>
                <w:sz w:val="21"/>
                <w:szCs w:val="21"/>
              </w:rPr>
              <w:t>6.56E-04</w:t>
            </w:r>
          </w:p>
        </w:tc>
        <w:tc>
          <w:tcPr>
            <w:tcW w:w="578" w:type="pct"/>
            <w:shd w:val="clear" w:color="auto" w:fill="auto"/>
          </w:tcPr>
          <w:p w14:paraId="36ACF305">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23F3E00F">
            <w:pPr>
              <w:widowControl/>
              <w:spacing w:line="240" w:lineRule="auto"/>
              <w:ind w:firstLine="420"/>
              <w:jc w:val="center"/>
              <w:rPr>
                <w:color w:val="auto"/>
                <w:kern w:val="0"/>
                <w:sz w:val="21"/>
                <w:szCs w:val="21"/>
              </w:rPr>
            </w:pPr>
            <w:r>
              <w:rPr>
                <w:rFonts w:hint="eastAsia"/>
                <w:color w:val="auto"/>
                <w:sz w:val="21"/>
                <w:szCs w:val="21"/>
              </w:rPr>
              <w:t>1.04E-03</w:t>
            </w:r>
          </w:p>
        </w:tc>
        <w:tc>
          <w:tcPr>
            <w:tcW w:w="922" w:type="pct"/>
            <w:shd w:val="clear" w:color="auto" w:fill="auto"/>
          </w:tcPr>
          <w:p w14:paraId="5DE75FBC">
            <w:pPr>
              <w:widowControl/>
              <w:spacing w:line="240" w:lineRule="auto"/>
              <w:ind w:firstLine="420"/>
              <w:jc w:val="center"/>
              <w:rPr>
                <w:color w:val="auto"/>
                <w:kern w:val="0"/>
                <w:sz w:val="21"/>
                <w:szCs w:val="21"/>
              </w:rPr>
            </w:pPr>
            <w:r>
              <w:rPr>
                <w:rFonts w:hint="eastAsia"/>
                <w:color w:val="auto"/>
                <w:sz w:val="21"/>
                <w:szCs w:val="21"/>
              </w:rPr>
              <w:t>0.35</w:t>
            </w:r>
          </w:p>
        </w:tc>
        <w:tc>
          <w:tcPr>
            <w:tcW w:w="907" w:type="pct"/>
            <w:shd w:val="clear" w:color="auto" w:fill="auto"/>
          </w:tcPr>
          <w:p w14:paraId="1050A9A8">
            <w:pPr>
              <w:widowControl/>
              <w:spacing w:line="240" w:lineRule="auto"/>
              <w:ind w:firstLine="420"/>
              <w:jc w:val="center"/>
              <w:rPr>
                <w:color w:val="auto"/>
                <w:kern w:val="0"/>
                <w:sz w:val="21"/>
                <w:szCs w:val="21"/>
              </w:rPr>
            </w:pPr>
            <w:r>
              <w:rPr>
                <w:rFonts w:hint="eastAsia"/>
                <w:color w:val="auto"/>
                <w:sz w:val="21"/>
                <w:szCs w:val="21"/>
              </w:rPr>
              <w:t>2.79E-04</w:t>
            </w:r>
          </w:p>
        </w:tc>
        <w:tc>
          <w:tcPr>
            <w:tcW w:w="632" w:type="pct"/>
            <w:shd w:val="clear" w:color="auto" w:fill="auto"/>
          </w:tcPr>
          <w:p w14:paraId="01895D43">
            <w:pPr>
              <w:widowControl/>
              <w:spacing w:line="240" w:lineRule="auto"/>
              <w:ind w:firstLine="420"/>
              <w:jc w:val="center"/>
              <w:rPr>
                <w:color w:val="auto"/>
                <w:kern w:val="0"/>
                <w:sz w:val="21"/>
                <w:szCs w:val="21"/>
              </w:rPr>
            </w:pPr>
            <w:r>
              <w:rPr>
                <w:rFonts w:hint="eastAsia"/>
                <w:color w:val="auto"/>
                <w:sz w:val="21"/>
                <w:szCs w:val="21"/>
              </w:rPr>
              <w:t>0.14</w:t>
            </w:r>
          </w:p>
        </w:tc>
      </w:tr>
      <w:tr w14:paraId="5B1D5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61C3949">
            <w:pPr>
              <w:widowControl/>
              <w:spacing w:line="240" w:lineRule="auto"/>
              <w:ind w:firstLine="0" w:firstLineChars="0"/>
              <w:jc w:val="center"/>
              <w:rPr>
                <w:color w:val="auto"/>
                <w:kern w:val="0"/>
                <w:sz w:val="21"/>
                <w:szCs w:val="21"/>
              </w:rPr>
            </w:pPr>
            <w:r>
              <w:rPr>
                <w:color w:val="auto"/>
                <w:kern w:val="0"/>
                <w:sz w:val="21"/>
                <w:szCs w:val="21"/>
              </w:rPr>
              <w:t>2150</w:t>
            </w:r>
          </w:p>
        </w:tc>
        <w:tc>
          <w:tcPr>
            <w:tcW w:w="673" w:type="pct"/>
            <w:shd w:val="clear" w:color="auto" w:fill="auto"/>
          </w:tcPr>
          <w:p w14:paraId="13CE82EC">
            <w:pPr>
              <w:widowControl/>
              <w:spacing w:line="240" w:lineRule="auto"/>
              <w:ind w:firstLine="420"/>
              <w:jc w:val="center"/>
              <w:rPr>
                <w:color w:val="auto"/>
                <w:kern w:val="0"/>
                <w:sz w:val="21"/>
                <w:szCs w:val="21"/>
              </w:rPr>
            </w:pPr>
            <w:r>
              <w:rPr>
                <w:rFonts w:hint="eastAsia"/>
                <w:color w:val="auto"/>
                <w:sz w:val="21"/>
                <w:szCs w:val="21"/>
              </w:rPr>
              <w:t>6.46E-04</w:t>
            </w:r>
          </w:p>
        </w:tc>
        <w:tc>
          <w:tcPr>
            <w:tcW w:w="578" w:type="pct"/>
            <w:shd w:val="clear" w:color="auto" w:fill="auto"/>
          </w:tcPr>
          <w:p w14:paraId="748147FC">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1EB38DDA">
            <w:pPr>
              <w:widowControl/>
              <w:spacing w:line="240" w:lineRule="auto"/>
              <w:ind w:firstLine="420"/>
              <w:jc w:val="center"/>
              <w:rPr>
                <w:color w:val="auto"/>
                <w:kern w:val="0"/>
                <w:sz w:val="21"/>
                <w:szCs w:val="21"/>
              </w:rPr>
            </w:pPr>
            <w:r>
              <w:rPr>
                <w:rFonts w:hint="eastAsia"/>
                <w:color w:val="auto"/>
                <w:sz w:val="21"/>
                <w:szCs w:val="21"/>
              </w:rPr>
              <w:t>1.02E-03</w:t>
            </w:r>
          </w:p>
        </w:tc>
        <w:tc>
          <w:tcPr>
            <w:tcW w:w="922" w:type="pct"/>
            <w:shd w:val="clear" w:color="auto" w:fill="auto"/>
          </w:tcPr>
          <w:p w14:paraId="6955AF0C">
            <w:pPr>
              <w:widowControl/>
              <w:spacing w:line="240" w:lineRule="auto"/>
              <w:ind w:firstLine="420"/>
              <w:jc w:val="center"/>
              <w:rPr>
                <w:color w:val="auto"/>
                <w:kern w:val="0"/>
                <w:sz w:val="21"/>
                <w:szCs w:val="21"/>
              </w:rPr>
            </w:pPr>
            <w:r>
              <w:rPr>
                <w:rFonts w:hint="eastAsia"/>
                <w:color w:val="auto"/>
                <w:sz w:val="21"/>
                <w:szCs w:val="21"/>
              </w:rPr>
              <w:t>0.34</w:t>
            </w:r>
          </w:p>
        </w:tc>
        <w:tc>
          <w:tcPr>
            <w:tcW w:w="907" w:type="pct"/>
            <w:shd w:val="clear" w:color="auto" w:fill="auto"/>
          </w:tcPr>
          <w:p w14:paraId="17294ACF">
            <w:pPr>
              <w:widowControl/>
              <w:spacing w:line="240" w:lineRule="auto"/>
              <w:ind w:firstLine="420"/>
              <w:jc w:val="center"/>
              <w:rPr>
                <w:color w:val="auto"/>
                <w:kern w:val="0"/>
                <w:sz w:val="21"/>
                <w:szCs w:val="21"/>
              </w:rPr>
            </w:pPr>
            <w:r>
              <w:rPr>
                <w:rFonts w:hint="eastAsia"/>
                <w:color w:val="auto"/>
                <w:sz w:val="21"/>
                <w:szCs w:val="21"/>
              </w:rPr>
              <w:t>2.75E-04</w:t>
            </w:r>
          </w:p>
        </w:tc>
        <w:tc>
          <w:tcPr>
            <w:tcW w:w="632" w:type="pct"/>
            <w:shd w:val="clear" w:color="auto" w:fill="auto"/>
          </w:tcPr>
          <w:p w14:paraId="2627ACCF">
            <w:pPr>
              <w:widowControl/>
              <w:spacing w:line="240" w:lineRule="auto"/>
              <w:ind w:firstLine="420"/>
              <w:jc w:val="center"/>
              <w:rPr>
                <w:color w:val="auto"/>
                <w:kern w:val="0"/>
                <w:sz w:val="21"/>
                <w:szCs w:val="21"/>
              </w:rPr>
            </w:pPr>
            <w:r>
              <w:rPr>
                <w:rFonts w:hint="eastAsia"/>
                <w:color w:val="auto"/>
                <w:sz w:val="21"/>
                <w:szCs w:val="21"/>
              </w:rPr>
              <w:t>0.14</w:t>
            </w:r>
          </w:p>
        </w:tc>
      </w:tr>
      <w:tr w14:paraId="6541D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0EC1D140">
            <w:pPr>
              <w:widowControl/>
              <w:spacing w:line="240" w:lineRule="auto"/>
              <w:ind w:firstLine="0" w:firstLineChars="0"/>
              <w:jc w:val="center"/>
              <w:rPr>
                <w:color w:val="auto"/>
                <w:kern w:val="0"/>
                <w:sz w:val="21"/>
                <w:szCs w:val="21"/>
              </w:rPr>
            </w:pPr>
            <w:r>
              <w:rPr>
                <w:color w:val="auto"/>
                <w:kern w:val="0"/>
                <w:sz w:val="21"/>
                <w:szCs w:val="21"/>
              </w:rPr>
              <w:t>2175</w:t>
            </w:r>
          </w:p>
        </w:tc>
        <w:tc>
          <w:tcPr>
            <w:tcW w:w="673" w:type="pct"/>
            <w:shd w:val="clear" w:color="auto" w:fill="auto"/>
          </w:tcPr>
          <w:p w14:paraId="3C853A0D">
            <w:pPr>
              <w:widowControl/>
              <w:spacing w:line="240" w:lineRule="auto"/>
              <w:ind w:firstLine="420"/>
              <w:jc w:val="center"/>
              <w:rPr>
                <w:color w:val="auto"/>
                <w:kern w:val="0"/>
                <w:sz w:val="21"/>
                <w:szCs w:val="21"/>
              </w:rPr>
            </w:pPr>
            <w:r>
              <w:rPr>
                <w:rFonts w:hint="eastAsia"/>
                <w:color w:val="auto"/>
                <w:sz w:val="21"/>
                <w:szCs w:val="21"/>
              </w:rPr>
              <w:t>6.37E-04</w:t>
            </w:r>
          </w:p>
        </w:tc>
        <w:tc>
          <w:tcPr>
            <w:tcW w:w="578" w:type="pct"/>
            <w:shd w:val="clear" w:color="auto" w:fill="auto"/>
          </w:tcPr>
          <w:p w14:paraId="5E10C83B">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44DE7286">
            <w:pPr>
              <w:widowControl/>
              <w:spacing w:line="240" w:lineRule="auto"/>
              <w:ind w:firstLine="420"/>
              <w:jc w:val="center"/>
              <w:rPr>
                <w:color w:val="auto"/>
                <w:kern w:val="0"/>
                <w:sz w:val="21"/>
                <w:szCs w:val="21"/>
              </w:rPr>
            </w:pPr>
            <w:r>
              <w:rPr>
                <w:rFonts w:hint="eastAsia"/>
                <w:color w:val="auto"/>
                <w:sz w:val="21"/>
                <w:szCs w:val="21"/>
              </w:rPr>
              <w:t>1.01E-03</w:t>
            </w:r>
          </w:p>
        </w:tc>
        <w:tc>
          <w:tcPr>
            <w:tcW w:w="922" w:type="pct"/>
            <w:shd w:val="clear" w:color="auto" w:fill="auto"/>
          </w:tcPr>
          <w:p w14:paraId="24DC5885">
            <w:pPr>
              <w:widowControl/>
              <w:spacing w:line="240" w:lineRule="auto"/>
              <w:ind w:firstLine="420"/>
              <w:jc w:val="center"/>
              <w:rPr>
                <w:color w:val="auto"/>
                <w:kern w:val="0"/>
                <w:sz w:val="21"/>
                <w:szCs w:val="21"/>
              </w:rPr>
            </w:pPr>
            <w:r>
              <w:rPr>
                <w:rFonts w:hint="eastAsia"/>
                <w:color w:val="auto"/>
                <w:sz w:val="21"/>
                <w:szCs w:val="21"/>
              </w:rPr>
              <w:t>0.34</w:t>
            </w:r>
          </w:p>
        </w:tc>
        <w:tc>
          <w:tcPr>
            <w:tcW w:w="907" w:type="pct"/>
            <w:shd w:val="clear" w:color="auto" w:fill="auto"/>
          </w:tcPr>
          <w:p w14:paraId="343CB7FD">
            <w:pPr>
              <w:widowControl/>
              <w:spacing w:line="240" w:lineRule="auto"/>
              <w:ind w:firstLine="420"/>
              <w:jc w:val="center"/>
              <w:rPr>
                <w:color w:val="auto"/>
                <w:kern w:val="0"/>
                <w:sz w:val="21"/>
                <w:szCs w:val="21"/>
              </w:rPr>
            </w:pPr>
            <w:r>
              <w:rPr>
                <w:rFonts w:hint="eastAsia"/>
                <w:color w:val="auto"/>
                <w:sz w:val="21"/>
                <w:szCs w:val="21"/>
              </w:rPr>
              <w:t>2.71E-04</w:t>
            </w:r>
          </w:p>
        </w:tc>
        <w:tc>
          <w:tcPr>
            <w:tcW w:w="632" w:type="pct"/>
            <w:shd w:val="clear" w:color="auto" w:fill="auto"/>
          </w:tcPr>
          <w:p w14:paraId="186B3E4D">
            <w:pPr>
              <w:widowControl/>
              <w:spacing w:line="240" w:lineRule="auto"/>
              <w:ind w:firstLine="420"/>
              <w:jc w:val="center"/>
              <w:rPr>
                <w:color w:val="auto"/>
                <w:kern w:val="0"/>
                <w:sz w:val="21"/>
                <w:szCs w:val="21"/>
              </w:rPr>
            </w:pPr>
            <w:r>
              <w:rPr>
                <w:rFonts w:hint="eastAsia"/>
                <w:color w:val="auto"/>
                <w:sz w:val="21"/>
                <w:szCs w:val="21"/>
              </w:rPr>
              <w:t>0.14</w:t>
            </w:r>
          </w:p>
        </w:tc>
      </w:tr>
      <w:tr w14:paraId="611D9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AF61648">
            <w:pPr>
              <w:widowControl/>
              <w:spacing w:line="240" w:lineRule="auto"/>
              <w:ind w:firstLine="0" w:firstLineChars="0"/>
              <w:jc w:val="center"/>
              <w:rPr>
                <w:color w:val="auto"/>
                <w:kern w:val="0"/>
                <w:sz w:val="21"/>
                <w:szCs w:val="21"/>
              </w:rPr>
            </w:pPr>
            <w:r>
              <w:rPr>
                <w:color w:val="auto"/>
                <w:kern w:val="0"/>
                <w:sz w:val="21"/>
                <w:szCs w:val="21"/>
              </w:rPr>
              <w:t>2200</w:t>
            </w:r>
          </w:p>
        </w:tc>
        <w:tc>
          <w:tcPr>
            <w:tcW w:w="673" w:type="pct"/>
            <w:shd w:val="clear" w:color="auto" w:fill="auto"/>
          </w:tcPr>
          <w:p w14:paraId="3DC19422">
            <w:pPr>
              <w:widowControl/>
              <w:spacing w:line="240" w:lineRule="auto"/>
              <w:ind w:firstLine="420"/>
              <w:jc w:val="center"/>
              <w:rPr>
                <w:color w:val="auto"/>
                <w:kern w:val="0"/>
                <w:sz w:val="21"/>
                <w:szCs w:val="21"/>
              </w:rPr>
            </w:pPr>
            <w:r>
              <w:rPr>
                <w:rFonts w:hint="eastAsia"/>
                <w:color w:val="auto"/>
                <w:sz w:val="21"/>
                <w:szCs w:val="21"/>
              </w:rPr>
              <w:t>6.27E-04</w:t>
            </w:r>
          </w:p>
        </w:tc>
        <w:tc>
          <w:tcPr>
            <w:tcW w:w="578" w:type="pct"/>
            <w:shd w:val="clear" w:color="auto" w:fill="auto"/>
          </w:tcPr>
          <w:p w14:paraId="465CBD3C">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6ED47B50">
            <w:pPr>
              <w:widowControl/>
              <w:spacing w:line="240" w:lineRule="auto"/>
              <w:ind w:firstLine="420"/>
              <w:jc w:val="center"/>
              <w:rPr>
                <w:color w:val="auto"/>
                <w:kern w:val="0"/>
                <w:sz w:val="21"/>
                <w:szCs w:val="21"/>
              </w:rPr>
            </w:pPr>
            <w:r>
              <w:rPr>
                <w:rFonts w:hint="eastAsia"/>
                <w:color w:val="auto"/>
                <w:sz w:val="21"/>
                <w:szCs w:val="21"/>
              </w:rPr>
              <w:t>9.91E-04</w:t>
            </w:r>
          </w:p>
        </w:tc>
        <w:tc>
          <w:tcPr>
            <w:tcW w:w="922" w:type="pct"/>
            <w:shd w:val="clear" w:color="auto" w:fill="auto"/>
          </w:tcPr>
          <w:p w14:paraId="688BA811">
            <w:pPr>
              <w:widowControl/>
              <w:spacing w:line="240" w:lineRule="auto"/>
              <w:ind w:firstLine="420"/>
              <w:jc w:val="center"/>
              <w:rPr>
                <w:color w:val="auto"/>
                <w:kern w:val="0"/>
                <w:sz w:val="21"/>
                <w:szCs w:val="21"/>
              </w:rPr>
            </w:pPr>
            <w:r>
              <w:rPr>
                <w:rFonts w:hint="eastAsia"/>
                <w:color w:val="auto"/>
                <w:sz w:val="21"/>
                <w:szCs w:val="21"/>
              </w:rPr>
              <w:t>0.33</w:t>
            </w:r>
          </w:p>
        </w:tc>
        <w:tc>
          <w:tcPr>
            <w:tcW w:w="907" w:type="pct"/>
            <w:shd w:val="clear" w:color="auto" w:fill="auto"/>
          </w:tcPr>
          <w:p w14:paraId="50BB85B1">
            <w:pPr>
              <w:widowControl/>
              <w:spacing w:line="240" w:lineRule="auto"/>
              <w:ind w:firstLine="420"/>
              <w:jc w:val="center"/>
              <w:rPr>
                <w:color w:val="auto"/>
                <w:kern w:val="0"/>
                <w:sz w:val="21"/>
                <w:szCs w:val="21"/>
              </w:rPr>
            </w:pPr>
            <w:r>
              <w:rPr>
                <w:rFonts w:hint="eastAsia"/>
                <w:color w:val="auto"/>
                <w:sz w:val="21"/>
                <w:szCs w:val="21"/>
              </w:rPr>
              <w:t>2.67E-04</w:t>
            </w:r>
          </w:p>
        </w:tc>
        <w:tc>
          <w:tcPr>
            <w:tcW w:w="632" w:type="pct"/>
            <w:shd w:val="clear" w:color="auto" w:fill="auto"/>
          </w:tcPr>
          <w:p w14:paraId="4504B842">
            <w:pPr>
              <w:widowControl/>
              <w:spacing w:line="240" w:lineRule="auto"/>
              <w:ind w:firstLine="420"/>
              <w:jc w:val="center"/>
              <w:rPr>
                <w:color w:val="auto"/>
                <w:kern w:val="0"/>
                <w:sz w:val="21"/>
                <w:szCs w:val="21"/>
              </w:rPr>
            </w:pPr>
            <w:r>
              <w:rPr>
                <w:rFonts w:hint="eastAsia"/>
                <w:color w:val="auto"/>
                <w:sz w:val="21"/>
                <w:szCs w:val="21"/>
              </w:rPr>
              <w:t>0.13</w:t>
            </w:r>
          </w:p>
        </w:tc>
      </w:tr>
      <w:tr w14:paraId="74B31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74881C1">
            <w:pPr>
              <w:widowControl/>
              <w:spacing w:line="240" w:lineRule="auto"/>
              <w:ind w:firstLine="0" w:firstLineChars="0"/>
              <w:jc w:val="center"/>
              <w:rPr>
                <w:color w:val="auto"/>
                <w:kern w:val="0"/>
                <w:sz w:val="21"/>
                <w:szCs w:val="21"/>
              </w:rPr>
            </w:pPr>
            <w:r>
              <w:rPr>
                <w:color w:val="auto"/>
                <w:kern w:val="0"/>
                <w:sz w:val="21"/>
                <w:szCs w:val="21"/>
              </w:rPr>
              <w:t>2225</w:t>
            </w:r>
          </w:p>
        </w:tc>
        <w:tc>
          <w:tcPr>
            <w:tcW w:w="673" w:type="pct"/>
            <w:shd w:val="clear" w:color="auto" w:fill="auto"/>
          </w:tcPr>
          <w:p w14:paraId="43A69491">
            <w:pPr>
              <w:widowControl/>
              <w:spacing w:line="240" w:lineRule="auto"/>
              <w:ind w:firstLine="420"/>
              <w:jc w:val="center"/>
              <w:rPr>
                <w:color w:val="auto"/>
                <w:kern w:val="0"/>
                <w:sz w:val="21"/>
                <w:szCs w:val="21"/>
              </w:rPr>
            </w:pPr>
            <w:r>
              <w:rPr>
                <w:rFonts w:hint="eastAsia"/>
                <w:color w:val="auto"/>
                <w:sz w:val="21"/>
                <w:szCs w:val="21"/>
              </w:rPr>
              <w:t>6.18E-04</w:t>
            </w:r>
          </w:p>
        </w:tc>
        <w:tc>
          <w:tcPr>
            <w:tcW w:w="578" w:type="pct"/>
            <w:shd w:val="clear" w:color="auto" w:fill="auto"/>
          </w:tcPr>
          <w:p w14:paraId="689E5524">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1D353772">
            <w:pPr>
              <w:widowControl/>
              <w:spacing w:line="240" w:lineRule="auto"/>
              <w:ind w:firstLine="420"/>
              <w:jc w:val="center"/>
              <w:rPr>
                <w:color w:val="auto"/>
                <w:kern w:val="0"/>
                <w:sz w:val="21"/>
                <w:szCs w:val="21"/>
              </w:rPr>
            </w:pPr>
            <w:r>
              <w:rPr>
                <w:rFonts w:hint="eastAsia"/>
                <w:color w:val="auto"/>
                <w:sz w:val="21"/>
                <w:szCs w:val="21"/>
              </w:rPr>
              <w:t>9.77E-04</w:t>
            </w:r>
          </w:p>
        </w:tc>
        <w:tc>
          <w:tcPr>
            <w:tcW w:w="922" w:type="pct"/>
            <w:shd w:val="clear" w:color="auto" w:fill="auto"/>
          </w:tcPr>
          <w:p w14:paraId="1D9CE370">
            <w:pPr>
              <w:widowControl/>
              <w:spacing w:line="240" w:lineRule="auto"/>
              <w:ind w:firstLine="420"/>
              <w:jc w:val="center"/>
              <w:rPr>
                <w:color w:val="auto"/>
                <w:kern w:val="0"/>
                <w:sz w:val="21"/>
                <w:szCs w:val="21"/>
              </w:rPr>
            </w:pPr>
            <w:r>
              <w:rPr>
                <w:rFonts w:hint="eastAsia"/>
                <w:color w:val="auto"/>
                <w:sz w:val="21"/>
                <w:szCs w:val="21"/>
              </w:rPr>
              <w:t>0.33</w:t>
            </w:r>
          </w:p>
        </w:tc>
        <w:tc>
          <w:tcPr>
            <w:tcW w:w="907" w:type="pct"/>
            <w:shd w:val="clear" w:color="auto" w:fill="auto"/>
          </w:tcPr>
          <w:p w14:paraId="26CDFD0E">
            <w:pPr>
              <w:widowControl/>
              <w:spacing w:line="240" w:lineRule="auto"/>
              <w:ind w:firstLine="420"/>
              <w:jc w:val="center"/>
              <w:rPr>
                <w:color w:val="auto"/>
                <w:kern w:val="0"/>
                <w:sz w:val="21"/>
                <w:szCs w:val="21"/>
              </w:rPr>
            </w:pPr>
            <w:r>
              <w:rPr>
                <w:rFonts w:hint="eastAsia"/>
                <w:color w:val="auto"/>
                <w:sz w:val="21"/>
                <w:szCs w:val="21"/>
              </w:rPr>
              <w:t>2.63E-04</w:t>
            </w:r>
          </w:p>
        </w:tc>
        <w:tc>
          <w:tcPr>
            <w:tcW w:w="632" w:type="pct"/>
            <w:shd w:val="clear" w:color="auto" w:fill="auto"/>
          </w:tcPr>
          <w:p w14:paraId="4771D2DC">
            <w:pPr>
              <w:widowControl/>
              <w:spacing w:line="240" w:lineRule="auto"/>
              <w:ind w:firstLine="420"/>
              <w:jc w:val="center"/>
              <w:rPr>
                <w:color w:val="auto"/>
                <w:kern w:val="0"/>
                <w:sz w:val="21"/>
                <w:szCs w:val="21"/>
              </w:rPr>
            </w:pPr>
            <w:r>
              <w:rPr>
                <w:rFonts w:hint="eastAsia"/>
                <w:color w:val="auto"/>
                <w:sz w:val="21"/>
                <w:szCs w:val="21"/>
              </w:rPr>
              <w:t>0.13</w:t>
            </w:r>
          </w:p>
        </w:tc>
      </w:tr>
      <w:tr w14:paraId="5AF2B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5232630">
            <w:pPr>
              <w:widowControl/>
              <w:spacing w:line="240" w:lineRule="auto"/>
              <w:ind w:firstLine="0" w:firstLineChars="0"/>
              <w:jc w:val="center"/>
              <w:rPr>
                <w:color w:val="auto"/>
                <w:kern w:val="0"/>
                <w:sz w:val="21"/>
                <w:szCs w:val="21"/>
              </w:rPr>
            </w:pPr>
            <w:r>
              <w:rPr>
                <w:color w:val="auto"/>
                <w:kern w:val="0"/>
                <w:sz w:val="21"/>
                <w:szCs w:val="21"/>
              </w:rPr>
              <w:t>2250</w:t>
            </w:r>
          </w:p>
        </w:tc>
        <w:tc>
          <w:tcPr>
            <w:tcW w:w="673" w:type="pct"/>
            <w:shd w:val="clear" w:color="auto" w:fill="auto"/>
          </w:tcPr>
          <w:p w14:paraId="007CC6B3">
            <w:pPr>
              <w:widowControl/>
              <w:spacing w:line="240" w:lineRule="auto"/>
              <w:ind w:firstLine="420"/>
              <w:jc w:val="center"/>
              <w:rPr>
                <w:color w:val="auto"/>
                <w:kern w:val="0"/>
                <w:sz w:val="21"/>
                <w:szCs w:val="21"/>
              </w:rPr>
            </w:pPr>
            <w:r>
              <w:rPr>
                <w:rFonts w:hint="eastAsia"/>
                <w:color w:val="auto"/>
                <w:sz w:val="21"/>
                <w:szCs w:val="21"/>
              </w:rPr>
              <w:t>6.09E-04</w:t>
            </w:r>
          </w:p>
        </w:tc>
        <w:tc>
          <w:tcPr>
            <w:tcW w:w="578" w:type="pct"/>
            <w:shd w:val="clear" w:color="auto" w:fill="auto"/>
          </w:tcPr>
          <w:p w14:paraId="4DDF6A89">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0F06FBBD">
            <w:pPr>
              <w:widowControl/>
              <w:spacing w:line="240" w:lineRule="auto"/>
              <w:ind w:firstLine="420"/>
              <w:jc w:val="center"/>
              <w:rPr>
                <w:color w:val="auto"/>
                <w:kern w:val="0"/>
                <w:sz w:val="21"/>
                <w:szCs w:val="21"/>
              </w:rPr>
            </w:pPr>
            <w:r>
              <w:rPr>
                <w:rFonts w:hint="eastAsia"/>
                <w:color w:val="auto"/>
                <w:sz w:val="21"/>
                <w:szCs w:val="21"/>
              </w:rPr>
              <w:t>9.63E-04</w:t>
            </w:r>
          </w:p>
        </w:tc>
        <w:tc>
          <w:tcPr>
            <w:tcW w:w="922" w:type="pct"/>
            <w:shd w:val="clear" w:color="auto" w:fill="auto"/>
          </w:tcPr>
          <w:p w14:paraId="19F44B2B">
            <w:pPr>
              <w:widowControl/>
              <w:spacing w:line="240" w:lineRule="auto"/>
              <w:ind w:firstLine="420"/>
              <w:jc w:val="center"/>
              <w:rPr>
                <w:color w:val="auto"/>
                <w:kern w:val="0"/>
                <w:sz w:val="21"/>
                <w:szCs w:val="21"/>
              </w:rPr>
            </w:pPr>
            <w:r>
              <w:rPr>
                <w:rFonts w:hint="eastAsia"/>
                <w:color w:val="auto"/>
                <w:sz w:val="21"/>
                <w:szCs w:val="21"/>
              </w:rPr>
              <w:t>0.32</w:t>
            </w:r>
          </w:p>
        </w:tc>
        <w:tc>
          <w:tcPr>
            <w:tcW w:w="907" w:type="pct"/>
            <w:shd w:val="clear" w:color="auto" w:fill="auto"/>
          </w:tcPr>
          <w:p w14:paraId="4BF46B5D">
            <w:pPr>
              <w:widowControl/>
              <w:spacing w:line="240" w:lineRule="auto"/>
              <w:ind w:firstLine="420"/>
              <w:jc w:val="center"/>
              <w:rPr>
                <w:color w:val="auto"/>
                <w:kern w:val="0"/>
                <w:sz w:val="21"/>
                <w:szCs w:val="21"/>
              </w:rPr>
            </w:pPr>
            <w:r>
              <w:rPr>
                <w:rFonts w:hint="eastAsia"/>
                <w:color w:val="auto"/>
                <w:sz w:val="21"/>
                <w:szCs w:val="21"/>
              </w:rPr>
              <w:t>2.59E-04</w:t>
            </w:r>
          </w:p>
        </w:tc>
        <w:tc>
          <w:tcPr>
            <w:tcW w:w="632" w:type="pct"/>
            <w:shd w:val="clear" w:color="auto" w:fill="auto"/>
          </w:tcPr>
          <w:p w14:paraId="7AC7B835">
            <w:pPr>
              <w:widowControl/>
              <w:spacing w:line="240" w:lineRule="auto"/>
              <w:ind w:firstLine="420"/>
              <w:jc w:val="center"/>
              <w:rPr>
                <w:color w:val="auto"/>
                <w:kern w:val="0"/>
                <w:sz w:val="21"/>
                <w:szCs w:val="21"/>
              </w:rPr>
            </w:pPr>
            <w:r>
              <w:rPr>
                <w:rFonts w:hint="eastAsia"/>
                <w:color w:val="auto"/>
                <w:sz w:val="21"/>
                <w:szCs w:val="21"/>
              </w:rPr>
              <w:t>0.13</w:t>
            </w:r>
          </w:p>
        </w:tc>
      </w:tr>
      <w:tr w14:paraId="3D502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2CAC1BE8">
            <w:pPr>
              <w:widowControl/>
              <w:spacing w:line="240" w:lineRule="auto"/>
              <w:ind w:firstLine="0" w:firstLineChars="0"/>
              <w:jc w:val="center"/>
              <w:rPr>
                <w:color w:val="auto"/>
                <w:kern w:val="0"/>
                <w:sz w:val="21"/>
                <w:szCs w:val="21"/>
              </w:rPr>
            </w:pPr>
            <w:r>
              <w:rPr>
                <w:color w:val="auto"/>
                <w:kern w:val="0"/>
                <w:sz w:val="21"/>
                <w:szCs w:val="21"/>
              </w:rPr>
              <w:t>2275</w:t>
            </w:r>
          </w:p>
        </w:tc>
        <w:tc>
          <w:tcPr>
            <w:tcW w:w="673" w:type="pct"/>
            <w:shd w:val="clear" w:color="auto" w:fill="auto"/>
          </w:tcPr>
          <w:p w14:paraId="61B770A4">
            <w:pPr>
              <w:widowControl/>
              <w:spacing w:line="240" w:lineRule="auto"/>
              <w:ind w:firstLine="420"/>
              <w:jc w:val="center"/>
              <w:rPr>
                <w:color w:val="auto"/>
                <w:kern w:val="0"/>
                <w:sz w:val="21"/>
                <w:szCs w:val="21"/>
              </w:rPr>
            </w:pPr>
            <w:r>
              <w:rPr>
                <w:rFonts w:hint="eastAsia"/>
                <w:color w:val="auto"/>
                <w:sz w:val="21"/>
                <w:szCs w:val="21"/>
              </w:rPr>
              <w:t>6.00E-04</w:t>
            </w:r>
          </w:p>
        </w:tc>
        <w:tc>
          <w:tcPr>
            <w:tcW w:w="578" w:type="pct"/>
            <w:shd w:val="clear" w:color="auto" w:fill="auto"/>
          </w:tcPr>
          <w:p w14:paraId="556929DB">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3E778E13">
            <w:pPr>
              <w:widowControl/>
              <w:spacing w:line="240" w:lineRule="auto"/>
              <w:ind w:firstLine="420"/>
              <w:jc w:val="center"/>
              <w:rPr>
                <w:color w:val="auto"/>
                <w:kern w:val="0"/>
                <w:sz w:val="21"/>
                <w:szCs w:val="21"/>
              </w:rPr>
            </w:pPr>
            <w:r>
              <w:rPr>
                <w:rFonts w:hint="eastAsia"/>
                <w:color w:val="auto"/>
                <w:sz w:val="21"/>
                <w:szCs w:val="21"/>
              </w:rPr>
              <w:t>9.49E-04</w:t>
            </w:r>
          </w:p>
        </w:tc>
        <w:tc>
          <w:tcPr>
            <w:tcW w:w="922" w:type="pct"/>
            <w:shd w:val="clear" w:color="auto" w:fill="auto"/>
          </w:tcPr>
          <w:p w14:paraId="0B924EBD">
            <w:pPr>
              <w:widowControl/>
              <w:spacing w:line="240" w:lineRule="auto"/>
              <w:ind w:firstLine="420"/>
              <w:jc w:val="center"/>
              <w:rPr>
                <w:color w:val="auto"/>
                <w:kern w:val="0"/>
                <w:sz w:val="21"/>
                <w:szCs w:val="21"/>
              </w:rPr>
            </w:pPr>
            <w:r>
              <w:rPr>
                <w:rFonts w:hint="eastAsia"/>
                <w:color w:val="auto"/>
                <w:sz w:val="21"/>
                <w:szCs w:val="21"/>
              </w:rPr>
              <w:t>0.32</w:t>
            </w:r>
          </w:p>
        </w:tc>
        <w:tc>
          <w:tcPr>
            <w:tcW w:w="907" w:type="pct"/>
            <w:shd w:val="clear" w:color="auto" w:fill="auto"/>
          </w:tcPr>
          <w:p w14:paraId="06E3685A">
            <w:pPr>
              <w:widowControl/>
              <w:spacing w:line="240" w:lineRule="auto"/>
              <w:ind w:firstLine="420"/>
              <w:jc w:val="center"/>
              <w:rPr>
                <w:color w:val="auto"/>
                <w:kern w:val="0"/>
                <w:sz w:val="21"/>
                <w:szCs w:val="21"/>
              </w:rPr>
            </w:pPr>
            <w:r>
              <w:rPr>
                <w:rFonts w:hint="eastAsia"/>
                <w:color w:val="auto"/>
                <w:sz w:val="21"/>
                <w:szCs w:val="21"/>
              </w:rPr>
              <w:t>2.55E-04</w:t>
            </w:r>
          </w:p>
        </w:tc>
        <w:tc>
          <w:tcPr>
            <w:tcW w:w="632" w:type="pct"/>
            <w:shd w:val="clear" w:color="auto" w:fill="auto"/>
          </w:tcPr>
          <w:p w14:paraId="5D27074E">
            <w:pPr>
              <w:widowControl/>
              <w:spacing w:line="240" w:lineRule="auto"/>
              <w:ind w:firstLine="420"/>
              <w:jc w:val="center"/>
              <w:rPr>
                <w:color w:val="auto"/>
                <w:kern w:val="0"/>
                <w:sz w:val="21"/>
                <w:szCs w:val="21"/>
              </w:rPr>
            </w:pPr>
            <w:r>
              <w:rPr>
                <w:rFonts w:hint="eastAsia"/>
                <w:color w:val="auto"/>
                <w:sz w:val="21"/>
                <w:szCs w:val="21"/>
              </w:rPr>
              <w:t>0.13</w:t>
            </w:r>
          </w:p>
        </w:tc>
      </w:tr>
      <w:tr w14:paraId="2FD2F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7097156">
            <w:pPr>
              <w:widowControl/>
              <w:spacing w:line="240" w:lineRule="auto"/>
              <w:ind w:firstLine="0" w:firstLineChars="0"/>
              <w:jc w:val="center"/>
              <w:rPr>
                <w:color w:val="auto"/>
                <w:kern w:val="0"/>
                <w:sz w:val="21"/>
                <w:szCs w:val="21"/>
              </w:rPr>
            </w:pPr>
            <w:r>
              <w:rPr>
                <w:color w:val="auto"/>
                <w:kern w:val="0"/>
                <w:sz w:val="21"/>
                <w:szCs w:val="21"/>
              </w:rPr>
              <w:t>2300</w:t>
            </w:r>
          </w:p>
        </w:tc>
        <w:tc>
          <w:tcPr>
            <w:tcW w:w="673" w:type="pct"/>
            <w:shd w:val="clear" w:color="auto" w:fill="auto"/>
          </w:tcPr>
          <w:p w14:paraId="504DBD6B">
            <w:pPr>
              <w:widowControl/>
              <w:spacing w:line="240" w:lineRule="auto"/>
              <w:ind w:firstLine="420"/>
              <w:jc w:val="center"/>
              <w:rPr>
                <w:color w:val="auto"/>
                <w:kern w:val="0"/>
                <w:sz w:val="21"/>
                <w:szCs w:val="21"/>
              </w:rPr>
            </w:pPr>
            <w:r>
              <w:rPr>
                <w:rFonts w:hint="eastAsia"/>
                <w:color w:val="auto"/>
                <w:sz w:val="21"/>
                <w:szCs w:val="21"/>
              </w:rPr>
              <w:t>5.92E-04</w:t>
            </w:r>
          </w:p>
        </w:tc>
        <w:tc>
          <w:tcPr>
            <w:tcW w:w="578" w:type="pct"/>
            <w:shd w:val="clear" w:color="auto" w:fill="auto"/>
          </w:tcPr>
          <w:p w14:paraId="51688F28">
            <w:pPr>
              <w:widowControl/>
              <w:spacing w:line="240" w:lineRule="auto"/>
              <w:ind w:firstLine="420"/>
              <w:jc w:val="center"/>
              <w:rPr>
                <w:color w:val="auto"/>
                <w:kern w:val="0"/>
                <w:sz w:val="21"/>
                <w:szCs w:val="21"/>
              </w:rPr>
            </w:pPr>
            <w:r>
              <w:rPr>
                <w:rFonts w:hint="eastAsia"/>
                <w:color w:val="auto"/>
                <w:sz w:val="21"/>
                <w:szCs w:val="21"/>
              </w:rPr>
              <w:t>0.07</w:t>
            </w:r>
          </w:p>
        </w:tc>
        <w:tc>
          <w:tcPr>
            <w:tcW w:w="927" w:type="pct"/>
            <w:shd w:val="clear" w:color="auto" w:fill="auto"/>
          </w:tcPr>
          <w:p w14:paraId="3348D0D7">
            <w:pPr>
              <w:widowControl/>
              <w:spacing w:line="240" w:lineRule="auto"/>
              <w:ind w:firstLine="420"/>
              <w:jc w:val="center"/>
              <w:rPr>
                <w:color w:val="auto"/>
                <w:kern w:val="0"/>
                <w:sz w:val="21"/>
                <w:szCs w:val="21"/>
              </w:rPr>
            </w:pPr>
            <w:r>
              <w:rPr>
                <w:rFonts w:hint="eastAsia"/>
                <w:color w:val="auto"/>
                <w:sz w:val="21"/>
                <w:szCs w:val="21"/>
              </w:rPr>
              <w:t>9.35E-04</w:t>
            </w:r>
          </w:p>
        </w:tc>
        <w:tc>
          <w:tcPr>
            <w:tcW w:w="922" w:type="pct"/>
            <w:shd w:val="clear" w:color="auto" w:fill="auto"/>
          </w:tcPr>
          <w:p w14:paraId="0B80A3BF">
            <w:pPr>
              <w:widowControl/>
              <w:spacing w:line="240" w:lineRule="auto"/>
              <w:ind w:firstLine="420"/>
              <w:jc w:val="center"/>
              <w:rPr>
                <w:color w:val="auto"/>
                <w:kern w:val="0"/>
                <w:sz w:val="21"/>
                <w:szCs w:val="21"/>
              </w:rPr>
            </w:pPr>
            <w:r>
              <w:rPr>
                <w:rFonts w:hint="eastAsia"/>
                <w:color w:val="auto"/>
                <w:sz w:val="21"/>
                <w:szCs w:val="21"/>
              </w:rPr>
              <w:t>0.31</w:t>
            </w:r>
          </w:p>
        </w:tc>
        <w:tc>
          <w:tcPr>
            <w:tcW w:w="907" w:type="pct"/>
            <w:shd w:val="clear" w:color="auto" w:fill="auto"/>
          </w:tcPr>
          <w:p w14:paraId="61168F7B">
            <w:pPr>
              <w:widowControl/>
              <w:spacing w:line="240" w:lineRule="auto"/>
              <w:ind w:firstLine="420"/>
              <w:jc w:val="center"/>
              <w:rPr>
                <w:color w:val="auto"/>
                <w:kern w:val="0"/>
                <w:sz w:val="21"/>
                <w:szCs w:val="21"/>
              </w:rPr>
            </w:pPr>
            <w:r>
              <w:rPr>
                <w:rFonts w:hint="eastAsia"/>
                <w:color w:val="auto"/>
                <w:sz w:val="21"/>
                <w:szCs w:val="21"/>
              </w:rPr>
              <w:t>2.52E-04</w:t>
            </w:r>
          </w:p>
        </w:tc>
        <w:tc>
          <w:tcPr>
            <w:tcW w:w="632" w:type="pct"/>
            <w:shd w:val="clear" w:color="auto" w:fill="auto"/>
          </w:tcPr>
          <w:p w14:paraId="398B4B42">
            <w:pPr>
              <w:widowControl/>
              <w:spacing w:line="240" w:lineRule="auto"/>
              <w:ind w:firstLine="420"/>
              <w:jc w:val="center"/>
              <w:rPr>
                <w:color w:val="auto"/>
                <w:kern w:val="0"/>
                <w:sz w:val="21"/>
                <w:szCs w:val="21"/>
              </w:rPr>
            </w:pPr>
            <w:r>
              <w:rPr>
                <w:rFonts w:hint="eastAsia"/>
                <w:color w:val="auto"/>
                <w:sz w:val="21"/>
                <w:szCs w:val="21"/>
              </w:rPr>
              <w:t>0.13</w:t>
            </w:r>
          </w:p>
        </w:tc>
      </w:tr>
      <w:tr w14:paraId="6601B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BD51420">
            <w:pPr>
              <w:widowControl/>
              <w:spacing w:line="240" w:lineRule="auto"/>
              <w:ind w:firstLine="0" w:firstLineChars="0"/>
              <w:jc w:val="center"/>
              <w:rPr>
                <w:color w:val="auto"/>
                <w:kern w:val="0"/>
                <w:sz w:val="21"/>
                <w:szCs w:val="21"/>
              </w:rPr>
            </w:pPr>
            <w:r>
              <w:rPr>
                <w:color w:val="auto"/>
                <w:kern w:val="0"/>
                <w:sz w:val="21"/>
                <w:szCs w:val="21"/>
              </w:rPr>
              <w:t>2325</w:t>
            </w:r>
          </w:p>
        </w:tc>
        <w:tc>
          <w:tcPr>
            <w:tcW w:w="673" w:type="pct"/>
            <w:shd w:val="clear" w:color="auto" w:fill="auto"/>
          </w:tcPr>
          <w:p w14:paraId="4871DFCC">
            <w:pPr>
              <w:widowControl/>
              <w:spacing w:line="240" w:lineRule="auto"/>
              <w:ind w:firstLine="420"/>
              <w:jc w:val="center"/>
              <w:rPr>
                <w:color w:val="auto"/>
                <w:kern w:val="0"/>
                <w:sz w:val="21"/>
                <w:szCs w:val="21"/>
              </w:rPr>
            </w:pPr>
            <w:r>
              <w:rPr>
                <w:rFonts w:hint="eastAsia"/>
                <w:color w:val="auto"/>
                <w:sz w:val="21"/>
                <w:szCs w:val="21"/>
              </w:rPr>
              <w:t>5.83E-04</w:t>
            </w:r>
          </w:p>
        </w:tc>
        <w:tc>
          <w:tcPr>
            <w:tcW w:w="578" w:type="pct"/>
            <w:shd w:val="clear" w:color="auto" w:fill="auto"/>
          </w:tcPr>
          <w:p w14:paraId="53A37C96">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41EF5A69">
            <w:pPr>
              <w:widowControl/>
              <w:spacing w:line="240" w:lineRule="auto"/>
              <w:ind w:firstLine="420"/>
              <w:jc w:val="center"/>
              <w:rPr>
                <w:color w:val="auto"/>
                <w:kern w:val="0"/>
                <w:sz w:val="21"/>
                <w:szCs w:val="21"/>
              </w:rPr>
            </w:pPr>
            <w:r>
              <w:rPr>
                <w:rFonts w:hint="eastAsia"/>
                <w:color w:val="auto"/>
                <w:sz w:val="21"/>
                <w:szCs w:val="21"/>
              </w:rPr>
              <w:t>9.22E-04</w:t>
            </w:r>
          </w:p>
        </w:tc>
        <w:tc>
          <w:tcPr>
            <w:tcW w:w="922" w:type="pct"/>
            <w:shd w:val="clear" w:color="auto" w:fill="auto"/>
          </w:tcPr>
          <w:p w14:paraId="166C58C5">
            <w:pPr>
              <w:widowControl/>
              <w:spacing w:line="240" w:lineRule="auto"/>
              <w:ind w:firstLine="420"/>
              <w:jc w:val="center"/>
              <w:rPr>
                <w:color w:val="auto"/>
                <w:kern w:val="0"/>
                <w:sz w:val="21"/>
                <w:szCs w:val="21"/>
              </w:rPr>
            </w:pPr>
            <w:r>
              <w:rPr>
                <w:rFonts w:hint="eastAsia"/>
                <w:color w:val="auto"/>
                <w:sz w:val="21"/>
                <w:szCs w:val="21"/>
              </w:rPr>
              <w:t>0.31</w:t>
            </w:r>
          </w:p>
        </w:tc>
        <w:tc>
          <w:tcPr>
            <w:tcW w:w="907" w:type="pct"/>
            <w:shd w:val="clear" w:color="auto" w:fill="auto"/>
          </w:tcPr>
          <w:p w14:paraId="55964340">
            <w:pPr>
              <w:widowControl/>
              <w:spacing w:line="240" w:lineRule="auto"/>
              <w:ind w:firstLine="420"/>
              <w:jc w:val="center"/>
              <w:rPr>
                <w:color w:val="auto"/>
                <w:kern w:val="0"/>
                <w:sz w:val="21"/>
                <w:szCs w:val="21"/>
              </w:rPr>
            </w:pPr>
            <w:r>
              <w:rPr>
                <w:rFonts w:hint="eastAsia"/>
                <w:color w:val="auto"/>
                <w:sz w:val="21"/>
                <w:szCs w:val="21"/>
              </w:rPr>
              <w:t>2.48E-04</w:t>
            </w:r>
          </w:p>
        </w:tc>
        <w:tc>
          <w:tcPr>
            <w:tcW w:w="632" w:type="pct"/>
            <w:shd w:val="clear" w:color="auto" w:fill="auto"/>
          </w:tcPr>
          <w:p w14:paraId="009EC53F">
            <w:pPr>
              <w:widowControl/>
              <w:spacing w:line="240" w:lineRule="auto"/>
              <w:ind w:firstLine="420"/>
              <w:jc w:val="center"/>
              <w:rPr>
                <w:color w:val="auto"/>
                <w:kern w:val="0"/>
                <w:sz w:val="21"/>
                <w:szCs w:val="21"/>
              </w:rPr>
            </w:pPr>
            <w:r>
              <w:rPr>
                <w:rFonts w:hint="eastAsia"/>
                <w:color w:val="auto"/>
                <w:sz w:val="21"/>
                <w:szCs w:val="21"/>
              </w:rPr>
              <w:t>0.12</w:t>
            </w:r>
          </w:p>
        </w:tc>
      </w:tr>
      <w:tr w14:paraId="48772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9EDEA16">
            <w:pPr>
              <w:widowControl/>
              <w:spacing w:line="240" w:lineRule="auto"/>
              <w:ind w:firstLine="0" w:firstLineChars="0"/>
              <w:jc w:val="center"/>
              <w:rPr>
                <w:color w:val="auto"/>
                <w:kern w:val="0"/>
                <w:sz w:val="21"/>
                <w:szCs w:val="21"/>
              </w:rPr>
            </w:pPr>
            <w:r>
              <w:rPr>
                <w:color w:val="auto"/>
                <w:kern w:val="0"/>
                <w:sz w:val="21"/>
                <w:szCs w:val="21"/>
              </w:rPr>
              <w:t>2350</w:t>
            </w:r>
          </w:p>
        </w:tc>
        <w:tc>
          <w:tcPr>
            <w:tcW w:w="673" w:type="pct"/>
            <w:shd w:val="clear" w:color="auto" w:fill="auto"/>
          </w:tcPr>
          <w:p w14:paraId="673A3FCE">
            <w:pPr>
              <w:widowControl/>
              <w:spacing w:line="240" w:lineRule="auto"/>
              <w:ind w:firstLine="420"/>
              <w:jc w:val="center"/>
              <w:rPr>
                <w:color w:val="auto"/>
                <w:kern w:val="0"/>
                <w:sz w:val="21"/>
                <w:szCs w:val="21"/>
              </w:rPr>
            </w:pPr>
            <w:r>
              <w:rPr>
                <w:rFonts w:hint="eastAsia"/>
                <w:color w:val="auto"/>
                <w:sz w:val="21"/>
                <w:szCs w:val="21"/>
              </w:rPr>
              <w:t>5.75E-04</w:t>
            </w:r>
          </w:p>
        </w:tc>
        <w:tc>
          <w:tcPr>
            <w:tcW w:w="578" w:type="pct"/>
            <w:shd w:val="clear" w:color="auto" w:fill="auto"/>
          </w:tcPr>
          <w:p w14:paraId="40AEBEAB">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0AD57121">
            <w:pPr>
              <w:widowControl/>
              <w:spacing w:line="240" w:lineRule="auto"/>
              <w:ind w:firstLine="420"/>
              <w:jc w:val="center"/>
              <w:rPr>
                <w:color w:val="auto"/>
                <w:kern w:val="0"/>
                <w:sz w:val="21"/>
                <w:szCs w:val="21"/>
              </w:rPr>
            </w:pPr>
            <w:r>
              <w:rPr>
                <w:rFonts w:hint="eastAsia"/>
                <w:color w:val="auto"/>
                <w:sz w:val="21"/>
                <w:szCs w:val="21"/>
              </w:rPr>
              <w:t>9.09E-04</w:t>
            </w:r>
          </w:p>
        </w:tc>
        <w:tc>
          <w:tcPr>
            <w:tcW w:w="922" w:type="pct"/>
            <w:shd w:val="clear" w:color="auto" w:fill="auto"/>
          </w:tcPr>
          <w:p w14:paraId="3961ABA5">
            <w:pPr>
              <w:widowControl/>
              <w:spacing w:line="240" w:lineRule="auto"/>
              <w:ind w:firstLine="420"/>
              <w:jc w:val="center"/>
              <w:rPr>
                <w:color w:val="auto"/>
                <w:kern w:val="0"/>
                <w:sz w:val="21"/>
                <w:szCs w:val="21"/>
              </w:rPr>
            </w:pPr>
            <w:r>
              <w:rPr>
                <w:rFonts w:hint="eastAsia"/>
                <w:color w:val="auto"/>
                <w:sz w:val="21"/>
                <w:szCs w:val="21"/>
              </w:rPr>
              <w:t>0.30</w:t>
            </w:r>
          </w:p>
        </w:tc>
        <w:tc>
          <w:tcPr>
            <w:tcW w:w="907" w:type="pct"/>
            <w:shd w:val="clear" w:color="auto" w:fill="auto"/>
          </w:tcPr>
          <w:p w14:paraId="7302BCAB">
            <w:pPr>
              <w:widowControl/>
              <w:spacing w:line="240" w:lineRule="auto"/>
              <w:ind w:firstLine="420"/>
              <w:jc w:val="center"/>
              <w:rPr>
                <w:color w:val="auto"/>
                <w:kern w:val="0"/>
                <w:sz w:val="21"/>
                <w:szCs w:val="21"/>
              </w:rPr>
            </w:pPr>
            <w:r>
              <w:rPr>
                <w:rFonts w:hint="eastAsia"/>
                <w:color w:val="auto"/>
                <w:sz w:val="21"/>
                <w:szCs w:val="21"/>
              </w:rPr>
              <w:t>2.45E-04</w:t>
            </w:r>
          </w:p>
        </w:tc>
        <w:tc>
          <w:tcPr>
            <w:tcW w:w="632" w:type="pct"/>
            <w:shd w:val="clear" w:color="auto" w:fill="auto"/>
          </w:tcPr>
          <w:p w14:paraId="4B0CE342">
            <w:pPr>
              <w:widowControl/>
              <w:spacing w:line="240" w:lineRule="auto"/>
              <w:ind w:firstLine="420"/>
              <w:jc w:val="center"/>
              <w:rPr>
                <w:color w:val="auto"/>
                <w:kern w:val="0"/>
                <w:sz w:val="21"/>
                <w:szCs w:val="21"/>
              </w:rPr>
            </w:pPr>
            <w:r>
              <w:rPr>
                <w:rFonts w:hint="eastAsia"/>
                <w:color w:val="auto"/>
                <w:sz w:val="21"/>
                <w:szCs w:val="21"/>
              </w:rPr>
              <w:t>0.12</w:t>
            </w:r>
          </w:p>
        </w:tc>
      </w:tr>
      <w:tr w14:paraId="21B27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F1E1404">
            <w:pPr>
              <w:widowControl/>
              <w:spacing w:line="240" w:lineRule="auto"/>
              <w:ind w:firstLine="0" w:firstLineChars="0"/>
              <w:jc w:val="center"/>
              <w:rPr>
                <w:color w:val="auto"/>
                <w:kern w:val="0"/>
                <w:sz w:val="21"/>
                <w:szCs w:val="21"/>
              </w:rPr>
            </w:pPr>
            <w:r>
              <w:rPr>
                <w:color w:val="auto"/>
                <w:kern w:val="0"/>
                <w:sz w:val="21"/>
                <w:szCs w:val="21"/>
              </w:rPr>
              <w:t>2375</w:t>
            </w:r>
          </w:p>
        </w:tc>
        <w:tc>
          <w:tcPr>
            <w:tcW w:w="673" w:type="pct"/>
            <w:shd w:val="clear" w:color="auto" w:fill="auto"/>
          </w:tcPr>
          <w:p w14:paraId="5FF29C77">
            <w:pPr>
              <w:widowControl/>
              <w:spacing w:line="240" w:lineRule="auto"/>
              <w:ind w:firstLine="420"/>
              <w:jc w:val="center"/>
              <w:rPr>
                <w:color w:val="auto"/>
                <w:kern w:val="0"/>
                <w:sz w:val="21"/>
                <w:szCs w:val="21"/>
              </w:rPr>
            </w:pPr>
            <w:r>
              <w:rPr>
                <w:rFonts w:hint="eastAsia"/>
                <w:color w:val="auto"/>
                <w:sz w:val="21"/>
                <w:szCs w:val="21"/>
              </w:rPr>
              <w:t>5.67E-04</w:t>
            </w:r>
          </w:p>
        </w:tc>
        <w:tc>
          <w:tcPr>
            <w:tcW w:w="578" w:type="pct"/>
            <w:shd w:val="clear" w:color="auto" w:fill="auto"/>
          </w:tcPr>
          <w:p w14:paraId="79697837">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5E35C0E7">
            <w:pPr>
              <w:widowControl/>
              <w:spacing w:line="240" w:lineRule="auto"/>
              <w:ind w:firstLine="420"/>
              <w:jc w:val="center"/>
              <w:rPr>
                <w:color w:val="auto"/>
                <w:kern w:val="0"/>
                <w:sz w:val="21"/>
                <w:szCs w:val="21"/>
              </w:rPr>
            </w:pPr>
            <w:r>
              <w:rPr>
                <w:rFonts w:hint="eastAsia"/>
                <w:color w:val="auto"/>
                <w:sz w:val="21"/>
                <w:szCs w:val="21"/>
              </w:rPr>
              <w:t>8.97E-04</w:t>
            </w:r>
          </w:p>
        </w:tc>
        <w:tc>
          <w:tcPr>
            <w:tcW w:w="922" w:type="pct"/>
            <w:shd w:val="clear" w:color="auto" w:fill="auto"/>
          </w:tcPr>
          <w:p w14:paraId="4F363F8D">
            <w:pPr>
              <w:widowControl/>
              <w:spacing w:line="240" w:lineRule="auto"/>
              <w:ind w:firstLine="420"/>
              <w:jc w:val="center"/>
              <w:rPr>
                <w:color w:val="auto"/>
                <w:kern w:val="0"/>
                <w:sz w:val="21"/>
                <w:szCs w:val="21"/>
              </w:rPr>
            </w:pPr>
            <w:r>
              <w:rPr>
                <w:rFonts w:hint="eastAsia"/>
                <w:color w:val="auto"/>
                <w:sz w:val="21"/>
                <w:szCs w:val="21"/>
              </w:rPr>
              <w:t>0.30</w:t>
            </w:r>
          </w:p>
        </w:tc>
        <w:tc>
          <w:tcPr>
            <w:tcW w:w="907" w:type="pct"/>
            <w:shd w:val="clear" w:color="auto" w:fill="auto"/>
          </w:tcPr>
          <w:p w14:paraId="6F30D1B2">
            <w:pPr>
              <w:widowControl/>
              <w:spacing w:line="240" w:lineRule="auto"/>
              <w:ind w:firstLine="420"/>
              <w:jc w:val="center"/>
              <w:rPr>
                <w:color w:val="auto"/>
                <w:kern w:val="0"/>
                <w:sz w:val="21"/>
                <w:szCs w:val="21"/>
              </w:rPr>
            </w:pPr>
            <w:r>
              <w:rPr>
                <w:rFonts w:hint="eastAsia"/>
                <w:color w:val="auto"/>
                <w:sz w:val="21"/>
                <w:szCs w:val="21"/>
              </w:rPr>
              <w:t>2.41E-04</w:t>
            </w:r>
          </w:p>
        </w:tc>
        <w:tc>
          <w:tcPr>
            <w:tcW w:w="632" w:type="pct"/>
            <w:shd w:val="clear" w:color="auto" w:fill="auto"/>
          </w:tcPr>
          <w:p w14:paraId="3EE992D3">
            <w:pPr>
              <w:widowControl/>
              <w:spacing w:line="240" w:lineRule="auto"/>
              <w:ind w:firstLine="420"/>
              <w:jc w:val="center"/>
              <w:rPr>
                <w:color w:val="auto"/>
                <w:kern w:val="0"/>
                <w:sz w:val="21"/>
                <w:szCs w:val="21"/>
              </w:rPr>
            </w:pPr>
            <w:r>
              <w:rPr>
                <w:rFonts w:hint="eastAsia"/>
                <w:color w:val="auto"/>
                <w:sz w:val="21"/>
                <w:szCs w:val="21"/>
              </w:rPr>
              <w:t>0.12</w:t>
            </w:r>
          </w:p>
        </w:tc>
      </w:tr>
      <w:tr w14:paraId="1C56B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6A14053">
            <w:pPr>
              <w:widowControl/>
              <w:spacing w:line="240" w:lineRule="auto"/>
              <w:ind w:firstLine="0" w:firstLineChars="0"/>
              <w:jc w:val="center"/>
              <w:rPr>
                <w:color w:val="auto"/>
                <w:kern w:val="0"/>
                <w:sz w:val="21"/>
                <w:szCs w:val="21"/>
              </w:rPr>
            </w:pPr>
            <w:r>
              <w:rPr>
                <w:color w:val="auto"/>
                <w:kern w:val="0"/>
                <w:sz w:val="21"/>
                <w:szCs w:val="21"/>
              </w:rPr>
              <w:t>2400</w:t>
            </w:r>
          </w:p>
        </w:tc>
        <w:tc>
          <w:tcPr>
            <w:tcW w:w="673" w:type="pct"/>
            <w:shd w:val="clear" w:color="auto" w:fill="auto"/>
          </w:tcPr>
          <w:p w14:paraId="032DA3C5">
            <w:pPr>
              <w:widowControl/>
              <w:spacing w:line="240" w:lineRule="auto"/>
              <w:ind w:firstLine="420"/>
              <w:jc w:val="center"/>
              <w:rPr>
                <w:color w:val="auto"/>
                <w:kern w:val="0"/>
                <w:sz w:val="21"/>
                <w:szCs w:val="21"/>
              </w:rPr>
            </w:pPr>
            <w:r>
              <w:rPr>
                <w:rFonts w:hint="eastAsia"/>
                <w:color w:val="auto"/>
                <w:sz w:val="21"/>
                <w:szCs w:val="21"/>
              </w:rPr>
              <w:t>5.60E-04</w:t>
            </w:r>
          </w:p>
        </w:tc>
        <w:tc>
          <w:tcPr>
            <w:tcW w:w="578" w:type="pct"/>
            <w:shd w:val="clear" w:color="auto" w:fill="auto"/>
          </w:tcPr>
          <w:p w14:paraId="08F07A76">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0C96B5B3">
            <w:pPr>
              <w:widowControl/>
              <w:spacing w:line="240" w:lineRule="auto"/>
              <w:ind w:firstLine="420"/>
              <w:jc w:val="center"/>
              <w:rPr>
                <w:color w:val="auto"/>
                <w:kern w:val="0"/>
                <w:sz w:val="21"/>
                <w:szCs w:val="21"/>
              </w:rPr>
            </w:pPr>
            <w:r>
              <w:rPr>
                <w:rFonts w:hint="eastAsia"/>
                <w:color w:val="auto"/>
                <w:sz w:val="21"/>
                <w:szCs w:val="21"/>
              </w:rPr>
              <w:t>8.85E-04</w:t>
            </w:r>
          </w:p>
        </w:tc>
        <w:tc>
          <w:tcPr>
            <w:tcW w:w="922" w:type="pct"/>
            <w:shd w:val="clear" w:color="auto" w:fill="auto"/>
          </w:tcPr>
          <w:p w14:paraId="0CC53A4F">
            <w:pPr>
              <w:widowControl/>
              <w:spacing w:line="240" w:lineRule="auto"/>
              <w:ind w:firstLine="420"/>
              <w:jc w:val="center"/>
              <w:rPr>
                <w:color w:val="auto"/>
                <w:kern w:val="0"/>
                <w:sz w:val="21"/>
                <w:szCs w:val="21"/>
              </w:rPr>
            </w:pPr>
            <w:r>
              <w:rPr>
                <w:rFonts w:hint="eastAsia"/>
                <w:color w:val="auto"/>
                <w:sz w:val="21"/>
                <w:szCs w:val="21"/>
              </w:rPr>
              <w:t>0.29</w:t>
            </w:r>
          </w:p>
        </w:tc>
        <w:tc>
          <w:tcPr>
            <w:tcW w:w="907" w:type="pct"/>
            <w:shd w:val="clear" w:color="auto" w:fill="auto"/>
          </w:tcPr>
          <w:p w14:paraId="055AAC51">
            <w:pPr>
              <w:widowControl/>
              <w:spacing w:line="240" w:lineRule="auto"/>
              <w:ind w:firstLine="420"/>
              <w:jc w:val="center"/>
              <w:rPr>
                <w:color w:val="auto"/>
                <w:kern w:val="0"/>
                <w:sz w:val="21"/>
                <w:szCs w:val="21"/>
              </w:rPr>
            </w:pPr>
            <w:r>
              <w:rPr>
                <w:rFonts w:hint="eastAsia"/>
                <w:color w:val="auto"/>
                <w:sz w:val="21"/>
                <w:szCs w:val="21"/>
              </w:rPr>
              <w:t>2.38E-04</w:t>
            </w:r>
          </w:p>
        </w:tc>
        <w:tc>
          <w:tcPr>
            <w:tcW w:w="632" w:type="pct"/>
            <w:shd w:val="clear" w:color="auto" w:fill="auto"/>
          </w:tcPr>
          <w:p w14:paraId="0291542C">
            <w:pPr>
              <w:widowControl/>
              <w:spacing w:line="240" w:lineRule="auto"/>
              <w:ind w:firstLine="420"/>
              <w:jc w:val="center"/>
              <w:rPr>
                <w:color w:val="auto"/>
                <w:kern w:val="0"/>
                <w:sz w:val="21"/>
                <w:szCs w:val="21"/>
              </w:rPr>
            </w:pPr>
            <w:r>
              <w:rPr>
                <w:rFonts w:hint="eastAsia"/>
                <w:color w:val="auto"/>
                <w:sz w:val="21"/>
                <w:szCs w:val="21"/>
              </w:rPr>
              <w:t>0.12</w:t>
            </w:r>
          </w:p>
        </w:tc>
      </w:tr>
      <w:tr w14:paraId="16A8F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46606A27">
            <w:pPr>
              <w:widowControl/>
              <w:spacing w:line="240" w:lineRule="auto"/>
              <w:ind w:firstLine="0" w:firstLineChars="0"/>
              <w:jc w:val="center"/>
              <w:rPr>
                <w:color w:val="auto"/>
                <w:kern w:val="0"/>
                <w:sz w:val="21"/>
                <w:szCs w:val="21"/>
              </w:rPr>
            </w:pPr>
            <w:r>
              <w:rPr>
                <w:color w:val="auto"/>
                <w:kern w:val="0"/>
                <w:sz w:val="21"/>
                <w:szCs w:val="21"/>
              </w:rPr>
              <w:t>2425</w:t>
            </w:r>
          </w:p>
        </w:tc>
        <w:tc>
          <w:tcPr>
            <w:tcW w:w="673" w:type="pct"/>
            <w:shd w:val="clear" w:color="auto" w:fill="auto"/>
          </w:tcPr>
          <w:p w14:paraId="7BD5328B">
            <w:pPr>
              <w:widowControl/>
              <w:spacing w:line="240" w:lineRule="auto"/>
              <w:ind w:firstLine="420"/>
              <w:jc w:val="center"/>
              <w:rPr>
                <w:color w:val="auto"/>
                <w:kern w:val="0"/>
                <w:sz w:val="21"/>
                <w:szCs w:val="21"/>
              </w:rPr>
            </w:pPr>
            <w:r>
              <w:rPr>
                <w:rFonts w:hint="eastAsia"/>
                <w:color w:val="auto"/>
                <w:sz w:val="21"/>
                <w:szCs w:val="21"/>
              </w:rPr>
              <w:t>5.52E-04</w:t>
            </w:r>
          </w:p>
        </w:tc>
        <w:tc>
          <w:tcPr>
            <w:tcW w:w="578" w:type="pct"/>
            <w:shd w:val="clear" w:color="auto" w:fill="auto"/>
          </w:tcPr>
          <w:p w14:paraId="3D00F4E2">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68BF5BA4">
            <w:pPr>
              <w:widowControl/>
              <w:spacing w:line="240" w:lineRule="auto"/>
              <w:ind w:firstLine="420"/>
              <w:jc w:val="center"/>
              <w:rPr>
                <w:color w:val="auto"/>
                <w:kern w:val="0"/>
                <w:sz w:val="21"/>
                <w:szCs w:val="21"/>
              </w:rPr>
            </w:pPr>
            <w:r>
              <w:rPr>
                <w:rFonts w:hint="eastAsia"/>
                <w:color w:val="auto"/>
                <w:sz w:val="21"/>
                <w:szCs w:val="21"/>
              </w:rPr>
              <w:t>8.73E-04</w:t>
            </w:r>
          </w:p>
        </w:tc>
        <w:tc>
          <w:tcPr>
            <w:tcW w:w="922" w:type="pct"/>
            <w:shd w:val="clear" w:color="auto" w:fill="auto"/>
          </w:tcPr>
          <w:p w14:paraId="102B7EBE">
            <w:pPr>
              <w:widowControl/>
              <w:spacing w:line="240" w:lineRule="auto"/>
              <w:ind w:firstLine="420"/>
              <w:jc w:val="center"/>
              <w:rPr>
                <w:color w:val="auto"/>
                <w:kern w:val="0"/>
                <w:sz w:val="21"/>
                <w:szCs w:val="21"/>
              </w:rPr>
            </w:pPr>
            <w:r>
              <w:rPr>
                <w:rFonts w:hint="eastAsia"/>
                <w:color w:val="auto"/>
                <w:sz w:val="21"/>
                <w:szCs w:val="21"/>
              </w:rPr>
              <w:t>0.29</w:t>
            </w:r>
          </w:p>
        </w:tc>
        <w:tc>
          <w:tcPr>
            <w:tcW w:w="907" w:type="pct"/>
            <w:shd w:val="clear" w:color="auto" w:fill="auto"/>
          </w:tcPr>
          <w:p w14:paraId="6FAA0288">
            <w:pPr>
              <w:widowControl/>
              <w:spacing w:line="240" w:lineRule="auto"/>
              <w:ind w:firstLine="420"/>
              <w:jc w:val="center"/>
              <w:rPr>
                <w:color w:val="auto"/>
                <w:kern w:val="0"/>
                <w:sz w:val="21"/>
                <w:szCs w:val="21"/>
              </w:rPr>
            </w:pPr>
            <w:r>
              <w:rPr>
                <w:rFonts w:hint="eastAsia"/>
                <w:color w:val="auto"/>
                <w:sz w:val="21"/>
                <w:szCs w:val="21"/>
              </w:rPr>
              <w:t>2.35E-04</w:t>
            </w:r>
          </w:p>
        </w:tc>
        <w:tc>
          <w:tcPr>
            <w:tcW w:w="632" w:type="pct"/>
            <w:shd w:val="clear" w:color="auto" w:fill="auto"/>
          </w:tcPr>
          <w:p w14:paraId="68300E7E">
            <w:pPr>
              <w:widowControl/>
              <w:spacing w:line="240" w:lineRule="auto"/>
              <w:ind w:firstLine="420"/>
              <w:jc w:val="center"/>
              <w:rPr>
                <w:color w:val="auto"/>
                <w:kern w:val="0"/>
                <w:sz w:val="21"/>
                <w:szCs w:val="21"/>
              </w:rPr>
            </w:pPr>
            <w:r>
              <w:rPr>
                <w:rFonts w:hint="eastAsia"/>
                <w:color w:val="auto"/>
                <w:sz w:val="21"/>
                <w:szCs w:val="21"/>
              </w:rPr>
              <w:t>0.12</w:t>
            </w:r>
          </w:p>
        </w:tc>
      </w:tr>
      <w:tr w14:paraId="03D9E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6B3E037D">
            <w:pPr>
              <w:widowControl/>
              <w:spacing w:line="240" w:lineRule="auto"/>
              <w:ind w:firstLine="0" w:firstLineChars="0"/>
              <w:jc w:val="center"/>
              <w:rPr>
                <w:color w:val="auto"/>
                <w:kern w:val="0"/>
                <w:sz w:val="21"/>
                <w:szCs w:val="21"/>
              </w:rPr>
            </w:pPr>
            <w:r>
              <w:rPr>
                <w:color w:val="auto"/>
                <w:kern w:val="0"/>
                <w:sz w:val="21"/>
                <w:szCs w:val="21"/>
              </w:rPr>
              <w:t>2450</w:t>
            </w:r>
          </w:p>
        </w:tc>
        <w:tc>
          <w:tcPr>
            <w:tcW w:w="673" w:type="pct"/>
            <w:shd w:val="clear" w:color="auto" w:fill="auto"/>
          </w:tcPr>
          <w:p w14:paraId="4518D22A">
            <w:pPr>
              <w:widowControl/>
              <w:spacing w:line="240" w:lineRule="auto"/>
              <w:ind w:firstLine="420"/>
              <w:jc w:val="center"/>
              <w:rPr>
                <w:color w:val="auto"/>
                <w:kern w:val="0"/>
                <w:sz w:val="21"/>
                <w:szCs w:val="21"/>
              </w:rPr>
            </w:pPr>
            <w:r>
              <w:rPr>
                <w:rFonts w:hint="eastAsia"/>
                <w:color w:val="auto"/>
                <w:sz w:val="21"/>
                <w:szCs w:val="21"/>
              </w:rPr>
              <w:t>5.45E-04</w:t>
            </w:r>
          </w:p>
        </w:tc>
        <w:tc>
          <w:tcPr>
            <w:tcW w:w="578" w:type="pct"/>
            <w:shd w:val="clear" w:color="auto" w:fill="auto"/>
          </w:tcPr>
          <w:p w14:paraId="6443638E">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084F37AC">
            <w:pPr>
              <w:widowControl/>
              <w:spacing w:line="240" w:lineRule="auto"/>
              <w:ind w:firstLine="420"/>
              <w:jc w:val="center"/>
              <w:rPr>
                <w:color w:val="auto"/>
                <w:kern w:val="0"/>
                <w:sz w:val="21"/>
                <w:szCs w:val="21"/>
              </w:rPr>
            </w:pPr>
            <w:r>
              <w:rPr>
                <w:rFonts w:hint="eastAsia"/>
                <w:color w:val="auto"/>
                <w:sz w:val="21"/>
                <w:szCs w:val="21"/>
              </w:rPr>
              <w:t>8.61E-04</w:t>
            </w:r>
          </w:p>
        </w:tc>
        <w:tc>
          <w:tcPr>
            <w:tcW w:w="922" w:type="pct"/>
            <w:shd w:val="clear" w:color="auto" w:fill="auto"/>
          </w:tcPr>
          <w:p w14:paraId="62178957">
            <w:pPr>
              <w:widowControl/>
              <w:spacing w:line="240" w:lineRule="auto"/>
              <w:ind w:firstLine="420"/>
              <w:jc w:val="center"/>
              <w:rPr>
                <w:color w:val="auto"/>
                <w:kern w:val="0"/>
                <w:sz w:val="21"/>
                <w:szCs w:val="21"/>
              </w:rPr>
            </w:pPr>
            <w:r>
              <w:rPr>
                <w:rFonts w:hint="eastAsia"/>
                <w:color w:val="auto"/>
                <w:sz w:val="21"/>
                <w:szCs w:val="21"/>
              </w:rPr>
              <w:t>0.29</w:t>
            </w:r>
          </w:p>
        </w:tc>
        <w:tc>
          <w:tcPr>
            <w:tcW w:w="907" w:type="pct"/>
            <w:shd w:val="clear" w:color="auto" w:fill="auto"/>
          </w:tcPr>
          <w:p w14:paraId="3BFCAFDD">
            <w:pPr>
              <w:widowControl/>
              <w:spacing w:line="240" w:lineRule="auto"/>
              <w:ind w:firstLine="420"/>
              <w:jc w:val="center"/>
              <w:rPr>
                <w:color w:val="auto"/>
                <w:kern w:val="0"/>
                <w:sz w:val="21"/>
                <w:szCs w:val="21"/>
              </w:rPr>
            </w:pPr>
            <w:r>
              <w:rPr>
                <w:rFonts w:hint="eastAsia"/>
                <w:color w:val="auto"/>
                <w:sz w:val="21"/>
                <w:szCs w:val="21"/>
              </w:rPr>
              <w:t>2.32E-04</w:t>
            </w:r>
          </w:p>
        </w:tc>
        <w:tc>
          <w:tcPr>
            <w:tcW w:w="632" w:type="pct"/>
            <w:shd w:val="clear" w:color="auto" w:fill="auto"/>
          </w:tcPr>
          <w:p w14:paraId="67F38248">
            <w:pPr>
              <w:widowControl/>
              <w:spacing w:line="240" w:lineRule="auto"/>
              <w:ind w:firstLine="420"/>
              <w:jc w:val="center"/>
              <w:rPr>
                <w:color w:val="auto"/>
                <w:kern w:val="0"/>
                <w:sz w:val="21"/>
                <w:szCs w:val="21"/>
              </w:rPr>
            </w:pPr>
            <w:r>
              <w:rPr>
                <w:rFonts w:hint="eastAsia"/>
                <w:color w:val="auto"/>
                <w:sz w:val="21"/>
                <w:szCs w:val="21"/>
              </w:rPr>
              <w:t>0.12</w:t>
            </w:r>
          </w:p>
        </w:tc>
      </w:tr>
      <w:tr w14:paraId="75B40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5A2E99E6">
            <w:pPr>
              <w:widowControl/>
              <w:spacing w:line="240" w:lineRule="auto"/>
              <w:ind w:firstLine="0" w:firstLineChars="0"/>
              <w:jc w:val="center"/>
              <w:rPr>
                <w:color w:val="auto"/>
                <w:kern w:val="0"/>
                <w:sz w:val="21"/>
                <w:szCs w:val="21"/>
              </w:rPr>
            </w:pPr>
            <w:r>
              <w:rPr>
                <w:color w:val="auto"/>
                <w:kern w:val="0"/>
                <w:sz w:val="21"/>
                <w:szCs w:val="21"/>
              </w:rPr>
              <w:t>2475</w:t>
            </w:r>
          </w:p>
        </w:tc>
        <w:tc>
          <w:tcPr>
            <w:tcW w:w="673" w:type="pct"/>
            <w:shd w:val="clear" w:color="auto" w:fill="auto"/>
          </w:tcPr>
          <w:p w14:paraId="48D2FB4C">
            <w:pPr>
              <w:widowControl/>
              <w:spacing w:line="240" w:lineRule="auto"/>
              <w:ind w:firstLine="420"/>
              <w:jc w:val="center"/>
              <w:rPr>
                <w:color w:val="auto"/>
                <w:kern w:val="0"/>
                <w:sz w:val="21"/>
                <w:szCs w:val="21"/>
              </w:rPr>
            </w:pPr>
            <w:r>
              <w:rPr>
                <w:rFonts w:hint="eastAsia"/>
                <w:color w:val="auto"/>
                <w:sz w:val="21"/>
                <w:szCs w:val="21"/>
              </w:rPr>
              <w:t>5.37E-04</w:t>
            </w:r>
          </w:p>
        </w:tc>
        <w:tc>
          <w:tcPr>
            <w:tcW w:w="578" w:type="pct"/>
            <w:shd w:val="clear" w:color="auto" w:fill="auto"/>
          </w:tcPr>
          <w:p w14:paraId="60FF7E48">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449C6AAB">
            <w:pPr>
              <w:widowControl/>
              <w:spacing w:line="240" w:lineRule="auto"/>
              <w:ind w:firstLine="420"/>
              <w:jc w:val="center"/>
              <w:rPr>
                <w:color w:val="auto"/>
                <w:kern w:val="0"/>
                <w:sz w:val="21"/>
                <w:szCs w:val="21"/>
              </w:rPr>
            </w:pPr>
            <w:r>
              <w:rPr>
                <w:rFonts w:hint="eastAsia"/>
                <w:color w:val="auto"/>
                <w:sz w:val="21"/>
                <w:szCs w:val="21"/>
              </w:rPr>
              <w:t>8.50E-04</w:t>
            </w:r>
          </w:p>
        </w:tc>
        <w:tc>
          <w:tcPr>
            <w:tcW w:w="922" w:type="pct"/>
            <w:shd w:val="clear" w:color="auto" w:fill="auto"/>
          </w:tcPr>
          <w:p w14:paraId="3FB50C25">
            <w:pPr>
              <w:widowControl/>
              <w:spacing w:line="240" w:lineRule="auto"/>
              <w:ind w:firstLine="420"/>
              <w:jc w:val="center"/>
              <w:rPr>
                <w:color w:val="auto"/>
                <w:kern w:val="0"/>
                <w:sz w:val="21"/>
                <w:szCs w:val="21"/>
              </w:rPr>
            </w:pPr>
            <w:r>
              <w:rPr>
                <w:rFonts w:hint="eastAsia"/>
                <w:color w:val="auto"/>
                <w:sz w:val="21"/>
                <w:szCs w:val="21"/>
              </w:rPr>
              <w:t>0.28</w:t>
            </w:r>
          </w:p>
        </w:tc>
        <w:tc>
          <w:tcPr>
            <w:tcW w:w="907" w:type="pct"/>
            <w:shd w:val="clear" w:color="auto" w:fill="auto"/>
          </w:tcPr>
          <w:p w14:paraId="1F9FC21B">
            <w:pPr>
              <w:widowControl/>
              <w:spacing w:line="240" w:lineRule="auto"/>
              <w:ind w:firstLine="420"/>
              <w:jc w:val="center"/>
              <w:rPr>
                <w:color w:val="auto"/>
                <w:kern w:val="0"/>
                <w:sz w:val="21"/>
                <w:szCs w:val="21"/>
              </w:rPr>
            </w:pPr>
            <w:r>
              <w:rPr>
                <w:rFonts w:hint="eastAsia"/>
                <w:color w:val="auto"/>
                <w:sz w:val="21"/>
                <w:szCs w:val="21"/>
              </w:rPr>
              <w:t>2.29E-04</w:t>
            </w:r>
          </w:p>
        </w:tc>
        <w:tc>
          <w:tcPr>
            <w:tcW w:w="632" w:type="pct"/>
            <w:shd w:val="clear" w:color="auto" w:fill="auto"/>
          </w:tcPr>
          <w:p w14:paraId="4EE65768">
            <w:pPr>
              <w:widowControl/>
              <w:spacing w:line="240" w:lineRule="auto"/>
              <w:ind w:firstLine="420"/>
              <w:jc w:val="center"/>
              <w:rPr>
                <w:color w:val="auto"/>
                <w:kern w:val="0"/>
                <w:sz w:val="21"/>
                <w:szCs w:val="21"/>
              </w:rPr>
            </w:pPr>
            <w:r>
              <w:rPr>
                <w:rFonts w:hint="eastAsia"/>
                <w:color w:val="auto"/>
                <w:sz w:val="21"/>
                <w:szCs w:val="21"/>
              </w:rPr>
              <w:t>0.11</w:t>
            </w:r>
          </w:p>
        </w:tc>
      </w:tr>
      <w:tr w14:paraId="5EAA7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359" w:type="pct"/>
            <w:shd w:val="clear" w:color="auto" w:fill="auto"/>
            <w:vAlign w:val="center"/>
          </w:tcPr>
          <w:p w14:paraId="15EBB43D">
            <w:pPr>
              <w:widowControl/>
              <w:spacing w:line="240" w:lineRule="auto"/>
              <w:ind w:firstLine="0" w:firstLineChars="0"/>
              <w:jc w:val="center"/>
              <w:rPr>
                <w:color w:val="auto"/>
                <w:kern w:val="0"/>
                <w:sz w:val="21"/>
                <w:szCs w:val="21"/>
              </w:rPr>
            </w:pPr>
            <w:r>
              <w:rPr>
                <w:color w:val="auto"/>
                <w:kern w:val="0"/>
                <w:sz w:val="21"/>
                <w:szCs w:val="21"/>
              </w:rPr>
              <w:t>2500</w:t>
            </w:r>
          </w:p>
        </w:tc>
        <w:tc>
          <w:tcPr>
            <w:tcW w:w="673" w:type="pct"/>
            <w:shd w:val="clear" w:color="auto" w:fill="auto"/>
          </w:tcPr>
          <w:p w14:paraId="0E6E539E">
            <w:pPr>
              <w:widowControl/>
              <w:spacing w:line="240" w:lineRule="auto"/>
              <w:ind w:firstLine="420"/>
              <w:jc w:val="center"/>
              <w:rPr>
                <w:color w:val="auto"/>
                <w:kern w:val="0"/>
                <w:sz w:val="21"/>
                <w:szCs w:val="21"/>
              </w:rPr>
            </w:pPr>
            <w:r>
              <w:rPr>
                <w:rFonts w:hint="eastAsia"/>
                <w:color w:val="auto"/>
                <w:sz w:val="21"/>
                <w:szCs w:val="21"/>
              </w:rPr>
              <w:t>5.30E-04</w:t>
            </w:r>
          </w:p>
        </w:tc>
        <w:tc>
          <w:tcPr>
            <w:tcW w:w="578" w:type="pct"/>
            <w:shd w:val="clear" w:color="auto" w:fill="auto"/>
          </w:tcPr>
          <w:p w14:paraId="398A8481">
            <w:pPr>
              <w:widowControl/>
              <w:spacing w:line="240" w:lineRule="auto"/>
              <w:ind w:firstLine="420"/>
              <w:jc w:val="center"/>
              <w:rPr>
                <w:color w:val="auto"/>
                <w:kern w:val="0"/>
                <w:sz w:val="21"/>
                <w:szCs w:val="21"/>
              </w:rPr>
            </w:pPr>
            <w:r>
              <w:rPr>
                <w:rFonts w:hint="eastAsia"/>
                <w:color w:val="auto"/>
                <w:sz w:val="21"/>
                <w:szCs w:val="21"/>
              </w:rPr>
              <w:t>0.06</w:t>
            </w:r>
          </w:p>
        </w:tc>
        <w:tc>
          <w:tcPr>
            <w:tcW w:w="927" w:type="pct"/>
            <w:shd w:val="clear" w:color="auto" w:fill="auto"/>
          </w:tcPr>
          <w:p w14:paraId="120A13DF">
            <w:pPr>
              <w:widowControl/>
              <w:spacing w:line="240" w:lineRule="auto"/>
              <w:ind w:firstLine="420"/>
              <w:jc w:val="center"/>
              <w:rPr>
                <w:color w:val="auto"/>
                <w:kern w:val="0"/>
                <w:sz w:val="21"/>
                <w:szCs w:val="21"/>
              </w:rPr>
            </w:pPr>
            <w:r>
              <w:rPr>
                <w:rFonts w:hint="eastAsia"/>
                <w:color w:val="auto"/>
                <w:sz w:val="21"/>
                <w:szCs w:val="21"/>
              </w:rPr>
              <w:t>8.39E-04</w:t>
            </w:r>
          </w:p>
        </w:tc>
        <w:tc>
          <w:tcPr>
            <w:tcW w:w="922" w:type="pct"/>
            <w:shd w:val="clear" w:color="auto" w:fill="auto"/>
          </w:tcPr>
          <w:p w14:paraId="27A8FEAC">
            <w:pPr>
              <w:widowControl/>
              <w:spacing w:line="240" w:lineRule="auto"/>
              <w:ind w:firstLine="420"/>
              <w:jc w:val="center"/>
              <w:rPr>
                <w:color w:val="auto"/>
                <w:kern w:val="0"/>
                <w:sz w:val="21"/>
                <w:szCs w:val="21"/>
              </w:rPr>
            </w:pPr>
            <w:r>
              <w:rPr>
                <w:rFonts w:hint="eastAsia"/>
                <w:color w:val="auto"/>
                <w:sz w:val="21"/>
                <w:szCs w:val="21"/>
              </w:rPr>
              <w:t>0.28</w:t>
            </w:r>
          </w:p>
        </w:tc>
        <w:tc>
          <w:tcPr>
            <w:tcW w:w="907" w:type="pct"/>
            <w:shd w:val="clear" w:color="auto" w:fill="auto"/>
          </w:tcPr>
          <w:p w14:paraId="193EC9DA">
            <w:pPr>
              <w:widowControl/>
              <w:spacing w:line="240" w:lineRule="auto"/>
              <w:ind w:firstLine="420"/>
              <w:jc w:val="center"/>
              <w:rPr>
                <w:color w:val="auto"/>
                <w:kern w:val="0"/>
                <w:sz w:val="21"/>
                <w:szCs w:val="21"/>
              </w:rPr>
            </w:pPr>
            <w:r>
              <w:rPr>
                <w:rFonts w:hint="eastAsia"/>
                <w:color w:val="auto"/>
                <w:sz w:val="21"/>
                <w:szCs w:val="21"/>
              </w:rPr>
              <w:t>2.26E-04</w:t>
            </w:r>
          </w:p>
        </w:tc>
        <w:tc>
          <w:tcPr>
            <w:tcW w:w="632" w:type="pct"/>
            <w:shd w:val="clear" w:color="auto" w:fill="auto"/>
          </w:tcPr>
          <w:p w14:paraId="18D280F9">
            <w:pPr>
              <w:widowControl/>
              <w:spacing w:line="240" w:lineRule="auto"/>
              <w:ind w:firstLine="420"/>
              <w:jc w:val="center"/>
              <w:rPr>
                <w:color w:val="auto"/>
                <w:kern w:val="0"/>
                <w:sz w:val="21"/>
                <w:szCs w:val="21"/>
              </w:rPr>
            </w:pPr>
            <w:r>
              <w:rPr>
                <w:rFonts w:hint="eastAsia"/>
                <w:color w:val="auto"/>
                <w:sz w:val="21"/>
                <w:szCs w:val="21"/>
              </w:rPr>
              <w:t>0.11</w:t>
            </w:r>
          </w:p>
        </w:tc>
      </w:tr>
      <w:tr w14:paraId="5F621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359" w:type="pct"/>
            <w:shd w:val="clear" w:color="auto" w:fill="auto"/>
            <w:vAlign w:val="center"/>
          </w:tcPr>
          <w:p w14:paraId="4D7A862B">
            <w:pPr>
              <w:widowControl/>
              <w:spacing w:line="240" w:lineRule="auto"/>
              <w:ind w:firstLine="0" w:firstLineChars="0"/>
              <w:jc w:val="center"/>
              <w:rPr>
                <w:color w:val="auto"/>
                <w:kern w:val="0"/>
                <w:sz w:val="21"/>
                <w:szCs w:val="21"/>
              </w:rPr>
            </w:pPr>
            <w:r>
              <w:rPr>
                <w:color w:val="auto"/>
                <w:kern w:val="0"/>
                <w:sz w:val="21"/>
                <w:szCs w:val="21"/>
              </w:rPr>
              <w:t>下风向最大质量浓度及占标率/%</w:t>
            </w:r>
          </w:p>
        </w:tc>
        <w:tc>
          <w:tcPr>
            <w:tcW w:w="673" w:type="pct"/>
            <w:shd w:val="clear" w:color="auto" w:fill="auto"/>
            <w:vAlign w:val="center"/>
          </w:tcPr>
          <w:p w14:paraId="707A0D3D">
            <w:pPr>
              <w:widowControl/>
              <w:spacing w:line="240" w:lineRule="auto"/>
              <w:ind w:firstLine="0" w:firstLineChars="0"/>
              <w:jc w:val="center"/>
              <w:rPr>
                <w:color w:val="auto"/>
                <w:kern w:val="0"/>
                <w:sz w:val="21"/>
                <w:szCs w:val="21"/>
              </w:rPr>
            </w:pPr>
            <w:r>
              <w:rPr>
                <w:rFonts w:hint="eastAsia"/>
                <w:color w:val="auto"/>
                <w:kern w:val="0"/>
                <w:sz w:val="21"/>
                <w:szCs w:val="21"/>
              </w:rPr>
              <w:t>6.70</w:t>
            </w:r>
            <w:r>
              <w:rPr>
                <w:color w:val="auto"/>
                <w:kern w:val="0"/>
                <w:sz w:val="21"/>
                <w:szCs w:val="21"/>
              </w:rPr>
              <w:t>E-0</w:t>
            </w:r>
            <w:r>
              <w:rPr>
                <w:rFonts w:hint="eastAsia"/>
                <w:color w:val="auto"/>
                <w:kern w:val="0"/>
                <w:sz w:val="21"/>
                <w:szCs w:val="21"/>
              </w:rPr>
              <w:t>3</w:t>
            </w:r>
          </w:p>
        </w:tc>
        <w:tc>
          <w:tcPr>
            <w:tcW w:w="578" w:type="pct"/>
            <w:shd w:val="clear" w:color="auto" w:fill="auto"/>
            <w:vAlign w:val="center"/>
          </w:tcPr>
          <w:p w14:paraId="155AD366">
            <w:pPr>
              <w:widowControl/>
              <w:spacing w:line="240" w:lineRule="auto"/>
              <w:ind w:firstLine="0" w:firstLineChars="0"/>
              <w:jc w:val="center"/>
              <w:rPr>
                <w:color w:val="auto"/>
                <w:kern w:val="0"/>
                <w:sz w:val="21"/>
                <w:szCs w:val="21"/>
              </w:rPr>
            </w:pPr>
            <w:r>
              <w:rPr>
                <w:rFonts w:hint="eastAsia"/>
                <w:color w:val="auto"/>
                <w:kern w:val="0"/>
                <w:sz w:val="21"/>
                <w:szCs w:val="21"/>
              </w:rPr>
              <w:t>0.74</w:t>
            </w:r>
          </w:p>
        </w:tc>
        <w:tc>
          <w:tcPr>
            <w:tcW w:w="927" w:type="pct"/>
            <w:shd w:val="clear" w:color="auto" w:fill="auto"/>
            <w:vAlign w:val="center"/>
          </w:tcPr>
          <w:p w14:paraId="586CBBCE">
            <w:pPr>
              <w:widowControl/>
              <w:spacing w:line="240" w:lineRule="auto"/>
              <w:ind w:firstLine="0" w:firstLineChars="0"/>
              <w:jc w:val="center"/>
              <w:rPr>
                <w:color w:val="auto"/>
                <w:kern w:val="0"/>
                <w:sz w:val="21"/>
                <w:szCs w:val="21"/>
              </w:rPr>
            </w:pPr>
            <w:r>
              <w:rPr>
                <w:rFonts w:hint="eastAsia"/>
                <w:color w:val="auto"/>
                <w:kern w:val="0"/>
                <w:sz w:val="21"/>
                <w:szCs w:val="21"/>
              </w:rPr>
              <w:t>1.06</w:t>
            </w:r>
            <w:r>
              <w:rPr>
                <w:color w:val="auto"/>
                <w:kern w:val="0"/>
                <w:sz w:val="21"/>
                <w:szCs w:val="21"/>
              </w:rPr>
              <w:t>E-02</w:t>
            </w:r>
          </w:p>
        </w:tc>
        <w:tc>
          <w:tcPr>
            <w:tcW w:w="922" w:type="pct"/>
            <w:shd w:val="clear" w:color="auto" w:fill="auto"/>
            <w:vAlign w:val="center"/>
          </w:tcPr>
          <w:p w14:paraId="5E6DC02D">
            <w:pPr>
              <w:widowControl/>
              <w:spacing w:line="240" w:lineRule="auto"/>
              <w:ind w:firstLine="0" w:firstLineChars="0"/>
              <w:jc w:val="center"/>
              <w:rPr>
                <w:color w:val="auto"/>
                <w:kern w:val="0"/>
                <w:sz w:val="21"/>
                <w:szCs w:val="21"/>
              </w:rPr>
            </w:pPr>
            <w:r>
              <w:rPr>
                <w:rFonts w:hint="eastAsia"/>
                <w:color w:val="auto"/>
                <w:kern w:val="0"/>
                <w:sz w:val="21"/>
                <w:szCs w:val="21"/>
              </w:rPr>
              <w:t>3.53</w:t>
            </w:r>
          </w:p>
        </w:tc>
        <w:tc>
          <w:tcPr>
            <w:tcW w:w="907" w:type="pct"/>
            <w:shd w:val="clear" w:color="auto" w:fill="auto"/>
            <w:vAlign w:val="center"/>
          </w:tcPr>
          <w:p w14:paraId="33725F3B">
            <w:pPr>
              <w:widowControl/>
              <w:spacing w:line="240" w:lineRule="auto"/>
              <w:ind w:firstLine="0" w:firstLineChars="0"/>
              <w:jc w:val="center"/>
              <w:rPr>
                <w:color w:val="auto"/>
                <w:kern w:val="0"/>
                <w:sz w:val="21"/>
                <w:szCs w:val="21"/>
              </w:rPr>
            </w:pPr>
            <w:r>
              <w:rPr>
                <w:rFonts w:hint="eastAsia"/>
                <w:color w:val="auto"/>
                <w:kern w:val="0"/>
                <w:sz w:val="21"/>
                <w:szCs w:val="21"/>
              </w:rPr>
              <w:t>2.85</w:t>
            </w:r>
            <w:r>
              <w:rPr>
                <w:color w:val="auto"/>
                <w:kern w:val="0"/>
                <w:sz w:val="21"/>
                <w:szCs w:val="21"/>
              </w:rPr>
              <w:t>E-0</w:t>
            </w:r>
            <w:r>
              <w:rPr>
                <w:rFonts w:hint="eastAsia"/>
                <w:color w:val="auto"/>
                <w:kern w:val="0"/>
                <w:sz w:val="21"/>
                <w:szCs w:val="21"/>
              </w:rPr>
              <w:t>3</w:t>
            </w:r>
          </w:p>
        </w:tc>
        <w:tc>
          <w:tcPr>
            <w:tcW w:w="632" w:type="pct"/>
            <w:shd w:val="clear" w:color="auto" w:fill="auto"/>
            <w:vAlign w:val="center"/>
          </w:tcPr>
          <w:p w14:paraId="45BC2EF4">
            <w:pPr>
              <w:widowControl/>
              <w:spacing w:line="240" w:lineRule="auto"/>
              <w:ind w:firstLine="0" w:firstLineChars="0"/>
              <w:jc w:val="center"/>
              <w:rPr>
                <w:color w:val="auto"/>
                <w:kern w:val="0"/>
                <w:sz w:val="21"/>
                <w:szCs w:val="21"/>
              </w:rPr>
            </w:pPr>
            <w:r>
              <w:rPr>
                <w:rFonts w:hint="eastAsia"/>
                <w:color w:val="auto"/>
                <w:kern w:val="0"/>
                <w:sz w:val="21"/>
                <w:szCs w:val="21"/>
              </w:rPr>
              <w:t>1.42</w:t>
            </w:r>
          </w:p>
        </w:tc>
      </w:tr>
      <w:tr w14:paraId="3349B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359" w:type="pct"/>
            <w:shd w:val="clear" w:color="auto" w:fill="auto"/>
            <w:vAlign w:val="center"/>
          </w:tcPr>
          <w:p w14:paraId="51E3E799">
            <w:pPr>
              <w:widowControl/>
              <w:spacing w:line="240" w:lineRule="auto"/>
              <w:ind w:firstLine="0" w:firstLineChars="0"/>
              <w:jc w:val="center"/>
              <w:rPr>
                <w:color w:val="auto"/>
                <w:kern w:val="0"/>
                <w:sz w:val="21"/>
                <w:szCs w:val="21"/>
              </w:rPr>
            </w:pPr>
            <w:r>
              <w:rPr>
                <w:color w:val="auto"/>
                <w:kern w:val="0"/>
                <w:sz w:val="21"/>
                <w:szCs w:val="21"/>
              </w:rPr>
              <w:t>D</w:t>
            </w:r>
            <w:r>
              <w:rPr>
                <w:color w:val="auto"/>
                <w:kern w:val="0"/>
                <w:sz w:val="21"/>
                <w:szCs w:val="21"/>
                <w:vertAlign w:val="subscript"/>
              </w:rPr>
              <w:t>10%</w:t>
            </w:r>
            <w:r>
              <w:rPr>
                <w:color w:val="auto"/>
                <w:kern w:val="0"/>
                <w:sz w:val="21"/>
                <w:szCs w:val="21"/>
              </w:rPr>
              <w:t>最远距离/m</w:t>
            </w:r>
          </w:p>
        </w:tc>
        <w:tc>
          <w:tcPr>
            <w:tcW w:w="1251" w:type="pct"/>
            <w:gridSpan w:val="2"/>
            <w:shd w:val="clear" w:color="auto" w:fill="auto"/>
            <w:vAlign w:val="center"/>
          </w:tcPr>
          <w:p w14:paraId="2F38B292">
            <w:pPr>
              <w:widowControl/>
              <w:spacing w:line="240" w:lineRule="auto"/>
              <w:ind w:firstLine="0" w:firstLineChars="0"/>
              <w:jc w:val="center"/>
              <w:rPr>
                <w:color w:val="auto"/>
                <w:kern w:val="0"/>
                <w:sz w:val="21"/>
                <w:szCs w:val="21"/>
              </w:rPr>
            </w:pPr>
            <w:r>
              <w:rPr>
                <w:rFonts w:hint="eastAsia"/>
                <w:color w:val="auto"/>
                <w:kern w:val="0"/>
                <w:sz w:val="21"/>
                <w:szCs w:val="21"/>
              </w:rPr>
              <w:t>195</w:t>
            </w:r>
          </w:p>
        </w:tc>
        <w:tc>
          <w:tcPr>
            <w:tcW w:w="1849" w:type="pct"/>
            <w:gridSpan w:val="2"/>
            <w:shd w:val="clear" w:color="auto" w:fill="auto"/>
            <w:vAlign w:val="center"/>
          </w:tcPr>
          <w:p w14:paraId="2D276AA6">
            <w:pPr>
              <w:widowControl/>
              <w:spacing w:line="240" w:lineRule="auto"/>
              <w:ind w:firstLine="0" w:firstLineChars="0"/>
              <w:jc w:val="center"/>
              <w:rPr>
                <w:color w:val="auto"/>
                <w:kern w:val="0"/>
                <w:sz w:val="21"/>
                <w:szCs w:val="21"/>
              </w:rPr>
            </w:pPr>
            <w:r>
              <w:rPr>
                <w:rFonts w:hint="eastAsia"/>
                <w:color w:val="auto"/>
                <w:kern w:val="0"/>
                <w:sz w:val="21"/>
                <w:szCs w:val="21"/>
              </w:rPr>
              <w:t>195</w:t>
            </w:r>
          </w:p>
        </w:tc>
        <w:tc>
          <w:tcPr>
            <w:tcW w:w="1539" w:type="pct"/>
            <w:gridSpan w:val="2"/>
            <w:shd w:val="clear" w:color="auto" w:fill="auto"/>
            <w:vAlign w:val="center"/>
          </w:tcPr>
          <w:p w14:paraId="5C333373">
            <w:pPr>
              <w:widowControl/>
              <w:spacing w:line="240" w:lineRule="auto"/>
              <w:ind w:firstLine="0" w:firstLineChars="0"/>
              <w:jc w:val="center"/>
              <w:rPr>
                <w:color w:val="auto"/>
                <w:kern w:val="0"/>
                <w:sz w:val="21"/>
                <w:szCs w:val="21"/>
              </w:rPr>
            </w:pPr>
            <w:r>
              <w:rPr>
                <w:rFonts w:hint="eastAsia"/>
                <w:color w:val="auto"/>
                <w:kern w:val="0"/>
                <w:sz w:val="21"/>
                <w:szCs w:val="21"/>
              </w:rPr>
              <w:t>195</w:t>
            </w:r>
          </w:p>
        </w:tc>
      </w:tr>
    </w:tbl>
    <w:p w14:paraId="2E291B9C">
      <w:pPr>
        <w:tabs>
          <w:tab w:val="left" w:pos="6045"/>
        </w:tabs>
        <w:ind w:firstLine="480"/>
        <w:rPr>
          <w:color w:val="auto"/>
          <w:szCs w:val="20"/>
        </w:rPr>
      </w:pPr>
      <w:r>
        <w:rPr>
          <w:color w:val="auto"/>
          <w:szCs w:val="20"/>
        </w:rPr>
        <w:tab/>
      </w:r>
    </w:p>
    <w:p w14:paraId="2A6E78DC">
      <w:pPr>
        <w:tabs>
          <w:tab w:val="left" w:pos="4810"/>
        </w:tabs>
        <w:ind w:firstLine="480"/>
        <w:rPr>
          <w:color w:val="auto"/>
        </w:rPr>
        <w:sectPr>
          <w:pgSz w:w="16840" w:h="11907" w:orient="landscape"/>
          <w:pgMar w:top="1361" w:right="1361" w:bottom="1361" w:left="1361" w:header="851" w:footer="992" w:gutter="0"/>
          <w:cols w:space="720" w:num="1"/>
          <w:docGrid w:linePitch="326" w:charSpace="0"/>
        </w:sectPr>
      </w:pPr>
    </w:p>
    <w:p w14:paraId="1199B51B">
      <w:pPr>
        <w:pStyle w:val="1209"/>
        <w:spacing w:before="0" w:line="360" w:lineRule="auto"/>
        <w:rPr>
          <w:color w:val="auto"/>
        </w:rPr>
      </w:pPr>
      <w:r>
        <w:rPr>
          <w:color w:val="auto"/>
        </w:rPr>
        <w:t>根据预测结果，正常工况下建设项目有组织废气和无组织废气中各污染物下风向最大落地浓度及占标率见表</w:t>
      </w:r>
      <w:r>
        <w:rPr>
          <w:rFonts w:hint="eastAsia"/>
          <w:color w:val="auto"/>
        </w:rPr>
        <w:t>6.2.1</w:t>
      </w:r>
      <w:r>
        <w:rPr>
          <w:color w:val="auto"/>
        </w:rPr>
        <w:t>-7。</w:t>
      </w:r>
    </w:p>
    <w:p w14:paraId="50C57E30">
      <w:pPr>
        <w:pStyle w:val="1209"/>
        <w:spacing w:before="0" w:line="240" w:lineRule="auto"/>
        <w:ind w:firstLine="0" w:firstLineChars="0"/>
        <w:jc w:val="center"/>
        <w:rPr>
          <w:b/>
          <w:bCs/>
          <w:color w:val="auto"/>
        </w:rPr>
      </w:pPr>
      <w:r>
        <w:rPr>
          <w:b/>
          <w:bCs/>
          <w:color w:val="auto"/>
        </w:rPr>
        <w:t>表</w:t>
      </w:r>
      <w:r>
        <w:rPr>
          <w:rFonts w:hint="eastAsia"/>
          <w:b/>
          <w:bCs/>
          <w:color w:val="auto"/>
        </w:rPr>
        <w:t>6</w:t>
      </w:r>
      <w:r>
        <w:rPr>
          <w:b/>
          <w:bCs/>
          <w:color w:val="auto"/>
        </w:rPr>
        <w:t>.2</w:t>
      </w:r>
      <w:r>
        <w:rPr>
          <w:rFonts w:hint="eastAsia"/>
          <w:b/>
          <w:bCs/>
          <w:color w:val="auto"/>
        </w:rPr>
        <w:t>.1</w:t>
      </w:r>
      <w:r>
        <w:rPr>
          <w:b/>
          <w:bCs/>
          <w:color w:val="auto"/>
        </w:rPr>
        <w:t>-7  项目有组织废气和无组织废气估算模式计算统计表（正常工况）</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90"/>
        <w:gridCol w:w="1012"/>
        <w:gridCol w:w="2838"/>
        <w:gridCol w:w="1880"/>
        <w:gridCol w:w="1881"/>
      </w:tblGrid>
      <w:tr w14:paraId="62FFF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4386C5D0">
            <w:pPr>
              <w:pStyle w:val="1209"/>
              <w:spacing w:before="0" w:line="240" w:lineRule="auto"/>
              <w:ind w:firstLine="0" w:firstLineChars="0"/>
              <w:jc w:val="center"/>
              <w:rPr>
                <w:b/>
                <w:bCs/>
                <w:color w:val="auto"/>
                <w:sz w:val="21"/>
                <w:szCs w:val="21"/>
              </w:rPr>
            </w:pPr>
            <w:r>
              <w:rPr>
                <w:b/>
                <w:bCs/>
                <w:color w:val="auto"/>
                <w:sz w:val="21"/>
                <w:szCs w:val="21"/>
              </w:rPr>
              <w:t>编号</w:t>
            </w:r>
          </w:p>
        </w:tc>
        <w:tc>
          <w:tcPr>
            <w:tcW w:w="1012" w:type="dxa"/>
            <w:vAlign w:val="center"/>
          </w:tcPr>
          <w:p w14:paraId="245F9641">
            <w:pPr>
              <w:pStyle w:val="1209"/>
              <w:spacing w:before="0" w:line="240" w:lineRule="auto"/>
              <w:ind w:firstLine="0" w:firstLineChars="0"/>
              <w:jc w:val="center"/>
              <w:rPr>
                <w:b/>
                <w:bCs/>
                <w:color w:val="auto"/>
                <w:sz w:val="21"/>
                <w:szCs w:val="21"/>
              </w:rPr>
            </w:pPr>
            <w:r>
              <w:rPr>
                <w:b/>
                <w:bCs/>
                <w:color w:val="auto"/>
                <w:sz w:val="21"/>
                <w:szCs w:val="21"/>
              </w:rPr>
              <w:t>污染物名称</w:t>
            </w:r>
          </w:p>
        </w:tc>
        <w:tc>
          <w:tcPr>
            <w:tcW w:w="2838" w:type="dxa"/>
            <w:vAlign w:val="center"/>
          </w:tcPr>
          <w:p w14:paraId="0213FF5A">
            <w:pPr>
              <w:pStyle w:val="1209"/>
              <w:spacing w:before="0" w:line="240" w:lineRule="auto"/>
              <w:ind w:firstLine="0" w:firstLineChars="0"/>
              <w:jc w:val="center"/>
              <w:rPr>
                <w:b/>
                <w:bCs/>
                <w:color w:val="auto"/>
                <w:sz w:val="21"/>
                <w:szCs w:val="21"/>
              </w:rPr>
            </w:pPr>
            <w:r>
              <w:rPr>
                <w:b/>
                <w:bCs/>
                <w:color w:val="auto"/>
                <w:sz w:val="21"/>
                <w:szCs w:val="21"/>
              </w:rPr>
              <w:t>下风向预测最大落地浓度（mg/m</w:t>
            </w:r>
            <w:r>
              <w:rPr>
                <w:b/>
                <w:bCs/>
                <w:color w:val="auto"/>
                <w:sz w:val="21"/>
                <w:szCs w:val="21"/>
                <w:vertAlign w:val="superscript"/>
              </w:rPr>
              <w:t>3</w:t>
            </w:r>
            <w:r>
              <w:rPr>
                <w:b/>
                <w:bCs/>
                <w:color w:val="auto"/>
                <w:sz w:val="21"/>
                <w:szCs w:val="21"/>
              </w:rPr>
              <w:t>）</w:t>
            </w:r>
          </w:p>
        </w:tc>
        <w:tc>
          <w:tcPr>
            <w:tcW w:w="1880" w:type="dxa"/>
            <w:vAlign w:val="center"/>
          </w:tcPr>
          <w:p w14:paraId="5437DAF6">
            <w:pPr>
              <w:pStyle w:val="1209"/>
              <w:spacing w:before="0" w:line="240" w:lineRule="auto"/>
              <w:ind w:firstLine="0" w:firstLineChars="0"/>
              <w:jc w:val="center"/>
              <w:rPr>
                <w:b/>
                <w:bCs/>
                <w:color w:val="auto"/>
                <w:sz w:val="21"/>
                <w:szCs w:val="21"/>
              </w:rPr>
            </w:pPr>
            <w:r>
              <w:rPr>
                <w:b/>
                <w:bCs/>
                <w:color w:val="auto"/>
                <w:sz w:val="21"/>
                <w:szCs w:val="21"/>
              </w:rPr>
              <w:t>浓度占标率</w:t>
            </w:r>
          </w:p>
        </w:tc>
        <w:tc>
          <w:tcPr>
            <w:tcW w:w="1881" w:type="dxa"/>
            <w:vAlign w:val="center"/>
          </w:tcPr>
          <w:p w14:paraId="7DD80335">
            <w:pPr>
              <w:pStyle w:val="1209"/>
              <w:spacing w:before="0" w:line="240" w:lineRule="auto"/>
              <w:ind w:firstLine="0" w:firstLineChars="0"/>
              <w:jc w:val="center"/>
              <w:rPr>
                <w:b/>
                <w:bCs/>
                <w:color w:val="auto"/>
                <w:sz w:val="21"/>
                <w:szCs w:val="21"/>
              </w:rPr>
            </w:pPr>
            <w:r>
              <w:rPr>
                <w:b/>
                <w:bCs/>
                <w:color w:val="auto"/>
                <w:sz w:val="21"/>
                <w:szCs w:val="21"/>
              </w:rPr>
              <w:t>下风向最大浓度距离（m）</w:t>
            </w:r>
          </w:p>
        </w:tc>
      </w:tr>
      <w:tr w14:paraId="3D3F7D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90" w:type="dxa"/>
            <w:vMerge w:val="restart"/>
            <w:vAlign w:val="center"/>
          </w:tcPr>
          <w:p w14:paraId="0FF5C8D9">
            <w:pPr>
              <w:pStyle w:val="1209"/>
              <w:spacing w:before="0" w:line="240" w:lineRule="auto"/>
              <w:ind w:firstLine="0" w:firstLineChars="0"/>
              <w:jc w:val="center"/>
              <w:rPr>
                <w:color w:val="auto"/>
                <w:sz w:val="21"/>
                <w:szCs w:val="21"/>
              </w:rPr>
            </w:pPr>
            <w:r>
              <w:rPr>
                <w:color w:val="auto"/>
                <w:sz w:val="21"/>
                <w:szCs w:val="21"/>
              </w:rPr>
              <w:t>DA001</w:t>
            </w:r>
          </w:p>
        </w:tc>
        <w:tc>
          <w:tcPr>
            <w:tcW w:w="1012" w:type="dxa"/>
            <w:vAlign w:val="center"/>
          </w:tcPr>
          <w:p w14:paraId="6326E46D">
            <w:pPr>
              <w:pStyle w:val="1209"/>
              <w:spacing w:before="0" w:line="240" w:lineRule="auto"/>
              <w:ind w:firstLine="0" w:firstLineChars="0"/>
              <w:jc w:val="center"/>
              <w:rPr>
                <w:color w:val="auto"/>
                <w:sz w:val="21"/>
                <w:szCs w:val="21"/>
              </w:rPr>
            </w:pPr>
            <w:r>
              <w:rPr>
                <w:color w:val="auto"/>
                <w:sz w:val="21"/>
                <w:szCs w:val="21"/>
              </w:rPr>
              <w:t>颗粒物</w:t>
            </w:r>
          </w:p>
        </w:tc>
        <w:tc>
          <w:tcPr>
            <w:tcW w:w="2838" w:type="dxa"/>
            <w:vAlign w:val="center"/>
          </w:tcPr>
          <w:p w14:paraId="66162142">
            <w:pPr>
              <w:widowControl/>
              <w:spacing w:line="240" w:lineRule="auto"/>
              <w:ind w:firstLine="0" w:firstLineChars="0"/>
              <w:jc w:val="center"/>
              <w:rPr>
                <w:color w:val="auto"/>
                <w:sz w:val="21"/>
                <w:szCs w:val="21"/>
              </w:rPr>
            </w:pPr>
            <w:r>
              <w:rPr>
                <w:color w:val="auto"/>
                <w:kern w:val="0"/>
                <w:sz w:val="21"/>
                <w:szCs w:val="21"/>
              </w:rPr>
              <w:t>4.</w:t>
            </w:r>
            <w:r>
              <w:rPr>
                <w:rFonts w:hint="eastAsia"/>
                <w:color w:val="auto"/>
                <w:kern w:val="0"/>
                <w:sz w:val="21"/>
                <w:szCs w:val="21"/>
              </w:rPr>
              <w:t>11</w:t>
            </w:r>
            <w:r>
              <w:rPr>
                <w:color w:val="auto"/>
                <w:kern w:val="0"/>
                <w:sz w:val="21"/>
                <w:szCs w:val="21"/>
              </w:rPr>
              <w:t>E-04</w:t>
            </w:r>
          </w:p>
        </w:tc>
        <w:tc>
          <w:tcPr>
            <w:tcW w:w="1880" w:type="dxa"/>
            <w:vAlign w:val="center"/>
          </w:tcPr>
          <w:p w14:paraId="7A06BDE2">
            <w:pPr>
              <w:widowControl/>
              <w:spacing w:line="240" w:lineRule="auto"/>
              <w:ind w:firstLine="0" w:firstLineChars="0"/>
              <w:jc w:val="center"/>
              <w:rPr>
                <w:color w:val="auto"/>
                <w:sz w:val="21"/>
                <w:szCs w:val="21"/>
              </w:rPr>
            </w:pPr>
            <w:r>
              <w:rPr>
                <w:color w:val="auto"/>
                <w:kern w:val="0"/>
                <w:sz w:val="21"/>
                <w:szCs w:val="21"/>
              </w:rPr>
              <w:t>0.</w:t>
            </w:r>
            <w:r>
              <w:rPr>
                <w:rFonts w:hint="eastAsia"/>
                <w:color w:val="auto"/>
                <w:kern w:val="0"/>
                <w:sz w:val="21"/>
                <w:szCs w:val="21"/>
              </w:rPr>
              <w:t>09</w:t>
            </w:r>
          </w:p>
        </w:tc>
        <w:tc>
          <w:tcPr>
            <w:tcW w:w="1881" w:type="dxa"/>
            <w:vAlign w:val="center"/>
          </w:tcPr>
          <w:p w14:paraId="6FAF904B">
            <w:pPr>
              <w:pStyle w:val="1209"/>
              <w:spacing w:before="0" w:line="240" w:lineRule="auto"/>
              <w:ind w:firstLine="0" w:firstLineChars="0"/>
              <w:jc w:val="center"/>
              <w:rPr>
                <w:color w:val="auto"/>
                <w:sz w:val="21"/>
                <w:szCs w:val="21"/>
              </w:rPr>
            </w:pPr>
            <w:r>
              <w:rPr>
                <w:rFonts w:hint="eastAsia"/>
                <w:color w:val="auto"/>
                <w:sz w:val="21"/>
                <w:szCs w:val="21"/>
              </w:rPr>
              <w:t>50</w:t>
            </w:r>
          </w:p>
        </w:tc>
      </w:tr>
      <w:tr w14:paraId="45EB6A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90" w:type="dxa"/>
            <w:vMerge w:val="continue"/>
            <w:vAlign w:val="center"/>
          </w:tcPr>
          <w:p w14:paraId="47C0E1F1">
            <w:pPr>
              <w:pStyle w:val="1209"/>
              <w:spacing w:before="0" w:line="240" w:lineRule="auto"/>
              <w:ind w:firstLine="0" w:firstLineChars="0"/>
              <w:jc w:val="center"/>
              <w:rPr>
                <w:color w:val="auto"/>
                <w:sz w:val="21"/>
                <w:szCs w:val="21"/>
              </w:rPr>
            </w:pPr>
          </w:p>
        </w:tc>
        <w:tc>
          <w:tcPr>
            <w:tcW w:w="1012" w:type="dxa"/>
            <w:shd w:val="clear" w:color="auto" w:fill="auto"/>
            <w:vAlign w:val="center"/>
          </w:tcPr>
          <w:p w14:paraId="4DA8B237">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838" w:type="dxa"/>
            <w:vAlign w:val="center"/>
          </w:tcPr>
          <w:p w14:paraId="5BC9D5C0">
            <w:pPr>
              <w:widowControl/>
              <w:spacing w:line="240" w:lineRule="auto"/>
              <w:ind w:firstLine="0" w:firstLineChars="0"/>
              <w:jc w:val="center"/>
              <w:rPr>
                <w:color w:val="auto"/>
                <w:sz w:val="21"/>
                <w:szCs w:val="21"/>
              </w:rPr>
            </w:pPr>
            <w:r>
              <w:rPr>
                <w:rFonts w:hint="eastAsia"/>
                <w:color w:val="auto"/>
                <w:kern w:val="0"/>
                <w:sz w:val="21"/>
                <w:szCs w:val="21"/>
              </w:rPr>
              <w:t>2.89</w:t>
            </w:r>
            <w:r>
              <w:rPr>
                <w:color w:val="auto"/>
                <w:kern w:val="0"/>
                <w:sz w:val="21"/>
                <w:szCs w:val="21"/>
              </w:rPr>
              <w:t>E-0</w:t>
            </w:r>
            <w:r>
              <w:rPr>
                <w:rFonts w:hint="eastAsia"/>
                <w:color w:val="auto"/>
                <w:kern w:val="0"/>
                <w:sz w:val="21"/>
                <w:szCs w:val="21"/>
              </w:rPr>
              <w:t>4</w:t>
            </w:r>
          </w:p>
        </w:tc>
        <w:tc>
          <w:tcPr>
            <w:tcW w:w="1880" w:type="dxa"/>
            <w:vAlign w:val="center"/>
          </w:tcPr>
          <w:p w14:paraId="691A048F">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6</w:t>
            </w:r>
          </w:p>
        </w:tc>
        <w:tc>
          <w:tcPr>
            <w:tcW w:w="1881" w:type="dxa"/>
            <w:vAlign w:val="center"/>
          </w:tcPr>
          <w:p w14:paraId="262DCBAD">
            <w:pPr>
              <w:pStyle w:val="1209"/>
              <w:spacing w:before="0" w:line="240" w:lineRule="auto"/>
              <w:ind w:firstLine="0" w:firstLineChars="0"/>
              <w:jc w:val="center"/>
              <w:rPr>
                <w:color w:val="auto"/>
                <w:sz w:val="21"/>
                <w:szCs w:val="21"/>
              </w:rPr>
            </w:pPr>
            <w:r>
              <w:rPr>
                <w:rFonts w:hint="eastAsia"/>
                <w:color w:val="auto"/>
                <w:sz w:val="21"/>
                <w:szCs w:val="21"/>
              </w:rPr>
              <w:t>50</w:t>
            </w:r>
          </w:p>
        </w:tc>
      </w:tr>
      <w:tr w14:paraId="00A4DE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90" w:type="dxa"/>
            <w:vMerge w:val="continue"/>
            <w:vAlign w:val="center"/>
          </w:tcPr>
          <w:p w14:paraId="7366D14B">
            <w:pPr>
              <w:pStyle w:val="1209"/>
              <w:spacing w:before="0" w:line="240" w:lineRule="auto"/>
              <w:ind w:firstLine="0" w:firstLineChars="0"/>
              <w:jc w:val="center"/>
              <w:rPr>
                <w:color w:val="auto"/>
                <w:sz w:val="21"/>
                <w:szCs w:val="21"/>
              </w:rPr>
            </w:pPr>
          </w:p>
        </w:tc>
        <w:tc>
          <w:tcPr>
            <w:tcW w:w="1012" w:type="dxa"/>
            <w:shd w:val="clear" w:color="auto" w:fill="auto"/>
            <w:vAlign w:val="center"/>
          </w:tcPr>
          <w:p w14:paraId="4A782188">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838" w:type="dxa"/>
            <w:vAlign w:val="center"/>
          </w:tcPr>
          <w:p w14:paraId="7DAB3ED6">
            <w:pPr>
              <w:widowControl/>
              <w:spacing w:line="240" w:lineRule="auto"/>
              <w:ind w:firstLine="0" w:firstLineChars="0"/>
              <w:jc w:val="center"/>
              <w:rPr>
                <w:color w:val="auto"/>
                <w:sz w:val="21"/>
                <w:szCs w:val="21"/>
              </w:rPr>
            </w:pPr>
            <w:r>
              <w:rPr>
                <w:rFonts w:hint="eastAsia"/>
                <w:color w:val="auto"/>
                <w:kern w:val="0"/>
                <w:sz w:val="21"/>
                <w:szCs w:val="21"/>
              </w:rPr>
              <w:t>2.89</w:t>
            </w:r>
            <w:r>
              <w:rPr>
                <w:color w:val="auto"/>
                <w:kern w:val="0"/>
                <w:sz w:val="21"/>
                <w:szCs w:val="21"/>
              </w:rPr>
              <w:t>E-03</w:t>
            </w:r>
          </w:p>
        </w:tc>
        <w:tc>
          <w:tcPr>
            <w:tcW w:w="1880" w:type="dxa"/>
            <w:vAlign w:val="center"/>
          </w:tcPr>
          <w:p w14:paraId="2D968F2E">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33</w:t>
            </w:r>
          </w:p>
        </w:tc>
        <w:tc>
          <w:tcPr>
            <w:tcW w:w="1881" w:type="dxa"/>
            <w:vAlign w:val="center"/>
          </w:tcPr>
          <w:p w14:paraId="03FF9FDF">
            <w:pPr>
              <w:pStyle w:val="1209"/>
              <w:spacing w:before="0" w:line="240" w:lineRule="auto"/>
              <w:ind w:firstLine="0" w:firstLineChars="0"/>
              <w:jc w:val="center"/>
              <w:rPr>
                <w:color w:val="auto"/>
                <w:sz w:val="21"/>
                <w:szCs w:val="21"/>
              </w:rPr>
            </w:pPr>
            <w:r>
              <w:rPr>
                <w:rFonts w:hint="eastAsia"/>
                <w:color w:val="auto"/>
                <w:sz w:val="21"/>
                <w:szCs w:val="21"/>
              </w:rPr>
              <w:t>50</w:t>
            </w:r>
          </w:p>
        </w:tc>
      </w:tr>
      <w:tr w14:paraId="375CC6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restart"/>
            <w:vAlign w:val="center"/>
          </w:tcPr>
          <w:p w14:paraId="4FF56F62">
            <w:pPr>
              <w:pStyle w:val="1209"/>
              <w:spacing w:before="0" w:line="240" w:lineRule="auto"/>
              <w:ind w:firstLine="0" w:firstLineChars="0"/>
              <w:jc w:val="center"/>
              <w:rPr>
                <w:color w:val="auto"/>
                <w:sz w:val="21"/>
                <w:szCs w:val="21"/>
              </w:rPr>
            </w:pPr>
            <w:r>
              <w:rPr>
                <w:color w:val="auto"/>
                <w:sz w:val="21"/>
                <w:szCs w:val="21"/>
              </w:rPr>
              <w:t>DA002</w:t>
            </w:r>
          </w:p>
        </w:tc>
        <w:tc>
          <w:tcPr>
            <w:tcW w:w="1012" w:type="dxa"/>
            <w:shd w:val="clear" w:color="auto" w:fill="auto"/>
            <w:vAlign w:val="center"/>
          </w:tcPr>
          <w:p w14:paraId="15BEEB81">
            <w:pPr>
              <w:widowControl/>
              <w:spacing w:line="240" w:lineRule="auto"/>
              <w:ind w:firstLine="0" w:firstLineChars="0"/>
              <w:jc w:val="center"/>
              <w:rPr>
                <w:color w:val="auto"/>
                <w:kern w:val="0"/>
                <w:sz w:val="21"/>
                <w:szCs w:val="21"/>
              </w:rPr>
            </w:pPr>
            <w:r>
              <w:rPr>
                <w:color w:val="auto"/>
                <w:kern w:val="0"/>
                <w:sz w:val="21"/>
                <w:szCs w:val="21"/>
              </w:rPr>
              <w:t>颗粒物</w:t>
            </w:r>
          </w:p>
        </w:tc>
        <w:tc>
          <w:tcPr>
            <w:tcW w:w="2838" w:type="dxa"/>
            <w:vAlign w:val="center"/>
          </w:tcPr>
          <w:p w14:paraId="585D7E31">
            <w:pPr>
              <w:widowControl/>
              <w:spacing w:line="240" w:lineRule="auto"/>
              <w:ind w:firstLine="0" w:firstLineChars="0"/>
              <w:jc w:val="center"/>
              <w:rPr>
                <w:color w:val="auto"/>
                <w:sz w:val="21"/>
                <w:szCs w:val="21"/>
              </w:rPr>
            </w:pPr>
            <w:r>
              <w:rPr>
                <w:color w:val="auto"/>
                <w:kern w:val="0"/>
                <w:sz w:val="21"/>
                <w:szCs w:val="21"/>
              </w:rPr>
              <w:t>2.</w:t>
            </w:r>
            <w:r>
              <w:rPr>
                <w:rFonts w:hint="eastAsia"/>
                <w:color w:val="auto"/>
                <w:kern w:val="0"/>
                <w:sz w:val="21"/>
                <w:szCs w:val="21"/>
              </w:rPr>
              <w:t>74</w:t>
            </w:r>
            <w:r>
              <w:rPr>
                <w:color w:val="auto"/>
                <w:kern w:val="0"/>
                <w:sz w:val="21"/>
                <w:szCs w:val="21"/>
              </w:rPr>
              <w:t>E-04</w:t>
            </w:r>
          </w:p>
        </w:tc>
        <w:tc>
          <w:tcPr>
            <w:tcW w:w="1880" w:type="dxa"/>
            <w:vAlign w:val="center"/>
          </w:tcPr>
          <w:p w14:paraId="15BEFED6">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6</w:t>
            </w:r>
          </w:p>
        </w:tc>
        <w:tc>
          <w:tcPr>
            <w:tcW w:w="1881" w:type="dxa"/>
            <w:vAlign w:val="center"/>
          </w:tcPr>
          <w:p w14:paraId="5B4313D5">
            <w:pPr>
              <w:pStyle w:val="1209"/>
              <w:spacing w:before="0" w:line="240" w:lineRule="auto"/>
              <w:ind w:firstLine="0" w:firstLineChars="0"/>
              <w:jc w:val="center"/>
              <w:rPr>
                <w:color w:val="auto"/>
                <w:sz w:val="21"/>
                <w:szCs w:val="21"/>
              </w:rPr>
            </w:pPr>
            <w:r>
              <w:rPr>
                <w:rFonts w:hint="eastAsia"/>
                <w:color w:val="auto"/>
                <w:sz w:val="21"/>
                <w:szCs w:val="21"/>
              </w:rPr>
              <w:t>50</w:t>
            </w:r>
          </w:p>
        </w:tc>
      </w:tr>
      <w:tr w14:paraId="563D5F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7D2A4544">
            <w:pPr>
              <w:pStyle w:val="1209"/>
              <w:spacing w:before="0" w:line="240" w:lineRule="auto"/>
              <w:ind w:firstLine="0" w:firstLineChars="0"/>
              <w:jc w:val="center"/>
              <w:rPr>
                <w:color w:val="auto"/>
                <w:sz w:val="21"/>
                <w:szCs w:val="21"/>
              </w:rPr>
            </w:pPr>
          </w:p>
        </w:tc>
        <w:tc>
          <w:tcPr>
            <w:tcW w:w="1012" w:type="dxa"/>
            <w:shd w:val="clear" w:color="auto" w:fill="auto"/>
            <w:vAlign w:val="center"/>
          </w:tcPr>
          <w:p w14:paraId="59B03B03">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838" w:type="dxa"/>
            <w:vAlign w:val="center"/>
          </w:tcPr>
          <w:p w14:paraId="58D4BEED">
            <w:pPr>
              <w:widowControl/>
              <w:spacing w:line="240" w:lineRule="auto"/>
              <w:ind w:firstLine="0" w:firstLineChars="0"/>
              <w:jc w:val="center"/>
              <w:rPr>
                <w:color w:val="auto"/>
                <w:sz w:val="21"/>
                <w:szCs w:val="21"/>
              </w:rPr>
            </w:pPr>
            <w:r>
              <w:rPr>
                <w:color w:val="auto"/>
                <w:sz w:val="21"/>
                <w:szCs w:val="21"/>
              </w:rPr>
              <w:t>1.</w:t>
            </w:r>
            <w:r>
              <w:rPr>
                <w:rFonts w:hint="eastAsia"/>
                <w:color w:val="auto"/>
                <w:sz w:val="21"/>
                <w:szCs w:val="21"/>
              </w:rPr>
              <w:t>98</w:t>
            </w:r>
            <w:r>
              <w:rPr>
                <w:color w:val="auto"/>
                <w:sz w:val="21"/>
                <w:szCs w:val="21"/>
              </w:rPr>
              <w:t>E-04</w:t>
            </w:r>
          </w:p>
        </w:tc>
        <w:tc>
          <w:tcPr>
            <w:tcW w:w="1880" w:type="dxa"/>
            <w:vAlign w:val="center"/>
          </w:tcPr>
          <w:p w14:paraId="74AD65F5">
            <w:pPr>
              <w:widowControl/>
              <w:spacing w:line="240" w:lineRule="auto"/>
              <w:ind w:firstLine="0" w:firstLineChars="0"/>
              <w:jc w:val="center"/>
              <w:rPr>
                <w:color w:val="auto"/>
                <w:sz w:val="21"/>
                <w:szCs w:val="21"/>
              </w:rPr>
            </w:pPr>
            <w:r>
              <w:rPr>
                <w:color w:val="auto"/>
                <w:kern w:val="0"/>
                <w:sz w:val="21"/>
                <w:szCs w:val="21"/>
              </w:rPr>
              <w:t>0.0</w:t>
            </w:r>
            <w:r>
              <w:rPr>
                <w:rFonts w:hint="eastAsia"/>
                <w:color w:val="auto"/>
                <w:kern w:val="0"/>
                <w:sz w:val="21"/>
                <w:szCs w:val="21"/>
              </w:rPr>
              <w:t>4</w:t>
            </w:r>
          </w:p>
        </w:tc>
        <w:tc>
          <w:tcPr>
            <w:tcW w:w="1881" w:type="dxa"/>
            <w:vAlign w:val="center"/>
          </w:tcPr>
          <w:p w14:paraId="3B2D5C5E">
            <w:pPr>
              <w:pStyle w:val="1209"/>
              <w:spacing w:before="0" w:line="240" w:lineRule="auto"/>
              <w:ind w:firstLine="0" w:firstLineChars="0"/>
              <w:jc w:val="center"/>
              <w:rPr>
                <w:color w:val="auto"/>
                <w:sz w:val="21"/>
                <w:szCs w:val="21"/>
              </w:rPr>
            </w:pPr>
            <w:r>
              <w:rPr>
                <w:rFonts w:hint="eastAsia"/>
                <w:color w:val="auto"/>
                <w:sz w:val="21"/>
                <w:szCs w:val="21"/>
              </w:rPr>
              <w:t>50</w:t>
            </w:r>
          </w:p>
        </w:tc>
      </w:tr>
      <w:tr w14:paraId="76BA1B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0B8304A3">
            <w:pPr>
              <w:pStyle w:val="1209"/>
              <w:spacing w:before="0" w:line="240" w:lineRule="auto"/>
              <w:ind w:firstLine="0" w:firstLineChars="0"/>
              <w:jc w:val="center"/>
              <w:rPr>
                <w:color w:val="auto"/>
                <w:sz w:val="21"/>
                <w:szCs w:val="21"/>
              </w:rPr>
            </w:pPr>
          </w:p>
        </w:tc>
        <w:tc>
          <w:tcPr>
            <w:tcW w:w="1012" w:type="dxa"/>
            <w:shd w:val="clear" w:color="auto" w:fill="auto"/>
            <w:vAlign w:val="center"/>
          </w:tcPr>
          <w:p w14:paraId="3C55967D">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838" w:type="dxa"/>
            <w:vAlign w:val="center"/>
          </w:tcPr>
          <w:p w14:paraId="3A7B18DF">
            <w:pPr>
              <w:widowControl/>
              <w:spacing w:line="240" w:lineRule="auto"/>
              <w:ind w:firstLine="0" w:firstLineChars="0"/>
              <w:jc w:val="center"/>
              <w:rPr>
                <w:color w:val="auto"/>
                <w:sz w:val="21"/>
                <w:szCs w:val="21"/>
              </w:rPr>
            </w:pPr>
            <w:r>
              <w:rPr>
                <w:color w:val="auto"/>
                <w:kern w:val="0"/>
                <w:sz w:val="21"/>
                <w:szCs w:val="21"/>
              </w:rPr>
              <w:t>1</w:t>
            </w:r>
            <w:r>
              <w:rPr>
                <w:rFonts w:hint="eastAsia"/>
                <w:color w:val="auto"/>
                <w:kern w:val="0"/>
                <w:sz w:val="21"/>
                <w:szCs w:val="21"/>
              </w:rPr>
              <w:t>.81</w:t>
            </w:r>
            <w:r>
              <w:rPr>
                <w:color w:val="auto"/>
                <w:kern w:val="0"/>
                <w:sz w:val="21"/>
                <w:szCs w:val="21"/>
              </w:rPr>
              <w:t>E-03</w:t>
            </w:r>
          </w:p>
        </w:tc>
        <w:tc>
          <w:tcPr>
            <w:tcW w:w="1880" w:type="dxa"/>
            <w:vAlign w:val="center"/>
          </w:tcPr>
          <w:p w14:paraId="1F75E63A">
            <w:pPr>
              <w:widowControl/>
              <w:spacing w:line="240" w:lineRule="auto"/>
              <w:ind w:firstLine="0" w:firstLineChars="0"/>
              <w:jc w:val="center"/>
              <w:rPr>
                <w:color w:val="auto"/>
                <w:sz w:val="21"/>
                <w:szCs w:val="21"/>
              </w:rPr>
            </w:pPr>
            <w:r>
              <w:rPr>
                <w:color w:val="auto"/>
                <w:kern w:val="0"/>
                <w:sz w:val="21"/>
                <w:szCs w:val="21"/>
              </w:rPr>
              <w:t>0.</w:t>
            </w:r>
            <w:r>
              <w:rPr>
                <w:rFonts w:hint="eastAsia"/>
                <w:color w:val="auto"/>
                <w:kern w:val="0"/>
                <w:sz w:val="21"/>
                <w:szCs w:val="21"/>
              </w:rPr>
              <w:t>91</w:t>
            </w:r>
          </w:p>
        </w:tc>
        <w:tc>
          <w:tcPr>
            <w:tcW w:w="1881" w:type="dxa"/>
            <w:vAlign w:val="center"/>
          </w:tcPr>
          <w:p w14:paraId="090DEFED">
            <w:pPr>
              <w:pStyle w:val="1209"/>
              <w:spacing w:before="0" w:line="240" w:lineRule="auto"/>
              <w:ind w:firstLine="0" w:firstLineChars="0"/>
              <w:jc w:val="center"/>
              <w:rPr>
                <w:color w:val="auto"/>
                <w:sz w:val="21"/>
                <w:szCs w:val="21"/>
              </w:rPr>
            </w:pPr>
            <w:r>
              <w:rPr>
                <w:rFonts w:hint="eastAsia"/>
                <w:color w:val="auto"/>
                <w:sz w:val="21"/>
                <w:szCs w:val="21"/>
              </w:rPr>
              <w:t>50</w:t>
            </w:r>
          </w:p>
        </w:tc>
      </w:tr>
      <w:tr w14:paraId="3E9B04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restart"/>
            <w:vAlign w:val="center"/>
          </w:tcPr>
          <w:p w14:paraId="5CACDE9F">
            <w:pPr>
              <w:pStyle w:val="1209"/>
              <w:spacing w:before="0" w:line="240" w:lineRule="auto"/>
              <w:ind w:firstLine="0" w:firstLineChars="0"/>
              <w:jc w:val="center"/>
              <w:rPr>
                <w:color w:val="auto"/>
                <w:sz w:val="21"/>
                <w:szCs w:val="21"/>
              </w:rPr>
            </w:pPr>
            <w:r>
              <w:rPr>
                <w:rFonts w:hint="eastAsia"/>
                <w:color w:val="auto"/>
                <w:sz w:val="21"/>
                <w:szCs w:val="21"/>
              </w:rPr>
              <w:t>DA003</w:t>
            </w:r>
          </w:p>
        </w:tc>
        <w:tc>
          <w:tcPr>
            <w:tcW w:w="1012" w:type="dxa"/>
            <w:shd w:val="clear" w:color="auto" w:fill="auto"/>
            <w:vAlign w:val="center"/>
          </w:tcPr>
          <w:p w14:paraId="6EE56163">
            <w:pPr>
              <w:widowControl/>
              <w:spacing w:line="240" w:lineRule="auto"/>
              <w:ind w:firstLine="0" w:firstLineChars="0"/>
              <w:jc w:val="center"/>
              <w:rPr>
                <w:color w:val="auto"/>
                <w:kern w:val="0"/>
                <w:sz w:val="21"/>
                <w:szCs w:val="21"/>
              </w:rPr>
            </w:pPr>
            <w:r>
              <w:rPr>
                <w:color w:val="auto"/>
                <w:kern w:val="0"/>
                <w:sz w:val="21"/>
                <w:szCs w:val="21"/>
              </w:rPr>
              <w:t>颗粒物</w:t>
            </w:r>
          </w:p>
        </w:tc>
        <w:tc>
          <w:tcPr>
            <w:tcW w:w="2838" w:type="dxa"/>
            <w:shd w:val="clear" w:color="auto" w:fill="auto"/>
            <w:vAlign w:val="center"/>
          </w:tcPr>
          <w:p w14:paraId="70D5F4D2">
            <w:pPr>
              <w:widowControl/>
              <w:spacing w:line="240" w:lineRule="auto"/>
              <w:ind w:firstLine="0" w:firstLineChars="0"/>
              <w:jc w:val="center"/>
              <w:rPr>
                <w:color w:val="auto"/>
                <w:sz w:val="21"/>
                <w:szCs w:val="21"/>
              </w:rPr>
            </w:pPr>
            <w:r>
              <w:rPr>
                <w:rFonts w:hint="eastAsia"/>
                <w:color w:val="auto"/>
                <w:kern w:val="0"/>
                <w:sz w:val="21"/>
                <w:szCs w:val="21"/>
              </w:rPr>
              <w:t>8.76</w:t>
            </w:r>
            <w:r>
              <w:rPr>
                <w:color w:val="auto"/>
                <w:kern w:val="0"/>
                <w:sz w:val="21"/>
                <w:szCs w:val="21"/>
              </w:rPr>
              <w:t>E-0</w:t>
            </w:r>
            <w:r>
              <w:rPr>
                <w:rFonts w:hint="eastAsia"/>
                <w:color w:val="auto"/>
                <w:kern w:val="0"/>
                <w:sz w:val="21"/>
                <w:szCs w:val="21"/>
              </w:rPr>
              <w:t>5</w:t>
            </w:r>
          </w:p>
        </w:tc>
        <w:tc>
          <w:tcPr>
            <w:tcW w:w="1880" w:type="dxa"/>
            <w:vAlign w:val="center"/>
          </w:tcPr>
          <w:p w14:paraId="5B1DFED2">
            <w:pPr>
              <w:widowControl/>
              <w:spacing w:line="240" w:lineRule="auto"/>
              <w:ind w:firstLine="0" w:firstLineChars="0"/>
              <w:jc w:val="center"/>
              <w:rPr>
                <w:color w:val="auto"/>
                <w:kern w:val="0"/>
                <w:sz w:val="21"/>
                <w:szCs w:val="21"/>
              </w:rPr>
            </w:pPr>
            <w:r>
              <w:rPr>
                <w:rFonts w:hint="eastAsia"/>
                <w:color w:val="auto"/>
                <w:kern w:val="0"/>
                <w:sz w:val="21"/>
                <w:szCs w:val="21"/>
              </w:rPr>
              <w:t>0.02</w:t>
            </w:r>
          </w:p>
        </w:tc>
        <w:tc>
          <w:tcPr>
            <w:tcW w:w="1881" w:type="dxa"/>
            <w:vAlign w:val="center"/>
          </w:tcPr>
          <w:p w14:paraId="28C592BC">
            <w:pPr>
              <w:pStyle w:val="1209"/>
              <w:spacing w:before="0" w:line="240" w:lineRule="auto"/>
              <w:ind w:firstLine="0" w:firstLineChars="0"/>
              <w:jc w:val="center"/>
              <w:rPr>
                <w:color w:val="auto"/>
                <w:sz w:val="21"/>
                <w:szCs w:val="21"/>
              </w:rPr>
            </w:pPr>
            <w:r>
              <w:rPr>
                <w:rFonts w:hint="eastAsia"/>
                <w:color w:val="auto"/>
                <w:sz w:val="21"/>
                <w:szCs w:val="21"/>
              </w:rPr>
              <w:t>35</w:t>
            </w:r>
          </w:p>
        </w:tc>
      </w:tr>
      <w:tr w14:paraId="6CA1AC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5C1A93A8">
            <w:pPr>
              <w:pStyle w:val="1209"/>
              <w:spacing w:before="0" w:line="240" w:lineRule="auto"/>
              <w:ind w:firstLine="0" w:firstLineChars="0"/>
              <w:jc w:val="center"/>
              <w:rPr>
                <w:color w:val="auto"/>
                <w:sz w:val="21"/>
                <w:szCs w:val="21"/>
              </w:rPr>
            </w:pPr>
          </w:p>
        </w:tc>
        <w:tc>
          <w:tcPr>
            <w:tcW w:w="1012" w:type="dxa"/>
            <w:shd w:val="clear" w:color="auto" w:fill="auto"/>
            <w:vAlign w:val="center"/>
          </w:tcPr>
          <w:p w14:paraId="029F6DA6">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838" w:type="dxa"/>
            <w:shd w:val="clear" w:color="auto" w:fill="auto"/>
            <w:vAlign w:val="center"/>
          </w:tcPr>
          <w:p w14:paraId="393E3613">
            <w:pPr>
              <w:widowControl/>
              <w:spacing w:line="240" w:lineRule="auto"/>
              <w:ind w:firstLine="0" w:firstLineChars="0"/>
              <w:jc w:val="center"/>
              <w:rPr>
                <w:color w:val="auto"/>
                <w:sz w:val="21"/>
                <w:szCs w:val="21"/>
              </w:rPr>
            </w:pPr>
            <w:r>
              <w:rPr>
                <w:rFonts w:hint="eastAsia"/>
                <w:color w:val="auto"/>
                <w:sz w:val="21"/>
                <w:szCs w:val="21"/>
              </w:rPr>
              <w:t>6.35</w:t>
            </w:r>
            <w:r>
              <w:rPr>
                <w:color w:val="auto"/>
                <w:sz w:val="21"/>
                <w:szCs w:val="21"/>
              </w:rPr>
              <w:t>E-0</w:t>
            </w:r>
            <w:r>
              <w:rPr>
                <w:rFonts w:hint="eastAsia"/>
                <w:color w:val="auto"/>
                <w:sz w:val="21"/>
                <w:szCs w:val="21"/>
              </w:rPr>
              <w:t>5</w:t>
            </w:r>
          </w:p>
        </w:tc>
        <w:tc>
          <w:tcPr>
            <w:tcW w:w="1880" w:type="dxa"/>
            <w:vAlign w:val="center"/>
          </w:tcPr>
          <w:p w14:paraId="22AD364C">
            <w:pPr>
              <w:widowControl/>
              <w:spacing w:line="240" w:lineRule="auto"/>
              <w:ind w:firstLine="0" w:firstLineChars="0"/>
              <w:jc w:val="center"/>
              <w:rPr>
                <w:color w:val="auto"/>
                <w:kern w:val="0"/>
                <w:sz w:val="21"/>
                <w:szCs w:val="21"/>
              </w:rPr>
            </w:pPr>
            <w:r>
              <w:rPr>
                <w:rFonts w:hint="eastAsia"/>
                <w:color w:val="auto"/>
                <w:kern w:val="0"/>
                <w:sz w:val="21"/>
                <w:szCs w:val="21"/>
              </w:rPr>
              <w:t>0.01</w:t>
            </w:r>
          </w:p>
        </w:tc>
        <w:tc>
          <w:tcPr>
            <w:tcW w:w="1881" w:type="dxa"/>
            <w:vAlign w:val="center"/>
          </w:tcPr>
          <w:p w14:paraId="6A08BF59">
            <w:pPr>
              <w:pStyle w:val="1209"/>
              <w:spacing w:before="0" w:line="240" w:lineRule="auto"/>
              <w:ind w:firstLine="0" w:firstLineChars="0"/>
              <w:jc w:val="center"/>
              <w:rPr>
                <w:color w:val="auto"/>
                <w:sz w:val="21"/>
                <w:szCs w:val="21"/>
              </w:rPr>
            </w:pPr>
            <w:r>
              <w:rPr>
                <w:rFonts w:hint="eastAsia"/>
                <w:color w:val="auto"/>
                <w:sz w:val="21"/>
                <w:szCs w:val="21"/>
              </w:rPr>
              <w:t>35</w:t>
            </w:r>
          </w:p>
        </w:tc>
      </w:tr>
      <w:tr w14:paraId="0630EB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1174A42C">
            <w:pPr>
              <w:pStyle w:val="1209"/>
              <w:spacing w:before="0" w:line="240" w:lineRule="auto"/>
              <w:ind w:firstLine="0" w:firstLineChars="0"/>
              <w:jc w:val="center"/>
              <w:rPr>
                <w:color w:val="auto"/>
                <w:sz w:val="21"/>
                <w:szCs w:val="21"/>
              </w:rPr>
            </w:pPr>
          </w:p>
        </w:tc>
        <w:tc>
          <w:tcPr>
            <w:tcW w:w="1012" w:type="dxa"/>
            <w:shd w:val="clear" w:color="auto" w:fill="auto"/>
            <w:vAlign w:val="center"/>
          </w:tcPr>
          <w:p w14:paraId="42CAE0F5">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838" w:type="dxa"/>
            <w:shd w:val="clear" w:color="auto" w:fill="auto"/>
            <w:vAlign w:val="center"/>
          </w:tcPr>
          <w:p w14:paraId="7C2500F3">
            <w:pPr>
              <w:widowControl/>
              <w:spacing w:line="240" w:lineRule="auto"/>
              <w:ind w:firstLine="0" w:firstLineChars="0"/>
              <w:jc w:val="center"/>
              <w:rPr>
                <w:color w:val="auto"/>
                <w:sz w:val="21"/>
                <w:szCs w:val="21"/>
              </w:rPr>
            </w:pPr>
            <w:r>
              <w:rPr>
                <w:rFonts w:hint="eastAsia"/>
                <w:color w:val="auto"/>
                <w:kern w:val="0"/>
                <w:sz w:val="21"/>
                <w:szCs w:val="21"/>
              </w:rPr>
              <w:t>6.01</w:t>
            </w:r>
            <w:r>
              <w:rPr>
                <w:color w:val="auto"/>
                <w:kern w:val="0"/>
                <w:sz w:val="21"/>
                <w:szCs w:val="21"/>
              </w:rPr>
              <w:t>E-0</w:t>
            </w:r>
            <w:r>
              <w:rPr>
                <w:rFonts w:hint="eastAsia"/>
                <w:color w:val="auto"/>
                <w:kern w:val="0"/>
                <w:sz w:val="21"/>
                <w:szCs w:val="21"/>
              </w:rPr>
              <w:t>4</w:t>
            </w:r>
          </w:p>
        </w:tc>
        <w:tc>
          <w:tcPr>
            <w:tcW w:w="1880" w:type="dxa"/>
            <w:vAlign w:val="center"/>
          </w:tcPr>
          <w:p w14:paraId="32A26456">
            <w:pPr>
              <w:widowControl/>
              <w:spacing w:line="240" w:lineRule="auto"/>
              <w:ind w:firstLine="0" w:firstLineChars="0"/>
              <w:jc w:val="center"/>
              <w:rPr>
                <w:color w:val="auto"/>
                <w:kern w:val="0"/>
                <w:sz w:val="21"/>
                <w:szCs w:val="21"/>
              </w:rPr>
            </w:pPr>
            <w:r>
              <w:rPr>
                <w:rFonts w:hint="eastAsia"/>
                <w:color w:val="auto"/>
                <w:kern w:val="0"/>
                <w:sz w:val="21"/>
                <w:szCs w:val="21"/>
              </w:rPr>
              <w:t>0.30</w:t>
            </w:r>
          </w:p>
        </w:tc>
        <w:tc>
          <w:tcPr>
            <w:tcW w:w="1881" w:type="dxa"/>
            <w:vAlign w:val="center"/>
          </w:tcPr>
          <w:p w14:paraId="1AF00D0A">
            <w:pPr>
              <w:pStyle w:val="1209"/>
              <w:spacing w:before="0" w:line="240" w:lineRule="auto"/>
              <w:ind w:firstLine="0" w:firstLineChars="0"/>
              <w:jc w:val="center"/>
              <w:rPr>
                <w:color w:val="auto"/>
                <w:sz w:val="21"/>
                <w:szCs w:val="21"/>
              </w:rPr>
            </w:pPr>
            <w:r>
              <w:rPr>
                <w:rFonts w:hint="eastAsia"/>
                <w:color w:val="auto"/>
                <w:sz w:val="21"/>
                <w:szCs w:val="21"/>
              </w:rPr>
              <w:t>35</w:t>
            </w:r>
          </w:p>
        </w:tc>
      </w:tr>
      <w:tr w14:paraId="371895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1DBF2145">
            <w:pPr>
              <w:pStyle w:val="1209"/>
              <w:spacing w:before="0" w:line="240" w:lineRule="auto"/>
              <w:ind w:firstLine="0" w:firstLineChars="0"/>
              <w:jc w:val="center"/>
              <w:rPr>
                <w:color w:val="auto"/>
                <w:sz w:val="21"/>
                <w:szCs w:val="21"/>
              </w:rPr>
            </w:pPr>
            <w:r>
              <w:rPr>
                <w:color w:val="auto"/>
                <w:sz w:val="21"/>
                <w:szCs w:val="21"/>
              </w:rPr>
              <w:t>DA00</w:t>
            </w:r>
            <w:r>
              <w:rPr>
                <w:rFonts w:hint="eastAsia"/>
                <w:color w:val="auto"/>
                <w:sz w:val="21"/>
                <w:szCs w:val="21"/>
              </w:rPr>
              <w:t>4</w:t>
            </w:r>
          </w:p>
        </w:tc>
        <w:tc>
          <w:tcPr>
            <w:tcW w:w="1012" w:type="dxa"/>
            <w:vAlign w:val="center"/>
          </w:tcPr>
          <w:p w14:paraId="486C0E10">
            <w:pPr>
              <w:pStyle w:val="1209"/>
              <w:spacing w:before="0" w:line="240" w:lineRule="auto"/>
              <w:ind w:firstLine="0" w:firstLineChars="0"/>
              <w:jc w:val="center"/>
              <w:rPr>
                <w:color w:val="auto"/>
                <w:sz w:val="21"/>
                <w:szCs w:val="21"/>
              </w:rPr>
            </w:pPr>
            <w:r>
              <w:rPr>
                <w:color w:val="auto"/>
                <w:sz w:val="21"/>
                <w:szCs w:val="21"/>
              </w:rPr>
              <w:t>颗粒物</w:t>
            </w:r>
          </w:p>
        </w:tc>
        <w:tc>
          <w:tcPr>
            <w:tcW w:w="2838" w:type="dxa"/>
            <w:vAlign w:val="center"/>
          </w:tcPr>
          <w:p w14:paraId="746445EA">
            <w:pPr>
              <w:widowControl/>
              <w:spacing w:line="240" w:lineRule="auto"/>
              <w:ind w:firstLine="0" w:firstLineChars="0"/>
              <w:jc w:val="center"/>
              <w:rPr>
                <w:color w:val="auto"/>
                <w:sz w:val="21"/>
                <w:szCs w:val="21"/>
              </w:rPr>
            </w:pPr>
            <w:r>
              <w:rPr>
                <w:color w:val="auto"/>
                <w:kern w:val="0"/>
                <w:sz w:val="21"/>
                <w:szCs w:val="21"/>
              </w:rPr>
              <w:t>4.61E-04</w:t>
            </w:r>
          </w:p>
        </w:tc>
        <w:tc>
          <w:tcPr>
            <w:tcW w:w="1880" w:type="dxa"/>
            <w:vAlign w:val="center"/>
          </w:tcPr>
          <w:p w14:paraId="45DB1480">
            <w:pPr>
              <w:pStyle w:val="151"/>
              <w:jc w:val="center"/>
              <w:rPr>
                <w:rFonts w:ascii="Times New Roman" w:hAnsi="Times New Roman" w:cs="Times New Roman"/>
                <w:color w:val="auto"/>
                <w:sz w:val="21"/>
                <w:szCs w:val="21"/>
              </w:rPr>
            </w:pPr>
            <w:r>
              <w:rPr>
                <w:rFonts w:ascii="Times New Roman" w:hAnsi="Times New Roman" w:cs="Times New Roman"/>
                <w:color w:val="auto"/>
                <w:sz w:val="21"/>
                <w:szCs w:val="21"/>
              </w:rPr>
              <w:t>0.05</w:t>
            </w:r>
          </w:p>
        </w:tc>
        <w:tc>
          <w:tcPr>
            <w:tcW w:w="1881" w:type="dxa"/>
            <w:vAlign w:val="center"/>
          </w:tcPr>
          <w:p w14:paraId="00AE3AF6">
            <w:pPr>
              <w:pStyle w:val="1209"/>
              <w:spacing w:before="0" w:line="240" w:lineRule="auto"/>
              <w:ind w:firstLine="0" w:firstLineChars="0"/>
              <w:jc w:val="center"/>
              <w:rPr>
                <w:color w:val="auto"/>
                <w:sz w:val="21"/>
                <w:szCs w:val="21"/>
              </w:rPr>
            </w:pPr>
            <w:r>
              <w:rPr>
                <w:rFonts w:hint="eastAsia"/>
                <w:color w:val="auto"/>
                <w:sz w:val="21"/>
                <w:szCs w:val="21"/>
              </w:rPr>
              <w:t>50</w:t>
            </w:r>
          </w:p>
        </w:tc>
      </w:tr>
      <w:tr w14:paraId="3C374A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4523C18D">
            <w:pPr>
              <w:pStyle w:val="1209"/>
              <w:spacing w:before="0" w:line="240" w:lineRule="auto"/>
              <w:ind w:firstLine="0" w:firstLineChars="0"/>
              <w:jc w:val="center"/>
              <w:rPr>
                <w:color w:val="auto"/>
                <w:sz w:val="21"/>
                <w:szCs w:val="21"/>
              </w:rPr>
            </w:pPr>
            <w:r>
              <w:rPr>
                <w:color w:val="auto"/>
                <w:sz w:val="21"/>
                <w:szCs w:val="21"/>
              </w:rPr>
              <w:t>DA00</w:t>
            </w:r>
            <w:r>
              <w:rPr>
                <w:rFonts w:hint="eastAsia"/>
                <w:color w:val="auto"/>
                <w:sz w:val="21"/>
                <w:szCs w:val="21"/>
              </w:rPr>
              <w:t>6</w:t>
            </w:r>
          </w:p>
        </w:tc>
        <w:tc>
          <w:tcPr>
            <w:tcW w:w="1012" w:type="dxa"/>
            <w:vAlign w:val="center"/>
          </w:tcPr>
          <w:p w14:paraId="07C50DBA">
            <w:pPr>
              <w:pStyle w:val="1209"/>
              <w:spacing w:before="0" w:line="240" w:lineRule="auto"/>
              <w:ind w:firstLine="0" w:firstLineChars="0"/>
              <w:jc w:val="center"/>
              <w:rPr>
                <w:color w:val="auto"/>
                <w:sz w:val="21"/>
                <w:szCs w:val="21"/>
              </w:rPr>
            </w:pPr>
            <w:r>
              <w:rPr>
                <w:rFonts w:hint="eastAsia"/>
                <w:color w:val="auto"/>
                <w:sz w:val="21"/>
                <w:szCs w:val="21"/>
              </w:rPr>
              <w:t>硫酸雾</w:t>
            </w:r>
          </w:p>
        </w:tc>
        <w:tc>
          <w:tcPr>
            <w:tcW w:w="2838" w:type="dxa"/>
            <w:vAlign w:val="center"/>
          </w:tcPr>
          <w:p w14:paraId="2DAC4155">
            <w:pPr>
              <w:widowControl/>
              <w:spacing w:line="240" w:lineRule="auto"/>
              <w:ind w:firstLine="0" w:firstLineChars="0"/>
              <w:jc w:val="center"/>
              <w:rPr>
                <w:color w:val="auto"/>
                <w:sz w:val="21"/>
                <w:szCs w:val="21"/>
              </w:rPr>
            </w:pPr>
            <w:r>
              <w:rPr>
                <w:rFonts w:hint="eastAsia"/>
                <w:color w:val="auto"/>
                <w:kern w:val="0"/>
                <w:sz w:val="21"/>
                <w:szCs w:val="21"/>
              </w:rPr>
              <w:t>2.13</w:t>
            </w:r>
            <w:r>
              <w:rPr>
                <w:color w:val="auto"/>
                <w:kern w:val="0"/>
                <w:sz w:val="21"/>
                <w:szCs w:val="21"/>
              </w:rPr>
              <w:t>E-0</w:t>
            </w:r>
            <w:r>
              <w:rPr>
                <w:rFonts w:hint="eastAsia"/>
                <w:color w:val="auto"/>
                <w:kern w:val="0"/>
                <w:sz w:val="21"/>
                <w:szCs w:val="21"/>
              </w:rPr>
              <w:t>3</w:t>
            </w:r>
          </w:p>
        </w:tc>
        <w:tc>
          <w:tcPr>
            <w:tcW w:w="1880" w:type="dxa"/>
            <w:vAlign w:val="center"/>
          </w:tcPr>
          <w:p w14:paraId="44532C86">
            <w:pPr>
              <w:widowControl/>
              <w:spacing w:line="240" w:lineRule="auto"/>
              <w:ind w:firstLine="0" w:firstLineChars="0"/>
              <w:jc w:val="center"/>
              <w:rPr>
                <w:color w:val="auto"/>
                <w:sz w:val="21"/>
                <w:szCs w:val="21"/>
              </w:rPr>
            </w:pPr>
            <w:r>
              <w:rPr>
                <w:rFonts w:hint="eastAsia"/>
                <w:color w:val="auto"/>
                <w:kern w:val="0"/>
                <w:sz w:val="21"/>
                <w:szCs w:val="21"/>
              </w:rPr>
              <w:t>0.71</w:t>
            </w:r>
          </w:p>
        </w:tc>
        <w:tc>
          <w:tcPr>
            <w:tcW w:w="1881" w:type="dxa"/>
            <w:vAlign w:val="center"/>
          </w:tcPr>
          <w:p w14:paraId="45DFF7EE">
            <w:pPr>
              <w:pStyle w:val="1209"/>
              <w:spacing w:before="0" w:line="240" w:lineRule="auto"/>
              <w:ind w:firstLine="0" w:firstLineChars="0"/>
              <w:jc w:val="center"/>
              <w:rPr>
                <w:color w:val="auto"/>
                <w:sz w:val="21"/>
                <w:szCs w:val="21"/>
              </w:rPr>
            </w:pPr>
            <w:r>
              <w:rPr>
                <w:rFonts w:hint="eastAsia"/>
                <w:color w:val="auto"/>
                <w:sz w:val="21"/>
                <w:szCs w:val="21"/>
              </w:rPr>
              <w:t>50</w:t>
            </w:r>
          </w:p>
        </w:tc>
      </w:tr>
      <w:tr w14:paraId="16B312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Align w:val="center"/>
          </w:tcPr>
          <w:p w14:paraId="303EEABB">
            <w:pPr>
              <w:pStyle w:val="1209"/>
              <w:spacing w:before="0" w:line="240" w:lineRule="auto"/>
              <w:ind w:firstLine="0" w:firstLineChars="0"/>
              <w:jc w:val="center"/>
              <w:rPr>
                <w:color w:val="auto"/>
                <w:sz w:val="21"/>
                <w:szCs w:val="21"/>
              </w:rPr>
            </w:pPr>
            <w:r>
              <w:rPr>
                <w:color w:val="auto"/>
                <w:sz w:val="21"/>
                <w:szCs w:val="21"/>
              </w:rPr>
              <w:t>DA00</w:t>
            </w:r>
            <w:r>
              <w:rPr>
                <w:rFonts w:hint="eastAsia"/>
                <w:color w:val="auto"/>
                <w:sz w:val="21"/>
                <w:szCs w:val="21"/>
              </w:rPr>
              <w:t>8</w:t>
            </w:r>
          </w:p>
        </w:tc>
        <w:tc>
          <w:tcPr>
            <w:tcW w:w="1012" w:type="dxa"/>
            <w:vAlign w:val="center"/>
          </w:tcPr>
          <w:p w14:paraId="78BFCC7D">
            <w:pPr>
              <w:pStyle w:val="1209"/>
              <w:spacing w:before="0" w:line="240" w:lineRule="auto"/>
              <w:ind w:firstLine="0" w:firstLineChars="0"/>
              <w:jc w:val="center"/>
              <w:rPr>
                <w:color w:val="auto"/>
                <w:sz w:val="21"/>
                <w:szCs w:val="21"/>
              </w:rPr>
            </w:pPr>
            <w:r>
              <w:rPr>
                <w:rFonts w:hint="eastAsia"/>
                <w:color w:val="auto"/>
                <w:kern w:val="0"/>
                <w:sz w:val="21"/>
                <w:szCs w:val="21"/>
              </w:rPr>
              <w:t>NH</w:t>
            </w:r>
            <w:r>
              <w:rPr>
                <w:rFonts w:hint="eastAsia"/>
                <w:color w:val="auto"/>
                <w:kern w:val="0"/>
                <w:sz w:val="21"/>
                <w:szCs w:val="21"/>
                <w:vertAlign w:val="subscript"/>
              </w:rPr>
              <w:t>3</w:t>
            </w:r>
          </w:p>
        </w:tc>
        <w:tc>
          <w:tcPr>
            <w:tcW w:w="2838" w:type="dxa"/>
            <w:vAlign w:val="center"/>
          </w:tcPr>
          <w:p w14:paraId="7114DF54">
            <w:pPr>
              <w:widowControl/>
              <w:spacing w:line="240" w:lineRule="auto"/>
              <w:ind w:firstLine="0" w:firstLineChars="0"/>
              <w:jc w:val="center"/>
              <w:rPr>
                <w:color w:val="auto"/>
                <w:sz w:val="21"/>
                <w:szCs w:val="21"/>
              </w:rPr>
            </w:pPr>
            <w:r>
              <w:rPr>
                <w:color w:val="auto"/>
                <w:kern w:val="0"/>
                <w:sz w:val="21"/>
                <w:szCs w:val="21"/>
              </w:rPr>
              <w:t>2.67E-03</w:t>
            </w:r>
          </w:p>
        </w:tc>
        <w:tc>
          <w:tcPr>
            <w:tcW w:w="1880" w:type="dxa"/>
            <w:vAlign w:val="center"/>
          </w:tcPr>
          <w:p w14:paraId="48C88689">
            <w:pPr>
              <w:widowControl/>
              <w:spacing w:line="240" w:lineRule="auto"/>
              <w:ind w:firstLine="0" w:firstLineChars="0"/>
              <w:jc w:val="center"/>
              <w:rPr>
                <w:color w:val="auto"/>
                <w:sz w:val="21"/>
                <w:szCs w:val="21"/>
              </w:rPr>
            </w:pPr>
            <w:r>
              <w:rPr>
                <w:color w:val="auto"/>
                <w:kern w:val="0"/>
                <w:sz w:val="21"/>
                <w:szCs w:val="21"/>
              </w:rPr>
              <w:t>1.34</w:t>
            </w:r>
          </w:p>
        </w:tc>
        <w:tc>
          <w:tcPr>
            <w:tcW w:w="1881" w:type="dxa"/>
            <w:vAlign w:val="center"/>
          </w:tcPr>
          <w:p w14:paraId="4FDE1AB3">
            <w:pPr>
              <w:pStyle w:val="1209"/>
              <w:spacing w:before="0" w:line="240" w:lineRule="auto"/>
              <w:ind w:firstLine="0" w:firstLineChars="0"/>
              <w:jc w:val="center"/>
              <w:rPr>
                <w:color w:val="auto"/>
                <w:sz w:val="21"/>
                <w:szCs w:val="21"/>
              </w:rPr>
            </w:pPr>
            <w:r>
              <w:rPr>
                <w:rFonts w:hint="eastAsia"/>
                <w:color w:val="auto"/>
                <w:sz w:val="21"/>
                <w:szCs w:val="21"/>
              </w:rPr>
              <w:t>35</w:t>
            </w:r>
          </w:p>
        </w:tc>
      </w:tr>
      <w:tr w14:paraId="0B4EFB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90" w:type="dxa"/>
            <w:vMerge w:val="restart"/>
            <w:vAlign w:val="center"/>
          </w:tcPr>
          <w:p w14:paraId="6ECE322C">
            <w:pPr>
              <w:pStyle w:val="1209"/>
              <w:spacing w:before="0" w:line="240" w:lineRule="auto"/>
              <w:ind w:firstLine="0" w:firstLineChars="0"/>
              <w:jc w:val="center"/>
              <w:rPr>
                <w:color w:val="auto"/>
                <w:sz w:val="21"/>
                <w:szCs w:val="21"/>
              </w:rPr>
            </w:pPr>
            <w:r>
              <w:rPr>
                <w:rFonts w:hint="eastAsia"/>
                <w:color w:val="auto"/>
                <w:sz w:val="21"/>
                <w:szCs w:val="21"/>
              </w:rPr>
              <w:t>厂房</w:t>
            </w:r>
          </w:p>
        </w:tc>
        <w:tc>
          <w:tcPr>
            <w:tcW w:w="1012" w:type="dxa"/>
            <w:vAlign w:val="center"/>
          </w:tcPr>
          <w:p w14:paraId="7767C7A7">
            <w:pPr>
              <w:pStyle w:val="1209"/>
              <w:spacing w:before="0" w:line="240" w:lineRule="auto"/>
              <w:ind w:firstLine="0" w:firstLineChars="0"/>
              <w:jc w:val="center"/>
              <w:rPr>
                <w:color w:val="auto"/>
                <w:sz w:val="21"/>
                <w:szCs w:val="21"/>
              </w:rPr>
            </w:pPr>
            <w:r>
              <w:rPr>
                <w:color w:val="auto"/>
                <w:sz w:val="21"/>
                <w:szCs w:val="21"/>
              </w:rPr>
              <w:t>颗粒物</w:t>
            </w:r>
          </w:p>
        </w:tc>
        <w:tc>
          <w:tcPr>
            <w:tcW w:w="2838" w:type="dxa"/>
            <w:vAlign w:val="center"/>
          </w:tcPr>
          <w:p w14:paraId="636353AB">
            <w:pPr>
              <w:widowControl/>
              <w:spacing w:line="240" w:lineRule="auto"/>
              <w:ind w:firstLine="0" w:firstLineChars="0"/>
              <w:jc w:val="center"/>
              <w:rPr>
                <w:color w:val="auto"/>
                <w:sz w:val="21"/>
                <w:szCs w:val="21"/>
              </w:rPr>
            </w:pPr>
            <w:r>
              <w:rPr>
                <w:rFonts w:hint="eastAsia"/>
                <w:color w:val="auto"/>
                <w:kern w:val="0"/>
                <w:sz w:val="21"/>
                <w:szCs w:val="21"/>
              </w:rPr>
              <w:t>6.70</w:t>
            </w:r>
            <w:r>
              <w:rPr>
                <w:color w:val="auto"/>
                <w:kern w:val="0"/>
                <w:sz w:val="21"/>
                <w:szCs w:val="21"/>
              </w:rPr>
              <w:t>E-0</w:t>
            </w:r>
            <w:r>
              <w:rPr>
                <w:rFonts w:hint="eastAsia"/>
                <w:color w:val="auto"/>
                <w:kern w:val="0"/>
                <w:sz w:val="21"/>
                <w:szCs w:val="21"/>
              </w:rPr>
              <w:t>3</w:t>
            </w:r>
          </w:p>
        </w:tc>
        <w:tc>
          <w:tcPr>
            <w:tcW w:w="1880" w:type="dxa"/>
            <w:vAlign w:val="center"/>
          </w:tcPr>
          <w:p w14:paraId="748DA6A7">
            <w:pPr>
              <w:widowControl/>
              <w:spacing w:line="240" w:lineRule="auto"/>
              <w:ind w:firstLine="0" w:firstLineChars="0"/>
              <w:jc w:val="center"/>
              <w:rPr>
                <w:color w:val="auto"/>
                <w:sz w:val="21"/>
                <w:szCs w:val="21"/>
              </w:rPr>
            </w:pPr>
            <w:r>
              <w:rPr>
                <w:rFonts w:hint="eastAsia"/>
                <w:color w:val="auto"/>
                <w:sz w:val="21"/>
                <w:szCs w:val="21"/>
              </w:rPr>
              <w:t>0.74</w:t>
            </w:r>
          </w:p>
        </w:tc>
        <w:tc>
          <w:tcPr>
            <w:tcW w:w="1881" w:type="dxa"/>
            <w:vAlign w:val="center"/>
          </w:tcPr>
          <w:p w14:paraId="793F4535">
            <w:pPr>
              <w:pStyle w:val="1209"/>
              <w:spacing w:before="0" w:line="240" w:lineRule="auto"/>
              <w:ind w:firstLine="0" w:firstLineChars="0"/>
              <w:jc w:val="center"/>
              <w:rPr>
                <w:color w:val="auto"/>
                <w:sz w:val="21"/>
                <w:szCs w:val="21"/>
              </w:rPr>
            </w:pPr>
            <w:r>
              <w:rPr>
                <w:rFonts w:hint="eastAsia"/>
                <w:color w:val="auto"/>
                <w:sz w:val="21"/>
                <w:szCs w:val="21"/>
              </w:rPr>
              <w:t>195</w:t>
            </w:r>
          </w:p>
        </w:tc>
      </w:tr>
      <w:tr w14:paraId="7B2F2B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70211FA1">
            <w:pPr>
              <w:pStyle w:val="1209"/>
              <w:spacing w:before="0" w:line="240" w:lineRule="auto"/>
              <w:ind w:firstLine="0" w:firstLineChars="0"/>
              <w:jc w:val="center"/>
              <w:rPr>
                <w:color w:val="auto"/>
                <w:sz w:val="21"/>
                <w:szCs w:val="21"/>
              </w:rPr>
            </w:pPr>
          </w:p>
        </w:tc>
        <w:tc>
          <w:tcPr>
            <w:tcW w:w="1012" w:type="dxa"/>
            <w:vAlign w:val="center"/>
          </w:tcPr>
          <w:p w14:paraId="41C7553B">
            <w:pPr>
              <w:pStyle w:val="1209"/>
              <w:spacing w:before="0" w:line="240" w:lineRule="auto"/>
              <w:ind w:firstLine="0" w:firstLineChars="0"/>
              <w:jc w:val="center"/>
              <w:rPr>
                <w:color w:val="auto"/>
                <w:sz w:val="21"/>
                <w:szCs w:val="21"/>
              </w:rPr>
            </w:pPr>
            <w:r>
              <w:rPr>
                <w:rFonts w:hint="eastAsia"/>
                <w:color w:val="auto"/>
                <w:sz w:val="21"/>
                <w:szCs w:val="21"/>
              </w:rPr>
              <w:t>硫酸雾</w:t>
            </w:r>
          </w:p>
        </w:tc>
        <w:tc>
          <w:tcPr>
            <w:tcW w:w="2838" w:type="dxa"/>
            <w:vAlign w:val="center"/>
          </w:tcPr>
          <w:p w14:paraId="171D8816">
            <w:pPr>
              <w:widowControl/>
              <w:spacing w:line="240" w:lineRule="auto"/>
              <w:ind w:firstLine="0" w:firstLineChars="0"/>
              <w:jc w:val="center"/>
              <w:rPr>
                <w:color w:val="auto"/>
                <w:sz w:val="21"/>
                <w:szCs w:val="21"/>
              </w:rPr>
            </w:pPr>
            <w:r>
              <w:rPr>
                <w:rFonts w:hint="eastAsia"/>
                <w:color w:val="auto"/>
                <w:kern w:val="0"/>
                <w:sz w:val="21"/>
                <w:szCs w:val="21"/>
              </w:rPr>
              <w:t>1.06</w:t>
            </w:r>
            <w:r>
              <w:rPr>
                <w:color w:val="auto"/>
                <w:kern w:val="0"/>
                <w:sz w:val="21"/>
                <w:szCs w:val="21"/>
              </w:rPr>
              <w:t>E-02</w:t>
            </w:r>
          </w:p>
        </w:tc>
        <w:tc>
          <w:tcPr>
            <w:tcW w:w="1880" w:type="dxa"/>
            <w:vAlign w:val="center"/>
          </w:tcPr>
          <w:p w14:paraId="62FA6AB0">
            <w:pPr>
              <w:widowControl/>
              <w:spacing w:line="240" w:lineRule="auto"/>
              <w:ind w:firstLine="0" w:firstLineChars="0"/>
              <w:jc w:val="center"/>
              <w:rPr>
                <w:color w:val="auto"/>
                <w:sz w:val="21"/>
                <w:szCs w:val="21"/>
              </w:rPr>
            </w:pPr>
            <w:r>
              <w:rPr>
                <w:rFonts w:hint="eastAsia"/>
                <w:color w:val="auto"/>
                <w:sz w:val="21"/>
                <w:szCs w:val="21"/>
              </w:rPr>
              <w:t>3.53</w:t>
            </w:r>
          </w:p>
        </w:tc>
        <w:tc>
          <w:tcPr>
            <w:tcW w:w="1881" w:type="dxa"/>
            <w:vAlign w:val="center"/>
          </w:tcPr>
          <w:p w14:paraId="3BDBD2B5">
            <w:pPr>
              <w:pStyle w:val="1209"/>
              <w:spacing w:before="0" w:line="240" w:lineRule="auto"/>
              <w:ind w:firstLine="0" w:firstLineChars="0"/>
              <w:jc w:val="center"/>
              <w:rPr>
                <w:color w:val="auto"/>
                <w:sz w:val="21"/>
                <w:szCs w:val="21"/>
              </w:rPr>
            </w:pPr>
            <w:r>
              <w:rPr>
                <w:rFonts w:hint="eastAsia"/>
                <w:color w:val="auto"/>
                <w:sz w:val="21"/>
                <w:szCs w:val="21"/>
              </w:rPr>
              <w:t>195</w:t>
            </w:r>
          </w:p>
        </w:tc>
      </w:tr>
      <w:tr w14:paraId="13C68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90" w:type="dxa"/>
            <w:vMerge w:val="continue"/>
            <w:vAlign w:val="center"/>
          </w:tcPr>
          <w:p w14:paraId="5BA079A9">
            <w:pPr>
              <w:pStyle w:val="1209"/>
              <w:spacing w:before="0" w:line="240" w:lineRule="auto"/>
              <w:ind w:firstLine="0" w:firstLineChars="0"/>
              <w:jc w:val="center"/>
              <w:rPr>
                <w:color w:val="auto"/>
                <w:sz w:val="21"/>
                <w:szCs w:val="21"/>
              </w:rPr>
            </w:pPr>
          </w:p>
        </w:tc>
        <w:tc>
          <w:tcPr>
            <w:tcW w:w="1012" w:type="dxa"/>
            <w:vAlign w:val="center"/>
          </w:tcPr>
          <w:p w14:paraId="36683C9C">
            <w:pPr>
              <w:pStyle w:val="1209"/>
              <w:spacing w:before="0" w:line="240" w:lineRule="auto"/>
              <w:ind w:firstLine="0" w:firstLineChars="0"/>
              <w:jc w:val="center"/>
              <w:rPr>
                <w:color w:val="auto"/>
                <w:sz w:val="21"/>
                <w:szCs w:val="21"/>
              </w:rPr>
            </w:pPr>
            <w:r>
              <w:rPr>
                <w:rFonts w:hint="eastAsia"/>
                <w:color w:val="auto"/>
                <w:kern w:val="0"/>
                <w:sz w:val="21"/>
                <w:szCs w:val="21"/>
              </w:rPr>
              <w:t>NH</w:t>
            </w:r>
            <w:r>
              <w:rPr>
                <w:rFonts w:hint="eastAsia"/>
                <w:color w:val="auto"/>
                <w:kern w:val="0"/>
                <w:sz w:val="21"/>
                <w:szCs w:val="21"/>
                <w:vertAlign w:val="subscript"/>
              </w:rPr>
              <w:t>3</w:t>
            </w:r>
          </w:p>
        </w:tc>
        <w:tc>
          <w:tcPr>
            <w:tcW w:w="2838" w:type="dxa"/>
            <w:vAlign w:val="center"/>
          </w:tcPr>
          <w:p w14:paraId="57E9FBF2">
            <w:pPr>
              <w:widowControl/>
              <w:spacing w:line="240" w:lineRule="auto"/>
              <w:ind w:firstLine="0" w:firstLineChars="0"/>
              <w:jc w:val="center"/>
              <w:rPr>
                <w:color w:val="auto"/>
                <w:sz w:val="21"/>
                <w:szCs w:val="21"/>
              </w:rPr>
            </w:pPr>
            <w:r>
              <w:rPr>
                <w:rFonts w:hint="eastAsia"/>
                <w:color w:val="auto"/>
                <w:kern w:val="0"/>
                <w:sz w:val="21"/>
                <w:szCs w:val="21"/>
              </w:rPr>
              <w:t>2.85</w:t>
            </w:r>
            <w:r>
              <w:rPr>
                <w:color w:val="auto"/>
                <w:kern w:val="0"/>
                <w:sz w:val="21"/>
                <w:szCs w:val="21"/>
              </w:rPr>
              <w:t>E-0</w:t>
            </w:r>
            <w:r>
              <w:rPr>
                <w:rFonts w:hint="eastAsia"/>
                <w:color w:val="auto"/>
                <w:kern w:val="0"/>
                <w:sz w:val="21"/>
                <w:szCs w:val="21"/>
              </w:rPr>
              <w:t>3</w:t>
            </w:r>
          </w:p>
        </w:tc>
        <w:tc>
          <w:tcPr>
            <w:tcW w:w="1880" w:type="dxa"/>
            <w:vAlign w:val="center"/>
          </w:tcPr>
          <w:p w14:paraId="4673537F">
            <w:pPr>
              <w:widowControl/>
              <w:spacing w:line="240" w:lineRule="auto"/>
              <w:ind w:firstLine="0" w:firstLineChars="0"/>
              <w:jc w:val="center"/>
              <w:rPr>
                <w:color w:val="auto"/>
                <w:sz w:val="21"/>
                <w:szCs w:val="21"/>
              </w:rPr>
            </w:pPr>
            <w:r>
              <w:rPr>
                <w:rFonts w:hint="eastAsia"/>
                <w:color w:val="auto"/>
                <w:sz w:val="21"/>
                <w:szCs w:val="21"/>
              </w:rPr>
              <w:t>1.42</w:t>
            </w:r>
          </w:p>
        </w:tc>
        <w:tc>
          <w:tcPr>
            <w:tcW w:w="1881" w:type="dxa"/>
            <w:vAlign w:val="center"/>
          </w:tcPr>
          <w:p w14:paraId="51570E25">
            <w:pPr>
              <w:pStyle w:val="1209"/>
              <w:spacing w:before="0" w:line="240" w:lineRule="auto"/>
              <w:ind w:firstLine="0" w:firstLineChars="0"/>
              <w:jc w:val="center"/>
              <w:rPr>
                <w:color w:val="auto"/>
                <w:sz w:val="21"/>
                <w:szCs w:val="21"/>
              </w:rPr>
            </w:pPr>
            <w:r>
              <w:rPr>
                <w:rFonts w:hint="eastAsia"/>
                <w:color w:val="auto"/>
                <w:sz w:val="21"/>
                <w:szCs w:val="21"/>
              </w:rPr>
              <w:t>195</w:t>
            </w:r>
          </w:p>
        </w:tc>
      </w:tr>
    </w:tbl>
    <w:p w14:paraId="424BB59E">
      <w:pPr>
        <w:pStyle w:val="1209"/>
        <w:spacing w:before="0" w:line="360" w:lineRule="auto"/>
        <w:rPr>
          <w:color w:val="auto"/>
        </w:rPr>
      </w:pPr>
      <w:r>
        <w:rPr>
          <w:color w:val="auto"/>
        </w:rPr>
        <w:t>根据预测结果可知，正常工况下本项目有组织废气和无组织废气中各污染物下风向最大落地浓度占标率均低于10%，因此本项目大气环境影响评价工作等级为二级，项目不需设置大气环境防护距离。根据《环境影响评价技术导则 大气环境》(HJ2.2-2018</w:t>
      </w:r>
      <w:r>
        <w:rPr>
          <w:rFonts w:hint="eastAsia"/>
          <w:color w:val="auto"/>
        </w:rPr>
        <w:t>）</w:t>
      </w:r>
      <w:r>
        <w:rPr>
          <w:color w:val="auto"/>
        </w:rPr>
        <w:t>中相关规定，二级评价项目不进行进一步预测与评价，只对污染物排放量进行核算。</w:t>
      </w:r>
    </w:p>
    <w:p w14:paraId="6D835679">
      <w:pPr>
        <w:ind w:firstLine="482"/>
        <w:rPr>
          <w:b/>
          <w:bCs/>
          <w:color w:val="auto"/>
        </w:rPr>
      </w:pPr>
      <w:r>
        <w:rPr>
          <w:b/>
          <w:bCs/>
          <w:color w:val="auto"/>
        </w:rPr>
        <w:t>2、污染物排放量核算结果</w:t>
      </w:r>
    </w:p>
    <w:p w14:paraId="62994542">
      <w:pPr>
        <w:ind w:firstLine="480"/>
        <w:rPr>
          <w:color w:val="auto"/>
        </w:rPr>
      </w:pPr>
      <w:r>
        <w:rPr>
          <w:color w:val="auto"/>
        </w:rPr>
        <w:t>有组织排放量核算见表</w:t>
      </w:r>
      <w:r>
        <w:rPr>
          <w:rFonts w:hint="eastAsia"/>
          <w:color w:val="auto"/>
        </w:rPr>
        <w:t>6</w:t>
      </w:r>
      <w:r>
        <w:rPr>
          <w:color w:val="auto"/>
        </w:rPr>
        <w:t>.2</w:t>
      </w:r>
      <w:r>
        <w:rPr>
          <w:rFonts w:hint="eastAsia"/>
          <w:color w:val="auto"/>
        </w:rPr>
        <w:t>.1</w:t>
      </w:r>
      <w:r>
        <w:rPr>
          <w:color w:val="auto"/>
        </w:rPr>
        <w:t>-8。</w:t>
      </w:r>
    </w:p>
    <w:p w14:paraId="2D02E4FF">
      <w:pPr>
        <w:pStyle w:val="1209"/>
        <w:spacing w:before="0" w:line="240" w:lineRule="auto"/>
        <w:ind w:firstLine="0" w:firstLineChars="0"/>
        <w:jc w:val="center"/>
        <w:rPr>
          <w:b/>
          <w:bCs/>
          <w:color w:val="auto"/>
        </w:rPr>
      </w:pPr>
      <w:r>
        <w:rPr>
          <w:b/>
          <w:bCs/>
          <w:color w:val="auto"/>
        </w:rPr>
        <w:t>表</w:t>
      </w:r>
      <w:r>
        <w:rPr>
          <w:rFonts w:hint="eastAsia"/>
          <w:b/>
          <w:bCs/>
          <w:color w:val="auto"/>
        </w:rPr>
        <w:t>6</w:t>
      </w:r>
      <w:r>
        <w:rPr>
          <w:b/>
          <w:bCs/>
          <w:color w:val="auto"/>
        </w:rPr>
        <w:t>.2</w:t>
      </w:r>
      <w:r>
        <w:rPr>
          <w:rFonts w:hint="eastAsia"/>
          <w:b/>
          <w:bCs/>
          <w:color w:val="auto"/>
        </w:rPr>
        <w:t>.1</w:t>
      </w:r>
      <w:r>
        <w:rPr>
          <w:b/>
          <w:bCs/>
          <w:color w:val="auto"/>
        </w:rPr>
        <w:t>-8  大气污染物有组织排放量核算表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294"/>
        <w:gridCol w:w="1649"/>
        <w:gridCol w:w="2277"/>
        <w:gridCol w:w="1608"/>
        <w:gridCol w:w="1814"/>
      </w:tblGrid>
      <w:tr w14:paraId="02E3F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vMerge w:val="restart"/>
            <w:shd w:val="clear" w:color="auto" w:fill="auto"/>
            <w:vAlign w:val="center"/>
          </w:tcPr>
          <w:p w14:paraId="6317D351">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688" w:type="pct"/>
            <w:vMerge w:val="restart"/>
            <w:shd w:val="clear" w:color="auto" w:fill="auto"/>
            <w:vAlign w:val="center"/>
          </w:tcPr>
          <w:p w14:paraId="2412AB9C">
            <w:pPr>
              <w:widowControl/>
              <w:spacing w:line="240" w:lineRule="auto"/>
              <w:ind w:firstLine="0" w:firstLineChars="0"/>
              <w:jc w:val="center"/>
              <w:rPr>
                <w:b/>
                <w:bCs/>
                <w:color w:val="auto"/>
                <w:kern w:val="0"/>
                <w:sz w:val="21"/>
                <w:szCs w:val="21"/>
              </w:rPr>
            </w:pPr>
            <w:r>
              <w:rPr>
                <w:b/>
                <w:bCs/>
                <w:color w:val="auto"/>
                <w:kern w:val="0"/>
                <w:sz w:val="21"/>
                <w:szCs w:val="21"/>
              </w:rPr>
              <w:t>排放口编号</w:t>
            </w:r>
          </w:p>
        </w:tc>
        <w:tc>
          <w:tcPr>
            <w:tcW w:w="877" w:type="pct"/>
            <w:vMerge w:val="restart"/>
            <w:shd w:val="clear" w:color="auto" w:fill="auto"/>
            <w:vAlign w:val="center"/>
          </w:tcPr>
          <w:p w14:paraId="7B4E49B3">
            <w:pPr>
              <w:widowControl/>
              <w:spacing w:line="240" w:lineRule="auto"/>
              <w:ind w:firstLine="0" w:firstLineChars="0"/>
              <w:jc w:val="center"/>
              <w:rPr>
                <w:b/>
                <w:bCs/>
                <w:color w:val="auto"/>
                <w:kern w:val="0"/>
                <w:sz w:val="21"/>
                <w:szCs w:val="21"/>
              </w:rPr>
            </w:pPr>
            <w:r>
              <w:rPr>
                <w:b/>
                <w:bCs/>
                <w:color w:val="auto"/>
                <w:kern w:val="0"/>
                <w:sz w:val="21"/>
                <w:szCs w:val="21"/>
              </w:rPr>
              <w:t>污染物</w:t>
            </w:r>
          </w:p>
        </w:tc>
        <w:tc>
          <w:tcPr>
            <w:tcW w:w="1211" w:type="pct"/>
            <w:vMerge w:val="restart"/>
            <w:shd w:val="clear" w:color="auto" w:fill="auto"/>
            <w:vAlign w:val="center"/>
          </w:tcPr>
          <w:p w14:paraId="056E438E">
            <w:pPr>
              <w:widowControl/>
              <w:spacing w:line="240" w:lineRule="auto"/>
              <w:ind w:firstLine="0" w:firstLineChars="0"/>
              <w:jc w:val="center"/>
              <w:rPr>
                <w:b/>
                <w:bCs/>
                <w:color w:val="auto"/>
                <w:kern w:val="0"/>
                <w:sz w:val="21"/>
                <w:szCs w:val="21"/>
              </w:rPr>
            </w:pPr>
            <w:r>
              <w:rPr>
                <w:b/>
                <w:bCs/>
                <w:color w:val="auto"/>
                <w:kern w:val="0"/>
                <w:sz w:val="21"/>
                <w:szCs w:val="21"/>
              </w:rPr>
              <w:t>核算排放浓度限值/（mg/m</w:t>
            </w:r>
            <w:r>
              <w:rPr>
                <w:b/>
                <w:bCs/>
                <w:color w:val="auto"/>
                <w:kern w:val="0"/>
                <w:sz w:val="21"/>
                <w:szCs w:val="21"/>
                <w:vertAlign w:val="superscript"/>
              </w:rPr>
              <w:t>3</w:t>
            </w:r>
            <w:r>
              <w:rPr>
                <w:b/>
                <w:bCs/>
                <w:color w:val="auto"/>
                <w:kern w:val="0"/>
                <w:sz w:val="21"/>
                <w:szCs w:val="21"/>
              </w:rPr>
              <w:t>）</w:t>
            </w:r>
          </w:p>
        </w:tc>
        <w:tc>
          <w:tcPr>
            <w:tcW w:w="855" w:type="pct"/>
            <w:vMerge w:val="restart"/>
            <w:shd w:val="clear" w:color="auto" w:fill="auto"/>
            <w:vAlign w:val="center"/>
          </w:tcPr>
          <w:p w14:paraId="722244DF">
            <w:pPr>
              <w:widowControl/>
              <w:spacing w:line="240" w:lineRule="auto"/>
              <w:ind w:firstLine="0" w:firstLineChars="0"/>
              <w:jc w:val="center"/>
              <w:rPr>
                <w:b/>
                <w:bCs/>
                <w:color w:val="auto"/>
                <w:kern w:val="0"/>
                <w:sz w:val="21"/>
                <w:szCs w:val="21"/>
              </w:rPr>
            </w:pPr>
            <w:r>
              <w:rPr>
                <w:b/>
                <w:bCs/>
                <w:color w:val="auto"/>
                <w:kern w:val="0"/>
                <w:sz w:val="21"/>
                <w:szCs w:val="21"/>
              </w:rPr>
              <w:t>核算排放速率限值/（kg/h）</w:t>
            </w:r>
          </w:p>
        </w:tc>
        <w:tc>
          <w:tcPr>
            <w:tcW w:w="964" w:type="pct"/>
            <w:vMerge w:val="restart"/>
            <w:shd w:val="clear" w:color="auto" w:fill="auto"/>
            <w:vAlign w:val="center"/>
          </w:tcPr>
          <w:p w14:paraId="27B9183F">
            <w:pPr>
              <w:widowControl/>
              <w:spacing w:line="240" w:lineRule="auto"/>
              <w:ind w:firstLine="0" w:firstLineChars="0"/>
              <w:jc w:val="center"/>
              <w:rPr>
                <w:b/>
                <w:bCs/>
                <w:color w:val="auto"/>
                <w:kern w:val="0"/>
                <w:sz w:val="21"/>
                <w:szCs w:val="21"/>
              </w:rPr>
            </w:pPr>
            <w:r>
              <w:rPr>
                <w:b/>
                <w:bCs/>
                <w:color w:val="auto"/>
                <w:kern w:val="0"/>
                <w:sz w:val="21"/>
                <w:szCs w:val="21"/>
              </w:rPr>
              <w:t>核算年排放量/（t/a）</w:t>
            </w:r>
          </w:p>
        </w:tc>
      </w:tr>
      <w:tr w14:paraId="4E2EF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04" w:type="pct"/>
            <w:vMerge w:val="continue"/>
            <w:shd w:val="clear" w:color="auto" w:fill="auto"/>
            <w:vAlign w:val="center"/>
          </w:tcPr>
          <w:p w14:paraId="7FB3F1F7">
            <w:pPr>
              <w:widowControl/>
              <w:spacing w:line="240" w:lineRule="auto"/>
              <w:ind w:firstLine="0" w:firstLineChars="0"/>
              <w:jc w:val="left"/>
              <w:rPr>
                <w:color w:val="auto"/>
                <w:kern w:val="0"/>
                <w:sz w:val="21"/>
                <w:szCs w:val="21"/>
              </w:rPr>
            </w:pPr>
          </w:p>
        </w:tc>
        <w:tc>
          <w:tcPr>
            <w:tcW w:w="688" w:type="pct"/>
            <w:vMerge w:val="continue"/>
            <w:shd w:val="clear" w:color="auto" w:fill="auto"/>
            <w:vAlign w:val="center"/>
          </w:tcPr>
          <w:p w14:paraId="3556809A">
            <w:pPr>
              <w:widowControl/>
              <w:spacing w:line="240" w:lineRule="auto"/>
              <w:ind w:firstLine="0" w:firstLineChars="0"/>
              <w:jc w:val="left"/>
              <w:rPr>
                <w:color w:val="auto"/>
                <w:kern w:val="0"/>
                <w:sz w:val="21"/>
                <w:szCs w:val="21"/>
              </w:rPr>
            </w:pPr>
          </w:p>
        </w:tc>
        <w:tc>
          <w:tcPr>
            <w:tcW w:w="877" w:type="pct"/>
            <w:vMerge w:val="continue"/>
            <w:shd w:val="clear" w:color="auto" w:fill="auto"/>
            <w:vAlign w:val="center"/>
          </w:tcPr>
          <w:p w14:paraId="529065B1">
            <w:pPr>
              <w:widowControl/>
              <w:spacing w:line="240" w:lineRule="auto"/>
              <w:ind w:firstLine="0" w:firstLineChars="0"/>
              <w:jc w:val="left"/>
              <w:rPr>
                <w:color w:val="auto"/>
                <w:kern w:val="0"/>
                <w:sz w:val="21"/>
                <w:szCs w:val="21"/>
              </w:rPr>
            </w:pPr>
          </w:p>
        </w:tc>
        <w:tc>
          <w:tcPr>
            <w:tcW w:w="1211" w:type="pct"/>
            <w:vMerge w:val="continue"/>
            <w:shd w:val="clear" w:color="auto" w:fill="auto"/>
            <w:vAlign w:val="center"/>
          </w:tcPr>
          <w:p w14:paraId="089A17AA">
            <w:pPr>
              <w:widowControl/>
              <w:spacing w:line="240" w:lineRule="auto"/>
              <w:ind w:firstLine="0" w:firstLineChars="0"/>
              <w:jc w:val="left"/>
              <w:rPr>
                <w:color w:val="auto"/>
                <w:kern w:val="0"/>
                <w:sz w:val="21"/>
                <w:szCs w:val="21"/>
              </w:rPr>
            </w:pPr>
          </w:p>
        </w:tc>
        <w:tc>
          <w:tcPr>
            <w:tcW w:w="855" w:type="pct"/>
            <w:vMerge w:val="continue"/>
            <w:shd w:val="clear" w:color="auto" w:fill="auto"/>
            <w:vAlign w:val="center"/>
          </w:tcPr>
          <w:p w14:paraId="1A8A7880">
            <w:pPr>
              <w:widowControl/>
              <w:spacing w:line="240" w:lineRule="auto"/>
              <w:ind w:firstLine="0" w:firstLineChars="0"/>
              <w:jc w:val="left"/>
              <w:rPr>
                <w:color w:val="auto"/>
                <w:kern w:val="0"/>
                <w:sz w:val="21"/>
                <w:szCs w:val="21"/>
              </w:rPr>
            </w:pPr>
          </w:p>
        </w:tc>
        <w:tc>
          <w:tcPr>
            <w:tcW w:w="964" w:type="pct"/>
            <w:vMerge w:val="continue"/>
            <w:shd w:val="clear" w:color="auto" w:fill="auto"/>
            <w:vAlign w:val="center"/>
          </w:tcPr>
          <w:p w14:paraId="4D3D92A0">
            <w:pPr>
              <w:widowControl/>
              <w:spacing w:line="240" w:lineRule="auto"/>
              <w:ind w:firstLine="0" w:firstLineChars="0"/>
              <w:jc w:val="left"/>
              <w:rPr>
                <w:color w:val="auto"/>
                <w:kern w:val="0"/>
                <w:sz w:val="21"/>
                <w:szCs w:val="21"/>
              </w:rPr>
            </w:pPr>
          </w:p>
        </w:tc>
      </w:tr>
      <w:tr w14:paraId="5DCD0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000" w:type="pct"/>
            <w:gridSpan w:val="6"/>
            <w:shd w:val="clear" w:color="auto" w:fill="auto"/>
            <w:vAlign w:val="center"/>
          </w:tcPr>
          <w:p w14:paraId="7A2AFA30">
            <w:pPr>
              <w:widowControl/>
              <w:spacing w:line="240" w:lineRule="auto"/>
              <w:ind w:firstLine="0" w:firstLineChars="0"/>
              <w:jc w:val="center"/>
              <w:rPr>
                <w:color w:val="auto"/>
                <w:kern w:val="0"/>
                <w:sz w:val="21"/>
                <w:szCs w:val="21"/>
              </w:rPr>
            </w:pPr>
            <w:r>
              <w:rPr>
                <w:rFonts w:hint="eastAsia"/>
                <w:b/>
                <w:bCs/>
                <w:color w:val="auto"/>
                <w:kern w:val="0"/>
                <w:sz w:val="21"/>
                <w:szCs w:val="21"/>
              </w:rPr>
              <w:t>一般</w:t>
            </w:r>
            <w:r>
              <w:rPr>
                <w:b/>
                <w:bCs/>
                <w:color w:val="auto"/>
                <w:kern w:val="0"/>
                <w:sz w:val="21"/>
                <w:szCs w:val="21"/>
              </w:rPr>
              <w:t>排放口</w:t>
            </w:r>
          </w:p>
        </w:tc>
      </w:tr>
      <w:tr w14:paraId="67711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Merge w:val="restart"/>
            <w:shd w:val="clear" w:color="auto" w:fill="auto"/>
            <w:vAlign w:val="center"/>
          </w:tcPr>
          <w:p w14:paraId="1C8D4247">
            <w:pPr>
              <w:widowControl/>
              <w:spacing w:line="240" w:lineRule="auto"/>
              <w:ind w:firstLine="0" w:firstLineChars="0"/>
              <w:jc w:val="center"/>
              <w:rPr>
                <w:color w:val="auto"/>
                <w:kern w:val="0"/>
                <w:sz w:val="21"/>
                <w:szCs w:val="21"/>
              </w:rPr>
            </w:pPr>
            <w:r>
              <w:rPr>
                <w:color w:val="auto"/>
                <w:kern w:val="0"/>
                <w:sz w:val="21"/>
                <w:szCs w:val="21"/>
              </w:rPr>
              <w:t>1</w:t>
            </w:r>
          </w:p>
        </w:tc>
        <w:tc>
          <w:tcPr>
            <w:tcW w:w="688" w:type="pct"/>
            <w:vMerge w:val="restart"/>
            <w:shd w:val="clear" w:color="auto" w:fill="auto"/>
            <w:vAlign w:val="center"/>
          </w:tcPr>
          <w:p w14:paraId="72345589">
            <w:pPr>
              <w:widowControl/>
              <w:spacing w:line="240" w:lineRule="auto"/>
              <w:ind w:firstLine="0" w:firstLineChars="0"/>
              <w:jc w:val="center"/>
              <w:rPr>
                <w:color w:val="auto"/>
                <w:kern w:val="0"/>
                <w:sz w:val="21"/>
                <w:szCs w:val="21"/>
              </w:rPr>
            </w:pPr>
            <w:r>
              <w:rPr>
                <w:color w:val="auto"/>
                <w:kern w:val="0"/>
                <w:sz w:val="21"/>
                <w:szCs w:val="21"/>
              </w:rPr>
              <w:t>DA001</w:t>
            </w:r>
          </w:p>
        </w:tc>
        <w:tc>
          <w:tcPr>
            <w:tcW w:w="877" w:type="pct"/>
            <w:shd w:val="clear" w:color="auto" w:fill="auto"/>
            <w:vAlign w:val="center"/>
          </w:tcPr>
          <w:p w14:paraId="5CC26E5E">
            <w:pPr>
              <w:widowControl/>
              <w:spacing w:line="240" w:lineRule="auto"/>
              <w:ind w:firstLine="0" w:firstLineChars="0"/>
              <w:jc w:val="center"/>
              <w:rPr>
                <w:color w:val="auto"/>
                <w:kern w:val="0"/>
                <w:sz w:val="21"/>
                <w:szCs w:val="21"/>
              </w:rPr>
            </w:pPr>
            <w:r>
              <w:rPr>
                <w:color w:val="auto"/>
                <w:kern w:val="0"/>
                <w:sz w:val="21"/>
                <w:szCs w:val="21"/>
              </w:rPr>
              <w:t>颗粒物</w:t>
            </w:r>
          </w:p>
        </w:tc>
        <w:tc>
          <w:tcPr>
            <w:tcW w:w="2277" w:type="dxa"/>
            <w:shd w:val="clear" w:color="auto" w:fill="auto"/>
            <w:vAlign w:val="center"/>
          </w:tcPr>
          <w:p w14:paraId="2A10E0E5">
            <w:pPr>
              <w:tabs>
                <w:tab w:val="left" w:pos="2227"/>
              </w:tabs>
              <w:spacing w:line="240" w:lineRule="auto"/>
              <w:ind w:firstLine="0" w:firstLineChars="0"/>
              <w:jc w:val="center"/>
              <w:rPr>
                <w:color w:val="auto"/>
                <w:kern w:val="0"/>
                <w:sz w:val="21"/>
                <w:szCs w:val="21"/>
              </w:rPr>
            </w:pPr>
            <w:r>
              <w:rPr>
                <w:rFonts w:hint="eastAsia"/>
                <w:color w:val="auto"/>
                <w:sz w:val="21"/>
                <w:szCs w:val="21"/>
              </w:rPr>
              <w:t>12.012</w:t>
            </w:r>
          </w:p>
        </w:tc>
        <w:tc>
          <w:tcPr>
            <w:tcW w:w="1608" w:type="dxa"/>
            <w:shd w:val="clear" w:color="auto" w:fill="auto"/>
            <w:vAlign w:val="center"/>
          </w:tcPr>
          <w:p w14:paraId="64907560">
            <w:pPr>
              <w:tabs>
                <w:tab w:val="left" w:pos="2227"/>
              </w:tabs>
              <w:spacing w:line="240" w:lineRule="auto"/>
              <w:ind w:firstLine="0" w:firstLineChars="0"/>
              <w:jc w:val="center"/>
              <w:rPr>
                <w:color w:val="auto"/>
                <w:kern w:val="0"/>
                <w:sz w:val="21"/>
                <w:szCs w:val="21"/>
              </w:rPr>
            </w:pPr>
            <w:r>
              <w:rPr>
                <w:rFonts w:hint="eastAsia"/>
                <w:color w:val="auto"/>
                <w:sz w:val="21"/>
                <w:szCs w:val="21"/>
              </w:rPr>
              <w:t>0.096</w:t>
            </w:r>
          </w:p>
        </w:tc>
        <w:tc>
          <w:tcPr>
            <w:tcW w:w="1813" w:type="dxa"/>
            <w:shd w:val="clear" w:color="auto" w:fill="auto"/>
            <w:vAlign w:val="center"/>
          </w:tcPr>
          <w:p w14:paraId="14F3C8F5">
            <w:pPr>
              <w:tabs>
                <w:tab w:val="left" w:pos="2227"/>
              </w:tabs>
              <w:spacing w:line="240" w:lineRule="auto"/>
              <w:ind w:firstLine="0" w:firstLineChars="0"/>
              <w:jc w:val="center"/>
              <w:rPr>
                <w:color w:val="auto"/>
                <w:kern w:val="0"/>
                <w:sz w:val="21"/>
                <w:szCs w:val="21"/>
              </w:rPr>
            </w:pPr>
            <w:r>
              <w:rPr>
                <w:rFonts w:hint="eastAsia"/>
                <w:color w:val="auto"/>
                <w:sz w:val="21"/>
                <w:szCs w:val="21"/>
              </w:rPr>
              <w:t>0.761</w:t>
            </w:r>
          </w:p>
        </w:tc>
      </w:tr>
      <w:tr w14:paraId="34B6D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Merge w:val="continue"/>
            <w:shd w:val="clear" w:color="auto" w:fill="auto"/>
            <w:vAlign w:val="center"/>
          </w:tcPr>
          <w:p w14:paraId="780FA827">
            <w:pPr>
              <w:widowControl/>
              <w:spacing w:line="240" w:lineRule="auto"/>
              <w:ind w:firstLine="0" w:firstLineChars="0"/>
              <w:jc w:val="center"/>
              <w:rPr>
                <w:color w:val="auto"/>
                <w:kern w:val="0"/>
                <w:sz w:val="21"/>
                <w:szCs w:val="21"/>
              </w:rPr>
            </w:pPr>
          </w:p>
        </w:tc>
        <w:tc>
          <w:tcPr>
            <w:tcW w:w="688" w:type="pct"/>
            <w:vMerge w:val="continue"/>
            <w:shd w:val="clear" w:color="auto" w:fill="auto"/>
            <w:vAlign w:val="center"/>
          </w:tcPr>
          <w:p w14:paraId="0BB2E698">
            <w:pPr>
              <w:widowControl/>
              <w:spacing w:line="240" w:lineRule="auto"/>
              <w:ind w:firstLine="0" w:firstLineChars="0"/>
              <w:jc w:val="center"/>
              <w:rPr>
                <w:color w:val="auto"/>
                <w:kern w:val="0"/>
                <w:sz w:val="21"/>
                <w:szCs w:val="21"/>
              </w:rPr>
            </w:pPr>
          </w:p>
        </w:tc>
        <w:tc>
          <w:tcPr>
            <w:tcW w:w="877" w:type="pct"/>
            <w:shd w:val="clear" w:color="auto" w:fill="auto"/>
            <w:vAlign w:val="center"/>
          </w:tcPr>
          <w:p w14:paraId="69450399">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277" w:type="dxa"/>
            <w:shd w:val="clear" w:color="auto" w:fill="auto"/>
            <w:vAlign w:val="center"/>
          </w:tcPr>
          <w:p w14:paraId="17A7EF22">
            <w:pPr>
              <w:tabs>
                <w:tab w:val="left" w:pos="2227"/>
              </w:tabs>
              <w:spacing w:line="240" w:lineRule="auto"/>
              <w:ind w:firstLine="0" w:firstLineChars="0"/>
              <w:jc w:val="center"/>
              <w:rPr>
                <w:color w:val="auto"/>
                <w:sz w:val="21"/>
                <w:szCs w:val="21"/>
              </w:rPr>
            </w:pPr>
            <w:r>
              <w:rPr>
                <w:rFonts w:hint="eastAsia"/>
                <w:color w:val="auto"/>
                <w:sz w:val="21"/>
                <w:szCs w:val="21"/>
              </w:rPr>
              <w:t>8.400</w:t>
            </w:r>
          </w:p>
        </w:tc>
        <w:tc>
          <w:tcPr>
            <w:tcW w:w="1608" w:type="dxa"/>
            <w:shd w:val="clear" w:color="auto" w:fill="auto"/>
            <w:vAlign w:val="center"/>
          </w:tcPr>
          <w:p w14:paraId="208DAA12">
            <w:pPr>
              <w:tabs>
                <w:tab w:val="left" w:pos="2227"/>
              </w:tabs>
              <w:spacing w:line="240" w:lineRule="auto"/>
              <w:ind w:firstLine="0" w:firstLineChars="0"/>
              <w:jc w:val="center"/>
              <w:rPr>
                <w:color w:val="auto"/>
                <w:sz w:val="21"/>
                <w:szCs w:val="21"/>
              </w:rPr>
            </w:pPr>
            <w:r>
              <w:rPr>
                <w:rFonts w:hint="eastAsia"/>
                <w:color w:val="auto"/>
                <w:sz w:val="21"/>
                <w:szCs w:val="21"/>
              </w:rPr>
              <w:t>0.067</w:t>
            </w:r>
          </w:p>
        </w:tc>
        <w:tc>
          <w:tcPr>
            <w:tcW w:w="1813" w:type="dxa"/>
            <w:shd w:val="clear" w:color="auto" w:fill="auto"/>
            <w:vAlign w:val="center"/>
          </w:tcPr>
          <w:p w14:paraId="75C22949">
            <w:pPr>
              <w:tabs>
                <w:tab w:val="left" w:pos="2227"/>
              </w:tabs>
              <w:spacing w:line="240" w:lineRule="auto"/>
              <w:ind w:firstLine="0" w:firstLineChars="0"/>
              <w:jc w:val="center"/>
              <w:rPr>
                <w:color w:val="auto"/>
                <w:sz w:val="21"/>
                <w:szCs w:val="21"/>
              </w:rPr>
            </w:pPr>
            <w:r>
              <w:rPr>
                <w:rFonts w:hint="eastAsia"/>
                <w:color w:val="auto"/>
                <w:sz w:val="21"/>
                <w:szCs w:val="21"/>
              </w:rPr>
              <w:t>0.532</w:t>
            </w:r>
          </w:p>
        </w:tc>
      </w:tr>
      <w:tr w14:paraId="4D8D6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vMerge w:val="continue"/>
            <w:shd w:val="clear" w:color="auto" w:fill="auto"/>
            <w:vAlign w:val="center"/>
          </w:tcPr>
          <w:p w14:paraId="6479F43B">
            <w:pPr>
              <w:widowControl/>
              <w:spacing w:line="240" w:lineRule="auto"/>
              <w:ind w:firstLine="0" w:firstLineChars="0"/>
              <w:jc w:val="center"/>
              <w:rPr>
                <w:color w:val="auto"/>
                <w:kern w:val="0"/>
                <w:sz w:val="21"/>
                <w:szCs w:val="21"/>
              </w:rPr>
            </w:pPr>
          </w:p>
        </w:tc>
        <w:tc>
          <w:tcPr>
            <w:tcW w:w="688" w:type="pct"/>
            <w:vMerge w:val="continue"/>
            <w:shd w:val="clear" w:color="auto" w:fill="auto"/>
            <w:vAlign w:val="center"/>
          </w:tcPr>
          <w:p w14:paraId="359B56FF">
            <w:pPr>
              <w:widowControl/>
              <w:spacing w:line="240" w:lineRule="auto"/>
              <w:ind w:firstLine="0" w:firstLineChars="0"/>
              <w:jc w:val="center"/>
              <w:rPr>
                <w:color w:val="auto"/>
                <w:kern w:val="0"/>
                <w:sz w:val="21"/>
                <w:szCs w:val="21"/>
              </w:rPr>
            </w:pPr>
          </w:p>
        </w:tc>
        <w:tc>
          <w:tcPr>
            <w:tcW w:w="877" w:type="pct"/>
            <w:shd w:val="clear" w:color="auto" w:fill="auto"/>
            <w:vAlign w:val="center"/>
          </w:tcPr>
          <w:p w14:paraId="23654D21">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277" w:type="dxa"/>
            <w:shd w:val="clear" w:color="auto" w:fill="auto"/>
            <w:vAlign w:val="center"/>
          </w:tcPr>
          <w:p w14:paraId="004CB253">
            <w:pPr>
              <w:tabs>
                <w:tab w:val="left" w:pos="2227"/>
              </w:tabs>
              <w:spacing w:line="240" w:lineRule="auto"/>
              <w:ind w:firstLine="0" w:firstLineChars="0"/>
              <w:jc w:val="center"/>
              <w:rPr>
                <w:color w:val="auto"/>
                <w:sz w:val="21"/>
                <w:szCs w:val="21"/>
              </w:rPr>
            </w:pPr>
            <w:r>
              <w:rPr>
                <w:rFonts w:hint="eastAsia"/>
                <w:color w:val="auto"/>
                <w:sz w:val="21"/>
                <w:szCs w:val="21"/>
              </w:rPr>
              <w:t>78.539</w:t>
            </w:r>
          </w:p>
        </w:tc>
        <w:tc>
          <w:tcPr>
            <w:tcW w:w="1608" w:type="dxa"/>
            <w:shd w:val="clear" w:color="auto" w:fill="auto"/>
            <w:vAlign w:val="center"/>
          </w:tcPr>
          <w:p w14:paraId="1961CAA2">
            <w:pPr>
              <w:tabs>
                <w:tab w:val="left" w:pos="2227"/>
              </w:tabs>
              <w:spacing w:line="240" w:lineRule="auto"/>
              <w:ind w:firstLine="0" w:firstLineChars="0"/>
              <w:jc w:val="center"/>
              <w:rPr>
                <w:color w:val="auto"/>
                <w:sz w:val="21"/>
                <w:szCs w:val="21"/>
              </w:rPr>
            </w:pPr>
            <w:r>
              <w:rPr>
                <w:rFonts w:hint="eastAsia"/>
                <w:color w:val="auto"/>
                <w:sz w:val="21"/>
                <w:szCs w:val="21"/>
              </w:rPr>
              <w:t>0.628</w:t>
            </w:r>
          </w:p>
        </w:tc>
        <w:tc>
          <w:tcPr>
            <w:tcW w:w="1813" w:type="dxa"/>
            <w:shd w:val="clear" w:color="auto" w:fill="auto"/>
            <w:vAlign w:val="center"/>
          </w:tcPr>
          <w:p w14:paraId="57A77055">
            <w:pPr>
              <w:tabs>
                <w:tab w:val="left" w:pos="2227"/>
              </w:tabs>
              <w:spacing w:line="240" w:lineRule="auto"/>
              <w:ind w:firstLine="0" w:firstLineChars="0"/>
              <w:jc w:val="center"/>
              <w:rPr>
                <w:color w:val="auto"/>
                <w:sz w:val="21"/>
                <w:szCs w:val="21"/>
              </w:rPr>
            </w:pPr>
            <w:r>
              <w:rPr>
                <w:rFonts w:hint="eastAsia"/>
                <w:color w:val="auto"/>
                <w:sz w:val="21"/>
                <w:szCs w:val="21"/>
              </w:rPr>
              <w:t>4.976</w:t>
            </w:r>
          </w:p>
        </w:tc>
      </w:tr>
      <w:tr w14:paraId="469A2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shd w:val="clear" w:color="auto" w:fill="auto"/>
            <w:vAlign w:val="center"/>
          </w:tcPr>
          <w:p w14:paraId="43A9AEDB">
            <w:pPr>
              <w:widowControl/>
              <w:spacing w:line="240" w:lineRule="auto"/>
              <w:ind w:firstLine="0" w:firstLineChars="0"/>
              <w:jc w:val="center"/>
              <w:rPr>
                <w:color w:val="auto"/>
                <w:kern w:val="0"/>
                <w:sz w:val="21"/>
                <w:szCs w:val="21"/>
              </w:rPr>
            </w:pPr>
            <w:r>
              <w:rPr>
                <w:color w:val="auto"/>
                <w:kern w:val="0"/>
                <w:sz w:val="21"/>
                <w:szCs w:val="21"/>
              </w:rPr>
              <w:t>2</w:t>
            </w:r>
          </w:p>
        </w:tc>
        <w:tc>
          <w:tcPr>
            <w:tcW w:w="688" w:type="pct"/>
            <w:vMerge w:val="restart"/>
            <w:shd w:val="clear" w:color="auto" w:fill="auto"/>
            <w:vAlign w:val="center"/>
          </w:tcPr>
          <w:p w14:paraId="5FA5D7E1">
            <w:pPr>
              <w:widowControl/>
              <w:spacing w:line="240" w:lineRule="auto"/>
              <w:ind w:firstLine="0" w:firstLineChars="0"/>
              <w:jc w:val="center"/>
              <w:rPr>
                <w:color w:val="auto"/>
                <w:kern w:val="0"/>
                <w:sz w:val="21"/>
                <w:szCs w:val="21"/>
              </w:rPr>
            </w:pPr>
            <w:r>
              <w:rPr>
                <w:color w:val="auto"/>
                <w:kern w:val="0"/>
                <w:sz w:val="21"/>
                <w:szCs w:val="21"/>
              </w:rPr>
              <w:t>DA002</w:t>
            </w:r>
          </w:p>
        </w:tc>
        <w:tc>
          <w:tcPr>
            <w:tcW w:w="877" w:type="pct"/>
            <w:shd w:val="clear" w:color="auto" w:fill="auto"/>
            <w:vAlign w:val="center"/>
          </w:tcPr>
          <w:p w14:paraId="7857C826">
            <w:pPr>
              <w:tabs>
                <w:tab w:val="left" w:pos="2227"/>
              </w:tabs>
              <w:spacing w:line="240" w:lineRule="auto"/>
              <w:ind w:firstLine="0" w:firstLineChars="0"/>
              <w:jc w:val="center"/>
              <w:rPr>
                <w:color w:val="auto"/>
                <w:sz w:val="21"/>
                <w:szCs w:val="21"/>
              </w:rPr>
            </w:pPr>
            <w:r>
              <w:rPr>
                <w:color w:val="auto"/>
                <w:sz w:val="21"/>
                <w:szCs w:val="21"/>
              </w:rPr>
              <w:t>颗粒物</w:t>
            </w:r>
          </w:p>
        </w:tc>
        <w:tc>
          <w:tcPr>
            <w:tcW w:w="2277" w:type="dxa"/>
            <w:shd w:val="clear" w:color="auto" w:fill="auto"/>
            <w:vAlign w:val="center"/>
          </w:tcPr>
          <w:p w14:paraId="5AA64BD8">
            <w:pPr>
              <w:tabs>
                <w:tab w:val="left" w:pos="2227"/>
              </w:tabs>
              <w:spacing w:line="240" w:lineRule="auto"/>
              <w:ind w:firstLine="0" w:firstLineChars="0"/>
              <w:jc w:val="center"/>
              <w:rPr>
                <w:color w:val="auto"/>
                <w:sz w:val="21"/>
                <w:szCs w:val="21"/>
              </w:rPr>
            </w:pPr>
            <w:r>
              <w:rPr>
                <w:rFonts w:hint="eastAsia"/>
                <w:color w:val="auto"/>
                <w:sz w:val="21"/>
                <w:szCs w:val="21"/>
              </w:rPr>
              <w:t>13.047</w:t>
            </w:r>
          </w:p>
        </w:tc>
        <w:tc>
          <w:tcPr>
            <w:tcW w:w="1608" w:type="dxa"/>
            <w:shd w:val="clear" w:color="auto" w:fill="auto"/>
            <w:vAlign w:val="center"/>
          </w:tcPr>
          <w:p w14:paraId="38B888FE">
            <w:pPr>
              <w:tabs>
                <w:tab w:val="left" w:pos="2227"/>
              </w:tabs>
              <w:spacing w:line="240" w:lineRule="auto"/>
              <w:ind w:firstLine="0" w:firstLineChars="0"/>
              <w:jc w:val="center"/>
              <w:rPr>
                <w:color w:val="auto"/>
                <w:sz w:val="21"/>
                <w:szCs w:val="21"/>
              </w:rPr>
            </w:pPr>
            <w:r>
              <w:rPr>
                <w:rFonts w:hint="eastAsia"/>
                <w:color w:val="auto"/>
                <w:sz w:val="21"/>
                <w:szCs w:val="21"/>
              </w:rPr>
              <w:t>0.065</w:t>
            </w:r>
          </w:p>
        </w:tc>
        <w:tc>
          <w:tcPr>
            <w:tcW w:w="1813" w:type="dxa"/>
            <w:shd w:val="clear" w:color="auto" w:fill="auto"/>
            <w:vAlign w:val="center"/>
          </w:tcPr>
          <w:p w14:paraId="1A6C44DA">
            <w:pPr>
              <w:tabs>
                <w:tab w:val="left" w:pos="2227"/>
              </w:tabs>
              <w:spacing w:line="240" w:lineRule="auto"/>
              <w:ind w:firstLine="0" w:firstLineChars="0"/>
              <w:jc w:val="center"/>
              <w:rPr>
                <w:color w:val="auto"/>
                <w:sz w:val="21"/>
                <w:szCs w:val="21"/>
              </w:rPr>
            </w:pPr>
            <w:r>
              <w:rPr>
                <w:rFonts w:hint="eastAsia"/>
                <w:color w:val="auto"/>
                <w:sz w:val="21"/>
                <w:szCs w:val="21"/>
              </w:rPr>
              <w:t>0.326</w:t>
            </w:r>
          </w:p>
        </w:tc>
      </w:tr>
      <w:tr w14:paraId="284CF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shd w:val="clear" w:color="auto" w:fill="auto"/>
            <w:vAlign w:val="center"/>
          </w:tcPr>
          <w:p w14:paraId="23743800">
            <w:pPr>
              <w:widowControl/>
              <w:spacing w:line="240" w:lineRule="auto"/>
              <w:ind w:firstLine="0" w:firstLineChars="0"/>
              <w:jc w:val="center"/>
              <w:rPr>
                <w:color w:val="auto"/>
                <w:kern w:val="0"/>
                <w:sz w:val="21"/>
                <w:szCs w:val="21"/>
              </w:rPr>
            </w:pPr>
            <w:r>
              <w:rPr>
                <w:color w:val="auto"/>
                <w:kern w:val="0"/>
                <w:sz w:val="21"/>
                <w:szCs w:val="21"/>
              </w:rPr>
              <w:t>3</w:t>
            </w:r>
          </w:p>
        </w:tc>
        <w:tc>
          <w:tcPr>
            <w:tcW w:w="688" w:type="pct"/>
            <w:vMerge w:val="continue"/>
            <w:shd w:val="clear" w:color="auto" w:fill="auto"/>
            <w:vAlign w:val="center"/>
          </w:tcPr>
          <w:p w14:paraId="3C950A47">
            <w:pPr>
              <w:widowControl/>
              <w:spacing w:line="240" w:lineRule="auto"/>
              <w:ind w:firstLine="0" w:firstLineChars="0"/>
              <w:jc w:val="center"/>
              <w:rPr>
                <w:color w:val="auto"/>
                <w:kern w:val="0"/>
                <w:sz w:val="21"/>
                <w:szCs w:val="21"/>
              </w:rPr>
            </w:pPr>
          </w:p>
        </w:tc>
        <w:tc>
          <w:tcPr>
            <w:tcW w:w="877" w:type="pct"/>
            <w:shd w:val="clear" w:color="auto" w:fill="auto"/>
            <w:vAlign w:val="center"/>
          </w:tcPr>
          <w:p w14:paraId="3CB81B10">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277" w:type="dxa"/>
            <w:shd w:val="clear" w:color="auto" w:fill="auto"/>
            <w:vAlign w:val="center"/>
          </w:tcPr>
          <w:p w14:paraId="7DF30369">
            <w:pPr>
              <w:tabs>
                <w:tab w:val="left" w:pos="2227"/>
              </w:tabs>
              <w:spacing w:line="240" w:lineRule="auto"/>
              <w:ind w:firstLine="0" w:firstLineChars="0"/>
              <w:jc w:val="center"/>
              <w:rPr>
                <w:color w:val="auto"/>
                <w:kern w:val="0"/>
                <w:sz w:val="21"/>
                <w:szCs w:val="21"/>
              </w:rPr>
            </w:pPr>
            <w:r>
              <w:rPr>
                <w:rFonts w:hint="eastAsia"/>
                <w:color w:val="auto"/>
                <w:sz w:val="21"/>
                <w:szCs w:val="21"/>
              </w:rPr>
              <w:t>9.124</w:t>
            </w:r>
          </w:p>
        </w:tc>
        <w:tc>
          <w:tcPr>
            <w:tcW w:w="1608" w:type="dxa"/>
            <w:shd w:val="clear" w:color="auto" w:fill="auto"/>
            <w:vAlign w:val="center"/>
          </w:tcPr>
          <w:p w14:paraId="6ED6C1BC">
            <w:pPr>
              <w:tabs>
                <w:tab w:val="left" w:pos="2227"/>
              </w:tabs>
              <w:spacing w:line="240" w:lineRule="auto"/>
              <w:ind w:firstLine="0" w:firstLineChars="0"/>
              <w:jc w:val="center"/>
              <w:rPr>
                <w:color w:val="auto"/>
                <w:kern w:val="0"/>
                <w:sz w:val="21"/>
                <w:szCs w:val="21"/>
              </w:rPr>
            </w:pPr>
            <w:r>
              <w:rPr>
                <w:rFonts w:hint="eastAsia"/>
                <w:color w:val="auto"/>
                <w:sz w:val="21"/>
                <w:szCs w:val="21"/>
              </w:rPr>
              <w:t>0.046</w:t>
            </w:r>
          </w:p>
        </w:tc>
        <w:tc>
          <w:tcPr>
            <w:tcW w:w="1813" w:type="dxa"/>
            <w:shd w:val="clear" w:color="auto" w:fill="auto"/>
            <w:vAlign w:val="center"/>
          </w:tcPr>
          <w:p w14:paraId="3FD34D65">
            <w:pPr>
              <w:tabs>
                <w:tab w:val="left" w:pos="2227"/>
              </w:tabs>
              <w:spacing w:line="240" w:lineRule="auto"/>
              <w:ind w:firstLine="0" w:firstLineChars="0"/>
              <w:jc w:val="center"/>
              <w:rPr>
                <w:color w:val="auto"/>
                <w:kern w:val="0"/>
                <w:sz w:val="21"/>
                <w:szCs w:val="21"/>
              </w:rPr>
            </w:pPr>
            <w:r>
              <w:rPr>
                <w:rFonts w:hint="eastAsia"/>
                <w:color w:val="auto"/>
                <w:sz w:val="21"/>
                <w:szCs w:val="21"/>
              </w:rPr>
              <w:t>0.228</w:t>
            </w:r>
          </w:p>
        </w:tc>
      </w:tr>
      <w:tr w14:paraId="235E5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04" w:type="pct"/>
            <w:shd w:val="clear" w:color="auto" w:fill="auto"/>
            <w:vAlign w:val="center"/>
          </w:tcPr>
          <w:p w14:paraId="2CCD248F">
            <w:pPr>
              <w:widowControl/>
              <w:spacing w:line="240" w:lineRule="auto"/>
              <w:ind w:firstLine="0" w:firstLineChars="0"/>
              <w:jc w:val="center"/>
              <w:rPr>
                <w:color w:val="auto"/>
                <w:kern w:val="0"/>
                <w:sz w:val="21"/>
                <w:szCs w:val="21"/>
              </w:rPr>
            </w:pPr>
            <w:r>
              <w:rPr>
                <w:color w:val="auto"/>
                <w:kern w:val="0"/>
                <w:sz w:val="21"/>
                <w:szCs w:val="21"/>
              </w:rPr>
              <w:t>4</w:t>
            </w:r>
          </w:p>
        </w:tc>
        <w:tc>
          <w:tcPr>
            <w:tcW w:w="688" w:type="pct"/>
            <w:vMerge w:val="continue"/>
            <w:shd w:val="clear" w:color="auto" w:fill="auto"/>
            <w:vAlign w:val="center"/>
          </w:tcPr>
          <w:p w14:paraId="55005F89">
            <w:pPr>
              <w:widowControl/>
              <w:spacing w:line="240" w:lineRule="auto"/>
              <w:ind w:firstLine="0" w:firstLineChars="0"/>
              <w:jc w:val="center"/>
              <w:rPr>
                <w:color w:val="auto"/>
                <w:kern w:val="0"/>
                <w:sz w:val="21"/>
                <w:szCs w:val="21"/>
              </w:rPr>
            </w:pPr>
          </w:p>
        </w:tc>
        <w:tc>
          <w:tcPr>
            <w:tcW w:w="877" w:type="pct"/>
            <w:shd w:val="clear" w:color="auto" w:fill="auto"/>
            <w:vAlign w:val="center"/>
          </w:tcPr>
          <w:p w14:paraId="0A5DDF98">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277" w:type="dxa"/>
            <w:shd w:val="clear" w:color="auto" w:fill="auto"/>
            <w:vAlign w:val="center"/>
          </w:tcPr>
          <w:p w14:paraId="4E576F02">
            <w:pPr>
              <w:tabs>
                <w:tab w:val="left" w:pos="2227"/>
              </w:tabs>
              <w:spacing w:line="240" w:lineRule="auto"/>
              <w:ind w:firstLine="0" w:firstLineChars="0"/>
              <w:jc w:val="center"/>
              <w:rPr>
                <w:color w:val="auto"/>
                <w:sz w:val="21"/>
                <w:szCs w:val="21"/>
              </w:rPr>
            </w:pPr>
            <w:r>
              <w:rPr>
                <w:rFonts w:hint="eastAsia"/>
                <w:color w:val="auto"/>
                <w:sz w:val="21"/>
                <w:szCs w:val="21"/>
              </w:rPr>
              <w:t>85.309</w:t>
            </w:r>
          </w:p>
        </w:tc>
        <w:tc>
          <w:tcPr>
            <w:tcW w:w="1608" w:type="dxa"/>
            <w:shd w:val="clear" w:color="auto" w:fill="auto"/>
            <w:vAlign w:val="center"/>
          </w:tcPr>
          <w:p w14:paraId="0B4A80B0">
            <w:pPr>
              <w:tabs>
                <w:tab w:val="left" w:pos="2227"/>
              </w:tabs>
              <w:spacing w:line="240" w:lineRule="auto"/>
              <w:ind w:firstLine="0" w:firstLineChars="0"/>
              <w:jc w:val="center"/>
              <w:rPr>
                <w:color w:val="auto"/>
                <w:sz w:val="21"/>
                <w:szCs w:val="21"/>
              </w:rPr>
            </w:pPr>
            <w:r>
              <w:rPr>
                <w:rFonts w:hint="eastAsia"/>
                <w:color w:val="auto"/>
                <w:sz w:val="21"/>
                <w:szCs w:val="21"/>
              </w:rPr>
              <w:t>0.427</w:t>
            </w:r>
          </w:p>
        </w:tc>
        <w:tc>
          <w:tcPr>
            <w:tcW w:w="1813" w:type="dxa"/>
            <w:shd w:val="clear" w:color="auto" w:fill="auto"/>
            <w:vAlign w:val="center"/>
          </w:tcPr>
          <w:p w14:paraId="44379510">
            <w:pPr>
              <w:tabs>
                <w:tab w:val="left" w:pos="2227"/>
              </w:tabs>
              <w:spacing w:line="240" w:lineRule="auto"/>
              <w:ind w:firstLine="0" w:firstLineChars="0"/>
              <w:jc w:val="center"/>
              <w:rPr>
                <w:color w:val="auto"/>
                <w:sz w:val="21"/>
                <w:szCs w:val="21"/>
              </w:rPr>
            </w:pPr>
            <w:r>
              <w:rPr>
                <w:rFonts w:hint="eastAsia"/>
                <w:color w:val="auto"/>
                <w:sz w:val="21"/>
                <w:szCs w:val="21"/>
              </w:rPr>
              <w:t>2.133</w:t>
            </w:r>
          </w:p>
        </w:tc>
      </w:tr>
      <w:tr w14:paraId="74775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04" w:type="pct"/>
            <w:shd w:val="clear" w:color="auto" w:fill="auto"/>
            <w:vAlign w:val="center"/>
          </w:tcPr>
          <w:p w14:paraId="756FA6B1">
            <w:pPr>
              <w:widowControl/>
              <w:spacing w:line="240" w:lineRule="auto"/>
              <w:ind w:firstLine="0" w:firstLineChars="0"/>
              <w:jc w:val="center"/>
              <w:rPr>
                <w:color w:val="auto"/>
                <w:kern w:val="0"/>
                <w:sz w:val="21"/>
                <w:szCs w:val="21"/>
              </w:rPr>
            </w:pPr>
            <w:r>
              <w:rPr>
                <w:rFonts w:hint="eastAsia"/>
                <w:color w:val="auto"/>
                <w:kern w:val="0"/>
                <w:sz w:val="21"/>
                <w:szCs w:val="21"/>
              </w:rPr>
              <w:t>5</w:t>
            </w:r>
          </w:p>
        </w:tc>
        <w:tc>
          <w:tcPr>
            <w:tcW w:w="688" w:type="pct"/>
            <w:vMerge w:val="restart"/>
            <w:shd w:val="clear" w:color="auto" w:fill="auto"/>
            <w:vAlign w:val="center"/>
          </w:tcPr>
          <w:p w14:paraId="575AD121">
            <w:pPr>
              <w:widowControl/>
              <w:spacing w:line="240" w:lineRule="auto"/>
              <w:ind w:firstLine="0" w:firstLineChars="0"/>
              <w:jc w:val="center"/>
              <w:rPr>
                <w:color w:val="auto"/>
                <w:kern w:val="0"/>
                <w:sz w:val="21"/>
                <w:szCs w:val="21"/>
              </w:rPr>
            </w:pPr>
            <w:r>
              <w:rPr>
                <w:rFonts w:hint="eastAsia"/>
                <w:color w:val="auto"/>
                <w:kern w:val="0"/>
                <w:sz w:val="21"/>
                <w:szCs w:val="21"/>
              </w:rPr>
              <w:t>DA003</w:t>
            </w:r>
          </w:p>
        </w:tc>
        <w:tc>
          <w:tcPr>
            <w:tcW w:w="877" w:type="pct"/>
            <w:shd w:val="clear" w:color="auto" w:fill="auto"/>
            <w:vAlign w:val="center"/>
          </w:tcPr>
          <w:p w14:paraId="5215D081">
            <w:pPr>
              <w:tabs>
                <w:tab w:val="left" w:pos="2227"/>
              </w:tabs>
              <w:spacing w:line="240" w:lineRule="auto"/>
              <w:ind w:firstLine="0" w:firstLineChars="0"/>
              <w:jc w:val="center"/>
              <w:rPr>
                <w:color w:val="auto"/>
                <w:sz w:val="21"/>
                <w:szCs w:val="21"/>
              </w:rPr>
            </w:pPr>
            <w:r>
              <w:rPr>
                <w:color w:val="auto"/>
                <w:sz w:val="21"/>
                <w:szCs w:val="21"/>
              </w:rPr>
              <w:t>颗粒物</w:t>
            </w:r>
          </w:p>
        </w:tc>
        <w:tc>
          <w:tcPr>
            <w:tcW w:w="2277" w:type="dxa"/>
            <w:shd w:val="clear" w:color="auto" w:fill="auto"/>
            <w:vAlign w:val="center"/>
          </w:tcPr>
          <w:p w14:paraId="29ECC5D2">
            <w:pPr>
              <w:tabs>
                <w:tab w:val="left" w:pos="2227"/>
              </w:tabs>
              <w:spacing w:line="240" w:lineRule="auto"/>
              <w:ind w:firstLine="0" w:firstLineChars="0"/>
              <w:jc w:val="center"/>
              <w:rPr>
                <w:color w:val="auto"/>
                <w:sz w:val="21"/>
                <w:szCs w:val="21"/>
              </w:rPr>
            </w:pPr>
            <w:r>
              <w:rPr>
                <w:rFonts w:hint="eastAsia"/>
                <w:color w:val="auto"/>
                <w:sz w:val="21"/>
                <w:szCs w:val="21"/>
              </w:rPr>
              <w:t>1.430</w:t>
            </w:r>
          </w:p>
        </w:tc>
        <w:tc>
          <w:tcPr>
            <w:tcW w:w="1608" w:type="dxa"/>
            <w:shd w:val="clear" w:color="auto" w:fill="auto"/>
            <w:vAlign w:val="center"/>
          </w:tcPr>
          <w:p w14:paraId="7B6DE4C6">
            <w:pPr>
              <w:tabs>
                <w:tab w:val="left" w:pos="2227"/>
              </w:tabs>
              <w:spacing w:line="240" w:lineRule="auto"/>
              <w:ind w:firstLine="0" w:firstLineChars="0"/>
              <w:jc w:val="center"/>
              <w:rPr>
                <w:color w:val="auto"/>
                <w:sz w:val="21"/>
                <w:szCs w:val="21"/>
              </w:rPr>
            </w:pPr>
            <w:r>
              <w:rPr>
                <w:rFonts w:hint="eastAsia"/>
                <w:color w:val="auto"/>
                <w:sz w:val="21"/>
                <w:szCs w:val="21"/>
              </w:rPr>
              <w:t>0.001</w:t>
            </w:r>
          </w:p>
        </w:tc>
        <w:tc>
          <w:tcPr>
            <w:tcW w:w="1813" w:type="dxa"/>
            <w:shd w:val="clear" w:color="auto" w:fill="auto"/>
            <w:vAlign w:val="center"/>
          </w:tcPr>
          <w:p w14:paraId="41EE77D1">
            <w:pPr>
              <w:tabs>
                <w:tab w:val="left" w:pos="2227"/>
              </w:tabs>
              <w:spacing w:line="240" w:lineRule="auto"/>
              <w:ind w:firstLine="0" w:firstLineChars="0"/>
              <w:jc w:val="center"/>
              <w:rPr>
                <w:color w:val="auto"/>
                <w:sz w:val="21"/>
                <w:szCs w:val="21"/>
              </w:rPr>
            </w:pPr>
            <w:r>
              <w:rPr>
                <w:rFonts w:hint="eastAsia"/>
                <w:color w:val="auto"/>
                <w:sz w:val="21"/>
                <w:szCs w:val="21"/>
              </w:rPr>
              <w:t>0.011</w:t>
            </w:r>
          </w:p>
        </w:tc>
      </w:tr>
      <w:tr w14:paraId="4B7CE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04" w:type="pct"/>
            <w:shd w:val="clear" w:color="auto" w:fill="auto"/>
            <w:vAlign w:val="center"/>
          </w:tcPr>
          <w:p w14:paraId="218657B5">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688" w:type="pct"/>
            <w:vMerge w:val="continue"/>
            <w:shd w:val="clear" w:color="auto" w:fill="auto"/>
            <w:vAlign w:val="center"/>
          </w:tcPr>
          <w:p w14:paraId="39DF85E8">
            <w:pPr>
              <w:widowControl/>
              <w:spacing w:line="240" w:lineRule="auto"/>
              <w:ind w:firstLine="0" w:firstLineChars="0"/>
              <w:jc w:val="center"/>
              <w:rPr>
                <w:color w:val="auto"/>
                <w:kern w:val="0"/>
                <w:sz w:val="21"/>
                <w:szCs w:val="21"/>
              </w:rPr>
            </w:pPr>
          </w:p>
        </w:tc>
        <w:tc>
          <w:tcPr>
            <w:tcW w:w="877" w:type="pct"/>
            <w:shd w:val="clear" w:color="auto" w:fill="auto"/>
            <w:vAlign w:val="center"/>
          </w:tcPr>
          <w:p w14:paraId="4F20F63D">
            <w:pPr>
              <w:tabs>
                <w:tab w:val="left" w:pos="2227"/>
              </w:tabs>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2277" w:type="dxa"/>
            <w:shd w:val="clear" w:color="auto" w:fill="auto"/>
            <w:vAlign w:val="center"/>
          </w:tcPr>
          <w:p w14:paraId="3E935DA6">
            <w:pPr>
              <w:tabs>
                <w:tab w:val="left" w:pos="2227"/>
              </w:tabs>
              <w:spacing w:line="240" w:lineRule="auto"/>
              <w:ind w:firstLine="0" w:firstLineChars="0"/>
              <w:jc w:val="center"/>
              <w:rPr>
                <w:color w:val="auto"/>
                <w:sz w:val="21"/>
                <w:szCs w:val="21"/>
              </w:rPr>
            </w:pPr>
            <w:r>
              <w:rPr>
                <w:rFonts w:hint="eastAsia"/>
                <w:color w:val="auto"/>
                <w:sz w:val="21"/>
                <w:szCs w:val="21"/>
              </w:rPr>
              <w:t>1.000</w:t>
            </w:r>
          </w:p>
        </w:tc>
        <w:tc>
          <w:tcPr>
            <w:tcW w:w="1608" w:type="dxa"/>
            <w:shd w:val="clear" w:color="auto" w:fill="auto"/>
            <w:vAlign w:val="center"/>
          </w:tcPr>
          <w:p w14:paraId="367C7AD4">
            <w:pPr>
              <w:tabs>
                <w:tab w:val="left" w:pos="2227"/>
              </w:tabs>
              <w:spacing w:line="240" w:lineRule="auto"/>
              <w:ind w:firstLine="0" w:firstLineChars="0"/>
              <w:jc w:val="center"/>
              <w:rPr>
                <w:color w:val="auto"/>
                <w:sz w:val="21"/>
                <w:szCs w:val="21"/>
              </w:rPr>
            </w:pPr>
            <w:r>
              <w:rPr>
                <w:rFonts w:hint="eastAsia"/>
                <w:color w:val="auto"/>
                <w:sz w:val="21"/>
                <w:szCs w:val="21"/>
              </w:rPr>
              <w:t>0.001</w:t>
            </w:r>
          </w:p>
        </w:tc>
        <w:tc>
          <w:tcPr>
            <w:tcW w:w="1813" w:type="dxa"/>
            <w:shd w:val="clear" w:color="auto" w:fill="auto"/>
            <w:vAlign w:val="center"/>
          </w:tcPr>
          <w:p w14:paraId="6080E277">
            <w:pPr>
              <w:tabs>
                <w:tab w:val="left" w:pos="2227"/>
              </w:tabs>
              <w:spacing w:line="240" w:lineRule="auto"/>
              <w:ind w:firstLine="0" w:firstLineChars="0"/>
              <w:jc w:val="center"/>
              <w:rPr>
                <w:color w:val="auto"/>
                <w:sz w:val="21"/>
                <w:szCs w:val="21"/>
              </w:rPr>
            </w:pPr>
            <w:r>
              <w:rPr>
                <w:rFonts w:hint="eastAsia"/>
                <w:color w:val="auto"/>
                <w:sz w:val="21"/>
                <w:szCs w:val="21"/>
              </w:rPr>
              <w:t>0.008</w:t>
            </w:r>
          </w:p>
        </w:tc>
      </w:tr>
      <w:tr w14:paraId="65D1A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04" w:type="pct"/>
            <w:shd w:val="clear" w:color="auto" w:fill="auto"/>
            <w:vAlign w:val="center"/>
          </w:tcPr>
          <w:p w14:paraId="1278ECD2">
            <w:pPr>
              <w:widowControl/>
              <w:spacing w:line="240" w:lineRule="auto"/>
              <w:ind w:firstLine="0" w:firstLineChars="0"/>
              <w:jc w:val="center"/>
              <w:rPr>
                <w:color w:val="auto"/>
                <w:kern w:val="0"/>
                <w:sz w:val="21"/>
                <w:szCs w:val="21"/>
              </w:rPr>
            </w:pPr>
            <w:r>
              <w:rPr>
                <w:rFonts w:hint="eastAsia"/>
                <w:color w:val="auto"/>
                <w:kern w:val="0"/>
                <w:sz w:val="21"/>
                <w:szCs w:val="21"/>
              </w:rPr>
              <w:t>7</w:t>
            </w:r>
          </w:p>
        </w:tc>
        <w:tc>
          <w:tcPr>
            <w:tcW w:w="688" w:type="pct"/>
            <w:vMerge w:val="continue"/>
            <w:shd w:val="clear" w:color="auto" w:fill="auto"/>
            <w:vAlign w:val="center"/>
          </w:tcPr>
          <w:p w14:paraId="4421E0F2">
            <w:pPr>
              <w:widowControl/>
              <w:spacing w:line="240" w:lineRule="auto"/>
              <w:ind w:firstLine="0" w:firstLineChars="0"/>
              <w:jc w:val="center"/>
              <w:rPr>
                <w:color w:val="auto"/>
                <w:kern w:val="0"/>
                <w:sz w:val="21"/>
                <w:szCs w:val="21"/>
              </w:rPr>
            </w:pPr>
          </w:p>
        </w:tc>
        <w:tc>
          <w:tcPr>
            <w:tcW w:w="877" w:type="pct"/>
            <w:shd w:val="clear" w:color="auto" w:fill="auto"/>
            <w:vAlign w:val="center"/>
          </w:tcPr>
          <w:p w14:paraId="62BF87A4">
            <w:pPr>
              <w:tabs>
                <w:tab w:val="left" w:pos="2227"/>
              </w:tabs>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X</w:t>
            </w:r>
          </w:p>
        </w:tc>
        <w:tc>
          <w:tcPr>
            <w:tcW w:w="2277" w:type="dxa"/>
            <w:shd w:val="clear" w:color="auto" w:fill="auto"/>
            <w:vAlign w:val="center"/>
          </w:tcPr>
          <w:p w14:paraId="68C395B6">
            <w:pPr>
              <w:tabs>
                <w:tab w:val="left" w:pos="2227"/>
              </w:tabs>
              <w:spacing w:line="240" w:lineRule="auto"/>
              <w:ind w:firstLine="0" w:firstLineChars="0"/>
              <w:jc w:val="center"/>
              <w:rPr>
                <w:color w:val="auto"/>
                <w:sz w:val="21"/>
                <w:szCs w:val="21"/>
              </w:rPr>
            </w:pPr>
            <w:r>
              <w:rPr>
                <w:rFonts w:hint="eastAsia"/>
                <w:color w:val="auto"/>
                <w:sz w:val="21"/>
                <w:szCs w:val="21"/>
              </w:rPr>
              <w:t>9.350</w:t>
            </w:r>
          </w:p>
        </w:tc>
        <w:tc>
          <w:tcPr>
            <w:tcW w:w="1608" w:type="dxa"/>
            <w:shd w:val="clear" w:color="auto" w:fill="auto"/>
            <w:vAlign w:val="center"/>
          </w:tcPr>
          <w:p w14:paraId="32535FFA">
            <w:pPr>
              <w:tabs>
                <w:tab w:val="left" w:pos="2227"/>
              </w:tabs>
              <w:spacing w:line="240" w:lineRule="auto"/>
              <w:ind w:firstLine="0" w:firstLineChars="0"/>
              <w:jc w:val="center"/>
              <w:rPr>
                <w:color w:val="auto"/>
                <w:sz w:val="21"/>
                <w:szCs w:val="21"/>
              </w:rPr>
            </w:pPr>
            <w:r>
              <w:rPr>
                <w:rFonts w:hint="eastAsia"/>
                <w:color w:val="auto"/>
                <w:sz w:val="21"/>
                <w:szCs w:val="21"/>
              </w:rPr>
              <w:t>0.009</w:t>
            </w:r>
          </w:p>
        </w:tc>
        <w:tc>
          <w:tcPr>
            <w:tcW w:w="1813" w:type="dxa"/>
            <w:shd w:val="clear" w:color="auto" w:fill="auto"/>
            <w:vAlign w:val="center"/>
          </w:tcPr>
          <w:p w14:paraId="4395D323">
            <w:pPr>
              <w:tabs>
                <w:tab w:val="left" w:pos="2227"/>
              </w:tabs>
              <w:spacing w:line="240" w:lineRule="auto"/>
              <w:ind w:firstLine="0" w:firstLineChars="0"/>
              <w:jc w:val="center"/>
              <w:rPr>
                <w:color w:val="auto"/>
                <w:sz w:val="21"/>
                <w:szCs w:val="21"/>
              </w:rPr>
            </w:pPr>
            <w:r>
              <w:rPr>
                <w:rFonts w:hint="eastAsia"/>
                <w:color w:val="auto"/>
                <w:sz w:val="21"/>
                <w:szCs w:val="21"/>
              </w:rPr>
              <w:t>0.074</w:t>
            </w:r>
          </w:p>
        </w:tc>
      </w:tr>
      <w:tr w14:paraId="3C123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pct"/>
            <w:shd w:val="clear" w:color="auto" w:fill="auto"/>
            <w:vAlign w:val="center"/>
          </w:tcPr>
          <w:p w14:paraId="37E59C55">
            <w:pPr>
              <w:widowControl/>
              <w:spacing w:line="240" w:lineRule="auto"/>
              <w:ind w:firstLine="0" w:firstLineChars="0"/>
              <w:jc w:val="center"/>
              <w:rPr>
                <w:color w:val="auto"/>
                <w:kern w:val="0"/>
                <w:sz w:val="21"/>
                <w:szCs w:val="21"/>
              </w:rPr>
            </w:pPr>
            <w:r>
              <w:rPr>
                <w:rFonts w:hint="eastAsia"/>
                <w:color w:val="auto"/>
                <w:kern w:val="0"/>
                <w:sz w:val="21"/>
                <w:szCs w:val="21"/>
              </w:rPr>
              <w:t>8</w:t>
            </w:r>
          </w:p>
        </w:tc>
        <w:tc>
          <w:tcPr>
            <w:tcW w:w="688" w:type="pct"/>
            <w:shd w:val="clear" w:color="auto" w:fill="auto"/>
            <w:vAlign w:val="center"/>
          </w:tcPr>
          <w:p w14:paraId="7EAB347A">
            <w:pPr>
              <w:widowControl/>
              <w:spacing w:line="240" w:lineRule="auto"/>
              <w:ind w:firstLine="0" w:firstLineChars="0"/>
              <w:jc w:val="center"/>
              <w:rPr>
                <w:color w:val="auto"/>
                <w:kern w:val="0"/>
                <w:sz w:val="21"/>
                <w:szCs w:val="21"/>
              </w:rPr>
            </w:pPr>
            <w:r>
              <w:rPr>
                <w:color w:val="auto"/>
                <w:kern w:val="0"/>
                <w:sz w:val="21"/>
                <w:szCs w:val="21"/>
              </w:rPr>
              <w:t>DA00</w:t>
            </w:r>
            <w:r>
              <w:rPr>
                <w:rFonts w:hint="eastAsia"/>
                <w:color w:val="auto"/>
                <w:kern w:val="0"/>
                <w:sz w:val="21"/>
                <w:szCs w:val="21"/>
              </w:rPr>
              <w:t>4</w:t>
            </w:r>
          </w:p>
        </w:tc>
        <w:tc>
          <w:tcPr>
            <w:tcW w:w="877" w:type="pct"/>
            <w:shd w:val="clear" w:color="auto" w:fill="auto"/>
            <w:vAlign w:val="center"/>
          </w:tcPr>
          <w:p w14:paraId="09093717">
            <w:pPr>
              <w:widowControl/>
              <w:spacing w:line="240" w:lineRule="auto"/>
              <w:ind w:firstLine="0" w:firstLineChars="0"/>
              <w:jc w:val="center"/>
              <w:rPr>
                <w:color w:val="auto"/>
                <w:kern w:val="0"/>
                <w:sz w:val="21"/>
                <w:szCs w:val="21"/>
              </w:rPr>
            </w:pPr>
            <w:r>
              <w:rPr>
                <w:color w:val="auto"/>
                <w:kern w:val="0"/>
                <w:sz w:val="21"/>
                <w:szCs w:val="21"/>
              </w:rPr>
              <w:t>颗粒物</w:t>
            </w:r>
          </w:p>
        </w:tc>
        <w:tc>
          <w:tcPr>
            <w:tcW w:w="1211" w:type="pct"/>
            <w:shd w:val="clear" w:color="auto" w:fill="auto"/>
            <w:vAlign w:val="center"/>
          </w:tcPr>
          <w:p w14:paraId="4193301E">
            <w:pPr>
              <w:tabs>
                <w:tab w:val="left" w:pos="2227"/>
              </w:tabs>
              <w:spacing w:line="240" w:lineRule="auto"/>
              <w:ind w:firstLine="0" w:firstLineChars="0"/>
              <w:jc w:val="center"/>
              <w:rPr>
                <w:color w:val="auto"/>
                <w:sz w:val="21"/>
                <w:szCs w:val="21"/>
              </w:rPr>
            </w:pPr>
            <w:r>
              <w:rPr>
                <w:rFonts w:hint="eastAsia"/>
                <w:color w:val="auto"/>
                <w:sz w:val="21"/>
                <w:szCs w:val="21"/>
              </w:rPr>
              <w:t>6.31</w:t>
            </w:r>
          </w:p>
        </w:tc>
        <w:tc>
          <w:tcPr>
            <w:tcW w:w="855" w:type="pct"/>
            <w:shd w:val="clear" w:color="auto" w:fill="auto"/>
            <w:vAlign w:val="center"/>
          </w:tcPr>
          <w:p w14:paraId="46A9C2AB">
            <w:pPr>
              <w:tabs>
                <w:tab w:val="left" w:pos="2227"/>
              </w:tabs>
              <w:spacing w:line="240" w:lineRule="auto"/>
              <w:ind w:firstLine="0" w:firstLineChars="0"/>
              <w:jc w:val="center"/>
              <w:rPr>
                <w:color w:val="auto"/>
                <w:sz w:val="21"/>
                <w:szCs w:val="21"/>
              </w:rPr>
            </w:pPr>
            <w:r>
              <w:rPr>
                <w:rFonts w:hint="eastAsia"/>
                <w:color w:val="auto"/>
                <w:sz w:val="21"/>
                <w:szCs w:val="21"/>
              </w:rPr>
              <w:t>0.095</w:t>
            </w:r>
          </w:p>
        </w:tc>
        <w:tc>
          <w:tcPr>
            <w:tcW w:w="964" w:type="pct"/>
            <w:shd w:val="clear" w:color="auto" w:fill="auto"/>
            <w:vAlign w:val="center"/>
          </w:tcPr>
          <w:p w14:paraId="799DF6CE">
            <w:pPr>
              <w:tabs>
                <w:tab w:val="left" w:pos="2227"/>
              </w:tabs>
              <w:spacing w:line="240" w:lineRule="auto"/>
              <w:ind w:firstLine="0" w:firstLineChars="0"/>
              <w:jc w:val="center"/>
              <w:rPr>
                <w:color w:val="auto"/>
                <w:sz w:val="21"/>
                <w:szCs w:val="21"/>
              </w:rPr>
            </w:pPr>
            <w:r>
              <w:rPr>
                <w:rFonts w:hint="eastAsia"/>
                <w:color w:val="auto"/>
                <w:sz w:val="21"/>
                <w:szCs w:val="21"/>
              </w:rPr>
              <w:t>0.750</w:t>
            </w:r>
          </w:p>
        </w:tc>
      </w:tr>
      <w:tr w14:paraId="688BB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shd w:val="clear" w:color="auto" w:fill="auto"/>
            <w:vAlign w:val="center"/>
          </w:tcPr>
          <w:p w14:paraId="20F36EDF">
            <w:pPr>
              <w:widowControl/>
              <w:spacing w:line="240" w:lineRule="auto"/>
              <w:ind w:firstLine="0" w:firstLineChars="0"/>
              <w:jc w:val="center"/>
              <w:rPr>
                <w:color w:val="auto"/>
                <w:kern w:val="0"/>
                <w:sz w:val="21"/>
                <w:szCs w:val="21"/>
              </w:rPr>
            </w:pPr>
            <w:r>
              <w:rPr>
                <w:rFonts w:hint="eastAsia"/>
                <w:color w:val="auto"/>
                <w:kern w:val="0"/>
                <w:sz w:val="21"/>
                <w:szCs w:val="21"/>
              </w:rPr>
              <w:t>9</w:t>
            </w:r>
          </w:p>
        </w:tc>
        <w:tc>
          <w:tcPr>
            <w:tcW w:w="688" w:type="pct"/>
            <w:shd w:val="clear" w:color="auto" w:fill="auto"/>
            <w:vAlign w:val="center"/>
          </w:tcPr>
          <w:p w14:paraId="35F1171C">
            <w:pPr>
              <w:widowControl/>
              <w:spacing w:line="240" w:lineRule="auto"/>
              <w:ind w:firstLine="0" w:firstLineChars="0"/>
              <w:jc w:val="center"/>
              <w:rPr>
                <w:color w:val="auto"/>
                <w:kern w:val="0"/>
                <w:sz w:val="21"/>
                <w:szCs w:val="21"/>
              </w:rPr>
            </w:pPr>
            <w:r>
              <w:rPr>
                <w:color w:val="auto"/>
                <w:kern w:val="0"/>
                <w:sz w:val="21"/>
                <w:szCs w:val="21"/>
              </w:rPr>
              <w:t>DA00</w:t>
            </w:r>
            <w:r>
              <w:rPr>
                <w:rFonts w:hint="eastAsia"/>
                <w:color w:val="auto"/>
                <w:kern w:val="0"/>
                <w:sz w:val="21"/>
                <w:szCs w:val="21"/>
              </w:rPr>
              <w:t>5</w:t>
            </w:r>
          </w:p>
        </w:tc>
        <w:tc>
          <w:tcPr>
            <w:tcW w:w="877" w:type="pct"/>
            <w:shd w:val="clear" w:color="auto" w:fill="auto"/>
            <w:vAlign w:val="center"/>
          </w:tcPr>
          <w:p w14:paraId="7D106C8D">
            <w:pPr>
              <w:widowControl/>
              <w:spacing w:line="240" w:lineRule="auto"/>
              <w:ind w:firstLine="0" w:firstLineChars="0"/>
              <w:jc w:val="center"/>
              <w:rPr>
                <w:color w:val="auto"/>
                <w:kern w:val="0"/>
                <w:sz w:val="21"/>
                <w:szCs w:val="21"/>
              </w:rPr>
            </w:pPr>
            <w:r>
              <w:rPr>
                <w:rFonts w:hint="eastAsia"/>
                <w:color w:val="auto"/>
                <w:kern w:val="0"/>
                <w:sz w:val="21"/>
                <w:szCs w:val="21"/>
              </w:rPr>
              <w:t>碱雾</w:t>
            </w:r>
          </w:p>
        </w:tc>
        <w:tc>
          <w:tcPr>
            <w:tcW w:w="1211" w:type="pct"/>
            <w:shd w:val="clear" w:color="auto" w:fill="auto"/>
            <w:vAlign w:val="center"/>
          </w:tcPr>
          <w:p w14:paraId="7A216630">
            <w:pPr>
              <w:tabs>
                <w:tab w:val="left" w:pos="2227"/>
              </w:tabs>
              <w:spacing w:line="240" w:lineRule="auto"/>
              <w:ind w:firstLine="0" w:firstLineChars="0"/>
              <w:jc w:val="center"/>
              <w:rPr>
                <w:color w:val="auto"/>
                <w:sz w:val="21"/>
                <w:szCs w:val="21"/>
              </w:rPr>
            </w:pPr>
            <w:r>
              <w:rPr>
                <w:rFonts w:hint="eastAsia"/>
                <w:color w:val="auto"/>
                <w:sz w:val="21"/>
                <w:szCs w:val="21"/>
              </w:rPr>
              <w:t>2.480</w:t>
            </w:r>
          </w:p>
        </w:tc>
        <w:tc>
          <w:tcPr>
            <w:tcW w:w="855" w:type="pct"/>
            <w:shd w:val="clear" w:color="auto" w:fill="auto"/>
            <w:vAlign w:val="center"/>
          </w:tcPr>
          <w:p w14:paraId="6E5A4123">
            <w:pPr>
              <w:tabs>
                <w:tab w:val="left" w:pos="2227"/>
              </w:tabs>
              <w:spacing w:line="240" w:lineRule="auto"/>
              <w:ind w:firstLine="0" w:firstLineChars="0"/>
              <w:jc w:val="center"/>
              <w:rPr>
                <w:color w:val="auto"/>
                <w:sz w:val="21"/>
                <w:szCs w:val="21"/>
              </w:rPr>
            </w:pPr>
            <w:r>
              <w:rPr>
                <w:rFonts w:hint="eastAsia"/>
                <w:color w:val="auto"/>
                <w:sz w:val="21"/>
                <w:szCs w:val="21"/>
              </w:rPr>
              <w:t>0.149</w:t>
            </w:r>
          </w:p>
        </w:tc>
        <w:tc>
          <w:tcPr>
            <w:tcW w:w="964" w:type="pct"/>
            <w:shd w:val="clear" w:color="auto" w:fill="auto"/>
            <w:vAlign w:val="center"/>
          </w:tcPr>
          <w:p w14:paraId="1781C5BE">
            <w:pPr>
              <w:tabs>
                <w:tab w:val="left" w:pos="2227"/>
              </w:tabs>
              <w:spacing w:line="240" w:lineRule="auto"/>
              <w:ind w:firstLine="0" w:firstLineChars="0"/>
              <w:jc w:val="center"/>
              <w:rPr>
                <w:color w:val="auto"/>
                <w:sz w:val="21"/>
                <w:szCs w:val="21"/>
              </w:rPr>
            </w:pPr>
            <w:r>
              <w:rPr>
                <w:rFonts w:hint="eastAsia"/>
                <w:color w:val="auto"/>
                <w:sz w:val="21"/>
                <w:szCs w:val="21"/>
              </w:rPr>
              <w:t>1.178</w:t>
            </w:r>
          </w:p>
        </w:tc>
      </w:tr>
      <w:tr w14:paraId="51A31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shd w:val="clear" w:color="auto" w:fill="auto"/>
            <w:vAlign w:val="center"/>
          </w:tcPr>
          <w:p w14:paraId="5414279E">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688" w:type="pct"/>
            <w:shd w:val="clear" w:color="auto" w:fill="auto"/>
            <w:vAlign w:val="center"/>
          </w:tcPr>
          <w:p w14:paraId="2440CD10">
            <w:pPr>
              <w:widowControl/>
              <w:spacing w:line="240" w:lineRule="auto"/>
              <w:ind w:firstLine="0" w:firstLineChars="0"/>
              <w:jc w:val="center"/>
              <w:rPr>
                <w:color w:val="auto"/>
                <w:kern w:val="0"/>
                <w:sz w:val="21"/>
                <w:szCs w:val="21"/>
              </w:rPr>
            </w:pPr>
            <w:r>
              <w:rPr>
                <w:color w:val="auto"/>
                <w:kern w:val="0"/>
                <w:sz w:val="21"/>
                <w:szCs w:val="21"/>
              </w:rPr>
              <w:t>DA00</w:t>
            </w:r>
            <w:r>
              <w:rPr>
                <w:rFonts w:hint="eastAsia"/>
                <w:color w:val="auto"/>
                <w:kern w:val="0"/>
                <w:sz w:val="21"/>
                <w:szCs w:val="21"/>
              </w:rPr>
              <w:t>6</w:t>
            </w:r>
          </w:p>
        </w:tc>
        <w:tc>
          <w:tcPr>
            <w:tcW w:w="877" w:type="pct"/>
            <w:shd w:val="clear" w:color="auto" w:fill="auto"/>
            <w:vAlign w:val="center"/>
          </w:tcPr>
          <w:p w14:paraId="6507B188">
            <w:pPr>
              <w:widowControl/>
              <w:spacing w:line="240" w:lineRule="auto"/>
              <w:ind w:firstLine="0" w:firstLineChars="0"/>
              <w:jc w:val="center"/>
              <w:rPr>
                <w:color w:val="auto"/>
                <w:kern w:val="0"/>
                <w:sz w:val="21"/>
                <w:szCs w:val="21"/>
              </w:rPr>
            </w:pPr>
            <w:r>
              <w:rPr>
                <w:rFonts w:hint="eastAsia"/>
                <w:color w:val="auto"/>
                <w:kern w:val="0"/>
                <w:sz w:val="21"/>
                <w:szCs w:val="21"/>
              </w:rPr>
              <w:t>硫酸雾</w:t>
            </w:r>
          </w:p>
        </w:tc>
        <w:tc>
          <w:tcPr>
            <w:tcW w:w="1211" w:type="pct"/>
            <w:shd w:val="clear" w:color="auto" w:fill="auto"/>
            <w:vAlign w:val="center"/>
          </w:tcPr>
          <w:p w14:paraId="73329C9F">
            <w:pPr>
              <w:tabs>
                <w:tab w:val="left" w:pos="2227"/>
              </w:tabs>
              <w:spacing w:line="240" w:lineRule="auto"/>
              <w:ind w:firstLine="0" w:firstLineChars="0"/>
              <w:jc w:val="center"/>
              <w:rPr>
                <w:color w:val="auto"/>
                <w:kern w:val="0"/>
                <w:sz w:val="21"/>
                <w:szCs w:val="21"/>
              </w:rPr>
            </w:pPr>
            <w:r>
              <w:rPr>
                <w:rFonts w:hint="eastAsia"/>
                <w:color w:val="auto"/>
                <w:sz w:val="21"/>
                <w:szCs w:val="21"/>
              </w:rPr>
              <w:t>14.780</w:t>
            </w:r>
          </w:p>
        </w:tc>
        <w:tc>
          <w:tcPr>
            <w:tcW w:w="855" w:type="pct"/>
            <w:shd w:val="clear" w:color="auto" w:fill="auto"/>
            <w:vAlign w:val="center"/>
          </w:tcPr>
          <w:p w14:paraId="77AF8761">
            <w:pPr>
              <w:tabs>
                <w:tab w:val="left" w:pos="2227"/>
              </w:tabs>
              <w:spacing w:line="240" w:lineRule="auto"/>
              <w:ind w:firstLine="0" w:firstLineChars="0"/>
              <w:jc w:val="center"/>
              <w:rPr>
                <w:color w:val="auto"/>
                <w:kern w:val="0"/>
                <w:sz w:val="21"/>
                <w:szCs w:val="21"/>
              </w:rPr>
            </w:pPr>
            <w:r>
              <w:rPr>
                <w:rFonts w:hint="eastAsia"/>
                <w:color w:val="auto"/>
                <w:sz w:val="21"/>
                <w:szCs w:val="21"/>
              </w:rPr>
              <w:t>0.503</w:t>
            </w:r>
          </w:p>
        </w:tc>
        <w:tc>
          <w:tcPr>
            <w:tcW w:w="964" w:type="pct"/>
            <w:shd w:val="clear" w:color="auto" w:fill="auto"/>
            <w:vAlign w:val="center"/>
          </w:tcPr>
          <w:p w14:paraId="23E98BC0">
            <w:pPr>
              <w:tabs>
                <w:tab w:val="left" w:pos="2227"/>
              </w:tabs>
              <w:spacing w:line="240" w:lineRule="auto"/>
              <w:ind w:firstLine="0" w:firstLineChars="0"/>
              <w:jc w:val="center"/>
              <w:rPr>
                <w:color w:val="auto"/>
                <w:kern w:val="0"/>
                <w:sz w:val="21"/>
                <w:szCs w:val="21"/>
              </w:rPr>
            </w:pPr>
            <w:r>
              <w:rPr>
                <w:rFonts w:hint="eastAsia"/>
                <w:color w:val="auto"/>
                <w:sz w:val="21"/>
                <w:szCs w:val="21"/>
              </w:rPr>
              <w:t>3.980</w:t>
            </w:r>
          </w:p>
        </w:tc>
      </w:tr>
      <w:tr w14:paraId="2B14B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shd w:val="clear" w:color="auto" w:fill="auto"/>
            <w:vAlign w:val="center"/>
          </w:tcPr>
          <w:p w14:paraId="783B6B26">
            <w:pPr>
              <w:widowControl/>
              <w:spacing w:line="240" w:lineRule="auto"/>
              <w:ind w:firstLine="0" w:firstLineChars="0"/>
              <w:jc w:val="center"/>
              <w:rPr>
                <w:color w:val="auto"/>
                <w:kern w:val="0"/>
                <w:sz w:val="21"/>
                <w:szCs w:val="21"/>
              </w:rPr>
            </w:pPr>
            <w:r>
              <w:rPr>
                <w:rFonts w:hint="eastAsia"/>
                <w:color w:val="auto"/>
                <w:kern w:val="0"/>
                <w:sz w:val="21"/>
                <w:szCs w:val="21"/>
              </w:rPr>
              <w:t>11</w:t>
            </w:r>
          </w:p>
        </w:tc>
        <w:tc>
          <w:tcPr>
            <w:tcW w:w="688" w:type="pct"/>
            <w:shd w:val="clear" w:color="auto" w:fill="auto"/>
            <w:vAlign w:val="center"/>
          </w:tcPr>
          <w:p w14:paraId="1A8A7C2E">
            <w:pPr>
              <w:widowControl/>
              <w:spacing w:line="240" w:lineRule="auto"/>
              <w:ind w:firstLine="0" w:firstLineChars="0"/>
              <w:jc w:val="center"/>
              <w:rPr>
                <w:color w:val="auto"/>
                <w:kern w:val="0"/>
                <w:sz w:val="21"/>
                <w:szCs w:val="21"/>
              </w:rPr>
            </w:pPr>
            <w:r>
              <w:rPr>
                <w:rFonts w:hint="eastAsia"/>
                <w:color w:val="auto"/>
                <w:kern w:val="0"/>
                <w:sz w:val="21"/>
                <w:szCs w:val="21"/>
              </w:rPr>
              <w:t>DA007</w:t>
            </w:r>
          </w:p>
        </w:tc>
        <w:tc>
          <w:tcPr>
            <w:tcW w:w="877" w:type="pct"/>
            <w:shd w:val="clear" w:color="auto" w:fill="auto"/>
            <w:vAlign w:val="center"/>
          </w:tcPr>
          <w:p w14:paraId="4DCAAF6D">
            <w:pPr>
              <w:widowControl/>
              <w:spacing w:line="240" w:lineRule="auto"/>
              <w:ind w:firstLine="0" w:firstLineChars="0"/>
              <w:jc w:val="center"/>
              <w:rPr>
                <w:color w:val="auto"/>
                <w:kern w:val="0"/>
                <w:sz w:val="21"/>
                <w:szCs w:val="21"/>
              </w:rPr>
            </w:pPr>
            <w:r>
              <w:rPr>
                <w:rFonts w:hint="eastAsia"/>
                <w:color w:val="auto"/>
                <w:kern w:val="0"/>
                <w:sz w:val="21"/>
                <w:szCs w:val="21"/>
              </w:rPr>
              <w:t>碱雾</w:t>
            </w:r>
          </w:p>
        </w:tc>
        <w:tc>
          <w:tcPr>
            <w:tcW w:w="1211" w:type="pct"/>
            <w:shd w:val="clear" w:color="auto" w:fill="auto"/>
            <w:vAlign w:val="center"/>
          </w:tcPr>
          <w:p w14:paraId="73B8C3B5">
            <w:pPr>
              <w:tabs>
                <w:tab w:val="left" w:pos="2227"/>
              </w:tabs>
              <w:spacing w:line="240" w:lineRule="auto"/>
              <w:ind w:firstLine="0" w:firstLineChars="0"/>
              <w:jc w:val="center"/>
              <w:rPr>
                <w:color w:val="auto"/>
                <w:kern w:val="0"/>
                <w:sz w:val="21"/>
                <w:szCs w:val="21"/>
              </w:rPr>
            </w:pPr>
            <w:r>
              <w:rPr>
                <w:rFonts w:hint="eastAsia"/>
                <w:color w:val="auto"/>
                <w:sz w:val="21"/>
                <w:szCs w:val="21"/>
              </w:rPr>
              <w:t>5.970</w:t>
            </w:r>
          </w:p>
        </w:tc>
        <w:tc>
          <w:tcPr>
            <w:tcW w:w="855" w:type="pct"/>
            <w:shd w:val="clear" w:color="auto" w:fill="auto"/>
            <w:vAlign w:val="center"/>
          </w:tcPr>
          <w:p w14:paraId="1238F22A">
            <w:pPr>
              <w:tabs>
                <w:tab w:val="left" w:pos="2227"/>
              </w:tabs>
              <w:spacing w:line="240" w:lineRule="auto"/>
              <w:ind w:firstLine="0" w:firstLineChars="0"/>
              <w:jc w:val="center"/>
              <w:rPr>
                <w:color w:val="auto"/>
                <w:kern w:val="0"/>
                <w:sz w:val="21"/>
                <w:szCs w:val="21"/>
              </w:rPr>
            </w:pPr>
            <w:r>
              <w:rPr>
                <w:rFonts w:hint="eastAsia"/>
                <w:color w:val="auto"/>
                <w:sz w:val="21"/>
                <w:szCs w:val="21"/>
              </w:rPr>
              <w:t>0.090</w:t>
            </w:r>
          </w:p>
        </w:tc>
        <w:tc>
          <w:tcPr>
            <w:tcW w:w="964" w:type="pct"/>
            <w:shd w:val="clear" w:color="auto" w:fill="auto"/>
            <w:vAlign w:val="center"/>
          </w:tcPr>
          <w:p w14:paraId="2DAEEF07">
            <w:pPr>
              <w:tabs>
                <w:tab w:val="left" w:pos="2227"/>
              </w:tabs>
              <w:spacing w:line="240" w:lineRule="auto"/>
              <w:ind w:firstLine="0" w:firstLineChars="0"/>
              <w:jc w:val="center"/>
              <w:rPr>
                <w:color w:val="auto"/>
                <w:kern w:val="0"/>
                <w:sz w:val="21"/>
                <w:szCs w:val="21"/>
              </w:rPr>
            </w:pPr>
            <w:r>
              <w:rPr>
                <w:rFonts w:hint="eastAsia"/>
                <w:color w:val="auto"/>
                <w:sz w:val="21"/>
                <w:szCs w:val="21"/>
              </w:rPr>
              <w:t>0.709</w:t>
            </w:r>
          </w:p>
        </w:tc>
      </w:tr>
      <w:tr w14:paraId="69412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4" w:type="pct"/>
            <w:shd w:val="clear" w:color="auto" w:fill="auto"/>
            <w:vAlign w:val="center"/>
          </w:tcPr>
          <w:p w14:paraId="555AD34C">
            <w:pPr>
              <w:widowControl/>
              <w:spacing w:line="240" w:lineRule="auto"/>
              <w:ind w:firstLine="0" w:firstLineChars="0"/>
              <w:jc w:val="center"/>
              <w:rPr>
                <w:color w:val="auto"/>
                <w:kern w:val="0"/>
                <w:sz w:val="21"/>
                <w:szCs w:val="21"/>
              </w:rPr>
            </w:pPr>
            <w:r>
              <w:rPr>
                <w:rFonts w:hint="eastAsia"/>
                <w:color w:val="auto"/>
                <w:kern w:val="0"/>
                <w:sz w:val="21"/>
                <w:szCs w:val="21"/>
              </w:rPr>
              <w:t>12</w:t>
            </w:r>
          </w:p>
        </w:tc>
        <w:tc>
          <w:tcPr>
            <w:tcW w:w="688" w:type="pct"/>
            <w:shd w:val="clear" w:color="auto" w:fill="auto"/>
            <w:vAlign w:val="center"/>
          </w:tcPr>
          <w:p w14:paraId="1868F84F">
            <w:pPr>
              <w:widowControl/>
              <w:spacing w:line="240" w:lineRule="auto"/>
              <w:ind w:firstLine="0" w:firstLineChars="0"/>
              <w:jc w:val="center"/>
              <w:rPr>
                <w:color w:val="auto"/>
                <w:kern w:val="0"/>
                <w:sz w:val="21"/>
                <w:szCs w:val="21"/>
              </w:rPr>
            </w:pPr>
            <w:r>
              <w:rPr>
                <w:rFonts w:hint="eastAsia"/>
                <w:color w:val="auto"/>
                <w:kern w:val="0"/>
                <w:sz w:val="21"/>
                <w:szCs w:val="21"/>
              </w:rPr>
              <w:t>DA008</w:t>
            </w:r>
          </w:p>
        </w:tc>
        <w:tc>
          <w:tcPr>
            <w:tcW w:w="877" w:type="pct"/>
            <w:shd w:val="clear" w:color="auto" w:fill="auto"/>
            <w:vAlign w:val="center"/>
          </w:tcPr>
          <w:p w14:paraId="0E0A9F2E">
            <w:pPr>
              <w:widowControl/>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1211" w:type="pct"/>
            <w:shd w:val="clear" w:color="auto" w:fill="auto"/>
            <w:vAlign w:val="center"/>
          </w:tcPr>
          <w:p w14:paraId="48896F31">
            <w:pPr>
              <w:tabs>
                <w:tab w:val="left" w:pos="2227"/>
              </w:tabs>
              <w:spacing w:line="240" w:lineRule="auto"/>
              <w:ind w:firstLine="0" w:firstLineChars="0"/>
              <w:jc w:val="center"/>
              <w:rPr>
                <w:color w:val="auto"/>
                <w:sz w:val="20"/>
                <w:szCs w:val="20"/>
              </w:rPr>
            </w:pPr>
            <w:r>
              <w:rPr>
                <w:rFonts w:hint="eastAsia"/>
                <w:color w:val="auto"/>
                <w:sz w:val="20"/>
                <w:szCs w:val="20"/>
              </w:rPr>
              <w:t>4.478</w:t>
            </w:r>
          </w:p>
        </w:tc>
        <w:tc>
          <w:tcPr>
            <w:tcW w:w="855" w:type="pct"/>
            <w:shd w:val="clear" w:color="auto" w:fill="auto"/>
            <w:vAlign w:val="center"/>
          </w:tcPr>
          <w:p w14:paraId="5B7B8F94">
            <w:pPr>
              <w:tabs>
                <w:tab w:val="left" w:pos="2227"/>
              </w:tabs>
              <w:spacing w:line="240" w:lineRule="auto"/>
              <w:ind w:firstLine="0" w:firstLineChars="0"/>
              <w:jc w:val="center"/>
              <w:rPr>
                <w:color w:val="auto"/>
                <w:sz w:val="20"/>
                <w:szCs w:val="20"/>
              </w:rPr>
            </w:pPr>
            <w:r>
              <w:rPr>
                <w:rFonts w:hint="eastAsia"/>
                <w:color w:val="auto"/>
                <w:sz w:val="20"/>
                <w:szCs w:val="20"/>
              </w:rPr>
              <w:t>0.067</w:t>
            </w:r>
          </w:p>
        </w:tc>
        <w:tc>
          <w:tcPr>
            <w:tcW w:w="964" w:type="pct"/>
            <w:shd w:val="clear" w:color="auto" w:fill="auto"/>
            <w:vAlign w:val="center"/>
          </w:tcPr>
          <w:p w14:paraId="2E40065F">
            <w:pPr>
              <w:tabs>
                <w:tab w:val="left" w:pos="2227"/>
              </w:tabs>
              <w:spacing w:line="240" w:lineRule="auto"/>
              <w:ind w:firstLine="0" w:firstLineChars="0"/>
              <w:jc w:val="center"/>
              <w:rPr>
                <w:color w:val="auto"/>
                <w:sz w:val="20"/>
                <w:szCs w:val="20"/>
              </w:rPr>
            </w:pPr>
            <w:r>
              <w:rPr>
                <w:rFonts w:hint="eastAsia"/>
                <w:color w:val="auto"/>
                <w:sz w:val="20"/>
                <w:szCs w:val="20"/>
              </w:rPr>
              <w:t>0.532</w:t>
            </w:r>
          </w:p>
        </w:tc>
      </w:tr>
      <w:tr w14:paraId="41B1D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2" w:type="pct"/>
            <w:gridSpan w:val="2"/>
            <w:vMerge w:val="restart"/>
            <w:shd w:val="clear" w:color="auto" w:fill="auto"/>
            <w:vAlign w:val="center"/>
          </w:tcPr>
          <w:p w14:paraId="03E8B069">
            <w:pPr>
              <w:widowControl/>
              <w:spacing w:line="240" w:lineRule="auto"/>
              <w:ind w:firstLine="0" w:firstLineChars="0"/>
              <w:jc w:val="center"/>
              <w:rPr>
                <w:b/>
                <w:bCs/>
                <w:color w:val="auto"/>
                <w:kern w:val="0"/>
                <w:sz w:val="21"/>
                <w:szCs w:val="21"/>
              </w:rPr>
            </w:pPr>
            <w:r>
              <w:rPr>
                <w:rFonts w:hint="eastAsia"/>
                <w:b/>
                <w:bCs/>
                <w:color w:val="auto"/>
                <w:kern w:val="0"/>
                <w:sz w:val="21"/>
                <w:szCs w:val="21"/>
              </w:rPr>
              <w:t>一般</w:t>
            </w:r>
            <w:r>
              <w:rPr>
                <w:b/>
                <w:bCs/>
                <w:color w:val="auto"/>
                <w:kern w:val="0"/>
                <w:sz w:val="21"/>
                <w:szCs w:val="21"/>
              </w:rPr>
              <w:t>排放口合计</w:t>
            </w:r>
          </w:p>
        </w:tc>
        <w:tc>
          <w:tcPr>
            <w:tcW w:w="2943" w:type="pct"/>
            <w:gridSpan w:val="3"/>
            <w:shd w:val="clear" w:color="auto" w:fill="auto"/>
            <w:vAlign w:val="center"/>
          </w:tcPr>
          <w:p w14:paraId="10C46877">
            <w:pPr>
              <w:widowControl/>
              <w:spacing w:line="240" w:lineRule="auto"/>
              <w:ind w:firstLine="0" w:firstLineChars="0"/>
              <w:jc w:val="center"/>
              <w:rPr>
                <w:color w:val="auto"/>
                <w:kern w:val="0"/>
                <w:sz w:val="21"/>
                <w:szCs w:val="21"/>
              </w:rPr>
            </w:pPr>
            <w:r>
              <w:rPr>
                <w:color w:val="auto"/>
                <w:kern w:val="0"/>
                <w:sz w:val="21"/>
                <w:szCs w:val="21"/>
              </w:rPr>
              <w:t>颗粒物</w:t>
            </w:r>
          </w:p>
        </w:tc>
        <w:tc>
          <w:tcPr>
            <w:tcW w:w="964" w:type="pct"/>
            <w:shd w:val="clear" w:color="auto" w:fill="auto"/>
            <w:vAlign w:val="center"/>
          </w:tcPr>
          <w:p w14:paraId="59E8592C">
            <w:pPr>
              <w:widowControl/>
              <w:spacing w:line="240" w:lineRule="auto"/>
              <w:ind w:firstLine="0" w:firstLineChars="0"/>
              <w:jc w:val="center"/>
              <w:rPr>
                <w:color w:val="auto"/>
                <w:kern w:val="0"/>
                <w:sz w:val="21"/>
                <w:szCs w:val="21"/>
              </w:rPr>
            </w:pPr>
            <w:r>
              <w:rPr>
                <w:rFonts w:hint="eastAsia"/>
                <w:color w:val="auto"/>
                <w:kern w:val="0"/>
                <w:sz w:val="21"/>
                <w:szCs w:val="21"/>
              </w:rPr>
              <w:t>1.848</w:t>
            </w:r>
          </w:p>
        </w:tc>
      </w:tr>
      <w:tr w14:paraId="79DD2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2" w:type="pct"/>
            <w:gridSpan w:val="2"/>
            <w:vMerge w:val="continue"/>
            <w:shd w:val="clear" w:color="auto" w:fill="auto"/>
            <w:vAlign w:val="center"/>
          </w:tcPr>
          <w:p w14:paraId="5DF149A1">
            <w:pPr>
              <w:widowControl/>
              <w:spacing w:line="240" w:lineRule="auto"/>
              <w:ind w:firstLine="0" w:firstLineChars="0"/>
              <w:jc w:val="center"/>
              <w:rPr>
                <w:b/>
                <w:bCs/>
                <w:color w:val="auto"/>
                <w:kern w:val="0"/>
                <w:sz w:val="21"/>
                <w:szCs w:val="21"/>
              </w:rPr>
            </w:pPr>
          </w:p>
        </w:tc>
        <w:tc>
          <w:tcPr>
            <w:tcW w:w="2943" w:type="pct"/>
            <w:gridSpan w:val="3"/>
            <w:shd w:val="clear" w:color="auto" w:fill="auto"/>
            <w:vAlign w:val="center"/>
          </w:tcPr>
          <w:p w14:paraId="0CA29E0D">
            <w:pPr>
              <w:widowControl/>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2</w:t>
            </w:r>
          </w:p>
        </w:tc>
        <w:tc>
          <w:tcPr>
            <w:tcW w:w="964" w:type="pct"/>
            <w:shd w:val="clear" w:color="auto" w:fill="auto"/>
            <w:vAlign w:val="center"/>
          </w:tcPr>
          <w:p w14:paraId="5596162A">
            <w:pPr>
              <w:widowControl/>
              <w:spacing w:line="240" w:lineRule="auto"/>
              <w:ind w:firstLine="0" w:firstLineChars="0"/>
              <w:jc w:val="center"/>
              <w:rPr>
                <w:color w:val="auto"/>
                <w:kern w:val="0"/>
                <w:sz w:val="21"/>
                <w:szCs w:val="21"/>
              </w:rPr>
            </w:pPr>
            <w:r>
              <w:rPr>
                <w:rFonts w:hint="eastAsia"/>
                <w:color w:val="auto"/>
                <w:kern w:val="0"/>
                <w:sz w:val="21"/>
                <w:szCs w:val="21"/>
              </w:rPr>
              <w:t>0.768</w:t>
            </w:r>
          </w:p>
        </w:tc>
      </w:tr>
      <w:tr w14:paraId="01924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2" w:type="pct"/>
            <w:gridSpan w:val="2"/>
            <w:vMerge w:val="continue"/>
            <w:shd w:val="clear" w:color="auto" w:fill="auto"/>
            <w:vAlign w:val="center"/>
          </w:tcPr>
          <w:p w14:paraId="3347CB60">
            <w:pPr>
              <w:widowControl/>
              <w:spacing w:line="240" w:lineRule="auto"/>
              <w:ind w:firstLine="0" w:firstLineChars="0"/>
              <w:jc w:val="center"/>
              <w:rPr>
                <w:color w:val="auto"/>
                <w:kern w:val="0"/>
                <w:sz w:val="21"/>
                <w:szCs w:val="21"/>
              </w:rPr>
            </w:pPr>
          </w:p>
        </w:tc>
        <w:tc>
          <w:tcPr>
            <w:tcW w:w="2943" w:type="pct"/>
            <w:gridSpan w:val="3"/>
            <w:shd w:val="clear" w:color="auto" w:fill="auto"/>
            <w:vAlign w:val="center"/>
          </w:tcPr>
          <w:p w14:paraId="6451FBB6">
            <w:pPr>
              <w:widowControl/>
              <w:spacing w:line="240" w:lineRule="auto"/>
              <w:ind w:firstLine="0" w:firstLineChars="0"/>
              <w:jc w:val="center"/>
              <w:rPr>
                <w:color w:val="auto"/>
                <w:spacing w:val="10"/>
                <w:sz w:val="21"/>
                <w:szCs w:val="21"/>
              </w:rPr>
            </w:pPr>
            <w:r>
              <w:rPr>
                <w:color w:val="auto"/>
                <w:spacing w:val="10"/>
                <w:sz w:val="21"/>
                <w:szCs w:val="21"/>
              </w:rPr>
              <w:t>NOx</w:t>
            </w:r>
          </w:p>
        </w:tc>
        <w:tc>
          <w:tcPr>
            <w:tcW w:w="964" w:type="pct"/>
            <w:shd w:val="clear" w:color="auto" w:fill="auto"/>
            <w:vAlign w:val="center"/>
          </w:tcPr>
          <w:p w14:paraId="38326D27">
            <w:pPr>
              <w:widowControl/>
              <w:spacing w:line="240" w:lineRule="auto"/>
              <w:ind w:firstLine="0" w:firstLineChars="0"/>
              <w:jc w:val="center"/>
              <w:rPr>
                <w:color w:val="auto"/>
                <w:sz w:val="21"/>
                <w:szCs w:val="21"/>
              </w:rPr>
            </w:pPr>
            <w:r>
              <w:rPr>
                <w:rFonts w:hint="eastAsia"/>
                <w:color w:val="auto"/>
                <w:sz w:val="21"/>
                <w:szCs w:val="21"/>
              </w:rPr>
              <w:t>7.183</w:t>
            </w:r>
          </w:p>
        </w:tc>
      </w:tr>
      <w:tr w14:paraId="30241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2" w:type="pct"/>
            <w:gridSpan w:val="2"/>
            <w:vMerge w:val="continue"/>
            <w:shd w:val="clear" w:color="auto" w:fill="auto"/>
            <w:vAlign w:val="center"/>
          </w:tcPr>
          <w:p w14:paraId="64431E2C">
            <w:pPr>
              <w:widowControl/>
              <w:spacing w:line="240" w:lineRule="auto"/>
              <w:ind w:firstLine="0" w:firstLineChars="0"/>
              <w:jc w:val="center"/>
              <w:rPr>
                <w:color w:val="auto"/>
                <w:kern w:val="0"/>
                <w:sz w:val="21"/>
                <w:szCs w:val="21"/>
              </w:rPr>
            </w:pPr>
          </w:p>
        </w:tc>
        <w:tc>
          <w:tcPr>
            <w:tcW w:w="2943" w:type="pct"/>
            <w:gridSpan w:val="3"/>
            <w:shd w:val="clear" w:color="auto" w:fill="auto"/>
            <w:vAlign w:val="center"/>
          </w:tcPr>
          <w:p w14:paraId="7DE97019">
            <w:pPr>
              <w:widowControl/>
              <w:spacing w:line="240" w:lineRule="auto"/>
              <w:ind w:firstLine="0" w:firstLineChars="0"/>
              <w:jc w:val="center"/>
              <w:rPr>
                <w:color w:val="auto"/>
                <w:kern w:val="0"/>
                <w:sz w:val="21"/>
                <w:szCs w:val="21"/>
              </w:rPr>
            </w:pPr>
            <w:r>
              <w:rPr>
                <w:rFonts w:hint="eastAsia"/>
                <w:color w:val="auto"/>
                <w:kern w:val="0"/>
                <w:sz w:val="21"/>
                <w:szCs w:val="21"/>
              </w:rPr>
              <w:t>碱雾</w:t>
            </w:r>
          </w:p>
        </w:tc>
        <w:tc>
          <w:tcPr>
            <w:tcW w:w="964" w:type="pct"/>
            <w:shd w:val="clear" w:color="auto" w:fill="auto"/>
            <w:vAlign w:val="center"/>
          </w:tcPr>
          <w:p w14:paraId="7F7E6CE2">
            <w:pPr>
              <w:widowControl/>
              <w:spacing w:line="240" w:lineRule="auto"/>
              <w:ind w:firstLine="0" w:firstLineChars="0"/>
              <w:jc w:val="center"/>
              <w:rPr>
                <w:color w:val="auto"/>
                <w:kern w:val="0"/>
                <w:sz w:val="21"/>
                <w:szCs w:val="21"/>
              </w:rPr>
            </w:pPr>
            <w:r>
              <w:rPr>
                <w:rFonts w:hint="eastAsia"/>
                <w:color w:val="auto"/>
                <w:kern w:val="0"/>
                <w:sz w:val="21"/>
                <w:szCs w:val="21"/>
              </w:rPr>
              <w:t>1.887</w:t>
            </w:r>
          </w:p>
        </w:tc>
      </w:tr>
      <w:tr w14:paraId="68EB2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2" w:type="pct"/>
            <w:gridSpan w:val="2"/>
            <w:vMerge w:val="continue"/>
            <w:shd w:val="clear" w:color="auto" w:fill="auto"/>
            <w:vAlign w:val="center"/>
          </w:tcPr>
          <w:p w14:paraId="73EF75A2">
            <w:pPr>
              <w:widowControl/>
              <w:spacing w:line="240" w:lineRule="auto"/>
              <w:ind w:firstLine="0" w:firstLineChars="0"/>
              <w:jc w:val="left"/>
              <w:rPr>
                <w:color w:val="auto"/>
                <w:kern w:val="0"/>
                <w:sz w:val="21"/>
                <w:szCs w:val="21"/>
              </w:rPr>
            </w:pPr>
          </w:p>
        </w:tc>
        <w:tc>
          <w:tcPr>
            <w:tcW w:w="2943" w:type="pct"/>
            <w:gridSpan w:val="3"/>
            <w:shd w:val="clear" w:color="auto" w:fill="auto"/>
            <w:vAlign w:val="center"/>
          </w:tcPr>
          <w:p w14:paraId="4480B34C">
            <w:pPr>
              <w:widowControl/>
              <w:spacing w:line="240" w:lineRule="auto"/>
              <w:ind w:firstLine="0" w:firstLineChars="0"/>
              <w:jc w:val="center"/>
              <w:rPr>
                <w:color w:val="auto"/>
                <w:kern w:val="0"/>
                <w:sz w:val="21"/>
                <w:szCs w:val="21"/>
              </w:rPr>
            </w:pPr>
            <w:r>
              <w:rPr>
                <w:rFonts w:hint="eastAsia"/>
                <w:color w:val="auto"/>
                <w:kern w:val="0"/>
                <w:sz w:val="21"/>
                <w:szCs w:val="21"/>
              </w:rPr>
              <w:t>硫酸雾</w:t>
            </w:r>
          </w:p>
        </w:tc>
        <w:tc>
          <w:tcPr>
            <w:tcW w:w="964" w:type="pct"/>
            <w:shd w:val="clear" w:color="auto" w:fill="auto"/>
            <w:vAlign w:val="center"/>
          </w:tcPr>
          <w:p w14:paraId="186B56BC">
            <w:pPr>
              <w:widowControl/>
              <w:spacing w:line="240" w:lineRule="auto"/>
              <w:ind w:firstLine="0" w:firstLineChars="0"/>
              <w:jc w:val="center"/>
              <w:rPr>
                <w:color w:val="auto"/>
                <w:kern w:val="0"/>
                <w:sz w:val="21"/>
                <w:szCs w:val="21"/>
              </w:rPr>
            </w:pPr>
            <w:r>
              <w:rPr>
                <w:rFonts w:hint="eastAsia"/>
                <w:color w:val="auto"/>
                <w:kern w:val="0"/>
                <w:sz w:val="21"/>
                <w:szCs w:val="21"/>
              </w:rPr>
              <w:t>3.980</w:t>
            </w:r>
          </w:p>
        </w:tc>
      </w:tr>
      <w:tr w14:paraId="79908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2" w:type="pct"/>
            <w:gridSpan w:val="2"/>
            <w:vMerge w:val="continue"/>
            <w:shd w:val="clear" w:color="auto" w:fill="auto"/>
            <w:vAlign w:val="center"/>
          </w:tcPr>
          <w:p w14:paraId="1F801F7E">
            <w:pPr>
              <w:widowControl/>
              <w:spacing w:line="240" w:lineRule="auto"/>
              <w:ind w:firstLine="0" w:firstLineChars="0"/>
              <w:jc w:val="left"/>
              <w:rPr>
                <w:color w:val="auto"/>
                <w:kern w:val="0"/>
                <w:sz w:val="21"/>
                <w:szCs w:val="21"/>
              </w:rPr>
            </w:pPr>
          </w:p>
        </w:tc>
        <w:tc>
          <w:tcPr>
            <w:tcW w:w="2943" w:type="pct"/>
            <w:gridSpan w:val="3"/>
            <w:shd w:val="clear" w:color="auto" w:fill="auto"/>
            <w:vAlign w:val="center"/>
          </w:tcPr>
          <w:p w14:paraId="1144DB53">
            <w:pPr>
              <w:widowControl/>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964" w:type="pct"/>
            <w:shd w:val="clear" w:color="auto" w:fill="auto"/>
            <w:vAlign w:val="center"/>
          </w:tcPr>
          <w:p w14:paraId="199EBB9F">
            <w:pPr>
              <w:widowControl/>
              <w:spacing w:line="240" w:lineRule="auto"/>
              <w:ind w:firstLine="0" w:firstLineChars="0"/>
              <w:jc w:val="center"/>
              <w:rPr>
                <w:color w:val="auto"/>
                <w:sz w:val="21"/>
                <w:szCs w:val="21"/>
              </w:rPr>
            </w:pPr>
            <w:r>
              <w:rPr>
                <w:rFonts w:hint="eastAsia"/>
                <w:color w:val="auto"/>
                <w:sz w:val="21"/>
                <w:szCs w:val="21"/>
              </w:rPr>
              <w:t>0.532</w:t>
            </w:r>
          </w:p>
        </w:tc>
      </w:tr>
    </w:tbl>
    <w:p w14:paraId="39704D2A">
      <w:pPr>
        <w:ind w:firstLine="480"/>
        <w:rPr>
          <w:color w:val="auto"/>
        </w:rPr>
      </w:pPr>
      <w:r>
        <w:rPr>
          <w:color w:val="auto"/>
        </w:rPr>
        <w:t>无组织排放量核算见表</w:t>
      </w:r>
      <w:r>
        <w:rPr>
          <w:rFonts w:hint="eastAsia"/>
          <w:color w:val="auto"/>
        </w:rPr>
        <w:t>6</w:t>
      </w:r>
      <w:r>
        <w:rPr>
          <w:color w:val="auto"/>
        </w:rPr>
        <w:t>.2</w:t>
      </w:r>
      <w:r>
        <w:rPr>
          <w:rFonts w:hint="eastAsia"/>
          <w:color w:val="auto"/>
        </w:rPr>
        <w:t>.1</w:t>
      </w:r>
      <w:r>
        <w:rPr>
          <w:color w:val="auto"/>
        </w:rPr>
        <w:t>-9。</w:t>
      </w:r>
    </w:p>
    <w:p w14:paraId="244D1927">
      <w:pPr>
        <w:pStyle w:val="1209"/>
        <w:spacing w:before="0" w:line="240" w:lineRule="auto"/>
        <w:ind w:firstLine="0" w:firstLineChars="0"/>
        <w:jc w:val="center"/>
        <w:rPr>
          <w:b/>
          <w:bCs/>
          <w:color w:val="auto"/>
        </w:rPr>
      </w:pPr>
      <w:r>
        <w:rPr>
          <w:b/>
          <w:bCs/>
          <w:color w:val="auto"/>
        </w:rPr>
        <w:t>表</w:t>
      </w:r>
      <w:r>
        <w:rPr>
          <w:rFonts w:hint="eastAsia"/>
          <w:b/>
          <w:bCs/>
          <w:color w:val="auto"/>
        </w:rPr>
        <w:t>6</w:t>
      </w:r>
      <w:r>
        <w:rPr>
          <w:b/>
          <w:bCs/>
          <w:color w:val="auto"/>
        </w:rPr>
        <w:t>.2</w:t>
      </w:r>
      <w:r>
        <w:rPr>
          <w:rFonts w:hint="eastAsia"/>
          <w:b/>
          <w:bCs/>
          <w:color w:val="auto"/>
        </w:rPr>
        <w:t>.1</w:t>
      </w:r>
      <w:r>
        <w:rPr>
          <w:b/>
          <w:bCs/>
          <w:color w:val="auto"/>
        </w:rPr>
        <w:t>-9  大气污染物无组织排放量核算表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923"/>
        <w:gridCol w:w="1334"/>
        <w:gridCol w:w="1150"/>
        <w:gridCol w:w="2477"/>
        <w:gridCol w:w="1338"/>
        <w:gridCol w:w="1677"/>
      </w:tblGrid>
      <w:tr w14:paraId="42493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265" w:type="pct"/>
            <w:vMerge w:val="restart"/>
            <w:shd w:val="clear" w:color="auto" w:fill="auto"/>
            <w:vAlign w:val="center"/>
          </w:tcPr>
          <w:p w14:paraId="3CCABF4A">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491" w:type="pct"/>
            <w:vMerge w:val="restart"/>
            <w:shd w:val="clear" w:color="auto" w:fill="auto"/>
            <w:vAlign w:val="center"/>
          </w:tcPr>
          <w:p w14:paraId="491956B8">
            <w:pPr>
              <w:widowControl/>
              <w:spacing w:line="240" w:lineRule="auto"/>
              <w:ind w:firstLine="0" w:firstLineChars="0"/>
              <w:jc w:val="center"/>
              <w:rPr>
                <w:b/>
                <w:bCs/>
                <w:color w:val="auto"/>
                <w:kern w:val="0"/>
                <w:sz w:val="21"/>
                <w:szCs w:val="21"/>
              </w:rPr>
            </w:pPr>
            <w:r>
              <w:rPr>
                <w:b/>
                <w:bCs/>
                <w:color w:val="auto"/>
                <w:kern w:val="0"/>
                <w:sz w:val="21"/>
                <w:szCs w:val="21"/>
              </w:rPr>
              <w:t>排放口编号</w:t>
            </w:r>
          </w:p>
        </w:tc>
        <w:tc>
          <w:tcPr>
            <w:tcW w:w="710" w:type="pct"/>
            <w:vMerge w:val="restart"/>
            <w:shd w:val="clear" w:color="auto" w:fill="auto"/>
            <w:vAlign w:val="center"/>
          </w:tcPr>
          <w:p w14:paraId="6C20ACB4">
            <w:pPr>
              <w:widowControl/>
              <w:spacing w:line="240" w:lineRule="auto"/>
              <w:ind w:firstLine="0" w:firstLineChars="0"/>
              <w:jc w:val="center"/>
              <w:rPr>
                <w:b/>
                <w:bCs/>
                <w:color w:val="auto"/>
                <w:kern w:val="0"/>
                <w:sz w:val="21"/>
                <w:szCs w:val="21"/>
              </w:rPr>
            </w:pPr>
            <w:r>
              <w:rPr>
                <w:b/>
                <w:bCs/>
                <w:color w:val="auto"/>
                <w:kern w:val="0"/>
                <w:sz w:val="21"/>
                <w:szCs w:val="21"/>
              </w:rPr>
              <w:t>污染物种类</w:t>
            </w:r>
          </w:p>
        </w:tc>
        <w:tc>
          <w:tcPr>
            <w:tcW w:w="612" w:type="pct"/>
            <w:vMerge w:val="restart"/>
            <w:shd w:val="clear" w:color="auto" w:fill="auto"/>
            <w:vAlign w:val="center"/>
          </w:tcPr>
          <w:p w14:paraId="3C8E69C1">
            <w:pPr>
              <w:widowControl/>
              <w:spacing w:line="240" w:lineRule="auto"/>
              <w:ind w:firstLine="0" w:firstLineChars="0"/>
              <w:jc w:val="center"/>
              <w:rPr>
                <w:b/>
                <w:bCs/>
                <w:color w:val="auto"/>
                <w:kern w:val="0"/>
                <w:sz w:val="21"/>
                <w:szCs w:val="21"/>
              </w:rPr>
            </w:pPr>
            <w:r>
              <w:rPr>
                <w:rFonts w:hint="eastAsia"/>
                <w:b/>
                <w:bCs/>
                <w:color w:val="auto"/>
                <w:kern w:val="0"/>
                <w:sz w:val="21"/>
                <w:szCs w:val="21"/>
              </w:rPr>
              <w:t>主要污染防治措施</w:t>
            </w:r>
          </w:p>
        </w:tc>
        <w:tc>
          <w:tcPr>
            <w:tcW w:w="2029" w:type="pct"/>
            <w:gridSpan w:val="2"/>
            <w:shd w:val="clear" w:color="auto" w:fill="auto"/>
            <w:vAlign w:val="center"/>
          </w:tcPr>
          <w:p w14:paraId="3E7BEE66">
            <w:pPr>
              <w:widowControl/>
              <w:spacing w:line="240" w:lineRule="auto"/>
              <w:ind w:firstLine="0" w:firstLineChars="0"/>
              <w:jc w:val="center"/>
              <w:rPr>
                <w:b/>
                <w:bCs/>
                <w:color w:val="auto"/>
                <w:kern w:val="0"/>
                <w:sz w:val="21"/>
                <w:szCs w:val="21"/>
              </w:rPr>
            </w:pPr>
            <w:r>
              <w:rPr>
                <w:rFonts w:hint="eastAsia"/>
                <w:b/>
                <w:bCs/>
                <w:color w:val="auto"/>
                <w:kern w:val="0"/>
                <w:sz w:val="21"/>
                <w:szCs w:val="21"/>
              </w:rPr>
              <w:t>国家或地方污染物排放标准</w:t>
            </w:r>
          </w:p>
        </w:tc>
        <w:tc>
          <w:tcPr>
            <w:tcW w:w="891" w:type="pct"/>
            <w:vMerge w:val="restart"/>
            <w:shd w:val="clear" w:color="auto" w:fill="auto"/>
            <w:vAlign w:val="center"/>
          </w:tcPr>
          <w:p w14:paraId="33759E5D">
            <w:pPr>
              <w:widowControl/>
              <w:spacing w:line="240" w:lineRule="auto"/>
              <w:ind w:firstLine="0" w:firstLineChars="0"/>
              <w:jc w:val="center"/>
              <w:rPr>
                <w:b/>
                <w:bCs/>
                <w:color w:val="auto"/>
                <w:kern w:val="0"/>
                <w:sz w:val="21"/>
                <w:szCs w:val="21"/>
              </w:rPr>
            </w:pPr>
            <w:r>
              <w:rPr>
                <w:b/>
                <w:bCs/>
                <w:color w:val="auto"/>
                <w:kern w:val="0"/>
                <w:sz w:val="21"/>
                <w:szCs w:val="21"/>
              </w:rPr>
              <w:t>年排放量（t/a）</w:t>
            </w:r>
          </w:p>
        </w:tc>
      </w:tr>
      <w:tr w14:paraId="15964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265" w:type="pct"/>
            <w:vMerge w:val="continue"/>
            <w:shd w:val="clear" w:color="auto" w:fill="auto"/>
            <w:vAlign w:val="center"/>
          </w:tcPr>
          <w:p w14:paraId="0CF9DBB2">
            <w:pPr>
              <w:widowControl/>
              <w:spacing w:line="240" w:lineRule="auto"/>
              <w:ind w:firstLine="0" w:firstLineChars="0"/>
              <w:jc w:val="center"/>
              <w:rPr>
                <w:b/>
                <w:bCs/>
                <w:color w:val="auto"/>
                <w:kern w:val="0"/>
                <w:sz w:val="21"/>
                <w:szCs w:val="21"/>
              </w:rPr>
            </w:pPr>
          </w:p>
        </w:tc>
        <w:tc>
          <w:tcPr>
            <w:tcW w:w="491" w:type="pct"/>
            <w:vMerge w:val="continue"/>
            <w:shd w:val="clear" w:color="auto" w:fill="auto"/>
            <w:vAlign w:val="center"/>
          </w:tcPr>
          <w:p w14:paraId="686DFEDF">
            <w:pPr>
              <w:widowControl/>
              <w:spacing w:line="240" w:lineRule="auto"/>
              <w:ind w:firstLine="0" w:firstLineChars="0"/>
              <w:jc w:val="center"/>
              <w:rPr>
                <w:b/>
                <w:bCs/>
                <w:color w:val="auto"/>
                <w:kern w:val="0"/>
                <w:sz w:val="21"/>
                <w:szCs w:val="21"/>
              </w:rPr>
            </w:pPr>
          </w:p>
        </w:tc>
        <w:tc>
          <w:tcPr>
            <w:tcW w:w="710" w:type="pct"/>
            <w:vMerge w:val="continue"/>
            <w:shd w:val="clear" w:color="auto" w:fill="auto"/>
            <w:vAlign w:val="center"/>
          </w:tcPr>
          <w:p w14:paraId="5ED7AE97">
            <w:pPr>
              <w:widowControl/>
              <w:spacing w:line="240" w:lineRule="auto"/>
              <w:ind w:firstLine="0" w:firstLineChars="0"/>
              <w:jc w:val="center"/>
              <w:rPr>
                <w:b/>
                <w:bCs/>
                <w:color w:val="auto"/>
                <w:kern w:val="0"/>
                <w:sz w:val="21"/>
                <w:szCs w:val="21"/>
              </w:rPr>
            </w:pPr>
          </w:p>
        </w:tc>
        <w:tc>
          <w:tcPr>
            <w:tcW w:w="612" w:type="pct"/>
            <w:vMerge w:val="continue"/>
            <w:shd w:val="clear" w:color="auto" w:fill="auto"/>
            <w:vAlign w:val="center"/>
          </w:tcPr>
          <w:p w14:paraId="1351C12F">
            <w:pPr>
              <w:widowControl/>
              <w:spacing w:line="240" w:lineRule="auto"/>
              <w:ind w:firstLine="0" w:firstLineChars="0"/>
              <w:jc w:val="center"/>
              <w:rPr>
                <w:b/>
                <w:bCs/>
                <w:color w:val="auto"/>
                <w:kern w:val="0"/>
                <w:sz w:val="21"/>
                <w:szCs w:val="21"/>
              </w:rPr>
            </w:pPr>
          </w:p>
        </w:tc>
        <w:tc>
          <w:tcPr>
            <w:tcW w:w="1318" w:type="pct"/>
            <w:shd w:val="clear" w:color="auto" w:fill="auto"/>
            <w:vAlign w:val="center"/>
          </w:tcPr>
          <w:p w14:paraId="426CD1E2">
            <w:pPr>
              <w:widowControl/>
              <w:spacing w:line="240" w:lineRule="auto"/>
              <w:ind w:firstLine="0" w:firstLineChars="0"/>
              <w:jc w:val="center"/>
              <w:rPr>
                <w:b/>
                <w:bCs/>
                <w:color w:val="auto"/>
                <w:kern w:val="0"/>
                <w:sz w:val="21"/>
                <w:szCs w:val="21"/>
              </w:rPr>
            </w:pPr>
            <w:r>
              <w:rPr>
                <w:rFonts w:hint="eastAsia"/>
                <w:b/>
                <w:bCs/>
                <w:color w:val="auto"/>
                <w:kern w:val="0"/>
                <w:sz w:val="21"/>
                <w:szCs w:val="21"/>
              </w:rPr>
              <w:t>标准名称</w:t>
            </w:r>
          </w:p>
        </w:tc>
        <w:tc>
          <w:tcPr>
            <w:tcW w:w="711" w:type="pct"/>
            <w:shd w:val="clear" w:color="auto" w:fill="auto"/>
            <w:vAlign w:val="center"/>
          </w:tcPr>
          <w:p w14:paraId="63BCB293">
            <w:pPr>
              <w:widowControl/>
              <w:spacing w:line="240" w:lineRule="auto"/>
              <w:ind w:firstLine="0" w:firstLineChars="0"/>
              <w:jc w:val="center"/>
              <w:rPr>
                <w:b/>
                <w:bCs/>
                <w:color w:val="auto"/>
                <w:kern w:val="0"/>
                <w:sz w:val="21"/>
                <w:szCs w:val="21"/>
              </w:rPr>
            </w:pPr>
            <w:r>
              <w:rPr>
                <w:rFonts w:hint="eastAsia"/>
                <w:b/>
                <w:bCs/>
                <w:color w:val="auto"/>
                <w:kern w:val="0"/>
                <w:sz w:val="21"/>
                <w:szCs w:val="21"/>
              </w:rPr>
              <w:t>浓度限值（mg/m</w:t>
            </w:r>
            <w:r>
              <w:rPr>
                <w:rFonts w:hint="eastAsia"/>
                <w:b/>
                <w:bCs/>
                <w:color w:val="auto"/>
                <w:kern w:val="0"/>
                <w:sz w:val="21"/>
                <w:szCs w:val="21"/>
                <w:vertAlign w:val="superscript"/>
              </w:rPr>
              <w:t>3</w:t>
            </w:r>
            <w:r>
              <w:rPr>
                <w:rFonts w:hint="eastAsia"/>
                <w:b/>
                <w:bCs/>
                <w:color w:val="auto"/>
                <w:kern w:val="0"/>
                <w:sz w:val="21"/>
                <w:szCs w:val="21"/>
              </w:rPr>
              <w:t>）</w:t>
            </w:r>
          </w:p>
        </w:tc>
        <w:tc>
          <w:tcPr>
            <w:tcW w:w="891" w:type="pct"/>
            <w:vMerge w:val="continue"/>
            <w:shd w:val="clear" w:color="auto" w:fill="auto"/>
            <w:vAlign w:val="center"/>
          </w:tcPr>
          <w:p w14:paraId="591BABAF">
            <w:pPr>
              <w:widowControl/>
              <w:spacing w:line="240" w:lineRule="auto"/>
              <w:ind w:firstLine="0" w:firstLineChars="0"/>
              <w:jc w:val="center"/>
              <w:rPr>
                <w:b/>
                <w:bCs/>
                <w:color w:val="auto"/>
                <w:kern w:val="0"/>
                <w:sz w:val="21"/>
                <w:szCs w:val="21"/>
              </w:rPr>
            </w:pPr>
          </w:p>
        </w:tc>
      </w:tr>
      <w:tr w14:paraId="4088A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5" w:type="pct"/>
            <w:shd w:val="clear" w:color="auto" w:fill="auto"/>
            <w:vAlign w:val="center"/>
          </w:tcPr>
          <w:p w14:paraId="409CC136">
            <w:pPr>
              <w:widowControl/>
              <w:spacing w:line="240" w:lineRule="auto"/>
              <w:ind w:firstLine="0" w:firstLineChars="0"/>
              <w:jc w:val="center"/>
              <w:rPr>
                <w:color w:val="auto"/>
                <w:kern w:val="0"/>
                <w:sz w:val="21"/>
                <w:szCs w:val="21"/>
              </w:rPr>
            </w:pPr>
            <w:r>
              <w:rPr>
                <w:color w:val="auto"/>
                <w:kern w:val="0"/>
                <w:sz w:val="21"/>
                <w:szCs w:val="21"/>
              </w:rPr>
              <w:t>1</w:t>
            </w:r>
          </w:p>
        </w:tc>
        <w:tc>
          <w:tcPr>
            <w:tcW w:w="491" w:type="pct"/>
            <w:vMerge w:val="restart"/>
            <w:shd w:val="clear" w:color="auto" w:fill="auto"/>
            <w:vAlign w:val="center"/>
          </w:tcPr>
          <w:p w14:paraId="58AD0B9C">
            <w:pPr>
              <w:widowControl/>
              <w:spacing w:line="240" w:lineRule="auto"/>
              <w:ind w:firstLine="0" w:firstLineChars="0"/>
              <w:jc w:val="center"/>
              <w:rPr>
                <w:color w:val="auto"/>
                <w:kern w:val="0"/>
                <w:sz w:val="21"/>
                <w:szCs w:val="21"/>
              </w:rPr>
            </w:pPr>
            <w:r>
              <w:rPr>
                <w:rFonts w:hint="eastAsia"/>
                <w:color w:val="auto"/>
                <w:kern w:val="0"/>
                <w:sz w:val="21"/>
                <w:szCs w:val="21"/>
              </w:rPr>
              <w:t>厂房</w:t>
            </w:r>
          </w:p>
        </w:tc>
        <w:tc>
          <w:tcPr>
            <w:tcW w:w="710" w:type="pct"/>
            <w:shd w:val="clear" w:color="auto" w:fill="auto"/>
            <w:vAlign w:val="center"/>
          </w:tcPr>
          <w:p w14:paraId="01A33518">
            <w:pPr>
              <w:widowControl/>
              <w:spacing w:line="240" w:lineRule="auto"/>
              <w:ind w:firstLine="0" w:firstLineChars="0"/>
              <w:jc w:val="center"/>
              <w:rPr>
                <w:color w:val="auto"/>
                <w:kern w:val="0"/>
                <w:sz w:val="21"/>
                <w:szCs w:val="21"/>
              </w:rPr>
            </w:pPr>
            <w:r>
              <w:rPr>
                <w:color w:val="auto"/>
                <w:kern w:val="0"/>
                <w:sz w:val="21"/>
                <w:szCs w:val="21"/>
              </w:rPr>
              <w:t>颗粒物</w:t>
            </w:r>
          </w:p>
        </w:tc>
        <w:tc>
          <w:tcPr>
            <w:tcW w:w="612" w:type="pct"/>
            <w:vMerge w:val="restart"/>
            <w:shd w:val="clear" w:color="auto" w:fill="auto"/>
            <w:vAlign w:val="center"/>
          </w:tcPr>
          <w:p w14:paraId="6D388FE4">
            <w:pPr>
              <w:widowControl/>
              <w:spacing w:line="240" w:lineRule="auto"/>
              <w:ind w:firstLine="0" w:firstLineChars="0"/>
              <w:jc w:val="center"/>
              <w:rPr>
                <w:color w:val="auto"/>
                <w:kern w:val="0"/>
                <w:sz w:val="21"/>
                <w:szCs w:val="21"/>
              </w:rPr>
            </w:pPr>
            <w:r>
              <w:rPr>
                <w:rFonts w:hint="eastAsia"/>
                <w:color w:val="auto"/>
                <w:kern w:val="0"/>
                <w:sz w:val="21"/>
                <w:szCs w:val="21"/>
              </w:rPr>
              <w:t>加强废气收集、优化投料等</w:t>
            </w:r>
          </w:p>
        </w:tc>
        <w:tc>
          <w:tcPr>
            <w:tcW w:w="1318" w:type="pct"/>
            <w:shd w:val="clear" w:color="auto" w:fill="auto"/>
            <w:vAlign w:val="center"/>
          </w:tcPr>
          <w:p w14:paraId="2DF5042F">
            <w:pPr>
              <w:widowControl/>
              <w:spacing w:line="240" w:lineRule="auto"/>
              <w:ind w:firstLine="0" w:firstLineChars="0"/>
              <w:jc w:val="center"/>
              <w:rPr>
                <w:color w:val="auto"/>
                <w:kern w:val="0"/>
                <w:sz w:val="21"/>
                <w:szCs w:val="21"/>
              </w:rPr>
            </w:pPr>
            <w:r>
              <w:rPr>
                <w:rFonts w:hint="eastAsia"/>
                <w:color w:val="auto"/>
                <w:kern w:val="0"/>
                <w:sz w:val="21"/>
                <w:szCs w:val="21"/>
              </w:rPr>
              <w:t>江苏省地方标准</w:t>
            </w:r>
            <w:r>
              <w:rPr>
                <w:color w:val="auto"/>
                <w:kern w:val="0"/>
                <w:sz w:val="21"/>
                <w:szCs w:val="21"/>
              </w:rPr>
              <w:t>《大气污染物综合排放标准》（DB32/4041-2021）</w:t>
            </w:r>
          </w:p>
        </w:tc>
        <w:tc>
          <w:tcPr>
            <w:tcW w:w="711" w:type="pct"/>
            <w:shd w:val="clear" w:color="auto" w:fill="auto"/>
            <w:vAlign w:val="center"/>
          </w:tcPr>
          <w:p w14:paraId="2BAE42BC">
            <w:pPr>
              <w:widowControl/>
              <w:spacing w:line="240" w:lineRule="auto"/>
              <w:ind w:firstLine="0" w:firstLineChars="0"/>
              <w:jc w:val="center"/>
              <w:rPr>
                <w:color w:val="auto"/>
                <w:kern w:val="0"/>
                <w:sz w:val="21"/>
                <w:szCs w:val="21"/>
              </w:rPr>
            </w:pPr>
            <w:r>
              <w:rPr>
                <w:rFonts w:hint="eastAsia"/>
                <w:color w:val="auto"/>
                <w:kern w:val="0"/>
                <w:sz w:val="21"/>
                <w:szCs w:val="21"/>
              </w:rPr>
              <w:t>0.5</w:t>
            </w:r>
          </w:p>
        </w:tc>
        <w:tc>
          <w:tcPr>
            <w:tcW w:w="891" w:type="pct"/>
            <w:shd w:val="clear" w:color="auto" w:fill="auto"/>
            <w:vAlign w:val="center"/>
          </w:tcPr>
          <w:p w14:paraId="574300F6">
            <w:pPr>
              <w:widowControl/>
              <w:spacing w:line="240" w:lineRule="auto"/>
              <w:ind w:firstLine="0" w:firstLineChars="0"/>
              <w:jc w:val="center"/>
              <w:rPr>
                <w:color w:val="auto"/>
                <w:kern w:val="0"/>
                <w:sz w:val="21"/>
                <w:szCs w:val="21"/>
              </w:rPr>
            </w:pPr>
            <w:r>
              <w:rPr>
                <w:rFonts w:hint="eastAsia"/>
                <w:color w:val="auto"/>
                <w:kern w:val="0"/>
                <w:sz w:val="21"/>
                <w:szCs w:val="21"/>
              </w:rPr>
              <w:t>3.449</w:t>
            </w:r>
          </w:p>
        </w:tc>
      </w:tr>
      <w:tr w14:paraId="74AFB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5" w:type="pct"/>
            <w:shd w:val="clear" w:color="auto" w:fill="auto"/>
            <w:vAlign w:val="center"/>
          </w:tcPr>
          <w:p w14:paraId="56AD0C27">
            <w:pPr>
              <w:widowControl/>
              <w:spacing w:line="240" w:lineRule="auto"/>
              <w:ind w:firstLine="0" w:firstLineChars="0"/>
              <w:jc w:val="center"/>
              <w:rPr>
                <w:color w:val="auto"/>
                <w:kern w:val="0"/>
                <w:sz w:val="21"/>
                <w:szCs w:val="21"/>
              </w:rPr>
            </w:pPr>
            <w:r>
              <w:rPr>
                <w:color w:val="auto"/>
                <w:kern w:val="0"/>
                <w:sz w:val="21"/>
                <w:szCs w:val="21"/>
              </w:rPr>
              <w:t>2</w:t>
            </w:r>
          </w:p>
        </w:tc>
        <w:tc>
          <w:tcPr>
            <w:tcW w:w="491" w:type="pct"/>
            <w:vMerge w:val="continue"/>
            <w:shd w:val="clear" w:color="auto" w:fill="auto"/>
            <w:vAlign w:val="center"/>
          </w:tcPr>
          <w:p w14:paraId="47B80684">
            <w:pPr>
              <w:widowControl/>
              <w:spacing w:line="240" w:lineRule="auto"/>
              <w:ind w:firstLine="0" w:firstLineChars="0"/>
              <w:jc w:val="center"/>
              <w:rPr>
                <w:color w:val="auto"/>
                <w:kern w:val="0"/>
                <w:sz w:val="21"/>
                <w:szCs w:val="21"/>
              </w:rPr>
            </w:pPr>
          </w:p>
        </w:tc>
        <w:tc>
          <w:tcPr>
            <w:tcW w:w="710" w:type="pct"/>
            <w:shd w:val="clear" w:color="auto" w:fill="auto"/>
            <w:vAlign w:val="center"/>
          </w:tcPr>
          <w:p w14:paraId="79DEC154">
            <w:pPr>
              <w:widowControl/>
              <w:spacing w:line="240" w:lineRule="auto"/>
              <w:ind w:firstLine="0" w:firstLineChars="0"/>
              <w:jc w:val="center"/>
              <w:rPr>
                <w:color w:val="auto"/>
                <w:kern w:val="0"/>
                <w:sz w:val="21"/>
                <w:szCs w:val="21"/>
              </w:rPr>
            </w:pPr>
            <w:r>
              <w:rPr>
                <w:rFonts w:hint="eastAsia"/>
                <w:color w:val="auto"/>
                <w:kern w:val="0"/>
                <w:sz w:val="21"/>
                <w:szCs w:val="21"/>
              </w:rPr>
              <w:t>碱雾</w:t>
            </w:r>
          </w:p>
        </w:tc>
        <w:tc>
          <w:tcPr>
            <w:tcW w:w="612" w:type="pct"/>
            <w:vMerge w:val="continue"/>
            <w:shd w:val="clear" w:color="auto" w:fill="auto"/>
            <w:vAlign w:val="center"/>
          </w:tcPr>
          <w:p w14:paraId="71ABA960">
            <w:pPr>
              <w:widowControl/>
              <w:spacing w:line="240" w:lineRule="auto"/>
              <w:ind w:firstLine="0" w:firstLineChars="0"/>
              <w:jc w:val="center"/>
              <w:rPr>
                <w:color w:val="auto"/>
                <w:kern w:val="0"/>
                <w:sz w:val="21"/>
                <w:szCs w:val="21"/>
              </w:rPr>
            </w:pPr>
          </w:p>
        </w:tc>
        <w:tc>
          <w:tcPr>
            <w:tcW w:w="1318" w:type="pct"/>
            <w:shd w:val="clear" w:color="auto" w:fill="auto"/>
            <w:vAlign w:val="center"/>
          </w:tcPr>
          <w:p w14:paraId="618DBD70">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711" w:type="pct"/>
            <w:shd w:val="clear" w:color="auto" w:fill="auto"/>
            <w:vAlign w:val="center"/>
          </w:tcPr>
          <w:p w14:paraId="15A94B61">
            <w:pPr>
              <w:widowControl/>
              <w:spacing w:line="240" w:lineRule="auto"/>
              <w:ind w:firstLine="0" w:firstLineChars="0"/>
              <w:jc w:val="center"/>
              <w:rPr>
                <w:color w:val="auto"/>
                <w:kern w:val="0"/>
                <w:sz w:val="21"/>
                <w:szCs w:val="21"/>
              </w:rPr>
            </w:pPr>
            <w:r>
              <w:rPr>
                <w:rFonts w:hint="eastAsia"/>
                <w:color w:val="auto"/>
                <w:kern w:val="0"/>
                <w:sz w:val="21"/>
                <w:szCs w:val="21"/>
              </w:rPr>
              <w:t>/</w:t>
            </w:r>
          </w:p>
        </w:tc>
        <w:tc>
          <w:tcPr>
            <w:tcW w:w="891" w:type="pct"/>
            <w:shd w:val="clear" w:color="auto" w:fill="auto"/>
            <w:vAlign w:val="center"/>
          </w:tcPr>
          <w:p w14:paraId="1ABD8BFA">
            <w:pPr>
              <w:widowControl/>
              <w:spacing w:line="240" w:lineRule="auto"/>
              <w:ind w:firstLine="0" w:firstLineChars="0"/>
              <w:jc w:val="center"/>
              <w:rPr>
                <w:color w:val="auto"/>
                <w:kern w:val="0"/>
                <w:sz w:val="21"/>
                <w:szCs w:val="21"/>
              </w:rPr>
            </w:pPr>
            <w:r>
              <w:rPr>
                <w:rFonts w:hint="eastAsia"/>
                <w:color w:val="auto"/>
                <w:kern w:val="0"/>
                <w:sz w:val="21"/>
                <w:szCs w:val="21"/>
              </w:rPr>
              <w:t>0.993</w:t>
            </w:r>
          </w:p>
        </w:tc>
      </w:tr>
      <w:tr w14:paraId="72AF3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5" w:type="pct"/>
            <w:shd w:val="clear" w:color="auto" w:fill="auto"/>
            <w:vAlign w:val="center"/>
          </w:tcPr>
          <w:p w14:paraId="13298CD6">
            <w:pPr>
              <w:widowControl/>
              <w:spacing w:line="240" w:lineRule="auto"/>
              <w:ind w:firstLine="0" w:firstLineChars="0"/>
              <w:jc w:val="center"/>
              <w:rPr>
                <w:color w:val="auto"/>
                <w:kern w:val="0"/>
                <w:sz w:val="21"/>
                <w:szCs w:val="21"/>
              </w:rPr>
            </w:pPr>
            <w:r>
              <w:rPr>
                <w:color w:val="auto"/>
                <w:kern w:val="0"/>
                <w:sz w:val="21"/>
                <w:szCs w:val="21"/>
              </w:rPr>
              <w:t>3</w:t>
            </w:r>
          </w:p>
        </w:tc>
        <w:tc>
          <w:tcPr>
            <w:tcW w:w="491" w:type="pct"/>
            <w:vMerge w:val="continue"/>
            <w:shd w:val="clear" w:color="auto" w:fill="auto"/>
            <w:vAlign w:val="center"/>
          </w:tcPr>
          <w:p w14:paraId="3C0C9A53">
            <w:pPr>
              <w:widowControl/>
              <w:spacing w:line="240" w:lineRule="auto"/>
              <w:ind w:firstLine="0" w:firstLineChars="0"/>
              <w:jc w:val="center"/>
              <w:rPr>
                <w:color w:val="auto"/>
                <w:kern w:val="0"/>
                <w:sz w:val="21"/>
                <w:szCs w:val="21"/>
              </w:rPr>
            </w:pPr>
          </w:p>
        </w:tc>
        <w:tc>
          <w:tcPr>
            <w:tcW w:w="710" w:type="pct"/>
            <w:shd w:val="clear" w:color="auto" w:fill="auto"/>
            <w:vAlign w:val="center"/>
          </w:tcPr>
          <w:p w14:paraId="4A893EEA">
            <w:pPr>
              <w:widowControl/>
              <w:spacing w:line="240" w:lineRule="auto"/>
              <w:ind w:firstLine="0" w:firstLineChars="0"/>
              <w:jc w:val="center"/>
              <w:rPr>
                <w:color w:val="auto"/>
                <w:kern w:val="0"/>
                <w:sz w:val="21"/>
                <w:szCs w:val="21"/>
              </w:rPr>
            </w:pPr>
            <w:r>
              <w:rPr>
                <w:rFonts w:hint="eastAsia"/>
                <w:color w:val="auto"/>
                <w:kern w:val="0"/>
                <w:sz w:val="21"/>
                <w:szCs w:val="21"/>
              </w:rPr>
              <w:t>硫酸雾</w:t>
            </w:r>
          </w:p>
        </w:tc>
        <w:tc>
          <w:tcPr>
            <w:tcW w:w="612" w:type="pct"/>
            <w:vMerge w:val="continue"/>
            <w:shd w:val="clear" w:color="auto" w:fill="auto"/>
            <w:vAlign w:val="center"/>
          </w:tcPr>
          <w:p w14:paraId="0E3F6BE8">
            <w:pPr>
              <w:widowControl/>
              <w:spacing w:line="240" w:lineRule="auto"/>
              <w:ind w:firstLine="0" w:firstLineChars="0"/>
              <w:jc w:val="center"/>
              <w:rPr>
                <w:color w:val="auto"/>
                <w:kern w:val="0"/>
                <w:sz w:val="21"/>
                <w:szCs w:val="21"/>
              </w:rPr>
            </w:pPr>
          </w:p>
        </w:tc>
        <w:tc>
          <w:tcPr>
            <w:tcW w:w="1318" w:type="pct"/>
            <w:shd w:val="clear" w:color="auto" w:fill="auto"/>
            <w:vAlign w:val="center"/>
          </w:tcPr>
          <w:p w14:paraId="321B4F0A">
            <w:pPr>
              <w:widowControl/>
              <w:spacing w:line="240" w:lineRule="auto"/>
              <w:ind w:firstLine="0" w:firstLineChars="0"/>
              <w:jc w:val="center"/>
              <w:rPr>
                <w:color w:val="auto"/>
                <w:kern w:val="0"/>
                <w:sz w:val="21"/>
                <w:szCs w:val="21"/>
              </w:rPr>
            </w:pPr>
            <w:r>
              <w:rPr>
                <w:rFonts w:hint="eastAsia"/>
                <w:color w:val="auto"/>
                <w:kern w:val="0"/>
                <w:sz w:val="21"/>
                <w:szCs w:val="21"/>
              </w:rPr>
              <w:t>江苏省地方标准</w:t>
            </w:r>
            <w:r>
              <w:rPr>
                <w:color w:val="auto"/>
                <w:kern w:val="0"/>
                <w:sz w:val="21"/>
                <w:szCs w:val="21"/>
              </w:rPr>
              <w:t>《大气污染物综合排放标准》（DB32/4041-2021）</w:t>
            </w:r>
          </w:p>
        </w:tc>
        <w:tc>
          <w:tcPr>
            <w:tcW w:w="711" w:type="pct"/>
            <w:shd w:val="clear" w:color="auto" w:fill="auto"/>
            <w:vAlign w:val="center"/>
          </w:tcPr>
          <w:p w14:paraId="5CB40F78">
            <w:pPr>
              <w:widowControl/>
              <w:spacing w:line="240" w:lineRule="auto"/>
              <w:ind w:firstLine="0" w:firstLineChars="0"/>
              <w:jc w:val="center"/>
              <w:rPr>
                <w:color w:val="auto"/>
                <w:kern w:val="0"/>
                <w:sz w:val="21"/>
                <w:szCs w:val="21"/>
              </w:rPr>
            </w:pPr>
            <w:r>
              <w:rPr>
                <w:rFonts w:hint="eastAsia"/>
                <w:color w:val="auto"/>
                <w:kern w:val="0"/>
                <w:sz w:val="21"/>
                <w:szCs w:val="21"/>
              </w:rPr>
              <w:t>0.3</w:t>
            </w:r>
          </w:p>
        </w:tc>
        <w:tc>
          <w:tcPr>
            <w:tcW w:w="891" w:type="pct"/>
            <w:shd w:val="clear" w:color="auto" w:fill="auto"/>
            <w:vAlign w:val="center"/>
          </w:tcPr>
          <w:p w14:paraId="02C24A76">
            <w:pPr>
              <w:widowControl/>
              <w:spacing w:line="240" w:lineRule="auto"/>
              <w:ind w:firstLine="0" w:firstLineChars="0"/>
              <w:jc w:val="center"/>
              <w:rPr>
                <w:color w:val="auto"/>
                <w:kern w:val="0"/>
                <w:sz w:val="21"/>
                <w:szCs w:val="21"/>
              </w:rPr>
            </w:pPr>
            <w:r>
              <w:rPr>
                <w:rFonts w:hint="eastAsia"/>
                <w:color w:val="auto"/>
                <w:kern w:val="0"/>
                <w:sz w:val="21"/>
                <w:szCs w:val="21"/>
              </w:rPr>
              <w:t>2.095</w:t>
            </w:r>
          </w:p>
        </w:tc>
      </w:tr>
      <w:tr w14:paraId="76B65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5" w:type="pct"/>
            <w:shd w:val="clear" w:color="auto" w:fill="auto"/>
            <w:vAlign w:val="center"/>
          </w:tcPr>
          <w:p w14:paraId="47178A14">
            <w:pPr>
              <w:widowControl/>
              <w:spacing w:line="240" w:lineRule="auto"/>
              <w:ind w:firstLine="0" w:firstLineChars="0"/>
              <w:jc w:val="center"/>
              <w:rPr>
                <w:color w:val="auto"/>
                <w:kern w:val="0"/>
                <w:sz w:val="21"/>
                <w:szCs w:val="21"/>
              </w:rPr>
            </w:pPr>
            <w:r>
              <w:rPr>
                <w:rFonts w:hint="eastAsia"/>
                <w:color w:val="auto"/>
                <w:kern w:val="0"/>
                <w:sz w:val="21"/>
                <w:szCs w:val="21"/>
              </w:rPr>
              <w:t>4</w:t>
            </w:r>
          </w:p>
        </w:tc>
        <w:tc>
          <w:tcPr>
            <w:tcW w:w="491" w:type="pct"/>
            <w:vMerge w:val="continue"/>
            <w:shd w:val="clear" w:color="auto" w:fill="auto"/>
            <w:vAlign w:val="center"/>
          </w:tcPr>
          <w:p w14:paraId="6D18EA51">
            <w:pPr>
              <w:widowControl/>
              <w:spacing w:line="240" w:lineRule="auto"/>
              <w:ind w:firstLine="0" w:firstLineChars="0"/>
              <w:jc w:val="center"/>
              <w:rPr>
                <w:color w:val="auto"/>
                <w:kern w:val="0"/>
                <w:sz w:val="21"/>
                <w:szCs w:val="21"/>
              </w:rPr>
            </w:pPr>
          </w:p>
        </w:tc>
        <w:tc>
          <w:tcPr>
            <w:tcW w:w="710" w:type="pct"/>
            <w:shd w:val="clear" w:color="auto" w:fill="auto"/>
            <w:vAlign w:val="center"/>
          </w:tcPr>
          <w:p w14:paraId="6FE22972">
            <w:pPr>
              <w:widowControl/>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612" w:type="pct"/>
            <w:vMerge w:val="continue"/>
            <w:shd w:val="clear" w:color="auto" w:fill="auto"/>
            <w:vAlign w:val="center"/>
          </w:tcPr>
          <w:p w14:paraId="525CFCB7">
            <w:pPr>
              <w:widowControl/>
              <w:spacing w:line="240" w:lineRule="auto"/>
              <w:ind w:firstLine="0" w:firstLineChars="0"/>
              <w:jc w:val="center"/>
              <w:rPr>
                <w:color w:val="auto"/>
                <w:kern w:val="0"/>
                <w:sz w:val="21"/>
                <w:szCs w:val="21"/>
              </w:rPr>
            </w:pPr>
          </w:p>
        </w:tc>
        <w:tc>
          <w:tcPr>
            <w:tcW w:w="1318" w:type="pct"/>
            <w:shd w:val="clear" w:color="auto" w:fill="auto"/>
            <w:vAlign w:val="center"/>
          </w:tcPr>
          <w:p w14:paraId="5457CD86">
            <w:pPr>
              <w:widowControl/>
              <w:spacing w:line="240" w:lineRule="auto"/>
              <w:ind w:firstLine="0" w:firstLineChars="0"/>
              <w:jc w:val="center"/>
              <w:rPr>
                <w:color w:val="auto"/>
                <w:kern w:val="0"/>
                <w:sz w:val="21"/>
                <w:szCs w:val="21"/>
              </w:rPr>
            </w:pPr>
            <w:r>
              <w:rPr>
                <w:rFonts w:hint="eastAsia"/>
                <w:color w:val="auto"/>
                <w:kern w:val="0"/>
                <w:sz w:val="21"/>
                <w:szCs w:val="21"/>
              </w:rPr>
              <w:t>《恶臭污染物排放标准》（GB14554-93）表1中标准限值</w:t>
            </w:r>
          </w:p>
        </w:tc>
        <w:tc>
          <w:tcPr>
            <w:tcW w:w="711" w:type="pct"/>
            <w:shd w:val="clear" w:color="auto" w:fill="auto"/>
            <w:vAlign w:val="center"/>
          </w:tcPr>
          <w:p w14:paraId="47746DBD">
            <w:pPr>
              <w:widowControl/>
              <w:spacing w:line="240" w:lineRule="auto"/>
              <w:ind w:firstLine="0" w:firstLineChars="0"/>
              <w:jc w:val="center"/>
              <w:rPr>
                <w:color w:val="auto"/>
                <w:kern w:val="0"/>
                <w:sz w:val="21"/>
                <w:szCs w:val="21"/>
              </w:rPr>
            </w:pPr>
            <w:r>
              <w:rPr>
                <w:rFonts w:hint="eastAsia"/>
                <w:color w:val="auto"/>
                <w:kern w:val="0"/>
                <w:sz w:val="21"/>
                <w:szCs w:val="21"/>
              </w:rPr>
              <w:t>1.5</w:t>
            </w:r>
          </w:p>
        </w:tc>
        <w:tc>
          <w:tcPr>
            <w:tcW w:w="891" w:type="pct"/>
            <w:shd w:val="clear" w:color="auto" w:fill="auto"/>
            <w:vAlign w:val="center"/>
          </w:tcPr>
          <w:p w14:paraId="58A2C041">
            <w:pPr>
              <w:widowControl/>
              <w:spacing w:line="240" w:lineRule="auto"/>
              <w:ind w:firstLine="0" w:firstLineChars="0"/>
              <w:jc w:val="center"/>
              <w:rPr>
                <w:color w:val="auto"/>
                <w:kern w:val="0"/>
                <w:sz w:val="21"/>
                <w:szCs w:val="21"/>
              </w:rPr>
            </w:pPr>
            <w:r>
              <w:rPr>
                <w:rFonts w:hint="eastAsia"/>
                <w:color w:val="auto"/>
                <w:kern w:val="0"/>
                <w:sz w:val="21"/>
                <w:szCs w:val="21"/>
              </w:rPr>
              <w:t>0.560</w:t>
            </w:r>
          </w:p>
        </w:tc>
      </w:tr>
      <w:tr w14:paraId="1D492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7"/>
            <w:shd w:val="clear" w:color="auto" w:fill="auto"/>
            <w:vAlign w:val="center"/>
          </w:tcPr>
          <w:p w14:paraId="4CB02A07">
            <w:pPr>
              <w:widowControl/>
              <w:spacing w:line="240" w:lineRule="auto"/>
              <w:ind w:firstLine="0" w:firstLineChars="0"/>
              <w:jc w:val="center"/>
              <w:rPr>
                <w:b/>
                <w:bCs/>
                <w:color w:val="auto"/>
                <w:sz w:val="21"/>
                <w:szCs w:val="21"/>
              </w:rPr>
            </w:pPr>
            <w:r>
              <w:rPr>
                <w:b/>
                <w:bCs/>
                <w:color w:val="auto"/>
                <w:sz w:val="21"/>
                <w:szCs w:val="21"/>
              </w:rPr>
              <w:t>无组织排放总计</w:t>
            </w:r>
          </w:p>
        </w:tc>
      </w:tr>
      <w:tr w14:paraId="1A946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6" w:type="pct"/>
            <w:gridSpan w:val="2"/>
            <w:vMerge w:val="restart"/>
            <w:shd w:val="clear" w:color="auto" w:fill="auto"/>
            <w:vAlign w:val="center"/>
          </w:tcPr>
          <w:p w14:paraId="1AB6083E">
            <w:pPr>
              <w:widowControl/>
              <w:spacing w:line="240" w:lineRule="auto"/>
              <w:ind w:firstLine="0" w:firstLineChars="0"/>
              <w:jc w:val="center"/>
              <w:rPr>
                <w:color w:val="auto"/>
                <w:kern w:val="0"/>
                <w:sz w:val="21"/>
                <w:szCs w:val="21"/>
              </w:rPr>
            </w:pPr>
            <w:r>
              <w:rPr>
                <w:color w:val="auto"/>
                <w:kern w:val="0"/>
                <w:sz w:val="21"/>
                <w:szCs w:val="21"/>
              </w:rPr>
              <w:t>无组织排放总计</w:t>
            </w:r>
          </w:p>
        </w:tc>
        <w:tc>
          <w:tcPr>
            <w:tcW w:w="3352" w:type="pct"/>
            <w:gridSpan w:val="4"/>
            <w:shd w:val="clear" w:color="auto" w:fill="auto"/>
            <w:vAlign w:val="center"/>
          </w:tcPr>
          <w:p w14:paraId="5466EAF2">
            <w:pPr>
              <w:widowControl/>
              <w:spacing w:line="240" w:lineRule="auto"/>
              <w:ind w:firstLine="0" w:firstLineChars="0"/>
              <w:jc w:val="center"/>
              <w:rPr>
                <w:color w:val="auto"/>
                <w:kern w:val="0"/>
                <w:sz w:val="21"/>
                <w:szCs w:val="21"/>
              </w:rPr>
            </w:pPr>
            <w:r>
              <w:rPr>
                <w:color w:val="auto"/>
                <w:kern w:val="0"/>
                <w:sz w:val="21"/>
                <w:szCs w:val="21"/>
              </w:rPr>
              <w:t>颗粒物</w:t>
            </w:r>
          </w:p>
        </w:tc>
        <w:tc>
          <w:tcPr>
            <w:tcW w:w="891" w:type="pct"/>
            <w:shd w:val="clear" w:color="auto" w:fill="auto"/>
            <w:vAlign w:val="center"/>
          </w:tcPr>
          <w:p w14:paraId="0B501724">
            <w:pPr>
              <w:widowControl/>
              <w:spacing w:line="240" w:lineRule="auto"/>
              <w:ind w:firstLine="0" w:firstLineChars="0"/>
              <w:jc w:val="center"/>
              <w:rPr>
                <w:color w:val="auto"/>
                <w:sz w:val="21"/>
                <w:szCs w:val="21"/>
              </w:rPr>
            </w:pPr>
            <w:r>
              <w:rPr>
                <w:rFonts w:hint="eastAsia"/>
                <w:color w:val="auto"/>
                <w:sz w:val="21"/>
                <w:szCs w:val="21"/>
              </w:rPr>
              <w:t>3.449</w:t>
            </w:r>
          </w:p>
        </w:tc>
      </w:tr>
      <w:tr w14:paraId="3E190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6" w:type="pct"/>
            <w:gridSpan w:val="2"/>
            <w:vMerge w:val="continue"/>
            <w:shd w:val="clear" w:color="auto" w:fill="auto"/>
            <w:vAlign w:val="center"/>
          </w:tcPr>
          <w:p w14:paraId="4B8C66FB">
            <w:pPr>
              <w:widowControl/>
              <w:spacing w:line="240" w:lineRule="auto"/>
              <w:ind w:firstLine="0" w:firstLineChars="0"/>
              <w:jc w:val="center"/>
              <w:rPr>
                <w:color w:val="auto"/>
                <w:kern w:val="0"/>
                <w:sz w:val="21"/>
                <w:szCs w:val="21"/>
              </w:rPr>
            </w:pPr>
          </w:p>
        </w:tc>
        <w:tc>
          <w:tcPr>
            <w:tcW w:w="3352" w:type="pct"/>
            <w:gridSpan w:val="4"/>
            <w:shd w:val="clear" w:color="auto" w:fill="auto"/>
            <w:vAlign w:val="center"/>
          </w:tcPr>
          <w:p w14:paraId="64579B0D">
            <w:pPr>
              <w:widowControl/>
              <w:spacing w:line="240" w:lineRule="auto"/>
              <w:ind w:firstLine="0" w:firstLineChars="0"/>
              <w:jc w:val="center"/>
              <w:rPr>
                <w:color w:val="auto"/>
                <w:kern w:val="0"/>
                <w:sz w:val="21"/>
                <w:szCs w:val="21"/>
              </w:rPr>
            </w:pPr>
            <w:r>
              <w:rPr>
                <w:rFonts w:hint="eastAsia"/>
                <w:color w:val="auto"/>
                <w:kern w:val="0"/>
                <w:sz w:val="21"/>
                <w:szCs w:val="21"/>
              </w:rPr>
              <w:t>碱雾</w:t>
            </w:r>
          </w:p>
        </w:tc>
        <w:tc>
          <w:tcPr>
            <w:tcW w:w="891" w:type="pct"/>
            <w:shd w:val="clear" w:color="auto" w:fill="auto"/>
            <w:vAlign w:val="center"/>
          </w:tcPr>
          <w:p w14:paraId="0FE422D5">
            <w:pPr>
              <w:widowControl/>
              <w:spacing w:line="240" w:lineRule="auto"/>
              <w:ind w:firstLine="0" w:firstLineChars="0"/>
              <w:jc w:val="center"/>
              <w:rPr>
                <w:color w:val="auto"/>
                <w:sz w:val="21"/>
                <w:szCs w:val="21"/>
              </w:rPr>
            </w:pPr>
            <w:r>
              <w:rPr>
                <w:rFonts w:hint="eastAsia"/>
                <w:color w:val="auto"/>
                <w:sz w:val="21"/>
                <w:szCs w:val="21"/>
              </w:rPr>
              <w:t>0.993</w:t>
            </w:r>
          </w:p>
        </w:tc>
      </w:tr>
      <w:tr w14:paraId="52669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6" w:type="pct"/>
            <w:gridSpan w:val="2"/>
            <w:vMerge w:val="continue"/>
            <w:shd w:val="clear" w:color="auto" w:fill="auto"/>
            <w:vAlign w:val="center"/>
          </w:tcPr>
          <w:p w14:paraId="6165A054">
            <w:pPr>
              <w:widowControl/>
              <w:spacing w:line="240" w:lineRule="auto"/>
              <w:ind w:firstLine="0" w:firstLineChars="0"/>
              <w:jc w:val="center"/>
              <w:rPr>
                <w:color w:val="auto"/>
                <w:kern w:val="0"/>
                <w:sz w:val="21"/>
                <w:szCs w:val="21"/>
              </w:rPr>
            </w:pPr>
          </w:p>
        </w:tc>
        <w:tc>
          <w:tcPr>
            <w:tcW w:w="3352" w:type="pct"/>
            <w:gridSpan w:val="4"/>
            <w:shd w:val="clear" w:color="auto" w:fill="auto"/>
            <w:vAlign w:val="center"/>
          </w:tcPr>
          <w:p w14:paraId="12C4A916">
            <w:pPr>
              <w:widowControl/>
              <w:spacing w:line="240" w:lineRule="auto"/>
              <w:ind w:firstLine="0" w:firstLineChars="0"/>
              <w:jc w:val="center"/>
              <w:rPr>
                <w:color w:val="auto"/>
                <w:kern w:val="0"/>
                <w:sz w:val="21"/>
                <w:szCs w:val="21"/>
              </w:rPr>
            </w:pPr>
            <w:r>
              <w:rPr>
                <w:rFonts w:hint="eastAsia"/>
                <w:color w:val="auto"/>
                <w:kern w:val="0"/>
                <w:sz w:val="21"/>
                <w:szCs w:val="21"/>
              </w:rPr>
              <w:t>硫酸雾</w:t>
            </w:r>
          </w:p>
        </w:tc>
        <w:tc>
          <w:tcPr>
            <w:tcW w:w="891" w:type="pct"/>
            <w:shd w:val="clear" w:color="auto" w:fill="auto"/>
            <w:vAlign w:val="center"/>
          </w:tcPr>
          <w:p w14:paraId="1D975A0E">
            <w:pPr>
              <w:widowControl/>
              <w:spacing w:line="240" w:lineRule="auto"/>
              <w:ind w:firstLine="0" w:firstLineChars="0"/>
              <w:jc w:val="center"/>
              <w:rPr>
                <w:color w:val="auto"/>
                <w:sz w:val="21"/>
                <w:szCs w:val="21"/>
              </w:rPr>
            </w:pPr>
            <w:r>
              <w:rPr>
                <w:rFonts w:hint="eastAsia"/>
                <w:color w:val="auto"/>
                <w:sz w:val="21"/>
                <w:szCs w:val="21"/>
              </w:rPr>
              <w:t>2.095</w:t>
            </w:r>
          </w:p>
        </w:tc>
      </w:tr>
      <w:tr w14:paraId="6255C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6" w:type="pct"/>
            <w:gridSpan w:val="2"/>
            <w:vMerge w:val="continue"/>
            <w:shd w:val="clear" w:color="auto" w:fill="auto"/>
            <w:vAlign w:val="center"/>
          </w:tcPr>
          <w:p w14:paraId="442B884A">
            <w:pPr>
              <w:widowControl/>
              <w:spacing w:line="240" w:lineRule="auto"/>
              <w:ind w:firstLine="0" w:firstLineChars="0"/>
              <w:jc w:val="center"/>
              <w:rPr>
                <w:color w:val="auto"/>
                <w:kern w:val="0"/>
                <w:sz w:val="21"/>
                <w:szCs w:val="21"/>
              </w:rPr>
            </w:pPr>
          </w:p>
        </w:tc>
        <w:tc>
          <w:tcPr>
            <w:tcW w:w="3352" w:type="pct"/>
            <w:gridSpan w:val="4"/>
            <w:shd w:val="clear" w:color="auto" w:fill="auto"/>
            <w:vAlign w:val="center"/>
          </w:tcPr>
          <w:p w14:paraId="551865C2">
            <w:pPr>
              <w:widowControl/>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891" w:type="pct"/>
            <w:shd w:val="clear" w:color="auto" w:fill="auto"/>
            <w:vAlign w:val="center"/>
          </w:tcPr>
          <w:p w14:paraId="2404AC61">
            <w:pPr>
              <w:widowControl/>
              <w:spacing w:line="240" w:lineRule="auto"/>
              <w:ind w:firstLine="0" w:firstLineChars="0"/>
              <w:jc w:val="center"/>
              <w:rPr>
                <w:color w:val="auto"/>
                <w:sz w:val="21"/>
                <w:szCs w:val="21"/>
              </w:rPr>
            </w:pPr>
            <w:r>
              <w:rPr>
                <w:rFonts w:hint="eastAsia"/>
                <w:color w:val="auto"/>
                <w:sz w:val="21"/>
                <w:szCs w:val="21"/>
              </w:rPr>
              <w:t>0.560</w:t>
            </w:r>
          </w:p>
        </w:tc>
      </w:tr>
    </w:tbl>
    <w:p w14:paraId="0F510280">
      <w:pPr>
        <w:ind w:firstLine="480"/>
        <w:rPr>
          <w:color w:val="auto"/>
        </w:rPr>
      </w:pPr>
      <w:r>
        <w:rPr>
          <w:color w:val="auto"/>
        </w:rPr>
        <w:t>本项目大气污染物排放量包括项目各有组织排放源在正常排放条件下的预测排放量之和，具体见表</w:t>
      </w:r>
      <w:r>
        <w:rPr>
          <w:rFonts w:hint="eastAsia"/>
          <w:color w:val="auto"/>
        </w:rPr>
        <w:t>6</w:t>
      </w:r>
      <w:r>
        <w:rPr>
          <w:color w:val="auto"/>
        </w:rPr>
        <w:t>.2</w:t>
      </w:r>
      <w:r>
        <w:rPr>
          <w:rFonts w:hint="eastAsia"/>
          <w:color w:val="auto"/>
        </w:rPr>
        <w:t>.1</w:t>
      </w:r>
      <w:r>
        <w:rPr>
          <w:color w:val="auto"/>
        </w:rPr>
        <w:t>-10。</w:t>
      </w:r>
    </w:p>
    <w:p w14:paraId="31D98EF0">
      <w:pPr>
        <w:pStyle w:val="1209"/>
        <w:spacing w:before="0" w:line="240" w:lineRule="auto"/>
        <w:ind w:firstLine="0" w:firstLineChars="0"/>
        <w:jc w:val="center"/>
        <w:rPr>
          <w:b/>
          <w:bCs/>
          <w:color w:val="auto"/>
        </w:rPr>
      </w:pPr>
      <w:r>
        <w:rPr>
          <w:b/>
          <w:bCs/>
          <w:color w:val="auto"/>
        </w:rPr>
        <w:t>表</w:t>
      </w:r>
      <w:r>
        <w:rPr>
          <w:rFonts w:hint="eastAsia"/>
          <w:b/>
          <w:bCs/>
          <w:color w:val="auto"/>
        </w:rPr>
        <w:t>6.</w:t>
      </w:r>
      <w:r>
        <w:rPr>
          <w:b/>
          <w:bCs/>
          <w:color w:val="auto"/>
        </w:rPr>
        <w:t>2</w:t>
      </w:r>
      <w:r>
        <w:rPr>
          <w:rFonts w:hint="eastAsia"/>
          <w:b/>
          <w:bCs/>
          <w:color w:val="auto"/>
        </w:rPr>
        <w:t>.1</w:t>
      </w:r>
      <w:r>
        <w:rPr>
          <w:b/>
          <w:bCs/>
          <w:color w:val="auto"/>
        </w:rPr>
        <w:t>-10  大气污染物年排放量核算表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3929"/>
        <w:gridCol w:w="3734"/>
      </w:tblGrid>
      <w:tr w14:paraId="4BABF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024D6E00">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2089" w:type="pct"/>
            <w:shd w:val="clear" w:color="auto" w:fill="auto"/>
            <w:vAlign w:val="center"/>
          </w:tcPr>
          <w:p w14:paraId="6F819D2F">
            <w:pPr>
              <w:widowControl/>
              <w:spacing w:line="240" w:lineRule="auto"/>
              <w:ind w:firstLine="0" w:firstLineChars="0"/>
              <w:jc w:val="center"/>
              <w:rPr>
                <w:b/>
                <w:bCs/>
                <w:color w:val="auto"/>
                <w:kern w:val="0"/>
                <w:sz w:val="21"/>
                <w:szCs w:val="21"/>
              </w:rPr>
            </w:pPr>
            <w:r>
              <w:rPr>
                <w:b/>
                <w:bCs/>
                <w:color w:val="auto"/>
                <w:kern w:val="0"/>
                <w:sz w:val="21"/>
                <w:szCs w:val="21"/>
              </w:rPr>
              <w:t>污染物</w:t>
            </w:r>
          </w:p>
        </w:tc>
        <w:tc>
          <w:tcPr>
            <w:tcW w:w="1985" w:type="pct"/>
            <w:shd w:val="clear" w:color="auto" w:fill="auto"/>
            <w:vAlign w:val="center"/>
          </w:tcPr>
          <w:p w14:paraId="5A781434">
            <w:pPr>
              <w:widowControl/>
              <w:spacing w:line="240" w:lineRule="auto"/>
              <w:ind w:firstLine="0" w:firstLineChars="0"/>
              <w:jc w:val="center"/>
              <w:rPr>
                <w:b/>
                <w:bCs/>
                <w:color w:val="auto"/>
                <w:kern w:val="0"/>
                <w:sz w:val="21"/>
                <w:szCs w:val="21"/>
              </w:rPr>
            </w:pPr>
            <w:r>
              <w:rPr>
                <w:b/>
                <w:bCs/>
                <w:color w:val="auto"/>
                <w:kern w:val="0"/>
                <w:sz w:val="21"/>
                <w:szCs w:val="21"/>
              </w:rPr>
              <w:t>年排放量/（t/a）</w:t>
            </w:r>
          </w:p>
        </w:tc>
      </w:tr>
      <w:tr w14:paraId="4DC9B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1E3CD1E6">
            <w:pPr>
              <w:widowControl/>
              <w:spacing w:line="240" w:lineRule="auto"/>
              <w:ind w:firstLine="0" w:firstLineChars="0"/>
              <w:jc w:val="center"/>
              <w:rPr>
                <w:color w:val="auto"/>
                <w:kern w:val="0"/>
                <w:sz w:val="21"/>
                <w:szCs w:val="21"/>
              </w:rPr>
            </w:pPr>
            <w:r>
              <w:rPr>
                <w:color w:val="auto"/>
                <w:kern w:val="0"/>
                <w:sz w:val="21"/>
                <w:szCs w:val="21"/>
              </w:rPr>
              <w:t>1</w:t>
            </w:r>
          </w:p>
        </w:tc>
        <w:tc>
          <w:tcPr>
            <w:tcW w:w="2089" w:type="pct"/>
            <w:shd w:val="clear" w:color="auto" w:fill="auto"/>
            <w:vAlign w:val="center"/>
          </w:tcPr>
          <w:p w14:paraId="1E4D2F1C">
            <w:pPr>
              <w:widowControl/>
              <w:spacing w:line="240" w:lineRule="auto"/>
              <w:ind w:firstLine="0" w:firstLineChars="0"/>
              <w:jc w:val="center"/>
              <w:rPr>
                <w:color w:val="auto"/>
                <w:kern w:val="0"/>
                <w:sz w:val="21"/>
                <w:szCs w:val="21"/>
              </w:rPr>
            </w:pPr>
            <w:r>
              <w:rPr>
                <w:color w:val="auto"/>
                <w:kern w:val="0"/>
                <w:sz w:val="21"/>
                <w:szCs w:val="21"/>
              </w:rPr>
              <w:t>颗粒物</w:t>
            </w:r>
          </w:p>
        </w:tc>
        <w:tc>
          <w:tcPr>
            <w:tcW w:w="1985" w:type="pct"/>
            <w:shd w:val="clear" w:color="auto" w:fill="auto"/>
            <w:vAlign w:val="bottom"/>
          </w:tcPr>
          <w:p w14:paraId="121514C0">
            <w:pPr>
              <w:widowControl/>
              <w:spacing w:line="240" w:lineRule="auto"/>
              <w:ind w:firstLine="0" w:firstLineChars="0"/>
              <w:jc w:val="center"/>
              <w:rPr>
                <w:color w:val="auto"/>
                <w:kern w:val="0"/>
                <w:sz w:val="21"/>
                <w:szCs w:val="21"/>
              </w:rPr>
            </w:pPr>
            <w:r>
              <w:rPr>
                <w:rFonts w:hint="eastAsia"/>
                <w:color w:val="auto"/>
                <w:kern w:val="0"/>
                <w:sz w:val="21"/>
                <w:szCs w:val="21"/>
              </w:rPr>
              <w:t>5.297</w:t>
            </w:r>
          </w:p>
        </w:tc>
      </w:tr>
      <w:tr w14:paraId="36001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4EDD7235">
            <w:pPr>
              <w:widowControl/>
              <w:spacing w:line="240" w:lineRule="auto"/>
              <w:ind w:firstLine="0" w:firstLineChars="0"/>
              <w:jc w:val="center"/>
              <w:rPr>
                <w:color w:val="auto"/>
                <w:kern w:val="0"/>
                <w:sz w:val="21"/>
                <w:szCs w:val="21"/>
              </w:rPr>
            </w:pPr>
            <w:r>
              <w:rPr>
                <w:color w:val="auto"/>
                <w:kern w:val="0"/>
                <w:sz w:val="21"/>
                <w:szCs w:val="21"/>
              </w:rPr>
              <w:t>2</w:t>
            </w:r>
          </w:p>
        </w:tc>
        <w:tc>
          <w:tcPr>
            <w:tcW w:w="2089" w:type="pct"/>
            <w:shd w:val="clear" w:color="auto" w:fill="auto"/>
            <w:vAlign w:val="center"/>
          </w:tcPr>
          <w:p w14:paraId="207342E2">
            <w:pPr>
              <w:widowControl/>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2</w:t>
            </w:r>
          </w:p>
        </w:tc>
        <w:tc>
          <w:tcPr>
            <w:tcW w:w="1985" w:type="pct"/>
            <w:shd w:val="clear" w:color="auto" w:fill="auto"/>
            <w:vAlign w:val="bottom"/>
          </w:tcPr>
          <w:p w14:paraId="00D99399">
            <w:pPr>
              <w:widowControl/>
              <w:spacing w:line="240" w:lineRule="auto"/>
              <w:ind w:firstLine="0" w:firstLineChars="0"/>
              <w:jc w:val="center"/>
              <w:rPr>
                <w:color w:val="auto"/>
                <w:kern w:val="0"/>
                <w:sz w:val="21"/>
                <w:szCs w:val="21"/>
              </w:rPr>
            </w:pPr>
            <w:r>
              <w:rPr>
                <w:rFonts w:hint="eastAsia"/>
                <w:color w:val="auto"/>
                <w:kern w:val="0"/>
                <w:sz w:val="21"/>
                <w:szCs w:val="21"/>
              </w:rPr>
              <w:t>0.768</w:t>
            </w:r>
          </w:p>
        </w:tc>
      </w:tr>
      <w:tr w14:paraId="06AE1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3B89AA61">
            <w:pPr>
              <w:widowControl/>
              <w:spacing w:line="240" w:lineRule="auto"/>
              <w:ind w:firstLine="0" w:firstLineChars="0"/>
              <w:jc w:val="center"/>
              <w:rPr>
                <w:color w:val="auto"/>
                <w:kern w:val="0"/>
                <w:sz w:val="21"/>
                <w:szCs w:val="21"/>
              </w:rPr>
            </w:pPr>
            <w:r>
              <w:rPr>
                <w:color w:val="auto"/>
                <w:kern w:val="0"/>
                <w:sz w:val="21"/>
                <w:szCs w:val="21"/>
              </w:rPr>
              <w:t>3</w:t>
            </w:r>
          </w:p>
        </w:tc>
        <w:tc>
          <w:tcPr>
            <w:tcW w:w="2089" w:type="pct"/>
            <w:shd w:val="clear" w:color="auto" w:fill="auto"/>
            <w:vAlign w:val="center"/>
          </w:tcPr>
          <w:p w14:paraId="2B5A26A7">
            <w:pPr>
              <w:widowControl/>
              <w:spacing w:line="240" w:lineRule="auto"/>
              <w:ind w:firstLine="0" w:firstLineChars="0"/>
              <w:jc w:val="center"/>
              <w:rPr>
                <w:color w:val="auto"/>
                <w:kern w:val="0"/>
                <w:sz w:val="21"/>
                <w:szCs w:val="21"/>
              </w:rPr>
            </w:pPr>
            <w:r>
              <w:rPr>
                <w:color w:val="auto"/>
                <w:spacing w:val="10"/>
                <w:sz w:val="21"/>
                <w:szCs w:val="21"/>
              </w:rPr>
              <w:t>NOx</w:t>
            </w:r>
          </w:p>
        </w:tc>
        <w:tc>
          <w:tcPr>
            <w:tcW w:w="1985" w:type="pct"/>
            <w:shd w:val="clear" w:color="auto" w:fill="auto"/>
            <w:vAlign w:val="bottom"/>
          </w:tcPr>
          <w:p w14:paraId="3C899F39">
            <w:pPr>
              <w:widowControl/>
              <w:spacing w:line="240" w:lineRule="auto"/>
              <w:ind w:firstLine="0" w:firstLineChars="0"/>
              <w:jc w:val="center"/>
              <w:rPr>
                <w:color w:val="auto"/>
                <w:sz w:val="21"/>
                <w:szCs w:val="21"/>
              </w:rPr>
            </w:pPr>
            <w:r>
              <w:rPr>
                <w:rFonts w:hint="eastAsia"/>
                <w:color w:val="auto"/>
                <w:sz w:val="21"/>
                <w:szCs w:val="21"/>
              </w:rPr>
              <w:t>7.183</w:t>
            </w:r>
          </w:p>
        </w:tc>
      </w:tr>
      <w:tr w14:paraId="71D8A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60A6293F">
            <w:pPr>
              <w:widowControl/>
              <w:spacing w:line="240" w:lineRule="auto"/>
              <w:ind w:firstLine="0" w:firstLineChars="0"/>
              <w:jc w:val="center"/>
              <w:rPr>
                <w:color w:val="auto"/>
                <w:kern w:val="0"/>
                <w:sz w:val="21"/>
                <w:szCs w:val="21"/>
              </w:rPr>
            </w:pPr>
            <w:r>
              <w:rPr>
                <w:color w:val="auto"/>
                <w:kern w:val="0"/>
                <w:sz w:val="21"/>
                <w:szCs w:val="21"/>
              </w:rPr>
              <w:t>4</w:t>
            </w:r>
          </w:p>
        </w:tc>
        <w:tc>
          <w:tcPr>
            <w:tcW w:w="2089" w:type="pct"/>
            <w:shd w:val="clear" w:color="auto" w:fill="auto"/>
            <w:vAlign w:val="center"/>
          </w:tcPr>
          <w:p w14:paraId="61894AC6">
            <w:pPr>
              <w:widowControl/>
              <w:spacing w:line="240" w:lineRule="auto"/>
              <w:ind w:firstLine="0" w:firstLineChars="0"/>
              <w:jc w:val="center"/>
              <w:rPr>
                <w:color w:val="auto"/>
                <w:kern w:val="0"/>
                <w:sz w:val="21"/>
                <w:szCs w:val="21"/>
              </w:rPr>
            </w:pPr>
            <w:r>
              <w:rPr>
                <w:rFonts w:hint="eastAsia"/>
                <w:color w:val="auto"/>
                <w:kern w:val="0"/>
                <w:sz w:val="21"/>
                <w:szCs w:val="21"/>
              </w:rPr>
              <w:t>碱雾</w:t>
            </w:r>
          </w:p>
        </w:tc>
        <w:tc>
          <w:tcPr>
            <w:tcW w:w="1985" w:type="pct"/>
            <w:shd w:val="clear" w:color="auto" w:fill="auto"/>
            <w:vAlign w:val="bottom"/>
          </w:tcPr>
          <w:p w14:paraId="6B06758E">
            <w:pPr>
              <w:widowControl/>
              <w:spacing w:line="240" w:lineRule="auto"/>
              <w:ind w:firstLine="0" w:firstLineChars="0"/>
              <w:jc w:val="center"/>
              <w:rPr>
                <w:color w:val="auto"/>
                <w:kern w:val="0"/>
                <w:sz w:val="21"/>
                <w:szCs w:val="21"/>
              </w:rPr>
            </w:pPr>
            <w:r>
              <w:rPr>
                <w:rFonts w:hint="eastAsia"/>
                <w:color w:val="auto"/>
                <w:kern w:val="0"/>
                <w:sz w:val="21"/>
                <w:szCs w:val="21"/>
              </w:rPr>
              <w:t>2.880</w:t>
            </w:r>
          </w:p>
        </w:tc>
      </w:tr>
      <w:tr w14:paraId="31C3D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200F9395">
            <w:pPr>
              <w:widowControl/>
              <w:spacing w:line="240" w:lineRule="auto"/>
              <w:ind w:firstLine="0" w:firstLineChars="0"/>
              <w:jc w:val="center"/>
              <w:rPr>
                <w:color w:val="auto"/>
                <w:kern w:val="0"/>
                <w:sz w:val="21"/>
                <w:szCs w:val="21"/>
              </w:rPr>
            </w:pPr>
            <w:r>
              <w:rPr>
                <w:color w:val="auto"/>
                <w:kern w:val="0"/>
                <w:sz w:val="21"/>
                <w:szCs w:val="21"/>
              </w:rPr>
              <w:t>5</w:t>
            </w:r>
          </w:p>
        </w:tc>
        <w:tc>
          <w:tcPr>
            <w:tcW w:w="2089" w:type="pct"/>
            <w:shd w:val="clear" w:color="auto" w:fill="auto"/>
            <w:vAlign w:val="center"/>
          </w:tcPr>
          <w:p w14:paraId="109D8F94">
            <w:pPr>
              <w:widowControl/>
              <w:spacing w:line="240" w:lineRule="auto"/>
              <w:ind w:firstLine="0" w:firstLineChars="0"/>
              <w:jc w:val="center"/>
              <w:rPr>
                <w:color w:val="auto"/>
                <w:kern w:val="0"/>
                <w:sz w:val="21"/>
                <w:szCs w:val="21"/>
              </w:rPr>
            </w:pPr>
            <w:r>
              <w:rPr>
                <w:rFonts w:hint="eastAsia"/>
                <w:color w:val="auto"/>
                <w:kern w:val="0"/>
                <w:sz w:val="21"/>
                <w:szCs w:val="21"/>
              </w:rPr>
              <w:t>硫酸雾</w:t>
            </w:r>
          </w:p>
        </w:tc>
        <w:tc>
          <w:tcPr>
            <w:tcW w:w="1985" w:type="pct"/>
            <w:shd w:val="clear" w:color="auto" w:fill="auto"/>
            <w:vAlign w:val="bottom"/>
          </w:tcPr>
          <w:p w14:paraId="0799C915">
            <w:pPr>
              <w:widowControl/>
              <w:spacing w:line="240" w:lineRule="auto"/>
              <w:ind w:firstLine="0" w:firstLineChars="0"/>
              <w:jc w:val="center"/>
              <w:rPr>
                <w:color w:val="auto"/>
                <w:sz w:val="21"/>
                <w:szCs w:val="21"/>
              </w:rPr>
            </w:pPr>
            <w:r>
              <w:rPr>
                <w:rFonts w:hint="eastAsia"/>
                <w:color w:val="auto"/>
                <w:sz w:val="21"/>
                <w:szCs w:val="21"/>
              </w:rPr>
              <w:t>6.075</w:t>
            </w:r>
          </w:p>
        </w:tc>
      </w:tr>
      <w:tr w14:paraId="3B420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 w:type="pct"/>
            <w:shd w:val="clear" w:color="auto" w:fill="auto"/>
            <w:vAlign w:val="center"/>
          </w:tcPr>
          <w:p w14:paraId="409455D8">
            <w:pPr>
              <w:widowControl/>
              <w:spacing w:line="240" w:lineRule="auto"/>
              <w:ind w:firstLine="0" w:firstLineChars="0"/>
              <w:jc w:val="center"/>
              <w:rPr>
                <w:color w:val="auto"/>
                <w:kern w:val="0"/>
                <w:sz w:val="21"/>
                <w:szCs w:val="21"/>
              </w:rPr>
            </w:pPr>
            <w:r>
              <w:rPr>
                <w:rFonts w:hint="eastAsia"/>
                <w:color w:val="auto"/>
                <w:kern w:val="0"/>
                <w:sz w:val="21"/>
                <w:szCs w:val="21"/>
              </w:rPr>
              <w:t>6</w:t>
            </w:r>
          </w:p>
        </w:tc>
        <w:tc>
          <w:tcPr>
            <w:tcW w:w="2089" w:type="pct"/>
            <w:shd w:val="clear" w:color="auto" w:fill="auto"/>
            <w:vAlign w:val="center"/>
          </w:tcPr>
          <w:p w14:paraId="15AE229A">
            <w:pPr>
              <w:widowControl/>
              <w:spacing w:line="240" w:lineRule="auto"/>
              <w:ind w:firstLine="0" w:firstLineChars="0"/>
              <w:jc w:val="center"/>
              <w:rPr>
                <w:color w:val="auto"/>
                <w:kern w:val="0"/>
                <w:sz w:val="21"/>
                <w:szCs w:val="21"/>
              </w:rPr>
            </w:pPr>
            <w:r>
              <w:rPr>
                <w:rFonts w:hint="eastAsia"/>
                <w:color w:val="auto"/>
                <w:kern w:val="0"/>
                <w:sz w:val="21"/>
                <w:szCs w:val="21"/>
              </w:rPr>
              <w:t>NH</w:t>
            </w:r>
            <w:r>
              <w:rPr>
                <w:rFonts w:hint="eastAsia"/>
                <w:color w:val="auto"/>
                <w:kern w:val="0"/>
                <w:sz w:val="21"/>
                <w:szCs w:val="21"/>
                <w:vertAlign w:val="subscript"/>
              </w:rPr>
              <w:t>3</w:t>
            </w:r>
          </w:p>
        </w:tc>
        <w:tc>
          <w:tcPr>
            <w:tcW w:w="1985" w:type="pct"/>
            <w:shd w:val="clear" w:color="auto" w:fill="auto"/>
            <w:vAlign w:val="bottom"/>
          </w:tcPr>
          <w:p w14:paraId="54722D55">
            <w:pPr>
              <w:widowControl/>
              <w:spacing w:line="240" w:lineRule="auto"/>
              <w:ind w:firstLine="0" w:firstLineChars="0"/>
              <w:jc w:val="center"/>
              <w:rPr>
                <w:color w:val="auto"/>
                <w:sz w:val="21"/>
                <w:szCs w:val="21"/>
              </w:rPr>
            </w:pPr>
            <w:r>
              <w:rPr>
                <w:rFonts w:hint="eastAsia"/>
                <w:color w:val="auto"/>
                <w:sz w:val="21"/>
                <w:szCs w:val="21"/>
              </w:rPr>
              <w:t>1.095</w:t>
            </w:r>
          </w:p>
        </w:tc>
      </w:tr>
    </w:tbl>
    <w:p w14:paraId="6F6D4B49">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.2.1.</w:t>
      </w:r>
      <w:r>
        <w:rPr>
          <w:rFonts w:hint="eastAsia"/>
          <w:b/>
          <w:bCs/>
          <w:color w:val="auto"/>
          <w:szCs w:val="32"/>
        </w:rPr>
        <w:t>2 异味影响分析</w:t>
      </w:r>
    </w:p>
    <w:p w14:paraId="4EEE12F3">
      <w:pPr>
        <w:ind w:firstLine="480"/>
        <w:rPr>
          <w:color w:val="auto"/>
        </w:rPr>
      </w:pPr>
      <w:r>
        <w:rPr>
          <w:rFonts w:hint="eastAsia"/>
          <w:color w:val="auto"/>
        </w:rPr>
        <w:t>本项目异味主要来源于模具氮化过程产生的氨气，故对项目排放的异味物质在厂界处的影响进行预测分析，将污染物的预测值与嗅阈值进行比较，分析废气对周边大气环境的影响。</w:t>
      </w:r>
    </w:p>
    <w:p w14:paraId="1E59CF9E">
      <w:pPr>
        <w:ind w:firstLine="480"/>
        <w:rPr>
          <w:color w:val="auto"/>
        </w:rPr>
      </w:pPr>
      <w:r>
        <w:rPr>
          <w:rFonts w:hint="eastAsia"/>
          <w:color w:val="auto"/>
        </w:rPr>
        <w:t>本项目正常工况下氨气的有组织排放污染源强见表6.2.1-11，无组织排放源强见表6.2.1-12。非正常工况下污染源强见表6.2.1-13，采用估算模式（AERSCREEN）计算结果如下：</w:t>
      </w:r>
    </w:p>
    <w:p w14:paraId="767EA3FB">
      <w:pPr>
        <w:spacing w:line="240" w:lineRule="auto"/>
        <w:ind w:firstLine="0" w:firstLineChars="0"/>
        <w:jc w:val="center"/>
        <w:rPr>
          <w:b/>
          <w:bCs/>
          <w:color w:val="auto"/>
        </w:rPr>
      </w:pPr>
      <w:r>
        <w:rPr>
          <w:rFonts w:hint="eastAsia"/>
          <w:b/>
          <w:bCs/>
          <w:color w:val="auto"/>
        </w:rPr>
        <w:t>表6.2.1-11  厂界外异味影响分析一览表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298"/>
        <w:gridCol w:w="1725"/>
        <w:gridCol w:w="1219"/>
        <w:gridCol w:w="1219"/>
        <w:gridCol w:w="1336"/>
        <w:gridCol w:w="1299"/>
      </w:tblGrid>
      <w:tr w14:paraId="52100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6" w:type="dxa"/>
            <w:vMerge w:val="restart"/>
            <w:tcBorders>
              <w:tl2br w:val="nil"/>
              <w:tr2bl w:val="nil"/>
            </w:tcBorders>
            <w:vAlign w:val="center"/>
          </w:tcPr>
          <w:p w14:paraId="7365CE3D">
            <w:pPr>
              <w:spacing w:line="240" w:lineRule="auto"/>
              <w:ind w:firstLine="0" w:firstLineChars="0"/>
              <w:jc w:val="center"/>
              <w:rPr>
                <w:b/>
                <w:bCs/>
                <w:color w:val="auto"/>
                <w:sz w:val="21"/>
                <w:szCs w:val="21"/>
              </w:rPr>
            </w:pPr>
            <w:r>
              <w:rPr>
                <w:rFonts w:hint="eastAsia"/>
                <w:b/>
                <w:bCs/>
                <w:color w:val="auto"/>
                <w:sz w:val="21"/>
                <w:szCs w:val="21"/>
              </w:rPr>
              <w:t>预测因子</w:t>
            </w:r>
          </w:p>
        </w:tc>
        <w:tc>
          <w:tcPr>
            <w:tcW w:w="1312" w:type="dxa"/>
            <w:vMerge w:val="restart"/>
            <w:tcBorders>
              <w:tl2br w:val="nil"/>
              <w:tr2bl w:val="nil"/>
            </w:tcBorders>
            <w:vAlign w:val="center"/>
          </w:tcPr>
          <w:p w14:paraId="23A5F652">
            <w:pPr>
              <w:spacing w:line="240" w:lineRule="auto"/>
              <w:ind w:firstLine="0" w:firstLineChars="0"/>
              <w:jc w:val="center"/>
              <w:rPr>
                <w:b/>
                <w:bCs/>
                <w:color w:val="auto"/>
                <w:sz w:val="21"/>
                <w:szCs w:val="21"/>
              </w:rPr>
            </w:pPr>
            <w:r>
              <w:rPr>
                <w:rFonts w:hint="eastAsia"/>
                <w:b/>
                <w:bCs/>
                <w:color w:val="auto"/>
                <w:sz w:val="21"/>
                <w:szCs w:val="21"/>
              </w:rPr>
              <w:t>工况条件</w:t>
            </w:r>
          </w:p>
        </w:tc>
        <w:tc>
          <w:tcPr>
            <w:tcW w:w="4123" w:type="dxa"/>
            <w:gridSpan w:val="3"/>
            <w:tcBorders>
              <w:tl2br w:val="nil"/>
              <w:tr2bl w:val="nil"/>
            </w:tcBorders>
            <w:vAlign w:val="center"/>
          </w:tcPr>
          <w:p w14:paraId="30E75A84">
            <w:pPr>
              <w:spacing w:line="240" w:lineRule="auto"/>
              <w:ind w:firstLine="0" w:firstLineChars="0"/>
              <w:jc w:val="center"/>
              <w:rPr>
                <w:b/>
                <w:bCs/>
                <w:color w:val="auto"/>
                <w:sz w:val="21"/>
                <w:szCs w:val="21"/>
              </w:rPr>
            </w:pPr>
            <w:r>
              <w:rPr>
                <w:rFonts w:hint="eastAsia"/>
                <w:b/>
                <w:bCs/>
                <w:color w:val="auto"/>
                <w:sz w:val="21"/>
                <w:szCs w:val="21"/>
              </w:rPr>
              <w:t>厂界外最大预测值（mg/m</w:t>
            </w:r>
            <w:r>
              <w:rPr>
                <w:rFonts w:hint="eastAsia"/>
                <w:b/>
                <w:bCs/>
                <w:color w:val="auto"/>
                <w:sz w:val="21"/>
                <w:szCs w:val="21"/>
                <w:vertAlign w:val="superscript"/>
              </w:rPr>
              <w:t>3</w:t>
            </w:r>
            <w:r>
              <w:rPr>
                <w:rFonts w:hint="eastAsia"/>
                <w:b/>
                <w:bCs/>
                <w:color w:val="auto"/>
                <w:sz w:val="21"/>
                <w:szCs w:val="21"/>
              </w:rPr>
              <w:t>）</w:t>
            </w:r>
          </w:p>
        </w:tc>
        <w:tc>
          <w:tcPr>
            <w:tcW w:w="1338" w:type="dxa"/>
            <w:vMerge w:val="restart"/>
            <w:tcBorders>
              <w:tl2br w:val="nil"/>
              <w:tr2bl w:val="nil"/>
            </w:tcBorders>
            <w:vAlign w:val="center"/>
          </w:tcPr>
          <w:p w14:paraId="368852AB">
            <w:pPr>
              <w:spacing w:line="240" w:lineRule="auto"/>
              <w:ind w:firstLine="0" w:firstLineChars="0"/>
              <w:jc w:val="center"/>
              <w:rPr>
                <w:b/>
                <w:bCs/>
                <w:color w:val="auto"/>
                <w:sz w:val="21"/>
                <w:szCs w:val="21"/>
              </w:rPr>
            </w:pPr>
            <w:r>
              <w:rPr>
                <w:rFonts w:hint="eastAsia"/>
                <w:b/>
                <w:bCs/>
                <w:color w:val="auto"/>
                <w:sz w:val="21"/>
                <w:szCs w:val="21"/>
              </w:rPr>
              <w:t>嗅阈值（mg/m</w:t>
            </w:r>
            <w:r>
              <w:rPr>
                <w:rFonts w:hint="eastAsia"/>
                <w:b/>
                <w:bCs/>
                <w:color w:val="auto"/>
                <w:sz w:val="21"/>
                <w:szCs w:val="21"/>
                <w:vertAlign w:val="superscript"/>
              </w:rPr>
              <w:t>3</w:t>
            </w:r>
            <w:r>
              <w:rPr>
                <w:rFonts w:hint="eastAsia"/>
                <w:b/>
                <w:bCs/>
                <w:color w:val="auto"/>
                <w:sz w:val="21"/>
                <w:szCs w:val="21"/>
              </w:rPr>
              <w:t>）</w:t>
            </w:r>
          </w:p>
        </w:tc>
        <w:tc>
          <w:tcPr>
            <w:tcW w:w="1312" w:type="dxa"/>
            <w:vMerge w:val="restart"/>
            <w:tcBorders>
              <w:tl2br w:val="nil"/>
              <w:tr2bl w:val="nil"/>
            </w:tcBorders>
            <w:vAlign w:val="center"/>
          </w:tcPr>
          <w:p w14:paraId="26D8465C">
            <w:pPr>
              <w:spacing w:line="240" w:lineRule="auto"/>
              <w:ind w:firstLine="0" w:firstLineChars="0"/>
              <w:jc w:val="center"/>
              <w:rPr>
                <w:b/>
                <w:bCs/>
                <w:color w:val="auto"/>
                <w:sz w:val="21"/>
                <w:szCs w:val="21"/>
              </w:rPr>
            </w:pPr>
            <w:r>
              <w:rPr>
                <w:rFonts w:hint="eastAsia"/>
                <w:b/>
                <w:bCs/>
                <w:color w:val="auto"/>
                <w:sz w:val="21"/>
                <w:szCs w:val="21"/>
              </w:rPr>
              <w:t>是否超过嗅阈值</w:t>
            </w:r>
          </w:p>
        </w:tc>
      </w:tr>
      <w:tr w14:paraId="28215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6" w:type="dxa"/>
            <w:vMerge w:val="continue"/>
            <w:tcBorders>
              <w:tl2br w:val="nil"/>
              <w:tr2bl w:val="nil"/>
            </w:tcBorders>
            <w:vAlign w:val="center"/>
          </w:tcPr>
          <w:p w14:paraId="4B25C386">
            <w:pPr>
              <w:spacing w:line="240" w:lineRule="auto"/>
              <w:ind w:firstLine="0" w:firstLineChars="0"/>
              <w:jc w:val="center"/>
              <w:rPr>
                <w:b/>
                <w:bCs/>
                <w:color w:val="auto"/>
                <w:sz w:val="21"/>
                <w:szCs w:val="21"/>
              </w:rPr>
            </w:pPr>
          </w:p>
        </w:tc>
        <w:tc>
          <w:tcPr>
            <w:tcW w:w="1312" w:type="dxa"/>
            <w:vMerge w:val="continue"/>
            <w:tcBorders>
              <w:tl2br w:val="nil"/>
              <w:tr2bl w:val="nil"/>
            </w:tcBorders>
            <w:vAlign w:val="center"/>
          </w:tcPr>
          <w:p w14:paraId="02CAC5E6">
            <w:pPr>
              <w:spacing w:line="240" w:lineRule="auto"/>
              <w:ind w:firstLine="0" w:firstLineChars="0"/>
              <w:jc w:val="center"/>
              <w:rPr>
                <w:b/>
                <w:bCs/>
                <w:color w:val="auto"/>
                <w:sz w:val="21"/>
                <w:szCs w:val="21"/>
              </w:rPr>
            </w:pPr>
          </w:p>
        </w:tc>
        <w:tc>
          <w:tcPr>
            <w:tcW w:w="1733" w:type="dxa"/>
            <w:tcBorders>
              <w:tl2br w:val="nil"/>
              <w:tr2bl w:val="nil"/>
            </w:tcBorders>
            <w:vAlign w:val="center"/>
          </w:tcPr>
          <w:p w14:paraId="3816B058">
            <w:pPr>
              <w:spacing w:line="240" w:lineRule="auto"/>
              <w:ind w:firstLine="0" w:firstLineChars="0"/>
              <w:jc w:val="center"/>
              <w:rPr>
                <w:b/>
                <w:bCs/>
                <w:color w:val="auto"/>
                <w:sz w:val="21"/>
                <w:szCs w:val="21"/>
              </w:rPr>
            </w:pPr>
            <w:r>
              <w:rPr>
                <w:rFonts w:hint="eastAsia"/>
                <w:b/>
                <w:bCs/>
                <w:color w:val="auto"/>
                <w:sz w:val="21"/>
                <w:szCs w:val="21"/>
              </w:rPr>
              <w:t>DA008排气筒贡献值（mg/m</w:t>
            </w:r>
            <w:r>
              <w:rPr>
                <w:rFonts w:hint="eastAsia"/>
                <w:b/>
                <w:bCs/>
                <w:color w:val="auto"/>
                <w:sz w:val="21"/>
                <w:szCs w:val="21"/>
                <w:vertAlign w:val="superscript"/>
              </w:rPr>
              <w:t>3</w:t>
            </w:r>
            <w:r>
              <w:rPr>
                <w:rFonts w:hint="eastAsia"/>
                <w:b/>
                <w:bCs/>
                <w:color w:val="auto"/>
                <w:sz w:val="21"/>
                <w:szCs w:val="21"/>
              </w:rPr>
              <w:t>）</w:t>
            </w:r>
          </w:p>
        </w:tc>
        <w:tc>
          <w:tcPr>
            <w:tcW w:w="1195" w:type="dxa"/>
            <w:tcBorders>
              <w:tl2br w:val="nil"/>
              <w:tr2bl w:val="nil"/>
            </w:tcBorders>
            <w:vAlign w:val="center"/>
          </w:tcPr>
          <w:p w14:paraId="5977E4C1">
            <w:pPr>
              <w:spacing w:line="240" w:lineRule="auto"/>
              <w:ind w:firstLine="0" w:firstLineChars="0"/>
              <w:jc w:val="center"/>
              <w:rPr>
                <w:b/>
                <w:bCs/>
                <w:color w:val="auto"/>
                <w:sz w:val="21"/>
                <w:szCs w:val="21"/>
              </w:rPr>
            </w:pPr>
            <w:r>
              <w:rPr>
                <w:rFonts w:hint="eastAsia"/>
                <w:b/>
                <w:bCs/>
                <w:color w:val="auto"/>
                <w:sz w:val="21"/>
                <w:szCs w:val="21"/>
              </w:rPr>
              <w:t>无组织贡献值（mg/m</w:t>
            </w:r>
            <w:r>
              <w:rPr>
                <w:rFonts w:hint="eastAsia"/>
                <w:b/>
                <w:bCs/>
                <w:color w:val="auto"/>
                <w:sz w:val="21"/>
                <w:szCs w:val="21"/>
                <w:vertAlign w:val="superscript"/>
              </w:rPr>
              <w:t>3</w:t>
            </w:r>
            <w:r>
              <w:rPr>
                <w:rFonts w:hint="eastAsia"/>
                <w:b/>
                <w:bCs/>
                <w:color w:val="auto"/>
                <w:sz w:val="21"/>
                <w:szCs w:val="21"/>
              </w:rPr>
              <w:t>）</w:t>
            </w:r>
          </w:p>
        </w:tc>
        <w:tc>
          <w:tcPr>
            <w:tcW w:w="1195" w:type="dxa"/>
            <w:tcBorders>
              <w:tl2br w:val="nil"/>
              <w:tr2bl w:val="nil"/>
            </w:tcBorders>
            <w:vAlign w:val="center"/>
          </w:tcPr>
          <w:p w14:paraId="678FA736">
            <w:pPr>
              <w:spacing w:line="240" w:lineRule="auto"/>
              <w:ind w:firstLine="0" w:firstLineChars="0"/>
              <w:jc w:val="center"/>
              <w:rPr>
                <w:b/>
                <w:bCs/>
                <w:color w:val="auto"/>
                <w:sz w:val="21"/>
                <w:szCs w:val="21"/>
              </w:rPr>
            </w:pPr>
            <w:r>
              <w:rPr>
                <w:rFonts w:hint="eastAsia"/>
                <w:b/>
                <w:bCs/>
                <w:color w:val="auto"/>
                <w:sz w:val="21"/>
                <w:szCs w:val="21"/>
              </w:rPr>
              <w:t>叠加值（mg/m</w:t>
            </w:r>
            <w:r>
              <w:rPr>
                <w:rFonts w:hint="eastAsia"/>
                <w:b/>
                <w:bCs/>
                <w:color w:val="auto"/>
                <w:sz w:val="21"/>
                <w:szCs w:val="21"/>
                <w:vertAlign w:val="superscript"/>
              </w:rPr>
              <w:t>3</w:t>
            </w:r>
            <w:r>
              <w:rPr>
                <w:rFonts w:hint="eastAsia"/>
                <w:b/>
                <w:bCs/>
                <w:color w:val="auto"/>
                <w:sz w:val="21"/>
                <w:szCs w:val="21"/>
              </w:rPr>
              <w:t>）</w:t>
            </w:r>
          </w:p>
        </w:tc>
        <w:tc>
          <w:tcPr>
            <w:tcW w:w="1338" w:type="dxa"/>
            <w:vMerge w:val="continue"/>
            <w:tcBorders>
              <w:tl2br w:val="nil"/>
              <w:tr2bl w:val="nil"/>
            </w:tcBorders>
            <w:vAlign w:val="center"/>
          </w:tcPr>
          <w:p w14:paraId="0D0EC06D">
            <w:pPr>
              <w:spacing w:line="240" w:lineRule="auto"/>
              <w:ind w:firstLine="0" w:firstLineChars="0"/>
              <w:jc w:val="center"/>
              <w:rPr>
                <w:color w:val="auto"/>
                <w:sz w:val="21"/>
                <w:szCs w:val="21"/>
              </w:rPr>
            </w:pPr>
          </w:p>
        </w:tc>
        <w:tc>
          <w:tcPr>
            <w:tcW w:w="1312" w:type="dxa"/>
            <w:vMerge w:val="continue"/>
            <w:tcBorders>
              <w:tl2br w:val="nil"/>
              <w:tr2bl w:val="nil"/>
            </w:tcBorders>
            <w:vAlign w:val="center"/>
          </w:tcPr>
          <w:p w14:paraId="09F8C81A">
            <w:pPr>
              <w:spacing w:line="240" w:lineRule="auto"/>
              <w:ind w:firstLine="0" w:firstLineChars="0"/>
              <w:jc w:val="center"/>
              <w:rPr>
                <w:color w:val="auto"/>
                <w:sz w:val="21"/>
                <w:szCs w:val="21"/>
              </w:rPr>
            </w:pPr>
          </w:p>
        </w:tc>
      </w:tr>
      <w:tr w14:paraId="222FB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6" w:type="dxa"/>
            <w:vMerge w:val="restart"/>
            <w:tcBorders>
              <w:tl2br w:val="nil"/>
              <w:tr2bl w:val="nil"/>
            </w:tcBorders>
            <w:vAlign w:val="center"/>
          </w:tcPr>
          <w:p w14:paraId="21371337">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12" w:type="dxa"/>
            <w:tcBorders>
              <w:tl2br w:val="nil"/>
              <w:tr2bl w:val="nil"/>
            </w:tcBorders>
            <w:vAlign w:val="center"/>
          </w:tcPr>
          <w:p w14:paraId="58E8EE56">
            <w:pPr>
              <w:spacing w:line="240" w:lineRule="auto"/>
              <w:ind w:firstLine="0" w:firstLineChars="0"/>
              <w:jc w:val="center"/>
              <w:rPr>
                <w:color w:val="auto"/>
                <w:sz w:val="21"/>
                <w:szCs w:val="21"/>
              </w:rPr>
            </w:pPr>
            <w:r>
              <w:rPr>
                <w:rFonts w:hint="eastAsia"/>
                <w:color w:val="auto"/>
                <w:sz w:val="21"/>
                <w:szCs w:val="21"/>
              </w:rPr>
              <w:t>正常工况</w:t>
            </w:r>
          </w:p>
        </w:tc>
        <w:tc>
          <w:tcPr>
            <w:tcW w:w="1733" w:type="dxa"/>
            <w:tcBorders>
              <w:tl2br w:val="nil"/>
              <w:tr2bl w:val="nil"/>
            </w:tcBorders>
            <w:vAlign w:val="center"/>
          </w:tcPr>
          <w:p w14:paraId="7B0C2C69">
            <w:pPr>
              <w:spacing w:line="240" w:lineRule="auto"/>
              <w:ind w:firstLine="0" w:firstLineChars="0"/>
              <w:jc w:val="center"/>
              <w:rPr>
                <w:color w:val="auto"/>
                <w:sz w:val="21"/>
                <w:szCs w:val="21"/>
              </w:rPr>
            </w:pPr>
            <w:r>
              <w:rPr>
                <w:rFonts w:hint="eastAsia"/>
                <w:color w:val="auto"/>
                <w:sz w:val="21"/>
                <w:szCs w:val="21"/>
              </w:rPr>
              <w:t>0.00267</w:t>
            </w:r>
          </w:p>
        </w:tc>
        <w:tc>
          <w:tcPr>
            <w:tcW w:w="1195" w:type="dxa"/>
            <w:tcBorders>
              <w:tl2br w:val="nil"/>
              <w:tr2bl w:val="nil"/>
            </w:tcBorders>
            <w:vAlign w:val="center"/>
          </w:tcPr>
          <w:p w14:paraId="1D10A9D0">
            <w:pPr>
              <w:spacing w:line="240" w:lineRule="auto"/>
              <w:ind w:firstLine="0" w:firstLineChars="0"/>
              <w:jc w:val="center"/>
              <w:rPr>
                <w:color w:val="auto"/>
                <w:sz w:val="21"/>
                <w:szCs w:val="21"/>
              </w:rPr>
            </w:pPr>
            <w:r>
              <w:rPr>
                <w:rFonts w:hint="eastAsia"/>
                <w:color w:val="auto"/>
                <w:sz w:val="21"/>
                <w:szCs w:val="21"/>
              </w:rPr>
              <w:t>0.00285</w:t>
            </w:r>
          </w:p>
        </w:tc>
        <w:tc>
          <w:tcPr>
            <w:tcW w:w="1195" w:type="dxa"/>
            <w:tcBorders>
              <w:tl2br w:val="nil"/>
              <w:tr2bl w:val="nil"/>
            </w:tcBorders>
            <w:vAlign w:val="center"/>
          </w:tcPr>
          <w:p w14:paraId="234F592C">
            <w:pPr>
              <w:spacing w:line="240" w:lineRule="auto"/>
              <w:ind w:firstLine="0" w:firstLineChars="0"/>
              <w:jc w:val="center"/>
              <w:rPr>
                <w:color w:val="auto"/>
                <w:sz w:val="21"/>
                <w:szCs w:val="21"/>
              </w:rPr>
            </w:pPr>
            <w:r>
              <w:rPr>
                <w:rFonts w:hint="eastAsia"/>
                <w:color w:val="auto"/>
                <w:sz w:val="21"/>
                <w:szCs w:val="21"/>
              </w:rPr>
              <w:t>0.00552</w:t>
            </w:r>
          </w:p>
        </w:tc>
        <w:tc>
          <w:tcPr>
            <w:tcW w:w="1338" w:type="dxa"/>
            <w:vMerge w:val="restart"/>
            <w:tcBorders>
              <w:tl2br w:val="nil"/>
              <w:tr2bl w:val="nil"/>
            </w:tcBorders>
            <w:vAlign w:val="center"/>
          </w:tcPr>
          <w:p w14:paraId="361CA0D6">
            <w:pPr>
              <w:spacing w:line="240" w:lineRule="auto"/>
              <w:ind w:firstLine="0" w:firstLineChars="0"/>
              <w:jc w:val="center"/>
              <w:rPr>
                <w:color w:val="auto"/>
                <w:sz w:val="21"/>
                <w:szCs w:val="21"/>
              </w:rPr>
            </w:pPr>
            <w:r>
              <w:rPr>
                <w:rFonts w:hint="eastAsia"/>
                <w:color w:val="auto"/>
                <w:sz w:val="21"/>
                <w:szCs w:val="21"/>
              </w:rPr>
              <w:t>3.8</w:t>
            </w:r>
          </w:p>
        </w:tc>
        <w:tc>
          <w:tcPr>
            <w:tcW w:w="1312" w:type="dxa"/>
            <w:tcBorders>
              <w:tl2br w:val="nil"/>
              <w:tr2bl w:val="nil"/>
            </w:tcBorders>
            <w:vAlign w:val="center"/>
          </w:tcPr>
          <w:p w14:paraId="0352FFE5">
            <w:pPr>
              <w:spacing w:line="240" w:lineRule="auto"/>
              <w:ind w:firstLine="0" w:firstLineChars="0"/>
              <w:jc w:val="center"/>
              <w:rPr>
                <w:color w:val="auto"/>
                <w:sz w:val="21"/>
                <w:szCs w:val="21"/>
              </w:rPr>
            </w:pPr>
            <w:r>
              <w:rPr>
                <w:rFonts w:hint="eastAsia"/>
                <w:color w:val="auto"/>
                <w:sz w:val="21"/>
                <w:szCs w:val="21"/>
              </w:rPr>
              <w:t>未超过</w:t>
            </w:r>
          </w:p>
        </w:tc>
      </w:tr>
      <w:tr w14:paraId="3BF09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16" w:type="dxa"/>
            <w:vMerge w:val="continue"/>
            <w:tcBorders>
              <w:tl2br w:val="nil"/>
              <w:tr2bl w:val="nil"/>
            </w:tcBorders>
            <w:vAlign w:val="center"/>
          </w:tcPr>
          <w:p w14:paraId="1BD81EEC">
            <w:pPr>
              <w:spacing w:line="240" w:lineRule="auto"/>
              <w:ind w:firstLine="0" w:firstLineChars="0"/>
              <w:jc w:val="center"/>
              <w:rPr>
                <w:color w:val="auto"/>
                <w:sz w:val="21"/>
                <w:szCs w:val="21"/>
              </w:rPr>
            </w:pPr>
          </w:p>
        </w:tc>
        <w:tc>
          <w:tcPr>
            <w:tcW w:w="1312" w:type="dxa"/>
            <w:tcBorders>
              <w:tl2br w:val="nil"/>
              <w:tr2bl w:val="nil"/>
            </w:tcBorders>
            <w:vAlign w:val="center"/>
          </w:tcPr>
          <w:p w14:paraId="4D2714E2">
            <w:pPr>
              <w:spacing w:line="240" w:lineRule="auto"/>
              <w:ind w:firstLine="0" w:firstLineChars="0"/>
              <w:jc w:val="center"/>
              <w:rPr>
                <w:color w:val="auto"/>
                <w:sz w:val="21"/>
                <w:szCs w:val="21"/>
              </w:rPr>
            </w:pPr>
            <w:r>
              <w:rPr>
                <w:rFonts w:hint="eastAsia"/>
                <w:color w:val="auto"/>
                <w:sz w:val="21"/>
                <w:szCs w:val="21"/>
              </w:rPr>
              <w:t>非正常工况</w:t>
            </w:r>
          </w:p>
        </w:tc>
        <w:tc>
          <w:tcPr>
            <w:tcW w:w="1733" w:type="dxa"/>
            <w:tcBorders>
              <w:tl2br w:val="nil"/>
              <w:tr2bl w:val="nil"/>
            </w:tcBorders>
            <w:vAlign w:val="center"/>
          </w:tcPr>
          <w:p w14:paraId="6F58F113">
            <w:pPr>
              <w:spacing w:line="240" w:lineRule="auto"/>
              <w:ind w:firstLine="0" w:firstLineChars="0"/>
              <w:jc w:val="center"/>
              <w:rPr>
                <w:color w:val="auto"/>
                <w:sz w:val="21"/>
                <w:szCs w:val="21"/>
              </w:rPr>
            </w:pPr>
            <w:r>
              <w:rPr>
                <w:rFonts w:hint="eastAsia"/>
                <w:color w:val="auto"/>
                <w:sz w:val="21"/>
                <w:szCs w:val="21"/>
              </w:rPr>
              <w:t>0.00314</w:t>
            </w:r>
          </w:p>
        </w:tc>
        <w:tc>
          <w:tcPr>
            <w:tcW w:w="1195" w:type="dxa"/>
            <w:tcBorders>
              <w:tl2br w:val="nil"/>
              <w:tr2bl w:val="nil"/>
            </w:tcBorders>
            <w:vAlign w:val="center"/>
          </w:tcPr>
          <w:p w14:paraId="422550FA">
            <w:pPr>
              <w:spacing w:line="240" w:lineRule="auto"/>
              <w:ind w:firstLine="0" w:firstLineChars="0"/>
              <w:jc w:val="center"/>
              <w:rPr>
                <w:color w:val="auto"/>
                <w:sz w:val="21"/>
                <w:szCs w:val="21"/>
              </w:rPr>
            </w:pPr>
            <w:r>
              <w:rPr>
                <w:rFonts w:hint="eastAsia"/>
                <w:color w:val="auto"/>
                <w:sz w:val="21"/>
                <w:szCs w:val="21"/>
              </w:rPr>
              <w:t>0.00285</w:t>
            </w:r>
          </w:p>
        </w:tc>
        <w:tc>
          <w:tcPr>
            <w:tcW w:w="1195" w:type="dxa"/>
            <w:tcBorders>
              <w:tl2br w:val="nil"/>
              <w:tr2bl w:val="nil"/>
            </w:tcBorders>
            <w:vAlign w:val="center"/>
          </w:tcPr>
          <w:p w14:paraId="2CA05007">
            <w:pPr>
              <w:spacing w:line="240" w:lineRule="auto"/>
              <w:ind w:firstLine="0" w:firstLineChars="0"/>
              <w:jc w:val="center"/>
              <w:rPr>
                <w:color w:val="auto"/>
                <w:sz w:val="21"/>
                <w:szCs w:val="21"/>
              </w:rPr>
            </w:pPr>
            <w:r>
              <w:rPr>
                <w:rFonts w:hint="eastAsia"/>
                <w:color w:val="auto"/>
                <w:sz w:val="21"/>
                <w:szCs w:val="21"/>
              </w:rPr>
              <w:t>0.00599</w:t>
            </w:r>
          </w:p>
        </w:tc>
        <w:tc>
          <w:tcPr>
            <w:tcW w:w="1338" w:type="dxa"/>
            <w:vMerge w:val="continue"/>
            <w:tcBorders>
              <w:tl2br w:val="nil"/>
              <w:tr2bl w:val="nil"/>
            </w:tcBorders>
            <w:vAlign w:val="center"/>
          </w:tcPr>
          <w:p w14:paraId="1D2AE1C7">
            <w:pPr>
              <w:spacing w:line="240" w:lineRule="auto"/>
              <w:ind w:firstLine="0" w:firstLineChars="0"/>
              <w:jc w:val="center"/>
              <w:rPr>
                <w:color w:val="auto"/>
                <w:sz w:val="21"/>
                <w:szCs w:val="21"/>
              </w:rPr>
            </w:pPr>
          </w:p>
        </w:tc>
        <w:tc>
          <w:tcPr>
            <w:tcW w:w="1312" w:type="dxa"/>
            <w:tcBorders>
              <w:tl2br w:val="nil"/>
              <w:tr2bl w:val="nil"/>
            </w:tcBorders>
            <w:vAlign w:val="center"/>
          </w:tcPr>
          <w:p w14:paraId="112462D7">
            <w:pPr>
              <w:spacing w:line="240" w:lineRule="auto"/>
              <w:ind w:firstLine="0" w:firstLineChars="0"/>
              <w:jc w:val="center"/>
              <w:rPr>
                <w:color w:val="auto"/>
                <w:sz w:val="21"/>
                <w:szCs w:val="21"/>
              </w:rPr>
            </w:pPr>
            <w:r>
              <w:rPr>
                <w:rFonts w:hint="eastAsia"/>
                <w:color w:val="auto"/>
                <w:sz w:val="21"/>
                <w:szCs w:val="21"/>
              </w:rPr>
              <w:t>未超过</w:t>
            </w:r>
          </w:p>
        </w:tc>
      </w:tr>
    </w:tbl>
    <w:p w14:paraId="184C73C2">
      <w:pPr>
        <w:ind w:firstLine="0" w:firstLineChars="0"/>
        <w:rPr>
          <w:color w:val="auto"/>
          <w:sz w:val="21"/>
          <w:szCs w:val="21"/>
        </w:rPr>
      </w:pPr>
      <w:r>
        <w:rPr>
          <w:rFonts w:hint="eastAsia"/>
          <w:b/>
          <w:bCs/>
          <w:color w:val="auto"/>
          <w:sz w:val="21"/>
          <w:szCs w:val="21"/>
        </w:rPr>
        <w:t>注：</w:t>
      </w:r>
      <w:r>
        <w:rPr>
          <w:rFonts w:hint="eastAsia"/>
          <w:color w:val="auto"/>
          <w:sz w:val="21"/>
          <w:szCs w:val="21"/>
        </w:rPr>
        <w:t>氨的嗅阈值来源于美国国家环保局（EPA）数据。</w:t>
      </w:r>
    </w:p>
    <w:p w14:paraId="4801883B">
      <w:pPr>
        <w:ind w:firstLine="480"/>
        <w:rPr>
          <w:color w:val="auto"/>
        </w:rPr>
      </w:pPr>
      <w:r>
        <w:rPr>
          <w:rFonts w:hint="eastAsia"/>
          <w:color w:val="auto"/>
        </w:rPr>
        <w:t>根据以上预测结果可知，本项目排放的氨在厂界外最大的预测值远低于其在常温常压下的嗅阈值，厂界外周边环境臭气浓度能满足《恶臭污染物排放标准》（GB14554-93）表1中标准限值。因此，本项目排放的异味物质对厂界及周边环境的异味影响较小。</w:t>
      </w:r>
    </w:p>
    <w:p w14:paraId="7DD42675">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.2.1.</w:t>
      </w:r>
      <w:r>
        <w:rPr>
          <w:rFonts w:hint="eastAsia"/>
          <w:b/>
          <w:bCs/>
          <w:color w:val="auto"/>
          <w:szCs w:val="32"/>
        </w:rPr>
        <w:t>3</w:t>
      </w:r>
      <w:r>
        <w:rPr>
          <w:b/>
          <w:bCs/>
          <w:color w:val="auto"/>
          <w:szCs w:val="32"/>
        </w:rPr>
        <w:t xml:space="preserve"> </w:t>
      </w:r>
      <w:r>
        <w:rPr>
          <w:rFonts w:hint="eastAsia"/>
          <w:b/>
          <w:bCs/>
          <w:color w:val="auto"/>
          <w:szCs w:val="32"/>
        </w:rPr>
        <w:t>环境防护距离</w:t>
      </w:r>
    </w:p>
    <w:p w14:paraId="4ED44D57">
      <w:pPr>
        <w:ind w:firstLine="482"/>
        <w:rPr>
          <w:b/>
          <w:bCs/>
          <w:color w:val="auto"/>
        </w:rPr>
      </w:pPr>
      <w:r>
        <w:rPr>
          <w:rFonts w:hint="eastAsia"/>
          <w:b/>
          <w:bCs/>
          <w:color w:val="auto"/>
        </w:rPr>
        <w:t>1、大气环境防护距离</w:t>
      </w:r>
    </w:p>
    <w:p w14:paraId="41A7DFBE">
      <w:pPr>
        <w:ind w:firstLine="480"/>
        <w:rPr>
          <w:color w:val="auto"/>
        </w:rPr>
      </w:pPr>
      <w:r>
        <w:rPr>
          <w:rFonts w:hint="eastAsia"/>
          <w:color w:val="auto"/>
        </w:rPr>
        <w:t>根据《环境影响评价技术导则大气环境》（HJ2.2-2018），本项目最大占标率为3.53%，评价等级为二级，不需要设置大气环境防护距离。</w:t>
      </w:r>
    </w:p>
    <w:p w14:paraId="603F4D65">
      <w:pPr>
        <w:ind w:firstLine="482"/>
        <w:rPr>
          <w:b/>
          <w:bCs/>
          <w:color w:val="auto"/>
        </w:rPr>
      </w:pPr>
      <w:r>
        <w:rPr>
          <w:rFonts w:hint="eastAsia"/>
          <w:b/>
          <w:bCs/>
          <w:color w:val="auto"/>
        </w:rPr>
        <w:t>2、</w:t>
      </w:r>
      <w:r>
        <w:rPr>
          <w:b/>
          <w:bCs/>
          <w:color w:val="auto"/>
        </w:rPr>
        <w:t>卫生防护距离计算</w:t>
      </w:r>
    </w:p>
    <w:p w14:paraId="7788FF91">
      <w:pPr>
        <w:ind w:firstLine="480"/>
        <w:rPr>
          <w:color w:val="auto"/>
        </w:rPr>
      </w:pPr>
      <w:r>
        <w:rPr>
          <w:color w:val="auto"/>
        </w:rPr>
        <w:t>根据《大气有害物质无组织排放 卫生防护距离推导技术导则》（GB/T39499-2020）中的推荐模式计算本项目无组织排放源的卫生防护距离。</w:t>
      </w:r>
    </w:p>
    <w:p w14:paraId="5DC162BF">
      <w:pPr>
        <w:ind w:firstLine="480"/>
        <w:rPr>
          <w:color w:val="auto"/>
        </w:rPr>
      </w:pPr>
      <w:r>
        <w:rPr>
          <w:rFonts w:hint="eastAsia"/>
          <w:color w:val="auto"/>
        </w:rPr>
        <w:t>（1）计算公式</w:t>
      </w:r>
    </w:p>
    <w:p w14:paraId="5EF62A01">
      <w:pPr>
        <w:widowControl/>
        <w:ind w:firstLine="0" w:firstLineChars="0"/>
        <w:jc w:val="center"/>
        <w:rPr>
          <w:color w:val="auto"/>
          <w:kern w:val="0"/>
          <w:szCs w:val="32"/>
        </w:rPr>
      </w:pPr>
      <w:r>
        <w:rPr>
          <w:color w:val="auto"/>
          <w:sz w:val="21"/>
        </w:rPr>
        <w:drawing>
          <wp:inline distT="0" distB="0" distL="0" distR="0">
            <wp:extent cx="2259965" cy="498475"/>
            <wp:effectExtent l="0" t="0" r="698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281770" cy="503866"/>
                    </a:xfrm>
                    <a:prstGeom prst="rect">
                      <a:avLst/>
                    </a:prstGeom>
                    <a:noFill/>
                    <a:ln>
                      <a:noFill/>
                    </a:ln>
                  </pic:spPr>
                </pic:pic>
              </a:graphicData>
            </a:graphic>
          </wp:inline>
        </w:drawing>
      </w:r>
    </w:p>
    <w:p w14:paraId="24B6426E">
      <w:pPr>
        <w:widowControl/>
        <w:ind w:firstLine="480"/>
        <w:rPr>
          <w:color w:val="auto"/>
          <w:szCs w:val="32"/>
        </w:rPr>
      </w:pPr>
      <w:r>
        <w:rPr>
          <w:color w:val="auto"/>
          <w:kern w:val="0"/>
          <w:szCs w:val="32"/>
        </w:rPr>
        <w:t>式中：</w:t>
      </w:r>
      <w:r>
        <w:rPr>
          <w:i/>
          <w:color w:val="auto"/>
          <w:kern w:val="0"/>
          <w:szCs w:val="32"/>
        </w:rPr>
        <w:t>C</w:t>
      </w:r>
      <w:r>
        <w:rPr>
          <w:i/>
          <w:color w:val="auto"/>
          <w:kern w:val="0"/>
          <w:szCs w:val="32"/>
          <w:vertAlign w:val="subscript"/>
        </w:rPr>
        <w:t>m</w:t>
      </w:r>
      <w:r>
        <w:rPr>
          <w:color w:val="auto"/>
          <w:kern w:val="0"/>
          <w:szCs w:val="32"/>
        </w:rPr>
        <w:t>——标准浓度限值，mg/m</w:t>
      </w:r>
      <w:r>
        <w:rPr>
          <w:color w:val="auto"/>
          <w:kern w:val="0"/>
          <w:szCs w:val="32"/>
          <w:vertAlign w:val="superscript"/>
        </w:rPr>
        <w:t>3</w:t>
      </w:r>
      <w:r>
        <w:rPr>
          <w:color w:val="auto"/>
          <w:kern w:val="0"/>
          <w:szCs w:val="32"/>
        </w:rPr>
        <w:t>；</w:t>
      </w:r>
    </w:p>
    <w:p w14:paraId="7F1F362C">
      <w:pPr>
        <w:widowControl/>
        <w:ind w:firstLine="1200" w:firstLineChars="500"/>
        <w:rPr>
          <w:color w:val="auto"/>
          <w:szCs w:val="32"/>
        </w:rPr>
      </w:pPr>
      <w:r>
        <w:rPr>
          <w:i/>
          <w:color w:val="auto"/>
          <w:kern w:val="0"/>
          <w:szCs w:val="32"/>
        </w:rPr>
        <w:t>L</w:t>
      </w:r>
      <w:r>
        <w:rPr>
          <w:color w:val="auto"/>
          <w:kern w:val="0"/>
          <w:szCs w:val="32"/>
        </w:rPr>
        <w:t>——工业企业所需卫生防护距离，指无组织排放源所在的生产单元（生产区、车间或工段）与居住区之间的距离，m；</w:t>
      </w:r>
    </w:p>
    <w:p w14:paraId="6B6E295F">
      <w:pPr>
        <w:widowControl/>
        <w:ind w:firstLine="1080" w:firstLineChars="450"/>
        <w:rPr>
          <w:color w:val="auto"/>
          <w:szCs w:val="32"/>
        </w:rPr>
      </w:pPr>
      <w:r>
        <w:rPr>
          <w:i/>
          <w:color w:val="auto"/>
          <w:kern w:val="0"/>
          <w:szCs w:val="32"/>
        </w:rPr>
        <w:t>r</w:t>
      </w:r>
      <w:r>
        <w:rPr>
          <w:color w:val="auto"/>
          <w:kern w:val="0"/>
          <w:szCs w:val="32"/>
        </w:rPr>
        <w:t>——有害气体无组织排放源所在生产单元的等效半径，m。根据该生产单元占地面积S</w:t>
      </w:r>
      <w:r>
        <w:rPr>
          <w:rFonts w:hint="eastAsia"/>
          <w:color w:val="auto"/>
          <w:kern w:val="0"/>
          <w:szCs w:val="32"/>
          <w:lang w:eastAsia="zh-CN"/>
        </w:rPr>
        <w:t>（</w:t>
      </w:r>
      <w:r>
        <w:rPr>
          <w:color w:val="auto"/>
          <w:kern w:val="0"/>
          <w:szCs w:val="32"/>
        </w:rPr>
        <w:t>m</w:t>
      </w:r>
      <w:r>
        <w:rPr>
          <w:color w:val="auto"/>
          <w:kern w:val="0"/>
          <w:szCs w:val="32"/>
          <w:vertAlign w:val="superscript"/>
        </w:rPr>
        <w:t>2</w:t>
      </w:r>
      <w:r>
        <w:rPr>
          <w:rFonts w:hint="eastAsia"/>
          <w:color w:val="auto"/>
          <w:kern w:val="0"/>
          <w:szCs w:val="32"/>
          <w:vertAlign w:val="superscript"/>
        </w:rPr>
        <w:t>）</w:t>
      </w:r>
      <w:r>
        <w:rPr>
          <w:color w:val="auto"/>
          <w:kern w:val="0"/>
          <w:szCs w:val="32"/>
        </w:rPr>
        <w:t>计算，</w:t>
      </w:r>
      <w:r>
        <w:rPr>
          <w:i/>
          <w:color w:val="auto"/>
          <w:kern w:val="0"/>
          <w:szCs w:val="32"/>
        </w:rPr>
        <w:t>r=</w:t>
      </w:r>
      <w:r>
        <w:rPr>
          <w:color w:val="auto"/>
          <w:kern w:val="0"/>
          <w:szCs w:val="32"/>
        </w:rPr>
        <w:t>(</w:t>
      </w:r>
      <w:r>
        <w:rPr>
          <w:i/>
          <w:color w:val="auto"/>
          <w:kern w:val="0"/>
          <w:szCs w:val="32"/>
        </w:rPr>
        <w:t>S</w:t>
      </w:r>
      <w:r>
        <w:rPr>
          <w:color w:val="auto"/>
          <w:kern w:val="0"/>
          <w:szCs w:val="32"/>
        </w:rPr>
        <w:t>/</w:t>
      </w:r>
      <w:r>
        <w:rPr>
          <w:i/>
          <w:color w:val="auto"/>
          <w:kern w:val="0"/>
          <w:szCs w:val="32"/>
        </w:rPr>
        <w:t>π</w:t>
      </w:r>
      <w:r>
        <w:rPr>
          <w:color w:val="auto"/>
          <w:kern w:val="0"/>
          <w:szCs w:val="32"/>
        </w:rPr>
        <w:t>)</w:t>
      </w:r>
      <w:r>
        <w:rPr>
          <w:color w:val="auto"/>
          <w:kern w:val="0"/>
          <w:szCs w:val="32"/>
          <w:vertAlign w:val="superscript"/>
        </w:rPr>
        <w:t>0.5</w:t>
      </w:r>
      <w:r>
        <w:rPr>
          <w:color w:val="auto"/>
          <w:kern w:val="0"/>
          <w:szCs w:val="32"/>
        </w:rPr>
        <w:t>；</w:t>
      </w:r>
    </w:p>
    <w:p w14:paraId="7C361739">
      <w:pPr>
        <w:widowControl/>
        <w:ind w:firstLine="960" w:firstLineChars="400"/>
        <w:rPr>
          <w:color w:val="auto"/>
          <w:szCs w:val="32"/>
        </w:rPr>
      </w:pPr>
      <w:r>
        <w:rPr>
          <w:i/>
          <w:color w:val="auto"/>
          <w:kern w:val="0"/>
          <w:szCs w:val="32"/>
        </w:rPr>
        <w:t>Q</w:t>
      </w:r>
      <w:r>
        <w:rPr>
          <w:i/>
          <w:color w:val="auto"/>
          <w:kern w:val="0"/>
          <w:szCs w:val="32"/>
          <w:vertAlign w:val="subscript"/>
        </w:rPr>
        <w:t>c</w:t>
      </w:r>
      <w:r>
        <w:rPr>
          <w:color w:val="auto"/>
          <w:kern w:val="0"/>
          <w:szCs w:val="32"/>
        </w:rPr>
        <w:t>——工业企业有害气体无组织排放量可以达到的控制水平，kg/h。</w:t>
      </w:r>
    </w:p>
    <w:p w14:paraId="4225CD55">
      <w:pPr>
        <w:widowControl/>
        <w:spacing w:line="362" w:lineRule="auto"/>
        <w:ind w:right="-29" w:firstLine="480"/>
        <w:rPr>
          <w:color w:val="auto"/>
          <w:kern w:val="0"/>
          <w:szCs w:val="32"/>
        </w:rPr>
      </w:pPr>
      <w:r>
        <w:rPr>
          <w:color w:val="auto"/>
          <w:kern w:val="0"/>
          <w:szCs w:val="32"/>
        </w:rPr>
        <w:t>A</w:t>
      </w:r>
      <w:r>
        <w:rPr>
          <w:rFonts w:hint="eastAsia"/>
          <w:color w:val="auto"/>
          <w:kern w:val="0"/>
          <w:szCs w:val="32"/>
        </w:rPr>
        <w:t>.</w:t>
      </w:r>
      <w:r>
        <w:rPr>
          <w:color w:val="auto"/>
          <w:kern w:val="0"/>
          <w:szCs w:val="32"/>
        </w:rPr>
        <w:t>B、C、D——卫生防护距离计算系数，无因次，企业所在地近五年平均风速2.9m/s。据企业生产装置特点和卫生防护距离制定原则，大气污染源类别按Ⅱ类考虑。</w:t>
      </w:r>
    </w:p>
    <w:p w14:paraId="3F4317D0">
      <w:pPr>
        <w:ind w:firstLine="480"/>
        <w:rPr>
          <w:color w:val="auto"/>
        </w:rPr>
      </w:pPr>
      <w:r>
        <w:rPr>
          <w:rFonts w:hint="eastAsia"/>
          <w:color w:val="auto"/>
        </w:rPr>
        <w:t>（2）参数选择</w:t>
      </w:r>
    </w:p>
    <w:p w14:paraId="0BF5498D">
      <w:pPr>
        <w:ind w:firstLine="480"/>
        <w:rPr>
          <w:color w:val="auto"/>
        </w:rPr>
      </w:pPr>
      <w:r>
        <w:rPr>
          <w:rFonts w:hint="eastAsia"/>
          <w:color w:val="auto"/>
        </w:rPr>
        <w:t>无组织排放多种有害气体时，按Qc/Cn的最大值计算其所需的卫生防护距离。卫生防护距离在100m内时，级差为50m；超过100m，但小于1000m时，级差为100m。当按两种或两种以上有害气体的Qc/Cn计算卫生防护距离在同一级别时，该类工业企业的卫生防护距离提高一级。</w:t>
      </w:r>
    </w:p>
    <w:p w14:paraId="5C136888">
      <w:pPr>
        <w:ind w:firstLine="480"/>
        <w:rPr>
          <w:rFonts w:eastAsia="仿宋" w:cs="仿宋"/>
          <w:color w:val="auto"/>
          <w:szCs w:val="28"/>
        </w:rPr>
      </w:pPr>
      <w:r>
        <w:rPr>
          <w:rFonts w:hint="eastAsia"/>
          <w:color w:val="auto"/>
        </w:rPr>
        <w:t>地区长期平均风速为3.5m/s，A、B、C、D值的选取见表6.2.1-11。</w:t>
      </w:r>
    </w:p>
    <w:p w14:paraId="6F9E2017">
      <w:pPr>
        <w:spacing w:line="240" w:lineRule="auto"/>
        <w:ind w:firstLine="0" w:firstLineChars="0"/>
        <w:jc w:val="center"/>
        <w:rPr>
          <w:b/>
          <w:bCs/>
          <w:color w:val="auto"/>
        </w:rPr>
      </w:pPr>
      <w:r>
        <w:rPr>
          <w:rFonts w:hint="eastAsia"/>
          <w:b/>
          <w:bCs/>
          <w:color w:val="auto"/>
        </w:rPr>
        <w:t>表6.2.1-11  卫生防护距离计算系数</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0"/>
        <w:gridCol w:w="1027"/>
        <w:gridCol w:w="713"/>
        <w:gridCol w:w="713"/>
        <w:gridCol w:w="715"/>
        <w:gridCol w:w="713"/>
        <w:gridCol w:w="713"/>
        <w:gridCol w:w="715"/>
        <w:gridCol w:w="1113"/>
        <w:gridCol w:w="1113"/>
        <w:gridCol w:w="1116"/>
      </w:tblGrid>
      <w:tr w14:paraId="292D9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restart"/>
            <w:tcBorders>
              <w:tl2br w:val="nil"/>
              <w:tr2bl w:val="nil"/>
            </w:tcBorders>
            <w:tcMar>
              <w:top w:w="15" w:type="dxa"/>
              <w:left w:w="15" w:type="dxa"/>
              <w:bottom w:w="0" w:type="dxa"/>
              <w:right w:w="15" w:type="dxa"/>
            </w:tcMar>
            <w:vAlign w:val="center"/>
          </w:tcPr>
          <w:p w14:paraId="204207C5">
            <w:pPr>
              <w:spacing w:line="240" w:lineRule="auto"/>
              <w:ind w:firstLine="0" w:firstLineChars="0"/>
              <w:jc w:val="center"/>
              <w:rPr>
                <w:b/>
                <w:bCs/>
                <w:color w:val="auto"/>
                <w:sz w:val="21"/>
                <w:szCs w:val="21"/>
              </w:rPr>
            </w:pPr>
            <w:r>
              <w:rPr>
                <w:b/>
                <w:bCs/>
                <w:color w:val="auto"/>
                <w:sz w:val="21"/>
                <w:szCs w:val="21"/>
              </w:rPr>
              <w:t>计算系数</w:t>
            </w:r>
          </w:p>
        </w:tc>
        <w:tc>
          <w:tcPr>
            <w:tcW w:w="557" w:type="pct"/>
            <w:vMerge w:val="restart"/>
            <w:tcBorders>
              <w:tl2br w:val="nil"/>
              <w:tr2bl w:val="nil"/>
            </w:tcBorders>
            <w:tcMar>
              <w:top w:w="15" w:type="dxa"/>
              <w:left w:w="15" w:type="dxa"/>
              <w:bottom w:w="0" w:type="dxa"/>
              <w:right w:w="15" w:type="dxa"/>
            </w:tcMar>
            <w:vAlign w:val="center"/>
          </w:tcPr>
          <w:p w14:paraId="2030DC52">
            <w:pPr>
              <w:spacing w:line="240" w:lineRule="auto"/>
              <w:ind w:firstLine="0" w:firstLineChars="0"/>
              <w:jc w:val="center"/>
              <w:rPr>
                <w:b/>
                <w:bCs/>
                <w:color w:val="auto"/>
                <w:sz w:val="21"/>
                <w:szCs w:val="21"/>
              </w:rPr>
            </w:pPr>
            <w:r>
              <w:rPr>
                <w:b/>
                <w:bCs/>
                <w:color w:val="auto"/>
                <w:sz w:val="21"/>
                <w:szCs w:val="21"/>
              </w:rPr>
              <w:t>年平均风速m/s</w:t>
            </w:r>
          </w:p>
        </w:tc>
        <w:tc>
          <w:tcPr>
            <w:tcW w:w="4137" w:type="pct"/>
            <w:gridSpan w:val="9"/>
            <w:tcBorders>
              <w:tl2br w:val="nil"/>
              <w:tr2bl w:val="nil"/>
            </w:tcBorders>
            <w:tcMar>
              <w:top w:w="15" w:type="dxa"/>
              <w:left w:w="15" w:type="dxa"/>
              <w:bottom w:w="0" w:type="dxa"/>
              <w:right w:w="15" w:type="dxa"/>
            </w:tcMar>
            <w:vAlign w:val="center"/>
          </w:tcPr>
          <w:p w14:paraId="0D8101C5">
            <w:pPr>
              <w:spacing w:line="240" w:lineRule="auto"/>
              <w:ind w:firstLine="0" w:firstLineChars="0"/>
              <w:jc w:val="center"/>
              <w:rPr>
                <w:b/>
                <w:bCs/>
                <w:color w:val="auto"/>
                <w:sz w:val="21"/>
                <w:szCs w:val="21"/>
              </w:rPr>
            </w:pPr>
            <w:r>
              <w:rPr>
                <w:b/>
                <w:bCs/>
                <w:color w:val="auto"/>
                <w:sz w:val="21"/>
                <w:szCs w:val="21"/>
              </w:rPr>
              <w:t>卫生防护距离L,m</w:t>
            </w:r>
          </w:p>
        </w:tc>
      </w:tr>
      <w:tr w14:paraId="01120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55F02983">
            <w:pPr>
              <w:widowControl/>
              <w:spacing w:line="240" w:lineRule="auto"/>
              <w:ind w:firstLine="0" w:firstLineChars="0"/>
              <w:jc w:val="center"/>
              <w:rPr>
                <w:b/>
                <w:bCs/>
                <w:color w:val="auto"/>
                <w:sz w:val="21"/>
                <w:szCs w:val="21"/>
              </w:rPr>
            </w:pPr>
          </w:p>
        </w:tc>
        <w:tc>
          <w:tcPr>
            <w:tcW w:w="557" w:type="pct"/>
            <w:vMerge w:val="continue"/>
            <w:tcBorders>
              <w:tl2br w:val="nil"/>
              <w:tr2bl w:val="nil"/>
            </w:tcBorders>
            <w:vAlign w:val="center"/>
          </w:tcPr>
          <w:p w14:paraId="79755C3B">
            <w:pPr>
              <w:widowControl/>
              <w:spacing w:line="240" w:lineRule="auto"/>
              <w:ind w:firstLine="0" w:firstLineChars="0"/>
              <w:jc w:val="center"/>
              <w:rPr>
                <w:b/>
                <w:bCs/>
                <w:color w:val="auto"/>
                <w:sz w:val="21"/>
                <w:szCs w:val="21"/>
              </w:rPr>
            </w:pPr>
          </w:p>
        </w:tc>
        <w:tc>
          <w:tcPr>
            <w:tcW w:w="1162" w:type="pct"/>
            <w:gridSpan w:val="3"/>
            <w:tcBorders>
              <w:tl2br w:val="nil"/>
              <w:tr2bl w:val="nil"/>
            </w:tcBorders>
            <w:tcMar>
              <w:top w:w="15" w:type="dxa"/>
              <w:left w:w="15" w:type="dxa"/>
              <w:bottom w:w="0" w:type="dxa"/>
              <w:right w:w="15" w:type="dxa"/>
            </w:tcMar>
            <w:vAlign w:val="center"/>
          </w:tcPr>
          <w:p w14:paraId="266034E0">
            <w:pPr>
              <w:spacing w:line="240" w:lineRule="auto"/>
              <w:ind w:firstLine="0" w:firstLineChars="0"/>
              <w:jc w:val="center"/>
              <w:rPr>
                <w:b/>
                <w:bCs/>
                <w:color w:val="auto"/>
                <w:sz w:val="21"/>
                <w:szCs w:val="21"/>
              </w:rPr>
            </w:pPr>
            <w:r>
              <w:rPr>
                <w:b/>
                <w:bCs/>
                <w:color w:val="auto"/>
                <w:sz w:val="21"/>
                <w:szCs w:val="21"/>
              </w:rPr>
              <w:t>L≤1000</w:t>
            </w:r>
          </w:p>
        </w:tc>
        <w:tc>
          <w:tcPr>
            <w:tcW w:w="1162" w:type="pct"/>
            <w:gridSpan w:val="3"/>
            <w:tcBorders>
              <w:tl2br w:val="nil"/>
              <w:tr2bl w:val="nil"/>
            </w:tcBorders>
            <w:tcMar>
              <w:top w:w="15" w:type="dxa"/>
              <w:left w:w="15" w:type="dxa"/>
              <w:bottom w:w="0" w:type="dxa"/>
              <w:right w:w="15" w:type="dxa"/>
            </w:tcMar>
            <w:vAlign w:val="center"/>
          </w:tcPr>
          <w:p w14:paraId="53D94F83">
            <w:pPr>
              <w:spacing w:line="240" w:lineRule="auto"/>
              <w:ind w:firstLine="0" w:firstLineChars="0"/>
              <w:jc w:val="center"/>
              <w:rPr>
                <w:b/>
                <w:bCs/>
                <w:color w:val="auto"/>
                <w:sz w:val="21"/>
                <w:szCs w:val="21"/>
              </w:rPr>
            </w:pPr>
            <w:r>
              <w:rPr>
                <w:b/>
                <w:bCs/>
                <w:color w:val="auto"/>
                <w:sz w:val="21"/>
                <w:szCs w:val="21"/>
              </w:rPr>
              <w:t>1000</w:t>
            </w:r>
            <w:r>
              <w:rPr>
                <w:rFonts w:hint="eastAsia"/>
                <w:b/>
                <w:bCs/>
                <w:color w:val="auto"/>
                <w:sz w:val="21"/>
                <w:szCs w:val="21"/>
              </w:rPr>
              <w:t>&lt;</w:t>
            </w:r>
            <w:r>
              <w:rPr>
                <w:b/>
                <w:bCs/>
                <w:color w:val="auto"/>
                <w:sz w:val="21"/>
                <w:szCs w:val="21"/>
              </w:rPr>
              <w:t>L≤2000</w:t>
            </w:r>
          </w:p>
        </w:tc>
        <w:tc>
          <w:tcPr>
            <w:tcW w:w="1813" w:type="pct"/>
            <w:gridSpan w:val="3"/>
            <w:tcBorders>
              <w:tl2br w:val="nil"/>
              <w:tr2bl w:val="nil"/>
            </w:tcBorders>
            <w:tcMar>
              <w:top w:w="15" w:type="dxa"/>
              <w:left w:w="15" w:type="dxa"/>
              <w:bottom w:w="0" w:type="dxa"/>
              <w:right w:w="15" w:type="dxa"/>
            </w:tcMar>
            <w:vAlign w:val="center"/>
          </w:tcPr>
          <w:p w14:paraId="52CC4222">
            <w:pPr>
              <w:spacing w:line="240" w:lineRule="auto"/>
              <w:ind w:firstLine="0" w:firstLineChars="0"/>
              <w:jc w:val="center"/>
              <w:rPr>
                <w:b/>
                <w:bCs/>
                <w:color w:val="auto"/>
                <w:sz w:val="21"/>
                <w:szCs w:val="21"/>
              </w:rPr>
            </w:pPr>
            <w:r>
              <w:rPr>
                <w:b/>
                <w:bCs/>
                <w:color w:val="auto"/>
                <w:sz w:val="21"/>
                <w:szCs w:val="21"/>
              </w:rPr>
              <w:t>L</w:t>
            </w:r>
            <w:r>
              <w:rPr>
                <w:rFonts w:hint="eastAsia"/>
                <w:b/>
                <w:bCs/>
                <w:color w:val="auto"/>
                <w:sz w:val="21"/>
                <w:szCs w:val="21"/>
              </w:rPr>
              <w:t>&gt;</w:t>
            </w:r>
            <w:r>
              <w:rPr>
                <w:b/>
                <w:bCs/>
                <w:color w:val="auto"/>
                <w:sz w:val="21"/>
                <w:szCs w:val="21"/>
              </w:rPr>
              <w:t>2000</w:t>
            </w:r>
          </w:p>
        </w:tc>
      </w:tr>
      <w:tr w14:paraId="5607B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2AD5007D">
            <w:pPr>
              <w:widowControl/>
              <w:spacing w:line="240" w:lineRule="auto"/>
              <w:ind w:firstLine="0" w:firstLineChars="0"/>
              <w:jc w:val="center"/>
              <w:rPr>
                <w:b/>
                <w:bCs/>
                <w:color w:val="auto"/>
                <w:sz w:val="21"/>
                <w:szCs w:val="21"/>
              </w:rPr>
            </w:pPr>
          </w:p>
        </w:tc>
        <w:tc>
          <w:tcPr>
            <w:tcW w:w="557" w:type="pct"/>
            <w:vMerge w:val="continue"/>
            <w:tcBorders>
              <w:tl2br w:val="nil"/>
              <w:tr2bl w:val="nil"/>
            </w:tcBorders>
            <w:vAlign w:val="center"/>
          </w:tcPr>
          <w:p w14:paraId="48807914">
            <w:pPr>
              <w:widowControl/>
              <w:spacing w:line="240" w:lineRule="auto"/>
              <w:ind w:firstLine="0" w:firstLineChars="0"/>
              <w:jc w:val="center"/>
              <w:rPr>
                <w:b/>
                <w:bCs/>
                <w:color w:val="auto"/>
                <w:sz w:val="21"/>
                <w:szCs w:val="21"/>
              </w:rPr>
            </w:pPr>
          </w:p>
        </w:tc>
        <w:tc>
          <w:tcPr>
            <w:tcW w:w="4137" w:type="pct"/>
            <w:gridSpan w:val="9"/>
            <w:tcBorders>
              <w:tl2br w:val="nil"/>
              <w:tr2bl w:val="nil"/>
            </w:tcBorders>
            <w:tcMar>
              <w:top w:w="15" w:type="dxa"/>
              <w:left w:w="15" w:type="dxa"/>
              <w:bottom w:w="0" w:type="dxa"/>
              <w:right w:w="15" w:type="dxa"/>
            </w:tcMar>
            <w:vAlign w:val="center"/>
          </w:tcPr>
          <w:p w14:paraId="03B1C60E">
            <w:pPr>
              <w:spacing w:line="240" w:lineRule="auto"/>
              <w:ind w:firstLine="0" w:firstLineChars="0"/>
              <w:jc w:val="center"/>
              <w:rPr>
                <w:b/>
                <w:bCs/>
                <w:color w:val="auto"/>
                <w:sz w:val="21"/>
                <w:szCs w:val="21"/>
              </w:rPr>
            </w:pPr>
            <w:r>
              <w:rPr>
                <w:b/>
                <w:bCs/>
                <w:color w:val="auto"/>
                <w:sz w:val="21"/>
                <w:szCs w:val="21"/>
              </w:rPr>
              <w:t>工业大气污染源构成类别</w:t>
            </w:r>
          </w:p>
        </w:tc>
      </w:tr>
      <w:tr w14:paraId="58B29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002B67E5">
            <w:pPr>
              <w:widowControl/>
              <w:spacing w:line="240" w:lineRule="auto"/>
              <w:ind w:firstLine="0" w:firstLineChars="0"/>
              <w:jc w:val="center"/>
              <w:rPr>
                <w:b/>
                <w:bCs/>
                <w:color w:val="auto"/>
                <w:sz w:val="21"/>
                <w:szCs w:val="21"/>
              </w:rPr>
            </w:pPr>
          </w:p>
        </w:tc>
        <w:tc>
          <w:tcPr>
            <w:tcW w:w="557" w:type="pct"/>
            <w:vMerge w:val="continue"/>
            <w:tcBorders>
              <w:tl2br w:val="nil"/>
              <w:tr2bl w:val="nil"/>
            </w:tcBorders>
            <w:vAlign w:val="center"/>
          </w:tcPr>
          <w:p w14:paraId="1C3D7763">
            <w:pPr>
              <w:widowControl/>
              <w:spacing w:line="240" w:lineRule="auto"/>
              <w:ind w:firstLine="0" w:firstLineChars="0"/>
              <w:jc w:val="center"/>
              <w:rPr>
                <w:b/>
                <w:bCs/>
                <w:color w:val="auto"/>
                <w:sz w:val="21"/>
                <w:szCs w:val="21"/>
              </w:rPr>
            </w:pPr>
          </w:p>
        </w:tc>
        <w:tc>
          <w:tcPr>
            <w:tcW w:w="387" w:type="pct"/>
            <w:tcBorders>
              <w:tl2br w:val="nil"/>
              <w:tr2bl w:val="nil"/>
            </w:tcBorders>
            <w:tcMar>
              <w:top w:w="15" w:type="dxa"/>
              <w:left w:w="15" w:type="dxa"/>
              <w:bottom w:w="0" w:type="dxa"/>
              <w:right w:w="15" w:type="dxa"/>
            </w:tcMar>
            <w:vAlign w:val="center"/>
          </w:tcPr>
          <w:p w14:paraId="7D19D778">
            <w:pPr>
              <w:spacing w:line="240" w:lineRule="auto"/>
              <w:ind w:firstLine="0" w:firstLineChars="0"/>
              <w:jc w:val="center"/>
              <w:rPr>
                <w:b/>
                <w:bCs/>
                <w:color w:val="auto"/>
                <w:sz w:val="21"/>
                <w:szCs w:val="21"/>
              </w:rPr>
            </w:pPr>
            <w:r>
              <w:rPr>
                <w:b/>
                <w:bCs/>
                <w:color w:val="auto"/>
                <w:sz w:val="21"/>
                <w:szCs w:val="21"/>
              </w:rPr>
              <w:t>Ⅰ</w:t>
            </w:r>
          </w:p>
        </w:tc>
        <w:tc>
          <w:tcPr>
            <w:tcW w:w="387" w:type="pct"/>
            <w:tcBorders>
              <w:tl2br w:val="nil"/>
              <w:tr2bl w:val="nil"/>
            </w:tcBorders>
            <w:tcMar>
              <w:top w:w="15" w:type="dxa"/>
              <w:left w:w="15" w:type="dxa"/>
              <w:bottom w:w="0" w:type="dxa"/>
              <w:right w:w="15" w:type="dxa"/>
            </w:tcMar>
            <w:vAlign w:val="center"/>
          </w:tcPr>
          <w:p w14:paraId="636C2242">
            <w:pPr>
              <w:spacing w:line="240" w:lineRule="auto"/>
              <w:ind w:firstLine="0" w:firstLineChars="0"/>
              <w:jc w:val="center"/>
              <w:rPr>
                <w:b/>
                <w:bCs/>
                <w:color w:val="auto"/>
                <w:sz w:val="21"/>
                <w:szCs w:val="21"/>
              </w:rPr>
            </w:pPr>
            <w:r>
              <w:rPr>
                <w:b/>
                <w:bCs/>
                <w:color w:val="auto"/>
                <w:sz w:val="21"/>
                <w:szCs w:val="21"/>
              </w:rPr>
              <w:t>Ⅱ</w:t>
            </w:r>
          </w:p>
        </w:tc>
        <w:tc>
          <w:tcPr>
            <w:tcW w:w="388" w:type="pct"/>
            <w:tcBorders>
              <w:tl2br w:val="nil"/>
              <w:tr2bl w:val="nil"/>
            </w:tcBorders>
            <w:tcMar>
              <w:top w:w="15" w:type="dxa"/>
              <w:left w:w="15" w:type="dxa"/>
              <w:bottom w:w="0" w:type="dxa"/>
              <w:right w:w="15" w:type="dxa"/>
            </w:tcMar>
            <w:vAlign w:val="center"/>
          </w:tcPr>
          <w:p w14:paraId="466B2DFF">
            <w:pPr>
              <w:spacing w:line="240" w:lineRule="auto"/>
              <w:ind w:firstLine="0" w:firstLineChars="0"/>
              <w:jc w:val="center"/>
              <w:rPr>
                <w:b/>
                <w:bCs/>
                <w:color w:val="auto"/>
                <w:sz w:val="21"/>
                <w:szCs w:val="21"/>
              </w:rPr>
            </w:pPr>
            <w:r>
              <w:rPr>
                <w:b/>
                <w:bCs/>
                <w:color w:val="auto"/>
                <w:sz w:val="21"/>
                <w:szCs w:val="21"/>
              </w:rPr>
              <w:t>Ⅲ</w:t>
            </w:r>
          </w:p>
        </w:tc>
        <w:tc>
          <w:tcPr>
            <w:tcW w:w="387" w:type="pct"/>
            <w:tcBorders>
              <w:tl2br w:val="nil"/>
              <w:tr2bl w:val="nil"/>
            </w:tcBorders>
            <w:tcMar>
              <w:top w:w="15" w:type="dxa"/>
              <w:left w:w="15" w:type="dxa"/>
              <w:bottom w:w="0" w:type="dxa"/>
              <w:right w:w="15" w:type="dxa"/>
            </w:tcMar>
            <w:vAlign w:val="center"/>
          </w:tcPr>
          <w:p w14:paraId="18D05852">
            <w:pPr>
              <w:spacing w:line="240" w:lineRule="auto"/>
              <w:ind w:firstLine="0" w:firstLineChars="0"/>
              <w:jc w:val="center"/>
              <w:rPr>
                <w:b/>
                <w:bCs/>
                <w:color w:val="auto"/>
                <w:sz w:val="21"/>
                <w:szCs w:val="21"/>
              </w:rPr>
            </w:pPr>
            <w:r>
              <w:rPr>
                <w:b/>
                <w:bCs/>
                <w:color w:val="auto"/>
                <w:sz w:val="21"/>
                <w:szCs w:val="21"/>
              </w:rPr>
              <w:t>Ⅰ</w:t>
            </w:r>
          </w:p>
        </w:tc>
        <w:tc>
          <w:tcPr>
            <w:tcW w:w="387" w:type="pct"/>
            <w:tcBorders>
              <w:tl2br w:val="nil"/>
              <w:tr2bl w:val="nil"/>
            </w:tcBorders>
            <w:tcMar>
              <w:top w:w="15" w:type="dxa"/>
              <w:left w:w="15" w:type="dxa"/>
              <w:bottom w:w="0" w:type="dxa"/>
              <w:right w:w="15" w:type="dxa"/>
            </w:tcMar>
            <w:vAlign w:val="center"/>
          </w:tcPr>
          <w:p w14:paraId="0BD8FC9C">
            <w:pPr>
              <w:spacing w:line="240" w:lineRule="auto"/>
              <w:ind w:firstLine="0" w:firstLineChars="0"/>
              <w:jc w:val="center"/>
              <w:rPr>
                <w:b/>
                <w:bCs/>
                <w:color w:val="auto"/>
                <w:sz w:val="21"/>
                <w:szCs w:val="21"/>
              </w:rPr>
            </w:pPr>
            <w:r>
              <w:rPr>
                <w:b/>
                <w:bCs/>
                <w:color w:val="auto"/>
                <w:sz w:val="21"/>
                <w:szCs w:val="21"/>
              </w:rPr>
              <w:t>Ⅱ</w:t>
            </w:r>
          </w:p>
        </w:tc>
        <w:tc>
          <w:tcPr>
            <w:tcW w:w="388" w:type="pct"/>
            <w:tcBorders>
              <w:tl2br w:val="nil"/>
              <w:tr2bl w:val="nil"/>
            </w:tcBorders>
            <w:tcMar>
              <w:top w:w="15" w:type="dxa"/>
              <w:left w:w="15" w:type="dxa"/>
              <w:bottom w:w="0" w:type="dxa"/>
              <w:right w:w="15" w:type="dxa"/>
            </w:tcMar>
            <w:vAlign w:val="center"/>
          </w:tcPr>
          <w:p w14:paraId="1E5FB6B4">
            <w:pPr>
              <w:spacing w:line="240" w:lineRule="auto"/>
              <w:ind w:firstLine="0" w:firstLineChars="0"/>
              <w:jc w:val="center"/>
              <w:rPr>
                <w:b/>
                <w:bCs/>
                <w:color w:val="auto"/>
                <w:sz w:val="21"/>
                <w:szCs w:val="21"/>
              </w:rPr>
            </w:pPr>
            <w:r>
              <w:rPr>
                <w:b/>
                <w:bCs/>
                <w:color w:val="auto"/>
                <w:sz w:val="21"/>
                <w:szCs w:val="21"/>
              </w:rPr>
              <w:t>Ⅲ</w:t>
            </w:r>
          </w:p>
        </w:tc>
        <w:tc>
          <w:tcPr>
            <w:tcW w:w="604" w:type="pct"/>
            <w:tcBorders>
              <w:tl2br w:val="nil"/>
              <w:tr2bl w:val="nil"/>
            </w:tcBorders>
            <w:tcMar>
              <w:top w:w="15" w:type="dxa"/>
              <w:left w:w="15" w:type="dxa"/>
              <w:bottom w:w="0" w:type="dxa"/>
              <w:right w:w="15" w:type="dxa"/>
            </w:tcMar>
            <w:vAlign w:val="center"/>
          </w:tcPr>
          <w:p w14:paraId="58F0DC8C">
            <w:pPr>
              <w:spacing w:line="240" w:lineRule="auto"/>
              <w:ind w:firstLine="0" w:firstLineChars="0"/>
              <w:jc w:val="center"/>
              <w:rPr>
                <w:b/>
                <w:bCs/>
                <w:color w:val="auto"/>
                <w:sz w:val="21"/>
                <w:szCs w:val="21"/>
              </w:rPr>
            </w:pPr>
            <w:r>
              <w:rPr>
                <w:b/>
                <w:bCs/>
                <w:color w:val="auto"/>
                <w:sz w:val="21"/>
                <w:szCs w:val="21"/>
              </w:rPr>
              <w:t>Ⅰ</w:t>
            </w:r>
          </w:p>
        </w:tc>
        <w:tc>
          <w:tcPr>
            <w:tcW w:w="604" w:type="pct"/>
            <w:tcBorders>
              <w:tl2br w:val="nil"/>
              <w:tr2bl w:val="nil"/>
            </w:tcBorders>
            <w:tcMar>
              <w:top w:w="15" w:type="dxa"/>
              <w:left w:w="15" w:type="dxa"/>
              <w:bottom w:w="0" w:type="dxa"/>
              <w:right w:w="15" w:type="dxa"/>
            </w:tcMar>
            <w:vAlign w:val="center"/>
          </w:tcPr>
          <w:p w14:paraId="2B49D9CD">
            <w:pPr>
              <w:spacing w:line="240" w:lineRule="auto"/>
              <w:ind w:firstLine="0" w:firstLineChars="0"/>
              <w:jc w:val="center"/>
              <w:rPr>
                <w:b/>
                <w:bCs/>
                <w:color w:val="auto"/>
                <w:sz w:val="21"/>
                <w:szCs w:val="21"/>
              </w:rPr>
            </w:pPr>
            <w:r>
              <w:rPr>
                <w:b/>
                <w:bCs/>
                <w:color w:val="auto"/>
                <w:sz w:val="21"/>
                <w:szCs w:val="21"/>
              </w:rPr>
              <w:t>Ⅱ</w:t>
            </w:r>
          </w:p>
        </w:tc>
        <w:tc>
          <w:tcPr>
            <w:tcW w:w="605" w:type="pct"/>
            <w:tcBorders>
              <w:tl2br w:val="nil"/>
              <w:tr2bl w:val="nil"/>
            </w:tcBorders>
            <w:tcMar>
              <w:top w:w="15" w:type="dxa"/>
              <w:left w:w="15" w:type="dxa"/>
              <w:bottom w:w="0" w:type="dxa"/>
              <w:right w:w="15" w:type="dxa"/>
            </w:tcMar>
            <w:vAlign w:val="center"/>
          </w:tcPr>
          <w:p w14:paraId="4B355960">
            <w:pPr>
              <w:spacing w:line="240" w:lineRule="auto"/>
              <w:ind w:firstLine="0" w:firstLineChars="0"/>
              <w:jc w:val="center"/>
              <w:rPr>
                <w:b/>
                <w:bCs/>
                <w:color w:val="auto"/>
                <w:sz w:val="21"/>
                <w:szCs w:val="21"/>
              </w:rPr>
            </w:pPr>
            <w:r>
              <w:rPr>
                <w:b/>
                <w:bCs/>
                <w:color w:val="auto"/>
                <w:sz w:val="21"/>
                <w:szCs w:val="21"/>
              </w:rPr>
              <w:t>Ⅲ</w:t>
            </w:r>
          </w:p>
        </w:tc>
      </w:tr>
      <w:tr w14:paraId="7B14A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restart"/>
            <w:tcBorders>
              <w:tl2br w:val="nil"/>
              <w:tr2bl w:val="nil"/>
            </w:tcBorders>
            <w:tcMar>
              <w:top w:w="15" w:type="dxa"/>
              <w:left w:w="15" w:type="dxa"/>
              <w:bottom w:w="0" w:type="dxa"/>
              <w:right w:w="15" w:type="dxa"/>
            </w:tcMar>
            <w:vAlign w:val="center"/>
          </w:tcPr>
          <w:p w14:paraId="558FCB06">
            <w:pPr>
              <w:spacing w:line="240" w:lineRule="auto"/>
              <w:ind w:firstLine="0" w:firstLineChars="0"/>
              <w:jc w:val="center"/>
              <w:rPr>
                <w:color w:val="auto"/>
                <w:sz w:val="21"/>
                <w:szCs w:val="21"/>
              </w:rPr>
            </w:pPr>
            <w:r>
              <w:rPr>
                <w:color w:val="auto"/>
                <w:sz w:val="21"/>
                <w:szCs w:val="21"/>
              </w:rPr>
              <w:t>A</w:t>
            </w:r>
          </w:p>
        </w:tc>
        <w:tc>
          <w:tcPr>
            <w:tcW w:w="557" w:type="pct"/>
            <w:tcBorders>
              <w:tl2br w:val="nil"/>
              <w:tr2bl w:val="nil"/>
            </w:tcBorders>
            <w:tcMar>
              <w:top w:w="15" w:type="dxa"/>
              <w:left w:w="15" w:type="dxa"/>
              <w:bottom w:w="0" w:type="dxa"/>
              <w:right w:w="15" w:type="dxa"/>
            </w:tcMar>
            <w:vAlign w:val="center"/>
          </w:tcPr>
          <w:p w14:paraId="086C7A74">
            <w:pPr>
              <w:spacing w:line="240" w:lineRule="auto"/>
              <w:ind w:firstLine="0" w:firstLineChars="0"/>
              <w:jc w:val="center"/>
              <w:rPr>
                <w:color w:val="auto"/>
                <w:sz w:val="21"/>
                <w:szCs w:val="21"/>
              </w:rPr>
            </w:pPr>
            <w:r>
              <w:rPr>
                <w:rFonts w:hint="eastAsia"/>
                <w:color w:val="auto"/>
                <w:sz w:val="21"/>
                <w:szCs w:val="21"/>
              </w:rPr>
              <w:t>&lt;</w:t>
            </w:r>
            <w:r>
              <w:rPr>
                <w:color w:val="auto"/>
                <w:sz w:val="21"/>
                <w:szCs w:val="21"/>
              </w:rPr>
              <w:t>2</w:t>
            </w:r>
          </w:p>
        </w:tc>
        <w:tc>
          <w:tcPr>
            <w:tcW w:w="387" w:type="pct"/>
            <w:tcBorders>
              <w:tl2br w:val="nil"/>
              <w:tr2bl w:val="nil"/>
            </w:tcBorders>
            <w:tcMar>
              <w:top w:w="15" w:type="dxa"/>
              <w:left w:w="15" w:type="dxa"/>
              <w:bottom w:w="0" w:type="dxa"/>
              <w:right w:w="15" w:type="dxa"/>
            </w:tcMar>
            <w:vAlign w:val="center"/>
          </w:tcPr>
          <w:p w14:paraId="44A25C61">
            <w:pPr>
              <w:spacing w:line="240" w:lineRule="auto"/>
              <w:ind w:firstLine="0" w:firstLineChars="0"/>
              <w:jc w:val="center"/>
              <w:rPr>
                <w:color w:val="auto"/>
                <w:sz w:val="21"/>
                <w:szCs w:val="21"/>
              </w:rPr>
            </w:pPr>
            <w:r>
              <w:rPr>
                <w:color w:val="auto"/>
                <w:sz w:val="21"/>
                <w:szCs w:val="21"/>
              </w:rPr>
              <w:t>400</w:t>
            </w:r>
          </w:p>
        </w:tc>
        <w:tc>
          <w:tcPr>
            <w:tcW w:w="387" w:type="pct"/>
            <w:tcBorders>
              <w:tl2br w:val="nil"/>
              <w:tr2bl w:val="nil"/>
            </w:tcBorders>
            <w:tcMar>
              <w:top w:w="15" w:type="dxa"/>
              <w:left w:w="15" w:type="dxa"/>
              <w:bottom w:w="0" w:type="dxa"/>
              <w:right w:w="15" w:type="dxa"/>
            </w:tcMar>
            <w:vAlign w:val="center"/>
          </w:tcPr>
          <w:p w14:paraId="23BEBD79">
            <w:pPr>
              <w:spacing w:line="240" w:lineRule="auto"/>
              <w:ind w:firstLine="0" w:firstLineChars="0"/>
              <w:jc w:val="center"/>
              <w:rPr>
                <w:color w:val="auto"/>
                <w:sz w:val="21"/>
                <w:szCs w:val="21"/>
              </w:rPr>
            </w:pPr>
            <w:r>
              <w:rPr>
                <w:color w:val="auto"/>
                <w:sz w:val="21"/>
                <w:szCs w:val="21"/>
              </w:rPr>
              <w:t>400</w:t>
            </w:r>
          </w:p>
        </w:tc>
        <w:tc>
          <w:tcPr>
            <w:tcW w:w="388" w:type="pct"/>
            <w:tcBorders>
              <w:tl2br w:val="nil"/>
              <w:tr2bl w:val="nil"/>
            </w:tcBorders>
            <w:tcMar>
              <w:top w:w="15" w:type="dxa"/>
              <w:left w:w="15" w:type="dxa"/>
              <w:bottom w:w="0" w:type="dxa"/>
              <w:right w:w="15" w:type="dxa"/>
            </w:tcMar>
            <w:vAlign w:val="center"/>
          </w:tcPr>
          <w:p w14:paraId="67778254">
            <w:pPr>
              <w:spacing w:line="240" w:lineRule="auto"/>
              <w:ind w:firstLine="0" w:firstLineChars="0"/>
              <w:jc w:val="center"/>
              <w:rPr>
                <w:color w:val="auto"/>
                <w:sz w:val="21"/>
                <w:szCs w:val="21"/>
              </w:rPr>
            </w:pPr>
            <w:r>
              <w:rPr>
                <w:color w:val="auto"/>
                <w:sz w:val="21"/>
                <w:szCs w:val="21"/>
              </w:rPr>
              <w:t>400</w:t>
            </w:r>
          </w:p>
        </w:tc>
        <w:tc>
          <w:tcPr>
            <w:tcW w:w="387" w:type="pct"/>
            <w:tcBorders>
              <w:tl2br w:val="nil"/>
              <w:tr2bl w:val="nil"/>
            </w:tcBorders>
            <w:tcMar>
              <w:top w:w="15" w:type="dxa"/>
              <w:left w:w="15" w:type="dxa"/>
              <w:bottom w:w="0" w:type="dxa"/>
              <w:right w:w="15" w:type="dxa"/>
            </w:tcMar>
            <w:vAlign w:val="center"/>
          </w:tcPr>
          <w:p w14:paraId="6ECFB345">
            <w:pPr>
              <w:spacing w:line="240" w:lineRule="auto"/>
              <w:ind w:firstLine="0" w:firstLineChars="0"/>
              <w:jc w:val="center"/>
              <w:rPr>
                <w:color w:val="auto"/>
                <w:sz w:val="21"/>
                <w:szCs w:val="21"/>
              </w:rPr>
            </w:pPr>
            <w:r>
              <w:rPr>
                <w:color w:val="auto"/>
                <w:sz w:val="21"/>
                <w:szCs w:val="21"/>
              </w:rPr>
              <w:t>400</w:t>
            </w:r>
          </w:p>
        </w:tc>
        <w:tc>
          <w:tcPr>
            <w:tcW w:w="387" w:type="pct"/>
            <w:tcBorders>
              <w:tl2br w:val="nil"/>
              <w:tr2bl w:val="nil"/>
            </w:tcBorders>
            <w:tcMar>
              <w:top w:w="15" w:type="dxa"/>
              <w:left w:w="15" w:type="dxa"/>
              <w:bottom w:w="0" w:type="dxa"/>
              <w:right w:w="15" w:type="dxa"/>
            </w:tcMar>
            <w:vAlign w:val="center"/>
          </w:tcPr>
          <w:p w14:paraId="311D4758">
            <w:pPr>
              <w:spacing w:line="240" w:lineRule="auto"/>
              <w:ind w:firstLine="0" w:firstLineChars="0"/>
              <w:jc w:val="center"/>
              <w:rPr>
                <w:color w:val="auto"/>
                <w:sz w:val="21"/>
                <w:szCs w:val="21"/>
              </w:rPr>
            </w:pPr>
            <w:r>
              <w:rPr>
                <w:color w:val="auto"/>
                <w:sz w:val="21"/>
                <w:szCs w:val="21"/>
              </w:rPr>
              <w:t>400</w:t>
            </w:r>
          </w:p>
        </w:tc>
        <w:tc>
          <w:tcPr>
            <w:tcW w:w="388" w:type="pct"/>
            <w:tcBorders>
              <w:tl2br w:val="nil"/>
              <w:tr2bl w:val="nil"/>
            </w:tcBorders>
            <w:tcMar>
              <w:top w:w="15" w:type="dxa"/>
              <w:left w:w="15" w:type="dxa"/>
              <w:bottom w:w="0" w:type="dxa"/>
              <w:right w:w="15" w:type="dxa"/>
            </w:tcMar>
            <w:vAlign w:val="center"/>
          </w:tcPr>
          <w:p w14:paraId="4B46B663">
            <w:pPr>
              <w:spacing w:line="240" w:lineRule="auto"/>
              <w:ind w:firstLine="0" w:firstLineChars="0"/>
              <w:jc w:val="center"/>
              <w:rPr>
                <w:color w:val="auto"/>
                <w:sz w:val="21"/>
                <w:szCs w:val="21"/>
              </w:rPr>
            </w:pPr>
            <w:r>
              <w:rPr>
                <w:color w:val="auto"/>
                <w:sz w:val="21"/>
                <w:szCs w:val="21"/>
              </w:rPr>
              <w:t>400</w:t>
            </w:r>
          </w:p>
        </w:tc>
        <w:tc>
          <w:tcPr>
            <w:tcW w:w="604" w:type="pct"/>
            <w:tcBorders>
              <w:tl2br w:val="nil"/>
              <w:tr2bl w:val="nil"/>
            </w:tcBorders>
            <w:tcMar>
              <w:top w:w="15" w:type="dxa"/>
              <w:left w:w="15" w:type="dxa"/>
              <w:bottom w:w="0" w:type="dxa"/>
              <w:right w:w="15" w:type="dxa"/>
            </w:tcMar>
            <w:vAlign w:val="center"/>
          </w:tcPr>
          <w:p w14:paraId="72CFCF60">
            <w:pPr>
              <w:spacing w:line="240" w:lineRule="auto"/>
              <w:ind w:firstLine="0" w:firstLineChars="0"/>
              <w:jc w:val="center"/>
              <w:rPr>
                <w:color w:val="auto"/>
                <w:sz w:val="21"/>
                <w:szCs w:val="21"/>
              </w:rPr>
            </w:pPr>
            <w:r>
              <w:rPr>
                <w:color w:val="auto"/>
                <w:sz w:val="21"/>
                <w:szCs w:val="21"/>
              </w:rPr>
              <w:t>80</w:t>
            </w:r>
          </w:p>
        </w:tc>
        <w:tc>
          <w:tcPr>
            <w:tcW w:w="604" w:type="pct"/>
            <w:tcBorders>
              <w:tl2br w:val="nil"/>
              <w:tr2bl w:val="nil"/>
            </w:tcBorders>
            <w:tcMar>
              <w:top w:w="15" w:type="dxa"/>
              <w:left w:w="15" w:type="dxa"/>
              <w:bottom w:w="0" w:type="dxa"/>
              <w:right w:w="15" w:type="dxa"/>
            </w:tcMar>
            <w:vAlign w:val="center"/>
          </w:tcPr>
          <w:p w14:paraId="295386CB">
            <w:pPr>
              <w:spacing w:line="240" w:lineRule="auto"/>
              <w:ind w:firstLine="0" w:firstLineChars="0"/>
              <w:jc w:val="center"/>
              <w:rPr>
                <w:color w:val="auto"/>
                <w:sz w:val="21"/>
                <w:szCs w:val="21"/>
              </w:rPr>
            </w:pPr>
            <w:r>
              <w:rPr>
                <w:color w:val="auto"/>
                <w:sz w:val="21"/>
                <w:szCs w:val="21"/>
              </w:rPr>
              <w:t>80</w:t>
            </w:r>
          </w:p>
        </w:tc>
        <w:tc>
          <w:tcPr>
            <w:tcW w:w="605" w:type="pct"/>
            <w:tcBorders>
              <w:tl2br w:val="nil"/>
              <w:tr2bl w:val="nil"/>
            </w:tcBorders>
            <w:tcMar>
              <w:top w:w="15" w:type="dxa"/>
              <w:left w:w="15" w:type="dxa"/>
              <w:bottom w:w="0" w:type="dxa"/>
              <w:right w:w="15" w:type="dxa"/>
            </w:tcMar>
            <w:vAlign w:val="center"/>
          </w:tcPr>
          <w:p w14:paraId="0466E966">
            <w:pPr>
              <w:spacing w:line="240" w:lineRule="auto"/>
              <w:ind w:firstLine="0" w:firstLineChars="0"/>
              <w:jc w:val="center"/>
              <w:rPr>
                <w:color w:val="auto"/>
                <w:sz w:val="21"/>
                <w:szCs w:val="21"/>
              </w:rPr>
            </w:pPr>
            <w:r>
              <w:rPr>
                <w:color w:val="auto"/>
                <w:sz w:val="21"/>
                <w:szCs w:val="21"/>
              </w:rPr>
              <w:t>80</w:t>
            </w:r>
          </w:p>
        </w:tc>
      </w:tr>
      <w:tr w14:paraId="1D54F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62014A84">
            <w:pPr>
              <w:widowControl/>
              <w:spacing w:line="240" w:lineRule="auto"/>
              <w:ind w:firstLine="0" w:firstLineChars="0"/>
              <w:jc w:val="center"/>
              <w:rPr>
                <w:color w:val="auto"/>
                <w:sz w:val="21"/>
                <w:szCs w:val="21"/>
              </w:rPr>
            </w:pPr>
          </w:p>
        </w:tc>
        <w:tc>
          <w:tcPr>
            <w:tcW w:w="557" w:type="pct"/>
            <w:tcBorders>
              <w:tl2br w:val="nil"/>
              <w:tr2bl w:val="nil"/>
            </w:tcBorders>
            <w:tcMar>
              <w:top w:w="15" w:type="dxa"/>
              <w:left w:w="15" w:type="dxa"/>
              <w:bottom w:w="0" w:type="dxa"/>
              <w:right w:w="15" w:type="dxa"/>
            </w:tcMar>
            <w:vAlign w:val="center"/>
          </w:tcPr>
          <w:p w14:paraId="66949207">
            <w:pPr>
              <w:spacing w:line="240" w:lineRule="auto"/>
              <w:ind w:firstLine="0" w:firstLineChars="0"/>
              <w:jc w:val="center"/>
              <w:rPr>
                <w:color w:val="auto"/>
                <w:sz w:val="21"/>
                <w:szCs w:val="21"/>
              </w:rPr>
            </w:pPr>
            <w:r>
              <w:rPr>
                <w:color w:val="auto"/>
                <w:sz w:val="21"/>
                <w:szCs w:val="21"/>
              </w:rPr>
              <w:t>2</w:t>
            </w:r>
            <w:r>
              <w:rPr>
                <w:rFonts w:hint="eastAsia"/>
                <w:color w:val="auto"/>
                <w:sz w:val="21"/>
                <w:szCs w:val="21"/>
              </w:rPr>
              <w:t>~</w:t>
            </w:r>
            <w:r>
              <w:rPr>
                <w:color w:val="auto"/>
                <w:sz w:val="21"/>
                <w:szCs w:val="21"/>
              </w:rPr>
              <w:t>4</w:t>
            </w:r>
          </w:p>
        </w:tc>
        <w:tc>
          <w:tcPr>
            <w:tcW w:w="387" w:type="pct"/>
            <w:tcBorders>
              <w:tl2br w:val="nil"/>
              <w:tr2bl w:val="nil"/>
            </w:tcBorders>
            <w:tcMar>
              <w:top w:w="15" w:type="dxa"/>
              <w:left w:w="15" w:type="dxa"/>
              <w:bottom w:w="0" w:type="dxa"/>
              <w:right w:w="15" w:type="dxa"/>
            </w:tcMar>
            <w:vAlign w:val="center"/>
          </w:tcPr>
          <w:p w14:paraId="6CB2FBD8">
            <w:pPr>
              <w:spacing w:line="240" w:lineRule="auto"/>
              <w:ind w:firstLine="0" w:firstLineChars="0"/>
              <w:jc w:val="center"/>
              <w:rPr>
                <w:color w:val="auto"/>
                <w:sz w:val="21"/>
                <w:szCs w:val="21"/>
              </w:rPr>
            </w:pPr>
            <w:r>
              <w:rPr>
                <w:color w:val="auto"/>
                <w:sz w:val="21"/>
                <w:szCs w:val="21"/>
              </w:rPr>
              <w:t>700</w:t>
            </w:r>
          </w:p>
        </w:tc>
        <w:tc>
          <w:tcPr>
            <w:tcW w:w="387" w:type="pct"/>
            <w:tcBorders>
              <w:tl2br w:val="nil"/>
              <w:tr2bl w:val="nil"/>
            </w:tcBorders>
            <w:tcMar>
              <w:top w:w="15" w:type="dxa"/>
              <w:left w:w="15" w:type="dxa"/>
              <w:bottom w:w="0" w:type="dxa"/>
              <w:right w:w="15" w:type="dxa"/>
            </w:tcMar>
            <w:vAlign w:val="center"/>
          </w:tcPr>
          <w:p w14:paraId="29747D7D">
            <w:pPr>
              <w:spacing w:line="240" w:lineRule="auto"/>
              <w:ind w:firstLine="0" w:firstLineChars="0"/>
              <w:jc w:val="center"/>
              <w:rPr>
                <w:color w:val="auto"/>
                <w:sz w:val="21"/>
                <w:szCs w:val="21"/>
              </w:rPr>
            </w:pPr>
            <w:r>
              <w:rPr>
                <w:color w:val="auto"/>
                <w:sz w:val="21"/>
                <w:szCs w:val="21"/>
              </w:rPr>
              <w:t>470*</w:t>
            </w:r>
          </w:p>
        </w:tc>
        <w:tc>
          <w:tcPr>
            <w:tcW w:w="388" w:type="pct"/>
            <w:tcBorders>
              <w:tl2br w:val="nil"/>
              <w:tr2bl w:val="nil"/>
            </w:tcBorders>
            <w:tcMar>
              <w:top w:w="15" w:type="dxa"/>
              <w:left w:w="15" w:type="dxa"/>
              <w:bottom w:w="0" w:type="dxa"/>
              <w:right w:w="15" w:type="dxa"/>
            </w:tcMar>
            <w:vAlign w:val="center"/>
          </w:tcPr>
          <w:p w14:paraId="74FEED2A">
            <w:pPr>
              <w:spacing w:line="240" w:lineRule="auto"/>
              <w:ind w:firstLine="0" w:firstLineChars="0"/>
              <w:jc w:val="center"/>
              <w:rPr>
                <w:color w:val="auto"/>
                <w:sz w:val="21"/>
                <w:szCs w:val="21"/>
              </w:rPr>
            </w:pPr>
            <w:r>
              <w:rPr>
                <w:color w:val="auto"/>
                <w:sz w:val="21"/>
                <w:szCs w:val="21"/>
              </w:rPr>
              <w:t>350</w:t>
            </w:r>
          </w:p>
        </w:tc>
        <w:tc>
          <w:tcPr>
            <w:tcW w:w="387" w:type="pct"/>
            <w:tcBorders>
              <w:tl2br w:val="nil"/>
              <w:tr2bl w:val="nil"/>
            </w:tcBorders>
            <w:tcMar>
              <w:top w:w="15" w:type="dxa"/>
              <w:left w:w="15" w:type="dxa"/>
              <w:bottom w:w="0" w:type="dxa"/>
              <w:right w:w="15" w:type="dxa"/>
            </w:tcMar>
            <w:vAlign w:val="center"/>
          </w:tcPr>
          <w:p w14:paraId="72DD4C68">
            <w:pPr>
              <w:spacing w:line="240" w:lineRule="auto"/>
              <w:ind w:firstLine="0" w:firstLineChars="0"/>
              <w:jc w:val="center"/>
              <w:rPr>
                <w:color w:val="auto"/>
                <w:sz w:val="21"/>
                <w:szCs w:val="21"/>
              </w:rPr>
            </w:pPr>
            <w:r>
              <w:rPr>
                <w:color w:val="auto"/>
                <w:sz w:val="21"/>
                <w:szCs w:val="21"/>
              </w:rPr>
              <w:t>700</w:t>
            </w:r>
          </w:p>
        </w:tc>
        <w:tc>
          <w:tcPr>
            <w:tcW w:w="387" w:type="pct"/>
            <w:tcBorders>
              <w:tl2br w:val="nil"/>
              <w:tr2bl w:val="nil"/>
            </w:tcBorders>
            <w:tcMar>
              <w:top w:w="15" w:type="dxa"/>
              <w:left w:w="15" w:type="dxa"/>
              <w:bottom w:w="0" w:type="dxa"/>
              <w:right w:w="15" w:type="dxa"/>
            </w:tcMar>
            <w:vAlign w:val="center"/>
          </w:tcPr>
          <w:p w14:paraId="2EC91E34">
            <w:pPr>
              <w:spacing w:line="240" w:lineRule="auto"/>
              <w:ind w:firstLine="0" w:firstLineChars="0"/>
              <w:jc w:val="center"/>
              <w:rPr>
                <w:color w:val="auto"/>
                <w:sz w:val="21"/>
                <w:szCs w:val="21"/>
              </w:rPr>
            </w:pPr>
            <w:r>
              <w:rPr>
                <w:color w:val="auto"/>
                <w:sz w:val="21"/>
                <w:szCs w:val="21"/>
              </w:rPr>
              <w:t>470</w:t>
            </w:r>
          </w:p>
        </w:tc>
        <w:tc>
          <w:tcPr>
            <w:tcW w:w="388" w:type="pct"/>
            <w:tcBorders>
              <w:tl2br w:val="nil"/>
              <w:tr2bl w:val="nil"/>
            </w:tcBorders>
            <w:tcMar>
              <w:top w:w="15" w:type="dxa"/>
              <w:left w:w="15" w:type="dxa"/>
              <w:bottom w:w="0" w:type="dxa"/>
              <w:right w:w="15" w:type="dxa"/>
            </w:tcMar>
            <w:vAlign w:val="center"/>
          </w:tcPr>
          <w:p w14:paraId="7498846F">
            <w:pPr>
              <w:spacing w:line="240" w:lineRule="auto"/>
              <w:ind w:firstLine="0" w:firstLineChars="0"/>
              <w:jc w:val="center"/>
              <w:rPr>
                <w:color w:val="auto"/>
                <w:sz w:val="21"/>
                <w:szCs w:val="21"/>
              </w:rPr>
            </w:pPr>
            <w:r>
              <w:rPr>
                <w:color w:val="auto"/>
                <w:sz w:val="21"/>
                <w:szCs w:val="21"/>
              </w:rPr>
              <w:t>350</w:t>
            </w:r>
          </w:p>
        </w:tc>
        <w:tc>
          <w:tcPr>
            <w:tcW w:w="604" w:type="pct"/>
            <w:tcBorders>
              <w:tl2br w:val="nil"/>
              <w:tr2bl w:val="nil"/>
            </w:tcBorders>
            <w:tcMar>
              <w:top w:w="15" w:type="dxa"/>
              <w:left w:w="15" w:type="dxa"/>
              <w:bottom w:w="0" w:type="dxa"/>
              <w:right w:w="15" w:type="dxa"/>
            </w:tcMar>
            <w:vAlign w:val="center"/>
          </w:tcPr>
          <w:p w14:paraId="1A1D8479">
            <w:pPr>
              <w:spacing w:line="240" w:lineRule="auto"/>
              <w:ind w:firstLine="0" w:firstLineChars="0"/>
              <w:jc w:val="center"/>
              <w:rPr>
                <w:color w:val="auto"/>
                <w:sz w:val="21"/>
                <w:szCs w:val="21"/>
              </w:rPr>
            </w:pPr>
            <w:r>
              <w:rPr>
                <w:color w:val="auto"/>
                <w:sz w:val="21"/>
                <w:szCs w:val="21"/>
              </w:rPr>
              <w:t>380</w:t>
            </w:r>
          </w:p>
        </w:tc>
        <w:tc>
          <w:tcPr>
            <w:tcW w:w="604" w:type="pct"/>
            <w:tcBorders>
              <w:tl2br w:val="nil"/>
              <w:tr2bl w:val="nil"/>
            </w:tcBorders>
            <w:tcMar>
              <w:top w:w="15" w:type="dxa"/>
              <w:left w:w="15" w:type="dxa"/>
              <w:bottom w:w="0" w:type="dxa"/>
              <w:right w:w="15" w:type="dxa"/>
            </w:tcMar>
            <w:vAlign w:val="center"/>
          </w:tcPr>
          <w:p w14:paraId="796FCA07">
            <w:pPr>
              <w:spacing w:line="240" w:lineRule="auto"/>
              <w:ind w:firstLine="0" w:firstLineChars="0"/>
              <w:jc w:val="center"/>
              <w:rPr>
                <w:color w:val="auto"/>
                <w:sz w:val="21"/>
                <w:szCs w:val="21"/>
              </w:rPr>
            </w:pPr>
            <w:r>
              <w:rPr>
                <w:color w:val="auto"/>
                <w:sz w:val="21"/>
                <w:szCs w:val="21"/>
              </w:rPr>
              <w:t>250</w:t>
            </w:r>
          </w:p>
        </w:tc>
        <w:tc>
          <w:tcPr>
            <w:tcW w:w="605" w:type="pct"/>
            <w:tcBorders>
              <w:tl2br w:val="nil"/>
              <w:tr2bl w:val="nil"/>
            </w:tcBorders>
            <w:tcMar>
              <w:top w:w="15" w:type="dxa"/>
              <w:left w:w="15" w:type="dxa"/>
              <w:bottom w:w="0" w:type="dxa"/>
              <w:right w:w="15" w:type="dxa"/>
            </w:tcMar>
            <w:vAlign w:val="center"/>
          </w:tcPr>
          <w:p w14:paraId="50A677F6">
            <w:pPr>
              <w:spacing w:line="240" w:lineRule="auto"/>
              <w:ind w:firstLine="0" w:firstLineChars="0"/>
              <w:jc w:val="center"/>
              <w:rPr>
                <w:color w:val="auto"/>
                <w:sz w:val="21"/>
                <w:szCs w:val="21"/>
              </w:rPr>
            </w:pPr>
            <w:r>
              <w:rPr>
                <w:color w:val="auto"/>
                <w:sz w:val="21"/>
                <w:szCs w:val="21"/>
              </w:rPr>
              <w:t>190</w:t>
            </w:r>
          </w:p>
        </w:tc>
      </w:tr>
      <w:tr w14:paraId="74DE6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5FA02421">
            <w:pPr>
              <w:widowControl/>
              <w:spacing w:line="240" w:lineRule="auto"/>
              <w:ind w:firstLine="0" w:firstLineChars="0"/>
              <w:jc w:val="center"/>
              <w:rPr>
                <w:color w:val="auto"/>
                <w:sz w:val="21"/>
                <w:szCs w:val="21"/>
              </w:rPr>
            </w:pPr>
          </w:p>
        </w:tc>
        <w:tc>
          <w:tcPr>
            <w:tcW w:w="557" w:type="pct"/>
            <w:tcBorders>
              <w:tl2br w:val="nil"/>
              <w:tr2bl w:val="nil"/>
            </w:tcBorders>
            <w:tcMar>
              <w:top w:w="15" w:type="dxa"/>
              <w:left w:w="15" w:type="dxa"/>
              <w:bottom w:w="0" w:type="dxa"/>
              <w:right w:w="15" w:type="dxa"/>
            </w:tcMar>
            <w:vAlign w:val="center"/>
          </w:tcPr>
          <w:p w14:paraId="1D96FA0E">
            <w:pPr>
              <w:spacing w:line="240" w:lineRule="auto"/>
              <w:ind w:firstLine="0" w:firstLineChars="0"/>
              <w:jc w:val="center"/>
              <w:rPr>
                <w:color w:val="auto"/>
                <w:sz w:val="21"/>
                <w:szCs w:val="21"/>
              </w:rPr>
            </w:pPr>
            <w:r>
              <w:rPr>
                <w:rFonts w:hint="eastAsia"/>
                <w:color w:val="auto"/>
                <w:sz w:val="21"/>
                <w:szCs w:val="21"/>
              </w:rPr>
              <w:t>&gt;</w:t>
            </w:r>
            <w:r>
              <w:rPr>
                <w:color w:val="auto"/>
                <w:sz w:val="21"/>
                <w:szCs w:val="21"/>
              </w:rPr>
              <w:t>4</w:t>
            </w:r>
          </w:p>
        </w:tc>
        <w:tc>
          <w:tcPr>
            <w:tcW w:w="387" w:type="pct"/>
            <w:tcBorders>
              <w:tl2br w:val="nil"/>
              <w:tr2bl w:val="nil"/>
            </w:tcBorders>
            <w:tcMar>
              <w:top w:w="15" w:type="dxa"/>
              <w:left w:w="15" w:type="dxa"/>
              <w:bottom w:w="0" w:type="dxa"/>
              <w:right w:w="15" w:type="dxa"/>
            </w:tcMar>
            <w:vAlign w:val="center"/>
          </w:tcPr>
          <w:p w14:paraId="4403AC6C">
            <w:pPr>
              <w:spacing w:line="240" w:lineRule="auto"/>
              <w:ind w:firstLine="0" w:firstLineChars="0"/>
              <w:jc w:val="center"/>
              <w:rPr>
                <w:color w:val="auto"/>
                <w:sz w:val="21"/>
                <w:szCs w:val="21"/>
              </w:rPr>
            </w:pPr>
            <w:r>
              <w:rPr>
                <w:color w:val="auto"/>
                <w:sz w:val="21"/>
                <w:szCs w:val="21"/>
              </w:rPr>
              <w:t>530</w:t>
            </w:r>
          </w:p>
        </w:tc>
        <w:tc>
          <w:tcPr>
            <w:tcW w:w="387" w:type="pct"/>
            <w:tcBorders>
              <w:tl2br w:val="nil"/>
              <w:tr2bl w:val="nil"/>
            </w:tcBorders>
            <w:tcMar>
              <w:top w:w="15" w:type="dxa"/>
              <w:left w:w="15" w:type="dxa"/>
              <w:bottom w:w="0" w:type="dxa"/>
              <w:right w:w="15" w:type="dxa"/>
            </w:tcMar>
            <w:vAlign w:val="center"/>
          </w:tcPr>
          <w:p w14:paraId="5BFA940F">
            <w:pPr>
              <w:spacing w:line="240" w:lineRule="auto"/>
              <w:ind w:firstLine="0" w:firstLineChars="0"/>
              <w:jc w:val="center"/>
              <w:rPr>
                <w:color w:val="auto"/>
                <w:sz w:val="21"/>
                <w:szCs w:val="21"/>
              </w:rPr>
            </w:pPr>
            <w:r>
              <w:rPr>
                <w:color w:val="auto"/>
                <w:sz w:val="21"/>
                <w:szCs w:val="21"/>
              </w:rPr>
              <w:t>350</w:t>
            </w:r>
          </w:p>
        </w:tc>
        <w:tc>
          <w:tcPr>
            <w:tcW w:w="388" w:type="pct"/>
            <w:tcBorders>
              <w:tl2br w:val="nil"/>
              <w:tr2bl w:val="nil"/>
            </w:tcBorders>
            <w:tcMar>
              <w:top w:w="15" w:type="dxa"/>
              <w:left w:w="15" w:type="dxa"/>
              <w:bottom w:w="0" w:type="dxa"/>
              <w:right w:w="15" w:type="dxa"/>
            </w:tcMar>
            <w:vAlign w:val="center"/>
          </w:tcPr>
          <w:p w14:paraId="370EE1B6">
            <w:pPr>
              <w:spacing w:line="240" w:lineRule="auto"/>
              <w:ind w:firstLine="0" w:firstLineChars="0"/>
              <w:jc w:val="center"/>
              <w:rPr>
                <w:color w:val="auto"/>
                <w:sz w:val="21"/>
                <w:szCs w:val="21"/>
              </w:rPr>
            </w:pPr>
            <w:r>
              <w:rPr>
                <w:color w:val="auto"/>
                <w:sz w:val="21"/>
                <w:szCs w:val="21"/>
              </w:rPr>
              <w:t>260</w:t>
            </w:r>
          </w:p>
        </w:tc>
        <w:tc>
          <w:tcPr>
            <w:tcW w:w="387" w:type="pct"/>
            <w:tcBorders>
              <w:tl2br w:val="nil"/>
              <w:tr2bl w:val="nil"/>
            </w:tcBorders>
            <w:tcMar>
              <w:top w:w="15" w:type="dxa"/>
              <w:left w:w="15" w:type="dxa"/>
              <w:bottom w:w="0" w:type="dxa"/>
              <w:right w:w="15" w:type="dxa"/>
            </w:tcMar>
            <w:vAlign w:val="center"/>
          </w:tcPr>
          <w:p w14:paraId="50F5C9EC">
            <w:pPr>
              <w:spacing w:line="240" w:lineRule="auto"/>
              <w:ind w:firstLine="0" w:firstLineChars="0"/>
              <w:jc w:val="center"/>
              <w:rPr>
                <w:color w:val="auto"/>
                <w:sz w:val="21"/>
                <w:szCs w:val="21"/>
              </w:rPr>
            </w:pPr>
            <w:r>
              <w:rPr>
                <w:color w:val="auto"/>
                <w:sz w:val="21"/>
                <w:szCs w:val="21"/>
              </w:rPr>
              <w:t>530</w:t>
            </w:r>
          </w:p>
        </w:tc>
        <w:tc>
          <w:tcPr>
            <w:tcW w:w="387" w:type="pct"/>
            <w:tcBorders>
              <w:tl2br w:val="nil"/>
              <w:tr2bl w:val="nil"/>
            </w:tcBorders>
            <w:tcMar>
              <w:top w:w="15" w:type="dxa"/>
              <w:left w:w="15" w:type="dxa"/>
              <w:bottom w:w="0" w:type="dxa"/>
              <w:right w:w="15" w:type="dxa"/>
            </w:tcMar>
            <w:vAlign w:val="center"/>
          </w:tcPr>
          <w:p w14:paraId="00505587">
            <w:pPr>
              <w:spacing w:line="240" w:lineRule="auto"/>
              <w:ind w:firstLine="0" w:firstLineChars="0"/>
              <w:jc w:val="center"/>
              <w:rPr>
                <w:color w:val="auto"/>
                <w:sz w:val="21"/>
                <w:szCs w:val="21"/>
              </w:rPr>
            </w:pPr>
            <w:r>
              <w:rPr>
                <w:color w:val="auto"/>
                <w:sz w:val="21"/>
                <w:szCs w:val="21"/>
              </w:rPr>
              <w:t>350</w:t>
            </w:r>
          </w:p>
        </w:tc>
        <w:tc>
          <w:tcPr>
            <w:tcW w:w="388" w:type="pct"/>
            <w:tcBorders>
              <w:tl2br w:val="nil"/>
              <w:tr2bl w:val="nil"/>
            </w:tcBorders>
            <w:tcMar>
              <w:top w:w="15" w:type="dxa"/>
              <w:left w:w="15" w:type="dxa"/>
              <w:bottom w:w="0" w:type="dxa"/>
              <w:right w:w="15" w:type="dxa"/>
            </w:tcMar>
            <w:vAlign w:val="center"/>
          </w:tcPr>
          <w:p w14:paraId="24EDDA03">
            <w:pPr>
              <w:spacing w:line="240" w:lineRule="auto"/>
              <w:ind w:firstLine="0" w:firstLineChars="0"/>
              <w:jc w:val="center"/>
              <w:rPr>
                <w:color w:val="auto"/>
                <w:sz w:val="21"/>
                <w:szCs w:val="21"/>
              </w:rPr>
            </w:pPr>
            <w:r>
              <w:rPr>
                <w:color w:val="auto"/>
                <w:sz w:val="21"/>
                <w:szCs w:val="21"/>
              </w:rPr>
              <w:t>260</w:t>
            </w:r>
          </w:p>
        </w:tc>
        <w:tc>
          <w:tcPr>
            <w:tcW w:w="604" w:type="pct"/>
            <w:tcBorders>
              <w:tl2br w:val="nil"/>
              <w:tr2bl w:val="nil"/>
            </w:tcBorders>
            <w:tcMar>
              <w:top w:w="15" w:type="dxa"/>
              <w:left w:w="15" w:type="dxa"/>
              <w:bottom w:w="0" w:type="dxa"/>
              <w:right w:w="15" w:type="dxa"/>
            </w:tcMar>
            <w:vAlign w:val="center"/>
          </w:tcPr>
          <w:p w14:paraId="53D160E2">
            <w:pPr>
              <w:spacing w:line="240" w:lineRule="auto"/>
              <w:ind w:firstLine="0" w:firstLineChars="0"/>
              <w:jc w:val="center"/>
              <w:rPr>
                <w:color w:val="auto"/>
                <w:sz w:val="21"/>
                <w:szCs w:val="21"/>
              </w:rPr>
            </w:pPr>
            <w:r>
              <w:rPr>
                <w:color w:val="auto"/>
                <w:sz w:val="21"/>
                <w:szCs w:val="21"/>
              </w:rPr>
              <w:t>290</w:t>
            </w:r>
          </w:p>
        </w:tc>
        <w:tc>
          <w:tcPr>
            <w:tcW w:w="604" w:type="pct"/>
            <w:tcBorders>
              <w:tl2br w:val="nil"/>
              <w:tr2bl w:val="nil"/>
            </w:tcBorders>
            <w:tcMar>
              <w:top w:w="15" w:type="dxa"/>
              <w:left w:w="15" w:type="dxa"/>
              <w:bottom w:w="0" w:type="dxa"/>
              <w:right w:w="15" w:type="dxa"/>
            </w:tcMar>
            <w:vAlign w:val="center"/>
          </w:tcPr>
          <w:p w14:paraId="227EA461">
            <w:pPr>
              <w:spacing w:line="240" w:lineRule="auto"/>
              <w:ind w:firstLine="0" w:firstLineChars="0"/>
              <w:jc w:val="center"/>
              <w:rPr>
                <w:color w:val="auto"/>
                <w:sz w:val="21"/>
                <w:szCs w:val="21"/>
              </w:rPr>
            </w:pPr>
            <w:r>
              <w:rPr>
                <w:color w:val="auto"/>
                <w:sz w:val="21"/>
                <w:szCs w:val="21"/>
              </w:rPr>
              <w:t>190</w:t>
            </w:r>
          </w:p>
        </w:tc>
        <w:tc>
          <w:tcPr>
            <w:tcW w:w="605" w:type="pct"/>
            <w:tcBorders>
              <w:tl2br w:val="nil"/>
              <w:tr2bl w:val="nil"/>
            </w:tcBorders>
            <w:tcMar>
              <w:top w:w="15" w:type="dxa"/>
              <w:left w:w="15" w:type="dxa"/>
              <w:bottom w:w="0" w:type="dxa"/>
              <w:right w:w="15" w:type="dxa"/>
            </w:tcMar>
            <w:vAlign w:val="center"/>
          </w:tcPr>
          <w:p w14:paraId="6F74F4C1">
            <w:pPr>
              <w:spacing w:line="240" w:lineRule="auto"/>
              <w:ind w:firstLine="0" w:firstLineChars="0"/>
              <w:jc w:val="center"/>
              <w:rPr>
                <w:color w:val="auto"/>
                <w:sz w:val="21"/>
                <w:szCs w:val="21"/>
              </w:rPr>
            </w:pPr>
            <w:r>
              <w:rPr>
                <w:color w:val="auto"/>
                <w:sz w:val="21"/>
                <w:szCs w:val="21"/>
              </w:rPr>
              <w:t>140</w:t>
            </w:r>
          </w:p>
        </w:tc>
      </w:tr>
      <w:tr w14:paraId="0CE8C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restart"/>
            <w:tcBorders>
              <w:tl2br w:val="nil"/>
              <w:tr2bl w:val="nil"/>
            </w:tcBorders>
            <w:tcMar>
              <w:top w:w="15" w:type="dxa"/>
              <w:left w:w="15" w:type="dxa"/>
              <w:bottom w:w="0" w:type="dxa"/>
              <w:right w:w="15" w:type="dxa"/>
            </w:tcMar>
            <w:vAlign w:val="center"/>
          </w:tcPr>
          <w:p w14:paraId="14797D0B">
            <w:pPr>
              <w:spacing w:line="240" w:lineRule="auto"/>
              <w:ind w:firstLine="0" w:firstLineChars="0"/>
              <w:jc w:val="center"/>
              <w:rPr>
                <w:color w:val="auto"/>
                <w:sz w:val="21"/>
                <w:szCs w:val="21"/>
              </w:rPr>
            </w:pPr>
            <w:r>
              <w:rPr>
                <w:color w:val="auto"/>
                <w:sz w:val="21"/>
                <w:szCs w:val="21"/>
              </w:rPr>
              <w:t>B</w:t>
            </w:r>
          </w:p>
        </w:tc>
        <w:tc>
          <w:tcPr>
            <w:tcW w:w="557" w:type="pct"/>
            <w:tcBorders>
              <w:tl2br w:val="nil"/>
              <w:tr2bl w:val="nil"/>
            </w:tcBorders>
            <w:tcMar>
              <w:top w:w="15" w:type="dxa"/>
              <w:left w:w="15" w:type="dxa"/>
              <w:bottom w:w="0" w:type="dxa"/>
              <w:right w:w="15" w:type="dxa"/>
            </w:tcMar>
            <w:vAlign w:val="center"/>
          </w:tcPr>
          <w:p w14:paraId="13BED8A7">
            <w:pPr>
              <w:spacing w:line="240" w:lineRule="auto"/>
              <w:ind w:firstLine="0" w:firstLineChars="0"/>
              <w:jc w:val="center"/>
              <w:rPr>
                <w:color w:val="auto"/>
                <w:sz w:val="21"/>
                <w:szCs w:val="21"/>
              </w:rPr>
            </w:pPr>
            <w:r>
              <w:rPr>
                <w:rFonts w:hint="eastAsia"/>
                <w:color w:val="auto"/>
                <w:sz w:val="21"/>
                <w:szCs w:val="21"/>
              </w:rPr>
              <w:t>&lt;</w:t>
            </w:r>
            <w:r>
              <w:rPr>
                <w:color w:val="auto"/>
                <w:sz w:val="21"/>
                <w:szCs w:val="21"/>
              </w:rPr>
              <w:t>2</w:t>
            </w:r>
          </w:p>
        </w:tc>
        <w:tc>
          <w:tcPr>
            <w:tcW w:w="1162" w:type="pct"/>
            <w:gridSpan w:val="3"/>
            <w:tcBorders>
              <w:tl2br w:val="nil"/>
              <w:tr2bl w:val="nil"/>
            </w:tcBorders>
            <w:tcMar>
              <w:top w:w="15" w:type="dxa"/>
              <w:left w:w="15" w:type="dxa"/>
              <w:bottom w:w="0" w:type="dxa"/>
              <w:right w:w="15" w:type="dxa"/>
            </w:tcMar>
            <w:vAlign w:val="center"/>
          </w:tcPr>
          <w:p w14:paraId="1B8A475A">
            <w:pPr>
              <w:spacing w:line="240" w:lineRule="auto"/>
              <w:ind w:firstLine="0" w:firstLineChars="0"/>
              <w:jc w:val="center"/>
              <w:rPr>
                <w:color w:val="auto"/>
                <w:sz w:val="21"/>
                <w:szCs w:val="21"/>
              </w:rPr>
            </w:pPr>
            <w:r>
              <w:rPr>
                <w:color w:val="auto"/>
                <w:sz w:val="21"/>
                <w:szCs w:val="21"/>
              </w:rPr>
              <w:t>0.01</w:t>
            </w:r>
          </w:p>
        </w:tc>
        <w:tc>
          <w:tcPr>
            <w:tcW w:w="1162" w:type="pct"/>
            <w:gridSpan w:val="3"/>
            <w:tcBorders>
              <w:tl2br w:val="nil"/>
              <w:tr2bl w:val="nil"/>
            </w:tcBorders>
            <w:tcMar>
              <w:top w:w="15" w:type="dxa"/>
              <w:left w:w="15" w:type="dxa"/>
              <w:bottom w:w="0" w:type="dxa"/>
              <w:right w:w="15" w:type="dxa"/>
            </w:tcMar>
            <w:vAlign w:val="center"/>
          </w:tcPr>
          <w:p w14:paraId="22E00284">
            <w:pPr>
              <w:spacing w:line="240" w:lineRule="auto"/>
              <w:ind w:firstLine="0" w:firstLineChars="0"/>
              <w:jc w:val="center"/>
              <w:rPr>
                <w:color w:val="auto"/>
                <w:sz w:val="21"/>
                <w:szCs w:val="21"/>
              </w:rPr>
            </w:pPr>
            <w:r>
              <w:rPr>
                <w:color w:val="auto"/>
                <w:sz w:val="21"/>
                <w:szCs w:val="21"/>
              </w:rPr>
              <w:t>0.015</w:t>
            </w:r>
          </w:p>
        </w:tc>
        <w:tc>
          <w:tcPr>
            <w:tcW w:w="1813" w:type="pct"/>
            <w:gridSpan w:val="3"/>
            <w:tcBorders>
              <w:tl2br w:val="nil"/>
              <w:tr2bl w:val="nil"/>
            </w:tcBorders>
            <w:tcMar>
              <w:top w:w="15" w:type="dxa"/>
              <w:left w:w="15" w:type="dxa"/>
              <w:bottom w:w="0" w:type="dxa"/>
              <w:right w:w="15" w:type="dxa"/>
            </w:tcMar>
            <w:vAlign w:val="center"/>
          </w:tcPr>
          <w:p w14:paraId="06CD4BFC">
            <w:pPr>
              <w:spacing w:line="240" w:lineRule="auto"/>
              <w:ind w:firstLine="0" w:firstLineChars="0"/>
              <w:jc w:val="center"/>
              <w:rPr>
                <w:color w:val="auto"/>
                <w:sz w:val="21"/>
                <w:szCs w:val="21"/>
              </w:rPr>
            </w:pPr>
            <w:r>
              <w:rPr>
                <w:color w:val="auto"/>
                <w:sz w:val="21"/>
                <w:szCs w:val="21"/>
              </w:rPr>
              <w:t>0.015</w:t>
            </w:r>
          </w:p>
        </w:tc>
      </w:tr>
      <w:tr w14:paraId="52B0D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59423754">
            <w:pPr>
              <w:widowControl/>
              <w:spacing w:line="240" w:lineRule="auto"/>
              <w:ind w:firstLine="0" w:firstLineChars="0"/>
              <w:jc w:val="center"/>
              <w:rPr>
                <w:color w:val="auto"/>
                <w:sz w:val="21"/>
                <w:szCs w:val="21"/>
              </w:rPr>
            </w:pPr>
          </w:p>
        </w:tc>
        <w:tc>
          <w:tcPr>
            <w:tcW w:w="557" w:type="pct"/>
            <w:tcBorders>
              <w:tl2br w:val="nil"/>
              <w:tr2bl w:val="nil"/>
            </w:tcBorders>
            <w:tcMar>
              <w:top w:w="15" w:type="dxa"/>
              <w:left w:w="15" w:type="dxa"/>
              <w:bottom w:w="0" w:type="dxa"/>
              <w:right w:w="15" w:type="dxa"/>
            </w:tcMar>
            <w:vAlign w:val="center"/>
          </w:tcPr>
          <w:p w14:paraId="5C5183C8">
            <w:pPr>
              <w:spacing w:line="240" w:lineRule="auto"/>
              <w:ind w:firstLine="0" w:firstLineChars="0"/>
              <w:jc w:val="center"/>
              <w:rPr>
                <w:color w:val="auto"/>
                <w:sz w:val="21"/>
                <w:szCs w:val="21"/>
              </w:rPr>
            </w:pPr>
            <w:r>
              <w:rPr>
                <w:rFonts w:hint="eastAsia"/>
                <w:color w:val="auto"/>
                <w:sz w:val="21"/>
                <w:szCs w:val="21"/>
              </w:rPr>
              <w:t>&gt;</w:t>
            </w:r>
            <w:r>
              <w:rPr>
                <w:color w:val="auto"/>
                <w:sz w:val="21"/>
                <w:szCs w:val="21"/>
              </w:rPr>
              <w:t>2</w:t>
            </w:r>
          </w:p>
        </w:tc>
        <w:tc>
          <w:tcPr>
            <w:tcW w:w="1162" w:type="pct"/>
            <w:gridSpan w:val="3"/>
            <w:tcBorders>
              <w:tl2br w:val="nil"/>
              <w:tr2bl w:val="nil"/>
            </w:tcBorders>
            <w:tcMar>
              <w:top w:w="15" w:type="dxa"/>
              <w:left w:w="15" w:type="dxa"/>
              <w:bottom w:w="0" w:type="dxa"/>
              <w:right w:w="15" w:type="dxa"/>
            </w:tcMar>
            <w:vAlign w:val="center"/>
          </w:tcPr>
          <w:p w14:paraId="3E396992">
            <w:pPr>
              <w:spacing w:line="240" w:lineRule="auto"/>
              <w:ind w:firstLine="0" w:firstLineChars="0"/>
              <w:jc w:val="center"/>
              <w:rPr>
                <w:color w:val="auto"/>
                <w:sz w:val="21"/>
                <w:szCs w:val="21"/>
              </w:rPr>
            </w:pPr>
            <w:r>
              <w:rPr>
                <w:color w:val="auto"/>
                <w:sz w:val="21"/>
                <w:szCs w:val="21"/>
              </w:rPr>
              <w:t>0.021*</w:t>
            </w:r>
          </w:p>
        </w:tc>
        <w:tc>
          <w:tcPr>
            <w:tcW w:w="1162" w:type="pct"/>
            <w:gridSpan w:val="3"/>
            <w:tcBorders>
              <w:tl2br w:val="nil"/>
              <w:tr2bl w:val="nil"/>
            </w:tcBorders>
            <w:tcMar>
              <w:top w:w="15" w:type="dxa"/>
              <w:left w:w="15" w:type="dxa"/>
              <w:bottom w:w="0" w:type="dxa"/>
              <w:right w:w="15" w:type="dxa"/>
            </w:tcMar>
            <w:vAlign w:val="center"/>
          </w:tcPr>
          <w:p w14:paraId="3B93DEAE">
            <w:pPr>
              <w:spacing w:line="240" w:lineRule="auto"/>
              <w:ind w:firstLine="0" w:firstLineChars="0"/>
              <w:jc w:val="center"/>
              <w:rPr>
                <w:color w:val="auto"/>
                <w:sz w:val="21"/>
                <w:szCs w:val="21"/>
              </w:rPr>
            </w:pPr>
            <w:r>
              <w:rPr>
                <w:color w:val="auto"/>
                <w:sz w:val="21"/>
                <w:szCs w:val="21"/>
              </w:rPr>
              <w:t>0.036</w:t>
            </w:r>
          </w:p>
        </w:tc>
        <w:tc>
          <w:tcPr>
            <w:tcW w:w="1813" w:type="pct"/>
            <w:gridSpan w:val="3"/>
            <w:tcBorders>
              <w:tl2br w:val="nil"/>
              <w:tr2bl w:val="nil"/>
            </w:tcBorders>
            <w:tcMar>
              <w:top w:w="15" w:type="dxa"/>
              <w:left w:w="15" w:type="dxa"/>
              <w:bottom w:w="0" w:type="dxa"/>
              <w:right w:w="15" w:type="dxa"/>
            </w:tcMar>
            <w:vAlign w:val="center"/>
          </w:tcPr>
          <w:p w14:paraId="32D28E7B">
            <w:pPr>
              <w:spacing w:line="240" w:lineRule="auto"/>
              <w:ind w:firstLine="0" w:firstLineChars="0"/>
              <w:jc w:val="center"/>
              <w:rPr>
                <w:color w:val="auto"/>
                <w:sz w:val="21"/>
                <w:szCs w:val="21"/>
              </w:rPr>
            </w:pPr>
            <w:r>
              <w:rPr>
                <w:color w:val="auto"/>
                <w:sz w:val="21"/>
                <w:szCs w:val="21"/>
              </w:rPr>
              <w:t>0.036</w:t>
            </w:r>
          </w:p>
        </w:tc>
      </w:tr>
      <w:tr w14:paraId="395B0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restart"/>
            <w:tcBorders>
              <w:tl2br w:val="nil"/>
              <w:tr2bl w:val="nil"/>
            </w:tcBorders>
            <w:tcMar>
              <w:top w:w="15" w:type="dxa"/>
              <w:left w:w="15" w:type="dxa"/>
              <w:bottom w:w="0" w:type="dxa"/>
              <w:right w:w="15" w:type="dxa"/>
            </w:tcMar>
            <w:vAlign w:val="center"/>
          </w:tcPr>
          <w:p w14:paraId="64A65FC0">
            <w:pPr>
              <w:spacing w:line="240" w:lineRule="auto"/>
              <w:ind w:firstLine="0" w:firstLineChars="0"/>
              <w:jc w:val="center"/>
              <w:rPr>
                <w:color w:val="auto"/>
                <w:sz w:val="21"/>
                <w:szCs w:val="21"/>
              </w:rPr>
            </w:pPr>
            <w:r>
              <w:rPr>
                <w:color w:val="auto"/>
                <w:sz w:val="21"/>
                <w:szCs w:val="21"/>
              </w:rPr>
              <w:t>C</w:t>
            </w:r>
          </w:p>
        </w:tc>
        <w:tc>
          <w:tcPr>
            <w:tcW w:w="557" w:type="pct"/>
            <w:tcBorders>
              <w:tl2br w:val="nil"/>
              <w:tr2bl w:val="nil"/>
            </w:tcBorders>
            <w:tcMar>
              <w:top w:w="15" w:type="dxa"/>
              <w:left w:w="15" w:type="dxa"/>
              <w:bottom w:w="0" w:type="dxa"/>
              <w:right w:w="15" w:type="dxa"/>
            </w:tcMar>
            <w:vAlign w:val="center"/>
          </w:tcPr>
          <w:p w14:paraId="5DB4267C">
            <w:pPr>
              <w:spacing w:line="240" w:lineRule="auto"/>
              <w:ind w:firstLine="0" w:firstLineChars="0"/>
              <w:jc w:val="center"/>
              <w:rPr>
                <w:color w:val="auto"/>
                <w:sz w:val="21"/>
                <w:szCs w:val="21"/>
              </w:rPr>
            </w:pPr>
            <w:r>
              <w:rPr>
                <w:rFonts w:hint="eastAsia"/>
                <w:color w:val="auto"/>
                <w:sz w:val="21"/>
                <w:szCs w:val="21"/>
              </w:rPr>
              <w:t>&lt;</w:t>
            </w:r>
            <w:r>
              <w:rPr>
                <w:color w:val="auto"/>
                <w:sz w:val="21"/>
                <w:szCs w:val="21"/>
              </w:rPr>
              <w:t>2</w:t>
            </w:r>
          </w:p>
        </w:tc>
        <w:tc>
          <w:tcPr>
            <w:tcW w:w="1162" w:type="pct"/>
            <w:gridSpan w:val="3"/>
            <w:tcBorders>
              <w:tl2br w:val="nil"/>
              <w:tr2bl w:val="nil"/>
            </w:tcBorders>
            <w:tcMar>
              <w:top w:w="15" w:type="dxa"/>
              <w:left w:w="15" w:type="dxa"/>
              <w:bottom w:w="0" w:type="dxa"/>
              <w:right w:w="15" w:type="dxa"/>
            </w:tcMar>
            <w:vAlign w:val="center"/>
          </w:tcPr>
          <w:p w14:paraId="633545CD">
            <w:pPr>
              <w:spacing w:line="240" w:lineRule="auto"/>
              <w:ind w:firstLine="0" w:firstLineChars="0"/>
              <w:jc w:val="center"/>
              <w:rPr>
                <w:color w:val="auto"/>
                <w:sz w:val="21"/>
                <w:szCs w:val="21"/>
              </w:rPr>
            </w:pPr>
            <w:r>
              <w:rPr>
                <w:color w:val="auto"/>
                <w:sz w:val="21"/>
                <w:szCs w:val="21"/>
              </w:rPr>
              <w:t>1.85</w:t>
            </w:r>
          </w:p>
        </w:tc>
        <w:tc>
          <w:tcPr>
            <w:tcW w:w="1162" w:type="pct"/>
            <w:gridSpan w:val="3"/>
            <w:tcBorders>
              <w:tl2br w:val="nil"/>
              <w:tr2bl w:val="nil"/>
            </w:tcBorders>
            <w:tcMar>
              <w:top w:w="15" w:type="dxa"/>
              <w:left w:w="15" w:type="dxa"/>
              <w:bottom w:w="0" w:type="dxa"/>
              <w:right w:w="15" w:type="dxa"/>
            </w:tcMar>
            <w:vAlign w:val="center"/>
          </w:tcPr>
          <w:p w14:paraId="0DC3B2C0">
            <w:pPr>
              <w:spacing w:line="240" w:lineRule="auto"/>
              <w:ind w:firstLine="0" w:firstLineChars="0"/>
              <w:jc w:val="center"/>
              <w:rPr>
                <w:color w:val="auto"/>
                <w:sz w:val="21"/>
                <w:szCs w:val="21"/>
              </w:rPr>
            </w:pPr>
            <w:r>
              <w:rPr>
                <w:color w:val="auto"/>
                <w:sz w:val="21"/>
                <w:szCs w:val="21"/>
              </w:rPr>
              <w:t>1.79</w:t>
            </w:r>
          </w:p>
        </w:tc>
        <w:tc>
          <w:tcPr>
            <w:tcW w:w="1813" w:type="pct"/>
            <w:gridSpan w:val="3"/>
            <w:tcBorders>
              <w:tl2br w:val="nil"/>
              <w:tr2bl w:val="nil"/>
            </w:tcBorders>
            <w:tcMar>
              <w:top w:w="15" w:type="dxa"/>
              <w:left w:w="15" w:type="dxa"/>
              <w:bottom w:w="0" w:type="dxa"/>
              <w:right w:w="15" w:type="dxa"/>
            </w:tcMar>
            <w:vAlign w:val="center"/>
          </w:tcPr>
          <w:p w14:paraId="27AD2B18">
            <w:pPr>
              <w:spacing w:line="240" w:lineRule="auto"/>
              <w:ind w:firstLine="0" w:firstLineChars="0"/>
              <w:jc w:val="center"/>
              <w:rPr>
                <w:color w:val="auto"/>
                <w:sz w:val="21"/>
                <w:szCs w:val="21"/>
              </w:rPr>
            </w:pPr>
            <w:r>
              <w:rPr>
                <w:color w:val="auto"/>
                <w:sz w:val="21"/>
                <w:szCs w:val="21"/>
              </w:rPr>
              <w:t>1.79</w:t>
            </w:r>
          </w:p>
        </w:tc>
      </w:tr>
      <w:tr w14:paraId="2B039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74EE75EE">
            <w:pPr>
              <w:widowControl/>
              <w:spacing w:line="240" w:lineRule="auto"/>
              <w:ind w:firstLine="0" w:firstLineChars="0"/>
              <w:jc w:val="center"/>
              <w:rPr>
                <w:color w:val="auto"/>
                <w:sz w:val="21"/>
                <w:szCs w:val="21"/>
              </w:rPr>
            </w:pPr>
          </w:p>
        </w:tc>
        <w:tc>
          <w:tcPr>
            <w:tcW w:w="557" w:type="pct"/>
            <w:tcBorders>
              <w:tl2br w:val="nil"/>
              <w:tr2bl w:val="nil"/>
            </w:tcBorders>
            <w:tcMar>
              <w:top w:w="15" w:type="dxa"/>
              <w:left w:w="15" w:type="dxa"/>
              <w:bottom w:w="0" w:type="dxa"/>
              <w:right w:w="15" w:type="dxa"/>
            </w:tcMar>
            <w:vAlign w:val="center"/>
          </w:tcPr>
          <w:p w14:paraId="7B2F2105">
            <w:pPr>
              <w:spacing w:line="240" w:lineRule="auto"/>
              <w:ind w:firstLine="0" w:firstLineChars="0"/>
              <w:jc w:val="center"/>
              <w:rPr>
                <w:color w:val="auto"/>
                <w:sz w:val="21"/>
                <w:szCs w:val="21"/>
              </w:rPr>
            </w:pPr>
            <w:r>
              <w:rPr>
                <w:rFonts w:hint="eastAsia"/>
                <w:color w:val="auto"/>
                <w:sz w:val="21"/>
                <w:szCs w:val="21"/>
              </w:rPr>
              <w:t>&gt;</w:t>
            </w:r>
            <w:r>
              <w:rPr>
                <w:color w:val="auto"/>
                <w:sz w:val="21"/>
                <w:szCs w:val="21"/>
              </w:rPr>
              <w:t>2</w:t>
            </w:r>
          </w:p>
        </w:tc>
        <w:tc>
          <w:tcPr>
            <w:tcW w:w="1162" w:type="pct"/>
            <w:gridSpan w:val="3"/>
            <w:tcBorders>
              <w:tl2br w:val="nil"/>
              <w:tr2bl w:val="nil"/>
            </w:tcBorders>
            <w:tcMar>
              <w:top w:w="15" w:type="dxa"/>
              <w:left w:w="15" w:type="dxa"/>
              <w:bottom w:w="0" w:type="dxa"/>
              <w:right w:w="15" w:type="dxa"/>
            </w:tcMar>
            <w:vAlign w:val="center"/>
          </w:tcPr>
          <w:p w14:paraId="5A12BCDE">
            <w:pPr>
              <w:spacing w:line="240" w:lineRule="auto"/>
              <w:ind w:firstLine="0" w:firstLineChars="0"/>
              <w:jc w:val="center"/>
              <w:rPr>
                <w:color w:val="auto"/>
                <w:sz w:val="21"/>
                <w:szCs w:val="21"/>
              </w:rPr>
            </w:pPr>
            <w:r>
              <w:rPr>
                <w:color w:val="auto"/>
                <w:sz w:val="21"/>
                <w:szCs w:val="21"/>
              </w:rPr>
              <w:t>1.85*</w:t>
            </w:r>
          </w:p>
        </w:tc>
        <w:tc>
          <w:tcPr>
            <w:tcW w:w="1162" w:type="pct"/>
            <w:gridSpan w:val="3"/>
            <w:tcBorders>
              <w:tl2br w:val="nil"/>
              <w:tr2bl w:val="nil"/>
            </w:tcBorders>
            <w:tcMar>
              <w:top w:w="15" w:type="dxa"/>
              <w:left w:w="15" w:type="dxa"/>
              <w:bottom w:w="0" w:type="dxa"/>
              <w:right w:w="15" w:type="dxa"/>
            </w:tcMar>
            <w:vAlign w:val="center"/>
          </w:tcPr>
          <w:p w14:paraId="1BE47AD3">
            <w:pPr>
              <w:spacing w:line="240" w:lineRule="auto"/>
              <w:ind w:firstLine="0" w:firstLineChars="0"/>
              <w:jc w:val="center"/>
              <w:rPr>
                <w:color w:val="auto"/>
                <w:sz w:val="21"/>
                <w:szCs w:val="21"/>
              </w:rPr>
            </w:pPr>
            <w:r>
              <w:rPr>
                <w:color w:val="auto"/>
                <w:sz w:val="21"/>
                <w:szCs w:val="21"/>
              </w:rPr>
              <w:t>1.77</w:t>
            </w:r>
          </w:p>
        </w:tc>
        <w:tc>
          <w:tcPr>
            <w:tcW w:w="1813" w:type="pct"/>
            <w:gridSpan w:val="3"/>
            <w:tcBorders>
              <w:tl2br w:val="nil"/>
              <w:tr2bl w:val="nil"/>
            </w:tcBorders>
            <w:tcMar>
              <w:top w:w="15" w:type="dxa"/>
              <w:left w:w="15" w:type="dxa"/>
              <w:bottom w:w="0" w:type="dxa"/>
              <w:right w:w="15" w:type="dxa"/>
            </w:tcMar>
            <w:vAlign w:val="center"/>
          </w:tcPr>
          <w:p w14:paraId="2748B2E4">
            <w:pPr>
              <w:spacing w:line="240" w:lineRule="auto"/>
              <w:ind w:firstLine="0" w:firstLineChars="0"/>
              <w:jc w:val="center"/>
              <w:rPr>
                <w:color w:val="auto"/>
                <w:sz w:val="21"/>
                <w:szCs w:val="21"/>
              </w:rPr>
            </w:pPr>
            <w:r>
              <w:rPr>
                <w:color w:val="auto"/>
                <w:sz w:val="21"/>
                <w:szCs w:val="21"/>
              </w:rPr>
              <w:t>1.77</w:t>
            </w:r>
          </w:p>
        </w:tc>
      </w:tr>
      <w:tr w14:paraId="1A1BE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restart"/>
            <w:tcBorders>
              <w:tl2br w:val="nil"/>
              <w:tr2bl w:val="nil"/>
            </w:tcBorders>
            <w:tcMar>
              <w:top w:w="15" w:type="dxa"/>
              <w:left w:w="15" w:type="dxa"/>
              <w:bottom w:w="0" w:type="dxa"/>
              <w:right w:w="15" w:type="dxa"/>
            </w:tcMar>
            <w:vAlign w:val="center"/>
          </w:tcPr>
          <w:p w14:paraId="44D8443F">
            <w:pPr>
              <w:spacing w:line="240" w:lineRule="auto"/>
              <w:ind w:firstLine="0" w:firstLineChars="0"/>
              <w:jc w:val="center"/>
              <w:rPr>
                <w:color w:val="auto"/>
                <w:sz w:val="21"/>
                <w:szCs w:val="21"/>
              </w:rPr>
            </w:pPr>
            <w:r>
              <w:rPr>
                <w:color w:val="auto"/>
                <w:sz w:val="21"/>
                <w:szCs w:val="21"/>
              </w:rPr>
              <w:t>D</w:t>
            </w:r>
          </w:p>
        </w:tc>
        <w:tc>
          <w:tcPr>
            <w:tcW w:w="557" w:type="pct"/>
            <w:tcBorders>
              <w:tl2br w:val="nil"/>
              <w:tr2bl w:val="nil"/>
            </w:tcBorders>
            <w:tcMar>
              <w:top w:w="15" w:type="dxa"/>
              <w:left w:w="15" w:type="dxa"/>
              <w:bottom w:w="0" w:type="dxa"/>
              <w:right w:w="15" w:type="dxa"/>
            </w:tcMar>
            <w:vAlign w:val="center"/>
          </w:tcPr>
          <w:p w14:paraId="37BEF031">
            <w:pPr>
              <w:spacing w:line="240" w:lineRule="auto"/>
              <w:ind w:firstLine="0" w:firstLineChars="0"/>
              <w:jc w:val="center"/>
              <w:rPr>
                <w:color w:val="auto"/>
                <w:sz w:val="21"/>
                <w:szCs w:val="21"/>
              </w:rPr>
            </w:pPr>
            <w:r>
              <w:rPr>
                <w:rFonts w:hint="eastAsia"/>
                <w:color w:val="auto"/>
                <w:sz w:val="21"/>
                <w:szCs w:val="21"/>
              </w:rPr>
              <w:t>&lt;</w:t>
            </w:r>
            <w:r>
              <w:rPr>
                <w:color w:val="auto"/>
                <w:sz w:val="21"/>
                <w:szCs w:val="21"/>
              </w:rPr>
              <w:t>2</w:t>
            </w:r>
          </w:p>
        </w:tc>
        <w:tc>
          <w:tcPr>
            <w:tcW w:w="1162" w:type="pct"/>
            <w:gridSpan w:val="3"/>
            <w:tcBorders>
              <w:tl2br w:val="nil"/>
              <w:tr2bl w:val="nil"/>
            </w:tcBorders>
            <w:tcMar>
              <w:top w:w="15" w:type="dxa"/>
              <w:left w:w="15" w:type="dxa"/>
              <w:bottom w:w="0" w:type="dxa"/>
              <w:right w:w="15" w:type="dxa"/>
            </w:tcMar>
            <w:vAlign w:val="center"/>
          </w:tcPr>
          <w:p w14:paraId="33115055">
            <w:pPr>
              <w:spacing w:line="240" w:lineRule="auto"/>
              <w:ind w:firstLine="0" w:firstLineChars="0"/>
              <w:jc w:val="center"/>
              <w:rPr>
                <w:color w:val="auto"/>
                <w:sz w:val="21"/>
                <w:szCs w:val="21"/>
              </w:rPr>
            </w:pPr>
            <w:r>
              <w:rPr>
                <w:color w:val="auto"/>
                <w:sz w:val="21"/>
                <w:szCs w:val="21"/>
              </w:rPr>
              <w:t>0.78</w:t>
            </w:r>
          </w:p>
        </w:tc>
        <w:tc>
          <w:tcPr>
            <w:tcW w:w="1162" w:type="pct"/>
            <w:gridSpan w:val="3"/>
            <w:tcBorders>
              <w:tl2br w:val="nil"/>
              <w:tr2bl w:val="nil"/>
            </w:tcBorders>
            <w:tcMar>
              <w:top w:w="15" w:type="dxa"/>
              <w:left w:w="15" w:type="dxa"/>
              <w:bottom w:w="0" w:type="dxa"/>
              <w:right w:w="15" w:type="dxa"/>
            </w:tcMar>
            <w:vAlign w:val="center"/>
          </w:tcPr>
          <w:p w14:paraId="3A43A020">
            <w:pPr>
              <w:spacing w:line="240" w:lineRule="auto"/>
              <w:ind w:firstLine="0" w:firstLineChars="0"/>
              <w:jc w:val="center"/>
              <w:rPr>
                <w:color w:val="auto"/>
                <w:sz w:val="21"/>
                <w:szCs w:val="21"/>
              </w:rPr>
            </w:pPr>
            <w:r>
              <w:rPr>
                <w:color w:val="auto"/>
                <w:sz w:val="21"/>
                <w:szCs w:val="21"/>
              </w:rPr>
              <w:t>0.78</w:t>
            </w:r>
          </w:p>
        </w:tc>
        <w:tc>
          <w:tcPr>
            <w:tcW w:w="1813" w:type="pct"/>
            <w:gridSpan w:val="3"/>
            <w:tcBorders>
              <w:tl2br w:val="nil"/>
              <w:tr2bl w:val="nil"/>
            </w:tcBorders>
            <w:tcMar>
              <w:top w:w="15" w:type="dxa"/>
              <w:left w:w="15" w:type="dxa"/>
              <w:bottom w:w="0" w:type="dxa"/>
              <w:right w:w="15" w:type="dxa"/>
            </w:tcMar>
            <w:vAlign w:val="center"/>
          </w:tcPr>
          <w:p w14:paraId="4F62BDE5">
            <w:pPr>
              <w:spacing w:line="240" w:lineRule="auto"/>
              <w:ind w:firstLine="0" w:firstLineChars="0"/>
              <w:jc w:val="center"/>
              <w:rPr>
                <w:color w:val="auto"/>
                <w:sz w:val="21"/>
                <w:szCs w:val="21"/>
              </w:rPr>
            </w:pPr>
            <w:r>
              <w:rPr>
                <w:color w:val="auto"/>
                <w:sz w:val="21"/>
                <w:szCs w:val="21"/>
              </w:rPr>
              <w:t>0.57</w:t>
            </w:r>
          </w:p>
        </w:tc>
      </w:tr>
      <w:tr w14:paraId="054AD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0" w:hRule="atLeast"/>
          <w:jc w:val="center"/>
        </w:trPr>
        <w:tc>
          <w:tcPr>
            <w:tcW w:w="304" w:type="pct"/>
            <w:vMerge w:val="continue"/>
            <w:tcBorders>
              <w:tl2br w:val="nil"/>
              <w:tr2bl w:val="nil"/>
            </w:tcBorders>
            <w:vAlign w:val="center"/>
          </w:tcPr>
          <w:p w14:paraId="3B2BAB5A">
            <w:pPr>
              <w:widowControl/>
              <w:spacing w:line="240" w:lineRule="auto"/>
              <w:ind w:firstLine="0" w:firstLineChars="0"/>
              <w:jc w:val="center"/>
              <w:rPr>
                <w:color w:val="auto"/>
                <w:sz w:val="21"/>
                <w:szCs w:val="21"/>
              </w:rPr>
            </w:pPr>
          </w:p>
        </w:tc>
        <w:tc>
          <w:tcPr>
            <w:tcW w:w="557" w:type="pct"/>
            <w:tcBorders>
              <w:tl2br w:val="nil"/>
              <w:tr2bl w:val="nil"/>
            </w:tcBorders>
            <w:tcMar>
              <w:top w:w="15" w:type="dxa"/>
              <w:left w:w="15" w:type="dxa"/>
              <w:bottom w:w="0" w:type="dxa"/>
              <w:right w:w="15" w:type="dxa"/>
            </w:tcMar>
            <w:vAlign w:val="center"/>
          </w:tcPr>
          <w:p w14:paraId="15596A73">
            <w:pPr>
              <w:spacing w:line="240" w:lineRule="auto"/>
              <w:ind w:firstLine="0" w:firstLineChars="0"/>
              <w:jc w:val="center"/>
              <w:rPr>
                <w:color w:val="auto"/>
                <w:sz w:val="21"/>
                <w:szCs w:val="21"/>
              </w:rPr>
            </w:pPr>
            <w:r>
              <w:rPr>
                <w:rFonts w:hint="eastAsia"/>
                <w:color w:val="auto"/>
                <w:sz w:val="21"/>
                <w:szCs w:val="21"/>
              </w:rPr>
              <w:t>&gt;</w:t>
            </w:r>
            <w:r>
              <w:rPr>
                <w:color w:val="auto"/>
                <w:sz w:val="21"/>
                <w:szCs w:val="21"/>
              </w:rPr>
              <w:t>2</w:t>
            </w:r>
          </w:p>
        </w:tc>
        <w:tc>
          <w:tcPr>
            <w:tcW w:w="1162" w:type="pct"/>
            <w:gridSpan w:val="3"/>
            <w:tcBorders>
              <w:tl2br w:val="nil"/>
              <w:tr2bl w:val="nil"/>
            </w:tcBorders>
            <w:tcMar>
              <w:top w:w="15" w:type="dxa"/>
              <w:left w:w="15" w:type="dxa"/>
              <w:bottom w:w="0" w:type="dxa"/>
              <w:right w:w="15" w:type="dxa"/>
            </w:tcMar>
            <w:vAlign w:val="center"/>
          </w:tcPr>
          <w:p w14:paraId="22556D95">
            <w:pPr>
              <w:spacing w:line="240" w:lineRule="auto"/>
              <w:ind w:firstLine="0" w:firstLineChars="0"/>
              <w:jc w:val="center"/>
              <w:rPr>
                <w:color w:val="auto"/>
                <w:sz w:val="21"/>
                <w:szCs w:val="21"/>
              </w:rPr>
            </w:pPr>
            <w:r>
              <w:rPr>
                <w:color w:val="auto"/>
                <w:sz w:val="21"/>
                <w:szCs w:val="21"/>
              </w:rPr>
              <w:t>0.84*</w:t>
            </w:r>
          </w:p>
        </w:tc>
        <w:tc>
          <w:tcPr>
            <w:tcW w:w="1162" w:type="pct"/>
            <w:gridSpan w:val="3"/>
            <w:tcBorders>
              <w:tl2br w:val="nil"/>
              <w:tr2bl w:val="nil"/>
            </w:tcBorders>
            <w:tcMar>
              <w:top w:w="15" w:type="dxa"/>
              <w:left w:w="15" w:type="dxa"/>
              <w:bottom w:w="0" w:type="dxa"/>
              <w:right w:w="15" w:type="dxa"/>
            </w:tcMar>
            <w:vAlign w:val="center"/>
          </w:tcPr>
          <w:p w14:paraId="4259C29F">
            <w:pPr>
              <w:spacing w:line="240" w:lineRule="auto"/>
              <w:ind w:firstLine="0" w:firstLineChars="0"/>
              <w:jc w:val="center"/>
              <w:rPr>
                <w:color w:val="auto"/>
                <w:sz w:val="21"/>
                <w:szCs w:val="21"/>
              </w:rPr>
            </w:pPr>
            <w:r>
              <w:rPr>
                <w:color w:val="auto"/>
                <w:sz w:val="21"/>
                <w:szCs w:val="21"/>
              </w:rPr>
              <w:t>0.84</w:t>
            </w:r>
          </w:p>
        </w:tc>
        <w:tc>
          <w:tcPr>
            <w:tcW w:w="1813" w:type="pct"/>
            <w:gridSpan w:val="3"/>
            <w:tcBorders>
              <w:tl2br w:val="nil"/>
              <w:tr2bl w:val="nil"/>
            </w:tcBorders>
            <w:tcMar>
              <w:top w:w="15" w:type="dxa"/>
              <w:left w:w="15" w:type="dxa"/>
              <w:bottom w:w="0" w:type="dxa"/>
              <w:right w:w="15" w:type="dxa"/>
            </w:tcMar>
            <w:vAlign w:val="center"/>
          </w:tcPr>
          <w:p w14:paraId="088C3145">
            <w:pPr>
              <w:spacing w:line="240" w:lineRule="auto"/>
              <w:ind w:firstLine="0" w:firstLineChars="0"/>
              <w:jc w:val="center"/>
              <w:rPr>
                <w:color w:val="auto"/>
                <w:sz w:val="21"/>
                <w:szCs w:val="21"/>
              </w:rPr>
            </w:pPr>
            <w:r>
              <w:rPr>
                <w:color w:val="auto"/>
                <w:sz w:val="21"/>
                <w:szCs w:val="21"/>
              </w:rPr>
              <w:t>0.76</w:t>
            </w:r>
          </w:p>
        </w:tc>
      </w:tr>
    </w:tbl>
    <w:p w14:paraId="247DB2AF">
      <w:pPr>
        <w:ind w:firstLine="480"/>
        <w:rPr>
          <w:color w:val="auto"/>
        </w:rPr>
      </w:pPr>
      <w:r>
        <w:rPr>
          <w:color w:val="auto"/>
        </w:rPr>
        <w:t>（3）计算结果</w:t>
      </w:r>
    </w:p>
    <w:p w14:paraId="053CBBC5">
      <w:pPr>
        <w:ind w:firstLine="480"/>
        <w:rPr>
          <w:b/>
          <w:color w:val="auto"/>
        </w:rPr>
      </w:pPr>
      <w:r>
        <w:rPr>
          <w:color w:val="auto"/>
        </w:rPr>
        <w:t>本项目各无组织排放源的卫生防护距离计算结果表见表</w:t>
      </w:r>
      <w:r>
        <w:rPr>
          <w:rFonts w:hint="eastAsia"/>
          <w:color w:val="auto"/>
        </w:rPr>
        <w:t>6.2.1</w:t>
      </w:r>
      <w:r>
        <w:rPr>
          <w:color w:val="auto"/>
        </w:rPr>
        <w:t>-</w:t>
      </w:r>
      <w:r>
        <w:rPr>
          <w:rFonts w:hint="eastAsia"/>
          <w:color w:val="auto"/>
        </w:rPr>
        <w:t>12</w:t>
      </w:r>
      <w:r>
        <w:rPr>
          <w:color w:val="auto"/>
        </w:rPr>
        <w:t>。</w:t>
      </w:r>
    </w:p>
    <w:p w14:paraId="05FC2007">
      <w:pPr>
        <w:autoSpaceDE w:val="0"/>
        <w:autoSpaceDN w:val="0"/>
        <w:spacing w:line="240" w:lineRule="auto"/>
        <w:ind w:firstLine="0" w:firstLineChars="0"/>
        <w:jc w:val="center"/>
        <w:rPr>
          <w:b/>
          <w:color w:val="auto"/>
        </w:rPr>
      </w:pPr>
      <w:r>
        <w:rPr>
          <w:b/>
          <w:color w:val="auto"/>
        </w:rPr>
        <w:t>表</w:t>
      </w:r>
      <w:r>
        <w:rPr>
          <w:rFonts w:hint="eastAsia"/>
          <w:b/>
          <w:color w:val="auto"/>
        </w:rPr>
        <w:t>6.2.1-12</w:t>
      </w:r>
      <w:r>
        <w:rPr>
          <w:b/>
          <w:color w:val="auto"/>
        </w:rPr>
        <w:t xml:space="preserve">  项目卫生防护距离计算表</w:t>
      </w:r>
    </w:p>
    <w:tbl>
      <w:tblPr>
        <w:tblStyle w:val="88"/>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79"/>
        <w:gridCol w:w="1147"/>
        <w:gridCol w:w="1053"/>
        <w:gridCol w:w="1031"/>
        <w:gridCol w:w="1409"/>
        <w:gridCol w:w="1114"/>
        <w:gridCol w:w="1256"/>
        <w:gridCol w:w="1003"/>
      </w:tblGrid>
      <w:tr w14:paraId="6C23F4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8" w:type="pct"/>
            <w:tcBorders>
              <w:tl2br w:val="nil"/>
              <w:tr2bl w:val="nil"/>
            </w:tcBorders>
            <w:vAlign w:val="center"/>
          </w:tcPr>
          <w:p w14:paraId="34656D82">
            <w:pPr>
              <w:widowControl/>
              <w:spacing w:line="240" w:lineRule="auto"/>
              <w:ind w:firstLine="0" w:firstLineChars="0"/>
              <w:jc w:val="center"/>
              <w:rPr>
                <w:b/>
                <w:bCs/>
                <w:color w:val="auto"/>
                <w:sz w:val="21"/>
                <w:szCs w:val="21"/>
              </w:rPr>
            </w:pPr>
            <w:r>
              <w:rPr>
                <w:b/>
                <w:bCs/>
                <w:color w:val="auto"/>
                <w:sz w:val="21"/>
                <w:szCs w:val="21"/>
              </w:rPr>
              <w:t>污染源</w:t>
            </w:r>
          </w:p>
          <w:p w14:paraId="3226DA36">
            <w:pPr>
              <w:widowControl/>
              <w:spacing w:line="240" w:lineRule="auto"/>
              <w:ind w:firstLine="0" w:firstLineChars="0"/>
              <w:jc w:val="center"/>
              <w:rPr>
                <w:b/>
                <w:bCs/>
                <w:color w:val="auto"/>
                <w:sz w:val="21"/>
                <w:szCs w:val="21"/>
              </w:rPr>
            </w:pPr>
            <w:r>
              <w:rPr>
                <w:b/>
                <w:bCs/>
                <w:color w:val="auto"/>
                <w:sz w:val="21"/>
                <w:szCs w:val="21"/>
              </w:rPr>
              <w:t>位置</w:t>
            </w:r>
          </w:p>
        </w:tc>
        <w:tc>
          <w:tcPr>
            <w:tcW w:w="614" w:type="pct"/>
            <w:tcBorders>
              <w:tl2br w:val="nil"/>
              <w:tr2bl w:val="nil"/>
            </w:tcBorders>
            <w:vAlign w:val="center"/>
          </w:tcPr>
          <w:p w14:paraId="178E161F">
            <w:pPr>
              <w:widowControl/>
              <w:spacing w:line="240" w:lineRule="auto"/>
              <w:ind w:firstLine="0" w:firstLineChars="0"/>
              <w:jc w:val="center"/>
              <w:rPr>
                <w:b/>
                <w:bCs/>
                <w:color w:val="auto"/>
                <w:sz w:val="21"/>
                <w:szCs w:val="21"/>
              </w:rPr>
            </w:pPr>
            <w:r>
              <w:rPr>
                <w:b/>
                <w:bCs/>
                <w:color w:val="auto"/>
                <w:sz w:val="21"/>
                <w:szCs w:val="21"/>
              </w:rPr>
              <w:t>污染物名称</w:t>
            </w:r>
          </w:p>
        </w:tc>
        <w:tc>
          <w:tcPr>
            <w:tcW w:w="564" w:type="pct"/>
            <w:tcBorders>
              <w:tl2br w:val="nil"/>
              <w:tr2bl w:val="nil"/>
            </w:tcBorders>
            <w:vAlign w:val="center"/>
          </w:tcPr>
          <w:p w14:paraId="40F36832">
            <w:pPr>
              <w:widowControl/>
              <w:spacing w:line="240" w:lineRule="auto"/>
              <w:ind w:firstLine="0" w:firstLineChars="0"/>
              <w:jc w:val="center"/>
              <w:rPr>
                <w:b/>
                <w:bCs/>
                <w:color w:val="auto"/>
                <w:sz w:val="21"/>
                <w:szCs w:val="21"/>
              </w:rPr>
            </w:pPr>
            <w:r>
              <w:rPr>
                <w:b/>
                <w:bCs/>
                <w:color w:val="auto"/>
                <w:sz w:val="21"/>
                <w:szCs w:val="21"/>
              </w:rPr>
              <w:t>面源有效高度</w:t>
            </w:r>
            <w:r>
              <w:rPr>
                <w:rFonts w:hint="eastAsia"/>
                <w:b/>
                <w:bCs/>
                <w:color w:val="auto"/>
                <w:sz w:val="21"/>
                <w:szCs w:val="21"/>
              </w:rPr>
              <w:t>（</w:t>
            </w:r>
            <w:r>
              <w:rPr>
                <w:b/>
                <w:bCs/>
                <w:color w:val="auto"/>
                <w:sz w:val="21"/>
                <w:szCs w:val="21"/>
              </w:rPr>
              <w:t>m</w:t>
            </w:r>
            <w:r>
              <w:rPr>
                <w:rFonts w:hint="eastAsia"/>
                <w:b/>
                <w:bCs/>
                <w:color w:val="auto"/>
                <w:sz w:val="21"/>
                <w:szCs w:val="21"/>
              </w:rPr>
              <w:t>）</w:t>
            </w:r>
          </w:p>
        </w:tc>
        <w:tc>
          <w:tcPr>
            <w:tcW w:w="552" w:type="pct"/>
            <w:tcBorders>
              <w:tl2br w:val="nil"/>
              <w:tr2bl w:val="nil"/>
            </w:tcBorders>
            <w:vAlign w:val="center"/>
          </w:tcPr>
          <w:p w14:paraId="54F12433">
            <w:pPr>
              <w:widowControl/>
              <w:spacing w:line="240" w:lineRule="auto"/>
              <w:ind w:firstLine="0" w:firstLineChars="0"/>
              <w:jc w:val="center"/>
              <w:rPr>
                <w:b/>
                <w:bCs/>
                <w:color w:val="auto"/>
                <w:sz w:val="21"/>
                <w:szCs w:val="21"/>
              </w:rPr>
            </w:pPr>
            <w:r>
              <w:rPr>
                <w:b/>
                <w:bCs/>
                <w:color w:val="auto"/>
                <w:sz w:val="21"/>
                <w:szCs w:val="21"/>
              </w:rPr>
              <w:t>面源面积</w:t>
            </w:r>
            <w:r>
              <w:rPr>
                <w:rFonts w:hint="eastAsia"/>
                <w:b/>
                <w:bCs/>
                <w:color w:val="auto"/>
                <w:sz w:val="21"/>
                <w:szCs w:val="21"/>
              </w:rPr>
              <w:t>（</w:t>
            </w:r>
            <w:r>
              <w:rPr>
                <w:b/>
                <w:bCs/>
                <w:color w:val="auto"/>
                <w:sz w:val="21"/>
                <w:szCs w:val="21"/>
              </w:rPr>
              <w:t>m</w:t>
            </w:r>
            <w:r>
              <w:rPr>
                <w:b/>
                <w:bCs/>
                <w:color w:val="auto"/>
                <w:sz w:val="21"/>
                <w:szCs w:val="21"/>
                <w:vertAlign w:val="superscript"/>
              </w:rPr>
              <w:t>2</w:t>
            </w:r>
            <w:r>
              <w:rPr>
                <w:b/>
                <w:bCs/>
                <w:color w:val="auto"/>
                <w:sz w:val="21"/>
                <w:szCs w:val="21"/>
              </w:rPr>
              <w:t>）</w:t>
            </w:r>
          </w:p>
        </w:tc>
        <w:tc>
          <w:tcPr>
            <w:tcW w:w="753" w:type="pct"/>
            <w:tcBorders>
              <w:tl2br w:val="nil"/>
              <w:tr2bl w:val="nil"/>
            </w:tcBorders>
            <w:vAlign w:val="center"/>
          </w:tcPr>
          <w:p w14:paraId="420690CB">
            <w:pPr>
              <w:widowControl/>
              <w:spacing w:line="240" w:lineRule="auto"/>
              <w:ind w:firstLine="0" w:firstLineChars="0"/>
              <w:jc w:val="center"/>
              <w:rPr>
                <w:b/>
                <w:bCs/>
                <w:color w:val="auto"/>
                <w:sz w:val="21"/>
                <w:szCs w:val="21"/>
              </w:rPr>
            </w:pPr>
            <w:r>
              <w:rPr>
                <w:b/>
                <w:bCs/>
                <w:color w:val="auto"/>
                <w:sz w:val="21"/>
                <w:szCs w:val="21"/>
              </w:rPr>
              <w:t>污染物排放速率</w:t>
            </w:r>
            <w:r>
              <w:rPr>
                <w:rFonts w:hint="eastAsia"/>
                <w:b/>
                <w:bCs/>
                <w:color w:val="auto"/>
                <w:sz w:val="21"/>
                <w:szCs w:val="21"/>
              </w:rPr>
              <w:t>（</w:t>
            </w:r>
            <w:r>
              <w:rPr>
                <w:b/>
                <w:bCs/>
                <w:color w:val="auto"/>
                <w:sz w:val="21"/>
                <w:szCs w:val="21"/>
              </w:rPr>
              <w:t>kg/h</w:t>
            </w:r>
            <w:r>
              <w:rPr>
                <w:rFonts w:hint="eastAsia"/>
                <w:b/>
                <w:bCs/>
                <w:color w:val="auto"/>
                <w:sz w:val="21"/>
                <w:szCs w:val="21"/>
              </w:rPr>
              <w:t>）</w:t>
            </w:r>
          </w:p>
        </w:tc>
        <w:tc>
          <w:tcPr>
            <w:tcW w:w="566" w:type="pct"/>
            <w:tcBorders>
              <w:tl2br w:val="nil"/>
              <w:tr2bl w:val="nil"/>
            </w:tcBorders>
            <w:vAlign w:val="center"/>
          </w:tcPr>
          <w:p w14:paraId="10ED948A">
            <w:pPr>
              <w:widowControl/>
              <w:spacing w:line="240" w:lineRule="auto"/>
              <w:ind w:firstLine="0" w:firstLineChars="0"/>
              <w:jc w:val="center"/>
              <w:rPr>
                <w:b/>
                <w:bCs/>
                <w:color w:val="auto"/>
                <w:sz w:val="21"/>
                <w:szCs w:val="21"/>
              </w:rPr>
            </w:pPr>
            <w:r>
              <w:rPr>
                <w:b/>
                <w:bCs/>
                <w:color w:val="auto"/>
                <w:sz w:val="21"/>
                <w:szCs w:val="21"/>
              </w:rPr>
              <w:t>小时评价标准</w:t>
            </w:r>
            <w:r>
              <w:rPr>
                <w:rFonts w:hint="eastAsia"/>
                <w:b/>
                <w:bCs/>
                <w:color w:val="auto"/>
                <w:sz w:val="21"/>
                <w:szCs w:val="21"/>
              </w:rPr>
              <w:t>（</w:t>
            </w:r>
            <w:r>
              <w:rPr>
                <w:b/>
                <w:bCs/>
                <w:color w:val="auto"/>
                <w:sz w:val="21"/>
                <w:szCs w:val="21"/>
              </w:rPr>
              <w:t>mg/m</w:t>
            </w:r>
            <w:r>
              <w:rPr>
                <w:b/>
                <w:bCs/>
                <w:color w:val="auto"/>
                <w:sz w:val="21"/>
                <w:szCs w:val="21"/>
                <w:vertAlign w:val="superscript"/>
              </w:rPr>
              <w:t>3</w:t>
            </w:r>
            <w:r>
              <w:rPr>
                <w:rFonts w:hint="eastAsia"/>
                <w:b/>
                <w:bCs/>
                <w:color w:val="auto"/>
                <w:sz w:val="21"/>
                <w:szCs w:val="21"/>
                <w:vertAlign w:val="superscript"/>
              </w:rPr>
              <w:t>）</w:t>
            </w:r>
          </w:p>
        </w:tc>
        <w:tc>
          <w:tcPr>
            <w:tcW w:w="672" w:type="pct"/>
            <w:tcBorders>
              <w:tl2br w:val="nil"/>
              <w:tr2bl w:val="nil"/>
            </w:tcBorders>
            <w:vAlign w:val="center"/>
          </w:tcPr>
          <w:p w14:paraId="05682EFA">
            <w:pPr>
              <w:widowControl/>
              <w:spacing w:line="240" w:lineRule="auto"/>
              <w:ind w:firstLine="0" w:firstLineChars="0"/>
              <w:jc w:val="center"/>
              <w:rPr>
                <w:b/>
                <w:bCs/>
                <w:color w:val="auto"/>
                <w:sz w:val="21"/>
                <w:szCs w:val="21"/>
              </w:rPr>
            </w:pPr>
            <w:r>
              <w:rPr>
                <w:b/>
                <w:bCs/>
                <w:color w:val="auto"/>
                <w:sz w:val="21"/>
                <w:szCs w:val="21"/>
              </w:rPr>
              <w:t>卫生防护距离计算值（m）</w:t>
            </w:r>
          </w:p>
        </w:tc>
        <w:tc>
          <w:tcPr>
            <w:tcW w:w="537" w:type="pct"/>
            <w:tcBorders>
              <w:tl2br w:val="nil"/>
              <w:tr2bl w:val="nil"/>
            </w:tcBorders>
            <w:vAlign w:val="center"/>
          </w:tcPr>
          <w:p w14:paraId="08DEF32F">
            <w:pPr>
              <w:widowControl/>
              <w:spacing w:line="240" w:lineRule="auto"/>
              <w:ind w:firstLine="0" w:firstLineChars="0"/>
              <w:jc w:val="center"/>
              <w:rPr>
                <w:b/>
                <w:bCs/>
                <w:color w:val="auto"/>
                <w:sz w:val="21"/>
                <w:szCs w:val="21"/>
              </w:rPr>
            </w:pPr>
            <w:r>
              <w:rPr>
                <w:b/>
                <w:bCs/>
                <w:color w:val="auto"/>
                <w:sz w:val="21"/>
                <w:szCs w:val="21"/>
              </w:rPr>
              <w:t>卫生防护距离（m）</w:t>
            </w:r>
          </w:p>
        </w:tc>
      </w:tr>
      <w:tr w14:paraId="71B0B8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38" w:type="pct"/>
            <w:vMerge w:val="restart"/>
            <w:tcBorders>
              <w:tl2br w:val="nil"/>
              <w:tr2bl w:val="nil"/>
            </w:tcBorders>
            <w:vAlign w:val="center"/>
          </w:tcPr>
          <w:p w14:paraId="3A6F00FE">
            <w:pPr>
              <w:spacing w:line="240" w:lineRule="auto"/>
              <w:ind w:firstLine="0" w:firstLineChars="0"/>
              <w:jc w:val="center"/>
              <w:rPr>
                <w:color w:val="auto"/>
                <w:sz w:val="21"/>
                <w:szCs w:val="21"/>
              </w:rPr>
            </w:pPr>
            <w:r>
              <w:rPr>
                <w:rFonts w:hint="eastAsia"/>
                <w:color w:val="auto"/>
                <w:sz w:val="21"/>
                <w:szCs w:val="21"/>
              </w:rPr>
              <w:t>厂房</w:t>
            </w:r>
          </w:p>
        </w:tc>
        <w:tc>
          <w:tcPr>
            <w:tcW w:w="614" w:type="pct"/>
            <w:tcBorders>
              <w:tl2br w:val="nil"/>
              <w:tr2bl w:val="nil"/>
            </w:tcBorders>
            <w:vAlign w:val="center"/>
          </w:tcPr>
          <w:p w14:paraId="4F85F042">
            <w:pPr>
              <w:spacing w:line="240" w:lineRule="auto"/>
              <w:ind w:firstLine="0" w:firstLineChars="0"/>
              <w:jc w:val="center"/>
              <w:rPr>
                <w:color w:val="auto"/>
                <w:sz w:val="21"/>
                <w:szCs w:val="21"/>
              </w:rPr>
            </w:pPr>
            <w:r>
              <w:rPr>
                <w:color w:val="auto"/>
                <w:sz w:val="21"/>
                <w:szCs w:val="21"/>
              </w:rPr>
              <w:t>颗粒物</w:t>
            </w:r>
          </w:p>
        </w:tc>
        <w:tc>
          <w:tcPr>
            <w:tcW w:w="564" w:type="pct"/>
            <w:vMerge w:val="restart"/>
            <w:tcBorders>
              <w:tl2br w:val="nil"/>
              <w:tr2bl w:val="nil"/>
            </w:tcBorders>
            <w:vAlign w:val="center"/>
          </w:tcPr>
          <w:p w14:paraId="605EE19A">
            <w:pPr>
              <w:spacing w:line="240" w:lineRule="auto"/>
              <w:ind w:firstLine="0" w:firstLineChars="0"/>
              <w:jc w:val="center"/>
              <w:rPr>
                <w:color w:val="auto"/>
                <w:sz w:val="21"/>
                <w:szCs w:val="21"/>
              </w:rPr>
            </w:pPr>
            <w:r>
              <w:rPr>
                <w:rFonts w:hint="eastAsia"/>
                <w:color w:val="auto"/>
                <w:sz w:val="21"/>
                <w:szCs w:val="21"/>
              </w:rPr>
              <w:t>24.9</w:t>
            </w:r>
          </w:p>
        </w:tc>
        <w:tc>
          <w:tcPr>
            <w:tcW w:w="552" w:type="pct"/>
            <w:vMerge w:val="restart"/>
            <w:tcBorders>
              <w:tl2br w:val="nil"/>
              <w:tr2bl w:val="nil"/>
            </w:tcBorders>
            <w:vAlign w:val="center"/>
          </w:tcPr>
          <w:p w14:paraId="3301B1AE">
            <w:pPr>
              <w:spacing w:line="240" w:lineRule="auto"/>
              <w:ind w:firstLine="0" w:firstLineChars="0"/>
              <w:jc w:val="center"/>
              <w:rPr>
                <w:color w:val="auto"/>
                <w:sz w:val="21"/>
                <w:szCs w:val="21"/>
              </w:rPr>
            </w:pPr>
            <w:r>
              <w:rPr>
                <w:rFonts w:hint="eastAsia"/>
                <w:color w:val="auto"/>
                <w:sz w:val="21"/>
                <w:szCs w:val="21"/>
              </w:rPr>
              <w:t>56445</w:t>
            </w:r>
          </w:p>
        </w:tc>
        <w:tc>
          <w:tcPr>
            <w:tcW w:w="753" w:type="pct"/>
            <w:tcBorders>
              <w:tl2br w:val="nil"/>
              <w:tr2bl w:val="nil"/>
            </w:tcBorders>
            <w:vAlign w:val="center"/>
          </w:tcPr>
          <w:p w14:paraId="630A26CB">
            <w:pPr>
              <w:widowControl/>
              <w:spacing w:line="240" w:lineRule="auto"/>
              <w:ind w:firstLine="0" w:firstLineChars="0"/>
              <w:jc w:val="center"/>
              <w:textAlignment w:val="center"/>
              <w:rPr>
                <w:color w:val="auto"/>
                <w:sz w:val="21"/>
                <w:szCs w:val="21"/>
              </w:rPr>
            </w:pPr>
            <w:r>
              <w:rPr>
                <w:rFonts w:hint="eastAsia"/>
                <w:color w:val="auto"/>
                <w:sz w:val="21"/>
                <w:szCs w:val="21"/>
              </w:rPr>
              <w:t>0.316</w:t>
            </w:r>
          </w:p>
        </w:tc>
        <w:tc>
          <w:tcPr>
            <w:tcW w:w="566" w:type="pct"/>
            <w:tcBorders>
              <w:tl2br w:val="nil"/>
              <w:tr2bl w:val="nil"/>
            </w:tcBorders>
            <w:vAlign w:val="center"/>
          </w:tcPr>
          <w:p w14:paraId="177F17A2">
            <w:pPr>
              <w:spacing w:line="240" w:lineRule="auto"/>
              <w:ind w:firstLine="0" w:firstLineChars="0"/>
              <w:jc w:val="center"/>
              <w:rPr>
                <w:color w:val="auto"/>
                <w:sz w:val="21"/>
                <w:szCs w:val="21"/>
              </w:rPr>
            </w:pPr>
            <w:r>
              <w:rPr>
                <w:rFonts w:hint="eastAsia"/>
                <w:color w:val="auto"/>
                <w:sz w:val="21"/>
                <w:szCs w:val="21"/>
              </w:rPr>
              <w:t>0.9</w:t>
            </w:r>
          </w:p>
        </w:tc>
        <w:tc>
          <w:tcPr>
            <w:tcW w:w="672" w:type="pct"/>
            <w:tcBorders>
              <w:tl2br w:val="nil"/>
              <w:tr2bl w:val="nil"/>
            </w:tcBorders>
            <w:vAlign w:val="center"/>
          </w:tcPr>
          <w:p w14:paraId="01BA6C2F">
            <w:pPr>
              <w:spacing w:line="240" w:lineRule="auto"/>
              <w:ind w:firstLine="0" w:firstLineChars="0"/>
              <w:jc w:val="center"/>
              <w:rPr>
                <w:color w:val="auto"/>
                <w:sz w:val="21"/>
                <w:szCs w:val="21"/>
              </w:rPr>
            </w:pPr>
            <w:r>
              <w:rPr>
                <w:rFonts w:hint="eastAsia"/>
                <w:color w:val="auto"/>
                <w:sz w:val="21"/>
                <w:szCs w:val="21"/>
              </w:rPr>
              <w:t>2.754</w:t>
            </w:r>
          </w:p>
        </w:tc>
        <w:tc>
          <w:tcPr>
            <w:tcW w:w="537" w:type="pct"/>
            <w:tcBorders>
              <w:tl2br w:val="nil"/>
              <w:tr2bl w:val="nil"/>
            </w:tcBorders>
            <w:vAlign w:val="center"/>
          </w:tcPr>
          <w:p w14:paraId="67D501BE">
            <w:pPr>
              <w:spacing w:line="240" w:lineRule="auto"/>
              <w:ind w:firstLine="0" w:firstLineChars="0"/>
              <w:jc w:val="center"/>
              <w:rPr>
                <w:color w:val="auto"/>
                <w:sz w:val="21"/>
                <w:szCs w:val="21"/>
              </w:rPr>
            </w:pPr>
            <w:r>
              <w:rPr>
                <w:rFonts w:hint="eastAsia"/>
                <w:color w:val="auto"/>
                <w:sz w:val="21"/>
                <w:szCs w:val="21"/>
              </w:rPr>
              <w:t>50</w:t>
            </w:r>
          </w:p>
        </w:tc>
      </w:tr>
      <w:tr w14:paraId="047C23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38" w:type="pct"/>
            <w:vMerge w:val="continue"/>
            <w:tcBorders>
              <w:tl2br w:val="nil"/>
              <w:tr2bl w:val="nil"/>
            </w:tcBorders>
            <w:vAlign w:val="center"/>
          </w:tcPr>
          <w:p w14:paraId="23A22B17">
            <w:pPr>
              <w:spacing w:line="240" w:lineRule="auto"/>
              <w:ind w:firstLine="0" w:firstLineChars="0"/>
              <w:jc w:val="center"/>
              <w:rPr>
                <w:color w:val="auto"/>
                <w:sz w:val="21"/>
                <w:szCs w:val="21"/>
              </w:rPr>
            </w:pPr>
          </w:p>
        </w:tc>
        <w:tc>
          <w:tcPr>
            <w:tcW w:w="614" w:type="pct"/>
            <w:tcBorders>
              <w:tl2br w:val="nil"/>
              <w:tr2bl w:val="nil"/>
            </w:tcBorders>
            <w:vAlign w:val="center"/>
          </w:tcPr>
          <w:p w14:paraId="1F5BD41E">
            <w:pPr>
              <w:spacing w:line="240" w:lineRule="auto"/>
              <w:ind w:firstLine="0" w:firstLineChars="0"/>
              <w:jc w:val="center"/>
              <w:rPr>
                <w:color w:val="auto"/>
                <w:sz w:val="21"/>
                <w:szCs w:val="21"/>
              </w:rPr>
            </w:pPr>
            <w:r>
              <w:rPr>
                <w:rFonts w:hint="eastAsia"/>
                <w:color w:val="auto"/>
                <w:sz w:val="21"/>
                <w:szCs w:val="21"/>
              </w:rPr>
              <w:t>硫酸雾</w:t>
            </w:r>
          </w:p>
        </w:tc>
        <w:tc>
          <w:tcPr>
            <w:tcW w:w="564" w:type="pct"/>
            <w:vMerge w:val="continue"/>
            <w:tcBorders>
              <w:tl2br w:val="nil"/>
              <w:tr2bl w:val="nil"/>
            </w:tcBorders>
            <w:vAlign w:val="center"/>
          </w:tcPr>
          <w:p w14:paraId="20E556AC">
            <w:pPr>
              <w:spacing w:line="240" w:lineRule="auto"/>
              <w:ind w:firstLine="0" w:firstLineChars="0"/>
              <w:jc w:val="center"/>
              <w:rPr>
                <w:color w:val="auto"/>
                <w:sz w:val="21"/>
                <w:szCs w:val="21"/>
              </w:rPr>
            </w:pPr>
          </w:p>
        </w:tc>
        <w:tc>
          <w:tcPr>
            <w:tcW w:w="552" w:type="pct"/>
            <w:vMerge w:val="continue"/>
            <w:tcBorders>
              <w:tl2br w:val="nil"/>
              <w:tr2bl w:val="nil"/>
            </w:tcBorders>
            <w:vAlign w:val="center"/>
          </w:tcPr>
          <w:p w14:paraId="193ABACF">
            <w:pPr>
              <w:spacing w:line="240" w:lineRule="auto"/>
              <w:ind w:firstLine="0" w:firstLineChars="0"/>
              <w:jc w:val="center"/>
              <w:rPr>
                <w:color w:val="auto"/>
                <w:sz w:val="21"/>
                <w:szCs w:val="21"/>
              </w:rPr>
            </w:pPr>
          </w:p>
        </w:tc>
        <w:tc>
          <w:tcPr>
            <w:tcW w:w="753" w:type="pct"/>
            <w:tcBorders>
              <w:tl2br w:val="nil"/>
              <w:tr2bl w:val="nil"/>
            </w:tcBorders>
            <w:vAlign w:val="center"/>
          </w:tcPr>
          <w:p w14:paraId="7D1D651F">
            <w:pPr>
              <w:widowControl/>
              <w:spacing w:line="240" w:lineRule="auto"/>
              <w:ind w:firstLine="0" w:firstLineChars="0"/>
              <w:jc w:val="center"/>
              <w:textAlignment w:val="center"/>
              <w:rPr>
                <w:color w:val="auto"/>
                <w:sz w:val="21"/>
                <w:szCs w:val="21"/>
                <w:lang w:bidi="ar"/>
              </w:rPr>
            </w:pPr>
            <w:r>
              <w:rPr>
                <w:rFonts w:hint="eastAsia"/>
                <w:color w:val="auto"/>
                <w:sz w:val="21"/>
                <w:szCs w:val="21"/>
              </w:rPr>
              <w:t>0.264</w:t>
            </w:r>
          </w:p>
        </w:tc>
        <w:tc>
          <w:tcPr>
            <w:tcW w:w="566" w:type="pct"/>
            <w:tcBorders>
              <w:tl2br w:val="nil"/>
              <w:tr2bl w:val="nil"/>
            </w:tcBorders>
            <w:vAlign w:val="center"/>
          </w:tcPr>
          <w:p w14:paraId="6BBD52DD">
            <w:pPr>
              <w:spacing w:line="240" w:lineRule="auto"/>
              <w:ind w:firstLine="0" w:firstLineChars="0"/>
              <w:jc w:val="center"/>
              <w:rPr>
                <w:color w:val="auto"/>
                <w:sz w:val="21"/>
                <w:szCs w:val="21"/>
              </w:rPr>
            </w:pPr>
            <w:r>
              <w:rPr>
                <w:rFonts w:hint="eastAsia"/>
                <w:color w:val="auto"/>
                <w:sz w:val="21"/>
                <w:szCs w:val="21"/>
              </w:rPr>
              <w:t>0.3</w:t>
            </w:r>
          </w:p>
        </w:tc>
        <w:tc>
          <w:tcPr>
            <w:tcW w:w="672" w:type="pct"/>
            <w:tcBorders>
              <w:tl2br w:val="nil"/>
              <w:tr2bl w:val="nil"/>
            </w:tcBorders>
            <w:vAlign w:val="center"/>
          </w:tcPr>
          <w:p w14:paraId="5920EB2F">
            <w:pPr>
              <w:spacing w:line="240" w:lineRule="auto"/>
              <w:ind w:firstLine="0" w:firstLineChars="0"/>
              <w:jc w:val="center"/>
              <w:rPr>
                <w:color w:val="auto"/>
                <w:sz w:val="21"/>
                <w:szCs w:val="21"/>
              </w:rPr>
            </w:pPr>
            <w:r>
              <w:rPr>
                <w:rFonts w:hint="eastAsia"/>
                <w:color w:val="auto"/>
                <w:sz w:val="21"/>
                <w:szCs w:val="21"/>
              </w:rPr>
              <w:t>8.727</w:t>
            </w:r>
          </w:p>
        </w:tc>
        <w:tc>
          <w:tcPr>
            <w:tcW w:w="537" w:type="pct"/>
            <w:tcBorders>
              <w:tl2br w:val="nil"/>
              <w:tr2bl w:val="nil"/>
            </w:tcBorders>
            <w:vAlign w:val="center"/>
          </w:tcPr>
          <w:p w14:paraId="5EEB5080">
            <w:pPr>
              <w:spacing w:line="240" w:lineRule="auto"/>
              <w:ind w:firstLine="0" w:firstLineChars="0"/>
              <w:jc w:val="center"/>
              <w:rPr>
                <w:color w:val="auto"/>
                <w:sz w:val="21"/>
                <w:szCs w:val="21"/>
              </w:rPr>
            </w:pPr>
            <w:r>
              <w:rPr>
                <w:rFonts w:hint="eastAsia"/>
                <w:color w:val="auto"/>
                <w:sz w:val="21"/>
                <w:szCs w:val="21"/>
              </w:rPr>
              <w:t>50</w:t>
            </w:r>
          </w:p>
        </w:tc>
      </w:tr>
      <w:tr w14:paraId="63C59A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738" w:type="pct"/>
            <w:vMerge w:val="continue"/>
            <w:tcBorders>
              <w:tl2br w:val="nil"/>
              <w:tr2bl w:val="nil"/>
            </w:tcBorders>
            <w:vAlign w:val="center"/>
          </w:tcPr>
          <w:p w14:paraId="297C1F3C">
            <w:pPr>
              <w:spacing w:line="240" w:lineRule="auto"/>
              <w:ind w:firstLine="0" w:firstLineChars="0"/>
              <w:jc w:val="center"/>
              <w:rPr>
                <w:color w:val="auto"/>
                <w:sz w:val="21"/>
                <w:szCs w:val="21"/>
              </w:rPr>
            </w:pPr>
          </w:p>
        </w:tc>
        <w:tc>
          <w:tcPr>
            <w:tcW w:w="614" w:type="pct"/>
            <w:tcBorders>
              <w:tl2br w:val="nil"/>
              <w:tr2bl w:val="nil"/>
            </w:tcBorders>
            <w:vAlign w:val="center"/>
          </w:tcPr>
          <w:p w14:paraId="19C7013D">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564" w:type="pct"/>
            <w:vMerge w:val="continue"/>
            <w:tcBorders>
              <w:tl2br w:val="nil"/>
              <w:tr2bl w:val="nil"/>
            </w:tcBorders>
            <w:vAlign w:val="center"/>
          </w:tcPr>
          <w:p w14:paraId="02873CBB">
            <w:pPr>
              <w:spacing w:line="240" w:lineRule="auto"/>
              <w:ind w:firstLine="0" w:firstLineChars="0"/>
              <w:jc w:val="center"/>
              <w:rPr>
                <w:color w:val="auto"/>
                <w:sz w:val="21"/>
                <w:szCs w:val="21"/>
              </w:rPr>
            </w:pPr>
          </w:p>
        </w:tc>
        <w:tc>
          <w:tcPr>
            <w:tcW w:w="552" w:type="pct"/>
            <w:vMerge w:val="continue"/>
            <w:tcBorders>
              <w:tl2br w:val="nil"/>
              <w:tr2bl w:val="nil"/>
            </w:tcBorders>
            <w:vAlign w:val="center"/>
          </w:tcPr>
          <w:p w14:paraId="193194EC">
            <w:pPr>
              <w:spacing w:line="240" w:lineRule="auto"/>
              <w:ind w:firstLine="0" w:firstLineChars="0"/>
              <w:jc w:val="center"/>
              <w:rPr>
                <w:color w:val="auto"/>
                <w:sz w:val="21"/>
                <w:szCs w:val="21"/>
              </w:rPr>
            </w:pPr>
          </w:p>
        </w:tc>
        <w:tc>
          <w:tcPr>
            <w:tcW w:w="753" w:type="pct"/>
            <w:tcBorders>
              <w:tl2br w:val="nil"/>
              <w:tr2bl w:val="nil"/>
            </w:tcBorders>
            <w:vAlign w:val="center"/>
          </w:tcPr>
          <w:p w14:paraId="1E2AE40D">
            <w:pPr>
              <w:widowControl/>
              <w:spacing w:line="240" w:lineRule="auto"/>
              <w:ind w:firstLine="0" w:firstLineChars="0"/>
              <w:jc w:val="center"/>
              <w:textAlignment w:val="center"/>
              <w:rPr>
                <w:color w:val="auto"/>
                <w:sz w:val="21"/>
                <w:szCs w:val="21"/>
              </w:rPr>
            </w:pPr>
            <w:r>
              <w:rPr>
                <w:rFonts w:hint="eastAsia"/>
                <w:color w:val="auto"/>
                <w:sz w:val="21"/>
                <w:szCs w:val="21"/>
              </w:rPr>
              <w:t>0.067</w:t>
            </w:r>
          </w:p>
        </w:tc>
        <w:tc>
          <w:tcPr>
            <w:tcW w:w="566" w:type="pct"/>
            <w:tcBorders>
              <w:tl2br w:val="nil"/>
              <w:tr2bl w:val="nil"/>
            </w:tcBorders>
            <w:vAlign w:val="center"/>
          </w:tcPr>
          <w:p w14:paraId="6E7B87AF">
            <w:pPr>
              <w:spacing w:line="240" w:lineRule="auto"/>
              <w:ind w:firstLine="0" w:firstLineChars="0"/>
              <w:jc w:val="center"/>
              <w:rPr>
                <w:color w:val="auto"/>
                <w:sz w:val="21"/>
                <w:szCs w:val="21"/>
              </w:rPr>
            </w:pPr>
            <w:r>
              <w:rPr>
                <w:rFonts w:hint="eastAsia"/>
                <w:color w:val="auto"/>
                <w:sz w:val="21"/>
                <w:szCs w:val="21"/>
              </w:rPr>
              <w:t>0.2</w:t>
            </w:r>
          </w:p>
        </w:tc>
        <w:tc>
          <w:tcPr>
            <w:tcW w:w="672" w:type="pct"/>
            <w:tcBorders>
              <w:tl2br w:val="nil"/>
              <w:tr2bl w:val="nil"/>
            </w:tcBorders>
            <w:vAlign w:val="center"/>
          </w:tcPr>
          <w:p w14:paraId="141130EC">
            <w:pPr>
              <w:spacing w:line="240" w:lineRule="auto"/>
              <w:ind w:firstLine="0" w:firstLineChars="0"/>
              <w:jc w:val="center"/>
              <w:rPr>
                <w:color w:val="auto"/>
                <w:sz w:val="21"/>
                <w:szCs w:val="21"/>
              </w:rPr>
            </w:pPr>
            <w:r>
              <w:rPr>
                <w:rFonts w:hint="eastAsia"/>
                <w:color w:val="auto"/>
                <w:sz w:val="21"/>
                <w:szCs w:val="21"/>
              </w:rPr>
              <w:t>2.962</w:t>
            </w:r>
          </w:p>
        </w:tc>
        <w:tc>
          <w:tcPr>
            <w:tcW w:w="537" w:type="pct"/>
            <w:tcBorders>
              <w:tl2br w:val="nil"/>
              <w:tr2bl w:val="nil"/>
            </w:tcBorders>
            <w:vAlign w:val="center"/>
          </w:tcPr>
          <w:p w14:paraId="728E9A62">
            <w:pPr>
              <w:spacing w:line="240" w:lineRule="auto"/>
              <w:ind w:firstLine="0" w:firstLineChars="0"/>
              <w:jc w:val="center"/>
              <w:rPr>
                <w:color w:val="auto"/>
                <w:sz w:val="21"/>
                <w:szCs w:val="21"/>
              </w:rPr>
            </w:pPr>
            <w:r>
              <w:rPr>
                <w:rFonts w:hint="eastAsia"/>
                <w:color w:val="auto"/>
                <w:sz w:val="21"/>
                <w:szCs w:val="21"/>
              </w:rPr>
              <w:t>50</w:t>
            </w:r>
          </w:p>
        </w:tc>
      </w:tr>
    </w:tbl>
    <w:p w14:paraId="2ED1D9B0">
      <w:pPr>
        <w:ind w:firstLine="480"/>
        <w:rPr>
          <w:color w:val="auto"/>
        </w:rPr>
      </w:pPr>
      <w:r>
        <w:rPr>
          <w:rFonts w:hint="eastAsia"/>
          <w:color w:val="auto"/>
        </w:rPr>
        <w:t>根据上述结算结果，本项目需以厂界为起点设置100米卫生防护距离。该卫生防护距离内无居民、医院、学校等环境敏感点，能够满足卫生防护距离设置的要求。本项目实施后全厂卫生防护距离包络线图见图2.6-1。根据园区现状，本项目卫生防护距离内无居民区等环境敏感目标，今后也不得建设。</w:t>
      </w:r>
    </w:p>
    <w:p w14:paraId="4398F587">
      <w:pPr>
        <w:keepNext/>
        <w:keepLines/>
        <w:spacing w:before="120" w:beforeLines="50"/>
        <w:ind w:firstLine="0" w:firstLineChars="0"/>
        <w:outlineLvl w:val="3"/>
        <w:rPr>
          <w:b/>
          <w:bCs/>
          <w:color w:val="auto"/>
        </w:rPr>
      </w:pPr>
      <w:r>
        <w:rPr>
          <w:rFonts w:hint="eastAsia"/>
          <w:b/>
          <w:bCs/>
          <w:color w:val="auto"/>
        </w:rPr>
        <w:t>6</w:t>
      </w:r>
      <w:r>
        <w:rPr>
          <w:b/>
          <w:bCs/>
          <w:color w:val="auto"/>
        </w:rPr>
        <w:t>.2.1.</w:t>
      </w:r>
      <w:r>
        <w:rPr>
          <w:rFonts w:hint="eastAsia"/>
          <w:b/>
          <w:bCs/>
          <w:color w:val="auto"/>
        </w:rPr>
        <w:t>4</w:t>
      </w:r>
      <w:r>
        <w:rPr>
          <w:b/>
          <w:bCs/>
          <w:color w:val="auto"/>
        </w:rPr>
        <w:t xml:space="preserve"> 大气评价结论</w:t>
      </w:r>
    </w:p>
    <w:p w14:paraId="5E10058C">
      <w:pPr>
        <w:ind w:firstLine="480"/>
        <w:rPr>
          <w:color w:val="auto"/>
        </w:rPr>
      </w:pPr>
      <w:r>
        <w:rPr>
          <w:color w:val="auto"/>
        </w:rPr>
        <w:t>（1）</w:t>
      </w:r>
      <w:bookmarkStart w:id="137" w:name="_Hlk18073212"/>
      <w:r>
        <w:rPr>
          <w:color w:val="auto"/>
        </w:rPr>
        <w:t>本项目处于不达标区，大气评价等级为二级。本项目有组织排放的各类污染物对周边大气环境造成的影响较小，</w:t>
      </w:r>
      <w:r>
        <w:rPr>
          <w:color w:val="auto"/>
          <w:kern w:val="0"/>
          <w:szCs w:val="21"/>
        </w:rPr>
        <w:t>下风向最大质量浓度占标率</w:t>
      </w:r>
      <w:r>
        <w:rPr>
          <w:color w:val="auto"/>
        </w:rPr>
        <w:t>为</w:t>
      </w:r>
      <w:r>
        <w:rPr>
          <w:rFonts w:hint="eastAsia"/>
          <w:color w:val="auto"/>
        </w:rPr>
        <w:t>1.33</w:t>
      </w:r>
      <w:r>
        <w:rPr>
          <w:color w:val="auto"/>
        </w:rPr>
        <w:t>%；无组织排放的各类污染物厂界浓度也满足相应限值，</w:t>
      </w:r>
      <w:r>
        <w:rPr>
          <w:color w:val="auto"/>
          <w:kern w:val="0"/>
          <w:szCs w:val="21"/>
        </w:rPr>
        <w:t>下风向最大质量浓度占标率</w:t>
      </w:r>
      <w:r>
        <w:rPr>
          <w:rFonts w:hint="eastAsia"/>
          <w:color w:val="auto"/>
          <w:kern w:val="0"/>
          <w:szCs w:val="21"/>
        </w:rPr>
        <w:t>3.53</w:t>
      </w:r>
      <w:r>
        <w:rPr>
          <w:color w:val="auto"/>
          <w:kern w:val="0"/>
          <w:szCs w:val="21"/>
        </w:rPr>
        <w:t>%</w:t>
      </w:r>
      <w:r>
        <w:rPr>
          <w:color w:val="auto"/>
        </w:rPr>
        <w:t>。有组织和无组织排放的污染物最大浓度占标率≤10%。因此，本项目环境影响可接受。</w:t>
      </w:r>
    </w:p>
    <w:bookmarkEnd w:id="137"/>
    <w:p w14:paraId="27B1ACF8">
      <w:pPr>
        <w:ind w:firstLine="480"/>
        <w:rPr>
          <w:color w:val="auto"/>
        </w:rPr>
      </w:pPr>
      <w:r>
        <w:rPr>
          <w:color w:val="auto"/>
        </w:rPr>
        <w:t>（2）卫生防护距离</w:t>
      </w:r>
    </w:p>
    <w:p w14:paraId="66456927">
      <w:pPr>
        <w:ind w:firstLine="480"/>
        <w:rPr>
          <w:color w:val="auto"/>
        </w:rPr>
      </w:pPr>
      <w:r>
        <w:rPr>
          <w:color w:val="auto"/>
        </w:rPr>
        <w:t>拟建项目应以</w:t>
      </w:r>
      <w:r>
        <w:rPr>
          <w:rFonts w:hint="eastAsia"/>
          <w:color w:val="auto"/>
        </w:rPr>
        <w:t>厂房四周为起点外延</w:t>
      </w:r>
      <w:r>
        <w:rPr>
          <w:color w:val="auto"/>
        </w:rPr>
        <w:t>设置</w:t>
      </w:r>
      <w:r>
        <w:rPr>
          <w:rFonts w:hint="eastAsia"/>
          <w:color w:val="auto"/>
        </w:rPr>
        <w:t>100</w:t>
      </w:r>
      <w:r>
        <w:rPr>
          <w:color w:val="auto"/>
        </w:rPr>
        <w:t>m卫生防护距离。该范围内不存在敏感保护目标，今后也不得新建居住、学校等敏感保护目标。</w:t>
      </w:r>
    </w:p>
    <w:p w14:paraId="0FDFECD0">
      <w:pPr>
        <w:ind w:firstLine="480"/>
        <w:rPr>
          <w:color w:val="auto"/>
        </w:rPr>
      </w:pPr>
      <w:r>
        <w:rPr>
          <w:color w:val="auto"/>
        </w:rPr>
        <w:t>（3）大气环境影响评价自查表</w:t>
      </w:r>
    </w:p>
    <w:p w14:paraId="1C8CB3C4">
      <w:pPr>
        <w:ind w:firstLine="480"/>
        <w:rPr>
          <w:color w:val="auto"/>
        </w:rPr>
      </w:pPr>
      <w:r>
        <w:rPr>
          <w:color w:val="auto"/>
        </w:rPr>
        <w:t>本次大气环境影响评价完成后，对大气环境影响评价主要内容与结论进行自查，详见表</w:t>
      </w:r>
      <w:r>
        <w:rPr>
          <w:rFonts w:hint="eastAsia"/>
          <w:color w:val="auto"/>
        </w:rPr>
        <w:t>6.2.1-13</w:t>
      </w:r>
      <w:r>
        <w:rPr>
          <w:color w:val="auto"/>
        </w:rPr>
        <w:t>。</w:t>
      </w:r>
    </w:p>
    <w:p w14:paraId="5CD935A0">
      <w:pPr>
        <w:spacing w:line="240" w:lineRule="auto"/>
        <w:ind w:firstLine="0" w:firstLineChars="0"/>
        <w:jc w:val="center"/>
        <w:rPr>
          <w:b/>
          <w:color w:val="auto"/>
        </w:rPr>
      </w:pPr>
      <w:r>
        <w:rPr>
          <w:b/>
          <w:color w:val="auto"/>
        </w:rPr>
        <w:t>表</w:t>
      </w:r>
      <w:r>
        <w:rPr>
          <w:rFonts w:hint="eastAsia"/>
          <w:b/>
          <w:color w:val="auto"/>
        </w:rPr>
        <w:t xml:space="preserve">6.2.1-13 </w:t>
      </w:r>
      <w:r>
        <w:rPr>
          <w:b/>
          <w:color w:val="auto"/>
        </w:rPr>
        <w:t xml:space="preserve"> 大气环境影响评价自查表</w:t>
      </w:r>
    </w:p>
    <w:tbl>
      <w:tblPr>
        <w:tblStyle w:val="88"/>
        <w:tblW w:w="5000" w:type="pct"/>
        <w:tblInd w:w="0" w:type="dxa"/>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Layout w:type="autofit"/>
        <w:tblCellMar>
          <w:top w:w="0" w:type="dxa"/>
          <w:left w:w="0" w:type="dxa"/>
          <w:bottom w:w="0" w:type="dxa"/>
          <w:right w:w="0" w:type="dxa"/>
        </w:tblCellMar>
      </w:tblPr>
      <w:tblGrid>
        <w:gridCol w:w="941"/>
        <w:gridCol w:w="1477"/>
        <w:gridCol w:w="1321"/>
        <w:gridCol w:w="167"/>
        <w:gridCol w:w="226"/>
        <w:gridCol w:w="230"/>
        <w:gridCol w:w="132"/>
        <w:gridCol w:w="641"/>
        <w:gridCol w:w="482"/>
        <w:gridCol w:w="950"/>
        <w:gridCol w:w="268"/>
        <w:gridCol w:w="939"/>
        <w:gridCol w:w="395"/>
        <w:gridCol w:w="369"/>
        <w:gridCol w:w="647"/>
      </w:tblGrid>
      <w:tr w14:paraId="631587A1">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317" w:type="pct"/>
            <w:gridSpan w:val="2"/>
            <w:tcBorders>
              <w:top w:val="single" w:color="000000" w:sz="12" w:space="0"/>
              <w:left w:val="nil"/>
              <w:bottom w:val="single" w:color="000000" w:sz="6" w:space="0"/>
              <w:right w:val="single" w:color="000000" w:sz="6" w:space="0"/>
            </w:tcBorders>
            <w:shd w:val="clear" w:color="auto" w:fill="auto"/>
            <w:vAlign w:val="center"/>
          </w:tcPr>
          <w:p w14:paraId="13EB29A6">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工作内容</w:t>
            </w:r>
          </w:p>
        </w:tc>
        <w:tc>
          <w:tcPr>
            <w:tcW w:w="3682" w:type="pct"/>
            <w:gridSpan w:val="13"/>
            <w:tcBorders>
              <w:top w:val="single" w:color="000000" w:sz="12" w:space="0"/>
              <w:left w:val="single" w:color="000000" w:sz="6" w:space="0"/>
              <w:bottom w:val="single" w:color="000000" w:sz="6" w:space="0"/>
              <w:right w:val="nil"/>
            </w:tcBorders>
            <w:shd w:val="clear" w:color="auto" w:fill="auto"/>
            <w:vAlign w:val="center"/>
          </w:tcPr>
          <w:p w14:paraId="3FA975B5">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自查项目</w:t>
            </w:r>
          </w:p>
        </w:tc>
      </w:tr>
      <w:tr w14:paraId="459CFBD6">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13" w:type="pct"/>
            <w:vMerge w:val="restart"/>
            <w:tcBorders>
              <w:top w:val="single" w:color="000000" w:sz="6" w:space="0"/>
              <w:left w:val="nil"/>
              <w:bottom w:val="single" w:color="000000" w:sz="6" w:space="0"/>
              <w:right w:val="single" w:color="000000" w:sz="6" w:space="0"/>
            </w:tcBorders>
            <w:shd w:val="clear" w:color="auto" w:fill="auto"/>
            <w:vAlign w:val="center"/>
          </w:tcPr>
          <w:p w14:paraId="4C011463">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评价等级与</w:t>
            </w:r>
            <w:r>
              <w:rPr>
                <w:color w:val="auto"/>
                <w:kern w:val="0"/>
                <w:sz w:val="21"/>
                <w:szCs w:val="21"/>
                <w:lang w:bidi="ar"/>
              </w:rPr>
              <w:t>范围</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077FF3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评价等级</w:t>
            </w:r>
          </w:p>
        </w:tc>
        <w:tc>
          <w:tcPr>
            <w:tcW w:w="1479" w:type="pct"/>
            <w:gridSpan w:val="6"/>
            <w:tcBorders>
              <w:top w:val="single" w:color="000000" w:sz="6" w:space="0"/>
              <w:left w:val="single" w:color="000000" w:sz="6" w:space="0"/>
              <w:bottom w:val="single" w:color="000000" w:sz="6" w:space="0"/>
              <w:right w:val="single" w:color="000000" w:sz="6" w:space="0"/>
            </w:tcBorders>
            <w:shd w:val="clear" w:color="auto" w:fill="auto"/>
            <w:vAlign w:val="center"/>
          </w:tcPr>
          <w:p w14:paraId="7685E3D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一级□</w:t>
            </w:r>
          </w:p>
        </w:tc>
        <w:tc>
          <w:tcPr>
            <w:tcW w:w="1436"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0982EF0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二级☑</w:t>
            </w:r>
          </w:p>
        </w:tc>
        <w:tc>
          <w:tcPr>
            <w:tcW w:w="765" w:type="pct"/>
            <w:gridSpan w:val="3"/>
            <w:tcBorders>
              <w:top w:val="single" w:color="000000" w:sz="6" w:space="0"/>
              <w:left w:val="single" w:color="000000" w:sz="6" w:space="0"/>
              <w:bottom w:val="single" w:color="000000" w:sz="6" w:space="0"/>
              <w:right w:val="nil"/>
            </w:tcBorders>
            <w:shd w:val="clear" w:color="auto" w:fill="auto"/>
            <w:vAlign w:val="center"/>
          </w:tcPr>
          <w:p w14:paraId="7F178D8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三级□</w:t>
            </w:r>
          </w:p>
        </w:tc>
      </w:tr>
      <w:tr w14:paraId="4E65C41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32761663">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7459F0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评价范围</w:t>
            </w:r>
          </w:p>
        </w:tc>
        <w:tc>
          <w:tcPr>
            <w:tcW w:w="1479" w:type="pct"/>
            <w:gridSpan w:val="6"/>
            <w:tcBorders>
              <w:top w:val="single" w:color="000000" w:sz="6" w:space="0"/>
              <w:left w:val="single" w:color="000000" w:sz="6" w:space="0"/>
              <w:bottom w:val="single" w:color="000000" w:sz="6" w:space="0"/>
              <w:right w:val="single" w:color="000000" w:sz="6" w:space="0"/>
            </w:tcBorders>
            <w:shd w:val="clear" w:color="auto" w:fill="auto"/>
            <w:vAlign w:val="center"/>
          </w:tcPr>
          <w:p w14:paraId="44F342FC">
            <w:pPr>
              <w:kinsoku w:val="0"/>
              <w:overflowPunct w:val="0"/>
              <w:autoSpaceDE w:val="0"/>
              <w:autoSpaceDN w:val="0"/>
              <w:spacing w:line="240" w:lineRule="auto"/>
              <w:ind w:firstLine="0" w:firstLineChars="0"/>
              <w:jc w:val="center"/>
              <w:rPr>
                <w:color w:val="auto"/>
                <w:spacing w:val="-1"/>
                <w:kern w:val="0"/>
                <w:sz w:val="21"/>
                <w:szCs w:val="21"/>
              </w:rPr>
            </w:pPr>
            <w:r>
              <w:rPr>
                <w:color w:val="auto"/>
                <w:spacing w:val="-1"/>
                <w:kern w:val="0"/>
                <w:sz w:val="21"/>
                <w:szCs w:val="21"/>
                <w:lang w:bidi="ar"/>
              </w:rPr>
              <w:t>边长=50km□</w:t>
            </w:r>
          </w:p>
        </w:tc>
        <w:tc>
          <w:tcPr>
            <w:tcW w:w="1436"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435D9D3B">
            <w:pPr>
              <w:kinsoku w:val="0"/>
              <w:overflowPunct w:val="0"/>
              <w:autoSpaceDE w:val="0"/>
              <w:autoSpaceDN w:val="0"/>
              <w:spacing w:line="240" w:lineRule="auto"/>
              <w:ind w:firstLine="0" w:firstLineChars="0"/>
              <w:jc w:val="center"/>
              <w:rPr>
                <w:color w:val="auto"/>
                <w:spacing w:val="-1"/>
                <w:kern w:val="0"/>
                <w:sz w:val="21"/>
                <w:szCs w:val="21"/>
              </w:rPr>
            </w:pPr>
            <w:r>
              <w:rPr>
                <w:color w:val="auto"/>
                <w:spacing w:val="-15"/>
                <w:kern w:val="0"/>
                <w:sz w:val="21"/>
                <w:szCs w:val="21"/>
                <w:lang w:bidi="ar"/>
              </w:rPr>
              <w:t>边长</w:t>
            </w:r>
            <w:r>
              <w:rPr>
                <w:color w:val="auto"/>
                <w:spacing w:val="-1"/>
                <w:kern w:val="0"/>
                <w:sz w:val="21"/>
                <w:szCs w:val="21"/>
                <w:lang w:bidi="ar"/>
              </w:rPr>
              <w:t>5～50km☑</w:t>
            </w:r>
          </w:p>
        </w:tc>
        <w:tc>
          <w:tcPr>
            <w:tcW w:w="765" w:type="pct"/>
            <w:gridSpan w:val="3"/>
            <w:tcBorders>
              <w:top w:val="single" w:color="000000" w:sz="6" w:space="0"/>
              <w:left w:val="single" w:color="000000" w:sz="6" w:space="0"/>
              <w:bottom w:val="single" w:color="000000" w:sz="6" w:space="0"/>
              <w:right w:val="nil"/>
            </w:tcBorders>
            <w:shd w:val="clear" w:color="auto" w:fill="auto"/>
            <w:vAlign w:val="center"/>
          </w:tcPr>
          <w:p w14:paraId="7965B88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边长=5km□</w:t>
            </w:r>
          </w:p>
        </w:tc>
      </w:tr>
      <w:tr w14:paraId="16C1C8D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1" w:hRule="atLeast"/>
        </w:trPr>
        <w:tc>
          <w:tcPr>
            <w:tcW w:w="513" w:type="pct"/>
            <w:vMerge w:val="restart"/>
            <w:tcBorders>
              <w:top w:val="single" w:color="000000" w:sz="6" w:space="0"/>
              <w:left w:val="nil"/>
              <w:bottom w:val="single" w:color="000000" w:sz="6" w:space="0"/>
              <w:right w:val="single" w:color="000000" w:sz="6" w:space="0"/>
            </w:tcBorders>
            <w:shd w:val="clear" w:color="auto" w:fill="auto"/>
            <w:vAlign w:val="center"/>
          </w:tcPr>
          <w:p w14:paraId="311FF86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评价因子</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28A3A2D">
            <w:pPr>
              <w:kinsoku w:val="0"/>
              <w:overflowPunct w:val="0"/>
              <w:autoSpaceDE w:val="0"/>
              <w:autoSpaceDN w:val="0"/>
              <w:spacing w:line="240" w:lineRule="auto"/>
              <w:ind w:firstLine="0" w:firstLineChars="0"/>
              <w:jc w:val="center"/>
              <w:rPr>
                <w:color w:val="auto"/>
                <w:kern w:val="0"/>
                <w:position w:val="1"/>
                <w:sz w:val="21"/>
                <w:szCs w:val="21"/>
              </w:rPr>
            </w:pPr>
            <w:r>
              <w:rPr>
                <w:color w:val="auto"/>
                <w:kern w:val="0"/>
                <w:position w:val="1"/>
                <w:sz w:val="21"/>
                <w:szCs w:val="21"/>
                <w:lang w:bidi="ar"/>
              </w:rPr>
              <w:t>SO</w:t>
            </w:r>
            <w:r>
              <w:rPr>
                <w:color w:val="auto"/>
                <w:kern w:val="0"/>
                <w:sz w:val="21"/>
                <w:szCs w:val="21"/>
                <w:lang w:bidi="ar"/>
              </w:rPr>
              <w:t>2</w:t>
            </w:r>
            <w:r>
              <w:rPr>
                <w:color w:val="auto"/>
                <w:kern w:val="0"/>
                <w:position w:val="1"/>
                <w:sz w:val="21"/>
                <w:szCs w:val="21"/>
                <w:lang w:bidi="ar"/>
              </w:rPr>
              <w:t>+NO</w:t>
            </w:r>
            <w:r>
              <w:rPr>
                <w:i/>
                <w:iCs/>
                <w:color w:val="auto"/>
                <w:kern w:val="0"/>
                <w:sz w:val="21"/>
                <w:szCs w:val="21"/>
                <w:lang w:bidi="ar"/>
              </w:rPr>
              <w:t>x</w:t>
            </w:r>
            <w:r>
              <w:rPr>
                <w:color w:val="auto"/>
                <w:kern w:val="0"/>
                <w:position w:val="1"/>
                <w:sz w:val="21"/>
                <w:szCs w:val="21"/>
                <w:lang w:bidi="ar"/>
              </w:rPr>
              <w:t>排放量</w:t>
            </w:r>
          </w:p>
        </w:tc>
        <w:tc>
          <w:tcPr>
            <w:tcW w:w="810" w:type="pct"/>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7BE69C3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≥2000t/a□</w:t>
            </w:r>
          </w:p>
        </w:tc>
        <w:tc>
          <w:tcPr>
            <w:tcW w:w="2105" w:type="pct"/>
            <w:gridSpan w:val="8"/>
            <w:tcBorders>
              <w:top w:val="single" w:color="000000" w:sz="6" w:space="0"/>
              <w:left w:val="single" w:color="000000" w:sz="6" w:space="0"/>
              <w:bottom w:val="single" w:color="000000" w:sz="6" w:space="0"/>
              <w:right w:val="single" w:color="000000" w:sz="6" w:space="0"/>
            </w:tcBorders>
            <w:shd w:val="clear" w:color="auto" w:fill="auto"/>
            <w:vAlign w:val="center"/>
          </w:tcPr>
          <w:p w14:paraId="59051D2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500</w:t>
            </w:r>
            <w:r>
              <w:rPr>
                <w:rFonts w:hint="eastAsia"/>
                <w:color w:val="auto"/>
                <w:kern w:val="0"/>
                <w:sz w:val="21"/>
                <w:szCs w:val="21"/>
                <w:lang w:bidi="ar"/>
              </w:rPr>
              <w:t>～</w:t>
            </w:r>
            <w:r>
              <w:rPr>
                <w:color w:val="auto"/>
                <w:kern w:val="0"/>
                <w:sz w:val="21"/>
                <w:szCs w:val="21"/>
                <w:lang w:bidi="ar"/>
              </w:rPr>
              <w:t>2000t/a□</w:t>
            </w:r>
          </w:p>
        </w:tc>
        <w:tc>
          <w:tcPr>
            <w:tcW w:w="765" w:type="pct"/>
            <w:gridSpan w:val="3"/>
            <w:tcBorders>
              <w:top w:val="single" w:color="000000" w:sz="6" w:space="0"/>
              <w:left w:val="single" w:color="000000" w:sz="6" w:space="0"/>
              <w:bottom w:val="single" w:color="000000" w:sz="6" w:space="0"/>
              <w:right w:val="nil"/>
            </w:tcBorders>
            <w:shd w:val="clear" w:color="auto" w:fill="auto"/>
            <w:vAlign w:val="center"/>
          </w:tcPr>
          <w:p w14:paraId="343CACE6">
            <w:pPr>
              <w:kinsoku w:val="0"/>
              <w:overflowPunct w:val="0"/>
              <w:autoSpaceDE w:val="0"/>
              <w:autoSpaceDN w:val="0"/>
              <w:spacing w:line="240" w:lineRule="auto"/>
              <w:ind w:firstLine="0" w:firstLineChars="0"/>
              <w:jc w:val="center"/>
              <w:rPr>
                <w:color w:val="auto"/>
                <w:kern w:val="0"/>
                <w:sz w:val="21"/>
                <w:szCs w:val="21"/>
              </w:rPr>
            </w:pPr>
            <w:r>
              <w:rPr>
                <w:rFonts w:hint="eastAsia"/>
                <w:color w:val="auto"/>
                <w:kern w:val="0"/>
                <w:sz w:val="21"/>
                <w:szCs w:val="21"/>
                <w:lang w:bidi="ar"/>
              </w:rPr>
              <w:t>&lt;</w:t>
            </w:r>
            <w:r>
              <w:rPr>
                <w:color w:val="auto"/>
                <w:kern w:val="0"/>
                <w:sz w:val="21"/>
                <w:szCs w:val="21"/>
                <w:lang w:bidi="ar"/>
              </w:rPr>
              <w:t>500t/a□</w:t>
            </w:r>
          </w:p>
        </w:tc>
      </w:tr>
      <w:tr w14:paraId="5F8BB108">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23421541">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93626D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评价因子</w:t>
            </w:r>
          </w:p>
        </w:tc>
        <w:tc>
          <w:tcPr>
            <w:tcW w:w="2258" w:type="pct"/>
            <w:gridSpan w:val="8"/>
            <w:tcBorders>
              <w:top w:val="single" w:color="000000" w:sz="6" w:space="0"/>
              <w:left w:val="single" w:color="000000" w:sz="6" w:space="0"/>
              <w:bottom w:val="single" w:color="000000" w:sz="6" w:space="0"/>
              <w:right w:val="single" w:color="000000" w:sz="6" w:space="0"/>
            </w:tcBorders>
            <w:shd w:val="clear" w:color="auto" w:fill="auto"/>
            <w:vAlign w:val="center"/>
          </w:tcPr>
          <w:p w14:paraId="6D7D0A34">
            <w:pPr>
              <w:tabs>
                <w:tab w:val="left" w:pos="2715"/>
              </w:tabs>
              <w:kinsoku w:val="0"/>
              <w:overflowPunct w:val="0"/>
              <w:autoSpaceDE w:val="0"/>
              <w:autoSpaceDN w:val="0"/>
              <w:spacing w:line="240" w:lineRule="auto"/>
              <w:ind w:firstLine="0" w:firstLineChars="0"/>
              <w:rPr>
                <w:color w:val="auto"/>
                <w:kern w:val="0"/>
                <w:sz w:val="21"/>
                <w:szCs w:val="21"/>
              </w:rPr>
            </w:pPr>
            <w:r>
              <w:rPr>
                <w:color w:val="auto"/>
                <w:kern w:val="0"/>
                <w:sz w:val="21"/>
                <w:szCs w:val="21"/>
                <w:lang w:bidi="ar"/>
              </w:rPr>
              <w:t>基本污染物</w:t>
            </w:r>
            <w:r>
              <w:rPr>
                <w:rFonts w:hint="eastAsia"/>
                <w:color w:val="auto"/>
                <w:kern w:val="0"/>
                <w:sz w:val="21"/>
                <w:szCs w:val="21"/>
                <w:lang w:bidi="ar"/>
              </w:rPr>
              <w:t>（</w:t>
            </w:r>
            <w:r>
              <w:rPr>
                <w:color w:val="auto"/>
                <w:kern w:val="0"/>
                <w:sz w:val="21"/>
                <w:szCs w:val="21"/>
                <w:lang w:bidi="ar"/>
              </w:rPr>
              <w:t>PM</w:t>
            </w:r>
            <w:r>
              <w:rPr>
                <w:color w:val="auto"/>
                <w:kern w:val="0"/>
                <w:sz w:val="21"/>
                <w:szCs w:val="21"/>
                <w:vertAlign w:val="subscript"/>
                <w:lang w:bidi="ar"/>
              </w:rPr>
              <w:t>10</w:t>
            </w:r>
            <w:r>
              <w:rPr>
                <w:color w:val="auto"/>
                <w:kern w:val="0"/>
                <w:sz w:val="21"/>
                <w:szCs w:val="21"/>
                <w:lang w:bidi="ar"/>
              </w:rPr>
              <w:t>、PM</w:t>
            </w:r>
            <w:r>
              <w:rPr>
                <w:color w:val="auto"/>
                <w:kern w:val="0"/>
                <w:sz w:val="21"/>
                <w:szCs w:val="21"/>
                <w:vertAlign w:val="subscript"/>
                <w:lang w:bidi="ar"/>
              </w:rPr>
              <w:t>2.5</w:t>
            </w:r>
            <w:r>
              <w:rPr>
                <w:color w:val="auto"/>
                <w:kern w:val="0"/>
                <w:sz w:val="21"/>
                <w:szCs w:val="21"/>
                <w:lang w:bidi="ar"/>
              </w:rPr>
              <w:t>、O</w:t>
            </w:r>
            <w:r>
              <w:rPr>
                <w:color w:val="auto"/>
                <w:kern w:val="0"/>
                <w:sz w:val="21"/>
                <w:szCs w:val="21"/>
                <w:vertAlign w:val="subscript"/>
                <w:lang w:bidi="ar"/>
              </w:rPr>
              <w:t>3</w:t>
            </w:r>
            <w:r>
              <w:rPr>
                <w:color w:val="auto"/>
                <w:kern w:val="0"/>
                <w:sz w:val="21"/>
                <w:szCs w:val="21"/>
                <w:lang w:bidi="ar"/>
              </w:rPr>
              <w:t>、SO</w:t>
            </w:r>
            <w:r>
              <w:rPr>
                <w:color w:val="auto"/>
                <w:kern w:val="0"/>
                <w:sz w:val="21"/>
                <w:szCs w:val="21"/>
                <w:vertAlign w:val="subscript"/>
                <w:lang w:bidi="ar"/>
              </w:rPr>
              <w:t>2</w:t>
            </w:r>
            <w:r>
              <w:rPr>
                <w:color w:val="auto"/>
                <w:kern w:val="0"/>
                <w:sz w:val="21"/>
                <w:szCs w:val="21"/>
                <w:lang w:bidi="ar"/>
              </w:rPr>
              <w:t>、CO、NO</w:t>
            </w:r>
            <w:r>
              <w:rPr>
                <w:color w:val="auto"/>
                <w:kern w:val="0"/>
                <w:sz w:val="21"/>
                <w:szCs w:val="21"/>
                <w:vertAlign w:val="subscript"/>
                <w:lang w:bidi="ar"/>
              </w:rPr>
              <w:t>2</w:t>
            </w:r>
            <w:r>
              <w:rPr>
                <w:rFonts w:hint="eastAsia"/>
                <w:color w:val="auto"/>
                <w:kern w:val="0"/>
                <w:sz w:val="21"/>
                <w:szCs w:val="21"/>
                <w:vertAlign w:val="subscript"/>
                <w:lang w:bidi="ar"/>
              </w:rPr>
              <w:t>）</w:t>
            </w:r>
          </w:p>
          <w:p w14:paraId="70FD4FA5">
            <w:pPr>
              <w:tabs>
                <w:tab w:val="left" w:pos="3078"/>
              </w:tabs>
              <w:kinsoku w:val="0"/>
              <w:overflowPunct w:val="0"/>
              <w:autoSpaceDE w:val="0"/>
              <w:autoSpaceDN w:val="0"/>
              <w:spacing w:line="240" w:lineRule="auto"/>
              <w:ind w:firstLine="0" w:firstLineChars="0"/>
              <w:rPr>
                <w:color w:val="auto"/>
                <w:kern w:val="0"/>
                <w:sz w:val="21"/>
                <w:szCs w:val="21"/>
              </w:rPr>
            </w:pPr>
            <w:r>
              <w:rPr>
                <w:color w:val="auto"/>
                <w:kern w:val="0"/>
                <w:sz w:val="21"/>
                <w:szCs w:val="21"/>
                <w:lang w:bidi="ar"/>
              </w:rPr>
              <w:t>其他污染物（）</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40E5565E">
            <w:pPr>
              <w:kinsoku w:val="0"/>
              <w:overflowPunct w:val="0"/>
              <w:autoSpaceDE w:val="0"/>
              <w:autoSpaceDN w:val="0"/>
              <w:spacing w:line="240" w:lineRule="auto"/>
              <w:ind w:firstLine="0" w:firstLineChars="0"/>
              <w:jc w:val="center"/>
              <w:rPr>
                <w:color w:val="auto"/>
                <w:kern w:val="0"/>
                <w:position w:val="1"/>
                <w:sz w:val="21"/>
                <w:szCs w:val="21"/>
              </w:rPr>
            </w:pPr>
            <w:r>
              <w:rPr>
                <w:color w:val="auto"/>
                <w:spacing w:val="10"/>
                <w:kern w:val="0"/>
                <w:position w:val="1"/>
                <w:sz w:val="21"/>
                <w:szCs w:val="21"/>
                <w:lang w:bidi="ar"/>
              </w:rPr>
              <w:t>包括二次</w:t>
            </w:r>
            <w:r>
              <w:rPr>
                <w:color w:val="auto"/>
                <w:kern w:val="0"/>
                <w:position w:val="1"/>
                <w:sz w:val="21"/>
                <w:szCs w:val="21"/>
                <w:lang w:bidi="ar"/>
              </w:rPr>
              <w:t>PM</w:t>
            </w:r>
            <w:r>
              <w:rPr>
                <w:color w:val="auto"/>
                <w:kern w:val="0"/>
                <w:sz w:val="21"/>
                <w:szCs w:val="21"/>
                <w:lang w:bidi="ar"/>
              </w:rPr>
              <w:t>2.5</w:t>
            </w:r>
            <w:r>
              <w:rPr>
                <w:color w:val="auto"/>
                <w:kern w:val="0"/>
                <w:position w:val="1"/>
                <w:sz w:val="21"/>
                <w:szCs w:val="21"/>
                <w:lang w:bidi="ar"/>
              </w:rPr>
              <w:t>□</w:t>
            </w:r>
          </w:p>
          <w:p w14:paraId="392F1D81">
            <w:pPr>
              <w:kinsoku w:val="0"/>
              <w:overflowPunct w:val="0"/>
              <w:autoSpaceDE w:val="0"/>
              <w:autoSpaceDN w:val="0"/>
              <w:spacing w:line="240" w:lineRule="auto"/>
              <w:ind w:firstLine="0" w:firstLineChars="0"/>
              <w:jc w:val="center"/>
              <w:rPr>
                <w:color w:val="auto"/>
                <w:kern w:val="0"/>
                <w:position w:val="1"/>
                <w:sz w:val="21"/>
                <w:szCs w:val="21"/>
              </w:rPr>
            </w:pPr>
            <w:r>
              <w:rPr>
                <w:color w:val="auto"/>
                <w:spacing w:val="8"/>
                <w:kern w:val="0"/>
                <w:position w:val="1"/>
                <w:sz w:val="21"/>
                <w:szCs w:val="21"/>
                <w:lang w:bidi="ar"/>
              </w:rPr>
              <w:t>不包括二次</w:t>
            </w:r>
            <w:r>
              <w:rPr>
                <w:color w:val="auto"/>
                <w:kern w:val="0"/>
                <w:position w:val="1"/>
                <w:sz w:val="21"/>
                <w:szCs w:val="21"/>
                <w:lang w:bidi="ar"/>
              </w:rPr>
              <w:t>PM</w:t>
            </w:r>
            <w:r>
              <w:rPr>
                <w:color w:val="auto"/>
                <w:kern w:val="0"/>
                <w:sz w:val="21"/>
                <w:szCs w:val="21"/>
                <w:lang w:bidi="ar"/>
              </w:rPr>
              <w:t>2.5</w:t>
            </w:r>
            <w:r>
              <w:rPr>
                <w:color w:val="auto"/>
                <w:kern w:val="0"/>
                <w:position w:val="1"/>
                <w:sz w:val="21"/>
                <w:szCs w:val="21"/>
                <w:lang w:bidi="ar"/>
              </w:rPr>
              <w:t>☑</w:t>
            </w:r>
          </w:p>
        </w:tc>
      </w:tr>
      <w:tr w14:paraId="63A3AD0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1" w:hRule="atLeast"/>
        </w:trPr>
        <w:tc>
          <w:tcPr>
            <w:tcW w:w="513" w:type="pct"/>
            <w:tcBorders>
              <w:top w:val="single" w:color="000000" w:sz="6" w:space="0"/>
              <w:left w:val="nil"/>
              <w:bottom w:val="single" w:color="000000" w:sz="6" w:space="0"/>
              <w:right w:val="single" w:color="000000" w:sz="6" w:space="0"/>
            </w:tcBorders>
            <w:shd w:val="clear" w:color="auto" w:fill="auto"/>
            <w:vAlign w:val="center"/>
          </w:tcPr>
          <w:p w14:paraId="0D13719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评价标准</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DF8DCE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评价标准</w:t>
            </w:r>
          </w:p>
        </w:tc>
        <w:tc>
          <w:tcPr>
            <w:tcW w:w="1130" w:type="pct"/>
            <w:gridSpan w:val="5"/>
            <w:tcBorders>
              <w:top w:val="single" w:color="000000" w:sz="6" w:space="0"/>
              <w:left w:val="single" w:color="000000" w:sz="6" w:space="0"/>
              <w:bottom w:val="single" w:color="000000" w:sz="6" w:space="0"/>
              <w:right w:val="single" w:color="000000" w:sz="6" w:space="0"/>
            </w:tcBorders>
            <w:shd w:val="clear" w:color="auto" w:fill="auto"/>
            <w:vAlign w:val="center"/>
          </w:tcPr>
          <w:p w14:paraId="0F40901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国家标准□</w:t>
            </w:r>
          </w:p>
        </w:tc>
        <w:tc>
          <w:tcPr>
            <w:tcW w:w="1127"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3AE3D4D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地方标准□</w:t>
            </w:r>
          </w:p>
        </w:tc>
        <w:tc>
          <w:tcPr>
            <w:tcW w:w="872"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167F3F9">
            <w:pPr>
              <w:kinsoku w:val="0"/>
              <w:overflowPunct w:val="0"/>
              <w:autoSpaceDE w:val="0"/>
              <w:autoSpaceDN w:val="0"/>
              <w:spacing w:line="240" w:lineRule="auto"/>
              <w:ind w:firstLine="0" w:firstLineChars="0"/>
              <w:jc w:val="center"/>
              <w:rPr>
                <w:color w:val="auto"/>
                <w:kern w:val="0"/>
                <w:sz w:val="21"/>
                <w:szCs w:val="21"/>
              </w:rPr>
            </w:pPr>
            <w:r>
              <w:rPr>
                <w:color w:val="auto"/>
                <w:spacing w:val="-15"/>
                <w:kern w:val="0"/>
                <w:sz w:val="21"/>
                <w:szCs w:val="21"/>
                <w:lang w:bidi="ar"/>
              </w:rPr>
              <w:t>附录</w:t>
            </w:r>
            <w:r>
              <w:rPr>
                <w:color w:val="auto"/>
                <w:kern w:val="0"/>
                <w:sz w:val="21"/>
                <w:szCs w:val="21"/>
                <w:lang w:bidi="ar"/>
              </w:rPr>
              <w:t>D☑</w:t>
            </w:r>
          </w:p>
        </w:tc>
        <w:tc>
          <w:tcPr>
            <w:tcW w:w="551" w:type="pct"/>
            <w:gridSpan w:val="2"/>
            <w:tcBorders>
              <w:top w:val="single" w:color="000000" w:sz="6" w:space="0"/>
              <w:left w:val="single" w:color="000000" w:sz="6" w:space="0"/>
              <w:bottom w:val="single" w:color="000000" w:sz="6" w:space="0"/>
              <w:right w:val="nil"/>
            </w:tcBorders>
            <w:shd w:val="clear" w:color="auto" w:fill="auto"/>
            <w:vAlign w:val="center"/>
          </w:tcPr>
          <w:p w14:paraId="1C076B1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其他标准□</w:t>
            </w:r>
          </w:p>
        </w:tc>
      </w:tr>
      <w:tr w14:paraId="6E6DDC05">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13" w:type="pct"/>
            <w:vMerge w:val="restart"/>
            <w:tcBorders>
              <w:top w:val="single" w:color="000000" w:sz="6" w:space="0"/>
              <w:left w:val="nil"/>
              <w:bottom w:val="single" w:color="000000" w:sz="6" w:space="0"/>
              <w:right w:val="single" w:color="000000" w:sz="6" w:space="0"/>
            </w:tcBorders>
            <w:shd w:val="clear" w:color="auto" w:fill="auto"/>
            <w:vAlign w:val="center"/>
          </w:tcPr>
          <w:p w14:paraId="193148A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现状评价</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2BBD14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环境功能区</w:t>
            </w:r>
          </w:p>
        </w:tc>
        <w:tc>
          <w:tcPr>
            <w:tcW w:w="1479" w:type="pct"/>
            <w:gridSpan w:val="6"/>
            <w:tcBorders>
              <w:top w:val="single" w:color="000000" w:sz="6" w:space="0"/>
              <w:left w:val="single" w:color="000000" w:sz="6" w:space="0"/>
              <w:bottom w:val="single" w:color="000000" w:sz="6" w:space="0"/>
              <w:right w:val="single" w:color="000000" w:sz="6" w:space="0"/>
            </w:tcBorders>
            <w:shd w:val="clear" w:color="auto" w:fill="auto"/>
            <w:vAlign w:val="center"/>
          </w:tcPr>
          <w:p w14:paraId="4A578E1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一类区□</w:t>
            </w:r>
          </w:p>
        </w:tc>
        <w:tc>
          <w:tcPr>
            <w:tcW w:w="1436"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1BF3F72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二类区☑</w:t>
            </w:r>
          </w:p>
        </w:tc>
        <w:tc>
          <w:tcPr>
            <w:tcW w:w="765" w:type="pct"/>
            <w:gridSpan w:val="3"/>
            <w:tcBorders>
              <w:top w:val="single" w:color="000000" w:sz="6" w:space="0"/>
              <w:left w:val="single" w:color="000000" w:sz="6" w:space="0"/>
              <w:bottom w:val="single" w:color="000000" w:sz="6" w:space="0"/>
              <w:right w:val="nil"/>
            </w:tcBorders>
            <w:shd w:val="clear" w:color="auto" w:fill="auto"/>
            <w:vAlign w:val="center"/>
          </w:tcPr>
          <w:p w14:paraId="795C8BD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一类区和二类区□</w:t>
            </w:r>
          </w:p>
        </w:tc>
      </w:tr>
      <w:tr w14:paraId="0776B419">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079EA415">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C095B4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评价基准年</w:t>
            </w:r>
          </w:p>
        </w:tc>
        <w:tc>
          <w:tcPr>
            <w:tcW w:w="3682" w:type="pct"/>
            <w:gridSpan w:val="13"/>
            <w:tcBorders>
              <w:top w:val="single" w:color="000000" w:sz="6" w:space="0"/>
              <w:left w:val="single" w:color="000000" w:sz="6" w:space="0"/>
              <w:bottom w:val="single" w:color="000000" w:sz="6" w:space="0"/>
              <w:right w:val="nil"/>
            </w:tcBorders>
            <w:shd w:val="clear" w:color="auto" w:fill="auto"/>
            <w:vAlign w:val="center"/>
          </w:tcPr>
          <w:p w14:paraId="3DFF5543">
            <w:pPr>
              <w:tabs>
                <w:tab w:val="left" w:pos="658"/>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（202</w:t>
            </w:r>
            <w:r>
              <w:rPr>
                <w:rFonts w:hint="eastAsia"/>
                <w:color w:val="auto"/>
                <w:kern w:val="0"/>
                <w:sz w:val="21"/>
                <w:szCs w:val="21"/>
                <w:lang w:bidi="ar"/>
              </w:rPr>
              <w:t>3</w:t>
            </w:r>
            <w:r>
              <w:rPr>
                <w:color w:val="auto"/>
                <w:kern w:val="0"/>
                <w:sz w:val="21"/>
                <w:szCs w:val="21"/>
                <w:lang w:bidi="ar"/>
              </w:rPr>
              <w:t>）年</w:t>
            </w:r>
          </w:p>
        </w:tc>
      </w:tr>
      <w:tr w14:paraId="42A4D961">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6FE7E4DE">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E4404E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环境空气质量</w:t>
            </w:r>
          </w:p>
          <w:p w14:paraId="027D975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现状调查数据来源</w:t>
            </w:r>
          </w:p>
        </w:tc>
        <w:tc>
          <w:tcPr>
            <w:tcW w:w="1479" w:type="pct"/>
            <w:gridSpan w:val="6"/>
            <w:tcBorders>
              <w:top w:val="single" w:color="000000" w:sz="6" w:space="0"/>
              <w:left w:val="single" w:color="000000" w:sz="6" w:space="0"/>
              <w:bottom w:val="single" w:color="000000" w:sz="6" w:space="0"/>
              <w:right w:val="single" w:color="000000" w:sz="6" w:space="0"/>
            </w:tcBorders>
            <w:shd w:val="clear" w:color="auto" w:fill="auto"/>
            <w:vAlign w:val="center"/>
          </w:tcPr>
          <w:p w14:paraId="2723DAF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长期例行监测数据□</w:t>
            </w:r>
          </w:p>
        </w:tc>
        <w:tc>
          <w:tcPr>
            <w:tcW w:w="1436"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25951BD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主管部门发布的数据☑</w:t>
            </w:r>
          </w:p>
        </w:tc>
        <w:tc>
          <w:tcPr>
            <w:tcW w:w="765" w:type="pct"/>
            <w:gridSpan w:val="3"/>
            <w:tcBorders>
              <w:top w:val="single" w:color="000000" w:sz="6" w:space="0"/>
              <w:left w:val="single" w:color="000000" w:sz="6" w:space="0"/>
              <w:bottom w:val="single" w:color="000000" w:sz="6" w:space="0"/>
              <w:right w:val="nil"/>
            </w:tcBorders>
            <w:shd w:val="clear" w:color="auto" w:fill="auto"/>
            <w:vAlign w:val="center"/>
          </w:tcPr>
          <w:p w14:paraId="6458EDB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现状补充监测</w:t>
            </w:r>
            <w:r>
              <w:rPr>
                <w:rFonts w:hint="eastAsia"/>
                <w:color w:val="auto"/>
                <w:kern w:val="0"/>
                <w:sz w:val="21"/>
                <w:szCs w:val="21"/>
                <w:lang w:bidi="ar"/>
              </w:rPr>
              <w:t>☑</w:t>
            </w:r>
          </w:p>
        </w:tc>
      </w:tr>
      <w:tr w14:paraId="13FF0A76">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49342BCA">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180BE2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现状评价</w:t>
            </w:r>
          </w:p>
        </w:tc>
        <w:tc>
          <w:tcPr>
            <w:tcW w:w="2258" w:type="pct"/>
            <w:gridSpan w:val="8"/>
            <w:tcBorders>
              <w:top w:val="single" w:color="000000" w:sz="6" w:space="0"/>
              <w:left w:val="single" w:color="000000" w:sz="6" w:space="0"/>
              <w:bottom w:val="single" w:color="000000" w:sz="6" w:space="0"/>
              <w:right w:val="single" w:color="000000" w:sz="6" w:space="0"/>
            </w:tcBorders>
            <w:shd w:val="clear" w:color="auto" w:fill="auto"/>
            <w:vAlign w:val="center"/>
          </w:tcPr>
          <w:p w14:paraId="730B828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达标区□</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1B9A92D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不达标区☑</w:t>
            </w:r>
          </w:p>
        </w:tc>
      </w:tr>
      <w:tr w14:paraId="49D04A9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779" w:hRule="atLeast"/>
        </w:trPr>
        <w:tc>
          <w:tcPr>
            <w:tcW w:w="513" w:type="pct"/>
            <w:tcBorders>
              <w:top w:val="single" w:color="000000" w:sz="6" w:space="0"/>
              <w:left w:val="nil"/>
              <w:bottom w:val="single" w:color="000000" w:sz="6" w:space="0"/>
              <w:right w:val="single" w:color="000000" w:sz="6" w:space="0"/>
            </w:tcBorders>
            <w:shd w:val="clear" w:color="auto" w:fill="auto"/>
            <w:vAlign w:val="center"/>
          </w:tcPr>
          <w:p w14:paraId="3A40FCA0">
            <w:pPr>
              <w:kinsoku w:val="0"/>
              <w:overflowPunct w:val="0"/>
              <w:autoSpaceDE w:val="0"/>
              <w:autoSpaceDN w:val="0"/>
              <w:spacing w:line="240" w:lineRule="auto"/>
              <w:ind w:firstLine="0" w:firstLineChars="0"/>
              <w:jc w:val="center"/>
              <w:rPr>
                <w:color w:val="auto"/>
                <w:kern w:val="0"/>
                <w:sz w:val="21"/>
                <w:szCs w:val="21"/>
              </w:rPr>
            </w:pPr>
            <w:r>
              <w:rPr>
                <w:color w:val="auto"/>
                <w:spacing w:val="-2"/>
                <w:kern w:val="0"/>
                <w:sz w:val="21"/>
                <w:szCs w:val="21"/>
                <w:lang w:bidi="ar"/>
              </w:rPr>
              <w:t>污染源</w:t>
            </w:r>
            <w:r>
              <w:rPr>
                <w:color w:val="auto"/>
                <w:kern w:val="0"/>
                <w:sz w:val="21"/>
                <w:szCs w:val="21"/>
                <w:lang w:bidi="ar"/>
              </w:rPr>
              <w:t>调查</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A2862F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调查内容</w:t>
            </w:r>
          </w:p>
        </w:tc>
        <w:tc>
          <w:tcPr>
            <w:tcW w:w="1130" w:type="pct"/>
            <w:gridSpan w:val="5"/>
            <w:tcBorders>
              <w:top w:val="single" w:color="000000" w:sz="6" w:space="0"/>
              <w:left w:val="single" w:color="000000" w:sz="6" w:space="0"/>
              <w:bottom w:val="single" w:color="000000" w:sz="6" w:space="0"/>
              <w:right w:val="single" w:color="000000" w:sz="6" w:space="0"/>
            </w:tcBorders>
            <w:shd w:val="clear" w:color="auto" w:fill="auto"/>
            <w:vAlign w:val="center"/>
          </w:tcPr>
          <w:p w14:paraId="2A69533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本项目正常排放源☑</w:t>
            </w:r>
          </w:p>
          <w:p w14:paraId="25AACC7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本项目非正常排放源□</w:t>
            </w:r>
          </w:p>
          <w:p w14:paraId="24719B8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现有污染源□</w:t>
            </w:r>
          </w:p>
        </w:tc>
        <w:tc>
          <w:tcPr>
            <w:tcW w:w="1127"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3568AF1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拟替代的污染源□</w:t>
            </w:r>
          </w:p>
        </w:tc>
        <w:tc>
          <w:tcPr>
            <w:tcW w:w="872"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0C12A4EF">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其他在建、拟建项目</w:t>
            </w:r>
            <w:r>
              <w:rPr>
                <w:color w:val="auto"/>
                <w:kern w:val="0"/>
                <w:sz w:val="21"/>
                <w:szCs w:val="21"/>
                <w:lang w:bidi="ar"/>
              </w:rPr>
              <w:t>污染源□</w:t>
            </w:r>
          </w:p>
        </w:tc>
        <w:tc>
          <w:tcPr>
            <w:tcW w:w="551" w:type="pct"/>
            <w:gridSpan w:val="2"/>
            <w:tcBorders>
              <w:top w:val="single" w:color="000000" w:sz="6" w:space="0"/>
              <w:left w:val="single" w:color="000000" w:sz="6" w:space="0"/>
              <w:bottom w:val="single" w:color="000000" w:sz="6" w:space="0"/>
              <w:right w:val="nil"/>
            </w:tcBorders>
            <w:shd w:val="clear" w:color="auto" w:fill="auto"/>
            <w:vAlign w:val="center"/>
          </w:tcPr>
          <w:p w14:paraId="424E1D8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区域污染源□</w:t>
            </w:r>
          </w:p>
        </w:tc>
      </w:tr>
      <w:tr w14:paraId="7E62154E">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restart"/>
            <w:tcBorders>
              <w:top w:val="single" w:color="000000" w:sz="6" w:space="0"/>
              <w:left w:val="nil"/>
              <w:bottom w:val="single" w:color="000000" w:sz="6" w:space="0"/>
              <w:right w:val="single" w:color="000000" w:sz="6" w:space="0"/>
            </w:tcBorders>
            <w:shd w:val="clear" w:color="auto" w:fill="auto"/>
            <w:vAlign w:val="center"/>
          </w:tcPr>
          <w:p w14:paraId="56CA6EAD">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大气环境影</w:t>
            </w:r>
            <w:r>
              <w:rPr>
                <w:color w:val="auto"/>
                <w:kern w:val="0"/>
                <w:sz w:val="21"/>
                <w:szCs w:val="21"/>
                <w:lang w:bidi="ar"/>
              </w:rPr>
              <w:t>响预测与评价</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F04CB4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预测模型</w:t>
            </w:r>
          </w:p>
        </w:tc>
        <w:tc>
          <w:tcPr>
            <w:tcW w:w="71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5F8046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AERMOD</w:t>
            </w:r>
          </w:p>
          <w:p w14:paraId="76CD4BB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c>
          <w:tcPr>
            <w:tcW w:w="339"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3CDF829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ADMS</w:t>
            </w:r>
          </w:p>
          <w:p w14:paraId="65A1376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c>
          <w:tcPr>
            <w:tcW w:w="683"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74D7BA91">
            <w:pPr>
              <w:kinsoku w:val="0"/>
              <w:overflowPunct w:val="0"/>
              <w:autoSpaceDE w:val="0"/>
              <w:autoSpaceDN w:val="0"/>
              <w:spacing w:line="240" w:lineRule="auto"/>
              <w:ind w:firstLine="0" w:firstLineChars="0"/>
              <w:jc w:val="center"/>
              <w:rPr>
                <w:color w:val="auto"/>
                <w:spacing w:val="-1"/>
                <w:kern w:val="0"/>
                <w:sz w:val="21"/>
                <w:szCs w:val="21"/>
              </w:rPr>
            </w:pPr>
            <w:r>
              <w:rPr>
                <w:color w:val="auto"/>
                <w:spacing w:val="-1"/>
                <w:kern w:val="0"/>
                <w:sz w:val="21"/>
                <w:szCs w:val="21"/>
                <w:lang w:bidi="ar"/>
              </w:rPr>
              <w:t>AUSTAL2000</w:t>
            </w:r>
          </w:p>
          <w:p w14:paraId="131D3D7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c>
          <w:tcPr>
            <w:tcW w:w="663" w:type="pct"/>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63CB002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EDMS/AEDT</w:t>
            </w:r>
          </w:p>
          <w:p w14:paraId="7DD0B0E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c>
          <w:tcPr>
            <w:tcW w:w="51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A20641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CALPUFF</w:t>
            </w:r>
          </w:p>
          <w:p w14:paraId="57AD9BA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c>
          <w:tcPr>
            <w:tcW w:w="416" w:type="pct"/>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3A393DD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网格模型</w:t>
            </w:r>
          </w:p>
          <w:p w14:paraId="4105673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c>
          <w:tcPr>
            <w:tcW w:w="348" w:type="pct"/>
            <w:tcBorders>
              <w:top w:val="single" w:color="000000" w:sz="6" w:space="0"/>
              <w:left w:val="single" w:color="000000" w:sz="6" w:space="0"/>
              <w:bottom w:val="single" w:color="000000" w:sz="6" w:space="0"/>
              <w:right w:val="nil"/>
            </w:tcBorders>
            <w:shd w:val="clear" w:color="auto" w:fill="auto"/>
            <w:vAlign w:val="center"/>
          </w:tcPr>
          <w:p w14:paraId="0754D51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其他</w:t>
            </w:r>
          </w:p>
          <w:p w14:paraId="5C7E8FD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w:t>
            </w:r>
          </w:p>
        </w:tc>
      </w:tr>
      <w:tr w14:paraId="6F506CB2">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13D8537D">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D07A98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预测范围</w:t>
            </w:r>
          </w:p>
        </w:tc>
        <w:tc>
          <w:tcPr>
            <w:tcW w:w="1058"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59FF154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边长</w:t>
            </w:r>
            <w:r>
              <w:rPr>
                <w:color w:val="auto"/>
                <w:spacing w:val="-1"/>
                <w:kern w:val="0"/>
                <w:sz w:val="21"/>
                <w:szCs w:val="21"/>
                <w:lang w:bidi="ar"/>
              </w:rPr>
              <w:t>≥</w:t>
            </w:r>
            <w:r>
              <w:rPr>
                <w:color w:val="auto"/>
                <w:kern w:val="0"/>
                <w:sz w:val="21"/>
                <w:szCs w:val="21"/>
                <w:lang w:bidi="ar"/>
              </w:rPr>
              <w:t>50km□</w:t>
            </w:r>
          </w:p>
        </w:tc>
        <w:tc>
          <w:tcPr>
            <w:tcW w:w="1857" w:type="pct"/>
            <w:gridSpan w:val="6"/>
            <w:tcBorders>
              <w:top w:val="single" w:color="000000" w:sz="6" w:space="0"/>
              <w:left w:val="single" w:color="000000" w:sz="6" w:space="0"/>
              <w:bottom w:val="single" w:color="000000" w:sz="6" w:space="0"/>
              <w:right w:val="single" w:color="000000" w:sz="6" w:space="0"/>
            </w:tcBorders>
            <w:shd w:val="clear" w:color="auto" w:fill="auto"/>
            <w:vAlign w:val="center"/>
          </w:tcPr>
          <w:p w14:paraId="29DF3276">
            <w:pPr>
              <w:kinsoku w:val="0"/>
              <w:overflowPunct w:val="0"/>
              <w:autoSpaceDE w:val="0"/>
              <w:autoSpaceDN w:val="0"/>
              <w:spacing w:line="240" w:lineRule="auto"/>
              <w:ind w:firstLine="0" w:firstLineChars="0"/>
              <w:jc w:val="center"/>
              <w:rPr>
                <w:color w:val="auto"/>
                <w:kern w:val="0"/>
                <w:sz w:val="21"/>
                <w:szCs w:val="21"/>
              </w:rPr>
            </w:pPr>
            <w:r>
              <w:rPr>
                <w:color w:val="auto"/>
                <w:spacing w:val="-16"/>
                <w:kern w:val="0"/>
                <w:sz w:val="21"/>
                <w:szCs w:val="21"/>
                <w:lang w:bidi="ar"/>
              </w:rPr>
              <w:t>边长</w:t>
            </w:r>
            <w:r>
              <w:rPr>
                <w:color w:val="auto"/>
                <w:kern w:val="0"/>
                <w:sz w:val="21"/>
                <w:szCs w:val="21"/>
                <w:lang w:bidi="ar"/>
              </w:rPr>
              <w:t>5～50km□</w:t>
            </w:r>
          </w:p>
        </w:tc>
        <w:tc>
          <w:tcPr>
            <w:tcW w:w="765" w:type="pct"/>
            <w:gridSpan w:val="3"/>
            <w:tcBorders>
              <w:top w:val="single" w:color="000000" w:sz="6" w:space="0"/>
              <w:left w:val="single" w:color="000000" w:sz="6" w:space="0"/>
              <w:bottom w:val="single" w:color="000000" w:sz="6" w:space="0"/>
              <w:right w:val="nil"/>
            </w:tcBorders>
            <w:shd w:val="clear" w:color="auto" w:fill="auto"/>
            <w:vAlign w:val="center"/>
          </w:tcPr>
          <w:p w14:paraId="729F962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边长</w:t>
            </w:r>
            <w:r>
              <w:rPr>
                <w:color w:val="auto"/>
                <w:spacing w:val="-1"/>
                <w:kern w:val="0"/>
                <w:sz w:val="21"/>
                <w:szCs w:val="21"/>
                <w:lang w:bidi="ar"/>
              </w:rPr>
              <w:t>=</w:t>
            </w:r>
            <w:r>
              <w:rPr>
                <w:color w:val="auto"/>
                <w:kern w:val="0"/>
                <w:sz w:val="21"/>
                <w:szCs w:val="21"/>
                <w:lang w:bidi="ar"/>
              </w:rPr>
              <w:t>5km☑</w:t>
            </w:r>
          </w:p>
        </w:tc>
      </w:tr>
      <w:tr w14:paraId="7CAEC00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7B66E5B7">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587A3D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预测因子</w:t>
            </w:r>
          </w:p>
        </w:tc>
        <w:tc>
          <w:tcPr>
            <w:tcW w:w="2258" w:type="pct"/>
            <w:gridSpan w:val="8"/>
            <w:tcBorders>
              <w:top w:val="single" w:color="000000" w:sz="6" w:space="0"/>
              <w:left w:val="single" w:color="000000" w:sz="6" w:space="0"/>
              <w:bottom w:val="single" w:color="000000" w:sz="6" w:space="0"/>
              <w:right w:val="single" w:color="000000" w:sz="6" w:space="0"/>
            </w:tcBorders>
            <w:shd w:val="clear" w:color="auto" w:fill="auto"/>
            <w:vAlign w:val="center"/>
          </w:tcPr>
          <w:p w14:paraId="2FA4C9B8">
            <w:pPr>
              <w:tabs>
                <w:tab w:val="left" w:pos="2820"/>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预测因子</w:t>
            </w:r>
            <w:r>
              <w:rPr>
                <w:rFonts w:hint="eastAsia"/>
                <w:color w:val="auto"/>
                <w:kern w:val="0"/>
                <w:sz w:val="21"/>
                <w:szCs w:val="21"/>
                <w:lang w:bidi="ar"/>
              </w:rPr>
              <w:t>（TSP、氨和硫酸雾）</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5FDB592E">
            <w:pPr>
              <w:kinsoku w:val="0"/>
              <w:overflowPunct w:val="0"/>
              <w:autoSpaceDE w:val="0"/>
              <w:autoSpaceDN w:val="0"/>
              <w:spacing w:line="240" w:lineRule="auto"/>
              <w:ind w:firstLine="0" w:firstLineChars="0"/>
              <w:jc w:val="center"/>
              <w:rPr>
                <w:color w:val="auto"/>
                <w:kern w:val="0"/>
                <w:position w:val="1"/>
                <w:sz w:val="21"/>
                <w:szCs w:val="21"/>
              </w:rPr>
            </w:pPr>
            <w:r>
              <w:rPr>
                <w:color w:val="auto"/>
                <w:spacing w:val="10"/>
                <w:kern w:val="0"/>
                <w:position w:val="1"/>
                <w:sz w:val="21"/>
                <w:szCs w:val="21"/>
                <w:lang w:bidi="ar"/>
              </w:rPr>
              <w:t>包括二次</w:t>
            </w:r>
            <w:r>
              <w:rPr>
                <w:color w:val="auto"/>
                <w:kern w:val="0"/>
                <w:position w:val="1"/>
                <w:sz w:val="21"/>
                <w:szCs w:val="21"/>
                <w:lang w:bidi="ar"/>
              </w:rPr>
              <w:t>PM</w:t>
            </w:r>
            <w:r>
              <w:rPr>
                <w:color w:val="auto"/>
                <w:kern w:val="0"/>
                <w:sz w:val="21"/>
                <w:szCs w:val="21"/>
                <w:lang w:bidi="ar"/>
              </w:rPr>
              <w:t>2.5</w:t>
            </w:r>
            <w:r>
              <w:rPr>
                <w:color w:val="auto"/>
                <w:kern w:val="0"/>
                <w:position w:val="1"/>
                <w:sz w:val="21"/>
                <w:szCs w:val="21"/>
                <w:lang w:bidi="ar"/>
              </w:rPr>
              <w:t>□</w:t>
            </w:r>
          </w:p>
          <w:p w14:paraId="7CF92288">
            <w:pPr>
              <w:kinsoku w:val="0"/>
              <w:overflowPunct w:val="0"/>
              <w:autoSpaceDE w:val="0"/>
              <w:autoSpaceDN w:val="0"/>
              <w:spacing w:line="240" w:lineRule="auto"/>
              <w:ind w:firstLine="0" w:firstLineChars="0"/>
              <w:jc w:val="center"/>
              <w:rPr>
                <w:color w:val="auto"/>
                <w:kern w:val="0"/>
                <w:position w:val="1"/>
                <w:sz w:val="21"/>
                <w:szCs w:val="21"/>
              </w:rPr>
            </w:pPr>
            <w:r>
              <w:rPr>
                <w:color w:val="auto"/>
                <w:spacing w:val="8"/>
                <w:kern w:val="0"/>
                <w:position w:val="1"/>
                <w:sz w:val="21"/>
                <w:szCs w:val="21"/>
                <w:lang w:bidi="ar"/>
              </w:rPr>
              <w:t>不包括二次</w:t>
            </w:r>
            <w:r>
              <w:rPr>
                <w:color w:val="auto"/>
                <w:kern w:val="0"/>
                <w:position w:val="1"/>
                <w:sz w:val="21"/>
                <w:szCs w:val="21"/>
                <w:lang w:bidi="ar"/>
              </w:rPr>
              <w:t>PM</w:t>
            </w:r>
            <w:r>
              <w:rPr>
                <w:color w:val="auto"/>
                <w:kern w:val="0"/>
                <w:sz w:val="21"/>
                <w:szCs w:val="21"/>
                <w:lang w:bidi="ar"/>
              </w:rPr>
              <w:t>2.5</w:t>
            </w:r>
            <w:r>
              <w:rPr>
                <w:rFonts w:hint="eastAsia"/>
                <w:color w:val="auto"/>
                <w:kern w:val="0"/>
                <w:position w:val="1"/>
                <w:sz w:val="21"/>
                <w:szCs w:val="21"/>
                <w:lang w:bidi="ar"/>
              </w:rPr>
              <w:t>□</w:t>
            </w:r>
          </w:p>
        </w:tc>
      </w:tr>
      <w:tr w14:paraId="7D0D9ED8">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5709B9DD">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B2C2DBA">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正常排放短期浓度</w:t>
            </w:r>
            <w:r>
              <w:rPr>
                <w:color w:val="auto"/>
                <w:kern w:val="0"/>
                <w:sz w:val="21"/>
                <w:szCs w:val="21"/>
                <w:lang w:bidi="ar"/>
              </w:rPr>
              <w:t>贡献值</w:t>
            </w:r>
          </w:p>
        </w:tc>
        <w:tc>
          <w:tcPr>
            <w:tcW w:w="2258" w:type="pct"/>
            <w:gridSpan w:val="8"/>
            <w:tcBorders>
              <w:top w:val="single" w:color="000000" w:sz="6" w:space="0"/>
              <w:left w:val="single" w:color="000000" w:sz="6" w:space="0"/>
              <w:bottom w:val="single" w:color="000000" w:sz="6" w:space="0"/>
              <w:right w:val="single" w:color="000000" w:sz="6" w:space="0"/>
            </w:tcBorders>
            <w:shd w:val="clear" w:color="auto" w:fill="auto"/>
            <w:vAlign w:val="center"/>
          </w:tcPr>
          <w:p w14:paraId="58E2F54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本项目</w:t>
            </w:r>
            <w:r>
              <w:rPr>
                <w:color w:val="auto"/>
                <w:kern w:val="0"/>
                <w:sz w:val="21"/>
                <w:szCs w:val="21"/>
                <w:lang w:bidi="ar"/>
              </w:rPr>
              <w:t>最大占标率≤100%</w:t>
            </w:r>
            <w:r>
              <w:rPr>
                <w:rFonts w:hint="eastAsia"/>
                <w:color w:val="auto"/>
                <w:kern w:val="0"/>
                <w:sz w:val="21"/>
                <w:szCs w:val="21"/>
                <w:lang w:bidi="ar"/>
              </w:rPr>
              <w:t>□</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15E7EA2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本项目</w:t>
            </w:r>
            <w:r>
              <w:rPr>
                <w:color w:val="auto"/>
                <w:kern w:val="0"/>
                <w:sz w:val="21"/>
                <w:szCs w:val="21"/>
                <w:lang w:bidi="ar"/>
              </w:rPr>
              <w:t>最大占标率＞100</w:t>
            </w:r>
            <w:r>
              <w:rPr>
                <w:color w:val="auto"/>
                <w:spacing w:val="22"/>
                <w:kern w:val="0"/>
                <w:sz w:val="21"/>
                <w:szCs w:val="21"/>
                <w:lang w:bidi="ar"/>
              </w:rPr>
              <w:t>%</w:t>
            </w:r>
            <w:r>
              <w:rPr>
                <w:color w:val="auto"/>
                <w:kern w:val="0"/>
                <w:sz w:val="21"/>
                <w:szCs w:val="21"/>
                <w:lang w:bidi="ar"/>
              </w:rPr>
              <w:t>□</w:t>
            </w:r>
          </w:p>
        </w:tc>
      </w:tr>
      <w:tr w14:paraId="0B5A987A">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0E93C0C7">
            <w:pPr>
              <w:spacing w:line="240" w:lineRule="auto"/>
              <w:ind w:firstLine="0" w:firstLineChars="0"/>
              <w:rPr>
                <w:color w:val="auto"/>
                <w:sz w:val="21"/>
                <w:szCs w:val="21"/>
              </w:rPr>
            </w:pPr>
          </w:p>
        </w:tc>
        <w:tc>
          <w:tcPr>
            <w:tcW w:w="804" w:type="pct"/>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14:paraId="555752F5">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正常排放年均浓度</w:t>
            </w:r>
            <w:r>
              <w:rPr>
                <w:color w:val="auto"/>
                <w:kern w:val="0"/>
                <w:sz w:val="21"/>
                <w:szCs w:val="21"/>
                <w:lang w:bidi="ar"/>
              </w:rPr>
              <w:t>贡献值</w:t>
            </w:r>
          </w:p>
        </w:tc>
        <w:tc>
          <w:tcPr>
            <w:tcW w:w="71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216517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一类区</w:t>
            </w:r>
          </w:p>
        </w:tc>
        <w:tc>
          <w:tcPr>
            <w:tcW w:w="1538"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7D40924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本项目</w:t>
            </w:r>
            <w:r>
              <w:rPr>
                <w:color w:val="auto"/>
                <w:kern w:val="0"/>
                <w:sz w:val="21"/>
                <w:szCs w:val="21"/>
                <w:lang w:bidi="ar"/>
              </w:rPr>
              <w:t>最大占标率≤10%□</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3139A42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本项目</w:t>
            </w:r>
            <w:r>
              <w:rPr>
                <w:color w:val="auto"/>
                <w:kern w:val="0"/>
                <w:sz w:val="21"/>
                <w:szCs w:val="21"/>
                <w:lang w:bidi="ar"/>
              </w:rPr>
              <w:t>最大标率＞10</w:t>
            </w:r>
            <w:r>
              <w:rPr>
                <w:color w:val="auto"/>
                <w:spacing w:val="22"/>
                <w:kern w:val="0"/>
                <w:sz w:val="21"/>
                <w:szCs w:val="21"/>
                <w:lang w:bidi="ar"/>
              </w:rPr>
              <w:t>%</w:t>
            </w:r>
            <w:r>
              <w:rPr>
                <w:color w:val="auto"/>
                <w:kern w:val="0"/>
                <w:sz w:val="21"/>
                <w:szCs w:val="21"/>
                <w:lang w:bidi="ar"/>
              </w:rPr>
              <w:t>□</w:t>
            </w:r>
          </w:p>
        </w:tc>
      </w:tr>
      <w:tr w14:paraId="67EE18B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2D9837EB">
            <w:pPr>
              <w:spacing w:line="240" w:lineRule="auto"/>
              <w:ind w:firstLine="0" w:firstLineChars="0"/>
              <w:rPr>
                <w:color w:val="auto"/>
                <w:sz w:val="21"/>
                <w:szCs w:val="21"/>
              </w:rPr>
            </w:pPr>
          </w:p>
        </w:tc>
        <w:tc>
          <w:tcPr>
            <w:tcW w:w="804" w:type="pct"/>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14:paraId="43A603AB">
            <w:pPr>
              <w:spacing w:line="240" w:lineRule="auto"/>
              <w:ind w:firstLine="0" w:firstLineChars="0"/>
              <w:rPr>
                <w:color w:val="auto"/>
                <w:sz w:val="21"/>
                <w:szCs w:val="21"/>
              </w:rPr>
            </w:pPr>
          </w:p>
        </w:tc>
        <w:tc>
          <w:tcPr>
            <w:tcW w:w="71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2E7940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二类区</w:t>
            </w:r>
          </w:p>
        </w:tc>
        <w:tc>
          <w:tcPr>
            <w:tcW w:w="1538"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1926D9B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本项目</w:t>
            </w:r>
            <w:r>
              <w:rPr>
                <w:color w:val="auto"/>
                <w:kern w:val="0"/>
                <w:sz w:val="21"/>
                <w:szCs w:val="21"/>
                <w:lang w:bidi="ar"/>
              </w:rPr>
              <w:t>最大占标率≤30%</w:t>
            </w:r>
            <w:r>
              <w:rPr>
                <w:rFonts w:hint="eastAsia"/>
                <w:color w:val="auto"/>
                <w:kern w:val="0"/>
                <w:sz w:val="21"/>
                <w:szCs w:val="21"/>
                <w:lang w:bidi="ar"/>
              </w:rPr>
              <w:t>□</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027BF18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本项目</w:t>
            </w:r>
            <w:r>
              <w:rPr>
                <w:color w:val="auto"/>
                <w:kern w:val="0"/>
                <w:sz w:val="21"/>
                <w:szCs w:val="21"/>
                <w:lang w:bidi="ar"/>
              </w:rPr>
              <w:t>最大标率＞30</w:t>
            </w:r>
            <w:r>
              <w:rPr>
                <w:color w:val="auto"/>
                <w:spacing w:val="22"/>
                <w:kern w:val="0"/>
                <w:sz w:val="21"/>
                <w:szCs w:val="21"/>
                <w:lang w:bidi="ar"/>
              </w:rPr>
              <w:t>%</w:t>
            </w:r>
            <w:r>
              <w:rPr>
                <w:color w:val="auto"/>
                <w:kern w:val="0"/>
                <w:sz w:val="21"/>
                <w:szCs w:val="21"/>
                <w:lang w:bidi="ar"/>
              </w:rPr>
              <w:t>□</w:t>
            </w:r>
          </w:p>
        </w:tc>
      </w:tr>
      <w:tr w14:paraId="3222BF6A">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34371FAA">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1C69EEA">
            <w:pPr>
              <w:kinsoku w:val="0"/>
              <w:overflowPunct w:val="0"/>
              <w:autoSpaceDE w:val="0"/>
              <w:autoSpaceDN w:val="0"/>
              <w:spacing w:line="240" w:lineRule="auto"/>
              <w:ind w:firstLine="0" w:firstLineChars="0"/>
              <w:jc w:val="center"/>
              <w:rPr>
                <w:color w:val="auto"/>
                <w:kern w:val="0"/>
                <w:sz w:val="21"/>
                <w:szCs w:val="21"/>
              </w:rPr>
            </w:pPr>
            <w:r>
              <w:rPr>
                <w:color w:val="auto"/>
                <w:spacing w:val="-8"/>
                <w:kern w:val="0"/>
                <w:sz w:val="21"/>
                <w:szCs w:val="21"/>
                <w:lang w:bidi="ar"/>
              </w:rPr>
              <w:t>非正常排放</w:t>
            </w:r>
            <w:r>
              <w:rPr>
                <w:color w:val="auto"/>
                <w:kern w:val="0"/>
                <w:sz w:val="21"/>
                <w:szCs w:val="21"/>
                <w:lang w:bidi="ar"/>
              </w:rPr>
              <w:t>1h浓度</w:t>
            </w:r>
          </w:p>
          <w:p w14:paraId="7BCB4EE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贡献值</w:t>
            </w:r>
          </w:p>
        </w:tc>
        <w:tc>
          <w:tcPr>
            <w:tcW w:w="71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19EA9D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非正常持续时长（）h</w:t>
            </w:r>
          </w:p>
        </w:tc>
        <w:tc>
          <w:tcPr>
            <w:tcW w:w="1538"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7EE77B1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非正常</w:t>
            </w:r>
            <w:r>
              <w:rPr>
                <w:color w:val="auto"/>
                <w:kern w:val="0"/>
                <w:sz w:val="21"/>
                <w:szCs w:val="21"/>
                <w:lang w:bidi="ar"/>
              </w:rPr>
              <w:t>占标率≤100</w:t>
            </w:r>
            <w:r>
              <w:rPr>
                <w:color w:val="auto"/>
                <w:spacing w:val="22"/>
                <w:kern w:val="0"/>
                <w:sz w:val="21"/>
                <w:szCs w:val="21"/>
                <w:lang w:bidi="ar"/>
              </w:rPr>
              <w:t>%</w:t>
            </w:r>
            <w:r>
              <w:rPr>
                <w:color w:val="auto"/>
                <w:kern w:val="0"/>
                <w:sz w:val="21"/>
                <w:szCs w:val="21"/>
                <w:lang w:bidi="ar"/>
              </w:rPr>
              <w:t>□</w:t>
            </w:r>
          </w:p>
        </w:tc>
        <w:tc>
          <w:tcPr>
            <w:tcW w:w="1423" w:type="pct"/>
            <w:gridSpan w:val="5"/>
            <w:tcBorders>
              <w:top w:val="single" w:color="000000" w:sz="6" w:space="0"/>
              <w:left w:val="single" w:color="000000" w:sz="6" w:space="0"/>
              <w:bottom w:val="single" w:color="000000" w:sz="6" w:space="0"/>
              <w:right w:val="nil"/>
            </w:tcBorders>
            <w:shd w:val="clear" w:color="auto" w:fill="auto"/>
            <w:vAlign w:val="center"/>
          </w:tcPr>
          <w:p w14:paraId="116A329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非正常</w:t>
            </w:r>
            <w:r>
              <w:rPr>
                <w:color w:val="auto"/>
                <w:kern w:val="0"/>
                <w:sz w:val="21"/>
                <w:szCs w:val="21"/>
                <w:lang w:bidi="ar"/>
              </w:rPr>
              <w:t>占标率＞100%□</w:t>
            </w:r>
          </w:p>
        </w:tc>
      </w:tr>
      <w:tr w14:paraId="2038D1FA">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7A161E12">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D8C8D34">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保证率日平均浓度和</w:t>
            </w:r>
            <w:r>
              <w:rPr>
                <w:color w:val="auto"/>
                <w:kern w:val="0"/>
                <w:sz w:val="21"/>
                <w:szCs w:val="21"/>
                <w:lang w:bidi="ar"/>
              </w:rPr>
              <w:t>年平均浓度叠加值</w:t>
            </w:r>
          </w:p>
        </w:tc>
        <w:tc>
          <w:tcPr>
            <w:tcW w:w="1741"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5411D6A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叠加</w:t>
            </w:r>
            <w:r>
              <w:rPr>
                <w:color w:val="auto"/>
                <w:kern w:val="0"/>
                <w:sz w:val="21"/>
                <w:szCs w:val="21"/>
                <w:lang w:bidi="ar"/>
              </w:rPr>
              <w:t>达标□</w:t>
            </w:r>
          </w:p>
        </w:tc>
        <w:tc>
          <w:tcPr>
            <w:tcW w:w="1940" w:type="pct"/>
            <w:gridSpan w:val="6"/>
            <w:tcBorders>
              <w:top w:val="single" w:color="000000" w:sz="6" w:space="0"/>
              <w:left w:val="single" w:color="000000" w:sz="6" w:space="0"/>
              <w:bottom w:val="single" w:color="000000" w:sz="6" w:space="0"/>
              <w:right w:val="nil"/>
            </w:tcBorders>
            <w:shd w:val="clear" w:color="auto" w:fill="auto"/>
            <w:vAlign w:val="center"/>
          </w:tcPr>
          <w:p w14:paraId="4B65ECC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𝐶</w:t>
            </w:r>
            <w:r>
              <w:rPr>
                <w:color w:val="auto"/>
                <w:kern w:val="0"/>
                <w:position w:val="-6"/>
                <w:sz w:val="21"/>
                <w:szCs w:val="21"/>
                <w:lang w:bidi="ar"/>
              </w:rPr>
              <w:t>叠加</w:t>
            </w:r>
            <w:r>
              <w:rPr>
                <w:color w:val="auto"/>
                <w:kern w:val="0"/>
                <w:sz w:val="21"/>
                <w:szCs w:val="21"/>
                <w:lang w:bidi="ar"/>
              </w:rPr>
              <w:t>不达标□</w:t>
            </w:r>
          </w:p>
        </w:tc>
      </w:tr>
      <w:tr w14:paraId="0392940E">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3EDC3531">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0F17CAF">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区域环境质量的整体</w:t>
            </w:r>
            <w:r>
              <w:rPr>
                <w:color w:val="auto"/>
                <w:kern w:val="0"/>
                <w:sz w:val="21"/>
                <w:szCs w:val="21"/>
                <w:lang w:bidi="ar"/>
              </w:rPr>
              <w:t>变化情况</w:t>
            </w:r>
          </w:p>
        </w:tc>
        <w:tc>
          <w:tcPr>
            <w:tcW w:w="1741"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6B48FDEB">
            <w:pPr>
              <w:kinsoku w:val="0"/>
              <w:overflowPunct w:val="0"/>
              <w:autoSpaceDE w:val="0"/>
              <w:autoSpaceDN w:val="0"/>
              <w:spacing w:line="240" w:lineRule="auto"/>
              <w:ind w:firstLine="0" w:firstLineChars="0"/>
              <w:jc w:val="center"/>
              <w:rPr>
                <w:color w:val="auto"/>
                <w:kern w:val="0"/>
                <w:sz w:val="21"/>
                <w:szCs w:val="21"/>
              </w:rPr>
            </w:pPr>
            <w:r>
              <w:rPr>
                <w:i/>
                <w:iCs/>
                <w:color w:val="auto"/>
                <w:kern w:val="0"/>
                <w:sz w:val="21"/>
                <w:szCs w:val="21"/>
                <w:lang w:bidi="ar"/>
              </w:rPr>
              <w:t>k</w:t>
            </w:r>
            <w:r>
              <w:rPr>
                <w:color w:val="auto"/>
                <w:kern w:val="0"/>
                <w:sz w:val="21"/>
                <w:szCs w:val="21"/>
                <w:lang w:bidi="ar"/>
              </w:rPr>
              <w:t>≤-20%□</w:t>
            </w:r>
          </w:p>
        </w:tc>
        <w:tc>
          <w:tcPr>
            <w:tcW w:w="1940" w:type="pct"/>
            <w:gridSpan w:val="6"/>
            <w:tcBorders>
              <w:top w:val="single" w:color="000000" w:sz="6" w:space="0"/>
              <w:left w:val="single" w:color="000000" w:sz="6" w:space="0"/>
              <w:bottom w:val="single" w:color="000000" w:sz="6" w:space="0"/>
              <w:right w:val="nil"/>
            </w:tcBorders>
            <w:shd w:val="clear" w:color="auto" w:fill="auto"/>
            <w:vAlign w:val="center"/>
          </w:tcPr>
          <w:p w14:paraId="6A4210FC">
            <w:pPr>
              <w:kinsoku w:val="0"/>
              <w:overflowPunct w:val="0"/>
              <w:autoSpaceDE w:val="0"/>
              <w:autoSpaceDN w:val="0"/>
              <w:spacing w:line="240" w:lineRule="auto"/>
              <w:ind w:firstLine="0" w:firstLineChars="0"/>
              <w:jc w:val="center"/>
              <w:rPr>
                <w:color w:val="auto"/>
                <w:kern w:val="0"/>
                <w:sz w:val="21"/>
                <w:szCs w:val="21"/>
              </w:rPr>
            </w:pPr>
            <w:r>
              <w:rPr>
                <w:i/>
                <w:iCs/>
                <w:color w:val="auto"/>
                <w:kern w:val="0"/>
                <w:sz w:val="21"/>
                <w:szCs w:val="21"/>
                <w:lang w:bidi="ar"/>
              </w:rPr>
              <w:t>k</w:t>
            </w:r>
            <w:r>
              <w:rPr>
                <w:rFonts w:hint="eastAsia"/>
                <w:i/>
                <w:iCs/>
                <w:color w:val="auto"/>
                <w:kern w:val="0"/>
                <w:sz w:val="21"/>
                <w:szCs w:val="21"/>
                <w:lang w:bidi="ar"/>
              </w:rPr>
              <w:t>&gt;</w:t>
            </w:r>
            <w:r>
              <w:rPr>
                <w:color w:val="auto"/>
                <w:kern w:val="0"/>
                <w:sz w:val="21"/>
                <w:szCs w:val="21"/>
                <w:lang w:bidi="ar"/>
              </w:rPr>
              <w:t>-20%□</w:t>
            </w:r>
          </w:p>
        </w:tc>
      </w:tr>
      <w:tr w14:paraId="2CD2FF9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513" w:type="pct"/>
            <w:vMerge w:val="restart"/>
            <w:tcBorders>
              <w:top w:val="single" w:color="000000" w:sz="6" w:space="0"/>
              <w:left w:val="nil"/>
              <w:bottom w:val="single" w:color="000000" w:sz="6" w:space="0"/>
              <w:right w:val="single" w:color="000000" w:sz="6" w:space="0"/>
            </w:tcBorders>
            <w:shd w:val="clear" w:color="auto" w:fill="auto"/>
            <w:vAlign w:val="center"/>
          </w:tcPr>
          <w:p w14:paraId="29467DE8">
            <w:pPr>
              <w:kinsoku w:val="0"/>
              <w:overflowPunct w:val="0"/>
              <w:autoSpaceDE w:val="0"/>
              <w:autoSpaceDN w:val="0"/>
              <w:spacing w:line="240" w:lineRule="auto"/>
              <w:ind w:firstLine="0" w:firstLineChars="0"/>
              <w:jc w:val="center"/>
              <w:rPr>
                <w:color w:val="auto"/>
                <w:kern w:val="0"/>
                <w:sz w:val="21"/>
                <w:szCs w:val="21"/>
              </w:rPr>
            </w:pPr>
            <w:r>
              <w:rPr>
                <w:color w:val="auto"/>
                <w:spacing w:val="-1"/>
                <w:kern w:val="0"/>
                <w:sz w:val="21"/>
                <w:szCs w:val="21"/>
                <w:lang w:bidi="ar"/>
              </w:rPr>
              <w:t>环境监测</w:t>
            </w:r>
            <w:r>
              <w:rPr>
                <w:color w:val="auto"/>
                <w:kern w:val="0"/>
                <w:sz w:val="21"/>
                <w:szCs w:val="21"/>
                <w:lang w:bidi="ar"/>
              </w:rPr>
              <w:t>计划</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058F63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污染源监测</w:t>
            </w:r>
          </w:p>
        </w:tc>
        <w:tc>
          <w:tcPr>
            <w:tcW w:w="1741"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3FE95F29">
            <w:pPr>
              <w:tabs>
                <w:tab w:val="left" w:pos="2100"/>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监测因子</w:t>
            </w:r>
            <w:r>
              <w:rPr>
                <w:color w:val="auto"/>
                <w:spacing w:val="-92"/>
                <w:kern w:val="0"/>
                <w:sz w:val="21"/>
                <w:szCs w:val="21"/>
                <w:lang w:bidi="ar"/>
              </w:rPr>
              <w:t>：</w:t>
            </w:r>
            <w:r>
              <w:rPr>
                <w:color w:val="auto"/>
                <w:kern w:val="0"/>
                <w:sz w:val="21"/>
                <w:szCs w:val="21"/>
                <w:lang w:bidi="ar"/>
              </w:rPr>
              <w:t>（</w:t>
            </w:r>
            <w:r>
              <w:rPr>
                <w:rFonts w:hint="eastAsia"/>
                <w:color w:val="auto"/>
                <w:kern w:val="0"/>
                <w:sz w:val="21"/>
                <w:szCs w:val="21"/>
                <w:lang w:bidi="ar"/>
              </w:rPr>
              <w:t>TSP、氨和硫酸雾</w:t>
            </w:r>
            <w:r>
              <w:rPr>
                <w:color w:val="auto"/>
                <w:kern w:val="0"/>
                <w:sz w:val="21"/>
                <w:szCs w:val="21"/>
                <w:lang w:bidi="ar"/>
              </w:rPr>
              <w:t>）</w:t>
            </w:r>
          </w:p>
        </w:tc>
        <w:tc>
          <w:tcPr>
            <w:tcW w:w="1388"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76F48BE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有组织废气监测☑</w:t>
            </w:r>
          </w:p>
          <w:p w14:paraId="1EA8C96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无组织废气监测</w:t>
            </w:r>
            <w:r>
              <w:rPr>
                <w:rFonts w:hint="eastAsia"/>
                <w:color w:val="auto"/>
                <w:kern w:val="0"/>
                <w:sz w:val="21"/>
                <w:szCs w:val="21"/>
                <w:lang w:bidi="ar"/>
              </w:rPr>
              <w:t>☑</w:t>
            </w:r>
          </w:p>
        </w:tc>
        <w:tc>
          <w:tcPr>
            <w:tcW w:w="551" w:type="pct"/>
            <w:gridSpan w:val="2"/>
            <w:tcBorders>
              <w:top w:val="single" w:color="000000" w:sz="6" w:space="0"/>
              <w:left w:val="single" w:color="000000" w:sz="6" w:space="0"/>
              <w:bottom w:val="single" w:color="000000" w:sz="6" w:space="0"/>
              <w:right w:val="nil"/>
            </w:tcBorders>
            <w:shd w:val="clear" w:color="auto" w:fill="auto"/>
            <w:vAlign w:val="center"/>
          </w:tcPr>
          <w:p w14:paraId="4C4276C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无监测□</w:t>
            </w:r>
          </w:p>
        </w:tc>
      </w:tr>
      <w:tr w14:paraId="3DC7B204">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35A41B26">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3B24BB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环境质量监测</w:t>
            </w:r>
          </w:p>
        </w:tc>
        <w:tc>
          <w:tcPr>
            <w:tcW w:w="1741" w:type="pct"/>
            <w:gridSpan w:val="7"/>
            <w:tcBorders>
              <w:top w:val="single" w:color="000000" w:sz="6" w:space="0"/>
              <w:left w:val="single" w:color="000000" w:sz="6" w:space="0"/>
              <w:bottom w:val="single" w:color="000000" w:sz="6" w:space="0"/>
              <w:right w:val="single" w:color="000000" w:sz="6" w:space="0"/>
            </w:tcBorders>
            <w:shd w:val="clear" w:color="auto" w:fill="auto"/>
            <w:vAlign w:val="center"/>
          </w:tcPr>
          <w:p w14:paraId="1A10375A">
            <w:pPr>
              <w:tabs>
                <w:tab w:val="left" w:pos="2466"/>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监测因子</w:t>
            </w:r>
            <w:r>
              <w:rPr>
                <w:color w:val="auto"/>
                <w:spacing w:val="-92"/>
                <w:kern w:val="0"/>
                <w:sz w:val="21"/>
                <w:szCs w:val="21"/>
                <w:lang w:bidi="ar"/>
              </w:rPr>
              <w:t>：</w:t>
            </w:r>
            <w:r>
              <w:rPr>
                <w:color w:val="auto"/>
                <w:kern w:val="0"/>
                <w:sz w:val="21"/>
                <w:szCs w:val="21"/>
                <w:lang w:bidi="ar"/>
              </w:rPr>
              <w:t>（</w:t>
            </w:r>
            <w:r>
              <w:rPr>
                <w:rFonts w:hint="eastAsia"/>
                <w:color w:val="auto"/>
                <w:kern w:val="0"/>
                <w:sz w:val="21"/>
                <w:szCs w:val="21"/>
                <w:lang w:bidi="ar"/>
              </w:rPr>
              <w:t>TSP、氨和硫酸雾</w:t>
            </w:r>
            <w:r>
              <w:rPr>
                <w:color w:val="auto"/>
                <w:kern w:val="0"/>
                <w:sz w:val="21"/>
                <w:szCs w:val="21"/>
                <w:lang w:bidi="ar"/>
              </w:rPr>
              <w:t>）</w:t>
            </w:r>
          </w:p>
        </w:tc>
        <w:tc>
          <w:tcPr>
            <w:tcW w:w="1388" w:type="pct"/>
            <w:gridSpan w:val="4"/>
            <w:tcBorders>
              <w:top w:val="single" w:color="000000" w:sz="6" w:space="0"/>
              <w:left w:val="single" w:color="000000" w:sz="6" w:space="0"/>
              <w:bottom w:val="single" w:color="000000" w:sz="6" w:space="0"/>
              <w:right w:val="single" w:color="000000" w:sz="6" w:space="0"/>
            </w:tcBorders>
            <w:shd w:val="clear" w:color="auto" w:fill="auto"/>
            <w:vAlign w:val="center"/>
          </w:tcPr>
          <w:p w14:paraId="7B283941">
            <w:pPr>
              <w:tabs>
                <w:tab w:val="left" w:pos="1928"/>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监测点位数（厂界上风向、厂界下风向）</w:t>
            </w:r>
          </w:p>
        </w:tc>
        <w:tc>
          <w:tcPr>
            <w:tcW w:w="551" w:type="pct"/>
            <w:gridSpan w:val="2"/>
            <w:tcBorders>
              <w:top w:val="single" w:color="000000" w:sz="6" w:space="0"/>
              <w:left w:val="single" w:color="000000" w:sz="6" w:space="0"/>
              <w:bottom w:val="single" w:color="000000" w:sz="6" w:space="0"/>
              <w:right w:val="nil"/>
            </w:tcBorders>
            <w:shd w:val="clear" w:color="auto" w:fill="auto"/>
            <w:vAlign w:val="center"/>
          </w:tcPr>
          <w:p w14:paraId="5129705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无监测□</w:t>
            </w:r>
          </w:p>
        </w:tc>
      </w:tr>
      <w:tr w14:paraId="442DCB52">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392" w:hRule="atLeast"/>
        </w:trPr>
        <w:tc>
          <w:tcPr>
            <w:tcW w:w="513" w:type="pct"/>
            <w:vMerge w:val="restart"/>
            <w:tcBorders>
              <w:top w:val="single" w:color="000000" w:sz="6" w:space="0"/>
              <w:left w:val="nil"/>
              <w:bottom w:val="single" w:color="000000" w:sz="6" w:space="0"/>
              <w:right w:val="single" w:color="000000" w:sz="6" w:space="0"/>
            </w:tcBorders>
            <w:shd w:val="clear" w:color="auto" w:fill="auto"/>
            <w:vAlign w:val="center"/>
          </w:tcPr>
          <w:p w14:paraId="3105195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评价结论</w:t>
            </w: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BA93EC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环境影响</w:t>
            </w:r>
          </w:p>
        </w:tc>
        <w:tc>
          <w:tcPr>
            <w:tcW w:w="3682" w:type="pct"/>
            <w:gridSpan w:val="13"/>
            <w:tcBorders>
              <w:top w:val="single" w:color="000000" w:sz="6" w:space="0"/>
              <w:left w:val="single" w:color="000000" w:sz="6" w:space="0"/>
              <w:bottom w:val="single" w:color="000000" w:sz="6" w:space="0"/>
              <w:right w:val="nil"/>
            </w:tcBorders>
            <w:shd w:val="clear" w:color="auto" w:fill="auto"/>
            <w:vAlign w:val="center"/>
          </w:tcPr>
          <w:p w14:paraId="16D9FF8F">
            <w:pPr>
              <w:tabs>
                <w:tab w:val="left" w:pos="3582"/>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可以接受☑</w:t>
            </w:r>
            <w:r>
              <w:rPr>
                <w:color w:val="auto"/>
                <w:kern w:val="0"/>
                <w:sz w:val="21"/>
                <w:szCs w:val="21"/>
                <w:lang w:bidi="ar"/>
              </w:rPr>
              <w:tab/>
            </w:r>
            <w:r>
              <w:rPr>
                <w:color w:val="auto"/>
                <w:kern w:val="0"/>
                <w:sz w:val="21"/>
                <w:szCs w:val="21"/>
                <w:lang w:bidi="ar"/>
              </w:rPr>
              <w:t>不可以接受□</w:t>
            </w:r>
          </w:p>
        </w:tc>
      </w:tr>
      <w:tr w14:paraId="11A6ECA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2BDDCF60">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7694D6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大气环境防护距离</w:t>
            </w:r>
          </w:p>
        </w:tc>
        <w:tc>
          <w:tcPr>
            <w:tcW w:w="3682" w:type="pct"/>
            <w:gridSpan w:val="13"/>
            <w:tcBorders>
              <w:top w:val="single" w:color="000000" w:sz="6" w:space="0"/>
              <w:left w:val="single" w:color="000000" w:sz="6" w:space="0"/>
              <w:bottom w:val="single" w:color="000000" w:sz="6" w:space="0"/>
              <w:right w:val="nil"/>
            </w:tcBorders>
            <w:shd w:val="clear" w:color="auto" w:fill="auto"/>
            <w:vAlign w:val="center"/>
          </w:tcPr>
          <w:p w14:paraId="1DCB0C63">
            <w:pPr>
              <w:tabs>
                <w:tab w:val="left" w:pos="839"/>
                <w:tab w:val="left" w:pos="2366"/>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无</w:t>
            </w:r>
          </w:p>
        </w:tc>
      </w:tr>
      <w:tr w14:paraId="44CFB74B">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13" w:type="pct"/>
            <w:vMerge w:val="continue"/>
            <w:tcBorders>
              <w:top w:val="single" w:color="000000" w:sz="6" w:space="0"/>
              <w:left w:val="nil"/>
              <w:bottom w:val="single" w:color="000000" w:sz="6" w:space="0"/>
              <w:right w:val="single" w:color="000000" w:sz="6" w:space="0"/>
            </w:tcBorders>
            <w:shd w:val="clear" w:color="auto" w:fill="auto"/>
            <w:vAlign w:val="center"/>
          </w:tcPr>
          <w:p w14:paraId="4BD0E54F">
            <w:pPr>
              <w:spacing w:line="240" w:lineRule="auto"/>
              <w:ind w:firstLine="0" w:firstLineChars="0"/>
              <w:rPr>
                <w:color w:val="auto"/>
                <w:sz w:val="21"/>
                <w:szCs w:val="21"/>
              </w:rPr>
            </w:pPr>
          </w:p>
        </w:tc>
        <w:tc>
          <w:tcPr>
            <w:tcW w:w="80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7F9D51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污染源年排放量</w:t>
            </w:r>
          </w:p>
        </w:tc>
        <w:tc>
          <w:tcPr>
            <w:tcW w:w="933"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36711246">
            <w:pPr>
              <w:tabs>
                <w:tab w:val="left" w:pos="1129"/>
              </w:tabs>
              <w:kinsoku w:val="0"/>
              <w:overflowPunct w:val="0"/>
              <w:autoSpaceDE w:val="0"/>
              <w:autoSpaceDN w:val="0"/>
              <w:spacing w:line="240" w:lineRule="auto"/>
              <w:ind w:firstLine="0" w:firstLineChars="0"/>
              <w:jc w:val="center"/>
              <w:rPr>
                <w:color w:val="auto"/>
                <w:kern w:val="0"/>
                <w:position w:val="1"/>
                <w:sz w:val="21"/>
                <w:szCs w:val="21"/>
              </w:rPr>
            </w:pPr>
            <w:r>
              <w:rPr>
                <w:color w:val="auto"/>
                <w:kern w:val="0"/>
                <w:position w:val="1"/>
                <w:sz w:val="21"/>
                <w:szCs w:val="21"/>
                <w:lang w:bidi="ar"/>
              </w:rPr>
              <w:t>SO</w:t>
            </w:r>
            <w:r>
              <w:rPr>
                <w:color w:val="auto"/>
                <w:kern w:val="0"/>
                <w:sz w:val="21"/>
                <w:szCs w:val="21"/>
                <w:lang w:bidi="ar"/>
              </w:rPr>
              <w:t>2</w:t>
            </w:r>
            <w:r>
              <w:rPr>
                <w:color w:val="auto"/>
                <w:kern w:val="0"/>
                <w:position w:val="1"/>
                <w:sz w:val="21"/>
                <w:szCs w:val="21"/>
                <w:lang w:bidi="ar"/>
              </w:rPr>
              <w:t>:</w:t>
            </w:r>
            <w:r>
              <w:rPr>
                <w:rFonts w:hint="eastAsia"/>
                <w:color w:val="auto"/>
                <w:kern w:val="0"/>
                <w:position w:val="1"/>
                <w:sz w:val="21"/>
                <w:szCs w:val="21"/>
                <w:lang w:bidi="ar"/>
              </w:rPr>
              <w:t>(0.768)</w:t>
            </w:r>
            <w:r>
              <w:rPr>
                <w:color w:val="auto"/>
                <w:kern w:val="0"/>
                <w:position w:val="1"/>
                <w:sz w:val="21"/>
                <w:szCs w:val="21"/>
                <w:lang w:bidi="ar"/>
              </w:rPr>
              <w:t>t/a</w:t>
            </w:r>
          </w:p>
        </w:tc>
        <w:tc>
          <w:tcPr>
            <w:tcW w:w="1325" w:type="pct"/>
            <w:gridSpan w:val="5"/>
            <w:tcBorders>
              <w:top w:val="single" w:color="000000" w:sz="6" w:space="0"/>
              <w:left w:val="single" w:color="000000" w:sz="6" w:space="0"/>
              <w:bottom w:val="single" w:color="000000" w:sz="6" w:space="0"/>
              <w:right w:val="single" w:color="000000" w:sz="6" w:space="0"/>
            </w:tcBorders>
            <w:shd w:val="clear" w:color="auto" w:fill="auto"/>
            <w:vAlign w:val="center"/>
          </w:tcPr>
          <w:p w14:paraId="2AD6DA60">
            <w:pPr>
              <w:tabs>
                <w:tab w:val="left" w:pos="1181"/>
              </w:tabs>
              <w:kinsoku w:val="0"/>
              <w:overflowPunct w:val="0"/>
              <w:autoSpaceDE w:val="0"/>
              <w:autoSpaceDN w:val="0"/>
              <w:spacing w:line="240" w:lineRule="auto"/>
              <w:ind w:firstLine="0" w:firstLineChars="0"/>
              <w:jc w:val="center"/>
              <w:rPr>
                <w:color w:val="auto"/>
                <w:kern w:val="0"/>
                <w:position w:val="1"/>
                <w:sz w:val="21"/>
                <w:szCs w:val="21"/>
              </w:rPr>
            </w:pPr>
            <w:r>
              <w:rPr>
                <w:color w:val="auto"/>
                <w:kern w:val="0"/>
                <w:position w:val="1"/>
                <w:sz w:val="21"/>
                <w:szCs w:val="21"/>
                <w:lang w:bidi="ar"/>
              </w:rPr>
              <w:t>NO</w:t>
            </w:r>
            <w:r>
              <w:rPr>
                <w:color w:val="auto"/>
                <w:kern w:val="0"/>
                <w:sz w:val="21"/>
                <w:szCs w:val="21"/>
                <w:lang w:bidi="ar"/>
              </w:rPr>
              <w:t>x</w:t>
            </w:r>
            <w:r>
              <w:rPr>
                <w:color w:val="auto"/>
                <w:kern w:val="0"/>
                <w:position w:val="1"/>
                <w:sz w:val="21"/>
                <w:szCs w:val="21"/>
                <w:lang w:bidi="ar"/>
              </w:rPr>
              <w:t>:</w:t>
            </w:r>
            <w:r>
              <w:rPr>
                <w:rFonts w:hint="eastAsia"/>
                <w:color w:val="auto"/>
                <w:kern w:val="0"/>
                <w:position w:val="1"/>
                <w:sz w:val="21"/>
                <w:szCs w:val="21"/>
                <w:lang w:bidi="ar"/>
              </w:rPr>
              <w:t>(7.183)</w:t>
            </w:r>
            <w:r>
              <w:rPr>
                <w:color w:val="auto"/>
                <w:kern w:val="0"/>
                <w:position w:val="1"/>
                <w:sz w:val="21"/>
                <w:szCs w:val="21"/>
                <w:lang w:bidi="ar"/>
              </w:rPr>
              <w:t>t/a</w:t>
            </w:r>
          </w:p>
        </w:tc>
        <w:tc>
          <w:tcPr>
            <w:tcW w:w="872" w:type="pct"/>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0F8471A4">
            <w:pPr>
              <w:tabs>
                <w:tab w:val="left" w:pos="1081"/>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颗粒物</w:t>
            </w:r>
            <w:r>
              <w:rPr>
                <w:rFonts w:hint="eastAsia"/>
                <w:color w:val="auto"/>
                <w:kern w:val="0"/>
                <w:sz w:val="21"/>
                <w:szCs w:val="21"/>
                <w:lang w:bidi="ar"/>
              </w:rPr>
              <w:t>:</w:t>
            </w:r>
            <w:r>
              <w:rPr>
                <w:color w:val="auto"/>
                <w:kern w:val="0"/>
                <w:sz w:val="21"/>
                <w:szCs w:val="21"/>
                <w:lang w:bidi="ar"/>
              </w:rPr>
              <w:t>（</w:t>
            </w:r>
            <w:r>
              <w:rPr>
                <w:rFonts w:hint="eastAsia"/>
                <w:color w:val="auto"/>
                <w:kern w:val="0"/>
                <w:sz w:val="21"/>
                <w:szCs w:val="21"/>
                <w:lang w:bidi="ar"/>
              </w:rPr>
              <w:t>5.297</w:t>
            </w:r>
            <w:r>
              <w:rPr>
                <w:color w:val="auto"/>
                <w:kern w:val="0"/>
                <w:sz w:val="21"/>
                <w:szCs w:val="21"/>
                <w:lang w:bidi="ar"/>
              </w:rPr>
              <w:t>）t/a</w:t>
            </w:r>
          </w:p>
        </w:tc>
        <w:tc>
          <w:tcPr>
            <w:tcW w:w="551" w:type="pct"/>
            <w:gridSpan w:val="2"/>
            <w:tcBorders>
              <w:top w:val="single" w:color="000000" w:sz="6" w:space="0"/>
              <w:left w:val="single" w:color="000000" w:sz="6" w:space="0"/>
              <w:bottom w:val="single" w:color="000000" w:sz="6" w:space="0"/>
              <w:right w:val="nil"/>
            </w:tcBorders>
            <w:shd w:val="clear" w:color="auto" w:fill="auto"/>
            <w:vAlign w:val="center"/>
          </w:tcPr>
          <w:p w14:paraId="67084F1B">
            <w:pPr>
              <w:tabs>
                <w:tab w:val="left" w:pos="870"/>
              </w:tabs>
              <w:kinsoku w:val="0"/>
              <w:overflowPunct w:val="0"/>
              <w:autoSpaceDE w:val="0"/>
              <w:autoSpaceDN w:val="0"/>
              <w:spacing w:line="240" w:lineRule="auto"/>
              <w:ind w:firstLine="0" w:firstLineChars="0"/>
              <w:jc w:val="center"/>
              <w:rPr>
                <w:color w:val="auto"/>
                <w:kern w:val="0"/>
                <w:position w:val="1"/>
                <w:sz w:val="21"/>
                <w:szCs w:val="21"/>
              </w:rPr>
            </w:pPr>
            <w:r>
              <w:rPr>
                <w:color w:val="auto"/>
                <w:kern w:val="0"/>
                <w:position w:val="1"/>
                <w:sz w:val="21"/>
                <w:szCs w:val="21"/>
                <w:lang w:bidi="ar"/>
              </w:rPr>
              <w:t>VOC</w:t>
            </w:r>
            <w:r>
              <w:rPr>
                <w:color w:val="auto"/>
                <w:kern w:val="0"/>
                <w:sz w:val="21"/>
                <w:szCs w:val="21"/>
                <w:lang w:bidi="ar"/>
              </w:rPr>
              <w:t>s</w:t>
            </w:r>
            <w:r>
              <w:rPr>
                <w:color w:val="auto"/>
                <w:kern w:val="0"/>
                <w:position w:val="1"/>
                <w:sz w:val="21"/>
                <w:szCs w:val="21"/>
                <w:lang w:bidi="ar"/>
              </w:rPr>
              <w:t>:</w:t>
            </w:r>
            <w:r>
              <w:rPr>
                <w:rFonts w:hint="eastAsia"/>
                <w:color w:val="auto"/>
                <w:kern w:val="0"/>
                <w:position w:val="1"/>
                <w:sz w:val="21"/>
                <w:szCs w:val="21"/>
                <w:lang w:bidi="ar"/>
              </w:rPr>
              <w:t>（)</w:t>
            </w:r>
            <w:r>
              <w:rPr>
                <w:color w:val="auto"/>
                <w:kern w:val="0"/>
                <w:position w:val="1"/>
                <w:sz w:val="21"/>
                <w:szCs w:val="21"/>
                <w:lang w:bidi="ar"/>
              </w:rPr>
              <w:t>t/a</w:t>
            </w:r>
          </w:p>
        </w:tc>
      </w:tr>
      <w:tr w14:paraId="70DF227D">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0" w:type="dxa"/>
            <w:bottom w:w="0" w:type="dxa"/>
            <w:right w:w="0" w:type="dxa"/>
          </w:tblCellMar>
        </w:tblPrEx>
        <w:trPr>
          <w:trHeight w:val="158" w:hRule="atLeast"/>
        </w:trPr>
        <w:tc>
          <w:tcPr>
            <w:tcW w:w="5000" w:type="pct"/>
            <w:gridSpan w:val="15"/>
            <w:tcBorders>
              <w:top w:val="single" w:color="000000" w:sz="6" w:space="0"/>
              <w:left w:val="nil"/>
              <w:bottom w:val="single" w:color="000000" w:sz="12" w:space="0"/>
              <w:right w:val="nil"/>
            </w:tcBorders>
            <w:shd w:val="clear" w:color="auto" w:fill="auto"/>
            <w:vAlign w:val="center"/>
          </w:tcPr>
          <w:p w14:paraId="6FB79514">
            <w:pPr>
              <w:tabs>
                <w:tab w:val="left" w:pos="3439"/>
              </w:tabs>
              <w:kinsoku w:val="0"/>
              <w:overflowPunct w:val="0"/>
              <w:autoSpaceDE w:val="0"/>
              <w:autoSpaceDN w:val="0"/>
              <w:spacing w:line="240" w:lineRule="auto"/>
              <w:ind w:firstLine="0" w:firstLineChars="0"/>
              <w:rPr>
                <w:color w:val="auto"/>
                <w:kern w:val="0"/>
                <w:sz w:val="21"/>
                <w:szCs w:val="21"/>
              </w:rPr>
            </w:pPr>
            <w:r>
              <w:rPr>
                <w:color w:val="auto"/>
                <w:kern w:val="0"/>
                <w:sz w:val="21"/>
                <w:szCs w:val="21"/>
                <w:lang w:bidi="ar"/>
              </w:rPr>
              <w:t>注</w:t>
            </w:r>
            <w:r>
              <w:rPr>
                <w:color w:val="auto"/>
                <w:spacing w:val="-92"/>
                <w:kern w:val="0"/>
                <w:sz w:val="21"/>
                <w:szCs w:val="21"/>
                <w:lang w:bidi="ar"/>
              </w:rPr>
              <w:t>：</w:t>
            </w:r>
            <w:r>
              <w:rPr>
                <w:color w:val="auto"/>
                <w:kern w:val="0"/>
                <w:sz w:val="21"/>
                <w:szCs w:val="21"/>
                <w:lang w:bidi="ar"/>
              </w:rPr>
              <w:t>“</w:t>
            </w:r>
            <w:r>
              <w:rPr>
                <w:color w:val="auto"/>
                <w:spacing w:val="2"/>
                <w:kern w:val="0"/>
                <w:sz w:val="21"/>
                <w:szCs w:val="21"/>
                <w:lang w:bidi="ar"/>
              </w:rPr>
              <w:t>□</w:t>
            </w:r>
            <w:r>
              <w:rPr>
                <w:color w:val="auto"/>
                <w:kern w:val="0"/>
                <w:sz w:val="21"/>
                <w:szCs w:val="21"/>
                <w:lang w:bidi="ar"/>
              </w:rPr>
              <w:t>”为勾选项，填“</w:t>
            </w:r>
            <w:r>
              <w:rPr>
                <w:color w:val="auto"/>
                <w:spacing w:val="-3"/>
                <w:kern w:val="0"/>
                <w:sz w:val="21"/>
                <w:szCs w:val="21"/>
                <w:lang w:bidi="ar"/>
              </w:rPr>
              <w:t>√</w:t>
            </w:r>
            <w:r>
              <w:rPr>
                <w:color w:val="auto"/>
                <w:kern w:val="0"/>
                <w:sz w:val="21"/>
                <w:szCs w:val="21"/>
                <w:lang w:bidi="ar"/>
              </w:rPr>
              <w:t>”；</w:t>
            </w:r>
            <w:r>
              <w:rPr>
                <w:color w:val="auto"/>
                <w:spacing w:val="-1"/>
                <w:kern w:val="0"/>
                <w:sz w:val="21"/>
                <w:szCs w:val="21"/>
                <w:lang w:bidi="ar"/>
              </w:rPr>
              <w:t>“</w:t>
            </w:r>
            <w:r>
              <w:rPr>
                <w:color w:val="auto"/>
                <w:kern w:val="0"/>
                <w:sz w:val="21"/>
                <w:szCs w:val="21"/>
                <w:lang w:bidi="ar"/>
              </w:rPr>
              <w:t>（</w:t>
            </w:r>
            <w:r>
              <w:rPr>
                <w:color w:val="auto"/>
                <w:kern w:val="0"/>
                <w:sz w:val="21"/>
                <w:szCs w:val="21"/>
                <w:lang w:bidi="ar"/>
              </w:rPr>
              <w:tab/>
            </w:r>
            <w:r>
              <w:rPr>
                <w:color w:val="auto"/>
                <w:kern w:val="0"/>
                <w:sz w:val="21"/>
                <w:szCs w:val="21"/>
                <w:lang w:bidi="ar"/>
              </w:rPr>
              <w:t>）”为内容填写项目</w:t>
            </w:r>
          </w:p>
        </w:tc>
      </w:tr>
    </w:tbl>
    <w:p w14:paraId="3B3B09ED">
      <w:pPr>
        <w:keepNext/>
        <w:keepLines/>
        <w:spacing w:before="120" w:beforeLines="50"/>
        <w:ind w:firstLine="0" w:firstLineChars="0"/>
        <w:outlineLvl w:val="2"/>
        <w:rPr>
          <w:color w:val="auto"/>
          <w:lang w:val="zh-CN"/>
        </w:rPr>
      </w:pPr>
      <w:r>
        <w:rPr>
          <w:rFonts w:hint="eastAsia"/>
          <w:b/>
          <w:bCs/>
          <w:color w:val="auto"/>
          <w:sz w:val="28"/>
          <w:szCs w:val="36"/>
        </w:rPr>
        <w:t>6</w:t>
      </w:r>
      <w:r>
        <w:rPr>
          <w:b/>
          <w:bCs/>
          <w:color w:val="auto"/>
          <w:sz w:val="28"/>
          <w:szCs w:val="36"/>
        </w:rPr>
        <w:t>.2.2 运营期地表水环境影响评价</w:t>
      </w:r>
    </w:p>
    <w:p w14:paraId="62F88DF4">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 xml:space="preserve">.2.2.1 </w:t>
      </w:r>
      <w:r>
        <w:rPr>
          <w:rFonts w:hint="eastAsia"/>
          <w:b/>
          <w:bCs/>
          <w:color w:val="auto"/>
          <w:szCs w:val="32"/>
        </w:rPr>
        <w:t>地表水环境影响预测</w:t>
      </w:r>
    </w:p>
    <w:p w14:paraId="746AC711">
      <w:pPr>
        <w:pStyle w:val="1841"/>
        <w:tabs>
          <w:tab w:val="left" w:pos="3960"/>
        </w:tabs>
        <w:spacing w:before="0" w:line="360" w:lineRule="auto"/>
        <w:ind w:firstLine="480"/>
        <w:rPr>
          <w:color w:val="auto"/>
          <w:lang w:val="zh-CN"/>
        </w:rPr>
      </w:pPr>
      <w:r>
        <w:rPr>
          <w:color w:val="auto"/>
          <w:lang w:val="zh-CN"/>
        </w:rPr>
        <w:t>根据《环境影响评价技术导则地表水环境》（HJ2.3-2018）中7.1.2水污染影响型三级B评价可不进行水环境影响预测，主要对依托污水处理设施的环境可行性。</w:t>
      </w:r>
    </w:p>
    <w:p w14:paraId="3F63D9ED">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.2.2.</w:t>
      </w:r>
      <w:r>
        <w:rPr>
          <w:rFonts w:hint="eastAsia"/>
          <w:b/>
          <w:bCs/>
          <w:color w:val="auto"/>
          <w:szCs w:val="32"/>
        </w:rPr>
        <w:t>2</w:t>
      </w:r>
      <w:r>
        <w:rPr>
          <w:b/>
          <w:bCs/>
          <w:color w:val="auto"/>
          <w:szCs w:val="32"/>
        </w:rPr>
        <w:t xml:space="preserve"> 水污染控制和水环境减缓措施有效性评价</w:t>
      </w:r>
    </w:p>
    <w:p w14:paraId="74AC3196">
      <w:pPr>
        <w:pStyle w:val="1841"/>
        <w:tabs>
          <w:tab w:val="left" w:pos="3960"/>
        </w:tabs>
        <w:spacing w:before="0" w:line="360" w:lineRule="auto"/>
        <w:ind w:firstLine="482"/>
        <w:rPr>
          <w:b/>
          <w:bCs w:val="0"/>
          <w:color w:val="auto"/>
        </w:rPr>
      </w:pPr>
      <w:r>
        <w:rPr>
          <w:rFonts w:hint="eastAsia"/>
          <w:b/>
          <w:bCs w:val="0"/>
          <w:color w:val="auto"/>
        </w:rPr>
        <w:t>1、污染控制措施</w:t>
      </w:r>
    </w:p>
    <w:p w14:paraId="0CF73531">
      <w:pPr>
        <w:pStyle w:val="1841"/>
        <w:tabs>
          <w:tab w:val="left" w:pos="3960"/>
        </w:tabs>
        <w:spacing w:before="0" w:line="360" w:lineRule="auto"/>
        <w:ind w:firstLine="480"/>
        <w:rPr>
          <w:color w:val="auto"/>
        </w:rPr>
      </w:pPr>
      <w:r>
        <w:rPr>
          <w:rFonts w:hint="eastAsia"/>
          <w:color w:val="auto"/>
        </w:rPr>
        <w:t>本项目产生的废水主要为生产废水（酸碱废水、封孔废水和模具氮化工艺废水）、废气处理废水、氧化工段地面冲洗废水、循环冷却塔排水、纯水制备装置反冲洗废水、纯水制备装置再生废水、生活污水、食堂废水和初期雨水。</w:t>
      </w:r>
    </w:p>
    <w:p w14:paraId="02C04949">
      <w:pPr>
        <w:pStyle w:val="1841"/>
        <w:tabs>
          <w:tab w:val="left" w:pos="3960"/>
        </w:tabs>
        <w:spacing w:before="0" w:line="360" w:lineRule="auto"/>
        <w:ind w:firstLine="480"/>
        <w:rPr>
          <w:color w:val="auto"/>
          <w:lang w:val="zh-CN"/>
        </w:rPr>
      </w:pPr>
      <w:r>
        <w:rPr>
          <w:rFonts w:hint="eastAsia"/>
          <w:color w:val="auto"/>
          <w:lang w:val="zh-CN"/>
        </w:rPr>
        <w:t>项目拟新建酸碱废水处理系统、</w:t>
      </w:r>
      <w:r>
        <w:rPr>
          <w:rFonts w:hint="eastAsia"/>
          <w:color w:val="auto"/>
        </w:rPr>
        <w:t>封孔</w:t>
      </w:r>
      <w:r>
        <w:rPr>
          <w:rFonts w:hint="eastAsia"/>
          <w:color w:val="auto"/>
          <w:lang w:val="zh-CN"/>
        </w:rPr>
        <w:t>废水处理系统，酸碱废水、模具氮化工艺废水、氧化工段地面冲洗废水、废气处理废水、纯水制备装置反冲洗废水、纯水制备装置再生废水、</w:t>
      </w:r>
      <w:r>
        <w:rPr>
          <w:rFonts w:hint="eastAsia"/>
          <w:color w:val="auto"/>
        </w:rPr>
        <w:t>循环冷却排水</w:t>
      </w:r>
      <w:r>
        <w:rPr>
          <w:rFonts w:hint="eastAsia"/>
          <w:color w:val="auto"/>
          <w:lang w:val="zh-CN"/>
        </w:rPr>
        <w:t>和初期雨水送入综合废水处理系统处理（工艺为“调节+混凝反应+沉淀”）；</w:t>
      </w:r>
      <w:r>
        <w:rPr>
          <w:rFonts w:hint="eastAsia"/>
          <w:color w:val="auto"/>
        </w:rPr>
        <w:t>封孔</w:t>
      </w:r>
      <w:r>
        <w:rPr>
          <w:rFonts w:hint="eastAsia"/>
          <w:color w:val="auto"/>
          <w:lang w:val="zh-CN"/>
        </w:rPr>
        <w:t>废水先送入</w:t>
      </w:r>
      <w:r>
        <w:rPr>
          <w:rFonts w:hint="eastAsia"/>
          <w:color w:val="auto"/>
        </w:rPr>
        <w:t>封孔</w:t>
      </w:r>
      <w:r>
        <w:rPr>
          <w:rFonts w:hint="eastAsia"/>
          <w:color w:val="auto"/>
          <w:lang w:val="zh-CN"/>
        </w:rPr>
        <w:t>废水处理系统（工艺为“调节+混凝反应+沉淀”），再送入综合废水处理系统处理后达到开发区临港污水处理厂接管标准和《电镀污染物排放标准》（GB21900-2008）表3标准，再经园区污水管网接管至开发区临港污水处理厂集中处理，尾水排入临洪河，最终进入黄海。</w:t>
      </w:r>
    </w:p>
    <w:p w14:paraId="25C816A4">
      <w:pPr>
        <w:pStyle w:val="1841"/>
        <w:tabs>
          <w:tab w:val="left" w:pos="3960"/>
        </w:tabs>
        <w:spacing w:before="0" w:line="360" w:lineRule="auto"/>
        <w:ind w:firstLine="480"/>
        <w:rPr>
          <w:color w:val="auto"/>
          <w:lang w:val="zh-CN"/>
        </w:rPr>
      </w:pPr>
      <w:r>
        <w:rPr>
          <w:color w:val="auto"/>
          <w:lang w:val="zh-CN"/>
        </w:rPr>
        <w:t>蒸汽冷凝水回用于</w:t>
      </w:r>
      <w:r>
        <w:rPr>
          <w:rFonts w:hint="eastAsia"/>
          <w:color w:val="auto"/>
        </w:rPr>
        <w:t>模具清洗用水</w:t>
      </w:r>
      <w:r>
        <w:rPr>
          <w:color w:val="auto"/>
          <w:lang w:val="zh-CN"/>
        </w:rPr>
        <w:t>不外排，</w:t>
      </w:r>
      <w:r>
        <w:rPr>
          <w:rFonts w:hint="eastAsia"/>
          <w:color w:val="auto"/>
        </w:rPr>
        <w:t>纯水浓排水回用于废气处理用水，循环冷却排水部分回用于废气处理废水和氧化工段地面废水，分别经化粪池和隔油池+化粪池预处理后的</w:t>
      </w:r>
      <w:r>
        <w:rPr>
          <w:color w:val="auto"/>
          <w:lang w:val="zh-CN"/>
        </w:rPr>
        <w:t>生活污水</w:t>
      </w:r>
      <w:r>
        <w:rPr>
          <w:rFonts w:hint="eastAsia"/>
          <w:color w:val="auto"/>
        </w:rPr>
        <w:t>和食堂废水由园区污水管网</w:t>
      </w:r>
      <w:r>
        <w:rPr>
          <w:color w:val="auto"/>
          <w:lang w:val="zh-CN"/>
        </w:rPr>
        <w:t>接管至开发区临港污水处理厂</w:t>
      </w:r>
      <w:r>
        <w:rPr>
          <w:rFonts w:hint="eastAsia"/>
          <w:color w:val="auto"/>
        </w:rPr>
        <w:t>集中</w:t>
      </w:r>
      <w:r>
        <w:rPr>
          <w:color w:val="auto"/>
          <w:lang w:val="zh-CN"/>
        </w:rPr>
        <w:t>处理。</w:t>
      </w:r>
    </w:p>
    <w:p w14:paraId="08195000">
      <w:pPr>
        <w:pStyle w:val="1841"/>
        <w:tabs>
          <w:tab w:val="left" w:pos="3960"/>
        </w:tabs>
        <w:spacing w:before="0" w:line="360" w:lineRule="auto"/>
        <w:ind w:firstLine="480"/>
        <w:rPr>
          <w:color w:val="auto"/>
          <w:lang w:val="zh-CN"/>
        </w:rPr>
      </w:pPr>
      <w:r>
        <w:rPr>
          <w:color w:val="auto"/>
          <w:lang w:val="zh-CN"/>
        </w:rPr>
        <w:t>项目废水的处理措施及去向见下表。</w:t>
      </w:r>
    </w:p>
    <w:p w14:paraId="4E1EBFE1">
      <w:pPr>
        <w:pStyle w:val="80"/>
        <w:widowControl w:val="0"/>
        <w:spacing w:before="0" w:beforeAutospacing="0" w:after="0" w:afterAutospacing="0"/>
        <w:ind w:firstLine="0" w:firstLineChars="0"/>
        <w:jc w:val="center"/>
        <w:rPr>
          <w:rFonts w:ascii="Times New Roman" w:hAnsi="Times New Roman"/>
          <w:b/>
          <w:color w:val="auto"/>
          <w:sz w:val="24"/>
          <w:lang w:bidi="ar"/>
        </w:rPr>
      </w:pPr>
      <w:r>
        <w:rPr>
          <w:rFonts w:ascii="Times New Roman" w:hAnsi="Times New Roman"/>
          <w:b/>
          <w:color w:val="auto"/>
          <w:sz w:val="24"/>
          <w:lang w:bidi="ar"/>
        </w:rPr>
        <w:t>表</w:t>
      </w:r>
      <w:r>
        <w:rPr>
          <w:rFonts w:hint="eastAsia" w:ascii="Times New Roman" w:hAnsi="Times New Roman"/>
          <w:b/>
          <w:color w:val="auto"/>
          <w:sz w:val="24"/>
          <w:lang w:bidi="ar"/>
        </w:rPr>
        <w:t>6</w:t>
      </w:r>
      <w:r>
        <w:rPr>
          <w:rFonts w:ascii="Times New Roman" w:hAnsi="Times New Roman"/>
          <w:b/>
          <w:color w:val="auto"/>
          <w:sz w:val="24"/>
          <w:lang w:bidi="ar"/>
        </w:rPr>
        <w:t>.</w:t>
      </w:r>
      <w:r>
        <w:rPr>
          <w:rFonts w:hint="eastAsia" w:ascii="Times New Roman" w:hAnsi="Times New Roman"/>
          <w:b/>
          <w:color w:val="auto"/>
          <w:sz w:val="24"/>
          <w:lang w:bidi="ar"/>
        </w:rPr>
        <w:t>2</w:t>
      </w:r>
      <w:r>
        <w:rPr>
          <w:rFonts w:ascii="Times New Roman" w:hAnsi="Times New Roman"/>
          <w:b/>
          <w:color w:val="auto"/>
          <w:sz w:val="24"/>
          <w:lang w:bidi="ar"/>
        </w:rPr>
        <w:t>.2-1  废水处理措施及处置去向一览表</w:t>
      </w:r>
    </w:p>
    <w:tbl>
      <w:tblPr>
        <w:tblStyle w:val="88"/>
        <w:tblW w:w="502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83"/>
        <w:gridCol w:w="2142"/>
        <w:gridCol w:w="2785"/>
        <w:gridCol w:w="1732"/>
        <w:gridCol w:w="1393"/>
      </w:tblGrid>
      <w:tr w14:paraId="0B23F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799" w:type="pct"/>
            <w:gridSpan w:val="2"/>
            <w:tcBorders>
              <w:tl2br w:val="nil"/>
              <w:tr2bl w:val="nil"/>
            </w:tcBorders>
            <w:shd w:val="clear" w:color="auto" w:fill="auto"/>
            <w:noWrap/>
            <w:vAlign w:val="center"/>
          </w:tcPr>
          <w:p w14:paraId="0CB3F734">
            <w:pPr>
              <w:widowControl/>
              <w:spacing w:line="240" w:lineRule="auto"/>
              <w:ind w:firstLine="0" w:firstLineChars="0"/>
              <w:jc w:val="center"/>
              <w:rPr>
                <w:b/>
                <w:bCs/>
                <w:color w:val="auto"/>
                <w:kern w:val="0"/>
                <w:sz w:val="21"/>
                <w:szCs w:val="21"/>
              </w:rPr>
            </w:pPr>
            <w:r>
              <w:rPr>
                <w:b/>
                <w:bCs/>
                <w:color w:val="auto"/>
                <w:kern w:val="0"/>
                <w:sz w:val="21"/>
                <w:szCs w:val="21"/>
                <w:lang w:bidi="ar"/>
              </w:rPr>
              <w:t>废水种类</w:t>
            </w:r>
          </w:p>
        </w:tc>
        <w:tc>
          <w:tcPr>
            <w:tcW w:w="1507" w:type="pct"/>
            <w:vMerge w:val="restart"/>
            <w:tcBorders>
              <w:tl2br w:val="nil"/>
              <w:tr2bl w:val="nil"/>
            </w:tcBorders>
            <w:shd w:val="clear" w:color="auto" w:fill="auto"/>
            <w:vAlign w:val="center"/>
          </w:tcPr>
          <w:p w14:paraId="6F1F3EE9">
            <w:pPr>
              <w:widowControl/>
              <w:spacing w:line="240" w:lineRule="auto"/>
              <w:ind w:firstLine="0" w:firstLineChars="0"/>
              <w:jc w:val="center"/>
              <w:rPr>
                <w:b/>
                <w:bCs/>
                <w:color w:val="auto"/>
                <w:kern w:val="0"/>
                <w:sz w:val="21"/>
                <w:szCs w:val="21"/>
              </w:rPr>
            </w:pPr>
            <w:r>
              <w:rPr>
                <w:b/>
                <w:bCs/>
                <w:color w:val="auto"/>
                <w:kern w:val="0"/>
                <w:sz w:val="21"/>
                <w:szCs w:val="21"/>
                <w:lang w:bidi="ar"/>
              </w:rPr>
              <w:t>处置措施</w:t>
            </w:r>
          </w:p>
        </w:tc>
        <w:tc>
          <w:tcPr>
            <w:tcW w:w="938" w:type="pct"/>
            <w:vMerge w:val="restart"/>
            <w:tcBorders>
              <w:tl2br w:val="nil"/>
              <w:tr2bl w:val="nil"/>
            </w:tcBorders>
            <w:shd w:val="clear" w:color="auto" w:fill="auto"/>
            <w:vAlign w:val="center"/>
          </w:tcPr>
          <w:p w14:paraId="1CBD5341">
            <w:pPr>
              <w:widowControl/>
              <w:spacing w:line="240" w:lineRule="auto"/>
              <w:ind w:firstLine="0" w:firstLineChars="0"/>
              <w:jc w:val="center"/>
              <w:rPr>
                <w:b/>
                <w:bCs/>
                <w:color w:val="auto"/>
                <w:kern w:val="0"/>
                <w:sz w:val="21"/>
                <w:szCs w:val="21"/>
              </w:rPr>
            </w:pPr>
            <w:r>
              <w:rPr>
                <w:b/>
                <w:bCs/>
                <w:color w:val="auto"/>
                <w:kern w:val="0"/>
                <w:sz w:val="21"/>
                <w:szCs w:val="21"/>
                <w:lang w:bidi="ar"/>
              </w:rPr>
              <w:t>处置去向</w:t>
            </w:r>
          </w:p>
        </w:tc>
        <w:tc>
          <w:tcPr>
            <w:tcW w:w="754" w:type="pct"/>
            <w:vMerge w:val="restart"/>
            <w:tcBorders>
              <w:tl2br w:val="nil"/>
              <w:tr2bl w:val="nil"/>
            </w:tcBorders>
            <w:shd w:val="clear" w:color="auto" w:fill="auto"/>
            <w:vAlign w:val="center"/>
          </w:tcPr>
          <w:p w14:paraId="262F9997">
            <w:pPr>
              <w:widowControl/>
              <w:spacing w:line="240" w:lineRule="auto"/>
              <w:ind w:firstLine="0" w:firstLineChars="0"/>
              <w:jc w:val="center"/>
              <w:rPr>
                <w:b/>
                <w:bCs/>
                <w:color w:val="auto"/>
                <w:kern w:val="0"/>
                <w:sz w:val="21"/>
                <w:szCs w:val="21"/>
              </w:rPr>
            </w:pPr>
            <w:r>
              <w:rPr>
                <w:b/>
                <w:bCs/>
                <w:color w:val="auto"/>
                <w:kern w:val="0"/>
                <w:sz w:val="21"/>
                <w:szCs w:val="21"/>
                <w:lang w:bidi="ar"/>
              </w:rPr>
              <w:t>排放标准</w:t>
            </w:r>
          </w:p>
        </w:tc>
      </w:tr>
      <w:tr w14:paraId="31C6A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0" w:type="pct"/>
            <w:tcBorders>
              <w:tl2br w:val="nil"/>
              <w:tr2bl w:val="nil"/>
            </w:tcBorders>
            <w:shd w:val="clear" w:color="auto" w:fill="auto"/>
            <w:noWrap/>
            <w:vAlign w:val="center"/>
          </w:tcPr>
          <w:p w14:paraId="7E2537BE">
            <w:pPr>
              <w:widowControl/>
              <w:spacing w:line="240" w:lineRule="auto"/>
              <w:ind w:firstLine="0" w:firstLineChars="0"/>
              <w:jc w:val="center"/>
              <w:rPr>
                <w:b/>
                <w:bCs/>
                <w:color w:val="auto"/>
                <w:kern w:val="0"/>
                <w:sz w:val="21"/>
                <w:szCs w:val="21"/>
              </w:rPr>
            </w:pPr>
            <w:r>
              <w:rPr>
                <w:b/>
                <w:bCs/>
                <w:color w:val="auto"/>
                <w:kern w:val="0"/>
                <w:sz w:val="21"/>
                <w:szCs w:val="21"/>
                <w:lang w:bidi="ar"/>
              </w:rPr>
              <w:t>废水来源</w:t>
            </w:r>
          </w:p>
        </w:tc>
        <w:tc>
          <w:tcPr>
            <w:tcW w:w="1158" w:type="pct"/>
            <w:tcBorders>
              <w:tl2br w:val="nil"/>
              <w:tr2bl w:val="nil"/>
            </w:tcBorders>
            <w:shd w:val="clear" w:color="auto" w:fill="auto"/>
            <w:vAlign w:val="center"/>
          </w:tcPr>
          <w:p w14:paraId="74D8701A">
            <w:pPr>
              <w:widowControl/>
              <w:spacing w:line="240" w:lineRule="auto"/>
              <w:ind w:firstLine="0" w:firstLineChars="0"/>
              <w:jc w:val="center"/>
              <w:rPr>
                <w:b/>
                <w:bCs/>
                <w:color w:val="auto"/>
                <w:kern w:val="0"/>
                <w:sz w:val="21"/>
                <w:szCs w:val="21"/>
              </w:rPr>
            </w:pPr>
            <w:r>
              <w:rPr>
                <w:b/>
                <w:bCs/>
                <w:color w:val="auto"/>
                <w:kern w:val="0"/>
                <w:sz w:val="21"/>
                <w:szCs w:val="21"/>
                <w:lang w:bidi="ar"/>
              </w:rPr>
              <w:t>废水种类</w:t>
            </w:r>
          </w:p>
        </w:tc>
        <w:tc>
          <w:tcPr>
            <w:tcW w:w="1507" w:type="pct"/>
            <w:vMerge w:val="continue"/>
            <w:tcBorders>
              <w:tl2br w:val="nil"/>
              <w:tr2bl w:val="nil"/>
            </w:tcBorders>
            <w:shd w:val="clear" w:color="auto" w:fill="auto"/>
            <w:vAlign w:val="center"/>
          </w:tcPr>
          <w:p w14:paraId="2E518DDB">
            <w:pPr>
              <w:widowControl/>
              <w:spacing w:line="240" w:lineRule="auto"/>
              <w:ind w:firstLine="0" w:firstLineChars="0"/>
              <w:jc w:val="center"/>
              <w:rPr>
                <w:color w:val="auto"/>
                <w:sz w:val="21"/>
                <w:szCs w:val="21"/>
              </w:rPr>
            </w:pPr>
          </w:p>
        </w:tc>
        <w:tc>
          <w:tcPr>
            <w:tcW w:w="938" w:type="pct"/>
            <w:vMerge w:val="continue"/>
            <w:tcBorders>
              <w:tl2br w:val="nil"/>
              <w:tr2bl w:val="nil"/>
            </w:tcBorders>
            <w:shd w:val="clear" w:color="auto" w:fill="auto"/>
            <w:vAlign w:val="center"/>
          </w:tcPr>
          <w:p w14:paraId="09BBE081">
            <w:pPr>
              <w:widowControl/>
              <w:spacing w:line="240" w:lineRule="auto"/>
              <w:ind w:firstLine="0" w:firstLineChars="0"/>
              <w:jc w:val="center"/>
              <w:rPr>
                <w:color w:val="auto"/>
                <w:sz w:val="21"/>
                <w:szCs w:val="21"/>
              </w:rPr>
            </w:pPr>
          </w:p>
        </w:tc>
        <w:tc>
          <w:tcPr>
            <w:tcW w:w="754" w:type="pct"/>
            <w:vMerge w:val="continue"/>
            <w:tcBorders>
              <w:tl2br w:val="nil"/>
              <w:tr2bl w:val="nil"/>
            </w:tcBorders>
            <w:shd w:val="clear" w:color="auto" w:fill="auto"/>
            <w:vAlign w:val="center"/>
          </w:tcPr>
          <w:p w14:paraId="07A07575">
            <w:pPr>
              <w:widowControl/>
              <w:spacing w:line="240" w:lineRule="auto"/>
              <w:ind w:firstLine="0" w:firstLineChars="0"/>
              <w:jc w:val="center"/>
              <w:rPr>
                <w:color w:val="auto"/>
                <w:sz w:val="21"/>
                <w:szCs w:val="21"/>
              </w:rPr>
            </w:pPr>
          </w:p>
        </w:tc>
      </w:tr>
      <w:tr w14:paraId="6482C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0" w:type="pct"/>
            <w:vMerge w:val="restart"/>
            <w:tcBorders>
              <w:tl2br w:val="nil"/>
              <w:tr2bl w:val="nil"/>
            </w:tcBorders>
            <w:shd w:val="clear" w:color="auto" w:fill="auto"/>
            <w:noWrap/>
            <w:vAlign w:val="center"/>
          </w:tcPr>
          <w:p w14:paraId="2DDA170D">
            <w:pPr>
              <w:widowControl/>
              <w:spacing w:line="240" w:lineRule="auto"/>
              <w:ind w:firstLine="0" w:firstLineChars="0"/>
              <w:jc w:val="center"/>
              <w:rPr>
                <w:color w:val="auto"/>
                <w:kern w:val="0"/>
                <w:sz w:val="21"/>
                <w:szCs w:val="21"/>
              </w:rPr>
            </w:pPr>
            <w:r>
              <w:rPr>
                <w:color w:val="auto"/>
                <w:kern w:val="0"/>
                <w:sz w:val="21"/>
                <w:szCs w:val="21"/>
                <w:lang w:bidi="ar"/>
              </w:rPr>
              <w:t>生产废水</w:t>
            </w:r>
            <w:r>
              <w:rPr>
                <w:rFonts w:hint="eastAsia"/>
                <w:color w:val="auto"/>
                <w:kern w:val="0"/>
                <w:sz w:val="21"/>
                <w:szCs w:val="21"/>
                <w:lang w:bidi="ar"/>
              </w:rPr>
              <w:t>及其他废水</w:t>
            </w:r>
          </w:p>
        </w:tc>
        <w:tc>
          <w:tcPr>
            <w:tcW w:w="1158" w:type="pct"/>
            <w:tcBorders>
              <w:tl2br w:val="nil"/>
              <w:tr2bl w:val="nil"/>
            </w:tcBorders>
            <w:shd w:val="clear" w:color="auto" w:fill="auto"/>
            <w:vAlign w:val="center"/>
          </w:tcPr>
          <w:p w14:paraId="22B310C9">
            <w:pPr>
              <w:widowControl/>
              <w:spacing w:line="240" w:lineRule="auto"/>
              <w:ind w:firstLine="0" w:firstLineChars="0"/>
              <w:jc w:val="center"/>
              <w:rPr>
                <w:color w:val="auto"/>
                <w:kern w:val="0"/>
                <w:sz w:val="21"/>
                <w:szCs w:val="21"/>
              </w:rPr>
            </w:pPr>
            <w:r>
              <w:rPr>
                <w:color w:val="auto"/>
                <w:kern w:val="0"/>
                <w:sz w:val="21"/>
                <w:szCs w:val="21"/>
              </w:rPr>
              <w:t>酸碱废水</w:t>
            </w:r>
            <w:r>
              <w:rPr>
                <w:rFonts w:hint="eastAsia"/>
                <w:color w:val="auto"/>
                <w:kern w:val="0"/>
                <w:sz w:val="21"/>
                <w:szCs w:val="21"/>
              </w:rPr>
              <w:t>、模具氮化工艺废水、</w:t>
            </w:r>
            <w:r>
              <w:rPr>
                <w:color w:val="auto"/>
                <w:kern w:val="0"/>
                <w:sz w:val="21"/>
                <w:szCs w:val="21"/>
                <w:lang w:bidi="ar"/>
              </w:rPr>
              <w:t>废气处理废水</w:t>
            </w:r>
            <w:r>
              <w:rPr>
                <w:rFonts w:hint="eastAsia"/>
                <w:color w:val="auto"/>
                <w:kern w:val="0"/>
                <w:sz w:val="21"/>
                <w:szCs w:val="21"/>
                <w:lang w:bidi="ar"/>
              </w:rPr>
              <w:t>、氧化工段</w:t>
            </w:r>
            <w:r>
              <w:rPr>
                <w:color w:val="auto"/>
                <w:kern w:val="0"/>
                <w:sz w:val="21"/>
                <w:szCs w:val="21"/>
                <w:lang w:bidi="ar"/>
              </w:rPr>
              <w:t>地面冲洗废水</w:t>
            </w:r>
            <w:r>
              <w:rPr>
                <w:rFonts w:hint="eastAsia"/>
                <w:color w:val="auto"/>
                <w:sz w:val="21"/>
                <w:szCs w:val="21"/>
              </w:rPr>
              <w:t>纯水制备装置反冲洗废水、纯水制备装置再生废水、循环冷却排水</w:t>
            </w:r>
            <w:r>
              <w:rPr>
                <w:rFonts w:hint="eastAsia"/>
                <w:color w:val="auto"/>
                <w:kern w:val="0"/>
                <w:sz w:val="21"/>
                <w:szCs w:val="21"/>
                <w:lang w:bidi="ar"/>
              </w:rPr>
              <w:t>和</w:t>
            </w:r>
            <w:r>
              <w:rPr>
                <w:color w:val="auto"/>
                <w:kern w:val="0"/>
                <w:sz w:val="21"/>
                <w:szCs w:val="21"/>
                <w:lang w:bidi="ar"/>
              </w:rPr>
              <w:t>初期雨水</w:t>
            </w:r>
          </w:p>
        </w:tc>
        <w:tc>
          <w:tcPr>
            <w:tcW w:w="1507" w:type="pct"/>
            <w:tcBorders>
              <w:tl2br w:val="nil"/>
              <w:tr2bl w:val="nil"/>
            </w:tcBorders>
            <w:shd w:val="clear" w:color="auto" w:fill="auto"/>
            <w:vAlign w:val="center"/>
          </w:tcPr>
          <w:p w14:paraId="4A97B84D">
            <w:pPr>
              <w:widowControl/>
              <w:spacing w:line="240" w:lineRule="auto"/>
              <w:ind w:firstLine="0" w:firstLineChars="0"/>
              <w:jc w:val="center"/>
              <w:rPr>
                <w:color w:val="auto"/>
                <w:kern w:val="0"/>
                <w:sz w:val="21"/>
                <w:szCs w:val="21"/>
              </w:rPr>
            </w:pPr>
            <w:r>
              <w:rPr>
                <w:color w:val="auto"/>
                <w:kern w:val="0"/>
                <w:sz w:val="21"/>
                <w:szCs w:val="21"/>
              </w:rPr>
              <w:t>送入综合废水处理系统处理（工艺为“调节+混凝反应+沉淀”）</w:t>
            </w:r>
          </w:p>
        </w:tc>
        <w:tc>
          <w:tcPr>
            <w:tcW w:w="938" w:type="pct"/>
            <w:tcBorders>
              <w:tl2br w:val="nil"/>
              <w:tr2bl w:val="nil"/>
            </w:tcBorders>
            <w:shd w:val="clear" w:color="auto" w:fill="auto"/>
            <w:vAlign w:val="center"/>
          </w:tcPr>
          <w:p w14:paraId="39862E2D">
            <w:pPr>
              <w:widowControl/>
              <w:spacing w:line="240" w:lineRule="auto"/>
              <w:ind w:firstLine="0" w:firstLineChars="0"/>
              <w:jc w:val="center"/>
              <w:rPr>
                <w:color w:val="auto"/>
                <w:kern w:val="0"/>
                <w:sz w:val="21"/>
                <w:szCs w:val="21"/>
              </w:rPr>
            </w:pPr>
            <w:r>
              <w:rPr>
                <w:color w:val="auto"/>
                <w:kern w:val="0"/>
                <w:sz w:val="21"/>
                <w:szCs w:val="21"/>
                <w:lang w:bidi="ar"/>
              </w:rPr>
              <w:t>接管污水处理厂</w:t>
            </w:r>
          </w:p>
        </w:tc>
        <w:tc>
          <w:tcPr>
            <w:tcW w:w="754" w:type="pct"/>
            <w:vMerge w:val="restart"/>
            <w:tcBorders>
              <w:tl2br w:val="nil"/>
              <w:tr2bl w:val="nil"/>
            </w:tcBorders>
            <w:shd w:val="clear" w:color="auto" w:fill="auto"/>
            <w:vAlign w:val="center"/>
          </w:tcPr>
          <w:p w14:paraId="6BA643C5">
            <w:pPr>
              <w:widowControl/>
              <w:spacing w:line="240" w:lineRule="auto"/>
              <w:ind w:firstLine="0" w:firstLineChars="0"/>
              <w:jc w:val="center"/>
              <w:rPr>
                <w:color w:val="auto"/>
                <w:kern w:val="0"/>
                <w:sz w:val="21"/>
                <w:szCs w:val="21"/>
              </w:rPr>
            </w:pPr>
            <w:r>
              <w:rPr>
                <w:rFonts w:hint="eastAsia"/>
                <w:color w:val="auto"/>
                <w:kern w:val="0"/>
                <w:sz w:val="21"/>
                <w:szCs w:val="21"/>
                <w:lang w:bidi="ar"/>
              </w:rPr>
              <w:t>开发区临港污水处理厂</w:t>
            </w:r>
            <w:r>
              <w:rPr>
                <w:color w:val="auto"/>
                <w:kern w:val="0"/>
                <w:sz w:val="21"/>
                <w:szCs w:val="21"/>
                <w:lang w:bidi="ar"/>
              </w:rPr>
              <w:t>接管标准和《电镀污染物排放标准》（GB21900-2008）表3标准</w:t>
            </w:r>
          </w:p>
        </w:tc>
      </w:tr>
      <w:tr w14:paraId="4F98C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0" w:type="pct"/>
            <w:vMerge w:val="continue"/>
            <w:tcBorders>
              <w:tl2br w:val="nil"/>
              <w:tr2bl w:val="nil"/>
            </w:tcBorders>
            <w:shd w:val="clear" w:color="auto" w:fill="auto"/>
            <w:noWrap/>
            <w:vAlign w:val="center"/>
          </w:tcPr>
          <w:p w14:paraId="08B5E1D6">
            <w:pPr>
              <w:widowControl/>
              <w:spacing w:line="240" w:lineRule="auto"/>
              <w:ind w:firstLine="0" w:firstLineChars="0"/>
              <w:jc w:val="center"/>
              <w:rPr>
                <w:color w:val="auto"/>
                <w:sz w:val="21"/>
                <w:szCs w:val="21"/>
              </w:rPr>
            </w:pPr>
          </w:p>
        </w:tc>
        <w:tc>
          <w:tcPr>
            <w:tcW w:w="1158" w:type="pct"/>
            <w:tcBorders>
              <w:tl2br w:val="nil"/>
              <w:tr2bl w:val="nil"/>
            </w:tcBorders>
            <w:shd w:val="clear" w:color="auto" w:fill="auto"/>
            <w:vAlign w:val="center"/>
          </w:tcPr>
          <w:p w14:paraId="44A59639">
            <w:pPr>
              <w:widowControl/>
              <w:spacing w:line="240" w:lineRule="auto"/>
              <w:ind w:firstLine="0" w:firstLineChars="0"/>
              <w:jc w:val="center"/>
              <w:rPr>
                <w:color w:val="auto"/>
                <w:kern w:val="0"/>
                <w:sz w:val="21"/>
                <w:szCs w:val="21"/>
              </w:rPr>
            </w:pPr>
            <w:r>
              <w:rPr>
                <w:rFonts w:hint="eastAsia"/>
                <w:color w:val="auto"/>
                <w:kern w:val="0"/>
                <w:sz w:val="21"/>
                <w:szCs w:val="21"/>
                <w:lang w:bidi="ar"/>
              </w:rPr>
              <w:t>封孔</w:t>
            </w:r>
            <w:r>
              <w:rPr>
                <w:color w:val="auto"/>
                <w:kern w:val="0"/>
                <w:sz w:val="21"/>
                <w:szCs w:val="21"/>
                <w:lang w:bidi="ar"/>
              </w:rPr>
              <w:t>废水</w:t>
            </w:r>
          </w:p>
        </w:tc>
        <w:tc>
          <w:tcPr>
            <w:tcW w:w="1507" w:type="pct"/>
            <w:tcBorders>
              <w:tl2br w:val="nil"/>
              <w:tr2bl w:val="nil"/>
            </w:tcBorders>
            <w:shd w:val="clear" w:color="auto" w:fill="auto"/>
            <w:vAlign w:val="center"/>
          </w:tcPr>
          <w:p w14:paraId="1F80ED7D">
            <w:pPr>
              <w:widowControl/>
              <w:spacing w:line="240" w:lineRule="auto"/>
              <w:ind w:firstLine="0" w:firstLineChars="0"/>
              <w:jc w:val="center"/>
              <w:rPr>
                <w:color w:val="auto"/>
                <w:kern w:val="0"/>
                <w:sz w:val="21"/>
                <w:szCs w:val="21"/>
              </w:rPr>
            </w:pPr>
            <w:r>
              <w:rPr>
                <w:color w:val="auto"/>
                <w:kern w:val="0"/>
                <w:sz w:val="21"/>
                <w:szCs w:val="21"/>
              </w:rPr>
              <w:t>先送入</w:t>
            </w:r>
            <w:r>
              <w:rPr>
                <w:rFonts w:hint="eastAsia"/>
                <w:color w:val="auto"/>
                <w:kern w:val="0"/>
                <w:sz w:val="21"/>
                <w:szCs w:val="21"/>
              </w:rPr>
              <w:t>封孔</w:t>
            </w:r>
            <w:r>
              <w:rPr>
                <w:color w:val="auto"/>
                <w:kern w:val="0"/>
                <w:sz w:val="21"/>
                <w:szCs w:val="21"/>
              </w:rPr>
              <w:t>废水处理系统（工艺为“调节+混凝反应+沉淀”），再送入综合废水处理系统处理</w:t>
            </w:r>
          </w:p>
        </w:tc>
        <w:tc>
          <w:tcPr>
            <w:tcW w:w="938" w:type="pct"/>
            <w:tcBorders>
              <w:tl2br w:val="nil"/>
              <w:tr2bl w:val="nil"/>
            </w:tcBorders>
            <w:shd w:val="clear" w:color="auto" w:fill="auto"/>
            <w:vAlign w:val="center"/>
          </w:tcPr>
          <w:p w14:paraId="302393A7">
            <w:pPr>
              <w:widowControl/>
              <w:spacing w:line="240" w:lineRule="auto"/>
              <w:ind w:firstLine="0" w:firstLineChars="0"/>
              <w:jc w:val="center"/>
              <w:rPr>
                <w:color w:val="auto"/>
                <w:kern w:val="0"/>
                <w:sz w:val="21"/>
                <w:szCs w:val="21"/>
              </w:rPr>
            </w:pPr>
            <w:r>
              <w:rPr>
                <w:color w:val="auto"/>
                <w:kern w:val="0"/>
                <w:sz w:val="21"/>
                <w:szCs w:val="21"/>
                <w:lang w:bidi="ar"/>
              </w:rPr>
              <w:t>接管污水处理厂</w:t>
            </w:r>
          </w:p>
        </w:tc>
        <w:tc>
          <w:tcPr>
            <w:tcW w:w="754" w:type="pct"/>
            <w:vMerge w:val="continue"/>
            <w:tcBorders>
              <w:tl2br w:val="nil"/>
              <w:tr2bl w:val="nil"/>
            </w:tcBorders>
            <w:shd w:val="clear" w:color="auto" w:fill="auto"/>
            <w:vAlign w:val="center"/>
          </w:tcPr>
          <w:p w14:paraId="5FE42CD5">
            <w:pPr>
              <w:widowControl/>
              <w:spacing w:line="240" w:lineRule="auto"/>
              <w:ind w:firstLine="0" w:firstLineChars="0"/>
              <w:jc w:val="center"/>
              <w:rPr>
                <w:color w:val="auto"/>
                <w:sz w:val="21"/>
                <w:szCs w:val="21"/>
              </w:rPr>
            </w:pPr>
          </w:p>
        </w:tc>
      </w:tr>
      <w:tr w14:paraId="18E94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799" w:type="pct"/>
            <w:gridSpan w:val="2"/>
            <w:tcBorders>
              <w:tl2br w:val="nil"/>
              <w:tr2bl w:val="nil"/>
            </w:tcBorders>
            <w:shd w:val="clear" w:color="auto" w:fill="auto"/>
            <w:noWrap/>
            <w:vAlign w:val="center"/>
          </w:tcPr>
          <w:p w14:paraId="32EE6ADF">
            <w:pPr>
              <w:widowControl/>
              <w:spacing w:line="240" w:lineRule="auto"/>
              <w:ind w:firstLine="0" w:firstLineChars="0"/>
              <w:jc w:val="center"/>
              <w:rPr>
                <w:color w:val="auto"/>
                <w:kern w:val="0"/>
                <w:sz w:val="21"/>
                <w:szCs w:val="21"/>
              </w:rPr>
            </w:pPr>
            <w:r>
              <w:rPr>
                <w:color w:val="auto"/>
                <w:kern w:val="0"/>
                <w:sz w:val="21"/>
                <w:szCs w:val="21"/>
                <w:lang w:bidi="ar"/>
              </w:rPr>
              <w:t>蒸汽冷凝水</w:t>
            </w:r>
          </w:p>
        </w:tc>
        <w:tc>
          <w:tcPr>
            <w:tcW w:w="1507" w:type="pct"/>
            <w:tcBorders>
              <w:tl2br w:val="nil"/>
              <w:tr2bl w:val="nil"/>
            </w:tcBorders>
            <w:shd w:val="clear" w:color="auto" w:fill="auto"/>
            <w:vAlign w:val="center"/>
          </w:tcPr>
          <w:p w14:paraId="7F86A8F3">
            <w:pPr>
              <w:widowControl/>
              <w:spacing w:line="240" w:lineRule="auto"/>
              <w:ind w:firstLine="0" w:firstLineChars="0"/>
              <w:jc w:val="center"/>
              <w:rPr>
                <w:color w:val="auto"/>
                <w:kern w:val="0"/>
                <w:sz w:val="21"/>
                <w:szCs w:val="21"/>
              </w:rPr>
            </w:pPr>
            <w:r>
              <w:rPr>
                <w:color w:val="auto"/>
                <w:kern w:val="0"/>
                <w:sz w:val="21"/>
                <w:szCs w:val="21"/>
                <w:lang w:bidi="ar"/>
              </w:rPr>
              <w:t>/</w:t>
            </w:r>
          </w:p>
        </w:tc>
        <w:tc>
          <w:tcPr>
            <w:tcW w:w="938" w:type="pct"/>
            <w:tcBorders>
              <w:tl2br w:val="nil"/>
              <w:tr2bl w:val="nil"/>
            </w:tcBorders>
            <w:shd w:val="clear" w:color="auto" w:fill="auto"/>
            <w:vAlign w:val="center"/>
          </w:tcPr>
          <w:p w14:paraId="6C0C7E77">
            <w:pPr>
              <w:widowControl/>
              <w:spacing w:line="240" w:lineRule="auto"/>
              <w:ind w:firstLine="0" w:firstLineChars="0"/>
              <w:jc w:val="center"/>
              <w:rPr>
                <w:color w:val="auto"/>
                <w:kern w:val="0"/>
                <w:sz w:val="21"/>
                <w:szCs w:val="21"/>
              </w:rPr>
            </w:pPr>
            <w:r>
              <w:rPr>
                <w:color w:val="auto"/>
                <w:kern w:val="0"/>
                <w:sz w:val="21"/>
                <w:szCs w:val="21"/>
                <w:lang w:bidi="ar"/>
              </w:rPr>
              <w:t>回用于模具</w:t>
            </w:r>
            <w:r>
              <w:rPr>
                <w:rFonts w:hint="eastAsia"/>
                <w:color w:val="auto"/>
                <w:kern w:val="0"/>
                <w:sz w:val="21"/>
                <w:szCs w:val="21"/>
                <w:lang w:bidi="ar"/>
              </w:rPr>
              <w:t>用水</w:t>
            </w:r>
          </w:p>
        </w:tc>
        <w:tc>
          <w:tcPr>
            <w:tcW w:w="754" w:type="pct"/>
            <w:vMerge w:val="continue"/>
            <w:tcBorders>
              <w:tl2br w:val="nil"/>
              <w:tr2bl w:val="nil"/>
            </w:tcBorders>
            <w:shd w:val="clear" w:color="auto" w:fill="auto"/>
            <w:vAlign w:val="center"/>
          </w:tcPr>
          <w:p w14:paraId="365C95BD">
            <w:pPr>
              <w:widowControl/>
              <w:spacing w:line="240" w:lineRule="auto"/>
              <w:ind w:firstLine="0" w:firstLineChars="0"/>
              <w:jc w:val="center"/>
              <w:rPr>
                <w:color w:val="auto"/>
                <w:sz w:val="21"/>
                <w:szCs w:val="21"/>
              </w:rPr>
            </w:pPr>
          </w:p>
        </w:tc>
      </w:tr>
      <w:tr w14:paraId="2C109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799" w:type="pct"/>
            <w:gridSpan w:val="2"/>
            <w:tcBorders>
              <w:tl2br w:val="nil"/>
              <w:tr2bl w:val="nil"/>
            </w:tcBorders>
            <w:shd w:val="clear" w:color="auto" w:fill="auto"/>
            <w:noWrap/>
            <w:vAlign w:val="center"/>
          </w:tcPr>
          <w:p w14:paraId="4937FA35">
            <w:pPr>
              <w:widowControl/>
              <w:spacing w:line="240" w:lineRule="auto"/>
              <w:ind w:firstLine="0" w:firstLineChars="0"/>
              <w:jc w:val="center"/>
              <w:rPr>
                <w:color w:val="auto"/>
                <w:kern w:val="0"/>
                <w:sz w:val="21"/>
                <w:szCs w:val="21"/>
              </w:rPr>
            </w:pPr>
            <w:r>
              <w:rPr>
                <w:color w:val="auto"/>
                <w:kern w:val="0"/>
                <w:sz w:val="21"/>
                <w:szCs w:val="21"/>
                <w:lang w:bidi="ar"/>
              </w:rPr>
              <w:t>生活污水</w:t>
            </w:r>
          </w:p>
        </w:tc>
        <w:tc>
          <w:tcPr>
            <w:tcW w:w="1507" w:type="pct"/>
            <w:tcBorders>
              <w:tl2br w:val="nil"/>
              <w:tr2bl w:val="nil"/>
            </w:tcBorders>
            <w:shd w:val="clear" w:color="auto" w:fill="auto"/>
            <w:vAlign w:val="center"/>
          </w:tcPr>
          <w:p w14:paraId="03869741">
            <w:pPr>
              <w:widowControl/>
              <w:spacing w:line="240" w:lineRule="auto"/>
              <w:ind w:firstLine="0" w:firstLineChars="0"/>
              <w:jc w:val="center"/>
              <w:rPr>
                <w:color w:val="auto"/>
                <w:kern w:val="0"/>
                <w:sz w:val="21"/>
                <w:szCs w:val="21"/>
              </w:rPr>
            </w:pPr>
            <w:r>
              <w:rPr>
                <w:rFonts w:hint="eastAsia"/>
                <w:color w:val="auto"/>
                <w:kern w:val="0"/>
                <w:sz w:val="21"/>
                <w:szCs w:val="21"/>
              </w:rPr>
              <w:t>化粪池预处理</w:t>
            </w:r>
          </w:p>
        </w:tc>
        <w:tc>
          <w:tcPr>
            <w:tcW w:w="938" w:type="pct"/>
            <w:tcBorders>
              <w:tl2br w:val="nil"/>
              <w:tr2bl w:val="nil"/>
            </w:tcBorders>
            <w:shd w:val="clear" w:color="auto" w:fill="auto"/>
            <w:vAlign w:val="center"/>
          </w:tcPr>
          <w:p w14:paraId="5D653D7A">
            <w:pPr>
              <w:widowControl/>
              <w:spacing w:line="240" w:lineRule="auto"/>
              <w:ind w:firstLine="0" w:firstLineChars="0"/>
              <w:jc w:val="center"/>
              <w:rPr>
                <w:color w:val="auto"/>
                <w:kern w:val="0"/>
                <w:sz w:val="21"/>
                <w:szCs w:val="21"/>
              </w:rPr>
            </w:pPr>
            <w:r>
              <w:rPr>
                <w:color w:val="auto"/>
                <w:kern w:val="0"/>
                <w:sz w:val="21"/>
                <w:szCs w:val="21"/>
                <w:lang w:bidi="ar"/>
              </w:rPr>
              <w:t>接管污水处理厂</w:t>
            </w:r>
          </w:p>
        </w:tc>
        <w:tc>
          <w:tcPr>
            <w:tcW w:w="754" w:type="pct"/>
            <w:vMerge w:val="continue"/>
            <w:tcBorders>
              <w:tl2br w:val="nil"/>
              <w:tr2bl w:val="nil"/>
            </w:tcBorders>
            <w:shd w:val="clear" w:color="auto" w:fill="auto"/>
            <w:vAlign w:val="center"/>
          </w:tcPr>
          <w:p w14:paraId="0FF45940">
            <w:pPr>
              <w:widowControl/>
              <w:spacing w:line="240" w:lineRule="auto"/>
              <w:ind w:firstLine="0" w:firstLineChars="0"/>
              <w:jc w:val="center"/>
              <w:rPr>
                <w:color w:val="auto"/>
                <w:sz w:val="21"/>
                <w:szCs w:val="21"/>
              </w:rPr>
            </w:pPr>
          </w:p>
        </w:tc>
      </w:tr>
      <w:tr w14:paraId="5349C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799" w:type="pct"/>
            <w:gridSpan w:val="2"/>
            <w:tcBorders>
              <w:tl2br w:val="nil"/>
              <w:tr2bl w:val="nil"/>
            </w:tcBorders>
            <w:shd w:val="clear" w:color="auto" w:fill="auto"/>
            <w:noWrap/>
            <w:vAlign w:val="center"/>
          </w:tcPr>
          <w:p w14:paraId="146D9883">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食堂废水</w:t>
            </w:r>
          </w:p>
        </w:tc>
        <w:tc>
          <w:tcPr>
            <w:tcW w:w="1507" w:type="pct"/>
            <w:tcBorders>
              <w:tl2br w:val="nil"/>
              <w:tr2bl w:val="nil"/>
            </w:tcBorders>
            <w:shd w:val="clear" w:color="auto" w:fill="auto"/>
            <w:vAlign w:val="center"/>
          </w:tcPr>
          <w:p w14:paraId="4B80A185">
            <w:pPr>
              <w:widowControl/>
              <w:spacing w:line="240" w:lineRule="auto"/>
              <w:ind w:firstLine="0" w:firstLineChars="0"/>
              <w:jc w:val="center"/>
              <w:rPr>
                <w:color w:val="auto"/>
                <w:kern w:val="0"/>
                <w:sz w:val="21"/>
                <w:szCs w:val="21"/>
              </w:rPr>
            </w:pPr>
            <w:r>
              <w:rPr>
                <w:rFonts w:hint="eastAsia"/>
                <w:color w:val="auto"/>
                <w:kern w:val="0"/>
                <w:sz w:val="21"/>
                <w:szCs w:val="21"/>
              </w:rPr>
              <w:t>隔油池预处理</w:t>
            </w:r>
          </w:p>
        </w:tc>
        <w:tc>
          <w:tcPr>
            <w:tcW w:w="938" w:type="pct"/>
            <w:tcBorders>
              <w:tl2br w:val="nil"/>
              <w:tr2bl w:val="nil"/>
            </w:tcBorders>
            <w:shd w:val="clear" w:color="auto" w:fill="auto"/>
            <w:vAlign w:val="center"/>
          </w:tcPr>
          <w:p w14:paraId="20C1538B">
            <w:pPr>
              <w:widowControl/>
              <w:spacing w:line="240" w:lineRule="auto"/>
              <w:ind w:firstLine="0" w:firstLineChars="0"/>
              <w:jc w:val="center"/>
              <w:rPr>
                <w:color w:val="auto"/>
                <w:kern w:val="0"/>
                <w:sz w:val="21"/>
                <w:szCs w:val="21"/>
                <w:lang w:bidi="ar"/>
              </w:rPr>
            </w:pPr>
            <w:r>
              <w:rPr>
                <w:color w:val="auto"/>
                <w:kern w:val="0"/>
                <w:sz w:val="21"/>
                <w:szCs w:val="21"/>
                <w:lang w:bidi="ar"/>
              </w:rPr>
              <w:t>接管污水处理厂</w:t>
            </w:r>
          </w:p>
        </w:tc>
        <w:tc>
          <w:tcPr>
            <w:tcW w:w="754" w:type="pct"/>
            <w:vMerge w:val="continue"/>
            <w:tcBorders>
              <w:tl2br w:val="nil"/>
              <w:tr2bl w:val="nil"/>
            </w:tcBorders>
            <w:shd w:val="clear" w:color="auto" w:fill="auto"/>
            <w:vAlign w:val="center"/>
          </w:tcPr>
          <w:p w14:paraId="33AEC860">
            <w:pPr>
              <w:widowControl/>
              <w:spacing w:line="240" w:lineRule="auto"/>
              <w:ind w:firstLine="0" w:firstLineChars="0"/>
              <w:jc w:val="center"/>
              <w:rPr>
                <w:color w:val="auto"/>
                <w:sz w:val="21"/>
                <w:szCs w:val="21"/>
              </w:rPr>
            </w:pPr>
          </w:p>
        </w:tc>
      </w:tr>
    </w:tbl>
    <w:p w14:paraId="512EFC50">
      <w:pPr>
        <w:ind w:left="480" w:leftChars="200" w:firstLine="0" w:firstLineChars="0"/>
        <w:rPr>
          <w:b/>
          <w:bCs/>
          <w:color w:val="auto"/>
        </w:rPr>
      </w:pPr>
      <w:r>
        <w:rPr>
          <w:rFonts w:hint="eastAsia"/>
          <w:b/>
          <w:bCs/>
          <w:color w:val="auto"/>
        </w:rPr>
        <w:t>2、达标区水环境影响评价</w:t>
      </w:r>
    </w:p>
    <w:p w14:paraId="12926334">
      <w:pPr>
        <w:ind w:firstLine="480"/>
        <w:rPr>
          <w:color w:val="auto"/>
        </w:rPr>
      </w:pPr>
      <w:r>
        <w:rPr>
          <w:rFonts w:hint="eastAsia"/>
          <w:color w:val="auto"/>
        </w:rPr>
        <w:t>本项目污水经处理后接管至开发区临港污水处理厂，尾水排入临洪河，最终进入黄海。根据现状监测数据结果，临洪河达到《地表水环境质量》</w:t>
      </w:r>
      <w:r>
        <w:rPr>
          <w:rFonts w:hint="eastAsia"/>
          <w:color w:val="auto"/>
          <w:lang w:eastAsia="zh-CN"/>
        </w:rPr>
        <w:t>Ⅲ</w:t>
      </w:r>
      <w:r>
        <w:rPr>
          <w:rFonts w:hint="eastAsia"/>
          <w:color w:val="auto"/>
        </w:rPr>
        <w:t>类水质标准，属于达标区；根据</w:t>
      </w:r>
      <w:r>
        <w:rPr>
          <w:color w:val="auto"/>
        </w:rPr>
        <w:t>6.2</w:t>
      </w:r>
      <w:r>
        <w:rPr>
          <w:rFonts w:hint="eastAsia"/>
          <w:color w:val="auto"/>
        </w:rPr>
        <w:t>废水污染防治措施章节分析，本项目采取的污染防治措施可确保废水达标接管。建设项目产生的废水经开发区临港污水处理厂集中处理后排放不会改变纳污水体功能，对环境的影响可以接受。</w:t>
      </w:r>
    </w:p>
    <w:p w14:paraId="14F48913">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.2.2.</w:t>
      </w:r>
      <w:r>
        <w:rPr>
          <w:rFonts w:hint="eastAsia"/>
          <w:b/>
          <w:bCs/>
          <w:color w:val="auto"/>
          <w:szCs w:val="32"/>
        </w:rPr>
        <w:t>3</w:t>
      </w:r>
      <w:r>
        <w:rPr>
          <w:b/>
          <w:bCs/>
          <w:color w:val="auto"/>
          <w:szCs w:val="32"/>
        </w:rPr>
        <w:t xml:space="preserve"> 依托污水处理设施的环境可行性评价</w:t>
      </w:r>
    </w:p>
    <w:p w14:paraId="043B66D0">
      <w:pPr>
        <w:pStyle w:val="1841"/>
        <w:tabs>
          <w:tab w:val="left" w:pos="3960"/>
        </w:tabs>
        <w:spacing w:before="0" w:line="360" w:lineRule="auto"/>
        <w:ind w:firstLine="482"/>
        <w:rPr>
          <w:b/>
          <w:bCs w:val="0"/>
          <w:color w:val="auto"/>
        </w:rPr>
      </w:pPr>
      <w:r>
        <w:rPr>
          <w:rFonts w:hint="eastAsia"/>
          <w:b/>
          <w:bCs w:val="0"/>
          <w:color w:val="auto"/>
        </w:rPr>
        <w:t>1、开发区临港污水处理厂简介（原开发区西北组团污水处理厂）</w:t>
      </w:r>
    </w:p>
    <w:p w14:paraId="75E3E2EC">
      <w:pPr>
        <w:pStyle w:val="1841"/>
        <w:tabs>
          <w:tab w:val="left" w:pos="3960"/>
        </w:tabs>
        <w:spacing w:before="0" w:line="360" w:lineRule="auto"/>
        <w:ind w:firstLine="480"/>
        <w:rPr>
          <w:color w:val="auto"/>
        </w:rPr>
      </w:pPr>
      <w:r>
        <w:rPr>
          <w:rFonts w:hint="eastAsia"/>
          <w:color w:val="auto"/>
        </w:rPr>
        <w:t>开发区临港污水处理厂（原开发区西北组团污水处理厂）位于</w:t>
      </w:r>
      <w:r>
        <w:rPr>
          <w:color w:val="auto"/>
          <w:lang w:val="zh-CN"/>
        </w:rPr>
        <w:t>连云港经济技术开发区临港产业区</w:t>
      </w:r>
      <w:r>
        <w:rPr>
          <w:rFonts w:hint="eastAsia"/>
          <w:color w:val="auto"/>
        </w:rPr>
        <w:t>开泰</w:t>
      </w:r>
      <w:r>
        <w:rPr>
          <w:color w:val="auto"/>
          <w:lang w:val="zh-CN"/>
        </w:rPr>
        <w:t>河以南、云池路以北、临洪路以东、云桥路以西</w:t>
      </w:r>
      <w:r>
        <w:rPr>
          <w:rFonts w:hint="eastAsia"/>
          <w:color w:val="auto"/>
          <w:lang w:val="zh-CN"/>
        </w:rPr>
        <w:t>，</w:t>
      </w:r>
      <w:r>
        <w:rPr>
          <w:rFonts w:hint="eastAsia"/>
          <w:color w:val="auto"/>
        </w:rPr>
        <w:t>服务范围主要由两部分组成：一是连云港临港新兴产业区西北片区，污水性质为工业废水和生活污水；二是连云新城（滨海新区）西南片区，主要以居住和公用设施用地为主，污水性质为生活污水。</w:t>
      </w:r>
    </w:p>
    <w:p w14:paraId="42855BC4">
      <w:pPr>
        <w:pStyle w:val="1841"/>
        <w:tabs>
          <w:tab w:val="left" w:pos="3960"/>
        </w:tabs>
        <w:spacing w:before="0" w:line="360" w:lineRule="auto"/>
        <w:ind w:firstLine="480"/>
        <w:rPr>
          <w:color w:val="auto"/>
        </w:rPr>
      </w:pPr>
      <w:r>
        <w:rPr>
          <w:rFonts w:hint="eastAsia"/>
          <w:color w:val="auto"/>
        </w:rPr>
        <w:t>目前已建成一期规模日处理污水4.8万吨；占地4.98公顷，采用“MSBR+高效混凝沉淀+转盘过滤+二氧化氯消毒”污水处理工艺，污水处理厂尾水经由大浦河排污通道排入临洪河，已经水行政主管部门批准（连水许可〔2012〕5号），执行《城镇污水处理厂污染物排放标准》（GB18918-2002）表1中的一级A标准。一期项目西线工程（2.4万t/d）并于2017年10月26日通过连云港市环保局环保“三同时”验收（连环验〔2017〕19号），环保设施验收合格，项目正常运行。一期项目东线工程项目（2.4万t/d）于2020年10月23日通过竣工环境保护自主，项目正常运行。</w:t>
      </w:r>
      <w:r>
        <w:rPr>
          <w:color w:val="auto"/>
        </w:rPr>
        <w:t>目前已</w:t>
      </w:r>
      <w:r>
        <w:rPr>
          <w:rFonts w:hint="eastAsia"/>
          <w:color w:val="auto"/>
        </w:rPr>
        <w:t>建成一期规模4.8万吨/天，由两组MSBR生化处理系统组成，单组处理规模2.4万吨/天。</w:t>
      </w:r>
    </w:p>
    <w:p w14:paraId="111E3490">
      <w:pPr>
        <w:pStyle w:val="1841"/>
        <w:tabs>
          <w:tab w:val="left" w:pos="3960"/>
        </w:tabs>
        <w:spacing w:before="0" w:line="360" w:lineRule="auto"/>
        <w:ind w:firstLine="480"/>
        <w:rPr>
          <w:color w:val="auto"/>
        </w:rPr>
      </w:pPr>
      <w:r>
        <w:rPr>
          <w:rFonts w:hint="eastAsia"/>
          <w:color w:val="auto"/>
        </w:rPr>
        <w:t>该污水处理厂于2021年11月开展了《连云港开发区西北组团污水处理厂污水消毒工艺验收后变动环境影响分析》，将原有的消毒工艺改为“次氯酸钠”消毒工艺，开发区临港污水处理厂变动后的处理工艺为“MSBR+高效混凝沉淀+转盘过滤+次氯酸钠消毒”。</w:t>
      </w:r>
    </w:p>
    <w:p w14:paraId="4ED3414B">
      <w:pPr>
        <w:pStyle w:val="1841"/>
        <w:tabs>
          <w:tab w:val="left" w:pos="3960"/>
        </w:tabs>
        <w:spacing w:before="0" w:line="360" w:lineRule="auto"/>
        <w:ind w:firstLine="0" w:firstLineChars="0"/>
        <w:jc w:val="center"/>
        <w:rPr>
          <w:b/>
          <w:bCs w:val="0"/>
          <w:color w:val="auto"/>
          <w:lang w:val="zh-CN"/>
        </w:rPr>
      </w:pPr>
      <w:r>
        <w:rPr>
          <w:rFonts w:hint="eastAsia"/>
          <w:b/>
          <w:color w:val="auto"/>
        </w:rPr>
        <w:drawing>
          <wp:inline distT="0" distB="0" distL="114300" distR="114300">
            <wp:extent cx="4876800" cy="4200525"/>
            <wp:effectExtent l="0" t="0" r="0" b="9525"/>
            <wp:docPr id="20" name="图片 23" descr="微信图片_2021110917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微信图片_20211109175820"/>
                    <pic:cNvPicPr>
                      <a:picLocks noChangeAspect="1"/>
                    </pic:cNvPicPr>
                  </pic:nvPicPr>
                  <pic:blipFill>
                    <a:blip r:embed="rId34"/>
                    <a:stretch>
                      <a:fillRect/>
                    </a:stretch>
                  </pic:blipFill>
                  <pic:spPr>
                    <a:xfrm>
                      <a:off x="0" y="0"/>
                      <a:ext cx="4876800" cy="4200525"/>
                    </a:xfrm>
                    <a:prstGeom prst="rect">
                      <a:avLst/>
                    </a:prstGeom>
                    <a:noFill/>
                    <a:ln>
                      <a:noFill/>
                    </a:ln>
                  </pic:spPr>
                </pic:pic>
              </a:graphicData>
            </a:graphic>
          </wp:inline>
        </w:drawing>
      </w:r>
    </w:p>
    <w:p w14:paraId="197CB0F1">
      <w:pPr>
        <w:pStyle w:val="1841"/>
        <w:tabs>
          <w:tab w:val="left" w:pos="3960"/>
        </w:tabs>
        <w:spacing w:before="0" w:line="360" w:lineRule="auto"/>
        <w:ind w:firstLine="0" w:firstLineChars="0"/>
        <w:jc w:val="center"/>
        <w:rPr>
          <w:b/>
          <w:bCs w:val="0"/>
          <w:color w:val="auto"/>
        </w:rPr>
      </w:pPr>
      <w:r>
        <w:rPr>
          <w:rFonts w:hint="eastAsia"/>
          <w:b/>
          <w:bCs w:val="0"/>
          <w:color w:val="auto"/>
        </w:rPr>
        <w:t>图6.2.2-1  污水处理厂处理工艺流程图</w:t>
      </w:r>
    </w:p>
    <w:p w14:paraId="5F9CC718">
      <w:pPr>
        <w:pStyle w:val="1841"/>
        <w:tabs>
          <w:tab w:val="left" w:pos="3960"/>
        </w:tabs>
        <w:spacing w:before="0" w:line="360" w:lineRule="auto"/>
        <w:ind w:firstLine="482"/>
        <w:rPr>
          <w:b/>
          <w:bCs w:val="0"/>
          <w:color w:val="auto"/>
        </w:rPr>
      </w:pPr>
      <w:r>
        <w:rPr>
          <w:rFonts w:hint="eastAsia"/>
          <w:b/>
          <w:bCs w:val="0"/>
          <w:color w:val="auto"/>
        </w:rPr>
        <w:t>2、接管可行性分析</w:t>
      </w:r>
    </w:p>
    <w:p w14:paraId="1C8ED0BE">
      <w:pPr>
        <w:pStyle w:val="1841"/>
        <w:tabs>
          <w:tab w:val="left" w:pos="3960"/>
        </w:tabs>
        <w:spacing w:before="0" w:line="360" w:lineRule="auto"/>
        <w:ind w:firstLine="482"/>
        <w:rPr>
          <w:b/>
          <w:bCs w:val="0"/>
          <w:color w:val="auto"/>
        </w:rPr>
      </w:pPr>
      <w:r>
        <w:rPr>
          <w:rFonts w:hint="eastAsia"/>
          <w:b/>
          <w:bCs w:val="0"/>
          <w:color w:val="auto"/>
        </w:rPr>
        <w:t>（1）污水管网配套分析</w:t>
      </w:r>
    </w:p>
    <w:p w14:paraId="2DEAC784">
      <w:pPr>
        <w:pStyle w:val="1841"/>
        <w:tabs>
          <w:tab w:val="left" w:pos="3960"/>
        </w:tabs>
        <w:spacing w:before="0" w:line="360" w:lineRule="auto"/>
        <w:ind w:firstLine="480"/>
        <w:rPr>
          <w:color w:val="auto"/>
          <w:lang w:val="zh-CN"/>
        </w:rPr>
      </w:pPr>
      <w:r>
        <w:rPr>
          <w:rFonts w:hint="eastAsia"/>
          <w:color w:val="auto"/>
        </w:rPr>
        <w:t>一道新材</w:t>
      </w:r>
      <w:r>
        <w:rPr>
          <w:color w:val="auto"/>
          <w:lang w:val="zh-CN"/>
        </w:rPr>
        <w:t>科技</w:t>
      </w:r>
      <w:r>
        <w:rPr>
          <w:rFonts w:hint="eastAsia"/>
          <w:color w:val="auto"/>
          <w:lang w:val="zh-CN"/>
        </w:rPr>
        <w:t>（</w:t>
      </w:r>
      <w:r>
        <w:rPr>
          <w:rFonts w:hint="eastAsia"/>
          <w:color w:val="auto"/>
        </w:rPr>
        <w:t>连云港</w:t>
      </w:r>
      <w:r>
        <w:rPr>
          <w:rFonts w:hint="eastAsia"/>
          <w:color w:val="auto"/>
          <w:lang w:val="zh-CN"/>
        </w:rPr>
        <w:t>）</w:t>
      </w:r>
      <w:r>
        <w:rPr>
          <w:color w:val="auto"/>
          <w:lang w:val="zh-CN"/>
        </w:rPr>
        <w:t>有限公司位于连云港市连云港经济技术开发区东至大浦路，南至盐池西路，西至项目边界，北至盐汇路，目前污水管网已敷设到位，因此本项目废水接管至</w:t>
      </w:r>
      <w:r>
        <w:rPr>
          <w:rFonts w:hint="eastAsia"/>
          <w:color w:val="auto"/>
        </w:rPr>
        <w:t>开发临港</w:t>
      </w:r>
      <w:r>
        <w:rPr>
          <w:color w:val="auto"/>
          <w:lang w:val="zh-CN"/>
        </w:rPr>
        <w:t>污水处理厂是可行的。</w:t>
      </w:r>
    </w:p>
    <w:p w14:paraId="22F4D92A">
      <w:pPr>
        <w:pStyle w:val="1841"/>
        <w:tabs>
          <w:tab w:val="left" w:pos="3960"/>
        </w:tabs>
        <w:spacing w:before="0" w:line="360" w:lineRule="auto"/>
        <w:ind w:firstLine="482"/>
        <w:rPr>
          <w:b/>
          <w:bCs w:val="0"/>
          <w:color w:val="auto"/>
        </w:rPr>
      </w:pPr>
      <w:r>
        <w:rPr>
          <w:rFonts w:hint="eastAsia"/>
          <w:b/>
          <w:bCs w:val="0"/>
          <w:color w:val="auto"/>
        </w:rPr>
        <w:t>（2）接管水质分析</w:t>
      </w:r>
    </w:p>
    <w:p w14:paraId="263BDB4E">
      <w:pPr>
        <w:pStyle w:val="1841"/>
        <w:tabs>
          <w:tab w:val="left" w:pos="3960"/>
        </w:tabs>
        <w:spacing w:before="0" w:line="360" w:lineRule="auto"/>
        <w:ind w:firstLine="480"/>
        <w:rPr>
          <w:b/>
          <w:bCs w:val="0"/>
          <w:color w:val="auto"/>
        </w:rPr>
      </w:pPr>
      <w:r>
        <w:rPr>
          <w:rFonts w:hint="eastAsia"/>
          <w:color w:val="auto"/>
        </w:rPr>
        <w:t>本项目酸碱废水、模具氮化工艺废水、废气处理废水、氧化工段地面冲洗废水、纯水制备装置反冲洗废水、纯水制备装置再生废水、循环冷却排水和初期雨水送入综合废水处理系统处理（工艺为“调节+混凝反应+沉淀”），封孔废水先送入封孔废水处理系统（工艺为“调节+混凝反应+沉淀”），再送入综合废水处理系统处理，</w:t>
      </w:r>
      <w:r>
        <w:rPr>
          <w:rFonts w:hint="eastAsia"/>
          <w:color w:val="auto"/>
          <w:lang w:eastAsia="zh-CN"/>
        </w:rPr>
        <w:t>再</w:t>
      </w:r>
      <w:r>
        <w:rPr>
          <w:rFonts w:hint="eastAsia"/>
          <w:color w:val="auto"/>
        </w:rPr>
        <w:t>分别经化粪池和隔油池+化粪池预处理后的生活污水和食堂废水经园区污水管网接管至开发区污水处理厂集中处理，各项指标可达开发区临港污水处理厂的接管标准。</w:t>
      </w:r>
    </w:p>
    <w:p w14:paraId="6158F7E8">
      <w:pPr>
        <w:pStyle w:val="1841"/>
        <w:tabs>
          <w:tab w:val="left" w:pos="3960"/>
        </w:tabs>
        <w:spacing w:before="0" w:line="240" w:lineRule="auto"/>
        <w:ind w:firstLine="0" w:firstLineChars="0"/>
        <w:jc w:val="center"/>
        <w:rPr>
          <w:b/>
          <w:bCs w:val="0"/>
          <w:color w:val="auto"/>
        </w:rPr>
      </w:pPr>
      <w:r>
        <w:rPr>
          <w:rFonts w:hint="eastAsia"/>
          <w:b/>
          <w:bCs w:val="0"/>
          <w:color w:val="auto"/>
        </w:rPr>
        <w:t>表6.2.2-2  本项目排放废水水质与开发区临港污水处理厂接管标准对比表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3134"/>
        <w:gridCol w:w="3134"/>
      </w:tblGrid>
      <w:tr w14:paraId="685D6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2D2B5E71">
            <w:pPr>
              <w:pStyle w:val="1841"/>
              <w:tabs>
                <w:tab w:val="left" w:pos="3960"/>
              </w:tabs>
              <w:spacing w:before="0" w:line="240" w:lineRule="auto"/>
              <w:ind w:firstLine="0" w:firstLineChars="0"/>
              <w:jc w:val="center"/>
              <w:rPr>
                <w:b/>
                <w:bCs w:val="0"/>
                <w:color w:val="auto"/>
                <w:sz w:val="21"/>
                <w:szCs w:val="21"/>
              </w:rPr>
            </w:pPr>
            <w:r>
              <w:rPr>
                <w:rFonts w:hint="eastAsia"/>
                <w:b/>
                <w:bCs w:val="0"/>
                <w:color w:val="auto"/>
                <w:sz w:val="21"/>
                <w:szCs w:val="21"/>
              </w:rPr>
              <w:t>项目名称</w:t>
            </w:r>
          </w:p>
        </w:tc>
        <w:tc>
          <w:tcPr>
            <w:tcW w:w="3134" w:type="dxa"/>
            <w:tcBorders>
              <w:tl2br w:val="nil"/>
              <w:tr2bl w:val="nil"/>
            </w:tcBorders>
          </w:tcPr>
          <w:p w14:paraId="73D2E2C0">
            <w:pPr>
              <w:pStyle w:val="1841"/>
              <w:tabs>
                <w:tab w:val="left" w:pos="3960"/>
              </w:tabs>
              <w:spacing w:before="0" w:line="240" w:lineRule="auto"/>
              <w:ind w:firstLine="0" w:firstLineChars="0"/>
              <w:jc w:val="center"/>
              <w:rPr>
                <w:b/>
                <w:bCs w:val="0"/>
                <w:color w:val="auto"/>
                <w:sz w:val="21"/>
                <w:szCs w:val="21"/>
              </w:rPr>
            </w:pPr>
            <w:r>
              <w:rPr>
                <w:rFonts w:hint="eastAsia"/>
                <w:b/>
                <w:bCs w:val="0"/>
                <w:color w:val="auto"/>
                <w:sz w:val="21"/>
                <w:szCs w:val="21"/>
              </w:rPr>
              <w:t>接管标准</w:t>
            </w:r>
          </w:p>
        </w:tc>
        <w:tc>
          <w:tcPr>
            <w:tcW w:w="3134" w:type="dxa"/>
            <w:tcBorders>
              <w:tl2br w:val="nil"/>
              <w:tr2bl w:val="nil"/>
            </w:tcBorders>
          </w:tcPr>
          <w:p w14:paraId="7C51C773">
            <w:pPr>
              <w:pStyle w:val="1841"/>
              <w:tabs>
                <w:tab w:val="left" w:pos="3960"/>
              </w:tabs>
              <w:spacing w:before="0" w:line="240" w:lineRule="auto"/>
              <w:ind w:firstLine="0" w:firstLineChars="0"/>
              <w:jc w:val="center"/>
              <w:rPr>
                <w:b/>
                <w:bCs w:val="0"/>
                <w:color w:val="auto"/>
                <w:sz w:val="21"/>
                <w:szCs w:val="21"/>
              </w:rPr>
            </w:pPr>
            <w:r>
              <w:rPr>
                <w:rFonts w:hint="eastAsia"/>
                <w:b/>
                <w:bCs w:val="0"/>
                <w:color w:val="auto"/>
                <w:sz w:val="21"/>
                <w:szCs w:val="21"/>
              </w:rPr>
              <w:t>本项目排放废水水质</w:t>
            </w:r>
          </w:p>
        </w:tc>
      </w:tr>
      <w:tr w14:paraId="4A245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638F4547">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pH</w:t>
            </w:r>
          </w:p>
        </w:tc>
        <w:tc>
          <w:tcPr>
            <w:tcW w:w="3134" w:type="dxa"/>
            <w:tcBorders>
              <w:tl2br w:val="nil"/>
              <w:tr2bl w:val="nil"/>
            </w:tcBorders>
          </w:tcPr>
          <w:p w14:paraId="0A61A8EF">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6~9</w:t>
            </w:r>
          </w:p>
        </w:tc>
        <w:tc>
          <w:tcPr>
            <w:tcW w:w="3134" w:type="dxa"/>
            <w:tcBorders>
              <w:tl2br w:val="nil"/>
              <w:tr2bl w:val="nil"/>
            </w:tcBorders>
          </w:tcPr>
          <w:p w14:paraId="5F9AA121">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6~9</w:t>
            </w:r>
          </w:p>
        </w:tc>
      </w:tr>
      <w:tr w14:paraId="66E0C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6EAB8BEF">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COD</w:t>
            </w:r>
          </w:p>
        </w:tc>
        <w:tc>
          <w:tcPr>
            <w:tcW w:w="3134" w:type="dxa"/>
            <w:tcBorders>
              <w:tl2br w:val="nil"/>
              <w:tr2bl w:val="nil"/>
            </w:tcBorders>
          </w:tcPr>
          <w:p w14:paraId="46243979">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500</w:t>
            </w:r>
          </w:p>
        </w:tc>
        <w:tc>
          <w:tcPr>
            <w:tcW w:w="3134" w:type="dxa"/>
            <w:tcBorders>
              <w:tl2br w:val="nil"/>
              <w:tr2bl w:val="nil"/>
            </w:tcBorders>
            <w:shd w:val="clear" w:color="auto" w:fill="auto"/>
            <w:vAlign w:val="center"/>
          </w:tcPr>
          <w:p w14:paraId="76BDB54A">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 xml:space="preserve">263.20 </w:t>
            </w:r>
          </w:p>
        </w:tc>
      </w:tr>
      <w:tr w14:paraId="0E06C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58FFCAA2">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SS</w:t>
            </w:r>
          </w:p>
        </w:tc>
        <w:tc>
          <w:tcPr>
            <w:tcW w:w="3134" w:type="dxa"/>
            <w:tcBorders>
              <w:tl2br w:val="nil"/>
              <w:tr2bl w:val="nil"/>
            </w:tcBorders>
          </w:tcPr>
          <w:p w14:paraId="680D9B7D">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400</w:t>
            </w:r>
          </w:p>
        </w:tc>
        <w:tc>
          <w:tcPr>
            <w:tcW w:w="3134" w:type="dxa"/>
            <w:tcBorders>
              <w:tl2br w:val="nil"/>
              <w:tr2bl w:val="nil"/>
            </w:tcBorders>
            <w:shd w:val="clear" w:color="auto" w:fill="auto"/>
            <w:vAlign w:val="center"/>
          </w:tcPr>
          <w:p w14:paraId="6D13072A">
            <w:pPr>
              <w:widowControl/>
              <w:spacing w:line="240" w:lineRule="auto"/>
              <w:ind w:firstLine="0" w:firstLineChars="0"/>
              <w:jc w:val="center"/>
              <w:textAlignment w:val="center"/>
              <w:rPr>
                <w:bCs/>
                <w:color w:val="auto"/>
                <w:sz w:val="21"/>
                <w:szCs w:val="21"/>
              </w:rPr>
            </w:pPr>
            <w:r>
              <w:rPr>
                <w:rFonts w:hint="eastAsia"/>
                <w:bCs/>
                <w:color w:val="auto"/>
                <w:sz w:val="21"/>
                <w:szCs w:val="21"/>
              </w:rPr>
              <w:t>37.75</w:t>
            </w:r>
          </w:p>
        </w:tc>
      </w:tr>
      <w:tr w14:paraId="651E0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shd w:val="clear" w:color="auto" w:fill="auto"/>
          </w:tcPr>
          <w:p w14:paraId="3419C42D">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氨氮</w:t>
            </w:r>
          </w:p>
        </w:tc>
        <w:tc>
          <w:tcPr>
            <w:tcW w:w="3134" w:type="dxa"/>
            <w:tcBorders>
              <w:tl2br w:val="nil"/>
              <w:tr2bl w:val="nil"/>
            </w:tcBorders>
            <w:shd w:val="clear" w:color="auto" w:fill="auto"/>
          </w:tcPr>
          <w:p w14:paraId="5B87AF57">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45</w:t>
            </w:r>
          </w:p>
        </w:tc>
        <w:tc>
          <w:tcPr>
            <w:tcW w:w="3134" w:type="dxa"/>
            <w:tcBorders>
              <w:tl2br w:val="nil"/>
              <w:tr2bl w:val="nil"/>
            </w:tcBorders>
            <w:shd w:val="clear" w:color="auto" w:fill="auto"/>
            <w:vAlign w:val="center"/>
          </w:tcPr>
          <w:p w14:paraId="7F5E70E5">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1</w:t>
            </w:r>
            <w:r>
              <w:rPr>
                <w:rFonts w:hint="eastAsia" w:eastAsia="等线"/>
                <w:color w:val="auto"/>
                <w:kern w:val="0"/>
                <w:sz w:val="21"/>
                <w:szCs w:val="21"/>
                <w:lang w:val="en-US" w:eastAsia="zh-CN" w:bidi="ar"/>
              </w:rPr>
              <w:t>8.01</w:t>
            </w:r>
          </w:p>
        </w:tc>
      </w:tr>
      <w:tr w14:paraId="2CB7F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shd w:val="clear" w:color="auto" w:fill="auto"/>
          </w:tcPr>
          <w:p w14:paraId="4D251A79">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总磷</w:t>
            </w:r>
          </w:p>
        </w:tc>
        <w:tc>
          <w:tcPr>
            <w:tcW w:w="3134" w:type="dxa"/>
            <w:tcBorders>
              <w:tl2br w:val="nil"/>
              <w:tr2bl w:val="nil"/>
            </w:tcBorders>
            <w:shd w:val="clear" w:color="auto" w:fill="auto"/>
          </w:tcPr>
          <w:p w14:paraId="23756CD3">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8</w:t>
            </w:r>
          </w:p>
        </w:tc>
        <w:tc>
          <w:tcPr>
            <w:tcW w:w="3134" w:type="dxa"/>
            <w:tcBorders>
              <w:tl2br w:val="nil"/>
              <w:tr2bl w:val="nil"/>
            </w:tcBorders>
            <w:shd w:val="clear" w:color="auto" w:fill="auto"/>
            <w:vAlign w:val="center"/>
          </w:tcPr>
          <w:p w14:paraId="6ADC9E76">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0.</w:t>
            </w:r>
            <w:r>
              <w:rPr>
                <w:rFonts w:hint="eastAsia" w:eastAsia="等线"/>
                <w:color w:val="auto"/>
                <w:kern w:val="0"/>
                <w:sz w:val="21"/>
                <w:szCs w:val="21"/>
                <w:lang w:val="en-US" w:eastAsia="zh-CN" w:bidi="ar"/>
              </w:rPr>
              <w:t>538</w:t>
            </w:r>
          </w:p>
        </w:tc>
      </w:tr>
      <w:tr w14:paraId="666EB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shd w:val="clear" w:color="auto" w:fill="auto"/>
          </w:tcPr>
          <w:p w14:paraId="2983ADF3">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总氮</w:t>
            </w:r>
          </w:p>
        </w:tc>
        <w:tc>
          <w:tcPr>
            <w:tcW w:w="3134" w:type="dxa"/>
            <w:tcBorders>
              <w:tl2br w:val="nil"/>
              <w:tr2bl w:val="nil"/>
            </w:tcBorders>
            <w:shd w:val="clear" w:color="auto" w:fill="auto"/>
          </w:tcPr>
          <w:p w14:paraId="3BB51673">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70</w:t>
            </w:r>
          </w:p>
        </w:tc>
        <w:tc>
          <w:tcPr>
            <w:tcW w:w="3134" w:type="dxa"/>
            <w:tcBorders>
              <w:tl2br w:val="nil"/>
              <w:tr2bl w:val="nil"/>
            </w:tcBorders>
            <w:shd w:val="clear" w:color="auto" w:fill="auto"/>
            <w:vAlign w:val="center"/>
          </w:tcPr>
          <w:p w14:paraId="2D2B0515">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28.92</w:t>
            </w:r>
          </w:p>
        </w:tc>
      </w:tr>
      <w:tr w14:paraId="668A7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shd w:val="clear" w:color="auto" w:fill="auto"/>
          </w:tcPr>
          <w:p w14:paraId="41A85B24">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石油类</w:t>
            </w:r>
          </w:p>
        </w:tc>
        <w:tc>
          <w:tcPr>
            <w:tcW w:w="3134" w:type="dxa"/>
            <w:tcBorders>
              <w:tl2br w:val="nil"/>
              <w:tr2bl w:val="nil"/>
            </w:tcBorders>
            <w:shd w:val="clear" w:color="auto" w:fill="auto"/>
          </w:tcPr>
          <w:p w14:paraId="72BD4659">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15</w:t>
            </w:r>
          </w:p>
        </w:tc>
        <w:tc>
          <w:tcPr>
            <w:tcW w:w="3134" w:type="dxa"/>
            <w:tcBorders>
              <w:tl2br w:val="nil"/>
              <w:tr2bl w:val="nil"/>
            </w:tcBorders>
            <w:shd w:val="clear" w:color="auto" w:fill="auto"/>
            <w:vAlign w:val="center"/>
          </w:tcPr>
          <w:p w14:paraId="6240AF1A">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1.36</w:t>
            </w:r>
          </w:p>
        </w:tc>
      </w:tr>
      <w:tr w14:paraId="66269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shd w:val="clear" w:color="auto" w:fill="auto"/>
          </w:tcPr>
          <w:p w14:paraId="68579494">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动植物油</w:t>
            </w:r>
          </w:p>
        </w:tc>
        <w:tc>
          <w:tcPr>
            <w:tcW w:w="3134" w:type="dxa"/>
            <w:tcBorders>
              <w:tl2br w:val="nil"/>
              <w:tr2bl w:val="nil"/>
            </w:tcBorders>
            <w:shd w:val="clear" w:color="auto" w:fill="auto"/>
          </w:tcPr>
          <w:p w14:paraId="02EBEA2E">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100</w:t>
            </w:r>
          </w:p>
        </w:tc>
        <w:tc>
          <w:tcPr>
            <w:tcW w:w="3134" w:type="dxa"/>
            <w:tcBorders>
              <w:tl2br w:val="nil"/>
              <w:tr2bl w:val="nil"/>
            </w:tcBorders>
            <w:shd w:val="clear" w:color="auto" w:fill="auto"/>
            <w:vAlign w:val="center"/>
          </w:tcPr>
          <w:p w14:paraId="2F839638">
            <w:pPr>
              <w:widowControl/>
              <w:spacing w:line="240" w:lineRule="auto"/>
              <w:ind w:firstLine="0" w:firstLineChars="0"/>
              <w:jc w:val="center"/>
              <w:textAlignment w:val="center"/>
              <w:rPr>
                <w:color w:val="auto"/>
                <w:sz w:val="21"/>
                <w:szCs w:val="21"/>
              </w:rPr>
            </w:pPr>
            <w:r>
              <w:rPr>
                <w:rFonts w:hint="eastAsia"/>
                <w:bCs/>
                <w:color w:val="auto"/>
                <w:sz w:val="21"/>
                <w:szCs w:val="21"/>
                <w:lang w:val="en-US" w:eastAsia="zh-CN"/>
              </w:rPr>
              <w:t>6.02</w:t>
            </w:r>
          </w:p>
        </w:tc>
      </w:tr>
      <w:tr w14:paraId="736B0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shd w:val="clear" w:color="auto" w:fill="auto"/>
          </w:tcPr>
          <w:p w14:paraId="723A375B">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总铝</w:t>
            </w:r>
          </w:p>
        </w:tc>
        <w:tc>
          <w:tcPr>
            <w:tcW w:w="3134" w:type="dxa"/>
            <w:tcBorders>
              <w:tl2br w:val="nil"/>
              <w:tr2bl w:val="nil"/>
            </w:tcBorders>
            <w:shd w:val="clear" w:color="auto" w:fill="auto"/>
          </w:tcPr>
          <w:p w14:paraId="3E6A9C17">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2.0</w:t>
            </w:r>
          </w:p>
        </w:tc>
        <w:tc>
          <w:tcPr>
            <w:tcW w:w="3134" w:type="dxa"/>
            <w:tcBorders>
              <w:tl2br w:val="nil"/>
              <w:tr2bl w:val="nil"/>
            </w:tcBorders>
            <w:shd w:val="clear" w:color="auto" w:fill="auto"/>
            <w:vAlign w:val="center"/>
          </w:tcPr>
          <w:p w14:paraId="1AF2E5EA">
            <w:pPr>
              <w:widowControl/>
              <w:spacing w:line="240" w:lineRule="auto"/>
              <w:ind w:firstLine="0" w:firstLineChars="0"/>
              <w:jc w:val="center"/>
              <w:textAlignment w:val="center"/>
              <w:rPr>
                <w:color w:val="auto"/>
                <w:sz w:val="21"/>
                <w:szCs w:val="21"/>
              </w:rPr>
            </w:pPr>
            <w:r>
              <w:rPr>
                <w:rFonts w:hint="eastAsia" w:eastAsia="等线"/>
                <w:color w:val="auto"/>
                <w:kern w:val="0"/>
                <w:sz w:val="21"/>
                <w:szCs w:val="21"/>
                <w:lang w:val="en-US" w:eastAsia="zh-CN" w:bidi="ar"/>
              </w:rPr>
              <w:t>16.93</w:t>
            </w:r>
          </w:p>
        </w:tc>
      </w:tr>
      <w:tr w14:paraId="0F5DF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6C0768CF">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总锡</w:t>
            </w:r>
          </w:p>
        </w:tc>
        <w:tc>
          <w:tcPr>
            <w:tcW w:w="3134" w:type="dxa"/>
            <w:tcBorders>
              <w:tl2br w:val="nil"/>
              <w:tr2bl w:val="nil"/>
            </w:tcBorders>
          </w:tcPr>
          <w:p w14:paraId="734CB32C">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5.0</w:t>
            </w:r>
          </w:p>
        </w:tc>
        <w:tc>
          <w:tcPr>
            <w:tcW w:w="3134" w:type="dxa"/>
            <w:tcBorders>
              <w:tl2br w:val="nil"/>
              <w:tr2bl w:val="nil"/>
            </w:tcBorders>
            <w:vAlign w:val="center"/>
          </w:tcPr>
          <w:p w14:paraId="6082A76D">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2.93</w:t>
            </w:r>
          </w:p>
        </w:tc>
      </w:tr>
      <w:tr w14:paraId="28622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22FE5968">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LAS</w:t>
            </w:r>
          </w:p>
        </w:tc>
        <w:tc>
          <w:tcPr>
            <w:tcW w:w="3134" w:type="dxa"/>
            <w:tcBorders>
              <w:tl2br w:val="nil"/>
              <w:tr2bl w:val="nil"/>
            </w:tcBorders>
          </w:tcPr>
          <w:p w14:paraId="12B8B7BC">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20</w:t>
            </w:r>
          </w:p>
        </w:tc>
        <w:tc>
          <w:tcPr>
            <w:tcW w:w="3134" w:type="dxa"/>
            <w:tcBorders>
              <w:tl2br w:val="nil"/>
              <w:tr2bl w:val="nil"/>
            </w:tcBorders>
            <w:vAlign w:val="center"/>
          </w:tcPr>
          <w:p w14:paraId="536D6FAD">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0.68</w:t>
            </w:r>
          </w:p>
        </w:tc>
      </w:tr>
      <w:tr w14:paraId="48495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33" w:type="dxa"/>
            <w:tcBorders>
              <w:tl2br w:val="nil"/>
              <w:tr2bl w:val="nil"/>
            </w:tcBorders>
          </w:tcPr>
          <w:p w14:paraId="592C67D4">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盐分</w:t>
            </w:r>
          </w:p>
        </w:tc>
        <w:tc>
          <w:tcPr>
            <w:tcW w:w="3134" w:type="dxa"/>
            <w:tcBorders>
              <w:tl2br w:val="nil"/>
              <w:tr2bl w:val="nil"/>
            </w:tcBorders>
          </w:tcPr>
          <w:p w14:paraId="17981A0B">
            <w:pPr>
              <w:pStyle w:val="1841"/>
              <w:tabs>
                <w:tab w:val="left" w:pos="3960"/>
              </w:tabs>
              <w:spacing w:before="0" w:line="240" w:lineRule="auto"/>
              <w:ind w:firstLine="0" w:firstLineChars="0"/>
              <w:jc w:val="center"/>
              <w:rPr>
                <w:color w:val="auto"/>
                <w:sz w:val="21"/>
                <w:szCs w:val="21"/>
              </w:rPr>
            </w:pPr>
            <w:r>
              <w:rPr>
                <w:rFonts w:hint="eastAsia"/>
                <w:color w:val="auto"/>
                <w:sz w:val="21"/>
                <w:szCs w:val="21"/>
              </w:rPr>
              <w:t>1500</w:t>
            </w:r>
          </w:p>
        </w:tc>
        <w:tc>
          <w:tcPr>
            <w:tcW w:w="3134" w:type="dxa"/>
            <w:tcBorders>
              <w:tl2br w:val="nil"/>
              <w:tr2bl w:val="nil"/>
            </w:tcBorders>
            <w:vAlign w:val="center"/>
          </w:tcPr>
          <w:p w14:paraId="412BCC4C">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447.39</w:t>
            </w:r>
          </w:p>
        </w:tc>
      </w:tr>
    </w:tbl>
    <w:p w14:paraId="3FBD30AD">
      <w:pPr>
        <w:pStyle w:val="1841"/>
        <w:tabs>
          <w:tab w:val="left" w:pos="3960"/>
        </w:tabs>
        <w:spacing w:before="120" w:beforeLines="50" w:line="360" w:lineRule="auto"/>
        <w:ind w:firstLine="482"/>
        <w:rPr>
          <w:b/>
          <w:bCs w:val="0"/>
          <w:color w:val="auto"/>
        </w:rPr>
      </w:pPr>
      <w:r>
        <w:rPr>
          <w:rFonts w:hint="eastAsia"/>
          <w:b/>
          <w:bCs w:val="0"/>
          <w:color w:val="auto"/>
        </w:rPr>
        <w:t>（3）接管水量</w:t>
      </w:r>
    </w:p>
    <w:p w14:paraId="58012F31">
      <w:pPr>
        <w:pStyle w:val="1841"/>
        <w:tabs>
          <w:tab w:val="left" w:pos="3960"/>
        </w:tabs>
        <w:spacing w:before="0" w:line="360" w:lineRule="auto"/>
        <w:ind w:firstLine="480"/>
        <w:rPr>
          <w:color w:val="auto"/>
        </w:rPr>
      </w:pPr>
      <w:r>
        <w:rPr>
          <w:rFonts w:hint="eastAsia"/>
          <w:color w:val="auto"/>
        </w:rPr>
        <w:t>企业通过对每个生产车间进行用水量及排水量考核，提高水的重复利用率，同时优化废水处理工艺，提高废水回用量，严格控制废水产生量。</w:t>
      </w:r>
    </w:p>
    <w:p w14:paraId="407C5C8B">
      <w:pPr>
        <w:pStyle w:val="1841"/>
        <w:tabs>
          <w:tab w:val="left" w:pos="3960"/>
        </w:tabs>
        <w:spacing w:before="0" w:line="360" w:lineRule="auto"/>
        <w:ind w:firstLine="480"/>
        <w:rPr>
          <w:rFonts w:hint="default" w:eastAsia="宋体"/>
          <w:color w:val="auto"/>
          <w:lang w:val="en-US" w:eastAsia="zh-CN"/>
        </w:rPr>
      </w:pPr>
      <w:r>
        <w:rPr>
          <w:rFonts w:hint="eastAsia"/>
          <w:color w:val="auto"/>
        </w:rPr>
        <w:t>本项目排放水量约为879.27m</w:t>
      </w:r>
      <w:r>
        <w:rPr>
          <w:rFonts w:hint="eastAsia"/>
          <w:color w:val="auto"/>
          <w:vertAlign w:val="superscript"/>
        </w:rPr>
        <w:t>3</w:t>
      </w:r>
      <w:r>
        <w:rPr>
          <w:rFonts w:hint="eastAsia"/>
          <w:color w:val="auto"/>
        </w:rPr>
        <w:t>/d，目前开发区临港污水处理厂剩余污水处理能力18000m</w:t>
      </w:r>
      <w:r>
        <w:rPr>
          <w:rFonts w:hint="eastAsia"/>
          <w:color w:val="auto"/>
          <w:vertAlign w:val="superscript"/>
        </w:rPr>
        <w:t>3</w:t>
      </w:r>
      <w:r>
        <w:rPr>
          <w:rFonts w:hint="eastAsia"/>
          <w:color w:val="auto"/>
        </w:rPr>
        <w:t>/d，本项目排放废水接入开发区临港污水处理厂集中处理是可行的。</w:t>
      </w:r>
    </w:p>
    <w:p w14:paraId="7DF70FFE">
      <w:pPr>
        <w:pStyle w:val="1841"/>
        <w:tabs>
          <w:tab w:val="left" w:pos="3960"/>
        </w:tabs>
        <w:spacing w:before="0" w:line="360" w:lineRule="auto"/>
        <w:ind w:firstLine="480"/>
        <w:rPr>
          <w:color w:val="auto"/>
        </w:rPr>
      </w:pPr>
      <w:r>
        <w:rPr>
          <w:color w:val="auto"/>
        </w:rPr>
        <w:t>综上，</w:t>
      </w:r>
      <w:r>
        <w:rPr>
          <w:rFonts w:hint="eastAsia"/>
          <w:color w:val="auto"/>
        </w:rPr>
        <w:t>开发区临港</w:t>
      </w:r>
      <w:r>
        <w:rPr>
          <w:color w:val="auto"/>
        </w:rPr>
        <w:t>污水处理厂在接纳现有项目废水情况下稳定达标排放，</w:t>
      </w:r>
      <w:r>
        <w:rPr>
          <w:rFonts w:hint="eastAsia"/>
          <w:color w:val="auto"/>
        </w:rPr>
        <w:t>大浦河排污通道满足</w:t>
      </w:r>
      <w:r>
        <w:rPr>
          <w:rFonts w:hint="eastAsia"/>
          <w:color w:val="auto"/>
          <w:lang w:eastAsia="zh-CN"/>
        </w:rPr>
        <w:t>Ⅳ类</w:t>
      </w:r>
      <w:r>
        <w:rPr>
          <w:color w:val="auto"/>
        </w:rPr>
        <w:t>水体要求</w:t>
      </w:r>
      <w:r>
        <w:rPr>
          <w:rFonts w:hint="eastAsia"/>
          <w:color w:val="auto"/>
        </w:rPr>
        <w:t>，临洪河</w:t>
      </w:r>
      <w:r>
        <w:rPr>
          <w:color w:val="auto"/>
        </w:rPr>
        <w:t>水质满足</w:t>
      </w:r>
      <w:r>
        <w:rPr>
          <w:rFonts w:hint="eastAsia"/>
          <w:color w:val="auto"/>
          <w:lang w:eastAsia="zh-CN"/>
        </w:rPr>
        <w:t>Ⅲ</w:t>
      </w:r>
      <w:r>
        <w:rPr>
          <w:color w:val="auto"/>
        </w:rPr>
        <w:t>类水体要求，未出现超标情况。</w:t>
      </w:r>
      <w:r>
        <w:rPr>
          <w:rFonts w:hint="eastAsia"/>
          <w:color w:val="auto"/>
        </w:rPr>
        <w:t>本</w:t>
      </w:r>
      <w:r>
        <w:rPr>
          <w:color w:val="auto"/>
        </w:rPr>
        <w:t>项目废水接管至</w:t>
      </w:r>
      <w:r>
        <w:rPr>
          <w:rFonts w:hint="eastAsia"/>
          <w:color w:val="auto"/>
        </w:rPr>
        <w:t>开发区临港</w:t>
      </w:r>
      <w:r>
        <w:rPr>
          <w:color w:val="auto"/>
        </w:rPr>
        <w:t>污水处理厂进一步处理是可行的，不会对</w:t>
      </w:r>
      <w:r>
        <w:rPr>
          <w:rFonts w:hint="eastAsia"/>
          <w:color w:val="auto"/>
        </w:rPr>
        <w:t>开发区临港</w:t>
      </w:r>
      <w:r>
        <w:rPr>
          <w:color w:val="auto"/>
        </w:rPr>
        <w:t>污水处理厂运行造成影响，不会对</w:t>
      </w:r>
      <w:r>
        <w:rPr>
          <w:rFonts w:hint="eastAsia"/>
          <w:color w:val="auto"/>
        </w:rPr>
        <w:t>大浦河</w:t>
      </w:r>
      <w:r>
        <w:rPr>
          <w:color w:val="auto"/>
        </w:rPr>
        <w:t>水质造成影响。</w:t>
      </w:r>
    </w:p>
    <w:p w14:paraId="0A2D78C4">
      <w:pPr>
        <w:keepNext/>
        <w:keepLines/>
        <w:spacing w:before="120" w:beforeLines="50"/>
        <w:ind w:firstLine="0" w:firstLineChars="0"/>
        <w:outlineLvl w:val="3"/>
        <w:rPr>
          <w:color w:val="auto"/>
          <w:lang w:val="zh-CN"/>
        </w:rPr>
      </w:pPr>
      <w:r>
        <w:rPr>
          <w:rFonts w:hint="eastAsia"/>
          <w:b/>
          <w:bCs/>
          <w:color w:val="auto"/>
          <w:szCs w:val="28"/>
        </w:rPr>
        <w:t>6</w:t>
      </w:r>
      <w:r>
        <w:rPr>
          <w:b/>
          <w:bCs/>
          <w:color w:val="auto"/>
          <w:szCs w:val="28"/>
        </w:rPr>
        <w:t>.2.2.</w:t>
      </w:r>
      <w:r>
        <w:rPr>
          <w:rFonts w:hint="eastAsia"/>
          <w:b/>
          <w:bCs/>
          <w:color w:val="auto"/>
          <w:szCs w:val="28"/>
        </w:rPr>
        <w:t>4</w:t>
      </w:r>
      <w:r>
        <w:rPr>
          <w:b/>
          <w:bCs/>
          <w:color w:val="auto"/>
          <w:szCs w:val="28"/>
        </w:rPr>
        <w:t xml:space="preserve"> 地表水环境影响评价结论</w:t>
      </w:r>
    </w:p>
    <w:p w14:paraId="0D7EA37D">
      <w:pPr>
        <w:pStyle w:val="1841"/>
        <w:tabs>
          <w:tab w:val="left" w:pos="3960"/>
        </w:tabs>
        <w:spacing w:line="360" w:lineRule="auto"/>
        <w:ind w:firstLine="480"/>
        <w:rPr>
          <w:color w:val="auto"/>
          <w:lang w:val="zh-CN"/>
        </w:rPr>
      </w:pPr>
      <w:r>
        <w:rPr>
          <w:color w:val="auto"/>
          <w:lang w:val="zh-CN"/>
        </w:rPr>
        <w:t>本项目废水治理设施信息表见表</w:t>
      </w:r>
      <w:r>
        <w:rPr>
          <w:rFonts w:hint="eastAsia"/>
          <w:color w:val="auto"/>
        </w:rPr>
        <w:t>6.</w:t>
      </w:r>
      <w:r>
        <w:rPr>
          <w:color w:val="auto"/>
          <w:lang w:val="zh-CN"/>
        </w:rPr>
        <w:t>2</w:t>
      </w:r>
      <w:r>
        <w:rPr>
          <w:rFonts w:hint="eastAsia"/>
          <w:color w:val="auto"/>
        </w:rPr>
        <w:t>.2-2</w:t>
      </w:r>
      <w:r>
        <w:rPr>
          <w:color w:val="auto"/>
          <w:lang w:val="zh-CN"/>
        </w:rPr>
        <w:t>，废水间接排放口基本情况表见表</w:t>
      </w:r>
      <w:r>
        <w:rPr>
          <w:rFonts w:hint="eastAsia"/>
          <w:color w:val="auto"/>
        </w:rPr>
        <w:t>6.2.2-3</w:t>
      </w:r>
      <w:r>
        <w:rPr>
          <w:color w:val="auto"/>
          <w:lang w:val="zh-CN"/>
        </w:rPr>
        <w:t>，废水污染物排放核算见表</w:t>
      </w:r>
      <w:r>
        <w:rPr>
          <w:rFonts w:hint="eastAsia"/>
          <w:color w:val="auto"/>
        </w:rPr>
        <w:t>6.2.2-4</w:t>
      </w:r>
      <w:r>
        <w:rPr>
          <w:color w:val="auto"/>
          <w:lang w:val="zh-CN"/>
        </w:rPr>
        <w:t>。</w:t>
      </w:r>
    </w:p>
    <w:p w14:paraId="1A5ABDBA">
      <w:pPr>
        <w:pStyle w:val="1841"/>
        <w:tabs>
          <w:tab w:val="left" w:pos="3960"/>
        </w:tabs>
        <w:spacing w:before="0" w:line="360" w:lineRule="auto"/>
        <w:ind w:firstLine="0" w:firstLineChars="0"/>
        <w:jc w:val="center"/>
        <w:rPr>
          <w:b/>
          <w:color w:val="auto"/>
        </w:rPr>
        <w:sectPr>
          <w:pgSz w:w="11907" w:h="16840"/>
          <w:pgMar w:top="1361" w:right="1361" w:bottom="1361" w:left="1361" w:header="851" w:footer="992" w:gutter="0"/>
          <w:cols w:space="720" w:num="1"/>
          <w:docGrid w:linePitch="326" w:charSpace="0"/>
        </w:sectPr>
      </w:pPr>
    </w:p>
    <w:p w14:paraId="55B54FFD">
      <w:pPr>
        <w:pStyle w:val="1841"/>
        <w:tabs>
          <w:tab w:val="left" w:pos="3960"/>
        </w:tabs>
        <w:spacing w:before="0" w:line="240" w:lineRule="auto"/>
        <w:ind w:firstLine="0" w:firstLineChars="0"/>
        <w:jc w:val="center"/>
        <w:rPr>
          <w:b/>
          <w:color w:val="auto"/>
        </w:rPr>
      </w:pPr>
      <w:r>
        <w:rPr>
          <w:b/>
          <w:color w:val="auto"/>
        </w:rPr>
        <w:t>表</w:t>
      </w:r>
      <w:r>
        <w:rPr>
          <w:rFonts w:hint="eastAsia"/>
          <w:b/>
          <w:color w:val="auto"/>
        </w:rPr>
        <w:t>6.2.2-2</w:t>
      </w:r>
      <w:r>
        <w:rPr>
          <w:b/>
          <w:color w:val="auto"/>
        </w:rPr>
        <w:t xml:space="preserve">  废水类别、污染物及污染治理设施信息表</w:t>
      </w:r>
    </w:p>
    <w:tbl>
      <w:tblPr>
        <w:tblStyle w:val="88"/>
        <w:tblW w:w="490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712"/>
        <w:gridCol w:w="2066"/>
        <w:gridCol w:w="1258"/>
        <w:gridCol w:w="1002"/>
        <w:gridCol w:w="991"/>
        <w:gridCol w:w="1012"/>
        <w:gridCol w:w="2186"/>
        <w:gridCol w:w="1061"/>
        <w:gridCol w:w="1030"/>
        <w:gridCol w:w="1333"/>
      </w:tblGrid>
      <w:tr w14:paraId="4A875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7" w:type="pct"/>
            <w:vMerge w:val="restart"/>
            <w:tcBorders>
              <w:tl2br w:val="nil"/>
              <w:tr2bl w:val="nil"/>
            </w:tcBorders>
            <w:noWrap/>
            <w:vAlign w:val="center"/>
          </w:tcPr>
          <w:p w14:paraId="27CA6D89">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序号</w:t>
            </w:r>
          </w:p>
        </w:tc>
        <w:tc>
          <w:tcPr>
            <w:tcW w:w="608" w:type="pct"/>
            <w:vMerge w:val="restart"/>
            <w:tcBorders>
              <w:tl2br w:val="nil"/>
              <w:tr2bl w:val="nil"/>
            </w:tcBorders>
            <w:noWrap/>
            <w:vAlign w:val="center"/>
          </w:tcPr>
          <w:p w14:paraId="1BD8E555">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废水类别</w:t>
            </w:r>
          </w:p>
        </w:tc>
        <w:tc>
          <w:tcPr>
            <w:tcW w:w="733" w:type="pct"/>
            <w:vMerge w:val="restart"/>
            <w:tcBorders>
              <w:tl2br w:val="nil"/>
              <w:tr2bl w:val="nil"/>
            </w:tcBorders>
            <w:noWrap/>
            <w:vAlign w:val="center"/>
          </w:tcPr>
          <w:p w14:paraId="6AE2A912">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污染物种类</w:t>
            </w:r>
          </w:p>
        </w:tc>
        <w:tc>
          <w:tcPr>
            <w:tcW w:w="447" w:type="pct"/>
            <w:vMerge w:val="restart"/>
            <w:tcBorders>
              <w:tl2br w:val="nil"/>
              <w:tr2bl w:val="nil"/>
            </w:tcBorders>
            <w:noWrap/>
            <w:vAlign w:val="center"/>
          </w:tcPr>
          <w:p w14:paraId="147D046A">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排放去向</w:t>
            </w:r>
          </w:p>
        </w:tc>
        <w:tc>
          <w:tcPr>
            <w:tcW w:w="356" w:type="pct"/>
            <w:vMerge w:val="restart"/>
            <w:tcBorders>
              <w:tl2br w:val="nil"/>
              <w:tr2bl w:val="nil"/>
            </w:tcBorders>
            <w:noWrap/>
            <w:vAlign w:val="center"/>
          </w:tcPr>
          <w:p w14:paraId="1B1F0724">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排放规律</w:t>
            </w:r>
          </w:p>
        </w:tc>
        <w:tc>
          <w:tcPr>
            <w:tcW w:w="1488" w:type="pct"/>
            <w:gridSpan w:val="3"/>
            <w:tcBorders>
              <w:tl2br w:val="nil"/>
              <w:tr2bl w:val="nil"/>
            </w:tcBorders>
            <w:noWrap/>
            <w:vAlign w:val="center"/>
          </w:tcPr>
          <w:p w14:paraId="10619F23">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污染治理设施</w:t>
            </w:r>
          </w:p>
        </w:tc>
        <w:tc>
          <w:tcPr>
            <w:tcW w:w="377" w:type="pct"/>
            <w:vMerge w:val="restart"/>
            <w:tcBorders>
              <w:tl2br w:val="nil"/>
              <w:tr2bl w:val="nil"/>
            </w:tcBorders>
            <w:noWrap/>
            <w:vAlign w:val="center"/>
          </w:tcPr>
          <w:p w14:paraId="0C22B7E4">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排放口编号</w:t>
            </w:r>
          </w:p>
        </w:tc>
        <w:tc>
          <w:tcPr>
            <w:tcW w:w="366" w:type="pct"/>
            <w:vMerge w:val="restart"/>
            <w:tcBorders>
              <w:tl2br w:val="nil"/>
              <w:tr2bl w:val="nil"/>
            </w:tcBorders>
            <w:noWrap/>
            <w:vAlign w:val="center"/>
          </w:tcPr>
          <w:p w14:paraId="2AF565D2">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排放口设置是否符合要求</w:t>
            </w:r>
          </w:p>
        </w:tc>
        <w:tc>
          <w:tcPr>
            <w:tcW w:w="474" w:type="pct"/>
            <w:vMerge w:val="restart"/>
            <w:tcBorders>
              <w:tl2br w:val="nil"/>
              <w:tr2bl w:val="nil"/>
            </w:tcBorders>
            <w:noWrap/>
            <w:vAlign w:val="center"/>
          </w:tcPr>
          <w:p w14:paraId="234FE16A">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排放口类型</w:t>
            </w:r>
          </w:p>
        </w:tc>
      </w:tr>
      <w:tr w14:paraId="694E3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7" w:type="pct"/>
            <w:vMerge w:val="continue"/>
            <w:tcBorders>
              <w:tl2br w:val="nil"/>
              <w:tr2bl w:val="nil"/>
            </w:tcBorders>
            <w:noWrap/>
            <w:vAlign w:val="center"/>
          </w:tcPr>
          <w:p w14:paraId="44CF3BFC">
            <w:pPr>
              <w:widowControl/>
              <w:spacing w:line="240" w:lineRule="auto"/>
              <w:ind w:firstLine="0" w:firstLineChars="0"/>
              <w:jc w:val="center"/>
              <w:rPr>
                <w:color w:val="auto"/>
                <w:sz w:val="21"/>
                <w:szCs w:val="21"/>
              </w:rPr>
            </w:pPr>
          </w:p>
        </w:tc>
        <w:tc>
          <w:tcPr>
            <w:tcW w:w="608" w:type="pct"/>
            <w:vMerge w:val="continue"/>
            <w:tcBorders>
              <w:tl2br w:val="nil"/>
              <w:tr2bl w:val="nil"/>
            </w:tcBorders>
            <w:noWrap/>
            <w:vAlign w:val="center"/>
          </w:tcPr>
          <w:p w14:paraId="5D3D1800">
            <w:pPr>
              <w:widowControl/>
              <w:spacing w:line="240" w:lineRule="auto"/>
              <w:ind w:firstLine="0" w:firstLineChars="0"/>
              <w:jc w:val="center"/>
              <w:rPr>
                <w:color w:val="auto"/>
                <w:sz w:val="21"/>
                <w:szCs w:val="21"/>
              </w:rPr>
            </w:pPr>
          </w:p>
        </w:tc>
        <w:tc>
          <w:tcPr>
            <w:tcW w:w="733" w:type="pct"/>
            <w:vMerge w:val="continue"/>
            <w:tcBorders>
              <w:tl2br w:val="nil"/>
              <w:tr2bl w:val="nil"/>
            </w:tcBorders>
            <w:noWrap/>
            <w:vAlign w:val="center"/>
          </w:tcPr>
          <w:p w14:paraId="0BCE8F98">
            <w:pPr>
              <w:widowControl/>
              <w:spacing w:line="240" w:lineRule="auto"/>
              <w:ind w:firstLine="0" w:firstLineChars="0"/>
              <w:jc w:val="center"/>
              <w:rPr>
                <w:color w:val="auto"/>
                <w:sz w:val="21"/>
                <w:szCs w:val="21"/>
              </w:rPr>
            </w:pPr>
          </w:p>
        </w:tc>
        <w:tc>
          <w:tcPr>
            <w:tcW w:w="447" w:type="pct"/>
            <w:vMerge w:val="continue"/>
            <w:tcBorders>
              <w:tl2br w:val="nil"/>
              <w:tr2bl w:val="nil"/>
            </w:tcBorders>
            <w:noWrap/>
            <w:vAlign w:val="center"/>
          </w:tcPr>
          <w:p w14:paraId="0E677AA9">
            <w:pPr>
              <w:widowControl/>
              <w:spacing w:line="240" w:lineRule="auto"/>
              <w:ind w:firstLine="0" w:firstLineChars="0"/>
              <w:jc w:val="center"/>
              <w:rPr>
                <w:color w:val="auto"/>
                <w:sz w:val="21"/>
                <w:szCs w:val="21"/>
              </w:rPr>
            </w:pPr>
          </w:p>
        </w:tc>
        <w:tc>
          <w:tcPr>
            <w:tcW w:w="356" w:type="pct"/>
            <w:vMerge w:val="continue"/>
            <w:tcBorders>
              <w:tl2br w:val="nil"/>
              <w:tr2bl w:val="nil"/>
            </w:tcBorders>
            <w:noWrap/>
            <w:vAlign w:val="center"/>
          </w:tcPr>
          <w:p w14:paraId="32D960F7">
            <w:pPr>
              <w:widowControl/>
              <w:spacing w:line="240" w:lineRule="auto"/>
              <w:ind w:firstLine="0" w:firstLineChars="0"/>
              <w:jc w:val="center"/>
              <w:rPr>
                <w:color w:val="auto"/>
                <w:sz w:val="21"/>
                <w:szCs w:val="21"/>
              </w:rPr>
            </w:pPr>
          </w:p>
        </w:tc>
        <w:tc>
          <w:tcPr>
            <w:tcW w:w="352" w:type="pct"/>
            <w:tcBorders>
              <w:tl2br w:val="nil"/>
              <w:tr2bl w:val="nil"/>
            </w:tcBorders>
            <w:noWrap/>
            <w:vAlign w:val="center"/>
          </w:tcPr>
          <w:p w14:paraId="5869A6B7">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污染治理设施编号</w:t>
            </w:r>
          </w:p>
        </w:tc>
        <w:tc>
          <w:tcPr>
            <w:tcW w:w="360" w:type="pct"/>
            <w:tcBorders>
              <w:tl2br w:val="nil"/>
              <w:tr2bl w:val="nil"/>
            </w:tcBorders>
            <w:noWrap/>
            <w:vAlign w:val="center"/>
          </w:tcPr>
          <w:p w14:paraId="682DA327">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污染治理设施名称</w:t>
            </w:r>
          </w:p>
        </w:tc>
        <w:tc>
          <w:tcPr>
            <w:tcW w:w="774" w:type="pct"/>
            <w:tcBorders>
              <w:tl2br w:val="nil"/>
              <w:tr2bl w:val="nil"/>
            </w:tcBorders>
            <w:noWrap/>
            <w:vAlign w:val="center"/>
          </w:tcPr>
          <w:p w14:paraId="39D905DB">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污染治理设施工艺</w:t>
            </w:r>
          </w:p>
        </w:tc>
        <w:tc>
          <w:tcPr>
            <w:tcW w:w="377" w:type="pct"/>
            <w:vMerge w:val="continue"/>
            <w:tcBorders>
              <w:tl2br w:val="nil"/>
              <w:tr2bl w:val="nil"/>
            </w:tcBorders>
            <w:noWrap/>
            <w:vAlign w:val="center"/>
          </w:tcPr>
          <w:p w14:paraId="55C2719B">
            <w:pPr>
              <w:widowControl/>
              <w:spacing w:line="240" w:lineRule="auto"/>
              <w:ind w:firstLine="0" w:firstLineChars="0"/>
              <w:jc w:val="center"/>
              <w:rPr>
                <w:color w:val="auto"/>
                <w:sz w:val="21"/>
                <w:szCs w:val="21"/>
              </w:rPr>
            </w:pPr>
          </w:p>
        </w:tc>
        <w:tc>
          <w:tcPr>
            <w:tcW w:w="366" w:type="pct"/>
            <w:vMerge w:val="continue"/>
            <w:tcBorders>
              <w:tl2br w:val="nil"/>
              <w:tr2bl w:val="nil"/>
            </w:tcBorders>
            <w:noWrap/>
            <w:vAlign w:val="center"/>
          </w:tcPr>
          <w:p w14:paraId="1F8D395A">
            <w:pPr>
              <w:widowControl/>
              <w:spacing w:line="240" w:lineRule="auto"/>
              <w:ind w:firstLine="0" w:firstLineChars="0"/>
              <w:jc w:val="center"/>
              <w:rPr>
                <w:color w:val="auto"/>
                <w:sz w:val="21"/>
                <w:szCs w:val="21"/>
              </w:rPr>
            </w:pPr>
          </w:p>
        </w:tc>
        <w:tc>
          <w:tcPr>
            <w:tcW w:w="474" w:type="pct"/>
            <w:vMerge w:val="continue"/>
            <w:tcBorders>
              <w:tl2br w:val="nil"/>
              <w:tr2bl w:val="nil"/>
            </w:tcBorders>
            <w:noWrap/>
            <w:vAlign w:val="center"/>
          </w:tcPr>
          <w:p w14:paraId="07DDF6B5">
            <w:pPr>
              <w:widowControl/>
              <w:spacing w:line="240" w:lineRule="auto"/>
              <w:ind w:firstLine="0" w:firstLineChars="0"/>
              <w:jc w:val="center"/>
              <w:rPr>
                <w:color w:val="auto"/>
                <w:sz w:val="21"/>
                <w:szCs w:val="21"/>
              </w:rPr>
            </w:pPr>
          </w:p>
        </w:tc>
      </w:tr>
      <w:tr w14:paraId="6392B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 w:type="pct"/>
            <w:vMerge w:val="restart"/>
            <w:tcBorders>
              <w:tl2br w:val="nil"/>
              <w:tr2bl w:val="nil"/>
            </w:tcBorders>
            <w:noWrap/>
            <w:vAlign w:val="center"/>
          </w:tcPr>
          <w:p w14:paraId="796FC2D5">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1</w:t>
            </w:r>
          </w:p>
        </w:tc>
        <w:tc>
          <w:tcPr>
            <w:tcW w:w="608" w:type="pct"/>
            <w:tcBorders>
              <w:tl2br w:val="nil"/>
              <w:tr2bl w:val="nil"/>
            </w:tcBorders>
            <w:noWrap/>
            <w:vAlign w:val="center"/>
          </w:tcPr>
          <w:p w14:paraId="4F9264E8">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酸碱废水、模具处理工艺废水、</w:t>
            </w:r>
            <w:r>
              <w:rPr>
                <w:rFonts w:hint="eastAsia"/>
                <w:color w:val="auto"/>
                <w:szCs w:val="21"/>
              </w:rPr>
              <w:t>酸碱</w:t>
            </w:r>
            <w:r>
              <w:rPr>
                <w:rFonts w:ascii="Times New Roman" w:hAnsi="Times New Roman"/>
                <w:color w:val="auto"/>
                <w:szCs w:val="21"/>
              </w:rPr>
              <w:t>废气处理废水、</w:t>
            </w:r>
            <w:r>
              <w:rPr>
                <w:rFonts w:hint="eastAsia"/>
                <w:color w:val="auto"/>
                <w:szCs w:val="21"/>
              </w:rPr>
              <w:t>氧化工段</w:t>
            </w:r>
            <w:r>
              <w:rPr>
                <w:rFonts w:ascii="Times New Roman" w:hAnsi="Times New Roman"/>
                <w:color w:val="auto"/>
                <w:szCs w:val="21"/>
              </w:rPr>
              <w:t>地面冲洗废水</w:t>
            </w:r>
            <w:r>
              <w:rPr>
                <w:rFonts w:hint="eastAsia" w:ascii="Times New Roman" w:hAnsi="Times New Roman"/>
                <w:color w:val="auto"/>
                <w:szCs w:val="21"/>
              </w:rPr>
              <w:t>、纯水制备装置反冲洗废水、纯水制备装置再生废水、循环冷却排水和初期雨水</w:t>
            </w:r>
          </w:p>
        </w:tc>
        <w:tc>
          <w:tcPr>
            <w:tcW w:w="733" w:type="pct"/>
            <w:tcBorders>
              <w:tl2br w:val="nil"/>
              <w:tr2bl w:val="nil"/>
            </w:tcBorders>
            <w:noWrap/>
            <w:vAlign w:val="center"/>
          </w:tcPr>
          <w:p w14:paraId="3E35F81D">
            <w:pPr>
              <w:widowControl/>
              <w:spacing w:line="240" w:lineRule="auto"/>
              <w:ind w:firstLine="0" w:firstLineChars="0"/>
              <w:jc w:val="center"/>
              <w:rPr>
                <w:color w:val="auto"/>
                <w:sz w:val="21"/>
                <w:szCs w:val="21"/>
              </w:rPr>
            </w:pPr>
            <w:r>
              <w:rPr>
                <w:color w:val="auto"/>
                <w:kern w:val="0"/>
                <w:sz w:val="21"/>
                <w:szCs w:val="21"/>
                <w:lang w:bidi="ar"/>
              </w:rPr>
              <w:t>COD、SS、氨氮、</w:t>
            </w:r>
            <w:r>
              <w:rPr>
                <w:rFonts w:hint="eastAsia"/>
                <w:color w:val="auto"/>
                <w:kern w:val="0"/>
                <w:sz w:val="21"/>
                <w:szCs w:val="21"/>
                <w:lang w:bidi="ar"/>
              </w:rPr>
              <w:t>总氮</w:t>
            </w:r>
            <w:r>
              <w:rPr>
                <w:color w:val="auto"/>
                <w:kern w:val="0"/>
                <w:sz w:val="21"/>
                <w:szCs w:val="21"/>
                <w:lang w:bidi="ar"/>
              </w:rPr>
              <w:t>、</w:t>
            </w:r>
            <w:r>
              <w:rPr>
                <w:rFonts w:hint="eastAsia"/>
                <w:color w:val="auto"/>
                <w:kern w:val="0"/>
                <w:sz w:val="21"/>
                <w:szCs w:val="21"/>
                <w:lang w:bidi="ar"/>
              </w:rPr>
              <w:t>总磷</w:t>
            </w:r>
            <w:r>
              <w:rPr>
                <w:color w:val="auto"/>
                <w:kern w:val="0"/>
                <w:sz w:val="21"/>
                <w:szCs w:val="21"/>
                <w:lang w:bidi="ar"/>
              </w:rPr>
              <w:t>、</w:t>
            </w:r>
            <w:r>
              <w:rPr>
                <w:rFonts w:hint="eastAsia"/>
                <w:color w:val="auto"/>
                <w:kern w:val="0"/>
                <w:sz w:val="21"/>
                <w:szCs w:val="21"/>
                <w:lang w:bidi="ar"/>
              </w:rPr>
              <w:t>总铝、</w:t>
            </w:r>
            <w:r>
              <w:rPr>
                <w:color w:val="auto"/>
                <w:kern w:val="0"/>
                <w:sz w:val="21"/>
                <w:szCs w:val="21"/>
                <w:lang w:bidi="ar"/>
              </w:rPr>
              <w:t>石油类、</w:t>
            </w:r>
            <w:r>
              <w:rPr>
                <w:rFonts w:hint="eastAsia"/>
                <w:color w:val="auto"/>
                <w:kern w:val="0"/>
                <w:sz w:val="21"/>
                <w:szCs w:val="21"/>
                <w:lang w:bidi="ar"/>
              </w:rPr>
              <w:t>总锡、盐分和LAS</w:t>
            </w:r>
          </w:p>
        </w:tc>
        <w:tc>
          <w:tcPr>
            <w:tcW w:w="447" w:type="pct"/>
            <w:vMerge w:val="restart"/>
            <w:tcBorders>
              <w:tl2br w:val="nil"/>
              <w:tr2bl w:val="nil"/>
            </w:tcBorders>
            <w:noWrap/>
            <w:vAlign w:val="center"/>
          </w:tcPr>
          <w:p w14:paraId="377C5697">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排至厂内综合污水处理站</w:t>
            </w:r>
          </w:p>
        </w:tc>
        <w:tc>
          <w:tcPr>
            <w:tcW w:w="356" w:type="pct"/>
            <w:vMerge w:val="restart"/>
            <w:tcBorders>
              <w:tl2br w:val="nil"/>
              <w:tr2bl w:val="nil"/>
            </w:tcBorders>
            <w:noWrap/>
            <w:vAlign w:val="center"/>
          </w:tcPr>
          <w:p w14:paraId="3812A178">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间断排放，排放期间流量不稳定，但有周期性规律</w:t>
            </w:r>
          </w:p>
        </w:tc>
        <w:tc>
          <w:tcPr>
            <w:tcW w:w="352" w:type="pct"/>
            <w:tcBorders>
              <w:tl2br w:val="nil"/>
              <w:tr2bl w:val="nil"/>
            </w:tcBorders>
            <w:noWrap/>
            <w:vAlign w:val="center"/>
          </w:tcPr>
          <w:p w14:paraId="3DC93E6D">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TW001</w:t>
            </w:r>
          </w:p>
        </w:tc>
        <w:tc>
          <w:tcPr>
            <w:tcW w:w="360" w:type="pct"/>
            <w:tcBorders>
              <w:tl2br w:val="nil"/>
              <w:tr2bl w:val="nil"/>
            </w:tcBorders>
            <w:noWrap/>
            <w:vAlign w:val="center"/>
          </w:tcPr>
          <w:p w14:paraId="6C6CC086">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综合废水处理系统</w:t>
            </w:r>
          </w:p>
        </w:tc>
        <w:tc>
          <w:tcPr>
            <w:tcW w:w="774" w:type="pct"/>
            <w:tcBorders>
              <w:tl2br w:val="nil"/>
              <w:tr2bl w:val="nil"/>
            </w:tcBorders>
            <w:noWrap/>
            <w:vAlign w:val="center"/>
          </w:tcPr>
          <w:p w14:paraId="2322C839">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w:t>
            </w:r>
            <w:r>
              <w:rPr>
                <w:rFonts w:ascii="Times New Roman" w:hAnsi="Times New Roman"/>
                <w:color w:val="auto"/>
                <w:kern w:val="2"/>
                <w:szCs w:val="21"/>
              </w:rPr>
              <w:t>调节池+混凝反应+沉淀</w:t>
            </w:r>
            <w:r>
              <w:rPr>
                <w:rFonts w:hint="eastAsia" w:ascii="Times New Roman" w:hAnsi="Times New Roman"/>
                <w:color w:val="auto"/>
                <w:kern w:val="2"/>
                <w:szCs w:val="21"/>
              </w:rPr>
              <w:t>”</w:t>
            </w:r>
            <w:r>
              <w:rPr>
                <w:rFonts w:ascii="Times New Roman" w:hAnsi="Times New Roman"/>
                <w:color w:val="auto"/>
                <w:kern w:val="2"/>
                <w:szCs w:val="21"/>
              </w:rPr>
              <w:t>工艺预处理</w:t>
            </w:r>
          </w:p>
        </w:tc>
        <w:tc>
          <w:tcPr>
            <w:tcW w:w="377" w:type="pct"/>
            <w:vMerge w:val="restart"/>
            <w:tcBorders>
              <w:tl2br w:val="nil"/>
              <w:tr2bl w:val="nil"/>
            </w:tcBorders>
            <w:noWrap/>
            <w:vAlign w:val="center"/>
          </w:tcPr>
          <w:p w14:paraId="0867E9C8">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DW001</w:t>
            </w:r>
          </w:p>
        </w:tc>
        <w:tc>
          <w:tcPr>
            <w:tcW w:w="366" w:type="pct"/>
            <w:vMerge w:val="restart"/>
            <w:tcBorders>
              <w:tl2br w:val="nil"/>
              <w:tr2bl w:val="nil"/>
            </w:tcBorders>
            <w:noWrap/>
            <w:vAlign w:val="center"/>
          </w:tcPr>
          <w:p w14:paraId="1580648B">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√是</w:t>
            </w:r>
          </w:p>
          <w:p w14:paraId="799DD586">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□否</w:t>
            </w:r>
          </w:p>
        </w:tc>
        <w:tc>
          <w:tcPr>
            <w:tcW w:w="474" w:type="pct"/>
            <w:vMerge w:val="restart"/>
            <w:tcBorders>
              <w:tl2br w:val="nil"/>
              <w:tr2bl w:val="nil"/>
            </w:tcBorders>
            <w:noWrap/>
            <w:vAlign w:val="center"/>
          </w:tcPr>
          <w:p w14:paraId="37157C40">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√企业总排</w:t>
            </w:r>
          </w:p>
          <w:p w14:paraId="4E4C85C8">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□雨水排放</w:t>
            </w:r>
          </w:p>
          <w:p w14:paraId="68B51E06">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□清净下水排放</w:t>
            </w:r>
          </w:p>
          <w:p w14:paraId="074DBA41">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□温排水排放</w:t>
            </w:r>
          </w:p>
          <w:p w14:paraId="4BEEFC92">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□车间或车间处理设施排放口</w:t>
            </w:r>
          </w:p>
          <w:p w14:paraId="2A5C4648">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□企业总排</w:t>
            </w:r>
          </w:p>
          <w:p w14:paraId="3100F872">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√雨水排放</w:t>
            </w:r>
          </w:p>
          <w:p w14:paraId="0D480169">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□清净下水排放</w:t>
            </w:r>
          </w:p>
          <w:p w14:paraId="1E6AE460">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□温排水排放</w:t>
            </w:r>
          </w:p>
          <w:p w14:paraId="05C7F871">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□车间或车间处理设施排放口</w:t>
            </w:r>
          </w:p>
        </w:tc>
      </w:tr>
      <w:tr w14:paraId="29A57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 w:type="pct"/>
            <w:vMerge w:val="continue"/>
            <w:tcBorders>
              <w:tl2br w:val="nil"/>
              <w:tr2bl w:val="nil"/>
            </w:tcBorders>
            <w:noWrap/>
            <w:vAlign w:val="center"/>
          </w:tcPr>
          <w:p w14:paraId="0EABC2FC">
            <w:pPr>
              <w:pStyle w:val="80"/>
              <w:spacing w:before="0" w:beforeAutospacing="0" w:after="0" w:afterAutospacing="0"/>
              <w:ind w:firstLine="0" w:firstLineChars="0"/>
              <w:jc w:val="center"/>
              <w:rPr>
                <w:rFonts w:ascii="Times New Roman" w:hAnsi="Times New Roman"/>
                <w:color w:val="auto"/>
                <w:kern w:val="2"/>
                <w:szCs w:val="21"/>
              </w:rPr>
            </w:pPr>
          </w:p>
        </w:tc>
        <w:tc>
          <w:tcPr>
            <w:tcW w:w="608" w:type="pct"/>
            <w:tcBorders>
              <w:tl2br w:val="nil"/>
              <w:tr2bl w:val="nil"/>
            </w:tcBorders>
            <w:noWrap/>
            <w:vAlign w:val="center"/>
          </w:tcPr>
          <w:p w14:paraId="6E64057A">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封孔废水</w:t>
            </w:r>
          </w:p>
        </w:tc>
        <w:tc>
          <w:tcPr>
            <w:tcW w:w="733" w:type="pct"/>
            <w:tcBorders>
              <w:tl2br w:val="nil"/>
              <w:tr2bl w:val="nil"/>
            </w:tcBorders>
            <w:noWrap/>
            <w:vAlign w:val="center"/>
          </w:tcPr>
          <w:p w14:paraId="0E33018D">
            <w:pPr>
              <w:widowControl/>
              <w:spacing w:line="240" w:lineRule="auto"/>
              <w:ind w:firstLine="0" w:firstLineChars="0"/>
              <w:jc w:val="center"/>
              <w:rPr>
                <w:color w:val="auto"/>
                <w:kern w:val="0"/>
                <w:sz w:val="21"/>
                <w:szCs w:val="21"/>
                <w:lang w:bidi="ar"/>
              </w:rPr>
            </w:pPr>
            <w:r>
              <w:rPr>
                <w:color w:val="auto"/>
                <w:kern w:val="0"/>
                <w:sz w:val="21"/>
                <w:szCs w:val="21"/>
                <w:lang w:bidi="ar"/>
              </w:rPr>
              <w:t>COD、SS、氨氮、</w:t>
            </w:r>
            <w:r>
              <w:rPr>
                <w:rFonts w:hint="eastAsia"/>
                <w:color w:val="auto"/>
                <w:kern w:val="0"/>
                <w:sz w:val="21"/>
                <w:szCs w:val="21"/>
                <w:lang w:bidi="ar"/>
              </w:rPr>
              <w:t>总氮</w:t>
            </w:r>
            <w:r>
              <w:rPr>
                <w:color w:val="auto"/>
                <w:kern w:val="0"/>
                <w:sz w:val="21"/>
                <w:szCs w:val="21"/>
                <w:lang w:bidi="ar"/>
              </w:rPr>
              <w:t>、</w:t>
            </w:r>
            <w:r>
              <w:rPr>
                <w:rFonts w:hint="eastAsia"/>
                <w:color w:val="auto"/>
                <w:kern w:val="0"/>
                <w:sz w:val="21"/>
                <w:szCs w:val="21"/>
                <w:lang w:bidi="ar"/>
              </w:rPr>
              <w:t>总磷</w:t>
            </w:r>
            <w:r>
              <w:rPr>
                <w:color w:val="auto"/>
                <w:kern w:val="0"/>
                <w:sz w:val="21"/>
                <w:szCs w:val="21"/>
                <w:lang w:bidi="ar"/>
              </w:rPr>
              <w:t>、</w:t>
            </w:r>
            <w:r>
              <w:rPr>
                <w:rFonts w:hint="eastAsia"/>
                <w:color w:val="auto"/>
                <w:kern w:val="0"/>
                <w:sz w:val="21"/>
                <w:szCs w:val="21"/>
                <w:lang w:bidi="ar"/>
              </w:rPr>
              <w:t>总铝、</w:t>
            </w:r>
            <w:r>
              <w:rPr>
                <w:color w:val="auto"/>
                <w:kern w:val="0"/>
                <w:sz w:val="21"/>
                <w:szCs w:val="21"/>
                <w:lang w:bidi="ar"/>
              </w:rPr>
              <w:t>石油类</w:t>
            </w:r>
          </w:p>
        </w:tc>
        <w:tc>
          <w:tcPr>
            <w:tcW w:w="447" w:type="pct"/>
            <w:vMerge w:val="continue"/>
            <w:tcBorders>
              <w:tl2br w:val="nil"/>
              <w:tr2bl w:val="nil"/>
            </w:tcBorders>
            <w:noWrap/>
            <w:vAlign w:val="center"/>
          </w:tcPr>
          <w:p w14:paraId="55CF24CF">
            <w:pPr>
              <w:pStyle w:val="80"/>
              <w:spacing w:before="0" w:beforeAutospacing="0" w:after="0" w:afterAutospacing="0"/>
              <w:ind w:firstLine="0" w:firstLineChars="0"/>
              <w:jc w:val="center"/>
              <w:rPr>
                <w:rFonts w:ascii="Times New Roman" w:hAnsi="Times New Roman"/>
                <w:color w:val="auto"/>
                <w:kern w:val="2"/>
                <w:szCs w:val="21"/>
              </w:rPr>
            </w:pPr>
          </w:p>
        </w:tc>
        <w:tc>
          <w:tcPr>
            <w:tcW w:w="356" w:type="pct"/>
            <w:vMerge w:val="continue"/>
            <w:tcBorders>
              <w:tl2br w:val="nil"/>
              <w:tr2bl w:val="nil"/>
            </w:tcBorders>
            <w:noWrap/>
            <w:vAlign w:val="center"/>
          </w:tcPr>
          <w:p w14:paraId="06C407F2">
            <w:pPr>
              <w:pStyle w:val="80"/>
              <w:spacing w:before="0" w:beforeAutospacing="0" w:after="0" w:afterAutospacing="0"/>
              <w:ind w:firstLine="0" w:firstLineChars="0"/>
              <w:jc w:val="center"/>
              <w:rPr>
                <w:rFonts w:ascii="Times New Roman" w:hAnsi="Times New Roman"/>
                <w:color w:val="auto"/>
                <w:kern w:val="2"/>
                <w:szCs w:val="21"/>
              </w:rPr>
            </w:pPr>
          </w:p>
        </w:tc>
        <w:tc>
          <w:tcPr>
            <w:tcW w:w="352" w:type="pct"/>
            <w:tcBorders>
              <w:tl2br w:val="nil"/>
              <w:tr2bl w:val="nil"/>
            </w:tcBorders>
            <w:noWrap/>
            <w:vAlign w:val="center"/>
          </w:tcPr>
          <w:p w14:paraId="29719439">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TW002</w:t>
            </w:r>
          </w:p>
        </w:tc>
        <w:tc>
          <w:tcPr>
            <w:tcW w:w="360" w:type="pct"/>
            <w:tcBorders>
              <w:tl2br w:val="nil"/>
              <w:tr2bl w:val="nil"/>
            </w:tcBorders>
            <w:noWrap/>
            <w:vAlign w:val="center"/>
          </w:tcPr>
          <w:p w14:paraId="05502939">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封孔废水处理系统</w:t>
            </w:r>
          </w:p>
        </w:tc>
        <w:tc>
          <w:tcPr>
            <w:tcW w:w="774" w:type="pct"/>
            <w:tcBorders>
              <w:tl2br w:val="nil"/>
              <w:tr2bl w:val="nil"/>
            </w:tcBorders>
            <w:noWrap/>
            <w:vAlign w:val="center"/>
          </w:tcPr>
          <w:p w14:paraId="6F4A335D">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bCs/>
                <w:color w:val="auto"/>
                <w:szCs w:val="21"/>
              </w:rPr>
              <w:t>“调节+混凝反应+沉淀”</w:t>
            </w:r>
            <w:r>
              <w:rPr>
                <w:rFonts w:ascii="Times New Roman" w:hAnsi="Times New Roman"/>
                <w:color w:val="auto"/>
                <w:kern w:val="2"/>
                <w:szCs w:val="21"/>
              </w:rPr>
              <w:t>工艺</w:t>
            </w:r>
          </w:p>
        </w:tc>
        <w:tc>
          <w:tcPr>
            <w:tcW w:w="377" w:type="pct"/>
            <w:vMerge w:val="continue"/>
            <w:tcBorders>
              <w:tl2br w:val="nil"/>
              <w:tr2bl w:val="nil"/>
            </w:tcBorders>
            <w:shd w:val="clear" w:color="auto" w:fill="auto"/>
            <w:noWrap/>
            <w:vAlign w:val="center"/>
          </w:tcPr>
          <w:p w14:paraId="0CA177D1">
            <w:pPr>
              <w:pStyle w:val="80"/>
              <w:spacing w:before="0" w:beforeAutospacing="0" w:after="0" w:afterAutospacing="0"/>
              <w:ind w:firstLine="0" w:firstLineChars="0"/>
              <w:jc w:val="center"/>
              <w:rPr>
                <w:rFonts w:ascii="Times New Roman" w:hAnsi="Times New Roman"/>
                <w:color w:val="auto"/>
                <w:kern w:val="2"/>
                <w:szCs w:val="21"/>
              </w:rPr>
            </w:pPr>
          </w:p>
        </w:tc>
        <w:tc>
          <w:tcPr>
            <w:tcW w:w="366" w:type="pct"/>
            <w:vMerge w:val="continue"/>
            <w:tcBorders>
              <w:tl2br w:val="nil"/>
              <w:tr2bl w:val="nil"/>
            </w:tcBorders>
            <w:shd w:val="clear" w:color="auto" w:fill="auto"/>
            <w:noWrap/>
            <w:vAlign w:val="center"/>
          </w:tcPr>
          <w:p w14:paraId="297E3850">
            <w:pPr>
              <w:pStyle w:val="80"/>
              <w:spacing w:before="0" w:beforeAutospacing="0" w:after="0" w:afterAutospacing="0"/>
              <w:ind w:firstLine="0" w:firstLineChars="0"/>
              <w:jc w:val="center"/>
              <w:rPr>
                <w:rFonts w:ascii="Times New Roman" w:hAnsi="Times New Roman"/>
                <w:color w:val="auto"/>
                <w:kern w:val="2"/>
                <w:szCs w:val="21"/>
              </w:rPr>
            </w:pPr>
          </w:p>
        </w:tc>
        <w:tc>
          <w:tcPr>
            <w:tcW w:w="474" w:type="pct"/>
            <w:vMerge w:val="continue"/>
            <w:tcBorders>
              <w:tl2br w:val="nil"/>
              <w:tr2bl w:val="nil"/>
            </w:tcBorders>
            <w:noWrap/>
            <w:vAlign w:val="center"/>
          </w:tcPr>
          <w:p w14:paraId="6A430F0E">
            <w:pPr>
              <w:pStyle w:val="80"/>
              <w:spacing w:before="0" w:beforeAutospacing="0" w:after="0" w:afterAutospacing="0"/>
              <w:ind w:firstLine="0" w:firstLineChars="0"/>
              <w:jc w:val="both"/>
              <w:rPr>
                <w:rFonts w:ascii="Times New Roman" w:hAnsi="Times New Roman"/>
                <w:color w:val="auto"/>
                <w:kern w:val="2"/>
                <w:szCs w:val="21"/>
              </w:rPr>
            </w:pPr>
          </w:p>
        </w:tc>
      </w:tr>
      <w:tr w14:paraId="2DB8C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7" w:type="pct"/>
            <w:vMerge w:val="continue"/>
            <w:tcBorders>
              <w:tl2br w:val="nil"/>
              <w:tr2bl w:val="nil"/>
            </w:tcBorders>
            <w:noWrap/>
            <w:vAlign w:val="center"/>
          </w:tcPr>
          <w:p w14:paraId="4CA81FB6">
            <w:pPr>
              <w:widowControl/>
              <w:spacing w:line="240" w:lineRule="auto"/>
              <w:ind w:firstLine="0" w:firstLineChars="0"/>
              <w:jc w:val="center"/>
              <w:rPr>
                <w:color w:val="auto"/>
                <w:sz w:val="21"/>
                <w:szCs w:val="21"/>
              </w:rPr>
            </w:pPr>
          </w:p>
        </w:tc>
        <w:tc>
          <w:tcPr>
            <w:tcW w:w="608" w:type="pct"/>
            <w:tcBorders>
              <w:tl2br w:val="nil"/>
              <w:tr2bl w:val="nil"/>
            </w:tcBorders>
            <w:noWrap/>
            <w:vAlign w:val="center"/>
          </w:tcPr>
          <w:p w14:paraId="68D577EF">
            <w:pPr>
              <w:widowControl/>
              <w:spacing w:line="240" w:lineRule="auto"/>
              <w:ind w:firstLine="0" w:firstLineChars="0"/>
              <w:jc w:val="center"/>
              <w:rPr>
                <w:color w:val="auto"/>
                <w:sz w:val="21"/>
                <w:szCs w:val="21"/>
              </w:rPr>
            </w:pPr>
            <w:r>
              <w:rPr>
                <w:color w:val="auto"/>
                <w:sz w:val="21"/>
                <w:szCs w:val="21"/>
              </w:rPr>
              <w:t>生活污水、食堂废水</w:t>
            </w:r>
          </w:p>
        </w:tc>
        <w:tc>
          <w:tcPr>
            <w:tcW w:w="733" w:type="pct"/>
            <w:tcBorders>
              <w:tl2br w:val="nil"/>
              <w:tr2bl w:val="nil"/>
            </w:tcBorders>
            <w:noWrap/>
            <w:vAlign w:val="center"/>
          </w:tcPr>
          <w:p w14:paraId="6066FE76">
            <w:pPr>
              <w:widowControl/>
              <w:spacing w:line="240" w:lineRule="auto"/>
              <w:ind w:firstLine="0" w:firstLineChars="0"/>
              <w:jc w:val="center"/>
              <w:rPr>
                <w:color w:val="auto"/>
                <w:sz w:val="21"/>
                <w:szCs w:val="21"/>
              </w:rPr>
            </w:pPr>
            <w:r>
              <w:rPr>
                <w:color w:val="auto"/>
                <w:kern w:val="0"/>
                <w:sz w:val="21"/>
                <w:szCs w:val="21"/>
                <w:lang w:bidi="ar"/>
              </w:rPr>
              <w:t>COD、SS、氨氮、TP、TN、动植物油</w:t>
            </w:r>
          </w:p>
        </w:tc>
        <w:tc>
          <w:tcPr>
            <w:tcW w:w="447" w:type="pct"/>
            <w:tcBorders>
              <w:tl2br w:val="nil"/>
              <w:tr2bl w:val="nil"/>
            </w:tcBorders>
            <w:noWrap/>
            <w:vAlign w:val="center"/>
          </w:tcPr>
          <w:p w14:paraId="6A3CF19F">
            <w:pPr>
              <w:widowControl/>
              <w:spacing w:line="240" w:lineRule="auto"/>
              <w:ind w:firstLine="0" w:firstLineChars="0"/>
              <w:jc w:val="center"/>
              <w:rPr>
                <w:color w:val="auto"/>
                <w:sz w:val="21"/>
                <w:szCs w:val="21"/>
              </w:rPr>
            </w:pPr>
            <w:r>
              <w:rPr>
                <w:color w:val="auto"/>
                <w:sz w:val="21"/>
                <w:szCs w:val="21"/>
              </w:rPr>
              <w:t>进入城市污水处理厂</w:t>
            </w:r>
          </w:p>
        </w:tc>
        <w:tc>
          <w:tcPr>
            <w:tcW w:w="356" w:type="pct"/>
            <w:vMerge w:val="continue"/>
            <w:tcBorders>
              <w:tl2br w:val="nil"/>
              <w:tr2bl w:val="nil"/>
            </w:tcBorders>
            <w:noWrap/>
            <w:vAlign w:val="center"/>
          </w:tcPr>
          <w:p w14:paraId="3F0E4B29">
            <w:pPr>
              <w:widowControl/>
              <w:spacing w:line="240" w:lineRule="auto"/>
              <w:ind w:firstLine="0" w:firstLineChars="0"/>
              <w:jc w:val="center"/>
              <w:rPr>
                <w:color w:val="auto"/>
                <w:sz w:val="21"/>
                <w:szCs w:val="21"/>
              </w:rPr>
            </w:pPr>
          </w:p>
        </w:tc>
        <w:tc>
          <w:tcPr>
            <w:tcW w:w="352" w:type="pct"/>
            <w:tcBorders>
              <w:tl2br w:val="nil"/>
              <w:tr2bl w:val="nil"/>
            </w:tcBorders>
            <w:noWrap/>
            <w:vAlign w:val="center"/>
          </w:tcPr>
          <w:p w14:paraId="22663B0A">
            <w:pPr>
              <w:widowControl/>
              <w:spacing w:line="240" w:lineRule="auto"/>
              <w:ind w:firstLine="0" w:firstLineChars="0"/>
              <w:jc w:val="center"/>
              <w:rPr>
                <w:color w:val="auto"/>
                <w:sz w:val="21"/>
                <w:szCs w:val="21"/>
              </w:rPr>
            </w:pPr>
            <w:r>
              <w:rPr>
                <w:color w:val="auto"/>
                <w:sz w:val="21"/>
                <w:szCs w:val="21"/>
              </w:rPr>
              <w:t>/</w:t>
            </w:r>
          </w:p>
        </w:tc>
        <w:tc>
          <w:tcPr>
            <w:tcW w:w="360" w:type="pct"/>
            <w:tcBorders>
              <w:tl2br w:val="nil"/>
              <w:tr2bl w:val="nil"/>
            </w:tcBorders>
            <w:noWrap/>
            <w:vAlign w:val="center"/>
          </w:tcPr>
          <w:p w14:paraId="46F3ABA0">
            <w:pPr>
              <w:widowControl/>
              <w:spacing w:line="240" w:lineRule="auto"/>
              <w:ind w:firstLine="0" w:firstLineChars="0"/>
              <w:jc w:val="center"/>
              <w:rPr>
                <w:color w:val="auto"/>
                <w:sz w:val="21"/>
                <w:szCs w:val="21"/>
              </w:rPr>
            </w:pPr>
            <w:r>
              <w:rPr>
                <w:rFonts w:hint="eastAsia"/>
                <w:color w:val="auto"/>
                <w:sz w:val="21"/>
                <w:szCs w:val="21"/>
              </w:rPr>
              <w:t>化粪池+隔油池</w:t>
            </w:r>
          </w:p>
        </w:tc>
        <w:tc>
          <w:tcPr>
            <w:tcW w:w="774" w:type="pct"/>
            <w:tcBorders>
              <w:tl2br w:val="nil"/>
              <w:tr2bl w:val="nil"/>
            </w:tcBorders>
            <w:noWrap/>
            <w:vAlign w:val="center"/>
          </w:tcPr>
          <w:p w14:paraId="0D0BED6C">
            <w:pPr>
              <w:widowControl/>
              <w:spacing w:line="240" w:lineRule="auto"/>
              <w:ind w:firstLine="0" w:firstLineChars="0"/>
              <w:jc w:val="center"/>
              <w:rPr>
                <w:color w:val="auto"/>
                <w:sz w:val="21"/>
                <w:szCs w:val="21"/>
              </w:rPr>
            </w:pPr>
            <w:r>
              <w:rPr>
                <w:rFonts w:hint="eastAsia"/>
                <w:color w:val="auto"/>
                <w:sz w:val="21"/>
                <w:szCs w:val="21"/>
              </w:rPr>
              <w:t>沉淀</w:t>
            </w:r>
          </w:p>
        </w:tc>
        <w:tc>
          <w:tcPr>
            <w:tcW w:w="377" w:type="pct"/>
            <w:vMerge w:val="continue"/>
            <w:tcBorders>
              <w:tl2br w:val="nil"/>
              <w:tr2bl w:val="nil"/>
            </w:tcBorders>
            <w:noWrap/>
            <w:vAlign w:val="center"/>
          </w:tcPr>
          <w:p w14:paraId="1DA008FA">
            <w:pPr>
              <w:pStyle w:val="80"/>
              <w:spacing w:before="0" w:beforeAutospacing="0" w:after="0" w:afterAutospacing="0"/>
              <w:ind w:firstLine="0" w:firstLineChars="0"/>
              <w:jc w:val="center"/>
              <w:rPr>
                <w:rFonts w:ascii="Times New Roman" w:hAnsi="Times New Roman"/>
                <w:color w:val="auto"/>
                <w:kern w:val="2"/>
                <w:szCs w:val="21"/>
              </w:rPr>
            </w:pPr>
          </w:p>
        </w:tc>
        <w:tc>
          <w:tcPr>
            <w:tcW w:w="366" w:type="pct"/>
            <w:vMerge w:val="continue"/>
            <w:tcBorders>
              <w:tl2br w:val="nil"/>
              <w:tr2bl w:val="nil"/>
            </w:tcBorders>
            <w:noWrap/>
            <w:vAlign w:val="center"/>
          </w:tcPr>
          <w:p w14:paraId="1F850FE7">
            <w:pPr>
              <w:pStyle w:val="80"/>
              <w:spacing w:before="0" w:beforeAutospacing="0" w:after="0" w:afterAutospacing="0"/>
              <w:ind w:firstLine="0" w:firstLineChars="0"/>
              <w:jc w:val="both"/>
              <w:rPr>
                <w:rFonts w:ascii="Times New Roman" w:hAnsi="Times New Roman"/>
                <w:color w:val="auto"/>
                <w:kern w:val="2"/>
                <w:szCs w:val="21"/>
              </w:rPr>
            </w:pPr>
          </w:p>
        </w:tc>
        <w:tc>
          <w:tcPr>
            <w:tcW w:w="474" w:type="pct"/>
            <w:vMerge w:val="continue"/>
            <w:tcBorders>
              <w:tl2br w:val="nil"/>
              <w:tr2bl w:val="nil"/>
            </w:tcBorders>
            <w:noWrap/>
            <w:vAlign w:val="center"/>
          </w:tcPr>
          <w:p w14:paraId="4EBFC36B">
            <w:pPr>
              <w:pStyle w:val="80"/>
              <w:spacing w:before="0" w:beforeAutospacing="0" w:after="0" w:afterAutospacing="0"/>
              <w:ind w:firstLine="0" w:firstLineChars="0"/>
              <w:jc w:val="both"/>
              <w:rPr>
                <w:rFonts w:ascii="Times New Roman" w:hAnsi="Times New Roman"/>
                <w:color w:val="auto"/>
                <w:kern w:val="2"/>
                <w:szCs w:val="21"/>
              </w:rPr>
            </w:pPr>
          </w:p>
        </w:tc>
      </w:tr>
      <w:tr w14:paraId="75926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2" w:hRule="atLeast"/>
          <w:jc w:val="center"/>
        </w:trPr>
        <w:tc>
          <w:tcPr>
            <w:tcW w:w="147" w:type="pct"/>
            <w:tcBorders>
              <w:tl2br w:val="nil"/>
              <w:tr2bl w:val="nil"/>
            </w:tcBorders>
            <w:noWrap/>
            <w:vAlign w:val="center"/>
          </w:tcPr>
          <w:p w14:paraId="252BF099">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2</w:t>
            </w:r>
          </w:p>
        </w:tc>
        <w:tc>
          <w:tcPr>
            <w:tcW w:w="608" w:type="pct"/>
            <w:tcBorders>
              <w:tl2br w:val="nil"/>
              <w:tr2bl w:val="nil"/>
            </w:tcBorders>
            <w:noWrap/>
            <w:vAlign w:val="center"/>
          </w:tcPr>
          <w:p w14:paraId="21B9E6F0">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雨水、清下水</w:t>
            </w:r>
          </w:p>
        </w:tc>
        <w:tc>
          <w:tcPr>
            <w:tcW w:w="733" w:type="pct"/>
            <w:tcBorders>
              <w:tl2br w:val="nil"/>
              <w:tr2bl w:val="nil"/>
            </w:tcBorders>
            <w:noWrap/>
            <w:vAlign w:val="center"/>
          </w:tcPr>
          <w:p w14:paraId="73DD585B">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COD、SS</w:t>
            </w:r>
          </w:p>
        </w:tc>
        <w:tc>
          <w:tcPr>
            <w:tcW w:w="447" w:type="pct"/>
            <w:tcBorders>
              <w:tl2br w:val="nil"/>
              <w:tr2bl w:val="nil"/>
            </w:tcBorders>
            <w:noWrap/>
            <w:vAlign w:val="center"/>
          </w:tcPr>
          <w:p w14:paraId="0D938CBA">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由厂区雨水收集管道排入黄海</w:t>
            </w:r>
          </w:p>
        </w:tc>
        <w:tc>
          <w:tcPr>
            <w:tcW w:w="356" w:type="pct"/>
            <w:tcBorders>
              <w:tl2br w:val="nil"/>
              <w:tr2bl w:val="nil"/>
            </w:tcBorders>
            <w:noWrap/>
            <w:vAlign w:val="center"/>
          </w:tcPr>
          <w:p w14:paraId="708A842C">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间断排放，排放期间流量不稳定，但有周期性规律</w:t>
            </w:r>
          </w:p>
        </w:tc>
        <w:tc>
          <w:tcPr>
            <w:tcW w:w="352" w:type="pct"/>
            <w:tcBorders>
              <w:tl2br w:val="nil"/>
              <w:tr2bl w:val="nil"/>
            </w:tcBorders>
            <w:noWrap/>
            <w:vAlign w:val="center"/>
          </w:tcPr>
          <w:p w14:paraId="0CFD8C91">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w:t>
            </w:r>
          </w:p>
        </w:tc>
        <w:tc>
          <w:tcPr>
            <w:tcW w:w="360" w:type="pct"/>
            <w:tcBorders>
              <w:tl2br w:val="nil"/>
              <w:tr2bl w:val="nil"/>
            </w:tcBorders>
            <w:noWrap/>
            <w:vAlign w:val="center"/>
          </w:tcPr>
          <w:p w14:paraId="76063E76">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w:t>
            </w:r>
          </w:p>
        </w:tc>
        <w:tc>
          <w:tcPr>
            <w:tcW w:w="774" w:type="pct"/>
            <w:tcBorders>
              <w:tl2br w:val="nil"/>
              <w:tr2bl w:val="nil"/>
            </w:tcBorders>
            <w:noWrap/>
            <w:vAlign w:val="center"/>
          </w:tcPr>
          <w:p w14:paraId="68972003">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w:t>
            </w:r>
          </w:p>
        </w:tc>
        <w:tc>
          <w:tcPr>
            <w:tcW w:w="377" w:type="pct"/>
            <w:tcBorders>
              <w:tl2br w:val="nil"/>
              <w:tr2bl w:val="nil"/>
            </w:tcBorders>
            <w:noWrap/>
            <w:vAlign w:val="center"/>
          </w:tcPr>
          <w:p w14:paraId="08B409B4">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YS001</w:t>
            </w:r>
          </w:p>
        </w:tc>
        <w:tc>
          <w:tcPr>
            <w:tcW w:w="366" w:type="pct"/>
            <w:tcBorders>
              <w:tl2br w:val="nil"/>
              <w:tr2bl w:val="nil"/>
            </w:tcBorders>
            <w:noWrap/>
            <w:vAlign w:val="center"/>
          </w:tcPr>
          <w:p w14:paraId="7DE50678">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√是</w:t>
            </w:r>
          </w:p>
          <w:p w14:paraId="56361FC1">
            <w:pPr>
              <w:pStyle w:val="80"/>
              <w:spacing w:before="0" w:beforeAutospacing="0" w:after="0" w:afterAutospacing="0"/>
              <w:ind w:firstLine="0" w:firstLineChars="0"/>
              <w:jc w:val="both"/>
              <w:rPr>
                <w:rFonts w:ascii="Times New Roman" w:hAnsi="Times New Roman"/>
                <w:color w:val="auto"/>
                <w:kern w:val="2"/>
                <w:szCs w:val="21"/>
              </w:rPr>
            </w:pPr>
            <w:r>
              <w:rPr>
                <w:rFonts w:ascii="Times New Roman" w:hAnsi="Times New Roman"/>
                <w:color w:val="auto"/>
                <w:kern w:val="2"/>
                <w:szCs w:val="21"/>
              </w:rPr>
              <w:t>□否</w:t>
            </w:r>
          </w:p>
        </w:tc>
        <w:tc>
          <w:tcPr>
            <w:tcW w:w="474" w:type="pct"/>
            <w:vMerge w:val="continue"/>
            <w:tcBorders>
              <w:tl2br w:val="nil"/>
              <w:tr2bl w:val="nil"/>
            </w:tcBorders>
            <w:noWrap/>
            <w:vAlign w:val="center"/>
          </w:tcPr>
          <w:p w14:paraId="756D1A2F">
            <w:pPr>
              <w:pStyle w:val="80"/>
              <w:spacing w:before="0" w:beforeAutospacing="0" w:after="0" w:afterAutospacing="0"/>
              <w:ind w:firstLine="0" w:firstLineChars="0"/>
              <w:jc w:val="both"/>
              <w:rPr>
                <w:rFonts w:ascii="Times New Roman" w:hAnsi="Times New Roman"/>
                <w:color w:val="auto"/>
                <w:kern w:val="2"/>
                <w:szCs w:val="21"/>
              </w:rPr>
            </w:pPr>
          </w:p>
        </w:tc>
      </w:tr>
    </w:tbl>
    <w:p w14:paraId="0D5BDB4F">
      <w:pPr>
        <w:pStyle w:val="34"/>
        <w:keepNext/>
        <w:keepLines/>
        <w:spacing w:before="120" w:beforeLines="50" w:after="0" w:line="240" w:lineRule="auto"/>
        <w:ind w:firstLine="0" w:firstLineChars="0"/>
        <w:jc w:val="center"/>
        <w:rPr>
          <w:b/>
          <w:bCs/>
          <w:color w:val="auto"/>
          <w:szCs w:val="36"/>
        </w:rPr>
      </w:pPr>
      <w:r>
        <w:rPr>
          <w:b/>
          <w:bCs/>
          <w:color w:val="auto"/>
          <w:szCs w:val="36"/>
        </w:rPr>
        <w:t>表6.2.2-2  废水间接排放口基本情况表</w:t>
      </w:r>
    </w:p>
    <w:tbl>
      <w:tblPr>
        <w:tblStyle w:val="88"/>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911"/>
        <w:gridCol w:w="1441"/>
        <w:gridCol w:w="1404"/>
        <w:gridCol w:w="1396"/>
        <w:gridCol w:w="1237"/>
        <w:gridCol w:w="1243"/>
        <w:gridCol w:w="1048"/>
        <w:gridCol w:w="2267"/>
        <w:gridCol w:w="2536"/>
      </w:tblGrid>
      <w:tr w14:paraId="45ED3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25" w:type="pct"/>
            <w:vMerge w:val="restart"/>
            <w:tcBorders>
              <w:tl2br w:val="nil"/>
              <w:tr2bl w:val="nil"/>
            </w:tcBorders>
            <w:noWrap/>
            <w:vAlign w:val="center"/>
          </w:tcPr>
          <w:p w14:paraId="17F91714">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序号</w:t>
            </w:r>
          </w:p>
        </w:tc>
        <w:tc>
          <w:tcPr>
            <w:tcW w:w="322" w:type="pct"/>
            <w:vMerge w:val="restart"/>
            <w:tcBorders>
              <w:tl2br w:val="nil"/>
              <w:tr2bl w:val="nil"/>
            </w:tcBorders>
            <w:noWrap/>
            <w:vAlign w:val="center"/>
          </w:tcPr>
          <w:p w14:paraId="49F728A4">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排放口编号</w:t>
            </w:r>
          </w:p>
        </w:tc>
        <w:tc>
          <w:tcPr>
            <w:tcW w:w="1007" w:type="pct"/>
            <w:gridSpan w:val="2"/>
            <w:vMerge w:val="restart"/>
            <w:tcBorders>
              <w:tl2br w:val="nil"/>
              <w:tr2bl w:val="nil"/>
            </w:tcBorders>
            <w:noWrap/>
            <w:vAlign w:val="center"/>
          </w:tcPr>
          <w:p w14:paraId="29DEF545">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排放口地理坐标</w:t>
            </w:r>
          </w:p>
        </w:tc>
        <w:tc>
          <w:tcPr>
            <w:tcW w:w="494" w:type="pct"/>
            <w:vMerge w:val="restart"/>
            <w:tcBorders>
              <w:tl2br w:val="nil"/>
              <w:tr2bl w:val="nil"/>
            </w:tcBorders>
            <w:noWrap/>
            <w:vAlign w:val="center"/>
          </w:tcPr>
          <w:p w14:paraId="69741BCD">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废水排放量/（万t/a）</w:t>
            </w:r>
          </w:p>
        </w:tc>
        <w:tc>
          <w:tcPr>
            <w:tcW w:w="438" w:type="pct"/>
            <w:vMerge w:val="restart"/>
            <w:tcBorders>
              <w:tl2br w:val="nil"/>
              <w:tr2bl w:val="nil"/>
            </w:tcBorders>
            <w:noWrap/>
            <w:vAlign w:val="center"/>
          </w:tcPr>
          <w:p w14:paraId="265B691B">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排放去向</w:t>
            </w:r>
          </w:p>
        </w:tc>
        <w:tc>
          <w:tcPr>
            <w:tcW w:w="440" w:type="pct"/>
            <w:vMerge w:val="restart"/>
            <w:tcBorders>
              <w:tl2br w:val="nil"/>
              <w:tr2bl w:val="nil"/>
            </w:tcBorders>
            <w:noWrap/>
            <w:vAlign w:val="center"/>
          </w:tcPr>
          <w:p w14:paraId="1BDBFE49">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排放规律</w:t>
            </w:r>
          </w:p>
        </w:tc>
        <w:tc>
          <w:tcPr>
            <w:tcW w:w="2072" w:type="pct"/>
            <w:gridSpan w:val="3"/>
            <w:tcBorders>
              <w:tl2br w:val="nil"/>
              <w:tr2bl w:val="nil"/>
            </w:tcBorders>
            <w:noWrap/>
            <w:vAlign w:val="center"/>
          </w:tcPr>
          <w:p w14:paraId="61B70950">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受纳污水处理厂信息</w:t>
            </w:r>
          </w:p>
        </w:tc>
      </w:tr>
      <w:tr w14:paraId="32BDE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blHeader/>
          <w:jc w:val="center"/>
        </w:trPr>
        <w:tc>
          <w:tcPr>
            <w:tcW w:w="225" w:type="pct"/>
            <w:vMerge w:val="continue"/>
            <w:tcBorders>
              <w:tl2br w:val="nil"/>
              <w:tr2bl w:val="nil"/>
            </w:tcBorders>
            <w:noWrap/>
            <w:vAlign w:val="center"/>
          </w:tcPr>
          <w:p w14:paraId="386D6F63">
            <w:pPr>
              <w:spacing w:line="240" w:lineRule="auto"/>
              <w:ind w:firstLine="0" w:firstLineChars="0"/>
              <w:jc w:val="center"/>
              <w:rPr>
                <w:color w:val="auto"/>
                <w:sz w:val="21"/>
                <w:szCs w:val="21"/>
              </w:rPr>
            </w:pPr>
          </w:p>
        </w:tc>
        <w:tc>
          <w:tcPr>
            <w:tcW w:w="322" w:type="pct"/>
            <w:vMerge w:val="continue"/>
            <w:tcBorders>
              <w:tl2br w:val="nil"/>
              <w:tr2bl w:val="nil"/>
            </w:tcBorders>
            <w:noWrap/>
            <w:vAlign w:val="center"/>
          </w:tcPr>
          <w:p w14:paraId="5956FA56">
            <w:pPr>
              <w:spacing w:line="240" w:lineRule="auto"/>
              <w:ind w:firstLine="0" w:firstLineChars="0"/>
              <w:jc w:val="center"/>
              <w:rPr>
                <w:color w:val="auto"/>
                <w:sz w:val="21"/>
                <w:szCs w:val="21"/>
              </w:rPr>
            </w:pPr>
          </w:p>
        </w:tc>
        <w:tc>
          <w:tcPr>
            <w:tcW w:w="1007" w:type="pct"/>
            <w:gridSpan w:val="2"/>
            <w:vMerge w:val="continue"/>
            <w:tcBorders>
              <w:tl2br w:val="nil"/>
              <w:tr2bl w:val="nil"/>
            </w:tcBorders>
            <w:noWrap/>
            <w:vAlign w:val="center"/>
          </w:tcPr>
          <w:p w14:paraId="78CE991E">
            <w:pPr>
              <w:spacing w:line="240" w:lineRule="auto"/>
              <w:ind w:firstLine="0" w:firstLineChars="0"/>
              <w:jc w:val="center"/>
              <w:rPr>
                <w:color w:val="auto"/>
                <w:sz w:val="21"/>
                <w:szCs w:val="21"/>
              </w:rPr>
            </w:pPr>
          </w:p>
        </w:tc>
        <w:tc>
          <w:tcPr>
            <w:tcW w:w="494" w:type="pct"/>
            <w:vMerge w:val="continue"/>
            <w:tcBorders>
              <w:tl2br w:val="nil"/>
              <w:tr2bl w:val="nil"/>
            </w:tcBorders>
            <w:noWrap/>
            <w:vAlign w:val="center"/>
          </w:tcPr>
          <w:p w14:paraId="28D518F9">
            <w:pPr>
              <w:spacing w:line="240" w:lineRule="auto"/>
              <w:ind w:firstLine="0" w:firstLineChars="0"/>
              <w:jc w:val="center"/>
              <w:rPr>
                <w:color w:val="auto"/>
                <w:sz w:val="21"/>
                <w:szCs w:val="21"/>
              </w:rPr>
            </w:pPr>
          </w:p>
        </w:tc>
        <w:tc>
          <w:tcPr>
            <w:tcW w:w="438" w:type="pct"/>
            <w:vMerge w:val="continue"/>
            <w:tcBorders>
              <w:tl2br w:val="nil"/>
              <w:tr2bl w:val="nil"/>
            </w:tcBorders>
            <w:noWrap/>
            <w:vAlign w:val="center"/>
          </w:tcPr>
          <w:p w14:paraId="122BD2B7">
            <w:pPr>
              <w:spacing w:line="240" w:lineRule="auto"/>
              <w:ind w:firstLine="0" w:firstLineChars="0"/>
              <w:jc w:val="center"/>
              <w:rPr>
                <w:color w:val="auto"/>
                <w:sz w:val="21"/>
                <w:szCs w:val="21"/>
              </w:rPr>
            </w:pPr>
          </w:p>
        </w:tc>
        <w:tc>
          <w:tcPr>
            <w:tcW w:w="440" w:type="pct"/>
            <w:vMerge w:val="continue"/>
            <w:tcBorders>
              <w:tl2br w:val="nil"/>
              <w:tr2bl w:val="nil"/>
            </w:tcBorders>
            <w:noWrap/>
            <w:vAlign w:val="center"/>
          </w:tcPr>
          <w:p w14:paraId="363F6A2F">
            <w:pPr>
              <w:spacing w:line="240" w:lineRule="auto"/>
              <w:ind w:firstLine="0" w:firstLineChars="0"/>
              <w:jc w:val="center"/>
              <w:rPr>
                <w:color w:val="auto"/>
                <w:sz w:val="21"/>
                <w:szCs w:val="21"/>
              </w:rPr>
            </w:pPr>
          </w:p>
        </w:tc>
        <w:tc>
          <w:tcPr>
            <w:tcW w:w="371" w:type="pct"/>
            <w:vMerge w:val="restart"/>
            <w:tcBorders>
              <w:tl2br w:val="nil"/>
              <w:tr2bl w:val="nil"/>
            </w:tcBorders>
            <w:noWrap/>
            <w:vAlign w:val="center"/>
          </w:tcPr>
          <w:p w14:paraId="39D94D4A">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名称</w:t>
            </w:r>
          </w:p>
        </w:tc>
        <w:tc>
          <w:tcPr>
            <w:tcW w:w="803" w:type="pct"/>
            <w:vMerge w:val="restart"/>
            <w:tcBorders>
              <w:tl2br w:val="nil"/>
              <w:tr2bl w:val="nil"/>
            </w:tcBorders>
            <w:noWrap/>
            <w:vAlign w:val="center"/>
          </w:tcPr>
          <w:p w14:paraId="6076DCE8">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污染物种类</w:t>
            </w:r>
          </w:p>
        </w:tc>
        <w:tc>
          <w:tcPr>
            <w:tcW w:w="897" w:type="pct"/>
            <w:vMerge w:val="restart"/>
            <w:tcBorders>
              <w:tl2br w:val="nil"/>
              <w:tr2bl w:val="nil"/>
            </w:tcBorders>
            <w:noWrap/>
            <w:vAlign w:val="center"/>
          </w:tcPr>
          <w:p w14:paraId="4B05A5FE">
            <w:pPr>
              <w:pStyle w:val="80"/>
              <w:spacing w:before="0" w:beforeAutospacing="0" w:after="0" w:afterAutospacing="0"/>
              <w:ind w:firstLine="0" w:firstLineChars="0"/>
              <w:jc w:val="center"/>
              <w:rPr>
                <w:rFonts w:ascii="Times New Roman" w:hAnsi="Times New Roman"/>
                <w:b/>
                <w:bCs/>
                <w:color w:val="auto"/>
                <w:kern w:val="2"/>
                <w:szCs w:val="21"/>
              </w:rPr>
            </w:pPr>
            <w:r>
              <w:rPr>
                <w:rFonts w:ascii="Times New Roman" w:hAnsi="Times New Roman"/>
                <w:b/>
                <w:bCs/>
                <w:color w:val="auto"/>
                <w:kern w:val="2"/>
                <w:szCs w:val="21"/>
              </w:rPr>
              <w:t>国家或地方污染物排放标准浓度限值/（mg/L）</w:t>
            </w:r>
          </w:p>
        </w:tc>
      </w:tr>
      <w:tr w14:paraId="4F333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25" w:type="pct"/>
            <w:vMerge w:val="continue"/>
            <w:tcBorders>
              <w:tl2br w:val="nil"/>
              <w:tr2bl w:val="nil"/>
            </w:tcBorders>
            <w:noWrap/>
            <w:vAlign w:val="center"/>
          </w:tcPr>
          <w:p w14:paraId="3A99C18B">
            <w:pPr>
              <w:spacing w:line="240" w:lineRule="auto"/>
              <w:ind w:firstLine="0" w:firstLineChars="0"/>
              <w:jc w:val="center"/>
              <w:rPr>
                <w:color w:val="auto"/>
                <w:sz w:val="21"/>
                <w:szCs w:val="21"/>
              </w:rPr>
            </w:pPr>
          </w:p>
        </w:tc>
        <w:tc>
          <w:tcPr>
            <w:tcW w:w="322" w:type="pct"/>
            <w:vMerge w:val="continue"/>
            <w:tcBorders>
              <w:tl2br w:val="nil"/>
              <w:tr2bl w:val="nil"/>
            </w:tcBorders>
            <w:noWrap/>
            <w:vAlign w:val="center"/>
          </w:tcPr>
          <w:p w14:paraId="37A2B1A3">
            <w:pPr>
              <w:spacing w:line="240" w:lineRule="auto"/>
              <w:ind w:firstLine="0" w:firstLineChars="0"/>
              <w:jc w:val="center"/>
              <w:rPr>
                <w:color w:val="auto"/>
                <w:sz w:val="21"/>
                <w:szCs w:val="21"/>
              </w:rPr>
            </w:pPr>
          </w:p>
        </w:tc>
        <w:tc>
          <w:tcPr>
            <w:tcW w:w="510" w:type="pct"/>
            <w:tcBorders>
              <w:tl2br w:val="nil"/>
              <w:tr2bl w:val="nil"/>
            </w:tcBorders>
            <w:noWrap/>
            <w:vAlign w:val="center"/>
          </w:tcPr>
          <w:p w14:paraId="77858045">
            <w:pPr>
              <w:spacing w:line="240" w:lineRule="auto"/>
              <w:ind w:firstLine="0" w:firstLineChars="0"/>
              <w:jc w:val="center"/>
              <w:rPr>
                <w:b/>
                <w:bCs/>
                <w:color w:val="auto"/>
                <w:sz w:val="21"/>
                <w:szCs w:val="21"/>
              </w:rPr>
            </w:pPr>
            <w:r>
              <w:rPr>
                <w:b/>
                <w:bCs/>
                <w:color w:val="auto"/>
                <w:sz w:val="21"/>
                <w:szCs w:val="21"/>
              </w:rPr>
              <w:t>经度</w:t>
            </w:r>
          </w:p>
        </w:tc>
        <w:tc>
          <w:tcPr>
            <w:tcW w:w="497" w:type="pct"/>
            <w:tcBorders>
              <w:tl2br w:val="nil"/>
              <w:tr2bl w:val="nil"/>
            </w:tcBorders>
            <w:noWrap/>
            <w:vAlign w:val="center"/>
          </w:tcPr>
          <w:p w14:paraId="5796D0E6">
            <w:pPr>
              <w:spacing w:line="240" w:lineRule="auto"/>
              <w:ind w:firstLine="0" w:firstLineChars="0"/>
              <w:jc w:val="center"/>
              <w:rPr>
                <w:b/>
                <w:bCs/>
                <w:color w:val="auto"/>
                <w:sz w:val="21"/>
                <w:szCs w:val="21"/>
              </w:rPr>
            </w:pPr>
            <w:r>
              <w:rPr>
                <w:b/>
                <w:bCs/>
                <w:color w:val="auto"/>
                <w:sz w:val="21"/>
                <w:szCs w:val="21"/>
              </w:rPr>
              <w:t>纬度</w:t>
            </w:r>
          </w:p>
        </w:tc>
        <w:tc>
          <w:tcPr>
            <w:tcW w:w="494" w:type="pct"/>
            <w:vMerge w:val="continue"/>
            <w:tcBorders>
              <w:tl2br w:val="nil"/>
              <w:tr2bl w:val="nil"/>
            </w:tcBorders>
            <w:noWrap/>
            <w:vAlign w:val="center"/>
          </w:tcPr>
          <w:p w14:paraId="4FD8EEE1">
            <w:pPr>
              <w:spacing w:line="240" w:lineRule="auto"/>
              <w:ind w:firstLine="0" w:firstLineChars="0"/>
              <w:jc w:val="center"/>
              <w:rPr>
                <w:color w:val="auto"/>
                <w:sz w:val="21"/>
                <w:szCs w:val="21"/>
              </w:rPr>
            </w:pPr>
          </w:p>
        </w:tc>
        <w:tc>
          <w:tcPr>
            <w:tcW w:w="438" w:type="pct"/>
            <w:vMerge w:val="continue"/>
            <w:tcBorders>
              <w:tl2br w:val="nil"/>
              <w:tr2bl w:val="nil"/>
            </w:tcBorders>
            <w:noWrap/>
            <w:vAlign w:val="center"/>
          </w:tcPr>
          <w:p w14:paraId="50511A15">
            <w:pPr>
              <w:spacing w:line="240" w:lineRule="auto"/>
              <w:ind w:firstLine="0" w:firstLineChars="0"/>
              <w:jc w:val="center"/>
              <w:rPr>
                <w:color w:val="auto"/>
                <w:sz w:val="21"/>
                <w:szCs w:val="21"/>
              </w:rPr>
            </w:pPr>
          </w:p>
        </w:tc>
        <w:tc>
          <w:tcPr>
            <w:tcW w:w="440" w:type="pct"/>
            <w:vMerge w:val="continue"/>
            <w:tcBorders>
              <w:tl2br w:val="nil"/>
              <w:tr2bl w:val="nil"/>
            </w:tcBorders>
            <w:noWrap/>
            <w:vAlign w:val="center"/>
          </w:tcPr>
          <w:p w14:paraId="52628A7E">
            <w:pPr>
              <w:spacing w:line="240" w:lineRule="auto"/>
              <w:ind w:firstLine="0" w:firstLineChars="0"/>
              <w:jc w:val="center"/>
              <w:rPr>
                <w:color w:val="auto"/>
                <w:sz w:val="21"/>
                <w:szCs w:val="21"/>
              </w:rPr>
            </w:pPr>
          </w:p>
        </w:tc>
        <w:tc>
          <w:tcPr>
            <w:tcW w:w="371" w:type="pct"/>
            <w:vMerge w:val="continue"/>
            <w:tcBorders>
              <w:tl2br w:val="nil"/>
              <w:tr2bl w:val="nil"/>
            </w:tcBorders>
            <w:noWrap/>
            <w:vAlign w:val="center"/>
          </w:tcPr>
          <w:p w14:paraId="2967EF13">
            <w:pPr>
              <w:pStyle w:val="80"/>
              <w:spacing w:before="0" w:beforeAutospacing="0" w:after="0" w:afterAutospacing="0"/>
              <w:ind w:firstLine="0" w:firstLineChars="0"/>
              <w:jc w:val="center"/>
              <w:rPr>
                <w:rFonts w:ascii="Times New Roman" w:hAnsi="Times New Roman"/>
                <w:b/>
                <w:bCs/>
                <w:color w:val="auto"/>
                <w:kern w:val="2"/>
                <w:szCs w:val="21"/>
              </w:rPr>
            </w:pPr>
          </w:p>
        </w:tc>
        <w:tc>
          <w:tcPr>
            <w:tcW w:w="803" w:type="pct"/>
            <w:vMerge w:val="continue"/>
            <w:tcBorders>
              <w:tl2br w:val="nil"/>
              <w:tr2bl w:val="nil"/>
            </w:tcBorders>
            <w:noWrap/>
            <w:vAlign w:val="center"/>
          </w:tcPr>
          <w:p w14:paraId="134B6394">
            <w:pPr>
              <w:pStyle w:val="80"/>
              <w:spacing w:before="0" w:beforeAutospacing="0" w:after="0" w:afterAutospacing="0"/>
              <w:ind w:firstLine="0" w:firstLineChars="0"/>
              <w:jc w:val="center"/>
              <w:rPr>
                <w:rFonts w:ascii="Times New Roman" w:hAnsi="Times New Roman"/>
                <w:b/>
                <w:bCs/>
                <w:color w:val="auto"/>
                <w:kern w:val="2"/>
                <w:szCs w:val="21"/>
              </w:rPr>
            </w:pPr>
          </w:p>
        </w:tc>
        <w:tc>
          <w:tcPr>
            <w:tcW w:w="897" w:type="pct"/>
            <w:vMerge w:val="continue"/>
            <w:tcBorders>
              <w:tl2br w:val="nil"/>
              <w:tr2bl w:val="nil"/>
            </w:tcBorders>
            <w:noWrap/>
            <w:vAlign w:val="center"/>
          </w:tcPr>
          <w:p w14:paraId="4E37D6AB">
            <w:pPr>
              <w:pStyle w:val="80"/>
              <w:spacing w:before="0" w:beforeAutospacing="0" w:after="0" w:afterAutospacing="0"/>
              <w:ind w:firstLine="0" w:firstLineChars="0"/>
              <w:jc w:val="center"/>
              <w:rPr>
                <w:rFonts w:ascii="Times New Roman" w:hAnsi="Times New Roman"/>
                <w:b/>
                <w:bCs/>
                <w:color w:val="auto"/>
                <w:kern w:val="2"/>
                <w:szCs w:val="21"/>
              </w:rPr>
            </w:pPr>
          </w:p>
        </w:tc>
      </w:tr>
      <w:tr w14:paraId="59619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restart"/>
            <w:tcBorders>
              <w:tl2br w:val="nil"/>
              <w:tr2bl w:val="nil"/>
            </w:tcBorders>
            <w:noWrap/>
            <w:vAlign w:val="center"/>
          </w:tcPr>
          <w:p w14:paraId="7ACE6BD9">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1</w:t>
            </w:r>
          </w:p>
        </w:tc>
        <w:tc>
          <w:tcPr>
            <w:tcW w:w="322" w:type="pct"/>
            <w:vMerge w:val="restart"/>
            <w:tcBorders>
              <w:tl2br w:val="nil"/>
              <w:tr2bl w:val="nil"/>
            </w:tcBorders>
            <w:noWrap/>
            <w:vAlign w:val="center"/>
          </w:tcPr>
          <w:p w14:paraId="5C0C508D">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DW001</w:t>
            </w:r>
          </w:p>
        </w:tc>
        <w:tc>
          <w:tcPr>
            <w:tcW w:w="510" w:type="pct"/>
            <w:vMerge w:val="restart"/>
            <w:tcBorders>
              <w:tl2br w:val="nil"/>
              <w:tr2bl w:val="nil"/>
            </w:tcBorders>
            <w:noWrap/>
            <w:vAlign w:val="center"/>
          </w:tcPr>
          <w:p w14:paraId="5F7B20A4">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119.</w:t>
            </w:r>
            <w:r>
              <w:rPr>
                <w:rFonts w:hint="eastAsia" w:ascii="Times New Roman" w:hAnsi="Times New Roman"/>
                <w:color w:val="auto"/>
                <w:kern w:val="2"/>
                <w:szCs w:val="21"/>
              </w:rPr>
              <w:t>222946</w:t>
            </w:r>
          </w:p>
        </w:tc>
        <w:tc>
          <w:tcPr>
            <w:tcW w:w="497" w:type="pct"/>
            <w:vMerge w:val="restart"/>
            <w:tcBorders>
              <w:tl2br w:val="nil"/>
              <w:tr2bl w:val="nil"/>
            </w:tcBorders>
            <w:noWrap/>
            <w:vAlign w:val="center"/>
          </w:tcPr>
          <w:p w14:paraId="11A0113E">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3</w:t>
            </w:r>
            <w:r>
              <w:rPr>
                <w:rFonts w:hint="eastAsia" w:ascii="Times New Roman" w:hAnsi="Times New Roman"/>
                <w:color w:val="auto"/>
                <w:kern w:val="2"/>
                <w:szCs w:val="21"/>
              </w:rPr>
              <w:t>4.7364107</w:t>
            </w:r>
          </w:p>
        </w:tc>
        <w:tc>
          <w:tcPr>
            <w:tcW w:w="494" w:type="pct"/>
            <w:vMerge w:val="restart"/>
            <w:tcBorders>
              <w:tl2br w:val="nil"/>
              <w:tr2bl w:val="nil"/>
            </w:tcBorders>
            <w:noWrap/>
            <w:vAlign w:val="center"/>
          </w:tcPr>
          <w:p w14:paraId="44C22CF3">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29.02</w:t>
            </w:r>
          </w:p>
        </w:tc>
        <w:tc>
          <w:tcPr>
            <w:tcW w:w="438" w:type="pct"/>
            <w:vMerge w:val="restart"/>
            <w:tcBorders>
              <w:tl2br w:val="nil"/>
              <w:tr2bl w:val="nil"/>
            </w:tcBorders>
            <w:noWrap/>
            <w:vAlign w:val="center"/>
          </w:tcPr>
          <w:p w14:paraId="68432D4F">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进入城市污水处理厂</w:t>
            </w:r>
          </w:p>
        </w:tc>
        <w:tc>
          <w:tcPr>
            <w:tcW w:w="440" w:type="pct"/>
            <w:vMerge w:val="restart"/>
            <w:tcBorders>
              <w:tl2br w:val="nil"/>
              <w:tr2bl w:val="nil"/>
            </w:tcBorders>
            <w:noWrap/>
            <w:vAlign w:val="center"/>
          </w:tcPr>
          <w:p w14:paraId="742E1107">
            <w:pPr>
              <w:pStyle w:val="80"/>
              <w:spacing w:before="0" w:beforeAutospacing="0" w:after="0" w:afterAutospacing="0"/>
              <w:ind w:firstLine="0" w:firstLineChars="0"/>
              <w:jc w:val="center"/>
              <w:rPr>
                <w:rFonts w:ascii="Times New Roman" w:hAnsi="Times New Roman"/>
                <w:color w:val="auto"/>
                <w:kern w:val="2"/>
                <w:szCs w:val="21"/>
              </w:rPr>
            </w:pPr>
            <w:r>
              <w:rPr>
                <w:rFonts w:ascii="Times New Roman" w:hAnsi="Times New Roman"/>
                <w:color w:val="auto"/>
                <w:kern w:val="2"/>
                <w:szCs w:val="21"/>
              </w:rPr>
              <w:t>间断排放，排放期间流量不稳定，但有周期性规律</w:t>
            </w:r>
          </w:p>
        </w:tc>
        <w:tc>
          <w:tcPr>
            <w:tcW w:w="371" w:type="pct"/>
            <w:vMerge w:val="restart"/>
            <w:tcBorders>
              <w:tl2br w:val="nil"/>
              <w:tr2bl w:val="nil"/>
            </w:tcBorders>
            <w:noWrap/>
            <w:vAlign w:val="center"/>
          </w:tcPr>
          <w:p w14:paraId="265037E0">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开发区临港</w:t>
            </w:r>
            <w:r>
              <w:rPr>
                <w:rFonts w:ascii="Times New Roman" w:hAnsi="Times New Roman"/>
                <w:color w:val="auto"/>
                <w:kern w:val="2"/>
                <w:szCs w:val="21"/>
              </w:rPr>
              <w:t>污水处理厂</w:t>
            </w:r>
          </w:p>
        </w:tc>
        <w:tc>
          <w:tcPr>
            <w:tcW w:w="803" w:type="pct"/>
            <w:tcBorders>
              <w:tl2br w:val="nil"/>
              <w:tr2bl w:val="nil"/>
            </w:tcBorders>
            <w:noWrap/>
            <w:vAlign w:val="center"/>
          </w:tcPr>
          <w:p w14:paraId="6E7C4970">
            <w:pPr>
              <w:spacing w:line="240" w:lineRule="auto"/>
              <w:ind w:firstLine="0" w:firstLineChars="0"/>
              <w:jc w:val="center"/>
              <w:rPr>
                <w:color w:val="auto"/>
                <w:sz w:val="21"/>
                <w:szCs w:val="21"/>
              </w:rPr>
            </w:pPr>
            <w:r>
              <w:rPr>
                <w:color w:val="auto"/>
                <w:sz w:val="21"/>
                <w:szCs w:val="21"/>
                <w:lang w:bidi="ar"/>
              </w:rPr>
              <w:t>pH</w:t>
            </w:r>
          </w:p>
        </w:tc>
        <w:tc>
          <w:tcPr>
            <w:tcW w:w="897" w:type="pct"/>
            <w:tcBorders>
              <w:tl2br w:val="nil"/>
              <w:tr2bl w:val="nil"/>
            </w:tcBorders>
            <w:noWrap/>
            <w:vAlign w:val="center"/>
          </w:tcPr>
          <w:p w14:paraId="311A4F51">
            <w:pPr>
              <w:spacing w:line="240" w:lineRule="auto"/>
              <w:ind w:firstLine="0" w:firstLineChars="0"/>
              <w:jc w:val="center"/>
              <w:rPr>
                <w:color w:val="auto"/>
                <w:sz w:val="21"/>
                <w:szCs w:val="21"/>
              </w:rPr>
            </w:pPr>
            <w:r>
              <w:rPr>
                <w:color w:val="auto"/>
                <w:sz w:val="21"/>
                <w:szCs w:val="21"/>
                <w:lang w:bidi="ar"/>
              </w:rPr>
              <w:t>6~9（无量纲）</w:t>
            </w:r>
          </w:p>
        </w:tc>
      </w:tr>
      <w:tr w14:paraId="7721D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0F58A48F">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56ADA8B0">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5F2D3E41">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65BA270B">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3178AC43">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7D7542F4">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169688D3">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280BB5A2">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6443DD6B">
            <w:pPr>
              <w:spacing w:line="240" w:lineRule="auto"/>
              <w:ind w:firstLine="0" w:firstLineChars="0"/>
              <w:jc w:val="center"/>
              <w:rPr>
                <w:color w:val="auto"/>
                <w:kern w:val="0"/>
                <w:sz w:val="21"/>
                <w:szCs w:val="21"/>
                <w:lang w:bidi="ar"/>
              </w:rPr>
            </w:pPr>
            <w:r>
              <w:rPr>
                <w:color w:val="auto"/>
                <w:sz w:val="21"/>
                <w:szCs w:val="21"/>
                <w:lang w:bidi="ar"/>
              </w:rPr>
              <w:t>COD</w:t>
            </w:r>
          </w:p>
        </w:tc>
        <w:tc>
          <w:tcPr>
            <w:tcW w:w="897" w:type="pct"/>
            <w:tcBorders>
              <w:tl2br w:val="nil"/>
              <w:tr2bl w:val="nil"/>
            </w:tcBorders>
            <w:noWrap/>
            <w:vAlign w:val="center"/>
          </w:tcPr>
          <w:p w14:paraId="1A923C59">
            <w:pPr>
              <w:spacing w:line="240" w:lineRule="auto"/>
              <w:ind w:firstLine="0" w:firstLineChars="0"/>
              <w:jc w:val="center"/>
              <w:rPr>
                <w:color w:val="auto"/>
                <w:sz w:val="21"/>
                <w:szCs w:val="21"/>
              </w:rPr>
            </w:pPr>
            <w:r>
              <w:rPr>
                <w:color w:val="auto"/>
                <w:sz w:val="21"/>
                <w:szCs w:val="21"/>
                <w:lang w:bidi="ar"/>
              </w:rPr>
              <w:t>50</w:t>
            </w:r>
          </w:p>
        </w:tc>
      </w:tr>
      <w:tr w14:paraId="38EB2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68B8107F">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785DD33E">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427DDC12">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717083C4">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047BDF42">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1F308D91">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24B3BC0F">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1E4250C3">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7120FCFD">
            <w:pPr>
              <w:spacing w:line="240" w:lineRule="auto"/>
              <w:ind w:firstLine="0" w:firstLineChars="0"/>
              <w:jc w:val="center"/>
              <w:rPr>
                <w:color w:val="auto"/>
                <w:kern w:val="0"/>
                <w:sz w:val="21"/>
                <w:szCs w:val="21"/>
                <w:lang w:bidi="ar"/>
              </w:rPr>
            </w:pPr>
            <w:r>
              <w:rPr>
                <w:color w:val="auto"/>
                <w:sz w:val="21"/>
                <w:szCs w:val="21"/>
                <w:lang w:bidi="ar"/>
              </w:rPr>
              <w:t>SS</w:t>
            </w:r>
          </w:p>
        </w:tc>
        <w:tc>
          <w:tcPr>
            <w:tcW w:w="897" w:type="pct"/>
            <w:tcBorders>
              <w:tl2br w:val="nil"/>
              <w:tr2bl w:val="nil"/>
            </w:tcBorders>
            <w:noWrap/>
            <w:vAlign w:val="center"/>
          </w:tcPr>
          <w:p w14:paraId="19965FF0">
            <w:pPr>
              <w:spacing w:line="240" w:lineRule="auto"/>
              <w:ind w:firstLine="0" w:firstLineChars="0"/>
              <w:jc w:val="center"/>
              <w:rPr>
                <w:color w:val="auto"/>
                <w:sz w:val="21"/>
                <w:szCs w:val="21"/>
              </w:rPr>
            </w:pPr>
            <w:r>
              <w:rPr>
                <w:color w:val="auto"/>
                <w:sz w:val="21"/>
                <w:szCs w:val="21"/>
                <w:lang w:bidi="ar"/>
              </w:rPr>
              <w:t>10</w:t>
            </w:r>
          </w:p>
        </w:tc>
      </w:tr>
      <w:tr w14:paraId="42CDB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316622E1">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3654E00A">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7123B25A">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017E14EB">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5CF53657">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46327F93">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1A54F2C9">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47F2CE54">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48E24707">
            <w:pPr>
              <w:spacing w:line="240" w:lineRule="auto"/>
              <w:ind w:firstLine="0" w:firstLineChars="0"/>
              <w:jc w:val="center"/>
              <w:rPr>
                <w:color w:val="auto"/>
                <w:kern w:val="0"/>
                <w:sz w:val="21"/>
                <w:szCs w:val="21"/>
                <w:lang w:bidi="ar"/>
              </w:rPr>
            </w:pPr>
            <w:r>
              <w:rPr>
                <w:color w:val="auto"/>
                <w:sz w:val="21"/>
                <w:szCs w:val="21"/>
                <w:lang w:bidi="ar"/>
              </w:rPr>
              <w:t>石油类</w:t>
            </w:r>
          </w:p>
        </w:tc>
        <w:tc>
          <w:tcPr>
            <w:tcW w:w="897" w:type="pct"/>
            <w:tcBorders>
              <w:tl2br w:val="nil"/>
              <w:tr2bl w:val="nil"/>
            </w:tcBorders>
            <w:noWrap/>
            <w:vAlign w:val="center"/>
          </w:tcPr>
          <w:p w14:paraId="2BCBC191">
            <w:pPr>
              <w:spacing w:line="240" w:lineRule="auto"/>
              <w:ind w:firstLine="0" w:firstLineChars="0"/>
              <w:jc w:val="center"/>
              <w:rPr>
                <w:color w:val="auto"/>
                <w:sz w:val="21"/>
                <w:szCs w:val="21"/>
              </w:rPr>
            </w:pPr>
            <w:r>
              <w:rPr>
                <w:color w:val="auto"/>
                <w:sz w:val="21"/>
                <w:szCs w:val="21"/>
                <w:lang w:bidi="ar"/>
              </w:rPr>
              <w:t>1</w:t>
            </w:r>
          </w:p>
        </w:tc>
      </w:tr>
      <w:tr w14:paraId="09C0C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683F8533">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67E5EE4F">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7AF44568">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08179887">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0C431C55">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05A29F95">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4AD0BB2B">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44A9489F">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2D53DA19">
            <w:pPr>
              <w:spacing w:line="240" w:lineRule="auto"/>
              <w:ind w:firstLine="0" w:firstLineChars="0"/>
              <w:jc w:val="center"/>
              <w:rPr>
                <w:color w:val="auto"/>
                <w:sz w:val="21"/>
                <w:szCs w:val="21"/>
                <w:lang w:bidi="ar"/>
              </w:rPr>
            </w:pPr>
            <w:r>
              <w:rPr>
                <w:rFonts w:hint="eastAsia"/>
                <w:color w:val="auto"/>
                <w:sz w:val="21"/>
                <w:szCs w:val="21"/>
                <w:lang w:bidi="ar"/>
              </w:rPr>
              <w:t>动植物油</w:t>
            </w:r>
          </w:p>
        </w:tc>
        <w:tc>
          <w:tcPr>
            <w:tcW w:w="897" w:type="pct"/>
            <w:tcBorders>
              <w:tl2br w:val="nil"/>
              <w:tr2bl w:val="nil"/>
            </w:tcBorders>
            <w:noWrap/>
            <w:vAlign w:val="center"/>
          </w:tcPr>
          <w:p w14:paraId="04E2BEDD">
            <w:pPr>
              <w:spacing w:line="240" w:lineRule="auto"/>
              <w:ind w:firstLine="0" w:firstLineChars="0"/>
              <w:jc w:val="center"/>
              <w:rPr>
                <w:color w:val="auto"/>
                <w:sz w:val="21"/>
                <w:szCs w:val="21"/>
                <w:lang w:bidi="ar"/>
              </w:rPr>
            </w:pPr>
            <w:r>
              <w:rPr>
                <w:rFonts w:hint="eastAsia"/>
                <w:color w:val="auto"/>
                <w:sz w:val="21"/>
                <w:szCs w:val="21"/>
                <w:lang w:bidi="ar"/>
              </w:rPr>
              <w:t>1</w:t>
            </w:r>
          </w:p>
        </w:tc>
      </w:tr>
      <w:tr w14:paraId="06914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438183C6">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5AA92190">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25797AF7">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406F0D8D">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7F67C06C">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4A4DE625">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2982FD79">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2142D13E">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1B61F98A">
            <w:pPr>
              <w:spacing w:line="240" w:lineRule="auto"/>
              <w:ind w:firstLine="0" w:firstLineChars="0"/>
              <w:jc w:val="center"/>
              <w:rPr>
                <w:color w:val="auto"/>
                <w:sz w:val="21"/>
                <w:szCs w:val="21"/>
                <w:lang w:bidi="ar"/>
              </w:rPr>
            </w:pPr>
            <w:r>
              <w:rPr>
                <w:rFonts w:hint="eastAsia"/>
                <w:color w:val="auto"/>
                <w:sz w:val="21"/>
                <w:szCs w:val="21"/>
                <w:lang w:bidi="ar"/>
              </w:rPr>
              <w:t>总铝</w:t>
            </w:r>
          </w:p>
        </w:tc>
        <w:tc>
          <w:tcPr>
            <w:tcW w:w="897" w:type="pct"/>
            <w:tcBorders>
              <w:tl2br w:val="nil"/>
              <w:tr2bl w:val="nil"/>
            </w:tcBorders>
            <w:noWrap/>
            <w:vAlign w:val="center"/>
          </w:tcPr>
          <w:p w14:paraId="18AED796">
            <w:pPr>
              <w:spacing w:line="240" w:lineRule="auto"/>
              <w:ind w:firstLine="0" w:firstLineChars="0"/>
              <w:jc w:val="center"/>
              <w:rPr>
                <w:color w:val="auto"/>
                <w:sz w:val="21"/>
                <w:szCs w:val="21"/>
                <w:lang w:bidi="ar"/>
              </w:rPr>
            </w:pPr>
            <w:r>
              <w:rPr>
                <w:rFonts w:hint="eastAsia"/>
                <w:color w:val="auto"/>
                <w:sz w:val="21"/>
                <w:szCs w:val="21"/>
                <w:lang w:bidi="ar"/>
              </w:rPr>
              <w:t>2.0</w:t>
            </w:r>
          </w:p>
        </w:tc>
      </w:tr>
      <w:tr w14:paraId="448C6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0F8399F1">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46B55F48">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371537DB">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440C9936">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325E7F7D">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6E4DB433">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360707E8">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46C72107">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604AE9E6">
            <w:pPr>
              <w:spacing w:line="240" w:lineRule="auto"/>
              <w:ind w:firstLine="0" w:firstLineChars="0"/>
              <w:jc w:val="center"/>
              <w:rPr>
                <w:color w:val="auto"/>
                <w:sz w:val="21"/>
                <w:szCs w:val="21"/>
                <w:lang w:bidi="ar"/>
              </w:rPr>
            </w:pPr>
            <w:r>
              <w:rPr>
                <w:rFonts w:hint="eastAsia"/>
                <w:color w:val="auto"/>
                <w:sz w:val="21"/>
                <w:szCs w:val="21"/>
                <w:lang w:bidi="ar"/>
              </w:rPr>
              <w:t>总锡</w:t>
            </w:r>
          </w:p>
        </w:tc>
        <w:tc>
          <w:tcPr>
            <w:tcW w:w="897" w:type="pct"/>
            <w:tcBorders>
              <w:tl2br w:val="nil"/>
              <w:tr2bl w:val="nil"/>
            </w:tcBorders>
            <w:noWrap/>
            <w:vAlign w:val="center"/>
          </w:tcPr>
          <w:p w14:paraId="34FC0D06">
            <w:pPr>
              <w:spacing w:line="240" w:lineRule="auto"/>
              <w:ind w:firstLine="0" w:firstLineChars="0"/>
              <w:jc w:val="center"/>
              <w:rPr>
                <w:color w:val="auto"/>
                <w:sz w:val="21"/>
                <w:szCs w:val="21"/>
                <w:lang w:bidi="ar"/>
              </w:rPr>
            </w:pPr>
            <w:r>
              <w:rPr>
                <w:rFonts w:hint="eastAsia"/>
                <w:color w:val="auto"/>
                <w:sz w:val="21"/>
                <w:szCs w:val="21"/>
                <w:lang w:bidi="ar"/>
              </w:rPr>
              <w:t>5.0</w:t>
            </w:r>
          </w:p>
        </w:tc>
      </w:tr>
      <w:tr w14:paraId="07A09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59FD7E27">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6CDD90CE">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0B092B98">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79DA2A53">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4196B6A0">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4DE8F75C">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7D665916">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5A74AAEF">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48CE7C19">
            <w:pPr>
              <w:spacing w:line="240" w:lineRule="auto"/>
              <w:ind w:firstLine="0" w:firstLineChars="0"/>
              <w:jc w:val="center"/>
              <w:rPr>
                <w:color w:val="auto"/>
                <w:sz w:val="21"/>
                <w:szCs w:val="21"/>
                <w:lang w:bidi="ar"/>
              </w:rPr>
            </w:pPr>
            <w:r>
              <w:rPr>
                <w:rFonts w:hint="eastAsia"/>
                <w:color w:val="auto"/>
                <w:sz w:val="21"/>
                <w:szCs w:val="21"/>
                <w:lang w:bidi="ar"/>
              </w:rPr>
              <w:t>TDS</w:t>
            </w:r>
          </w:p>
        </w:tc>
        <w:tc>
          <w:tcPr>
            <w:tcW w:w="897" w:type="pct"/>
            <w:tcBorders>
              <w:tl2br w:val="nil"/>
              <w:tr2bl w:val="nil"/>
            </w:tcBorders>
            <w:noWrap/>
            <w:vAlign w:val="center"/>
          </w:tcPr>
          <w:p w14:paraId="347BACCA">
            <w:pPr>
              <w:spacing w:line="240" w:lineRule="auto"/>
              <w:ind w:firstLine="0" w:firstLineChars="0"/>
              <w:jc w:val="center"/>
              <w:rPr>
                <w:color w:val="auto"/>
                <w:sz w:val="21"/>
                <w:szCs w:val="21"/>
                <w:lang w:bidi="ar"/>
              </w:rPr>
            </w:pPr>
            <w:r>
              <w:rPr>
                <w:rFonts w:hint="eastAsia"/>
                <w:color w:val="auto"/>
                <w:sz w:val="21"/>
                <w:szCs w:val="21"/>
                <w:lang w:bidi="ar"/>
              </w:rPr>
              <w:t>1500</w:t>
            </w:r>
          </w:p>
        </w:tc>
      </w:tr>
      <w:tr w14:paraId="18416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36A0B4B1">
            <w:pPr>
              <w:pStyle w:val="80"/>
              <w:spacing w:before="0" w:beforeAutospacing="0" w:after="0" w:afterAutospacing="0"/>
              <w:ind w:firstLine="0" w:firstLineChars="0"/>
              <w:jc w:val="center"/>
              <w:rPr>
                <w:rFonts w:ascii="Times New Roman" w:hAnsi="Times New Roman"/>
                <w:color w:val="auto"/>
                <w:kern w:val="2"/>
                <w:szCs w:val="21"/>
              </w:rPr>
            </w:pPr>
            <w:r>
              <w:rPr>
                <w:rFonts w:hint="eastAsia" w:ascii="Times New Roman" w:hAnsi="Times New Roman"/>
                <w:color w:val="auto"/>
                <w:kern w:val="2"/>
                <w:szCs w:val="21"/>
              </w:rPr>
              <w:t>LAS</w:t>
            </w:r>
          </w:p>
        </w:tc>
        <w:tc>
          <w:tcPr>
            <w:tcW w:w="322" w:type="pct"/>
            <w:vMerge w:val="continue"/>
            <w:tcBorders>
              <w:tl2br w:val="nil"/>
              <w:tr2bl w:val="nil"/>
            </w:tcBorders>
            <w:noWrap/>
            <w:vAlign w:val="center"/>
          </w:tcPr>
          <w:p w14:paraId="4E40B980">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24193D1E">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774A64AA">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7C04B382">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5B6775D7">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2B209D70">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1D448D7C">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69F47F92">
            <w:pPr>
              <w:spacing w:line="240" w:lineRule="auto"/>
              <w:ind w:firstLine="0" w:firstLineChars="0"/>
              <w:jc w:val="center"/>
              <w:rPr>
                <w:color w:val="auto"/>
                <w:sz w:val="21"/>
                <w:szCs w:val="21"/>
                <w:lang w:bidi="ar"/>
              </w:rPr>
            </w:pPr>
            <w:r>
              <w:rPr>
                <w:rFonts w:hint="eastAsia"/>
                <w:color w:val="auto"/>
                <w:sz w:val="21"/>
                <w:szCs w:val="21"/>
                <w:lang w:bidi="ar"/>
              </w:rPr>
              <w:t>LAS</w:t>
            </w:r>
          </w:p>
        </w:tc>
        <w:tc>
          <w:tcPr>
            <w:tcW w:w="897" w:type="pct"/>
            <w:tcBorders>
              <w:tl2br w:val="nil"/>
              <w:tr2bl w:val="nil"/>
            </w:tcBorders>
            <w:noWrap/>
            <w:vAlign w:val="center"/>
          </w:tcPr>
          <w:p w14:paraId="63CF06B6">
            <w:pPr>
              <w:spacing w:line="240" w:lineRule="auto"/>
              <w:ind w:firstLine="0" w:firstLineChars="0"/>
              <w:jc w:val="center"/>
              <w:rPr>
                <w:color w:val="auto"/>
                <w:sz w:val="21"/>
                <w:szCs w:val="21"/>
                <w:lang w:bidi="ar"/>
              </w:rPr>
            </w:pPr>
            <w:r>
              <w:rPr>
                <w:rFonts w:hint="eastAsia"/>
                <w:color w:val="auto"/>
                <w:sz w:val="21"/>
                <w:szCs w:val="21"/>
                <w:lang w:bidi="ar"/>
              </w:rPr>
              <w:t>0.5</w:t>
            </w:r>
          </w:p>
        </w:tc>
      </w:tr>
      <w:tr w14:paraId="1FA86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20D64DF3">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58791780">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38877A7E">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40730A51">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185F9766">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263FF2F5">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7E585EBE">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1F3792A4">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32015B8C">
            <w:pPr>
              <w:spacing w:line="240" w:lineRule="auto"/>
              <w:ind w:firstLine="0" w:firstLineChars="0"/>
              <w:jc w:val="center"/>
              <w:rPr>
                <w:color w:val="auto"/>
                <w:kern w:val="0"/>
                <w:sz w:val="21"/>
                <w:szCs w:val="21"/>
                <w:lang w:bidi="ar"/>
              </w:rPr>
            </w:pPr>
            <w:r>
              <w:rPr>
                <w:color w:val="auto"/>
                <w:sz w:val="21"/>
                <w:szCs w:val="21"/>
                <w:lang w:bidi="ar"/>
              </w:rPr>
              <w:t>氨氮</w:t>
            </w:r>
          </w:p>
        </w:tc>
        <w:tc>
          <w:tcPr>
            <w:tcW w:w="897" w:type="pct"/>
            <w:tcBorders>
              <w:tl2br w:val="nil"/>
              <w:tr2bl w:val="nil"/>
            </w:tcBorders>
            <w:noWrap/>
            <w:vAlign w:val="center"/>
          </w:tcPr>
          <w:p w14:paraId="7921C5A6">
            <w:pPr>
              <w:spacing w:line="240" w:lineRule="auto"/>
              <w:ind w:firstLine="0" w:firstLineChars="0"/>
              <w:jc w:val="center"/>
              <w:rPr>
                <w:color w:val="auto"/>
                <w:sz w:val="21"/>
                <w:szCs w:val="21"/>
              </w:rPr>
            </w:pPr>
            <w:r>
              <w:rPr>
                <w:color w:val="auto"/>
                <w:sz w:val="21"/>
                <w:szCs w:val="21"/>
                <w:lang w:bidi="ar"/>
              </w:rPr>
              <w:t>5</w:t>
            </w:r>
            <w:r>
              <w:rPr>
                <w:rFonts w:hint="eastAsia"/>
                <w:color w:val="auto"/>
                <w:sz w:val="21"/>
                <w:szCs w:val="21"/>
                <w:lang w:bidi="ar"/>
              </w:rPr>
              <w:t>(</w:t>
            </w:r>
            <w:r>
              <w:rPr>
                <w:color w:val="auto"/>
                <w:sz w:val="21"/>
                <w:szCs w:val="21"/>
                <w:lang w:bidi="ar"/>
              </w:rPr>
              <w:t>8</w:t>
            </w:r>
            <w:r>
              <w:rPr>
                <w:rFonts w:hint="eastAsia"/>
                <w:color w:val="auto"/>
                <w:sz w:val="21"/>
                <w:szCs w:val="21"/>
                <w:lang w:bidi="ar"/>
              </w:rPr>
              <w:t>)</w:t>
            </w:r>
          </w:p>
        </w:tc>
      </w:tr>
      <w:tr w14:paraId="00906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1BCC9D57">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13BCC4A9">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4BD147C2">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36BAB871">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34428E29">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78547CD4">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5C45CB39">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7C922D6F">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0EE5F277">
            <w:pPr>
              <w:spacing w:line="240" w:lineRule="auto"/>
              <w:ind w:firstLine="0" w:firstLineChars="0"/>
              <w:jc w:val="center"/>
              <w:rPr>
                <w:color w:val="auto"/>
                <w:kern w:val="0"/>
                <w:sz w:val="21"/>
                <w:szCs w:val="21"/>
                <w:lang w:bidi="ar"/>
              </w:rPr>
            </w:pPr>
            <w:r>
              <w:rPr>
                <w:color w:val="auto"/>
                <w:sz w:val="21"/>
                <w:szCs w:val="21"/>
                <w:lang w:bidi="ar"/>
              </w:rPr>
              <w:t>总氮</w:t>
            </w:r>
          </w:p>
        </w:tc>
        <w:tc>
          <w:tcPr>
            <w:tcW w:w="897" w:type="pct"/>
            <w:tcBorders>
              <w:tl2br w:val="nil"/>
              <w:tr2bl w:val="nil"/>
            </w:tcBorders>
            <w:noWrap/>
            <w:vAlign w:val="center"/>
          </w:tcPr>
          <w:p w14:paraId="26936B84">
            <w:pPr>
              <w:spacing w:line="240" w:lineRule="auto"/>
              <w:ind w:firstLine="0" w:firstLineChars="0"/>
              <w:jc w:val="center"/>
              <w:rPr>
                <w:color w:val="auto"/>
                <w:sz w:val="21"/>
                <w:szCs w:val="21"/>
              </w:rPr>
            </w:pPr>
            <w:r>
              <w:rPr>
                <w:color w:val="auto"/>
                <w:sz w:val="21"/>
                <w:szCs w:val="21"/>
                <w:lang w:bidi="ar"/>
              </w:rPr>
              <w:t>15</w:t>
            </w:r>
          </w:p>
        </w:tc>
      </w:tr>
      <w:tr w14:paraId="78552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5" w:type="pct"/>
            <w:vMerge w:val="continue"/>
            <w:tcBorders>
              <w:tl2br w:val="nil"/>
              <w:tr2bl w:val="nil"/>
            </w:tcBorders>
            <w:noWrap/>
            <w:vAlign w:val="center"/>
          </w:tcPr>
          <w:p w14:paraId="3EEC887C">
            <w:pPr>
              <w:pStyle w:val="80"/>
              <w:spacing w:before="0" w:beforeAutospacing="0" w:after="0" w:afterAutospacing="0"/>
              <w:ind w:firstLine="0" w:firstLineChars="0"/>
              <w:jc w:val="center"/>
              <w:rPr>
                <w:rFonts w:ascii="Times New Roman" w:hAnsi="Times New Roman"/>
                <w:color w:val="auto"/>
                <w:kern w:val="2"/>
                <w:szCs w:val="21"/>
              </w:rPr>
            </w:pPr>
          </w:p>
        </w:tc>
        <w:tc>
          <w:tcPr>
            <w:tcW w:w="322" w:type="pct"/>
            <w:vMerge w:val="continue"/>
            <w:tcBorders>
              <w:tl2br w:val="nil"/>
              <w:tr2bl w:val="nil"/>
            </w:tcBorders>
            <w:noWrap/>
            <w:vAlign w:val="center"/>
          </w:tcPr>
          <w:p w14:paraId="133CCDAD">
            <w:pPr>
              <w:pStyle w:val="80"/>
              <w:spacing w:before="0" w:beforeAutospacing="0" w:after="0" w:afterAutospacing="0"/>
              <w:ind w:firstLine="0" w:firstLineChars="0"/>
              <w:jc w:val="center"/>
              <w:rPr>
                <w:rFonts w:ascii="Times New Roman" w:hAnsi="Times New Roman"/>
                <w:color w:val="auto"/>
                <w:kern w:val="2"/>
                <w:szCs w:val="21"/>
              </w:rPr>
            </w:pPr>
          </w:p>
        </w:tc>
        <w:tc>
          <w:tcPr>
            <w:tcW w:w="510" w:type="pct"/>
            <w:vMerge w:val="continue"/>
            <w:tcBorders>
              <w:tl2br w:val="nil"/>
              <w:tr2bl w:val="nil"/>
            </w:tcBorders>
            <w:noWrap/>
            <w:vAlign w:val="center"/>
          </w:tcPr>
          <w:p w14:paraId="1EAB0F83">
            <w:pPr>
              <w:pStyle w:val="80"/>
              <w:spacing w:before="0" w:beforeAutospacing="0" w:after="0" w:afterAutospacing="0"/>
              <w:ind w:firstLine="0" w:firstLineChars="0"/>
              <w:jc w:val="center"/>
              <w:rPr>
                <w:rFonts w:ascii="Times New Roman" w:hAnsi="Times New Roman"/>
                <w:color w:val="auto"/>
                <w:kern w:val="2"/>
                <w:szCs w:val="21"/>
              </w:rPr>
            </w:pPr>
          </w:p>
        </w:tc>
        <w:tc>
          <w:tcPr>
            <w:tcW w:w="497" w:type="pct"/>
            <w:vMerge w:val="continue"/>
            <w:tcBorders>
              <w:tl2br w:val="nil"/>
              <w:tr2bl w:val="nil"/>
            </w:tcBorders>
            <w:noWrap/>
            <w:vAlign w:val="center"/>
          </w:tcPr>
          <w:p w14:paraId="237EC7C5">
            <w:pPr>
              <w:pStyle w:val="80"/>
              <w:spacing w:before="0" w:beforeAutospacing="0" w:after="0" w:afterAutospacing="0"/>
              <w:ind w:firstLine="0" w:firstLineChars="0"/>
              <w:jc w:val="center"/>
              <w:rPr>
                <w:rFonts w:ascii="Times New Roman" w:hAnsi="Times New Roman"/>
                <w:color w:val="auto"/>
                <w:kern w:val="2"/>
                <w:szCs w:val="21"/>
              </w:rPr>
            </w:pPr>
          </w:p>
        </w:tc>
        <w:tc>
          <w:tcPr>
            <w:tcW w:w="494" w:type="pct"/>
            <w:vMerge w:val="continue"/>
            <w:tcBorders>
              <w:tl2br w:val="nil"/>
              <w:tr2bl w:val="nil"/>
            </w:tcBorders>
            <w:noWrap/>
            <w:vAlign w:val="center"/>
          </w:tcPr>
          <w:p w14:paraId="51C2865D">
            <w:pPr>
              <w:pStyle w:val="80"/>
              <w:spacing w:before="0" w:beforeAutospacing="0" w:after="0" w:afterAutospacing="0"/>
              <w:ind w:firstLine="0" w:firstLineChars="0"/>
              <w:jc w:val="center"/>
              <w:rPr>
                <w:rFonts w:ascii="Times New Roman" w:hAnsi="Times New Roman"/>
                <w:color w:val="auto"/>
                <w:kern w:val="2"/>
                <w:szCs w:val="21"/>
              </w:rPr>
            </w:pPr>
          </w:p>
        </w:tc>
        <w:tc>
          <w:tcPr>
            <w:tcW w:w="438" w:type="pct"/>
            <w:vMerge w:val="continue"/>
            <w:tcBorders>
              <w:tl2br w:val="nil"/>
              <w:tr2bl w:val="nil"/>
            </w:tcBorders>
            <w:noWrap/>
            <w:vAlign w:val="center"/>
          </w:tcPr>
          <w:p w14:paraId="2EA987A9">
            <w:pPr>
              <w:pStyle w:val="80"/>
              <w:spacing w:before="0" w:beforeAutospacing="0" w:after="0" w:afterAutospacing="0"/>
              <w:ind w:firstLine="0" w:firstLineChars="0"/>
              <w:jc w:val="center"/>
              <w:rPr>
                <w:rFonts w:ascii="Times New Roman" w:hAnsi="Times New Roman"/>
                <w:color w:val="auto"/>
                <w:kern w:val="2"/>
                <w:szCs w:val="21"/>
              </w:rPr>
            </w:pPr>
          </w:p>
        </w:tc>
        <w:tc>
          <w:tcPr>
            <w:tcW w:w="440" w:type="pct"/>
            <w:vMerge w:val="continue"/>
            <w:tcBorders>
              <w:tl2br w:val="nil"/>
              <w:tr2bl w:val="nil"/>
            </w:tcBorders>
            <w:noWrap/>
            <w:vAlign w:val="center"/>
          </w:tcPr>
          <w:p w14:paraId="38C62B1F">
            <w:pPr>
              <w:pStyle w:val="80"/>
              <w:spacing w:before="0" w:beforeAutospacing="0" w:after="0" w:afterAutospacing="0"/>
              <w:ind w:firstLine="0" w:firstLineChars="0"/>
              <w:jc w:val="center"/>
              <w:rPr>
                <w:rFonts w:ascii="Times New Roman" w:hAnsi="Times New Roman"/>
                <w:color w:val="auto"/>
                <w:kern w:val="2"/>
                <w:szCs w:val="21"/>
              </w:rPr>
            </w:pPr>
          </w:p>
        </w:tc>
        <w:tc>
          <w:tcPr>
            <w:tcW w:w="371" w:type="pct"/>
            <w:vMerge w:val="continue"/>
            <w:tcBorders>
              <w:tl2br w:val="nil"/>
              <w:tr2bl w:val="nil"/>
            </w:tcBorders>
            <w:noWrap/>
            <w:vAlign w:val="center"/>
          </w:tcPr>
          <w:p w14:paraId="25711E1A">
            <w:pPr>
              <w:pStyle w:val="80"/>
              <w:spacing w:before="0" w:beforeAutospacing="0" w:after="0" w:afterAutospacing="0"/>
              <w:ind w:firstLine="0" w:firstLineChars="0"/>
              <w:jc w:val="center"/>
              <w:rPr>
                <w:rFonts w:ascii="Times New Roman" w:hAnsi="Times New Roman"/>
                <w:color w:val="auto"/>
                <w:kern w:val="2"/>
                <w:szCs w:val="21"/>
              </w:rPr>
            </w:pPr>
          </w:p>
        </w:tc>
        <w:tc>
          <w:tcPr>
            <w:tcW w:w="803" w:type="pct"/>
            <w:tcBorders>
              <w:tl2br w:val="nil"/>
              <w:tr2bl w:val="nil"/>
            </w:tcBorders>
            <w:noWrap/>
            <w:vAlign w:val="center"/>
          </w:tcPr>
          <w:p w14:paraId="7F9C9D1D">
            <w:pPr>
              <w:spacing w:line="240" w:lineRule="auto"/>
              <w:ind w:firstLine="0" w:firstLineChars="0"/>
              <w:jc w:val="center"/>
              <w:rPr>
                <w:color w:val="auto"/>
                <w:kern w:val="0"/>
                <w:sz w:val="21"/>
                <w:szCs w:val="21"/>
                <w:lang w:bidi="ar"/>
              </w:rPr>
            </w:pPr>
            <w:r>
              <w:rPr>
                <w:color w:val="auto"/>
                <w:sz w:val="21"/>
                <w:szCs w:val="21"/>
                <w:lang w:bidi="ar"/>
              </w:rPr>
              <w:t>总磷</w:t>
            </w:r>
          </w:p>
        </w:tc>
        <w:tc>
          <w:tcPr>
            <w:tcW w:w="897" w:type="pct"/>
            <w:tcBorders>
              <w:tl2br w:val="nil"/>
              <w:tr2bl w:val="nil"/>
            </w:tcBorders>
            <w:noWrap/>
            <w:vAlign w:val="center"/>
          </w:tcPr>
          <w:p w14:paraId="3644614A">
            <w:pPr>
              <w:spacing w:line="240" w:lineRule="auto"/>
              <w:ind w:firstLine="0" w:firstLineChars="0"/>
              <w:jc w:val="center"/>
              <w:rPr>
                <w:color w:val="auto"/>
                <w:sz w:val="21"/>
                <w:szCs w:val="21"/>
              </w:rPr>
            </w:pPr>
            <w:r>
              <w:rPr>
                <w:color w:val="auto"/>
                <w:sz w:val="21"/>
                <w:szCs w:val="21"/>
                <w:lang w:bidi="ar"/>
              </w:rPr>
              <w:t>0.5</w:t>
            </w:r>
          </w:p>
        </w:tc>
      </w:tr>
    </w:tbl>
    <w:p w14:paraId="750D37CB">
      <w:pPr>
        <w:spacing w:line="240" w:lineRule="auto"/>
        <w:ind w:firstLine="0" w:firstLineChars="0"/>
        <w:rPr>
          <w:b/>
          <w:color w:val="auto"/>
        </w:rPr>
      </w:pPr>
      <w:r>
        <w:rPr>
          <w:b/>
          <w:bCs/>
          <w:color w:val="auto"/>
          <w:sz w:val="21"/>
          <w:szCs w:val="18"/>
        </w:rPr>
        <w:t>注：</w:t>
      </w:r>
      <w:r>
        <w:rPr>
          <w:color w:val="auto"/>
          <w:sz w:val="21"/>
          <w:szCs w:val="18"/>
        </w:rPr>
        <w:t>1.括号外数值为水温＞12℃时的控制指标，括号内数值为水温≤12℃时的控制指标。2.*开发区临港污水处理厂其他污染物执行《城镇污水处理厂污染物排放标准》（GB18918-2002）中的一级A标准</w:t>
      </w:r>
      <w:r>
        <w:rPr>
          <w:rFonts w:hint="eastAsia"/>
          <w:color w:val="auto"/>
          <w:sz w:val="21"/>
          <w:szCs w:val="18"/>
        </w:rPr>
        <w:t>。</w:t>
      </w:r>
    </w:p>
    <w:p w14:paraId="172254F8">
      <w:pPr>
        <w:pStyle w:val="1841"/>
        <w:tabs>
          <w:tab w:val="left" w:pos="3960"/>
        </w:tabs>
        <w:spacing w:before="0" w:line="240" w:lineRule="auto"/>
        <w:ind w:firstLine="0" w:firstLineChars="0"/>
        <w:jc w:val="center"/>
        <w:rPr>
          <w:b/>
          <w:color w:val="auto"/>
        </w:rPr>
      </w:pPr>
      <w:r>
        <w:rPr>
          <w:b/>
          <w:color w:val="auto"/>
        </w:rPr>
        <w:t>表</w:t>
      </w:r>
      <w:r>
        <w:rPr>
          <w:rFonts w:hint="eastAsia"/>
          <w:b/>
          <w:color w:val="auto"/>
        </w:rPr>
        <w:t>6.2.2-3</w:t>
      </w:r>
      <w:r>
        <w:rPr>
          <w:b/>
          <w:color w:val="auto"/>
        </w:rPr>
        <w:t xml:space="preserve">  废水污染物排放信息表</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143"/>
        <w:gridCol w:w="2484"/>
        <w:gridCol w:w="2952"/>
        <w:gridCol w:w="2175"/>
        <w:gridCol w:w="3356"/>
      </w:tblGrid>
      <w:tr w14:paraId="5E6A3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Align w:val="center"/>
          </w:tcPr>
          <w:p w14:paraId="1B2269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748" w:type="pct"/>
            <w:vAlign w:val="center"/>
          </w:tcPr>
          <w:p w14:paraId="122562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接管口编号</w:t>
            </w:r>
          </w:p>
        </w:tc>
        <w:tc>
          <w:tcPr>
            <w:tcW w:w="867" w:type="pct"/>
            <w:vAlign w:val="center"/>
          </w:tcPr>
          <w:p w14:paraId="3F4B4F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污染物种类</w:t>
            </w:r>
          </w:p>
        </w:tc>
        <w:tc>
          <w:tcPr>
            <w:tcW w:w="1030" w:type="pct"/>
            <w:vAlign w:val="center"/>
          </w:tcPr>
          <w:p w14:paraId="473887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排放浓度/（mg/L）</w:t>
            </w:r>
          </w:p>
        </w:tc>
        <w:tc>
          <w:tcPr>
            <w:tcW w:w="759" w:type="pct"/>
            <w:vAlign w:val="center"/>
          </w:tcPr>
          <w:p w14:paraId="5EBBD5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日排放量/（kg/d）</w:t>
            </w:r>
          </w:p>
        </w:tc>
        <w:tc>
          <w:tcPr>
            <w:tcW w:w="1171" w:type="pct"/>
            <w:vAlign w:val="center"/>
          </w:tcPr>
          <w:p w14:paraId="6705A3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年排放量/（t/a）</w:t>
            </w:r>
          </w:p>
        </w:tc>
      </w:tr>
      <w:tr w14:paraId="0BDFE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3" w:type="pct"/>
            <w:vMerge w:val="restart"/>
            <w:vAlign w:val="center"/>
          </w:tcPr>
          <w:p w14:paraId="2CFDC8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48" w:type="pct"/>
            <w:vMerge w:val="restart"/>
            <w:vAlign w:val="center"/>
          </w:tcPr>
          <w:p w14:paraId="1F0915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867" w:type="pct"/>
            <w:vAlign w:val="center"/>
          </w:tcPr>
          <w:p w14:paraId="3A7888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030" w:type="pct"/>
            <w:shd w:val="clear" w:color="auto" w:fill="auto"/>
            <w:vAlign w:val="center"/>
          </w:tcPr>
          <w:p w14:paraId="3D19AA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 xml:space="preserve">263.20 </w:t>
            </w:r>
          </w:p>
        </w:tc>
        <w:tc>
          <w:tcPr>
            <w:tcW w:w="2175" w:type="dxa"/>
            <w:vAlign w:val="bottom"/>
          </w:tcPr>
          <w:p w14:paraId="1CA867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等线" w:cs="Times New Roman"/>
                <w:i w:val="0"/>
                <w:iCs w:val="0"/>
                <w:color w:val="000000"/>
                <w:kern w:val="0"/>
                <w:sz w:val="22"/>
                <w:szCs w:val="22"/>
                <w:u w:val="none"/>
                <w:lang w:val="en-US" w:eastAsia="zh-CN" w:bidi="ar"/>
              </w:rPr>
              <w:t>231.423</w:t>
            </w:r>
          </w:p>
        </w:tc>
        <w:tc>
          <w:tcPr>
            <w:tcW w:w="1171" w:type="pct"/>
            <w:shd w:val="clear" w:color="auto" w:fill="auto"/>
            <w:vAlign w:val="center"/>
          </w:tcPr>
          <w:p w14:paraId="038B23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76.370</w:t>
            </w:r>
          </w:p>
        </w:tc>
      </w:tr>
      <w:tr w14:paraId="7EE85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vAlign w:val="center"/>
          </w:tcPr>
          <w:p w14:paraId="26F72E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73B923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2085A8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030" w:type="pct"/>
            <w:shd w:val="clear" w:color="auto" w:fill="auto"/>
            <w:vAlign w:val="center"/>
          </w:tcPr>
          <w:p w14:paraId="429610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37.75</w:t>
            </w:r>
          </w:p>
        </w:tc>
        <w:tc>
          <w:tcPr>
            <w:tcW w:w="2175" w:type="dxa"/>
            <w:vAlign w:val="bottom"/>
          </w:tcPr>
          <w:p w14:paraId="11F47A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等线" w:cs="Times New Roman"/>
                <w:i w:val="0"/>
                <w:iCs w:val="0"/>
                <w:color w:val="000000"/>
                <w:kern w:val="0"/>
                <w:sz w:val="22"/>
                <w:szCs w:val="22"/>
                <w:u w:val="none"/>
                <w:lang w:val="en-US" w:eastAsia="zh-CN" w:bidi="ar"/>
              </w:rPr>
              <w:t>33.189</w:t>
            </w:r>
          </w:p>
        </w:tc>
        <w:tc>
          <w:tcPr>
            <w:tcW w:w="1171" w:type="pct"/>
            <w:shd w:val="clear" w:color="auto" w:fill="auto"/>
            <w:vAlign w:val="center"/>
          </w:tcPr>
          <w:p w14:paraId="6B0D79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kern w:val="0"/>
                <w:sz w:val="21"/>
                <w:szCs w:val="21"/>
                <w:lang w:bidi="ar"/>
              </w:rPr>
              <w:t>10.952</w:t>
            </w:r>
          </w:p>
        </w:tc>
      </w:tr>
      <w:tr w14:paraId="0310A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vAlign w:val="center"/>
          </w:tcPr>
          <w:p w14:paraId="337D47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683A9F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2BF8B2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030" w:type="pct"/>
            <w:shd w:val="clear" w:color="auto" w:fill="auto"/>
            <w:vAlign w:val="center"/>
          </w:tcPr>
          <w:p w14:paraId="7EDFD5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eastAsia="等线" w:cs="Times New Roman"/>
                <w:color w:val="auto"/>
                <w:kern w:val="0"/>
                <w:sz w:val="21"/>
                <w:szCs w:val="21"/>
                <w:lang w:bidi="ar"/>
              </w:rPr>
              <w:t>1</w:t>
            </w:r>
            <w:r>
              <w:rPr>
                <w:rFonts w:hint="default" w:ascii="Times New Roman" w:hAnsi="Times New Roman" w:eastAsia="等线" w:cs="Times New Roman"/>
                <w:color w:val="auto"/>
                <w:kern w:val="0"/>
                <w:sz w:val="21"/>
                <w:szCs w:val="21"/>
                <w:lang w:val="en-US" w:eastAsia="zh-CN" w:bidi="ar"/>
              </w:rPr>
              <w:t>8.01</w:t>
            </w:r>
          </w:p>
        </w:tc>
        <w:tc>
          <w:tcPr>
            <w:tcW w:w="2175" w:type="dxa"/>
            <w:vAlign w:val="bottom"/>
          </w:tcPr>
          <w:p w14:paraId="6C0DA9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等线" w:cs="Times New Roman"/>
                <w:i w:val="0"/>
                <w:iCs w:val="0"/>
                <w:color w:val="000000"/>
                <w:kern w:val="0"/>
                <w:sz w:val="22"/>
                <w:szCs w:val="22"/>
                <w:u w:val="none"/>
                <w:lang w:val="en-US" w:eastAsia="zh-CN" w:bidi="ar"/>
              </w:rPr>
              <w:t>15.835</w:t>
            </w:r>
          </w:p>
        </w:tc>
        <w:tc>
          <w:tcPr>
            <w:tcW w:w="1171" w:type="pct"/>
            <w:shd w:val="clear" w:color="auto" w:fill="auto"/>
            <w:vAlign w:val="center"/>
          </w:tcPr>
          <w:p w14:paraId="633BAA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kern w:val="0"/>
                <w:sz w:val="21"/>
                <w:szCs w:val="21"/>
                <w:lang w:bidi="ar"/>
              </w:rPr>
              <w:t>5.</w:t>
            </w:r>
            <w:r>
              <w:rPr>
                <w:rFonts w:hint="default" w:ascii="Times New Roman" w:hAnsi="Times New Roman" w:eastAsia="等线" w:cs="Times New Roman"/>
                <w:color w:val="auto"/>
                <w:kern w:val="0"/>
                <w:sz w:val="21"/>
                <w:szCs w:val="21"/>
                <w:lang w:val="en-US" w:eastAsia="zh-CN" w:bidi="ar"/>
              </w:rPr>
              <w:t>226</w:t>
            </w:r>
          </w:p>
        </w:tc>
      </w:tr>
      <w:tr w14:paraId="41F09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continue"/>
            <w:vAlign w:val="center"/>
          </w:tcPr>
          <w:p w14:paraId="30D4AC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69DB3D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1AE003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1030" w:type="pct"/>
            <w:shd w:val="clear" w:color="auto" w:fill="auto"/>
            <w:vAlign w:val="center"/>
          </w:tcPr>
          <w:p w14:paraId="1EFE86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eastAsia="等线" w:cs="Times New Roman"/>
                <w:color w:val="auto"/>
                <w:kern w:val="0"/>
                <w:sz w:val="21"/>
                <w:szCs w:val="21"/>
                <w:lang w:bidi="ar"/>
              </w:rPr>
              <w:t>0.</w:t>
            </w:r>
            <w:r>
              <w:rPr>
                <w:rFonts w:hint="default" w:ascii="Times New Roman" w:hAnsi="Times New Roman" w:eastAsia="等线" w:cs="Times New Roman"/>
                <w:color w:val="auto"/>
                <w:kern w:val="0"/>
                <w:sz w:val="21"/>
                <w:szCs w:val="21"/>
                <w:lang w:val="en-US" w:eastAsia="zh-CN" w:bidi="ar"/>
              </w:rPr>
              <w:t>538</w:t>
            </w:r>
          </w:p>
        </w:tc>
        <w:tc>
          <w:tcPr>
            <w:tcW w:w="2175" w:type="dxa"/>
            <w:vAlign w:val="bottom"/>
          </w:tcPr>
          <w:p w14:paraId="25850F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等线" w:cs="Times New Roman"/>
                <w:i w:val="0"/>
                <w:iCs w:val="0"/>
                <w:color w:val="000000"/>
                <w:kern w:val="0"/>
                <w:sz w:val="22"/>
                <w:szCs w:val="22"/>
                <w:u w:val="none"/>
                <w:lang w:val="en-US" w:eastAsia="zh-CN" w:bidi="ar"/>
              </w:rPr>
              <w:t>0.473</w:t>
            </w:r>
          </w:p>
        </w:tc>
        <w:tc>
          <w:tcPr>
            <w:tcW w:w="1171" w:type="pct"/>
            <w:shd w:val="clear" w:color="auto" w:fill="auto"/>
            <w:vAlign w:val="center"/>
          </w:tcPr>
          <w:p w14:paraId="7CAADD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kern w:val="0"/>
                <w:sz w:val="21"/>
                <w:szCs w:val="21"/>
                <w:lang w:bidi="ar"/>
              </w:rPr>
              <w:t>0.1</w:t>
            </w:r>
            <w:r>
              <w:rPr>
                <w:rFonts w:hint="default" w:ascii="Times New Roman" w:hAnsi="Times New Roman" w:eastAsia="等线" w:cs="Times New Roman"/>
                <w:color w:val="auto"/>
                <w:kern w:val="0"/>
                <w:sz w:val="21"/>
                <w:szCs w:val="21"/>
                <w:lang w:val="en-US" w:eastAsia="zh-CN" w:bidi="ar"/>
              </w:rPr>
              <w:t>56</w:t>
            </w:r>
          </w:p>
        </w:tc>
      </w:tr>
      <w:tr w14:paraId="68EB2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23" w:type="pct"/>
            <w:vMerge w:val="continue"/>
            <w:vAlign w:val="center"/>
          </w:tcPr>
          <w:p w14:paraId="46B7E3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17B1D8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1CBAF3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总氮</w:t>
            </w:r>
          </w:p>
        </w:tc>
        <w:tc>
          <w:tcPr>
            <w:tcW w:w="1030" w:type="pct"/>
            <w:shd w:val="clear" w:color="auto" w:fill="auto"/>
            <w:vAlign w:val="center"/>
          </w:tcPr>
          <w:p w14:paraId="4B25AB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28.92</w:t>
            </w:r>
          </w:p>
        </w:tc>
        <w:tc>
          <w:tcPr>
            <w:tcW w:w="2175" w:type="dxa"/>
            <w:vAlign w:val="bottom"/>
          </w:tcPr>
          <w:p w14:paraId="7F35C6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等线" w:cs="Times New Roman"/>
                <w:i w:val="0"/>
                <w:iCs w:val="0"/>
                <w:color w:val="000000"/>
                <w:kern w:val="0"/>
                <w:sz w:val="22"/>
                <w:szCs w:val="22"/>
                <w:u w:val="none"/>
                <w:lang w:val="en-US" w:eastAsia="zh-CN" w:bidi="ar"/>
              </w:rPr>
              <w:t>25.429</w:t>
            </w:r>
          </w:p>
        </w:tc>
        <w:tc>
          <w:tcPr>
            <w:tcW w:w="1171" w:type="pct"/>
            <w:shd w:val="clear" w:color="auto" w:fill="auto"/>
            <w:vAlign w:val="center"/>
          </w:tcPr>
          <w:p w14:paraId="4D058C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8.391</w:t>
            </w:r>
          </w:p>
        </w:tc>
      </w:tr>
      <w:tr w14:paraId="1702A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vAlign w:val="center"/>
          </w:tcPr>
          <w:p w14:paraId="1FFBF9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209877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142223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总铝</w:t>
            </w:r>
          </w:p>
        </w:tc>
        <w:tc>
          <w:tcPr>
            <w:tcW w:w="1030" w:type="pct"/>
            <w:shd w:val="clear" w:color="auto" w:fill="auto"/>
            <w:vAlign w:val="center"/>
          </w:tcPr>
          <w:p w14:paraId="7CC5C5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eastAsia="等线" w:cs="Times New Roman"/>
                <w:color w:val="auto"/>
                <w:kern w:val="0"/>
                <w:sz w:val="21"/>
                <w:szCs w:val="21"/>
                <w:lang w:bidi="ar"/>
              </w:rPr>
              <w:t>1.36</w:t>
            </w:r>
          </w:p>
        </w:tc>
        <w:tc>
          <w:tcPr>
            <w:tcW w:w="2175" w:type="dxa"/>
            <w:vAlign w:val="bottom"/>
          </w:tcPr>
          <w:p w14:paraId="4A2544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eastAsia="等线" w:cs="Times New Roman"/>
                <w:i w:val="0"/>
                <w:iCs w:val="0"/>
                <w:color w:val="000000"/>
                <w:kern w:val="0"/>
                <w:sz w:val="22"/>
                <w:szCs w:val="22"/>
                <w:u w:val="none"/>
                <w:lang w:val="en-US" w:eastAsia="zh-CN" w:bidi="ar"/>
              </w:rPr>
              <w:t>1.193</w:t>
            </w:r>
          </w:p>
        </w:tc>
        <w:tc>
          <w:tcPr>
            <w:tcW w:w="1171" w:type="pct"/>
            <w:shd w:val="clear" w:color="auto" w:fill="auto"/>
            <w:vAlign w:val="center"/>
          </w:tcPr>
          <w:p w14:paraId="12BA7A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等线" w:cs="Times New Roman"/>
                <w:color w:val="auto"/>
                <w:kern w:val="0"/>
                <w:sz w:val="21"/>
                <w:szCs w:val="21"/>
                <w:lang w:bidi="ar"/>
              </w:rPr>
              <w:t>0.394</w:t>
            </w:r>
          </w:p>
        </w:tc>
      </w:tr>
      <w:tr w14:paraId="52C87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vAlign w:val="center"/>
          </w:tcPr>
          <w:p w14:paraId="5CC7CE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7857BE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592CEE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1030" w:type="pct"/>
            <w:shd w:val="clear" w:color="auto" w:fill="auto"/>
            <w:vAlign w:val="center"/>
          </w:tcPr>
          <w:p w14:paraId="2BC9BD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6.02</w:t>
            </w:r>
          </w:p>
        </w:tc>
        <w:tc>
          <w:tcPr>
            <w:tcW w:w="2175" w:type="dxa"/>
            <w:vAlign w:val="bottom"/>
          </w:tcPr>
          <w:p w14:paraId="756A07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eastAsia="等线" w:cs="Times New Roman"/>
                <w:i w:val="0"/>
                <w:iCs w:val="0"/>
                <w:color w:val="000000"/>
                <w:kern w:val="0"/>
                <w:sz w:val="22"/>
                <w:szCs w:val="22"/>
                <w:u w:val="none"/>
                <w:lang w:val="en-US" w:eastAsia="zh-CN" w:bidi="ar"/>
              </w:rPr>
              <w:t>5.297</w:t>
            </w:r>
          </w:p>
        </w:tc>
        <w:tc>
          <w:tcPr>
            <w:tcW w:w="1171" w:type="pct"/>
            <w:shd w:val="clear" w:color="auto" w:fill="auto"/>
            <w:vAlign w:val="center"/>
          </w:tcPr>
          <w:p w14:paraId="7FA75D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等线" w:cs="Times New Roman"/>
                <w:color w:val="auto"/>
                <w:kern w:val="0"/>
                <w:sz w:val="21"/>
                <w:szCs w:val="21"/>
                <w:lang w:bidi="ar"/>
              </w:rPr>
              <w:t>1.</w:t>
            </w:r>
            <w:r>
              <w:rPr>
                <w:rFonts w:hint="default" w:ascii="Times New Roman" w:hAnsi="Times New Roman" w:eastAsia="等线" w:cs="Times New Roman"/>
                <w:color w:val="auto"/>
                <w:kern w:val="0"/>
                <w:sz w:val="21"/>
                <w:szCs w:val="21"/>
                <w:lang w:val="en-US" w:eastAsia="zh-CN" w:bidi="ar"/>
              </w:rPr>
              <w:t>748</w:t>
            </w:r>
          </w:p>
        </w:tc>
      </w:tr>
      <w:tr w14:paraId="15C81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423" w:type="pct"/>
            <w:vMerge w:val="continue"/>
            <w:vAlign w:val="center"/>
          </w:tcPr>
          <w:p w14:paraId="6F0980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5A83FB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146479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LAS</w:t>
            </w:r>
          </w:p>
        </w:tc>
        <w:tc>
          <w:tcPr>
            <w:tcW w:w="1030" w:type="pct"/>
            <w:shd w:val="clear" w:color="auto" w:fill="auto"/>
            <w:vAlign w:val="center"/>
          </w:tcPr>
          <w:p w14:paraId="6D9446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val="en-US" w:eastAsia="zh-CN" w:bidi="ar"/>
              </w:rPr>
              <w:t>16.93</w:t>
            </w:r>
          </w:p>
        </w:tc>
        <w:tc>
          <w:tcPr>
            <w:tcW w:w="2175" w:type="dxa"/>
            <w:vAlign w:val="bottom"/>
          </w:tcPr>
          <w:p w14:paraId="6C60D9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eastAsia="等线" w:cs="Times New Roman"/>
                <w:i w:val="0"/>
                <w:iCs w:val="0"/>
                <w:color w:val="000000"/>
                <w:kern w:val="0"/>
                <w:sz w:val="22"/>
                <w:szCs w:val="22"/>
                <w:u w:val="none"/>
                <w:lang w:val="en-US" w:eastAsia="zh-CN" w:bidi="ar"/>
              </w:rPr>
              <w:t>14.884</w:t>
            </w:r>
          </w:p>
        </w:tc>
        <w:tc>
          <w:tcPr>
            <w:tcW w:w="1171" w:type="pct"/>
            <w:shd w:val="clear" w:color="auto" w:fill="auto"/>
            <w:vAlign w:val="center"/>
          </w:tcPr>
          <w:p w14:paraId="5A8E07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等线" w:cs="Times New Roman"/>
                <w:color w:val="auto"/>
                <w:kern w:val="0"/>
                <w:sz w:val="21"/>
                <w:szCs w:val="21"/>
                <w:lang w:val="en-US" w:eastAsia="zh-CN" w:bidi="ar"/>
              </w:rPr>
              <w:t>4.912</w:t>
            </w:r>
          </w:p>
        </w:tc>
      </w:tr>
      <w:tr w14:paraId="50EEF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23" w:type="pct"/>
            <w:vMerge w:val="continue"/>
            <w:vAlign w:val="center"/>
          </w:tcPr>
          <w:p w14:paraId="378005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45575D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43AF54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总锡</w:t>
            </w:r>
          </w:p>
        </w:tc>
        <w:tc>
          <w:tcPr>
            <w:tcW w:w="1030" w:type="pct"/>
            <w:shd w:val="clear" w:color="auto" w:fill="auto"/>
            <w:vAlign w:val="center"/>
          </w:tcPr>
          <w:p w14:paraId="384F9E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bidi="ar"/>
              </w:rPr>
              <w:t>2.93</w:t>
            </w:r>
          </w:p>
        </w:tc>
        <w:tc>
          <w:tcPr>
            <w:tcW w:w="2175" w:type="dxa"/>
            <w:vAlign w:val="bottom"/>
          </w:tcPr>
          <w:p w14:paraId="6174FD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eastAsia="等线" w:cs="Times New Roman"/>
                <w:i w:val="0"/>
                <w:iCs w:val="0"/>
                <w:color w:val="000000"/>
                <w:kern w:val="0"/>
                <w:sz w:val="22"/>
                <w:szCs w:val="22"/>
                <w:u w:val="none"/>
                <w:lang w:val="en-US" w:eastAsia="zh-CN" w:bidi="ar"/>
              </w:rPr>
              <w:t>2.580</w:t>
            </w:r>
          </w:p>
        </w:tc>
        <w:tc>
          <w:tcPr>
            <w:tcW w:w="1171" w:type="pct"/>
            <w:shd w:val="clear" w:color="auto" w:fill="auto"/>
            <w:vAlign w:val="center"/>
          </w:tcPr>
          <w:p w14:paraId="6026F0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kern w:val="0"/>
                <w:sz w:val="21"/>
                <w:szCs w:val="21"/>
                <w:lang w:bidi="ar"/>
              </w:rPr>
              <w:t>0.851</w:t>
            </w:r>
          </w:p>
        </w:tc>
      </w:tr>
      <w:tr w14:paraId="553CA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23" w:type="pct"/>
            <w:vMerge w:val="continue"/>
            <w:vAlign w:val="center"/>
          </w:tcPr>
          <w:p w14:paraId="7B9D74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629CB7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31316F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动植物油</w:t>
            </w:r>
          </w:p>
        </w:tc>
        <w:tc>
          <w:tcPr>
            <w:tcW w:w="1030" w:type="pct"/>
            <w:shd w:val="clear" w:color="auto" w:fill="auto"/>
            <w:vAlign w:val="center"/>
          </w:tcPr>
          <w:p w14:paraId="509DA8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eastAsia="等线" w:cs="Times New Roman"/>
                <w:color w:val="auto"/>
                <w:kern w:val="0"/>
                <w:sz w:val="21"/>
                <w:szCs w:val="21"/>
                <w:lang w:bidi="ar"/>
              </w:rPr>
              <w:t>0.68</w:t>
            </w:r>
          </w:p>
        </w:tc>
        <w:tc>
          <w:tcPr>
            <w:tcW w:w="2175" w:type="dxa"/>
            <w:vAlign w:val="bottom"/>
          </w:tcPr>
          <w:p w14:paraId="4B63DA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eastAsia="等线" w:cs="Times New Roman"/>
                <w:i w:val="0"/>
                <w:iCs w:val="0"/>
                <w:color w:val="000000"/>
                <w:kern w:val="0"/>
                <w:sz w:val="22"/>
                <w:szCs w:val="22"/>
                <w:u w:val="none"/>
                <w:lang w:val="en-US" w:eastAsia="zh-CN" w:bidi="ar"/>
              </w:rPr>
              <w:t>0.600</w:t>
            </w:r>
          </w:p>
        </w:tc>
        <w:tc>
          <w:tcPr>
            <w:tcW w:w="1171" w:type="pct"/>
            <w:shd w:val="clear" w:color="auto" w:fill="auto"/>
            <w:vAlign w:val="center"/>
          </w:tcPr>
          <w:p w14:paraId="50C29E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等线" w:cs="Times New Roman"/>
                <w:color w:val="auto"/>
                <w:kern w:val="0"/>
                <w:sz w:val="21"/>
                <w:szCs w:val="21"/>
                <w:lang w:bidi="ar"/>
              </w:rPr>
              <w:t>0.198</w:t>
            </w:r>
          </w:p>
        </w:tc>
      </w:tr>
      <w:tr w14:paraId="46682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23" w:type="pct"/>
            <w:vMerge w:val="continue"/>
            <w:vAlign w:val="center"/>
          </w:tcPr>
          <w:p w14:paraId="11F4F6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748" w:type="pct"/>
            <w:vMerge w:val="continue"/>
            <w:vAlign w:val="center"/>
          </w:tcPr>
          <w:p w14:paraId="7D9EF5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867" w:type="pct"/>
            <w:vAlign w:val="center"/>
          </w:tcPr>
          <w:p w14:paraId="56405F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盐分</w:t>
            </w:r>
          </w:p>
        </w:tc>
        <w:tc>
          <w:tcPr>
            <w:tcW w:w="1030" w:type="pct"/>
            <w:shd w:val="clear" w:color="auto" w:fill="auto"/>
            <w:vAlign w:val="center"/>
          </w:tcPr>
          <w:p w14:paraId="7EA03D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eastAsia="等线" w:cs="Times New Roman"/>
                <w:color w:val="auto"/>
                <w:kern w:val="0"/>
                <w:sz w:val="21"/>
                <w:szCs w:val="21"/>
                <w:lang w:bidi="ar"/>
              </w:rPr>
              <w:t>447.39</w:t>
            </w:r>
          </w:p>
        </w:tc>
        <w:tc>
          <w:tcPr>
            <w:tcW w:w="2175" w:type="dxa"/>
            <w:vAlign w:val="bottom"/>
          </w:tcPr>
          <w:p w14:paraId="6470F8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lang w:bidi="ar"/>
              </w:rPr>
            </w:pPr>
            <w:r>
              <w:rPr>
                <w:rFonts w:hint="default" w:ascii="Times New Roman" w:hAnsi="Times New Roman" w:eastAsia="等线" w:cs="Times New Roman"/>
                <w:i w:val="0"/>
                <w:iCs w:val="0"/>
                <w:color w:val="000000"/>
                <w:kern w:val="0"/>
                <w:sz w:val="22"/>
                <w:szCs w:val="22"/>
                <w:u w:val="none"/>
                <w:lang w:val="en-US" w:eastAsia="zh-CN" w:bidi="ar"/>
              </w:rPr>
              <w:t>393.375</w:t>
            </w:r>
          </w:p>
        </w:tc>
        <w:tc>
          <w:tcPr>
            <w:tcW w:w="1171" w:type="pct"/>
            <w:shd w:val="clear" w:color="auto" w:fill="auto"/>
            <w:vAlign w:val="center"/>
          </w:tcPr>
          <w:p w14:paraId="5CFF3A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等线" w:cs="Times New Roman"/>
                <w:color w:val="auto"/>
                <w:kern w:val="0"/>
                <w:sz w:val="21"/>
                <w:szCs w:val="21"/>
                <w:lang w:bidi="ar"/>
              </w:rPr>
              <w:t>129.814</w:t>
            </w:r>
          </w:p>
        </w:tc>
      </w:tr>
      <w:tr w14:paraId="0490A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pct"/>
            <w:gridSpan w:val="2"/>
            <w:vMerge w:val="restart"/>
            <w:vAlign w:val="center"/>
          </w:tcPr>
          <w:p w14:paraId="25A202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全厂接管口合计</w:t>
            </w:r>
          </w:p>
        </w:tc>
        <w:tc>
          <w:tcPr>
            <w:tcW w:w="2656" w:type="pct"/>
            <w:gridSpan w:val="3"/>
            <w:shd w:val="clear" w:color="auto" w:fill="auto"/>
            <w:vAlign w:val="center"/>
          </w:tcPr>
          <w:p w14:paraId="534CE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3356" w:type="dxa"/>
            <w:shd w:val="clear" w:color="auto" w:fill="auto"/>
            <w:vAlign w:val="center"/>
          </w:tcPr>
          <w:p w14:paraId="47B1A1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76.370</w:t>
            </w:r>
          </w:p>
        </w:tc>
      </w:tr>
      <w:tr w14:paraId="4AED1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71" w:type="pct"/>
            <w:gridSpan w:val="2"/>
            <w:vMerge w:val="continue"/>
            <w:vAlign w:val="center"/>
          </w:tcPr>
          <w:p w14:paraId="3C6364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4C17F5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3356" w:type="dxa"/>
            <w:shd w:val="clear" w:color="auto" w:fill="auto"/>
            <w:vAlign w:val="center"/>
          </w:tcPr>
          <w:p w14:paraId="4E2DB7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color w:val="auto"/>
                <w:kern w:val="0"/>
                <w:sz w:val="21"/>
                <w:szCs w:val="21"/>
                <w:lang w:bidi="ar"/>
              </w:rPr>
              <w:t>10.952</w:t>
            </w:r>
          </w:p>
        </w:tc>
      </w:tr>
      <w:tr w14:paraId="4A43F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pct"/>
            <w:gridSpan w:val="2"/>
            <w:vMerge w:val="continue"/>
            <w:vAlign w:val="center"/>
          </w:tcPr>
          <w:p w14:paraId="043C82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206972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3356" w:type="dxa"/>
            <w:shd w:val="clear" w:color="auto" w:fill="auto"/>
            <w:vAlign w:val="center"/>
          </w:tcPr>
          <w:p w14:paraId="0851EE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color w:val="auto"/>
                <w:kern w:val="0"/>
                <w:sz w:val="21"/>
                <w:szCs w:val="21"/>
                <w:lang w:bidi="ar"/>
              </w:rPr>
              <w:t>5.</w:t>
            </w:r>
            <w:r>
              <w:rPr>
                <w:rFonts w:hint="default" w:ascii="Times New Roman" w:hAnsi="Times New Roman" w:eastAsia="等线" w:cs="Times New Roman"/>
                <w:color w:val="auto"/>
                <w:kern w:val="0"/>
                <w:sz w:val="21"/>
                <w:szCs w:val="21"/>
                <w:lang w:val="en-US" w:eastAsia="zh-CN" w:bidi="ar"/>
              </w:rPr>
              <w:t>226</w:t>
            </w:r>
          </w:p>
        </w:tc>
      </w:tr>
      <w:tr w14:paraId="6FBF7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pct"/>
            <w:gridSpan w:val="2"/>
            <w:vMerge w:val="continue"/>
            <w:vAlign w:val="center"/>
          </w:tcPr>
          <w:p w14:paraId="2C6BBA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3BE165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总磷</w:t>
            </w:r>
          </w:p>
        </w:tc>
        <w:tc>
          <w:tcPr>
            <w:tcW w:w="3356" w:type="dxa"/>
            <w:shd w:val="clear" w:color="auto" w:fill="auto"/>
            <w:vAlign w:val="center"/>
          </w:tcPr>
          <w:p w14:paraId="50F55B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color w:val="auto"/>
                <w:kern w:val="0"/>
                <w:sz w:val="21"/>
                <w:szCs w:val="21"/>
                <w:lang w:bidi="ar"/>
              </w:rPr>
              <w:t>0.1</w:t>
            </w:r>
            <w:r>
              <w:rPr>
                <w:rFonts w:hint="default" w:ascii="Times New Roman" w:hAnsi="Times New Roman" w:eastAsia="等线" w:cs="Times New Roman"/>
                <w:color w:val="auto"/>
                <w:kern w:val="0"/>
                <w:sz w:val="21"/>
                <w:szCs w:val="21"/>
                <w:lang w:val="en-US" w:eastAsia="zh-CN" w:bidi="ar"/>
              </w:rPr>
              <w:t>56</w:t>
            </w:r>
          </w:p>
        </w:tc>
      </w:tr>
      <w:tr w14:paraId="7FCDB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71" w:type="pct"/>
            <w:gridSpan w:val="2"/>
            <w:vMerge w:val="continue"/>
            <w:vAlign w:val="center"/>
          </w:tcPr>
          <w:p w14:paraId="1EF855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380404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总氮</w:t>
            </w:r>
          </w:p>
        </w:tc>
        <w:tc>
          <w:tcPr>
            <w:tcW w:w="3356" w:type="dxa"/>
            <w:shd w:val="clear" w:color="auto" w:fill="auto"/>
            <w:vAlign w:val="center"/>
          </w:tcPr>
          <w:p w14:paraId="0D292D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8.391</w:t>
            </w:r>
          </w:p>
        </w:tc>
      </w:tr>
      <w:tr w14:paraId="606EF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171" w:type="pct"/>
            <w:gridSpan w:val="2"/>
            <w:vMerge w:val="continue"/>
            <w:vAlign w:val="center"/>
          </w:tcPr>
          <w:p w14:paraId="11D7C3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1D6389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总铝</w:t>
            </w:r>
          </w:p>
        </w:tc>
        <w:tc>
          <w:tcPr>
            <w:tcW w:w="3356" w:type="dxa"/>
            <w:shd w:val="clear" w:color="auto" w:fill="auto"/>
            <w:vAlign w:val="center"/>
          </w:tcPr>
          <w:p w14:paraId="0EA80F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bidi="ar"/>
              </w:rPr>
              <w:t>0.394</w:t>
            </w:r>
          </w:p>
        </w:tc>
      </w:tr>
      <w:tr w14:paraId="622BD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171" w:type="pct"/>
            <w:gridSpan w:val="2"/>
            <w:vMerge w:val="continue"/>
            <w:vAlign w:val="center"/>
          </w:tcPr>
          <w:p w14:paraId="1C555C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11C334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3356" w:type="dxa"/>
            <w:shd w:val="clear" w:color="auto" w:fill="auto"/>
            <w:vAlign w:val="center"/>
          </w:tcPr>
          <w:p w14:paraId="08CE01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bidi="ar"/>
              </w:rPr>
              <w:t>1.</w:t>
            </w:r>
            <w:r>
              <w:rPr>
                <w:rFonts w:hint="default" w:ascii="Times New Roman" w:hAnsi="Times New Roman" w:eastAsia="等线" w:cs="Times New Roman"/>
                <w:color w:val="auto"/>
                <w:kern w:val="0"/>
                <w:sz w:val="21"/>
                <w:szCs w:val="21"/>
                <w:lang w:val="en-US" w:eastAsia="zh-CN" w:bidi="ar"/>
              </w:rPr>
              <w:t>748</w:t>
            </w:r>
          </w:p>
        </w:tc>
      </w:tr>
      <w:tr w14:paraId="01062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171" w:type="pct"/>
            <w:gridSpan w:val="2"/>
            <w:vMerge w:val="continue"/>
            <w:vAlign w:val="center"/>
          </w:tcPr>
          <w:p w14:paraId="479C1B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4AEAB4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LAS</w:t>
            </w:r>
          </w:p>
        </w:tc>
        <w:tc>
          <w:tcPr>
            <w:tcW w:w="3356" w:type="dxa"/>
            <w:shd w:val="clear" w:color="auto" w:fill="auto"/>
            <w:vAlign w:val="center"/>
          </w:tcPr>
          <w:p w14:paraId="292B66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val="en-US" w:eastAsia="zh-CN" w:bidi="ar"/>
              </w:rPr>
              <w:t>4.912</w:t>
            </w:r>
          </w:p>
        </w:tc>
      </w:tr>
      <w:tr w14:paraId="10656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171" w:type="pct"/>
            <w:gridSpan w:val="2"/>
            <w:vMerge w:val="continue"/>
            <w:vAlign w:val="center"/>
          </w:tcPr>
          <w:p w14:paraId="6396F5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3160FD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总锡</w:t>
            </w:r>
          </w:p>
        </w:tc>
        <w:tc>
          <w:tcPr>
            <w:tcW w:w="3356" w:type="dxa"/>
            <w:shd w:val="clear" w:color="auto" w:fill="auto"/>
            <w:vAlign w:val="center"/>
          </w:tcPr>
          <w:p w14:paraId="70F209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color w:val="auto"/>
                <w:kern w:val="0"/>
                <w:sz w:val="21"/>
                <w:szCs w:val="21"/>
                <w:lang w:bidi="ar"/>
              </w:rPr>
              <w:t>0.851</w:t>
            </w:r>
          </w:p>
        </w:tc>
      </w:tr>
      <w:tr w14:paraId="4152E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171" w:type="pct"/>
            <w:gridSpan w:val="2"/>
            <w:vMerge w:val="continue"/>
            <w:vAlign w:val="center"/>
          </w:tcPr>
          <w:p w14:paraId="1E78C5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shd w:val="clear" w:color="auto" w:fill="auto"/>
            <w:vAlign w:val="center"/>
          </w:tcPr>
          <w:p w14:paraId="1A3E11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动植物油</w:t>
            </w:r>
          </w:p>
        </w:tc>
        <w:tc>
          <w:tcPr>
            <w:tcW w:w="3356" w:type="dxa"/>
            <w:shd w:val="clear" w:color="auto" w:fill="auto"/>
            <w:vAlign w:val="center"/>
          </w:tcPr>
          <w:p w14:paraId="5A3BC0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bidi="ar"/>
              </w:rPr>
              <w:t>0.198</w:t>
            </w:r>
          </w:p>
        </w:tc>
      </w:tr>
      <w:tr w14:paraId="65E2E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171" w:type="pct"/>
            <w:gridSpan w:val="2"/>
            <w:vMerge w:val="continue"/>
          </w:tcPr>
          <w:p w14:paraId="23EDA8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656" w:type="pct"/>
            <w:gridSpan w:val="3"/>
          </w:tcPr>
          <w:p w14:paraId="6F5871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盐分</w:t>
            </w:r>
          </w:p>
        </w:tc>
        <w:tc>
          <w:tcPr>
            <w:tcW w:w="3356" w:type="dxa"/>
            <w:shd w:val="clear" w:color="auto" w:fill="auto"/>
            <w:vAlign w:val="center"/>
          </w:tcPr>
          <w:p w14:paraId="2F0ECD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等线" w:cs="Times New Roman"/>
                <w:color w:val="auto"/>
                <w:kern w:val="0"/>
                <w:sz w:val="21"/>
                <w:szCs w:val="21"/>
                <w:lang w:bidi="ar"/>
              </w:rPr>
              <w:t>129.814</w:t>
            </w:r>
          </w:p>
        </w:tc>
      </w:tr>
    </w:tbl>
    <w:p w14:paraId="4D38F9D7">
      <w:pPr>
        <w:keepNext/>
        <w:keepLines/>
        <w:spacing w:before="120" w:beforeLines="50"/>
        <w:ind w:firstLine="0" w:firstLineChars="0"/>
        <w:outlineLvl w:val="3"/>
        <w:rPr>
          <w:b/>
          <w:bCs/>
          <w:color w:val="auto"/>
          <w:szCs w:val="28"/>
        </w:rPr>
      </w:pPr>
      <w:r>
        <w:rPr>
          <w:rFonts w:hint="eastAsia"/>
          <w:b/>
          <w:bCs/>
          <w:color w:val="auto"/>
          <w:szCs w:val="28"/>
        </w:rPr>
        <w:t>6.2.2.5 地表水环境影响评价自查表</w:t>
      </w:r>
    </w:p>
    <w:p w14:paraId="1DD58B25">
      <w:pPr>
        <w:ind w:firstLine="480"/>
        <w:rPr>
          <w:color w:val="auto"/>
        </w:rPr>
      </w:pPr>
      <w:r>
        <w:rPr>
          <w:color w:val="auto"/>
        </w:rPr>
        <w:t>拟建项目地表水环境影响评价自查情况见表</w:t>
      </w:r>
      <w:r>
        <w:rPr>
          <w:rFonts w:hint="eastAsia"/>
          <w:color w:val="auto"/>
        </w:rPr>
        <w:t>6.2.2-4</w:t>
      </w:r>
      <w:r>
        <w:rPr>
          <w:color w:val="auto"/>
        </w:rPr>
        <w:t>。</w:t>
      </w:r>
    </w:p>
    <w:p w14:paraId="2447BC58">
      <w:pPr>
        <w:pStyle w:val="1841"/>
        <w:tabs>
          <w:tab w:val="left" w:pos="3960"/>
        </w:tabs>
        <w:spacing w:before="0" w:line="240" w:lineRule="auto"/>
        <w:ind w:firstLine="0" w:firstLineChars="0"/>
        <w:jc w:val="center"/>
        <w:rPr>
          <w:b/>
          <w:color w:val="auto"/>
          <w:sz w:val="22"/>
          <w:szCs w:val="22"/>
        </w:rPr>
      </w:pPr>
      <w:r>
        <w:rPr>
          <w:b/>
          <w:color w:val="auto"/>
          <w:sz w:val="22"/>
          <w:szCs w:val="22"/>
        </w:rPr>
        <w:t>表</w:t>
      </w:r>
      <w:r>
        <w:rPr>
          <w:rFonts w:hint="eastAsia"/>
          <w:b/>
          <w:color w:val="auto"/>
          <w:sz w:val="22"/>
          <w:szCs w:val="22"/>
        </w:rPr>
        <w:t>6.2.2.-4</w:t>
      </w:r>
      <w:r>
        <w:rPr>
          <w:b/>
          <w:color w:val="auto"/>
          <w:sz w:val="22"/>
          <w:szCs w:val="22"/>
        </w:rPr>
        <w:t xml:space="preserve">  建设项目地表水环境影响评价自查表</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65"/>
        <w:gridCol w:w="1838"/>
        <w:gridCol w:w="1545"/>
        <w:gridCol w:w="409"/>
        <w:gridCol w:w="1412"/>
        <w:gridCol w:w="582"/>
        <w:gridCol w:w="1064"/>
        <w:gridCol w:w="1443"/>
        <w:gridCol w:w="2409"/>
        <w:gridCol w:w="520"/>
        <w:gridCol w:w="1931"/>
      </w:tblGrid>
      <w:tr w14:paraId="5F61F4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blHeader/>
        </w:trPr>
        <w:tc>
          <w:tcPr>
            <w:tcW w:w="993" w:type="pct"/>
            <w:gridSpan w:val="2"/>
            <w:vAlign w:val="center"/>
          </w:tcPr>
          <w:p w14:paraId="6F1154C2">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rPr>
              <w:t>工作内容</w:t>
            </w:r>
          </w:p>
        </w:tc>
        <w:tc>
          <w:tcPr>
            <w:tcW w:w="4006" w:type="pct"/>
            <w:gridSpan w:val="9"/>
            <w:vAlign w:val="center"/>
          </w:tcPr>
          <w:p w14:paraId="06ED79AF">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rPr>
              <w:t>自查项目</w:t>
            </w:r>
          </w:p>
        </w:tc>
      </w:tr>
      <w:tr w14:paraId="67A517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restart"/>
            <w:vAlign w:val="center"/>
          </w:tcPr>
          <w:p w14:paraId="4BFE3DC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影响识别</w:t>
            </w:r>
          </w:p>
        </w:tc>
        <w:tc>
          <w:tcPr>
            <w:tcW w:w="650" w:type="pct"/>
            <w:vAlign w:val="center"/>
          </w:tcPr>
          <w:p w14:paraId="7395DE8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影响类型</w:t>
            </w:r>
          </w:p>
        </w:tc>
        <w:tc>
          <w:tcPr>
            <w:tcW w:w="4006" w:type="pct"/>
            <w:gridSpan w:val="9"/>
            <w:vAlign w:val="center"/>
          </w:tcPr>
          <w:p w14:paraId="5786C0F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水污染影响型☑；水文要素影响型</w:t>
            </w:r>
            <w:r>
              <w:rPr>
                <w:rFonts w:hint="eastAsia"/>
                <w:color w:val="auto"/>
                <w:kern w:val="0"/>
                <w:sz w:val="21"/>
                <w:szCs w:val="21"/>
              </w:rPr>
              <w:t>□</w:t>
            </w:r>
          </w:p>
        </w:tc>
      </w:tr>
      <w:tr w14:paraId="264C1B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437BA377">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793AD26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水环境保护目标</w:t>
            </w:r>
          </w:p>
        </w:tc>
        <w:tc>
          <w:tcPr>
            <w:tcW w:w="4006" w:type="pct"/>
            <w:gridSpan w:val="9"/>
            <w:vAlign w:val="center"/>
          </w:tcPr>
          <w:p w14:paraId="60A7F418">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饮用水水源保护区□；饮用水取水口□；涉水的自然保护区□；涉水的风景名胜区□；重要湿地□；重点保护与珍稀水生生物的栖息地□；重要水生生物的自然产卵场及索饵场、越冬场和洄游通道</w:t>
            </w:r>
            <w:r>
              <w:rPr>
                <w:rFonts w:hint="eastAsia"/>
                <w:color w:val="auto"/>
                <w:kern w:val="0"/>
                <w:sz w:val="21"/>
                <w:szCs w:val="21"/>
              </w:rPr>
              <w:t>□</w:t>
            </w:r>
            <w:r>
              <w:rPr>
                <w:color w:val="auto"/>
                <w:kern w:val="0"/>
                <w:sz w:val="21"/>
                <w:szCs w:val="21"/>
              </w:rPr>
              <w:t>；天然渔场等渔业水体□；水产种质资源保护区□；其他☑</w:t>
            </w:r>
          </w:p>
        </w:tc>
      </w:tr>
      <w:tr w14:paraId="11B9A10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50CDB4D4">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7E9EF6B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影响途径</w:t>
            </w:r>
          </w:p>
        </w:tc>
        <w:tc>
          <w:tcPr>
            <w:tcW w:w="1775" w:type="pct"/>
            <w:gridSpan w:val="5"/>
            <w:vAlign w:val="center"/>
          </w:tcPr>
          <w:p w14:paraId="336BB22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水污染影响型</w:t>
            </w:r>
          </w:p>
        </w:tc>
        <w:tc>
          <w:tcPr>
            <w:tcW w:w="2231" w:type="pct"/>
            <w:gridSpan w:val="4"/>
            <w:vAlign w:val="center"/>
          </w:tcPr>
          <w:p w14:paraId="459F778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水文要素影响型</w:t>
            </w:r>
          </w:p>
        </w:tc>
      </w:tr>
      <w:tr w14:paraId="52CDEC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96376B7">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17CE16E9">
            <w:pPr>
              <w:kinsoku w:val="0"/>
              <w:overflowPunct w:val="0"/>
              <w:autoSpaceDE w:val="0"/>
              <w:autoSpaceDN w:val="0"/>
              <w:spacing w:line="240" w:lineRule="auto"/>
              <w:ind w:firstLine="0" w:firstLineChars="0"/>
              <w:jc w:val="center"/>
              <w:rPr>
                <w:color w:val="auto"/>
                <w:kern w:val="0"/>
                <w:sz w:val="21"/>
                <w:szCs w:val="21"/>
              </w:rPr>
            </w:pPr>
          </w:p>
        </w:tc>
        <w:tc>
          <w:tcPr>
            <w:tcW w:w="1775" w:type="pct"/>
            <w:gridSpan w:val="5"/>
            <w:vAlign w:val="center"/>
          </w:tcPr>
          <w:p w14:paraId="5851A69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直接排放□；间接排放☑；其他□</w:t>
            </w:r>
          </w:p>
        </w:tc>
        <w:tc>
          <w:tcPr>
            <w:tcW w:w="2231" w:type="pct"/>
            <w:gridSpan w:val="4"/>
            <w:vAlign w:val="center"/>
          </w:tcPr>
          <w:p w14:paraId="4F7190D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水温□；径流□；水域面积</w:t>
            </w:r>
            <w:r>
              <w:rPr>
                <w:rFonts w:hint="eastAsia"/>
                <w:color w:val="auto"/>
                <w:kern w:val="0"/>
                <w:sz w:val="21"/>
                <w:szCs w:val="21"/>
              </w:rPr>
              <w:t>□</w:t>
            </w:r>
          </w:p>
        </w:tc>
      </w:tr>
      <w:tr w14:paraId="2FACC7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41065C98">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2C1B04A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影响因子</w:t>
            </w:r>
          </w:p>
        </w:tc>
        <w:tc>
          <w:tcPr>
            <w:tcW w:w="1775" w:type="pct"/>
            <w:gridSpan w:val="5"/>
            <w:vAlign w:val="center"/>
          </w:tcPr>
          <w:p w14:paraId="238ED89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持久性污染物☑；有毒有害污染物□；非持久性污染物☑；pH值□；热污染□；富营养化□；其他☑</w:t>
            </w:r>
          </w:p>
        </w:tc>
        <w:tc>
          <w:tcPr>
            <w:tcW w:w="2231" w:type="pct"/>
            <w:gridSpan w:val="4"/>
            <w:vAlign w:val="center"/>
          </w:tcPr>
          <w:p w14:paraId="3A188CE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水温□；水位（水深）□；流速□；流量□；</w:t>
            </w:r>
          </w:p>
          <w:p w14:paraId="5AE21E2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其他</w:t>
            </w:r>
            <w:r>
              <w:rPr>
                <w:rFonts w:hint="eastAsia"/>
                <w:color w:val="auto"/>
                <w:kern w:val="0"/>
                <w:sz w:val="21"/>
                <w:szCs w:val="21"/>
              </w:rPr>
              <w:t>□</w:t>
            </w:r>
          </w:p>
        </w:tc>
      </w:tr>
      <w:tr w14:paraId="30A519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93" w:type="pct"/>
            <w:gridSpan w:val="2"/>
            <w:vMerge w:val="restart"/>
            <w:vAlign w:val="center"/>
          </w:tcPr>
          <w:p w14:paraId="1272CA6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评价等级</w:t>
            </w:r>
          </w:p>
        </w:tc>
        <w:tc>
          <w:tcPr>
            <w:tcW w:w="1775" w:type="pct"/>
            <w:gridSpan w:val="5"/>
            <w:vAlign w:val="center"/>
          </w:tcPr>
          <w:p w14:paraId="58CA6D6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水污染影响型</w:t>
            </w:r>
          </w:p>
        </w:tc>
        <w:tc>
          <w:tcPr>
            <w:tcW w:w="2231" w:type="pct"/>
            <w:gridSpan w:val="4"/>
            <w:vAlign w:val="center"/>
          </w:tcPr>
          <w:p w14:paraId="68D4393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水文要素影响型</w:t>
            </w:r>
          </w:p>
        </w:tc>
      </w:tr>
      <w:tr w14:paraId="664E52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93" w:type="pct"/>
            <w:gridSpan w:val="2"/>
            <w:vMerge w:val="continue"/>
            <w:vAlign w:val="center"/>
          </w:tcPr>
          <w:p w14:paraId="48D027C1">
            <w:pPr>
              <w:kinsoku w:val="0"/>
              <w:overflowPunct w:val="0"/>
              <w:autoSpaceDE w:val="0"/>
              <w:autoSpaceDN w:val="0"/>
              <w:spacing w:line="240" w:lineRule="auto"/>
              <w:ind w:firstLine="0" w:firstLineChars="0"/>
              <w:jc w:val="center"/>
              <w:rPr>
                <w:color w:val="auto"/>
                <w:kern w:val="0"/>
                <w:sz w:val="21"/>
                <w:szCs w:val="21"/>
              </w:rPr>
            </w:pPr>
          </w:p>
        </w:tc>
        <w:tc>
          <w:tcPr>
            <w:tcW w:w="1775" w:type="pct"/>
            <w:gridSpan w:val="5"/>
            <w:vAlign w:val="center"/>
          </w:tcPr>
          <w:p w14:paraId="7491F24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一级□；二级□；三级A□；三级B☑</w:t>
            </w:r>
          </w:p>
        </w:tc>
        <w:tc>
          <w:tcPr>
            <w:tcW w:w="2231" w:type="pct"/>
            <w:gridSpan w:val="4"/>
            <w:vAlign w:val="center"/>
          </w:tcPr>
          <w:p w14:paraId="1E094FF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一级□；二级□；三级</w:t>
            </w:r>
            <w:r>
              <w:rPr>
                <w:rFonts w:hint="eastAsia"/>
                <w:color w:val="auto"/>
                <w:kern w:val="0"/>
                <w:sz w:val="21"/>
                <w:szCs w:val="21"/>
              </w:rPr>
              <w:t>□</w:t>
            </w:r>
          </w:p>
        </w:tc>
      </w:tr>
      <w:tr w14:paraId="485E66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restart"/>
            <w:vAlign w:val="center"/>
          </w:tcPr>
          <w:p w14:paraId="65BF340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现状调查</w:t>
            </w:r>
          </w:p>
        </w:tc>
        <w:tc>
          <w:tcPr>
            <w:tcW w:w="650" w:type="pct"/>
            <w:vMerge w:val="restart"/>
            <w:vAlign w:val="center"/>
          </w:tcPr>
          <w:p w14:paraId="733B568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区域污染源</w:t>
            </w:r>
          </w:p>
        </w:tc>
        <w:tc>
          <w:tcPr>
            <w:tcW w:w="1775" w:type="pct"/>
            <w:gridSpan w:val="5"/>
            <w:vAlign w:val="center"/>
          </w:tcPr>
          <w:p w14:paraId="4673EB3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调查项目</w:t>
            </w:r>
          </w:p>
        </w:tc>
        <w:tc>
          <w:tcPr>
            <w:tcW w:w="2231" w:type="pct"/>
            <w:gridSpan w:val="4"/>
            <w:vAlign w:val="center"/>
          </w:tcPr>
          <w:p w14:paraId="681352D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数据来源</w:t>
            </w:r>
          </w:p>
        </w:tc>
      </w:tr>
      <w:tr w14:paraId="39E9A3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687D563C">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2B623C60">
            <w:pPr>
              <w:kinsoku w:val="0"/>
              <w:overflowPunct w:val="0"/>
              <w:autoSpaceDE w:val="0"/>
              <w:autoSpaceDN w:val="0"/>
              <w:spacing w:line="240" w:lineRule="auto"/>
              <w:ind w:firstLine="0" w:firstLineChars="0"/>
              <w:jc w:val="center"/>
              <w:rPr>
                <w:color w:val="auto"/>
                <w:kern w:val="0"/>
                <w:sz w:val="21"/>
                <w:szCs w:val="21"/>
              </w:rPr>
            </w:pPr>
          </w:p>
        </w:tc>
        <w:tc>
          <w:tcPr>
            <w:tcW w:w="1192" w:type="pct"/>
            <w:gridSpan w:val="3"/>
            <w:vAlign w:val="center"/>
          </w:tcPr>
          <w:p w14:paraId="72B2FD0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已建□；在建□；拟建□；其他□</w:t>
            </w:r>
          </w:p>
        </w:tc>
        <w:tc>
          <w:tcPr>
            <w:tcW w:w="582" w:type="pct"/>
            <w:gridSpan w:val="2"/>
            <w:vAlign w:val="center"/>
          </w:tcPr>
          <w:p w14:paraId="57A1BA5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拟替代的污染源□</w:t>
            </w:r>
          </w:p>
        </w:tc>
        <w:tc>
          <w:tcPr>
            <w:tcW w:w="2231" w:type="pct"/>
            <w:gridSpan w:val="4"/>
            <w:vAlign w:val="center"/>
          </w:tcPr>
          <w:p w14:paraId="7275F8C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排污许可证□；环评□；环保验收□；既有实测□；</w:t>
            </w:r>
          </w:p>
          <w:p w14:paraId="32D53F4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现场监测□；入河排放口数据□；其他□</w:t>
            </w:r>
          </w:p>
        </w:tc>
      </w:tr>
      <w:tr w14:paraId="71CE83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5331052A">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1A9FFC8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受影响水体水环境质量</w:t>
            </w:r>
          </w:p>
        </w:tc>
        <w:tc>
          <w:tcPr>
            <w:tcW w:w="1775" w:type="pct"/>
            <w:gridSpan w:val="5"/>
            <w:vAlign w:val="center"/>
          </w:tcPr>
          <w:p w14:paraId="06A823A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调查时期</w:t>
            </w:r>
          </w:p>
        </w:tc>
        <w:tc>
          <w:tcPr>
            <w:tcW w:w="2231" w:type="pct"/>
            <w:gridSpan w:val="4"/>
            <w:vAlign w:val="center"/>
          </w:tcPr>
          <w:p w14:paraId="7B6BCE1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数据来源</w:t>
            </w:r>
          </w:p>
        </w:tc>
      </w:tr>
      <w:tr w14:paraId="5EFC38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A98A1FE">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6C8B5FEB">
            <w:pPr>
              <w:kinsoku w:val="0"/>
              <w:overflowPunct w:val="0"/>
              <w:autoSpaceDE w:val="0"/>
              <w:autoSpaceDN w:val="0"/>
              <w:spacing w:line="240" w:lineRule="auto"/>
              <w:ind w:firstLine="0" w:firstLineChars="0"/>
              <w:jc w:val="center"/>
              <w:rPr>
                <w:color w:val="auto"/>
                <w:kern w:val="0"/>
                <w:sz w:val="21"/>
                <w:szCs w:val="21"/>
              </w:rPr>
            </w:pPr>
          </w:p>
        </w:tc>
        <w:tc>
          <w:tcPr>
            <w:tcW w:w="1775" w:type="pct"/>
            <w:gridSpan w:val="5"/>
            <w:vAlign w:val="center"/>
          </w:tcPr>
          <w:p w14:paraId="39EBA19F">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丰水期□；平水期□；枯水期□；冰封期□</w:t>
            </w:r>
          </w:p>
          <w:p w14:paraId="1FA4364B">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春季□；夏季□；秋季□；冬季□</w:t>
            </w:r>
          </w:p>
        </w:tc>
        <w:tc>
          <w:tcPr>
            <w:tcW w:w="2231" w:type="pct"/>
            <w:gridSpan w:val="4"/>
            <w:vAlign w:val="center"/>
          </w:tcPr>
          <w:p w14:paraId="79C3937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生态环境保护主管部门</w:t>
            </w:r>
            <w:r>
              <w:rPr>
                <w:rFonts w:hint="eastAsia"/>
                <w:color w:val="auto"/>
                <w:kern w:val="0"/>
                <w:sz w:val="21"/>
                <w:szCs w:val="21"/>
              </w:rPr>
              <w:t>□</w:t>
            </w:r>
            <w:r>
              <w:rPr>
                <w:color w:val="auto"/>
                <w:kern w:val="0"/>
                <w:sz w:val="21"/>
                <w:szCs w:val="21"/>
              </w:rPr>
              <w:t>；补充监测</w:t>
            </w:r>
            <w:r>
              <w:rPr>
                <w:rFonts w:hint="eastAsia"/>
                <w:color w:val="auto"/>
                <w:kern w:val="0"/>
                <w:sz w:val="21"/>
                <w:szCs w:val="21"/>
              </w:rPr>
              <w:t>☑</w:t>
            </w:r>
            <w:r>
              <w:rPr>
                <w:color w:val="auto"/>
                <w:kern w:val="0"/>
                <w:sz w:val="21"/>
                <w:szCs w:val="21"/>
              </w:rPr>
              <w:t>；其他</w:t>
            </w:r>
            <w:r>
              <w:rPr>
                <w:rFonts w:hint="eastAsia"/>
                <w:color w:val="auto"/>
                <w:kern w:val="0"/>
                <w:sz w:val="21"/>
                <w:szCs w:val="21"/>
              </w:rPr>
              <w:t>□</w:t>
            </w:r>
          </w:p>
        </w:tc>
      </w:tr>
      <w:tr w14:paraId="036BB9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0D194051">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1CC529D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区域水资源开发利用状况</w:t>
            </w:r>
          </w:p>
        </w:tc>
        <w:tc>
          <w:tcPr>
            <w:tcW w:w="4006" w:type="pct"/>
            <w:gridSpan w:val="9"/>
            <w:vAlign w:val="center"/>
          </w:tcPr>
          <w:p w14:paraId="52E3ACD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未开发□；开发利用40%以下□；开发利用40%以上□</w:t>
            </w:r>
          </w:p>
        </w:tc>
      </w:tr>
      <w:tr w14:paraId="292D1C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56BB6969">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6EC7CAA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水文情势调查</w:t>
            </w:r>
          </w:p>
        </w:tc>
        <w:tc>
          <w:tcPr>
            <w:tcW w:w="1775" w:type="pct"/>
            <w:gridSpan w:val="5"/>
            <w:vAlign w:val="center"/>
          </w:tcPr>
          <w:p w14:paraId="01B5EC3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调查时期</w:t>
            </w:r>
          </w:p>
        </w:tc>
        <w:tc>
          <w:tcPr>
            <w:tcW w:w="2231" w:type="pct"/>
            <w:gridSpan w:val="4"/>
            <w:vAlign w:val="center"/>
          </w:tcPr>
          <w:p w14:paraId="3B32DBF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数据来源</w:t>
            </w:r>
          </w:p>
        </w:tc>
      </w:tr>
      <w:tr w14:paraId="22A4FA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42B5AF72">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4F18883F">
            <w:pPr>
              <w:kinsoku w:val="0"/>
              <w:overflowPunct w:val="0"/>
              <w:autoSpaceDE w:val="0"/>
              <w:autoSpaceDN w:val="0"/>
              <w:spacing w:line="240" w:lineRule="auto"/>
              <w:ind w:firstLine="0" w:firstLineChars="0"/>
              <w:jc w:val="center"/>
              <w:rPr>
                <w:color w:val="auto"/>
                <w:kern w:val="0"/>
                <w:sz w:val="21"/>
                <w:szCs w:val="21"/>
              </w:rPr>
            </w:pPr>
          </w:p>
        </w:tc>
        <w:tc>
          <w:tcPr>
            <w:tcW w:w="1775" w:type="pct"/>
            <w:gridSpan w:val="5"/>
            <w:vAlign w:val="center"/>
          </w:tcPr>
          <w:p w14:paraId="7B2FBEF0">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丰水期□；平水期□；枯水期□；冰封期</w:t>
            </w:r>
            <w:r>
              <w:rPr>
                <w:rFonts w:hint="eastAsia"/>
                <w:color w:val="auto"/>
                <w:kern w:val="0"/>
                <w:sz w:val="21"/>
                <w:szCs w:val="21"/>
              </w:rPr>
              <w:t>□</w:t>
            </w:r>
          </w:p>
          <w:p w14:paraId="71BCE629">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春季□；夏季□；秋季□；冬季□</w:t>
            </w:r>
          </w:p>
        </w:tc>
        <w:tc>
          <w:tcPr>
            <w:tcW w:w="2231" w:type="pct"/>
            <w:gridSpan w:val="4"/>
            <w:vAlign w:val="center"/>
          </w:tcPr>
          <w:p w14:paraId="76D69F2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水行政主管部门□；补充监测□；其他□</w:t>
            </w:r>
          </w:p>
        </w:tc>
      </w:tr>
      <w:tr w14:paraId="2D82EB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2E207989">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2EE336E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补充监测</w:t>
            </w:r>
          </w:p>
        </w:tc>
        <w:tc>
          <w:tcPr>
            <w:tcW w:w="1775" w:type="pct"/>
            <w:gridSpan w:val="5"/>
            <w:vAlign w:val="center"/>
          </w:tcPr>
          <w:p w14:paraId="5DBE870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监测时期</w:t>
            </w:r>
          </w:p>
        </w:tc>
        <w:tc>
          <w:tcPr>
            <w:tcW w:w="511" w:type="pct"/>
            <w:vAlign w:val="center"/>
          </w:tcPr>
          <w:p w14:paraId="714FC19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监测因子</w:t>
            </w:r>
          </w:p>
        </w:tc>
        <w:tc>
          <w:tcPr>
            <w:tcW w:w="1720" w:type="pct"/>
            <w:gridSpan w:val="3"/>
            <w:vAlign w:val="center"/>
          </w:tcPr>
          <w:p w14:paraId="1BC346E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监测断面或点位</w:t>
            </w:r>
          </w:p>
        </w:tc>
      </w:tr>
      <w:tr w14:paraId="29C6C7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28005E0">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546E2609">
            <w:pPr>
              <w:kinsoku w:val="0"/>
              <w:overflowPunct w:val="0"/>
              <w:autoSpaceDE w:val="0"/>
              <w:autoSpaceDN w:val="0"/>
              <w:spacing w:line="240" w:lineRule="auto"/>
              <w:ind w:firstLine="0" w:firstLineChars="0"/>
              <w:jc w:val="center"/>
              <w:rPr>
                <w:color w:val="auto"/>
                <w:kern w:val="0"/>
                <w:sz w:val="21"/>
                <w:szCs w:val="21"/>
              </w:rPr>
            </w:pPr>
          </w:p>
        </w:tc>
        <w:tc>
          <w:tcPr>
            <w:tcW w:w="1775" w:type="pct"/>
            <w:gridSpan w:val="5"/>
            <w:vAlign w:val="center"/>
          </w:tcPr>
          <w:p w14:paraId="20B601EF">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丰水期□；平水期□；枯水期□；冰封期□</w:t>
            </w:r>
          </w:p>
          <w:p w14:paraId="0174FF6D">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春季□；夏季□；秋季□；冬季□</w:t>
            </w:r>
          </w:p>
        </w:tc>
        <w:tc>
          <w:tcPr>
            <w:tcW w:w="511" w:type="pct"/>
            <w:vAlign w:val="center"/>
          </w:tcPr>
          <w:p w14:paraId="0077A4A9">
            <w:pPr>
              <w:tabs>
                <w:tab w:val="left" w:pos="560"/>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w:t>
            </w:r>
          </w:p>
        </w:tc>
        <w:tc>
          <w:tcPr>
            <w:tcW w:w="1720" w:type="pct"/>
            <w:gridSpan w:val="3"/>
            <w:vAlign w:val="center"/>
          </w:tcPr>
          <w:p w14:paraId="08F49362">
            <w:pPr>
              <w:tabs>
                <w:tab w:val="left" w:pos="2102"/>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监测断面或点位个数（</w:t>
            </w:r>
            <w:r>
              <w:rPr>
                <w:color w:val="auto"/>
                <w:kern w:val="0"/>
                <w:sz w:val="21"/>
                <w:szCs w:val="21"/>
              </w:rPr>
              <w:tab/>
            </w:r>
            <w:r>
              <w:rPr>
                <w:color w:val="auto"/>
                <w:kern w:val="0"/>
                <w:sz w:val="21"/>
                <w:szCs w:val="21"/>
              </w:rPr>
              <w:t>）个</w:t>
            </w:r>
          </w:p>
        </w:tc>
      </w:tr>
      <w:tr w14:paraId="2BB8A8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restart"/>
            <w:vAlign w:val="center"/>
          </w:tcPr>
          <w:p w14:paraId="49D1910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现状评价</w:t>
            </w:r>
          </w:p>
        </w:tc>
        <w:tc>
          <w:tcPr>
            <w:tcW w:w="650" w:type="pct"/>
            <w:vAlign w:val="center"/>
          </w:tcPr>
          <w:p w14:paraId="07B6879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评价范围</w:t>
            </w:r>
          </w:p>
        </w:tc>
        <w:tc>
          <w:tcPr>
            <w:tcW w:w="4006" w:type="pct"/>
            <w:gridSpan w:val="9"/>
            <w:vAlign w:val="center"/>
          </w:tcPr>
          <w:p w14:paraId="007BE2CE">
            <w:pPr>
              <w:tabs>
                <w:tab w:val="left" w:pos="1381"/>
              </w:tabs>
              <w:kinsoku w:val="0"/>
              <w:overflowPunct w:val="0"/>
              <w:autoSpaceDE w:val="0"/>
              <w:autoSpaceDN w:val="0"/>
              <w:spacing w:line="240" w:lineRule="auto"/>
              <w:ind w:firstLine="0" w:firstLineChars="0"/>
              <w:jc w:val="center"/>
              <w:rPr>
                <w:color w:val="auto"/>
                <w:kern w:val="0"/>
                <w:sz w:val="21"/>
                <w:szCs w:val="21"/>
                <w:vertAlign w:val="superscript"/>
              </w:rPr>
            </w:pPr>
            <w:r>
              <w:rPr>
                <w:color w:val="auto"/>
                <w:kern w:val="0"/>
                <w:sz w:val="21"/>
                <w:szCs w:val="21"/>
              </w:rPr>
              <w:t>河流：长度（</w:t>
            </w:r>
            <w:r>
              <w:rPr>
                <w:color w:val="auto"/>
                <w:kern w:val="0"/>
                <w:sz w:val="21"/>
                <w:szCs w:val="21"/>
              </w:rPr>
              <w:tab/>
            </w:r>
            <w:r>
              <w:rPr>
                <w:color w:val="auto"/>
                <w:kern w:val="0"/>
                <w:sz w:val="21"/>
                <w:szCs w:val="21"/>
              </w:rPr>
              <w:t>）km；湖库、河口及近岸海域：面积（/）km</w:t>
            </w:r>
            <w:r>
              <w:rPr>
                <w:color w:val="auto"/>
                <w:kern w:val="0"/>
                <w:sz w:val="21"/>
                <w:szCs w:val="21"/>
                <w:vertAlign w:val="superscript"/>
              </w:rPr>
              <w:t>2</w:t>
            </w:r>
          </w:p>
        </w:tc>
      </w:tr>
      <w:tr w14:paraId="1E99527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6624B154">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28B3DAC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评价因子</w:t>
            </w:r>
          </w:p>
        </w:tc>
        <w:tc>
          <w:tcPr>
            <w:tcW w:w="4006" w:type="pct"/>
            <w:gridSpan w:val="9"/>
            <w:vAlign w:val="center"/>
          </w:tcPr>
          <w:p w14:paraId="16DC5AEF">
            <w:pPr>
              <w:tabs>
                <w:tab w:val="left" w:pos="391"/>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w:t>
            </w:r>
          </w:p>
        </w:tc>
      </w:tr>
      <w:tr w14:paraId="6EF5D9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7AFDC904">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75158F3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评价标准</w:t>
            </w:r>
          </w:p>
        </w:tc>
        <w:tc>
          <w:tcPr>
            <w:tcW w:w="4006" w:type="pct"/>
            <w:gridSpan w:val="9"/>
            <w:vAlign w:val="center"/>
          </w:tcPr>
          <w:p w14:paraId="57243F6B">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河流、湖库、河口：Ⅰ类□；Ⅱ类□；Ⅲ类□；Ⅳ类□；Ⅴ类□</w:t>
            </w:r>
          </w:p>
          <w:p w14:paraId="24A1D140">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近岸海域：第一类□；第二类□；第三类□；第四类□</w:t>
            </w:r>
          </w:p>
          <w:p w14:paraId="6EE554DF">
            <w:pPr>
              <w:tabs>
                <w:tab w:val="left" w:pos="1470"/>
              </w:tabs>
              <w:kinsoku w:val="0"/>
              <w:overflowPunct w:val="0"/>
              <w:autoSpaceDE w:val="0"/>
              <w:autoSpaceDN w:val="0"/>
              <w:spacing w:line="240" w:lineRule="auto"/>
              <w:ind w:firstLine="0" w:firstLineChars="0"/>
              <w:rPr>
                <w:color w:val="auto"/>
                <w:kern w:val="0"/>
                <w:sz w:val="21"/>
                <w:szCs w:val="21"/>
              </w:rPr>
            </w:pPr>
            <w:r>
              <w:rPr>
                <w:color w:val="auto"/>
                <w:kern w:val="0"/>
                <w:sz w:val="21"/>
                <w:szCs w:val="21"/>
              </w:rPr>
              <w:t>规划年评价标准（</w:t>
            </w:r>
            <w:r>
              <w:rPr>
                <w:color w:val="auto"/>
                <w:kern w:val="0"/>
                <w:sz w:val="21"/>
                <w:szCs w:val="21"/>
              </w:rPr>
              <w:tab/>
            </w:r>
            <w:r>
              <w:rPr>
                <w:color w:val="auto"/>
                <w:kern w:val="0"/>
                <w:sz w:val="21"/>
                <w:szCs w:val="21"/>
              </w:rPr>
              <w:t>/）</w:t>
            </w:r>
          </w:p>
        </w:tc>
      </w:tr>
      <w:tr w14:paraId="7993BD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68B68774">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3D77610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评价时期</w:t>
            </w:r>
          </w:p>
        </w:tc>
        <w:tc>
          <w:tcPr>
            <w:tcW w:w="4006" w:type="pct"/>
            <w:gridSpan w:val="9"/>
            <w:vAlign w:val="center"/>
          </w:tcPr>
          <w:p w14:paraId="27D32FDA">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丰水期□；平水期□；枯水期□；冰封期□</w:t>
            </w:r>
          </w:p>
          <w:p w14:paraId="6BDF88E5">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春季□；夏季□；秋季□；冬季□</w:t>
            </w:r>
          </w:p>
        </w:tc>
      </w:tr>
      <w:tr w14:paraId="1F6BE4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33C90307">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4185F2E4">
            <w:pPr>
              <w:kinsoku w:val="0"/>
              <w:overflowPunct w:val="0"/>
              <w:autoSpaceDE w:val="0"/>
              <w:autoSpaceDN w:val="0"/>
              <w:spacing w:line="240" w:lineRule="auto"/>
              <w:ind w:firstLine="0" w:firstLineChars="0"/>
              <w:jc w:val="center"/>
              <w:rPr>
                <w:color w:val="auto"/>
                <w:kern w:val="0"/>
                <w:sz w:val="21"/>
                <w:szCs w:val="21"/>
              </w:rPr>
            </w:pPr>
            <w:r>
              <w:rPr>
                <w:color w:val="auto"/>
                <w:sz w:val="21"/>
                <w:szCs w:val="21"/>
              </w:rPr>
              <w:t>评价结论</w:t>
            </w:r>
          </w:p>
        </w:tc>
        <w:tc>
          <w:tcPr>
            <w:tcW w:w="3323" w:type="pct"/>
            <w:gridSpan w:val="8"/>
            <w:vAlign w:val="center"/>
          </w:tcPr>
          <w:p w14:paraId="4AC3FC61">
            <w:pPr>
              <w:kinsoku w:val="0"/>
              <w:overflowPunct w:val="0"/>
              <w:spacing w:line="240" w:lineRule="auto"/>
              <w:ind w:firstLine="0" w:firstLineChars="0"/>
              <w:rPr>
                <w:color w:val="auto"/>
                <w:sz w:val="21"/>
                <w:szCs w:val="21"/>
              </w:rPr>
            </w:pPr>
            <w:r>
              <w:rPr>
                <w:color w:val="auto"/>
                <w:sz w:val="21"/>
                <w:szCs w:val="21"/>
              </w:rPr>
              <w:t>水环境功能区或水功能区、近岸海域环境功能区水质达标状况：达标□；不达标□</w:t>
            </w:r>
          </w:p>
          <w:p w14:paraId="5BB5F020">
            <w:pPr>
              <w:kinsoku w:val="0"/>
              <w:overflowPunct w:val="0"/>
              <w:spacing w:line="240" w:lineRule="auto"/>
              <w:ind w:firstLine="0" w:firstLineChars="0"/>
              <w:rPr>
                <w:color w:val="auto"/>
                <w:sz w:val="21"/>
                <w:szCs w:val="21"/>
              </w:rPr>
            </w:pPr>
            <w:r>
              <w:rPr>
                <w:color w:val="auto"/>
                <w:sz w:val="21"/>
                <w:szCs w:val="21"/>
              </w:rPr>
              <w:t>水环境控制单元或断面水质达标状况：达标□；不达标□</w:t>
            </w:r>
          </w:p>
          <w:p w14:paraId="6DC9E220">
            <w:pPr>
              <w:kinsoku w:val="0"/>
              <w:overflowPunct w:val="0"/>
              <w:spacing w:line="240" w:lineRule="auto"/>
              <w:ind w:firstLine="0" w:firstLineChars="0"/>
              <w:rPr>
                <w:color w:val="auto"/>
                <w:sz w:val="21"/>
                <w:szCs w:val="21"/>
              </w:rPr>
            </w:pPr>
            <w:r>
              <w:rPr>
                <w:color w:val="auto"/>
                <w:sz w:val="21"/>
                <w:szCs w:val="21"/>
              </w:rPr>
              <w:t>水环境保护目标质量状况：达标□；不达标□</w:t>
            </w:r>
          </w:p>
          <w:p w14:paraId="74F4D20B">
            <w:pPr>
              <w:kinsoku w:val="0"/>
              <w:overflowPunct w:val="0"/>
              <w:spacing w:line="240" w:lineRule="auto"/>
              <w:ind w:firstLine="0" w:firstLineChars="0"/>
              <w:rPr>
                <w:color w:val="auto"/>
                <w:sz w:val="21"/>
                <w:szCs w:val="21"/>
              </w:rPr>
            </w:pPr>
            <w:r>
              <w:rPr>
                <w:color w:val="auto"/>
                <w:sz w:val="21"/>
                <w:szCs w:val="21"/>
              </w:rPr>
              <w:t>对照断面、控制断面等代表性断面的水质状况：达标□；不达标□</w:t>
            </w:r>
          </w:p>
          <w:p w14:paraId="6F2AE9E7">
            <w:pPr>
              <w:kinsoku w:val="0"/>
              <w:overflowPunct w:val="0"/>
              <w:spacing w:line="240" w:lineRule="auto"/>
              <w:ind w:firstLine="0" w:firstLineChars="0"/>
              <w:rPr>
                <w:color w:val="auto"/>
                <w:sz w:val="21"/>
                <w:szCs w:val="21"/>
              </w:rPr>
            </w:pPr>
            <w:r>
              <w:rPr>
                <w:color w:val="auto"/>
                <w:sz w:val="21"/>
                <w:szCs w:val="21"/>
              </w:rPr>
              <w:t>底泥污染评价□</w:t>
            </w:r>
          </w:p>
          <w:p w14:paraId="5C5C3123">
            <w:pPr>
              <w:kinsoku w:val="0"/>
              <w:overflowPunct w:val="0"/>
              <w:spacing w:line="240" w:lineRule="auto"/>
              <w:ind w:firstLine="0" w:firstLineChars="0"/>
              <w:rPr>
                <w:color w:val="auto"/>
                <w:sz w:val="21"/>
                <w:szCs w:val="21"/>
              </w:rPr>
            </w:pPr>
            <w:r>
              <w:rPr>
                <w:color w:val="auto"/>
                <w:sz w:val="21"/>
                <w:szCs w:val="21"/>
              </w:rPr>
              <w:t>水资源与开发利用程度及其水文情势评价□</w:t>
            </w:r>
          </w:p>
          <w:p w14:paraId="57D5ED0C">
            <w:pPr>
              <w:kinsoku w:val="0"/>
              <w:overflowPunct w:val="0"/>
              <w:spacing w:line="240" w:lineRule="auto"/>
              <w:ind w:firstLine="0" w:firstLineChars="0"/>
              <w:rPr>
                <w:color w:val="auto"/>
                <w:sz w:val="21"/>
                <w:szCs w:val="21"/>
              </w:rPr>
            </w:pPr>
            <w:r>
              <w:rPr>
                <w:color w:val="auto"/>
                <w:sz w:val="21"/>
                <w:szCs w:val="21"/>
              </w:rPr>
              <w:t>水环境质量回顾评价□</w:t>
            </w:r>
          </w:p>
          <w:p w14:paraId="44F3BD53">
            <w:pPr>
              <w:kinsoku w:val="0"/>
              <w:overflowPunct w:val="0"/>
              <w:spacing w:line="240" w:lineRule="auto"/>
              <w:ind w:firstLine="0" w:firstLineChars="0"/>
              <w:rPr>
                <w:color w:val="auto"/>
                <w:sz w:val="21"/>
                <w:szCs w:val="21"/>
              </w:rPr>
            </w:pPr>
            <w:r>
              <w:rPr>
                <w:color w:val="auto"/>
                <w:sz w:val="21"/>
                <w:szCs w:val="21"/>
              </w:rPr>
              <w:t>流域（区域）水资源（包括水能资源）与开发利用总体状况、生态流量管理要求与现状满足程度、建设项目占用水域空间的水流状况与河湖演变状况□</w:t>
            </w:r>
          </w:p>
          <w:p w14:paraId="55B2FC6E">
            <w:pPr>
              <w:kinsoku w:val="0"/>
              <w:overflowPunct w:val="0"/>
              <w:autoSpaceDE w:val="0"/>
              <w:autoSpaceDN w:val="0"/>
              <w:spacing w:line="240" w:lineRule="auto"/>
              <w:ind w:firstLine="0" w:firstLineChars="0"/>
              <w:rPr>
                <w:color w:val="auto"/>
                <w:kern w:val="0"/>
                <w:sz w:val="21"/>
                <w:szCs w:val="21"/>
              </w:rPr>
            </w:pPr>
            <w:r>
              <w:rPr>
                <w:color w:val="auto"/>
                <w:sz w:val="21"/>
                <w:szCs w:val="21"/>
              </w:rPr>
              <w:t>依托污水处理设施稳定达标排放评价□</w:t>
            </w:r>
          </w:p>
        </w:tc>
        <w:tc>
          <w:tcPr>
            <w:tcW w:w="683" w:type="pct"/>
            <w:vAlign w:val="center"/>
          </w:tcPr>
          <w:p w14:paraId="4E8AFBA6">
            <w:pPr>
              <w:kinsoku w:val="0"/>
              <w:overflowPunct w:val="0"/>
              <w:spacing w:line="240" w:lineRule="auto"/>
              <w:ind w:firstLine="0" w:firstLineChars="0"/>
              <w:jc w:val="center"/>
              <w:rPr>
                <w:color w:val="auto"/>
                <w:sz w:val="21"/>
                <w:szCs w:val="21"/>
              </w:rPr>
            </w:pPr>
            <w:r>
              <w:rPr>
                <w:color w:val="auto"/>
                <w:sz w:val="21"/>
                <w:szCs w:val="21"/>
              </w:rPr>
              <w:t>达标区☑</w:t>
            </w:r>
          </w:p>
          <w:p w14:paraId="44E4FA87">
            <w:pPr>
              <w:kinsoku w:val="0"/>
              <w:overflowPunct w:val="0"/>
              <w:autoSpaceDE w:val="0"/>
              <w:autoSpaceDN w:val="0"/>
              <w:spacing w:line="240" w:lineRule="auto"/>
              <w:ind w:firstLine="0" w:firstLineChars="0"/>
              <w:jc w:val="center"/>
              <w:rPr>
                <w:color w:val="auto"/>
                <w:kern w:val="0"/>
                <w:sz w:val="21"/>
                <w:szCs w:val="21"/>
              </w:rPr>
            </w:pPr>
            <w:r>
              <w:rPr>
                <w:color w:val="auto"/>
                <w:sz w:val="21"/>
                <w:szCs w:val="21"/>
              </w:rPr>
              <w:t>不达标区□</w:t>
            </w:r>
          </w:p>
        </w:tc>
      </w:tr>
      <w:tr w14:paraId="39519A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restart"/>
            <w:vAlign w:val="center"/>
          </w:tcPr>
          <w:p w14:paraId="091AE29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环境影响预测</w:t>
            </w:r>
          </w:p>
        </w:tc>
        <w:tc>
          <w:tcPr>
            <w:tcW w:w="650" w:type="pct"/>
            <w:vAlign w:val="center"/>
          </w:tcPr>
          <w:p w14:paraId="6772605D">
            <w:pPr>
              <w:kinsoku w:val="0"/>
              <w:overflowPunct w:val="0"/>
              <w:autoSpaceDE w:val="0"/>
              <w:autoSpaceDN w:val="0"/>
              <w:spacing w:line="240" w:lineRule="auto"/>
              <w:ind w:firstLine="0" w:firstLineChars="0"/>
              <w:jc w:val="center"/>
              <w:rPr>
                <w:color w:val="auto"/>
                <w:sz w:val="21"/>
                <w:szCs w:val="21"/>
              </w:rPr>
            </w:pPr>
            <w:r>
              <w:rPr>
                <w:color w:val="auto"/>
                <w:sz w:val="21"/>
                <w:szCs w:val="21"/>
              </w:rPr>
              <w:t>预测范围</w:t>
            </w:r>
          </w:p>
        </w:tc>
        <w:tc>
          <w:tcPr>
            <w:tcW w:w="4006" w:type="pct"/>
            <w:gridSpan w:val="9"/>
            <w:vAlign w:val="center"/>
          </w:tcPr>
          <w:p w14:paraId="29E7B683">
            <w:pPr>
              <w:kinsoku w:val="0"/>
              <w:overflowPunct w:val="0"/>
              <w:spacing w:line="240" w:lineRule="auto"/>
              <w:ind w:firstLine="0" w:firstLineChars="0"/>
              <w:jc w:val="center"/>
              <w:rPr>
                <w:color w:val="auto"/>
                <w:sz w:val="21"/>
                <w:szCs w:val="21"/>
              </w:rPr>
            </w:pPr>
            <w:r>
              <w:rPr>
                <w:color w:val="auto"/>
                <w:sz w:val="21"/>
                <w:szCs w:val="21"/>
              </w:rPr>
              <w:t>河流：长度（</w:t>
            </w:r>
            <w:r>
              <w:rPr>
                <w:color w:val="auto"/>
                <w:sz w:val="21"/>
                <w:szCs w:val="21"/>
              </w:rPr>
              <w:tab/>
            </w:r>
            <w:r>
              <w:rPr>
                <w:color w:val="auto"/>
                <w:sz w:val="21"/>
                <w:szCs w:val="21"/>
              </w:rPr>
              <w:t>）km；湖库、河口及近岸海域：面积（/）km</w:t>
            </w:r>
            <w:r>
              <w:rPr>
                <w:color w:val="auto"/>
                <w:sz w:val="21"/>
                <w:szCs w:val="21"/>
                <w:vertAlign w:val="superscript"/>
              </w:rPr>
              <w:t>2</w:t>
            </w:r>
          </w:p>
        </w:tc>
      </w:tr>
      <w:tr w14:paraId="58DA72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0AA300B2">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2A5E6E9A">
            <w:pPr>
              <w:kinsoku w:val="0"/>
              <w:overflowPunct w:val="0"/>
              <w:autoSpaceDE w:val="0"/>
              <w:autoSpaceDN w:val="0"/>
              <w:spacing w:line="240" w:lineRule="auto"/>
              <w:ind w:firstLine="0" w:firstLineChars="0"/>
              <w:jc w:val="center"/>
              <w:rPr>
                <w:color w:val="auto"/>
                <w:sz w:val="21"/>
                <w:szCs w:val="21"/>
              </w:rPr>
            </w:pPr>
            <w:r>
              <w:rPr>
                <w:color w:val="auto"/>
                <w:sz w:val="21"/>
                <w:szCs w:val="21"/>
              </w:rPr>
              <w:t>预测因子</w:t>
            </w:r>
          </w:p>
        </w:tc>
        <w:tc>
          <w:tcPr>
            <w:tcW w:w="4006" w:type="pct"/>
            <w:gridSpan w:val="9"/>
            <w:vAlign w:val="center"/>
          </w:tcPr>
          <w:p w14:paraId="03C5DDCB">
            <w:pPr>
              <w:kinsoku w:val="0"/>
              <w:overflowPunct w:val="0"/>
              <w:spacing w:line="240" w:lineRule="auto"/>
              <w:ind w:firstLine="0" w:firstLineChars="0"/>
              <w:jc w:val="center"/>
              <w:rPr>
                <w:color w:val="auto"/>
                <w:sz w:val="21"/>
                <w:szCs w:val="21"/>
              </w:rPr>
            </w:pPr>
            <w:r>
              <w:rPr>
                <w:color w:val="auto"/>
                <w:sz w:val="21"/>
                <w:szCs w:val="21"/>
              </w:rPr>
              <w:t>（</w:t>
            </w:r>
            <w:r>
              <w:rPr>
                <w:color w:val="auto"/>
                <w:sz w:val="21"/>
                <w:szCs w:val="21"/>
              </w:rPr>
              <w:tab/>
            </w:r>
            <w:r>
              <w:rPr>
                <w:color w:val="auto"/>
                <w:sz w:val="21"/>
                <w:szCs w:val="21"/>
              </w:rPr>
              <w:t>）</w:t>
            </w:r>
          </w:p>
        </w:tc>
      </w:tr>
      <w:tr w14:paraId="5B1699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4F55B370">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25D1A64E">
            <w:pPr>
              <w:kinsoku w:val="0"/>
              <w:overflowPunct w:val="0"/>
              <w:autoSpaceDE w:val="0"/>
              <w:autoSpaceDN w:val="0"/>
              <w:spacing w:line="240" w:lineRule="auto"/>
              <w:ind w:firstLine="0" w:firstLineChars="0"/>
              <w:jc w:val="center"/>
              <w:rPr>
                <w:color w:val="auto"/>
                <w:sz w:val="21"/>
                <w:szCs w:val="21"/>
              </w:rPr>
            </w:pPr>
            <w:r>
              <w:rPr>
                <w:color w:val="auto"/>
                <w:sz w:val="21"/>
                <w:szCs w:val="21"/>
              </w:rPr>
              <w:t>预测时期</w:t>
            </w:r>
          </w:p>
        </w:tc>
        <w:tc>
          <w:tcPr>
            <w:tcW w:w="4006" w:type="pct"/>
            <w:gridSpan w:val="9"/>
            <w:vAlign w:val="center"/>
          </w:tcPr>
          <w:p w14:paraId="76E5D746">
            <w:pPr>
              <w:kinsoku w:val="0"/>
              <w:overflowPunct w:val="0"/>
              <w:spacing w:line="240" w:lineRule="auto"/>
              <w:ind w:firstLine="0" w:firstLineChars="0"/>
              <w:rPr>
                <w:color w:val="auto"/>
                <w:sz w:val="21"/>
                <w:szCs w:val="21"/>
              </w:rPr>
            </w:pPr>
            <w:r>
              <w:rPr>
                <w:color w:val="auto"/>
                <w:sz w:val="21"/>
                <w:szCs w:val="21"/>
              </w:rPr>
              <w:t>丰水期□；平水期□；枯水期□；冰封期□</w:t>
            </w:r>
          </w:p>
          <w:p w14:paraId="6A808992">
            <w:pPr>
              <w:kinsoku w:val="0"/>
              <w:overflowPunct w:val="0"/>
              <w:spacing w:line="240" w:lineRule="auto"/>
              <w:ind w:firstLine="0" w:firstLineChars="0"/>
              <w:rPr>
                <w:color w:val="auto"/>
                <w:sz w:val="21"/>
                <w:szCs w:val="21"/>
              </w:rPr>
            </w:pPr>
            <w:r>
              <w:rPr>
                <w:color w:val="auto"/>
                <w:sz w:val="21"/>
                <w:szCs w:val="21"/>
              </w:rPr>
              <w:t>春季□；夏季□；秋季□；冬季□</w:t>
            </w:r>
          </w:p>
          <w:p w14:paraId="602A8AAB">
            <w:pPr>
              <w:kinsoku w:val="0"/>
              <w:overflowPunct w:val="0"/>
              <w:spacing w:line="240" w:lineRule="auto"/>
              <w:ind w:firstLine="0" w:firstLineChars="0"/>
              <w:rPr>
                <w:color w:val="auto"/>
                <w:sz w:val="21"/>
                <w:szCs w:val="21"/>
              </w:rPr>
            </w:pPr>
            <w:r>
              <w:rPr>
                <w:color w:val="auto"/>
                <w:sz w:val="21"/>
                <w:szCs w:val="21"/>
              </w:rPr>
              <w:t>设计水文条件□</w:t>
            </w:r>
          </w:p>
        </w:tc>
      </w:tr>
      <w:tr w14:paraId="09B21F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0D16A1CB">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3849A032">
            <w:pPr>
              <w:kinsoku w:val="0"/>
              <w:overflowPunct w:val="0"/>
              <w:autoSpaceDE w:val="0"/>
              <w:autoSpaceDN w:val="0"/>
              <w:spacing w:line="240" w:lineRule="auto"/>
              <w:ind w:firstLine="0" w:firstLineChars="0"/>
              <w:jc w:val="center"/>
              <w:rPr>
                <w:color w:val="auto"/>
                <w:sz w:val="21"/>
                <w:szCs w:val="21"/>
              </w:rPr>
            </w:pPr>
            <w:r>
              <w:rPr>
                <w:color w:val="auto"/>
                <w:sz w:val="21"/>
                <w:szCs w:val="21"/>
              </w:rPr>
              <w:t>预测情景</w:t>
            </w:r>
          </w:p>
        </w:tc>
        <w:tc>
          <w:tcPr>
            <w:tcW w:w="4006" w:type="pct"/>
            <w:gridSpan w:val="9"/>
            <w:vAlign w:val="center"/>
          </w:tcPr>
          <w:p w14:paraId="7B936185">
            <w:pPr>
              <w:kinsoku w:val="0"/>
              <w:overflowPunct w:val="0"/>
              <w:spacing w:line="240" w:lineRule="auto"/>
              <w:ind w:firstLine="0" w:firstLineChars="0"/>
              <w:rPr>
                <w:color w:val="auto"/>
                <w:sz w:val="21"/>
                <w:szCs w:val="21"/>
              </w:rPr>
            </w:pPr>
            <w:r>
              <w:rPr>
                <w:color w:val="auto"/>
                <w:sz w:val="21"/>
                <w:szCs w:val="21"/>
              </w:rPr>
              <w:t>建设期□；生产运行期□；服务期满后□</w:t>
            </w:r>
          </w:p>
          <w:p w14:paraId="601136D5">
            <w:pPr>
              <w:kinsoku w:val="0"/>
              <w:overflowPunct w:val="0"/>
              <w:spacing w:line="240" w:lineRule="auto"/>
              <w:ind w:firstLine="0" w:firstLineChars="0"/>
              <w:rPr>
                <w:color w:val="auto"/>
                <w:sz w:val="21"/>
                <w:szCs w:val="21"/>
              </w:rPr>
            </w:pPr>
            <w:r>
              <w:rPr>
                <w:color w:val="auto"/>
                <w:sz w:val="21"/>
                <w:szCs w:val="21"/>
              </w:rPr>
              <w:t>正常工况□；非正常工况□</w:t>
            </w:r>
          </w:p>
          <w:p w14:paraId="0F716B9D">
            <w:pPr>
              <w:kinsoku w:val="0"/>
              <w:overflowPunct w:val="0"/>
              <w:spacing w:line="240" w:lineRule="auto"/>
              <w:ind w:firstLine="0" w:firstLineChars="0"/>
              <w:rPr>
                <w:color w:val="auto"/>
                <w:sz w:val="21"/>
                <w:szCs w:val="21"/>
              </w:rPr>
            </w:pPr>
            <w:r>
              <w:rPr>
                <w:color w:val="auto"/>
                <w:sz w:val="21"/>
                <w:szCs w:val="21"/>
              </w:rPr>
              <w:t>污染控制和减缓措施方案□</w:t>
            </w:r>
          </w:p>
          <w:p w14:paraId="0D3A1E89">
            <w:pPr>
              <w:kinsoku w:val="0"/>
              <w:overflowPunct w:val="0"/>
              <w:spacing w:line="240" w:lineRule="auto"/>
              <w:ind w:firstLine="0" w:firstLineChars="0"/>
              <w:rPr>
                <w:color w:val="auto"/>
                <w:sz w:val="21"/>
                <w:szCs w:val="21"/>
              </w:rPr>
            </w:pPr>
            <w:r>
              <w:rPr>
                <w:color w:val="auto"/>
                <w:sz w:val="21"/>
                <w:szCs w:val="21"/>
              </w:rPr>
              <w:t>区（流）域环境质量改善目标要求情景□</w:t>
            </w:r>
          </w:p>
        </w:tc>
      </w:tr>
      <w:tr w14:paraId="06B740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1730268">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043010C0">
            <w:pPr>
              <w:kinsoku w:val="0"/>
              <w:overflowPunct w:val="0"/>
              <w:autoSpaceDE w:val="0"/>
              <w:autoSpaceDN w:val="0"/>
              <w:spacing w:line="240" w:lineRule="auto"/>
              <w:ind w:firstLine="0" w:firstLineChars="0"/>
              <w:jc w:val="center"/>
              <w:rPr>
                <w:color w:val="auto"/>
                <w:sz w:val="21"/>
                <w:szCs w:val="21"/>
              </w:rPr>
            </w:pPr>
            <w:r>
              <w:rPr>
                <w:color w:val="auto"/>
                <w:sz w:val="21"/>
                <w:szCs w:val="21"/>
              </w:rPr>
              <w:t>预测方法</w:t>
            </w:r>
          </w:p>
        </w:tc>
        <w:tc>
          <w:tcPr>
            <w:tcW w:w="4006" w:type="pct"/>
            <w:gridSpan w:val="9"/>
            <w:vAlign w:val="center"/>
          </w:tcPr>
          <w:p w14:paraId="42FF355F">
            <w:pPr>
              <w:kinsoku w:val="0"/>
              <w:overflowPunct w:val="0"/>
              <w:spacing w:line="240" w:lineRule="auto"/>
              <w:ind w:firstLine="0" w:firstLineChars="0"/>
              <w:rPr>
                <w:color w:val="auto"/>
                <w:sz w:val="21"/>
                <w:szCs w:val="21"/>
              </w:rPr>
            </w:pPr>
            <w:r>
              <w:rPr>
                <w:color w:val="auto"/>
                <w:sz w:val="21"/>
                <w:szCs w:val="21"/>
              </w:rPr>
              <w:t>数值解□：解析解□；其他□</w:t>
            </w:r>
          </w:p>
          <w:p w14:paraId="53AF4A03">
            <w:pPr>
              <w:kinsoku w:val="0"/>
              <w:overflowPunct w:val="0"/>
              <w:spacing w:line="240" w:lineRule="auto"/>
              <w:ind w:firstLine="0" w:firstLineChars="0"/>
              <w:rPr>
                <w:color w:val="auto"/>
                <w:sz w:val="21"/>
                <w:szCs w:val="21"/>
              </w:rPr>
            </w:pPr>
            <w:r>
              <w:rPr>
                <w:color w:val="auto"/>
                <w:sz w:val="21"/>
                <w:szCs w:val="21"/>
              </w:rPr>
              <w:t>导则推荐模式□：其他□</w:t>
            </w:r>
          </w:p>
        </w:tc>
      </w:tr>
      <w:tr w14:paraId="47B670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restart"/>
            <w:vAlign w:val="center"/>
          </w:tcPr>
          <w:p w14:paraId="3F2DF40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环境影响评价结论</w:t>
            </w:r>
          </w:p>
        </w:tc>
        <w:tc>
          <w:tcPr>
            <w:tcW w:w="650" w:type="pct"/>
            <w:vAlign w:val="center"/>
          </w:tcPr>
          <w:p w14:paraId="60F67C44">
            <w:pPr>
              <w:kinsoku w:val="0"/>
              <w:overflowPunct w:val="0"/>
              <w:autoSpaceDE w:val="0"/>
              <w:autoSpaceDN w:val="0"/>
              <w:spacing w:line="240" w:lineRule="auto"/>
              <w:ind w:firstLine="0" w:firstLineChars="0"/>
              <w:jc w:val="center"/>
              <w:rPr>
                <w:color w:val="auto"/>
                <w:sz w:val="21"/>
                <w:szCs w:val="21"/>
              </w:rPr>
            </w:pPr>
            <w:r>
              <w:rPr>
                <w:color w:val="auto"/>
                <w:sz w:val="21"/>
                <w:szCs w:val="21"/>
              </w:rPr>
              <w:t>水环境影响评价</w:t>
            </w:r>
          </w:p>
        </w:tc>
        <w:tc>
          <w:tcPr>
            <w:tcW w:w="4006" w:type="pct"/>
            <w:gridSpan w:val="9"/>
            <w:vAlign w:val="center"/>
          </w:tcPr>
          <w:p w14:paraId="6B0A157E">
            <w:pPr>
              <w:kinsoku w:val="0"/>
              <w:overflowPunct w:val="0"/>
              <w:spacing w:line="240" w:lineRule="auto"/>
              <w:ind w:firstLine="0" w:firstLineChars="0"/>
              <w:rPr>
                <w:color w:val="auto"/>
                <w:sz w:val="21"/>
                <w:szCs w:val="21"/>
              </w:rPr>
            </w:pPr>
            <w:r>
              <w:rPr>
                <w:color w:val="auto"/>
                <w:sz w:val="21"/>
                <w:szCs w:val="21"/>
              </w:rPr>
              <w:t>排放口混合区外满足水环境管理要求□</w:t>
            </w:r>
          </w:p>
          <w:p w14:paraId="7CE765FA">
            <w:pPr>
              <w:kinsoku w:val="0"/>
              <w:overflowPunct w:val="0"/>
              <w:spacing w:line="240" w:lineRule="auto"/>
              <w:ind w:firstLine="0" w:firstLineChars="0"/>
              <w:rPr>
                <w:color w:val="auto"/>
                <w:sz w:val="21"/>
                <w:szCs w:val="21"/>
              </w:rPr>
            </w:pPr>
            <w:r>
              <w:rPr>
                <w:color w:val="auto"/>
                <w:sz w:val="21"/>
                <w:szCs w:val="21"/>
              </w:rPr>
              <w:t>水环境功能区或水功能区、近岸海域环境功能区水质达标□</w:t>
            </w:r>
          </w:p>
          <w:p w14:paraId="5440148A">
            <w:pPr>
              <w:kinsoku w:val="0"/>
              <w:overflowPunct w:val="0"/>
              <w:spacing w:line="240" w:lineRule="auto"/>
              <w:ind w:firstLine="0" w:firstLineChars="0"/>
              <w:rPr>
                <w:color w:val="auto"/>
                <w:sz w:val="21"/>
                <w:szCs w:val="21"/>
              </w:rPr>
            </w:pPr>
            <w:r>
              <w:rPr>
                <w:color w:val="auto"/>
                <w:sz w:val="21"/>
                <w:szCs w:val="21"/>
              </w:rPr>
              <w:t>满足水环境保护目标水域水环境质量要求</w:t>
            </w:r>
            <w:r>
              <w:rPr>
                <w:rFonts w:hint="eastAsia"/>
                <w:color w:val="auto"/>
                <w:sz w:val="21"/>
                <w:szCs w:val="21"/>
              </w:rPr>
              <w:t>□</w:t>
            </w:r>
          </w:p>
          <w:p w14:paraId="3960E18D">
            <w:pPr>
              <w:kinsoku w:val="0"/>
              <w:overflowPunct w:val="0"/>
              <w:spacing w:line="240" w:lineRule="auto"/>
              <w:ind w:firstLine="0" w:firstLineChars="0"/>
              <w:rPr>
                <w:color w:val="auto"/>
                <w:sz w:val="21"/>
                <w:szCs w:val="21"/>
              </w:rPr>
            </w:pPr>
            <w:r>
              <w:rPr>
                <w:color w:val="auto"/>
                <w:sz w:val="21"/>
                <w:szCs w:val="21"/>
              </w:rPr>
              <w:t>水环境控制单元或断面水质达标□</w:t>
            </w:r>
          </w:p>
          <w:p w14:paraId="54B9BBE2">
            <w:pPr>
              <w:kinsoku w:val="0"/>
              <w:overflowPunct w:val="0"/>
              <w:spacing w:line="240" w:lineRule="auto"/>
              <w:ind w:firstLine="0" w:firstLineChars="0"/>
              <w:rPr>
                <w:color w:val="auto"/>
                <w:sz w:val="21"/>
                <w:szCs w:val="21"/>
              </w:rPr>
            </w:pPr>
            <w:r>
              <w:rPr>
                <w:color w:val="auto"/>
                <w:sz w:val="21"/>
                <w:szCs w:val="21"/>
              </w:rPr>
              <w:t>满足重点水污染物排放总量控制指标要求，重点行业建设项目，主要污染物排放满足等量或减量替代要求□</w:t>
            </w:r>
          </w:p>
          <w:p w14:paraId="7469A8E3">
            <w:pPr>
              <w:kinsoku w:val="0"/>
              <w:overflowPunct w:val="0"/>
              <w:spacing w:line="240" w:lineRule="auto"/>
              <w:ind w:firstLine="0" w:firstLineChars="0"/>
              <w:rPr>
                <w:color w:val="auto"/>
                <w:sz w:val="21"/>
                <w:szCs w:val="21"/>
              </w:rPr>
            </w:pPr>
            <w:r>
              <w:rPr>
                <w:color w:val="auto"/>
                <w:sz w:val="21"/>
                <w:szCs w:val="21"/>
              </w:rPr>
              <w:t>满足区（流）域水环境质量改善目标要求□</w:t>
            </w:r>
          </w:p>
          <w:p w14:paraId="1480F9DD">
            <w:pPr>
              <w:kinsoku w:val="0"/>
              <w:overflowPunct w:val="0"/>
              <w:spacing w:line="240" w:lineRule="auto"/>
              <w:ind w:firstLine="0" w:firstLineChars="0"/>
              <w:rPr>
                <w:color w:val="auto"/>
                <w:sz w:val="21"/>
                <w:szCs w:val="21"/>
              </w:rPr>
            </w:pPr>
            <w:r>
              <w:rPr>
                <w:color w:val="auto"/>
                <w:sz w:val="21"/>
                <w:szCs w:val="21"/>
              </w:rPr>
              <w:t>水文要素影响型建设项目同时应包括水文情势变化评价、主要水文特征值影响评价、生态流量符合性评价□</w:t>
            </w:r>
          </w:p>
          <w:p w14:paraId="32FE4E41">
            <w:pPr>
              <w:kinsoku w:val="0"/>
              <w:overflowPunct w:val="0"/>
              <w:spacing w:line="240" w:lineRule="auto"/>
              <w:ind w:firstLine="0" w:firstLineChars="0"/>
              <w:rPr>
                <w:color w:val="auto"/>
                <w:sz w:val="21"/>
                <w:szCs w:val="21"/>
              </w:rPr>
            </w:pPr>
            <w:r>
              <w:rPr>
                <w:color w:val="auto"/>
                <w:sz w:val="21"/>
                <w:szCs w:val="21"/>
              </w:rPr>
              <w:t>对于新设或调整入河（湖库、近岸海域）排放口的建设项目，应包括排放口设置的环境合理性评价□</w:t>
            </w:r>
          </w:p>
          <w:p w14:paraId="610CEB94">
            <w:pPr>
              <w:kinsoku w:val="0"/>
              <w:overflowPunct w:val="0"/>
              <w:spacing w:line="240" w:lineRule="auto"/>
              <w:ind w:firstLine="0" w:firstLineChars="0"/>
              <w:rPr>
                <w:color w:val="auto"/>
                <w:sz w:val="21"/>
                <w:szCs w:val="21"/>
              </w:rPr>
            </w:pPr>
            <w:r>
              <w:rPr>
                <w:color w:val="auto"/>
                <w:sz w:val="21"/>
                <w:szCs w:val="21"/>
              </w:rPr>
              <w:t>满足生态保护红线、水环境质量底线、资源利用上线和环境准入清单管理要求□</w:t>
            </w:r>
          </w:p>
        </w:tc>
      </w:tr>
      <w:tr w14:paraId="46BE90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3CF549B0">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2918A9CC">
            <w:pPr>
              <w:kinsoku w:val="0"/>
              <w:overflowPunct w:val="0"/>
              <w:autoSpaceDE w:val="0"/>
              <w:autoSpaceDN w:val="0"/>
              <w:spacing w:line="240" w:lineRule="auto"/>
              <w:ind w:firstLine="0" w:firstLineChars="0"/>
              <w:jc w:val="center"/>
              <w:rPr>
                <w:color w:val="auto"/>
                <w:sz w:val="21"/>
                <w:szCs w:val="21"/>
              </w:rPr>
            </w:pPr>
            <w:r>
              <w:rPr>
                <w:color w:val="auto"/>
                <w:sz w:val="21"/>
                <w:szCs w:val="21"/>
              </w:rPr>
              <w:t>污染源排放量核算</w:t>
            </w:r>
          </w:p>
        </w:tc>
        <w:tc>
          <w:tcPr>
            <w:tcW w:w="692" w:type="pct"/>
            <w:gridSpan w:val="2"/>
            <w:vAlign w:val="center"/>
          </w:tcPr>
          <w:p w14:paraId="3236CE2D">
            <w:pPr>
              <w:kinsoku w:val="0"/>
              <w:overflowPunct w:val="0"/>
              <w:spacing w:line="240" w:lineRule="auto"/>
              <w:ind w:firstLine="0" w:firstLineChars="0"/>
              <w:jc w:val="center"/>
              <w:rPr>
                <w:color w:val="auto"/>
                <w:sz w:val="21"/>
                <w:szCs w:val="21"/>
              </w:rPr>
            </w:pPr>
            <w:r>
              <w:rPr>
                <w:color w:val="auto"/>
                <w:sz w:val="21"/>
                <w:szCs w:val="21"/>
              </w:rPr>
              <w:t>污染物名称</w:t>
            </w:r>
          </w:p>
        </w:tc>
        <w:tc>
          <w:tcPr>
            <w:tcW w:w="1594" w:type="pct"/>
            <w:gridSpan w:val="4"/>
            <w:vAlign w:val="center"/>
          </w:tcPr>
          <w:p w14:paraId="7B9070BB">
            <w:pPr>
              <w:kinsoku w:val="0"/>
              <w:overflowPunct w:val="0"/>
              <w:spacing w:line="240" w:lineRule="auto"/>
              <w:ind w:firstLine="0" w:firstLineChars="0"/>
              <w:jc w:val="center"/>
              <w:rPr>
                <w:color w:val="auto"/>
                <w:sz w:val="21"/>
                <w:szCs w:val="21"/>
              </w:rPr>
            </w:pPr>
            <w:r>
              <w:rPr>
                <w:color w:val="auto"/>
                <w:sz w:val="21"/>
                <w:szCs w:val="21"/>
              </w:rPr>
              <w:t>排放量/（t/a）</w:t>
            </w:r>
          </w:p>
        </w:tc>
        <w:tc>
          <w:tcPr>
            <w:tcW w:w="1720" w:type="pct"/>
            <w:gridSpan w:val="3"/>
            <w:vAlign w:val="center"/>
          </w:tcPr>
          <w:p w14:paraId="6F41B4B6">
            <w:pPr>
              <w:kinsoku w:val="0"/>
              <w:overflowPunct w:val="0"/>
              <w:spacing w:line="240" w:lineRule="auto"/>
              <w:ind w:firstLine="0" w:firstLineChars="0"/>
              <w:jc w:val="center"/>
              <w:rPr>
                <w:color w:val="auto"/>
                <w:sz w:val="21"/>
                <w:szCs w:val="21"/>
              </w:rPr>
            </w:pPr>
            <w:r>
              <w:rPr>
                <w:color w:val="auto"/>
                <w:sz w:val="21"/>
                <w:szCs w:val="21"/>
              </w:rPr>
              <w:t>排放浓度/（mg/L）</w:t>
            </w:r>
          </w:p>
        </w:tc>
      </w:tr>
      <w:tr w14:paraId="244558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342" w:type="pct"/>
            <w:vMerge w:val="continue"/>
            <w:vAlign w:val="center"/>
          </w:tcPr>
          <w:p w14:paraId="17C78982">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5CF30E4D">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73788426">
            <w:pPr>
              <w:widowControl/>
              <w:spacing w:line="240" w:lineRule="auto"/>
              <w:ind w:firstLine="0" w:firstLineChars="0"/>
              <w:jc w:val="center"/>
              <w:rPr>
                <w:color w:val="auto"/>
                <w:sz w:val="21"/>
                <w:szCs w:val="21"/>
              </w:rPr>
            </w:pPr>
            <w:r>
              <w:rPr>
                <w:color w:val="auto"/>
                <w:sz w:val="21"/>
                <w:szCs w:val="21"/>
              </w:rPr>
              <w:t>COD</w:t>
            </w:r>
          </w:p>
        </w:tc>
        <w:tc>
          <w:tcPr>
            <w:tcW w:w="4501" w:type="dxa"/>
            <w:gridSpan w:val="4"/>
            <w:shd w:val="clear" w:color="auto" w:fill="auto"/>
            <w:vAlign w:val="center"/>
          </w:tcPr>
          <w:p w14:paraId="7172A062">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 xml:space="preserve">263.20 </w:t>
            </w:r>
          </w:p>
        </w:tc>
        <w:tc>
          <w:tcPr>
            <w:tcW w:w="4860" w:type="dxa"/>
            <w:gridSpan w:val="3"/>
            <w:shd w:val="clear" w:color="auto" w:fill="auto"/>
            <w:vAlign w:val="center"/>
          </w:tcPr>
          <w:p w14:paraId="557FD619">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76.370</w:t>
            </w:r>
          </w:p>
        </w:tc>
      </w:tr>
      <w:tr w14:paraId="4FC649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3696A4E">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4E1FF58C">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3B1BD314">
            <w:pPr>
              <w:widowControl/>
              <w:spacing w:line="240" w:lineRule="auto"/>
              <w:ind w:firstLine="0" w:firstLineChars="0"/>
              <w:jc w:val="center"/>
              <w:rPr>
                <w:color w:val="auto"/>
                <w:sz w:val="21"/>
                <w:szCs w:val="21"/>
              </w:rPr>
            </w:pPr>
            <w:r>
              <w:rPr>
                <w:color w:val="auto"/>
                <w:sz w:val="21"/>
                <w:szCs w:val="21"/>
              </w:rPr>
              <w:t>SS</w:t>
            </w:r>
          </w:p>
        </w:tc>
        <w:tc>
          <w:tcPr>
            <w:tcW w:w="4501" w:type="dxa"/>
            <w:gridSpan w:val="4"/>
            <w:shd w:val="clear" w:color="auto" w:fill="auto"/>
            <w:vAlign w:val="center"/>
          </w:tcPr>
          <w:p w14:paraId="357D6A3A">
            <w:pPr>
              <w:widowControl/>
              <w:spacing w:line="240" w:lineRule="auto"/>
              <w:ind w:firstLine="0" w:firstLineChars="0"/>
              <w:jc w:val="center"/>
              <w:textAlignment w:val="center"/>
              <w:rPr>
                <w:bCs/>
                <w:color w:val="auto"/>
                <w:sz w:val="21"/>
                <w:szCs w:val="21"/>
              </w:rPr>
            </w:pPr>
            <w:r>
              <w:rPr>
                <w:rFonts w:hint="eastAsia"/>
                <w:bCs/>
                <w:color w:val="auto"/>
                <w:sz w:val="21"/>
                <w:szCs w:val="21"/>
              </w:rPr>
              <w:t>37.75</w:t>
            </w:r>
          </w:p>
        </w:tc>
        <w:tc>
          <w:tcPr>
            <w:tcW w:w="4860" w:type="dxa"/>
            <w:gridSpan w:val="3"/>
            <w:shd w:val="clear" w:color="auto" w:fill="auto"/>
            <w:vAlign w:val="center"/>
          </w:tcPr>
          <w:p w14:paraId="2761033F">
            <w:pPr>
              <w:widowControl/>
              <w:spacing w:line="240" w:lineRule="auto"/>
              <w:ind w:firstLine="0" w:firstLineChars="0"/>
              <w:jc w:val="center"/>
              <w:textAlignment w:val="center"/>
              <w:rPr>
                <w:bCs/>
                <w:color w:val="auto"/>
                <w:sz w:val="21"/>
                <w:szCs w:val="21"/>
              </w:rPr>
            </w:pPr>
            <w:r>
              <w:rPr>
                <w:rFonts w:hint="eastAsia" w:eastAsia="等线"/>
                <w:color w:val="auto"/>
                <w:kern w:val="0"/>
                <w:sz w:val="21"/>
                <w:szCs w:val="21"/>
                <w:lang w:bidi="ar"/>
              </w:rPr>
              <w:t>10.952</w:t>
            </w:r>
          </w:p>
        </w:tc>
      </w:tr>
      <w:tr w14:paraId="7A7C00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04EB58EC">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53BF19FE">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65551151">
            <w:pPr>
              <w:widowControl/>
              <w:spacing w:line="240" w:lineRule="auto"/>
              <w:ind w:firstLine="0" w:firstLineChars="0"/>
              <w:jc w:val="center"/>
              <w:rPr>
                <w:color w:val="auto"/>
                <w:sz w:val="21"/>
                <w:szCs w:val="21"/>
              </w:rPr>
            </w:pPr>
            <w:r>
              <w:rPr>
                <w:rFonts w:hint="eastAsia"/>
                <w:color w:val="auto"/>
                <w:sz w:val="21"/>
                <w:szCs w:val="21"/>
              </w:rPr>
              <w:t>氨氮</w:t>
            </w:r>
          </w:p>
        </w:tc>
        <w:tc>
          <w:tcPr>
            <w:tcW w:w="4501" w:type="dxa"/>
            <w:gridSpan w:val="4"/>
            <w:shd w:val="clear" w:color="auto" w:fill="auto"/>
            <w:vAlign w:val="center"/>
          </w:tcPr>
          <w:p w14:paraId="0B864DC9">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1</w:t>
            </w:r>
            <w:r>
              <w:rPr>
                <w:rFonts w:hint="eastAsia" w:eastAsia="等线"/>
                <w:color w:val="auto"/>
                <w:kern w:val="0"/>
                <w:sz w:val="21"/>
                <w:szCs w:val="21"/>
                <w:lang w:val="en-US" w:eastAsia="zh-CN" w:bidi="ar"/>
              </w:rPr>
              <w:t>8.01</w:t>
            </w:r>
          </w:p>
        </w:tc>
        <w:tc>
          <w:tcPr>
            <w:tcW w:w="4860" w:type="dxa"/>
            <w:gridSpan w:val="3"/>
            <w:shd w:val="clear" w:color="auto" w:fill="auto"/>
            <w:vAlign w:val="center"/>
          </w:tcPr>
          <w:p w14:paraId="3A62C713">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5.</w:t>
            </w:r>
            <w:r>
              <w:rPr>
                <w:rFonts w:hint="eastAsia" w:eastAsia="等线"/>
                <w:color w:val="auto"/>
                <w:kern w:val="0"/>
                <w:sz w:val="21"/>
                <w:szCs w:val="21"/>
                <w:lang w:val="en-US" w:eastAsia="zh-CN" w:bidi="ar"/>
              </w:rPr>
              <w:t>226</w:t>
            </w:r>
          </w:p>
        </w:tc>
      </w:tr>
      <w:tr w14:paraId="366CE0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0229AF0B">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142CF145">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1B30A75B">
            <w:pPr>
              <w:widowControl/>
              <w:spacing w:line="240" w:lineRule="auto"/>
              <w:ind w:firstLine="0" w:firstLineChars="0"/>
              <w:jc w:val="center"/>
              <w:rPr>
                <w:color w:val="auto"/>
                <w:sz w:val="21"/>
                <w:szCs w:val="21"/>
              </w:rPr>
            </w:pPr>
            <w:r>
              <w:rPr>
                <w:rFonts w:hint="eastAsia"/>
                <w:color w:val="auto"/>
                <w:sz w:val="21"/>
                <w:szCs w:val="21"/>
              </w:rPr>
              <w:t>总磷</w:t>
            </w:r>
          </w:p>
        </w:tc>
        <w:tc>
          <w:tcPr>
            <w:tcW w:w="4501" w:type="dxa"/>
            <w:gridSpan w:val="4"/>
            <w:shd w:val="clear" w:color="auto" w:fill="auto"/>
            <w:vAlign w:val="center"/>
          </w:tcPr>
          <w:p w14:paraId="34911CE2">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0.</w:t>
            </w:r>
            <w:r>
              <w:rPr>
                <w:rFonts w:hint="eastAsia" w:eastAsia="等线"/>
                <w:color w:val="auto"/>
                <w:kern w:val="0"/>
                <w:sz w:val="21"/>
                <w:szCs w:val="21"/>
                <w:lang w:val="en-US" w:eastAsia="zh-CN" w:bidi="ar"/>
              </w:rPr>
              <w:t>538</w:t>
            </w:r>
          </w:p>
        </w:tc>
        <w:tc>
          <w:tcPr>
            <w:tcW w:w="4860" w:type="dxa"/>
            <w:gridSpan w:val="3"/>
            <w:shd w:val="clear" w:color="auto" w:fill="auto"/>
            <w:vAlign w:val="center"/>
          </w:tcPr>
          <w:p w14:paraId="3E0DE73D">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0.1</w:t>
            </w:r>
            <w:r>
              <w:rPr>
                <w:rFonts w:hint="eastAsia" w:eastAsia="等线"/>
                <w:color w:val="auto"/>
                <w:kern w:val="0"/>
                <w:sz w:val="21"/>
                <w:szCs w:val="21"/>
                <w:lang w:val="en-US" w:eastAsia="zh-CN" w:bidi="ar"/>
              </w:rPr>
              <w:t>56</w:t>
            </w:r>
          </w:p>
        </w:tc>
      </w:tr>
      <w:tr w14:paraId="329CF7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342" w:type="pct"/>
            <w:vMerge w:val="continue"/>
            <w:vAlign w:val="center"/>
          </w:tcPr>
          <w:p w14:paraId="09EEA54A">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2347C03B">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12A661B1">
            <w:pPr>
              <w:widowControl/>
              <w:spacing w:line="240" w:lineRule="auto"/>
              <w:ind w:firstLine="0" w:firstLineChars="0"/>
              <w:jc w:val="center"/>
              <w:rPr>
                <w:color w:val="auto"/>
                <w:sz w:val="21"/>
                <w:szCs w:val="21"/>
              </w:rPr>
            </w:pPr>
            <w:r>
              <w:rPr>
                <w:rFonts w:hint="eastAsia"/>
                <w:color w:val="auto"/>
                <w:sz w:val="21"/>
                <w:szCs w:val="21"/>
              </w:rPr>
              <w:t>总氮</w:t>
            </w:r>
          </w:p>
        </w:tc>
        <w:tc>
          <w:tcPr>
            <w:tcW w:w="4501" w:type="dxa"/>
            <w:gridSpan w:val="4"/>
            <w:shd w:val="clear" w:color="auto" w:fill="auto"/>
            <w:vAlign w:val="center"/>
          </w:tcPr>
          <w:p w14:paraId="13FE7701">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28.92</w:t>
            </w:r>
          </w:p>
        </w:tc>
        <w:tc>
          <w:tcPr>
            <w:tcW w:w="4860" w:type="dxa"/>
            <w:gridSpan w:val="3"/>
            <w:shd w:val="clear" w:color="auto" w:fill="auto"/>
            <w:vAlign w:val="center"/>
          </w:tcPr>
          <w:p w14:paraId="24282194">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8.391</w:t>
            </w:r>
          </w:p>
        </w:tc>
      </w:tr>
      <w:tr w14:paraId="629110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4ADAF618">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4D1FDE45">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5A9ED7F4">
            <w:pPr>
              <w:widowControl/>
              <w:spacing w:line="240" w:lineRule="auto"/>
              <w:ind w:firstLine="0" w:firstLineChars="0"/>
              <w:jc w:val="center"/>
              <w:rPr>
                <w:color w:val="auto"/>
                <w:sz w:val="21"/>
                <w:szCs w:val="21"/>
              </w:rPr>
            </w:pPr>
            <w:r>
              <w:rPr>
                <w:rFonts w:hint="eastAsia"/>
                <w:color w:val="auto"/>
                <w:sz w:val="21"/>
                <w:szCs w:val="21"/>
              </w:rPr>
              <w:t>总铝</w:t>
            </w:r>
          </w:p>
        </w:tc>
        <w:tc>
          <w:tcPr>
            <w:tcW w:w="4501" w:type="dxa"/>
            <w:gridSpan w:val="4"/>
            <w:shd w:val="clear" w:color="auto" w:fill="auto"/>
            <w:vAlign w:val="center"/>
          </w:tcPr>
          <w:p w14:paraId="1ACF9225">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1.36</w:t>
            </w:r>
          </w:p>
        </w:tc>
        <w:tc>
          <w:tcPr>
            <w:tcW w:w="4860" w:type="dxa"/>
            <w:gridSpan w:val="3"/>
            <w:shd w:val="clear" w:color="auto" w:fill="auto"/>
            <w:vAlign w:val="center"/>
          </w:tcPr>
          <w:p w14:paraId="28265B80">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0.394</w:t>
            </w:r>
          </w:p>
        </w:tc>
      </w:tr>
      <w:tr w14:paraId="454432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7244E144">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5782F27A">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559D0710">
            <w:pPr>
              <w:widowControl/>
              <w:spacing w:line="240" w:lineRule="auto"/>
              <w:ind w:firstLine="0" w:firstLineChars="0"/>
              <w:jc w:val="center"/>
              <w:rPr>
                <w:color w:val="auto"/>
                <w:sz w:val="21"/>
                <w:szCs w:val="21"/>
              </w:rPr>
            </w:pPr>
            <w:r>
              <w:rPr>
                <w:rFonts w:hint="eastAsia"/>
                <w:color w:val="auto"/>
                <w:sz w:val="21"/>
                <w:szCs w:val="21"/>
              </w:rPr>
              <w:t>石油类</w:t>
            </w:r>
          </w:p>
        </w:tc>
        <w:tc>
          <w:tcPr>
            <w:tcW w:w="4501" w:type="dxa"/>
            <w:gridSpan w:val="4"/>
            <w:shd w:val="clear" w:color="auto" w:fill="auto"/>
            <w:vAlign w:val="center"/>
          </w:tcPr>
          <w:p w14:paraId="0424DB5D">
            <w:pPr>
              <w:widowControl/>
              <w:spacing w:line="240" w:lineRule="auto"/>
              <w:ind w:firstLine="0" w:firstLineChars="0"/>
              <w:jc w:val="center"/>
              <w:textAlignment w:val="center"/>
              <w:rPr>
                <w:bCs/>
                <w:color w:val="auto"/>
                <w:sz w:val="21"/>
                <w:szCs w:val="21"/>
              </w:rPr>
            </w:pPr>
            <w:r>
              <w:rPr>
                <w:rFonts w:hint="eastAsia"/>
                <w:bCs/>
                <w:color w:val="auto"/>
                <w:sz w:val="21"/>
                <w:szCs w:val="21"/>
                <w:lang w:val="en-US" w:eastAsia="zh-CN"/>
              </w:rPr>
              <w:t>6.02</w:t>
            </w:r>
          </w:p>
        </w:tc>
        <w:tc>
          <w:tcPr>
            <w:tcW w:w="4860" w:type="dxa"/>
            <w:gridSpan w:val="3"/>
            <w:shd w:val="clear" w:color="auto" w:fill="auto"/>
            <w:vAlign w:val="center"/>
          </w:tcPr>
          <w:p w14:paraId="15003D81">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1.</w:t>
            </w:r>
            <w:r>
              <w:rPr>
                <w:rFonts w:hint="eastAsia" w:eastAsia="等线"/>
                <w:color w:val="auto"/>
                <w:kern w:val="0"/>
                <w:sz w:val="21"/>
                <w:szCs w:val="21"/>
                <w:lang w:val="en-US" w:eastAsia="zh-CN" w:bidi="ar"/>
              </w:rPr>
              <w:t>748</w:t>
            </w:r>
          </w:p>
        </w:tc>
      </w:tr>
      <w:tr w14:paraId="7A264C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64568614">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66628D52">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6DD47DBE">
            <w:pPr>
              <w:widowControl/>
              <w:spacing w:line="240" w:lineRule="auto"/>
              <w:ind w:firstLine="0" w:firstLineChars="0"/>
              <w:jc w:val="center"/>
              <w:rPr>
                <w:color w:val="auto"/>
                <w:sz w:val="21"/>
                <w:szCs w:val="21"/>
              </w:rPr>
            </w:pPr>
            <w:r>
              <w:rPr>
                <w:rFonts w:hint="eastAsia"/>
                <w:color w:val="auto"/>
                <w:sz w:val="21"/>
                <w:szCs w:val="21"/>
              </w:rPr>
              <w:t>LAS</w:t>
            </w:r>
          </w:p>
        </w:tc>
        <w:tc>
          <w:tcPr>
            <w:tcW w:w="4501" w:type="dxa"/>
            <w:gridSpan w:val="4"/>
            <w:shd w:val="clear" w:color="auto" w:fill="auto"/>
            <w:vAlign w:val="center"/>
          </w:tcPr>
          <w:p w14:paraId="0BE8E500">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val="en-US" w:eastAsia="zh-CN" w:bidi="ar"/>
              </w:rPr>
              <w:t>16.93</w:t>
            </w:r>
          </w:p>
        </w:tc>
        <w:tc>
          <w:tcPr>
            <w:tcW w:w="4860" w:type="dxa"/>
            <w:gridSpan w:val="3"/>
            <w:shd w:val="clear" w:color="auto" w:fill="auto"/>
            <w:vAlign w:val="center"/>
          </w:tcPr>
          <w:p w14:paraId="00A5F7F6">
            <w:pPr>
              <w:widowControl/>
              <w:spacing w:line="240" w:lineRule="auto"/>
              <w:ind w:firstLine="0" w:firstLineChars="0"/>
              <w:jc w:val="center"/>
              <w:textAlignment w:val="center"/>
              <w:rPr>
                <w:rFonts w:eastAsia="等线"/>
                <w:color w:val="auto"/>
                <w:kern w:val="0"/>
                <w:sz w:val="21"/>
                <w:szCs w:val="21"/>
                <w:lang w:bidi="ar"/>
              </w:rPr>
            </w:pPr>
            <w:r>
              <w:rPr>
                <w:rFonts w:hint="eastAsia" w:eastAsia="等线"/>
                <w:color w:val="auto"/>
                <w:kern w:val="0"/>
                <w:sz w:val="21"/>
                <w:szCs w:val="21"/>
                <w:lang w:val="en-US" w:eastAsia="zh-CN" w:bidi="ar"/>
              </w:rPr>
              <w:t>4.912</w:t>
            </w:r>
          </w:p>
        </w:tc>
      </w:tr>
      <w:tr w14:paraId="1F5B97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42" w:type="pct"/>
            <w:vMerge w:val="continue"/>
            <w:vAlign w:val="center"/>
          </w:tcPr>
          <w:p w14:paraId="2A4C8E3D">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55F98251">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60093431">
            <w:pPr>
              <w:widowControl/>
              <w:spacing w:line="240" w:lineRule="auto"/>
              <w:ind w:firstLine="0" w:firstLineChars="0"/>
              <w:jc w:val="center"/>
              <w:rPr>
                <w:color w:val="auto"/>
                <w:sz w:val="21"/>
                <w:szCs w:val="21"/>
              </w:rPr>
            </w:pPr>
            <w:r>
              <w:rPr>
                <w:rFonts w:hint="eastAsia"/>
                <w:color w:val="auto"/>
                <w:sz w:val="21"/>
                <w:szCs w:val="21"/>
              </w:rPr>
              <w:t>总锡</w:t>
            </w:r>
          </w:p>
        </w:tc>
        <w:tc>
          <w:tcPr>
            <w:tcW w:w="4501" w:type="dxa"/>
            <w:gridSpan w:val="4"/>
            <w:shd w:val="clear" w:color="auto" w:fill="auto"/>
            <w:vAlign w:val="center"/>
          </w:tcPr>
          <w:p w14:paraId="5C2422AD">
            <w:pPr>
              <w:widowControl/>
              <w:spacing w:line="240" w:lineRule="auto"/>
              <w:ind w:firstLine="0" w:firstLineChars="0"/>
              <w:jc w:val="center"/>
              <w:textAlignment w:val="center"/>
              <w:rPr>
                <w:rFonts w:eastAsia="等线"/>
                <w:color w:val="auto"/>
                <w:kern w:val="0"/>
                <w:sz w:val="21"/>
                <w:szCs w:val="21"/>
                <w:lang w:bidi="ar"/>
              </w:rPr>
            </w:pPr>
            <w:r>
              <w:rPr>
                <w:rFonts w:eastAsia="等线"/>
                <w:color w:val="auto"/>
                <w:kern w:val="0"/>
                <w:sz w:val="21"/>
                <w:szCs w:val="21"/>
                <w:lang w:bidi="ar"/>
              </w:rPr>
              <w:t>2.93</w:t>
            </w:r>
          </w:p>
        </w:tc>
        <w:tc>
          <w:tcPr>
            <w:tcW w:w="4860" w:type="dxa"/>
            <w:gridSpan w:val="3"/>
            <w:shd w:val="clear" w:color="auto" w:fill="auto"/>
            <w:vAlign w:val="center"/>
          </w:tcPr>
          <w:p w14:paraId="71532FBF">
            <w:pPr>
              <w:widowControl/>
              <w:spacing w:line="240" w:lineRule="auto"/>
              <w:ind w:firstLine="0" w:firstLineChars="0"/>
              <w:jc w:val="center"/>
              <w:textAlignment w:val="center"/>
              <w:rPr>
                <w:rFonts w:eastAsia="等线"/>
                <w:color w:val="auto"/>
                <w:kern w:val="0"/>
                <w:sz w:val="21"/>
                <w:szCs w:val="21"/>
                <w:lang w:bidi="ar"/>
              </w:rPr>
            </w:pPr>
            <w:r>
              <w:rPr>
                <w:rFonts w:eastAsia="等线"/>
                <w:color w:val="auto"/>
                <w:kern w:val="0"/>
                <w:sz w:val="21"/>
                <w:szCs w:val="21"/>
                <w:lang w:bidi="ar"/>
              </w:rPr>
              <w:t>0.851</w:t>
            </w:r>
          </w:p>
        </w:tc>
      </w:tr>
      <w:tr w14:paraId="0C8D34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7D44B2A">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465437AA">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27E85172">
            <w:pPr>
              <w:widowControl/>
              <w:spacing w:line="240" w:lineRule="auto"/>
              <w:ind w:firstLine="0" w:firstLineChars="0"/>
              <w:jc w:val="center"/>
              <w:rPr>
                <w:color w:val="auto"/>
                <w:sz w:val="21"/>
                <w:szCs w:val="21"/>
              </w:rPr>
            </w:pPr>
            <w:r>
              <w:rPr>
                <w:rFonts w:hint="eastAsia"/>
                <w:color w:val="auto"/>
                <w:sz w:val="21"/>
                <w:szCs w:val="21"/>
              </w:rPr>
              <w:t>动植物油</w:t>
            </w:r>
          </w:p>
        </w:tc>
        <w:tc>
          <w:tcPr>
            <w:tcW w:w="4501" w:type="dxa"/>
            <w:gridSpan w:val="4"/>
            <w:shd w:val="clear" w:color="auto" w:fill="auto"/>
            <w:vAlign w:val="center"/>
          </w:tcPr>
          <w:p w14:paraId="16895058">
            <w:pPr>
              <w:widowControl/>
              <w:spacing w:line="240" w:lineRule="auto"/>
              <w:ind w:firstLine="0" w:firstLineChars="0"/>
              <w:jc w:val="center"/>
              <w:textAlignment w:val="center"/>
              <w:rPr>
                <w:bCs/>
                <w:color w:val="auto"/>
                <w:sz w:val="21"/>
                <w:szCs w:val="21"/>
              </w:rPr>
            </w:pPr>
            <w:r>
              <w:rPr>
                <w:rFonts w:eastAsia="等线"/>
                <w:color w:val="auto"/>
                <w:kern w:val="0"/>
                <w:sz w:val="21"/>
                <w:szCs w:val="21"/>
                <w:lang w:bidi="ar"/>
              </w:rPr>
              <w:t>0.68</w:t>
            </w:r>
          </w:p>
        </w:tc>
        <w:tc>
          <w:tcPr>
            <w:tcW w:w="4860" w:type="dxa"/>
            <w:gridSpan w:val="3"/>
            <w:vAlign w:val="center"/>
          </w:tcPr>
          <w:p w14:paraId="2CDBEFD9">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0.198</w:t>
            </w:r>
          </w:p>
        </w:tc>
      </w:tr>
      <w:tr w14:paraId="3E7151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201C00A2">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6D510317">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57F08B0E">
            <w:pPr>
              <w:widowControl/>
              <w:spacing w:line="240" w:lineRule="auto"/>
              <w:ind w:firstLine="0" w:firstLineChars="0"/>
              <w:jc w:val="center"/>
              <w:rPr>
                <w:color w:val="auto"/>
                <w:sz w:val="21"/>
                <w:szCs w:val="21"/>
              </w:rPr>
            </w:pPr>
            <w:r>
              <w:rPr>
                <w:rFonts w:hint="eastAsia"/>
                <w:color w:val="auto"/>
                <w:sz w:val="21"/>
                <w:szCs w:val="21"/>
              </w:rPr>
              <w:t>盐分</w:t>
            </w:r>
          </w:p>
        </w:tc>
        <w:tc>
          <w:tcPr>
            <w:tcW w:w="4501" w:type="dxa"/>
            <w:gridSpan w:val="4"/>
            <w:shd w:val="clear" w:color="auto" w:fill="auto"/>
            <w:vAlign w:val="center"/>
          </w:tcPr>
          <w:p w14:paraId="4213821C">
            <w:pPr>
              <w:widowControl/>
              <w:spacing w:line="240" w:lineRule="auto"/>
              <w:ind w:firstLine="0" w:firstLineChars="0"/>
              <w:jc w:val="center"/>
              <w:textAlignment w:val="center"/>
              <w:rPr>
                <w:rFonts w:eastAsia="等线"/>
                <w:color w:val="auto"/>
                <w:kern w:val="0"/>
                <w:sz w:val="21"/>
                <w:szCs w:val="21"/>
                <w:lang w:bidi="ar"/>
              </w:rPr>
            </w:pPr>
            <w:r>
              <w:rPr>
                <w:rFonts w:eastAsia="等线"/>
                <w:color w:val="auto"/>
                <w:kern w:val="0"/>
                <w:sz w:val="21"/>
                <w:szCs w:val="21"/>
                <w:lang w:bidi="ar"/>
              </w:rPr>
              <w:t>447.39</w:t>
            </w:r>
          </w:p>
        </w:tc>
        <w:tc>
          <w:tcPr>
            <w:tcW w:w="4860" w:type="dxa"/>
            <w:gridSpan w:val="3"/>
            <w:vAlign w:val="center"/>
          </w:tcPr>
          <w:p w14:paraId="017346D7">
            <w:pPr>
              <w:widowControl/>
              <w:spacing w:line="240" w:lineRule="auto"/>
              <w:ind w:firstLine="0" w:firstLineChars="0"/>
              <w:jc w:val="center"/>
              <w:textAlignment w:val="center"/>
              <w:rPr>
                <w:rFonts w:eastAsia="等线"/>
                <w:bCs/>
                <w:color w:val="auto"/>
                <w:sz w:val="21"/>
                <w:szCs w:val="21"/>
              </w:rPr>
            </w:pPr>
            <w:r>
              <w:rPr>
                <w:rFonts w:eastAsia="等线"/>
                <w:color w:val="auto"/>
                <w:kern w:val="0"/>
                <w:sz w:val="21"/>
                <w:szCs w:val="21"/>
                <w:lang w:bidi="ar"/>
              </w:rPr>
              <w:t>129.814</w:t>
            </w:r>
          </w:p>
        </w:tc>
      </w:tr>
      <w:tr w14:paraId="1E32ED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1C4A4908">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68E06F5A">
            <w:pPr>
              <w:kinsoku w:val="0"/>
              <w:overflowPunct w:val="0"/>
              <w:spacing w:line="240" w:lineRule="auto"/>
              <w:ind w:firstLine="0" w:firstLineChars="0"/>
              <w:jc w:val="center"/>
              <w:rPr>
                <w:color w:val="auto"/>
                <w:sz w:val="21"/>
                <w:szCs w:val="21"/>
              </w:rPr>
            </w:pPr>
            <w:r>
              <w:rPr>
                <w:color w:val="auto"/>
                <w:sz w:val="21"/>
                <w:szCs w:val="21"/>
              </w:rPr>
              <w:t>替代源排放情况</w:t>
            </w:r>
          </w:p>
        </w:tc>
        <w:tc>
          <w:tcPr>
            <w:tcW w:w="547" w:type="pct"/>
            <w:vAlign w:val="center"/>
          </w:tcPr>
          <w:p w14:paraId="051CB96C">
            <w:pPr>
              <w:kinsoku w:val="0"/>
              <w:overflowPunct w:val="0"/>
              <w:spacing w:line="240" w:lineRule="auto"/>
              <w:ind w:firstLine="0" w:firstLineChars="0"/>
              <w:jc w:val="center"/>
              <w:rPr>
                <w:color w:val="auto"/>
                <w:sz w:val="21"/>
                <w:szCs w:val="21"/>
              </w:rPr>
            </w:pPr>
            <w:r>
              <w:rPr>
                <w:color w:val="auto"/>
                <w:sz w:val="21"/>
                <w:szCs w:val="21"/>
              </w:rPr>
              <w:t>污染源名称</w:t>
            </w:r>
          </w:p>
        </w:tc>
        <w:tc>
          <w:tcPr>
            <w:tcW w:w="851" w:type="pct"/>
            <w:gridSpan w:val="3"/>
            <w:vAlign w:val="center"/>
          </w:tcPr>
          <w:p w14:paraId="3A022306">
            <w:pPr>
              <w:kinsoku w:val="0"/>
              <w:overflowPunct w:val="0"/>
              <w:spacing w:line="240" w:lineRule="auto"/>
              <w:ind w:firstLine="0" w:firstLineChars="0"/>
              <w:jc w:val="center"/>
              <w:rPr>
                <w:color w:val="auto"/>
                <w:sz w:val="21"/>
                <w:szCs w:val="21"/>
              </w:rPr>
            </w:pPr>
            <w:r>
              <w:rPr>
                <w:color w:val="auto"/>
                <w:sz w:val="21"/>
                <w:szCs w:val="21"/>
              </w:rPr>
              <w:t>排污许可证编号</w:t>
            </w:r>
          </w:p>
        </w:tc>
        <w:tc>
          <w:tcPr>
            <w:tcW w:w="887" w:type="pct"/>
            <w:gridSpan w:val="2"/>
            <w:vAlign w:val="center"/>
          </w:tcPr>
          <w:p w14:paraId="7F067F42">
            <w:pPr>
              <w:kinsoku w:val="0"/>
              <w:overflowPunct w:val="0"/>
              <w:spacing w:line="240" w:lineRule="auto"/>
              <w:ind w:firstLine="0" w:firstLineChars="0"/>
              <w:jc w:val="center"/>
              <w:rPr>
                <w:color w:val="auto"/>
                <w:sz w:val="21"/>
                <w:szCs w:val="21"/>
              </w:rPr>
            </w:pPr>
            <w:r>
              <w:rPr>
                <w:color w:val="auto"/>
                <w:sz w:val="21"/>
                <w:szCs w:val="21"/>
              </w:rPr>
              <w:t>污染物名称</w:t>
            </w:r>
          </w:p>
        </w:tc>
        <w:tc>
          <w:tcPr>
            <w:tcW w:w="853" w:type="pct"/>
            <w:vAlign w:val="center"/>
          </w:tcPr>
          <w:p w14:paraId="374CFE43">
            <w:pPr>
              <w:kinsoku w:val="0"/>
              <w:overflowPunct w:val="0"/>
              <w:spacing w:line="240" w:lineRule="auto"/>
              <w:ind w:firstLine="0" w:firstLineChars="0"/>
              <w:jc w:val="center"/>
              <w:rPr>
                <w:color w:val="auto"/>
                <w:sz w:val="21"/>
                <w:szCs w:val="21"/>
              </w:rPr>
            </w:pPr>
            <w:r>
              <w:rPr>
                <w:color w:val="auto"/>
                <w:sz w:val="21"/>
                <w:szCs w:val="21"/>
              </w:rPr>
              <w:t>排放量/（t/a）</w:t>
            </w:r>
          </w:p>
        </w:tc>
        <w:tc>
          <w:tcPr>
            <w:tcW w:w="867" w:type="pct"/>
            <w:gridSpan w:val="2"/>
            <w:vAlign w:val="center"/>
          </w:tcPr>
          <w:p w14:paraId="1FC330C6">
            <w:pPr>
              <w:kinsoku w:val="0"/>
              <w:overflowPunct w:val="0"/>
              <w:spacing w:line="240" w:lineRule="auto"/>
              <w:ind w:firstLine="0" w:firstLineChars="0"/>
              <w:jc w:val="center"/>
              <w:rPr>
                <w:color w:val="auto"/>
                <w:sz w:val="21"/>
                <w:szCs w:val="21"/>
              </w:rPr>
            </w:pPr>
            <w:r>
              <w:rPr>
                <w:color w:val="auto"/>
                <w:sz w:val="21"/>
                <w:szCs w:val="21"/>
              </w:rPr>
              <w:t>排放浓度/（mg/L）</w:t>
            </w:r>
          </w:p>
        </w:tc>
      </w:tr>
      <w:tr w14:paraId="1C1E5E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22BB075F">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7C169057">
            <w:pPr>
              <w:kinsoku w:val="0"/>
              <w:overflowPunct w:val="0"/>
              <w:autoSpaceDE w:val="0"/>
              <w:autoSpaceDN w:val="0"/>
              <w:spacing w:line="240" w:lineRule="auto"/>
              <w:ind w:firstLine="0" w:firstLineChars="0"/>
              <w:jc w:val="center"/>
              <w:rPr>
                <w:color w:val="auto"/>
                <w:sz w:val="21"/>
                <w:szCs w:val="21"/>
              </w:rPr>
            </w:pPr>
          </w:p>
        </w:tc>
        <w:tc>
          <w:tcPr>
            <w:tcW w:w="547" w:type="pct"/>
            <w:vAlign w:val="center"/>
          </w:tcPr>
          <w:p w14:paraId="08AC48BA">
            <w:pPr>
              <w:kinsoku w:val="0"/>
              <w:overflowPunct w:val="0"/>
              <w:spacing w:line="240" w:lineRule="auto"/>
              <w:ind w:firstLine="0" w:firstLineChars="0"/>
              <w:jc w:val="center"/>
              <w:rPr>
                <w:color w:val="auto"/>
                <w:sz w:val="21"/>
                <w:szCs w:val="21"/>
              </w:rPr>
            </w:pPr>
            <w:r>
              <w:rPr>
                <w:color w:val="auto"/>
                <w:sz w:val="21"/>
                <w:szCs w:val="21"/>
              </w:rPr>
              <w:t>（/）</w:t>
            </w:r>
          </w:p>
        </w:tc>
        <w:tc>
          <w:tcPr>
            <w:tcW w:w="851" w:type="pct"/>
            <w:gridSpan w:val="3"/>
            <w:vAlign w:val="center"/>
          </w:tcPr>
          <w:p w14:paraId="546EC96E">
            <w:pPr>
              <w:kinsoku w:val="0"/>
              <w:overflowPunct w:val="0"/>
              <w:spacing w:line="240" w:lineRule="auto"/>
              <w:ind w:firstLine="0" w:firstLineChars="0"/>
              <w:jc w:val="center"/>
              <w:rPr>
                <w:color w:val="auto"/>
                <w:sz w:val="21"/>
                <w:szCs w:val="21"/>
              </w:rPr>
            </w:pPr>
            <w:r>
              <w:rPr>
                <w:color w:val="auto"/>
                <w:sz w:val="21"/>
                <w:szCs w:val="21"/>
              </w:rPr>
              <w:t>（/）</w:t>
            </w:r>
          </w:p>
        </w:tc>
        <w:tc>
          <w:tcPr>
            <w:tcW w:w="887" w:type="pct"/>
            <w:gridSpan w:val="2"/>
            <w:vAlign w:val="center"/>
          </w:tcPr>
          <w:p w14:paraId="39327434">
            <w:pPr>
              <w:kinsoku w:val="0"/>
              <w:overflowPunct w:val="0"/>
              <w:spacing w:line="240" w:lineRule="auto"/>
              <w:ind w:firstLine="0" w:firstLineChars="0"/>
              <w:jc w:val="center"/>
              <w:rPr>
                <w:color w:val="auto"/>
                <w:sz w:val="21"/>
                <w:szCs w:val="21"/>
              </w:rPr>
            </w:pPr>
            <w:r>
              <w:rPr>
                <w:color w:val="auto"/>
                <w:sz w:val="21"/>
                <w:szCs w:val="21"/>
              </w:rPr>
              <w:t>（/）</w:t>
            </w:r>
          </w:p>
        </w:tc>
        <w:tc>
          <w:tcPr>
            <w:tcW w:w="853" w:type="pct"/>
            <w:vAlign w:val="center"/>
          </w:tcPr>
          <w:p w14:paraId="5FA0B04D">
            <w:pPr>
              <w:kinsoku w:val="0"/>
              <w:overflowPunct w:val="0"/>
              <w:spacing w:line="240" w:lineRule="auto"/>
              <w:ind w:firstLine="0" w:firstLineChars="0"/>
              <w:jc w:val="center"/>
              <w:rPr>
                <w:color w:val="auto"/>
                <w:sz w:val="21"/>
                <w:szCs w:val="21"/>
              </w:rPr>
            </w:pPr>
            <w:r>
              <w:rPr>
                <w:color w:val="auto"/>
                <w:sz w:val="21"/>
                <w:szCs w:val="21"/>
              </w:rPr>
              <w:t>（/）</w:t>
            </w:r>
          </w:p>
        </w:tc>
        <w:tc>
          <w:tcPr>
            <w:tcW w:w="867" w:type="pct"/>
            <w:gridSpan w:val="2"/>
            <w:vAlign w:val="center"/>
          </w:tcPr>
          <w:p w14:paraId="329869C4">
            <w:pPr>
              <w:kinsoku w:val="0"/>
              <w:overflowPunct w:val="0"/>
              <w:spacing w:line="240" w:lineRule="auto"/>
              <w:ind w:firstLine="0" w:firstLineChars="0"/>
              <w:jc w:val="center"/>
              <w:rPr>
                <w:color w:val="auto"/>
                <w:sz w:val="21"/>
                <w:szCs w:val="21"/>
              </w:rPr>
            </w:pPr>
            <w:r>
              <w:rPr>
                <w:color w:val="auto"/>
                <w:sz w:val="21"/>
                <w:szCs w:val="21"/>
              </w:rPr>
              <w:t>（/）</w:t>
            </w:r>
          </w:p>
        </w:tc>
      </w:tr>
      <w:tr w14:paraId="0A9C24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54161D26">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6F692A12">
            <w:pPr>
              <w:kinsoku w:val="0"/>
              <w:overflowPunct w:val="0"/>
              <w:spacing w:line="240" w:lineRule="auto"/>
              <w:ind w:firstLine="0" w:firstLineChars="0"/>
              <w:jc w:val="center"/>
              <w:rPr>
                <w:color w:val="auto"/>
                <w:sz w:val="21"/>
                <w:szCs w:val="21"/>
              </w:rPr>
            </w:pPr>
            <w:r>
              <w:rPr>
                <w:color w:val="auto"/>
                <w:sz w:val="21"/>
                <w:szCs w:val="21"/>
              </w:rPr>
              <w:t>生态流量确定</w:t>
            </w:r>
          </w:p>
        </w:tc>
        <w:tc>
          <w:tcPr>
            <w:tcW w:w="4006" w:type="pct"/>
            <w:gridSpan w:val="9"/>
            <w:vAlign w:val="center"/>
          </w:tcPr>
          <w:p w14:paraId="307FEAA1">
            <w:pPr>
              <w:tabs>
                <w:tab w:val="left" w:pos="1920"/>
                <w:tab w:val="left" w:pos="3745"/>
                <w:tab w:val="left" w:pos="5622"/>
              </w:tabs>
              <w:kinsoku w:val="0"/>
              <w:overflowPunct w:val="0"/>
              <w:spacing w:line="240" w:lineRule="auto"/>
              <w:ind w:firstLine="0" w:firstLineChars="0"/>
              <w:rPr>
                <w:color w:val="auto"/>
                <w:sz w:val="21"/>
                <w:szCs w:val="21"/>
              </w:rPr>
            </w:pPr>
            <w:r>
              <w:rPr>
                <w:color w:val="auto"/>
                <w:sz w:val="21"/>
                <w:szCs w:val="21"/>
              </w:rPr>
              <w:t>生态流量：一般水期（/）m</w:t>
            </w:r>
            <w:r>
              <w:rPr>
                <w:color w:val="auto"/>
                <w:sz w:val="21"/>
                <w:szCs w:val="21"/>
                <w:vertAlign w:val="superscript"/>
              </w:rPr>
              <w:t>3</w:t>
            </w:r>
            <w:r>
              <w:rPr>
                <w:color w:val="auto"/>
                <w:sz w:val="21"/>
                <w:szCs w:val="21"/>
              </w:rPr>
              <w:t>/s；鱼类繁殖期（/）m</w:t>
            </w:r>
            <w:r>
              <w:rPr>
                <w:color w:val="auto"/>
                <w:sz w:val="21"/>
                <w:szCs w:val="21"/>
                <w:vertAlign w:val="superscript"/>
              </w:rPr>
              <w:t>3</w:t>
            </w:r>
            <w:r>
              <w:rPr>
                <w:color w:val="auto"/>
                <w:sz w:val="21"/>
                <w:szCs w:val="21"/>
              </w:rPr>
              <w:t>/s；其他（/）m</w:t>
            </w:r>
            <w:r>
              <w:rPr>
                <w:color w:val="auto"/>
                <w:sz w:val="21"/>
                <w:szCs w:val="21"/>
                <w:vertAlign w:val="superscript"/>
              </w:rPr>
              <w:t>3</w:t>
            </w:r>
            <w:r>
              <w:rPr>
                <w:color w:val="auto"/>
                <w:sz w:val="21"/>
                <w:szCs w:val="21"/>
              </w:rPr>
              <w:t>/s</w:t>
            </w:r>
          </w:p>
          <w:p w14:paraId="3658E028">
            <w:pPr>
              <w:kinsoku w:val="0"/>
              <w:overflowPunct w:val="0"/>
              <w:spacing w:line="240" w:lineRule="auto"/>
              <w:ind w:firstLine="0" w:firstLineChars="0"/>
              <w:rPr>
                <w:color w:val="auto"/>
                <w:sz w:val="21"/>
                <w:szCs w:val="21"/>
              </w:rPr>
            </w:pPr>
            <w:r>
              <w:rPr>
                <w:color w:val="auto"/>
                <w:sz w:val="21"/>
                <w:szCs w:val="21"/>
              </w:rPr>
              <w:t>生态水位：一般水期（/）m；鱼类繁殖期（/）m；其他（/）m</w:t>
            </w:r>
          </w:p>
        </w:tc>
      </w:tr>
      <w:tr w14:paraId="05F0FA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restart"/>
            <w:vAlign w:val="center"/>
          </w:tcPr>
          <w:p w14:paraId="233D27F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防治措施</w:t>
            </w:r>
          </w:p>
        </w:tc>
        <w:tc>
          <w:tcPr>
            <w:tcW w:w="650" w:type="pct"/>
            <w:vAlign w:val="center"/>
          </w:tcPr>
          <w:p w14:paraId="7C31FCFF">
            <w:pPr>
              <w:kinsoku w:val="0"/>
              <w:overflowPunct w:val="0"/>
              <w:autoSpaceDE w:val="0"/>
              <w:autoSpaceDN w:val="0"/>
              <w:spacing w:line="240" w:lineRule="auto"/>
              <w:ind w:firstLine="0" w:firstLineChars="0"/>
              <w:jc w:val="center"/>
              <w:rPr>
                <w:color w:val="auto"/>
                <w:sz w:val="21"/>
                <w:szCs w:val="21"/>
              </w:rPr>
            </w:pPr>
            <w:r>
              <w:rPr>
                <w:color w:val="auto"/>
                <w:sz w:val="21"/>
                <w:szCs w:val="21"/>
              </w:rPr>
              <w:t>环保措施</w:t>
            </w:r>
          </w:p>
        </w:tc>
        <w:tc>
          <w:tcPr>
            <w:tcW w:w="4006" w:type="pct"/>
            <w:gridSpan w:val="9"/>
            <w:vAlign w:val="center"/>
          </w:tcPr>
          <w:p w14:paraId="24C3C889">
            <w:pPr>
              <w:kinsoku w:val="0"/>
              <w:overflowPunct w:val="0"/>
              <w:spacing w:line="240" w:lineRule="auto"/>
              <w:ind w:firstLine="0" w:firstLineChars="0"/>
              <w:rPr>
                <w:color w:val="auto"/>
                <w:sz w:val="21"/>
                <w:szCs w:val="21"/>
              </w:rPr>
            </w:pPr>
            <w:r>
              <w:rPr>
                <w:color w:val="auto"/>
                <w:sz w:val="21"/>
                <w:szCs w:val="21"/>
              </w:rPr>
              <w:t>污水处理设施□；水温减缓设施□；生态流量保障设施□；区域削减□；依托其他工程措施□；其他☑</w:t>
            </w:r>
          </w:p>
        </w:tc>
      </w:tr>
      <w:tr w14:paraId="31820D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08B4923F">
            <w:pPr>
              <w:kinsoku w:val="0"/>
              <w:overflowPunct w:val="0"/>
              <w:autoSpaceDE w:val="0"/>
              <w:autoSpaceDN w:val="0"/>
              <w:spacing w:line="240" w:lineRule="auto"/>
              <w:ind w:firstLine="0" w:firstLineChars="0"/>
              <w:jc w:val="center"/>
              <w:rPr>
                <w:color w:val="auto"/>
                <w:kern w:val="0"/>
                <w:sz w:val="21"/>
                <w:szCs w:val="21"/>
              </w:rPr>
            </w:pPr>
          </w:p>
        </w:tc>
        <w:tc>
          <w:tcPr>
            <w:tcW w:w="650" w:type="pct"/>
            <w:vMerge w:val="restart"/>
            <w:vAlign w:val="center"/>
          </w:tcPr>
          <w:p w14:paraId="125B3B1A">
            <w:pPr>
              <w:kinsoku w:val="0"/>
              <w:overflowPunct w:val="0"/>
              <w:autoSpaceDE w:val="0"/>
              <w:autoSpaceDN w:val="0"/>
              <w:spacing w:line="240" w:lineRule="auto"/>
              <w:ind w:firstLine="0" w:firstLineChars="0"/>
              <w:jc w:val="center"/>
              <w:rPr>
                <w:color w:val="auto"/>
                <w:sz w:val="21"/>
                <w:szCs w:val="21"/>
              </w:rPr>
            </w:pPr>
            <w:r>
              <w:rPr>
                <w:color w:val="auto"/>
                <w:sz w:val="21"/>
                <w:szCs w:val="21"/>
              </w:rPr>
              <w:t>监测计划</w:t>
            </w:r>
          </w:p>
        </w:tc>
        <w:tc>
          <w:tcPr>
            <w:tcW w:w="2286" w:type="pct"/>
            <w:gridSpan w:val="6"/>
            <w:vAlign w:val="center"/>
          </w:tcPr>
          <w:p w14:paraId="50F72179">
            <w:pPr>
              <w:kinsoku w:val="0"/>
              <w:overflowPunct w:val="0"/>
              <w:spacing w:line="240" w:lineRule="auto"/>
              <w:ind w:firstLine="0" w:firstLineChars="0"/>
              <w:jc w:val="center"/>
              <w:rPr>
                <w:color w:val="auto"/>
                <w:sz w:val="21"/>
                <w:szCs w:val="21"/>
              </w:rPr>
            </w:pPr>
            <w:r>
              <w:rPr>
                <w:color w:val="auto"/>
                <w:sz w:val="21"/>
                <w:szCs w:val="21"/>
              </w:rPr>
              <w:t>环境质量</w:t>
            </w:r>
          </w:p>
        </w:tc>
        <w:tc>
          <w:tcPr>
            <w:tcW w:w="1720" w:type="pct"/>
            <w:gridSpan w:val="3"/>
            <w:vAlign w:val="center"/>
          </w:tcPr>
          <w:p w14:paraId="33CBEE4F">
            <w:pPr>
              <w:kinsoku w:val="0"/>
              <w:overflowPunct w:val="0"/>
              <w:spacing w:line="240" w:lineRule="auto"/>
              <w:ind w:firstLine="0" w:firstLineChars="0"/>
              <w:jc w:val="center"/>
              <w:rPr>
                <w:color w:val="auto"/>
                <w:sz w:val="21"/>
                <w:szCs w:val="21"/>
              </w:rPr>
            </w:pPr>
            <w:r>
              <w:rPr>
                <w:color w:val="auto"/>
                <w:sz w:val="21"/>
                <w:szCs w:val="21"/>
              </w:rPr>
              <w:t>污染源</w:t>
            </w:r>
          </w:p>
        </w:tc>
      </w:tr>
      <w:tr w14:paraId="10E5B8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655B985A">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05F09B33">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7A7EB995">
            <w:pPr>
              <w:kinsoku w:val="0"/>
              <w:overflowPunct w:val="0"/>
              <w:spacing w:line="240" w:lineRule="auto"/>
              <w:ind w:firstLine="0" w:firstLineChars="0"/>
              <w:jc w:val="center"/>
              <w:rPr>
                <w:color w:val="auto"/>
                <w:sz w:val="21"/>
                <w:szCs w:val="21"/>
              </w:rPr>
            </w:pPr>
            <w:r>
              <w:rPr>
                <w:color w:val="auto"/>
                <w:sz w:val="21"/>
                <w:szCs w:val="21"/>
              </w:rPr>
              <w:t>监测方式</w:t>
            </w:r>
          </w:p>
        </w:tc>
        <w:tc>
          <w:tcPr>
            <w:tcW w:w="1594" w:type="pct"/>
            <w:gridSpan w:val="4"/>
            <w:vAlign w:val="center"/>
          </w:tcPr>
          <w:p w14:paraId="6AA282F6">
            <w:pPr>
              <w:kinsoku w:val="0"/>
              <w:overflowPunct w:val="0"/>
              <w:spacing w:line="240" w:lineRule="auto"/>
              <w:ind w:firstLine="0" w:firstLineChars="0"/>
              <w:jc w:val="center"/>
              <w:rPr>
                <w:color w:val="auto"/>
                <w:sz w:val="21"/>
                <w:szCs w:val="21"/>
              </w:rPr>
            </w:pPr>
            <w:r>
              <w:rPr>
                <w:color w:val="auto"/>
                <w:sz w:val="21"/>
                <w:szCs w:val="21"/>
              </w:rPr>
              <w:t>手动□；自动□；无监测□</w:t>
            </w:r>
          </w:p>
        </w:tc>
        <w:tc>
          <w:tcPr>
            <w:tcW w:w="1720" w:type="pct"/>
            <w:gridSpan w:val="3"/>
            <w:vAlign w:val="center"/>
          </w:tcPr>
          <w:p w14:paraId="7786FEB1">
            <w:pPr>
              <w:kinsoku w:val="0"/>
              <w:overflowPunct w:val="0"/>
              <w:spacing w:line="240" w:lineRule="auto"/>
              <w:ind w:firstLine="0" w:firstLineChars="0"/>
              <w:jc w:val="center"/>
              <w:rPr>
                <w:color w:val="auto"/>
                <w:sz w:val="21"/>
                <w:szCs w:val="21"/>
              </w:rPr>
            </w:pPr>
            <w:r>
              <w:rPr>
                <w:color w:val="auto"/>
                <w:sz w:val="21"/>
                <w:szCs w:val="21"/>
              </w:rPr>
              <w:t>手动☑；自动☑；无监测□</w:t>
            </w:r>
          </w:p>
        </w:tc>
      </w:tr>
      <w:tr w14:paraId="3BC36D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57E984F5">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349E7DE0">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3F4FD02B">
            <w:pPr>
              <w:kinsoku w:val="0"/>
              <w:overflowPunct w:val="0"/>
              <w:spacing w:line="240" w:lineRule="auto"/>
              <w:ind w:firstLine="0" w:firstLineChars="0"/>
              <w:jc w:val="center"/>
              <w:rPr>
                <w:color w:val="auto"/>
                <w:sz w:val="21"/>
                <w:szCs w:val="21"/>
              </w:rPr>
            </w:pPr>
            <w:r>
              <w:rPr>
                <w:color w:val="auto"/>
                <w:sz w:val="21"/>
                <w:szCs w:val="21"/>
              </w:rPr>
              <w:t>监测点位</w:t>
            </w:r>
          </w:p>
        </w:tc>
        <w:tc>
          <w:tcPr>
            <w:tcW w:w="1594" w:type="pct"/>
            <w:gridSpan w:val="4"/>
            <w:vAlign w:val="center"/>
          </w:tcPr>
          <w:p w14:paraId="73F1DAA2">
            <w:pPr>
              <w:kinsoku w:val="0"/>
              <w:overflowPunct w:val="0"/>
              <w:spacing w:line="240" w:lineRule="auto"/>
              <w:ind w:firstLine="0" w:firstLineChars="0"/>
              <w:jc w:val="center"/>
              <w:rPr>
                <w:color w:val="auto"/>
                <w:sz w:val="21"/>
                <w:szCs w:val="21"/>
              </w:rPr>
            </w:pPr>
            <w:r>
              <w:rPr>
                <w:color w:val="auto"/>
                <w:sz w:val="21"/>
                <w:szCs w:val="21"/>
              </w:rPr>
              <w:t>（</w:t>
            </w:r>
            <w:r>
              <w:rPr>
                <w:color w:val="auto"/>
                <w:sz w:val="21"/>
                <w:szCs w:val="21"/>
              </w:rPr>
              <w:tab/>
            </w:r>
            <w:r>
              <w:rPr>
                <w:color w:val="auto"/>
                <w:sz w:val="21"/>
                <w:szCs w:val="21"/>
              </w:rPr>
              <w:t>）</w:t>
            </w:r>
          </w:p>
        </w:tc>
        <w:tc>
          <w:tcPr>
            <w:tcW w:w="1720" w:type="pct"/>
            <w:gridSpan w:val="3"/>
            <w:vAlign w:val="center"/>
          </w:tcPr>
          <w:p w14:paraId="205D70F7">
            <w:pPr>
              <w:kinsoku w:val="0"/>
              <w:overflowPunct w:val="0"/>
              <w:spacing w:line="240" w:lineRule="auto"/>
              <w:ind w:firstLine="0" w:firstLineChars="0"/>
              <w:jc w:val="center"/>
              <w:rPr>
                <w:color w:val="auto"/>
                <w:sz w:val="21"/>
                <w:szCs w:val="21"/>
              </w:rPr>
            </w:pPr>
            <w:r>
              <w:rPr>
                <w:color w:val="auto"/>
                <w:sz w:val="21"/>
                <w:szCs w:val="21"/>
              </w:rPr>
              <w:t>（</w:t>
            </w:r>
            <w:r>
              <w:rPr>
                <w:color w:val="auto"/>
                <w:sz w:val="21"/>
                <w:szCs w:val="21"/>
              </w:rPr>
              <w:tab/>
            </w:r>
            <w:r>
              <w:rPr>
                <w:color w:val="auto"/>
                <w:sz w:val="21"/>
                <w:szCs w:val="21"/>
              </w:rPr>
              <w:t>）</w:t>
            </w:r>
          </w:p>
        </w:tc>
      </w:tr>
      <w:tr w14:paraId="6F6E3A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5358228B">
            <w:pPr>
              <w:kinsoku w:val="0"/>
              <w:overflowPunct w:val="0"/>
              <w:autoSpaceDE w:val="0"/>
              <w:autoSpaceDN w:val="0"/>
              <w:spacing w:line="240" w:lineRule="auto"/>
              <w:ind w:firstLine="0" w:firstLineChars="0"/>
              <w:jc w:val="center"/>
              <w:rPr>
                <w:color w:val="auto"/>
                <w:kern w:val="0"/>
                <w:sz w:val="21"/>
                <w:szCs w:val="21"/>
              </w:rPr>
            </w:pPr>
          </w:p>
        </w:tc>
        <w:tc>
          <w:tcPr>
            <w:tcW w:w="650" w:type="pct"/>
            <w:vMerge w:val="continue"/>
            <w:vAlign w:val="center"/>
          </w:tcPr>
          <w:p w14:paraId="77321CDD">
            <w:pPr>
              <w:kinsoku w:val="0"/>
              <w:overflowPunct w:val="0"/>
              <w:autoSpaceDE w:val="0"/>
              <w:autoSpaceDN w:val="0"/>
              <w:spacing w:line="240" w:lineRule="auto"/>
              <w:ind w:firstLine="0" w:firstLineChars="0"/>
              <w:jc w:val="center"/>
              <w:rPr>
                <w:color w:val="auto"/>
                <w:sz w:val="21"/>
                <w:szCs w:val="21"/>
              </w:rPr>
            </w:pPr>
          </w:p>
        </w:tc>
        <w:tc>
          <w:tcPr>
            <w:tcW w:w="692" w:type="pct"/>
            <w:gridSpan w:val="2"/>
            <w:vAlign w:val="center"/>
          </w:tcPr>
          <w:p w14:paraId="588A397A">
            <w:pPr>
              <w:kinsoku w:val="0"/>
              <w:overflowPunct w:val="0"/>
              <w:spacing w:line="240" w:lineRule="auto"/>
              <w:ind w:firstLine="0" w:firstLineChars="0"/>
              <w:jc w:val="center"/>
              <w:rPr>
                <w:color w:val="auto"/>
                <w:sz w:val="21"/>
                <w:szCs w:val="21"/>
              </w:rPr>
            </w:pPr>
            <w:r>
              <w:rPr>
                <w:color w:val="auto"/>
                <w:sz w:val="21"/>
                <w:szCs w:val="21"/>
              </w:rPr>
              <w:t>监测因子</w:t>
            </w:r>
          </w:p>
        </w:tc>
        <w:tc>
          <w:tcPr>
            <w:tcW w:w="1594" w:type="pct"/>
            <w:gridSpan w:val="4"/>
            <w:vAlign w:val="center"/>
          </w:tcPr>
          <w:p w14:paraId="49CBEC70">
            <w:pPr>
              <w:kinsoku w:val="0"/>
              <w:overflowPunct w:val="0"/>
              <w:spacing w:line="240" w:lineRule="auto"/>
              <w:ind w:firstLine="0" w:firstLineChars="0"/>
              <w:jc w:val="center"/>
              <w:rPr>
                <w:color w:val="auto"/>
                <w:sz w:val="21"/>
                <w:szCs w:val="21"/>
              </w:rPr>
            </w:pPr>
            <w:r>
              <w:rPr>
                <w:color w:val="auto"/>
                <w:sz w:val="21"/>
                <w:szCs w:val="21"/>
              </w:rPr>
              <w:t>（</w:t>
            </w:r>
            <w:r>
              <w:rPr>
                <w:color w:val="auto"/>
                <w:sz w:val="21"/>
                <w:szCs w:val="21"/>
              </w:rPr>
              <w:tab/>
            </w:r>
            <w:r>
              <w:rPr>
                <w:color w:val="auto"/>
                <w:sz w:val="21"/>
                <w:szCs w:val="21"/>
              </w:rPr>
              <w:t>）</w:t>
            </w:r>
          </w:p>
        </w:tc>
        <w:tc>
          <w:tcPr>
            <w:tcW w:w="1720" w:type="pct"/>
            <w:gridSpan w:val="3"/>
            <w:vAlign w:val="center"/>
          </w:tcPr>
          <w:p w14:paraId="2F3A6CD7">
            <w:pPr>
              <w:kinsoku w:val="0"/>
              <w:overflowPunct w:val="0"/>
              <w:spacing w:line="240" w:lineRule="auto"/>
              <w:ind w:firstLine="0" w:firstLineChars="0"/>
              <w:jc w:val="center"/>
              <w:rPr>
                <w:color w:val="auto"/>
                <w:sz w:val="21"/>
                <w:szCs w:val="21"/>
              </w:rPr>
            </w:pPr>
            <w:r>
              <w:rPr>
                <w:color w:val="auto"/>
                <w:sz w:val="21"/>
                <w:szCs w:val="21"/>
              </w:rPr>
              <w:t>（pH值、COD、SS、氨氮、总磷、</w:t>
            </w:r>
            <w:r>
              <w:rPr>
                <w:rFonts w:hint="eastAsia"/>
                <w:color w:val="auto"/>
                <w:sz w:val="21"/>
                <w:szCs w:val="21"/>
              </w:rPr>
              <w:t>总铝、总锡、石油类、盐分、动植物油和</w:t>
            </w:r>
            <w:r>
              <w:rPr>
                <w:color w:val="auto"/>
                <w:sz w:val="21"/>
                <w:szCs w:val="21"/>
              </w:rPr>
              <w:t>流量）</w:t>
            </w:r>
          </w:p>
        </w:tc>
      </w:tr>
      <w:tr w14:paraId="7EE166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72B470FC">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0F5F62F8">
            <w:pPr>
              <w:kinsoku w:val="0"/>
              <w:overflowPunct w:val="0"/>
              <w:spacing w:line="240" w:lineRule="auto"/>
              <w:ind w:firstLine="0" w:firstLineChars="0"/>
              <w:jc w:val="center"/>
              <w:rPr>
                <w:color w:val="auto"/>
                <w:sz w:val="21"/>
                <w:szCs w:val="21"/>
              </w:rPr>
            </w:pPr>
            <w:r>
              <w:rPr>
                <w:color w:val="auto"/>
                <w:sz w:val="21"/>
                <w:szCs w:val="21"/>
              </w:rPr>
              <w:t>污染物排放清单</w:t>
            </w:r>
          </w:p>
        </w:tc>
        <w:tc>
          <w:tcPr>
            <w:tcW w:w="4006" w:type="pct"/>
            <w:gridSpan w:val="9"/>
            <w:vAlign w:val="center"/>
          </w:tcPr>
          <w:p w14:paraId="59647B77">
            <w:pPr>
              <w:kinsoku w:val="0"/>
              <w:overflowPunct w:val="0"/>
              <w:spacing w:line="240" w:lineRule="auto"/>
              <w:ind w:firstLine="0" w:firstLineChars="0"/>
              <w:jc w:val="center"/>
              <w:rPr>
                <w:color w:val="auto"/>
                <w:sz w:val="21"/>
                <w:szCs w:val="21"/>
              </w:rPr>
            </w:pPr>
            <w:r>
              <w:rPr>
                <w:color w:val="auto"/>
                <w:sz w:val="21"/>
                <w:szCs w:val="21"/>
              </w:rPr>
              <w:t>☑</w:t>
            </w:r>
          </w:p>
        </w:tc>
      </w:tr>
      <w:tr w14:paraId="6175E0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342" w:type="pct"/>
            <w:vMerge w:val="continue"/>
            <w:vAlign w:val="center"/>
          </w:tcPr>
          <w:p w14:paraId="2838BAD3">
            <w:pPr>
              <w:kinsoku w:val="0"/>
              <w:overflowPunct w:val="0"/>
              <w:autoSpaceDE w:val="0"/>
              <w:autoSpaceDN w:val="0"/>
              <w:spacing w:line="240" w:lineRule="auto"/>
              <w:ind w:firstLine="0" w:firstLineChars="0"/>
              <w:jc w:val="center"/>
              <w:rPr>
                <w:color w:val="auto"/>
                <w:kern w:val="0"/>
                <w:sz w:val="21"/>
                <w:szCs w:val="21"/>
              </w:rPr>
            </w:pPr>
          </w:p>
        </w:tc>
        <w:tc>
          <w:tcPr>
            <w:tcW w:w="650" w:type="pct"/>
            <w:vAlign w:val="center"/>
          </w:tcPr>
          <w:p w14:paraId="2363EC13">
            <w:pPr>
              <w:kinsoku w:val="0"/>
              <w:overflowPunct w:val="0"/>
              <w:autoSpaceDE w:val="0"/>
              <w:autoSpaceDN w:val="0"/>
              <w:spacing w:line="240" w:lineRule="auto"/>
              <w:ind w:firstLine="0" w:firstLineChars="0"/>
              <w:jc w:val="center"/>
              <w:rPr>
                <w:color w:val="auto"/>
                <w:sz w:val="21"/>
                <w:szCs w:val="21"/>
              </w:rPr>
            </w:pPr>
            <w:r>
              <w:rPr>
                <w:color w:val="auto"/>
                <w:sz w:val="21"/>
                <w:szCs w:val="21"/>
              </w:rPr>
              <w:t>评价结论</w:t>
            </w:r>
          </w:p>
        </w:tc>
        <w:tc>
          <w:tcPr>
            <w:tcW w:w="4006" w:type="pct"/>
            <w:gridSpan w:val="9"/>
            <w:vAlign w:val="center"/>
          </w:tcPr>
          <w:p w14:paraId="4B6449F4">
            <w:pPr>
              <w:kinsoku w:val="0"/>
              <w:overflowPunct w:val="0"/>
              <w:spacing w:line="240" w:lineRule="auto"/>
              <w:ind w:firstLine="0" w:firstLineChars="0"/>
              <w:jc w:val="center"/>
              <w:rPr>
                <w:color w:val="auto"/>
                <w:sz w:val="21"/>
                <w:szCs w:val="21"/>
              </w:rPr>
            </w:pPr>
            <w:r>
              <w:rPr>
                <w:color w:val="auto"/>
                <w:sz w:val="21"/>
                <w:szCs w:val="21"/>
              </w:rPr>
              <w:t>可以接受☑；不可以接受□</w:t>
            </w:r>
          </w:p>
        </w:tc>
      </w:tr>
      <w:tr w14:paraId="20E401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000" w:type="pct"/>
            <w:gridSpan w:val="11"/>
            <w:vAlign w:val="center"/>
          </w:tcPr>
          <w:p w14:paraId="0226ADBE">
            <w:pPr>
              <w:kinsoku w:val="0"/>
              <w:overflowPunct w:val="0"/>
              <w:spacing w:line="240" w:lineRule="auto"/>
              <w:ind w:firstLine="0" w:firstLineChars="0"/>
              <w:jc w:val="center"/>
              <w:rPr>
                <w:color w:val="auto"/>
                <w:sz w:val="21"/>
                <w:szCs w:val="21"/>
              </w:rPr>
            </w:pPr>
            <w:r>
              <w:rPr>
                <w:color w:val="auto"/>
                <w:sz w:val="21"/>
                <w:szCs w:val="21"/>
              </w:rPr>
              <w:t>注：“□”为勾选项，可打“√”；“（）”为内容填写项；“备注”为其他补充内容。</w:t>
            </w:r>
          </w:p>
        </w:tc>
      </w:tr>
    </w:tbl>
    <w:p w14:paraId="577AC1CE">
      <w:pPr>
        <w:pStyle w:val="1841"/>
        <w:tabs>
          <w:tab w:val="left" w:pos="3960"/>
        </w:tabs>
        <w:spacing w:before="0" w:line="360" w:lineRule="auto"/>
        <w:ind w:firstLine="0" w:firstLineChars="0"/>
        <w:rPr>
          <w:b/>
          <w:color w:val="auto"/>
        </w:rPr>
        <w:sectPr>
          <w:pgSz w:w="16840" w:h="11907" w:orient="landscape"/>
          <w:pgMar w:top="1361" w:right="1361" w:bottom="1361" w:left="1361" w:header="851" w:footer="992" w:gutter="0"/>
          <w:cols w:space="0" w:num="1"/>
          <w:docGrid w:linePitch="326" w:charSpace="0"/>
        </w:sectPr>
      </w:pPr>
    </w:p>
    <w:p w14:paraId="11ABC6D9">
      <w:pPr>
        <w:keepNext/>
        <w:keepLines/>
        <w:spacing w:before="120" w:beforeLines="50"/>
        <w:ind w:firstLine="0" w:firstLineChars="0"/>
        <w:outlineLvl w:val="2"/>
        <w:rPr>
          <w:b/>
          <w:bCs/>
          <w:color w:val="auto"/>
          <w:sz w:val="28"/>
          <w:szCs w:val="36"/>
        </w:rPr>
      </w:pPr>
      <w:r>
        <w:rPr>
          <w:rFonts w:hint="eastAsia"/>
          <w:b/>
          <w:bCs/>
          <w:color w:val="auto"/>
          <w:sz w:val="28"/>
          <w:szCs w:val="36"/>
        </w:rPr>
        <w:t>6</w:t>
      </w:r>
      <w:r>
        <w:rPr>
          <w:b/>
          <w:bCs/>
          <w:color w:val="auto"/>
          <w:sz w:val="28"/>
          <w:szCs w:val="36"/>
        </w:rPr>
        <w:t>.2.3 运营期噪声环境影响评价</w:t>
      </w:r>
    </w:p>
    <w:p w14:paraId="05F82543">
      <w:pPr>
        <w:ind w:firstLine="480"/>
        <w:rPr>
          <w:color w:val="auto"/>
        </w:rPr>
      </w:pPr>
      <w:r>
        <w:rPr>
          <w:color w:val="auto"/>
        </w:rPr>
        <w:t>项目</w:t>
      </w:r>
      <w:r>
        <w:rPr>
          <w:rFonts w:hint="eastAsia"/>
          <w:color w:val="auto"/>
        </w:rPr>
        <w:t>位</w:t>
      </w:r>
      <w:r>
        <w:rPr>
          <w:color w:val="auto"/>
        </w:rPr>
        <w:t>于《声环境质量标准》（GB3096-2008）规定的3类区域，按照HJ2.4-2021中声环境评价工作等级划分方法，确定声环境评价工作等级为三级；评价范围为项目厂界外200m。评价范围内无声环境保护目标。</w:t>
      </w:r>
    </w:p>
    <w:p w14:paraId="1BBA382F">
      <w:pPr>
        <w:ind w:firstLine="480"/>
        <w:rPr>
          <w:color w:val="auto"/>
        </w:rPr>
      </w:pPr>
      <w:r>
        <w:rPr>
          <w:color w:val="auto"/>
        </w:rPr>
        <w:t>本项目主要产噪设备及产噪情况详见表</w:t>
      </w:r>
      <w:r>
        <w:rPr>
          <w:rFonts w:hint="eastAsia"/>
          <w:color w:val="auto"/>
        </w:rPr>
        <w:t>4.3.2</w:t>
      </w:r>
      <w:r>
        <w:rPr>
          <w:color w:val="auto"/>
        </w:rPr>
        <w:t>-12。</w:t>
      </w:r>
    </w:p>
    <w:p w14:paraId="520A296E">
      <w:pPr>
        <w:ind w:firstLine="480"/>
        <w:rPr>
          <w:color w:val="auto"/>
        </w:rPr>
      </w:pPr>
      <w:r>
        <w:rPr>
          <w:color w:val="auto"/>
        </w:rPr>
        <w:t>项目所在区域地势平坦，地貌单一。考虑本项目的声源所在厂房与各预测点的距离情况，本次环评根据总平面布置情况，将主要声源简化成点声源进行预测。</w:t>
      </w:r>
    </w:p>
    <w:p w14:paraId="6AE4504D">
      <w:pPr>
        <w:ind w:firstLine="480"/>
        <w:rPr>
          <w:color w:val="auto"/>
        </w:rPr>
      </w:pPr>
      <w:r>
        <w:rPr>
          <w:color w:val="auto"/>
        </w:rPr>
        <w:t>通过对建设项目营运期间各个噪声源对环境影响的预测，评价建设项目声源对周围声环境影响的程度和范围，找出存在问题，为提出预防措施提供依据。</w:t>
      </w:r>
    </w:p>
    <w:p w14:paraId="53E99707">
      <w:pPr>
        <w:keepNext/>
        <w:keepLines/>
        <w:spacing w:before="120" w:beforeLines="50"/>
        <w:ind w:firstLine="0" w:firstLineChars="0"/>
        <w:outlineLvl w:val="3"/>
        <w:rPr>
          <w:b/>
          <w:bCs/>
          <w:color w:val="auto"/>
          <w:szCs w:val="28"/>
        </w:rPr>
      </w:pPr>
      <w:r>
        <w:rPr>
          <w:rFonts w:hint="eastAsia"/>
          <w:b/>
          <w:bCs/>
          <w:color w:val="auto"/>
          <w:szCs w:val="28"/>
        </w:rPr>
        <w:t>6</w:t>
      </w:r>
      <w:r>
        <w:rPr>
          <w:b/>
          <w:bCs/>
          <w:color w:val="auto"/>
          <w:szCs w:val="28"/>
        </w:rPr>
        <w:t>.2.3.1 声环境影响预测</w:t>
      </w:r>
    </w:p>
    <w:p w14:paraId="4353C787">
      <w:pPr>
        <w:ind w:firstLine="480"/>
        <w:rPr>
          <w:bCs/>
          <w:color w:val="auto"/>
        </w:rPr>
      </w:pPr>
      <w:r>
        <w:rPr>
          <w:bCs/>
          <w:color w:val="auto"/>
        </w:rPr>
        <w:t>根据《环境影响评价技术导则 声环境》（HJ2.4-2021），本次评价采用附录B.1工业噪声预测计算模式，具体如下：</w:t>
      </w:r>
    </w:p>
    <w:p w14:paraId="001A53AC">
      <w:pPr>
        <w:ind w:firstLine="480"/>
        <w:rPr>
          <w:bCs/>
          <w:color w:val="auto"/>
        </w:rPr>
      </w:pPr>
      <w:r>
        <w:rPr>
          <w:bCs/>
          <w:color w:val="auto"/>
        </w:rPr>
        <w:t>（1）室外声源在预测点产生的声级计算模式</w:t>
      </w:r>
    </w:p>
    <w:p w14:paraId="0D08A7DB">
      <w:pPr>
        <w:ind w:firstLine="480"/>
        <w:rPr>
          <w:bCs/>
          <w:color w:val="auto"/>
        </w:rPr>
      </w:pPr>
      <w:r>
        <w:rPr>
          <w:bCs/>
          <w:color w:val="auto"/>
        </w:rPr>
        <w:t>①根据应根据声源声功率级或参考位置处的声压级、户外声传播衰减，计算预测点的声级，根据声源声功率级计算方法如下：</w:t>
      </w:r>
    </w:p>
    <w:p w14:paraId="201C4325">
      <w:pPr>
        <w:ind w:firstLine="0" w:firstLineChars="0"/>
        <w:jc w:val="center"/>
        <w:rPr>
          <w:bCs/>
          <w:color w:val="auto"/>
        </w:rPr>
      </w:pPr>
      <w:r>
        <w:rPr>
          <w:bCs/>
          <w:color w:val="auto"/>
        </w:rPr>
        <w:t>L</w:t>
      </w:r>
      <w:r>
        <w:rPr>
          <w:bCs/>
          <w:i/>
          <w:iCs/>
          <w:color w:val="auto"/>
          <w:vertAlign w:val="subscript"/>
        </w:rPr>
        <w:t>p</w:t>
      </w:r>
      <w:r>
        <w:rPr>
          <w:bCs/>
          <w:color w:val="auto"/>
        </w:rPr>
        <w:t>(</w:t>
      </w:r>
      <w:r>
        <w:rPr>
          <w:bCs/>
          <w:i/>
          <w:iCs/>
          <w:color w:val="auto"/>
        </w:rPr>
        <w:t>r</w:t>
      </w:r>
      <w:r>
        <w:rPr>
          <w:bCs/>
          <w:color w:val="auto"/>
        </w:rPr>
        <w:t>)=L</w:t>
      </w:r>
      <w:r>
        <w:rPr>
          <w:bCs/>
          <w:i/>
          <w:iCs/>
          <w:color w:val="auto"/>
          <w:vertAlign w:val="subscript"/>
        </w:rPr>
        <w:t>w</w:t>
      </w:r>
      <w:r>
        <w:rPr>
          <w:bCs/>
          <w:color w:val="auto"/>
        </w:rPr>
        <w:t>+D</w:t>
      </w:r>
      <w:r>
        <w:rPr>
          <w:bCs/>
          <w:i/>
          <w:iCs/>
          <w:color w:val="auto"/>
          <w:vertAlign w:val="subscript"/>
        </w:rPr>
        <w:t>c</w:t>
      </w:r>
      <w:r>
        <w:rPr>
          <w:bCs/>
          <w:color w:val="auto"/>
        </w:rPr>
        <w:t>-(A</w:t>
      </w:r>
      <w:r>
        <w:rPr>
          <w:bCs/>
          <w:i/>
          <w:iCs/>
          <w:color w:val="auto"/>
          <w:vertAlign w:val="subscript"/>
        </w:rPr>
        <w:t>div</w:t>
      </w:r>
      <w:r>
        <w:rPr>
          <w:bCs/>
          <w:color w:val="auto"/>
        </w:rPr>
        <w:t>+A</w:t>
      </w:r>
      <w:r>
        <w:rPr>
          <w:bCs/>
          <w:i/>
          <w:iCs/>
          <w:color w:val="auto"/>
          <w:vertAlign w:val="subscript"/>
        </w:rPr>
        <w:t>atm</w:t>
      </w:r>
      <w:r>
        <w:rPr>
          <w:bCs/>
          <w:color w:val="auto"/>
        </w:rPr>
        <w:t>+A</w:t>
      </w:r>
      <w:r>
        <w:rPr>
          <w:bCs/>
          <w:i/>
          <w:iCs/>
          <w:color w:val="auto"/>
          <w:vertAlign w:val="subscript"/>
        </w:rPr>
        <w:t>gr</w:t>
      </w:r>
      <w:r>
        <w:rPr>
          <w:bCs/>
          <w:color w:val="auto"/>
        </w:rPr>
        <w:t>+A</w:t>
      </w:r>
      <w:r>
        <w:rPr>
          <w:bCs/>
          <w:i/>
          <w:iCs/>
          <w:color w:val="auto"/>
          <w:vertAlign w:val="subscript"/>
        </w:rPr>
        <w:t>bar</w:t>
      </w:r>
      <w:r>
        <w:rPr>
          <w:bCs/>
          <w:color w:val="auto"/>
        </w:rPr>
        <w:t>+A</w:t>
      </w:r>
      <w:r>
        <w:rPr>
          <w:bCs/>
          <w:i/>
          <w:iCs/>
          <w:color w:val="auto"/>
          <w:vertAlign w:val="subscript"/>
        </w:rPr>
        <w:t>misc</w:t>
      </w:r>
      <w:r>
        <w:rPr>
          <w:bCs/>
          <w:color w:val="auto"/>
        </w:rPr>
        <w:t>)</w:t>
      </w:r>
    </w:p>
    <w:p w14:paraId="7748A856">
      <w:pPr>
        <w:ind w:firstLine="480"/>
        <w:rPr>
          <w:bCs/>
          <w:color w:val="auto"/>
        </w:rPr>
      </w:pPr>
      <w:r>
        <w:rPr>
          <w:bCs/>
          <w:color w:val="auto"/>
        </w:rPr>
        <w:t>式中：L</w:t>
      </w:r>
      <w:r>
        <w:rPr>
          <w:bCs/>
          <w:i/>
          <w:iCs/>
          <w:color w:val="auto"/>
          <w:vertAlign w:val="subscript"/>
        </w:rPr>
        <w:t>p</w:t>
      </w:r>
      <w:r>
        <w:rPr>
          <w:bCs/>
          <w:color w:val="auto"/>
        </w:rPr>
        <w:t>(</w:t>
      </w:r>
      <w:r>
        <w:rPr>
          <w:bCs/>
          <w:i/>
          <w:iCs/>
          <w:color w:val="auto"/>
        </w:rPr>
        <w:t>r</w:t>
      </w:r>
      <w:r>
        <w:rPr>
          <w:bCs/>
          <w:color w:val="auto"/>
        </w:rPr>
        <w:t>)—预测点处声压级，dB；</w:t>
      </w:r>
    </w:p>
    <w:p w14:paraId="396EEE41">
      <w:pPr>
        <w:ind w:firstLine="1200" w:firstLineChars="500"/>
        <w:rPr>
          <w:bCs/>
          <w:color w:val="auto"/>
        </w:rPr>
      </w:pPr>
      <w:r>
        <w:rPr>
          <w:bCs/>
          <w:color w:val="auto"/>
        </w:rPr>
        <w:t>L</w:t>
      </w:r>
      <w:r>
        <w:rPr>
          <w:bCs/>
          <w:i/>
          <w:iCs/>
          <w:color w:val="auto"/>
          <w:vertAlign w:val="subscript"/>
        </w:rPr>
        <w:t>w</w:t>
      </w:r>
      <w:r>
        <w:rPr>
          <w:bCs/>
          <w:color w:val="auto"/>
        </w:rPr>
        <w:t>—由点声源产生的声功率级（A计权或倍频带），dB；</w:t>
      </w:r>
    </w:p>
    <w:p w14:paraId="6FB71159">
      <w:pPr>
        <w:ind w:firstLine="1200" w:firstLineChars="500"/>
        <w:rPr>
          <w:bCs/>
          <w:color w:val="auto"/>
        </w:rPr>
      </w:pPr>
      <w:r>
        <w:rPr>
          <w:bCs/>
          <w:color w:val="auto"/>
        </w:rPr>
        <w:t>D</w:t>
      </w:r>
      <w:r>
        <w:rPr>
          <w:bCs/>
          <w:i/>
          <w:iCs/>
          <w:color w:val="auto"/>
          <w:vertAlign w:val="subscript"/>
        </w:rPr>
        <w:t>c</w:t>
      </w:r>
      <w:r>
        <w:rPr>
          <w:bCs/>
          <w:color w:val="auto"/>
        </w:rPr>
        <w:t>—指向性校正，它描述点声源的等效连续声压级与产生声功率级</w:t>
      </w:r>
    </w:p>
    <w:p w14:paraId="5D216616">
      <w:pPr>
        <w:ind w:firstLine="1200" w:firstLineChars="500"/>
        <w:rPr>
          <w:bCs/>
          <w:color w:val="auto"/>
        </w:rPr>
      </w:pPr>
      <w:r>
        <w:rPr>
          <w:bCs/>
          <w:color w:val="auto"/>
        </w:rPr>
        <w:t>L</w:t>
      </w:r>
      <w:r>
        <w:rPr>
          <w:bCs/>
          <w:i/>
          <w:iCs/>
          <w:color w:val="auto"/>
          <w:vertAlign w:val="subscript"/>
        </w:rPr>
        <w:t>w</w:t>
      </w:r>
      <w:r>
        <w:rPr>
          <w:bCs/>
          <w:color w:val="auto"/>
        </w:rPr>
        <w:t>—的全向点声源在规定方向的声级的偏差程度，dB；</w:t>
      </w:r>
    </w:p>
    <w:p w14:paraId="6556436A">
      <w:pPr>
        <w:ind w:firstLine="1200" w:firstLineChars="500"/>
        <w:rPr>
          <w:bCs/>
          <w:color w:val="auto"/>
        </w:rPr>
      </w:pPr>
      <w:r>
        <w:rPr>
          <w:bCs/>
          <w:color w:val="auto"/>
        </w:rPr>
        <w:t>A</w:t>
      </w:r>
      <w:r>
        <w:rPr>
          <w:bCs/>
          <w:i/>
          <w:iCs/>
          <w:color w:val="auto"/>
          <w:vertAlign w:val="subscript"/>
        </w:rPr>
        <w:t>div</w:t>
      </w:r>
      <w:r>
        <w:rPr>
          <w:bCs/>
          <w:color w:val="auto"/>
        </w:rPr>
        <w:t>—几何发散引起的衰减，dB；</w:t>
      </w:r>
    </w:p>
    <w:p w14:paraId="39652927">
      <w:pPr>
        <w:ind w:firstLine="1200" w:firstLineChars="500"/>
        <w:rPr>
          <w:bCs/>
          <w:color w:val="auto"/>
        </w:rPr>
      </w:pPr>
      <w:r>
        <w:rPr>
          <w:bCs/>
          <w:color w:val="auto"/>
        </w:rPr>
        <w:t>A</w:t>
      </w:r>
      <w:r>
        <w:rPr>
          <w:bCs/>
          <w:i/>
          <w:iCs/>
          <w:color w:val="auto"/>
          <w:vertAlign w:val="subscript"/>
        </w:rPr>
        <w:t>atm</w:t>
      </w:r>
      <w:r>
        <w:rPr>
          <w:bCs/>
          <w:color w:val="auto"/>
        </w:rPr>
        <w:t>—大气吸收引起的衰减，dB；</w:t>
      </w:r>
    </w:p>
    <w:p w14:paraId="78E8895E">
      <w:pPr>
        <w:ind w:firstLine="1200" w:firstLineChars="500"/>
        <w:rPr>
          <w:bCs/>
          <w:color w:val="auto"/>
        </w:rPr>
      </w:pPr>
      <w:r>
        <w:rPr>
          <w:bCs/>
          <w:color w:val="auto"/>
        </w:rPr>
        <w:t>A</w:t>
      </w:r>
      <w:r>
        <w:rPr>
          <w:bCs/>
          <w:i/>
          <w:iCs/>
          <w:color w:val="auto"/>
          <w:vertAlign w:val="subscript"/>
        </w:rPr>
        <w:t>gr</w:t>
      </w:r>
      <w:r>
        <w:rPr>
          <w:bCs/>
          <w:color w:val="auto"/>
        </w:rPr>
        <w:t>—地面效应引起的衰减，dB；</w:t>
      </w:r>
    </w:p>
    <w:p w14:paraId="0BEAD0F0">
      <w:pPr>
        <w:ind w:firstLine="1200" w:firstLineChars="500"/>
        <w:rPr>
          <w:bCs/>
          <w:color w:val="auto"/>
        </w:rPr>
      </w:pPr>
      <w:r>
        <w:rPr>
          <w:bCs/>
          <w:color w:val="auto"/>
        </w:rPr>
        <w:t>A</w:t>
      </w:r>
      <w:r>
        <w:rPr>
          <w:bCs/>
          <w:i/>
          <w:iCs/>
          <w:color w:val="auto"/>
          <w:vertAlign w:val="subscript"/>
        </w:rPr>
        <w:t>bar</w:t>
      </w:r>
      <w:r>
        <w:rPr>
          <w:bCs/>
          <w:color w:val="auto"/>
        </w:rPr>
        <w:t>—障碍物屏蔽硬气的衰减，dB；</w:t>
      </w:r>
    </w:p>
    <w:p w14:paraId="4A5E4F58">
      <w:pPr>
        <w:ind w:firstLine="1200" w:firstLineChars="500"/>
        <w:rPr>
          <w:bCs/>
          <w:color w:val="auto"/>
        </w:rPr>
      </w:pPr>
      <w:r>
        <w:rPr>
          <w:bCs/>
          <w:color w:val="auto"/>
        </w:rPr>
        <w:t>A</w:t>
      </w:r>
      <w:r>
        <w:rPr>
          <w:bCs/>
          <w:i/>
          <w:iCs/>
          <w:color w:val="auto"/>
          <w:vertAlign w:val="subscript"/>
        </w:rPr>
        <w:t>misc</w:t>
      </w:r>
      <w:r>
        <w:rPr>
          <w:bCs/>
          <w:color w:val="auto"/>
        </w:rPr>
        <w:t>—其他多方面效应引起的衰减，dB。</w:t>
      </w:r>
    </w:p>
    <w:p w14:paraId="1F16B9BD">
      <w:pPr>
        <w:ind w:firstLine="480"/>
        <w:rPr>
          <w:bCs/>
          <w:color w:val="auto"/>
        </w:rPr>
      </w:pPr>
      <w:r>
        <w:rPr>
          <w:bCs/>
          <w:color w:val="auto"/>
        </w:rPr>
        <w:t>②预测点的A声级L</w:t>
      </w:r>
      <w:r>
        <w:rPr>
          <w:bCs/>
          <w:color w:val="auto"/>
          <w:vertAlign w:val="subscript"/>
        </w:rPr>
        <w:t>A</w:t>
      </w:r>
      <w:r>
        <w:rPr>
          <w:bCs/>
          <w:color w:val="auto"/>
        </w:rPr>
        <w:t>(</w:t>
      </w:r>
      <w:r>
        <w:rPr>
          <w:bCs/>
          <w:i/>
          <w:iCs/>
          <w:color w:val="auto"/>
        </w:rPr>
        <w:t>r</w:t>
      </w:r>
      <w:r>
        <w:rPr>
          <w:bCs/>
          <w:color w:val="auto"/>
        </w:rPr>
        <w:t>)，可利用8个倍频带的声压级按下列公式计算：</w:t>
      </w:r>
    </w:p>
    <w:p w14:paraId="45E0482C">
      <w:pPr>
        <w:ind w:firstLine="0" w:firstLineChars="0"/>
        <w:jc w:val="center"/>
        <w:rPr>
          <w:bCs/>
          <w:color w:val="auto"/>
        </w:rPr>
      </w:pPr>
      <w:r>
        <w:rPr>
          <w:color w:val="auto"/>
        </w:rPr>
        <w:drawing>
          <wp:inline distT="0" distB="0" distL="0" distR="0">
            <wp:extent cx="2411730" cy="420370"/>
            <wp:effectExtent l="0" t="0" r="7620" b="17780"/>
            <wp:docPr id="62025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5741" name="图片 1"/>
                    <pic:cNvPicPr>
                      <a:picLocks noChangeAspect="1"/>
                    </pic:cNvPicPr>
                  </pic:nvPicPr>
                  <pic:blipFill>
                    <a:blip r:embed="rId35"/>
                    <a:stretch>
                      <a:fillRect/>
                    </a:stretch>
                  </pic:blipFill>
                  <pic:spPr>
                    <a:xfrm>
                      <a:off x="0" y="0"/>
                      <a:ext cx="2540547" cy="443008"/>
                    </a:xfrm>
                    <a:prstGeom prst="rect">
                      <a:avLst/>
                    </a:prstGeom>
                  </pic:spPr>
                </pic:pic>
              </a:graphicData>
            </a:graphic>
          </wp:inline>
        </w:drawing>
      </w:r>
    </w:p>
    <w:p w14:paraId="483DA8E2">
      <w:pPr>
        <w:ind w:firstLine="480"/>
        <w:rPr>
          <w:bCs/>
          <w:color w:val="auto"/>
        </w:rPr>
      </w:pPr>
      <w:r>
        <w:rPr>
          <w:bCs/>
          <w:color w:val="auto"/>
        </w:rPr>
        <w:t>式中：L</w:t>
      </w:r>
      <w:r>
        <w:rPr>
          <w:bCs/>
          <w:i/>
          <w:iCs/>
          <w:color w:val="auto"/>
          <w:vertAlign w:val="subscript"/>
        </w:rPr>
        <w:t>pi</w:t>
      </w:r>
      <w:r>
        <w:rPr>
          <w:bCs/>
          <w:color w:val="auto"/>
        </w:rPr>
        <w:t>(</w:t>
      </w:r>
      <w:r>
        <w:rPr>
          <w:bCs/>
          <w:i/>
          <w:iCs/>
          <w:color w:val="auto"/>
        </w:rPr>
        <w:t>r</w:t>
      </w:r>
      <w:r>
        <w:rPr>
          <w:bCs/>
          <w:color w:val="auto"/>
        </w:rPr>
        <w:t>)—预测点（</w:t>
      </w:r>
      <w:r>
        <w:rPr>
          <w:bCs/>
          <w:i/>
          <w:iCs/>
          <w:color w:val="auto"/>
        </w:rPr>
        <w:t>r</w:t>
      </w:r>
      <w:r>
        <w:rPr>
          <w:bCs/>
          <w:color w:val="auto"/>
        </w:rPr>
        <w:t>）处，第i倍频带声压级，dB；</w:t>
      </w:r>
    </w:p>
    <w:p w14:paraId="0084CB55">
      <w:pPr>
        <w:ind w:firstLine="1200" w:firstLineChars="500"/>
        <w:rPr>
          <w:bCs/>
          <w:color w:val="auto"/>
        </w:rPr>
      </w:pPr>
      <w:r>
        <w:rPr>
          <w:bCs/>
          <w:color w:val="auto"/>
        </w:rPr>
        <w:t>L</w:t>
      </w:r>
      <w:r>
        <w:rPr>
          <w:bCs/>
          <w:i/>
          <w:iCs/>
          <w:color w:val="auto"/>
          <w:vertAlign w:val="subscript"/>
        </w:rPr>
        <w:t>pi</w:t>
      </w:r>
      <w:r>
        <w:rPr>
          <w:bCs/>
          <w:color w:val="auto"/>
        </w:rPr>
        <w:t>(</w:t>
      </w:r>
      <w:r>
        <w:rPr>
          <w:bCs/>
          <w:i/>
          <w:iCs/>
          <w:color w:val="auto"/>
        </w:rPr>
        <w:t>r</w:t>
      </w:r>
      <w:r>
        <w:rPr>
          <w:bCs/>
          <w:color w:val="auto"/>
        </w:rPr>
        <w:t>)—预测点（</w:t>
      </w:r>
      <w:r>
        <w:rPr>
          <w:bCs/>
          <w:i/>
          <w:iCs/>
          <w:color w:val="auto"/>
        </w:rPr>
        <w:t>r</w:t>
      </w:r>
      <w:r>
        <w:rPr>
          <w:bCs/>
          <w:color w:val="auto"/>
        </w:rPr>
        <w:t>）处，第i倍频带声压级，dB；</w:t>
      </w:r>
    </w:p>
    <w:p w14:paraId="01793E92">
      <w:pPr>
        <w:ind w:firstLine="1200" w:firstLineChars="500"/>
        <w:rPr>
          <w:bCs/>
          <w:color w:val="auto"/>
        </w:rPr>
      </w:pPr>
      <w:r>
        <w:rPr>
          <w:bCs/>
          <w:color w:val="auto"/>
        </w:rPr>
        <w:t>△L</w:t>
      </w:r>
      <w:r>
        <w:rPr>
          <w:bCs/>
          <w:i/>
          <w:iCs/>
          <w:color w:val="auto"/>
          <w:vertAlign w:val="subscript"/>
        </w:rPr>
        <w:t>i</w:t>
      </w:r>
      <w:r>
        <w:rPr>
          <w:bCs/>
          <w:color w:val="auto"/>
        </w:rPr>
        <w:t>—i倍频带A计权网络修正值，dB；</w:t>
      </w:r>
    </w:p>
    <w:p w14:paraId="23620D7B">
      <w:pPr>
        <w:ind w:firstLine="480"/>
        <w:rPr>
          <w:bCs/>
          <w:color w:val="auto"/>
        </w:rPr>
      </w:pPr>
      <w:r>
        <w:rPr>
          <w:bCs/>
          <w:color w:val="auto"/>
        </w:rPr>
        <w:t>③在只考虑几何发散衰减时，可按下式计算：</w:t>
      </w:r>
    </w:p>
    <w:p w14:paraId="03ABEDA1">
      <w:pPr>
        <w:ind w:firstLine="0" w:firstLineChars="0"/>
        <w:jc w:val="center"/>
        <w:rPr>
          <w:bCs/>
          <w:i/>
          <w:iCs/>
          <w:color w:val="auto"/>
        </w:rPr>
      </w:pPr>
      <w:r>
        <w:rPr>
          <w:bCs/>
          <w:i/>
          <w:iCs/>
          <w:color w:val="auto"/>
        </w:rPr>
        <w:t>LA(r)=LA(r0)-Adiv</w:t>
      </w:r>
    </w:p>
    <w:p w14:paraId="75C7FEAE">
      <w:pPr>
        <w:ind w:firstLine="480"/>
        <w:rPr>
          <w:bCs/>
          <w:color w:val="auto"/>
        </w:rPr>
      </w:pPr>
      <w:r>
        <w:rPr>
          <w:bCs/>
          <w:color w:val="auto"/>
        </w:rPr>
        <w:t>式中：</w:t>
      </w:r>
      <w:r>
        <w:rPr>
          <w:bCs/>
          <w:i/>
          <w:iCs/>
          <w:color w:val="auto"/>
        </w:rPr>
        <w:t>LA(r)</w:t>
      </w:r>
      <w:r>
        <w:rPr>
          <w:bCs/>
          <w:color w:val="auto"/>
        </w:rPr>
        <w:t>—距离声源</w:t>
      </w:r>
      <w:r>
        <w:rPr>
          <w:bCs/>
          <w:i/>
          <w:iCs/>
          <w:color w:val="auto"/>
        </w:rPr>
        <w:t>r</w:t>
      </w:r>
      <w:r>
        <w:rPr>
          <w:bCs/>
          <w:color w:val="auto"/>
        </w:rPr>
        <w:t>处的A声级，dB(A)；</w:t>
      </w:r>
    </w:p>
    <w:p w14:paraId="148262D2">
      <w:pPr>
        <w:ind w:firstLine="1200" w:firstLineChars="500"/>
        <w:rPr>
          <w:bCs/>
          <w:color w:val="auto"/>
        </w:rPr>
      </w:pPr>
      <w:r>
        <w:rPr>
          <w:bCs/>
          <w:i/>
          <w:iCs/>
          <w:color w:val="auto"/>
        </w:rPr>
        <w:t>LA(r0)</w:t>
      </w:r>
      <w:r>
        <w:rPr>
          <w:bCs/>
          <w:color w:val="auto"/>
        </w:rPr>
        <w:t>—参考位置</w:t>
      </w:r>
      <w:r>
        <w:rPr>
          <w:bCs/>
          <w:i/>
          <w:iCs/>
          <w:color w:val="auto"/>
        </w:rPr>
        <w:t>r</w:t>
      </w:r>
      <w:r>
        <w:rPr>
          <w:bCs/>
          <w:color w:val="auto"/>
          <w:vertAlign w:val="subscript"/>
        </w:rPr>
        <w:t>0</w:t>
      </w:r>
      <w:r>
        <w:rPr>
          <w:bCs/>
          <w:color w:val="auto"/>
        </w:rPr>
        <w:t>处的A声级，dB(A)；</w:t>
      </w:r>
    </w:p>
    <w:p w14:paraId="6915C90F">
      <w:pPr>
        <w:ind w:firstLine="1200" w:firstLineChars="500"/>
        <w:rPr>
          <w:bCs/>
          <w:color w:val="auto"/>
        </w:rPr>
      </w:pPr>
      <w:r>
        <w:rPr>
          <w:bCs/>
          <w:i/>
          <w:iCs/>
          <w:color w:val="auto"/>
        </w:rPr>
        <w:t>A</w:t>
      </w:r>
      <w:r>
        <w:rPr>
          <w:bCs/>
          <w:i/>
          <w:iCs/>
          <w:color w:val="auto"/>
          <w:vertAlign w:val="subscript"/>
        </w:rPr>
        <w:t>div</w:t>
      </w:r>
      <w:r>
        <w:rPr>
          <w:bCs/>
          <w:color w:val="auto"/>
        </w:rPr>
        <w:t>—几何发散引起的衰减，dB。</w:t>
      </w:r>
    </w:p>
    <w:p w14:paraId="03CF3C30">
      <w:pPr>
        <w:ind w:firstLine="480"/>
        <w:rPr>
          <w:bCs/>
          <w:color w:val="auto"/>
        </w:rPr>
      </w:pPr>
      <w:r>
        <w:rPr>
          <w:bCs/>
          <w:color w:val="auto"/>
        </w:rPr>
        <w:t>（2）室内声源等效室外声源声功率级计算方法</w:t>
      </w:r>
    </w:p>
    <w:p w14:paraId="4044BAF4">
      <w:pPr>
        <w:ind w:firstLine="480"/>
        <w:rPr>
          <w:bCs/>
          <w:color w:val="auto"/>
        </w:rPr>
      </w:pPr>
      <w:r>
        <w:rPr>
          <w:bCs/>
          <w:color w:val="auto"/>
        </w:rPr>
        <w:t>声源位于室内，室内声源可采用等效室外声源声功率级法进行计算。设靠近开口处（或窗户）室内、室外某倍频带的声压级或A声级分别为L</w:t>
      </w:r>
      <w:r>
        <w:rPr>
          <w:bCs/>
          <w:i/>
          <w:iCs/>
          <w:color w:val="auto"/>
          <w:vertAlign w:val="subscript"/>
        </w:rPr>
        <w:t>p</w:t>
      </w:r>
      <w:r>
        <w:rPr>
          <w:bCs/>
          <w:color w:val="auto"/>
          <w:vertAlign w:val="subscript"/>
        </w:rPr>
        <w:t>1</w:t>
      </w:r>
      <w:r>
        <w:rPr>
          <w:bCs/>
          <w:color w:val="auto"/>
        </w:rPr>
        <w:t>和L</w:t>
      </w:r>
      <w:r>
        <w:rPr>
          <w:bCs/>
          <w:i/>
          <w:iCs/>
          <w:color w:val="auto"/>
          <w:vertAlign w:val="subscript"/>
        </w:rPr>
        <w:t>p</w:t>
      </w:r>
      <w:r>
        <w:rPr>
          <w:bCs/>
          <w:color w:val="auto"/>
          <w:vertAlign w:val="subscript"/>
        </w:rPr>
        <w:t>2</w:t>
      </w:r>
      <w:r>
        <w:rPr>
          <w:bCs/>
          <w:color w:val="auto"/>
        </w:rPr>
        <w:t>。</w:t>
      </w:r>
    </w:p>
    <w:p w14:paraId="27C5015A">
      <w:pPr>
        <w:ind w:firstLine="480"/>
        <w:rPr>
          <w:bCs/>
          <w:color w:val="auto"/>
        </w:rPr>
      </w:pPr>
      <w:r>
        <w:rPr>
          <w:bCs/>
          <w:color w:val="auto"/>
        </w:rPr>
        <w:t>若声源所在室内声场为近似扩散声场，则室外的倍频带声压级可按下式近似求出：</w:t>
      </w:r>
    </w:p>
    <w:p w14:paraId="4BD1A3F3">
      <w:pPr>
        <w:ind w:firstLine="0" w:firstLineChars="0"/>
        <w:jc w:val="center"/>
        <w:rPr>
          <w:bCs/>
          <w:i/>
          <w:iCs/>
          <w:color w:val="auto"/>
        </w:rPr>
      </w:pPr>
      <w:r>
        <w:rPr>
          <w:bCs/>
          <w:i/>
          <w:iCs/>
          <w:color w:val="auto"/>
        </w:rPr>
        <w:t>Lp2=Lp1-(TL+6)</w:t>
      </w:r>
    </w:p>
    <w:p w14:paraId="448B7B57">
      <w:pPr>
        <w:ind w:firstLine="480"/>
        <w:rPr>
          <w:bCs/>
          <w:color w:val="auto"/>
        </w:rPr>
      </w:pPr>
      <w:r>
        <w:rPr>
          <w:bCs/>
          <w:color w:val="auto"/>
        </w:rPr>
        <w:t>式中：T</w:t>
      </w:r>
      <w:r>
        <w:rPr>
          <w:bCs/>
          <w:i/>
          <w:iCs/>
          <w:color w:val="auto"/>
          <w:vertAlign w:val="subscript"/>
        </w:rPr>
        <w:t>p1</w:t>
      </w:r>
      <w:r>
        <w:rPr>
          <w:bCs/>
          <w:color w:val="auto"/>
        </w:rPr>
        <w:t>—靠近开口处（或窗户）室内某倍频带的声压级或A声级，dB；</w:t>
      </w:r>
    </w:p>
    <w:p w14:paraId="36079F2F">
      <w:pPr>
        <w:ind w:firstLine="1200" w:firstLineChars="500"/>
        <w:rPr>
          <w:bCs/>
          <w:color w:val="auto"/>
        </w:rPr>
      </w:pPr>
      <w:r>
        <w:rPr>
          <w:bCs/>
          <w:color w:val="auto"/>
        </w:rPr>
        <w:t>T</w:t>
      </w:r>
      <w:r>
        <w:rPr>
          <w:bCs/>
          <w:i/>
          <w:iCs/>
          <w:color w:val="auto"/>
          <w:vertAlign w:val="subscript"/>
        </w:rPr>
        <w:t>p2</w:t>
      </w:r>
      <w:r>
        <w:rPr>
          <w:bCs/>
          <w:color w:val="auto"/>
        </w:rPr>
        <w:t>—靠近开口处（或窗户）室外某倍频带的声压级或A声级，dB；</w:t>
      </w:r>
    </w:p>
    <w:p w14:paraId="5D729B19">
      <w:pPr>
        <w:ind w:firstLine="1200" w:firstLineChars="500"/>
        <w:rPr>
          <w:bCs/>
          <w:color w:val="auto"/>
        </w:rPr>
      </w:pPr>
      <w:r>
        <w:rPr>
          <w:bCs/>
          <w:color w:val="auto"/>
        </w:rPr>
        <w:t>T</w:t>
      </w:r>
      <w:r>
        <w:rPr>
          <w:bCs/>
          <w:i/>
          <w:iCs/>
          <w:color w:val="auto"/>
          <w:vertAlign w:val="subscript"/>
        </w:rPr>
        <w:t>L</w:t>
      </w:r>
      <w:r>
        <w:rPr>
          <w:bCs/>
          <w:color w:val="auto"/>
        </w:rPr>
        <w:t>—隔墙（或窗户）倍频带或A声级的隔声量，dB。</w:t>
      </w:r>
    </w:p>
    <w:p w14:paraId="10B503CC">
      <w:pPr>
        <w:ind w:firstLine="480"/>
        <w:rPr>
          <w:bCs/>
          <w:color w:val="auto"/>
        </w:rPr>
      </w:pPr>
      <w:r>
        <w:rPr>
          <w:bCs/>
          <w:color w:val="auto"/>
        </w:rPr>
        <w:t>也可按下列公式计算某一室内声源靠近围护结构处产生的倍频带声压级或A声级：</w:t>
      </w:r>
    </w:p>
    <w:p w14:paraId="0B5F6A4D">
      <w:pPr>
        <w:ind w:firstLine="0" w:firstLineChars="0"/>
        <w:jc w:val="center"/>
        <w:rPr>
          <w:bCs/>
          <w:color w:val="auto"/>
        </w:rPr>
      </w:pPr>
      <w:r>
        <w:rPr>
          <w:color w:val="auto"/>
        </w:rPr>
        <w:drawing>
          <wp:inline distT="0" distB="0" distL="0" distR="0">
            <wp:extent cx="1807210" cy="439420"/>
            <wp:effectExtent l="0" t="0" r="2540" b="17780"/>
            <wp:docPr id="855511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11914" name="图片 1"/>
                    <pic:cNvPicPr>
                      <a:picLocks noChangeAspect="1"/>
                    </pic:cNvPicPr>
                  </pic:nvPicPr>
                  <pic:blipFill>
                    <a:blip r:embed="rId36"/>
                    <a:stretch>
                      <a:fillRect/>
                    </a:stretch>
                  </pic:blipFill>
                  <pic:spPr>
                    <a:xfrm>
                      <a:off x="0" y="0"/>
                      <a:ext cx="1861463" cy="452590"/>
                    </a:xfrm>
                    <a:prstGeom prst="rect">
                      <a:avLst/>
                    </a:prstGeom>
                  </pic:spPr>
                </pic:pic>
              </a:graphicData>
            </a:graphic>
          </wp:inline>
        </w:drawing>
      </w:r>
    </w:p>
    <w:p w14:paraId="667DC07F">
      <w:pPr>
        <w:ind w:firstLine="480"/>
        <w:rPr>
          <w:bCs/>
          <w:color w:val="auto"/>
        </w:rPr>
      </w:pPr>
      <w:r>
        <w:rPr>
          <w:bCs/>
          <w:color w:val="auto"/>
        </w:rPr>
        <w:t>式中：L</w:t>
      </w:r>
      <w:r>
        <w:rPr>
          <w:bCs/>
          <w:i/>
          <w:iCs/>
          <w:color w:val="auto"/>
          <w:vertAlign w:val="subscript"/>
        </w:rPr>
        <w:t>p1</w:t>
      </w:r>
      <w:r>
        <w:rPr>
          <w:bCs/>
          <w:color w:val="auto"/>
        </w:rPr>
        <w:t>——靠近开口处（或窗户）室内某倍频带的声压级或A声级，dB；</w:t>
      </w:r>
    </w:p>
    <w:p w14:paraId="014EAEA5">
      <w:pPr>
        <w:ind w:firstLine="1200" w:firstLineChars="500"/>
        <w:rPr>
          <w:bCs/>
          <w:color w:val="auto"/>
        </w:rPr>
      </w:pPr>
      <w:r>
        <w:rPr>
          <w:bCs/>
          <w:color w:val="auto"/>
        </w:rPr>
        <w:t>L</w:t>
      </w:r>
      <w:r>
        <w:rPr>
          <w:bCs/>
          <w:i/>
          <w:iCs/>
          <w:color w:val="auto"/>
          <w:vertAlign w:val="subscript"/>
        </w:rPr>
        <w:t>w</w:t>
      </w:r>
      <w:r>
        <w:rPr>
          <w:bCs/>
          <w:color w:val="auto"/>
        </w:rPr>
        <w:t>——点声源声功率级（A计权或倍频带），dB；</w:t>
      </w:r>
    </w:p>
    <w:p w14:paraId="428E8FA3">
      <w:pPr>
        <w:ind w:firstLine="1200" w:firstLineChars="500"/>
        <w:rPr>
          <w:bCs/>
          <w:color w:val="auto"/>
        </w:rPr>
      </w:pPr>
      <w:r>
        <w:rPr>
          <w:bCs/>
          <w:i/>
          <w:iCs/>
          <w:color w:val="auto"/>
        </w:rPr>
        <w:t>Q</w:t>
      </w:r>
      <w:r>
        <w:rPr>
          <w:bCs/>
          <w:color w:val="auto"/>
        </w:rPr>
        <w:t>——指向性因数；通常对无指向性声源，当声源放在房间中心时，Q=1；当放在一面墙的中心时，</w:t>
      </w:r>
      <w:r>
        <w:rPr>
          <w:bCs/>
          <w:i/>
          <w:iCs/>
          <w:color w:val="auto"/>
        </w:rPr>
        <w:t>Q</w:t>
      </w:r>
      <w:r>
        <w:rPr>
          <w:bCs/>
          <w:color w:val="auto"/>
        </w:rPr>
        <w:t>=2；当放在两面墙夹角处时，</w:t>
      </w:r>
      <w:r>
        <w:rPr>
          <w:bCs/>
          <w:i/>
          <w:iCs/>
          <w:color w:val="auto"/>
        </w:rPr>
        <w:t>Q</w:t>
      </w:r>
      <w:r>
        <w:rPr>
          <w:bCs/>
          <w:color w:val="auto"/>
        </w:rPr>
        <w:t>=4；当放在三面墙夹角处时，</w:t>
      </w:r>
      <w:r>
        <w:rPr>
          <w:bCs/>
          <w:i/>
          <w:iCs/>
          <w:color w:val="auto"/>
        </w:rPr>
        <w:t>Q</w:t>
      </w:r>
      <w:r>
        <w:rPr>
          <w:bCs/>
          <w:color w:val="auto"/>
        </w:rPr>
        <w:t>=8；</w:t>
      </w:r>
    </w:p>
    <w:p w14:paraId="722933AF">
      <w:pPr>
        <w:ind w:firstLine="1200" w:firstLineChars="500"/>
        <w:rPr>
          <w:bCs/>
          <w:color w:val="auto"/>
        </w:rPr>
      </w:pPr>
      <w:r>
        <w:rPr>
          <w:bCs/>
          <w:i/>
          <w:iCs/>
          <w:color w:val="auto"/>
        </w:rPr>
        <w:t>R</w:t>
      </w:r>
      <w:r>
        <w:rPr>
          <w:bCs/>
          <w:color w:val="auto"/>
        </w:rPr>
        <w:t>—房间常数：</w:t>
      </w:r>
      <w:r>
        <w:rPr>
          <w:bCs/>
          <w:i/>
          <w:iCs/>
          <w:color w:val="auto"/>
        </w:rPr>
        <w:t>R</w:t>
      </w:r>
      <w:r>
        <w:rPr>
          <w:bCs/>
          <w:color w:val="auto"/>
        </w:rPr>
        <w:t>=Sa/(1-α)，S为房间内表面面积，m</w:t>
      </w:r>
      <w:r>
        <w:rPr>
          <w:bCs/>
          <w:color w:val="auto"/>
          <w:vertAlign w:val="superscript"/>
        </w:rPr>
        <w:t>2</w:t>
      </w:r>
      <w:r>
        <w:rPr>
          <w:bCs/>
          <w:color w:val="auto"/>
        </w:rPr>
        <w:t>；a为平均吸声系数。</w:t>
      </w:r>
    </w:p>
    <w:p w14:paraId="31B0B337">
      <w:pPr>
        <w:ind w:firstLine="1200" w:firstLineChars="500"/>
        <w:rPr>
          <w:bCs/>
          <w:color w:val="auto"/>
        </w:rPr>
      </w:pPr>
      <w:r>
        <w:rPr>
          <w:bCs/>
          <w:i/>
          <w:iCs/>
          <w:color w:val="auto"/>
        </w:rPr>
        <w:t>r</w:t>
      </w:r>
      <w:r>
        <w:rPr>
          <w:bCs/>
          <w:color w:val="auto"/>
        </w:rPr>
        <w:t>—声源到靠近围护结构某点处的距离，m。</w:t>
      </w:r>
    </w:p>
    <w:p w14:paraId="62D81B85">
      <w:pPr>
        <w:ind w:firstLine="480"/>
        <w:rPr>
          <w:bCs/>
          <w:color w:val="auto"/>
        </w:rPr>
      </w:pPr>
      <w:r>
        <w:rPr>
          <w:bCs/>
          <w:color w:val="auto"/>
        </w:rPr>
        <w:t>然后按下式计算出所有室内声源在围护结构处产生的i倍频带叠加声压级：</w:t>
      </w:r>
    </w:p>
    <w:p w14:paraId="17A4B5A7">
      <w:pPr>
        <w:ind w:firstLine="0" w:firstLineChars="0"/>
        <w:jc w:val="center"/>
        <w:rPr>
          <w:bCs/>
          <w:color w:val="auto"/>
        </w:rPr>
      </w:pPr>
      <w:r>
        <w:rPr>
          <w:color w:val="auto"/>
        </w:rPr>
        <w:drawing>
          <wp:inline distT="0" distB="0" distL="0" distR="0">
            <wp:extent cx="1596390" cy="441960"/>
            <wp:effectExtent l="0" t="0" r="3810" b="15240"/>
            <wp:docPr id="1356122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2891" name="图片 1"/>
                    <pic:cNvPicPr>
                      <a:picLocks noChangeAspect="1"/>
                    </pic:cNvPicPr>
                  </pic:nvPicPr>
                  <pic:blipFill>
                    <a:blip r:embed="rId37"/>
                    <a:stretch>
                      <a:fillRect/>
                    </a:stretch>
                  </pic:blipFill>
                  <pic:spPr>
                    <a:xfrm>
                      <a:off x="0" y="0"/>
                      <a:ext cx="1652200" cy="457436"/>
                    </a:xfrm>
                    <a:prstGeom prst="rect">
                      <a:avLst/>
                    </a:prstGeom>
                  </pic:spPr>
                </pic:pic>
              </a:graphicData>
            </a:graphic>
          </wp:inline>
        </w:drawing>
      </w:r>
    </w:p>
    <w:p w14:paraId="24D99692">
      <w:pPr>
        <w:ind w:firstLine="480"/>
        <w:rPr>
          <w:bCs/>
          <w:color w:val="auto"/>
        </w:rPr>
      </w:pPr>
      <w:r>
        <w:rPr>
          <w:bCs/>
          <w:color w:val="auto"/>
        </w:rPr>
        <w:t>式中：L</w:t>
      </w:r>
      <w:r>
        <w:rPr>
          <w:bCs/>
          <w:i/>
          <w:iCs/>
          <w:color w:val="auto"/>
          <w:vertAlign w:val="subscript"/>
        </w:rPr>
        <w:t>p1i</w:t>
      </w:r>
      <w:r>
        <w:rPr>
          <w:bCs/>
          <w:color w:val="auto"/>
        </w:rPr>
        <w:t>(</w:t>
      </w:r>
      <w:r>
        <w:rPr>
          <w:bCs/>
          <w:i/>
          <w:iCs/>
          <w:color w:val="auto"/>
        </w:rPr>
        <w:t>T</w:t>
      </w:r>
      <w:r>
        <w:rPr>
          <w:bCs/>
          <w:color w:val="auto"/>
        </w:rPr>
        <w:t>)—靠近围护结构处室内N个声源i倍频带的叠加声压级，dB；</w:t>
      </w:r>
    </w:p>
    <w:p w14:paraId="4A721CC8">
      <w:pPr>
        <w:ind w:firstLine="1200" w:firstLineChars="500"/>
        <w:rPr>
          <w:bCs/>
          <w:color w:val="auto"/>
        </w:rPr>
      </w:pPr>
      <w:r>
        <w:rPr>
          <w:bCs/>
          <w:color w:val="auto"/>
        </w:rPr>
        <w:t>L</w:t>
      </w:r>
      <w:r>
        <w:rPr>
          <w:bCs/>
          <w:i/>
          <w:iCs/>
          <w:color w:val="auto"/>
          <w:vertAlign w:val="subscript"/>
        </w:rPr>
        <w:t>p1ij</w:t>
      </w:r>
      <w:r>
        <w:rPr>
          <w:bCs/>
          <w:color w:val="auto"/>
        </w:rPr>
        <w:t>—室内j声源i倍频带的声压级，dB；</w:t>
      </w:r>
    </w:p>
    <w:p w14:paraId="16C6F1E9">
      <w:pPr>
        <w:ind w:firstLine="1200" w:firstLineChars="500"/>
        <w:rPr>
          <w:bCs/>
          <w:color w:val="auto"/>
        </w:rPr>
      </w:pPr>
      <w:r>
        <w:rPr>
          <w:bCs/>
          <w:i/>
          <w:iCs/>
          <w:color w:val="auto"/>
        </w:rPr>
        <w:t>N</w:t>
      </w:r>
      <w:r>
        <w:rPr>
          <w:bCs/>
          <w:color w:val="auto"/>
        </w:rPr>
        <w:t>—室内声源总数。</w:t>
      </w:r>
    </w:p>
    <w:p w14:paraId="693B3588">
      <w:pPr>
        <w:ind w:firstLine="480"/>
        <w:rPr>
          <w:bCs/>
          <w:color w:val="auto"/>
        </w:rPr>
      </w:pPr>
      <w:r>
        <w:rPr>
          <w:bCs/>
          <w:color w:val="auto"/>
        </w:rPr>
        <w:t>在室内近似为扩散声场时，按下式计算出靠近室外围护结构处的声压级：</w:t>
      </w:r>
    </w:p>
    <w:p w14:paraId="1F81A3F6">
      <w:pPr>
        <w:ind w:firstLine="480"/>
        <w:jc w:val="center"/>
        <w:rPr>
          <w:bCs/>
          <w:color w:val="auto"/>
        </w:rPr>
      </w:pPr>
      <w:r>
        <w:rPr>
          <w:bCs/>
          <w:color w:val="auto"/>
        </w:rPr>
        <w:t>L</w:t>
      </w:r>
      <w:r>
        <w:rPr>
          <w:bCs/>
          <w:i/>
          <w:iCs/>
          <w:color w:val="auto"/>
          <w:vertAlign w:val="subscript"/>
        </w:rPr>
        <w:t>p2i</w:t>
      </w:r>
      <w:r>
        <w:rPr>
          <w:bCs/>
          <w:color w:val="auto"/>
        </w:rPr>
        <w:t>(T)=L</w:t>
      </w:r>
      <w:r>
        <w:rPr>
          <w:bCs/>
          <w:i/>
          <w:iCs/>
          <w:color w:val="auto"/>
          <w:vertAlign w:val="subscript"/>
        </w:rPr>
        <w:t>p1i</w:t>
      </w:r>
      <w:r>
        <w:rPr>
          <w:bCs/>
          <w:color w:val="auto"/>
        </w:rPr>
        <w:t>(T)-(</w:t>
      </w:r>
      <w:r>
        <w:rPr>
          <w:bCs/>
          <w:i/>
          <w:iCs/>
          <w:color w:val="auto"/>
        </w:rPr>
        <w:t>T</w:t>
      </w:r>
      <w:r>
        <w:rPr>
          <w:bCs/>
          <w:i/>
          <w:iCs/>
          <w:color w:val="auto"/>
          <w:vertAlign w:val="subscript"/>
        </w:rPr>
        <w:t>Li</w:t>
      </w:r>
      <w:r>
        <w:rPr>
          <w:bCs/>
          <w:color w:val="auto"/>
        </w:rPr>
        <w:t>+6)</w:t>
      </w:r>
    </w:p>
    <w:p w14:paraId="4B7BCA04">
      <w:pPr>
        <w:ind w:firstLine="480"/>
        <w:rPr>
          <w:bCs/>
          <w:color w:val="auto"/>
        </w:rPr>
      </w:pPr>
      <w:r>
        <w:rPr>
          <w:bCs/>
          <w:color w:val="auto"/>
        </w:rPr>
        <w:t>式中：Lp2i(T)—靠近围护结构处室外N个声源i倍频带的叠加声压级，dB；</w:t>
      </w:r>
    </w:p>
    <w:p w14:paraId="6701D763">
      <w:pPr>
        <w:ind w:firstLine="1200" w:firstLineChars="500"/>
        <w:rPr>
          <w:bCs/>
          <w:color w:val="auto"/>
        </w:rPr>
      </w:pPr>
      <w:r>
        <w:rPr>
          <w:bCs/>
          <w:color w:val="auto"/>
        </w:rPr>
        <w:t>Lp1i(T)—靠近围护结构处室内N个声源i倍频带的叠加声压级，dB；</w:t>
      </w:r>
    </w:p>
    <w:p w14:paraId="4CB0EC4C">
      <w:pPr>
        <w:ind w:firstLine="1200" w:firstLineChars="500"/>
        <w:rPr>
          <w:bCs/>
          <w:color w:val="auto"/>
        </w:rPr>
      </w:pPr>
      <w:r>
        <w:rPr>
          <w:bCs/>
          <w:i/>
          <w:iCs/>
          <w:color w:val="auto"/>
        </w:rPr>
        <w:t>TL</w:t>
      </w:r>
      <w:r>
        <w:rPr>
          <w:bCs/>
          <w:i/>
          <w:iCs/>
          <w:color w:val="auto"/>
          <w:vertAlign w:val="subscript"/>
        </w:rPr>
        <w:t>i</w:t>
      </w:r>
      <w:r>
        <w:rPr>
          <w:bCs/>
          <w:color w:val="auto"/>
        </w:rPr>
        <w:t>—围护结构i倍频带的隔声量，dB。</w:t>
      </w:r>
    </w:p>
    <w:p w14:paraId="3A65F8B3">
      <w:pPr>
        <w:ind w:firstLine="480"/>
        <w:rPr>
          <w:bCs/>
          <w:color w:val="auto"/>
        </w:rPr>
      </w:pPr>
      <w:r>
        <w:rPr>
          <w:bCs/>
          <w:color w:val="auto"/>
        </w:rPr>
        <w:t>然后按</w:t>
      </w:r>
      <w:r>
        <w:rPr>
          <w:rFonts w:hint="eastAsia"/>
          <w:bCs/>
          <w:color w:val="auto"/>
        </w:rPr>
        <w:t>下述</w:t>
      </w:r>
      <w:r>
        <w:rPr>
          <w:bCs/>
          <w:color w:val="auto"/>
        </w:rPr>
        <w:t>公式将室外声源的声压级和透过面积换算成等效的室外声源，计算出中心位置位于透声面积（S）处的等效声源的倍频带声功率级。</w:t>
      </w:r>
    </w:p>
    <w:p w14:paraId="7502C3BD">
      <w:pPr>
        <w:ind w:firstLine="480"/>
        <w:jc w:val="center"/>
        <w:rPr>
          <w:bCs/>
          <w:color w:val="auto"/>
        </w:rPr>
      </w:pPr>
      <w:r>
        <w:rPr>
          <w:bCs/>
          <w:color w:val="auto"/>
        </w:rPr>
        <w:t>L</w:t>
      </w:r>
      <w:r>
        <w:rPr>
          <w:bCs/>
          <w:color w:val="auto"/>
          <w:vertAlign w:val="subscript"/>
        </w:rPr>
        <w:t>w</w:t>
      </w:r>
      <w:r>
        <w:rPr>
          <w:bCs/>
          <w:color w:val="auto"/>
        </w:rPr>
        <w:t>=L</w:t>
      </w:r>
      <w:r>
        <w:rPr>
          <w:bCs/>
          <w:i/>
          <w:iCs/>
          <w:color w:val="auto"/>
          <w:vertAlign w:val="subscript"/>
        </w:rPr>
        <w:t>p2</w:t>
      </w:r>
      <w:r>
        <w:rPr>
          <w:bCs/>
          <w:color w:val="auto"/>
        </w:rPr>
        <w:t>(T)+10lgs</w:t>
      </w:r>
    </w:p>
    <w:p w14:paraId="061C2C44">
      <w:pPr>
        <w:ind w:firstLine="480"/>
        <w:rPr>
          <w:bCs/>
          <w:color w:val="auto"/>
        </w:rPr>
      </w:pPr>
      <w:r>
        <w:rPr>
          <w:bCs/>
          <w:color w:val="auto"/>
        </w:rPr>
        <w:t>式中：L</w:t>
      </w:r>
      <w:r>
        <w:rPr>
          <w:bCs/>
          <w:i/>
          <w:iCs/>
          <w:color w:val="auto"/>
          <w:vertAlign w:val="subscript"/>
        </w:rPr>
        <w:t>W</w:t>
      </w:r>
      <w:r>
        <w:rPr>
          <w:bCs/>
          <w:color w:val="auto"/>
        </w:rPr>
        <w:t>—中心位置位于透声面积（S）处的等效声源的倍频带声功率级，dB；</w:t>
      </w:r>
    </w:p>
    <w:p w14:paraId="01DAD0E6">
      <w:pPr>
        <w:ind w:firstLine="1200" w:firstLineChars="500"/>
        <w:rPr>
          <w:bCs/>
          <w:color w:val="auto"/>
        </w:rPr>
      </w:pPr>
      <w:r>
        <w:rPr>
          <w:bCs/>
          <w:color w:val="auto"/>
        </w:rPr>
        <w:t>L</w:t>
      </w:r>
      <w:r>
        <w:rPr>
          <w:bCs/>
          <w:i/>
          <w:iCs/>
          <w:color w:val="auto"/>
          <w:vertAlign w:val="subscript"/>
        </w:rPr>
        <w:t>p2</w:t>
      </w:r>
      <w:r>
        <w:rPr>
          <w:bCs/>
          <w:color w:val="auto"/>
        </w:rPr>
        <w:t>(T)—靠近围护结构处室外声源的声压级，dB；</w:t>
      </w:r>
    </w:p>
    <w:p w14:paraId="428CB0C4">
      <w:pPr>
        <w:ind w:firstLine="1200" w:firstLineChars="500"/>
        <w:rPr>
          <w:bCs/>
          <w:color w:val="auto"/>
        </w:rPr>
      </w:pPr>
      <w:r>
        <w:rPr>
          <w:bCs/>
          <w:color w:val="auto"/>
        </w:rPr>
        <w:t>S—透声面积，m</w:t>
      </w:r>
      <w:r>
        <w:rPr>
          <w:bCs/>
          <w:color w:val="auto"/>
          <w:vertAlign w:val="superscript"/>
        </w:rPr>
        <w:t>2</w:t>
      </w:r>
      <w:r>
        <w:rPr>
          <w:bCs/>
          <w:color w:val="auto"/>
        </w:rPr>
        <w:t>。</w:t>
      </w:r>
    </w:p>
    <w:p w14:paraId="2A66254D">
      <w:pPr>
        <w:ind w:firstLine="480"/>
        <w:rPr>
          <w:bCs/>
          <w:color w:val="auto"/>
        </w:rPr>
      </w:pPr>
      <w:r>
        <w:rPr>
          <w:bCs/>
          <w:color w:val="auto"/>
        </w:rPr>
        <w:t>然后按室外声源预测方法计算预测点处的A声级。</w:t>
      </w:r>
    </w:p>
    <w:p w14:paraId="2BB1BA24">
      <w:pPr>
        <w:ind w:firstLine="480"/>
        <w:rPr>
          <w:bCs/>
          <w:color w:val="auto"/>
        </w:rPr>
      </w:pPr>
      <w:r>
        <w:rPr>
          <w:bCs/>
          <w:color w:val="auto"/>
        </w:rPr>
        <w:t>（3）工业企业噪声计算</w:t>
      </w:r>
    </w:p>
    <w:p w14:paraId="5C3EAF46">
      <w:pPr>
        <w:ind w:firstLine="480"/>
        <w:rPr>
          <w:bCs/>
          <w:color w:val="auto"/>
        </w:rPr>
      </w:pPr>
      <w:r>
        <w:rPr>
          <w:bCs/>
          <w:color w:val="auto"/>
        </w:rPr>
        <w:t>设第i个室外声源在预测点产生的A声级为L</w:t>
      </w:r>
      <w:r>
        <w:rPr>
          <w:bCs/>
          <w:color w:val="auto"/>
          <w:vertAlign w:val="subscript"/>
        </w:rPr>
        <w:t>Ai</w:t>
      </w:r>
      <w:r>
        <w:rPr>
          <w:bCs/>
          <w:color w:val="auto"/>
        </w:rPr>
        <w:t>，在T时间内该声源工作时间为t</w:t>
      </w:r>
      <w:r>
        <w:rPr>
          <w:bCs/>
          <w:color w:val="auto"/>
          <w:vertAlign w:val="subscript"/>
        </w:rPr>
        <w:t>i</w:t>
      </w:r>
      <w:r>
        <w:rPr>
          <w:bCs/>
          <w:color w:val="auto"/>
        </w:rPr>
        <w:t>；第j个等效室外声源在预测点产生的A声级为L</w:t>
      </w:r>
      <w:r>
        <w:rPr>
          <w:bCs/>
          <w:color w:val="auto"/>
          <w:vertAlign w:val="subscript"/>
        </w:rPr>
        <w:t>Aj</w:t>
      </w:r>
      <w:r>
        <w:rPr>
          <w:bCs/>
          <w:color w:val="auto"/>
        </w:rPr>
        <w:t>，在T时间内该声源工作时间为t</w:t>
      </w:r>
      <w:r>
        <w:rPr>
          <w:bCs/>
          <w:color w:val="auto"/>
          <w:vertAlign w:val="subscript"/>
        </w:rPr>
        <w:t>j</w:t>
      </w:r>
      <w:r>
        <w:rPr>
          <w:bCs/>
          <w:color w:val="auto"/>
        </w:rPr>
        <w:t>，则本工程声源对预测点产生的贡献值</w:t>
      </w:r>
      <w:r>
        <w:rPr>
          <w:rFonts w:hint="eastAsia"/>
          <w:bCs/>
          <w:color w:val="auto"/>
        </w:rPr>
        <w:t>（</w:t>
      </w:r>
      <w:r>
        <w:rPr>
          <w:bCs/>
          <w:color w:val="auto"/>
        </w:rPr>
        <w:t>Leqg</w:t>
      </w:r>
      <w:r>
        <w:rPr>
          <w:rFonts w:hint="eastAsia"/>
          <w:bCs/>
          <w:color w:val="auto"/>
        </w:rPr>
        <w:t>）</w:t>
      </w:r>
      <w:r>
        <w:rPr>
          <w:bCs/>
          <w:color w:val="auto"/>
        </w:rPr>
        <w:t>为：</w:t>
      </w:r>
    </w:p>
    <w:p w14:paraId="6BD6F31C">
      <w:pPr>
        <w:ind w:firstLine="0" w:firstLineChars="0"/>
        <w:jc w:val="center"/>
        <w:rPr>
          <w:bCs/>
          <w:color w:val="auto"/>
        </w:rPr>
      </w:pPr>
      <w:r>
        <w:rPr>
          <w:color w:val="auto"/>
        </w:rPr>
        <w:drawing>
          <wp:inline distT="0" distB="0" distL="0" distR="0">
            <wp:extent cx="2341880" cy="450850"/>
            <wp:effectExtent l="0" t="0" r="1270" b="6350"/>
            <wp:docPr id="1141416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16647" name="图片 1"/>
                    <pic:cNvPicPr>
                      <a:picLocks noChangeAspect="1"/>
                    </pic:cNvPicPr>
                  </pic:nvPicPr>
                  <pic:blipFill>
                    <a:blip r:embed="rId38"/>
                    <a:stretch>
                      <a:fillRect/>
                    </a:stretch>
                  </pic:blipFill>
                  <pic:spPr>
                    <a:xfrm>
                      <a:off x="0" y="0"/>
                      <a:ext cx="2395185" cy="461044"/>
                    </a:xfrm>
                    <a:prstGeom prst="rect">
                      <a:avLst/>
                    </a:prstGeom>
                  </pic:spPr>
                </pic:pic>
              </a:graphicData>
            </a:graphic>
          </wp:inline>
        </w:drawing>
      </w:r>
    </w:p>
    <w:p w14:paraId="30395B7B">
      <w:pPr>
        <w:ind w:firstLine="480"/>
        <w:rPr>
          <w:bCs/>
          <w:color w:val="auto"/>
        </w:rPr>
      </w:pPr>
      <w:r>
        <w:rPr>
          <w:bCs/>
          <w:color w:val="auto"/>
        </w:rPr>
        <w:t>式中：L</w:t>
      </w:r>
      <w:r>
        <w:rPr>
          <w:bCs/>
          <w:i/>
          <w:iCs/>
          <w:color w:val="auto"/>
          <w:vertAlign w:val="subscript"/>
        </w:rPr>
        <w:t>eqg</w:t>
      </w:r>
      <w:r>
        <w:rPr>
          <w:bCs/>
          <w:color w:val="auto"/>
        </w:rPr>
        <w:t>——建设项目声源在预测点产生的噪声贡献值，dB；</w:t>
      </w:r>
    </w:p>
    <w:p w14:paraId="23773D26">
      <w:pPr>
        <w:ind w:firstLine="1200" w:firstLineChars="500"/>
        <w:rPr>
          <w:bCs/>
          <w:color w:val="auto"/>
        </w:rPr>
      </w:pPr>
      <w:r>
        <w:rPr>
          <w:bCs/>
          <w:i/>
          <w:iCs/>
          <w:color w:val="auto"/>
        </w:rPr>
        <w:t>T</w:t>
      </w:r>
      <w:r>
        <w:rPr>
          <w:bCs/>
          <w:color w:val="auto"/>
        </w:rPr>
        <w:t>——用于计算等效声级的时间，s；</w:t>
      </w:r>
    </w:p>
    <w:p w14:paraId="3071AEE0">
      <w:pPr>
        <w:ind w:firstLine="1200" w:firstLineChars="500"/>
        <w:rPr>
          <w:bCs/>
          <w:color w:val="auto"/>
        </w:rPr>
      </w:pPr>
      <w:r>
        <w:rPr>
          <w:bCs/>
          <w:i/>
          <w:iCs/>
          <w:color w:val="auto"/>
        </w:rPr>
        <w:t>N</w:t>
      </w:r>
      <w:r>
        <w:rPr>
          <w:bCs/>
          <w:color w:val="auto"/>
        </w:rPr>
        <w:t>——室外声源个数；</w:t>
      </w:r>
    </w:p>
    <w:p w14:paraId="144E9993">
      <w:pPr>
        <w:ind w:firstLine="1200" w:firstLineChars="500"/>
        <w:rPr>
          <w:bCs/>
          <w:color w:val="auto"/>
        </w:rPr>
      </w:pPr>
      <w:r>
        <w:rPr>
          <w:bCs/>
          <w:i/>
          <w:iCs/>
          <w:color w:val="auto"/>
        </w:rPr>
        <w:t>t</w:t>
      </w:r>
      <w:r>
        <w:rPr>
          <w:bCs/>
          <w:i/>
          <w:iCs/>
          <w:color w:val="auto"/>
          <w:vertAlign w:val="subscript"/>
        </w:rPr>
        <w:t>i</w:t>
      </w:r>
      <w:r>
        <w:rPr>
          <w:bCs/>
          <w:color w:val="auto"/>
        </w:rPr>
        <w:t>——在T时间内i声源工作时间，s；</w:t>
      </w:r>
    </w:p>
    <w:p w14:paraId="266659D8">
      <w:pPr>
        <w:ind w:firstLine="1200" w:firstLineChars="500"/>
        <w:rPr>
          <w:bCs/>
          <w:color w:val="auto"/>
        </w:rPr>
      </w:pPr>
      <w:r>
        <w:rPr>
          <w:bCs/>
          <w:i/>
          <w:iCs/>
          <w:color w:val="auto"/>
        </w:rPr>
        <w:t>M</w:t>
      </w:r>
      <w:r>
        <w:rPr>
          <w:bCs/>
          <w:color w:val="auto"/>
        </w:rPr>
        <w:t>——等效室外声源个数；</w:t>
      </w:r>
    </w:p>
    <w:p w14:paraId="3F918B36">
      <w:pPr>
        <w:ind w:firstLine="1200" w:firstLineChars="500"/>
        <w:rPr>
          <w:bCs/>
          <w:color w:val="auto"/>
        </w:rPr>
      </w:pPr>
      <w:r>
        <w:rPr>
          <w:bCs/>
          <w:i/>
          <w:iCs/>
          <w:color w:val="auto"/>
        </w:rPr>
        <w:t>j</w:t>
      </w:r>
      <w:r>
        <w:rPr>
          <w:bCs/>
          <w:i/>
          <w:iCs/>
          <w:color w:val="auto"/>
          <w:vertAlign w:val="subscript"/>
        </w:rPr>
        <w:t>t</w:t>
      </w:r>
      <w:r>
        <w:rPr>
          <w:bCs/>
          <w:color w:val="auto"/>
        </w:rPr>
        <w:t>——在T时间内j声源工作时间，s。</w:t>
      </w:r>
    </w:p>
    <w:p w14:paraId="4D9664FE">
      <w:pPr>
        <w:keepNext/>
        <w:keepLines/>
        <w:spacing w:before="120" w:beforeLines="50"/>
        <w:ind w:firstLine="0" w:firstLineChars="0"/>
        <w:outlineLvl w:val="3"/>
        <w:rPr>
          <w:b/>
          <w:bCs/>
          <w:color w:val="auto"/>
          <w:szCs w:val="32"/>
        </w:rPr>
      </w:pPr>
      <w:r>
        <w:rPr>
          <w:rFonts w:hint="eastAsia"/>
          <w:b/>
          <w:bCs/>
          <w:color w:val="auto"/>
          <w:szCs w:val="32"/>
        </w:rPr>
        <w:t>6</w:t>
      </w:r>
      <w:r>
        <w:rPr>
          <w:b/>
          <w:bCs/>
          <w:color w:val="auto"/>
          <w:szCs w:val="32"/>
        </w:rPr>
        <w:t>.2.3.2 预测结果</w:t>
      </w:r>
    </w:p>
    <w:p w14:paraId="1DAD3DF7">
      <w:pPr>
        <w:ind w:firstLine="480"/>
        <w:rPr>
          <w:color w:val="auto"/>
        </w:rPr>
      </w:pPr>
      <w:r>
        <w:rPr>
          <w:color w:val="auto"/>
        </w:rPr>
        <w:t>根据《环境影响评价技术导则 声环境》（HJ2.4-2021），需预测和评价建设项目运营期厂界噪声贡献值，评价其超标和达标情况，本项目厂界噪声贡献值见表</w:t>
      </w:r>
      <w:r>
        <w:rPr>
          <w:rFonts w:hint="eastAsia"/>
          <w:color w:val="auto"/>
        </w:rPr>
        <w:t>6.2.3-1</w:t>
      </w:r>
      <w:r>
        <w:rPr>
          <w:color w:val="auto"/>
        </w:rPr>
        <w:t>。</w:t>
      </w:r>
      <w:r>
        <w:rPr>
          <w:color w:val="auto"/>
        </w:rPr>
        <w:br w:type="page"/>
      </w:r>
    </w:p>
    <w:p w14:paraId="1A2EF078">
      <w:pPr>
        <w:spacing w:line="240" w:lineRule="auto"/>
        <w:ind w:firstLine="0" w:firstLineChars="0"/>
        <w:jc w:val="center"/>
        <w:rPr>
          <w:b/>
          <w:color w:val="auto"/>
          <w:szCs w:val="20"/>
        </w:rPr>
      </w:pPr>
      <w:r>
        <w:rPr>
          <w:b/>
          <w:color w:val="auto"/>
          <w:szCs w:val="20"/>
        </w:rPr>
        <w:t>表</w:t>
      </w:r>
      <w:r>
        <w:rPr>
          <w:rFonts w:hint="eastAsia"/>
          <w:b/>
          <w:color w:val="auto"/>
          <w:szCs w:val="20"/>
        </w:rPr>
        <w:t>6.2.3-1</w:t>
      </w:r>
      <w:r>
        <w:rPr>
          <w:b/>
          <w:color w:val="auto"/>
          <w:szCs w:val="20"/>
        </w:rPr>
        <w:t xml:space="preserve">  本项目厂界声环境质量预测结果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2207"/>
        <w:gridCol w:w="1540"/>
        <w:gridCol w:w="1839"/>
        <w:gridCol w:w="1501"/>
        <w:gridCol w:w="2199"/>
      </w:tblGrid>
      <w:tr w14:paraId="3F1D2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blHeader/>
          <w:jc w:val="center"/>
        </w:trPr>
        <w:tc>
          <w:tcPr>
            <w:tcW w:w="1189" w:type="pct"/>
            <w:vMerge w:val="restart"/>
            <w:vAlign w:val="center"/>
          </w:tcPr>
          <w:p w14:paraId="15CBE6DD">
            <w:pPr>
              <w:spacing w:line="240" w:lineRule="auto"/>
              <w:ind w:firstLine="0" w:firstLineChars="0"/>
              <w:jc w:val="center"/>
              <w:textAlignment w:val="baseline"/>
              <w:rPr>
                <w:b/>
                <w:bCs/>
                <w:color w:val="auto"/>
                <w:kern w:val="0"/>
                <w:sz w:val="21"/>
                <w:szCs w:val="21"/>
              </w:rPr>
            </w:pPr>
            <w:r>
              <w:rPr>
                <w:b/>
                <w:bCs/>
                <w:color w:val="auto"/>
                <w:kern w:val="0"/>
                <w:sz w:val="21"/>
                <w:szCs w:val="21"/>
              </w:rPr>
              <w:t>测点序号</w:t>
            </w:r>
          </w:p>
        </w:tc>
        <w:tc>
          <w:tcPr>
            <w:tcW w:w="1819" w:type="pct"/>
            <w:gridSpan w:val="2"/>
            <w:vAlign w:val="center"/>
          </w:tcPr>
          <w:p w14:paraId="4A6479C3">
            <w:pPr>
              <w:spacing w:line="240" w:lineRule="auto"/>
              <w:ind w:firstLine="0" w:firstLineChars="0"/>
              <w:jc w:val="center"/>
              <w:textAlignment w:val="baseline"/>
              <w:rPr>
                <w:b/>
                <w:bCs/>
                <w:color w:val="auto"/>
                <w:kern w:val="0"/>
                <w:sz w:val="21"/>
                <w:szCs w:val="21"/>
              </w:rPr>
            </w:pPr>
            <w:r>
              <w:rPr>
                <w:b/>
                <w:bCs/>
                <w:color w:val="auto"/>
                <w:kern w:val="0"/>
                <w:sz w:val="21"/>
                <w:szCs w:val="21"/>
              </w:rPr>
              <w:t>贡献值</w:t>
            </w:r>
          </w:p>
        </w:tc>
        <w:tc>
          <w:tcPr>
            <w:tcW w:w="808" w:type="pct"/>
            <w:vMerge w:val="restart"/>
            <w:vAlign w:val="center"/>
          </w:tcPr>
          <w:p w14:paraId="0BA000A4">
            <w:pPr>
              <w:spacing w:line="240" w:lineRule="auto"/>
              <w:ind w:firstLine="0" w:firstLineChars="0"/>
              <w:jc w:val="center"/>
              <w:textAlignment w:val="baseline"/>
              <w:rPr>
                <w:b/>
                <w:bCs/>
                <w:color w:val="auto"/>
                <w:kern w:val="0"/>
                <w:sz w:val="21"/>
                <w:szCs w:val="21"/>
              </w:rPr>
            </w:pPr>
            <w:r>
              <w:rPr>
                <w:b/>
                <w:bCs/>
                <w:color w:val="auto"/>
                <w:kern w:val="0"/>
                <w:sz w:val="21"/>
                <w:szCs w:val="21"/>
              </w:rPr>
              <w:t>标准dB(A)</w:t>
            </w:r>
          </w:p>
        </w:tc>
        <w:tc>
          <w:tcPr>
            <w:tcW w:w="1184" w:type="pct"/>
            <w:vMerge w:val="restart"/>
            <w:vAlign w:val="center"/>
          </w:tcPr>
          <w:p w14:paraId="14453C0B">
            <w:pPr>
              <w:spacing w:line="240" w:lineRule="auto"/>
              <w:ind w:firstLine="0" w:firstLineChars="0"/>
              <w:jc w:val="center"/>
              <w:textAlignment w:val="baseline"/>
              <w:rPr>
                <w:b/>
                <w:bCs/>
                <w:color w:val="auto"/>
                <w:kern w:val="0"/>
                <w:sz w:val="21"/>
                <w:szCs w:val="21"/>
              </w:rPr>
            </w:pPr>
            <w:r>
              <w:rPr>
                <w:b/>
                <w:bCs/>
                <w:color w:val="auto"/>
                <w:kern w:val="0"/>
                <w:sz w:val="21"/>
                <w:szCs w:val="21"/>
              </w:rPr>
              <w:t>达标分析</w:t>
            </w:r>
          </w:p>
        </w:tc>
      </w:tr>
      <w:tr w14:paraId="0F8EE7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blHeader/>
          <w:jc w:val="center"/>
        </w:trPr>
        <w:tc>
          <w:tcPr>
            <w:tcW w:w="1189" w:type="pct"/>
            <w:vMerge w:val="continue"/>
            <w:vAlign w:val="center"/>
          </w:tcPr>
          <w:p w14:paraId="5CB1DEF0">
            <w:pPr>
              <w:spacing w:line="240" w:lineRule="auto"/>
              <w:ind w:firstLine="0" w:firstLineChars="0"/>
              <w:jc w:val="center"/>
              <w:textAlignment w:val="baseline"/>
              <w:rPr>
                <w:b/>
                <w:bCs/>
                <w:color w:val="auto"/>
                <w:kern w:val="0"/>
                <w:sz w:val="21"/>
                <w:szCs w:val="21"/>
              </w:rPr>
            </w:pPr>
          </w:p>
        </w:tc>
        <w:tc>
          <w:tcPr>
            <w:tcW w:w="829" w:type="pct"/>
            <w:vAlign w:val="center"/>
          </w:tcPr>
          <w:p w14:paraId="2EC28111">
            <w:pPr>
              <w:spacing w:line="240" w:lineRule="auto"/>
              <w:ind w:firstLine="0" w:firstLineChars="0"/>
              <w:jc w:val="center"/>
              <w:textAlignment w:val="baseline"/>
              <w:rPr>
                <w:b/>
                <w:bCs/>
                <w:color w:val="auto"/>
                <w:kern w:val="0"/>
                <w:sz w:val="21"/>
                <w:szCs w:val="21"/>
              </w:rPr>
            </w:pPr>
            <w:r>
              <w:rPr>
                <w:b/>
                <w:bCs/>
                <w:color w:val="auto"/>
                <w:kern w:val="0"/>
                <w:sz w:val="21"/>
                <w:szCs w:val="21"/>
              </w:rPr>
              <w:t>昼间dB(A)</w:t>
            </w:r>
          </w:p>
        </w:tc>
        <w:tc>
          <w:tcPr>
            <w:tcW w:w="990" w:type="pct"/>
            <w:vAlign w:val="center"/>
          </w:tcPr>
          <w:p w14:paraId="76DE47E2">
            <w:pPr>
              <w:spacing w:line="240" w:lineRule="auto"/>
              <w:ind w:firstLine="0" w:firstLineChars="0"/>
              <w:jc w:val="center"/>
              <w:textAlignment w:val="baseline"/>
              <w:rPr>
                <w:b/>
                <w:bCs/>
                <w:color w:val="auto"/>
                <w:kern w:val="0"/>
                <w:sz w:val="21"/>
                <w:szCs w:val="21"/>
              </w:rPr>
            </w:pPr>
            <w:r>
              <w:rPr>
                <w:b/>
                <w:bCs/>
                <w:color w:val="auto"/>
                <w:kern w:val="0"/>
                <w:sz w:val="21"/>
                <w:szCs w:val="21"/>
              </w:rPr>
              <w:t>夜间dB(A)</w:t>
            </w:r>
          </w:p>
        </w:tc>
        <w:tc>
          <w:tcPr>
            <w:tcW w:w="808" w:type="pct"/>
            <w:vMerge w:val="continue"/>
            <w:vAlign w:val="center"/>
          </w:tcPr>
          <w:p w14:paraId="487899B8">
            <w:pPr>
              <w:spacing w:line="240" w:lineRule="auto"/>
              <w:ind w:firstLine="0" w:firstLineChars="0"/>
              <w:jc w:val="center"/>
              <w:textAlignment w:val="baseline"/>
              <w:rPr>
                <w:b/>
                <w:bCs/>
                <w:color w:val="auto"/>
                <w:kern w:val="0"/>
                <w:sz w:val="21"/>
                <w:szCs w:val="21"/>
              </w:rPr>
            </w:pPr>
          </w:p>
        </w:tc>
        <w:tc>
          <w:tcPr>
            <w:tcW w:w="1184" w:type="pct"/>
            <w:vMerge w:val="continue"/>
            <w:vAlign w:val="center"/>
          </w:tcPr>
          <w:p w14:paraId="55AE01FB">
            <w:pPr>
              <w:spacing w:line="240" w:lineRule="auto"/>
              <w:ind w:firstLine="0" w:firstLineChars="0"/>
              <w:jc w:val="center"/>
              <w:textAlignment w:val="baseline"/>
              <w:rPr>
                <w:b/>
                <w:bCs/>
                <w:color w:val="auto"/>
                <w:kern w:val="0"/>
                <w:sz w:val="21"/>
                <w:szCs w:val="21"/>
              </w:rPr>
            </w:pPr>
          </w:p>
        </w:tc>
      </w:tr>
      <w:tr w14:paraId="4A3012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jc w:val="center"/>
        </w:trPr>
        <w:tc>
          <w:tcPr>
            <w:tcW w:w="1189" w:type="pct"/>
            <w:vAlign w:val="center"/>
          </w:tcPr>
          <w:p w14:paraId="785CB9D6">
            <w:pPr>
              <w:spacing w:line="240" w:lineRule="auto"/>
              <w:ind w:firstLine="0" w:firstLineChars="0"/>
              <w:jc w:val="center"/>
              <w:rPr>
                <w:color w:val="auto"/>
                <w:sz w:val="21"/>
                <w:szCs w:val="21"/>
              </w:rPr>
            </w:pPr>
            <w:r>
              <w:rPr>
                <w:color w:val="auto"/>
                <w:kern w:val="0"/>
                <w:sz w:val="21"/>
                <w:szCs w:val="21"/>
              </w:rPr>
              <w:t>N1厂界东侧外1m</w:t>
            </w:r>
          </w:p>
        </w:tc>
        <w:tc>
          <w:tcPr>
            <w:tcW w:w="829" w:type="pct"/>
            <w:vAlign w:val="center"/>
          </w:tcPr>
          <w:p w14:paraId="18523CD5">
            <w:pPr>
              <w:widowControl/>
              <w:spacing w:line="240" w:lineRule="auto"/>
              <w:ind w:firstLine="0" w:firstLineChars="0"/>
              <w:jc w:val="center"/>
              <w:rPr>
                <w:color w:val="auto"/>
                <w:sz w:val="22"/>
              </w:rPr>
            </w:pPr>
            <w:r>
              <w:rPr>
                <w:color w:val="auto"/>
                <w:sz w:val="22"/>
              </w:rPr>
              <w:t>46.3</w:t>
            </w:r>
          </w:p>
        </w:tc>
        <w:tc>
          <w:tcPr>
            <w:tcW w:w="990" w:type="pct"/>
            <w:vAlign w:val="center"/>
          </w:tcPr>
          <w:p w14:paraId="25F4750C">
            <w:pPr>
              <w:widowControl/>
              <w:spacing w:line="240" w:lineRule="auto"/>
              <w:ind w:firstLine="0" w:firstLineChars="0"/>
              <w:jc w:val="center"/>
              <w:rPr>
                <w:color w:val="auto"/>
                <w:sz w:val="22"/>
              </w:rPr>
            </w:pPr>
            <w:r>
              <w:rPr>
                <w:color w:val="auto"/>
                <w:sz w:val="22"/>
              </w:rPr>
              <w:t>46.3</w:t>
            </w:r>
          </w:p>
        </w:tc>
        <w:tc>
          <w:tcPr>
            <w:tcW w:w="808" w:type="pct"/>
            <w:vMerge w:val="restart"/>
            <w:vAlign w:val="center"/>
          </w:tcPr>
          <w:p w14:paraId="2E3B13A5">
            <w:pPr>
              <w:widowControl/>
              <w:spacing w:line="240" w:lineRule="auto"/>
              <w:ind w:firstLine="0" w:firstLineChars="0"/>
              <w:jc w:val="center"/>
              <w:rPr>
                <w:color w:val="auto"/>
                <w:sz w:val="21"/>
                <w:szCs w:val="21"/>
              </w:rPr>
            </w:pPr>
            <w:r>
              <w:rPr>
                <w:color w:val="auto"/>
                <w:sz w:val="21"/>
                <w:szCs w:val="21"/>
              </w:rPr>
              <w:t>昼间：65</w:t>
            </w:r>
          </w:p>
          <w:p w14:paraId="2B6D62F4">
            <w:pPr>
              <w:widowControl/>
              <w:spacing w:line="240" w:lineRule="auto"/>
              <w:ind w:firstLine="0" w:firstLineChars="0"/>
              <w:jc w:val="center"/>
              <w:rPr>
                <w:color w:val="auto"/>
                <w:sz w:val="21"/>
                <w:szCs w:val="21"/>
              </w:rPr>
            </w:pPr>
            <w:r>
              <w:rPr>
                <w:color w:val="auto"/>
                <w:sz w:val="21"/>
                <w:szCs w:val="21"/>
              </w:rPr>
              <w:t>夜间：55</w:t>
            </w:r>
          </w:p>
        </w:tc>
        <w:tc>
          <w:tcPr>
            <w:tcW w:w="1184" w:type="pct"/>
            <w:vAlign w:val="center"/>
          </w:tcPr>
          <w:p w14:paraId="1E7A0575">
            <w:pPr>
              <w:widowControl/>
              <w:spacing w:line="240" w:lineRule="auto"/>
              <w:ind w:firstLine="0" w:firstLineChars="0"/>
              <w:jc w:val="center"/>
              <w:textAlignment w:val="baseline"/>
              <w:rPr>
                <w:color w:val="auto"/>
                <w:sz w:val="21"/>
                <w:szCs w:val="21"/>
              </w:rPr>
            </w:pPr>
            <w:r>
              <w:rPr>
                <w:color w:val="auto"/>
                <w:sz w:val="21"/>
                <w:szCs w:val="21"/>
              </w:rPr>
              <w:t>达标</w:t>
            </w:r>
          </w:p>
        </w:tc>
      </w:tr>
      <w:tr w14:paraId="41A048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jc w:val="center"/>
        </w:trPr>
        <w:tc>
          <w:tcPr>
            <w:tcW w:w="1189" w:type="pct"/>
            <w:vAlign w:val="center"/>
          </w:tcPr>
          <w:p w14:paraId="31494107">
            <w:pPr>
              <w:spacing w:line="240" w:lineRule="auto"/>
              <w:ind w:firstLine="0" w:firstLineChars="0"/>
              <w:jc w:val="center"/>
              <w:rPr>
                <w:color w:val="auto"/>
                <w:sz w:val="21"/>
                <w:szCs w:val="21"/>
              </w:rPr>
            </w:pPr>
            <w:r>
              <w:rPr>
                <w:color w:val="auto"/>
                <w:kern w:val="0"/>
                <w:sz w:val="21"/>
                <w:szCs w:val="21"/>
              </w:rPr>
              <w:t>N2厂界南侧外1m</w:t>
            </w:r>
          </w:p>
        </w:tc>
        <w:tc>
          <w:tcPr>
            <w:tcW w:w="829" w:type="pct"/>
            <w:vAlign w:val="center"/>
          </w:tcPr>
          <w:p w14:paraId="62507CA3">
            <w:pPr>
              <w:widowControl/>
              <w:spacing w:line="240" w:lineRule="auto"/>
              <w:ind w:firstLine="0" w:firstLineChars="0"/>
              <w:jc w:val="center"/>
              <w:rPr>
                <w:color w:val="auto"/>
                <w:sz w:val="22"/>
              </w:rPr>
            </w:pPr>
            <w:r>
              <w:rPr>
                <w:color w:val="auto"/>
                <w:sz w:val="22"/>
              </w:rPr>
              <w:t>45.5</w:t>
            </w:r>
          </w:p>
        </w:tc>
        <w:tc>
          <w:tcPr>
            <w:tcW w:w="990" w:type="pct"/>
            <w:vAlign w:val="center"/>
          </w:tcPr>
          <w:p w14:paraId="44CA63EA">
            <w:pPr>
              <w:widowControl/>
              <w:spacing w:line="240" w:lineRule="auto"/>
              <w:ind w:firstLine="0" w:firstLineChars="0"/>
              <w:jc w:val="center"/>
              <w:rPr>
                <w:color w:val="auto"/>
                <w:sz w:val="22"/>
              </w:rPr>
            </w:pPr>
            <w:r>
              <w:rPr>
                <w:color w:val="auto"/>
                <w:sz w:val="22"/>
              </w:rPr>
              <w:t>45.5</w:t>
            </w:r>
          </w:p>
        </w:tc>
        <w:tc>
          <w:tcPr>
            <w:tcW w:w="808" w:type="pct"/>
            <w:vMerge w:val="continue"/>
            <w:vAlign w:val="center"/>
          </w:tcPr>
          <w:p w14:paraId="2367D4A9">
            <w:pPr>
              <w:widowControl/>
              <w:spacing w:line="240" w:lineRule="auto"/>
              <w:ind w:firstLine="0" w:firstLineChars="0"/>
              <w:jc w:val="center"/>
              <w:rPr>
                <w:color w:val="auto"/>
                <w:sz w:val="21"/>
                <w:szCs w:val="21"/>
              </w:rPr>
            </w:pPr>
          </w:p>
        </w:tc>
        <w:tc>
          <w:tcPr>
            <w:tcW w:w="1184" w:type="pct"/>
            <w:vAlign w:val="center"/>
          </w:tcPr>
          <w:p w14:paraId="61562A43">
            <w:pPr>
              <w:widowControl/>
              <w:spacing w:line="240" w:lineRule="auto"/>
              <w:ind w:firstLine="0" w:firstLineChars="0"/>
              <w:jc w:val="center"/>
              <w:textAlignment w:val="baseline"/>
              <w:rPr>
                <w:color w:val="auto"/>
                <w:sz w:val="21"/>
                <w:szCs w:val="21"/>
              </w:rPr>
            </w:pPr>
            <w:r>
              <w:rPr>
                <w:color w:val="auto"/>
                <w:sz w:val="21"/>
                <w:szCs w:val="21"/>
              </w:rPr>
              <w:t>达标</w:t>
            </w:r>
          </w:p>
        </w:tc>
      </w:tr>
      <w:tr w14:paraId="6481E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jc w:val="center"/>
        </w:trPr>
        <w:tc>
          <w:tcPr>
            <w:tcW w:w="1189" w:type="pct"/>
            <w:vAlign w:val="center"/>
          </w:tcPr>
          <w:p w14:paraId="3D0A0927">
            <w:pPr>
              <w:spacing w:line="240" w:lineRule="auto"/>
              <w:ind w:firstLine="0" w:firstLineChars="0"/>
              <w:jc w:val="center"/>
              <w:rPr>
                <w:color w:val="auto"/>
                <w:kern w:val="44"/>
                <w:sz w:val="21"/>
                <w:szCs w:val="21"/>
              </w:rPr>
            </w:pPr>
            <w:r>
              <w:rPr>
                <w:color w:val="auto"/>
                <w:kern w:val="0"/>
                <w:sz w:val="21"/>
                <w:szCs w:val="21"/>
              </w:rPr>
              <w:t>N3厂界西侧外1m</w:t>
            </w:r>
          </w:p>
        </w:tc>
        <w:tc>
          <w:tcPr>
            <w:tcW w:w="829" w:type="pct"/>
            <w:vAlign w:val="center"/>
          </w:tcPr>
          <w:p w14:paraId="450DEEEA">
            <w:pPr>
              <w:widowControl/>
              <w:spacing w:line="240" w:lineRule="auto"/>
              <w:ind w:firstLine="0" w:firstLineChars="0"/>
              <w:jc w:val="center"/>
              <w:rPr>
                <w:color w:val="auto"/>
                <w:sz w:val="22"/>
              </w:rPr>
            </w:pPr>
            <w:r>
              <w:rPr>
                <w:color w:val="auto"/>
                <w:sz w:val="22"/>
              </w:rPr>
              <w:t>47.2</w:t>
            </w:r>
          </w:p>
        </w:tc>
        <w:tc>
          <w:tcPr>
            <w:tcW w:w="990" w:type="pct"/>
            <w:vAlign w:val="center"/>
          </w:tcPr>
          <w:p w14:paraId="4293675E">
            <w:pPr>
              <w:widowControl/>
              <w:spacing w:line="240" w:lineRule="auto"/>
              <w:ind w:firstLine="0" w:firstLineChars="0"/>
              <w:jc w:val="center"/>
              <w:rPr>
                <w:color w:val="auto"/>
                <w:sz w:val="22"/>
              </w:rPr>
            </w:pPr>
            <w:r>
              <w:rPr>
                <w:color w:val="auto"/>
                <w:sz w:val="22"/>
              </w:rPr>
              <w:t>47.2</w:t>
            </w:r>
          </w:p>
        </w:tc>
        <w:tc>
          <w:tcPr>
            <w:tcW w:w="808" w:type="pct"/>
            <w:vMerge w:val="continue"/>
            <w:vAlign w:val="center"/>
          </w:tcPr>
          <w:p w14:paraId="2BF14B41">
            <w:pPr>
              <w:widowControl/>
              <w:spacing w:line="240" w:lineRule="auto"/>
              <w:ind w:firstLine="0" w:firstLineChars="0"/>
              <w:jc w:val="center"/>
              <w:rPr>
                <w:color w:val="auto"/>
                <w:sz w:val="21"/>
                <w:szCs w:val="21"/>
              </w:rPr>
            </w:pPr>
          </w:p>
        </w:tc>
        <w:tc>
          <w:tcPr>
            <w:tcW w:w="1184" w:type="pct"/>
            <w:vAlign w:val="center"/>
          </w:tcPr>
          <w:p w14:paraId="62E0C8BD">
            <w:pPr>
              <w:widowControl/>
              <w:spacing w:line="240" w:lineRule="auto"/>
              <w:ind w:firstLine="0" w:firstLineChars="0"/>
              <w:jc w:val="center"/>
              <w:textAlignment w:val="baseline"/>
              <w:rPr>
                <w:color w:val="auto"/>
                <w:sz w:val="21"/>
                <w:szCs w:val="21"/>
              </w:rPr>
            </w:pPr>
            <w:r>
              <w:rPr>
                <w:color w:val="auto"/>
                <w:sz w:val="21"/>
                <w:szCs w:val="21"/>
              </w:rPr>
              <w:t>达标</w:t>
            </w:r>
          </w:p>
        </w:tc>
      </w:tr>
      <w:tr w14:paraId="7E5DD3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jc w:val="center"/>
        </w:trPr>
        <w:tc>
          <w:tcPr>
            <w:tcW w:w="1189" w:type="pct"/>
            <w:vAlign w:val="center"/>
          </w:tcPr>
          <w:p w14:paraId="66E6DFF5">
            <w:pPr>
              <w:spacing w:line="240" w:lineRule="auto"/>
              <w:ind w:firstLine="0" w:firstLineChars="0"/>
              <w:jc w:val="center"/>
              <w:rPr>
                <w:color w:val="auto"/>
                <w:kern w:val="44"/>
                <w:sz w:val="21"/>
                <w:szCs w:val="21"/>
              </w:rPr>
            </w:pPr>
            <w:r>
              <w:rPr>
                <w:color w:val="auto"/>
                <w:kern w:val="0"/>
                <w:sz w:val="21"/>
                <w:szCs w:val="21"/>
              </w:rPr>
              <w:t>N4厂界北侧外1m</w:t>
            </w:r>
          </w:p>
        </w:tc>
        <w:tc>
          <w:tcPr>
            <w:tcW w:w="829" w:type="pct"/>
            <w:vAlign w:val="center"/>
          </w:tcPr>
          <w:p w14:paraId="422AB6C2">
            <w:pPr>
              <w:widowControl/>
              <w:spacing w:line="240" w:lineRule="auto"/>
              <w:ind w:firstLine="0" w:firstLineChars="0"/>
              <w:jc w:val="center"/>
              <w:rPr>
                <w:color w:val="auto"/>
                <w:sz w:val="22"/>
              </w:rPr>
            </w:pPr>
            <w:r>
              <w:rPr>
                <w:color w:val="auto"/>
                <w:sz w:val="22"/>
              </w:rPr>
              <w:t>48.7</w:t>
            </w:r>
          </w:p>
        </w:tc>
        <w:tc>
          <w:tcPr>
            <w:tcW w:w="990" w:type="pct"/>
            <w:vAlign w:val="center"/>
          </w:tcPr>
          <w:p w14:paraId="7BB21ADF">
            <w:pPr>
              <w:widowControl/>
              <w:spacing w:line="240" w:lineRule="auto"/>
              <w:ind w:firstLine="0" w:firstLineChars="0"/>
              <w:jc w:val="center"/>
              <w:rPr>
                <w:color w:val="auto"/>
                <w:sz w:val="22"/>
              </w:rPr>
            </w:pPr>
            <w:r>
              <w:rPr>
                <w:color w:val="auto"/>
                <w:sz w:val="22"/>
              </w:rPr>
              <w:t>48.7</w:t>
            </w:r>
          </w:p>
        </w:tc>
        <w:tc>
          <w:tcPr>
            <w:tcW w:w="808" w:type="pct"/>
            <w:vMerge w:val="continue"/>
            <w:vAlign w:val="center"/>
          </w:tcPr>
          <w:p w14:paraId="7ABDDA83">
            <w:pPr>
              <w:widowControl/>
              <w:spacing w:line="240" w:lineRule="auto"/>
              <w:ind w:firstLine="0" w:firstLineChars="0"/>
              <w:jc w:val="center"/>
              <w:rPr>
                <w:color w:val="auto"/>
                <w:sz w:val="21"/>
                <w:szCs w:val="21"/>
              </w:rPr>
            </w:pPr>
          </w:p>
        </w:tc>
        <w:tc>
          <w:tcPr>
            <w:tcW w:w="1184" w:type="pct"/>
            <w:vAlign w:val="center"/>
          </w:tcPr>
          <w:p w14:paraId="6074DD62">
            <w:pPr>
              <w:widowControl/>
              <w:spacing w:line="240" w:lineRule="auto"/>
              <w:ind w:firstLine="0" w:firstLineChars="0"/>
              <w:jc w:val="center"/>
              <w:textAlignment w:val="baseline"/>
              <w:rPr>
                <w:color w:val="auto"/>
                <w:sz w:val="21"/>
                <w:szCs w:val="21"/>
              </w:rPr>
            </w:pPr>
            <w:r>
              <w:rPr>
                <w:color w:val="auto"/>
                <w:sz w:val="21"/>
                <w:szCs w:val="21"/>
              </w:rPr>
              <w:t>达标</w:t>
            </w:r>
          </w:p>
        </w:tc>
      </w:tr>
    </w:tbl>
    <w:p w14:paraId="70988822">
      <w:pPr>
        <w:pStyle w:val="2241"/>
        <w:ind w:firstLine="0" w:firstLineChars="0"/>
        <w:jc w:val="both"/>
        <w:rPr>
          <w:rFonts w:ascii="Times New Roman" w:hAnsi="Times New Roman" w:cs="Times New Roman"/>
          <w:color w:val="auto"/>
        </w:rPr>
      </w:pPr>
      <w:r>
        <w:rPr>
          <w:rFonts w:ascii="Times New Roman" w:hAnsi="Times New Roman" w:cs="Times New Roman"/>
          <w:b/>
          <w:bCs/>
          <w:color w:val="auto"/>
        </w:rPr>
        <w:t>*注</w:t>
      </w:r>
      <w:r>
        <w:rPr>
          <w:rFonts w:ascii="Times New Roman" w:hAnsi="Times New Roman" w:cs="Times New Roman"/>
          <w:color w:val="auto"/>
        </w:rPr>
        <w:t>：背景值取每个监测点的检测期间最大值。</w:t>
      </w:r>
    </w:p>
    <w:p w14:paraId="26AB7A90">
      <w:pPr>
        <w:pStyle w:val="2241"/>
        <w:jc w:val="both"/>
        <w:rPr>
          <w:rFonts w:ascii="Times New Roman" w:hAnsi="Times New Roman" w:cs="Times New Roman"/>
          <w:color w:val="auto"/>
        </w:rPr>
      </w:pPr>
      <w:r>
        <w:rPr>
          <w:rFonts w:ascii="Times New Roman" w:hAnsi="Times New Roman" w:cs="Times New Roman"/>
          <w:color w:val="auto"/>
        </w:rPr>
        <w:t>根据预测结果可知，各厂界噪声预测值可以达到《工业企业厂界环境噪声排放标准》（GB12348-2008）中的3类标准要求。因此，本项目排放的噪声对周围声环境影响较小。</w:t>
      </w:r>
    </w:p>
    <w:p w14:paraId="1B89A3AE">
      <w:pPr>
        <w:spacing w:before="120" w:beforeLines="50"/>
        <w:ind w:firstLine="0" w:firstLineChars="0"/>
        <w:outlineLvl w:val="3"/>
        <w:rPr>
          <w:b/>
          <w:bCs/>
          <w:snapToGrid w:val="0"/>
          <w:color w:val="auto"/>
          <w:kern w:val="0"/>
        </w:rPr>
      </w:pPr>
      <w:r>
        <w:rPr>
          <w:rFonts w:hint="eastAsia"/>
          <w:b/>
          <w:bCs/>
          <w:snapToGrid w:val="0"/>
          <w:color w:val="auto"/>
          <w:kern w:val="0"/>
        </w:rPr>
        <w:t>6.2</w:t>
      </w:r>
      <w:r>
        <w:rPr>
          <w:b/>
          <w:bCs/>
          <w:snapToGrid w:val="0"/>
          <w:color w:val="auto"/>
          <w:kern w:val="0"/>
        </w:rPr>
        <w:t>.3.3 声环境影响评价自查表</w:t>
      </w:r>
    </w:p>
    <w:p w14:paraId="0A591AFD">
      <w:pPr>
        <w:pStyle w:val="1356"/>
        <w:ind w:firstLine="480"/>
        <w:rPr>
          <w:color w:val="auto"/>
        </w:rPr>
      </w:pPr>
      <w:r>
        <w:rPr>
          <w:color w:val="auto"/>
        </w:rPr>
        <w:t>本项目声环境自查表见表</w:t>
      </w:r>
      <w:r>
        <w:rPr>
          <w:rFonts w:hint="eastAsia"/>
          <w:color w:val="auto"/>
        </w:rPr>
        <w:t>6.2.3-2</w:t>
      </w:r>
      <w:r>
        <w:rPr>
          <w:color w:val="auto"/>
        </w:rPr>
        <w:t>。</w:t>
      </w:r>
    </w:p>
    <w:p w14:paraId="176D080C">
      <w:pPr>
        <w:spacing w:line="240" w:lineRule="auto"/>
        <w:ind w:firstLine="0" w:firstLineChars="0"/>
        <w:jc w:val="center"/>
        <w:rPr>
          <w:b/>
          <w:color w:val="auto"/>
          <w:szCs w:val="20"/>
        </w:rPr>
      </w:pPr>
      <w:r>
        <w:rPr>
          <w:b/>
          <w:color w:val="auto"/>
          <w:szCs w:val="20"/>
        </w:rPr>
        <w:t>表</w:t>
      </w:r>
      <w:r>
        <w:rPr>
          <w:rFonts w:hint="eastAsia"/>
          <w:b/>
          <w:color w:val="auto"/>
          <w:szCs w:val="20"/>
        </w:rPr>
        <w:t>6.2.3-2</w:t>
      </w:r>
      <w:r>
        <w:rPr>
          <w:b/>
          <w:color w:val="auto"/>
          <w:szCs w:val="20"/>
        </w:rPr>
        <w:t xml:space="preserve">  声环境影响评价自查表</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1533"/>
        <w:gridCol w:w="994"/>
        <w:gridCol w:w="555"/>
        <w:gridCol w:w="555"/>
        <w:gridCol w:w="1081"/>
        <w:gridCol w:w="686"/>
        <w:gridCol w:w="450"/>
        <w:gridCol w:w="555"/>
        <w:gridCol w:w="513"/>
        <w:gridCol w:w="1134"/>
      </w:tblGrid>
      <w:tr w14:paraId="0EB62C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1404" w:type="pct"/>
            <w:gridSpan w:val="2"/>
            <w:vAlign w:val="center"/>
          </w:tcPr>
          <w:p w14:paraId="4CDA674F">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rPr>
              <w:t>工作内容</w:t>
            </w:r>
          </w:p>
        </w:tc>
        <w:tc>
          <w:tcPr>
            <w:tcW w:w="3596" w:type="pct"/>
            <w:gridSpan w:val="9"/>
            <w:vAlign w:val="center"/>
          </w:tcPr>
          <w:p w14:paraId="71BA2F51">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rPr>
              <w:t>自查项目</w:t>
            </w:r>
          </w:p>
        </w:tc>
      </w:tr>
      <w:tr w14:paraId="44C02B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restart"/>
            <w:vAlign w:val="center"/>
          </w:tcPr>
          <w:p w14:paraId="7DDC418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评价等级与范围</w:t>
            </w:r>
          </w:p>
        </w:tc>
        <w:tc>
          <w:tcPr>
            <w:tcW w:w="845" w:type="pct"/>
            <w:vAlign w:val="center"/>
          </w:tcPr>
          <w:p w14:paraId="05CA0A9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评价等级</w:t>
            </w:r>
          </w:p>
        </w:tc>
        <w:tc>
          <w:tcPr>
            <w:tcW w:w="3596" w:type="pct"/>
            <w:gridSpan w:val="9"/>
            <w:vAlign w:val="center"/>
          </w:tcPr>
          <w:p w14:paraId="33043DB6">
            <w:pPr>
              <w:tabs>
                <w:tab w:val="left" w:pos="2103"/>
                <w:tab w:val="left" w:pos="3635"/>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一级□</w:t>
            </w:r>
            <w:r>
              <w:rPr>
                <w:color w:val="auto"/>
                <w:kern w:val="0"/>
                <w:sz w:val="21"/>
                <w:szCs w:val="21"/>
              </w:rPr>
              <w:tab/>
            </w:r>
            <w:r>
              <w:rPr>
                <w:color w:val="auto"/>
                <w:kern w:val="0"/>
                <w:sz w:val="21"/>
                <w:szCs w:val="21"/>
              </w:rPr>
              <w:t>二级☑</w:t>
            </w:r>
            <w:r>
              <w:rPr>
                <w:color w:val="auto"/>
                <w:kern w:val="0"/>
                <w:sz w:val="21"/>
                <w:szCs w:val="21"/>
              </w:rPr>
              <w:tab/>
            </w:r>
            <w:r>
              <w:rPr>
                <w:color w:val="auto"/>
                <w:kern w:val="0"/>
                <w:sz w:val="21"/>
                <w:szCs w:val="21"/>
              </w:rPr>
              <w:t>三级□</w:t>
            </w:r>
          </w:p>
        </w:tc>
      </w:tr>
      <w:tr w14:paraId="685C74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1B468405">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7B437FA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评价范围</w:t>
            </w:r>
          </w:p>
        </w:tc>
        <w:tc>
          <w:tcPr>
            <w:tcW w:w="3596" w:type="pct"/>
            <w:gridSpan w:val="9"/>
            <w:vAlign w:val="center"/>
          </w:tcPr>
          <w:p w14:paraId="6784AFE3">
            <w:pPr>
              <w:tabs>
                <w:tab w:val="left" w:pos="2384"/>
                <w:tab w:val="left" w:pos="5315"/>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200m☑</w:t>
            </w:r>
            <w:r>
              <w:rPr>
                <w:color w:val="auto"/>
                <w:kern w:val="0"/>
                <w:sz w:val="21"/>
                <w:szCs w:val="21"/>
              </w:rPr>
              <w:tab/>
            </w:r>
            <w:r>
              <w:rPr>
                <w:color w:val="auto"/>
                <w:kern w:val="0"/>
                <w:sz w:val="21"/>
                <w:szCs w:val="21"/>
              </w:rPr>
              <w:t>大于200m□</w:t>
            </w:r>
            <w:r>
              <w:rPr>
                <w:color w:val="auto"/>
                <w:kern w:val="0"/>
                <w:sz w:val="21"/>
                <w:szCs w:val="21"/>
              </w:rPr>
              <w:tab/>
            </w:r>
            <w:r>
              <w:rPr>
                <w:color w:val="auto"/>
                <w:kern w:val="0"/>
                <w:sz w:val="21"/>
                <w:szCs w:val="21"/>
              </w:rPr>
              <w:t>小于200m□</w:t>
            </w:r>
          </w:p>
        </w:tc>
      </w:tr>
      <w:tr w14:paraId="39AD7F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Align w:val="center"/>
          </w:tcPr>
          <w:p w14:paraId="3DE689D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评价因子</w:t>
            </w:r>
          </w:p>
        </w:tc>
        <w:tc>
          <w:tcPr>
            <w:tcW w:w="845" w:type="pct"/>
            <w:vAlign w:val="center"/>
          </w:tcPr>
          <w:p w14:paraId="5042A4B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评价因子</w:t>
            </w:r>
          </w:p>
        </w:tc>
        <w:tc>
          <w:tcPr>
            <w:tcW w:w="1160" w:type="pct"/>
            <w:gridSpan w:val="3"/>
            <w:vAlign w:val="center"/>
          </w:tcPr>
          <w:p w14:paraId="27B6EA3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等效连续A声级☑</w:t>
            </w:r>
          </w:p>
        </w:tc>
        <w:tc>
          <w:tcPr>
            <w:tcW w:w="974" w:type="pct"/>
            <w:gridSpan w:val="2"/>
            <w:vAlign w:val="center"/>
          </w:tcPr>
          <w:p w14:paraId="2F44D824">
            <w:pPr>
              <w:kinsoku w:val="0"/>
              <w:overflowPunct w:val="0"/>
              <w:autoSpaceDE w:val="0"/>
              <w:autoSpaceDN w:val="0"/>
              <w:spacing w:line="240" w:lineRule="auto"/>
              <w:ind w:firstLine="0" w:firstLineChars="0"/>
              <w:jc w:val="center"/>
              <w:rPr>
                <w:color w:val="auto"/>
                <w:w w:val="95"/>
                <w:kern w:val="0"/>
                <w:sz w:val="21"/>
                <w:szCs w:val="21"/>
              </w:rPr>
            </w:pPr>
            <w:r>
              <w:rPr>
                <w:color w:val="auto"/>
                <w:w w:val="95"/>
                <w:kern w:val="0"/>
                <w:sz w:val="21"/>
                <w:szCs w:val="21"/>
              </w:rPr>
              <w:t>最大A声级□</w:t>
            </w:r>
          </w:p>
        </w:tc>
        <w:tc>
          <w:tcPr>
            <w:tcW w:w="1462" w:type="pct"/>
            <w:gridSpan w:val="4"/>
            <w:vAlign w:val="center"/>
          </w:tcPr>
          <w:p w14:paraId="7F24967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计权等效连续感觉噪声级□</w:t>
            </w:r>
          </w:p>
        </w:tc>
      </w:tr>
      <w:tr w14:paraId="07C87A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Align w:val="center"/>
          </w:tcPr>
          <w:p w14:paraId="4FEF8FC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评价标准</w:t>
            </w:r>
          </w:p>
        </w:tc>
        <w:tc>
          <w:tcPr>
            <w:tcW w:w="845" w:type="pct"/>
            <w:vAlign w:val="center"/>
          </w:tcPr>
          <w:p w14:paraId="346C9E4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评价标准</w:t>
            </w:r>
          </w:p>
        </w:tc>
        <w:tc>
          <w:tcPr>
            <w:tcW w:w="1160" w:type="pct"/>
            <w:gridSpan w:val="3"/>
            <w:vAlign w:val="center"/>
          </w:tcPr>
          <w:p w14:paraId="460054A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国家标准☑</w:t>
            </w:r>
          </w:p>
        </w:tc>
        <w:tc>
          <w:tcPr>
            <w:tcW w:w="1222" w:type="pct"/>
            <w:gridSpan w:val="3"/>
            <w:vAlign w:val="center"/>
          </w:tcPr>
          <w:p w14:paraId="15BD064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地方标准□</w:t>
            </w:r>
          </w:p>
        </w:tc>
        <w:tc>
          <w:tcPr>
            <w:tcW w:w="1214" w:type="pct"/>
            <w:gridSpan w:val="3"/>
            <w:vAlign w:val="center"/>
          </w:tcPr>
          <w:p w14:paraId="0FA6A9B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国外标准□</w:t>
            </w:r>
          </w:p>
        </w:tc>
      </w:tr>
      <w:tr w14:paraId="37E36C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restart"/>
            <w:vAlign w:val="center"/>
          </w:tcPr>
          <w:p w14:paraId="311F27E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现状评价</w:t>
            </w:r>
          </w:p>
        </w:tc>
        <w:tc>
          <w:tcPr>
            <w:tcW w:w="845" w:type="pct"/>
            <w:vAlign w:val="center"/>
          </w:tcPr>
          <w:p w14:paraId="134B007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环境功能区</w:t>
            </w:r>
          </w:p>
        </w:tc>
        <w:tc>
          <w:tcPr>
            <w:tcW w:w="548" w:type="pct"/>
            <w:vAlign w:val="center"/>
          </w:tcPr>
          <w:p w14:paraId="3F5EBC5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0类区□</w:t>
            </w:r>
          </w:p>
        </w:tc>
        <w:tc>
          <w:tcPr>
            <w:tcW w:w="612" w:type="pct"/>
            <w:gridSpan w:val="2"/>
            <w:vAlign w:val="center"/>
          </w:tcPr>
          <w:p w14:paraId="306D066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1类区□</w:t>
            </w:r>
          </w:p>
        </w:tc>
        <w:tc>
          <w:tcPr>
            <w:tcW w:w="596" w:type="pct"/>
            <w:vAlign w:val="center"/>
          </w:tcPr>
          <w:p w14:paraId="619BE70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2类区□</w:t>
            </w:r>
          </w:p>
        </w:tc>
        <w:tc>
          <w:tcPr>
            <w:tcW w:w="626" w:type="pct"/>
            <w:gridSpan w:val="2"/>
            <w:vAlign w:val="center"/>
          </w:tcPr>
          <w:p w14:paraId="34FBAFB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3类区☑</w:t>
            </w:r>
          </w:p>
        </w:tc>
        <w:tc>
          <w:tcPr>
            <w:tcW w:w="589" w:type="pct"/>
            <w:gridSpan w:val="2"/>
            <w:vAlign w:val="center"/>
          </w:tcPr>
          <w:p w14:paraId="36900E9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4a类区□</w:t>
            </w:r>
          </w:p>
        </w:tc>
        <w:tc>
          <w:tcPr>
            <w:tcW w:w="625" w:type="pct"/>
            <w:vAlign w:val="center"/>
          </w:tcPr>
          <w:p w14:paraId="4F8B8E6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4b类区□</w:t>
            </w:r>
          </w:p>
        </w:tc>
      </w:tr>
      <w:tr w14:paraId="4ED90D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2AB7C584">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6721342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评价年度</w:t>
            </w:r>
          </w:p>
        </w:tc>
        <w:tc>
          <w:tcPr>
            <w:tcW w:w="854" w:type="pct"/>
            <w:gridSpan w:val="2"/>
            <w:vAlign w:val="center"/>
          </w:tcPr>
          <w:p w14:paraId="7FDA251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初期□</w:t>
            </w:r>
          </w:p>
        </w:tc>
        <w:tc>
          <w:tcPr>
            <w:tcW w:w="902" w:type="pct"/>
            <w:gridSpan w:val="2"/>
            <w:vAlign w:val="center"/>
          </w:tcPr>
          <w:p w14:paraId="6ECDBF4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近期☑</w:t>
            </w:r>
          </w:p>
        </w:tc>
        <w:tc>
          <w:tcPr>
            <w:tcW w:w="932" w:type="pct"/>
            <w:gridSpan w:val="3"/>
            <w:vAlign w:val="center"/>
          </w:tcPr>
          <w:p w14:paraId="6630754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中期□</w:t>
            </w:r>
          </w:p>
        </w:tc>
        <w:tc>
          <w:tcPr>
            <w:tcW w:w="908" w:type="pct"/>
            <w:gridSpan w:val="2"/>
            <w:vAlign w:val="center"/>
          </w:tcPr>
          <w:p w14:paraId="6C10780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远期□</w:t>
            </w:r>
          </w:p>
        </w:tc>
      </w:tr>
      <w:tr w14:paraId="00713C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77D52B17">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47E30CF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现状调查方法</w:t>
            </w:r>
          </w:p>
        </w:tc>
        <w:tc>
          <w:tcPr>
            <w:tcW w:w="1160" w:type="pct"/>
            <w:gridSpan w:val="3"/>
            <w:vAlign w:val="center"/>
          </w:tcPr>
          <w:p w14:paraId="6C7614A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现场实测法☑</w:t>
            </w:r>
          </w:p>
        </w:tc>
        <w:tc>
          <w:tcPr>
            <w:tcW w:w="1528" w:type="pct"/>
            <w:gridSpan w:val="4"/>
            <w:vAlign w:val="center"/>
          </w:tcPr>
          <w:p w14:paraId="09036D9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现场实测加模型计算法□</w:t>
            </w:r>
          </w:p>
        </w:tc>
        <w:tc>
          <w:tcPr>
            <w:tcW w:w="908" w:type="pct"/>
            <w:gridSpan w:val="2"/>
            <w:vAlign w:val="center"/>
          </w:tcPr>
          <w:p w14:paraId="638F02F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收集资料□</w:t>
            </w:r>
          </w:p>
        </w:tc>
      </w:tr>
      <w:tr w14:paraId="00E2D1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131ACB9F">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06024C0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现状评价</w:t>
            </w:r>
          </w:p>
        </w:tc>
        <w:tc>
          <w:tcPr>
            <w:tcW w:w="3596" w:type="pct"/>
            <w:gridSpan w:val="9"/>
            <w:vAlign w:val="center"/>
          </w:tcPr>
          <w:p w14:paraId="212AC56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达标百分比□100%□</w:t>
            </w:r>
          </w:p>
        </w:tc>
      </w:tr>
      <w:tr w14:paraId="3F0ACE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Align w:val="center"/>
          </w:tcPr>
          <w:p w14:paraId="188BE0A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噪声源调查</w:t>
            </w:r>
          </w:p>
        </w:tc>
        <w:tc>
          <w:tcPr>
            <w:tcW w:w="845" w:type="pct"/>
            <w:vAlign w:val="center"/>
          </w:tcPr>
          <w:p w14:paraId="4935100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噪声源调查方法</w:t>
            </w:r>
          </w:p>
        </w:tc>
        <w:tc>
          <w:tcPr>
            <w:tcW w:w="1160" w:type="pct"/>
            <w:gridSpan w:val="3"/>
            <w:vAlign w:val="center"/>
          </w:tcPr>
          <w:p w14:paraId="13B515E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现场实测□</w:t>
            </w:r>
          </w:p>
        </w:tc>
        <w:tc>
          <w:tcPr>
            <w:tcW w:w="974" w:type="pct"/>
            <w:gridSpan w:val="2"/>
            <w:vAlign w:val="center"/>
          </w:tcPr>
          <w:p w14:paraId="25169A6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已有资料□</w:t>
            </w:r>
          </w:p>
        </w:tc>
        <w:tc>
          <w:tcPr>
            <w:tcW w:w="1462" w:type="pct"/>
            <w:gridSpan w:val="4"/>
            <w:vAlign w:val="center"/>
          </w:tcPr>
          <w:p w14:paraId="6F2D7C6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研究成果☑</w:t>
            </w:r>
          </w:p>
        </w:tc>
      </w:tr>
      <w:tr w14:paraId="6FF37F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restart"/>
            <w:vAlign w:val="center"/>
          </w:tcPr>
          <w:p w14:paraId="1C8F464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声环境影响预测与评价</w:t>
            </w:r>
          </w:p>
        </w:tc>
        <w:tc>
          <w:tcPr>
            <w:tcW w:w="845" w:type="pct"/>
            <w:vAlign w:val="center"/>
          </w:tcPr>
          <w:p w14:paraId="3F86DF5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预测模型</w:t>
            </w:r>
          </w:p>
        </w:tc>
        <w:tc>
          <w:tcPr>
            <w:tcW w:w="1756" w:type="pct"/>
            <w:gridSpan w:val="4"/>
            <w:vAlign w:val="center"/>
          </w:tcPr>
          <w:p w14:paraId="3431E6A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导则推荐模型☑</w:t>
            </w:r>
          </w:p>
        </w:tc>
        <w:tc>
          <w:tcPr>
            <w:tcW w:w="1840" w:type="pct"/>
            <w:gridSpan w:val="5"/>
            <w:vAlign w:val="center"/>
          </w:tcPr>
          <w:p w14:paraId="7969EE9A">
            <w:pPr>
              <w:tabs>
                <w:tab w:val="left" w:pos="1633"/>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其他□</w:t>
            </w:r>
          </w:p>
        </w:tc>
      </w:tr>
      <w:tr w14:paraId="0B92BA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6B7537A8">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0AE509F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预测范围</w:t>
            </w:r>
          </w:p>
        </w:tc>
        <w:tc>
          <w:tcPr>
            <w:tcW w:w="1160" w:type="pct"/>
            <w:gridSpan w:val="3"/>
            <w:vAlign w:val="center"/>
          </w:tcPr>
          <w:p w14:paraId="0FBC0BC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200m□</w:t>
            </w:r>
          </w:p>
        </w:tc>
        <w:tc>
          <w:tcPr>
            <w:tcW w:w="974" w:type="pct"/>
            <w:gridSpan w:val="2"/>
            <w:vAlign w:val="center"/>
          </w:tcPr>
          <w:p w14:paraId="3C1D340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大于200m□</w:t>
            </w:r>
          </w:p>
        </w:tc>
        <w:tc>
          <w:tcPr>
            <w:tcW w:w="1462" w:type="pct"/>
            <w:gridSpan w:val="4"/>
            <w:vAlign w:val="center"/>
          </w:tcPr>
          <w:p w14:paraId="4761BCB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小于200m□</w:t>
            </w:r>
          </w:p>
        </w:tc>
      </w:tr>
      <w:tr w14:paraId="684515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171585B9">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2FB7BA9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预测因子</w:t>
            </w:r>
          </w:p>
        </w:tc>
        <w:tc>
          <w:tcPr>
            <w:tcW w:w="1160" w:type="pct"/>
            <w:gridSpan w:val="3"/>
            <w:vAlign w:val="center"/>
          </w:tcPr>
          <w:p w14:paraId="367ED98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等效连续A声级☑</w:t>
            </w:r>
          </w:p>
        </w:tc>
        <w:tc>
          <w:tcPr>
            <w:tcW w:w="974" w:type="pct"/>
            <w:gridSpan w:val="2"/>
            <w:vAlign w:val="center"/>
          </w:tcPr>
          <w:p w14:paraId="3B6CB8C2">
            <w:pPr>
              <w:kinsoku w:val="0"/>
              <w:overflowPunct w:val="0"/>
              <w:autoSpaceDE w:val="0"/>
              <w:autoSpaceDN w:val="0"/>
              <w:spacing w:line="240" w:lineRule="auto"/>
              <w:ind w:firstLine="0" w:firstLineChars="0"/>
              <w:jc w:val="center"/>
              <w:rPr>
                <w:color w:val="auto"/>
                <w:w w:val="95"/>
                <w:kern w:val="0"/>
                <w:sz w:val="21"/>
                <w:szCs w:val="21"/>
              </w:rPr>
            </w:pPr>
            <w:r>
              <w:rPr>
                <w:color w:val="auto"/>
                <w:w w:val="95"/>
                <w:kern w:val="0"/>
                <w:sz w:val="21"/>
                <w:szCs w:val="21"/>
              </w:rPr>
              <w:t>最大A声级□</w:t>
            </w:r>
          </w:p>
        </w:tc>
        <w:tc>
          <w:tcPr>
            <w:tcW w:w="1462" w:type="pct"/>
            <w:gridSpan w:val="4"/>
            <w:vAlign w:val="center"/>
          </w:tcPr>
          <w:p w14:paraId="54F8CFB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计权等效连续感觉噪声级□</w:t>
            </w:r>
          </w:p>
        </w:tc>
      </w:tr>
      <w:tr w14:paraId="36071B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3D545CDA">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687AF80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厂界噪声贡献值</w:t>
            </w:r>
          </w:p>
        </w:tc>
        <w:tc>
          <w:tcPr>
            <w:tcW w:w="1756" w:type="pct"/>
            <w:gridSpan w:val="4"/>
            <w:vAlign w:val="center"/>
          </w:tcPr>
          <w:p w14:paraId="50890BE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达标☑</w:t>
            </w:r>
          </w:p>
        </w:tc>
        <w:tc>
          <w:tcPr>
            <w:tcW w:w="1840" w:type="pct"/>
            <w:gridSpan w:val="5"/>
            <w:vAlign w:val="center"/>
          </w:tcPr>
          <w:p w14:paraId="349AE9C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不达标□</w:t>
            </w:r>
          </w:p>
        </w:tc>
      </w:tr>
      <w:tr w14:paraId="1B9C6E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49BBF35D">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4A7404A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声环境保护目标处噪声值</w:t>
            </w:r>
          </w:p>
        </w:tc>
        <w:tc>
          <w:tcPr>
            <w:tcW w:w="1756" w:type="pct"/>
            <w:gridSpan w:val="4"/>
            <w:vAlign w:val="center"/>
          </w:tcPr>
          <w:p w14:paraId="5FE2B07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达标□</w:t>
            </w:r>
          </w:p>
        </w:tc>
        <w:tc>
          <w:tcPr>
            <w:tcW w:w="1840" w:type="pct"/>
            <w:gridSpan w:val="5"/>
            <w:vAlign w:val="center"/>
          </w:tcPr>
          <w:p w14:paraId="16998BF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不达标□</w:t>
            </w:r>
          </w:p>
        </w:tc>
      </w:tr>
      <w:tr w14:paraId="5829A6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restart"/>
            <w:vAlign w:val="center"/>
          </w:tcPr>
          <w:p w14:paraId="5B3FA64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环境监测计划</w:t>
            </w:r>
          </w:p>
        </w:tc>
        <w:tc>
          <w:tcPr>
            <w:tcW w:w="845" w:type="pct"/>
            <w:vAlign w:val="center"/>
          </w:tcPr>
          <w:p w14:paraId="33DB081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排放监测</w:t>
            </w:r>
          </w:p>
        </w:tc>
        <w:tc>
          <w:tcPr>
            <w:tcW w:w="1756" w:type="pct"/>
            <w:gridSpan w:val="4"/>
            <w:vAlign w:val="center"/>
          </w:tcPr>
          <w:p w14:paraId="74D28F28">
            <w:pPr>
              <w:tabs>
                <w:tab w:val="left" w:pos="1621"/>
              </w:tabs>
              <w:kinsoku w:val="0"/>
              <w:overflowPunct w:val="0"/>
              <w:autoSpaceDE w:val="0"/>
              <w:autoSpaceDN w:val="0"/>
              <w:spacing w:line="240" w:lineRule="auto"/>
              <w:ind w:firstLine="0" w:firstLineChars="0"/>
              <w:rPr>
                <w:color w:val="auto"/>
                <w:kern w:val="0"/>
                <w:sz w:val="21"/>
                <w:szCs w:val="21"/>
              </w:rPr>
            </w:pPr>
            <w:r>
              <w:rPr>
                <w:color w:val="auto"/>
                <w:kern w:val="0"/>
                <w:sz w:val="21"/>
                <w:szCs w:val="21"/>
              </w:rPr>
              <w:t>厂界监测☑固定位置监测□</w:t>
            </w:r>
          </w:p>
        </w:tc>
        <w:tc>
          <w:tcPr>
            <w:tcW w:w="1215" w:type="pct"/>
            <w:gridSpan w:val="4"/>
            <w:vAlign w:val="center"/>
          </w:tcPr>
          <w:p w14:paraId="4CCAD6D5">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自动监测□手动监测□</w:t>
            </w:r>
          </w:p>
        </w:tc>
        <w:tc>
          <w:tcPr>
            <w:tcW w:w="625" w:type="pct"/>
            <w:vAlign w:val="center"/>
          </w:tcPr>
          <w:p w14:paraId="1CA09966">
            <w:pPr>
              <w:kinsoku w:val="0"/>
              <w:overflowPunct w:val="0"/>
              <w:autoSpaceDE w:val="0"/>
              <w:autoSpaceDN w:val="0"/>
              <w:spacing w:line="240" w:lineRule="auto"/>
              <w:ind w:firstLine="0" w:firstLineChars="0"/>
              <w:rPr>
                <w:color w:val="auto"/>
                <w:kern w:val="0"/>
                <w:sz w:val="21"/>
                <w:szCs w:val="21"/>
              </w:rPr>
            </w:pPr>
            <w:r>
              <w:rPr>
                <w:color w:val="auto"/>
                <w:kern w:val="0"/>
                <w:sz w:val="21"/>
                <w:szCs w:val="21"/>
              </w:rPr>
              <w:t>无监测□</w:t>
            </w:r>
          </w:p>
        </w:tc>
      </w:tr>
      <w:tr w14:paraId="19B935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Merge w:val="continue"/>
            <w:vAlign w:val="center"/>
          </w:tcPr>
          <w:p w14:paraId="50EE5B7A">
            <w:pPr>
              <w:kinsoku w:val="0"/>
              <w:overflowPunct w:val="0"/>
              <w:autoSpaceDE w:val="0"/>
              <w:autoSpaceDN w:val="0"/>
              <w:spacing w:line="240" w:lineRule="auto"/>
              <w:ind w:firstLine="0" w:firstLineChars="0"/>
              <w:jc w:val="center"/>
              <w:rPr>
                <w:color w:val="auto"/>
                <w:kern w:val="0"/>
                <w:sz w:val="21"/>
                <w:szCs w:val="21"/>
              </w:rPr>
            </w:pPr>
          </w:p>
        </w:tc>
        <w:tc>
          <w:tcPr>
            <w:tcW w:w="845" w:type="pct"/>
            <w:vAlign w:val="center"/>
          </w:tcPr>
          <w:p w14:paraId="633847B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声环境保护目标处噪声监测</w:t>
            </w:r>
          </w:p>
        </w:tc>
        <w:tc>
          <w:tcPr>
            <w:tcW w:w="1756" w:type="pct"/>
            <w:gridSpan w:val="4"/>
            <w:vAlign w:val="center"/>
          </w:tcPr>
          <w:p w14:paraId="0123FCA5">
            <w:pPr>
              <w:tabs>
                <w:tab w:val="left" w:pos="2252"/>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监测因子：（</w:t>
            </w:r>
            <w:r>
              <w:rPr>
                <w:color w:val="auto"/>
                <w:kern w:val="0"/>
                <w:sz w:val="21"/>
                <w:szCs w:val="21"/>
              </w:rPr>
              <w:tab/>
            </w:r>
            <w:r>
              <w:rPr>
                <w:color w:val="auto"/>
                <w:kern w:val="0"/>
                <w:sz w:val="21"/>
                <w:szCs w:val="21"/>
              </w:rPr>
              <w:t>）</w:t>
            </w:r>
          </w:p>
        </w:tc>
        <w:tc>
          <w:tcPr>
            <w:tcW w:w="1215" w:type="pct"/>
            <w:gridSpan w:val="4"/>
            <w:vAlign w:val="center"/>
          </w:tcPr>
          <w:p w14:paraId="5C9FEC27">
            <w:pPr>
              <w:tabs>
                <w:tab w:val="left" w:pos="1735"/>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监测点位数（</w:t>
            </w:r>
            <w:r>
              <w:rPr>
                <w:color w:val="auto"/>
                <w:kern w:val="0"/>
                <w:sz w:val="21"/>
                <w:szCs w:val="21"/>
              </w:rPr>
              <w:tab/>
            </w:r>
            <w:r>
              <w:rPr>
                <w:color w:val="auto"/>
                <w:kern w:val="0"/>
                <w:sz w:val="21"/>
                <w:szCs w:val="21"/>
              </w:rPr>
              <w:t>）</w:t>
            </w:r>
          </w:p>
        </w:tc>
        <w:tc>
          <w:tcPr>
            <w:tcW w:w="625" w:type="pct"/>
            <w:vAlign w:val="center"/>
          </w:tcPr>
          <w:p w14:paraId="7E33866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无监测□</w:t>
            </w:r>
          </w:p>
        </w:tc>
      </w:tr>
      <w:tr w14:paraId="6AC480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59" w:type="pct"/>
            <w:vAlign w:val="center"/>
          </w:tcPr>
          <w:p w14:paraId="714E0B1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评价结论</w:t>
            </w:r>
          </w:p>
        </w:tc>
        <w:tc>
          <w:tcPr>
            <w:tcW w:w="845" w:type="pct"/>
            <w:vAlign w:val="center"/>
          </w:tcPr>
          <w:p w14:paraId="5A0C3CE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环境影响</w:t>
            </w:r>
          </w:p>
        </w:tc>
        <w:tc>
          <w:tcPr>
            <w:tcW w:w="3596" w:type="pct"/>
            <w:gridSpan w:val="9"/>
            <w:vAlign w:val="center"/>
          </w:tcPr>
          <w:p w14:paraId="2288878A">
            <w:pPr>
              <w:tabs>
                <w:tab w:val="left" w:pos="1202"/>
              </w:tabs>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可行☑</w:t>
            </w:r>
            <w:r>
              <w:rPr>
                <w:color w:val="auto"/>
                <w:kern w:val="0"/>
                <w:sz w:val="21"/>
                <w:szCs w:val="21"/>
              </w:rPr>
              <w:tab/>
            </w:r>
            <w:r>
              <w:rPr>
                <w:color w:val="auto"/>
                <w:kern w:val="0"/>
                <w:sz w:val="21"/>
                <w:szCs w:val="21"/>
              </w:rPr>
              <w:t>不可行□</w:t>
            </w:r>
          </w:p>
        </w:tc>
      </w:tr>
      <w:tr w14:paraId="53DE21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5000" w:type="pct"/>
            <w:gridSpan w:val="11"/>
            <w:vAlign w:val="center"/>
          </w:tcPr>
          <w:p w14:paraId="0F6FECDA">
            <w:pPr>
              <w:tabs>
                <w:tab w:val="left" w:pos="3079"/>
              </w:tabs>
              <w:kinsoku w:val="0"/>
              <w:overflowPunct w:val="0"/>
              <w:autoSpaceDE w:val="0"/>
              <w:autoSpaceDN w:val="0"/>
              <w:spacing w:line="240" w:lineRule="auto"/>
              <w:ind w:firstLine="0" w:firstLineChars="0"/>
              <w:rPr>
                <w:color w:val="auto"/>
                <w:kern w:val="0"/>
                <w:sz w:val="21"/>
                <w:szCs w:val="21"/>
              </w:rPr>
            </w:pPr>
            <w:r>
              <w:rPr>
                <w:color w:val="auto"/>
                <w:kern w:val="0"/>
                <w:sz w:val="21"/>
                <w:szCs w:val="21"/>
              </w:rPr>
              <w:t>注：“□”为勾选项，可√；“（</w:t>
            </w:r>
            <w:r>
              <w:rPr>
                <w:color w:val="auto"/>
                <w:kern w:val="0"/>
                <w:sz w:val="21"/>
                <w:szCs w:val="21"/>
              </w:rPr>
              <w:tab/>
            </w:r>
            <w:r>
              <w:rPr>
                <w:color w:val="auto"/>
                <w:kern w:val="0"/>
                <w:sz w:val="21"/>
                <w:szCs w:val="21"/>
              </w:rPr>
              <w:t>）”为内容填写项。</w:t>
            </w:r>
          </w:p>
        </w:tc>
      </w:tr>
    </w:tbl>
    <w:p w14:paraId="6852F624">
      <w:pPr>
        <w:keepNext/>
        <w:keepLines/>
        <w:spacing w:before="120" w:beforeLines="50"/>
        <w:ind w:firstLine="0" w:firstLineChars="0"/>
        <w:outlineLvl w:val="2"/>
        <w:rPr>
          <w:b/>
          <w:bCs/>
          <w:color w:val="auto"/>
          <w:sz w:val="28"/>
          <w:szCs w:val="36"/>
        </w:rPr>
        <w:sectPr>
          <w:pgSz w:w="11906" w:h="16838"/>
          <w:pgMar w:top="1452" w:right="1418" w:bottom="1452" w:left="1418" w:header="851" w:footer="992" w:gutter="0"/>
          <w:cols w:space="720" w:num="1"/>
          <w:docGrid w:linePitch="312" w:charSpace="0"/>
        </w:sectPr>
      </w:pPr>
      <w:bookmarkStart w:id="138" w:name="_Toc486771045"/>
      <w:bookmarkStart w:id="139" w:name="_Toc486868119"/>
    </w:p>
    <w:p w14:paraId="76E40C84">
      <w:pPr>
        <w:keepNext/>
        <w:keepLines/>
        <w:spacing w:before="156" w:beforeLines="50"/>
        <w:ind w:firstLine="0" w:firstLineChars="0"/>
        <w:outlineLvl w:val="2"/>
        <w:rPr>
          <w:b/>
          <w:bCs/>
          <w:color w:val="auto"/>
          <w:sz w:val="28"/>
          <w:szCs w:val="36"/>
        </w:rPr>
      </w:pPr>
      <w:r>
        <w:rPr>
          <w:rFonts w:hint="eastAsia"/>
          <w:b/>
          <w:bCs/>
          <w:color w:val="auto"/>
          <w:sz w:val="28"/>
          <w:szCs w:val="36"/>
        </w:rPr>
        <w:t>6</w:t>
      </w:r>
      <w:r>
        <w:rPr>
          <w:b/>
          <w:bCs/>
          <w:color w:val="auto"/>
          <w:sz w:val="28"/>
          <w:szCs w:val="36"/>
        </w:rPr>
        <w:t>.2.4 运营期固体废物环境影响评价</w:t>
      </w:r>
    </w:p>
    <w:p w14:paraId="25C11266">
      <w:pPr>
        <w:keepNext/>
        <w:keepLines/>
        <w:spacing w:before="156" w:beforeLines="50"/>
        <w:ind w:firstLine="0" w:firstLineChars="0"/>
        <w:outlineLvl w:val="3"/>
        <w:rPr>
          <w:b/>
          <w:bCs/>
          <w:color w:val="auto"/>
          <w:szCs w:val="32"/>
        </w:rPr>
      </w:pPr>
      <w:r>
        <w:rPr>
          <w:rFonts w:hint="eastAsia"/>
          <w:b/>
          <w:bCs/>
          <w:color w:val="auto"/>
          <w:szCs w:val="32"/>
        </w:rPr>
        <w:t>6</w:t>
      </w:r>
      <w:r>
        <w:rPr>
          <w:b/>
          <w:bCs/>
          <w:color w:val="auto"/>
          <w:szCs w:val="32"/>
        </w:rPr>
        <w:t>.2.4.1 固体废物产生及处置情况</w:t>
      </w:r>
    </w:p>
    <w:p w14:paraId="7AEBA300">
      <w:pPr>
        <w:ind w:firstLine="480"/>
        <w:rPr>
          <w:bCs/>
          <w:color w:val="auto"/>
        </w:rPr>
      </w:pPr>
      <w:r>
        <w:rPr>
          <w:color w:val="auto"/>
          <w:lang w:val="zh-CN"/>
        </w:rPr>
        <w:t>拟建</w:t>
      </w:r>
      <w:r>
        <w:rPr>
          <w:bCs/>
          <w:color w:val="auto"/>
        </w:rPr>
        <w:t>项目产生的固体废弃物分为生活垃圾、一般固体废物和危险废物。一般固体废物包括</w:t>
      </w:r>
      <w:r>
        <w:rPr>
          <w:rFonts w:hint="eastAsia"/>
          <w:bCs/>
          <w:color w:val="auto"/>
        </w:rPr>
        <w:t>废边角料、废钢丸、废包装膜、不合格品、废包装材料、废模具、质检不合格品、纯水制备产生的废弃物（废石英砂、废活性炭、废滤芯和废渗透膜）、废布袋、布袋收尘、化粪池污泥和综合废水污泥</w:t>
      </w:r>
      <w:r>
        <w:rPr>
          <w:bCs/>
          <w:color w:val="auto"/>
        </w:rPr>
        <w:t>；其中废边角料、</w:t>
      </w:r>
      <w:r>
        <w:rPr>
          <w:rFonts w:hint="eastAsia"/>
          <w:bCs/>
          <w:color w:val="auto"/>
        </w:rPr>
        <w:t>不合格品、废包装材料、废模具、废钢丸、质检不合格品和布袋收尘外售综合利用，纯水制备产生的废弃物（废过滤介质、废活性炭和废渗透膜和离子交换树脂）、废布袋和化粪池污泥交由环卫部门清运，综合废水污泥委托有资质单位集中处置。危险废物包括废槽液、铝离子回收装置产生的废渗析膜和废活性炭、废研磨膏、废试剂瓶、废试剂、废化学品包装材料、废机油、废液压油、碱回收污泥、废油桶、废劳保用品委托有资质单位集中处置</w:t>
      </w:r>
      <w:r>
        <w:rPr>
          <w:bCs/>
          <w:color w:val="auto"/>
        </w:rPr>
        <w:t>。</w:t>
      </w:r>
    </w:p>
    <w:p w14:paraId="56065DD5">
      <w:pPr>
        <w:ind w:firstLine="480"/>
        <w:rPr>
          <w:color w:val="auto"/>
          <w:szCs w:val="28"/>
        </w:rPr>
        <w:sectPr>
          <w:pgSz w:w="11850" w:h="16783"/>
          <w:pgMar w:top="1440" w:right="1800" w:bottom="1440" w:left="1800" w:header="851" w:footer="992" w:gutter="0"/>
          <w:cols w:space="425" w:num="1"/>
          <w:docGrid w:type="lines" w:linePitch="312" w:charSpace="0"/>
        </w:sectPr>
      </w:pPr>
      <w:r>
        <w:rPr>
          <w:rFonts w:hint="eastAsia"/>
          <w:bCs/>
          <w:color w:val="auto"/>
        </w:rPr>
        <w:t>厨余垃圾和隔油池废油交由有许可资质单位处置；</w:t>
      </w:r>
      <w:r>
        <w:rPr>
          <w:bCs/>
          <w:color w:val="auto"/>
        </w:rPr>
        <w:t>生活垃圾日产日清，交由环卫部门定期清运。</w:t>
      </w:r>
      <w:r>
        <w:rPr>
          <w:color w:val="auto"/>
          <w:szCs w:val="28"/>
        </w:rPr>
        <w:t>所有固体废物均实现综合利用或无害化处置。</w:t>
      </w:r>
    </w:p>
    <w:p w14:paraId="7310C441">
      <w:pPr>
        <w:spacing w:line="240" w:lineRule="auto"/>
        <w:ind w:firstLine="0" w:firstLineChars="0"/>
        <w:jc w:val="center"/>
        <w:rPr>
          <w:b/>
          <w:bCs/>
          <w:color w:val="auto"/>
          <w:szCs w:val="28"/>
        </w:rPr>
      </w:pPr>
      <w:r>
        <w:rPr>
          <w:b/>
          <w:bCs/>
          <w:color w:val="auto"/>
          <w:szCs w:val="28"/>
        </w:rPr>
        <w:t>表</w:t>
      </w:r>
      <w:r>
        <w:rPr>
          <w:rFonts w:hint="eastAsia"/>
          <w:b/>
          <w:bCs/>
          <w:color w:val="auto"/>
          <w:szCs w:val="28"/>
        </w:rPr>
        <w:t>6.2.4-1</w:t>
      </w:r>
      <w:r>
        <w:rPr>
          <w:b/>
          <w:bCs/>
          <w:color w:val="auto"/>
          <w:szCs w:val="28"/>
        </w:rPr>
        <w:t xml:space="preserve">  本项目固体废物处置去向一览表</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6"/>
        <w:gridCol w:w="822"/>
        <w:gridCol w:w="485"/>
        <w:gridCol w:w="1307"/>
        <w:gridCol w:w="1539"/>
        <w:gridCol w:w="1006"/>
        <w:gridCol w:w="1725"/>
        <w:gridCol w:w="946"/>
        <w:gridCol w:w="1487"/>
        <w:gridCol w:w="969"/>
        <w:gridCol w:w="3216"/>
      </w:tblGrid>
      <w:tr w14:paraId="3FD9D7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vAlign w:val="center"/>
          </w:tcPr>
          <w:p w14:paraId="6545E90C">
            <w:pPr>
              <w:spacing w:line="240" w:lineRule="auto"/>
              <w:ind w:firstLine="0" w:firstLineChars="0"/>
              <w:jc w:val="center"/>
              <w:rPr>
                <w:b/>
                <w:color w:val="auto"/>
                <w:sz w:val="21"/>
                <w:szCs w:val="21"/>
              </w:rPr>
            </w:pPr>
            <w:r>
              <w:rPr>
                <w:b/>
                <w:color w:val="auto"/>
                <w:sz w:val="21"/>
                <w:szCs w:val="21"/>
              </w:rPr>
              <w:t>序号</w:t>
            </w:r>
          </w:p>
        </w:tc>
        <w:tc>
          <w:tcPr>
            <w:tcW w:w="2614" w:type="dxa"/>
            <w:gridSpan w:val="3"/>
            <w:vAlign w:val="center"/>
          </w:tcPr>
          <w:p w14:paraId="460A5FE1">
            <w:pPr>
              <w:spacing w:line="240" w:lineRule="auto"/>
              <w:ind w:firstLine="0" w:firstLineChars="0"/>
              <w:jc w:val="center"/>
              <w:rPr>
                <w:b/>
                <w:color w:val="auto"/>
                <w:sz w:val="21"/>
                <w:szCs w:val="21"/>
              </w:rPr>
            </w:pPr>
            <w:r>
              <w:rPr>
                <w:b/>
                <w:color w:val="auto"/>
                <w:sz w:val="21"/>
                <w:szCs w:val="21"/>
              </w:rPr>
              <w:t>名称</w:t>
            </w:r>
          </w:p>
        </w:tc>
        <w:tc>
          <w:tcPr>
            <w:tcW w:w="1539" w:type="dxa"/>
            <w:vAlign w:val="center"/>
          </w:tcPr>
          <w:p w14:paraId="170D1182">
            <w:pPr>
              <w:spacing w:line="240" w:lineRule="auto"/>
              <w:ind w:firstLine="0" w:firstLineChars="0"/>
              <w:jc w:val="center"/>
              <w:rPr>
                <w:b/>
                <w:color w:val="auto"/>
                <w:sz w:val="21"/>
                <w:szCs w:val="21"/>
              </w:rPr>
            </w:pPr>
            <w:r>
              <w:rPr>
                <w:b/>
                <w:color w:val="auto"/>
                <w:sz w:val="21"/>
                <w:szCs w:val="21"/>
              </w:rPr>
              <w:t>产生工序</w:t>
            </w:r>
          </w:p>
        </w:tc>
        <w:tc>
          <w:tcPr>
            <w:tcW w:w="1006" w:type="dxa"/>
            <w:vAlign w:val="center"/>
          </w:tcPr>
          <w:p w14:paraId="6B6568BD">
            <w:pPr>
              <w:spacing w:line="240" w:lineRule="auto"/>
              <w:ind w:firstLine="0" w:firstLineChars="0"/>
              <w:jc w:val="center"/>
              <w:rPr>
                <w:b/>
                <w:color w:val="auto"/>
                <w:sz w:val="21"/>
                <w:szCs w:val="21"/>
              </w:rPr>
            </w:pPr>
            <w:r>
              <w:rPr>
                <w:b/>
                <w:color w:val="auto"/>
                <w:sz w:val="21"/>
                <w:szCs w:val="21"/>
              </w:rPr>
              <w:t>形态</w:t>
            </w:r>
          </w:p>
        </w:tc>
        <w:tc>
          <w:tcPr>
            <w:tcW w:w="1725" w:type="dxa"/>
            <w:vAlign w:val="center"/>
          </w:tcPr>
          <w:p w14:paraId="2C700390">
            <w:pPr>
              <w:spacing w:line="240" w:lineRule="auto"/>
              <w:ind w:firstLine="0" w:firstLineChars="0"/>
              <w:jc w:val="center"/>
              <w:rPr>
                <w:b/>
                <w:color w:val="auto"/>
                <w:sz w:val="21"/>
                <w:szCs w:val="21"/>
              </w:rPr>
            </w:pPr>
            <w:r>
              <w:rPr>
                <w:b/>
                <w:color w:val="auto"/>
                <w:sz w:val="21"/>
                <w:szCs w:val="21"/>
              </w:rPr>
              <w:t>废物属性</w:t>
            </w:r>
          </w:p>
        </w:tc>
        <w:tc>
          <w:tcPr>
            <w:tcW w:w="946" w:type="dxa"/>
            <w:vAlign w:val="center"/>
          </w:tcPr>
          <w:p w14:paraId="60456A2D">
            <w:pPr>
              <w:spacing w:line="240" w:lineRule="auto"/>
              <w:ind w:firstLine="0" w:firstLineChars="0"/>
              <w:jc w:val="center"/>
              <w:rPr>
                <w:b/>
                <w:color w:val="auto"/>
                <w:sz w:val="21"/>
                <w:szCs w:val="21"/>
              </w:rPr>
            </w:pPr>
            <w:r>
              <w:rPr>
                <w:b/>
                <w:color w:val="auto"/>
                <w:sz w:val="21"/>
                <w:szCs w:val="21"/>
              </w:rPr>
              <w:t>废物类别*</w:t>
            </w:r>
          </w:p>
        </w:tc>
        <w:tc>
          <w:tcPr>
            <w:tcW w:w="1487" w:type="dxa"/>
            <w:vAlign w:val="center"/>
          </w:tcPr>
          <w:p w14:paraId="62072965">
            <w:pPr>
              <w:spacing w:line="240" w:lineRule="auto"/>
              <w:ind w:firstLine="0" w:firstLineChars="0"/>
              <w:jc w:val="center"/>
              <w:rPr>
                <w:b/>
                <w:color w:val="auto"/>
                <w:sz w:val="21"/>
                <w:szCs w:val="21"/>
              </w:rPr>
            </w:pPr>
            <w:r>
              <w:rPr>
                <w:b/>
                <w:color w:val="auto"/>
                <w:sz w:val="21"/>
                <w:szCs w:val="21"/>
              </w:rPr>
              <w:t>废物代码</w:t>
            </w:r>
          </w:p>
        </w:tc>
        <w:tc>
          <w:tcPr>
            <w:tcW w:w="969" w:type="dxa"/>
            <w:vAlign w:val="center"/>
          </w:tcPr>
          <w:p w14:paraId="47CBFADB">
            <w:pPr>
              <w:spacing w:line="240" w:lineRule="auto"/>
              <w:ind w:firstLine="0" w:firstLineChars="0"/>
              <w:jc w:val="center"/>
              <w:rPr>
                <w:b/>
                <w:color w:val="auto"/>
                <w:sz w:val="21"/>
                <w:szCs w:val="21"/>
              </w:rPr>
            </w:pPr>
            <w:r>
              <w:rPr>
                <w:b/>
                <w:color w:val="auto"/>
                <w:sz w:val="21"/>
                <w:szCs w:val="21"/>
              </w:rPr>
              <w:t>产生量（t/a）</w:t>
            </w:r>
          </w:p>
        </w:tc>
        <w:tc>
          <w:tcPr>
            <w:tcW w:w="3216" w:type="dxa"/>
            <w:vAlign w:val="center"/>
          </w:tcPr>
          <w:p w14:paraId="7763845D">
            <w:pPr>
              <w:spacing w:line="240" w:lineRule="auto"/>
              <w:ind w:firstLine="0" w:firstLineChars="0"/>
              <w:jc w:val="center"/>
              <w:rPr>
                <w:b/>
                <w:color w:val="auto"/>
                <w:sz w:val="21"/>
                <w:szCs w:val="21"/>
              </w:rPr>
            </w:pPr>
            <w:r>
              <w:rPr>
                <w:b/>
                <w:color w:val="auto"/>
                <w:sz w:val="21"/>
                <w:szCs w:val="21"/>
              </w:rPr>
              <w:t>处置方法</w:t>
            </w:r>
          </w:p>
        </w:tc>
      </w:tr>
      <w:tr w14:paraId="0EE02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vAlign w:val="center"/>
          </w:tcPr>
          <w:p w14:paraId="2334C7DE">
            <w:pPr>
              <w:spacing w:line="240" w:lineRule="auto"/>
              <w:ind w:firstLine="0" w:firstLineChars="0"/>
              <w:jc w:val="center"/>
              <w:rPr>
                <w:color w:val="auto"/>
                <w:sz w:val="21"/>
                <w:szCs w:val="21"/>
              </w:rPr>
            </w:pPr>
            <w:r>
              <w:rPr>
                <w:color w:val="auto"/>
                <w:sz w:val="21"/>
                <w:szCs w:val="21"/>
              </w:rPr>
              <w:t>1</w:t>
            </w:r>
          </w:p>
        </w:tc>
        <w:tc>
          <w:tcPr>
            <w:tcW w:w="2614" w:type="dxa"/>
            <w:gridSpan w:val="3"/>
            <w:vAlign w:val="center"/>
          </w:tcPr>
          <w:p w14:paraId="3AE46152">
            <w:pPr>
              <w:tabs>
                <w:tab w:val="left" w:pos="2227"/>
              </w:tabs>
              <w:spacing w:line="240" w:lineRule="auto"/>
              <w:ind w:firstLine="0" w:firstLineChars="0"/>
              <w:jc w:val="center"/>
              <w:rPr>
                <w:color w:val="auto"/>
                <w:sz w:val="21"/>
                <w:szCs w:val="21"/>
              </w:rPr>
            </w:pPr>
            <w:r>
              <w:rPr>
                <w:rFonts w:hint="eastAsia"/>
                <w:color w:val="auto"/>
                <w:sz w:val="21"/>
                <w:szCs w:val="21"/>
              </w:rPr>
              <w:t>废边角料</w:t>
            </w:r>
          </w:p>
        </w:tc>
        <w:tc>
          <w:tcPr>
            <w:tcW w:w="1539" w:type="dxa"/>
            <w:vAlign w:val="center"/>
          </w:tcPr>
          <w:p w14:paraId="6676602D">
            <w:pPr>
              <w:tabs>
                <w:tab w:val="left" w:pos="2227"/>
              </w:tabs>
              <w:spacing w:line="240" w:lineRule="auto"/>
              <w:ind w:firstLine="0" w:firstLineChars="0"/>
              <w:jc w:val="center"/>
              <w:rPr>
                <w:color w:val="auto"/>
                <w:sz w:val="21"/>
                <w:szCs w:val="21"/>
              </w:rPr>
            </w:pPr>
            <w:r>
              <w:rPr>
                <w:rFonts w:hint="eastAsia"/>
                <w:color w:val="auto"/>
                <w:sz w:val="21"/>
                <w:szCs w:val="21"/>
              </w:rPr>
              <w:t>切割、锯切、深加工</w:t>
            </w:r>
          </w:p>
        </w:tc>
        <w:tc>
          <w:tcPr>
            <w:tcW w:w="1006" w:type="dxa"/>
            <w:vAlign w:val="center"/>
          </w:tcPr>
          <w:p w14:paraId="665492EF">
            <w:pPr>
              <w:spacing w:line="240" w:lineRule="auto"/>
              <w:ind w:firstLine="0" w:firstLineChars="0"/>
              <w:jc w:val="center"/>
              <w:rPr>
                <w:color w:val="auto"/>
                <w:sz w:val="21"/>
                <w:szCs w:val="21"/>
              </w:rPr>
            </w:pPr>
            <w:r>
              <w:rPr>
                <w:color w:val="auto"/>
                <w:sz w:val="21"/>
                <w:szCs w:val="21"/>
              </w:rPr>
              <w:t>固态</w:t>
            </w:r>
          </w:p>
        </w:tc>
        <w:tc>
          <w:tcPr>
            <w:tcW w:w="1725" w:type="dxa"/>
            <w:vAlign w:val="center"/>
          </w:tcPr>
          <w:p w14:paraId="5595CCF0">
            <w:pPr>
              <w:spacing w:line="240" w:lineRule="auto"/>
              <w:ind w:firstLine="0" w:firstLineChars="0"/>
              <w:jc w:val="center"/>
              <w:rPr>
                <w:color w:val="auto"/>
                <w:sz w:val="21"/>
                <w:szCs w:val="21"/>
              </w:rPr>
            </w:pPr>
            <w:r>
              <w:rPr>
                <w:color w:val="auto"/>
                <w:sz w:val="21"/>
                <w:szCs w:val="21"/>
              </w:rPr>
              <w:t>一般工业固废</w:t>
            </w:r>
          </w:p>
        </w:tc>
        <w:tc>
          <w:tcPr>
            <w:tcW w:w="946" w:type="dxa"/>
            <w:vAlign w:val="center"/>
          </w:tcPr>
          <w:p w14:paraId="6EE40587">
            <w:pPr>
              <w:spacing w:line="240" w:lineRule="auto"/>
              <w:ind w:firstLine="0" w:firstLineChars="0"/>
              <w:jc w:val="center"/>
              <w:rPr>
                <w:color w:val="auto"/>
                <w:sz w:val="21"/>
                <w:szCs w:val="21"/>
              </w:rPr>
            </w:pPr>
            <w:r>
              <w:rPr>
                <w:rFonts w:hint="eastAsia"/>
                <w:color w:val="auto"/>
                <w:sz w:val="21"/>
                <w:szCs w:val="21"/>
              </w:rPr>
              <w:t>SW17</w:t>
            </w:r>
          </w:p>
        </w:tc>
        <w:tc>
          <w:tcPr>
            <w:tcW w:w="1487" w:type="dxa"/>
            <w:vAlign w:val="center"/>
          </w:tcPr>
          <w:p w14:paraId="3CB4ECED">
            <w:pPr>
              <w:spacing w:line="240" w:lineRule="auto"/>
              <w:ind w:firstLine="0" w:firstLineChars="0"/>
              <w:jc w:val="center"/>
              <w:rPr>
                <w:color w:val="auto"/>
                <w:sz w:val="21"/>
                <w:szCs w:val="21"/>
              </w:rPr>
            </w:pPr>
            <w:r>
              <w:rPr>
                <w:rFonts w:hint="eastAsia"/>
                <w:color w:val="auto"/>
                <w:sz w:val="21"/>
                <w:szCs w:val="21"/>
              </w:rPr>
              <w:t>900-002-S17</w:t>
            </w:r>
          </w:p>
        </w:tc>
        <w:tc>
          <w:tcPr>
            <w:tcW w:w="969" w:type="dxa"/>
            <w:vAlign w:val="center"/>
          </w:tcPr>
          <w:p w14:paraId="03F214B2">
            <w:pPr>
              <w:tabs>
                <w:tab w:val="left" w:pos="2227"/>
              </w:tabs>
              <w:spacing w:line="240" w:lineRule="auto"/>
              <w:ind w:firstLine="0" w:firstLineChars="0"/>
              <w:jc w:val="center"/>
              <w:rPr>
                <w:color w:val="auto"/>
                <w:sz w:val="21"/>
                <w:szCs w:val="21"/>
              </w:rPr>
            </w:pPr>
            <w:r>
              <w:rPr>
                <w:rFonts w:hint="eastAsia"/>
                <w:color w:val="auto"/>
                <w:sz w:val="21"/>
                <w:szCs w:val="21"/>
              </w:rPr>
              <w:t>5465</w:t>
            </w:r>
          </w:p>
        </w:tc>
        <w:tc>
          <w:tcPr>
            <w:tcW w:w="3216" w:type="dxa"/>
            <w:vAlign w:val="center"/>
          </w:tcPr>
          <w:p w14:paraId="7910A6E9">
            <w:pPr>
              <w:spacing w:line="240" w:lineRule="auto"/>
              <w:ind w:firstLine="0" w:firstLineChars="0"/>
              <w:jc w:val="center"/>
              <w:rPr>
                <w:color w:val="auto"/>
                <w:sz w:val="21"/>
                <w:szCs w:val="21"/>
              </w:rPr>
            </w:pPr>
            <w:r>
              <w:rPr>
                <w:color w:val="auto"/>
                <w:sz w:val="21"/>
                <w:szCs w:val="21"/>
              </w:rPr>
              <w:t>外售综合利用</w:t>
            </w:r>
          </w:p>
        </w:tc>
      </w:tr>
      <w:tr w14:paraId="2C9B0C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481D4F2B">
            <w:pPr>
              <w:spacing w:line="240" w:lineRule="auto"/>
              <w:ind w:firstLine="0" w:firstLineChars="0"/>
              <w:jc w:val="center"/>
              <w:rPr>
                <w:color w:val="auto"/>
                <w:sz w:val="21"/>
                <w:szCs w:val="21"/>
              </w:rPr>
            </w:pPr>
            <w:r>
              <w:rPr>
                <w:color w:val="auto"/>
                <w:sz w:val="21"/>
                <w:szCs w:val="21"/>
              </w:rPr>
              <w:t>2</w:t>
            </w:r>
          </w:p>
        </w:tc>
        <w:tc>
          <w:tcPr>
            <w:tcW w:w="2614" w:type="dxa"/>
            <w:gridSpan w:val="3"/>
            <w:shd w:val="clear" w:color="auto" w:fill="auto"/>
            <w:vAlign w:val="center"/>
          </w:tcPr>
          <w:p w14:paraId="277307AE">
            <w:pPr>
              <w:tabs>
                <w:tab w:val="left" w:pos="2227"/>
              </w:tabs>
              <w:spacing w:line="240" w:lineRule="auto"/>
              <w:ind w:firstLine="0" w:firstLineChars="0"/>
              <w:jc w:val="center"/>
              <w:rPr>
                <w:color w:val="auto"/>
                <w:sz w:val="21"/>
                <w:szCs w:val="21"/>
              </w:rPr>
            </w:pPr>
            <w:r>
              <w:rPr>
                <w:rFonts w:hint="eastAsia"/>
                <w:color w:val="auto"/>
                <w:sz w:val="21"/>
                <w:szCs w:val="21"/>
              </w:rPr>
              <w:t>废钢丸</w:t>
            </w:r>
          </w:p>
        </w:tc>
        <w:tc>
          <w:tcPr>
            <w:tcW w:w="1539" w:type="dxa"/>
            <w:shd w:val="clear" w:color="auto" w:fill="auto"/>
            <w:vAlign w:val="center"/>
          </w:tcPr>
          <w:p w14:paraId="02FA56A3">
            <w:pPr>
              <w:tabs>
                <w:tab w:val="left" w:pos="2227"/>
              </w:tabs>
              <w:spacing w:line="240" w:lineRule="auto"/>
              <w:ind w:firstLine="0" w:firstLineChars="0"/>
              <w:jc w:val="center"/>
              <w:rPr>
                <w:color w:val="auto"/>
                <w:sz w:val="21"/>
                <w:szCs w:val="21"/>
              </w:rPr>
            </w:pPr>
            <w:r>
              <w:rPr>
                <w:rFonts w:hint="eastAsia"/>
                <w:color w:val="auto"/>
                <w:sz w:val="21"/>
                <w:szCs w:val="21"/>
              </w:rPr>
              <w:t>喷砂</w:t>
            </w:r>
          </w:p>
        </w:tc>
        <w:tc>
          <w:tcPr>
            <w:tcW w:w="1006" w:type="dxa"/>
            <w:shd w:val="clear" w:color="auto" w:fill="auto"/>
            <w:vAlign w:val="center"/>
          </w:tcPr>
          <w:p w14:paraId="58DA5613">
            <w:pPr>
              <w:spacing w:line="240" w:lineRule="auto"/>
              <w:ind w:firstLine="0" w:firstLineChars="0"/>
              <w:jc w:val="center"/>
              <w:rPr>
                <w:color w:val="auto"/>
                <w:sz w:val="21"/>
                <w:szCs w:val="21"/>
              </w:rPr>
            </w:pPr>
            <w:r>
              <w:rPr>
                <w:rFonts w:hint="eastAsia"/>
                <w:color w:val="auto"/>
                <w:sz w:val="21"/>
                <w:szCs w:val="21"/>
              </w:rPr>
              <w:t>固态</w:t>
            </w:r>
          </w:p>
        </w:tc>
        <w:tc>
          <w:tcPr>
            <w:tcW w:w="1725" w:type="dxa"/>
            <w:shd w:val="clear" w:color="auto" w:fill="auto"/>
            <w:vAlign w:val="center"/>
          </w:tcPr>
          <w:p w14:paraId="4B24ECD9">
            <w:pPr>
              <w:spacing w:line="240" w:lineRule="auto"/>
              <w:ind w:firstLine="0" w:firstLineChars="0"/>
              <w:jc w:val="center"/>
              <w:rPr>
                <w:color w:val="auto"/>
                <w:sz w:val="21"/>
                <w:szCs w:val="21"/>
              </w:rPr>
            </w:pPr>
            <w:r>
              <w:rPr>
                <w:color w:val="auto"/>
                <w:sz w:val="21"/>
                <w:szCs w:val="21"/>
              </w:rPr>
              <w:t>一般工业固废</w:t>
            </w:r>
          </w:p>
        </w:tc>
        <w:tc>
          <w:tcPr>
            <w:tcW w:w="946" w:type="dxa"/>
            <w:shd w:val="clear" w:color="auto" w:fill="auto"/>
            <w:vAlign w:val="center"/>
          </w:tcPr>
          <w:p w14:paraId="629F186C">
            <w:pPr>
              <w:spacing w:line="240" w:lineRule="auto"/>
              <w:ind w:firstLine="0" w:firstLineChars="0"/>
              <w:jc w:val="center"/>
              <w:rPr>
                <w:color w:val="auto"/>
                <w:sz w:val="21"/>
                <w:szCs w:val="21"/>
              </w:rPr>
            </w:pPr>
            <w:r>
              <w:rPr>
                <w:rFonts w:hint="eastAsia"/>
                <w:color w:val="auto"/>
                <w:sz w:val="21"/>
                <w:szCs w:val="21"/>
              </w:rPr>
              <w:t>SW17</w:t>
            </w:r>
          </w:p>
        </w:tc>
        <w:tc>
          <w:tcPr>
            <w:tcW w:w="1487" w:type="dxa"/>
            <w:shd w:val="clear" w:color="auto" w:fill="auto"/>
            <w:vAlign w:val="center"/>
          </w:tcPr>
          <w:p w14:paraId="0C78CE0A">
            <w:pPr>
              <w:spacing w:line="240" w:lineRule="auto"/>
              <w:ind w:firstLine="0" w:firstLineChars="0"/>
              <w:jc w:val="center"/>
              <w:rPr>
                <w:color w:val="auto"/>
                <w:sz w:val="21"/>
                <w:szCs w:val="21"/>
              </w:rPr>
            </w:pPr>
            <w:r>
              <w:rPr>
                <w:rFonts w:hint="eastAsia"/>
                <w:color w:val="auto"/>
                <w:sz w:val="21"/>
                <w:szCs w:val="21"/>
              </w:rPr>
              <w:t>900-009-S17</w:t>
            </w:r>
          </w:p>
        </w:tc>
        <w:tc>
          <w:tcPr>
            <w:tcW w:w="969" w:type="dxa"/>
            <w:shd w:val="clear" w:color="auto" w:fill="auto"/>
            <w:vAlign w:val="center"/>
          </w:tcPr>
          <w:p w14:paraId="11851134">
            <w:pPr>
              <w:tabs>
                <w:tab w:val="left" w:pos="2227"/>
              </w:tabs>
              <w:spacing w:line="240" w:lineRule="auto"/>
              <w:ind w:firstLine="0" w:firstLineChars="0"/>
              <w:jc w:val="center"/>
              <w:rPr>
                <w:color w:val="auto"/>
                <w:sz w:val="21"/>
                <w:szCs w:val="21"/>
              </w:rPr>
            </w:pPr>
            <w:r>
              <w:rPr>
                <w:rFonts w:hint="eastAsia"/>
                <w:color w:val="auto"/>
                <w:sz w:val="21"/>
                <w:szCs w:val="21"/>
              </w:rPr>
              <w:t>119.31</w:t>
            </w:r>
          </w:p>
        </w:tc>
        <w:tc>
          <w:tcPr>
            <w:tcW w:w="3216" w:type="dxa"/>
            <w:shd w:val="clear" w:color="auto" w:fill="auto"/>
            <w:vAlign w:val="center"/>
          </w:tcPr>
          <w:p w14:paraId="38F1BAE1">
            <w:pPr>
              <w:spacing w:line="240" w:lineRule="auto"/>
              <w:ind w:firstLine="0" w:firstLineChars="0"/>
              <w:jc w:val="center"/>
              <w:rPr>
                <w:color w:val="auto"/>
                <w:sz w:val="21"/>
                <w:szCs w:val="21"/>
              </w:rPr>
            </w:pPr>
            <w:r>
              <w:rPr>
                <w:rFonts w:hint="eastAsia"/>
                <w:color w:val="auto"/>
                <w:sz w:val="21"/>
                <w:szCs w:val="21"/>
              </w:rPr>
              <w:t>外售综合利用</w:t>
            </w:r>
          </w:p>
        </w:tc>
      </w:tr>
      <w:tr w14:paraId="41EF32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532A1F0C">
            <w:pPr>
              <w:spacing w:line="240" w:lineRule="auto"/>
              <w:ind w:firstLine="0" w:firstLineChars="0"/>
              <w:jc w:val="center"/>
              <w:rPr>
                <w:color w:val="auto"/>
                <w:sz w:val="21"/>
                <w:szCs w:val="21"/>
              </w:rPr>
            </w:pPr>
            <w:r>
              <w:rPr>
                <w:color w:val="auto"/>
                <w:sz w:val="21"/>
                <w:szCs w:val="21"/>
              </w:rPr>
              <w:t>3</w:t>
            </w:r>
          </w:p>
        </w:tc>
        <w:tc>
          <w:tcPr>
            <w:tcW w:w="2614" w:type="dxa"/>
            <w:gridSpan w:val="3"/>
            <w:shd w:val="clear" w:color="auto" w:fill="auto"/>
            <w:vAlign w:val="center"/>
          </w:tcPr>
          <w:p w14:paraId="11F5DE69">
            <w:pPr>
              <w:tabs>
                <w:tab w:val="left" w:pos="2227"/>
              </w:tabs>
              <w:spacing w:line="240" w:lineRule="auto"/>
              <w:ind w:firstLine="0" w:firstLineChars="0"/>
              <w:jc w:val="center"/>
              <w:rPr>
                <w:color w:val="auto"/>
                <w:sz w:val="21"/>
                <w:szCs w:val="21"/>
              </w:rPr>
            </w:pPr>
            <w:r>
              <w:rPr>
                <w:rFonts w:hint="eastAsia"/>
                <w:color w:val="auto"/>
                <w:sz w:val="21"/>
                <w:szCs w:val="21"/>
              </w:rPr>
              <w:t>废槽液</w:t>
            </w:r>
          </w:p>
        </w:tc>
        <w:tc>
          <w:tcPr>
            <w:tcW w:w="1539" w:type="dxa"/>
            <w:shd w:val="clear" w:color="auto" w:fill="auto"/>
            <w:vAlign w:val="center"/>
          </w:tcPr>
          <w:p w14:paraId="20622DD3">
            <w:pPr>
              <w:tabs>
                <w:tab w:val="left" w:pos="2227"/>
              </w:tabs>
              <w:spacing w:line="240" w:lineRule="auto"/>
              <w:ind w:firstLine="0" w:firstLineChars="0"/>
              <w:jc w:val="center"/>
              <w:rPr>
                <w:color w:val="auto"/>
                <w:sz w:val="21"/>
                <w:szCs w:val="21"/>
              </w:rPr>
            </w:pPr>
            <w:r>
              <w:rPr>
                <w:rFonts w:hint="eastAsia"/>
                <w:color w:val="auto"/>
                <w:sz w:val="21"/>
                <w:szCs w:val="21"/>
              </w:rPr>
              <w:t>脱脂、中和</w:t>
            </w:r>
          </w:p>
        </w:tc>
        <w:tc>
          <w:tcPr>
            <w:tcW w:w="1006" w:type="dxa"/>
            <w:shd w:val="clear" w:color="auto" w:fill="auto"/>
            <w:vAlign w:val="center"/>
          </w:tcPr>
          <w:p w14:paraId="7184BCA9">
            <w:pPr>
              <w:spacing w:line="240" w:lineRule="auto"/>
              <w:ind w:firstLine="0" w:firstLineChars="0"/>
              <w:jc w:val="center"/>
              <w:rPr>
                <w:color w:val="auto"/>
                <w:sz w:val="21"/>
                <w:szCs w:val="21"/>
              </w:rPr>
            </w:pPr>
            <w:r>
              <w:rPr>
                <w:rFonts w:hint="eastAsia"/>
                <w:color w:val="auto"/>
                <w:sz w:val="21"/>
                <w:szCs w:val="21"/>
              </w:rPr>
              <w:t>液态</w:t>
            </w:r>
          </w:p>
        </w:tc>
        <w:tc>
          <w:tcPr>
            <w:tcW w:w="1725" w:type="dxa"/>
            <w:shd w:val="clear" w:color="auto" w:fill="auto"/>
            <w:vAlign w:val="center"/>
          </w:tcPr>
          <w:p w14:paraId="0C468467">
            <w:pPr>
              <w:spacing w:line="240" w:lineRule="auto"/>
              <w:ind w:firstLine="0" w:firstLineChars="0"/>
              <w:jc w:val="center"/>
              <w:rPr>
                <w:color w:val="auto"/>
                <w:sz w:val="21"/>
                <w:szCs w:val="21"/>
              </w:rPr>
            </w:pPr>
            <w:r>
              <w:rPr>
                <w:rFonts w:hint="eastAsia"/>
                <w:color w:val="auto"/>
                <w:sz w:val="21"/>
                <w:szCs w:val="21"/>
              </w:rPr>
              <w:t>危险废物</w:t>
            </w:r>
          </w:p>
        </w:tc>
        <w:tc>
          <w:tcPr>
            <w:tcW w:w="946" w:type="dxa"/>
            <w:shd w:val="clear" w:color="auto" w:fill="auto"/>
            <w:vAlign w:val="center"/>
          </w:tcPr>
          <w:p w14:paraId="08521134">
            <w:pPr>
              <w:spacing w:line="240" w:lineRule="auto"/>
              <w:ind w:firstLine="0" w:firstLineChars="0"/>
              <w:jc w:val="center"/>
              <w:rPr>
                <w:color w:val="auto"/>
                <w:sz w:val="21"/>
                <w:szCs w:val="21"/>
              </w:rPr>
            </w:pPr>
            <w:r>
              <w:rPr>
                <w:rFonts w:hint="eastAsia"/>
                <w:color w:val="auto"/>
                <w:sz w:val="21"/>
                <w:szCs w:val="21"/>
              </w:rPr>
              <w:t>HW34</w:t>
            </w:r>
          </w:p>
        </w:tc>
        <w:tc>
          <w:tcPr>
            <w:tcW w:w="1487" w:type="dxa"/>
            <w:shd w:val="clear" w:color="auto" w:fill="auto"/>
            <w:vAlign w:val="center"/>
          </w:tcPr>
          <w:p w14:paraId="4F6AAAB1">
            <w:pPr>
              <w:spacing w:line="240" w:lineRule="auto"/>
              <w:ind w:firstLine="0" w:firstLineChars="0"/>
              <w:jc w:val="center"/>
              <w:rPr>
                <w:color w:val="auto"/>
                <w:sz w:val="21"/>
                <w:szCs w:val="21"/>
              </w:rPr>
            </w:pPr>
            <w:r>
              <w:rPr>
                <w:rFonts w:hint="eastAsia"/>
                <w:color w:val="auto"/>
                <w:sz w:val="21"/>
                <w:szCs w:val="21"/>
              </w:rPr>
              <w:t>900-300-34</w:t>
            </w:r>
          </w:p>
        </w:tc>
        <w:tc>
          <w:tcPr>
            <w:tcW w:w="969" w:type="dxa"/>
            <w:shd w:val="clear" w:color="auto" w:fill="auto"/>
            <w:vAlign w:val="center"/>
          </w:tcPr>
          <w:p w14:paraId="4A2327FC">
            <w:pPr>
              <w:tabs>
                <w:tab w:val="left" w:pos="2227"/>
              </w:tabs>
              <w:spacing w:line="240" w:lineRule="auto"/>
              <w:ind w:firstLine="0" w:firstLineChars="0"/>
              <w:jc w:val="center"/>
              <w:rPr>
                <w:color w:val="auto"/>
                <w:sz w:val="21"/>
                <w:szCs w:val="21"/>
              </w:rPr>
            </w:pPr>
            <w:r>
              <w:rPr>
                <w:rFonts w:hint="eastAsia"/>
                <w:color w:val="auto"/>
                <w:sz w:val="21"/>
                <w:szCs w:val="21"/>
              </w:rPr>
              <w:t>1552</w:t>
            </w:r>
          </w:p>
        </w:tc>
        <w:tc>
          <w:tcPr>
            <w:tcW w:w="3216" w:type="dxa"/>
            <w:shd w:val="clear" w:color="auto" w:fill="auto"/>
            <w:vAlign w:val="center"/>
          </w:tcPr>
          <w:p w14:paraId="41C1C6AA">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381034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075761F">
            <w:pPr>
              <w:spacing w:line="240" w:lineRule="auto"/>
              <w:ind w:firstLine="0" w:firstLineChars="0"/>
              <w:jc w:val="center"/>
              <w:rPr>
                <w:color w:val="auto"/>
                <w:sz w:val="21"/>
                <w:szCs w:val="21"/>
              </w:rPr>
            </w:pPr>
            <w:r>
              <w:rPr>
                <w:color w:val="auto"/>
                <w:sz w:val="21"/>
                <w:szCs w:val="21"/>
              </w:rPr>
              <w:t>4</w:t>
            </w:r>
          </w:p>
        </w:tc>
        <w:tc>
          <w:tcPr>
            <w:tcW w:w="2614" w:type="dxa"/>
            <w:gridSpan w:val="3"/>
            <w:shd w:val="clear" w:color="auto" w:fill="auto"/>
            <w:vAlign w:val="center"/>
          </w:tcPr>
          <w:p w14:paraId="054148E0">
            <w:pPr>
              <w:tabs>
                <w:tab w:val="left" w:pos="2227"/>
              </w:tabs>
              <w:spacing w:line="240" w:lineRule="auto"/>
              <w:ind w:firstLine="0" w:firstLineChars="0"/>
              <w:jc w:val="center"/>
              <w:rPr>
                <w:color w:val="auto"/>
                <w:sz w:val="21"/>
                <w:szCs w:val="21"/>
              </w:rPr>
            </w:pPr>
            <w:r>
              <w:rPr>
                <w:rFonts w:hint="eastAsia"/>
                <w:color w:val="auto"/>
                <w:sz w:val="21"/>
                <w:szCs w:val="21"/>
              </w:rPr>
              <w:t>碱回收污泥</w:t>
            </w:r>
          </w:p>
        </w:tc>
        <w:tc>
          <w:tcPr>
            <w:tcW w:w="1539" w:type="dxa"/>
            <w:shd w:val="clear" w:color="auto" w:fill="auto"/>
            <w:vAlign w:val="center"/>
          </w:tcPr>
          <w:p w14:paraId="34956309">
            <w:pPr>
              <w:tabs>
                <w:tab w:val="left" w:pos="2227"/>
              </w:tabs>
              <w:spacing w:line="240" w:lineRule="auto"/>
              <w:ind w:firstLine="0" w:firstLineChars="0"/>
              <w:jc w:val="center"/>
              <w:rPr>
                <w:color w:val="auto"/>
                <w:sz w:val="21"/>
                <w:szCs w:val="21"/>
              </w:rPr>
            </w:pPr>
            <w:r>
              <w:rPr>
                <w:rFonts w:hint="eastAsia"/>
                <w:color w:val="auto"/>
                <w:sz w:val="21"/>
                <w:szCs w:val="21"/>
              </w:rPr>
              <w:t>碱回收</w:t>
            </w:r>
          </w:p>
        </w:tc>
        <w:tc>
          <w:tcPr>
            <w:tcW w:w="1006" w:type="dxa"/>
            <w:shd w:val="clear" w:color="auto" w:fill="auto"/>
            <w:vAlign w:val="center"/>
          </w:tcPr>
          <w:p w14:paraId="620529CF">
            <w:pPr>
              <w:spacing w:line="240" w:lineRule="auto"/>
              <w:ind w:firstLine="0" w:firstLineChars="0"/>
              <w:jc w:val="center"/>
              <w:rPr>
                <w:color w:val="auto"/>
                <w:sz w:val="21"/>
                <w:szCs w:val="21"/>
              </w:rPr>
            </w:pPr>
            <w:r>
              <w:rPr>
                <w:rFonts w:hint="eastAsia"/>
                <w:color w:val="auto"/>
                <w:sz w:val="21"/>
                <w:szCs w:val="21"/>
              </w:rPr>
              <w:t>半固态</w:t>
            </w:r>
          </w:p>
        </w:tc>
        <w:tc>
          <w:tcPr>
            <w:tcW w:w="1725" w:type="dxa"/>
            <w:shd w:val="clear" w:color="auto" w:fill="auto"/>
            <w:vAlign w:val="center"/>
          </w:tcPr>
          <w:p w14:paraId="7B21C65C">
            <w:pPr>
              <w:spacing w:line="240" w:lineRule="auto"/>
              <w:ind w:firstLine="0" w:firstLineChars="0"/>
              <w:jc w:val="center"/>
              <w:rPr>
                <w:color w:val="auto"/>
                <w:sz w:val="21"/>
                <w:szCs w:val="21"/>
              </w:rPr>
            </w:pPr>
            <w:r>
              <w:rPr>
                <w:rFonts w:hint="eastAsia"/>
                <w:color w:val="auto"/>
                <w:sz w:val="21"/>
                <w:szCs w:val="21"/>
              </w:rPr>
              <w:t>危险废物</w:t>
            </w:r>
          </w:p>
        </w:tc>
        <w:tc>
          <w:tcPr>
            <w:tcW w:w="946" w:type="dxa"/>
            <w:shd w:val="clear" w:color="auto" w:fill="auto"/>
            <w:vAlign w:val="center"/>
          </w:tcPr>
          <w:p w14:paraId="59C3A14B">
            <w:pPr>
              <w:spacing w:line="240" w:lineRule="auto"/>
              <w:ind w:firstLine="0" w:firstLineChars="0"/>
              <w:jc w:val="center"/>
              <w:rPr>
                <w:color w:val="auto"/>
                <w:sz w:val="21"/>
                <w:szCs w:val="21"/>
              </w:rPr>
            </w:pPr>
            <w:r>
              <w:rPr>
                <w:rFonts w:hint="eastAsia"/>
                <w:color w:val="auto"/>
                <w:sz w:val="21"/>
                <w:szCs w:val="21"/>
              </w:rPr>
              <w:t>HW49</w:t>
            </w:r>
          </w:p>
        </w:tc>
        <w:tc>
          <w:tcPr>
            <w:tcW w:w="1487" w:type="dxa"/>
            <w:shd w:val="clear" w:color="auto" w:fill="auto"/>
            <w:vAlign w:val="center"/>
          </w:tcPr>
          <w:p w14:paraId="410FAD69">
            <w:pPr>
              <w:spacing w:line="240" w:lineRule="auto"/>
              <w:ind w:firstLine="0" w:firstLineChars="0"/>
              <w:jc w:val="center"/>
              <w:rPr>
                <w:color w:val="auto"/>
                <w:sz w:val="21"/>
                <w:szCs w:val="21"/>
              </w:rPr>
            </w:pPr>
            <w:r>
              <w:rPr>
                <w:rFonts w:hint="eastAsia"/>
                <w:color w:val="auto"/>
                <w:sz w:val="21"/>
                <w:szCs w:val="21"/>
              </w:rPr>
              <w:t>900-047-49</w:t>
            </w:r>
          </w:p>
        </w:tc>
        <w:tc>
          <w:tcPr>
            <w:tcW w:w="969" w:type="dxa"/>
            <w:shd w:val="clear" w:color="auto" w:fill="auto"/>
            <w:vAlign w:val="center"/>
          </w:tcPr>
          <w:p w14:paraId="117C75F4">
            <w:pPr>
              <w:tabs>
                <w:tab w:val="left" w:pos="2227"/>
              </w:tabs>
              <w:spacing w:line="240" w:lineRule="auto"/>
              <w:ind w:firstLine="0" w:firstLineChars="0"/>
              <w:jc w:val="center"/>
              <w:rPr>
                <w:color w:val="auto"/>
                <w:sz w:val="21"/>
                <w:szCs w:val="21"/>
              </w:rPr>
            </w:pPr>
            <w:r>
              <w:rPr>
                <w:rFonts w:hint="eastAsia"/>
                <w:color w:val="auto"/>
                <w:sz w:val="21"/>
                <w:szCs w:val="21"/>
              </w:rPr>
              <w:t>2400</w:t>
            </w:r>
          </w:p>
        </w:tc>
        <w:tc>
          <w:tcPr>
            <w:tcW w:w="3216" w:type="dxa"/>
            <w:shd w:val="clear" w:color="auto" w:fill="auto"/>
            <w:vAlign w:val="center"/>
          </w:tcPr>
          <w:p w14:paraId="6EC5DF30">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314DCC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dxa"/>
            <w:shd w:val="clear" w:color="auto" w:fill="auto"/>
            <w:vAlign w:val="center"/>
          </w:tcPr>
          <w:p w14:paraId="60BD6987">
            <w:pPr>
              <w:spacing w:line="240" w:lineRule="auto"/>
              <w:ind w:firstLine="0" w:firstLineChars="0"/>
              <w:jc w:val="center"/>
              <w:rPr>
                <w:color w:val="auto"/>
                <w:sz w:val="21"/>
                <w:szCs w:val="21"/>
              </w:rPr>
            </w:pPr>
            <w:r>
              <w:rPr>
                <w:color w:val="auto"/>
                <w:sz w:val="21"/>
                <w:szCs w:val="21"/>
              </w:rPr>
              <w:t>5</w:t>
            </w:r>
          </w:p>
        </w:tc>
        <w:tc>
          <w:tcPr>
            <w:tcW w:w="1307" w:type="dxa"/>
            <w:gridSpan w:val="2"/>
            <w:vMerge w:val="restart"/>
            <w:vAlign w:val="center"/>
          </w:tcPr>
          <w:p w14:paraId="5D864B7D">
            <w:pPr>
              <w:tabs>
                <w:tab w:val="left" w:pos="2227"/>
              </w:tabs>
              <w:spacing w:line="240" w:lineRule="auto"/>
              <w:ind w:firstLine="0" w:firstLineChars="0"/>
              <w:jc w:val="center"/>
              <w:rPr>
                <w:color w:val="auto"/>
                <w:sz w:val="21"/>
                <w:szCs w:val="21"/>
              </w:rPr>
            </w:pPr>
            <w:r>
              <w:rPr>
                <w:rFonts w:hint="eastAsia"/>
                <w:color w:val="auto"/>
                <w:sz w:val="21"/>
                <w:szCs w:val="21"/>
              </w:rPr>
              <w:t>铝离子回收装置</w:t>
            </w:r>
          </w:p>
        </w:tc>
        <w:tc>
          <w:tcPr>
            <w:tcW w:w="1307" w:type="dxa"/>
            <w:vAlign w:val="center"/>
          </w:tcPr>
          <w:p w14:paraId="040AE663">
            <w:pPr>
              <w:tabs>
                <w:tab w:val="left" w:pos="2227"/>
              </w:tabs>
              <w:spacing w:line="240" w:lineRule="auto"/>
              <w:ind w:firstLine="0" w:firstLineChars="0"/>
              <w:jc w:val="center"/>
              <w:rPr>
                <w:color w:val="auto"/>
                <w:sz w:val="21"/>
                <w:szCs w:val="21"/>
              </w:rPr>
            </w:pPr>
            <w:r>
              <w:rPr>
                <w:rFonts w:hint="eastAsia"/>
                <w:color w:val="auto"/>
                <w:sz w:val="21"/>
                <w:szCs w:val="21"/>
              </w:rPr>
              <w:t>废渗析膜</w:t>
            </w:r>
          </w:p>
        </w:tc>
        <w:tc>
          <w:tcPr>
            <w:tcW w:w="1539" w:type="dxa"/>
            <w:vMerge w:val="restart"/>
            <w:vAlign w:val="center"/>
          </w:tcPr>
          <w:p w14:paraId="31350DA0">
            <w:pPr>
              <w:tabs>
                <w:tab w:val="left" w:pos="2227"/>
              </w:tabs>
              <w:spacing w:line="240" w:lineRule="auto"/>
              <w:ind w:firstLine="0" w:firstLineChars="0"/>
              <w:jc w:val="center"/>
              <w:rPr>
                <w:color w:val="auto"/>
                <w:sz w:val="21"/>
                <w:szCs w:val="21"/>
              </w:rPr>
            </w:pPr>
            <w:r>
              <w:rPr>
                <w:rFonts w:hint="eastAsia"/>
                <w:color w:val="auto"/>
                <w:sz w:val="21"/>
                <w:szCs w:val="21"/>
              </w:rPr>
              <w:t>铝离子回收</w:t>
            </w:r>
          </w:p>
        </w:tc>
        <w:tc>
          <w:tcPr>
            <w:tcW w:w="1006" w:type="dxa"/>
            <w:vAlign w:val="center"/>
          </w:tcPr>
          <w:p w14:paraId="5B588CAA">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6F1931EB">
            <w:pPr>
              <w:spacing w:line="240" w:lineRule="auto"/>
              <w:ind w:firstLine="0" w:firstLineChars="0"/>
              <w:jc w:val="center"/>
              <w:rPr>
                <w:color w:val="auto"/>
                <w:sz w:val="21"/>
                <w:szCs w:val="21"/>
              </w:rPr>
            </w:pPr>
            <w:r>
              <w:rPr>
                <w:rFonts w:hint="eastAsia"/>
                <w:color w:val="auto"/>
                <w:sz w:val="21"/>
                <w:szCs w:val="21"/>
              </w:rPr>
              <w:t>危险废物</w:t>
            </w:r>
          </w:p>
        </w:tc>
        <w:tc>
          <w:tcPr>
            <w:tcW w:w="946" w:type="dxa"/>
            <w:shd w:val="clear" w:color="auto" w:fill="auto"/>
            <w:vAlign w:val="center"/>
          </w:tcPr>
          <w:p w14:paraId="349CEE3F">
            <w:pPr>
              <w:spacing w:line="240" w:lineRule="auto"/>
              <w:ind w:firstLine="0" w:firstLineChars="0"/>
              <w:jc w:val="center"/>
              <w:rPr>
                <w:color w:val="auto"/>
                <w:sz w:val="21"/>
                <w:szCs w:val="21"/>
              </w:rPr>
            </w:pPr>
            <w:r>
              <w:rPr>
                <w:rFonts w:hint="eastAsia"/>
                <w:color w:val="auto"/>
                <w:sz w:val="21"/>
                <w:szCs w:val="21"/>
              </w:rPr>
              <w:t>HW49</w:t>
            </w:r>
          </w:p>
        </w:tc>
        <w:tc>
          <w:tcPr>
            <w:tcW w:w="1487" w:type="dxa"/>
            <w:shd w:val="clear" w:color="auto" w:fill="auto"/>
            <w:vAlign w:val="center"/>
          </w:tcPr>
          <w:p w14:paraId="036CB3B1">
            <w:pPr>
              <w:spacing w:line="240" w:lineRule="auto"/>
              <w:ind w:firstLine="0" w:firstLineChars="0"/>
              <w:jc w:val="center"/>
              <w:rPr>
                <w:color w:val="auto"/>
                <w:sz w:val="21"/>
                <w:szCs w:val="21"/>
              </w:rPr>
            </w:pPr>
            <w:r>
              <w:rPr>
                <w:rFonts w:hint="eastAsia"/>
                <w:color w:val="auto"/>
                <w:sz w:val="21"/>
                <w:szCs w:val="21"/>
              </w:rPr>
              <w:t>900-041-49</w:t>
            </w:r>
          </w:p>
        </w:tc>
        <w:tc>
          <w:tcPr>
            <w:tcW w:w="969" w:type="dxa"/>
            <w:vAlign w:val="center"/>
          </w:tcPr>
          <w:p w14:paraId="7C3647BE">
            <w:pPr>
              <w:tabs>
                <w:tab w:val="left" w:pos="2227"/>
              </w:tabs>
              <w:spacing w:line="240" w:lineRule="auto"/>
              <w:ind w:firstLine="0" w:firstLineChars="0"/>
              <w:jc w:val="center"/>
              <w:rPr>
                <w:color w:val="auto"/>
                <w:sz w:val="21"/>
                <w:szCs w:val="21"/>
              </w:rPr>
            </w:pPr>
            <w:r>
              <w:rPr>
                <w:rFonts w:hint="eastAsia"/>
                <w:color w:val="auto"/>
                <w:sz w:val="21"/>
                <w:szCs w:val="21"/>
              </w:rPr>
              <w:t>1.6/2a</w:t>
            </w:r>
          </w:p>
        </w:tc>
        <w:tc>
          <w:tcPr>
            <w:tcW w:w="3216" w:type="dxa"/>
            <w:vAlign w:val="center"/>
          </w:tcPr>
          <w:p w14:paraId="496B37F0">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2FFB65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098FA38">
            <w:pPr>
              <w:spacing w:line="240" w:lineRule="auto"/>
              <w:ind w:firstLine="0" w:firstLineChars="0"/>
              <w:jc w:val="center"/>
              <w:rPr>
                <w:color w:val="auto"/>
                <w:sz w:val="21"/>
                <w:szCs w:val="21"/>
              </w:rPr>
            </w:pPr>
            <w:r>
              <w:rPr>
                <w:color w:val="auto"/>
                <w:sz w:val="21"/>
                <w:szCs w:val="21"/>
              </w:rPr>
              <w:t>6</w:t>
            </w:r>
          </w:p>
        </w:tc>
        <w:tc>
          <w:tcPr>
            <w:tcW w:w="1307" w:type="dxa"/>
            <w:gridSpan w:val="2"/>
            <w:vMerge w:val="continue"/>
            <w:shd w:val="clear" w:color="auto" w:fill="auto"/>
            <w:vAlign w:val="center"/>
          </w:tcPr>
          <w:p w14:paraId="57C3E95E">
            <w:pPr>
              <w:tabs>
                <w:tab w:val="left" w:pos="2227"/>
              </w:tabs>
              <w:spacing w:line="240" w:lineRule="auto"/>
              <w:ind w:firstLine="0" w:firstLineChars="0"/>
              <w:jc w:val="center"/>
              <w:rPr>
                <w:color w:val="auto"/>
                <w:sz w:val="21"/>
                <w:szCs w:val="21"/>
              </w:rPr>
            </w:pPr>
          </w:p>
        </w:tc>
        <w:tc>
          <w:tcPr>
            <w:tcW w:w="1307" w:type="dxa"/>
            <w:shd w:val="clear" w:color="auto" w:fill="auto"/>
            <w:vAlign w:val="center"/>
          </w:tcPr>
          <w:p w14:paraId="11DCAFBD">
            <w:pPr>
              <w:tabs>
                <w:tab w:val="left" w:pos="2227"/>
              </w:tabs>
              <w:spacing w:line="240" w:lineRule="auto"/>
              <w:ind w:firstLine="0" w:firstLineChars="0"/>
              <w:jc w:val="center"/>
              <w:rPr>
                <w:color w:val="auto"/>
                <w:sz w:val="21"/>
                <w:szCs w:val="21"/>
              </w:rPr>
            </w:pPr>
            <w:r>
              <w:rPr>
                <w:rFonts w:hint="eastAsia"/>
                <w:color w:val="auto"/>
                <w:sz w:val="21"/>
                <w:szCs w:val="21"/>
              </w:rPr>
              <w:t>废活性炭</w:t>
            </w:r>
          </w:p>
        </w:tc>
        <w:tc>
          <w:tcPr>
            <w:tcW w:w="1539" w:type="dxa"/>
            <w:vMerge w:val="continue"/>
            <w:shd w:val="clear" w:color="auto" w:fill="auto"/>
            <w:vAlign w:val="center"/>
          </w:tcPr>
          <w:p w14:paraId="5A4EB169">
            <w:pPr>
              <w:tabs>
                <w:tab w:val="left" w:pos="2227"/>
              </w:tabs>
              <w:spacing w:line="240" w:lineRule="auto"/>
              <w:ind w:firstLine="0" w:firstLineChars="0"/>
              <w:jc w:val="center"/>
              <w:rPr>
                <w:color w:val="auto"/>
                <w:sz w:val="21"/>
                <w:szCs w:val="21"/>
              </w:rPr>
            </w:pPr>
          </w:p>
        </w:tc>
        <w:tc>
          <w:tcPr>
            <w:tcW w:w="1006" w:type="dxa"/>
            <w:vAlign w:val="center"/>
          </w:tcPr>
          <w:p w14:paraId="17F8FB7D">
            <w:pPr>
              <w:spacing w:line="240" w:lineRule="auto"/>
              <w:ind w:firstLine="0" w:firstLineChars="0"/>
              <w:jc w:val="center"/>
              <w:rPr>
                <w:color w:val="auto"/>
                <w:sz w:val="21"/>
                <w:szCs w:val="21"/>
              </w:rPr>
            </w:pPr>
            <w:r>
              <w:rPr>
                <w:rFonts w:hint="eastAsia"/>
                <w:color w:val="auto"/>
                <w:sz w:val="21"/>
                <w:szCs w:val="21"/>
              </w:rPr>
              <w:t>固态</w:t>
            </w:r>
          </w:p>
        </w:tc>
        <w:tc>
          <w:tcPr>
            <w:tcW w:w="1725" w:type="dxa"/>
            <w:shd w:val="clear" w:color="auto" w:fill="auto"/>
            <w:vAlign w:val="center"/>
          </w:tcPr>
          <w:p w14:paraId="45D4A4EE">
            <w:pPr>
              <w:spacing w:line="240" w:lineRule="auto"/>
              <w:ind w:firstLine="0" w:firstLineChars="0"/>
              <w:jc w:val="center"/>
              <w:rPr>
                <w:color w:val="auto"/>
                <w:sz w:val="21"/>
                <w:szCs w:val="21"/>
              </w:rPr>
            </w:pPr>
            <w:r>
              <w:rPr>
                <w:rFonts w:hint="eastAsia"/>
                <w:color w:val="auto"/>
                <w:sz w:val="21"/>
                <w:szCs w:val="21"/>
              </w:rPr>
              <w:t>危险废物</w:t>
            </w:r>
          </w:p>
        </w:tc>
        <w:tc>
          <w:tcPr>
            <w:tcW w:w="946" w:type="dxa"/>
            <w:shd w:val="clear" w:color="auto" w:fill="auto"/>
            <w:vAlign w:val="center"/>
          </w:tcPr>
          <w:p w14:paraId="09C812FC">
            <w:pPr>
              <w:spacing w:line="240" w:lineRule="auto"/>
              <w:ind w:firstLine="0" w:firstLineChars="0"/>
              <w:jc w:val="center"/>
              <w:rPr>
                <w:color w:val="auto"/>
                <w:sz w:val="21"/>
                <w:szCs w:val="21"/>
              </w:rPr>
            </w:pPr>
            <w:r>
              <w:rPr>
                <w:rFonts w:hint="eastAsia"/>
                <w:color w:val="auto"/>
                <w:sz w:val="21"/>
                <w:szCs w:val="21"/>
              </w:rPr>
              <w:t>HW49</w:t>
            </w:r>
          </w:p>
        </w:tc>
        <w:tc>
          <w:tcPr>
            <w:tcW w:w="1487" w:type="dxa"/>
            <w:shd w:val="clear" w:color="auto" w:fill="auto"/>
            <w:vAlign w:val="center"/>
          </w:tcPr>
          <w:p w14:paraId="5B8CFCD3">
            <w:pPr>
              <w:spacing w:line="240" w:lineRule="auto"/>
              <w:ind w:firstLine="0" w:firstLineChars="0"/>
              <w:jc w:val="center"/>
              <w:rPr>
                <w:color w:val="auto"/>
                <w:sz w:val="21"/>
                <w:szCs w:val="21"/>
              </w:rPr>
            </w:pPr>
            <w:r>
              <w:rPr>
                <w:rFonts w:hint="eastAsia"/>
                <w:color w:val="auto"/>
                <w:sz w:val="21"/>
                <w:szCs w:val="21"/>
              </w:rPr>
              <w:t>900-041-49</w:t>
            </w:r>
          </w:p>
        </w:tc>
        <w:tc>
          <w:tcPr>
            <w:tcW w:w="969" w:type="dxa"/>
            <w:vAlign w:val="center"/>
          </w:tcPr>
          <w:p w14:paraId="4ACC1C18">
            <w:pPr>
              <w:tabs>
                <w:tab w:val="left" w:pos="2227"/>
              </w:tabs>
              <w:spacing w:line="240" w:lineRule="auto"/>
              <w:ind w:firstLine="0" w:firstLineChars="0"/>
              <w:jc w:val="center"/>
              <w:rPr>
                <w:color w:val="auto"/>
                <w:sz w:val="21"/>
                <w:szCs w:val="21"/>
              </w:rPr>
            </w:pPr>
            <w:r>
              <w:rPr>
                <w:rFonts w:hint="eastAsia"/>
                <w:color w:val="auto"/>
                <w:sz w:val="21"/>
                <w:szCs w:val="21"/>
              </w:rPr>
              <w:t>0.1</w:t>
            </w:r>
          </w:p>
        </w:tc>
        <w:tc>
          <w:tcPr>
            <w:tcW w:w="3216" w:type="dxa"/>
            <w:vAlign w:val="center"/>
          </w:tcPr>
          <w:p w14:paraId="135E9EB6">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61CD65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5A6C71EE">
            <w:pPr>
              <w:spacing w:line="240" w:lineRule="auto"/>
              <w:ind w:firstLine="0" w:firstLineChars="0"/>
              <w:jc w:val="center"/>
              <w:rPr>
                <w:color w:val="auto"/>
                <w:sz w:val="21"/>
                <w:szCs w:val="21"/>
              </w:rPr>
            </w:pPr>
            <w:r>
              <w:rPr>
                <w:color w:val="auto"/>
                <w:sz w:val="21"/>
                <w:szCs w:val="21"/>
              </w:rPr>
              <w:t>7</w:t>
            </w:r>
          </w:p>
        </w:tc>
        <w:tc>
          <w:tcPr>
            <w:tcW w:w="2614" w:type="dxa"/>
            <w:gridSpan w:val="3"/>
            <w:vAlign w:val="center"/>
          </w:tcPr>
          <w:p w14:paraId="0D5BACCD">
            <w:pPr>
              <w:tabs>
                <w:tab w:val="left" w:pos="2227"/>
              </w:tabs>
              <w:spacing w:line="240" w:lineRule="auto"/>
              <w:ind w:firstLine="0" w:firstLineChars="0"/>
              <w:jc w:val="center"/>
              <w:rPr>
                <w:color w:val="auto"/>
                <w:sz w:val="21"/>
                <w:szCs w:val="21"/>
              </w:rPr>
            </w:pPr>
            <w:r>
              <w:rPr>
                <w:rFonts w:hint="eastAsia"/>
                <w:color w:val="auto"/>
                <w:sz w:val="21"/>
                <w:szCs w:val="21"/>
              </w:rPr>
              <w:t>封孔污泥</w:t>
            </w:r>
          </w:p>
        </w:tc>
        <w:tc>
          <w:tcPr>
            <w:tcW w:w="1539" w:type="dxa"/>
            <w:vAlign w:val="center"/>
          </w:tcPr>
          <w:p w14:paraId="1100F92F">
            <w:pPr>
              <w:tabs>
                <w:tab w:val="left" w:pos="2227"/>
              </w:tabs>
              <w:spacing w:line="240" w:lineRule="auto"/>
              <w:ind w:firstLine="0" w:firstLineChars="0"/>
              <w:jc w:val="center"/>
              <w:rPr>
                <w:color w:val="auto"/>
                <w:sz w:val="21"/>
                <w:szCs w:val="21"/>
              </w:rPr>
            </w:pPr>
            <w:r>
              <w:rPr>
                <w:rFonts w:hint="eastAsia"/>
                <w:color w:val="auto"/>
                <w:sz w:val="21"/>
                <w:szCs w:val="21"/>
              </w:rPr>
              <w:t>封孔槽清理及废水处理</w:t>
            </w:r>
          </w:p>
        </w:tc>
        <w:tc>
          <w:tcPr>
            <w:tcW w:w="1006" w:type="dxa"/>
            <w:vAlign w:val="center"/>
          </w:tcPr>
          <w:p w14:paraId="6D644934">
            <w:pPr>
              <w:spacing w:line="240" w:lineRule="auto"/>
              <w:ind w:firstLine="0" w:firstLineChars="0"/>
              <w:jc w:val="center"/>
              <w:rPr>
                <w:color w:val="auto"/>
                <w:sz w:val="21"/>
                <w:szCs w:val="21"/>
              </w:rPr>
            </w:pPr>
            <w:r>
              <w:rPr>
                <w:rFonts w:hint="eastAsia"/>
                <w:color w:val="auto"/>
                <w:sz w:val="21"/>
                <w:szCs w:val="21"/>
              </w:rPr>
              <w:t>半固态</w:t>
            </w:r>
          </w:p>
        </w:tc>
        <w:tc>
          <w:tcPr>
            <w:tcW w:w="1725" w:type="dxa"/>
            <w:shd w:val="clear" w:color="auto" w:fill="auto"/>
            <w:vAlign w:val="center"/>
          </w:tcPr>
          <w:p w14:paraId="3B593485">
            <w:pPr>
              <w:spacing w:line="240" w:lineRule="auto"/>
              <w:ind w:firstLine="0" w:firstLineChars="0"/>
              <w:jc w:val="center"/>
              <w:rPr>
                <w:color w:val="auto"/>
                <w:sz w:val="21"/>
                <w:szCs w:val="21"/>
              </w:rPr>
            </w:pPr>
            <w:r>
              <w:rPr>
                <w:rFonts w:hint="eastAsia"/>
                <w:color w:val="auto"/>
                <w:sz w:val="21"/>
                <w:szCs w:val="21"/>
              </w:rPr>
              <w:t>一般工业固废</w:t>
            </w:r>
          </w:p>
        </w:tc>
        <w:tc>
          <w:tcPr>
            <w:tcW w:w="946" w:type="dxa"/>
            <w:shd w:val="clear" w:color="auto" w:fill="auto"/>
            <w:vAlign w:val="center"/>
          </w:tcPr>
          <w:p w14:paraId="6840AA0E">
            <w:pPr>
              <w:spacing w:line="240" w:lineRule="auto"/>
              <w:ind w:firstLine="0" w:firstLineChars="0"/>
              <w:jc w:val="center"/>
              <w:rPr>
                <w:color w:val="auto"/>
                <w:sz w:val="21"/>
                <w:szCs w:val="21"/>
              </w:rPr>
            </w:pPr>
            <w:r>
              <w:rPr>
                <w:rFonts w:hint="eastAsia"/>
                <w:color w:val="auto"/>
                <w:sz w:val="21"/>
                <w:szCs w:val="21"/>
              </w:rPr>
              <w:t>SW07</w:t>
            </w:r>
          </w:p>
        </w:tc>
        <w:tc>
          <w:tcPr>
            <w:tcW w:w="1487" w:type="dxa"/>
            <w:shd w:val="clear" w:color="auto" w:fill="auto"/>
            <w:vAlign w:val="center"/>
          </w:tcPr>
          <w:p w14:paraId="13C8CFD4">
            <w:pPr>
              <w:spacing w:line="240" w:lineRule="auto"/>
              <w:ind w:firstLine="0" w:firstLineChars="0"/>
              <w:jc w:val="center"/>
              <w:rPr>
                <w:color w:val="auto"/>
                <w:sz w:val="21"/>
                <w:szCs w:val="21"/>
              </w:rPr>
            </w:pPr>
            <w:r>
              <w:rPr>
                <w:rFonts w:hint="eastAsia"/>
                <w:color w:val="auto"/>
                <w:sz w:val="21"/>
                <w:szCs w:val="21"/>
              </w:rPr>
              <w:t>900-099-S07</w:t>
            </w:r>
          </w:p>
        </w:tc>
        <w:tc>
          <w:tcPr>
            <w:tcW w:w="969" w:type="dxa"/>
            <w:shd w:val="clear" w:color="auto" w:fill="auto"/>
            <w:vAlign w:val="center"/>
          </w:tcPr>
          <w:p w14:paraId="19D9AB58">
            <w:pPr>
              <w:tabs>
                <w:tab w:val="left" w:pos="2227"/>
              </w:tabs>
              <w:spacing w:line="240" w:lineRule="auto"/>
              <w:ind w:firstLine="0" w:firstLineChars="0"/>
              <w:jc w:val="center"/>
              <w:rPr>
                <w:color w:val="auto"/>
                <w:sz w:val="21"/>
                <w:szCs w:val="21"/>
              </w:rPr>
            </w:pPr>
            <w:r>
              <w:rPr>
                <w:rFonts w:hint="eastAsia"/>
                <w:color w:val="auto"/>
                <w:sz w:val="21"/>
                <w:szCs w:val="21"/>
              </w:rPr>
              <w:t>60</w:t>
            </w:r>
          </w:p>
        </w:tc>
        <w:tc>
          <w:tcPr>
            <w:tcW w:w="3216" w:type="dxa"/>
            <w:shd w:val="clear" w:color="auto" w:fill="auto"/>
            <w:vAlign w:val="center"/>
          </w:tcPr>
          <w:p w14:paraId="4E8F12B4">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618E01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FA964A8">
            <w:pPr>
              <w:spacing w:line="240" w:lineRule="auto"/>
              <w:ind w:firstLine="0" w:firstLineChars="0"/>
              <w:jc w:val="center"/>
              <w:rPr>
                <w:color w:val="auto"/>
                <w:sz w:val="21"/>
                <w:szCs w:val="21"/>
              </w:rPr>
            </w:pPr>
            <w:r>
              <w:rPr>
                <w:color w:val="auto"/>
                <w:sz w:val="21"/>
                <w:szCs w:val="21"/>
              </w:rPr>
              <w:t>8</w:t>
            </w:r>
          </w:p>
        </w:tc>
        <w:tc>
          <w:tcPr>
            <w:tcW w:w="2614" w:type="dxa"/>
            <w:gridSpan w:val="3"/>
            <w:vAlign w:val="center"/>
          </w:tcPr>
          <w:p w14:paraId="408753D4">
            <w:pPr>
              <w:tabs>
                <w:tab w:val="left" w:pos="2227"/>
              </w:tabs>
              <w:spacing w:line="240" w:lineRule="auto"/>
              <w:ind w:firstLine="0" w:firstLineChars="0"/>
              <w:jc w:val="center"/>
              <w:rPr>
                <w:color w:val="auto"/>
                <w:sz w:val="21"/>
                <w:szCs w:val="21"/>
              </w:rPr>
            </w:pPr>
            <w:r>
              <w:rPr>
                <w:rFonts w:hint="eastAsia"/>
                <w:color w:val="auto"/>
                <w:sz w:val="21"/>
                <w:szCs w:val="21"/>
              </w:rPr>
              <w:t>废包装膜</w:t>
            </w:r>
          </w:p>
        </w:tc>
        <w:tc>
          <w:tcPr>
            <w:tcW w:w="1539" w:type="dxa"/>
            <w:vAlign w:val="center"/>
          </w:tcPr>
          <w:p w14:paraId="22A7BAD8">
            <w:pPr>
              <w:tabs>
                <w:tab w:val="left" w:pos="2227"/>
              </w:tabs>
              <w:spacing w:line="240" w:lineRule="auto"/>
              <w:ind w:firstLine="0" w:firstLineChars="0"/>
              <w:jc w:val="center"/>
              <w:rPr>
                <w:color w:val="auto"/>
                <w:sz w:val="21"/>
                <w:szCs w:val="21"/>
              </w:rPr>
            </w:pPr>
            <w:r>
              <w:rPr>
                <w:rFonts w:hint="eastAsia"/>
                <w:color w:val="auto"/>
                <w:sz w:val="21"/>
                <w:szCs w:val="21"/>
              </w:rPr>
              <w:t>贴膜</w:t>
            </w:r>
          </w:p>
        </w:tc>
        <w:tc>
          <w:tcPr>
            <w:tcW w:w="1006" w:type="dxa"/>
            <w:vAlign w:val="center"/>
          </w:tcPr>
          <w:p w14:paraId="17B7A73E">
            <w:pPr>
              <w:spacing w:line="240" w:lineRule="auto"/>
              <w:ind w:firstLine="0" w:firstLineChars="0"/>
              <w:jc w:val="center"/>
              <w:rPr>
                <w:color w:val="auto"/>
                <w:sz w:val="21"/>
                <w:szCs w:val="21"/>
              </w:rPr>
            </w:pPr>
            <w:r>
              <w:rPr>
                <w:rFonts w:hint="eastAsia"/>
                <w:color w:val="auto"/>
                <w:sz w:val="21"/>
                <w:szCs w:val="21"/>
              </w:rPr>
              <w:t>固态</w:t>
            </w:r>
          </w:p>
        </w:tc>
        <w:tc>
          <w:tcPr>
            <w:tcW w:w="1725" w:type="dxa"/>
            <w:shd w:val="clear" w:color="auto" w:fill="auto"/>
            <w:vAlign w:val="center"/>
          </w:tcPr>
          <w:p w14:paraId="7B97C6E4">
            <w:pPr>
              <w:spacing w:line="240" w:lineRule="auto"/>
              <w:ind w:firstLine="0" w:firstLineChars="0"/>
              <w:jc w:val="center"/>
              <w:rPr>
                <w:color w:val="auto"/>
                <w:sz w:val="21"/>
                <w:szCs w:val="21"/>
              </w:rPr>
            </w:pPr>
            <w:r>
              <w:rPr>
                <w:color w:val="auto"/>
                <w:sz w:val="21"/>
                <w:szCs w:val="21"/>
              </w:rPr>
              <w:t>一般工业固废</w:t>
            </w:r>
          </w:p>
        </w:tc>
        <w:tc>
          <w:tcPr>
            <w:tcW w:w="946" w:type="dxa"/>
            <w:shd w:val="clear" w:color="auto" w:fill="auto"/>
            <w:vAlign w:val="center"/>
          </w:tcPr>
          <w:p w14:paraId="08B62313">
            <w:pPr>
              <w:spacing w:line="240" w:lineRule="auto"/>
              <w:ind w:firstLine="0" w:firstLineChars="0"/>
              <w:jc w:val="center"/>
              <w:rPr>
                <w:color w:val="auto"/>
                <w:sz w:val="21"/>
                <w:szCs w:val="21"/>
              </w:rPr>
            </w:pPr>
            <w:r>
              <w:rPr>
                <w:rFonts w:hint="eastAsia"/>
                <w:color w:val="auto"/>
                <w:sz w:val="21"/>
                <w:szCs w:val="21"/>
              </w:rPr>
              <w:t>SW59</w:t>
            </w:r>
          </w:p>
        </w:tc>
        <w:tc>
          <w:tcPr>
            <w:tcW w:w="1487" w:type="dxa"/>
            <w:shd w:val="clear" w:color="auto" w:fill="auto"/>
            <w:vAlign w:val="center"/>
          </w:tcPr>
          <w:p w14:paraId="4E6C4853">
            <w:pPr>
              <w:spacing w:line="240" w:lineRule="auto"/>
              <w:ind w:firstLine="0" w:firstLineChars="0"/>
              <w:jc w:val="center"/>
              <w:rPr>
                <w:color w:val="auto"/>
                <w:sz w:val="21"/>
                <w:szCs w:val="21"/>
              </w:rPr>
            </w:pPr>
            <w:r>
              <w:rPr>
                <w:rFonts w:hint="eastAsia"/>
                <w:color w:val="auto"/>
                <w:sz w:val="21"/>
                <w:szCs w:val="21"/>
              </w:rPr>
              <w:t>900-009-S59</w:t>
            </w:r>
          </w:p>
        </w:tc>
        <w:tc>
          <w:tcPr>
            <w:tcW w:w="969" w:type="dxa"/>
            <w:vAlign w:val="center"/>
          </w:tcPr>
          <w:p w14:paraId="2B1F6960">
            <w:pPr>
              <w:tabs>
                <w:tab w:val="left" w:pos="2227"/>
              </w:tabs>
              <w:spacing w:line="240" w:lineRule="auto"/>
              <w:ind w:firstLine="0" w:firstLineChars="0"/>
              <w:jc w:val="center"/>
              <w:rPr>
                <w:color w:val="auto"/>
                <w:sz w:val="21"/>
                <w:szCs w:val="21"/>
              </w:rPr>
            </w:pPr>
            <w:r>
              <w:rPr>
                <w:rFonts w:hint="eastAsia"/>
                <w:color w:val="auto"/>
                <w:sz w:val="21"/>
                <w:szCs w:val="21"/>
              </w:rPr>
              <w:t>120</w:t>
            </w:r>
          </w:p>
        </w:tc>
        <w:tc>
          <w:tcPr>
            <w:tcW w:w="3216" w:type="dxa"/>
            <w:vAlign w:val="center"/>
          </w:tcPr>
          <w:p w14:paraId="6F1A5DD1">
            <w:pPr>
              <w:spacing w:line="240" w:lineRule="auto"/>
              <w:ind w:firstLine="0" w:firstLineChars="0"/>
              <w:jc w:val="center"/>
              <w:rPr>
                <w:color w:val="auto"/>
                <w:sz w:val="21"/>
                <w:szCs w:val="21"/>
              </w:rPr>
            </w:pPr>
            <w:r>
              <w:rPr>
                <w:rFonts w:hint="eastAsia"/>
                <w:color w:val="auto"/>
                <w:sz w:val="21"/>
                <w:szCs w:val="21"/>
              </w:rPr>
              <w:t>交由环卫部门清运</w:t>
            </w:r>
          </w:p>
        </w:tc>
      </w:tr>
      <w:tr w14:paraId="23642C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FEADE65">
            <w:pPr>
              <w:tabs>
                <w:tab w:val="left" w:pos="2227"/>
              </w:tabs>
              <w:spacing w:line="240" w:lineRule="auto"/>
              <w:ind w:firstLine="0" w:firstLineChars="0"/>
              <w:jc w:val="center"/>
              <w:rPr>
                <w:color w:val="auto"/>
                <w:sz w:val="21"/>
                <w:szCs w:val="21"/>
              </w:rPr>
            </w:pPr>
            <w:r>
              <w:rPr>
                <w:color w:val="auto"/>
                <w:sz w:val="21"/>
                <w:szCs w:val="21"/>
              </w:rPr>
              <w:t>9</w:t>
            </w:r>
          </w:p>
        </w:tc>
        <w:tc>
          <w:tcPr>
            <w:tcW w:w="2614" w:type="dxa"/>
            <w:gridSpan w:val="3"/>
            <w:vAlign w:val="center"/>
          </w:tcPr>
          <w:p w14:paraId="10629160">
            <w:pPr>
              <w:tabs>
                <w:tab w:val="left" w:pos="2227"/>
              </w:tabs>
              <w:spacing w:line="240" w:lineRule="auto"/>
              <w:ind w:firstLine="0" w:firstLineChars="0"/>
              <w:jc w:val="center"/>
              <w:rPr>
                <w:color w:val="auto"/>
                <w:sz w:val="21"/>
                <w:szCs w:val="21"/>
              </w:rPr>
            </w:pPr>
            <w:r>
              <w:rPr>
                <w:rFonts w:hint="eastAsia"/>
                <w:color w:val="auto"/>
                <w:sz w:val="21"/>
                <w:szCs w:val="21"/>
              </w:rPr>
              <w:t>不合格品</w:t>
            </w:r>
          </w:p>
        </w:tc>
        <w:tc>
          <w:tcPr>
            <w:tcW w:w="1539" w:type="dxa"/>
            <w:vAlign w:val="center"/>
          </w:tcPr>
          <w:p w14:paraId="306FCAB2">
            <w:pPr>
              <w:tabs>
                <w:tab w:val="left" w:pos="2227"/>
              </w:tabs>
              <w:spacing w:line="240" w:lineRule="auto"/>
              <w:ind w:firstLine="0" w:firstLineChars="0"/>
              <w:jc w:val="center"/>
              <w:rPr>
                <w:color w:val="auto"/>
                <w:sz w:val="21"/>
                <w:szCs w:val="21"/>
              </w:rPr>
            </w:pPr>
            <w:r>
              <w:rPr>
                <w:rFonts w:hint="eastAsia"/>
                <w:color w:val="auto"/>
                <w:sz w:val="21"/>
                <w:szCs w:val="21"/>
              </w:rPr>
              <w:t>检验入库</w:t>
            </w:r>
          </w:p>
        </w:tc>
        <w:tc>
          <w:tcPr>
            <w:tcW w:w="1006" w:type="dxa"/>
            <w:shd w:val="clear" w:color="auto" w:fill="auto"/>
            <w:vAlign w:val="center"/>
          </w:tcPr>
          <w:p w14:paraId="4BBFD8B1">
            <w:pPr>
              <w:spacing w:line="240" w:lineRule="auto"/>
              <w:ind w:firstLine="0" w:firstLineChars="0"/>
              <w:jc w:val="center"/>
              <w:rPr>
                <w:color w:val="auto"/>
                <w:sz w:val="21"/>
                <w:szCs w:val="21"/>
              </w:rPr>
            </w:pPr>
            <w:r>
              <w:rPr>
                <w:color w:val="auto"/>
                <w:sz w:val="21"/>
                <w:szCs w:val="21"/>
              </w:rPr>
              <w:t>固态</w:t>
            </w:r>
          </w:p>
        </w:tc>
        <w:tc>
          <w:tcPr>
            <w:tcW w:w="1725" w:type="dxa"/>
            <w:shd w:val="clear" w:color="auto" w:fill="auto"/>
            <w:vAlign w:val="center"/>
          </w:tcPr>
          <w:p w14:paraId="19E8E9D3">
            <w:pPr>
              <w:spacing w:line="240" w:lineRule="auto"/>
              <w:ind w:firstLine="0" w:firstLineChars="0"/>
              <w:jc w:val="center"/>
              <w:rPr>
                <w:color w:val="auto"/>
                <w:sz w:val="21"/>
                <w:szCs w:val="21"/>
              </w:rPr>
            </w:pPr>
            <w:r>
              <w:rPr>
                <w:color w:val="auto"/>
                <w:sz w:val="21"/>
                <w:szCs w:val="21"/>
              </w:rPr>
              <w:t>一般工业固废</w:t>
            </w:r>
          </w:p>
        </w:tc>
        <w:tc>
          <w:tcPr>
            <w:tcW w:w="946" w:type="dxa"/>
            <w:shd w:val="clear" w:color="auto" w:fill="auto"/>
            <w:vAlign w:val="center"/>
          </w:tcPr>
          <w:p w14:paraId="175F103B">
            <w:pPr>
              <w:spacing w:line="240" w:lineRule="auto"/>
              <w:ind w:firstLine="0" w:firstLineChars="0"/>
              <w:jc w:val="center"/>
              <w:rPr>
                <w:color w:val="auto"/>
                <w:sz w:val="21"/>
                <w:szCs w:val="21"/>
              </w:rPr>
            </w:pPr>
            <w:r>
              <w:rPr>
                <w:rFonts w:hint="eastAsia"/>
                <w:color w:val="auto"/>
                <w:sz w:val="21"/>
                <w:szCs w:val="21"/>
              </w:rPr>
              <w:t>SW17</w:t>
            </w:r>
          </w:p>
        </w:tc>
        <w:tc>
          <w:tcPr>
            <w:tcW w:w="1487" w:type="dxa"/>
            <w:shd w:val="clear" w:color="auto" w:fill="auto"/>
            <w:vAlign w:val="center"/>
          </w:tcPr>
          <w:p w14:paraId="34FE7356">
            <w:pPr>
              <w:spacing w:line="240" w:lineRule="auto"/>
              <w:ind w:firstLine="0" w:firstLineChars="0"/>
              <w:jc w:val="center"/>
              <w:rPr>
                <w:color w:val="auto"/>
                <w:sz w:val="21"/>
                <w:szCs w:val="21"/>
              </w:rPr>
            </w:pPr>
            <w:r>
              <w:rPr>
                <w:rFonts w:hint="eastAsia"/>
                <w:color w:val="auto"/>
                <w:sz w:val="21"/>
                <w:szCs w:val="21"/>
              </w:rPr>
              <w:t>900-002-S17</w:t>
            </w:r>
          </w:p>
        </w:tc>
        <w:tc>
          <w:tcPr>
            <w:tcW w:w="969" w:type="dxa"/>
            <w:vAlign w:val="center"/>
          </w:tcPr>
          <w:p w14:paraId="209B8429">
            <w:pPr>
              <w:tabs>
                <w:tab w:val="left" w:pos="2227"/>
              </w:tabs>
              <w:spacing w:line="240" w:lineRule="auto"/>
              <w:ind w:firstLine="0" w:firstLineChars="0"/>
              <w:jc w:val="center"/>
              <w:rPr>
                <w:color w:val="auto"/>
                <w:sz w:val="21"/>
                <w:szCs w:val="21"/>
              </w:rPr>
            </w:pPr>
            <w:r>
              <w:rPr>
                <w:rFonts w:hint="eastAsia"/>
                <w:color w:val="auto"/>
                <w:sz w:val="21"/>
                <w:szCs w:val="21"/>
              </w:rPr>
              <w:t>468.5</w:t>
            </w:r>
          </w:p>
        </w:tc>
        <w:tc>
          <w:tcPr>
            <w:tcW w:w="3216" w:type="dxa"/>
            <w:vAlign w:val="center"/>
          </w:tcPr>
          <w:p w14:paraId="0929CB2D">
            <w:pPr>
              <w:spacing w:line="240" w:lineRule="auto"/>
              <w:ind w:firstLine="0" w:firstLineChars="0"/>
              <w:jc w:val="center"/>
              <w:rPr>
                <w:color w:val="auto"/>
                <w:sz w:val="21"/>
                <w:szCs w:val="21"/>
              </w:rPr>
            </w:pPr>
            <w:r>
              <w:rPr>
                <w:color w:val="auto"/>
                <w:sz w:val="21"/>
                <w:szCs w:val="21"/>
              </w:rPr>
              <w:t>外售综合利用</w:t>
            </w:r>
          </w:p>
        </w:tc>
      </w:tr>
      <w:tr w14:paraId="762524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55028836">
            <w:pPr>
              <w:tabs>
                <w:tab w:val="left" w:pos="2227"/>
              </w:tabs>
              <w:spacing w:line="240" w:lineRule="auto"/>
              <w:ind w:firstLine="0" w:firstLineChars="0"/>
              <w:jc w:val="center"/>
              <w:rPr>
                <w:color w:val="auto"/>
                <w:sz w:val="21"/>
                <w:szCs w:val="21"/>
              </w:rPr>
            </w:pPr>
            <w:r>
              <w:rPr>
                <w:color w:val="auto"/>
                <w:sz w:val="21"/>
                <w:szCs w:val="21"/>
              </w:rPr>
              <w:t>10</w:t>
            </w:r>
          </w:p>
        </w:tc>
        <w:tc>
          <w:tcPr>
            <w:tcW w:w="2614" w:type="dxa"/>
            <w:gridSpan w:val="3"/>
            <w:vAlign w:val="center"/>
          </w:tcPr>
          <w:p w14:paraId="5D306E36">
            <w:pPr>
              <w:tabs>
                <w:tab w:val="left" w:pos="2227"/>
              </w:tabs>
              <w:spacing w:line="240" w:lineRule="auto"/>
              <w:ind w:firstLine="0" w:firstLineChars="0"/>
              <w:jc w:val="center"/>
              <w:rPr>
                <w:color w:val="auto"/>
                <w:sz w:val="21"/>
                <w:szCs w:val="21"/>
              </w:rPr>
            </w:pPr>
            <w:r>
              <w:rPr>
                <w:rFonts w:hint="eastAsia"/>
                <w:color w:val="auto"/>
                <w:sz w:val="21"/>
                <w:szCs w:val="21"/>
              </w:rPr>
              <w:t>废包装材料</w:t>
            </w:r>
          </w:p>
        </w:tc>
        <w:tc>
          <w:tcPr>
            <w:tcW w:w="1539" w:type="dxa"/>
            <w:vAlign w:val="center"/>
          </w:tcPr>
          <w:p w14:paraId="2600EB5B">
            <w:pPr>
              <w:tabs>
                <w:tab w:val="left" w:pos="2227"/>
              </w:tabs>
              <w:spacing w:line="240" w:lineRule="auto"/>
              <w:ind w:firstLine="0" w:firstLineChars="0"/>
              <w:jc w:val="center"/>
              <w:rPr>
                <w:color w:val="auto"/>
                <w:sz w:val="21"/>
                <w:szCs w:val="21"/>
              </w:rPr>
            </w:pPr>
            <w:r>
              <w:rPr>
                <w:rFonts w:hint="eastAsia"/>
                <w:color w:val="auto"/>
                <w:sz w:val="21"/>
                <w:szCs w:val="21"/>
              </w:rPr>
              <w:t>检验入库</w:t>
            </w:r>
          </w:p>
        </w:tc>
        <w:tc>
          <w:tcPr>
            <w:tcW w:w="1006" w:type="dxa"/>
            <w:shd w:val="clear" w:color="auto" w:fill="auto"/>
            <w:vAlign w:val="center"/>
          </w:tcPr>
          <w:p w14:paraId="0C51BE74">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37042B0D">
            <w:pPr>
              <w:spacing w:line="240" w:lineRule="auto"/>
              <w:ind w:firstLine="0" w:firstLineChars="0"/>
              <w:jc w:val="center"/>
              <w:rPr>
                <w:color w:val="auto"/>
                <w:sz w:val="21"/>
                <w:szCs w:val="21"/>
              </w:rPr>
            </w:pPr>
            <w:r>
              <w:rPr>
                <w:color w:val="auto"/>
                <w:sz w:val="21"/>
                <w:szCs w:val="21"/>
              </w:rPr>
              <w:t>一般工业固废</w:t>
            </w:r>
          </w:p>
        </w:tc>
        <w:tc>
          <w:tcPr>
            <w:tcW w:w="946" w:type="dxa"/>
            <w:shd w:val="clear" w:color="auto" w:fill="auto"/>
            <w:vAlign w:val="center"/>
          </w:tcPr>
          <w:p w14:paraId="35F4736E">
            <w:pPr>
              <w:spacing w:line="240" w:lineRule="auto"/>
              <w:ind w:firstLine="0" w:firstLineChars="0"/>
              <w:jc w:val="center"/>
              <w:rPr>
                <w:color w:val="auto"/>
                <w:sz w:val="21"/>
                <w:szCs w:val="21"/>
              </w:rPr>
            </w:pPr>
            <w:r>
              <w:rPr>
                <w:rFonts w:hint="eastAsia"/>
                <w:color w:val="auto"/>
                <w:sz w:val="21"/>
                <w:szCs w:val="21"/>
              </w:rPr>
              <w:t>SW59</w:t>
            </w:r>
          </w:p>
        </w:tc>
        <w:tc>
          <w:tcPr>
            <w:tcW w:w="1487" w:type="dxa"/>
            <w:shd w:val="clear" w:color="auto" w:fill="auto"/>
            <w:vAlign w:val="center"/>
          </w:tcPr>
          <w:p w14:paraId="7DFD1767">
            <w:pPr>
              <w:spacing w:line="240" w:lineRule="auto"/>
              <w:ind w:firstLine="0" w:firstLineChars="0"/>
              <w:jc w:val="center"/>
              <w:rPr>
                <w:color w:val="auto"/>
                <w:sz w:val="21"/>
                <w:szCs w:val="21"/>
              </w:rPr>
            </w:pPr>
            <w:r>
              <w:rPr>
                <w:rFonts w:hint="eastAsia"/>
                <w:color w:val="auto"/>
                <w:sz w:val="21"/>
                <w:szCs w:val="21"/>
              </w:rPr>
              <w:t>900-099-S59</w:t>
            </w:r>
          </w:p>
        </w:tc>
        <w:tc>
          <w:tcPr>
            <w:tcW w:w="969" w:type="dxa"/>
            <w:vAlign w:val="center"/>
          </w:tcPr>
          <w:p w14:paraId="7177BF74">
            <w:pPr>
              <w:tabs>
                <w:tab w:val="left" w:pos="2227"/>
              </w:tabs>
              <w:spacing w:line="240" w:lineRule="auto"/>
              <w:ind w:firstLine="0" w:firstLineChars="0"/>
              <w:jc w:val="center"/>
              <w:rPr>
                <w:color w:val="auto"/>
                <w:sz w:val="21"/>
                <w:szCs w:val="21"/>
              </w:rPr>
            </w:pPr>
            <w:r>
              <w:rPr>
                <w:rFonts w:hint="eastAsia"/>
                <w:color w:val="auto"/>
                <w:sz w:val="21"/>
                <w:szCs w:val="21"/>
              </w:rPr>
              <w:t>25</w:t>
            </w:r>
          </w:p>
        </w:tc>
        <w:tc>
          <w:tcPr>
            <w:tcW w:w="3216" w:type="dxa"/>
            <w:vAlign w:val="center"/>
          </w:tcPr>
          <w:p w14:paraId="19F8BADB">
            <w:pPr>
              <w:spacing w:line="240" w:lineRule="auto"/>
              <w:ind w:firstLine="0" w:firstLineChars="0"/>
              <w:jc w:val="center"/>
              <w:rPr>
                <w:color w:val="auto"/>
                <w:sz w:val="21"/>
                <w:szCs w:val="21"/>
              </w:rPr>
            </w:pPr>
            <w:r>
              <w:rPr>
                <w:color w:val="auto"/>
                <w:sz w:val="21"/>
                <w:szCs w:val="21"/>
              </w:rPr>
              <w:t>外售综合利用</w:t>
            </w:r>
          </w:p>
        </w:tc>
      </w:tr>
      <w:tr w14:paraId="061405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0A026E26">
            <w:pPr>
              <w:tabs>
                <w:tab w:val="left" w:pos="2227"/>
              </w:tabs>
              <w:spacing w:line="240" w:lineRule="auto"/>
              <w:ind w:firstLine="0" w:firstLineChars="0"/>
              <w:jc w:val="center"/>
              <w:rPr>
                <w:color w:val="auto"/>
                <w:sz w:val="21"/>
                <w:szCs w:val="21"/>
              </w:rPr>
            </w:pPr>
            <w:r>
              <w:rPr>
                <w:color w:val="auto"/>
                <w:sz w:val="21"/>
                <w:szCs w:val="21"/>
              </w:rPr>
              <w:t>11</w:t>
            </w:r>
          </w:p>
        </w:tc>
        <w:tc>
          <w:tcPr>
            <w:tcW w:w="2614" w:type="dxa"/>
            <w:gridSpan w:val="3"/>
            <w:vAlign w:val="center"/>
          </w:tcPr>
          <w:p w14:paraId="1A4863FA">
            <w:pPr>
              <w:tabs>
                <w:tab w:val="left" w:pos="2227"/>
              </w:tabs>
              <w:spacing w:line="240" w:lineRule="auto"/>
              <w:ind w:firstLine="0" w:firstLineChars="0"/>
              <w:jc w:val="center"/>
              <w:rPr>
                <w:color w:val="auto"/>
                <w:sz w:val="21"/>
                <w:szCs w:val="21"/>
              </w:rPr>
            </w:pPr>
            <w:r>
              <w:rPr>
                <w:rFonts w:hint="eastAsia"/>
                <w:color w:val="auto"/>
                <w:sz w:val="21"/>
                <w:szCs w:val="21"/>
              </w:rPr>
              <w:t>废模具</w:t>
            </w:r>
          </w:p>
        </w:tc>
        <w:tc>
          <w:tcPr>
            <w:tcW w:w="1539" w:type="dxa"/>
            <w:vAlign w:val="center"/>
          </w:tcPr>
          <w:p w14:paraId="66301BD3">
            <w:pPr>
              <w:tabs>
                <w:tab w:val="left" w:pos="2227"/>
              </w:tabs>
              <w:spacing w:line="240" w:lineRule="auto"/>
              <w:ind w:firstLine="0" w:firstLineChars="0"/>
              <w:jc w:val="center"/>
              <w:rPr>
                <w:color w:val="auto"/>
                <w:sz w:val="21"/>
                <w:szCs w:val="21"/>
              </w:rPr>
            </w:pPr>
            <w:r>
              <w:rPr>
                <w:rFonts w:hint="eastAsia"/>
                <w:color w:val="auto"/>
                <w:sz w:val="21"/>
                <w:szCs w:val="21"/>
              </w:rPr>
              <w:t>模具清理</w:t>
            </w:r>
          </w:p>
        </w:tc>
        <w:tc>
          <w:tcPr>
            <w:tcW w:w="1006" w:type="dxa"/>
            <w:shd w:val="clear" w:color="auto" w:fill="auto"/>
            <w:vAlign w:val="center"/>
          </w:tcPr>
          <w:p w14:paraId="5EA85BB8">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7BD39B86">
            <w:pPr>
              <w:spacing w:line="240" w:lineRule="auto"/>
              <w:ind w:firstLine="0" w:firstLineChars="0"/>
              <w:jc w:val="center"/>
              <w:rPr>
                <w:color w:val="auto"/>
                <w:sz w:val="21"/>
                <w:szCs w:val="21"/>
              </w:rPr>
            </w:pPr>
            <w:r>
              <w:rPr>
                <w:color w:val="auto"/>
                <w:sz w:val="21"/>
                <w:szCs w:val="21"/>
              </w:rPr>
              <w:t>一般工业固废</w:t>
            </w:r>
          </w:p>
        </w:tc>
        <w:tc>
          <w:tcPr>
            <w:tcW w:w="946" w:type="dxa"/>
            <w:shd w:val="clear" w:color="auto" w:fill="auto"/>
            <w:vAlign w:val="center"/>
          </w:tcPr>
          <w:p w14:paraId="00026349">
            <w:pPr>
              <w:spacing w:line="240" w:lineRule="auto"/>
              <w:ind w:firstLine="0" w:firstLineChars="0"/>
              <w:jc w:val="center"/>
              <w:rPr>
                <w:color w:val="auto"/>
                <w:sz w:val="21"/>
                <w:szCs w:val="21"/>
              </w:rPr>
            </w:pPr>
            <w:r>
              <w:rPr>
                <w:rFonts w:hint="eastAsia"/>
                <w:color w:val="auto"/>
                <w:sz w:val="21"/>
                <w:szCs w:val="21"/>
              </w:rPr>
              <w:t>SW17</w:t>
            </w:r>
          </w:p>
        </w:tc>
        <w:tc>
          <w:tcPr>
            <w:tcW w:w="1487" w:type="dxa"/>
            <w:shd w:val="clear" w:color="auto" w:fill="auto"/>
            <w:vAlign w:val="center"/>
          </w:tcPr>
          <w:p w14:paraId="76A7A7E1">
            <w:pPr>
              <w:spacing w:line="240" w:lineRule="auto"/>
              <w:ind w:firstLine="0" w:firstLineChars="0"/>
              <w:jc w:val="center"/>
              <w:rPr>
                <w:color w:val="auto"/>
                <w:sz w:val="21"/>
                <w:szCs w:val="21"/>
              </w:rPr>
            </w:pPr>
            <w:r>
              <w:rPr>
                <w:rFonts w:hint="eastAsia"/>
                <w:color w:val="auto"/>
                <w:sz w:val="21"/>
                <w:szCs w:val="21"/>
              </w:rPr>
              <w:t>900-002-S17</w:t>
            </w:r>
          </w:p>
        </w:tc>
        <w:tc>
          <w:tcPr>
            <w:tcW w:w="969" w:type="dxa"/>
            <w:vAlign w:val="center"/>
          </w:tcPr>
          <w:p w14:paraId="18E06412">
            <w:pPr>
              <w:tabs>
                <w:tab w:val="left" w:pos="2227"/>
              </w:tabs>
              <w:spacing w:line="240" w:lineRule="auto"/>
              <w:ind w:firstLine="0" w:firstLineChars="0"/>
              <w:jc w:val="center"/>
              <w:rPr>
                <w:color w:val="auto"/>
                <w:sz w:val="21"/>
                <w:szCs w:val="21"/>
              </w:rPr>
            </w:pPr>
            <w:r>
              <w:rPr>
                <w:rFonts w:hint="eastAsia"/>
                <w:color w:val="auto"/>
                <w:sz w:val="21"/>
                <w:szCs w:val="21"/>
              </w:rPr>
              <w:t>44</w:t>
            </w:r>
          </w:p>
        </w:tc>
        <w:tc>
          <w:tcPr>
            <w:tcW w:w="3216" w:type="dxa"/>
            <w:vAlign w:val="center"/>
          </w:tcPr>
          <w:p w14:paraId="736BB537">
            <w:pPr>
              <w:spacing w:line="240" w:lineRule="auto"/>
              <w:ind w:firstLine="0" w:firstLineChars="0"/>
              <w:jc w:val="center"/>
              <w:rPr>
                <w:color w:val="auto"/>
                <w:sz w:val="21"/>
                <w:szCs w:val="21"/>
              </w:rPr>
            </w:pPr>
            <w:r>
              <w:rPr>
                <w:color w:val="auto"/>
                <w:sz w:val="21"/>
                <w:szCs w:val="21"/>
              </w:rPr>
              <w:t>外售综合利用</w:t>
            </w:r>
          </w:p>
        </w:tc>
      </w:tr>
      <w:tr w14:paraId="47FA7A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49201529">
            <w:pPr>
              <w:tabs>
                <w:tab w:val="left" w:pos="2227"/>
              </w:tabs>
              <w:spacing w:line="240" w:lineRule="auto"/>
              <w:ind w:firstLine="0" w:firstLineChars="0"/>
              <w:jc w:val="center"/>
              <w:rPr>
                <w:color w:val="auto"/>
                <w:sz w:val="21"/>
                <w:szCs w:val="21"/>
              </w:rPr>
            </w:pPr>
            <w:r>
              <w:rPr>
                <w:color w:val="auto"/>
                <w:sz w:val="21"/>
                <w:szCs w:val="21"/>
              </w:rPr>
              <w:t>12</w:t>
            </w:r>
          </w:p>
        </w:tc>
        <w:tc>
          <w:tcPr>
            <w:tcW w:w="2614" w:type="dxa"/>
            <w:gridSpan w:val="3"/>
            <w:vAlign w:val="center"/>
          </w:tcPr>
          <w:p w14:paraId="6ED8B071">
            <w:pPr>
              <w:tabs>
                <w:tab w:val="left" w:pos="2227"/>
              </w:tabs>
              <w:spacing w:line="240" w:lineRule="auto"/>
              <w:ind w:firstLine="0" w:firstLineChars="0"/>
              <w:jc w:val="center"/>
              <w:rPr>
                <w:color w:val="auto"/>
                <w:sz w:val="21"/>
                <w:szCs w:val="21"/>
              </w:rPr>
            </w:pPr>
            <w:r>
              <w:rPr>
                <w:rFonts w:hint="eastAsia"/>
                <w:color w:val="auto"/>
                <w:sz w:val="21"/>
                <w:szCs w:val="21"/>
              </w:rPr>
              <w:t>废研磨膏</w:t>
            </w:r>
          </w:p>
        </w:tc>
        <w:tc>
          <w:tcPr>
            <w:tcW w:w="1539" w:type="dxa"/>
            <w:vAlign w:val="center"/>
          </w:tcPr>
          <w:p w14:paraId="09F5C422">
            <w:pPr>
              <w:tabs>
                <w:tab w:val="left" w:pos="2227"/>
              </w:tabs>
              <w:spacing w:line="240" w:lineRule="auto"/>
              <w:ind w:firstLine="0" w:firstLineChars="0"/>
              <w:jc w:val="center"/>
              <w:rPr>
                <w:color w:val="auto"/>
                <w:sz w:val="21"/>
                <w:szCs w:val="21"/>
              </w:rPr>
            </w:pPr>
            <w:r>
              <w:rPr>
                <w:rFonts w:hint="eastAsia"/>
                <w:color w:val="auto"/>
                <w:sz w:val="21"/>
                <w:szCs w:val="21"/>
              </w:rPr>
              <w:t>模具处理</w:t>
            </w:r>
          </w:p>
        </w:tc>
        <w:tc>
          <w:tcPr>
            <w:tcW w:w="1006" w:type="dxa"/>
            <w:vAlign w:val="center"/>
          </w:tcPr>
          <w:p w14:paraId="3472012D">
            <w:pPr>
              <w:spacing w:line="240" w:lineRule="auto"/>
              <w:ind w:firstLine="0" w:firstLineChars="0"/>
              <w:jc w:val="center"/>
              <w:rPr>
                <w:color w:val="auto"/>
                <w:sz w:val="21"/>
                <w:szCs w:val="21"/>
              </w:rPr>
            </w:pPr>
            <w:r>
              <w:rPr>
                <w:rFonts w:hint="eastAsia"/>
                <w:color w:val="auto"/>
                <w:sz w:val="21"/>
                <w:szCs w:val="21"/>
              </w:rPr>
              <w:t>液态</w:t>
            </w:r>
          </w:p>
        </w:tc>
        <w:tc>
          <w:tcPr>
            <w:tcW w:w="1725" w:type="dxa"/>
            <w:vAlign w:val="center"/>
          </w:tcPr>
          <w:p w14:paraId="14A3F75D">
            <w:pPr>
              <w:spacing w:line="240" w:lineRule="auto"/>
              <w:ind w:firstLine="0" w:firstLineChars="0"/>
              <w:jc w:val="center"/>
              <w:rPr>
                <w:color w:val="auto"/>
                <w:sz w:val="21"/>
                <w:szCs w:val="21"/>
              </w:rPr>
            </w:pPr>
            <w:r>
              <w:rPr>
                <w:rFonts w:hint="eastAsia"/>
                <w:color w:val="auto"/>
                <w:sz w:val="21"/>
                <w:szCs w:val="21"/>
              </w:rPr>
              <w:t>危险废物</w:t>
            </w:r>
          </w:p>
        </w:tc>
        <w:tc>
          <w:tcPr>
            <w:tcW w:w="946" w:type="dxa"/>
            <w:vAlign w:val="center"/>
          </w:tcPr>
          <w:p w14:paraId="7155605B">
            <w:pPr>
              <w:spacing w:line="240" w:lineRule="auto"/>
              <w:ind w:firstLine="0" w:firstLineChars="0"/>
              <w:jc w:val="center"/>
              <w:rPr>
                <w:color w:val="auto"/>
                <w:sz w:val="21"/>
                <w:szCs w:val="21"/>
              </w:rPr>
            </w:pPr>
            <w:r>
              <w:rPr>
                <w:rFonts w:hint="eastAsia"/>
                <w:color w:val="auto"/>
                <w:sz w:val="21"/>
                <w:szCs w:val="21"/>
              </w:rPr>
              <w:t>HW08</w:t>
            </w:r>
          </w:p>
        </w:tc>
        <w:tc>
          <w:tcPr>
            <w:tcW w:w="1487" w:type="dxa"/>
            <w:vAlign w:val="center"/>
          </w:tcPr>
          <w:p w14:paraId="735E7E63">
            <w:pPr>
              <w:spacing w:line="240" w:lineRule="auto"/>
              <w:ind w:firstLine="0" w:firstLineChars="0"/>
              <w:jc w:val="center"/>
              <w:rPr>
                <w:color w:val="auto"/>
                <w:sz w:val="21"/>
                <w:szCs w:val="21"/>
              </w:rPr>
            </w:pPr>
            <w:r>
              <w:rPr>
                <w:rFonts w:hint="eastAsia"/>
                <w:color w:val="auto"/>
                <w:sz w:val="21"/>
                <w:szCs w:val="21"/>
              </w:rPr>
              <w:t>900-200-08</w:t>
            </w:r>
          </w:p>
        </w:tc>
        <w:tc>
          <w:tcPr>
            <w:tcW w:w="969" w:type="dxa"/>
            <w:vAlign w:val="center"/>
          </w:tcPr>
          <w:p w14:paraId="0B239B92">
            <w:pPr>
              <w:tabs>
                <w:tab w:val="left" w:pos="2227"/>
              </w:tabs>
              <w:spacing w:line="240" w:lineRule="auto"/>
              <w:ind w:firstLine="0" w:firstLineChars="0"/>
              <w:jc w:val="center"/>
              <w:rPr>
                <w:color w:val="auto"/>
                <w:sz w:val="21"/>
                <w:szCs w:val="21"/>
              </w:rPr>
            </w:pPr>
            <w:r>
              <w:rPr>
                <w:rFonts w:hint="eastAsia"/>
                <w:color w:val="auto"/>
                <w:sz w:val="21"/>
                <w:szCs w:val="21"/>
              </w:rPr>
              <w:t>0.05</w:t>
            </w:r>
          </w:p>
        </w:tc>
        <w:tc>
          <w:tcPr>
            <w:tcW w:w="3216" w:type="dxa"/>
            <w:vAlign w:val="center"/>
          </w:tcPr>
          <w:p w14:paraId="7013F066">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759696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dxa"/>
            <w:shd w:val="clear" w:color="auto" w:fill="auto"/>
            <w:vAlign w:val="center"/>
          </w:tcPr>
          <w:p w14:paraId="6F35C8DB">
            <w:pPr>
              <w:tabs>
                <w:tab w:val="left" w:pos="2227"/>
              </w:tabs>
              <w:spacing w:line="240" w:lineRule="auto"/>
              <w:ind w:firstLine="0" w:firstLineChars="0"/>
              <w:jc w:val="center"/>
              <w:rPr>
                <w:color w:val="auto"/>
                <w:sz w:val="21"/>
                <w:szCs w:val="21"/>
              </w:rPr>
            </w:pPr>
            <w:r>
              <w:rPr>
                <w:rFonts w:hint="eastAsia"/>
                <w:color w:val="auto"/>
                <w:sz w:val="21"/>
                <w:szCs w:val="21"/>
              </w:rPr>
              <w:t>13</w:t>
            </w:r>
          </w:p>
        </w:tc>
        <w:tc>
          <w:tcPr>
            <w:tcW w:w="2614" w:type="dxa"/>
            <w:gridSpan w:val="3"/>
            <w:vAlign w:val="center"/>
          </w:tcPr>
          <w:p w14:paraId="7D676FCB">
            <w:pPr>
              <w:tabs>
                <w:tab w:val="left" w:pos="2227"/>
              </w:tabs>
              <w:spacing w:line="240" w:lineRule="auto"/>
              <w:ind w:firstLine="0" w:firstLineChars="0"/>
              <w:jc w:val="center"/>
              <w:rPr>
                <w:color w:val="auto"/>
                <w:sz w:val="21"/>
                <w:szCs w:val="21"/>
              </w:rPr>
            </w:pPr>
            <w:r>
              <w:rPr>
                <w:rFonts w:hint="eastAsia"/>
                <w:color w:val="auto"/>
                <w:sz w:val="21"/>
                <w:szCs w:val="21"/>
              </w:rPr>
              <w:t>质检不合格品</w:t>
            </w:r>
          </w:p>
        </w:tc>
        <w:tc>
          <w:tcPr>
            <w:tcW w:w="1539" w:type="dxa"/>
            <w:vAlign w:val="center"/>
          </w:tcPr>
          <w:p w14:paraId="0438B0DE">
            <w:pPr>
              <w:tabs>
                <w:tab w:val="left" w:pos="2227"/>
              </w:tabs>
              <w:spacing w:line="240" w:lineRule="auto"/>
              <w:ind w:firstLine="0" w:firstLineChars="0"/>
              <w:jc w:val="center"/>
              <w:rPr>
                <w:color w:val="auto"/>
                <w:sz w:val="21"/>
                <w:szCs w:val="21"/>
              </w:rPr>
            </w:pPr>
            <w:r>
              <w:rPr>
                <w:rFonts w:hint="eastAsia"/>
                <w:color w:val="auto"/>
                <w:sz w:val="21"/>
                <w:szCs w:val="21"/>
              </w:rPr>
              <w:t xml:space="preserve">质检 </w:t>
            </w:r>
          </w:p>
        </w:tc>
        <w:tc>
          <w:tcPr>
            <w:tcW w:w="1006" w:type="dxa"/>
            <w:shd w:val="clear" w:color="auto" w:fill="auto"/>
            <w:vAlign w:val="center"/>
          </w:tcPr>
          <w:p w14:paraId="0DE5DA57">
            <w:pPr>
              <w:spacing w:line="240" w:lineRule="auto"/>
              <w:ind w:firstLine="0" w:firstLineChars="0"/>
              <w:jc w:val="center"/>
              <w:rPr>
                <w:color w:val="auto"/>
                <w:sz w:val="21"/>
                <w:szCs w:val="21"/>
              </w:rPr>
            </w:pPr>
            <w:r>
              <w:rPr>
                <w:color w:val="auto"/>
                <w:sz w:val="21"/>
                <w:szCs w:val="21"/>
              </w:rPr>
              <w:t>固态</w:t>
            </w:r>
          </w:p>
        </w:tc>
        <w:tc>
          <w:tcPr>
            <w:tcW w:w="1725" w:type="dxa"/>
            <w:vAlign w:val="center"/>
          </w:tcPr>
          <w:p w14:paraId="45F5FD18">
            <w:pPr>
              <w:spacing w:line="240" w:lineRule="auto"/>
              <w:ind w:firstLine="0" w:firstLineChars="0"/>
              <w:jc w:val="center"/>
              <w:rPr>
                <w:color w:val="auto"/>
                <w:sz w:val="21"/>
                <w:szCs w:val="21"/>
              </w:rPr>
            </w:pPr>
            <w:r>
              <w:rPr>
                <w:color w:val="auto"/>
                <w:sz w:val="21"/>
                <w:szCs w:val="21"/>
              </w:rPr>
              <w:t>一般工业固废</w:t>
            </w:r>
          </w:p>
        </w:tc>
        <w:tc>
          <w:tcPr>
            <w:tcW w:w="946" w:type="dxa"/>
            <w:shd w:val="clear" w:color="auto" w:fill="auto"/>
            <w:vAlign w:val="center"/>
          </w:tcPr>
          <w:p w14:paraId="08FB521F">
            <w:pPr>
              <w:spacing w:line="240" w:lineRule="auto"/>
              <w:ind w:firstLine="0" w:firstLineChars="0"/>
              <w:jc w:val="center"/>
              <w:rPr>
                <w:color w:val="auto"/>
                <w:sz w:val="21"/>
                <w:szCs w:val="21"/>
              </w:rPr>
            </w:pPr>
            <w:r>
              <w:rPr>
                <w:rFonts w:hint="eastAsia"/>
                <w:color w:val="auto"/>
                <w:sz w:val="21"/>
                <w:szCs w:val="21"/>
              </w:rPr>
              <w:t>SW17</w:t>
            </w:r>
          </w:p>
        </w:tc>
        <w:tc>
          <w:tcPr>
            <w:tcW w:w="1487" w:type="dxa"/>
            <w:shd w:val="clear" w:color="auto" w:fill="auto"/>
            <w:vAlign w:val="center"/>
          </w:tcPr>
          <w:p w14:paraId="2C8A1EEB">
            <w:pPr>
              <w:spacing w:line="240" w:lineRule="auto"/>
              <w:ind w:firstLine="0" w:firstLineChars="0"/>
              <w:jc w:val="center"/>
              <w:rPr>
                <w:color w:val="auto"/>
                <w:sz w:val="21"/>
                <w:szCs w:val="21"/>
              </w:rPr>
            </w:pPr>
            <w:r>
              <w:rPr>
                <w:rFonts w:hint="eastAsia"/>
                <w:color w:val="auto"/>
                <w:sz w:val="21"/>
                <w:szCs w:val="21"/>
              </w:rPr>
              <w:t>900-002-S17</w:t>
            </w:r>
          </w:p>
        </w:tc>
        <w:tc>
          <w:tcPr>
            <w:tcW w:w="969" w:type="dxa"/>
            <w:vAlign w:val="center"/>
          </w:tcPr>
          <w:p w14:paraId="49D0E4ED">
            <w:pPr>
              <w:tabs>
                <w:tab w:val="left" w:pos="2227"/>
              </w:tabs>
              <w:spacing w:line="240" w:lineRule="auto"/>
              <w:ind w:firstLine="0" w:firstLineChars="0"/>
              <w:jc w:val="center"/>
              <w:rPr>
                <w:color w:val="auto"/>
                <w:sz w:val="21"/>
                <w:szCs w:val="21"/>
              </w:rPr>
            </w:pPr>
            <w:r>
              <w:rPr>
                <w:rFonts w:hint="eastAsia"/>
                <w:color w:val="auto"/>
                <w:sz w:val="21"/>
                <w:szCs w:val="21"/>
              </w:rPr>
              <w:t>384.90</w:t>
            </w:r>
          </w:p>
        </w:tc>
        <w:tc>
          <w:tcPr>
            <w:tcW w:w="3216" w:type="dxa"/>
            <w:vAlign w:val="center"/>
          </w:tcPr>
          <w:p w14:paraId="6DEB43D8">
            <w:pPr>
              <w:spacing w:line="240" w:lineRule="auto"/>
              <w:ind w:firstLine="0" w:firstLineChars="0"/>
              <w:jc w:val="center"/>
              <w:rPr>
                <w:color w:val="auto"/>
                <w:sz w:val="21"/>
                <w:szCs w:val="21"/>
              </w:rPr>
            </w:pPr>
            <w:r>
              <w:rPr>
                <w:color w:val="auto"/>
                <w:sz w:val="21"/>
                <w:szCs w:val="21"/>
              </w:rPr>
              <w:t>外售综合利用</w:t>
            </w:r>
          </w:p>
        </w:tc>
      </w:tr>
      <w:tr w14:paraId="6C0518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2D29CE42">
            <w:pPr>
              <w:tabs>
                <w:tab w:val="left" w:pos="2227"/>
              </w:tabs>
              <w:spacing w:line="240" w:lineRule="auto"/>
              <w:ind w:firstLine="0" w:firstLineChars="0"/>
              <w:jc w:val="center"/>
              <w:rPr>
                <w:color w:val="auto"/>
                <w:sz w:val="21"/>
                <w:szCs w:val="21"/>
              </w:rPr>
            </w:pPr>
            <w:r>
              <w:rPr>
                <w:color w:val="auto"/>
                <w:sz w:val="21"/>
                <w:szCs w:val="21"/>
              </w:rPr>
              <w:t>14</w:t>
            </w:r>
          </w:p>
        </w:tc>
        <w:tc>
          <w:tcPr>
            <w:tcW w:w="2614" w:type="dxa"/>
            <w:gridSpan w:val="3"/>
            <w:vAlign w:val="center"/>
          </w:tcPr>
          <w:p w14:paraId="37DA75B2">
            <w:pPr>
              <w:tabs>
                <w:tab w:val="left" w:pos="2227"/>
              </w:tabs>
              <w:spacing w:line="240" w:lineRule="auto"/>
              <w:ind w:firstLine="0" w:firstLineChars="0"/>
              <w:jc w:val="center"/>
              <w:rPr>
                <w:color w:val="auto"/>
                <w:sz w:val="21"/>
                <w:szCs w:val="21"/>
              </w:rPr>
            </w:pPr>
            <w:r>
              <w:rPr>
                <w:rFonts w:hint="eastAsia"/>
                <w:color w:val="auto"/>
                <w:sz w:val="21"/>
                <w:szCs w:val="21"/>
              </w:rPr>
              <w:t>废试剂瓶</w:t>
            </w:r>
          </w:p>
        </w:tc>
        <w:tc>
          <w:tcPr>
            <w:tcW w:w="1539" w:type="dxa"/>
            <w:vAlign w:val="center"/>
          </w:tcPr>
          <w:p w14:paraId="52E1FE96">
            <w:pPr>
              <w:tabs>
                <w:tab w:val="left" w:pos="2227"/>
              </w:tabs>
              <w:spacing w:line="240" w:lineRule="auto"/>
              <w:ind w:firstLine="0" w:firstLineChars="0"/>
              <w:jc w:val="center"/>
              <w:rPr>
                <w:color w:val="auto"/>
                <w:sz w:val="21"/>
                <w:szCs w:val="21"/>
              </w:rPr>
            </w:pPr>
            <w:r>
              <w:rPr>
                <w:rFonts w:hint="eastAsia"/>
                <w:color w:val="auto"/>
                <w:sz w:val="21"/>
                <w:szCs w:val="21"/>
              </w:rPr>
              <w:t>质检</w:t>
            </w:r>
          </w:p>
        </w:tc>
        <w:tc>
          <w:tcPr>
            <w:tcW w:w="1006" w:type="dxa"/>
            <w:shd w:val="clear" w:color="auto" w:fill="auto"/>
            <w:vAlign w:val="center"/>
          </w:tcPr>
          <w:p w14:paraId="42F0A0ED">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245A752C">
            <w:pPr>
              <w:spacing w:line="240" w:lineRule="auto"/>
              <w:ind w:firstLine="0" w:firstLineChars="0"/>
              <w:jc w:val="center"/>
              <w:rPr>
                <w:color w:val="auto"/>
                <w:sz w:val="21"/>
                <w:szCs w:val="21"/>
              </w:rPr>
            </w:pPr>
            <w:r>
              <w:rPr>
                <w:rFonts w:hint="eastAsia"/>
                <w:color w:val="auto"/>
                <w:sz w:val="21"/>
                <w:szCs w:val="21"/>
              </w:rPr>
              <w:t>危险废物</w:t>
            </w:r>
          </w:p>
        </w:tc>
        <w:tc>
          <w:tcPr>
            <w:tcW w:w="946" w:type="dxa"/>
            <w:vAlign w:val="center"/>
          </w:tcPr>
          <w:p w14:paraId="3D4DE0FE">
            <w:pPr>
              <w:spacing w:line="240" w:lineRule="auto"/>
              <w:ind w:firstLine="0" w:firstLineChars="0"/>
              <w:jc w:val="center"/>
              <w:rPr>
                <w:color w:val="auto"/>
                <w:sz w:val="21"/>
                <w:szCs w:val="21"/>
              </w:rPr>
            </w:pPr>
            <w:r>
              <w:rPr>
                <w:rFonts w:hint="eastAsia"/>
                <w:color w:val="auto"/>
                <w:sz w:val="21"/>
                <w:szCs w:val="21"/>
              </w:rPr>
              <w:t>HW49</w:t>
            </w:r>
          </w:p>
        </w:tc>
        <w:tc>
          <w:tcPr>
            <w:tcW w:w="1487" w:type="dxa"/>
            <w:vAlign w:val="center"/>
          </w:tcPr>
          <w:p w14:paraId="6FBD391A">
            <w:pPr>
              <w:spacing w:line="240" w:lineRule="auto"/>
              <w:ind w:firstLine="0" w:firstLineChars="0"/>
              <w:jc w:val="center"/>
              <w:rPr>
                <w:color w:val="auto"/>
                <w:sz w:val="21"/>
                <w:szCs w:val="21"/>
              </w:rPr>
            </w:pPr>
            <w:r>
              <w:rPr>
                <w:rFonts w:hint="eastAsia"/>
                <w:color w:val="auto"/>
                <w:sz w:val="21"/>
                <w:szCs w:val="21"/>
              </w:rPr>
              <w:t>900-041-49</w:t>
            </w:r>
          </w:p>
        </w:tc>
        <w:tc>
          <w:tcPr>
            <w:tcW w:w="969" w:type="dxa"/>
            <w:vAlign w:val="center"/>
          </w:tcPr>
          <w:p w14:paraId="49448990">
            <w:pPr>
              <w:tabs>
                <w:tab w:val="left" w:pos="2227"/>
              </w:tabs>
              <w:spacing w:line="240" w:lineRule="auto"/>
              <w:ind w:firstLine="0" w:firstLineChars="0"/>
              <w:jc w:val="center"/>
              <w:rPr>
                <w:color w:val="auto"/>
                <w:sz w:val="21"/>
                <w:szCs w:val="21"/>
              </w:rPr>
            </w:pPr>
            <w:r>
              <w:rPr>
                <w:rFonts w:hint="eastAsia"/>
                <w:color w:val="auto"/>
                <w:sz w:val="21"/>
                <w:szCs w:val="21"/>
              </w:rPr>
              <w:t>0.51</w:t>
            </w:r>
          </w:p>
        </w:tc>
        <w:tc>
          <w:tcPr>
            <w:tcW w:w="3216" w:type="dxa"/>
            <w:shd w:val="clear" w:color="auto" w:fill="auto"/>
            <w:vAlign w:val="center"/>
          </w:tcPr>
          <w:p w14:paraId="655E4189">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1A598F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A76EC81">
            <w:pPr>
              <w:tabs>
                <w:tab w:val="left" w:pos="2227"/>
              </w:tabs>
              <w:spacing w:line="240" w:lineRule="auto"/>
              <w:ind w:firstLine="0" w:firstLineChars="0"/>
              <w:jc w:val="center"/>
              <w:rPr>
                <w:color w:val="auto"/>
                <w:sz w:val="21"/>
                <w:szCs w:val="21"/>
              </w:rPr>
            </w:pPr>
            <w:r>
              <w:rPr>
                <w:color w:val="auto"/>
                <w:sz w:val="21"/>
                <w:szCs w:val="21"/>
              </w:rPr>
              <w:t>15</w:t>
            </w:r>
          </w:p>
        </w:tc>
        <w:tc>
          <w:tcPr>
            <w:tcW w:w="2614" w:type="dxa"/>
            <w:gridSpan w:val="3"/>
            <w:vAlign w:val="center"/>
          </w:tcPr>
          <w:p w14:paraId="5F5BDA5E">
            <w:pPr>
              <w:tabs>
                <w:tab w:val="left" w:pos="2227"/>
              </w:tabs>
              <w:spacing w:line="240" w:lineRule="auto"/>
              <w:ind w:firstLine="0" w:firstLineChars="0"/>
              <w:jc w:val="center"/>
              <w:rPr>
                <w:color w:val="auto"/>
                <w:sz w:val="21"/>
                <w:szCs w:val="21"/>
              </w:rPr>
            </w:pPr>
            <w:r>
              <w:rPr>
                <w:rFonts w:hint="eastAsia"/>
                <w:color w:val="auto"/>
                <w:sz w:val="21"/>
                <w:szCs w:val="21"/>
              </w:rPr>
              <w:t>废试剂</w:t>
            </w:r>
          </w:p>
        </w:tc>
        <w:tc>
          <w:tcPr>
            <w:tcW w:w="1539" w:type="dxa"/>
            <w:vAlign w:val="center"/>
          </w:tcPr>
          <w:p w14:paraId="61D52941">
            <w:pPr>
              <w:tabs>
                <w:tab w:val="left" w:pos="2227"/>
              </w:tabs>
              <w:spacing w:line="240" w:lineRule="auto"/>
              <w:ind w:firstLine="0" w:firstLineChars="0"/>
              <w:jc w:val="center"/>
              <w:rPr>
                <w:color w:val="auto"/>
                <w:sz w:val="21"/>
                <w:szCs w:val="21"/>
              </w:rPr>
            </w:pPr>
            <w:r>
              <w:rPr>
                <w:rFonts w:hint="eastAsia"/>
                <w:color w:val="auto"/>
                <w:sz w:val="21"/>
                <w:szCs w:val="21"/>
              </w:rPr>
              <w:t>质检</w:t>
            </w:r>
          </w:p>
        </w:tc>
        <w:tc>
          <w:tcPr>
            <w:tcW w:w="1006" w:type="dxa"/>
            <w:shd w:val="clear" w:color="auto" w:fill="auto"/>
            <w:vAlign w:val="center"/>
          </w:tcPr>
          <w:p w14:paraId="499C8C0A">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15B524EA">
            <w:pPr>
              <w:spacing w:line="240" w:lineRule="auto"/>
              <w:ind w:firstLine="0" w:firstLineChars="0"/>
              <w:jc w:val="center"/>
              <w:rPr>
                <w:color w:val="auto"/>
                <w:sz w:val="21"/>
                <w:szCs w:val="21"/>
              </w:rPr>
            </w:pPr>
            <w:r>
              <w:rPr>
                <w:rFonts w:hint="eastAsia"/>
                <w:color w:val="auto"/>
                <w:sz w:val="21"/>
                <w:szCs w:val="21"/>
              </w:rPr>
              <w:t>危险废物</w:t>
            </w:r>
          </w:p>
        </w:tc>
        <w:tc>
          <w:tcPr>
            <w:tcW w:w="946" w:type="dxa"/>
            <w:shd w:val="clear" w:color="auto" w:fill="auto"/>
            <w:vAlign w:val="center"/>
          </w:tcPr>
          <w:p w14:paraId="6155F135">
            <w:pPr>
              <w:spacing w:line="240" w:lineRule="auto"/>
              <w:ind w:firstLine="0" w:firstLineChars="0"/>
              <w:jc w:val="center"/>
              <w:rPr>
                <w:color w:val="auto"/>
                <w:sz w:val="21"/>
                <w:szCs w:val="21"/>
              </w:rPr>
            </w:pPr>
            <w:r>
              <w:rPr>
                <w:rFonts w:hint="eastAsia"/>
                <w:color w:val="auto"/>
                <w:sz w:val="21"/>
                <w:szCs w:val="21"/>
              </w:rPr>
              <w:t>HW49</w:t>
            </w:r>
          </w:p>
        </w:tc>
        <w:tc>
          <w:tcPr>
            <w:tcW w:w="1487" w:type="dxa"/>
            <w:shd w:val="clear" w:color="auto" w:fill="auto"/>
            <w:vAlign w:val="center"/>
          </w:tcPr>
          <w:p w14:paraId="3913740B">
            <w:pPr>
              <w:spacing w:line="240" w:lineRule="auto"/>
              <w:ind w:firstLine="0" w:firstLineChars="0"/>
              <w:jc w:val="center"/>
              <w:rPr>
                <w:color w:val="auto"/>
                <w:sz w:val="21"/>
                <w:szCs w:val="21"/>
              </w:rPr>
            </w:pPr>
            <w:r>
              <w:rPr>
                <w:rFonts w:hint="eastAsia"/>
                <w:color w:val="auto"/>
                <w:sz w:val="21"/>
                <w:szCs w:val="21"/>
              </w:rPr>
              <w:t>900-047-49</w:t>
            </w:r>
          </w:p>
        </w:tc>
        <w:tc>
          <w:tcPr>
            <w:tcW w:w="969" w:type="dxa"/>
            <w:vAlign w:val="center"/>
          </w:tcPr>
          <w:p w14:paraId="3A579227">
            <w:pPr>
              <w:tabs>
                <w:tab w:val="left" w:pos="2227"/>
              </w:tabs>
              <w:spacing w:line="240" w:lineRule="auto"/>
              <w:ind w:firstLine="0" w:firstLineChars="0"/>
              <w:jc w:val="center"/>
              <w:rPr>
                <w:color w:val="auto"/>
                <w:sz w:val="21"/>
                <w:szCs w:val="21"/>
              </w:rPr>
            </w:pPr>
            <w:r>
              <w:rPr>
                <w:rFonts w:hint="eastAsia"/>
                <w:color w:val="auto"/>
                <w:sz w:val="21"/>
                <w:szCs w:val="21"/>
              </w:rPr>
              <w:t>0.3</w:t>
            </w:r>
          </w:p>
        </w:tc>
        <w:tc>
          <w:tcPr>
            <w:tcW w:w="3216" w:type="dxa"/>
            <w:shd w:val="clear" w:color="auto" w:fill="auto"/>
            <w:vAlign w:val="center"/>
          </w:tcPr>
          <w:p w14:paraId="4C8EB8EF">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2B68AF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78EAAEEC">
            <w:pPr>
              <w:tabs>
                <w:tab w:val="left" w:pos="2227"/>
              </w:tabs>
              <w:spacing w:line="240" w:lineRule="auto"/>
              <w:ind w:firstLine="0" w:firstLineChars="0"/>
              <w:jc w:val="center"/>
              <w:rPr>
                <w:color w:val="auto"/>
                <w:sz w:val="21"/>
                <w:szCs w:val="21"/>
              </w:rPr>
            </w:pPr>
            <w:r>
              <w:rPr>
                <w:color w:val="auto"/>
                <w:sz w:val="21"/>
                <w:szCs w:val="21"/>
              </w:rPr>
              <w:t>16</w:t>
            </w:r>
          </w:p>
        </w:tc>
        <w:tc>
          <w:tcPr>
            <w:tcW w:w="822" w:type="dxa"/>
            <w:vMerge w:val="restart"/>
            <w:vAlign w:val="center"/>
          </w:tcPr>
          <w:p w14:paraId="5E459F53">
            <w:pPr>
              <w:tabs>
                <w:tab w:val="left" w:pos="2227"/>
              </w:tabs>
              <w:spacing w:line="240" w:lineRule="auto"/>
              <w:ind w:firstLine="0" w:firstLineChars="0"/>
              <w:jc w:val="center"/>
              <w:rPr>
                <w:color w:val="auto"/>
                <w:sz w:val="21"/>
                <w:szCs w:val="21"/>
              </w:rPr>
            </w:pPr>
            <w:r>
              <w:rPr>
                <w:rFonts w:hint="eastAsia"/>
                <w:color w:val="auto"/>
                <w:sz w:val="21"/>
                <w:szCs w:val="21"/>
              </w:rPr>
              <w:t>纯水制备产生的废弃物</w:t>
            </w:r>
          </w:p>
        </w:tc>
        <w:tc>
          <w:tcPr>
            <w:tcW w:w="1792" w:type="dxa"/>
            <w:gridSpan w:val="2"/>
            <w:vAlign w:val="center"/>
          </w:tcPr>
          <w:p w14:paraId="2FFE1C47">
            <w:pPr>
              <w:tabs>
                <w:tab w:val="left" w:pos="2227"/>
              </w:tabs>
              <w:spacing w:line="240" w:lineRule="auto"/>
              <w:ind w:firstLine="0" w:firstLineChars="0"/>
              <w:jc w:val="center"/>
              <w:rPr>
                <w:color w:val="auto"/>
                <w:sz w:val="21"/>
                <w:szCs w:val="21"/>
              </w:rPr>
            </w:pPr>
            <w:r>
              <w:rPr>
                <w:rFonts w:hint="eastAsia"/>
                <w:color w:val="auto"/>
                <w:sz w:val="21"/>
                <w:szCs w:val="21"/>
              </w:rPr>
              <w:t>废石英砂</w:t>
            </w:r>
          </w:p>
        </w:tc>
        <w:tc>
          <w:tcPr>
            <w:tcW w:w="1539" w:type="dxa"/>
            <w:vMerge w:val="restart"/>
            <w:vAlign w:val="center"/>
          </w:tcPr>
          <w:p w14:paraId="428FA390">
            <w:pPr>
              <w:tabs>
                <w:tab w:val="left" w:pos="2227"/>
              </w:tabs>
              <w:spacing w:line="240" w:lineRule="auto"/>
              <w:ind w:firstLine="0" w:firstLineChars="0"/>
              <w:jc w:val="center"/>
              <w:rPr>
                <w:color w:val="auto"/>
                <w:sz w:val="21"/>
                <w:szCs w:val="21"/>
              </w:rPr>
            </w:pPr>
            <w:r>
              <w:rPr>
                <w:rFonts w:hint="eastAsia"/>
                <w:color w:val="auto"/>
                <w:sz w:val="21"/>
                <w:szCs w:val="21"/>
              </w:rPr>
              <w:t>纯水制备</w:t>
            </w:r>
          </w:p>
        </w:tc>
        <w:tc>
          <w:tcPr>
            <w:tcW w:w="1006" w:type="dxa"/>
            <w:shd w:val="clear" w:color="auto" w:fill="auto"/>
            <w:vAlign w:val="center"/>
          </w:tcPr>
          <w:p w14:paraId="1B82A800">
            <w:pPr>
              <w:spacing w:line="240" w:lineRule="auto"/>
              <w:ind w:firstLine="0" w:firstLineChars="0"/>
              <w:jc w:val="center"/>
              <w:rPr>
                <w:color w:val="auto"/>
                <w:sz w:val="21"/>
                <w:szCs w:val="21"/>
              </w:rPr>
            </w:pPr>
            <w:r>
              <w:rPr>
                <w:color w:val="auto"/>
                <w:sz w:val="21"/>
                <w:szCs w:val="21"/>
              </w:rPr>
              <w:t>固态</w:t>
            </w:r>
          </w:p>
        </w:tc>
        <w:tc>
          <w:tcPr>
            <w:tcW w:w="1725" w:type="dxa"/>
            <w:vMerge w:val="restart"/>
            <w:vAlign w:val="center"/>
          </w:tcPr>
          <w:p w14:paraId="7E73D5EC">
            <w:pPr>
              <w:spacing w:line="240" w:lineRule="auto"/>
              <w:ind w:firstLine="0" w:firstLineChars="0"/>
              <w:jc w:val="center"/>
              <w:rPr>
                <w:color w:val="auto"/>
                <w:sz w:val="21"/>
                <w:szCs w:val="21"/>
              </w:rPr>
            </w:pPr>
            <w:r>
              <w:rPr>
                <w:color w:val="auto"/>
                <w:sz w:val="21"/>
                <w:szCs w:val="21"/>
              </w:rPr>
              <w:t>一般工业固废</w:t>
            </w:r>
          </w:p>
        </w:tc>
        <w:tc>
          <w:tcPr>
            <w:tcW w:w="946" w:type="dxa"/>
            <w:vAlign w:val="center"/>
          </w:tcPr>
          <w:p w14:paraId="3CE2BB57">
            <w:pPr>
              <w:spacing w:line="240" w:lineRule="auto"/>
              <w:ind w:firstLine="0" w:firstLineChars="0"/>
              <w:jc w:val="center"/>
              <w:rPr>
                <w:color w:val="auto"/>
                <w:sz w:val="21"/>
                <w:szCs w:val="21"/>
              </w:rPr>
            </w:pPr>
            <w:r>
              <w:rPr>
                <w:rFonts w:hint="eastAsia"/>
                <w:color w:val="auto"/>
                <w:sz w:val="21"/>
                <w:szCs w:val="21"/>
              </w:rPr>
              <w:t>SW59</w:t>
            </w:r>
          </w:p>
        </w:tc>
        <w:tc>
          <w:tcPr>
            <w:tcW w:w="1487" w:type="dxa"/>
            <w:vAlign w:val="center"/>
          </w:tcPr>
          <w:p w14:paraId="6139D524">
            <w:pPr>
              <w:spacing w:line="240" w:lineRule="auto"/>
              <w:ind w:firstLine="0" w:firstLineChars="0"/>
              <w:jc w:val="center"/>
              <w:rPr>
                <w:color w:val="auto"/>
                <w:sz w:val="21"/>
                <w:szCs w:val="21"/>
              </w:rPr>
            </w:pPr>
            <w:r>
              <w:rPr>
                <w:rFonts w:hint="eastAsia"/>
                <w:color w:val="auto"/>
                <w:sz w:val="21"/>
                <w:szCs w:val="21"/>
              </w:rPr>
              <w:t>900-009-S59</w:t>
            </w:r>
          </w:p>
        </w:tc>
        <w:tc>
          <w:tcPr>
            <w:tcW w:w="969" w:type="dxa"/>
            <w:vAlign w:val="center"/>
          </w:tcPr>
          <w:p w14:paraId="02B2AC6F">
            <w:pPr>
              <w:tabs>
                <w:tab w:val="left" w:pos="2227"/>
              </w:tabs>
              <w:spacing w:line="240" w:lineRule="auto"/>
              <w:ind w:firstLine="0" w:firstLineChars="0"/>
              <w:jc w:val="center"/>
              <w:rPr>
                <w:color w:val="auto"/>
                <w:sz w:val="21"/>
                <w:szCs w:val="21"/>
              </w:rPr>
            </w:pPr>
            <w:r>
              <w:rPr>
                <w:rFonts w:hint="eastAsia"/>
                <w:color w:val="auto"/>
                <w:sz w:val="21"/>
                <w:szCs w:val="21"/>
              </w:rPr>
              <w:t>5/2a</w:t>
            </w:r>
          </w:p>
        </w:tc>
        <w:tc>
          <w:tcPr>
            <w:tcW w:w="3216" w:type="dxa"/>
            <w:shd w:val="clear" w:color="auto" w:fill="auto"/>
            <w:vAlign w:val="center"/>
          </w:tcPr>
          <w:p w14:paraId="1B8DD673">
            <w:pPr>
              <w:spacing w:line="240" w:lineRule="auto"/>
              <w:ind w:firstLine="0" w:firstLineChars="0"/>
              <w:jc w:val="center"/>
              <w:rPr>
                <w:color w:val="auto"/>
                <w:sz w:val="21"/>
                <w:szCs w:val="21"/>
              </w:rPr>
            </w:pPr>
            <w:r>
              <w:rPr>
                <w:rFonts w:hint="eastAsia"/>
                <w:color w:val="auto"/>
                <w:sz w:val="21"/>
                <w:szCs w:val="21"/>
              </w:rPr>
              <w:t>交由环卫部门清运</w:t>
            </w:r>
          </w:p>
        </w:tc>
      </w:tr>
      <w:tr w14:paraId="710C8E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6A135C0D">
            <w:pPr>
              <w:tabs>
                <w:tab w:val="left" w:pos="2227"/>
              </w:tabs>
              <w:spacing w:line="240" w:lineRule="auto"/>
              <w:ind w:firstLine="0" w:firstLineChars="0"/>
              <w:jc w:val="center"/>
              <w:rPr>
                <w:color w:val="auto"/>
                <w:sz w:val="21"/>
                <w:szCs w:val="21"/>
              </w:rPr>
            </w:pPr>
            <w:r>
              <w:rPr>
                <w:color w:val="auto"/>
                <w:sz w:val="21"/>
                <w:szCs w:val="21"/>
              </w:rPr>
              <w:t>17</w:t>
            </w:r>
          </w:p>
        </w:tc>
        <w:tc>
          <w:tcPr>
            <w:tcW w:w="822" w:type="dxa"/>
            <w:vMerge w:val="continue"/>
            <w:vAlign w:val="center"/>
          </w:tcPr>
          <w:p w14:paraId="03BF617A">
            <w:pPr>
              <w:tabs>
                <w:tab w:val="left" w:pos="2227"/>
              </w:tabs>
              <w:spacing w:line="240" w:lineRule="auto"/>
              <w:ind w:firstLine="0" w:firstLineChars="0"/>
              <w:jc w:val="center"/>
              <w:rPr>
                <w:color w:val="auto"/>
                <w:sz w:val="21"/>
                <w:szCs w:val="21"/>
              </w:rPr>
            </w:pPr>
          </w:p>
        </w:tc>
        <w:tc>
          <w:tcPr>
            <w:tcW w:w="1792" w:type="dxa"/>
            <w:gridSpan w:val="2"/>
            <w:vAlign w:val="center"/>
          </w:tcPr>
          <w:p w14:paraId="600B375F">
            <w:pPr>
              <w:tabs>
                <w:tab w:val="left" w:pos="2227"/>
              </w:tabs>
              <w:spacing w:line="240" w:lineRule="auto"/>
              <w:ind w:firstLine="0" w:firstLineChars="0"/>
              <w:jc w:val="center"/>
              <w:rPr>
                <w:color w:val="auto"/>
                <w:sz w:val="21"/>
                <w:szCs w:val="21"/>
              </w:rPr>
            </w:pPr>
            <w:r>
              <w:rPr>
                <w:rFonts w:hint="eastAsia"/>
                <w:color w:val="auto"/>
                <w:sz w:val="21"/>
                <w:szCs w:val="21"/>
              </w:rPr>
              <w:t>废活性炭</w:t>
            </w:r>
          </w:p>
        </w:tc>
        <w:tc>
          <w:tcPr>
            <w:tcW w:w="1539" w:type="dxa"/>
            <w:vMerge w:val="continue"/>
            <w:vAlign w:val="center"/>
          </w:tcPr>
          <w:p w14:paraId="29581E3D">
            <w:pPr>
              <w:tabs>
                <w:tab w:val="left" w:pos="2227"/>
              </w:tabs>
              <w:spacing w:line="240" w:lineRule="auto"/>
              <w:ind w:firstLine="0" w:firstLineChars="0"/>
              <w:jc w:val="center"/>
              <w:rPr>
                <w:color w:val="auto"/>
                <w:sz w:val="21"/>
                <w:szCs w:val="21"/>
              </w:rPr>
            </w:pPr>
          </w:p>
        </w:tc>
        <w:tc>
          <w:tcPr>
            <w:tcW w:w="1006" w:type="dxa"/>
            <w:shd w:val="clear" w:color="auto" w:fill="auto"/>
            <w:vAlign w:val="center"/>
          </w:tcPr>
          <w:p w14:paraId="348CE520">
            <w:pPr>
              <w:spacing w:line="240" w:lineRule="auto"/>
              <w:ind w:firstLine="0" w:firstLineChars="0"/>
              <w:jc w:val="center"/>
              <w:rPr>
                <w:color w:val="auto"/>
                <w:sz w:val="21"/>
                <w:szCs w:val="21"/>
              </w:rPr>
            </w:pPr>
            <w:r>
              <w:rPr>
                <w:rFonts w:hint="eastAsia"/>
                <w:color w:val="auto"/>
                <w:sz w:val="21"/>
                <w:szCs w:val="21"/>
              </w:rPr>
              <w:t>固态</w:t>
            </w:r>
          </w:p>
        </w:tc>
        <w:tc>
          <w:tcPr>
            <w:tcW w:w="1725" w:type="dxa"/>
            <w:vMerge w:val="continue"/>
            <w:vAlign w:val="center"/>
          </w:tcPr>
          <w:p w14:paraId="1C3EC3BC">
            <w:pPr>
              <w:spacing w:line="240" w:lineRule="auto"/>
              <w:ind w:firstLine="0" w:firstLineChars="0"/>
              <w:jc w:val="center"/>
              <w:rPr>
                <w:color w:val="auto"/>
                <w:sz w:val="21"/>
                <w:szCs w:val="21"/>
              </w:rPr>
            </w:pPr>
          </w:p>
        </w:tc>
        <w:tc>
          <w:tcPr>
            <w:tcW w:w="946" w:type="dxa"/>
            <w:vAlign w:val="center"/>
          </w:tcPr>
          <w:p w14:paraId="2EE7C53C">
            <w:pPr>
              <w:spacing w:line="240" w:lineRule="auto"/>
              <w:ind w:firstLine="0" w:firstLineChars="0"/>
              <w:jc w:val="center"/>
              <w:rPr>
                <w:color w:val="auto"/>
                <w:sz w:val="21"/>
                <w:szCs w:val="21"/>
              </w:rPr>
            </w:pPr>
            <w:r>
              <w:rPr>
                <w:rFonts w:hint="eastAsia"/>
                <w:color w:val="auto"/>
                <w:sz w:val="21"/>
                <w:szCs w:val="21"/>
              </w:rPr>
              <w:t>SW59</w:t>
            </w:r>
          </w:p>
        </w:tc>
        <w:tc>
          <w:tcPr>
            <w:tcW w:w="1487" w:type="dxa"/>
            <w:vAlign w:val="center"/>
          </w:tcPr>
          <w:p w14:paraId="0C8662A5">
            <w:pPr>
              <w:spacing w:line="240" w:lineRule="auto"/>
              <w:ind w:firstLine="0" w:firstLineChars="0"/>
              <w:jc w:val="center"/>
              <w:rPr>
                <w:color w:val="auto"/>
                <w:sz w:val="21"/>
                <w:szCs w:val="21"/>
              </w:rPr>
            </w:pPr>
            <w:r>
              <w:rPr>
                <w:rFonts w:hint="eastAsia"/>
                <w:color w:val="auto"/>
                <w:sz w:val="21"/>
                <w:szCs w:val="21"/>
              </w:rPr>
              <w:t>900-008-S59</w:t>
            </w:r>
          </w:p>
        </w:tc>
        <w:tc>
          <w:tcPr>
            <w:tcW w:w="969" w:type="dxa"/>
            <w:vAlign w:val="center"/>
          </w:tcPr>
          <w:p w14:paraId="1A83113C">
            <w:pPr>
              <w:tabs>
                <w:tab w:val="left" w:pos="2227"/>
              </w:tabs>
              <w:spacing w:line="240" w:lineRule="auto"/>
              <w:ind w:firstLine="0" w:firstLineChars="0"/>
              <w:jc w:val="center"/>
              <w:rPr>
                <w:color w:val="auto"/>
                <w:sz w:val="21"/>
                <w:szCs w:val="21"/>
              </w:rPr>
            </w:pPr>
            <w:r>
              <w:rPr>
                <w:rFonts w:hint="eastAsia"/>
                <w:color w:val="auto"/>
                <w:sz w:val="21"/>
                <w:szCs w:val="21"/>
              </w:rPr>
              <w:t>5/2a</w:t>
            </w:r>
          </w:p>
        </w:tc>
        <w:tc>
          <w:tcPr>
            <w:tcW w:w="3216" w:type="dxa"/>
            <w:shd w:val="clear" w:color="auto" w:fill="auto"/>
            <w:vAlign w:val="center"/>
          </w:tcPr>
          <w:p w14:paraId="3138F49A">
            <w:pPr>
              <w:spacing w:line="240" w:lineRule="auto"/>
              <w:ind w:firstLine="0" w:firstLineChars="0"/>
              <w:jc w:val="center"/>
              <w:rPr>
                <w:color w:val="auto"/>
                <w:sz w:val="21"/>
                <w:szCs w:val="21"/>
              </w:rPr>
            </w:pPr>
            <w:r>
              <w:rPr>
                <w:rFonts w:hint="eastAsia"/>
                <w:color w:val="auto"/>
                <w:sz w:val="21"/>
                <w:szCs w:val="21"/>
              </w:rPr>
              <w:t>交由环卫部门清运</w:t>
            </w:r>
          </w:p>
        </w:tc>
      </w:tr>
      <w:tr w14:paraId="7A67A4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09C60342">
            <w:pPr>
              <w:spacing w:line="240" w:lineRule="auto"/>
              <w:ind w:firstLine="0" w:firstLineChars="0"/>
              <w:jc w:val="center"/>
              <w:rPr>
                <w:color w:val="auto"/>
                <w:sz w:val="21"/>
                <w:szCs w:val="21"/>
              </w:rPr>
            </w:pPr>
            <w:r>
              <w:rPr>
                <w:rFonts w:hint="eastAsia"/>
                <w:color w:val="auto"/>
                <w:sz w:val="21"/>
                <w:szCs w:val="21"/>
              </w:rPr>
              <w:t>18</w:t>
            </w:r>
          </w:p>
        </w:tc>
        <w:tc>
          <w:tcPr>
            <w:tcW w:w="822" w:type="dxa"/>
            <w:vMerge w:val="continue"/>
            <w:vAlign w:val="center"/>
          </w:tcPr>
          <w:p w14:paraId="0C779F78">
            <w:pPr>
              <w:tabs>
                <w:tab w:val="left" w:pos="2227"/>
              </w:tabs>
              <w:spacing w:line="240" w:lineRule="auto"/>
              <w:ind w:firstLine="0" w:firstLineChars="0"/>
              <w:jc w:val="center"/>
              <w:rPr>
                <w:color w:val="auto"/>
                <w:sz w:val="21"/>
                <w:szCs w:val="21"/>
              </w:rPr>
            </w:pPr>
          </w:p>
        </w:tc>
        <w:tc>
          <w:tcPr>
            <w:tcW w:w="1792" w:type="dxa"/>
            <w:gridSpan w:val="2"/>
            <w:vAlign w:val="center"/>
          </w:tcPr>
          <w:p w14:paraId="642D83AD">
            <w:pPr>
              <w:tabs>
                <w:tab w:val="left" w:pos="2227"/>
              </w:tabs>
              <w:spacing w:line="240" w:lineRule="auto"/>
              <w:ind w:firstLine="0" w:firstLineChars="0"/>
              <w:jc w:val="center"/>
              <w:rPr>
                <w:color w:val="auto"/>
                <w:sz w:val="21"/>
                <w:szCs w:val="21"/>
              </w:rPr>
            </w:pPr>
            <w:r>
              <w:rPr>
                <w:rFonts w:hint="eastAsia"/>
                <w:color w:val="auto"/>
                <w:sz w:val="21"/>
                <w:szCs w:val="21"/>
              </w:rPr>
              <w:t>废滤芯</w:t>
            </w:r>
          </w:p>
        </w:tc>
        <w:tc>
          <w:tcPr>
            <w:tcW w:w="1539" w:type="dxa"/>
            <w:vMerge w:val="continue"/>
            <w:vAlign w:val="center"/>
          </w:tcPr>
          <w:p w14:paraId="41216FD2">
            <w:pPr>
              <w:tabs>
                <w:tab w:val="left" w:pos="2227"/>
              </w:tabs>
              <w:spacing w:line="240" w:lineRule="auto"/>
              <w:ind w:firstLine="0" w:firstLineChars="0"/>
              <w:jc w:val="center"/>
              <w:rPr>
                <w:color w:val="auto"/>
                <w:sz w:val="21"/>
                <w:szCs w:val="21"/>
              </w:rPr>
            </w:pPr>
          </w:p>
        </w:tc>
        <w:tc>
          <w:tcPr>
            <w:tcW w:w="1006" w:type="dxa"/>
            <w:shd w:val="clear" w:color="auto" w:fill="auto"/>
            <w:vAlign w:val="center"/>
          </w:tcPr>
          <w:p w14:paraId="3ACB9B50">
            <w:pPr>
              <w:spacing w:line="240" w:lineRule="auto"/>
              <w:ind w:firstLine="0" w:firstLineChars="0"/>
              <w:jc w:val="center"/>
              <w:rPr>
                <w:color w:val="auto"/>
                <w:sz w:val="21"/>
                <w:szCs w:val="21"/>
              </w:rPr>
            </w:pPr>
            <w:r>
              <w:rPr>
                <w:rFonts w:hint="eastAsia"/>
                <w:color w:val="auto"/>
                <w:sz w:val="21"/>
                <w:szCs w:val="21"/>
              </w:rPr>
              <w:t>固态</w:t>
            </w:r>
          </w:p>
        </w:tc>
        <w:tc>
          <w:tcPr>
            <w:tcW w:w="1725" w:type="dxa"/>
            <w:vMerge w:val="continue"/>
            <w:vAlign w:val="center"/>
          </w:tcPr>
          <w:p w14:paraId="3012259A">
            <w:pPr>
              <w:spacing w:line="240" w:lineRule="auto"/>
              <w:ind w:firstLine="0" w:firstLineChars="0"/>
              <w:jc w:val="center"/>
              <w:rPr>
                <w:color w:val="auto"/>
                <w:sz w:val="21"/>
                <w:szCs w:val="21"/>
              </w:rPr>
            </w:pPr>
          </w:p>
        </w:tc>
        <w:tc>
          <w:tcPr>
            <w:tcW w:w="946" w:type="dxa"/>
            <w:shd w:val="clear" w:color="auto" w:fill="auto"/>
            <w:vAlign w:val="center"/>
          </w:tcPr>
          <w:p w14:paraId="4339611B">
            <w:pPr>
              <w:spacing w:line="240" w:lineRule="auto"/>
              <w:ind w:firstLine="0" w:firstLineChars="0"/>
              <w:jc w:val="center"/>
              <w:rPr>
                <w:color w:val="auto"/>
                <w:sz w:val="21"/>
                <w:szCs w:val="21"/>
              </w:rPr>
            </w:pPr>
            <w:r>
              <w:rPr>
                <w:rFonts w:hint="eastAsia"/>
                <w:color w:val="auto"/>
                <w:sz w:val="21"/>
                <w:szCs w:val="21"/>
              </w:rPr>
              <w:t>SW59</w:t>
            </w:r>
          </w:p>
        </w:tc>
        <w:tc>
          <w:tcPr>
            <w:tcW w:w="1487" w:type="dxa"/>
            <w:shd w:val="clear" w:color="auto" w:fill="auto"/>
            <w:vAlign w:val="center"/>
          </w:tcPr>
          <w:p w14:paraId="0B4F32B0">
            <w:pPr>
              <w:spacing w:line="240" w:lineRule="auto"/>
              <w:ind w:firstLine="0" w:firstLineChars="0"/>
              <w:jc w:val="center"/>
              <w:rPr>
                <w:color w:val="auto"/>
                <w:sz w:val="21"/>
                <w:szCs w:val="21"/>
              </w:rPr>
            </w:pPr>
            <w:r>
              <w:rPr>
                <w:rFonts w:hint="eastAsia"/>
                <w:color w:val="auto"/>
                <w:sz w:val="21"/>
                <w:szCs w:val="21"/>
              </w:rPr>
              <w:t>900-008-S59</w:t>
            </w:r>
          </w:p>
        </w:tc>
        <w:tc>
          <w:tcPr>
            <w:tcW w:w="969" w:type="dxa"/>
            <w:shd w:val="clear" w:color="auto" w:fill="auto"/>
            <w:vAlign w:val="center"/>
          </w:tcPr>
          <w:p w14:paraId="7858304C">
            <w:pPr>
              <w:tabs>
                <w:tab w:val="left" w:pos="2227"/>
              </w:tabs>
              <w:spacing w:line="240" w:lineRule="auto"/>
              <w:ind w:firstLine="0" w:firstLineChars="0"/>
              <w:jc w:val="center"/>
              <w:rPr>
                <w:color w:val="auto"/>
                <w:sz w:val="21"/>
                <w:szCs w:val="21"/>
              </w:rPr>
            </w:pPr>
            <w:r>
              <w:rPr>
                <w:rFonts w:hint="eastAsia"/>
                <w:color w:val="auto"/>
                <w:sz w:val="21"/>
                <w:szCs w:val="21"/>
              </w:rPr>
              <w:t>3/2a</w:t>
            </w:r>
          </w:p>
        </w:tc>
        <w:tc>
          <w:tcPr>
            <w:tcW w:w="3216" w:type="dxa"/>
            <w:shd w:val="clear" w:color="auto" w:fill="auto"/>
            <w:vAlign w:val="center"/>
          </w:tcPr>
          <w:p w14:paraId="6A41D3CF">
            <w:pPr>
              <w:spacing w:line="240" w:lineRule="auto"/>
              <w:ind w:firstLine="0" w:firstLineChars="0"/>
              <w:jc w:val="center"/>
              <w:rPr>
                <w:color w:val="auto"/>
                <w:sz w:val="21"/>
                <w:szCs w:val="21"/>
              </w:rPr>
            </w:pPr>
            <w:r>
              <w:rPr>
                <w:rFonts w:hint="eastAsia"/>
                <w:color w:val="auto"/>
                <w:sz w:val="21"/>
                <w:szCs w:val="21"/>
              </w:rPr>
              <w:t>交由环卫部门清运</w:t>
            </w:r>
          </w:p>
        </w:tc>
      </w:tr>
      <w:tr w14:paraId="07279C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75174B0E">
            <w:pPr>
              <w:spacing w:line="240" w:lineRule="auto"/>
              <w:ind w:firstLine="0" w:firstLineChars="0"/>
              <w:jc w:val="center"/>
              <w:rPr>
                <w:color w:val="auto"/>
                <w:sz w:val="21"/>
                <w:szCs w:val="21"/>
              </w:rPr>
            </w:pPr>
            <w:r>
              <w:rPr>
                <w:rFonts w:hint="eastAsia"/>
                <w:color w:val="auto"/>
                <w:sz w:val="21"/>
                <w:szCs w:val="21"/>
              </w:rPr>
              <w:t>19</w:t>
            </w:r>
          </w:p>
        </w:tc>
        <w:tc>
          <w:tcPr>
            <w:tcW w:w="822" w:type="dxa"/>
            <w:vMerge w:val="continue"/>
            <w:vAlign w:val="center"/>
          </w:tcPr>
          <w:p w14:paraId="19A748B5">
            <w:pPr>
              <w:tabs>
                <w:tab w:val="left" w:pos="2227"/>
              </w:tabs>
              <w:spacing w:line="240" w:lineRule="auto"/>
              <w:ind w:firstLine="0" w:firstLineChars="0"/>
              <w:jc w:val="center"/>
              <w:rPr>
                <w:color w:val="auto"/>
                <w:sz w:val="21"/>
                <w:szCs w:val="21"/>
              </w:rPr>
            </w:pPr>
          </w:p>
        </w:tc>
        <w:tc>
          <w:tcPr>
            <w:tcW w:w="1792" w:type="dxa"/>
            <w:gridSpan w:val="2"/>
            <w:vAlign w:val="center"/>
          </w:tcPr>
          <w:p w14:paraId="419CFB88">
            <w:pPr>
              <w:tabs>
                <w:tab w:val="left" w:pos="2227"/>
              </w:tabs>
              <w:spacing w:line="240" w:lineRule="auto"/>
              <w:ind w:firstLine="0" w:firstLineChars="0"/>
              <w:jc w:val="center"/>
              <w:rPr>
                <w:color w:val="auto"/>
                <w:sz w:val="21"/>
                <w:szCs w:val="21"/>
              </w:rPr>
            </w:pPr>
            <w:r>
              <w:rPr>
                <w:rFonts w:hint="eastAsia"/>
                <w:color w:val="auto"/>
                <w:sz w:val="21"/>
                <w:szCs w:val="21"/>
              </w:rPr>
              <w:t>废离子交换树脂</w:t>
            </w:r>
          </w:p>
        </w:tc>
        <w:tc>
          <w:tcPr>
            <w:tcW w:w="1539" w:type="dxa"/>
            <w:vMerge w:val="continue"/>
            <w:vAlign w:val="center"/>
          </w:tcPr>
          <w:p w14:paraId="3E6A5797">
            <w:pPr>
              <w:tabs>
                <w:tab w:val="left" w:pos="2227"/>
              </w:tabs>
              <w:spacing w:line="240" w:lineRule="auto"/>
              <w:ind w:firstLine="0" w:firstLineChars="0"/>
              <w:jc w:val="center"/>
              <w:rPr>
                <w:color w:val="auto"/>
                <w:sz w:val="21"/>
                <w:szCs w:val="21"/>
              </w:rPr>
            </w:pPr>
          </w:p>
        </w:tc>
        <w:tc>
          <w:tcPr>
            <w:tcW w:w="1006" w:type="dxa"/>
            <w:shd w:val="clear" w:color="auto" w:fill="auto"/>
            <w:vAlign w:val="center"/>
          </w:tcPr>
          <w:p w14:paraId="10AF04C4">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25567C91">
            <w:pPr>
              <w:spacing w:line="240" w:lineRule="auto"/>
              <w:ind w:firstLine="0" w:firstLineChars="0"/>
              <w:jc w:val="center"/>
              <w:rPr>
                <w:color w:val="auto"/>
                <w:sz w:val="21"/>
                <w:szCs w:val="21"/>
              </w:rPr>
            </w:pPr>
            <w:r>
              <w:rPr>
                <w:rFonts w:hint="eastAsia"/>
                <w:color w:val="auto"/>
                <w:sz w:val="21"/>
                <w:szCs w:val="21"/>
              </w:rPr>
              <w:t>危险废物</w:t>
            </w:r>
          </w:p>
        </w:tc>
        <w:tc>
          <w:tcPr>
            <w:tcW w:w="946" w:type="dxa"/>
            <w:vAlign w:val="center"/>
          </w:tcPr>
          <w:p w14:paraId="01F58459">
            <w:pPr>
              <w:spacing w:line="240" w:lineRule="auto"/>
              <w:ind w:firstLine="0" w:firstLineChars="0"/>
              <w:jc w:val="center"/>
              <w:rPr>
                <w:color w:val="auto"/>
                <w:sz w:val="21"/>
                <w:szCs w:val="21"/>
              </w:rPr>
            </w:pPr>
            <w:r>
              <w:rPr>
                <w:rFonts w:hint="eastAsia"/>
                <w:color w:val="auto"/>
                <w:sz w:val="21"/>
                <w:szCs w:val="21"/>
              </w:rPr>
              <w:t>HW13</w:t>
            </w:r>
          </w:p>
        </w:tc>
        <w:tc>
          <w:tcPr>
            <w:tcW w:w="1487" w:type="dxa"/>
            <w:vAlign w:val="center"/>
          </w:tcPr>
          <w:p w14:paraId="42E2EA40">
            <w:pPr>
              <w:spacing w:line="240" w:lineRule="auto"/>
              <w:ind w:firstLine="0" w:firstLineChars="0"/>
              <w:jc w:val="center"/>
              <w:rPr>
                <w:color w:val="auto"/>
                <w:sz w:val="21"/>
                <w:szCs w:val="21"/>
              </w:rPr>
            </w:pPr>
            <w:r>
              <w:rPr>
                <w:rFonts w:hint="eastAsia"/>
                <w:color w:val="auto"/>
                <w:sz w:val="21"/>
                <w:szCs w:val="21"/>
              </w:rPr>
              <w:t>900-016-13</w:t>
            </w:r>
          </w:p>
        </w:tc>
        <w:tc>
          <w:tcPr>
            <w:tcW w:w="969" w:type="dxa"/>
            <w:vAlign w:val="center"/>
          </w:tcPr>
          <w:p w14:paraId="164181A1">
            <w:pPr>
              <w:tabs>
                <w:tab w:val="left" w:pos="2227"/>
              </w:tabs>
              <w:spacing w:line="240" w:lineRule="auto"/>
              <w:ind w:firstLine="0" w:firstLineChars="0"/>
              <w:jc w:val="center"/>
              <w:rPr>
                <w:color w:val="auto"/>
                <w:sz w:val="21"/>
                <w:szCs w:val="21"/>
              </w:rPr>
            </w:pPr>
            <w:r>
              <w:rPr>
                <w:rFonts w:hint="eastAsia"/>
                <w:color w:val="auto"/>
                <w:sz w:val="21"/>
                <w:szCs w:val="21"/>
              </w:rPr>
              <w:t>3/2a</w:t>
            </w:r>
          </w:p>
        </w:tc>
        <w:tc>
          <w:tcPr>
            <w:tcW w:w="3216" w:type="dxa"/>
            <w:shd w:val="clear" w:color="auto" w:fill="auto"/>
            <w:vAlign w:val="center"/>
          </w:tcPr>
          <w:p w14:paraId="6A16C8F0">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5AF4CD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dxa"/>
            <w:shd w:val="clear" w:color="auto" w:fill="auto"/>
            <w:vAlign w:val="center"/>
          </w:tcPr>
          <w:p w14:paraId="159936D3">
            <w:pPr>
              <w:tabs>
                <w:tab w:val="left" w:pos="2227"/>
              </w:tabs>
              <w:spacing w:line="240" w:lineRule="auto"/>
              <w:ind w:firstLine="0" w:firstLineChars="0"/>
              <w:jc w:val="center"/>
              <w:rPr>
                <w:color w:val="auto"/>
                <w:sz w:val="21"/>
                <w:szCs w:val="21"/>
              </w:rPr>
            </w:pPr>
            <w:r>
              <w:rPr>
                <w:color w:val="auto"/>
                <w:sz w:val="21"/>
                <w:szCs w:val="21"/>
              </w:rPr>
              <w:t>20</w:t>
            </w:r>
          </w:p>
        </w:tc>
        <w:tc>
          <w:tcPr>
            <w:tcW w:w="822" w:type="dxa"/>
            <w:vMerge w:val="continue"/>
            <w:vAlign w:val="center"/>
          </w:tcPr>
          <w:p w14:paraId="31D8E950">
            <w:pPr>
              <w:tabs>
                <w:tab w:val="left" w:pos="2227"/>
              </w:tabs>
              <w:spacing w:line="240" w:lineRule="auto"/>
              <w:ind w:firstLine="0" w:firstLineChars="0"/>
              <w:jc w:val="center"/>
              <w:rPr>
                <w:color w:val="auto"/>
                <w:sz w:val="21"/>
                <w:szCs w:val="21"/>
              </w:rPr>
            </w:pPr>
          </w:p>
        </w:tc>
        <w:tc>
          <w:tcPr>
            <w:tcW w:w="1792" w:type="dxa"/>
            <w:gridSpan w:val="2"/>
            <w:vAlign w:val="center"/>
          </w:tcPr>
          <w:p w14:paraId="697B5F6D">
            <w:pPr>
              <w:tabs>
                <w:tab w:val="left" w:pos="2227"/>
              </w:tabs>
              <w:spacing w:line="240" w:lineRule="auto"/>
              <w:ind w:firstLine="0" w:firstLineChars="0"/>
              <w:jc w:val="center"/>
              <w:rPr>
                <w:color w:val="auto"/>
                <w:sz w:val="21"/>
                <w:szCs w:val="21"/>
              </w:rPr>
            </w:pPr>
            <w:r>
              <w:rPr>
                <w:rFonts w:hint="eastAsia"/>
                <w:color w:val="auto"/>
                <w:sz w:val="21"/>
                <w:szCs w:val="21"/>
              </w:rPr>
              <w:t>废渗透膜</w:t>
            </w:r>
          </w:p>
        </w:tc>
        <w:tc>
          <w:tcPr>
            <w:tcW w:w="1539" w:type="dxa"/>
            <w:vMerge w:val="continue"/>
            <w:vAlign w:val="center"/>
          </w:tcPr>
          <w:p w14:paraId="3D08CFBC">
            <w:pPr>
              <w:tabs>
                <w:tab w:val="left" w:pos="2227"/>
              </w:tabs>
              <w:spacing w:line="240" w:lineRule="auto"/>
              <w:ind w:firstLine="0" w:firstLineChars="0"/>
              <w:jc w:val="center"/>
              <w:rPr>
                <w:color w:val="auto"/>
                <w:sz w:val="21"/>
                <w:szCs w:val="21"/>
              </w:rPr>
            </w:pPr>
          </w:p>
        </w:tc>
        <w:tc>
          <w:tcPr>
            <w:tcW w:w="1006" w:type="dxa"/>
            <w:vAlign w:val="center"/>
          </w:tcPr>
          <w:p w14:paraId="161631CC">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6C81120F">
            <w:pPr>
              <w:spacing w:line="240" w:lineRule="auto"/>
              <w:ind w:firstLine="0" w:firstLineChars="0"/>
              <w:jc w:val="center"/>
              <w:rPr>
                <w:color w:val="auto"/>
                <w:sz w:val="21"/>
                <w:szCs w:val="21"/>
              </w:rPr>
            </w:pPr>
            <w:r>
              <w:rPr>
                <w:rFonts w:hint="eastAsia"/>
                <w:color w:val="auto"/>
                <w:sz w:val="21"/>
                <w:szCs w:val="21"/>
              </w:rPr>
              <w:t>一般工业固废</w:t>
            </w:r>
          </w:p>
        </w:tc>
        <w:tc>
          <w:tcPr>
            <w:tcW w:w="946" w:type="dxa"/>
            <w:vAlign w:val="center"/>
          </w:tcPr>
          <w:p w14:paraId="2E9EB712">
            <w:pPr>
              <w:spacing w:line="240" w:lineRule="auto"/>
              <w:ind w:firstLine="0" w:firstLineChars="0"/>
              <w:jc w:val="center"/>
              <w:rPr>
                <w:color w:val="auto"/>
                <w:sz w:val="21"/>
                <w:szCs w:val="21"/>
              </w:rPr>
            </w:pPr>
            <w:r>
              <w:rPr>
                <w:rFonts w:hint="eastAsia"/>
                <w:color w:val="auto"/>
                <w:sz w:val="21"/>
                <w:szCs w:val="21"/>
              </w:rPr>
              <w:t>SW59</w:t>
            </w:r>
          </w:p>
        </w:tc>
        <w:tc>
          <w:tcPr>
            <w:tcW w:w="1487" w:type="dxa"/>
            <w:vAlign w:val="center"/>
          </w:tcPr>
          <w:p w14:paraId="19E1FD7D">
            <w:pPr>
              <w:spacing w:line="240" w:lineRule="auto"/>
              <w:ind w:firstLine="0" w:firstLineChars="0"/>
              <w:jc w:val="center"/>
              <w:rPr>
                <w:color w:val="auto"/>
                <w:sz w:val="21"/>
                <w:szCs w:val="21"/>
              </w:rPr>
            </w:pPr>
            <w:r>
              <w:rPr>
                <w:rFonts w:hint="eastAsia"/>
                <w:color w:val="auto"/>
                <w:sz w:val="21"/>
                <w:szCs w:val="21"/>
              </w:rPr>
              <w:t>900-008-S59</w:t>
            </w:r>
          </w:p>
        </w:tc>
        <w:tc>
          <w:tcPr>
            <w:tcW w:w="969" w:type="dxa"/>
            <w:vAlign w:val="center"/>
          </w:tcPr>
          <w:p w14:paraId="0DC676FC">
            <w:pPr>
              <w:tabs>
                <w:tab w:val="left" w:pos="2227"/>
              </w:tabs>
              <w:spacing w:line="240" w:lineRule="auto"/>
              <w:ind w:firstLine="0" w:firstLineChars="0"/>
              <w:jc w:val="center"/>
              <w:rPr>
                <w:color w:val="auto"/>
                <w:sz w:val="21"/>
                <w:szCs w:val="21"/>
              </w:rPr>
            </w:pPr>
            <w:r>
              <w:rPr>
                <w:rFonts w:hint="eastAsia"/>
                <w:color w:val="auto"/>
                <w:sz w:val="21"/>
                <w:szCs w:val="21"/>
              </w:rPr>
              <w:t>3/2a</w:t>
            </w:r>
          </w:p>
        </w:tc>
        <w:tc>
          <w:tcPr>
            <w:tcW w:w="3216" w:type="dxa"/>
            <w:shd w:val="clear" w:color="auto" w:fill="auto"/>
            <w:vAlign w:val="center"/>
          </w:tcPr>
          <w:p w14:paraId="11CF5B78">
            <w:pPr>
              <w:spacing w:line="240" w:lineRule="auto"/>
              <w:ind w:firstLine="0" w:firstLineChars="0"/>
              <w:jc w:val="center"/>
              <w:rPr>
                <w:color w:val="auto"/>
                <w:sz w:val="21"/>
                <w:szCs w:val="21"/>
              </w:rPr>
            </w:pPr>
            <w:r>
              <w:rPr>
                <w:rFonts w:hint="eastAsia"/>
                <w:color w:val="auto"/>
                <w:sz w:val="21"/>
                <w:szCs w:val="21"/>
              </w:rPr>
              <w:t>交由环卫部门清运</w:t>
            </w:r>
          </w:p>
        </w:tc>
      </w:tr>
      <w:tr w14:paraId="4E9DD2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dxa"/>
            <w:shd w:val="clear" w:color="auto" w:fill="auto"/>
            <w:vAlign w:val="center"/>
          </w:tcPr>
          <w:p w14:paraId="7C854F2E">
            <w:pPr>
              <w:tabs>
                <w:tab w:val="left" w:pos="2227"/>
              </w:tabs>
              <w:spacing w:line="240" w:lineRule="auto"/>
              <w:ind w:firstLine="0" w:firstLineChars="0"/>
              <w:jc w:val="center"/>
              <w:rPr>
                <w:color w:val="auto"/>
                <w:sz w:val="21"/>
                <w:szCs w:val="21"/>
              </w:rPr>
            </w:pPr>
            <w:r>
              <w:rPr>
                <w:color w:val="auto"/>
                <w:sz w:val="21"/>
                <w:szCs w:val="21"/>
              </w:rPr>
              <w:t>21</w:t>
            </w:r>
          </w:p>
        </w:tc>
        <w:tc>
          <w:tcPr>
            <w:tcW w:w="2614" w:type="dxa"/>
            <w:gridSpan w:val="3"/>
            <w:vAlign w:val="center"/>
          </w:tcPr>
          <w:p w14:paraId="213B8628">
            <w:pPr>
              <w:tabs>
                <w:tab w:val="left" w:pos="2227"/>
              </w:tabs>
              <w:spacing w:line="240" w:lineRule="auto"/>
              <w:ind w:firstLine="0" w:firstLineChars="0"/>
              <w:jc w:val="center"/>
              <w:rPr>
                <w:color w:val="auto"/>
                <w:sz w:val="21"/>
                <w:szCs w:val="21"/>
              </w:rPr>
            </w:pPr>
            <w:r>
              <w:rPr>
                <w:rFonts w:hint="eastAsia"/>
                <w:color w:val="auto"/>
                <w:sz w:val="21"/>
                <w:szCs w:val="21"/>
              </w:rPr>
              <w:t>废化学品包装材料</w:t>
            </w:r>
          </w:p>
        </w:tc>
        <w:tc>
          <w:tcPr>
            <w:tcW w:w="1539" w:type="dxa"/>
            <w:vAlign w:val="center"/>
          </w:tcPr>
          <w:p w14:paraId="03967C7C">
            <w:pPr>
              <w:tabs>
                <w:tab w:val="left" w:pos="2227"/>
              </w:tabs>
              <w:spacing w:line="240" w:lineRule="auto"/>
              <w:ind w:firstLine="0" w:firstLineChars="0"/>
              <w:jc w:val="center"/>
              <w:rPr>
                <w:color w:val="auto"/>
                <w:sz w:val="21"/>
                <w:szCs w:val="21"/>
              </w:rPr>
            </w:pPr>
            <w:r>
              <w:rPr>
                <w:rFonts w:hint="eastAsia"/>
                <w:color w:val="auto"/>
                <w:sz w:val="21"/>
                <w:szCs w:val="21"/>
              </w:rPr>
              <w:t>物料使用</w:t>
            </w:r>
          </w:p>
        </w:tc>
        <w:tc>
          <w:tcPr>
            <w:tcW w:w="1006" w:type="dxa"/>
            <w:vAlign w:val="center"/>
          </w:tcPr>
          <w:p w14:paraId="3F324D41">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07CA96E6">
            <w:pPr>
              <w:spacing w:line="240" w:lineRule="auto"/>
              <w:ind w:firstLine="0" w:firstLineChars="0"/>
              <w:jc w:val="center"/>
              <w:rPr>
                <w:color w:val="auto"/>
                <w:sz w:val="21"/>
                <w:szCs w:val="21"/>
              </w:rPr>
            </w:pPr>
            <w:r>
              <w:rPr>
                <w:color w:val="auto"/>
                <w:sz w:val="21"/>
                <w:szCs w:val="21"/>
              </w:rPr>
              <w:t>危险废物</w:t>
            </w:r>
          </w:p>
        </w:tc>
        <w:tc>
          <w:tcPr>
            <w:tcW w:w="946" w:type="dxa"/>
            <w:shd w:val="clear" w:color="auto" w:fill="auto"/>
            <w:vAlign w:val="center"/>
          </w:tcPr>
          <w:p w14:paraId="020BB8B2">
            <w:pPr>
              <w:spacing w:line="240" w:lineRule="auto"/>
              <w:ind w:firstLine="0" w:firstLineChars="0"/>
              <w:jc w:val="center"/>
              <w:rPr>
                <w:color w:val="auto"/>
                <w:sz w:val="21"/>
                <w:szCs w:val="21"/>
              </w:rPr>
            </w:pPr>
            <w:r>
              <w:rPr>
                <w:rFonts w:hint="eastAsia"/>
                <w:color w:val="auto"/>
                <w:sz w:val="21"/>
                <w:szCs w:val="21"/>
              </w:rPr>
              <w:t>HW49</w:t>
            </w:r>
          </w:p>
        </w:tc>
        <w:tc>
          <w:tcPr>
            <w:tcW w:w="1487" w:type="dxa"/>
            <w:shd w:val="clear" w:color="auto" w:fill="auto"/>
            <w:vAlign w:val="center"/>
          </w:tcPr>
          <w:p w14:paraId="16B92E8D">
            <w:pPr>
              <w:spacing w:line="240" w:lineRule="auto"/>
              <w:ind w:firstLine="0" w:firstLineChars="0"/>
              <w:jc w:val="center"/>
              <w:rPr>
                <w:color w:val="auto"/>
                <w:sz w:val="21"/>
                <w:szCs w:val="21"/>
              </w:rPr>
            </w:pPr>
            <w:r>
              <w:rPr>
                <w:rFonts w:hint="eastAsia"/>
                <w:color w:val="auto"/>
                <w:sz w:val="21"/>
                <w:szCs w:val="21"/>
              </w:rPr>
              <w:t>900-041-49</w:t>
            </w:r>
          </w:p>
        </w:tc>
        <w:tc>
          <w:tcPr>
            <w:tcW w:w="969" w:type="dxa"/>
            <w:vAlign w:val="center"/>
          </w:tcPr>
          <w:p w14:paraId="593B9F4E">
            <w:pPr>
              <w:tabs>
                <w:tab w:val="left" w:pos="2227"/>
              </w:tabs>
              <w:spacing w:line="240" w:lineRule="auto"/>
              <w:ind w:firstLine="0" w:firstLineChars="0"/>
              <w:jc w:val="center"/>
              <w:rPr>
                <w:color w:val="auto"/>
                <w:sz w:val="21"/>
                <w:szCs w:val="21"/>
              </w:rPr>
            </w:pPr>
            <w:r>
              <w:rPr>
                <w:rFonts w:hint="eastAsia"/>
                <w:color w:val="auto"/>
                <w:sz w:val="21"/>
                <w:szCs w:val="21"/>
              </w:rPr>
              <w:t>20</w:t>
            </w:r>
          </w:p>
        </w:tc>
        <w:tc>
          <w:tcPr>
            <w:tcW w:w="3216" w:type="dxa"/>
            <w:vAlign w:val="center"/>
          </w:tcPr>
          <w:p w14:paraId="5F5B5A23">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2BD5DC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7A6ED4B">
            <w:pPr>
              <w:tabs>
                <w:tab w:val="left" w:pos="2227"/>
              </w:tabs>
              <w:spacing w:line="240" w:lineRule="auto"/>
              <w:ind w:firstLine="0" w:firstLineChars="0"/>
              <w:jc w:val="center"/>
              <w:rPr>
                <w:color w:val="auto"/>
                <w:sz w:val="21"/>
                <w:szCs w:val="21"/>
              </w:rPr>
            </w:pPr>
            <w:r>
              <w:rPr>
                <w:color w:val="auto"/>
                <w:sz w:val="21"/>
                <w:szCs w:val="21"/>
              </w:rPr>
              <w:t>22</w:t>
            </w:r>
          </w:p>
        </w:tc>
        <w:tc>
          <w:tcPr>
            <w:tcW w:w="2614" w:type="dxa"/>
            <w:gridSpan w:val="3"/>
            <w:vAlign w:val="center"/>
          </w:tcPr>
          <w:p w14:paraId="79EA188E">
            <w:pPr>
              <w:tabs>
                <w:tab w:val="left" w:pos="2227"/>
              </w:tabs>
              <w:spacing w:line="240" w:lineRule="auto"/>
              <w:ind w:firstLine="0" w:firstLineChars="0"/>
              <w:jc w:val="center"/>
              <w:rPr>
                <w:color w:val="auto"/>
                <w:sz w:val="21"/>
                <w:szCs w:val="21"/>
              </w:rPr>
            </w:pPr>
            <w:r>
              <w:rPr>
                <w:rFonts w:hint="eastAsia"/>
                <w:color w:val="auto"/>
                <w:sz w:val="21"/>
                <w:szCs w:val="21"/>
              </w:rPr>
              <w:t>废机油</w:t>
            </w:r>
          </w:p>
        </w:tc>
        <w:tc>
          <w:tcPr>
            <w:tcW w:w="1539" w:type="dxa"/>
            <w:vAlign w:val="center"/>
          </w:tcPr>
          <w:p w14:paraId="24BCF646">
            <w:pPr>
              <w:tabs>
                <w:tab w:val="left" w:pos="2227"/>
              </w:tabs>
              <w:spacing w:line="240" w:lineRule="auto"/>
              <w:ind w:firstLine="0" w:firstLineChars="0"/>
              <w:jc w:val="center"/>
              <w:rPr>
                <w:color w:val="auto"/>
                <w:sz w:val="21"/>
                <w:szCs w:val="21"/>
              </w:rPr>
            </w:pPr>
            <w:r>
              <w:rPr>
                <w:rFonts w:hint="eastAsia"/>
                <w:color w:val="auto"/>
                <w:sz w:val="21"/>
                <w:szCs w:val="21"/>
              </w:rPr>
              <w:t>设备维护</w:t>
            </w:r>
          </w:p>
        </w:tc>
        <w:tc>
          <w:tcPr>
            <w:tcW w:w="1006" w:type="dxa"/>
            <w:vAlign w:val="center"/>
          </w:tcPr>
          <w:p w14:paraId="0040AA7C">
            <w:pPr>
              <w:spacing w:line="240" w:lineRule="auto"/>
              <w:ind w:firstLine="0" w:firstLineChars="0"/>
              <w:jc w:val="center"/>
              <w:rPr>
                <w:color w:val="auto"/>
                <w:sz w:val="21"/>
                <w:szCs w:val="21"/>
              </w:rPr>
            </w:pPr>
            <w:r>
              <w:rPr>
                <w:rFonts w:hint="eastAsia"/>
                <w:color w:val="auto"/>
                <w:sz w:val="21"/>
                <w:szCs w:val="21"/>
              </w:rPr>
              <w:t>液态</w:t>
            </w:r>
          </w:p>
        </w:tc>
        <w:tc>
          <w:tcPr>
            <w:tcW w:w="1725" w:type="dxa"/>
            <w:vAlign w:val="center"/>
          </w:tcPr>
          <w:p w14:paraId="4BD8FC5C">
            <w:pPr>
              <w:spacing w:line="240" w:lineRule="auto"/>
              <w:ind w:firstLine="0" w:firstLineChars="0"/>
              <w:jc w:val="center"/>
              <w:rPr>
                <w:color w:val="auto"/>
                <w:sz w:val="21"/>
                <w:szCs w:val="21"/>
              </w:rPr>
            </w:pPr>
            <w:r>
              <w:rPr>
                <w:color w:val="auto"/>
                <w:sz w:val="21"/>
                <w:szCs w:val="21"/>
              </w:rPr>
              <w:t>危险废物</w:t>
            </w:r>
          </w:p>
        </w:tc>
        <w:tc>
          <w:tcPr>
            <w:tcW w:w="946" w:type="dxa"/>
            <w:vAlign w:val="center"/>
          </w:tcPr>
          <w:p w14:paraId="5E5640CB">
            <w:pPr>
              <w:spacing w:line="240" w:lineRule="auto"/>
              <w:ind w:firstLine="0" w:firstLineChars="0"/>
              <w:jc w:val="center"/>
              <w:rPr>
                <w:color w:val="auto"/>
                <w:sz w:val="21"/>
                <w:szCs w:val="21"/>
              </w:rPr>
            </w:pPr>
            <w:r>
              <w:rPr>
                <w:color w:val="auto"/>
                <w:sz w:val="21"/>
                <w:szCs w:val="21"/>
              </w:rPr>
              <w:t>HW08</w:t>
            </w:r>
          </w:p>
        </w:tc>
        <w:tc>
          <w:tcPr>
            <w:tcW w:w="1487" w:type="dxa"/>
            <w:vAlign w:val="center"/>
          </w:tcPr>
          <w:p w14:paraId="2E009F23">
            <w:pPr>
              <w:spacing w:line="240" w:lineRule="auto"/>
              <w:ind w:firstLine="0" w:firstLineChars="0"/>
              <w:jc w:val="center"/>
              <w:rPr>
                <w:color w:val="auto"/>
                <w:sz w:val="21"/>
                <w:szCs w:val="21"/>
              </w:rPr>
            </w:pPr>
            <w:r>
              <w:rPr>
                <w:color w:val="auto"/>
                <w:sz w:val="21"/>
                <w:szCs w:val="21"/>
              </w:rPr>
              <w:t>900-21</w:t>
            </w:r>
            <w:r>
              <w:rPr>
                <w:rFonts w:hint="eastAsia"/>
                <w:color w:val="auto"/>
                <w:sz w:val="21"/>
                <w:szCs w:val="21"/>
              </w:rPr>
              <w:t>7</w:t>
            </w:r>
            <w:r>
              <w:rPr>
                <w:color w:val="auto"/>
                <w:sz w:val="21"/>
                <w:szCs w:val="21"/>
              </w:rPr>
              <w:t>-08</w:t>
            </w:r>
          </w:p>
        </w:tc>
        <w:tc>
          <w:tcPr>
            <w:tcW w:w="969" w:type="dxa"/>
            <w:vAlign w:val="center"/>
          </w:tcPr>
          <w:p w14:paraId="68E5D110">
            <w:pPr>
              <w:tabs>
                <w:tab w:val="left" w:pos="2227"/>
              </w:tabs>
              <w:spacing w:line="240" w:lineRule="auto"/>
              <w:ind w:firstLine="0" w:firstLineChars="0"/>
              <w:jc w:val="center"/>
              <w:rPr>
                <w:color w:val="auto"/>
                <w:sz w:val="21"/>
                <w:szCs w:val="21"/>
              </w:rPr>
            </w:pPr>
            <w:r>
              <w:rPr>
                <w:rFonts w:hint="eastAsia"/>
                <w:color w:val="auto"/>
                <w:sz w:val="21"/>
                <w:szCs w:val="21"/>
              </w:rPr>
              <w:t>0.5</w:t>
            </w:r>
          </w:p>
        </w:tc>
        <w:tc>
          <w:tcPr>
            <w:tcW w:w="3216" w:type="dxa"/>
            <w:vAlign w:val="center"/>
          </w:tcPr>
          <w:p w14:paraId="53923A5D">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0B0860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467F98FC">
            <w:pPr>
              <w:tabs>
                <w:tab w:val="left" w:pos="2227"/>
              </w:tabs>
              <w:spacing w:line="240" w:lineRule="auto"/>
              <w:ind w:firstLine="0" w:firstLineChars="0"/>
              <w:jc w:val="center"/>
              <w:rPr>
                <w:color w:val="auto"/>
                <w:sz w:val="21"/>
                <w:szCs w:val="21"/>
              </w:rPr>
            </w:pPr>
            <w:r>
              <w:rPr>
                <w:rFonts w:hint="eastAsia"/>
                <w:color w:val="auto"/>
                <w:sz w:val="21"/>
                <w:szCs w:val="21"/>
              </w:rPr>
              <w:t>23</w:t>
            </w:r>
          </w:p>
        </w:tc>
        <w:tc>
          <w:tcPr>
            <w:tcW w:w="2614" w:type="dxa"/>
            <w:gridSpan w:val="3"/>
            <w:vAlign w:val="center"/>
          </w:tcPr>
          <w:p w14:paraId="281CE7F8">
            <w:pPr>
              <w:tabs>
                <w:tab w:val="left" w:pos="2227"/>
              </w:tabs>
              <w:spacing w:line="240" w:lineRule="auto"/>
              <w:ind w:firstLine="0" w:firstLineChars="0"/>
              <w:jc w:val="center"/>
              <w:rPr>
                <w:color w:val="auto"/>
                <w:sz w:val="21"/>
                <w:szCs w:val="21"/>
              </w:rPr>
            </w:pPr>
            <w:r>
              <w:rPr>
                <w:rFonts w:hint="eastAsia"/>
                <w:color w:val="auto"/>
                <w:sz w:val="21"/>
                <w:szCs w:val="21"/>
              </w:rPr>
              <w:t>废液压油</w:t>
            </w:r>
          </w:p>
        </w:tc>
        <w:tc>
          <w:tcPr>
            <w:tcW w:w="1539" w:type="dxa"/>
            <w:vAlign w:val="center"/>
          </w:tcPr>
          <w:p w14:paraId="77FBE890">
            <w:pPr>
              <w:tabs>
                <w:tab w:val="left" w:pos="2227"/>
              </w:tabs>
              <w:spacing w:line="240" w:lineRule="auto"/>
              <w:ind w:firstLine="0" w:firstLineChars="0"/>
              <w:jc w:val="center"/>
              <w:rPr>
                <w:color w:val="auto"/>
                <w:sz w:val="21"/>
                <w:szCs w:val="21"/>
              </w:rPr>
            </w:pPr>
            <w:r>
              <w:rPr>
                <w:rFonts w:hint="eastAsia"/>
                <w:color w:val="auto"/>
                <w:sz w:val="21"/>
                <w:szCs w:val="21"/>
              </w:rPr>
              <w:t>设备维护</w:t>
            </w:r>
          </w:p>
        </w:tc>
        <w:tc>
          <w:tcPr>
            <w:tcW w:w="1006" w:type="dxa"/>
            <w:vAlign w:val="center"/>
          </w:tcPr>
          <w:p w14:paraId="1615C37E">
            <w:pPr>
              <w:spacing w:line="240" w:lineRule="auto"/>
              <w:ind w:firstLine="0" w:firstLineChars="0"/>
              <w:jc w:val="center"/>
              <w:rPr>
                <w:color w:val="auto"/>
                <w:sz w:val="21"/>
                <w:szCs w:val="21"/>
              </w:rPr>
            </w:pPr>
            <w:r>
              <w:rPr>
                <w:rFonts w:hint="eastAsia"/>
                <w:color w:val="auto"/>
                <w:sz w:val="21"/>
                <w:szCs w:val="21"/>
              </w:rPr>
              <w:t>液态</w:t>
            </w:r>
          </w:p>
        </w:tc>
        <w:tc>
          <w:tcPr>
            <w:tcW w:w="1725" w:type="dxa"/>
            <w:vAlign w:val="center"/>
          </w:tcPr>
          <w:p w14:paraId="5BF970E5">
            <w:pPr>
              <w:spacing w:line="240" w:lineRule="auto"/>
              <w:ind w:firstLine="0" w:firstLineChars="0"/>
              <w:jc w:val="center"/>
              <w:rPr>
                <w:color w:val="auto"/>
                <w:sz w:val="21"/>
                <w:szCs w:val="21"/>
              </w:rPr>
            </w:pPr>
            <w:r>
              <w:rPr>
                <w:color w:val="auto"/>
                <w:sz w:val="21"/>
                <w:szCs w:val="21"/>
              </w:rPr>
              <w:t>危险废物</w:t>
            </w:r>
          </w:p>
        </w:tc>
        <w:tc>
          <w:tcPr>
            <w:tcW w:w="946" w:type="dxa"/>
            <w:vAlign w:val="center"/>
          </w:tcPr>
          <w:p w14:paraId="0B6CDCE8">
            <w:pPr>
              <w:spacing w:line="240" w:lineRule="auto"/>
              <w:ind w:firstLine="0" w:firstLineChars="0"/>
              <w:jc w:val="center"/>
              <w:rPr>
                <w:color w:val="auto"/>
                <w:sz w:val="21"/>
                <w:szCs w:val="21"/>
              </w:rPr>
            </w:pPr>
            <w:r>
              <w:rPr>
                <w:color w:val="auto"/>
                <w:sz w:val="21"/>
                <w:szCs w:val="21"/>
              </w:rPr>
              <w:t>HW08</w:t>
            </w:r>
          </w:p>
        </w:tc>
        <w:tc>
          <w:tcPr>
            <w:tcW w:w="1487" w:type="dxa"/>
            <w:vAlign w:val="center"/>
          </w:tcPr>
          <w:p w14:paraId="6A637058">
            <w:pPr>
              <w:spacing w:line="240" w:lineRule="auto"/>
              <w:ind w:firstLine="0" w:firstLineChars="0"/>
              <w:jc w:val="center"/>
              <w:rPr>
                <w:color w:val="auto"/>
                <w:sz w:val="21"/>
                <w:szCs w:val="21"/>
              </w:rPr>
            </w:pPr>
            <w:r>
              <w:rPr>
                <w:color w:val="auto"/>
                <w:sz w:val="21"/>
                <w:szCs w:val="21"/>
              </w:rPr>
              <w:t>900-21</w:t>
            </w:r>
            <w:r>
              <w:rPr>
                <w:rFonts w:hint="eastAsia"/>
                <w:color w:val="auto"/>
                <w:sz w:val="21"/>
                <w:szCs w:val="21"/>
              </w:rPr>
              <w:t>8</w:t>
            </w:r>
            <w:r>
              <w:rPr>
                <w:color w:val="auto"/>
                <w:sz w:val="21"/>
                <w:szCs w:val="21"/>
              </w:rPr>
              <w:t>-08</w:t>
            </w:r>
          </w:p>
        </w:tc>
        <w:tc>
          <w:tcPr>
            <w:tcW w:w="969" w:type="dxa"/>
            <w:vAlign w:val="center"/>
          </w:tcPr>
          <w:p w14:paraId="03D9C56D">
            <w:pPr>
              <w:tabs>
                <w:tab w:val="left" w:pos="2227"/>
              </w:tabs>
              <w:spacing w:line="240" w:lineRule="auto"/>
              <w:ind w:firstLine="0" w:firstLineChars="0"/>
              <w:jc w:val="center"/>
              <w:rPr>
                <w:color w:val="auto"/>
                <w:sz w:val="21"/>
                <w:szCs w:val="21"/>
              </w:rPr>
            </w:pPr>
            <w:r>
              <w:rPr>
                <w:rFonts w:hint="eastAsia"/>
                <w:color w:val="auto"/>
                <w:sz w:val="21"/>
                <w:szCs w:val="21"/>
              </w:rPr>
              <w:t>4.5</w:t>
            </w:r>
          </w:p>
        </w:tc>
        <w:tc>
          <w:tcPr>
            <w:tcW w:w="3216" w:type="dxa"/>
            <w:vAlign w:val="center"/>
          </w:tcPr>
          <w:p w14:paraId="547797D3">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61693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5B692412">
            <w:pPr>
              <w:tabs>
                <w:tab w:val="left" w:pos="2227"/>
              </w:tabs>
              <w:spacing w:line="240" w:lineRule="auto"/>
              <w:ind w:firstLine="0" w:firstLineChars="0"/>
              <w:jc w:val="center"/>
              <w:rPr>
                <w:color w:val="auto"/>
                <w:sz w:val="21"/>
                <w:szCs w:val="21"/>
              </w:rPr>
            </w:pPr>
            <w:r>
              <w:rPr>
                <w:rFonts w:hint="eastAsia"/>
                <w:color w:val="auto"/>
                <w:sz w:val="21"/>
                <w:szCs w:val="21"/>
              </w:rPr>
              <w:t>24</w:t>
            </w:r>
          </w:p>
        </w:tc>
        <w:tc>
          <w:tcPr>
            <w:tcW w:w="2614" w:type="dxa"/>
            <w:gridSpan w:val="3"/>
            <w:vAlign w:val="center"/>
          </w:tcPr>
          <w:p w14:paraId="6B99AFE3">
            <w:pPr>
              <w:tabs>
                <w:tab w:val="left" w:pos="2227"/>
              </w:tabs>
              <w:spacing w:line="240" w:lineRule="auto"/>
              <w:ind w:firstLine="0" w:firstLineChars="0"/>
              <w:jc w:val="center"/>
              <w:rPr>
                <w:color w:val="auto"/>
                <w:sz w:val="21"/>
                <w:szCs w:val="21"/>
              </w:rPr>
            </w:pPr>
            <w:r>
              <w:rPr>
                <w:rFonts w:hint="eastAsia"/>
                <w:color w:val="auto"/>
                <w:sz w:val="21"/>
                <w:szCs w:val="21"/>
              </w:rPr>
              <w:t>废油桶</w:t>
            </w:r>
          </w:p>
        </w:tc>
        <w:tc>
          <w:tcPr>
            <w:tcW w:w="1539" w:type="dxa"/>
            <w:vAlign w:val="center"/>
          </w:tcPr>
          <w:p w14:paraId="01FD8025">
            <w:pPr>
              <w:tabs>
                <w:tab w:val="left" w:pos="2227"/>
              </w:tabs>
              <w:spacing w:line="240" w:lineRule="auto"/>
              <w:ind w:firstLine="0" w:firstLineChars="0"/>
              <w:jc w:val="center"/>
              <w:rPr>
                <w:color w:val="auto"/>
                <w:sz w:val="21"/>
                <w:szCs w:val="21"/>
              </w:rPr>
            </w:pPr>
            <w:r>
              <w:rPr>
                <w:rFonts w:hint="eastAsia"/>
                <w:color w:val="auto"/>
                <w:sz w:val="21"/>
                <w:szCs w:val="21"/>
              </w:rPr>
              <w:t>物料使用</w:t>
            </w:r>
          </w:p>
        </w:tc>
        <w:tc>
          <w:tcPr>
            <w:tcW w:w="1006" w:type="dxa"/>
            <w:vAlign w:val="center"/>
          </w:tcPr>
          <w:p w14:paraId="7529B579">
            <w:pPr>
              <w:spacing w:line="240" w:lineRule="auto"/>
              <w:ind w:firstLine="0" w:firstLineChars="0"/>
              <w:jc w:val="center"/>
              <w:rPr>
                <w:color w:val="auto"/>
                <w:sz w:val="21"/>
                <w:szCs w:val="21"/>
              </w:rPr>
            </w:pPr>
            <w:r>
              <w:rPr>
                <w:rFonts w:hint="eastAsia"/>
                <w:color w:val="auto"/>
                <w:sz w:val="21"/>
                <w:szCs w:val="21"/>
              </w:rPr>
              <w:t>固态</w:t>
            </w:r>
          </w:p>
        </w:tc>
        <w:tc>
          <w:tcPr>
            <w:tcW w:w="1725" w:type="dxa"/>
            <w:shd w:val="clear" w:color="auto" w:fill="auto"/>
            <w:vAlign w:val="center"/>
          </w:tcPr>
          <w:p w14:paraId="5C23DF57">
            <w:pPr>
              <w:spacing w:line="240" w:lineRule="auto"/>
              <w:ind w:firstLine="0" w:firstLineChars="0"/>
              <w:jc w:val="center"/>
              <w:rPr>
                <w:color w:val="auto"/>
                <w:sz w:val="21"/>
                <w:szCs w:val="21"/>
              </w:rPr>
            </w:pPr>
            <w:r>
              <w:rPr>
                <w:color w:val="auto"/>
                <w:sz w:val="21"/>
                <w:szCs w:val="21"/>
              </w:rPr>
              <w:t>危险废物</w:t>
            </w:r>
          </w:p>
        </w:tc>
        <w:tc>
          <w:tcPr>
            <w:tcW w:w="946" w:type="dxa"/>
            <w:vAlign w:val="center"/>
          </w:tcPr>
          <w:p w14:paraId="673BEB3D">
            <w:pPr>
              <w:spacing w:line="240" w:lineRule="auto"/>
              <w:ind w:firstLine="0" w:firstLineChars="0"/>
              <w:jc w:val="center"/>
              <w:rPr>
                <w:color w:val="auto"/>
                <w:sz w:val="21"/>
                <w:szCs w:val="21"/>
              </w:rPr>
            </w:pPr>
            <w:r>
              <w:rPr>
                <w:color w:val="auto"/>
                <w:sz w:val="21"/>
                <w:szCs w:val="21"/>
              </w:rPr>
              <w:t>HW08</w:t>
            </w:r>
          </w:p>
        </w:tc>
        <w:tc>
          <w:tcPr>
            <w:tcW w:w="1487" w:type="dxa"/>
            <w:vAlign w:val="center"/>
          </w:tcPr>
          <w:p w14:paraId="00BC6CD0">
            <w:pPr>
              <w:spacing w:line="240" w:lineRule="auto"/>
              <w:ind w:firstLine="0" w:firstLineChars="0"/>
              <w:jc w:val="center"/>
              <w:rPr>
                <w:color w:val="auto"/>
                <w:sz w:val="21"/>
                <w:szCs w:val="21"/>
              </w:rPr>
            </w:pPr>
            <w:r>
              <w:rPr>
                <w:color w:val="auto"/>
                <w:sz w:val="21"/>
                <w:szCs w:val="21"/>
              </w:rPr>
              <w:t>900-249-08</w:t>
            </w:r>
          </w:p>
        </w:tc>
        <w:tc>
          <w:tcPr>
            <w:tcW w:w="969" w:type="dxa"/>
            <w:vAlign w:val="center"/>
          </w:tcPr>
          <w:p w14:paraId="57A71F62">
            <w:pPr>
              <w:tabs>
                <w:tab w:val="left" w:pos="2227"/>
              </w:tabs>
              <w:spacing w:line="240" w:lineRule="auto"/>
              <w:ind w:firstLine="0" w:firstLineChars="0"/>
              <w:jc w:val="center"/>
              <w:rPr>
                <w:color w:val="auto"/>
                <w:sz w:val="21"/>
                <w:szCs w:val="21"/>
              </w:rPr>
            </w:pPr>
            <w:r>
              <w:rPr>
                <w:rFonts w:hint="eastAsia"/>
                <w:color w:val="auto"/>
                <w:sz w:val="21"/>
                <w:szCs w:val="21"/>
              </w:rPr>
              <w:t>5.4</w:t>
            </w:r>
          </w:p>
        </w:tc>
        <w:tc>
          <w:tcPr>
            <w:tcW w:w="3216" w:type="dxa"/>
            <w:vAlign w:val="center"/>
          </w:tcPr>
          <w:p w14:paraId="416BD8CE">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149AD7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BD08AC6">
            <w:pPr>
              <w:tabs>
                <w:tab w:val="left" w:pos="2227"/>
              </w:tabs>
              <w:spacing w:line="240" w:lineRule="auto"/>
              <w:ind w:firstLine="0" w:firstLineChars="0"/>
              <w:jc w:val="center"/>
              <w:rPr>
                <w:color w:val="auto"/>
                <w:sz w:val="21"/>
                <w:szCs w:val="21"/>
              </w:rPr>
            </w:pPr>
            <w:r>
              <w:rPr>
                <w:rFonts w:hint="eastAsia"/>
                <w:color w:val="auto"/>
                <w:sz w:val="21"/>
                <w:szCs w:val="21"/>
              </w:rPr>
              <w:t>25</w:t>
            </w:r>
          </w:p>
        </w:tc>
        <w:tc>
          <w:tcPr>
            <w:tcW w:w="2614" w:type="dxa"/>
            <w:gridSpan w:val="3"/>
            <w:vAlign w:val="center"/>
          </w:tcPr>
          <w:p w14:paraId="2A687C89">
            <w:pPr>
              <w:tabs>
                <w:tab w:val="left" w:pos="2227"/>
              </w:tabs>
              <w:spacing w:line="240" w:lineRule="auto"/>
              <w:ind w:firstLine="0" w:firstLineChars="0"/>
              <w:jc w:val="center"/>
              <w:rPr>
                <w:color w:val="auto"/>
                <w:sz w:val="21"/>
                <w:szCs w:val="21"/>
              </w:rPr>
            </w:pPr>
            <w:r>
              <w:rPr>
                <w:rFonts w:hint="eastAsia"/>
                <w:color w:val="auto"/>
                <w:sz w:val="21"/>
                <w:szCs w:val="21"/>
              </w:rPr>
              <w:t>废布袋</w:t>
            </w:r>
          </w:p>
        </w:tc>
        <w:tc>
          <w:tcPr>
            <w:tcW w:w="1539" w:type="dxa"/>
            <w:vAlign w:val="center"/>
          </w:tcPr>
          <w:p w14:paraId="057E6CDD">
            <w:pPr>
              <w:tabs>
                <w:tab w:val="left" w:pos="2227"/>
              </w:tabs>
              <w:spacing w:line="240" w:lineRule="auto"/>
              <w:ind w:firstLine="0" w:firstLineChars="0"/>
              <w:jc w:val="center"/>
              <w:rPr>
                <w:color w:val="auto"/>
                <w:sz w:val="21"/>
                <w:szCs w:val="21"/>
              </w:rPr>
            </w:pPr>
            <w:r>
              <w:rPr>
                <w:color w:val="auto"/>
                <w:sz w:val="21"/>
                <w:szCs w:val="21"/>
              </w:rPr>
              <w:t>废气处理</w:t>
            </w:r>
          </w:p>
        </w:tc>
        <w:tc>
          <w:tcPr>
            <w:tcW w:w="1006" w:type="dxa"/>
            <w:vAlign w:val="center"/>
          </w:tcPr>
          <w:p w14:paraId="5E230CA3">
            <w:pPr>
              <w:spacing w:line="240" w:lineRule="auto"/>
              <w:ind w:firstLine="0" w:firstLineChars="0"/>
              <w:jc w:val="center"/>
              <w:rPr>
                <w:color w:val="auto"/>
                <w:sz w:val="21"/>
                <w:szCs w:val="21"/>
              </w:rPr>
            </w:pPr>
            <w:r>
              <w:rPr>
                <w:rFonts w:hint="eastAsia"/>
                <w:color w:val="auto"/>
                <w:sz w:val="21"/>
                <w:szCs w:val="21"/>
              </w:rPr>
              <w:t>固态</w:t>
            </w:r>
          </w:p>
        </w:tc>
        <w:tc>
          <w:tcPr>
            <w:tcW w:w="1725" w:type="dxa"/>
            <w:shd w:val="clear" w:color="auto" w:fill="auto"/>
            <w:vAlign w:val="center"/>
          </w:tcPr>
          <w:p w14:paraId="01A8A575">
            <w:pPr>
              <w:spacing w:line="240" w:lineRule="auto"/>
              <w:ind w:firstLine="0" w:firstLineChars="0"/>
              <w:jc w:val="center"/>
              <w:rPr>
                <w:color w:val="auto"/>
                <w:sz w:val="21"/>
                <w:szCs w:val="21"/>
              </w:rPr>
            </w:pPr>
            <w:r>
              <w:rPr>
                <w:rFonts w:hint="eastAsia"/>
                <w:color w:val="auto"/>
                <w:sz w:val="21"/>
                <w:szCs w:val="21"/>
              </w:rPr>
              <w:t>一般工业固废</w:t>
            </w:r>
          </w:p>
        </w:tc>
        <w:tc>
          <w:tcPr>
            <w:tcW w:w="946" w:type="dxa"/>
            <w:shd w:val="clear" w:color="auto" w:fill="auto"/>
            <w:vAlign w:val="center"/>
          </w:tcPr>
          <w:p w14:paraId="3DE01D9F">
            <w:pPr>
              <w:spacing w:line="240" w:lineRule="auto"/>
              <w:ind w:firstLine="0" w:firstLineChars="0"/>
              <w:jc w:val="center"/>
              <w:rPr>
                <w:color w:val="auto"/>
                <w:sz w:val="21"/>
                <w:szCs w:val="21"/>
              </w:rPr>
            </w:pPr>
            <w:r>
              <w:rPr>
                <w:rFonts w:hint="eastAsia"/>
                <w:color w:val="auto"/>
                <w:sz w:val="21"/>
                <w:szCs w:val="21"/>
              </w:rPr>
              <w:t>SW59</w:t>
            </w:r>
          </w:p>
        </w:tc>
        <w:tc>
          <w:tcPr>
            <w:tcW w:w="1487" w:type="dxa"/>
            <w:shd w:val="clear" w:color="auto" w:fill="auto"/>
            <w:vAlign w:val="center"/>
          </w:tcPr>
          <w:p w14:paraId="59DD255E">
            <w:pPr>
              <w:spacing w:line="240" w:lineRule="auto"/>
              <w:ind w:firstLine="0" w:firstLineChars="0"/>
              <w:jc w:val="center"/>
              <w:rPr>
                <w:color w:val="auto"/>
                <w:sz w:val="21"/>
                <w:szCs w:val="21"/>
              </w:rPr>
            </w:pPr>
            <w:r>
              <w:rPr>
                <w:rFonts w:hint="eastAsia"/>
                <w:color w:val="auto"/>
                <w:sz w:val="21"/>
                <w:szCs w:val="21"/>
              </w:rPr>
              <w:t>900-099-S59</w:t>
            </w:r>
          </w:p>
        </w:tc>
        <w:tc>
          <w:tcPr>
            <w:tcW w:w="969" w:type="dxa"/>
            <w:vAlign w:val="center"/>
          </w:tcPr>
          <w:p w14:paraId="13EF6CD4">
            <w:pPr>
              <w:tabs>
                <w:tab w:val="left" w:pos="2227"/>
              </w:tabs>
              <w:spacing w:line="240" w:lineRule="auto"/>
              <w:ind w:firstLine="0" w:firstLineChars="0"/>
              <w:jc w:val="center"/>
              <w:rPr>
                <w:color w:val="auto"/>
                <w:sz w:val="21"/>
                <w:szCs w:val="21"/>
              </w:rPr>
            </w:pPr>
            <w:r>
              <w:rPr>
                <w:rFonts w:hint="eastAsia"/>
                <w:color w:val="auto"/>
                <w:sz w:val="21"/>
                <w:szCs w:val="21"/>
              </w:rPr>
              <w:t>0.02</w:t>
            </w:r>
          </w:p>
        </w:tc>
        <w:tc>
          <w:tcPr>
            <w:tcW w:w="3216" w:type="dxa"/>
            <w:vAlign w:val="center"/>
          </w:tcPr>
          <w:p w14:paraId="632EC726">
            <w:pPr>
              <w:spacing w:line="240" w:lineRule="auto"/>
              <w:ind w:firstLine="0" w:firstLineChars="0"/>
              <w:jc w:val="center"/>
              <w:rPr>
                <w:color w:val="auto"/>
                <w:sz w:val="21"/>
                <w:szCs w:val="21"/>
              </w:rPr>
            </w:pPr>
            <w:r>
              <w:rPr>
                <w:rFonts w:hint="eastAsia"/>
                <w:color w:val="auto"/>
                <w:sz w:val="21"/>
                <w:szCs w:val="21"/>
              </w:rPr>
              <w:t>交由环卫部门清运</w:t>
            </w:r>
          </w:p>
        </w:tc>
      </w:tr>
      <w:tr w14:paraId="30DCFE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13404895">
            <w:pPr>
              <w:tabs>
                <w:tab w:val="left" w:pos="2227"/>
              </w:tabs>
              <w:spacing w:line="240" w:lineRule="auto"/>
              <w:ind w:firstLine="0" w:firstLineChars="0"/>
              <w:jc w:val="center"/>
              <w:rPr>
                <w:color w:val="auto"/>
                <w:sz w:val="21"/>
                <w:szCs w:val="21"/>
              </w:rPr>
            </w:pPr>
            <w:r>
              <w:rPr>
                <w:rFonts w:hint="eastAsia"/>
                <w:color w:val="auto"/>
                <w:sz w:val="21"/>
                <w:szCs w:val="21"/>
              </w:rPr>
              <w:t>26</w:t>
            </w:r>
          </w:p>
        </w:tc>
        <w:tc>
          <w:tcPr>
            <w:tcW w:w="2614" w:type="dxa"/>
            <w:gridSpan w:val="3"/>
            <w:vAlign w:val="center"/>
          </w:tcPr>
          <w:p w14:paraId="242D348D">
            <w:pPr>
              <w:tabs>
                <w:tab w:val="left" w:pos="2227"/>
              </w:tabs>
              <w:spacing w:line="240" w:lineRule="auto"/>
              <w:ind w:firstLine="0" w:firstLineChars="0"/>
              <w:jc w:val="center"/>
              <w:rPr>
                <w:color w:val="auto"/>
                <w:sz w:val="21"/>
                <w:szCs w:val="21"/>
              </w:rPr>
            </w:pPr>
            <w:r>
              <w:rPr>
                <w:rFonts w:hint="eastAsia"/>
                <w:color w:val="auto"/>
                <w:sz w:val="21"/>
                <w:szCs w:val="21"/>
              </w:rPr>
              <w:t>布袋收尘</w:t>
            </w:r>
          </w:p>
        </w:tc>
        <w:tc>
          <w:tcPr>
            <w:tcW w:w="1539" w:type="dxa"/>
            <w:vAlign w:val="center"/>
          </w:tcPr>
          <w:p w14:paraId="7545D671">
            <w:pPr>
              <w:tabs>
                <w:tab w:val="left" w:pos="2227"/>
              </w:tabs>
              <w:spacing w:line="240" w:lineRule="auto"/>
              <w:ind w:firstLine="0" w:firstLineChars="0"/>
              <w:jc w:val="center"/>
              <w:rPr>
                <w:color w:val="auto"/>
                <w:sz w:val="21"/>
                <w:szCs w:val="21"/>
              </w:rPr>
            </w:pPr>
            <w:r>
              <w:rPr>
                <w:color w:val="auto"/>
                <w:sz w:val="21"/>
                <w:szCs w:val="21"/>
              </w:rPr>
              <w:t>废气处理</w:t>
            </w:r>
          </w:p>
        </w:tc>
        <w:tc>
          <w:tcPr>
            <w:tcW w:w="1006" w:type="dxa"/>
            <w:vAlign w:val="center"/>
          </w:tcPr>
          <w:p w14:paraId="1340A95C">
            <w:pPr>
              <w:spacing w:line="240" w:lineRule="auto"/>
              <w:ind w:firstLine="0" w:firstLineChars="0"/>
              <w:jc w:val="center"/>
              <w:rPr>
                <w:color w:val="auto"/>
                <w:sz w:val="21"/>
                <w:szCs w:val="21"/>
              </w:rPr>
            </w:pPr>
            <w:r>
              <w:rPr>
                <w:rFonts w:hint="eastAsia"/>
                <w:color w:val="auto"/>
                <w:sz w:val="21"/>
                <w:szCs w:val="21"/>
              </w:rPr>
              <w:t>固态</w:t>
            </w:r>
          </w:p>
        </w:tc>
        <w:tc>
          <w:tcPr>
            <w:tcW w:w="1725" w:type="dxa"/>
            <w:shd w:val="clear" w:color="auto" w:fill="auto"/>
            <w:vAlign w:val="center"/>
          </w:tcPr>
          <w:p w14:paraId="32ADEF16">
            <w:pPr>
              <w:spacing w:line="240" w:lineRule="auto"/>
              <w:ind w:firstLine="0" w:firstLineChars="0"/>
              <w:jc w:val="center"/>
              <w:rPr>
                <w:color w:val="auto"/>
                <w:sz w:val="21"/>
                <w:szCs w:val="21"/>
              </w:rPr>
            </w:pPr>
            <w:r>
              <w:rPr>
                <w:rFonts w:hint="eastAsia"/>
                <w:color w:val="auto"/>
                <w:sz w:val="21"/>
                <w:szCs w:val="21"/>
              </w:rPr>
              <w:t>一般工业固废</w:t>
            </w:r>
          </w:p>
        </w:tc>
        <w:tc>
          <w:tcPr>
            <w:tcW w:w="946" w:type="dxa"/>
            <w:shd w:val="clear" w:color="auto" w:fill="auto"/>
            <w:vAlign w:val="center"/>
          </w:tcPr>
          <w:p w14:paraId="55B9EF77">
            <w:pPr>
              <w:spacing w:line="240" w:lineRule="auto"/>
              <w:ind w:firstLine="0" w:firstLineChars="0"/>
              <w:jc w:val="center"/>
              <w:rPr>
                <w:color w:val="auto"/>
                <w:sz w:val="21"/>
                <w:szCs w:val="21"/>
              </w:rPr>
            </w:pPr>
            <w:r>
              <w:rPr>
                <w:rFonts w:hint="eastAsia"/>
                <w:color w:val="auto"/>
                <w:sz w:val="21"/>
                <w:szCs w:val="21"/>
              </w:rPr>
              <w:t xml:space="preserve">SW59 </w:t>
            </w:r>
          </w:p>
        </w:tc>
        <w:tc>
          <w:tcPr>
            <w:tcW w:w="1487" w:type="dxa"/>
            <w:shd w:val="clear" w:color="auto" w:fill="auto"/>
            <w:vAlign w:val="center"/>
          </w:tcPr>
          <w:p w14:paraId="59248537">
            <w:pPr>
              <w:spacing w:line="240" w:lineRule="auto"/>
              <w:ind w:firstLine="0" w:firstLineChars="0"/>
              <w:jc w:val="center"/>
              <w:rPr>
                <w:color w:val="auto"/>
                <w:sz w:val="21"/>
                <w:szCs w:val="21"/>
              </w:rPr>
            </w:pPr>
            <w:r>
              <w:rPr>
                <w:rFonts w:hint="eastAsia"/>
                <w:color w:val="auto"/>
                <w:sz w:val="21"/>
                <w:szCs w:val="21"/>
              </w:rPr>
              <w:t>900-099-S59</w:t>
            </w:r>
          </w:p>
        </w:tc>
        <w:tc>
          <w:tcPr>
            <w:tcW w:w="969" w:type="dxa"/>
            <w:vAlign w:val="center"/>
          </w:tcPr>
          <w:p w14:paraId="691778C7">
            <w:pPr>
              <w:tabs>
                <w:tab w:val="left" w:pos="2227"/>
              </w:tabs>
              <w:spacing w:line="240" w:lineRule="auto"/>
              <w:ind w:firstLine="0" w:firstLineChars="0"/>
              <w:jc w:val="center"/>
              <w:rPr>
                <w:color w:val="auto"/>
                <w:sz w:val="21"/>
                <w:szCs w:val="21"/>
              </w:rPr>
            </w:pPr>
            <w:r>
              <w:rPr>
                <w:rFonts w:hint="eastAsia"/>
                <w:color w:val="auto"/>
                <w:sz w:val="21"/>
                <w:szCs w:val="21"/>
              </w:rPr>
              <w:t>26.282</w:t>
            </w:r>
          </w:p>
        </w:tc>
        <w:tc>
          <w:tcPr>
            <w:tcW w:w="3216" w:type="dxa"/>
            <w:vAlign w:val="center"/>
          </w:tcPr>
          <w:p w14:paraId="4481566A">
            <w:pPr>
              <w:spacing w:line="240" w:lineRule="auto"/>
              <w:ind w:firstLine="0" w:firstLineChars="0"/>
              <w:jc w:val="center"/>
              <w:rPr>
                <w:color w:val="auto"/>
                <w:sz w:val="21"/>
                <w:szCs w:val="21"/>
              </w:rPr>
            </w:pPr>
            <w:r>
              <w:rPr>
                <w:rFonts w:hint="eastAsia"/>
                <w:color w:val="auto"/>
                <w:sz w:val="21"/>
                <w:szCs w:val="21"/>
              </w:rPr>
              <w:t>外售综合利用</w:t>
            </w:r>
          </w:p>
        </w:tc>
      </w:tr>
      <w:tr w14:paraId="58C893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291B12E5">
            <w:pPr>
              <w:tabs>
                <w:tab w:val="left" w:pos="2227"/>
              </w:tabs>
              <w:spacing w:line="240" w:lineRule="auto"/>
              <w:ind w:firstLine="0" w:firstLineChars="0"/>
              <w:jc w:val="center"/>
              <w:rPr>
                <w:color w:val="auto"/>
                <w:sz w:val="21"/>
                <w:szCs w:val="21"/>
              </w:rPr>
            </w:pPr>
            <w:r>
              <w:rPr>
                <w:rFonts w:hint="eastAsia"/>
                <w:color w:val="auto"/>
                <w:sz w:val="21"/>
                <w:szCs w:val="21"/>
              </w:rPr>
              <w:t>27</w:t>
            </w:r>
          </w:p>
        </w:tc>
        <w:tc>
          <w:tcPr>
            <w:tcW w:w="2614" w:type="dxa"/>
            <w:gridSpan w:val="3"/>
            <w:vAlign w:val="center"/>
          </w:tcPr>
          <w:p w14:paraId="0EB091BE">
            <w:pPr>
              <w:tabs>
                <w:tab w:val="left" w:pos="2227"/>
              </w:tabs>
              <w:spacing w:line="240" w:lineRule="auto"/>
              <w:ind w:firstLine="0" w:firstLineChars="0"/>
              <w:jc w:val="center"/>
              <w:rPr>
                <w:color w:val="auto"/>
                <w:sz w:val="21"/>
                <w:szCs w:val="21"/>
              </w:rPr>
            </w:pPr>
            <w:r>
              <w:rPr>
                <w:rFonts w:hint="eastAsia"/>
                <w:color w:val="auto"/>
                <w:sz w:val="21"/>
                <w:szCs w:val="21"/>
              </w:rPr>
              <w:t>综合废水污泥</w:t>
            </w:r>
          </w:p>
        </w:tc>
        <w:tc>
          <w:tcPr>
            <w:tcW w:w="1539" w:type="dxa"/>
            <w:vAlign w:val="center"/>
          </w:tcPr>
          <w:p w14:paraId="26D3E27E">
            <w:pPr>
              <w:tabs>
                <w:tab w:val="left" w:pos="2227"/>
              </w:tabs>
              <w:spacing w:line="240" w:lineRule="auto"/>
              <w:ind w:firstLine="0" w:firstLineChars="0"/>
              <w:jc w:val="center"/>
              <w:rPr>
                <w:color w:val="auto"/>
                <w:sz w:val="21"/>
                <w:szCs w:val="21"/>
              </w:rPr>
            </w:pPr>
            <w:r>
              <w:rPr>
                <w:color w:val="auto"/>
                <w:sz w:val="21"/>
                <w:szCs w:val="21"/>
              </w:rPr>
              <w:t>废水处理</w:t>
            </w:r>
          </w:p>
        </w:tc>
        <w:tc>
          <w:tcPr>
            <w:tcW w:w="1006" w:type="dxa"/>
            <w:vAlign w:val="center"/>
          </w:tcPr>
          <w:p w14:paraId="29A4C5A8">
            <w:pPr>
              <w:spacing w:line="240" w:lineRule="auto"/>
              <w:ind w:firstLine="0" w:firstLineChars="0"/>
              <w:jc w:val="center"/>
              <w:rPr>
                <w:color w:val="auto"/>
                <w:sz w:val="21"/>
                <w:szCs w:val="21"/>
              </w:rPr>
            </w:pPr>
            <w:r>
              <w:rPr>
                <w:rFonts w:hint="eastAsia"/>
                <w:color w:val="auto"/>
                <w:sz w:val="21"/>
                <w:szCs w:val="21"/>
              </w:rPr>
              <w:t>半固态</w:t>
            </w:r>
          </w:p>
        </w:tc>
        <w:tc>
          <w:tcPr>
            <w:tcW w:w="1725" w:type="dxa"/>
            <w:vAlign w:val="center"/>
          </w:tcPr>
          <w:p w14:paraId="313F7541">
            <w:pPr>
              <w:spacing w:line="240" w:lineRule="auto"/>
              <w:ind w:firstLine="0" w:firstLineChars="0"/>
              <w:jc w:val="center"/>
              <w:rPr>
                <w:color w:val="auto"/>
                <w:sz w:val="21"/>
                <w:szCs w:val="21"/>
              </w:rPr>
            </w:pPr>
            <w:r>
              <w:rPr>
                <w:rFonts w:hint="eastAsia"/>
                <w:color w:val="auto"/>
                <w:sz w:val="21"/>
                <w:szCs w:val="21"/>
              </w:rPr>
              <w:t>一般工业固废</w:t>
            </w:r>
          </w:p>
        </w:tc>
        <w:tc>
          <w:tcPr>
            <w:tcW w:w="946" w:type="dxa"/>
            <w:vAlign w:val="center"/>
          </w:tcPr>
          <w:p w14:paraId="6A82136E">
            <w:pPr>
              <w:spacing w:line="240" w:lineRule="auto"/>
              <w:ind w:firstLine="0" w:firstLineChars="0"/>
              <w:jc w:val="center"/>
              <w:rPr>
                <w:color w:val="auto"/>
                <w:sz w:val="21"/>
                <w:szCs w:val="21"/>
              </w:rPr>
            </w:pPr>
            <w:r>
              <w:rPr>
                <w:rFonts w:hint="eastAsia"/>
                <w:color w:val="auto"/>
                <w:sz w:val="21"/>
                <w:szCs w:val="21"/>
              </w:rPr>
              <w:t>SW07</w:t>
            </w:r>
          </w:p>
        </w:tc>
        <w:tc>
          <w:tcPr>
            <w:tcW w:w="1487" w:type="dxa"/>
            <w:vAlign w:val="center"/>
          </w:tcPr>
          <w:p w14:paraId="1B30547B">
            <w:pPr>
              <w:spacing w:line="240" w:lineRule="auto"/>
              <w:ind w:firstLine="0" w:firstLineChars="0"/>
              <w:jc w:val="center"/>
              <w:rPr>
                <w:color w:val="auto"/>
                <w:sz w:val="21"/>
                <w:szCs w:val="21"/>
              </w:rPr>
            </w:pPr>
            <w:r>
              <w:rPr>
                <w:rFonts w:hint="eastAsia"/>
                <w:color w:val="auto"/>
                <w:sz w:val="21"/>
                <w:szCs w:val="21"/>
              </w:rPr>
              <w:t>900-099-S07</w:t>
            </w:r>
          </w:p>
        </w:tc>
        <w:tc>
          <w:tcPr>
            <w:tcW w:w="969" w:type="dxa"/>
            <w:vAlign w:val="center"/>
          </w:tcPr>
          <w:p w14:paraId="2825AD48">
            <w:pPr>
              <w:tabs>
                <w:tab w:val="left" w:pos="2227"/>
              </w:tabs>
              <w:spacing w:line="240" w:lineRule="auto"/>
              <w:ind w:firstLine="0" w:firstLineChars="0"/>
              <w:jc w:val="center"/>
              <w:rPr>
                <w:color w:val="auto"/>
                <w:sz w:val="21"/>
                <w:szCs w:val="21"/>
              </w:rPr>
            </w:pPr>
            <w:r>
              <w:rPr>
                <w:rFonts w:hint="eastAsia"/>
                <w:color w:val="auto"/>
                <w:sz w:val="21"/>
                <w:szCs w:val="21"/>
              </w:rPr>
              <w:t>18000</w:t>
            </w:r>
          </w:p>
        </w:tc>
        <w:tc>
          <w:tcPr>
            <w:tcW w:w="3216" w:type="dxa"/>
            <w:vAlign w:val="center"/>
          </w:tcPr>
          <w:p w14:paraId="48755848">
            <w:pPr>
              <w:spacing w:line="240" w:lineRule="auto"/>
              <w:ind w:firstLine="0" w:firstLineChars="0"/>
              <w:jc w:val="center"/>
              <w:rPr>
                <w:color w:val="auto"/>
                <w:sz w:val="21"/>
                <w:szCs w:val="21"/>
              </w:rPr>
            </w:pPr>
            <w:r>
              <w:rPr>
                <w:rFonts w:hint="eastAsia"/>
                <w:color w:val="auto"/>
                <w:sz w:val="21"/>
                <w:szCs w:val="21"/>
              </w:rPr>
              <w:t>委托有资质单位集中处置</w:t>
            </w:r>
          </w:p>
        </w:tc>
      </w:tr>
      <w:tr w14:paraId="1C22BB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21D645AA">
            <w:pPr>
              <w:spacing w:line="240" w:lineRule="auto"/>
              <w:ind w:firstLine="0" w:firstLineChars="0"/>
              <w:jc w:val="center"/>
              <w:rPr>
                <w:color w:val="auto"/>
                <w:sz w:val="21"/>
                <w:szCs w:val="21"/>
              </w:rPr>
            </w:pPr>
            <w:r>
              <w:rPr>
                <w:rFonts w:hint="eastAsia"/>
                <w:color w:val="auto"/>
                <w:sz w:val="21"/>
                <w:szCs w:val="21"/>
              </w:rPr>
              <w:t>28</w:t>
            </w:r>
          </w:p>
        </w:tc>
        <w:tc>
          <w:tcPr>
            <w:tcW w:w="2614" w:type="dxa"/>
            <w:gridSpan w:val="3"/>
            <w:vAlign w:val="center"/>
          </w:tcPr>
          <w:p w14:paraId="343B613A">
            <w:pPr>
              <w:tabs>
                <w:tab w:val="left" w:pos="2227"/>
              </w:tabs>
              <w:spacing w:line="240" w:lineRule="auto"/>
              <w:ind w:firstLine="0" w:firstLineChars="0"/>
              <w:jc w:val="center"/>
              <w:rPr>
                <w:color w:val="auto"/>
                <w:sz w:val="21"/>
                <w:szCs w:val="21"/>
              </w:rPr>
            </w:pPr>
            <w:r>
              <w:rPr>
                <w:rFonts w:hint="eastAsia"/>
                <w:color w:val="auto"/>
                <w:sz w:val="21"/>
                <w:szCs w:val="21"/>
              </w:rPr>
              <w:t>化粪池污泥</w:t>
            </w:r>
          </w:p>
        </w:tc>
        <w:tc>
          <w:tcPr>
            <w:tcW w:w="1539" w:type="dxa"/>
            <w:vAlign w:val="center"/>
          </w:tcPr>
          <w:p w14:paraId="650DB912">
            <w:pPr>
              <w:tabs>
                <w:tab w:val="left" w:pos="2227"/>
              </w:tabs>
              <w:spacing w:line="240" w:lineRule="auto"/>
              <w:ind w:firstLine="0" w:firstLineChars="0"/>
              <w:jc w:val="center"/>
              <w:rPr>
                <w:color w:val="auto"/>
                <w:sz w:val="21"/>
                <w:szCs w:val="21"/>
              </w:rPr>
            </w:pPr>
            <w:r>
              <w:rPr>
                <w:rFonts w:hint="eastAsia"/>
                <w:color w:val="auto"/>
                <w:sz w:val="21"/>
                <w:szCs w:val="21"/>
              </w:rPr>
              <w:t>生活废水处理</w:t>
            </w:r>
          </w:p>
        </w:tc>
        <w:tc>
          <w:tcPr>
            <w:tcW w:w="1006" w:type="dxa"/>
            <w:vAlign w:val="center"/>
          </w:tcPr>
          <w:p w14:paraId="5A81E0EC">
            <w:pPr>
              <w:spacing w:line="240" w:lineRule="auto"/>
              <w:ind w:firstLine="0" w:firstLineChars="0"/>
              <w:jc w:val="center"/>
              <w:rPr>
                <w:color w:val="auto"/>
                <w:sz w:val="21"/>
                <w:szCs w:val="21"/>
              </w:rPr>
            </w:pPr>
            <w:r>
              <w:rPr>
                <w:rFonts w:hint="eastAsia"/>
                <w:color w:val="auto"/>
                <w:sz w:val="21"/>
                <w:szCs w:val="21"/>
              </w:rPr>
              <w:t>半固态</w:t>
            </w:r>
          </w:p>
        </w:tc>
        <w:tc>
          <w:tcPr>
            <w:tcW w:w="1725" w:type="dxa"/>
            <w:vAlign w:val="center"/>
          </w:tcPr>
          <w:p w14:paraId="439EA177">
            <w:pPr>
              <w:spacing w:line="240" w:lineRule="auto"/>
              <w:ind w:firstLine="0" w:firstLineChars="0"/>
              <w:jc w:val="center"/>
              <w:rPr>
                <w:color w:val="auto"/>
                <w:sz w:val="21"/>
                <w:szCs w:val="21"/>
              </w:rPr>
            </w:pPr>
            <w:r>
              <w:rPr>
                <w:rFonts w:hint="eastAsia"/>
                <w:color w:val="auto"/>
                <w:sz w:val="21"/>
                <w:szCs w:val="21"/>
              </w:rPr>
              <w:t>一般工业固废</w:t>
            </w:r>
          </w:p>
        </w:tc>
        <w:tc>
          <w:tcPr>
            <w:tcW w:w="946" w:type="dxa"/>
            <w:shd w:val="clear" w:color="auto" w:fill="auto"/>
            <w:vAlign w:val="center"/>
          </w:tcPr>
          <w:p w14:paraId="37A52301">
            <w:pPr>
              <w:spacing w:line="240" w:lineRule="auto"/>
              <w:ind w:firstLine="0" w:firstLineChars="0"/>
              <w:jc w:val="center"/>
              <w:rPr>
                <w:color w:val="auto"/>
                <w:sz w:val="21"/>
                <w:szCs w:val="21"/>
              </w:rPr>
            </w:pPr>
            <w:r>
              <w:rPr>
                <w:rFonts w:hint="eastAsia"/>
                <w:color w:val="auto"/>
                <w:sz w:val="21"/>
                <w:szCs w:val="21"/>
              </w:rPr>
              <w:t>SW64</w:t>
            </w:r>
          </w:p>
        </w:tc>
        <w:tc>
          <w:tcPr>
            <w:tcW w:w="1487" w:type="dxa"/>
            <w:shd w:val="clear" w:color="auto" w:fill="auto"/>
            <w:vAlign w:val="center"/>
          </w:tcPr>
          <w:p w14:paraId="553CAFDC">
            <w:pPr>
              <w:spacing w:line="240" w:lineRule="auto"/>
              <w:ind w:firstLine="0" w:firstLineChars="0"/>
              <w:jc w:val="center"/>
              <w:rPr>
                <w:color w:val="auto"/>
                <w:sz w:val="21"/>
                <w:szCs w:val="21"/>
              </w:rPr>
            </w:pPr>
            <w:r>
              <w:rPr>
                <w:rFonts w:hint="eastAsia"/>
                <w:color w:val="auto"/>
                <w:sz w:val="21"/>
                <w:szCs w:val="21"/>
              </w:rPr>
              <w:t>900-002-S64</w:t>
            </w:r>
          </w:p>
        </w:tc>
        <w:tc>
          <w:tcPr>
            <w:tcW w:w="969" w:type="dxa"/>
            <w:shd w:val="clear" w:color="auto" w:fill="auto"/>
            <w:vAlign w:val="center"/>
          </w:tcPr>
          <w:p w14:paraId="1433643D">
            <w:pPr>
              <w:tabs>
                <w:tab w:val="left" w:pos="2227"/>
              </w:tabs>
              <w:spacing w:line="240" w:lineRule="auto"/>
              <w:ind w:firstLine="0" w:firstLineChars="0"/>
              <w:jc w:val="center"/>
              <w:rPr>
                <w:color w:val="auto"/>
                <w:sz w:val="21"/>
                <w:szCs w:val="21"/>
              </w:rPr>
            </w:pPr>
            <w:r>
              <w:rPr>
                <w:rFonts w:hint="eastAsia"/>
                <w:color w:val="auto"/>
                <w:sz w:val="21"/>
                <w:szCs w:val="21"/>
              </w:rPr>
              <w:t>13.2</w:t>
            </w:r>
          </w:p>
        </w:tc>
        <w:tc>
          <w:tcPr>
            <w:tcW w:w="3216" w:type="dxa"/>
            <w:vAlign w:val="center"/>
          </w:tcPr>
          <w:p w14:paraId="12993F6C">
            <w:pPr>
              <w:spacing w:line="240" w:lineRule="auto"/>
              <w:ind w:firstLine="0" w:firstLineChars="0"/>
              <w:jc w:val="center"/>
              <w:rPr>
                <w:color w:val="auto"/>
                <w:sz w:val="21"/>
                <w:szCs w:val="21"/>
              </w:rPr>
            </w:pPr>
            <w:r>
              <w:rPr>
                <w:rFonts w:hint="eastAsia"/>
                <w:color w:val="auto"/>
                <w:sz w:val="21"/>
                <w:szCs w:val="21"/>
              </w:rPr>
              <w:t>交由环卫部门清运</w:t>
            </w:r>
          </w:p>
        </w:tc>
      </w:tr>
      <w:tr w14:paraId="773B50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7B8959FC">
            <w:pPr>
              <w:spacing w:line="240" w:lineRule="auto"/>
              <w:ind w:firstLine="0" w:firstLineChars="0"/>
              <w:jc w:val="center"/>
              <w:rPr>
                <w:color w:val="auto"/>
                <w:sz w:val="21"/>
                <w:szCs w:val="21"/>
              </w:rPr>
            </w:pPr>
            <w:r>
              <w:rPr>
                <w:rFonts w:hint="eastAsia"/>
                <w:color w:val="auto"/>
                <w:sz w:val="21"/>
                <w:szCs w:val="21"/>
              </w:rPr>
              <w:t>29</w:t>
            </w:r>
          </w:p>
        </w:tc>
        <w:tc>
          <w:tcPr>
            <w:tcW w:w="2614" w:type="dxa"/>
            <w:gridSpan w:val="3"/>
            <w:vAlign w:val="center"/>
          </w:tcPr>
          <w:p w14:paraId="5F4E2350">
            <w:pPr>
              <w:tabs>
                <w:tab w:val="left" w:pos="2227"/>
              </w:tabs>
              <w:spacing w:line="240" w:lineRule="auto"/>
              <w:ind w:firstLine="0" w:firstLineChars="0"/>
              <w:jc w:val="center"/>
              <w:rPr>
                <w:color w:val="auto"/>
                <w:sz w:val="21"/>
                <w:szCs w:val="21"/>
              </w:rPr>
            </w:pPr>
            <w:r>
              <w:rPr>
                <w:rFonts w:hint="eastAsia"/>
                <w:color w:val="auto"/>
                <w:sz w:val="21"/>
                <w:szCs w:val="21"/>
              </w:rPr>
              <w:t>厨余垃圾</w:t>
            </w:r>
          </w:p>
        </w:tc>
        <w:tc>
          <w:tcPr>
            <w:tcW w:w="1539" w:type="dxa"/>
            <w:vAlign w:val="center"/>
          </w:tcPr>
          <w:p w14:paraId="53AD9D30">
            <w:pPr>
              <w:tabs>
                <w:tab w:val="left" w:pos="2227"/>
              </w:tabs>
              <w:spacing w:line="240" w:lineRule="auto"/>
              <w:ind w:firstLine="0" w:firstLineChars="0"/>
              <w:jc w:val="center"/>
              <w:rPr>
                <w:color w:val="auto"/>
                <w:sz w:val="21"/>
                <w:szCs w:val="21"/>
              </w:rPr>
            </w:pPr>
            <w:r>
              <w:rPr>
                <w:rFonts w:hint="eastAsia"/>
                <w:color w:val="auto"/>
                <w:sz w:val="21"/>
                <w:szCs w:val="21"/>
              </w:rPr>
              <w:t>食堂餐饮</w:t>
            </w:r>
          </w:p>
        </w:tc>
        <w:tc>
          <w:tcPr>
            <w:tcW w:w="1006" w:type="dxa"/>
            <w:vAlign w:val="center"/>
          </w:tcPr>
          <w:p w14:paraId="46740E35">
            <w:pPr>
              <w:spacing w:line="240" w:lineRule="auto"/>
              <w:ind w:firstLine="0" w:firstLineChars="0"/>
              <w:jc w:val="center"/>
              <w:rPr>
                <w:color w:val="auto"/>
                <w:sz w:val="21"/>
                <w:szCs w:val="21"/>
              </w:rPr>
            </w:pPr>
            <w:r>
              <w:rPr>
                <w:rFonts w:hint="eastAsia"/>
                <w:color w:val="auto"/>
                <w:sz w:val="21"/>
                <w:szCs w:val="21"/>
              </w:rPr>
              <w:t>半固态</w:t>
            </w:r>
          </w:p>
        </w:tc>
        <w:tc>
          <w:tcPr>
            <w:tcW w:w="1725" w:type="dxa"/>
            <w:vAlign w:val="center"/>
          </w:tcPr>
          <w:p w14:paraId="6D51E3F0">
            <w:pPr>
              <w:spacing w:line="240" w:lineRule="auto"/>
              <w:ind w:firstLine="0" w:firstLineChars="0"/>
              <w:jc w:val="center"/>
              <w:rPr>
                <w:color w:val="auto"/>
                <w:sz w:val="21"/>
                <w:szCs w:val="21"/>
              </w:rPr>
            </w:pPr>
            <w:r>
              <w:rPr>
                <w:rFonts w:hint="eastAsia"/>
                <w:color w:val="auto"/>
                <w:sz w:val="21"/>
                <w:szCs w:val="21"/>
              </w:rPr>
              <w:t>生活垃圾</w:t>
            </w:r>
          </w:p>
        </w:tc>
        <w:tc>
          <w:tcPr>
            <w:tcW w:w="946" w:type="dxa"/>
            <w:shd w:val="clear" w:color="auto" w:fill="auto"/>
            <w:vAlign w:val="center"/>
          </w:tcPr>
          <w:p w14:paraId="79A26279">
            <w:pPr>
              <w:spacing w:line="240" w:lineRule="auto"/>
              <w:ind w:firstLine="0" w:firstLineChars="0"/>
              <w:jc w:val="center"/>
              <w:rPr>
                <w:color w:val="auto"/>
                <w:sz w:val="21"/>
                <w:szCs w:val="21"/>
              </w:rPr>
            </w:pPr>
            <w:r>
              <w:rPr>
                <w:rFonts w:hint="eastAsia"/>
                <w:color w:val="auto"/>
                <w:sz w:val="21"/>
                <w:szCs w:val="21"/>
              </w:rPr>
              <w:t>SW61</w:t>
            </w:r>
          </w:p>
        </w:tc>
        <w:tc>
          <w:tcPr>
            <w:tcW w:w="1487" w:type="dxa"/>
            <w:shd w:val="clear" w:color="auto" w:fill="auto"/>
            <w:vAlign w:val="center"/>
          </w:tcPr>
          <w:p w14:paraId="65A8B890">
            <w:pPr>
              <w:spacing w:line="240" w:lineRule="auto"/>
              <w:ind w:firstLine="0" w:firstLineChars="0"/>
              <w:jc w:val="center"/>
              <w:rPr>
                <w:color w:val="auto"/>
                <w:sz w:val="21"/>
                <w:szCs w:val="21"/>
              </w:rPr>
            </w:pPr>
            <w:r>
              <w:rPr>
                <w:rFonts w:hint="eastAsia"/>
                <w:color w:val="auto"/>
                <w:sz w:val="21"/>
                <w:szCs w:val="21"/>
              </w:rPr>
              <w:t>900-002-S61</w:t>
            </w:r>
          </w:p>
        </w:tc>
        <w:tc>
          <w:tcPr>
            <w:tcW w:w="969" w:type="dxa"/>
            <w:shd w:val="clear" w:color="auto" w:fill="auto"/>
            <w:vAlign w:val="center"/>
          </w:tcPr>
          <w:p w14:paraId="14BD48DA">
            <w:pPr>
              <w:tabs>
                <w:tab w:val="left" w:pos="2227"/>
              </w:tabs>
              <w:spacing w:line="240" w:lineRule="auto"/>
              <w:ind w:firstLine="0" w:firstLineChars="0"/>
              <w:jc w:val="center"/>
              <w:rPr>
                <w:color w:val="auto"/>
                <w:sz w:val="21"/>
                <w:szCs w:val="21"/>
              </w:rPr>
            </w:pPr>
            <w:r>
              <w:rPr>
                <w:rFonts w:hint="eastAsia"/>
                <w:color w:val="auto"/>
                <w:sz w:val="21"/>
                <w:szCs w:val="21"/>
              </w:rPr>
              <w:t>132</w:t>
            </w:r>
          </w:p>
        </w:tc>
        <w:tc>
          <w:tcPr>
            <w:tcW w:w="3216" w:type="dxa"/>
            <w:shd w:val="clear" w:color="auto" w:fill="auto"/>
            <w:vAlign w:val="center"/>
          </w:tcPr>
          <w:p w14:paraId="3CA0932F">
            <w:pPr>
              <w:spacing w:line="240" w:lineRule="auto"/>
              <w:ind w:firstLine="0" w:firstLineChars="0"/>
              <w:jc w:val="center"/>
              <w:rPr>
                <w:color w:val="auto"/>
                <w:sz w:val="21"/>
                <w:szCs w:val="21"/>
              </w:rPr>
            </w:pPr>
            <w:r>
              <w:rPr>
                <w:rFonts w:hint="eastAsia"/>
                <w:color w:val="auto"/>
                <w:sz w:val="21"/>
                <w:szCs w:val="21"/>
              </w:rPr>
              <w:t>交由有许可资质单位处置</w:t>
            </w:r>
          </w:p>
        </w:tc>
      </w:tr>
      <w:tr w14:paraId="64641A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398E59AA">
            <w:pPr>
              <w:tabs>
                <w:tab w:val="left" w:pos="2227"/>
              </w:tabs>
              <w:spacing w:line="240" w:lineRule="auto"/>
              <w:ind w:firstLine="0" w:firstLineChars="0"/>
              <w:jc w:val="center"/>
              <w:rPr>
                <w:color w:val="auto"/>
                <w:sz w:val="21"/>
                <w:szCs w:val="21"/>
              </w:rPr>
            </w:pPr>
            <w:r>
              <w:rPr>
                <w:rFonts w:hint="eastAsia"/>
                <w:color w:val="auto"/>
                <w:sz w:val="21"/>
                <w:szCs w:val="21"/>
              </w:rPr>
              <w:t>30</w:t>
            </w:r>
          </w:p>
        </w:tc>
        <w:tc>
          <w:tcPr>
            <w:tcW w:w="2614" w:type="dxa"/>
            <w:gridSpan w:val="3"/>
            <w:vAlign w:val="center"/>
          </w:tcPr>
          <w:p w14:paraId="25128ED3">
            <w:pPr>
              <w:tabs>
                <w:tab w:val="left" w:pos="2227"/>
              </w:tabs>
              <w:spacing w:line="240" w:lineRule="auto"/>
              <w:ind w:firstLine="0" w:firstLineChars="0"/>
              <w:jc w:val="center"/>
              <w:rPr>
                <w:color w:val="auto"/>
                <w:sz w:val="21"/>
                <w:szCs w:val="21"/>
              </w:rPr>
            </w:pPr>
            <w:r>
              <w:rPr>
                <w:rFonts w:hint="eastAsia"/>
                <w:color w:val="auto"/>
                <w:sz w:val="21"/>
                <w:szCs w:val="21"/>
              </w:rPr>
              <w:t>隔油池废油</w:t>
            </w:r>
          </w:p>
        </w:tc>
        <w:tc>
          <w:tcPr>
            <w:tcW w:w="1539" w:type="dxa"/>
            <w:vAlign w:val="center"/>
          </w:tcPr>
          <w:p w14:paraId="53FDF3BE">
            <w:pPr>
              <w:tabs>
                <w:tab w:val="left" w:pos="2227"/>
              </w:tabs>
              <w:spacing w:line="240" w:lineRule="auto"/>
              <w:ind w:firstLine="0" w:firstLineChars="0"/>
              <w:jc w:val="center"/>
              <w:rPr>
                <w:color w:val="auto"/>
                <w:sz w:val="21"/>
                <w:szCs w:val="21"/>
              </w:rPr>
            </w:pPr>
            <w:r>
              <w:rPr>
                <w:rFonts w:hint="eastAsia"/>
                <w:color w:val="auto"/>
                <w:sz w:val="21"/>
                <w:szCs w:val="21"/>
              </w:rPr>
              <w:t>食堂废水处理</w:t>
            </w:r>
          </w:p>
        </w:tc>
        <w:tc>
          <w:tcPr>
            <w:tcW w:w="1006" w:type="dxa"/>
            <w:vAlign w:val="center"/>
          </w:tcPr>
          <w:p w14:paraId="507C979D">
            <w:pPr>
              <w:spacing w:line="240" w:lineRule="auto"/>
              <w:ind w:firstLine="0" w:firstLineChars="0"/>
              <w:jc w:val="center"/>
              <w:rPr>
                <w:color w:val="auto"/>
                <w:sz w:val="21"/>
                <w:szCs w:val="21"/>
              </w:rPr>
            </w:pPr>
            <w:r>
              <w:rPr>
                <w:rFonts w:hint="eastAsia"/>
                <w:color w:val="auto"/>
                <w:sz w:val="21"/>
                <w:szCs w:val="21"/>
              </w:rPr>
              <w:t>液态</w:t>
            </w:r>
          </w:p>
        </w:tc>
        <w:tc>
          <w:tcPr>
            <w:tcW w:w="1725" w:type="dxa"/>
            <w:vAlign w:val="center"/>
          </w:tcPr>
          <w:p w14:paraId="56D148D6">
            <w:pPr>
              <w:spacing w:line="240" w:lineRule="auto"/>
              <w:ind w:firstLine="0" w:firstLineChars="0"/>
              <w:jc w:val="center"/>
              <w:rPr>
                <w:color w:val="auto"/>
                <w:sz w:val="21"/>
                <w:szCs w:val="21"/>
              </w:rPr>
            </w:pPr>
            <w:r>
              <w:rPr>
                <w:rFonts w:hint="eastAsia"/>
                <w:color w:val="auto"/>
                <w:sz w:val="21"/>
                <w:szCs w:val="21"/>
              </w:rPr>
              <w:t>生活垃圾</w:t>
            </w:r>
          </w:p>
        </w:tc>
        <w:tc>
          <w:tcPr>
            <w:tcW w:w="946" w:type="dxa"/>
            <w:shd w:val="clear" w:color="auto" w:fill="auto"/>
            <w:vAlign w:val="center"/>
          </w:tcPr>
          <w:p w14:paraId="35E41BAD">
            <w:pPr>
              <w:spacing w:line="240" w:lineRule="auto"/>
              <w:ind w:firstLine="0" w:firstLineChars="0"/>
              <w:jc w:val="center"/>
              <w:rPr>
                <w:color w:val="auto"/>
                <w:sz w:val="21"/>
                <w:szCs w:val="21"/>
              </w:rPr>
            </w:pPr>
            <w:r>
              <w:rPr>
                <w:rFonts w:hint="eastAsia"/>
                <w:color w:val="auto"/>
                <w:sz w:val="21"/>
                <w:szCs w:val="21"/>
              </w:rPr>
              <w:t>SW61</w:t>
            </w:r>
          </w:p>
        </w:tc>
        <w:tc>
          <w:tcPr>
            <w:tcW w:w="1487" w:type="dxa"/>
            <w:shd w:val="clear" w:color="auto" w:fill="auto"/>
            <w:vAlign w:val="center"/>
          </w:tcPr>
          <w:p w14:paraId="0B067ED6">
            <w:pPr>
              <w:spacing w:line="240" w:lineRule="auto"/>
              <w:ind w:firstLine="0" w:firstLineChars="0"/>
              <w:jc w:val="center"/>
              <w:rPr>
                <w:color w:val="auto"/>
                <w:sz w:val="21"/>
                <w:szCs w:val="21"/>
              </w:rPr>
            </w:pPr>
            <w:r>
              <w:rPr>
                <w:rFonts w:hint="eastAsia"/>
                <w:color w:val="auto"/>
                <w:sz w:val="21"/>
                <w:szCs w:val="21"/>
              </w:rPr>
              <w:t>900-002-S61</w:t>
            </w:r>
          </w:p>
        </w:tc>
        <w:tc>
          <w:tcPr>
            <w:tcW w:w="969" w:type="dxa"/>
            <w:shd w:val="clear" w:color="auto" w:fill="auto"/>
            <w:vAlign w:val="center"/>
          </w:tcPr>
          <w:p w14:paraId="133C9A0F">
            <w:pPr>
              <w:tabs>
                <w:tab w:val="left" w:pos="2227"/>
              </w:tabs>
              <w:spacing w:line="240" w:lineRule="auto"/>
              <w:ind w:firstLine="0" w:firstLineChars="0"/>
              <w:jc w:val="center"/>
              <w:rPr>
                <w:color w:val="auto"/>
                <w:sz w:val="21"/>
                <w:szCs w:val="21"/>
              </w:rPr>
            </w:pPr>
            <w:r>
              <w:rPr>
                <w:rFonts w:hint="eastAsia"/>
                <w:color w:val="auto"/>
                <w:sz w:val="21"/>
                <w:szCs w:val="21"/>
              </w:rPr>
              <w:t>9.5</w:t>
            </w:r>
          </w:p>
        </w:tc>
        <w:tc>
          <w:tcPr>
            <w:tcW w:w="3216" w:type="dxa"/>
            <w:shd w:val="clear" w:color="auto" w:fill="auto"/>
            <w:vAlign w:val="center"/>
          </w:tcPr>
          <w:p w14:paraId="16EEDB69">
            <w:pPr>
              <w:spacing w:line="240" w:lineRule="auto"/>
              <w:ind w:firstLine="0" w:firstLineChars="0"/>
              <w:jc w:val="center"/>
              <w:rPr>
                <w:color w:val="auto"/>
                <w:sz w:val="21"/>
                <w:szCs w:val="21"/>
              </w:rPr>
            </w:pPr>
            <w:r>
              <w:rPr>
                <w:rFonts w:hint="eastAsia"/>
                <w:color w:val="auto"/>
                <w:sz w:val="21"/>
                <w:szCs w:val="21"/>
              </w:rPr>
              <w:t>交由有许可资质单位处置</w:t>
            </w:r>
          </w:p>
        </w:tc>
      </w:tr>
      <w:tr w14:paraId="709F46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6F4DBBD7">
            <w:pPr>
              <w:tabs>
                <w:tab w:val="left" w:pos="2227"/>
              </w:tabs>
              <w:spacing w:line="240" w:lineRule="auto"/>
              <w:ind w:firstLine="0" w:firstLineChars="0"/>
              <w:jc w:val="center"/>
              <w:rPr>
                <w:color w:val="auto"/>
                <w:sz w:val="21"/>
                <w:szCs w:val="21"/>
              </w:rPr>
            </w:pPr>
            <w:r>
              <w:rPr>
                <w:rFonts w:hint="eastAsia"/>
                <w:color w:val="auto"/>
                <w:sz w:val="21"/>
                <w:szCs w:val="21"/>
              </w:rPr>
              <w:t>31</w:t>
            </w:r>
          </w:p>
        </w:tc>
        <w:tc>
          <w:tcPr>
            <w:tcW w:w="2614" w:type="dxa"/>
            <w:gridSpan w:val="3"/>
            <w:vAlign w:val="center"/>
          </w:tcPr>
          <w:p w14:paraId="142C127B">
            <w:pPr>
              <w:tabs>
                <w:tab w:val="left" w:pos="2227"/>
              </w:tabs>
              <w:spacing w:line="240" w:lineRule="auto"/>
              <w:ind w:firstLine="0" w:firstLineChars="0"/>
              <w:jc w:val="center"/>
              <w:rPr>
                <w:color w:val="auto"/>
                <w:sz w:val="21"/>
                <w:szCs w:val="21"/>
              </w:rPr>
            </w:pPr>
            <w:r>
              <w:rPr>
                <w:rFonts w:hint="eastAsia"/>
                <w:color w:val="auto"/>
                <w:sz w:val="21"/>
                <w:szCs w:val="21"/>
              </w:rPr>
              <w:t>生活垃圾</w:t>
            </w:r>
          </w:p>
        </w:tc>
        <w:tc>
          <w:tcPr>
            <w:tcW w:w="1539" w:type="dxa"/>
            <w:vAlign w:val="center"/>
          </w:tcPr>
          <w:p w14:paraId="79CDB765">
            <w:pPr>
              <w:tabs>
                <w:tab w:val="left" w:pos="2227"/>
              </w:tabs>
              <w:spacing w:line="240" w:lineRule="auto"/>
              <w:ind w:firstLine="0" w:firstLineChars="0"/>
              <w:jc w:val="center"/>
              <w:rPr>
                <w:color w:val="auto"/>
                <w:sz w:val="21"/>
                <w:szCs w:val="21"/>
              </w:rPr>
            </w:pPr>
            <w:r>
              <w:rPr>
                <w:rFonts w:hint="eastAsia"/>
                <w:color w:val="auto"/>
                <w:sz w:val="21"/>
                <w:szCs w:val="21"/>
              </w:rPr>
              <w:t>办公生活</w:t>
            </w:r>
          </w:p>
        </w:tc>
        <w:tc>
          <w:tcPr>
            <w:tcW w:w="1006" w:type="dxa"/>
            <w:vAlign w:val="center"/>
          </w:tcPr>
          <w:p w14:paraId="64019F2A">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2D4409AB">
            <w:pPr>
              <w:spacing w:line="240" w:lineRule="auto"/>
              <w:ind w:firstLine="0" w:firstLineChars="0"/>
              <w:jc w:val="center"/>
              <w:rPr>
                <w:color w:val="auto"/>
                <w:sz w:val="21"/>
                <w:szCs w:val="21"/>
              </w:rPr>
            </w:pPr>
            <w:r>
              <w:rPr>
                <w:rFonts w:hint="eastAsia"/>
                <w:color w:val="auto"/>
                <w:sz w:val="21"/>
                <w:szCs w:val="21"/>
              </w:rPr>
              <w:t>生活垃圾</w:t>
            </w:r>
          </w:p>
        </w:tc>
        <w:tc>
          <w:tcPr>
            <w:tcW w:w="946" w:type="dxa"/>
            <w:shd w:val="clear" w:color="auto" w:fill="auto"/>
            <w:vAlign w:val="center"/>
          </w:tcPr>
          <w:p w14:paraId="26339ED1">
            <w:pPr>
              <w:spacing w:line="240" w:lineRule="auto"/>
              <w:ind w:firstLine="0" w:firstLineChars="0"/>
              <w:jc w:val="center"/>
              <w:rPr>
                <w:color w:val="auto"/>
                <w:sz w:val="21"/>
                <w:szCs w:val="21"/>
              </w:rPr>
            </w:pPr>
            <w:r>
              <w:rPr>
                <w:rFonts w:hint="eastAsia"/>
                <w:color w:val="auto"/>
                <w:sz w:val="21"/>
                <w:szCs w:val="21"/>
              </w:rPr>
              <w:t>SW64</w:t>
            </w:r>
          </w:p>
        </w:tc>
        <w:tc>
          <w:tcPr>
            <w:tcW w:w="1487" w:type="dxa"/>
            <w:shd w:val="clear" w:color="auto" w:fill="auto"/>
            <w:vAlign w:val="center"/>
          </w:tcPr>
          <w:p w14:paraId="25608C86">
            <w:pPr>
              <w:spacing w:line="240" w:lineRule="auto"/>
              <w:ind w:firstLine="0" w:firstLineChars="0"/>
              <w:jc w:val="center"/>
              <w:rPr>
                <w:color w:val="auto"/>
                <w:sz w:val="21"/>
                <w:szCs w:val="21"/>
              </w:rPr>
            </w:pPr>
            <w:r>
              <w:rPr>
                <w:rFonts w:hint="eastAsia"/>
                <w:color w:val="auto"/>
                <w:sz w:val="21"/>
                <w:szCs w:val="21"/>
              </w:rPr>
              <w:t>900-099-S64</w:t>
            </w:r>
          </w:p>
        </w:tc>
        <w:tc>
          <w:tcPr>
            <w:tcW w:w="969" w:type="dxa"/>
            <w:vAlign w:val="center"/>
          </w:tcPr>
          <w:p w14:paraId="03FBA6EF">
            <w:pPr>
              <w:tabs>
                <w:tab w:val="left" w:pos="2227"/>
              </w:tabs>
              <w:spacing w:line="240" w:lineRule="auto"/>
              <w:ind w:firstLine="0" w:firstLineChars="0"/>
              <w:jc w:val="center"/>
              <w:rPr>
                <w:color w:val="auto"/>
                <w:sz w:val="21"/>
                <w:szCs w:val="21"/>
              </w:rPr>
            </w:pPr>
            <w:r>
              <w:rPr>
                <w:rFonts w:hint="eastAsia"/>
                <w:color w:val="auto"/>
                <w:sz w:val="21"/>
                <w:szCs w:val="21"/>
              </w:rPr>
              <w:t>165</w:t>
            </w:r>
          </w:p>
        </w:tc>
        <w:tc>
          <w:tcPr>
            <w:tcW w:w="3216" w:type="dxa"/>
            <w:vAlign w:val="center"/>
          </w:tcPr>
          <w:p w14:paraId="683FBF6A">
            <w:pPr>
              <w:spacing w:line="240" w:lineRule="auto"/>
              <w:ind w:firstLine="0" w:firstLineChars="0"/>
              <w:jc w:val="center"/>
              <w:rPr>
                <w:color w:val="auto"/>
                <w:sz w:val="21"/>
                <w:szCs w:val="21"/>
              </w:rPr>
            </w:pPr>
            <w:r>
              <w:rPr>
                <w:rFonts w:hint="eastAsia"/>
                <w:color w:val="auto"/>
                <w:sz w:val="21"/>
                <w:szCs w:val="21"/>
              </w:rPr>
              <w:t>交由环卫部门清运</w:t>
            </w:r>
          </w:p>
        </w:tc>
      </w:tr>
      <w:tr w14:paraId="65F6F9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6" w:type="dxa"/>
            <w:shd w:val="clear" w:color="auto" w:fill="auto"/>
            <w:vAlign w:val="center"/>
          </w:tcPr>
          <w:p w14:paraId="295647E3">
            <w:pPr>
              <w:spacing w:line="240" w:lineRule="auto"/>
              <w:ind w:firstLine="0" w:firstLineChars="0"/>
              <w:jc w:val="center"/>
              <w:rPr>
                <w:color w:val="auto"/>
                <w:sz w:val="21"/>
                <w:szCs w:val="21"/>
              </w:rPr>
            </w:pPr>
            <w:r>
              <w:rPr>
                <w:rFonts w:hint="eastAsia"/>
                <w:color w:val="auto"/>
                <w:sz w:val="21"/>
                <w:szCs w:val="21"/>
              </w:rPr>
              <w:t>32</w:t>
            </w:r>
          </w:p>
        </w:tc>
        <w:tc>
          <w:tcPr>
            <w:tcW w:w="2614" w:type="dxa"/>
            <w:gridSpan w:val="3"/>
            <w:vAlign w:val="center"/>
          </w:tcPr>
          <w:p w14:paraId="6E108C14">
            <w:pPr>
              <w:tabs>
                <w:tab w:val="left" w:pos="2227"/>
              </w:tabs>
              <w:spacing w:line="240" w:lineRule="auto"/>
              <w:ind w:firstLine="0" w:firstLineChars="0"/>
              <w:jc w:val="center"/>
              <w:rPr>
                <w:color w:val="auto"/>
                <w:sz w:val="21"/>
                <w:szCs w:val="21"/>
              </w:rPr>
            </w:pPr>
            <w:r>
              <w:rPr>
                <w:rFonts w:hint="eastAsia"/>
                <w:color w:val="auto"/>
                <w:sz w:val="21"/>
                <w:szCs w:val="21"/>
              </w:rPr>
              <w:t>废劳保用品</w:t>
            </w:r>
          </w:p>
        </w:tc>
        <w:tc>
          <w:tcPr>
            <w:tcW w:w="1539" w:type="dxa"/>
            <w:vAlign w:val="center"/>
          </w:tcPr>
          <w:p w14:paraId="0BDAD973">
            <w:pPr>
              <w:tabs>
                <w:tab w:val="left" w:pos="2227"/>
              </w:tabs>
              <w:spacing w:line="240" w:lineRule="auto"/>
              <w:ind w:firstLine="0" w:firstLineChars="0"/>
              <w:jc w:val="center"/>
              <w:rPr>
                <w:color w:val="auto"/>
                <w:sz w:val="21"/>
                <w:szCs w:val="21"/>
              </w:rPr>
            </w:pPr>
            <w:r>
              <w:rPr>
                <w:rFonts w:hint="eastAsia"/>
                <w:color w:val="auto"/>
                <w:sz w:val="21"/>
                <w:szCs w:val="21"/>
              </w:rPr>
              <w:t>设备维护</w:t>
            </w:r>
          </w:p>
        </w:tc>
        <w:tc>
          <w:tcPr>
            <w:tcW w:w="1006" w:type="dxa"/>
            <w:vAlign w:val="center"/>
          </w:tcPr>
          <w:p w14:paraId="65D4BFC1">
            <w:pPr>
              <w:spacing w:line="240" w:lineRule="auto"/>
              <w:ind w:firstLine="0" w:firstLineChars="0"/>
              <w:jc w:val="center"/>
              <w:rPr>
                <w:color w:val="auto"/>
                <w:sz w:val="21"/>
                <w:szCs w:val="21"/>
              </w:rPr>
            </w:pPr>
            <w:r>
              <w:rPr>
                <w:rFonts w:hint="eastAsia"/>
                <w:color w:val="auto"/>
                <w:sz w:val="21"/>
                <w:szCs w:val="21"/>
              </w:rPr>
              <w:t>固态</w:t>
            </w:r>
          </w:p>
        </w:tc>
        <w:tc>
          <w:tcPr>
            <w:tcW w:w="1725" w:type="dxa"/>
            <w:vAlign w:val="center"/>
          </w:tcPr>
          <w:p w14:paraId="2DCD4B0C">
            <w:pPr>
              <w:spacing w:line="240" w:lineRule="auto"/>
              <w:ind w:firstLine="0" w:firstLineChars="0"/>
              <w:jc w:val="center"/>
              <w:rPr>
                <w:color w:val="auto"/>
                <w:sz w:val="21"/>
                <w:szCs w:val="21"/>
              </w:rPr>
            </w:pPr>
            <w:r>
              <w:rPr>
                <w:rFonts w:hint="eastAsia"/>
                <w:color w:val="auto"/>
                <w:sz w:val="21"/>
                <w:szCs w:val="21"/>
              </w:rPr>
              <w:t>危险废物</w:t>
            </w:r>
          </w:p>
        </w:tc>
        <w:tc>
          <w:tcPr>
            <w:tcW w:w="946" w:type="dxa"/>
            <w:shd w:val="clear" w:color="auto" w:fill="auto"/>
            <w:vAlign w:val="center"/>
          </w:tcPr>
          <w:p w14:paraId="37C4CF78">
            <w:pPr>
              <w:spacing w:line="240" w:lineRule="auto"/>
              <w:ind w:firstLine="0" w:firstLineChars="0"/>
              <w:jc w:val="center"/>
              <w:rPr>
                <w:color w:val="auto"/>
                <w:sz w:val="21"/>
                <w:szCs w:val="21"/>
              </w:rPr>
            </w:pPr>
            <w:r>
              <w:rPr>
                <w:rFonts w:hint="eastAsia"/>
                <w:color w:val="auto"/>
                <w:sz w:val="21"/>
                <w:szCs w:val="21"/>
              </w:rPr>
              <w:t>HW49</w:t>
            </w:r>
          </w:p>
        </w:tc>
        <w:tc>
          <w:tcPr>
            <w:tcW w:w="1487" w:type="dxa"/>
            <w:shd w:val="clear" w:color="auto" w:fill="auto"/>
            <w:vAlign w:val="center"/>
          </w:tcPr>
          <w:p w14:paraId="14580CB5">
            <w:pPr>
              <w:spacing w:line="240" w:lineRule="auto"/>
              <w:ind w:firstLine="0" w:firstLineChars="0"/>
              <w:jc w:val="center"/>
              <w:rPr>
                <w:color w:val="auto"/>
                <w:sz w:val="21"/>
                <w:szCs w:val="21"/>
              </w:rPr>
            </w:pPr>
            <w:r>
              <w:rPr>
                <w:rFonts w:hint="eastAsia"/>
                <w:color w:val="auto"/>
                <w:sz w:val="21"/>
                <w:szCs w:val="21"/>
              </w:rPr>
              <w:t>900-041-49</w:t>
            </w:r>
          </w:p>
        </w:tc>
        <w:tc>
          <w:tcPr>
            <w:tcW w:w="969" w:type="dxa"/>
            <w:vAlign w:val="center"/>
          </w:tcPr>
          <w:p w14:paraId="10EC34A1">
            <w:pPr>
              <w:tabs>
                <w:tab w:val="left" w:pos="2227"/>
              </w:tabs>
              <w:spacing w:line="240" w:lineRule="auto"/>
              <w:ind w:firstLine="0" w:firstLineChars="0"/>
              <w:jc w:val="center"/>
              <w:rPr>
                <w:color w:val="auto"/>
                <w:sz w:val="21"/>
                <w:szCs w:val="21"/>
              </w:rPr>
            </w:pPr>
            <w:r>
              <w:rPr>
                <w:rFonts w:hint="eastAsia"/>
                <w:color w:val="auto"/>
                <w:sz w:val="21"/>
                <w:szCs w:val="21"/>
              </w:rPr>
              <w:t>6.5</w:t>
            </w:r>
          </w:p>
        </w:tc>
        <w:tc>
          <w:tcPr>
            <w:tcW w:w="3216" w:type="dxa"/>
            <w:vAlign w:val="center"/>
          </w:tcPr>
          <w:p w14:paraId="50ABB2CB">
            <w:pPr>
              <w:spacing w:line="240" w:lineRule="auto"/>
              <w:ind w:firstLine="0" w:firstLineChars="0"/>
              <w:jc w:val="center"/>
              <w:rPr>
                <w:color w:val="auto"/>
                <w:sz w:val="21"/>
                <w:szCs w:val="21"/>
              </w:rPr>
            </w:pPr>
            <w:r>
              <w:rPr>
                <w:rFonts w:hint="eastAsia"/>
                <w:color w:val="auto"/>
                <w:sz w:val="21"/>
                <w:szCs w:val="21"/>
              </w:rPr>
              <w:t>委托有资质单位集中处置</w:t>
            </w:r>
          </w:p>
        </w:tc>
      </w:tr>
    </w:tbl>
    <w:p w14:paraId="4EC7CE5A">
      <w:pPr>
        <w:ind w:firstLine="480"/>
        <w:rPr>
          <w:color w:val="auto"/>
        </w:rPr>
      </w:pPr>
      <w:r>
        <w:rPr>
          <w:color w:val="auto"/>
        </w:rPr>
        <w:t>项目危险废物处置应严格按照《中华人民共和国固体废物污染环境防治法》中有关危险废物的管理条款执行，危险废物按法规要求应委托有资质的单位进行处理。考虑企业危险废物难以保证及时外运处置，企业设置危废暂存间，对危险废物进行收集及临时存放，然后集中由有资质单位收集处理。危险废物进行临时存放时，须</w:t>
      </w:r>
      <w:r>
        <w:rPr>
          <w:rFonts w:hint="eastAsia"/>
          <w:color w:val="auto"/>
        </w:rPr>
        <w:t>按照</w:t>
      </w:r>
      <w:r>
        <w:rPr>
          <w:color w:val="auto"/>
        </w:rPr>
        <w:t>《危险废物贮存污染控制标准</w:t>
      </w:r>
      <w:r>
        <w:rPr>
          <w:rFonts w:hint="eastAsia"/>
          <w:color w:val="auto"/>
        </w:rPr>
        <w:t>》《</w:t>
      </w:r>
      <w:r>
        <w:rPr>
          <w:color w:val="auto"/>
        </w:rPr>
        <w:t>中华人民共和国固体废物污染环境防治法》的相关要求，使用密封容器进行贮存，且须采用防漏措施。项目运营期产生的固体废物经得当处理后，固体废物对环境的影响是可以控制的，对周围环境影响较小。</w:t>
      </w:r>
    </w:p>
    <w:p w14:paraId="7EA665BE">
      <w:pPr>
        <w:ind w:firstLine="0" w:firstLineChars="0"/>
        <w:rPr>
          <w:color w:val="auto"/>
        </w:rPr>
        <w:sectPr>
          <w:pgSz w:w="16783" w:h="11850" w:orient="landscape"/>
          <w:pgMar w:top="1803" w:right="1440" w:bottom="1803" w:left="1440" w:header="851" w:footer="737" w:gutter="0"/>
          <w:cols w:space="0" w:num="1"/>
          <w:docGrid w:type="lines" w:linePitch="329" w:charSpace="0"/>
        </w:sectPr>
      </w:pPr>
    </w:p>
    <w:p w14:paraId="6C8FD3E3">
      <w:pPr>
        <w:spacing w:before="120" w:beforeLines="50"/>
        <w:ind w:firstLine="0" w:firstLineChars="0"/>
        <w:jc w:val="left"/>
        <w:outlineLvl w:val="3"/>
        <w:rPr>
          <w:b/>
          <w:color w:val="auto"/>
        </w:rPr>
      </w:pPr>
      <w:bookmarkStart w:id="140" w:name="_Toc22300"/>
      <w:bookmarkStart w:id="141" w:name="_Toc482188600"/>
      <w:r>
        <w:rPr>
          <w:rFonts w:hint="eastAsia"/>
          <w:b/>
          <w:color w:val="auto"/>
        </w:rPr>
        <w:t>6</w:t>
      </w:r>
      <w:r>
        <w:rPr>
          <w:b/>
          <w:color w:val="auto"/>
        </w:rPr>
        <w:t>.2.4.</w:t>
      </w:r>
      <w:r>
        <w:rPr>
          <w:rFonts w:hint="eastAsia"/>
          <w:b/>
          <w:color w:val="auto"/>
        </w:rPr>
        <w:t>2</w:t>
      </w:r>
      <w:r>
        <w:rPr>
          <w:b/>
          <w:color w:val="auto"/>
        </w:rPr>
        <w:t xml:space="preserve"> 危险废物贮存场所（设施）环境影响分析</w:t>
      </w:r>
      <w:bookmarkEnd w:id="140"/>
      <w:bookmarkEnd w:id="141"/>
    </w:p>
    <w:p w14:paraId="64C0A020">
      <w:pPr>
        <w:pStyle w:val="1356"/>
        <w:ind w:firstLine="480"/>
        <w:rPr>
          <w:color w:val="auto"/>
          <w:szCs w:val="24"/>
        </w:rPr>
      </w:pPr>
      <w:r>
        <w:rPr>
          <w:color w:val="auto"/>
        </w:rPr>
        <w:t>危废暂存间需要按照《环境保护图形标志一固体废物贮存（处置场）》（GB15562.2-1995）、《危险废物贮存污染控制标准》（GB18597-2023）、《危险废物识别标志设置技术规范》（HJ1276-2022）、《</w:t>
      </w:r>
      <w:r>
        <w:rPr>
          <w:rFonts w:hint="eastAsia"/>
          <w:color w:val="auto"/>
        </w:rPr>
        <w:t>省生态环境厅关于印发〈江苏省固态废物全过程环境监管工作意见〉的通知</w:t>
      </w:r>
      <w:r>
        <w:rPr>
          <w:color w:val="auto"/>
        </w:rPr>
        <w:t>》（苏环办</w:t>
      </w:r>
      <w:r>
        <w:rPr>
          <w:rFonts w:hint="eastAsia"/>
          <w:color w:val="auto"/>
        </w:rPr>
        <w:t>〔</w:t>
      </w:r>
      <w:r>
        <w:rPr>
          <w:color w:val="auto"/>
        </w:rPr>
        <w:t>20</w:t>
      </w:r>
      <w:r>
        <w:rPr>
          <w:rFonts w:hint="eastAsia"/>
          <w:color w:val="auto"/>
        </w:rPr>
        <w:t>24〕</w:t>
      </w:r>
      <w:r>
        <w:rPr>
          <w:color w:val="auto"/>
        </w:rPr>
        <w:t>1</w:t>
      </w:r>
      <w:r>
        <w:rPr>
          <w:rFonts w:hint="eastAsia"/>
          <w:color w:val="auto"/>
        </w:rPr>
        <w:t>6</w:t>
      </w:r>
      <w:r>
        <w:rPr>
          <w:color w:val="auto"/>
        </w:rPr>
        <w:t>号）等文件建设，做到防渗、防风、防雨、防流失，危险废物采用包装容器分类贮存。</w:t>
      </w:r>
    </w:p>
    <w:p w14:paraId="4CCBE4C9">
      <w:pPr>
        <w:ind w:firstLine="480"/>
        <w:rPr>
          <w:color w:val="auto"/>
        </w:rPr>
      </w:pPr>
      <w:r>
        <w:rPr>
          <w:rFonts w:hint="eastAsia"/>
          <w:color w:val="auto"/>
        </w:rPr>
        <w:t>废槽液、酸回收装置废膜、酸回收装置废滤芯滤袋、废研磨膏、废试剂瓶、废试剂、废化学品包装材料、废机油、废液压油、废油桶、铝离子回收装置产生的废弃物（废渗析膜和废活性炭）、废劳保用品产生量共计3989.96t/a，其中废槽液每5天转运一次；酸回收装置废膜、酸回收装置废滤芯滤袋、废研磨膏、废试剂瓶、废试剂、废化学品包装材料、废机油、废液压油、废油桶、废劳保用品每个月转运一次。其中，废槽液产生量为5.82t/a，采用250kg胶桶贮存，分别需胶桶数量为95个，单个胶桶占地面积约0.5m</w:t>
      </w:r>
      <w:r>
        <w:rPr>
          <w:rFonts w:hint="eastAsia"/>
          <w:color w:val="auto"/>
          <w:vertAlign w:val="superscript"/>
        </w:rPr>
        <w:t>2</w:t>
      </w:r>
      <w:r>
        <w:rPr>
          <w:rFonts w:hint="eastAsia"/>
          <w:color w:val="auto"/>
        </w:rPr>
        <w:t>，则需占地面积约为47.5m</w:t>
      </w:r>
      <w:r>
        <w:rPr>
          <w:rFonts w:hint="eastAsia"/>
          <w:color w:val="auto"/>
          <w:vertAlign w:val="superscript"/>
        </w:rPr>
        <w:t>2</w:t>
      </w:r>
      <w:r>
        <w:rPr>
          <w:rFonts w:hint="eastAsia"/>
          <w:color w:val="auto"/>
        </w:rPr>
        <w:t>。</w:t>
      </w:r>
    </w:p>
    <w:p w14:paraId="4514C1D8">
      <w:pPr>
        <w:ind w:firstLine="480"/>
        <w:rPr>
          <w:color w:val="auto"/>
        </w:rPr>
      </w:pPr>
      <w:r>
        <w:rPr>
          <w:rFonts w:hint="eastAsia"/>
          <w:color w:val="auto"/>
        </w:rPr>
        <w:t>废研磨膏产生量约0.005kg，采用25kg胶桶贮存，需用胶桶1个，单个胶桶占地面积约0.1m</w:t>
      </w:r>
      <w:r>
        <w:rPr>
          <w:rFonts w:hint="eastAsia"/>
          <w:color w:val="auto"/>
          <w:vertAlign w:val="superscript"/>
        </w:rPr>
        <w:t>2</w:t>
      </w:r>
      <w:r>
        <w:rPr>
          <w:rFonts w:hint="eastAsia"/>
          <w:color w:val="auto"/>
        </w:rPr>
        <w:t>，则需占地面积为0.1m</w:t>
      </w:r>
      <w:r>
        <w:rPr>
          <w:rFonts w:hint="eastAsia"/>
          <w:color w:val="auto"/>
          <w:vertAlign w:val="superscript"/>
        </w:rPr>
        <w:t>2</w:t>
      </w:r>
      <w:r>
        <w:rPr>
          <w:rFonts w:hint="eastAsia"/>
          <w:color w:val="auto"/>
        </w:rPr>
        <w:t>；废试剂瓶和废试剂产生量分别为0.05t和0.027t，均采用500mL玻璃瓶贮存，共需124个玻璃瓶，单个玻璃瓶占地面积约0.01m</w:t>
      </w:r>
      <w:r>
        <w:rPr>
          <w:rFonts w:hint="eastAsia"/>
          <w:color w:val="auto"/>
          <w:vertAlign w:val="superscript"/>
        </w:rPr>
        <w:t>2</w:t>
      </w:r>
      <w:r>
        <w:rPr>
          <w:rFonts w:hint="eastAsia"/>
          <w:color w:val="auto"/>
        </w:rPr>
        <w:t>，则需占地面积为1.24m</w:t>
      </w:r>
      <w:r>
        <w:rPr>
          <w:rFonts w:hint="eastAsia"/>
          <w:color w:val="auto"/>
          <w:vertAlign w:val="superscript"/>
        </w:rPr>
        <w:t>2</w:t>
      </w:r>
      <w:r>
        <w:rPr>
          <w:rFonts w:hint="eastAsia"/>
          <w:color w:val="auto"/>
        </w:rPr>
        <w:t>；废化学包装材料、废劳保用品产生量分别为1.82t和0.59t，均采用250kg胶桶贮存，共需11个胶桶，单个胶桶占地面积约0.5m</w:t>
      </w:r>
      <w:r>
        <w:rPr>
          <w:rFonts w:hint="eastAsia"/>
          <w:color w:val="auto"/>
          <w:vertAlign w:val="superscript"/>
        </w:rPr>
        <w:t>2</w:t>
      </w:r>
      <w:r>
        <w:rPr>
          <w:rFonts w:hint="eastAsia"/>
          <w:color w:val="auto"/>
        </w:rPr>
        <w:t>，则需占地面积约为5.5m</w:t>
      </w:r>
      <w:r>
        <w:rPr>
          <w:rFonts w:hint="eastAsia"/>
          <w:color w:val="auto"/>
          <w:vertAlign w:val="superscript"/>
        </w:rPr>
        <w:t>2</w:t>
      </w:r>
      <w:r>
        <w:rPr>
          <w:rFonts w:hint="eastAsia"/>
          <w:color w:val="auto"/>
        </w:rPr>
        <w:t>。综上，危废暂存间所需面积约为53m</w:t>
      </w:r>
      <w:r>
        <w:rPr>
          <w:rFonts w:hint="eastAsia"/>
          <w:color w:val="auto"/>
          <w:vertAlign w:val="superscript"/>
        </w:rPr>
        <w:t>2</w:t>
      </w:r>
      <w:r>
        <w:rPr>
          <w:rFonts w:hint="eastAsia"/>
          <w:color w:val="auto"/>
        </w:rPr>
        <w:t>。</w:t>
      </w:r>
    </w:p>
    <w:p w14:paraId="485D589B">
      <w:pPr>
        <w:ind w:firstLine="480"/>
        <w:rPr>
          <w:color w:val="auto"/>
        </w:rPr>
      </w:pPr>
      <w:r>
        <w:rPr>
          <w:rFonts w:hint="eastAsia"/>
          <w:color w:val="auto"/>
        </w:rPr>
        <w:t>碱回收污泥、综合废水污泥产生量共计20400t/a，其中</w:t>
      </w:r>
      <w:r>
        <w:rPr>
          <w:rFonts w:hint="eastAsia"/>
          <w:color w:val="auto"/>
          <w:lang w:val="en-US" w:eastAsia="zh-CN"/>
        </w:rPr>
        <w:t>正常情况下</w:t>
      </w:r>
      <w:r>
        <w:rPr>
          <w:rFonts w:hint="eastAsia"/>
          <w:color w:val="auto"/>
        </w:rPr>
        <w:t>综合废水污泥每天转运一次，不在厂区内暂存</w:t>
      </w:r>
      <w:r>
        <w:rPr>
          <w:rFonts w:hint="eastAsia"/>
          <w:color w:val="auto"/>
          <w:lang w:eastAsia="zh-CN"/>
        </w:rPr>
        <w:t>；</w:t>
      </w:r>
      <w:r>
        <w:rPr>
          <w:rFonts w:hint="eastAsia"/>
          <w:color w:val="auto"/>
          <w:lang w:val="en-US" w:eastAsia="zh-CN"/>
        </w:rPr>
        <w:t>非正常情况下，综合废水污泥暂存于</w:t>
      </w:r>
      <w:r>
        <w:rPr>
          <w:rFonts w:hint="eastAsia"/>
          <w:color w:val="auto"/>
        </w:rPr>
        <w:t>135</w:t>
      </w:r>
      <w:r>
        <w:rPr>
          <w:color w:val="auto"/>
        </w:rPr>
        <w:t>m</w:t>
      </w:r>
      <w:r>
        <w:rPr>
          <w:color w:val="auto"/>
          <w:vertAlign w:val="superscript"/>
        </w:rPr>
        <w:t>2</w:t>
      </w:r>
      <w:r>
        <w:rPr>
          <w:rFonts w:hint="eastAsia"/>
          <w:color w:val="auto"/>
        </w:rPr>
        <w:t>污泥堆场</w:t>
      </w:r>
      <w:r>
        <w:rPr>
          <w:rFonts w:hint="eastAsia"/>
          <w:color w:val="auto"/>
          <w:lang w:eastAsia="zh-CN"/>
        </w:rPr>
        <w:t>，</w:t>
      </w:r>
      <w:r>
        <w:rPr>
          <w:rFonts w:hint="eastAsia"/>
          <w:color w:val="auto"/>
          <w:lang w:val="en-US" w:eastAsia="zh-CN"/>
        </w:rPr>
        <w:t>暂存时间不超过3天</w:t>
      </w:r>
      <w:r>
        <w:rPr>
          <w:rFonts w:hint="eastAsia"/>
          <w:color w:val="auto"/>
        </w:rPr>
        <w:t>。碱回收污泥产生量分别为7.42t，</w:t>
      </w:r>
      <w:r>
        <w:rPr>
          <w:rFonts w:hint="eastAsia"/>
          <w:color w:val="auto"/>
          <w:lang w:val="en-US" w:eastAsia="zh-CN"/>
        </w:rPr>
        <w:t>正常情况下每天转运一次，</w:t>
      </w:r>
      <w:r>
        <w:rPr>
          <w:rFonts w:hint="eastAsia"/>
          <w:color w:val="auto"/>
        </w:rPr>
        <w:t>采用250kg胶桶贮存，则需胶桶数</w:t>
      </w:r>
      <w:r>
        <w:rPr>
          <w:rFonts w:hint="eastAsia"/>
          <w:color w:val="auto"/>
          <w:lang w:val="en-US" w:eastAsia="zh-CN"/>
        </w:rPr>
        <w:t>为</w:t>
      </w:r>
      <w:r>
        <w:rPr>
          <w:rFonts w:hint="eastAsia"/>
          <w:color w:val="auto"/>
        </w:rPr>
        <w:t>30个，单个胶桶占地面积约0.5m</w:t>
      </w:r>
      <w:r>
        <w:rPr>
          <w:rFonts w:hint="eastAsia"/>
          <w:color w:val="auto"/>
          <w:vertAlign w:val="superscript"/>
        </w:rPr>
        <w:t>2</w:t>
      </w:r>
      <w:r>
        <w:rPr>
          <w:rFonts w:hint="eastAsia"/>
          <w:color w:val="auto"/>
        </w:rPr>
        <w:t>，则需占地面积约为15m</w:t>
      </w:r>
      <w:r>
        <w:rPr>
          <w:rFonts w:hint="eastAsia"/>
          <w:color w:val="auto"/>
          <w:vertAlign w:val="superscript"/>
        </w:rPr>
        <w:t>2</w:t>
      </w:r>
      <w:r>
        <w:rPr>
          <w:rFonts w:hint="eastAsia"/>
          <w:color w:val="auto"/>
        </w:rPr>
        <w:t>。封孔污泥暂存于污泥堆场，封孔污泥每5天转运一次，其产生量为0.91t/a，采用250kg胶桶贮存，则需胶桶数为4个，单个胶桶占地面积约0.5m</w:t>
      </w:r>
      <w:r>
        <w:rPr>
          <w:rFonts w:hint="eastAsia"/>
          <w:color w:val="auto"/>
          <w:vertAlign w:val="superscript"/>
        </w:rPr>
        <w:t>2</w:t>
      </w:r>
      <w:r>
        <w:rPr>
          <w:rFonts w:hint="eastAsia"/>
          <w:color w:val="auto"/>
        </w:rPr>
        <w:t>，则封孔污泥所需暂存面积为2m</w:t>
      </w:r>
      <w:r>
        <w:rPr>
          <w:rFonts w:hint="eastAsia"/>
          <w:color w:val="auto"/>
          <w:vertAlign w:val="superscript"/>
        </w:rPr>
        <w:t>2</w:t>
      </w:r>
      <w:r>
        <w:rPr>
          <w:rFonts w:hint="eastAsia"/>
          <w:color w:val="auto"/>
        </w:rPr>
        <w:t>。综上，上述污泥所需暂存面积共计17m</w:t>
      </w:r>
      <w:r>
        <w:rPr>
          <w:rFonts w:hint="eastAsia"/>
          <w:color w:val="auto"/>
          <w:vertAlign w:val="superscript"/>
        </w:rPr>
        <w:t>2</w:t>
      </w:r>
      <w:r>
        <w:rPr>
          <w:rFonts w:hint="eastAsia"/>
          <w:color w:val="auto"/>
        </w:rPr>
        <w:t>。</w:t>
      </w:r>
    </w:p>
    <w:p w14:paraId="401D03AE">
      <w:pPr>
        <w:ind w:firstLine="480"/>
        <w:rPr>
          <w:b/>
          <w:bCs/>
          <w:color w:val="auto"/>
        </w:rPr>
      </w:pPr>
      <w:r>
        <w:rPr>
          <w:rFonts w:hint="eastAsia"/>
          <w:color w:val="auto"/>
        </w:rPr>
        <w:t>综上，本项目危废暂存面积约53</w:t>
      </w:r>
      <w:r>
        <w:rPr>
          <w:color w:val="auto"/>
        </w:rPr>
        <w:t>m</w:t>
      </w:r>
      <w:r>
        <w:rPr>
          <w:color w:val="auto"/>
          <w:vertAlign w:val="superscript"/>
        </w:rPr>
        <w:t>2</w:t>
      </w:r>
      <w:r>
        <w:rPr>
          <w:rFonts w:hint="eastAsia"/>
          <w:color w:val="auto"/>
        </w:rPr>
        <w:t>，企业拟新建80</w:t>
      </w:r>
      <w:r>
        <w:rPr>
          <w:color w:val="auto"/>
        </w:rPr>
        <w:t>m</w:t>
      </w:r>
      <w:r>
        <w:rPr>
          <w:color w:val="auto"/>
          <w:vertAlign w:val="superscript"/>
        </w:rPr>
        <w:t>2</w:t>
      </w:r>
      <w:r>
        <w:rPr>
          <w:color w:val="auto"/>
        </w:rPr>
        <w:t>的危废</w:t>
      </w:r>
      <w:r>
        <w:rPr>
          <w:rFonts w:hint="eastAsia"/>
          <w:color w:val="auto"/>
        </w:rPr>
        <w:t>暂存间，</w:t>
      </w:r>
      <w:r>
        <w:rPr>
          <w:color w:val="auto"/>
        </w:rPr>
        <w:t>可满足</w:t>
      </w:r>
      <w:r>
        <w:rPr>
          <w:rFonts w:hint="eastAsia"/>
          <w:color w:val="auto"/>
        </w:rPr>
        <w:t>危废暂存</w:t>
      </w:r>
      <w:r>
        <w:rPr>
          <w:color w:val="auto"/>
        </w:rPr>
        <w:t>要求。</w:t>
      </w:r>
      <w:r>
        <w:rPr>
          <w:rFonts w:hint="eastAsia"/>
          <w:color w:val="auto"/>
        </w:rPr>
        <w:t>企业拟新建135</w:t>
      </w:r>
      <w:r>
        <w:rPr>
          <w:color w:val="auto"/>
        </w:rPr>
        <w:t>m</w:t>
      </w:r>
      <w:r>
        <w:rPr>
          <w:color w:val="auto"/>
          <w:vertAlign w:val="superscript"/>
        </w:rPr>
        <w:t>2</w:t>
      </w:r>
      <w:r>
        <w:rPr>
          <w:rFonts w:hint="eastAsia"/>
          <w:color w:val="auto"/>
        </w:rPr>
        <w:t>污泥堆场，可满足项目污泥暂存需求。</w:t>
      </w:r>
    </w:p>
    <w:p w14:paraId="34230E17">
      <w:pPr>
        <w:ind w:firstLine="482"/>
        <w:rPr>
          <w:b/>
          <w:bCs/>
          <w:color w:val="auto"/>
        </w:rPr>
      </w:pPr>
      <w:r>
        <w:rPr>
          <w:b/>
          <w:bCs/>
          <w:color w:val="auto"/>
        </w:rPr>
        <w:t>2、危险废物暂存场所贮存能力分析</w:t>
      </w:r>
    </w:p>
    <w:p w14:paraId="3FE06711">
      <w:pPr>
        <w:ind w:firstLine="480"/>
        <w:rPr>
          <w:color w:val="auto"/>
        </w:rPr>
      </w:pPr>
      <w:r>
        <w:rPr>
          <w:color w:val="auto"/>
        </w:rPr>
        <w:t>项目需在陆域厂区内设置足够大的危废暂存间用于项目危废的暂存，做到固废分类存放。生产过程产生的危废应及时分类收集，汇总如下：</w:t>
      </w:r>
      <w:r>
        <w:rPr>
          <w:rFonts w:hint="eastAsia"/>
          <w:color w:val="auto"/>
        </w:rPr>
        <w:t>废槽液、酸回收装置废膜、酸回收装置废滤芯滤袋、废研磨膏、废试剂瓶、废试剂、废化学品包装材料、废机油、废液压油、废油桶、废劳保用品</w:t>
      </w:r>
      <w:r>
        <w:rPr>
          <w:color w:val="auto"/>
        </w:rPr>
        <w:t>，均采用密闭桶装。危险废物暂存间</w:t>
      </w:r>
      <w:r>
        <w:rPr>
          <w:rFonts w:hint="eastAsia"/>
          <w:color w:val="auto"/>
        </w:rPr>
        <w:t>及污泥堆场</w:t>
      </w:r>
      <w:r>
        <w:rPr>
          <w:color w:val="auto"/>
        </w:rPr>
        <w:t>的基本情况如下：</w:t>
      </w:r>
    </w:p>
    <w:p w14:paraId="1EDEC16F">
      <w:pPr>
        <w:pStyle w:val="1356"/>
        <w:spacing w:line="240" w:lineRule="auto"/>
        <w:ind w:firstLine="0" w:firstLineChars="0"/>
        <w:jc w:val="center"/>
        <w:rPr>
          <w:b/>
          <w:bCs/>
          <w:color w:val="auto"/>
        </w:rPr>
      </w:pPr>
      <w:r>
        <w:rPr>
          <w:b/>
          <w:bCs/>
          <w:color w:val="auto"/>
        </w:rPr>
        <w:t>表</w:t>
      </w:r>
      <w:r>
        <w:rPr>
          <w:rFonts w:hint="eastAsia"/>
          <w:b/>
          <w:bCs/>
          <w:color w:val="auto"/>
        </w:rPr>
        <w:t>6.2.4-2</w:t>
      </w:r>
      <w:r>
        <w:rPr>
          <w:b/>
          <w:bCs/>
          <w:color w:val="auto"/>
        </w:rPr>
        <w:t xml:space="preserve">  危险废物贮存场所（设施）基本情况</w:t>
      </w:r>
    </w:p>
    <w:tbl>
      <w:tblPr>
        <w:tblStyle w:val="89"/>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35"/>
        <w:gridCol w:w="1435"/>
        <w:gridCol w:w="1215"/>
        <w:gridCol w:w="1467"/>
        <w:gridCol w:w="988"/>
        <w:gridCol w:w="592"/>
        <w:gridCol w:w="1552"/>
      </w:tblGrid>
      <w:tr w14:paraId="3370E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Align w:val="center"/>
          </w:tcPr>
          <w:p w14:paraId="62AF7306">
            <w:pPr>
              <w:spacing w:line="240" w:lineRule="auto"/>
              <w:ind w:firstLine="0" w:firstLineChars="0"/>
              <w:jc w:val="center"/>
              <w:rPr>
                <w:b/>
                <w:bCs/>
                <w:color w:val="auto"/>
                <w:sz w:val="21"/>
                <w:szCs w:val="21"/>
              </w:rPr>
            </w:pPr>
            <w:r>
              <w:rPr>
                <w:b/>
                <w:bCs/>
                <w:color w:val="auto"/>
                <w:sz w:val="21"/>
                <w:szCs w:val="21"/>
              </w:rPr>
              <w:t>贮存场所（设施）名称</w:t>
            </w:r>
          </w:p>
        </w:tc>
        <w:tc>
          <w:tcPr>
            <w:tcW w:w="1526" w:type="pct"/>
            <w:gridSpan w:val="2"/>
            <w:vAlign w:val="center"/>
          </w:tcPr>
          <w:p w14:paraId="7FDC93C1">
            <w:pPr>
              <w:spacing w:line="240" w:lineRule="auto"/>
              <w:ind w:firstLine="0" w:firstLineChars="0"/>
              <w:jc w:val="center"/>
              <w:rPr>
                <w:b/>
                <w:bCs/>
                <w:color w:val="auto"/>
                <w:sz w:val="21"/>
                <w:szCs w:val="21"/>
              </w:rPr>
            </w:pPr>
            <w:r>
              <w:rPr>
                <w:b/>
                <w:bCs/>
                <w:color w:val="auto"/>
                <w:sz w:val="21"/>
                <w:szCs w:val="21"/>
              </w:rPr>
              <w:t>危险废物名称</w:t>
            </w:r>
          </w:p>
        </w:tc>
        <w:tc>
          <w:tcPr>
            <w:tcW w:w="646" w:type="pct"/>
            <w:vAlign w:val="center"/>
          </w:tcPr>
          <w:p w14:paraId="4C1D4681">
            <w:pPr>
              <w:spacing w:line="240" w:lineRule="auto"/>
              <w:ind w:firstLine="0" w:firstLineChars="0"/>
              <w:jc w:val="center"/>
              <w:rPr>
                <w:b/>
                <w:bCs/>
                <w:color w:val="auto"/>
                <w:sz w:val="21"/>
                <w:szCs w:val="21"/>
              </w:rPr>
            </w:pPr>
            <w:r>
              <w:rPr>
                <w:b/>
                <w:bCs/>
                <w:color w:val="auto"/>
                <w:sz w:val="21"/>
                <w:szCs w:val="21"/>
              </w:rPr>
              <w:t>危险废物类别</w:t>
            </w:r>
          </w:p>
        </w:tc>
        <w:tc>
          <w:tcPr>
            <w:tcW w:w="780" w:type="pct"/>
            <w:vAlign w:val="center"/>
          </w:tcPr>
          <w:p w14:paraId="1A269237">
            <w:pPr>
              <w:spacing w:line="240" w:lineRule="auto"/>
              <w:ind w:firstLine="0" w:firstLineChars="0"/>
              <w:jc w:val="center"/>
              <w:rPr>
                <w:b/>
                <w:bCs/>
                <w:color w:val="auto"/>
                <w:sz w:val="21"/>
                <w:szCs w:val="21"/>
              </w:rPr>
            </w:pPr>
            <w:r>
              <w:rPr>
                <w:b/>
                <w:bCs/>
                <w:color w:val="auto"/>
                <w:sz w:val="21"/>
                <w:szCs w:val="21"/>
              </w:rPr>
              <w:t>危险废物代码</w:t>
            </w:r>
          </w:p>
        </w:tc>
        <w:tc>
          <w:tcPr>
            <w:tcW w:w="526" w:type="pct"/>
            <w:vAlign w:val="center"/>
          </w:tcPr>
          <w:p w14:paraId="54C4092B">
            <w:pPr>
              <w:spacing w:line="240" w:lineRule="auto"/>
              <w:ind w:firstLine="0" w:firstLineChars="0"/>
              <w:jc w:val="center"/>
              <w:rPr>
                <w:b/>
                <w:bCs/>
                <w:color w:val="auto"/>
                <w:sz w:val="21"/>
                <w:szCs w:val="21"/>
              </w:rPr>
            </w:pPr>
            <w:r>
              <w:rPr>
                <w:b/>
                <w:bCs/>
                <w:color w:val="auto"/>
                <w:sz w:val="21"/>
                <w:szCs w:val="21"/>
              </w:rPr>
              <w:t>位置</w:t>
            </w:r>
          </w:p>
        </w:tc>
        <w:tc>
          <w:tcPr>
            <w:tcW w:w="315" w:type="pct"/>
            <w:vAlign w:val="center"/>
          </w:tcPr>
          <w:p w14:paraId="7FA09181">
            <w:pPr>
              <w:spacing w:line="240" w:lineRule="auto"/>
              <w:ind w:firstLine="0" w:firstLineChars="0"/>
              <w:jc w:val="center"/>
              <w:rPr>
                <w:b/>
                <w:bCs/>
                <w:color w:val="auto"/>
                <w:sz w:val="21"/>
                <w:szCs w:val="21"/>
              </w:rPr>
            </w:pPr>
            <w:r>
              <w:rPr>
                <w:b/>
                <w:bCs/>
                <w:color w:val="auto"/>
                <w:sz w:val="21"/>
                <w:szCs w:val="21"/>
              </w:rPr>
              <w:t>占地面积</w:t>
            </w:r>
          </w:p>
        </w:tc>
        <w:tc>
          <w:tcPr>
            <w:tcW w:w="825" w:type="pct"/>
            <w:vAlign w:val="center"/>
          </w:tcPr>
          <w:p w14:paraId="4DFB0EBA">
            <w:pPr>
              <w:spacing w:line="240" w:lineRule="auto"/>
              <w:ind w:firstLine="0" w:firstLineChars="0"/>
              <w:jc w:val="center"/>
              <w:rPr>
                <w:b/>
                <w:bCs/>
                <w:color w:val="auto"/>
                <w:sz w:val="21"/>
                <w:szCs w:val="21"/>
              </w:rPr>
            </w:pPr>
            <w:r>
              <w:rPr>
                <w:b/>
                <w:bCs/>
                <w:color w:val="auto"/>
                <w:sz w:val="21"/>
                <w:szCs w:val="21"/>
              </w:rPr>
              <w:t>贮存方式</w:t>
            </w:r>
          </w:p>
        </w:tc>
      </w:tr>
      <w:tr w14:paraId="637D6B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restart"/>
            <w:vAlign w:val="center"/>
          </w:tcPr>
          <w:p w14:paraId="0C9AA0BF">
            <w:pPr>
              <w:spacing w:line="240" w:lineRule="auto"/>
              <w:ind w:firstLine="0" w:firstLineChars="0"/>
              <w:jc w:val="center"/>
              <w:rPr>
                <w:color w:val="auto"/>
                <w:sz w:val="21"/>
                <w:szCs w:val="21"/>
              </w:rPr>
            </w:pPr>
            <w:r>
              <w:rPr>
                <w:color w:val="auto"/>
                <w:sz w:val="21"/>
                <w:szCs w:val="21"/>
              </w:rPr>
              <w:t>危废暂存间</w:t>
            </w:r>
          </w:p>
        </w:tc>
        <w:tc>
          <w:tcPr>
            <w:tcW w:w="1526" w:type="pct"/>
            <w:gridSpan w:val="2"/>
            <w:vAlign w:val="center"/>
          </w:tcPr>
          <w:p w14:paraId="23158034">
            <w:pPr>
              <w:spacing w:line="240" w:lineRule="auto"/>
              <w:ind w:firstLine="0" w:firstLineChars="0"/>
              <w:jc w:val="center"/>
              <w:rPr>
                <w:color w:val="auto"/>
                <w:sz w:val="21"/>
                <w:szCs w:val="21"/>
              </w:rPr>
            </w:pPr>
            <w:r>
              <w:rPr>
                <w:rFonts w:hint="eastAsia"/>
                <w:color w:val="auto"/>
                <w:sz w:val="21"/>
                <w:szCs w:val="21"/>
              </w:rPr>
              <w:t>废槽液</w:t>
            </w:r>
          </w:p>
        </w:tc>
        <w:tc>
          <w:tcPr>
            <w:tcW w:w="646" w:type="pct"/>
            <w:shd w:val="clear" w:color="auto" w:fill="auto"/>
            <w:vAlign w:val="center"/>
          </w:tcPr>
          <w:p w14:paraId="0AE402F1">
            <w:pPr>
              <w:spacing w:line="240" w:lineRule="auto"/>
              <w:ind w:firstLine="0" w:firstLineChars="0"/>
              <w:jc w:val="center"/>
              <w:rPr>
                <w:color w:val="auto"/>
                <w:sz w:val="21"/>
                <w:szCs w:val="21"/>
              </w:rPr>
            </w:pPr>
            <w:r>
              <w:rPr>
                <w:rFonts w:hint="eastAsia"/>
                <w:color w:val="auto"/>
                <w:sz w:val="21"/>
                <w:szCs w:val="21"/>
              </w:rPr>
              <w:t>HW34</w:t>
            </w:r>
          </w:p>
        </w:tc>
        <w:tc>
          <w:tcPr>
            <w:tcW w:w="780" w:type="pct"/>
            <w:shd w:val="clear" w:color="auto" w:fill="auto"/>
            <w:vAlign w:val="center"/>
          </w:tcPr>
          <w:p w14:paraId="685185EE">
            <w:pPr>
              <w:spacing w:line="240" w:lineRule="auto"/>
              <w:ind w:firstLine="0" w:firstLineChars="0"/>
              <w:jc w:val="center"/>
              <w:rPr>
                <w:color w:val="auto"/>
                <w:sz w:val="21"/>
                <w:szCs w:val="21"/>
              </w:rPr>
            </w:pPr>
            <w:r>
              <w:rPr>
                <w:rFonts w:hint="eastAsia"/>
                <w:color w:val="auto"/>
                <w:sz w:val="21"/>
                <w:szCs w:val="21"/>
              </w:rPr>
              <w:t>900-300-34</w:t>
            </w:r>
          </w:p>
        </w:tc>
        <w:tc>
          <w:tcPr>
            <w:tcW w:w="526" w:type="pct"/>
            <w:vMerge w:val="restart"/>
            <w:vAlign w:val="center"/>
          </w:tcPr>
          <w:p w14:paraId="1A8BE603">
            <w:pPr>
              <w:spacing w:line="240" w:lineRule="auto"/>
              <w:ind w:firstLine="0" w:firstLineChars="0"/>
              <w:jc w:val="center"/>
              <w:rPr>
                <w:color w:val="auto"/>
                <w:sz w:val="21"/>
                <w:szCs w:val="21"/>
              </w:rPr>
            </w:pPr>
            <w:r>
              <w:rPr>
                <w:rFonts w:hint="eastAsia"/>
                <w:color w:val="auto"/>
                <w:sz w:val="21"/>
                <w:szCs w:val="21"/>
              </w:rPr>
              <w:t>危废暂存间</w:t>
            </w:r>
          </w:p>
        </w:tc>
        <w:tc>
          <w:tcPr>
            <w:tcW w:w="315" w:type="pct"/>
            <w:vMerge w:val="restart"/>
            <w:vAlign w:val="center"/>
          </w:tcPr>
          <w:p w14:paraId="0403BFCF">
            <w:pPr>
              <w:spacing w:line="240" w:lineRule="auto"/>
              <w:ind w:firstLine="0" w:firstLineChars="0"/>
              <w:jc w:val="center"/>
              <w:rPr>
                <w:color w:val="auto"/>
                <w:sz w:val="21"/>
                <w:szCs w:val="21"/>
              </w:rPr>
            </w:pPr>
            <w:r>
              <w:rPr>
                <w:rFonts w:hint="eastAsia"/>
                <w:color w:val="auto"/>
                <w:sz w:val="21"/>
                <w:szCs w:val="21"/>
              </w:rPr>
              <w:t>80</w:t>
            </w:r>
            <w:r>
              <w:rPr>
                <w:color w:val="auto"/>
                <w:sz w:val="21"/>
                <w:szCs w:val="21"/>
              </w:rPr>
              <w:t>m</w:t>
            </w:r>
            <w:r>
              <w:rPr>
                <w:color w:val="auto"/>
                <w:sz w:val="21"/>
                <w:szCs w:val="21"/>
                <w:vertAlign w:val="superscript"/>
              </w:rPr>
              <w:t>2</w:t>
            </w:r>
          </w:p>
        </w:tc>
        <w:tc>
          <w:tcPr>
            <w:tcW w:w="825" w:type="pct"/>
            <w:shd w:val="clear" w:color="auto" w:fill="auto"/>
            <w:vAlign w:val="center"/>
          </w:tcPr>
          <w:p w14:paraId="1EE21CF3">
            <w:pPr>
              <w:spacing w:line="240" w:lineRule="auto"/>
              <w:ind w:firstLine="0" w:firstLineChars="0"/>
              <w:jc w:val="center"/>
              <w:rPr>
                <w:color w:val="auto"/>
                <w:sz w:val="21"/>
                <w:szCs w:val="21"/>
              </w:rPr>
            </w:pPr>
            <w:r>
              <w:rPr>
                <w:color w:val="auto"/>
                <w:sz w:val="21"/>
                <w:szCs w:val="21"/>
              </w:rPr>
              <w:t>桶装密封</w:t>
            </w:r>
          </w:p>
        </w:tc>
      </w:tr>
      <w:tr w14:paraId="5BC6C4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5D8B08D8">
            <w:pPr>
              <w:spacing w:line="240" w:lineRule="auto"/>
              <w:ind w:firstLine="0" w:firstLineChars="0"/>
              <w:jc w:val="center"/>
              <w:rPr>
                <w:color w:val="auto"/>
                <w:sz w:val="21"/>
                <w:szCs w:val="21"/>
              </w:rPr>
            </w:pPr>
          </w:p>
        </w:tc>
        <w:tc>
          <w:tcPr>
            <w:tcW w:w="763" w:type="pct"/>
            <w:vMerge w:val="restart"/>
            <w:shd w:val="clear" w:color="auto" w:fill="auto"/>
            <w:vAlign w:val="center"/>
          </w:tcPr>
          <w:p w14:paraId="39DF416D">
            <w:pPr>
              <w:tabs>
                <w:tab w:val="left" w:pos="2227"/>
              </w:tabs>
              <w:spacing w:line="240" w:lineRule="auto"/>
              <w:ind w:firstLine="0" w:firstLineChars="0"/>
              <w:jc w:val="center"/>
              <w:rPr>
                <w:color w:val="auto"/>
                <w:sz w:val="21"/>
                <w:szCs w:val="21"/>
              </w:rPr>
            </w:pPr>
            <w:r>
              <w:rPr>
                <w:rFonts w:hint="eastAsia"/>
                <w:color w:val="auto"/>
                <w:sz w:val="21"/>
                <w:szCs w:val="21"/>
              </w:rPr>
              <w:t>铝离子回收装置</w:t>
            </w:r>
          </w:p>
        </w:tc>
        <w:tc>
          <w:tcPr>
            <w:tcW w:w="763" w:type="pct"/>
            <w:shd w:val="clear" w:color="auto" w:fill="auto"/>
            <w:vAlign w:val="center"/>
          </w:tcPr>
          <w:p w14:paraId="44DDCF36">
            <w:pPr>
              <w:tabs>
                <w:tab w:val="left" w:pos="2227"/>
              </w:tabs>
              <w:spacing w:line="240" w:lineRule="auto"/>
              <w:ind w:firstLine="0" w:firstLineChars="0"/>
              <w:jc w:val="center"/>
              <w:rPr>
                <w:color w:val="auto"/>
                <w:sz w:val="21"/>
                <w:szCs w:val="21"/>
              </w:rPr>
            </w:pPr>
            <w:r>
              <w:rPr>
                <w:rFonts w:hint="eastAsia"/>
                <w:color w:val="auto"/>
                <w:sz w:val="21"/>
                <w:szCs w:val="21"/>
              </w:rPr>
              <w:t>废渗析膜</w:t>
            </w:r>
          </w:p>
        </w:tc>
        <w:tc>
          <w:tcPr>
            <w:tcW w:w="646" w:type="pct"/>
            <w:shd w:val="clear" w:color="auto" w:fill="auto"/>
            <w:vAlign w:val="center"/>
          </w:tcPr>
          <w:p w14:paraId="0C631194">
            <w:pPr>
              <w:spacing w:line="240" w:lineRule="auto"/>
              <w:ind w:firstLine="0" w:firstLineChars="0"/>
              <w:jc w:val="center"/>
              <w:rPr>
                <w:color w:val="auto"/>
                <w:sz w:val="21"/>
                <w:szCs w:val="21"/>
              </w:rPr>
            </w:pPr>
            <w:r>
              <w:rPr>
                <w:rFonts w:hint="eastAsia"/>
                <w:color w:val="auto"/>
                <w:sz w:val="21"/>
                <w:szCs w:val="21"/>
              </w:rPr>
              <w:t>HW49</w:t>
            </w:r>
          </w:p>
        </w:tc>
        <w:tc>
          <w:tcPr>
            <w:tcW w:w="780" w:type="pct"/>
            <w:shd w:val="clear" w:color="auto" w:fill="auto"/>
            <w:vAlign w:val="center"/>
          </w:tcPr>
          <w:p w14:paraId="4FA60EC4">
            <w:pPr>
              <w:spacing w:line="240" w:lineRule="auto"/>
              <w:ind w:firstLine="0" w:firstLineChars="0"/>
              <w:jc w:val="center"/>
              <w:rPr>
                <w:color w:val="auto"/>
                <w:sz w:val="21"/>
                <w:szCs w:val="21"/>
              </w:rPr>
            </w:pPr>
            <w:r>
              <w:rPr>
                <w:rFonts w:hint="eastAsia"/>
                <w:color w:val="auto"/>
                <w:sz w:val="21"/>
                <w:szCs w:val="21"/>
              </w:rPr>
              <w:t>900-041-49</w:t>
            </w:r>
          </w:p>
        </w:tc>
        <w:tc>
          <w:tcPr>
            <w:tcW w:w="526" w:type="pct"/>
            <w:vMerge w:val="continue"/>
            <w:vAlign w:val="center"/>
          </w:tcPr>
          <w:p w14:paraId="3091514B">
            <w:pPr>
              <w:spacing w:line="240" w:lineRule="auto"/>
              <w:ind w:firstLine="0" w:firstLineChars="0"/>
              <w:jc w:val="center"/>
              <w:rPr>
                <w:color w:val="auto"/>
                <w:sz w:val="21"/>
                <w:szCs w:val="21"/>
              </w:rPr>
            </w:pPr>
          </w:p>
        </w:tc>
        <w:tc>
          <w:tcPr>
            <w:tcW w:w="315" w:type="pct"/>
            <w:vMerge w:val="continue"/>
            <w:vAlign w:val="center"/>
          </w:tcPr>
          <w:p w14:paraId="51E866CA">
            <w:pPr>
              <w:spacing w:line="240" w:lineRule="auto"/>
              <w:ind w:firstLine="0" w:firstLineChars="0"/>
              <w:jc w:val="center"/>
              <w:rPr>
                <w:color w:val="auto"/>
                <w:sz w:val="21"/>
                <w:szCs w:val="21"/>
              </w:rPr>
            </w:pPr>
          </w:p>
        </w:tc>
        <w:tc>
          <w:tcPr>
            <w:tcW w:w="825" w:type="pct"/>
            <w:shd w:val="clear" w:color="auto" w:fill="auto"/>
            <w:vAlign w:val="center"/>
          </w:tcPr>
          <w:p w14:paraId="5BBC243B">
            <w:pPr>
              <w:spacing w:line="240" w:lineRule="auto"/>
              <w:ind w:firstLine="0" w:firstLineChars="0"/>
              <w:jc w:val="center"/>
              <w:rPr>
                <w:color w:val="auto"/>
                <w:sz w:val="21"/>
                <w:szCs w:val="21"/>
              </w:rPr>
            </w:pPr>
            <w:r>
              <w:rPr>
                <w:color w:val="auto"/>
                <w:sz w:val="21"/>
                <w:szCs w:val="21"/>
              </w:rPr>
              <w:t>桶装密封</w:t>
            </w:r>
          </w:p>
        </w:tc>
      </w:tr>
      <w:tr w14:paraId="548544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737C80BF">
            <w:pPr>
              <w:spacing w:line="240" w:lineRule="auto"/>
              <w:ind w:firstLine="0" w:firstLineChars="0"/>
              <w:jc w:val="center"/>
              <w:rPr>
                <w:color w:val="auto"/>
                <w:sz w:val="21"/>
                <w:szCs w:val="21"/>
              </w:rPr>
            </w:pPr>
          </w:p>
        </w:tc>
        <w:tc>
          <w:tcPr>
            <w:tcW w:w="763" w:type="pct"/>
            <w:vMerge w:val="continue"/>
            <w:shd w:val="clear" w:color="auto" w:fill="auto"/>
            <w:vAlign w:val="center"/>
          </w:tcPr>
          <w:p w14:paraId="0A640D63">
            <w:pPr>
              <w:tabs>
                <w:tab w:val="left" w:pos="2227"/>
              </w:tabs>
              <w:spacing w:line="240" w:lineRule="auto"/>
              <w:ind w:firstLine="0" w:firstLineChars="0"/>
              <w:jc w:val="center"/>
              <w:rPr>
                <w:color w:val="auto"/>
                <w:sz w:val="21"/>
                <w:szCs w:val="21"/>
              </w:rPr>
            </w:pPr>
          </w:p>
        </w:tc>
        <w:tc>
          <w:tcPr>
            <w:tcW w:w="763" w:type="pct"/>
            <w:shd w:val="clear" w:color="auto" w:fill="auto"/>
            <w:vAlign w:val="center"/>
          </w:tcPr>
          <w:p w14:paraId="3B6234F4">
            <w:pPr>
              <w:tabs>
                <w:tab w:val="left" w:pos="2227"/>
              </w:tabs>
              <w:spacing w:line="240" w:lineRule="auto"/>
              <w:ind w:firstLine="0" w:firstLineChars="0"/>
              <w:jc w:val="center"/>
              <w:rPr>
                <w:color w:val="auto"/>
                <w:sz w:val="21"/>
                <w:szCs w:val="21"/>
              </w:rPr>
            </w:pPr>
            <w:r>
              <w:rPr>
                <w:rFonts w:hint="eastAsia"/>
                <w:color w:val="auto"/>
                <w:sz w:val="21"/>
                <w:szCs w:val="21"/>
              </w:rPr>
              <w:t>废活性炭</w:t>
            </w:r>
          </w:p>
        </w:tc>
        <w:tc>
          <w:tcPr>
            <w:tcW w:w="646" w:type="pct"/>
            <w:shd w:val="clear" w:color="auto" w:fill="auto"/>
            <w:vAlign w:val="center"/>
          </w:tcPr>
          <w:p w14:paraId="41965200">
            <w:pPr>
              <w:spacing w:line="240" w:lineRule="auto"/>
              <w:ind w:firstLine="0" w:firstLineChars="0"/>
              <w:jc w:val="center"/>
              <w:rPr>
                <w:color w:val="auto"/>
                <w:sz w:val="21"/>
                <w:szCs w:val="21"/>
              </w:rPr>
            </w:pPr>
            <w:r>
              <w:rPr>
                <w:rFonts w:hint="eastAsia"/>
                <w:color w:val="auto"/>
                <w:sz w:val="21"/>
                <w:szCs w:val="21"/>
              </w:rPr>
              <w:t>HW49</w:t>
            </w:r>
          </w:p>
        </w:tc>
        <w:tc>
          <w:tcPr>
            <w:tcW w:w="780" w:type="pct"/>
            <w:shd w:val="clear" w:color="auto" w:fill="auto"/>
            <w:vAlign w:val="center"/>
          </w:tcPr>
          <w:p w14:paraId="3ED4B047">
            <w:pPr>
              <w:spacing w:line="240" w:lineRule="auto"/>
              <w:ind w:firstLine="0" w:firstLineChars="0"/>
              <w:jc w:val="center"/>
              <w:rPr>
                <w:color w:val="auto"/>
                <w:sz w:val="21"/>
                <w:szCs w:val="21"/>
              </w:rPr>
            </w:pPr>
            <w:r>
              <w:rPr>
                <w:rFonts w:hint="eastAsia"/>
                <w:color w:val="auto"/>
                <w:sz w:val="21"/>
                <w:szCs w:val="21"/>
              </w:rPr>
              <w:t>900-041-49</w:t>
            </w:r>
          </w:p>
        </w:tc>
        <w:tc>
          <w:tcPr>
            <w:tcW w:w="526" w:type="pct"/>
            <w:vMerge w:val="continue"/>
            <w:vAlign w:val="center"/>
          </w:tcPr>
          <w:p w14:paraId="007B6B50">
            <w:pPr>
              <w:spacing w:line="240" w:lineRule="auto"/>
              <w:ind w:firstLine="0" w:firstLineChars="0"/>
              <w:jc w:val="center"/>
              <w:rPr>
                <w:color w:val="auto"/>
                <w:sz w:val="21"/>
                <w:szCs w:val="21"/>
              </w:rPr>
            </w:pPr>
          </w:p>
        </w:tc>
        <w:tc>
          <w:tcPr>
            <w:tcW w:w="315" w:type="pct"/>
            <w:vMerge w:val="continue"/>
            <w:vAlign w:val="center"/>
          </w:tcPr>
          <w:p w14:paraId="19D09589">
            <w:pPr>
              <w:spacing w:line="240" w:lineRule="auto"/>
              <w:ind w:firstLine="0" w:firstLineChars="0"/>
              <w:jc w:val="center"/>
              <w:rPr>
                <w:color w:val="auto"/>
                <w:sz w:val="21"/>
                <w:szCs w:val="21"/>
              </w:rPr>
            </w:pPr>
          </w:p>
        </w:tc>
        <w:tc>
          <w:tcPr>
            <w:tcW w:w="825" w:type="pct"/>
            <w:shd w:val="clear" w:color="auto" w:fill="auto"/>
            <w:vAlign w:val="center"/>
          </w:tcPr>
          <w:p w14:paraId="72056875">
            <w:pPr>
              <w:spacing w:line="240" w:lineRule="auto"/>
              <w:ind w:firstLine="0" w:firstLineChars="0"/>
              <w:jc w:val="center"/>
              <w:rPr>
                <w:color w:val="auto"/>
                <w:sz w:val="21"/>
                <w:szCs w:val="21"/>
              </w:rPr>
            </w:pPr>
            <w:r>
              <w:rPr>
                <w:color w:val="auto"/>
                <w:sz w:val="21"/>
                <w:szCs w:val="21"/>
              </w:rPr>
              <w:t>桶装密封</w:t>
            </w:r>
          </w:p>
        </w:tc>
      </w:tr>
      <w:tr w14:paraId="5E561D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17B425C8">
            <w:pPr>
              <w:spacing w:line="240" w:lineRule="auto"/>
              <w:ind w:firstLine="0" w:firstLineChars="0"/>
              <w:jc w:val="center"/>
              <w:rPr>
                <w:color w:val="auto"/>
                <w:sz w:val="21"/>
                <w:szCs w:val="21"/>
              </w:rPr>
            </w:pPr>
          </w:p>
        </w:tc>
        <w:tc>
          <w:tcPr>
            <w:tcW w:w="1526" w:type="pct"/>
            <w:gridSpan w:val="2"/>
            <w:vAlign w:val="center"/>
          </w:tcPr>
          <w:p w14:paraId="751A1FE7">
            <w:pPr>
              <w:spacing w:line="240" w:lineRule="auto"/>
              <w:ind w:firstLine="0" w:firstLineChars="0"/>
              <w:jc w:val="center"/>
              <w:rPr>
                <w:color w:val="auto"/>
                <w:sz w:val="21"/>
                <w:szCs w:val="21"/>
              </w:rPr>
            </w:pPr>
            <w:r>
              <w:rPr>
                <w:rFonts w:hint="eastAsia"/>
                <w:color w:val="auto"/>
                <w:sz w:val="21"/>
                <w:szCs w:val="21"/>
              </w:rPr>
              <w:t>废研磨膏</w:t>
            </w:r>
          </w:p>
        </w:tc>
        <w:tc>
          <w:tcPr>
            <w:tcW w:w="646" w:type="pct"/>
            <w:vAlign w:val="center"/>
          </w:tcPr>
          <w:p w14:paraId="0646CE3E">
            <w:pPr>
              <w:spacing w:line="240" w:lineRule="auto"/>
              <w:ind w:firstLine="0" w:firstLineChars="0"/>
              <w:jc w:val="center"/>
              <w:rPr>
                <w:color w:val="auto"/>
                <w:sz w:val="21"/>
                <w:szCs w:val="21"/>
              </w:rPr>
            </w:pPr>
            <w:r>
              <w:rPr>
                <w:rFonts w:hint="eastAsia"/>
                <w:color w:val="auto"/>
                <w:sz w:val="21"/>
                <w:szCs w:val="21"/>
              </w:rPr>
              <w:t>HW08</w:t>
            </w:r>
          </w:p>
        </w:tc>
        <w:tc>
          <w:tcPr>
            <w:tcW w:w="780" w:type="pct"/>
            <w:vAlign w:val="center"/>
          </w:tcPr>
          <w:p w14:paraId="6562D499">
            <w:pPr>
              <w:spacing w:line="240" w:lineRule="auto"/>
              <w:ind w:firstLine="0" w:firstLineChars="0"/>
              <w:jc w:val="center"/>
              <w:rPr>
                <w:color w:val="auto"/>
                <w:sz w:val="21"/>
                <w:szCs w:val="21"/>
              </w:rPr>
            </w:pPr>
            <w:r>
              <w:rPr>
                <w:rFonts w:hint="eastAsia"/>
                <w:color w:val="auto"/>
                <w:sz w:val="21"/>
                <w:szCs w:val="21"/>
              </w:rPr>
              <w:t>900-200-08</w:t>
            </w:r>
          </w:p>
        </w:tc>
        <w:tc>
          <w:tcPr>
            <w:tcW w:w="526" w:type="pct"/>
            <w:vMerge w:val="continue"/>
            <w:vAlign w:val="center"/>
          </w:tcPr>
          <w:p w14:paraId="1B82D4A4">
            <w:pPr>
              <w:spacing w:line="240" w:lineRule="auto"/>
              <w:ind w:firstLine="0" w:firstLineChars="0"/>
              <w:jc w:val="center"/>
              <w:rPr>
                <w:color w:val="auto"/>
                <w:sz w:val="21"/>
                <w:szCs w:val="21"/>
              </w:rPr>
            </w:pPr>
          </w:p>
        </w:tc>
        <w:tc>
          <w:tcPr>
            <w:tcW w:w="315" w:type="pct"/>
            <w:vMerge w:val="continue"/>
            <w:vAlign w:val="center"/>
          </w:tcPr>
          <w:p w14:paraId="05245001">
            <w:pPr>
              <w:spacing w:line="240" w:lineRule="auto"/>
              <w:ind w:firstLine="0" w:firstLineChars="0"/>
              <w:jc w:val="center"/>
              <w:rPr>
                <w:color w:val="auto"/>
                <w:sz w:val="21"/>
                <w:szCs w:val="21"/>
              </w:rPr>
            </w:pPr>
          </w:p>
        </w:tc>
        <w:tc>
          <w:tcPr>
            <w:tcW w:w="825" w:type="pct"/>
            <w:vAlign w:val="center"/>
          </w:tcPr>
          <w:p w14:paraId="5D1DE139">
            <w:pPr>
              <w:spacing w:line="240" w:lineRule="auto"/>
              <w:ind w:firstLine="0" w:firstLineChars="0"/>
              <w:jc w:val="center"/>
              <w:rPr>
                <w:color w:val="auto"/>
                <w:sz w:val="21"/>
                <w:szCs w:val="21"/>
              </w:rPr>
            </w:pPr>
            <w:r>
              <w:rPr>
                <w:color w:val="auto"/>
                <w:sz w:val="21"/>
                <w:szCs w:val="21"/>
              </w:rPr>
              <w:t>桶装密封</w:t>
            </w:r>
          </w:p>
        </w:tc>
      </w:tr>
      <w:tr w14:paraId="49F9DB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28BC5042">
            <w:pPr>
              <w:spacing w:line="240" w:lineRule="auto"/>
              <w:ind w:firstLine="0" w:firstLineChars="0"/>
              <w:jc w:val="center"/>
              <w:rPr>
                <w:color w:val="auto"/>
                <w:sz w:val="21"/>
                <w:szCs w:val="21"/>
              </w:rPr>
            </w:pPr>
          </w:p>
        </w:tc>
        <w:tc>
          <w:tcPr>
            <w:tcW w:w="1526" w:type="pct"/>
            <w:gridSpan w:val="2"/>
            <w:vAlign w:val="center"/>
          </w:tcPr>
          <w:p w14:paraId="5B5FBD7B">
            <w:pPr>
              <w:tabs>
                <w:tab w:val="left" w:pos="2227"/>
              </w:tabs>
              <w:spacing w:line="240" w:lineRule="auto"/>
              <w:ind w:firstLine="0" w:firstLineChars="0"/>
              <w:jc w:val="center"/>
              <w:rPr>
                <w:color w:val="auto"/>
                <w:sz w:val="21"/>
                <w:szCs w:val="21"/>
              </w:rPr>
            </w:pPr>
            <w:r>
              <w:rPr>
                <w:rFonts w:hint="eastAsia"/>
                <w:color w:val="auto"/>
                <w:sz w:val="21"/>
                <w:szCs w:val="21"/>
              </w:rPr>
              <w:t>废试剂瓶</w:t>
            </w:r>
          </w:p>
        </w:tc>
        <w:tc>
          <w:tcPr>
            <w:tcW w:w="646" w:type="pct"/>
            <w:vAlign w:val="center"/>
          </w:tcPr>
          <w:p w14:paraId="02F4F8CB">
            <w:pPr>
              <w:spacing w:line="240" w:lineRule="auto"/>
              <w:ind w:firstLine="0" w:firstLineChars="0"/>
              <w:jc w:val="center"/>
              <w:rPr>
                <w:color w:val="auto"/>
                <w:sz w:val="21"/>
                <w:szCs w:val="21"/>
              </w:rPr>
            </w:pPr>
            <w:r>
              <w:rPr>
                <w:rFonts w:hint="eastAsia"/>
                <w:color w:val="auto"/>
                <w:sz w:val="21"/>
                <w:szCs w:val="21"/>
              </w:rPr>
              <w:t>HW49</w:t>
            </w:r>
          </w:p>
        </w:tc>
        <w:tc>
          <w:tcPr>
            <w:tcW w:w="780" w:type="pct"/>
            <w:vAlign w:val="center"/>
          </w:tcPr>
          <w:p w14:paraId="0AF946CF">
            <w:pPr>
              <w:spacing w:line="240" w:lineRule="auto"/>
              <w:ind w:firstLine="0" w:firstLineChars="0"/>
              <w:jc w:val="center"/>
              <w:rPr>
                <w:color w:val="auto"/>
                <w:sz w:val="21"/>
                <w:szCs w:val="21"/>
              </w:rPr>
            </w:pPr>
            <w:r>
              <w:rPr>
                <w:rFonts w:hint="eastAsia"/>
                <w:color w:val="auto"/>
                <w:sz w:val="21"/>
                <w:szCs w:val="21"/>
              </w:rPr>
              <w:t>900-041-49</w:t>
            </w:r>
          </w:p>
        </w:tc>
        <w:tc>
          <w:tcPr>
            <w:tcW w:w="526" w:type="pct"/>
            <w:vMerge w:val="continue"/>
            <w:vAlign w:val="center"/>
          </w:tcPr>
          <w:p w14:paraId="181E3C7C">
            <w:pPr>
              <w:spacing w:line="240" w:lineRule="auto"/>
              <w:ind w:firstLine="0" w:firstLineChars="0"/>
              <w:jc w:val="center"/>
              <w:rPr>
                <w:color w:val="auto"/>
                <w:sz w:val="21"/>
                <w:szCs w:val="21"/>
              </w:rPr>
            </w:pPr>
          </w:p>
        </w:tc>
        <w:tc>
          <w:tcPr>
            <w:tcW w:w="315" w:type="pct"/>
            <w:vMerge w:val="continue"/>
            <w:vAlign w:val="center"/>
          </w:tcPr>
          <w:p w14:paraId="5B031DE1">
            <w:pPr>
              <w:spacing w:line="240" w:lineRule="auto"/>
              <w:ind w:firstLine="0" w:firstLineChars="0"/>
              <w:jc w:val="center"/>
              <w:rPr>
                <w:color w:val="auto"/>
                <w:sz w:val="21"/>
                <w:szCs w:val="21"/>
              </w:rPr>
            </w:pPr>
          </w:p>
        </w:tc>
        <w:tc>
          <w:tcPr>
            <w:tcW w:w="825" w:type="pct"/>
            <w:vAlign w:val="center"/>
          </w:tcPr>
          <w:p w14:paraId="219E1E37">
            <w:pPr>
              <w:spacing w:line="240" w:lineRule="auto"/>
              <w:ind w:firstLine="0" w:firstLineChars="0"/>
              <w:jc w:val="center"/>
              <w:rPr>
                <w:color w:val="auto"/>
                <w:sz w:val="21"/>
                <w:szCs w:val="21"/>
              </w:rPr>
            </w:pPr>
            <w:r>
              <w:rPr>
                <w:color w:val="auto"/>
                <w:sz w:val="21"/>
                <w:szCs w:val="21"/>
              </w:rPr>
              <w:t>桶装密封</w:t>
            </w:r>
          </w:p>
        </w:tc>
      </w:tr>
      <w:tr w14:paraId="6CB16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11584ED8">
            <w:pPr>
              <w:spacing w:line="240" w:lineRule="auto"/>
              <w:ind w:firstLine="0" w:firstLineChars="0"/>
              <w:jc w:val="center"/>
              <w:rPr>
                <w:color w:val="auto"/>
                <w:sz w:val="21"/>
                <w:szCs w:val="21"/>
              </w:rPr>
            </w:pPr>
          </w:p>
        </w:tc>
        <w:tc>
          <w:tcPr>
            <w:tcW w:w="1526" w:type="pct"/>
            <w:gridSpan w:val="2"/>
            <w:vAlign w:val="center"/>
          </w:tcPr>
          <w:p w14:paraId="03D55D62">
            <w:pPr>
              <w:tabs>
                <w:tab w:val="left" w:pos="2227"/>
              </w:tabs>
              <w:spacing w:line="240" w:lineRule="auto"/>
              <w:ind w:firstLine="0" w:firstLineChars="0"/>
              <w:jc w:val="center"/>
              <w:rPr>
                <w:color w:val="auto"/>
                <w:sz w:val="21"/>
                <w:szCs w:val="21"/>
              </w:rPr>
            </w:pPr>
            <w:r>
              <w:rPr>
                <w:rFonts w:hint="eastAsia"/>
                <w:color w:val="auto"/>
                <w:sz w:val="21"/>
                <w:szCs w:val="21"/>
              </w:rPr>
              <w:t>废试剂</w:t>
            </w:r>
          </w:p>
        </w:tc>
        <w:tc>
          <w:tcPr>
            <w:tcW w:w="646" w:type="pct"/>
            <w:vAlign w:val="center"/>
          </w:tcPr>
          <w:p w14:paraId="2B6C32D3">
            <w:pPr>
              <w:spacing w:line="240" w:lineRule="auto"/>
              <w:ind w:firstLine="0" w:firstLineChars="0"/>
              <w:jc w:val="center"/>
              <w:rPr>
                <w:color w:val="auto"/>
                <w:sz w:val="21"/>
                <w:szCs w:val="21"/>
              </w:rPr>
            </w:pPr>
            <w:r>
              <w:rPr>
                <w:rFonts w:hint="eastAsia"/>
                <w:color w:val="auto"/>
                <w:sz w:val="21"/>
                <w:szCs w:val="21"/>
              </w:rPr>
              <w:t>HW49</w:t>
            </w:r>
          </w:p>
        </w:tc>
        <w:tc>
          <w:tcPr>
            <w:tcW w:w="780" w:type="pct"/>
            <w:vAlign w:val="center"/>
          </w:tcPr>
          <w:p w14:paraId="70E6814C">
            <w:pPr>
              <w:spacing w:line="240" w:lineRule="auto"/>
              <w:ind w:firstLine="0" w:firstLineChars="0"/>
              <w:jc w:val="center"/>
              <w:rPr>
                <w:color w:val="auto"/>
                <w:sz w:val="21"/>
                <w:szCs w:val="21"/>
              </w:rPr>
            </w:pPr>
            <w:r>
              <w:rPr>
                <w:rFonts w:hint="eastAsia"/>
                <w:color w:val="auto"/>
                <w:sz w:val="21"/>
                <w:szCs w:val="21"/>
              </w:rPr>
              <w:t>900-047-49</w:t>
            </w:r>
          </w:p>
        </w:tc>
        <w:tc>
          <w:tcPr>
            <w:tcW w:w="526" w:type="pct"/>
            <w:vMerge w:val="continue"/>
            <w:vAlign w:val="center"/>
          </w:tcPr>
          <w:p w14:paraId="55FB26BC">
            <w:pPr>
              <w:spacing w:line="240" w:lineRule="auto"/>
              <w:ind w:firstLine="0" w:firstLineChars="0"/>
              <w:jc w:val="center"/>
              <w:rPr>
                <w:color w:val="auto"/>
                <w:sz w:val="21"/>
                <w:szCs w:val="21"/>
              </w:rPr>
            </w:pPr>
          </w:p>
        </w:tc>
        <w:tc>
          <w:tcPr>
            <w:tcW w:w="315" w:type="pct"/>
            <w:vMerge w:val="continue"/>
            <w:vAlign w:val="center"/>
          </w:tcPr>
          <w:p w14:paraId="1F09EA51">
            <w:pPr>
              <w:spacing w:line="240" w:lineRule="auto"/>
              <w:ind w:firstLine="0" w:firstLineChars="0"/>
              <w:jc w:val="center"/>
              <w:rPr>
                <w:color w:val="auto"/>
                <w:sz w:val="21"/>
                <w:szCs w:val="21"/>
              </w:rPr>
            </w:pPr>
          </w:p>
        </w:tc>
        <w:tc>
          <w:tcPr>
            <w:tcW w:w="825" w:type="pct"/>
            <w:vAlign w:val="center"/>
          </w:tcPr>
          <w:p w14:paraId="5A6EEE1B">
            <w:pPr>
              <w:spacing w:line="240" w:lineRule="auto"/>
              <w:ind w:firstLine="0" w:firstLineChars="0"/>
              <w:jc w:val="center"/>
              <w:rPr>
                <w:color w:val="auto"/>
                <w:sz w:val="21"/>
                <w:szCs w:val="21"/>
              </w:rPr>
            </w:pPr>
            <w:r>
              <w:rPr>
                <w:color w:val="auto"/>
                <w:sz w:val="21"/>
                <w:szCs w:val="21"/>
              </w:rPr>
              <w:t>桶装密封</w:t>
            </w:r>
          </w:p>
        </w:tc>
      </w:tr>
      <w:tr w14:paraId="08368A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6C2F744D">
            <w:pPr>
              <w:spacing w:line="240" w:lineRule="auto"/>
              <w:ind w:firstLine="0" w:firstLineChars="0"/>
              <w:jc w:val="center"/>
              <w:rPr>
                <w:color w:val="auto"/>
                <w:sz w:val="21"/>
                <w:szCs w:val="21"/>
              </w:rPr>
            </w:pPr>
          </w:p>
        </w:tc>
        <w:tc>
          <w:tcPr>
            <w:tcW w:w="1526" w:type="pct"/>
            <w:gridSpan w:val="2"/>
            <w:vAlign w:val="center"/>
          </w:tcPr>
          <w:p w14:paraId="738D997E">
            <w:pPr>
              <w:spacing w:line="240" w:lineRule="auto"/>
              <w:ind w:firstLine="0" w:firstLineChars="0"/>
              <w:jc w:val="center"/>
              <w:rPr>
                <w:color w:val="auto"/>
                <w:sz w:val="21"/>
                <w:szCs w:val="21"/>
              </w:rPr>
            </w:pPr>
            <w:r>
              <w:rPr>
                <w:rFonts w:hint="eastAsia"/>
                <w:color w:val="auto"/>
                <w:sz w:val="21"/>
                <w:szCs w:val="21"/>
              </w:rPr>
              <w:t>废化学品包装材料</w:t>
            </w:r>
          </w:p>
        </w:tc>
        <w:tc>
          <w:tcPr>
            <w:tcW w:w="646" w:type="pct"/>
            <w:vAlign w:val="center"/>
          </w:tcPr>
          <w:p w14:paraId="1A4669CA">
            <w:pPr>
              <w:spacing w:line="240" w:lineRule="auto"/>
              <w:ind w:firstLine="0" w:firstLineChars="0"/>
              <w:jc w:val="center"/>
              <w:rPr>
                <w:color w:val="auto"/>
                <w:sz w:val="21"/>
                <w:szCs w:val="21"/>
              </w:rPr>
            </w:pPr>
            <w:r>
              <w:rPr>
                <w:rFonts w:hint="eastAsia"/>
                <w:color w:val="auto"/>
                <w:sz w:val="21"/>
                <w:szCs w:val="21"/>
              </w:rPr>
              <w:t>HW49</w:t>
            </w:r>
          </w:p>
        </w:tc>
        <w:tc>
          <w:tcPr>
            <w:tcW w:w="780" w:type="pct"/>
            <w:vAlign w:val="center"/>
          </w:tcPr>
          <w:p w14:paraId="1A553D55">
            <w:pPr>
              <w:spacing w:line="240" w:lineRule="auto"/>
              <w:ind w:firstLine="0" w:firstLineChars="0"/>
              <w:jc w:val="center"/>
              <w:rPr>
                <w:color w:val="auto"/>
                <w:sz w:val="21"/>
                <w:szCs w:val="21"/>
              </w:rPr>
            </w:pPr>
            <w:r>
              <w:rPr>
                <w:rFonts w:hint="eastAsia"/>
                <w:color w:val="auto"/>
                <w:sz w:val="21"/>
                <w:szCs w:val="21"/>
              </w:rPr>
              <w:t>900-041-49</w:t>
            </w:r>
          </w:p>
        </w:tc>
        <w:tc>
          <w:tcPr>
            <w:tcW w:w="526" w:type="pct"/>
            <w:vMerge w:val="continue"/>
            <w:vAlign w:val="center"/>
          </w:tcPr>
          <w:p w14:paraId="531E9C47">
            <w:pPr>
              <w:spacing w:line="240" w:lineRule="auto"/>
              <w:ind w:firstLine="0" w:firstLineChars="0"/>
              <w:jc w:val="center"/>
              <w:rPr>
                <w:color w:val="auto"/>
                <w:sz w:val="21"/>
                <w:szCs w:val="21"/>
              </w:rPr>
            </w:pPr>
          </w:p>
        </w:tc>
        <w:tc>
          <w:tcPr>
            <w:tcW w:w="315" w:type="pct"/>
            <w:vMerge w:val="continue"/>
            <w:vAlign w:val="center"/>
          </w:tcPr>
          <w:p w14:paraId="585E24B0">
            <w:pPr>
              <w:spacing w:line="240" w:lineRule="auto"/>
              <w:ind w:firstLine="0" w:firstLineChars="0"/>
              <w:jc w:val="center"/>
              <w:rPr>
                <w:color w:val="auto"/>
                <w:sz w:val="21"/>
                <w:szCs w:val="21"/>
              </w:rPr>
            </w:pPr>
          </w:p>
        </w:tc>
        <w:tc>
          <w:tcPr>
            <w:tcW w:w="825" w:type="pct"/>
            <w:vAlign w:val="center"/>
          </w:tcPr>
          <w:p w14:paraId="2EB2460F">
            <w:pPr>
              <w:spacing w:line="240" w:lineRule="auto"/>
              <w:ind w:firstLine="0" w:firstLineChars="0"/>
              <w:jc w:val="center"/>
              <w:rPr>
                <w:color w:val="auto"/>
                <w:sz w:val="21"/>
                <w:szCs w:val="21"/>
              </w:rPr>
            </w:pPr>
            <w:r>
              <w:rPr>
                <w:color w:val="auto"/>
                <w:sz w:val="21"/>
                <w:szCs w:val="21"/>
              </w:rPr>
              <w:t>桶装密封</w:t>
            </w:r>
          </w:p>
        </w:tc>
      </w:tr>
      <w:tr w14:paraId="67BA31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2F63EE62">
            <w:pPr>
              <w:spacing w:line="240" w:lineRule="auto"/>
              <w:ind w:firstLine="0" w:firstLineChars="0"/>
              <w:jc w:val="center"/>
              <w:rPr>
                <w:color w:val="auto"/>
                <w:sz w:val="21"/>
                <w:szCs w:val="21"/>
              </w:rPr>
            </w:pPr>
          </w:p>
        </w:tc>
        <w:tc>
          <w:tcPr>
            <w:tcW w:w="1526" w:type="pct"/>
            <w:gridSpan w:val="2"/>
            <w:vAlign w:val="center"/>
          </w:tcPr>
          <w:p w14:paraId="27BCF39B">
            <w:pPr>
              <w:tabs>
                <w:tab w:val="left" w:pos="2227"/>
              </w:tabs>
              <w:spacing w:line="240" w:lineRule="auto"/>
              <w:ind w:firstLine="0" w:firstLineChars="0"/>
              <w:jc w:val="center"/>
              <w:rPr>
                <w:color w:val="auto"/>
                <w:sz w:val="21"/>
                <w:szCs w:val="21"/>
              </w:rPr>
            </w:pPr>
            <w:r>
              <w:rPr>
                <w:rFonts w:hint="eastAsia"/>
                <w:color w:val="auto"/>
                <w:sz w:val="21"/>
                <w:szCs w:val="21"/>
              </w:rPr>
              <w:t>废机油</w:t>
            </w:r>
          </w:p>
        </w:tc>
        <w:tc>
          <w:tcPr>
            <w:tcW w:w="646" w:type="pct"/>
            <w:vAlign w:val="center"/>
          </w:tcPr>
          <w:p w14:paraId="16DA3829">
            <w:pPr>
              <w:spacing w:line="240" w:lineRule="auto"/>
              <w:ind w:firstLine="0" w:firstLineChars="0"/>
              <w:jc w:val="center"/>
              <w:rPr>
                <w:color w:val="auto"/>
                <w:sz w:val="21"/>
                <w:szCs w:val="21"/>
              </w:rPr>
            </w:pPr>
            <w:r>
              <w:rPr>
                <w:color w:val="auto"/>
                <w:sz w:val="21"/>
                <w:szCs w:val="21"/>
              </w:rPr>
              <w:t>HW08</w:t>
            </w:r>
          </w:p>
        </w:tc>
        <w:tc>
          <w:tcPr>
            <w:tcW w:w="780" w:type="pct"/>
            <w:vAlign w:val="center"/>
          </w:tcPr>
          <w:p w14:paraId="4CA92EDF">
            <w:pPr>
              <w:spacing w:line="240" w:lineRule="auto"/>
              <w:ind w:firstLine="0" w:firstLineChars="0"/>
              <w:jc w:val="center"/>
              <w:rPr>
                <w:color w:val="auto"/>
                <w:sz w:val="21"/>
                <w:szCs w:val="21"/>
              </w:rPr>
            </w:pPr>
            <w:r>
              <w:rPr>
                <w:color w:val="auto"/>
                <w:sz w:val="21"/>
                <w:szCs w:val="21"/>
              </w:rPr>
              <w:t>900-21</w:t>
            </w:r>
            <w:r>
              <w:rPr>
                <w:rFonts w:hint="eastAsia"/>
                <w:color w:val="auto"/>
                <w:sz w:val="21"/>
                <w:szCs w:val="21"/>
              </w:rPr>
              <w:t>7</w:t>
            </w:r>
            <w:r>
              <w:rPr>
                <w:color w:val="auto"/>
                <w:sz w:val="21"/>
                <w:szCs w:val="21"/>
              </w:rPr>
              <w:t>-08</w:t>
            </w:r>
          </w:p>
        </w:tc>
        <w:tc>
          <w:tcPr>
            <w:tcW w:w="526" w:type="pct"/>
            <w:vMerge w:val="continue"/>
            <w:vAlign w:val="center"/>
          </w:tcPr>
          <w:p w14:paraId="117800C6">
            <w:pPr>
              <w:spacing w:line="240" w:lineRule="auto"/>
              <w:ind w:firstLine="0" w:firstLineChars="0"/>
              <w:jc w:val="center"/>
              <w:rPr>
                <w:color w:val="auto"/>
                <w:sz w:val="21"/>
                <w:szCs w:val="21"/>
              </w:rPr>
            </w:pPr>
          </w:p>
        </w:tc>
        <w:tc>
          <w:tcPr>
            <w:tcW w:w="315" w:type="pct"/>
            <w:vMerge w:val="continue"/>
            <w:vAlign w:val="center"/>
          </w:tcPr>
          <w:p w14:paraId="43C264A7">
            <w:pPr>
              <w:spacing w:line="240" w:lineRule="auto"/>
              <w:ind w:firstLine="0" w:firstLineChars="0"/>
              <w:jc w:val="center"/>
              <w:rPr>
                <w:color w:val="auto"/>
                <w:sz w:val="21"/>
                <w:szCs w:val="21"/>
              </w:rPr>
            </w:pPr>
          </w:p>
        </w:tc>
        <w:tc>
          <w:tcPr>
            <w:tcW w:w="825" w:type="pct"/>
            <w:vAlign w:val="center"/>
          </w:tcPr>
          <w:p w14:paraId="139C2167">
            <w:pPr>
              <w:spacing w:line="240" w:lineRule="auto"/>
              <w:ind w:firstLine="0" w:firstLineChars="0"/>
              <w:jc w:val="center"/>
              <w:rPr>
                <w:color w:val="auto"/>
                <w:sz w:val="21"/>
                <w:szCs w:val="21"/>
              </w:rPr>
            </w:pPr>
            <w:r>
              <w:rPr>
                <w:color w:val="auto"/>
                <w:sz w:val="21"/>
                <w:szCs w:val="21"/>
              </w:rPr>
              <w:t>桶装密封</w:t>
            </w:r>
          </w:p>
        </w:tc>
      </w:tr>
      <w:tr w14:paraId="261CBD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6D1846D3">
            <w:pPr>
              <w:spacing w:line="240" w:lineRule="auto"/>
              <w:ind w:firstLine="0" w:firstLineChars="0"/>
              <w:jc w:val="center"/>
              <w:rPr>
                <w:color w:val="auto"/>
                <w:sz w:val="21"/>
                <w:szCs w:val="21"/>
              </w:rPr>
            </w:pPr>
          </w:p>
        </w:tc>
        <w:tc>
          <w:tcPr>
            <w:tcW w:w="1526" w:type="pct"/>
            <w:gridSpan w:val="2"/>
            <w:vAlign w:val="center"/>
          </w:tcPr>
          <w:p w14:paraId="5761EE6F">
            <w:pPr>
              <w:tabs>
                <w:tab w:val="left" w:pos="2227"/>
              </w:tabs>
              <w:spacing w:line="240" w:lineRule="auto"/>
              <w:ind w:firstLine="0" w:firstLineChars="0"/>
              <w:jc w:val="center"/>
              <w:rPr>
                <w:color w:val="auto"/>
                <w:sz w:val="21"/>
                <w:szCs w:val="21"/>
              </w:rPr>
            </w:pPr>
            <w:r>
              <w:rPr>
                <w:rFonts w:hint="eastAsia"/>
                <w:color w:val="auto"/>
                <w:sz w:val="21"/>
                <w:szCs w:val="21"/>
              </w:rPr>
              <w:t>废液压油</w:t>
            </w:r>
          </w:p>
        </w:tc>
        <w:tc>
          <w:tcPr>
            <w:tcW w:w="646" w:type="pct"/>
            <w:vAlign w:val="center"/>
          </w:tcPr>
          <w:p w14:paraId="6304F3CF">
            <w:pPr>
              <w:spacing w:line="240" w:lineRule="auto"/>
              <w:ind w:firstLine="0" w:firstLineChars="0"/>
              <w:jc w:val="center"/>
              <w:rPr>
                <w:color w:val="auto"/>
                <w:sz w:val="21"/>
                <w:szCs w:val="21"/>
              </w:rPr>
            </w:pPr>
            <w:r>
              <w:rPr>
                <w:color w:val="auto"/>
                <w:sz w:val="21"/>
                <w:szCs w:val="21"/>
              </w:rPr>
              <w:t>HW08</w:t>
            </w:r>
          </w:p>
        </w:tc>
        <w:tc>
          <w:tcPr>
            <w:tcW w:w="780" w:type="pct"/>
            <w:vAlign w:val="center"/>
          </w:tcPr>
          <w:p w14:paraId="500A4415">
            <w:pPr>
              <w:spacing w:line="240" w:lineRule="auto"/>
              <w:ind w:firstLine="0" w:firstLineChars="0"/>
              <w:jc w:val="center"/>
              <w:rPr>
                <w:color w:val="auto"/>
                <w:sz w:val="21"/>
                <w:szCs w:val="21"/>
              </w:rPr>
            </w:pPr>
            <w:r>
              <w:rPr>
                <w:color w:val="auto"/>
                <w:sz w:val="21"/>
                <w:szCs w:val="21"/>
              </w:rPr>
              <w:t>900-21</w:t>
            </w:r>
            <w:r>
              <w:rPr>
                <w:rFonts w:hint="eastAsia"/>
                <w:color w:val="auto"/>
                <w:sz w:val="21"/>
                <w:szCs w:val="21"/>
              </w:rPr>
              <w:t>8</w:t>
            </w:r>
            <w:r>
              <w:rPr>
                <w:color w:val="auto"/>
                <w:sz w:val="21"/>
                <w:szCs w:val="21"/>
              </w:rPr>
              <w:t>-08</w:t>
            </w:r>
          </w:p>
        </w:tc>
        <w:tc>
          <w:tcPr>
            <w:tcW w:w="526" w:type="pct"/>
            <w:vMerge w:val="continue"/>
            <w:vAlign w:val="center"/>
          </w:tcPr>
          <w:p w14:paraId="34E2CB72">
            <w:pPr>
              <w:spacing w:line="240" w:lineRule="auto"/>
              <w:ind w:firstLine="0" w:firstLineChars="0"/>
              <w:jc w:val="center"/>
              <w:rPr>
                <w:color w:val="auto"/>
                <w:sz w:val="21"/>
                <w:szCs w:val="21"/>
              </w:rPr>
            </w:pPr>
          </w:p>
        </w:tc>
        <w:tc>
          <w:tcPr>
            <w:tcW w:w="315" w:type="pct"/>
            <w:vMerge w:val="continue"/>
            <w:vAlign w:val="center"/>
          </w:tcPr>
          <w:p w14:paraId="7BA3AAE1">
            <w:pPr>
              <w:spacing w:line="240" w:lineRule="auto"/>
              <w:ind w:firstLine="0" w:firstLineChars="0"/>
              <w:jc w:val="center"/>
              <w:rPr>
                <w:color w:val="auto"/>
                <w:sz w:val="21"/>
                <w:szCs w:val="21"/>
              </w:rPr>
            </w:pPr>
          </w:p>
        </w:tc>
        <w:tc>
          <w:tcPr>
            <w:tcW w:w="825" w:type="pct"/>
            <w:vAlign w:val="center"/>
          </w:tcPr>
          <w:p w14:paraId="50DF6B1B">
            <w:pPr>
              <w:spacing w:line="240" w:lineRule="auto"/>
              <w:ind w:firstLine="0" w:firstLineChars="0"/>
              <w:jc w:val="center"/>
              <w:rPr>
                <w:color w:val="auto"/>
                <w:sz w:val="21"/>
                <w:szCs w:val="21"/>
              </w:rPr>
            </w:pPr>
            <w:r>
              <w:rPr>
                <w:color w:val="auto"/>
                <w:sz w:val="21"/>
                <w:szCs w:val="21"/>
              </w:rPr>
              <w:t>桶装密封</w:t>
            </w:r>
          </w:p>
        </w:tc>
      </w:tr>
      <w:tr w14:paraId="131BB7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8" w:type="pct"/>
            <w:vMerge w:val="continue"/>
            <w:vAlign w:val="center"/>
          </w:tcPr>
          <w:p w14:paraId="37AE319E">
            <w:pPr>
              <w:spacing w:line="240" w:lineRule="auto"/>
              <w:ind w:firstLine="0" w:firstLineChars="0"/>
              <w:jc w:val="center"/>
              <w:rPr>
                <w:color w:val="auto"/>
                <w:sz w:val="21"/>
                <w:szCs w:val="21"/>
              </w:rPr>
            </w:pPr>
          </w:p>
        </w:tc>
        <w:tc>
          <w:tcPr>
            <w:tcW w:w="1526" w:type="pct"/>
            <w:gridSpan w:val="2"/>
            <w:vAlign w:val="center"/>
          </w:tcPr>
          <w:p w14:paraId="30B2470D">
            <w:pPr>
              <w:tabs>
                <w:tab w:val="left" w:pos="2227"/>
              </w:tabs>
              <w:spacing w:line="240" w:lineRule="auto"/>
              <w:ind w:firstLine="0" w:firstLineChars="0"/>
              <w:jc w:val="center"/>
              <w:rPr>
                <w:color w:val="auto"/>
                <w:sz w:val="21"/>
                <w:szCs w:val="21"/>
              </w:rPr>
            </w:pPr>
            <w:r>
              <w:rPr>
                <w:rFonts w:hint="eastAsia"/>
                <w:color w:val="auto"/>
                <w:sz w:val="21"/>
                <w:szCs w:val="21"/>
              </w:rPr>
              <w:t>废油桶</w:t>
            </w:r>
          </w:p>
        </w:tc>
        <w:tc>
          <w:tcPr>
            <w:tcW w:w="646" w:type="pct"/>
            <w:vAlign w:val="center"/>
          </w:tcPr>
          <w:p w14:paraId="425C9098">
            <w:pPr>
              <w:spacing w:line="240" w:lineRule="auto"/>
              <w:ind w:firstLine="0" w:firstLineChars="0"/>
              <w:jc w:val="center"/>
              <w:rPr>
                <w:color w:val="auto"/>
                <w:sz w:val="21"/>
                <w:szCs w:val="21"/>
              </w:rPr>
            </w:pPr>
            <w:r>
              <w:rPr>
                <w:color w:val="auto"/>
                <w:sz w:val="21"/>
                <w:szCs w:val="21"/>
              </w:rPr>
              <w:t>HW08</w:t>
            </w:r>
          </w:p>
        </w:tc>
        <w:tc>
          <w:tcPr>
            <w:tcW w:w="780" w:type="pct"/>
            <w:vAlign w:val="center"/>
          </w:tcPr>
          <w:p w14:paraId="7423ED02">
            <w:pPr>
              <w:spacing w:line="240" w:lineRule="auto"/>
              <w:ind w:firstLine="0" w:firstLineChars="0"/>
              <w:jc w:val="center"/>
              <w:rPr>
                <w:color w:val="auto"/>
                <w:sz w:val="21"/>
                <w:szCs w:val="21"/>
              </w:rPr>
            </w:pPr>
            <w:r>
              <w:rPr>
                <w:color w:val="auto"/>
                <w:sz w:val="21"/>
                <w:szCs w:val="21"/>
              </w:rPr>
              <w:t>900-249-08</w:t>
            </w:r>
          </w:p>
        </w:tc>
        <w:tc>
          <w:tcPr>
            <w:tcW w:w="526" w:type="pct"/>
            <w:vMerge w:val="continue"/>
            <w:vAlign w:val="center"/>
          </w:tcPr>
          <w:p w14:paraId="2148651B">
            <w:pPr>
              <w:spacing w:line="240" w:lineRule="auto"/>
              <w:ind w:firstLine="0" w:firstLineChars="0"/>
              <w:jc w:val="center"/>
              <w:rPr>
                <w:color w:val="auto"/>
                <w:sz w:val="21"/>
                <w:szCs w:val="21"/>
              </w:rPr>
            </w:pPr>
          </w:p>
        </w:tc>
        <w:tc>
          <w:tcPr>
            <w:tcW w:w="315" w:type="pct"/>
            <w:vMerge w:val="continue"/>
            <w:vAlign w:val="center"/>
          </w:tcPr>
          <w:p w14:paraId="715B8E8D">
            <w:pPr>
              <w:spacing w:line="240" w:lineRule="auto"/>
              <w:ind w:firstLine="0" w:firstLineChars="0"/>
              <w:jc w:val="center"/>
              <w:rPr>
                <w:color w:val="auto"/>
                <w:sz w:val="21"/>
                <w:szCs w:val="21"/>
              </w:rPr>
            </w:pPr>
          </w:p>
        </w:tc>
        <w:tc>
          <w:tcPr>
            <w:tcW w:w="825" w:type="pct"/>
            <w:vAlign w:val="center"/>
          </w:tcPr>
          <w:p w14:paraId="6078BDF1">
            <w:pPr>
              <w:spacing w:line="240" w:lineRule="auto"/>
              <w:ind w:firstLine="0" w:firstLineChars="0"/>
              <w:jc w:val="center"/>
              <w:rPr>
                <w:color w:val="auto"/>
                <w:sz w:val="21"/>
                <w:szCs w:val="21"/>
              </w:rPr>
            </w:pPr>
            <w:r>
              <w:rPr>
                <w:color w:val="auto"/>
                <w:sz w:val="21"/>
                <w:szCs w:val="21"/>
              </w:rPr>
              <w:t>桶装密封</w:t>
            </w:r>
          </w:p>
        </w:tc>
      </w:tr>
      <w:tr w14:paraId="0ED3E5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294EC6B0">
            <w:pPr>
              <w:spacing w:line="240" w:lineRule="auto"/>
              <w:ind w:firstLine="0" w:firstLineChars="0"/>
              <w:jc w:val="center"/>
              <w:rPr>
                <w:color w:val="auto"/>
                <w:sz w:val="21"/>
                <w:szCs w:val="21"/>
              </w:rPr>
            </w:pPr>
          </w:p>
        </w:tc>
        <w:tc>
          <w:tcPr>
            <w:tcW w:w="1526" w:type="pct"/>
            <w:gridSpan w:val="2"/>
            <w:vAlign w:val="center"/>
          </w:tcPr>
          <w:p w14:paraId="4E290E27">
            <w:pPr>
              <w:spacing w:line="240" w:lineRule="auto"/>
              <w:ind w:firstLine="0" w:firstLineChars="0"/>
              <w:jc w:val="center"/>
              <w:rPr>
                <w:color w:val="auto"/>
                <w:sz w:val="21"/>
                <w:szCs w:val="21"/>
              </w:rPr>
            </w:pPr>
            <w:r>
              <w:rPr>
                <w:rFonts w:hint="eastAsia"/>
                <w:color w:val="auto"/>
                <w:sz w:val="21"/>
                <w:szCs w:val="21"/>
              </w:rPr>
              <w:t>废劳保用品</w:t>
            </w:r>
          </w:p>
        </w:tc>
        <w:tc>
          <w:tcPr>
            <w:tcW w:w="646" w:type="pct"/>
            <w:shd w:val="clear" w:color="auto" w:fill="auto"/>
            <w:vAlign w:val="center"/>
          </w:tcPr>
          <w:p w14:paraId="1810BB32">
            <w:pPr>
              <w:spacing w:line="240" w:lineRule="auto"/>
              <w:ind w:firstLine="0" w:firstLineChars="0"/>
              <w:jc w:val="center"/>
              <w:rPr>
                <w:color w:val="auto"/>
                <w:sz w:val="21"/>
                <w:szCs w:val="21"/>
              </w:rPr>
            </w:pPr>
            <w:r>
              <w:rPr>
                <w:rFonts w:hint="eastAsia"/>
                <w:color w:val="auto"/>
                <w:sz w:val="21"/>
                <w:szCs w:val="21"/>
              </w:rPr>
              <w:t>HW49</w:t>
            </w:r>
          </w:p>
        </w:tc>
        <w:tc>
          <w:tcPr>
            <w:tcW w:w="780" w:type="pct"/>
            <w:shd w:val="clear" w:color="auto" w:fill="auto"/>
            <w:vAlign w:val="center"/>
          </w:tcPr>
          <w:p w14:paraId="54EA3C83">
            <w:pPr>
              <w:spacing w:line="240" w:lineRule="auto"/>
              <w:ind w:firstLine="0" w:firstLineChars="0"/>
              <w:jc w:val="center"/>
              <w:rPr>
                <w:color w:val="auto"/>
                <w:sz w:val="21"/>
                <w:szCs w:val="21"/>
              </w:rPr>
            </w:pPr>
            <w:r>
              <w:rPr>
                <w:rFonts w:hint="eastAsia"/>
                <w:color w:val="auto"/>
                <w:sz w:val="21"/>
                <w:szCs w:val="21"/>
              </w:rPr>
              <w:t>900-041-49</w:t>
            </w:r>
          </w:p>
        </w:tc>
        <w:tc>
          <w:tcPr>
            <w:tcW w:w="526" w:type="pct"/>
            <w:vMerge w:val="continue"/>
            <w:vAlign w:val="center"/>
          </w:tcPr>
          <w:p w14:paraId="39205524">
            <w:pPr>
              <w:spacing w:line="240" w:lineRule="auto"/>
              <w:ind w:firstLine="0" w:firstLineChars="0"/>
              <w:jc w:val="center"/>
              <w:rPr>
                <w:color w:val="auto"/>
                <w:sz w:val="21"/>
                <w:szCs w:val="21"/>
              </w:rPr>
            </w:pPr>
          </w:p>
        </w:tc>
        <w:tc>
          <w:tcPr>
            <w:tcW w:w="315" w:type="pct"/>
            <w:vMerge w:val="continue"/>
            <w:vAlign w:val="center"/>
          </w:tcPr>
          <w:p w14:paraId="286F20F8">
            <w:pPr>
              <w:spacing w:line="240" w:lineRule="auto"/>
              <w:ind w:firstLine="0" w:firstLineChars="0"/>
              <w:jc w:val="center"/>
              <w:rPr>
                <w:color w:val="auto"/>
                <w:sz w:val="21"/>
                <w:szCs w:val="21"/>
              </w:rPr>
            </w:pPr>
          </w:p>
        </w:tc>
        <w:tc>
          <w:tcPr>
            <w:tcW w:w="825" w:type="pct"/>
            <w:vAlign w:val="center"/>
          </w:tcPr>
          <w:p w14:paraId="4A508A3B">
            <w:pPr>
              <w:spacing w:line="240" w:lineRule="auto"/>
              <w:ind w:firstLine="0" w:firstLineChars="0"/>
              <w:jc w:val="center"/>
              <w:rPr>
                <w:color w:val="auto"/>
                <w:sz w:val="21"/>
                <w:szCs w:val="21"/>
              </w:rPr>
            </w:pPr>
            <w:r>
              <w:rPr>
                <w:color w:val="auto"/>
                <w:sz w:val="21"/>
                <w:szCs w:val="21"/>
              </w:rPr>
              <w:t>桶装密封</w:t>
            </w:r>
          </w:p>
        </w:tc>
      </w:tr>
      <w:tr w14:paraId="3986FE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78" w:type="pct"/>
            <w:vAlign w:val="center"/>
          </w:tcPr>
          <w:p w14:paraId="7225D607">
            <w:pPr>
              <w:spacing w:line="240" w:lineRule="auto"/>
              <w:ind w:firstLine="0" w:firstLineChars="0"/>
              <w:jc w:val="center"/>
              <w:rPr>
                <w:color w:val="auto"/>
                <w:sz w:val="21"/>
                <w:szCs w:val="21"/>
              </w:rPr>
            </w:pPr>
            <w:r>
              <w:rPr>
                <w:rFonts w:hint="eastAsia"/>
                <w:color w:val="auto"/>
                <w:sz w:val="21"/>
                <w:szCs w:val="21"/>
              </w:rPr>
              <w:t>污泥堆场</w:t>
            </w:r>
          </w:p>
        </w:tc>
        <w:tc>
          <w:tcPr>
            <w:tcW w:w="1526" w:type="pct"/>
            <w:gridSpan w:val="2"/>
            <w:vAlign w:val="center"/>
          </w:tcPr>
          <w:p w14:paraId="3090B1B8">
            <w:pPr>
              <w:spacing w:line="240" w:lineRule="auto"/>
              <w:ind w:firstLine="0" w:firstLineChars="0"/>
              <w:jc w:val="center"/>
              <w:rPr>
                <w:color w:val="auto"/>
                <w:sz w:val="21"/>
                <w:szCs w:val="21"/>
              </w:rPr>
            </w:pPr>
            <w:r>
              <w:rPr>
                <w:rFonts w:hint="eastAsia"/>
                <w:color w:val="auto"/>
                <w:sz w:val="21"/>
                <w:szCs w:val="21"/>
              </w:rPr>
              <w:t>碱回收污泥</w:t>
            </w:r>
          </w:p>
        </w:tc>
        <w:tc>
          <w:tcPr>
            <w:tcW w:w="646" w:type="pct"/>
            <w:shd w:val="clear" w:color="auto" w:fill="auto"/>
            <w:vAlign w:val="center"/>
          </w:tcPr>
          <w:p w14:paraId="39FEBE54">
            <w:pPr>
              <w:spacing w:line="240" w:lineRule="auto"/>
              <w:ind w:firstLine="0" w:firstLineChars="0"/>
              <w:jc w:val="center"/>
              <w:rPr>
                <w:color w:val="auto"/>
                <w:sz w:val="21"/>
                <w:szCs w:val="21"/>
              </w:rPr>
            </w:pPr>
            <w:r>
              <w:rPr>
                <w:rFonts w:hint="eastAsia"/>
                <w:color w:val="auto"/>
                <w:sz w:val="21"/>
                <w:szCs w:val="21"/>
              </w:rPr>
              <w:t>HW49</w:t>
            </w:r>
          </w:p>
        </w:tc>
        <w:tc>
          <w:tcPr>
            <w:tcW w:w="780" w:type="pct"/>
            <w:shd w:val="clear" w:color="auto" w:fill="auto"/>
            <w:vAlign w:val="center"/>
          </w:tcPr>
          <w:p w14:paraId="7CD87839">
            <w:pPr>
              <w:spacing w:line="240" w:lineRule="auto"/>
              <w:ind w:firstLine="0" w:firstLineChars="0"/>
              <w:jc w:val="center"/>
              <w:rPr>
                <w:color w:val="auto"/>
                <w:sz w:val="21"/>
                <w:szCs w:val="21"/>
              </w:rPr>
            </w:pPr>
            <w:r>
              <w:rPr>
                <w:rFonts w:hint="eastAsia"/>
                <w:color w:val="auto"/>
                <w:sz w:val="21"/>
                <w:szCs w:val="21"/>
              </w:rPr>
              <w:t>900-047-49</w:t>
            </w:r>
          </w:p>
        </w:tc>
        <w:tc>
          <w:tcPr>
            <w:tcW w:w="526" w:type="pct"/>
            <w:vAlign w:val="center"/>
          </w:tcPr>
          <w:p w14:paraId="17892F80">
            <w:pPr>
              <w:spacing w:line="240" w:lineRule="auto"/>
              <w:ind w:firstLine="0" w:firstLineChars="0"/>
              <w:jc w:val="center"/>
              <w:rPr>
                <w:color w:val="auto"/>
                <w:sz w:val="21"/>
                <w:szCs w:val="21"/>
              </w:rPr>
            </w:pPr>
            <w:r>
              <w:rPr>
                <w:rFonts w:hint="eastAsia"/>
                <w:color w:val="auto"/>
                <w:sz w:val="21"/>
                <w:szCs w:val="21"/>
              </w:rPr>
              <w:t>阳极氧化车间旁</w:t>
            </w:r>
          </w:p>
        </w:tc>
        <w:tc>
          <w:tcPr>
            <w:tcW w:w="315" w:type="pct"/>
            <w:vAlign w:val="center"/>
          </w:tcPr>
          <w:p w14:paraId="04F000AB">
            <w:pPr>
              <w:spacing w:line="240" w:lineRule="auto"/>
              <w:ind w:firstLine="0" w:firstLineChars="0"/>
              <w:jc w:val="center"/>
              <w:rPr>
                <w:color w:val="auto"/>
                <w:sz w:val="21"/>
                <w:szCs w:val="21"/>
              </w:rPr>
            </w:pPr>
            <w:r>
              <w:rPr>
                <w:rFonts w:hint="eastAsia"/>
                <w:color w:val="auto"/>
                <w:sz w:val="21"/>
                <w:szCs w:val="21"/>
              </w:rPr>
              <w:t>135</w:t>
            </w:r>
            <w:r>
              <w:rPr>
                <w:color w:val="auto"/>
                <w:sz w:val="21"/>
                <w:szCs w:val="21"/>
              </w:rPr>
              <w:t>m</w:t>
            </w:r>
            <w:r>
              <w:rPr>
                <w:color w:val="auto"/>
                <w:sz w:val="21"/>
                <w:szCs w:val="21"/>
                <w:vertAlign w:val="superscript"/>
              </w:rPr>
              <w:t>2</w:t>
            </w:r>
          </w:p>
        </w:tc>
        <w:tc>
          <w:tcPr>
            <w:tcW w:w="825" w:type="pct"/>
            <w:vAlign w:val="center"/>
          </w:tcPr>
          <w:p w14:paraId="06565852">
            <w:pPr>
              <w:spacing w:line="240" w:lineRule="auto"/>
              <w:ind w:firstLine="0" w:firstLineChars="0"/>
              <w:jc w:val="center"/>
              <w:rPr>
                <w:color w:val="auto"/>
                <w:sz w:val="21"/>
                <w:szCs w:val="21"/>
              </w:rPr>
            </w:pPr>
            <w:r>
              <w:rPr>
                <w:color w:val="auto"/>
                <w:sz w:val="21"/>
                <w:szCs w:val="21"/>
              </w:rPr>
              <w:t>桶装密封</w:t>
            </w:r>
          </w:p>
        </w:tc>
      </w:tr>
    </w:tbl>
    <w:p w14:paraId="0ACF341E">
      <w:pPr>
        <w:pStyle w:val="1356"/>
        <w:ind w:firstLine="480"/>
        <w:rPr>
          <w:color w:val="auto"/>
        </w:rPr>
      </w:pPr>
      <w:r>
        <w:rPr>
          <w:color w:val="auto"/>
        </w:rPr>
        <w:t>危险废物应尽快送往委托单位处理，不宜存放过长时间，确需暂存的，应做到以下几点：</w:t>
      </w:r>
    </w:p>
    <w:p w14:paraId="4A0F225D">
      <w:pPr>
        <w:pStyle w:val="1356"/>
        <w:ind w:firstLine="480"/>
        <w:rPr>
          <w:color w:val="auto"/>
        </w:rPr>
      </w:pPr>
      <w:r>
        <w:rPr>
          <w:color w:val="auto"/>
        </w:rPr>
        <w:t>①贮存场所应符合《危险废物贮存污染控制标准》（GB18597-2023）</w:t>
      </w:r>
      <w:r>
        <w:rPr>
          <w:rFonts w:hint="eastAsia"/>
          <w:color w:val="auto"/>
        </w:rPr>
        <w:t>、《危险废物识别标志设置技术规范》（HJ1276-2022）等</w:t>
      </w:r>
      <w:r>
        <w:rPr>
          <w:color w:val="auto"/>
        </w:rPr>
        <w:t>规定的贮存设施污染控制标准，有符合要求的专用标志。</w:t>
      </w:r>
    </w:p>
    <w:p w14:paraId="41A61DDB">
      <w:pPr>
        <w:pStyle w:val="1356"/>
        <w:ind w:firstLine="480"/>
        <w:rPr>
          <w:color w:val="auto"/>
        </w:rPr>
      </w:pPr>
      <w:r>
        <w:rPr>
          <w:color w:val="auto"/>
        </w:rPr>
        <w:t>②贮存区内禁止混放不相容危险废物。</w:t>
      </w:r>
    </w:p>
    <w:p w14:paraId="1CD42CC2">
      <w:pPr>
        <w:pStyle w:val="1356"/>
        <w:ind w:firstLine="480"/>
        <w:rPr>
          <w:color w:val="auto"/>
        </w:rPr>
      </w:pPr>
      <w:r>
        <w:rPr>
          <w:color w:val="auto"/>
        </w:rPr>
        <w:t>③贮存区考虑相应的集排水和防渗设施。</w:t>
      </w:r>
    </w:p>
    <w:p w14:paraId="12C5CBEC">
      <w:pPr>
        <w:pStyle w:val="1356"/>
        <w:ind w:firstLine="480"/>
        <w:rPr>
          <w:color w:val="auto"/>
        </w:rPr>
      </w:pPr>
      <w:r>
        <w:rPr>
          <w:color w:val="auto"/>
        </w:rPr>
        <w:t>④贮存区符合消防要求。</w:t>
      </w:r>
    </w:p>
    <w:p w14:paraId="492CCE1D">
      <w:pPr>
        <w:pStyle w:val="1356"/>
        <w:ind w:firstLine="480"/>
        <w:rPr>
          <w:color w:val="auto"/>
        </w:rPr>
      </w:pPr>
      <w:r>
        <w:rPr>
          <w:color w:val="auto"/>
        </w:rPr>
        <w:t>⑤贮存的危险废物直接接触地面的应进行基础防渗，防渗层为至少 1m 厚黏土层（渗透系数≤10</w:t>
      </w:r>
      <w:r>
        <w:rPr>
          <w:color w:val="auto"/>
          <w:vertAlign w:val="superscript"/>
        </w:rPr>
        <w:t>-7</w:t>
      </w:r>
      <w:r>
        <w:rPr>
          <w:color w:val="auto"/>
        </w:rPr>
        <w:t>cm/s），或至少2mm厚高密度聚乙烯膜等人工防渗材料（渗透系数≤10</w:t>
      </w:r>
      <w:r>
        <w:rPr>
          <w:color w:val="auto"/>
          <w:vertAlign w:val="superscript"/>
        </w:rPr>
        <w:t>-10</w:t>
      </w:r>
      <w:r>
        <w:rPr>
          <w:color w:val="auto"/>
        </w:rPr>
        <w:t>cm/s），或其他防渗性能等效的材料。</w:t>
      </w:r>
    </w:p>
    <w:p w14:paraId="56EBFCE9">
      <w:pPr>
        <w:pStyle w:val="1356"/>
        <w:ind w:firstLine="480"/>
        <w:rPr>
          <w:color w:val="auto"/>
        </w:rPr>
      </w:pPr>
      <w:r>
        <w:rPr>
          <w:rFonts w:hint="eastAsia"/>
          <w:color w:val="auto"/>
        </w:rPr>
        <w:t>危险废物识别标志规范化设置要求见表6.2.4-3。</w:t>
      </w:r>
    </w:p>
    <w:p w14:paraId="36525056">
      <w:pPr>
        <w:pStyle w:val="1356"/>
        <w:spacing w:line="240" w:lineRule="auto"/>
        <w:ind w:firstLine="0" w:firstLineChars="0"/>
        <w:jc w:val="center"/>
        <w:rPr>
          <w:b/>
          <w:bCs/>
          <w:color w:val="auto"/>
        </w:rPr>
      </w:pPr>
      <w:r>
        <w:rPr>
          <w:b/>
          <w:bCs/>
          <w:color w:val="auto"/>
        </w:rPr>
        <w:t>表</w:t>
      </w:r>
      <w:r>
        <w:rPr>
          <w:rFonts w:hint="eastAsia"/>
          <w:b/>
          <w:bCs/>
          <w:color w:val="auto"/>
        </w:rPr>
        <w:t>6.2.4-3</w:t>
      </w:r>
      <w:r>
        <w:rPr>
          <w:b/>
          <w:bCs/>
          <w:color w:val="auto"/>
        </w:rPr>
        <w:t xml:space="preserve">  危险废物识别标志规范化设置要求</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43"/>
        <w:gridCol w:w="7217"/>
      </w:tblGrid>
      <w:tr w14:paraId="54450D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14:paraId="0EE0B6FB">
            <w:pPr>
              <w:pStyle w:val="1356"/>
              <w:widowControl w:val="0"/>
              <w:spacing w:line="240" w:lineRule="auto"/>
              <w:ind w:firstLine="0" w:firstLineChars="0"/>
              <w:jc w:val="center"/>
              <w:rPr>
                <w:b/>
                <w:bCs/>
                <w:color w:val="auto"/>
                <w:sz w:val="21"/>
                <w:szCs w:val="22"/>
              </w:rPr>
            </w:pPr>
            <w:r>
              <w:rPr>
                <w:b/>
                <w:bCs/>
                <w:color w:val="auto"/>
                <w:sz w:val="21"/>
                <w:szCs w:val="22"/>
              </w:rPr>
              <w:t>标识名称</w:t>
            </w:r>
          </w:p>
        </w:tc>
        <w:tc>
          <w:tcPr>
            <w:tcW w:w="7217" w:type="dxa"/>
            <w:vAlign w:val="center"/>
          </w:tcPr>
          <w:p w14:paraId="5DD87673">
            <w:pPr>
              <w:pStyle w:val="1356"/>
              <w:widowControl w:val="0"/>
              <w:spacing w:line="240" w:lineRule="auto"/>
              <w:ind w:firstLine="0" w:firstLineChars="0"/>
              <w:jc w:val="center"/>
              <w:rPr>
                <w:b/>
                <w:bCs/>
                <w:color w:val="auto"/>
                <w:sz w:val="21"/>
                <w:szCs w:val="22"/>
              </w:rPr>
            </w:pPr>
            <w:r>
              <w:rPr>
                <w:b/>
                <w:bCs/>
                <w:color w:val="auto"/>
                <w:sz w:val="21"/>
                <w:szCs w:val="22"/>
              </w:rPr>
              <w:t>示意图</w:t>
            </w:r>
          </w:p>
        </w:tc>
      </w:tr>
      <w:tr w14:paraId="058424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14:paraId="78283931">
            <w:pPr>
              <w:pStyle w:val="1356"/>
              <w:widowControl w:val="0"/>
              <w:spacing w:line="240" w:lineRule="auto"/>
              <w:ind w:firstLine="0" w:firstLineChars="0"/>
              <w:jc w:val="center"/>
              <w:rPr>
                <w:color w:val="auto"/>
                <w:sz w:val="21"/>
                <w:szCs w:val="22"/>
              </w:rPr>
            </w:pPr>
            <w:r>
              <w:rPr>
                <w:color w:val="auto"/>
                <w:sz w:val="21"/>
                <w:szCs w:val="22"/>
              </w:rPr>
              <w:t>危险废物标签的样式</w:t>
            </w:r>
          </w:p>
        </w:tc>
        <w:tc>
          <w:tcPr>
            <w:tcW w:w="7217" w:type="dxa"/>
            <w:vAlign w:val="center"/>
          </w:tcPr>
          <w:p w14:paraId="3A2701FD">
            <w:pPr>
              <w:pStyle w:val="1356"/>
              <w:widowControl w:val="0"/>
              <w:spacing w:line="240" w:lineRule="auto"/>
              <w:ind w:firstLine="0" w:firstLineChars="0"/>
              <w:jc w:val="center"/>
              <w:rPr>
                <w:color w:val="auto"/>
                <w:sz w:val="21"/>
                <w:szCs w:val="22"/>
              </w:rPr>
            </w:pPr>
            <w:r>
              <w:rPr>
                <w:color w:val="auto"/>
                <w:sz w:val="21"/>
                <w:szCs w:val="22"/>
              </w:rPr>
              <w:drawing>
                <wp:inline distT="0" distB="0" distL="0" distR="0">
                  <wp:extent cx="1957070" cy="1953260"/>
                  <wp:effectExtent l="0" t="0" r="5080" b="8890"/>
                  <wp:docPr id="914063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3696"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57070" cy="1953260"/>
                          </a:xfrm>
                          <a:prstGeom prst="rect">
                            <a:avLst/>
                          </a:prstGeom>
                          <a:noFill/>
                          <a:ln>
                            <a:noFill/>
                          </a:ln>
                        </pic:spPr>
                      </pic:pic>
                    </a:graphicData>
                  </a:graphic>
                </wp:inline>
              </w:drawing>
            </w:r>
          </w:p>
        </w:tc>
      </w:tr>
      <w:tr w14:paraId="3AB5A8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14:paraId="3967B1BB">
            <w:pPr>
              <w:pStyle w:val="1356"/>
              <w:widowControl w:val="0"/>
              <w:spacing w:line="240" w:lineRule="auto"/>
              <w:ind w:firstLine="0" w:firstLineChars="0"/>
              <w:jc w:val="center"/>
              <w:rPr>
                <w:color w:val="auto"/>
                <w:sz w:val="21"/>
                <w:szCs w:val="22"/>
              </w:rPr>
            </w:pPr>
            <w:r>
              <w:rPr>
                <w:color w:val="auto"/>
                <w:sz w:val="21"/>
                <w:szCs w:val="22"/>
              </w:rPr>
              <w:t>危险废物贮存分区标志的样式</w:t>
            </w:r>
          </w:p>
        </w:tc>
        <w:tc>
          <w:tcPr>
            <w:tcW w:w="7217" w:type="dxa"/>
            <w:vAlign w:val="center"/>
          </w:tcPr>
          <w:p w14:paraId="5A1A36D0">
            <w:pPr>
              <w:pStyle w:val="1356"/>
              <w:widowControl w:val="0"/>
              <w:spacing w:line="240" w:lineRule="auto"/>
              <w:ind w:firstLine="0" w:firstLineChars="0"/>
              <w:jc w:val="center"/>
              <w:rPr>
                <w:color w:val="auto"/>
                <w:sz w:val="21"/>
                <w:szCs w:val="22"/>
              </w:rPr>
            </w:pPr>
            <w:r>
              <w:rPr>
                <w:color w:val="auto"/>
                <w:sz w:val="21"/>
                <w:szCs w:val="22"/>
              </w:rPr>
              <w:drawing>
                <wp:inline distT="0" distB="0" distL="0" distR="0">
                  <wp:extent cx="2153920" cy="1799590"/>
                  <wp:effectExtent l="0" t="0" r="17780" b="10160"/>
                  <wp:docPr id="5960333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33397"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54013" cy="1800000"/>
                          </a:xfrm>
                          <a:prstGeom prst="rect">
                            <a:avLst/>
                          </a:prstGeom>
                          <a:noFill/>
                          <a:ln>
                            <a:noFill/>
                          </a:ln>
                        </pic:spPr>
                      </pic:pic>
                    </a:graphicData>
                  </a:graphic>
                </wp:inline>
              </w:drawing>
            </w:r>
          </w:p>
        </w:tc>
      </w:tr>
      <w:tr w14:paraId="3BA741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43" w:type="dxa"/>
            <w:vAlign w:val="center"/>
          </w:tcPr>
          <w:p w14:paraId="66054FAE">
            <w:pPr>
              <w:pStyle w:val="1356"/>
              <w:widowControl w:val="0"/>
              <w:spacing w:line="240" w:lineRule="auto"/>
              <w:ind w:firstLine="0" w:firstLineChars="0"/>
              <w:jc w:val="center"/>
              <w:rPr>
                <w:color w:val="auto"/>
                <w:sz w:val="21"/>
                <w:szCs w:val="22"/>
              </w:rPr>
            </w:pPr>
            <w:r>
              <w:rPr>
                <w:color w:val="auto"/>
                <w:sz w:val="21"/>
                <w:szCs w:val="22"/>
              </w:rPr>
              <w:t>危险废物贮存设施标志的样式</w:t>
            </w:r>
          </w:p>
        </w:tc>
        <w:tc>
          <w:tcPr>
            <w:tcW w:w="7217" w:type="dxa"/>
            <w:vAlign w:val="center"/>
          </w:tcPr>
          <w:p w14:paraId="74CEC6A3">
            <w:pPr>
              <w:pStyle w:val="1356"/>
              <w:widowControl w:val="0"/>
              <w:spacing w:line="240" w:lineRule="auto"/>
              <w:ind w:firstLine="0" w:firstLineChars="0"/>
              <w:jc w:val="center"/>
              <w:rPr>
                <w:color w:val="auto"/>
                <w:sz w:val="21"/>
                <w:szCs w:val="22"/>
              </w:rPr>
            </w:pPr>
            <w:r>
              <w:rPr>
                <w:color w:val="auto"/>
                <w:sz w:val="21"/>
                <w:szCs w:val="22"/>
              </w:rPr>
              <w:drawing>
                <wp:inline distT="0" distB="0" distL="0" distR="0">
                  <wp:extent cx="2440940" cy="1537335"/>
                  <wp:effectExtent l="0" t="0" r="16510" b="5715"/>
                  <wp:docPr id="11101394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39484"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57140" cy="1547571"/>
                          </a:xfrm>
                          <a:prstGeom prst="rect">
                            <a:avLst/>
                          </a:prstGeom>
                          <a:noFill/>
                          <a:ln>
                            <a:noFill/>
                          </a:ln>
                        </pic:spPr>
                      </pic:pic>
                    </a:graphicData>
                  </a:graphic>
                </wp:inline>
              </w:drawing>
            </w:r>
            <w:r>
              <w:rPr>
                <w:color w:val="auto"/>
                <w:sz w:val="21"/>
                <w:szCs w:val="22"/>
              </w:rPr>
              <w:drawing>
                <wp:inline distT="0" distB="0" distL="0" distR="0">
                  <wp:extent cx="1088390" cy="1709420"/>
                  <wp:effectExtent l="0" t="0" r="16510" b="5080"/>
                  <wp:docPr id="34669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9462" name="图片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96696" cy="1721617"/>
                          </a:xfrm>
                          <a:prstGeom prst="rect">
                            <a:avLst/>
                          </a:prstGeom>
                          <a:noFill/>
                          <a:ln>
                            <a:noFill/>
                          </a:ln>
                        </pic:spPr>
                      </pic:pic>
                    </a:graphicData>
                  </a:graphic>
                </wp:inline>
              </w:drawing>
            </w:r>
          </w:p>
        </w:tc>
      </w:tr>
    </w:tbl>
    <w:p w14:paraId="1A93D5DA">
      <w:pPr>
        <w:spacing w:before="120" w:beforeLines="50"/>
        <w:ind w:firstLine="0" w:firstLineChars="0"/>
        <w:jc w:val="left"/>
        <w:outlineLvl w:val="3"/>
        <w:rPr>
          <w:b/>
          <w:color w:val="auto"/>
        </w:rPr>
      </w:pPr>
      <w:r>
        <w:rPr>
          <w:rFonts w:hint="eastAsia"/>
          <w:b/>
          <w:color w:val="auto"/>
        </w:rPr>
        <w:t>6</w:t>
      </w:r>
      <w:r>
        <w:rPr>
          <w:b/>
          <w:color w:val="auto"/>
        </w:rPr>
        <w:t>.2.4.</w:t>
      </w:r>
      <w:r>
        <w:rPr>
          <w:rFonts w:hint="eastAsia"/>
          <w:b/>
          <w:color w:val="auto"/>
        </w:rPr>
        <w:t>3</w:t>
      </w:r>
      <w:r>
        <w:rPr>
          <w:b/>
          <w:color w:val="auto"/>
        </w:rPr>
        <w:t xml:space="preserve"> 危险废物</w:t>
      </w:r>
      <w:r>
        <w:rPr>
          <w:rFonts w:hint="eastAsia"/>
          <w:b/>
          <w:color w:val="auto"/>
        </w:rPr>
        <w:t>运输</w:t>
      </w:r>
      <w:r>
        <w:rPr>
          <w:b/>
          <w:color w:val="auto"/>
        </w:rPr>
        <w:t>环境影响分析</w:t>
      </w:r>
    </w:p>
    <w:p w14:paraId="347FBC27">
      <w:pPr>
        <w:ind w:firstLine="480"/>
        <w:rPr>
          <w:color w:val="auto"/>
        </w:rPr>
      </w:pPr>
      <w:r>
        <w:rPr>
          <w:color w:val="auto"/>
        </w:rPr>
        <w:t>建设项目严格执行《危险废物收集贮存运输技术规范》（HJ2025-2012），危险废物转移前向环保主管部门报批危险废物转移计划，经批准后，向环保主管部门申请领取联单，并在转移前三日内报告移出地环境保护行政主管部门，并同时将预期到达时间报告接受地环境保护行政主管部门。</w:t>
      </w:r>
    </w:p>
    <w:p w14:paraId="2361E13D">
      <w:pPr>
        <w:ind w:firstLine="480"/>
        <w:rPr>
          <w:color w:val="auto"/>
        </w:rPr>
      </w:pPr>
      <w:r>
        <w:rPr>
          <w:color w:val="auto"/>
        </w:rPr>
        <w:t>项目运营期产生的危险废物在收集、运输过程将对环境造成一定的影响。</w:t>
      </w:r>
    </w:p>
    <w:p w14:paraId="7D0A960E">
      <w:pPr>
        <w:ind w:firstLine="482"/>
        <w:rPr>
          <w:b/>
          <w:bCs/>
          <w:color w:val="auto"/>
        </w:rPr>
      </w:pPr>
      <w:r>
        <w:rPr>
          <w:b/>
          <w:bCs/>
          <w:color w:val="auto"/>
        </w:rPr>
        <w:t>1、噪声影响</w:t>
      </w:r>
    </w:p>
    <w:p w14:paraId="1A2BA06F">
      <w:pPr>
        <w:ind w:firstLine="480"/>
        <w:rPr>
          <w:color w:val="auto"/>
        </w:rPr>
      </w:pPr>
      <w:r>
        <w:rPr>
          <w:color w:val="auto"/>
        </w:rPr>
        <w:t>项目危废在运输过程中，运输车辆将对环境造成一定的噪声影响，但一方面本项目危废是不定期地进行运输，不会对环境造成持续频发的噪声污染；另一方面本项目危废运输过程中运输车辆产生的噪声较小，对环境造成的影响也很小。</w:t>
      </w:r>
    </w:p>
    <w:p w14:paraId="16B673DB">
      <w:pPr>
        <w:ind w:firstLine="482"/>
        <w:rPr>
          <w:b/>
          <w:bCs/>
          <w:color w:val="auto"/>
        </w:rPr>
      </w:pPr>
      <w:r>
        <w:rPr>
          <w:b/>
          <w:bCs/>
          <w:color w:val="auto"/>
        </w:rPr>
        <w:t>2、气味影响</w:t>
      </w:r>
    </w:p>
    <w:p w14:paraId="70874E81">
      <w:pPr>
        <w:ind w:firstLine="480"/>
        <w:rPr>
          <w:color w:val="auto"/>
        </w:rPr>
      </w:pPr>
      <w:r>
        <w:rPr>
          <w:color w:val="auto"/>
        </w:rPr>
        <w:t>项目危废在运输的过程中，可能对环境造成一定的气味影响，因此，外运危废在运输过程中需采用密闭容器或密封式运输车辆，运输过程中基本可以控制运输车辆的气味</w:t>
      </w:r>
      <w:r>
        <w:rPr>
          <w:rFonts w:hint="eastAsia"/>
          <w:color w:val="auto"/>
        </w:rPr>
        <w:t>泄漏</w:t>
      </w:r>
      <w:r>
        <w:rPr>
          <w:color w:val="auto"/>
        </w:rPr>
        <w:t>问题。</w:t>
      </w:r>
    </w:p>
    <w:p w14:paraId="11DBA2AD">
      <w:pPr>
        <w:ind w:firstLine="482"/>
        <w:rPr>
          <w:b/>
          <w:bCs/>
          <w:color w:val="auto"/>
        </w:rPr>
      </w:pPr>
      <w:r>
        <w:rPr>
          <w:b/>
          <w:bCs/>
          <w:color w:val="auto"/>
        </w:rPr>
        <w:t>3、沿途散落影响</w:t>
      </w:r>
    </w:p>
    <w:p w14:paraId="31FC8B69">
      <w:pPr>
        <w:ind w:firstLine="480"/>
        <w:rPr>
          <w:color w:val="auto"/>
        </w:rPr>
      </w:pPr>
      <w:r>
        <w:rPr>
          <w:color w:val="auto"/>
        </w:rPr>
        <w:t>在车辆密封良好的情况下，全厂项目产生的危废在运输过程中可有效控制废物泄漏，对车辆所经过的道路两旁水体水质影响不大。但若运输车辆出现沿路洒漏，则会因雨水冲刷路面而对附近水体造成污染。因此，建设单位和废物运输单位要严格按照要求进行包装和运输过程管理，确保运输过程中不发生洒漏。</w:t>
      </w:r>
    </w:p>
    <w:p w14:paraId="407CF657">
      <w:pPr>
        <w:ind w:firstLine="480"/>
        <w:rPr>
          <w:color w:val="auto"/>
        </w:rPr>
      </w:pPr>
      <w:r>
        <w:rPr>
          <w:color w:val="auto"/>
        </w:rPr>
        <w:t>同时项目危险废物委托有危险品运输资质单位承担运输业务，并要求承运方按照危险货物运输管理规定进行运输，协助承运单位制定事故应急预案，以保证在运输过程中能减少和防止环境污染。</w:t>
      </w:r>
    </w:p>
    <w:p w14:paraId="15032E1E">
      <w:pPr>
        <w:ind w:firstLine="480"/>
        <w:rPr>
          <w:color w:val="auto"/>
        </w:rPr>
      </w:pPr>
      <w:r>
        <w:rPr>
          <w:color w:val="auto"/>
        </w:rPr>
        <w:t>采取上述措施后，项目拟委托处置的危废在运输过程中对环境基本无影响。</w:t>
      </w:r>
    </w:p>
    <w:p w14:paraId="360CE574">
      <w:pPr>
        <w:spacing w:before="120" w:beforeLines="50"/>
        <w:ind w:firstLine="0" w:firstLineChars="0"/>
        <w:jc w:val="left"/>
        <w:outlineLvl w:val="3"/>
        <w:rPr>
          <w:b/>
          <w:color w:val="auto"/>
        </w:rPr>
      </w:pPr>
      <w:r>
        <w:rPr>
          <w:rFonts w:hint="eastAsia"/>
          <w:b/>
          <w:color w:val="auto"/>
        </w:rPr>
        <w:t>6</w:t>
      </w:r>
      <w:r>
        <w:rPr>
          <w:b/>
          <w:color w:val="auto"/>
        </w:rPr>
        <w:t>.2.4.</w:t>
      </w:r>
      <w:r>
        <w:rPr>
          <w:rFonts w:hint="eastAsia"/>
          <w:b/>
          <w:color w:val="auto"/>
        </w:rPr>
        <w:t>4</w:t>
      </w:r>
      <w:r>
        <w:rPr>
          <w:b/>
          <w:color w:val="auto"/>
        </w:rPr>
        <w:t xml:space="preserve"> </w:t>
      </w:r>
      <w:r>
        <w:rPr>
          <w:rFonts w:hint="eastAsia"/>
          <w:b/>
          <w:color w:val="auto"/>
        </w:rPr>
        <w:t>固废处理处置环境影响分析</w:t>
      </w:r>
    </w:p>
    <w:p w14:paraId="27CB6198">
      <w:pPr>
        <w:ind w:firstLine="480"/>
        <w:rPr>
          <w:color w:val="auto"/>
        </w:rPr>
      </w:pPr>
      <w:r>
        <w:rPr>
          <w:rFonts w:hint="eastAsia"/>
          <w:color w:val="auto"/>
        </w:rPr>
        <w:t>项目生产过程产生的废槽液、酸回收装置产生的废渗析膜及废活性炭、废研磨膏、废试剂瓶、废试剂、废化学品包装材料、废机油、废液压油、废油桶、废劳保用品和碱回收污泥均属于《国家危险废物名录》（2025年版）中规定的危险废物，需按国家有关规定进行转移运输及处置。</w:t>
      </w:r>
    </w:p>
    <w:p w14:paraId="406BBE83">
      <w:pPr>
        <w:ind w:firstLine="480"/>
        <w:rPr>
          <w:color w:val="auto"/>
        </w:rPr>
      </w:pPr>
      <w:r>
        <w:rPr>
          <w:rFonts w:hint="eastAsia"/>
          <w:color w:val="auto"/>
        </w:rPr>
        <w:t>经调查，连云港市范围内可处置HW34的企业有江苏致和再生资源利用有限公司、江苏仁欣环保科技有限公司、连云港绿润环保科技有限公司、光大环保（连云港）废弃物处理有限公司等，可处置HW49的企业有连云港中再钢铁炉料有限公司、光大环保（连云港）固废处置有限公司、连云港市赛科废料处置有限公司、连云港轩瑞环保科技有限公司、中节能（连云港）清洁技术发展有限公司等；可处置HW08的企业有江苏致和再生资源利用有限公司、光大环保（连云港）固废处置有限公司、灌南金圆环保科技有限公司、连云港市赛科废料处置有限公司和连云港轩瑞环保科技有限公司，可满足本项目危废处置。</w:t>
      </w:r>
    </w:p>
    <w:p w14:paraId="00788D92">
      <w:pPr>
        <w:ind w:firstLine="480"/>
        <w:rPr>
          <w:color w:val="auto"/>
        </w:rPr>
      </w:pPr>
      <w:r>
        <w:rPr>
          <w:rFonts w:hint="eastAsia"/>
          <w:color w:val="auto"/>
        </w:rPr>
        <w:t>项目危险废物均委托有资质的单位处理处置。危险废物处理严格落实危险固废转移台账管理，危废仓库采取严格的、科学的防渗措施，并落实去处与相关处理处置单位签订危废处置协议，能实现合理处置零排放，不会产生二次污染，对周边环境影响较小。</w:t>
      </w:r>
    </w:p>
    <w:p w14:paraId="2BDBD5AF">
      <w:pPr>
        <w:spacing w:before="120" w:beforeLines="50"/>
        <w:ind w:firstLine="0" w:firstLineChars="0"/>
        <w:jc w:val="left"/>
        <w:outlineLvl w:val="3"/>
        <w:rPr>
          <w:b/>
          <w:color w:val="auto"/>
        </w:rPr>
      </w:pPr>
      <w:r>
        <w:rPr>
          <w:rFonts w:hint="eastAsia"/>
          <w:b/>
          <w:color w:val="auto"/>
        </w:rPr>
        <w:t>6.2.4.5 一般工业固体废物、生活垃圾环境影响分析</w:t>
      </w:r>
    </w:p>
    <w:p w14:paraId="2BA16488">
      <w:pPr>
        <w:ind w:firstLine="480"/>
        <w:rPr>
          <w:color w:val="auto"/>
        </w:rPr>
      </w:pPr>
      <w:r>
        <w:rPr>
          <w:rFonts w:hint="eastAsia"/>
          <w:color w:val="auto"/>
        </w:rPr>
        <w:t>本项目产生的一般固体废物有废边角料、废钢丸、纯水制备废过滤介质、纯水制备废活性炭、纯水制备软化树脂、除尘渣、生活垃圾。在运输过程中，对固体废物在运输过程中发生泄漏的物体及时收集，送至委托公司进行处理或进行利用。在固体废物的收集与运输过程中，在对运行车辆进行封闭性包装、采用专用的运输车辆运输、选择固定运输路线情况下，可有效防止固体废物的</w:t>
      </w:r>
      <w:r>
        <w:rPr>
          <w:rFonts w:hint="eastAsia"/>
          <w:color w:val="auto"/>
          <w:lang w:eastAsia="zh-CN"/>
        </w:rPr>
        <w:t>泄漏</w:t>
      </w:r>
      <w:r>
        <w:rPr>
          <w:rFonts w:hint="eastAsia"/>
          <w:color w:val="auto"/>
        </w:rPr>
        <w:t>。</w:t>
      </w:r>
    </w:p>
    <w:p w14:paraId="699A7F19">
      <w:pPr>
        <w:ind w:firstLine="480"/>
        <w:rPr>
          <w:color w:val="auto"/>
        </w:rPr>
      </w:pPr>
      <w:r>
        <w:rPr>
          <w:rFonts w:hint="eastAsia"/>
          <w:color w:val="auto"/>
        </w:rPr>
        <w:t>项目一般固废库房在做好防渗漏、防雨淋、防扬尘的情况下可有效防止贮存区内物体对环境空气、土壤及地下水的污染。</w:t>
      </w:r>
    </w:p>
    <w:p w14:paraId="670AC16D">
      <w:pPr>
        <w:ind w:firstLine="480"/>
        <w:rPr>
          <w:color w:val="auto"/>
        </w:rPr>
      </w:pPr>
      <w:r>
        <w:rPr>
          <w:rFonts w:hint="eastAsia"/>
          <w:color w:val="auto"/>
        </w:rPr>
        <w:t>因此，项目一般固体废物、生活垃圾运输途中及贮存区基本不会对项目周围环境造成明显的不良影响。</w:t>
      </w:r>
    </w:p>
    <w:p w14:paraId="22AB64F1">
      <w:pPr>
        <w:keepNext/>
        <w:keepLines/>
        <w:spacing w:before="24" w:beforeLines="10"/>
        <w:ind w:firstLine="0" w:firstLineChars="0"/>
        <w:outlineLvl w:val="2"/>
        <w:rPr>
          <w:b/>
          <w:bCs/>
          <w:color w:val="auto"/>
          <w:sz w:val="28"/>
          <w:szCs w:val="36"/>
        </w:rPr>
      </w:pPr>
      <w:r>
        <w:rPr>
          <w:rFonts w:hint="eastAsia"/>
          <w:b/>
          <w:bCs/>
          <w:color w:val="auto"/>
          <w:sz w:val="28"/>
          <w:szCs w:val="36"/>
        </w:rPr>
        <w:t>6</w:t>
      </w:r>
      <w:r>
        <w:rPr>
          <w:b/>
          <w:bCs/>
          <w:color w:val="auto"/>
          <w:sz w:val="28"/>
          <w:szCs w:val="36"/>
        </w:rPr>
        <w:t>.2.5 地下水环境影响</w:t>
      </w:r>
      <w:bookmarkEnd w:id="138"/>
      <w:r>
        <w:rPr>
          <w:rFonts w:hint="eastAsia"/>
          <w:b/>
          <w:bCs/>
          <w:color w:val="auto"/>
          <w:sz w:val="28"/>
          <w:szCs w:val="36"/>
        </w:rPr>
        <w:t>分析</w:t>
      </w:r>
    </w:p>
    <w:bookmarkEnd w:id="139"/>
    <w:p w14:paraId="244C2C12">
      <w:pPr>
        <w:pStyle w:val="1356"/>
        <w:widowControl w:val="0"/>
        <w:ind w:firstLine="480"/>
        <w:rPr>
          <w:color w:val="auto"/>
        </w:rPr>
      </w:pPr>
      <w:r>
        <w:rPr>
          <w:rFonts w:hint="eastAsia"/>
          <w:color w:val="auto"/>
        </w:rPr>
        <w:t>本项目位于连云港经济技术开发区临港产业区西北片区内，</w:t>
      </w:r>
      <w:r>
        <w:rPr>
          <w:color w:val="auto"/>
        </w:rPr>
        <w:t>根据《环境影响评价技术导则地下水环境》（HJ610-2016），结合区域地下水环境敏感程度，本项目地下水评价工作等级为</w:t>
      </w:r>
      <w:r>
        <w:rPr>
          <w:rFonts w:hint="eastAsia"/>
          <w:color w:val="auto"/>
        </w:rPr>
        <w:t>二</w:t>
      </w:r>
      <w:r>
        <w:rPr>
          <w:color w:val="auto"/>
        </w:rPr>
        <w:t>级。</w:t>
      </w:r>
      <w:r>
        <w:rPr>
          <w:rFonts w:hint="eastAsia"/>
          <w:color w:val="auto"/>
        </w:rPr>
        <w:t>根据项目周边环境概况，结合地下水环境风险评价，评价范围为项目周边6km</w:t>
      </w:r>
      <w:r>
        <w:rPr>
          <w:rFonts w:hint="eastAsia"/>
          <w:color w:val="auto"/>
          <w:vertAlign w:val="superscript"/>
        </w:rPr>
        <w:t>2</w:t>
      </w:r>
      <w:r>
        <w:rPr>
          <w:rFonts w:hint="eastAsia"/>
          <w:color w:val="auto"/>
        </w:rPr>
        <w:t>。</w:t>
      </w:r>
    </w:p>
    <w:p w14:paraId="19438310">
      <w:pPr>
        <w:pStyle w:val="1356"/>
        <w:widowControl w:val="0"/>
        <w:ind w:firstLine="480"/>
        <w:rPr>
          <w:color w:val="auto"/>
        </w:rPr>
      </w:pPr>
      <w:r>
        <w:rPr>
          <w:color w:val="auto"/>
        </w:rPr>
        <w:t>2016年5月江苏连云港地质工程勘察院在区域开展了水文地质勘察工作，地勘范围包括宋跳开发区、大浦工业区、临港产业区（临港产业区西北片区）在内的水文地质单元，东西长约4</w:t>
      </w:r>
      <w:r>
        <w:rPr>
          <w:rFonts w:hint="eastAsia"/>
          <w:color w:val="auto"/>
        </w:rPr>
        <w:t>—</w:t>
      </w:r>
      <w:r>
        <w:rPr>
          <w:color w:val="auto"/>
        </w:rPr>
        <w:t>7km，南北长约11km，总面积60km</w:t>
      </w:r>
      <w:r>
        <w:rPr>
          <w:color w:val="auto"/>
          <w:vertAlign w:val="superscript"/>
        </w:rPr>
        <w:t>2</w:t>
      </w:r>
      <w:r>
        <w:rPr>
          <w:color w:val="auto"/>
        </w:rPr>
        <w:t>，具体调查范围：西至临洪河、大浦河，东至东盐河、排淡河、大浦河入海水道（大浦河调尾工程），南至宋跳河，北至大港路</w:t>
      </w:r>
      <w:r>
        <w:rPr>
          <w:rFonts w:hint="eastAsia"/>
          <w:color w:val="auto"/>
        </w:rPr>
        <w:t>。</w:t>
      </w:r>
    </w:p>
    <w:p w14:paraId="4E07AC17">
      <w:pPr>
        <w:spacing w:before="120" w:beforeLines="50"/>
        <w:ind w:firstLine="0" w:firstLineChars="0"/>
        <w:jc w:val="left"/>
        <w:outlineLvl w:val="3"/>
        <w:rPr>
          <w:b/>
          <w:color w:val="auto"/>
        </w:rPr>
      </w:pPr>
      <w:r>
        <w:rPr>
          <w:rFonts w:hint="eastAsia"/>
          <w:b/>
          <w:color w:val="auto"/>
        </w:rPr>
        <w:t>6</w:t>
      </w:r>
      <w:r>
        <w:rPr>
          <w:b/>
          <w:color w:val="auto"/>
        </w:rPr>
        <w:t>.2.</w:t>
      </w:r>
      <w:r>
        <w:rPr>
          <w:rFonts w:hint="eastAsia"/>
          <w:b/>
          <w:color w:val="auto"/>
        </w:rPr>
        <w:t>5</w:t>
      </w:r>
      <w:r>
        <w:rPr>
          <w:b/>
          <w:color w:val="auto"/>
        </w:rPr>
        <w:t>.</w:t>
      </w:r>
      <w:r>
        <w:rPr>
          <w:rFonts w:hint="eastAsia"/>
          <w:b/>
          <w:color w:val="auto"/>
        </w:rPr>
        <w:t>1</w:t>
      </w:r>
      <w:r>
        <w:rPr>
          <w:b/>
          <w:color w:val="auto"/>
        </w:rPr>
        <w:t xml:space="preserve"> </w:t>
      </w:r>
      <w:r>
        <w:rPr>
          <w:rFonts w:hint="eastAsia"/>
          <w:b/>
          <w:color w:val="auto"/>
        </w:rPr>
        <w:t>地层岩性</w:t>
      </w:r>
    </w:p>
    <w:p w14:paraId="1761DFCD">
      <w:pPr>
        <w:ind w:firstLine="480"/>
        <w:rPr>
          <w:color w:val="auto"/>
        </w:rPr>
      </w:pPr>
      <w:r>
        <w:rPr>
          <w:color w:val="auto"/>
        </w:rPr>
        <w:t>根据评价区勘察的水文地质钻孔及搜集的代表性钻孔资料，评价区的主要地层岩性如下：</w:t>
      </w:r>
    </w:p>
    <w:p w14:paraId="20D36F1A">
      <w:pPr>
        <w:ind w:firstLine="480"/>
        <w:rPr>
          <w:color w:val="auto"/>
        </w:rPr>
      </w:pPr>
      <w:r>
        <w:rPr>
          <w:rFonts w:hint="eastAsia"/>
          <w:color w:val="auto"/>
        </w:rPr>
        <w:t>（1）</w:t>
      </w:r>
      <w:r>
        <w:rPr>
          <w:color w:val="auto"/>
        </w:rPr>
        <w:t>全新统人工填土（Q4ml）：以灰褐色、灰黄色素填土及杂填土为主，大部分为素填土；</w:t>
      </w:r>
    </w:p>
    <w:p w14:paraId="6A59F1B0">
      <w:pPr>
        <w:ind w:firstLine="480"/>
        <w:rPr>
          <w:color w:val="auto"/>
        </w:rPr>
      </w:pPr>
      <w:r>
        <w:rPr>
          <w:rFonts w:hint="eastAsia"/>
          <w:color w:val="auto"/>
        </w:rPr>
        <w:t>（2）</w:t>
      </w:r>
      <w:r>
        <w:rPr>
          <w:color w:val="auto"/>
        </w:rPr>
        <w:t>全新统冲海积层（Q4al+m）：以灰黄色粘性土及青灰色淤泥为主，局部淤泥层夹粉细砂薄层；</w:t>
      </w:r>
    </w:p>
    <w:p w14:paraId="1799E473">
      <w:pPr>
        <w:ind w:firstLine="480"/>
        <w:rPr>
          <w:color w:val="auto"/>
        </w:rPr>
      </w:pPr>
      <w:r>
        <w:rPr>
          <w:color w:val="auto"/>
        </w:rPr>
        <w:t>⑶上更新统冲洪积层（Q3al+pl）：以粘性土及砂层为主，砂层主要为中细砂；</w:t>
      </w:r>
    </w:p>
    <w:p w14:paraId="05DDDEC1">
      <w:pPr>
        <w:ind w:firstLine="480"/>
        <w:rPr>
          <w:color w:val="auto"/>
        </w:rPr>
      </w:pPr>
      <w:r>
        <w:rPr>
          <w:color w:val="auto"/>
        </w:rPr>
        <w:t>⑷元古界岩层（Pt）：以灰褐色、灰黄色、灰绿色全-强风化片麻岩为主。</w:t>
      </w:r>
    </w:p>
    <w:p w14:paraId="2BB756D3">
      <w:pPr>
        <w:ind w:firstLine="480"/>
        <w:rPr>
          <w:color w:val="auto"/>
        </w:rPr>
      </w:pPr>
      <w:r>
        <w:rPr>
          <w:color w:val="auto"/>
        </w:rPr>
        <w:t>按岩土层的地质时代、成因类型及岩性，将评价区岩土层自上而下划分为10个工程地质层，详细地层如下：</w:t>
      </w:r>
    </w:p>
    <w:p w14:paraId="338AA5C9">
      <w:pPr>
        <w:ind w:firstLine="480"/>
        <w:rPr>
          <w:color w:val="auto"/>
        </w:rPr>
      </w:pPr>
      <w:r>
        <w:rPr>
          <w:color w:val="auto"/>
        </w:rPr>
        <w:t>①层填土（Q4ml）：灰褐色、灰黄色为主，稍湿，松散～稍密，土质不均，主要由粘性土组成，局部为风化岩碎屑、块及少量建筑垃圾（基础）；评价区普遍分布，厚度：0.50～4.20m，平均1.29m；层底埋深：0.50～4.20m，平均1.29m。此层主要为包气带层。</w:t>
      </w:r>
    </w:p>
    <w:p w14:paraId="6906CE48">
      <w:pPr>
        <w:ind w:firstLine="480"/>
        <w:rPr>
          <w:color w:val="auto"/>
        </w:rPr>
      </w:pPr>
      <w:r>
        <w:rPr>
          <w:color w:val="auto"/>
        </w:rPr>
        <w:t>②层粘土（Q4al）：灰黄色，可塑，切面光滑，土质较均，局部含零星铁锰结核；评价区大部分分布，厚度：0.80～2.60m，平均1.71m；层底埋深：2.00～5.00m，平均2.89m。</w:t>
      </w:r>
    </w:p>
    <w:p w14:paraId="45249E30">
      <w:pPr>
        <w:ind w:firstLine="480"/>
        <w:rPr>
          <w:color w:val="auto"/>
        </w:rPr>
      </w:pPr>
      <w:r>
        <w:rPr>
          <w:color w:val="auto"/>
        </w:rPr>
        <w:t>此层上部主要为包气带层，下部为潜水赋水层。</w:t>
      </w:r>
    </w:p>
    <w:p w14:paraId="28D55ED9">
      <w:pPr>
        <w:ind w:firstLine="480"/>
        <w:rPr>
          <w:color w:val="auto"/>
        </w:rPr>
      </w:pPr>
      <w:r>
        <w:rPr>
          <w:color w:val="auto"/>
        </w:rPr>
        <w:t>③层淤泥（Q4m）：青灰色，流塑，土质较均，局部夹粉细砂薄层；评价区普遍分布，厚度：7.60～12.30m，平均9.46m；层底埋深：10.40～14.70m，平均12.38m。此层为潜水</w:t>
      </w:r>
      <w:r>
        <w:rPr>
          <w:rFonts w:hint="eastAsia"/>
          <w:color w:val="auto"/>
        </w:rPr>
        <w:t>富水</w:t>
      </w:r>
      <w:r>
        <w:rPr>
          <w:color w:val="auto"/>
        </w:rPr>
        <w:t>层。</w:t>
      </w:r>
    </w:p>
    <w:p w14:paraId="1CA46248">
      <w:pPr>
        <w:ind w:firstLine="480"/>
        <w:rPr>
          <w:color w:val="auto"/>
        </w:rPr>
      </w:pPr>
      <w:r>
        <w:rPr>
          <w:color w:val="auto"/>
        </w:rPr>
        <w:t>④层粘土（Q3al+pl）：灰黄色，可～硬塑，切面光滑，土质较均，局部夹粉质粘土、砂层，含少量铁锰及钙质结核；评价区普遍分布，厚度：2.60～7.40m，平均4.81m；层底埋深：15.40～19.60m，平均17.31m。此层为隔水层</w:t>
      </w:r>
      <w:r>
        <w:rPr>
          <w:rFonts w:hint="eastAsia"/>
          <w:color w:val="auto"/>
        </w:rPr>
        <w:t>（</w:t>
      </w:r>
      <w:r>
        <w:rPr>
          <w:color w:val="auto"/>
        </w:rPr>
        <w:t>弱透水层</w:t>
      </w:r>
      <w:r>
        <w:rPr>
          <w:rFonts w:hint="eastAsia"/>
          <w:color w:val="auto"/>
        </w:rPr>
        <w:t>）</w:t>
      </w:r>
      <w:r>
        <w:rPr>
          <w:color w:val="auto"/>
        </w:rPr>
        <w:t>。</w:t>
      </w:r>
    </w:p>
    <w:p w14:paraId="695B2784">
      <w:pPr>
        <w:ind w:firstLine="480"/>
        <w:rPr>
          <w:color w:val="auto"/>
        </w:rPr>
      </w:pPr>
      <w:r>
        <w:rPr>
          <w:color w:val="auto"/>
        </w:rPr>
        <w:t>⑤层粉质粘土（Q3al+pl）：黄褐色，可～硬塑，切面较光滑，土质较均，局部夹粘土、砂层，含少量铁锰及钙质结核；评价区普遍分布，厚度：3.60～8.00m，平均5.99m；层底埋深：20.80～27.60m，平均23.44m。此层为隔水层</w:t>
      </w:r>
      <w:r>
        <w:rPr>
          <w:rFonts w:hint="eastAsia"/>
          <w:color w:val="auto"/>
        </w:rPr>
        <w:t>（</w:t>
      </w:r>
      <w:r>
        <w:rPr>
          <w:color w:val="auto"/>
        </w:rPr>
        <w:t>弱透水层</w:t>
      </w:r>
      <w:r>
        <w:rPr>
          <w:rFonts w:hint="eastAsia"/>
          <w:color w:val="auto"/>
        </w:rPr>
        <w:t>）</w:t>
      </w:r>
      <w:r>
        <w:rPr>
          <w:color w:val="auto"/>
        </w:rPr>
        <w:t>。</w:t>
      </w:r>
    </w:p>
    <w:p w14:paraId="6907D81B">
      <w:pPr>
        <w:ind w:firstLine="480"/>
        <w:rPr>
          <w:color w:val="auto"/>
        </w:rPr>
      </w:pPr>
      <w:r>
        <w:rPr>
          <w:color w:val="auto"/>
        </w:rPr>
        <w:t>⑥-1层粉细砂（Q3al+pl）：黄褐色，中密～密实，饱和，颗粒为圆粒，级配差，分选性好，主要由石英、长石等组成，局部夹粘性土薄层；评价区普遍分布，厚度：2.00～8.50m，平均5.20m；层底埋深：24.70～29.30m，平均27.30m。此层为第Ⅰ孔隙承压水的上段赋水层。</w:t>
      </w:r>
    </w:p>
    <w:p w14:paraId="6CFA65E3">
      <w:pPr>
        <w:ind w:firstLine="480"/>
        <w:rPr>
          <w:color w:val="auto"/>
        </w:rPr>
      </w:pPr>
      <w:r>
        <w:rPr>
          <w:color w:val="auto"/>
        </w:rPr>
        <w:t>⑥-2层粉质粘土（Q3al+pl）：灰黄色、黄褐色，可～硬塑，切面较光滑，土质较均，局部夹粘土、砂层，含少量铁锰及钙质结核；评价区部分分布，厚度：1.10～4.90m，平均3.35m；层底埋深：28.50～35.10m，平均31.00m。此层为隔水层</w:t>
      </w:r>
      <w:r>
        <w:rPr>
          <w:rFonts w:hint="eastAsia"/>
          <w:color w:val="auto"/>
        </w:rPr>
        <w:t>（</w:t>
      </w:r>
      <w:r>
        <w:rPr>
          <w:color w:val="auto"/>
        </w:rPr>
        <w:t>弱透水层</w:t>
      </w:r>
      <w:r>
        <w:rPr>
          <w:rFonts w:hint="eastAsia"/>
          <w:color w:val="auto"/>
        </w:rPr>
        <w:t>）</w:t>
      </w:r>
      <w:r>
        <w:rPr>
          <w:color w:val="auto"/>
        </w:rPr>
        <w:t>。</w:t>
      </w:r>
    </w:p>
    <w:p w14:paraId="5D23ACC0">
      <w:pPr>
        <w:ind w:firstLine="480"/>
        <w:rPr>
          <w:color w:val="auto"/>
        </w:rPr>
      </w:pPr>
      <w:r>
        <w:rPr>
          <w:color w:val="auto"/>
        </w:rPr>
        <w:t>⑥-3层中砂（Q3al+pl）：黄褐色，中密～密实，饱和，颗粒为圆粒，级配差，分选性好，主要由石英、长石等组成，局部颗粒较大、夹粘性土薄层；评价区普遍分布，厚度：4.80～10.80m，平均7.18m；层底埋深：27.50～42.30m，平均33.73m。此层为第Ⅰ孔隙承压水的下段赋水层。</w:t>
      </w:r>
    </w:p>
    <w:p w14:paraId="3CA7222F">
      <w:pPr>
        <w:ind w:firstLine="480"/>
        <w:rPr>
          <w:color w:val="auto"/>
        </w:rPr>
      </w:pPr>
      <w:r>
        <w:rPr>
          <w:color w:val="auto"/>
        </w:rPr>
        <w:t>⑦层粉质粘土（Q3al+pl）：黄褐色、灰黄色，可～硬塑，切面较光滑，土质较均，局部夹粘土、砂层，含少量铁锰及钙质结核；评价区普遍分布，厚度：1.20～5.40m，平均3.27m；层底埋深：20.80～43.50m，平均34.78m。此层为隔水层</w:t>
      </w:r>
      <w:r>
        <w:rPr>
          <w:rFonts w:hint="eastAsia"/>
          <w:color w:val="auto"/>
        </w:rPr>
        <w:t>（</w:t>
      </w:r>
      <w:r>
        <w:rPr>
          <w:color w:val="auto"/>
        </w:rPr>
        <w:t>弱透水层</w:t>
      </w:r>
      <w:r>
        <w:rPr>
          <w:rFonts w:hint="eastAsia"/>
          <w:color w:val="auto"/>
        </w:rPr>
        <w:t>）</w:t>
      </w:r>
      <w:r>
        <w:rPr>
          <w:color w:val="auto"/>
        </w:rPr>
        <w:t>。</w:t>
      </w:r>
    </w:p>
    <w:p w14:paraId="72D73625">
      <w:pPr>
        <w:ind w:firstLine="480"/>
        <w:rPr>
          <w:color w:val="auto"/>
        </w:rPr>
      </w:pPr>
      <w:r>
        <w:rPr>
          <w:color w:val="auto"/>
        </w:rPr>
        <w:t>⑧层全-强风化片麻岩（Pt）：灰褐色、灰黄色、灰绿色，原岩结构构造完全～大部分被破坏</w:t>
      </w:r>
      <w:r>
        <w:rPr>
          <w:rFonts w:hint="eastAsia"/>
          <w:color w:val="auto"/>
        </w:rPr>
        <w:t>，</w:t>
      </w:r>
      <w:r>
        <w:rPr>
          <w:color w:val="auto"/>
        </w:rPr>
        <w:t>岩芯呈砂土、碎屑（块）及短柱状</w:t>
      </w:r>
      <w:r>
        <w:rPr>
          <w:rFonts w:hint="eastAsia"/>
          <w:color w:val="auto"/>
        </w:rPr>
        <w:t>，</w:t>
      </w:r>
      <w:r>
        <w:rPr>
          <w:color w:val="auto"/>
        </w:rPr>
        <w:t>岩体基本质量等级为V级，属极软～软岩，本次钻探未揭穿。此层为基岩裂隙水的赋水层。</w:t>
      </w:r>
    </w:p>
    <w:p w14:paraId="454517D0">
      <w:pPr>
        <w:ind w:firstLine="480"/>
        <w:rPr>
          <w:color w:val="auto"/>
        </w:rPr>
      </w:pPr>
      <w:r>
        <w:rPr>
          <w:color w:val="auto"/>
        </w:rPr>
        <w:t>评价区潜水含水层综合水文地质图6.</w:t>
      </w:r>
      <w:r>
        <w:rPr>
          <w:rFonts w:hint="eastAsia"/>
          <w:color w:val="auto"/>
        </w:rPr>
        <w:t>2.5</w:t>
      </w:r>
      <w:r>
        <w:rPr>
          <w:color w:val="auto"/>
        </w:rPr>
        <w:t>-</w:t>
      </w:r>
      <w:r>
        <w:rPr>
          <w:rFonts w:hint="eastAsia"/>
          <w:color w:val="auto"/>
        </w:rPr>
        <w:t>1</w:t>
      </w:r>
      <w:r>
        <w:rPr>
          <w:color w:val="auto"/>
        </w:rPr>
        <w:t>，地层剖面详见图6.5-3。</w:t>
      </w:r>
    </w:p>
    <w:p w14:paraId="06AF4F79">
      <w:pPr>
        <w:ind w:firstLine="0" w:firstLineChars="0"/>
        <w:jc w:val="center"/>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2955925</wp:posOffset>
                </wp:positionV>
                <wp:extent cx="532130" cy="189230"/>
                <wp:effectExtent l="0" t="0" r="1270" b="1270"/>
                <wp:wrapNone/>
                <wp:docPr id="2" name="文本框 2"/>
                <wp:cNvGraphicFramePr/>
                <a:graphic xmlns:a="http://schemas.openxmlformats.org/drawingml/2006/main">
                  <a:graphicData uri="http://schemas.microsoft.com/office/word/2010/wordprocessingShape">
                    <wps:wsp>
                      <wps:cNvSpPr txBox="1"/>
                      <wps:spPr>
                        <a:xfrm>
                          <a:off x="0" y="0"/>
                          <a:ext cx="532130" cy="189230"/>
                        </a:xfrm>
                        <a:prstGeom prst="rect">
                          <a:avLst/>
                        </a:prstGeom>
                        <a:solidFill>
                          <a:srgbClr val="FFFFFF"/>
                        </a:solidFill>
                        <a:ln>
                          <a:noFill/>
                        </a:ln>
                      </wps:spPr>
                      <wps:txbx>
                        <w:txbxContent>
                          <w:p w14:paraId="278212C0">
                            <w:pPr>
                              <w:ind w:firstLine="0" w:firstLineChars="0"/>
                              <w:rPr>
                                <w:rFonts w:eastAsia="幼圆"/>
                                <w:b/>
                                <w:bCs/>
                                <w:sz w:val="13"/>
                                <w:szCs w:val="13"/>
                              </w:rPr>
                            </w:pPr>
                            <w:r>
                              <w:rPr>
                                <w:rFonts w:eastAsia="幼圆"/>
                                <w:b/>
                                <w:bCs/>
                                <w:sz w:val="13"/>
                                <w:szCs w:val="13"/>
                              </w:rPr>
                              <w:t>图6.2.5-1</w:t>
                            </w:r>
                          </w:p>
                        </w:txbxContent>
                      </wps:txbx>
                      <wps:bodyPr upright="1"/>
                    </wps:wsp>
                  </a:graphicData>
                </a:graphic>
              </wp:anchor>
            </w:drawing>
          </mc:Choice>
          <mc:Fallback>
            <w:pict>
              <v:shape id="_x0000_s1026" o:spid="_x0000_s1026" o:spt="202" type="#_x0000_t202" style="position:absolute;left:0pt;margin-left:138.6pt;margin-top:232.75pt;height:14.9pt;width:41.9pt;z-index:251661312;mso-width-relative:page;mso-height-relative:page;" fillcolor="#FFFFFF" filled="t" stroked="f" coordsize="21600,21600" o:gfxdata="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D7Xf9kAAAALAQAADwAAAAAAAAABACAAAAAiAAAAZHJzL2Rvd25yZXYueG1s&#10;UEsBAhQAFAAAAAgAh07iQK57Joa+AQAAdgMAAA4AAAAAAAAAAQAgAAAAKAEAAGRycy9lMm9Eb2Mu&#10;eG1sUEsFBgAAAAAGAAYAWQEAAFgFAAAAAA==&#10;">
                <v:fill on="t" focussize="0,0"/>
                <v:stroke on="f"/>
                <v:imagedata o:title=""/>
                <o:lock v:ext="edit" aspectratio="f"/>
                <v:textbox>
                  <w:txbxContent>
                    <w:p w14:paraId="278212C0">
                      <w:pPr>
                        <w:ind w:firstLine="0" w:firstLineChars="0"/>
                        <w:rPr>
                          <w:rFonts w:eastAsia="幼圆"/>
                          <w:b/>
                          <w:bCs/>
                          <w:sz w:val="13"/>
                          <w:szCs w:val="13"/>
                        </w:rPr>
                      </w:pPr>
                      <w:r>
                        <w:rPr>
                          <w:rFonts w:eastAsia="幼圆"/>
                          <w:b/>
                          <w:bCs/>
                          <w:sz w:val="13"/>
                          <w:szCs w:val="13"/>
                        </w:rPr>
                        <w:t>图6.2.5-1</w:t>
                      </w:r>
                    </w:p>
                  </w:txbxContent>
                </v:textbox>
              </v:shape>
            </w:pict>
          </mc:Fallback>
        </mc:AlternateContent>
      </w:r>
      <w:r>
        <w:rPr>
          <w:color w:val="auto"/>
        </w:rPr>
        <w:drawing>
          <wp:inline distT="0" distB="0" distL="114300" distR="114300">
            <wp:extent cx="4621530" cy="3335020"/>
            <wp:effectExtent l="0" t="0" r="7620" b="1778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43"/>
                    <a:stretch>
                      <a:fillRect/>
                    </a:stretch>
                  </pic:blipFill>
                  <pic:spPr>
                    <a:xfrm>
                      <a:off x="0" y="0"/>
                      <a:ext cx="4621530" cy="3335020"/>
                    </a:xfrm>
                    <a:prstGeom prst="rect">
                      <a:avLst/>
                    </a:prstGeom>
                    <a:noFill/>
                    <a:ln>
                      <a:noFill/>
                    </a:ln>
                  </pic:spPr>
                </pic:pic>
              </a:graphicData>
            </a:graphic>
          </wp:inline>
        </w:drawing>
      </w:r>
    </w:p>
    <w:p w14:paraId="0E887E52">
      <w:pPr>
        <w:ind w:firstLine="0" w:firstLineChars="0"/>
        <w:jc w:val="center"/>
        <w:rPr>
          <w:color w:val="auto"/>
        </w:rPr>
      </w:pPr>
      <w:r>
        <w:rPr>
          <w:color w:val="auto"/>
        </w:rPr>
        <w:drawing>
          <wp:inline distT="0" distB="0" distL="114300" distR="114300">
            <wp:extent cx="4860290" cy="3888740"/>
            <wp:effectExtent l="0" t="0" r="16510" b="1651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44"/>
                    <a:stretch>
                      <a:fillRect/>
                    </a:stretch>
                  </pic:blipFill>
                  <pic:spPr>
                    <a:xfrm>
                      <a:off x="0" y="0"/>
                      <a:ext cx="4860290" cy="3888740"/>
                    </a:xfrm>
                    <a:prstGeom prst="rect">
                      <a:avLst/>
                    </a:prstGeom>
                    <a:noFill/>
                    <a:ln>
                      <a:noFill/>
                    </a:ln>
                  </pic:spPr>
                </pic:pic>
              </a:graphicData>
            </a:graphic>
          </wp:inline>
        </w:drawing>
      </w:r>
    </w:p>
    <w:p w14:paraId="2562CD75">
      <w:pPr>
        <w:pStyle w:val="151"/>
        <w:snapToGrid w:val="0"/>
        <w:jc w:val="center"/>
        <w:rPr>
          <w:color w:val="auto"/>
        </w:rPr>
      </w:pPr>
      <w:r>
        <w:rPr>
          <w:color w:val="auto"/>
        </w:rPr>
        <w:drawing>
          <wp:inline distT="0" distB="0" distL="114300" distR="114300">
            <wp:extent cx="4994910" cy="4201160"/>
            <wp:effectExtent l="0" t="0" r="15240" b="889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45"/>
                    <a:stretch>
                      <a:fillRect/>
                    </a:stretch>
                  </pic:blipFill>
                  <pic:spPr>
                    <a:xfrm>
                      <a:off x="0" y="0"/>
                      <a:ext cx="4994910" cy="4201160"/>
                    </a:xfrm>
                    <a:prstGeom prst="rect">
                      <a:avLst/>
                    </a:prstGeom>
                    <a:noFill/>
                    <a:ln>
                      <a:noFill/>
                    </a:ln>
                  </pic:spPr>
                </pic:pic>
              </a:graphicData>
            </a:graphic>
          </wp:inline>
        </w:drawing>
      </w:r>
    </w:p>
    <w:p w14:paraId="5A70C7C9">
      <w:pPr>
        <w:pStyle w:val="151"/>
        <w:snapToGrid w:val="0"/>
        <w:jc w:val="center"/>
        <w:rPr>
          <w:color w:val="auto"/>
        </w:rPr>
      </w:pPr>
    </w:p>
    <w:p w14:paraId="33AD5265">
      <w:pPr>
        <w:pStyle w:val="151"/>
        <w:snapToGrid w:val="0"/>
        <w:jc w:val="center"/>
        <w:rPr>
          <w:color w:val="auto"/>
        </w:rPr>
      </w:pPr>
      <w:r>
        <w:rPr>
          <w:color w:val="auto"/>
        </w:rPr>
        <w:drawing>
          <wp:inline distT="0" distB="0" distL="114300" distR="114300">
            <wp:extent cx="4977130" cy="2453005"/>
            <wp:effectExtent l="0" t="0" r="13970" b="444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46"/>
                    <a:stretch>
                      <a:fillRect/>
                    </a:stretch>
                  </pic:blipFill>
                  <pic:spPr>
                    <a:xfrm>
                      <a:off x="0" y="0"/>
                      <a:ext cx="4977130" cy="2453005"/>
                    </a:xfrm>
                    <a:prstGeom prst="rect">
                      <a:avLst/>
                    </a:prstGeom>
                    <a:noFill/>
                    <a:ln>
                      <a:noFill/>
                    </a:ln>
                  </pic:spPr>
                </pic:pic>
              </a:graphicData>
            </a:graphic>
          </wp:inline>
        </w:drawing>
      </w:r>
    </w:p>
    <w:p w14:paraId="1B3EC782">
      <w:pPr>
        <w:pStyle w:val="151"/>
        <w:snapToGrid w:val="0"/>
        <w:jc w:val="center"/>
        <w:rPr>
          <w:color w:val="auto"/>
        </w:rPr>
      </w:pPr>
    </w:p>
    <w:p w14:paraId="52787F65">
      <w:pPr>
        <w:pStyle w:val="151"/>
        <w:snapToGrid w:val="0"/>
        <w:jc w:val="center"/>
        <w:rPr>
          <w:color w:val="auto"/>
        </w:rPr>
      </w:pPr>
      <w:r>
        <w:rPr>
          <w:color w:val="auto"/>
        </w:rPr>
        <w:drawing>
          <wp:inline distT="0" distB="0" distL="114300" distR="114300">
            <wp:extent cx="5304790" cy="2451100"/>
            <wp:effectExtent l="0" t="0" r="10160" b="635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47"/>
                    <a:stretch>
                      <a:fillRect/>
                    </a:stretch>
                  </pic:blipFill>
                  <pic:spPr>
                    <a:xfrm>
                      <a:off x="0" y="0"/>
                      <a:ext cx="5304790" cy="2451100"/>
                    </a:xfrm>
                    <a:prstGeom prst="rect">
                      <a:avLst/>
                    </a:prstGeom>
                    <a:noFill/>
                    <a:ln>
                      <a:noFill/>
                    </a:ln>
                  </pic:spPr>
                </pic:pic>
              </a:graphicData>
            </a:graphic>
          </wp:inline>
        </w:drawing>
      </w:r>
    </w:p>
    <w:p w14:paraId="73BC363B">
      <w:pPr>
        <w:pStyle w:val="151"/>
        <w:snapToGrid w:val="0"/>
        <w:jc w:val="center"/>
        <w:rPr>
          <w:rFonts w:ascii="Times New Roman" w:hAnsi="Times New Roman" w:cs="Times New Roman"/>
          <w:b/>
          <w:bCs/>
          <w:color w:val="auto"/>
        </w:rPr>
      </w:pPr>
      <w:r>
        <w:rPr>
          <w:rFonts w:ascii="Times New Roman" w:hAnsi="Times New Roman" w:cs="Times New Roman"/>
          <w:b/>
          <w:bCs/>
          <w:color w:val="auto"/>
        </w:rPr>
        <w:t>图6.2.5-2  评价范围内各断面地层剖面图</w:t>
      </w:r>
    </w:p>
    <w:p w14:paraId="16796EE5">
      <w:pPr>
        <w:spacing w:before="120" w:beforeLines="50"/>
        <w:ind w:firstLine="0" w:firstLineChars="0"/>
        <w:jc w:val="left"/>
        <w:outlineLvl w:val="3"/>
        <w:rPr>
          <w:b/>
          <w:color w:val="auto"/>
        </w:rPr>
      </w:pPr>
      <w:r>
        <w:rPr>
          <w:b/>
          <w:color w:val="auto"/>
        </w:rPr>
        <w:t>6.</w:t>
      </w:r>
      <w:r>
        <w:rPr>
          <w:rFonts w:hint="eastAsia"/>
          <w:b/>
          <w:color w:val="auto"/>
        </w:rPr>
        <w:t>2.</w:t>
      </w:r>
      <w:r>
        <w:rPr>
          <w:b/>
          <w:color w:val="auto"/>
        </w:rPr>
        <w:t>5.2 水文地质概况</w:t>
      </w:r>
    </w:p>
    <w:p w14:paraId="4BA00B9A">
      <w:pPr>
        <w:ind w:firstLine="480"/>
        <w:rPr>
          <w:color w:val="auto"/>
        </w:rPr>
      </w:pPr>
      <w:r>
        <w:rPr>
          <w:color w:val="auto"/>
        </w:rPr>
        <w:t>根据本工程调查、勘探取得的成果及搜集的现有资料，评价区地下水主要包含松散岩类孔隙水及基岩裂隙水两大类型，其中，松散岩类孔隙水主要为孔隙潜水含水层组和孔隙承压水含水层组，基岩裂隙水主要为变质岩裂隙含水层（岩）组。</w:t>
      </w:r>
    </w:p>
    <w:p w14:paraId="55E9E690">
      <w:pPr>
        <w:ind w:firstLine="480"/>
        <w:rPr>
          <w:color w:val="auto"/>
        </w:rPr>
      </w:pPr>
      <w:r>
        <w:rPr>
          <w:color w:val="auto"/>
        </w:rPr>
        <w:t>（1）包气带层</w:t>
      </w:r>
    </w:p>
    <w:p w14:paraId="093F176E">
      <w:pPr>
        <w:ind w:firstLine="480"/>
        <w:rPr>
          <w:color w:val="auto"/>
        </w:rPr>
      </w:pPr>
      <w:r>
        <w:rPr>
          <w:color w:val="auto"/>
        </w:rPr>
        <w:t>包气带层是指地表与潜水面之间的地带，根据本次施工的勘探孔资料，评价区内包气带厚度0.50～1.90m，区内包气带岩性主要为素填土和粘土。根据渗水试验数据资料，包气带土层渗透系数8.30E-05～7.21E-04cm/s，平均值3.00E-04cm/s。</w:t>
      </w:r>
    </w:p>
    <w:p w14:paraId="547286C4">
      <w:pPr>
        <w:ind w:firstLine="480"/>
        <w:rPr>
          <w:color w:val="auto"/>
        </w:rPr>
      </w:pPr>
      <w:r>
        <w:rPr>
          <w:color w:val="auto"/>
        </w:rPr>
        <w:t>（2）潜水含水层组</w:t>
      </w:r>
    </w:p>
    <w:p w14:paraId="48A8E2B2">
      <w:pPr>
        <w:ind w:firstLine="480"/>
        <w:rPr>
          <w:color w:val="auto"/>
        </w:rPr>
      </w:pPr>
      <w:r>
        <w:rPr>
          <w:color w:val="auto"/>
        </w:rPr>
        <w:t>从评价区场地地层构成情况来看，潜水主要赋存于上部粘土和淤泥层中，厚9.6～13.7m，平均11.0m，单井涌水量小于10m</w:t>
      </w:r>
      <w:r>
        <w:rPr>
          <w:color w:val="auto"/>
          <w:vertAlign w:val="superscript"/>
        </w:rPr>
        <w:t>3</w:t>
      </w:r>
      <w:r>
        <w:rPr>
          <w:color w:val="auto"/>
        </w:rPr>
        <w:t>/d，水位随微地貌形态而异，标高1.97～2.61m，随季节变化，雨季水位上升旱季水位下降，年变化幅度0.60m左右。</w:t>
      </w:r>
    </w:p>
    <w:p w14:paraId="120DAA2C">
      <w:pPr>
        <w:ind w:firstLine="480"/>
        <w:rPr>
          <w:color w:val="auto"/>
        </w:rPr>
      </w:pPr>
      <w:r>
        <w:rPr>
          <w:color w:val="auto"/>
        </w:rPr>
        <w:t>潜水化学类型为Cl-Na型水，矿化度16.12～48.16g/L，平均35.09g/</w:t>
      </w:r>
      <w:r>
        <w:rPr>
          <w:rFonts w:hint="eastAsia"/>
          <w:color w:val="auto"/>
        </w:rPr>
        <w:t>L</w:t>
      </w:r>
      <w:r>
        <w:rPr>
          <w:color w:val="auto"/>
        </w:rPr>
        <w:t>；</w:t>
      </w:r>
      <w:r>
        <w:rPr>
          <w:rFonts w:hint="eastAsia"/>
          <w:color w:val="auto"/>
        </w:rPr>
        <w:t>p</w:t>
      </w:r>
      <w:r>
        <w:rPr>
          <w:color w:val="auto"/>
        </w:rPr>
        <w:t>H值7.07～7.60，平均7.36，弱碱性；总硬度2.50～10.51g/L，平均7.53g/L。整体水质较差，为盐水。根据潜水层微水试验（抽水）、弥散试验等试验数据资料，潜水层渗透系数5.21E-06～8.80E-06cm/s，平均值7.27E-06cm/s；导水系数T为0.0055～0.0092cm</w:t>
      </w:r>
      <w:r>
        <w:rPr>
          <w:color w:val="auto"/>
          <w:vertAlign w:val="superscript"/>
        </w:rPr>
        <w:t>2</w:t>
      </w:r>
      <w:r>
        <w:rPr>
          <w:color w:val="auto"/>
        </w:rPr>
        <w:t>/s，平均值0.0078cm</w:t>
      </w:r>
      <w:r>
        <w:rPr>
          <w:color w:val="auto"/>
          <w:vertAlign w:val="superscript"/>
        </w:rPr>
        <w:t>2</w:t>
      </w:r>
      <w:r>
        <w:rPr>
          <w:color w:val="auto"/>
        </w:rPr>
        <w:t>/s；给水度μ为0.019～0.028，平均值0.024。潜水层总体流向西南</w:t>
      </w:r>
      <w:r>
        <w:rPr>
          <w:rFonts w:hint="eastAsia"/>
          <w:color w:val="auto"/>
        </w:rPr>
        <w:t>－</w:t>
      </w:r>
      <w:r>
        <w:rPr>
          <w:color w:val="auto"/>
        </w:rPr>
        <w:t>东北，水流速度（u）0.00097～0.0016m/d，平均值0.00129m/d；有效孔隙度（ne）0.501～0.512，平均0.506；纵向弥散系数（DL）0.00042～0.00051m</w:t>
      </w:r>
      <w:r>
        <w:rPr>
          <w:color w:val="auto"/>
          <w:vertAlign w:val="superscript"/>
        </w:rPr>
        <w:t>2</w:t>
      </w:r>
      <w:r>
        <w:rPr>
          <w:color w:val="auto"/>
        </w:rPr>
        <w:t>/d，平均值0.00046m</w:t>
      </w:r>
      <w:r>
        <w:rPr>
          <w:color w:val="auto"/>
          <w:vertAlign w:val="superscript"/>
        </w:rPr>
        <w:t>2</w:t>
      </w:r>
      <w:r>
        <w:rPr>
          <w:color w:val="auto"/>
        </w:rPr>
        <w:t>/d；横向y方向弥散系数（DT）0.000039～0.000047m</w:t>
      </w:r>
      <w:r>
        <w:rPr>
          <w:color w:val="auto"/>
          <w:vertAlign w:val="superscript"/>
        </w:rPr>
        <w:t>2</w:t>
      </w:r>
      <w:r>
        <w:rPr>
          <w:color w:val="auto"/>
        </w:rPr>
        <w:t>/d，平均值0.000043m</w:t>
      </w:r>
      <w:r>
        <w:rPr>
          <w:color w:val="auto"/>
          <w:vertAlign w:val="superscript"/>
        </w:rPr>
        <w:t>2</w:t>
      </w:r>
      <w:r>
        <w:rPr>
          <w:color w:val="auto"/>
        </w:rPr>
        <w:t>/d。</w:t>
      </w:r>
    </w:p>
    <w:p w14:paraId="314615DA">
      <w:pPr>
        <w:ind w:firstLine="480"/>
        <w:rPr>
          <w:color w:val="auto"/>
        </w:rPr>
      </w:pPr>
      <w:r>
        <w:rPr>
          <w:color w:val="auto"/>
        </w:rPr>
        <w:t>评价区地下水温度曲线详见图6.5.2-</w:t>
      </w:r>
      <w:r>
        <w:rPr>
          <w:rFonts w:hint="eastAsia"/>
          <w:color w:val="auto"/>
        </w:rPr>
        <w:t>3</w:t>
      </w:r>
      <w:r>
        <w:rPr>
          <w:color w:val="auto"/>
        </w:rPr>
        <w:t>，地下水温度变化曲线基本一致，随着钻孔深度增加温度随之增大，且增大的趋势逐渐变小。</w:t>
      </w:r>
    </w:p>
    <w:p w14:paraId="68C12B0D">
      <w:pPr>
        <w:pStyle w:val="151"/>
        <w:snapToGrid w:val="0"/>
        <w:jc w:val="center"/>
        <w:rPr>
          <w:color w:val="auto"/>
        </w:rPr>
      </w:pPr>
      <w:r>
        <w:rPr>
          <w:color w:val="auto"/>
        </w:rPr>
        <w:drawing>
          <wp:inline distT="0" distB="0" distL="114300" distR="114300">
            <wp:extent cx="5099050" cy="3188335"/>
            <wp:effectExtent l="0" t="0" r="6350" b="1206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48"/>
                    <a:stretch>
                      <a:fillRect/>
                    </a:stretch>
                  </pic:blipFill>
                  <pic:spPr>
                    <a:xfrm>
                      <a:off x="0" y="0"/>
                      <a:ext cx="5099050" cy="3188335"/>
                    </a:xfrm>
                    <a:prstGeom prst="rect">
                      <a:avLst/>
                    </a:prstGeom>
                    <a:noFill/>
                    <a:ln>
                      <a:noFill/>
                    </a:ln>
                  </pic:spPr>
                </pic:pic>
              </a:graphicData>
            </a:graphic>
          </wp:inline>
        </w:drawing>
      </w:r>
    </w:p>
    <w:p w14:paraId="559D9047">
      <w:pPr>
        <w:pStyle w:val="151"/>
        <w:snapToGrid w:val="0"/>
        <w:spacing w:line="360" w:lineRule="auto"/>
        <w:jc w:val="center"/>
        <w:rPr>
          <w:rFonts w:ascii="Times New Roman" w:hAnsi="Times New Roman" w:cs="Times New Roman"/>
          <w:b/>
          <w:bCs/>
          <w:color w:val="auto"/>
        </w:rPr>
      </w:pPr>
      <w:r>
        <w:rPr>
          <w:rFonts w:ascii="Times New Roman" w:hAnsi="Times New Roman" w:cs="Times New Roman"/>
          <w:b/>
          <w:bCs/>
          <w:color w:val="auto"/>
        </w:rPr>
        <w:t>图6.2.5-</w:t>
      </w:r>
      <w:r>
        <w:rPr>
          <w:rFonts w:hint="eastAsia" w:ascii="Times New Roman" w:hAnsi="Times New Roman" w:cs="Times New Roman"/>
          <w:b/>
          <w:bCs/>
          <w:color w:val="auto"/>
        </w:rPr>
        <w:t>3</w:t>
      </w:r>
      <w:r>
        <w:rPr>
          <w:rFonts w:ascii="Times New Roman" w:hAnsi="Times New Roman" w:cs="Times New Roman"/>
          <w:b/>
          <w:bCs/>
          <w:color w:val="auto"/>
        </w:rPr>
        <w:t xml:space="preserve">  评价区地下水温度曲线</w:t>
      </w:r>
    </w:p>
    <w:p w14:paraId="18B4C59E">
      <w:pPr>
        <w:ind w:firstLine="480"/>
        <w:rPr>
          <w:color w:val="auto"/>
        </w:rPr>
      </w:pPr>
      <w:r>
        <w:rPr>
          <w:color w:val="auto"/>
        </w:rPr>
        <w:t>（3）承压水含水层组</w:t>
      </w:r>
    </w:p>
    <w:p w14:paraId="6A0DFF5C">
      <w:pPr>
        <w:ind w:firstLine="480"/>
        <w:rPr>
          <w:color w:val="auto"/>
        </w:rPr>
      </w:pPr>
      <w:r>
        <w:rPr>
          <w:color w:val="auto"/>
        </w:rPr>
        <w:t>根据评价区场地地层情况及区域地质资料，承压水（第Ⅰ承压水）主要赋存于6-1层粉细砂及6-3层中砂中，层顶埋深20.8～22.8m，平均22.1m；层底埋深27.5～42.3m，平均33.7m；厚5.1～11.0m，平均7.5m；水位年变化幅度约0.20m，水位受气候影响微弱；富水性中等，单井涌水量小于300m</w:t>
      </w:r>
      <w:r>
        <w:rPr>
          <w:color w:val="auto"/>
          <w:vertAlign w:val="superscript"/>
        </w:rPr>
        <w:t>3</w:t>
      </w:r>
      <w:r>
        <w:rPr>
          <w:color w:val="auto"/>
        </w:rPr>
        <w:t>/d，主要接受上部潜水越流补给。</w:t>
      </w:r>
    </w:p>
    <w:p w14:paraId="360A58C5">
      <w:pPr>
        <w:ind w:firstLine="480"/>
        <w:rPr>
          <w:color w:val="auto"/>
        </w:rPr>
      </w:pPr>
      <w:r>
        <w:rPr>
          <w:color w:val="auto"/>
        </w:rPr>
        <w:t>承压水化学类型多为Cl-Na型水，矿化度10.0g/l左右，pH值7.30～7.80，弱碱性；大部分地区水中镁、钠、氯化物、硫酸盐等含量较高，超过饮用水卫生标准。总体上来说，承压水水质较差，为咸水，</w:t>
      </w:r>
      <w:r>
        <w:rPr>
          <w:rFonts w:hint="eastAsia"/>
          <w:color w:val="auto"/>
        </w:rPr>
        <w:t>不宜</w:t>
      </w:r>
      <w:r>
        <w:rPr>
          <w:color w:val="auto"/>
        </w:rPr>
        <w:t>作为生活用水。</w:t>
      </w:r>
    </w:p>
    <w:p w14:paraId="45FC4A11">
      <w:pPr>
        <w:ind w:firstLine="480"/>
        <w:rPr>
          <w:color w:val="auto"/>
        </w:rPr>
      </w:pPr>
      <w:r>
        <w:rPr>
          <w:color w:val="auto"/>
        </w:rPr>
        <w:t>根据调查资料，承压水层总体流向西南</w:t>
      </w:r>
      <w:r>
        <w:rPr>
          <w:rFonts w:hint="eastAsia"/>
          <w:color w:val="auto"/>
        </w:rPr>
        <w:t>－</w:t>
      </w:r>
      <w:r>
        <w:rPr>
          <w:color w:val="auto"/>
        </w:rPr>
        <w:t>东北，渗透系数1.00E-04cm/s～5.00E-04cm/s，平均3.00E-04cm/s。</w:t>
      </w:r>
    </w:p>
    <w:p w14:paraId="7AB25978">
      <w:pPr>
        <w:ind w:firstLine="480"/>
        <w:rPr>
          <w:color w:val="auto"/>
        </w:rPr>
      </w:pPr>
      <w:r>
        <w:rPr>
          <w:color w:val="auto"/>
        </w:rPr>
        <w:t>（4）变质岩裂隙含水层（岩）组</w:t>
      </w:r>
    </w:p>
    <w:p w14:paraId="271F54FE">
      <w:pPr>
        <w:ind w:firstLine="480"/>
        <w:rPr>
          <w:color w:val="auto"/>
        </w:rPr>
      </w:pPr>
      <w:r>
        <w:rPr>
          <w:color w:val="auto"/>
        </w:rPr>
        <w:t>根据评价区场地地层情况及区域地质资料，变质岩裂隙水主要赋存于8全-强风化片麻岩层中，层顶埋深20.8～43.5m，平均34.8m；水位受气候影响微弱；富水性较差，单井涌水量小于100m</w:t>
      </w:r>
      <w:r>
        <w:rPr>
          <w:color w:val="auto"/>
          <w:vertAlign w:val="superscript"/>
        </w:rPr>
        <w:t>3</w:t>
      </w:r>
      <w:r>
        <w:rPr>
          <w:color w:val="auto"/>
        </w:rPr>
        <w:t>/d。</w:t>
      </w:r>
    </w:p>
    <w:p w14:paraId="780C6C9C">
      <w:pPr>
        <w:spacing w:before="120" w:beforeLines="50"/>
        <w:ind w:firstLine="0" w:firstLineChars="0"/>
        <w:jc w:val="left"/>
        <w:outlineLvl w:val="3"/>
        <w:rPr>
          <w:b/>
          <w:color w:val="auto"/>
        </w:rPr>
      </w:pPr>
      <w:r>
        <w:rPr>
          <w:b/>
          <w:color w:val="auto"/>
        </w:rPr>
        <w:t>6.</w:t>
      </w:r>
      <w:r>
        <w:rPr>
          <w:rFonts w:hint="eastAsia"/>
          <w:b/>
          <w:color w:val="auto"/>
        </w:rPr>
        <w:t>2.</w:t>
      </w:r>
      <w:r>
        <w:rPr>
          <w:b/>
          <w:color w:val="auto"/>
        </w:rPr>
        <w:t>5.</w:t>
      </w:r>
      <w:r>
        <w:rPr>
          <w:rFonts w:hint="eastAsia"/>
          <w:b/>
          <w:color w:val="auto"/>
        </w:rPr>
        <w:t>3</w:t>
      </w:r>
      <w:r>
        <w:rPr>
          <w:b/>
          <w:color w:val="auto"/>
        </w:rPr>
        <w:t xml:space="preserve"> </w:t>
      </w:r>
      <w:r>
        <w:rPr>
          <w:rFonts w:hint="eastAsia"/>
          <w:b/>
          <w:color w:val="auto"/>
        </w:rPr>
        <w:t>地下水动态及补径排条件</w:t>
      </w:r>
    </w:p>
    <w:p w14:paraId="0FAFA2CC">
      <w:pPr>
        <w:ind w:firstLine="480"/>
        <w:rPr>
          <w:color w:val="auto"/>
        </w:rPr>
      </w:pPr>
      <w:r>
        <w:rPr>
          <w:color w:val="auto"/>
        </w:rPr>
        <w:t>（1）地下水动态</w:t>
      </w:r>
    </w:p>
    <w:p w14:paraId="600524FA">
      <w:pPr>
        <w:ind w:firstLine="480"/>
        <w:rPr>
          <w:color w:val="auto"/>
        </w:rPr>
      </w:pPr>
      <w:r>
        <w:rPr>
          <w:color w:val="auto"/>
        </w:rPr>
        <w:t>①潜水</w:t>
      </w:r>
    </w:p>
    <w:p w14:paraId="406885DA">
      <w:pPr>
        <w:ind w:firstLine="480"/>
        <w:rPr>
          <w:color w:val="auto"/>
        </w:rPr>
      </w:pPr>
      <w:r>
        <w:rPr>
          <w:color w:val="auto"/>
        </w:rPr>
        <w:t>评价区潜水位标高一般在1.97～2.61m之间，随季节性变化，一般丰水期水位上升，枯水期水位下降，水位年变化幅度0.60m左右。大气降雨入渗是潜水主要补给源，其水位动态类型属于大气降水入渗补给型；排泄方式主要为大气蒸发和向下游排泄。</w:t>
      </w:r>
    </w:p>
    <w:p w14:paraId="04E3DFC7">
      <w:pPr>
        <w:ind w:firstLine="480"/>
        <w:rPr>
          <w:color w:val="auto"/>
        </w:rPr>
      </w:pPr>
      <w:r>
        <w:rPr>
          <w:color w:val="auto"/>
        </w:rPr>
        <w:t>②承压水</w:t>
      </w:r>
    </w:p>
    <w:p w14:paraId="350C9821">
      <w:pPr>
        <w:ind w:firstLine="480"/>
        <w:rPr>
          <w:color w:val="auto"/>
        </w:rPr>
      </w:pPr>
      <w:r>
        <w:rPr>
          <w:color w:val="auto"/>
        </w:rPr>
        <w:t>评价区承压水位受气候的影响微弱，主要接受上部潜水</w:t>
      </w:r>
      <w:r>
        <w:rPr>
          <w:rFonts w:hint="eastAsia"/>
          <w:color w:val="auto"/>
        </w:rPr>
        <w:t>径流</w:t>
      </w:r>
      <w:r>
        <w:rPr>
          <w:color w:val="auto"/>
        </w:rPr>
        <w:t>补给，排泄是通过人工开采的方式进行和向下游排泄。通过调查，区内承压水开采较少，地下水水位年内变幅较小，年变化幅度0.20m左右。</w:t>
      </w:r>
    </w:p>
    <w:p w14:paraId="3F3504BA">
      <w:pPr>
        <w:ind w:firstLine="480"/>
        <w:rPr>
          <w:color w:val="auto"/>
        </w:rPr>
      </w:pPr>
      <w:r>
        <w:rPr>
          <w:color w:val="auto"/>
        </w:rPr>
        <w:t>③基岩裂隙水</w:t>
      </w:r>
    </w:p>
    <w:p w14:paraId="70032C22">
      <w:pPr>
        <w:ind w:firstLine="480"/>
        <w:rPr>
          <w:color w:val="auto"/>
        </w:rPr>
      </w:pPr>
      <w:r>
        <w:rPr>
          <w:color w:val="auto"/>
        </w:rPr>
        <w:t>评价区变质岩基岩裂隙水埋深20.8～43.5m，主要接受上部潜水越流补给，排泄是通过人工开采的方式和向下游排泄进行。</w:t>
      </w:r>
    </w:p>
    <w:p w14:paraId="44C10904">
      <w:pPr>
        <w:ind w:firstLine="480"/>
        <w:rPr>
          <w:color w:val="auto"/>
        </w:rPr>
      </w:pPr>
      <w:r>
        <w:rPr>
          <w:color w:val="auto"/>
        </w:rPr>
        <w:t>⑵地下水补径排条件</w:t>
      </w:r>
    </w:p>
    <w:p w14:paraId="3C83B140">
      <w:pPr>
        <w:ind w:firstLine="480"/>
        <w:rPr>
          <w:color w:val="auto"/>
        </w:rPr>
      </w:pPr>
      <w:r>
        <w:rPr>
          <w:color w:val="auto"/>
        </w:rPr>
        <w:t>①地下水补给条件</w:t>
      </w:r>
    </w:p>
    <w:p w14:paraId="2333B314">
      <w:pPr>
        <w:ind w:firstLine="480"/>
        <w:rPr>
          <w:color w:val="auto"/>
        </w:rPr>
      </w:pPr>
      <w:r>
        <w:rPr>
          <w:color w:val="auto"/>
        </w:rPr>
        <w:t>由于潜水最接近于地表，其补给条件受地形、气象、水文、人类活动等诸多自然及人为因素的影响。评价区属滨海平原区，地势低洼平坦，高程一般1.50～6.00m，浅部地层岩性为粘土、淤泥，透水性较差，大气降水的入渗补给也一般，同时评价区地表水较发育，沟渠纵横交错，主要水系有临洪河、大浦河、宋跳河、东盐河、排淡河、大浦河入海水道、开泰支河、开泰河、曹圩河及程圩河等，使浅层地下水与地表水直接接触，因此，浅层地下水与地表水有密切的互补关系。本次调查过程中，根据临近区域资料及我院施工期间调查资料可知，丰水期地表水位一般高于地下水，地表水补给地下水体，而枯水季节地下水排泄于地表水。</w:t>
      </w:r>
    </w:p>
    <w:p w14:paraId="1169BD0B">
      <w:pPr>
        <w:ind w:firstLine="480"/>
        <w:rPr>
          <w:color w:val="auto"/>
        </w:rPr>
      </w:pPr>
      <w:r>
        <w:rPr>
          <w:color w:val="auto"/>
        </w:rPr>
        <w:t>②地下水径流条件</w:t>
      </w:r>
    </w:p>
    <w:p w14:paraId="2085FA02">
      <w:pPr>
        <w:ind w:firstLine="480"/>
        <w:rPr>
          <w:color w:val="auto"/>
        </w:rPr>
      </w:pPr>
      <w:r>
        <w:rPr>
          <w:color w:val="auto"/>
        </w:rPr>
        <w:t>评价区为滨海平原区，地势平坦，实测潜水位坡降为1.0‰左右，且地层岩性为粘土、淤泥，透水性较差，因此地下水水平径流速度迟缓。根据潜水位统测资料分析，评价区潜水流向依地形高差主流方向出西南向东北入海，承压水流向主流方向出西南向东北入海。</w:t>
      </w:r>
    </w:p>
    <w:p w14:paraId="4ED4DC3E">
      <w:pPr>
        <w:ind w:firstLine="480"/>
        <w:rPr>
          <w:color w:val="auto"/>
        </w:rPr>
      </w:pPr>
      <w:r>
        <w:rPr>
          <w:color w:val="auto"/>
        </w:rPr>
        <w:t>③地下水排泄条件</w:t>
      </w:r>
    </w:p>
    <w:p w14:paraId="5712153B">
      <w:pPr>
        <w:ind w:firstLine="480"/>
        <w:rPr>
          <w:color w:val="auto"/>
        </w:rPr>
      </w:pPr>
      <w:r>
        <w:rPr>
          <w:color w:val="auto"/>
        </w:rPr>
        <w:t>经调查，评价区内无地下水开采机井和民用井。拟建厂区水质较差，为盐水，不宜饮用，现农村为改善用水卫生条件，</w:t>
      </w:r>
      <w:r>
        <w:rPr>
          <w:rFonts w:hint="eastAsia"/>
          <w:color w:val="auto"/>
        </w:rPr>
        <w:t>基本</w:t>
      </w:r>
      <w:r>
        <w:rPr>
          <w:color w:val="auto"/>
        </w:rPr>
        <w:t>安装了自来水。地下水排泄主要以地面蒸发和侧向径流为</w:t>
      </w:r>
      <w:r>
        <w:rPr>
          <w:rFonts w:hint="eastAsia"/>
          <w:color w:val="auto"/>
        </w:rPr>
        <w:t>主。</w:t>
      </w:r>
    </w:p>
    <w:p w14:paraId="6BC5690C">
      <w:pPr>
        <w:spacing w:before="120" w:beforeLines="50"/>
        <w:ind w:firstLine="0" w:firstLineChars="0"/>
        <w:jc w:val="left"/>
        <w:outlineLvl w:val="3"/>
        <w:rPr>
          <w:b/>
          <w:color w:val="auto"/>
        </w:rPr>
      </w:pPr>
      <w:r>
        <w:rPr>
          <w:b/>
          <w:color w:val="auto"/>
        </w:rPr>
        <w:t>6.</w:t>
      </w:r>
      <w:r>
        <w:rPr>
          <w:rFonts w:hint="eastAsia"/>
          <w:b/>
          <w:color w:val="auto"/>
        </w:rPr>
        <w:t>2.</w:t>
      </w:r>
      <w:r>
        <w:rPr>
          <w:b/>
          <w:color w:val="auto"/>
        </w:rPr>
        <w:t>5.4 地下水富水性</w:t>
      </w:r>
    </w:p>
    <w:p w14:paraId="0F5BF1CA">
      <w:pPr>
        <w:ind w:firstLine="480"/>
        <w:rPr>
          <w:color w:val="auto"/>
        </w:rPr>
      </w:pPr>
      <w:r>
        <w:rPr>
          <w:color w:val="auto"/>
        </w:rPr>
        <w:t>（1）潜水富水性</w:t>
      </w:r>
    </w:p>
    <w:p w14:paraId="555792BF">
      <w:pPr>
        <w:ind w:firstLine="480"/>
        <w:rPr>
          <w:color w:val="auto"/>
        </w:rPr>
      </w:pPr>
      <w:r>
        <w:rPr>
          <w:color w:val="auto"/>
        </w:rPr>
        <w:t>根据评价区微水试验及已有的水文地质资料分析，潜水含水层岩性主要为粘土和淤泥层，厚9.6～13.7m，主要接受雨水和侧向径流补给，单井涌水量小于100m</w:t>
      </w:r>
      <w:r>
        <w:rPr>
          <w:color w:val="auto"/>
          <w:vertAlign w:val="superscript"/>
        </w:rPr>
        <w:t>3</w:t>
      </w:r>
      <w:r>
        <w:rPr>
          <w:color w:val="auto"/>
        </w:rPr>
        <w:t>/d，富水性弱。</w:t>
      </w:r>
    </w:p>
    <w:p w14:paraId="1BA5845A">
      <w:pPr>
        <w:ind w:firstLine="480"/>
        <w:rPr>
          <w:color w:val="auto"/>
        </w:rPr>
      </w:pPr>
      <w:r>
        <w:rPr>
          <w:color w:val="auto"/>
        </w:rPr>
        <w:t>（2）承压水富水性</w:t>
      </w:r>
    </w:p>
    <w:p w14:paraId="37D337CE">
      <w:pPr>
        <w:ind w:firstLine="480"/>
        <w:rPr>
          <w:color w:val="auto"/>
        </w:rPr>
      </w:pPr>
      <w:r>
        <w:rPr>
          <w:color w:val="auto"/>
        </w:rPr>
        <w:t>本次水文地质勘察仅针对潜水层，承压水层未有实测资料，根据评价区临近资料，承压水含水层岩性以中砂、粉细砂为主，评价深度内，含水层厚5.1～11.0m。单井涌水量100m</w:t>
      </w:r>
      <w:r>
        <w:rPr>
          <w:color w:val="auto"/>
          <w:vertAlign w:val="superscript"/>
        </w:rPr>
        <w:t>3</w:t>
      </w:r>
      <w:r>
        <w:rPr>
          <w:color w:val="auto"/>
        </w:rPr>
        <w:t>/d左右，渗透系数平均约3.00E-04cm/s，富水性中等</w:t>
      </w:r>
      <w:r>
        <w:rPr>
          <w:rFonts w:hint="eastAsia"/>
          <w:color w:val="auto"/>
        </w:rPr>
        <w:t>－</w:t>
      </w:r>
      <w:r>
        <w:rPr>
          <w:color w:val="auto"/>
        </w:rPr>
        <w:t>丰富。</w:t>
      </w:r>
    </w:p>
    <w:p w14:paraId="3D109BC6">
      <w:pPr>
        <w:ind w:firstLine="480"/>
        <w:rPr>
          <w:color w:val="auto"/>
        </w:rPr>
      </w:pPr>
      <w:r>
        <w:rPr>
          <w:color w:val="auto"/>
        </w:rPr>
        <w:t>（3）基岩裂隙水富水性</w:t>
      </w:r>
    </w:p>
    <w:p w14:paraId="4134CEC6">
      <w:pPr>
        <w:ind w:firstLine="480"/>
        <w:rPr>
          <w:color w:val="auto"/>
        </w:rPr>
      </w:pPr>
      <w:r>
        <w:rPr>
          <w:color w:val="auto"/>
        </w:rPr>
        <w:t>本次水文地质勘察仅针对潜水层，基岩裂隙水层未有实测资料，根据评价区临近资料，单井涌水量小于100m</w:t>
      </w:r>
      <w:r>
        <w:rPr>
          <w:color w:val="auto"/>
          <w:vertAlign w:val="superscript"/>
        </w:rPr>
        <w:t>3</w:t>
      </w:r>
      <w:r>
        <w:rPr>
          <w:color w:val="auto"/>
        </w:rPr>
        <w:t>/d，富水性弱。</w:t>
      </w:r>
    </w:p>
    <w:p w14:paraId="21ED6596">
      <w:pPr>
        <w:spacing w:before="120" w:beforeLines="50"/>
        <w:ind w:firstLine="0" w:firstLineChars="0"/>
        <w:jc w:val="left"/>
        <w:outlineLvl w:val="3"/>
        <w:rPr>
          <w:b/>
          <w:color w:val="auto"/>
        </w:rPr>
      </w:pPr>
      <w:r>
        <w:rPr>
          <w:b/>
          <w:color w:val="auto"/>
        </w:rPr>
        <w:t>6.</w:t>
      </w:r>
      <w:r>
        <w:rPr>
          <w:rFonts w:hint="eastAsia"/>
          <w:b/>
          <w:color w:val="auto"/>
        </w:rPr>
        <w:t>2.</w:t>
      </w:r>
      <w:r>
        <w:rPr>
          <w:b/>
          <w:color w:val="auto"/>
        </w:rPr>
        <w:t>5.5水文地质问题</w:t>
      </w:r>
    </w:p>
    <w:p w14:paraId="2B5EF54C">
      <w:pPr>
        <w:ind w:firstLine="480"/>
        <w:rPr>
          <w:color w:val="auto"/>
        </w:rPr>
      </w:pPr>
      <w:r>
        <w:rPr>
          <w:color w:val="auto"/>
        </w:rPr>
        <w:t>（1）评价区浅层地下水矿化度均大于10g/L，为盐水，且地下水中溶解性总硬度、矿化度、氯化物、硫酸盐等大多数指标超标，水质差，无生活饮用功能。</w:t>
      </w:r>
    </w:p>
    <w:p w14:paraId="74F53B39">
      <w:pPr>
        <w:ind w:firstLine="480"/>
        <w:rPr>
          <w:color w:val="auto"/>
        </w:rPr>
      </w:pPr>
      <w:r>
        <w:rPr>
          <w:color w:val="auto"/>
        </w:rPr>
        <w:t>（2）从区域内地层分布发育及结构特征分析，区域内浅部淤泥发育，为全新世沉积层，含水量一般，为不良工程地质层，强度极低，易触变、蠕动和震陷，属欠固结土，压缩性高，工程性能极差，同时由于该层厚度大，且处于抗震设防烈度Ⅶ度区，受强烈震动有出现震陷的可能，从而导致装置开裂渗漏及装置底部防渗土工膜破坏，对地下水造成污染。</w:t>
      </w:r>
    </w:p>
    <w:p w14:paraId="7EEDF902">
      <w:pPr>
        <w:ind w:firstLine="480"/>
        <w:rPr>
          <w:color w:val="auto"/>
        </w:rPr>
      </w:pPr>
      <w:r>
        <w:rPr>
          <w:color w:val="auto"/>
        </w:rPr>
        <w:t>（3）本区域内的基础下部岩性为粘土、淤泥层，厚11.0m左右，垂直渗透系数在1.00E-06cm/s左右，具微透水性，防污性能中等偏好；其下粘土垂直渗透系数在1.40E-06cm/s左右，厚度一般10m左右，为微透水层，防污性能中等偏好。</w:t>
      </w:r>
    </w:p>
    <w:p w14:paraId="0A76B2F2">
      <w:pPr>
        <w:ind w:firstLine="480"/>
        <w:rPr>
          <w:color w:val="auto"/>
        </w:rPr>
      </w:pPr>
      <w:r>
        <w:rPr>
          <w:color w:val="auto"/>
        </w:rPr>
        <w:t>因此，在评价区内的建设项目应做好防渗措施，同时评价区上部地层主要为淤泥软土层，容易产生不均匀沉降，引起评价区拟建物底部防渗层破坏和出现开裂现象导致污水渗漏等问题，甚至影响装置稳定性。</w:t>
      </w:r>
    </w:p>
    <w:p w14:paraId="06BBB314">
      <w:pPr>
        <w:spacing w:before="120" w:beforeLines="50"/>
        <w:ind w:firstLine="0" w:firstLineChars="0"/>
        <w:jc w:val="left"/>
        <w:outlineLvl w:val="3"/>
        <w:rPr>
          <w:b/>
          <w:color w:val="auto"/>
        </w:rPr>
      </w:pPr>
      <w:r>
        <w:rPr>
          <w:rFonts w:hint="eastAsia"/>
          <w:b/>
          <w:color w:val="auto"/>
        </w:rPr>
        <w:t>6.</w:t>
      </w:r>
      <w:r>
        <w:rPr>
          <w:b/>
          <w:color w:val="auto"/>
        </w:rPr>
        <w:t>2.5.</w:t>
      </w:r>
      <w:r>
        <w:rPr>
          <w:rFonts w:hint="eastAsia"/>
          <w:b/>
          <w:color w:val="auto"/>
        </w:rPr>
        <w:t xml:space="preserve">6 </w:t>
      </w:r>
      <w:r>
        <w:rPr>
          <w:b/>
          <w:color w:val="auto"/>
        </w:rPr>
        <w:t>地下水环境影响</w:t>
      </w:r>
      <w:r>
        <w:rPr>
          <w:rFonts w:hint="eastAsia"/>
          <w:b/>
          <w:color w:val="auto"/>
        </w:rPr>
        <w:t>预测与</w:t>
      </w:r>
      <w:r>
        <w:rPr>
          <w:b/>
          <w:color w:val="auto"/>
        </w:rPr>
        <w:t>评价</w:t>
      </w:r>
    </w:p>
    <w:p w14:paraId="69D1AC7A">
      <w:pPr>
        <w:pStyle w:val="1356"/>
        <w:ind w:firstLine="482"/>
        <w:rPr>
          <w:b/>
          <w:bCs/>
          <w:color w:val="auto"/>
        </w:rPr>
      </w:pPr>
      <w:r>
        <w:rPr>
          <w:rFonts w:hint="eastAsia"/>
          <w:b/>
          <w:bCs/>
          <w:color w:val="auto"/>
        </w:rPr>
        <w:t>1、</w:t>
      </w:r>
      <w:r>
        <w:rPr>
          <w:b/>
          <w:bCs/>
          <w:color w:val="auto"/>
        </w:rPr>
        <w:t>预测范围和时段</w:t>
      </w:r>
    </w:p>
    <w:p w14:paraId="2BD2B696">
      <w:pPr>
        <w:pStyle w:val="1356"/>
        <w:ind w:firstLine="480"/>
        <w:rPr>
          <w:color w:val="auto"/>
        </w:rPr>
      </w:pPr>
      <w:r>
        <w:rPr>
          <w:color w:val="auto"/>
        </w:rPr>
        <w:t>地下水环境影响预测范围与调查评价范围一致。潜水含水层较承压层水层易于污染，是建设项目需要考虑的最敏感含水层，因此作为本次影响预测的目的层。</w:t>
      </w:r>
    </w:p>
    <w:p w14:paraId="4DB37268">
      <w:pPr>
        <w:pStyle w:val="1356"/>
        <w:ind w:firstLine="480"/>
        <w:rPr>
          <w:color w:val="auto"/>
        </w:rPr>
      </w:pPr>
      <w:r>
        <w:rPr>
          <w:rFonts w:hint="eastAsia"/>
          <w:color w:val="auto"/>
        </w:rPr>
        <w:t>本次评价预测工况考虑最恶劣情况下，即在防渗措施已经无效的条件下废水下渗，预测时段包括污染发生后的100天、1000天以及10000天。</w:t>
      </w:r>
    </w:p>
    <w:p w14:paraId="7838D86B">
      <w:pPr>
        <w:pStyle w:val="1356"/>
        <w:ind w:firstLine="482"/>
        <w:rPr>
          <w:b/>
          <w:bCs/>
          <w:color w:val="auto"/>
        </w:rPr>
      </w:pPr>
      <w:r>
        <w:rPr>
          <w:rFonts w:hint="eastAsia"/>
          <w:b/>
          <w:bCs/>
          <w:color w:val="auto"/>
        </w:rPr>
        <w:t>2、</w:t>
      </w:r>
      <w:r>
        <w:rPr>
          <w:b/>
          <w:bCs/>
          <w:color w:val="auto"/>
        </w:rPr>
        <w:t>预测情景设置</w:t>
      </w:r>
      <w:r>
        <w:rPr>
          <w:rFonts w:hint="eastAsia"/>
          <w:b/>
          <w:bCs/>
          <w:color w:val="auto"/>
        </w:rPr>
        <w:t>和源强</w:t>
      </w:r>
    </w:p>
    <w:p w14:paraId="37D37C81">
      <w:pPr>
        <w:pStyle w:val="1356"/>
        <w:ind w:firstLine="482"/>
        <w:rPr>
          <w:b/>
          <w:bCs/>
          <w:color w:val="auto"/>
        </w:rPr>
      </w:pPr>
      <w:r>
        <w:rPr>
          <w:rFonts w:hint="eastAsia"/>
          <w:b/>
          <w:bCs/>
          <w:color w:val="auto"/>
        </w:rPr>
        <w:t>（1）情景设置</w:t>
      </w:r>
    </w:p>
    <w:p w14:paraId="475C2F9D">
      <w:pPr>
        <w:pStyle w:val="1356"/>
        <w:ind w:firstLine="480"/>
        <w:rPr>
          <w:color w:val="auto"/>
        </w:rPr>
      </w:pPr>
      <w:r>
        <w:rPr>
          <w:rFonts w:hint="eastAsia"/>
          <w:color w:val="auto"/>
        </w:rPr>
        <w:t>由于项目在设计时充分考虑了生产的收集处理，在正常状况下按《给排水构筑物工程施工及验收规范》(GB50141-2008</w:t>
      </w:r>
      <w:r>
        <w:rPr>
          <w:rFonts w:hint="eastAsia"/>
          <w:color w:val="auto"/>
          <w:lang w:eastAsia="zh-CN"/>
        </w:rPr>
        <w:t>）</w:t>
      </w:r>
      <w:r>
        <w:rPr>
          <w:rFonts w:hint="eastAsia"/>
          <w:color w:val="auto"/>
        </w:rPr>
        <w:t>及《给水排水管道工程施工及验收规范》(GB50268-2008</w:t>
      </w:r>
      <w:r>
        <w:rPr>
          <w:rFonts w:hint="eastAsia"/>
          <w:color w:val="auto"/>
          <w:lang w:eastAsia="zh-CN"/>
        </w:rPr>
        <w:t>）</w:t>
      </w:r>
      <w:r>
        <w:rPr>
          <w:rFonts w:hint="eastAsia"/>
          <w:color w:val="auto"/>
        </w:rPr>
        <w:t>的最大允许渗流量考虑。在非正常状况下，可能由于工艺设备或地下水环境保护措施因系统老化、腐蚀等原因不能正常运行或保护效果达不到设计要求时，预测源强可设定为正常状况的10或100倍，本环评取100倍。</w:t>
      </w:r>
    </w:p>
    <w:p w14:paraId="369B7034">
      <w:pPr>
        <w:pStyle w:val="1356"/>
        <w:ind w:firstLine="480"/>
        <w:rPr>
          <w:color w:val="auto"/>
        </w:rPr>
      </w:pPr>
      <w:r>
        <w:rPr>
          <w:rFonts w:hint="eastAsia"/>
          <w:color w:val="auto"/>
        </w:rPr>
        <w:t>（2）</w:t>
      </w:r>
      <w:r>
        <w:rPr>
          <w:color w:val="auto"/>
        </w:rPr>
        <w:t>预测源强</w:t>
      </w:r>
    </w:p>
    <w:p w14:paraId="042C5063">
      <w:pPr>
        <w:ind w:firstLine="480"/>
        <w:rPr>
          <w:color w:val="auto"/>
        </w:rPr>
      </w:pPr>
      <w:r>
        <w:rPr>
          <w:rFonts w:hint="eastAsia"/>
          <w:color w:val="auto"/>
        </w:rPr>
        <w:t>本项目预测源</w:t>
      </w:r>
      <w:r>
        <w:rPr>
          <w:rFonts w:hint="eastAsia"/>
          <w:color w:val="auto"/>
          <w:lang w:eastAsia="zh-CN"/>
        </w:rPr>
        <w:t>采取</w:t>
      </w:r>
      <w:r>
        <w:rPr>
          <w:rFonts w:hint="eastAsia"/>
          <w:color w:val="auto"/>
        </w:rPr>
        <w:t>污染物浓度较高的综合废水处理系统中调节池中污染物浓度。其中CODcr 289.45mg/L、总铝1455.69mg/L和总锡24.22mg/L。</w:t>
      </w:r>
    </w:p>
    <w:p w14:paraId="3314A31C">
      <w:pPr>
        <w:pStyle w:val="1356"/>
        <w:ind w:firstLine="480"/>
        <w:rPr>
          <w:color w:val="auto"/>
        </w:rPr>
      </w:pPr>
      <w:r>
        <w:rPr>
          <w:color w:val="auto"/>
        </w:rPr>
        <w:t>本项目生产过程中废水</w:t>
      </w:r>
      <w:r>
        <w:rPr>
          <w:rFonts w:hint="eastAsia"/>
          <w:color w:val="auto"/>
        </w:rPr>
        <w:t>主要</w:t>
      </w:r>
      <w:r>
        <w:rPr>
          <w:color w:val="auto"/>
        </w:rPr>
        <w:t>污染物为COD</w:t>
      </w:r>
      <w:r>
        <w:rPr>
          <w:rFonts w:hint="eastAsia"/>
          <w:color w:val="auto"/>
          <w:vertAlign w:val="subscript"/>
        </w:rPr>
        <w:t>Cr</w:t>
      </w:r>
      <w:r>
        <w:rPr>
          <w:rFonts w:hint="eastAsia"/>
          <w:color w:val="auto"/>
        </w:rPr>
        <w:t>，特征污染物包括</w:t>
      </w:r>
      <w:r>
        <w:rPr>
          <w:color w:val="auto"/>
        </w:rPr>
        <w:t>铝</w:t>
      </w:r>
      <w:r>
        <w:rPr>
          <w:rFonts w:hint="eastAsia"/>
          <w:color w:val="auto"/>
        </w:rPr>
        <w:t>、锡</w:t>
      </w:r>
      <w:r>
        <w:rPr>
          <w:color w:val="auto"/>
        </w:rPr>
        <w:t>等</w:t>
      </w:r>
      <w:r>
        <w:rPr>
          <w:rFonts w:hint="eastAsia"/>
          <w:color w:val="auto"/>
        </w:rPr>
        <w:t>。将</w:t>
      </w:r>
      <w:r>
        <w:rPr>
          <w:color w:val="auto"/>
        </w:rPr>
        <w:t>COD</w:t>
      </w:r>
      <w:r>
        <w:rPr>
          <w:rFonts w:hint="eastAsia"/>
          <w:color w:val="auto"/>
          <w:vertAlign w:val="subscript"/>
        </w:rPr>
        <w:t>Cr</w:t>
      </w:r>
      <w:r>
        <w:rPr>
          <w:rFonts w:hint="eastAsia"/>
          <w:color w:val="auto"/>
        </w:rPr>
        <w:t>转化为COD</w:t>
      </w:r>
      <w:r>
        <w:rPr>
          <w:rFonts w:hint="eastAsia"/>
          <w:color w:val="auto"/>
          <w:vertAlign w:val="subscript"/>
        </w:rPr>
        <w:t>Mn</w:t>
      </w:r>
      <w:r>
        <w:rPr>
          <w:rFonts w:hint="eastAsia"/>
          <w:color w:val="auto"/>
        </w:rPr>
        <w:t>，一般可取</w:t>
      </w:r>
      <w:r>
        <w:rPr>
          <w:color w:val="auto"/>
        </w:rPr>
        <w:t>COD</w:t>
      </w:r>
      <w:r>
        <w:rPr>
          <w:rFonts w:hint="eastAsia"/>
          <w:color w:val="auto"/>
          <w:vertAlign w:val="subscript"/>
        </w:rPr>
        <w:t>Cr</w:t>
      </w:r>
      <w:r>
        <w:rPr>
          <w:rFonts w:hint="eastAsia"/>
          <w:color w:val="auto"/>
        </w:rPr>
        <w:t>：COD</w:t>
      </w:r>
      <w:r>
        <w:rPr>
          <w:rFonts w:hint="eastAsia"/>
          <w:color w:val="auto"/>
          <w:vertAlign w:val="subscript"/>
        </w:rPr>
        <w:t>Mn</w:t>
      </w:r>
      <w:r>
        <w:rPr>
          <w:rFonts w:hint="eastAsia"/>
          <w:color w:val="auto"/>
        </w:rPr>
        <w:t>为4</w:t>
      </w:r>
      <w:r>
        <w:rPr>
          <w:rFonts w:hint="eastAsia"/>
          <w:color w:val="auto"/>
          <w:lang w:eastAsia="zh-CN"/>
        </w:rPr>
        <w:t>:</w:t>
      </w:r>
      <w:r>
        <w:rPr>
          <w:rFonts w:hint="eastAsia"/>
          <w:color w:val="auto"/>
        </w:rPr>
        <w:t>1。</w:t>
      </w:r>
    </w:p>
    <w:p w14:paraId="39C2250A">
      <w:pPr>
        <w:spacing w:line="240" w:lineRule="auto"/>
        <w:ind w:firstLine="0" w:firstLineChars="0"/>
        <w:jc w:val="center"/>
        <w:rPr>
          <w:b/>
          <w:bCs/>
          <w:color w:val="auto"/>
        </w:rPr>
      </w:pPr>
      <w:r>
        <w:rPr>
          <w:rFonts w:hint="eastAsia"/>
          <w:b/>
          <w:bCs/>
          <w:color w:val="auto"/>
        </w:rPr>
        <w:t>表6.2.5-1  各预测对象污染因子情况表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32"/>
        <w:gridCol w:w="3132"/>
        <w:gridCol w:w="3133"/>
      </w:tblGrid>
      <w:tr w14:paraId="3F72B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6813CF7D">
            <w:pPr>
              <w:spacing w:line="240" w:lineRule="auto"/>
              <w:ind w:firstLine="0" w:firstLineChars="0"/>
              <w:jc w:val="center"/>
              <w:rPr>
                <w:b/>
                <w:bCs/>
                <w:color w:val="auto"/>
                <w:sz w:val="21"/>
                <w:szCs w:val="21"/>
              </w:rPr>
            </w:pPr>
            <w:r>
              <w:rPr>
                <w:rFonts w:hint="eastAsia"/>
                <w:b/>
                <w:bCs/>
                <w:color w:val="auto"/>
                <w:sz w:val="21"/>
                <w:szCs w:val="21"/>
              </w:rPr>
              <w:t>废水来源</w:t>
            </w:r>
          </w:p>
        </w:tc>
        <w:tc>
          <w:tcPr>
            <w:tcW w:w="1666" w:type="pct"/>
            <w:tcBorders>
              <w:tl2br w:val="nil"/>
              <w:tr2bl w:val="nil"/>
            </w:tcBorders>
            <w:vAlign w:val="center"/>
          </w:tcPr>
          <w:p w14:paraId="5B0BECF6">
            <w:pPr>
              <w:spacing w:line="240" w:lineRule="auto"/>
              <w:ind w:firstLine="0" w:firstLineChars="0"/>
              <w:jc w:val="center"/>
              <w:rPr>
                <w:b/>
                <w:bCs/>
                <w:color w:val="auto"/>
                <w:sz w:val="21"/>
                <w:szCs w:val="21"/>
              </w:rPr>
            </w:pPr>
            <w:r>
              <w:rPr>
                <w:rFonts w:hint="eastAsia"/>
                <w:b/>
                <w:bCs/>
                <w:color w:val="auto"/>
                <w:sz w:val="21"/>
                <w:szCs w:val="21"/>
              </w:rPr>
              <w:t>污染物</w:t>
            </w:r>
          </w:p>
        </w:tc>
        <w:tc>
          <w:tcPr>
            <w:tcW w:w="1666" w:type="pct"/>
            <w:tcBorders>
              <w:tl2br w:val="nil"/>
              <w:tr2bl w:val="nil"/>
            </w:tcBorders>
            <w:vAlign w:val="center"/>
          </w:tcPr>
          <w:p w14:paraId="738E918D">
            <w:pPr>
              <w:spacing w:line="240" w:lineRule="auto"/>
              <w:ind w:firstLine="0" w:firstLineChars="0"/>
              <w:jc w:val="center"/>
              <w:rPr>
                <w:b/>
                <w:bCs/>
                <w:color w:val="auto"/>
                <w:sz w:val="21"/>
                <w:szCs w:val="21"/>
              </w:rPr>
            </w:pPr>
            <w:r>
              <w:rPr>
                <w:rFonts w:hint="eastAsia"/>
                <w:b/>
                <w:bCs/>
                <w:color w:val="auto"/>
                <w:sz w:val="21"/>
                <w:szCs w:val="21"/>
              </w:rPr>
              <w:t>污染物浓度（mg/L）</w:t>
            </w:r>
          </w:p>
        </w:tc>
      </w:tr>
      <w:tr w14:paraId="44F1B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restart"/>
            <w:tcBorders>
              <w:tl2br w:val="nil"/>
              <w:tr2bl w:val="nil"/>
            </w:tcBorders>
            <w:vAlign w:val="center"/>
          </w:tcPr>
          <w:p w14:paraId="2EABA848">
            <w:pPr>
              <w:spacing w:line="240" w:lineRule="auto"/>
              <w:ind w:firstLine="0" w:firstLineChars="0"/>
              <w:jc w:val="center"/>
              <w:rPr>
                <w:color w:val="auto"/>
                <w:sz w:val="21"/>
                <w:szCs w:val="21"/>
              </w:rPr>
            </w:pPr>
            <w:r>
              <w:rPr>
                <w:rFonts w:hint="eastAsia"/>
                <w:color w:val="auto"/>
                <w:sz w:val="21"/>
                <w:szCs w:val="21"/>
              </w:rPr>
              <w:t>综合废水处理系统调节池</w:t>
            </w:r>
          </w:p>
        </w:tc>
        <w:tc>
          <w:tcPr>
            <w:tcW w:w="1666" w:type="pct"/>
            <w:tcBorders>
              <w:tl2br w:val="nil"/>
              <w:tr2bl w:val="nil"/>
            </w:tcBorders>
            <w:vAlign w:val="center"/>
          </w:tcPr>
          <w:p w14:paraId="0A63A5A1">
            <w:pPr>
              <w:spacing w:line="240" w:lineRule="auto"/>
              <w:ind w:firstLine="0" w:firstLineChars="0"/>
              <w:jc w:val="center"/>
              <w:rPr>
                <w:color w:val="auto"/>
                <w:sz w:val="21"/>
                <w:szCs w:val="21"/>
              </w:rPr>
            </w:pPr>
            <w:r>
              <w:rPr>
                <w:rFonts w:hint="eastAsia"/>
                <w:color w:val="auto"/>
                <w:sz w:val="21"/>
                <w:szCs w:val="21"/>
                <w:lang w:val="en-US" w:eastAsia="zh-CN"/>
              </w:rPr>
              <w:t>耗氧量</w:t>
            </w:r>
          </w:p>
        </w:tc>
        <w:tc>
          <w:tcPr>
            <w:tcW w:w="1666" w:type="pct"/>
            <w:tcBorders>
              <w:tl2br w:val="nil"/>
              <w:tr2bl w:val="nil"/>
            </w:tcBorders>
            <w:vAlign w:val="center"/>
          </w:tcPr>
          <w:p w14:paraId="2BD5D24E">
            <w:pPr>
              <w:spacing w:line="240" w:lineRule="auto"/>
              <w:ind w:firstLine="0" w:firstLineChars="0"/>
              <w:jc w:val="center"/>
              <w:rPr>
                <w:color w:val="auto"/>
                <w:sz w:val="21"/>
                <w:szCs w:val="21"/>
              </w:rPr>
            </w:pPr>
            <w:r>
              <w:rPr>
                <w:rFonts w:hint="eastAsia"/>
                <w:color w:val="auto"/>
                <w:sz w:val="21"/>
                <w:szCs w:val="21"/>
              </w:rPr>
              <w:t>1157.8</w:t>
            </w:r>
          </w:p>
        </w:tc>
      </w:tr>
      <w:tr w14:paraId="5CE53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continue"/>
            <w:tcBorders>
              <w:tl2br w:val="nil"/>
              <w:tr2bl w:val="nil"/>
            </w:tcBorders>
            <w:vAlign w:val="center"/>
          </w:tcPr>
          <w:p w14:paraId="07552E59">
            <w:pPr>
              <w:spacing w:line="240" w:lineRule="auto"/>
              <w:ind w:firstLine="0" w:firstLineChars="0"/>
              <w:jc w:val="center"/>
              <w:rPr>
                <w:color w:val="auto"/>
                <w:sz w:val="21"/>
                <w:szCs w:val="21"/>
              </w:rPr>
            </w:pPr>
          </w:p>
        </w:tc>
        <w:tc>
          <w:tcPr>
            <w:tcW w:w="1666" w:type="pct"/>
            <w:tcBorders>
              <w:tl2br w:val="nil"/>
              <w:tr2bl w:val="nil"/>
            </w:tcBorders>
            <w:vAlign w:val="center"/>
          </w:tcPr>
          <w:p w14:paraId="69DFD084">
            <w:pPr>
              <w:spacing w:line="240" w:lineRule="auto"/>
              <w:ind w:firstLine="0" w:firstLineChars="0"/>
              <w:jc w:val="center"/>
              <w:rPr>
                <w:color w:val="auto"/>
                <w:sz w:val="21"/>
                <w:szCs w:val="21"/>
              </w:rPr>
            </w:pPr>
            <w:r>
              <w:rPr>
                <w:rFonts w:hint="eastAsia"/>
                <w:color w:val="auto"/>
                <w:sz w:val="21"/>
                <w:szCs w:val="21"/>
              </w:rPr>
              <w:t>总铝</w:t>
            </w:r>
          </w:p>
        </w:tc>
        <w:tc>
          <w:tcPr>
            <w:tcW w:w="1666" w:type="pct"/>
            <w:tcBorders>
              <w:tl2br w:val="nil"/>
              <w:tr2bl w:val="nil"/>
            </w:tcBorders>
            <w:vAlign w:val="center"/>
          </w:tcPr>
          <w:p w14:paraId="4A4F3D08">
            <w:pPr>
              <w:spacing w:line="240" w:lineRule="auto"/>
              <w:ind w:firstLine="0" w:firstLineChars="0"/>
              <w:jc w:val="center"/>
              <w:rPr>
                <w:color w:val="auto"/>
                <w:sz w:val="21"/>
                <w:szCs w:val="21"/>
              </w:rPr>
            </w:pPr>
            <w:r>
              <w:rPr>
                <w:rFonts w:hint="eastAsia"/>
                <w:color w:val="auto"/>
                <w:sz w:val="21"/>
                <w:szCs w:val="21"/>
              </w:rPr>
              <w:t>1455.69</w:t>
            </w:r>
          </w:p>
        </w:tc>
      </w:tr>
      <w:tr w14:paraId="20235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continue"/>
            <w:tcBorders>
              <w:tl2br w:val="nil"/>
              <w:tr2bl w:val="nil"/>
            </w:tcBorders>
            <w:vAlign w:val="center"/>
          </w:tcPr>
          <w:p w14:paraId="607C8FDC">
            <w:pPr>
              <w:spacing w:line="240" w:lineRule="auto"/>
              <w:ind w:firstLine="0" w:firstLineChars="0"/>
              <w:jc w:val="center"/>
              <w:rPr>
                <w:color w:val="auto"/>
                <w:sz w:val="21"/>
                <w:szCs w:val="21"/>
              </w:rPr>
            </w:pPr>
          </w:p>
        </w:tc>
        <w:tc>
          <w:tcPr>
            <w:tcW w:w="1666" w:type="pct"/>
            <w:tcBorders>
              <w:tl2br w:val="nil"/>
              <w:tr2bl w:val="nil"/>
            </w:tcBorders>
            <w:vAlign w:val="center"/>
          </w:tcPr>
          <w:p w14:paraId="25A7CAFB">
            <w:pPr>
              <w:spacing w:line="240" w:lineRule="auto"/>
              <w:ind w:firstLine="0" w:firstLineChars="0"/>
              <w:jc w:val="center"/>
              <w:rPr>
                <w:color w:val="auto"/>
                <w:sz w:val="21"/>
                <w:szCs w:val="21"/>
              </w:rPr>
            </w:pPr>
            <w:r>
              <w:rPr>
                <w:rFonts w:hint="eastAsia"/>
                <w:color w:val="auto"/>
                <w:sz w:val="21"/>
                <w:szCs w:val="21"/>
              </w:rPr>
              <w:t>总锡</w:t>
            </w:r>
          </w:p>
        </w:tc>
        <w:tc>
          <w:tcPr>
            <w:tcW w:w="1666" w:type="pct"/>
            <w:tcBorders>
              <w:tl2br w:val="nil"/>
              <w:tr2bl w:val="nil"/>
            </w:tcBorders>
            <w:vAlign w:val="center"/>
          </w:tcPr>
          <w:p w14:paraId="3122D3C7">
            <w:pPr>
              <w:spacing w:line="240" w:lineRule="auto"/>
              <w:ind w:firstLine="0" w:firstLineChars="0"/>
              <w:jc w:val="center"/>
              <w:rPr>
                <w:color w:val="auto"/>
                <w:sz w:val="21"/>
                <w:szCs w:val="21"/>
              </w:rPr>
            </w:pPr>
            <w:r>
              <w:rPr>
                <w:rFonts w:hint="eastAsia"/>
                <w:color w:val="auto"/>
                <w:sz w:val="21"/>
                <w:szCs w:val="21"/>
              </w:rPr>
              <w:t>24.22</w:t>
            </w:r>
          </w:p>
        </w:tc>
      </w:tr>
    </w:tbl>
    <w:p w14:paraId="06A36C3E">
      <w:pPr>
        <w:numPr>
          <w:ilvl w:val="0"/>
          <w:numId w:val="26"/>
        </w:numPr>
        <w:ind w:firstLine="480"/>
        <w:rPr>
          <w:color w:val="auto"/>
        </w:rPr>
      </w:pPr>
      <w:r>
        <w:rPr>
          <w:rFonts w:hint="eastAsia"/>
          <w:color w:val="auto"/>
        </w:rPr>
        <w:t>正常状况</w:t>
      </w:r>
    </w:p>
    <w:p w14:paraId="467C3A86">
      <w:pPr>
        <w:ind w:firstLine="480"/>
        <w:rPr>
          <w:color w:val="auto"/>
        </w:rPr>
      </w:pPr>
      <w:r>
        <w:rPr>
          <w:color w:val="auto"/>
        </w:rPr>
        <w:t>正常状况下，各生产环节按照设计参数运行，地下水可能的污染来源为各污水输送管网、污水处理池、事故应急池等跑冒滴漏。</w:t>
      </w:r>
    </w:p>
    <w:p w14:paraId="26DE02C5">
      <w:pPr>
        <w:ind w:firstLine="480"/>
        <w:rPr>
          <w:color w:val="auto"/>
        </w:rPr>
      </w:pPr>
      <w:r>
        <w:rPr>
          <w:color w:val="auto"/>
        </w:rPr>
        <w:t>新建项目工程防渗措施均按照设计要求进行，采取严格的防渗、防溢流、防泄漏、防腐蚀等措施，且措施未发生破坏正常运行情况，污水不会渗入和进入地下，对地下水不会造成污染，故目前不进行正常状况下的预测。</w:t>
      </w:r>
    </w:p>
    <w:p w14:paraId="2E1CFC1C">
      <w:pPr>
        <w:ind w:firstLine="480"/>
        <w:rPr>
          <w:color w:val="auto"/>
        </w:rPr>
      </w:pPr>
      <w:r>
        <w:rPr>
          <w:color w:val="auto"/>
        </w:rPr>
        <w:t>（2）非正常工况</w:t>
      </w:r>
    </w:p>
    <w:p w14:paraId="29008F05">
      <w:pPr>
        <w:ind w:firstLine="480"/>
        <w:rPr>
          <w:color w:val="auto"/>
        </w:rPr>
      </w:pPr>
      <w:r>
        <w:rPr>
          <w:color w:val="auto"/>
        </w:rPr>
        <w:t>在防渗措施因老化造成局部失效的情况下，此时废水更容易经包气带进入地下水。非正常状况下，废水调节池发生渗漏，废水经包气带进入潜水含水层。污水调节池底部和地下四周面积约为</w:t>
      </w:r>
      <w:r>
        <w:rPr>
          <w:rFonts w:hint="eastAsia"/>
          <w:color w:val="auto"/>
        </w:rPr>
        <w:t>70</w:t>
      </w:r>
      <w:r>
        <w:rPr>
          <w:color w:val="auto"/>
        </w:rPr>
        <w:t>m</w:t>
      </w:r>
      <w:r>
        <w:rPr>
          <w:color w:val="auto"/>
          <w:vertAlign w:val="superscript"/>
        </w:rPr>
        <w:t>2</w:t>
      </w:r>
      <w:r>
        <w:rPr>
          <w:color w:val="auto"/>
        </w:rPr>
        <w:t>，渗漏面积按池底面积的2‰计算，根据《给水排水构筑物工程施工及验收规范》（GB50141-2008），钢筋混凝土结构水池渗水量不得超过2L/（m</w:t>
      </w:r>
      <w:r>
        <w:rPr>
          <w:color w:val="auto"/>
          <w:vertAlign w:val="superscript"/>
        </w:rPr>
        <w:t>2</w:t>
      </w:r>
      <w:r>
        <w:rPr>
          <w:color w:val="auto"/>
        </w:rPr>
        <w:t>·d），非正常状况按照正常状况的100倍考虑，则非正常状况下，污水调节池渗水量为</w:t>
      </w:r>
      <w:r>
        <w:rPr>
          <w:rFonts w:hint="eastAsia"/>
          <w:color w:val="auto"/>
        </w:rPr>
        <w:t>0.028</w:t>
      </w:r>
      <w:r>
        <w:rPr>
          <w:color w:val="auto"/>
        </w:rPr>
        <w:t>m</w:t>
      </w:r>
      <w:r>
        <w:rPr>
          <w:color w:val="auto"/>
          <w:vertAlign w:val="superscript"/>
        </w:rPr>
        <w:t>3</w:t>
      </w:r>
      <w:r>
        <w:rPr>
          <w:color w:val="auto"/>
        </w:rPr>
        <w:t>/d。</w:t>
      </w:r>
    </w:p>
    <w:p w14:paraId="157B8C49">
      <w:pPr>
        <w:spacing w:before="120" w:beforeLines="50"/>
        <w:ind w:firstLine="0" w:firstLineChars="0"/>
        <w:jc w:val="left"/>
        <w:outlineLvl w:val="3"/>
        <w:rPr>
          <w:b/>
          <w:bCs/>
          <w:color w:val="auto"/>
        </w:rPr>
      </w:pPr>
      <w:r>
        <w:rPr>
          <w:rFonts w:hint="eastAsia"/>
          <w:b/>
          <w:bCs/>
          <w:color w:val="auto"/>
        </w:rPr>
        <w:t>6.2.5.7 地下水影响预测</w:t>
      </w:r>
    </w:p>
    <w:p w14:paraId="3FC17B5A">
      <w:pPr>
        <w:pStyle w:val="1356"/>
        <w:ind w:firstLine="482"/>
        <w:rPr>
          <w:b/>
          <w:bCs/>
          <w:color w:val="auto"/>
        </w:rPr>
      </w:pPr>
      <w:r>
        <w:rPr>
          <w:rFonts w:hint="eastAsia"/>
          <w:b/>
          <w:bCs/>
          <w:color w:val="auto"/>
        </w:rPr>
        <w:t>1、</w:t>
      </w:r>
      <w:r>
        <w:rPr>
          <w:b/>
          <w:bCs/>
          <w:color w:val="auto"/>
        </w:rPr>
        <w:t>预测模型</w:t>
      </w:r>
    </w:p>
    <w:p w14:paraId="7CA5F353">
      <w:pPr>
        <w:ind w:firstLine="480"/>
        <w:rPr>
          <w:color w:val="auto"/>
        </w:rPr>
      </w:pPr>
      <w:r>
        <w:rPr>
          <w:color w:val="auto"/>
        </w:rPr>
        <w:t>污染物非正常排放工况的潜水环境影响预测采用《环境影响评价技术导则</w:t>
      </w:r>
      <w:r>
        <w:rPr>
          <w:rFonts w:hint="eastAsia"/>
          <w:color w:val="auto"/>
        </w:rPr>
        <w:t>－</w:t>
      </w:r>
      <w:r>
        <w:rPr>
          <w:color w:val="auto"/>
        </w:rPr>
        <w:t>地下水环境》（HJ610-2016）推荐的一维稳定流动一维水动力弥散模型，概化条件为一维半无限长多孔介质柱体，一端为定浓度边界。其解析解为：</w:t>
      </w:r>
    </w:p>
    <w:p w14:paraId="0574A9DF">
      <w:pPr>
        <w:ind w:firstLine="0" w:firstLineChars="0"/>
        <w:jc w:val="center"/>
        <w:rPr>
          <w:color w:val="auto"/>
        </w:rPr>
      </w:pPr>
      <w:r>
        <w:rPr>
          <w:color w:val="auto"/>
        </w:rPr>
        <w:drawing>
          <wp:inline distT="0" distB="0" distL="0" distR="0">
            <wp:extent cx="2489200" cy="435610"/>
            <wp:effectExtent l="0" t="0" r="6350" b="2540"/>
            <wp:docPr id="316487329" name="图片 31648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7329" name="图片 316487329"/>
                    <pic:cNvPicPr>
                      <a:picLocks noChangeAspect="1"/>
                    </pic:cNvPicPr>
                  </pic:nvPicPr>
                  <pic:blipFill>
                    <a:blip r:embed="rId49"/>
                    <a:stretch>
                      <a:fillRect/>
                    </a:stretch>
                  </pic:blipFill>
                  <pic:spPr>
                    <a:xfrm>
                      <a:off x="0" y="0"/>
                      <a:ext cx="2582663" cy="452464"/>
                    </a:xfrm>
                    <a:prstGeom prst="rect">
                      <a:avLst/>
                    </a:prstGeom>
                  </pic:spPr>
                </pic:pic>
              </a:graphicData>
            </a:graphic>
          </wp:inline>
        </w:drawing>
      </w:r>
    </w:p>
    <w:p w14:paraId="67A58715">
      <w:pPr>
        <w:ind w:firstLine="480"/>
        <w:rPr>
          <w:color w:val="auto"/>
        </w:rPr>
      </w:pPr>
      <w:r>
        <w:rPr>
          <w:color w:val="auto"/>
        </w:rPr>
        <w:t>式中：</w:t>
      </w:r>
      <w:r>
        <w:rPr>
          <w:i/>
          <w:color w:val="auto"/>
        </w:rPr>
        <w:t>x</w:t>
      </w:r>
      <w:r>
        <w:rPr>
          <w:color w:val="auto"/>
        </w:rPr>
        <w:t>——距注入点的距离，m；</w:t>
      </w:r>
    </w:p>
    <w:p w14:paraId="543C1DE0">
      <w:pPr>
        <w:ind w:firstLine="1200" w:firstLineChars="500"/>
        <w:rPr>
          <w:color w:val="auto"/>
        </w:rPr>
      </w:pPr>
      <w:r>
        <w:rPr>
          <w:i/>
          <w:color w:val="auto"/>
        </w:rPr>
        <w:t>t</w:t>
      </w:r>
      <w:r>
        <w:rPr>
          <w:color w:val="auto"/>
        </w:rPr>
        <w:t>——时间，d；</w:t>
      </w:r>
    </w:p>
    <w:p w14:paraId="2152EDC6">
      <w:pPr>
        <w:ind w:firstLine="1200" w:firstLineChars="500"/>
        <w:rPr>
          <w:color w:val="auto"/>
        </w:rPr>
      </w:pPr>
      <w:r>
        <w:rPr>
          <w:i/>
          <w:color w:val="auto"/>
        </w:rPr>
        <w:t>C（X,t）</w:t>
      </w:r>
      <w:r>
        <w:rPr>
          <w:color w:val="auto"/>
        </w:rPr>
        <w:t>—</w:t>
      </w:r>
      <w:r>
        <w:rPr>
          <w:i/>
          <w:color w:val="auto"/>
        </w:rPr>
        <w:t>t</w:t>
      </w:r>
      <w:r>
        <w:rPr>
          <w:color w:val="auto"/>
        </w:rPr>
        <w:t>时刻</w:t>
      </w:r>
      <w:r>
        <w:rPr>
          <w:i/>
          <w:color w:val="auto"/>
        </w:rPr>
        <w:t>x</w:t>
      </w:r>
      <w:r>
        <w:rPr>
          <w:color w:val="auto"/>
        </w:rPr>
        <w:t>处的示踪剂质量浓度，g/L；</w:t>
      </w:r>
    </w:p>
    <w:p w14:paraId="05787EC7">
      <w:pPr>
        <w:ind w:firstLine="1200" w:firstLineChars="500"/>
        <w:rPr>
          <w:color w:val="auto"/>
        </w:rPr>
      </w:pPr>
      <w:r>
        <w:rPr>
          <w:i/>
          <w:color w:val="auto"/>
        </w:rPr>
        <w:t>C</w:t>
      </w:r>
      <w:r>
        <w:rPr>
          <w:i/>
          <w:color w:val="auto"/>
          <w:vertAlign w:val="subscript"/>
        </w:rPr>
        <w:t>0</w:t>
      </w:r>
      <w:r>
        <w:rPr>
          <w:color w:val="auto"/>
        </w:rPr>
        <w:t>——注入的示踪剂浓度，g/L；</w:t>
      </w:r>
    </w:p>
    <w:p w14:paraId="7AA45475">
      <w:pPr>
        <w:ind w:firstLine="1200" w:firstLineChars="500"/>
        <w:rPr>
          <w:color w:val="auto"/>
        </w:rPr>
      </w:pPr>
      <w:r>
        <w:rPr>
          <w:i/>
          <w:color w:val="auto"/>
        </w:rPr>
        <w:t>u</w:t>
      </w:r>
      <w:r>
        <w:rPr>
          <w:color w:val="auto"/>
        </w:rPr>
        <w:t>——水流速度，m/d；</w:t>
      </w:r>
    </w:p>
    <w:p w14:paraId="0D49073D">
      <w:pPr>
        <w:ind w:firstLine="1200" w:firstLineChars="500"/>
        <w:rPr>
          <w:color w:val="auto"/>
        </w:rPr>
      </w:pPr>
      <w:r>
        <w:rPr>
          <w:i/>
          <w:color w:val="auto"/>
        </w:rPr>
        <w:t>D</w:t>
      </w:r>
      <w:r>
        <w:rPr>
          <w:i/>
          <w:color w:val="auto"/>
          <w:vertAlign w:val="subscript"/>
        </w:rPr>
        <w:t>L</w:t>
      </w:r>
      <w:r>
        <w:rPr>
          <w:color w:val="auto"/>
        </w:rPr>
        <w:t>——纵向弥散系数，m</w:t>
      </w:r>
      <w:r>
        <w:rPr>
          <w:color w:val="auto"/>
          <w:vertAlign w:val="superscript"/>
        </w:rPr>
        <w:t>2</w:t>
      </w:r>
      <w:r>
        <w:rPr>
          <w:color w:val="auto"/>
        </w:rPr>
        <w:t>/d；</w:t>
      </w:r>
    </w:p>
    <w:p w14:paraId="45A77704">
      <w:pPr>
        <w:ind w:firstLine="1200" w:firstLineChars="500"/>
        <w:rPr>
          <w:color w:val="auto"/>
        </w:rPr>
      </w:pPr>
      <w:r>
        <w:rPr>
          <w:color w:val="auto"/>
        </w:rPr>
        <w:t>erfc（）——余误差函数。</w:t>
      </w:r>
    </w:p>
    <w:p w14:paraId="448DB5B6">
      <w:pPr>
        <w:ind w:firstLine="482"/>
        <w:rPr>
          <w:b/>
          <w:color w:val="auto"/>
        </w:rPr>
      </w:pPr>
      <w:r>
        <w:rPr>
          <w:b/>
          <w:color w:val="auto"/>
        </w:rPr>
        <w:t>2、水文地质参数</w:t>
      </w:r>
      <w:r>
        <w:rPr>
          <w:rFonts w:hint="eastAsia"/>
          <w:b/>
          <w:color w:val="auto"/>
        </w:rPr>
        <w:t>确定</w:t>
      </w:r>
    </w:p>
    <w:p w14:paraId="0B80D81E">
      <w:pPr>
        <w:ind w:firstLine="480"/>
        <w:rPr>
          <w:color w:val="auto"/>
        </w:rPr>
      </w:pPr>
      <w:r>
        <w:rPr>
          <w:color w:val="auto"/>
        </w:rPr>
        <w:t>（1）渗透系数</w:t>
      </w:r>
    </w:p>
    <w:p w14:paraId="68EFB7EF">
      <w:pPr>
        <w:ind w:firstLine="480"/>
        <w:rPr>
          <w:color w:val="auto"/>
        </w:rPr>
      </w:pPr>
      <w:r>
        <w:rPr>
          <w:color w:val="auto"/>
        </w:rPr>
        <w:t>根据前文所述项目厂区潜水含水层土层主要为粉质粘土，潜水含水层渗透系数取值根据《环境影响评价技术导则</w:t>
      </w:r>
      <w:r>
        <w:rPr>
          <w:rFonts w:hint="eastAsia"/>
          <w:color w:val="auto"/>
        </w:rPr>
        <w:t xml:space="preserve"> </w:t>
      </w:r>
      <w:r>
        <w:rPr>
          <w:color w:val="auto"/>
        </w:rPr>
        <w:t>地下水环境》（HJ610-2016）附录B中表B.1推荐的经验值亚黏土渗透系数0.1m/d～0.25m/d。</w:t>
      </w:r>
    </w:p>
    <w:p w14:paraId="4F703F23">
      <w:pPr>
        <w:ind w:firstLine="480"/>
        <w:rPr>
          <w:color w:val="auto"/>
        </w:rPr>
      </w:pPr>
      <w:r>
        <w:rPr>
          <w:color w:val="auto"/>
        </w:rPr>
        <w:t>（2）孔隙度的确定</w:t>
      </w:r>
    </w:p>
    <w:p w14:paraId="20331076">
      <w:pPr>
        <w:ind w:firstLine="480"/>
        <w:rPr>
          <w:color w:val="auto"/>
        </w:rPr>
      </w:pPr>
      <w:r>
        <w:rPr>
          <w:color w:val="auto"/>
        </w:rPr>
        <w:t>岩石和土壤孔隙度的大小与颗粒的排列方式、颗粒大小、分选性、颗粒形状以及胶结程度有关，不同岩性孔隙度大小见表6.</w:t>
      </w:r>
      <w:r>
        <w:rPr>
          <w:rFonts w:hint="eastAsia"/>
          <w:color w:val="auto"/>
        </w:rPr>
        <w:t>2.5-3</w:t>
      </w:r>
      <w:r>
        <w:rPr>
          <w:color w:val="auto"/>
        </w:rPr>
        <w:t>。研究区的岩性主要为粉质粘土，孔隙度取值为0.3。</w:t>
      </w:r>
    </w:p>
    <w:p w14:paraId="620B442D">
      <w:pPr>
        <w:pStyle w:val="151"/>
        <w:snapToGrid w:val="0"/>
        <w:jc w:val="center"/>
        <w:rPr>
          <w:rFonts w:ascii="Times New Roman" w:hAnsi="Times New Roman" w:cs="Times New Roman"/>
          <w:color w:val="auto"/>
        </w:rPr>
      </w:pPr>
      <w:r>
        <w:rPr>
          <w:rFonts w:hint="eastAsia" w:ascii="Times New Roman" w:hAnsi="Times New Roman" w:cs="Times New Roman"/>
          <w:b/>
          <w:bCs/>
          <w:color w:val="auto"/>
        </w:rPr>
        <w:t>表6.2.5-3  松散岩石孔隙度参考值（据弗里泽，1987）</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567"/>
        <w:gridCol w:w="1567"/>
        <w:gridCol w:w="1567"/>
        <w:gridCol w:w="1567"/>
        <w:gridCol w:w="1568"/>
      </w:tblGrid>
      <w:tr w14:paraId="65F73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65434CDC">
            <w:pPr>
              <w:pStyle w:val="151"/>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松散岩体</w:t>
            </w:r>
          </w:p>
        </w:tc>
        <w:tc>
          <w:tcPr>
            <w:tcW w:w="833" w:type="pct"/>
            <w:tcBorders>
              <w:tl2br w:val="nil"/>
              <w:tr2bl w:val="nil"/>
            </w:tcBorders>
            <w:vAlign w:val="center"/>
          </w:tcPr>
          <w:p w14:paraId="61E87DF2">
            <w:pPr>
              <w:pStyle w:val="151"/>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孔隙度（%）</w:t>
            </w:r>
          </w:p>
        </w:tc>
        <w:tc>
          <w:tcPr>
            <w:tcW w:w="833" w:type="pct"/>
            <w:tcBorders>
              <w:tl2br w:val="nil"/>
              <w:tr2bl w:val="nil"/>
            </w:tcBorders>
            <w:vAlign w:val="center"/>
          </w:tcPr>
          <w:p w14:paraId="2F348794">
            <w:pPr>
              <w:pStyle w:val="151"/>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沉积岩</w:t>
            </w:r>
          </w:p>
        </w:tc>
        <w:tc>
          <w:tcPr>
            <w:tcW w:w="833" w:type="pct"/>
            <w:tcBorders>
              <w:tl2br w:val="nil"/>
              <w:tr2bl w:val="nil"/>
            </w:tcBorders>
            <w:vAlign w:val="center"/>
          </w:tcPr>
          <w:p w14:paraId="0D420A5E">
            <w:pPr>
              <w:pStyle w:val="151"/>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孔隙度（%）</w:t>
            </w:r>
          </w:p>
        </w:tc>
        <w:tc>
          <w:tcPr>
            <w:tcW w:w="833" w:type="pct"/>
            <w:tcBorders>
              <w:tl2br w:val="nil"/>
              <w:tr2bl w:val="nil"/>
            </w:tcBorders>
            <w:vAlign w:val="center"/>
          </w:tcPr>
          <w:p w14:paraId="39946435">
            <w:pPr>
              <w:pStyle w:val="151"/>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结晶岩</w:t>
            </w:r>
          </w:p>
        </w:tc>
        <w:tc>
          <w:tcPr>
            <w:tcW w:w="833" w:type="pct"/>
            <w:tcBorders>
              <w:tl2br w:val="nil"/>
              <w:tr2bl w:val="nil"/>
            </w:tcBorders>
            <w:vAlign w:val="center"/>
          </w:tcPr>
          <w:p w14:paraId="0CD5179B">
            <w:pPr>
              <w:pStyle w:val="151"/>
              <w:snapToGrid w:val="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孔隙度（%）</w:t>
            </w:r>
          </w:p>
        </w:tc>
      </w:tr>
      <w:tr w14:paraId="61EAA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588551A6">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粗砾</w:t>
            </w:r>
          </w:p>
        </w:tc>
        <w:tc>
          <w:tcPr>
            <w:tcW w:w="833" w:type="pct"/>
            <w:tcBorders>
              <w:tl2br w:val="nil"/>
              <w:tr2bl w:val="nil"/>
            </w:tcBorders>
            <w:vAlign w:val="center"/>
          </w:tcPr>
          <w:p w14:paraId="0D9A42CC">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24~36</w:t>
            </w:r>
          </w:p>
        </w:tc>
        <w:tc>
          <w:tcPr>
            <w:tcW w:w="833" w:type="pct"/>
            <w:tcBorders>
              <w:tl2br w:val="nil"/>
              <w:tr2bl w:val="nil"/>
            </w:tcBorders>
            <w:vAlign w:val="center"/>
          </w:tcPr>
          <w:p w14:paraId="72013864">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砂岩</w:t>
            </w:r>
          </w:p>
        </w:tc>
        <w:tc>
          <w:tcPr>
            <w:tcW w:w="833" w:type="pct"/>
            <w:tcBorders>
              <w:tl2br w:val="nil"/>
              <w:tr2bl w:val="nil"/>
            </w:tcBorders>
            <w:vAlign w:val="center"/>
          </w:tcPr>
          <w:p w14:paraId="33DD3B95">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5~30</w:t>
            </w:r>
          </w:p>
        </w:tc>
        <w:tc>
          <w:tcPr>
            <w:tcW w:w="833" w:type="pct"/>
            <w:tcBorders>
              <w:tl2br w:val="nil"/>
              <w:tr2bl w:val="nil"/>
            </w:tcBorders>
            <w:vAlign w:val="center"/>
          </w:tcPr>
          <w:p w14:paraId="4943824B">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裂隙化</w:t>
            </w:r>
          </w:p>
        </w:tc>
        <w:tc>
          <w:tcPr>
            <w:tcW w:w="833" w:type="pct"/>
            <w:vMerge w:val="restart"/>
            <w:tcBorders>
              <w:tl2br w:val="nil"/>
              <w:tr2bl w:val="nil"/>
            </w:tcBorders>
            <w:vAlign w:val="center"/>
          </w:tcPr>
          <w:p w14:paraId="3DEA55CE">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0~10</w:t>
            </w:r>
          </w:p>
        </w:tc>
      </w:tr>
      <w:tr w14:paraId="64F0C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01698443">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细砾</w:t>
            </w:r>
          </w:p>
        </w:tc>
        <w:tc>
          <w:tcPr>
            <w:tcW w:w="833" w:type="pct"/>
            <w:tcBorders>
              <w:tl2br w:val="nil"/>
              <w:tr2bl w:val="nil"/>
            </w:tcBorders>
            <w:vAlign w:val="center"/>
          </w:tcPr>
          <w:p w14:paraId="4803BDCE">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25~38</w:t>
            </w:r>
          </w:p>
        </w:tc>
        <w:tc>
          <w:tcPr>
            <w:tcW w:w="833" w:type="pct"/>
            <w:tcBorders>
              <w:tl2br w:val="nil"/>
              <w:tr2bl w:val="nil"/>
            </w:tcBorders>
            <w:vAlign w:val="center"/>
          </w:tcPr>
          <w:p w14:paraId="52955BE8">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粉砂岩</w:t>
            </w:r>
          </w:p>
        </w:tc>
        <w:tc>
          <w:tcPr>
            <w:tcW w:w="833" w:type="pct"/>
            <w:tcBorders>
              <w:tl2br w:val="nil"/>
              <w:tr2bl w:val="nil"/>
            </w:tcBorders>
            <w:vAlign w:val="center"/>
          </w:tcPr>
          <w:p w14:paraId="46F3B0F1">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21~41</w:t>
            </w:r>
          </w:p>
        </w:tc>
        <w:tc>
          <w:tcPr>
            <w:tcW w:w="833" w:type="pct"/>
            <w:tcBorders>
              <w:tl2br w:val="nil"/>
              <w:tr2bl w:val="nil"/>
            </w:tcBorders>
            <w:vAlign w:val="center"/>
          </w:tcPr>
          <w:p w14:paraId="0DD7E957">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结晶岩</w:t>
            </w:r>
          </w:p>
        </w:tc>
        <w:tc>
          <w:tcPr>
            <w:tcW w:w="833" w:type="pct"/>
            <w:vMerge w:val="continue"/>
            <w:tcBorders>
              <w:tl2br w:val="nil"/>
              <w:tr2bl w:val="nil"/>
            </w:tcBorders>
            <w:vAlign w:val="center"/>
          </w:tcPr>
          <w:p w14:paraId="2F1F75A4">
            <w:pPr>
              <w:pStyle w:val="151"/>
              <w:snapToGrid w:val="0"/>
              <w:jc w:val="center"/>
              <w:rPr>
                <w:rFonts w:ascii="Times New Roman" w:hAnsi="Times New Roman" w:cs="Times New Roman"/>
                <w:bCs/>
                <w:color w:val="auto"/>
                <w:sz w:val="21"/>
                <w:szCs w:val="21"/>
              </w:rPr>
            </w:pPr>
          </w:p>
        </w:tc>
      </w:tr>
      <w:tr w14:paraId="068C7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055705D4">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粗砂</w:t>
            </w:r>
          </w:p>
        </w:tc>
        <w:tc>
          <w:tcPr>
            <w:tcW w:w="833" w:type="pct"/>
            <w:tcBorders>
              <w:tl2br w:val="nil"/>
              <w:tr2bl w:val="nil"/>
            </w:tcBorders>
            <w:vAlign w:val="center"/>
          </w:tcPr>
          <w:p w14:paraId="768752EE">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31~46</w:t>
            </w:r>
          </w:p>
        </w:tc>
        <w:tc>
          <w:tcPr>
            <w:tcW w:w="833" w:type="pct"/>
            <w:tcBorders>
              <w:tl2br w:val="nil"/>
              <w:tr2bl w:val="nil"/>
            </w:tcBorders>
            <w:vAlign w:val="center"/>
          </w:tcPr>
          <w:p w14:paraId="40856827">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石灰岩</w:t>
            </w:r>
          </w:p>
        </w:tc>
        <w:tc>
          <w:tcPr>
            <w:tcW w:w="833" w:type="pct"/>
            <w:tcBorders>
              <w:tl2br w:val="nil"/>
              <w:tr2bl w:val="nil"/>
            </w:tcBorders>
            <w:vAlign w:val="center"/>
          </w:tcPr>
          <w:p w14:paraId="58F96507">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0~40</w:t>
            </w:r>
          </w:p>
        </w:tc>
        <w:tc>
          <w:tcPr>
            <w:tcW w:w="833" w:type="pct"/>
            <w:tcBorders>
              <w:tl2br w:val="nil"/>
              <w:tr2bl w:val="nil"/>
            </w:tcBorders>
            <w:vAlign w:val="center"/>
          </w:tcPr>
          <w:p w14:paraId="72A5949B">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致密结晶岩</w:t>
            </w:r>
          </w:p>
        </w:tc>
        <w:tc>
          <w:tcPr>
            <w:tcW w:w="833" w:type="pct"/>
            <w:tcBorders>
              <w:tl2br w:val="nil"/>
              <w:tr2bl w:val="nil"/>
            </w:tcBorders>
            <w:vAlign w:val="center"/>
          </w:tcPr>
          <w:p w14:paraId="5543010F">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0~5</w:t>
            </w:r>
          </w:p>
        </w:tc>
      </w:tr>
      <w:tr w14:paraId="6222F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556F08E2">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细砂</w:t>
            </w:r>
          </w:p>
        </w:tc>
        <w:tc>
          <w:tcPr>
            <w:tcW w:w="833" w:type="pct"/>
            <w:tcBorders>
              <w:tl2br w:val="nil"/>
              <w:tr2bl w:val="nil"/>
            </w:tcBorders>
            <w:vAlign w:val="center"/>
          </w:tcPr>
          <w:p w14:paraId="1FB49CF2">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26~53</w:t>
            </w:r>
          </w:p>
        </w:tc>
        <w:tc>
          <w:tcPr>
            <w:tcW w:w="833" w:type="pct"/>
            <w:tcBorders>
              <w:tl2br w:val="nil"/>
              <w:tr2bl w:val="nil"/>
            </w:tcBorders>
            <w:vAlign w:val="center"/>
          </w:tcPr>
          <w:p w14:paraId="6EF5B765">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岩溶</w:t>
            </w:r>
          </w:p>
        </w:tc>
        <w:tc>
          <w:tcPr>
            <w:tcW w:w="833" w:type="pct"/>
            <w:tcBorders>
              <w:tl2br w:val="nil"/>
              <w:tr2bl w:val="nil"/>
            </w:tcBorders>
            <w:vAlign w:val="center"/>
          </w:tcPr>
          <w:p w14:paraId="63898278">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0~40</w:t>
            </w:r>
          </w:p>
        </w:tc>
        <w:tc>
          <w:tcPr>
            <w:tcW w:w="833" w:type="pct"/>
            <w:tcBorders>
              <w:tl2br w:val="nil"/>
              <w:tr2bl w:val="nil"/>
            </w:tcBorders>
            <w:vAlign w:val="center"/>
          </w:tcPr>
          <w:p w14:paraId="2D5F1B46">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玄武岩</w:t>
            </w:r>
          </w:p>
        </w:tc>
        <w:tc>
          <w:tcPr>
            <w:tcW w:w="833" w:type="pct"/>
            <w:tcBorders>
              <w:tl2br w:val="nil"/>
              <w:tr2bl w:val="nil"/>
            </w:tcBorders>
            <w:vAlign w:val="center"/>
          </w:tcPr>
          <w:p w14:paraId="34A61290">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3~35</w:t>
            </w:r>
          </w:p>
        </w:tc>
      </w:tr>
      <w:tr w14:paraId="6300D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72ADC0CD">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粉砂</w:t>
            </w:r>
          </w:p>
        </w:tc>
        <w:tc>
          <w:tcPr>
            <w:tcW w:w="833" w:type="pct"/>
            <w:tcBorders>
              <w:tl2br w:val="nil"/>
              <w:tr2bl w:val="nil"/>
            </w:tcBorders>
            <w:vAlign w:val="center"/>
          </w:tcPr>
          <w:p w14:paraId="0ECA7DA0">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34~61</w:t>
            </w:r>
          </w:p>
        </w:tc>
        <w:tc>
          <w:tcPr>
            <w:tcW w:w="833" w:type="pct"/>
            <w:tcBorders>
              <w:tl2br w:val="nil"/>
              <w:tr2bl w:val="nil"/>
            </w:tcBorders>
            <w:vAlign w:val="center"/>
          </w:tcPr>
          <w:p w14:paraId="09420E10">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页岩</w:t>
            </w:r>
          </w:p>
        </w:tc>
        <w:tc>
          <w:tcPr>
            <w:tcW w:w="833" w:type="pct"/>
            <w:tcBorders>
              <w:tl2br w:val="nil"/>
              <w:tr2bl w:val="nil"/>
            </w:tcBorders>
            <w:vAlign w:val="center"/>
          </w:tcPr>
          <w:p w14:paraId="4622325C">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0~10</w:t>
            </w:r>
          </w:p>
        </w:tc>
        <w:tc>
          <w:tcPr>
            <w:tcW w:w="833" w:type="pct"/>
            <w:tcBorders>
              <w:tl2br w:val="nil"/>
              <w:tr2bl w:val="nil"/>
            </w:tcBorders>
            <w:vAlign w:val="center"/>
          </w:tcPr>
          <w:p w14:paraId="28F2D641">
            <w:pPr>
              <w:pStyle w:val="151"/>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风化花岗岩</w:t>
            </w:r>
          </w:p>
        </w:tc>
        <w:tc>
          <w:tcPr>
            <w:tcW w:w="833" w:type="pct"/>
            <w:tcBorders>
              <w:tl2br w:val="nil"/>
              <w:tr2bl w:val="nil"/>
            </w:tcBorders>
            <w:vAlign w:val="center"/>
          </w:tcPr>
          <w:p w14:paraId="0712457F">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34~57</w:t>
            </w:r>
          </w:p>
        </w:tc>
      </w:tr>
      <w:tr w14:paraId="5B4DC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tcBorders>
              <w:tl2br w:val="nil"/>
              <w:tr2bl w:val="nil"/>
            </w:tcBorders>
            <w:vAlign w:val="center"/>
          </w:tcPr>
          <w:p w14:paraId="31462E3E">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粘土</w:t>
            </w:r>
          </w:p>
        </w:tc>
        <w:tc>
          <w:tcPr>
            <w:tcW w:w="833" w:type="pct"/>
            <w:tcBorders>
              <w:tl2br w:val="nil"/>
              <w:tr2bl w:val="nil"/>
            </w:tcBorders>
            <w:vAlign w:val="center"/>
          </w:tcPr>
          <w:p w14:paraId="6C68CBAD">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34~60</w:t>
            </w:r>
          </w:p>
        </w:tc>
        <w:tc>
          <w:tcPr>
            <w:tcW w:w="833" w:type="pct"/>
            <w:tcBorders>
              <w:tl2br w:val="nil"/>
              <w:tr2bl w:val="nil"/>
            </w:tcBorders>
            <w:vAlign w:val="center"/>
          </w:tcPr>
          <w:p w14:paraId="0B5A8CCF">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w:t>
            </w:r>
          </w:p>
        </w:tc>
        <w:tc>
          <w:tcPr>
            <w:tcW w:w="833" w:type="pct"/>
            <w:tcBorders>
              <w:tl2br w:val="nil"/>
              <w:tr2bl w:val="nil"/>
            </w:tcBorders>
            <w:vAlign w:val="center"/>
          </w:tcPr>
          <w:p w14:paraId="2BD8967A">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w:t>
            </w:r>
          </w:p>
        </w:tc>
        <w:tc>
          <w:tcPr>
            <w:tcW w:w="833" w:type="pct"/>
            <w:tcBorders>
              <w:tl2br w:val="nil"/>
              <w:tr2bl w:val="nil"/>
            </w:tcBorders>
            <w:vAlign w:val="center"/>
          </w:tcPr>
          <w:p w14:paraId="2F117F6B">
            <w:pPr>
              <w:pStyle w:val="151"/>
              <w:snapToGrid w:val="0"/>
              <w:jc w:val="center"/>
              <w:rPr>
                <w:rFonts w:ascii="Times New Roman" w:hAnsi="Times New Roman" w:cs="Times New Roman"/>
                <w:bCs/>
                <w:color w:val="auto"/>
                <w:sz w:val="21"/>
                <w:szCs w:val="21"/>
              </w:rPr>
            </w:pPr>
            <w:r>
              <w:rPr>
                <w:rFonts w:ascii="Times New Roman" w:hAnsi="Times New Roman" w:cs="Times New Roman"/>
                <w:bCs/>
                <w:color w:val="auto"/>
                <w:sz w:val="21"/>
                <w:szCs w:val="21"/>
              </w:rPr>
              <w:t>风化辉长岩</w:t>
            </w:r>
          </w:p>
        </w:tc>
        <w:tc>
          <w:tcPr>
            <w:tcW w:w="833" w:type="pct"/>
            <w:tcBorders>
              <w:tl2br w:val="nil"/>
              <w:tr2bl w:val="nil"/>
            </w:tcBorders>
            <w:vAlign w:val="center"/>
          </w:tcPr>
          <w:p w14:paraId="4D51EF15">
            <w:pPr>
              <w:pStyle w:val="151"/>
              <w:snapToGrid w:val="0"/>
              <w:jc w:val="center"/>
              <w:rPr>
                <w:rFonts w:ascii="Times New Roman" w:hAnsi="Times New Roman" w:cs="Times New Roman"/>
                <w:bCs/>
                <w:color w:val="auto"/>
                <w:sz w:val="21"/>
                <w:szCs w:val="21"/>
              </w:rPr>
            </w:pPr>
            <w:r>
              <w:rPr>
                <w:rFonts w:hint="eastAsia" w:ascii="Times New Roman" w:hAnsi="Times New Roman" w:cs="Times New Roman"/>
                <w:bCs/>
                <w:color w:val="auto"/>
                <w:sz w:val="21"/>
                <w:szCs w:val="21"/>
              </w:rPr>
              <w:t>42~45</w:t>
            </w:r>
          </w:p>
        </w:tc>
      </w:tr>
    </w:tbl>
    <w:p w14:paraId="532B7BCB">
      <w:pPr>
        <w:ind w:firstLine="480"/>
        <w:rPr>
          <w:color w:val="auto"/>
        </w:rPr>
      </w:pPr>
      <w:r>
        <w:rPr>
          <w:color w:val="auto"/>
        </w:rPr>
        <w:t>（3）弥散度的确定</w:t>
      </w:r>
    </w:p>
    <w:p w14:paraId="4638EAEB">
      <w:pPr>
        <w:ind w:firstLine="480"/>
        <w:rPr>
          <w:color w:val="auto"/>
        </w:rPr>
      </w:pPr>
      <w:r>
        <w:rPr>
          <w:color w:val="auto"/>
        </w:rPr>
        <w:t>D．S．Makuch（2005）综合了其他人的研究成果，对不同岩性和不同尺度条件下介质的弥散度大小进行了统计，获得了污染物在不同岩性中迁移的纵向弥散度，并存在尺度效应现象。根据室内弥散试验以及我们在野外弥散试验的试验结果，并根据含水层中砂砾石颗粒大小、颗粒均匀度和排列情况类比。对本次评价范围潜水含水层，纵向弥散度取15m，横向弥散度取2m。</w:t>
      </w:r>
    </w:p>
    <w:p w14:paraId="109920DA">
      <w:pPr>
        <w:ind w:firstLine="0" w:firstLineChars="0"/>
        <w:jc w:val="center"/>
        <w:rPr>
          <w:color w:val="auto"/>
        </w:rPr>
      </w:pPr>
      <w:r>
        <w:rPr>
          <w:color w:val="auto"/>
        </w:rPr>
        <w:drawing>
          <wp:inline distT="0" distB="0" distL="0" distR="0">
            <wp:extent cx="4161790" cy="2019300"/>
            <wp:effectExtent l="0" t="0" r="10160" b="0"/>
            <wp:docPr id="25" name="图片 53" descr="说明: 说明: 弥散系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3" descr="说明: 说明: 弥散系数副本"/>
                    <pic:cNvPicPr>
                      <a:picLocks noChangeAspect="1" noChangeArrowheads="1"/>
                    </pic:cNvPicPr>
                  </pic:nvPicPr>
                  <pic:blipFill>
                    <a:blip r:embed="rId50" cstate="print">
                      <a:extLst>
                        <a:ext uri="{28A0092B-C50C-407E-A947-70E740481C1C}">
                          <a14:useLocalDpi xmlns:a14="http://schemas.microsoft.com/office/drawing/2010/main" val="0"/>
                        </a:ext>
                      </a:extLst>
                    </a:blip>
                    <a:srcRect l="2043" t="4115" r="5200"/>
                    <a:stretch>
                      <a:fillRect/>
                    </a:stretch>
                  </pic:blipFill>
                  <pic:spPr>
                    <a:xfrm>
                      <a:off x="0" y="0"/>
                      <a:ext cx="4224448" cy="2049852"/>
                    </a:xfrm>
                    <a:prstGeom prst="rect">
                      <a:avLst/>
                    </a:prstGeom>
                    <a:noFill/>
                    <a:ln>
                      <a:noFill/>
                    </a:ln>
                    <a:effectLst/>
                  </pic:spPr>
                </pic:pic>
              </a:graphicData>
            </a:graphic>
          </wp:inline>
        </w:drawing>
      </w:r>
    </w:p>
    <w:p w14:paraId="5D8DF8C0">
      <w:pPr>
        <w:ind w:firstLine="0" w:firstLineChars="0"/>
        <w:jc w:val="center"/>
        <w:rPr>
          <w:b/>
          <w:bCs/>
          <w:color w:val="auto"/>
        </w:rPr>
      </w:pPr>
      <w:r>
        <w:rPr>
          <w:b/>
          <w:bCs/>
          <w:color w:val="auto"/>
        </w:rPr>
        <w:t>图</w:t>
      </w:r>
      <w:r>
        <w:rPr>
          <w:rFonts w:hint="eastAsia"/>
          <w:b/>
          <w:bCs/>
          <w:color w:val="auto"/>
        </w:rPr>
        <w:t>6.2.5-1</w:t>
      </w:r>
      <w:r>
        <w:rPr>
          <w:b/>
          <w:bCs/>
          <w:color w:val="auto"/>
        </w:rPr>
        <w:t xml:space="preserve">  不同岩性的纵向弥散度与研究区域尺度的关系</w:t>
      </w:r>
    </w:p>
    <w:p w14:paraId="2A8CC860">
      <w:pPr>
        <w:spacing w:line="240" w:lineRule="auto"/>
        <w:ind w:firstLine="0" w:firstLineChars="0"/>
        <w:jc w:val="center"/>
        <w:rPr>
          <w:b/>
          <w:bCs/>
          <w:color w:val="auto"/>
        </w:rPr>
      </w:pPr>
      <w:r>
        <w:rPr>
          <w:b/>
          <w:bCs/>
          <w:color w:val="auto"/>
        </w:rPr>
        <w:t>表</w:t>
      </w:r>
      <w:r>
        <w:rPr>
          <w:rFonts w:hint="eastAsia"/>
          <w:b/>
          <w:bCs/>
          <w:color w:val="auto"/>
        </w:rPr>
        <w:t>6.2.5-4</w:t>
      </w:r>
      <w:r>
        <w:rPr>
          <w:b/>
          <w:bCs/>
          <w:color w:val="auto"/>
        </w:rPr>
        <w:t xml:space="preserve">  含水层弥散度类比取值表</w:t>
      </w:r>
    </w:p>
    <w:tbl>
      <w:tblPr>
        <w:tblStyle w:val="88"/>
        <w:tblW w:w="5000" w:type="pct"/>
        <w:jc w:val="center"/>
        <w:tblLayout w:type="autofit"/>
        <w:tblCellMar>
          <w:top w:w="0" w:type="dxa"/>
          <w:left w:w="108" w:type="dxa"/>
          <w:bottom w:w="0" w:type="dxa"/>
          <w:right w:w="108" w:type="dxa"/>
        </w:tblCellMar>
      </w:tblPr>
      <w:tblGrid>
        <w:gridCol w:w="2444"/>
        <w:gridCol w:w="2319"/>
        <w:gridCol w:w="2319"/>
        <w:gridCol w:w="2319"/>
      </w:tblGrid>
      <w:tr w14:paraId="7FD7C4BA">
        <w:trPr>
          <w:trHeight w:val="283" w:hRule="exact"/>
          <w:jc w:val="center"/>
        </w:trPr>
        <w:tc>
          <w:tcPr>
            <w:tcW w:w="1300" w:type="pct"/>
            <w:tcBorders>
              <w:top w:val="single" w:color="auto" w:sz="12" w:space="0"/>
              <w:bottom w:val="single" w:color="auto" w:sz="4" w:space="0"/>
              <w:right w:val="single" w:color="auto" w:sz="4" w:space="0"/>
            </w:tcBorders>
            <w:shd w:val="clear" w:color="auto" w:fill="auto"/>
            <w:vAlign w:val="center"/>
          </w:tcPr>
          <w:p w14:paraId="75EFD08E">
            <w:pPr>
              <w:spacing w:line="240" w:lineRule="auto"/>
              <w:ind w:firstLine="0" w:firstLineChars="0"/>
              <w:jc w:val="center"/>
              <w:rPr>
                <w:b/>
                <w:bCs/>
                <w:color w:val="auto"/>
                <w:sz w:val="21"/>
              </w:rPr>
            </w:pPr>
            <w:r>
              <w:rPr>
                <w:b/>
                <w:bCs/>
                <w:color w:val="auto"/>
                <w:sz w:val="21"/>
              </w:rPr>
              <w:t>粒径变化范围</w:t>
            </w:r>
            <w:r>
              <w:rPr>
                <w:rFonts w:hint="eastAsia"/>
                <w:b/>
                <w:bCs/>
                <w:color w:val="auto"/>
                <w:sz w:val="21"/>
              </w:rPr>
              <w:t>（</w:t>
            </w:r>
            <w:r>
              <w:rPr>
                <w:b/>
                <w:bCs/>
                <w:color w:val="auto"/>
                <w:sz w:val="21"/>
              </w:rPr>
              <w:t>mm</w:t>
            </w:r>
            <w:r>
              <w:rPr>
                <w:rFonts w:hint="eastAsia"/>
                <w:b/>
                <w:bCs/>
                <w:color w:val="auto"/>
                <w:sz w:val="21"/>
              </w:rPr>
              <w:t>）</w:t>
            </w:r>
          </w:p>
        </w:tc>
        <w:tc>
          <w:tcPr>
            <w:tcW w:w="1233" w:type="pct"/>
            <w:tcBorders>
              <w:top w:val="single" w:color="auto" w:sz="12" w:space="0"/>
              <w:left w:val="single" w:color="auto" w:sz="4" w:space="0"/>
              <w:bottom w:val="single" w:color="auto" w:sz="4" w:space="0"/>
              <w:right w:val="single" w:color="auto" w:sz="4" w:space="0"/>
            </w:tcBorders>
            <w:shd w:val="clear" w:color="auto" w:fill="auto"/>
            <w:vAlign w:val="center"/>
          </w:tcPr>
          <w:p w14:paraId="0C20D4F2">
            <w:pPr>
              <w:spacing w:line="240" w:lineRule="auto"/>
              <w:ind w:firstLine="0" w:firstLineChars="0"/>
              <w:jc w:val="center"/>
              <w:rPr>
                <w:b/>
                <w:bCs/>
                <w:color w:val="auto"/>
                <w:sz w:val="21"/>
              </w:rPr>
            </w:pPr>
            <w:r>
              <w:rPr>
                <w:b/>
                <w:bCs/>
                <w:color w:val="auto"/>
                <w:sz w:val="21"/>
              </w:rPr>
              <w:t>均匀度系数</w:t>
            </w:r>
          </w:p>
        </w:tc>
        <w:tc>
          <w:tcPr>
            <w:tcW w:w="1233" w:type="pct"/>
            <w:tcBorders>
              <w:top w:val="single" w:color="auto" w:sz="12" w:space="0"/>
              <w:left w:val="single" w:color="auto" w:sz="4" w:space="0"/>
              <w:bottom w:val="single" w:color="auto" w:sz="4" w:space="0"/>
              <w:right w:val="single" w:color="auto" w:sz="4" w:space="0"/>
            </w:tcBorders>
            <w:shd w:val="clear" w:color="auto" w:fill="auto"/>
            <w:vAlign w:val="center"/>
          </w:tcPr>
          <w:p w14:paraId="6295F70B">
            <w:pPr>
              <w:spacing w:line="240" w:lineRule="auto"/>
              <w:ind w:firstLine="0" w:firstLineChars="0"/>
              <w:jc w:val="center"/>
              <w:rPr>
                <w:b/>
                <w:bCs/>
                <w:color w:val="auto"/>
                <w:sz w:val="21"/>
              </w:rPr>
            </w:pPr>
            <w:r>
              <w:rPr>
                <w:b/>
                <w:bCs/>
                <w:color w:val="auto"/>
                <w:sz w:val="21"/>
              </w:rPr>
              <w:t>m指数</w:t>
            </w:r>
          </w:p>
        </w:tc>
        <w:tc>
          <w:tcPr>
            <w:tcW w:w="1233" w:type="pct"/>
            <w:tcBorders>
              <w:top w:val="single" w:color="auto" w:sz="12" w:space="0"/>
              <w:left w:val="single" w:color="auto" w:sz="4" w:space="0"/>
              <w:bottom w:val="single" w:color="auto" w:sz="4" w:space="0"/>
            </w:tcBorders>
            <w:shd w:val="clear" w:color="auto" w:fill="auto"/>
            <w:vAlign w:val="center"/>
          </w:tcPr>
          <w:p w14:paraId="2E334481">
            <w:pPr>
              <w:spacing w:line="240" w:lineRule="auto"/>
              <w:ind w:firstLine="0" w:firstLineChars="0"/>
              <w:jc w:val="center"/>
              <w:rPr>
                <w:b/>
                <w:bCs/>
                <w:color w:val="auto"/>
                <w:sz w:val="21"/>
              </w:rPr>
            </w:pPr>
            <w:r>
              <w:rPr>
                <w:b/>
                <w:bCs/>
                <w:color w:val="auto"/>
                <w:sz w:val="21"/>
              </w:rPr>
              <w:t>弥散度</w:t>
            </w:r>
          </w:p>
        </w:tc>
      </w:tr>
      <w:tr w14:paraId="73E2DB37">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13A318CC">
            <w:pPr>
              <w:spacing w:line="240" w:lineRule="auto"/>
              <w:ind w:firstLine="0" w:firstLineChars="0"/>
              <w:jc w:val="center"/>
              <w:rPr>
                <w:bCs/>
                <w:color w:val="auto"/>
                <w:sz w:val="21"/>
              </w:rPr>
            </w:pPr>
            <w:r>
              <w:rPr>
                <w:bCs/>
                <w:color w:val="auto"/>
                <w:sz w:val="21"/>
              </w:rPr>
              <w:t>0.4-0.7</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72FAFC15">
            <w:pPr>
              <w:spacing w:line="240" w:lineRule="auto"/>
              <w:ind w:firstLine="0" w:firstLineChars="0"/>
              <w:jc w:val="center"/>
              <w:rPr>
                <w:bCs/>
                <w:color w:val="auto"/>
                <w:sz w:val="21"/>
              </w:rPr>
            </w:pPr>
            <w:r>
              <w:rPr>
                <w:bCs/>
                <w:color w:val="auto"/>
                <w:sz w:val="21"/>
              </w:rPr>
              <w:t>1.55</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21A5B7C1">
            <w:pPr>
              <w:spacing w:line="240" w:lineRule="auto"/>
              <w:ind w:firstLine="0" w:firstLineChars="0"/>
              <w:jc w:val="center"/>
              <w:rPr>
                <w:bCs/>
                <w:color w:val="auto"/>
                <w:sz w:val="21"/>
              </w:rPr>
            </w:pPr>
            <w:r>
              <w:rPr>
                <w:bCs/>
                <w:color w:val="auto"/>
                <w:sz w:val="21"/>
              </w:rPr>
              <w:t>1.09</w:t>
            </w:r>
          </w:p>
        </w:tc>
        <w:tc>
          <w:tcPr>
            <w:tcW w:w="1233" w:type="pct"/>
            <w:tcBorders>
              <w:top w:val="single" w:color="auto" w:sz="4" w:space="0"/>
              <w:left w:val="single" w:color="auto" w:sz="4" w:space="0"/>
              <w:bottom w:val="single" w:color="auto" w:sz="4" w:space="0"/>
            </w:tcBorders>
            <w:shd w:val="clear" w:color="auto" w:fill="auto"/>
            <w:vAlign w:val="center"/>
          </w:tcPr>
          <w:p w14:paraId="6D871FFB">
            <w:pPr>
              <w:spacing w:line="240" w:lineRule="auto"/>
              <w:ind w:firstLine="0" w:firstLineChars="0"/>
              <w:jc w:val="center"/>
              <w:rPr>
                <w:bCs/>
                <w:color w:val="auto"/>
                <w:sz w:val="21"/>
              </w:rPr>
            </w:pPr>
            <w:r>
              <w:rPr>
                <w:bCs/>
                <w:color w:val="auto"/>
                <w:sz w:val="21"/>
              </w:rPr>
              <w:t>3.96</w:t>
            </w:r>
          </w:p>
        </w:tc>
      </w:tr>
      <w:tr w14:paraId="767C1ACB">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6100B0B5">
            <w:pPr>
              <w:spacing w:line="240" w:lineRule="auto"/>
              <w:ind w:firstLine="0" w:firstLineChars="0"/>
              <w:jc w:val="center"/>
              <w:rPr>
                <w:bCs/>
                <w:color w:val="auto"/>
                <w:sz w:val="21"/>
              </w:rPr>
            </w:pPr>
            <w:r>
              <w:rPr>
                <w:bCs/>
                <w:color w:val="auto"/>
                <w:sz w:val="21"/>
              </w:rPr>
              <w:t>0.5-1.5</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728806F6">
            <w:pPr>
              <w:spacing w:line="240" w:lineRule="auto"/>
              <w:ind w:firstLine="0" w:firstLineChars="0"/>
              <w:jc w:val="center"/>
              <w:rPr>
                <w:bCs/>
                <w:color w:val="auto"/>
                <w:sz w:val="21"/>
              </w:rPr>
            </w:pPr>
            <w:r>
              <w:rPr>
                <w:bCs/>
                <w:color w:val="auto"/>
                <w:sz w:val="21"/>
              </w:rPr>
              <w:t>1.85</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67800B31">
            <w:pPr>
              <w:spacing w:line="240" w:lineRule="auto"/>
              <w:ind w:firstLine="0" w:firstLineChars="0"/>
              <w:jc w:val="center"/>
              <w:rPr>
                <w:bCs/>
                <w:color w:val="auto"/>
                <w:sz w:val="21"/>
              </w:rPr>
            </w:pPr>
            <w:r>
              <w:rPr>
                <w:bCs/>
                <w:color w:val="auto"/>
                <w:sz w:val="21"/>
              </w:rPr>
              <w:t>1.1</w:t>
            </w:r>
          </w:p>
        </w:tc>
        <w:tc>
          <w:tcPr>
            <w:tcW w:w="1233" w:type="pct"/>
            <w:tcBorders>
              <w:top w:val="single" w:color="auto" w:sz="4" w:space="0"/>
              <w:left w:val="single" w:color="auto" w:sz="4" w:space="0"/>
              <w:bottom w:val="single" w:color="auto" w:sz="4" w:space="0"/>
            </w:tcBorders>
            <w:shd w:val="clear" w:color="auto" w:fill="auto"/>
            <w:vAlign w:val="center"/>
          </w:tcPr>
          <w:p w14:paraId="363A5282">
            <w:pPr>
              <w:spacing w:line="240" w:lineRule="auto"/>
              <w:ind w:firstLine="0" w:firstLineChars="0"/>
              <w:jc w:val="center"/>
              <w:rPr>
                <w:bCs/>
                <w:color w:val="auto"/>
                <w:sz w:val="21"/>
              </w:rPr>
            </w:pPr>
            <w:r>
              <w:rPr>
                <w:bCs/>
                <w:color w:val="auto"/>
                <w:sz w:val="21"/>
              </w:rPr>
              <w:t>5.78</w:t>
            </w:r>
          </w:p>
        </w:tc>
      </w:tr>
      <w:tr w14:paraId="082A9E48">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121CC839">
            <w:pPr>
              <w:spacing w:line="240" w:lineRule="auto"/>
              <w:ind w:firstLine="0" w:firstLineChars="0"/>
              <w:jc w:val="center"/>
              <w:rPr>
                <w:bCs/>
                <w:color w:val="auto"/>
                <w:sz w:val="21"/>
              </w:rPr>
            </w:pPr>
            <w:r>
              <w:rPr>
                <w:bCs/>
                <w:color w:val="auto"/>
                <w:sz w:val="21"/>
              </w:rPr>
              <w:t>1-2</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7539EA87">
            <w:pPr>
              <w:spacing w:line="240" w:lineRule="auto"/>
              <w:ind w:firstLine="0" w:firstLineChars="0"/>
              <w:jc w:val="center"/>
              <w:rPr>
                <w:bCs/>
                <w:color w:val="auto"/>
                <w:sz w:val="21"/>
              </w:rPr>
            </w:pPr>
            <w:r>
              <w:rPr>
                <w:bCs/>
                <w:color w:val="auto"/>
                <w:sz w:val="21"/>
              </w:rPr>
              <w:t>1.6</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49E7233F">
            <w:pPr>
              <w:spacing w:line="240" w:lineRule="auto"/>
              <w:ind w:firstLine="0" w:firstLineChars="0"/>
              <w:jc w:val="center"/>
              <w:rPr>
                <w:bCs/>
                <w:color w:val="auto"/>
                <w:sz w:val="21"/>
              </w:rPr>
            </w:pPr>
            <w:r>
              <w:rPr>
                <w:bCs/>
                <w:color w:val="auto"/>
                <w:sz w:val="21"/>
              </w:rPr>
              <w:t>1.1</w:t>
            </w:r>
          </w:p>
        </w:tc>
        <w:tc>
          <w:tcPr>
            <w:tcW w:w="1233" w:type="pct"/>
            <w:tcBorders>
              <w:top w:val="single" w:color="auto" w:sz="4" w:space="0"/>
              <w:left w:val="single" w:color="auto" w:sz="4" w:space="0"/>
              <w:bottom w:val="single" w:color="auto" w:sz="4" w:space="0"/>
            </w:tcBorders>
            <w:shd w:val="clear" w:color="auto" w:fill="auto"/>
            <w:vAlign w:val="center"/>
          </w:tcPr>
          <w:p w14:paraId="433FF86F">
            <w:pPr>
              <w:spacing w:line="240" w:lineRule="auto"/>
              <w:ind w:firstLine="0" w:firstLineChars="0"/>
              <w:jc w:val="center"/>
              <w:rPr>
                <w:bCs/>
                <w:color w:val="auto"/>
                <w:sz w:val="21"/>
              </w:rPr>
            </w:pPr>
            <w:r>
              <w:rPr>
                <w:bCs/>
                <w:color w:val="auto"/>
                <w:sz w:val="21"/>
              </w:rPr>
              <w:t>8.8</w:t>
            </w:r>
          </w:p>
        </w:tc>
      </w:tr>
      <w:tr w14:paraId="3E0F4042">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6606EF78">
            <w:pPr>
              <w:spacing w:line="240" w:lineRule="auto"/>
              <w:ind w:firstLine="0" w:firstLineChars="0"/>
              <w:jc w:val="center"/>
              <w:rPr>
                <w:bCs/>
                <w:color w:val="auto"/>
                <w:sz w:val="21"/>
              </w:rPr>
            </w:pPr>
            <w:r>
              <w:rPr>
                <w:bCs/>
                <w:color w:val="auto"/>
                <w:sz w:val="21"/>
              </w:rPr>
              <w:t>2-3</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331DBB17">
            <w:pPr>
              <w:spacing w:line="240" w:lineRule="auto"/>
              <w:ind w:firstLine="0" w:firstLineChars="0"/>
              <w:jc w:val="center"/>
              <w:rPr>
                <w:bCs/>
                <w:color w:val="auto"/>
                <w:sz w:val="21"/>
              </w:rPr>
            </w:pPr>
            <w:r>
              <w:rPr>
                <w:bCs/>
                <w:color w:val="auto"/>
                <w:sz w:val="21"/>
              </w:rPr>
              <w:t>1.3</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169F3BCC">
            <w:pPr>
              <w:spacing w:line="240" w:lineRule="auto"/>
              <w:ind w:firstLine="0" w:firstLineChars="0"/>
              <w:jc w:val="center"/>
              <w:rPr>
                <w:bCs/>
                <w:color w:val="auto"/>
                <w:sz w:val="21"/>
              </w:rPr>
            </w:pPr>
            <w:r>
              <w:rPr>
                <w:bCs/>
                <w:color w:val="auto"/>
                <w:sz w:val="21"/>
              </w:rPr>
              <w:t>1.09</w:t>
            </w:r>
          </w:p>
        </w:tc>
        <w:tc>
          <w:tcPr>
            <w:tcW w:w="1233" w:type="pct"/>
            <w:tcBorders>
              <w:top w:val="single" w:color="auto" w:sz="4" w:space="0"/>
              <w:left w:val="single" w:color="auto" w:sz="4" w:space="0"/>
              <w:bottom w:val="single" w:color="auto" w:sz="4" w:space="0"/>
            </w:tcBorders>
            <w:shd w:val="clear" w:color="auto" w:fill="auto"/>
            <w:vAlign w:val="center"/>
          </w:tcPr>
          <w:p w14:paraId="75C5BDCC">
            <w:pPr>
              <w:spacing w:line="240" w:lineRule="auto"/>
              <w:ind w:firstLine="0" w:firstLineChars="0"/>
              <w:jc w:val="center"/>
              <w:rPr>
                <w:bCs/>
                <w:color w:val="auto"/>
                <w:sz w:val="21"/>
              </w:rPr>
            </w:pPr>
            <w:r>
              <w:rPr>
                <w:bCs/>
                <w:color w:val="auto"/>
                <w:sz w:val="21"/>
              </w:rPr>
              <w:t>13.0</w:t>
            </w:r>
          </w:p>
        </w:tc>
      </w:tr>
      <w:tr w14:paraId="5262B543">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6A20F546">
            <w:pPr>
              <w:spacing w:line="240" w:lineRule="auto"/>
              <w:ind w:firstLine="0" w:firstLineChars="0"/>
              <w:jc w:val="center"/>
              <w:rPr>
                <w:bCs/>
                <w:color w:val="auto"/>
                <w:sz w:val="21"/>
              </w:rPr>
            </w:pPr>
            <w:r>
              <w:rPr>
                <w:bCs/>
                <w:color w:val="auto"/>
                <w:sz w:val="21"/>
              </w:rPr>
              <w:t>5-7</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0D6E5B58">
            <w:pPr>
              <w:spacing w:line="240" w:lineRule="auto"/>
              <w:ind w:firstLine="0" w:firstLineChars="0"/>
              <w:jc w:val="center"/>
              <w:rPr>
                <w:bCs/>
                <w:color w:val="auto"/>
                <w:sz w:val="21"/>
              </w:rPr>
            </w:pPr>
            <w:r>
              <w:rPr>
                <w:bCs/>
                <w:color w:val="auto"/>
                <w:sz w:val="21"/>
              </w:rPr>
              <w:t>1.3</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5DB2FB6F">
            <w:pPr>
              <w:spacing w:line="240" w:lineRule="auto"/>
              <w:ind w:firstLine="0" w:firstLineChars="0"/>
              <w:jc w:val="center"/>
              <w:rPr>
                <w:bCs/>
                <w:color w:val="auto"/>
                <w:sz w:val="21"/>
              </w:rPr>
            </w:pPr>
            <w:r>
              <w:rPr>
                <w:bCs/>
                <w:color w:val="auto"/>
                <w:sz w:val="21"/>
              </w:rPr>
              <w:t>1.09</w:t>
            </w:r>
          </w:p>
        </w:tc>
        <w:tc>
          <w:tcPr>
            <w:tcW w:w="1233" w:type="pct"/>
            <w:tcBorders>
              <w:top w:val="single" w:color="auto" w:sz="4" w:space="0"/>
              <w:left w:val="single" w:color="auto" w:sz="4" w:space="0"/>
              <w:bottom w:val="single" w:color="auto" w:sz="4" w:space="0"/>
            </w:tcBorders>
            <w:shd w:val="clear" w:color="auto" w:fill="auto"/>
            <w:vAlign w:val="center"/>
          </w:tcPr>
          <w:p w14:paraId="3664C191">
            <w:pPr>
              <w:spacing w:line="240" w:lineRule="auto"/>
              <w:ind w:firstLine="0" w:firstLineChars="0"/>
              <w:jc w:val="center"/>
              <w:rPr>
                <w:bCs/>
                <w:color w:val="auto"/>
                <w:sz w:val="21"/>
              </w:rPr>
            </w:pPr>
            <w:r>
              <w:rPr>
                <w:bCs/>
                <w:color w:val="auto"/>
                <w:sz w:val="21"/>
              </w:rPr>
              <w:t>16.7</w:t>
            </w:r>
          </w:p>
        </w:tc>
      </w:tr>
      <w:tr w14:paraId="6CCE0D45">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2FD0A029">
            <w:pPr>
              <w:spacing w:line="240" w:lineRule="auto"/>
              <w:ind w:firstLine="0" w:firstLineChars="0"/>
              <w:jc w:val="center"/>
              <w:rPr>
                <w:bCs/>
                <w:color w:val="auto"/>
                <w:sz w:val="21"/>
              </w:rPr>
            </w:pPr>
            <w:r>
              <w:rPr>
                <w:bCs/>
                <w:color w:val="auto"/>
                <w:sz w:val="21"/>
              </w:rPr>
              <w:t>0.5-2</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719D100B">
            <w:pPr>
              <w:spacing w:line="240" w:lineRule="auto"/>
              <w:ind w:firstLine="0" w:firstLineChars="0"/>
              <w:jc w:val="center"/>
              <w:rPr>
                <w:bCs/>
                <w:color w:val="auto"/>
                <w:sz w:val="21"/>
              </w:rPr>
            </w:pPr>
            <w:r>
              <w:rPr>
                <w:bCs/>
                <w:color w:val="auto"/>
                <w:sz w:val="21"/>
              </w:rPr>
              <w:t>2</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317D7D51">
            <w:pPr>
              <w:spacing w:line="240" w:lineRule="auto"/>
              <w:ind w:firstLine="0" w:firstLineChars="0"/>
              <w:jc w:val="center"/>
              <w:rPr>
                <w:bCs/>
                <w:color w:val="auto"/>
                <w:sz w:val="21"/>
              </w:rPr>
            </w:pPr>
            <w:r>
              <w:rPr>
                <w:bCs/>
                <w:color w:val="auto"/>
                <w:sz w:val="21"/>
              </w:rPr>
              <w:t>1.08</w:t>
            </w:r>
          </w:p>
        </w:tc>
        <w:tc>
          <w:tcPr>
            <w:tcW w:w="1233" w:type="pct"/>
            <w:tcBorders>
              <w:top w:val="single" w:color="auto" w:sz="4" w:space="0"/>
              <w:left w:val="single" w:color="auto" w:sz="4" w:space="0"/>
              <w:bottom w:val="single" w:color="auto" w:sz="4" w:space="0"/>
            </w:tcBorders>
            <w:shd w:val="clear" w:color="auto" w:fill="auto"/>
            <w:vAlign w:val="center"/>
          </w:tcPr>
          <w:p w14:paraId="363D6810">
            <w:pPr>
              <w:spacing w:line="240" w:lineRule="auto"/>
              <w:ind w:firstLine="0" w:firstLineChars="0"/>
              <w:jc w:val="center"/>
              <w:rPr>
                <w:bCs/>
                <w:color w:val="auto"/>
                <w:sz w:val="21"/>
              </w:rPr>
            </w:pPr>
            <w:r>
              <w:rPr>
                <w:bCs/>
                <w:color w:val="auto"/>
                <w:sz w:val="21"/>
              </w:rPr>
              <w:t>3.11</w:t>
            </w:r>
          </w:p>
        </w:tc>
      </w:tr>
      <w:tr w14:paraId="397B98CC">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37DFF9A4">
            <w:pPr>
              <w:spacing w:line="240" w:lineRule="auto"/>
              <w:ind w:firstLine="0" w:firstLineChars="0"/>
              <w:jc w:val="center"/>
              <w:rPr>
                <w:bCs/>
                <w:color w:val="auto"/>
                <w:sz w:val="21"/>
              </w:rPr>
            </w:pPr>
            <w:r>
              <w:rPr>
                <w:bCs/>
                <w:color w:val="auto"/>
                <w:sz w:val="21"/>
              </w:rPr>
              <w:t>0.2-5</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2678DFDF">
            <w:pPr>
              <w:spacing w:line="240" w:lineRule="auto"/>
              <w:ind w:firstLine="0" w:firstLineChars="0"/>
              <w:jc w:val="center"/>
              <w:rPr>
                <w:bCs/>
                <w:color w:val="auto"/>
                <w:sz w:val="21"/>
              </w:rPr>
            </w:pPr>
            <w:r>
              <w:rPr>
                <w:bCs/>
                <w:color w:val="auto"/>
                <w:sz w:val="21"/>
              </w:rPr>
              <w:t>5</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063138F2">
            <w:pPr>
              <w:spacing w:line="240" w:lineRule="auto"/>
              <w:ind w:firstLine="0" w:firstLineChars="0"/>
              <w:jc w:val="center"/>
              <w:rPr>
                <w:bCs/>
                <w:color w:val="auto"/>
                <w:sz w:val="21"/>
              </w:rPr>
            </w:pPr>
            <w:r>
              <w:rPr>
                <w:bCs/>
                <w:color w:val="auto"/>
                <w:sz w:val="21"/>
              </w:rPr>
              <w:t>1.08</w:t>
            </w:r>
          </w:p>
        </w:tc>
        <w:tc>
          <w:tcPr>
            <w:tcW w:w="1233" w:type="pct"/>
            <w:tcBorders>
              <w:top w:val="single" w:color="auto" w:sz="4" w:space="0"/>
              <w:left w:val="single" w:color="auto" w:sz="4" w:space="0"/>
              <w:bottom w:val="single" w:color="auto" w:sz="4" w:space="0"/>
            </w:tcBorders>
            <w:shd w:val="clear" w:color="auto" w:fill="auto"/>
            <w:vAlign w:val="center"/>
          </w:tcPr>
          <w:p w14:paraId="2962419B">
            <w:pPr>
              <w:spacing w:line="240" w:lineRule="auto"/>
              <w:ind w:firstLine="0" w:firstLineChars="0"/>
              <w:jc w:val="center"/>
              <w:rPr>
                <w:bCs/>
                <w:color w:val="auto"/>
                <w:sz w:val="21"/>
              </w:rPr>
            </w:pPr>
            <w:r>
              <w:rPr>
                <w:bCs/>
                <w:color w:val="auto"/>
                <w:sz w:val="21"/>
              </w:rPr>
              <w:t>8.3</w:t>
            </w:r>
          </w:p>
        </w:tc>
      </w:tr>
      <w:tr w14:paraId="0EF7EC98">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4" w:space="0"/>
              <w:right w:val="single" w:color="auto" w:sz="4" w:space="0"/>
            </w:tcBorders>
            <w:shd w:val="clear" w:color="auto" w:fill="auto"/>
            <w:vAlign w:val="center"/>
          </w:tcPr>
          <w:p w14:paraId="55A19A82">
            <w:pPr>
              <w:spacing w:line="240" w:lineRule="auto"/>
              <w:ind w:firstLine="0" w:firstLineChars="0"/>
              <w:jc w:val="center"/>
              <w:rPr>
                <w:bCs/>
                <w:color w:val="auto"/>
                <w:sz w:val="21"/>
              </w:rPr>
            </w:pPr>
            <w:r>
              <w:rPr>
                <w:bCs/>
                <w:color w:val="auto"/>
                <w:sz w:val="21"/>
              </w:rPr>
              <w:t>0.1-10</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33B1433F">
            <w:pPr>
              <w:spacing w:line="240" w:lineRule="auto"/>
              <w:ind w:firstLine="0" w:firstLineChars="0"/>
              <w:jc w:val="center"/>
              <w:rPr>
                <w:bCs/>
                <w:color w:val="auto"/>
                <w:sz w:val="21"/>
              </w:rPr>
            </w:pPr>
            <w:r>
              <w:rPr>
                <w:bCs/>
                <w:color w:val="auto"/>
                <w:sz w:val="21"/>
              </w:rPr>
              <w:t>10</w:t>
            </w:r>
          </w:p>
        </w:tc>
        <w:tc>
          <w:tcPr>
            <w:tcW w:w="1233" w:type="pct"/>
            <w:tcBorders>
              <w:top w:val="single" w:color="auto" w:sz="4" w:space="0"/>
              <w:left w:val="single" w:color="auto" w:sz="4" w:space="0"/>
              <w:bottom w:val="single" w:color="auto" w:sz="4" w:space="0"/>
              <w:right w:val="single" w:color="auto" w:sz="4" w:space="0"/>
            </w:tcBorders>
            <w:shd w:val="clear" w:color="auto" w:fill="auto"/>
            <w:vAlign w:val="center"/>
          </w:tcPr>
          <w:p w14:paraId="326D8F72">
            <w:pPr>
              <w:spacing w:line="240" w:lineRule="auto"/>
              <w:ind w:firstLine="0" w:firstLineChars="0"/>
              <w:jc w:val="center"/>
              <w:rPr>
                <w:bCs/>
                <w:color w:val="auto"/>
                <w:sz w:val="21"/>
              </w:rPr>
            </w:pPr>
            <w:r>
              <w:rPr>
                <w:bCs/>
                <w:color w:val="auto"/>
                <w:sz w:val="21"/>
              </w:rPr>
              <w:t>1.07</w:t>
            </w:r>
          </w:p>
        </w:tc>
        <w:tc>
          <w:tcPr>
            <w:tcW w:w="1233" w:type="pct"/>
            <w:tcBorders>
              <w:top w:val="single" w:color="auto" w:sz="4" w:space="0"/>
              <w:left w:val="single" w:color="auto" w:sz="4" w:space="0"/>
              <w:bottom w:val="single" w:color="auto" w:sz="4" w:space="0"/>
            </w:tcBorders>
            <w:shd w:val="clear" w:color="auto" w:fill="auto"/>
            <w:vAlign w:val="center"/>
          </w:tcPr>
          <w:p w14:paraId="3024CDCD">
            <w:pPr>
              <w:spacing w:line="240" w:lineRule="auto"/>
              <w:ind w:firstLine="0" w:firstLineChars="0"/>
              <w:jc w:val="center"/>
              <w:rPr>
                <w:bCs/>
                <w:color w:val="auto"/>
                <w:sz w:val="21"/>
              </w:rPr>
            </w:pPr>
            <w:r>
              <w:rPr>
                <w:bCs/>
                <w:color w:val="auto"/>
                <w:sz w:val="21"/>
              </w:rPr>
              <w:t>16.3</w:t>
            </w:r>
          </w:p>
        </w:tc>
      </w:tr>
      <w:tr w14:paraId="6DE6066D">
        <w:tblPrEx>
          <w:tblCellMar>
            <w:top w:w="0" w:type="dxa"/>
            <w:left w:w="108" w:type="dxa"/>
            <w:bottom w:w="0" w:type="dxa"/>
            <w:right w:w="108" w:type="dxa"/>
          </w:tblCellMar>
        </w:tblPrEx>
        <w:trPr>
          <w:trHeight w:val="283" w:hRule="exact"/>
          <w:jc w:val="center"/>
        </w:trPr>
        <w:tc>
          <w:tcPr>
            <w:tcW w:w="1300" w:type="pct"/>
            <w:tcBorders>
              <w:top w:val="single" w:color="auto" w:sz="4" w:space="0"/>
              <w:bottom w:val="single" w:color="auto" w:sz="12" w:space="0"/>
              <w:right w:val="single" w:color="auto" w:sz="4" w:space="0"/>
            </w:tcBorders>
            <w:shd w:val="clear" w:color="auto" w:fill="auto"/>
            <w:vAlign w:val="center"/>
          </w:tcPr>
          <w:p w14:paraId="583C42C2">
            <w:pPr>
              <w:spacing w:line="240" w:lineRule="auto"/>
              <w:ind w:firstLine="0" w:firstLineChars="0"/>
              <w:jc w:val="center"/>
              <w:rPr>
                <w:bCs/>
                <w:color w:val="auto"/>
                <w:sz w:val="21"/>
              </w:rPr>
            </w:pPr>
            <w:r>
              <w:rPr>
                <w:bCs/>
                <w:color w:val="auto"/>
                <w:sz w:val="21"/>
              </w:rPr>
              <w:t>0.05-20</w:t>
            </w:r>
          </w:p>
        </w:tc>
        <w:tc>
          <w:tcPr>
            <w:tcW w:w="1233" w:type="pct"/>
            <w:tcBorders>
              <w:top w:val="single" w:color="auto" w:sz="4" w:space="0"/>
              <w:left w:val="single" w:color="auto" w:sz="4" w:space="0"/>
              <w:bottom w:val="single" w:color="auto" w:sz="12" w:space="0"/>
              <w:right w:val="single" w:color="auto" w:sz="4" w:space="0"/>
            </w:tcBorders>
            <w:shd w:val="clear" w:color="auto" w:fill="auto"/>
            <w:vAlign w:val="center"/>
          </w:tcPr>
          <w:p w14:paraId="1AD9E784">
            <w:pPr>
              <w:spacing w:line="240" w:lineRule="auto"/>
              <w:ind w:firstLine="0" w:firstLineChars="0"/>
              <w:jc w:val="center"/>
              <w:rPr>
                <w:bCs/>
                <w:color w:val="auto"/>
                <w:sz w:val="21"/>
              </w:rPr>
            </w:pPr>
            <w:r>
              <w:rPr>
                <w:bCs/>
                <w:color w:val="auto"/>
                <w:sz w:val="21"/>
              </w:rPr>
              <w:t>20</w:t>
            </w:r>
          </w:p>
        </w:tc>
        <w:tc>
          <w:tcPr>
            <w:tcW w:w="1233" w:type="pct"/>
            <w:tcBorders>
              <w:top w:val="single" w:color="auto" w:sz="4" w:space="0"/>
              <w:left w:val="single" w:color="auto" w:sz="4" w:space="0"/>
              <w:bottom w:val="single" w:color="auto" w:sz="12" w:space="0"/>
              <w:right w:val="single" w:color="auto" w:sz="4" w:space="0"/>
            </w:tcBorders>
            <w:shd w:val="clear" w:color="auto" w:fill="auto"/>
            <w:vAlign w:val="center"/>
          </w:tcPr>
          <w:p w14:paraId="34938108">
            <w:pPr>
              <w:spacing w:line="240" w:lineRule="auto"/>
              <w:ind w:firstLine="0" w:firstLineChars="0"/>
              <w:jc w:val="center"/>
              <w:rPr>
                <w:bCs/>
                <w:color w:val="auto"/>
                <w:sz w:val="21"/>
              </w:rPr>
            </w:pPr>
            <w:r>
              <w:rPr>
                <w:bCs/>
                <w:color w:val="auto"/>
                <w:sz w:val="21"/>
              </w:rPr>
              <w:t>1.07</w:t>
            </w:r>
          </w:p>
        </w:tc>
        <w:tc>
          <w:tcPr>
            <w:tcW w:w="1233" w:type="pct"/>
            <w:tcBorders>
              <w:top w:val="single" w:color="auto" w:sz="4" w:space="0"/>
              <w:left w:val="single" w:color="auto" w:sz="4" w:space="0"/>
              <w:bottom w:val="single" w:color="auto" w:sz="12" w:space="0"/>
            </w:tcBorders>
            <w:shd w:val="clear" w:color="auto" w:fill="auto"/>
            <w:vAlign w:val="center"/>
          </w:tcPr>
          <w:p w14:paraId="19C9CDBA">
            <w:pPr>
              <w:spacing w:line="240" w:lineRule="auto"/>
              <w:ind w:firstLine="0" w:firstLineChars="0"/>
              <w:jc w:val="center"/>
              <w:rPr>
                <w:bCs/>
                <w:color w:val="auto"/>
                <w:sz w:val="21"/>
              </w:rPr>
            </w:pPr>
            <w:r>
              <w:rPr>
                <w:bCs/>
                <w:color w:val="auto"/>
                <w:sz w:val="21"/>
              </w:rPr>
              <w:t>70.7</w:t>
            </w:r>
          </w:p>
        </w:tc>
      </w:tr>
    </w:tbl>
    <w:p w14:paraId="2C9163BB">
      <w:pPr>
        <w:ind w:firstLine="480"/>
        <w:rPr>
          <w:bCs/>
          <w:color w:val="auto"/>
        </w:rPr>
      </w:pPr>
      <w:r>
        <w:rPr>
          <w:bCs/>
          <w:color w:val="auto"/>
        </w:rPr>
        <w:t>地下水实际流速和弥散度的确定按下列方法取得：</w:t>
      </w:r>
    </w:p>
    <w:p w14:paraId="60ABD892">
      <w:pPr>
        <w:ind w:firstLine="0" w:firstLineChars="0"/>
        <w:jc w:val="center"/>
        <w:rPr>
          <w:bCs/>
          <w:color w:val="auto"/>
        </w:rPr>
      </w:pPr>
      <w:r>
        <w:rPr>
          <w:bCs/>
          <w:color w:val="auto"/>
        </w:rPr>
        <w:t>U</w:t>
      </w:r>
      <w:r>
        <w:rPr>
          <w:rFonts w:hint="eastAsia"/>
          <w:bCs/>
          <w:color w:val="auto"/>
        </w:rPr>
        <w:t>=</w:t>
      </w:r>
      <w:r>
        <w:rPr>
          <w:bCs/>
          <w:color w:val="auto"/>
        </w:rPr>
        <w:t>K×I</w:t>
      </w:r>
      <w:r>
        <w:rPr>
          <w:rFonts w:hint="eastAsia"/>
          <w:bCs/>
          <w:color w:val="auto"/>
        </w:rPr>
        <w:t>/</w:t>
      </w:r>
      <w:r>
        <w:rPr>
          <w:bCs/>
          <w:color w:val="auto"/>
        </w:rPr>
        <w:t>n</w:t>
      </w:r>
      <w:r>
        <w:rPr>
          <w:rFonts w:hint="eastAsia"/>
          <w:bCs/>
          <w:color w:val="auto"/>
        </w:rPr>
        <w:t>;</w:t>
      </w:r>
      <w:r>
        <w:rPr>
          <w:bCs/>
          <w:color w:val="auto"/>
        </w:rPr>
        <w:t>D</w:t>
      </w:r>
      <w:r>
        <w:rPr>
          <w:bCs/>
          <w:color w:val="auto"/>
          <w:vertAlign w:val="subscript"/>
        </w:rPr>
        <w:t>L</w:t>
      </w:r>
      <w:r>
        <w:rPr>
          <w:rFonts w:hint="eastAsia"/>
          <w:bCs/>
          <w:color w:val="auto"/>
          <w:vertAlign w:val="subscript"/>
        </w:rPr>
        <w:t>=</w:t>
      </w:r>
      <w:r>
        <w:rPr>
          <w:bCs/>
          <w:color w:val="auto"/>
        </w:rPr>
        <w:t>aL×Um</w:t>
      </w:r>
      <w:r>
        <w:rPr>
          <w:rFonts w:hint="eastAsia"/>
          <w:bCs/>
          <w:color w:val="auto"/>
        </w:rPr>
        <w:t>;</w:t>
      </w:r>
      <w:r>
        <w:rPr>
          <w:bCs/>
          <w:color w:val="auto"/>
        </w:rPr>
        <w:t>D</w:t>
      </w:r>
      <w:r>
        <w:rPr>
          <w:bCs/>
          <w:color w:val="auto"/>
          <w:vertAlign w:val="subscript"/>
        </w:rPr>
        <w:t>T</w:t>
      </w:r>
      <w:r>
        <w:rPr>
          <w:rFonts w:hint="eastAsia"/>
          <w:bCs/>
          <w:color w:val="auto"/>
          <w:vertAlign w:val="subscript"/>
        </w:rPr>
        <w:t>=</w:t>
      </w:r>
      <w:r>
        <w:rPr>
          <w:bCs/>
          <w:color w:val="auto"/>
        </w:rPr>
        <w:t>aT×Um</w:t>
      </w:r>
    </w:p>
    <w:p w14:paraId="3BA03880">
      <w:pPr>
        <w:ind w:firstLine="480"/>
        <w:rPr>
          <w:bCs/>
          <w:color w:val="auto"/>
        </w:rPr>
      </w:pPr>
      <w:r>
        <w:rPr>
          <w:bCs/>
          <w:color w:val="auto"/>
        </w:rPr>
        <w:t>其中：U—地下水实际流速，m/d；K—渗透系数，m/d；I—水力坡度；n—孔隙度；m—指数；D</w:t>
      </w:r>
      <w:r>
        <w:rPr>
          <w:bCs/>
          <w:color w:val="auto"/>
          <w:vertAlign w:val="subscript"/>
        </w:rPr>
        <w:t>L</w:t>
      </w:r>
      <w:r>
        <w:rPr>
          <w:bCs/>
          <w:color w:val="auto"/>
        </w:rPr>
        <w:t>—纵向弥散系数，m</w:t>
      </w:r>
      <w:r>
        <w:rPr>
          <w:bCs/>
          <w:color w:val="auto"/>
          <w:vertAlign w:val="superscript"/>
        </w:rPr>
        <w:t>2</w:t>
      </w:r>
      <w:r>
        <w:rPr>
          <w:bCs/>
          <w:color w:val="auto"/>
        </w:rPr>
        <w:t>/d；D</w:t>
      </w:r>
      <w:r>
        <w:rPr>
          <w:bCs/>
          <w:color w:val="auto"/>
          <w:vertAlign w:val="subscript"/>
        </w:rPr>
        <w:t>T</w:t>
      </w:r>
      <w:r>
        <w:rPr>
          <w:bCs/>
          <w:color w:val="auto"/>
        </w:rPr>
        <w:t>—横向弥散系数，m</w:t>
      </w:r>
      <w:r>
        <w:rPr>
          <w:bCs/>
          <w:color w:val="auto"/>
          <w:vertAlign w:val="superscript"/>
        </w:rPr>
        <w:t>2</w:t>
      </w:r>
      <w:r>
        <w:rPr>
          <w:bCs/>
          <w:color w:val="auto"/>
        </w:rPr>
        <w:t>/d；aL—纵向弥散度；aT—横向弥散度。</w:t>
      </w:r>
    </w:p>
    <w:p w14:paraId="0CA449B7">
      <w:pPr>
        <w:ind w:firstLine="480"/>
        <w:rPr>
          <w:bCs/>
          <w:color w:val="auto"/>
        </w:rPr>
      </w:pPr>
      <w:r>
        <w:rPr>
          <w:bCs/>
          <w:color w:val="auto"/>
        </w:rPr>
        <w:t>计算参数结果见表</w:t>
      </w:r>
      <w:r>
        <w:rPr>
          <w:rFonts w:hint="eastAsia"/>
          <w:bCs/>
          <w:color w:val="auto"/>
        </w:rPr>
        <w:t>6.2.5-5</w:t>
      </w:r>
      <w:r>
        <w:rPr>
          <w:bCs/>
          <w:color w:val="auto"/>
        </w:rPr>
        <w:t>。</w:t>
      </w:r>
    </w:p>
    <w:p w14:paraId="15ACA256">
      <w:pPr>
        <w:spacing w:line="240" w:lineRule="auto"/>
        <w:ind w:firstLine="0" w:firstLineChars="0"/>
        <w:jc w:val="center"/>
        <w:rPr>
          <w:b/>
          <w:bCs/>
          <w:color w:val="auto"/>
        </w:rPr>
      </w:pPr>
      <w:r>
        <w:rPr>
          <w:b/>
          <w:bCs/>
          <w:color w:val="auto"/>
        </w:rPr>
        <w:t>表</w:t>
      </w:r>
      <w:r>
        <w:rPr>
          <w:rFonts w:hint="eastAsia"/>
          <w:b/>
          <w:bCs/>
          <w:color w:val="auto"/>
        </w:rPr>
        <w:t>6.2.5-5</w:t>
      </w:r>
      <w:r>
        <w:rPr>
          <w:b/>
          <w:bCs/>
          <w:color w:val="auto"/>
        </w:rPr>
        <w:t xml:space="preserve">  计算参数一览表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46"/>
        <w:gridCol w:w="3024"/>
      </w:tblGrid>
      <w:tr w14:paraId="21EBE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046" w:type="dxa"/>
            <w:tcBorders>
              <w:bottom w:val="single" w:color="000000" w:sz="6" w:space="0"/>
              <w:right w:val="single" w:color="000000" w:sz="6" w:space="0"/>
              <w:tl2br w:val="nil"/>
              <w:tr2bl w:val="nil"/>
            </w:tcBorders>
            <w:shd w:val="clear" w:color="auto" w:fill="auto"/>
            <w:vAlign w:val="center"/>
          </w:tcPr>
          <w:p w14:paraId="1ADC8134">
            <w:pPr>
              <w:spacing w:line="240" w:lineRule="auto"/>
              <w:ind w:firstLine="0" w:firstLineChars="0"/>
              <w:jc w:val="center"/>
              <w:rPr>
                <w:bCs/>
                <w:color w:val="auto"/>
                <w:sz w:val="21"/>
              </w:rPr>
            </w:pPr>
            <w:r>
              <w:rPr>
                <w:b/>
                <w:bCs/>
                <w:iCs/>
                <w:color w:val="auto"/>
                <w:sz w:val="21"/>
              </w:rPr>
              <w:t>参数名称</w:t>
            </w:r>
          </w:p>
        </w:tc>
        <w:tc>
          <w:tcPr>
            <w:tcW w:w="3024" w:type="dxa"/>
            <w:tcBorders>
              <w:bottom w:val="single" w:color="000000" w:sz="6" w:space="0"/>
            </w:tcBorders>
            <w:shd w:val="clear" w:color="auto" w:fill="auto"/>
            <w:vAlign w:val="center"/>
          </w:tcPr>
          <w:p w14:paraId="18557811">
            <w:pPr>
              <w:spacing w:line="240" w:lineRule="auto"/>
              <w:ind w:firstLine="0" w:firstLineChars="0"/>
              <w:jc w:val="center"/>
              <w:rPr>
                <w:bCs/>
                <w:color w:val="auto"/>
                <w:sz w:val="21"/>
              </w:rPr>
            </w:pPr>
            <w:r>
              <w:rPr>
                <w:b/>
                <w:bCs/>
                <w:iCs/>
                <w:color w:val="auto"/>
                <w:sz w:val="21"/>
              </w:rPr>
              <w:t>取值</w:t>
            </w:r>
          </w:p>
        </w:tc>
      </w:tr>
      <w:tr w14:paraId="2B28E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71C81BCD">
            <w:pPr>
              <w:spacing w:line="240" w:lineRule="auto"/>
              <w:ind w:firstLine="0" w:firstLineChars="0"/>
              <w:jc w:val="center"/>
              <w:rPr>
                <w:bCs/>
                <w:color w:val="auto"/>
                <w:sz w:val="21"/>
              </w:rPr>
            </w:pPr>
            <w:r>
              <w:rPr>
                <w:bCs/>
                <w:color w:val="auto"/>
                <w:sz w:val="21"/>
              </w:rPr>
              <w:t>渗透系数（m/d）</w:t>
            </w:r>
          </w:p>
        </w:tc>
        <w:tc>
          <w:tcPr>
            <w:tcW w:w="3024" w:type="dxa"/>
            <w:shd w:val="clear" w:color="auto" w:fill="auto"/>
            <w:vAlign w:val="center"/>
          </w:tcPr>
          <w:p w14:paraId="24DF7219">
            <w:pPr>
              <w:spacing w:line="240" w:lineRule="auto"/>
              <w:ind w:firstLine="0" w:firstLineChars="0"/>
              <w:jc w:val="center"/>
              <w:rPr>
                <w:bCs/>
                <w:color w:val="auto"/>
                <w:sz w:val="21"/>
              </w:rPr>
            </w:pPr>
            <w:r>
              <w:rPr>
                <w:rFonts w:hint="eastAsia"/>
                <w:bCs/>
                <w:color w:val="auto"/>
                <w:sz w:val="21"/>
              </w:rPr>
              <w:t>0.15</w:t>
            </w:r>
          </w:p>
        </w:tc>
      </w:tr>
      <w:tr w14:paraId="3CE2B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5C5F8C10">
            <w:pPr>
              <w:spacing w:line="240" w:lineRule="auto"/>
              <w:ind w:firstLine="0" w:firstLineChars="0"/>
              <w:jc w:val="center"/>
              <w:rPr>
                <w:bCs/>
                <w:color w:val="auto"/>
                <w:sz w:val="21"/>
              </w:rPr>
            </w:pPr>
            <w:r>
              <w:rPr>
                <w:bCs/>
                <w:color w:val="auto"/>
                <w:sz w:val="21"/>
              </w:rPr>
              <w:t>有效孔隙度</w:t>
            </w:r>
          </w:p>
        </w:tc>
        <w:tc>
          <w:tcPr>
            <w:tcW w:w="3024" w:type="dxa"/>
            <w:shd w:val="clear" w:color="auto" w:fill="auto"/>
            <w:vAlign w:val="center"/>
          </w:tcPr>
          <w:p w14:paraId="588D3979">
            <w:pPr>
              <w:spacing w:line="240" w:lineRule="auto"/>
              <w:ind w:firstLine="0" w:firstLineChars="0"/>
              <w:jc w:val="center"/>
              <w:rPr>
                <w:bCs/>
                <w:color w:val="auto"/>
                <w:sz w:val="21"/>
              </w:rPr>
            </w:pPr>
            <w:r>
              <w:rPr>
                <w:bCs/>
                <w:color w:val="auto"/>
                <w:sz w:val="21"/>
              </w:rPr>
              <w:t>0.19</w:t>
            </w:r>
          </w:p>
        </w:tc>
      </w:tr>
      <w:tr w14:paraId="7016E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601B2E7A">
            <w:pPr>
              <w:spacing w:line="240" w:lineRule="auto"/>
              <w:ind w:firstLine="0" w:firstLineChars="0"/>
              <w:jc w:val="center"/>
              <w:rPr>
                <w:bCs/>
                <w:color w:val="auto"/>
                <w:sz w:val="21"/>
              </w:rPr>
            </w:pPr>
            <w:r>
              <w:rPr>
                <w:bCs/>
                <w:color w:val="auto"/>
                <w:sz w:val="21"/>
              </w:rPr>
              <w:t>水力坡度（‰）</w:t>
            </w:r>
          </w:p>
        </w:tc>
        <w:tc>
          <w:tcPr>
            <w:tcW w:w="3024" w:type="dxa"/>
            <w:shd w:val="clear" w:color="auto" w:fill="auto"/>
            <w:vAlign w:val="center"/>
          </w:tcPr>
          <w:p w14:paraId="0DD2EE91">
            <w:pPr>
              <w:spacing w:line="240" w:lineRule="auto"/>
              <w:ind w:firstLine="0" w:firstLineChars="0"/>
              <w:jc w:val="center"/>
              <w:rPr>
                <w:bCs/>
                <w:color w:val="auto"/>
                <w:sz w:val="21"/>
              </w:rPr>
            </w:pPr>
            <w:r>
              <w:rPr>
                <w:bCs/>
                <w:color w:val="auto"/>
                <w:sz w:val="21"/>
              </w:rPr>
              <w:t>1.8</w:t>
            </w:r>
          </w:p>
        </w:tc>
      </w:tr>
      <w:tr w14:paraId="6DEAD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39CB3760">
            <w:pPr>
              <w:spacing w:line="240" w:lineRule="auto"/>
              <w:ind w:firstLine="0" w:firstLineChars="0"/>
              <w:jc w:val="center"/>
              <w:rPr>
                <w:bCs/>
                <w:color w:val="auto"/>
                <w:sz w:val="21"/>
              </w:rPr>
            </w:pPr>
            <w:r>
              <w:rPr>
                <w:bCs/>
                <w:color w:val="auto"/>
                <w:sz w:val="21"/>
              </w:rPr>
              <w:t>水流速度U（m/d）</w:t>
            </w:r>
          </w:p>
        </w:tc>
        <w:tc>
          <w:tcPr>
            <w:tcW w:w="3024" w:type="dxa"/>
            <w:shd w:val="clear" w:color="auto" w:fill="auto"/>
            <w:vAlign w:val="center"/>
          </w:tcPr>
          <w:p w14:paraId="44182907">
            <w:pPr>
              <w:spacing w:line="240" w:lineRule="auto"/>
              <w:ind w:firstLine="0" w:firstLineChars="0"/>
              <w:jc w:val="center"/>
              <w:rPr>
                <w:bCs/>
                <w:color w:val="auto"/>
                <w:sz w:val="21"/>
              </w:rPr>
            </w:pPr>
            <w:r>
              <w:rPr>
                <w:bCs/>
                <w:color w:val="auto"/>
                <w:sz w:val="21"/>
              </w:rPr>
              <w:t>0.11</w:t>
            </w:r>
          </w:p>
        </w:tc>
      </w:tr>
      <w:tr w14:paraId="5DC26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649A53FC">
            <w:pPr>
              <w:spacing w:line="240" w:lineRule="auto"/>
              <w:ind w:firstLine="0" w:firstLineChars="0"/>
              <w:jc w:val="center"/>
              <w:rPr>
                <w:bCs/>
                <w:color w:val="auto"/>
                <w:sz w:val="21"/>
              </w:rPr>
            </w:pPr>
            <w:r>
              <w:rPr>
                <w:bCs/>
                <w:color w:val="auto"/>
                <w:sz w:val="21"/>
              </w:rPr>
              <w:t>D</w:t>
            </w:r>
            <w:r>
              <w:rPr>
                <w:bCs/>
                <w:color w:val="auto"/>
                <w:sz w:val="21"/>
                <w:vertAlign w:val="subscript"/>
              </w:rPr>
              <w:t>L</w:t>
            </w:r>
            <w:r>
              <w:rPr>
                <w:rFonts w:hint="eastAsia"/>
                <w:bCs/>
                <w:color w:val="auto"/>
                <w:sz w:val="21"/>
                <w:vertAlign w:val="subscript"/>
              </w:rPr>
              <w:t>(</w:t>
            </w:r>
            <w:r>
              <w:rPr>
                <w:bCs/>
                <w:color w:val="auto"/>
                <w:sz w:val="21"/>
              </w:rPr>
              <w:t>m</w:t>
            </w:r>
            <w:r>
              <w:rPr>
                <w:bCs/>
                <w:color w:val="auto"/>
                <w:sz w:val="21"/>
                <w:vertAlign w:val="superscript"/>
              </w:rPr>
              <w:t>2</w:t>
            </w:r>
            <w:r>
              <w:rPr>
                <w:bCs/>
                <w:color w:val="auto"/>
                <w:sz w:val="21"/>
              </w:rPr>
              <w:t>/d</w:t>
            </w:r>
            <w:r>
              <w:rPr>
                <w:rFonts w:hint="eastAsia"/>
                <w:bCs/>
                <w:color w:val="auto"/>
                <w:sz w:val="21"/>
              </w:rPr>
              <w:t>)</w:t>
            </w:r>
          </w:p>
        </w:tc>
        <w:tc>
          <w:tcPr>
            <w:tcW w:w="3024" w:type="dxa"/>
            <w:shd w:val="clear" w:color="auto" w:fill="auto"/>
            <w:vAlign w:val="center"/>
          </w:tcPr>
          <w:p w14:paraId="0F94E283">
            <w:pPr>
              <w:spacing w:line="240" w:lineRule="auto"/>
              <w:ind w:firstLine="0" w:firstLineChars="0"/>
              <w:jc w:val="center"/>
              <w:rPr>
                <w:bCs/>
                <w:color w:val="auto"/>
                <w:sz w:val="21"/>
              </w:rPr>
            </w:pPr>
            <w:r>
              <w:rPr>
                <w:bCs/>
                <w:color w:val="auto"/>
                <w:sz w:val="21"/>
              </w:rPr>
              <w:t>1.65</w:t>
            </w:r>
          </w:p>
        </w:tc>
      </w:tr>
      <w:tr w14:paraId="223EA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060F1DA8">
            <w:pPr>
              <w:spacing w:line="240" w:lineRule="auto"/>
              <w:ind w:firstLine="0" w:firstLineChars="0"/>
              <w:jc w:val="center"/>
              <w:rPr>
                <w:bCs/>
                <w:color w:val="auto"/>
                <w:sz w:val="21"/>
              </w:rPr>
            </w:pPr>
            <w:r>
              <w:rPr>
                <w:bCs/>
                <w:color w:val="auto"/>
                <w:sz w:val="21"/>
              </w:rPr>
              <w:t>D</w:t>
            </w:r>
            <w:r>
              <w:rPr>
                <w:bCs/>
                <w:color w:val="auto"/>
                <w:sz w:val="21"/>
                <w:vertAlign w:val="subscript"/>
              </w:rPr>
              <w:t>T</w:t>
            </w:r>
            <w:r>
              <w:rPr>
                <w:rFonts w:hint="eastAsia"/>
                <w:bCs/>
                <w:color w:val="auto"/>
                <w:sz w:val="21"/>
                <w:vertAlign w:val="subscript"/>
              </w:rPr>
              <w:t>(</w:t>
            </w:r>
            <w:r>
              <w:rPr>
                <w:bCs/>
                <w:color w:val="auto"/>
                <w:sz w:val="21"/>
              </w:rPr>
              <w:t>m</w:t>
            </w:r>
            <w:r>
              <w:rPr>
                <w:bCs/>
                <w:color w:val="auto"/>
                <w:sz w:val="21"/>
                <w:vertAlign w:val="superscript"/>
              </w:rPr>
              <w:t>2</w:t>
            </w:r>
            <w:r>
              <w:rPr>
                <w:bCs/>
                <w:color w:val="auto"/>
                <w:sz w:val="21"/>
              </w:rPr>
              <w:t>/d</w:t>
            </w:r>
            <w:r>
              <w:rPr>
                <w:rFonts w:hint="eastAsia"/>
                <w:bCs/>
                <w:color w:val="auto"/>
                <w:sz w:val="21"/>
              </w:rPr>
              <w:t>)</w:t>
            </w:r>
          </w:p>
        </w:tc>
        <w:tc>
          <w:tcPr>
            <w:tcW w:w="3024" w:type="dxa"/>
            <w:shd w:val="clear" w:color="auto" w:fill="auto"/>
            <w:vAlign w:val="center"/>
          </w:tcPr>
          <w:p w14:paraId="0CF15B0D">
            <w:pPr>
              <w:spacing w:line="240" w:lineRule="auto"/>
              <w:ind w:firstLine="0" w:firstLineChars="0"/>
              <w:jc w:val="center"/>
              <w:rPr>
                <w:bCs/>
                <w:color w:val="auto"/>
                <w:sz w:val="21"/>
              </w:rPr>
            </w:pPr>
            <w:r>
              <w:rPr>
                <w:bCs/>
                <w:color w:val="auto"/>
                <w:sz w:val="21"/>
              </w:rPr>
              <w:t>0.22</w:t>
            </w:r>
          </w:p>
        </w:tc>
      </w:tr>
      <w:tr w14:paraId="74DC6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6" w:type="dxa"/>
            <w:tcBorders>
              <w:right w:val="single" w:color="000000" w:sz="6" w:space="0"/>
              <w:tl2br w:val="nil"/>
              <w:tr2bl w:val="nil"/>
            </w:tcBorders>
            <w:shd w:val="clear" w:color="auto" w:fill="auto"/>
            <w:vAlign w:val="center"/>
          </w:tcPr>
          <w:p w14:paraId="592D890C">
            <w:pPr>
              <w:spacing w:line="240" w:lineRule="auto"/>
              <w:ind w:firstLine="0" w:firstLineChars="0"/>
              <w:jc w:val="center"/>
              <w:rPr>
                <w:bCs/>
                <w:color w:val="auto"/>
                <w:sz w:val="21"/>
              </w:rPr>
            </w:pPr>
            <w:r>
              <w:rPr>
                <w:bCs/>
                <w:color w:val="auto"/>
                <w:sz w:val="21"/>
              </w:rPr>
              <w:t>横截面面积（m</w:t>
            </w:r>
            <w:r>
              <w:rPr>
                <w:bCs/>
                <w:color w:val="auto"/>
                <w:sz w:val="21"/>
                <w:vertAlign w:val="superscript"/>
              </w:rPr>
              <w:t>2</w:t>
            </w:r>
            <w:r>
              <w:rPr>
                <w:bCs/>
                <w:color w:val="auto"/>
                <w:sz w:val="21"/>
              </w:rPr>
              <w:t>）</w:t>
            </w:r>
          </w:p>
        </w:tc>
        <w:tc>
          <w:tcPr>
            <w:tcW w:w="3024" w:type="dxa"/>
            <w:shd w:val="clear" w:color="auto" w:fill="auto"/>
            <w:vAlign w:val="center"/>
          </w:tcPr>
          <w:p w14:paraId="42EF6401">
            <w:pPr>
              <w:spacing w:line="240" w:lineRule="auto"/>
              <w:ind w:firstLine="0" w:firstLineChars="0"/>
              <w:jc w:val="center"/>
              <w:rPr>
                <w:bCs/>
                <w:color w:val="auto"/>
                <w:sz w:val="21"/>
              </w:rPr>
            </w:pPr>
            <w:r>
              <w:rPr>
                <w:bCs/>
                <w:color w:val="auto"/>
                <w:sz w:val="21"/>
              </w:rPr>
              <w:t>190</w:t>
            </w:r>
          </w:p>
        </w:tc>
      </w:tr>
    </w:tbl>
    <w:p w14:paraId="4599A96A">
      <w:pPr>
        <w:ind w:firstLine="482"/>
        <w:rPr>
          <w:b/>
          <w:color w:val="auto"/>
        </w:rPr>
      </w:pPr>
      <w:r>
        <w:rPr>
          <w:b/>
          <w:color w:val="auto"/>
        </w:rPr>
        <w:t>4、预测结果</w:t>
      </w:r>
    </w:p>
    <w:p w14:paraId="33051835">
      <w:pPr>
        <w:ind w:firstLine="480"/>
        <w:rPr>
          <w:color w:val="auto"/>
        </w:rPr>
      </w:pPr>
      <w:r>
        <w:rPr>
          <w:color w:val="auto"/>
        </w:rPr>
        <w:t>非正常</w:t>
      </w:r>
      <w:r>
        <w:rPr>
          <w:rFonts w:hint="eastAsia"/>
          <w:color w:val="auto"/>
        </w:rPr>
        <w:t>状况</w:t>
      </w:r>
      <w:r>
        <w:rPr>
          <w:color w:val="auto"/>
        </w:rPr>
        <w:t>下，</w:t>
      </w:r>
      <w:r>
        <w:rPr>
          <w:rFonts w:hint="eastAsia"/>
          <w:color w:val="auto"/>
        </w:rPr>
        <w:t>高锰酸盐指数、总铝和总锡</w:t>
      </w:r>
      <w:r>
        <w:rPr>
          <w:color w:val="auto"/>
        </w:rPr>
        <w:t>运移范围计算见表</w:t>
      </w:r>
      <w:r>
        <w:rPr>
          <w:rFonts w:hint="eastAsia"/>
          <w:color w:val="auto"/>
        </w:rPr>
        <w:t>6.2.5-6</w:t>
      </w:r>
      <w:r>
        <w:rPr>
          <w:color w:val="auto"/>
        </w:rPr>
        <w:t>。</w:t>
      </w:r>
    </w:p>
    <w:p w14:paraId="657E74C8">
      <w:pPr>
        <w:spacing w:line="240" w:lineRule="auto"/>
        <w:ind w:firstLine="0" w:firstLineChars="0"/>
        <w:jc w:val="center"/>
        <w:rPr>
          <w:b/>
          <w:color w:val="auto"/>
        </w:rPr>
      </w:pPr>
      <w:r>
        <w:rPr>
          <w:b/>
          <w:color w:val="auto"/>
        </w:rPr>
        <w:t>表</w:t>
      </w:r>
      <w:r>
        <w:rPr>
          <w:rFonts w:hint="eastAsia"/>
          <w:b/>
          <w:color w:val="auto"/>
        </w:rPr>
        <w:t>6.2.5-6</w:t>
      </w:r>
      <w:r>
        <w:rPr>
          <w:b/>
          <w:color w:val="auto"/>
        </w:rPr>
        <w:t xml:space="preserve">  </w:t>
      </w:r>
      <w:r>
        <w:rPr>
          <w:rFonts w:hint="eastAsia"/>
          <w:b/>
          <w:color w:val="auto"/>
        </w:rPr>
        <w:t>废水调节池</w:t>
      </w:r>
      <w:r>
        <w:rPr>
          <w:b/>
          <w:color w:val="auto"/>
        </w:rPr>
        <w:t>非正常</w:t>
      </w:r>
      <w:r>
        <w:rPr>
          <w:rFonts w:hint="eastAsia"/>
          <w:b/>
          <w:color w:val="auto"/>
        </w:rPr>
        <w:t>状况</w:t>
      </w:r>
      <w:r>
        <w:rPr>
          <w:b/>
          <w:color w:val="auto"/>
        </w:rPr>
        <w:t>下</w:t>
      </w:r>
      <w:r>
        <w:rPr>
          <w:rFonts w:hint="eastAsia"/>
          <w:b/>
          <w:color w:val="auto"/>
          <w:lang w:val="en-US" w:eastAsia="zh-CN"/>
        </w:rPr>
        <w:t>各污染物</w:t>
      </w:r>
      <w:r>
        <w:rPr>
          <w:b/>
          <w:color w:val="auto"/>
        </w:rPr>
        <w:t>运移范围预测结果表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3373"/>
        <w:gridCol w:w="1690"/>
        <w:gridCol w:w="1476"/>
        <w:gridCol w:w="1638"/>
      </w:tblGrid>
      <w:tr w14:paraId="34F46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tcBorders>
              <w:tl2br w:val="nil"/>
              <w:tr2bl w:val="nil"/>
            </w:tcBorders>
            <w:vAlign w:val="center"/>
          </w:tcPr>
          <w:p w14:paraId="3F52FA18">
            <w:pPr>
              <w:spacing w:line="240" w:lineRule="auto"/>
              <w:ind w:firstLine="0" w:firstLineChars="0"/>
              <w:jc w:val="center"/>
              <w:rPr>
                <w:b/>
                <w:bCs/>
                <w:color w:val="auto"/>
                <w:sz w:val="21"/>
                <w:szCs w:val="21"/>
              </w:rPr>
            </w:pPr>
            <w:r>
              <w:rPr>
                <w:rFonts w:hint="eastAsia"/>
                <w:b/>
                <w:bCs/>
                <w:color w:val="auto"/>
                <w:sz w:val="21"/>
                <w:szCs w:val="21"/>
              </w:rPr>
              <w:t>污染物</w:t>
            </w:r>
          </w:p>
        </w:tc>
        <w:tc>
          <w:tcPr>
            <w:tcW w:w="1794" w:type="pct"/>
            <w:tcBorders>
              <w:tl2br w:val="nil"/>
              <w:tr2bl w:val="nil"/>
            </w:tcBorders>
            <w:vAlign w:val="center"/>
          </w:tcPr>
          <w:p w14:paraId="6D513199">
            <w:pPr>
              <w:spacing w:line="240" w:lineRule="auto"/>
              <w:ind w:firstLine="0" w:firstLineChars="0"/>
              <w:jc w:val="center"/>
              <w:rPr>
                <w:b/>
                <w:bCs/>
                <w:color w:val="auto"/>
                <w:sz w:val="21"/>
                <w:szCs w:val="21"/>
              </w:rPr>
            </w:pPr>
            <w:r>
              <w:rPr>
                <w:rFonts w:hint="eastAsia"/>
                <w:b/>
                <w:bCs/>
                <w:color w:val="auto"/>
                <w:sz w:val="21"/>
                <w:szCs w:val="21"/>
              </w:rPr>
              <w:t>参数</w:t>
            </w:r>
          </w:p>
        </w:tc>
        <w:tc>
          <w:tcPr>
            <w:tcW w:w="899" w:type="pct"/>
            <w:tcBorders>
              <w:tl2br w:val="nil"/>
              <w:tr2bl w:val="nil"/>
            </w:tcBorders>
            <w:vAlign w:val="center"/>
          </w:tcPr>
          <w:p w14:paraId="5EE8B457">
            <w:pPr>
              <w:spacing w:line="240" w:lineRule="auto"/>
              <w:ind w:firstLine="0" w:firstLineChars="0"/>
              <w:jc w:val="center"/>
              <w:rPr>
                <w:b/>
                <w:bCs/>
                <w:color w:val="auto"/>
                <w:sz w:val="21"/>
                <w:szCs w:val="21"/>
              </w:rPr>
            </w:pPr>
            <w:r>
              <w:rPr>
                <w:rFonts w:hint="eastAsia"/>
                <w:b/>
                <w:bCs/>
                <w:color w:val="auto"/>
                <w:sz w:val="21"/>
                <w:szCs w:val="21"/>
              </w:rPr>
              <w:t>100天</w:t>
            </w:r>
          </w:p>
        </w:tc>
        <w:tc>
          <w:tcPr>
            <w:tcW w:w="785" w:type="pct"/>
            <w:tcBorders>
              <w:tl2br w:val="nil"/>
              <w:tr2bl w:val="nil"/>
            </w:tcBorders>
            <w:vAlign w:val="center"/>
          </w:tcPr>
          <w:p w14:paraId="205B4DE4">
            <w:pPr>
              <w:spacing w:line="240" w:lineRule="auto"/>
              <w:ind w:firstLine="0" w:firstLineChars="0"/>
              <w:jc w:val="center"/>
              <w:rPr>
                <w:b/>
                <w:bCs/>
                <w:color w:val="auto"/>
                <w:sz w:val="21"/>
                <w:szCs w:val="21"/>
              </w:rPr>
            </w:pPr>
            <w:r>
              <w:rPr>
                <w:rFonts w:hint="eastAsia"/>
                <w:b/>
                <w:bCs/>
                <w:color w:val="auto"/>
                <w:sz w:val="21"/>
                <w:szCs w:val="21"/>
              </w:rPr>
              <w:t>1000天</w:t>
            </w:r>
          </w:p>
        </w:tc>
        <w:tc>
          <w:tcPr>
            <w:tcW w:w="870" w:type="pct"/>
            <w:tcBorders>
              <w:tl2br w:val="nil"/>
              <w:tr2bl w:val="nil"/>
            </w:tcBorders>
            <w:vAlign w:val="center"/>
          </w:tcPr>
          <w:p w14:paraId="69C7E6F6">
            <w:pPr>
              <w:spacing w:line="240" w:lineRule="auto"/>
              <w:ind w:firstLine="0" w:firstLineChars="0"/>
              <w:jc w:val="center"/>
              <w:rPr>
                <w:b/>
                <w:bCs/>
                <w:color w:val="auto"/>
                <w:sz w:val="21"/>
                <w:szCs w:val="21"/>
              </w:rPr>
            </w:pPr>
            <w:r>
              <w:rPr>
                <w:rFonts w:hint="eastAsia"/>
                <w:b/>
                <w:bCs/>
                <w:color w:val="auto"/>
                <w:sz w:val="21"/>
                <w:szCs w:val="21"/>
              </w:rPr>
              <w:t>10000天</w:t>
            </w:r>
          </w:p>
        </w:tc>
      </w:tr>
      <w:tr w14:paraId="1F921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restart"/>
            <w:tcBorders>
              <w:tl2br w:val="nil"/>
              <w:tr2bl w:val="nil"/>
            </w:tcBorders>
            <w:vAlign w:val="center"/>
          </w:tcPr>
          <w:p w14:paraId="1E5FA244">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耗氧量</w:t>
            </w:r>
          </w:p>
        </w:tc>
        <w:tc>
          <w:tcPr>
            <w:tcW w:w="1794" w:type="pct"/>
            <w:tcBorders>
              <w:tl2br w:val="nil"/>
              <w:tr2bl w:val="nil"/>
            </w:tcBorders>
            <w:vAlign w:val="center"/>
          </w:tcPr>
          <w:p w14:paraId="55E0DA80">
            <w:pPr>
              <w:spacing w:line="240" w:lineRule="auto"/>
              <w:ind w:firstLine="0" w:firstLineChars="0"/>
              <w:jc w:val="center"/>
              <w:rPr>
                <w:color w:val="auto"/>
                <w:sz w:val="21"/>
                <w:szCs w:val="21"/>
              </w:rPr>
            </w:pPr>
            <w:r>
              <w:rPr>
                <w:rFonts w:hint="eastAsia"/>
                <w:color w:val="auto"/>
                <w:sz w:val="21"/>
                <w:szCs w:val="21"/>
              </w:rPr>
              <w:t>中心点浓度（mg/L）</w:t>
            </w:r>
          </w:p>
        </w:tc>
        <w:tc>
          <w:tcPr>
            <w:tcW w:w="899" w:type="pct"/>
            <w:tcBorders>
              <w:tl2br w:val="nil"/>
              <w:tr2bl w:val="nil"/>
            </w:tcBorders>
            <w:vAlign w:val="center"/>
          </w:tcPr>
          <w:p w14:paraId="2E2B4B80">
            <w:pPr>
              <w:spacing w:line="240" w:lineRule="auto"/>
              <w:ind w:firstLine="0" w:firstLineChars="0"/>
              <w:jc w:val="center"/>
              <w:rPr>
                <w:color w:val="auto"/>
                <w:sz w:val="21"/>
                <w:szCs w:val="21"/>
              </w:rPr>
            </w:pPr>
            <w:r>
              <w:rPr>
                <w:rFonts w:hint="eastAsia"/>
                <w:color w:val="auto"/>
                <w:sz w:val="21"/>
                <w:szCs w:val="21"/>
              </w:rPr>
              <w:t>8.4</w:t>
            </w:r>
          </w:p>
        </w:tc>
        <w:tc>
          <w:tcPr>
            <w:tcW w:w="785" w:type="pct"/>
            <w:tcBorders>
              <w:tl2br w:val="nil"/>
              <w:tr2bl w:val="nil"/>
            </w:tcBorders>
            <w:vAlign w:val="center"/>
          </w:tcPr>
          <w:p w14:paraId="4DFC2FA9">
            <w:pPr>
              <w:spacing w:line="240" w:lineRule="auto"/>
              <w:ind w:firstLine="0" w:firstLineChars="0"/>
              <w:jc w:val="center"/>
              <w:rPr>
                <w:color w:val="auto"/>
                <w:sz w:val="21"/>
                <w:szCs w:val="21"/>
              </w:rPr>
            </w:pPr>
            <w:r>
              <w:rPr>
                <w:rFonts w:hint="eastAsia"/>
                <w:color w:val="auto"/>
                <w:sz w:val="21"/>
                <w:szCs w:val="21"/>
              </w:rPr>
              <w:t>55.1</w:t>
            </w:r>
          </w:p>
        </w:tc>
        <w:tc>
          <w:tcPr>
            <w:tcW w:w="870" w:type="pct"/>
            <w:tcBorders>
              <w:tl2br w:val="nil"/>
              <w:tr2bl w:val="nil"/>
            </w:tcBorders>
            <w:vAlign w:val="center"/>
          </w:tcPr>
          <w:p w14:paraId="5EBD4F25">
            <w:pPr>
              <w:spacing w:line="240" w:lineRule="auto"/>
              <w:ind w:firstLine="0" w:firstLineChars="0"/>
              <w:jc w:val="center"/>
              <w:rPr>
                <w:color w:val="auto"/>
                <w:sz w:val="21"/>
                <w:szCs w:val="21"/>
              </w:rPr>
            </w:pPr>
            <w:r>
              <w:rPr>
                <w:rFonts w:hint="eastAsia"/>
                <w:color w:val="auto"/>
                <w:sz w:val="21"/>
                <w:szCs w:val="21"/>
              </w:rPr>
              <w:t>210</w:t>
            </w:r>
          </w:p>
        </w:tc>
      </w:tr>
      <w:tr w14:paraId="19786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4258983A">
            <w:pPr>
              <w:spacing w:line="240" w:lineRule="auto"/>
              <w:ind w:firstLine="0" w:firstLineChars="0"/>
              <w:jc w:val="center"/>
              <w:rPr>
                <w:color w:val="auto"/>
                <w:sz w:val="21"/>
                <w:szCs w:val="21"/>
              </w:rPr>
            </w:pPr>
          </w:p>
        </w:tc>
        <w:tc>
          <w:tcPr>
            <w:tcW w:w="1794" w:type="pct"/>
            <w:tcBorders>
              <w:tl2br w:val="nil"/>
              <w:tr2bl w:val="nil"/>
            </w:tcBorders>
            <w:vAlign w:val="center"/>
          </w:tcPr>
          <w:p w14:paraId="5BD4B51F">
            <w:pPr>
              <w:spacing w:line="240" w:lineRule="auto"/>
              <w:ind w:firstLine="0" w:firstLineChars="0"/>
              <w:jc w:val="center"/>
              <w:rPr>
                <w:color w:val="auto"/>
                <w:sz w:val="21"/>
                <w:szCs w:val="21"/>
              </w:rPr>
            </w:pPr>
            <w:r>
              <w:rPr>
                <w:rFonts w:hint="eastAsia"/>
                <w:color w:val="auto"/>
                <w:sz w:val="21"/>
                <w:szCs w:val="21"/>
              </w:rPr>
              <w:t>最大迁移距离（m）</w:t>
            </w:r>
          </w:p>
        </w:tc>
        <w:tc>
          <w:tcPr>
            <w:tcW w:w="899" w:type="pct"/>
            <w:tcBorders>
              <w:tl2br w:val="nil"/>
              <w:tr2bl w:val="nil"/>
            </w:tcBorders>
            <w:vAlign w:val="center"/>
          </w:tcPr>
          <w:p w14:paraId="0A354E1E">
            <w:pPr>
              <w:spacing w:line="240" w:lineRule="auto"/>
              <w:ind w:firstLine="0" w:firstLineChars="0"/>
              <w:jc w:val="center"/>
              <w:rPr>
                <w:color w:val="auto"/>
                <w:sz w:val="21"/>
                <w:szCs w:val="21"/>
              </w:rPr>
            </w:pPr>
            <w:r>
              <w:rPr>
                <w:rFonts w:hint="eastAsia"/>
                <w:color w:val="auto"/>
                <w:sz w:val="21"/>
                <w:szCs w:val="21"/>
              </w:rPr>
              <w:t>2.15</w:t>
            </w:r>
          </w:p>
        </w:tc>
        <w:tc>
          <w:tcPr>
            <w:tcW w:w="785" w:type="pct"/>
            <w:tcBorders>
              <w:tl2br w:val="nil"/>
              <w:tr2bl w:val="nil"/>
            </w:tcBorders>
            <w:vAlign w:val="center"/>
          </w:tcPr>
          <w:p w14:paraId="3A027EEF">
            <w:pPr>
              <w:spacing w:line="240" w:lineRule="auto"/>
              <w:ind w:firstLine="0" w:firstLineChars="0"/>
              <w:jc w:val="center"/>
              <w:rPr>
                <w:color w:val="auto"/>
                <w:sz w:val="21"/>
                <w:szCs w:val="21"/>
              </w:rPr>
            </w:pPr>
            <w:r>
              <w:rPr>
                <w:rFonts w:hint="eastAsia"/>
                <w:color w:val="auto"/>
                <w:sz w:val="21"/>
                <w:szCs w:val="21"/>
              </w:rPr>
              <w:t>9.86</w:t>
            </w:r>
          </w:p>
        </w:tc>
        <w:tc>
          <w:tcPr>
            <w:tcW w:w="870" w:type="pct"/>
            <w:tcBorders>
              <w:tl2br w:val="nil"/>
              <w:tr2bl w:val="nil"/>
            </w:tcBorders>
            <w:vAlign w:val="center"/>
          </w:tcPr>
          <w:p w14:paraId="0CCC6CD8">
            <w:pPr>
              <w:spacing w:line="240" w:lineRule="auto"/>
              <w:ind w:firstLine="0" w:firstLineChars="0"/>
              <w:jc w:val="center"/>
              <w:rPr>
                <w:color w:val="auto"/>
                <w:sz w:val="21"/>
                <w:szCs w:val="21"/>
              </w:rPr>
            </w:pPr>
            <w:r>
              <w:rPr>
                <w:rFonts w:hint="eastAsia"/>
                <w:color w:val="auto"/>
                <w:sz w:val="21"/>
                <w:szCs w:val="21"/>
              </w:rPr>
              <w:t>34.5</w:t>
            </w:r>
          </w:p>
        </w:tc>
      </w:tr>
      <w:tr w14:paraId="2A89C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3A556BED">
            <w:pPr>
              <w:spacing w:line="240" w:lineRule="auto"/>
              <w:ind w:firstLine="0" w:firstLineChars="0"/>
              <w:jc w:val="center"/>
              <w:rPr>
                <w:color w:val="auto"/>
                <w:sz w:val="21"/>
                <w:szCs w:val="21"/>
              </w:rPr>
            </w:pPr>
          </w:p>
        </w:tc>
        <w:tc>
          <w:tcPr>
            <w:tcW w:w="1794" w:type="pct"/>
            <w:tcBorders>
              <w:tl2br w:val="nil"/>
              <w:tr2bl w:val="nil"/>
            </w:tcBorders>
            <w:vAlign w:val="center"/>
          </w:tcPr>
          <w:p w14:paraId="7A1A4493">
            <w:pPr>
              <w:spacing w:line="240" w:lineRule="auto"/>
              <w:ind w:firstLine="0" w:firstLineChars="0"/>
              <w:jc w:val="center"/>
              <w:rPr>
                <w:color w:val="auto"/>
                <w:sz w:val="21"/>
                <w:szCs w:val="21"/>
              </w:rPr>
            </w:pPr>
            <w:r>
              <w:rPr>
                <w:rFonts w:hint="eastAsia"/>
                <w:color w:val="auto"/>
                <w:sz w:val="21"/>
                <w:szCs w:val="21"/>
              </w:rPr>
              <w:t>到达厂区西边界时间（d）</w:t>
            </w:r>
          </w:p>
        </w:tc>
        <w:tc>
          <w:tcPr>
            <w:tcW w:w="2555" w:type="pct"/>
            <w:gridSpan w:val="3"/>
            <w:tcBorders>
              <w:tl2br w:val="nil"/>
              <w:tr2bl w:val="nil"/>
            </w:tcBorders>
            <w:vAlign w:val="center"/>
          </w:tcPr>
          <w:p w14:paraId="5CC5C7AB">
            <w:pPr>
              <w:spacing w:line="240" w:lineRule="auto"/>
              <w:ind w:firstLine="0" w:firstLineChars="0"/>
              <w:jc w:val="center"/>
              <w:rPr>
                <w:color w:val="auto"/>
                <w:sz w:val="21"/>
                <w:szCs w:val="21"/>
              </w:rPr>
            </w:pPr>
            <w:r>
              <w:rPr>
                <w:rFonts w:hint="eastAsia"/>
                <w:color w:val="auto"/>
                <w:sz w:val="21"/>
                <w:szCs w:val="21"/>
              </w:rPr>
              <w:t>950</w:t>
            </w:r>
          </w:p>
        </w:tc>
      </w:tr>
      <w:tr w14:paraId="5CDAA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0283E0F9">
            <w:pPr>
              <w:spacing w:line="240" w:lineRule="auto"/>
              <w:ind w:firstLine="0" w:firstLineChars="0"/>
              <w:jc w:val="center"/>
              <w:rPr>
                <w:color w:val="auto"/>
                <w:sz w:val="21"/>
                <w:szCs w:val="21"/>
              </w:rPr>
            </w:pPr>
          </w:p>
        </w:tc>
        <w:tc>
          <w:tcPr>
            <w:tcW w:w="1794" w:type="pct"/>
            <w:tcBorders>
              <w:tl2br w:val="nil"/>
              <w:tr2bl w:val="nil"/>
            </w:tcBorders>
            <w:vAlign w:val="center"/>
          </w:tcPr>
          <w:p w14:paraId="185A6E47">
            <w:pPr>
              <w:spacing w:line="240" w:lineRule="auto"/>
              <w:ind w:firstLine="0" w:firstLineChars="0"/>
              <w:jc w:val="center"/>
              <w:rPr>
                <w:color w:val="auto"/>
                <w:sz w:val="21"/>
                <w:szCs w:val="21"/>
              </w:rPr>
            </w:pPr>
            <w:r>
              <w:rPr>
                <w:rFonts w:hint="eastAsia"/>
                <w:color w:val="auto"/>
                <w:sz w:val="21"/>
                <w:szCs w:val="21"/>
              </w:rPr>
              <w:t>厂界超标时间（d）</w:t>
            </w:r>
          </w:p>
        </w:tc>
        <w:tc>
          <w:tcPr>
            <w:tcW w:w="2555" w:type="pct"/>
            <w:gridSpan w:val="3"/>
            <w:tcBorders>
              <w:tl2br w:val="nil"/>
              <w:tr2bl w:val="nil"/>
            </w:tcBorders>
            <w:vAlign w:val="center"/>
          </w:tcPr>
          <w:p w14:paraId="604547A6">
            <w:pPr>
              <w:spacing w:line="240" w:lineRule="auto"/>
              <w:ind w:firstLine="0" w:firstLineChars="0"/>
              <w:jc w:val="center"/>
              <w:rPr>
                <w:color w:val="auto"/>
                <w:sz w:val="21"/>
                <w:szCs w:val="21"/>
              </w:rPr>
            </w:pPr>
            <w:r>
              <w:rPr>
                <w:rFonts w:hint="eastAsia"/>
                <w:color w:val="auto"/>
                <w:sz w:val="21"/>
                <w:szCs w:val="21"/>
              </w:rPr>
              <w:t>2300</w:t>
            </w:r>
          </w:p>
        </w:tc>
      </w:tr>
      <w:tr w14:paraId="6E429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tcBorders>
              <w:tl2br w:val="nil"/>
              <w:tr2bl w:val="nil"/>
            </w:tcBorders>
            <w:shd w:val="clear" w:color="auto" w:fill="auto"/>
            <w:vAlign w:val="center"/>
          </w:tcPr>
          <w:p w14:paraId="4A969B8C">
            <w:pPr>
              <w:spacing w:line="240" w:lineRule="auto"/>
              <w:ind w:firstLine="0" w:firstLineChars="0"/>
              <w:jc w:val="center"/>
              <w:rPr>
                <w:color w:val="auto"/>
                <w:sz w:val="21"/>
                <w:szCs w:val="21"/>
              </w:rPr>
            </w:pPr>
            <w:r>
              <w:rPr>
                <w:rFonts w:hint="eastAsia"/>
                <w:color w:val="auto"/>
                <w:sz w:val="21"/>
                <w:szCs w:val="21"/>
              </w:rPr>
              <w:t>污染物</w:t>
            </w:r>
          </w:p>
        </w:tc>
        <w:tc>
          <w:tcPr>
            <w:tcW w:w="1794" w:type="pct"/>
            <w:tcBorders>
              <w:tl2br w:val="nil"/>
              <w:tr2bl w:val="nil"/>
            </w:tcBorders>
            <w:shd w:val="clear" w:color="auto" w:fill="auto"/>
            <w:vAlign w:val="center"/>
          </w:tcPr>
          <w:p w14:paraId="0EDA232D">
            <w:pPr>
              <w:spacing w:line="240" w:lineRule="auto"/>
              <w:ind w:firstLine="0" w:firstLineChars="0"/>
              <w:jc w:val="center"/>
              <w:rPr>
                <w:color w:val="auto"/>
                <w:sz w:val="21"/>
                <w:szCs w:val="21"/>
              </w:rPr>
            </w:pPr>
            <w:r>
              <w:rPr>
                <w:rFonts w:hint="eastAsia"/>
                <w:color w:val="auto"/>
                <w:sz w:val="21"/>
                <w:szCs w:val="21"/>
              </w:rPr>
              <w:t>参数</w:t>
            </w:r>
          </w:p>
        </w:tc>
        <w:tc>
          <w:tcPr>
            <w:tcW w:w="899" w:type="pct"/>
            <w:tcBorders>
              <w:tl2br w:val="nil"/>
              <w:tr2bl w:val="nil"/>
            </w:tcBorders>
            <w:shd w:val="clear" w:color="auto" w:fill="auto"/>
            <w:vAlign w:val="center"/>
          </w:tcPr>
          <w:p w14:paraId="61843C9A">
            <w:pPr>
              <w:spacing w:line="240" w:lineRule="auto"/>
              <w:ind w:firstLine="0" w:firstLineChars="0"/>
              <w:jc w:val="center"/>
              <w:rPr>
                <w:color w:val="auto"/>
                <w:sz w:val="21"/>
                <w:szCs w:val="21"/>
              </w:rPr>
            </w:pPr>
            <w:r>
              <w:rPr>
                <w:rFonts w:hint="eastAsia"/>
                <w:color w:val="auto"/>
                <w:sz w:val="21"/>
                <w:szCs w:val="21"/>
              </w:rPr>
              <w:t>100天</w:t>
            </w:r>
          </w:p>
        </w:tc>
        <w:tc>
          <w:tcPr>
            <w:tcW w:w="785" w:type="pct"/>
            <w:tcBorders>
              <w:tl2br w:val="nil"/>
              <w:tr2bl w:val="nil"/>
            </w:tcBorders>
            <w:shd w:val="clear" w:color="auto" w:fill="auto"/>
            <w:vAlign w:val="center"/>
          </w:tcPr>
          <w:p w14:paraId="2915D62F">
            <w:pPr>
              <w:spacing w:line="240" w:lineRule="auto"/>
              <w:ind w:firstLine="0" w:firstLineChars="0"/>
              <w:jc w:val="center"/>
              <w:rPr>
                <w:color w:val="auto"/>
                <w:sz w:val="21"/>
                <w:szCs w:val="21"/>
              </w:rPr>
            </w:pPr>
            <w:r>
              <w:rPr>
                <w:rFonts w:hint="eastAsia"/>
                <w:color w:val="auto"/>
                <w:sz w:val="21"/>
                <w:szCs w:val="21"/>
              </w:rPr>
              <w:t>1000天</w:t>
            </w:r>
          </w:p>
        </w:tc>
        <w:tc>
          <w:tcPr>
            <w:tcW w:w="870" w:type="pct"/>
            <w:tcBorders>
              <w:tl2br w:val="nil"/>
              <w:tr2bl w:val="nil"/>
            </w:tcBorders>
            <w:shd w:val="clear" w:color="auto" w:fill="auto"/>
            <w:vAlign w:val="center"/>
          </w:tcPr>
          <w:p w14:paraId="45C694AD">
            <w:pPr>
              <w:spacing w:line="240" w:lineRule="auto"/>
              <w:ind w:firstLine="0" w:firstLineChars="0"/>
              <w:jc w:val="center"/>
              <w:rPr>
                <w:color w:val="auto"/>
                <w:sz w:val="21"/>
                <w:szCs w:val="21"/>
              </w:rPr>
            </w:pPr>
            <w:r>
              <w:rPr>
                <w:rFonts w:hint="eastAsia"/>
                <w:color w:val="auto"/>
                <w:sz w:val="21"/>
                <w:szCs w:val="21"/>
              </w:rPr>
              <w:t>10000天</w:t>
            </w:r>
          </w:p>
        </w:tc>
      </w:tr>
      <w:tr w14:paraId="1F804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restart"/>
            <w:tcBorders>
              <w:tl2br w:val="nil"/>
              <w:tr2bl w:val="nil"/>
            </w:tcBorders>
            <w:vAlign w:val="center"/>
          </w:tcPr>
          <w:p w14:paraId="0B64A161">
            <w:pPr>
              <w:spacing w:line="240" w:lineRule="auto"/>
              <w:ind w:firstLine="0" w:firstLineChars="0"/>
              <w:jc w:val="center"/>
              <w:rPr>
                <w:color w:val="auto"/>
                <w:sz w:val="21"/>
                <w:szCs w:val="21"/>
              </w:rPr>
            </w:pPr>
            <w:r>
              <w:rPr>
                <w:rFonts w:hint="eastAsia"/>
                <w:color w:val="auto"/>
                <w:sz w:val="21"/>
                <w:szCs w:val="21"/>
              </w:rPr>
              <w:t>总铝</w:t>
            </w:r>
          </w:p>
        </w:tc>
        <w:tc>
          <w:tcPr>
            <w:tcW w:w="1794" w:type="pct"/>
            <w:tcBorders>
              <w:tl2br w:val="nil"/>
              <w:tr2bl w:val="nil"/>
            </w:tcBorders>
            <w:shd w:val="clear" w:color="auto" w:fill="auto"/>
            <w:vAlign w:val="center"/>
          </w:tcPr>
          <w:p w14:paraId="2E8FB3B9">
            <w:pPr>
              <w:spacing w:line="240" w:lineRule="auto"/>
              <w:ind w:firstLine="0" w:firstLineChars="0"/>
              <w:jc w:val="center"/>
              <w:rPr>
                <w:color w:val="auto"/>
                <w:sz w:val="21"/>
                <w:szCs w:val="21"/>
              </w:rPr>
            </w:pPr>
            <w:r>
              <w:rPr>
                <w:rFonts w:hint="eastAsia"/>
                <w:color w:val="auto"/>
                <w:sz w:val="21"/>
                <w:szCs w:val="21"/>
              </w:rPr>
              <w:t>中心点浓度（mg/L）</w:t>
            </w:r>
          </w:p>
        </w:tc>
        <w:tc>
          <w:tcPr>
            <w:tcW w:w="899" w:type="pct"/>
            <w:tcBorders>
              <w:tl2br w:val="nil"/>
              <w:tr2bl w:val="nil"/>
            </w:tcBorders>
            <w:vAlign w:val="center"/>
          </w:tcPr>
          <w:p w14:paraId="59EE7D7F">
            <w:pPr>
              <w:spacing w:line="240" w:lineRule="auto"/>
              <w:ind w:firstLine="0" w:firstLineChars="0"/>
              <w:jc w:val="center"/>
              <w:rPr>
                <w:color w:val="auto"/>
                <w:sz w:val="21"/>
                <w:szCs w:val="21"/>
              </w:rPr>
            </w:pPr>
            <w:r>
              <w:rPr>
                <w:rFonts w:hint="eastAsia"/>
                <w:color w:val="auto"/>
                <w:sz w:val="21"/>
                <w:szCs w:val="21"/>
              </w:rPr>
              <w:t>210.8</w:t>
            </w:r>
          </w:p>
        </w:tc>
        <w:tc>
          <w:tcPr>
            <w:tcW w:w="785" w:type="pct"/>
            <w:tcBorders>
              <w:tl2br w:val="nil"/>
              <w:tr2bl w:val="nil"/>
            </w:tcBorders>
            <w:vAlign w:val="center"/>
          </w:tcPr>
          <w:p w14:paraId="2D51614E">
            <w:pPr>
              <w:spacing w:line="240" w:lineRule="auto"/>
              <w:ind w:firstLine="0" w:firstLineChars="0"/>
              <w:jc w:val="center"/>
              <w:rPr>
                <w:color w:val="auto"/>
                <w:sz w:val="21"/>
                <w:szCs w:val="21"/>
              </w:rPr>
            </w:pPr>
            <w:r>
              <w:rPr>
                <w:rFonts w:hint="eastAsia"/>
                <w:color w:val="auto"/>
                <w:sz w:val="21"/>
                <w:szCs w:val="21"/>
              </w:rPr>
              <w:t>450.6</w:t>
            </w:r>
          </w:p>
        </w:tc>
        <w:tc>
          <w:tcPr>
            <w:tcW w:w="870" w:type="pct"/>
            <w:tcBorders>
              <w:tl2br w:val="nil"/>
              <w:tr2bl w:val="nil"/>
            </w:tcBorders>
            <w:vAlign w:val="center"/>
          </w:tcPr>
          <w:p w14:paraId="260EC3F4">
            <w:pPr>
              <w:spacing w:line="240" w:lineRule="auto"/>
              <w:ind w:firstLine="0" w:firstLineChars="0"/>
              <w:jc w:val="center"/>
              <w:rPr>
                <w:color w:val="auto"/>
                <w:sz w:val="21"/>
                <w:szCs w:val="21"/>
              </w:rPr>
            </w:pPr>
            <w:r>
              <w:rPr>
                <w:rFonts w:hint="eastAsia"/>
                <w:color w:val="auto"/>
                <w:sz w:val="21"/>
                <w:szCs w:val="21"/>
              </w:rPr>
              <w:t>610.2</w:t>
            </w:r>
          </w:p>
        </w:tc>
      </w:tr>
      <w:tr w14:paraId="387B5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163A5EE9">
            <w:pPr>
              <w:spacing w:line="240" w:lineRule="auto"/>
              <w:ind w:firstLine="0" w:firstLineChars="0"/>
              <w:jc w:val="center"/>
              <w:rPr>
                <w:color w:val="auto"/>
                <w:sz w:val="21"/>
                <w:szCs w:val="21"/>
              </w:rPr>
            </w:pPr>
          </w:p>
        </w:tc>
        <w:tc>
          <w:tcPr>
            <w:tcW w:w="1794" w:type="pct"/>
            <w:tcBorders>
              <w:tl2br w:val="nil"/>
              <w:tr2bl w:val="nil"/>
            </w:tcBorders>
            <w:shd w:val="clear" w:color="auto" w:fill="auto"/>
            <w:vAlign w:val="center"/>
          </w:tcPr>
          <w:p w14:paraId="5857CEC2">
            <w:pPr>
              <w:spacing w:line="240" w:lineRule="auto"/>
              <w:ind w:firstLine="0" w:firstLineChars="0"/>
              <w:jc w:val="center"/>
              <w:rPr>
                <w:color w:val="auto"/>
                <w:sz w:val="21"/>
                <w:szCs w:val="21"/>
              </w:rPr>
            </w:pPr>
            <w:r>
              <w:rPr>
                <w:rFonts w:hint="eastAsia"/>
                <w:color w:val="auto"/>
                <w:sz w:val="21"/>
                <w:szCs w:val="21"/>
              </w:rPr>
              <w:t>最大迁移距离（m）</w:t>
            </w:r>
          </w:p>
        </w:tc>
        <w:tc>
          <w:tcPr>
            <w:tcW w:w="899" w:type="pct"/>
            <w:tcBorders>
              <w:tl2br w:val="nil"/>
              <w:tr2bl w:val="nil"/>
            </w:tcBorders>
            <w:vAlign w:val="center"/>
          </w:tcPr>
          <w:p w14:paraId="3BA3D892">
            <w:pPr>
              <w:spacing w:line="240" w:lineRule="auto"/>
              <w:ind w:firstLine="0" w:firstLineChars="0"/>
              <w:jc w:val="center"/>
              <w:rPr>
                <w:color w:val="auto"/>
                <w:sz w:val="21"/>
                <w:szCs w:val="21"/>
              </w:rPr>
            </w:pPr>
            <w:r>
              <w:rPr>
                <w:rFonts w:hint="eastAsia"/>
                <w:color w:val="auto"/>
                <w:sz w:val="21"/>
                <w:szCs w:val="21"/>
              </w:rPr>
              <w:t>5.6</w:t>
            </w:r>
          </w:p>
        </w:tc>
        <w:tc>
          <w:tcPr>
            <w:tcW w:w="785" w:type="pct"/>
            <w:tcBorders>
              <w:tl2br w:val="nil"/>
              <w:tr2bl w:val="nil"/>
            </w:tcBorders>
            <w:vAlign w:val="center"/>
          </w:tcPr>
          <w:p w14:paraId="17B828B1">
            <w:pPr>
              <w:spacing w:line="240" w:lineRule="auto"/>
              <w:ind w:firstLine="0" w:firstLineChars="0"/>
              <w:jc w:val="center"/>
              <w:rPr>
                <w:color w:val="auto"/>
                <w:sz w:val="21"/>
                <w:szCs w:val="21"/>
              </w:rPr>
            </w:pPr>
            <w:r>
              <w:rPr>
                <w:rFonts w:hint="eastAsia"/>
                <w:color w:val="auto"/>
                <w:sz w:val="21"/>
                <w:szCs w:val="21"/>
              </w:rPr>
              <w:t>14.2</w:t>
            </w:r>
          </w:p>
        </w:tc>
        <w:tc>
          <w:tcPr>
            <w:tcW w:w="870" w:type="pct"/>
            <w:tcBorders>
              <w:tl2br w:val="nil"/>
              <w:tr2bl w:val="nil"/>
            </w:tcBorders>
            <w:vAlign w:val="center"/>
          </w:tcPr>
          <w:p w14:paraId="0EFDC500">
            <w:pPr>
              <w:spacing w:line="240" w:lineRule="auto"/>
              <w:ind w:firstLine="0" w:firstLineChars="0"/>
              <w:jc w:val="center"/>
              <w:rPr>
                <w:color w:val="auto"/>
                <w:sz w:val="21"/>
                <w:szCs w:val="21"/>
              </w:rPr>
            </w:pPr>
            <w:r>
              <w:rPr>
                <w:rFonts w:hint="eastAsia"/>
                <w:color w:val="auto"/>
                <w:sz w:val="21"/>
                <w:szCs w:val="21"/>
              </w:rPr>
              <w:t>28.4</w:t>
            </w:r>
          </w:p>
        </w:tc>
      </w:tr>
      <w:tr w14:paraId="7E089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6F6E666A">
            <w:pPr>
              <w:spacing w:line="240" w:lineRule="auto"/>
              <w:ind w:firstLine="0" w:firstLineChars="0"/>
              <w:jc w:val="center"/>
              <w:rPr>
                <w:color w:val="auto"/>
                <w:sz w:val="21"/>
                <w:szCs w:val="21"/>
              </w:rPr>
            </w:pPr>
          </w:p>
        </w:tc>
        <w:tc>
          <w:tcPr>
            <w:tcW w:w="1794" w:type="pct"/>
            <w:tcBorders>
              <w:tl2br w:val="nil"/>
              <w:tr2bl w:val="nil"/>
            </w:tcBorders>
            <w:shd w:val="clear" w:color="auto" w:fill="auto"/>
            <w:vAlign w:val="center"/>
          </w:tcPr>
          <w:p w14:paraId="795BF534">
            <w:pPr>
              <w:spacing w:line="240" w:lineRule="auto"/>
              <w:ind w:firstLine="0" w:firstLineChars="0"/>
              <w:jc w:val="center"/>
              <w:rPr>
                <w:color w:val="auto"/>
                <w:sz w:val="21"/>
                <w:szCs w:val="21"/>
              </w:rPr>
            </w:pPr>
            <w:r>
              <w:rPr>
                <w:rFonts w:hint="eastAsia"/>
                <w:color w:val="auto"/>
                <w:sz w:val="21"/>
                <w:szCs w:val="21"/>
              </w:rPr>
              <w:t>到达厂区西边界时间（d）</w:t>
            </w:r>
          </w:p>
        </w:tc>
        <w:tc>
          <w:tcPr>
            <w:tcW w:w="2555" w:type="pct"/>
            <w:gridSpan w:val="3"/>
            <w:tcBorders>
              <w:tl2br w:val="nil"/>
              <w:tr2bl w:val="nil"/>
            </w:tcBorders>
            <w:vAlign w:val="center"/>
          </w:tcPr>
          <w:p w14:paraId="57DAC01A">
            <w:pPr>
              <w:spacing w:line="240" w:lineRule="auto"/>
              <w:ind w:firstLine="0" w:firstLineChars="0"/>
              <w:jc w:val="center"/>
              <w:rPr>
                <w:color w:val="auto"/>
                <w:sz w:val="21"/>
                <w:szCs w:val="21"/>
              </w:rPr>
            </w:pPr>
            <w:r>
              <w:rPr>
                <w:rFonts w:hint="eastAsia"/>
                <w:color w:val="auto"/>
                <w:sz w:val="21"/>
                <w:szCs w:val="21"/>
              </w:rPr>
              <w:t>2000</w:t>
            </w:r>
          </w:p>
        </w:tc>
      </w:tr>
      <w:tr w14:paraId="54606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2B353515">
            <w:pPr>
              <w:spacing w:line="240" w:lineRule="auto"/>
              <w:ind w:firstLine="0" w:firstLineChars="0"/>
              <w:jc w:val="center"/>
              <w:rPr>
                <w:color w:val="auto"/>
                <w:sz w:val="21"/>
                <w:szCs w:val="21"/>
              </w:rPr>
            </w:pPr>
          </w:p>
        </w:tc>
        <w:tc>
          <w:tcPr>
            <w:tcW w:w="1794" w:type="pct"/>
            <w:tcBorders>
              <w:tl2br w:val="nil"/>
              <w:tr2bl w:val="nil"/>
            </w:tcBorders>
            <w:shd w:val="clear" w:color="auto" w:fill="auto"/>
            <w:vAlign w:val="center"/>
          </w:tcPr>
          <w:p w14:paraId="334241AB">
            <w:pPr>
              <w:spacing w:line="240" w:lineRule="auto"/>
              <w:ind w:firstLine="0" w:firstLineChars="0"/>
              <w:jc w:val="center"/>
              <w:rPr>
                <w:color w:val="auto"/>
                <w:sz w:val="21"/>
                <w:szCs w:val="21"/>
              </w:rPr>
            </w:pPr>
            <w:r>
              <w:rPr>
                <w:rFonts w:hint="eastAsia"/>
                <w:color w:val="auto"/>
                <w:sz w:val="21"/>
                <w:szCs w:val="21"/>
              </w:rPr>
              <w:t>厂界超标时间（d）</w:t>
            </w:r>
          </w:p>
        </w:tc>
        <w:tc>
          <w:tcPr>
            <w:tcW w:w="2555" w:type="pct"/>
            <w:gridSpan w:val="3"/>
            <w:tcBorders>
              <w:tl2br w:val="nil"/>
              <w:tr2bl w:val="nil"/>
            </w:tcBorders>
            <w:vAlign w:val="center"/>
          </w:tcPr>
          <w:p w14:paraId="0FDE0B33">
            <w:pPr>
              <w:spacing w:line="240" w:lineRule="auto"/>
              <w:ind w:firstLine="0" w:firstLineChars="0"/>
              <w:jc w:val="center"/>
              <w:rPr>
                <w:color w:val="auto"/>
                <w:sz w:val="21"/>
                <w:szCs w:val="21"/>
              </w:rPr>
            </w:pPr>
            <w:r>
              <w:rPr>
                <w:rFonts w:hint="eastAsia"/>
                <w:color w:val="auto"/>
                <w:sz w:val="21"/>
                <w:szCs w:val="21"/>
              </w:rPr>
              <w:t>4500</w:t>
            </w:r>
          </w:p>
        </w:tc>
      </w:tr>
      <w:tr w14:paraId="08A0E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tcBorders>
              <w:tl2br w:val="nil"/>
              <w:tr2bl w:val="nil"/>
            </w:tcBorders>
            <w:vAlign w:val="center"/>
          </w:tcPr>
          <w:p w14:paraId="10834131">
            <w:pPr>
              <w:spacing w:line="240" w:lineRule="auto"/>
              <w:ind w:firstLine="0" w:firstLineChars="0"/>
              <w:jc w:val="center"/>
              <w:rPr>
                <w:color w:val="auto"/>
                <w:sz w:val="21"/>
                <w:szCs w:val="21"/>
              </w:rPr>
            </w:pPr>
            <w:r>
              <w:rPr>
                <w:rFonts w:hint="eastAsia"/>
                <w:color w:val="auto"/>
                <w:sz w:val="21"/>
                <w:szCs w:val="21"/>
              </w:rPr>
              <w:t>污染物</w:t>
            </w:r>
          </w:p>
        </w:tc>
        <w:tc>
          <w:tcPr>
            <w:tcW w:w="1794" w:type="pct"/>
            <w:tcBorders>
              <w:tl2br w:val="nil"/>
              <w:tr2bl w:val="nil"/>
            </w:tcBorders>
            <w:vAlign w:val="center"/>
          </w:tcPr>
          <w:p w14:paraId="1668AE93">
            <w:pPr>
              <w:spacing w:line="240" w:lineRule="auto"/>
              <w:ind w:firstLine="0" w:firstLineChars="0"/>
              <w:jc w:val="center"/>
              <w:rPr>
                <w:color w:val="auto"/>
                <w:sz w:val="21"/>
                <w:szCs w:val="21"/>
              </w:rPr>
            </w:pPr>
            <w:r>
              <w:rPr>
                <w:rFonts w:hint="eastAsia"/>
                <w:color w:val="auto"/>
                <w:sz w:val="21"/>
                <w:szCs w:val="21"/>
              </w:rPr>
              <w:t>参数</w:t>
            </w:r>
          </w:p>
        </w:tc>
        <w:tc>
          <w:tcPr>
            <w:tcW w:w="899" w:type="pct"/>
            <w:tcBorders>
              <w:tl2br w:val="nil"/>
              <w:tr2bl w:val="nil"/>
            </w:tcBorders>
            <w:vAlign w:val="center"/>
          </w:tcPr>
          <w:p w14:paraId="48FDF29A">
            <w:pPr>
              <w:spacing w:line="240" w:lineRule="auto"/>
              <w:ind w:firstLine="0" w:firstLineChars="0"/>
              <w:jc w:val="center"/>
              <w:rPr>
                <w:color w:val="auto"/>
                <w:sz w:val="21"/>
                <w:szCs w:val="21"/>
              </w:rPr>
            </w:pPr>
            <w:r>
              <w:rPr>
                <w:rFonts w:hint="eastAsia"/>
                <w:color w:val="auto"/>
                <w:sz w:val="21"/>
                <w:szCs w:val="21"/>
              </w:rPr>
              <w:t>100天</w:t>
            </w:r>
          </w:p>
        </w:tc>
        <w:tc>
          <w:tcPr>
            <w:tcW w:w="785" w:type="pct"/>
            <w:tcBorders>
              <w:tl2br w:val="nil"/>
              <w:tr2bl w:val="nil"/>
            </w:tcBorders>
            <w:vAlign w:val="center"/>
          </w:tcPr>
          <w:p w14:paraId="5150D66F">
            <w:pPr>
              <w:spacing w:line="240" w:lineRule="auto"/>
              <w:ind w:firstLine="0" w:firstLineChars="0"/>
              <w:jc w:val="center"/>
              <w:rPr>
                <w:color w:val="auto"/>
                <w:sz w:val="21"/>
                <w:szCs w:val="21"/>
              </w:rPr>
            </w:pPr>
            <w:r>
              <w:rPr>
                <w:rFonts w:hint="eastAsia"/>
                <w:color w:val="auto"/>
                <w:sz w:val="21"/>
                <w:szCs w:val="21"/>
              </w:rPr>
              <w:t>1000天</w:t>
            </w:r>
          </w:p>
        </w:tc>
        <w:tc>
          <w:tcPr>
            <w:tcW w:w="870" w:type="pct"/>
            <w:tcBorders>
              <w:tl2br w:val="nil"/>
              <w:tr2bl w:val="nil"/>
            </w:tcBorders>
            <w:vAlign w:val="center"/>
          </w:tcPr>
          <w:p w14:paraId="253F4E05">
            <w:pPr>
              <w:spacing w:line="240" w:lineRule="auto"/>
              <w:ind w:firstLine="0" w:firstLineChars="0"/>
              <w:jc w:val="center"/>
              <w:rPr>
                <w:color w:val="auto"/>
                <w:sz w:val="21"/>
                <w:szCs w:val="21"/>
              </w:rPr>
            </w:pPr>
            <w:r>
              <w:rPr>
                <w:rFonts w:hint="eastAsia"/>
                <w:color w:val="auto"/>
                <w:sz w:val="21"/>
                <w:szCs w:val="21"/>
              </w:rPr>
              <w:t>10000天</w:t>
            </w:r>
          </w:p>
        </w:tc>
      </w:tr>
      <w:tr w14:paraId="6D4CE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restart"/>
            <w:tcBorders>
              <w:tl2br w:val="nil"/>
              <w:tr2bl w:val="nil"/>
            </w:tcBorders>
            <w:vAlign w:val="center"/>
          </w:tcPr>
          <w:p w14:paraId="20A3D6E1">
            <w:pPr>
              <w:spacing w:line="240" w:lineRule="auto"/>
              <w:ind w:firstLine="0" w:firstLineChars="0"/>
              <w:jc w:val="center"/>
              <w:rPr>
                <w:color w:val="auto"/>
                <w:sz w:val="21"/>
                <w:szCs w:val="21"/>
              </w:rPr>
            </w:pPr>
            <w:r>
              <w:rPr>
                <w:rFonts w:hint="eastAsia"/>
                <w:color w:val="auto"/>
                <w:sz w:val="21"/>
                <w:szCs w:val="21"/>
              </w:rPr>
              <w:t>总锡</w:t>
            </w:r>
          </w:p>
        </w:tc>
        <w:tc>
          <w:tcPr>
            <w:tcW w:w="1794" w:type="pct"/>
            <w:tcBorders>
              <w:tl2br w:val="nil"/>
              <w:tr2bl w:val="nil"/>
            </w:tcBorders>
            <w:vAlign w:val="center"/>
          </w:tcPr>
          <w:p w14:paraId="48773427">
            <w:pPr>
              <w:spacing w:line="240" w:lineRule="auto"/>
              <w:ind w:firstLine="0" w:firstLineChars="0"/>
              <w:jc w:val="center"/>
              <w:rPr>
                <w:color w:val="auto"/>
                <w:sz w:val="21"/>
                <w:szCs w:val="21"/>
              </w:rPr>
            </w:pPr>
            <w:r>
              <w:rPr>
                <w:rFonts w:hint="eastAsia"/>
                <w:color w:val="auto"/>
                <w:sz w:val="21"/>
                <w:szCs w:val="21"/>
              </w:rPr>
              <w:t>中心点浓度（mg/L）</w:t>
            </w:r>
          </w:p>
        </w:tc>
        <w:tc>
          <w:tcPr>
            <w:tcW w:w="899" w:type="pct"/>
            <w:tcBorders>
              <w:tl2br w:val="nil"/>
              <w:tr2bl w:val="nil"/>
            </w:tcBorders>
            <w:vAlign w:val="center"/>
          </w:tcPr>
          <w:p w14:paraId="2018A1C6">
            <w:pPr>
              <w:spacing w:line="240" w:lineRule="auto"/>
              <w:ind w:firstLine="0" w:firstLineChars="0"/>
              <w:jc w:val="center"/>
              <w:rPr>
                <w:color w:val="auto"/>
                <w:sz w:val="21"/>
                <w:szCs w:val="21"/>
              </w:rPr>
            </w:pPr>
            <w:r>
              <w:rPr>
                <w:rFonts w:hint="eastAsia"/>
                <w:color w:val="auto"/>
                <w:sz w:val="21"/>
                <w:szCs w:val="21"/>
              </w:rPr>
              <w:t>4.8</w:t>
            </w:r>
          </w:p>
        </w:tc>
        <w:tc>
          <w:tcPr>
            <w:tcW w:w="785" w:type="pct"/>
            <w:tcBorders>
              <w:tl2br w:val="nil"/>
              <w:tr2bl w:val="nil"/>
            </w:tcBorders>
            <w:vAlign w:val="center"/>
          </w:tcPr>
          <w:p w14:paraId="6C02E818">
            <w:pPr>
              <w:spacing w:line="240" w:lineRule="auto"/>
              <w:ind w:firstLine="0" w:firstLineChars="0"/>
              <w:jc w:val="center"/>
              <w:rPr>
                <w:color w:val="auto"/>
                <w:sz w:val="21"/>
                <w:szCs w:val="21"/>
              </w:rPr>
            </w:pPr>
            <w:r>
              <w:rPr>
                <w:rFonts w:hint="eastAsia"/>
                <w:color w:val="auto"/>
                <w:sz w:val="21"/>
                <w:szCs w:val="21"/>
              </w:rPr>
              <w:t>18.9</w:t>
            </w:r>
          </w:p>
        </w:tc>
        <w:tc>
          <w:tcPr>
            <w:tcW w:w="870" w:type="pct"/>
            <w:tcBorders>
              <w:tl2br w:val="nil"/>
              <w:tr2bl w:val="nil"/>
            </w:tcBorders>
            <w:vAlign w:val="center"/>
          </w:tcPr>
          <w:p w14:paraId="468EBF47">
            <w:pPr>
              <w:spacing w:line="240" w:lineRule="auto"/>
              <w:ind w:firstLine="0" w:firstLineChars="0"/>
              <w:jc w:val="center"/>
              <w:rPr>
                <w:color w:val="auto"/>
                <w:sz w:val="21"/>
                <w:szCs w:val="21"/>
              </w:rPr>
            </w:pPr>
            <w:r>
              <w:rPr>
                <w:rFonts w:hint="eastAsia"/>
                <w:color w:val="auto"/>
                <w:sz w:val="21"/>
                <w:szCs w:val="21"/>
              </w:rPr>
              <w:t>34.5</w:t>
            </w:r>
          </w:p>
        </w:tc>
      </w:tr>
      <w:tr w14:paraId="59FE5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3AAB6901">
            <w:pPr>
              <w:spacing w:line="240" w:lineRule="auto"/>
              <w:ind w:firstLine="0" w:firstLineChars="0"/>
              <w:jc w:val="center"/>
              <w:rPr>
                <w:color w:val="auto"/>
                <w:sz w:val="21"/>
                <w:szCs w:val="21"/>
              </w:rPr>
            </w:pPr>
          </w:p>
        </w:tc>
        <w:tc>
          <w:tcPr>
            <w:tcW w:w="1794" w:type="pct"/>
            <w:tcBorders>
              <w:tl2br w:val="nil"/>
              <w:tr2bl w:val="nil"/>
            </w:tcBorders>
            <w:vAlign w:val="center"/>
          </w:tcPr>
          <w:p w14:paraId="5CE82919">
            <w:pPr>
              <w:spacing w:line="240" w:lineRule="auto"/>
              <w:ind w:firstLine="0" w:firstLineChars="0"/>
              <w:jc w:val="center"/>
              <w:rPr>
                <w:color w:val="auto"/>
                <w:sz w:val="21"/>
                <w:szCs w:val="21"/>
              </w:rPr>
            </w:pPr>
            <w:r>
              <w:rPr>
                <w:rFonts w:hint="eastAsia"/>
                <w:color w:val="auto"/>
                <w:sz w:val="21"/>
                <w:szCs w:val="21"/>
              </w:rPr>
              <w:t>最大迁移距离（m）</w:t>
            </w:r>
          </w:p>
        </w:tc>
        <w:tc>
          <w:tcPr>
            <w:tcW w:w="899" w:type="pct"/>
            <w:tcBorders>
              <w:tl2br w:val="nil"/>
              <w:tr2bl w:val="nil"/>
            </w:tcBorders>
            <w:vAlign w:val="center"/>
          </w:tcPr>
          <w:p w14:paraId="517D86D6">
            <w:pPr>
              <w:spacing w:line="240" w:lineRule="auto"/>
              <w:ind w:firstLine="0" w:firstLineChars="0"/>
              <w:jc w:val="center"/>
              <w:rPr>
                <w:color w:val="auto"/>
                <w:sz w:val="21"/>
                <w:szCs w:val="21"/>
              </w:rPr>
            </w:pPr>
            <w:r>
              <w:rPr>
                <w:rFonts w:hint="eastAsia"/>
                <w:color w:val="auto"/>
                <w:sz w:val="21"/>
                <w:szCs w:val="21"/>
              </w:rPr>
              <w:t>8.7</w:t>
            </w:r>
          </w:p>
        </w:tc>
        <w:tc>
          <w:tcPr>
            <w:tcW w:w="785" w:type="pct"/>
            <w:tcBorders>
              <w:tl2br w:val="nil"/>
              <w:tr2bl w:val="nil"/>
            </w:tcBorders>
            <w:vAlign w:val="center"/>
          </w:tcPr>
          <w:p w14:paraId="57AAA904">
            <w:pPr>
              <w:spacing w:line="240" w:lineRule="auto"/>
              <w:ind w:firstLine="0" w:firstLineChars="0"/>
              <w:jc w:val="center"/>
              <w:rPr>
                <w:color w:val="auto"/>
                <w:sz w:val="21"/>
                <w:szCs w:val="21"/>
              </w:rPr>
            </w:pPr>
            <w:r>
              <w:rPr>
                <w:rFonts w:hint="eastAsia"/>
                <w:color w:val="auto"/>
                <w:sz w:val="21"/>
                <w:szCs w:val="21"/>
              </w:rPr>
              <w:t>16.4</w:t>
            </w:r>
          </w:p>
        </w:tc>
        <w:tc>
          <w:tcPr>
            <w:tcW w:w="870" w:type="pct"/>
            <w:tcBorders>
              <w:tl2br w:val="nil"/>
              <w:tr2bl w:val="nil"/>
            </w:tcBorders>
            <w:vAlign w:val="center"/>
          </w:tcPr>
          <w:p w14:paraId="4922E029">
            <w:pPr>
              <w:spacing w:line="240" w:lineRule="auto"/>
              <w:ind w:firstLine="0" w:firstLineChars="0"/>
              <w:jc w:val="center"/>
              <w:rPr>
                <w:color w:val="auto"/>
                <w:sz w:val="21"/>
                <w:szCs w:val="21"/>
              </w:rPr>
            </w:pPr>
            <w:r>
              <w:rPr>
                <w:rFonts w:hint="eastAsia"/>
                <w:color w:val="auto"/>
                <w:sz w:val="21"/>
                <w:szCs w:val="21"/>
              </w:rPr>
              <w:t>29.7</w:t>
            </w:r>
          </w:p>
        </w:tc>
      </w:tr>
      <w:tr w14:paraId="6960B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0DB62D49">
            <w:pPr>
              <w:spacing w:line="240" w:lineRule="auto"/>
              <w:ind w:firstLine="0" w:firstLineChars="0"/>
              <w:jc w:val="center"/>
              <w:rPr>
                <w:color w:val="auto"/>
                <w:sz w:val="21"/>
                <w:szCs w:val="21"/>
              </w:rPr>
            </w:pPr>
          </w:p>
        </w:tc>
        <w:tc>
          <w:tcPr>
            <w:tcW w:w="1794" w:type="pct"/>
            <w:tcBorders>
              <w:tl2br w:val="nil"/>
              <w:tr2bl w:val="nil"/>
            </w:tcBorders>
            <w:vAlign w:val="center"/>
          </w:tcPr>
          <w:p w14:paraId="20F3F25C">
            <w:pPr>
              <w:spacing w:line="240" w:lineRule="auto"/>
              <w:ind w:firstLine="0" w:firstLineChars="0"/>
              <w:jc w:val="center"/>
              <w:rPr>
                <w:color w:val="auto"/>
                <w:sz w:val="21"/>
                <w:szCs w:val="21"/>
              </w:rPr>
            </w:pPr>
            <w:r>
              <w:rPr>
                <w:rFonts w:hint="eastAsia"/>
                <w:color w:val="auto"/>
                <w:sz w:val="21"/>
                <w:szCs w:val="21"/>
              </w:rPr>
              <w:t>到达厂区西边界时间（d）</w:t>
            </w:r>
          </w:p>
        </w:tc>
        <w:tc>
          <w:tcPr>
            <w:tcW w:w="2555" w:type="pct"/>
            <w:gridSpan w:val="3"/>
            <w:tcBorders>
              <w:tl2br w:val="nil"/>
              <w:tr2bl w:val="nil"/>
            </w:tcBorders>
            <w:vAlign w:val="center"/>
          </w:tcPr>
          <w:p w14:paraId="49A566AC">
            <w:pPr>
              <w:spacing w:line="240" w:lineRule="auto"/>
              <w:ind w:firstLine="0" w:firstLineChars="0"/>
              <w:jc w:val="center"/>
              <w:rPr>
                <w:color w:val="auto"/>
                <w:sz w:val="21"/>
                <w:szCs w:val="21"/>
              </w:rPr>
            </w:pPr>
            <w:r>
              <w:rPr>
                <w:rFonts w:hint="eastAsia"/>
                <w:color w:val="auto"/>
                <w:sz w:val="21"/>
                <w:szCs w:val="21"/>
              </w:rPr>
              <w:t>1200</w:t>
            </w:r>
          </w:p>
        </w:tc>
      </w:tr>
      <w:tr w14:paraId="002E5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pct"/>
            <w:vMerge w:val="continue"/>
            <w:tcBorders>
              <w:tl2br w:val="nil"/>
              <w:tr2bl w:val="nil"/>
            </w:tcBorders>
            <w:vAlign w:val="center"/>
          </w:tcPr>
          <w:p w14:paraId="3E70E7CA">
            <w:pPr>
              <w:spacing w:line="240" w:lineRule="auto"/>
              <w:ind w:firstLine="0" w:firstLineChars="0"/>
              <w:jc w:val="center"/>
              <w:rPr>
                <w:color w:val="auto"/>
                <w:sz w:val="21"/>
                <w:szCs w:val="21"/>
              </w:rPr>
            </w:pPr>
          </w:p>
        </w:tc>
        <w:tc>
          <w:tcPr>
            <w:tcW w:w="1794" w:type="pct"/>
            <w:tcBorders>
              <w:tl2br w:val="nil"/>
              <w:tr2bl w:val="nil"/>
            </w:tcBorders>
            <w:vAlign w:val="center"/>
          </w:tcPr>
          <w:p w14:paraId="0C78FD7D">
            <w:pPr>
              <w:spacing w:line="240" w:lineRule="auto"/>
              <w:ind w:firstLine="0" w:firstLineChars="0"/>
              <w:jc w:val="center"/>
              <w:rPr>
                <w:color w:val="auto"/>
                <w:sz w:val="21"/>
                <w:szCs w:val="21"/>
              </w:rPr>
            </w:pPr>
            <w:r>
              <w:rPr>
                <w:rFonts w:hint="eastAsia"/>
                <w:color w:val="auto"/>
                <w:sz w:val="21"/>
                <w:szCs w:val="21"/>
              </w:rPr>
              <w:t>厂界超标时间（d）</w:t>
            </w:r>
          </w:p>
        </w:tc>
        <w:tc>
          <w:tcPr>
            <w:tcW w:w="2555" w:type="pct"/>
            <w:gridSpan w:val="3"/>
            <w:tcBorders>
              <w:tl2br w:val="nil"/>
              <w:tr2bl w:val="nil"/>
            </w:tcBorders>
            <w:vAlign w:val="center"/>
          </w:tcPr>
          <w:p w14:paraId="18A1545E">
            <w:pPr>
              <w:spacing w:line="240" w:lineRule="auto"/>
              <w:ind w:firstLine="0" w:firstLineChars="0"/>
              <w:jc w:val="center"/>
              <w:rPr>
                <w:color w:val="auto"/>
                <w:sz w:val="21"/>
                <w:szCs w:val="21"/>
              </w:rPr>
            </w:pPr>
            <w:r>
              <w:rPr>
                <w:rFonts w:hint="eastAsia"/>
                <w:color w:val="auto"/>
                <w:sz w:val="21"/>
                <w:szCs w:val="21"/>
              </w:rPr>
              <w:t>7500</w:t>
            </w:r>
          </w:p>
        </w:tc>
      </w:tr>
    </w:tbl>
    <w:p w14:paraId="0CD4B43F">
      <w:pPr>
        <w:ind w:firstLine="480"/>
        <w:rPr>
          <w:color w:val="auto"/>
        </w:rPr>
      </w:pPr>
      <w:r>
        <w:rPr>
          <w:color w:val="auto"/>
        </w:rPr>
        <w:t>由表</w:t>
      </w:r>
      <w:r>
        <w:rPr>
          <w:rFonts w:hint="eastAsia"/>
          <w:color w:val="auto"/>
        </w:rPr>
        <w:t>6.2.5-6</w:t>
      </w:r>
      <w:r>
        <w:rPr>
          <w:color w:val="auto"/>
        </w:rPr>
        <w:t>可见：</w:t>
      </w:r>
      <w:r>
        <w:rPr>
          <w:rFonts w:hint="eastAsia"/>
          <w:color w:val="auto"/>
        </w:rPr>
        <w:t>在防渗措施局部发生泄漏的情况下</w:t>
      </w:r>
      <w:r>
        <w:rPr>
          <w:rFonts w:hint="eastAsia"/>
          <w:color w:val="auto"/>
          <w:lang w:eastAsia="zh-CN"/>
        </w:rPr>
        <w:t>（</w:t>
      </w:r>
      <w:r>
        <w:rPr>
          <w:rFonts w:hint="eastAsia"/>
          <w:color w:val="auto"/>
        </w:rPr>
        <w:t>非正常状况</w:t>
      </w:r>
      <w:r>
        <w:rPr>
          <w:rFonts w:hint="eastAsia"/>
          <w:color w:val="auto"/>
          <w:lang w:eastAsia="zh-CN"/>
        </w:rPr>
        <w:t>）</w:t>
      </w:r>
      <w:r>
        <w:rPr>
          <w:rFonts w:hint="eastAsia"/>
          <w:color w:val="auto"/>
        </w:rPr>
        <w:t>，此时废水直接进入地下水，会对地下水造成一定的污染。</w:t>
      </w:r>
    </w:p>
    <w:p w14:paraId="57139181">
      <w:pPr>
        <w:spacing w:before="120" w:beforeLines="50"/>
        <w:ind w:firstLine="0" w:firstLineChars="0"/>
        <w:jc w:val="left"/>
        <w:outlineLvl w:val="3"/>
        <w:rPr>
          <w:b/>
          <w:color w:val="auto"/>
        </w:rPr>
      </w:pPr>
      <w:r>
        <w:rPr>
          <w:rFonts w:hint="eastAsia"/>
          <w:b/>
          <w:color w:val="auto"/>
        </w:rPr>
        <w:t>6.2.5.4 地下水环境影响评价结论</w:t>
      </w:r>
    </w:p>
    <w:p w14:paraId="24C1E80F">
      <w:pPr>
        <w:pStyle w:val="1356"/>
        <w:ind w:firstLine="480"/>
        <w:rPr>
          <w:color w:val="auto"/>
        </w:rPr>
      </w:pPr>
      <w:r>
        <w:rPr>
          <w:rFonts w:hint="eastAsia"/>
          <w:color w:val="auto"/>
        </w:rPr>
        <w:t>地下水环境影响预测结果表明：</w:t>
      </w:r>
    </w:p>
    <w:p w14:paraId="3DF048B6">
      <w:pPr>
        <w:pStyle w:val="1356"/>
        <w:ind w:firstLine="480"/>
        <w:rPr>
          <w:color w:val="auto"/>
        </w:rPr>
      </w:pPr>
      <w:r>
        <w:rPr>
          <w:rFonts w:hint="eastAsia"/>
          <w:color w:val="auto"/>
        </w:rPr>
        <w:t>（1）污染物迁移沿着废水调节池向西侧方向扩散，在预测范围10000天内会影响到厂区边界外水质；</w:t>
      </w:r>
    </w:p>
    <w:p w14:paraId="46224FF9">
      <w:pPr>
        <w:pStyle w:val="1356"/>
        <w:ind w:firstLine="480"/>
        <w:rPr>
          <w:color w:val="auto"/>
        </w:rPr>
      </w:pPr>
      <w:r>
        <w:rPr>
          <w:rFonts w:hint="eastAsia"/>
          <w:color w:val="auto"/>
        </w:rPr>
        <w:t>（2）在本次预测评价方案条件下，在污染防渗措施有效情况下</w:t>
      </w:r>
      <w:r>
        <w:rPr>
          <w:rFonts w:hint="eastAsia"/>
          <w:color w:val="auto"/>
          <w:lang w:eastAsia="zh-CN"/>
        </w:rPr>
        <w:t>（</w:t>
      </w:r>
      <w:r>
        <w:rPr>
          <w:rFonts w:hint="eastAsia"/>
          <w:color w:val="auto"/>
        </w:rPr>
        <w:t>正常</w:t>
      </w:r>
      <w:r>
        <w:rPr>
          <w:rFonts w:hint="eastAsia"/>
          <w:color w:val="auto"/>
          <w:lang w:val="en-US" w:eastAsia="zh-CN"/>
        </w:rPr>
        <w:t>状况</w:t>
      </w:r>
      <w:r>
        <w:rPr>
          <w:rFonts w:hint="eastAsia"/>
          <w:color w:val="auto"/>
        </w:rPr>
        <w:t>下</w:t>
      </w:r>
      <w:r>
        <w:rPr>
          <w:rFonts w:hint="eastAsia"/>
          <w:color w:val="auto"/>
          <w:lang w:eastAsia="zh-CN"/>
        </w:rPr>
        <w:t>）</w:t>
      </w:r>
      <w:r>
        <w:rPr>
          <w:rFonts w:hint="eastAsia"/>
          <w:color w:val="auto"/>
        </w:rPr>
        <w:t>，废水调节池对区域地下水水质影响较小；在污染防渗措施局部失效发生泄漏的情况下</w:t>
      </w:r>
      <w:r>
        <w:rPr>
          <w:rFonts w:hint="eastAsia"/>
          <w:color w:val="auto"/>
          <w:lang w:eastAsia="zh-CN"/>
        </w:rPr>
        <w:t>（</w:t>
      </w:r>
      <w:r>
        <w:rPr>
          <w:rFonts w:hint="eastAsia"/>
          <w:color w:val="auto"/>
        </w:rPr>
        <w:t>非正常</w:t>
      </w:r>
      <w:r>
        <w:rPr>
          <w:rFonts w:hint="eastAsia"/>
          <w:color w:val="auto"/>
          <w:lang w:val="en-US" w:eastAsia="zh-CN"/>
        </w:rPr>
        <w:t>状况</w:t>
      </w:r>
      <w:r>
        <w:rPr>
          <w:rFonts w:hint="eastAsia"/>
          <w:color w:val="auto"/>
        </w:rPr>
        <w:t>)，会在厂区及周边一定范围内污染地下水；</w:t>
      </w:r>
    </w:p>
    <w:p w14:paraId="2D62E5D7">
      <w:pPr>
        <w:pStyle w:val="1356"/>
        <w:ind w:firstLine="480"/>
        <w:rPr>
          <w:color w:val="auto"/>
        </w:rPr>
      </w:pPr>
      <w:r>
        <w:rPr>
          <w:rFonts w:hint="eastAsia"/>
          <w:color w:val="auto"/>
        </w:rPr>
        <w:t>（3）污染物浓度随时间变化过程显示：无论是正常工况还是非正常</w:t>
      </w:r>
      <w:r>
        <w:rPr>
          <w:rFonts w:hint="eastAsia"/>
          <w:color w:val="auto"/>
          <w:lang w:val="en-US" w:eastAsia="zh-CN"/>
        </w:rPr>
        <w:t>状况</w:t>
      </w:r>
      <w:r>
        <w:rPr>
          <w:rFonts w:hint="eastAsia"/>
          <w:color w:val="auto"/>
        </w:rPr>
        <w:t>下，</w:t>
      </w:r>
      <w:r>
        <w:rPr>
          <w:rFonts w:hint="eastAsia"/>
          <w:color w:val="auto"/>
          <w:lang w:val="en-US" w:eastAsia="zh-CN"/>
        </w:rPr>
        <w:t>耗氧量</w:t>
      </w:r>
      <w:r>
        <w:rPr>
          <w:rFonts w:hint="eastAsia"/>
          <w:color w:val="auto"/>
        </w:rPr>
        <w:t>、总铝和总锡运移速度总体很慢，运移范围不大。10000天后，废水调节池污染物最大运移距离是</w:t>
      </w:r>
      <w:r>
        <w:rPr>
          <w:rFonts w:hint="eastAsia"/>
          <w:color w:val="auto"/>
          <w:lang w:val="en-US" w:eastAsia="zh-CN"/>
        </w:rPr>
        <w:t>耗氧量</w:t>
      </w:r>
      <w:r>
        <w:rPr>
          <w:rFonts w:hint="eastAsia"/>
          <w:color w:val="auto"/>
        </w:rPr>
        <w:t>污染物运移了34.5m；在采取防渗措施并开展跟踪监测，发现污染及时处理的情况下，项目运行对周边地下水影响可接受。</w:t>
      </w:r>
    </w:p>
    <w:p w14:paraId="46182F8A">
      <w:pPr>
        <w:keepNext/>
        <w:keepLines/>
        <w:spacing w:before="24" w:beforeLines="10"/>
        <w:ind w:firstLine="0" w:firstLineChars="0"/>
        <w:outlineLvl w:val="2"/>
        <w:rPr>
          <w:b/>
          <w:bCs/>
          <w:color w:val="auto"/>
          <w:sz w:val="28"/>
          <w:szCs w:val="36"/>
        </w:rPr>
      </w:pPr>
      <w:r>
        <w:rPr>
          <w:rFonts w:hint="eastAsia"/>
          <w:b/>
          <w:bCs/>
          <w:color w:val="auto"/>
          <w:sz w:val="28"/>
          <w:szCs w:val="36"/>
        </w:rPr>
        <w:t>6</w:t>
      </w:r>
      <w:r>
        <w:rPr>
          <w:b/>
          <w:bCs/>
          <w:color w:val="auto"/>
          <w:sz w:val="28"/>
          <w:szCs w:val="36"/>
        </w:rPr>
        <w:t>.2.6 土壤环境影响评价</w:t>
      </w:r>
      <w:r>
        <w:rPr>
          <w:rFonts w:hint="eastAsia"/>
          <w:b/>
          <w:bCs/>
          <w:color w:val="auto"/>
          <w:sz w:val="28"/>
          <w:szCs w:val="36"/>
        </w:rPr>
        <w:t xml:space="preserve"> </w:t>
      </w:r>
    </w:p>
    <w:p w14:paraId="28E49115">
      <w:pPr>
        <w:spacing w:before="120" w:beforeLines="50"/>
        <w:ind w:firstLine="0" w:firstLineChars="0"/>
        <w:jc w:val="left"/>
        <w:outlineLvl w:val="3"/>
        <w:rPr>
          <w:b/>
          <w:color w:val="auto"/>
        </w:rPr>
      </w:pPr>
      <w:r>
        <w:rPr>
          <w:rFonts w:hint="eastAsia"/>
          <w:b/>
          <w:color w:val="auto"/>
        </w:rPr>
        <w:t>6</w:t>
      </w:r>
      <w:r>
        <w:rPr>
          <w:b/>
          <w:color w:val="auto"/>
        </w:rPr>
        <w:t>.2.6.1 土壤影响途径</w:t>
      </w:r>
    </w:p>
    <w:p w14:paraId="639EA533">
      <w:pPr>
        <w:ind w:firstLine="480"/>
        <w:rPr>
          <w:color w:val="auto"/>
        </w:rPr>
      </w:pPr>
      <w:r>
        <w:rPr>
          <w:color w:val="auto"/>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583475CF">
      <w:pPr>
        <w:ind w:firstLine="480"/>
        <w:rPr>
          <w:b/>
          <w:color w:val="auto"/>
        </w:rPr>
      </w:pPr>
      <w:r>
        <w:rPr>
          <w:color w:val="auto"/>
        </w:rPr>
        <w:t>本项目排放的大气污染物包括硫酸雾、</w:t>
      </w:r>
      <w:r>
        <w:rPr>
          <w:rFonts w:hint="eastAsia"/>
          <w:color w:val="auto"/>
        </w:rPr>
        <w:t>碱雾、</w:t>
      </w:r>
      <w:r>
        <w:rPr>
          <w:color w:val="auto"/>
        </w:rPr>
        <w:t>二氧化硫、氮氧化物和颗粒物，大气沉降对土壤环境的影响较小，本次不再预测大气沉降对土壤造成的影响。</w:t>
      </w:r>
    </w:p>
    <w:p w14:paraId="6F986FB2">
      <w:pPr>
        <w:spacing w:before="120" w:beforeLines="50"/>
        <w:ind w:firstLine="0" w:firstLineChars="0"/>
        <w:jc w:val="left"/>
        <w:outlineLvl w:val="3"/>
        <w:rPr>
          <w:b/>
          <w:color w:val="auto"/>
        </w:rPr>
      </w:pPr>
      <w:r>
        <w:rPr>
          <w:rFonts w:hint="eastAsia"/>
          <w:b/>
          <w:color w:val="auto"/>
        </w:rPr>
        <w:t>6</w:t>
      </w:r>
      <w:r>
        <w:rPr>
          <w:b/>
          <w:color w:val="auto"/>
        </w:rPr>
        <w:t>.2.6.</w:t>
      </w:r>
      <w:r>
        <w:rPr>
          <w:rFonts w:hint="eastAsia"/>
          <w:b/>
          <w:color w:val="auto"/>
        </w:rPr>
        <w:t>2</w:t>
      </w:r>
      <w:r>
        <w:rPr>
          <w:b/>
          <w:color w:val="auto"/>
        </w:rPr>
        <w:t xml:space="preserve"> 土壤环境影响识别</w:t>
      </w:r>
    </w:p>
    <w:p w14:paraId="4601F647">
      <w:pPr>
        <w:ind w:firstLine="480"/>
        <w:rPr>
          <w:color w:val="auto"/>
          <w:kern w:val="0"/>
        </w:rPr>
      </w:pPr>
      <w:r>
        <w:rPr>
          <w:color w:val="auto"/>
          <w:kern w:val="0"/>
        </w:rPr>
        <w:t>本项目土壤环境影响识别如下表所示。</w:t>
      </w:r>
    </w:p>
    <w:p w14:paraId="5451C9F3">
      <w:pPr>
        <w:spacing w:line="240" w:lineRule="auto"/>
        <w:ind w:firstLine="0" w:firstLineChars="0"/>
        <w:jc w:val="center"/>
        <w:rPr>
          <w:b/>
          <w:color w:val="auto"/>
          <w:kern w:val="0"/>
          <w:lang w:val="zh-CN"/>
        </w:rPr>
      </w:pPr>
      <w:r>
        <w:rPr>
          <w:b/>
          <w:color w:val="auto"/>
          <w:kern w:val="0"/>
          <w:lang w:val="zh-CN"/>
        </w:rPr>
        <w:t>表</w:t>
      </w:r>
      <w:r>
        <w:rPr>
          <w:rFonts w:hint="eastAsia"/>
          <w:b/>
          <w:color w:val="auto"/>
          <w:kern w:val="0"/>
        </w:rPr>
        <w:t>6.2.6</w:t>
      </w:r>
      <w:r>
        <w:rPr>
          <w:b/>
          <w:color w:val="auto"/>
          <w:kern w:val="0"/>
          <w:lang w:val="zh-CN"/>
        </w:rPr>
        <w:t>-</w:t>
      </w:r>
      <w:r>
        <w:rPr>
          <w:rFonts w:hint="eastAsia"/>
          <w:b/>
          <w:color w:val="auto"/>
          <w:kern w:val="0"/>
        </w:rPr>
        <w:t>1</w:t>
      </w:r>
      <w:r>
        <w:rPr>
          <w:b/>
          <w:color w:val="auto"/>
          <w:kern w:val="0"/>
          <w:lang w:val="zh-CN"/>
        </w:rPr>
        <w:t xml:space="preserve">  建设项目土壤环境影响类型与影响途径表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1880"/>
        <w:gridCol w:w="1880"/>
        <w:gridCol w:w="1880"/>
        <w:gridCol w:w="1881"/>
      </w:tblGrid>
      <w:tr w14:paraId="03892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Merge w:val="restart"/>
            <w:vAlign w:val="center"/>
          </w:tcPr>
          <w:p w14:paraId="60BD460B">
            <w:pPr>
              <w:spacing w:line="240" w:lineRule="auto"/>
              <w:ind w:firstLine="0" w:firstLineChars="0"/>
              <w:jc w:val="center"/>
              <w:rPr>
                <w:b/>
                <w:bCs/>
                <w:color w:val="auto"/>
                <w:kern w:val="0"/>
                <w:sz w:val="21"/>
                <w:lang w:val="zh-CN"/>
              </w:rPr>
            </w:pPr>
            <w:r>
              <w:rPr>
                <w:b/>
                <w:bCs/>
                <w:color w:val="auto"/>
                <w:kern w:val="0"/>
                <w:sz w:val="21"/>
                <w:lang w:val="zh-CN"/>
              </w:rPr>
              <w:t>不同时段</w:t>
            </w:r>
          </w:p>
        </w:tc>
        <w:tc>
          <w:tcPr>
            <w:tcW w:w="4000" w:type="pct"/>
            <w:gridSpan w:val="4"/>
            <w:vAlign w:val="center"/>
          </w:tcPr>
          <w:p w14:paraId="5834FADF">
            <w:pPr>
              <w:spacing w:line="240" w:lineRule="auto"/>
              <w:ind w:firstLine="0" w:firstLineChars="0"/>
              <w:jc w:val="center"/>
              <w:rPr>
                <w:b/>
                <w:bCs/>
                <w:color w:val="auto"/>
                <w:kern w:val="0"/>
                <w:sz w:val="21"/>
                <w:lang w:val="zh-CN"/>
              </w:rPr>
            </w:pPr>
            <w:r>
              <w:rPr>
                <w:b/>
                <w:bCs/>
                <w:color w:val="auto"/>
                <w:kern w:val="0"/>
                <w:sz w:val="21"/>
                <w:lang w:val="zh-CN"/>
              </w:rPr>
              <w:t>污染影响型</w:t>
            </w:r>
          </w:p>
        </w:tc>
      </w:tr>
      <w:tr w14:paraId="21544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Merge w:val="continue"/>
            <w:vAlign w:val="center"/>
          </w:tcPr>
          <w:p w14:paraId="3F8040DF">
            <w:pPr>
              <w:spacing w:line="240" w:lineRule="auto"/>
              <w:ind w:firstLine="0" w:firstLineChars="0"/>
              <w:jc w:val="center"/>
              <w:rPr>
                <w:b/>
                <w:bCs/>
                <w:color w:val="auto"/>
                <w:kern w:val="0"/>
                <w:sz w:val="21"/>
                <w:lang w:val="zh-CN"/>
              </w:rPr>
            </w:pPr>
          </w:p>
        </w:tc>
        <w:tc>
          <w:tcPr>
            <w:tcW w:w="1000" w:type="pct"/>
            <w:vAlign w:val="center"/>
          </w:tcPr>
          <w:p w14:paraId="36459410">
            <w:pPr>
              <w:spacing w:line="240" w:lineRule="auto"/>
              <w:ind w:firstLine="0" w:firstLineChars="0"/>
              <w:jc w:val="center"/>
              <w:rPr>
                <w:b/>
                <w:bCs/>
                <w:color w:val="auto"/>
                <w:kern w:val="0"/>
                <w:sz w:val="21"/>
                <w:lang w:val="zh-CN"/>
              </w:rPr>
            </w:pPr>
            <w:r>
              <w:rPr>
                <w:b/>
                <w:bCs/>
                <w:color w:val="auto"/>
                <w:kern w:val="0"/>
                <w:sz w:val="21"/>
                <w:lang w:val="zh-CN"/>
              </w:rPr>
              <w:t>大气沉降</w:t>
            </w:r>
          </w:p>
        </w:tc>
        <w:tc>
          <w:tcPr>
            <w:tcW w:w="1000" w:type="pct"/>
            <w:vAlign w:val="center"/>
          </w:tcPr>
          <w:p w14:paraId="264DF69E">
            <w:pPr>
              <w:spacing w:line="240" w:lineRule="auto"/>
              <w:ind w:firstLine="0" w:firstLineChars="0"/>
              <w:jc w:val="center"/>
              <w:rPr>
                <w:b/>
                <w:bCs/>
                <w:color w:val="auto"/>
                <w:kern w:val="0"/>
                <w:sz w:val="21"/>
                <w:lang w:val="zh-CN"/>
              </w:rPr>
            </w:pPr>
            <w:r>
              <w:rPr>
                <w:b/>
                <w:bCs/>
                <w:color w:val="auto"/>
                <w:kern w:val="0"/>
                <w:sz w:val="21"/>
                <w:lang w:val="zh-CN"/>
              </w:rPr>
              <w:t>地面漫流</w:t>
            </w:r>
          </w:p>
        </w:tc>
        <w:tc>
          <w:tcPr>
            <w:tcW w:w="1000" w:type="pct"/>
            <w:vAlign w:val="center"/>
          </w:tcPr>
          <w:p w14:paraId="17FAC5D8">
            <w:pPr>
              <w:spacing w:line="240" w:lineRule="auto"/>
              <w:ind w:firstLine="0" w:firstLineChars="0"/>
              <w:jc w:val="center"/>
              <w:rPr>
                <w:b/>
                <w:bCs/>
                <w:color w:val="auto"/>
                <w:kern w:val="0"/>
                <w:sz w:val="21"/>
                <w:lang w:val="zh-CN"/>
              </w:rPr>
            </w:pPr>
            <w:r>
              <w:rPr>
                <w:b/>
                <w:bCs/>
                <w:color w:val="auto"/>
                <w:kern w:val="0"/>
                <w:sz w:val="21"/>
                <w:lang w:val="zh-CN"/>
              </w:rPr>
              <w:t>垂直入渗</w:t>
            </w:r>
          </w:p>
        </w:tc>
        <w:tc>
          <w:tcPr>
            <w:tcW w:w="1000" w:type="pct"/>
            <w:vAlign w:val="center"/>
          </w:tcPr>
          <w:p w14:paraId="0A84BD06">
            <w:pPr>
              <w:spacing w:line="240" w:lineRule="auto"/>
              <w:ind w:firstLine="0" w:firstLineChars="0"/>
              <w:jc w:val="center"/>
              <w:rPr>
                <w:b/>
                <w:bCs/>
                <w:color w:val="auto"/>
                <w:kern w:val="0"/>
                <w:sz w:val="21"/>
                <w:lang w:val="zh-CN"/>
              </w:rPr>
            </w:pPr>
            <w:r>
              <w:rPr>
                <w:b/>
                <w:bCs/>
                <w:color w:val="auto"/>
                <w:kern w:val="0"/>
                <w:sz w:val="21"/>
                <w:lang w:val="zh-CN"/>
              </w:rPr>
              <w:t>其他</w:t>
            </w:r>
          </w:p>
        </w:tc>
      </w:tr>
      <w:tr w14:paraId="69694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Align w:val="center"/>
          </w:tcPr>
          <w:p w14:paraId="388B18D5">
            <w:pPr>
              <w:spacing w:line="240" w:lineRule="auto"/>
              <w:ind w:firstLine="0" w:firstLineChars="0"/>
              <w:jc w:val="center"/>
              <w:rPr>
                <w:color w:val="auto"/>
                <w:kern w:val="0"/>
                <w:sz w:val="21"/>
                <w:lang w:val="zh-CN"/>
              </w:rPr>
            </w:pPr>
            <w:r>
              <w:rPr>
                <w:color w:val="auto"/>
                <w:kern w:val="0"/>
                <w:sz w:val="21"/>
                <w:lang w:val="zh-CN"/>
              </w:rPr>
              <w:t>建设期</w:t>
            </w:r>
          </w:p>
        </w:tc>
        <w:tc>
          <w:tcPr>
            <w:tcW w:w="1000" w:type="pct"/>
            <w:vAlign w:val="center"/>
          </w:tcPr>
          <w:p w14:paraId="4B4480E4">
            <w:pPr>
              <w:spacing w:line="240" w:lineRule="auto"/>
              <w:ind w:firstLine="0" w:firstLineChars="0"/>
              <w:jc w:val="center"/>
              <w:rPr>
                <w:color w:val="auto"/>
                <w:kern w:val="0"/>
                <w:sz w:val="21"/>
                <w:lang w:val="zh-CN"/>
              </w:rPr>
            </w:pPr>
            <w:r>
              <w:rPr>
                <w:color w:val="auto"/>
                <w:kern w:val="0"/>
                <w:sz w:val="21"/>
                <w:lang w:val="zh-CN"/>
              </w:rPr>
              <w:t>-</w:t>
            </w:r>
          </w:p>
        </w:tc>
        <w:tc>
          <w:tcPr>
            <w:tcW w:w="1000" w:type="pct"/>
            <w:vAlign w:val="center"/>
          </w:tcPr>
          <w:p w14:paraId="1E1178AE">
            <w:pPr>
              <w:spacing w:line="240" w:lineRule="auto"/>
              <w:ind w:firstLine="0" w:firstLineChars="0"/>
              <w:jc w:val="center"/>
              <w:rPr>
                <w:b/>
                <w:color w:val="auto"/>
                <w:kern w:val="0"/>
                <w:sz w:val="21"/>
                <w:lang w:val="zh-CN"/>
              </w:rPr>
            </w:pPr>
            <w:r>
              <w:rPr>
                <w:b/>
                <w:color w:val="auto"/>
                <w:kern w:val="0"/>
                <w:sz w:val="21"/>
                <w:lang w:val="zh-CN"/>
              </w:rPr>
              <w:t>-</w:t>
            </w:r>
          </w:p>
        </w:tc>
        <w:tc>
          <w:tcPr>
            <w:tcW w:w="1000" w:type="pct"/>
            <w:vAlign w:val="center"/>
          </w:tcPr>
          <w:p w14:paraId="1F4F7A7D">
            <w:pPr>
              <w:spacing w:line="240" w:lineRule="auto"/>
              <w:ind w:firstLine="0" w:firstLineChars="0"/>
              <w:jc w:val="center"/>
              <w:rPr>
                <w:b/>
                <w:color w:val="auto"/>
                <w:kern w:val="0"/>
                <w:sz w:val="21"/>
                <w:lang w:val="zh-CN"/>
              </w:rPr>
            </w:pPr>
            <w:r>
              <w:rPr>
                <w:b/>
                <w:color w:val="auto"/>
                <w:kern w:val="0"/>
                <w:sz w:val="21"/>
                <w:lang w:val="zh-CN"/>
              </w:rPr>
              <w:t>-</w:t>
            </w:r>
          </w:p>
        </w:tc>
        <w:tc>
          <w:tcPr>
            <w:tcW w:w="1000" w:type="pct"/>
            <w:vAlign w:val="center"/>
          </w:tcPr>
          <w:p w14:paraId="471AC7A1">
            <w:pPr>
              <w:spacing w:line="240" w:lineRule="auto"/>
              <w:ind w:firstLine="0" w:firstLineChars="0"/>
              <w:jc w:val="center"/>
              <w:rPr>
                <w:b/>
                <w:color w:val="auto"/>
                <w:kern w:val="0"/>
                <w:sz w:val="21"/>
                <w:lang w:val="zh-CN"/>
              </w:rPr>
            </w:pPr>
            <w:r>
              <w:rPr>
                <w:b/>
                <w:color w:val="auto"/>
                <w:kern w:val="0"/>
                <w:sz w:val="21"/>
                <w:lang w:val="zh-CN"/>
              </w:rPr>
              <w:t>-</w:t>
            </w:r>
          </w:p>
        </w:tc>
      </w:tr>
      <w:tr w14:paraId="20AAD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Align w:val="center"/>
          </w:tcPr>
          <w:p w14:paraId="075BD045">
            <w:pPr>
              <w:spacing w:line="240" w:lineRule="auto"/>
              <w:ind w:firstLine="0" w:firstLineChars="0"/>
              <w:jc w:val="center"/>
              <w:rPr>
                <w:color w:val="auto"/>
                <w:kern w:val="0"/>
                <w:sz w:val="21"/>
                <w:lang w:val="zh-CN"/>
              </w:rPr>
            </w:pPr>
            <w:r>
              <w:rPr>
                <w:color w:val="auto"/>
                <w:kern w:val="0"/>
                <w:sz w:val="21"/>
                <w:lang w:val="zh-CN"/>
              </w:rPr>
              <w:t>运营期</w:t>
            </w:r>
          </w:p>
        </w:tc>
        <w:tc>
          <w:tcPr>
            <w:tcW w:w="1000" w:type="pct"/>
            <w:vAlign w:val="center"/>
          </w:tcPr>
          <w:p w14:paraId="68518A48">
            <w:pPr>
              <w:spacing w:line="240" w:lineRule="auto"/>
              <w:ind w:firstLine="0" w:firstLineChars="0"/>
              <w:jc w:val="center"/>
              <w:rPr>
                <w:b/>
                <w:color w:val="auto"/>
                <w:kern w:val="0"/>
                <w:sz w:val="21"/>
              </w:rPr>
            </w:pPr>
            <w:r>
              <w:rPr>
                <w:rFonts w:hint="eastAsia"/>
                <w:b/>
                <w:color w:val="auto"/>
                <w:kern w:val="0"/>
                <w:sz w:val="21"/>
              </w:rPr>
              <w:t>-</w:t>
            </w:r>
          </w:p>
        </w:tc>
        <w:tc>
          <w:tcPr>
            <w:tcW w:w="1000" w:type="pct"/>
            <w:vAlign w:val="center"/>
          </w:tcPr>
          <w:p w14:paraId="1B32D43C">
            <w:pPr>
              <w:spacing w:line="240" w:lineRule="auto"/>
              <w:ind w:firstLine="0" w:firstLineChars="0"/>
              <w:jc w:val="center"/>
              <w:rPr>
                <w:b/>
                <w:color w:val="auto"/>
                <w:kern w:val="0"/>
                <w:sz w:val="21"/>
                <w:lang w:val="zh-CN"/>
              </w:rPr>
            </w:pPr>
            <w:r>
              <w:rPr>
                <w:b/>
                <w:color w:val="auto"/>
                <w:kern w:val="0"/>
                <w:sz w:val="21"/>
                <w:lang w:val="zh-CN"/>
              </w:rPr>
              <w:t>√</w:t>
            </w:r>
          </w:p>
        </w:tc>
        <w:tc>
          <w:tcPr>
            <w:tcW w:w="1000" w:type="pct"/>
            <w:vAlign w:val="center"/>
          </w:tcPr>
          <w:p w14:paraId="0804C0BE">
            <w:pPr>
              <w:spacing w:line="240" w:lineRule="auto"/>
              <w:ind w:firstLine="0" w:firstLineChars="0"/>
              <w:jc w:val="center"/>
              <w:rPr>
                <w:b/>
                <w:color w:val="auto"/>
                <w:kern w:val="0"/>
                <w:sz w:val="21"/>
                <w:lang w:val="zh-CN"/>
              </w:rPr>
            </w:pPr>
            <w:r>
              <w:rPr>
                <w:b/>
                <w:color w:val="auto"/>
                <w:kern w:val="0"/>
                <w:sz w:val="21"/>
                <w:lang w:val="zh-CN"/>
              </w:rPr>
              <w:t>√</w:t>
            </w:r>
          </w:p>
        </w:tc>
        <w:tc>
          <w:tcPr>
            <w:tcW w:w="1000" w:type="pct"/>
            <w:vAlign w:val="center"/>
          </w:tcPr>
          <w:p w14:paraId="3962DC51">
            <w:pPr>
              <w:spacing w:line="240" w:lineRule="auto"/>
              <w:ind w:firstLine="0" w:firstLineChars="0"/>
              <w:jc w:val="center"/>
              <w:rPr>
                <w:b/>
                <w:color w:val="auto"/>
                <w:kern w:val="0"/>
                <w:sz w:val="21"/>
                <w:lang w:val="zh-CN"/>
              </w:rPr>
            </w:pPr>
          </w:p>
        </w:tc>
      </w:tr>
      <w:tr w14:paraId="00D4E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Align w:val="center"/>
          </w:tcPr>
          <w:p w14:paraId="553164FD">
            <w:pPr>
              <w:spacing w:line="240" w:lineRule="auto"/>
              <w:ind w:firstLine="0" w:firstLineChars="0"/>
              <w:jc w:val="center"/>
              <w:rPr>
                <w:color w:val="auto"/>
                <w:kern w:val="0"/>
                <w:sz w:val="21"/>
                <w:lang w:val="zh-CN"/>
              </w:rPr>
            </w:pPr>
            <w:r>
              <w:rPr>
                <w:color w:val="auto"/>
                <w:kern w:val="0"/>
                <w:sz w:val="21"/>
                <w:lang w:val="zh-CN"/>
              </w:rPr>
              <w:t>服务期满后</w:t>
            </w:r>
          </w:p>
        </w:tc>
        <w:tc>
          <w:tcPr>
            <w:tcW w:w="1000" w:type="pct"/>
            <w:vAlign w:val="center"/>
          </w:tcPr>
          <w:p w14:paraId="62FC2E4D">
            <w:pPr>
              <w:spacing w:line="240" w:lineRule="auto"/>
              <w:ind w:firstLine="0" w:firstLineChars="0"/>
              <w:jc w:val="center"/>
              <w:rPr>
                <w:color w:val="auto"/>
                <w:kern w:val="0"/>
                <w:sz w:val="21"/>
                <w:lang w:val="zh-CN"/>
              </w:rPr>
            </w:pPr>
            <w:r>
              <w:rPr>
                <w:color w:val="auto"/>
                <w:kern w:val="0"/>
                <w:sz w:val="21"/>
                <w:lang w:val="zh-CN"/>
              </w:rPr>
              <w:t>-</w:t>
            </w:r>
          </w:p>
        </w:tc>
        <w:tc>
          <w:tcPr>
            <w:tcW w:w="1000" w:type="pct"/>
            <w:vAlign w:val="center"/>
          </w:tcPr>
          <w:p w14:paraId="7F892B7E">
            <w:pPr>
              <w:spacing w:line="240" w:lineRule="auto"/>
              <w:ind w:firstLine="0" w:firstLineChars="0"/>
              <w:jc w:val="center"/>
              <w:rPr>
                <w:b/>
                <w:color w:val="auto"/>
                <w:kern w:val="0"/>
                <w:sz w:val="21"/>
                <w:lang w:val="zh-CN"/>
              </w:rPr>
            </w:pPr>
            <w:r>
              <w:rPr>
                <w:b/>
                <w:color w:val="auto"/>
                <w:kern w:val="0"/>
                <w:sz w:val="21"/>
                <w:lang w:val="zh-CN"/>
              </w:rPr>
              <w:t>-</w:t>
            </w:r>
          </w:p>
        </w:tc>
        <w:tc>
          <w:tcPr>
            <w:tcW w:w="1000" w:type="pct"/>
            <w:vAlign w:val="center"/>
          </w:tcPr>
          <w:p w14:paraId="4C5673B7">
            <w:pPr>
              <w:spacing w:line="240" w:lineRule="auto"/>
              <w:ind w:firstLine="0" w:firstLineChars="0"/>
              <w:jc w:val="center"/>
              <w:rPr>
                <w:b/>
                <w:color w:val="auto"/>
                <w:kern w:val="0"/>
                <w:sz w:val="21"/>
                <w:lang w:val="zh-CN"/>
              </w:rPr>
            </w:pPr>
            <w:r>
              <w:rPr>
                <w:b/>
                <w:color w:val="auto"/>
                <w:kern w:val="0"/>
                <w:sz w:val="21"/>
                <w:lang w:val="zh-CN"/>
              </w:rPr>
              <w:t>-</w:t>
            </w:r>
          </w:p>
        </w:tc>
        <w:tc>
          <w:tcPr>
            <w:tcW w:w="1000" w:type="pct"/>
            <w:vAlign w:val="center"/>
          </w:tcPr>
          <w:p w14:paraId="2BA1FF89">
            <w:pPr>
              <w:spacing w:line="240" w:lineRule="auto"/>
              <w:ind w:firstLine="0" w:firstLineChars="0"/>
              <w:jc w:val="center"/>
              <w:rPr>
                <w:b/>
                <w:color w:val="auto"/>
                <w:kern w:val="0"/>
                <w:sz w:val="21"/>
                <w:lang w:val="zh-CN"/>
              </w:rPr>
            </w:pPr>
            <w:r>
              <w:rPr>
                <w:b/>
                <w:color w:val="auto"/>
                <w:kern w:val="0"/>
                <w:sz w:val="21"/>
                <w:lang w:val="zh-CN"/>
              </w:rPr>
              <w:t>-</w:t>
            </w:r>
          </w:p>
        </w:tc>
      </w:tr>
      <w:tr w14:paraId="3E7BE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14:paraId="03787061">
            <w:pPr>
              <w:spacing w:line="240" w:lineRule="auto"/>
              <w:ind w:firstLine="0" w:firstLineChars="0"/>
              <w:rPr>
                <w:color w:val="auto"/>
                <w:kern w:val="0"/>
                <w:sz w:val="21"/>
                <w:lang w:val="zh-CN"/>
              </w:rPr>
            </w:pPr>
            <w:r>
              <w:rPr>
                <w:color w:val="auto"/>
                <w:kern w:val="0"/>
                <w:sz w:val="21"/>
                <w:lang w:val="zh-CN"/>
              </w:rPr>
              <w:t>注：在可能产生的土壤环境影响类型处打“√”</w:t>
            </w:r>
          </w:p>
        </w:tc>
      </w:tr>
    </w:tbl>
    <w:p w14:paraId="32A26C3F">
      <w:pPr>
        <w:spacing w:line="240" w:lineRule="auto"/>
        <w:ind w:firstLine="0" w:firstLineChars="0"/>
        <w:jc w:val="center"/>
        <w:rPr>
          <w:b/>
          <w:color w:val="auto"/>
          <w:szCs w:val="22"/>
        </w:rPr>
      </w:pPr>
      <w:r>
        <w:rPr>
          <w:b/>
          <w:color w:val="auto"/>
          <w:szCs w:val="22"/>
          <w:lang w:bidi="ar"/>
        </w:rPr>
        <w:t>表6.2.6-2  土壤环境影响及影响因子识别表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770"/>
        <w:gridCol w:w="1311"/>
        <w:gridCol w:w="2519"/>
        <w:gridCol w:w="1232"/>
        <w:gridCol w:w="1232"/>
      </w:tblGrid>
      <w:tr w14:paraId="361C5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9" w:type="pct"/>
            <w:tcBorders>
              <w:tl2br w:val="nil"/>
              <w:tr2bl w:val="nil"/>
            </w:tcBorders>
            <w:shd w:val="clear" w:color="auto" w:fill="auto"/>
            <w:vAlign w:val="center"/>
          </w:tcPr>
          <w:p w14:paraId="1C1F7951">
            <w:pPr>
              <w:spacing w:line="240" w:lineRule="auto"/>
              <w:ind w:firstLine="0" w:firstLineChars="0"/>
              <w:jc w:val="center"/>
              <w:rPr>
                <w:b/>
                <w:bCs/>
                <w:color w:val="auto"/>
                <w:kern w:val="0"/>
                <w:sz w:val="21"/>
                <w:szCs w:val="21"/>
              </w:rPr>
            </w:pPr>
            <w:r>
              <w:rPr>
                <w:b/>
                <w:bCs/>
                <w:color w:val="auto"/>
                <w:kern w:val="0"/>
                <w:sz w:val="21"/>
                <w:szCs w:val="21"/>
                <w:lang w:bidi="ar"/>
              </w:rPr>
              <w:t>污染源</w:t>
            </w:r>
          </w:p>
        </w:tc>
        <w:tc>
          <w:tcPr>
            <w:tcW w:w="941" w:type="pct"/>
            <w:tcBorders>
              <w:tl2br w:val="nil"/>
              <w:tr2bl w:val="nil"/>
            </w:tcBorders>
            <w:shd w:val="clear" w:color="auto" w:fill="auto"/>
            <w:vAlign w:val="center"/>
          </w:tcPr>
          <w:p w14:paraId="7E7DD663">
            <w:pPr>
              <w:spacing w:line="240" w:lineRule="auto"/>
              <w:ind w:firstLine="0" w:firstLineChars="0"/>
              <w:jc w:val="center"/>
              <w:rPr>
                <w:b/>
                <w:bCs/>
                <w:color w:val="auto"/>
                <w:kern w:val="0"/>
                <w:sz w:val="21"/>
                <w:szCs w:val="21"/>
              </w:rPr>
            </w:pPr>
            <w:r>
              <w:rPr>
                <w:b/>
                <w:bCs/>
                <w:color w:val="auto"/>
                <w:kern w:val="0"/>
                <w:sz w:val="21"/>
                <w:szCs w:val="21"/>
                <w:lang w:bidi="ar"/>
              </w:rPr>
              <w:t>工艺流程/节点</w:t>
            </w:r>
          </w:p>
        </w:tc>
        <w:tc>
          <w:tcPr>
            <w:tcW w:w="697" w:type="pct"/>
            <w:tcBorders>
              <w:tl2br w:val="nil"/>
              <w:tr2bl w:val="nil"/>
            </w:tcBorders>
            <w:shd w:val="clear" w:color="auto" w:fill="auto"/>
            <w:vAlign w:val="center"/>
          </w:tcPr>
          <w:p w14:paraId="3C969C7C">
            <w:pPr>
              <w:spacing w:line="240" w:lineRule="auto"/>
              <w:ind w:firstLine="0" w:firstLineChars="0"/>
              <w:jc w:val="center"/>
              <w:rPr>
                <w:b/>
                <w:bCs/>
                <w:color w:val="auto"/>
                <w:kern w:val="0"/>
                <w:sz w:val="21"/>
                <w:szCs w:val="21"/>
              </w:rPr>
            </w:pPr>
            <w:r>
              <w:rPr>
                <w:b/>
                <w:bCs/>
                <w:color w:val="auto"/>
                <w:kern w:val="0"/>
                <w:sz w:val="21"/>
                <w:szCs w:val="21"/>
                <w:lang w:bidi="ar"/>
              </w:rPr>
              <w:t>污染途径</w:t>
            </w:r>
          </w:p>
        </w:tc>
        <w:tc>
          <w:tcPr>
            <w:tcW w:w="1339" w:type="pct"/>
            <w:tcBorders>
              <w:tl2br w:val="nil"/>
              <w:tr2bl w:val="nil"/>
            </w:tcBorders>
            <w:shd w:val="clear" w:color="auto" w:fill="auto"/>
            <w:vAlign w:val="center"/>
          </w:tcPr>
          <w:p w14:paraId="78FE1916">
            <w:pPr>
              <w:spacing w:line="240" w:lineRule="auto"/>
              <w:ind w:firstLine="0" w:firstLineChars="0"/>
              <w:jc w:val="center"/>
              <w:rPr>
                <w:b/>
                <w:bCs/>
                <w:color w:val="auto"/>
                <w:kern w:val="0"/>
                <w:sz w:val="21"/>
                <w:szCs w:val="21"/>
              </w:rPr>
            </w:pPr>
            <w:r>
              <w:rPr>
                <w:b/>
                <w:bCs/>
                <w:color w:val="auto"/>
                <w:kern w:val="0"/>
                <w:sz w:val="21"/>
                <w:szCs w:val="21"/>
                <w:lang w:bidi="ar"/>
              </w:rPr>
              <w:t>全部污染物指标</w:t>
            </w:r>
          </w:p>
        </w:tc>
        <w:tc>
          <w:tcPr>
            <w:tcW w:w="655" w:type="pct"/>
            <w:tcBorders>
              <w:tl2br w:val="nil"/>
              <w:tr2bl w:val="nil"/>
            </w:tcBorders>
            <w:shd w:val="clear" w:color="auto" w:fill="auto"/>
            <w:vAlign w:val="center"/>
          </w:tcPr>
          <w:p w14:paraId="47154B3E">
            <w:pPr>
              <w:spacing w:line="240" w:lineRule="auto"/>
              <w:ind w:firstLine="0" w:firstLineChars="0"/>
              <w:jc w:val="center"/>
              <w:rPr>
                <w:b/>
                <w:bCs/>
                <w:color w:val="auto"/>
                <w:kern w:val="0"/>
                <w:sz w:val="21"/>
                <w:szCs w:val="21"/>
              </w:rPr>
            </w:pPr>
            <w:r>
              <w:rPr>
                <w:b/>
                <w:bCs/>
                <w:color w:val="auto"/>
                <w:kern w:val="0"/>
                <w:sz w:val="21"/>
                <w:szCs w:val="21"/>
                <w:lang w:bidi="ar"/>
              </w:rPr>
              <w:t>特征因子</w:t>
            </w:r>
          </w:p>
        </w:tc>
        <w:tc>
          <w:tcPr>
            <w:tcW w:w="655" w:type="pct"/>
            <w:tcBorders>
              <w:tl2br w:val="nil"/>
              <w:tr2bl w:val="nil"/>
            </w:tcBorders>
            <w:shd w:val="clear" w:color="auto" w:fill="auto"/>
            <w:vAlign w:val="center"/>
          </w:tcPr>
          <w:p w14:paraId="16F452E2">
            <w:pPr>
              <w:spacing w:line="240" w:lineRule="auto"/>
              <w:ind w:firstLine="0" w:firstLineChars="0"/>
              <w:jc w:val="center"/>
              <w:rPr>
                <w:b/>
                <w:bCs/>
                <w:color w:val="auto"/>
                <w:kern w:val="0"/>
                <w:sz w:val="21"/>
                <w:szCs w:val="21"/>
              </w:rPr>
            </w:pPr>
            <w:r>
              <w:rPr>
                <w:b/>
                <w:bCs/>
                <w:color w:val="auto"/>
                <w:kern w:val="0"/>
                <w:sz w:val="21"/>
                <w:szCs w:val="21"/>
                <w:lang w:bidi="ar"/>
              </w:rPr>
              <w:t>备注</w:t>
            </w:r>
          </w:p>
        </w:tc>
      </w:tr>
      <w:tr w14:paraId="70133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09" w:type="pct"/>
            <w:tcBorders>
              <w:tl2br w:val="nil"/>
              <w:tr2bl w:val="nil"/>
            </w:tcBorders>
            <w:shd w:val="clear" w:color="auto" w:fill="auto"/>
            <w:vAlign w:val="center"/>
          </w:tcPr>
          <w:p w14:paraId="77F239F2">
            <w:pPr>
              <w:spacing w:line="240" w:lineRule="auto"/>
              <w:ind w:firstLine="0" w:firstLineChars="0"/>
              <w:jc w:val="center"/>
              <w:rPr>
                <w:color w:val="auto"/>
                <w:kern w:val="0"/>
                <w:sz w:val="21"/>
                <w:szCs w:val="21"/>
                <w:lang w:bidi="ar"/>
              </w:rPr>
            </w:pPr>
            <w:r>
              <w:rPr>
                <w:rFonts w:hint="eastAsia"/>
                <w:color w:val="auto"/>
                <w:kern w:val="0"/>
                <w:sz w:val="21"/>
                <w:szCs w:val="21"/>
                <w:lang w:bidi="ar"/>
              </w:rPr>
              <w:t>污水处理系统</w:t>
            </w:r>
          </w:p>
        </w:tc>
        <w:tc>
          <w:tcPr>
            <w:tcW w:w="941" w:type="pct"/>
            <w:tcBorders>
              <w:tl2br w:val="nil"/>
              <w:tr2bl w:val="nil"/>
            </w:tcBorders>
            <w:shd w:val="clear" w:color="auto" w:fill="auto"/>
            <w:vAlign w:val="center"/>
          </w:tcPr>
          <w:p w14:paraId="22A5E7CF">
            <w:pPr>
              <w:spacing w:line="240" w:lineRule="auto"/>
              <w:ind w:firstLine="0" w:firstLineChars="0"/>
              <w:jc w:val="center"/>
              <w:rPr>
                <w:color w:val="auto"/>
                <w:kern w:val="0"/>
                <w:sz w:val="21"/>
                <w:szCs w:val="21"/>
                <w:lang w:bidi="ar"/>
              </w:rPr>
            </w:pPr>
            <w:r>
              <w:rPr>
                <w:rFonts w:hint="eastAsia"/>
                <w:color w:val="auto"/>
                <w:kern w:val="0"/>
                <w:sz w:val="21"/>
                <w:szCs w:val="21"/>
                <w:lang w:bidi="ar"/>
              </w:rPr>
              <w:t>污水处理</w:t>
            </w:r>
          </w:p>
        </w:tc>
        <w:tc>
          <w:tcPr>
            <w:tcW w:w="697" w:type="pct"/>
            <w:tcBorders>
              <w:tl2br w:val="nil"/>
              <w:tr2bl w:val="nil"/>
            </w:tcBorders>
            <w:shd w:val="clear" w:color="auto" w:fill="auto"/>
            <w:vAlign w:val="center"/>
          </w:tcPr>
          <w:p w14:paraId="51BAC372">
            <w:pPr>
              <w:spacing w:line="240" w:lineRule="auto"/>
              <w:ind w:firstLine="0" w:firstLineChars="0"/>
              <w:jc w:val="center"/>
              <w:rPr>
                <w:color w:val="auto"/>
                <w:kern w:val="0"/>
                <w:sz w:val="21"/>
                <w:szCs w:val="21"/>
                <w:lang w:bidi="ar"/>
              </w:rPr>
            </w:pPr>
            <w:r>
              <w:rPr>
                <w:rFonts w:hint="eastAsia"/>
                <w:color w:val="auto"/>
                <w:kern w:val="0"/>
                <w:sz w:val="21"/>
                <w:szCs w:val="21"/>
                <w:lang w:bidi="ar"/>
              </w:rPr>
              <w:t>垂直入渗</w:t>
            </w:r>
          </w:p>
        </w:tc>
        <w:tc>
          <w:tcPr>
            <w:tcW w:w="1339" w:type="pct"/>
            <w:tcBorders>
              <w:tl2br w:val="nil"/>
              <w:tr2bl w:val="nil"/>
            </w:tcBorders>
            <w:shd w:val="clear" w:color="auto" w:fill="auto"/>
            <w:vAlign w:val="center"/>
          </w:tcPr>
          <w:p w14:paraId="04E8BEB0">
            <w:pPr>
              <w:spacing w:line="240" w:lineRule="auto"/>
              <w:ind w:firstLine="0" w:firstLineChars="0"/>
              <w:jc w:val="center"/>
              <w:rPr>
                <w:color w:val="auto"/>
                <w:kern w:val="0"/>
                <w:sz w:val="21"/>
                <w:szCs w:val="21"/>
                <w:lang w:bidi="ar"/>
              </w:rPr>
            </w:pPr>
            <w:r>
              <w:rPr>
                <w:rFonts w:hint="eastAsia"/>
                <w:color w:val="auto"/>
                <w:kern w:val="0"/>
                <w:sz w:val="21"/>
                <w:szCs w:val="21"/>
                <w:lang w:bidi="ar"/>
              </w:rPr>
              <w:t>pH、</w:t>
            </w:r>
            <w:r>
              <w:rPr>
                <w:color w:val="auto"/>
                <w:kern w:val="0"/>
                <w:sz w:val="21"/>
                <w:szCs w:val="21"/>
                <w:lang w:bidi="ar"/>
              </w:rPr>
              <w:t>COD、悬浮物、氨氮、总磷、总氮</w:t>
            </w:r>
            <w:r>
              <w:rPr>
                <w:rFonts w:hint="eastAsia"/>
                <w:color w:val="auto"/>
                <w:kern w:val="0"/>
                <w:sz w:val="21"/>
                <w:szCs w:val="21"/>
                <w:lang w:bidi="ar"/>
              </w:rPr>
              <w:t>、LAS、总铝、总锡、石油类</w:t>
            </w:r>
          </w:p>
        </w:tc>
        <w:tc>
          <w:tcPr>
            <w:tcW w:w="655" w:type="pct"/>
            <w:tcBorders>
              <w:tl2br w:val="nil"/>
              <w:tr2bl w:val="nil"/>
            </w:tcBorders>
            <w:shd w:val="clear" w:color="auto" w:fill="auto"/>
            <w:vAlign w:val="center"/>
          </w:tcPr>
          <w:p w14:paraId="6FE82A58">
            <w:pPr>
              <w:spacing w:line="240" w:lineRule="auto"/>
              <w:ind w:firstLine="0" w:firstLineChars="0"/>
              <w:jc w:val="center"/>
              <w:rPr>
                <w:color w:val="auto"/>
                <w:kern w:val="0"/>
                <w:sz w:val="21"/>
                <w:szCs w:val="21"/>
              </w:rPr>
            </w:pPr>
            <w:r>
              <w:rPr>
                <w:rFonts w:hint="eastAsia"/>
                <w:color w:val="auto"/>
                <w:kern w:val="0"/>
                <w:sz w:val="21"/>
                <w:szCs w:val="21"/>
              </w:rPr>
              <w:t>pH、总铝和总锡</w:t>
            </w:r>
          </w:p>
        </w:tc>
        <w:tc>
          <w:tcPr>
            <w:tcW w:w="655" w:type="pct"/>
            <w:tcBorders>
              <w:tl2br w:val="nil"/>
              <w:tr2bl w:val="nil"/>
            </w:tcBorders>
            <w:shd w:val="clear" w:color="auto" w:fill="auto"/>
            <w:vAlign w:val="center"/>
          </w:tcPr>
          <w:p w14:paraId="38AD6BF4">
            <w:pPr>
              <w:spacing w:line="240" w:lineRule="auto"/>
              <w:ind w:firstLine="0" w:firstLineChars="0"/>
              <w:jc w:val="center"/>
              <w:rPr>
                <w:color w:val="auto"/>
                <w:kern w:val="0"/>
                <w:sz w:val="21"/>
                <w:szCs w:val="21"/>
                <w:lang w:bidi="ar"/>
              </w:rPr>
            </w:pPr>
            <w:r>
              <w:rPr>
                <w:rFonts w:hint="eastAsia"/>
                <w:color w:val="auto"/>
                <w:kern w:val="0"/>
                <w:sz w:val="21"/>
                <w:szCs w:val="21"/>
                <w:lang w:bidi="ar"/>
              </w:rPr>
              <w:t>池体构筑物及管道破损泄漏</w:t>
            </w:r>
          </w:p>
        </w:tc>
      </w:tr>
      <w:tr w14:paraId="1B6EB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09" w:type="pct"/>
            <w:tcBorders>
              <w:tl2br w:val="nil"/>
              <w:tr2bl w:val="nil"/>
            </w:tcBorders>
            <w:shd w:val="clear" w:color="auto" w:fill="auto"/>
            <w:vAlign w:val="center"/>
          </w:tcPr>
          <w:p w14:paraId="2D4D587F">
            <w:pPr>
              <w:spacing w:line="240" w:lineRule="auto"/>
              <w:ind w:firstLine="0" w:firstLineChars="0"/>
              <w:jc w:val="center"/>
              <w:rPr>
                <w:color w:val="auto"/>
                <w:kern w:val="0"/>
                <w:sz w:val="21"/>
                <w:szCs w:val="21"/>
                <w:lang w:bidi="ar"/>
              </w:rPr>
            </w:pPr>
            <w:r>
              <w:rPr>
                <w:rFonts w:hint="eastAsia"/>
                <w:color w:val="auto"/>
                <w:kern w:val="0"/>
                <w:sz w:val="21"/>
                <w:szCs w:val="21"/>
                <w:lang w:bidi="ar"/>
              </w:rPr>
              <w:t>生产装置区</w:t>
            </w:r>
          </w:p>
        </w:tc>
        <w:tc>
          <w:tcPr>
            <w:tcW w:w="941" w:type="pct"/>
            <w:tcBorders>
              <w:tl2br w:val="nil"/>
              <w:tr2bl w:val="nil"/>
            </w:tcBorders>
            <w:shd w:val="clear" w:color="auto" w:fill="auto"/>
            <w:vAlign w:val="center"/>
          </w:tcPr>
          <w:p w14:paraId="0B48D5C9">
            <w:pPr>
              <w:spacing w:line="240" w:lineRule="auto"/>
              <w:ind w:firstLine="0" w:firstLineChars="0"/>
              <w:jc w:val="center"/>
              <w:rPr>
                <w:color w:val="auto"/>
                <w:kern w:val="0"/>
                <w:sz w:val="21"/>
                <w:szCs w:val="21"/>
                <w:lang w:bidi="ar"/>
              </w:rPr>
            </w:pPr>
            <w:r>
              <w:rPr>
                <w:rFonts w:hint="eastAsia"/>
                <w:color w:val="auto"/>
                <w:kern w:val="0"/>
                <w:sz w:val="21"/>
                <w:szCs w:val="21"/>
                <w:lang w:bidi="ar"/>
              </w:rPr>
              <w:t>阳极氧化生产线</w:t>
            </w:r>
          </w:p>
        </w:tc>
        <w:tc>
          <w:tcPr>
            <w:tcW w:w="697" w:type="pct"/>
            <w:tcBorders>
              <w:tl2br w:val="nil"/>
              <w:tr2bl w:val="nil"/>
            </w:tcBorders>
            <w:shd w:val="clear" w:color="auto" w:fill="auto"/>
            <w:vAlign w:val="center"/>
          </w:tcPr>
          <w:p w14:paraId="043E24BD">
            <w:pPr>
              <w:spacing w:line="240" w:lineRule="auto"/>
              <w:ind w:firstLine="0" w:firstLineChars="0"/>
              <w:jc w:val="center"/>
              <w:rPr>
                <w:color w:val="auto"/>
                <w:kern w:val="0"/>
                <w:sz w:val="21"/>
                <w:szCs w:val="21"/>
                <w:lang w:bidi="ar"/>
              </w:rPr>
            </w:pPr>
            <w:r>
              <w:rPr>
                <w:color w:val="auto"/>
                <w:kern w:val="0"/>
                <w:sz w:val="21"/>
                <w:szCs w:val="21"/>
                <w:lang w:bidi="ar"/>
              </w:rPr>
              <w:t>地面漫流、垂直入渗</w:t>
            </w:r>
          </w:p>
        </w:tc>
        <w:tc>
          <w:tcPr>
            <w:tcW w:w="1339" w:type="pct"/>
            <w:tcBorders>
              <w:tl2br w:val="nil"/>
              <w:tr2bl w:val="nil"/>
            </w:tcBorders>
            <w:shd w:val="clear" w:color="auto" w:fill="auto"/>
            <w:vAlign w:val="center"/>
          </w:tcPr>
          <w:p w14:paraId="5F141A49">
            <w:pPr>
              <w:spacing w:line="240" w:lineRule="auto"/>
              <w:ind w:firstLine="0" w:firstLineChars="0"/>
              <w:jc w:val="center"/>
              <w:rPr>
                <w:color w:val="auto"/>
                <w:kern w:val="0"/>
                <w:sz w:val="21"/>
                <w:szCs w:val="21"/>
                <w:lang w:bidi="ar"/>
              </w:rPr>
            </w:pPr>
            <w:r>
              <w:rPr>
                <w:rFonts w:hint="eastAsia"/>
                <w:color w:val="auto"/>
                <w:kern w:val="0"/>
                <w:sz w:val="21"/>
                <w:szCs w:val="21"/>
                <w:lang w:bidi="ar"/>
              </w:rPr>
              <w:t>pH、</w:t>
            </w:r>
            <w:r>
              <w:rPr>
                <w:rFonts w:hint="eastAsia"/>
                <w:color w:val="auto"/>
                <w:kern w:val="0"/>
                <w:sz w:val="21"/>
                <w:szCs w:val="21"/>
              </w:rPr>
              <w:t>总铝和总锡</w:t>
            </w:r>
          </w:p>
        </w:tc>
        <w:tc>
          <w:tcPr>
            <w:tcW w:w="655" w:type="pct"/>
            <w:tcBorders>
              <w:tl2br w:val="nil"/>
              <w:tr2bl w:val="nil"/>
            </w:tcBorders>
            <w:shd w:val="clear" w:color="auto" w:fill="auto"/>
            <w:vAlign w:val="center"/>
          </w:tcPr>
          <w:p w14:paraId="21414221">
            <w:pPr>
              <w:spacing w:line="240" w:lineRule="auto"/>
              <w:ind w:firstLine="0" w:firstLineChars="0"/>
              <w:jc w:val="center"/>
              <w:rPr>
                <w:color w:val="auto"/>
                <w:kern w:val="0"/>
                <w:sz w:val="21"/>
                <w:szCs w:val="21"/>
              </w:rPr>
            </w:pPr>
            <w:r>
              <w:rPr>
                <w:rFonts w:hint="eastAsia"/>
                <w:color w:val="auto"/>
                <w:kern w:val="0"/>
                <w:sz w:val="21"/>
                <w:szCs w:val="21"/>
                <w:lang w:bidi="ar"/>
              </w:rPr>
              <w:t>pH、</w:t>
            </w:r>
            <w:r>
              <w:rPr>
                <w:rFonts w:hint="eastAsia"/>
                <w:color w:val="auto"/>
                <w:kern w:val="0"/>
                <w:sz w:val="21"/>
                <w:szCs w:val="21"/>
              </w:rPr>
              <w:t>总铝和总锡</w:t>
            </w:r>
          </w:p>
        </w:tc>
        <w:tc>
          <w:tcPr>
            <w:tcW w:w="655" w:type="pct"/>
            <w:tcBorders>
              <w:tl2br w:val="nil"/>
              <w:tr2bl w:val="nil"/>
            </w:tcBorders>
            <w:shd w:val="clear" w:color="auto" w:fill="auto"/>
            <w:vAlign w:val="center"/>
          </w:tcPr>
          <w:p w14:paraId="5F92BD22">
            <w:pPr>
              <w:spacing w:line="240" w:lineRule="auto"/>
              <w:ind w:firstLine="0" w:firstLineChars="0"/>
              <w:jc w:val="center"/>
              <w:rPr>
                <w:color w:val="auto"/>
                <w:kern w:val="0"/>
                <w:sz w:val="21"/>
                <w:szCs w:val="21"/>
                <w:lang w:bidi="ar"/>
              </w:rPr>
            </w:pPr>
            <w:r>
              <w:rPr>
                <w:rFonts w:hint="eastAsia"/>
                <w:color w:val="auto"/>
                <w:kern w:val="0"/>
                <w:sz w:val="21"/>
                <w:szCs w:val="21"/>
                <w:lang w:bidi="ar"/>
              </w:rPr>
              <w:t>设备、管网破损等</w:t>
            </w:r>
          </w:p>
        </w:tc>
      </w:tr>
      <w:tr w14:paraId="417BD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09" w:type="pct"/>
            <w:tcBorders>
              <w:tl2br w:val="nil"/>
              <w:tr2bl w:val="nil"/>
            </w:tcBorders>
            <w:shd w:val="clear" w:color="auto" w:fill="auto"/>
            <w:vAlign w:val="center"/>
          </w:tcPr>
          <w:p w14:paraId="01636904">
            <w:pPr>
              <w:spacing w:line="240" w:lineRule="auto"/>
              <w:ind w:firstLine="0" w:firstLineChars="0"/>
              <w:jc w:val="center"/>
              <w:rPr>
                <w:color w:val="auto"/>
                <w:kern w:val="0"/>
                <w:sz w:val="21"/>
                <w:szCs w:val="21"/>
              </w:rPr>
            </w:pPr>
            <w:r>
              <w:rPr>
                <w:rFonts w:hint="eastAsia"/>
                <w:color w:val="auto"/>
                <w:kern w:val="0"/>
                <w:sz w:val="21"/>
                <w:szCs w:val="21"/>
              </w:rPr>
              <w:t>储罐区</w:t>
            </w:r>
          </w:p>
        </w:tc>
        <w:tc>
          <w:tcPr>
            <w:tcW w:w="941" w:type="pct"/>
            <w:tcBorders>
              <w:tl2br w:val="nil"/>
              <w:tr2bl w:val="nil"/>
            </w:tcBorders>
            <w:shd w:val="clear" w:color="auto" w:fill="auto"/>
            <w:vAlign w:val="center"/>
          </w:tcPr>
          <w:p w14:paraId="5DC06138">
            <w:pPr>
              <w:spacing w:line="240" w:lineRule="auto"/>
              <w:ind w:firstLine="0" w:firstLineChars="0"/>
              <w:jc w:val="center"/>
              <w:rPr>
                <w:color w:val="auto"/>
                <w:kern w:val="0"/>
                <w:sz w:val="21"/>
                <w:szCs w:val="21"/>
              </w:rPr>
            </w:pPr>
            <w:r>
              <w:rPr>
                <w:rFonts w:hint="eastAsia"/>
                <w:color w:val="auto"/>
                <w:kern w:val="0"/>
                <w:sz w:val="21"/>
                <w:szCs w:val="21"/>
              </w:rPr>
              <w:t>物料贮存</w:t>
            </w:r>
          </w:p>
        </w:tc>
        <w:tc>
          <w:tcPr>
            <w:tcW w:w="697" w:type="pct"/>
            <w:tcBorders>
              <w:tl2br w:val="nil"/>
              <w:tr2bl w:val="nil"/>
            </w:tcBorders>
            <w:shd w:val="clear" w:color="auto" w:fill="auto"/>
            <w:vAlign w:val="center"/>
          </w:tcPr>
          <w:p w14:paraId="385E85F9">
            <w:pPr>
              <w:spacing w:line="240" w:lineRule="auto"/>
              <w:ind w:firstLine="0" w:firstLineChars="0"/>
              <w:jc w:val="center"/>
              <w:rPr>
                <w:color w:val="auto"/>
                <w:kern w:val="0"/>
                <w:sz w:val="21"/>
                <w:szCs w:val="21"/>
              </w:rPr>
            </w:pPr>
            <w:r>
              <w:rPr>
                <w:color w:val="auto"/>
                <w:kern w:val="0"/>
                <w:sz w:val="21"/>
                <w:szCs w:val="21"/>
                <w:lang w:bidi="ar"/>
              </w:rPr>
              <w:t>地面漫流、垂直入渗</w:t>
            </w:r>
          </w:p>
        </w:tc>
        <w:tc>
          <w:tcPr>
            <w:tcW w:w="1339" w:type="pct"/>
            <w:tcBorders>
              <w:tl2br w:val="nil"/>
              <w:tr2bl w:val="nil"/>
            </w:tcBorders>
            <w:shd w:val="clear" w:color="auto" w:fill="auto"/>
            <w:vAlign w:val="center"/>
          </w:tcPr>
          <w:p w14:paraId="1D468497">
            <w:pPr>
              <w:spacing w:line="240" w:lineRule="auto"/>
              <w:ind w:firstLine="0" w:firstLineChars="0"/>
              <w:jc w:val="center"/>
              <w:rPr>
                <w:color w:val="auto"/>
                <w:kern w:val="0"/>
                <w:sz w:val="21"/>
                <w:szCs w:val="21"/>
              </w:rPr>
            </w:pPr>
            <w:r>
              <w:rPr>
                <w:rFonts w:hint="eastAsia"/>
                <w:color w:val="auto"/>
                <w:kern w:val="0"/>
                <w:sz w:val="21"/>
                <w:szCs w:val="21"/>
                <w:lang w:bidi="ar"/>
              </w:rPr>
              <w:t>pH</w:t>
            </w:r>
          </w:p>
        </w:tc>
        <w:tc>
          <w:tcPr>
            <w:tcW w:w="655" w:type="pct"/>
            <w:tcBorders>
              <w:tl2br w:val="nil"/>
              <w:tr2bl w:val="nil"/>
            </w:tcBorders>
            <w:shd w:val="clear" w:color="auto" w:fill="auto"/>
            <w:vAlign w:val="center"/>
          </w:tcPr>
          <w:p w14:paraId="3559543F">
            <w:pPr>
              <w:spacing w:line="240" w:lineRule="auto"/>
              <w:ind w:firstLine="0" w:firstLineChars="0"/>
              <w:jc w:val="center"/>
              <w:rPr>
                <w:color w:val="auto"/>
                <w:kern w:val="0"/>
                <w:sz w:val="21"/>
                <w:szCs w:val="21"/>
              </w:rPr>
            </w:pPr>
            <w:r>
              <w:rPr>
                <w:rFonts w:hint="eastAsia"/>
                <w:color w:val="auto"/>
                <w:kern w:val="0"/>
                <w:sz w:val="21"/>
                <w:szCs w:val="21"/>
                <w:lang w:bidi="ar"/>
              </w:rPr>
              <w:t>pH</w:t>
            </w:r>
          </w:p>
        </w:tc>
        <w:tc>
          <w:tcPr>
            <w:tcW w:w="655" w:type="pct"/>
            <w:tcBorders>
              <w:tl2br w:val="nil"/>
              <w:tr2bl w:val="nil"/>
            </w:tcBorders>
            <w:shd w:val="clear" w:color="auto" w:fill="auto"/>
            <w:vAlign w:val="center"/>
          </w:tcPr>
          <w:p w14:paraId="3F01C1FD">
            <w:pPr>
              <w:spacing w:line="240" w:lineRule="auto"/>
              <w:ind w:firstLine="0" w:firstLineChars="0"/>
              <w:jc w:val="center"/>
              <w:rPr>
                <w:color w:val="auto"/>
                <w:kern w:val="0"/>
                <w:sz w:val="21"/>
                <w:szCs w:val="21"/>
              </w:rPr>
            </w:pPr>
            <w:r>
              <w:rPr>
                <w:rFonts w:hint="eastAsia"/>
                <w:color w:val="auto"/>
                <w:kern w:val="0"/>
                <w:sz w:val="21"/>
                <w:szCs w:val="21"/>
              </w:rPr>
              <w:t>罐体破损泄漏等</w:t>
            </w:r>
          </w:p>
        </w:tc>
      </w:tr>
    </w:tbl>
    <w:p w14:paraId="47E2DD80">
      <w:pPr>
        <w:ind w:firstLine="482"/>
        <w:rPr>
          <w:b/>
          <w:color w:val="auto"/>
        </w:rPr>
      </w:pPr>
      <w:r>
        <w:rPr>
          <w:rFonts w:hint="eastAsia"/>
          <w:b/>
          <w:color w:val="auto"/>
        </w:rPr>
        <w:br w:type="page"/>
      </w:r>
    </w:p>
    <w:p w14:paraId="655852C3">
      <w:pPr>
        <w:spacing w:before="120" w:beforeLines="50"/>
        <w:ind w:firstLine="0" w:firstLineChars="0"/>
        <w:jc w:val="left"/>
        <w:outlineLvl w:val="3"/>
        <w:rPr>
          <w:b/>
          <w:color w:val="auto"/>
        </w:rPr>
      </w:pPr>
      <w:r>
        <w:rPr>
          <w:rFonts w:hint="eastAsia"/>
          <w:b/>
          <w:color w:val="auto"/>
        </w:rPr>
        <w:t>6</w:t>
      </w:r>
      <w:r>
        <w:rPr>
          <w:b/>
          <w:color w:val="auto"/>
        </w:rPr>
        <w:t>.2.6.</w:t>
      </w:r>
      <w:r>
        <w:rPr>
          <w:rFonts w:hint="eastAsia"/>
          <w:b/>
          <w:color w:val="auto"/>
        </w:rPr>
        <w:t>3</w:t>
      </w:r>
      <w:r>
        <w:rPr>
          <w:b/>
          <w:color w:val="auto"/>
        </w:rPr>
        <w:t xml:space="preserve"> 土壤环境影响</w:t>
      </w:r>
      <w:r>
        <w:rPr>
          <w:rFonts w:hint="eastAsia"/>
          <w:b/>
          <w:color w:val="auto"/>
        </w:rPr>
        <w:t>预测</w:t>
      </w:r>
    </w:p>
    <w:p w14:paraId="086BE5D3">
      <w:pPr>
        <w:pStyle w:val="1356"/>
        <w:ind w:firstLine="482"/>
        <w:rPr>
          <w:b/>
          <w:bCs/>
          <w:color w:val="auto"/>
        </w:rPr>
      </w:pPr>
      <w:r>
        <w:rPr>
          <w:rFonts w:hint="eastAsia"/>
          <w:b/>
          <w:bCs/>
          <w:color w:val="auto"/>
        </w:rPr>
        <w:t>1、废水地面径流对附近土壤的影响分析</w:t>
      </w:r>
    </w:p>
    <w:p w14:paraId="2E5C811B">
      <w:pPr>
        <w:pStyle w:val="1356"/>
        <w:ind w:firstLine="482"/>
        <w:rPr>
          <w:b/>
          <w:bCs/>
          <w:color w:val="auto"/>
        </w:rPr>
      </w:pPr>
      <w:r>
        <w:rPr>
          <w:rFonts w:hint="eastAsia"/>
          <w:b/>
          <w:bCs/>
          <w:color w:val="auto"/>
        </w:rPr>
        <w:t>（1）预测模式</w:t>
      </w:r>
    </w:p>
    <w:p w14:paraId="2DD1BE27">
      <w:pPr>
        <w:pStyle w:val="1356"/>
        <w:ind w:firstLine="480"/>
        <w:rPr>
          <w:color w:val="auto"/>
        </w:rPr>
      </w:pPr>
      <w:r>
        <w:rPr>
          <w:color w:val="auto"/>
        </w:rPr>
        <w:t>本项目为土壤污染影响型建设项目，评价工作等级为二级，本次评价选取《环境影响评价技术导则 土壤环境（试行）》</w:t>
      </w:r>
      <w:r>
        <w:rPr>
          <w:rFonts w:hint="eastAsia"/>
          <w:color w:val="auto"/>
        </w:rPr>
        <w:t>（</w:t>
      </w:r>
      <w:r>
        <w:rPr>
          <w:color w:val="auto"/>
        </w:rPr>
        <w:t>HJ964-2018</w:t>
      </w:r>
      <w:r>
        <w:rPr>
          <w:rFonts w:hint="eastAsia"/>
          <w:color w:val="auto"/>
        </w:rPr>
        <w:t>）</w:t>
      </w:r>
      <w:r>
        <w:rPr>
          <w:color w:val="auto"/>
        </w:rPr>
        <w:t>附录E推荐土壤环境影响预测方法一，类比地面漫流情况预测相关特征污染物在相应时间内在土壤环境的增量及预测值。具体方法如下：</w:t>
      </w:r>
    </w:p>
    <w:p w14:paraId="6278B3BC">
      <w:pPr>
        <w:pStyle w:val="1356"/>
        <w:ind w:firstLine="480"/>
        <w:rPr>
          <w:color w:val="auto"/>
        </w:rPr>
      </w:pPr>
      <w:r>
        <w:rPr>
          <w:color w:val="auto"/>
        </w:rPr>
        <w:t>a）单位质量土壤中某种物质的增量可用下式计算：</w:t>
      </w:r>
    </w:p>
    <w:p w14:paraId="4B941DC5">
      <w:pPr>
        <w:pStyle w:val="1356"/>
        <w:ind w:firstLine="0" w:firstLineChars="0"/>
        <w:jc w:val="center"/>
        <w:rPr>
          <w:color w:val="auto"/>
        </w:rPr>
      </w:pPr>
      <m:oMathPara>
        <m:oMath>
          <m:r>
            <m:rPr/>
            <w:rPr>
              <w:rFonts w:ascii="Cambria Math" w:hAnsi="Cambria Math"/>
              <w:color w:val="auto"/>
            </w:rPr>
            <m:t>∆S=n</m:t>
          </m:r>
          <m:d>
            <m:dPr>
              <m:ctrlPr>
                <w:rPr>
                  <w:rFonts w:ascii="Cambria Math" w:hAnsi="Cambria Math"/>
                  <w:i/>
                  <w:color w:val="auto"/>
                </w:rPr>
              </m:ctrlPr>
            </m:dPr>
            <m:e>
              <m:sSub>
                <m:sSubPr>
                  <m:ctrlPr>
                    <w:rPr>
                      <w:rFonts w:ascii="Cambria Math" w:hAnsi="Cambria Math"/>
                      <w:i/>
                      <w:color w:val="auto"/>
                    </w:rPr>
                  </m:ctrlPr>
                </m:sSubPr>
                <m:e>
                  <m:r>
                    <m:rPr/>
                    <w:rPr>
                      <w:rFonts w:ascii="Cambria Math" w:hAnsi="Cambria Math"/>
                      <w:color w:val="auto"/>
                    </w:rPr>
                    <m:t>I</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S</m:t>
                  </m:r>
                  <m:ctrlPr>
                    <w:rPr>
                      <w:rFonts w:ascii="Cambria Math" w:hAnsi="Cambria Math"/>
                      <w:i/>
                      <w:color w:val="auto"/>
                    </w:rPr>
                  </m:ctrlPr>
                </m:sub>
              </m:sSub>
              <m:ctrlPr>
                <w:rPr>
                  <w:rFonts w:ascii="Cambria Math" w:hAnsi="Cambria Math"/>
                  <w:i/>
                  <w:color w:val="auto"/>
                </w:rPr>
              </m:ctrlPr>
            </m:e>
          </m:d>
          <m:r>
            <m:rPr/>
            <w:rPr>
              <w:rFonts w:ascii="Cambria Math" w:hAnsi="Cambria Math"/>
              <w:color w:val="auto"/>
            </w:rPr>
            <m:t>/</m:t>
          </m:r>
          <m:d>
            <m:dPr>
              <m:ctrlPr>
                <w:rPr>
                  <w:rFonts w:ascii="Cambria Math" w:hAnsi="Cambria Math"/>
                  <w:i/>
                  <w:color w:val="auto"/>
                </w:rPr>
              </m:ctrlPr>
            </m:dPr>
            <m:e>
              <m:sSub>
                <m:sSubPr>
                  <m:ctrlPr>
                    <w:rPr>
                      <w:rFonts w:ascii="Cambria Math" w:hAnsi="Cambria Math"/>
                      <w:i/>
                      <w:color w:val="auto"/>
                    </w:rPr>
                  </m:ctrlPr>
                </m:sSubPr>
                <m:e>
                  <m:r>
                    <m:rPr/>
                    <w:rPr>
                      <w:rFonts w:ascii="Cambria Math" w:hAnsi="Cambria Math"/>
                      <w:color w:val="auto"/>
                    </w:rPr>
                    <m:t>ρ</m:t>
                  </m:r>
                  <m:ctrlPr>
                    <w:rPr>
                      <w:rFonts w:ascii="Cambria Math" w:hAnsi="Cambria Math"/>
                      <w:i/>
                      <w:color w:val="auto"/>
                    </w:rPr>
                  </m:ctrlPr>
                </m:e>
                <m:sub>
                  <m:r>
                    <m:rPr/>
                    <w:rPr>
                      <w:rFonts w:ascii="Cambria Math" w:hAnsi="Cambria Math"/>
                      <w:color w:val="auto"/>
                    </w:rPr>
                    <m:t>b</m:t>
                  </m:r>
                  <m:ctrlPr>
                    <w:rPr>
                      <w:rFonts w:ascii="Cambria Math" w:hAnsi="Cambria Math"/>
                      <w:i/>
                      <w:color w:val="auto"/>
                    </w:rPr>
                  </m:ctrlPr>
                </m:sub>
              </m:sSub>
              <m:r>
                <m:rPr/>
                <w:rPr>
                  <w:rFonts w:ascii="Cambria Math" w:hAnsi="Cambria Math"/>
                  <w:color w:val="auto"/>
                </w:rPr>
                <m:t>×A×D</m:t>
              </m:r>
              <m:ctrlPr>
                <w:rPr>
                  <w:rFonts w:ascii="Cambria Math" w:hAnsi="Cambria Math"/>
                  <w:i/>
                  <w:color w:val="auto"/>
                </w:rPr>
              </m:ctrlPr>
            </m:e>
          </m:d>
        </m:oMath>
      </m:oMathPara>
    </w:p>
    <w:p w14:paraId="0C46ECAE">
      <w:pPr>
        <w:pStyle w:val="1356"/>
        <w:ind w:firstLine="480"/>
        <w:rPr>
          <w:color w:val="auto"/>
        </w:rPr>
      </w:pPr>
      <w:r>
        <w:rPr>
          <w:i/>
          <w:iCs/>
          <w:color w:val="auto"/>
        </w:rPr>
        <w:t>ΔS</w:t>
      </w:r>
      <w:r>
        <w:rPr>
          <w:color w:val="auto"/>
        </w:rPr>
        <w:t>——单位质量表层土壤中某种物质的增量，g/kg；</w:t>
      </w:r>
    </w:p>
    <w:p w14:paraId="17F28816">
      <w:pPr>
        <w:pStyle w:val="1356"/>
        <w:ind w:firstLine="1320" w:firstLineChars="550"/>
        <w:rPr>
          <w:color w:val="auto"/>
        </w:rPr>
      </w:pPr>
      <w:r>
        <w:rPr>
          <w:color w:val="auto"/>
        </w:rPr>
        <w:t>表层土壤中游离酸或游离碱浓度增量，mmol/kg；</w:t>
      </w:r>
    </w:p>
    <w:p w14:paraId="4E5B624C">
      <w:pPr>
        <w:pStyle w:val="1356"/>
        <w:ind w:firstLine="480"/>
        <w:rPr>
          <w:color w:val="auto"/>
        </w:rPr>
      </w:pPr>
      <w:r>
        <w:rPr>
          <w:i/>
          <w:iCs/>
          <w:color w:val="auto"/>
        </w:rPr>
        <w:t>I</w:t>
      </w:r>
      <w:r>
        <w:rPr>
          <w:i/>
          <w:iCs/>
          <w:color w:val="auto"/>
          <w:vertAlign w:val="subscript"/>
        </w:rPr>
        <w:t>S</w:t>
      </w:r>
      <w:r>
        <w:rPr>
          <w:color w:val="auto"/>
        </w:rPr>
        <w:t>——预测评价范围内单位年份表层土壤中某种物质的输入量，g；</w:t>
      </w:r>
    </w:p>
    <w:p w14:paraId="22D6E131">
      <w:pPr>
        <w:pStyle w:val="1356"/>
        <w:ind w:firstLine="1320" w:firstLineChars="550"/>
        <w:rPr>
          <w:color w:val="auto"/>
        </w:rPr>
      </w:pPr>
      <w:r>
        <w:rPr>
          <w:color w:val="auto"/>
        </w:rPr>
        <w:t>预测评价范围内单位年份表层土壤中游离酸、游离碱输入量，mmol；</w:t>
      </w:r>
    </w:p>
    <w:p w14:paraId="2889D7A3">
      <w:pPr>
        <w:pStyle w:val="1356"/>
        <w:ind w:firstLine="480"/>
        <w:rPr>
          <w:color w:val="auto"/>
        </w:rPr>
      </w:pPr>
      <w:r>
        <w:rPr>
          <w:i/>
          <w:iCs/>
          <w:color w:val="auto"/>
        </w:rPr>
        <w:t>L</w:t>
      </w:r>
      <w:r>
        <w:rPr>
          <w:i/>
          <w:iCs/>
          <w:color w:val="auto"/>
          <w:vertAlign w:val="subscript"/>
        </w:rPr>
        <w:t>S</w:t>
      </w:r>
      <w:r>
        <w:rPr>
          <w:color w:val="auto"/>
        </w:rPr>
        <w:t>——预测评价范围内单位年份表层土壤中某种物质经淋溶排出的量，g；</w:t>
      </w:r>
    </w:p>
    <w:p w14:paraId="4B2262F4">
      <w:pPr>
        <w:pStyle w:val="1356"/>
        <w:ind w:firstLine="1320" w:firstLineChars="550"/>
        <w:rPr>
          <w:color w:val="auto"/>
        </w:rPr>
      </w:pPr>
      <w:r>
        <w:rPr>
          <w:color w:val="auto"/>
        </w:rPr>
        <w:t>预测评价范围内单位年份表层土壤中经淋溶排出的游离酸、游离碱的量，mmol；</w:t>
      </w:r>
    </w:p>
    <w:p w14:paraId="013B0336">
      <w:pPr>
        <w:pStyle w:val="1356"/>
        <w:ind w:firstLine="480"/>
        <w:rPr>
          <w:color w:val="auto"/>
        </w:rPr>
      </w:pPr>
      <w:r>
        <w:rPr>
          <w:i/>
          <w:iCs/>
          <w:color w:val="auto"/>
        </w:rPr>
        <w:t>R</w:t>
      </w:r>
      <w:r>
        <w:rPr>
          <w:i/>
          <w:iCs/>
          <w:color w:val="auto"/>
          <w:vertAlign w:val="subscript"/>
        </w:rPr>
        <w:t>S</w:t>
      </w:r>
      <w:r>
        <w:rPr>
          <w:color w:val="auto"/>
        </w:rPr>
        <w:t>——预测评价范围内单位年份表层土壤中某种物质经径流排出的量，g；</w:t>
      </w:r>
    </w:p>
    <w:p w14:paraId="4FF6D68E">
      <w:pPr>
        <w:pStyle w:val="1356"/>
        <w:ind w:firstLine="1320" w:firstLineChars="550"/>
        <w:rPr>
          <w:color w:val="auto"/>
        </w:rPr>
      </w:pPr>
      <w:r>
        <w:rPr>
          <w:color w:val="auto"/>
        </w:rPr>
        <w:t>预测评价范围内单位年份表层土壤中经径流排出的游离酸、游离碱的量，mmol；</w:t>
      </w:r>
    </w:p>
    <w:p w14:paraId="4B91D84F">
      <w:pPr>
        <w:pStyle w:val="1356"/>
        <w:ind w:firstLine="480"/>
        <w:rPr>
          <w:color w:val="auto"/>
        </w:rPr>
      </w:pPr>
      <w:r>
        <w:rPr>
          <w:i/>
          <w:iCs/>
          <w:color w:val="auto"/>
        </w:rPr>
        <w:t>ρ</w:t>
      </w:r>
      <w:r>
        <w:rPr>
          <w:i/>
          <w:iCs/>
          <w:color w:val="auto"/>
          <w:vertAlign w:val="subscript"/>
        </w:rPr>
        <w:t>b</w:t>
      </w:r>
      <w:r>
        <w:rPr>
          <w:color w:val="auto"/>
        </w:rPr>
        <w:t>——表层土壤容重，kg/m</w:t>
      </w:r>
      <w:r>
        <w:rPr>
          <w:color w:val="auto"/>
          <w:vertAlign w:val="superscript"/>
        </w:rPr>
        <w:t>3</w:t>
      </w:r>
      <w:r>
        <w:rPr>
          <w:color w:val="auto"/>
        </w:rPr>
        <w:t>；</w:t>
      </w:r>
    </w:p>
    <w:p w14:paraId="35242205">
      <w:pPr>
        <w:pStyle w:val="1356"/>
        <w:ind w:firstLine="480"/>
        <w:rPr>
          <w:color w:val="auto"/>
        </w:rPr>
      </w:pPr>
      <w:r>
        <w:rPr>
          <w:i/>
          <w:iCs/>
          <w:color w:val="auto"/>
        </w:rPr>
        <w:t>A</w:t>
      </w:r>
      <w:r>
        <w:rPr>
          <w:color w:val="auto"/>
        </w:rPr>
        <w:t>——预测评价范围，m</w:t>
      </w:r>
      <w:r>
        <w:rPr>
          <w:color w:val="auto"/>
          <w:vertAlign w:val="superscript"/>
        </w:rPr>
        <w:t>2</w:t>
      </w:r>
      <w:r>
        <w:rPr>
          <w:color w:val="auto"/>
        </w:rPr>
        <w:t>；</w:t>
      </w:r>
    </w:p>
    <w:p w14:paraId="4639F30E">
      <w:pPr>
        <w:pStyle w:val="1356"/>
        <w:ind w:firstLine="480"/>
        <w:rPr>
          <w:color w:val="auto"/>
        </w:rPr>
      </w:pPr>
      <w:r>
        <w:rPr>
          <w:i/>
          <w:iCs/>
          <w:color w:val="auto"/>
        </w:rPr>
        <w:t>D</w:t>
      </w:r>
      <w:r>
        <w:rPr>
          <w:color w:val="auto"/>
        </w:rPr>
        <w:t>——表层土壤深度，一般取0.2m，可根据实际情况适当调整；</w:t>
      </w:r>
    </w:p>
    <w:p w14:paraId="382E46BD">
      <w:pPr>
        <w:pStyle w:val="1356"/>
        <w:ind w:firstLine="480"/>
        <w:rPr>
          <w:color w:val="auto"/>
        </w:rPr>
      </w:pPr>
      <w:r>
        <w:rPr>
          <w:i/>
          <w:iCs/>
          <w:color w:val="auto"/>
        </w:rPr>
        <w:t>n</w:t>
      </w:r>
      <w:r>
        <w:rPr>
          <w:color w:val="auto"/>
        </w:rPr>
        <w:t>——持续年份，a。</w:t>
      </w:r>
    </w:p>
    <w:p w14:paraId="625C94A7">
      <w:pPr>
        <w:pStyle w:val="1356"/>
        <w:ind w:firstLine="480"/>
        <w:rPr>
          <w:color w:val="auto"/>
        </w:rPr>
      </w:pPr>
      <w:r>
        <w:rPr>
          <w:rFonts w:hint="eastAsia"/>
          <w:color w:val="auto"/>
        </w:rPr>
        <w:t>b）酸性物质或碱性物质排放后表层土壤pH预测值，可根据表层土壤游离酸或游离碱浓度的增量计算：</w:t>
      </w:r>
    </w:p>
    <w:p w14:paraId="14BFBC43">
      <w:pPr>
        <w:widowControl/>
        <w:spacing w:line="500" w:lineRule="exact"/>
        <w:ind w:firstLine="480"/>
        <w:jc w:val="center"/>
        <w:rPr>
          <w:rFonts w:eastAsia="仿宋_GB2312"/>
          <w:color w:val="auto"/>
          <w:kern w:val="0"/>
        </w:rPr>
      </w:pPr>
      <w:r>
        <w:rPr>
          <w:rFonts w:eastAsia="仿宋_GB2312"/>
          <w:color w:val="auto"/>
          <w:kern w:val="0"/>
        </w:rPr>
        <w:t>pH=pH</w:t>
      </w:r>
      <w:r>
        <w:rPr>
          <w:rFonts w:eastAsia="仿宋_GB2312"/>
          <w:color w:val="auto"/>
          <w:kern w:val="0"/>
          <w:vertAlign w:val="subscript"/>
        </w:rPr>
        <w:t>b</w:t>
      </w:r>
      <w:r>
        <w:rPr>
          <w:rFonts w:eastAsia="仿宋_GB2312"/>
          <w:color w:val="auto"/>
          <w:kern w:val="0"/>
        </w:rPr>
        <w:t>±Δ</w:t>
      </w:r>
      <w:r>
        <w:rPr>
          <w:rFonts w:ascii="Cambria Math" w:hAnsi="Cambria Math" w:eastAsia="仿宋_GB2312" w:cs="Cambria Math"/>
          <w:color w:val="auto"/>
          <w:kern w:val="0"/>
        </w:rPr>
        <w:t>𝑆</w:t>
      </w:r>
      <w:r>
        <w:rPr>
          <w:rFonts w:eastAsia="仿宋_GB2312"/>
          <w:color w:val="auto"/>
          <w:kern w:val="0"/>
        </w:rPr>
        <w:t>/BC</w:t>
      </w:r>
      <w:r>
        <w:rPr>
          <w:rFonts w:eastAsia="仿宋_GB2312"/>
          <w:color w:val="auto"/>
          <w:kern w:val="0"/>
          <w:vertAlign w:val="subscript"/>
        </w:rPr>
        <w:t>pH</w:t>
      </w:r>
    </w:p>
    <w:p w14:paraId="1AA617E8">
      <w:pPr>
        <w:widowControl/>
        <w:ind w:firstLine="480"/>
        <w:rPr>
          <w:color w:val="auto"/>
          <w:kern w:val="0"/>
        </w:rPr>
      </w:pPr>
      <w:r>
        <w:rPr>
          <w:color w:val="auto"/>
          <w:kern w:val="0"/>
        </w:rPr>
        <w:t>式中：</w:t>
      </w:r>
    </w:p>
    <w:p w14:paraId="70EFD048">
      <w:pPr>
        <w:widowControl/>
        <w:ind w:firstLine="720" w:firstLineChars="300"/>
        <w:rPr>
          <w:color w:val="auto"/>
          <w:kern w:val="0"/>
        </w:rPr>
      </w:pPr>
      <w:r>
        <w:rPr>
          <w:color w:val="auto"/>
          <w:kern w:val="0"/>
        </w:rPr>
        <w:t>pH</w:t>
      </w:r>
      <w:r>
        <w:rPr>
          <w:color w:val="auto"/>
          <w:kern w:val="0"/>
          <w:vertAlign w:val="subscript"/>
        </w:rPr>
        <w:t>b</w:t>
      </w:r>
      <w:r>
        <w:rPr>
          <w:color w:val="auto"/>
          <w:kern w:val="0"/>
        </w:rPr>
        <w:t>—土壤pH现状值。</w:t>
      </w:r>
    </w:p>
    <w:p w14:paraId="3B16526B">
      <w:pPr>
        <w:widowControl/>
        <w:ind w:firstLine="720" w:firstLineChars="300"/>
        <w:rPr>
          <w:color w:val="auto"/>
          <w:kern w:val="0"/>
        </w:rPr>
      </w:pPr>
      <w:r>
        <w:rPr>
          <w:color w:val="auto"/>
          <w:kern w:val="0"/>
        </w:rPr>
        <w:t>BC</w:t>
      </w:r>
      <w:r>
        <w:rPr>
          <w:color w:val="auto"/>
          <w:kern w:val="0"/>
          <w:vertAlign w:val="subscript"/>
        </w:rPr>
        <w:t>pH</w:t>
      </w:r>
      <w:r>
        <w:rPr>
          <w:color w:val="auto"/>
          <w:kern w:val="0"/>
        </w:rPr>
        <w:t xml:space="preserve"> —缓冲容量，mmol/（kgpH），参考《几种类型土壤对碱的缓冲作用及其影响因素研究》，不同类型土壤BC</w:t>
      </w:r>
      <w:r>
        <w:rPr>
          <w:color w:val="auto"/>
          <w:kern w:val="0"/>
          <w:vertAlign w:val="subscript"/>
        </w:rPr>
        <w:t>pH</w:t>
      </w:r>
      <w:r>
        <w:rPr>
          <w:color w:val="auto"/>
          <w:kern w:val="0"/>
        </w:rPr>
        <w:t>97.4~125.7mmol/（kgpH），本报告取100mmol/（kgpH）；</w:t>
      </w:r>
    </w:p>
    <w:p w14:paraId="62649AE0">
      <w:pPr>
        <w:widowControl/>
        <w:ind w:firstLine="720" w:firstLineChars="300"/>
        <w:rPr>
          <w:color w:val="auto"/>
          <w:kern w:val="0"/>
        </w:rPr>
      </w:pPr>
      <w:r>
        <w:rPr>
          <w:color w:val="auto"/>
          <w:kern w:val="0"/>
        </w:rPr>
        <w:t>pH —土壤pH预测值；</w:t>
      </w:r>
    </w:p>
    <w:p w14:paraId="48967292">
      <w:pPr>
        <w:widowControl/>
        <w:spacing w:line="240" w:lineRule="auto"/>
        <w:ind w:firstLine="482"/>
        <w:jc w:val="center"/>
        <w:rPr>
          <w:color w:val="auto"/>
        </w:rPr>
      </w:pPr>
      <w:r>
        <w:rPr>
          <w:b/>
          <w:color w:val="auto"/>
          <w:kern w:val="0"/>
        </w:rPr>
        <w:t>表6.2.6-3  不同年份土壤中污染物累积量</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924"/>
        <w:gridCol w:w="1257"/>
        <w:gridCol w:w="1343"/>
        <w:gridCol w:w="1680"/>
        <w:gridCol w:w="3363"/>
      </w:tblGrid>
      <w:tr w14:paraId="35EBB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444" w:type="pct"/>
            <w:tcBorders>
              <w:tl2br w:val="nil"/>
              <w:tr2bl w:val="nil"/>
            </w:tcBorders>
            <w:shd w:val="clear" w:color="auto" w:fill="auto"/>
            <w:vAlign w:val="center"/>
          </w:tcPr>
          <w:p w14:paraId="4EB613CB">
            <w:pPr>
              <w:widowControl/>
              <w:spacing w:line="240" w:lineRule="auto"/>
              <w:ind w:firstLine="0" w:firstLineChars="0"/>
              <w:jc w:val="center"/>
              <w:rPr>
                <w:b/>
                <w:color w:val="auto"/>
                <w:sz w:val="21"/>
                <w:szCs w:val="21"/>
              </w:rPr>
            </w:pPr>
            <w:r>
              <w:rPr>
                <w:b/>
                <w:color w:val="auto"/>
                <w:kern w:val="0"/>
                <w:sz w:val="21"/>
                <w:szCs w:val="21"/>
              </w:rPr>
              <w:t>污染物</w:t>
            </w:r>
          </w:p>
        </w:tc>
        <w:tc>
          <w:tcPr>
            <w:tcW w:w="491" w:type="pct"/>
            <w:tcBorders>
              <w:tl2br w:val="nil"/>
              <w:tr2bl w:val="nil"/>
            </w:tcBorders>
            <w:shd w:val="clear" w:color="auto" w:fill="auto"/>
            <w:vAlign w:val="center"/>
          </w:tcPr>
          <w:p w14:paraId="3A223AE6">
            <w:pPr>
              <w:widowControl/>
              <w:spacing w:line="240" w:lineRule="auto"/>
              <w:ind w:firstLine="0" w:firstLineChars="0"/>
              <w:jc w:val="center"/>
              <w:rPr>
                <w:b/>
                <w:color w:val="auto"/>
                <w:sz w:val="21"/>
                <w:szCs w:val="21"/>
              </w:rPr>
            </w:pPr>
            <w:r>
              <w:rPr>
                <w:b/>
                <w:color w:val="auto"/>
                <w:kern w:val="0"/>
                <w:sz w:val="21"/>
                <w:szCs w:val="21"/>
              </w:rPr>
              <w:t>点位</w:t>
            </w:r>
          </w:p>
        </w:tc>
        <w:tc>
          <w:tcPr>
            <w:tcW w:w="668" w:type="pct"/>
            <w:tcBorders>
              <w:tl2br w:val="nil"/>
              <w:tr2bl w:val="nil"/>
            </w:tcBorders>
            <w:shd w:val="clear" w:color="auto" w:fill="auto"/>
            <w:vAlign w:val="center"/>
          </w:tcPr>
          <w:p w14:paraId="4E3A4F76">
            <w:pPr>
              <w:widowControl/>
              <w:spacing w:line="240" w:lineRule="auto"/>
              <w:ind w:firstLine="0" w:firstLineChars="0"/>
              <w:jc w:val="center"/>
              <w:rPr>
                <w:b/>
                <w:color w:val="auto"/>
                <w:sz w:val="21"/>
                <w:szCs w:val="21"/>
              </w:rPr>
            </w:pPr>
            <w:r>
              <w:rPr>
                <w:b/>
                <w:color w:val="auto"/>
                <w:kern w:val="0"/>
                <w:sz w:val="21"/>
                <w:szCs w:val="21"/>
              </w:rPr>
              <w:t>土壤现状监测值</w:t>
            </w:r>
          </w:p>
        </w:tc>
        <w:tc>
          <w:tcPr>
            <w:tcW w:w="1607" w:type="pct"/>
            <w:gridSpan w:val="2"/>
            <w:tcBorders>
              <w:tl2br w:val="nil"/>
              <w:tr2bl w:val="nil"/>
            </w:tcBorders>
            <w:shd w:val="clear" w:color="auto" w:fill="auto"/>
            <w:vAlign w:val="center"/>
          </w:tcPr>
          <w:p w14:paraId="2E074DC4">
            <w:pPr>
              <w:widowControl/>
              <w:spacing w:line="240" w:lineRule="auto"/>
              <w:ind w:firstLine="0" w:firstLineChars="0"/>
              <w:jc w:val="center"/>
              <w:rPr>
                <w:b/>
                <w:color w:val="auto"/>
                <w:kern w:val="0"/>
                <w:sz w:val="21"/>
                <w:szCs w:val="21"/>
              </w:rPr>
            </w:pPr>
            <w:r>
              <w:rPr>
                <w:b/>
                <w:color w:val="auto"/>
                <w:kern w:val="0"/>
                <w:sz w:val="21"/>
                <w:szCs w:val="21"/>
              </w:rPr>
              <w:t>叠加现状累积量</w:t>
            </w:r>
          </w:p>
        </w:tc>
        <w:tc>
          <w:tcPr>
            <w:tcW w:w="1788" w:type="pct"/>
            <w:tcBorders>
              <w:tl2br w:val="nil"/>
              <w:tr2bl w:val="nil"/>
            </w:tcBorders>
            <w:shd w:val="clear" w:color="auto" w:fill="auto"/>
            <w:vAlign w:val="center"/>
          </w:tcPr>
          <w:p w14:paraId="693F2142">
            <w:pPr>
              <w:widowControl/>
              <w:spacing w:line="240" w:lineRule="auto"/>
              <w:ind w:firstLine="0" w:firstLineChars="0"/>
              <w:jc w:val="center"/>
              <w:rPr>
                <w:b/>
                <w:color w:val="auto"/>
                <w:kern w:val="0"/>
                <w:sz w:val="21"/>
                <w:szCs w:val="21"/>
              </w:rPr>
            </w:pPr>
            <w:r>
              <w:rPr>
                <w:b/>
                <w:color w:val="auto"/>
                <w:kern w:val="0"/>
                <w:sz w:val="21"/>
                <w:szCs w:val="21"/>
              </w:rPr>
              <w:t>HJ964-2018</w:t>
            </w:r>
          </w:p>
        </w:tc>
      </w:tr>
      <w:tr w14:paraId="37194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restart"/>
            <w:tcBorders>
              <w:tl2br w:val="nil"/>
              <w:tr2bl w:val="nil"/>
            </w:tcBorders>
            <w:shd w:val="clear" w:color="auto" w:fill="auto"/>
            <w:vAlign w:val="center"/>
          </w:tcPr>
          <w:p w14:paraId="2FFD4F01">
            <w:pPr>
              <w:widowControl/>
              <w:spacing w:line="240" w:lineRule="auto"/>
              <w:ind w:firstLine="0" w:firstLineChars="0"/>
              <w:jc w:val="center"/>
              <w:rPr>
                <w:color w:val="auto"/>
                <w:sz w:val="21"/>
                <w:szCs w:val="21"/>
              </w:rPr>
            </w:pPr>
            <w:r>
              <w:rPr>
                <w:color w:val="auto"/>
                <w:sz w:val="21"/>
                <w:szCs w:val="21"/>
              </w:rPr>
              <w:t>硫酸</w:t>
            </w:r>
          </w:p>
        </w:tc>
        <w:tc>
          <w:tcPr>
            <w:tcW w:w="491" w:type="pct"/>
            <w:vMerge w:val="restart"/>
            <w:tcBorders>
              <w:tl2br w:val="nil"/>
              <w:tr2bl w:val="nil"/>
            </w:tcBorders>
            <w:shd w:val="clear" w:color="auto" w:fill="auto"/>
            <w:vAlign w:val="center"/>
          </w:tcPr>
          <w:p w14:paraId="23CCA066">
            <w:pPr>
              <w:widowControl/>
              <w:spacing w:line="240" w:lineRule="auto"/>
              <w:ind w:firstLine="0" w:firstLineChars="0"/>
              <w:jc w:val="center"/>
              <w:rPr>
                <w:color w:val="auto"/>
                <w:sz w:val="21"/>
                <w:szCs w:val="21"/>
              </w:rPr>
            </w:pPr>
            <w:r>
              <w:rPr>
                <w:color w:val="auto"/>
                <w:kern w:val="0"/>
                <w:sz w:val="21"/>
                <w:szCs w:val="21"/>
              </w:rPr>
              <w:t>T1</w:t>
            </w:r>
          </w:p>
        </w:tc>
        <w:tc>
          <w:tcPr>
            <w:tcW w:w="668" w:type="pct"/>
            <w:vMerge w:val="restart"/>
            <w:tcBorders>
              <w:tl2br w:val="nil"/>
              <w:tr2bl w:val="nil"/>
            </w:tcBorders>
            <w:shd w:val="clear" w:color="auto" w:fill="auto"/>
            <w:vAlign w:val="center"/>
          </w:tcPr>
          <w:p w14:paraId="7C322405">
            <w:pPr>
              <w:widowControl/>
              <w:spacing w:line="240" w:lineRule="auto"/>
              <w:ind w:firstLine="0" w:firstLineChars="0"/>
              <w:jc w:val="center"/>
              <w:rPr>
                <w:color w:val="auto"/>
                <w:sz w:val="21"/>
                <w:szCs w:val="21"/>
              </w:rPr>
            </w:pPr>
            <w:r>
              <w:rPr>
                <w:color w:val="auto"/>
                <w:sz w:val="21"/>
                <w:szCs w:val="21"/>
              </w:rPr>
              <w:t>7.</w:t>
            </w:r>
            <w:r>
              <w:rPr>
                <w:rFonts w:hint="eastAsia"/>
                <w:color w:val="auto"/>
                <w:sz w:val="21"/>
                <w:szCs w:val="21"/>
              </w:rPr>
              <w:t>49</w:t>
            </w:r>
          </w:p>
        </w:tc>
        <w:tc>
          <w:tcPr>
            <w:tcW w:w="714" w:type="pct"/>
            <w:tcBorders>
              <w:tl2br w:val="nil"/>
              <w:tr2bl w:val="nil"/>
            </w:tcBorders>
            <w:shd w:val="clear" w:color="auto" w:fill="auto"/>
            <w:vAlign w:val="center"/>
          </w:tcPr>
          <w:p w14:paraId="2A9CD226">
            <w:pPr>
              <w:widowControl/>
              <w:spacing w:line="240" w:lineRule="auto"/>
              <w:ind w:firstLine="0" w:firstLineChars="0"/>
              <w:jc w:val="center"/>
              <w:rPr>
                <w:color w:val="auto"/>
                <w:sz w:val="21"/>
                <w:szCs w:val="21"/>
              </w:rPr>
            </w:pPr>
            <w:r>
              <w:rPr>
                <w:color w:val="auto"/>
                <w:sz w:val="21"/>
                <w:szCs w:val="21"/>
              </w:rPr>
              <w:t>1年</w:t>
            </w:r>
          </w:p>
        </w:tc>
        <w:tc>
          <w:tcPr>
            <w:tcW w:w="893" w:type="pct"/>
            <w:tcBorders>
              <w:tl2br w:val="nil"/>
              <w:tr2bl w:val="nil"/>
            </w:tcBorders>
            <w:shd w:val="clear" w:color="auto" w:fill="auto"/>
            <w:vAlign w:val="bottom"/>
          </w:tcPr>
          <w:p w14:paraId="5D36B8DF">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6.95</w:t>
            </w:r>
          </w:p>
        </w:tc>
        <w:tc>
          <w:tcPr>
            <w:tcW w:w="1788" w:type="pct"/>
            <w:vMerge w:val="restart"/>
            <w:tcBorders>
              <w:tl2br w:val="nil"/>
              <w:tr2bl w:val="nil"/>
            </w:tcBorders>
            <w:shd w:val="clear" w:color="auto" w:fill="auto"/>
            <w:vAlign w:val="center"/>
          </w:tcPr>
          <w:p w14:paraId="175F1E47">
            <w:pPr>
              <w:widowControl/>
              <w:spacing w:line="240" w:lineRule="auto"/>
              <w:ind w:firstLine="0" w:firstLineChars="0"/>
              <w:jc w:val="center"/>
              <w:rPr>
                <w:rStyle w:val="1075"/>
                <w:color w:val="auto"/>
                <w:sz w:val="21"/>
                <w:szCs w:val="21"/>
              </w:rPr>
            </w:pPr>
            <w:r>
              <w:rPr>
                <w:rStyle w:val="1075"/>
                <w:color w:val="auto"/>
                <w:sz w:val="21"/>
                <w:szCs w:val="21"/>
              </w:rPr>
              <w:t>表D.2 土壤酸化、碱化分级标准</w:t>
            </w:r>
          </w:p>
        </w:tc>
      </w:tr>
      <w:tr w14:paraId="0C295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5FAF01F5">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57EB0FB6">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6FC68EAF">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2F5CBA0C">
            <w:pPr>
              <w:widowControl/>
              <w:spacing w:line="240" w:lineRule="auto"/>
              <w:ind w:firstLine="0" w:firstLineChars="0"/>
              <w:jc w:val="center"/>
              <w:rPr>
                <w:color w:val="auto"/>
                <w:sz w:val="21"/>
                <w:szCs w:val="21"/>
              </w:rPr>
            </w:pPr>
            <w:r>
              <w:rPr>
                <w:color w:val="auto"/>
                <w:sz w:val="21"/>
                <w:szCs w:val="21"/>
              </w:rPr>
              <w:t>2年</w:t>
            </w:r>
          </w:p>
        </w:tc>
        <w:tc>
          <w:tcPr>
            <w:tcW w:w="893" w:type="pct"/>
            <w:tcBorders>
              <w:tl2br w:val="nil"/>
              <w:tr2bl w:val="nil"/>
            </w:tcBorders>
            <w:shd w:val="clear" w:color="auto" w:fill="auto"/>
            <w:vAlign w:val="bottom"/>
          </w:tcPr>
          <w:p w14:paraId="135A3C8C">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6.68</w:t>
            </w:r>
          </w:p>
        </w:tc>
        <w:tc>
          <w:tcPr>
            <w:tcW w:w="1788" w:type="pct"/>
            <w:vMerge w:val="continue"/>
            <w:tcBorders>
              <w:tl2br w:val="nil"/>
              <w:tr2bl w:val="nil"/>
            </w:tcBorders>
            <w:shd w:val="clear" w:color="auto" w:fill="auto"/>
            <w:vAlign w:val="center"/>
          </w:tcPr>
          <w:p w14:paraId="07D186B4">
            <w:pPr>
              <w:widowControl/>
              <w:spacing w:line="240" w:lineRule="auto"/>
              <w:ind w:firstLine="0" w:firstLineChars="0"/>
              <w:jc w:val="center"/>
              <w:rPr>
                <w:color w:val="auto"/>
                <w:kern w:val="0"/>
                <w:sz w:val="21"/>
                <w:szCs w:val="21"/>
              </w:rPr>
            </w:pPr>
          </w:p>
        </w:tc>
      </w:tr>
      <w:tr w14:paraId="3DC76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282B585C">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21E980BD">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15FC98CC">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167E7E30">
            <w:pPr>
              <w:widowControl/>
              <w:spacing w:line="240" w:lineRule="auto"/>
              <w:ind w:firstLine="0" w:firstLineChars="0"/>
              <w:jc w:val="center"/>
              <w:rPr>
                <w:color w:val="auto"/>
                <w:sz w:val="21"/>
                <w:szCs w:val="21"/>
              </w:rPr>
            </w:pPr>
            <w:r>
              <w:rPr>
                <w:color w:val="auto"/>
                <w:sz w:val="21"/>
                <w:szCs w:val="21"/>
              </w:rPr>
              <w:t>3年</w:t>
            </w:r>
          </w:p>
        </w:tc>
        <w:tc>
          <w:tcPr>
            <w:tcW w:w="893" w:type="pct"/>
            <w:tcBorders>
              <w:tl2br w:val="nil"/>
              <w:tr2bl w:val="nil"/>
            </w:tcBorders>
            <w:shd w:val="clear" w:color="auto" w:fill="auto"/>
            <w:vAlign w:val="bottom"/>
          </w:tcPr>
          <w:p w14:paraId="0DBBB422">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6.41</w:t>
            </w:r>
          </w:p>
        </w:tc>
        <w:tc>
          <w:tcPr>
            <w:tcW w:w="1788" w:type="pct"/>
            <w:vMerge w:val="continue"/>
            <w:tcBorders>
              <w:tl2br w:val="nil"/>
              <w:tr2bl w:val="nil"/>
            </w:tcBorders>
            <w:shd w:val="clear" w:color="auto" w:fill="auto"/>
            <w:vAlign w:val="center"/>
          </w:tcPr>
          <w:p w14:paraId="74FA34C5">
            <w:pPr>
              <w:widowControl/>
              <w:spacing w:line="240" w:lineRule="auto"/>
              <w:ind w:firstLine="0" w:firstLineChars="0"/>
              <w:jc w:val="center"/>
              <w:rPr>
                <w:color w:val="auto"/>
                <w:kern w:val="0"/>
                <w:sz w:val="21"/>
                <w:szCs w:val="21"/>
              </w:rPr>
            </w:pPr>
          </w:p>
        </w:tc>
      </w:tr>
      <w:tr w14:paraId="2C64F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24E6EB1D">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49D67820">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43CB2D21">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648F2C18">
            <w:pPr>
              <w:widowControl/>
              <w:spacing w:line="240" w:lineRule="auto"/>
              <w:ind w:firstLine="0" w:firstLineChars="0"/>
              <w:jc w:val="center"/>
              <w:rPr>
                <w:color w:val="auto"/>
                <w:sz w:val="21"/>
                <w:szCs w:val="21"/>
              </w:rPr>
            </w:pPr>
            <w:r>
              <w:rPr>
                <w:color w:val="auto"/>
                <w:sz w:val="21"/>
                <w:szCs w:val="21"/>
              </w:rPr>
              <w:t>4年</w:t>
            </w:r>
          </w:p>
        </w:tc>
        <w:tc>
          <w:tcPr>
            <w:tcW w:w="893" w:type="pct"/>
            <w:tcBorders>
              <w:tl2br w:val="nil"/>
              <w:tr2bl w:val="nil"/>
            </w:tcBorders>
            <w:shd w:val="clear" w:color="auto" w:fill="auto"/>
            <w:vAlign w:val="bottom"/>
          </w:tcPr>
          <w:p w14:paraId="639B7E24">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6.14</w:t>
            </w:r>
          </w:p>
        </w:tc>
        <w:tc>
          <w:tcPr>
            <w:tcW w:w="1788" w:type="pct"/>
            <w:vMerge w:val="continue"/>
            <w:tcBorders>
              <w:tl2br w:val="nil"/>
              <w:tr2bl w:val="nil"/>
            </w:tcBorders>
            <w:shd w:val="clear" w:color="auto" w:fill="auto"/>
            <w:vAlign w:val="center"/>
          </w:tcPr>
          <w:p w14:paraId="5F431AB8">
            <w:pPr>
              <w:widowControl/>
              <w:spacing w:line="240" w:lineRule="auto"/>
              <w:ind w:firstLine="0" w:firstLineChars="0"/>
              <w:jc w:val="center"/>
              <w:rPr>
                <w:color w:val="auto"/>
                <w:kern w:val="0"/>
                <w:sz w:val="21"/>
                <w:szCs w:val="21"/>
              </w:rPr>
            </w:pPr>
          </w:p>
        </w:tc>
      </w:tr>
      <w:tr w14:paraId="415C9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38744692">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5FC41732">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00BAAFEF">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14FC2457">
            <w:pPr>
              <w:widowControl/>
              <w:spacing w:line="240" w:lineRule="auto"/>
              <w:ind w:firstLine="0" w:firstLineChars="0"/>
              <w:jc w:val="center"/>
              <w:rPr>
                <w:color w:val="auto"/>
                <w:sz w:val="21"/>
                <w:szCs w:val="21"/>
              </w:rPr>
            </w:pPr>
            <w:r>
              <w:rPr>
                <w:color w:val="auto"/>
                <w:sz w:val="21"/>
                <w:szCs w:val="21"/>
              </w:rPr>
              <w:t>5年</w:t>
            </w:r>
          </w:p>
        </w:tc>
        <w:tc>
          <w:tcPr>
            <w:tcW w:w="893" w:type="pct"/>
            <w:tcBorders>
              <w:tl2br w:val="nil"/>
              <w:tr2bl w:val="nil"/>
            </w:tcBorders>
            <w:shd w:val="clear" w:color="auto" w:fill="auto"/>
            <w:vAlign w:val="bottom"/>
          </w:tcPr>
          <w:p w14:paraId="280AE025">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5.88</w:t>
            </w:r>
          </w:p>
        </w:tc>
        <w:tc>
          <w:tcPr>
            <w:tcW w:w="1788" w:type="pct"/>
            <w:vMerge w:val="continue"/>
            <w:tcBorders>
              <w:tl2br w:val="nil"/>
              <w:tr2bl w:val="nil"/>
            </w:tcBorders>
            <w:shd w:val="clear" w:color="auto" w:fill="auto"/>
            <w:vAlign w:val="center"/>
          </w:tcPr>
          <w:p w14:paraId="4445B5CF">
            <w:pPr>
              <w:widowControl/>
              <w:spacing w:line="240" w:lineRule="auto"/>
              <w:ind w:firstLine="0" w:firstLineChars="0"/>
              <w:jc w:val="center"/>
              <w:rPr>
                <w:color w:val="auto"/>
                <w:kern w:val="0"/>
                <w:sz w:val="21"/>
                <w:szCs w:val="21"/>
              </w:rPr>
            </w:pPr>
          </w:p>
        </w:tc>
      </w:tr>
      <w:tr w14:paraId="14354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182E2FF3">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3EF23433">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6CC967D5">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05A15862">
            <w:pPr>
              <w:widowControl/>
              <w:spacing w:line="240" w:lineRule="auto"/>
              <w:ind w:firstLine="0" w:firstLineChars="0"/>
              <w:jc w:val="center"/>
              <w:rPr>
                <w:color w:val="auto"/>
                <w:sz w:val="21"/>
                <w:szCs w:val="21"/>
              </w:rPr>
            </w:pPr>
            <w:r>
              <w:rPr>
                <w:color w:val="auto"/>
                <w:sz w:val="21"/>
                <w:szCs w:val="21"/>
              </w:rPr>
              <w:t>6年</w:t>
            </w:r>
          </w:p>
        </w:tc>
        <w:tc>
          <w:tcPr>
            <w:tcW w:w="893" w:type="pct"/>
            <w:tcBorders>
              <w:tl2br w:val="nil"/>
              <w:tr2bl w:val="nil"/>
            </w:tcBorders>
            <w:shd w:val="clear" w:color="auto" w:fill="auto"/>
            <w:vAlign w:val="bottom"/>
          </w:tcPr>
          <w:p w14:paraId="19C860C6">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5.61</w:t>
            </w:r>
          </w:p>
        </w:tc>
        <w:tc>
          <w:tcPr>
            <w:tcW w:w="1788" w:type="pct"/>
            <w:vMerge w:val="continue"/>
            <w:tcBorders>
              <w:tl2br w:val="nil"/>
              <w:tr2bl w:val="nil"/>
            </w:tcBorders>
            <w:shd w:val="clear" w:color="auto" w:fill="auto"/>
            <w:vAlign w:val="center"/>
          </w:tcPr>
          <w:p w14:paraId="3735561C">
            <w:pPr>
              <w:widowControl/>
              <w:spacing w:line="240" w:lineRule="auto"/>
              <w:ind w:firstLine="0" w:firstLineChars="0"/>
              <w:jc w:val="center"/>
              <w:rPr>
                <w:color w:val="auto"/>
                <w:kern w:val="0"/>
                <w:sz w:val="21"/>
                <w:szCs w:val="21"/>
              </w:rPr>
            </w:pPr>
          </w:p>
        </w:tc>
      </w:tr>
      <w:tr w14:paraId="0D236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5A627266">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0DCBA613">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58AED369">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45F138F0">
            <w:pPr>
              <w:widowControl/>
              <w:spacing w:line="240" w:lineRule="auto"/>
              <w:ind w:firstLine="0" w:firstLineChars="0"/>
              <w:jc w:val="center"/>
              <w:rPr>
                <w:color w:val="auto"/>
                <w:sz w:val="21"/>
                <w:szCs w:val="21"/>
              </w:rPr>
            </w:pPr>
            <w:r>
              <w:rPr>
                <w:color w:val="auto"/>
                <w:sz w:val="21"/>
                <w:szCs w:val="21"/>
              </w:rPr>
              <w:t>7年</w:t>
            </w:r>
          </w:p>
        </w:tc>
        <w:tc>
          <w:tcPr>
            <w:tcW w:w="893" w:type="pct"/>
            <w:tcBorders>
              <w:tl2br w:val="nil"/>
              <w:tr2bl w:val="nil"/>
            </w:tcBorders>
            <w:shd w:val="clear" w:color="auto" w:fill="auto"/>
            <w:vAlign w:val="bottom"/>
          </w:tcPr>
          <w:p w14:paraId="52222834">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5.34</w:t>
            </w:r>
          </w:p>
        </w:tc>
        <w:tc>
          <w:tcPr>
            <w:tcW w:w="1788" w:type="pct"/>
            <w:vMerge w:val="continue"/>
            <w:tcBorders>
              <w:tl2br w:val="nil"/>
              <w:tr2bl w:val="nil"/>
            </w:tcBorders>
            <w:shd w:val="clear" w:color="auto" w:fill="auto"/>
            <w:vAlign w:val="center"/>
          </w:tcPr>
          <w:p w14:paraId="036D24A4">
            <w:pPr>
              <w:widowControl/>
              <w:spacing w:line="240" w:lineRule="auto"/>
              <w:ind w:firstLine="0" w:firstLineChars="0"/>
              <w:jc w:val="center"/>
              <w:rPr>
                <w:color w:val="auto"/>
                <w:kern w:val="0"/>
                <w:sz w:val="21"/>
                <w:szCs w:val="21"/>
              </w:rPr>
            </w:pPr>
          </w:p>
        </w:tc>
      </w:tr>
      <w:tr w14:paraId="21900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21630E82">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70305D5A">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0A7A3485">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0D3D784F">
            <w:pPr>
              <w:widowControl/>
              <w:spacing w:line="240" w:lineRule="auto"/>
              <w:ind w:firstLine="0" w:firstLineChars="0"/>
              <w:jc w:val="center"/>
              <w:rPr>
                <w:color w:val="auto"/>
                <w:sz w:val="21"/>
                <w:szCs w:val="21"/>
              </w:rPr>
            </w:pPr>
            <w:r>
              <w:rPr>
                <w:color w:val="auto"/>
                <w:sz w:val="21"/>
                <w:szCs w:val="21"/>
              </w:rPr>
              <w:t>8年</w:t>
            </w:r>
          </w:p>
        </w:tc>
        <w:tc>
          <w:tcPr>
            <w:tcW w:w="893" w:type="pct"/>
            <w:tcBorders>
              <w:tl2br w:val="nil"/>
              <w:tr2bl w:val="nil"/>
            </w:tcBorders>
            <w:shd w:val="clear" w:color="auto" w:fill="auto"/>
            <w:vAlign w:val="bottom"/>
          </w:tcPr>
          <w:p w14:paraId="0A3D25B3">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5.07</w:t>
            </w:r>
          </w:p>
        </w:tc>
        <w:tc>
          <w:tcPr>
            <w:tcW w:w="1788" w:type="pct"/>
            <w:vMerge w:val="continue"/>
            <w:tcBorders>
              <w:tl2br w:val="nil"/>
              <w:tr2bl w:val="nil"/>
            </w:tcBorders>
            <w:shd w:val="clear" w:color="auto" w:fill="auto"/>
            <w:vAlign w:val="center"/>
          </w:tcPr>
          <w:p w14:paraId="66DC03F0">
            <w:pPr>
              <w:widowControl/>
              <w:spacing w:line="240" w:lineRule="auto"/>
              <w:ind w:firstLine="0" w:firstLineChars="0"/>
              <w:jc w:val="center"/>
              <w:rPr>
                <w:color w:val="auto"/>
                <w:kern w:val="0"/>
                <w:sz w:val="21"/>
                <w:szCs w:val="21"/>
              </w:rPr>
            </w:pPr>
          </w:p>
        </w:tc>
      </w:tr>
      <w:tr w14:paraId="2E4C4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4" w:type="pct"/>
            <w:vMerge w:val="continue"/>
            <w:tcBorders>
              <w:tl2br w:val="nil"/>
              <w:tr2bl w:val="nil"/>
            </w:tcBorders>
            <w:shd w:val="clear" w:color="auto" w:fill="auto"/>
            <w:vAlign w:val="center"/>
          </w:tcPr>
          <w:p w14:paraId="2E2BC803">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60A4DAC7">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2F69ED45">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0DC035E7">
            <w:pPr>
              <w:widowControl/>
              <w:spacing w:line="240" w:lineRule="auto"/>
              <w:ind w:firstLine="0" w:firstLineChars="0"/>
              <w:jc w:val="center"/>
              <w:rPr>
                <w:color w:val="auto"/>
                <w:sz w:val="21"/>
                <w:szCs w:val="21"/>
              </w:rPr>
            </w:pPr>
            <w:r>
              <w:rPr>
                <w:color w:val="auto"/>
                <w:sz w:val="21"/>
                <w:szCs w:val="21"/>
              </w:rPr>
              <w:t>9年</w:t>
            </w:r>
          </w:p>
        </w:tc>
        <w:tc>
          <w:tcPr>
            <w:tcW w:w="893" w:type="pct"/>
            <w:tcBorders>
              <w:tl2br w:val="nil"/>
              <w:tr2bl w:val="nil"/>
            </w:tcBorders>
            <w:shd w:val="clear" w:color="auto" w:fill="auto"/>
            <w:vAlign w:val="bottom"/>
          </w:tcPr>
          <w:p w14:paraId="21E09D7C">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4.8</w:t>
            </w:r>
          </w:p>
        </w:tc>
        <w:tc>
          <w:tcPr>
            <w:tcW w:w="1788" w:type="pct"/>
            <w:vMerge w:val="continue"/>
            <w:tcBorders>
              <w:tl2br w:val="nil"/>
              <w:tr2bl w:val="nil"/>
            </w:tcBorders>
            <w:shd w:val="clear" w:color="auto" w:fill="auto"/>
            <w:vAlign w:val="center"/>
          </w:tcPr>
          <w:p w14:paraId="41066B39">
            <w:pPr>
              <w:widowControl/>
              <w:spacing w:line="240" w:lineRule="auto"/>
              <w:ind w:firstLine="0" w:firstLineChars="0"/>
              <w:jc w:val="center"/>
              <w:rPr>
                <w:color w:val="auto"/>
                <w:kern w:val="0"/>
                <w:sz w:val="21"/>
                <w:szCs w:val="21"/>
              </w:rPr>
            </w:pPr>
          </w:p>
        </w:tc>
      </w:tr>
      <w:tr w14:paraId="64739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44" w:type="pct"/>
            <w:vMerge w:val="continue"/>
            <w:tcBorders>
              <w:tl2br w:val="nil"/>
              <w:tr2bl w:val="nil"/>
            </w:tcBorders>
            <w:shd w:val="clear" w:color="auto" w:fill="auto"/>
            <w:vAlign w:val="center"/>
          </w:tcPr>
          <w:p w14:paraId="3F4C5D95">
            <w:pPr>
              <w:widowControl/>
              <w:spacing w:line="240" w:lineRule="auto"/>
              <w:ind w:firstLine="0" w:firstLineChars="0"/>
              <w:jc w:val="center"/>
              <w:rPr>
                <w:color w:val="auto"/>
                <w:kern w:val="0"/>
                <w:sz w:val="21"/>
                <w:szCs w:val="21"/>
              </w:rPr>
            </w:pPr>
          </w:p>
        </w:tc>
        <w:tc>
          <w:tcPr>
            <w:tcW w:w="491" w:type="pct"/>
            <w:vMerge w:val="continue"/>
            <w:tcBorders>
              <w:tl2br w:val="nil"/>
              <w:tr2bl w:val="nil"/>
            </w:tcBorders>
            <w:shd w:val="clear" w:color="auto" w:fill="auto"/>
            <w:vAlign w:val="center"/>
          </w:tcPr>
          <w:p w14:paraId="6FAEF8C3">
            <w:pPr>
              <w:widowControl/>
              <w:spacing w:line="240" w:lineRule="auto"/>
              <w:ind w:firstLine="0" w:firstLineChars="0"/>
              <w:jc w:val="center"/>
              <w:rPr>
                <w:color w:val="auto"/>
                <w:kern w:val="0"/>
                <w:sz w:val="21"/>
                <w:szCs w:val="21"/>
              </w:rPr>
            </w:pPr>
          </w:p>
        </w:tc>
        <w:tc>
          <w:tcPr>
            <w:tcW w:w="668" w:type="pct"/>
            <w:vMerge w:val="continue"/>
            <w:tcBorders>
              <w:tl2br w:val="nil"/>
              <w:tr2bl w:val="nil"/>
            </w:tcBorders>
            <w:shd w:val="clear" w:color="auto" w:fill="auto"/>
            <w:vAlign w:val="center"/>
          </w:tcPr>
          <w:p w14:paraId="268A56AA">
            <w:pPr>
              <w:widowControl/>
              <w:spacing w:line="240" w:lineRule="auto"/>
              <w:ind w:firstLine="0" w:firstLineChars="0"/>
              <w:jc w:val="center"/>
              <w:rPr>
                <w:color w:val="auto"/>
                <w:kern w:val="0"/>
                <w:sz w:val="21"/>
                <w:szCs w:val="21"/>
              </w:rPr>
            </w:pPr>
          </w:p>
        </w:tc>
        <w:tc>
          <w:tcPr>
            <w:tcW w:w="714" w:type="pct"/>
            <w:tcBorders>
              <w:tl2br w:val="nil"/>
              <w:tr2bl w:val="nil"/>
            </w:tcBorders>
            <w:shd w:val="clear" w:color="auto" w:fill="auto"/>
            <w:vAlign w:val="center"/>
          </w:tcPr>
          <w:p w14:paraId="242B7B1F">
            <w:pPr>
              <w:widowControl/>
              <w:spacing w:line="240" w:lineRule="auto"/>
              <w:ind w:firstLine="0" w:firstLineChars="0"/>
              <w:jc w:val="center"/>
              <w:rPr>
                <w:color w:val="auto"/>
                <w:sz w:val="21"/>
                <w:szCs w:val="21"/>
              </w:rPr>
            </w:pPr>
            <w:r>
              <w:rPr>
                <w:color w:val="auto"/>
                <w:sz w:val="21"/>
                <w:szCs w:val="21"/>
              </w:rPr>
              <w:t>10年</w:t>
            </w:r>
          </w:p>
        </w:tc>
        <w:tc>
          <w:tcPr>
            <w:tcW w:w="893" w:type="pct"/>
            <w:tcBorders>
              <w:tl2br w:val="nil"/>
              <w:tr2bl w:val="nil"/>
            </w:tcBorders>
            <w:shd w:val="clear" w:color="auto" w:fill="auto"/>
            <w:vAlign w:val="bottom"/>
          </w:tcPr>
          <w:p w14:paraId="331F130E">
            <w:pPr>
              <w:widowControl/>
              <w:spacing w:line="240" w:lineRule="auto"/>
              <w:ind w:firstLine="0" w:firstLineChars="0"/>
              <w:jc w:val="center"/>
              <w:textAlignment w:val="bottom"/>
              <w:rPr>
                <w:color w:val="auto"/>
                <w:sz w:val="21"/>
                <w:szCs w:val="21"/>
              </w:rPr>
            </w:pPr>
            <w:r>
              <w:rPr>
                <w:rFonts w:eastAsia="等线"/>
                <w:color w:val="auto"/>
                <w:kern w:val="0"/>
                <w:sz w:val="22"/>
                <w:szCs w:val="22"/>
                <w:lang w:bidi="ar"/>
              </w:rPr>
              <w:t>4.53</w:t>
            </w:r>
          </w:p>
        </w:tc>
        <w:tc>
          <w:tcPr>
            <w:tcW w:w="1788" w:type="pct"/>
            <w:vMerge w:val="continue"/>
            <w:tcBorders>
              <w:tl2br w:val="nil"/>
              <w:tr2bl w:val="nil"/>
            </w:tcBorders>
            <w:shd w:val="clear" w:color="auto" w:fill="auto"/>
            <w:vAlign w:val="center"/>
          </w:tcPr>
          <w:p w14:paraId="4A2ABBCE">
            <w:pPr>
              <w:widowControl/>
              <w:spacing w:line="240" w:lineRule="auto"/>
              <w:ind w:firstLine="0" w:firstLineChars="0"/>
              <w:jc w:val="center"/>
              <w:rPr>
                <w:color w:val="auto"/>
                <w:kern w:val="0"/>
                <w:sz w:val="21"/>
                <w:szCs w:val="21"/>
              </w:rPr>
            </w:pPr>
          </w:p>
        </w:tc>
      </w:tr>
    </w:tbl>
    <w:p w14:paraId="429E58E9">
      <w:pPr>
        <w:widowControl/>
        <w:ind w:firstLine="480"/>
        <w:rPr>
          <w:bCs/>
          <w:color w:val="auto"/>
          <w:kern w:val="0"/>
        </w:rPr>
      </w:pPr>
      <w:r>
        <w:rPr>
          <w:bCs/>
          <w:color w:val="auto"/>
          <w:kern w:val="0"/>
        </w:rPr>
        <w:t>由上表可以看出，随着外来</w:t>
      </w:r>
      <w:r>
        <w:rPr>
          <w:color w:val="auto"/>
          <w:kern w:val="0"/>
        </w:rPr>
        <w:t>污染物</w:t>
      </w:r>
      <w:r>
        <w:rPr>
          <w:bCs/>
          <w:color w:val="auto"/>
          <w:kern w:val="0"/>
        </w:rPr>
        <w:t>输入时间的延长，</w:t>
      </w:r>
      <w:r>
        <w:rPr>
          <w:color w:val="auto"/>
          <w:kern w:val="0"/>
        </w:rPr>
        <w:t>污染物</w:t>
      </w:r>
      <w:r>
        <w:rPr>
          <w:bCs/>
          <w:color w:val="auto"/>
          <w:kern w:val="0"/>
        </w:rPr>
        <w:t>在土壤中的累积量有所增加。经叠加现状值，预计累积泄露第7年后，区域土壤中土壤将逐渐酸化至4.5≤5.3</w:t>
      </w:r>
      <w:r>
        <w:rPr>
          <w:rFonts w:hint="eastAsia"/>
          <w:bCs/>
          <w:color w:val="auto"/>
          <w:kern w:val="0"/>
        </w:rPr>
        <w:t>4</w:t>
      </w:r>
      <w:r>
        <w:rPr>
          <w:bCs/>
          <w:color w:val="auto"/>
          <w:kern w:val="0"/>
        </w:rPr>
        <w:t>＜5.5，轻度酸化；累积泄露10年后，区域土壤中土壤将逐渐酸化至4.5</w:t>
      </w:r>
      <w:r>
        <w:rPr>
          <w:rFonts w:hint="eastAsia"/>
          <w:bCs/>
          <w:color w:val="auto"/>
          <w:kern w:val="0"/>
        </w:rPr>
        <w:t>3</w:t>
      </w:r>
      <w:r>
        <w:rPr>
          <w:bCs/>
          <w:color w:val="auto"/>
          <w:kern w:val="0"/>
        </w:rPr>
        <w:t>，接近中度酸化。</w:t>
      </w:r>
    </w:p>
    <w:p w14:paraId="4FC5B3B7">
      <w:pPr>
        <w:spacing w:before="120" w:beforeLines="50"/>
        <w:ind w:firstLine="0" w:firstLineChars="0"/>
        <w:jc w:val="left"/>
        <w:outlineLvl w:val="3"/>
        <w:rPr>
          <w:b/>
          <w:color w:val="auto"/>
        </w:rPr>
      </w:pPr>
      <w:r>
        <w:rPr>
          <w:rFonts w:hint="eastAsia"/>
          <w:b/>
          <w:color w:val="auto"/>
        </w:rPr>
        <w:t>6.2.6.4 入渗型土壤环境影响分析</w:t>
      </w:r>
    </w:p>
    <w:p w14:paraId="6E8C61D9">
      <w:pPr>
        <w:ind w:firstLine="482"/>
        <w:rPr>
          <w:b/>
          <w:bCs/>
          <w:color w:val="auto"/>
        </w:rPr>
      </w:pPr>
      <w:r>
        <w:rPr>
          <w:rFonts w:hint="eastAsia"/>
          <w:b/>
          <w:bCs/>
          <w:color w:val="auto"/>
        </w:rPr>
        <w:t>1、</w:t>
      </w:r>
      <w:r>
        <w:rPr>
          <w:b/>
          <w:bCs/>
          <w:color w:val="auto"/>
        </w:rPr>
        <w:t>情景设定</w:t>
      </w:r>
    </w:p>
    <w:p w14:paraId="1A92B107">
      <w:pPr>
        <w:ind w:firstLine="480"/>
        <w:rPr>
          <w:color w:val="auto"/>
        </w:rPr>
      </w:pPr>
      <w:r>
        <w:rPr>
          <w:color w:val="auto"/>
        </w:rPr>
        <w:t>正常工况下，土壤和地下水防渗措施完好，基本不会对土壤造成不利影响。故本报告入渗型土壤风险主要考虑为设备管线渗漏对土壤的影响。</w:t>
      </w:r>
    </w:p>
    <w:p w14:paraId="089E224D">
      <w:pPr>
        <w:ind w:firstLine="482"/>
        <w:rPr>
          <w:b/>
          <w:bCs/>
          <w:color w:val="auto"/>
        </w:rPr>
      </w:pPr>
      <w:r>
        <w:rPr>
          <w:b/>
          <w:bCs/>
          <w:color w:val="auto"/>
        </w:rPr>
        <w:t>2、预测分析</w:t>
      </w:r>
    </w:p>
    <w:p w14:paraId="3596A5C3">
      <w:pPr>
        <w:widowControl/>
        <w:ind w:firstLine="482"/>
        <w:rPr>
          <w:b/>
          <w:bCs/>
          <w:color w:val="auto"/>
        </w:rPr>
      </w:pPr>
      <w:r>
        <w:rPr>
          <w:b/>
          <w:bCs/>
          <w:color w:val="auto"/>
        </w:rPr>
        <w:t>（1）预测模型筛选</w:t>
      </w:r>
    </w:p>
    <w:p w14:paraId="6F61EFBF">
      <w:pPr>
        <w:keepNext w:val="0"/>
        <w:keepLines w:val="0"/>
        <w:pageBreakBefore w:val="0"/>
        <w:widowControl w:val="0"/>
        <w:kinsoku/>
        <w:wordWrap/>
        <w:overflowPunct/>
        <w:topLinePunct w:val="0"/>
        <w:autoSpaceDE/>
        <w:autoSpaceDN/>
        <w:bidi w:val="0"/>
        <w:adjustRightInd w:val="0"/>
        <w:snapToGrid w:val="0"/>
        <w:ind w:firstLine="480"/>
        <w:textAlignment w:val="auto"/>
        <w:rPr>
          <w:color w:val="auto"/>
        </w:rPr>
      </w:pPr>
      <w:r>
        <w:rPr>
          <w:color w:val="auto"/>
        </w:rPr>
        <w:t>本项目土壤环境影响预测采用导则推荐的一维非饱和溶质运移模型，具体公式如下：</w:t>
      </w:r>
    </w:p>
    <w:p w14:paraId="1B375E49">
      <w:pPr>
        <w:keepNext w:val="0"/>
        <w:keepLines w:val="0"/>
        <w:pageBreakBefore w:val="0"/>
        <w:widowControl w:val="0"/>
        <w:kinsoku/>
        <w:wordWrap/>
        <w:overflowPunct/>
        <w:topLinePunct w:val="0"/>
        <w:autoSpaceDE/>
        <w:autoSpaceDN/>
        <w:bidi w:val="0"/>
        <w:adjustRightInd w:val="0"/>
        <w:snapToGrid w:val="0"/>
        <w:ind w:firstLine="480"/>
        <w:textAlignment w:val="auto"/>
        <w:rPr>
          <w:color w:val="auto"/>
        </w:rPr>
      </w:pPr>
      <w:r>
        <w:rPr>
          <w:color w:val="auto"/>
        </w:rPr>
        <w:t>一维非饱和溶质垂向运移控制方程：</w:t>
      </w:r>
    </w:p>
    <w:p w14:paraId="3628DF93">
      <w:pPr>
        <w:keepNext w:val="0"/>
        <w:keepLines w:val="0"/>
        <w:pageBreakBefore w:val="0"/>
        <w:widowControl/>
        <w:kinsoku/>
        <w:wordWrap/>
        <w:overflowPunct/>
        <w:topLinePunct w:val="0"/>
        <w:autoSpaceDE/>
        <w:autoSpaceDN/>
        <w:bidi w:val="0"/>
        <w:adjustRightInd w:val="0"/>
        <w:snapToGrid w:val="0"/>
        <w:jc w:val="both"/>
        <w:textAlignment w:val="auto"/>
        <w:rPr>
          <w:rFonts w:hint="eastAsia" w:eastAsia="宋体"/>
          <w:color w:val="auto"/>
          <w:lang w:eastAsia="zh-CN"/>
        </w:rPr>
      </w:pPr>
      <w:r>
        <w:rPr>
          <w:color w:val="auto"/>
          <w:position w:val="-28"/>
        </w:rPr>
        <w:pict>
          <v:shape id="_x0000_s2050" o:spid="_x0000_s2050" o:spt="75" type="#_x0000_t75" style="position:absolute;left:0pt;margin-left:129pt;margin-top:8.5pt;height:34pt;width:139.95pt;mso-wrap-distance-bottom:0pt;mso-wrap-distance-top:0pt;z-index:251674624;mso-width-relative:page;mso-height-relative:page;" o:ole="t" filled="f" o:preferrelative="t" stroked="f" coordsize="21600,21600">
            <v:path/>
            <v:fill on="f" focussize="0,0"/>
            <v:stroke on="f" joinstyle="miter"/>
            <v:imagedata r:id="rId52" o:title=""/>
            <o:lock v:ext="edit" aspectratio="t"/>
            <w10:wrap type="topAndBottom"/>
          </v:shape>
          <o:OLEObject Type="Embed" ProgID="Equation.3" ShapeID="_x0000_s2050" DrawAspect="Content" ObjectID="_1468075728" r:id="rId51">
            <o:LockedField>false</o:LockedField>
          </o:OLEObject>
        </w:pict>
      </w:r>
      <w:r>
        <w:rPr>
          <w:color w:val="auto"/>
        </w:rPr>
        <w:t>式中：c——污染物介质中的浓度，mg/L</w:t>
      </w:r>
      <w:r>
        <w:rPr>
          <w:rFonts w:hint="eastAsia"/>
          <w:color w:val="auto"/>
          <w:lang w:eastAsia="zh-CN"/>
        </w:rPr>
        <w:t>；</w:t>
      </w:r>
    </w:p>
    <w:p w14:paraId="5915E810">
      <w:pPr>
        <w:widowControl/>
        <w:ind w:firstLine="1200" w:firstLineChars="500"/>
        <w:rPr>
          <w:color w:val="auto"/>
        </w:rPr>
      </w:pPr>
      <w:r>
        <w:rPr>
          <w:color w:val="auto"/>
        </w:rPr>
        <w:t>D——弥散系数，m</w:t>
      </w:r>
      <w:r>
        <w:rPr>
          <w:color w:val="auto"/>
          <w:vertAlign w:val="superscript"/>
        </w:rPr>
        <w:t>2</w:t>
      </w:r>
      <w:r>
        <w:rPr>
          <w:color w:val="auto"/>
        </w:rPr>
        <w:t>/d；</w:t>
      </w:r>
    </w:p>
    <w:p w14:paraId="3874899A">
      <w:pPr>
        <w:widowControl/>
        <w:ind w:firstLine="1200" w:firstLineChars="500"/>
        <w:rPr>
          <w:color w:val="auto"/>
        </w:rPr>
      </w:pPr>
      <w:r>
        <w:rPr>
          <w:color w:val="auto"/>
        </w:rPr>
        <w:t>Q——渗流速率，m/d；</w:t>
      </w:r>
    </w:p>
    <w:p w14:paraId="69CF9FFA">
      <w:pPr>
        <w:widowControl/>
        <w:ind w:firstLine="1200" w:firstLineChars="500"/>
        <w:rPr>
          <w:color w:val="auto"/>
        </w:rPr>
      </w:pPr>
      <w:r>
        <w:rPr>
          <w:color w:val="auto"/>
        </w:rPr>
        <w:t>z——沿z轴的距离，m</w:t>
      </w:r>
    </w:p>
    <w:p w14:paraId="5D391B27">
      <w:pPr>
        <w:widowControl/>
        <w:ind w:firstLine="1200" w:firstLineChars="500"/>
        <w:rPr>
          <w:color w:val="auto"/>
        </w:rPr>
      </w:pPr>
      <w:r>
        <w:rPr>
          <w:color w:val="auto"/>
        </w:rPr>
        <w:t>T——时间变量，d；</w:t>
      </w:r>
    </w:p>
    <w:p w14:paraId="72D37F22">
      <w:pPr>
        <w:widowControl/>
        <w:ind w:firstLine="1200" w:firstLineChars="500"/>
        <w:rPr>
          <w:color w:val="auto"/>
        </w:rPr>
      </w:pPr>
      <w:r>
        <w:rPr>
          <w:color w:val="auto"/>
        </w:rPr>
        <w:t>θ——土壤含水率，%。</w:t>
      </w:r>
    </w:p>
    <w:p w14:paraId="36C11EA2">
      <w:pPr>
        <w:widowControl/>
        <w:ind w:firstLine="480"/>
        <w:rPr>
          <w:color w:val="auto"/>
        </w:rPr>
      </w:pPr>
      <w:r>
        <w:rPr>
          <w:color w:val="auto"/>
        </w:rPr>
        <w:t>b）初始条件</w:t>
      </w:r>
    </w:p>
    <w:p w14:paraId="29C0FA41">
      <w:pPr>
        <w:widowControl/>
        <w:spacing w:line="500" w:lineRule="exact"/>
        <w:ind w:firstLine="1200" w:firstLineChars="500"/>
        <w:rPr>
          <w:color w:val="auto"/>
          <w:lang w:val="fr-FR"/>
        </w:rPr>
      </w:pPr>
      <w:r>
        <w:rPr>
          <w:color w:val="auto"/>
          <w:lang w:val="fr-FR"/>
        </w:rPr>
        <w:t>c</w:t>
      </w:r>
      <w:r>
        <w:rPr>
          <w:rFonts w:hint="eastAsia"/>
          <w:color w:val="auto"/>
          <w:lang w:val="fr-FR"/>
        </w:rPr>
        <w:t>(</w:t>
      </w:r>
      <w:r>
        <w:rPr>
          <w:color w:val="auto"/>
          <w:lang w:val="fr-FR"/>
        </w:rPr>
        <w:t>z</w:t>
      </w:r>
      <w:r>
        <w:rPr>
          <w:rFonts w:hint="eastAsia"/>
          <w:color w:val="auto"/>
          <w:lang w:val="fr-FR"/>
        </w:rPr>
        <w:t>,</w:t>
      </w:r>
      <w:r>
        <w:rPr>
          <w:color w:val="auto"/>
          <w:lang w:val="fr-FR"/>
        </w:rPr>
        <w:t>t</w:t>
      </w:r>
      <w:r>
        <w:rPr>
          <w:rFonts w:hint="eastAsia"/>
          <w:color w:val="auto"/>
          <w:lang w:val="fr-FR"/>
        </w:rPr>
        <w:t>)</w:t>
      </w:r>
      <w:r>
        <w:rPr>
          <w:color w:val="auto"/>
          <w:lang w:val="fr-FR"/>
        </w:rPr>
        <w:t>=0   t=0</w:t>
      </w:r>
      <w:r>
        <w:rPr>
          <w:rFonts w:hint="eastAsia"/>
          <w:color w:val="auto"/>
          <w:lang w:val="fr-FR"/>
        </w:rPr>
        <w:t>,</w:t>
      </w:r>
      <w:r>
        <w:rPr>
          <w:color w:val="auto"/>
          <w:lang w:val="fr-FR"/>
        </w:rPr>
        <w:t>L≤z</w:t>
      </w:r>
      <w:r>
        <w:rPr>
          <w:rFonts w:hint="eastAsia"/>
          <w:color w:val="auto"/>
          <w:lang w:val="fr-FR"/>
        </w:rPr>
        <w:t>&lt;</w:t>
      </w:r>
      <w:r>
        <w:rPr>
          <w:color w:val="auto"/>
          <w:lang w:val="fr-FR"/>
        </w:rPr>
        <w:t>0</w:t>
      </w:r>
    </w:p>
    <w:p w14:paraId="6B4D5B70">
      <w:pPr>
        <w:widowControl/>
        <w:spacing w:line="500" w:lineRule="exact"/>
        <w:ind w:firstLine="480"/>
        <w:rPr>
          <w:color w:val="auto"/>
        </w:rPr>
      </w:pPr>
      <w:r>
        <w:rPr>
          <w:color w:val="auto"/>
        </w:rPr>
        <w:t>c）边界条件</w:t>
      </w:r>
    </w:p>
    <w:p w14:paraId="11B9D100">
      <w:pPr>
        <w:widowControl/>
        <w:spacing w:line="500" w:lineRule="exact"/>
        <w:ind w:firstLine="480"/>
        <w:rPr>
          <w:color w:val="auto"/>
        </w:rPr>
      </w:pPr>
      <w:r>
        <w:rPr>
          <w:color w:val="auto"/>
        </w:rPr>
        <w:t>第一类Dirichlet边界条件，其中E.6适用于连续点源情景，E.7适用于非连续点源情景。</w:t>
      </w:r>
    </w:p>
    <w:p w14:paraId="2093A37A">
      <w:pPr>
        <w:widowControl/>
        <w:spacing w:line="500" w:lineRule="exact"/>
        <w:ind w:firstLine="480"/>
        <w:jc w:val="center"/>
        <w:rPr>
          <w:color w:val="auto"/>
          <w:lang w:val="fr-FR"/>
        </w:rPr>
      </w:pPr>
      <w:r>
        <w:rPr>
          <w:color w:val="auto"/>
          <w:lang w:val="fr-FR"/>
        </w:rPr>
        <w:t>c</w:t>
      </w:r>
      <w:r>
        <w:rPr>
          <w:rFonts w:hint="eastAsia"/>
          <w:color w:val="auto"/>
          <w:lang w:val="fr-FR"/>
        </w:rPr>
        <w:t>(</w:t>
      </w:r>
      <w:r>
        <w:rPr>
          <w:color w:val="auto"/>
          <w:lang w:val="fr-FR"/>
        </w:rPr>
        <w:t>z</w:t>
      </w:r>
      <w:r>
        <w:rPr>
          <w:rFonts w:hint="eastAsia"/>
          <w:color w:val="auto"/>
          <w:lang w:val="fr-FR"/>
        </w:rPr>
        <w:t>,</w:t>
      </w:r>
      <w:r>
        <w:rPr>
          <w:color w:val="auto"/>
          <w:lang w:val="fr-FR"/>
        </w:rPr>
        <w:t>t</w:t>
      </w:r>
      <w:r>
        <w:rPr>
          <w:rFonts w:hint="eastAsia"/>
          <w:color w:val="auto"/>
          <w:lang w:val="fr-FR"/>
        </w:rPr>
        <w:t>)</w:t>
      </w:r>
      <w:r>
        <w:rPr>
          <w:color w:val="auto"/>
          <w:lang w:val="fr-FR"/>
        </w:rPr>
        <w:t>=c</w:t>
      </w:r>
      <w:r>
        <w:rPr>
          <w:color w:val="auto"/>
          <w:vertAlign w:val="subscript"/>
          <w:lang w:val="fr-FR"/>
        </w:rPr>
        <w:t>0</w:t>
      </w:r>
      <w:r>
        <w:rPr>
          <w:color w:val="auto"/>
          <w:lang w:val="fr-FR"/>
        </w:rPr>
        <w:t xml:space="preserve">    t&gt;0</w:t>
      </w:r>
      <w:r>
        <w:rPr>
          <w:rFonts w:hint="eastAsia"/>
          <w:color w:val="auto"/>
          <w:lang w:val="fr-FR"/>
        </w:rPr>
        <w:t>,</w:t>
      </w:r>
      <w:r>
        <w:rPr>
          <w:color w:val="auto"/>
          <w:lang w:val="fr-FR"/>
        </w:rPr>
        <w:t xml:space="preserve">z=0     </w:t>
      </w:r>
      <w:r>
        <w:rPr>
          <w:rFonts w:hint="eastAsia"/>
          <w:color w:val="auto"/>
          <w:lang w:val="fr-FR"/>
        </w:rPr>
        <w:t>(</w:t>
      </w:r>
      <w:r>
        <w:rPr>
          <w:color w:val="auto"/>
          <w:lang w:val="fr-FR"/>
        </w:rPr>
        <w:t>E.6</w:t>
      </w:r>
      <w:r>
        <w:rPr>
          <w:rFonts w:hint="eastAsia"/>
          <w:color w:val="auto"/>
          <w:lang w:val="fr-FR"/>
        </w:rPr>
        <w:t>)</w:t>
      </w:r>
    </w:p>
    <w:p w14:paraId="5AF334D1">
      <w:pPr>
        <w:widowControl/>
        <w:ind w:firstLine="480"/>
        <w:rPr>
          <w:color w:val="auto"/>
        </w:rPr>
      </w:pPr>
      <w:r>
        <w:rPr>
          <w:color w:val="auto"/>
        </w:rPr>
        <w:drawing>
          <wp:anchor distT="0" distB="0" distL="114300" distR="114300" simplePos="0" relativeHeight="251673600" behindDoc="0" locked="0" layoutInCell="1" allowOverlap="1">
            <wp:simplePos x="0" y="0"/>
            <wp:positionH relativeFrom="column">
              <wp:posOffset>330200</wp:posOffset>
            </wp:positionH>
            <wp:positionV relativeFrom="paragraph">
              <wp:posOffset>96520</wp:posOffset>
            </wp:positionV>
            <wp:extent cx="4371975" cy="590550"/>
            <wp:effectExtent l="0" t="0" r="9525" b="0"/>
            <wp:wrapTopAndBottom/>
            <wp:docPr id="90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34"/>
                    <pic:cNvPicPr>
                      <a:picLocks noChangeAspect="1"/>
                    </pic:cNvPicPr>
                  </pic:nvPicPr>
                  <pic:blipFill>
                    <a:blip r:embed="rId53" cstate="print"/>
                    <a:stretch>
                      <a:fillRect/>
                    </a:stretch>
                  </pic:blipFill>
                  <pic:spPr>
                    <a:xfrm>
                      <a:off x="0" y="0"/>
                      <a:ext cx="4371975" cy="590550"/>
                    </a:xfrm>
                    <a:prstGeom prst="rect">
                      <a:avLst/>
                    </a:prstGeom>
                    <a:noFill/>
                    <a:ln>
                      <a:noFill/>
                    </a:ln>
                  </pic:spPr>
                </pic:pic>
              </a:graphicData>
            </a:graphic>
          </wp:anchor>
        </w:drawing>
      </w:r>
      <w:r>
        <w:rPr>
          <w:color w:val="auto"/>
        </w:rPr>
        <w:t>第二类Neumann零梯度边界。</w:t>
      </w:r>
    </w:p>
    <w:p w14:paraId="3F3E2A4A">
      <w:pPr>
        <w:widowControl/>
        <w:ind w:firstLine="482"/>
        <w:rPr>
          <w:color w:val="auto"/>
        </w:rPr>
      </w:pPr>
      <w:r>
        <w:rPr>
          <w:b/>
          <w:bCs/>
          <w:color w:val="auto"/>
        </w:rPr>
        <w:t>（2）预测方案</w:t>
      </w:r>
    </w:p>
    <w:p w14:paraId="4EE93618">
      <w:pPr>
        <w:widowControl/>
        <w:ind w:firstLine="480"/>
        <w:rPr>
          <w:color w:val="auto"/>
        </w:rPr>
      </w:pPr>
      <w:r>
        <w:rPr>
          <w:color w:val="auto"/>
        </w:rPr>
        <w:t>预测情景：正常工况下，企业厂区内土壤和地下水防渗措施完好，不会对土壤造成不利影响。假设以污水收集池防渗破损，废水泄露铝离子污染土壤为例进行土壤环境影响预测，概化为连续点源情景。</w:t>
      </w:r>
    </w:p>
    <w:p w14:paraId="63CD0F0F">
      <w:pPr>
        <w:widowControl/>
        <w:ind w:firstLine="480"/>
        <w:rPr>
          <w:color w:val="auto"/>
        </w:rPr>
      </w:pPr>
      <w:r>
        <w:rPr>
          <w:color w:val="auto"/>
        </w:rPr>
        <w:t>预测因子：根据污染性质，筛选出预测因子为</w:t>
      </w:r>
      <w:r>
        <w:rPr>
          <w:rFonts w:hint="eastAsia"/>
          <w:color w:val="auto"/>
        </w:rPr>
        <w:t>铝和锡</w:t>
      </w:r>
      <w:r>
        <w:rPr>
          <w:color w:val="auto"/>
        </w:rPr>
        <w:t>，初始浓度C</w:t>
      </w:r>
      <w:r>
        <w:rPr>
          <w:color w:val="auto"/>
          <w:vertAlign w:val="subscript"/>
        </w:rPr>
        <w:t>0</w:t>
      </w:r>
      <w:r>
        <w:rPr>
          <w:rFonts w:hint="eastAsia"/>
          <w:color w:val="auto"/>
        </w:rPr>
        <w:t>分别</w:t>
      </w:r>
      <w:r>
        <w:rPr>
          <w:color w:val="auto"/>
        </w:rPr>
        <w:t>为</w:t>
      </w:r>
      <w:r>
        <w:rPr>
          <w:rFonts w:hint="eastAsia"/>
          <w:color w:val="auto"/>
        </w:rPr>
        <w:t>1455.69mg/L和24.22mg/L</w:t>
      </w:r>
      <w:r>
        <w:rPr>
          <w:color w:val="auto"/>
        </w:rPr>
        <w:t>。</w:t>
      </w:r>
    </w:p>
    <w:p w14:paraId="3C49357B">
      <w:pPr>
        <w:widowControl/>
        <w:ind w:firstLine="480"/>
        <w:rPr>
          <w:rFonts w:hint="default" w:eastAsia="宋体"/>
          <w:color w:val="auto"/>
          <w:lang w:val="en-US" w:eastAsia="zh-CN"/>
        </w:rPr>
      </w:pPr>
      <w:r>
        <w:rPr>
          <w:color w:val="auto"/>
        </w:rPr>
        <w:t>预测参数选取：结合</w:t>
      </w:r>
      <w:r>
        <w:rPr>
          <w:rFonts w:hint="eastAsia"/>
          <w:color w:val="auto"/>
        </w:rPr>
        <w:t>区域</w:t>
      </w:r>
      <w:r>
        <w:rPr>
          <w:color w:val="auto"/>
        </w:rPr>
        <w:t>工程勘察及水文地质勘察成果，</w:t>
      </w:r>
      <w:r>
        <w:rPr>
          <w:rFonts w:hint="eastAsia"/>
          <w:color w:val="auto"/>
          <w:lang w:val="en-US" w:eastAsia="zh-CN"/>
        </w:rPr>
        <w:t>区域含水层平均厚度11m，地下水有效孔隙度取0.506，地下水流速取0.00129m/d，纵向弥散系数取0.00046m</w:t>
      </w:r>
      <w:r>
        <w:rPr>
          <w:rFonts w:hint="eastAsia"/>
          <w:color w:val="auto"/>
          <w:vertAlign w:val="superscript"/>
          <w:lang w:val="en-US" w:eastAsia="zh-CN"/>
        </w:rPr>
        <w:t>2</w:t>
      </w:r>
      <w:r>
        <w:rPr>
          <w:rFonts w:hint="eastAsia"/>
          <w:color w:val="auto"/>
          <w:lang w:val="en-US" w:eastAsia="zh-CN"/>
        </w:rPr>
        <w:t>/d，横向弥散系数取0.000043m</w:t>
      </w:r>
      <w:r>
        <w:rPr>
          <w:rFonts w:hint="eastAsia"/>
          <w:color w:val="auto"/>
          <w:vertAlign w:val="superscript"/>
          <w:lang w:val="en-US" w:eastAsia="zh-CN"/>
        </w:rPr>
        <w:t>2</w:t>
      </w:r>
      <w:r>
        <w:rPr>
          <w:rFonts w:hint="eastAsia"/>
          <w:color w:val="auto"/>
          <w:lang w:val="en-US" w:eastAsia="zh-CN"/>
        </w:rPr>
        <w:t>/d。</w:t>
      </w:r>
    </w:p>
    <w:p w14:paraId="1F40DA57">
      <w:pPr>
        <w:widowControl/>
        <w:ind w:firstLine="480"/>
        <w:rPr>
          <w:color w:val="auto"/>
        </w:rPr>
      </w:pPr>
      <w:r>
        <w:rPr>
          <w:b/>
          <w:bCs/>
          <w:color w:val="auto"/>
        </w:rPr>
        <w:t>（3）预测结果</w:t>
      </w:r>
    </w:p>
    <w:p w14:paraId="16050257">
      <w:pPr>
        <w:ind w:firstLine="480"/>
        <w:rPr>
          <w:color w:val="auto"/>
        </w:rPr>
      </w:pPr>
      <w:r>
        <w:rPr>
          <w:rFonts w:hint="eastAsia"/>
          <w:color w:val="auto"/>
        </w:rPr>
        <w:t>根据预测，</w:t>
      </w:r>
      <w:r>
        <w:rPr>
          <w:color w:val="auto"/>
        </w:rPr>
        <w:t>泄漏</w:t>
      </w:r>
      <w:r>
        <w:rPr>
          <w:rFonts w:hint="eastAsia"/>
          <w:color w:val="auto"/>
        </w:rPr>
        <w:t>的</w:t>
      </w:r>
      <w:r>
        <w:rPr>
          <w:color w:val="auto"/>
        </w:rPr>
        <w:t>含铝废水进入包气带之后，距离地表以下0.2m处在泄漏后1天内即可监测到铝，</w:t>
      </w:r>
      <w:r>
        <w:rPr>
          <w:rFonts w:hint="eastAsia"/>
          <w:color w:val="auto"/>
        </w:rPr>
        <w:t>242</w:t>
      </w:r>
      <w:r>
        <w:rPr>
          <w:color w:val="auto"/>
        </w:rPr>
        <w:t>天后最终浓度恒定在</w:t>
      </w:r>
      <w:r>
        <w:rPr>
          <w:rFonts w:hint="eastAsia"/>
          <w:color w:val="auto"/>
        </w:rPr>
        <w:t>85</w:t>
      </w:r>
      <w:r>
        <w:rPr>
          <w:color w:val="auto"/>
        </w:rPr>
        <w:t>mg/L；地表以下0.5m处1天内即可监测到铝，</w:t>
      </w:r>
      <w:r>
        <w:rPr>
          <w:rFonts w:hint="eastAsia"/>
          <w:color w:val="auto"/>
        </w:rPr>
        <w:t>320</w:t>
      </w:r>
      <w:r>
        <w:rPr>
          <w:color w:val="auto"/>
        </w:rPr>
        <w:t>天后最终恒定浓度为</w:t>
      </w:r>
      <w:r>
        <w:rPr>
          <w:rFonts w:hint="eastAsia"/>
          <w:color w:val="auto"/>
        </w:rPr>
        <w:t>79</w:t>
      </w:r>
      <w:r>
        <w:rPr>
          <w:color w:val="auto"/>
        </w:rPr>
        <w:t>mg/L；地表以下1.0m处</w:t>
      </w:r>
      <w:r>
        <w:rPr>
          <w:rFonts w:hint="eastAsia"/>
          <w:color w:val="auto"/>
        </w:rPr>
        <w:t>1.5</w:t>
      </w:r>
      <w:r>
        <w:rPr>
          <w:color w:val="auto"/>
        </w:rPr>
        <w:t>天内即可监测到铝，300天后最终恒定浓度为</w:t>
      </w:r>
      <w:r>
        <w:rPr>
          <w:rFonts w:hint="eastAsia"/>
          <w:color w:val="auto"/>
        </w:rPr>
        <w:t>7</w:t>
      </w:r>
      <w:r>
        <w:rPr>
          <w:rFonts w:hint="eastAsia"/>
          <w:color w:val="auto"/>
          <w:lang w:val="en-US" w:eastAsia="zh-CN"/>
        </w:rPr>
        <w:t>5</w:t>
      </w:r>
      <w:r>
        <w:rPr>
          <w:color w:val="auto"/>
        </w:rPr>
        <w:t>mg/L；地表以下1.5m处5天内即可监测到铝，350天后最终恒定浓度为</w:t>
      </w:r>
      <w:r>
        <w:rPr>
          <w:rFonts w:hint="eastAsia"/>
          <w:color w:val="auto"/>
        </w:rPr>
        <w:t>7</w:t>
      </w:r>
      <w:r>
        <w:rPr>
          <w:rFonts w:hint="eastAsia"/>
          <w:color w:val="auto"/>
          <w:lang w:val="en-US" w:eastAsia="zh-CN"/>
        </w:rPr>
        <w:t>3</w:t>
      </w:r>
      <w:r>
        <w:rPr>
          <w:color w:val="auto"/>
        </w:rPr>
        <w:t>mg/L；地表以下2.0m处为</w:t>
      </w:r>
      <w:r>
        <w:rPr>
          <w:rFonts w:hint="eastAsia"/>
          <w:color w:val="auto"/>
        </w:rPr>
        <w:t>12</w:t>
      </w:r>
      <w:r>
        <w:rPr>
          <w:color w:val="auto"/>
        </w:rPr>
        <w:t>天内即可监测到铝，400天后最终恒定浓度为</w:t>
      </w:r>
      <w:r>
        <w:rPr>
          <w:rFonts w:hint="eastAsia"/>
          <w:color w:val="auto"/>
        </w:rPr>
        <w:t>72</w:t>
      </w:r>
      <w:r>
        <w:rPr>
          <w:color w:val="auto"/>
        </w:rPr>
        <w:t>mg/L。</w:t>
      </w:r>
    </w:p>
    <w:p w14:paraId="59378910">
      <w:pPr>
        <w:ind w:firstLine="480"/>
        <w:rPr>
          <w:color w:val="auto"/>
        </w:rPr>
      </w:pPr>
      <w:r>
        <w:rPr>
          <w:color w:val="auto"/>
        </w:rPr>
        <w:t>泄漏</w:t>
      </w:r>
      <w:r>
        <w:rPr>
          <w:rFonts w:hint="eastAsia"/>
          <w:color w:val="auto"/>
        </w:rPr>
        <w:t>的</w:t>
      </w:r>
      <w:r>
        <w:rPr>
          <w:color w:val="auto"/>
        </w:rPr>
        <w:t>含</w:t>
      </w:r>
      <w:r>
        <w:rPr>
          <w:rFonts w:hint="eastAsia"/>
          <w:color w:val="auto"/>
        </w:rPr>
        <w:t>锡</w:t>
      </w:r>
      <w:r>
        <w:rPr>
          <w:color w:val="auto"/>
        </w:rPr>
        <w:t>废水进入包气带之后，距离地表以下0.2m处在泄漏后1天内即可监测到铝，</w:t>
      </w:r>
      <w:r>
        <w:rPr>
          <w:rFonts w:hint="eastAsia"/>
          <w:color w:val="auto"/>
        </w:rPr>
        <w:t>200</w:t>
      </w:r>
      <w:r>
        <w:rPr>
          <w:color w:val="auto"/>
        </w:rPr>
        <w:t>天后最终浓度恒定在</w:t>
      </w:r>
      <w:r>
        <w:rPr>
          <w:rFonts w:hint="eastAsia"/>
          <w:color w:val="auto"/>
        </w:rPr>
        <w:t>20.5</w:t>
      </w:r>
      <w:r>
        <w:rPr>
          <w:color w:val="auto"/>
        </w:rPr>
        <w:t>mg/L；地表以下0.5m处1天内即可监测到铝，</w:t>
      </w:r>
      <w:r>
        <w:rPr>
          <w:rFonts w:hint="eastAsia"/>
          <w:color w:val="auto"/>
        </w:rPr>
        <w:t>280</w:t>
      </w:r>
      <w:r>
        <w:rPr>
          <w:color w:val="auto"/>
        </w:rPr>
        <w:t>天后最终恒定浓度为</w:t>
      </w:r>
      <w:r>
        <w:rPr>
          <w:rFonts w:hint="eastAsia"/>
          <w:color w:val="auto"/>
        </w:rPr>
        <w:t>16.4</w:t>
      </w:r>
      <w:r>
        <w:rPr>
          <w:color w:val="auto"/>
        </w:rPr>
        <w:t>mg/L；地表以下1.0m处</w:t>
      </w:r>
      <w:r>
        <w:rPr>
          <w:rFonts w:hint="eastAsia"/>
          <w:color w:val="auto"/>
        </w:rPr>
        <w:t>1.5</w:t>
      </w:r>
      <w:r>
        <w:rPr>
          <w:color w:val="auto"/>
        </w:rPr>
        <w:t>天内即可监测到铝，300天后最终恒定浓度为</w:t>
      </w:r>
      <w:r>
        <w:rPr>
          <w:rFonts w:hint="eastAsia"/>
          <w:color w:val="auto"/>
        </w:rPr>
        <w:t>12.4</w:t>
      </w:r>
      <w:r>
        <w:rPr>
          <w:color w:val="auto"/>
        </w:rPr>
        <w:t>mg/L；地表以下1.5m处5天内即可监测到铝，350天后最终恒定浓度为</w:t>
      </w:r>
      <w:r>
        <w:rPr>
          <w:rFonts w:hint="eastAsia"/>
          <w:color w:val="auto"/>
        </w:rPr>
        <w:t>6.4</w:t>
      </w:r>
      <w:r>
        <w:rPr>
          <w:color w:val="auto"/>
        </w:rPr>
        <w:t>mg/L；地表以下2.0m处为</w:t>
      </w:r>
      <w:r>
        <w:rPr>
          <w:rFonts w:hint="eastAsia"/>
          <w:color w:val="auto"/>
        </w:rPr>
        <w:t>12</w:t>
      </w:r>
      <w:r>
        <w:rPr>
          <w:color w:val="auto"/>
        </w:rPr>
        <w:t>天内即可监测到铝，400天后最终恒定浓度为</w:t>
      </w:r>
      <w:r>
        <w:rPr>
          <w:rFonts w:hint="eastAsia"/>
          <w:color w:val="auto"/>
        </w:rPr>
        <w:t>3.5</w:t>
      </w:r>
      <w:r>
        <w:rPr>
          <w:color w:val="auto"/>
        </w:rPr>
        <w:t>mg/L。</w:t>
      </w:r>
    </w:p>
    <w:p w14:paraId="42921343">
      <w:pPr>
        <w:spacing w:before="120" w:beforeLines="50"/>
        <w:ind w:firstLine="0" w:firstLineChars="0"/>
        <w:jc w:val="left"/>
        <w:outlineLvl w:val="3"/>
        <w:rPr>
          <w:b/>
          <w:color w:val="auto"/>
        </w:rPr>
      </w:pPr>
      <w:r>
        <w:rPr>
          <w:rFonts w:hint="eastAsia"/>
          <w:b/>
          <w:color w:val="auto"/>
        </w:rPr>
        <w:t>6</w:t>
      </w:r>
      <w:r>
        <w:rPr>
          <w:b/>
          <w:color w:val="auto"/>
        </w:rPr>
        <w:t>.2.6.</w:t>
      </w:r>
      <w:r>
        <w:rPr>
          <w:rFonts w:hint="eastAsia"/>
          <w:b/>
          <w:color w:val="auto"/>
        </w:rPr>
        <w:t>5</w:t>
      </w:r>
      <w:r>
        <w:rPr>
          <w:b/>
          <w:color w:val="auto"/>
        </w:rPr>
        <w:t xml:space="preserve"> 地面漫流影响分析</w:t>
      </w:r>
    </w:p>
    <w:p w14:paraId="78F9D31E">
      <w:pPr>
        <w:pStyle w:val="1356"/>
        <w:ind w:firstLine="480"/>
        <w:rPr>
          <w:color w:val="auto"/>
        </w:rPr>
      </w:pPr>
      <w:r>
        <w:rPr>
          <w:color w:val="auto"/>
        </w:rPr>
        <w:t>对于地上设施，在事故情况和降雨情况下产生的废水会发生地面漫流，进一步污染土壤。全面防控事故废水和可能受污染的雨水发生地面漫流，进入土壤。在全面落实事故废水防控措施的情况下，物料或污染物的地面漫流对土壤影响较小。</w:t>
      </w:r>
    </w:p>
    <w:p w14:paraId="232527AD">
      <w:pPr>
        <w:spacing w:before="120" w:beforeLines="50"/>
        <w:ind w:firstLine="0" w:firstLineChars="0"/>
        <w:jc w:val="left"/>
        <w:outlineLvl w:val="3"/>
        <w:rPr>
          <w:b/>
          <w:color w:val="auto"/>
        </w:rPr>
      </w:pPr>
      <w:r>
        <w:rPr>
          <w:rFonts w:hint="eastAsia"/>
          <w:b/>
          <w:color w:val="auto"/>
        </w:rPr>
        <w:t>6.2.6.6</w:t>
      </w:r>
      <w:r>
        <w:rPr>
          <w:b/>
          <w:color w:val="auto"/>
        </w:rPr>
        <w:t xml:space="preserve"> 垂直入渗影响分析</w:t>
      </w:r>
    </w:p>
    <w:p w14:paraId="636FE266">
      <w:pPr>
        <w:pStyle w:val="1356"/>
        <w:ind w:firstLine="480"/>
        <w:rPr>
          <w:color w:val="auto"/>
        </w:rPr>
      </w:pPr>
      <w:r>
        <w:rPr>
          <w:color w:val="auto"/>
        </w:rPr>
        <w:t>对于地下或半地下工程构筑物，在事故情况下，会造成物料、污染物等的泄漏，通过垂直入渗途径污染土壤。对于厂区内进行了分区防渗，危废暂存间等重点污染防治区，其防渗等级应满足等效粘土防渗层Mb≥6.0m，渗透系数K≤1.0×10</w:t>
      </w:r>
      <w:r>
        <w:rPr>
          <w:color w:val="auto"/>
          <w:vertAlign w:val="superscript"/>
        </w:rPr>
        <w:t>-7</w:t>
      </w:r>
      <w:r>
        <w:rPr>
          <w:color w:val="auto"/>
        </w:rPr>
        <w:t>cm/s；一般污染防治区，其防渗等级应满足等效粘土防渗层Mb≥1.5m，渗透系数K≤1.0×10</w:t>
      </w:r>
      <w:r>
        <w:rPr>
          <w:color w:val="auto"/>
          <w:vertAlign w:val="superscript"/>
        </w:rPr>
        <w:t>-7</w:t>
      </w:r>
      <w:r>
        <w:rPr>
          <w:color w:val="auto"/>
        </w:rPr>
        <w:t>cm/s。在全面落实分区防渗措施的情况下，物料或污染物的垂直入渗对土壤环境影响较小。若地面防渗层发生破损，那么有可能会发生渗漏，污染物将穿过包气带影响到地下水。在污染物穿越包气带的过程中，由于土壤的阻隔、吸附作用，将导致土壤受到污染。因此，项目应严格落实防渗工程并定期检查重点风险点，杜绝事故泄漏情况发生。</w:t>
      </w:r>
    </w:p>
    <w:p w14:paraId="564D58FE">
      <w:pPr>
        <w:pStyle w:val="1356"/>
        <w:ind w:firstLine="480"/>
        <w:rPr>
          <w:color w:val="auto"/>
        </w:rPr>
      </w:pPr>
      <w:r>
        <w:rPr>
          <w:color w:val="auto"/>
        </w:rPr>
        <w:t>综上，经分析可知，在企业落实好废气治理、厂区排水系统和分区防渗措施，并加强日常管理，定期排查事故隐患的情况下，本项目建设对土壤环境影响可</w:t>
      </w:r>
      <w:r>
        <w:rPr>
          <w:rFonts w:hint="eastAsia"/>
          <w:color w:val="auto"/>
        </w:rPr>
        <w:t>接受</w:t>
      </w:r>
      <w:r>
        <w:rPr>
          <w:color w:val="auto"/>
        </w:rPr>
        <w:t>。</w:t>
      </w:r>
    </w:p>
    <w:p w14:paraId="705BDE5D">
      <w:pPr>
        <w:spacing w:before="120" w:beforeLines="50"/>
        <w:ind w:firstLine="0" w:firstLineChars="0"/>
        <w:jc w:val="left"/>
        <w:outlineLvl w:val="3"/>
        <w:rPr>
          <w:b/>
          <w:color w:val="auto"/>
        </w:rPr>
      </w:pPr>
      <w:r>
        <w:rPr>
          <w:rFonts w:hint="eastAsia"/>
          <w:b/>
          <w:color w:val="auto"/>
        </w:rPr>
        <w:t>6.2.6.7</w:t>
      </w:r>
      <w:r>
        <w:rPr>
          <w:b/>
          <w:color w:val="auto"/>
        </w:rPr>
        <w:t xml:space="preserve"> 土壤</w:t>
      </w:r>
      <w:r>
        <w:rPr>
          <w:rFonts w:hint="eastAsia"/>
          <w:b/>
          <w:color w:val="auto"/>
        </w:rPr>
        <w:t>污染防治措施</w:t>
      </w:r>
    </w:p>
    <w:p w14:paraId="0F6E8AAD">
      <w:pPr>
        <w:pStyle w:val="1356"/>
        <w:ind w:firstLine="480"/>
        <w:rPr>
          <w:color w:val="auto"/>
        </w:rPr>
      </w:pPr>
      <w:r>
        <w:rPr>
          <w:rFonts w:hint="eastAsia"/>
          <w:color w:val="auto"/>
        </w:rPr>
        <w:t>1、</w:t>
      </w:r>
      <w:r>
        <w:rPr>
          <w:color w:val="auto"/>
        </w:rPr>
        <w:t>源头控制措施</w:t>
      </w:r>
    </w:p>
    <w:p w14:paraId="1ECAD01D">
      <w:pPr>
        <w:pStyle w:val="1356"/>
        <w:ind w:firstLine="480"/>
        <w:rPr>
          <w:color w:val="auto"/>
        </w:rPr>
      </w:pPr>
      <w:r>
        <w:rPr>
          <w:color w:val="auto"/>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659EA407">
      <w:pPr>
        <w:pStyle w:val="1356"/>
        <w:ind w:firstLine="480"/>
        <w:rPr>
          <w:color w:val="auto"/>
        </w:rPr>
      </w:pPr>
      <w:r>
        <w:rPr>
          <w:rFonts w:hint="eastAsia"/>
          <w:color w:val="auto"/>
        </w:rPr>
        <w:t>2、</w:t>
      </w:r>
      <w:r>
        <w:rPr>
          <w:color w:val="auto"/>
        </w:rPr>
        <w:t>过程控制措施</w:t>
      </w:r>
    </w:p>
    <w:p w14:paraId="120782ED">
      <w:pPr>
        <w:pStyle w:val="1356"/>
        <w:ind w:firstLine="480"/>
        <w:rPr>
          <w:color w:val="auto"/>
        </w:rPr>
      </w:pPr>
      <w:r>
        <w:rPr>
          <w:color w:val="auto"/>
        </w:rPr>
        <w:t>项目按重点污染防治区、一般污染防治区、简单防渗区分别采取不同等级的防渗措施，其中仓库、危废暂存间等重点防渗区域，基础底部夯实，上面铺装防渗层，等效黏土防渗层厚度≥6米，渗透系数≤10</w:t>
      </w:r>
      <w:r>
        <w:rPr>
          <w:rFonts w:hint="eastAsia"/>
          <w:color w:val="auto"/>
          <w:vertAlign w:val="superscript"/>
        </w:rPr>
        <w:t>-</w:t>
      </w:r>
      <w:r>
        <w:rPr>
          <w:color w:val="auto"/>
          <w:vertAlign w:val="superscript"/>
        </w:rPr>
        <w:t>7</w:t>
      </w:r>
      <w:r>
        <w:rPr>
          <w:color w:val="auto"/>
        </w:rPr>
        <w:t>厘米/秒。危废暂存间按照《危险废物贮存污染控制标准》</w:t>
      </w:r>
      <w:r>
        <w:rPr>
          <w:rFonts w:hint="eastAsia"/>
          <w:color w:val="auto"/>
        </w:rPr>
        <w:t>（</w:t>
      </w:r>
      <w:r>
        <w:rPr>
          <w:color w:val="auto"/>
        </w:rPr>
        <w:t>GB18579-20</w:t>
      </w:r>
      <w:r>
        <w:rPr>
          <w:rFonts w:hint="eastAsia"/>
          <w:color w:val="auto"/>
        </w:rPr>
        <w:t>23</w:t>
      </w:r>
      <w:r>
        <w:rPr>
          <w:color w:val="auto"/>
        </w:rPr>
        <w:t>）中的要求施行防渗。对其他生产车间、一般固废站等一般防渗区采取基底夯实、基础防渗及表层硬化措施，等效黏土防渗层厚度≥1.5米，渗透系数≤10</w:t>
      </w:r>
      <w:r>
        <w:rPr>
          <w:rFonts w:hint="eastAsia"/>
          <w:color w:val="auto"/>
          <w:vertAlign w:val="superscript"/>
        </w:rPr>
        <w:t>-</w:t>
      </w:r>
      <w:r>
        <w:rPr>
          <w:color w:val="auto"/>
          <w:vertAlign w:val="superscript"/>
        </w:rPr>
        <w:t>7</w:t>
      </w:r>
      <w:r>
        <w:rPr>
          <w:color w:val="auto"/>
        </w:rPr>
        <w:t>厘米/秒。简单防渗区进行地面硬化处理。企业在管理方面严加管理，并采取相应的防渗措施可有效</w:t>
      </w:r>
      <w:r>
        <w:rPr>
          <w:rFonts w:hint="eastAsia"/>
          <w:color w:val="auto"/>
        </w:rPr>
        <w:t>防止</w:t>
      </w:r>
      <w:r>
        <w:rPr>
          <w:color w:val="auto"/>
        </w:rPr>
        <w:t>危险废物暂存和处置过程中因物料泄漏造成对区域土壤环境的污染。</w:t>
      </w:r>
    </w:p>
    <w:p w14:paraId="45368488">
      <w:pPr>
        <w:pStyle w:val="1356"/>
        <w:ind w:firstLine="480"/>
        <w:rPr>
          <w:color w:val="auto"/>
        </w:rPr>
      </w:pPr>
      <w:r>
        <w:rPr>
          <w:color w:val="auto"/>
        </w:rPr>
        <w:t>此外，一旦发生土壤污染事故，立即企业环境风险应急预案，采取应急措施控制土壤污染，并使污染得到治理。</w:t>
      </w:r>
    </w:p>
    <w:p w14:paraId="5787255B">
      <w:pPr>
        <w:spacing w:before="120" w:beforeLines="50"/>
        <w:ind w:firstLine="0" w:firstLineChars="0"/>
        <w:jc w:val="left"/>
        <w:outlineLvl w:val="3"/>
        <w:rPr>
          <w:b/>
          <w:color w:val="auto"/>
        </w:rPr>
      </w:pPr>
      <w:r>
        <w:rPr>
          <w:rFonts w:hint="eastAsia"/>
          <w:b/>
          <w:color w:val="auto"/>
        </w:rPr>
        <w:t>6.2.6.8</w:t>
      </w:r>
      <w:r>
        <w:rPr>
          <w:b/>
          <w:color w:val="auto"/>
        </w:rPr>
        <w:t xml:space="preserve"> 土壤环境影响自查表</w:t>
      </w:r>
    </w:p>
    <w:p w14:paraId="76B0E6A0">
      <w:pPr>
        <w:pStyle w:val="1356"/>
        <w:spacing w:line="240" w:lineRule="auto"/>
        <w:ind w:firstLine="0" w:firstLineChars="0"/>
        <w:jc w:val="center"/>
        <w:rPr>
          <w:b/>
          <w:bCs/>
          <w:color w:val="auto"/>
        </w:rPr>
      </w:pPr>
      <w:r>
        <w:rPr>
          <w:b/>
          <w:bCs/>
          <w:color w:val="auto"/>
        </w:rPr>
        <w:t>表</w:t>
      </w:r>
      <w:r>
        <w:rPr>
          <w:rFonts w:hint="eastAsia"/>
          <w:b/>
          <w:bCs/>
          <w:color w:val="auto"/>
        </w:rPr>
        <w:t>6.2.6-4</w:t>
      </w:r>
      <w:r>
        <w:rPr>
          <w:b/>
          <w:bCs/>
          <w:color w:val="auto"/>
        </w:rPr>
        <w:t xml:space="preserve">  </w:t>
      </w:r>
      <w:r>
        <w:rPr>
          <w:b/>
          <w:bCs/>
          <w:color w:val="auto"/>
          <w:kern w:val="0"/>
        </w:rPr>
        <w:t>土壤环境影响评价自查表</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83"/>
        <w:gridCol w:w="2239"/>
        <w:gridCol w:w="1435"/>
        <w:gridCol w:w="528"/>
        <w:gridCol w:w="846"/>
        <w:gridCol w:w="1119"/>
        <w:gridCol w:w="211"/>
        <w:gridCol w:w="1914"/>
        <w:gridCol w:w="526"/>
      </w:tblGrid>
      <w:tr w14:paraId="6195C0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blHeader/>
        </w:trPr>
        <w:tc>
          <w:tcPr>
            <w:tcW w:w="1501" w:type="pct"/>
            <w:gridSpan w:val="2"/>
            <w:vAlign w:val="center"/>
          </w:tcPr>
          <w:p w14:paraId="7B8C8EC5">
            <w:pPr>
              <w:spacing w:line="240" w:lineRule="auto"/>
              <w:ind w:firstLine="0" w:firstLineChars="0"/>
              <w:jc w:val="center"/>
              <w:rPr>
                <w:b/>
                <w:bCs/>
                <w:color w:val="auto"/>
                <w:sz w:val="21"/>
                <w:szCs w:val="21"/>
              </w:rPr>
            </w:pPr>
            <w:r>
              <w:rPr>
                <w:b/>
                <w:bCs/>
                <w:color w:val="auto"/>
                <w:sz w:val="21"/>
                <w:szCs w:val="21"/>
              </w:rPr>
              <w:t>工作内容</w:t>
            </w:r>
          </w:p>
        </w:tc>
        <w:tc>
          <w:tcPr>
            <w:tcW w:w="3219" w:type="pct"/>
            <w:gridSpan w:val="6"/>
            <w:vAlign w:val="center"/>
          </w:tcPr>
          <w:p w14:paraId="5A4E0524">
            <w:pPr>
              <w:spacing w:line="240" w:lineRule="auto"/>
              <w:ind w:firstLine="0" w:firstLineChars="0"/>
              <w:jc w:val="center"/>
              <w:rPr>
                <w:b/>
                <w:bCs/>
                <w:color w:val="auto"/>
                <w:sz w:val="21"/>
                <w:szCs w:val="21"/>
              </w:rPr>
            </w:pPr>
            <w:r>
              <w:rPr>
                <w:b/>
                <w:bCs/>
                <w:color w:val="auto"/>
                <w:sz w:val="21"/>
                <w:szCs w:val="21"/>
              </w:rPr>
              <w:t>完成情况</w:t>
            </w:r>
          </w:p>
        </w:tc>
        <w:tc>
          <w:tcPr>
            <w:tcW w:w="278" w:type="pct"/>
            <w:vAlign w:val="center"/>
          </w:tcPr>
          <w:p w14:paraId="7E280D5E">
            <w:pPr>
              <w:spacing w:line="240" w:lineRule="auto"/>
              <w:ind w:firstLine="0" w:firstLineChars="0"/>
              <w:jc w:val="center"/>
              <w:rPr>
                <w:b/>
                <w:bCs/>
                <w:color w:val="auto"/>
                <w:sz w:val="21"/>
                <w:szCs w:val="21"/>
              </w:rPr>
            </w:pPr>
            <w:r>
              <w:rPr>
                <w:b/>
                <w:bCs/>
                <w:color w:val="auto"/>
                <w:sz w:val="21"/>
                <w:szCs w:val="21"/>
              </w:rPr>
              <w:t>备注</w:t>
            </w:r>
          </w:p>
        </w:tc>
      </w:tr>
      <w:tr w14:paraId="3B0100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10" w:type="pct"/>
            <w:vMerge w:val="restart"/>
            <w:textDirection w:val="tbRlV"/>
            <w:vAlign w:val="center"/>
          </w:tcPr>
          <w:p w14:paraId="49047B1A">
            <w:pPr>
              <w:spacing w:line="240" w:lineRule="auto"/>
              <w:ind w:firstLine="0" w:firstLineChars="0"/>
              <w:jc w:val="center"/>
              <w:rPr>
                <w:color w:val="auto"/>
                <w:sz w:val="21"/>
                <w:szCs w:val="21"/>
              </w:rPr>
            </w:pPr>
            <w:r>
              <w:rPr>
                <w:color w:val="auto"/>
                <w:sz w:val="21"/>
                <w:szCs w:val="21"/>
              </w:rPr>
              <w:t>影 响 识 别</w:t>
            </w:r>
          </w:p>
        </w:tc>
        <w:tc>
          <w:tcPr>
            <w:tcW w:w="1191" w:type="pct"/>
            <w:vAlign w:val="center"/>
          </w:tcPr>
          <w:p w14:paraId="4BF37C4C">
            <w:pPr>
              <w:spacing w:line="240" w:lineRule="auto"/>
              <w:ind w:firstLine="0" w:firstLineChars="0"/>
              <w:jc w:val="center"/>
              <w:rPr>
                <w:color w:val="auto"/>
                <w:sz w:val="21"/>
                <w:szCs w:val="21"/>
              </w:rPr>
            </w:pPr>
            <w:r>
              <w:rPr>
                <w:color w:val="auto"/>
                <w:sz w:val="21"/>
                <w:szCs w:val="21"/>
              </w:rPr>
              <w:t>影响类型</w:t>
            </w:r>
          </w:p>
        </w:tc>
        <w:tc>
          <w:tcPr>
            <w:tcW w:w="3219" w:type="pct"/>
            <w:gridSpan w:val="6"/>
            <w:vAlign w:val="center"/>
          </w:tcPr>
          <w:p w14:paraId="56F44002">
            <w:pPr>
              <w:spacing w:line="240" w:lineRule="auto"/>
              <w:ind w:firstLine="0" w:firstLineChars="0"/>
              <w:jc w:val="center"/>
              <w:rPr>
                <w:color w:val="auto"/>
                <w:sz w:val="21"/>
                <w:szCs w:val="21"/>
              </w:rPr>
            </w:pPr>
            <w:r>
              <w:rPr>
                <w:color w:val="auto"/>
                <w:sz w:val="21"/>
                <w:szCs w:val="21"/>
              </w:rPr>
              <w:t>污染影响型☑；生态影响型□；两种兼有□</w:t>
            </w:r>
          </w:p>
        </w:tc>
        <w:tc>
          <w:tcPr>
            <w:tcW w:w="278" w:type="pct"/>
            <w:vAlign w:val="center"/>
          </w:tcPr>
          <w:p w14:paraId="734862BE">
            <w:pPr>
              <w:spacing w:line="240" w:lineRule="auto"/>
              <w:ind w:firstLine="0" w:firstLineChars="0"/>
              <w:jc w:val="center"/>
              <w:rPr>
                <w:color w:val="auto"/>
                <w:sz w:val="21"/>
                <w:szCs w:val="21"/>
              </w:rPr>
            </w:pPr>
          </w:p>
        </w:tc>
      </w:tr>
      <w:tr w14:paraId="180E6B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6" w:hRule="atLeast"/>
        </w:trPr>
        <w:tc>
          <w:tcPr>
            <w:tcW w:w="310" w:type="pct"/>
            <w:vMerge w:val="continue"/>
            <w:textDirection w:val="tbRlV"/>
            <w:vAlign w:val="center"/>
          </w:tcPr>
          <w:p w14:paraId="308E0960">
            <w:pPr>
              <w:spacing w:line="240" w:lineRule="auto"/>
              <w:ind w:firstLine="0" w:firstLineChars="0"/>
              <w:jc w:val="center"/>
              <w:rPr>
                <w:color w:val="auto"/>
                <w:sz w:val="21"/>
                <w:szCs w:val="21"/>
              </w:rPr>
            </w:pPr>
          </w:p>
        </w:tc>
        <w:tc>
          <w:tcPr>
            <w:tcW w:w="1191" w:type="pct"/>
            <w:vAlign w:val="center"/>
          </w:tcPr>
          <w:p w14:paraId="540A69F6">
            <w:pPr>
              <w:spacing w:line="240" w:lineRule="auto"/>
              <w:ind w:firstLine="0" w:firstLineChars="0"/>
              <w:jc w:val="center"/>
              <w:rPr>
                <w:color w:val="auto"/>
                <w:sz w:val="21"/>
                <w:szCs w:val="21"/>
              </w:rPr>
            </w:pPr>
            <w:r>
              <w:rPr>
                <w:color w:val="auto"/>
                <w:sz w:val="21"/>
                <w:szCs w:val="21"/>
              </w:rPr>
              <w:t>土地利用类型</w:t>
            </w:r>
          </w:p>
        </w:tc>
        <w:tc>
          <w:tcPr>
            <w:tcW w:w="3219" w:type="pct"/>
            <w:gridSpan w:val="6"/>
            <w:vAlign w:val="center"/>
          </w:tcPr>
          <w:p w14:paraId="2E8FE426">
            <w:pPr>
              <w:spacing w:line="240" w:lineRule="auto"/>
              <w:ind w:firstLine="0" w:firstLineChars="0"/>
              <w:jc w:val="center"/>
              <w:rPr>
                <w:color w:val="auto"/>
                <w:sz w:val="21"/>
                <w:szCs w:val="21"/>
              </w:rPr>
            </w:pPr>
            <w:r>
              <w:rPr>
                <w:color w:val="auto"/>
                <w:sz w:val="21"/>
                <w:szCs w:val="21"/>
              </w:rPr>
              <w:t>建设用地☑；农用地□；未利用地□</w:t>
            </w:r>
          </w:p>
        </w:tc>
        <w:tc>
          <w:tcPr>
            <w:tcW w:w="278" w:type="pct"/>
            <w:vAlign w:val="center"/>
          </w:tcPr>
          <w:p w14:paraId="61306137">
            <w:pPr>
              <w:spacing w:line="240" w:lineRule="auto"/>
              <w:ind w:firstLine="0" w:firstLineChars="0"/>
              <w:jc w:val="center"/>
              <w:rPr>
                <w:color w:val="auto"/>
                <w:sz w:val="21"/>
                <w:szCs w:val="21"/>
              </w:rPr>
            </w:pPr>
          </w:p>
        </w:tc>
      </w:tr>
      <w:tr w14:paraId="2AF59C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10" w:type="pct"/>
            <w:vMerge w:val="continue"/>
            <w:textDirection w:val="tbRlV"/>
            <w:vAlign w:val="center"/>
          </w:tcPr>
          <w:p w14:paraId="7C4E2620">
            <w:pPr>
              <w:spacing w:line="240" w:lineRule="auto"/>
              <w:ind w:firstLine="0" w:firstLineChars="0"/>
              <w:jc w:val="center"/>
              <w:rPr>
                <w:color w:val="auto"/>
                <w:sz w:val="21"/>
                <w:szCs w:val="21"/>
              </w:rPr>
            </w:pPr>
          </w:p>
        </w:tc>
        <w:tc>
          <w:tcPr>
            <w:tcW w:w="1191" w:type="pct"/>
            <w:vAlign w:val="center"/>
          </w:tcPr>
          <w:p w14:paraId="5D199614">
            <w:pPr>
              <w:spacing w:line="240" w:lineRule="auto"/>
              <w:ind w:firstLine="0" w:firstLineChars="0"/>
              <w:jc w:val="center"/>
              <w:rPr>
                <w:color w:val="auto"/>
                <w:sz w:val="21"/>
                <w:szCs w:val="21"/>
              </w:rPr>
            </w:pPr>
            <w:r>
              <w:rPr>
                <w:color w:val="auto"/>
                <w:sz w:val="21"/>
                <w:szCs w:val="21"/>
              </w:rPr>
              <w:t>占地规模</w:t>
            </w:r>
          </w:p>
        </w:tc>
        <w:tc>
          <w:tcPr>
            <w:tcW w:w="3219" w:type="pct"/>
            <w:gridSpan w:val="6"/>
            <w:vAlign w:val="center"/>
          </w:tcPr>
          <w:p w14:paraId="399F723B">
            <w:pPr>
              <w:spacing w:line="240" w:lineRule="auto"/>
              <w:ind w:firstLine="0" w:firstLineChars="0"/>
              <w:jc w:val="center"/>
              <w:rPr>
                <w:color w:val="auto"/>
                <w:sz w:val="21"/>
                <w:szCs w:val="21"/>
              </w:rPr>
            </w:pPr>
            <w:r>
              <w:rPr>
                <w:color w:val="auto"/>
                <w:sz w:val="21"/>
                <w:szCs w:val="21"/>
              </w:rPr>
              <w:t>(1) hm</w:t>
            </w:r>
            <w:r>
              <w:rPr>
                <w:color w:val="auto"/>
                <w:position w:val="6"/>
                <w:sz w:val="21"/>
                <w:szCs w:val="21"/>
                <w:vertAlign w:val="superscript"/>
              </w:rPr>
              <w:t>2</w:t>
            </w:r>
          </w:p>
        </w:tc>
        <w:tc>
          <w:tcPr>
            <w:tcW w:w="278" w:type="pct"/>
            <w:vAlign w:val="center"/>
          </w:tcPr>
          <w:p w14:paraId="34EE09AA">
            <w:pPr>
              <w:spacing w:line="240" w:lineRule="auto"/>
              <w:ind w:firstLine="0" w:firstLineChars="0"/>
              <w:jc w:val="center"/>
              <w:rPr>
                <w:color w:val="auto"/>
                <w:sz w:val="21"/>
                <w:szCs w:val="21"/>
              </w:rPr>
            </w:pPr>
          </w:p>
        </w:tc>
      </w:tr>
      <w:tr w14:paraId="448E2D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6" w:hRule="atLeast"/>
        </w:trPr>
        <w:tc>
          <w:tcPr>
            <w:tcW w:w="310" w:type="pct"/>
            <w:vMerge w:val="continue"/>
            <w:textDirection w:val="tbRlV"/>
            <w:vAlign w:val="center"/>
          </w:tcPr>
          <w:p w14:paraId="2B817088">
            <w:pPr>
              <w:spacing w:line="240" w:lineRule="auto"/>
              <w:ind w:firstLine="0" w:firstLineChars="0"/>
              <w:jc w:val="center"/>
              <w:rPr>
                <w:color w:val="auto"/>
                <w:sz w:val="21"/>
                <w:szCs w:val="21"/>
              </w:rPr>
            </w:pPr>
          </w:p>
        </w:tc>
        <w:tc>
          <w:tcPr>
            <w:tcW w:w="1191" w:type="pct"/>
            <w:vAlign w:val="center"/>
          </w:tcPr>
          <w:p w14:paraId="1FC6D452">
            <w:pPr>
              <w:spacing w:line="240" w:lineRule="auto"/>
              <w:ind w:firstLine="0" w:firstLineChars="0"/>
              <w:jc w:val="center"/>
              <w:rPr>
                <w:color w:val="auto"/>
                <w:sz w:val="21"/>
                <w:szCs w:val="21"/>
              </w:rPr>
            </w:pPr>
            <w:r>
              <w:rPr>
                <w:color w:val="auto"/>
                <w:sz w:val="21"/>
                <w:szCs w:val="21"/>
              </w:rPr>
              <w:t>敏感目标信息</w:t>
            </w:r>
          </w:p>
        </w:tc>
        <w:tc>
          <w:tcPr>
            <w:tcW w:w="3219" w:type="pct"/>
            <w:gridSpan w:val="6"/>
            <w:vAlign w:val="center"/>
          </w:tcPr>
          <w:p w14:paraId="29CC0922">
            <w:pPr>
              <w:spacing w:line="240" w:lineRule="auto"/>
              <w:ind w:firstLine="0" w:firstLineChars="0"/>
              <w:jc w:val="center"/>
              <w:rPr>
                <w:color w:val="auto"/>
                <w:sz w:val="21"/>
                <w:szCs w:val="21"/>
              </w:rPr>
            </w:pPr>
            <w:r>
              <w:rPr>
                <w:color w:val="auto"/>
                <w:sz w:val="21"/>
                <w:szCs w:val="21"/>
              </w:rPr>
              <w:t>敏感目标</w:t>
            </w:r>
            <w:r>
              <w:rPr>
                <w:rFonts w:hint="eastAsia"/>
                <w:color w:val="auto"/>
                <w:sz w:val="21"/>
                <w:szCs w:val="21"/>
              </w:rPr>
              <w:t>（）</w:t>
            </w:r>
            <w:r>
              <w:rPr>
                <w:color w:val="auto"/>
                <w:sz w:val="21"/>
                <w:szCs w:val="21"/>
              </w:rPr>
              <w:t>、方位</w:t>
            </w:r>
            <w:r>
              <w:rPr>
                <w:rFonts w:hint="eastAsia"/>
                <w:color w:val="auto"/>
                <w:sz w:val="21"/>
                <w:szCs w:val="21"/>
              </w:rPr>
              <w:t>（）</w:t>
            </w:r>
            <w:r>
              <w:rPr>
                <w:color w:val="auto"/>
                <w:sz w:val="21"/>
                <w:szCs w:val="21"/>
              </w:rPr>
              <w:t xml:space="preserve"> 、距离</w:t>
            </w:r>
            <w:r>
              <w:rPr>
                <w:rFonts w:hint="eastAsia"/>
                <w:color w:val="auto"/>
                <w:sz w:val="21"/>
                <w:szCs w:val="21"/>
              </w:rPr>
              <w:t>（）</w:t>
            </w:r>
          </w:p>
        </w:tc>
        <w:tc>
          <w:tcPr>
            <w:tcW w:w="278" w:type="pct"/>
            <w:vAlign w:val="center"/>
          </w:tcPr>
          <w:p w14:paraId="138731CC">
            <w:pPr>
              <w:spacing w:line="240" w:lineRule="auto"/>
              <w:ind w:firstLine="0" w:firstLineChars="0"/>
              <w:jc w:val="center"/>
              <w:rPr>
                <w:color w:val="auto"/>
                <w:sz w:val="21"/>
                <w:szCs w:val="21"/>
              </w:rPr>
            </w:pPr>
          </w:p>
        </w:tc>
      </w:tr>
      <w:tr w14:paraId="0B7E30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8" w:hRule="atLeast"/>
        </w:trPr>
        <w:tc>
          <w:tcPr>
            <w:tcW w:w="310" w:type="pct"/>
            <w:vMerge w:val="continue"/>
            <w:textDirection w:val="tbRlV"/>
            <w:vAlign w:val="center"/>
          </w:tcPr>
          <w:p w14:paraId="1D7F4739">
            <w:pPr>
              <w:spacing w:line="240" w:lineRule="auto"/>
              <w:ind w:firstLine="0" w:firstLineChars="0"/>
              <w:jc w:val="center"/>
              <w:rPr>
                <w:color w:val="auto"/>
                <w:sz w:val="21"/>
                <w:szCs w:val="21"/>
              </w:rPr>
            </w:pPr>
          </w:p>
        </w:tc>
        <w:tc>
          <w:tcPr>
            <w:tcW w:w="1191" w:type="pct"/>
            <w:vAlign w:val="center"/>
          </w:tcPr>
          <w:p w14:paraId="36DC08F5">
            <w:pPr>
              <w:spacing w:line="240" w:lineRule="auto"/>
              <w:ind w:firstLine="0" w:firstLineChars="0"/>
              <w:jc w:val="center"/>
              <w:rPr>
                <w:color w:val="auto"/>
                <w:sz w:val="21"/>
                <w:szCs w:val="21"/>
              </w:rPr>
            </w:pPr>
            <w:r>
              <w:rPr>
                <w:color w:val="auto"/>
                <w:sz w:val="21"/>
                <w:szCs w:val="21"/>
              </w:rPr>
              <w:t>影响途径</w:t>
            </w:r>
          </w:p>
        </w:tc>
        <w:tc>
          <w:tcPr>
            <w:tcW w:w="3219" w:type="pct"/>
            <w:gridSpan w:val="6"/>
            <w:vAlign w:val="center"/>
          </w:tcPr>
          <w:p w14:paraId="32508223">
            <w:pPr>
              <w:spacing w:line="240" w:lineRule="auto"/>
              <w:ind w:firstLine="0" w:firstLineChars="0"/>
              <w:jc w:val="center"/>
              <w:rPr>
                <w:color w:val="auto"/>
                <w:sz w:val="21"/>
                <w:szCs w:val="21"/>
              </w:rPr>
            </w:pPr>
            <w:r>
              <w:rPr>
                <w:color w:val="auto"/>
                <w:sz w:val="21"/>
                <w:szCs w:val="21"/>
              </w:rPr>
              <w:t>大气沉降☑；地面漫流☑；垂直入渗☑；地下水位□；其它</w:t>
            </w:r>
            <w:r>
              <w:rPr>
                <w:rFonts w:hint="eastAsia"/>
                <w:color w:val="auto"/>
                <w:sz w:val="21"/>
                <w:szCs w:val="21"/>
              </w:rPr>
              <w:t>（）</w:t>
            </w:r>
          </w:p>
        </w:tc>
        <w:tc>
          <w:tcPr>
            <w:tcW w:w="278" w:type="pct"/>
            <w:vAlign w:val="center"/>
          </w:tcPr>
          <w:p w14:paraId="559D381A">
            <w:pPr>
              <w:spacing w:line="240" w:lineRule="auto"/>
              <w:ind w:firstLine="0" w:firstLineChars="0"/>
              <w:jc w:val="center"/>
              <w:rPr>
                <w:color w:val="auto"/>
                <w:sz w:val="21"/>
                <w:szCs w:val="21"/>
              </w:rPr>
            </w:pPr>
          </w:p>
        </w:tc>
      </w:tr>
      <w:tr w14:paraId="32DEF9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1" w:hRule="atLeast"/>
        </w:trPr>
        <w:tc>
          <w:tcPr>
            <w:tcW w:w="310" w:type="pct"/>
            <w:vMerge w:val="continue"/>
            <w:textDirection w:val="tbRlV"/>
            <w:vAlign w:val="center"/>
          </w:tcPr>
          <w:p w14:paraId="032730F7">
            <w:pPr>
              <w:spacing w:line="240" w:lineRule="auto"/>
              <w:ind w:firstLine="0" w:firstLineChars="0"/>
              <w:jc w:val="center"/>
              <w:rPr>
                <w:color w:val="auto"/>
                <w:sz w:val="21"/>
                <w:szCs w:val="21"/>
              </w:rPr>
            </w:pPr>
          </w:p>
        </w:tc>
        <w:tc>
          <w:tcPr>
            <w:tcW w:w="1191" w:type="pct"/>
            <w:vAlign w:val="center"/>
          </w:tcPr>
          <w:p w14:paraId="118E30CD">
            <w:pPr>
              <w:spacing w:line="240" w:lineRule="auto"/>
              <w:ind w:firstLine="0" w:firstLineChars="0"/>
              <w:jc w:val="center"/>
              <w:rPr>
                <w:color w:val="auto"/>
                <w:sz w:val="21"/>
                <w:szCs w:val="21"/>
              </w:rPr>
            </w:pPr>
            <w:r>
              <w:rPr>
                <w:color w:val="auto"/>
                <w:sz w:val="21"/>
                <w:szCs w:val="21"/>
              </w:rPr>
              <w:t>全部污染物</w:t>
            </w:r>
          </w:p>
        </w:tc>
        <w:tc>
          <w:tcPr>
            <w:tcW w:w="3219" w:type="pct"/>
            <w:gridSpan w:val="6"/>
            <w:vAlign w:val="center"/>
          </w:tcPr>
          <w:p w14:paraId="16F2DD61">
            <w:pPr>
              <w:spacing w:line="240" w:lineRule="auto"/>
              <w:ind w:firstLine="0" w:firstLineChars="0"/>
              <w:jc w:val="center"/>
              <w:rPr>
                <w:color w:val="auto"/>
                <w:sz w:val="21"/>
                <w:szCs w:val="21"/>
              </w:rPr>
            </w:pPr>
            <w:r>
              <w:rPr>
                <w:rFonts w:hint="eastAsia"/>
                <w:color w:val="auto"/>
                <w:sz w:val="21"/>
                <w:szCs w:val="21"/>
              </w:rPr>
              <w:t>pH、COD、SS、氨氮、总磷、总氮、LAS、石油类、总锡、总铝</w:t>
            </w:r>
          </w:p>
        </w:tc>
        <w:tc>
          <w:tcPr>
            <w:tcW w:w="278" w:type="pct"/>
            <w:vAlign w:val="center"/>
          </w:tcPr>
          <w:p w14:paraId="7E237F7E">
            <w:pPr>
              <w:spacing w:line="240" w:lineRule="auto"/>
              <w:ind w:firstLine="0" w:firstLineChars="0"/>
              <w:jc w:val="center"/>
              <w:rPr>
                <w:color w:val="auto"/>
                <w:sz w:val="21"/>
                <w:szCs w:val="21"/>
              </w:rPr>
            </w:pPr>
          </w:p>
        </w:tc>
      </w:tr>
      <w:tr w14:paraId="44E951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1" w:hRule="atLeast"/>
        </w:trPr>
        <w:tc>
          <w:tcPr>
            <w:tcW w:w="310" w:type="pct"/>
            <w:vMerge w:val="continue"/>
            <w:textDirection w:val="tbRlV"/>
            <w:vAlign w:val="center"/>
          </w:tcPr>
          <w:p w14:paraId="2F254FB5">
            <w:pPr>
              <w:spacing w:line="240" w:lineRule="auto"/>
              <w:ind w:firstLine="0" w:firstLineChars="0"/>
              <w:jc w:val="center"/>
              <w:rPr>
                <w:color w:val="auto"/>
                <w:sz w:val="21"/>
                <w:szCs w:val="21"/>
              </w:rPr>
            </w:pPr>
          </w:p>
        </w:tc>
        <w:tc>
          <w:tcPr>
            <w:tcW w:w="1191" w:type="pct"/>
            <w:vAlign w:val="center"/>
          </w:tcPr>
          <w:p w14:paraId="456FAF37">
            <w:pPr>
              <w:spacing w:line="240" w:lineRule="auto"/>
              <w:ind w:firstLine="0" w:firstLineChars="0"/>
              <w:jc w:val="center"/>
              <w:rPr>
                <w:color w:val="auto"/>
                <w:sz w:val="21"/>
                <w:szCs w:val="21"/>
              </w:rPr>
            </w:pPr>
            <w:r>
              <w:rPr>
                <w:color w:val="auto"/>
                <w:sz w:val="21"/>
                <w:szCs w:val="21"/>
              </w:rPr>
              <w:t>特征因子</w:t>
            </w:r>
          </w:p>
        </w:tc>
        <w:tc>
          <w:tcPr>
            <w:tcW w:w="3219" w:type="pct"/>
            <w:gridSpan w:val="6"/>
            <w:vAlign w:val="center"/>
          </w:tcPr>
          <w:p w14:paraId="68A1B05D">
            <w:pPr>
              <w:spacing w:line="240" w:lineRule="auto"/>
              <w:ind w:firstLine="0" w:firstLineChars="0"/>
              <w:jc w:val="center"/>
              <w:rPr>
                <w:color w:val="auto"/>
                <w:sz w:val="21"/>
                <w:szCs w:val="21"/>
              </w:rPr>
            </w:pPr>
            <w:r>
              <w:rPr>
                <w:rFonts w:hint="eastAsia"/>
                <w:color w:val="auto"/>
                <w:sz w:val="21"/>
                <w:szCs w:val="21"/>
              </w:rPr>
              <w:t>pH、总锡、总铝</w:t>
            </w:r>
          </w:p>
        </w:tc>
        <w:tc>
          <w:tcPr>
            <w:tcW w:w="278" w:type="pct"/>
            <w:vAlign w:val="center"/>
          </w:tcPr>
          <w:p w14:paraId="1DF7C265">
            <w:pPr>
              <w:spacing w:line="240" w:lineRule="auto"/>
              <w:ind w:firstLine="0" w:firstLineChars="0"/>
              <w:jc w:val="center"/>
              <w:rPr>
                <w:color w:val="auto"/>
                <w:sz w:val="21"/>
                <w:szCs w:val="21"/>
              </w:rPr>
            </w:pPr>
          </w:p>
        </w:tc>
      </w:tr>
      <w:tr w14:paraId="1071FA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69" w:hRule="atLeast"/>
        </w:trPr>
        <w:tc>
          <w:tcPr>
            <w:tcW w:w="310" w:type="pct"/>
            <w:vMerge w:val="continue"/>
            <w:textDirection w:val="tbRlV"/>
            <w:vAlign w:val="center"/>
          </w:tcPr>
          <w:p w14:paraId="45EED0B5">
            <w:pPr>
              <w:spacing w:line="240" w:lineRule="auto"/>
              <w:ind w:firstLine="0" w:firstLineChars="0"/>
              <w:jc w:val="center"/>
              <w:rPr>
                <w:color w:val="auto"/>
                <w:sz w:val="21"/>
                <w:szCs w:val="21"/>
              </w:rPr>
            </w:pPr>
          </w:p>
        </w:tc>
        <w:tc>
          <w:tcPr>
            <w:tcW w:w="1191" w:type="pct"/>
            <w:vAlign w:val="center"/>
          </w:tcPr>
          <w:p w14:paraId="75C98372">
            <w:pPr>
              <w:spacing w:line="240" w:lineRule="auto"/>
              <w:ind w:firstLine="0" w:firstLineChars="0"/>
              <w:jc w:val="center"/>
              <w:rPr>
                <w:color w:val="auto"/>
                <w:sz w:val="21"/>
                <w:szCs w:val="21"/>
              </w:rPr>
            </w:pPr>
            <w:r>
              <w:rPr>
                <w:color w:val="auto"/>
                <w:sz w:val="21"/>
                <w:szCs w:val="21"/>
              </w:rPr>
              <w:t>所属土壤环境影响评价项目类型</w:t>
            </w:r>
          </w:p>
        </w:tc>
        <w:tc>
          <w:tcPr>
            <w:tcW w:w="3219" w:type="pct"/>
            <w:gridSpan w:val="6"/>
            <w:vAlign w:val="center"/>
          </w:tcPr>
          <w:p w14:paraId="4EC4A87F">
            <w:pPr>
              <w:spacing w:line="240" w:lineRule="auto"/>
              <w:ind w:firstLine="0" w:firstLineChars="0"/>
              <w:jc w:val="center"/>
              <w:rPr>
                <w:color w:val="auto"/>
                <w:sz w:val="21"/>
                <w:szCs w:val="21"/>
              </w:rPr>
            </w:pPr>
            <w:r>
              <w:rPr>
                <w:color w:val="auto"/>
                <w:sz w:val="21"/>
                <w:szCs w:val="21"/>
              </w:rPr>
              <w:t>Ⅰ类□； Ⅱ类☑；Ⅲ类□；Ⅳ类□</w:t>
            </w:r>
          </w:p>
        </w:tc>
        <w:tc>
          <w:tcPr>
            <w:tcW w:w="278" w:type="pct"/>
            <w:vAlign w:val="center"/>
          </w:tcPr>
          <w:p w14:paraId="6980E22E">
            <w:pPr>
              <w:spacing w:line="240" w:lineRule="auto"/>
              <w:ind w:firstLine="0" w:firstLineChars="0"/>
              <w:jc w:val="center"/>
              <w:rPr>
                <w:color w:val="auto"/>
                <w:sz w:val="21"/>
                <w:szCs w:val="21"/>
              </w:rPr>
            </w:pPr>
          </w:p>
        </w:tc>
      </w:tr>
      <w:tr w14:paraId="7DF8F1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10" w:type="pct"/>
            <w:vMerge w:val="continue"/>
            <w:textDirection w:val="tbRlV"/>
            <w:vAlign w:val="center"/>
          </w:tcPr>
          <w:p w14:paraId="7FB4CF88">
            <w:pPr>
              <w:spacing w:line="240" w:lineRule="auto"/>
              <w:ind w:firstLine="0" w:firstLineChars="0"/>
              <w:jc w:val="center"/>
              <w:rPr>
                <w:color w:val="auto"/>
                <w:sz w:val="21"/>
                <w:szCs w:val="21"/>
              </w:rPr>
            </w:pPr>
          </w:p>
        </w:tc>
        <w:tc>
          <w:tcPr>
            <w:tcW w:w="1191" w:type="pct"/>
            <w:vAlign w:val="center"/>
          </w:tcPr>
          <w:p w14:paraId="568A8865">
            <w:pPr>
              <w:spacing w:line="240" w:lineRule="auto"/>
              <w:ind w:firstLine="0" w:firstLineChars="0"/>
              <w:jc w:val="center"/>
              <w:rPr>
                <w:color w:val="auto"/>
                <w:sz w:val="21"/>
                <w:szCs w:val="21"/>
              </w:rPr>
            </w:pPr>
            <w:r>
              <w:rPr>
                <w:color w:val="auto"/>
                <w:sz w:val="21"/>
                <w:szCs w:val="21"/>
              </w:rPr>
              <w:t>敏感程度</w:t>
            </w:r>
          </w:p>
        </w:tc>
        <w:tc>
          <w:tcPr>
            <w:tcW w:w="3219" w:type="pct"/>
            <w:gridSpan w:val="6"/>
            <w:vAlign w:val="center"/>
          </w:tcPr>
          <w:p w14:paraId="1B9F6B6D">
            <w:pPr>
              <w:spacing w:line="240" w:lineRule="auto"/>
              <w:ind w:firstLine="0" w:firstLineChars="0"/>
              <w:jc w:val="center"/>
              <w:rPr>
                <w:color w:val="auto"/>
                <w:sz w:val="21"/>
                <w:szCs w:val="21"/>
              </w:rPr>
            </w:pPr>
            <w:r>
              <w:rPr>
                <w:color w:val="auto"/>
                <w:sz w:val="21"/>
                <w:szCs w:val="21"/>
              </w:rPr>
              <w:t>敏感☑；较敏感□；不敏感□</w:t>
            </w:r>
          </w:p>
        </w:tc>
        <w:tc>
          <w:tcPr>
            <w:tcW w:w="278" w:type="pct"/>
            <w:vAlign w:val="center"/>
          </w:tcPr>
          <w:p w14:paraId="4DE8FB2E">
            <w:pPr>
              <w:spacing w:line="240" w:lineRule="auto"/>
              <w:ind w:firstLine="0" w:firstLineChars="0"/>
              <w:jc w:val="center"/>
              <w:rPr>
                <w:color w:val="auto"/>
                <w:sz w:val="21"/>
                <w:szCs w:val="21"/>
              </w:rPr>
            </w:pPr>
          </w:p>
        </w:tc>
      </w:tr>
      <w:tr w14:paraId="362F67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6" w:hRule="atLeast"/>
        </w:trPr>
        <w:tc>
          <w:tcPr>
            <w:tcW w:w="1501" w:type="pct"/>
            <w:gridSpan w:val="2"/>
            <w:vAlign w:val="center"/>
          </w:tcPr>
          <w:p w14:paraId="525944E9">
            <w:pPr>
              <w:spacing w:line="240" w:lineRule="auto"/>
              <w:ind w:firstLine="0" w:firstLineChars="0"/>
              <w:jc w:val="center"/>
              <w:rPr>
                <w:color w:val="auto"/>
                <w:sz w:val="21"/>
                <w:szCs w:val="21"/>
              </w:rPr>
            </w:pPr>
            <w:r>
              <w:rPr>
                <w:color w:val="auto"/>
                <w:sz w:val="21"/>
                <w:szCs w:val="21"/>
              </w:rPr>
              <w:t>评价工作等级</w:t>
            </w:r>
          </w:p>
        </w:tc>
        <w:tc>
          <w:tcPr>
            <w:tcW w:w="3219" w:type="pct"/>
            <w:gridSpan w:val="6"/>
            <w:vAlign w:val="center"/>
          </w:tcPr>
          <w:p w14:paraId="45B57FAD">
            <w:pPr>
              <w:spacing w:line="240" w:lineRule="auto"/>
              <w:ind w:firstLine="0" w:firstLineChars="0"/>
              <w:jc w:val="center"/>
              <w:rPr>
                <w:color w:val="auto"/>
                <w:sz w:val="21"/>
                <w:szCs w:val="21"/>
              </w:rPr>
            </w:pPr>
            <w:r>
              <w:rPr>
                <w:color w:val="auto"/>
                <w:sz w:val="21"/>
                <w:szCs w:val="21"/>
              </w:rPr>
              <w:t>一级□；二级☑；三级□</w:t>
            </w:r>
          </w:p>
        </w:tc>
        <w:tc>
          <w:tcPr>
            <w:tcW w:w="278" w:type="pct"/>
            <w:vAlign w:val="center"/>
          </w:tcPr>
          <w:p w14:paraId="5EEFF24D">
            <w:pPr>
              <w:spacing w:line="240" w:lineRule="auto"/>
              <w:ind w:firstLine="0" w:firstLineChars="0"/>
              <w:jc w:val="center"/>
              <w:rPr>
                <w:color w:val="auto"/>
                <w:sz w:val="21"/>
                <w:szCs w:val="21"/>
              </w:rPr>
            </w:pPr>
          </w:p>
        </w:tc>
      </w:tr>
      <w:tr w14:paraId="51E7EB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10" w:type="pct"/>
            <w:vMerge w:val="restart"/>
            <w:vAlign w:val="center"/>
          </w:tcPr>
          <w:p w14:paraId="53AB897D">
            <w:pPr>
              <w:kinsoku w:val="0"/>
              <w:overflowPunct w:val="0"/>
              <w:autoSpaceDE w:val="0"/>
              <w:autoSpaceDN w:val="0"/>
              <w:spacing w:line="240" w:lineRule="auto"/>
              <w:ind w:firstLine="0" w:firstLineChars="0"/>
              <w:rPr>
                <w:color w:val="auto"/>
                <w:sz w:val="21"/>
                <w:szCs w:val="21"/>
              </w:rPr>
            </w:pPr>
            <w:r>
              <w:rPr>
                <w:color w:val="auto"/>
                <w:sz w:val="21"/>
                <w:szCs w:val="21"/>
              </w:rPr>
              <w:t>现状调查内容</w:t>
            </w:r>
          </w:p>
        </w:tc>
        <w:tc>
          <w:tcPr>
            <w:tcW w:w="1191" w:type="pct"/>
            <w:vAlign w:val="center"/>
          </w:tcPr>
          <w:p w14:paraId="76C6535A">
            <w:pPr>
              <w:spacing w:line="240" w:lineRule="auto"/>
              <w:ind w:firstLine="0" w:firstLineChars="0"/>
              <w:jc w:val="center"/>
              <w:rPr>
                <w:color w:val="auto"/>
                <w:sz w:val="21"/>
                <w:szCs w:val="21"/>
              </w:rPr>
            </w:pPr>
            <w:r>
              <w:rPr>
                <w:color w:val="auto"/>
                <w:sz w:val="21"/>
                <w:szCs w:val="21"/>
              </w:rPr>
              <w:t>资料收集</w:t>
            </w:r>
          </w:p>
        </w:tc>
        <w:tc>
          <w:tcPr>
            <w:tcW w:w="3219" w:type="pct"/>
            <w:gridSpan w:val="6"/>
            <w:vAlign w:val="center"/>
          </w:tcPr>
          <w:p w14:paraId="3178A6D2">
            <w:pPr>
              <w:spacing w:line="240" w:lineRule="auto"/>
              <w:ind w:firstLine="0" w:firstLineChars="0"/>
              <w:jc w:val="center"/>
              <w:rPr>
                <w:color w:val="auto"/>
                <w:sz w:val="21"/>
                <w:szCs w:val="21"/>
              </w:rPr>
            </w:pPr>
            <w:r>
              <w:rPr>
                <w:color w:val="auto"/>
                <w:sz w:val="21"/>
                <w:szCs w:val="21"/>
              </w:rPr>
              <w:t xml:space="preserve">a) □ </w:t>
            </w:r>
            <w:r>
              <w:rPr>
                <w:rFonts w:hint="eastAsia"/>
                <w:color w:val="auto"/>
                <w:sz w:val="21"/>
                <w:szCs w:val="21"/>
              </w:rPr>
              <w:t>;</w:t>
            </w:r>
            <w:r>
              <w:rPr>
                <w:color w:val="auto"/>
                <w:sz w:val="21"/>
                <w:szCs w:val="21"/>
              </w:rPr>
              <w:t>b)</w:t>
            </w:r>
            <w:r>
              <w:rPr>
                <w:color w:val="auto"/>
              </w:rPr>
              <w:t xml:space="preserve"> </w:t>
            </w:r>
            <w:r>
              <w:rPr>
                <w:color w:val="auto"/>
                <w:sz w:val="21"/>
                <w:szCs w:val="21"/>
              </w:rPr>
              <w:t>□</w:t>
            </w:r>
            <w:r>
              <w:rPr>
                <w:rFonts w:hint="eastAsia"/>
                <w:color w:val="auto"/>
                <w:sz w:val="21"/>
                <w:szCs w:val="21"/>
              </w:rPr>
              <w:t>;</w:t>
            </w:r>
            <w:r>
              <w:rPr>
                <w:color w:val="auto"/>
                <w:sz w:val="21"/>
                <w:szCs w:val="21"/>
              </w:rPr>
              <w:t>c)</w:t>
            </w:r>
            <w:r>
              <w:rPr>
                <w:color w:val="auto"/>
              </w:rPr>
              <w:t xml:space="preserve"> </w:t>
            </w:r>
            <w:r>
              <w:rPr>
                <w:color w:val="auto"/>
                <w:sz w:val="21"/>
                <w:szCs w:val="21"/>
              </w:rPr>
              <w:t>□</w:t>
            </w:r>
            <w:r>
              <w:rPr>
                <w:rFonts w:hint="eastAsia"/>
                <w:color w:val="auto"/>
                <w:sz w:val="21"/>
                <w:szCs w:val="21"/>
              </w:rPr>
              <w:t>;</w:t>
            </w:r>
            <w:r>
              <w:rPr>
                <w:color w:val="auto"/>
                <w:sz w:val="21"/>
                <w:szCs w:val="21"/>
              </w:rPr>
              <w:t>d) □</w:t>
            </w:r>
          </w:p>
        </w:tc>
        <w:tc>
          <w:tcPr>
            <w:tcW w:w="278" w:type="pct"/>
            <w:vAlign w:val="center"/>
          </w:tcPr>
          <w:p w14:paraId="7CA49B54">
            <w:pPr>
              <w:spacing w:line="240" w:lineRule="auto"/>
              <w:ind w:firstLine="0" w:firstLineChars="0"/>
              <w:jc w:val="center"/>
              <w:rPr>
                <w:color w:val="auto"/>
                <w:sz w:val="21"/>
                <w:szCs w:val="21"/>
              </w:rPr>
            </w:pPr>
          </w:p>
        </w:tc>
      </w:tr>
      <w:tr w14:paraId="5F3820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14" w:hRule="atLeast"/>
        </w:trPr>
        <w:tc>
          <w:tcPr>
            <w:tcW w:w="310" w:type="pct"/>
            <w:vMerge w:val="continue"/>
            <w:textDirection w:val="tbRlV"/>
            <w:vAlign w:val="center"/>
          </w:tcPr>
          <w:p w14:paraId="49532AEE">
            <w:pPr>
              <w:spacing w:line="240" w:lineRule="auto"/>
              <w:ind w:firstLine="0" w:firstLineChars="0"/>
              <w:jc w:val="center"/>
              <w:rPr>
                <w:color w:val="auto"/>
                <w:sz w:val="21"/>
                <w:szCs w:val="21"/>
              </w:rPr>
            </w:pPr>
          </w:p>
        </w:tc>
        <w:tc>
          <w:tcPr>
            <w:tcW w:w="1191" w:type="pct"/>
            <w:vAlign w:val="center"/>
          </w:tcPr>
          <w:p w14:paraId="16A2D703">
            <w:pPr>
              <w:spacing w:line="240" w:lineRule="auto"/>
              <w:ind w:firstLine="0" w:firstLineChars="0"/>
              <w:jc w:val="center"/>
              <w:rPr>
                <w:color w:val="auto"/>
                <w:sz w:val="21"/>
                <w:szCs w:val="21"/>
              </w:rPr>
            </w:pPr>
            <w:r>
              <w:rPr>
                <w:color w:val="auto"/>
                <w:sz w:val="21"/>
                <w:szCs w:val="21"/>
              </w:rPr>
              <w:t>理化特性</w:t>
            </w:r>
          </w:p>
        </w:tc>
        <w:tc>
          <w:tcPr>
            <w:tcW w:w="3219" w:type="pct"/>
            <w:gridSpan w:val="6"/>
            <w:vAlign w:val="center"/>
          </w:tcPr>
          <w:p w14:paraId="001F4CCF">
            <w:pPr>
              <w:spacing w:line="240" w:lineRule="auto"/>
              <w:ind w:firstLine="0" w:firstLineChars="0"/>
              <w:jc w:val="center"/>
              <w:rPr>
                <w:color w:val="auto"/>
                <w:sz w:val="21"/>
                <w:szCs w:val="21"/>
              </w:rPr>
            </w:pPr>
            <w:r>
              <w:rPr>
                <w:color w:val="auto"/>
                <w:sz w:val="21"/>
                <w:szCs w:val="21"/>
              </w:rPr>
              <w:t>壤土</w:t>
            </w:r>
          </w:p>
        </w:tc>
        <w:tc>
          <w:tcPr>
            <w:tcW w:w="278" w:type="pct"/>
            <w:vAlign w:val="center"/>
          </w:tcPr>
          <w:p w14:paraId="4BD255F3">
            <w:pPr>
              <w:spacing w:line="240" w:lineRule="auto"/>
              <w:ind w:firstLine="0" w:firstLineChars="0"/>
              <w:jc w:val="center"/>
              <w:rPr>
                <w:color w:val="auto"/>
                <w:sz w:val="21"/>
                <w:szCs w:val="21"/>
              </w:rPr>
            </w:pPr>
          </w:p>
        </w:tc>
      </w:tr>
      <w:tr w14:paraId="18B7FC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02" w:hRule="atLeast"/>
        </w:trPr>
        <w:tc>
          <w:tcPr>
            <w:tcW w:w="310" w:type="pct"/>
            <w:vMerge w:val="continue"/>
            <w:textDirection w:val="tbRlV"/>
            <w:vAlign w:val="center"/>
          </w:tcPr>
          <w:p w14:paraId="073CD83D">
            <w:pPr>
              <w:spacing w:line="240" w:lineRule="auto"/>
              <w:ind w:firstLine="0" w:firstLineChars="0"/>
              <w:jc w:val="center"/>
              <w:rPr>
                <w:color w:val="auto"/>
                <w:sz w:val="21"/>
                <w:szCs w:val="21"/>
              </w:rPr>
            </w:pPr>
          </w:p>
        </w:tc>
        <w:tc>
          <w:tcPr>
            <w:tcW w:w="1191" w:type="pct"/>
            <w:vMerge w:val="restart"/>
            <w:vAlign w:val="center"/>
          </w:tcPr>
          <w:p w14:paraId="44404598">
            <w:pPr>
              <w:spacing w:line="240" w:lineRule="auto"/>
              <w:ind w:firstLine="0" w:firstLineChars="0"/>
              <w:jc w:val="center"/>
              <w:rPr>
                <w:color w:val="auto"/>
                <w:sz w:val="21"/>
                <w:szCs w:val="21"/>
              </w:rPr>
            </w:pPr>
            <w:r>
              <w:rPr>
                <w:color w:val="auto"/>
                <w:sz w:val="21"/>
                <w:szCs w:val="21"/>
              </w:rPr>
              <w:t>现状监测点位</w:t>
            </w:r>
          </w:p>
        </w:tc>
        <w:tc>
          <w:tcPr>
            <w:tcW w:w="763" w:type="pct"/>
            <w:vAlign w:val="center"/>
          </w:tcPr>
          <w:p w14:paraId="70BAC337">
            <w:pPr>
              <w:spacing w:line="240" w:lineRule="auto"/>
              <w:ind w:firstLine="0" w:firstLineChars="0"/>
              <w:jc w:val="center"/>
              <w:rPr>
                <w:color w:val="auto"/>
                <w:sz w:val="21"/>
                <w:szCs w:val="21"/>
              </w:rPr>
            </w:pPr>
          </w:p>
        </w:tc>
        <w:tc>
          <w:tcPr>
            <w:tcW w:w="731" w:type="pct"/>
            <w:gridSpan w:val="2"/>
            <w:vAlign w:val="center"/>
          </w:tcPr>
          <w:p w14:paraId="47DFFD81">
            <w:pPr>
              <w:spacing w:line="240" w:lineRule="auto"/>
              <w:ind w:firstLine="0" w:firstLineChars="0"/>
              <w:jc w:val="center"/>
              <w:rPr>
                <w:color w:val="auto"/>
                <w:sz w:val="21"/>
                <w:szCs w:val="21"/>
              </w:rPr>
            </w:pPr>
            <w:r>
              <w:rPr>
                <w:color w:val="auto"/>
                <w:sz w:val="21"/>
                <w:szCs w:val="21"/>
              </w:rPr>
              <w:t>占地范围内</w:t>
            </w:r>
          </w:p>
        </w:tc>
        <w:tc>
          <w:tcPr>
            <w:tcW w:w="707" w:type="pct"/>
            <w:gridSpan w:val="2"/>
            <w:vAlign w:val="center"/>
          </w:tcPr>
          <w:p w14:paraId="770D26AF">
            <w:pPr>
              <w:spacing w:line="240" w:lineRule="auto"/>
              <w:ind w:firstLine="0" w:firstLineChars="0"/>
              <w:jc w:val="center"/>
              <w:rPr>
                <w:color w:val="auto"/>
                <w:sz w:val="21"/>
                <w:szCs w:val="21"/>
              </w:rPr>
            </w:pPr>
            <w:r>
              <w:rPr>
                <w:color w:val="auto"/>
                <w:sz w:val="21"/>
                <w:szCs w:val="21"/>
              </w:rPr>
              <w:t>占地范围外</w:t>
            </w:r>
          </w:p>
        </w:tc>
        <w:tc>
          <w:tcPr>
            <w:tcW w:w="1015" w:type="pct"/>
            <w:vAlign w:val="center"/>
          </w:tcPr>
          <w:p w14:paraId="4E920C32">
            <w:pPr>
              <w:spacing w:line="240" w:lineRule="auto"/>
              <w:ind w:firstLine="0" w:firstLineChars="0"/>
              <w:jc w:val="center"/>
              <w:rPr>
                <w:color w:val="auto"/>
                <w:sz w:val="21"/>
                <w:szCs w:val="21"/>
              </w:rPr>
            </w:pPr>
            <w:r>
              <w:rPr>
                <w:color w:val="auto"/>
                <w:sz w:val="21"/>
                <w:szCs w:val="21"/>
              </w:rPr>
              <w:t>深度</w:t>
            </w:r>
          </w:p>
        </w:tc>
        <w:tc>
          <w:tcPr>
            <w:tcW w:w="278" w:type="pct"/>
            <w:vMerge w:val="restart"/>
            <w:vAlign w:val="center"/>
          </w:tcPr>
          <w:p w14:paraId="53EAC77C">
            <w:pPr>
              <w:spacing w:line="240" w:lineRule="auto"/>
              <w:ind w:firstLine="0" w:firstLineChars="0"/>
              <w:jc w:val="center"/>
              <w:rPr>
                <w:color w:val="auto"/>
                <w:sz w:val="21"/>
                <w:szCs w:val="21"/>
              </w:rPr>
            </w:pPr>
            <w:r>
              <w:rPr>
                <w:color w:val="auto"/>
                <w:sz w:val="21"/>
                <w:szCs w:val="21"/>
              </w:rPr>
              <w:t>点位</w:t>
            </w:r>
          </w:p>
          <w:p w14:paraId="70F3BA68">
            <w:pPr>
              <w:spacing w:line="240" w:lineRule="auto"/>
              <w:ind w:firstLine="0" w:firstLineChars="0"/>
              <w:jc w:val="center"/>
              <w:rPr>
                <w:color w:val="auto"/>
                <w:sz w:val="21"/>
                <w:szCs w:val="21"/>
              </w:rPr>
            </w:pPr>
            <w:r>
              <w:rPr>
                <w:color w:val="auto"/>
                <w:sz w:val="21"/>
                <w:szCs w:val="21"/>
              </w:rPr>
              <w:t>布置</w:t>
            </w:r>
          </w:p>
          <w:p w14:paraId="51432A3B">
            <w:pPr>
              <w:spacing w:line="240" w:lineRule="auto"/>
              <w:ind w:firstLine="0" w:firstLineChars="0"/>
              <w:jc w:val="center"/>
              <w:rPr>
                <w:color w:val="auto"/>
                <w:sz w:val="21"/>
                <w:szCs w:val="21"/>
              </w:rPr>
            </w:pPr>
            <w:r>
              <w:rPr>
                <w:color w:val="auto"/>
                <w:sz w:val="21"/>
                <w:szCs w:val="21"/>
              </w:rPr>
              <w:t>图</w:t>
            </w:r>
          </w:p>
        </w:tc>
      </w:tr>
      <w:tr w14:paraId="65DDE5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8" w:hRule="atLeast"/>
        </w:trPr>
        <w:tc>
          <w:tcPr>
            <w:tcW w:w="310" w:type="pct"/>
            <w:vMerge w:val="continue"/>
            <w:textDirection w:val="tbRlV"/>
            <w:vAlign w:val="center"/>
          </w:tcPr>
          <w:p w14:paraId="655B4652">
            <w:pPr>
              <w:spacing w:line="240" w:lineRule="auto"/>
              <w:ind w:firstLine="0" w:firstLineChars="0"/>
              <w:jc w:val="center"/>
              <w:rPr>
                <w:color w:val="auto"/>
                <w:sz w:val="21"/>
                <w:szCs w:val="21"/>
              </w:rPr>
            </w:pPr>
          </w:p>
        </w:tc>
        <w:tc>
          <w:tcPr>
            <w:tcW w:w="1191" w:type="pct"/>
            <w:vMerge w:val="continue"/>
            <w:vAlign w:val="center"/>
          </w:tcPr>
          <w:p w14:paraId="79A5B37E">
            <w:pPr>
              <w:spacing w:line="240" w:lineRule="auto"/>
              <w:ind w:firstLine="0" w:firstLineChars="0"/>
              <w:jc w:val="center"/>
              <w:rPr>
                <w:color w:val="auto"/>
                <w:sz w:val="21"/>
                <w:szCs w:val="21"/>
              </w:rPr>
            </w:pPr>
          </w:p>
        </w:tc>
        <w:tc>
          <w:tcPr>
            <w:tcW w:w="763" w:type="pct"/>
            <w:vAlign w:val="center"/>
          </w:tcPr>
          <w:p w14:paraId="64E3E4B4">
            <w:pPr>
              <w:spacing w:line="240" w:lineRule="auto"/>
              <w:ind w:firstLine="0" w:firstLineChars="0"/>
              <w:jc w:val="center"/>
              <w:rPr>
                <w:color w:val="auto"/>
                <w:sz w:val="21"/>
                <w:szCs w:val="21"/>
              </w:rPr>
            </w:pPr>
            <w:r>
              <w:rPr>
                <w:color w:val="auto"/>
                <w:sz w:val="21"/>
                <w:szCs w:val="21"/>
              </w:rPr>
              <w:t>表层样点数</w:t>
            </w:r>
          </w:p>
        </w:tc>
        <w:tc>
          <w:tcPr>
            <w:tcW w:w="731" w:type="pct"/>
            <w:gridSpan w:val="2"/>
            <w:vAlign w:val="center"/>
          </w:tcPr>
          <w:p w14:paraId="15C9B804">
            <w:pPr>
              <w:spacing w:line="240" w:lineRule="auto"/>
              <w:ind w:firstLine="0" w:firstLineChars="0"/>
              <w:jc w:val="center"/>
              <w:rPr>
                <w:color w:val="auto"/>
                <w:sz w:val="21"/>
                <w:szCs w:val="21"/>
              </w:rPr>
            </w:pPr>
            <w:r>
              <w:rPr>
                <w:color w:val="auto"/>
                <w:sz w:val="21"/>
                <w:szCs w:val="21"/>
              </w:rPr>
              <w:t>1</w:t>
            </w:r>
          </w:p>
        </w:tc>
        <w:tc>
          <w:tcPr>
            <w:tcW w:w="707" w:type="pct"/>
            <w:gridSpan w:val="2"/>
            <w:vAlign w:val="center"/>
          </w:tcPr>
          <w:p w14:paraId="76A53722">
            <w:pPr>
              <w:spacing w:line="240" w:lineRule="auto"/>
              <w:ind w:firstLine="0" w:firstLineChars="0"/>
              <w:jc w:val="center"/>
              <w:rPr>
                <w:color w:val="auto"/>
                <w:sz w:val="21"/>
                <w:szCs w:val="21"/>
              </w:rPr>
            </w:pPr>
            <w:r>
              <w:rPr>
                <w:color w:val="auto"/>
                <w:sz w:val="21"/>
                <w:szCs w:val="21"/>
              </w:rPr>
              <w:t>2</w:t>
            </w:r>
          </w:p>
        </w:tc>
        <w:tc>
          <w:tcPr>
            <w:tcW w:w="1015" w:type="pct"/>
            <w:vAlign w:val="center"/>
          </w:tcPr>
          <w:p w14:paraId="3B4110B5">
            <w:pPr>
              <w:spacing w:line="240" w:lineRule="auto"/>
              <w:ind w:firstLine="0" w:firstLineChars="0"/>
              <w:jc w:val="center"/>
              <w:rPr>
                <w:color w:val="auto"/>
                <w:sz w:val="21"/>
                <w:szCs w:val="21"/>
              </w:rPr>
            </w:pPr>
            <w:r>
              <w:rPr>
                <w:color w:val="auto"/>
                <w:sz w:val="21"/>
                <w:szCs w:val="21"/>
              </w:rPr>
              <w:t>0.2m</w:t>
            </w:r>
          </w:p>
        </w:tc>
        <w:tc>
          <w:tcPr>
            <w:tcW w:w="278" w:type="pct"/>
            <w:vMerge w:val="continue"/>
            <w:vAlign w:val="center"/>
          </w:tcPr>
          <w:p w14:paraId="4A2AC53F">
            <w:pPr>
              <w:spacing w:line="240" w:lineRule="auto"/>
              <w:ind w:firstLine="0" w:firstLineChars="0"/>
              <w:jc w:val="center"/>
              <w:rPr>
                <w:color w:val="auto"/>
                <w:sz w:val="21"/>
                <w:szCs w:val="21"/>
              </w:rPr>
            </w:pPr>
          </w:p>
        </w:tc>
      </w:tr>
      <w:tr w14:paraId="6070B0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25" w:hRule="atLeast"/>
        </w:trPr>
        <w:tc>
          <w:tcPr>
            <w:tcW w:w="310" w:type="pct"/>
            <w:vMerge w:val="continue"/>
            <w:textDirection w:val="tbRlV"/>
            <w:vAlign w:val="center"/>
          </w:tcPr>
          <w:p w14:paraId="0CB60F90">
            <w:pPr>
              <w:spacing w:line="240" w:lineRule="auto"/>
              <w:ind w:firstLine="0" w:firstLineChars="0"/>
              <w:jc w:val="center"/>
              <w:rPr>
                <w:color w:val="auto"/>
                <w:sz w:val="21"/>
                <w:szCs w:val="21"/>
              </w:rPr>
            </w:pPr>
          </w:p>
        </w:tc>
        <w:tc>
          <w:tcPr>
            <w:tcW w:w="1191" w:type="pct"/>
            <w:vMerge w:val="continue"/>
            <w:vAlign w:val="center"/>
          </w:tcPr>
          <w:p w14:paraId="3F7FBFCF">
            <w:pPr>
              <w:spacing w:line="240" w:lineRule="auto"/>
              <w:ind w:firstLine="0" w:firstLineChars="0"/>
              <w:jc w:val="center"/>
              <w:rPr>
                <w:color w:val="auto"/>
                <w:sz w:val="21"/>
                <w:szCs w:val="21"/>
              </w:rPr>
            </w:pPr>
          </w:p>
        </w:tc>
        <w:tc>
          <w:tcPr>
            <w:tcW w:w="763" w:type="pct"/>
            <w:vAlign w:val="center"/>
          </w:tcPr>
          <w:p w14:paraId="22EE4064">
            <w:pPr>
              <w:spacing w:line="240" w:lineRule="auto"/>
              <w:ind w:firstLine="0" w:firstLineChars="0"/>
              <w:jc w:val="center"/>
              <w:rPr>
                <w:color w:val="auto"/>
                <w:sz w:val="21"/>
                <w:szCs w:val="21"/>
              </w:rPr>
            </w:pPr>
            <w:r>
              <w:rPr>
                <w:color w:val="auto"/>
                <w:sz w:val="21"/>
                <w:szCs w:val="21"/>
              </w:rPr>
              <w:t>柱状样点数</w:t>
            </w:r>
          </w:p>
        </w:tc>
        <w:tc>
          <w:tcPr>
            <w:tcW w:w="731" w:type="pct"/>
            <w:gridSpan w:val="2"/>
            <w:vAlign w:val="center"/>
          </w:tcPr>
          <w:p w14:paraId="29290E27">
            <w:pPr>
              <w:spacing w:line="240" w:lineRule="auto"/>
              <w:ind w:firstLine="0" w:firstLineChars="0"/>
              <w:jc w:val="center"/>
              <w:rPr>
                <w:color w:val="auto"/>
                <w:sz w:val="21"/>
                <w:szCs w:val="21"/>
              </w:rPr>
            </w:pPr>
            <w:r>
              <w:rPr>
                <w:color w:val="auto"/>
                <w:sz w:val="21"/>
                <w:szCs w:val="21"/>
              </w:rPr>
              <w:t>3</w:t>
            </w:r>
          </w:p>
        </w:tc>
        <w:tc>
          <w:tcPr>
            <w:tcW w:w="707" w:type="pct"/>
            <w:gridSpan w:val="2"/>
            <w:vAlign w:val="center"/>
          </w:tcPr>
          <w:p w14:paraId="2710AF22">
            <w:pPr>
              <w:spacing w:line="240" w:lineRule="auto"/>
              <w:ind w:firstLine="0" w:firstLineChars="0"/>
              <w:jc w:val="center"/>
              <w:rPr>
                <w:color w:val="auto"/>
                <w:sz w:val="21"/>
                <w:szCs w:val="21"/>
              </w:rPr>
            </w:pPr>
            <w:r>
              <w:rPr>
                <w:color w:val="auto"/>
                <w:sz w:val="21"/>
                <w:szCs w:val="21"/>
              </w:rPr>
              <w:t>/</w:t>
            </w:r>
          </w:p>
        </w:tc>
        <w:tc>
          <w:tcPr>
            <w:tcW w:w="1015" w:type="pct"/>
            <w:vAlign w:val="center"/>
          </w:tcPr>
          <w:p w14:paraId="461B7156">
            <w:pPr>
              <w:spacing w:line="240" w:lineRule="auto"/>
              <w:ind w:firstLine="0" w:firstLineChars="0"/>
              <w:jc w:val="center"/>
              <w:rPr>
                <w:color w:val="auto"/>
                <w:sz w:val="21"/>
                <w:szCs w:val="21"/>
              </w:rPr>
            </w:pPr>
            <w:r>
              <w:rPr>
                <w:color w:val="auto"/>
                <w:sz w:val="21"/>
                <w:szCs w:val="21"/>
              </w:rPr>
              <w:t>0~0.5m、0.5</w:t>
            </w:r>
            <w:r>
              <w:rPr>
                <w:rFonts w:hint="eastAsia"/>
                <w:color w:val="auto"/>
                <w:sz w:val="21"/>
                <w:szCs w:val="21"/>
              </w:rPr>
              <w:t>～</w:t>
            </w:r>
            <w:r>
              <w:rPr>
                <w:color w:val="auto"/>
                <w:sz w:val="21"/>
                <w:szCs w:val="21"/>
              </w:rPr>
              <w:t>1.0m、1.0</w:t>
            </w:r>
            <w:r>
              <w:rPr>
                <w:rFonts w:hint="eastAsia"/>
                <w:color w:val="auto"/>
                <w:sz w:val="21"/>
                <w:szCs w:val="21"/>
              </w:rPr>
              <w:t>～</w:t>
            </w:r>
            <w:r>
              <w:rPr>
                <w:color w:val="auto"/>
                <w:sz w:val="21"/>
                <w:szCs w:val="21"/>
              </w:rPr>
              <w:t>1.5m</w:t>
            </w:r>
          </w:p>
        </w:tc>
        <w:tc>
          <w:tcPr>
            <w:tcW w:w="278" w:type="pct"/>
            <w:vMerge w:val="continue"/>
            <w:vAlign w:val="center"/>
          </w:tcPr>
          <w:p w14:paraId="25D7BCBF">
            <w:pPr>
              <w:spacing w:line="240" w:lineRule="auto"/>
              <w:ind w:firstLine="0" w:firstLineChars="0"/>
              <w:jc w:val="center"/>
              <w:rPr>
                <w:color w:val="auto"/>
                <w:sz w:val="21"/>
                <w:szCs w:val="21"/>
              </w:rPr>
            </w:pPr>
          </w:p>
        </w:tc>
      </w:tr>
      <w:tr w14:paraId="569238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69" w:hRule="atLeast"/>
        </w:trPr>
        <w:tc>
          <w:tcPr>
            <w:tcW w:w="310" w:type="pct"/>
            <w:vMerge w:val="continue"/>
            <w:textDirection w:val="tbRlV"/>
            <w:vAlign w:val="center"/>
          </w:tcPr>
          <w:p w14:paraId="5E2917D3">
            <w:pPr>
              <w:spacing w:line="240" w:lineRule="auto"/>
              <w:ind w:firstLine="0" w:firstLineChars="0"/>
              <w:jc w:val="center"/>
              <w:rPr>
                <w:color w:val="auto"/>
                <w:sz w:val="21"/>
                <w:szCs w:val="21"/>
              </w:rPr>
            </w:pPr>
          </w:p>
        </w:tc>
        <w:tc>
          <w:tcPr>
            <w:tcW w:w="1191" w:type="pct"/>
            <w:vAlign w:val="center"/>
          </w:tcPr>
          <w:p w14:paraId="6983D1EA">
            <w:pPr>
              <w:spacing w:line="240" w:lineRule="auto"/>
              <w:ind w:firstLine="0" w:firstLineChars="0"/>
              <w:jc w:val="center"/>
              <w:rPr>
                <w:color w:val="auto"/>
                <w:sz w:val="21"/>
                <w:szCs w:val="21"/>
              </w:rPr>
            </w:pPr>
            <w:r>
              <w:rPr>
                <w:color w:val="auto"/>
                <w:sz w:val="21"/>
                <w:szCs w:val="21"/>
              </w:rPr>
              <w:t>现状监测因子</w:t>
            </w:r>
          </w:p>
        </w:tc>
        <w:tc>
          <w:tcPr>
            <w:tcW w:w="3219" w:type="pct"/>
            <w:gridSpan w:val="6"/>
            <w:vAlign w:val="center"/>
          </w:tcPr>
          <w:p w14:paraId="0118FD2A">
            <w:pPr>
              <w:spacing w:line="240" w:lineRule="auto"/>
              <w:ind w:firstLine="0" w:firstLineChars="0"/>
              <w:jc w:val="center"/>
              <w:rPr>
                <w:color w:val="auto"/>
                <w:sz w:val="21"/>
                <w:szCs w:val="21"/>
              </w:rPr>
            </w:pPr>
            <w:r>
              <w:rPr>
                <w:color w:val="auto"/>
                <w:sz w:val="21"/>
                <w:szCs w:val="21"/>
              </w:rPr>
              <w:t xml:space="preserve">GB36600—2018表1中全部基本项目 </w:t>
            </w:r>
            <w:r>
              <w:rPr>
                <w:rFonts w:hint="eastAsia"/>
                <w:color w:val="auto"/>
                <w:sz w:val="21"/>
                <w:szCs w:val="21"/>
              </w:rPr>
              <w:t>（</w:t>
            </w:r>
            <w:r>
              <w:rPr>
                <w:color w:val="auto"/>
                <w:sz w:val="21"/>
                <w:szCs w:val="21"/>
              </w:rPr>
              <w:t>共45个</w:t>
            </w:r>
            <w:r>
              <w:rPr>
                <w:rFonts w:hint="eastAsia"/>
                <w:color w:val="auto"/>
                <w:sz w:val="21"/>
                <w:szCs w:val="21"/>
              </w:rPr>
              <w:t>）</w:t>
            </w:r>
          </w:p>
        </w:tc>
        <w:tc>
          <w:tcPr>
            <w:tcW w:w="278" w:type="pct"/>
            <w:vAlign w:val="center"/>
          </w:tcPr>
          <w:p w14:paraId="36B4F11A">
            <w:pPr>
              <w:spacing w:line="240" w:lineRule="auto"/>
              <w:ind w:firstLine="0" w:firstLineChars="0"/>
              <w:jc w:val="center"/>
              <w:rPr>
                <w:color w:val="auto"/>
                <w:sz w:val="21"/>
                <w:szCs w:val="21"/>
              </w:rPr>
            </w:pPr>
          </w:p>
        </w:tc>
      </w:tr>
      <w:tr w14:paraId="43B4F4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310" w:type="pct"/>
            <w:vMerge w:val="restart"/>
            <w:vAlign w:val="center"/>
          </w:tcPr>
          <w:p w14:paraId="429A0B48">
            <w:pPr>
              <w:spacing w:line="240" w:lineRule="auto"/>
              <w:ind w:firstLine="0" w:firstLineChars="0"/>
              <w:jc w:val="center"/>
              <w:rPr>
                <w:color w:val="auto"/>
                <w:sz w:val="21"/>
                <w:szCs w:val="21"/>
              </w:rPr>
            </w:pPr>
            <w:r>
              <w:rPr>
                <w:color w:val="auto"/>
                <w:sz w:val="21"/>
                <w:szCs w:val="21"/>
              </w:rPr>
              <w:t>现 状 评 价</w:t>
            </w:r>
          </w:p>
        </w:tc>
        <w:tc>
          <w:tcPr>
            <w:tcW w:w="1191" w:type="pct"/>
            <w:vAlign w:val="center"/>
          </w:tcPr>
          <w:p w14:paraId="2AAF97D5">
            <w:pPr>
              <w:spacing w:line="240" w:lineRule="auto"/>
              <w:ind w:firstLine="0" w:firstLineChars="0"/>
              <w:jc w:val="center"/>
              <w:rPr>
                <w:color w:val="auto"/>
                <w:sz w:val="21"/>
                <w:szCs w:val="21"/>
              </w:rPr>
            </w:pPr>
            <w:r>
              <w:rPr>
                <w:color w:val="auto"/>
                <w:sz w:val="21"/>
                <w:szCs w:val="21"/>
              </w:rPr>
              <w:t>评价因子</w:t>
            </w:r>
          </w:p>
        </w:tc>
        <w:tc>
          <w:tcPr>
            <w:tcW w:w="3219" w:type="pct"/>
            <w:gridSpan w:val="6"/>
            <w:vAlign w:val="center"/>
          </w:tcPr>
          <w:p w14:paraId="2D609594">
            <w:pPr>
              <w:spacing w:line="240" w:lineRule="auto"/>
              <w:ind w:firstLine="0" w:firstLineChars="0"/>
              <w:jc w:val="center"/>
              <w:rPr>
                <w:color w:val="auto"/>
                <w:sz w:val="21"/>
                <w:szCs w:val="21"/>
              </w:rPr>
            </w:pPr>
            <w:r>
              <w:rPr>
                <w:color w:val="auto"/>
                <w:sz w:val="21"/>
                <w:szCs w:val="21"/>
              </w:rPr>
              <w:t>GB36600—2018表1中全部基本项目</w:t>
            </w:r>
            <w:r>
              <w:rPr>
                <w:rFonts w:hint="eastAsia"/>
                <w:color w:val="auto"/>
                <w:sz w:val="21"/>
                <w:szCs w:val="21"/>
              </w:rPr>
              <w:t>（</w:t>
            </w:r>
            <w:r>
              <w:rPr>
                <w:color w:val="auto"/>
                <w:sz w:val="21"/>
                <w:szCs w:val="21"/>
              </w:rPr>
              <w:t>共45个</w:t>
            </w:r>
            <w:r>
              <w:rPr>
                <w:rFonts w:hint="eastAsia"/>
                <w:color w:val="auto"/>
                <w:sz w:val="21"/>
                <w:szCs w:val="21"/>
              </w:rPr>
              <w:t>）</w:t>
            </w:r>
          </w:p>
        </w:tc>
        <w:tc>
          <w:tcPr>
            <w:tcW w:w="278" w:type="pct"/>
            <w:vAlign w:val="center"/>
          </w:tcPr>
          <w:p w14:paraId="6D572861">
            <w:pPr>
              <w:spacing w:line="240" w:lineRule="auto"/>
              <w:ind w:firstLine="0" w:firstLineChars="0"/>
              <w:jc w:val="center"/>
              <w:rPr>
                <w:color w:val="auto"/>
                <w:sz w:val="21"/>
                <w:szCs w:val="21"/>
              </w:rPr>
            </w:pPr>
          </w:p>
        </w:tc>
      </w:tr>
      <w:tr w14:paraId="5C3D86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6" w:hRule="atLeast"/>
        </w:trPr>
        <w:tc>
          <w:tcPr>
            <w:tcW w:w="310" w:type="pct"/>
            <w:vMerge w:val="continue"/>
            <w:textDirection w:val="tbRlV"/>
            <w:vAlign w:val="center"/>
          </w:tcPr>
          <w:p w14:paraId="100F9FFB">
            <w:pPr>
              <w:spacing w:line="240" w:lineRule="auto"/>
              <w:ind w:firstLine="0" w:firstLineChars="0"/>
              <w:jc w:val="center"/>
              <w:rPr>
                <w:color w:val="auto"/>
                <w:sz w:val="21"/>
                <w:szCs w:val="21"/>
              </w:rPr>
            </w:pPr>
          </w:p>
        </w:tc>
        <w:tc>
          <w:tcPr>
            <w:tcW w:w="1191" w:type="pct"/>
            <w:vAlign w:val="center"/>
          </w:tcPr>
          <w:p w14:paraId="42790DE4">
            <w:pPr>
              <w:spacing w:line="240" w:lineRule="auto"/>
              <w:ind w:firstLine="0" w:firstLineChars="0"/>
              <w:jc w:val="center"/>
              <w:rPr>
                <w:color w:val="auto"/>
                <w:sz w:val="21"/>
                <w:szCs w:val="21"/>
              </w:rPr>
            </w:pPr>
            <w:r>
              <w:rPr>
                <w:color w:val="auto"/>
                <w:sz w:val="21"/>
                <w:szCs w:val="21"/>
              </w:rPr>
              <w:t>评价标准</w:t>
            </w:r>
          </w:p>
        </w:tc>
        <w:tc>
          <w:tcPr>
            <w:tcW w:w="3219" w:type="pct"/>
            <w:gridSpan w:val="6"/>
            <w:vAlign w:val="center"/>
          </w:tcPr>
          <w:p w14:paraId="3916B606">
            <w:pPr>
              <w:spacing w:line="240" w:lineRule="auto"/>
              <w:ind w:firstLine="0" w:firstLineChars="0"/>
              <w:jc w:val="center"/>
              <w:rPr>
                <w:color w:val="auto"/>
                <w:sz w:val="21"/>
                <w:szCs w:val="21"/>
              </w:rPr>
            </w:pPr>
            <w:r>
              <w:rPr>
                <w:color w:val="auto"/>
                <w:sz w:val="21"/>
                <w:szCs w:val="21"/>
              </w:rPr>
              <w:t>GB15618</w:t>
            </w:r>
            <w:r>
              <w:rPr>
                <w:rFonts w:hint="eastAsia"/>
                <w:color w:val="auto"/>
                <w:sz w:val="21"/>
                <w:szCs w:val="21"/>
              </w:rPr>
              <w:t>□</w:t>
            </w:r>
            <w:r>
              <w:rPr>
                <w:color w:val="auto"/>
                <w:sz w:val="21"/>
                <w:szCs w:val="21"/>
              </w:rPr>
              <w:t>；GB36600☑；表D.1 □；表D.2 □；其他</w:t>
            </w:r>
            <w:r>
              <w:rPr>
                <w:rFonts w:hint="eastAsia"/>
                <w:color w:val="auto"/>
                <w:sz w:val="21"/>
                <w:szCs w:val="21"/>
              </w:rPr>
              <w:t>（）</w:t>
            </w:r>
          </w:p>
        </w:tc>
        <w:tc>
          <w:tcPr>
            <w:tcW w:w="278" w:type="pct"/>
            <w:vAlign w:val="center"/>
          </w:tcPr>
          <w:p w14:paraId="3751E7FC">
            <w:pPr>
              <w:spacing w:line="240" w:lineRule="auto"/>
              <w:ind w:firstLine="0" w:firstLineChars="0"/>
              <w:jc w:val="center"/>
              <w:rPr>
                <w:color w:val="auto"/>
                <w:sz w:val="21"/>
                <w:szCs w:val="21"/>
              </w:rPr>
            </w:pPr>
          </w:p>
        </w:tc>
      </w:tr>
      <w:tr w14:paraId="5D969B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000" w:hRule="atLeast"/>
        </w:trPr>
        <w:tc>
          <w:tcPr>
            <w:tcW w:w="310" w:type="pct"/>
            <w:vMerge w:val="continue"/>
            <w:textDirection w:val="tbRlV"/>
            <w:vAlign w:val="center"/>
          </w:tcPr>
          <w:p w14:paraId="3F559342">
            <w:pPr>
              <w:spacing w:line="240" w:lineRule="auto"/>
              <w:ind w:firstLine="0" w:firstLineChars="0"/>
              <w:jc w:val="center"/>
              <w:rPr>
                <w:color w:val="auto"/>
                <w:sz w:val="21"/>
                <w:szCs w:val="21"/>
              </w:rPr>
            </w:pPr>
          </w:p>
        </w:tc>
        <w:tc>
          <w:tcPr>
            <w:tcW w:w="1191" w:type="pct"/>
            <w:vAlign w:val="center"/>
          </w:tcPr>
          <w:p w14:paraId="50FF24AA">
            <w:pPr>
              <w:spacing w:line="240" w:lineRule="auto"/>
              <w:ind w:firstLine="0" w:firstLineChars="0"/>
              <w:jc w:val="center"/>
              <w:rPr>
                <w:color w:val="auto"/>
                <w:sz w:val="21"/>
                <w:szCs w:val="21"/>
              </w:rPr>
            </w:pPr>
            <w:r>
              <w:rPr>
                <w:color w:val="auto"/>
                <w:sz w:val="21"/>
                <w:szCs w:val="21"/>
              </w:rPr>
              <w:t>现状评价结论</w:t>
            </w:r>
          </w:p>
        </w:tc>
        <w:tc>
          <w:tcPr>
            <w:tcW w:w="3219" w:type="pct"/>
            <w:gridSpan w:val="6"/>
            <w:vAlign w:val="center"/>
          </w:tcPr>
          <w:p w14:paraId="672E77DB">
            <w:pPr>
              <w:spacing w:line="240" w:lineRule="auto"/>
              <w:ind w:firstLine="0" w:firstLineChars="0"/>
              <w:jc w:val="center"/>
              <w:rPr>
                <w:color w:val="auto"/>
                <w:sz w:val="21"/>
                <w:szCs w:val="21"/>
              </w:rPr>
            </w:pPr>
            <w:r>
              <w:rPr>
                <w:color w:val="auto"/>
                <w:sz w:val="21"/>
                <w:szCs w:val="21"/>
              </w:rPr>
              <w:t>项目所在地土壤各指标均可满足《土壤环境质量 建设用地土壤污染风险管控标准</w:t>
            </w:r>
            <w:r>
              <w:rPr>
                <w:rFonts w:hint="eastAsia"/>
                <w:color w:val="auto"/>
                <w:sz w:val="21"/>
                <w:szCs w:val="21"/>
              </w:rPr>
              <w:t>（</w:t>
            </w:r>
            <w:r>
              <w:rPr>
                <w:color w:val="auto"/>
                <w:sz w:val="21"/>
                <w:szCs w:val="21"/>
              </w:rPr>
              <w:t>试行</w:t>
            </w:r>
            <w:r>
              <w:rPr>
                <w:rFonts w:hint="eastAsia"/>
                <w:color w:val="auto"/>
                <w:sz w:val="21"/>
                <w:szCs w:val="21"/>
              </w:rPr>
              <w:t>）</w:t>
            </w:r>
            <w:r>
              <w:rPr>
                <w:color w:val="auto"/>
                <w:sz w:val="21"/>
                <w:szCs w:val="21"/>
              </w:rPr>
              <w:t>》(GB36600- 2018</w:t>
            </w:r>
            <w:r>
              <w:rPr>
                <w:rFonts w:hint="eastAsia"/>
                <w:color w:val="auto"/>
                <w:sz w:val="21"/>
                <w:szCs w:val="21"/>
              </w:rPr>
              <w:t>）</w:t>
            </w:r>
            <w:r>
              <w:rPr>
                <w:color w:val="auto"/>
                <w:sz w:val="21"/>
                <w:szCs w:val="21"/>
              </w:rPr>
              <w:t>表1中第二类用地筛选值</w:t>
            </w:r>
          </w:p>
        </w:tc>
        <w:tc>
          <w:tcPr>
            <w:tcW w:w="278" w:type="pct"/>
            <w:vAlign w:val="center"/>
          </w:tcPr>
          <w:p w14:paraId="7CB8EE30">
            <w:pPr>
              <w:spacing w:line="240" w:lineRule="auto"/>
              <w:ind w:firstLine="0" w:firstLineChars="0"/>
              <w:jc w:val="center"/>
              <w:rPr>
                <w:color w:val="auto"/>
                <w:sz w:val="21"/>
                <w:szCs w:val="21"/>
              </w:rPr>
            </w:pPr>
          </w:p>
        </w:tc>
      </w:tr>
      <w:tr w14:paraId="7A4EFA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9" w:hRule="atLeast"/>
        </w:trPr>
        <w:tc>
          <w:tcPr>
            <w:tcW w:w="310" w:type="pct"/>
            <w:vMerge w:val="restart"/>
            <w:textDirection w:val="tbRlV"/>
            <w:vAlign w:val="center"/>
          </w:tcPr>
          <w:p w14:paraId="75CFC5BC">
            <w:pPr>
              <w:spacing w:line="240" w:lineRule="auto"/>
              <w:ind w:firstLine="0" w:firstLineChars="0"/>
              <w:jc w:val="center"/>
              <w:rPr>
                <w:color w:val="auto"/>
                <w:sz w:val="21"/>
                <w:szCs w:val="21"/>
              </w:rPr>
            </w:pPr>
            <w:r>
              <w:rPr>
                <w:color w:val="auto"/>
                <w:sz w:val="21"/>
                <w:szCs w:val="21"/>
              </w:rPr>
              <w:t>影 响 预 测</w:t>
            </w:r>
          </w:p>
        </w:tc>
        <w:tc>
          <w:tcPr>
            <w:tcW w:w="1191" w:type="pct"/>
            <w:vAlign w:val="center"/>
          </w:tcPr>
          <w:p w14:paraId="3EE1C06C">
            <w:pPr>
              <w:spacing w:line="240" w:lineRule="auto"/>
              <w:ind w:firstLine="0" w:firstLineChars="0"/>
              <w:jc w:val="center"/>
              <w:rPr>
                <w:color w:val="auto"/>
                <w:sz w:val="21"/>
                <w:szCs w:val="21"/>
              </w:rPr>
            </w:pPr>
            <w:r>
              <w:rPr>
                <w:color w:val="auto"/>
                <w:sz w:val="21"/>
                <w:szCs w:val="21"/>
              </w:rPr>
              <w:t>预测因子</w:t>
            </w:r>
          </w:p>
        </w:tc>
        <w:tc>
          <w:tcPr>
            <w:tcW w:w="3219" w:type="pct"/>
            <w:gridSpan w:val="6"/>
            <w:vAlign w:val="center"/>
          </w:tcPr>
          <w:p w14:paraId="759FC446">
            <w:pPr>
              <w:spacing w:line="240" w:lineRule="auto"/>
              <w:ind w:firstLine="0" w:firstLineChars="0"/>
              <w:jc w:val="center"/>
              <w:rPr>
                <w:color w:val="auto"/>
                <w:sz w:val="21"/>
                <w:szCs w:val="21"/>
              </w:rPr>
            </w:pPr>
            <w:r>
              <w:rPr>
                <w:color w:val="auto"/>
                <w:sz w:val="21"/>
                <w:szCs w:val="21"/>
              </w:rPr>
              <w:t>/</w:t>
            </w:r>
          </w:p>
        </w:tc>
        <w:tc>
          <w:tcPr>
            <w:tcW w:w="278" w:type="pct"/>
            <w:vAlign w:val="center"/>
          </w:tcPr>
          <w:p w14:paraId="0D39B7DB">
            <w:pPr>
              <w:spacing w:line="240" w:lineRule="auto"/>
              <w:ind w:firstLine="0" w:firstLineChars="0"/>
              <w:jc w:val="center"/>
              <w:rPr>
                <w:color w:val="auto"/>
                <w:sz w:val="21"/>
                <w:szCs w:val="21"/>
              </w:rPr>
            </w:pPr>
          </w:p>
        </w:tc>
      </w:tr>
      <w:tr w14:paraId="371274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6" w:hRule="atLeast"/>
        </w:trPr>
        <w:tc>
          <w:tcPr>
            <w:tcW w:w="310" w:type="pct"/>
            <w:vMerge w:val="continue"/>
            <w:textDirection w:val="tbRlV"/>
            <w:vAlign w:val="center"/>
          </w:tcPr>
          <w:p w14:paraId="42FDB3BC">
            <w:pPr>
              <w:spacing w:line="240" w:lineRule="auto"/>
              <w:ind w:firstLine="0" w:firstLineChars="0"/>
              <w:jc w:val="center"/>
              <w:rPr>
                <w:color w:val="auto"/>
                <w:sz w:val="21"/>
                <w:szCs w:val="21"/>
              </w:rPr>
            </w:pPr>
          </w:p>
        </w:tc>
        <w:tc>
          <w:tcPr>
            <w:tcW w:w="1191" w:type="pct"/>
            <w:vAlign w:val="center"/>
          </w:tcPr>
          <w:p w14:paraId="19E51887">
            <w:pPr>
              <w:spacing w:line="240" w:lineRule="auto"/>
              <w:ind w:firstLine="0" w:firstLineChars="0"/>
              <w:jc w:val="center"/>
              <w:rPr>
                <w:color w:val="auto"/>
                <w:sz w:val="21"/>
                <w:szCs w:val="21"/>
              </w:rPr>
            </w:pPr>
            <w:r>
              <w:rPr>
                <w:color w:val="auto"/>
                <w:sz w:val="21"/>
                <w:szCs w:val="21"/>
              </w:rPr>
              <w:t>预测方法</w:t>
            </w:r>
          </w:p>
        </w:tc>
        <w:tc>
          <w:tcPr>
            <w:tcW w:w="3219" w:type="pct"/>
            <w:gridSpan w:val="6"/>
            <w:vAlign w:val="center"/>
          </w:tcPr>
          <w:p w14:paraId="04EAB5BC">
            <w:pPr>
              <w:spacing w:line="240" w:lineRule="auto"/>
              <w:ind w:firstLine="0" w:firstLineChars="0"/>
              <w:jc w:val="center"/>
              <w:rPr>
                <w:color w:val="auto"/>
                <w:sz w:val="21"/>
                <w:szCs w:val="21"/>
              </w:rPr>
            </w:pPr>
            <w:r>
              <w:rPr>
                <w:color w:val="auto"/>
                <w:sz w:val="21"/>
                <w:szCs w:val="21"/>
              </w:rPr>
              <w:t>附录E☑；附录F □；其他</w:t>
            </w:r>
            <w:r>
              <w:rPr>
                <w:rFonts w:hint="eastAsia"/>
                <w:color w:val="auto"/>
                <w:sz w:val="21"/>
                <w:szCs w:val="21"/>
              </w:rPr>
              <w:t>（）</w:t>
            </w:r>
          </w:p>
        </w:tc>
        <w:tc>
          <w:tcPr>
            <w:tcW w:w="278" w:type="pct"/>
            <w:vAlign w:val="center"/>
          </w:tcPr>
          <w:p w14:paraId="3B4A93BC">
            <w:pPr>
              <w:spacing w:line="240" w:lineRule="auto"/>
              <w:ind w:firstLine="0" w:firstLineChars="0"/>
              <w:jc w:val="center"/>
              <w:rPr>
                <w:color w:val="auto"/>
                <w:sz w:val="21"/>
                <w:szCs w:val="21"/>
              </w:rPr>
            </w:pPr>
          </w:p>
        </w:tc>
      </w:tr>
      <w:tr w14:paraId="5304EF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002" w:hRule="atLeast"/>
        </w:trPr>
        <w:tc>
          <w:tcPr>
            <w:tcW w:w="310" w:type="pct"/>
            <w:vMerge w:val="continue"/>
            <w:textDirection w:val="tbRlV"/>
            <w:vAlign w:val="center"/>
          </w:tcPr>
          <w:p w14:paraId="59FCFD5C">
            <w:pPr>
              <w:spacing w:line="240" w:lineRule="auto"/>
              <w:ind w:firstLine="0" w:firstLineChars="0"/>
              <w:jc w:val="center"/>
              <w:rPr>
                <w:color w:val="auto"/>
                <w:sz w:val="21"/>
                <w:szCs w:val="21"/>
              </w:rPr>
            </w:pPr>
          </w:p>
        </w:tc>
        <w:tc>
          <w:tcPr>
            <w:tcW w:w="1191" w:type="pct"/>
            <w:vAlign w:val="center"/>
          </w:tcPr>
          <w:p w14:paraId="59908C2F">
            <w:pPr>
              <w:spacing w:line="240" w:lineRule="auto"/>
              <w:ind w:firstLine="0" w:firstLineChars="0"/>
              <w:jc w:val="center"/>
              <w:rPr>
                <w:color w:val="auto"/>
                <w:sz w:val="21"/>
                <w:szCs w:val="21"/>
              </w:rPr>
            </w:pPr>
            <w:r>
              <w:rPr>
                <w:color w:val="auto"/>
                <w:sz w:val="21"/>
                <w:szCs w:val="21"/>
              </w:rPr>
              <w:t>预测分析内容</w:t>
            </w:r>
          </w:p>
        </w:tc>
        <w:tc>
          <w:tcPr>
            <w:tcW w:w="3219" w:type="pct"/>
            <w:gridSpan w:val="6"/>
            <w:vAlign w:val="center"/>
          </w:tcPr>
          <w:p w14:paraId="195ED825">
            <w:pPr>
              <w:spacing w:line="240" w:lineRule="auto"/>
              <w:ind w:firstLine="0" w:firstLineChars="0"/>
              <w:jc w:val="center"/>
              <w:rPr>
                <w:color w:val="auto"/>
                <w:sz w:val="21"/>
                <w:szCs w:val="21"/>
              </w:rPr>
            </w:pPr>
            <w:r>
              <w:rPr>
                <w:color w:val="auto"/>
                <w:sz w:val="21"/>
                <w:szCs w:val="21"/>
              </w:rPr>
              <w:t>影响范围</w:t>
            </w:r>
            <w:r>
              <w:rPr>
                <w:rFonts w:hint="eastAsia"/>
                <w:color w:val="auto"/>
                <w:sz w:val="21"/>
                <w:szCs w:val="21"/>
              </w:rPr>
              <w:t>（</w:t>
            </w:r>
            <w:r>
              <w:rPr>
                <w:color w:val="auto"/>
                <w:sz w:val="21"/>
                <w:szCs w:val="21"/>
              </w:rPr>
              <w:t>厂区及周边200m</w:t>
            </w:r>
            <w:r>
              <w:rPr>
                <w:rFonts w:hint="eastAsia"/>
                <w:color w:val="auto"/>
                <w:sz w:val="21"/>
                <w:szCs w:val="21"/>
              </w:rPr>
              <w:t>）</w:t>
            </w:r>
          </w:p>
          <w:p w14:paraId="6696BA96">
            <w:pPr>
              <w:spacing w:line="240" w:lineRule="auto"/>
              <w:ind w:firstLine="0" w:firstLineChars="0"/>
              <w:jc w:val="center"/>
              <w:rPr>
                <w:color w:val="auto"/>
                <w:sz w:val="21"/>
                <w:szCs w:val="21"/>
              </w:rPr>
            </w:pPr>
            <w:r>
              <w:rPr>
                <w:color w:val="auto"/>
                <w:sz w:val="21"/>
                <w:szCs w:val="21"/>
              </w:rPr>
              <w:t>影响程度</w:t>
            </w:r>
            <w:r>
              <w:rPr>
                <w:rFonts w:hint="eastAsia"/>
                <w:color w:val="auto"/>
                <w:sz w:val="21"/>
                <w:szCs w:val="21"/>
              </w:rPr>
              <w:t>（</w:t>
            </w:r>
            <w:r>
              <w:rPr>
                <w:color w:val="auto"/>
                <w:sz w:val="21"/>
                <w:szCs w:val="21"/>
              </w:rPr>
              <w:t>可接受</w:t>
            </w:r>
            <w:r>
              <w:rPr>
                <w:rFonts w:hint="eastAsia"/>
                <w:color w:val="auto"/>
                <w:sz w:val="21"/>
                <w:szCs w:val="21"/>
              </w:rPr>
              <w:t>）</w:t>
            </w:r>
          </w:p>
        </w:tc>
        <w:tc>
          <w:tcPr>
            <w:tcW w:w="278" w:type="pct"/>
            <w:vAlign w:val="center"/>
          </w:tcPr>
          <w:p w14:paraId="3F8100B5">
            <w:pPr>
              <w:spacing w:line="240" w:lineRule="auto"/>
              <w:ind w:firstLine="0" w:firstLineChars="0"/>
              <w:jc w:val="center"/>
              <w:rPr>
                <w:color w:val="auto"/>
                <w:sz w:val="21"/>
                <w:szCs w:val="21"/>
              </w:rPr>
            </w:pPr>
          </w:p>
        </w:tc>
      </w:tr>
      <w:tr w14:paraId="53A512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310" w:type="pct"/>
            <w:vMerge w:val="continue"/>
            <w:textDirection w:val="tbRlV"/>
            <w:vAlign w:val="center"/>
          </w:tcPr>
          <w:p w14:paraId="7F52C01F">
            <w:pPr>
              <w:spacing w:line="240" w:lineRule="auto"/>
              <w:ind w:firstLine="0" w:firstLineChars="0"/>
              <w:jc w:val="center"/>
              <w:rPr>
                <w:color w:val="auto"/>
                <w:sz w:val="21"/>
                <w:szCs w:val="21"/>
              </w:rPr>
            </w:pPr>
          </w:p>
        </w:tc>
        <w:tc>
          <w:tcPr>
            <w:tcW w:w="1191" w:type="pct"/>
            <w:vAlign w:val="center"/>
          </w:tcPr>
          <w:p w14:paraId="24A16AA3">
            <w:pPr>
              <w:spacing w:line="240" w:lineRule="auto"/>
              <w:ind w:firstLine="0" w:firstLineChars="0"/>
              <w:jc w:val="center"/>
              <w:rPr>
                <w:color w:val="auto"/>
                <w:sz w:val="21"/>
                <w:szCs w:val="21"/>
              </w:rPr>
            </w:pPr>
            <w:r>
              <w:rPr>
                <w:color w:val="auto"/>
                <w:sz w:val="21"/>
                <w:szCs w:val="21"/>
              </w:rPr>
              <w:t>预测结论</w:t>
            </w:r>
          </w:p>
        </w:tc>
        <w:tc>
          <w:tcPr>
            <w:tcW w:w="3219" w:type="pct"/>
            <w:gridSpan w:val="6"/>
            <w:vAlign w:val="center"/>
          </w:tcPr>
          <w:p w14:paraId="5F84AEFA">
            <w:pPr>
              <w:spacing w:line="240" w:lineRule="auto"/>
              <w:ind w:firstLine="0" w:firstLineChars="0"/>
              <w:jc w:val="center"/>
              <w:rPr>
                <w:color w:val="auto"/>
                <w:sz w:val="21"/>
                <w:szCs w:val="21"/>
              </w:rPr>
            </w:pPr>
            <w:r>
              <w:rPr>
                <w:color w:val="auto"/>
                <w:sz w:val="21"/>
                <w:szCs w:val="21"/>
              </w:rPr>
              <w:t>达标结论： a)</w:t>
            </w:r>
            <w:r>
              <w:rPr>
                <w:color w:val="auto"/>
              </w:rPr>
              <w:t xml:space="preserve"> </w:t>
            </w:r>
            <w:r>
              <w:rPr>
                <w:color w:val="auto"/>
                <w:sz w:val="21"/>
                <w:szCs w:val="21"/>
              </w:rPr>
              <w:t>☑；b) □；c) □</w:t>
            </w:r>
          </w:p>
          <w:p w14:paraId="00399CC4">
            <w:pPr>
              <w:spacing w:line="240" w:lineRule="auto"/>
              <w:ind w:firstLine="0" w:firstLineChars="0"/>
              <w:jc w:val="center"/>
              <w:rPr>
                <w:color w:val="auto"/>
                <w:sz w:val="21"/>
                <w:szCs w:val="21"/>
              </w:rPr>
            </w:pPr>
            <w:r>
              <w:rPr>
                <w:color w:val="auto"/>
                <w:sz w:val="21"/>
                <w:szCs w:val="21"/>
              </w:rPr>
              <w:t>不达标结论：a) □；b) □</w:t>
            </w:r>
          </w:p>
        </w:tc>
        <w:tc>
          <w:tcPr>
            <w:tcW w:w="278" w:type="pct"/>
            <w:vAlign w:val="center"/>
          </w:tcPr>
          <w:p w14:paraId="3D3FCCEA">
            <w:pPr>
              <w:spacing w:line="240" w:lineRule="auto"/>
              <w:ind w:firstLine="0" w:firstLineChars="0"/>
              <w:jc w:val="center"/>
              <w:rPr>
                <w:color w:val="auto"/>
                <w:sz w:val="21"/>
                <w:szCs w:val="21"/>
              </w:rPr>
            </w:pPr>
          </w:p>
        </w:tc>
      </w:tr>
      <w:tr w14:paraId="58F4FF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310" w:type="pct"/>
            <w:vMerge w:val="restart"/>
            <w:vAlign w:val="center"/>
          </w:tcPr>
          <w:p w14:paraId="7EBC5F1A">
            <w:pPr>
              <w:spacing w:line="240" w:lineRule="auto"/>
              <w:ind w:firstLine="0" w:firstLineChars="0"/>
              <w:jc w:val="center"/>
              <w:rPr>
                <w:color w:val="auto"/>
                <w:sz w:val="21"/>
                <w:szCs w:val="21"/>
              </w:rPr>
            </w:pPr>
            <w:r>
              <w:rPr>
                <w:color w:val="auto"/>
                <w:sz w:val="21"/>
                <w:szCs w:val="21"/>
              </w:rPr>
              <w:t>防治措施</w:t>
            </w:r>
          </w:p>
        </w:tc>
        <w:tc>
          <w:tcPr>
            <w:tcW w:w="1191" w:type="pct"/>
            <w:vAlign w:val="center"/>
          </w:tcPr>
          <w:p w14:paraId="1B9952B2">
            <w:pPr>
              <w:spacing w:line="240" w:lineRule="auto"/>
              <w:ind w:firstLine="0" w:firstLineChars="0"/>
              <w:jc w:val="center"/>
              <w:rPr>
                <w:color w:val="auto"/>
                <w:sz w:val="21"/>
                <w:szCs w:val="21"/>
              </w:rPr>
            </w:pPr>
            <w:r>
              <w:rPr>
                <w:color w:val="auto"/>
                <w:sz w:val="21"/>
                <w:szCs w:val="21"/>
              </w:rPr>
              <w:t>防控措施</w:t>
            </w:r>
          </w:p>
        </w:tc>
        <w:tc>
          <w:tcPr>
            <w:tcW w:w="3219" w:type="pct"/>
            <w:gridSpan w:val="6"/>
            <w:vAlign w:val="center"/>
          </w:tcPr>
          <w:p w14:paraId="64064004">
            <w:pPr>
              <w:spacing w:line="240" w:lineRule="auto"/>
              <w:ind w:firstLine="0" w:firstLineChars="0"/>
              <w:jc w:val="center"/>
              <w:rPr>
                <w:color w:val="auto"/>
                <w:sz w:val="21"/>
                <w:szCs w:val="21"/>
              </w:rPr>
            </w:pPr>
            <w:r>
              <w:rPr>
                <w:color w:val="auto"/>
                <w:sz w:val="21"/>
                <w:szCs w:val="21"/>
              </w:rPr>
              <w:t>土壤环境质量现状保障</w:t>
            </w:r>
            <w:r>
              <w:rPr>
                <w:color w:val="auto"/>
                <w:sz w:val="21"/>
                <w:szCs w:val="21"/>
              </w:rPr>
              <w:drawing>
                <wp:inline distT="0" distB="0" distL="0" distR="0">
                  <wp:extent cx="107950" cy="98425"/>
                  <wp:effectExtent l="0" t="0" r="0" b="0"/>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54"/>
                          <a:stretch>
                            <a:fillRect/>
                          </a:stretch>
                        </pic:blipFill>
                        <pic:spPr>
                          <a:xfrm>
                            <a:off x="0" y="0"/>
                            <a:ext cx="108287" cy="98438"/>
                          </a:xfrm>
                          <a:prstGeom prst="rect">
                            <a:avLst/>
                          </a:prstGeom>
                        </pic:spPr>
                      </pic:pic>
                    </a:graphicData>
                  </a:graphic>
                </wp:inline>
              </w:drawing>
            </w:r>
            <w:r>
              <w:rPr>
                <w:color w:val="auto"/>
                <w:sz w:val="21"/>
                <w:szCs w:val="21"/>
              </w:rPr>
              <w:t>；源头控制☑；过程防控☑；</w:t>
            </w:r>
          </w:p>
        </w:tc>
        <w:tc>
          <w:tcPr>
            <w:tcW w:w="278" w:type="pct"/>
            <w:vAlign w:val="center"/>
          </w:tcPr>
          <w:p w14:paraId="5ED2D2FC">
            <w:pPr>
              <w:spacing w:line="240" w:lineRule="auto"/>
              <w:ind w:firstLine="0" w:firstLineChars="0"/>
              <w:jc w:val="center"/>
              <w:rPr>
                <w:color w:val="auto"/>
                <w:sz w:val="21"/>
                <w:szCs w:val="21"/>
              </w:rPr>
            </w:pPr>
          </w:p>
        </w:tc>
      </w:tr>
      <w:tr w14:paraId="036783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310" w:type="pct"/>
            <w:vMerge w:val="continue"/>
            <w:vAlign w:val="center"/>
          </w:tcPr>
          <w:p w14:paraId="49EFA983">
            <w:pPr>
              <w:spacing w:line="240" w:lineRule="auto"/>
              <w:ind w:firstLine="0" w:firstLineChars="0"/>
              <w:jc w:val="center"/>
              <w:rPr>
                <w:color w:val="auto"/>
                <w:sz w:val="21"/>
                <w:szCs w:val="21"/>
              </w:rPr>
            </w:pPr>
          </w:p>
        </w:tc>
        <w:tc>
          <w:tcPr>
            <w:tcW w:w="1191" w:type="pct"/>
            <w:vMerge w:val="restart"/>
            <w:vAlign w:val="center"/>
          </w:tcPr>
          <w:p w14:paraId="0A46D9D7">
            <w:pPr>
              <w:spacing w:line="240" w:lineRule="auto"/>
              <w:ind w:firstLine="0" w:firstLineChars="0"/>
              <w:jc w:val="center"/>
              <w:rPr>
                <w:color w:val="auto"/>
                <w:sz w:val="21"/>
                <w:szCs w:val="21"/>
              </w:rPr>
            </w:pPr>
            <w:r>
              <w:rPr>
                <w:color w:val="auto"/>
                <w:sz w:val="21"/>
                <w:szCs w:val="21"/>
              </w:rPr>
              <w:t>跟踪监测</w:t>
            </w:r>
          </w:p>
        </w:tc>
        <w:tc>
          <w:tcPr>
            <w:tcW w:w="1044" w:type="pct"/>
            <w:gridSpan w:val="2"/>
            <w:vAlign w:val="center"/>
          </w:tcPr>
          <w:p w14:paraId="5B1FB903">
            <w:pPr>
              <w:spacing w:line="240" w:lineRule="auto"/>
              <w:ind w:firstLine="0" w:firstLineChars="0"/>
              <w:jc w:val="center"/>
              <w:rPr>
                <w:color w:val="auto"/>
                <w:sz w:val="21"/>
                <w:szCs w:val="21"/>
              </w:rPr>
            </w:pPr>
            <w:r>
              <w:rPr>
                <w:color w:val="auto"/>
                <w:sz w:val="21"/>
                <w:szCs w:val="21"/>
              </w:rPr>
              <w:t>监测点数</w:t>
            </w:r>
          </w:p>
        </w:tc>
        <w:tc>
          <w:tcPr>
            <w:tcW w:w="1045" w:type="pct"/>
            <w:gridSpan w:val="2"/>
            <w:vAlign w:val="center"/>
          </w:tcPr>
          <w:p w14:paraId="6B0992DC">
            <w:pPr>
              <w:spacing w:line="240" w:lineRule="auto"/>
              <w:ind w:firstLine="0" w:firstLineChars="0"/>
              <w:jc w:val="center"/>
              <w:rPr>
                <w:color w:val="auto"/>
                <w:sz w:val="21"/>
                <w:szCs w:val="21"/>
              </w:rPr>
            </w:pPr>
            <w:r>
              <w:rPr>
                <w:color w:val="auto"/>
                <w:sz w:val="21"/>
                <w:szCs w:val="21"/>
              </w:rPr>
              <w:t>监测指标</w:t>
            </w:r>
          </w:p>
        </w:tc>
        <w:tc>
          <w:tcPr>
            <w:tcW w:w="1129" w:type="pct"/>
            <w:gridSpan w:val="2"/>
            <w:vAlign w:val="center"/>
          </w:tcPr>
          <w:p w14:paraId="6953FBE7">
            <w:pPr>
              <w:spacing w:line="240" w:lineRule="auto"/>
              <w:ind w:firstLine="0" w:firstLineChars="0"/>
              <w:jc w:val="center"/>
              <w:rPr>
                <w:color w:val="auto"/>
                <w:sz w:val="21"/>
                <w:szCs w:val="21"/>
              </w:rPr>
            </w:pPr>
            <w:r>
              <w:rPr>
                <w:color w:val="auto"/>
                <w:sz w:val="21"/>
                <w:szCs w:val="21"/>
              </w:rPr>
              <w:t>监测频次</w:t>
            </w:r>
          </w:p>
        </w:tc>
        <w:tc>
          <w:tcPr>
            <w:tcW w:w="278" w:type="pct"/>
            <w:vAlign w:val="center"/>
          </w:tcPr>
          <w:p w14:paraId="55F3C208">
            <w:pPr>
              <w:spacing w:line="240" w:lineRule="auto"/>
              <w:ind w:firstLine="0" w:firstLineChars="0"/>
              <w:jc w:val="center"/>
              <w:rPr>
                <w:color w:val="auto"/>
                <w:sz w:val="21"/>
                <w:szCs w:val="21"/>
              </w:rPr>
            </w:pPr>
          </w:p>
        </w:tc>
      </w:tr>
      <w:tr w14:paraId="2C8312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310" w:type="pct"/>
            <w:vMerge w:val="continue"/>
            <w:vAlign w:val="center"/>
          </w:tcPr>
          <w:p w14:paraId="351C4566">
            <w:pPr>
              <w:spacing w:line="240" w:lineRule="auto"/>
              <w:ind w:firstLine="0" w:firstLineChars="0"/>
              <w:jc w:val="center"/>
              <w:rPr>
                <w:color w:val="auto"/>
                <w:sz w:val="21"/>
                <w:szCs w:val="21"/>
              </w:rPr>
            </w:pPr>
          </w:p>
        </w:tc>
        <w:tc>
          <w:tcPr>
            <w:tcW w:w="1191" w:type="pct"/>
            <w:vMerge w:val="continue"/>
            <w:vAlign w:val="center"/>
          </w:tcPr>
          <w:p w14:paraId="189F1733">
            <w:pPr>
              <w:spacing w:line="240" w:lineRule="auto"/>
              <w:ind w:firstLine="0" w:firstLineChars="0"/>
              <w:jc w:val="center"/>
              <w:rPr>
                <w:color w:val="auto"/>
                <w:sz w:val="21"/>
                <w:szCs w:val="21"/>
              </w:rPr>
            </w:pPr>
          </w:p>
        </w:tc>
        <w:tc>
          <w:tcPr>
            <w:tcW w:w="1044" w:type="pct"/>
            <w:gridSpan w:val="2"/>
            <w:vAlign w:val="center"/>
          </w:tcPr>
          <w:p w14:paraId="2A49BB66">
            <w:pPr>
              <w:spacing w:line="240" w:lineRule="auto"/>
              <w:ind w:firstLine="0" w:firstLineChars="0"/>
              <w:jc w:val="center"/>
              <w:rPr>
                <w:color w:val="auto"/>
                <w:sz w:val="21"/>
                <w:szCs w:val="21"/>
              </w:rPr>
            </w:pPr>
            <w:r>
              <w:rPr>
                <w:color w:val="auto"/>
                <w:sz w:val="21"/>
                <w:szCs w:val="21"/>
              </w:rPr>
              <w:t>2</w:t>
            </w:r>
          </w:p>
        </w:tc>
        <w:tc>
          <w:tcPr>
            <w:tcW w:w="1045" w:type="pct"/>
            <w:gridSpan w:val="2"/>
            <w:vAlign w:val="center"/>
          </w:tcPr>
          <w:p w14:paraId="69A6F08C">
            <w:pPr>
              <w:spacing w:line="240" w:lineRule="auto"/>
              <w:ind w:firstLine="0" w:firstLineChars="0"/>
              <w:jc w:val="center"/>
              <w:rPr>
                <w:color w:val="auto"/>
                <w:sz w:val="21"/>
                <w:szCs w:val="21"/>
              </w:rPr>
            </w:pPr>
            <w:r>
              <w:rPr>
                <w:color w:val="auto"/>
                <w:sz w:val="21"/>
                <w:szCs w:val="21"/>
              </w:rPr>
              <w:t>pH、</w:t>
            </w:r>
            <w:r>
              <w:rPr>
                <w:rFonts w:hint="eastAsia"/>
                <w:color w:val="auto"/>
                <w:sz w:val="21"/>
                <w:szCs w:val="21"/>
              </w:rPr>
              <w:t>铝、锡</w:t>
            </w:r>
          </w:p>
        </w:tc>
        <w:tc>
          <w:tcPr>
            <w:tcW w:w="1129" w:type="pct"/>
            <w:gridSpan w:val="2"/>
            <w:vAlign w:val="center"/>
          </w:tcPr>
          <w:p w14:paraId="4467296A">
            <w:pPr>
              <w:spacing w:line="240" w:lineRule="auto"/>
              <w:ind w:firstLine="0" w:firstLineChars="0"/>
              <w:jc w:val="center"/>
              <w:rPr>
                <w:color w:val="auto"/>
                <w:sz w:val="21"/>
                <w:szCs w:val="21"/>
              </w:rPr>
            </w:pPr>
            <w:r>
              <w:rPr>
                <w:color w:val="auto"/>
                <w:sz w:val="21"/>
                <w:szCs w:val="21"/>
              </w:rPr>
              <w:t>1次/5年</w:t>
            </w:r>
          </w:p>
        </w:tc>
        <w:tc>
          <w:tcPr>
            <w:tcW w:w="278" w:type="pct"/>
            <w:vAlign w:val="center"/>
          </w:tcPr>
          <w:p w14:paraId="44AC9954">
            <w:pPr>
              <w:spacing w:line="240" w:lineRule="auto"/>
              <w:ind w:firstLine="0" w:firstLineChars="0"/>
              <w:jc w:val="center"/>
              <w:rPr>
                <w:color w:val="auto"/>
                <w:sz w:val="21"/>
                <w:szCs w:val="21"/>
              </w:rPr>
            </w:pPr>
          </w:p>
        </w:tc>
      </w:tr>
      <w:tr w14:paraId="7157C9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310" w:type="pct"/>
            <w:vMerge w:val="continue"/>
            <w:vAlign w:val="center"/>
          </w:tcPr>
          <w:p w14:paraId="3B76AE74">
            <w:pPr>
              <w:spacing w:line="240" w:lineRule="auto"/>
              <w:ind w:firstLine="0" w:firstLineChars="0"/>
              <w:jc w:val="center"/>
              <w:rPr>
                <w:color w:val="auto"/>
                <w:sz w:val="21"/>
                <w:szCs w:val="21"/>
              </w:rPr>
            </w:pPr>
          </w:p>
        </w:tc>
        <w:tc>
          <w:tcPr>
            <w:tcW w:w="1191" w:type="pct"/>
            <w:vAlign w:val="center"/>
          </w:tcPr>
          <w:p w14:paraId="530F64A4">
            <w:pPr>
              <w:spacing w:line="240" w:lineRule="auto"/>
              <w:ind w:firstLine="0" w:firstLineChars="0"/>
              <w:jc w:val="center"/>
              <w:rPr>
                <w:color w:val="auto"/>
                <w:sz w:val="21"/>
                <w:szCs w:val="21"/>
              </w:rPr>
            </w:pPr>
            <w:r>
              <w:rPr>
                <w:color w:val="auto"/>
                <w:sz w:val="21"/>
                <w:szCs w:val="21"/>
              </w:rPr>
              <w:t>信息公开指标</w:t>
            </w:r>
          </w:p>
        </w:tc>
        <w:tc>
          <w:tcPr>
            <w:tcW w:w="3219" w:type="pct"/>
            <w:gridSpan w:val="6"/>
            <w:vAlign w:val="center"/>
          </w:tcPr>
          <w:p w14:paraId="1094D2E1">
            <w:pPr>
              <w:spacing w:line="240" w:lineRule="auto"/>
              <w:ind w:firstLine="0" w:firstLineChars="0"/>
              <w:jc w:val="center"/>
              <w:rPr>
                <w:color w:val="auto"/>
                <w:sz w:val="21"/>
                <w:szCs w:val="21"/>
              </w:rPr>
            </w:pPr>
            <w:r>
              <w:rPr>
                <w:color w:val="auto"/>
                <w:sz w:val="21"/>
                <w:szCs w:val="21"/>
              </w:rPr>
              <w:t>监测方案、监测报告</w:t>
            </w:r>
          </w:p>
        </w:tc>
        <w:tc>
          <w:tcPr>
            <w:tcW w:w="278" w:type="pct"/>
            <w:vAlign w:val="center"/>
          </w:tcPr>
          <w:p w14:paraId="386AB969">
            <w:pPr>
              <w:spacing w:line="240" w:lineRule="auto"/>
              <w:ind w:firstLine="0" w:firstLineChars="0"/>
              <w:jc w:val="center"/>
              <w:rPr>
                <w:color w:val="auto"/>
                <w:sz w:val="21"/>
                <w:szCs w:val="21"/>
              </w:rPr>
            </w:pPr>
          </w:p>
        </w:tc>
      </w:tr>
      <w:tr w14:paraId="5C4129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1501" w:type="pct"/>
            <w:gridSpan w:val="2"/>
            <w:vAlign w:val="center"/>
          </w:tcPr>
          <w:p w14:paraId="4FD699EF">
            <w:pPr>
              <w:spacing w:line="240" w:lineRule="auto"/>
              <w:ind w:firstLine="0" w:firstLineChars="0"/>
              <w:jc w:val="center"/>
              <w:rPr>
                <w:color w:val="auto"/>
                <w:sz w:val="21"/>
                <w:szCs w:val="21"/>
              </w:rPr>
            </w:pPr>
            <w:r>
              <w:rPr>
                <w:color w:val="auto"/>
                <w:sz w:val="21"/>
                <w:szCs w:val="21"/>
              </w:rPr>
              <w:t>评价结论</w:t>
            </w:r>
          </w:p>
        </w:tc>
        <w:tc>
          <w:tcPr>
            <w:tcW w:w="3219" w:type="pct"/>
            <w:gridSpan w:val="6"/>
            <w:vAlign w:val="center"/>
          </w:tcPr>
          <w:p w14:paraId="76DC491A">
            <w:pPr>
              <w:spacing w:line="240" w:lineRule="auto"/>
              <w:ind w:firstLine="0" w:firstLineChars="0"/>
              <w:jc w:val="center"/>
              <w:rPr>
                <w:color w:val="auto"/>
                <w:sz w:val="21"/>
                <w:szCs w:val="21"/>
              </w:rPr>
            </w:pPr>
            <w:r>
              <w:rPr>
                <w:color w:val="auto"/>
                <w:sz w:val="21"/>
                <w:szCs w:val="21"/>
              </w:rPr>
              <w:t>土壤环境影响可接受</w:t>
            </w:r>
          </w:p>
        </w:tc>
        <w:tc>
          <w:tcPr>
            <w:tcW w:w="278" w:type="pct"/>
            <w:vAlign w:val="center"/>
          </w:tcPr>
          <w:p w14:paraId="7BED5E22">
            <w:pPr>
              <w:spacing w:line="240" w:lineRule="auto"/>
              <w:ind w:firstLine="0" w:firstLineChars="0"/>
              <w:jc w:val="center"/>
              <w:rPr>
                <w:color w:val="auto"/>
                <w:sz w:val="21"/>
                <w:szCs w:val="21"/>
              </w:rPr>
            </w:pPr>
          </w:p>
        </w:tc>
      </w:tr>
      <w:tr w14:paraId="262B15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5000" w:type="pct"/>
            <w:gridSpan w:val="9"/>
            <w:vAlign w:val="center"/>
          </w:tcPr>
          <w:p w14:paraId="4AE4C38B">
            <w:pPr>
              <w:spacing w:line="240" w:lineRule="auto"/>
              <w:ind w:firstLine="0" w:firstLineChars="0"/>
              <w:rPr>
                <w:color w:val="auto"/>
                <w:sz w:val="21"/>
                <w:szCs w:val="21"/>
              </w:rPr>
            </w:pPr>
            <w:r>
              <w:rPr>
                <w:color w:val="auto"/>
                <w:sz w:val="21"/>
                <w:szCs w:val="21"/>
              </w:rPr>
              <w:t>注 1：“√”为勾选项，可√；“（）”为内容填写项；“备注”为其他补充内容。</w:t>
            </w:r>
          </w:p>
          <w:p w14:paraId="452E8EDA">
            <w:pPr>
              <w:spacing w:line="240" w:lineRule="auto"/>
              <w:ind w:firstLine="0" w:firstLineChars="0"/>
              <w:rPr>
                <w:color w:val="auto"/>
                <w:sz w:val="21"/>
                <w:szCs w:val="21"/>
              </w:rPr>
            </w:pPr>
            <w:r>
              <w:rPr>
                <w:color w:val="auto"/>
                <w:sz w:val="21"/>
                <w:szCs w:val="21"/>
              </w:rPr>
              <w:t>注 2：需要分别开展土壤环境影响</w:t>
            </w:r>
            <w:r>
              <w:rPr>
                <w:rFonts w:hint="eastAsia"/>
                <w:color w:val="auto"/>
                <w:sz w:val="21"/>
                <w:szCs w:val="21"/>
              </w:rPr>
              <w:t>评价</w:t>
            </w:r>
            <w:r>
              <w:rPr>
                <w:color w:val="auto"/>
                <w:sz w:val="21"/>
                <w:szCs w:val="21"/>
              </w:rPr>
              <w:t>工作的，分别填写自查表。</w:t>
            </w:r>
          </w:p>
        </w:tc>
      </w:tr>
    </w:tbl>
    <w:p w14:paraId="5DE44383">
      <w:pPr>
        <w:keepNext/>
        <w:keepLines/>
        <w:spacing w:before="120" w:beforeLines="50"/>
        <w:ind w:firstLine="0" w:firstLineChars="0"/>
        <w:outlineLvl w:val="2"/>
        <w:rPr>
          <w:b/>
          <w:bCs/>
          <w:color w:val="auto"/>
          <w:sz w:val="28"/>
          <w:szCs w:val="36"/>
        </w:rPr>
      </w:pPr>
      <w:r>
        <w:rPr>
          <w:rFonts w:hint="eastAsia"/>
          <w:b/>
          <w:bCs/>
          <w:color w:val="auto"/>
          <w:sz w:val="28"/>
          <w:szCs w:val="36"/>
        </w:rPr>
        <w:t>6</w:t>
      </w:r>
      <w:r>
        <w:rPr>
          <w:b/>
          <w:bCs/>
          <w:color w:val="auto"/>
          <w:sz w:val="28"/>
          <w:szCs w:val="36"/>
        </w:rPr>
        <w:t>.2.7 生态环境影响分析和防治对策</w:t>
      </w:r>
    </w:p>
    <w:p w14:paraId="18FED009">
      <w:pPr>
        <w:ind w:firstLine="480"/>
        <w:rPr>
          <w:color w:val="auto"/>
        </w:rPr>
      </w:pPr>
      <w:r>
        <w:rPr>
          <w:color w:val="auto"/>
        </w:rPr>
        <w:t>对照</w:t>
      </w:r>
      <w:r>
        <w:rPr>
          <w:color w:val="auto"/>
          <w:lang w:bidi="en-US"/>
        </w:rPr>
        <w:t>《江苏省国家级生态保护红线规划》（苏政发</w:t>
      </w:r>
      <w:r>
        <w:rPr>
          <w:rFonts w:hint="eastAsia"/>
          <w:color w:val="auto"/>
          <w:lang w:bidi="en-US"/>
        </w:rPr>
        <w:t>〔</w:t>
      </w:r>
      <w:r>
        <w:rPr>
          <w:color w:val="auto"/>
          <w:lang w:bidi="en-US"/>
        </w:rPr>
        <w:t>2018</w:t>
      </w:r>
      <w:r>
        <w:rPr>
          <w:rFonts w:hint="eastAsia"/>
          <w:color w:val="auto"/>
          <w:lang w:bidi="en-US"/>
        </w:rPr>
        <w:t>〕</w:t>
      </w:r>
      <w:r>
        <w:rPr>
          <w:color w:val="auto"/>
          <w:lang w:bidi="en-US"/>
        </w:rPr>
        <w:t>74号）以及</w:t>
      </w:r>
      <w:r>
        <w:rPr>
          <w:color w:val="auto"/>
        </w:rPr>
        <w:t>《江苏省生态空间管控区域规划》（苏政发</w:t>
      </w:r>
      <w:r>
        <w:rPr>
          <w:rFonts w:hint="eastAsia"/>
          <w:color w:val="auto"/>
        </w:rPr>
        <w:t>〔</w:t>
      </w:r>
      <w:r>
        <w:rPr>
          <w:color w:val="auto"/>
        </w:rPr>
        <w:t>2020</w:t>
      </w:r>
      <w:r>
        <w:rPr>
          <w:rFonts w:hint="eastAsia"/>
          <w:color w:val="auto"/>
        </w:rPr>
        <w:t>〕</w:t>
      </w:r>
      <w:r>
        <w:rPr>
          <w:color w:val="auto"/>
        </w:rPr>
        <w:t>1号），本项目不涉及江苏省国家级生态</w:t>
      </w:r>
      <w:r>
        <w:rPr>
          <w:rFonts w:hint="eastAsia"/>
          <w:color w:val="auto"/>
        </w:rPr>
        <w:t>保护</w:t>
      </w:r>
      <w:r>
        <w:rPr>
          <w:color w:val="auto"/>
        </w:rPr>
        <w:t>红线及生态管控空间，距离最近的国家级生态保护红线约</w:t>
      </w:r>
      <w:r>
        <w:rPr>
          <w:rFonts w:hint="eastAsia"/>
          <w:color w:val="auto"/>
        </w:rPr>
        <w:t>2.44</w:t>
      </w:r>
      <w:r>
        <w:rPr>
          <w:color w:val="auto"/>
        </w:rPr>
        <w:t>km。项目施工期各类污染物均可得到合理处置，并采用绿色施工工艺，减少地表开挖，加强表层土堆存防护及管理等措施，减少对周边生态环境影响。运营期</w:t>
      </w:r>
      <w:r>
        <w:rPr>
          <w:rFonts w:hint="eastAsia"/>
          <w:color w:val="auto"/>
        </w:rPr>
        <w:t>生产废水和生活污水</w:t>
      </w:r>
      <w:r>
        <w:rPr>
          <w:color w:val="auto"/>
        </w:rPr>
        <w:t>经</w:t>
      </w:r>
      <w:r>
        <w:rPr>
          <w:rFonts w:hint="eastAsia"/>
          <w:color w:val="auto"/>
        </w:rPr>
        <w:t>预处理后达接管标准接管至开发区临港污水处理厂</w:t>
      </w:r>
      <w:r>
        <w:rPr>
          <w:color w:val="auto"/>
        </w:rPr>
        <w:t>集中处理；各类废气经收集处理后均可实现达标排放，各类固废妥善收集合理处置，厂区划分重点防渗区、一般防</w:t>
      </w:r>
      <w:r>
        <w:rPr>
          <w:rFonts w:hint="eastAsia"/>
          <w:color w:val="auto"/>
        </w:rPr>
        <w:t>渗区</w:t>
      </w:r>
      <w:r>
        <w:rPr>
          <w:color w:val="auto"/>
        </w:rPr>
        <w:t>和简单防渗区</w:t>
      </w:r>
      <w:r>
        <w:rPr>
          <w:rFonts w:hint="eastAsia"/>
          <w:color w:val="auto"/>
        </w:rPr>
        <w:t>，对</w:t>
      </w:r>
      <w:r>
        <w:rPr>
          <w:color w:val="auto"/>
        </w:rPr>
        <w:t>不同污染物</w:t>
      </w:r>
      <w:r>
        <w:rPr>
          <w:rFonts w:hint="eastAsia"/>
          <w:color w:val="auto"/>
        </w:rPr>
        <w:t>区域</w:t>
      </w:r>
      <w:r>
        <w:rPr>
          <w:color w:val="auto"/>
        </w:rPr>
        <w:t>采取不同等级的防渗措施，确保其可靠性和有效性。因此，本项目运营期对周边环境影响较小。</w:t>
      </w:r>
    </w:p>
    <w:p w14:paraId="027F9BC6">
      <w:pPr>
        <w:autoSpaceDE w:val="0"/>
        <w:autoSpaceDN w:val="0"/>
        <w:ind w:firstLine="504" w:firstLineChars="210"/>
        <w:rPr>
          <w:color w:val="auto"/>
          <w:lang w:val="zh-CN"/>
        </w:rPr>
      </w:pPr>
      <w:r>
        <w:rPr>
          <w:color w:val="auto"/>
          <w:lang w:val="zh-CN"/>
        </w:rPr>
        <w:t>生态环境影响评价自查表见下表。</w:t>
      </w:r>
    </w:p>
    <w:p w14:paraId="7487BEBD">
      <w:pPr>
        <w:spacing w:line="240" w:lineRule="auto"/>
        <w:ind w:firstLine="0" w:firstLineChars="0"/>
        <w:jc w:val="center"/>
        <w:rPr>
          <w:b/>
          <w:bCs/>
          <w:color w:val="auto"/>
        </w:rPr>
      </w:pPr>
      <w:r>
        <w:rPr>
          <w:b/>
          <w:bCs/>
          <w:color w:val="auto"/>
          <w:spacing w:val="-4"/>
        </w:rPr>
        <w:t>表</w:t>
      </w:r>
      <w:r>
        <w:rPr>
          <w:rFonts w:hint="eastAsia"/>
          <w:b/>
          <w:bCs/>
          <w:color w:val="auto"/>
          <w:spacing w:val="-4"/>
        </w:rPr>
        <w:t>6.2.7-1</w:t>
      </w:r>
      <w:r>
        <w:rPr>
          <w:b/>
          <w:bCs/>
          <w:color w:val="auto"/>
          <w:spacing w:val="-2"/>
        </w:rPr>
        <w:t xml:space="preserve">  生态影响评价自查表</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959"/>
        <w:gridCol w:w="1559"/>
        <w:gridCol w:w="6883"/>
      </w:tblGrid>
      <w:tr w14:paraId="0F3E88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blHeader/>
        </w:trPr>
        <w:tc>
          <w:tcPr>
            <w:tcW w:w="1339" w:type="pct"/>
            <w:gridSpan w:val="2"/>
            <w:vAlign w:val="center"/>
          </w:tcPr>
          <w:p w14:paraId="16AD4144">
            <w:pPr>
              <w:spacing w:line="240" w:lineRule="auto"/>
              <w:ind w:firstLine="0" w:firstLineChars="0"/>
              <w:jc w:val="center"/>
              <w:rPr>
                <w:b/>
                <w:bCs/>
                <w:color w:val="auto"/>
                <w:sz w:val="21"/>
                <w:szCs w:val="21"/>
              </w:rPr>
            </w:pPr>
            <w:r>
              <w:rPr>
                <w:b/>
                <w:bCs/>
                <w:color w:val="auto"/>
                <w:spacing w:val="-2"/>
                <w:sz w:val="21"/>
                <w:szCs w:val="21"/>
              </w:rPr>
              <w:t>工</w:t>
            </w:r>
            <w:r>
              <w:rPr>
                <w:b/>
                <w:bCs/>
                <w:color w:val="auto"/>
                <w:spacing w:val="-1"/>
                <w:sz w:val="21"/>
                <w:szCs w:val="21"/>
              </w:rPr>
              <w:t>作内容</w:t>
            </w:r>
          </w:p>
        </w:tc>
        <w:tc>
          <w:tcPr>
            <w:tcW w:w="3661" w:type="pct"/>
            <w:vAlign w:val="center"/>
          </w:tcPr>
          <w:p w14:paraId="0FAD87C7">
            <w:pPr>
              <w:spacing w:line="240" w:lineRule="auto"/>
              <w:ind w:firstLine="0" w:firstLineChars="0"/>
              <w:jc w:val="center"/>
              <w:rPr>
                <w:b/>
                <w:bCs/>
                <w:color w:val="auto"/>
                <w:sz w:val="21"/>
                <w:szCs w:val="21"/>
              </w:rPr>
            </w:pPr>
            <w:r>
              <w:rPr>
                <w:b/>
                <w:bCs/>
                <w:color w:val="auto"/>
                <w:spacing w:val="-8"/>
                <w:sz w:val="21"/>
                <w:szCs w:val="21"/>
              </w:rPr>
              <w:t>自</w:t>
            </w:r>
            <w:r>
              <w:rPr>
                <w:b/>
                <w:bCs/>
                <w:color w:val="auto"/>
                <w:spacing w:val="-7"/>
                <w:sz w:val="21"/>
                <w:szCs w:val="21"/>
              </w:rPr>
              <w:t>查项目</w:t>
            </w:r>
          </w:p>
        </w:tc>
      </w:tr>
      <w:tr w14:paraId="2A4554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restart"/>
            <w:vAlign w:val="center"/>
          </w:tcPr>
          <w:p w14:paraId="6CF4565E">
            <w:pPr>
              <w:spacing w:line="240" w:lineRule="auto"/>
              <w:ind w:firstLine="0" w:firstLineChars="0"/>
              <w:jc w:val="center"/>
              <w:rPr>
                <w:color w:val="auto"/>
                <w:sz w:val="21"/>
                <w:szCs w:val="21"/>
              </w:rPr>
            </w:pPr>
            <w:r>
              <w:rPr>
                <w:color w:val="auto"/>
                <w:sz w:val="21"/>
                <w:szCs w:val="21"/>
              </w:rPr>
              <w:t>生态影响识别</w:t>
            </w:r>
          </w:p>
        </w:tc>
        <w:tc>
          <w:tcPr>
            <w:tcW w:w="829" w:type="pct"/>
            <w:vAlign w:val="center"/>
          </w:tcPr>
          <w:p w14:paraId="74A24357">
            <w:pPr>
              <w:spacing w:line="240" w:lineRule="auto"/>
              <w:ind w:firstLine="0" w:firstLineChars="0"/>
              <w:jc w:val="center"/>
              <w:rPr>
                <w:color w:val="auto"/>
                <w:sz w:val="21"/>
                <w:szCs w:val="21"/>
              </w:rPr>
            </w:pPr>
            <w:r>
              <w:rPr>
                <w:color w:val="auto"/>
                <w:spacing w:val="-2"/>
                <w:sz w:val="21"/>
                <w:szCs w:val="21"/>
              </w:rPr>
              <w:t>生态</w:t>
            </w:r>
            <w:r>
              <w:rPr>
                <w:color w:val="auto"/>
                <w:spacing w:val="-1"/>
                <w:sz w:val="21"/>
                <w:szCs w:val="21"/>
              </w:rPr>
              <w:t>保护目</w:t>
            </w:r>
            <w:r>
              <w:rPr>
                <w:color w:val="auto"/>
                <w:sz w:val="21"/>
                <w:szCs w:val="21"/>
              </w:rPr>
              <w:t>标</w:t>
            </w:r>
          </w:p>
        </w:tc>
        <w:tc>
          <w:tcPr>
            <w:tcW w:w="3661" w:type="pct"/>
            <w:vAlign w:val="center"/>
          </w:tcPr>
          <w:p w14:paraId="0FFE4FBA">
            <w:pPr>
              <w:spacing w:line="240" w:lineRule="auto"/>
              <w:ind w:firstLine="0" w:firstLineChars="0"/>
              <w:rPr>
                <w:color w:val="auto"/>
                <w:sz w:val="21"/>
                <w:szCs w:val="21"/>
              </w:rPr>
            </w:pPr>
            <w:r>
              <w:rPr>
                <w:color w:val="auto"/>
                <w:spacing w:val="-5"/>
                <w:sz w:val="21"/>
                <w:szCs w:val="21"/>
              </w:rPr>
              <w:t>重</w:t>
            </w:r>
            <w:r>
              <w:rPr>
                <w:color w:val="auto"/>
                <w:spacing w:val="-4"/>
                <w:sz w:val="21"/>
                <w:szCs w:val="21"/>
              </w:rPr>
              <w:t>要物种□；国家公园□；自然保护区□；自然公园□；世</w:t>
            </w:r>
            <w:r>
              <w:rPr>
                <w:color w:val="auto"/>
                <w:spacing w:val="-12"/>
                <w:sz w:val="21"/>
                <w:szCs w:val="21"/>
              </w:rPr>
              <w:t>界自</w:t>
            </w:r>
            <w:r>
              <w:rPr>
                <w:color w:val="auto"/>
                <w:spacing w:val="-10"/>
                <w:sz w:val="21"/>
                <w:szCs w:val="21"/>
              </w:rPr>
              <w:t>然</w:t>
            </w:r>
            <w:r>
              <w:rPr>
                <w:color w:val="auto"/>
                <w:spacing w:val="-6"/>
                <w:sz w:val="21"/>
                <w:szCs w:val="21"/>
              </w:rPr>
              <w:t>遗产□；生态保护红线</w:t>
            </w:r>
            <w:r>
              <w:rPr>
                <w:rFonts w:hint="eastAsia"/>
                <w:color w:val="auto"/>
                <w:spacing w:val="-6"/>
                <w:sz w:val="21"/>
                <w:szCs w:val="21"/>
              </w:rPr>
              <w:t>□</w:t>
            </w:r>
            <w:r>
              <w:rPr>
                <w:color w:val="auto"/>
                <w:spacing w:val="-6"/>
                <w:sz w:val="21"/>
                <w:szCs w:val="21"/>
              </w:rPr>
              <w:t>；重要生境□；其他具有重</w:t>
            </w:r>
            <w:r>
              <w:rPr>
                <w:color w:val="auto"/>
                <w:spacing w:val="-4"/>
                <w:sz w:val="21"/>
                <w:szCs w:val="21"/>
              </w:rPr>
              <w:t>要生态功能、对保护生物多样性具有重要意义的区域□；其</w:t>
            </w:r>
            <w:r>
              <w:rPr>
                <w:color w:val="auto"/>
                <w:spacing w:val="-2"/>
                <w:sz w:val="21"/>
                <w:szCs w:val="21"/>
              </w:rPr>
              <w:t>他</w:t>
            </w:r>
            <w:r>
              <w:rPr>
                <w:color w:val="auto"/>
                <w:spacing w:val="-1"/>
                <w:sz w:val="21"/>
                <w:szCs w:val="21"/>
              </w:rPr>
              <w:t>□</w:t>
            </w:r>
          </w:p>
        </w:tc>
      </w:tr>
      <w:tr w14:paraId="6232D9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40C4F333">
            <w:pPr>
              <w:spacing w:line="240" w:lineRule="auto"/>
              <w:ind w:firstLine="0" w:firstLineChars="0"/>
              <w:jc w:val="center"/>
              <w:rPr>
                <w:color w:val="auto"/>
                <w:sz w:val="21"/>
                <w:szCs w:val="21"/>
              </w:rPr>
            </w:pPr>
          </w:p>
        </w:tc>
        <w:tc>
          <w:tcPr>
            <w:tcW w:w="829" w:type="pct"/>
            <w:vAlign w:val="center"/>
          </w:tcPr>
          <w:p w14:paraId="5EB2D34D">
            <w:pPr>
              <w:spacing w:line="240" w:lineRule="auto"/>
              <w:ind w:firstLine="0" w:firstLineChars="0"/>
              <w:jc w:val="center"/>
              <w:rPr>
                <w:color w:val="auto"/>
                <w:sz w:val="21"/>
                <w:szCs w:val="21"/>
              </w:rPr>
            </w:pPr>
            <w:r>
              <w:rPr>
                <w:color w:val="auto"/>
                <w:spacing w:val="-2"/>
                <w:sz w:val="21"/>
                <w:szCs w:val="21"/>
              </w:rPr>
              <w:t>影</w:t>
            </w:r>
            <w:r>
              <w:rPr>
                <w:color w:val="auto"/>
                <w:spacing w:val="-1"/>
                <w:sz w:val="21"/>
                <w:szCs w:val="21"/>
              </w:rPr>
              <w:t>响方式</w:t>
            </w:r>
          </w:p>
        </w:tc>
        <w:tc>
          <w:tcPr>
            <w:tcW w:w="3661" w:type="pct"/>
            <w:vAlign w:val="center"/>
          </w:tcPr>
          <w:p w14:paraId="0D6120C5">
            <w:pPr>
              <w:spacing w:line="240" w:lineRule="auto"/>
              <w:ind w:firstLine="0" w:firstLineChars="0"/>
              <w:rPr>
                <w:color w:val="auto"/>
                <w:sz w:val="21"/>
                <w:szCs w:val="21"/>
              </w:rPr>
            </w:pPr>
            <w:r>
              <w:rPr>
                <w:color w:val="auto"/>
                <w:spacing w:val="-8"/>
                <w:sz w:val="21"/>
                <w:szCs w:val="21"/>
              </w:rPr>
              <w:t>工程占用</w:t>
            </w:r>
            <w:r>
              <w:rPr>
                <w:rFonts w:hint="eastAsia"/>
                <w:color w:val="auto"/>
                <w:spacing w:val="-8"/>
                <w:sz w:val="21"/>
                <w:szCs w:val="21"/>
              </w:rPr>
              <w:t>□</w:t>
            </w:r>
            <w:r>
              <w:rPr>
                <w:color w:val="auto"/>
                <w:spacing w:val="-8"/>
                <w:sz w:val="21"/>
                <w:szCs w:val="21"/>
              </w:rPr>
              <w:t>；施工活动干扰</w:t>
            </w:r>
            <w:r>
              <w:rPr>
                <w:rFonts w:hint="eastAsia"/>
                <w:color w:val="auto"/>
                <w:spacing w:val="-8"/>
                <w:sz w:val="21"/>
                <w:szCs w:val="21"/>
              </w:rPr>
              <w:t>□</w:t>
            </w:r>
            <w:r>
              <w:rPr>
                <w:color w:val="auto"/>
                <w:spacing w:val="-8"/>
                <w:sz w:val="21"/>
                <w:szCs w:val="21"/>
              </w:rPr>
              <w:t>； 改变环境条件□； 其他</w:t>
            </w:r>
            <w:r>
              <w:rPr>
                <w:color w:val="auto"/>
                <w:spacing w:val="-5"/>
                <w:sz w:val="21"/>
                <w:szCs w:val="21"/>
              </w:rPr>
              <w:t>□</w:t>
            </w:r>
          </w:p>
        </w:tc>
      </w:tr>
      <w:tr w14:paraId="53A088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53C8CC26">
            <w:pPr>
              <w:spacing w:line="240" w:lineRule="auto"/>
              <w:ind w:firstLine="0" w:firstLineChars="0"/>
              <w:jc w:val="center"/>
              <w:rPr>
                <w:color w:val="auto"/>
                <w:sz w:val="21"/>
                <w:szCs w:val="21"/>
              </w:rPr>
            </w:pPr>
          </w:p>
        </w:tc>
        <w:tc>
          <w:tcPr>
            <w:tcW w:w="829" w:type="pct"/>
            <w:vAlign w:val="center"/>
          </w:tcPr>
          <w:p w14:paraId="594CBD12">
            <w:pPr>
              <w:spacing w:line="240" w:lineRule="auto"/>
              <w:ind w:firstLine="0" w:firstLineChars="0"/>
              <w:jc w:val="center"/>
              <w:rPr>
                <w:color w:val="auto"/>
                <w:sz w:val="21"/>
                <w:szCs w:val="21"/>
              </w:rPr>
            </w:pPr>
            <w:r>
              <w:rPr>
                <w:color w:val="auto"/>
                <w:spacing w:val="-1"/>
                <w:sz w:val="21"/>
                <w:szCs w:val="21"/>
              </w:rPr>
              <w:t>评价因子</w:t>
            </w:r>
          </w:p>
        </w:tc>
        <w:tc>
          <w:tcPr>
            <w:tcW w:w="3661" w:type="pct"/>
            <w:vAlign w:val="center"/>
          </w:tcPr>
          <w:p w14:paraId="6FFE51A0">
            <w:pPr>
              <w:spacing w:line="240" w:lineRule="auto"/>
              <w:ind w:firstLine="0" w:firstLineChars="0"/>
              <w:rPr>
                <w:color w:val="auto"/>
                <w:sz w:val="21"/>
                <w:szCs w:val="21"/>
              </w:rPr>
            </w:pPr>
            <w:r>
              <w:rPr>
                <w:color w:val="auto"/>
                <w:spacing w:val="22"/>
                <w:position w:val="9"/>
                <w:sz w:val="21"/>
                <w:szCs w:val="21"/>
              </w:rPr>
              <w:t>物</w:t>
            </w:r>
            <w:r>
              <w:rPr>
                <w:color w:val="auto"/>
                <w:spacing w:val="21"/>
                <w:position w:val="9"/>
                <w:sz w:val="21"/>
                <w:szCs w:val="21"/>
              </w:rPr>
              <w:t>种□（）</w:t>
            </w:r>
          </w:p>
          <w:p w14:paraId="0A8E4B28">
            <w:pPr>
              <w:spacing w:line="240" w:lineRule="auto"/>
              <w:ind w:firstLine="0" w:firstLineChars="0"/>
              <w:rPr>
                <w:color w:val="auto"/>
                <w:sz w:val="21"/>
                <w:szCs w:val="21"/>
              </w:rPr>
            </w:pPr>
            <w:r>
              <w:rPr>
                <w:color w:val="auto"/>
                <w:spacing w:val="21"/>
                <w:sz w:val="21"/>
                <w:szCs w:val="21"/>
              </w:rPr>
              <w:t>生境□（）</w:t>
            </w:r>
          </w:p>
          <w:p w14:paraId="0FE603E4">
            <w:pPr>
              <w:spacing w:line="240" w:lineRule="auto"/>
              <w:ind w:firstLine="0" w:firstLineChars="0"/>
              <w:rPr>
                <w:color w:val="auto"/>
                <w:sz w:val="21"/>
                <w:szCs w:val="21"/>
              </w:rPr>
            </w:pPr>
            <w:r>
              <w:rPr>
                <w:color w:val="auto"/>
                <w:spacing w:val="16"/>
                <w:position w:val="8"/>
                <w:sz w:val="21"/>
                <w:szCs w:val="21"/>
              </w:rPr>
              <w:t>生物群落□（）</w:t>
            </w:r>
          </w:p>
          <w:p w14:paraId="06300AD0">
            <w:pPr>
              <w:spacing w:line="240" w:lineRule="auto"/>
              <w:ind w:firstLine="0" w:firstLineChars="0"/>
              <w:rPr>
                <w:color w:val="auto"/>
                <w:sz w:val="21"/>
                <w:szCs w:val="21"/>
              </w:rPr>
            </w:pPr>
            <w:r>
              <w:rPr>
                <w:color w:val="auto"/>
                <w:spacing w:val="16"/>
                <w:sz w:val="21"/>
                <w:szCs w:val="21"/>
              </w:rPr>
              <w:t>生态系统□（）</w:t>
            </w:r>
          </w:p>
          <w:p w14:paraId="7C1B7DE3">
            <w:pPr>
              <w:spacing w:line="240" w:lineRule="auto"/>
              <w:ind w:firstLine="0" w:firstLineChars="0"/>
              <w:rPr>
                <w:color w:val="auto"/>
                <w:sz w:val="21"/>
                <w:szCs w:val="21"/>
              </w:rPr>
            </w:pPr>
            <w:r>
              <w:rPr>
                <w:color w:val="auto"/>
                <w:spacing w:val="15"/>
                <w:sz w:val="21"/>
                <w:szCs w:val="21"/>
              </w:rPr>
              <w:t>生</w:t>
            </w:r>
            <w:r>
              <w:rPr>
                <w:color w:val="auto"/>
                <w:spacing w:val="14"/>
                <w:sz w:val="21"/>
                <w:szCs w:val="21"/>
              </w:rPr>
              <w:t>物多样性□（）</w:t>
            </w:r>
          </w:p>
          <w:p w14:paraId="45B973BC">
            <w:pPr>
              <w:spacing w:line="240" w:lineRule="auto"/>
              <w:ind w:firstLine="0" w:firstLineChars="0"/>
              <w:rPr>
                <w:color w:val="auto"/>
                <w:spacing w:val="5"/>
                <w:sz w:val="21"/>
                <w:szCs w:val="21"/>
              </w:rPr>
            </w:pPr>
            <w:r>
              <w:rPr>
                <w:color w:val="auto"/>
                <w:spacing w:val="6"/>
                <w:sz w:val="21"/>
                <w:szCs w:val="21"/>
              </w:rPr>
              <w:t>生态敏感区</w:t>
            </w:r>
            <w:r>
              <w:rPr>
                <w:color w:val="auto"/>
                <w:spacing w:val="14"/>
                <w:sz w:val="21"/>
                <w:szCs w:val="21"/>
              </w:rPr>
              <w:t>□（）</w:t>
            </w:r>
          </w:p>
          <w:p w14:paraId="7699E051">
            <w:pPr>
              <w:spacing w:line="240" w:lineRule="auto"/>
              <w:ind w:firstLine="0" w:firstLineChars="0"/>
              <w:rPr>
                <w:color w:val="auto"/>
                <w:sz w:val="21"/>
                <w:szCs w:val="21"/>
              </w:rPr>
            </w:pPr>
            <w:r>
              <w:rPr>
                <w:color w:val="auto"/>
                <w:spacing w:val="16"/>
                <w:position w:val="8"/>
                <w:sz w:val="21"/>
                <w:szCs w:val="21"/>
              </w:rPr>
              <w:t>自</w:t>
            </w:r>
            <w:r>
              <w:rPr>
                <w:color w:val="auto"/>
                <w:spacing w:val="11"/>
                <w:position w:val="8"/>
                <w:sz w:val="21"/>
                <w:szCs w:val="21"/>
              </w:rPr>
              <w:t>然景观□（）</w:t>
            </w:r>
          </w:p>
          <w:p w14:paraId="083F6848">
            <w:pPr>
              <w:spacing w:line="240" w:lineRule="auto"/>
              <w:ind w:firstLine="0" w:firstLineChars="0"/>
              <w:rPr>
                <w:color w:val="auto"/>
                <w:sz w:val="21"/>
                <w:szCs w:val="21"/>
              </w:rPr>
            </w:pPr>
            <w:r>
              <w:rPr>
                <w:color w:val="auto"/>
                <w:spacing w:val="16"/>
                <w:sz w:val="21"/>
                <w:szCs w:val="21"/>
              </w:rPr>
              <w:t>自</w:t>
            </w:r>
            <w:r>
              <w:rPr>
                <w:color w:val="auto"/>
                <w:spacing w:val="11"/>
                <w:sz w:val="21"/>
                <w:szCs w:val="21"/>
              </w:rPr>
              <w:t>然遗迹□（）</w:t>
            </w:r>
          </w:p>
          <w:p w14:paraId="03905885">
            <w:pPr>
              <w:spacing w:line="240" w:lineRule="auto"/>
              <w:ind w:firstLine="0" w:firstLineChars="0"/>
              <w:rPr>
                <w:color w:val="auto"/>
                <w:sz w:val="21"/>
                <w:szCs w:val="21"/>
              </w:rPr>
            </w:pPr>
            <w:r>
              <w:rPr>
                <w:color w:val="auto"/>
                <w:spacing w:val="10"/>
                <w:sz w:val="21"/>
                <w:szCs w:val="21"/>
              </w:rPr>
              <w:t>其</w:t>
            </w:r>
            <w:r>
              <w:rPr>
                <w:color w:val="auto"/>
                <w:spacing w:val="6"/>
                <w:sz w:val="21"/>
                <w:szCs w:val="21"/>
              </w:rPr>
              <w:t>他</w:t>
            </w:r>
            <w:r>
              <w:rPr>
                <w:color w:val="auto"/>
                <w:spacing w:val="11"/>
                <w:sz w:val="21"/>
                <w:szCs w:val="21"/>
              </w:rPr>
              <w:t>□（）</w:t>
            </w:r>
          </w:p>
        </w:tc>
      </w:tr>
      <w:tr w14:paraId="50B556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339" w:type="pct"/>
            <w:gridSpan w:val="2"/>
            <w:vAlign w:val="center"/>
          </w:tcPr>
          <w:p w14:paraId="50B20F84">
            <w:pPr>
              <w:spacing w:line="240" w:lineRule="auto"/>
              <w:ind w:firstLine="0" w:firstLineChars="0"/>
              <w:jc w:val="center"/>
              <w:rPr>
                <w:color w:val="auto"/>
                <w:spacing w:val="-1"/>
                <w:sz w:val="21"/>
                <w:szCs w:val="21"/>
              </w:rPr>
            </w:pPr>
            <w:r>
              <w:rPr>
                <w:color w:val="auto"/>
                <w:spacing w:val="-1"/>
                <w:sz w:val="21"/>
                <w:szCs w:val="21"/>
              </w:rPr>
              <w:t>评价等级</w:t>
            </w:r>
          </w:p>
        </w:tc>
        <w:tc>
          <w:tcPr>
            <w:tcW w:w="3661" w:type="pct"/>
            <w:vAlign w:val="center"/>
          </w:tcPr>
          <w:p w14:paraId="5A0A1ADC">
            <w:pPr>
              <w:spacing w:line="240" w:lineRule="auto"/>
              <w:ind w:firstLine="0" w:firstLineChars="0"/>
              <w:rPr>
                <w:color w:val="auto"/>
                <w:spacing w:val="22"/>
                <w:position w:val="9"/>
                <w:sz w:val="21"/>
                <w:szCs w:val="21"/>
              </w:rPr>
            </w:pPr>
            <w:r>
              <w:rPr>
                <w:color w:val="auto"/>
                <w:spacing w:val="-3"/>
                <w:sz w:val="21"/>
                <w:szCs w:val="21"/>
              </w:rPr>
              <w:t>一</w:t>
            </w:r>
            <w:r>
              <w:rPr>
                <w:color w:val="auto"/>
                <w:spacing w:val="-2"/>
                <w:sz w:val="21"/>
                <w:szCs w:val="21"/>
              </w:rPr>
              <w:t>级□ 二级□ 三级□ 生态影响简单分析☑</w:t>
            </w:r>
          </w:p>
        </w:tc>
      </w:tr>
      <w:tr w14:paraId="50B11A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339" w:type="pct"/>
            <w:gridSpan w:val="2"/>
            <w:vAlign w:val="center"/>
          </w:tcPr>
          <w:p w14:paraId="57D54067">
            <w:pPr>
              <w:spacing w:line="240" w:lineRule="auto"/>
              <w:ind w:firstLine="0" w:firstLineChars="0"/>
              <w:jc w:val="center"/>
              <w:rPr>
                <w:color w:val="auto"/>
                <w:spacing w:val="-1"/>
                <w:sz w:val="21"/>
                <w:szCs w:val="21"/>
              </w:rPr>
            </w:pPr>
            <w:r>
              <w:rPr>
                <w:color w:val="auto"/>
                <w:spacing w:val="-1"/>
                <w:sz w:val="21"/>
                <w:szCs w:val="21"/>
              </w:rPr>
              <w:t>评价范围</w:t>
            </w:r>
          </w:p>
        </w:tc>
        <w:tc>
          <w:tcPr>
            <w:tcW w:w="3661" w:type="pct"/>
            <w:vAlign w:val="center"/>
          </w:tcPr>
          <w:p w14:paraId="2B149BFE">
            <w:pPr>
              <w:spacing w:line="240" w:lineRule="auto"/>
              <w:ind w:firstLine="0" w:firstLineChars="0"/>
              <w:rPr>
                <w:color w:val="auto"/>
                <w:spacing w:val="22"/>
                <w:position w:val="9"/>
                <w:sz w:val="21"/>
                <w:szCs w:val="21"/>
              </w:rPr>
            </w:pPr>
            <w:r>
              <w:rPr>
                <w:color w:val="auto"/>
                <w:spacing w:val="-2"/>
                <w:sz w:val="21"/>
                <w:szCs w:val="21"/>
              </w:rPr>
              <w:t>陆域面积：（）</w:t>
            </w:r>
            <w:r>
              <w:rPr>
                <w:color w:val="auto"/>
                <w:spacing w:val="-1"/>
                <w:sz w:val="21"/>
                <w:szCs w:val="21"/>
              </w:rPr>
              <w:t>km</w:t>
            </w:r>
            <w:r>
              <w:rPr>
                <w:color w:val="auto"/>
                <w:spacing w:val="-1"/>
                <w:position w:val="6"/>
                <w:sz w:val="21"/>
                <w:szCs w:val="21"/>
                <w:vertAlign w:val="superscript"/>
              </w:rPr>
              <w:t>2</w:t>
            </w:r>
            <w:r>
              <w:rPr>
                <w:color w:val="auto"/>
                <w:spacing w:val="-1"/>
                <w:position w:val="6"/>
                <w:sz w:val="21"/>
                <w:szCs w:val="21"/>
              </w:rPr>
              <w:t xml:space="preserve"> </w:t>
            </w:r>
            <w:r>
              <w:rPr>
                <w:color w:val="auto"/>
                <w:spacing w:val="-1"/>
                <w:sz w:val="21"/>
                <w:szCs w:val="21"/>
              </w:rPr>
              <w:t>；水域面积：（）km</w:t>
            </w:r>
            <w:r>
              <w:rPr>
                <w:color w:val="auto"/>
                <w:spacing w:val="-1"/>
                <w:position w:val="6"/>
                <w:sz w:val="21"/>
                <w:szCs w:val="21"/>
                <w:vertAlign w:val="superscript"/>
              </w:rPr>
              <w:t>2</w:t>
            </w:r>
          </w:p>
        </w:tc>
      </w:tr>
      <w:tr w14:paraId="14E4D5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restart"/>
            <w:vAlign w:val="center"/>
          </w:tcPr>
          <w:p w14:paraId="354B745C">
            <w:pPr>
              <w:spacing w:line="240" w:lineRule="auto"/>
              <w:ind w:firstLine="0" w:firstLineChars="0"/>
              <w:jc w:val="center"/>
              <w:rPr>
                <w:color w:val="auto"/>
                <w:sz w:val="21"/>
                <w:szCs w:val="21"/>
              </w:rPr>
            </w:pPr>
            <w:r>
              <w:rPr>
                <w:color w:val="auto"/>
                <w:spacing w:val="-2"/>
                <w:sz w:val="21"/>
                <w:szCs w:val="21"/>
              </w:rPr>
              <w:t>生态现</w:t>
            </w:r>
            <w:r>
              <w:rPr>
                <w:color w:val="auto"/>
                <w:spacing w:val="-1"/>
                <w:sz w:val="21"/>
                <w:szCs w:val="21"/>
              </w:rPr>
              <w:t>状</w:t>
            </w:r>
            <w:r>
              <w:rPr>
                <w:color w:val="auto"/>
                <w:spacing w:val="-2"/>
                <w:sz w:val="21"/>
                <w:szCs w:val="21"/>
              </w:rPr>
              <w:t>调查与</w:t>
            </w:r>
            <w:r>
              <w:rPr>
                <w:color w:val="auto"/>
                <w:spacing w:val="-1"/>
                <w:sz w:val="21"/>
                <w:szCs w:val="21"/>
              </w:rPr>
              <w:t>评</w:t>
            </w:r>
            <w:r>
              <w:rPr>
                <w:color w:val="auto"/>
                <w:sz w:val="21"/>
                <w:szCs w:val="21"/>
              </w:rPr>
              <w:t>价</w:t>
            </w:r>
          </w:p>
        </w:tc>
        <w:tc>
          <w:tcPr>
            <w:tcW w:w="829" w:type="pct"/>
            <w:vAlign w:val="center"/>
          </w:tcPr>
          <w:p w14:paraId="2ABBCC95">
            <w:pPr>
              <w:spacing w:line="240" w:lineRule="auto"/>
              <w:ind w:firstLine="0" w:firstLineChars="0"/>
              <w:jc w:val="center"/>
              <w:rPr>
                <w:color w:val="auto"/>
                <w:spacing w:val="-1"/>
                <w:sz w:val="21"/>
                <w:szCs w:val="21"/>
              </w:rPr>
            </w:pPr>
            <w:r>
              <w:rPr>
                <w:color w:val="auto"/>
                <w:spacing w:val="-2"/>
                <w:sz w:val="21"/>
                <w:szCs w:val="21"/>
              </w:rPr>
              <w:t>调查方</w:t>
            </w:r>
            <w:r>
              <w:rPr>
                <w:color w:val="auto"/>
                <w:spacing w:val="-1"/>
                <w:sz w:val="21"/>
                <w:szCs w:val="21"/>
              </w:rPr>
              <w:t>法</w:t>
            </w:r>
          </w:p>
        </w:tc>
        <w:tc>
          <w:tcPr>
            <w:tcW w:w="3661" w:type="pct"/>
            <w:vAlign w:val="center"/>
          </w:tcPr>
          <w:p w14:paraId="01A43DD5">
            <w:pPr>
              <w:spacing w:line="240" w:lineRule="auto"/>
              <w:ind w:firstLine="0" w:firstLineChars="0"/>
              <w:rPr>
                <w:color w:val="auto"/>
                <w:spacing w:val="22"/>
                <w:position w:val="9"/>
                <w:sz w:val="21"/>
                <w:szCs w:val="21"/>
              </w:rPr>
            </w:pPr>
            <w:r>
              <w:rPr>
                <w:color w:val="auto"/>
                <w:spacing w:val="-2"/>
                <w:sz w:val="21"/>
                <w:szCs w:val="21"/>
              </w:rPr>
              <w:t>资料收集☑；遥感调查□；调查样方、</w:t>
            </w:r>
            <w:r>
              <w:rPr>
                <w:color w:val="auto"/>
                <w:spacing w:val="-1"/>
                <w:sz w:val="21"/>
                <w:szCs w:val="21"/>
              </w:rPr>
              <w:t>样线□；调查点位、</w:t>
            </w:r>
            <w:r>
              <w:rPr>
                <w:color w:val="auto"/>
                <w:sz w:val="21"/>
                <w:szCs w:val="21"/>
              </w:rPr>
              <w:t xml:space="preserve"> </w:t>
            </w:r>
            <w:r>
              <w:rPr>
                <w:color w:val="auto"/>
                <w:spacing w:val="-12"/>
                <w:sz w:val="21"/>
                <w:szCs w:val="21"/>
              </w:rPr>
              <w:t>断</w:t>
            </w:r>
            <w:r>
              <w:rPr>
                <w:color w:val="auto"/>
                <w:spacing w:val="-9"/>
                <w:sz w:val="21"/>
                <w:szCs w:val="21"/>
              </w:rPr>
              <w:t>面</w:t>
            </w:r>
            <w:r>
              <w:rPr>
                <w:color w:val="auto"/>
                <w:spacing w:val="-6"/>
                <w:sz w:val="21"/>
                <w:szCs w:val="21"/>
              </w:rPr>
              <w:t>□；专家和公众咨询法□；其他□</w:t>
            </w:r>
          </w:p>
        </w:tc>
      </w:tr>
      <w:tr w14:paraId="35F1AF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29E7B64F">
            <w:pPr>
              <w:spacing w:line="240" w:lineRule="auto"/>
              <w:ind w:firstLine="0" w:firstLineChars="0"/>
              <w:jc w:val="center"/>
              <w:rPr>
                <w:color w:val="auto"/>
                <w:sz w:val="21"/>
                <w:szCs w:val="21"/>
              </w:rPr>
            </w:pPr>
          </w:p>
        </w:tc>
        <w:tc>
          <w:tcPr>
            <w:tcW w:w="829" w:type="pct"/>
            <w:vAlign w:val="center"/>
          </w:tcPr>
          <w:p w14:paraId="3949B819">
            <w:pPr>
              <w:spacing w:line="240" w:lineRule="auto"/>
              <w:ind w:firstLine="0" w:firstLineChars="0"/>
              <w:jc w:val="center"/>
              <w:rPr>
                <w:color w:val="auto"/>
                <w:spacing w:val="-1"/>
                <w:sz w:val="21"/>
                <w:szCs w:val="21"/>
              </w:rPr>
            </w:pPr>
            <w:r>
              <w:rPr>
                <w:color w:val="auto"/>
                <w:spacing w:val="-2"/>
                <w:sz w:val="21"/>
                <w:szCs w:val="21"/>
              </w:rPr>
              <w:t>调查时</w:t>
            </w:r>
            <w:r>
              <w:rPr>
                <w:color w:val="auto"/>
                <w:spacing w:val="-1"/>
                <w:sz w:val="21"/>
                <w:szCs w:val="21"/>
              </w:rPr>
              <w:t>间</w:t>
            </w:r>
          </w:p>
        </w:tc>
        <w:tc>
          <w:tcPr>
            <w:tcW w:w="3661" w:type="pct"/>
            <w:vAlign w:val="center"/>
          </w:tcPr>
          <w:p w14:paraId="5C286C89">
            <w:pPr>
              <w:spacing w:line="240" w:lineRule="auto"/>
              <w:ind w:firstLine="0" w:firstLineChars="0"/>
              <w:rPr>
                <w:color w:val="auto"/>
                <w:sz w:val="21"/>
                <w:szCs w:val="21"/>
              </w:rPr>
            </w:pPr>
            <w:r>
              <w:rPr>
                <w:color w:val="auto"/>
                <w:spacing w:val="-1"/>
                <w:position w:val="9"/>
                <w:sz w:val="21"/>
                <w:szCs w:val="21"/>
              </w:rPr>
              <w:t>春季□；</w:t>
            </w:r>
            <w:r>
              <w:rPr>
                <w:color w:val="auto"/>
                <w:position w:val="9"/>
                <w:sz w:val="21"/>
                <w:szCs w:val="21"/>
              </w:rPr>
              <w:t>夏季□；秋季□；冬季□</w:t>
            </w:r>
          </w:p>
          <w:p w14:paraId="15D8B703">
            <w:pPr>
              <w:spacing w:line="240" w:lineRule="auto"/>
              <w:ind w:firstLine="0" w:firstLineChars="0"/>
              <w:rPr>
                <w:color w:val="auto"/>
                <w:spacing w:val="22"/>
                <w:position w:val="9"/>
                <w:sz w:val="21"/>
                <w:szCs w:val="21"/>
              </w:rPr>
            </w:pPr>
            <w:r>
              <w:rPr>
                <w:color w:val="auto"/>
                <w:spacing w:val="-11"/>
                <w:sz w:val="21"/>
                <w:szCs w:val="21"/>
              </w:rPr>
              <w:t>丰</w:t>
            </w:r>
            <w:r>
              <w:rPr>
                <w:color w:val="auto"/>
                <w:spacing w:val="-7"/>
                <w:sz w:val="21"/>
                <w:szCs w:val="21"/>
              </w:rPr>
              <w:t>水期□； 枯水期□；平水期□</w:t>
            </w:r>
          </w:p>
        </w:tc>
      </w:tr>
      <w:tr w14:paraId="461707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13E6B14C">
            <w:pPr>
              <w:spacing w:line="240" w:lineRule="auto"/>
              <w:ind w:firstLine="0" w:firstLineChars="0"/>
              <w:jc w:val="center"/>
              <w:rPr>
                <w:color w:val="auto"/>
                <w:sz w:val="21"/>
                <w:szCs w:val="21"/>
              </w:rPr>
            </w:pPr>
          </w:p>
        </w:tc>
        <w:tc>
          <w:tcPr>
            <w:tcW w:w="829" w:type="pct"/>
            <w:vAlign w:val="center"/>
          </w:tcPr>
          <w:p w14:paraId="142C6463">
            <w:pPr>
              <w:spacing w:line="240" w:lineRule="auto"/>
              <w:ind w:firstLine="0" w:firstLineChars="0"/>
              <w:jc w:val="center"/>
              <w:rPr>
                <w:color w:val="auto"/>
                <w:spacing w:val="-1"/>
                <w:sz w:val="21"/>
                <w:szCs w:val="21"/>
              </w:rPr>
            </w:pPr>
            <w:r>
              <w:rPr>
                <w:color w:val="auto"/>
                <w:spacing w:val="-1"/>
                <w:sz w:val="21"/>
                <w:szCs w:val="21"/>
              </w:rPr>
              <w:t>所在区域的</w:t>
            </w:r>
            <w:r>
              <w:rPr>
                <w:color w:val="auto"/>
                <w:spacing w:val="-2"/>
                <w:sz w:val="21"/>
                <w:szCs w:val="21"/>
              </w:rPr>
              <w:t>生态问</w:t>
            </w:r>
            <w:r>
              <w:rPr>
                <w:color w:val="auto"/>
                <w:spacing w:val="-1"/>
                <w:sz w:val="21"/>
                <w:szCs w:val="21"/>
              </w:rPr>
              <w:t>题</w:t>
            </w:r>
          </w:p>
        </w:tc>
        <w:tc>
          <w:tcPr>
            <w:tcW w:w="3661" w:type="pct"/>
            <w:vAlign w:val="center"/>
          </w:tcPr>
          <w:p w14:paraId="0613F127">
            <w:pPr>
              <w:spacing w:line="240" w:lineRule="auto"/>
              <w:ind w:firstLine="0" w:firstLineChars="0"/>
              <w:rPr>
                <w:color w:val="auto"/>
                <w:spacing w:val="22"/>
                <w:position w:val="9"/>
                <w:sz w:val="21"/>
                <w:szCs w:val="21"/>
              </w:rPr>
            </w:pPr>
            <w:r>
              <w:rPr>
                <w:color w:val="auto"/>
                <w:spacing w:val="-8"/>
                <w:sz w:val="21"/>
                <w:szCs w:val="21"/>
              </w:rPr>
              <w:t>水土流失□；沙漠化□； 石漠化□； 盐渍化□；生物入</w:t>
            </w:r>
            <w:r>
              <w:rPr>
                <w:color w:val="auto"/>
                <w:spacing w:val="-7"/>
                <w:sz w:val="21"/>
                <w:szCs w:val="21"/>
              </w:rPr>
              <w:t>侵</w:t>
            </w:r>
            <w:r>
              <w:rPr>
                <w:color w:val="auto"/>
                <w:sz w:val="21"/>
                <w:szCs w:val="21"/>
              </w:rPr>
              <w:t xml:space="preserve"> </w:t>
            </w:r>
            <w:r>
              <w:rPr>
                <w:color w:val="auto"/>
                <w:spacing w:val="-4"/>
                <w:sz w:val="21"/>
                <w:szCs w:val="21"/>
              </w:rPr>
              <w:t>□；</w:t>
            </w:r>
            <w:r>
              <w:rPr>
                <w:color w:val="auto"/>
                <w:spacing w:val="-2"/>
                <w:sz w:val="21"/>
                <w:szCs w:val="21"/>
              </w:rPr>
              <w:t>污染危害□；其他□</w:t>
            </w:r>
          </w:p>
        </w:tc>
      </w:tr>
      <w:tr w14:paraId="293E8E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7C8FA0D6">
            <w:pPr>
              <w:spacing w:line="240" w:lineRule="auto"/>
              <w:ind w:firstLine="0" w:firstLineChars="0"/>
              <w:jc w:val="center"/>
              <w:rPr>
                <w:color w:val="auto"/>
                <w:sz w:val="21"/>
                <w:szCs w:val="21"/>
              </w:rPr>
            </w:pPr>
          </w:p>
        </w:tc>
        <w:tc>
          <w:tcPr>
            <w:tcW w:w="829" w:type="pct"/>
            <w:vAlign w:val="center"/>
          </w:tcPr>
          <w:p w14:paraId="2D1A3C23">
            <w:pPr>
              <w:spacing w:line="240" w:lineRule="auto"/>
              <w:ind w:firstLine="0" w:firstLineChars="0"/>
              <w:jc w:val="center"/>
              <w:rPr>
                <w:color w:val="auto"/>
                <w:spacing w:val="-1"/>
                <w:sz w:val="21"/>
                <w:szCs w:val="21"/>
              </w:rPr>
            </w:pPr>
            <w:r>
              <w:rPr>
                <w:color w:val="auto"/>
                <w:spacing w:val="-1"/>
                <w:sz w:val="21"/>
                <w:szCs w:val="21"/>
              </w:rPr>
              <w:t>评价内容</w:t>
            </w:r>
          </w:p>
        </w:tc>
        <w:tc>
          <w:tcPr>
            <w:tcW w:w="3661" w:type="pct"/>
            <w:vAlign w:val="center"/>
          </w:tcPr>
          <w:p w14:paraId="6281D112">
            <w:pPr>
              <w:spacing w:line="240" w:lineRule="auto"/>
              <w:ind w:firstLine="0" w:firstLineChars="0"/>
              <w:rPr>
                <w:color w:val="auto"/>
                <w:spacing w:val="22"/>
                <w:position w:val="9"/>
                <w:sz w:val="21"/>
                <w:szCs w:val="21"/>
              </w:rPr>
            </w:pPr>
            <w:r>
              <w:rPr>
                <w:color w:val="auto"/>
                <w:spacing w:val="-14"/>
                <w:sz w:val="21"/>
                <w:szCs w:val="21"/>
              </w:rPr>
              <w:t>植被</w:t>
            </w:r>
            <w:r>
              <w:rPr>
                <w:color w:val="auto"/>
                <w:spacing w:val="-11"/>
                <w:sz w:val="21"/>
                <w:szCs w:val="21"/>
              </w:rPr>
              <w:t>/</w:t>
            </w:r>
            <w:r>
              <w:rPr>
                <w:color w:val="auto"/>
                <w:spacing w:val="-7"/>
                <w:sz w:val="21"/>
                <w:szCs w:val="21"/>
              </w:rPr>
              <w:t>植物群落□；土地利用□；生态系统□；生物多样性</w:t>
            </w:r>
            <w:r>
              <w:rPr>
                <w:color w:val="auto"/>
                <w:spacing w:val="-2"/>
                <w:sz w:val="21"/>
                <w:szCs w:val="21"/>
              </w:rPr>
              <w:t>□；重要物种□</w:t>
            </w:r>
            <w:r>
              <w:rPr>
                <w:color w:val="auto"/>
                <w:spacing w:val="-1"/>
                <w:sz w:val="21"/>
                <w:szCs w:val="21"/>
              </w:rPr>
              <w:t>；生态敏感区□；其他□</w:t>
            </w:r>
          </w:p>
        </w:tc>
      </w:tr>
      <w:tr w14:paraId="521CE0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restart"/>
            <w:vAlign w:val="center"/>
          </w:tcPr>
          <w:p w14:paraId="5FFC4ACB">
            <w:pPr>
              <w:spacing w:line="240" w:lineRule="auto"/>
              <w:ind w:firstLine="0" w:firstLineChars="0"/>
              <w:jc w:val="center"/>
              <w:rPr>
                <w:color w:val="auto"/>
                <w:sz w:val="21"/>
                <w:szCs w:val="21"/>
              </w:rPr>
            </w:pPr>
            <w:r>
              <w:rPr>
                <w:color w:val="auto"/>
                <w:spacing w:val="-2"/>
                <w:sz w:val="21"/>
                <w:szCs w:val="21"/>
              </w:rPr>
              <w:t>生态影</w:t>
            </w:r>
            <w:r>
              <w:rPr>
                <w:color w:val="auto"/>
                <w:spacing w:val="-1"/>
                <w:sz w:val="21"/>
                <w:szCs w:val="21"/>
              </w:rPr>
              <w:t>响</w:t>
            </w:r>
            <w:r>
              <w:rPr>
                <w:color w:val="auto"/>
                <w:spacing w:val="-2"/>
                <w:sz w:val="21"/>
                <w:szCs w:val="21"/>
              </w:rPr>
              <w:t>预测与</w:t>
            </w:r>
            <w:r>
              <w:rPr>
                <w:color w:val="auto"/>
                <w:spacing w:val="-1"/>
                <w:sz w:val="21"/>
                <w:szCs w:val="21"/>
              </w:rPr>
              <w:t>评</w:t>
            </w:r>
            <w:r>
              <w:rPr>
                <w:color w:val="auto"/>
                <w:sz w:val="21"/>
                <w:szCs w:val="21"/>
              </w:rPr>
              <w:t>价</w:t>
            </w:r>
          </w:p>
        </w:tc>
        <w:tc>
          <w:tcPr>
            <w:tcW w:w="829" w:type="pct"/>
            <w:vAlign w:val="center"/>
          </w:tcPr>
          <w:p w14:paraId="6CCE2DA7">
            <w:pPr>
              <w:spacing w:line="240" w:lineRule="auto"/>
              <w:ind w:firstLine="0" w:firstLineChars="0"/>
              <w:jc w:val="center"/>
              <w:rPr>
                <w:color w:val="auto"/>
                <w:spacing w:val="-1"/>
                <w:sz w:val="21"/>
                <w:szCs w:val="21"/>
              </w:rPr>
            </w:pPr>
            <w:r>
              <w:rPr>
                <w:color w:val="auto"/>
                <w:spacing w:val="-1"/>
                <w:sz w:val="21"/>
                <w:szCs w:val="21"/>
              </w:rPr>
              <w:t>评价方法</w:t>
            </w:r>
          </w:p>
        </w:tc>
        <w:tc>
          <w:tcPr>
            <w:tcW w:w="3661" w:type="pct"/>
            <w:vAlign w:val="center"/>
          </w:tcPr>
          <w:p w14:paraId="3CBA4CB0">
            <w:pPr>
              <w:spacing w:line="240" w:lineRule="auto"/>
              <w:ind w:firstLine="0" w:firstLineChars="0"/>
              <w:rPr>
                <w:color w:val="auto"/>
                <w:spacing w:val="22"/>
                <w:position w:val="9"/>
                <w:sz w:val="21"/>
                <w:szCs w:val="21"/>
              </w:rPr>
            </w:pPr>
            <w:r>
              <w:rPr>
                <w:color w:val="auto"/>
                <w:spacing w:val="-1"/>
                <w:sz w:val="21"/>
                <w:szCs w:val="21"/>
              </w:rPr>
              <w:t>定性□；定性和定量□</w:t>
            </w:r>
          </w:p>
        </w:tc>
      </w:tr>
      <w:tr w14:paraId="5D3E69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38EB71D3">
            <w:pPr>
              <w:spacing w:line="240" w:lineRule="auto"/>
              <w:ind w:firstLine="0" w:firstLineChars="0"/>
              <w:jc w:val="center"/>
              <w:rPr>
                <w:color w:val="auto"/>
                <w:sz w:val="21"/>
                <w:szCs w:val="21"/>
              </w:rPr>
            </w:pPr>
          </w:p>
        </w:tc>
        <w:tc>
          <w:tcPr>
            <w:tcW w:w="829" w:type="pct"/>
            <w:vAlign w:val="center"/>
          </w:tcPr>
          <w:p w14:paraId="3B7A88F0">
            <w:pPr>
              <w:spacing w:line="240" w:lineRule="auto"/>
              <w:ind w:firstLine="0" w:firstLineChars="0"/>
              <w:jc w:val="center"/>
              <w:rPr>
                <w:color w:val="auto"/>
                <w:spacing w:val="-1"/>
                <w:sz w:val="21"/>
                <w:szCs w:val="21"/>
              </w:rPr>
            </w:pPr>
            <w:r>
              <w:rPr>
                <w:color w:val="auto"/>
                <w:spacing w:val="-1"/>
                <w:sz w:val="21"/>
                <w:szCs w:val="21"/>
              </w:rPr>
              <w:t>评价内容</w:t>
            </w:r>
          </w:p>
        </w:tc>
        <w:tc>
          <w:tcPr>
            <w:tcW w:w="3661" w:type="pct"/>
            <w:vAlign w:val="center"/>
          </w:tcPr>
          <w:p w14:paraId="66E43E7F">
            <w:pPr>
              <w:spacing w:line="240" w:lineRule="auto"/>
              <w:ind w:firstLine="0" w:firstLineChars="0"/>
              <w:rPr>
                <w:color w:val="auto"/>
                <w:spacing w:val="22"/>
                <w:position w:val="9"/>
                <w:sz w:val="21"/>
                <w:szCs w:val="21"/>
              </w:rPr>
            </w:pPr>
            <w:r>
              <w:rPr>
                <w:color w:val="auto"/>
                <w:spacing w:val="-14"/>
                <w:sz w:val="21"/>
                <w:szCs w:val="21"/>
              </w:rPr>
              <w:t>植被</w:t>
            </w:r>
            <w:r>
              <w:rPr>
                <w:color w:val="auto"/>
                <w:spacing w:val="-11"/>
                <w:sz w:val="21"/>
                <w:szCs w:val="21"/>
              </w:rPr>
              <w:t>/</w:t>
            </w:r>
            <w:r>
              <w:rPr>
                <w:color w:val="auto"/>
                <w:spacing w:val="-7"/>
                <w:sz w:val="21"/>
                <w:szCs w:val="21"/>
              </w:rPr>
              <w:t>植物群落□；土地利用□；生态系统□；生物多样性</w:t>
            </w:r>
            <w:r>
              <w:rPr>
                <w:color w:val="auto"/>
                <w:spacing w:val="-1"/>
                <w:sz w:val="21"/>
                <w:szCs w:val="21"/>
              </w:rPr>
              <w:t>□；重要物种□；生态敏感区□；生物入侵风险□；其他</w:t>
            </w:r>
            <w:r>
              <w:rPr>
                <w:color w:val="auto"/>
                <w:sz w:val="21"/>
                <w:szCs w:val="21"/>
              </w:rPr>
              <w:t>□</w:t>
            </w:r>
          </w:p>
        </w:tc>
      </w:tr>
      <w:tr w14:paraId="6770F8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restart"/>
            <w:vAlign w:val="center"/>
          </w:tcPr>
          <w:p w14:paraId="3E6CB064">
            <w:pPr>
              <w:spacing w:line="240" w:lineRule="auto"/>
              <w:ind w:firstLine="0" w:firstLineChars="0"/>
              <w:jc w:val="center"/>
              <w:rPr>
                <w:color w:val="auto"/>
                <w:sz w:val="21"/>
                <w:szCs w:val="21"/>
              </w:rPr>
            </w:pPr>
            <w:r>
              <w:rPr>
                <w:color w:val="auto"/>
                <w:spacing w:val="-2"/>
                <w:sz w:val="21"/>
                <w:szCs w:val="21"/>
              </w:rPr>
              <w:t>生态保护对</w:t>
            </w:r>
            <w:r>
              <w:rPr>
                <w:color w:val="auto"/>
                <w:spacing w:val="-1"/>
                <w:sz w:val="21"/>
                <w:szCs w:val="21"/>
              </w:rPr>
              <w:t>策措施</w:t>
            </w:r>
          </w:p>
        </w:tc>
        <w:tc>
          <w:tcPr>
            <w:tcW w:w="829" w:type="pct"/>
            <w:vAlign w:val="center"/>
          </w:tcPr>
          <w:p w14:paraId="6AB7AF89">
            <w:pPr>
              <w:spacing w:line="240" w:lineRule="auto"/>
              <w:ind w:firstLine="0" w:firstLineChars="0"/>
              <w:jc w:val="center"/>
              <w:rPr>
                <w:color w:val="auto"/>
                <w:spacing w:val="-1"/>
                <w:sz w:val="21"/>
                <w:szCs w:val="21"/>
              </w:rPr>
            </w:pPr>
            <w:r>
              <w:rPr>
                <w:color w:val="auto"/>
                <w:spacing w:val="-1"/>
                <w:sz w:val="21"/>
                <w:szCs w:val="21"/>
              </w:rPr>
              <w:t>对策措施</w:t>
            </w:r>
          </w:p>
        </w:tc>
        <w:tc>
          <w:tcPr>
            <w:tcW w:w="3661" w:type="pct"/>
            <w:vAlign w:val="center"/>
          </w:tcPr>
          <w:p w14:paraId="23D6185A">
            <w:pPr>
              <w:spacing w:line="240" w:lineRule="auto"/>
              <w:ind w:firstLine="0" w:firstLineChars="0"/>
              <w:jc w:val="center"/>
              <w:rPr>
                <w:color w:val="auto"/>
                <w:spacing w:val="22"/>
                <w:position w:val="9"/>
                <w:sz w:val="21"/>
                <w:szCs w:val="21"/>
              </w:rPr>
            </w:pPr>
            <w:r>
              <w:rPr>
                <w:color w:val="auto"/>
                <w:spacing w:val="-14"/>
                <w:sz w:val="21"/>
                <w:szCs w:val="21"/>
              </w:rPr>
              <w:t>避让</w:t>
            </w:r>
            <w:r>
              <w:rPr>
                <w:color w:val="auto"/>
                <w:spacing w:val="-8"/>
                <w:sz w:val="21"/>
                <w:szCs w:val="21"/>
              </w:rPr>
              <w:t>□</w:t>
            </w:r>
            <w:r>
              <w:rPr>
                <w:color w:val="auto"/>
                <w:spacing w:val="-7"/>
                <w:sz w:val="21"/>
                <w:szCs w:val="21"/>
              </w:rPr>
              <w:t>；减缓□；生态修复□； 生态补偿□； 科研□；其他</w:t>
            </w:r>
            <w:r>
              <w:rPr>
                <w:color w:val="auto"/>
                <w:sz w:val="21"/>
                <w:szCs w:val="21"/>
              </w:rPr>
              <w:t xml:space="preserve"> □</w:t>
            </w:r>
          </w:p>
        </w:tc>
      </w:tr>
      <w:tr w14:paraId="6EA783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74001534">
            <w:pPr>
              <w:spacing w:line="240" w:lineRule="auto"/>
              <w:ind w:firstLine="0" w:firstLineChars="0"/>
              <w:jc w:val="center"/>
              <w:rPr>
                <w:color w:val="auto"/>
                <w:sz w:val="21"/>
                <w:szCs w:val="21"/>
              </w:rPr>
            </w:pPr>
          </w:p>
        </w:tc>
        <w:tc>
          <w:tcPr>
            <w:tcW w:w="829" w:type="pct"/>
            <w:vAlign w:val="center"/>
          </w:tcPr>
          <w:p w14:paraId="423A535E">
            <w:pPr>
              <w:spacing w:line="240" w:lineRule="auto"/>
              <w:ind w:firstLine="0" w:firstLineChars="0"/>
              <w:jc w:val="center"/>
              <w:rPr>
                <w:color w:val="auto"/>
                <w:spacing w:val="-1"/>
                <w:sz w:val="21"/>
                <w:szCs w:val="21"/>
              </w:rPr>
            </w:pPr>
            <w:r>
              <w:rPr>
                <w:color w:val="auto"/>
                <w:spacing w:val="-2"/>
                <w:sz w:val="21"/>
                <w:szCs w:val="21"/>
              </w:rPr>
              <w:t>生态</w:t>
            </w:r>
            <w:r>
              <w:rPr>
                <w:color w:val="auto"/>
                <w:spacing w:val="-1"/>
                <w:sz w:val="21"/>
                <w:szCs w:val="21"/>
              </w:rPr>
              <w:t>监测计</w:t>
            </w:r>
            <w:r>
              <w:rPr>
                <w:color w:val="auto"/>
                <w:sz w:val="21"/>
                <w:szCs w:val="21"/>
              </w:rPr>
              <w:t>划</w:t>
            </w:r>
          </w:p>
        </w:tc>
        <w:tc>
          <w:tcPr>
            <w:tcW w:w="3661" w:type="pct"/>
            <w:vAlign w:val="center"/>
          </w:tcPr>
          <w:p w14:paraId="529D1124">
            <w:pPr>
              <w:spacing w:line="240" w:lineRule="auto"/>
              <w:ind w:firstLine="0" w:firstLineChars="0"/>
              <w:jc w:val="center"/>
              <w:rPr>
                <w:color w:val="auto"/>
                <w:spacing w:val="22"/>
                <w:position w:val="9"/>
                <w:sz w:val="21"/>
                <w:szCs w:val="21"/>
              </w:rPr>
            </w:pPr>
            <w:r>
              <w:rPr>
                <w:color w:val="auto"/>
                <w:spacing w:val="-7"/>
                <w:sz w:val="21"/>
                <w:szCs w:val="21"/>
              </w:rPr>
              <w:t>全生命周期□； 长期跟踪□；常规□；无☑</w:t>
            </w:r>
          </w:p>
        </w:tc>
      </w:tr>
      <w:tr w14:paraId="71C010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Merge w:val="continue"/>
            <w:vAlign w:val="center"/>
          </w:tcPr>
          <w:p w14:paraId="2B731F0C">
            <w:pPr>
              <w:spacing w:line="240" w:lineRule="auto"/>
              <w:ind w:firstLine="0" w:firstLineChars="0"/>
              <w:jc w:val="center"/>
              <w:rPr>
                <w:color w:val="auto"/>
                <w:sz w:val="21"/>
                <w:szCs w:val="21"/>
              </w:rPr>
            </w:pPr>
          </w:p>
        </w:tc>
        <w:tc>
          <w:tcPr>
            <w:tcW w:w="829" w:type="pct"/>
            <w:vAlign w:val="center"/>
          </w:tcPr>
          <w:p w14:paraId="7A7AE6CC">
            <w:pPr>
              <w:spacing w:line="240" w:lineRule="auto"/>
              <w:ind w:firstLine="0" w:firstLineChars="0"/>
              <w:jc w:val="center"/>
              <w:rPr>
                <w:color w:val="auto"/>
                <w:spacing w:val="-1"/>
                <w:sz w:val="21"/>
                <w:szCs w:val="21"/>
              </w:rPr>
            </w:pPr>
            <w:r>
              <w:rPr>
                <w:color w:val="auto"/>
                <w:spacing w:val="-2"/>
                <w:sz w:val="21"/>
                <w:szCs w:val="21"/>
              </w:rPr>
              <w:t>环</w:t>
            </w:r>
            <w:r>
              <w:rPr>
                <w:color w:val="auto"/>
                <w:spacing w:val="-1"/>
                <w:sz w:val="21"/>
                <w:szCs w:val="21"/>
              </w:rPr>
              <w:t>境管理</w:t>
            </w:r>
          </w:p>
        </w:tc>
        <w:tc>
          <w:tcPr>
            <w:tcW w:w="3661" w:type="pct"/>
            <w:vAlign w:val="center"/>
          </w:tcPr>
          <w:p w14:paraId="57F51F56">
            <w:pPr>
              <w:spacing w:line="240" w:lineRule="auto"/>
              <w:ind w:firstLine="0" w:firstLineChars="0"/>
              <w:jc w:val="center"/>
              <w:rPr>
                <w:color w:val="auto"/>
                <w:spacing w:val="22"/>
                <w:position w:val="9"/>
                <w:sz w:val="21"/>
                <w:szCs w:val="21"/>
              </w:rPr>
            </w:pPr>
            <w:r>
              <w:rPr>
                <w:color w:val="auto"/>
                <w:spacing w:val="-1"/>
                <w:sz w:val="21"/>
                <w:szCs w:val="21"/>
              </w:rPr>
              <w:t>环境监</w:t>
            </w:r>
            <w:r>
              <w:rPr>
                <w:color w:val="auto"/>
                <w:sz w:val="21"/>
                <w:szCs w:val="21"/>
              </w:rPr>
              <w:t>理□；环境影响后评价□；其他□</w:t>
            </w:r>
          </w:p>
        </w:tc>
      </w:tr>
      <w:tr w14:paraId="52059B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10" w:type="pct"/>
            <w:vAlign w:val="center"/>
          </w:tcPr>
          <w:p w14:paraId="70485AD9">
            <w:pPr>
              <w:spacing w:line="240" w:lineRule="auto"/>
              <w:ind w:firstLine="0" w:firstLineChars="0"/>
              <w:jc w:val="center"/>
              <w:rPr>
                <w:color w:val="auto"/>
                <w:sz w:val="21"/>
                <w:szCs w:val="21"/>
              </w:rPr>
            </w:pPr>
            <w:r>
              <w:rPr>
                <w:color w:val="auto"/>
                <w:spacing w:val="-1"/>
                <w:sz w:val="21"/>
                <w:szCs w:val="21"/>
              </w:rPr>
              <w:t>评价结论</w:t>
            </w:r>
          </w:p>
        </w:tc>
        <w:tc>
          <w:tcPr>
            <w:tcW w:w="829" w:type="pct"/>
            <w:vAlign w:val="center"/>
          </w:tcPr>
          <w:p w14:paraId="22D21E76">
            <w:pPr>
              <w:spacing w:line="240" w:lineRule="auto"/>
              <w:ind w:firstLine="0" w:firstLineChars="0"/>
              <w:jc w:val="center"/>
              <w:rPr>
                <w:color w:val="auto"/>
                <w:spacing w:val="-1"/>
                <w:sz w:val="21"/>
                <w:szCs w:val="21"/>
              </w:rPr>
            </w:pPr>
            <w:r>
              <w:rPr>
                <w:color w:val="auto"/>
                <w:spacing w:val="-2"/>
                <w:sz w:val="21"/>
                <w:szCs w:val="21"/>
              </w:rPr>
              <w:t>生态影</w:t>
            </w:r>
            <w:r>
              <w:rPr>
                <w:color w:val="auto"/>
                <w:spacing w:val="-1"/>
                <w:sz w:val="21"/>
                <w:szCs w:val="21"/>
              </w:rPr>
              <w:t>响</w:t>
            </w:r>
          </w:p>
        </w:tc>
        <w:tc>
          <w:tcPr>
            <w:tcW w:w="3661" w:type="pct"/>
            <w:vAlign w:val="center"/>
          </w:tcPr>
          <w:p w14:paraId="71E7506F">
            <w:pPr>
              <w:spacing w:line="240" w:lineRule="auto"/>
              <w:ind w:firstLine="0" w:firstLineChars="0"/>
              <w:jc w:val="center"/>
              <w:rPr>
                <w:color w:val="auto"/>
                <w:spacing w:val="22"/>
                <w:position w:val="9"/>
                <w:sz w:val="21"/>
                <w:szCs w:val="21"/>
              </w:rPr>
            </w:pPr>
            <w:r>
              <w:rPr>
                <w:color w:val="auto"/>
                <w:spacing w:val="-11"/>
                <w:sz w:val="21"/>
                <w:szCs w:val="21"/>
              </w:rPr>
              <w:t>可</w:t>
            </w:r>
            <w:r>
              <w:rPr>
                <w:color w:val="auto"/>
                <w:spacing w:val="-9"/>
                <w:sz w:val="21"/>
                <w:szCs w:val="21"/>
              </w:rPr>
              <w:t>行☑；不可行□</w:t>
            </w:r>
          </w:p>
        </w:tc>
      </w:tr>
      <w:tr w14:paraId="64F5FA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5000" w:type="pct"/>
            <w:gridSpan w:val="3"/>
            <w:vAlign w:val="center"/>
          </w:tcPr>
          <w:p w14:paraId="3C31FE4F">
            <w:pPr>
              <w:spacing w:line="240" w:lineRule="auto"/>
              <w:ind w:firstLine="0" w:firstLineChars="0"/>
              <w:jc w:val="center"/>
              <w:rPr>
                <w:color w:val="auto"/>
                <w:sz w:val="21"/>
                <w:szCs w:val="21"/>
              </w:rPr>
            </w:pPr>
            <w:r>
              <w:rPr>
                <w:color w:val="auto"/>
                <w:sz w:val="21"/>
                <w:szCs w:val="21"/>
              </w:rPr>
              <w:t>注：“□”为勾选项 ，可√；“</w:t>
            </w:r>
            <w:r>
              <w:rPr>
                <w:rFonts w:hint="eastAsia"/>
                <w:color w:val="auto"/>
                <w:sz w:val="21"/>
                <w:szCs w:val="21"/>
              </w:rPr>
              <w:t>（</w:t>
            </w:r>
            <w:r>
              <w:rPr>
                <w:color w:val="auto"/>
                <w:sz w:val="21"/>
                <w:szCs w:val="21"/>
              </w:rPr>
              <w:t xml:space="preserve"> </w:t>
            </w:r>
            <w:r>
              <w:rPr>
                <w:rFonts w:hint="eastAsia"/>
                <w:color w:val="auto"/>
                <w:sz w:val="21"/>
                <w:szCs w:val="21"/>
              </w:rPr>
              <w:t>）</w:t>
            </w:r>
            <w:r>
              <w:rPr>
                <w:color w:val="auto"/>
                <w:sz w:val="21"/>
                <w:szCs w:val="21"/>
              </w:rPr>
              <w:t>”为内容填写项。</w:t>
            </w:r>
          </w:p>
        </w:tc>
      </w:tr>
    </w:tbl>
    <w:p w14:paraId="4BA9762D">
      <w:pPr>
        <w:keepNext/>
        <w:keepLines/>
        <w:spacing w:before="120" w:beforeLines="50"/>
        <w:ind w:firstLine="0" w:firstLineChars="0"/>
        <w:outlineLvl w:val="2"/>
        <w:rPr>
          <w:b/>
          <w:bCs/>
          <w:color w:val="auto"/>
          <w:sz w:val="28"/>
          <w:szCs w:val="36"/>
        </w:rPr>
      </w:pPr>
      <w:r>
        <w:rPr>
          <w:rFonts w:hint="eastAsia"/>
          <w:b/>
          <w:bCs/>
          <w:color w:val="auto"/>
          <w:sz w:val="28"/>
          <w:szCs w:val="36"/>
        </w:rPr>
        <w:t>6</w:t>
      </w:r>
      <w:r>
        <w:rPr>
          <w:b/>
          <w:bCs/>
          <w:color w:val="auto"/>
          <w:sz w:val="28"/>
          <w:szCs w:val="36"/>
        </w:rPr>
        <w:t>.2.8 环境风险</w:t>
      </w:r>
      <w:r>
        <w:rPr>
          <w:rFonts w:hint="eastAsia"/>
          <w:b/>
          <w:bCs/>
          <w:color w:val="auto"/>
          <w:sz w:val="28"/>
          <w:szCs w:val="36"/>
        </w:rPr>
        <w:t>预测与</w:t>
      </w:r>
      <w:r>
        <w:rPr>
          <w:b/>
          <w:bCs/>
          <w:color w:val="auto"/>
          <w:sz w:val="28"/>
          <w:szCs w:val="36"/>
        </w:rPr>
        <w:t>评价</w:t>
      </w:r>
    </w:p>
    <w:p w14:paraId="3F2768C6">
      <w:pPr>
        <w:keepNext/>
        <w:keepLines/>
        <w:spacing w:before="120" w:beforeLines="50"/>
        <w:ind w:firstLine="0" w:firstLineChars="0"/>
        <w:outlineLvl w:val="3"/>
        <w:rPr>
          <w:b/>
          <w:bCs/>
          <w:color w:val="auto"/>
          <w:szCs w:val="28"/>
        </w:rPr>
      </w:pPr>
      <w:r>
        <w:rPr>
          <w:rFonts w:hint="eastAsia"/>
          <w:b/>
          <w:bCs/>
          <w:color w:val="auto"/>
          <w:szCs w:val="28"/>
        </w:rPr>
        <w:t>6</w:t>
      </w:r>
      <w:r>
        <w:rPr>
          <w:b/>
          <w:bCs/>
          <w:color w:val="auto"/>
          <w:szCs w:val="28"/>
        </w:rPr>
        <w:t xml:space="preserve">.2.8.1 </w:t>
      </w:r>
      <w:r>
        <w:rPr>
          <w:rFonts w:hint="eastAsia"/>
          <w:b/>
          <w:bCs/>
          <w:color w:val="auto"/>
          <w:szCs w:val="28"/>
        </w:rPr>
        <w:t>最大可信事故判定</w:t>
      </w:r>
    </w:p>
    <w:p w14:paraId="65EB5842">
      <w:pPr>
        <w:ind w:firstLine="482"/>
        <w:rPr>
          <w:b/>
          <w:bCs/>
          <w:color w:val="auto"/>
        </w:rPr>
      </w:pPr>
      <w:r>
        <w:rPr>
          <w:b/>
          <w:bCs/>
          <w:color w:val="auto"/>
        </w:rPr>
        <w:t>1、事故发生概率分析</w:t>
      </w:r>
    </w:p>
    <w:p w14:paraId="10A5BE23">
      <w:pPr>
        <w:ind w:firstLine="480"/>
        <w:rPr>
          <w:color w:val="auto"/>
        </w:rPr>
      </w:pPr>
      <w:r>
        <w:rPr>
          <w:color w:val="auto"/>
        </w:rPr>
        <w:t>泄漏事故类型如容器、管道、泵体、压缩机、装卸臂和装卸软管的泄漏和破裂等泄漏频率采用风险导则（HJ169-2018）附录E.1，见表</w:t>
      </w:r>
      <w:r>
        <w:rPr>
          <w:rFonts w:hint="eastAsia"/>
          <w:color w:val="auto"/>
        </w:rPr>
        <w:t>6</w:t>
      </w:r>
      <w:r>
        <w:rPr>
          <w:color w:val="auto"/>
        </w:rPr>
        <w:t>.</w:t>
      </w:r>
      <w:r>
        <w:rPr>
          <w:rFonts w:hint="eastAsia"/>
          <w:color w:val="auto"/>
        </w:rPr>
        <w:t>2.8</w:t>
      </w:r>
      <w:r>
        <w:rPr>
          <w:color w:val="auto"/>
        </w:rPr>
        <w:t>-1。</w:t>
      </w:r>
    </w:p>
    <w:p w14:paraId="417BF63E">
      <w:pPr>
        <w:spacing w:line="240" w:lineRule="auto"/>
        <w:ind w:firstLine="0" w:firstLineChars="0"/>
        <w:jc w:val="center"/>
        <w:rPr>
          <w:b/>
          <w:bCs/>
          <w:color w:val="auto"/>
        </w:rPr>
      </w:pPr>
      <w:r>
        <w:rPr>
          <w:b/>
          <w:bCs/>
          <w:color w:val="auto"/>
        </w:rPr>
        <w:t>表</w:t>
      </w:r>
      <w:r>
        <w:rPr>
          <w:rFonts w:hint="eastAsia"/>
          <w:b/>
          <w:bCs/>
          <w:color w:val="auto"/>
        </w:rPr>
        <w:t>6.2.8</w:t>
      </w:r>
      <w:r>
        <w:rPr>
          <w:b/>
          <w:bCs/>
          <w:color w:val="auto"/>
        </w:rPr>
        <w:t>-1  泄漏频率表</w:t>
      </w:r>
    </w:p>
    <w:tbl>
      <w:tblPr>
        <w:tblStyle w:val="88"/>
        <w:tblW w:w="93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75"/>
        <w:gridCol w:w="4625"/>
        <w:gridCol w:w="2084"/>
      </w:tblGrid>
      <w:tr w14:paraId="01AFC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blHeader/>
        </w:trPr>
        <w:tc>
          <w:tcPr>
            <w:tcW w:w="2675" w:type="dxa"/>
            <w:tcBorders>
              <w:tl2br w:val="nil"/>
              <w:tr2bl w:val="nil"/>
            </w:tcBorders>
            <w:shd w:val="clear" w:color="auto" w:fill="auto"/>
            <w:noWrap/>
            <w:vAlign w:val="center"/>
          </w:tcPr>
          <w:p w14:paraId="4BA284D6">
            <w:pPr>
              <w:widowControl/>
              <w:spacing w:line="240" w:lineRule="auto"/>
              <w:ind w:firstLine="0" w:firstLineChars="0"/>
              <w:jc w:val="center"/>
              <w:rPr>
                <w:b/>
                <w:bCs/>
                <w:color w:val="auto"/>
                <w:sz w:val="21"/>
                <w:szCs w:val="21"/>
              </w:rPr>
            </w:pPr>
            <w:r>
              <w:rPr>
                <w:b/>
                <w:bCs/>
                <w:color w:val="auto"/>
                <w:sz w:val="21"/>
                <w:szCs w:val="21"/>
                <w:lang w:bidi="ar"/>
              </w:rPr>
              <w:t>部件类型</w:t>
            </w:r>
          </w:p>
        </w:tc>
        <w:tc>
          <w:tcPr>
            <w:tcW w:w="4625" w:type="dxa"/>
            <w:tcBorders>
              <w:tl2br w:val="nil"/>
              <w:tr2bl w:val="nil"/>
            </w:tcBorders>
            <w:shd w:val="clear" w:color="auto" w:fill="auto"/>
            <w:noWrap/>
            <w:vAlign w:val="center"/>
          </w:tcPr>
          <w:p w14:paraId="34CED731">
            <w:pPr>
              <w:widowControl/>
              <w:spacing w:line="240" w:lineRule="auto"/>
              <w:ind w:firstLine="0" w:firstLineChars="0"/>
              <w:jc w:val="center"/>
              <w:rPr>
                <w:b/>
                <w:bCs/>
                <w:color w:val="auto"/>
                <w:sz w:val="21"/>
                <w:szCs w:val="21"/>
              </w:rPr>
            </w:pPr>
            <w:r>
              <w:rPr>
                <w:b/>
                <w:bCs/>
                <w:color w:val="auto"/>
                <w:sz w:val="21"/>
                <w:szCs w:val="21"/>
                <w:lang w:bidi="ar"/>
              </w:rPr>
              <w:t>泄漏模式</w:t>
            </w:r>
          </w:p>
        </w:tc>
        <w:tc>
          <w:tcPr>
            <w:tcW w:w="2084" w:type="dxa"/>
            <w:tcBorders>
              <w:tl2br w:val="nil"/>
              <w:tr2bl w:val="nil"/>
            </w:tcBorders>
            <w:shd w:val="clear" w:color="auto" w:fill="auto"/>
            <w:noWrap/>
            <w:vAlign w:val="center"/>
          </w:tcPr>
          <w:p w14:paraId="7E223748">
            <w:pPr>
              <w:widowControl/>
              <w:spacing w:line="240" w:lineRule="auto"/>
              <w:ind w:firstLine="0" w:firstLineChars="0"/>
              <w:jc w:val="center"/>
              <w:rPr>
                <w:b/>
                <w:bCs/>
                <w:color w:val="auto"/>
                <w:sz w:val="21"/>
                <w:szCs w:val="21"/>
              </w:rPr>
            </w:pPr>
            <w:r>
              <w:rPr>
                <w:b/>
                <w:bCs/>
                <w:color w:val="auto"/>
                <w:sz w:val="21"/>
                <w:szCs w:val="21"/>
                <w:lang w:bidi="ar"/>
              </w:rPr>
              <w:t>泄漏频率</w:t>
            </w:r>
          </w:p>
        </w:tc>
      </w:tr>
      <w:tr w14:paraId="7BC3A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4F4FEAE0">
            <w:pPr>
              <w:widowControl/>
              <w:spacing w:line="240" w:lineRule="auto"/>
              <w:ind w:firstLine="0" w:firstLineChars="0"/>
              <w:jc w:val="center"/>
              <w:rPr>
                <w:color w:val="auto"/>
                <w:sz w:val="21"/>
                <w:szCs w:val="21"/>
              </w:rPr>
            </w:pPr>
            <w:r>
              <w:rPr>
                <w:color w:val="auto"/>
                <w:sz w:val="21"/>
                <w:szCs w:val="21"/>
                <w:lang w:bidi="ar"/>
              </w:rPr>
              <w:t>反应器/工艺储罐/气体储罐/塔器</w:t>
            </w:r>
          </w:p>
        </w:tc>
        <w:tc>
          <w:tcPr>
            <w:tcW w:w="4625" w:type="dxa"/>
            <w:tcBorders>
              <w:tl2br w:val="nil"/>
              <w:tr2bl w:val="nil"/>
            </w:tcBorders>
            <w:shd w:val="clear" w:color="auto" w:fill="auto"/>
            <w:noWrap/>
            <w:vAlign w:val="center"/>
          </w:tcPr>
          <w:p w14:paraId="47F270E3">
            <w:pPr>
              <w:widowControl/>
              <w:spacing w:line="240" w:lineRule="auto"/>
              <w:ind w:firstLine="0" w:firstLineChars="0"/>
              <w:jc w:val="center"/>
              <w:rPr>
                <w:color w:val="auto"/>
                <w:sz w:val="21"/>
                <w:szCs w:val="21"/>
              </w:rPr>
            </w:pPr>
            <w:r>
              <w:rPr>
                <w:color w:val="auto"/>
                <w:sz w:val="21"/>
                <w:szCs w:val="21"/>
                <w:lang w:bidi="ar"/>
              </w:rPr>
              <w:t>泄漏孔径为10mm孔径</w:t>
            </w:r>
          </w:p>
        </w:tc>
        <w:tc>
          <w:tcPr>
            <w:tcW w:w="2084" w:type="dxa"/>
            <w:tcBorders>
              <w:tl2br w:val="nil"/>
              <w:tr2bl w:val="nil"/>
            </w:tcBorders>
            <w:shd w:val="clear" w:color="auto" w:fill="auto"/>
            <w:noWrap/>
            <w:vAlign w:val="center"/>
          </w:tcPr>
          <w:p w14:paraId="3AE19952">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-4</w:t>
            </w:r>
            <w:r>
              <w:rPr>
                <w:color w:val="auto"/>
                <w:sz w:val="21"/>
                <w:szCs w:val="21"/>
                <w:lang w:bidi="ar"/>
              </w:rPr>
              <w:t>/a</w:t>
            </w:r>
          </w:p>
        </w:tc>
      </w:tr>
      <w:tr w14:paraId="1E6A6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1B9DAC0C">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0ADE00EF">
            <w:pPr>
              <w:widowControl/>
              <w:spacing w:line="240" w:lineRule="auto"/>
              <w:ind w:firstLine="0" w:firstLineChars="0"/>
              <w:jc w:val="center"/>
              <w:rPr>
                <w:color w:val="auto"/>
                <w:sz w:val="21"/>
                <w:szCs w:val="21"/>
              </w:rPr>
            </w:pPr>
            <w:r>
              <w:rPr>
                <w:color w:val="auto"/>
                <w:sz w:val="21"/>
                <w:szCs w:val="21"/>
                <w:lang w:bidi="ar"/>
              </w:rPr>
              <w:t>10min内储罐泄漏完</w:t>
            </w:r>
          </w:p>
        </w:tc>
        <w:tc>
          <w:tcPr>
            <w:tcW w:w="2084" w:type="dxa"/>
            <w:tcBorders>
              <w:tl2br w:val="nil"/>
              <w:tr2bl w:val="nil"/>
            </w:tcBorders>
            <w:shd w:val="clear" w:color="auto" w:fill="auto"/>
            <w:noWrap/>
            <w:vAlign w:val="center"/>
          </w:tcPr>
          <w:p w14:paraId="01D689A0">
            <w:pPr>
              <w:widowControl/>
              <w:spacing w:line="240" w:lineRule="auto"/>
              <w:ind w:firstLine="0" w:firstLineChars="0"/>
              <w:jc w:val="center"/>
              <w:rPr>
                <w:color w:val="auto"/>
                <w:sz w:val="21"/>
                <w:szCs w:val="21"/>
              </w:rPr>
            </w:pPr>
            <w:r>
              <w:rPr>
                <w:color w:val="auto"/>
                <w:sz w:val="21"/>
                <w:szCs w:val="21"/>
                <w:lang w:bidi="ar"/>
              </w:rPr>
              <w:t>5.00×10</w:t>
            </w:r>
            <w:r>
              <w:rPr>
                <w:color w:val="auto"/>
                <w:sz w:val="21"/>
                <w:szCs w:val="21"/>
                <w:vertAlign w:val="superscript"/>
                <w:lang w:bidi="ar"/>
              </w:rPr>
              <w:t>-6</w:t>
            </w:r>
            <w:r>
              <w:rPr>
                <w:color w:val="auto"/>
                <w:sz w:val="21"/>
                <w:szCs w:val="21"/>
                <w:lang w:bidi="ar"/>
              </w:rPr>
              <w:t>/a</w:t>
            </w:r>
          </w:p>
        </w:tc>
      </w:tr>
      <w:tr w14:paraId="66464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72E9A491">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085B4E82">
            <w:pPr>
              <w:widowControl/>
              <w:spacing w:line="240" w:lineRule="auto"/>
              <w:ind w:firstLine="0" w:firstLineChars="0"/>
              <w:jc w:val="center"/>
              <w:rPr>
                <w:color w:val="auto"/>
                <w:sz w:val="21"/>
                <w:szCs w:val="21"/>
              </w:rPr>
            </w:pPr>
            <w:r>
              <w:rPr>
                <w:color w:val="auto"/>
                <w:sz w:val="21"/>
                <w:szCs w:val="21"/>
                <w:lang w:bidi="ar"/>
              </w:rPr>
              <w:t>储罐全破裂</w:t>
            </w:r>
          </w:p>
        </w:tc>
        <w:tc>
          <w:tcPr>
            <w:tcW w:w="2084" w:type="dxa"/>
            <w:tcBorders>
              <w:tl2br w:val="nil"/>
              <w:tr2bl w:val="nil"/>
            </w:tcBorders>
            <w:shd w:val="clear" w:color="auto" w:fill="auto"/>
            <w:noWrap/>
            <w:vAlign w:val="center"/>
          </w:tcPr>
          <w:p w14:paraId="31DF8035">
            <w:pPr>
              <w:widowControl/>
              <w:spacing w:line="240" w:lineRule="auto"/>
              <w:ind w:firstLine="0" w:firstLineChars="0"/>
              <w:jc w:val="center"/>
              <w:rPr>
                <w:color w:val="auto"/>
                <w:sz w:val="21"/>
                <w:szCs w:val="21"/>
              </w:rPr>
            </w:pPr>
            <w:r>
              <w:rPr>
                <w:color w:val="auto"/>
                <w:sz w:val="21"/>
                <w:szCs w:val="21"/>
                <w:lang w:bidi="ar"/>
              </w:rPr>
              <w:t>5.00×10</w:t>
            </w:r>
            <w:r>
              <w:rPr>
                <w:color w:val="auto"/>
                <w:sz w:val="21"/>
                <w:szCs w:val="21"/>
                <w:vertAlign w:val="superscript"/>
                <w:lang w:bidi="ar"/>
              </w:rPr>
              <w:t>-6</w:t>
            </w:r>
            <w:r>
              <w:rPr>
                <w:color w:val="auto"/>
                <w:sz w:val="21"/>
                <w:szCs w:val="21"/>
                <w:lang w:bidi="ar"/>
              </w:rPr>
              <w:t>/a</w:t>
            </w:r>
          </w:p>
        </w:tc>
      </w:tr>
      <w:tr w14:paraId="1D1E5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3117D0C3">
            <w:pPr>
              <w:widowControl/>
              <w:spacing w:line="240" w:lineRule="auto"/>
              <w:ind w:firstLine="0" w:firstLineChars="0"/>
              <w:jc w:val="center"/>
              <w:rPr>
                <w:color w:val="auto"/>
                <w:sz w:val="21"/>
                <w:szCs w:val="21"/>
              </w:rPr>
            </w:pPr>
            <w:r>
              <w:rPr>
                <w:color w:val="auto"/>
                <w:sz w:val="21"/>
                <w:szCs w:val="21"/>
                <w:lang w:bidi="ar"/>
              </w:rPr>
              <w:t>常压单包容储罐</w:t>
            </w:r>
          </w:p>
        </w:tc>
        <w:tc>
          <w:tcPr>
            <w:tcW w:w="4625" w:type="dxa"/>
            <w:tcBorders>
              <w:tl2br w:val="nil"/>
              <w:tr2bl w:val="nil"/>
            </w:tcBorders>
            <w:shd w:val="clear" w:color="auto" w:fill="auto"/>
            <w:noWrap/>
            <w:vAlign w:val="center"/>
          </w:tcPr>
          <w:p w14:paraId="79B0A6F2">
            <w:pPr>
              <w:widowControl/>
              <w:spacing w:line="240" w:lineRule="auto"/>
              <w:ind w:firstLine="0" w:firstLineChars="0"/>
              <w:jc w:val="center"/>
              <w:rPr>
                <w:color w:val="auto"/>
                <w:sz w:val="21"/>
                <w:szCs w:val="21"/>
              </w:rPr>
            </w:pPr>
            <w:r>
              <w:rPr>
                <w:color w:val="auto"/>
                <w:sz w:val="21"/>
                <w:szCs w:val="21"/>
                <w:lang w:bidi="ar"/>
              </w:rPr>
              <w:t>泄漏孔径为10mm孔径</w:t>
            </w:r>
          </w:p>
        </w:tc>
        <w:tc>
          <w:tcPr>
            <w:tcW w:w="2084" w:type="dxa"/>
            <w:tcBorders>
              <w:tl2br w:val="nil"/>
              <w:tr2bl w:val="nil"/>
            </w:tcBorders>
            <w:shd w:val="clear" w:color="auto" w:fill="auto"/>
            <w:noWrap/>
            <w:vAlign w:val="center"/>
          </w:tcPr>
          <w:p w14:paraId="09019784">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-4</w:t>
            </w:r>
            <w:r>
              <w:rPr>
                <w:color w:val="auto"/>
                <w:sz w:val="21"/>
                <w:szCs w:val="21"/>
                <w:lang w:bidi="ar"/>
              </w:rPr>
              <w:t>/a</w:t>
            </w:r>
          </w:p>
        </w:tc>
      </w:tr>
      <w:tr w14:paraId="2CE5E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2F23146E">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6FD37EAC">
            <w:pPr>
              <w:widowControl/>
              <w:spacing w:line="240" w:lineRule="auto"/>
              <w:ind w:firstLine="0" w:firstLineChars="0"/>
              <w:jc w:val="center"/>
              <w:rPr>
                <w:color w:val="auto"/>
                <w:sz w:val="21"/>
                <w:szCs w:val="21"/>
              </w:rPr>
            </w:pPr>
            <w:r>
              <w:rPr>
                <w:color w:val="auto"/>
                <w:sz w:val="21"/>
                <w:szCs w:val="21"/>
                <w:lang w:bidi="ar"/>
              </w:rPr>
              <w:t>10min内储罐泄漏完</w:t>
            </w:r>
          </w:p>
        </w:tc>
        <w:tc>
          <w:tcPr>
            <w:tcW w:w="2084" w:type="dxa"/>
            <w:tcBorders>
              <w:tl2br w:val="nil"/>
              <w:tr2bl w:val="nil"/>
            </w:tcBorders>
            <w:shd w:val="clear" w:color="auto" w:fill="auto"/>
            <w:noWrap/>
            <w:vAlign w:val="center"/>
          </w:tcPr>
          <w:p w14:paraId="1FAF8DF6">
            <w:pPr>
              <w:widowControl/>
              <w:spacing w:line="240" w:lineRule="auto"/>
              <w:ind w:firstLine="0" w:firstLineChars="0"/>
              <w:jc w:val="center"/>
              <w:rPr>
                <w:color w:val="auto"/>
                <w:sz w:val="21"/>
                <w:szCs w:val="21"/>
              </w:rPr>
            </w:pPr>
            <w:r>
              <w:rPr>
                <w:color w:val="auto"/>
                <w:sz w:val="21"/>
                <w:szCs w:val="21"/>
                <w:lang w:bidi="ar"/>
              </w:rPr>
              <w:t>5.00×10</w:t>
            </w:r>
            <w:r>
              <w:rPr>
                <w:color w:val="auto"/>
                <w:sz w:val="21"/>
                <w:szCs w:val="21"/>
                <w:vertAlign w:val="superscript"/>
                <w:lang w:bidi="ar"/>
              </w:rPr>
              <w:t>-6</w:t>
            </w:r>
            <w:r>
              <w:rPr>
                <w:color w:val="auto"/>
                <w:sz w:val="21"/>
                <w:szCs w:val="21"/>
                <w:lang w:bidi="ar"/>
              </w:rPr>
              <w:t>/a</w:t>
            </w:r>
          </w:p>
        </w:tc>
      </w:tr>
      <w:tr w14:paraId="3C9CE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0B84FB35">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07A5CE7D">
            <w:pPr>
              <w:widowControl/>
              <w:spacing w:line="240" w:lineRule="auto"/>
              <w:ind w:firstLine="0" w:firstLineChars="0"/>
              <w:jc w:val="center"/>
              <w:rPr>
                <w:color w:val="auto"/>
                <w:sz w:val="21"/>
                <w:szCs w:val="21"/>
              </w:rPr>
            </w:pPr>
            <w:r>
              <w:rPr>
                <w:color w:val="auto"/>
                <w:sz w:val="21"/>
                <w:szCs w:val="21"/>
                <w:lang w:bidi="ar"/>
              </w:rPr>
              <w:t>储罐全破裂</w:t>
            </w:r>
          </w:p>
        </w:tc>
        <w:tc>
          <w:tcPr>
            <w:tcW w:w="2084" w:type="dxa"/>
            <w:tcBorders>
              <w:tl2br w:val="nil"/>
              <w:tr2bl w:val="nil"/>
            </w:tcBorders>
            <w:shd w:val="clear" w:color="auto" w:fill="auto"/>
            <w:noWrap/>
            <w:vAlign w:val="center"/>
          </w:tcPr>
          <w:p w14:paraId="7EEF47A8">
            <w:pPr>
              <w:widowControl/>
              <w:spacing w:line="240" w:lineRule="auto"/>
              <w:ind w:firstLine="0" w:firstLineChars="0"/>
              <w:jc w:val="center"/>
              <w:rPr>
                <w:color w:val="auto"/>
                <w:sz w:val="21"/>
                <w:szCs w:val="21"/>
              </w:rPr>
            </w:pPr>
            <w:r>
              <w:rPr>
                <w:color w:val="auto"/>
                <w:sz w:val="21"/>
                <w:szCs w:val="21"/>
                <w:lang w:bidi="ar"/>
              </w:rPr>
              <w:t>5.00×10</w:t>
            </w:r>
            <w:r>
              <w:rPr>
                <w:color w:val="auto"/>
                <w:sz w:val="21"/>
                <w:szCs w:val="21"/>
                <w:vertAlign w:val="superscript"/>
                <w:lang w:bidi="ar"/>
              </w:rPr>
              <w:t>-6</w:t>
            </w:r>
            <w:r>
              <w:rPr>
                <w:color w:val="auto"/>
                <w:sz w:val="21"/>
                <w:szCs w:val="21"/>
                <w:lang w:bidi="ar"/>
              </w:rPr>
              <w:t>/a</w:t>
            </w:r>
          </w:p>
        </w:tc>
      </w:tr>
      <w:tr w14:paraId="06D36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6A178822">
            <w:pPr>
              <w:widowControl/>
              <w:spacing w:line="240" w:lineRule="auto"/>
              <w:ind w:firstLine="0" w:firstLineChars="0"/>
              <w:jc w:val="center"/>
              <w:rPr>
                <w:color w:val="auto"/>
                <w:sz w:val="21"/>
                <w:szCs w:val="21"/>
              </w:rPr>
            </w:pPr>
            <w:r>
              <w:rPr>
                <w:color w:val="auto"/>
                <w:sz w:val="21"/>
                <w:szCs w:val="21"/>
                <w:lang w:bidi="ar"/>
              </w:rPr>
              <w:t>常压双包容储罐</w:t>
            </w:r>
          </w:p>
        </w:tc>
        <w:tc>
          <w:tcPr>
            <w:tcW w:w="4625" w:type="dxa"/>
            <w:tcBorders>
              <w:tl2br w:val="nil"/>
              <w:tr2bl w:val="nil"/>
            </w:tcBorders>
            <w:shd w:val="clear" w:color="auto" w:fill="auto"/>
            <w:noWrap/>
            <w:vAlign w:val="center"/>
          </w:tcPr>
          <w:p w14:paraId="23CE6369">
            <w:pPr>
              <w:widowControl/>
              <w:spacing w:line="240" w:lineRule="auto"/>
              <w:ind w:firstLine="0" w:firstLineChars="0"/>
              <w:jc w:val="center"/>
              <w:rPr>
                <w:color w:val="auto"/>
                <w:sz w:val="21"/>
                <w:szCs w:val="21"/>
              </w:rPr>
            </w:pPr>
            <w:r>
              <w:rPr>
                <w:color w:val="auto"/>
                <w:sz w:val="21"/>
                <w:szCs w:val="21"/>
                <w:lang w:bidi="ar"/>
              </w:rPr>
              <w:t>泄漏孔径为10mm孔径</w:t>
            </w:r>
          </w:p>
        </w:tc>
        <w:tc>
          <w:tcPr>
            <w:tcW w:w="2084" w:type="dxa"/>
            <w:tcBorders>
              <w:tl2br w:val="nil"/>
              <w:tr2bl w:val="nil"/>
            </w:tcBorders>
            <w:shd w:val="clear" w:color="auto" w:fill="auto"/>
            <w:noWrap/>
            <w:vAlign w:val="center"/>
          </w:tcPr>
          <w:p w14:paraId="3FC86B91">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-4</w:t>
            </w:r>
            <w:r>
              <w:rPr>
                <w:color w:val="auto"/>
                <w:sz w:val="21"/>
                <w:szCs w:val="21"/>
                <w:lang w:bidi="ar"/>
              </w:rPr>
              <w:t>/a</w:t>
            </w:r>
          </w:p>
        </w:tc>
      </w:tr>
      <w:tr w14:paraId="5EB4B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77B8CF7F">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07FD2218">
            <w:pPr>
              <w:widowControl/>
              <w:spacing w:line="240" w:lineRule="auto"/>
              <w:ind w:firstLine="0" w:firstLineChars="0"/>
              <w:jc w:val="center"/>
              <w:rPr>
                <w:color w:val="auto"/>
                <w:sz w:val="21"/>
                <w:szCs w:val="21"/>
              </w:rPr>
            </w:pPr>
            <w:r>
              <w:rPr>
                <w:color w:val="auto"/>
                <w:sz w:val="21"/>
                <w:szCs w:val="21"/>
                <w:lang w:bidi="ar"/>
              </w:rPr>
              <w:t>10min内储罐泄漏完</w:t>
            </w:r>
          </w:p>
        </w:tc>
        <w:tc>
          <w:tcPr>
            <w:tcW w:w="2084" w:type="dxa"/>
            <w:tcBorders>
              <w:tl2br w:val="nil"/>
              <w:tr2bl w:val="nil"/>
            </w:tcBorders>
            <w:shd w:val="clear" w:color="auto" w:fill="auto"/>
            <w:noWrap/>
            <w:vAlign w:val="center"/>
          </w:tcPr>
          <w:p w14:paraId="15119603">
            <w:pPr>
              <w:widowControl/>
              <w:spacing w:line="240" w:lineRule="auto"/>
              <w:ind w:firstLine="0" w:firstLineChars="0"/>
              <w:jc w:val="center"/>
              <w:rPr>
                <w:color w:val="auto"/>
                <w:sz w:val="21"/>
                <w:szCs w:val="21"/>
              </w:rPr>
            </w:pPr>
            <w:r>
              <w:rPr>
                <w:color w:val="auto"/>
                <w:sz w:val="21"/>
                <w:szCs w:val="21"/>
                <w:lang w:bidi="ar"/>
              </w:rPr>
              <w:t>1.25×10</w:t>
            </w:r>
            <w:r>
              <w:rPr>
                <w:color w:val="auto"/>
                <w:sz w:val="21"/>
                <w:szCs w:val="21"/>
                <w:vertAlign w:val="superscript"/>
                <w:lang w:bidi="ar"/>
              </w:rPr>
              <w:t>-8</w:t>
            </w:r>
            <w:r>
              <w:rPr>
                <w:color w:val="auto"/>
                <w:sz w:val="21"/>
                <w:szCs w:val="21"/>
                <w:lang w:bidi="ar"/>
              </w:rPr>
              <w:t>/a</w:t>
            </w:r>
          </w:p>
        </w:tc>
      </w:tr>
      <w:tr w14:paraId="66731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56479BBF">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142EDEC8">
            <w:pPr>
              <w:widowControl/>
              <w:spacing w:line="240" w:lineRule="auto"/>
              <w:ind w:firstLine="0" w:firstLineChars="0"/>
              <w:jc w:val="center"/>
              <w:rPr>
                <w:color w:val="auto"/>
                <w:sz w:val="21"/>
                <w:szCs w:val="21"/>
              </w:rPr>
            </w:pPr>
            <w:r>
              <w:rPr>
                <w:color w:val="auto"/>
                <w:sz w:val="21"/>
                <w:szCs w:val="21"/>
                <w:lang w:bidi="ar"/>
              </w:rPr>
              <w:t>储罐全破裂</w:t>
            </w:r>
          </w:p>
        </w:tc>
        <w:tc>
          <w:tcPr>
            <w:tcW w:w="2084" w:type="dxa"/>
            <w:tcBorders>
              <w:tl2br w:val="nil"/>
              <w:tr2bl w:val="nil"/>
            </w:tcBorders>
            <w:shd w:val="clear" w:color="auto" w:fill="auto"/>
            <w:noWrap/>
            <w:vAlign w:val="center"/>
          </w:tcPr>
          <w:p w14:paraId="652563D0">
            <w:pPr>
              <w:widowControl/>
              <w:spacing w:line="240" w:lineRule="auto"/>
              <w:ind w:firstLine="0" w:firstLineChars="0"/>
              <w:jc w:val="center"/>
              <w:rPr>
                <w:color w:val="auto"/>
                <w:sz w:val="21"/>
                <w:szCs w:val="21"/>
              </w:rPr>
            </w:pPr>
            <w:r>
              <w:rPr>
                <w:color w:val="auto"/>
                <w:sz w:val="21"/>
                <w:szCs w:val="21"/>
                <w:lang w:bidi="ar"/>
              </w:rPr>
              <w:t>1.25×10</w:t>
            </w:r>
            <w:r>
              <w:rPr>
                <w:color w:val="auto"/>
                <w:sz w:val="21"/>
                <w:szCs w:val="21"/>
                <w:vertAlign w:val="superscript"/>
                <w:lang w:bidi="ar"/>
              </w:rPr>
              <w:t>-8</w:t>
            </w:r>
            <w:r>
              <w:rPr>
                <w:color w:val="auto"/>
                <w:sz w:val="21"/>
                <w:szCs w:val="21"/>
                <w:lang w:bidi="ar"/>
              </w:rPr>
              <w:t>/a</w:t>
            </w:r>
          </w:p>
        </w:tc>
      </w:tr>
      <w:tr w14:paraId="1C9BA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tcBorders>
              <w:tl2br w:val="nil"/>
              <w:tr2bl w:val="nil"/>
            </w:tcBorders>
            <w:shd w:val="clear" w:color="auto" w:fill="auto"/>
            <w:noWrap/>
            <w:vAlign w:val="center"/>
          </w:tcPr>
          <w:p w14:paraId="680CC1C3">
            <w:pPr>
              <w:widowControl/>
              <w:spacing w:line="240" w:lineRule="auto"/>
              <w:ind w:firstLine="0" w:firstLineChars="0"/>
              <w:jc w:val="center"/>
              <w:rPr>
                <w:color w:val="auto"/>
                <w:sz w:val="21"/>
                <w:szCs w:val="21"/>
              </w:rPr>
            </w:pPr>
            <w:r>
              <w:rPr>
                <w:color w:val="auto"/>
                <w:sz w:val="21"/>
                <w:szCs w:val="21"/>
                <w:lang w:bidi="ar"/>
              </w:rPr>
              <w:t>常压全包容储罐</w:t>
            </w:r>
          </w:p>
        </w:tc>
        <w:tc>
          <w:tcPr>
            <w:tcW w:w="4625" w:type="dxa"/>
            <w:tcBorders>
              <w:tl2br w:val="nil"/>
              <w:tr2bl w:val="nil"/>
            </w:tcBorders>
            <w:shd w:val="clear" w:color="auto" w:fill="auto"/>
            <w:noWrap/>
            <w:vAlign w:val="center"/>
          </w:tcPr>
          <w:p w14:paraId="4C72561E">
            <w:pPr>
              <w:widowControl/>
              <w:spacing w:line="240" w:lineRule="auto"/>
              <w:ind w:firstLine="0" w:firstLineChars="0"/>
              <w:jc w:val="center"/>
              <w:rPr>
                <w:color w:val="auto"/>
                <w:sz w:val="21"/>
                <w:szCs w:val="21"/>
              </w:rPr>
            </w:pPr>
            <w:r>
              <w:rPr>
                <w:color w:val="auto"/>
                <w:sz w:val="21"/>
                <w:szCs w:val="21"/>
                <w:lang w:bidi="ar"/>
              </w:rPr>
              <w:t>储罐全破裂</w:t>
            </w:r>
          </w:p>
        </w:tc>
        <w:tc>
          <w:tcPr>
            <w:tcW w:w="2084" w:type="dxa"/>
            <w:tcBorders>
              <w:tl2br w:val="nil"/>
              <w:tr2bl w:val="nil"/>
            </w:tcBorders>
            <w:shd w:val="clear" w:color="auto" w:fill="auto"/>
            <w:noWrap/>
            <w:vAlign w:val="center"/>
          </w:tcPr>
          <w:p w14:paraId="595E958A">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-8</w:t>
            </w:r>
            <w:r>
              <w:rPr>
                <w:color w:val="auto"/>
                <w:sz w:val="21"/>
                <w:szCs w:val="21"/>
                <w:lang w:bidi="ar"/>
              </w:rPr>
              <w:t>/a</w:t>
            </w:r>
          </w:p>
        </w:tc>
      </w:tr>
      <w:tr w14:paraId="7BB21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19FED205">
            <w:pPr>
              <w:widowControl/>
              <w:spacing w:line="240" w:lineRule="auto"/>
              <w:ind w:firstLine="0" w:firstLineChars="0"/>
              <w:jc w:val="center"/>
              <w:rPr>
                <w:color w:val="auto"/>
                <w:sz w:val="21"/>
                <w:szCs w:val="21"/>
              </w:rPr>
            </w:pPr>
            <w:r>
              <w:rPr>
                <w:color w:val="auto"/>
                <w:sz w:val="21"/>
                <w:szCs w:val="21"/>
                <w:lang w:bidi="ar"/>
              </w:rPr>
              <w:t>内径≤75mm的管道</w:t>
            </w:r>
          </w:p>
        </w:tc>
        <w:tc>
          <w:tcPr>
            <w:tcW w:w="4625" w:type="dxa"/>
            <w:tcBorders>
              <w:tl2br w:val="nil"/>
              <w:tr2bl w:val="nil"/>
            </w:tcBorders>
            <w:shd w:val="clear" w:color="auto" w:fill="auto"/>
            <w:noWrap/>
            <w:vAlign w:val="center"/>
          </w:tcPr>
          <w:p w14:paraId="5FCBD20C">
            <w:pPr>
              <w:widowControl/>
              <w:spacing w:line="240" w:lineRule="auto"/>
              <w:ind w:firstLine="0" w:firstLineChars="0"/>
              <w:jc w:val="center"/>
              <w:rPr>
                <w:color w:val="auto"/>
                <w:sz w:val="21"/>
                <w:szCs w:val="21"/>
              </w:rPr>
            </w:pPr>
            <w:r>
              <w:rPr>
                <w:color w:val="auto"/>
                <w:sz w:val="21"/>
                <w:szCs w:val="21"/>
                <w:lang w:bidi="ar"/>
              </w:rPr>
              <w:t>泄漏孔径为10%孔径</w:t>
            </w:r>
          </w:p>
        </w:tc>
        <w:tc>
          <w:tcPr>
            <w:tcW w:w="2084" w:type="dxa"/>
            <w:tcBorders>
              <w:tl2br w:val="nil"/>
              <w:tr2bl w:val="nil"/>
            </w:tcBorders>
            <w:shd w:val="clear" w:color="auto" w:fill="auto"/>
            <w:noWrap/>
            <w:vAlign w:val="center"/>
          </w:tcPr>
          <w:p w14:paraId="2945F419">
            <w:pPr>
              <w:widowControl/>
              <w:spacing w:line="240" w:lineRule="auto"/>
              <w:ind w:firstLine="0" w:firstLineChars="0"/>
              <w:jc w:val="center"/>
              <w:rPr>
                <w:color w:val="auto"/>
                <w:sz w:val="21"/>
                <w:szCs w:val="21"/>
              </w:rPr>
            </w:pPr>
            <w:r>
              <w:rPr>
                <w:color w:val="auto"/>
                <w:sz w:val="21"/>
                <w:szCs w:val="21"/>
                <w:lang w:bidi="ar"/>
              </w:rPr>
              <w:t>5.00×10</w:t>
            </w:r>
            <w:r>
              <w:rPr>
                <w:color w:val="auto"/>
                <w:sz w:val="21"/>
                <w:szCs w:val="21"/>
                <w:vertAlign w:val="superscript"/>
                <w:lang w:bidi="ar"/>
              </w:rPr>
              <w:t>-6</w:t>
            </w:r>
            <w:r>
              <w:rPr>
                <w:color w:val="auto"/>
                <w:sz w:val="21"/>
                <w:szCs w:val="21"/>
                <w:lang w:bidi="ar"/>
              </w:rPr>
              <w:t>/</w:t>
            </w:r>
            <w:r>
              <w:rPr>
                <w:rFonts w:hint="eastAsia"/>
                <w:color w:val="auto"/>
                <w:sz w:val="21"/>
                <w:szCs w:val="21"/>
                <w:lang w:bidi="ar"/>
              </w:rPr>
              <w:t>(</w:t>
            </w:r>
            <w:r>
              <w:rPr>
                <w:color w:val="auto"/>
                <w:sz w:val="21"/>
                <w:szCs w:val="21"/>
                <w:lang w:bidi="ar"/>
              </w:rPr>
              <w:t>m·a</w:t>
            </w:r>
            <w:r>
              <w:rPr>
                <w:rFonts w:hint="eastAsia"/>
                <w:color w:val="auto"/>
                <w:sz w:val="21"/>
                <w:szCs w:val="21"/>
                <w:lang w:bidi="ar"/>
              </w:rPr>
              <w:t>)</w:t>
            </w:r>
          </w:p>
        </w:tc>
      </w:tr>
      <w:tr w14:paraId="4839A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7B6E4E3A">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51BC0F37">
            <w:pPr>
              <w:widowControl/>
              <w:spacing w:line="240" w:lineRule="auto"/>
              <w:ind w:firstLine="0" w:firstLineChars="0"/>
              <w:jc w:val="center"/>
              <w:rPr>
                <w:color w:val="auto"/>
                <w:sz w:val="21"/>
                <w:szCs w:val="21"/>
              </w:rPr>
            </w:pPr>
            <w:r>
              <w:rPr>
                <w:color w:val="auto"/>
                <w:sz w:val="21"/>
                <w:szCs w:val="21"/>
                <w:lang w:bidi="ar"/>
              </w:rPr>
              <w:t>全管径泄漏</w:t>
            </w:r>
          </w:p>
        </w:tc>
        <w:tc>
          <w:tcPr>
            <w:tcW w:w="2084" w:type="dxa"/>
            <w:tcBorders>
              <w:tl2br w:val="nil"/>
              <w:tr2bl w:val="nil"/>
            </w:tcBorders>
            <w:shd w:val="clear" w:color="auto" w:fill="auto"/>
            <w:noWrap/>
            <w:vAlign w:val="center"/>
          </w:tcPr>
          <w:p w14:paraId="36A08C78">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-6</w:t>
            </w:r>
            <w:r>
              <w:rPr>
                <w:color w:val="auto"/>
                <w:sz w:val="21"/>
                <w:szCs w:val="21"/>
                <w:lang w:bidi="ar"/>
              </w:rPr>
              <w:t>/</w:t>
            </w:r>
            <w:r>
              <w:rPr>
                <w:rFonts w:hint="eastAsia"/>
                <w:color w:val="auto"/>
                <w:sz w:val="21"/>
                <w:szCs w:val="21"/>
                <w:lang w:bidi="ar"/>
              </w:rPr>
              <w:t>(</w:t>
            </w:r>
            <w:r>
              <w:rPr>
                <w:color w:val="auto"/>
                <w:sz w:val="21"/>
                <w:szCs w:val="21"/>
                <w:lang w:bidi="ar"/>
              </w:rPr>
              <w:t>m·a</w:t>
            </w:r>
            <w:r>
              <w:rPr>
                <w:rFonts w:hint="eastAsia"/>
                <w:color w:val="auto"/>
                <w:sz w:val="21"/>
                <w:szCs w:val="21"/>
                <w:lang w:bidi="ar"/>
              </w:rPr>
              <w:t>)</w:t>
            </w:r>
          </w:p>
        </w:tc>
      </w:tr>
      <w:tr w14:paraId="3B747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6719AF59">
            <w:pPr>
              <w:widowControl/>
              <w:spacing w:line="240" w:lineRule="auto"/>
              <w:ind w:firstLine="0" w:firstLineChars="0"/>
              <w:jc w:val="center"/>
              <w:rPr>
                <w:color w:val="auto"/>
                <w:sz w:val="21"/>
                <w:szCs w:val="21"/>
              </w:rPr>
            </w:pPr>
            <w:r>
              <w:rPr>
                <w:color w:val="auto"/>
                <w:sz w:val="21"/>
                <w:szCs w:val="21"/>
                <w:lang w:bidi="ar"/>
              </w:rPr>
              <w:t>75mm</w:t>
            </w:r>
            <w:r>
              <w:rPr>
                <w:rFonts w:hint="eastAsia"/>
                <w:color w:val="auto"/>
                <w:sz w:val="21"/>
                <w:szCs w:val="21"/>
                <w:lang w:bidi="ar"/>
              </w:rPr>
              <w:t>〈</w:t>
            </w:r>
            <w:r>
              <w:rPr>
                <w:color w:val="auto"/>
                <w:sz w:val="21"/>
                <w:szCs w:val="21"/>
                <w:lang w:bidi="ar"/>
              </w:rPr>
              <w:t>内径≤150mm的管道</w:t>
            </w:r>
          </w:p>
        </w:tc>
        <w:tc>
          <w:tcPr>
            <w:tcW w:w="4625" w:type="dxa"/>
            <w:tcBorders>
              <w:tl2br w:val="nil"/>
              <w:tr2bl w:val="nil"/>
            </w:tcBorders>
            <w:shd w:val="clear" w:color="auto" w:fill="auto"/>
            <w:noWrap/>
            <w:vAlign w:val="center"/>
          </w:tcPr>
          <w:p w14:paraId="5F68E629">
            <w:pPr>
              <w:widowControl/>
              <w:spacing w:line="240" w:lineRule="auto"/>
              <w:ind w:firstLine="0" w:firstLineChars="0"/>
              <w:jc w:val="center"/>
              <w:rPr>
                <w:color w:val="auto"/>
                <w:sz w:val="21"/>
                <w:szCs w:val="21"/>
              </w:rPr>
            </w:pPr>
            <w:r>
              <w:rPr>
                <w:color w:val="auto"/>
                <w:sz w:val="21"/>
                <w:szCs w:val="21"/>
                <w:lang w:bidi="ar"/>
              </w:rPr>
              <w:t>泄漏孔径为10%孔径</w:t>
            </w:r>
          </w:p>
        </w:tc>
        <w:tc>
          <w:tcPr>
            <w:tcW w:w="2084" w:type="dxa"/>
            <w:tcBorders>
              <w:tl2br w:val="nil"/>
              <w:tr2bl w:val="nil"/>
            </w:tcBorders>
            <w:shd w:val="clear" w:color="auto" w:fill="auto"/>
            <w:noWrap/>
            <w:vAlign w:val="center"/>
          </w:tcPr>
          <w:p w14:paraId="5652A443">
            <w:pPr>
              <w:widowControl/>
              <w:spacing w:line="240" w:lineRule="auto"/>
              <w:ind w:firstLine="0" w:firstLineChars="0"/>
              <w:jc w:val="center"/>
              <w:rPr>
                <w:color w:val="auto"/>
                <w:sz w:val="21"/>
                <w:szCs w:val="21"/>
              </w:rPr>
            </w:pPr>
            <w:r>
              <w:rPr>
                <w:color w:val="auto"/>
                <w:sz w:val="21"/>
                <w:szCs w:val="21"/>
                <w:lang w:bidi="ar"/>
              </w:rPr>
              <w:t>2.00×10</w:t>
            </w:r>
            <w:r>
              <w:rPr>
                <w:color w:val="auto"/>
                <w:sz w:val="21"/>
                <w:szCs w:val="21"/>
                <w:vertAlign w:val="superscript"/>
                <w:lang w:bidi="ar"/>
              </w:rPr>
              <w:t>-6</w:t>
            </w:r>
            <w:r>
              <w:rPr>
                <w:color w:val="auto"/>
                <w:sz w:val="21"/>
                <w:szCs w:val="21"/>
                <w:lang w:bidi="ar"/>
              </w:rPr>
              <w:t>/</w:t>
            </w:r>
            <w:r>
              <w:rPr>
                <w:rFonts w:hint="eastAsia"/>
                <w:color w:val="auto"/>
                <w:sz w:val="21"/>
                <w:szCs w:val="21"/>
                <w:lang w:bidi="ar"/>
              </w:rPr>
              <w:t>(</w:t>
            </w:r>
            <w:r>
              <w:rPr>
                <w:color w:val="auto"/>
                <w:sz w:val="21"/>
                <w:szCs w:val="21"/>
                <w:lang w:bidi="ar"/>
              </w:rPr>
              <w:t>m·a</w:t>
            </w:r>
            <w:r>
              <w:rPr>
                <w:rFonts w:hint="eastAsia"/>
                <w:color w:val="auto"/>
                <w:sz w:val="21"/>
                <w:szCs w:val="21"/>
                <w:lang w:bidi="ar"/>
              </w:rPr>
              <w:t>)</w:t>
            </w:r>
          </w:p>
        </w:tc>
      </w:tr>
      <w:tr w14:paraId="185E1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7D2DBA26">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5E4B3AF0">
            <w:pPr>
              <w:widowControl/>
              <w:spacing w:line="240" w:lineRule="auto"/>
              <w:ind w:firstLine="0" w:firstLineChars="0"/>
              <w:jc w:val="center"/>
              <w:rPr>
                <w:color w:val="auto"/>
                <w:sz w:val="21"/>
                <w:szCs w:val="21"/>
              </w:rPr>
            </w:pPr>
            <w:r>
              <w:rPr>
                <w:color w:val="auto"/>
                <w:sz w:val="21"/>
                <w:szCs w:val="21"/>
                <w:lang w:bidi="ar"/>
              </w:rPr>
              <w:t>全管径泄漏</w:t>
            </w:r>
          </w:p>
        </w:tc>
        <w:tc>
          <w:tcPr>
            <w:tcW w:w="2084" w:type="dxa"/>
            <w:tcBorders>
              <w:tl2br w:val="nil"/>
              <w:tr2bl w:val="nil"/>
            </w:tcBorders>
            <w:shd w:val="clear" w:color="auto" w:fill="auto"/>
            <w:noWrap/>
            <w:vAlign w:val="center"/>
          </w:tcPr>
          <w:p w14:paraId="07210233">
            <w:pPr>
              <w:widowControl/>
              <w:spacing w:line="240" w:lineRule="auto"/>
              <w:ind w:firstLine="0" w:firstLineChars="0"/>
              <w:jc w:val="center"/>
              <w:rPr>
                <w:color w:val="auto"/>
                <w:sz w:val="21"/>
                <w:szCs w:val="21"/>
              </w:rPr>
            </w:pPr>
            <w:r>
              <w:rPr>
                <w:color w:val="auto"/>
                <w:sz w:val="21"/>
                <w:szCs w:val="21"/>
                <w:lang w:bidi="ar"/>
              </w:rPr>
              <w:t>3.00×10</w:t>
            </w:r>
            <w:r>
              <w:rPr>
                <w:color w:val="auto"/>
                <w:sz w:val="21"/>
                <w:szCs w:val="21"/>
                <w:vertAlign w:val="superscript"/>
                <w:lang w:bidi="ar"/>
              </w:rPr>
              <w:t>-7</w:t>
            </w:r>
            <w:r>
              <w:rPr>
                <w:color w:val="auto"/>
                <w:sz w:val="21"/>
                <w:szCs w:val="21"/>
                <w:lang w:bidi="ar"/>
              </w:rPr>
              <w:t>/</w:t>
            </w:r>
            <w:r>
              <w:rPr>
                <w:rFonts w:hint="eastAsia"/>
                <w:color w:val="auto"/>
                <w:sz w:val="21"/>
                <w:szCs w:val="21"/>
                <w:lang w:bidi="ar"/>
              </w:rPr>
              <w:t>(</w:t>
            </w:r>
            <w:r>
              <w:rPr>
                <w:color w:val="auto"/>
                <w:sz w:val="21"/>
                <w:szCs w:val="21"/>
                <w:lang w:bidi="ar"/>
              </w:rPr>
              <w:t>m·a</w:t>
            </w:r>
            <w:r>
              <w:rPr>
                <w:rFonts w:hint="eastAsia"/>
                <w:color w:val="auto"/>
                <w:sz w:val="21"/>
                <w:szCs w:val="21"/>
                <w:lang w:bidi="ar"/>
              </w:rPr>
              <w:t>)</w:t>
            </w:r>
          </w:p>
        </w:tc>
      </w:tr>
      <w:tr w14:paraId="5975F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6DE80AE2">
            <w:pPr>
              <w:widowControl/>
              <w:spacing w:line="240" w:lineRule="auto"/>
              <w:ind w:firstLine="0" w:firstLineChars="0"/>
              <w:jc w:val="center"/>
              <w:rPr>
                <w:color w:val="auto"/>
                <w:sz w:val="21"/>
                <w:szCs w:val="21"/>
              </w:rPr>
            </w:pPr>
            <w:r>
              <w:rPr>
                <w:color w:val="auto"/>
                <w:sz w:val="21"/>
                <w:szCs w:val="21"/>
                <w:lang w:bidi="ar"/>
              </w:rPr>
              <w:t>内径&gt;150mm的管道</w:t>
            </w:r>
          </w:p>
        </w:tc>
        <w:tc>
          <w:tcPr>
            <w:tcW w:w="4625" w:type="dxa"/>
            <w:tcBorders>
              <w:tl2br w:val="nil"/>
              <w:tr2bl w:val="nil"/>
            </w:tcBorders>
            <w:shd w:val="clear" w:color="auto" w:fill="auto"/>
            <w:noWrap/>
            <w:vAlign w:val="center"/>
          </w:tcPr>
          <w:p w14:paraId="79F67716">
            <w:pPr>
              <w:widowControl/>
              <w:spacing w:line="240" w:lineRule="auto"/>
              <w:ind w:firstLine="0" w:firstLineChars="0"/>
              <w:jc w:val="center"/>
              <w:rPr>
                <w:color w:val="auto"/>
                <w:sz w:val="21"/>
                <w:szCs w:val="21"/>
              </w:rPr>
            </w:pPr>
            <w:r>
              <w:rPr>
                <w:color w:val="auto"/>
                <w:sz w:val="21"/>
                <w:szCs w:val="21"/>
                <w:lang w:bidi="ar"/>
              </w:rPr>
              <w:t>泄漏孔径为10%孔径（最大50mm）</w:t>
            </w:r>
          </w:p>
        </w:tc>
        <w:tc>
          <w:tcPr>
            <w:tcW w:w="2084" w:type="dxa"/>
            <w:tcBorders>
              <w:tl2br w:val="nil"/>
              <w:tr2bl w:val="nil"/>
            </w:tcBorders>
            <w:shd w:val="clear" w:color="auto" w:fill="auto"/>
            <w:noWrap/>
            <w:vAlign w:val="center"/>
          </w:tcPr>
          <w:p w14:paraId="7F4371E9">
            <w:pPr>
              <w:widowControl/>
              <w:spacing w:line="240" w:lineRule="auto"/>
              <w:ind w:firstLine="0" w:firstLineChars="0"/>
              <w:jc w:val="center"/>
              <w:rPr>
                <w:color w:val="auto"/>
                <w:sz w:val="21"/>
                <w:szCs w:val="21"/>
              </w:rPr>
            </w:pPr>
            <w:r>
              <w:rPr>
                <w:color w:val="auto"/>
                <w:sz w:val="21"/>
                <w:szCs w:val="21"/>
                <w:lang w:bidi="ar"/>
              </w:rPr>
              <w:t>2.40×10</w:t>
            </w:r>
            <w:r>
              <w:rPr>
                <w:color w:val="auto"/>
                <w:sz w:val="21"/>
                <w:szCs w:val="21"/>
                <w:vertAlign w:val="superscript"/>
                <w:lang w:bidi="ar"/>
              </w:rPr>
              <w:t>-6</w:t>
            </w:r>
            <w:r>
              <w:rPr>
                <w:color w:val="auto"/>
                <w:sz w:val="21"/>
                <w:szCs w:val="21"/>
                <w:lang w:bidi="ar"/>
              </w:rPr>
              <w:t>/</w:t>
            </w:r>
            <w:r>
              <w:rPr>
                <w:rFonts w:hint="eastAsia"/>
                <w:color w:val="auto"/>
                <w:sz w:val="21"/>
                <w:szCs w:val="21"/>
                <w:lang w:bidi="ar"/>
              </w:rPr>
              <w:t>(</w:t>
            </w:r>
            <w:r>
              <w:rPr>
                <w:color w:val="auto"/>
                <w:sz w:val="21"/>
                <w:szCs w:val="21"/>
                <w:lang w:bidi="ar"/>
              </w:rPr>
              <w:t>m·a</w:t>
            </w:r>
            <w:r>
              <w:rPr>
                <w:rFonts w:hint="eastAsia"/>
                <w:color w:val="auto"/>
                <w:sz w:val="21"/>
                <w:szCs w:val="21"/>
                <w:lang w:bidi="ar"/>
              </w:rPr>
              <w:t>)</w:t>
            </w:r>
          </w:p>
        </w:tc>
      </w:tr>
      <w:tr w14:paraId="149FC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1EDD0422">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1FF43FC1">
            <w:pPr>
              <w:widowControl/>
              <w:spacing w:line="240" w:lineRule="auto"/>
              <w:ind w:firstLine="0" w:firstLineChars="0"/>
              <w:jc w:val="center"/>
              <w:rPr>
                <w:color w:val="auto"/>
                <w:sz w:val="21"/>
                <w:szCs w:val="21"/>
              </w:rPr>
            </w:pPr>
            <w:r>
              <w:rPr>
                <w:color w:val="auto"/>
                <w:sz w:val="21"/>
                <w:szCs w:val="21"/>
                <w:lang w:bidi="ar"/>
              </w:rPr>
              <w:t>全管径泄漏</w:t>
            </w:r>
          </w:p>
        </w:tc>
        <w:tc>
          <w:tcPr>
            <w:tcW w:w="2084" w:type="dxa"/>
            <w:tcBorders>
              <w:tl2br w:val="nil"/>
              <w:tr2bl w:val="nil"/>
            </w:tcBorders>
            <w:shd w:val="clear" w:color="auto" w:fill="auto"/>
            <w:noWrap/>
            <w:vAlign w:val="center"/>
          </w:tcPr>
          <w:p w14:paraId="783E99D0">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-7</w:t>
            </w:r>
            <w:r>
              <w:rPr>
                <w:color w:val="auto"/>
                <w:sz w:val="21"/>
                <w:szCs w:val="21"/>
                <w:lang w:bidi="ar"/>
              </w:rPr>
              <w:t>/</w:t>
            </w:r>
            <w:r>
              <w:rPr>
                <w:rFonts w:hint="eastAsia"/>
                <w:color w:val="auto"/>
                <w:sz w:val="21"/>
                <w:szCs w:val="21"/>
                <w:lang w:bidi="ar"/>
              </w:rPr>
              <w:t>(</w:t>
            </w:r>
            <w:r>
              <w:rPr>
                <w:color w:val="auto"/>
                <w:sz w:val="21"/>
                <w:szCs w:val="21"/>
                <w:lang w:bidi="ar"/>
              </w:rPr>
              <w:t>m·a</w:t>
            </w:r>
            <w:r>
              <w:rPr>
                <w:rFonts w:hint="eastAsia"/>
                <w:color w:val="auto"/>
                <w:sz w:val="21"/>
                <w:szCs w:val="21"/>
                <w:lang w:bidi="ar"/>
              </w:rPr>
              <w:t>)</w:t>
            </w:r>
          </w:p>
        </w:tc>
      </w:tr>
      <w:tr w14:paraId="5C98C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503FCA8A">
            <w:pPr>
              <w:widowControl/>
              <w:spacing w:line="240" w:lineRule="auto"/>
              <w:ind w:firstLine="0" w:firstLineChars="0"/>
              <w:jc w:val="center"/>
              <w:rPr>
                <w:color w:val="auto"/>
                <w:sz w:val="21"/>
                <w:szCs w:val="21"/>
              </w:rPr>
            </w:pPr>
            <w:r>
              <w:rPr>
                <w:color w:val="auto"/>
                <w:sz w:val="21"/>
                <w:szCs w:val="21"/>
                <w:lang w:bidi="ar"/>
              </w:rPr>
              <w:t>泵体和压缩机</w:t>
            </w:r>
          </w:p>
        </w:tc>
        <w:tc>
          <w:tcPr>
            <w:tcW w:w="4625" w:type="dxa"/>
            <w:tcBorders>
              <w:tl2br w:val="nil"/>
              <w:tr2bl w:val="nil"/>
            </w:tcBorders>
            <w:shd w:val="clear" w:color="auto" w:fill="auto"/>
            <w:noWrap/>
            <w:vAlign w:val="center"/>
          </w:tcPr>
          <w:p w14:paraId="3A49DF68">
            <w:pPr>
              <w:widowControl/>
              <w:spacing w:line="240" w:lineRule="auto"/>
              <w:ind w:firstLine="0" w:firstLineChars="0"/>
              <w:jc w:val="center"/>
              <w:rPr>
                <w:color w:val="auto"/>
                <w:sz w:val="21"/>
                <w:szCs w:val="21"/>
              </w:rPr>
            </w:pPr>
            <w:r>
              <w:rPr>
                <w:color w:val="auto"/>
                <w:sz w:val="21"/>
                <w:szCs w:val="21"/>
                <w:lang w:bidi="ar"/>
              </w:rPr>
              <w:t>泵体和压缩机最大连接管泄漏孔径为10%孔径（最大50mm）</w:t>
            </w:r>
          </w:p>
        </w:tc>
        <w:tc>
          <w:tcPr>
            <w:tcW w:w="2084" w:type="dxa"/>
            <w:tcBorders>
              <w:tl2br w:val="nil"/>
              <w:tr2bl w:val="nil"/>
            </w:tcBorders>
            <w:shd w:val="clear" w:color="auto" w:fill="auto"/>
            <w:noWrap/>
            <w:vAlign w:val="center"/>
          </w:tcPr>
          <w:p w14:paraId="3F0C795D">
            <w:pPr>
              <w:widowControl/>
              <w:spacing w:line="240" w:lineRule="auto"/>
              <w:ind w:firstLine="0" w:firstLineChars="0"/>
              <w:jc w:val="center"/>
              <w:rPr>
                <w:color w:val="auto"/>
                <w:sz w:val="21"/>
                <w:szCs w:val="21"/>
              </w:rPr>
            </w:pPr>
            <w:r>
              <w:rPr>
                <w:color w:val="auto"/>
                <w:sz w:val="21"/>
                <w:szCs w:val="21"/>
                <w:lang w:bidi="ar"/>
              </w:rPr>
              <w:t>5.00×10</w:t>
            </w:r>
            <w:r>
              <w:rPr>
                <w:color w:val="auto"/>
                <w:sz w:val="21"/>
                <w:szCs w:val="21"/>
                <w:vertAlign w:val="superscript"/>
                <w:lang w:bidi="ar"/>
              </w:rPr>
              <w:t>-4</w:t>
            </w:r>
            <w:r>
              <w:rPr>
                <w:color w:val="auto"/>
                <w:sz w:val="21"/>
                <w:szCs w:val="21"/>
                <w:lang w:bidi="ar"/>
              </w:rPr>
              <w:t>/a</w:t>
            </w:r>
          </w:p>
        </w:tc>
      </w:tr>
      <w:tr w14:paraId="1B1A1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6B9C28DF">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60D8E2F4">
            <w:pPr>
              <w:widowControl/>
              <w:spacing w:line="240" w:lineRule="auto"/>
              <w:ind w:firstLine="0" w:firstLineChars="0"/>
              <w:jc w:val="center"/>
              <w:rPr>
                <w:color w:val="auto"/>
                <w:sz w:val="21"/>
                <w:szCs w:val="21"/>
              </w:rPr>
            </w:pPr>
            <w:r>
              <w:rPr>
                <w:color w:val="auto"/>
                <w:sz w:val="21"/>
                <w:szCs w:val="21"/>
                <w:lang w:bidi="ar"/>
              </w:rPr>
              <w:t>泵体和压缩机最大连接管全管径泄漏</w:t>
            </w:r>
          </w:p>
        </w:tc>
        <w:tc>
          <w:tcPr>
            <w:tcW w:w="2084" w:type="dxa"/>
            <w:tcBorders>
              <w:tl2br w:val="nil"/>
              <w:tr2bl w:val="nil"/>
            </w:tcBorders>
            <w:shd w:val="clear" w:color="auto" w:fill="auto"/>
            <w:noWrap/>
            <w:vAlign w:val="center"/>
          </w:tcPr>
          <w:p w14:paraId="7B8792DD">
            <w:pPr>
              <w:widowControl/>
              <w:spacing w:line="240" w:lineRule="auto"/>
              <w:ind w:firstLine="0" w:firstLineChars="0"/>
              <w:jc w:val="center"/>
              <w:rPr>
                <w:color w:val="auto"/>
                <w:sz w:val="21"/>
                <w:szCs w:val="21"/>
              </w:rPr>
            </w:pPr>
            <w:r>
              <w:rPr>
                <w:color w:val="auto"/>
                <w:sz w:val="21"/>
                <w:szCs w:val="21"/>
                <w:lang w:bidi="ar"/>
              </w:rPr>
              <w:t>1.00×10</w:t>
            </w:r>
            <w:r>
              <w:rPr>
                <w:color w:val="auto"/>
                <w:sz w:val="21"/>
                <w:szCs w:val="21"/>
                <w:vertAlign w:val="superscript"/>
                <w:lang w:bidi="ar"/>
              </w:rPr>
              <w:t>-4</w:t>
            </w:r>
            <w:r>
              <w:rPr>
                <w:color w:val="auto"/>
                <w:sz w:val="21"/>
                <w:szCs w:val="21"/>
                <w:lang w:bidi="ar"/>
              </w:rPr>
              <w:t>/a</w:t>
            </w:r>
          </w:p>
        </w:tc>
      </w:tr>
      <w:tr w14:paraId="5900B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539ECB9B">
            <w:pPr>
              <w:widowControl/>
              <w:spacing w:line="240" w:lineRule="auto"/>
              <w:ind w:firstLine="0" w:firstLineChars="0"/>
              <w:jc w:val="center"/>
              <w:rPr>
                <w:color w:val="auto"/>
                <w:sz w:val="21"/>
                <w:szCs w:val="21"/>
              </w:rPr>
            </w:pPr>
            <w:r>
              <w:rPr>
                <w:color w:val="auto"/>
                <w:sz w:val="21"/>
                <w:szCs w:val="21"/>
                <w:lang w:bidi="ar"/>
              </w:rPr>
              <w:t>装卸臂</w:t>
            </w:r>
          </w:p>
        </w:tc>
        <w:tc>
          <w:tcPr>
            <w:tcW w:w="4625" w:type="dxa"/>
            <w:tcBorders>
              <w:tl2br w:val="nil"/>
              <w:tr2bl w:val="nil"/>
            </w:tcBorders>
            <w:shd w:val="clear" w:color="auto" w:fill="auto"/>
            <w:noWrap/>
            <w:vAlign w:val="center"/>
          </w:tcPr>
          <w:p w14:paraId="0DF5D0AE">
            <w:pPr>
              <w:widowControl/>
              <w:spacing w:line="240" w:lineRule="auto"/>
              <w:ind w:firstLine="0" w:firstLineChars="0"/>
              <w:jc w:val="center"/>
              <w:rPr>
                <w:color w:val="auto"/>
                <w:sz w:val="21"/>
                <w:szCs w:val="21"/>
              </w:rPr>
            </w:pPr>
            <w:r>
              <w:rPr>
                <w:color w:val="auto"/>
                <w:sz w:val="21"/>
                <w:szCs w:val="21"/>
                <w:lang w:bidi="ar"/>
              </w:rPr>
              <w:t>装卸臂连接管泄漏孔径为10%孔径（最大50mm）</w:t>
            </w:r>
          </w:p>
        </w:tc>
        <w:tc>
          <w:tcPr>
            <w:tcW w:w="2084" w:type="dxa"/>
            <w:tcBorders>
              <w:tl2br w:val="nil"/>
              <w:tr2bl w:val="nil"/>
            </w:tcBorders>
            <w:shd w:val="clear" w:color="auto" w:fill="auto"/>
            <w:noWrap/>
            <w:vAlign w:val="center"/>
          </w:tcPr>
          <w:p w14:paraId="2A534EBF">
            <w:pPr>
              <w:widowControl/>
              <w:spacing w:line="240" w:lineRule="auto"/>
              <w:ind w:firstLine="0" w:firstLineChars="0"/>
              <w:jc w:val="center"/>
              <w:rPr>
                <w:color w:val="auto"/>
                <w:sz w:val="21"/>
                <w:szCs w:val="21"/>
              </w:rPr>
            </w:pPr>
            <w:r>
              <w:rPr>
                <w:color w:val="auto"/>
                <w:sz w:val="21"/>
                <w:szCs w:val="21"/>
                <w:lang w:bidi="ar"/>
              </w:rPr>
              <w:t>3.00×10</w:t>
            </w:r>
            <w:r>
              <w:rPr>
                <w:color w:val="auto"/>
                <w:sz w:val="21"/>
                <w:szCs w:val="21"/>
                <w:vertAlign w:val="superscript"/>
                <w:lang w:bidi="ar"/>
              </w:rPr>
              <w:t>-7</w:t>
            </w:r>
            <w:r>
              <w:rPr>
                <w:color w:val="auto"/>
                <w:sz w:val="21"/>
                <w:szCs w:val="21"/>
                <w:lang w:bidi="ar"/>
              </w:rPr>
              <w:t>/h</w:t>
            </w:r>
          </w:p>
        </w:tc>
      </w:tr>
      <w:tr w14:paraId="6174C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0C6BB4A8">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1AFE378C">
            <w:pPr>
              <w:widowControl/>
              <w:spacing w:line="240" w:lineRule="auto"/>
              <w:ind w:firstLine="0" w:firstLineChars="0"/>
              <w:jc w:val="center"/>
              <w:rPr>
                <w:color w:val="auto"/>
                <w:sz w:val="21"/>
                <w:szCs w:val="21"/>
              </w:rPr>
            </w:pPr>
            <w:r>
              <w:rPr>
                <w:color w:val="auto"/>
                <w:sz w:val="21"/>
                <w:szCs w:val="21"/>
                <w:lang w:bidi="ar"/>
              </w:rPr>
              <w:t>装卸臂全管径泄漏</w:t>
            </w:r>
          </w:p>
        </w:tc>
        <w:tc>
          <w:tcPr>
            <w:tcW w:w="2084" w:type="dxa"/>
            <w:tcBorders>
              <w:tl2br w:val="nil"/>
              <w:tr2bl w:val="nil"/>
            </w:tcBorders>
            <w:shd w:val="clear" w:color="auto" w:fill="auto"/>
            <w:noWrap/>
            <w:vAlign w:val="center"/>
          </w:tcPr>
          <w:p w14:paraId="25A5B746">
            <w:pPr>
              <w:widowControl/>
              <w:spacing w:line="240" w:lineRule="auto"/>
              <w:ind w:firstLine="0" w:firstLineChars="0"/>
              <w:jc w:val="center"/>
              <w:rPr>
                <w:color w:val="auto"/>
                <w:sz w:val="21"/>
                <w:szCs w:val="21"/>
              </w:rPr>
            </w:pPr>
            <w:r>
              <w:rPr>
                <w:color w:val="auto"/>
                <w:sz w:val="21"/>
                <w:szCs w:val="21"/>
                <w:lang w:bidi="ar"/>
              </w:rPr>
              <w:t>3.00×10</w:t>
            </w:r>
            <w:r>
              <w:rPr>
                <w:color w:val="auto"/>
                <w:sz w:val="21"/>
                <w:szCs w:val="21"/>
                <w:vertAlign w:val="superscript"/>
                <w:lang w:bidi="ar"/>
              </w:rPr>
              <w:t>-8</w:t>
            </w:r>
            <w:r>
              <w:rPr>
                <w:color w:val="auto"/>
                <w:sz w:val="21"/>
                <w:szCs w:val="21"/>
                <w:lang w:bidi="ar"/>
              </w:rPr>
              <w:t>/h</w:t>
            </w:r>
          </w:p>
        </w:tc>
      </w:tr>
      <w:tr w14:paraId="68D57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restart"/>
            <w:tcBorders>
              <w:tl2br w:val="nil"/>
              <w:tr2bl w:val="nil"/>
            </w:tcBorders>
            <w:shd w:val="clear" w:color="auto" w:fill="auto"/>
            <w:noWrap/>
            <w:vAlign w:val="center"/>
          </w:tcPr>
          <w:p w14:paraId="573DEF0F">
            <w:pPr>
              <w:widowControl/>
              <w:spacing w:line="240" w:lineRule="auto"/>
              <w:ind w:firstLine="0" w:firstLineChars="0"/>
              <w:jc w:val="center"/>
              <w:rPr>
                <w:color w:val="auto"/>
                <w:sz w:val="21"/>
                <w:szCs w:val="21"/>
              </w:rPr>
            </w:pPr>
            <w:r>
              <w:rPr>
                <w:color w:val="auto"/>
                <w:sz w:val="21"/>
                <w:szCs w:val="21"/>
                <w:lang w:bidi="ar"/>
              </w:rPr>
              <w:t>装卸软管</w:t>
            </w:r>
          </w:p>
        </w:tc>
        <w:tc>
          <w:tcPr>
            <w:tcW w:w="4625" w:type="dxa"/>
            <w:tcBorders>
              <w:tl2br w:val="nil"/>
              <w:tr2bl w:val="nil"/>
            </w:tcBorders>
            <w:shd w:val="clear" w:color="auto" w:fill="auto"/>
            <w:noWrap/>
            <w:vAlign w:val="center"/>
          </w:tcPr>
          <w:p w14:paraId="7E08FFFE">
            <w:pPr>
              <w:widowControl/>
              <w:spacing w:line="240" w:lineRule="auto"/>
              <w:ind w:firstLine="0" w:firstLineChars="0"/>
              <w:jc w:val="center"/>
              <w:rPr>
                <w:color w:val="auto"/>
                <w:sz w:val="21"/>
                <w:szCs w:val="21"/>
              </w:rPr>
            </w:pPr>
            <w:r>
              <w:rPr>
                <w:color w:val="auto"/>
                <w:sz w:val="21"/>
                <w:szCs w:val="21"/>
                <w:lang w:bidi="ar"/>
              </w:rPr>
              <w:t>装卸软管连接管泄漏孔径为10%孔径（最大50mm）</w:t>
            </w:r>
          </w:p>
        </w:tc>
        <w:tc>
          <w:tcPr>
            <w:tcW w:w="2084" w:type="dxa"/>
            <w:tcBorders>
              <w:tl2br w:val="nil"/>
              <w:tr2bl w:val="nil"/>
            </w:tcBorders>
            <w:shd w:val="clear" w:color="auto" w:fill="auto"/>
            <w:noWrap/>
            <w:vAlign w:val="center"/>
          </w:tcPr>
          <w:p w14:paraId="3A51A28B">
            <w:pPr>
              <w:widowControl/>
              <w:spacing w:line="240" w:lineRule="auto"/>
              <w:ind w:firstLine="0" w:firstLineChars="0"/>
              <w:jc w:val="center"/>
              <w:rPr>
                <w:color w:val="auto"/>
                <w:sz w:val="21"/>
                <w:szCs w:val="21"/>
              </w:rPr>
            </w:pPr>
            <w:r>
              <w:rPr>
                <w:color w:val="auto"/>
                <w:sz w:val="21"/>
                <w:szCs w:val="21"/>
                <w:lang w:bidi="ar"/>
              </w:rPr>
              <w:t>4.00×10</w:t>
            </w:r>
            <w:r>
              <w:rPr>
                <w:color w:val="auto"/>
                <w:sz w:val="21"/>
                <w:szCs w:val="21"/>
                <w:vertAlign w:val="superscript"/>
                <w:lang w:bidi="ar"/>
              </w:rPr>
              <w:t>-5</w:t>
            </w:r>
            <w:r>
              <w:rPr>
                <w:color w:val="auto"/>
                <w:sz w:val="21"/>
                <w:szCs w:val="21"/>
                <w:lang w:bidi="ar"/>
              </w:rPr>
              <w:t>/h</w:t>
            </w:r>
          </w:p>
        </w:tc>
      </w:tr>
      <w:tr w14:paraId="6E127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75" w:type="dxa"/>
            <w:vMerge w:val="continue"/>
            <w:tcBorders>
              <w:tl2br w:val="nil"/>
              <w:tr2bl w:val="nil"/>
            </w:tcBorders>
            <w:shd w:val="clear" w:color="auto" w:fill="auto"/>
            <w:noWrap/>
            <w:vAlign w:val="center"/>
          </w:tcPr>
          <w:p w14:paraId="615AEE3E">
            <w:pPr>
              <w:widowControl/>
              <w:spacing w:line="240" w:lineRule="auto"/>
              <w:ind w:firstLine="0" w:firstLineChars="0"/>
              <w:jc w:val="center"/>
              <w:rPr>
                <w:color w:val="auto"/>
                <w:sz w:val="21"/>
                <w:szCs w:val="21"/>
              </w:rPr>
            </w:pPr>
          </w:p>
        </w:tc>
        <w:tc>
          <w:tcPr>
            <w:tcW w:w="4625" w:type="dxa"/>
            <w:tcBorders>
              <w:tl2br w:val="nil"/>
              <w:tr2bl w:val="nil"/>
            </w:tcBorders>
            <w:shd w:val="clear" w:color="auto" w:fill="auto"/>
            <w:noWrap/>
            <w:vAlign w:val="center"/>
          </w:tcPr>
          <w:p w14:paraId="7872A90C">
            <w:pPr>
              <w:widowControl/>
              <w:spacing w:line="240" w:lineRule="auto"/>
              <w:ind w:firstLine="0" w:firstLineChars="0"/>
              <w:jc w:val="center"/>
              <w:rPr>
                <w:color w:val="auto"/>
                <w:sz w:val="21"/>
                <w:szCs w:val="21"/>
              </w:rPr>
            </w:pPr>
            <w:r>
              <w:rPr>
                <w:color w:val="auto"/>
                <w:sz w:val="21"/>
                <w:szCs w:val="21"/>
                <w:lang w:bidi="ar"/>
              </w:rPr>
              <w:t>装卸软管全管径泄漏</w:t>
            </w:r>
          </w:p>
        </w:tc>
        <w:tc>
          <w:tcPr>
            <w:tcW w:w="2084" w:type="dxa"/>
            <w:tcBorders>
              <w:tl2br w:val="nil"/>
              <w:tr2bl w:val="nil"/>
            </w:tcBorders>
            <w:shd w:val="clear" w:color="auto" w:fill="auto"/>
            <w:noWrap/>
            <w:vAlign w:val="center"/>
          </w:tcPr>
          <w:p w14:paraId="61CC1A1B">
            <w:pPr>
              <w:widowControl/>
              <w:spacing w:line="240" w:lineRule="auto"/>
              <w:ind w:firstLine="0" w:firstLineChars="0"/>
              <w:jc w:val="center"/>
              <w:rPr>
                <w:color w:val="auto"/>
                <w:sz w:val="21"/>
                <w:szCs w:val="21"/>
              </w:rPr>
            </w:pPr>
            <w:r>
              <w:rPr>
                <w:color w:val="auto"/>
                <w:sz w:val="21"/>
                <w:szCs w:val="21"/>
                <w:lang w:bidi="ar"/>
              </w:rPr>
              <w:t>4.00×10</w:t>
            </w:r>
            <w:r>
              <w:rPr>
                <w:color w:val="auto"/>
                <w:sz w:val="21"/>
                <w:szCs w:val="21"/>
                <w:vertAlign w:val="superscript"/>
                <w:lang w:bidi="ar"/>
              </w:rPr>
              <w:t>-6</w:t>
            </w:r>
            <w:r>
              <w:rPr>
                <w:color w:val="auto"/>
                <w:sz w:val="21"/>
                <w:szCs w:val="21"/>
                <w:lang w:bidi="ar"/>
              </w:rPr>
              <w:t>/h</w:t>
            </w:r>
          </w:p>
        </w:tc>
      </w:tr>
    </w:tbl>
    <w:p w14:paraId="561D0EE6">
      <w:pPr>
        <w:widowControl/>
        <w:tabs>
          <w:tab w:val="left" w:pos="615"/>
        </w:tabs>
        <w:ind w:firstLine="482"/>
        <w:rPr>
          <w:b/>
          <w:bCs/>
          <w:color w:val="auto"/>
        </w:rPr>
      </w:pPr>
      <w:r>
        <w:rPr>
          <w:rFonts w:hint="eastAsia"/>
          <w:b/>
          <w:bCs/>
          <w:color w:val="auto"/>
          <w:lang w:bidi="ar"/>
        </w:rPr>
        <w:t>（2）</w:t>
      </w:r>
      <w:r>
        <w:rPr>
          <w:b/>
          <w:bCs/>
          <w:color w:val="auto"/>
          <w:lang w:bidi="ar"/>
        </w:rPr>
        <w:t>火灾爆炸事故</w:t>
      </w:r>
    </w:p>
    <w:p w14:paraId="33D177E1">
      <w:pPr>
        <w:ind w:firstLine="480"/>
        <w:textAlignment w:val="baseline"/>
        <w:rPr>
          <w:color w:val="auto"/>
          <w:kern w:val="0"/>
        </w:rPr>
      </w:pPr>
      <w:r>
        <w:rPr>
          <w:color w:val="auto"/>
          <w:kern w:val="0"/>
          <w:lang w:bidi="ar"/>
        </w:rPr>
        <w:t>根据国内同行业事故统计分析及典型事故案例资料，统计分析火灾爆炸事故风险产生的原因，作为</w:t>
      </w:r>
      <w:r>
        <w:rPr>
          <w:color w:val="auto"/>
          <w:lang w:bidi="ar"/>
        </w:rPr>
        <w:t>拟建</w:t>
      </w:r>
      <w:r>
        <w:rPr>
          <w:color w:val="auto"/>
          <w:kern w:val="0"/>
          <w:lang w:bidi="ar"/>
        </w:rPr>
        <w:t>项目环境风险分析的重要依据，见表</w:t>
      </w:r>
      <w:r>
        <w:rPr>
          <w:rFonts w:hint="eastAsia"/>
          <w:color w:val="auto"/>
          <w:kern w:val="0"/>
          <w:lang w:bidi="ar"/>
        </w:rPr>
        <w:t>6.2.8</w:t>
      </w:r>
      <w:r>
        <w:rPr>
          <w:color w:val="auto"/>
          <w:kern w:val="0"/>
          <w:lang w:bidi="ar"/>
        </w:rPr>
        <w:t>-2。</w:t>
      </w:r>
    </w:p>
    <w:p w14:paraId="05F0C2EA">
      <w:pPr>
        <w:spacing w:line="240" w:lineRule="auto"/>
        <w:ind w:firstLine="0" w:firstLineChars="0"/>
        <w:jc w:val="center"/>
        <w:rPr>
          <w:b/>
          <w:color w:val="auto"/>
        </w:rPr>
      </w:pPr>
      <w:r>
        <w:rPr>
          <w:b/>
          <w:color w:val="auto"/>
          <w:lang w:bidi="ar"/>
        </w:rPr>
        <w:t>表</w:t>
      </w:r>
      <w:r>
        <w:rPr>
          <w:rFonts w:hint="eastAsia"/>
          <w:b/>
          <w:color w:val="auto"/>
          <w:lang w:bidi="ar"/>
        </w:rPr>
        <w:t>6.2.8</w:t>
      </w:r>
      <w:r>
        <w:rPr>
          <w:b/>
          <w:color w:val="auto"/>
          <w:lang w:bidi="ar"/>
        </w:rPr>
        <w:t>-2  国内同类事故原因分析</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58"/>
        <w:gridCol w:w="4927"/>
      </w:tblGrid>
      <w:tr w14:paraId="783C7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2318" w:type="pct"/>
            <w:tcBorders>
              <w:tl2br w:val="nil"/>
              <w:tr2bl w:val="nil"/>
            </w:tcBorders>
            <w:shd w:val="clear" w:color="auto" w:fill="auto"/>
          </w:tcPr>
          <w:p w14:paraId="00724C20">
            <w:pPr>
              <w:autoSpaceDE w:val="0"/>
              <w:autoSpaceDN w:val="0"/>
              <w:spacing w:line="240" w:lineRule="auto"/>
              <w:ind w:firstLine="0" w:firstLineChars="0"/>
              <w:jc w:val="center"/>
              <w:rPr>
                <w:b/>
                <w:color w:val="auto"/>
                <w:kern w:val="0"/>
                <w:sz w:val="21"/>
                <w:szCs w:val="21"/>
              </w:rPr>
            </w:pPr>
            <w:r>
              <w:rPr>
                <w:b/>
                <w:color w:val="auto"/>
                <w:kern w:val="0"/>
                <w:sz w:val="21"/>
                <w:szCs w:val="21"/>
                <w:lang w:bidi="ar"/>
              </w:rPr>
              <w:t>事故原因</w:t>
            </w:r>
          </w:p>
        </w:tc>
        <w:tc>
          <w:tcPr>
            <w:tcW w:w="2682" w:type="pct"/>
            <w:tcBorders>
              <w:tl2br w:val="nil"/>
              <w:tr2bl w:val="nil"/>
            </w:tcBorders>
            <w:shd w:val="clear" w:color="auto" w:fill="auto"/>
          </w:tcPr>
          <w:p w14:paraId="3BDF152F">
            <w:pPr>
              <w:autoSpaceDE w:val="0"/>
              <w:autoSpaceDN w:val="0"/>
              <w:spacing w:line="240" w:lineRule="auto"/>
              <w:ind w:firstLine="0" w:firstLineChars="0"/>
              <w:jc w:val="center"/>
              <w:rPr>
                <w:b/>
                <w:color w:val="auto"/>
                <w:kern w:val="0"/>
                <w:sz w:val="21"/>
                <w:szCs w:val="21"/>
              </w:rPr>
            </w:pPr>
            <w:r>
              <w:rPr>
                <w:b/>
                <w:color w:val="auto"/>
                <w:kern w:val="0"/>
                <w:sz w:val="21"/>
                <w:szCs w:val="21"/>
                <w:lang w:bidi="ar"/>
              </w:rPr>
              <w:t>所占百分比</w:t>
            </w:r>
            <w:r>
              <w:rPr>
                <w:rFonts w:hint="eastAsia"/>
                <w:b/>
                <w:color w:val="auto"/>
                <w:kern w:val="0"/>
                <w:sz w:val="21"/>
                <w:szCs w:val="21"/>
                <w:lang w:bidi="ar"/>
              </w:rPr>
              <w:t>（</w:t>
            </w:r>
            <w:r>
              <w:rPr>
                <w:b/>
                <w:color w:val="auto"/>
                <w:kern w:val="0"/>
                <w:sz w:val="21"/>
                <w:szCs w:val="21"/>
                <w:lang w:bidi="ar"/>
              </w:rPr>
              <w:t>％</w:t>
            </w:r>
            <w:r>
              <w:rPr>
                <w:rFonts w:hint="eastAsia"/>
                <w:b/>
                <w:color w:val="auto"/>
                <w:kern w:val="0"/>
                <w:sz w:val="21"/>
                <w:szCs w:val="21"/>
                <w:lang w:bidi="ar"/>
              </w:rPr>
              <w:t>）</w:t>
            </w:r>
          </w:p>
        </w:tc>
      </w:tr>
      <w:tr w14:paraId="02169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18" w:type="pct"/>
            <w:tcBorders>
              <w:tl2br w:val="nil"/>
              <w:tr2bl w:val="nil"/>
            </w:tcBorders>
            <w:shd w:val="clear" w:color="auto" w:fill="auto"/>
          </w:tcPr>
          <w:p w14:paraId="41AE6464">
            <w:pPr>
              <w:autoSpaceDE w:val="0"/>
              <w:autoSpaceDN w:val="0"/>
              <w:spacing w:line="240" w:lineRule="auto"/>
              <w:ind w:firstLine="0" w:firstLineChars="0"/>
              <w:jc w:val="center"/>
              <w:rPr>
                <w:color w:val="auto"/>
                <w:kern w:val="0"/>
                <w:sz w:val="21"/>
                <w:szCs w:val="21"/>
              </w:rPr>
            </w:pPr>
            <w:r>
              <w:rPr>
                <w:color w:val="auto"/>
                <w:kern w:val="0"/>
                <w:sz w:val="21"/>
                <w:szCs w:val="21"/>
                <w:lang w:bidi="ar"/>
              </w:rPr>
              <w:t>储存区、管道和设备破损</w:t>
            </w:r>
          </w:p>
        </w:tc>
        <w:tc>
          <w:tcPr>
            <w:tcW w:w="2682" w:type="pct"/>
            <w:tcBorders>
              <w:tl2br w:val="nil"/>
              <w:tr2bl w:val="nil"/>
            </w:tcBorders>
            <w:shd w:val="clear" w:color="auto" w:fill="auto"/>
          </w:tcPr>
          <w:p w14:paraId="5A4E1F60">
            <w:pPr>
              <w:spacing w:line="240" w:lineRule="auto"/>
              <w:ind w:firstLine="0" w:firstLineChars="0"/>
              <w:jc w:val="center"/>
              <w:rPr>
                <w:color w:val="auto"/>
                <w:kern w:val="0"/>
                <w:sz w:val="21"/>
                <w:szCs w:val="21"/>
              </w:rPr>
            </w:pPr>
            <w:r>
              <w:rPr>
                <w:color w:val="auto"/>
                <w:kern w:val="0"/>
                <w:sz w:val="21"/>
                <w:szCs w:val="21"/>
                <w:lang w:bidi="ar"/>
              </w:rPr>
              <w:t>52</w:t>
            </w:r>
          </w:p>
        </w:tc>
      </w:tr>
      <w:tr w14:paraId="7582F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18" w:type="pct"/>
            <w:tcBorders>
              <w:tl2br w:val="nil"/>
              <w:tr2bl w:val="nil"/>
            </w:tcBorders>
            <w:shd w:val="clear" w:color="auto" w:fill="auto"/>
          </w:tcPr>
          <w:p w14:paraId="37CED762">
            <w:pPr>
              <w:autoSpaceDE w:val="0"/>
              <w:autoSpaceDN w:val="0"/>
              <w:spacing w:line="240" w:lineRule="auto"/>
              <w:ind w:firstLine="0" w:firstLineChars="0"/>
              <w:jc w:val="center"/>
              <w:rPr>
                <w:color w:val="auto"/>
                <w:kern w:val="0"/>
                <w:sz w:val="21"/>
                <w:szCs w:val="21"/>
              </w:rPr>
            </w:pPr>
            <w:r>
              <w:rPr>
                <w:color w:val="auto"/>
                <w:kern w:val="0"/>
                <w:sz w:val="21"/>
                <w:szCs w:val="21"/>
                <w:lang w:bidi="ar"/>
              </w:rPr>
              <w:t>操作失误</w:t>
            </w:r>
          </w:p>
        </w:tc>
        <w:tc>
          <w:tcPr>
            <w:tcW w:w="2682" w:type="pct"/>
            <w:tcBorders>
              <w:tl2br w:val="nil"/>
              <w:tr2bl w:val="nil"/>
            </w:tcBorders>
            <w:shd w:val="clear" w:color="auto" w:fill="auto"/>
          </w:tcPr>
          <w:p w14:paraId="1529893F">
            <w:pPr>
              <w:spacing w:line="240" w:lineRule="auto"/>
              <w:ind w:firstLine="0" w:firstLineChars="0"/>
              <w:jc w:val="center"/>
              <w:rPr>
                <w:color w:val="auto"/>
                <w:kern w:val="0"/>
                <w:sz w:val="21"/>
                <w:szCs w:val="21"/>
              </w:rPr>
            </w:pPr>
            <w:r>
              <w:rPr>
                <w:color w:val="auto"/>
                <w:kern w:val="0"/>
                <w:sz w:val="21"/>
                <w:szCs w:val="21"/>
                <w:lang w:bidi="ar"/>
              </w:rPr>
              <w:t>11</w:t>
            </w:r>
          </w:p>
        </w:tc>
      </w:tr>
      <w:tr w14:paraId="1592B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18" w:type="pct"/>
            <w:tcBorders>
              <w:tl2br w:val="nil"/>
              <w:tr2bl w:val="nil"/>
            </w:tcBorders>
            <w:shd w:val="clear" w:color="auto" w:fill="auto"/>
          </w:tcPr>
          <w:p w14:paraId="3CD76895">
            <w:pPr>
              <w:autoSpaceDE w:val="0"/>
              <w:autoSpaceDN w:val="0"/>
              <w:spacing w:line="240" w:lineRule="auto"/>
              <w:ind w:firstLine="0" w:firstLineChars="0"/>
              <w:jc w:val="center"/>
              <w:rPr>
                <w:color w:val="auto"/>
                <w:kern w:val="0"/>
                <w:sz w:val="21"/>
                <w:szCs w:val="21"/>
              </w:rPr>
            </w:pPr>
            <w:r>
              <w:rPr>
                <w:color w:val="auto"/>
                <w:kern w:val="0"/>
                <w:sz w:val="21"/>
                <w:szCs w:val="21"/>
                <w:lang w:bidi="ar"/>
              </w:rPr>
              <w:t>违反检修规程</w:t>
            </w:r>
          </w:p>
        </w:tc>
        <w:tc>
          <w:tcPr>
            <w:tcW w:w="2682" w:type="pct"/>
            <w:tcBorders>
              <w:tl2br w:val="nil"/>
              <w:tr2bl w:val="nil"/>
            </w:tcBorders>
            <w:shd w:val="clear" w:color="auto" w:fill="auto"/>
          </w:tcPr>
          <w:p w14:paraId="2ED3FCB6">
            <w:pPr>
              <w:spacing w:line="240" w:lineRule="auto"/>
              <w:ind w:firstLine="0" w:firstLineChars="0"/>
              <w:jc w:val="center"/>
              <w:rPr>
                <w:color w:val="auto"/>
                <w:kern w:val="0"/>
                <w:sz w:val="21"/>
                <w:szCs w:val="21"/>
              </w:rPr>
            </w:pPr>
            <w:r>
              <w:rPr>
                <w:color w:val="auto"/>
                <w:kern w:val="0"/>
                <w:sz w:val="21"/>
                <w:szCs w:val="21"/>
                <w:lang w:bidi="ar"/>
              </w:rPr>
              <w:t>10</w:t>
            </w:r>
          </w:p>
        </w:tc>
      </w:tr>
      <w:tr w14:paraId="72E29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18" w:type="pct"/>
            <w:tcBorders>
              <w:tl2br w:val="nil"/>
              <w:tr2bl w:val="nil"/>
            </w:tcBorders>
            <w:shd w:val="clear" w:color="auto" w:fill="auto"/>
          </w:tcPr>
          <w:p w14:paraId="37A1FEC1">
            <w:pPr>
              <w:autoSpaceDE w:val="0"/>
              <w:autoSpaceDN w:val="0"/>
              <w:spacing w:line="240" w:lineRule="auto"/>
              <w:ind w:firstLine="0" w:firstLineChars="0"/>
              <w:jc w:val="center"/>
              <w:rPr>
                <w:color w:val="auto"/>
                <w:kern w:val="0"/>
                <w:sz w:val="21"/>
                <w:szCs w:val="21"/>
              </w:rPr>
            </w:pPr>
            <w:r>
              <w:rPr>
                <w:color w:val="auto"/>
                <w:kern w:val="0"/>
                <w:sz w:val="21"/>
                <w:szCs w:val="21"/>
                <w:lang w:bidi="ar"/>
              </w:rPr>
              <w:t>处理系统故障</w:t>
            </w:r>
          </w:p>
        </w:tc>
        <w:tc>
          <w:tcPr>
            <w:tcW w:w="2682" w:type="pct"/>
            <w:tcBorders>
              <w:tl2br w:val="nil"/>
              <w:tr2bl w:val="nil"/>
            </w:tcBorders>
            <w:shd w:val="clear" w:color="auto" w:fill="auto"/>
          </w:tcPr>
          <w:p w14:paraId="5CB6FBB1">
            <w:pPr>
              <w:spacing w:line="240" w:lineRule="auto"/>
              <w:ind w:firstLine="0" w:firstLineChars="0"/>
              <w:jc w:val="center"/>
              <w:rPr>
                <w:color w:val="auto"/>
                <w:kern w:val="0"/>
                <w:sz w:val="21"/>
                <w:szCs w:val="21"/>
              </w:rPr>
            </w:pPr>
            <w:r>
              <w:rPr>
                <w:color w:val="auto"/>
                <w:kern w:val="0"/>
                <w:sz w:val="21"/>
                <w:szCs w:val="21"/>
                <w:lang w:bidi="ar"/>
              </w:rPr>
              <w:t>15</w:t>
            </w:r>
          </w:p>
        </w:tc>
      </w:tr>
      <w:tr w14:paraId="31BDA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18" w:type="pct"/>
            <w:tcBorders>
              <w:tl2br w:val="nil"/>
              <w:tr2bl w:val="nil"/>
            </w:tcBorders>
            <w:shd w:val="clear" w:color="auto" w:fill="auto"/>
          </w:tcPr>
          <w:p w14:paraId="7ABC512D">
            <w:pPr>
              <w:autoSpaceDE w:val="0"/>
              <w:autoSpaceDN w:val="0"/>
              <w:spacing w:line="240" w:lineRule="auto"/>
              <w:ind w:firstLine="0" w:firstLineChars="0"/>
              <w:jc w:val="center"/>
              <w:rPr>
                <w:color w:val="auto"/>
                <w:kern w:val="0"/>
                <w:sz w:val="21"/>
                <w:szCs w:val="21"/>
              </w:rPr>
            </w:pPr>
            <w:r>
              <w:rPr>
                <w:color w:val="auto"/>
                <w:kern w:val="0"/>
                <w:sz w:val="21"/>
                <w:szCs w:val="21"/>
                <w:lang w:bidi="ar"/>
              </w:rPr>
              <w:t>其它</w:t>
            </w:r>
          </w:p>
        </w:tc>
        <w:tc>
          <w:tcPr>
            <w:tcW w:w="2682" w:type="pct"/>
            <w:tcBorders>
              <w:tl2br w:val="nil"/>
              <w:tr2bl w:val="nil"/>
            </w:tcBorders>
            <w:shd w:val="clear" w:color="auto" w:fill="auto"/>
          </w:tcPr>
          <w:p w14:paraId="25831B5E">
            <w:pPr>
              <w:spacing w:line="240" w:lineRule="auto"/>
              <w:ind w:firstLine="0" w:firstLineChars="0"/>
              <w:jc w:val="center"/>
              <w:rPr>
                <w:color w:val="auto"/>
                <w:kern w:val="0"/>
                <w:sz w:val="21"/>
                <w:szCs w:val="21"/>
              </w:rPr>
            </w:pPr>
            <w:r>
              <w:rPr>
                <w:color w:val="auto"/>
                <w:kern w:val="0"/>
                <w:sz w:val="21"/>
                <w:szCs w:val="21"/>
                <w:lang w:bidi="ar"/>
              </w:rPr>
              <w:t>12</w:t>
            </w:r>
          </w:p>
        </w:tc>
      </w:tr>
    </w:tbl>
    <w:p w14:paraId="54C55F11">
      <w:pPr>
        <w:ind w:firstLine="480"/>
        <w:rPr>
          <w:color w:val="auto"/>
        </w:rPr>
      </w:pPr>
      <w:r>
        <w:rPr>
          <w:rFonts w:hint="eastAsia"/>
          <w:color w:val="auto"/>
        </w:rPr>
        <w:t>根据有关统计资料，生产装置发生爆炸的概率为</w:t>
      </w:r>
      <w:r>
        <w:rPr>
          <w:color w:val="auto"/>
        </w:rPr>
        <w:t>2.0×10</w:t>
      </w:r>
      <w:r>
        <w:rPr>
          <w:color w:val="auto"/>
          <w:vertAlign w:val="superscript"/>
        </w:rPr>
        <w:t>-7</w:t>
      </w:r>
      <w:r>
        <w:rPr>
          <w:rFonts w:hint="eastAsia"/>
          <w:color w:val="auto"/>
        </w:rPr>
        <w:t>，贮罐破裂爆炸的概率为</w:t>
      </w:r>
      <w:r>
        <w:rPr>
          <w:color w:val="auto"/>
        </w:rPr>
        <w:t>1.5×10</w:t>
      </w:r>
      <w:r>
        <w:rPr>
          <w:color w:val="auto"/>
          <w:vertAlign w:val="superscript"/>
        </w:rPr>
        <w:t>-7</w:t>
      </w:r>
      <w:r>
        <w:rPr>
          <w:rFonts w:hint="eastAsia"/>
          <w:color w:val="auto"/>
        </w:rPr>
        <w:t>。贮罐、装置发生破裂导致泄漏液体部分挥发形成蒸气云爆炸的概率低于</w:t>
      </w:r>
      <w:r>
        <w:rPr>
          <w:color w:val="auto"/>
        </w:rPr>
        <w:t>1.2×10</w:t>
      </w:r>
      <w:r>
        <w:rPr>
          <w:color w:val="auto"/>
          <w:vertAlign w:val="superscript"/>
        </w:rPr>
        <w:t>-6</w:t>
      </w:r>
      <w:r>
        <w:rPr>
          <w:rFonts w:hint="eastAsia"/>
          <w:color w:val="auto"/>
        </w:rPr>
        <w:t>。</w:t>
      </w:r>
    </w:p>
    <w:p w14:paraId="32DCFB73">
      <w:pPr>
        <w:ind w:firstLine="482"/>
        <w:rPr>
          <w:b/>
          <w:bCs/>
          <w:color w:val="auto"/>
        </w:rPr>
      </w:pPr>
      <w:r>
        <w:rPr>
          <w:rFonts w:hint="eastAsia"/>
          <w:b/>
          <w:bCs/>
          <w:color w:val="auto"/>
        </w:rPr>
        <w:t>2、最大可信事故设定</w:t>
      </w:r>
    </w:p>
    <w:p w14:paraId="62A7304F">
      <w:pPr>
        <w:ind w:firstLine="480"/>
        <w:rPr>
          <w:color w:val="auto"/>
        </w:rPr>
      </w:pPr>
      <w:r>
        <w:rPr>
          <w:rFonts w:hint="eastAsia"/>
          <w:color w:val="auto"/>
        </w:rPr>
        <w:t>对照以上风险识别和概率统计的数据进行汇总，拟建项目环境风险识别如表6.2.8</w:t>
      </w:r>
      <w:r>
        <w:rPr>
          <w:color w:val="auto"/>
        </w:rPr>
        <w:t>-3</w:t>
      </w:r>
      <w:r>
        <w:rPr>
          <w:rFonts w:hint="eastAsia"/>
          <w:color w:val="auto"/>
        </w:rPr>
        <w:t>。</w:t>
      </w:r>
    </w:p>
    <w:p w14:paraId="42F5361E">
      <w:pPr>
        <w:widowControl/>
        <w:spacing w:line="240" w:lineRule="auto"/>
        <w:ind w:firstLine="0" w:firstLineChars="0"/>
        <w:jc w:val="center"/>
        <w:rPr>
          <w:b/>
          <w:color w:val="auto"/>
          <w:kern w:val="0"/>
          <w:lang w:bidi="ar"/>
        </w:rPr>
      </w:pPr>
      <w:r>
        <w:rPr>
          <w:b/>
          <w:color w:val="auto"/>
          <w:kern w:val="0"/>
          <w:lang w:bidi="ar"/>
        </w:rPr>
        <w:t>表6.2.8-3  拟建项目环境风险识别表</w:t>
      </w:r>
    </w:p>
    <w:tbl>
      <w:tblPr>
        <w:tblStyle w:val="8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90"/>
        <w:gridCol w:w="647"/>
        <w:gridCol w:w="1004"/>
        <w:gridCol w:w="1344"/>
        <w:gridCol w:w="1325"/>
        <w:gridCol w:w="1701"/>
        <w:gridCol w:w="1244"/>
        <w:gridCol w:w="1680"/>
      </w:tblGrid>
      <w:tr w14:paraId="381B9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tblHeader/>
          <w:jc w:val="center"/>
        </w:trPr>
        <w:tc>
          <w:tcPr>
            <w:tcW w:w="157" w:type="pct"/>
            <w:tcBorders>
              <w:left w:val="nil"/>
              <w:bottom w:val="single" w:color="auto" w:sz="4" w:space="0"/>
              <w:right w:val="single" w:color="auto" w:sz="4" w:space="0"/>
            </w:tcBorders>
            <w:tcMar>
              <w:top w:w="0" w:type="dxa"/>
              <w:left w:w="28" w:type="dxa"/>
              <w:bottom w:w="0" w:type="dxa"/>
              <w:right w:w="28" w:type="dxa"/>
            </w:tcMar>
            <w:vAlign w:val="center"/>
          </w:tcPr>
          <w:p w14:paraId="5429FA8F">
            <w:pPr>
              <w:spacing w:line="240" w:lineRule="auto"/>
              <w:ind w:firstLine="0" w:firstLineChars="0"/>
              <w:jc w:val="center"/>
              <w:rPr>
                <w:b/>
                <w:bCs/>
                <w:color w:val="auto"/>
                <w:sz w:val="21"/>
                <w:szCs w:val="18"/>
              </w:rPr>
            </w:pPr>
            <w:r>
              <w:rPr>
                <w:b/>
                <w:bCs/>
                <w:color w:val="auto"/>
                <w:sz w:val="21"/>
                <w:szCs w:val="18"/>
              </w:rPr>
              <w:t>序号</w:t>
            </w:r>
          </w:p>
        </w:tc>
        <w:tc>
          <w:tcPr>
            <w:tcW w:w="350" w:type="pct"/>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697E1BBC">
            <w:pPr>
              <w:spacing w:line="240" w:lineRule="auto"/>
              <w:ind w:firstLine="0" w:firstLineChars="0"/>
              <w:jc w:val="center"/>
              <w:rPr>
                <w:b/>
                <w:bCs/>
                <w:color w:val="auto"/>
                <w:sz w:val="21"/>
                <w:szCs w:val="18"/>
              </w:rPr>
            </w:pPr>
            <w:r>
              <w:rPr>
                <w:b/>
                <w:bCs/>
                <w:color w:val="auto"/>
                <w:sz w:val="21"/>
                <w:szCs w:val="18"/>
              </w:rPr>
              <w:t>风险类型</w:t>
            </w:r>
          </w:p>
        </w:tc>
        <w:tc>
          <w:tcPr>
            <w:tcW w:w="543" w:type="pct"/>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25FAE8B2">
            <w:pPr>
              <w:spacing w:line="240" w:lineRule="auto"/>
              <w:ind w:firstLine="0" w:firstLineChars="0"/>
              <w:jc w:val="center"/>
              <w:rPr>
                <w:b/>
                <w:bCs/>
                <w:color w:val="auto"/>
                <w:sz w:val="21"/>
                <w:szCs w:val="18"/>
              </w:rPr>
            </w:pPr>
            <w:r>
              <w:rPr>
                <w:b/>
                <w:bCs/>
                <w:color w:val="auto"/>
                <w:sz w:val="21"/>
                <w:szCs w:val="18"/>
              </w:rPr>
              <w:t>主要危险部位</w:t>
            </w:r>
          </w:p>
        </w:tc>
        <w:tc>
          <w:tcPr>
            <w:tcW w:w="727" w:type="pct"/>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25BDAFA2">
            <w:pPr>
              <w:spacing w:line="240" w:lineRule="auto"/>
              <w:ind w:firstLine="0" w:firstLineChars="0"/>
              <w:jc w:val="center"/>
              <w:rPr>
                <w:b/>
                <w:bCs/>
                <w:color w:val="auto"/>
                <w:sz w:val="21"/>
                <w:szCs w:val="18"/>
              </w:rPr>
            </w:pPr>
            <w:r>
              <w:rPr>
                <w:b/>
                <w:bCs/>
                <w:color w:val="auto"/>
                <w:sz w:val="21"/>
                <w:szCs w:val="18"/>
              </w:rPr>
              <w:t>主要危险物质</w:t>
            </w:r>
          </w:p>
        </w:tc>
        <w:tc>
          <w:tcPr>
            <w:tcW w:w="717" w:type="pct"/>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7907B1D0">
            <w:pPr>
              <w:spacing w:line="240" w:lineRule="auto"/>
              <w:ind w:firstLine="0" w:firstLineChars="0"/>
              <w:jc w:val="center"/>
              <w:rPr>
                <w:b/>
                <w:bCs/>
                <w:color w:val="auto"/>
                <w:sz w:val="21"/>
                <w:szCs w:val="18"/>
              </w:rPr>
            </w:pPr>
            <w:r>
              <w:rPr>
                <w:b/>
                <w:bCs/>
                <w:color w:val="auto"/>
                <w:sz w:val="21"/>
                <w:szCs w:val="18"/>
              </w:rPr>
              <w:t>事故类型</w:t>
            </w:r>
          </w:p>
        </w:tc>
        <w:tc>
          <w:tcPr>
            <w:tcW w:w="920" w:type="pct"/>
            <w:tcBorders>
              <w:left w:val="single" w:color="auto" w:sz="4" w:space="0"/>
              <w:bottom w:val="single" w:color="auto" w:sz="4" w:space="0"/>
              <w:right w:val="nil"/>
            </w:tcBorders>
            <w:tcMar>
              <w:top w:w="0" w:type="dxa"/>
              <w:left w:w="28" w:type="dxa"/>
              <w:bottom w:w="0" w:type="dxa"/>
              <w:right w:w="28" w:type="dxa"/>
            </w:tcMar>
            <w:vAlign w:val="center"/>
          </w:tcPr>
          <w:p w14:paraId="373D8235">
            <w:pPr>
              <w:spacing w:line="240" w:lineRule="auto"/>
              <w:ind w:firstLine="0" w:firstLineChars="0"/>
              <w:jc w:val="center"/>
              <w:rPr>
                <w:b/>
                <w:bCs/>
                <w:color w:val="auto"/>
                <w:sz w:val="21"/>
                <w:szCs w:val="18"/>
              </w:rPr>
            </w:pPr>
            <w:r>
              <w:rPr>
                <w:b/>
                <w:bCs/>
                <w:color w:val="auto"/>
                <w:sz w:val="21"/>
                <w:szCs w:val="18"/>
              </w:rPr>
              <w:t>原因</w:t>
            </w:r>
          </w:p>
        </w:tc>
        <w:tc>
          <w:tcPr>
            <w:tcW w:w="673" w:type="pct"/>
            <w:tcBorders>
              <w:left w:val="single" w:color="auto" w:sz="4" w:space="0"/>
              <w:bottom w:val="single" w:color="auto" w:sz="4" w:space="0"/>
              <w:right w:val="nil"/>
            </w:tcBorders>
            <w:tcMar>
              <w:top w:w="0" w:type="dxa"/>
              <w:left w:w="28" w:type="dxa"/>
              <w:bottom w:w="0" w:type="dxa"/>
              <w:right w:w="28" w:type="dxa"/>
            </w:tcMar>
            <w:vAlign w:val="center"/>
          </w:tcPr>
          <w:p w14:paraId="4DB8F8A8">
            <w:pPr>
              <w:spacing w:line="240" w:lineRule="auto"/>
              <w:ind w:firstLine="0" w:firstLineChars="0"/>
              <w:jc w:val="center"/>
              <w:rPr>
                <w:b/>
                <w:bCs/>
                <w:color w:val="auto"/>
                <w:sz w:val="21"/>
                <w:szCs w:val="18"/>
              </w:rPr>
            </w:pPr>
            <w:r>
              <w:rPr>
                <w:b/>
                <w:bCs/>
                <w:color w:val="auto"/>
                <w:spacing w:val="-4"/>
                <w:sz w:val="21"/>
                <w:szCs w:val="21"/>
                <w:lang w:bidi="ar"/>
              </w:rPr>
              <w:t>发生概率</w:t>
            </w:r>
          </w:p>
        </w:tc>
        <w:tc>
          <w:tcPr>
            <w:tcW w:w="909" w:type="pct"/>
            <w:tcBorders>
              <w:left w:val="single" w:color="auto" w:sz="4" w:space="0"/>
              <w:bottom w:val="single" w:color="auto" w:sz="4" w:space="0"/>
              <w:right w:val="nil"/>
            </w:tcBorders>
            <w:tcMar>
              <w:top w:w="0" w:type="dxa"/>
              <w:left w:w="28" w:type="dxa"/>
              <w:bottom w:w="0" w:type="dxa"/>
              <w:right w:w="28" w:type="dxa"/>
            </w:tcMar>
            <w:vAlign w:val="center"/>
          </w:tcPr>
          <w:p w14:paraId="4C2810DC">
            <w:pPr>
              <w:spacing w:line="240" w:lineRule="auto"/>
              <w:ind w:firstLine="0" w:firstLineChars="0"/>
              <w:jc w:val="center"/>
              <w:rPr>
                <w:b/>
                <w:bCs/>
                <w:color w:val="auto"/>
                <w:sz w:val="21"/>
                <w:szCs w:val="18"/>
              </w:rPr>
            </w:pPr>
            <w:r>
              <w:rPr>
                <w:b/>
                <w:bCs/>
                <w:color w:val="auto"/>
                <w:spacing w:val="-4"/>
                <w:sz w:val="21"/>
                <w:szCs w:val="21"/>
                <w:lang w:bidi="ar"/>
              </w:rPr>
              <w:t>是否预测</w:t>
            </w:r>
          </w:p>
        </w:tc>
      </w:tr>
      <w:tr w14:paraId="494B9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restart"/>
            <w:tcBorders>
              <w:top w:val="single" w:color="auto" w:sz="4" w:space="0"/>
              <w:left w:val="nil"/>
              <w:right w:val="single" w:color="auto" w:sz="4" w:space="0"/>
            </w:tcBorders>
            <w:tcMar>
              <w:top w:w="0" w:type="dxa"/>
              <w:left w:w="28" w:type="dxa"/>
              <w:bottom w:w="0" w:type="dxa"/>
              <w:right w:w="28" w:type="dxa"/>
            </w:tcMar>
            <w:vAlign w:val="center"/>
          </w:tcPr>
          <w:p w14:paraId="1611136A">
            <w:pPr>
              <w:spacing w:line="240" w:lineRule="auto"/>
              <w:ind w:firstLine="0" w:firstLineChars="0"/>
              <w:jc w:val="center"/>
              <w:rPr>
                <w:color w:val="auto"/>
                <w:sz w:val="21"/>
                <w:szCs w:val="18"/>
              </w:rPr>
            </w:pPr>
            <w:r>
              <w:rPr>
                <w:color w:val="auto"/>
                <w:sz w:val="21"/>
                <w:szCs w:val="18"/>
              </w:rPr>
              <w:t>1</w:t>
            </w:r>
          </w:p>
        </w:tc>
        <w:tc>
          <w:tcPr>
            <w:tcW w:w="350" w:type="pct"/>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2822780A">
            <w:pPr>
              <w:spacing w:line="240" w:lineRule="auto"/>
              <w:ind w:firstLine="0" w:firstLineChars="0"/>
              <w:jc w:val="center"/>
              <w:rPr>
                <w:color w:val="auto"/>
                <w:sz w:val="21"/>
                <w:szCs w:val="18"/>
              </w:rPr>
            </w:pPr>
            <w:r>
              <w:rPr>
                <w:color w:val="auto"/>
                <w:sz w:val="21"/>
                <w:szCs w:val="18"/>
              </w:rPr>
              <w:t>生产系统</w:t>
            </w: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D63E9C1">
            <w:pPr>
              <w:spacing w:line="240" w:lineRule="auto"/>
              <w:ind w:firstLine="0" w:firstLineChars="0"/>
              <w:jc w:val="center"/>
              <w:rPr>
                <w:color w:val="auto"/>
                <w:sz w:val="21"/>
                <w:szCs w:val="18"/>
              </w:rPr>
            </w:pPr>
            <w:r>
              <w:rPr>
                <w:rFonts w:hint="eastAsia"/>
                <w:color w:val="auto"/>
                <w:sz w:val="21"/>
                <w:szCs w:val="18"/>
              </w:rPr>
              <w:t>阳极氧化车间</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D0B6DF4">
            <w:pPr>
              <w:spacing w:line="240" w:lineRule="auto"/>
              <w:ind w:firstLine="0" w:firstLineChars="0"/>
              <w:jc w:val="center"/>
              <w:rPr>
                <w:color w:val="auto"/>
                <w:sz w:val="21"/>
                <w:szCs w:val="18"/>
              </w:rPr>
            </w:pPr>
            <w:r>
              <w:rPr>
                <w:color w:val="auto"/>
                <w:sz w:val="21"/>
                <w:szCs w:val="18"/>
              </w:rPr>
              <w:t>硫酸亚锡</w:t>
            </w:r>
            <w:r>
              <w:rPr>
                <w:rFonts w:hint="eastAsia"/>
                <w:color w:val="auto"/>
                <w:sz w:val="21"/>
                <w:szCs w:val="18"/>
              </w:rPr>
              <w:t>、碱蚀添加剂</w:t>
            </w:r>
            <w:r>
              <w:rPr>
                <w:color w:val="auto"/>
                <w:sz w:val="21"/>
                <w:szCs w:val="18"/>
              </w:rPr>
              <w:t>等</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A85DF25">
            <w:pPr>
              <w:spacing w:line="240" w:lineRule="auto"/>
              <w:ind w:firstLine="0" w:firstLineChars="0"/>
              <w:jc w:val="center"/>
              <w:rPr>
                <w:color w:val="auto"/>
                <w:sz w:val="21"/>
                <w:szCs w:val="18"/>
              </w:rPr>
            </w:pPr>
            <w:r>
              <w:rPr>
                <w:color w:val="auto"/>
                <w:sz w:val="21"/>
                <w:szCs w:val="18"/>
              </w:rPr>
              <w:t>泄漏引发毒性事故（挥发）</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CCE3614">
            <w:pPr>
              <w:spacing w:line="240" w:lineRule="auto"/>
              <w:ind w:firstLine="0" w:firstLineChars="0"/>
              <w:jc w:val="center"/>
              <w:rPr>
                <w:color w:val="auto"/>
                <w:sz w:val="21"/>
                <w:szCs w:val="18"/>
              </w:rPr>
            </w:pPr>
            <w:r>
              <w:rPr>
                <w:color w:val="auto"/>
                <w:sz w:val="21"/>
                <w:szCs w:val="18"/>
              </w:rPr>
              <w:t>人员操作不当、腐蚀、设备故障</w:t>
            </w:r>
          </w:p>
        </w:tc>
        <w:tc>
          <w:tcPr>
            <w:tcW w:w="673"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1DFD7A7B">
            <w:pPr>
              <w:spacing w:line="240" w:lineRule="auto"/>
              <w:ind w:firstLine="0" w:firstLineChars="0"/>
              <w:jc w:val="center"/>
              <w:rPr>
                <w:color w:val="auto"/>
                <w:spacing w:val="-4"/>
                <w:sz w:val="21"/>
                <w:szCs w:val="21"/>
              </w:rPr>
            </w:pPr>
            <w:r>
              <w:rPr>
                <w:rFonts w:hint="eastAsia"/>
                <w:color w:val="auto"/>
                <w:spacing w:val="-4"/>
                <w:sz w:val="21"/>
                <w:szCs w:val="21"/>
                <w:lang w:bidi="ar"/>
              </w:rPr>
              <w:t>5</w:t>
            </w:r>
            <w:r>
              <w:rPr>
                <w:color w:val="auto"/>
                <w:spacing w:val="-4"/>
                <w:sz w:val="21"/>
                <w:szCs w:val="21"/>
                <w:lang w:bidi="ar"/>
              </w:rPr>
              <w:t>×10</w:t>
            </w:r>
            <w:r>
              <w:rPr>
                <w:color w:val="auto"/>
                <w:spacing w:val="-4"/>
                <w:sz w:val="21"/>
                <w:szCs w:val="21"/>
                <w:vertAlign w:val="superscript"/>
                <w:lang w:bidi="ar"/>
              </w:rPr>
              <w:t>-</w:t>
            </w:r>
            <w:r>
              <w:rPr>
                <w:rFonts w:hint="eastAsia"/>
                <w:color w:val="auto"/>
                <w:spacing w:val="-4"/>
                <w:sz w:val="21"/>
                <w:szCs w:val="21"/>
                <w:vertAlign w:val="superscript"/>
                <w:lang w:bidi="ar"/>
              </w:rPr>
              <w:t>6</w:t>
            </w:r>
          </w:p>
        </w:tc>
        <w:tc>
          <w:tcPr>
            <w:tcW w:w="909"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205072AA">
            <w:pPr>
              <w:spacing w:line="240" w:lineRule="auto"/>
              <w:ind w:firstLine="0" w:firstLineChars="0"/>
              <w:jc w:val="center"/>
              <w:rPr>
                <w:b/>
                <w:bCs/>
                <w:color w:val="auto"/>
                <w:spacing w:val="-4"/>
                <w:sz w:val="21"/>
                <w:szCs w:val="21"/>
              </w:rPr>
            </w:pPr>
            <w:r>
              <w:rPr>
                <w:rFonts w:hint="eastAsia"/>
                <w:b/>
                <w:bCs/>
                <w:color w:val="auto"/>
                <w:spacing w:val="-4"/>
                <w:sz w:val="21"/>
                <w:szCs w:val="21"/>
              </w:rPr>
              <w:t>否</w:t>
            </w:r>
          </w:p>
        </w:tc>
      </w:tr>
      <w:tr w14:paraId="333AE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left w:val="nil"/>
              <w:bottom w:val="single" w:color="auto" w:sz="4" w:space="0"/>
              <w:right w:val="single" w:color="auto" w:sz="4" w:space="0"/>
            </w:tcBorders>
            <w:tcMar>
              <w:top w:w="0" w:type="dxa"/>
              <w:left w:w="28" w:type="dxa"/>
              <w:bottom w:w="0" w:type="dxa"/>
              <w:right w:w="28" w:type="dxa"/>
            </w:tcMar>
            <w:vAlign w:val="center"/>
          </w:tcPr>
          <w:p w14:paraId="74D8C040">
            <w:pPr>
              <w:spacing w:line="240" w:lineRule="auto"/>
              <w:ind w:firstLine="0" w:firstLineChars="0"/>
              <w:jc w:val="center"/>
              <w:rPr>
                <w:color w:val="auto"/>
                <w:sz w:val="21"/>
                <w:szCs w:val="18"/>
              </w:rPr>
            </w:pPr>
          </w:p>
        </w:tc>
        <w:tc>
          <w:tcPr>
            <w:tcW w:w="350" w:type="pct"/>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3A544459">
            <w:pPr>
              <w:spacing w:line="240" w:lineRule="auto"/>
              <w:ind w:firstLine="0" w:firstLineChars="0"/>
              <w:jc w:val="center"/>
              <w:rPr>
                <w:color w:val="auto"/>
                <w:sz w:val="21"/>
                <w:szCs w:val="18"/>
              </w:rPr>
            </w:pP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DCECFCA">
            <w:pPr>
              <w:spacing w:line="240" w:lineRule="auto"/>
              <w:ind w:firstLine="0" w:firstLineChars="0"/>
              <w:jc w:val="center"/>
              <w:rPr>
                <w:color w:val="auto"/>
                <w:sz w:val="21"/>
                <w:szCs w:val="18"/>
              </w:rPr>
            </w:pPr>
            <w:r>
              <w:rPr>
                <w:rFonts w:hint="eastAsia"/>
                <w:color w:val="auto"/>
                <w:sz w:val="21"/>
                <w:szCs w:val="18"/>
              </w:rPr>
              <w:t>模具氮化间</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20660D6">
            <w:pPr>
              <w:spacing w:line="240" w:lineRule="auto"/>
              <w:ind w:firstLine="0" w:firstLineChars="0"/>
              <w:jc w:val="center"/>
              <w:rPr>
                <w:color w:val="auto"/>
                <w:sz w:val="21"/>
                <w:szCs w:val="18"/>
              </w:rPr>
            </w:pPr>
            <w:r>
              <w:rPr>
                <w:rFonts w:hint="eastAsia"/>
                <w:color w:val="auto"/>
                <w:sz w:val="21"/>
                <w:szCs w:val="18"/>
              </w:rPr>
              <w:t>液氨</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9BDAD2A">
            <w:pPr>
              <w:spacing w:line="240" w:lineRule="auto"/>
              <w:ind w:firstLine="0" w:firstLineChars="0"/>
              <w:jc w:val="center"/>
              <w:rPr>
                <w:color w:val="auto"/>
                <w:sz w:val="21"/>
                <w:szCs w:val="18"/>
              </w:rPr>
            </w:pPr>
            <w:r>
              <w:rPr>
                <w:color w:val="auto"/>
                <w:sz w:val="21"/>
                <w:szCs w:val="18"/>
              </w:rPr>
              <w:t>火灾事故次生污染事故</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1CA8D94F">
            <w:pPr>
              <w:spacing w:line="240" w:lineRule="auto"/>
              <w:ind w:firstLine="0" w:firstLineChars="0"/>
              <w:jc w:val="center"/>
              <w:rPr>
                <w:color w:val="auto"/>
                <w:sz w:val="21"/>
                <w:szCs w:val="18"/>
              </w:rPr>
            </w:pPr>
            <w:r>
              <w:rPr>
                <w:color w:val="auto"/>
                <w:sz w:val="21"/>
                <w:szCs w:val="18"/>
              </w:rPr>
              <w:t>管理不规范；误操作、遇明火</w:t>
            </w:r>
          </w:p>
        </w:tc>
        <w:tc>
          <w:tcPr>
            <w:tcW w:w="673"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14A57641">
            <w:pPr>
              <w:spacing w:line="240" w:lineRule="auto"/>
              <w:ind w:firstLine="0" w:firstLineChars="0"/>
              <w:jc w:val="center"/>
              <w:rPr>
                <w:color w:val="auto"/>
                <w:sz w:val="21"/>
                <w:szCs w:val="18"/>
              </w:rPr>
            </w:pPr>
            <w:r>
              <w:rPr>
                <w:color w:val="auto"/>
                <w:spacing w:val="-4"/>
                <w:sz w:val="21"/>
                <w:szCs w:val="21"/>
                <w:lang w:bidi="ar"/>
              </w:rPr>
              <w:t>1×10</w:t>
            </w:r>
            <w:r>
              <w:rPr>
                <w:color w:val="auto"/>
                <w:spacing w:val="-4"/>
                <w:sz w:val="21"/>
                <w:szCs w:val="21"/>
                <w:vertAlign w:val="superscript"/>
                <w:lang w:bidi="ar"/>
              </w:rPr>
              <w:t>-</w:t>
            </w:r>
            <w:r>
              <w:rPr>
                <w:rFonts w:hint="eastAsia"/>
                <w:color w:val="auto"/>
                <w:spacing w:val="-4"/>
                <w:sz w:val="21"/>
                <w:szCs w:val="21"/>
                <w:vertAlign w:val="superscript"/>
                <w:lang w:bidi="ar"/>
              </w:rPr>
              <w:t>4</w:t>
            </w:r>
          </w:p>
        </w:tc>
        <w:tc>
          <w:tcPr>
            <w:tcW w:w="909"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AB66B30">
            <w:pPr>
              <w:spacing w:line="240" w:lineRule="auto"/>
              <w:ind w:firstLine="0" w:firstLineChars="0"/>
              <w:jc w:val="center"/>
              <w:rPr>
                <w:color w:val="auto"/>
                <w:sz w:val="21"/>
                <w:szCs w:val="18"/>
              </w:rPr>
            </w:pPr>
            <w:r>
              <w:rPr>
                <w:rFonts w:hint="eastAsia"/>
                <w:b/>
                <w:bCs/>
                <w:color w:val="auto"/>
                <w:sz w:val="21"/>
                <w:szCs w:val="18"/>
              </w:rPr>
              <w:t>是</w:t>
            </w:r>
          </w:p>
        </w:tc>
      </w:tr>
      <w:tr w14:paraId="3FBD0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restart"/>
            <w:tcBorders>
              <w:top w:val="single" w:color="auto" w:sz="4" w:space="0"/>
              <w:left w:val="nil"/>
              <w:right w:val="single" w:color="auto" w:sz="4" w:space="0"/>
            </w:tcBorders>
            <w:tcMar>
              <w:top w:w="0" w:type="dxa"/>
              <w:left w:w="28" w:type="dxa"/>
              <w:bottom w:w="0" w:type="dxa"/>
              <w:right w:w="28" w:type="dxa"/>
            </w:tcMar>
            <w:vAlign w:val="center"/>
          </w:tcPr>
          <w:p w14:paraId="75AABDEE">
            <w:pPr>
              <w:spacing w:line="240" w:lineRule="auto"/>
              <w:ind w:firstLine="0" w:firstLineChars="0"/>
              <w:jc w:val="center"/>
              <w:rPr>
                <w:color w:val="auto"/>
                <w:sz w:val="21"/>
                <w:szCs w:val="18"/>
              </w:rPr>
            </w:pPr>
            <w:r>
              <w:rPr>
                <w:color w:val="auto"/>
                <w:sz w:val="21"/>
                <w:szCs w:val="18"/>
              </w:rPr>
              <w:t>2</w:t>
            </w:r>
          </w:p>
        </w:tc>
        <w:tc>
          <w:tcPr>
            <w:tcW w:w="350" w:type="pct"/>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32453B17">
            <w:pPr>
              <w:spacing w:line="240" w:lineRule="auto"/>
              <w:ind w:firstLine="0" w:firstLineChars="0"/>
              <w:jc w:val="center"/>
              <w:rPr>
                <w:color w:val="auto"/>
                <w:sz w:val="21"/>
                <w:szCs w:val="18"/>
              </w:rPr>
            </w:pPr>
            <w:r>
              <w:rPr>
                <w:color w:val="auto"/>
                <w:sz w:val="21"/>
                <w:szCs w:val="18"/>
              </w:rPr>
              <w:t>贮存系统</w:t>
            </w: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4F89CED">
            <w:pPr>
              <w:spacing w:line="240" w:lineRule="auto"/>
              <w:ind w:firstLine="0" w:firstLineChars="0"/>
              <w:jc w:val="center"/>
              <w:rPr>
                <w:color w:val="auto"/>
                <w:sz w:val="21"/>
                <w:szCs w:val="18"/>
              </w:rPr>
            </w:pPr>
            <w:r>
              <w:rPr>
                <w:rFonts w:hint="eastAsia"/>
                <w:color w:val="auto"/>
                <w:sz w:val="21"/>
                <w:szCs w:val="18"/>
              </w:rPr>
              <w:t>化学品</w:t>
            </w:r>
            <w:r>
              <w:rPr>
                <w:color w:val="auto"/>
                <w:sz w:val="21"/>
                <w:szCs w:val="18"/>
              </w:rPr>
              <w:t>库</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0A8F315">
            <w:pPr>
              <w:spacing w:line="240" w:lineRule="auto"/>
              <w:ind w:firstLine="0" w:firstLineChars="0"/>
              <w:jc w:val="center"/>
              <w:rPr>
                <w:color w:val="auto"/>
                <w:sz w:val="21"/>
                <w:szCs w:val="18"/>
              </w:rPr>
            </w:pPr>
            <w:r>
              <w:rPr>
                <w:color w:val="auto"/>
                <w:sz w:val="21"/>
                <w:szCs w:val="18"/>
              </w:rPr>
              <w:t>硫酸亚锡</w:t>
            </w:r>
            <w:r>
              <w:rPr>
                <w:rFonts w:hint="eastAsia"/>
                <w:color w:val="auto"/>
                <w:sz w:val="21"/>
                <w:szCs w:val="18"/>
              </w:rPr>
              <w:t>、碱蚀添加剂和着色添加剂</w:t>
            </w:r>
            <w:r>
              <w:rPr>
                <w:color w:val="auto"/>
                <w:sz w:val="21"/>
                <w:szCs w:val="18"/>
              </w:rPr>
              <w:t>等</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C82554E">
            <w:pPr>
              <w:spacing w:line="240" w:lineRule="auto"/>
              <w:ind w:firstLine="0" w:firstLineChars="0"/>
              <w:jc w:val="center"/>
              <w:rPr>
                <w:color w:val="auto"/>
                <w:sz w:val="21"/>
                <w:szCs w:val="18"/>
              </w:rPr>
            </w:pPr>
            <w:r>
              <w:rPr>
                <w:color w:val="auto"/>
                <w:sz w:val="21"/>
                <w:szCs w:val="18"/>
              </w:rPr>
              <w:t>泄漏引发毒性事故（挥发）</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F0F61BC">
            <w:pPr>
              <w:spacing w:line="240" w:lineRule="auto"/>
              <w:ind w:firstLine="0" w:firstLineChars="0"/>
              <w:jc w:val="center"/>
              <w:rPr>
                <w:color w:val="auto"/>
                <w:sz w:val="21"/>
                <w:szCs w:val="18"/>
              </w:rPr>
            </w:pPr>
            <w:r>
              <w:rPr>
                <w:color w:val="auto"/>
                <w:sz w:val="21"/>
                <w:szCs w:val="18"/>
              </w:rPr>
              <w:t>人员操作不当、腐蚀、设备故障</w:t>
            </w:r>
          </w:p>
        </w:tc>
        <w:tc>
          <w:tcPr>
            <w:tcW w:w="673"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1C253F51">
            <w:pPr>
              <w:spacing w:line="240" w:lineRule="auto"/>
              <w:ind w:firstLine="0" w:firstLineChars="0"/>
              <w:jc w:val="center"/>
              <w:rPr>
                <w:color w:val="auto"/>
                <w:sz w:val="21"/>
                <w:szCs w:val="18"/>
              </w:rPr>
            </w:pPr>
            <w:r>
              <w:rPr>
                <w:color w:val="auto"/>
                <w:spacing w:val="-4"/>
                <w:sz w:val="21"/>
                <w:szCs w:val="21"/>
                <w:lang w:bidi="ar"/>
              </w:rPr>
              <w:t>1×10</w:t>
            </w:r>
            <w:r>
              <w:rPr>
                <w:color w:val="auto"/>
                <w:spacing w:val="-4"/>
                <w:sz w:val="21"/>
                <w:szCs w:val="21"/>
                <w:vertAlign w:val="superscript"/>
                <w:lang w:bidi="ar"/>
              </w:rPr>
              <w:t>-5</w:t>
            </w:r>
          </w:p>
        </w:tc>
        <w:tc>
          <w:tcPr>
            <w:tcW w:w="909"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5BFACDFB">
            <w:pPr>
              <w:spacing w:line="240" w:lineRule="auto"/>
              <w:ind w:firstLine="0" w:firstLineChars="0"/>
              <w:jc w:val="center"/>
              <w:rPr>
                <w:color w:val="auto"/>
                <w:sz w:val="21"/>
                <w:szCs w:val="18"/>
              </w:rPr>
            </w:pPr>
            <w:r>
              <w:rPr>
                <w:color w:val="auto"/>
                <w:spacing w:val="-4"/>
                <w:sz w:val="21"/>
                <w:szCs w:val="21"/>
                <w:lang w:bidi="ar"/>
              </w:rPr>
              <w:t>否</w:t>
            </w:r>
          </w:p>
        </w:tc>
      </w:tr>
      <w:tr w14:paraId="24254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left w:val="nil"/>
              <w:right w:val="single" w:color="auto" w:sz="4" w:space="0"/>
            </w:tcBorders>
            <w:tcMar>
              <w:top w:w="0" w:type="dxa"/>
              <w:left w:w="28" w:type="dxa"/>
              <w:bottom w:w="0" w:type="dxa"/>
              <w:right w:w="28" w:type="dxa"/>
            </w:tcMar>
            <w:vAlign w:val="center"/>
          </w:tcPr>
          <w:p w14:paraId="50FFE8F1">
            <w:pPr>
              <w:spacing w:line="240" w:lineRule="auto"/>
              <w:ind w:firstLine="0" w:firstLineChars="0"/>
              <w:jc w:val="center"/>
              <w:rPr>
                <w:color w:val="auto"/>
                <w:sz w:val="21"/>
                <w:szCs w:val="18"/>
              </w:rPr>
            </w:pPr>
          </w:p>
        </w:tc>
        <w:tc>
          <w:tcPr>
            <w:tcW w:w="350" w:type="pct"/>
            <w:vMerge w:val="continue"/>
            <w:tcBorders>
              <w:left w:val="single" w:color="auto" w:sz="4" w:space="0"/>
              <w:right w:val="single" w:color="auto" w:sz="4" w:space="0"/>
            </w:tcBorders>
            <w:tcMar>
              <w:top w:w="0" w:type="dxa"/>
              <w:left w:w="28" w:type="dxa"/>
              <w:bottom w:w="0" w:type="dxa"/>
              <w:right w:w="28" w:type="dxa"/>
            </w:tcMar>
            <w:vAlign w:val="center"/>
          </w:tcPr>
          <w:p w14:paraId="04984B75">
            <w:pPr>
              <w:spacing w:line="240" w:lineRule="auto"/>
              <w:ind w:firstLine="0" w:firstLineChars="0"/>
              <w:jc w:val="center"/>
              <w:rPr>
                <w:color w:val="auto"/>
                <w:sz w:val="21"/>
                <w:szCs w:val="18"/>
              </w:rPr>
            </w:pP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1937C2D">
            <w:pPr>
              <w:spacing w:line="240" w:lineRule="auto"/>
              <w:ind w:firstLine="0" w:firstLineChars="0"/>
              <w:jc w:val="center"/>
              <w:rPr>
                <w:color w:val="auto"/>
                <w:sz w:val="21"/>
                <w:szCs w:val="18"/>
              </w:rPr>
            </w:pPr>
            <w:r>
              <w:rPr>
                <w:rFonts w:hint="eastAsia"/>
                <w:color w:val="auto"/>
                <w:sz w:val="21"/>
                <w:szCs w:val="18"/>
              </w:rPr>
              <w:t>储罐区</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20FBEC9">
            <w:pPr>
              <w:spacing w:line="240" w:lineRule="auto"/>
              <w:ind w:firstLine="0" w:firstLineChars="0"/>
              <w:jc w:val="center"/>
              <w:rPr>
                <w:color w:val="auto"/>
                <w:sz w:val="21"/>
                <w:szCs w:val="18"/>
              </w:rPr>
            </w:pPr>
            <w:r>
              <w:rPr>
                <w:color w:val="auto"/>
                <w:sz w:val="21"/>
                <w:szCs w:val="18"/>
              </w:rPr>
              <w:t>硫酸</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1170932">
            <w:pPr>
              <w:spacing w:line="240" w:lineRule="auto"/>
              <w:ind w:firstLine="0" w:firstLineChars="0"/>
              <w:jc w:val="center"/>
              <w:rPr>
                <w:color w:val="auto"/>
                <w:sz w:val="21"/>
                <w:szCs w:val="18"/>
              </w:rPr>
            </w:pPr>
            <w:r>
              <w:rPr>
                <w:color w:val="auto"/>
                <w:sz w:val="21"/>
                <w:szCs w:val="18"/>
              </w:rPr>
              <w:t>泄漏引发毒性事故（挥发）</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BC8BDD2">
            <w:pPr>
              <w:spacing w:line="240" w:lineRule="auto"/>
              <w:ind w:firstLine="0" w:firstLineChars="0"/>
              <w:jc w:val="center"/>
              <w:rPr>
                <w:color w:val="auto"/>
                <w:sz w:val="21"/>
                <w:szCs w:val="18"/>
              </w:rPr>
            </w:pPr>
            <w:r>
              <w:rPr>
                <w:color w:val="auto"/>
                <w:sz w:val="21"/>
                <w:szCs w:val="18"/>
              </w:rPr>
              <w:t>人员操作不当、腐蚀、设备故障</w:t>
            </w:r>
          </w:p>
        </w:tc>
        <w:tc>
          <w:tcPr>
            <w:tcW w:w="673"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6F270863">
            <w:pPr>
              <w:spacing w:line="240" w:lineRule="auto"/>
              <w:ind w:firstLine="0" w:firstLineChars="0"/>
              <w:jc w:val="center"/>
              <w:rPr>
                <w:color w:val="auto"/>
                <w:spacing w:val="-4"/>
                <w:sz w:val="21"/>
                <w:szCs w:val="21"/>
              </w:rPr>
            </w:pPr>
            <w:r>
              <w:rPr>
                <w:color w:val="auto"/>
                <w:spacing w:val="-4"/>
                <w:sz w:val="21"/>
                <w:szCs w:val="21"/>
                <w:lang w:bidi="ar"/>
              </w:rPr>
              <w:t>1×10</w:t>
            </w:r>
            <w:r>
              <w:rPr>
                <w:color w:val="auto"/>
                <w:spacing w:val="-4"/>
                <w:sz w:val="21"/>
                <w:szCs w:val="21"/>
                <w:vertAlign w:val="superscript"/>
                <w:lang w:bidi="ar"/>
              </w:rPr>
              <w:t>-5</w:t>
            </w:r>
          </w:p>
        </w:tc>
        <w:tc>
          <w:tcPr>
            <w:tcW w:w="909"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4779BBC5">
            <w:pPr>
              <w:spacing w:line="240" w:lineRule="auto"/>
              <w:ind w:firstLine="0" w:firstLineChars="0"/>
              <w:jc w:val="center"/>
              <w:rPr>
                <w:b/>
                <w:bCs/>
                <w:color w:val="auto"/>
                <w:spacing w:val="-4"/>
                <w:sz w:val="21"/>
                <w:szCs w:val="21"/>
              </w:rPr>
            </w:pPr>
            <w:r>
              <w:rPr>
                <w:b/>
                <w:bCs/>
                <w:color w:val="auto"/>
                <w:spacing w:val="-4"/>
                <w:sz w:val="21"/>
                <w:szCs w:val="21"/>
                <w:lang w:bidi="ar"/>
              </w:rPr>
              <w:t>是</w:t>
            </w:r>
          </w:p>
        </w:tc>
      </w:tr>
      <w:tr w14:paraId="210DC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left w:val="nil"/>
              <w:right w:val="single" w:color="auto" w:sz="4" w:space="0"/>
            </w:tcBorders>
            <w:tcMar>
              <w:top w:w="0" w:type="dxa"/>
              <w:left w:w="28" w:type="dxa"/>
              <w:bottom w:w="0" w:type="dxa"/>
              <w:right w:w="28" w:type="dxa"/>
            </w:tcMar>
            <w:vAlign w:val="center"/>
          </w:tcPr>
          <w:p w14:paraId="461B3F01">
            <w:pPr>
              <w:spacing w:line="240" w:lineRule="auto"/>
              <w:ind w:firstLine="0" w:firstLineChars="0"/>
              <w:jc w:val="center"/>
              <w:rPr>
                <w:color w:val="auto"/>
                <w:sz w:val="21"/>
                <w:szCs w:val="18"/>
              </w:rPr>
            </w:pPr>
          </w:p>
        </w:tc>
        <w:tc>
          <w:tcPr>
            <w:tcW w:w="350" w:type="pct"/>
            <w:vMerge w:val="continue"/>
            <w:tcBorders>
              <w:left w:val="single" w:color="auto" w:sz="4" w:space="0"/>
              <w:right w:val="single" w:color="auto" w:sz="4" w:space="0"/>
            </w:tcBorders>
            <w:tcMar>
              <w:top w:w="0" w:type="dxa"/>
              <w:left w:w="28" w:type="dxa"/>
              <w:bottom w:w="0" w:type="dxa"/>
              <w:right w:w="28" w:type="dxa"/>
            </w:tcMar>
            <w:vAlign w:val="center"/>
          </w:tcPr>
          <w:p w14:paraId="1E4CEDD8">
            <w:pPr>
              <w:spacing w:line="240" w:lineRule="auto"/>
              <w:ind w:firstLine="0" w:firstLineChars="0"/>
              <w:jc w:val="center"/>
              <w:rPr>
                <w:color w:val="auto"/>
                <w:sz w:val="21"/>
                <w:szCs w:val="18"/>
              </w:rPr>
            </w:pP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84D4134">
            <w:pPr>
              <w:spacing w:line="240" w:lineRule="auto"/>
              <w:ind w:firstLine="0" w:firstLineChars="0"/>
              <w:jc w:val="center"/>
              <w:rPr>
                <w:color w:val="auto"/>
                <w:sz w:val="21"/>
                <w:szCs w:val="18"/>
              </w:rPr>
            </w:pPr>
            <w:r>
              <w:rPr>
                <w:rFonts w:hint="eastAsia"/>
                <w:color w:val="auto"/>
                <w:sz w:val="21"/>
                <w:szCs w:val="18"/>
              </w:rPr>
              <w:t>危废暂存间</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6CB112E">
            <w:pPr>
              <w:spacing w:line="240" w:lineRule="auto"/>
              <w:ind w:firstLine="0" w:firstLineChars="0"/>
              <w:jc w:val="center"/>
              <w:rPr>
                <w:color w:val="auto"/>
                <w:sz w:val="21"/>
                <w:szCs w:val="18"/>
              </w:rPr>
            </w:pPr>
            <w:r>
              <w:rPr>
                <w:rFonts w:hint="eastAsia"/>
                <w:color w:val="auto"/>
                <w:sz w:val="21"/>
                <w:szCs w:val="18"/>
              </w:rPr>
              <w:t>废槽液、废研磨膏、废试剂瓶、废油类、废化学品包装、废劳保用品等</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75EC86A">
            <w:pPr>
              <w:spacing w:line="240" w:lineRule="auto"/>
              <w:ind w:firstLine="0" w:firstLineChars="0"/>
              <w:jc w:val="center"/>
              <w:rPr>
                <w:color w:val="auto"/>
                <w:sz w:val="21"/>
                <w:szCs w:val="18"/>
              </w:rPr>
            </w:pPr>
            <w:r>
              <w:rPr>
                <w:color w:val="auto"/>
                <w:sz w:val="21"/>
                <w:szCs w:val="18"/>
              </w:rPr>
              <w:t>火灾事故次生污染事故，污染土壤</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5A3B2E8C">
            <w:pPr>
              <w:spacing w:line="240" w:lineRule="auto"/>
              <w:ind w:firstLine="0" w:firstLineChars="0"/>
              <w:jc w:val="center"/>
              <w:rPr>
                <w:color w:val="auto"/>
                <w:sz w:val="21"/>
                <w:szCs w:val="18"/>
              </w:rPr>
            </w:pPr>
            <w:r>
              <w:rPr>
                <w:color w:val="auto"/>
                <w:sz w:val="21"/>
                <w:szCs w:val="18"/>
              </w:rPr>
              <w:t>管理不规范；误操作、遇明火</w:t>
            </w:r>
          </w:p>
        </w:tc>
        <w:tc>
          <w:tcPr>
            <w:tcW w:w="673"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B7598DD">
            <w:pPr>
              <w:spacing w:line="240" w:lineRule="auto"/>
              <w:ind w:firstLine="0" w:firstLineChars="0"/>
              <w:jc w:val="center"/>
              <w:rPr>
                <w:color w:val="auto"/>
                <w:sz w:val="21"/>
                <w:szCs w:val="18"/>
              </w:rPr>
            </w:pPr>
            <w:r>
              <w:rPr>
                <w:rFonts w:hint="eastAsia"/>
                <w:color w:val="auto"/>
                <w:spacing w:val="-4"/>
                <w:sz w:val="21"/>
                <w:szCs w:val="21"/>
                <w:lang w:bidi="ar"/>
              </w:rPr>
              <w:t>2</w:t>
            </w:r>
            <w:r>
              <w:rPr>
                <w:color w:val="auto"/>
                <w:spacing w:val="-4"/>
                <w:sz w:val="21"/>
                <w:szCs w:val="21"/>
                <w:lang w:bidi="ar"/>
              </w:rPr>
              <w:t>×10</w:t>
            </w:r>
            <w:r>
              <w:rPr>
                <w:color w:val="auto"/>
                <w:spacing w:val="-4"/>
                <w:sz w:val="21"/>
                <w:szCs w:val="21"/>
                <w:vertAlign w:val="superscript"/>
                <w:lang w:bidi="ar"/>
              </w:rPr>
              <w:t>-</w:t>
            </w:r>
            <w:r>
              <w:rPr>
                <w:rFonts w:hint="eastAsia"/>
                <w:color w:val="auto"/>
                <w:spacing w:val="-4"/>
                <w:sz w:val="21"/>
                <w:szCs w:val="21"/>
                <w:vertAlign w:val="superscript"/>
                <w:lang w:bidi="ar"/>
              </w:rPr>
              <w:t>7</w:t>
            </w:r>
          </w:p>
        </w:tc>
        <w:tc>
          <w:tcPr>
            <w:tcW w:w="909"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59760E41">
            <w:pPr>
              <w:spacing w:line="240" w:lineRule="auto"/>
              <w:ind w:firstLine="0" w:firstLineChars="0"/>
              <w:jc w:val="center"/>
              <w:rPr>
                <w:color w:val="auto"/>
                <w:sz w:val="21"/>
                <w:szCs w:val="18"/>
              </w:rPr>
            </w:pPr>
            <w:r>
              <w:rPr>
                <w:color w:val="auto"/>
                <w:spacing w:val="-4"/>
                <w:sz w:val="21"/>
                <w:szCs w:val="21"/>
                <w:lang w:bidi="ar"/>
              </w:rPr>
              <w:t>否</w:t>
            </w:r>
          </w:p>
        </w:tc>
      </w:tr>
      <w:tr w14:paraId="7D6E9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left w:val="nil"/>
              <w:bottom w:val="single" w:color="auto" w:sz="4" w:space="0"/>
              <w:right w:val="single" w:color="auto" w:sz="4" w:space="0"/>
            </w:tcBorders>
            <w:tcMar>
              <w:top w:w="0" w:type="dxa"/>
              <w:left w:w="28" w:type="dxa"/>
              <w:bottom w:w="0" w:type="dxa"/>
              <w:right w:w="28" w:type="dxa"/>
            </w:tcMar>
            <w:vAlign w:val="center"/>
          </w:tcPr>
          <w:p w14:paraId="28B4FF6C">
            <w:pPr>
              <w:spacing w:line="240" w:lineRule="auto"/>
              <w:ind w:firstLine="0" w:firstLineChars="0"/>
              <w:jc w:val="center"/>
              <w:rPr>
                <w:color w:val="auto"/>
                <w:sz w:val="21"/>
                <w:szCs w:val="18"/>
              </w:rPr>
            </w:pPr>
          </w:p>
        </w:tc>
        <w:tc>
          <w:tcPr>
            <w:tcW w:w="350" w:type="pct"/>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42B79093">
            <w:pPr>
              <w:spacing w:line="240" w:lineRule="auto"/>
              <w:ind w:firstLine="0" w:firstLineChars="0"/>
              <w:jc w:val="center"/>
              <w:rPr>
                <w:color w:val="auto"/>
                <w:sz w:val="21"/>
                <w:szCs w:val="18"/>
              </w:rPr>
            </w:pP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32360A">
            <w:pPr>
              <w:spacing w:line="240" w:lineRule="auto"/>
              <w:ind w:firstLine="0" w:firstLineChars="0"/>
              <w:jc w:val="center"/>
              <w:rPr>
                <w:color w:val="auto"/>
                <w:sz w:val="21"/>
                <w:szCs w:val="18"/>
              </w:rPr>
            </w:pPr>
            <w:r>
              <w:rPr>
                <w:rFonts w:hint="eastAsia"/>
                <w:color w:val="auto"/>
                <w:sz w:val="21"/>
                <w:szCs w:val="18"/>
              </w:rPr>
              <w:t>液氨气瓶间</w:t>
            </w:r>
          </w:p>
        </w:tc>
        <w:tc>
          <w:tcPr>
            <w:tcW w:w="727"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C4FE0EA">
            <w:pPr>
              <w:spacing w:line="240" w:lineRule="auto"/>
              <w:ind w:firstLine="0" w:firstLineChars="0"/>
              <w:jc w:val="center"/>
              <w:rPr>
                <w:color w:val="auto"/>
                <w:sz w:val="21"/>
                <w:szCs w:val="18"/>
              </w:rPr>
            </w:pPr>
            <w:r>
              <w:rPr>
                <w:rFonts w:hint="eastAsia"/>
                <w:color w:val="auto"/>
                <w:sz w:val="21"/>
                <w:szCs w:val="18"/>
              </w:rPr>
              <w:t>液氨</w:t>
            </w:r>
          </w:p>
        </w:tc>
        <w:tc>
          <w:tcPr>
            <w:tcW w:w="717" w:type="pct"/>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1F74758F">
            <w:pPr>
              <w:spacing w:line="240" w:lineRule="auto"/>
              <w:ind w:firstLine="0" w:firstLineChars="0"/>
              <w:jc w:val="center"/>
              <w:rPr>
                <w:color w:val="auto"/>
                <w:sz w:val="21"/>
                <w:szCs w:val="18"/>
              </w:rPr>
            </w:pPr>
            <w:r>
              <w:rPr>
                <w:color w:val="auto"/>
                <w:sz w:val="21"/>
                <w:szCs w:val="18"/>
              </w:rPr>
              <w:t>火灾事故次生污染事故</w:t>
            </w:r>
          </w:p>
        </w:tc>
        <w:tc>
          <w:tcPr>
            <w:tcW w:w="920"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51CEAEDD">
            <w:pPr>
              <w:spacing w:line="240" w:lineRule="auto"/>
              <w:ind w:firstLine="0" w:firstLineChars="0"/>
              <w:jc w:val="center"/>
              <w:rPr>
                <w:color w:val="auto"/>
                <w:sz w:val="21"/>
                <w:szCs w:val="18"/>
              </w:rPr>
            </w:pPr>
            <w:r>
              <w:rPr>
                <w:color w:val="auto"/>
                <w:sz w:val="21"/>
                <w:szCs w:val="18"/>
              </w:rPr>
              <w:t>管理不规范；误操作、遇明火</w:t>
            </w:r>
          </w:p>
        </w:tc>
        <w:tc>
          <w:tcPr>
            <w:tcW w:w="673"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01172BCE">
            <w:pPr>
              <w:spacing w:line="240" w:lineRule="auto"/>
              <w:ind w:firstLine="0" w:firstLineChars="0"/>
              <w:jc w:val="center"/>
              <w:rPr>
                <w:color w:val="auto"/>
                <w:sz w:val="21"/>
                <w:szCs w:val="18"/>
              </w:rPr>
            </w:pPr>
            <w:r>
              <w:rPr>
                <w:color w:val="auto"/>
                <w:spacing w:val="-4"/>
                <w:sz w:val="21"/>
                <w:szCs w:val="21"/>
                <w:lang w:bidi="ar"/>
              </w:rPr>
              <w:t>1×10</w:t>
            </w:r>
            <w:r>
              <w:rPr>
                <w:color w:val="auto"/>
                <w:spacing w:val="-4"/>
                <w:sz w:val="21"/>
                <w:szCs w:val="21"/>
                <w:vertAlign w:val="superscript"/>
                <w:lang w:bidi="ar"/>
              </w:rPr>
              <w:t>-</w:t>
            </w:r>
            <w:r>
              <w:rPr>
                <w:rFonts w:hint="eastAsia"/>
                <w:color w:val="auto"/>
                <w:spacing w:val="-4"/>
                <w:sz w:val="21"/>
                <w:szCs w:val="21"/>
                <w:vertAlign w:val="superscript"/>
                <w:lang w:bidi="ar"/>
              </w:rPr>
              <w:t>4</w:t>
            </w:r>
          </w:p>
        </w:tc>
        <w:tc>
          <w:tcPr>
            <w:tcW w:w="909"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70F8374E">
            <w:pPr>
              <w:spacing w:line="240" w:lineRule="auto"/>
              <w:ind w:firstLine="0" w:firstLineChars="0"/>
              <w:jc w:val="center"/>
              <w:rPr>
                <w:color w:val="auto"/>
                <w:sz w:val="21"/>
                <w:szCs w:val="18"/>
              </w:rPr>
            </w:pPr>
            <w:r>
              <w:rPr>
                <w:b/>
                <w:bCs/>
                <w:color w:val="auto"/>
                <w:spacing w:val="-4"/>
                <w:sz w:val="21"/>
                <w:szCs w:val="21"/>
                <w:lang w:bidi="ar"/>
              </w:rPr>
              <w:t>是</w:t>
            </w:r>
          </w:p>
        </w:tc>
      </w:tr>
      <w:tr w14:paraId="7A5D0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15CC777B">
            <w:pPr>
              <w:spacing w:line="240" w:lineRule="auto"/>
              <w:ind w:firstLine="0" w:firstLineChars="0"/>
              <w:jc w:val="center"/>
              <w:rPr>
                <w:color w:val="auto"/>
                <w:sz w:val="21"/>
                <w:szCs w:val="18"/>
              </w:rPr>
            </w:pPr>
            <w:r>
              <w:rPr>
                <w:color w:val="auto"/>
                <w:sz w:val="21"/>
                <w:szCs w:val="18"/>
              </w:rPr>
              <w:t>3</w:t>
            </w:r>
          </w:p>
        </w:tc>
        <w:tc>
          <w:tcPr>
            <w:tcW w:w="350" w:type="pct"/>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0106E8B">
            <w:pPr>
              <w:spacing w:line="240" w:lineRule="auto"/>
              <w:ind w:firstLine="0" w:firstLineChars="0"/>
              <w:jc w:val="center"/>
              <w:rPr>
                <w:color w:val="auto"/>
                <w:sz w:val="21"/>
                <w:szCs w:val="18"/>
              </w:rPr>
            </w:pPr>
            <w:r>
              <w:rPr>
                <w:color w:val="auto"/>
                <w:sz w:val="21"/>
                <w:szCs w:val="18"/>
              </w:rPr>
              <w:t>运输系统</w:t>
            </w: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16DA18F">
            <w:pPr>
              <w:spacing w:line="240" w:lineRule="auto"/>
              <w:ind w:firstLine="0" w:firstLineChars="0"/>
              <w:jc w:val="center"/>
              <w:rPr>
                <w:color w:val="auto"/>
                <w:sz w:val="21"/>
                <w:szCs w:val="18"/>
              </w:rPr>
            </w:pPr>
            <w:r>
              <w:rPr>
                <w:color w:val="auto"/>
                <w:sz w:val="21"/>
                <w:szCs w:val="18"/>
              </w:rPr>
              <w:t>厂内天然气管道</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5DBEDB4">
            <w:pPr>
              <w:spacing w:line="240" w:lineRule="auto"/>
              <w:ind w:firstLine="0" w:firstLineChars="0"/>
              <w:jc w:val="center"/>
              <w:rPr>
                <w:color w:val="auto"/>
                <w:sz w:val="21"/>
                <w:szCs w:val="18"/>
              </w:rPr>
            </w:pPr>
            <w:r>
              <w:rPr>
                <w:color w:val="auto"/>
                <w:sz w:val="21"/>
                <w:szCs w:val="18"/>
              </w:rPr>
              <w:t>甲烷</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13AC485">
            <w:pPr>
              <w:spacing w:line="240" w:lineRule="auto"/>
              <w:ind w:firstLine="0" w:firstLineChars="0"/>
              <w:jc w:val="center"/>
              <w:rPr>
                <w:color w:val="auto"/>
                <w:sz w:val="21"/>
                <w:szCs w:val="18"/>
              </w:rPr>
            </w:pPr>
            <w:r>
              <w:rPr>
                <w:color w:val="auto"/>
                <w:sz w:val="21"/>
                <w:szCs w:val="18"/>
              </w:rPr>
              <w:t>火灾事故次生污染事故</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3691E9A6">
            <w:pPr>
              <w:spacing w:line="240" w:lineRule="auto"/>
              <w:ind w:firstLine="0" w:firstLineChars="0"/>
              <w:jc w:val="center"/>
              <w:rPr>
                <w:color w:val="auto"/>
                <w:sz w:val="21"/>
                <w:szCs w:val="18"/>
              </w:rPr>
            </w:pPr>
            <w:r>
              <w:rPr>
                <w:color w:val="auto"/>
                <w:sz w:val="21"/>
                <w:szCs w:val="18"/>
              </w:rPr>
              <w:t>管理不规范；误操作、遇明火</w:t>
            </w:r>
          </w:p>
        </w:tc>
        <w:tc>
          <w:tcPr>
            <w:tcW w:w="673"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16BD5C26">
            <w:pPr>
              <w:spacing w:line="240" w:lineRule="auto"/>
              <w:ind w:firstLine="0" w:firstLineChars="0"/>
              <w:jc w:val="center"/>
              <w:rPr>
                <w:color w:val="auto"/>
                <w:spacing w:val="-4"/>
                <w:sz w:val="21"/>
                <w:szCs w:val="21"/>
              </w:rPr>
            </w:pPr>
            <w:r>
              <w:rPr>
                <w:color w:val="auto"/>
                <w:sz w:val="21"/>
                <w:szCs w:val="21"/>
                <w:lang w:bidi="ar"/>
              </w:rPr>
              <w:t>3.00×10</w:t>
            </w:r>
            <w:r>
              <w:rPr>
                <w:color w:val="auto"/>
                <w:sz w:val="21"/>
                <w:szCs w:val="21"/>
                <w:vertAlign w:val="superscript"/>
                <w:lang w:bidi="ar"/>
              </w:rPr>
              <w:t>-7</w:t>
            </w:r>
          </w:p>
        </w:tc>
        <w:tc>
          <w:tcPr>
            <w:tcW w:w="909"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7984E548">
            <w:pPr>
              <w:spacing w:line="240" w:lineRule="auto"/>
              <w:ind w:firstLine="0" w:firstLineChars="0"/>
              <w:jc w:val="center"/>
              <w:rPr>
                <w:color w:val="auto"/>
                <w:spacing w:val="-4"/>
                <w:sz w:val="21"/>
                <w:szCs w:val="21"/>
              </w:rPr>
            </w:pPr>
            <w:r>
              <w:rPr>
                <w:color w:val="auto"/>
                <w:spacing w:val="-4"/>
                <w:sz w:val="21"/>
                <w:szCs w:val="21"/>
                <w:lang w:bidi="ar"/>
              </w:rPr>
              <w:t>是</w:t>
            </w:r>
          </w:p>
        </w:tc>
      </w:tr>
      <w:tr w14:paraId="35C54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5DC77749">
            <w:pPr>
              <w:spacing w:line="240" w:lineRule="auto"/>
              <w:ind w:firstLine="0" w:firstLineChars="0"/>
              <w:jc w:val="center"/>
              <w:rPr>
                <w:color w:val="auto"/>
                <w:sz w:val="21"/>
                <w:szCs w:val="18"/>
              </w:rPr>
            </w:pPr>
          </w:p>
        </w:tc>
        <w:tc>
          <w:tcPr>
            <w:tcW w:w="350" w:type="pct"/>
            <w:vMerge w:val="continue"/>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8381817">
            <w:pPr>
              <w:spacing w:line="240" w:lineRule="auto"/>
              <w:ind w:firstLine="0" w:firstLineChars="0"/>
              <w:jc w:val="center"/>
              <w:rPr>
                <w:color w:val="auto"/>
                <w:sz w:val="21"/>
                <w:szCs w:val="18"/>
              </w:rPr>
            </w:pP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B010BC4">
            <w:pPr>
              <w:spacing w:line="240" w:lineRule="auto"/>
              <w:ind w:firstLine="0" w:firstLineChars="0"/>
              <w:jc w:val="center"/>
              <w:rPr>
                <w:bCs/>
                <w:color w:val="auto"/>
                <w:sz w:val="21"/>
                <w:szCs w:val="18"/>
              </w:rPr>
            </w:pPr>
            <w:r>
              <w:rPr>
                <w:bCs/>
                <w:color w:val="auto"/>
                <w:sz w:val="21"/>
                <w:szCs w:val="18"/>
              </w:rPr>
              <w:t>废水输送管道</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22D16C6">
            <w:pPr>
              <w:spacing w:line="240" w:lineRule="auto"/>
              <w:ind w:firstLine="0" w:firstLineChars="0"/>
              <w:jc w:val="center"/>
              <w:rPr>
                <w:bCs/>
                <w:color w:val="auto"/>
                <w:sz w:val="21"/>
                <w:szCs w:val="18"/>
              </w:rPr>
            </w:pPr>
            <w:r>
              <w:rPr>
                <w:bCs/>
                <w:color w:val="auto"/>
                <w:sz w:val="21"/>
                <w:szCs w:val="18"/>
              </w:rPr>
              <w:t>COD、SS等</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6CF8916">
            <w:pPr>
              <w:spacing w:line="240" w:lineRule="auto"/>
              <w:ind w:firstLine="0" w:firstLineChars="0"/>
              <w:jc w:val="center"/>
              <w:rPr>
                <w:bCs/>
                <w:color w:val="auto"/>
                <w:sz w:val="21"/>
                <w:szCs w:val="18"/>
              </w:rPr>
            </w:pPr>
            <w:r>
              <w:rPr>
                <w:bCs/>
                <w:color w:val="auto"/>
                <w:sz w:val="21"/>
                <w:szCs w:val="18"/>
              </w:rPr>
              <w:t>泄漏引起事故排放，污染土壤及地下水</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12CB050F">
            <w:pPr>
              <w:spacing w:line="240" w:lineRule="auto"/>
              <w:ind w:firstLine="0" w:firstLineChars="0"/>
              <w:jc w:val="center"/>
              <w:rPr>
                <w:bCs/>
                <w:color w:val="auto"/>
                <w:sz w:val="21"/>
                <w:szCs w:val="18"/>
              </w:rPr>
            </w:pPr>
            <w:r>
              <w:rPr>
                <w:bCs/>
                <w:color w:val="auto"/>
                <w:sz w:val="21"/>
                <w:szCs w:val="18"/>
              </w:rPr>
              <w:t>腐蚀、管道破损、管理不规范</w:t>
            </w:r>
          </w:p>
        </w:tc>
        <w:tc>
          <w:tcPr>
            <w:tcW w:w="673"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118DD1DD">
            <w:pPr>
              <w:spacing w:line="240" w:lineRule="auto"/>
              <w:ind w:firstLine="0" w:firstLineChars="0"/>
              <w:jc w:val="center"/>
              <w:rPr>
                <w:color w:val="auto"/>
                <w:spacing w:val="-4"/>
                <w:sz w:val="21"/>
                <w:szCs w:val="21"/>
              </w:rPr>
            </w:pPr>
            <w:r>
              <w:rPr>
                <w:color w:val="auto"/>
                <w:spacing w:val="-4"/>
                <w:sz w:val="21"/>
                <w:szCs w:val="21"/>
                <w:lang w:bidi="ar"/>
              </w:rPr>
              <w:t>1.2×10</w:t>
            </w:r>
            <w:r>
              <w:rPr>
                <w:color w:val="auto"/>
                <w:spacing w:val="-4"/>
                <w:sz w:val="21"/>
                <w:szCs w:val="21"/>
                <w:vertAlign w:val="superscript"/>
                <w:lang w:bidi="ar"/>
              </w:rPr>
              <w:t>-7</w:t>
            </w:r>
          </w:p>
        </w:tc>
        <w:tc>
          <w:tcPr>
            <w:tcW w:w="909"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08B8D4B8">
            <w:pPr>
              <w:spacing w:line="240" w:lineRule="auto"/>
              <w:ind w:firstLine="0" w:firstLineChars="0"/>
              <w:jc w:val="center"/>
              <w:rPr>
                <w:color w:val="auto"/>
                <w:spacing w:val="-4"/>
                <w:sz w:val="21"/>
                <w:szCs w:val="21"/>
              </w:rPr>
            </w:pPr>
            <w:r>
              <w:rPr>
                <w:color w:val="auto"/>
                <w:spacing w:val="-4"/>
                <w:sz w:val="21"/>
                <w:szCs w:val="21"/>
                <w:lang w:bidi="ar"/>
              </w:rPr>
              <w:t>否</w:t>
            </w:r>
          </w:p>
        </w:tc>
      </w:tr>
      <w:tr w14:paraId="05CAE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top w:val="single" w:color="auto" w:sz="4" w:space="0"/>
              <w:left w:val="nil"/>
              <w:bottom w:val="single" w:color="auto" w:sz="4" w:space="0"/>
              <w:right w:val="single" w:color="auto" w:sz="4" w:space="0"/>
            </w:tcBorders>
            <w:vAlign w:val="center"/>
          </w:tcPr>
          <w:p w14:paraId="6CCC7CF1">
            <w:pPr>
              <w:widowControl/>
              <w:spacing w:line="240" w:lineRule="auto"/>
              <w:ind w:firstLine="0" w:firstLineChars="0"/>
              <w:jc w:val="center"/>
              <w:rPr>
                <w:color w:val="auto"/>
                <w:sz w:val="21"/>
                <w:szCs w:val="18"/>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14:paraId="7BE218D1">
            <w:pPr>
              <w:widowControl/>
              <w:spacing w:line="240" w:lineRule="auto"/>
              <w:ind w:firstLine="0" w:firstLineChars="0"/>
              <w:jc w:val="center"/>
              <w:rPr>
                <w:color w:val="auto"/>
                <w:sz w:val="21"/>
                <w:szCs w:val="18"/>
              </w:rPr>
            </w:pP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BDF0017">
            <w:pPr>
              <w:spacing w:line="240" w:lineRule="auto"/>
              <w:ind w:firstLine="0" w:firstLineChars="0"/>
              <w:jc w:val="center"/>
              <w:rPr>
                <w:bCs/>
                <w:color w:val="auto"/>
                <w:sz w:val="21"/>
                <w:szCs w:val="18"/>
              </w:rPr>
            </w:pPr>
            <w:r>
              <w:rPr>
                <w:bCs/>
                <w:color w:val="auto"/>
                <w:sz w:val="21"/>
                <w:szCs w:val="18"/>
              </w:rPr>
              <w:t>危废运输车辆</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5133711">
            <w:pPr>
              <w:spacing w:line="240" w:lineRule="auto"/>
              <w:ind w:firstLine="0" w:firstLineChars="0"/>
              <w:jc w:val="center"/>
              <w:rPr>
                <w:bCs/>
                <w:color w:val="auto"/>
                <w:sz w:val="21"/>
                <w:szCs w:val="18"/>
              </w:rPr>
            </w:pPr>
            <w:r>
              <w:rPr>
                <w:rFonts w:hint="eastAsia"/>
                <w:color w:val="auto"/>
                <w:sz w:val="21"/>
                <w:szCs w:val="18"/>
              </w:rPr>
              <w:t>废研磨膏、废机油和废液压油</w:t>
            </w:r>
            <w:r>
              <w:rPr>
                <w:color w:val="auto"/>
                <w:sz w:val="21"/>
                <w:szCs w:val="18"/>
              </w:rPr>
              <w:t>等</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D34504E">
            <w:pPr>
              <w:spacing w:line="240" w:lineRule="auto"/>
              <w:ind w:firstLine="0" w:firstLineChars="0"/>
              <w:jc w:val="center"/>
              <w:rPr>
                <w:bCs/>
                <w:color w:val="auto"/>
                <w:sz w:val="21"/>
                <w:szCs w:val="18"/>
              </w:rPr>
            </w:pPr>
            <w:r>
              <w:rPr>
                <w:color w:val="auto"/>
                <w:sz w:val="21"/>
                <w:szCs w:val="18"/>
              </w:rPr>
              <w:t>火灾事故次生污染事故，污染土壤</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AF9A4F8">
            <w:pPr>
              <w:spacing w:line="240" w:lineRule="auto"/>
              <w:ind w:firstLine="0" w:firstLineChars="0"/>
              <w:jc w:val="center"/>
              <w:rPr>
                <w:bCs/>
                <w:color w:val="auto"/>
                <w:sz w:val="21"/>
                <w:szCs w:val="18"/>
              </w:rPr>
            </w:pPr>
            <w:r>
              <w:rPr>
                <w:color w:val="auto"/>
                <w:sz w:val="21"/>
                <w:szCs w:val="18"/>
              </w:rPr>
              <w:t>人员操作不当、车辆故障、遇明火</w:t>
            </w:r>
          </w:p>
        </w:tc>
        <w:tc>
          <w:tcPr>
            <w:tcW w:w="673"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263A6F79">
            <w:pPr>
              <w:spacing w:line="240" w:lineRule="auto"/>
              <w:ind w:firstLine="0" w:firstLineChars="0"/>
              <w:jc w:val="center"/>
              <w:rPr>
                <w:color w:val="auto"/>
                <w:spacing w:val="-4"/>
                <w:sz w:val="21"/>
                <w:szCs w:val="21"/>
              </w:rPr>
            </w:pPr>
            <w:r>
              <w:rPr>
                <w:color w:val="auto"/>
                <w:spacing w:val="-4"/>
                <w:sz w:val="21"/>
                <w:szCs w:val="21"/>
                <w:lang w:bidi="ar"/>
              </w:rPr>
              <w:t>1.2×10</w:t>
            </w:r>
            <w:r>
              <w:rPr>
                <w:color w:val="auto"/>
                <w:spacing w:val="-4"/>
                <w:sz w:val="21"/>
                <w:szCs w:val="21"/>
                <w:vertAlign w:val="superscript"/>
                <w:lang w:bidi="ar"/>
              </w:rPr>
              <w:t>-7</w:t>
            </w:r>
          </w:p>
        </w:tc>
        <w:tc>
          <w:tcPr>
            <w:tcW w:w="909" w:type="pct"/>
            <w:tcBorders>
              <w:top w:val="single" w:color="auto" w:sz="4" w:space="0"/>
              <w:left w:val="single" w:color="auto" w:sz="4" w:space="0"/>
              <w:bottom w:val="single" w:color="auto" w:sz="4" w:space="0"/>
              <w:right w:val="nil"/>
            </w:tcBorders>
            <w:shd w:val="clear" w:color="auto" w:fill="auto"/>
            <w:tcMar>
              <w:top w:w="0" w:type="dxa"/>
              <w:left w:w="28" w:type="dxa"/>
              <w:bottom w:w="0" w:type="dxa"/>
              <w:right w:w="28" w:type="dxa"/>
            </w:tcMar>
            <w:vAlign w:val="center"/>
          </w:tcPr>
          <w:p w14:paraId="2AD34355">
            <w:pPr>
              <w:spacing w:line="240" w:lineRule="auto"/>
              <w:ind w:firstLine="0" w:firstLineChars="0"/>
              <w:jc w:val="center"/>
              <w:rPr>
                <w:color w:val="auto"/>
                <w:spacing w:val="-4"/>
                <w:sz w:val="21"/>
                <w:szCs w:val="21"/>
              </w:rPr>
            </w:pPr>
            <w:r>
              <w:rPr>
                <w:color w:val="auto"/>
                <w:spacing w:val="-4"/>
                <w:sz w:val="21"/>
                <w:szCs w:val="21"/>
                <w:lang w:bidi="ar"/>
              </w:rPr>
              <w:t>否</w:t>
            </w:r>
          </w:p>
        </w:tc>
      </w:tr>
      <w:tr w14:paraId="1ED07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5508BDC6">
            <w:pPr>
              <w:spacing w:line="240" w:lineRule="auto"/>
              <w:ind w:firstLine="0" w:firstLineChars="0"/>
              <w:jc w:val="center"/>
              <w:rPr>
                <w:color w:val="auto"/>
                <w:sz w:val="21"/>
                <w:szCs w:val="18"/>
              </w:rPr>
            </w:pPr>
            <w:r>
              <w:rPr>
                <w:color w:val="auto"/>
                <w:sz w:val="21"/>
                <w:szCs w:val="18"/>
              </w:rPr>
              <w:t>4</w:t>
            </w:r>
          </w:p>
        </w:tc>
        <w:tc>
          <w:tcPr>
            <w:tcW w:w="350" w:type="pct"/>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B653690">
            <w:pPr>
              <w:spacing w:line="240" w:lineRule="auto"/>
              <w:ind w:firstLine="0" w:firstLineChars="0"/>
              <w:jc w:val="center"/>
              <w:rPr>
                <w:color w:val="auto"/>
                <w:sz w:val="21"/>
                <w:szCs w:val="18"/>
              </w:rPr>
            </w:pPr>
            <w:r>
              <w:rPr>
                <w:color w:val="auto"/>
                <w:sz w:val="21"/>
                <w:szCs w:val="18"/>
              </w:rPr>
              <w:t>污染控制设施</w:t>
            </w:r>
          </w:p>
        </w:tc>
        <w:tc>
          <w:tcPr>
            <w:tcW w:w="543"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4EAFFCB">
            <w:pPr>
              <w:spacing w:line="240" w:lineRule="auto"/>
              <w:ind w:firstLine="0" w:firstLineChars="0"/>
              <w:jc w:val="center"/>
              <w:rPr>
                <w:color w:val="auto"/>
                <w:sz w:val="21"/>
                <w:szCs w:val="18"/>
              </w:rPr>
            </w:pPr>
            <w:r>
              <w:rPr>
                <w:color w:val="auto"/>
                <w:sz w:val="21"/>
                <w:szCs w:val="18"/>
              </w:rPr>
              <w:t>废水处理系统</w:t>
            </w:r>
          </w:p>
        </w:tc>
        <w:tc>
          <w:tcPr>
            <w:tcW w:w="72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663BB2E">
            <w:pPr>
              <w:spacing w:line="240" w:lineRule="auto"/>
              <w:ind w:firstLine="0" w:firstLineChars="0"/>
              <w:jc w:val="center"/>
              <w:rPr>
                <w:color w:val="auto"/>
                <w:sz w:val="21"/>
                <w:szCs w:val="18"/>
              </w:rPr>
            </w:pPr>
            <w:r>
              <w:rPr>
                <w:color w:val="auto"/>
                <w:sz w:val="21"/>
                <w:szCs w:val="18"/>
              </w:rPr>
              <w:t>COD、氨氮等</w:t>
            </w:r>
          </w:p>
        </w:tc>
        <w:tc>
          <w:tcPr>
            <w:tcW w:w="717" w:type="pc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B10A288">
            <w:pPr>
              <w:spacing w:line="240" w:lineRule="auto"/>
              <w:ind w:firstLine="0" w:firstLineChars="0"/>
              <w:jc w:val="center"/>
              <w:rPr>
                <w:color w:val="auto"/>
                <w:sz w:val="21"/>
                <w:szCs w:val="18"/>
              </w:rPr>
            </w:pPr>
            <w:r>
              <w:rPr>
                <w:bCs/>
                <w:color w:val="auto"/>
                <w:sz w:val="21"/>
                <w:szCs w:val="18"/>
              </w:rPr>
              <w:t>事故性排放</w:t>
            </w:r>
          </w:p>
        </w:tc>
        <w:tc>
          <w:tcPr>
            <w:tcW w:w="920"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8383EE8">
            <w:pPr>
              <w:spacing w:line="240" w:lineRule="auto"/>
              <w:ind w:firstLine="0" w:firstLineChars="0"/>
              <w:jc w:val="center"/>
              <w:rPr>
                <w:color w:val="auto"/>
                <w:sz w:val="21"/>
                <w:szCs w:val="18"/>
              </w:rPr>
            </w:pPr>
            <w:r>
              <w:rPr>
                <w:bCs/>
                <w:color w:val="auto"/>
                <w:sz w:val="21"/>
                <w:szCs w:val="18"/>
              </w:rPr>
              <w:t>处理设施故障</w:t>
            </w:r>
          </w:p>
        </w:tc>
        <w:tc>
          <w:tcPr>
            <w:tcW w:w="673"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30D21BBB">
            <w:pPr>
              <w:spacing w:line="240" w:lineRule="auto"/>
              <w:ind w:firstLine="0" w:firstLineChars="0"/>
              <w:jc w:val="center"/>
              <w:rPr>
                <w:bCs/>
                <w:color w:val="auto"/>
                <w:sz w:val="21"/>
                <w:szCs w:val="18"/>
              </w:rPr>
            </w:pPr>
            <w:r>
              <w:rPr>
                <w:color w:val="auto"/>
                <w:spacing w:val="-4"/>
                <w:sz w:val="21"/>
                <w:szCs w:val="21"/>
                <w:lang w:bidi="ar"/>
              </w:rPr>
              <w:t>2.0×10</w:t>
            </w:r>
            <w:r>
              <w:rPr>
                <w:color w:val="auto"/>
                <w:spacing w:val="-4"/>
                <w:sz w:val="21"/>
                <w:szCs w:val="21"/>
                <w:vertAlign w:val="superscript"/>
                <w:lang w:bidi="ar"/>
              </w:rPr>
              <w:t>-7</w:t>
            </w:r>
          </w:p>
        </w:tc>
        <w:tc>
          <w:tcPr>
            <w:tcW w:w="909" w:type="pct"/>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077E996C">
            <w:pPr>
              <w:spacing w:line="240" w:lineRule="auto"/>
              <w:ind w:firstLine="0" w:firstLineChars="0"/>
              <w:jc w:val="center"/>
              <w:rPr>
                <w:bCs/>
                <w:color w:val="auto"/>
                <w:sz w:val="21"/>
                <w:szCs w:val="18"/>
              </w:rPr>
            </w:pPr>
            <w:r>
              <w:rPr>
                <w:color w:val="auto"/>
                <w:spacing w:val="-4"/>
                <w:sz w:val="21"/>
                <w:szCs w:val="21"/>
                <w:lang w:bidi="ar"/>
              </w:rPr>
              <w:t>否</w:t>
            </w:r>
          </w:p>
        </w:tc>
      </w:tr>
      <w:tr w14:paraId="5AE4D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57" w:type="pct"/>
            <w:vMerge w:val="continue"/>
            <w:tcBorders>
              <w:top w:val="single" w:color="auto" w:sz="4" w:space="0"/>
              <w:left w:val="nil"/>
              <w:right w:val="single" w:color="auto" w:sz="4" w:space="0"/>
            </w:tcBorders>
            <w:vAlign w:val="center"/>
          </w:tcPr>
          <w:p w14:paraId="3EAA117F">
            <w:pPr>
              <w:widowControl/>
              <w:spacing w:line="240" w:lineRule="auto"/>
              <w:ind w:firstLine="0" w:firstLineChars="0"/>
              <w:jc w:val="center"/>
              <w:rPr>
                <w:color w:val="auto"/>
                <w:sz w:val="21"/>
                <w:szCs w:val="18"/>
              </w:rPr>
            </w:pPr>
          </w:p>
        </w:tc>
        <w:tc>
          <w:tcPr>
            <w:tcW w:w="350" w:type="pct"/>
            <w:vMerge w:val="continue"/>
            <w:tcBorders>
              <w:top w:val="single" w:color="auto" w:sz="4" w:space="0"/>
              <w:left w:val="single" w:color="auto" w:sz="4" w:space="0"/>
              <w:right w:val="single" w:color="auto" w:sz="4" w:space="0"/>
            </w:tcBorders>
            <w:vAlign w:val="center"/>
          </w:tcPr>
          <w:p w14:paraId="1D6E0BAE">
            <w:pPr>
              <w:widowControl/>
              <w:spacing w:line="240" w:lineRule="auto"/>
              <w:ind w:firstLine="0" w:firstLineChars="0"/>
              <w:jc w:val="center"/>
              <w:rPr>
                <w:color w:val="auto"/>
                <w:sz w:val="21"/>
                <w:szCs w:val="18"/>
              </w:rPr>
            </w:pPr>
          </w:p>
        </w:tc>
        <w:tc>
          <w:tcPr>
            <w:tcW w:w="543" w:type="pct"/>
            <w:tcBorders>
              <w:top w:val="single" w:color="auto" w:sz="4" w:space="0"/>
              <w:left w:val="single" w:color="auto" w:sz="4" w:space="0"/>
              <w:right w:val="single" w:color="auto" w:sz="4" w:space="0"/>
            </w:tcBorders>
            <w:tcMar>
              <w:top w:w="0" w:type="dxa"/>
              <w:left w:w="28" w:type="dxa"/>
              <w:bottom w:w="0" w:type="dxa"/>
              <w:right w:w="28" w:type="dxa"/>
            </w:tcMar>
            <w:vAlign w:val="center"/>
          </w:tcPr>
          <w:p w14:paraId="21C2E42F">
            <w:pPr>
              <w:spacing w:line="240" w:lineRule="auto"/>
              <w:ind w:firstLine="0" w:firstLineChars="0"/>
              <w:jc w:val="center"/>
              <w:rPr>
                <w:color w:val="auto"/>
                <w:sz w:val="21"/>
                <w:szCs w:val="18"/>
              </w:rPr>
            </w:pPr>
            <w:r>
              <w:rPr>
                <w:rFonts w:hint="eastAsia"/>
                <w:color w:val="auto"/>
                <w:sz w:val="21"/>
                <w:szCs w:val="18"/>
              </w:rPr>
              <w:t>挤压</w:t>
            </w:r>
            <w:r>
              <w:rPr>
                <w:color w:val="auto"/>
                <w:sz w:val="21"/>
                <w:szCs w:val="18"/>
              </w:rPr>
              <w:t>加工车间</w:t>
            </w:r>
          </w:p>
        </w:tc>
        <w:tc>
          <w:tcPr>
            <w:tcW w:w="727" w:type="pct"/>
            <w:tcBorders>
              <w:top w:val="single" w:color="auto" w:sz="4" w:space="0"/>
              <w:left w:val="single" w:color="auto" w:sz="4" w:space="0"/>
              <w:right w:val="single" w:color="auto" w:sz="4" w:space="0"/>
            </w:tcBorders>
            <w:tcMar>
              <w:top w:w="0" w:type="dxa"/>
              <w:left w:w="28" w:type="dxa"/>
              <w:bottom w:w="0" w:type="dxa"/>
              <w:right w:w="28" w:type="dxa"/>
            </w:tcMar>
            <w:vAlign w:val="center"/>
          </w:tcPr>
          <w:p w14:paraId="4CB8ADF9">
            <w:pPr>
              <w:spacing w:line="240" w:lineRule="auto"/>
              <w:ind w:firstLine="0" w:firstLineChars="0"/>
              <w:jc w:val="center"/>
              <w:rPr>
                <w:color w:val="auto"/>
                <w:sz w:val="21"/>
                <w:szCs w:val="18"/>
              </w:rPr>
            </w:pPr>
            <w:r>
              <w:rPr>
                <w:color w:val="auto"/>
                <w:sz w:val="21"/>
                <w:szCs w:val="18"/>
              </w:rPr>
              <w:t>铝尘</w:t>
            </w:r>
          </w:p>
        </w:tc>
        <w:tc>
          <w:tcPr>
            <w:tcW w:w="717" w:type="pct"/>
            <w:tcBorders>
              <w:top w:val="single" w:color="auto" w:sz="4" w:space="0"/>
              <w:left w:val="single" w:color="auto" w:sz="4" w:space="0"/>
              <w:right w:val="single" w:color="auto" w:sz="4" w:space="0"/>
            </w:tcBorders>
            <w:tcMar>
              <w:top w:w="0" w:type="dxa"/>
              <w:left w:w="28" w:type="dxa"/>
              <w:bottom w:w="0" w:type="dxa"/>
              <w:right w:w="28" w:type="dxa"/>
            </w:tcMar>
            <w:vAlign w:val="center"/>
          </w:tcPr>
          <w:p w14:paraId="63F70D8F">
            <w:pPr>
              <w:spacing w:line="240" w:lineRule="auto"/>
              <w:ind w:firstLine="0" w:firstLineChars="0"/>
              <w:jc w:val="center"/>
              <w:rPr>
                <w:color w:val="auto"/>
                <w:sz w:val="21"/>
                <w:szCs w:val="18"/>
              </w:rPr>
            </w:pPr>
            <w:r>
              <w:rPr>
                <w:color w:val="auto"/>
                <w:sz w:val="21"/>
                <w:szCs w:val="18"/>
              </w:rPr>
              <w:t>管理不当，燃爆</w:t>
            </w:r>
          </w:p>
        </w:tc>
        <w:tc>
          <w:tcPr>
            <w:tcW w:w="920" w:type="pct"/>
            <w:tcBorders>
              <w:top w:val="single" w:color="auto" w:sz="4" w:space="0"/>
              <w:left w:val="single" w:color="auto" w:sz="4" w:space="0"/>
              <w:right w:val="nil"/>
            </w:tcBorders>
            <w:tcMar>
              <w:top w:w="0" w:type="dxa"/>
              <w:left w:w="28" w:type="dxa"/>
              <w:bottom w:w="0" w:type="dxa"/>
              <w:right w:w="28" w:type="dxa"/>
            </w:tcMar>
            <w:vAlign w:val="center"/>
          </w:tcPr>
          <w:p w14:paraId="17D01A91">
            <w:pPr>
              <w:spacing w:line="240" w:lineRule="auto"/>
              <w:ind w:firstLine="0" w:firstLineChars="0"/>
              <w:jc w:val="center"/>
              <w:rPr>
                <w:color w:val="auto"/>
                <w:sz w:val="21"/>
                <w:szCs w:val="18"/>
              </w:rPr>
            </w:pPr>
            <w:r>
              <w:rPr>
                <w:color w:val="auto"/>
                <w:sz w:val="21"/>
                <w:szCs w:val="18"/>
              </w:rPr>
              <w:t>遇潮湿、水蒸气能自燃，与氧化剂混合能形成爆炸性混合物</w:t>
            </w:r>
          </w:p>
        </w:tc>
        <w:tc>
          <w:tcPr>
            <w:tcW w:w="673" w:type="pct"/>
            <w:tcBorders>
              <w:top w:val="single" w:color="auto" w:sz="4" w:space="0"/>
              <w:left w:val="single" w:color="auto" w:sz="4" w:space="0"/>
              <w:right w:val="nil"/>
            </w:tcBorders>
            <w:tcMar>
              <w:top w:w="0" w:type="dxa"/>
              <w:left w:w="28" w:type="dxa"/>
              <w:bottom w:w="0" w:type="dxa"/>
              <w:right w:w="28" w:type="dxa"/>
            </w:tcMar>
            <w:vAlign w:val="center"/>
          </w:tcPr>
          <w:p w14:paraId="2597EA92">
            <w:pPr>
              <w:spacing w:line="240" w:lineRule="auto"/>
              <w:ind w:firstLine="0" w:firstLineChars="0"/>
              <w:jc w:val="center"/>
              <w:rPr>
                <w:color w:val="auto"/>
                <w:sz w:val="21"/>
                <w:szCs w:val="18"/>
              </w:rPr>
            </w:pPr>
            <w:r>
              <w:rPr>
                <w:color w:val="auto"/>
                <w:spacing w:val="-4"/>
                <w:sz w:val="21"/>
                <w:szCs w:val="21"/>
                <w:lang w:bidi="ar"/>
              </w:rPr>
              <w:t>1.2×10</w:t>
            </w:r>
            <w:r>
              <w:rPr>
                <w:color w:val="auto"/>
                <w:spacing w:val="-4"/>
                <w:sz w:val="21"/>
                <w:szCs w:val="21"/>
                <w:vertAlign w:val="superscript"/>
                <w:lang w:bidi="ar"/>
              </w:rPr>
              <w:t>-7</w:t>
            </w:r>
          </w:p>
        </w:tc>
        <w:tc>
          <w:tcPr>
            <w:tcW w:w="909" w:type="pct"/>
            <w:tcBorders>
              <w:top w:val="single" w:color="auto" w:sz="4" w:space="0"/>
              <w:left w:val="single" w:color="auto" w:sz="4" w:space="0"/>
              <w:right w:val="nil"/>
            </w:tcBorders>
            <w:tcMar>
              <w:top w:w="0" w:type="dxa"/>
              <w:left w:w="28" w:type="dxa"/>
              <w:bottom w:w="0" w:type="dxa"/>
              <w:right w:w="28" w:type="dxa"/>
            </w:tcMar>
            <w:vAlign w:val="center"/>
          </w:tcPr>
          <w:p w14:paraId="500E97DD">
            <w:pPr>
              <w:spacing w:line="240" w:lineRule="auto"/>
              <w:ind w:firstLine="0" w:firstLineChars="0"/>
              <w:jc w:val="center"/>
              <w:rPr>
                <w:color w:val="auto"/>
                <w:sz w:val="21"/>
                <w:szCs w:val="18"/>
              </w:rPr>
            </w:pPr>
            <w:r>
              <w:rPr>
                <w:color w:val="auto"/>
                <w:spacing w:val="-4"/>
                <w:sz w:val="21"/>
                <w:szCs w:val="21"/>
                <w:lang w:bidi="ar"/>
              </w:rPr>
              <w:t>否</w:t>
            </w:r>
          </w:p>
        </w:tc>
      </w:tr>
    </w:tbl>
    <w:p w14:paraId="17D7A08D">
      <w:pPr>
        <w:ind w:firstLine="480"/>
        <w:rPr>
          <w:color w:val="auto"/>
        </w:rPr>
      </w:pPr>
      <w:r>
        <w:rPr>
          <w:rFonts w:hint="eastAsia"/>
          <w:color w:val="auto"/>
        </w:rPr>
        <w:t>综合考虑全厂的风险物质、可能发生的风险事故及其发生概率和环境危害程度，本次评价确定定量计算的最大可信事故为</w:t>
      </w:r>
      <w:r>
        <w:rPr>
          <w:rFonts w:hint="eastAsia"/>
          <w:b/>
          <w:bCs/>
          <w:color w:val="auto"/>
        </w:rPr>
        <w:t>硫酸储罐发生泄漏事故和液氨发生泄漏事故</w:t>
      </w:r>
      <w:r>
        <w:rPr>
          <w:rFonts w:hint="eastAsia"/>
          <w:color w:val="auto"/>
        </w:rPr>
        <w:t>。</w:t>
      </w:r>
    </w:p>
    <w:p w14:paraId="4636EFD4">
      <w:pPr>
        <w:keepNext/>
        <w:keepLines/>
        <w:spacing w:before="120" w:beforeLines="50"/>
        <w:ind w:firstLine="0" w:firstLineChars="0"/>
        <w:outlineLvl w:val="3"/>
        <w:rPr>
          <w:b/>
          <w:bCs/>
          <w:color w:val="auto"/>
          <w:szCs w:val="28"/>
        </w:rPr>
      </w:pPr>
      <w:r>
        <w:rPr>
          <w:rFonts w:hint="eastAsia"/>
          <w:b/>
          <w:bCs/>
          <w:color w:val="auto"/>
          <w:szCs w:val="28"/>
        </w:rPr>
        <w:t>6</w:t>
      </w:r>
      <w:r>
        <w:rPr>
          <w:b/>
          <w:bCs/>
          <w:color w:val="auto"/>
          <w:szCs w:val="28"/>
        </w:rPr>
        <w:t>.2.8.</w:t>
      </w:r>
      <w:r>
        <w:rPr>
          <w:rFonts w:hint="eastAsia"/>
          <w:b/>
          <w:bCs/>
          <w:color w:val="auto"/>
          <w:szCs w:val="28"/>
        </w:rPr>
        <w:t>2</w:t>
      </w:r>
      <w:r>
        <w:rPr>
          <w:b/>
          <w:bCs/>
          <w:color w:val="auto"/>
          <w:szCs w:val="28"/>
        </w:rPr>
        <w:t xml:space="preserve"> </w:t>
      </w:r>
      <w:r>
        <w:rPr>
          <w:rFonts w:hint="eastAsia"/>
          <w:b/>
          <w:bCs/>
          <w:color w:val="auto"/>
          <w:szCs w:val="28"/>
        </w:rPr>
        <w:t>风险源事故影响分析</w:t>
      </w:r>
    </w:p>
    <w:p w14:paraId="449B711B">
      <w:pPr>
        <w:ind w:firstLine="480"/>
        <w:rPr>
          <w:color w:val="auto"/>
        </w:rPr>
      </w:pPr>
      <w:r>
        <w:rPr>
          <w:color w:val="auto"/>
          <w:lang w:bidi="ar"/>
        </w:rPr>
        <w:t>本次评价对硫酸</w:t>
      </w:r>
      <w:r>
        <w:rPr>
          <w:rFonts w:hint="eastAsia"/>
          <w:color w:val="auto"/>
          <w:lang w:bidi="ar"/>
        </w:rPr>
        <w:t>储罐和液氨</w:t>
      </w:r>
      <w:r>
        <w:rPr>
          <w:color w:val="auto"/>
          <w:lang w:bidi="ar"/>
        </w:rPr>
        <w:t>发生泄漏事故进行分析。</w:t>
      </w:r>
    </w:p>
    <w:p w14:paraId="1A4EF187">
      <w:pPr>
        <w:ind w:firstLine="482"/>
        <w:rPr>
          <w:b/>
          <w:bCs/>
          <w:color w:val="auto"/>
        </w:rPr>
      </w:pPr>
      <w:r>
        <w:rPr>
          <w:b/>
          <w:bCs/>
          <w:color w:val="auto"/>
          <w:lang w:bidi="ar"/>
        </w:rPr>
        <w:t>1、液体泄漏速率计算公式</w:t>
      </w:r>
    </w:p>
    <w:p w14:paraId="61947DEA">
      <w:pPr>
        <w:ind w:firstLine="480"/>
        <w:rPr>
          <w:color w:val="auto"/>
        </w:rPr>
      </w:pPr>
      <w:r>
        <w:rPr>
          <w:color w:val="auto"/>
          <w:lang w:bidi="ar"/>
        </w:rPr>
        <w:t>液体泄漏量可采用伯努力（Bernoulli）方程予以推算，其公式为：</w:t>
      </w:r>
    </w:p>
    <w:p w14:paraId="18AF6ADA">
      <w:pPr>
        <w:widowControl/>
        <w:ind w:firstLine="480"/>
        <w:jc w:val="center"/>
        <w:rPr>
          <w:color w:val="auto"/>
        </w:rPr>
      </w:pPr>
      <w:r>
        <w:rPr>
          <w:color w:val="auto"/>
          <w:position w:val="-30"/>
        </w:rPr>
        <w:drawing>
          <wp:inline distT="0" distB="0" distL="114300" distR="114300">
            <wp:extent cx="1819275" cy="466725"/>
            <wp:effectExtent l="0" t="0" r="0" b="8890"/>
            <wp:docPr id="6" name="图片 137"/>
            <wp:cNvGraphicFramePr/>
            <a:graphic xmlns:a="http://schemas.openxmlformats.org/drawingml/2006/main">
              <a:graphicData uri="http://schemas.openxmlformats.org/drawingml/2006/picture">
                <pic:pic xmlns:pic="http://schemas.openxmlformats.org/drawingml/2006/picture">
                  <pic:nvPicPr>
                    <pic:cNvPr id="6" name="图片 137"/>
                    <pic:cNvPicPr/>
                  </pic:nvPicPr>
                  <pic:blipFill>
                    <a:blip r:embed="rId55"/>
                    <a:stretch>
                      <a:fillRect/>
                    </a:stretch>
                  </pic:blipFill>
                  <pic:spPr>
                    <a:xfrm>
                      <a:off x="0" y="0"/>
                      <a:ext cx="1819275" cy="466725"/>
                    </a:xfrm>
                    <a:prstGeom prst="rect">
                      <a:avLst/>
                    </a:prstGeom>
                    <a:noFill/>
                    <a:ln>
                      <a:noFill/>
                    </a:ln>
                  </pic:spPr>
                </pic:pic>
              </a:graphicData>
            </a:graphic>
          </wp:inline>
        </w:drawing>
      </w:r>
    </w:p>
    <w:p w14:paraId="1CA2F5CE">
      <w:pPr>
        <w:widowControl/>
        <w:ind w:firstLine="480"/>
        <w:jc w:val="left"/>
        <w:rPr>
          <w:bCs/>
          <w:color w:val="auto"/>
        </w:rPr>
      </w:pPr>
      <w:r>
        <w:rPr>
          <w:color w:val="auto"/>
          <w:lang w:bidi="ar"/>
        </w:rPr>
        <w:t>式中：</w:t>
      </w:r>
      <w:r>
        <w:rPr>
          <w:bCs/>
          <w:i/>
          <w:color w:val="auto"/>
          <w:lang w:bidi="ar"/>
        </w:rPr>
        <w:t>Q</w:t>
      </w:r>
      <w:r>
        <w:rPr>
          <w:bCs/>
          <w:i/>
          <w:color w:val="auto"/>
          <w:vertAlign w:val="subscript"/>
          <w:lang w:bidi="ar"/>
        </w:rPr>
        <w:t>L</w:t>
      </w:r>
      <w:r>
        <w:rPr>
          <w:bCs/>
          <w:color w:val="auto"/>
          <w:lang w:bidi="ar"/>
        </w:rPr>
        <w:t>—液体泄漏速度，kg/s；</w:t>
      </w:r>
    </w:p>
    <w:p w14:paraId="32BC93B0">
      <w:pPr>
        <w:widowControl/>
        <w:ind w:firstLine="1200" w:firstLineChars="500"/>
        <w:jc w:val="left"/>
        <w:rPr>
          <w:bCs/>
          <w:color w:val="auto"/>
        </w:rPr>
      </w:pPr>
      <w:r>
        <w:rPr>
          <w:bCs/>
          <w:i/>
          <w:color w:val="auto"/>
          <w:lang w:bidi="ar"/>
        </w:rPr>
        <w:t>P</w:t>
      </w:r>
      <w:r>
        <w:rPr>
          <w:bCs/>
          <w:color w:val="auto"/>
          <w:lang w:bidi="ar"/>
        </w:rPr>
        <w:t>—容器内介质压力，Pa；</w:t>
      </w:r>
    </w:p>
    <w:p w14:paraId="077A9517">
      <w:pPr>
        <w:widowControl/>
        <w:ind w:firstLine="1200" w:firstLineChars="500"/>
        <w:jc w:val="left"/>
        <w:rPr>
          <w:bCs/>
          <w:color w:val="auto"/>
        </w:rPr>
      </w:pPr>
      <w:r>
        <w:rPr>
          <w:bCs/>
          <w:i/>
          <w:color w:val="auto"/>
          <w:lang w:bidi="ar"/>
        </w:rPr>
        <w:t>P</w:t>
      </w:r>
      <w:r>
        <w:rPr>
          <w:bCs/>
          <w:i/>
          <w:color w:val="auto"/>
          <w:vertAlign w:val="subscript"/>
          <w:lang w:bidi="ar"/>
        </w:rPr>
        <w:t>0</w:t>
      </w:r>
      <w:r>
        <w:rPr>
          <w:bCs/>
          <w:color w:val="auto"/>
          <w:lang w:bidi="ar"/>
        </w:rPr>
        <w:t>—环境压力，Pa；</w:t>
      </w:r>
    </w:p>
    <w:p w14:paraId="04B65825">
      <w:pPr>
        <w:widowControl/>
        <w:ind w:firstLine="1200" w:firstLineChars="500"/>
        <w:jc w:val="left"/>
        <w:rPr>
          <w:bCs/>
          <w:color w:val="auto"/>
        </w:rPr>
      </w:pPr>
      <w:r>
        <w:rPr>
          <w:bCs/>
          <w:color w:val="auto"/>
          <w:lang w:bidi="ar"/>
        </w:rPr>
        <w:t>ρ——泄漏液体密度，kg/m</w:t>
      </w:r>
      <w:r>
        <w:rPr>
          <w:bCs/>
          <w:color w:val="auto"/>
          <w:vertAlign w:val="superscript"/>
          <w:lang w:bidi="ar"/>
        </w:rPr>
        <w:t>3</w:t>
      </w:r>
      <w:r>
        <w:rPr>
          <w:bCs/>
          <w:color w:val="auto"/>
          <w:lang w:bidi="ar"/>
        </w:rPr>
        <w:t>；</w:t>
      </w:r>
    </w:p>
    <w:p w14:paraId="62602D2D">
      <w:pPr>
        <w:widowControl/>
        <w:ind w:firstLine="1200" w:firstLineChars="500"/>
        <w:jc w:val="left"/>
        <w:rPr>
          <w:bCs/>
          <w:color w:val="auto"/>
        </w:rPr>
      </w:pPr>
      <w:r>
        <w:rPr>
          <w:bCs/>
          <w:i/>
          <w:color w:val="auto"/>
          <w:lang w:bidi="ar"/>
        </w:rPr>
        <w:t>g</w:t>
      </w:r>
      <w:r>
        <w:rPr>
          <w:bCs/>
          <w:color w:val="auto"/>
          <w:lang w:bidi="ar"/>
        </w:rPr>
        <w:t>—重力加速度，9.8</w:t>
      </w:r>
      <w:r>
        <w:rPr>
          <w:rFonts w:hint="eastAsia"/>
          <w:bCs/>
          <w:color w:val="auto"/>
          <w:lang w:bidi="ar"/>
        </w:rPr>
        <w:t>0</w:t>
      </w:r>
      <w:r>
        <w:rPr>
          <w:bCs/>
          <w:color w:val="auto"/>
          <w:lang w:bidi="ar"/>
        </w:rPr>
        <w:t>m/s</w:t>
      </w:r>
      <w:r>
        <w:rPr>
          <w:bCs/>
          <w:color w:val="auto"/>
          <w:vertAlign w:val="superscript"/>
          <w:lang w:bidi="ar"/>
        </w:rPr>
        <w:t>2</w:t>
      </w:r>
      <w:r>
        <w:rPr>
          <w:bCs/>
          <w:color w:val="auto"/>
          <w:lang w:bidi="ar"/>
        </w:rPr>
        <w:t>；</w:t>
      </w:r>
    </w:p>
    <w:p w14:paraId="1EB1F7DC">
      <w:pPr>
        <w:widowControl/>
        <w:ind w:firstLine="1200" w:firstLineChars="500"/>
        <w:jc w:val="left"/>
        <w:rPr>
          <w:color w:val="auto"/>
        </w:rPr>
      </w:pPr>
      <w:r>
        <w:rPr>
          <w:bCs/>
          <w:i/>
          <w:color w:val="auto"/>
          <w:lang w:bidi="ar"/>
        </w:rPr>
        <w:t>h</w:t>
      </w:r>
      <w:r>
        <w:rPr>
          <w:bCs/>
          <w:color w:val="auto"/>
          <w:lang w:bidi="ar"/>
        </w:rPr>
        <w:t>—裂口之上液</w:t>
      </w:r>
      <w:r>
        <w:rPr>
          <w:color w:val="auto"/>
          <w:lang w:bidi="ar"/>
        </w:rPr>
        <w:t>位高度，m</w:t>
      </w:r>
    </w:p>
    <w:p w14:paraId="2C7E649A">
      <w:pPr>
        <w:widowControl/>
        <w:ind w:firstLine="1200" w:firstLineChars="500"/>
        <w:jc w:val="left"/>
        <w:rPr>
          <w:bCs/>
          <w:color w:val="auto"/>
        </w:rPr>
      </w:pPr>
      <w:r>
        <w:rPr>
          <w:bCs/>
          <w:i/>
          <w:color w:val="auto"/>
          <w:lang w:bidi="ar"/>
        </w:rPr>
        <w:t>C</w:t>
      </w:r>
      <w:r>
        <w:rPr>
          <w:bCs/>
          <w:i/>
          <w:color w:val="auto"/>
          <w:vertAlign w:val="subscript"/>
          <w:lang w:bidi="ar"/>
        </w:rPr>
        <w:t>d</w:t>
      </w:r>
      <w:r>
        <w:rPr>
          <w:bCs/>
          <w:color w:val="auto"/>
          <w:lang w:bidi="ar"/>
        </w:rPr>
        <w:t>—液体泄漏系数，此值常用0.6-0.64，取0.62；</w:t>
      </w:r>
    </w:p>
    <w:p w14:paraId="07E62BD6">
      <w:pPr>
        <w:widowControl/>
        <w:ind w:firstLine="1200" w:firstLineChars="500"/>
        <w:jc w:val="left"/>
        <w:rPr>
          <w:bCs/>
          <w:color w:val="auto"/>
        </w:rPr>
      </w:pPr>
      <w:r>
        <w:rPr>
          <w:bCs/>
          <w:i/>
          <w:color w:val="auto"/>
          <w:lang w:bidi="ar"/>
        </w:rPr>
        <w:t>A</w:t>
      </w:r>
      <w:r>
        <w:rPr>
          <w:bCs/>
          <w:color w:val="auto"/>
          <w:lang w:bidi="ar"/>
        </w:rPr>
        <w:t>—裂口面积，m</w:t>
      </w:r>
      <w:r>
        <w:rPr>
          <w:bCs/>
          <w:color w:val="auto"/>
          <w:vertAlign w:val="superscript"/>
          <w:lang w:bidi="ar"/>
        </w:rPr>
        <w:t>2</w:t>
      </w:r>
      <w:r>
        <w:rPr>
          <w:color w:val="auto"/>
          <w:lang w:bidi="ar"/>
        </w:rPr>
        <w:t>。</w:t>
      </w:r>
    </w:p>
    <w:p w14:paraId="242C5396">
      <w:pPr>
        <w:ind w:firstLine="480"/>
        <w:rPr>
          <w:color w:val="auto"/>
        </w:rPr>
      </w:pPr>
      <w:r>
        <w:rPr>
          <w:color w:val="auto"/>
        </w:rPr>
        <w:t>有毒化学物质泄漏后，气态有毒物质全部进入大气，液态物</w:t>
      </w:r>
      <w:r>
        <w:rPr>
          <w:rFonts w:hint="eastAsia"/>
          <w:color w:val="auto"/>
        </w:rPr>
        <w:t>料部分蒸发进入大气，其余仍以液态形式存在，待收容处理。</w:t>
      </w:r>
    </w:p>
    <w:p w14:paraId="538F66BA">
      <w:pPr>
        <w:ind w:firstLine="482"/>
        <w:rPr>
          <w:b/>
          <w:bCs/>
          <w:color w:val="auto"/>
        </w:rPr>
      </w:pPr>
      <w:r>
        <w:rPr>
          <w:b/>
          <w:bCs/>
          <w:color w:val="auto"/>
        </w:rPr>
        <w:t>2</w:t>
      </w:r>
      <w:r>
        <w:rPr>
          <w:rFonts w:hint="eastAsia"/>
          <w:b/>
          <w:bCs/>
          <w:color w:val="auto"/>
        </w:rPr>
        <w:t>、物料泄漏量计算</w:t>
      </w:r>
    </w:p>
    <w:p w14:paraId="3F64C11E">
      <w:pPr>
        <w:ind w:firstLine="480"/>
        <w:rPr>
          <w:color w:val="auto"/>
        </w:rPr>
      </w:pPr>
      <w:r>
        <w:rPr>
          <w:rFonts w:hint="eastAsia"/>
          <w:color w:val="auto"/>
        </w:rPr>
        <w:t>本项目考虑泄漏点设为半径</w:t>
      </w:r>
      <w:r>
        <w:rPr>
          <w:color w:val="auto"/>
        </w:rPr>
        <w:t>10mm</w:t>
      </w:r>
      <w:r>
        <w:rPr>
          <w:rFonts w:hint="eastAsia"/>
          <w:color w:val="auto"/>
        </w:rPr>
        <w:t>的圆形裂缝，则裂口面积S=</w:t>
      </w:r>
      <w:r>
        <w:rPr>
          <w:color w:val="auto"/>
        </w:rPr>
        <w:t>0.785cm</w:t>
      </w:r>
      <w:r>
        <w:rPr>
          <w:color w:val="auto"/>
          <w:vertAlign w:val="superscript"/>
        </w:rPr>
        <w:t>2</w:t>
      </w:r>
      <w:r>
        <w:rPr>
          <w:rFonts w:hint="eastAsia"/>
          <w:color w:val="auto"/>
        </w:rPr>
        <w:t>。根据泄漏计算公式计算得到硫酸泄漏速率为1.86</w:t>
      </w:r>
      <w:r>
        <w:rPr>
          <w:color w:val="auto"/>
        </w:rPr>
        <w:t>kg/s</w:t>
      </w:r>
      <w:r>
        <w:rPr>
          <w:rFonts w:hint="eastAsia"/>
          <w:color w:val="auto"/>
        </w:rPr>
        <w:t>。考虑</w:t>
      </w:r>
      <w:r>
        <w:rPr>
          <w:color w:val="auto"/>
        </w:rPr>
        <w:t>15min</w:t>
      </w:r>
      <w:r>
        <w:rPr>
          <w:rFonts w:hint="eastAsia"/>
          <w:color w:val="auto"/>
        </w:rPr>
        <w:t>事故泄漏应急时间，则30</w:t>
      </w:r>
      <w:r>
        <w:rPr>
          <w:color w:val="auto"/>
        </w:rPr>
        <w:t>min</w:t>
      </w:r>
      <w:r>
        <w:rPr>
          <w:rFonts w:hint="eastAsia"/>
          <w:color w:val="auto"/>
        </w:rPr>
        <w:t>内的硫酸泄漏量约3348</w:t>
      </w:r>
      <w:r>
        <w:rPr>
          <w:color w:val="auto"/>
        </w:rPr>
        <w:t>kg</w:t>
      </w:r>
      <w:r>
        <w:rPr>
          <w:rFonts w:hint="eastAsia"/>
          <w:color w:val="auto"/>
        </w:rPr>
        <w:t>。</w:t>
      </w:r>
    </w:p>
    <w:p w14:paraId="175163AF">
      <w:pPr>
        <w:ind w:firstLine="480"/>
        <w:rPr>
          <w:color w:val="auto"/>
        </w:rPr>
      </w:pPr>
      <w:r>
        <w:rPr>
          <w:rFonts w:hint="eastAsia"/>
          <w:color w:val="auto"/>
        </w:rPr>
        <w:t>液氨钢瓶高度约2.5m，充装系数为0.52，因此液氨储罐液位平均高度1.3m计，故设泄漏点之上液位高度为1.3m，裂口大小假设为孔径10mm的圆，S=0.785cm</w:t>
      </w:r>
      <w:r>
        <w:rPr>
          <w:rFonts w:hint="eastAsia"/>
          <w:color w:val="auto"/>
          <w:vertAlign w:val="superscript"/>
        </w:rPr>
        <w:t>2</w:t>
      </w:r>
      <w:r>
        <w:rPr>
          <w:rFonts w:hint="eastAsia"/>
          <w:color w:val="auto"/>
        </w:rPr>
        <w:t>。据此估算得到：</w:t>
      </w:r>
    </w:p>
    <w:p w14:paraId="2869E480">
      <w:pPr>
        <w:ind w:firstLine="480"/>
        <w:rPr>
          <w:color w:val="auto"/>
        </w:rPr>
      </w:pPr>
      <w:r>
        <w:rPr>
          <w:rFonts w:hint="eastAsia"/>
          <w:color w:val="auto"/>
        </w:rPr>
        <w:t>扩散过程中，液态部分仍会不断气化为蒸气。估算得出液氨储罐事故泄漏两相混合物泄漏速率为2.6kg/s，其中纯气体速率为0.442kg/s，液态比例0.83。按照保守估计持续泄漏30min，两相混合物泄漏量为2340kg，气体部分约为397.8kg。</w:t>
      </w:r>
    </w:p>
    <w:p w14:paraId="016FD79F">
      <w:pPr>
        <w:spacing w:line="240" w:lineRule="auto"/>
        <w:ind w:firstLine="0" w:firstLineChars="0"/>
        <w:jc w:val="center"/>
        <w:rPr>
          <w:b/>
          <w:color w:val="auto"/>
        </w:rPr>
      </w:pPr>
      <w:r>
        <w:rPr>
          <w:b/>
          <w:color w:val="auto"/>
          <w:lang w:bidi="ar"/>
        </w:rPr>
        <w:t xml:space="preserve">表6.2.8-3  </w:t>
      </w:r>
      <w:r>
        <w:rPr>
          <w:rFonts w:hint="eastAsia"/>
          <w:b/>
          <w:color w:val="auto"/>
          <w:lang w:bidi="ar"/>
        </w:rPr>
        <w:t>物料</w:t>
      </w:r>
      <w:r>
        <w:rPr>
          <w:b/>
          <w:color w:val="auto"/>
          <w:lang w:bidi="ar"/>
        </w:rPr>
        <w:t>泄漏事故源项分析表</w:t>
      </w:r>
    </w:p>
    <w:tbl>
      <w:tblPr>
        <w:tblStyle w:val="88"/>
        <w:tblW w:w="47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51"/>
        <w:gridCol w:w="1115"/>
        <w:gridCol w:w="1931"/>
        <w:gridCol w:w="1454"/>
        <w:gridCol w:w="1584"/>
        <w:gridCol w:w="1075"/>
      </w:tblGrid>
      <w:tr w14:paraId="3419C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3AAFAF6D">
            <w:pPr>
              <w:widowControl/>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泄漏设备类型</w:t>
            </w:r>
          </w:p>
        </w:tc>
        <w:tc>
          <w:tcPr>
            <w:tcW w:w="633" w:type="pct"/>
            <w:tcBorders>
              <w:tl2br w:val="nil"/>
              <w:tr2bl w:val="nil"/>
            </w:tcBorders>
            <w:shd w:val="clear" w:color="auto" w:fill="auto"/>
            <w:vAlign w:val="center"/>
          </w:tcPr>
          <w:p w14:paraId="00E9B913">
            <w:pPr>
              <w:widowControl/>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贮存桶</w:t>
            </w:r>
          </w:p>
        </w:tc>
        <w:tc>
          <w:tcPr>
            <w:tcW w:w="1096" w:type="pct"/>
            <w:tcBorders>
              <w:tl2br w:val="nil"/>
              <w:tr2bl w:val="nil"/>
            </w:tcBorders>
            <w:shd w:val="clear" w:color="auto" w:fill="auto"/>
            <w:tcMar>
              <w:left w:w="108" w:type="dxa"/>
              <w:right w:w="108" w:type="dxa"/>
            </w:tcMar>
            <w:vAlign w:val="center"/>
          </w:tcPr>
          <w:p w14:paraId="216DCFFE">
            <w:pPr>
              <w:widowControl/>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操作温度/℃</w:t>
            </w:r>
          </w:p>
        </w:tc>
        <w:tc>
          <w:tcPr>
            <w:tcW w:w="825" w:type="pct"/>
            <w:tcBorders>
              <w:tl2br w:val="nil"/>
              <w:tr2bl w:val="nil"/>
            </w:tcBorders>
            <w:shd w:val="clear" w:color="auto" w:fill="auto"/>
            <w:tcMar>
              <w:left w:w="108" w:type="dxa"/>
              <w:right w:w="108" w:type="dxa"/>
            </w:tcMar>
            <w:vAlign w:val="center"/>
          </w:tcPr>
          <w:p w14:paraId="0CD0FEB2">
            <w:pPr>
              <w:widowControl/>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常温</w:t>
            </w:r>
          </w:p>
        </w:tc>
        <w:tc>
          <w:tcPr>
            <w:tcW w:w="899" w:type="pct"/>
            <w:tcBorders>
              <w:tl2br w:val="nil"/>
              <w:tr2bl w:val="nil"/>
            </w:tcBorders>
            <w:shd w:val="clear" w:color="auto" w:fill="auto"/>
            <w:tcMar>
              <w:left w:w="108" w:type="dxa"/>
              <w:right w:w="108" w:type="dxa"/>
            </w:tcMar>
            <w:vAlign w:val="center"/>
          </w:tcPr>
          <w:p w14:paraId="48C7B337">
            <w:pPr>
              <w:widowControl/>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操作压力/Mpa</w:t>
            </w:r>
          </w:p>
        </w:tc>
        <w:tc>
          <w:tcPr>
            <w:tcW w:w="608" w:type="pct"/>
            <w:tcBorders>
              <w:tl2br w:val="nil"/>
              <w:tr2bl w:val="nil"/>
            </w:tcBorders>
            <w:shd w:val="clear" w:color="auto" w:fill="auto"/>
            <w:vAlign w:val="center"/>
          </w:tcPr>
          <w:p w14:paraId="30331E2F">
            <w:pPr>
              <w:widowControl/>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常压</w:t>
            </w:r>
          </w:p>
        </w:tc>
      </w:tr>
      <w:tr w14:paraId="51717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5000" w:type="pct"/>
            <w:gridSpan w:val="6"/>
            <w:tcBorders>
              <w:tl2br w:val="nil"/>
              <w:tr2bl w:val="nil"/>
            </w:tcBorders>
            <w:shd w:val="clear" w:color="auto" w:fill="auto"/>
            <w:tcMar>
              <w:left w:w="108" w:type="dxa"/>
              <w:right w:w="108" w:type="dxa"/>
            </w:tcMar>
            <w:vAlign w:val="center"/>
          </w:tcPr>
          <w:p w14:paraId="5B11B59F">
            <w:pPr>
              <w:widowControl/>
              <w:overflowPunct w:val="0"/>
              <w:spacing w:line="240" w:lineRule="auto"/>
              <w:ind w:firstLine="0" w:firstLineChars="0"/>
              <w:jc w:val="center"/>
              <w:textAlignment w:val="baseline"/>
              <w:rPr>
                <w:b/>
                <w:color w:val="auto"/>
                <w:kern w:val="24"/>
                <w:sz w:val="21"/>
                <w:szCs w:val="21"/>
                <w:lang w:bidi="ar"/>
              </w:rPr>
            </w:pPr>
            <w:r>
              <w:rPr>
                <w:rFonts w:hint="eastAsia"/>
                <w:b/>
                <w:color w:val="auto"/>
                <w:kern w:val="24"/>
                <w:sz w:val="21"/>
                <w:szCs w:val="21"/>
                <w:lang w:bidi="ar"/>
              </w:rPr>
              <w:t>硫酸</w:t>
            </w:r>
          </w:p>
        </w:tc>
      </w:tr>
      <w:tr w14:paraId="1745B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0805F79D">
            <w:pPr>
              <w:widowControl/>
              <w:overflowPunct w:val="0"/>
              <w:spacing w:line="240" w:lineRule="auto"/>
              <w:ind w:firstLine="0" w:firstLineChars="0"/>
              <w:jc w:val="center"/>
              <w:textAlignment w:val="baseline"/>
              <w:rPr>
                <w:bCs/>
                <w:color w:val="auto"/>
                <w:kern w:val="44"/>
                <w:sz w:val="21"/>
                <w:szCs w:val="21"/>
              </w:rPr>
            </w:pPr>
            <w:r>
              <w:rPr>
                <w:bCs/>
                <w:color w:val="auto"/>
                <w:kern w:val="24"/>
                <w:sz w:val="21"/>
                <w:szCs w:val="21"/>
                <w:lang w:bidi="ar"/>
              </w:rPr>
              <w:t>泄漏危险物质</w:t>
            </w:r>
          </w:p>
        </w:tc>
        <w:tc>
          <w:tcPr>
            <w:tcW w:w="633" w:type="pct"/>
            <w:tcBorders>
              <w:tl2br w:val="nil"/>
              <w:tr2bl w:val="nil"/>
            </w:tcBorders>
            <w:shd w:val="clear" w:color="auto" w:fill="auto"/>
            <w:vAlign w:val="center"/>
          </w:tcPr>
          <w:p w14:paraId="67F8E865">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H</w:t>
            </w:r>
            <w:r>
              <w:rPr>
                <w:bCs/>
                <w:color w:val="auto"/>
                <w:kern w:val="24"/>
                <w:sz w:val="21"/>
                <w:szCs w:val="21"/>
                <w:vertAlign w:val="subscript"/>
                <w:lang w:bidi="ar"/>
              </w:rPr>
              <w:t>2</w:t>
            </w:r>
            <w:r>
              <w:rPr>
                <w:bCs/>
                <w:color w:val="auto"/>
                <w:kern w:val="24"/>
                <w:sz w:val="21"/>
                <w:szCs w:val="21"/>
                <w:lang w:bidi="ar"/>
              </w:rPr>
              <w:t>SO</w:t>
            </w:r>
            <w:r>
              <w:rPr>
                <w:bCs/>
                <w:color w:val="auto"/>
                <w:kern w:val="24"/>
                <w:sz w:val="21"/>
                <w:szCs w:val="21"/>
                <w:vertAlign w:val="subscript"/>
                <w:lang w:bidi="ar"/>
              </w:rPr>
              <w:t>4</w:t>
            </w:r>
          </w:p>
        </w:tc>
        <w:tc>
          <w:tcPr>
            <w:tcW w:w="1096" w:type="pct"/>
            <w:tcBorders>
              <w:tl2br w:val="nil"/>
              <w:tr2bl w:val="nil"/>
            </w:tcBorders>
            <w:shd w:val="clear" w:color="auto" w:fill="auto"/>
            <w:tcMar>
              <w:left w:w="108" w:type="dxa"/>
              <w:right w:w="108" w:type="dxa"/>
            </w:tcMar>
            <w:vAlign w:val="center"/>
          </w:tcPr>
          <w:p w14:paraId="52F86AE5">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最大存在量/kg</w:t>
            </w:r>
          </w:p>
        </w:tc>
        <w:tc>
          <w:tcPr>
            <w:tcW w:w="825" w:type="pct"/>
            <w:tcBorders>
              <w:tl2br w:val="nil"/>
              <w:tr2bl w:val="nil"/>
            </w:tcBorders>
            <w:shd w:val="clear" w:color="auto" w:fill="auto"/>
            <w:tcMar>
              <w:left w:w="108" w:type="dxa"/>
              <w:right w:w="108" w:type="dxa"/>
            </w:tcMar>
            <w:vAlign w:val="center"/>
          </w:tcPr>
          <w:p w14:paraId="1F29A4DE">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w:t>
            </w:r>
          </w:p>
        </w:tc>
        <w:tc>
          <w:tcPr>
            <w:tcW w:w="899" w:type="pct"/>
            <w:tcBorders>
              <w:tl2br w:val="nil"/>
              <w:tr2bl w:val="nil"/>
            </w:tcBorders>
            <w:shd w:val="clear" w:color="auto" w:fill="auto"/>
            <w:tcMar>
              <w:left w:w="108" w:type="dxa"/>
              <w:right w:w="108" w:type="dxa"/>
            </w:tcMar>
            <w:vAlign w:val="center"/>
          </w:tcPr>
          <w:p w14:paraId="1BA68BAD">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泄漏孔径/mm</w:t>
            </w:r>
          </w:p>
        </w:tc>
        <w:tc>
          <w:tcPr>
            <w:tcW w:w="608" w:type="pct"/>
            <w:tcBorders>
              <w:tl2br w:val="nil"/>
              <w:tr2bl w:val="nil"/>
            </w:tcBorders>
            <w:shd w:val="clear" w:color="auto" w:fill="auto"/>
            <w:vAlign w:val="center"/>
          </w:tcPr>
          <w:p w14:paraId="5F493A12">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10</w:t>
            </w:r>
          </w:p>
        </w:tc>
      </w:tr>
      <w:tr w14:paraId="66235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687D1702">
            <w:pPr>
              <w:widowControl/>
              <w:overflowPunct w:val="0"/>
              <w:spacing w:line="240" w:lineRule="auto"/>
              <w:ind w:firstLine="0" w:firstLineChars="0"/>
              <w:jc w:val="center"/>
              <w:textAlignment w:val="baseline"/>
              <w:rPr>
                <w:bCs/>
                <w:color w:val="auto"/>
                <w:kern w:val="44"/>
                <w:sz w:val="21"/>
                <w:szCs w:val="21"/>
              </w:rPr>
            </w:pPr>
            <w:r>
              <w:rPr>
                <w:bCs/>
                <w:color w:val="auto"/>
                <w:kern w:val="44"/>
                <w:sz w:val="21"/>
                <w:szCs w:val="21"/>
                <w:lang w:bidi="ar"/>
              </w:rPr>
              <w:t>泄漏速率/(</w:t>
            </w:r>
            <w:r>
              <w:rPr>
                <w:bCs/>
                <w:color w:val="auto"/>
                <w:kern w:val="24"/>
                <w:sz w:val="21"/>
                <w:szCs w:val="21"/>
                <w:lang w:bidi="ar"/>
              </w:rPr>
              <w:t>kg/s</w:t>
            </w:r>
            <w:r>
              <w:rPr>
                <w:bCs/>
                <w:color w:val="auto"/>
                <w:kern w:val="44"/>
                <w:sz w:val="21"/>
                <w:szCs w:val="21"/>
                <w:lang w:bidi="ar"/>
              </w:rPr>
              <w:t>)</w:t>
            </w:r>
          </w:p>
        </w:tc>
        <w:tc>
          <w:tcPr>
            <w:tcW w:w="633" w:type="pct"/>
            <w:tcBorders>
              <w:tl2br w:val="nil"/>
              <w:tr2bl w:val="nil"/>
            </w:tcBorders>
            <w:shd w:val="clear" w:color="auto" w:fill="auto"/>
            <w:vAlign w:val="center"/>
          </w:tcPr>
          <w:p w14:paraId="21E8889C">
            <w:pPr>
              <w:widowControl/>
              <w:overflowPunct w:val="0"/>
              <w:spacing w:line="240" w:lineRule="auto"/>
              <w:ind w:firstLine="0" w:firstLineChars="0"/>
              <w:jc w:val="center"/>
              <w:textAlignment w:val="baseline"/>
              <w:rPr>
                <w:bCs/>
                <w:color w:val="auto"/>
                <w:kern w:val="24"/>
                <w:sz w:val="21"/>
                <w:szCs w:val="21"/>
              </w:rPr>
            </w:pPr>
            <w:r>
              <w:rPr>
                <w:rFonts w:hint="eastAsia"/>
                <w:bCs/>
                <w:color w:val="auto"/>
                <w:kern w:val="24"/>
                <w:sz w:val="21"/>
                <w:szCs w:val="21"/>
                <w:lang w:bidi="ar"/>
              </w:rPr>
              <w:t>1.86</w:t>
            </w:r>
          </w:p>
        </w:tc>
        <w:tc>
          <w:tcPr>
            <w:tcW w:w="1096" w:type="pct"/>
            <w:tcBorders>
              <w:tl2br w:val="nil"/>
              <w:tr2bl w:val="nil"/>
            </w:tcBorders>
            <w:shd w:val="clear" w:color="auto" w:fill="auto"/>
            <w:tcMar>
              <w:left w:w="108" w:type="dxa"/>
              <w:right w:w="108" w:type="dxa"/>
            </w:tcMar>
            <w:vAlign w:val="center"/>
          </w:tcPr>
          <w:p w14:paraId="70CD9D30">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泄漏时间/min</w:t>
            </w:r>
          </w:p>
        </w:tc>
        <w:tc>
          <w:tcPr>
            <w:tcW w:w="825" w:type="pct"/>
            <w:tcBorders>
              <w:tl2br w:val="nil"/>
              <w:tr2bl w:val="nil"/>
            </w:tcBorders>
            <w:shd w:val="clear" w:color="auto" w:fill="auto"/>
            <w:tcMar>
              <w:left w:w="108" w:type="dxa"/>
              <w:right w:w="108" w:type="dxa"/>
            </w:tcMar>
            <w:vAlign w:val="center"/>
          </w:tcPr>
          <w:p w14:paraId="1B143672">
            <w:pPr>
              <w:widowControl/>
              <w:overflowPunct w:val="0"/>
              <w:spacing w:line="240" w:lineRule="auto"/>
              <w:ind w:firstLine="0" w:firstLineChars="0"/>
              <w:jc w:val="center"/>
              <w:textAlignment w:val="baseline"/>
              <w:rPr>
                <w:bCs/>
                <w:color w:val="auto"/>
                <w:kern w:val="24"/>
                <w:sz w:val="21"/>
                <w:szCs w:val="21"/>
              </w:rPr>
            </w:pPr>
            <w:r>
              <w:rPr>
                <w:rFonts w:hint="eastAsia"/>
                <w:bCs/>
                <w:color w:val="auto"/>
                <w:kern w:val="24"/>
                <w:sz w:val="21"/>
                <w:szCs w:val="21"/>
                <w:lang w:bidi="ar"/>
              </w:rPr>
              <w:t>30</w:t>
            </w:r>
          </w:p>
        </w:tc>
        <w:tc>
          <w:tcPr>
            <w:tcW w:w="899" w:type="pct"/>
            <w:tcBorders>
              <w:tl2br w:val="nil"/>
              <w:tr2bl w:val="nil"/>
            </w:tcBorders>
            <w:shd w:val="clear" w:color="auto" w:fill="auto"/>
            <w:tcMar>
              <w:left w:w="108" w:type="dxa"/>
              <w:right w:w="108" w:type="dxa"/>
            </w:tcMar>
            <w:vAlign w:val="center"/>
          </w:tcPr>
          <w:p w14:paraId="71797E90">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泄漏量/kg</w:t>
            </w:r>
          </w:p>
        </w:tc>
        <w:tc>
          <w:tcPr>
            <w:tcW w:w="608" w:type="pct"/>
            <w:tcBorders>
              <w:tl2br w:val="nil"/>
              <w:tr2bl w:val="nil"/>
            </w:tcBorders>
            <w:shd w:val="clear" w:color="auto" w:fill="auto"/>
            <w:vAlign w:val="center"/>
          </w:tcPr>
          <w:p w14:paraId="5CF961A2">
            <w:pPr>
              <w:widowControl/>
              <w:overflowPunct w:val="0"/>
              <w:spacing w:line="240" w:lineRule="auto"/>
              <w:ind w:firstLine="0" w:firstLineChars="0"/>
              <w:jc w:val="center"/>
              <w:textAlignment w:val="baseline"/>
              <w:rPr>
                <w:bCs/>
                <w:color w:val="auto"/>
                <w:kern w:val="24"/>
                <w:sz w:val="21"/>
                <w:szCs w:val="21"/>
              </w:rPr>
            </w:pPr>
            <w:r>
              <w:rPr>
                <w:rFonts w:hint="eastAsia"/>
                <w:bCs/>
                <w:color w:val="auto"/>
                <w:kern w:val="24"/>
                <w:sz w:val="21"/>
                <w:szCs w:val="21"/>
                <w:lang w:bidi="ar"/>
              </w:rPr>
              <w:t>3348</w:t>
            </w:r>
          </w:p>
        </w:tc>
      </w:tr>
      <w:tr w14:paraId="66598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76131DDE">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泄漏高度/m</w:t>
            </w:r>
          </w:p>
        </w:tc>
        <w:tc>
          <w:tcPr>
            <w:tcW w:w="633" w:type="pct"/>
            <w:tcBorders>
              <w:tl2br w:val="nil"/>
              <w:tr2bl w:val="nil"/>
            </w:tcBorders>
            <w:shd w:val="clear" w:color="auto" w:fill="auto"/>
            <w:vAlign w:val="center"/>
          </w:tcPr>
          <w:p w14:paraId="566DB739">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w:t>
            </w:r>
          </w:p>
        </w:tc>
        <w:tc>
          <w:tcPr>
            <w:tcW w:w="1096" w:type="pct"/>
            <w:tcBorders>
              <w:tl2br w:val="nil"/>
              <w:tr2bl w:val="nil"/>
            </w:tcBorders>
            <w:shd w:val="clear" w:color="auto" w:fill="auto"/>
            <w:tcMar>
              <w:left w:w="108" w:type="dxa"/>
              <w:right w:w="108" w:type="dxa"/>
            </w:tcMar>
            <w:vAlign w:val="center"/>
          </w:tcPr>
          <w:p w14:paraId="4A1ADD00">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泄漏频率</w:t>
            </w:r>
          </w:p>
        </w:tc>
        <w:tc>
          <w:tcPr>
            <w:tcW w:w="825" w:type="pct"/>
            <w:tcBorders>
              <w:tl2br w:val="nil"/>
              <w:tr2bl w:val="nil"/>
            </w:tcBorders>
            <w:shd w:val="clear" w:color="auto" w:fill="auto"/>
            <w:tcMar>
              <w:left w:w="108" w:type="dxa"/>
              <w:right w:w="108" w:type="dxa"/>
            </w:tcMar>
            <w:vAlign w:val="center"/>
          </w:tcPr>
          <w:p w14:paraId="039D13EF">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1×10</w:t>
            </w:r>
            <w:r>
              <w:rPr>
                <w:bCs/>
                <w:color w:val="auto"/>
                <w:kern w:val="24"/>
                <w:sz w:val="21"/>
                <w:szCs w:val="21"/>
                <w:vertAlign w:val="superscript"/>
                <w:lang w:bidi="ar"/>
              </w:rPr>
              <w:t xml:space="preserve">-4 </w:t>
            </w:r>
            <w:r>
              <w:rPr>
                <w:bCs/>
                <w:color w:val="auto"/>
                <w:kern w:val="24"/>
                <w:sz w:val="21"/>
                <w:szCs w:val="21"/>
                <w:lang w:bidi="ar"/>
              </w:rPr>
              <w:t>/a</w:t>
            </w:r>
          </w:p>
        </w:tc>
        <w:tc>
          <w:tcPr>
            <w:tcW w:w="899" w:type="pct"/>
            <w:tcBorders>
              <w:tl2br w:val="nil"/>
              <w:tr2bl w:val="nil"/>
            </w:tcBorders>
            <w:shd w:val="clear" w:color="auto" w:fill="auto"/>
            <w:tcMar>
              <w:left w:w="108" w:type="dxa"/>
              <w:right w:w="108" w:type="dxa"/>
            </w:tcMar>
            <w:vAlign w:val="center"/>
          </w:tcPr>
          <w:p w14:paraId="3C125D84">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w:t>
            </w:r>
          </w:p>
        </w:tc>
        <w:tc>
          <w:tcPr>
            <w:tcW w:w="608" w:type="pct"/>
            <w:tcBorders>
              <w:tl2br w:val="nil"/>
              <w:tr2bl w:val="nil"/>
            </w:tcBorders>
            <w:shd w:val="clear" w:color="auto" w:fill="auto"/>
            <w:vAlign w:val="center"/>
          </w:tcPr>
          <w:p w14:paraId="279A5271">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w:t>
            </w:r>
          </w:p>
        </w:tc>
      </w:tr>
      <w:tr w14:paraId="190F1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5000" w:type="pct"/>
            <w:gridSpan w:val="6"/>
            <w:tcBorders>
              <w:tl2br w:val="nil"/>
              <w:tr2bl w:val="nil"/>
            </w:tcBorders>
            <w:shd w:val="clear" w:color="auto" w:fill="auto"/>
            <w:tcMar>
              <w:left w:w="108" w:type="dxa"/>
              <w:right w:w="108" w:type="dxa"/>
            </w:tcMar>
            <w:vAlign w:val="center"/>
          </w:tcPr>
          <w:p w14:paraId="13FAD6CC">
            <w:pPr>
              <w:widowControl/>
              <w:overflowPunct w:val="0"/>
              <w:spacing w:line="240" w:lineRule="auto"/>
              <w:ind w:firstLine="0" w:firstLineChars="0"/>
              <w:jc w:val="center"/>
              <w:textAlignment w:val="baseline"/>
              <w:rPr>
                <w:bCs/>
                <w:color w:val="auto"/>
                <w:kern w:val="24"/>
                <w:sz w:val="21"/>
                <w:szCs w:val="21"/>
                <w:lang w:bidi="ar"/>
              </w:rPr>
            </w:pPr>
            <w:r>
              <w:rPr>
                <w:rFonts w:hint="eastAsia"/>
                <w:b/>
                <w:color w:val="auto"/>
                <w:kern w:val="24"/>
                <w:sz w:val="21"/>
                <w:szCs w:val="21"/>
                <w:lang w:bidi="ar"/>
              </w:rPr>
              <w:t>液氨</w:t>
            </w:r>
          </w:p>
        </w:tc>
      </w:tr>
      <w:tr w14:paraId="7650A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730BC080">
            <w:pPr>
              <w:widowControl/>
              <w:overflowPunct w:val="0"/>
              <w:spacing w:line="240" w:lineRule="auto"/>
              <w:ind w:firstLine="0" w:firstLineChars="0"/>
              <w:jc w:val="center"/>
              <w:textAlignment w:val="baseline"/>
              <w:rPr>
                <w:bCs/>
                <w:color w:val="auto"/>
                <w:kern w:val="44"/>
                <w:sz w:val="21"/>
                <w:szCs w:val="21"/>
              </w:rPr>
            </w:pPr>
            <w:r>
              <w:rPr>
                <w:bCs/>
                <w:color w:val="auto"/>
                <w:kern w:val="24"/>
                <w:sz w:val="21"/>
                <w:szCs w:val="21"/>
                <w:lang w:bidi="ar"/>
              </w:rPr>
              <w:t>泄漏危险物质</w:t>
            </w:r>
          </w:p>
        </w:tc>
        <w:tc>
          <w:tcPr>
            <w:tcW w:w="633" w:type="pct"/>
            <w:tcBorders>
              <w:tl2br w:val="nil"/>
              <w:tr2bl w:val="nil"/>
            </w:tcBorders>
            <w:shd w:val="clear" w:color="auto" w:fill="auto"/>
            <w:vAlign w:val="center"/>
          </w:tcPr>
          <w:p w14:paraId="24E4F659">
            <w:pPr>
              <w:widowControl/>
              <w:overflowPunct w:val="0"/>
              <w:spacing w:line="240" w:lineRule="auto"/>
              <w:ind w:firstLine="0" w:firstLineChars="0"/>
              <w:jc w:val="center"/>
              <w:textAlignment w:val="baseline"/>
              <w:rPr>
                <w:bCs/>
                <w:color w:val="auto"/>
                <w:kern w:val="24"/>
                <w:sz w:val="21"/>
                <w:szCs w:val="21"/>
              </w:rPr>
            </w:pPr>
            <w:r>
              <w:rPr>
                <w:rFonts w:hint="eastAsia"/>
                <w:bCs/>
                <w:color w:val="auto"/>
                <w:kern w:val="24"/>
                <w:sz w:val="21"/>
                <w:szCs w:val="21"/>
                <w:lang w:bidi="ar"/>
              </w:rPr>
              <w:t>NH</w:t>
            </w:r>
            <w:r>
              <w:rPr>
                <w:rFonts w:hint="eastAsia"/>
                <w:bCs/>
                <w:color w:val="auto"/>
                <w:kern w:val="24"/>
                <w:sz w:val="21"/>
                <w:szCs w:val="21"/>
                <w:vertAlign w:val="subscript"/>
                <w:lang w:bidi="ar"/>
              </w:rPr>
              <w:t>3</w:t>
            </w:r>
          </w:p>
        </w:tc>
        <w:tc>
          <w:tcPr>
            <w:tcW w:w="1096" w:type="pct"/>
            <w:tcBorders>
              <w:tl2br w:val="nil"/>
              <w:tr2bl w:val="nil"/>
            </w:tcBorders>
            <w:shd w:val="clear" w:color="auto" w:fill="auto"/>
            <w:tcMar>
              <w:left w:w="108" w:type="dxa"/>
              <w:right w:w="108" w:type="dxa"/>
            </w:tcMar>
            <w:vAlign w:val="center"/>
          </w:tcPr>
          <w:p w14:paraId="7ECB73F1">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最大存在量/kg</w:t>
            </w:r>
          </w:p>
        </w:tc>
        <w:tc>
          <w:tcPr>
            <w:tcW w:w="825" w:type="pct"/>
            <w:tcBorders>
              <w:tl2br w:val="nil"/>
              <w:tr2bl w:val="nil"/>
            </w:tcBorders>
            <w:shd w:val="clear" w:color="auto" w:fill="auto"/>
            <w:tcMar>
              <w:left w:w="108" w:type="dxa"/>
              <w:right w:w="108" w:type="dxa"/>
            </w:tcMar>
            <w:vAlign w:val="center"/>
          </w:tcPr>
          <w:p w14:paraId="5E2BECEB">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w:t>
            </w:r>
          </w:p>
        </w:tc>
        <w:tc>
          <w:tcPr>
            <w:tcW w:w="899" w:type="pct"/>
            <w:tcBorders>
              <w:tl2br w:val="nil"/>
              <w:tr2bl w:val="nil"/>
            </w:tcBorders>
            <w:shd w:val="clear" w:color="auto" w:fill="auto"/>
            <w:tcMar>
              <w:left w:w="108" w:type="dxa"/>
              <w:right w:w="108" w:type="dxa"/>
            </w:tcMar>
            <w:vAlign w:val="center"/>
          </w:tcPr>
          <w:p w14:paraId="562CE3B0">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泄漏孔径/mm</w:t>
            </w:r>
          </w:p>
        </w:tc>
        <w:tc>
          <w:tcPr>
            <w:tcW w:w="608" w:type="pct"/>
            <w:tcBorders>
              <w:tl2br w:val="nil"/>
              <w:tr2bl w:val="nil"/>
            </w:tcBorders>
            <w:shd w:val="clear" w:color="auto" w:fill="auto"/>
            <w:vAlign w:val="center"/>
          </w:tcPr>
          <w:p w14:paraId="1327BB7F">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10</w:t>
            </w:r>
          </w:p>
        </w:tc>
      </w:tr>
      <w:tr w14:paraId="213C3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0E4F6A7D">
            <w:pPr>
              <w:widowControl/>
              <w:overflowPunct w:val="0"/>
              <w:spacing w:line="240" w:lineRule="auto"/>
              <w:ind w:firstLine="0" w:firstLineChars="0"/>
              <w:jc w:val="center"/>
              <w:textAlignment w:val="baseline"/>
              <w:rPr>
                <w:bCs/>
                <w:color w:val="auto"/>
                <w:kern w:val="44"/>
                <w:sz w:val="21"/>
                <w:szCs w:val="21"/>
              </w:rPr>
            </w:pPr>
            <w:r>
              <w:rPr>
                <w:bCs/>
                <w:color w:val="auto"/>
                <w:kern w:val="44"/>
                <w:sz w:val="21"/>
                <w:szCs w:val="21"/>
                <w:lang w:bidi="ar"/>
              </w:rPr>
              <w:t>泄漏速率/(</w:t>
            </w:r>
            <w:r>
              <w:rPr>
                <w:bCs/>
                <w:color w:val="auto"/>
                <w:kern w:val="24"/>
                <w:sz w:val="21"/>
                <w:szCs w:val="21"/>
                <w:lang w:bidi="ar"/>
              </w:rPr>
              <w:t>kg/s</w:t>
            </w:r>
            <w:r>
              <w:rPr>
                <w:bCs/>
                <w:color w:val="auto"/>
                <w:kern w:val="44"/>
                <w:sz w:val="21"/>
                <w:szCs w:val="21"/>
                <w:lang w:bidi="ar"/>
              </w:rPr>
              <w:t>)</w:t>
            </w:r>
          </w:p>
        </w:tc>
        <w:tc>
          <w:tcPr>
            <w:tcW w:w="633" w:type="pct"/>
            <w:tcBorders>
              <w:tl2br w:val="nil"/>
              <w:tr2bl w:val="nil"/>
            </w:tcBorders>
            <w:shd w:val="clear" w:color="auto" w:fill="auto"/>
            <w:vAlign w:val="center"/>
          </w:tcPr>
          <w:p w14:paraId="17B4F47C">
            <w:pPr>
              <w:widowControl/>
              <w:overflowPunct w:val="0"/>
              <w:spacing w:line="240" w:lineRule="auto"/>
              <w:ind w:firstLine="0" w:firstLineChars="0"/>
              <w:jc w:val="center"/>
              <w:textAlignment w:val="baseline"/>
              <w:rPr>
                <w:bCs/>
                <w:color w:val="auto"/>
                <w:kern w:val="24"/>
                <w:sz w:val="21"/>
                <w:szCs w:val="21"/>
              </w:rPr>
            </w:pPr>
            <w:r>
              <w:rPr>
                <w:rFonts w:hint="eastAsia"/>
                <w:bCs/>
                <w:color w:val="auto"/>
                <w:kern w:val="24"/>
                <w:sz w:val="21"/>
                <w:szCs w:val="21"/>
              </w:rPr>
              <w:t>2.6</w:t>
            </w:r>
          </w:p>
        </w:tc>
        <w:tc>
          <w:tcPr>
            <w:tcW w:w="1096" w:type="pct"/>
            <w:tcBorders>
              <w:tl2br w:val="nil"/>
              <w:tr2bl w:val="nil"/>
            </w:tcBorders>
            <w:shd w:val="clear" w:color="auto" w:fill="auto"/>
            <w:tcMar>
              <w:left w:w="108" w:type="dxa"/>
              <w:right w:w="108" w:type="dxa"/>
            </w:tcMar>
            <w:vAlign w:val="center"/>
          </w:tcPr>
          <w:p w14:paraId="1413FFEF">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泄漏时间/min</w:t>
            </w:r>
          </w:p>
        </w:tc>
        <w:tc>
          <w:tcPr>
            <w:tcW w:w="825" w:type="pct"/>
            <w:tcBorders>
              <w:tl2br w:val="nil"/>
              <w:tr2bl w:val="nil"/>
            </w:tcBorders>
            <w:shd w:val="clear" w:color="auto" w:fill="auto"/>
            <w:tcMar>
              <w:left w:w="108" w:type="dxa"/>
              <w:right w:w="108" w:type="dxa"/>
            </w:tcMar>
            <w:vAlign w:val="center"/>
          </w:tcPr>
          <w:p w14:paraId="5E4E20DB">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15</w:t>
            </w:r>
          </w:p>
        </w:tc>
        <w:tc>
          <w:tcPr>
            <w:tcW w:w="899" w:type="pct"/>
            <w:tcBorders>
              <w:tl2br w:val="nil"/>
              <w:tr2bl w:val="nil"/>
            </w:tcBorders>
            <w:shd w:val="clear" w:color="auto" w:fill="auto"/>
            <w:tcMar>
              <w:left w:w="108" w:type="dxa"/>
              <w:right w:w="108" w:type="dxa"/>
            </w:tcMar>
            <w:vAlign w:val="center"/>
          </w:tcPr>
          <w:p w14:paraId="764F51C3">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泄漏量/kg</w:t>
            </w:r>
          </w:p>
        </w:tc>
        <w:tc>
          <w:tcPr>
            <w:tcW w:w="608" w:type="pct"/>
            <w:tcBorders>
              <w:tl2br w:val="nil"/>
              <w:tr2bl w:val="nil"/>
            </w:tcBorders>
            <w:shd w:val="clear" w:color="auto" w:fill="auto"/>
            <w:vAlign w:val="center"/>
          </w:tcPr>
          <w:p w14:paraId="5C00AEBC">
            <w:pPr>
              <w:widowControl/>
              <w:overflowPunct w:val="0"/>
              <w:spacing w:line="240" w:lineRule="auto"/>
              <w:ind w:firstLine="0" w:firstLineChars="0"/>
              <w:jc w:val="center"/>
              <w:textAlignment w:val="baseline"/>
              <w:rPr>
                <w:bCs/>
                <w:color w:val="auto"/>
                <w:kern w:val="24"/>
                <w:sz w:val="21"/>
                <w:szCs w:val="21"/>
              </w:rPr>
            </w:pPr>
            <w:r>
              <w:rPr>
                <w:rFonts w:hint="eastAsia"/>
                <w:bCs/>
                <w:color w:val="auto"/>
                <w:kern w:val="24"/>
                <w:sz w:val="21"/>
                <w:szCs w:val="21"/>
              </w:rPr>
              <w:t>2340</w:t>
            </w:r>
          </w:p>
        </w:tc>
      </w:tr>
      <w:tr w14:paraId="3A8D0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 w:hRule="atLeast"/>
          <w:jc w:val="center"/>
        </w:trPr>
        <w:tc>
          <w:tcPr>
            <w:tcW w:w="937" w:type="pct"/>
            <w:tcBorders>
              <w:tl2br w:val="nil"/>
              <w:tr2bl w:val="nil"/>
            </w:tcBorders>
            <w:shd w:val="clear" w:color="auto" w:fill="auto"/>
            <w:tcMar>
              <w:left w:w="108" w:type="dxa"/>
              <w:right w:w="108" w:type="dxa"/>
            </w:tcMar>
            <w:vAlign w:val="center"/>
          </w:tcPr>
          <w:p w14:paraId="1E0CE5B3">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泄漏高度/m</w:t>
            </w:r>
          </w:p>
        </w:tc>
        <w:tc>
          <w:tcPr>
            <w:tcW w:w="633" w:type="pct"/>
            <w:tcBorders>
              <w:tl2br w:val="nil"/>
              <w:tr2bl w:val="nil"/>
            </w:tcBorders>
            <w:shd w:val="clear" w:color="auto" w:fill="auto"/>
            <w:vAlign w:val="center"/>
          </w:tcPr>
          <w:p w14:paraId="6FD4D339">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w:t>
            </w:r>
            <w:r>
              <w:rPr>
                <w:rFonts w:hint="eastAsia"/>
                <w:bCs/>
                <w:color w:val="auto"/>
                <w:kern w:val="24"/>
                <w:sz w:val="21"/>
                <w:szCs w:val="21"/>
                <w:lang w:bidi="ar"/>
              </w:rPr>
              <w:t>.3</w:t>
            </w:r>
          </w:p>
        </w:tc>
        <w:tc>
          <w:tcPr>
            <w:tcW w:w="1096" w:type="pct"/>
            <w:tcBorders>
              <w:tl2br w:val="nil"/>
              <w:tr2bl w:val="nil"/>
            </w:tcBorders>
            <w:shd w:val="clear" w:color="auto" w:fill="auto"/>
            <w:tcMar>
              <w:left w:w="108" w:type="dxa"/>
              <w:right w:w="108" w:type="dxa"/>
            </w:tcMar>
            <w:vAlign w:val="center"/>
          </w:tcPr>
          <w:p w14:paraId="52B831AF">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泄漏频率</w:t>
            </w:r>
          </w:p>
        </w:tc>
        <w:tc>
          <w:tcPr>
            <w:tcW w:w="825" w:type="pct"/>
            <w:tcBorders>
              <w:tl2br w:val="nil"/>
              <w:tr2bl w:val="nil"/>
            </w:tcBorders>
            <w:shd w:val="clear" w:color="auto" w:fill="auto"/>
            <w:tcMar>
              <w:left w:w="108" w:type="dxa"/>
              <w:right w:w="108" w:type="dxa"/>
            </w:tcMar>
            <w:vAlign w:val="center"/>
          </w:tcPr>
          <w:p w14:paraId="7F56E9B3">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1×10</w:t>
            </w:r>
            <w:r>
              <w:rPr>
                <w:bCs/>
                <w:color w:val="auto"/>
                <w:kern w:val="24"/>
                <w:sz w:val="21"/>
                <w:szCs w:val="21"/>
                <w:vertAlign w:val="superscript"/>
                <w:lang w:bidi="ar"/>
              </w:rPr>
              <w:t xml:space="preserve">-4 </w:t>
            </w:r>
            <w:r>
              <w:rPr>
                <w:bCs/>
                <w:color w:val="auto"/>
                <w:kern w:val="24"/>
                <w:sz w:val="21"/>
                <w:szCs w:val="21"/>
                <w:lang w:bidi="ar"/>
              </w:rPr>
              <w:t>/a</w:t>
            </w:r>
          </w:p>
        </w:tc>
        <w:tc>
          <w:tcPr>
            <w:tcW w:w="899" w:type="pct"/>
            <w:tcBorders>
              <w:tl2br w:val="nil"/>
              <w:tr2bl w:val="nil"/>
            </w:tcBorders>
            <w:shd w:val="clear" w:color="auto" w:fill="auto"/>
            <w:tcMar>
              <w:left w:w="108" w:type="dxa"/>
              <w:right w:w="108" w:type="dxa"/>
            </w:tcMar>
            <w:vAlign w:val="center"/>
          </w:tcPr>
          <w:p w14:paraId="44508425">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w:t>
            </w:r>
          </w:p>
        </w:tc>
        <w:tc>
          <w:tcPr>
            <w:tcW w:w="608" w:type="pct"/>
            <w:tcBorders>
              <w:tl2br w:val="nil"/>
              <w:tr2bl w:val="nil"/>
            </w:tcBorders>
            <w:shd w:val="clear" w:color="auto" w:fill="auto"/>
            <w:vAlign w:val="center"/>
          </w:tcPr>
          <w:p w14:paraId="5FEA4CB1">
            <w:pPr>
              <w:widowControl/>
              <w:overflowPunct w:val="0"/>
              <w:spacing w:line="240" w:lineRule="auto"/>
              <w:ind w:firstLine="0" w:firstLineChars="0"/>
              <w:jc w:val="center"/>
              <w:textAlignment w:val="baseline"/>
              <w:rPr>
                <w:bCs/>
                <w:color w:val="auto"/>
                <w:kern w:val="24"/>
                <w:sz w:val="21"/>
                <w:szCs w:val="21"/>
              </w:rPr>
            </w:pPr>
            <w:r>
              <w:rPr>
                <w:bCs/>
                <w:color w:val="auto"/>
                <w:kern w:val="24"/>
                <w:sz w:val="21"/>
                <w:szCs w:val="21"/>
                <w:lang w:bidi="ar"/>
              </w:rPr>
              <w:t>/</w:t>
            </w:r>
          </w:p>
        </w:tc>
      </w:tr>
    </w:tbl>
    <w:p w14:paraId="4F4150C6">
      <w:pPr>
        <w:spacing w:line="500" w:lineRule="exact"/>
        <w:ind w:firstLine="482"/>
        <w:rPr>
          <w:b/>
          <w:bCs/>
          <w:color w:val="auto"/>
        </w:rPr>
      </w:pPr>
      <w:r>
        <w:rPr>
          <w:b/>
          <w:bCs/>
          <w:color w:val="auto"/>
          <w:lang w:bidi="ar"/>
        </w:rPr>
        <w:t>3、蒸发量计算</w:t>
      </w:r>
    </w:p>
    <w:p w14:paraId="17C497F2">
      <w:pPr>
        <w:widowControl/>
        <w:spacing w:line="500" w:lineRule="exact"/>
        <w:ind w:firstLine="480"/>
        <w:rPr>
          <w:color w:val="auto"/>
        </w:rPr>
      </w:pPr>
      <w:r>
        <w:rPr>
          <w:color w:val="auto"/>
          <w:kern w:val="0"/>
          <w:lang w:bidi="ar"/>
        </w:rPr>
        <w:t>本项目泄漏物质在常温常压下为液态，当发生泄漏时，物料以液体形式泄漏到地面形成液池，在液池表面气流作用下发生质量蒸发现象，从而扩散进入大气。</w:t>
      </w:r>
    </w:p>
    <w:p w14:paraId="6C05D47C">
      <w:pPr>
        <w:widowControl/>
        <w:spacing w:line="500" w:lineRule="exact"/>
        <w:ind w:firstLine="480"/>
        <w:rPr>
          <w:color w:val="auto"/>
        </w:rPr>
      </w:pPr>
      <w:r>
        <w:rPr>
          <w:color w:val="auto"/>
          <w:kern w:val="0"/>
          <w:lang w:bidi="ar"/>
        </w:rPr>
        <w:t>根据导则附录F，液体质量蒸发速率由以下公式计算：</w:t>
      </w:r>
    </w:p>
    <w:p w14:paraId="36B59461">
      <w:pPr>
        <w:pStyle w:val="1356"/>
        <w:ind w:firstLine="0" w:firstLineChars="0"/>
        <w:jc w:val="center"/>
        <w:rPr>
          <w:color w:val="auto"/>
        </w:rPr>
      </w:pPr>
      <w:r>
        <w:rPr>
          <w:rFonts w:eastAsia="仿宋_GB2312"/>
          <w:color w:val="auto"/>
          <w:sz w:val="28"/>
          <w:szCs w:val="20"/>
        </w:rPr>
        <w:drawing>
          <wp:inline distT="0" distB="0" distL="114300" distR="114300">
            <wp:extent cx="2379345" cy="644525"/>
            <wp:effectExtent l="0" t="0" r="1905" b="3175"/>
            <wp:docPr id="8"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6"/>
                    <pic:cNvPicPr>
                      <a:picLocks noChangeAspect="1"/>
                    </pic:cNvPicPr>
                  </pic:nvPicPr>
                  <pic:blipFill>
                    <a:blip r:embed="rId56"/>
                    <a:stretch>
                      <a:fillRect/>
                    </a:stretch>
                  </pic:blipFill>
                  <pic:spPr>
                    <a:xfrm>
                      <a:off x="0" y="0"/>
                      <a:ext cx="2379345" cy="644525"/>
                    </a:xfrm>
                    <a:prstGeom prst="rect">
                      <a:avLst/>
                    </a:prstGeom>
                    <a:noFill/>
                    <a:ln>
                      <a:noFill/>
                    </a:ln>
                  </pic:spPr>
                </pic:pic>
              </a:graphicData>
            </a:graphic>
          </wp:inline>
        </w:drawing>
      </w:r>
    </w:p>
    <w:p w14:paraId="6F0A267A">
      <w:pPr>
        <w:pStyle w:val="1356"/>
        <w:ind w:firstLine="480"/>
        <w:rPr>
          <w:color w:val="auto"/>
        </w:rPr>
      </w:pPr>
      <w:r>
        <w:rPr>
          <w:rFonts w:hint="eastAsia"/>
          <w:color w:val="auto"/>
        </w:rPr>
        <w:t>式中：</w:t>
      </w:r>
    </w:p>
    <w:p w14:paraId="7372FCF8">
      <w:pPr>
        <w:pStyle w:val="1356"/>
        <w:ind w:firstLine="1200" w:firstLineChars="500"/>
        <w:rPr>
          <w:color w:val="auto"/>
        </w:rPr>
      </w:pPr>
      <w:r>
        <w:rPr>
          <w:i/>
          <w:iCs/>
          <w:color w:val="auto"/>
        </w:rPr>
        <w:t>Q</w:t>
      </w:r>
      <w:r>
        <w:rPr>
          <w:i/>
          <w:iCs/>
          <w:color w:val="auto"/>
          <w:vertAlign w:val="subscript"/>
        </w:rPr>
        <w:t>3</w:t>
      </w:r>
      <w:r>
        <w:rPr>
          <w:color w:val="auto"/>
        </w:rPr>
        <w:t>——质量蒸发速率，kg/s；</w:t>
      </w:r>
    </w:p>
    <w:p w14:paraId="1D5FB09B">
      <w:pPr>
        <w:pStyle w:val="1356"/>
        <w:ind w:firstLine="1200" w:firstLineChars="500"/>
        <w:rPr>
          <w:color w:val="auto"/>
        </w:rPr>
      </w:pPr>
      <w:r>
        <w:rPr>
          <w:i/>
          <w:iCs/>
          <w:color w:val="auto"/>
        </w:rPr>
        <w:t>p</w:t>
      </w:r>
      <w:r>
        <w:rPr>
          <w:color w:val="auto"/>
        </w:rPr>
        <w:t>——液体表面</w:t>
      </w:r>
      <w:r>
        <w:rPr>
          <w:rFonts w:hint="eastAsia"/>
          <w:color w:val="auto"/>
        </w:rPr>
        <w:t>蒸汽压</w:t>
      </w:r>
      <w:r>
        <w:rPr>
          <w:color w:val="auto"/>
        </w:rPr>
        <w:t>，Pa；</w:t>
      </w:r>
    </w:p>
    <w:p w14:paraId="7B06DD2E">
      <w:pPr>
        <w:pStyle w:val="1356"/>
        <w:ind w:firstLine="1200" w:firstLineChars="500"/>
        <w:rPr>
          <w:color w:val="auto"/>
        </w:rPr>
      </w:pPr>
      <w:r>
        <w:rPr>
          <w:i/>
          <w:iCs/>
          <w:color w:val="auto"/>
        </w:rPr>
        <w:t>R</w:t>
      </w:r>
      <w:r>
        <w:rPr>
          <w:color w:val="auto"/>
        </w:rPr>
        <w:t>——气体常数，J/（mol·K）；</w:t>
      </w:r>
    </w:p>
    <w:p w14:paraId="51603ABA">
      <w:pPr>
        <w:pStyle w:val="1356"/>
        <w:ind w:firstLine="1200" w:firstLineChars="500"/>
        <w:rPr>
          <w:color w:val="auto"/>
        </w:rPr>
      </w:pPr>
      <w:r>
        <w:rPr>
          <w:i/>
          <w:iCs/>
          <w:color w:val="auto"/>
        </w:rPr>
        <w:t>T</w:t>
      </w:r>
      <w:r>
        <w:rPr>
          <w:i/>
          <w:iCs/>
          <w:color w:val="auto"/>
          <w:vertAlign w:val="subscript"/>
        </w:rPr>
        <w:t>0</w:t>
      </w:r>
      <w:r>
        <w:rPr>
          <w:color w:val="auto"/>
        </w:rPr>
        <w:t>——环境温度，K；</w:t>
      </w:r>
    </w:p>
    <w:p w14:paraId="73B9C5B6">
      <w:pPr>
        <w:pStyle w:val="1356"/>
        <w:ind w:firstLine="1200" w:firstLineChars="500"/>
        <w:rPr>
          <w:color w:val="auto"/>
        </w:rPr>
      </w:pPr>
      <w:r>
        <w:rPr>
          <w:i/>
          <w:iCs/>
          <w:color w:val="auto"/>
        </w:rPr>
        <w:t>M</w:t>
      </w:r>
      <w:r>
        <w:rPr>
          <w:color w:val="auto"/>
        </w:rPr>
        <w:t>——物质的摩尔质量，kg/mol；</w:t>
      </w:r>
    </w:p>
    <w:p w14:paraId="38E2D6A5">
      <w:pPr>
        <w:pStyle w:val="1356"/>
        <w:ind w:firstLine="1200" w:firstLineChars="500"/>
        <w:rPr>
          <w:color w:val="auto"/>
        </w:rPr>
      </w:pPr>
      <w:r>
        <w:rPr>
          <w:i/>
          <w:iCs/>
          <w:color w:val="auto"/>
        </w:rPr>
        <w:t>u</w:t>
      </w:r>
      <w:r>
        <w:rPr>
          <w:color w:val="auto"/>
        </w:rPr>
        <w:t>——风速，m/s；</w:t>
      </w:r>
    </w:p>
    <w:p w14:paraId="715157C6">
      <w:pPr>
        <w:pStyle w:val="1356"/>
        <w:ind w:firstLine="1200" w:firstLineChars="500"/>
        <w:rPr>
          <w:color w:val="auto"/>
        </w:rPr>
      </w:pPr>
      <w:r>
        <w:rPr>
          <w:i/>
          <w:iCs/>
          <w:color w:val="auto"/>
        </w:rPr>
        <w:t>r</w:t>
      </w:r>
      <w:r>
        <w:rPr>
          <w:color w:val="auto"/>
        </w:rPr>
        <w:t>——液池半径，m；</w:t>
      </w:r>
    </w:p>
    <w:p w14:paraId="58A12CFB">
      <w:pPr>
        <w:pStyle w:val="1356"/>
        <w:ind w:firstLine="1200" w:firstLineChars="500"/>
        <w:rPr>
          <w:color w:val="auto"/>
        </w:rPr>
      </w:pPr>
      <w:r>
        <w:rPr>
          <w:i/>
          <w:iCs/>
          <w:color w:val="auto"/>
        </w:rPr>
        <w:t>α,n</w:t>
      </w:r>
      <w:r>
        <w:rPr>
          <w:color w:val="auto"/>
        </w:rPr>
        <w:t>——大气稳定度系数，取值见表</w:t>
      </w:r>
      <w:r>
        <w:rPr>
          <w:rFonts w:hint="eastAsia"/>
          <w:color w:val="auto"/>
        </w:rPr>
        <w:t>6.2.8-4</w:t>
      </w:r>
      <w:r>
        <w:rPr>
          <w:color w:val="auto"/>
        </w:rPr>
        <w:t>。</w:t>
      </w:r>
    </w:p>
    <w:p w14:paraId="3A47824F">
      <w:pPr>
        <w:widowControl/>
        <w:spacing w:line="240" w:lineRule="auto"/>
        <w:ind w:firstLine="0" w:firstLineChars="0"/>
        <w:jc w:val="center"/>
        <w:rPr>
          <w:b/>
          <w:color w:val="auto"/>
        </w:rPr>
      </w:pPr>
      <w:r>
        <w:rPr>
          <w:b/>
          <w:color w:val="auto"/>
          <w:kern w:val="0"/>
          <w:lang w:bidi="ar"/>
        </w:rPr>
        <w:t>表6.2.8-4 液池蒸发模式参数</w:t>
      </w:r>
    </w:p>
    <w:tbl>
      <w:tblPr>
        <w:tblStyle w:val="88"/>
        <w:tblW w:w="491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04"/>
        <w:gridCol w:w="1754"/>
        <w:gridCol w:w="3683"/>
      </w:tblGrid>
      <w:tr w14:paraId="2FDC3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058" w:type="pct"/>
            <w:tcBorders>
              <w:tl2br w:val="nil"/>
              <w:tr2bl w:val="nil"/>
            </w:tcBorders>
            <w:shd w:val="clear" w:color="auto" w:fill="auto"/>
            <w:vAlign w:val="center"/>
          </w:tcPr>
          <w:p w14:paraId="645EE478">
            <w:pPr>
              <w:widowControl/>
              <w:spacing w:line="240" w:lineRule="auto"/>
              <w:ind w:firstLine="422"/>
              <w:jc w:val="center"/>
              <w:rPr>
                <w:b/>
                <w:bCs/>
                <w:color w:val="auto"/>
                <w:sz w:val="21"/>
                <w:szCs w:val="21"/>
              </w:rPr>
            </w:pPr>
            <w:r>
              <w:rPr>
                <w:b/>
                <w:bCs/>
                <w:color w:val="auto"/>
                <w:kern w:val="0"/>
                <w:sz w:val="21"/>
                <w:szCs w:val="21"/>
                <w:lang w:bidi="ar"/>
              </w:rPr>
              <w:t>大气稳定度</w:t>
            </w:r>
          </w:p>
        </w:tc>
        <w:tc>
          <w:tcPr>
            <w:tcW w:w="949" w:type="pct"/>
            <w:tcBorders>
              <w:tl2br w:val="nil"/>
              <w:tr2bl w:val="nil"/>
            </w:tcBorders>
            <w:shd w:val="clear" w:color="auto" w:fill="auto"/>
            <w:vAlign w:val="center"/>
          </w:tcPr>
          <w:p w14:paraId="276FAC48">
            <w:pPr>
              <w:widowControl/>
              <w:spacing w:line="240" w:lineRule="auto"/>
              <w:ind w:firstLine="422"/>
              <w:jc w:val="center"/>
              <w:rPr>
                <w:b/>
                <w:bCs/>
                <w:color w:val="auto"/>
                <w:sz w:val="21"/>
                <w:szCs w:val="21"/>
              </w:rPr>
            </w:pPr>
            <w:r>
              <w:rPr>
                <w:b/>
                <w:bCs/>
                <w:color w:val="auto"/>
                <w:kern w:val="0"/>
                <w:sz w:val="21"/>
                <w:szCs w:val="21"/>
                <w:lang w:bidi="ar"/>
              </w:rPr>
              <w:t>n</w:t>
            </w:r>
          </w:p>
        </w:tc>
        <w:tc>
          <w:tcPr>
            <w:tcW w:w="1993" w:type="pct"/>
            <w:tcBorders>
              <w:tl2br w:val="nil"/>
              <w:tr2bl w:val="nil"/>
            </w:tcBorders>
            <w:shd w:val="clear" w:color="auto" w:fill="auto"/>
            <w:vAlign w:val="center"/>
          </w:tcPr>
          <w:p w14:paraId="02311416">
            <w:pPr>
              <w:widowControl/>
              <w:spacing w:line="240" w:lineRule="auto"/>
              <w:ind w:firstLine="422"/>
              <w:jc w:val="center"/>
              <w:rPr>
                <w:b/>
                <w:bCs/>
                <w:color w:val="auto"/>
                <w:sz w:val="21"/>
                <w:szCs w:val="21"/>
              </w:rPr>
            </w:pPr>
            <w:r>
              <w:rPr>
                <w:b/>
                <w:bCs/>
                <w:color w:val="auto"/>
                <w:kern w:val="0"/>
                <w:sz w:val="21"/>
                <w:szCs w:val="21"/>
                <w:lang w:bidi="ar"/>
              </w:rPr>
              <w:t>α</w:t>
            </w:r>
          </w:p>
        </w:tc>
      </w:tr>
      <w:tr w14:paraId="3D954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058" w:type="pct"/>
            <w:tcBorders>
              <w:tl2br w:val="nil"/>
              <w:tr2bl w:val="nil"/>
            </w:tcBorders>
            <w:shd w:val="clear" w:color="auto" w:fill="auto"/>
            <w:vAlign w:val="center"/>
          </w:tcPr>
          <w:p w14:paraId="2F8B2A7A">
            <w:pPr>
              <w:widowControl/>
              <w:spacing w:line="240" w:lineRule="auto"/>
              <w:ind w:firstLine="420"/>
              <w:jc w:val="center"/>
              <w:rPr>
                <w:color w:val="auto"/>
                <w:sz w:val="21"/>
                <w:szCs w:val="21"/>
              </w:rPr>
            </w:pPr>
            <w:r>
              <w:rPr>
                <w:color w:val="auto"/>
                <w:kern w:val="0"/>
                <w:sz w:val="21"/>
                <w:szCs w:val="21"/>
                <w:lang w:bidi="ar"/>
              </w:rPr>
              <w:t>不稳定（A,B）</w:t>
            </w:r>
          </w:p>
        </w:tc>
        <w:tc>
          <w:tcPr>
            <w:tcW w:w="949" w:type="pct"/>
            <w:tcBorders>
              <w:tl2br w:val="nil"/>
              <w:tr2bl w:val="nil"/>
            </w:tcBorders>
            <w:shd w:val="clear" w:color="auto" w:fill="auto"/>
            <w:vAlign w:val="center"/>
          </w:tcPr>
          <w:p w14:paraId="08E95A59">
            <w:pPr>
              <w:widowControl/>
              <w:spacing w:line="240" w:lineRule="auto"/>
              <w:ind w:firstLine="420"/>
              <w:jc w:val="center"/>
              <w:rPr>
                <w:color w:val="auto"/>
                <w:sz w:val="21"/>
                <w:szCs w:val="21"/>
              </w:rPr>
            </w:pPr>
            <w:r>
              <w:rPr>
                <w:color w:val="auto"/>
                <w:kern w:val="0"/>
                <w:sz w:val="21"/>
                <w:szCs w:val="21"/>
                <w:lang w:bidi="ar"/>
              </w:rPr>
              <w:t>0.2</w:t>
            </w:r>
          </w:p>
        </w:tc>
        <w:tc>
          <w:tcPr>
            <w:tcW w:w="1993" w:type="pct"/>
            <w:tcBorders>
              <w:tl2br w:val="nil"/>
              <w:tr2bl w:val="nil"/>
            </w:tcBorders>
            <w:shd w:val="clear" w:color="auto" w:fill="auto"/>
            <w:vAlign w:val="center"/>
          </w:tcPr>
          <w:p w14:paraId="7B3BBB81">
            <w:pPr>
              <w:widowControl/>
              <w:spacing w:line="240" w:lineRule="auto"/>
              <w:ind w:firstLine="420"/>
              <w:jc w:val="center"/>
              <w:rPr>
                <w:color w:val="auto"/>
                <w:sz w:val="21"/>
                <w:szCs w:val="21"/>
              </w:rPr>
            </w:pPr>
            <w:r>
              <w:rPr>
                <w:color w:val="auto"/>
                <w:kern w:val="0"/>
                <w:sz w:val="21"/>
                <w:szCs w:val="21"/>
                <w:lang w:bidi="ar"/>
              </w:rPr>
              <w:t>3.846×10</w:t>
            </w:r>
            <w:r>
              <w:rPr>
                <w:color w:val="auto"/>
                <w:kern w:val="0"/>
                <w:sz w:val="21"/>
                <w:szCs w:val="21"/>
                <w:vertAlign w:val="superscript"/>
                <w:lang w:bidi="ar"/>
              </w:rPr>
              <w:t>-3</w:t>
            </w:r>
          </w:p>
        </w:tc>
      </w:tr>
      <w:tr w14:paraId="6C466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058" w:type="pct"/>
            <w:tcBorders>
              <w:tl2br w:val="nil"/>
              <w:tr2bl w:val="nil"/>
            </w:tcBorders>
            <w:shd w:val="clear" w:color="auto" w:fill="D9D9D9"/>
            <w:vAlign w:val="center"/>
          </w:tcPr>
          <w:p w14:paraId="22BA2DFE">
            <w:pPr>
              <w:widowControl/>
              <w:spacing w:line="240" w:lineRule="auto"/>
              <w:ind w:firstLine="420"/>
              <w:jc w:val="center"/>
              <w:rPr>
                <w:color w:val="auto"/>
                <w:sz w:val="21"/>
                <w:szCs w:val="21"/>
              </w:rPr>
            </w:pPr>
            <w:r>
              <w:rPr>
                <w:color w:val="auto"/>
                <w:kern w:val="0"/>
                <w:sz w:val="21"/>
                <w:szCs w:val="21"/>
                <w:lang w:bidi="ar"/>
              </w:rPr>
              <w:t>中性（D）</w:t>
            </w:r>
          </w:p>
        </w:tc>
        <w:tc>
          <w:tcPr>
            <w:tcW w:w="949" w:type="pct"/>
            <w:tcBorders>
              <w:tl2br w:val="nil"/>
              <w:tr2bl w:val="nil"/>
            </w:tcBorders>
            <w:shd w:val="clear" w:color="auto" w:fill="D9D9D9"/>
            <w:vAlign w:val="center"/>
          </w:tcPr>
          <w:p w14:paraId="5B831D92">
            <w:pPr>
              <w:widowControl/>
              <w:spacing w:line="240" w:lineRule="auto"/>
              <w:ind w:firstLine="420"/>
              <w:jc w:val="center"/>
              <w:rPr>
                <w:color w:val="auto"/>
                <w:sz w:val="21"/>
                <w:szCs w:val="21"/>
              </w:rPr>
            </w:pPr>
            <w:r>
              <w:rPr>
                <w:color w:val="auto"/>
                <w:kern w:val="0"/>
                <w:sz w:val="21"/>
                <w:szCs w:val="21"/>
                <w:lang w:bidi="ar"/>
              </w:rPr>
              <w:t>0.25</w:t>
            </w:r>
          </w:p>
        </w:tc>
        <w:tc>
          <w:tcPr>
            <w:tcW w:w="1993" w:type="pct"/>
            <w:tcBorders>
              <w:tl2br w:val="nil"/>
              <w:tr2bl w:val="nil"/>
            </w:tcBorders>
            <w:shd w:val="clear" w:color="auto" w:fill="D9D9D9"/>
            <w:vAlign w:val="center"/>
          </w:tcPr>
          <w:p w14:paraId="50126200">
            <w:pPr>
              <w:widowControl/>
              <w:spacing w:line="240" w:lineRule="auto"/>
              <w:ind w:firstLine="420"/>
              <w:jc w:val="center"/>
              <w:rPr>
                <w:color w:val="auto"/>
                <w:sz w:val="21"/>
                <w:szCs w:val="21"/>
              </w:rPr>
            </w:pPr>
            <w:r>
              <w:rPr>
                <w:color w:val="auto"/>
                <w:kern w:val="0"/>
                <w:sz w:val="21"/>
                <w:szCs w:val="21"/>
                <w:lang w:bidi="ar"/>
              </w:rPr>
              <w:t>4.685×10</w:t>
            </w:r>
            <w:r>
              <w:rPr>
                <w:color w:val="auto"/>
                <w:kern w:val="0"/>
                <w:sz w:val="21"/>
                <w:szCs w:val="21"/>
                <w:vertAlign w:val="superscript"/>
                <w:lang w:bidi="ar"/>
              </w:rPr>
              <w:t>-3</w:t>
            </w:r>
          </w:p>
        </w:tc>
      </w:tr>
      <w:tr w14:paraId="4AE78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058" w:type="pct"/>
            <w:tcBorders>
              <w:tl2br w:val="nil"/>
              <w:tr2bl w:val="nil"/>
            </w:tcBorders>
            <w:shd w:val="clear" w:color="auto" w:fill="auto"/>
            <w:vAlign w:val="center"/>
          </w:tcPr>
          <w:p w14:paraId="64BA3D94">
            <w:pPr>
              <w:widowControl/>
              <w:spacing w:line="240" w:lineRule="auto"/>
              <w:ind w:firstLine="420"/>
              <w:jc w:val="center"/>
              <w:rPr>
                <w:color w:val="auto"/>
                <w:sz w:val="21"/>
                <w:szCs w:val="21"/>
              </w:rPr>
            </w:pPr>
            <w:r>
              <w:rPr>
                <w:color w:val="auto"/>
                <w:kern w:val="0"/>
                <w:sz w:val="21"/>
                <w:szCs w:val="21"/>
                <w:lang w:bidi="ar"/>
              </w:rPr>
              <w:t>稳定（E,F）</w:t>
            </w:r>
          </w:p>
        </w:tc>
        <w:tc>
          <w:tcPr>
            <w:tcW w:w="949" w:type="pct"/>
            <w:tcBorders>
              <w:tl2br w:val="nil"/>
              <w:tr2bl w:val="nil"/>
            </w:tcBorders>
            <w:shd w:val="clear" w:color="auto" w:fill="auto"/>
            <w:vAlign w:val="center"/>
          </w:tcPr>
          <w:p w14:paraId="57D94895">
            <w:pPr>
              <w:widowControl/>
              <w:spacing w:line="240" w:lineRule="auto"/>
              <w:ind w:firstLine="420"/>
              <w:jc w:val="center"/>
              <w:rPr>
                <w:color w:val="auto"/>
                <w:sz w:val="21"/>
                <w:szCs w:val="21"/>
              </w:rPr>
            </w:pPr>
            <w:r>
              <w:rPr>
                <w:color w:val="auto"/>
                <w:kern w:val="0"/>
                <w:sz w:val="21"/>
                <w:szCs w:val="21"/>
                <w:lang w:bidi="ar"/>
              </w:rPr>
              <w:t>0.3</w:t>
            </w:r>
          </w:p>
        </w:tc>
        <w:tc>
          <w:tcPr>
            <w:tcW w:w="1993" w:type="pct"/>
            <w:tcBorders>
              <w:tl2br w:val="nil"/>
              <w:tr2bl w:val="nil"/>
            </w:tcBorders>
            <w:shd w:val="clear" w:color="auto" w:fill="auto"/>
            <w:vAlign w:val="center"/>
          </w:tcPr>
          <w:p w14:paraId="45C25299">
            <w:pPr>
              <w:widowControl/>
              <w:spacing w:line="240" w:lineRule="auto"/>
              <w:ind w:firstLine="420"/>
              <w:jc w:val="center"/>
              <w:rPr>
                <w:color w:val="auto"/>
                <w:sz w:val="21"/>
                <w:szCs w:val="21"/>
              </w:rPr>
            </w:pPr>
            <w:r>
              <w:rPr>
                <w:color w:val="auto"/>
                <w:kern w:val="0"/>
                <w:sz w:val="21"/>
                <w:szCs w:val="21"/>
                <w:lang w:bidi="ar"/>
              </w:rPr>
              <w:t>5.282×10</w:t>
            </w:r>
            <w:r>
              <w:rPr>
                <w:color w:val="auto"/>
                <w:kern w:val="0"/>
                <w:sz w:val="21"/>
                <w:szCs w:val="21"/>
                <w:vertAlign w:val="superscript"/>
                <w:lang w:bidi="ar"/>
              </w:rPr>
              <w:t>-3</w:t>
            </w:r>
          </w:p>
        </w:tc>
      </w:tr>
    </w:tbl>
    <w:p w14:paraId="2E898784">
      <w:pPr>
        <w:pStyle w:val="1356"/>
        <w:ind w:firstLine="480"/>
        <w:rPr>
          <w:color w:val="auto"/>
        </w:rPr>
      </w:pPr>
      <w:r>
        <w:rPr>
          <w:color w:val="auto"/>
        </w:rPr>
        <w:t>液池最大直径取决于泄漏点附近的地域构型、泄漏的连续性或瞬时性。有围堰时，以围堰最大等效半径为液池半径；无围堰时，设定液体瞬间扩散到最小厚度时，推算液池等效半径。本次计算按照</w:t>
      </w:r>
      <w:r>
        <w:rPr>
          <w:rFonts w:hint="eastAsia"/>
          <w:color w:val="auto"/>
        </w:rPr>
        <w:t>围堰的</w:t>
      </w:r>
      <w:r>
        <w:rPr>
          <w:color w:val="auto"/>
        </w:rPr>
        <w:t>最大等效半径（</w:t>
      </w:r>
      <w:r>
        <w:rPr>
          <w:rFonts w:hint="eastAsia"/>
          <w:color w:val="auto"/>
        </w:rPr>
        <w:t>硫酸储罐区7.6</w:t>
      </w:r>
      <w:r>
        <w:rPr>
          <w:color w:val="auto"/>
        </w:rPr>
        <w:t>m</w:t>
      </w:r>
      <w:r>
        <w:rPr>
          <w:rFonts w:hint="eastAsia"/>
          <w:color w:val="auto"/>
        </w:rPr>
        <w:t>、液氨储存区2.5m</w:t>
      </w:r>
      <w:r>
        <w:rPr>
          <w:color w:val="auto"/>
        </w:rPr>
        <w:t>）计，按照最不利气象条件及常见气象条件下计算蒸发速率。</w:t>
      </w:r>
    </w:p>
    <w:p w14:paraId="6D209051">
      <w:pPr>
        <w:widowControl/>
        <w:spacing w:line="240" w:lineRule="auto"/>
        <w:ind w:firstLine="0" w:firstLineChars="0"/>
        <w:jc w:val="center"/>
        <w:rPr>
          <w:b/>
          <w:color w:val="auto"/>
          <w:kern w:val="0"/>
          <w:lang w:bidi="ar"/>
        </w:rPr>
      </w:pPr>
      <w:r>
        <w:rPr>
          <w:b/>
          <w:color w:val="auto"/>
          <w:kern w:val="0"/>
          <w:lang w:bidi="ar"/>
        </w:rPr>
        <w:t>表</w:t>
      </w:r>
      <w:r>
        <w:rPr>
          <w:rFonts w:hint="eastAsia"/>
          <w:b/>
          <w:color w:val="auto"/>
          <w:kern w:val="0"/>
          <w:lang w:bidi="ar"/>
        </w:rPr>
        <w:t>6.2.8-5</w:t>
      </w:r>
      <w:r>
        <w:rPr>
          <w:b/>
          <w:color w:val="auto"/>
          <w:kern w:val="0"/>
          <w:lang w:bidi="ar"/>
        </w:rPr>
        <w:t xml:space="preserve">  硫酸贮存桶泄漏蒸发污染源参数</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2173"/>
        <w:gridCol w:w="1592"/>
        <w:gridCol w:w="2073"/>
        <w:gridCol w:w="2075"/>
      </w:tblGrid>
      <w:tr w14:paraId="44544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88" w:type="pct"/>
            <w:vMerge w:val="restart"/>
            <w:tcBorders>
              <w:tl2br w:val="nil"/>
              <w:tr2bl w:val="nil"/>
            </w:tcBorders>
            <w:shd w:val="clear" w:color="auto" w:fill="auto"/>
            <w:vAlign w:val="center"/>
          </w:tcPr>
          <w:p w14:paraId="154D6A91">
            <w:pPr>
              <w:widowControl/>
              <w:spacing w:line="240" w:lineRule="auto"/>
              <w:ind w:firstLine="0" w:firstLineChars="0"/>
              <w:jc w:val="center"/>
              <w:rPr>
                <w:b/>
                <w:bCs/>
                <w:color w:val="auto"/>
                <w:sz w:val="21"/>
                <w:szCs w:val="21"/>
              </w:rPr>
            </w:pPr>
            <w:r>
              <w:rPr>
                <w:b/>
                <w:bCs/>
                <w:color w:val="auto"/>
                <w:kern w:val="0"/>
                <w:sz w:val="21"/>
                <w:szCs w:val="21"/>
                <w:lang w:bidi="ar"/>
              </w:rPr>
              <w:t>符号</w:t>
            </w:r>
          </w:p>
        </w:tc>
        <w:tc>
          <w:tcPr>
            <w:tcW w:w="1156" w:type="pct"/>
            <w:vMerge w:val="restart"/>
            <w:tcBorders>
              <w:tl2br w:val="nil"/>
              <w:tr2bl w:val="nil"/>
            </w:tcBorders>
            <w:shd w:val="clear" w:color="auto" w:fill="auto"/>
            <w:vAlign w:val="center"/>
          </w:tcPr>
          <w:p w14:paraId="55FDE8F5">
            <w:pPr>
              <w:widowControl/>
              <w:spacing w:line="240" w:lineRule="auto"/>
              <w:ind w:firstLine="0" w:firstLineChars="0"/>
              <w:jc w:val="center"/>
              <w:rPr>
                <w:b/>
                <w:bCs/>
                <w:color w:val="auto"/>
                <w:sz w:val="21"/>
                <w:szCs w:val="21"/>
              </w:rPr>
            </w:pPr>
            <w:r>
              <w:rPr>
                <w:b/>
                <w:bCs/>
                <w:color w:val="auto"/>
                <w:kern w:val="0"/>
                <w:sz w:val="21"/>
                <w:szCs w:val="21"/>
                <w:lang w:bidi="ar"/>
              </w:rPr>
              <w:t>含义</w:t>
            </w:r>
          </w:p>
        </w:tc>
        <w:tc>
          <w:tcPr>
            <w:tcW w:w="847" w:type="pct"/>
            <w:vMerge w:val="restart"/>
            <w:tcBorders>
              <w:tl2br w:val="nil"/>
              <w:tr2bl w:val="nil"/>
            </w:tcBorders>
            <w:shd w:val="clear" w:color="auto" w:fill="auto"/>
            <w:vAlign w:val="center"/>
          </w:tcPr>
          <w:p w14:paraId="08DEE642">
            <w:pPr>
              <w:widowControl/>
              <w:spacing w:line="240" w:lineRule="auto"/>
              <w:ind w:firstLine="0" w:firstLineChars="0"/>
              <w:jc w:val="center"/>
              <w:rPr>
                <w:b/>
                <w:bCs/>
                <w:color w:val="auto"/>
                <w:sz w:val="21"/>
                <w:szCs w:val="21"/>
              </w:rPr>
            </w:pPr>
            <w:r>
              <w:rPr>
                <w:b/>
                <w:bCs/>
                <w:color w:val="auto"/>
                <w:kern w:val="0"/>
                <w:sz w:val="21"/>
                <w:szCs w:val="21"/>
                <w:lang w:bidi="ar"/>
              </w:rPr>
              <w:t>单位</w:t>
            </w:r>
          </w:p>
        </w:tc>
        <w:tc>
          <w:tcPr>
            <w:tcW w:w="1103" w:type="pct"/>
            <w:tcBorders>
              <w:tl2br w:val="nil"/>
              <w:tr2bl w:val="nil"/>
            </w:tcBorders>
            <w:shd w:val="clear" w:color="auto" w:fill="auto"/>
            <w:vAlign w:val="center"/>
          </w:tcPr>
          <w:p w14:paraId="6A3430FD">
            <w:pPr>
              <w:widowControl/>
              <w:spacing w:line="240" w:lineRule="auto"/>
              <w:ind w:firstLine="0" w:firstLineChars="0"/>
              <w:jc w:val="center"/>
              <w:rPr>
                <w:b/>
                <w:bCs/>
                <w:color w:val="auto"/>
                <w:kern w:val="0"/>
                <w:sz w:val="21"/>
                <w:szCs w:val="21"/>
                <w:lang w:bidi="ar"/>
              </w:rPr>
            </w:pPr>
            <w:r>
              <w:rPr>
                <w:rFonts w:hint="eastAsia"/>
                <w:b/>
                <w:bCs/>
                <w:color w:val="auto"/>
                <w:kern w:val="0"/>
                <w:sz w:val="21"/>
                <w:szCs w:val="21"/>
                <w:lang w:bidi="ar"/>
              </w:rPr>
              <w:t>硫酸</w:t>
            </w:r>
          </w:p>
        </w:tc>
        <w:tc>
          <w:tcPr>
            <w:tcW w:w="1104" w:type="pct"/>
            <w:tcBorders>
              <w:tl2br w:val="nil"/>
              <w:tr2bl w:val="nil"/>
            </w:tcBorders>
            <w:shd w:val="clear" w:color="auto" w:fill="auto"/>
            <w:vAlign w:val="center"/>
          </w:tcPr>
          <w:p w14:paraId="6F4850E5">
            <w:pPr>
              <w:widowControl/>
              <w:spacing w:line="240" w:lineRule="auto"/>
              <w:ind w:firstLine="0" w:firstLineChars="0"/>
              <w:jc w:val="center"/>
              <w:rPr>
                <w:b/>
                <w:bCs/>
                <w:color w:val="auto"/>
                <w:kern w:val="0"/>
                <w:sz w:val="21"/>
                <w:szCs w:val="21"/>
                <w:lang w:bidi="ar"/>
              </w:rPr>
            </w:pPr>
            <w:r>
              <w:rPr>
                <w:rFonts w:hint="eastAsia"/>
                <w:b/>
                <w:bCs/>
                <w:color w:val="auto"/>
                <w:kern w:val="0"/>
                <w:sz w:val="21"/>
                <w:szCs w:val="21"/>
                <w:lang w:bidi="ar"/>
              </w:rPr>
              <w:t>液氨</w:t>
            </w:r>
          </w:p>
        </w:tc>
      </w:tr>
      <w:tr w14:paraId="0061B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88" w:type="pct"/>
            <w:vMerge w:val="continue"/>
            <w:tcBorders>
              <w:tl2br w:val="nil"/>
              <w:tr2bl w:val="nil"/>
            </w:tcBorders>
            <w:shd w:val="clear" w:color="auto" w:fill="auto"/>
            <w:vAlign w:val="center"/>
          </w:tcPr>
          <w:p w14:paraId="70F8D62A">
            <w:pPr>
              <w:widowControl/>
              <w:spacing w:line="240" w:lineRule="auto"/>
              <w:ind w:firstLine="0" w:firstLineChars="0"/>
              <w:jc w:val="center"/>
              <w:rPr>
                <w:b/>
                <w:bCs/>
                <w:color w:val="auto"/>
                <w:sz w:val="21"/>
                <w:szCs w:val="21"/>
              </w:rPr>
            </w:pPr>
          </w:p>
        </w:tc>
        <w:tc>
          <w:tcPr>
            <w:tcW w:w="1156" w:type="pct"/>
            <w:vMerge w:val="continue"/>
            <w:tcBorders>
              <w:tl2br w:val="nil"/>
              <w:tr2bl w:val="nil"/>
            </w:tcBorders>
            <w:shd w:val="clear" w:color="auto" w:fill="auto"/>
            <w:vAlign w:val="center"/>
          </w:tcPr>
          <w:p w14:paraId="153CFD1A">
            <w:pPr>
              <w:widowControl/>
              <w:spacing w:line="240" w:lineRule="auto"/>
              <w:ind w:firstLine="0" w:firstLineChars="0"/>
              <w:jc w:val="center"/>
              <w:rPr>
                <w:b/>
                <w:bCs/>
                <w:color w:val="auto"/>
                <w:sz w:val="21"/>
                <w:szCs w:val="21"/>
              </w:rPr>
            </w:pPr>
          </w:p>
        </w:tc>
        <w:tc>
          <w:tcPr>
            <w:tcW w:w="847" w:type="pct"/>
            <w:vMerge w:val="continue"/>
            <w:tcBorders>
              <w:tl2br w:val="nil"/>
              <w:tr2bl w:val="nil"/>
            </w:tcBorders>
            <w:shd w:val="clear" w:color="auto" w:fill="auto"/>
            <w:vAlign w:val="center"/>
          </w:tcPr>
          <w:p w14:paraId="5FC67B07">
            <w:pPr>
              <w:widowControl/>
              <w:spacing w:line="240" w:lineRule="auto"/>
              <w:ind w:firstLine="0" w:firstLineChars="0"/>
              <w:jc w:val="center"/>
              <w:rPr>
                <w:b/>
                <w:bCs/>
                <w:color w:val="auto"/>
                <w:sz w:val="21"/>
                <w:szCs w:val="21"/>
              </w:rPr>
            </w:pPr>
          </w:p>
        </w:tc>
        <w:tc>
          <w:tcPr>
            <w:tcW w:w="2207" w:type="pct"/>
            <w:gridSpan w:val="2"/>
            <w:tcBorders>
              <w:tl2br w:val="nil"/>
              <w:tr2bl w:val="nil"/>
            </w:tcBorders>
            <w:shd w:val="clear" w:color="auto" w:fill="auto"/>
            <w:vAlign w:val="center"/>
          </w:tcPr>
          <w:p w14:paraId="5C6A984E">
            <w:pPr>
              <w:widowControl/>
              <w:spacing w:line="240" w:lineRule="auto"/>
              <w:ind w:firstLine="0" w:firstLineChars="0"/>
              <w:jc w:val="center"/>
              <w:rPr>
                <w:b/>
                <w:bCs/>
                <w:color w:val="auto"/>
                <w:kern w:val="0"/>
                <w:sz w:val="21"/>
                <w:szCs w:val="21"/>
                <w:lang w:bidi="ar"/>
              </w:rPr>
            </w:pPr>
            <w:r>
              <w:rPr>
                <w:b/>
                <w:bCs/>
                <w:color w:val="auto"/>
                <w:kern w:val="0"/>
                <w:sz w:val="21"/>
                <w:szCs w:val="21"/>
                <w:lang w:bidi="ar"/>
              </w:rPr>
              <w:t>最不利气象</w:t>
            </w:r>
          </w:p>
        </w:tc>
      </w:tr>
      <w:tr w14:paraId="1E672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88" w:type="pct"/>
            <w:vMerge w:val="continue"/>
            <w:tcBorders>
              <w:tl2br w:val="nil"/>
              <w:tr2bl w:val="nil"/>
            </w:tcBorders>
            <w:shd w:val="clear" w:color="auto" w:fill="auto"/>
            <w:vAlign w:val="center"/>
          </w:tcPr>
          <w:p w14:paraId="40A5528E">
            <w:pPr>
              <w:widowControl/>
              <w:spacing w:line="240" w:lineRule="auto"/>
              <w:ind w:firstLine="0" w:firstLineChars="0"/>
              <w:jc w:val="center"/>
              <w:rPr>
                <w:b/>
                <w:bCs/>
                <w:color w:val="auto"/>
                <w:sz w:val="21"/>
                <w:szCs w:val="21"/>
              </w:rPr>
            </w:pPr>
          </w:p>
        </w:tc>
        <w:tc>
          <w:tcPr>
            <w:tcW w:w="1156" w:type="pct"/>
            <w:vMerge w:val="continue"/>
            <w:tcBorders>
              <w:tl2br w:val="nil"/>
              <w:tr2bl w:val="nil"/>
            </w:tcBorders>
            <w:shd w:val="clear" w:color="auto" w:fill="auto"/>
            <w:vAlign w:val="center"/>
          </w:tcPr>
          <w:p w14:paraId="215CEE6D">
            <w:pPr>
              <w:widowControl/>
              <w:spacing w:line="240" w:lineRule="auto"/>
              <w:ind w:firstLine="0" w:firstLineChars="0"/>
              <w:jc w:val="center"/>
              <w:rPr>
                <w:b/>
                <w:bCs/>
                <w:color w:val="auto"/>
                <w:sz w:val="21"/>
                <w:szCs w:val="21"/>
              </w:rPr>
            </w:pPr>
          </w:p>
        </w:tc>
        <w:tc>
          <w:tcPr>
            <w:tcW w:w="847" w:type="pct"/>
            <w:vMerge w:val="continue"/>
            <w:tcBorders>
              <w:tl2br w:val="nil"/>
              <w:tr2bl w:val="nil"/>
            </w:tcBorders>
            <w:shd w:val="clear" w:color="auto" w:fill="auto"/>
            <w:vAlign w:val="center"/>
          </w:tcPr>
          <w:p w14:paraId="05338F7D">
            <w:pPr>
              <w:widowControl/>
              <w:spacing w:line="240" w:lineRule="auto"/>
              <w:ind w:firstLine="0" w:firstLineChars="0"/>
              <w:jc w:val="center"/>
              <w:rPr>
                <w:b/>
                <w:bCs/>
                <w:color w:val="auto"/>
                <w:sz w:val="21"/>
                <w:szCs w:val="21"/>
              </w:rPr>
            </w:pPr>
          </w:p>
        </w:tc>
        <w:tc>
          <w:tcPr>
            <w:tcW w:w="1103" w:type="pct"/>
            <w:tcBorders>
              <w:tl2br w:val="nil"/>
              <w:tr2bl w:val="nil"/>
            </w:tcBorders>
            <w:shd w:val="clear" w:color="auto" w:fill="auto"/>
            <w:vAlign w:val="center"/>
          </w:tcPr>
          <w:p w14:paraId="26145141">
            <w:pPr>
              <w:widowControl/>
              <w:spacing w:line="240" w:lineRule="auto"/>
              <w:ind w:firstLine="0" w:firstLineChars="0"/>
              <w:jc w:val="center"/>
              <w:rPr>
                <w:b/>
                <w:bCs/>
                <w:color w:val="auto"/>
                <w:kern w:val="0"/>
                <w:sz w:val="21"/>
                <w:szCs w:val="21"/>
                <w:lang w:bidi="ar"/>
              </w:rPr>
            </w:pPr>
            <w:r>
              <w:rPr>
                <w:b/>
                <w:bCs/>
                <w:color w:val="auto"/>
                <w:kern w:val="0"/>
                <w:sz w:val="21"/>
                <w:szCs w:val="21"/>
                <w:lang w:bidi="ar"/>
              </w:rPr>
              <w:t>数值</w:t>
            </w:r>
          </w:p>
        </w:tc>
        <w:tc>
          <w:tcPr>
            <w:tcW w:w="1104" w:type="pct"/>
            <w:tcBorders>
              <w:tl2br w:val="nil"/>
              <w:tr2bl w:val="nil"/>
            </w:tcBorders>
            <w:shd w:val="clear" w:color="auto" w:fill="auto"/>
            <w:vAlign w:val="center"/>
          </w:tcPr>
          <w:p w14:paraId="747DEFD8">
            <w:pPr>
              <w:widowControl/>
              <w:spacing w:line="240" w:lineRule="auto"/>
              <w:ind w:firstLine="0" w:firstLineChars="0"/>
              <w:jc w:val="center"/>
              <w:rPr>
                <w:b/>
                <w:bCs/>
                <w:color w:val="auto"/>
                <w:kern w:val="0"/>
                <w:sz w:val="21"/>
                <w:szCs w:val="21"/>
                <w:lang w:bidi="ar"/>
              </w:rPr>
            </w:pPr>
            <w:r>
              <w:rPr>
                <w:b/>
                <w:bCs/>
                <w:color w:val="auto"/>
                <w:kern w:val="0"/>
                <w:sz w:val="21"/>
                <w:szCs w:val="21"/>
                <w:lang w:bidi="ar"/>
              </w:rPr>
              <w:t>数值</w:t>
            </w:r>
          </w:p>
        </w:tc>
      </w:tr>
      <w:tr w14:paraId="46CE7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76F7F017">
            <w:pPr>
              <w:widowControl/>
              <w:spacing w:line="240" w:lineRule="auto"/>
              <w:ind w:firstLine="0" w:firstLineChars="0"/>
              <w:jc w:val="center"/>
              <w:rPr>
                <w:color w:val="auto"/>
                <w:sz w:val="21"/>
                <w:szCs w:val="21"/>
              </w:rPr>
            </w:pPr>
            <w:r>
              <w:rPr>
                <w:color w:val="auto"/>
                <w:kern w:val="0"/>
                <w:sz w:val="21"/>
                <w:szCs w:val="21"/>
                <w:lang w:bidi="ar"/>
              </w:rPr>
              <w:t>P</w:t>
            </w:r>
          </w:p>
        </w:tc>
        <w:tc>
          <w:tcPr>
            <w:tcW w:w="1156" w:type="pct"/>
            <w:tcBorders>
              <w:tl2br w:val="nil"/>
              <w:tr2bl w:val="nil"/>
            </w:tcBorders>
            <w:shd w:val="clear" w:color="auto" w:fill="auto"/>
            <w:vAlign w:val="center"/>
          </w:tcPr>
          <w:p w14:paraId="20C2A9FA">
            <w:pPr>
              <w:widowControl/>
              <w:spacing w:line="240" w:lineRule="auto"/>
              <w:ind w:firstLine="0" w:firstLineChars="0"/>
              <w:jc w:val="center"/>
              <w:rPr>
                <w:color w:val="auto"/>
                <w:sz w:val="21"/>
                <w:szCs w:val="21"/>
              </w:rPr>
            </w:pPr>
            <w:r>
              <w:rPr>
                <w:color w:val="auto"/>
                <w:kern w:val="0"/>
                <w:sz w:val="21"/>
                <w:szCs w:val="21"/>
                <w:lang w:bidi="ar"/>
              </w:rPr>
              <w:t>液体表面蒸</w:t>
            </w:r>
            <w:r>
              <w:rPr>
                <w:rFonts w:hint="eastAsia"/>
                <w:color w:val="auto"/>
                <w:kern w:val="0"/>
                <w:sz w:val="21"/>
                <w:szCs w:val="21"/>
                <w:lang w:bidi="ar"/>
              </w:rPr>
              <w:t>汽气</w:t>
            </w:r>
            <w:r>
              <w:rPr>
                <w:color w:val="auto"/>
                <w:kern w:val="0"/>
                <w:sz w:val="21"/>
                <w:szCs w:val="21"/>
                <w:lang w:bidi="ar"/>
              </w:rPr>
              <w:t>压</w:t>
            </w:r>
          </w:p>
        </w:tc>
        <w:tc>
          <w:tcPr>
            <w:tcW w:w="847" w:type="pct"/>
            <w:tcBorders>
              <w:tl2br w:val="nil"/>
              <w:tr2bl w:val="nil"/>
            </w:tcBorders>
            <w:shd w:val="clear" w:color="auto" w:fill="auto"/>
            <w:vAlign w:val="center"/>
          </w:tcPr>
          <w:p w14:paraId="66FFACF7">
            <w:pPr>
              <w:widowControl/>
              <w:spacing w:line="240" w:lineRule="auto"/>
              <w:ind w:firstLine="0" w:firstLineChars="0"/>
              <w:jc w:val="center"/>
              <w:rPr>
                <w:color w:val="auto"/>
                <w:sz w:val="21"/>
                <w:szCs w:val="21"/>
              </w:rPr>
            </w:pPr>
            <w:r>
              <w:rPr>
                <w:color w:val="auto"/>
                <w:kern w:val="0"/>
                <w:sz w:val="21"/>
                <w:szCs w:val="21"/>
                <w:lang w:bidi="ar"/>
              </w:rPr>
              <w:t>Pa</w:t>
            </w:r>
          </w:p>
        </w:tc>
        <w:tc>
          <w:tcPr>
            <w:tcW w:w="1103" w:type="pct"/>
            <w:tcBorders>
              <w:tl2br w:val="nil"/>
              <w:tr2bl w:val="nil"/>
            </w:tcBorders>
            <w:shd w:val="clear" w:color="auto" w:fill="auto"/>
            <w:vAlign w:val="center"/>
          </w:tcPr>
          <w:p w14:paraId="799B7511">
            <w:pPr>
              <w:widowControl/>
              <w:spacing w:line="240" w:lineRule="auto"/>
              <w:ind w:firstLine="0" w:firstLineChars="0"/>
              <w:jc w:val="center"/>
              <w:rPr>
                <w:color w:val="auto"/>
                <w:sz w:val="21"/>
                <w:szCs w:val="21"/>
              </w:rPr>
            </w:pPr>
            <w:r>
              <w:rPr>
                <w:color w:val="auto"/>
                <w:kern w:val="0"/>
                <w:sz w:val="21"/>
                <w:szCs w:val="21"/>
                <w:lang w:bidi="ar"/>
              </w:rPr>
              <w:t>2653</w:t>
            </w:r>
          </w:p>
        </w:tc>
        <w:tc>
          <w:tcPr>
            <w:tcW w:w="1104" w:type="pct"/>
            <w:tcBorders>
              <w:tl2br w:val="nil"/>
              <w:tr2bl w:val="nil"/>
            </w:tcBorders>
            <w:shd w:val="clear" w:color="auto" w:fill="auto"/>
            <w:vAlign w:val="center"/>
          </w:tcPr>
          <w:p w14:paraId="5BE6F83F">
            <w:pPr>
              <w:widowControl/>
              <w:spacing w:line="240" w:lineRule="auto"/>
              <w:ind w:firstLine="0" w:firstLineChars="0"/>
              <w:jc w:val="center"/>
              <w:rPr>
                <w:color w:val="auto"/>
                <w:sz w:val="21"/>
                <w:szCs w:val="21"/>
              </w:rPr>
            </w:pPr>
            <w:r>
              <w:rPr>
                <w:rFonts w:hint="eastAsia"/>
                <w:color w:val="auto"/>
                <w:sz w:val="21"/>
                <w:szCs w:val="21"/>
              </w:rPr>
              <w:t>7200</w:t>
            </w:r>
          </w:p>
        </w:tc>
      </w:tr>
      <w:tr w14:paraId="3D144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79EFE5BC">
            <w:pPr>
              <w:widowControl/>
              <w:spacing w:line="240" w:lineRule="auto"/>
              <w:ind w:firstLine="0" w:firstLineChars="0"/>
              <w:jc w:val="center"/>
              <w:rPr>
                <w:color w:val="auto"/>
                <w:sz w:val="21"/>
                <w:szCs w:val="21"/>
              </w:rPr>
            </w:pPr>
            <w:r>
              <w:rPr>
                <w:color w:val="auto"/>
                <w:kern w:val="0"/>
                <w:sz w:val="21"/>
                <w:szCs w:val="21"/>
                <w:lang w:bidi="ar"/>
              </w:rPr>
              <w:t>R</w:t>
            </w:r>
          </w:p>
        </w:tc>
        <w:tc>
          <w:tcPr>
            <w:tcW w:w="1156" w:type="pct"/>
            <w:tcBorders>
              <w:tl2br w:val="nil"/>
              <w:tr2bl w:val="nil"/>
            </w:tcBorders>
            <w:shd w:val="clear" w:color="auto" w:fill="auto"/>
            <w:vAlign w:val="center"/>
          </w:tcPr>
          <w:p w14:paraId="034D5736">
            <w:pPr>
              <w:widowControl/>
              <w:spacing w:line="240" w:lineRule="auto"/>
              <w:ind w:firstLine="0" w:firstLineChars="0"/>
              <w:jc w:val="center"/>
              <w:rPr>
                <w:color w:val="auto"/>
                <w:sz w:val="21"/>
                <w:szCs w:val="21"/>
              </w:rPr>
            </w:pPr>
            <w:r>
              <w:rPr>
                <w:color w:val="auto"/>
                <w:kern w:val="0"/>
                <w:sz w:val="21"/>
                <w:szCs w:val="21"/>
                <w:lang w:bidi="ar"/>
              </w:rPr>
              <w:t>气体常数</w:t>
            </w:r>
          </w:p>
        </w:tc>
        <w:tc>
          <w:tcPr>
            <w:tcW w:w="847" w:type="pct"/>
            <w:tcBorders>
              <w:tl2br w:val="nil"/>
              <w:tr2bl w:val="nil"/>
            </w:tcBorders>
            <w:shd w:val="clear" w:color="auto" w:fill="auto"/>
            <w:vAlign w:val="center"/>
          </w:tcPr>
          <w:p w14:paraId="4917541C">
            <w:pPr>
              <w:widowControl/>
              <w:spacing w:line="240" w:lineRule="auto"/>
              <w:ind w:firstLine="0" w:firstLineChars="0"/>
              <w:jc w:val="center"/>
              <w:rPr>
                <w:color w:val="auto"/>
                <w:sz w:val="21"/>
                <w:szCs w:val="21"/>
              </w:rPr>
            </w:pPr>
            <w:r>
              <w:rPr>
                <w:color w:val="auto"/>
                <w:kern w:val="0"/>
                <w:sz w:val="21"/>
                <w:szCs w:val="21"/>
                <w:lang w:bidi="ar"/>
              </w:rPr>
              <w:t>J/</w:t>
            </w:r>
            <w:r>
              <w:rPr>
                <w:rFonts w:hint="eastAsia"/>
                <w:color w:val="auto"/>
                <w:kern w:val="0"/>
                <w:sz w:val="21"/>
                <w:szCs w:val="21"/>
                <w:lang w:bidi="ar"/>
              </w:rPr>
              <w:t>(</w:t>
            </w:r>
            <w:r>
              <w:rPr>
                <w:color w:val="auto"/>
                <w:kern w:val="0"/>
                <w:sz w:val="21"/>
                <w:szCs w:val="21"/>
                <w:lang w:bidi="ar"/>
              </w:rPr>
              <w:t>mol•K</w:t>
            </w:r>
            <w:r>
              <w:rPr>
                <w:rFonts w:hint="eastAsia"/>
                <w:color w:val="auto"/>
                <w:kern w:val="0"/>
                <w:sz w:val="21"/>
                <w:szCs w:val="21"/>
                <w:lang w:bidi="ar"/>
              </w:rPr>
              <w:t>)</w:t>
            </w:r>
          </w:p>
        </w:tc>
        <w:tc>
          <w:tcPr>
            <w:tcW w:w="1103" w:type="pct"/>
            <w:tcBorders>
              <w:tl2br w:val="nil"/>
              <w:tr2bl w:val="nil"/>
            </w:tcBorders>
            <w:shd w:val="clear" w:color="auto" w:fill="auto"/>
            <w:vAlign w:val="center"/>
          </w:tcPr>
          <w:p w14:paraId="1F02976F">
            <w:pPr>
              <w:widowControl/>
              <w:spacing w:line="240" w:lineRule="auto"/>
              <w:ind w:firstLine="0" w:firstLineChars="0"/>
              <w:jc w:val="center"/>
              <w:rPr>
                <w:color w:val="auto"/>
                <w:sz w:val="21"/>
                <w:szCs w:val="21"/>
              </w:rPr>
            </w:pPr>
            <w:r>
              <w:rPr>
                <w:color w:val="auto"/>
                <w:kern w:val="0"/>
                <w:sz w:val="21"/>
                <w:szCs w:val="21"/>
                <w:lang w:bidi="ar"/>
              </w:rPr>
              <w:t>8.314</w:t>
            </w:r>
          </w:p>
        </w:tc>
        <w:tc>
          <w:tcPr>
            <w:tcW w:w="1104" w:type="pct"/>
            <w:tcBorders>
              <w:tl2br w:val="nil"/>
              <w:tr2bl w:val="nil"/>
            </w:tcBorders>
            <w:shd w:val="clear" w:color="auto" w:fill="auto"/>
            <w:vAlign w:val="center"/>
          </w:tcPr>
          <w:p w14:paraId="41783EF6">
            <w:pPr>
              <w:widowControl/>
              <w:spacing w:line="240" w:lineRule="auto"/>
              <w:ind w:firstLine="0" w:firstLineChars="0"/>
              <w:jc w:val="center"/>
              <w:rPr>
                <w:color w:val="auto"/>
                <w:sz w:val="21"/>
                <w:szCs w:val="21"/>
              </w:rPr>
            </w:pPr>
            <w:r>
              <w:rPr>
                <w:color w:val="auto"/>
                <w:kern w:val="0"/>
                <w:sz w:val="21"/>
                <w:szCs w:val="21"/>
                <w:lang w:bidi="ar"/>
              </w:rPr>
              <w:t>8.314</w:t>
            </w:r>
          </w:p>
        </w:tc>
      </w:tr>
      <w:tr w14:paraId="75EE1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88" w:type="pct"/>
            <w:tcBorders>
              <w:tl2br w:val="nil"/>
              <w:tr2bl w:val="nil"/>
            </w:tcBorders>
            <w:shd w:val="clear" w:color="auto" w:fill="auto"/>
            <w:vAlign w:val="center"/>
          </w:tcPr>
          <w:p w14:paraId="4D29642A">
            <w:pPr>
              <w:widowControl/>
              <w:spacing w:line="240" w:lineRule="auto"/>
              <w:ind w:firstLine="0" w:firstLineChars="0"/>
              <w:jc w:val="center"/>
              <w:rPr>
                <w:color w:val="auto"/>
                <w:sz w:val="21"/>
                <w:szCs w:val="21"/>
              </w:rPr>
            </w:pPr>
            <w:r>
              <w:rPr>
                <w:color w:val="auto"/>
                <w:kern w:val="0"/>
                <w:sz w:val="21"/>
                <w:szCs w:val="21"/>
                <w:lang w:bidi="ar"/>
              </w:rPr>
              <w:t>T</w:t>
            </w:r>
            <w:r>
              <w:rPr>
                <w:color w:val="auto"/>
                <w:kern w:val="0"/>
                <w:sz w:val="21"/>
                <w:szCs w:val="21"/>
                <w:vertAlign w:val="subscript"/>
                <w:lang w:bidi="ar"/>
              </w:rPr>
              <w:t>0</w:t>
            </w:r>
          </w:p>
        </w:tc>
        <w:tc>
          <w:tcPr>
            <w:tcW w:w="1156" w:type="pct"/>
            <w:tcBorders>
              <w:tl2br w:val="nil"/>
              <w:tr2bl w:val="nil"/>
            </w:tcBorders>
            <w:shd w:val="clear" w:color="auto" w:fill="auto"/>
            <w:vAlign w:val="center"/>
          </w:tcPr>
          <w:p w14:paraId="47F48DED">
            <w:pPr>
              <w:widowControl/>
              <w:spacing w:line="240" w:lineRule="auto"/>
              <w:ind w:firstLine="0" w:firstLineChars="0"/>
              <w:jc w:val="center"/>
              <w:rPr>
                <w:color w:val="auto"/>
                <w:sz w:val="21"/>
                <w:szCs w:val="21"/>
              </w:rPr>
            </w:pPr>
            <w:r>
              <w:rPr>
                <w:color w:val="auto"/>
                <w:kern w:val="0"/>
                <w:sz w:val="21"/>
                <w:szCs w:val="21"/>
                <w:lang w:bidi="ar"/>
              </w:rPr>
              <w:t>环境温度</w:t>
            </w:r>
          </w:p>
        </w:tc>
        <w:tc>
          <w:tcPr>
            <w:tcW w:w="847" w:type="pct"/>
            <w:tcBorders>
              <w:tl2br w:val="nil"/>
              <w:tr2bl w:val="nil"/>
            </w:tcBorders>
            <w:shd w:val="clear" w:color="auto" w:fill="auto"/>
            <w:vAlign w:val="center"/>
          </w:tcPr>
          <w:p w14:paraId="0BF5A1CE">
            <w:pPr>
              <w:widowControl/>
              <w:spacing w:line="240" w:lineRule="auto"/>
              <w:ind w:firstLine="0" w:firstLineChars="0"/>
              <w:jc w:val="center"/>
              <w:rPr>
                <w:color w:val="auto"/>
                <w:sz w:val="21"/>
                <w:szCs w:val="21"/>
              </w:rPr>
            </w:pPr>
            <w:r>
              <w:rPr>
                <w:color w:val="auto"/>
                <w:kern w:val="0"/>
                <w:sz w:val="21"/>
                <w:szCs w:val="21"/>
                <w:lang w:bidi="ar"/>
              </w:rPr>
              <w:t>K</w:t>
            </w:r>
          </w:p>
        </w:tc>
        <w:tc>
          <w:tcPr>
            <w:tcW w:w="1103" w:type="pct"/>
            <w:tcBorders>
              <w:tl2br w:val="nil"/>
              <w:tr2bl w:val="nil"/>
            </w:tcBorders>
            <w:shd w:val="clear" w:color="auto" w:fill="auto"/>
            <w:vAlign w:val="center"/>
          </w:tcPr>
          <w:p w14:paraId="694D141B">
            <w:pPr>
              <w:widowControl/>
              <w:spacing w:line="240" w:lineRule="auto"/>
              <w:ind w:firstLine="0" w:firstLineChars="0"/>
              <w:jc w:val="center"/>
              <w:rPr>
                <w:color w:val="auto"/>
                <w:kern w:val="0"/>
                <w:sz w:val="21"/>
                <w:szCs w:val="21"/>
                <w:lang w:bidi="ar"/>
              </w:rPr>
            </w:pPr>
            <w:r>
              <w:rPr>
                <w:color w:val="auto"/>
                <w:kern w:val="0"/>
                <w:sz w:val="21"/>
                <w:szCs w:val="21"/>
                <w:lang w:bidi="ar"/>
              </w:rPr>
              <w:t>298.15</w:t>
            </w:r>
          </w:p>
        </w:tc>
        <w:tc>
          <w:tcPr>
            <w:tcW w:w="1104" w:type="pct"/>
            <w:tcBorders>
              <w:tl2br w:val="nil"/>
              <w:tr2bl w:val="nil"/>
            </w:tcBorders>
            <w:shd w:val="clear" w:color="auto" w:fill="auto"/>
            <w:vAlign w:val="center"/>
          </w:tcPr>
          <w:p w14:paraId="4D093975">
            <w:pPr>
              <w:widowControl/>
              <w:spacing w:line="240" w:lineRule="auto"/>
              <w:ind w:firstLine="0" w:firstLineChars="0"/>
              <w:jc w:val="center"/>
              <w:rPr>
                <w:color w:val="auto"/>
                <w:kern w:val="0"/>
                <w:sz w:val="21"/>
                <w:szCs w:val="21"/>
                <w:lang w:bidi="ar"/>
              </w:rPr>
            </w:pPr>
            <w:r>
              <w:rPr>
                <w:color w:val="auto"/>
                <w:kern w:val="0"/>
                <w:sz w:val="21"/>
                <w:szCs w:val="21"/>
                <w:lang w:bidi="ar"/>
              </w:rPr>
              <w:t>298.15</w:t>
            </w:r>
          </w:p>
        </w:tc>
      </w:tr>
      <w:tr w14:paraId="46765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4AA91524">
            <w:pPr>
              <w:widowControl/>
              <w:spacing w:line="240" w:lineRule="auto"/>
              <w:ind w:firstLine="0" w:firstLineChars="0"/>
              <w:jc w:val="center"/>
              <w:rPr>
                <w:color w:val="auto"/>
                <w:sz w:val="21"/>
                <w:szCs w:val="21"/>
              </w:rPr>
            </w:pPr>
            <w:r>
              <w:rPr>
                <w:color w:val="auto"/>
                <w:kern w:val="0"/>
                <w:sz w:val="21"/>
                <w:szCs w:val="21"/>
                <w:lang w:bidi="ar"/>
              </w:rPr>
              <w:t>M</w:t>
            </w:r>
          </w:p>
        </w:tc>
        <w:tc>
          <w:tcPr>
            <w:tcW w:w="1156" w:type="pct"/>
            <w:tcBorders>
              <w:tl2br w:val="nil"/>
              <w:tr2bl w:val="nil"/>
            </w:tcBorders>
            <w:shd w:val="clear" w:color="auto" w:fill="auto"/>
            <w:vAlign w:val="center"/>
          </w:tcPr>
          <w:p w14:paraId="539CD6A0">
            <w:pPr>
              <w:widowControl/>
              <w:spacing w:line="240" w:lineRule="auto"/>
              <w:ind w:firstLine="0" w:firstLineChars="0"/>
              <w:jc w:val="center"/>
              <w:rPr>
                <w:color w:val="auto"/>
                <w:sz w:val="21"/>
                <w:szCs w:val="21"/>
              </w:rPr>
            </w:pPr>
            <w:r>
              <w:rPr>
                <w:color w:val="auto"/>
                <w:kern w:val="0"/>
                <w:sz w:val="21"/>
                <w:szCs w:val="21"/>
                <w:lang w:bidi="ar"/>
              </w:rPr>
              <w:t>物质摩尔质量</w:t>
            </w:r>
          </w:p>
        </w:tc>
        <w:tc>
          <w:tcPr>
            <w:tcW w:w="847" w:type="pct"/>
            <w:tcBorders>
              <w:tl2br w:val="nil"/>
              <w:tr2bl w:val="nil"/>
            </w:tcBorders>
            <w:shd w:val="clear" w:color="auto" w:fill="auto"/>
            <w:vAlign w:val="center"/>
          </w:tcPr>
          <w:p w14:paraId="42E29C14">
            <w:pPr>
              <w:widowControl/>
              <w:spacing w:line="240" w:lineRule="auto"/>
              <w:ind w:firstLine="0" w:firstLineChars="0"/>
              <w:jc w:val="center"/>
              <w:rPr>
                <w:color w:val="auto"/>
                <w:sz w:val="21"/>
                <w:szCs w:val="21"/>
              </w:rPr>
            </w:pPr>
            <w:r>
              <w:rPr>
                <w:color w:val="auto"/>
                <w:kern w:val="0"/>
                <w:sz w:val="21"/>
                <w:szCs w:val="21"/>
                <w:lang w:bidi="ar"/>
              </w:rPr>
              <w:t>kg/mol</w:t>
            </w:r>
          </w:p>
        </w:tc>
        <w:tc>
          <w:tcPr>
            <w:tcW w:w="1103" w:type="pct"/>
            <w:tcBorders>
              <w:tl2br w:val="nil"/>
              <w:tr2bl w:val="nil"/>
            </w:tcBorders>
            <w:shd w:val="clear" w:color="auto" w:fill="auto"/>
            <w:vAlign w:val="center"/>
          </w:tcPr>
          <w:p w14:paraId="0A8A90F2">
            <w:pPr>
              <w:widowControl/>
              <w:spacing w:line="240" w:lineRule="auto"/>
              <w:ind w:firstLine="0" w:firstLineChars="0"/>
              <w:jc w:val="center"/>
              <w:rPr>
                <w:color w:val="auto"/>
                <w:kern w:val="0"/>
                <w:sz w:val="21"/>
                <w:szCs w:val="21"/>
                <w:lang w:bidi="ar"/>
              </w:rPr>
            </w:pPr>
            <w:r>
              <w:rPr>
                <w:color w:val="auto"/>
                <w:kern w:val="0"/>
                <w:sz w:val="21"/>
                <w:szCs w:val="21"/>
                <w:lang w:bidi="ar"/>
              </w:rPr>
              <w:t>0.098</w:t>
            </w:r>
          </w:p>
        </w:tc>
        <w:tc>
          <w:tcPr>
            <w:tcW w:w="1104" w:type="pct"/>
            <w:tcBorders>
              <w:tl2br w:val="nil"/>
              <w:tr2bl w:val="nil"/>
            </w:tcBorders>
            <w:shd w:val="clear" w:color="auto" w:fill="auto"/>
            <w:vAlign w:val="center"/>
          </w:tcPr>
          <w:p w14:paraId="00E75A0D">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0.017</w:t>
            </w:r>
          </w:p>
        </w:tc>
      </w:tr>
      <w:tr w14:paraId="7A50C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45396D2A">
            <w:pPr>
              <w:widowControl/>
              <w:spacing w:line="240" w:lineRule="auto"/>
              <w:ind w:firstLine="0" w:firstLineChars="0"/>
              <w:jc w:val="center"/>
              <w:rPr>
                <w:color w:val="auto"/>
                <w:sz w:val="21"/>
                <w:szCs w:val="21"/>
              </w:rPr>
            </w:pPr>
            <w:r>
              <w:rPr>
                <w:color w:val="auto"/>
                <w:kern w:val="0"/>
                <w:sz w:val="21"/>
                <w:szCs w:val="21"/>
                <w:lang w:bidi="ar"/>
              </w:rPr>
              <w:t>U</w:t>
            </w:r>
          </w:p>
        </w:tc>
        <w:tc>
          <w:tcPr>
            <w:tcW w:w="1156" w:type="pct"/>
            <w:tcBorders>
              <w:tl2br w:val="nil"/>
              <w:tr2bl w:val="nil"/>
            </w:tcBorders>
            <w:shd w:val="clear" w:color="auto" w:fill="auto"/>
            <w:vAlign w:val="center"/>
          </w:tcPr>
          <w:p w14:paraId="471DCE82">
            <w:pPr>
              <w:widowControl/>
              <w:spacing w:line="240" w:lineRule="auto"/>
              <w:ind w:firstLine="0" w:firstLineChars="0"/>
              <w:jc w:val="center"/>
              <w:rPr>
                <w:color w:val="auto"/>
                <w:sz w:val="21"/>
                <w:szCs w:val="21"/>
              </w:rPr>
            </w:pPr>
            <w:r>
              <w:rPr>
                <w:color w:val="auto"/>
                <w:kern w:val="0"/>
                <w:sz w:val="21"/>
                <w:szCs w:val="21"/>
                <w:lang w:bidi="ar"/>
              </w:rPr>
              <w:t>风速</w:t>
            </w:r>
          </w:p>
        </w:tc>
        <w:tc>
          <w:tcPr>
            <w:tcW w:w="847" w:type="pct"/>
            <w:tcBorders>
              <w:tl2br w:val="nil"/>
              <w:tr2bl w:val="nil"/>
            </w:tcBorders>
            <w:shd w:val="clear" w:color="auto" w:fill="auto"/>
            <w:vAlign w:val="center"/>
          </w:tcPr>
          <w:p w14:paraId="5D881A6E">
            <w:pPr>
              <w:widowControl/>
              <w:spacing w:line="240" w:lineRule="auto"/>
              <w:ind w:firstLine="0" w:firstLineChars="0"/>
              <w:jc w:val="center"/>
              <w:rPr>
                <w:color w:val="auto"/>
                <w:sz w:val="21"/>
                <w:szCs w:val="21"/>
              </w:rPr>
            </w:pPr>
            <w:r>
              <w:rPr>
                <w:color w:val="auto"/>
                <w:kern w:val="0"/>
                <w:sz w:val="21"/>
                <w:szCs w:val="21"/>
                <w:lang w:bidi="ar"/>
              </w:rPr>
              <w:t>m/s</w:t>
            </w:r>
          </w:p>
        </w:tc>
        <w:tc>
          <w:tcPr>
            <w:tcW w:w="1103" w:type="pct"/>
            <w:tcBorders>
              <w:tl2br w:val="nil"/>
              <w:tr2bl w:val="nil"/>
            </w:tcBorders>
            <w:shd w:val="clear" w:color="auto" w:fill="auto"/>
            <w:vAlign w:val="center"/>
          </w:tcPr>
          <w:p w14:paraId="496AD98F">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3.5</w:t>
            </w:r>
          </w:p>
        </w:tc>
        <w:tc>
          <w:tcPr>
            <w:tcW w:w="1104" w:type="pct"/>
            <w:tcBorders>
              <w:tl2br w:val="nil"/>
              <w:tr2bl w:val="nil"/>
            </w:tcBorders>
            <w:shd w:val="clear" w:color="auto" w:fill="auto"/>
            <w:vAlign w:val="center"/>
          </w:tcPr>
          <w:p w14:paraId="2329167F">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3.5</w:t>
            </w:r>
          </w:p>
        </w:tc>
      </w:tr>
      <w:tr w14:paraId="10ADF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08F88AAA">
            <w:pPr>
              <w:widowControl/>
              <w:spacing w:line="240" w:lineRule="auto"/>
              <w:ind w:firstLine="0" w:firstLineChars="0"/>
              <w:jc w:val="center"/>
              <w:rPr>
                <w:color w:val="auto"/>
                <w:sz w:val="21"/>
                <w:szCs w:val="21"/>
              </w:rPr>
            </w:pPr>
            <w:r>
              <w:rPr>
                <w:color w:val="auto"/>
                <w:kern w:val="0"/>
                <w:sz w:val="21"/>
                <w:szCs w:val="21"/>
                <w:lang w:bidi="ar"/>
              </w:rPr>
              <w:t>r</w:t>
            </w:r>
          </w:p>
        </w:tc>
        <w:tc>
          <w:tcPr>
            <w:tcW w:w="1156" w:type="pct"/>
            <w:tcBorders>
              <w:tl2br w:val="nil"/>
              <w:tr2bl w:val="nil"/>
            </w:tcBorders>
            <w:shd w:val="clear" w:color="auto" w:fill="auto"/>
            <w:vAlign w:val="center"/>
          </w:tcPr>
          <w:p w14:paraId="41EC4A97">
            <w:pPr>
              <w:widowControl/>
              <w:spacing w:line="240" w:lineRule="auto"/>
              <w:ind w:firstLine="0" w:firstLineChars="0"/>
              <w:jc w:val="center"/>
              <w:rPr>
                <w:color w:val="auto"/>
                <w:sz w:val="21"/>
                <w:szCs w:val="21"/>
              </w:rPr>
            </w:pPr>
            <w:r>
              <w:rPr>
                <w:color w:val="auto"/>
                <w:kern w:val="0"/>
                <w:sz w:val="21"/>
                <w:szCs w:val="21"/>
                <w:lang w:bidi="ar"/>
              </w:rPr>
              <w:t>液池半径</w:t>
            </w:r>
          </w:p>
        </w:tc>
        <w:tc>
          <w:tcPr>
            <w:tcW w:w="847" w:type="pct"/>
            <w:tcBorders>
              <w:tl2br w:val="nil"/>
              <w:tr2bl w:val="nil"/>
            </w:tcBorders>
            <w:shd w:val="clear" w:color="auto" w:fill="auto"/>
            <w:vAlign w:val="center"/>
          </w:tcPr>
          <w:p w14:paraId="20F64A7D">
            <w:pPr>
              <w:widowControl/>
              <w:spacing w:line="240" w:lineRule="auto"/>
              <w:ind w:firstLine="0" w:firstLineChars="0"/>
              <w:jc w:val="center"/>
              <w:rPr>
                <w:color w:val="auto"/>
                <w:sz w:val="21"/>
                <w:szCs w:val="21"/>
              </w:rPr>
            </w:pPr>
            <w:r>
              <w:rPr>
                <w:color w:val="auto"/>
                <w:kern w:val="0"/>
                <w:sz w:val="21"/>
                <w:szCs w:val="21"/>
                <w:lang w:bidi="ar"/>
              </w:rPr>
              <w:t>M</w:t>
            </w:r>
          </w:p>
        </w:tc>
        <w:tc>
          <w:tcPr>
            <w:tcW w:w="1103" w:type="pct"/>
            <w:tcBorders>
              <w:tl2br w:val="nil"/>
              <w:tr2bl w:val="nil"/>
            </w:tcBorders>
            <w:shd w:val="clear" w:color="auto" w:fill="auto"/>
            <w:vAlign w:val="center"/>
          </w:tcPr>
          <w:p w14:paraId="239469C4">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7.6</w:t>
            </w:r>
          </w:p>
        </w:tc>
        <w:tc>
          <w:tcPr>
            <w:tcW w:w="1104" w:type="pct"/>
            <w:tcBorders>
              <w:tl2br w:val="nil"/>
              <w:tr2bl w:val="nil"/>
            </w:tcBorders>
            <w:shd w:val="clear" w:color="auto" w:fill="auto"/>
            <w:vAlign w:val="center"/>
          </w:tcPr>
          <w:p w14:paraId="0FAA3B34">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2.5</w:t>
            </w:r>
          </w:p>
        </w:tc>
      </w:tr>
      <w:tr w14:paraId="2A428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7D552B59">
            <w:pPr>
              <w:widowControl/>
              <w:spacing w:line="240" w:lineRule="auto"/>
              <w:ind w:firstLine="0" w:firstLineChars="0"/>
              <w:jc w:val="center"/>
              <w:rPr>
                <w:color w:val="auto"/>
                <w:sz w:val="21"/>
                <w:szCs w:val="21"/>
              </w:rPr>
            </w:pPr>
            <w:r>
              <w:rPr>
                <w:color w:val="auto"/>
                <w:kern w:val="0"/>
                <w:sz w:val="21"/>
                <w:szCs w:val="21"/>
                <w:lang w:bidi="ar"/>
              </w:rPr>
              <w:t>α,n</w:t>
            </w:r>
          </w:p>
        </w:tc>
        <w:tc>
          <w:tcPr>
            <w:tcW w:w="1156" w:type="pct"/>
            <w:tcBorders>
              <w:tl2br w:val="nil"/>
              <w:tr2bl w:val="nil"/>
            </w:tcBorders>
            <w:shd w:val="clear" w:color="auto" w:fill="auto"/>
            <w:vAlign w:val="center"/>
          </w:tcPr>
          <w:p w14:paraId="476CFB87">
            <w:pPr>
              <w:widowControl/>
              <w:spacing w:line="240" w:lineRule="auto"/>
              <w:ind w:firstLine="0" w:firstLineChars="0"/>
              <w:jc w:val="center"/>
              <w:rPr>
                <w:color w:val="auto"/>
                <w:sz w:val="21"/>
                <w:szCs w:val="21"/>
              </w:rPr>
            </w:pPr>
            <w:r>
              <w:rPr>
                <w:color w:val="auto"/>
                <w:kern w:val="0"/>
                <w:sz w:val="21"/>
                <w:szCs w:val="21"/>
                <w:lang w:bidi="ar"/>
              </w:rPr>
              <w:t>大气稳定度系数</w:t>
            </w:r>
          </w:p>
        </w:tc>
        <w:tc>
          <w:tcPr>
            <w:tcW w:w="847" w:type="pct"/>
            <w:tcBorders>
              <w:tl2br w:val="nil"/>
              <w:tr2bl w:val="nil"/>
            </w:tcBorders>
            <w:shd w:val="clear" w:color="auto" w:fill="auto"/>
            <w:vAlign w:val="center"/>
          </w:tcPr>
          <w:p w14:paraId="3AFA502C">
            <w:pPr>
              <w:widowControl/>
              <w:spacing w:line="240" w:lineRule="auto"/>
              <w:ind w:firstLine="0" w:firstLineChars="0"/>
              <w:jc w:val="center"/>
              <w:rPr>
                <w:color w:val="auto"/>
                <w:sz w:val="21"/>
                <w:szCs w:val="21"/>
              </w:rPr>
            </w:pPr>
            <w:r>
              <w:rPr>
                <w:color w:val="auto"/>
                <w:kern w:val="0"/>
                <w:sz w:val="21"/>
                <w:szCs w:val="21"/>
                <w:lang w:bidi="ar"/>
              </w:rPr>
              <w:t>/</w:t>
            </w:r>
          </w:p>
        </w:tc>
        <w:tc>
          <w:tcPr>
            <w:tcW w:w="1103" w:type="pct"/>
            <w:tcBorders>
              <w:tl2br w:val="nil"/>
              <w:tr2bl w:val="nil"/>
            </w:tcBorders>
            <w:shd w:val="clear" w:color="auto" w:fill="auto"/>
            <w:vAlign w:val="center"/>
          </w:tcPr>
          <w:p w14:paraId="2FE27191">
            <w:pPr>
              <w:widowControl/>
              <w:spacing w:line="240" w:lineRule="auto"/>
              <w:ind w:firstLine="0" w:firstLineChars="0"/>
              <w:jc w:val="center"/>
              <w:rPr>
                <w:color w:val="auto"/>
                <w:kern w:val="0"/>
                <w:sz w:val="21"/>
                <w:szCs w:val="21"/>
                <w:lang w:bidi="ar"/>
              </w:rPr>
            </w:pPr>
            <w:r>
              <w:rPr>
                <w:color w:val="auto"/>
                <w:kern w:val="0"/>
                <w:sz w:val="21"/>
                <w:szCs w:val="21"/>
                <w:lang w:bidi="ar"/>
              </w:rPr>
              <w:t>F</w:t>
            </w:r>
          </w:p>
        </w:tc>
        <w:tc>
          <w:tcPr>
            <w:tcW w:w="1104" w:type="pct"/>
            <w:tcBorders>
              <w:tl2br w:val="nil"/>
              <w:tr2bl w:val="nil"/>
            </w:tcBorders>
            <w:shd w:val="clear" w:color="auto" w:fill="auto"/>
            <w:vAlign w:val="center"/>
          </w:tcPr>
          <w:p w14:paraId="1D2B8964">
            <w:pPr>
              <w:widowControl/>
              <w:spacing w:line="240" w:lineRule="auto"/>
              <w:ind w:firstLine="0" w:firstLineChars="0"/>
              <w:jc w:val="center"/>
              <w:rPr>
                <w:color w:val="auto"/>
                <w:kern w:val="0"/>
                <w:sz w:val="21"/>
                <w:szCs w:val="21"/>
                <w:lang w:bidi="ar"/>
              </w:rPr>
            </w:pPr>
            <w:r>
              <w:rPr>
                <w:color w:val="auto"/>
                <w:kern w:val="0"/>
                <w:sz w:val="21"/>
                <w:szCs w:val="21"/>
                <w:lang w:bidi="ar"/>
              </w:rPr>
              <w:t>F</w:t>
            </w:r>
          </w:p>
        </w:tc>
      </w:tr>
      <w:tr w14:paraId="31A4A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8" w:type="pct"/>
            <w:tcBorders>
              <w:tl2br w:val="nil"/>
              <w:tr2bl w:val="nil"/>
            </w:tcBorders>
            <w:shd w:val="clear" w:color="auto" w:fill="auto"/>
            <w:vAlign w:val="center"/>
          </w:tcPr>
          <w:p w14:paraId="543FA0B8">
            <w:pPr>
              <w:widowControl/>
              <w:spacing w:line="240" w:lineRule="auto"/>
              <w:ind w:firstLine="0" w:firstLineChars="0"/>
              <w:jc w:val="center"/>
              <w:rPr>
                <w:color w:val="auto"/>
                <w:sz w:val="21"/>
                <w:szCs w:val="21"/>
              </w:rPr>
            </w:pPr>
            <w:r>
              <w:rPr>
                <w:color w:val="auto"/>
                <w:kern w:val="0"/>
                <w:sz w:val="21"/>
                <w:szCs w:val="21"/>
                <w:lang w:bidi="ar"/>
              </w:rPr>
              <w:t>Q</w:t>
            </w:r>
          </w:p>
        </w:tc>
        <w:tc>
          <w:tcPr>
            <w:tcW w:w="1156" w:type="pct"/>
            <w:tcBorders>
              <w:tl2br w:val="nil"/>
              <w:tr2bl w:val="nil"/>
            </w:tcBorders>
            <w:shd w:val="clear" w:color="auto" w:fill="auto"/>
            <w:vAlign w:val="center"/>
          </w:tcPr>
          <w:p w14:paraId="2805A1E4">
            <w:pPr>
              <w:widowControl/>
              <w:spacing w:line="240" w:lineRule="auto"/>
              <w:ind w:firstLine="0" w:firstLineChars="0"/>
              <w:jc w:val="center"/>
              <w:rPr>
                <w:color w:val="auto"/>
                <w:sz w:val="21"/>
                <w:szCs w:val="21"/>
              </w:rPr>
            </w:pPr>
            <w:r>
              <w:rPr>
                <w:color w:val="auto"/>
                <w:kern w:val="0"/>
                <w:sz w:val="21"/>
                <w:szCs w:val="21"/>
                <w:lang w:bidi="ar"/>
              </w:rPr>
              <w:t>质量蒸发速率</w:t>
            </w:r>
          </w:p>
        </w:tc>
        <w:tc>
          <w:tcPr>
            <w:tcW w:w="847" w:type="pct"/>
            <w:tcBorders>
              <w:tl2br w:val="nil"/>
              <w:tr2bl w:val="nil"/>
            </w:tcBorders>
            <w:shd w:val="clear" w:color="auto" w:fill="auto"/>
            <w:vAlign w:val="center"/>
          </w:tcPr>
          <w:p w14:paraId="7B2062A5">
            <w:pPr>
              <w:widowControl/>
              <w:spacing w:line="240" w:lineRule="auto"/>
              <w:ind w:firstLine="0" w:firstLineChars="0"/>
              <w:jc w:val="center"/>
              <w:rPr>
                <w:color w:val="auto"/>
                <w:sz w:val="21"/>
                <w:szCs w:val="21"/>
              </w:rPr>
            </w:pPr>
            <w:r>
              <w:rPr>
                <w:color w:val="auto"/>
                <w:kern w:val="0"/>
                <w:sz w:val="21"/>
                <w:szCs w:val="21"/>
                <w:lang w:bidi="ar"/>
              </w:rPr>
              <w:t>kg/s</w:t>
            </w:r>
          </w:p>
        </w:tc>
        <w:tc>
          <w:tcPr>
            <w:tcW w:w="1103" w:type="pct"/>
            <w:tcBorders>
              <w:tl2br w:val="nil"/>
              <w:tr2bl w:val="nil"/>
            </w:tcBorders>
            <w:shd w:val="clear" w:color="auto" w:fill="auto"/>
            <w:vAlign w:val="center"/>
          </w:tcPr>
          <w:p w14:paraId="24754456">
            <w:pPr>
              <w:widowControl/>
              <w:spacing w:line="240" w:lineRule="auto"/>
              <w:ind w:firstLine="0" w:firstLineChars="0"/>
              <w:jc w:val="center"/>
              <w:rPr>
                <w:color w:val="auto"/>
                <w:kern w:val="0"/>
                <w:sz w:val="21"/>
                <w:szCs w:val="21"/>
                <w:lang w:bidi="ar"/>
              </w:rPr>
            </w:pPr>
            <w:r>
              <w:rPr>
                <w:color w:val="auto"/>
                <w:kern w:val="0"/>
                <w:sz w:val="21"/>
                <w:szCs w:val="21"/>
                <w:lang w:bidi="ar"/>
              </w:rPr>
              <w:t>0.01</w:t>
            </w:r>
            <w:r>
              <w:rPr>
                <w:rFonts w:hint="eastAsia"/>
                <w:color w:val="auto"/>
                <w:kern w:val="0"/>
                <w:sz w:val="21"/>
                <w:szCs w:val="21"/>
                <w:lang w:bidi="ar"/>
              </w:rPr>
              <w:t>9</w:t>
            </w:r>
          </w:p>
        </w:tc>
        <w:tc>
          <w:tcPr>
            <w:tcW w:w="1104" w:type="pct"/>
            <w:tcBorders>
              <w:tl2br w:val="nil"/>
              <w:tr2bl w:val="nil"/>
            </w:tcBorders>
            <w:shd w:val="clear" w:color="auto" w:fill="auto"/>
            <w:vAlign w:val="center"/>
          </w:tcPr>
          <w:p w14:paraId="41CB5C67">
            <w:pPr>
              <w:widowControl/>
              <w:spacing w:line="240" w:lineRule="auto"/>
              <w:ind w:firstLine="0" w:firstLineChars="0"/>
              <w:jc w:val="center"/>
              <w:rPr>
                <w:color w:val="auto"/>
                <w:kern w:val="0"/>
                <w:sz w:val="21"/>
                <w:szCs w:val="21"/>
                <w:lang w:bidi="ar"/>
              </w:rPr>
            </w:pPr>
            <w:r>
              <w:rPr>
                <w:color w:val="auto"/>
                <w:kern w:val="0"/>
                <w:sz w:val="21"/>
                <w:szCs w:val="21"/>
                <w:lang w:bidi="ar"/>
              </w:rPr>
              <w:t>0.01</w:t>
            </w:r>
          </w:p>
        </w:tc>
      </w:tr>
    </w:tbl>
    <w:p w14:paraId="14CDAD8B">
      <w:pPr>
        <w:widowControl/>
        <w:spacing w:line="500" w:lineRule="exact"/>
        <w:ind w:firstLine="480"/>
        <w:rPr>
          <w:color w:val="auto"/>
          <w:kern w:val="0"/>
          <w:lang w:bidi="ar"/>
        </w:rPr>
      </w:pPr>
      <w:r>
        <w:rPr>
          <w:color w:val="auto"/>
          <w:kern w:val="0"/>
          <w:lang w:bidi="ar"/>
        </w:rPr>
        <w:t>从液体泄漏到全部清理完毕的时间以30min计，则泄漏硫酸蒸发量为</w:t>
      </w:r>
      <w:r>
        <w:rPr>
          <w:rFonts w:hint="eastAsia"/>
          <w:color w:val="auto"/>
          <w:kern w:val="0"/>
          <w:lang w:bidi="ar"/>
        </w:rPr>
        <w:t>34.55</w:t>
      </w:r>
      <w:r>
        <w:rPr>
          <w:color w:val="auto"/>
          <w:kern w:val="0"/>
          <w:lang w:bidi="ar"/>
        </w:rPr>
        <w:t>kg</w:t>
      </w:r>
      <w:r>
        <w:rPr>
          <w:rFonts w:hint="eastAsia"/>
          <w:color w:val="auto"/>
          <w:kern w:val="0"/>
          <w:lang w:bidi="ar"/>
        </w:rPr>
        <w:t>，液氨蒸发量为28.47kg</w:t>
      </w:r>
      <w:r>
        <w:rPr>
          <w:color w:val="auto"/>
          <w:kern w:val="0"/>
          <w:lang w:bidi="ar"/>
        </w:rPr>
        <w:t>。</w:t>
      </w:r>
    </w:p>
    <w:p w14:paraId="3187610C">
      <w:pPr>
        <w:keepNext/>
        <w:keepLines/>
        <w:spacing w:before="120" w:beforeLines="50"/>
        <w:ind w:firstLine="0" w:firstLineChars="0"/>
        <w:outlineLvl w:val="3"/>
        <w:rPr>
          <w:b/>
          <w:bCs/>
          <w:color w:val="auto"/>
          <w:szCs w:val="28"/>
        </w:rPr>
      </w:pPr>
      <w:r>
        <w:rPr>
          <w:rFonts w:hint="eastAsia"/>
          <w:b/>
          <w:bCs/>
          <w:color w:val="auto"/>
          <w:szCs w:val="28"/>
        </w:rPr>
        <w:t>6.2.8.3 风险预测与评价</w:t>
      </w:r>
    </w:p>
    <w:p w14:paraId="31A2E200">
      <w:pPr>
        <w:ind w:firstLine="482"/>
        <w:rPr>
          <w:b/>
          <w:bCs/>
          <w:color w:val="auto"/>
        </w:rPr>
      </w:pPr>
      <w:r>
        <w:rPr>
          <w:b/>
          <w:bCs/>
          <w:color w:val="auto"/>
        </w:rPr>
        <w:t>1、大气环境风险预测</w:t>
      </w:r>
    </w:p>
    <w:p w14:paraId="50C4EF45">
      <w:pPr>
        <w:ind w:firstLine="480"/>
        <w:rPr>
          <w:color w:val="auto"/>
        </w:rPr>
      </w:pPr>
      <w:r>
        <w:rPr>
          <w:rFonts w:hint="eastAsia"/>
          <w:color w:val="auto"/>
        </w:rPr>
        <w:t>（1）</w:t>
      </w:r>
      <w:r>
        <w:rPr>
          <w:color w:val="auto"/>
        </w:rPr>
        <w:t>预测模型</w:t>
      </w:r>
    </w:p>
    <w:p w14:paraId="2E1BF8AB">
      <w:pPr>
        <w:ind w:firstLine="480"/>
        <w:rPr>
          <w:color w:val="auto"/>
        </w:rPr>
      </w:pPr>
      <w:r>
        <w:rPr>
          <w:color w:val="auto"/>
        </w:rPr>
        <w:t>由于硫酸烟团初始密度大于空气密度，采用理查德森数判断，扩散计算采用SLAB模型。</w:t>
      </w:r>
    </w:p>
    <w:p w14:paraId="021F805B">
      <w:pPr>
        <w:ind w:firstLine="480"/>
        <w:rPr>
          <w:color w:val="auto"/>
        </w:rPr>
      </w:pPr>
      <w:r>
        <w:rPr>
          <w:rFonts w:hint="eastAsia"/>
          <w:color w:val="auto"/>
        </w:rPr>
        <w:t>液氨储罐或其关键发生小孔泄漏事故，该情形下液氨从裂孔中持续喷射，根据模型测算，其扩散过程中液态部分仍不断气化为蒸气，为两相混合物，建议采用SLAB模式。</w:t>
      </w:r>
    </w:p>
    <w:p w14:paraId="0D8BDA6F">
      <w:pPr>
        <w:ind w:firstLine="480"/>
        <w:rPr>
          <w:color w:val="auto"/>
        </w:rPr>
      </w:pPr>
      <w:r>
        <w:rPr>
          <w:color w:val="auto"/>
        </w:rPr>
        <w:t>预测主要参数详见表</w:t>
      </w:r>
      <w:r>
        <w:rPr>
          <w:rFonts w:hint="eastAsia"/>
          <w:color w:val="auto"/>
        </w:rPr>
        <w:t>6.2.8-7</w:t>
      </w:r>
      <w:r>
        <w:rPr>
          <w:color w:val="auto"/>
        </w:rPr>
        <w:t>。</w:t>
      </w:r>
    </w:p>
    <w:p w14:paraId="494790B8">
      <w:pPr>
        <w:widowControl/>
        <w:spacing w:line="240" w:lineRule="auto"/>
        <w:ind w:firstLine="0" w:firstLineChars="0"/>
        <w:jc w:val="center"/>
        <w:rPr>
          <w:b/>
          <w:color w:val="auto"/>
        </w:rPr>
      </w:pPr>
      <w:r>
        <w:rPr>
          <w:b/>
          <w:color w:val="auto"/>
          <w:kern w:val="0"/>
          <w:lang w:bidi="ar"/>
        </w:rPr>
        <w:t>表</w:t>
      </w:r>
      <w:r>
        <w:rPr>
          <w:rFonts w:hint="eastAsia"/>
          <w:b/>
          <w:color w:val="auto"/>
          <w:kern w:val="0"/>
          <w:lang w:bidi="ar"/>
        </w:rPr>
        <w:t>6.2.8-7</w:t>
      </w:r>
      <w:r>
        <w:rPr>
          <w:b/>
          <w:color w:val="auto"/>
          <w:kern w:val="0"/>
          <w:lang w:bidi="ar"/>
        </w:rPr>
        <w:t xml:space="preserve">  </w:t>
      </w:r>
      <w:r>
        <w:rPr>
          <w:b/>
          <w:bCs/>
          <w:color w:val="auto"/>
          <w:kern w:val="0"/>
          <w:lang w:bidi="ar"/>
        </w:rPr>
        <w:t>预测</w:t>
      </w:r>
      <w:r>
        <w:rPr>
          <w:b/>
          <w:color w:val="auto"/>
          <w:kern w:val="0"/>
          <w:lang w:bidi="ar"/>
        </w:rPr>
        <w:t>模型主要参数表</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2663"/>
        <w:gridCol w:w="2336"/>
        <w:gridCol w:w="2337"/>
      </w:tblGrid>
      <w:tr w14:paraId="31109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restart"/>
            <w:tcBorders>
              <w:tl2br w:val="nil"/>
              <w:tr2bl w:val="nil"/>
            </w:tcBorders>
            <w:shd w:val="clear" w:color="auto" w:fill="auto"/>
            <w:vAlign w:val="center"/>
          </w:tcPr>
          <w:p w14:paraId="5987BCC2">
            <w:pPr>
              <w:widowControl/>
              <w:spacing w:line="240" w:lineRule="auto"/>
              <w:ind w:firstLine="0" w:firstLineChars="0"/>
              <w:jc w:val="center"/>
              <w:rPr>
                <w:b/>
                <w:bCs/>
                <w:color w:val="auto"/>
                <w:sz w:val="21"/>
                <w:szCs w:val="21"/>
              </w:rPr>
            </w:pPr>
            <w:r>
              <w:rPr>
                <w:b/>
                <w:bCs/>
                <w:color w:val="auto"/>
                <w:kern w:val="0"/>
                <w:sz w:val="21"/>
                <w:szCs w:val="21"/>
                <w:lang w:bidi="ar"/>
              </w:rPr>
              <w:t>参数类型</w:t>
            </w:r>
          </w:p>
        </w:tc>
        <w:tc>
          <w:tcPr>
            <w:tcW w:w="1417" w:type="pct"/>
            <w:vMerge w:val="restart"/>
            <w:tcBorders>
              <w:tl2br w:val="nil"/>
              <w:tr2bl w:val="nil"/>
            </w:tcBorders>
            <w:shd w:val="clear" w:color="auto" w:fill="auto"/>
            <w:vAlign w:val="center"/>
          </w:tcPr>
          <w:p w14:paraId="4761371E">
            <w:pPr>
              <w:widowControl/>
              <w:spacing w:line="240" w:lineRule="auto"/>
              <w:ind w:firstLine="0" w:firstLineChars="0"/>
              <w:jc w:val="center"/>
              <w:rPr>
                <w:b/>
                <w:bCs/>
                <w:color w:val="auto"/>
                <w:sz w:val="21"/>
                <w:szCs w:val="21"/>
              </w:rPr>
            </w:pPr>
            <w:r>
              <w:rPr>
                <w:b/>
                <w:bCs/>
                <w:color w:val="auto"/>
                <w:kern w:val="0"/>
                <w:sz w:val="21"/>
                <w:szCs w:val="21"/>
                <w:lang w:bidi="ar"/>
              </w:rPr>
              <w:t>选项</w:t>
            </w:r>
          </w:p>
        </w:tc>
        <w:tc>
          <w:tcPr>
            <w:tcW w:w="1243" w:type="pct"/>
            <w:tcBorders>
              <w:tl2br w:val="nil"/>
              <w:tr2bl w:val="nil"/>
            </w:tcBorders>
            <w:shd w:val="clear" w:color="auto" w:fill="auto"/>
            <w:vAlign w:val="center"/>
          </w:tcPr>
          <w:p w14:paraId="778C4F2A">
            <w:pPr>
              <w:widowControl/>
              <w:spacing w:line="240" w:lineRule="auto"/>
              <w:ind w:firstLine="0" w:firstLineChars="0"/>
              <w:jc w:val="center"/>
              <w:rPr>
                <w:b/>
                <w:bCs/>
                <w:color w:val="auto"/>
                <w:kern w:val="0"/>
                <w:sz w:val="21"/>
                <w:szCs w:val="21"/>
                <w:lang w:bidi="ar"/>
              </w:rPr>
            </w:pPr>
            <w:r>
              <w:rPr>
                <w:rFonts w:hint="eastAsia"/>
                <w:b/>
                <w:bCs/>
                <w:color w:val="auto"/>
                <w:kern w:val="0"/>
                <w:sz w:val="21"/>
                <w:szCs w:val="21"/>
                <w:lang w:bidi="ar"/>
              </w:rPr>
              <w:t>硫酸</w:t>
            </w:r>
          </w:p>
        </w:tc>
        <w:tc>
          <w:tcPr>
            <w:tcW w:w="1244" w:type="pct"/>
            <w:tcBorders>
              <w:tl2br w:val="nil"/>
              <w:tr2bl w:val="nil"/>
            </w:tcBorders>
            <w:shd w:val="clear" w:color="auto" w:fill="auto"/>
            <w:vAlign w:val="center"/>
          </w:tcPr>
          <w:p w14:paraId="5CC5F338">
            <w:pPr>
              <w:widowControl/>
              <w:spacing w:line="240" w:lineRule="auto"/>
              <w:ind w:firstLine="0" w:firstLineChars="0"/>
              <w:jc w:val="center"/>
              <w:rPr>
                <w:b/>
                <w:bCs/>
                <w:color w:val="auto"/>
                <w:kern w:val="0"/>
                <w:sz w:val="21"/>
                <w:szCs w:val="21"/>
                <w:lang w:bidi="ar"/>
              </w:rPr>
            </w:pPr>
            <w:r>
              <w:rPr>
                <w:rFonts w:hint="eastAsia"/>
                <w:b/>
                <w:bCs/>
                <w:color w:val="auto"/>
                <w:kern w:val="0"/>
                <w:sz w:val="21"/>
                <w:szCs w:val="21"/>
                <w:lang w:bidi="ar"/>
              </w:rPr>
              <w:t>液氨</w:t>
            </w:r>
          </w:p>
        </w:tc>
      </w:tr>
      <w:tr w14:paraId="7F746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64F149CB">
            <w:pPr>
              <w:widowControl/>
              <w:spacing w:line="240" w:lineRule="auto"/>
              <w:ind w:firstLine="0" w:firstLineChars="0"/>
              <w:jc w:val="center"/>
              <w:rPr>
                <w:b/>
                <w:bCs/>
                <w:color w:val="auto"/>
                <w:sz w:val="21"/>
                <w:szCs w:val="21"/>
              </w:rPr>
            </w:pPr>
          </w:p>
        </w:tc>
        <w:tc>
          <w:tcPr>
            <w:tcW w:w="1417" w:type="pct"/>
            <w:vMerge w:val="continue"/>
            <w:tcBorders>
              <w:tl2br w:val="nil"/>
              <w:tr2bl w:val="nil"/>
            </w:tcBorders>
            <w:shd w:val="clear" w:color="auto" w:fill="auto"/>
            <w:vAlign w:val="center"/>
          </w:tcPr>
          <w:p w14:paraId="17A8CF62">
            <w:pPr>
              <w:widowControl/>
              <w:spacing w:line="240" w:lineRule="auto"/>
              <w:ind w:firstLine="0" w:firstLineChars="0"/>
              <w:jc w:val="center"/>
              <w:rPr>
                <w:b/>
                <w:bCs/>
                <w:color w:val="auto"/>
                <w:sz w:val="21"/>
                <w:szCs w:val="21"/>
              </w:rPr>
            </w:pPr>
          </w:p>
        </w:tc>
        <w:tc>
          <w:tcPr>
            <w:tcW w:w="1243" w:type="pct"/>
            <w:tcBorders>
              <w:tl2br w:val="nil"/>
              <w:tr2bl w:val="nil"/>
            </w:tcBorders>
            <w:shd w:val="clear" w:color="auto" w:fill="auto"/>
            <w:vAlign w:val="center"/>
          </w:tcPr>
          <w:p w14:paraId="4228A5E3">
            <w:pPr>
              <w:widowControl/>
              <w:spacing w:line="240" w:lineRule="auto"/>
              <w:ind w:firstLine="0" w:firstLineChars="0"/>
              <w:jc w:val="center"/>
              <w:rPr>
                <w:b/>
                <w:bCs/>
                <w:color w:val="auto"/>
                <w:kern w:val="0"/>
                <w:sz w:val="21"/>
                <w:szCs w:val="21"/>
                <w:lang w:bidi="ar"/>
              </w:rPr>
            </w:pPr>
            <w:r>
              <w:rPr>
                <w:b/>
                <w:bCs/>
                <w:color w:val="auto"/>
                <w:kern w:val="0"/>
                <w:sz w:val="21"/>
                <w:szCs w:val="21"/>
                <w:lang w:bidi="ar"/>
              </w:rPr>
              <w:t>参数</w:t>
            </w:r>
          </w:p>
        </w:tc>
        <w:tc>
          <w:tcPr>
            <w:tcW w:w="1244" w:type="pct"/>
            <w:tcBorders>
              <w:tl2br w:val="nil"/>
              <w:tr2bl w:val="nil"/>
            </w:tcBorders>
            <w:shd w:val="clear" w:color="auto" w:fill="auto"/>
            <w:vAlign w:val="center"/>
          </w:tcPr>
          <w:p w14:paraId="2C70D3A7">
            <w:pPr>
              <w:widowControl/>
              <w:spacing w:line="240" w:lineRule="auto"/>
              <w:ind w:firstLine="0" w:firstLineChars="0"/>
              <w:jc w:val="center"/>
              <w:rPr>
                <w:b/>
                <w:bCs/>
                <w:color w:val="auto"/>
                <w:kern w:val="0"/>
                <w:sz w:val="21"/>
                <w:szCs w:val="21"/>
                <w:lang w:bidi="ar"/>
              </w:rPr>
            </w:pPr>
            <w:r>
              <w:rPr>
                <w:b/>
                <w:bCs/>
                <w:color w:val="auto"/>
                <w:kern w:val="0"/>
                <w:sz w:val="21"/>
                <w:szCs w:val="21"/>
                <w:lang w:bidi="ar"/>
              </w:rPr>
              <w:t>参数</w:t>
            </w:r>
          </w:p>
        </w:tc>
      </w:tr>
      <w:tr w14:paraId="647EB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restart"/>
            <w:tcBorders>
              <w:tl2br w:val="nil"/>
              <w:tr2bl w:val="nil"/>
            </w:tcBorders>
            <w:shd w:val="clear" w:color="auto" w:fill="auto"/>
            <w:vAlign w:val="center"/>
          </w:tcPr>
          <w:p w14:paraId="3099E4C7">
            <w:pPr>
              <w:widowControl/>
              <w:spacing w:line="240" w:lineRule="auto"/>
              <w:ind w:firstLine="0" w:firstLineChars="0"/>
              <w:jc w:val="center"/>
              <w:rPr>
                <w:color w:val="auto"/>
                <w:kern w:val="44"/>
                <w:sz w:val="21"/>
                <w:szCs w:val="21"/>
              </w:rPr>
            </w:pPr>
            <w:r>
              <w:rPr>
                <w:color w:val="auto"/>
                <w:kern w:val="44"/>
                <w:sz w:val="21"/>
                <w:szCs w:val="21"/>
                <w:lang w:bidi="ar"/>
              </w:rPr>
              <w:t>基本情况</w:t>
            </w:r>
          </w:p>
        </w:tc>
        <w:tc>
          <w:tcPr>
            <w:tcW w:w="1417" w:type="pct"/>
            <w:tcBorders>
              <w:tl2br w:val="nil"/>
              <w:tr2bl w:val="nil"/>
            </w:tcBorders>
            <w:shd w:val="clear" w:color="auto" w:fill="auto"/>
            <w:vAlign w:val="center"/>
          </w:tcPr>
          <w:p w14:paraId="1AEA63F6">
            <w:pPr>
              <w:widowControl/>
              <w:spacing w:line="240" w:lineRule="auto"/>
              <w:ind w:firstLine="0" w:firstLineChars="0"/>
              <w:jc w:val="center"/>
              <w:rPr>
                <w:color w:val="auto"/>
                <w:sz w:val="21"/>
                <w:szCs w:val="21"/>
              </w:rPr>
            </w:pPr>
            <w:r>
              <w:rPr>
                <w:color w:val="auto"/>
                <w:kern w:val="0"/>
                <w:sz w:val="21"/>
                <w:szCs w:val="21"/>
                <w:lang w:bidi="ar"/>
              </w:rPr>
              <w:t>事故源经度/（°）</w:t>
            </w:r>
          </w:p>
        </w:tc>
        <w:tc>
          <w:tcPr>
            <w:tcW w:w="2487" w:type="pct"/>
            <w:gridSpan w:val="2"/>
            <w:tcBorders>
              <w:tl2br w:val="nil"/>
              <w:tr2bl w:val="nil"/>
            </w:tcBorders>
            <w:shd w:val="clear" w:color="auto" w:fill="auto"/>
            <w:vAlign w:val="center"/>
          </w:tcPr>
          <w:p w14:paraId="2D099AA7">
            <w:pPr>
              <w:widowControl/>
              <w:spacing w:line="240" w:lineRule="auto"/>
              <w:ind w:firstLine="0" w:firstLineChars="0"/>
              <w:jc w:val="center"/>
              <w:rPr>
                <w:color w:val="auto"/>
                <w:kern w:val="0"/>
                <w:sz w:val="21"/>
                <w:szCs w:val="21"/>
                <w:lang w:bidi="ar"/>
              </w:rPr>
            </w:pPr>
            <w:r>
              <w:rPr>
                <w:color w:val="auto"/>
                <w:kern w:val="0"/>
                <w:sz w:val="21"/>
                <w:szCs w:val="21"/>
                <w:lang w:bidi="ar"/>
              </w:rPr>
              <w:t>119.22391713E</w:t>
            </w:r>
          </w:p>
        </w:tc>
      </w:tr>
      <w:tr w14:paraId="3807D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6CCC8006">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7C5845B6">
            <w:pPr>
              <w:widowControl/>
              <w:spacing w:line="240" w:lineRule="auto"/>
              <w:ind w:firstLine="0" w:firstLineChars="0"/>
              <w:jc w:val="center"/>
              <w:rPr>
                <w:color w:val="auto"/>
                <w:sz w:val="21"/>
                <w:szCs w:val="21"/>
              </w:rPr>
            </w:pPr>
            <w:r>
              <w:rPr>
                <w:color w:val="auto"/>
                <w:kern w:val="0"/>
                <w:sz w:val="21"/>
                <w:szCs w:val="21"/>
                <w:lang w:bidi="ar"/>
              </w:rPr>
              <w:t>事故源纬度/（°）</w:t>
            </w:r>
          </w:p>
        </w:tc>
        <w:tc>
          <w:tcPr>
            <w:tcW w:w="2487" w:type="pct"/>
            <w:gridSpan w:val="2"/>
            <w:tcBorders>
              <w:tl2br w:val="nil"/>
              <w:tr2bl w:val="nil"/>
            </w:tcBorders>
            <w:shd w:val="clear" w:color="auto" w:fill="auto"/>
            <w:vAlign w:val="center"/>
          </w:tcPr>
          <w:p w14:paraId="617747BC">
            <w:pPr>
              <w:pStyle w:val="80"/>
              <w:spacing w:before="0" w:beforeAutospacing="0" w:after="0" w:afterAutospacing="0"/>
              <w:ind w:firstLine="0" w:firstLineChars="0"/>
              <w:jc w:val="center"/>
              <w:rPr>
                <w:rFonts w:ascii="Times New Roman" w:hAnsi="Times New Roman"/>
                <w:color w:val="auto"/>
              </w:rPr>
            </w:pPr>
            <w:r>
              <w:rPr>
                <w:rFonts w:ascii="Times New Roman" w:hAnsi="Times New Roman"/>
                <w:color w:val="auto"/>
              </w:rPr>
              <w:t>34.74026361</w:t>
            </w:r>
            <w:r>
              <w:rPr>
                <w:rFonts w:ascii="Times New Roman" w:hAnsi="Times New Roman"/>
                <w:color w:val="auto"/>
                <w:szCs w:val="21"/>
                <w:lang w:bidi="ar"/>
              </w:rPr>
              <w:t>N</w:t>
            </w:r>
          </w:p>
        </w:tc>
      </w:tr>
      <w:tr w14:paraId="24915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1EFA7CDF">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0A953FEC">
            <w:pPr>
              <w:widowControl/>
              <w:spacing w:line="240" w:lineRule="auto"/>
              <w:ind w:firstLine="0" w:firstLineChars="0"/>
              <w:jc w:val="center"/>
              <w:rPr>
                <w:color w:val="auto"/>
                <w:sz w:val="21"/>
                <w:szCs w:val="21"/>
              </w:rPr>
            </w:pPr>
            <w:r>
              <w:rPr>
                <w:color w:val="auto"/>
                <w:kern w:val="0"/>
                <w:sz w:val="21"/>
                <w:szCs w:val="21"/>
                <w:lang w:bidi="ar"/>
              </w:rPr>
              <w:t>事故源类型</w:t>
            </w:r>
          </w:p>
        </w:tc>
        <w:tc>
          <w:tcPr>
            <w:tcW w:w="1243" w:type="pct"/>
            <w:tcBorders>
              <w:tl2br w:val="nil"/>
              <w:tr2bl w:val="nil"/>
            </w:tcBorders>
            <w:shd w:val="clear" w:color="auto" w:fill="auto"/>
            <w:vAlign w:val="center"/>
          </w:tcPr>
          <w:p w14:paraId="1AC1EA19">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硫酸储罐</w:t>
            </w:r>
            <w:r>
              <w:rPr>
                <w:color w:val="auto"/>
                <w:kern w:val="0"/>
                <w:sz w:val="21"/>
                <w:szCs w:val="21"/>
                <w:lang w:bidi="ar"/>
              </w:rPr>
              <w:t>泄漏</w:t>
            </w:r>
          </w:p>
        </w:tc>
        <w:tc>
          <w:tcPr>
            <w:tcW w:w="1244" w:type="pct"/>
            <w:tcBorders>
              <w:tl2br w:val="nil"/>
              <w:tr2bl w:val="nil"/>
            </w:tcBorders>
            <w:shd w:val="clear" w:color="auto" w:fill="auto"/>
            <w:vAlign w:val="center"/>
          </w:tcPr>
          <w:p w14:paraId="1C3E7EC0">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液氨钢瓶破损</w:t>
            </w:r>
          </w:p>
        </w:tc>
      </w:tr>
      <w:tr w14:paraId="11F1A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restart"/>
            <w:tcBorders>
              <w:tl2br w:val="nil"/>
              <w:tr2bl w:val="nil"/>
            </w:tcBorders>
            <w:shd w:val="clear" w:color="auto" w:fill="auto"/>
            <w:vAlign w:val="center"/>
          </w:tcPr>
          <w:p w14:paraId="7604E547">
            <w:pPr>
              <w:widowControl/>
              <w:spacing w:line="240" w:lineRule="auto"/>
              <w:ind w:firstLine="0" w:firstLineChars="0"/>
              <w:jc w:val="center"/>
              <w:rPr>
                <w:color w:val="auto"/>
                <w:kern w:val="44"/>
                <w:sz w:val="21"/>
                <w:szCs w:val="21"/>
              </w:rPr>
            </w:pPr>
            <w:r>
              <w:rPr>
                <w:color w:val="auto"/>
                <w:kern w:val="44"/>
                <w:sz w:val="21"/>
                <w:szCs w:val="21"/>
                <w:lang w:bidi="ar"/>
              </w:rPr>
              <w:t>气象参数</w:t>
            </w:r>
          </w:p>
        </w:tc>
        <w:tc>
          <w:tcPr>
            <w:tcW w:w="1417" w:type="pct"/>
            <w:tcBorders>
              <w:tl2br w:val="nil"/>
              <w:tr2bl w:val="nil"/>
            </w:tcBorders>
            <w:shd w:val="clear" w:color="auto" w:fill="auto"/>
            <w:vAlign w:val="center"/>
          </w:tcPr>
          <w:p w14:paraId="34DCD5F8">
            <w:pPr>
              <w:widowControl/>
              <w:spacing w:line="240" w:lineRule="auto"/>
              <w:ind w:firstLine="0" w:firstLineChars="0"/>
              <w:jc w:val="center"/>
              <w:rPr>
                <w:color w:val="auto"/>
                <w:sz w:val="21"/>
                <w:szCs w:val="21"/>
              </w:rPr>
            </w:pPr>
            <w:r>
              <w:rPr>
                <w:color w:val="auto"/>
                <w:kern w:val="0"/>
                <w:sz w:val="21"/>
                <w:szCs w:val="21"/>
                <w:lang w:bidi="ar"/>
              </w:rPr>
              <w:t>气象条件类型</w:t>
            </w:r>
          </w:p>
        </w:tc>
        <w:tc>
          <w:tcPr>
            <w:tcW w:w="1243" w:type="pct"/>
            <w:tcBorders>
              <w:tl2br w:val="nil"/>
              <w:tr2bl w:val="nil"/>
            </w:tcBorders>
            <w:shd w:val="clear" w:color="auto" w:fill="auto"/>
            <w:vAlign w:val="center"/>
          </w:tcPr>
          <w:p w14:paraId="17096AA1">
            <w:pPr>
              <w:widowControl/>
              <w:spacing w:line="240" w:lineRule="auto"/>
              <w:ind w:firstLine="0" w:firstLineChars="0"/>
              <w:jc w:val="center"/>
              <w:rPr>
                <w:color w:val="auto"/>
                <w:kern w:val="0"/>
                <w:sz w:val="21"/>
                <w:szCs w:val="21"/>
                <w:lang w:bidi="ar"/>
              </w:rPr>
            </w:pPr>
            <w:r>
              <w:rPr>
                <w:color w:val="auto"/>
                <w:kern w:val="0"/>
                <w:sz w:val="21"/>
                <w:szCs w:val="21"/>
                <w:lang w:bidi="ar"/>
              </w:rPr>
              <w:t>最不利气象</w:t>
            </w:r>
          </w:p>
        </w:tc>
        <w:tc>
          <w:tcPr>
            <w:tcW w:w="1244" w:type="pct"/>
            <w:tcBorders>
              <w:tl2br w:val="nil"/>
              <w:tr2bl w:val="nil"/>
            </w:tcBorders>
            <w:shd w:val="clear" w:color="auto" w:fill="auto"/>
            <w:vAlign w:val="center"/>
          </w:tcPr>
          <w:p w14:paraId="5F4C6CAA">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最不利气象</w:t>
            </w:r>
          </w:p>
        </w:tc>
      </w:tr>
      <w:tr w14:paraId="1948F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7FDBBBAD">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2BBBCEDD">
            <w:pPr>
              <w:widowControl/>
              <w:spacing w:line="240" w:lineRule="auto"/>
              <w:ind w:firstLine="0" w:firstLineChars="0"/>
              <w:jc w:val="center"/>
              <w:rPr>
                <w:color w:val="auto"/>
                <w:sz w:val="21"/>
                <w:szCs w:val="21"/>
              </w:rPr>
            </w:pPr>
            <w:r>
              <w:rPr>
                <w:color w:val="auto"/>
                <w:kern w:val="0"/>
                <w:sz w:val="21"/>
                <w:szCs w:val="21"/>
                <w:lang w:bidi="ar"/>
              </w:rPr>
              <w:t>风速/（m/s）</w:t>
            </w:r>
          </w:p>
        </w:tc>
        <w:tc>
          <w:tcPr>
            <w:tcW w:w="1243" w:type="pct"/>
            <w:tcBorders>
              <w:tl2br w:val="nil"/>
              <w:tr2bl w:val="nil"/>
            </w:tcBorders>
            <w:shd w:val="clear" w:color="auto" w:fill="auto"/>
            <w:vAlign w:val="center"/>
          </w:tcPr>
          <w:p w14:paraId="5EFBC73B">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1.5</w:t>
            </w:r>
          </w:p>
        </w:tc>
        <w:tc>
          <w:tcPr>
            <w:tcW w:w="1244" w:type="pct"/>
            <w:tcBorders>
              <w:tl2br w:val="nil"/>
              <w:tr2bl w:val="nil"/>
            </w:tcBorders>
            <w:shd w:val="clear" w:color="auto" w:fill="auto"/>
            <w:vAlign w:val="center"/>
          </w:tcPr>
          <w:p w14:paraId="7C16FF31">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1.5</w:t>
            </w:r>
          </w:p>
        </w:tc>
      </w:tr>
      <w:tr w14:paraId="16358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1F146FA6">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6E0BF0BE">
            <w:pPr>
              <w:widowControl/>
              <w:spacing w:line="240" w:lineRule="auto"/>
              <w:ind w:firstLine="0" w:firstLineChars="0"/>
              <w:jc w:val="center"/>
              <w:rPr>
                <w:color w:val="auto"/>
                <w:sz w:val="21"/>
                <w:szCs w:val="21"/>
              </w:rPr>
            </w:pPr>
            <w:r>
              <w:rPr>
                <w:color w:val="auto"/>
                <w:kern w:val="0"/>
                <w:sz w:val="21"/>
                <w:szCs w:val="21"/>
                <w:lang w:bidi="ar"/>
              </w:rPr>
              <w:t>环境温度/℃</w:t>
            </w:r>
          </w:p>
        </w:tc>
        <w:tc>
          <w:tcPr>
            <w:tcW w:w="1243" w:type="pct"/>
            <w:tcBorders>
              <w:tl2br w:val="nil"/>
              <w:tr2bl w:val="nil"/>
            </w:tcBorders>
            <w:shd w:val="clear" w:color="auto" w:fill="auto"/>
            <w:vAlign w:val="center"/>
          </w:tcPr>
          <w:p w14:paraId="5B1FA720">
            <w:pPr>
              <w:widowControl/>
              <w:spacing w:line="240" w:lineRule="auto"/>
              <w:ind w:firstLine="0" w:firstLineChars="0"/>
              <w:jc w:val="center"/>
              <w:rPr>
                <w:color w:val="auto"/>
                <w:kern w:val="0"/>
                <w:sz w:val="21"/>
                <w:szCs w:val="21"/>
                <w:lang w:bidi="ar"/>
              </w:rPr>
            </w:pPr>
            <w:r>
              <w:rPr>
                <w:color w:val="auto"/>
                <w:kern w:val="0"/>
                <w:sz w:val="21"/>
                <w:szCs w:val="21"/>
                <w:lang w:bidi="ar"/>
              </w:rPr>
              <w:t>25</w:t>
            </w:r>
          </w:p>
        </w:tc>
        <w:tc>
          <w:tcPr>
            <w:tcW w:w="1244" w:type="pct"/>
            <w:tcBorders>
              <w:tl2br w:val="nil"/>
              <w:tr2bl w:val="nil"/>
            </w:tcBorders>
            <w:shd w:val="clear" w:color="auto" w:fill="auto"/>
            <w:vAlign w:val="center"/>
          </w:tcPr>
          <w:p w14:paraId="685B6B70">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25</w:t>
            </w:r>
          </w:p>
        </w:tc>
      </w:tr>
      <w:tr w14:paraId="451FC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1EBC7DF3">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40388EEC">
            <w:pPr>
              <w:widowControl/>
              <w:spacing w:line="240" w:lineRule="auto"/>
              <w:ind w:firstLine="0" w:firstLineChars="0"/>
              <w:jc w:val="center"/>
              <w:rPr>
                <w:color w:val="auto"/>
                <w:sz w:val="21"/>
                <w:szCs w:val="21"/>
              </w:rPr>
            </w:pPr>
            <w:r>
              <w:rPr>
                <w:color w:val="auto"/>
                <w:kern w:val="0"/>
                <w:sz w:val="21"/>
                <w:szCs w:val="21"/>
                <w:lang w:bidi="ar"/>
              </w:rPr>
              <w:t>相对湿度/%</w:t>
            </w:r>
          </w:p>
        </w:tc>
        <w:tc>
          <w:tcPr>
            <w:tcW w:w="1243" w:type="pct"/>
            <w:tcBorders>
              <w:tl2br w:val="nil"/>
              <w:tr2bl w:val="nil"/>
            </w:tcBorders>
            <w:shd w:val="clear" w:color="auto" w:fill="auto"/>
            <w:vAlign w:val="center"/>
          </w:tcPr>
          <w:p w14:paraId="54CFBDB0">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50</w:t>
            </w:r>
          </w:p>
        </w:tc>
        <w:tc>
          <w:tcPr>
            <w:tcW w:w="1244" w:type="pct"/>
            <w:tcBorders>
              <w:tl2br w:val="nil"/>
              <w:tr2bl w:val="nil"/>
            </w:tcBorders>
            <w:shd w:val="clear" w:color="auto" w:fill="auto"/>
            <w:vAlign w:val="center"/>
          </w:tcPr>
          <w:p w14:paraId="40ACED7E">
            <w:pPr>
              <w:widowControl/>
              <w:spacing w:line="240" w:lineRule="auto"/>
              <w:ind w:firstLine="0" w:firstLineChars="0"/>
              <w:jc w:val="center"/>
              <w:rPr>
                <w:color w:val="auto"/>
                <w:kern w:val="0"/>
                <w:sz w:val="21"/>
                <w:szCs w:val="21"/>
                <w:lang w:bidi="ar"/>
              </w:rPr>
            </w:pPr>
            <w:r>
              <w:rPr>
                <w:rFonts w:hint="eastAsia"/>
                <w:color w:val="auto"/>
                <w:kern w:val="0"/>
                <w:sz w:val="21"/>
                <w:szCs w:val="21"/>
                <w:lang w:bidi="ar"/>
              </w:rPr>
              <w:t>50</w:t>
            </w:r>
          </w:p>
        </w:tc>
      </w:tr>
      <w:tr w14:paraId="09379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6FCDAC7B">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405EEE7C">
            <w:pPr>
              <w:widowControl/>
              <w:spacing w:line="240" w:lineRule="auto"/>
              <w:ind w:firstLine="0" w:firstLineChars="0"/>
              <w:jc w:val="center"/>
              <w:rPr>
                <w:color w:val="auto"/>
                <w:sz w:val="21"/>
                <w:szCs w:val="21"/>
              </w:rPr>
            </w:pPr>
            <w:r>
              <w:rPr>
                <w:color w:val="auto"/>
                <w:kern w:val="0"/>
                <w:sz w:val="21"/>
                <w:szCs w:val="21"/>
                <w:lang w:bidi="ar"/>
              </w:rPr>
              <w:t>稳定度</w:t>
            </w:r>
          </w:p>
        </w:tc>
        <w:tc>
          <w:tcPr>
            <w:tcW w:w="1243" w:type="pct"/>
            <w:tcBorders>
              <w:tl2br w:val="nil"/>
              <w:tr2bl w:val="nil"/>
            </w:tcBorders>
            <w:shd w:val="clear" w:color="auto" w:fill="auto"/>
            <w:vAlign w:val="center"/>
          </w:tcPr>
          <w:p w14:paraId="14EFD202">
            <w:pPr>
              <w:widowControl/>
              <w:spacing w:line="240" w:lineRule="auto"/>
              <w:ind w:firstLine="0" w:firstLineChars="0"/>
              <w:jc w:val="center"/>
              <w:rPr>
                <w:color w:val="auto"/>
                <w:kern w:val="0"/>
                <w:sz w:val="21"/>
                <w:szCs w:val="21"/>
                <w:lang w:bidi="ar"/>
              </w:rPr>
            </w:pPr>
            <w:r>
              <w:rPr>
                <w:color w:val="auto"/>
                <w:kern w:val="0"/>
                <w:sz w:val="21"/>
                <w:szCs w:val="21"/>
                <w:lang w:bidi="ar"/>
              </w:rPr>
              <w:t>F</w:t>
            </w:r>
          </w:p>
        </w:tc>
        <w:tc>
          <w:tcPr>
            <w:tcW w:w="1244" w:type="pct"/>
            <w:tcBorders>
              <w:tl2br w:val="nil"/>
              <w:tr2bl w:val="nil"/>
            </w:tcBorders>
            <w:shd w:val="clear" w:color="auto" w:fill="auto"/>
            <w:vAlign w:val="center"/>
          </w:tcPr>
          <w:p w14:paraId="4F584ABA">
            <w:pPr>
              <w:widowControl/>
              <w:spacing w:line="240" w:lineRule="auto"/>
              <w:ind w:firstLine="0" w:firstLineChars="0"/>
              <w:jc w:val="center"/>
              <w:rPr>
                <w:color w:val="auto"/>
                <w:kern w:val="0"/>
                <w:sz w:val="21"/>
                <w:szCs w:val="21"/>
                <w:lang w:bidi="ar"/>
              </w:rPr>
            </w:pPr>
            <w:r>
              <w:rPr>
                <w:color w:val="auto"/>
                <w:kern w:val="0"/>
                <w:sz w:val="21"/>
                <w:szCs w:val="21"/>
                <w:lang w:bidi="ar"/>
              </w:rPr>
              <w:t>F</w:t>
            </w:r>
          </w:p>
        </w:tc>
      </w:tr>
      <w:tr w14:paraId="0251C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restart"/>
            <w:tcBorders>
              <w:tl2br w:val="nil"/>
              <w:tr2bl w:val="nil"/>
            </w:tcBorders>
            <w:shd w:val="clear" w:color="auto" w:fill="auto"/>
            <w:vAlign w:val="center"/>
          </w:tcPr>
          <w:p w14:paraId="35A818F0">
            <w:pPr>
              <w:widowControl/>
              <w:spacing w:line="240" w:lineRule="auto"/>
              <w:ind w:firstLine="0" w:firstLineChars="0"/>
              <w:jc w:val="center"/>
              <w:rPr>
                <w:color w:val="auto"/>
                <w:kern w:val="44"/>
                <w:sz w:val="21"/>
                <w:szCs w:val="21"/>
              </w:rPr>
            </w:pPr>
            <w:r>
              <w:rPr>
                <w:color w:val="auto"/>
                <w:kern w:val="44"/>
                <w:sz w:val="21"/>
                <w:szCs w:val="21"/>
                <w:lang w:bidi="ar"/>
              </w:rPr>
              <w:t>其他参数</w:t>
            </w:r>
          </w:p>
        </w:tc>
        <w:tc>
          <w:tcPr>
            <w:tcW w:w="1417" w:type="pct"/>
            <w:tcBorders>
              <w:tl2br w:val="nil"/>
              <w:tr2bl w:val="nil"/>
            </w:tcBorders>
            <w:shd w:val="clear" w:color="auto" w:fill="auto"/>
            <w:vAlign w:val="center"/>
          </w:tcPr>
          <w:p w14:paraId="0CD1800A">
            <w:pPr>
              <w:widowControl/>
              <w:spacing w:line="240" w:lineRule="auto"/>
              <w:ind w:firstLine="0" w:firstLineChars="0"/>
              <w:jc w:val="center"/>
              <w:rPr>
                <w:color w:val="auto"/>
                <w:sz w:val="21"/>
                <w:szCs w:val="21"/>
              </w:rPr>
            </w:pPr>
            <w:r>
              <w:rPr>
                <w:color w:val="auto"/>
                <w:kern w:val="0"/>
                <w:sz w:val="21"/>
                <w:szCs w:val="21"/>
                <w:lang w:bidi="ar"/>
              </w:rPr>
              <w:t>地面粗糙度/m</w:t>
            </w:r>
          </w:p>
        </w:tc>
        <w:tc>
          <w:tcPr>
            <w:tcW w:w="1243" w:type="pct"/>
            <w:tcBorders>
              <w:tl2br w:val="nil"/>
              <w:tr2bl w:val="nil"/>
            </w:tcBorders>
            <w:shd w:val="clear" w:color="auto" w:fill="auto"/>
            <w:vAlign w:val="center"/>
          </w:tcPr>
          <w:p w14:paraId="5C29B2BC">
            <w:pPr>
              <w:widowControl/>
              <w:spacing w:line="240" w:lineRule="auto"/>
              <w:ind w:firstLine="0" w:firstLineChars="0"/>
              <w:jc w:val="center"/>
              <w:rPr>
                <w:color w:val="auto"/>
                <w:kern w:val="0"/>
                <w:sz w:val="21"/>
                <w:szCs w:val="21"/>
                <w:lang w:bidi="ar"/>
              </w:rPr>
            </w:pPr>
            <w:r>
              <w:rPr>
                <w:color w:val="auto"/>
                <w:kern w:val="0"/>
                <w:sz w:val="21"/>
                <w:szCs w:val="21"/>
                <w:lang w:bidi="ar"/>
              </w:rPr>
              <w:t>0.05</w:t>
            </w:r>
          </w:p>
        </w:tc>
        <w:tc>
          <w:tcPr>
            <w:tcW w:w="1244" w:type="pct"/>
            <w:tcBorders>
              <w:tl2br w:val="nil"/>
              <w:tr2bl w:val="nil"/>
            </w:tcBorders>
            <w:shd w:val="clear" w:color="auto" w:fill="auto"/>
            <w:vAlign w:val="center"/>
          </w:tcPr>
          <w:p w14:paraId="46BAAB7E">
            <w:pPr>
              <w:widowControl/>
              <w:spacing w:line="240" w:lineRule="auto"/>
              <w:ind w:firstLine="0" w:firstLineChars="0"/>
              <w:jc w:val="center"/>
              <w:rPr>
                <w:color w:val="auto"/>
                <w:kern w:val="0"/>
                <w:sz w:val="21"/>
                <w:szCs w:val="21"/>
                <w:lang w:bidi="ar"/>
              </w:rPr>
            </w:pPr>
            <w:r>
              <w:rPr>
                <w:color w:val="auto"/>
                <w:kern w:val="0"/>
                <w:sz w:val="21"/>
                <w:szCs w:val="21"/>
                <w:lang w:bidi="ar"/>
              </w:rPr>
              <w:t>0.05</w:t>
            </w:r>
          </w:p>
        </w:tc>
      </w:tr>
      <w:tr w14:paraId="18C41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16820A23">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15CB97B8">
            <w:pPr>
              <w:widowControl/>
              <w:spacing w:line="240" w:lineRule="auto"/>
              <w:ind w:firstLine="0" w:firstLineChars="0"/>
              <w:jc w:val="center"/>
              <w:rPr>
                <w:color w:val="auto"/>
                <w:sz w:val="21"/>
                <w:szCs w:val="21"/>
              </w:rPr>
            </w:pPr>
            <w:r>
              <w:rPr>
                <w:color w:val="auto"/>
                <w:kern w:val="0"/>
                <w:sz w:val="21"/>
                <w:szCs w:val="21"/>
                <w:lang w:bidi="ar"/>
              </w:rPr>
              <w:t>是否考虑地形</w:t>
            </w:r>
          </w:p>
        </w:tc>
        <w:tc>
          <w:tcPr>
            <w:tcW w:w="1243" w:type="pct"/>
            <w:tcBorders>
              <w:tl2br w:val="nil"/>
              <w:tr2bl w:val="nil"/>
            </w:tcBorders>
            <w:shd w:val="clear" w:color="auto" w:fill="auto"/>
            <w:vAlign w:val="center"/>
          </w:tcPr>
          <w:p w14:paraId="3E881E66">
            <w:pPr>
              <w:widowControl/>
              <w:spacing w:line="240" w:lineRule="auto"/>
              <w:ind w:firstLine="0" w:firstLineChars="0"/>
              <w:jc w:val="center"/>
              <w:rPr>
                <w:color w:val="auto"/>
                <w:kern w:val="0"/>
                <w:sz w:val="21"/>
                <w:szCs w:val="21"/>
                <w:lang w:bidi="ar"/>
              </w:rPr>
            </w:pPr>
            <w:r>
              <w:rPr>
                <w:color w:val="auto"/>
                <w:kern w:val="0"/>
                <w:sz w:val="21"/>
                <w:szCs w:val="21"/>
                <w:lang w:bidi="ar"/>
              </w:rPr>
              <w:t>否</w:t>
            </w:r>
          </w:p>
        </w:tc>
        <w:tc>
          <w:tcPr>
            <w:tcW w:w="1244" w:type="pct"/>
            <w:tcBorders>
              <w:tl2br w:val="nil"/>
              <w:tr2bl w:val="nil"/>
            </w:tcBorders>
            <w:shd w:val="clear" w:color="auto" w:fill="auto"/>
            <w:vAlign w:val="center"/>
          </w:tcPr>
          <w:p w14:paraId="0702FD82">
            <w:pPr>
              <w:widowControl/>
              <w:spacing w:line="240" w:lineRule="auto"/>
              <w:ind w:firstLine="0" w:firstLineChars="0"/>
              <w:jc w:val="center"/>
              <w:rPr>
                <w:color w:val="auto"/>
                <w:kern w:val="0"/>
                <w:sz w:val="21"/>
                <w:szCs w:val="21"/>
                <w:lang w:bidi="ar"/>
              </w:rPr>
            </w:pPr>
            <w:r>
              <w:rPr>
                <w:color w:val="auto"/>
                <w:kern w:val="0"/>
                <w:sz w:val="21"/>
                <w:szCs w:val="21"/>
                <w:lang w:bidi="ar"/>
              </w:rPr>
              <w:t>否</w:t>
            </w:r>
          </w:p>
        </w:tc>
      </w:tr>
      <w:tr w14:paraId="5902B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5" w:type="pct"/>
            <w:vMerge w:val="continue"/>
            <w:tcBorders>
              <w:tl2br w:val="nil"/>
              <w:tr2bl w:val="nil"/>
            </w:tcBorders>
            <w:shd w:val="clear" w:color="auto" w:fill="auto"/>
            <w:vAlign w:val="center"/>
          </w:tcPr>
          <w:p w14:paraId="36D3BA4B">
            <w:pPr>
              <w:spacing w:line="240" w:lineRule="auto"/>
              <w:ind w:firstLine="0" w:firstLineChars="0"/>
              <w:jc w:val="center"/>
              <w:rPr>
                <w:color w:val="auto"/>
                <w:sz w:val="21"/>
                <w:szCs w:val="21"/>
              </w:rPr>
            </w:pPr>
          </w:p>
        </w:tc>
        <w:tc>
          <w:tcPr>
            <w:tcW w:w="1417" w:type="pct"/>
            <w:tcBorders>
              <w:tl2br w:val="nil"/>
              <w:tr2bl w:val="nil"/>
            </w:tcBorders>
            <w:shd w:val="clear" w:color="auto" w:fill="auto"/>
            <w:vAlign w:val="center"/>
          </w:tcPr>
          <w:p w14:paraId="739EB140">
            <w:pPr>
              <w:widowControl/>
              <w:spacing w:line="240" w:lineRule="auto"/>
              <w:ind w:firstLine="0" w:firstLineChars="0"/>
              <w:jc w:val="center"/>
              <w:rPr>
                <w:color w:val="auto"/>
                <w:sz w:val="21"/>
                <w:szCs w:val="21"/>
              </w:rPr>
            </w:pPr>
            <w:r>
              <w:rPr>
                <w:color w:val="auto"/>
                <w:kern w:val="0"/>
                <w:sz w:val="21"/>
                <w:szCs w:val="21"/>
                <w:lang w:bidi="ar"/>
              </w:rPr>
              <w:t>地形数据精度/m</w:t>
            </w:r>
          </w:p>
        </w:tc>
        <w:tc>
          <w:tcPr>
            <w:tcW w:w="1243" w:type="pct"/>
            <w:tcBorders>
              <w:tl2br w:val="nil"/>
              <w:tr2bl w:val="nil"/>
            </w:tcBorders>
            <w:shd w:val="clear" w:color="auto" w:fill="auto"/>
            <w:vAlign w:val="center"/>
          </w:tcPr>
          <w:p w14:paraId="2A02D492">
            <w:pPr>
              <w:widowControl/>
              <w:spacing w:line="240" w:lineRule="auto"/>
              <w:ind w:firstLine="0" w:firstLineChars="0"/>
              <w:jc w:val="center"/>
              <w:rPr>
                <w:color w:val="auto"/>
                <w:kern w:val="0"/>
                <w:sz w:val="21"/>
                <w:szCs w:val="21"/>
                <w:lang w:bidi="ar"/>
              </w:rPr>
            </w:pPr>
            <w:r>
              <w:rPr>
                <w:color w:val="auto"/>
                <w:kern w:val="0"/>
                <w:sz w:val="21"/>
                <w:szCs w:val="21"/>
                <w:lang w:bidi="ar"/>
              </w:rPr>
              <w:t>/</w:t>
            </w:r>
          </w:p>
        </w:tc>
        <w:tc>
          <w:tcPr>
            <w:tcW w:w="1244" w:type="pct"/>
            <w:tcBorders>
              <w:tl2br w:val="nil"/>
              <w:tr2bl w:val="nil"/>
            </w:tcBorders>
            <w:shd w:val="clear" w:color="auto" w:fill="auto"/>
            <w:vAlign w:val="center"/>
          </w:tcPr>
          <w:p w14:paraId="49A1A34E">
            <w:pPr>
              <w:widowControl/>
              <w:spacing w:line="240" w:lineRule="auto"/>
              <w:ind w:firstLine="0" w:firstLineChars="0"/>
              <w:jc w:val="center"/>
              <w:rPr>
                <w:color w:val="auto"/>
                <w:kern w:val="0"/>
                <w:sz w:val="21"/>
                <w:szCs w:val="21"/>
                <w:lang w:bidi="ar"/>
              </w:rPr>
            </w:pPr>
            <w:r>
              <w:rPr>
                <w:color w:val="auto"/>
                <w:kern w:val="0"/>
                <w:sz w:val="21"/>
                <w:szCs w:val="21"/>
                <w:lang w:bidi="ar"/>
              </w:rPr>
              <w:t>/</w:t>
            </w:r>
          </w:p>
        </w:tc>
      </w:tr>
    </w:tbl>
    <w:p w14:paraId="596650C5">
      <w:pPr>
        <w:spacing w:line="500" w:lineRule="exact"/>
        <w:ind w:firstLine="482"/>
        <w:textAlignment w:val="baseline"/>
        <w:rPr>
          <w:b/>
          <w:color w:val="auto"/>
          <w:kern w:val="0"/>
        </w:rPr>
      </w:pPr>
      <w:r>
        <w:rPr>
          <w:rFonts w:hint="eastAsia"/>
          <w:b/>
          <w:color w:val="auto"/>
          <w:kern w:val="0"/>
          <w:lang w:bidi="ar"/>
        </w:rPr>
        <w:t>（2）</w:t>
      </w:r>
      <w:r>
        <w:rPr>
          <w:b/>
          <w:color w:val="auto"/>
          <w:kern w:val="0"/>
          <w:lang w:bidi="ar"/>
        </w:rPr>
        <w:t>预测计算</w:t>
      </w:r>
    </w:p>
    <w:p w14:paraId="45357360">
      <w:pPr>
        <w:spacing w:line="500" w:lineRule="exact"/>
        <w:ind w:firstLine="480"/>
        <w:textAlignment w:val="baseline"/>
        <w:rPr>
          <w:color w:val="auto"/>
          <w:kern w:val="0"/>
        </w:rPr>
      </w:pPr>
      <w:r>
        <w:rPr>
          <w:color w:val="auto"/>
          <w:kern w:val="0"/>
          <w:lang w:bidi="ar"/>
        </w:rPr>
        <w:t>①采用SLAB模型进行计算事故影响，拟建项目预测各物质终点浓度详见表6.2.8-8。不同气象条件下（最不利气象条件）不同距离处有毒有害物质最大浓度详见表6.2.8-</w:t>
      </w:r>
      <w:r>
        <w:rPr>
          <w:rFonts w:hint="eastAsia"/>
          <w:color w:val="auto"/>
          <w:kern w:val="0"/>
          <w:lang w:bidi="ar"/>
        </w:rPr>
        <w:t>8</w:t>
      </w:r>
      <w:r>
        <w:rPr>
          <w:color w:val="auto"/>
          <w:kern w:val="0"/>
          <w:lang w:bidi="ar"/>
        </w:rPr>
        <w:t>。</w:t>
      </w:r>
    </w:p>
    <w:p w14:paraId="2E98139A">
      <w:pPr>
        <w:tabs>
          <w:tab w:val="left" w:pos="5560"/>
          <w:tab w:val="left" w:pos="9645"/>
        </w:tabs>
        <w:spacing w:line="240" w:lineRule="auto"/>
        <w:ind w:firstLine="0" w:firstLineChars="0"/>
        <w:jc w:val="center"/>
        <w:rPr>
          <w:b/>
          <w:color w:val="auto"/>
        </w:rPr>
      </w:pPr>
      <w:r>
        <w:rPr>
          <w:b/>
          <w:color w:val="auto"/>
          <w:lang w:bidi="ar"/>
        </w:rPr>
        <w:t>表6.2.8-8  项目预测各有毒有害物质终点浓度</w:t>
      </w:r>
    </w:p>
    <w:tbl>
      <w:tblPr>
        <w:tblStyle w:val="88"/>
        <w:tblW w:w="48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63"/>
        <w:gridCol w:w="3489"/>
        <w:gridCol w:w="3063"/>
      </w:tblGrid>
      <w:tr w14:paraId="4B805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 w:hRule="atLeast"/>
          <w:tblHeader/>
          <w:jc w:val="center"/>
        </w:trPr>
        <w:tc>
          <w:tcPr>
            <w:tcW w:w="1406" w:type="pct"/>
            <w:tcBorders>
              <w:tl2br w:val="nil"/>
              <w:tr2bl w:val="nil"/>
            </w:tcBorders>
            <w:shd w:val="clear" w:color="auto" w:fill="auto"/>
            <w:tcMar>
              <w:left w:w="108" w:type="dxa"/>
              <w:right w:w="108" w:type="dxa"/>
            </w:tcMar>
            <w:vAlign w:val="center"/>
          </w:tcPr>
          <w:p w14:paraId="1B34B9BD">
            <w:pPr>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物质名称</w:t>
            </w:r>
          </w:p>
        </w:tc>
        <w:tc>
          <w:tcPr>
            <w:tcW w:w="1914" w:type="pct"/>
            <w:tcBorders>
              <w:tl2br w:val="nil"/>
              <w:tr2bl w:val="nil"/>
            </w:tcBorders>
            <w:shd w:val="clear" w:color="auto" w:fill="auto"/>
            <w:vAlign w:val="center"/>
          </w:tcPr>
          <w:p w14:paraId="50C64361">
            <w:pPr>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毒性终点浓度-1/（mg/m</w:t>
            </w:r>
            <w:r>
              <w:rPr>
                <w:b/>
                <w:color w:val="auto"/>
                <w:kern w:val="24"/>
                <w:sz w:val="21"/>
                <w:szCs w:val="21"/>
                <w:vertAlign w:val="superscript"/>
                <w:lang w:bidi="ar"/>
              </w:rPr>
              <w:t>3</w:t>
            </w:r>
            <w:r>
              <w:rPr>
                <w:b/>
                <w:color w:val="auto"/>
                <w:kern w:val="24"/>
                <w:sz w:val="21"/>
                <w:szCs w:val="21"/>
                <w:lang w:bidi="ar"/>
              </w:rPr>
              <w:t>）</w:t>
            </w:r>
          </w:p>
        </w:tc>
        <w:tc>
          <w:tcPr>
            <w:tcW w:w="1680" w:type="pct"/>
            <w:tcBorders>
              <w:tl2br w:val="nil"/>
              <w:tr2bl w:val="nil"/>
            </w:tcBorders>
            <w:shd w:val="clear" w:color="auto" w:fill="auto"/>
            <w:tcMar>
              <w:left w:w="108" w:type="dxa"/>
              <w:right w:w="108" w:type="dxa"/>
            </w:tcMar>
            <w:vAlign w:val="center"/>
          </w:tcPr>
          <w:p w14:paraId="6113B129">
            <w:pPr>
              <w:overflowPunct w:val="0"/>
              <w:spacing w:line="240" w:lineRule="auto"/>
              <w:ind w:firstLine="0" w:firstLineChars="0"/>
              <w:jc w:val="center"/>
              <w:textAlignment w:val="baseline"/>
              <w:rPr>
                <w:b/>
                <w:color w:val="auto"/>
                <w:kern w:val="24"/>
                <w:sz w:val="21"/>
                <w:szCs w:val="21"/>
              </w:rPr>
            </w:pPr>
            <w:r>
              <w:rPr>
                <w:b/>
                <w:color w:val="auto"/>
                <w:kern w:val="24"/>
                <w:sz w:val="21"/>
                <w:szCs w:val="21"/>
                <w:lang w:bidi="ar"/>
              </w:rPr>
              <w:t>毒性终点浓度-2（mg/m</w:t>
            </w:r>
            <w:r>
              <w:rPr>
                <w:b/>
                <w:color w:val="auto"/>
                <w:kern w:val="24"/>
                <w:sz w:val="21"/>
                <w:szCs w:val="21"/>
                <w:vertAlign w:val="superscript"/>
                <w:lang w:bidi="ar"/>
              </w:rPr>
              <w:t>3</w:t>
            </w:r>
            <w:r>
              <w:rPr>
                <w:b/>
                <w:color w:val="auto"/>
                <w:kern w:val="24"/>
                <w:sz w:val="21"/>
                <w:szCs w:val="21"/>
                <w:lang w:bidi="ar"/>
              </w:rPr>
              <w:t>）</w:t>
            </w:r>
          </w:p>
        </w:tc>
      </w:tr>
      <w:tr w14:paraId="1F54C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 w:hRule="atLeast"/>
          <w:jc w:val="center"/>
        </w:trPr>
        <w:tc>
          <w:tcPr>
            <w:tcW w:w="1406" w:type="pct"/>
            <w:tcBorders>
              <w:tl2br w:val="nil"/>
              <w:tr2bl w:val="nil"/>
            </w:tcBorders>
            <w:shd w:val="clear" w:color="auto" w:fill="auto"/>
            <w:tcMar>
              <w:left w:w="108" w:type="dxa"/>
              <w:right w:w="108" w:type="dxa"/>
            </w:tcMar>
            <w:vAlign w:val="center"/>
          </w:tcPr>
          <w:p w14:paraId="14E33197">
            <w:pPr>
              <w:overflowPunct w:val="0"/>
              <w:spacing w:line="240" w:lineRule="auto"/>
              <w:ind w:firstLine="0" w:firstLineChars="0"/>
              <w:jc w:val="center"/>
              <w:textAlignment w:val="baseline"/>
              <w:rPr>
                <w:color w:val="auto"/>
                <w:kern w:val="44"/>
                <w:sz w:val="21"/>
                <w:szCs w:val="21"/>
              </w:rPr>
            </w:pPr>
            <w:r>
              <w:rPr>
                <w:color w:val="auto"/>
                <w:kern w:val="44"/>
                <w:sz w:val="21"/>
                <w:szCs w:val="21"/>
                <w:lang w:bidi="ar"/>
              </w:rPr>
              <w:t>硫酸</w:t>
            </w:r>
          </w:p>
        </w:tc>
        <w:tc>
          <w:tcPr>
            <w:tcW w:w="1914" w:type="pct"/>
            <w:tcBorders>
              <w:tl2br w:val="nil"/>
              <w:tr2bl w:val="nil"/>
            </w:tcBorders>
            <w:shd w:val="clear" w:color="auto" w:fill="auto"/>
            <w:vAlign w:val="center"/>
          </w:tcPr>
          <w:p w14:paraId="6AF235DC">
            <w:pPr>
              <w:overflowPunct w:val="0"/>
              <w:spacing w:line="240" w:lineRule="auto"/>
              <w:ind w:firstLine="0" w:firstLineChars="0"/>
              <w:jc w:val="center"/>
              <w:textAlignment w:val="baseline"/>
              <w:rPr>
                <w:color w:val="auto"/>
                <w:kern w:val="24"/>
                <w:sz w:val="21"/>
                <w:szCs w:val="21"/>
              </w:rPr>
            </w:pPr>
            <w:r>
              <w:rPr>
                <w:color w:val="auto"/>
                <w:kern w:val="24"/>
                <w:sz w:val="21"/>
                <w:szCs w:val="21"/>
                <w:lang w:bidi="ar"/>
              </w:rPr>
              <w:t>160</w:t>
            </w:r>
          </w:p>
        </w:tc>
        <w:tc>
          <w:tcPr>
            <w:tcW w:w="1680" w:type="pct"/>
            <w:tcBorders>
              <w:tl2br w:val="nil"/>
              <w:tr2bl w:val="nil"/>
            </w:tcBorders>
            <w:shd w:val="clear" w:color="auto" w:fill="auto"/>
            <w:tcMar>
              <w:left w:w="108" w:type="dxa"/>
              <w:right w:w="108" w:type="dxa"/>
            </w:tcMar>
            <w:vAlign w:val="center"/>
          </w:tcPr>
          <w:p w14:paraId="6909281D">
            <w:pPr>
              <w:overflowPunct w:val="0"/>
              <w:spacing w:line="240" w:lineRule="auto"/>
              <w:ind w:firstLine="0" w:firstLineChars="0"/>
              <w:jc w:val="center"/>
              <w:textAlignment w:val="baseline"/>
              <w:rPr>
                <w:color w:val="auto"/>
                <w:kern w:val="24"/>
                <w:sz w:val="21"/>
                <w:szCs w:val="21"/>
              </w:rPr>
            </w:pPr>
            <w:r>
              <w:rPr>
                <w:color w:val="auto"/>
                <w:kern w:val="24"/>
                <w:sz w:val="21"/>
                <w:szCs w:val="21"/>
                <w:lang w:bidi="ar"/>
              </w:rPr>
              <w:t>8.7</w:t>
            </w:r>
          </w:p>
        </w:tc>
      </w:tr>
      <w:tr w14:paraId="21EC0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 w:hRule="atLeast"/>
          <w:jc w:val="center"/>
        </w:trPr>
        <w:tc>
          <w:tcPr>
            <w:tcW w:w="1406" w:type="pct"/>
            <w:tcBorders>
              <w:tl2br w:val="nil"/>
              <w:tr2bl w:val="nil"/>
            </w:tcBorders>
            <w:shd w:val="clear" w:color="auto" w:fill="auto"/>
            <w:tcMar>
              <w:left w:w="108" w:type="dxa"/>
              <w:right w:w="108" w:type="dxa"/>
            </w:tcMar>
            <w:vAlign w:val="center"/>
          </w:tcPr>
          <w:p w14:paraId="13AF21D2">
            <w:pPr>
              <w:overflowPunct w:val="0"/>
              <w:spacing w:line="240" w:lineRule="auto"/>
              <w:ind w:firstLine="0" w:firstLineChars="0"/>
              <w:jc w:val="center"/>
              <w:textAlignment w:val="baseline"/>
              <w:rPr>
                <w:color w:val="auto"/>
                <w:kern w:val="44"/>
                <w:sz w:val="21"/>
                <w:szCs w:val="21"/>
                <w:lang w:bidi="ar"/>
              </w:rPr>
            </w:pPr>
            <w:r>
              <w:rPr>
                <w:rFonts w:hint="eastAsia"/>
                <w:color w:val="auto"/>
                <w:kern w:val="44"/>
                <w:sz w:val="21"/>
                <w:szCs w:val="21"/>
                <w:lang w:bidi="ar"/>
              </w:rPr>
              <w:t>液氨</w:t>
            </w:r>
          </w:p>
        </w:tc>
        <w:tc>
          <w:tcPr>
            <w:tcW w:w="1914" w:type="pct"/>
            <w:tcBorders>
              <w:tl2br w:val="nil"/>
              <w:tr2bl w:val="nil"/>
            </w:tcBorders>
            <w:shd w:val="clear" w:color="auto" w:fill="auto"/>
            <w:vAlign w:val="center"/>
          </w:tcPr>
          <w:p w14:paraId="40B13B33">
            <w:pPr>
              <w:overflowPunct w:val="0"/>
              <w:spacing w:line="240" w:lineRule="auto"/>
              <w:ind w:firstLine="0" w:firstLineChars="0"/>
              <w:jc w:val="center"/>
              <w:textAlignment w:val="baseline"/>
              <w:rPr>
                <w:color w:val="auto"/>
                <w:kern w:val="24"/>
                <w:sz w:val="21"/>
                <w:szCs w:val="21"/>
                <w:lang w:bidi="ar"/>
              </w:rPr>
            </w:pPr>
            <w:r>
              <w:rPr>
                <w:rFonts w:hint="eastAsia"/>
                <w:color w:val="auto"/>
                <w:kern w:val="24"/>
                <w:sz w:val="21"/>
                <w:szCs w:val="21"/>
                <w:lang w:bidi="ar"/>
              </w:rPr>
              <w:t>770</w:t>
            </w:r>
          </w:p>
        </w:tc>
        <w:tc>
          <w:tcPr>
            <w:tcW w:w="1680" w:type="pct"/>
            <w:tcBorders>
              <w:tl2br w:val="nil"/>
              <w:tr2bl w:val="nil"/>
            </w:tcBorders>
            <w:shd w:val="clear" w:color="auto" w:fill="auto"/>
            <w:tcMar>
              <w:left w:w="108" w:type="dxa"/>
              <w:right w:w="108" w:type="dxa"/>
            </w:tcMar>
            <w:vAlign w:val="center"/>
          </w:tcPr>
          <w:p w14:paraId="6A38D90F">
            <w:pPr>
              <w:overflowPunct w:val="0"/>
              <w:spacing w:line="240" w:lineRule="auto"/>
              <w:ind w:firstLine="0" w:firstLineChars="0"/>
              <w:jc w:val="center"/>
              <w:textAlignment w:val="baseline"/>
              <w:rPr>
                <w:color w:val="auto"/>
                <w:kern w:val="24"/>
                <w:sz w:val="21"/>
                <w:szCs w:val="21"/>
                <w:lang w:bidi="ar"/>
              </w:rPr>
            </w:pPr>
            <w:r>
              <w:rPr>
                <w:rFonts w:hint="eastAsia"/>
                <w:color w:val="auto"/>
                <w:kern w:val="24"/>
                <w:sz w:val="21"/>
                <w:szCs w:val="21"/>
                <w:lang w:bidi="ar"/>
              </w:rPr>
              <w:t>110</w:t>
            </w:r>
          </w:p>
        </w:tc>
      </w:tr>
    </w:tbl>
    <w:p w14:paraId="765D394E">
      <w:pPr>
        <w:ind w:firstLine="480"/>
        <w:rPr>
          <w:color w:val="auto"/>
        </w:rPr>
      </w:pPr>
      <w:r>
        <w:rPr>
          <w:color w:val="auto"/>
        </w:rPr>
        <w:t>②</w:t>
      </w:r>
      <w:r>
        <w:rPr>
          <w:rFonts w:hint="eastAsia"/>
          <w:color w:val="auto"/>
        </w:rPr>
        <w:t>各关心点的有毒有害物质浓度随时间变化情况详见表6.2.8-10。</w:t>
      </w:r>
    </w:p>
    <w:p w14:paraId="716C677C">
      <w:pPr>
        <w:tabs>
          <w:tab w:val="left" w:pos="5560"/>
          <w:tab w:val="left" w:pos="9645"/>
        </w:tabs>
        <w:spacing w:line="240" w:lineRule="auto"/>
        <w:ind w:firstLine="0" w:firstLineChars="0"/>
        <w:jc w:val="center"/>
        <w:rPr>
          <w:b/>
          <w:color w:val="auto"/>
        </w:rPr>
      </w:pPr>
      <w:r>
        <w:rPr>
          <w:b/>
          <w:color w:val="auto"/>
          <w:lang w:bidi="ar"/>
        </w:rPr>
        <w:t>表6.2.8-</w:t>
      </w:r>
      <w:r>
        <w:rPr>
          <w:rFonts w:hint="eastAsia"/>
          <w:b/>
          <w:color w:val="auto"/>
          <w:lang w:bidi="ar"/>
        </w:rPr>
        <w:t>9</w:t>
      </w:r>
      <w:r>
        <w:rPr>
          <w:b/>
          <w:color w:val="auto"/>
          <w:lang w:bidi="ar"/>
        </w:rPr>
        <w:t xml:space="preserve">  各关心点的有毒有害物质浓度随时间变化表（泄漏；硫酸）（mg/m</w:t>
      </w:r>
      <w:r>
        <w:rPr>
          <w:b/>
          <w:color w:val="auto"/>
          <w:vertAlign w:val="superscript"/>
          <w:lang w:bidi="ar"/>
        </w:rPr>
        <w:t>3</w:t>
      </w:r>
      <w:r>
        <w:rPr>
          <w:b/>
          <w:color w:val="auto"/>
          <w:lang w:bidi="ar"/>
        </w:rPr>
        <w:t>）</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261"/>
        <w:gridCol w:w="1299"/>
        <w:gridCol w:w="1107"/>
        <w:gridCol w:w="1105"/>
        <w:gridCol w:w="1143"/>
        <w:gridCol w:w="1068"/>
        <w:gridCol w:w="975"/>
        <w:gridCol w:w="1020"/>
      </w:tblGrid>
      <w:tr w14:paraId="5AD65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24" w:type="pct"/>
            <w:vMerge w:val="restart"/>
            <w:tcBorders>
              <w:tl2br w:val="nil"/>
              <w:tr2bl w:val="nil"/>
            </w:tcBorders>
            <w:shd w:val="clear" w:color="auto" w:fill="auto"/>
            <w:noWrap/>
            <w:vAlign w:val="center"/>
          </w:tcPr>
          <w:p w14:paraId="66CAED84">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序号</w:t>
            </w:r>
          </w:p>
        </w:tc>
        <w:tc>
          <w:tcPr>
            <w:tcW w:w="670" w:type="pct"/>
            <w:vMerge w:val="restart"/>
            <w:tcBorders>
              <w:tl2br w:val="nil"/>
              <w:tr2bl w:val="nil"/>
            </w:tcBorders>
            <w:shd w:val="clear" w:color="auto" w:fill="auto"/>
            <w:noWrap/>
            <w:vAlign w:val="center"/>
          </w:tcPr>
          <w:p w14:paraId="1206C955">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名称</w:t>
            </w:r>
          </w:p>
        </w:tc>
        <w:tc>
          <w:tcPr>
            <w:tcW w:w="4105" w:type="pct"/>
            <w:gridSpan w:val="7"/>
            <w:tcBorders>
              <w:tl2br w:val="nil"/>
              <w:tr2bl w:val="nil"/>
            </w:tcBorders>
            <w:shd w:val="clear" w:color="auto" w:fill="auto"/>
            <w:noWrap/>
            <w:vAlign w:val="center"/>
          </w:tcPr>
          <w:p w14:paraId="29667655">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最不利气象条件</w:t>
            </w:r>
          </w:p>
        </w:tc>
      </w:tr>
      <w:tr w14:paraId="6F707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24" w:type="pct"/>
            <w:vMerge w:val="continue"/>
            <w:tcBorders>
              <w:tl2br w:val="nil"/>
              <w:tr2bl w:val="nil"/>
            </w:tcBorders>
            <w:shd w:val="clear" w:color="auto" w:fill="auto"/>
            <w:noWrap/>
            <w:vAlign w:val="center"/>
          </w:tcPr>
          <w:p w14:paraId="6B6340E6">
            <w:pPr>
              <w:spacing w:line="240" w:lineRule="auto"/>
              <w:ind w:firstLine="0" w:firstLineChars="0"/>
              <w:jc w:val="center"/>
              <w:rPr>
                <w:color w:val="auto"/>
                <w:sz w:val="21"/>
                <w:szCs w:val="21"/>
              </w:rPr>
            </w:pPr>
          </w:p>
        </w:tc>
        <w:tc>
          <w:tcPr>
            <w:tcW w:w="670" w:type="pct"/>
            <w:vMerge w:val="continue"/>
            <w:tcBorders>
              <w:tl2br w:val="nil"/>
              <w:tr2bl w:val="nil"/>
            </w:tcBorders>
            <w:shd w:val="clear" w:color="auto" w:fill="auto"/>
            <w:noWrap/>
            <w:vAlign w:val="center"/>
          </w:tcPr>
          <w:p w14:paraId="59BDB103">
            <w:pPr>
              <w:spacing w:line="240" w:lineRule="auto"/>
              <w:ind w:firstLine="0" w:firstLineChars="0"/>
              <w:jc w:val="center"/>
              <w:rPr>
                <w:color w:val="auto"/>
                <w:sz w:val="21"/>
                <w:szCs w:val="21"/>
              </w:rPr>
            </w:pPr>
          </w:p>
        </w:tc>
        <w:tc>
          <w:tcPr>
            <w:tcW w:w="690" w:type="pct"/>
            <w:tcBorders>
              <w:tl2br w:val="nil"/>
              <w:tr2bl w:val="nil"/>
            </w:tcBorders>
            <w:shd w:val="clear" w:color="auto" w:fill="auto"/>
            <w:noWrap/>
            <w:vAlign w:val="center"/>
          </w:tcPr>
          <w:p w14:paraId="5D3CAADC">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最大浓度与时间</w:t>
            </w:r>
          </w:p>
        </w:tc>
        <w:tc>
          <w:tcPr>
            <w:tcW w:w="589" w:type="pct"/>
            <w:tcBorders>
              <w:tl2br w:val="nil"/>
              <w:tr2bl w:val="nil"/>
            </w:tcBorders>
            <w:shd w:val="clear" w:color="auto" w:fill="auto"/>
            <w:noWrap/>
            <w:vAlign w:val="center"/>
          </w:tcPr>
          <w:p w14:paraId="7B73B3E7">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5min</w:t>
            </w:r>
          </w:p>
        </w:tc>
        <w:tc>
          <w:tcPr>
            <w:tcW w:w="588" w:type="pct"/>
            <w:tcBorders>
              <w:tl2br w:val="nil"/>
              <w:tr2bl w:val="nil"/>
            </w:tcBorders>
            <w:shd w:val="clear" w:color="auto" w:fill="auto"/>
            <w:noWrap/>
            <w:vAlign w:val="center"/>
          </w:tcPr>
          <w:p w14:paraId="20C99A08">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10min</w:t>
            </w:r>
          </w:p>
        </w:tc>
        <w:tc>
          <w:tcPr>
            <w:tcW w:w="608" w:type="pct"/>
            <w:tcBorders>
              <w:tl2br w:val="nil"/>
              <w:tr2bl w:val="nil"/>
            </w:tcBorders>
            <w:shd w:val="clear" w:color="auto" w:fill="auto"/>
            <w:noWrap/>
            <w:vAlign w:val="center"/>
          </w:tcPr>
          <w:p w14:paraId="7126FB25">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15min</w:t>
            </w:r>
          </w:p>
        </w:tc>
        <w:tc>
          <w:tcPr>
            <w:tcW w:w="568" w:type="pct"/>
            <w:tcBorders>
              <w:tl2br w:val="nil"/>
              <w:tr2bl w:val="nil"/>
            </w:tcBorders>
            <w:shd w:val="clear" w:color="auto" w:fill="auto"/>
            <w:noWrap/>
            <w:vAlign w:val="center"/>
          </w:tcPr>
          <w:p w14:paraId="7F7DBD43">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20min</w:t>
            </w:r>
          </w:p>
        </w:tc>
        <w:tc>
          <w:tcPr>
            <w:tcW w:w="519" w:type="pct"/>
            <w:tcBorders>
              <w:tl2br w:val="nil"/>
              <w:tr2bl w:val="nil"/>
            </w:tcBorders>
            <w:shd w:val="clear" w:color="auto" w:fill="auto"/>
            <w:noWrap/>
            <w:vAlign w:val="center"/>
          </w:tcPr>
          <w:p w14:paraId="15D2B93D">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25min</w:t>
            </w:r>
          </w:p>
        </w:tc>
        <w:tc>
          <w:tcPr>
            <w:tcW w:w="540" w:type="pct"/>
            <w:tcBorders>
              <w:tl2br w:val="nil"/>
              <w:tr2bl w:val="nil"/>
            </w:tcBorders>
            <w:shd w:val="clear" w:color="auto" w:fill="auto"/>
            <w:noWrap/>
            <w:vAlign w:val="center"/>
          </w:tcPr>
          <w:p w14:paraId="5019236A">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30min</w:t>
            </w:r>
          </w:p>
        </w:tc>
      </w:tr>
      <w:tr w14:paraId="7C5B5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480E8E9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1</w:t>
            </w:r>
          </w:p>
        </w:tc>
        <w:tc>
          <w:tcPr>
            <w:tcW w:w="670" w:type="pct"/>
            <w:tcBorders>
              <w:tl2br w:val="nil"/>
              <w:tr2bl w:val="nil"/>
            </w:tcBorders>
            <w:shd w:val="clear" w:color="auto" w:fill="auto"/>
            <w:noWrap/>
            <w:vAlign w:val="center"/>
          </w:tcPr>
          <w:p w14:paraId="7182107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连云港华杰高级中学</w:t>
            </w:r>
          </w:p>
        </w:tc>
        <w:tc>
          <w:tcPr>
            <w:tcW w:w="690" w:type="pct"/>
            <w:tcBorders>
              <w:tl2br w:val="nil"/>
              <w:tr2bl w:val="nil"/>
            </w:tcBorders>
            <w:shd w:val="clear" w:color="auto" w:fill="auto"/>
            <w:noWrap/>
            <w:vAlign w:val="center"/>
          </w:tcPr>
          <w:p w14:paraId="25BFD4D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4B54395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7929335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3CA2B3C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48D7647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0A35B8D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49FFFB5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6C7DA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570CE20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2</w:t>
            </w:r>
          </w:p>
        </w:tc>
        <w:tc>
          <w:tcPr>
            <w:tcW w:w="670" w:type="pct"/>
            <w:tcBorders>
              <w:tl2br w:val="nil"/>
              <w:tr2bl w:val="nil"/>
            </w:tcBorders>
            <w:shd w:val="clear" w:color="auto" w:fill="auto"/>
            <w:noWrap/>
            <w:vAlign w:val="center"/>
          </w:tcPr>
          <w:p w14:paraId="244757C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南京师范大学连云港华杰</w:t>
            </w:r>
          </w:p>
        </w:tc>
        <w:tc>
          <w:tcPr>
            <w:tcW w:w="690" w:type="pct"/>
            <w:tcBorders>
              <w:tl2br w:val="nil"/>
              <w:tr2bl w:val="nil"/>
            </w:tcBorders>
            <w:shd w:val="clear" w:color="auto" w:fill="auto"/>
            <w:noWrap/>
            <w:vAlign w:val="center"/>
          </w:tcPr>
          <w:p w14:paraId="5FFFE44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76E485D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37EEE54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62DF289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625FBF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1A40AA1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3DC93ED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0881A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2C3014A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3</w:t>
            </w:r>
          </w:p>
        </w:tc>
        <w:tc>
          <w:tcPr>
            <w:tcW w:w="670" w:type="pct"/>
            <w:tcBorders>
              <w:tl2br w:val="nil"/>
              <w:tr2bl w:val="nil"/>
            </w:tcBorders>
            <w:shd w:val="clear" w:color="auto" w:fill="auto"/>
            <w:noWrap/>
            <w:vAlign w:val="center"/>
          </w:tcPr>
          <w:p w14:paraId="4B95B1AC">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连云港花园小区</w:t>
            </w:r>
          </w:p>
        </w:tc>
        <w:tc>
          <w:tcPr>
            <w:tcW w:w="690" w:type="pct"/>
            <w:tcBorders>
              <w:tl2br w:val="nil"/>
              <w:tr2bl w:val="nil"/>
            </w:tcBorders>
            <w:shd w:val="clear" w:color="auto" w:fill="auto"/>
            <w:noWrap/>
            <w:vAlign w:val="center"/>
          </w:tcPr>
          <w:p w14:paraId="48CDED4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1F137AF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4960C02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1FB8660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002E9D1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174D5BF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0DCCE53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0AC74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7070570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4</w:t>
            </w:r>
          </w:p>
        </w:tc>
        <w:tc>
          <w:tcPr>
            <w:tcW w:w="670" w:type="pct"/>
            <w:tcBorders>
              <w:tl2br w:val="nil"/>
              <w:tr2bl w:val="nil"/>
            </w:tcBorders>
            <w:shd w:val="clear" w:color="auto" w:fill="auto"/>
            <w:noWrap/>
            <w:vAlign w:val="center"/>
          </w:tcPr>
          <w:p w14:paraId="20C78244">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连云港华杰港逸幼儿园</w:t>
            </w:r>
          </w:p>
        </w:tc>
        <w:tc>
          <w:tcPr>
            <w:tcW w:w="690" w:type="pct"/>
            <w:tcBorders>
              <w:tl2br w:val="nil"/>
              <w:tr2bl w:val="nil"/>
            </w:tcBorders>
            <w:shd w:val="clear" w:color="auto" w:fill="auto"/>
            <w:noWrap/>
            <w:vAlign w:val="center"/>
          </w:tcPr>
          <w:p w14:paraId="20DD24C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5ED8910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353F9B5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6438545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60087CB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40A5AD5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2EF8685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4018D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1A7E8D9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5</w:t>
            </w:r>
          </w:p>
        </w:tc>
        <w:tc>
          <w:tcPr>
            <w:tcW w:w="670" w:type="pct"/>
            <w:tcBorders>
              <w:tl2br w:val="nil"/>
              <w:tr2bl w:val="nil"/>
            </w:tcBorders>
            <w:shd w:val="clear" w:color="auto" w:fill="auto"/>
            <w:noWrap/>
            <w:vAlign w:val="center"/>
          </w:tcPr>
          <w:p w14:paraId="0409AAFA">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金辉优步花园三期</w:t>
            </w:r>
          </w:p>
        </w:tc>
        <w:tc>
          <w:tcPr>
            <w:tcW w:w="690" w:type="pct"/>
            <w:tcBorders>
              <w:tl2br w:val="nil"/>
              <w:tr2bl w:val="nil"/>
            </w:tcBorders>
            <w:shd w:val="clear" w:color="auto" w:fill="auto"/>
            <w:noWrap/>
            <w:vAlign w:val="center"/>
          </w:tcPr>
          <w:p w14:paraId="01F0EE4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12F0ADE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364CF1B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40E1755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46024A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176A4F5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64738DE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5A361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146D133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6</w:t>
            </w:r>
          </w:p>
        </w:tc>
        <w:tc>
          <w:tcPr>
            <w:tcW w:w="670" w:type="pct"/>
            <w:tcBorders>
              <w:tl2br w:val="nil"/>
              <w:tr2bl w:val="nil"/>
            </w:tcBorders>
            <w:shd w:val="clear" w:color="auto" w:fill="auto"/>
            <w:noWrap/>
            <w:vAlign w:val="center"/>
          </w:tcPr>
          <w:p w14:paraId="37880991">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金辉优步花园</w:t>
            </w:r>
          </w:p>
        </w:tc>
        <w:tc>
          <w:tcPr>
            <w:tcW w:w="690" w:type="pct"/>
            <w:tcBorders>
              <w:tl2br w:val="nil"/>
              <w:tr2bl w:val="nil"/>
            </w:tcBorders>
            <w:shd w:val="clear" w:color="auto" w:fill="auto"/>
            <w:noWrap/>
            <w:vAlign w:val="center"/>
          </w:tcPr>
          <w:p w14:paraId="78E3C38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54D2348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1F3597A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6606AFA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98CEA3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1E0300D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7443703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32A4E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6883ADD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7</w:t>
            </w:r>
          </w:p>
        </w:tc>
        <w:tc>
          <w:tcPr>
            <w:tcW w:w="670" w:type="pct"/>
            <w:tcBorders>
              <w:tl2br w:val="nil"/>
              <w:tr2bl w:val="nil"/>
            </w:tcBorders>
            <w:shd w:val="clear" w:color="auto" w:fill="auto"/>
            <w:noWrap/>
            <w:vAlign w:val="center"/>
          </w:tcPr>
          <w:p w14:paraId="1EB08FC2">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金辉城</w:t>
            </w:r>
          </w:p>
        </w:tc>
        <w:tc>
          <w:tcPr>
            <w:tcW w:w="690" w:type="pct"/>
            <w:tcBorders>
              <w:tl2br w:val="nil"/>
              <w:tr2bl w:val="nil"/>
            </w:tcBorders>
            <w:shd w:val="clear" w:color="auto" w:fill="auto"/>
            <w:noWrap/>
            <w:vAlign w:val="center"/>
          </w:tcPr>
          <w:p w14:paraId="7687D4F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540249F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76DB9B8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61EBA43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8071E0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3418DDA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38FBE59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46C86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7B415D0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8</w:t>
            </w:r>
          </w:p>
        </w:tc>
        <w:tc>
          <w:tcPr>
            <w:tcW w:w="670" w:type="pct"/>
            <w:tcBorders>
              <w:tl2br w:val="nil"/>
              <w:tr2bl w:val="nil"/>
            </w:tcBorders>
            <w:shd w:val="clear" w:color="auto" w:fill="auto"/>
            <w:noWrap/>
            <w:vAlign w:val="center"/>
          </w:tcPr>
          <w:p w14:paraId="1599C370">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同科城玉兰园</w:t>
            </w:r>
          </w:p>
        </w:tc>
        <w:tc>
          <w:tcPr>
            <w:tcW w:w="690" w:type="pct"/>
            <w:tcBorders>
              <w:tl2br w:val="nil"/>
              <w:tr2bl w:val="nil"/>
            </w:tcBorders>
            <w:shd w:val="clear" w:color="auto" w:fill="auto"/>
            <w:noWrap/>
            <w:vAlign w:val="center"/>
          </w:tcPr>
          <w:p w14:paraId="46EB4BA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4BC2D0D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0BD37DC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4B8D572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0854F91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3EE4A83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651737E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254CB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1185BE0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9</w:t>
            </w:r>
          </w:p>
        </w:tc>
        <w:tc>
          <w:tcPr>
            <w:tcW w:w="670" w:type="pct"/>
            <w:tcBorders>
              <w:tl2br w:val="nil"/>
              <w:tr2bl w:val="nil"/>
            </w:tcBorders>
            <w:shd w:val="clear" w:color="auto" w:fill="auto"/>
            <w:noWrap/>
            <w:vAlign w:val="center"/>
          </w:tcPr>
          <w:p w14:paraId="52D900A4">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瑞园青年公寓</w:t>
            </w:r>
          </w:p>
        </w:tc>
        <w:tc>
          <w:tcPr>
            <w:tcW w:w="690" w:type="pct"/>
            <w:tcBorders>
              <w:tl2br w:val="nil"/>
              <w:tr2bl w:val="nil"/>
            </w:tcBorders>
            <w:shd w:val="clear" w:color="auto" w:fill="auto"/>
            <w:noWrap/>
            <w:vAlign w:val="center"/>
          </w:tcPr>
          <w:p w14:paraId="69FA807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4A1E92B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8" w:type="pct"/>
            <w:tcBorders>
              <w:tl2br w:val="nil"/>
              <w:tr2bl w:val="nil"/>
            </w:tcBorders>
            <w:shd w:val="clear" w:color="auto" w:fill="auto"/>
            <w:noWrap/>
            <w:vAlign w:val="center"/>
          </w:tcPr>
          <w:p w14:paraId="11EE851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06758A3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66435FC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19" w:type="pct"/>
            <w:tcBorders>
              <w:tl2br w:val="nil"/>
              <w:tr2bl w:val="nil"/>
            </w:tcBorders>
            <w:shd w:val="clear" w:color="auto" w:fill="auto"/>
            <w:noWrap/>
            <w:vAlign w:val="center"/>
          </w:tcPr>
          <w:p w14:paraId="41BE374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40" w:type="pct"/>
            <w:tcBorders>
              <w:tl2br w:val="nil"/>
              <w:tr2bl w:val="nil"/>
            </w:tcBorders>
            <w:shd w:val="clear" w:color="auto" w:fill="auto"/>
            <w:noWrap/>
            <w:vAlign w:val="center"/>
          </w:tcPr>
          <w:p w14:paraId="395C4EE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bl>
    <w:p w14:paraId="0C3ADD5F">
      <w:pPr>
        <w:pStyle w:val="80"/>
        <w:widowControl w:val="0"/>
        <w:autoSpaceDE w:val="0"/>
        <w:autoSpaceDN w:val="0"/>
        <w:spacing w:before="0" w:beforeAutospacing="0" w:after="0" w:afterAutospacing="0"/>
        <w:ind w:firstLine="0" w:firstLineChars="0"/>
        <w:rPr>
          <w:rFonts w:ascii="Times New Roman" w:hAnsi="Times New Roman"/>
          <w:color w:val="auto"/>
          <w:sz w:val="28"/>
          <w:szCs w:val="20"/>
        </w:rPr>
      </w:pPr>
      <w:r>
        <w:rPr>
          <w:rFonts w:ascii="Times New Roman" w:hAnsi="Times New Roman"/>
          <w:b/>
          <w:color w:val="auto"/>
          <w:sz w:val="24"/>
          <w:szCs w:val="21"/>
          <w:lang w:bidi="ar"/>
        </w:rPr>
        <w:t>注：0.00E+0表示浓度小于10</w:t>
      </w:r>
      <w:r>
        <w:rPr>
          <w:rFonts w:ascii="Times New Roman" w:hAnsi="Times New Roman"/>
          <w:b/>
          <w:color w:val="auto"/>
          <w:sz w:val="24"/>
          <w:szCs w:val="21"/>
          <w:vertAlign w:val="superscript"/>
          <w:lang w:bidi="ar"/>
        </w:rPr>
        <w:t>-3</w:t>
      </w:r>
      <w:r>
        <w:rPr>
          <w:rFonts w:ascii="Times New Roman" w:hAnsi="Times New Roman"/>
          <w:b/>
          <w:color w:val="auto"/>
          <w:sz w:val="24"/>
          <w:szCs w:val="21"/>
          <w:lang w:bidi="ar"/>
        </w:rPr>
        <w:t xml:space="preserve"> mg/m</w:t>
      </w:r>
      <w:r>
        <w:rPr>
          <w:rFonts w:ascii="Times New Roman" w:hAnsi="Times New Roman"/>
          <w:b/>
          <w:color w:val="auto"/>
          <w:sz w:val="24"/>
          <w:szCs w:val="21"/>
          <w:vertAlign w:val="superscript"/>
          <w:lang w:bidi="ar"/>
        </w:rPr>
        <w:t>3</w:t>
      </w:r>
      <w:r>
        <w:rPr>
          <w:rFonts w:ascii="Times New Roman" w:hAnsi="Times New Roman"/>
          <w:b/>
          <w:color w:val="auto"/>
          <w:sz w:val="24"/>
          <w:szCs w:val="21"/>
          <w:lang w:bidi="ar"/>
        </w:rPr>
        <w:t>。</w:t>
      </w:r>
    </w:p>
    <w:p w14:paraId="494B2AAD">
      <w:pPr>
        <w:tabs>
          <w:tab w:val="left" w:pos="5560"/>
          <w:tab w:val="left" w:pos="9645"/>
        </w:tabs>
        <w:spacing w:line="240" w:lineRule="auto"/>
        <w:ind w:firstLine="0" w:firstLineChars="0"/>
        <w:rPr>
          <w:b/>
          <w:color w:val="auto"/>
          <w:lang w:bidi="ar"/>
        </w:rPr>
      </w:pPr>
    </w:p>
    <w:p w14:paraId="63B10C48">
      <w:pPr>
        <w:tabs>
          <w:tab w:val="left" w:pos="5560"/>
          <w:tab w:val="left" w:pos="9645"/>
        </w:tabs>
        <w:spacing w:line="240" w:lineRule="auto"/>
        <w:ind w:firstLine="0" w:firstLineChars="0"/>
        <w:jc w:val="center"/>
        <w:rPr>
          <w:b/>
          <w:color w:val="auto"/>
        </w:rPr>
      </w:pPr>
      <w:r>
        <w:rPr>
          <w:b/>
          <w:color w:val="auto"/>
          <w:lang w:bidi="ar"/>
        </w:rPr>
        <w:t>表6.2.8-1</w:t>
      </w:r>
      <w:r>
        <w:rPr>
          <w:rFonts w:hint="eastAsia"/>
          <w:b/>
          <w:color w:val="auto"/>
          <w:lang w:bidi="ar"/>
        </w:rPr>
        <w:t>0</w:t>
      </w:r>
      <w:r>
        <w:rPr>
          <w:b/>
          <w:color w:val="auto"/>
          <w:lang w:bidi="ar"/>
        </w:rPr>
        <w:t xml:space="preserve">  各关心点的有毒有害物质浓度随时间变化表（泄漏；</w:t>
      </w:r>
      <w:r>
        <w:rPr>
          <w:rFonts w:hint="eastAsia"/>
          <w:b/>
          <w:color w:val="auto"/>
          <w:lang w:bidi="ar"/>
        </w:rPr>
        <w:t>液氨</w:t>
      </w:r>
      <w:r>
        <w:rPr>
          <w:b/>
          <w:color w:val="auto"/>
          <w:lang w:bidi="ar"/>
        </w:rPr>
        <w:t>）（mg/m</w:t>
      </w:r>
      <w:r>
        <w:rPr>
          <w:b/>
          <w:color w:val="auto"/>
          <w:vertAlign w:val="superscript"/>
          <w:lang w:bidi="ar"/>
        </w:rPr>
        <w:t>3</w:t>
      </w:r>
      <w:r>
        <w:rPr>
          <w:b/>
          <w:color w:val="auto"/>
          <w:lang w:bidi="ar"/>
        </w:rPr>
        <w:t>）</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261"/>
        <w:gridCol w:w="1299"/>
        <w:gridCol w:w="1107"/>
        <w:gridCol w:w="1103"/>
        <w:gridCol w:w="1143"/>
        <w:gridCol w:w="1068"/>
        <w:gridCol w:w="928"/>
        <w:gridCol w:w="1070"/>
      </w:tblGrid>
      <w:tr w14:paraId="6A839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24" w:type="pct"/>
            <w:vMerge w:val="restart"/>
            <w:tcBorders>
              <w:tl2br w:val="nil"/>
              <w:tr2bl w:val="nil"/>
            </w:tcBorders>
            <w:shd w:val="clear" w:color="auto" w:fill="auto"/>
            <w:noWrap/>
            <w:vAlign w:val="center"/>
          </w:tcPr>
          <w:p w14:paraId="1A311368">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序号</w:t>
            </w:r>
          </w:p>
        </w:tc>
        <w:tc>
          <w:tcPr>
            <w:tcW w:w="670" w:type="pct"/>
            <w:vMerge w:val="restart"/>
            <w:tcBorders>
              <w:tl2br w:val="nil"/>
              <w:tr2bl w:val="nil"/>
            </w:tcBorders>
            <w:shd w:val="clear" w:color="auto" w:fill="auto"/>
            <w:noWrap/>
            <w:vAlign w:val="center"/>
          </w:tcPr>
          <w:p w14:paraId="67C229D0">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名称</w:t>
            </w:r>
          </w:p>
        </w:tc>
        <w:tc>
          <w:tcPr>
            <w:tcW w:w="4105" w:type="pct"/>
            <w:gridSpan w:val="7"/>
            <w:tcBorders>
              <w:tl2br w:val="nil"/>
              <w:tr2bl w:val="nil"/>
            </w:tcBorders>
            <w:shd w:val="clear" w:color="auto" w:fill="auto"/>
            <w:noWrap/>
            <w:vAlign w:val="center"/>
          </w:tcPr>
          <w:p w14:paraId="1ECAF0C6">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最不利气象条件</w:t>
            </w:r>
          </w:p>
        </w:tc>
      </w:tr>
      <w:tr w14:paraId="2EBD2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24" w:type="pct"/>
            <w:vMerge w:val="continue"/>
            <w:tcBorders>
              <w:tl2br w:val="nil"/>
              <w:tr2bl w:val="nil"/>
            </w:tcBorders>
            <w:shd w:val="clear" w:color="auto" w:fill="auto"/>
            <w:noWrap/>
            <w:vAlign w:val="center"/>
          </w:tcPr>
          <w:p w14:paraId="556ECB73">
            <w:pPr>
              <w:spacing w:line="240" w:lineRule="auto"/>
              <w:ind w:firstLine="0" w:firstLineChars="0"/>
              <w:jc w:val="center"/>
              <w:rPr>
                <w:color w:val="auto"/>
                <w:sz w:val="21"/>
                <w:szCs w:val="21"/>
              </w:rPr>
            </w:pPr>
          </w:p>
        </w:tc>
        <w:tc>
          <w:tcPr>
            <w:tcW w:w="670" w:type="pct"/>
            <w:vMerge w:val="continue"/>
            <w:tcBorders>
              <w:tl2br w:val="nil"/>
              <w:tr2bl w:val="nil"/>
            </w:tcBorders>
            <w:shd w:val="clear" w:color="auto" w:fill="auto"/>
            <w:noWrap/>
            <w:vAlign w:val="center"/>
          </w:tcPr>
          <w:p w14:paraId="167FE8DA">
            <w:pPr>
              <w:spacing w:line="240" w:lineRule="auto"/>
              <w:ind w:firstLine="0" w:firstLineChars="0"/>
              <w:jc w:val="center"/>
              <w:rPr>
                <w:color w:val="auto"/>
                <w:sz w:val="21"/>
                <w:szCs w:val="21"/>
              </w:rPr>
            </w:pPr>
          </w:p>
        </w:tc>
        <w:tc>
          <w:tcPr>
            <w:tcW w:w="690" w:type="pct"/>
            <w:tcBorders>
              <w:tl2br w:val="nil"/>
              <w:tr2bl w:val="nil"/>
            </w:tcBorders>
            <w:shd w:val="clear" w:color="auto" w:fill="auto"/>
            <w:noWrap/>
            <w:vAlign w:val="center"/>
          </w:tcPr>
          <w:p w14:paraId="4414A027">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最大浓度与时间</w:t>
            </w:r>
          </w:p>
        </w:tc>
        <w:tc>
          <w:tcPr>
            <w:tcW w:w="589" w:type="pct"/>
            <w:tcBorders>
              <w:tl2br w:val="nil"/>
              <w:tr2bl w:val="nil"/>
            </w:tcBorders>
            <w:shd w:val="clear" w:color="auto" w:fill="auto"/>
            <w:noWrap/>
            <w:vAlign w:val="center"/>
          </w:tcPr>
          <w:p w14:paraId="6650D168">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5min</w:t>
            </w:r>
          </w:p>
        </w:tc>
        <w:tc>
          <w:tcPr>
            <w:tcW w:w="587" w:type="pct"/>
            <w:tcBorders>
              <w:tl2br w:val="nil"/>
              <w:tr2bl w:val="nil"/>
            </w:tcBorders>
            <w:shd w:val="clear" w:color="auto" w:fill="auto"/>
            <w:noWrap/>
            <w:vAlign w:val="center"/>
          </w:tcPr>
          <w:p w14:paraId="457E696F">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10min</w:t>
            </w:r>
          </w:p>
        </w:tc>
        <w:tc>
          <w:tcPr>
            <w:tcW w:w="608" w:type="pct"/>
            <w:tcBorders>
              <w:tl2br w:val="nil"/>
              <w:tr2bl w:val="nil"/>
            </w:tcBorders>
            <w:shd w:val="clear" w:color="auto" w:fill="auto"/>
            <w:noWrap/>
            <w:vAlign w:val="center"/>
          </w:tcPr>
          <w:p w14:paraId="1D9F9B52">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15min</w:t>
            </w:r>
          </w:p>
        </w:tc>
        <w:tc>
          <w:tcPr>
            <w:tcW w:w="568" w:type="pct"/>
            <w:tcBorders>
              <w:tl2br w:val="nil"/>
              <w:tr2bl w:val="nil"/>
            </w:tcBorders>
            <w:shd w:val="clear" w:color="auto" w:fill="auto"/>
            <w:noWrap/>
            <w:vAlign w:val="center"/>
          </w:tcPr>
          <w:p w14:paraId="0F166405">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20min</w:t>
            </w:r>
          </w:p>
        </w:tc>
        <w:tc>
          <w:tcPr>
            <w:tcW w:w="494" w:type="pct"/>
            <w:tcBorders>
              <w:tl2br w:val="nil"/>
              <w:tr2bl w:val="nil"/>
            </w:tcBorders>
            <w:shd w:val="clear" w:color="auto" w:fill="auto"/>
            <w:noWrap/>
            <w:vAlign w:val="center"/>
          </w:tcPr>
          <w:p w14:paraId="6907D560">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25min</w:t>
            </w:r>
          </w:p>
        </w:tc>
        <w:tc>
          <w:tcPr>
            <w:tcW w:w="565" w:type="pct"/>
            <w:tcBorders>
              <w:tl2br w:val="nil"/>
              <w:tr2bl w:val="nil"/>
            </w:tcBorders>
            <w:shd w:val="clear" w:color="auto" w:fill="auto"/>
            <w:noWrap/>
            <w:vAlign w:val="center"/>
          </w:tcPr>
          <w:p w14:paraId="6C91C19A">
            <w:pPr>
              <w:kinsoku w:val="0"/>
              <w:overflowPunct w:val="0"/>
              <w:autoSpaceDE w:val="0"/>
              <w:autoSpaceDN w:val="0"/>
              <w:spacing w:line="240" w:lineRule="auto"/>
              <w:ind w:firstLine="0" w:firstLineChars="0"/>
              <w:jc w:val="center"/>
              <w:rPr>
                <w:b/>
                <w:bCs/>
                <w:color w:val="auto"/>
                <w:kern w:val="0"/>
                <w:sz w:val="21"/>
                <w:szCs w:val="21"/>
              </w:rPr>
            </w:pPr>
            <w:r>
              <w:rPr>
                <w:b/>
                <w:bCs/>
                <w:color w:val="auto"/>
                <w:kern w:val="0"/>
                <w:sz w:val="21"/>
                <w:szCs w:val="21"/>
                <w:lang w:bidi="ar"/>
              </w:rPr>
              <w:t>30min</w:t>
            </w:r>
          </w:p>
        </w:tc>
      </w:tr>
      <w:tr w14:paraId="6762E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29E29E4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1</w:t>
            </w:r>
          </w:p>
        </w:tc>
        <w:tc>
          <w:tcPr>
            <w:tcW w:w="670" w:type="pct"/>
            <w:tcBorders>
              <w:tl2br w:val="nil"/>
              <w:tr2bl w:val="nil"/>
            </w:tcBorders>
            <w:shd w:val="clear" w:color="auto" w:fill="auto"/>
            <w:noWrap/>
            <w:vAlign w:val="center"/>
          </w:tcPr>
          <w:p w14:paraId="75DE392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连云港华杰高级中学</w:t>
            </w:r>
          </w:p>
        </w:tc>
        <w:tc>
          <w:tcPr>
            <w:tcW w:w="690" w:type="pct"/>
            <w:tcBorders>
              <w:tl2br w:val="nil"/>
              <w:tr2bl w:val="nil"/>
            </w:tcBorders>
            <w:shd w:val="clear" w:color="auto" w:fill="auto"/>
            <w:noWrap/>
            <w:vAlign w:val="center"/>
          </w:tcPr>
          <w:p w14:paraId="694415B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7402DBE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2CBA605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050ED18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48925C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3C7AEED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532902F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577B0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5823BFF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2</w:t>
            </w:r>
          </w:p>
        </w:tc>
        <w:tc>
          <w:tcPr>
            <w:tcW w:w="670" w:type="pct"/>
            <w:tcBorders>
              <w:tl2br w:val="nil"/>
              <w:tr2bl w:val="nil"/>
            </w:tcBorders>
            <w:shd w:val="clear" w:color="auto" w:fill="auto"/>
            <w:noWrap/>
            <w:vAlign w:val="center"/>
          </w:tcPr>
          <w:p w14:paraId="6E87DB6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rPr>
              <w:t>南京师范大学连云港华杰</w:t>
            </w:r>
          </w:p>
        </w:tc>
        <w:tc>
          <w:tcPr>
            <w:tcW w:w="690" w:type="pct"/>
            <w:tcBorders>
              <w:tl2br w:val="nil"/>
              <w:tr2bl w:val="nil"/>
            </w:tcBorders>
            <w:shd w:val="clear" w:color="auto" w:fill="auto"/>
            <w:noWrap/>
            <w:vAlign w:val="center"/>
          </w:tcPr>
          <w:p w14:paraId="6CF9614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3616A11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1D2F9CC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469EE79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59288A5D">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0350F63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5401789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266EE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24BF195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3</w:t>
            </w:r>
          </w:p>
        </w:tc>
        <w:tc>
          <w:tcPr>
            <w:tcW w:w="670" w:type="pct"/>
            <w:tcBorders>
              <w:tl2br w:val="nil"/>
              <w:tr2bl w:val="nil"/>
            </w:tcBorders>
            <w:shd w:val="clear" w:color="auto" w:fill="auto"/>
            <w:noWrap/>
            <w:vAlign w:val="center"/>
          </w:tcPr>
          <w:p w14:paraId="523B23A6">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连云港花园小区</w:t>
            </w:r>
          </w:p>
        </w:tc>
        <w:tc>
          <w:tcPr>
            <w:tcW w:w="690" w:type="pct"/>
            <w:tcBorders>
              <w:tl2br w:val="nil"/>
              <w:tr2bl w:val="nil"/>
            </w:tcBorders>
            <w:shd w:val="clear" w:color="auto" w:fill="auto"/>
            <w:noWrap/>
            <w:vAlign w:val="center"/>
          </w:tcPr>
          <w:p w14:paraId="41D36E5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673E0EE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52CE65F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532AC1D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A5A704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6A9134B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5FA05F2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19E4D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06EBEE2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4</w:t>
            </w:r>
          </w:p>
        </w:tc>
        <w:tc>
          <w:tcPr>
            <w:tcW w:w="670" w:type="pct"/>
            <w:tcBorders>
              <w:tl2br w:val="nil"/>
              <w:tr2bl w:val="nil"/>
            </w:tcBorders>
            <w:shd w:val="clear" w:color="auto" w:fill="auto"/>
            <w:noWrap/>
            <w:vAlign w:val="center"/>
          </w:tcPr>
          <w:p w14:paraId="241CFE27">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连云港华杰港逸幼儿园</w:t>
            </w:r>
          </w:p>
        </w:tc>
        <w:tc>
          <w:tcPr>
            <w:tcW w:w="690" w:type="pct"/>
            <w:tcBorders>
              <w:tl2br w:val="nil"/>
              <w:tr2bl w:val="nil"/>
            </w:tcBorders>
            <w:shd w:val="clear" w:color="auto" w:fill="auto"/>
            <w:noWrap/>
            <w:vAlign w:val="center"/>
          </w:tcPr>
          <w:p w14:paraId="074EF4C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7B119BF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6D98F72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204E2B1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71D7294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66577D8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4577A43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39950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7B08055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5</w:t>
            </w:r>
          </w:p>
        </w:tc>
        <w:tc>
          <w:tcPr>
            <w:tcW w:w="670" w:type="pct"/>
            <w:tcBorders>
              <w:tl2br w:val="nil"/>
              <w:tr2bl w:val="nil"/>
            </w:tcBorders>
            <w:shd w:val="clear" w:color="auto" w:fill="auto"/>
            <w:noWrap/>
            <w:vAlign w:val="center"/>
          </w:tcPr>
          <w:p w14:paraId="7DC1A8D4">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金辉优步花园三期</w:t>
            </w:r>
          </w:p>
        </w:tc>
        <w:tc>
          <w:tcPr>
            <w:tcW w:w="690" w:type="pct"/>
            <w:tcBorders>
              <w:tl2br w:val="nil"/>
              <w:tr2bl w:val="nil"/>
            </w:tcBorders>
            <w:shd w:val="clear" w:color="auto" w:fill="auto"/>
            <w:noWrap/>
            <w:vAlign w:val="center"/>
          </w:tcPr>
          <w:p w14:paraId="0976BF23">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2B8F476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32B3224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1D36817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4F11883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6EA4C6C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426BB895">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2F894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263DBF5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6</w:t>
            </w:r>
          </w:p>
        </w:tc>
        <w:tc>
          <w:tcPr>
            <w:tcW w:w="670" w:type="pct"/>
            <w:tcBorders>
              <w:tl2br w:val="nil"/>
              <w:tr2bl w:val="nil"/>
            </w:tcBorders>
            <w:shd w:val="clear" w:color="auto" w:fill="auto"/>
            <w:noWrap/>
            <w:vAlign w:val="center"/>
          </w:tcPr>
          <w:p w14:paraId="29E15939">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金辉优步花园</w:t>
            </w:r>
          </w:p>
        </w:tc>
        <w:tc>
          <w:tcPr>
            <w:tcW w:w="690" w:type="pct"/>
            <w:tcBorders>
              <w:tl2br w:val="nil"/>
              <w:tr2bl w:val="nil"/>
            </w:tcBorders>
            <w:shd w:val="clear" w:color="auto" w:fill="auto"/>
            <w:noWrap/>
            <w:vAlign w:val="center"/>
          </w:tcPr>
          <w:p w14:paraId="4528AE8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44BC748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0CCFC9D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1A802D8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425F72C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62C2205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4C609036">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30F45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4189A13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7</w:t>
            </w:r>
          </w:p>
        </w:tc>
        <w:tc>
          <w:tcPr>
            <w:tcW w:w="670" w:type="pct"/>
            <w:tcBorders>
              <w:tl2br w:val="nil"/>
              <w:tr2bl w:val="nil"/>
            </w:tcBorders>
            <w:shd w:val="clear" w:color="auto" w:fill="auto"/>
            <w:noWrap/>
            <w:vAlign w:val="center"/>
          </w:tcPr>
          <w:p w14:paraId="57F9A426">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金辉城</w:t>
            </w:r>
          </w:p>
        </w:tc>
        <w:tc>
          <w:tcPr>
            <w:tcW w:w="690" w:type="pct"/>
            <w:tcBorders>
              <w:tl2br w:val="nil"/>
              <w:tr2bl w:val="nil"/>
            </w:tcBorders>
            <w:shd w:val="clear" w:color="auto" w:fill="auto"/>
            <w:noWrap/>
            <w:vAlign w:val="center"/>
          </w:tcPr>
          <w:p w14:paraId="1F1B2D5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70A7D6F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71EDE86A">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4EFA16E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6B4E7C0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3CF8208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1603F5A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3AF16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29BFD359">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8</w:t>
            </w:r>
          </w:p>
        </w:tc>
        <w:tc>
          <w:tcPr>
            <w:tcW w:w="670" w:type="pct"/>
            <w:tcBorders>
              <w:tl2br w:val="nil"/>
              <w:tr2bl w:val="nil"/>
            </w:tcBorders>
            <w:shd w:val="clear" w:color="auto" w:fill="auto"/>
            <w:noWrap/>
            <w:vAlign w:val="center"/>
          </w:tcPr>
          <w:p w14:paraId="3F1BCE8E">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同科城玉兰园</w:t>
            </w:r>
          </w:p>
        </w:tc>
        <w:tc>
          <w:tcPr>
            <w:tcW w:w="690" w:type="pct"/>
            <w:tcBorders>
              <w:tl2br w:val="nil"/>
              <w:tr2bl w:val="nil"/>
            </w:tcBorders>
            <w:shd w:val="clear" w:color="auto" w:fill="auto"/>
            <w:noWrap/>
            <w:vAlign w:val="center"/>
          </w:tcPr>
          <w:p w14:paraId="28CFF388">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4CBE68F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3FCEC824">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7AE0EE2F">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221E6A8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03E879D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089799BC">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r w14:paraId="662AA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 w:type="pct"/>
            <w:tcBorders>
              <w:tl2br w:val="nil"/>
              <w:tr2bl w:val="nil"/>
            </w:tcBorders>
            <w:shd w:val="clear" w:color="auto" w:fill="auto"/>
            <w:noWrap/>
            <w:vAlign w:val="center"/>
          </w:tcPr>
          <w:p w14:paraId="59EBFAB1">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9</w:t>
            </w:r>
          </w:p>
        </w:tc>
        <w:tc>
          <w:tcPr>
            <w:tcW w:w="670" w:type="pct"/>
            <w:tcBorders>
              <w:tl2br w:val="nil"/>
              <w:tr2bl w:val="nil"/>
            </w:tcBorders>
            <w:shd w:val="clear" w:color="auto" w:fill="auto"/>
            <w:noWrap/>
            <w:vAlign w:val="center"/>
          </w:tcPr>
          <w:p w14:paraId="4CFD2B8C">
            <w:pPr>
              <w:pStyle w:val="80"/>
              <w:widowControl w:val="0"/>
              <w:spacing w:before="0" w:beforeAutospacing="0" w:after="0" w:afterAutospacing="0"/>
              <w:ind w:firstLine="0" w:firstLineChars="0"/>
              <w:jc w:val="center"/>
              <w:rPr>
                <w:rFonts w:ascii="Times New Roman" w:hAnsi="Times New Roman"/>
                <w:color w:val="auto"/>
                <w:szCs w:val="21"/>
              </w:rPr>
            </w:pPr>
            <w:r>
              <w:rPr>
                <w:rFonts w:ascii="Times New Roman" w:hAnsi="Times New Roman"/>
                <w:color w:val="auto"/>
                <w:szCs w:val="21"/>
              </w:rPr>
              <w:t>瑞园青年公寓</w:t>
            </w:r>
          </w:p>
        </w:tc>
        <w:tc>
          <w:tcPr>
            <w:tcW w:w="690" w:type="pct"/>
            <w:tcBorders>
              <w:tl2br w:val="nil"/>
              <w:tr2bl w:val="nil"/>
            </w:tcBorders>
            <w:shd w:val="clear" w:color="auto" w:fill="auto"/>
            <w:noWrap/>
            <w:vAlign w:val="center"/>
          </w:tcPr>
          <w:p w14:paraId="277C6C2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0.00E+00|5</w:t>
            </w:r>
          </w:p>
        </w:tc>
        <w:tc>
          <w:tcPr>
            <w:tcW w:w="589" w:type="pct"/>
            <w:tcBorders>
              <w:tl2br w:val="nil"/>
              <w:tr2bl w:val="nil"/>
            </w:tcBorders>
            <w:shd w:val="clear" w:color="auto" w:fill="auto"/>
            <w:noWrap/>
            <w:vAlign w:val="center"/>
          </w:tcPr>
          <w:p w14:paraId="6B4D18C2">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87" w:type="pct"/>
            <w:tcBorders>
              <w:tl2br w:val="nil"/>
              <w:tr2bl w:val="nil"/>
            </w:tcBorders>
            <w:shd w:val="clear" w:color="auto" w:fill="auto"/>
            <w:noWrap/>
            <w:vAlign w:val="center"/>
          </w:tcPr>
          <w:p w14:paraId="07BBC477">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608" w:type="pct"/>
            <w:tcBorders>
              <w:tl2br w:val="nil"/>
              <w:tr2bl w:val="nil"/>
            </w:tcBorders>
            <w:shd w:val="clear" w:color="auto" w:fill="auto"/>
            <w:noWrap/>
            <w:vAlign w:val="center"/>
          </w:tcPr>
          <w:p w14:paraId="496CB19E">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8" w:type="pct"/>
            <w:tcBorders>
              <w:tl2br w:val="nil"/>
              <w:tr2bl w:val="nil"/>
            </w:tcBorders>
            <w:shd w:val="clear" w:color="auto" w:fill="auto"/>
            <w:noWrap/>
            <w:vAlign w:val="center"/>
          </w:tcPr>
          <w:p w14:paraId="69E6D09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494" w:type="pct"/>
            <w:tcBorders>
              <w:tl2br w:val="nil"/>
              <w:tr2bl w:val="nil"/>
            </w:tcBorders>
            <w:shd w:val="clear" w:color="auto" w:fill="auto"/>
            <w:noWrap/>
            <w:vAlign w:val="center"/>
          </w:tcPr>
          <w:p w14:paraId="56DC202B">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c>
          <w:tcPr>
            <w:tcW w:w="565" w:type="pct"/>
            <w:tcBorders>
              <w:tl2br w:val="nil"/>
              <w:tr2bl w:val="nil"/>
            </w:tcBorders>
            <w:shd w:val="clear" w:color="auto" w:fill="auto"/>
            <w:noWrap/>
            <w:vAlign w:val="center"/>
          </w:tcPr>
          <w:p w14:paraId="55CAF520">
            <w:pPr>
              <w:kinsoku w:val="0"/>
              <w:overflowPunct w:val="0"/>
              <w:autoSpaceDE w:val="0"/>
              <w:autoSpaceDN w:val="0"/>
              <w:spacing w:line="240" w:lineRule="auto"/>
              <w:ind w:firstLine="0" w:firstLineChars="0"/>
              <w:jc w:val="center"/>
              <w:rPr>
                <w:color w:val="auto"/>
                <w:kern w:val="0"/>
                <w:sz w:val="21"/>
                <w:szCs w:val="21"/>
              </w:rPr>
            </w:pPr>
            <w:r>
              <w:rPr>
                <w:color w:val="auto"/>
                <w:kern w:val="0"/>
                <w:sz w:val="21"/>
                <w:szCs w:val="21"/>
                <w:lang w:bidi="ar"/>
              </w:rPr>
              <w:t>0.00E+00</w:t>
            </w:r>
          </w:p>
        </w:tc>
      </w:tr>
    </w:tbl>
    <w:p w14:paraId="0E82E66C">
      <w:pPr>
        <w:pStyle w:val="80"/>
        <w:widowControl w:val="0"/>
        <w:autoSpaceDE w:val="0"/>
        <w:autoSpaceDN w:val="0"/>
        <w:spacing w:before="0" w:beforeAutospacing="0" w:after="0" w:afterAutospacing="0"/>
        <w:ind w:firstLine="0" w:firstLineChars="0"/>
        <w:rPr>
          <w:rFonts w:ascii="Times New Roman" w:hAnsi="Times New Roman"/>
          <w:color w:val="auto"/>
          <w:sz w:val="28"/>
          <w:szCs w:val="20"/>
        </w:rPr>
      </w:pPr>
      <w:r>
        <w:rPr>
          <w:rFonts w:ascii="Times New Roman" w:hAnsi="Times New Roman"/>
          <w:b/>
          <w:color w:val="auto"/>
          <w:sz w:val="24"/>
          <w:szCs w:val="21"/>
          <w:lang w:bidi="ar"/>
        </w:rPr>
        <w:t>注：0.00E+0表示浓度小于10</w:t>
      </w:r>
      <w:r>
        <w:rPr>
          <w:rFonts w:ascii="Times New Roman" w:hAnsi="Times New Roman"/>
          <w:b/>
          <w:color w:val="auto"/>
          <w:sz w:val="24"/>
          <w:szCs w:val="21"/>
          <w:vertAlign w:val="superscript"/>
          <w:lang w:bidi="ar"/>
        </w:rPr>
        <w:t>-3</w:t>
      </w:r>
      <w:r>
        <w:rPr>
          <w:rFonts w:ascii="Times New Roman" w:hAnsi="Times New Roman"/>
          <w:b/>
          <w:color w:val="auto"/>
          <w:sz w:val="24"/>
          <w:szCs w:val="21"/>
          <w:lang w:bidi="ar"/>
        </w:rPr>
        <w:t xml:space="preserve"> mg/m</w:t>
      </w:r>
      <w:r>
        <w:rPr>
          <w:rFonts w:ascii="Times New Roman" w:hAnsi="Times New Roman"/>
          <w:b/>
          <w:color w:val="auto"/>
          <w:sz w:val="24"/>
          <w:szCs w:val="21"/>
          <w:vertAlign w:val="superscript"/>
          <w:lang w:bidi="ar"/>
        </w:rPr>
        <w:t>3</w:t>
      </w:r>
      <w:r>
        <w:rPr>
          <w:rFonts w:ascii="Times New Roman" w:hAnsi="Times New Roman"/>
          <w:b/>
          <w:color w:val="auto"/>
          <w:sz w:val="24"/>
          <w:szCs w:val="21"/>
          <w:lang w:bidi="ar"/>
        </w:rPr>
        <w:t>。</w:t>
      </w:r>
    </w:p>
    <w:p w14:paraId="4ECE6F10">
      <w:pPr>
        <w:pStyle w:val="1356"/>
        <w:ind w:firstLine="480"/>
        <w:rPr>
          <w:b/>
          <w:bCs/>
          <w:color w:val="auto"/>
        </w:rPr>
      </w:pPr>
      <w:r>
        <w:rPr>
          <w:rFonts w:hint="eastAsia"/>
          <w:color w:val="auto"/>
        </w:rPr>
        <w:t>由以上预测结果可知，在最不利气象条件下，硫酸和液氨泄漏在各敏感点出现的浓度均未超过毒性终点浓度-2，但泄露区域内可能企业员工及居民点居民会感觉身体不适等。因此企业在实际运营中一定要加强管理，切实做好事故防范工作，</w:t>
      </w:r>
      <w:r>
        <w:rPr>
          <w:rFonts w:hint="eastAsia"/>
          <w:color w:val="auto"/>
          <w:lang w:eastAsia="zh-CN"/>
        </w:rPr>
        <w:t>尽可能地避免</w:t>
      </w:r>
      <w:r>
        <w:rPr>
          <w:rFonts w:hint="eastAsia"/>
          <w:color w:val="auto"/>
        </w:rPr>
        <w:t>事故的发生，一旦发生事故，应立即启动突发环境事件应急预案，加强对下风向浓度的监测，根据事故应急处置情况，确定事故类型为车间级、厂区级或厂外级，一旦涉及厂外级，要及时联系当地政府，启动园区应急预案，开展下风向人员疏散迁移等。</w:t>
      </w:r>
    </w:p>
    <w:p w14:paraId="60878AA2">
      <w:pPr>
        <w:ind w:firstLine="482"/>
        <w:rPr>
          <w:b/>
          <w:bCs/>
          <w:color w:val="auto"/>
        </w:rPr>
      </w:pPr>
      <w:r>
        <w:rPr>
          <w:rFonts w:hint="eastAsia"/>
          <w:b/>
          <w:bCs/>
          <w:color w:val="auto"/>
        </w:rPr>
        <w:t>2、</w:t>
      </w:r>
      <w:r>
        <w:rPr>
          <w:b/>
          <w:bCs/>
          <w:color w:val="auto"/>
        </w:rPr>
        <w:t>地表水环境影响后果分析</w:t>
      </w:r>
    </w:p>
    <w:p w14:paraId="4ADE502D">
      <w:pPr>
        <w:pStyle w:val="80"/>
        <w:widowControl w:val="0"/>
        <w:spacing w:before="0" w:beforeAutospacing="0" w:after="0" w:afterAutospacing="0" w:line="360" w:lineRule="auto"/>
        <w:ind w:firstLine="480"/>
        <w:jc w:val="both"/>
        <w:rPr>
          <w:rFonts w:ascii="Times New Roman" w:hAnsi="Times New Roman"/>
          <w:color w:val="auto"/>
          <w:sz w:val="24"/>
          <w:lang w:bidi="ar"/>
        </w:rPr>
      </w:pPr>
      <w:r>
        <w:rPr>
          <w:rFonts w:ascii="Times New Roman" w:hAnsi="Times New Roman"/>
          <w:color w:val="auto"/>
          <w:kern w:val="2"/>
          <w:sz w:val="24"/>
          <w:lang w:bidi="ar"/>
        </w:rPr>
        <w:t>项目地表水环境风险主要</w:t>
      </w:r>
      <w:r>
        <w:rPr>
          <w:rFonts w:hint="eastAsia" w:ascii="Times New Roman" w:hAnsi="Times New Roman"/>
          <w:color w:val="auto"/>
          <w:kern w:val="2"/>
          <w:sz w:val="24"/>
          <w:lang w:bidi="ar"/>
        </w:rPr>
        <w:t>来自</w:t>
      </w:r>
      <w:r>
        <w:rPr>
          <w:rFonts w:ascii="Times New Roman" w:hAnsi="Times New Roman"/>
          <w:color w:val="auto"/>
          <w:kern w:val="2"/>
          <w:sz w:val="24"/>
          <w:lang w:bidi="ar"/>
        </w:rPr>
        <w:t>污水收集池池体发生破损导致未经处理的废水通过雨水管网排放会对周边地表水水体造成一定影响。项目周边最近的地表水体厂界</w:t>
      </w:r>
      <w:r>
        <w:rPr>
          <w:rFonts w:hint="eastAsia" w:ascii="Times New Roman" w:hAnsi="Times New Roman"/>
          <w:color w:val="auto"/>
          <w:kern w:val="2"/>
          <w:sz w:val="24"/>
          <w:lang w:bidi="ar"/>
        </w:rPr>
        <w:t>东</w:t>
      </w:r>
      <w:r>
        <w:rPr>
          <w:rFonts w:ascii="Times New Roman" w:hAnsi="Times New Roman"/>
          <w:color w:val="auto"/>
          <w:kern w:val="2"/>
          <w:sz w:val="24"/>
          <w:lang w:bidi="ar"/>
        </w:rPr>
        <w:t>侧</w:t>
      </w:r>
      <w:r>
        <w:rPr>
          <w:rFonts w:hint="eastAsia" w:ascii="Times New Roman" w:hAnsi="Times New Roman"/>
          <w:color w:val="auto"/>
          <w:kern w:val="2"/>
          <w:sz w:val="24"/>
          <w:lang w:bidi="ar"/>
        </w:rPr>
        <w:t>50</w:t>
      </w:r>
      <w:r>
        <w:rPr>
          <w:rFonts w:ascii="Times New Roman" w:hAnsi="Times New Roman"/>
          <w:color w:val="auto"/>
          <w:kern w:val="2"/>
          <w:sz w:val="24"/>
          <w:lang w:bidi="ar"/>
        </w:rPr>
        <w:t>m的</w:t>
      </w:r>
      <w:r>
        <w:rPr>
          <w:rFonts w:hint="eastAsia" w:ascii="Times New Roman" w:hAnsi="Times New Roman"/>
          <w:color w:val="auto"/>
          <w:kern w:val="2"/>
          <w:sz w:val="24"/>
          <w:lang w:bidi="ar"/>
        </w:rPr>
        <w:t>开泰河</w:t>
      </w:r>
      <w:r>
        <w:rPr>
          <w:rFonts w:ascii="Times New Roman" w:hAnsi="Times New Roman"/>
          <w:color w:val="auto"/>
          <w:kern w:val="2"/>
          <w:sz w:val="24"/>
          <w:lang w:bidi="ar"/>
        </w:rPr>
        <w:t>，本项目建设</w:t>
      </w:r>
      <w:r>
        <w:rPr>
          <w:rFonts w:hint="eastAsia" w:ascii="Times New Roman" w:hAnsi="Times New Roman"/>
          <w:color w:val="auto"/>
          <w:kern w:val="2"/>
          <w:sz w:val="24"/>
          <w:lang w:bidi="ar"/>
        </w:rPr>
        <w:t>600</w:t>
      </w:r>
      <w:r>
        <w:rPr>
          <w:rFonts w:ascii="Times New Roman" w:hAnsi="Times New Roman"/>
          <w:color w:val="auto"/>
          <w:kern w:val="2"/>
          <w:sz w:val="24"/>
          <w:lang w:bidi="ar"/>
        </w:rPr>
        <w:t>m</w:t>
      </w:r>
      <w:r>
        <w:rPr>
          <w:rFonts w:ascii="Times New Roman" w:hAnsi="Times New Roman"/>
          <w:color w:val="auto"/>
          <w:kern w:val="2"/>
          <w:sz w:val="24"/>
          <w:vertAlign w:val="superscript"/>
          <w:lang w:bidi="ar"/>
        </w:rPr>
        <w:t>3</w:t>
      </w:r>
      <w:r>
        <w:rPr>
          <w:rFonts w:ascii="Times New Roman" w:hAnsi="Times New Roman"/>
          <w:color w:val="auto"/>
          <w:kern w:val="2"/>
          <w:sz w:val="24"/>
          <w:lang w:bidi="ar"/>
        </w:rPr>
        <w:t>事故池，厂区发生泄漏引发火灾事故时，对消防废水进行及时管控，有效控制污染水体在厂区范围内，不对厂外水体造成污染，确保事故废水不会直接排入</w:t>
      </w:r>
      <w:r>
        <w:rPr>
          <w:rFonts w:hint="eastAsia" w:ascii="Times New Roman" w:hAnsi="Times New Roman"/>
          <w:color w:val="auto"/>
          <w:kern w:val="2"/>
          <w:sz w:val="24"/>
          <w:lang w:bidi="ar"/>
        </w:rPr>
        <w:t>开泰河</w:t>
      </w:r>
      <w:r>
        <w:rPr>
          <w:rFonts w:ascii="Times New Roman" w:hAnsi="Times New Roman"/>
          <w:color w:val="auto"/>
          <w:kern w:val="2"/>
          <w:sz w:val="24"/>
          <w:lang w:bidi="ar"/>
        </w:rPr>
        <w:t>。消防废水通过管道输送至厂区事故池，经厂内污水站处理达标后排入污水处理厂。</w:t>
      </w:r>
    </w:p>
    <w:p w14:paraId="4DB6BAB2">
      <w:pPr>
        <w:ind w:firstLine="482"/>
        <w:rPr>
          <w:b/>
          <w:bCs/>
          <w:color w:val="auto"/>
        </w:rPr>
      </w:pPr>
      <w:r>
        <w:rPr>
          <w:rFonts w:hint="eastAsia"/>
          <w:b/>
          <w:bCs/>
          <w:color w:val="auto"/>
        </w:rPr>
        <w:t>3、</w:t>
      </w:r>
      <w:r>
        <w:rPr>
          <w:b/>
          <w:bCs/>
          <w:color w:val="auto"/>
        </w:rPr>
        <w:t>地下水环境风险预测</w:t>
      </w:r>
    </w:p>
    <w:p w14:paraId="76250B2A">
      <w:pPr>
        <w:ind w:firstLine="480"/>
        <w:rPr>
          <w:color w:val="auto"/>
        </w:rPr>
      </w:pPr>
      <w:r>
        <w:rPr>
          <w:color w:val="auto"/>
        </w:rPr>
        <w:t>项目废水收集池发生泄漏事故将对地下水水质产生一定影响，具体影响情况详见报告</w:t>
      </w:r>
      <w:r>
        <w:rPr>
          <w:rFonts w:hint="eastAsia"/>
          <w:color w:val="auto"/>
        </w:rPr>
        <w:t>6.2</w:t>
      </w:r>
      <w:r>
        <w:rPr>
          <w:color w:val="auto"/>
        </w:rPr>
        <w:t>小节。</w:t>
      </w:r>
    </w:p>
    <w:p w14:paraId="062A358F">
      <w:pPr>
        <w:ind w:firstLine="480"/>
        <w:rPr>
          <w:color w:val="auto"/>
        </w:rPr>
      </w:pPr>
      <w:r>
        <w:rPr>
          <w:color w:val="auto"/>
        </w:rPr>
        <w:t>根据</w:t>
      </w:r>
      <w:r>
        <w:rPr>
          <w:rFonts w:hint="eastAsia"/>
          <w:color w:val="auto"/>
        </w:rPr>
        <w:t>6.2</w:t>
      </w:r>
      <w:r>
        <w:rPr>
          <w:color w:val="auto"/>
        </w:rPr>
        <w:t>节预测结果，如果厂区污水管道等发生渗漏/泄漏未被发现或得到及时控制，污染物将形成持续污染源，会对项目厂区附近的地下水水体造成不同程度的污染，应采取严格的地下水污染防渗措施。</w:t>
      </w:r>
    </w:p>
    <w:p w14:paraId="1C5566A0">
      <w:pPr>
        <w:keepNext/>
        <w:keepLines/>
        <w:spacing w:before="120" w:beforeLines="50"/>
        <w:ind w:firstLine="0" w:firstLineChars="0"/>
        <w:outlineLvl w:val="3"/>
        <w:rPr>
          <w:b/>
          <w:bCs/>
          <w:color w:val="auto"/>
          <w:szCs w:val="28"/>
        </w:rPr>
      </w:pPr>
      <w:r>
        <w:rPr>
          <w:rFonts w:hint="eastAsia"/>
          <w:b/>
          <w:bCs/>
          <w:color w:val="auto"/>
          <w:szCs w:val="28"/>
        </w:rPr>
        <w:t>6.2.8.4</w:t>
      </w:r>
      <w:r>
        <w:rPr>
          <w:b/>
          <w:bCs/>
          <w:color w:val="auto"/>
          <w:szCs w:val="28"/>
        </w:rPr>
        <w:t xml:space="preserve"> 环境风险分析结论</w:t>
      </w:r>
    </w:p>
    <w:p w14:paraId="134EBA08">
      <w:pPr>
        <w:ind w:firstLine="480"/>
        <w:rPr>
          <w:color w:val="auto"/>
        </w:rPr>
      </w:pPr>
      <w:r>
        <w:rPr>
          <w:rFonts w:hint="eastAsia"/>
          <w:color w:val="auto"/>
        </w:rPr>
        <w:t>本项目环境风险评价自查表详见表6.2.8-11。</w:t>
      </w:r>
    </w:p>
    <w:p w14:paraId="4E437755">
      <w:pPr>
        <w:spacing w:line="240" w:lineRule="auto"/>
        <w:ind w:firstLine="0" w:firstLineChars="0"/>
        <w:jc w:val="center"/>
        <w:rPr>
          <w:b/>
          <w:bCs/>
          <w:color w:val="auto"/>
        </w:rPr>
      </w:pPr>
      <w:r>
        <w:rPr>
          <w:b/>
          <w:bCs/>
          <w:color w:val="auto"/>
        </w:rPr>
        <w:t>表</w:t>
      </w:r>
      <w:r>
        <w:rPr>
          <w:rFonts w:hint="eastAsia"/>
          <w:b/>
          <w:bCs/>
          <w:color w:val="auto"/>
        </w:rPr>
        <w:t>6.2.8-11</w:t>
      </w:r>
      <w:r>
        <w:rPr>
          <w:b/>
          <w:bCs/>
          <w:color w:val="auto"/>
        </w:rPr>
        <w:t xml:space="preserve">  环境风险评价自查表</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77"/>
        <w:gridCol w:w="1238"/>
        <w:gridCol w:w="1091"/>
        <w:gridCol w:w="303"/>
        <w:gridCol w:w="518"/>
        <w:gridCol w:w="823"/>
        <w:gridCol w:w="90"/>
        <w:gridCol w:w="654"/>
        <w:gridCol w:w="812"/>
        <w:gridCol w:w="735"/>
        <w:gridCol w:w="171"/>
        <w:gridCol w:w="799"/>
        <w:gridCol w:w="783"/>
        <w:gridCol w:w="791"/>
      </w:tblGrid>
      <w:tr w14:paraId="3624C2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879" w:type="pct"/>
            <w:gridSpan w:val="2"/>
            <w:vAlign w:val="center"/>
          </w:tcPr>
          <w:p w14:paraId="0D45DB16">
            <w:pPr>
              <w:kinsoku w:val="0"/>
              <w:overflowPunct w:val="0"/>
              <w:spacing w:line="240" w:lineRule="auto"/>
              <w:ind w:firstLine="0" w:firstLineChars="0"/>
              <w:jc w:val="center"/>
              <w:rPr>
                <w:b/>
                <w:bCs/>
                <w:color w:val="auto"/>
                <w:sz w:val="21"/>
                <w:szCs w:val="21"/>
              </w:rPr>
            </w:pPr>
            <w:r>
              <w:rPr>
                <w:b/>
                <w:bCs/>
                <w:color w:val="auto"/>
                <w:sz w:val="21"/>
                <w:szCs w:val="21"/>
              </w:rPr>
              <w:t>工作内容</w:t>
            </w:r>
          </w:p>
        </w:tc>
        <w:tc>
          <w:tcPr>
            <w:tcW w:w="4120" w:type="pct"/>
            <w:gridSpan w:val="12"/>
            <w:vAlign w:val="center"/>
          </w:tcPr>
          <w:p w14:paraId="4BF2A159">
            <w:pPr>
              <w:kinsoku w:val="0"/>
              <w:overflowPunct w:val="0"/>
              <w:spacing w:line="240" w:lineRule="auto"/>
              <w:ind w:firstLine="0" w:firstLineChars="0"/>
              <w:jc w:val="center"/>
              <w:rPr>
                <w:b/>
                <w:bCs/>
                <w:color w:val="auto"/>
                <w:sz w:val="21"/>
                <w:szCs w:val="21"/>
              </w:rPr>
            </w:pPr>
            <w:r>
              <w:rPr>
                <w:b/>
                <w:bCs/>
                <w:color w:val="auto"/>
                <w:sz w:val="21"/>
                <w:szCs w:val="21"/>
              </w:rPr>
              <w:t>完成情况</w:t>
            </w:r>
          </w:p>
        </w:tc>
      </w:tr>
      <w:tr w14:paraId="576D65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restart"/>
            <w:vAlign w:val="center"/>
          </w:tcPr>
          <w:p w14:paraId="3B4D3D8A">
            <w:pPr>
              <w:kinsoku w:val="0"/>
              <w:overflowPunct w:val="0"/>
              <w:spacing w:line="240" w:lineRule="auto"/>
              <w:ind w:firstLine="0" w:firstLineChars="0"/>
              <w:jc w:val="center"/>
              <w:rPr>
                <w:color w:val="auto"/>
                <w:sz w:val="21"/>
                <w:szCs w:val="21"/>
              </w:rPr>
            </w:pPr>
            <w:r>
              <w:rPr>
                <w:color w:val="auto"/>
                <w:sz w:val="21"/>
                <w:szCs w:val="21"/>
              </w:rPr>
              <w:t>风险调查</w:t>
            </w:r>
          </w:p>
        </w:tc>
        <w:tc>
          <w:tcPr>
            <w:tcW w:w="674" w:type="pct"/>
            <w:vMerge w:val="restart"/>
            <w:vAlign w:val="center"/>
          </w:tcPr>
          <w:p w14:paraId="1D3EB70B">
            <w:pPr>
              <w:kinsoku w:val="0"/>
              <w:overflowPunct w:val="0"/>
              <w:spacing w:line="240" w:lineRule="auto"/>
              <w:ind w:firstLine="0" w:firstLineChars="0"/>
              <w:jc w:val="center"/>
              <w:rPr>
                <w:color w:val="auto"/>
                <w:sz w:val="21"/>
                <w:szCs w:val="21"/>
              </w:rPr>
            </w:pPr>
            <w:r>
              <w:rPr>
                <w:color w:val="auto"/>
                <w:sz w:val="21"/>
                <w:szCs w:val="21"/>
              </w:rPr>
              <w:t>危险物质</w:t>
            </w:r>
          </w:p>
        </w:tc>
        <w:tc>
          <w:tcPr>
            <w:tcW w:w="594" w:type="pct"/>
            <w:vAlign w:val="center"/>
          </w:tcPr>
          <w:p w14:paraId="0A00E7A8">
            <w:pPr>
              <w:kinsoku w:val="0"/>
              <w:overflowPunct w:val="0"/>
              <w:spacing w:line="240" w:lineRule="auto"/>
              <w:ind w:firstLine="0" w:firstLineChars="0"/>
              <w:jc w:val="center"/>
              <w:rPr>
                <w:color w:val="auto"/>
                <w:sz w:val="21"/>
                <w:szCs w:val="21"/>
              </w:rPr>
            </w:pPr>
            <w:r>
              <w:rPr>
                <w:color w:val="auto"/>
                <w:sz w:val="21"/>
                <w:szCs w:val="21"/>
              </w:rPr>
              <w:t>名称</w:t>
            </w:r>
          </w:p>
        </w:tc>
        <w:tc>
          <w:tcPr>
            <w:tcW w:w="447" w:type="pct"/>
            <w:gridSpan w:val="2"/>
            <w:shd w:val="clear" w:color="auto" w:fill="auto"/>
            <w:vAlign w:val="center"/>
          </w:tcPr>
          <w:p w14:paraId="5FC3D685">
            <w:pPr>
              <w:kinsoku w:val="0"/>
              <w:overflowPunct w:val="0"/>
              <w:spacing w:line="240" w:lineRule="auto"/>
              <w:ind w:firstLine="0" w:firstLineChars="0"/>
              <w:jc w:val="center"/>
              <w:rPr>
                <w:color w:val="auto"/>
                <w:sz w:val="21"/>
                <w:szCs w:val="21"/>
              </w:rPr>
            </w:pPr>
            <w:r>
              <w:rPr>
                <w:rFonts w:hint="eastAsia"/>
                <w:color w:val="auto"/>
                <w:sz w:val="21"/>
                <w:szCs w:val="21"/>
              </w:rPr>
              <w:t>综合废水污泥</w:t>
            </w:r>
          </w:p>
        </w:tc>
        <w:tc>
          <w:tcPr>
            <w:tcW w:w="448" w:type="pct"/>
            <w:vAlign w:val="center"/>
          </w:tcPr>
          <w:p w14:paraId="770998E2">
            <w:pPr>
              <w:kinsoku w:val="0"/>
              <w:overflowPunct w:val="0"/>
              <w:spacing w:line="240" w:lineRule="auto"/>
              <w:ind w:firstLine="0" w:firstLineChars="0"/>
              <w:jc w:val="center"/>
              <w:rPr>
                <w:color w:val="auto"/>
                <w:sz w:val="21"/>
                <w:szCs w:val="21"/>
              </w:rPr>
            </w:pPr>
            <w:r>
              <w:rPr>
                <w:rFonts w:hint="eastAsia"/>
                <w:color w:val="auto"/>
                <w:sz w:val="21"/>
                <w:szCs w:val="21"/>
              </w:rPr>
              <w:t>碱蚀添加剂</w:t>
            </w:r>
          </w:p>
        </w:tc>
        <w:tc>
          <w:tcPr>
            <w:tcW w:w="405" w:type="pct"/>
            <w:gridSpan w:val="2"/>
            <w:vAlign w:val="center"/>
          </w:tcPr>
          <w:p w14:paraId="463B1DDF">
            <w:pPr>
              <w:kinsoku w:val="0"/>
              <w:overflowPunct w:val="0"/>
              <w:spacing w:line="240" w:lineRule="auto"/>
              <w:ind w:firstLine="0" w:firstLineChars="0"/>
              <w:jc w:val="center"/>
              <w:rPr>
                <w:color w:val="auto"/>
                <w:sz w:val="21"/>
                <w:szCs w:val="21"/>
              </w:rPr>
            </w:pPr>
            <w:r>
              <w:rPr>
                <w:rFonts w:hint="eastAsia"/>
                <w:color w:val="auto"/>
                <w:sz w:val="21"/>
                <w:szCs w:val="21"/>
              </w:rPr>
              <w:t>着色稳定剂</w:t>
            </w:r>
          </w:p>
        </w:tc>
        <w:tc>
          <w:tcPr>
            <w:tcW w:w="442" w:type="pct"/>
            <w:vAlign w:val="center"/>
          </w:tcPr>
          <w:p w14:paraId="64F5D2F2">
            <w:pPr>
              <w:kinsoku w:val="0"/>
              <w:overflowPunct w:val="0"/>
              <w:spacing w:line="240" w:lineRule="auto"/>
              <w:ind w:firstLine="0" w:firstLineChars="0"/>
              <w:jc w:val="center"/>
              <w:rPr>
                <w:color w:val="auto"/>
                <w:sz w:val="21"/>
                <w:szCs w:val="21"/>
              </w:rPr>
            </w:pPr>
            <w:r>
              <w:rPr>
                <w:rFonts w:hint="eastAsia"/>
                <w:color w:val="auto"/>
                <w:sz w:val="21"/>
                <w:szCs w:val="21"/>
              </w:rPr>
              <w:t>封孔添加剂</w:t>
            </w:r>
          </w:p>
        </w:tc>
        <w:tc>
          <w:tcPr>
            <w:tcW w:w="493" w:type="pct"/>
            <w:gridSpan w:val="2"/>
            <w:shd w:val="clear" w:color="auto" w:fill="auto"/>
            <w:vAlign w:val="center"/>
          </w:tcPr>
          <w:p w14:paraId="45AA6D13">
            <w:pPr>
              <w:kinsoku w:val="0"/>
              <w:overflowPunct w:val="0"/>
              <w:spacing w:line="240" w:lineRule="auto"/>
              <w:ind w:firstLine="0" w:firstLineChars="0"/>
              <w:jc w:val="center"/>
              <w:rPr>
                <w:color w:val="auto"/>
                <w:sz w:val="21"/>
                <w:szCs w:val="21"/>
              </w:rPr>
            </w:pPr>
            <w:r>
              <w:rPr>
                <w:rFonts w:hint="eastAsia"/>
                <w:color w:val="auto"/>
                <w:sz w:val="21"/>
                <w:szCs w:val="21"/>
              </w:rPr>
              <w:t>油类（机油和液压油）</w:t>
            </w:r>
          </w:p>
        </w:tc>
        <w:tc>
          <w:tcPr>
            <w:tcW w:w="434" w:type="pct"/>
            <w:shd w:val="clear" w:color="auto" w:fill="auto"/>
            <w:vAlign w:val="center"/>
          </w:tcPr>
          <w:p w14:paraId="36273F9B">
            <w:pPr>
              <w:kinsoku w:val="0"/>
              <w:overflowPunct w:val="0"/>
              <w:spacing w:line="240" w:lineRule="auto"/>
              <w:ind w:firstLine="0" w:firstLineChars="0"/>
              <w:jc w:val="center"/>
              <w:rPr>
                <w:color w:val="auto"/>
                <w:sz w:val="21"/>
                <w:szCs w:val="21"/>
              </w:rPr>
            </w:pPr>
            <w:r>
              <w:rPr>
                <w:rFonts w:hint="eastAsia"/>
                <w:color w:val="auto"/>
                <w:sz w:val="21"/>
                <w:szCs w:val="21"/>
              </w:rPr>
              <w:t>甲烷</w:t>
            </w:r>
          </w:p>
        </w:tc>
        <w:tc>
          <w:tcPr>
            <w:tcW w:w="426" w:type="pct"/>
            <w:shd w:val="clear" w:color="auto" w:fill="auto"/>
            <w:vAlign w:val="center"/>
          </w:tcPr>
          <w:p w14:paraId="1ABFDEA6">
            <w:pPr>
              <w:kinsoku w:val="0"/>
              <w:overflowPunct w:val="0"/>
              <w:spacing w:line="240" w:lineRule="auto"/>
              <w:ind w:firstLine="0" w:firstLineChars="0"/>
              <w:jc w:val="center"/>
              <w:rPr>
                <w:color w:val="auto"/>
                <w:sz w:val="21"/>
                <w:szCs w:val="21"/>
              </w:rPr>
            </w:pPr>
            <w:r>
              <w:rPr>
                <w:rFonts w:hint="eastAsia"/>
                <w:color w:val="auto"/>
                <w:sz w:val="21"/>
                <w:szCs w:val="21"/>
              </w:rPr>
              <w:t>硫酸</w:t>
            </w:r>
          </w:p>
        </w:tc>
        <w:tc>
          <w:tcPr>
            <w:tcW w:w="428" w:type="pct"/>
            <w:vAlign w:val="center"/>
          </w:tcPr>
          <w:p w14:paraId="4DCD48C4">
            <w:pPr>
              <w:kinsoku w:val="0"/>
              <w:overflowPunct w:val="0"/>
              <w:spacing w:line="240" w:lineRule="auto"/>
              <w:ind w:firstLine="0" w:firstLineChars="0"/>
              <w:jc w:val="center"/>
              <w:rPr>
                <w:color w:val="auto"/>
                <w:sz w:val="21"/>
                <w:szCs w:val="21"/>
              </w:rPr>
            </w:pPr>
            <w:r>
              <w:rPr>
                <w:rFonts w:hint="eastAsia"/>
                <w:color w:val="auto"/>
                <w:sz w:val="21"/>
                <w:szCs w:val="21"/>
              </w:rPr>
              <w:t>液碱</w:t>
            </w:r>
          </w:p>
        </w:tc>
      </w:tr>
      <w:tr w14:paraId="44D8BD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1ADA4D0A">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43CA450F">
            <w:pPr>
              <w:pStyle w:val="34"/>
              <w:kinsoku w:val="0"/>
              <w:overflowPunct w:val="0"/>
              <w:spacing w:after="0" w:line="240" w:lineRule="auto"/>
              <w:ind w:firstLine="0" w:firstLineChars="0"/>
              <w:jc w:val="center"/>
              <w:rPr>
                <w:color w:val="auto"/>
                <w:sz w:val="21"/>
                <w:szCs w:val="21"/>
              </w:rPr>
            </w:pPr>
          </w:p>
        </w:tc>
        <w:tc>
          <w:tcPr>
            <w:tcW w:w="594" w:type="pct"/>
            <w:vAlign w:val="center"/>
          </w:tcPr>
          <w:p w14:paraId="41C834C7">
            <w:pPr>
              <w:kinsoku w:val="0"/>
              <w:overflowPunct w:val="0"/>
              <w:spacing w:line="240" w:lineRule="auto"/>
              <w:ind w:firstLine="0" w:firstLineChars="0"/>
              <w:jc w:val="center"/>
              <w:rPr>
                <w:color w:val="auto"/>
                <w:sz w:val="21"/>
                <w:szCs w:val="21"/>
              </w:rPr>
            </w:pPr>
            <w:r>
              <w:rPr>
                <w:color w:val="auto"/>
                <w:sz w:val="21"/>
                <w:szCs w:val="21"/>
              </w:rPr>
              <w:t>存在总量/t</w:t>
            </w:r>
          </w:p>
        </w:tc>
        <w:tc>
          <w:tcPr>
            <w:tcW w:w="447" w:type="pct"/>
            <w:gridSpan w:val="2"/>
            <w:shd w:val="clear" w:color="auto" w:fill="auto"/>
            <w:vAlign w:val="center"/>
          </w:tcPr>
          <w:p w14:paraId="389D9873">
            <w:pPr>
              <w:kinsoku w:val="0"/>
              <w:overflowPunct w:val="0"/>
              <w:spacing w:line="240" w:lineRule="auto"/>
              <w:ind w:firstLine="0" w:firstLineChars="0"/>
              <w:jc w:val="center"/>
              <w:rPr>
                <w:color w:val="auto"/>
                <w:sz w:val="21"/>
                <w:szCs w:val="21"/>
              </w:rPr>
            </w:pPr>
            <w:r>
              <w:rPr>
                <w:rFonts w:hint="eastAsia"/>
                <w:color w:val="auto"/>
                <w:sz w:val="21"/>
                <w:szCs w:val="21"/>
              </w:rPr>
              <w:t>8.65</w:t>
            </w:r>
          </w:p>
        </w:tc>
        <w:tc>
          <w:tcPr>
            <w:tcW w:w="448" w:type="pct"/>
            <w:vAlign w:val="center"/>
          </w:tcPr>
          <w:p w14:paraId="10EE4BAC">
            <w:pPr>
              <w:kinsoku w:val="0"/>
              <w:overflowPunct w:val="0"/>
              <w:spacing w:line="240" w:lineRule="auto"/>
              <w:ind w:firstLine="0" w:firstLineChars="0"/>
              <w:jc w:val="center"/>
              <w:rPr>
                <w:color w:val="auto"/>
                <w:sz w:val="21"/>
                <w:szCs w:val="21"/>
              </w:rPr>
            </w:pPr>
            <w:r>
              <w:rPr>
                <w:rFonts w:hint="eastAsia"/>
                <w:color w:val="auto"/>
                <w:sz w:val="21"/>
                <w:szCs w:val="21"/>
              </w:rPr>
              <w:t>1.225</w:t>
            </w:r>
          </w:p>
        </w:tc>
        <w:tc>
          <w:tcPr>
            <w:tcW w:w="405" w:type="pct"/>
            <w:gridSpan w:val="2"/>
            <w:vAlign w:val="center"/>
          </w:tcPr>
          <w:p w14:paraId="20D9BB6F">
            <w:pPr>
              <w:kinsoku w:val="0"/>
              <w:overflowPunct w:val="0"/>
              <w:spacing w:line="240" w:lineRule="auto"/>
              <w:ind w:firstLine="0" w:firstLineChars="0"/>
              <w:jc w:val="center"/>
              <w:rPr>
                <w:color w:val="auto"/>
                <w:sz w:val="21"/>
                <w:szCs w:val="21"/>
              </w:rPr>
            </w:pPr>
            <w:r>
              <w:rPr>
                <w:rFonts w:hint="eastAsia"/>
                <w:color w:val="auto"/>
                <w:sz w:val="21"/>
                <w:szCs w:val="21"/>
              </w:rPr>
              <w:t>3.025</w:t>
            </w:r>
          </w:p>
        </w:tc>
        <w:tc>
          <w:tcPr>
            <w:tcW w:w="442" w:type="pct"/>
            <w:vAlign w:val="center"/>
          </w:tcPr>
          <w:p w14:paraId="5BF862C5">
            <w:pPr>
              <w:kinsoku w:val="0"/>
              <w:overflowPunct w:val="0"/>
              <w:spacing w:line="240" w:lineRule="auto"/>
              <w:ind w:firstLine="0" w:firstLineChars="0"/>
              <w:jc w:val="center"/>
              <w:rPr>
                <w:color w:val="auto"/>
                <w:sz w:val="21"/>
                <w:szCs w:val="21"/>
              </w:rPr>
            </w:pPr>
            <w:r>
              <w:rPr>
                <w:rFonts w:hint="eastAsia"/>
                <w:color w:val="auto"/>
                <w:sz w:val="21"/>
                <w:szCs w:val="21"/>
              </w:rPr>
              <w:t>3.025</w:t>
            </w:r>
          </w:p>
        </w:tc>
        <w:tc>
          <w:tcPr>
            <w:tcW w:w="493" w:type="pct"/>
            <w:gridSpan w:val="2"/>
            <w:shd w:val="clear" w:color="auto" w:fill="auto"/>
            <w:vAlign w:val="center"/>
          </w:tcPr>
          <w:p w14:paraId="62F20A6A">
            <w:pPr>
              <w:kinsoku w:val="0"/>
              <w:overflowPunct w:val="0"/>
              <w:spacing w:line="240" w:lineRule="auto"/>
              <w:ind w:firstLine="0" w:firstLineChars="0"/>
              <w:jc w:val="center"/>
              <w:rPr>
                <w:color w:val="auto"/>
                <w:sz w:val="21"/>
                <w:szCs w:val="21"/>
              </w:rPr>
            </w:pPr>
            <w:r>
              <w:rPr>
                <w:rFonts w:hint="eastAsia"/>
                <w:color w:val="auto"/>
                <w:sz w:val="21"/>
                <w:szCs w:val="21"/>
              </w:rPr>
              <w:t>0.3</w:t>
            </w:r>
          </w:p>
        </w:tc>
        <w:tc>
          <w:tcPr>
            <w:tcW w:w="434" w:type="pct"/>
            <w:shd w:val="clear" w:color="auto" w:fill="auto"/>
            <w:vAlign w:val="center"/>
          </w:tcPr>
          <w:p w14:paraId="7A865F18">
            <w:pPr>
              <w:kinsoku w:val="0"/>
              <w:overflowPunct w:val="0"/>
              <w:spacing w:line="240" w:lineRule="auto"/>
              <w:ind w:firstLine="0" w:firstLineChars="0"/>
              <w:jc w:val="center"/>
              <w:rPr>
                <w:color w:val="auto"/>
                <w:sz w:val="21"/>
                <w:szCs w:val="21"/>
              </w:rPr>
            </w:pPr>
            <w:r>
              <w:rPr>
                <w:rFonts w:hint="eastAsia"/>
                <w:color w:val="auto"/>
                <w:sz w:val="21"/>
                <w:szCs w:val="21"/>
              </w:rPr>
              <w:t>0.092</w:t>
            </w:r>
          </w:p>
        </w:tc>
        <w:tc>
          <w:tcPr>
            <w:tcW w:w="426" w:type="pct"/>
            <w:shd w:val="clear" w:color="auto" w:fill="auto"/>
            <w:vAlign w:val="center"/>
          </w:tcPr>
          <w:p w14:paraId="0FFB0CB7">
            <w:pPr>
              <w:kinsoku w:val="0"/>
              <w:overflowPunct w:val="0"/>
              <w:spacing w:line="240" w:lineRule="auto"/>
              <w:ind w:firstLine="0" w:firstLineChars="0"/>
              <w:jc w:val="center"/>
              <w:rPr>
                <w:color w:val="auto"/>
                <w:sz w:val="21"/>
                <w:szCs w:val="21"/>
              </w:rPr>
            </w:pPr>
            <w:r>
              <w:rPr>
                <w:rFonts w:hint="eastAsia"/>
                <w:color w:val="auto"/>
                <w:sz w:val="21"/>
                <w:szCs w:val="21"/>
              </w:rPr>
              <w:t>70.12</w:t>
            </w:r>
          </w:p>
        </w:tc>
        <w:tc>
          <w:tcPr>
            <w:tcW w:w="428" w:type="pct"/>
            <w:vAlign w:val="center"/>
          </w:tcPr>
          <w:p w14:paraId="2D2378A9">
            <w:pPr>
              <w:kinsoku w:val="0"/>
              <w:overflowPunct w:val="0"/>
              <w:spacing w:line="240" w:lineRule="auto"/>
              <w:ind w:firstLine="0" w:firstLineChars="0"/>
              <w:jc w:val="center"/>
              <w:rPr>
                <w:color w:val="auto"/>
                <w:sz w:val="21"/>
                <w:szCs w:val="21"/>
              </w:rPr>
            </w:pPr>
            <w:r>
              <w:rPr>
                <w:rFonts w:hint="eastAsia"/>
                <w:color w:val="auto"/>
                <w:sz w:val="21"/>
                <w:szCs w:val="21"/>
              </w:rPr>
              <w:t>50.54</w:t>
            </w:r>
          </w:p>
        </w:tc>
      </w:tr>
      <w:tr w14:paraId="044870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49E58E0C">
            <w:pPr>
              <w:pStyle w:val="34"/>
              <w:kinsoku w:val="0"/>
              <w:overflowPunct w:val="0"/>
              <w:spacing w:after="0" w:line="240" w:lineRule="auto"/>
              <w:ind w:firstLine="0" w:firstLineChars="0"/>
              <w:jc w:val="center"/>
              <w:rPr>
                <w:color w:val="auto"/>
                <w:sz w:val="21"/>
                <w:szCs w:val="21"/>
              </w:rPr>
            </w:pPr>
          </w:p>
        </w:tc>
        <w:tc>
          <w:tcPr>
            <w:tcW w:w="674" w:type="pct"/>
            <w:vMerge w:val="restart"/>
            <w:vAlign w:val="center"/>
          </w:tcPr>
          <w:p w14:paraId="06874678">
            <w:pPr>
              <w:pStyle w:val="34"/>
              <w:kinsoku w:val="0"/>
              <w:overflowPunct w:val="0"/>
              <w:spacing w:after="0" w:line="240" w:lineRule="auto"/>
              <w:ind w:firstLine="0" w:firstLineChars="0"/>
              <w:jc w:val="center"/>
              <w:rPr>
                <w:color w:val="auto"/>
                <w:sz w:val="21"/>
                <w:szCs w:val="21"/>
              </w:rPr>
            </w:pPr>
            <w:r>
              <w:rPr>
                <w:color w:val="auto"/>
                <w:sz w:val="21"/>
                <w:szCs w:val="21"/>
              </w:rPr>
              <w:t>危险物质</w:t>
            </w:r>
          </w:p>
        </w:tc>
        <w:tc>
          <w:tcPr>
            <w:tcW w:w="594" w:type="pct"/>
            <w:vAlign w:val="center"/>
          </w:tcPr>
          <w:p w14:paraId="0EA7107C">
            <w:pPr>
              <w:kinsoku w:val="0"/>
              <w:overflowPunct w:val="0"/>
              <w:spacing w:line="240" w:lineRule="auto"/>
              <w:ind w:firstLine="0" w:firstLineChars="0"/>
              <w:jc w:val="center"/>
              <w:rPr>
                <w:color w:val="auto"/>
                <w:sz w:val="21"/>
                <w:szCs w:val="21"/>
              </w:rPr>
            </w:pPr>
            <w:r>
              <w:rPr>
                <w:color w:val="auto"/>
                <w:sz w:val="21"/>
                <w:szCs w:val="21"/>
              </w:rPr>
              <w:t>名称</w:t>
            </w:r>
          </w:p>
        </w:tc>
        <w:tc>
          <w:tcPr>
            <w:tcW w:w="447" w:type="pct"/>
            <w:gridSpan w:val="2"/>
            <w:vAlign w:val="center"/>
          </w:tcPr>
          <w:p w14:paraId="3A3022F0">
            <w:pPr>
              <w:kinsoku w:val="0"/>
              <w:overflowPunct w:val="0"/>
              <w:spacing w:line="240" w:lineRule="auto"/>
              <w:ind w:firstLine="0" w:firstLineChars="0"/>
              <w:jc w:val="center"/>
              <w:rPr>
                <w:color w:val="auto"/>
                <w:sz w:val="21"/>
                <w:szCs w:val="21"/>
              </w:rPr>
            </w:pPr>
            <w:r>
              <w:rPr>
                <w:rFonts w:hint="eastAsia"/>
                <w:color w:val="auto"/>
                <w:sz w:val="21"/>
                <w:szCs w:val="21"/>
              </w:rPr>
              <w:t>研磨膏</w:t>
            </w:r>
          </w:p>
        </w:tc>
        <w:tc>
          <w:tcPr>
            <w:tcW w:w="448" w:type="pct"/>
            <w:vAlign w:val="center"/>
          </w:tcPr>
          <w:p w14:paraId="63B92C60">
            <w:pPr>
              <w:kinsoku w:val="0"/>
              <w:overflowPunct w:val="0"/>
              <w:spacing w:line="240" w:lineRule="auto"/>
              <w:ind w:firstLine="0" w:firstLineChars="0"/>
              <w:jc w:val="center"/>
              <w:rPr>
                <w:color w:val="auto"/>
                <w:sz w:val="21"/>
                <w:szCs w:val="21"/>
              </w:rPr>
            </w:pPr>
            <w:r>
              <w:rPr>
                <w:rFonts w:hint="eastAsia"/>
                <w:color w:val="auto"/>
                <w:sz w:val="21"/>
                <w:szCs w:val="21"/>
              </w:rPr>
              <w:t>冰醋酸</w:t>
            </w:r>
          </w:p>
        </w:tc>
        <w:tc>
          <w:tcPr>
            <w:tcW w:w="405" w:type="pct"/>
            <w:gridSpan w:val="2"/>
            <w:vAlign w:val="center"/>
          </w:tcPr>
          <w:p w14:paraId="51E83AE3">
            <w:pPr>
              <w:kinsoku w:val="0"/>
              <w:overflowPunct w:val="0"/>
              <w:spacing w:line="240" w:lineRule="auto"/>
              <w:ind w:firstLine="0" w:firstLineChars="0"/>
              <w:jc w:val="center"/>
              <w:rPr>
                <w:color w:val="auto"/>
                <w:sz w:val="21"/>
                <w:szCs w:val="21"/>
              </w:rPr>
            </w:pPr>
            <w:r>
              <w:rPr>
                <w:rFonts w:hint="eastAsia"/>
                <w:color w:val="auto"/>
                <w:sz w:val="21"/>
                <w:szCs w:val="21"/>
              </w:rPr>
              <w:t>盐酸</w:t>
            </w:r>
          </w:p>
        </w:tc>
        <w:tc>
          <w:tcPr>
            <w:tcW w:w="442" w:type="pct"/>
            <w:vAlign w:val="center"/>
          </w:tcPr>
          <w:p w14:paraId="5527F267">
            <w:pPr>
              <w:kinsoku w:val="0"/>
              <w:overflowPunct w:val="0"/>
              <w:spacing w:line="240" w:lineRule="auto"/>
              <w:ind w:firstLine="0" w:firstLineChars="0"/>
              <w:jc w:val="center"/>
              <w:rPr>
                <w:color w:val="auto"/>
                <w:sz w:val="21"/>
                <w:szCs w:val="21"/>
              </w:rPr>
            </w:pPr>
            <w:r>
              <w:rPr>
                <w:rFonts w:hint="eastAsia"/>
                <w:color w:val="auto"/>
                <w:sz w:val="21"/>
                <w:szCs w:val="21"/>
              </w:rPr>
              <w:t>PAC</w:t>
            </w:r>
          </w:p>
        </w:tc>
        <w:tc>
          <w:tcPr>
            <w:tcW w:w="493" w:type="pct"/>
            <w:gridSpan w:val="2"/>
            <w:vAlign w:val="center"/>
          </w:tcPr>
          <w:p w14:paraId="788B2E62">
            <w:pPr>
              <w:kinsoku w:val="0"/>
              <w:overflowPunct w:val="0"/>
              <w:spacing w:line="240" w:lineRule="auto"/>
              <w:ind w:firstLine="0" w:firstLineChars="0"/>
              <w:jc w:val="center"/>
              <w:rPr>
                <w:color w:val="auto"/>
                <w:sz w:val="21"/>
                <w:szCs w:val="21"/>
              </w:rPr>
            </w:pPr>
            <w:r>
              <w:rPr>
                <w:rFonts w:hint="eastAsia"/>
                <w:color w:val="auto"/>
                <w:sz w:val="21"/>
                <w:szCs w:val="21"/>
              </w:rPr>
              <w:t>PAM</w:t>
            </w:r>
          </w:p>
        </w:tc>
        <w:tc>
          <w:tcPr>
            <w:tcW w:w="434" w:type="pct"/>
            <w:vAlign w:val="center"/>
          </w:tcPr>
          <w:p w14:paraId="0E7F650F">
            <w:pPr>
              <w:kinsoku w:val="0"/>
              <w:overflowPunct w:val="0"/>
              <w:spacing w:line="240" w:lineRule="auto"/>
              <w:ind w:firstLine="0" w:firstLineChars="0"/>
              <w:jc w:val="center"/>
              <w:rPr>
                <w:color w:val="auto"/>
                <w:sz w:val="21"/>
                <w:szCs w:val="21"/>
              </w:rPr>
            </w:pPr>
            <w:r>
              <w:rPr>
                <w:rFonts w:hint="eastAsia"/>
                <w:color w:val="auto"/>
                <w:sz w:val="21"/>
                <w:szCs w:val="21"/>
              </w:rPr>
              <w:t>片碱</w:t>
            </w:r>
          </w:p>
        </w:tc>
        <w:tc>
          <w:tcPr>
            <w:tcW w:w="426" w:type="pct"/>
            <w:vAlign w:val="center"/>
          </w:tcPr>
          <w:p w14:paraId="4854A2E0">
            <w:pPr>
              <w:kinsoku w:val="0"/>
              <w:overflowPunct w:val="0"/>
              <w:spacing w:line="240" w:lineRule="auto"/>
              <w:ind w:firstLine="0" w:firstLineChars="0"/>
              <w:jc w:val="center"/>
              <w:rPr>
                <w:color w:val="auto"/>
                <w:sz w:val="21"/>
                <w:szCs w:val="21"/>
              </w:rPr>
            </w:pPr>
            <w:r>
              <w:rPr>
                <w:rFonts w:hint="eastAsia"/>
                <w:color w:val="auto"/>
                <w:sz w:val="21"/>
                <w:szCs w:val="21"/>
              </w:rPr>
              <w:t>废研磨膏</w:t>
            </w:r>
          </w:p>
        </w:tc>
        <w:tc>
          <w:tcPr>
            <w:tcW w:w="428" w:type="pct"/>
            <w:vAlign w:val="center"/>
          </w:tcPr>
          <w:p w14:paraId="71F94E94">
            <w:pPr>
              <w:kinsoku w:val="0"/>
              <w:overflowPunct w:val="0"/>
              <w:spacing w:line="240" w:lineRule="auto"/>
              <w:ind w:firstLine="0" w:firstLineChars="0"/>
              <w:jc w:val="center"/>
              <w:rPr>
                <w:color w:val="auto"/>
                <w:sz w:val="21"/>
                <w:szCs w:val="21"/>
              </w:rPr>
            </w:pPr>
            <w:r>
              <w:rPr>
                <w:rFonts w:hint="eastAsia"/>
                <w:color w:val="auto"/>
                <w:sz w:val="21"/>
                <w:szCs w:val="21"/>
              </w:rPr>
              <w:t>废试剂瓶</w:t>
            </w:r>
          </w:p>
        </w:tc>
      </w:tr>
      <w:tr w14:paraId="6FE645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6A103477">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0AB996E5">
            <w:pPr>
              <w:pStyle w:val="34"/>
              <w:kinsoku w:val="0"/>
              <w:overflowPunct w:val="0"/>
              <w:spacing w:after="0" w:line="240" w:lineRule="auto"/>
              <w:ind w:firstLine="0" w:firstLineChars="0"/>
              <w:jc w:val="center"/>
              <w:rPr>
                <w:color w:val="auto"/>
                <w:sz w:val="21"/>
                <w:szCs w:val="21"/>
              </w:rPr>
            </w:pPr>
          </w:p>
        </w:tc>
        <w:tc>
          <w:tcPr>
            <w:tcW w:w="594" w:type="pct"/>
            <w:vAlign w:val="center"/>
          </w:tcPr>
          <w:p w14:paraId="0CDE849E">
            <w:pPr>
              <w:kinsoku w:val="0"/>
              <w:overflowPunct w:val="0"/>
              <w:spacing w:line="240" w:lineRule="auto"/>
              <w:ind w:firstLine="0" w:firstLineChars="0"/>
              <w:jc w:val="center"/>
              <w:rPr>
                <w:color w:val="auto"/>
                <w:sz w:val="21"/>
                <w:szCs w:val="21"/>
              </w:rPr>
            </w:pPr>
            <w:r>
              <w:rPr>
                <w:color w:val="auto"/>
                <w:sz w:val="21"/>
                <w:szCs w:val="21"/>
              </w:rPr>
              <w:t>存在总量/t</w:t>
            </w:r>
          </w:p>
        </w:tc>
        <w:tc>
          <w:tcPr>
            <w:tcW w:w="447" w:type="pct"/>
            <w:gridSpan w:val="2"/>
            <w:vAlign w:val="center"/>
          </w:tcPr>
          <w:p w14:paraId="4F92686E">
            <w:pPr>
              <w:kinsoku w:val="0"/>
              <w:overflowPunct w:val="0"/>
              <w:spacing w:line="240" w:lineRule="auto"/>
              <w:ind w:firstLine="0" w:firstLineChars="0"/>
              <w:jc w:val="center"/>
              <w:rPr>
                <w:color w:val="auto"/>
                <w:sz w:val="21"/>
                <w:szCs w:val="21"/>
              </w:rPr>
            </w:pPr>
            <w:r>
              <w:rPr>
                <w:rFonts w:hint="eastAsia"/>
                <w:color w:val="auto"/>
                <w:sz w:val="21"/>
                <w:szCs w:val="21"/>
              </w:rPr>
              <w:t>0.01</w:t>
            </w:r>
          </w:p>
        </w:tc>
        <w:tc>
          <w:tcPr>
            <w:tcW w:w="448" w:type="pct"/>
            <w:vAlign w:val="center"/>
          </w:tcPr>
          <w:p w14:paraId="3EBD254B">
            <w:pPr>
              <w:kinsoku w:val="0"/>
              <w:overflowPunct w:val="0"/>
              <w:spacing w:line="240" w:lineRule="auto"/>
              <w:ind w:firstLine="0" w:firstLineChars="0"/>
              <w:jc w:val="center"/>
              <w:rPr>
                <w:color w:val="auto"/>
                <w:sz w:val="21"/>
                <w:szCs w:val="21"/>
              </w:rPr>
            </w:pPr>
            <w:r>
              <w:rPr>
                <w:rFonts w:hint="eastAsia"/>
                <w:color w:val="auto"/>
                <w:sz w:val="21"/>
                <w:szCs w:val="21"/>
              </w:rPr>
              <w:t>0.000525</w:t>
            </w:r>
          </w:p>
        </w:tc>
        <w:tc>
          <w:tcPr>
            <w:tcW w:w="405" w:type="pct"/>
            <w:gridSpan w:val="2"/>
            <w:vAlign w:val="center"/>
          </w:tcPr>
          <w:p w14:paraId="794C8635">
            <w:pPr>
              <w:kinsoku w:val="0"/>
              <w:overflowPunct w:val="0"/>
              <w:spacing w:line="240" w:lineRule="auto"/>
              <w:ind w:firstLine="0" w:firstLineChars="0"/>
              <w:jc w:val="center"/>
              <w:rPr>
                <w:color w:val="auto"/>
                <w:sz w:val="21"/>
                <w:szCs w:val="21"/>
              </w:rPr>
            </w:pPr>
            <w:r>
              <w:rPr>
                <w:rFonts w:hint="eastAsia"/>
                <w:color w:val="auto"/>
                <w:sz w:val="21"/>
                <w:szCs w:val="21"/>
              </w:rPr>
              <w:t>0.86</w:t>
            </w:r>
          </w:p>
        </w:tc>
        <w:tc>
          <w:tcPr>
            <w:tcW w:w="442" w:type="pct"/>
            <w:vAlign w:val="center"/>
          </w:tcPr>
          <w:p w14:paraId="07C5A8E7">
            <w:pPr>
              <w:kinsoku w:val="0"/>
              <w:overflowPunct w:val="0"/>
              <w:spacing w:line="240" w:lineRule="auto"/>
              <w:ind w:firstLine="0" w:firstLineChars="0"/>
              <w:jc w:val="center"/>
              <w:rPr>
                <w:color w:val="auto"/>
                <w:sz w:val="21"/>
                <w:szCs w:val="21"/>
              </w:rPr>
            </w:pPr>
            <w:r>
              <w:rPr>
                <w:rFonts w:hint="eastAsia"/>
                <w:color w:val="auto"/>
                <w:sz w:val="21"/>
                <w:szCs w:val="21"/>
              </w:rPr>
              <w:t>0.05</w:t>
            </w:r>
          </w:p>
        </w:tc>
        <w:tc>
          <w:tcPr>
            <w:tcW w:w="493" w:type="pct"/>
            <w:gridSpan w:val="2"/>
            <w:vAlign w:val="center"/>
          </w:tcPr>
          <w:p w14:paraId="44ED4CF5">
            <w:pPr>
              <w:kinsoku w:val="0"/>
              <w:overflowPunct w:val="0"/>
              <w:spacing w:line="240" w:lineRule="auto"/>
              <w:ind w:firstLine="0" w:firstLineChars="0"/>
              <w:jc w:val="center"/>
              <w:rPr>
                <w:color w:val="auto"/>
                <w:sz w:val="21"/>
                <w:szCs w:val="21"/>
              </w:rPr>
            </w:pPr>
            <w:r>
              <w:rPr>
                <w:rFonts w:hint="eastAsia"/>
                <w:color w:val="auto"/>
                <w:sz w:val="21"/>
                <w:szCs w:val="21"/>
              </w:rPr>
              <w:t>0.025</w:t>
            </w:r>
          </w:p>
        </w:tc>
        <w:tc>
          <w:tcPr>
            <w:tcW w:w="434" w:type="pct"/>
            <w:vAlign w:val="center"/>
          </w:tcPr>
          <w:p w14:paraId="5EAE1ED4">
            <w:pPr>
              <w:kinsoku w:val="0"/>
              <w:overflowPunct w:val="0"/>
              <w:spacing w:line="240" w:lineRule="auto"/>
              <w:ind w:firstLine="0" w:firstLineChars="0"/>
              <w:jc w:val="center"/>
              <w:rPr>
                <w:color w:val="auto"/>
                <w:sz w:val="21"/>
                <w:szCs w:val="21"/>
              </w:rPr>
            </w:pPr>
            <w:r>
              <w:rPr>
                <w:rFonts w:hint="eastAsia"/>
                <w:color w:val="auto"/>
                <w:sz w:val="21"/>
                <w:szCs w:val="21"/>
              </w:rPr>
              <w:t>15.2</w:t>
            </w:r>
          </w:p>
        </w:tc>
        <w:tc>
          <w:tcPr>
            <w:tcW w:w="426" w:type="pct"/>
            <w:vAlign w:val="center"/>
          </w:tcPr>
          <w:p w14:paraId="58E1A453">
            <w:pPr>
              <w:kinsoku w:val="0"/>
              <w:overflowPunct w:val="0"/>
              <w:spacing w:line="240" w:lineRule="auto"/>
              <w:ind w:firstLine="0" w:firstLineChars="0"/>
              <w:jc w:val="center"/>
              <w:rPr>
                <w:color w:val="auto"/>
                <w:sz w:val="21"/>
                <w:szCs w:val="21"/>
              </w:rPr>
            </w:pPr>
            <w:r>
              <w:rPr>
                <w:rFonts w:hint="eastAsia"/>
                <w:color w:val="auto"/>
                <w:sz w:val="21"/>
                <w:szCs w:val="21"/>
              </w:rPr>
              <w:t>0.005</w:t>
            </w:r>
          </w:p>
        </w:tc>
        <w:tc>
          <w:tcPr>
            <w:tcW w:w="428" w:type="pct"/>
            <w:vAlign w:val="center"/>
          </w:tcPr>
          <w:p w14:paraId="6369E0E9">
            <w:pPr>
              <w:kinsoku w:val="0"/>
              <w:overflowPunct w:val="0"/>
              <w:spacing w:line="240" w:lineRule="auto"/>
              <w:ind w:firstLine="0" w:firstLineChars="0"/>
              <w:jc w:val="center"/>
              <w:rPr>
                <w:color w:val="auto"/>
                <w:sz w:val="21"/>
                <w:szCs w:val="21"/>
              </w:rPr>
            </w:pPr>
            <w:r>
              <w:rPr>
                <w:rFonts w:hint="eastAsia"/>
                <w:color w:val="auto"/>
                <w:sz w:val="21"/>
                <w:szCs w:val="21"/>
              </w:rPr>
              <w:t>0.00005</w:t>
            </w:r>
          </w:p>
        </w:tc>
      </w:tr>
      <w:tr w14:paraId="1E0D0C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70148109">
            <w:pPr>
              <w:pStyle w:val="34"/>
              <w:kinsoku w:val="0"/>
              <w:overflowPunct w:val="0"/>
              <w:spacing w:after="0" w:line="240" w:lineRule="auto"/>
              <w:ind w:firstLine="0" w:firstLineChars="0"/>
              <w:jc w:val="center"/>
              <w:rPr>
                <w:color w:val="auto"/>
                <w:sz w:val="21"/>
                <w:szCs w:val="21"/>
              </w:rPr>
            </w:pPr>
          </w:p>
        </w:tc>
        <w:tc>
          <w:tcPr>
            <w:tcW w:w="674" w:type="pct"/>
            <w:vMerge w:val="restart"/>
            <w:vAlign w:val="center"/>
          </w:tcPr>
          <w:p w14:paraId="5DA73978">
            <w:pPr>
              <w:pStyle w:val="34"/>
              <w:kinsoku w:val="0"/>
              <w:overflowPunct w:val="0"/>
              <w:spacing w:after="0" w:line="240" w:lineRule="auto"/>
              <w:ind w:firstLine="0" w:firstLineChars="0"/>
              <w:jc w:val="center"/>
              <w:rPr>
                <w:color w:val="auto"/>
                <w:sz w:val="21"/>
                <w:szCs w:val="21"/>
              </w:rPr>
            </w:pPr>
            <w:r>
              <w:rPr>
                <w:rFonts w:hint="eastAsia"/>
                <w:color w:val="auto"/>
                <w:sz w:val="21"/>
                <w:szCs w:val="21"/>
              </w:rPr>
              <w:t>危险物质</w:t>
            </w:r>
          </w:p>
        </w:tc>
        <w:tc>
          <w:tcPr>
            <w:tcW w:w="594" w:type="pct"/>
            <w:shd w:val="clear" w:color="auto" w:fill="auto"/>
            <w:vAlign w:val="center"/>
          </w:tcPr>
          <w:p w14:paraId="73548C87">
            <w:pPr>
              <w:kinsoku w:val="0"/>
              <w:overflowPunct w:val="0"/>
              <w:spacing w:line="240" w:lineRule="auto"/>
              <w:ind w:firstLine="0" w:firstLineChars="0"/>
              <w:jc w:val="center"/>
              <w:rPr>
                <w:color w:val="auto"/>
                <w:sz w:val="21"/>
                <w:szCs w:val="21"/>
              </w:rPr>
            </w:pPr>
            <w:r>
              <w:rPr>
                <w:color w:val="auto"/>
                <w:sz w:val="21"/>
                <w:szCs w:val="21"/>
              </w:rPr>
              <w:t>名称</w:t>
            </w:r>
          </w:p>
        </w:tc>
        <w:tc>
          <w:tcPr>
            <w:tcW w:w="447" w:type="pct"/>
            <w:gridSpan w:val="2"/>
            <w:vAlign w:val="center"/>
          </w:tcPr>
          <w:p w14:paraId="0DA01261">
            <w:pPr>
              <w:kinsoku w:val="0"/>
              <w:overflowPunct w:val="0"/>
              <w:spacing w:line="240" w:lineRule="auto"/>
              <w:ind w:firstLine="0" w:firstLineChars="0"/>
              <w:jc w:val="center"/>
              <w:rPr>
                <w:color w:val="auto"/>
                <w:sz w:val="21"/>
                <w:szCs w:val="21"/>
              </w:rPr>
            </w:pPr>
            <w:r>
              <w:rPr>
                <w:rFonts w:hint="eastAsia"/>
                <w:color w:val="auto"/>
                <w:sz w:val="21"/>
                <w:szCs w:val="21"/>
              </w:rPr>
              <w:t>废试剂</w:t>
            </w:r>
          </w:p>
        </w:tc>
        <w:tc>
          <w:tcPr>
            <w:tcW w:w="448" w:type="pct"/>
            <w:vAlign w:val="center"/>
          </w:tcPr>
          <w:p w14:paraId="50EDC61D">
            <w:pPr>
              <w:kinsoku w:val="0"/>
              <w:overflowPunct w:val="0"/>
              <w:spacing w:line="240" w:lineRule="auto"/>
              <w:ind w:firstLine="0" w:firstLineChars="0"/>
              <w:jc w:val="center"/>
              <w:rPr>
                <w:color w:val="auto"/>
                <w:sz w:val="21"/>
                <w:szCs w:val="21"/>
              </w:rPr>
            </w:pPr>
            <w:r>
              <w:rPr>
                <w:rFonts w:hint="eastAsia"/>
                <w:color w:val="auto"/>
                <w:sz w:val="21"/>
                <w:szCs w:val="21"/>
              </w:rPr>
              <w:t>废油类（机油和液压油）</w:t>
            </w:r>
          </w:p>
        </w:tc>
        <w:tc>
          <w:tcPr>
            <w:tcW w:w="405" w:type="pct"/>
            <w:gridSpan w:val="2"/>
            <w:vAlign w:val="center"/>
          </w:tcPr>
          <w:p w14:paraId="4CD62D30">
            <w:pPr>
              <w:kinsoku w:val="0"/>
              <w:overflowPunct w:val="0"/>
              <w:spacing w:line="240" w:lineRule="auto"/>
              <w:ind w:firstLine="0" w:firstLineChars="0"/>
              <w:jc w:val="center"/>
              <w:rPr>
                <w:color w:val="auto"/>
                <w:sz w:val="21"/>
                <w:szCs w:val="21"/>
              </w:rPr>
            </w:pPr>
            <w:r>
              <w:rPr>
                <w:rFonts w:hint="eastAsia"/>
                <w:color w:val="auto"/>
                <w:sz w:val="21"/>
                <w:szCs w:val="21"/>
              </w:rPr>
              <w:t>废化学包装材料</w:t>
            </w:r>
          </w:p>
        </w:tc>
        <w:tc>
          <w:tcPr>
            <w:tcW w:w="442" w:type="pct"/>
            <w:vAlign w:val="center"/>
          </w:tcPr>
          <w:p w14:paraId="4F905E6E">
            <w:pPr>
              <w:kinsoku w:val="0"/>
              <w:overflowPunct w:val="0"/>
              <w:spacing w:line="240" w:lineRule="auto"/>
              <w:ind w:firstLine="0" w:firstLineChars="0"/>
              <w:jc w:val="center"/>
              <w:rPr>
                <w:color w:val="auto"/>
                <w:sz w:val="21"/>
                <w:szCs w:val="21"/>
              </w:rPr>
            </w:pPr>
            <w:r>
              <w:rPr>
                <w:rFonts w:hint="eastAsia"/>
                <w:color w:val="auto"/>
                <w:sz w:val="21"/>
                <w:szCs w:val="21"/>
              </w:rPr>
              <w:t>废油桶</w:t>
            </w:r>
          </w:p>
        </w:tc>
        <w:tc>
          <w:tcPr>
            <w:tcW w:w="493" w:type="pct"/>
            <w:gridSpan w:val="2"/>
            <w:vAlign w:val="center"/>
          </w:tcPr>
          <w:p w14:paraId="7083938D">
            <w:pPr>
              <w:kinsoku w:val="0"/>
              <w:overflowPunct w:val="0"/>
              <w:spacing w:line="240" w:lineRule="auto"/>
              <w:ind w:firstLine="0" w:firstLineChars="0"/>
              <w:jc w:val="center"/>
              <w:rPr>
                <w:color w:val="auto"/>
                <w:sz w:val="21"/>
                <w:szCs w:val="21"/>
              </w:rPr>
            </w:pPr>
            <w:r>
              <w:rPr>
                <w:rFonts w:hint="eastAsia"/>
                <w:color w:val="auto"/>
                <w:sz w:val="21"/>
                <w:szCs w:val="21"/>
              </w:rPr>
              <w:t>废劳保用品</w:t>
            </w:r>
          </w:p>
        </w:tc>
        <w:tc>
          <w:tcPr>
            <w:tcW w:w="434" w:type="pct"/>
            <w:shd w:val="clear" w:color="auto" w:fill="auto"/>
            <w:vAlign w:val="center"/>
          </w:tcPr>
          <w:p w14:paraId="02C07027">
            <w:pPr>
              <w:kinsoku w:val="0"/>
              <w:overflowPunct w:val="0"/>
              <w:spacing w:line="240" w:lineRule="auto"/>
              <w:ind w:firstLine="0" w:firstLineChars="0"/>
              <w:jc w:val="center"/>
              <w:rPr>
                <w:color w:val="auto"/>
                <w:sz w:val="21"/>
                <w:szCs w:val="21"/>
              </w:rPr>
            </w:pPr>
          </w:p>
        </w:tc>
        <w:tc>
          <w:tcPr>
            <w:tcW w:w="426" w:type="pct"/>
            <w:vAlign w:val="center"/>
          </w:tcPr>
          <w:p w14:paraId="2B9B393F">
            <w:pPr>
              <w:kinsoku w:val="0"/>
              <w:overflowPunct w:val="0"/>
              <w:spacing w:line="240" w:lineRule="auto"/>
              <w:ind w:firstLine="0" w:firstLineChars="0"/>
              <w:jc w:val="center"/>
              <w:rPr>
                <w:color w:val="auto"/>
                <w:sz w:val="21"/>
                <w:szCs w:val="21"/>
              </w:rPr>
            </w:pPr>
          </w:p>
        </w:tc>
        <w:tc>
          <w:tcPr>
            <w:tcW w:w="428" w:type="pct"/>
            <w:vAlign w:val="center"/>
          </w:tcPr>
          <w:p w14:paraId="7CEFFEC0">
            <w:pPr>
              <w:kinsoku w:val="0"/>
              <w:overflowPunct w:val="0"/>
              <w:spacing w:line="240" w:lineRule="auto"/>
              <w:ind w:firstLine="0" w:firstLineChars="0"/>
              <w:jc w:val="center"/>
              <w:rPr>
                <w:color w:val="auto"/>
                <w:sz w:val="21"/>
                <w:szCs w:val="21"/>
              </w:rPr>
            </w:pPr>
          </w:p>
        </w:tc>
      </w:tr>
      <w:tr w14:paraId="664B40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75B5BFA1">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58857408">
            <w:pPr>
              <w:pStyle w:val="34"/>
              <w:kinsoku w:val="0"/>
              <w:overflowPunct w:val="0"/>
              <w:spacing w:after="0" w:line="240" w:lineRule="auto"/>
              <w:ind w:firstLine="0" w:firstLineChars="0"/>
              <w:jc w:val="center"/>
              <w:rPr>
                <w:color w:val="auto"/>
                <w:sz w:val="21"/>
                <w:szCs w:val="21"/>
              </w:rPr>
            </w:pPr>
          </w:p>
        </w:tc>
        <w:tc>
          <w:tcPr>
            <w:tcW w:w="594" w:type="pct"/>
            <w:shd w:val="clear" w:color="auto" w:fill="auto"/>
            <w:vAlign w:val="center"/>
          </w:tcPr>
          <w:p w14:paraId="12C12A28">
            <w:pPr>
              <w:kinsoku w:val="0"/>
              <w:overflowPunct w:val="0"/>
              <w:spacing w:line="240" w:lineRule="auto"/>
              <w:ind w:firstLine="0" w:firstLineChars="0"/>
              <w:jc w:val="center"/>
              <w:rPr>
                <w:color w:val="auto"/>
                <w:sz w:val="21"/>
                <w:szCs w:val="21"/>
              </w:rPr>
            </w:pPr>
            <w:r>
              <w:rPr>
                <w:color w:val="auto"/>
                <w:sz w:val="21"/>
                <w:szCs w:val="21"/>
              </w:rPr>
              <w:t>存在总量/t</w:t>
            </w:r>
          </w:p>
        </w:tc>
        <w:tc>
          <w:tcPr>
            <w:tcW w:w="447" w:type="pct"/>
            <w:gridSpan w:val="2"/>
            <w:vAlign w:val="center"/>
          </w:tcPr>
          <w:p w14:paraId="177AEC71">
            <w:pPr>
              <w:kinsoku w:val="0"/>
              <w:overflowPunct w:val="0"/>
              <w:spacing w:line="240" w:lineRule="auto"/>
              <w:ind w:firstLine="0" w:firstLineChars="0"/>
              <w:jc w:val="center"/>
              <w:rPr>
                <w:color w:val="auto"/>
                <w:sz w:val="21"/>
                <w:szCs w:val="21"/>
              </w:rPr>
            </w:pPr>
            <w:r>
              <w:rPr>
                <w:rFonts w:hint="eastAsia"/>
                <w:color w:val="auto"/>
                <w:sz w:val="21"/>
                <w:szCs w:val="21"/>
              </w:rPr>
              <w:t>0.000009</w:t>
            </w:r>
          </w:p>
        </w:tc>
        <w:tc>
          <w:tcPr>
            <w:tcW w:w="448" w:type="pct"/>
            <w:vAlign w:val="center"/>
          </w:tcPr>
          <w:p w14:paraId="61CD6F75">
            <w:pPr>
              <w:kinsoku w:val="0"/>
              <w:overflowPunct w:val="0"/>
              <w:spacing w:line="240" w:lineRule="auto"/>
              <w:ind w:firstLine="0" w:firstLineChars="0"/>
              <w:jc w:val="center"/>
              <w:rPr>
                <w:color w:val="auto"/>
                <w:sz w:val="21"/>
                <w:szCs w:val="21"/>
              </w:rPr>
            </w:pPr>
            <w:r>
              <w:rPr>
                <w:rFonts w:hint="eastAsia"/>
                <w:color w:val="auto"/>
                <w:sz w:val="21"/>
                <w:szCs w:val="21"/>
              </w:rPr>
              <w:t>0.46</w:t>
            </w:r>
          </w:p>
        </w:tc>
        <w:tc>
          <w:tcPr>
            <w:tcW w:w="405" w:type="pct"/>
            <w:gridSpan w:val="2"/>
            <w:vAlign w:val="center"/>
          </w:tcPr>
          <w:p w14:paraId="2139D57D">
            <w:pPr>
              <w:kinsoku w:val="0"/>
              <w:overflowPunct w:val="0"/>
              <w:spacing w:line="240" w:lineRule="auto"/>
              <w:ind w:firstLine="0" w:firstLineChars="0"/>
              <w:jc w:val="center"/>
              <w:rPr>
                <w:color w:val="auto"/>
                <w:sz w:val="21"/>
                <w:szCs w:val="21"/>
              </w:rPr>
            </w:pPr>
            <w:r>
              <w:rPr>
                <w:rFonts w:hint="eastAsia"/>
                <w:color w:val="auto"/>
                <w:sz w:val="21"/>
                <w:szCs w:val="21"/>
              </w:rPr>
              <w:t>2.27</w:t>
            </w:r>
          </w:p>
        </w:tc>
        <w:tc>
          <w:tcPr>
            <w:tcW w:w="442" w:type="pct"/>
            <w:vAlign w:val="center"/>
          </w:tcPr>
          <w:p w14:paraId="42BFEB29">
            <w:pPr>
              <w:kinsoku w:val="0"/>
              <w:overflowPunct w:val="0"/>
              <w:spacing w:line="240" w:lineRule="auto"/>
              <w:ind w:firstLine="0" w:firstLineChars="0"/>
              <w:jc w:val="center"/>
              <w:rPr>
                <w:color w:val="auto"/>
                <w:sz w:val="21"/>
                <w:szCs w:val="21"/>
              </w:rPr>
            </w:pPr>
            <w:r>
              <w:rPr>
                <w:rFonts w:hint="eastAsia"/>
                <w:color w:val="auto"/>
                <w:sz w:val="21"/>
                <w:szCs w:val="21"/>
              </w:rPr>
              <w:t>0.49</w:t>
            </w:r>
          </w:p>
        </w:tc>
        <w:tc>
          <w:tcPr>
            <w:tcW w:w="493" w:type="pct"/>
            <w:gridSpan w:val="2"/>
            <w:vAlign w:val="center"/>
          </w:tcPr>
          <w:p w14:paraId="57AD5A10">
            <w:pPr>
              <w:kinsoku w:val="0"/>
              <w:overflowPunct w:val="0"/>
              <w:spacing w:line="240" w:lineRule="auto"/>
              <w:ind w:firstLine="0" w:firstLineChars="0"/>
              <w:jc w:val="center"/>
              <w:rPr>
                <w:color w:val="auto"/>
                <w:sz w:val="21"/>
                <w:szCs w:val="21"/>
              </w:rPr>
            </w:pPr>
            <w:r>
              <w:rPr>
                <w:rFonts w:hint="eastAsia"/>
                <w:color w:val="auto"/>
                <w:sz w:val="21"/>
                <w:szCs w:val="21"/>
              </w:rPr>
              <w:t>0.59</w:t>
            </w:r>
          </w:p>
        </w:tc>
        <w:tc>
          <w:tcPr>
            <w:tcW w:w="434" w:type="pct"/>
            <w:shd w:val="clear" w:color="auto" w:fill="auto"/>
            <w:vAlign w:val="center"/>
          </w:tcPr>
          <w:p w14:paraId="3064ED4F">
            <w:pPr>
              <w:kinsoku w:val="0"/>
              <w:overflowPunct w:val="0"/>
              <w:spacing w:line="240" w:lineRule="auto"/>
              <w:ind w:firstLine="0" w:firstLineChars="0"/>
              <w:jc w:val="center"/>
              <w:rPr>
                <w:color w:val="auto"/>
                <w:sz w:val="21"/>
                <w:szCs w:val="21"/>
              </w:rPr>
            </w:pPr>
          </w:p>
        </w:tc>
        <w:tc>
          <w:tcPr>
            <w:tcW w:w="426" w:type="pct"/>
            <w:vAlign w:val="center"/>
          </w:tcPr>
          <w:p w14:paraId="2AF0ACD8">
            <w:pPr>
              <w:kinsoku w:val="0"/>
              <w:overflowPunct w:val="0"/>
              <w:spacing w:line="240" w:lineRule="auto"/>
              <w:ind w:firstLine="0" w:firstLineChars="0"/>
              <w:jc w:val="center"/>
              <w:rPr>
                <w:color w:val="auto"/>
                <w:sz w:val="21"/>
                <w:szCs w:val="21"/>
              </w:rPr>
            </w:pPr>
          </w:p>
        </w:tc>
        <w:tc>
          <w:tcPr>
            <w:tcW w:w="428" w:type="pct"/>
            <w:vAlign w:val="center"/>
          </w:tcPr>
          <w:p w14:paraId="6E239655">
            <w:pPr>
              <w:kinsoku w:val="0"/>
              <w:overflowPunct w:val="0"/>
              <w:spacing w:line="240" w:lineRule="auto"/>
              <w:ind w:firstLine="0" w:firstLineChars="0"/>
              <w:jc w:val="center"/>
              <w:rPr>
                <w:color w:val="auto"/>
                <w:sz w:val="21"/>
                <w:szCs w:val="21"/>
              </w:rPr>
            </w:pPr>
          </w:p>
        </w:tc>
      </w:tr>
      <w:tr w14:paraId="04E94D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205" w:type="pct"/>
            <w:vMerge w:val="continue"/>
            <w:vAlign w:val="center"/>
          </w:tcPr>
          <w:p w14:paraId="6FE6FDC8">
            <w:pPr>
              <w:pStyle w:val="34"/>
              <w:kinsoku w:val="0"/>
              <w:overflowPunct w:val="0"/>
              <w:spacing w:after="0" w:line="240" w:lineRule="auto"/>
              <w:ind w:firstLine="0" w:firstLineChars="0"/>
              <w:jc w:val="center"/>
              <w:rPr>
                <w:color w:val="auto"/>
                <w:sz w:val="21"/>
                <w:szCs w:val="21"/>
              </w:rPr>
            </w:pPr>
          </w:p>
        </w:tc>
        <w:tc>
          <w:tcPr>
            <w:tcW w:w="674" w:type="pct"/>
            <w:vMerge w:val="restart"/>
            <w:vAlign w:val="center"/>
          </w:tcPr>
          <w:p w14:paraId="0BA2E7C8">
            <w:pPr>
              <w:kinsoku w:val="0"/>
              <w:overflowPunct w:val="0"/>
              <w:spacing w:line="240" w:lineRule="auto"/>
              <w:ind w:firstLine="0" w:firstLineChars="0"/>
              <w:jc w:val="center"/>
              <w:rPr>
                <w:color w:val="auto"/>
                <w:sz w:val="21"/>
                <w:szCs w:val="21"/>
              </w:rPr>
            </w:pPr>
            <w:r>
              <w:rPr>
                <w:color w:val="auto"/>
                <w:sz w:val="21"/>
                <w:szCs w:val="21"/>
              </w:rPr>
              <w:t>环境敏感性</w:t>
            </w:r>
          </w:p>
        </w:tc>
        <w:tc>
          <w:tcPr>
            <w:tcW w:w="594" w:type="pct"/>
            <w:vMerge w:val="restart"/>
            <w:vAlign w:val="center"/>
          </w:tcPr>
          <w:p w14:paraId="03A29C88">
            <w:pPr>
              <w:kinsoku w:val="0"/>
              <w:overflowPunct w:val="0"/>
              <w:spacing w:line="240" w:lineRule="auto"/>
              <w:ind w:firstLine="0" w:firstLineChars="0"/>
              <w:jc w:val="center"/>
              <w:rPr>
                <w:color w:val="auto"/>
                <w:sz w:val="21"/>
                <w:szCs w:val="21"/>
              </w:rPr>
            </w:pPr>
            <w:r>
              <w:rPr>
                <w:color w:val="auto"/>
                <w:sz w:val="21"/>
                <w:szCs w:val="21"/>
              </w:rPr>
              <w:t>大气</w:t>
            </w:r>
          </w:p>
        </w:tc>
        <w:tc>
          <w:tcPr>
            <w:tcW w:w="1742" w:type="pct"/>
            <w:gridSpan w:val="6"/>
            <w:vAlign w:val="center"/>
          </w:tcPr>
          <w:p w14:paraId="105BBBB7">
            <w:pPr>
              <w:tabs>
                <w:tab w:val="left" w:pos="2622"/>
              </w:tabs>
              <w:kinsoku w:val="0"/>
              <w:overflowPunct w:val="0"/>
              <w:spacing w:line="240" w:lineRule="auto"/>
              <w:ind w:firstLine="0" w:firstLineChars="0"/>
              <w:jc w:val="center"/>
              <w:rPr>
                <w:color w:val="auto"/>
                <w:sz w:val="21"/>
                <w:szCs w:val="21"/>
              </w:rPr>
            </w:pPr>
            <w:r>
              <w:rPr>
                <w:color w:val="auto"/>
                <w:sz w:val="21"/>
                <w:szCs w:val="21"/>
              </w:rPr>
              <w:t>500m范围内人口数</w:t>
            </w:r>
            <w:r>
              <w:rPr>
                <w:rFonts w:hint="eastAsia"/>
                <w:color w:val="auto"/>
                <w:sz w:val="21"/>
                <w:szCs w:val="21"/>
              </w:rPr>
              <w:t xml:space="preserve"> </w:t>
            </w:r>
            <w:r>
              <w:rPr>
                <w:rFonts w:hint="eastAsia"/>
                <w:color w:val="auto"/>
                <w:sz w:val="21"/>
                <w:szCs w:val="21"/>
                <w:u w:val="single"/>
              </w:rPr>
              <w:t xml:space="preserve">  0  </w:t>
            </w:r>
            <w:r>
              <w:rPr>
                <w:color w:val="auto"/>
                <w:sz w:val="21"/>
                <w:szCs w:val="21"/>
              </w:rPr>
              <w:t>人</w:t>
            </w:r>
          </w:p>
        </w:tc>
        <w:tc>
          <w:tcPr>
            <w:tcW w:w="1783" w:type="pct"/>
            <w:gridSpan w:val="5"/>
            <w:vAlign w:val="center"/>
          </w:tcPr>
          <w:p w14:paraId="2A3D18B3">
            <w:pPr>
              <w:tabs>
                <w:tab w:val="left" w:pos="2621"/>
              </w:tabs>
              <w:kinsoku w:val="0"/>
              <w:overflowPunct w:val="0"/>
              <w:spacing w:line="240" w:lineRule="auto"/>
              <w:ind w:firstLine="0" w:firstLineChars="0"/>
              <w:jc w:val="center"/>
              <w:rPr>
                <w:color w:val="auto"/>
                <w:sz w:val="21"/>
                <w:szCs w:val="21"/>
              </w:rPr>
            </w:pPr>
            <w:r>
              <w:rPr>
                <w:color w:val="auto"/>
                <w:sz w:val="21"/>
                <w:szCs w:val="21"/>
              </w:rPr>
              <w:t>5km范围内人口数</w:t>
            </w:r>
            <w:r>
              <w:rPr>
                <w:rFonts w:hint="eastAsia"/>
                <w:color w:val="auto"/>
                <w:sz w:val="21"/>
                <w:szCs w:val="21"/>
                <w:u w:val="single"/>
              </w:rPr>
              <w:t xml:space="preserve"> 78280 </w:t>
            </w:r>
            <w:r>
              <w:rPr>
                <w:color w:val="auto"/>
                <w:sz w:val="21"/>
                <w:szCs w:val="21"/>
              </w:rPr>
              <w:t>人</w:t>
            </w:r>
          </w:p>
        </w:tc>
      </w:tr>
      <w:tr w14:paraId="7E05D2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055CF207">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59BDA8BE">
            <w:pPr>
              <w:pStyle w:val="34"/>
              <w:kinsoku w:val="0"/>
              <w:overflowPunct w:val="0"/>
              <w:spacing w:after="0" w:line="240" w:lineRule="auto"/>
              <w:ind w:firstLine="0" w:firstLineChars="0"/>
              <w:jc w:val="center"/>
              <w:rPr>
                <w:color w:val="auto"/>
                <w:sz w:val="21"/>
                <w:szCs w:val="21"/>
              </w:rPr>
            </w:pPr>
          </w:p>
        </w:tc>
        <w:tc>
          <w:tcPr>
            <w:tcW w:w="594" w:type="pct"/>
            <w:vMerge w:val="continue"/>
            <w:vAlign w:val="center"/>
          </w:tcPr>
          <w:p w14:paraId="5BFF75AF">
            <w:pPr>
              <w:pStyle w:val="34"/>
              <w:kinsoku w:val="0"/>
              <w:overflowPunct w:val="0"/>
              <w:spacing w:after="0" w:line="240" w:lineRule="auto"/>
              <w:ind w:firstLine="0" w:firstLineChars="0"/>
              <w:jc w:val="center"/>
              <w:rPr>
                <w:color w:val="auto"/>
                <w:sz w:val="21"/>
                <w:szCs w:val="21"/>
              </w:rPr>
            </w:pPr>
          </w:p>
        </w:tc>
        <w:tc>
          <w:tcPr>
            <w:tcW w:w="2670" w:type="pct"/>
            <w:gridSpan w:val="9"/>
            <w:vAlign w:val="center"/>
          </w:tcPr>
          <w:p w14:paraId="7252B3A8">
            <w:pPr>
              <w:kinsoku w:val="0"/>
              <w:overflowPunct w:val="0"/>
              <w:spacing w:line="240" w:lineRule="auto"/>
              <w:ind w:firstLine="0" w:firstLineChars="0"/>
              <w:jc w:val="center"/>
              <w:rPr>
                <w:color w:val="auto"/>
                <w:sz w:val="21"/>
                <w:szCs w:val="21"/>
              </w:rPr>
            </w:pPr>
            <w:r>
              <w:rPr>
                <w:color w:val="auto"/>
                <w:spacing w:val="2"/>
                <w:sz w:val="21"/>
                <w:szCs w:val="21"/>
              </w:rPr>
              <w:t>每公里管段周边</w:t>
            </w:r>
            <w:r>
              <w:rPr>
                <w:color w:val="auto"/>
                <w:sz w:val="21"/>
                <w:szCs w:val="21"/>
              </w:rPr>
              <w:t>200m范围内人口数（最大）</w:t>
            </w:r>
          </w:p>
        </w:tc>
        <w:tc>
          <w:tcPr>
            <w:tcW w:w="855" w:type="pct"/>
            <w:gridSpan w:val="2"/>
            <w:vAlign w:val="center"/>
          </w:tcPr>
          <w:p w14:paraId="69C32240">
            <w:pPr>
              <w:tabs>
                <w:tab w:val="left" w:pos="1090"/>
              </w:tabs>
              <w:kinsoku w:val="0"/>
              <w:overflowPunct w:val="0"/>
              <w:spacing w:line="240" w:lineRule="auto"/>
              <w:ind w:firstLine="0" w:firstLineChars="0"/>
              <w:jc w:val="center"/>
              <w:rPr>
                <w:color w:val="auto"/>
                <w:sz w:val="21"/>
                <w:szCs w:val="21"/>
              </w:rPr>
            </w:pPr>
            <w:r>
              <w:rPr>
                <w:color w:val="auto"/>
                <w:sz w:val="21"/>
                <w:szCs w:val="21"/>
              </w:rPr>
              <w:t>人</w:t>
            </w:r>
          </w:p>
        </w:tc>
      </w:tr>
      <w:tr w14:paraId="718009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406C7618">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1BFB5A27">
            <w:pPr>
              <w:pStyle w:val="34"/>
              <w:kinsoku w:val="0"/>
              <w:overflowPunct w:val="0"/>
              <w:spacing w:after="0" w:line="240" w:lineRule="auto"/>
              <w:ind w:firstLine="0" w:firstLineChars="0"/>
              <w:jc w:val="center"/>
              <w:rPr>
                <w:color w:val="auto"/>
                <w:sz w:val="21"/>
                <w:szCs w:val="21"/>
              </w:rPr>
            </w:pPr>
          </w:p>
        </w:tc>
        <w:tc>
          <w:tcPr>
            <w:tcW w:w="594" w:type="pct"/>
            <w:vMerge w:val="restart"/>
            <w:vAlign w:val="center"/>
          </w:tcPr>
          <w:p w14:paraId="14BE3F12">
            <w:pPr>
              <w:kinsoku w:val="0"/>
              <w:overflowPunct w:val="0"/>
              <w:spacing w:line="240" w:lineRule="auto"/>
              <w:ind w:firstLine="0" w:firstLineChars="0"/>
              <w:jc w:val="center"/>
              <w:rPr>
                <w:color w:val="auto"/>
                <w:sz w:val="21"/>
                <w:szCs w:val="21"/>
              </w:rPr>
            </w:pPr>
            <w:r>
              <w:rPr>
                <w:color w:val="auto"/>
                <w:sz w:val="21"/>
                <w:szCs w:val="21"/>
              </w:rPr>
              <w:t>地表水</w:t>
            </w:r>
          </w:p>
        </w:tc>
        <w:tc>
          <w:tcPr>
            <w:tcW w:w="944" w:type="pct"/>
            <w:gridSpan w:val="4"/>
            <w:vAlign w:val="center"/>
          </w:tcPr>
          <w:p w14:paraId="61865228">
            <w:pPr>
              <w:kinsoku w:val="0"/>
              <w:overflowPunct w:val="0"/>
              <w:spacing w:line="240" w:lineRule="auto"/>
              <w:ind w:firstLine="0" w:firstLineChars="0"/>
              <w:jc w:val="center"/>
              <w:rPr>
                <w:color w:val="auto"/>
                <w:sz w:val="21"/>
                <w:szCs w:val="21"/>
              </w:rPr>
            </w:pPr>
            <w:r>
              <w:rPr>
                <w:color w:val="auto"/>
                <w:sz w:val="21"/>
                <w:szCs w:val="21"/>
              </w:rPr>
              <w:t>地表水功能敏感性</w:t>
            </w:r>
          </w:p>
        </w:tc>
        <w:tc>
          <w:tcPr>
            <w:tcW w:w="798" w:type="pct"/>
            <w:gridSpan w:val="2"/>
            <w:vAlign w:val="center"/>
          </w:tcPr>
          <w:p w14:paraId="790AA058">
            <w:pPr>
              <w:kinsoku w:val="0"/>
              <w:overflowPunct w:val="0"/>
              <w:spacing w:line="240" w:lineRule="auto"/>
              <w:ind w:firstLine="0" w:firstLineChars="0"/>
              <w:jc w:val="center"/>
              <w:rPr>
                <w:color w:val="auto"/>
                <w:sz w:val="21"/>
                <w:szCs w:val="21"/>
              </w:rPr>
            </w:pPr>
            <w:r>
              <w:rPr>
                <w:color w:val="auto"/>
                <w:sz w:val="21"/>
                <w:szCs w:val="21"/>
              </w:rPr>
              <w:t>F1□</w:t>
            </w:r>
          </w:p>
        </w:tc>
        <w:tc>
          <w:tcPr>
            <w:tcW w:w="928" w:type="pct"/>
            <w:gridSpan w:val="3"/>
            <w:vAlign w:val="center"/>
          </w:tcPr>
          <w:p w14:paraId="27B64BAD">
            <w:pPr>
              <w:kinsoku w:val="0"/>
              <w:overflowPunct w:val="0"/>
              <w:spacing w:line="240" w:lineRule="auto"/>
              <w:ind w:firstLine="0" w:firstLineChars="0"/>
              <w:jc w:val="center"/>
              <w:rPr>
                <w:color w:val="auto"/>
                <w:sz w:val="21"/>
                <w:szCs w:val="21"/>
              </w:rPr>
            </w:pPr>
            <w:r>
              <w:rPr>
                <w:color w:val="auto"/>
                <w:sz w:val="21"/>
                <w:szCs w:val="21"/>
              </w:rPr>
              <w:t>F2</w:t>
            </w:r>
            <w:r>
              <w:rPr>
                <w:rFonts w:hint="eastAsia"/>
                <w:color w:val="auto"/>
                <w:sz w:val="21"/>
                <w:szCs w:val="21"/>
              </w:rPr>
              <w:t>☑</w:t>
            </w:r>
          </w:p>
        </w:tc>
        <w:tc>
          <w:tcPr>
            <w:tcW w:w="855" w:type="pct"/>
            <w:gridSpan w:val="2"/>
            <w:vAlign w:val="center"/>
          </w:tcPr>
          <w:p w14:paraId="1782017E">
            <w:pPr>
              <w:kinsoku w:val="0"/>
              <w:overflowPunct w:val="0"/>
              <w:spacing w:line="240" w:lineRule="auto"/>
              <w:ind w:firstLine="0" w:firstLineChars="0"/>
              <w:jc w:val="center"/>
              <w:rPr>
                <w:color w:val="auto"/>
                <w:sz w:val="21"/>
                <w:szCs w:val="21"/>
              </w:rPr>
            </w:pPr>
            <w:r>
              <w:rPr>
                <w:color w:val="auto"/>
                <w:sz w:val="21"/>
                <w:szCs w:val="21"/>
              </w:rPr>
              <w:t>F3□</w:t>
            </w:r>
          </w:p>
        </w:tc>
      </w:tr>
      <w:tr w14:paraId="318BA1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205" w:type="pct"/>
            <w:vMerge w:val="continue"/>
            <w:vAlign w:val="center"/>
          </w:tcPr>
          <w:p w14:paraId="5806CA2F">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17874CC3">
            <w:pPr>
              <w:pStyle w:val="34"/>
              <w:kinsoku w:val="0"/>
              <w:overflowPunct w:val="0"/>
              <w:spacing w:after="0" w:line="240" w:lineRule="auto"/>
              <w:ind w:firstLine="0" w:firstLineChars="0"/>
              <w:jc w:val="center"/>
              <w:rPr>
                <w:color w:val="auto"/>
                <w:sz w:val="21"/>
                <w:szCs w:val="21"/>
              </w:rPr>
            </w:pPr>
          </w:p>
        </w:tc>
        <w:tc>
          <w:tcPr>
            <w:tcW w:w="594" w:type="pct"/>
            <w:vMerge w:val="continue"/>
            <w:vAlign w:val="center"/>
          </w:tcPr>
          <w:p w14:paraId="3C988698">
            <w:pPr>
              <w:pStyle w:val="34"/>
              <w:kinsoku w:val="0"/>
              <w:overflowPunct w:val="0"/>
              <w:spacing w:after="0" w:line="240" w:lineRule="auto"/>
              <w:ind w:firstLine="0" w:firstLineChars="0"/>
              <w:jc w:val="center"/>
              <w:rPr>
                <w:color w:val="auto"/>
                <w:sz w:val="21"/>
                <w:szCs w:val="21"/>
              </w:rPr>
            </w:pPr>
          </w:p>
        </w:tc>
        <w:tc>
          <w:tcPr>
            <w:tcW w:w="944" w:type="pct"/>
            <w:gridSpan w:val="4"/>
            <w:vAlign w:val="center"/>
          </w:tcPr>
          <w:p w14:paraId="42704013">
            <w:pPr>
              <w:kinsoku w:val="0"/>
              <w:overflowPunct w:val="0"/>
              <w:spacing w:line="240" w:lineRule="auto"/>
              <w:ind w:firstLine="0" w:firstLineChars="0"/>
              <w:jc w:val="center"/>
              <w:rPr>
                <w:color w:val="auto"/>
                <w:sz w:val="21"/>
                <w:szCs w:val="21"/>
              </w:rPr>
            </w:pPr>
            <w:r>
              <w:rPr>
                <w:color w:val="auto"/>
                <w:sz w:val="21"/>
                <w:szCs w:val="21"/>
              </w:rPr>
              <w:t>环境敏感目标分级</w:t>
            </w:r>
          </w:p>
        </w:tc>
        <w:tc>
          <w:tcPr>
            <w:tcW w:w="798" w:type="pct"/>
            <w:gridSpan w:val="2"/>
            <w:vAlign w:val="center"/>
          </w:tcPr>
          <w:p w14:paraId="6756DDFC">
            <w:pPr>
              <w:kinsoku w:val="0"/>
              <w:overflowPunct w:val="0"/>
              <w:spacing w:line="240" w:lineRule="auto"/>
              <w:ind w:firstLine="0" w:firstLineChars="0"/>
              <w:jc w:val="center"/>
              <w:rPr>
                <w:color w:val="auto"/>
                <w:sz w:val="21"/>
                <w:szCs w:val="21"/>
              </w:rPr>
            </w:pPr>
            <w:r>
              <w:rPr>
                <w:color w:val="auto"/>
                <w:sz w:val="21"/>
                <w:szCs w:val="21"/>
              </w:rPr>
              <w:t>S1□</w:t>
            </w:r>
          </w:p>
        </w:tc>
        <w:tc>
          <w:tcPr>
            <w:tcW w:w="928" w:type="pct"/>
            <w:gridSpan w:val="3"/>
            <w:vAlign w:val="center"/>
          </w:tcPr>
          <w:p w14:paraId="0A8EF886">
            <w:pPr>
              <w:kinsoku w:val="0"/>
              <w:overflowPunct w:val="0"/>
              <w:spacing w:line="240" w:lineRule="auto"/>
              <w:ind w:firstLine="0" w:firstLineChars="0"/>
              <w:jc w:val="center"/>
              <w:rPr>
                <w:color w:val="auto"/>
                <w:sz w:val="21"/>
                <w:szCs w:val="21"/>
              </w:rPr>
            </w:pPr>
            <w:r>
              <w:rPr>
                <w:color w:val="auto"/>
                <w:sz w:val="21"/>
                <w:szCs w:val="21"/>
              </w:rPr>
              <w:t>S2□</w:t>
            </w:r>
          </w:p>
        </w:tc>
        <w:tc>
          <w:tcPr>
            <w:tcW w:w="855" w:type="pct"/>
            <w:gridSpan w:val="2"/>
            <w:vAlign w:val="center"/>
          </w:tcPr>
          <w:p w14:paraId="29E0D657">
            <w:pPr>
              <w:kinsoku w:val="0"/>
              <w:overflowPunct w:val="0"/>
              <w:spacing w:line="240" w:lineRule="auto"/>
              <w:ind w:firstLine="0" w:firstLineChars="0"/>
              <w:jc w:val="center"/>
              <w:rPr>
                <w:color w:val="auto"/>
                <w:sz w:val="21"/>
                <w:szCs w:val="21"/>
              </w:rPr>
            </w:pPr>
            <w:r>
              <w:rPr>
                <w:color w:val="auto"/>
                <w:sz w:val="21"/>
                <w:szCs w:val="21"/>
              </w:rPr>
              <w:t>S3</w:t>
            </w:r>
            <w:r>
              <w:rPr>
                <w:rFonts w:hint="eastAsia"/>
                <w:color w:val="auto"/>
                <w:sz w:val="21"/>
                <w:szCs w:val="21"/>
              </w:rPr>
              <w:t>☑</w:t>
            </w:r>
          </w:p>
        </w:tc>
      </w:tr>
      <w:tr w14:paraId="7441E5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54B1E49A">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479BD1D2">
            <w:pPr>
              <w:pStyle w:val="34"/>
              <w:kinsoku w:val="0"/>
              <w:overflowPunct w:val="0"/>
              <w:spacing w:after="0" w:line="240" w:lineRule="auto"/>
              <w:ind w:firstLine="0" w:firstLineChars="0"/>
              <w:jc w:val="center"/>
              <w:rPr>
                <w:color w:val="auto"/>
                <w:sz w:val="21"/>
                <w:szCs w:val="21"/>
              </w:rPr>
            </w:pPr>
          </w:p>
        </w:tc>
        <w:tc>
          <w:tcPr>
            <w:tcW w:w="594" w:type="pct"/>
            <w:vMerge w:val="restart"/>
            <w:vAlign w:val="center"/>
          </w:tcPr>
          <w:p w14:paraId="3FCD3204">
            <w:pPr>
              <w:kinsoku w:val="0"/>
              <w:overflowPunct w:val="0"/>
              <w:spacing w:line="240" w:lineRule="auto"/>
              <w:ind w:firstLine="0" w:firstLineChars="0"/>
              <w:jc w:val="center"/>
              <w:rPr>
                <w:color w:val="auto"/>
                <w:sz w:val="21"/>
                <w:szCs w:val="21"/>
              </w:rPr>
            </w:pPr>
            <w:r>
              <w:rPr>
                <w:color w:val="auto"/>
                <w:sz w:val="21"/>
                <w:szCs w:val="21"/>
              </w:rPr>
              <w:t>地下水</w:t>
            </w:r>
          </w:p>
        </w:tc>
        <w:tc>
          <w:tcPr>
            <w:tcW w:w="944" w:type="pct"/>
            <w:gridSpan w:val="4"/>
            <w:vAlign w:val="center"/>
          </w:tcPr>
          <w:p w14:paraId="3E049D4B">
            <w:pPr>
              <w:kinsoku w:val="0"/>
              <w:overflowPunct w:val="0"/>
              <w:spacing w:line="240" w:lineRule="auto"/>
              <w:ind w:firstLine="0" w:firstLineChars="0"/>
              <w:jc w:val="center"/>
              <w:rPr>
                <w:color w:val="auto"/>
                <w:sz w:val="21"/>
                <w:szCs w:val="21"/>
              </w:rPr>
            </w:pPr>
            <w:r>
              <w:rPr>
                <w:color w:val="auto"/>
                <w:sz w:val="21"/>
                <w:szCs w:val="21"/>
              </w:rPr>
              <w:t>地下水功能敏感性</w:t>
            </w:r>
          </w:p>
        </w:tc>
        <w:tc>
          <w:tcPr>
            <w:tcW w:w="798" w:type="pct"/>
            <w:gridSpan w:val="2"/>
            <w:vAlign w:val="center"/>
          </w:tcPr>
          <w:p w14:paraId="521317EB">
            <w:pPr>
              <w:kinsoku w:val="0"/>
              <w:overflowPunct w:val="0"/>
              <w:spacing w:line="240" w:lineRule="auto"/>
              <w:ind w:firstLine="0" w:firstLineChars="0"/>
              <w:jc w:val="center"/>
              <w:rPr>
                <w:color w:val="auto"/>
                <w:sz w:val="21"/>
                <w:szCs w:val="21"/>
              </w:rPr>
            </w:pPr>
            <w:r>
              <w:rPr>
                <w:color w:val="auto"/>
                <w:sz w:val="21"/>
                <w:szCs w:val="21"/>
              </w:rPr>
              <w:t>G1□</w:t>
            </w:r>
          </w:p>
        </w:tc>
        <w:tc>
          <w:tcPr>
            <w:tcW w:w="928" w:type="pct"/>
            <w:gridSpan w:val="3"/>
            <w:vAlign w:val="center"/>
          </w:tcPr>
          <w:p w14:paraId="41896BC3">
            <w:pPr>
              <w:kinsoku w:val="0"/>
              <w:overflowPunct w:val="0"/>
              <w:spacing w:line="240" w:lineRule="auto"/>
              <w:ind w:firstLine="0" w:firstLineChars="0"/>
              <w:jc w:val="center"/>
              <w:rPr>
                <w:color w:val="auto"/>
                <w:sz w:val="21"/>
                <w:szCs w:val="21"/>
              </w:rPr>
            </w:pPr>
            <w:r>
              <w:rPr>
                <w:color w:val="auto"/>
                <w:sz w:val="21"/>
                <w:szCs w:val="21"/>
              </w:rPr>
              <w:t>G2□</w:t>
            </w:r>
          </w:p>
        </w:tc>
        <w:tc>
          <w:tcPr>
            <w:tcW w:w="855" w:type="pct"/>
            <w:gridSpan w:val="2"/>
            <w:vAlign w:val="center"/>
          </w:tcPr>
          <w:p w14:paraId="4FF7E610">
            <w:pPr>
              <w:kinsoku w:val="0"/>
              <w:overflowPunct w:val="0"/>
              <w:spacing w:line="240" w:lineRule="auto"/>
              <w:ind w:firstLine="0" w:firstLineChars="0"/>
              <w:jc w:val="center"/>
              <w:rPr>
                <w:color w:val="auto"/>
                <w:sz w:val="21"/>
                <w:szCs w:val="21"/>
              </w:rPr>
            </w:pPr>
            <w:r>
              <w:rPr>
                <w:color w:val="auto"/>
                <w:sz w:val="21"/>
                <w:szCs w:val="21"/>
              </w:rPr>
              <w:t>G3</w:t>
            </w:r>
            <w:r>
              <w:rPr>
                <w:rFonts w:hint="eastAsia"/>
                <w:color w:val="auto"/>
                <w:sz w:val="21"/>
                <w:szCs w:val="21"/>
              </w:rPr>
              <w:t>☑</w:t>
            </w:r>
          </w:p>
        </w:tc>
      </w:tr>
      <w:tr w14:paraId="7E8BDB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1F1EA771">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760A54B7">
            <w:pPr>
              <w:pStyle w:val="34"/>
              <w:kinsoku w:val="0"/>
              <w:overflowPunct w:val="0"/>
              <w:spacing w:after="0" w:line="240" w:lineRule="auto"/>
              <w:ind w:firstLine="0" w:firstLineChars="0"/>
              <w:jc w:val="center"/>
              <w:rPr>
                <w:color w:val="auto"/>
                <w:sz w:val="21"/>
                <w:szCs w:val="21"/>
              </w:rPr>
            </w:pPr>
          </w:p>
        </w:tc>
        <w:tc>
          <w:tcPr>
            <w:tcW w:w="594" w:type="pct"/>
            <w:vMerge w:val="continue"/>
            <w:vAlign w:val="center"/>
          </w:tcPr>
          <w:p w14:paraId="0560F94E">
            <w:pPr>
              <w:pStyle w:val="34"/>
              <w:kinsoku w:val="0"/>
              <w:overflowPunct w:val="0"/>
              <w:spacing w:after="0" w:line="240" w:lineRule="auto"/>
              <w:ind w:firstLine="0" w:firstLineChars="0"/>
              <w:jc w:val="center"/>
              <w:rPr>
                <w:color w:val="auto"/>
                <w:sz w:val="21"/>
                <w:szCs w:val="21"/>
              </w:rPr>
            </w:pPr>
          </w:p>
        </w:tc>
        <w:tc>
          <w:tcPr>
            <w:tcW w:w="944" w:type="pct"/>
            <w:gridSpan w:val="4"/>
            <w:vAlign w:val="center"/>
          </w:tcPr>
          <w:p w14:paraId="7448CC85">
            <w:pPr>
              <w:kinsoku w:val="0"/>
              <w:overflowPunct w:val="0"/>
              <w:spacing w:line="240" w:lineRule="auto"/>
              <w:ind w:firstLine="0" w:firstLineChars="0"/>
              <w:jc w:val="center"/>
              <w:rPr>
                <w:color w:val="auto"/>
                <w:sz w:val="21"/>
                <w:szCs w:val="21"/>
              </w:rPr>
            </w:pPr>
            <w:r>
              <w:rPr>
                <w:color w:val="auto"/>
                <w:sz w:val="21"/>
                <w:szCs w:val="21"/>
              </w:rPr>
              <w:t>包气带防污性能</w:t>
            </w:r>
          </w:p>
        </w:tc>
        <w:tc>
          <w:tcPr>
            <w:tcW w:w="798" w:type="pct"/>
            <w:gridSpan w:val="2"/>
            <w:vAlign w:val="center"/>
          </w:tcPr>
          <w:p w14:paraId="27DB0A72">
            <w:pPr>
              <w:kinsoku w:val="0"/>
              <w:overflowPunct w:val="0"/>
              <w:spacing w:line="240" w:lineRule="auto"/>
              <w:ind w:firstLine="0" w:firstLineChars="0"/>
              <w:jc w:val="center"/>
              <w:rPr>
                <w:color w:val="auto"/>
                <w:sz w:val="21"/>
                <w:szCs w:val="21"/>
              </w:rPr>
            </w:pPr>
            <w:r>
              <w:rPr>
                <w:color w:val="auto"/>
                <w:sz w:val="21"/>
                <w:szCs w:val="21"/>
              </w:rPr>
              <w:t>D1□</w:t>
            </w:r>
          </w:p>
        </w:tc>
        <w:tc>
          <w:tcPr>
            <w:tcW w:w="928" w:type="pct"/>
            <w:gridSpan w:val="3"/>
            <w:vAlign w:val="center"/>
          </w:tcPr>
          <w:p w14:paraId="192C8245">
            <w:pPr>
              <w:kinsoku w:val="0"/>
              <w:overflowPunct w:val="0"/>
              <w:spacing w:line="240" w:lineRule="auto"/>
              <w:ind w:firstLine="0" w:firstLineChars="0"/>
              <w:jc w:val="center"/>
              <w:rPr>
                <w:color w:val="auto"/>
                <w:sz w:val="21"/>
                <w:szCs w:val="21"/>
              </w:rPr>
            </w:pPr>
            <w:r>
              <w:rPr>
                <w:color w:val="auto"/>
                <w:sz w:val="21"/>
                <w:szCs w:val="21"/>
              </w:rPr>
              <w:t>D2</w:t>
            </w:r>
            <w:r>
              <w:rPr>
                <w:rFonts w:hint="eastAsia"/>
                <w:color w:val="auto"/>
                <w:sz w:val="21"/>
                <w:szCs w:val="21"/>
              </w:rPr>
              <w:t>☑</w:t>
            </w:r>
          </w:p>
        </w:tc>
        <w:tc>
          <w:tcPr>
            <w:tcW w:w="855" w:type="pct"/>
            <w:gridSpan w:val="2"/>
            <w:vAlign w:val="center"/>
          </w:tcPr>
          <w:p w14:paraId="5B8E5626">
            <w:pPr>
              <w:kinsoku w:val="0"/>
              <w:overflowPunct w:val="0"/>
              <w:spacing w:line="240" w:lineRule="auto"/>
              <w:ind w:firstLine="0" w:firstLineChars="0"/>
              <w:jc w:val="center"/>
              <w:rPr>
                <w:color w:val="auto"/>
                <w:sz w:val="21"/>
                <w:szCs w:val="21"/>
              </w:rPr>
            </w:pPr>
            <w:r>
              <w:rPr>
                <w:color w:val="auto"/>
                <w:sz w:val="21"/>
                <w:szCs w:val="21"/>
              </w:rPr>
              <w:t>D3□</w:t>
            </w:r>
          </w:p>
        </w:tc>
      </w:tr>
      <w:tr w14:paraId="12F31A5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879" w:type="pct"/>
            <w:gridSpan w:val="2"/>
            <w:vMerge w:val="restart"/>
            <w:vAlign w:val="center"/>
          </w:tcPr>
          <w:p w14:paraId="567B3151">
            <w:pPr>
              <w:kinsoku w:val="0"/>
              <w:overflowPunct w:val="0"/>
              <w:spacing w:line="240" w:lineRule="auto"/>
              <w:ind w:firstLine="0" w:firstLineChars="0"/>
              <w:jc w:val="center"/>
              <w:rPr>
                <w:color w:val="auto"/>
                <w:sz w:val="21"/>
                <w:szCs w:val="21"/>
              </w:rPr>
            </w:pPr>
            <w:r>
              <w:rPr>
                <w:color w:val="auto"/>
                <w:spacing w:val="-1"/>
                <w:sz w:val="21"/>
                <w:szCs w:val="21"/>
              </w:rPr>
              <w:t>物质及工艺系统</w:t>
            </w:r>
            <w:r>
              <w:rPr>
                <w:color w:val="auto"/>
                <w:sz w:val="21"/>
                <w:szCs w:val="21"/>
              </w:rPr>
              <w:t>危险性</w:t>
            </w:r>
          </w:p>
        </w:tc>
        <w:tc>
          <w:tcPr>
            <w:tcW w:w="594" w:type="pct"/>
            <w:vAlign w:val="center"/>
          </w:tcPr>
          <w:p w14:paraId="4F1FC9F7">
            <w:pPr>
              <w:kinsoku w:val="0"/>
              <w:overflowPunct w:val="0"/>
              <w:spacing w:line="240" w:lineRule="auto"/>
              <w:ind w:firstLine="0" w:firstLineChars="0"/>
              <w:jc w:val="center"/>
              <w:rPr>
                <w:color w:val="auto"/>
                <w:sz w:val="21"/>
                <w:szCs w:val="21"/>
              </w:rPr>
            </w:pPr>
            <w:r>
              <w:rPr>
                <w:i/>
                <w:iCs/>
                <w:color w:val="auto"/>
                <w:sz w:val="21"/>
                <w:szCs w:val="21"/>
              </w:rPr>
              <w:t>Q</w:t>
            </w:r>
            <w:r>
              <w:rPr>
                <w:color w:val="auto"/>
                <w:sz w:val="21"/>
                <w:szCs w:val="21"/>
              </w:rPr>
              <w:t>值</w:t>
            </w:r>
          </w:p>
        </w:tc>
        <w:tc>
          <w:tcPr>
            <w:tcW w:w="944" w:type="pct"/>
            <w:gridSpan w:val="4"/>
            <w:vAlign w:val="center"/>
          </w:tcPr>
          <w:p w14:paraId="1193E4E5">
            <w:pPr>
              <w:kinsoku w:val="0"/>
              <w:overflowPunct w:val="0"/>
              <w:spacing w:line="240" w:lineRule="auto"/>
              <w:ind w:firstLine="0" w:firstLineChars="0"/>
              <w:jc w:val="center"/>
              <w:rPr>
                <w:color w:val="auto"/>
                <w:sz w:val="21"/>
                <w:szCs w:val="21"/>
              </w:rPr>
            </w:pPr>
            <w:r>
              <w:rPr>
                <w:i/>
                <w:iCs/>
                <w:color w:val="auto"/>
                <w:sz w:val="21"/>
                <w:szCs w:val="21"/>
              </w:rPr>
              <w:t>Q</w:t>
            </w:r>
            <w:r>
              <w:rPr>
                <w:rFonts w:hint="eastAsia"/>
                <w:i/>
                <w:iCs/>
                <w:color w:val="auto"/>
                <w:sz w:val="21"/>
                <w:szCs w:val="21"/>
              </w:rPr>
              <w:t>&lt;</w:t>
            </w:r>
            <w:r>
              <w:rPr>
                <w:color w:val="auto"/>
                <w:sz w:val="21"/>
                <w:szCs w:val="21"/>
              </w:rPr>
              <w:t>1</w:t>
            </w:r>
            <w:r>
              <w:rPr>
                <w:rFonts w:hint="eastAsia"/>
                <w:color w:val="auto"/>
                <w:sz w:val="21"/>
                <w:szCs w:val="21"/>
              </w:rPr>
              <w:t>□</w:t>
            </w:r>
          </w:p>
        </w:tc>
        <w:tc>
          <w:tcPr>
            <w:tcW w:w="798" w:type="pct"/>
            <w:gridSpan w:val="2"/>
            <w:vAlign w:val="center"/>
          </w:tcPr>
          <w:p w14:paraId="71C0E8B3">
            <w:pPr>
              <w:kinsoku w:val="0"/>
              <w:overflowPunct w:val="0"/>
              <w:spacing w:line="240" w:lineRule="auto"/>
              <w:ind w:firstLine="0" w:firstLineChars="0"/>
              <w:jc w:val="center"/>
              <w:rPr>
                <w:color w:val="auto"/>
                <w:sz w:val="21"/>
                <w:szCs w:val="21"/>
              </w:rPr>
            </w:pPr>
            <w:r>
              <w:rPr>
                <w:color w:val="auto"/>
                <w:sz w:val="21"/>
                <w:szCs w:val="21"/>
              </w:rPr>
              <w:t>1≤</w:t>
            </w:r>
            <w:r>
              <w:rPr>
                <w:i/>
                <w:iCs/>
                <w:color w:val="auto"/>
                <w:sz w:val="21"/>
                <w:szCs w:val="21"/>
              </w:rPr>
              <w:t>Q</w:t>
            </w:r>
            <w:r>
              <w:rPr>
                <w:rFonts w:hint="eastAsia"/>
                <w:i/>
                <w:iCs/>
                <w:color w:val="auto"/>
                <w:sz w:val="21"/>
                <w:szCs w:val="21"/>
              </w:rPr>
              <w:t>&lt;</w:t>
            </w:r>
            <w:r>
              <w:rPr>
                <w:color w:val="auto"/>
                <w:sz w:val="21"/>
                <w:szCs w:val="21"/>
              </w:rPr>
              <w:t>10□</w:t>
            </w:r>
          </w:p>
        </w:tc>
        <w:tc>
          <w:tcPr>
            <w:tcW w:w="928" w:type="pct"/>
            <w:gridSpan w:val="3"/>
            <w:vAlign w:val="center"/>
          </w:tcPr>
          <w:p w14:paraId="10AC0E1F">
            <w:pPr>
              <w:kinsoku w:val="0"/>
              <w:overflowPunct w:val="0"/>
              <w:spacing w:line="240" w:lineRule="auto"/>
              <w:ind w:firstLine="0" w:firstLineChars="0"/>
              <w:jc w:val="center"/>
              <w:rPr>
                <w:color w:val="auto"/>
                <w:sz w:val="21"/>
                <w:szCs w:val="21"/>
              </w:rPr>
            </w:pPr>
            <w:r>
              <w:rPr>
                <w:color w:val="auto"/>
                <w:sz w:val="21"/>
                <w:szCs w:val="21"/>
              </w:rPr>
              <w:t>10≤</w:t>
            </w:r>
            <w:r>
              <w:rPr>
                <w:i/>
                <w:iCs/>
                <w:color w:val="auto"/>
                <w:sz w:val="21"/>
                <w:szCs w:val="21"/>
              </w:rPr>
              <w:t>Q</w:t>
            </w:r>
            <w:r>
              <w:rPr>
                <w:rFonts w:hint="eastAsia"/>
                <w:i/>
                <w:iCs/>
                <w:color w:val="auto"/>
                <w:sz w:val="21"/>
                <w:szCs w:val="21"/>
              </w:rPr>
              <w:t>&lt;</w:t>
            </w:r>
            <w:r>
              <w:rPr>
                <w:color w:val="auto"/>
                <w:sz w:val="21"/>
                <w:szCs w:val="21"/>
              </w:rPr>
              <w:t>100</w:t>
            </w:r>
            <w:r>
              <w:rPr>
                <w:rFonts w:hint="eastAsia"/>
                <w:color w:val="auto"/>
                <w:sz w:val="21"/>
                <w:szCs w:val="21"/>
              </w:rPr>
              <w:t>☑</w:t>
            </w:r>
          </w:p>
        </w:tc>
        <w:tc>
          <w:tcPr>
            <w:tcW w:w="855" w:type="pct"/>
            <w:gridSpan w:val="2"/>
            <w:vAlign w:val="center"/>
          </w:tcPr>
          <w:p w14:paraId="33A66EBD">
            <w:pPr>
              <w:kinsoku w:val="0"/>
              <w:overflowPunct w:val="0"/>
              <w:spacing w:line="240" w:lineRule="auto"/>
              <w:ind w:firstLine="0" w:firstLineChars="0"/>
              <w:jc w:val="center"/>
              <w:rPr>
                <w:color w:val="auto"/>
                <w:sz w:val="21"/>
                <w:szCs w:val="21"/>
              </w:rPr>
            </w:pPr>
            <w:r>
              <w:rPr>
                <w:i/>
                <w:iCs/>
                <w:color w:val="auto"/>
                <w:sz w:val="21"/>
                <w:szCs w:val="21"/>
              </w:rPr>
              <w:t>Q</w:t>
            </w:r>
            <w:r>
              <w:rPr>
                <w:rFonts w:hint="eastAsia"/>
                <w:i/>
                <w:iCs/>
                <w:color w:val="auto"/>
                <w:sz w:val="21"/>
                <w:szCs w:val="21"/>
              </w:rPr>
              <w:t>&gt;</w:t>
            </w:r>
            <w:r>
              <w:rPr>
                <w:color w:val="auto"/>
                <w:sz w:val="21"/>
                <w:szCs w:val="21"/>
              </w:rPr>
              <w:t>100□</w:t>
            </w:r>
          </w:p>
        </w:tc>
      </w:tr>
      <w:tr w14:paraId="59135F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Merge w:val="continue"/>
            <w:vAlign w:val="center"/>
          </w:tcPr>
          <w:p w14:paraId="13460845">
            <w:pPr>
              <w:pStyle w:val="34"/>
              <w:kinsoku w:val="0"/>
              <w:overflowPunct w:val="0"/>
              <w:spacing w:after="0" w:line="240" w:lineRule="auto"/>
              <w:ind w:firstLine="0" w:firstLineChars="0"/>
              <w:jc w:val="center"/>
              <w:rPr>
                <w:color w:val="auto"/>
                <w:sz w:val="21"/>
                <w:szCs w:val="21"/>
              </w:rPr>
            </w:pPr>
          </w:p>
        </w:tc>
        <w:tc>
          <w:tcPr>
            <w:tcW w:w="594" w:type="pct"/>
            <w:vAlign w:val="center"/>
          </w:tcPr>
          <w:p w14:paraId="00B80D4C">
            <w:pPr>
              <w:kinsoku w:val="0"/>
              <w:overflowPunct w:val="0"/>
              <w:spacing w:line="240" w:lineRule="auto"/>
              <w:ind w:firstLine="0" w:firstLineChars="0"/>
              <w:jc w:val="center"/>
              <w:rPr>
                <w:color w:val="auto"/>
                <w:sz w:val="21"/>
                <w:szCs w:val="21"/>
              </w:rPr>
            </w:pPr>
            <w:r>
              <w:rPr>
                <w:color w:val="auto"/>
                <w:sz w:val="21"/>
                <w:szCs w:val="21"/>
              </w:rPr>
              <w:t>M值</w:t>
            </w:r>
          </w:p>
        </w:tc>
        <w:tc>
          <w:tcPr>
            <w:tcW w:w="944" w:type="pct"/>
            <w:gridSpan w:val="4"/>
            <w:vAlign w:val="center"/>
          </w:tcPr>
          <w:p w14:paraId="2FE2C200">
            <w:pPr>
              <w:kinsoku w:val="0"/>
              <w:overflowPunct w:val="0"/>
              <w:spacing w:line="240" w:lineRule="auto"/>
              <w:ind w:firstLine="0" w:firstLineChars="0"/>
              <w:jc w:val="center"/>
              <w:rPr>
                <w:color w:val="auto"/>
                <w:sz w:val="21"/>
                <w:szCs w:val="21"/>
              </w:rPr>
            </w:pPr>
            <w:r>
              <w:rPr>
                <w:color w:val="auto"/>
                <w:sz w:val="21"/>
                <w:szCs w:val="21"/>
              </w:rPr>
              <w:t>M1□</w:t>
            </w:r>
          </w:p>
        </w:tc>
        <w:tc>
          <w:tcPr>
            <w:tcW w:w="798" w:type="pct"/>
            <w:gridSpan w:val="2"/>
            <w:vAlign w:val="center"/>
          </w:tcPr>
          <w:p w14:paraId="293945FB">
            <w:pPr>
              <w:kinsoku w:val="0"/>
              <w:overflowPunct w:val="0"/>
              <w:spacing w:line="240" w:lineRule="auto"/>
              <w:ind w:firstLine="0" w:firstLineChars="0"/>
              <w:jc w:val="center"/>
              <w:rPr>
                <w:color w:val="auto"/>
                <w:sz w:val="21"/>
                <w:szCs w:val="21"/>
              </w:rPr>
            </w:pPr>
            <w:r>
              <w:rPr>
                <w:color w:val="auto"/>
                <w:sz w:val="21"/>
                <w:szCs w:val="21"/>
              </w:rPr>
              <w:t>M2□</w:t>
            </w:r>
          </w:p>
        </w:tc>
        <w:tc>
          <w:tcPr>
            <w:tcW w:w="928" w:type="pct"/>
            <w:gridSpan w:val="3"/>
            <w:vAlign w:val="center"/>
          </w:tcPr>
          <w:p w14:paraId="153E7435">
            <w:pPr>
              <w:kinsoku w:val="0"/>
              <w:overflowPunct w:val="0"/>
              <w:spacing w:line="240" w:lineRule="auto"/>
              <w:ind w:firstLine="0" w:firstLineChars="0"/>
              <w:jc w:val="center"/>
              <w:rPr>
                <w:color w:val="auto"/>
                <w:sz w:val="21"/>
                <w:szCs w:val="21"/>
              </w:rPr>
            </w:pPr>
            <w:r>
              <w:rPr>
                <w:color w:val="auto"/>
                <w:sz w:val="21"/>
                <w:szCs w:val="21"/>
              </w:rPr>
              <w:t>M3□</w:t>
            </w:r>
          </w:p>
        </w:tc>
        <w:tc>
          <w:tcPr>
            <w:tcW w:w="855" w:type="pct"/>
            <w:gridSpan w:val="2"/>
            <w:vAlign w:val="center"/>
          </w:tcPr>
          <w:p w14:paraId="17FCD210">
            <w:pPr>
              <w:kinsoku w:val="0"/>
              <w:overflowPunct w:val="0"/>
              <w:spacing w:line="240" w:lineRule="auto"/>
              <w:ind w:firstLine="0" w:firstLineChars="0"/>
              <w:jc w:val="center"/>
              <w:rPr>
                <w:color w:val="auto"/>
                <w:sz w:val="21"/>
                <w:szCs w:val="21"/>
              </w:rPr>
            </w:pPr>
            <w:r>
              <w:rPr>
                <w:color w:val="auto"/>
                <w:sz w:val="21"/>
                <w:szCs w:val="21"/>
              </w:rPr>
              <w:t>M4</w:t>
            </w:r>
            <w:r>
              <w:rPr>
                <w:rFonts w:hint="eastAsia"/>
                <w:color w:val="auto"/>
                <w:sz w:val="21"/>
                <w:szCs w:val="21"/>
              </w:rPr>
              <w:t>☑</w:t>
            </w:r>
          </w:p>
        </w:tc>
      </w:tr>
      <w:tr w14:paraId="70606A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Merge w:val="continue"/>
            <w:vAlign w:val="center"/>
          </w:tcPr>
          <w:p w14:paraId="5743B616">
            <w:pPr>
              <w:pStyle w:val="34"/>
              <w:kinsoku w:val="0"/>
              <w:overflowPunct w:val="0"/>
              <w:spacing w:after="0" w:line="240" w:lineRule="auto"/>
              <w:ind w:firstLine="0" w:firstLineChars="0"/>
              <w:jc w:val="center"/>
              <w:rPr>
                <w:color w:val="auto"/>
                <w:sz w:val="21"/>
                <w:szCs w:val="21"/>
              </w:rPr>
            </w:pPr>
          </w:p>
        </w:tc>
        <w:tc>
          <w:tcPr>
            <w:tcW w:w="594" w:type="pct"/>
            <w:vAlign w:val="center"/>
          </w:tcPr>
          <w:p w14:paraId="5BAD4075">
            <w:pPr>
              <w:kinsoku w:val="0"/>
              <w:overflowPunct w:val="0"/>
              <w:spacing w:line="240" w:lineRule="auto"/>
              <w:ind w:firstLine="0" w:firstLineChars="0"/>
              <w:jc w:val="center"/>
              <w:rPr>
                <w:color w:val="auto"/>
                <w:sz w:val="21"/>
                <w:szCs w:val="21"/>
              </w:rPr>
            </w:pPr>
            <w:r>
              <w:rPr>
                <w:color w:val="auto"/>
                <w:sz w:val="21"/>
                <w:szCs w:val="21"/>
              </w:rPr>
              <w:t>P值</w:t>
            </w:r>
          </w:p>
        </w:tc>
        <w:tc>
          <w:tcPr>
            <w:tcW w:w="944" w:type="pct"/>
            <w:gridSpan w:val="4"/>
            <w:vAlign w:val="center"/>
          </w:tcPr>
          <w:p w14:paraId="208EB9DF">
            <w:pPr>
              <w:kinsoku w:val="0"/>
              <w:overflowPunct w:val="0"/>
              <w:spacing w:line="240" w:lineRule="auto"/>
              <w:ind w:firstLine="0" w:firstLineChars="0"/>
              <w:jc w:val="center"/>
              <w:rPr>
                <w:color w:val="auto"/>
                <w:sz w:val="21"/>
                <w:szCs w:val="21"/>
              </w:rPr>
            </w:pPr>
            <w:r>
              <w:rPr>
                <w:color w:val="auto"/>
                <w:sz w:val="21"/>
                <w:szCs w:val="21"/>
              </w:rPr>
              <w:t>P1□</w:t>
            </w:r>
          </w:p>
        </w:tc>
        <w:tc>
          <w:tcPr>
            <w:tcW w:w="798" w:type="pct"/>
            <w:gridSpan w:val="2"/>
            <w:vAlign w:val="center"/>
          </w:tcPr>
          <w:p w14:paraId="1E7D7309">
            <w:pPr>
              <w:kinsoku w:val="0"/>
              <w:overflowPunct w:val="0"/>
              <w:spacing w:line="240" w:lineRule="auto"/>
              <w:ind w:firstLine="0" w:firstLineChars="0"/>
              <w:jc w:val="center"/>
              <w:rPr>
                <w:color w:val="auto"/>
                <w:sz w:val="21"/>
                <w:szCs w:val="21"/>
              </w:rPr>
            </w:pPr>
            <w:r>
              <w:rPr>
                <w:color w:val="auto"/>
                <w:sz w:val="21"/>
                <w:szCs w:val="21"/>
              </w:rPr>
              <w:t>P2□</w:t>
            </w:r>
          </w:p>
        </w:tc>
        <w:tc>
          <w:tcPr>
            <w:tcW w:w="928" w:type="pct"/>
            <w:gridSpan w:val="3"/>
            <w:vAlign w:val="center"/>
          </w:tcPr>
          <w:p w14:paraId="4DB2DDA3">
            <w:pPr>
              <w:kinsoku w:val="0"/>
              <w:overflowPunct w:val="0"/>
              <w:spacing w:line="240" w:lineRule="auto"/>
              <w:ind w:firstLine="0" w:firstLineChars="0"/>
              <w:jc w:val="center"/>
              <w:rPr>
                <w:color w:val="auto"/>
                <w:sz w:val="21"/>
                <w:szCs w:val="21"/>
              </w:rPr>
            </w:pPr>
            <w:r>
              <w:rPr>
                <w:color w:val="auto"/>
                <w:sz w:val="21"/>
                <w:szCs w:val="21"/>
              </w:rPr>
              <w:t>P3□</w:t>
            </w:r>
          </w:p>
        </w:tc>
        <w:tc>
          <w:tcPr>
            <w:tcW w:w="855" w:type="pct"/>
            <w:gridSpan w:val="2"/>
            <w:vAlign w:val="center"/>
          </w:tcPr>
          <w:p w14:paraId="61ED86FC">
            <w:pPr>
              <w:kinsoku w:val="0"/>
              <w:overflowPunct w:val="0"/>
              <w:spacing w:line="240" w:lineRule="auto"/>
              <w:ind w:firstLine="0" w:firstLineChars="0"/>
              <w:jc w:val="center"/>
              <w:rPr>
                <w:color w:val="auto"/>
                <w:sz w:val="21"/>
                <w:szCs w:val="21"/>
              </w:rPr>
            </w:pPr>
            <w:r>
              <w:rPr>
                <w:color w:val="auto"/>
                <w:sz w:val="21"/>
                <w:szCs w:val="21"/>
              </w:rPr>
              <w:t>P4</w:t>
            </w:r>
            <w:r>
              <w:rPr>
                <w:rFonts w:hint="eastAsia"/>
                <w:color w:val="auto"/>
                <w:sz w:val="21"/>
                <w:szCs w:val="21"/>
              </w:rPr>
              <w:t>☑</w:t>
            </w:r>
          </w:p>
        </w:tc>
      </w:tr>
      <w:tr w14:paraId="7C7894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879" w:type="pct"/>
            <w:gridSpan w:val="2"/>
            <w:vMerge w:val="restart"/>
            <w:vAlign w:val="center"/>
          </w:tcPr>
          <w:p w14:paraId="3DDEF119">
            <w:pPr>
              <w:kinsoku w:val="0"/>
              <w:overflowPunct w:val="0"/>
              <w:spacing w:line="240" w:lineRule="auto"/>
              <w:ind w:firstLine="0" w:firstLineChars="0"/>
              <w:jc w:val="center"/>
              <w:rPr>
                <w:color w:val="auto"/>
                <w:sz w:val="21"/>
                <w:szCs w:val="21"/>
              </w:rPr>
            </w:pPr>
            <w:r>
              <w:rPr>
                <w:color w:val="auto"/>
                <w:spacing w:val="-2"/>
                <w:sz w:val="21"/>
                <w:szCs w:val="21"/>
              </w:rPr>
              <w:t>环境敏感</w:t>
            </w:r>
            <w:r>
              <w:rPr>
                <w:color w:val="auto"/>
                <w:sz w:val="21"/>
                <w:szCs w:val="21"/>
              </w:rPr>
              <w:t>程度</w:t>
            </w:r>
          </w:p>
        </w:tc>
        <w:tc>
          <w:tcPr>
            <w:tcW w:w="594" w:type="pct"/>
            <w:vAlign w:val="center"/>
          </w:tcPr>
          <w:p w14:paraId="2CD41357">
            <w:pPr>
              <w:kinsoku w:val="0"/>
              <w:overflowPunct w:val="0"/>
              <w:spacing w:line="240" w:lineRule="auto"/>
              <w:ind w:firstLine="0" w:firstLineChars="0"/>
              <w:jc w:val="center"/>
              <w:rPr>
                <w:color w:val="auto"/>
                <w:sz w:val="21"/>
                <w:szCs w:val="21"/>
              </w:rPr>
            </w:pPr>
            <w:r>
              <w:rPr>
                <w:color w:val="auto"/>
                <w:sz w:val="21"/>
                <w:szCs w:val="21"/>
              </w:rPr>
              <w:t>大气</w:t>
            </w:r>
          </w:p>
        </w:tc>
        <w:tc>
          <w:tcPr>
            <w:tcW w:w="944" w:type="pct"/>
            <w:gridSpan w:val="4"/>
            <w:vAlign w:val="center"/>
          </w:tcPr>
          <w:p w14:paraId="5EF6C07A">
            <w:pPr>
              <w:kinsoku w:val="0"/>
              <w:overflowPunct w:val="0"/>
              <w:spacing w:line="240" w:lineRule="auto"/>
              <w:ind w:firstLine="0" w:firstLineChars="0"/>
              <w:jc w:val="center"/>
              <w:rPr>
                <w:color w:val="auto"/>
                <w:sz w:val="21"/>
                <w:szCs w:val="21"/>
              </w:rPr>
            </w:pPr>
            <w:r>
              <w:rPr>
                <w:color w:val="auto"/>
                <w:sz w:val="21"/>
                <w:szCs w:val="21"/>
              </w:rPr>
              <w:t>E1</w:t>
            </w:r>
            <w:r>
              <w:rPr>
                <w:rFonts w:hint="eastAsia"/>
                <w:color w:val="auto"/>
                <w:sz w:val="21"/>
                <w:szCs w:val="21"/>
              </w:rPr>
              <w:t>☑</w:t>
            </w:r>
          </w:p>
        </w:tc>
        <w:tc>
          <w:tcPr>
            <w:tcW w:w="1198" w:type="pct"/>
            <w:gridSpan w:val="3"/>
            <w:vAlign w:val="center"/>
          </w:tcPr>
          <w:p w14:paraId="3B42FA49">
            <w:pPr>
              <w:kinsoku w:val="0"/>
              <w:overflowPunct w:val="0"/>
              <w:spacing w:line="240" w:lineRule="auto"/>
              <w:ind w:firstLine="0" w:firstLineChars="0"/>
              <w:jc w:val="center"/>
              <w:rPr>
                <w:color w:val="auto"/>
                <w:sz w:val="21"/>
                <w:szCs w:val="21"/>
              </w:rPr>
            </w:pPr>
            <w:r>
              <w:rPr>
                <w:color w:val="auto"/>
                <w:sz w:val="21"/>
                <w:szCs w:val="21"/>
              </w:rPr>
              <w:t>E2□</w:t>
            </w:r>
          </w:p>
        </w:tc>
        <w:tc>
          <w:tcPr>
            <w:tcW w:w="1383" w:type="pct"/>
            <w:gridSpan w:val="4"/>
            <w:vAlign w:val="center"/>
          </w:tcPr>
          <w:p w14:paraId="1388A6ED">
            <w:pPr>
              <w:kinsoku w:val="0"/>
              <w:overflowPunct w:val="0"/>
              <w:spacing w:line="240" w:lineRule="auto"/>
              <w:ind w:firstLine="0" w:firstLineChars="0"/>
              <w:jc w:val="center"/>
              <w:rPr>
                <w:color w:val="auto"/>
                <w:sz w:val="21"/>
                <w:szCs w:val="21"/>
              </w:rPr>
            </w:pPr>
            <w:r>
              <w:rPr>
                <w:color w:val="auto"/>
                <w:sz w:val="21"/>
                <w:szCs w:val="21"/>
              </w:rPr>
              <w:t>E3</w:t>
            </w:r>
            <w:r>
              <w:rPr>
                <w:rFonts w:hint="eastAsia"/>
                <w:color w:val="auto"/>
                <w:sz w:val="21"/>
                <w:szCs w:val="21"/>
              </w:rPr>
              <w:t>☑</w:t>
            </w:r>
          </w:p>
        </w:tc>
      </w:tr>
      <w:tr w14:paraId="47D625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Merge w:val="continue"/>
            <w:vAlign w:val="center"/>
          </w:tcPr>
          <w:p w14:paraId="38F38FB1">
            <w:pPr>
              <w:pStyle w:val="34"/>
              <w:kinsoku w:val="0"/>
              <w:overflowPunct w:val="0"/>
              <w:spacing w:after="0" w:line="240" w:lineRule="auto"/>
              <w:ind w:firstLine="0" w:firstLineChars="0"/>
              <w:jc w:val="center"/>
              <w:rPr>
                <w:color w:val="auto"/>
                <w:sz w:val="21"/>
                <w:szCs w:val="21"/>
              </w:rPr>
            </w:pPr>
          </w:p>
        </w:tc>
        <w:tc>
          <w:tcPr>
            <w:tcW w:w="594" w:type="pct"/>
            <w:vAlign w:val="center"/>
          </w:tcPr>
          <w:p w14:paraId="72DC5622">
            <w:pPr>
              <w:kinsoku w:val="0"/>
              <w:overflowPunct w:val="0"/>
              <w:spacing w:line="240" w:lineRule="auto"/>
              <w:ind w:firstLine="0" w:firstLineChars="0"/>
              <w:jc w:val="center"/>
              <w:rPr>
                <w:color w:val="auto"/>
                <w:sz w:val="21"/>
                <w:szCs w:val="21"/>
              </w:rPr>
            </w:pPr>
            <w:r>
              <w:rPr>
                <w:color w:val="auto"/>
                <w:sz w:val="21"/>
                <w:szCs w:val="21"/>
              </w:rPr>
              <w:t>地表水</w:t>
            </w:r>
          </w:p>
        </w:tc>
        <w:tc>
          <w:tcPr>
            <w:tcW w:w="944" w:type="pct"/>
            <w:gridSpan w:val="4"/>
            <w:vAlign w:val="center"/>
          </w:tcPr>
          <w:p w14:paraId="09E15895">
            <w:pPr>
              <w:kinsoku w:val="0"/>
              <w:overflowPunct w:val="0"/>
              <w:spacing w:line="240" w:lineRule="auto"/>
              <w:ind w:firstLine="0" w:firstLineChars="0"/>
              <w:jc w:val="center"/>
              <w:rPr>
                <w:color w:val="auto"/>
                <w:sz w:val="21"/>
                <w:szCs w:val="21"/>
              </w:rPr>
            </w:pPr>
            <w:r>
              <w:rPr>
                <w:color w:val="auto"/>
                <w:sz w:val="21"/>
                <w:szCs w:val="21"/>
              </w:rPr>
              <w:t>E1□</w:t>
            </w:r>
          </w:p>
        </w:tc>
        <w:tc>
          <w:tcPr>
            <w:tcW w:w="1198" w:type="pct"/>
            <w:gridSpan w:val="3"/>
            <w:vAlign w:val="center"/>
          </w:tcPr>
          <w:p w14:paraId="250FF3EB">
            <w:pPr>
              <w:kinsoku w:val="0"/>
              <w:overflowPunct w:val="0"/>
              <w:spacing w:line="240" w:lineRule="auto"/>
              <w:ind w:firstLine="0" w:firstLineChars="0"/>
              <w:jc w:val="center"/>
              <w:rPr>
                <w:color w:val="auto"/>
                <w:sz w:val="21"/>
                <w:szCs w:val="21"/>
              </w:rPr>
            </w:pPr>
            <w:r>
              <w:rPr>
                <w:color w:val="auto"/>
                <w:sz w:val="21"/>
                <w:szCs w:val="21"/>
              </w:rPr>
              <w:t>E2□</w:t>
            </w:r>
          </w:p>
        </w:tc>
        <w:tc>
          <w:tcPr>
            <w:tcW w:w="1383" w:type="pct"/>
            <w:gridSpan w:val="4"/>
            <w:vAlign w:val="center"/>
          </w:tcPr>
          <w:p w14:paraId="700D4327">
            <w:pPr>
              <w:kinsoku w:val="0"/>
              <w:overflowPunct w:val="0"/>
              <w:spacing w:line="240" w:lineRule="auto"/>
              <w:ind w:firstLine="0" w:firstLineChars="0"/>
              <w:jc w:val="center"/>
              <w:rPr>
                <w:color w:val="auto"/>
                <w:sz w:val="21"/>
                <w:szCs w:val="21"/>
              </w:rPr>
            </w:pPr>
            <w:r>
              <w:rPr>
                <w:color w:val="auto"/>
                <w:sz w:val="21"/>
                <w:szCs w:val="21"/>
              </w:rPr>
              <w:t>E3</w:t>
            </w:r>
            <w:r>
              <w:rPr>
                <w:rFonts w:hint="eastAsia"/>
                <w:color w:val="auto"/>
                <w:sz w:val="21"/>
                <w:szCs w:val="21"/>
              </w:rPr>
              <w:t>☑</w:t>
            </w:r>
          </w:p>
        </w:tc>
      </w:tr>
      <w:tr w14:paraId="4E7287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Merge w:val="continue"/>
            <w:vAlign w:val="center"/>
          </w:tcPr>
          <w:p w14:paraId="7D6E7211">
            <w:pPr>
              <w:pStyle w:val="34"/>
              <w:kinsoku w:val="0"/>
              <w:overflowPunct w:val="0"/>
              <w:spacing w:after="0" w:line="240" w:lineRule="auto"/>
              <w:ind w:firstLine="0" w:firstLineChars="0"/>
              <w:jc w:val="center"/>
              <w:rPr>
                <w:color w:val="auto"/>
                <w:sz w:val="21"/>
                <w:szCs w:val="21"/>
              </w:rPr>
            </w:pPr>
          </w:p>
        </w:tc>
        <w:tc>
          <w:tcPr>
            <w:tcW w:w="594" w:type="pct"/>
            <w:vAlign w:val="center"/>
          </w:tcPr>
          <w:p w14:paraId="111AFB8D">
            <w:pPr>
              <w:kinsoku w:val="0"/>
              <w:overflowPunct w:val="0"/>
              <w:spacing w:line="240" w:lineRule="auto"/>
              <w:ind w:firstLine="0" w:firstLineChars="0"/>
              <w:jc w:val="center"/>
              <w:rPr>
                <w:color w:val="auto"/>
                <w:sz w:val="21"/>
                <w:szCs w:val="21"/>
              </w:rPr>
            </w:pPr>
            <w:r>
              <w:rPr>
                <w:color w:val="auto"/>
                <w:sz w:val="21"/>
                <w:szCs w:val="21"/>
              </w:rPr>
              <w:t>地下水</w:t>
            </w:r>
          </w:p>
        </w:tc>
        <w:tc>
          <w:tcPr>
            <w:tcW w:w="944" w:type="pct"/>
            <w:gridSpan w:val="4"/>
            <w:vAlign w:val="center"/>
          </w:tcPr>
          <w:p w14:paraId="53310FFC">
            <w:pPr>
              <w:kinsoku w:val="0"/>
              <w:overflowPunct w:val="0"/>
              <w:spacing w:line="240" w:lineRule="auto"/>
              <w:ind w:firstLine="0" w:firstLineChars="0"/>
              <w:jc w:val="center"/>
              <w:rPr>
                <w:color w:val="auto"/>
                <w:sz w:val="21"/>
                <w:szCs w:val="21"/>
              </w:rPr>
            </w:pPr>
            <w:r>
              <w:rPr>
                <w:color w:val="auto"/>
                <w:sz w:val="21"/>
                <w:szCs w:val="21"/>
              </w:rPr>
              <w:t>E1□</w:t>
            </w:r>
          </w:p>
        </w:tc>
        <w:tc>
          <w:tcPr>
            <w:tcW w:w="1198" w:type="pct"/>
            <w:gridSpan w:val="3"/>
            <w:vAlign w:val="center"/>
          </w:tcPr>
          <w:p w14:paraId="1C3F267E">
            <w:pPr>
              <w:kinsoku w:val="0"/>
              <w:overflowPunct w:val="0"/>
              <w:spacing w:line="240" w:lineRule="auto"/>
              <w:ind w:firstLine="0" w:firstLineChars="0"/>
              <w:jc w:val="center"/>
              <w:rPr>
                <w:color w:val="auto"/>
                <w:sz w:val="21"/>
                <w:szCs w:val="21"/>
              </w:rPr>
            </w:pPr>
            <w:r>
              <w:rPr>
                <w:color w:val="auto"/>
                <w:sz w:val="21"/>
                <w:szCs w:val="21"/>
              </w:rPr>
              <w:t>E2□</w:t>
            </w:r>
          </w:p>
        </w:tc>
        <w:tc>
          <w:tcPr>
            <w:tcW w:w="1383" w:type="pct"/>
            <w:gridSpan w:val="4"/>
            <w:vAlign w:val="center"/>
          </w:tcPr>
          <w:p w14:paraId="3DB4717C">
            <w:pPr>
              <w:kinsoku w:val="0"/>
              <w:overflowPunct w:val="0"/>
              <w:spacing w:line="240" w:lineRule="auto"/>
              <w:ind w:firstLine="0" w:firstLineChars="0"/>
              <w:jc w:val="center"/>
              <w:rPr>
                <w:color w:val="auto"/>
                <w:sz w:val="21"/>
                <w:szCs w:val="21"/>
              </w:rPr>
            </w:pPr>
            <w:r>
              <w:rPr>
                <w:color w:val="auto"/>
                <w:sz w:val="21"/>
                <w:szCs w:val="21"/>
              </w:rPr>
              <w:t>E3</w:t>
            </w:r>
            <w:r>
              <w:rPr>
                <w:rFonts w:hint="eastAsia"/>
                <w:color w:val="auto"/>
                <w:sz w:val="21"/>
                <w:szCs w:val="21"/>
              </w:rPr>
              <w:t>☑</w:t>
            </w:r>
          </w:p>
        </w:tc>
      </w:tr>
      <w:tr w14:paraId="466DBD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879" w:type="pct"/>
            <w:gridSpan w:val="2"/>
            <w:vAlign w:val="center"/>
          </w:tcPr>
          <w:p w14:paraId="1ABF515A">
            <w:pPr>
              <w:kinsoku w:val="0"/>
              <w:overflowPunct w:val="0"/>
              <w:spacing w:line="240" w:lineRule="auto"/>
              <w:ind w:firstLine="0" w:firstLineChars="0"/>
              <w:jc w:val="center"/>
              <w:rPr>
                <w:color w:val="auto"/>
                <w:sz w:val="21"/>
                <w:szCs w:val="21"/>
              </w:rPr>
            </w:pPr>
            <w:r>
              <w:rPr>
                <w:color w:val="auto"/>
                <w:sz w:val="21"/>
                <w:szCs w:val="21"/>
              </w:rPr>
              <w:t>环境风险潜势</w:t>
            </w:r>
          </w:p>
        </w:tc>
        <w:tc>
          <w:tcPr>
            <w:tcW w:w="759" w:type="pct"/>
            <w:gridSpan w:val="2"/>
            <w:vAlign w:val="center"/>
          </w:tcPr>
          <w:p w14:paraId="38A0B260">
            <w:pPr>
              <w:kinsoku w:val="0"/>
              <w:overflowPunct w:val="0"/>
              <w:spacing w:line="240" w:lineRule="auto"/>
              <w:ind w:firstLine="0" w:firstLineChars="0"/>
              <w:jc w:val="center"/>
              <w:rPr>
                <w:color w:val="auto"/>
                <w:sz w:val="21"/>
                <w:szCs w:val="21"/>
              </w:rPr>
            </w:pPr>
            <w:r>
              <w:rPr>
                <w:color w:val="auto"/>
                <w:sz w:val="21"/>
                <w:szCs w:val="21"/>
              </w:rPr>
              <w:t>Ⅳ</w:t>
            </w:r>
            <w:r>
              <w:rPr>
                <w:color w:val="auto"/>
                <w:sz w:val="21"/>
                <w:szCs w:val="21"/>
                <w:vertAlign w:val="superscript"/>
              </w:rPr>
              <w:t>+</w:t>
            </w:r>
            <w:r>
              <w:rPr>
                <w:color w:val="auto"/>
                <w:sz w:val="21"/>
                <w:szCs w:val="21"/>
              </w:rPr>
              <w:t>□</w:t>
            </w:r>
          </w:p>
        </w:tc>
        <w:tc>
          <w:tcPr>
            <w:tcW w:w="779" w:type="pct"/>
            <w:gridSpan w:val="3"/>
            <w:vAlign w:val="center"/>
          </w:tcPr>
          <w:p w14:paraId="07E7EE10">
            <w:pPr>
              <w:kinsoku w:val="0"/>
              <w:overflowPunct w:val="0"/>
              <w:spacing w:line="240" w:lineRule="auto"/>
              <w:ind w:firstLine="0" w:firstLineChars="0"/>
              <w:jc w:val="center"/>
              <w:rPr>
                <w:color w:val="auto"/>
                <w:sz w:val="21"/>
                <w:szCs w:val="21"/>
              </w:rPr>
            </w:pPr>
            <w:r>
              <w:rPr>
                <w:color w:val="auto"/>
                <w:sz w:val="21"/>
                <w:szCs w:val="21"/>
              </w:rPr>
              <w:t>Ⅳ□</w:t>
            </w:r>
          </w:p>
        </w:tc>
        <w:tc>
          <w:tcPr>
            <w:tcW w:w="798" w:type="pct"/>
            <w:gridSpan w:val="2"/>
            <w:vAlign w:val="center"/>
          </w:tcPr>
          <w:p w14:paraId="67A47F7A">
            <w:pPr>
              <w:kinsoku w:val="0"/>
              <w:overflowPunct w:val="0"/>
              <w:spacing w:line="240" w:lineRule="auto"/>
              <w:ind w:firstLine="0" w:firstLineChars="0"/>
              <w:jc w:val="center"/>
              <w:rPr>
                <w:color w:val="auto"/>
                <w:sz w:val="21"/>
                <w:szCs w:val="21"/>
              </w:rPr>
            </w:pPr>
            <w:r>
              <w:rPr>
                <w:color w:val="auto"/>
                <w:sz w:val="21"/>
                <w:szCs w:val="21"/>
              </w:rPr>
              <w:t>Ⅲ</w:t>
            </w:r>
            <w:r>
              <w:rPr>
                <w:rFonts w:hint="eastAsia"/>
                <w:color w:val="auto"/>
                <w:sz w:val="21"/>
                <w:szCs w:val="21"/>
              </w:rPr>
              <w:t>☑</w:t>
            </w:r>
          </w:p>
        </w:tc>
        <w:tc>
          <w:tcPr>
            <w:tcW w:w="928" w:type="pct"/>
            <w:gridSpan w:val="3"/>
            <w:vAlign w:val="center"/>
          </w:tcPr>
          <w:p w14:paraId="2CBB56D8">
            <w:pPr>
              <w:kinsoku w:val="0"/>
              <w:overflowPunct w:val="0"/>
              <w:spacing w:line="240" w:lineRule="auto"/>
              <w:ind w:firstLine="0" w:firstLineChars="0"/>
              <w:jc w:val="center"/>
              <w:rPr>
                <w:color w:val="auto"/>
                <w:sz w:val="21"/>
                <w:szCs w:val="21"/>
              </w:rPr>
            </w:pPr>
            <w:r>
              <w:rPr>
                <w:color w:val="auto"/>
                <w:sz w:val="21"/>
                <w:szCs w:val="21"/>
              </w:rPr>
              <w:t>Ⅱ□</w:t>
            </w:r>
          </w:p>
        </w:tc>
        <w:tc>
          <w:tcPr>
            <w:tcW w:w="855" w:type="pct"/>
            <w:gridSpan w:val="2"/>
            <w:vAlign w:val="center"/>
          </w:tcPr>
          <w:p w14:paraId="29FF690C">
            <w:pPr>
              <w:kinsoku w:val="0"/>
              <w:overflowPunct w:val="0"/>
              <w:spacing w:line="240" w:lineRule="auto"/>
              <w:ind w:firstLine="0" w:firstLineChars="0"/>
              <w:jc w:val="center"/>
              <w:rPr>
                <w:color w:val="auto"/>
                <w:sz w:val="21"/>
                <w:szCs w:val="21"/>
              </w:rPr>
            </w:pPr>
            <w:r>
              <w:rPr>
                <w:color w:val="auto"/>
                <w:sz w:val="21"/>
                <w:szCs w:val="21"/>
              </w:rPr>
              <w:t>I</w:t>
            </w:r>
            <w:r>
              <w:rPr>
                <w:rFonts w:hint="eastAsia"/>
                <w:color w:val="auto"/>
                <w:sz w:val="21"/>
                <w:szCs w:val="21"/>
              </w:rPr>
              <w:t>☑</w:t>
            </w:r>
          </w:p>
        </w:tc>
      </w:tr>
      <w:tr w14:paraId="0D62C3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Align w:val="center"/>
          </w:tcPr>
          <w:p w14:paraId="7B028D40">
            <w:pPr>
              <w:kinsoku w:val="0"/>
              <w:overflowPunct w:val="0"/>
              <w:spacing w:line="240" w:lineRule="auto"/>
              <w:ind w:firstLine="0" w:firstLineChars="0"/>
              <w:jc w:val="center"/>
              <w:rPr>
                <w:color w:val="auto"/>
                <w:sz w:val="21"/>
                <w:szCs w:val="21"/>
              </w:rPr>
            </w:pPr>
            <w:r>
              <w:rPr>
                <w:color w:val="auto"/>
                <w:sz w:val="21"/>
                <w:szCs w:val="21"/>
              </w:rPr>
              <w:t>评价等级</w:t>
            </w:r>
          </w:p>
        </w:tc>
        <w:tc>
          <w:tcPr>
            <w:tcW w:w="1538" w:type="pct"/>
            <w:gridSpan w:val="5"/>
            <w:vAlign w:val="center"/>
          </w:tcPr>
          <w:p w14:paraId="2BF1CF41">
            <w:pPr>
              <w:kinsoku w:val="0"/>
              <w:overflowPunct w:val="0"/>
              <w:spacing w:line="240" w:lineRule="auto"/>
              <w:ind w:firstLine="0" w:firstLineChars="0"/>
              <w:jc w:val="center"/>
              <w:rPr>
                <w:color w:val="auto"/>
                <w:sz w:val="21"/>
                <w:szCs w:val="21"/>
              </w:rPr>
            </w:pPr>
            <w:r>
              <w:rPr>
                <w:color w:val="auto"/>
                <w:sz w:val="21"/>
                <w:szCs w:val="21"/>
              </w:rPr>
              <w:t>一级□</w:t>
            </w:r>
          </w:p>
        </w:tc>
        <w:tc>
          <w:tcPr>
            <w:tcW w:w="798" w:type="pct"/>
            <w:gridSpan w:val="2"/>
            <w:vAlign w:val="center"/>
          </w:tcPr>
          <w:p w14:paraId="76A8C5F4">
            <w:pPr>
              <w:kinsoku w:val="0"/>
              <w:overflowPunct w:val="0"/>
              <w:spacing w:line="240" w:lineRule="auto"/>
              <w:ind w:firstLine="0" w:firstLineChars="0"/>
              <w:jc w:val="center"/>
              <w:rPr>
                <w:color w:val="auto"/>
                <w:sz w:val="21"/>
                <w:szCs w:val="21"/>
              </w:rPr>
            </w:pPr>
            <w:r>
              <w:rPr>
                <w:color w:val="auto"/>
                <w:sz w:val="21"/>
                <w:szCs w:val="21"/>
              </w:rPr>
              <w:t>二级</w:t>
            </w:r>
            <w:r>
              <w:rPr>
                <w:rFonts w:hint="eastAsia"/>
                <w:color w:val="auto"/>
                <w:sz w:val="21"/>
                <w:szCs w:val="21"/>
              </w:rPr>
              <w:t>☑</w:t>
            </w:r>
          </w:p>
        </w:tc>
        <w:tc>
          <w:tcPr>
            <w:tcW w:w="928" w:type="pct"/>
            <w:gridSpan w:val="3"/>
            <w:vAlign w:val="center"/>
          </w:tcPr>
          <w:p w14:paraId="43BF1D92">
            <w:pPr>
              <w:kinsoku w:val="0"/>
              <w:overflowPunct w:val="0"/>
              <w:spacing w:line="240" w:lineRule="auto"/>
              <w:ind w:firstLine="0" w:firstLineChars="0"/>
              <w:jc w:val="center"/>
              <w:rPr>
                <w:color w:val="auto"/>
                <w:sz w:val="21"/>
                <w:szCs w:val="21"/>
              </w:rPr>
            </w:pPr>
            <w:r>
              <w:rPr>
                <w:color w:val="auto"/>
                <w:sz w:val="21"/>
                <w:szCs w:val="21"/>
              </w:rPr>
              <w:t>三级□</w:t>
            </w:r>
          </w:p>
        </w:tc>
        <w:tc>
          <w:tcPr>
            <w:tcW w:w="855" w:type="pct"/>
            <w:gridSpan w:val="2"/>
            <w:vAlign w:val="center"/>
          </w:tcPr>
          <w:p w14:paraId="15DE54AA">
            <w:pPr>
              <w:kinsoku w:val="0"/>
              <w:overflowPunct w:val="0"/>
              <w:spacing w:line="240" w:lineRule="auto"/>
              <w:ind w:firstLine="0" w:firstLineChars="0"/>
              <w:jc w:val="center"/>
              <w:rPr>
                <w:color w:val="auto"/>
                <w:sz w:val="21"/>
                <w:szCs w:val="21"/>
              </w:rPr>
            </w:pPr>
            <w:r>
              <w:rPr>
                <w:color w:val="auto"/>
                <w:sz w:val="21"/>
                <w:szCs w:val="21"/>
              </w:rPr>
              <w:t>简单分析</w:t>
            </w:r>
            <w:r>
              <w:rPr>
                <w:rFonts w:hint="eastAsia"/>
                <w:color w:val="auto"/>
                <w:sz w:val="21"/>
                <w:szCs w:val="21"/>
              </w:rPr>
              <w:t>☑</w:t>
            </w:r>
          </w:p>
        </w:tc>
      </w:tr>
      <w:tr w14:paraId="27BB9B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restart"/>
            <w:vAlign w:val="center"/>
          </w:tcPr>
          <w:p w14:paraId="20F09D0B">
            <w:pPr>
              <w:kinsoku w:val="0"/>
              <w:overflowPunct w:val="0"/>
              <w:spacing w:line="240" w:lineRule="auto"/>
              <w:ind w:firstLine="0" w:firstLineChars="0"/>
              <w:jc w:val="center"/>
              <w:rPr>
                <w:color w:val="auto"/>
                <w:sz w:val="21"/>
                <w:szCs w:val="21"/>
              </w:rPr>
            </w:pPr>
            <w:r>
              <w:rPr>
                <w:color w:val="auto"/>
                <w:sz w:val="21"/>
                <w:szCs w:val="21"/>
              </w:rPr>
              <w:t>风险识别</w:t>
            </w:r>
          </w:p>
        </w:tc>
        <w:tc>
          <w:tcPr>
            <w:tcW w:w="674" w:type="pct"/>
            <w:vAlign w:val="center"/>
          </w:tcPr>
          <w:p w14:paraId="49C5846A">
            <w:pPr>
              <w:kinsoku w:val="0"/>
              <w:overflowPunct w:val="0"/>
              <w:spacing w:line="240" w:lineRule="auto"/>
              <w:ind w:firstLine="0" w:firstLineChars="0"/>
              <w:jc w:val="center"/>
              <w:rPr>
                <w:color w:val="auto"/>
                <w:sz w:val="21"/>
                <w:szCs w:val="21"/>
              </w:rPr>
            </w:pPr>
            <w:r>
              <w:rPr>
                <w:color w:val="auto"/>
                <w:sz w:val="21"/>
                <w:szCs w:val="21"/>
              </w:rPr>
              <w:t>物质危险性</w:t>
            </w:r>
          </w:p>
        </w:tc>
        <w:tc>
          <w:tcPr>
            <w:tcW w:w="1894" w:type="pct"/>
            <w:gridSpan w:val="6"/>
            <w:vAlign w:val="center"/>
          </w:tcPr>
          <w:p w14:paraId="3975B30C">
            <w:pPr>
              <w:kinsoku w:val="0"/>
              <w:overflowPunct w:val="0"/>
              <w:spacing w:line="240" w:lineRule="auto"/>
              <w:ind w:firstLine="0" w:firstLineChars="0"/>
              <w:jc w:val="center"/>
              <w:rPr>
                <w:color w:val="auto"/>
                <w:sz w:val="21"/>
                <w:szCs w:val="21"/>
              </w:rPr>
            </w:pPr>
            <w:r>
              <w:rPr>
                <w:color w:val="auto"/>
                <w:sz w:val="21"/>
                <w:szCs w:val="21"/>
              </w:rPr>
              <w:t>有毒有害☑</w:t>
            </w:r>
          </w:p>
        </w:tc>
        <w:tc>
          <w:tcPr>
            <w:tcW w:w="2225" w:type="pct"/>
            <w:gridSpan w:val="6"/>
            <w:vAlign w:val="center"/>
          </w:tcPr>
          <w:p w14:paraId="73629358">
            <w:pPr>
              <w:kinsoku w:val="0"/>
              <w:overflowPunct w:val="0"/>
              <w:spacing w:line="240" w:lineRule="auto"/>
              <w:ind w:firstLine="0" w:firstLineChars="0"/>
              <w:jc w:val="center"/>
              <w:rPr>
                <w:color w:val="auto"/>
                <w:sz w:val="21"/>
                <w:szCs w:val="21"/>
              </w:rPr>
            </w:pPr>
            <w:r>
              <w:rPr>
                <w:color w:val="auto"/>
                <w:sz w:val="21"/>
                <w:szCs w:val="21"/>
              </w:rPr>
              <w:t>易燃易爆☑</w:t>
            </w:r>
          </w:p>
        </w:tc>
      </w:tr>
      <w:tr w14:paraId="294158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205" w:type="pct"/>
            <w:vMerge w:val="continue"/>
            <w:vAlign w:val="center"/>
          </w:tcPr>
          <w:p w14:paraId="63557CB6">
            <w:pPr>
              <w:pStyle w:val="34"/>
              <w:kinsoku w:val="0"/>
              <w:overflowPunct w:val="0"/>
              <w:spacing w:after="0" w:line="240" w:lineRule="auto"/>
              <w:ind w:firstLine="0" w:firstLineChars="0"/>
              <w:jc w:val="center"/>
              <w:rPr>
                <w:color w:val="auto"/>
                <w:sz w:val="21"/>
                <w:szCs w:val="21"/>
              </w:rPr>
            </w:pPr>
          </w:p>
        </w:tc>
        <w:tc>
          <w:tcPr>
            <w:tcW w:w="674" w:type="pct"/>
            <w:vAlign w:val="center"/>
          </w:tcPr>
          <w:p w14:paraId="619E3F83">
            <w:pPr>
              <w:kinsoku w:val="0"/>
              <w:overflowPunct w:val="0"/>
              <w:spacing w:line="240" w:lineRule="auto"/>
              <w:ind w:firstLine="0" w:firstLineChars="0"/>
              <w:jc w:val="center"/>
              <w:rPr>
                <w:color w:val="auto"/>
                <w:sz w:val="21"/>
                <w:szCs w:val="21"/>
              </w:rPr>
            </w:pPr>
            <w:r>
              <w:rPr>
                <w:color w:val="auto"/>
                <w:sz w:val="21"/>
                <w:szCs w:val="21"/>
              </w:rPr>
              <w:t>环境风险</w:t>
            </w:r>
          </w:p>
          <w:p w14:paraId="0EF765ED">
            <w:pPr>
              <w:kinsoku w:val="0"/>
              <w:overflowPunct w:val="0"/>
              <w:spacing w:line="240" w:lineRule="auto"/>
              <w:ind w:firstLine="0" w:firstLineChars="0"/>
              <w:jc w:val="center"/>
              <w:rPr>
                <w:color w:val="auto"/>
                <w:sz w:val="21"/>
                <w:szCs w:val="21"/>
              </w:rPr>
            </w:pPr>
            <w:r>
              <w:rPr>
                <w:color w:val="auto"/>
                <w:sz w:val="21"/>
                <w:szCs w:val="21"/>
              </w:rPr>
              <w:t>类型</w:t>
            </w:r>
          </w:p>
        </w:tc>
        <w:tc>
          <w:tcPr>
            <w:tcW w:w="1538" w:type="pct"/>
            <w:gridSpan w:val="5"/>
            <w:vAlign w:val="center"/>
          </w:tcPr>
          <w:p w14:paraId="440DE6B3">
            <w:pPr>
              <w:kinsoku w:val="0"/>
              <w:overflowPunct w:val="0"/>
              <w:spacing w:line="240" w:lineRule="auto"/>
              <w:ind w:firstLine="0" w:firstLineChars="0"/>
              <w:jc w:val="center"/>
              <w:rPr>
                <w:color w:val="auto"/>
                <w:sz w:val="21"/>
                <w:szCs w:val="21"/>
              </w:rPr>
            </w:pPr>
            <w:r>
              <w:rPr>
                <w:color w:val="auto"/>
                <w:sz w:val="21"/>
                <w:szCs w:val="21"/>
              </w:rPr>
              <w:t>泄漏☑</w:t>
            </w:r>
          </w:p>
        </w:tc>
        <w:tc>
          <w:tcPr>
            <w:tcW w:w="2581" w:type="pct"/>
            <w:gridSpan w:val="7"/>
            <w:vAlign w:val="center"/>
          </w:tcPr>
          <w:p w14:paraId="6458444E">
            <w:pPr>
              <w:kinsoku w:val="0"/>
              <w:overflowPunct w:val="0"/>
              <w:spacing w:line="240" w:lineRule="auto"/>
              <w:ind w:firstLine="0" w:firstLineChars="0"/>
              <w:jc w:val="center"/>
              <w:rPr>
                <w:color w:val="auto"/>
                <w:sz w:val="21"/>
                <w:szCs w:val="21"/>
              </w:rPr>
            </w:pPr>
            <w:r>
              <w:rPr>
                <w:color w:val="auto"/>
                <w:sz w:val="21"/>
                <w:szCs w:val="21"/>
              </w:rPr>
              <w:t>火灾、爆炸引发伴生/次生污染物排放☑</w:t>
            </w:r>
          </w:p>
        </w:tc>
      </w:tr>
      <w:tr w14:paraId="3E0E9F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4ADAC967">
            <w:pPr>
              <w:pStyle w:val="34"/>
              <w:kinsoku w:val="0"/>
              <w:overflowPunct w:val="0"/>
              <w:spacing w:after="0" w:line="240" w:lineRule="auto"/>
              <w:ind w:firstLine="0" w:firstLineChars="0"/>
              <w:jc w:val="center"/>
              <w:rPr>
                <w:color w:val="auto"/>
                <w:sz w:val="21"/>
                <w:szCs w:val="21"/>
              </w:rPr>
            </w:pPr>
          </w:p>
        </w:tc>
        <w:tc>
          <w:tcPr>
            <w:tcW w:w="674" w:type="pct"/>
            <w:vAlign w:val="center"/>
          </w:tcPr>
          <w:p w14:paraId="466D4B7C">
            <w:pPr>
              <w:kinsoku w:val="0"/>
              <w:overflowPunct w:val="0"/>
              <w:spacing w:line="240" w:lineRule="auto"/>
              <w:ind w:firstLine="0" w:firstLineChars="0"/>
              <w:jc w:val="center"/>
              <w:rPr>
                <w:color w:val="auto"/>
                <w:sz w:val="21"/>
                <w:szCs w:val="21"/>
              </w:rPr>
            </w:pPr>
            <w:r>
              <w:rPr>
                <w:color w:val="auto"/>
                <w:sz w:val="21"/>
                <w:szCs w:val="21"/>
              </w:rPr>
              <w:t>影响途径</w:t>
            </w:r>
          </w:p>
        </w:tc>
        <w:tc>
          <w:tcPr>
            <w:tcW w:w="1538" w:type="pct"/>
            <w:gridSpan w:val="5"/>
            <w:vAlign w:val="center"/>
          </w:tcPr>
          <w:p w14:paraId="69F5B06E">
            <w:pPr>
              <w:kinsoku w:val="0"/>
              <w:overflowPunct w:val="0"/>
              <w:spacing w:line="240" w:lineRule="auto"/>
              <w:ind w:firstLine="0" w:firstLineChars="0"/>
              <w:jc w:val="center"/>
              <w:rPr>
                <w:color w:val="auto"/>
                <w:sz w:val="21"/>
                <w:szCs w:val="21"/>
              </w:rPr>
            </w:pPr>
            <w:r>
              <w:rPr>
                <w:color w:val="auto"/>
                <w:sz w:val="21"/>
                <w:szCs w:val="21"/>
              </w:rPr>
              <w:t>大气☑</w:t>
            </w:r>
          </w:p>
        </w:tc>
        <w:tc>
          <w:tcPr>
            <w:tcW w:w="1198" w:type="pct"/>
            <w:gridSpan w:val="3"/>
            <w:vAlign w:val="center"/>
          </w:tcPr>
          <w:p w14:paraId="117E6ABE">
            <w:pPr>
              <w:kinsoku w:val="0"/>
              <w:overflowPunct w:val="0"/>
              <w:spacing w:line="240" w:lineRule="auto"/>
              <w:ind w:firstLine="0" w:firstLineChars="0"/>
              <w:jc w:val="center"/>
              <w:rPr>
                <w:color w:val="auto"/>
                <w:sz w:val="21"/>
                <w:szCs w:val="21"/>
              </w:rPr>
            </w:pPr>
            <w:r>
              <w:rPr>
                <w:color w:val="auto"/>
                <w:sz w:val="21"/>
                <w:szCs w:val="21"/>
              </w:rPr>
              <w:t>地表水☑</w:t>
            </w:r>
          </w:p>
        </w:tc>
        <w:tc>
          <w:tcPr>
            <w:tcW w:w="1383" w:type="pct"/>
            <w:gridSpan w:val="4"/>
            <w:vAlign w:val="center"/>
          </w:tcPr>
          <w:p w14:paraId="39D1BB63">
            <w:pPr>
              <w:kinsoku w:val="0"/>
              <w:overflowPunct w:val="0"/>
              <w:spacing w:line="240" w:lineRule="auto"/>
              <w:ind w:firstLine="0" w:firstLineChars="0"/>
              <w:jc w:val="center"/>
              <w:rPr>
                <w:color w:val="auto"/>
                <w:sz w:val="21"/>
                <w:szCs w:val="21"/>
              </w:rPr>
            </w:pPr>
            <w:r>
              <w:rPr>
                <w:color w:val="auto"/>
                <w:sz w:val="21"/>
                <w:szCs w:val="21"/>
              </w:rPr>
              <w:t>地下水☑</w:t>
            </w:r>
          </w:p>
        </w:tc>
      </w:tr>
      <w:tr w14:paraId="7B852C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Align w:val="center"/>
          </w:tcPr>
          <w:p w14:paraId="521A3491">
            <w:pPr>
              <w:kinsoku w:val="0"/>
              <w:overflowPunct w:val="0"/>
              <w:spacing w:line="240" w:lineRule="auto"/>
              <w:ind w:firstLine="0" w:firstLineChars="0"/>
              <w:jc w:val="center"/>
              <w:rPr>
                <w:color w:val="auto"/>
                <w:sz w:val="21"/>
                <w:szCs w:val="21"/>
              </w:rPr>
            </w:pPr>
            <w:r>
              <w:rPr>
                <w:color w:val="auto"/>
                <w:sz w:val="21"/>
                <w:szCs w:val="21"/>
              </w:rPr>
              <w:t>事故情形分析</w:t>
            </w:r>
          </w:p>
        </w:tc>
        <w:tc>
          <w:tcPr>
            <w:tcW w:w="759" w:type="pct"/>
            <w:gridSpan w:val="2"/>
            <w:vAlign w:val="center"/>
          </w:tcPr>
          <w:p w14:paraId="525F86FA">
            <w:pPr>
              <w:kinsoku w:val="0"/>
              <w:overflowPunct w:val="0"/>
              <w:spacing w:line="240" w:lineRule="auto"/>
              <w:ind w:firstLine="0" w:firstLineChars="0"/>
              <w:jc w:val="center"/>
              <w:rPr>
                <w:color w:val="auto"/>
                <w:sz w:val="21"/>
                <w:szCs w:val="21"/>
              </w:rPr>
            </w:pPr>
            <w:r>
              <w:rPr>
                <w:color w:val="auto"/>
                <w:sz w:val="21"/>
                <w:szCs w:val="21"/>
              </w:rPr>
              <w:t>源强设定方法</w:t>
            </w:r>
          </w:p>
        </w:tc>
        <w:tc>
          <w:tcPr>
            <w:tcW w:w="779" w:type="pct"/>
            <w:gridSpan w:val="3"/>
            <w:vAlign w:val="center"/>
          </w:tcPr>
          <w:p w14:paraId="35C9F8AB">
            <w:pPr>
              <w:kinsoku w:val="0"/>
              <w:overflowPunct w:val="0"/>
              <w:spacing w:line="240" w:lineRule="auto"/>
              <w:ind w:firstLine="0" w:firstLineChars="0"/>
              <w:jc w:val="center"/>
              <w:rPr>
                <w:color w:val="auto"/>
                <w:sz w:val="21"/>
                <w:szCs w:val="21"/>
              </w:rPr>
            </w:pPr>
            <w:r>
              <w:rPr>
                <w:color w:val="auto"/>
                <w:sz w:val="21"/>
                <w:szCs w:val="21"/>
              </w:rPr>
              <w:t>计算法□</w:t>
            </w:r>
          </w:p>
        </w:tc>
        <w:tc>
          <w:tcPr>
            <w:tcW w:w="1198" w:type="pct"/>
            <w:gridSpan w:val="3"/>
            <w:vAlign w:val="center"/>
          </w:tcPr>
          <w:p w14:paraId="2055756A">
            <w:pPr>
              <w:kinsoku w:val="0"/>
              <w:overflowPunct w:val="0"/>
              <w:spacing w:line="240" w:lineRule="auto"/>
              <w:ind w:firstLine="0" w:firstLineChars="0"/>
              <w:jc w:val="center"/>
              <w:rPr>
                <w:color w:val="auto"/>
                <w:sz w:val="21"/>
                <w:szCs w:val="21"/>
              </w:rPr>
            </w:pPr>
            <w:r>
              <w:rPr>
                <w:color w:val="auto"/>
                <w:sz w:val="21"/>
                <w:szCs w:val="21"/>
              </w:rPr>
              <w:t>经验估算法□</w:t>
            </w:r>
          </w:p>
        </w:tc>
        <w:tc>
          <w:tcPr>
            <w:tcW w:w="1383" w:type="pct"/>
            <w:gridSpan w:val="4"/>
            <w:vAlign w:val="center"/>
          </w:tcPr>
          <w:p w14:paraId="09862D51">
            <w:pPr>
              <w:kinsoku w:val="0"/>
              <w:overflowPunct w:val="0"/>
              <w:spacing w:line="240" w:lineRule="auto"/>
              <w:ind w:firstLine="0" w:firstLineChars="0"/>
              <w:jc w:val="center"/>
              <w:rPr>
                <w:color w:val="auto"/>
                <w:sz w:val="21"/>
                <w:szCs w:val="21"/>
              </w:rPr>
            </w:pPr>
            <w:r>
              <w:rPr>
                <w:color w:val="auto"/>
                <w:sz w:val="21"/>
                <w:szCs w:val="21"/>
              </w:rPr>
              <w:t>其他估算法□</w:t>
            </w:r>
          </w:p>
        </w:tc>
      </w:tr>
      <w:tr w14:paraId="34E99B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205" w:type="pct"/>
            <w:vMerge w:val="restart"/>
            <w:vAlign w:val="center"/>
          </w:tcPr>
          <w:p w14:paraId="3F0FE827">
            <w:pPr>
              <w:kinsoku w:val="0"/>
              <w:overflowPunct w:val="0"/>
              <w:spacing w:line="240" w:lineRule="auto"/>
              <w:ind w:firstLine="0" w:firstLineChars="0"/>
              <w:jc w:val="center"/>
              <w:rPr>
                <w:color w:val="auto"/>
                <w:sz w:val="21"/>
                <w:szCs w:val="21"/>
              </w:rPr>
            </w:pPr>
            <w:r>
              <w:rPr>
                <w:color w:val="auto"/>
                <w:sz w:val="21"/>
                <w:szCs w:val="21"/>
              </w:rPr>
              <w:t>风险预测与评价</w:t>
            </w:r>
          </w:p>
        </w:tc>
        <w:tc>
          <w:tcPr>
            <w:tcW w:w="674" w:type="pct"/>
            <w:vMerge w:val="restart"/>
            <w:vAlign w:val="center"/>
          </w:tcPr>
          <w:p w14:paraId="6049EB05">
            <w:pPr>
              <w:kinsoku w:val="0"/>
              <w:overflowPunct w:val="0"/>
              <w:spacing w:line="240" w:lineRule="auto"/>
              <w:ind w:firstLine="0" w:firstLineChars="0"/>
              <w:jc w:val="center"/>
              <w:rPr>
                <w:color w:val="auto"/>
                <w:sz w:val="21"/>
                <w:szCs w:val="21"/>
              </w:rPr>
            </w:pPr>
            <w:r>
              <w:rPr>
                <w:color w:val="auto"/>
                <w:sz w:val="21"/>
                <w:szCs w:val="21"/>
              </w:rPr>
              <w:t>大气</w:t>
            </w:r>
          </w:p>
        </w:tc>
        <w:tc>
          <w:tcPr>
            <w:tcW w:w="759" w:type="pct"/>
            <w:gridSpan w:val="2"/>
            <w:vAlign w:val="center"/>
          </w:tcPr>
          <w:p w14:paraId="0ECA0A44">
            <w:pPr>
              <w:kinsoku w:val="0"/>
              <w:overflowPunct w:val="0"/>
              <w:spacing w:line="240" w:lineRule="auto"/>
              <w:ind w:firstLine="0" w:firstLineChars="0"/>
              <w:jc w:val="center"/>
              <w:rPr>
                <w:color w:val="auto"/>
                <w:sz w:val="21"/>
                <w:szCs w:val="21"/>
              </w:rPr>
            </w:pPr>
            <w:r>
              <w:rPr>
                <w:color w:val="auto"/>
                <w:sz w:val="21"/>
                <w:szCs w:val="21"/>
              </w:rPr>
              <w:t>预测模型</w:t>
            </w:r>
          </w:p>
        </w:tc>
        <w:tc>
          <w:tcPr>
            <w:tcW w:w="779" w:type="pct"/>
            <w:gridSpan w:val="3"/>
            <w:vAlign w:val="center"/>
          </w:tcPr>
          <w:p w14:paraId="77F8984F">
            <w:pPr>
              <w:kinsoku w:val="0"/>
              <w:overflowPunct w:val="0"/>
              <w:spacing w:line="240" w:lineRule="auto"/>
              <w:ind w:firstLine="0" w:firstLineChars="0"/>
              <w:jc w:val="center"/>
              <w:rPr>
                <w:color w:val="auto"/>
                <w:sz w:val="21"/>
                <w:szCs w:val="21"/>
              </w:rPr>
            </w:pPr>
            <w:r>
              <w:rPr>
                <w:color w:val="auto"/>
                <w:sz w:val="21"/>
                <w:szCs w:val="21"/>
              </w:rPr>
              <w:t>SLAB□</w:t>
            </w:r>
          </w:p>
        </w:tc>
        <w:tc>
          <w:tcPr>
            <w:tcW w:w="1198" w:type="pct"/>
            <w:gridSpan w:val="3"/>
            <w:vAlign w:val="center"/>
          </w:tcPr>
          <w:p w14:paraId="16F80517">
            <w:pPr>
              <w:kinsoku w:val="0"/>
              <w:overflowPunct w:val="0"/>
              <w:spacing w:line="240" w:lineRule="auto"/>
              <w:ind w:firstLine="0" w:firstLineChars="0"/>
              <w:jc w:val="center"/>
              <w:rPr>
                <w:color w:val="auto"/>
                <w:sz w:val="21"/>
                <w:szCs w:val="21"/>
              </w:rPr>
            </w:pPr>
            <w:r>
              <w:rPr>
                <w:color w:val="auto"/>
                <w:sz w:val="21"/>
                <w:szCs w:val="21"/>
              </w:rPr>
              <w:t>AFTOX□</w:t>
            </w:r>
          </w:p>
        </w:tc>
        <w:tc>
          <w:tcPr>
            <w:tcW w:w="1383" w:type="pct"/>
            <w:gridSpan w:val="4"/>
            <w:vAlign w:val="center"/>
          </w:tcPr>
          <w:p w14:paraId="43E7F688">
            <w:pPr>
              <w:kinsoku w:val="0"/>
              <w:overflowPunct w:val="0"/>
              <w:spacing w:line="240" w:lineRule="auto"/>
              <w:ind w:firstLine="0" w:firstLineChars="0"/>
              <w:jc w:val="center"/>
              <w:rPr>
                <w:color w:val="auto"/>
                <w:sz w:val="21"/>
                <w:szCs w:val="21"/>
              </w:rPr>
            </w:pPr>
            <w:r>
              <w:rPr>
                <w:color w:val="auto"/>
                <w:sz w:val="21"/>
                <w:szCs w:val="21"/>
              </w:rPr>
              <w:t>其他□</w:t>
            </w:r>
          </w:p>
        </w:tc>
      </w:tr>
      <w:tr w14:paraId="5414FE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5" w:type="pct"/>
            <w:vMerge w:val="continue"/>
            <w:vAlign w:val="center"/>
          </w:tcPr>
          <w:p w14:paraId="0101F38E">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42E934F3">
            <w:pPr>
              <w:pStyle w:val="34"/>
              <w:kinsoku w:val="0"/>
              <w:overflowPunct w:val="0"/>
              <w:spacing w:after="0" w:line="240" w:lineRule="auto"/>
              <w:ind w:firstLine="0" w:firstLineChars="0"/>
              <w:jc w:val="center"/>
              <w:rPr>
                <w:color w:val="auto"/>
                <w:sz w:val="21"/>
                <w:szCs w:val="21"/>
              </w:rPr>
            </w:pPr>
          </w:p>
        </w:tc>
        <w:tc>
          <w:tcPr>
            <w:tcW w:w="759" w:type="pct"/>
            <w:gridSpan w:val="2"/>
            <w:vMerge w:val="restart"/>
            <w:vAlign w:val="center"/>
          </w:tcPr>
          <w:p w14:paraId="07A1281F">
            <w:pPr>
              <w:kinsoku w:val="0"/>
              <w:overflowPunct w:val="0"/>
              <w:spacing w:line="240" w:lineRule="auto"/>
              <w:ind w:firstLine="0" w:firstLineChars="0"/>
              <w:jc w:val="center"/>
              <w:rPr>
                <w:color w:val="auto"/>
                <w:sz w:val="21"/>
                <w:szCs w:val="21"/>
              </w:rPr>
            </w:pPr>
            <w:r>
              <w:rPr>
                <w:color w:val="auto"/>
                <w:sz w:val="21"/>
                <w:szCs w:val="21"/>
              </w:rPr>
              <w:t>预测结果</w:t>
            </w:r>
          </w:p>
        </w:tc>
        <w:tc>
          <w:tcPr>
            <w:tcW w:w="3361" w:type="pct"/>
            <w:gridSpan w:val="10"/>
            <w:vAlign w:val="center"/>
          </w:tcPr>
          <w:p w14:paraId="4C8CE409">
            <w:pPr>
              <w:tabs>
                <w:tab w:val="left" w:pos="4624"/>
              </w:tabs>
              <w:kinsoku w:val="0"/>
              <w:overflowPunct w:val="0"/>
              <w:spacing w:line="240" w:lineRule="auto"/>
              <w:ind w:firstLine="0" w:firstLineChars="0"/>
              <w:jc w:val="center"/>
              <w:rPr>
                <w:color w:val="auto"/>
                <w:sz w:val="21"/>
                <w:szCs w:val="21"/>
              </w:rPr>
            </w:pPr>
            <w:r>
              <w:rPr>
                <w:color w:val="auto"/>
                <w:sz w:val="21"/>
                <w:szCs w:val="21"/>
              </w:rPr>
              <w:t>大气毒性终点浓度-1最大影响范围</w:t>
            </w:r>
            <w:r>
              <w:rPr>
                <w:color w:val="auto"/>
                <w:sz w:val="21"/>
                <w:szCs w:val="21"/>
                <w:u w:val="single"/>
              </w:rPr>
              <w:t xml:space="preserve">  </w:t>
            </w:r>
            <w:r>
              <w:rPr>
                <w:rFonts w:hint="eastAsia"/>
                <w:color w:val="auto"/>
                <w:sz w:val="21"/>
                <w:szCs w:val="21"/>
                <w:u w:val="single"/>
              </w:rPr>
              <w:t>/</w:t>
            </w:r>
            <w:r>
              <w:rPr>
                <w:color w:val="auto"/>
                <w:sz w:val="21"/>
                <w:szCs w:val="21"/>
                <w:u w:val="single"/>
              </w:rPr>
              <w:t xml:space="preserve">  </w:t>
            </w:r>
            <w:r>
              <w:rPr>
                <w:color w:val="auto"/>
                <w:sz w:val="21"/>
                <w:szCs w:val="21"/>
              </w:rPr>
              <w:t>m</w:t>
            </w:r>
          </w:p>
        </w:tc>
      </w:tr>
      <w:tr w14:paraId="21F091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205" w:type="pct"/>
            <w:vMerge w:val="continue"/>
            <w:vAlign w:val="center"/>
          </w:tcPr>
          <w:p w14:paraId="4479BD75">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0D661037">
            <w:pPr>
              <w:pStyle w:val="34"/>
              <w:kinsoku w:val="0"/>
              <w:overflowPunct w:val="0"/>
              <w:spacing w:after="0" w:line="240" w:lineRule="auto"/>
              <w:ind w:firstLine="0" w:firstLineChars="0"/>
              <w:jc w:val="center"/>
              <w:rPr>
                <w:color w:val="auto"/>
                <w:sz w:val="21"/>
                <w:szCs w:val="21"/>
              </w:rPr>
            </w:pPr>
          </w:p>
        </w:tc>
        <w:tc>
          <w:tcPr>
            <w:tcW w:w="759" w:type="pct"/>
            <w:gridSpan w:val="2"/>
            <w:vMerge w:val="continue"/>
            <w:vAlign w:val="center"/>
          </w:tcPr>
          <w:p w14:paraId="1F88D83D">
            <w:pPr>
              <w:pStyle w:val="34"/>
              <w:kinsoku w:val="0"/>
              <w:overflowPunct w:val="0"/>
              <w:spacing w:after="0" w:line="240" w:lineRule="auto"/>
              <w:ind w:firstLine="0" w:firstLineChars="0"/>
              <w:jc w:val="center"/>
              <w:rPr>
                <w:color w:val="auto"/>
                <w:sz w:val="21"/>
                <w:szCs w:val="21"/>
              </w:rPr>
            </w:pPr>
          </w:p>
        </w:tc>
        <w:tc>
          <w:tcPr>
            <w:tcW w:w="3361" w:type="pct"/>
            <w:gridSpan w:val="10"/>
            <w:vAlign w:val="center"/>
          </w:tcPr>
          <w:p w14:paraId="5FDC4FDC">
            <w:pPr>
              <w:tabs>
                <w:tab w:val="left" w:pos="4624"/>
              </w:tabs>
              <w:kinsoku w:val="0"/>
              <w:overflowPunct w:val="0"/>
              <w:spacing w:line="240" w:lineRule="auto"/>
              <w:ind w:firstLine="0" w:firstLineChars="0"/>
              <w:jc w:val="center"/>
              <w:rPr>
                <w:color w:val="auto"/>
                <w:sz w:val="21"/>
                <w:szCs w:val="21"/>
              </w:rPr>
            </w:pPr>
            <w:r>
              <w:rPr>
                <w:color w:val="auto"/>
                <w:sz w:val="21"/>
                <w:szCs w:val="21"/>
              </w:rPr>
              <w:t>大气毒性终点浓度-2最大影响范围</w:t>
            </w:r>
            <w:r>
              <w:rPr>
                <w:color w:val="auto"/>
                <w:sz w:val="21"/>
                <w:szCs w:val="21"/>
                <w:u w:val="single"/>
              </w:rPr>
              <w:t xml:space="preserve"> </w:t>
            </w:r>
            <w:r>
              <w:rPr>
                <w:rFonts w:hint="eastAsia"/>
                <w:color w:val="auto"/>
                <w:sz w:val="21"/>
                <w:szCs w:val="21"/>
                <w:u w:val="single"/>
              </w:rPr>
              <w:t xml:space="preserve"> </w:t>
            </w:r>
            <w:r>
              <w:rPr>
                <w:color w:val="auto"/>
                <w:sz w:val="21"/>
                <w:szCs w:val="21"/>
              </w:rPr>
              <w:t xml:space="preserve"> m</w:t>
            </w:r>
          </w:p>
        </w:tc>
      </w:tr>
      <w:tr w14:paraId="43CA2B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05" w:type="pct"/>
            <w:vMerge w:val="continue"/>
            <w:vAlign w:val="center"/>
          </w:tcPr>
          <w:p w14:paraId="250AA887">
            <w:pPr>
              <w:pStyle w:val="34"/>
              <w:kinsoku w:val="0"/>
              <w:overflowPunct w:val="0"/>
              <w:spacing w:after="0" w:line="240" w:lineRule="auto"/>
              <w:ind w:firstLine="0" w:firstLineChars="0"/>
              <w:jc w:val="center"/>
              <w:rPr>
                <w:color w:val="auto"/>
                <w:sz w:val="21"/>
                <w:szCs w:val="21"/>
              </w:rPr>
            </w:pPr>
          </w:p>
        </w:tc>
        <w:tc>
          <w:tcPr>
            <w:tcW w:w="674" w:type="pct"/>
            <w:vAlign w:val="center"/>
          </w:tcPr>
          <w:p w14:paraId="24F01265">
            <w:pPr>
              <w:kinsoku w:val="0"/>
              <w:overflowPunct w:val="0"/>
              <w:spacing w:line="240" w:lineRule="auto"/>
              <w:ind w:firstLine="0" w:firstLineChars="0"/>
              <w:jc w:val="center"/>
              <w:rPr>
                <w:color w:val="auto"/>
                <w:sz w:val="21"/>
                <w:szCs w:val="21"/>
              </w:rPr>
            </w:pPr>
            <w:r>
              <w:rPr>
                <w:color w:val="auto"/>
                <w:sz w:val="21"/>
                <w:szCs w:val="21"/>
              </w:rPr>
              <w:t>地表水</w:t>
            </w:r>
          </w:p>
        </w:tc>
        <w:tc>
          <w:tcPr>
            <w:tcW w:w="4120" w:type="pct"/>
            <w:gridSpan w:val="12"/>
            <w:vAlign w:val="center"/>
          </w:tcPr>
          <w:p w14:paraId="28FE6DE1">
            <w:pPr>
              <w:tabs>
                <w:tab w:val="left" w:pos="1925"/>
                <w:tab w:val="left" w:pos="3275"/>
              </w:tabs>
              <w:kinsoku w:val="0"/>
              <w:overflowPunct w:val="0"/>
              <w:spacing w:line="240" w:lineRule="auto"/>
              <w:ind w:firstLine="0" w:firstLineChars="0"/>
              <w:jc w:val="center"/>
              <w:rPr>
                <w:color w:val="auto"/>
                <w:sz w:val="21"/>
                <w:szCs w:val="21"/>
              </w:rPr>
            </w:pPr>
            <w:r>
              <w:rPr>
                <w:color w:val="auto"/>
                <w:sz w:val="21"/>
                <w:szCs w:val="21"/>
              </w:rPr>
              <w:t>最近环境敏感目标</w:t>
            </w:r>
            <w:r>
              <w:rPr>
                <w:color w:val="auto"/>
                <w:sz w:val="21"/>
                <w:szCs w:val="21"/>
                <w:u w:val="single"/>
              </w:rPr>
              <w:t xml:space="preserve"> </w:t>
            </w:r>
            <w:r>
              <w:rPr>
                <w:color w:val="auto"/>
                <w:sz w:val="21"/>
                <w:szCs w:val="21"/>
              </w:rPr>
              <w:t xml:space="preserve">  ，到达时间</w:t>
            </w:r>
            <w:r>
              <w:rPr>
                <w:color w:val="auto"/>
                <w:sz w:val="21"/>
                <w:szCs w:val="21"/>
                <w:u w:val="single"/>
              </w:rPr>
              <w:t xml:space="preserve">  /  </w:t>
            </w:r>
            <w:r>
              <w:rPr>
                <w:color w:val="auto"/>
                <w:sz w:val="21"/>
                <w:szCs w:val="21"/>
              </w:rPr>
              <w:t>h</w:t>
            </w:r>
          </w:p>
        </w:tc>
      </w:tr>
      <w:tr w14:paraId="28CE64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205" w:type="pct"/>
            <w:vMerge w:val="continue"/>
            <w:vAlign w:val="center"/>
          </w:tcPr>
          <w:p w14:paraId="3DF87FA1">
            <w:pPr>
              <w:pStyle w:val="34"/>
              <w:kinsoku w:val="0"/>
              <w:overflowPunct w:val="0"/>
              <w:spacing w:after="0" w:line="240" w:lineRule="auto"/>
              <w:ind w:firstLine="0" w:firstLineChars="0"/>
              <w:jc w:val="center"/>
              <w:rPr>
                <w:color w:val="auto"/>
                <w:sz w:val="21"/>
                <w:szCs w:val="21"/>
              </w:rPr>
            </w:pPr>
          </w:p>
        </w:tc>
        <w:tc>
          <w:tcPr>
            <w:tcW w:w="674" w:type="pct"/>
            <w:vMerge w:val="restart"/>
            <w:vAlign w:val="center"/>
          </w:tcPr>
          <w:p w14:paraId="0145098D">
            <w:pPr>
              <w:kinsoku w:val="0"/>
              <w:overflowPunct w:val="0"/>
              <w:spacing w:line="240" w:lineRule="auto"/>
              <w:ind w:firstLine="0" w:firstLineChars="0"/>
              <w:jc w:val="center"/>
              <w:rPr>
                <w:color w:val="auto"/>
                <w:sz w:val="21"/>
                <w:szCs w:val="21"/>
              </w:rPr>
            </w:pPr>
            <w:r>
              <w:rPr>
                <w:color w:val="auto"/>
                <w:sz w:val="21"/>
                <w:szCs w:val="21"/>
              </w:rPr>
              <w:t>地下水</w:t>
            </w:r>
          </w:p>
        </w:tc>
        <w:tc>
          <w:tcPr>
            <w:tcW w:w="4120" w:type="pct"/>
            <w:gridSpan w:val="12"/>
            <w:vAlign w:val="center"/>
          </w:tcPr>
          <w:p w14:paraId="508C1354">
            <w:pPr>
              <w:tabs>
                <w:tab w:val="left" w:pos="2287"/>
              </w:tabs>
              <w:kinsoku w:val="0"/>
              <w:overflowPunct w:val="0"/>
              <w:spacing w:line="240" w:lineRule="auto"/>
              <w:ind w:firstLine="0" w:firstLineChars="0"/>
              <w:jc w:val="center"/>
              <w:rPr>
                <w:color w:val="auto"/>
                <w:sz w:val="21"/>
                <w:szCs w:val="21"/>
              </w:rPr>
            </w:pPr>
            <w:r>
              <w:rPr>
                <w:color w:val="auto"/>
                <w:sz w:val="21"/>
                <w:szCs w:val="21"/>
              </w:rPr>
              <w:t>下游厂区边界到达时间</w:t>
            </w:r>
            <w:r>
              <w:rPr>
                <w:color w:val="auto"/>
                <w:sz w:val="21"/>
                <w:szCs w:val="21"/>
                <w:u w:val="single"/>
              </w:rPr>
              <w:t xml:space="preserve">  /  </w:t>
            </w:r>
            <w:r>
              <w:rPr>
                <w:color w:val="auto"/>
                <w:sz w:val="21"/>
                <w:szCs w:val="21"/>
              </w:rPr>
              <w:t>d</w:t>
            </w:r>
          </w:p>
        </w:tc>
      </w:tr>
      <w:tr w14:paraId="2B40EB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205" w:type="pct"/>
            <w:vMerge w:val="continue"/>
            <w:vAlign w:val="center"/>
          </w:tcPr>
          <w:p w14:paraId="10F9C42D">
            <w:pPr>
              <w:pStyle w:val="34"/>
              <w:kinsoku w:val="0"/>
              <w:overflowPunct w:val="0"/>
              <w:spacing w:after="0" w:line="240" w:lineRule="auto"/>
              <w:ind w:firstLine="0" w:firstLineChars="0"/>
              <w:jc w:val="center"/>
              <w:rPr>
                <w:color w:val="auto"/>
                <w:sz w:val="21"/>
                <w:szCs w:val="21"/>
              </w:rPr>
            </w:pPr>
          </w:p>
        </w:tc>
        <w:tc>
          <w:tcPr>
            <w:tcW w:w="674" w:type="pct"/>
            <w:vMerge w:val="continue"/>
            <w:vAlign w:val="center"/>
          </w:tcPr>
          <w:p w14:paraId="58E7BF13">
            <w:pPr>
              <w:pStyle w:val="34"/>
              <w:kinsoku w:val="0"/>
              <w:overflowPunct w:val="0"/>
              <w:spacing w:after="0" w:line="240" w:lineRule="auto"/>
              <w:ind w:firstLine="0" w:firstLineChars="0"/>
              <w:jc w:val="center"/>
              <w:rPr>
                <w:color w:val="auto"/>
                <w:sz w:val="21"/>
                <w:szCs w:val="21"/>
              </w:rPr>
            </w:pPr>
          </w:p>
        </w:tc>
        <w:tc>
          <w:tcPr>
            <w:tcW w:w="4120" w:type="pct"/>
            <w:gridSpan w:val="12"/>
            <w:vAlign w:val="center"/>
          </w:tcPr>
          <w:p w14:paraId="4D9A15BE">
            <w:pPr>
              <w:tabs>
                <w:tab w:val="left" w:pos="1925"/>
                <w:tab w:val="left" w:pos="3275"/>
              </w:tabs>
              <w:kinsoku w:val="0"/>
              <w:overflowPunct w:val="0"/>
              <w:spacing w:line="240" w:lineRule="auto"/>
              <w:ind w:firstLine="0" w:firstLineChars="0"/>
              <w:jc w:val="center"/>
              <w:rPr>
                <w:color w:val="auto"/>
                <w:sz w:val="21"/>
                <w:szCs w:val="21"/>
              </w:rPr>
            </w:pPr>
            <w:r>
              <w:rPr>
                <w:color w:val="auto"/>
                <w:sz w:val="21"/>
                <w:szCs w:val="21"/>
              </w:rPr>
              <w:t>最近环境敏感目标</w:t>
            </w:r>
            <w:r>
              <w:rPr>
                <w:color w:val="auto"/>
                <w:sz w:val="21"/>
                <w:szCs w:val="21"/>
                <w:u w:val="single"/>
              </w:rPr>
              <w:t xml:space="preserve">  /  </w:t>
            </w:r>
            <w:r>
              <w:rPr>
                <w:color w:val="auto"/>
                <w:sz w:val="21"/>
                <w:szCs w:val="21"/>
              </w:rPr>
              <w:t>，到达时间</w:t>
            </w:r>
            <w:r>
              <w:rPr>
                <w:color w:val="auto"/>
                <w:sz w:val="21"/>
                <w:szCs w:val="21"/>
                <w:u w:val="single"/>
              </w:rPr>
              <w:t xml:space="preserve">  /  </w:t>
            </w:r>
            <w:r>
              <w:rPr>
                <w:color w:val="auto"/>
                <w:sz w:val="21"/>
                <w:szCs w:val="21"/>
              </w:rPr>
              <w:t>d</w:t>
            </w:r>
          </w:p>
        </w:tc>
      </w:tr>
      <w:tr w14:paraId="621D9D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879" w:type="pct"/>
            <w:gridSpan w:val="2"/>
            <w:vAlign w:val="center"/>
          </w:tcPr>
          <w:p w14:paraId="749EE50D">
            <w:pPr>
              <w:pStyle w:val="34"/>
              <w:kinsoku w:val="0"/>
              <w:overflowPunct w:val="0"/>
              <w:spacing w:after="0" w:line="240" w:lineRule="auto"/>
              <w:ind w:firstLine="0" w:firstLineChars="0"/>
              <w:jc w:val="center"/>
              <w:rPr>
                <w:color w:val="auto"/>
                <w:sz w:val="21"/>
                <w:szCs w:val="21"/>
              </w:rPr>
            </w:pPr>
            <w:r>
              <w:rPr>
                <w:color w:val="auto"/>
                <w:spacing w:val="-1"/>
                <w:sz w:val="21"/>
                <w:szCs w:val="21"/>
              </w:rPr>
              <w:t>重点风险防范</w:t>
            </w:r>
            <w:r>
              <w:rPr>
                <w:color w:val="auto"/>
                <w:sz w:val="21"/>
                <w:szCs w:val="21"/>
              </w:rPr>
              <w:t>措施</w:t>
            </w:r>
          </w:p>
        </w:tc>
        <w:tc>
          <w:tcPr>
            <w:tcW w:w="4120" w:type="pct"/>
            <w:gridSpan w:val="12"/>
            <w:vAlign w:val="center"/>
          </w:tcPr>
          <w:p w14:paraId="0EC61850">
            <w:pPr>
              <w:tabs>
                <w:tab w:val="left" w:pos="1925"/>
                <w:tab w:val="left" w:pos="3275"/>
              </w:tabs>
              <w:kinsoku w:val="0"/>
              <w:overflowPunct w:val="0"/>
              <w:spacing w:line="240" w:lineRule="auto"/>
              <w:ind w:firstLine="0" w:firstLineChars="0"/>
              <w:rPr>
                <w:color w:val="auto"/>
                <w:sz w:val="21"/>
                <w:szCs w:val="21"/>
              </w:rPr>
            </w:pPr>
            <w:r>
              <w:rPr>
                <w:rFonts w:hint="eastAsia"/>
                <w:color w:val="auto"/>
                <w:sz w:val="21"/>
                <w:szCs w:val="21"/>
              </w:rPr>
              <w:t>拟建项目已从大气、事故废水、地下水等方面明确了防止危险物质进入环境及进入环境后的控制、消减、监测等措施，提出风险监控及应急监测系统，以及建立与园区对接、联动的风险防范体系。</w:t>
            </w:r>
          </w:p>
          <w:p w14:paraId="609F80D0">
            <w:pPr>
              <w:tabs>
                <w:tab w:val="left" w:pos="1925"/>
                <w:tab w:val="left" w:pos="3275"/>
              </w:tabs>
              <w:kinsoku w:val="0"/>
              <w:overflowPunct w:val="0"/>
              <w:spacing w:line="240" w:lineRule="auto"/>
              <w:ind w:firstLine="0" w:firstLineChars="0"/>
              <w:rPr>
                <w:color w:val="auto"/>
                <w:sz w:val="21"/>
                <w:szCs w:val="21"/>
              </w:rPr>
            </w:pPr>
            <w:r>
              <w:rPr>
                <w:rFonts w:hint="eastAsia"/>
                <w:color w:val="auto"/>
                <w:sz w:val="21"/>
                <w:szCs w:val="21"/>
              </w:rPr>
              <w:t>综上分析可知建设项目环境风险可实现有效防控，但应根据拟建项目环境风险可能影响的范围与程度，采取措施进一步缓解环境风险，并开展环境影响后评价。</w:t>
            </w:r>
          </w:p>
        </w:tc>
      </w:tr>
      <w:tr w14:paraId="1AEDC2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879" w:type="pct"/>
            <w:gridSpan w:val="2"/>
          </w:tcPr>
          <w:p w14:paraId="253F87CD">
            <w:pPr>
              <w:kinsoku w:val="0"/>
              <w:overflowPunct w:val="0"/>
              <w:spacing w:line="240" w:lineRule="auto"/>
              <w:ind w:firstLine="0" w:firstLineChars="0"/>
              <w:jc w:val="center"/>
              <w:rPr>
                <w:color w:val="auto"/>
                <w:sz w:val="21"/>
                <w:szCs w:val="21"/>
              </w:rPr>
            </w:pPr>
            <w:r>
              <w:rPr>
                <w:color w:val="auto"/>
                <w:sz w:val="21"/>
                <w:szCs w:val="21"/>
              </w:rPr>
              <w:t>评价结论与建议</w:t>
            </w:r>
          </w:p>
        </w:tc>
        <w:tc>
          <w:tcPr>
            <w:tcW w:w="4120" w:type="pct"/>
            <w:gridSpan w:val="12"/>
          </w:tcPr>
          <w:p w14:paraId="114997FF">
            <w:pPr>
              <w:kinsoku w:val="0"/>
              <w:overflowPunct w:val="0"/>
              <w:spacing w:line="240" w:lineRule="auto"/>
              <w:ind w:firstLine="0" w:firstLineChars="0"/>
              <w:rPr>
                <w:color w:val="auto"/>
                <w:sz w:val="21"/>
                <w:szCs w:val="21"/>
              </w:rPr>
            </w:pPr>
            <w:r>
              <w:rPr>
                <w:rFonts w:hint="eastAsia"/>
                <w:color w:val="auto"/>
                <w:sz w:val="21"/>
                <w:szCs w:val="21"/>
              </w:rPr>
              <w:t>拟建项目已从大气、事故废水、地下水等方面明确了防止危险物质进入环境及进入环境后的控制、消减、监测等措施，提出风险监控及应急监测系统，以及建立与园区对接、联动的风险防范体系</w:t>
            </w:r>
          </w:p>
          <w:p w14:paraId="4F58C0EA">
            <w:pPr>
              <w:kinsoku w:val="0"/>
              <w:overflowPunct w:val="0"/>
              <w:spacing w:line="240" w:lineRule="auto"/>
              <w:ind w:firstLine="0" w:firstLineChars="0"/>
              <w:rPr>
                <w:color w:val="auto"/>
                <w:sz w:val="21"/>
                <w:szCs w:val="21"/>
              </w:rPr>
            </w:pPr>
            <w:r>
              <w:rPr>
                <w:rFonts w:hint="eastAsia"/>
                <w:color w:val="auto"/>
                <w:sz w:val="21"/>
                <w:szCs w:val="21"/>
              </w:rPr>
              <w:t>综上分析可知建设项目环境风险可实现有效防控，但应根据拟建项目环境风险可能影响的范围与程度，采取措施进一步缓解环境风险，并开展环境影响后评价。</w:t>
            </w:r>
          </w:p>
        </w:tc>
      </w:tr>
    </w:tbl>
    <w:p w14:paraId="2E498FC5">
      <w:pPr>
        <w:ind w:firstLine="480"/>
        <w:rPr>
          <w:color w:val="auto"/>
        </w:rPr>
      </w:pPr>
      <w:r>
        <w:rPr>
          <w:color w:val="auto"/>
        </w:rPr>
        <w:br w:type="page"/>
      </w:r>
    </w:p>
    <w:p w14:paraId="571D31CF">
      <w:pPr>
        <w:pStyle w:val="3"/>
        <w:spacing w:before="120" w:beforeLines="50"/>
        <w:ind w:firstLine="0" w:firstLineChars="0"/>
        <w:rPr>
          <w:color w:val="auto"/>
          <w:sz w:val="32"/>
          <w:szCs w:val="48"/>
        </w:rPr>
      </w:pPr>
      <w:bookmarkStart w:id="142" w:name="_Toc14732"/>
      <w:r>
        <w:rPr>
          <w:rFonts w:hint="eastAsia"/>
          <w:color w:val="auto"/>
          <w:sz w:val="32"/>
          <w:szCs w:val="48"/>
        </w:rPr>
        <w:t>7</w:t>
      </w:r>
      <w:r>
        <w:rPr>
          <w:color w:val="auto"/>
          <w:sz w:val="32"/>
          <w:szCs w:val="48"/>
        </w:rPr>
        <w:t xml:space="preserve"> 环境保护措施及其可行性论证</w:t>
      </w:r>
      <w:bookmarkEnd w:id="142"/>
    </w:p>
    <w:p w14:paraId="160CC9B6">
      <w:pPr>
        <w:pStyle w:val="4"/>
        <w:spacing w:beforeLines="50" w:after="0"/>
        <w:ind w:firstLine="0" w:firstLineChars="0"/>
        <w:rPr>
          <w:color w:val="auto"/>
          <w:sz w:val="30"/>
          <w:szCs w:val="30"/>
        </w:rPr>
      </w:pPr>
      <w:bookmarkStart w:id="143" w:name="_Toc356203455"/>
      <w:bookmarkStart w:id="144" w:name="_Toc458431590"/>
      <w:bookmarkStart w:id="145" w:name="_Toc28122"/>
      <w:bookmarkStart w:id="146" w:name="_Toc469473294"/>
      <w:bookmarkStart w:id="147" w:name="_Toc488670081"/>
      <w:bookmarkStart w:id="148" w:name="_Toc343082717"/>
      <w:bookmarkStart w:id="149" w:name="_Toc179865643"/>
      <w:bookmarkStart w:id="150" w:name="_Toc367553910"/>
      <w:bookmarkStart w:id="151" w:name="_Toc514071272"/>
      <w:bookmarkStart w:id="152" w:name="_Toc101172689"/>
      <w:bookmarkStart w:id="153" w:name="_Toc271731753"/>
      <w:bookmarkStart w:id="154" w:name="_Toc486868121"/>
      <w:bookmarkStart w:id="155" w:name="_Toc475202272"/>
      <w:bookmarkStart w:id="156" w:name="_Toc214248628"/>
      <w:bookmarkStart w:id="157" w:name="_Toc178062855"/>
      <w:bookmarkStart w:id="158" w:name="_Toc478027405"/>
      <w:bookmarkStart w:id="159" w:name="_Toc348960563"/>
      <w:bookmarkStart w:id="160" w:name="_Toc446494966"/>
      <w:bookmarkStart w:id="161" w:name="_Toc176678875"/>
      <w:bookmarkStart w:id="162" w:name="_Toc339357937"/>
      <w:bookmarkStart w:id="163" w:name="_Toc492554905"/>
      <w:bookmarkStart w:id="164" w:name="_Toc187054046"/>
      <w:r>
        <w:rPr>
          <w:rFonts w:hint="eastAsia"/>
          <w:color w:val="auto"/>
          <w:sz w:val="30"/>
          <w:szCs w:val="30"/>
        </w:rPr>
        <w:t>7</w:t>
      </w:r>
      <w:r>
        <w:rPr>
          <w:color w:val="auto"/>
          <w:sz w:val="30"/>
          <w:szCs w:val="30"/>
        </w:rPr>
        <w:t>.1 施工期污染治理措施评述</w:t>
      </w:r>
      <w:bookmarkEnd w:id="143"/>
      <w:bookmarkEnd w:id="144"/>
      <w:bookmarkEnd w:id="145"/>
    </w:p>
    <w:p w14:paraId="03A31A18">
      <w:pPr>
        <w:keepNext/>
        <w:keepLines/>
        <w:spacing w:before="120" w:beforeLines="50"/>
        <w:ind w:firstLine="0" w:firstLineChars="0"/>
        <w:outlineLvl w:val="2"/>
        <w:rPr>
          <w:b/>
          <w:bCs/>
          <w:color w:val="auto"/>
          <w:sz w:val="28"/>
          <w:szCs w:val="28"/>
        </w:rPr>
      </w:pPr>
      <w:r>
        <w:rPr>
          <w:rFonts w:hint="eastAsia"/>
          <w:b/>
          <w:bCs/>
          <w:color w:val="auto"/>
          <w:sz w:val="28"/>
          <w:szCs w:val="28"/>
        </w:rPr>
        <w:t>7</w:t>
      </w:r>
      <w:r>
        <w:rPr>
          <w:b/>
          <w:bCs/>
          <w:color w:val="auto"/>
          <w:sz w:val="28"/>
          <w:szCs w:val="28"/>
        </w:rPr>
        <w:t>.1.1 大气污染防治措施</w:t>
      </w:r>
    </w:p>
    <w:p w14:paraId="232CCF6E">
      <w:pPr>
        <w:pStyle w:val="1356"/>
        <w:ind w:firstLine="480"/>
        <w:rPr>
          <w:color w:val="auto"/>
        </w:rPr>
      </w:pPr>
      <w:bookmarkStart w:id="165" w:name="_Hlk525829085"/>
      <w:r>
        <w:rPr>
          <w:color w:val="auto"/>
        </w:rPr>
        <w:t>项目建设施工期大气污染物主要有：</w:t>
      </w:r>
    </w:p>
    <w:p w14:paraId="091E7818">
      <w:pPr>
        <w:pStyle w:val="1356"/>
        <w:ind w:firstLine="482"/>
        <w:rPr>
          <w:b/>
          <w:bCs/>
          <w:color w:val="auto"/>
        </w:rPr>
      </w:pPr>
      <w:r>
        <w:rPr>
          <w:b/>
          <w:bCs/>
          <w:color w:val="auto"/>
        </w:rPr>
        <w:t>1、车辆尾气</w:t>
      </w:r>
    </w:p>
    <w:p w14:paraId="70F1EEFB">
      <w:pPr>
        <w:pStyle w:val="1356"/>
        <w:ind w:firstLine="480"/>
        <w:rPr>
          <w:color w:val="auto"/>
        </w:rPr>
      </w:pPr>
      <w:r>
        <w:rPr>
          <w:color w:val="auto"/>
        </w:rPr>
        <w:t>施工过程中废气主要来源于施工机械和运输车辆所排放的尾气。</w:t>
      </w:r>
    </w:p>
    <w:p w14:paraId="0C6A1137">
      <w:pPr>
        <w:pStyle w:val="1356"/>
        <w:ind w:firstLine="482"/>
        <w:rPr>
          <w:b/>
          <w:bCs/>
          <w:color w:val="auto"/>
        </w:rPr>
      </w:pPr>
      <w:r>
        <w:rPr>
          <w:b/>
          <w:bCs/>
          <w:color w:val="auto"/>
        </w:rPr>
        <w:t>2、颗粒物及扬尘</w:t>
      </w:r>
    </w:p>
    <w:p w14:paraId="5C233289">
      <w:pPr>
        <w:pStyle w:val="1356"/>
        <w:ind w:firstLine="480"/>
        <w:rPr>
          <w:color w:val="auto"/>
        </w:rPr>
      </w:pPr>
      <w:r>
        <w:rPr>
          <w:color w:val="auto"/>
        </w:rPr>
        <w:t>（1）施工标志牌的规格和内容。施工期间，施工单位应根据《建设工程施工现场管理规定》的规定设置现场平面布置图、工程概况牌、安全生产牌、消防保卫牌、文明施工牌、环境保护牌、管理人员名单及监督电话牌等。</w:t>
      </w:r>
    </w:p>
    <w:p w14:paraId="4D569D84">
      <w:pPr>
        <w:pStyle w:val="1356"/>
        <w:ind w:firstLine="480"/>
        <w:rPr>
          <w:color w:val="auto"/>
        </w:rPr>
      </w:pPr>
      <w:r>
        <w:rPr>
          <w:color w:val="auto"/>
        </w:rPr>
        <w:t>（2）围挡、围栏及防溢座的设置。施工期间，土建工地、市政高架和道路施工等在城市主要干道、景观地区、繁华区域，其边界应设置高度2.5米以上的围挡；各类管线敷设工程，其边界应设1.5米以上的封闭式或半封闭式路栏；其余区域设置2.0米以上围挡。以上围挡高度可视地方管理要求适当增加。围挡底端应设置防溢座，围挡之间以及围挡与防溢座之间无缝隙。对于特殊地点无法设置围挡、围栏及防溢座的，应设置警示牌。</w:t>
      </w:r>
    </w:p>
    <w:p w14:paraId="0EE5B270">
      <w:pPr>
        <w:pStyle w:val="1356"/>
        <w:ind w:firstLine="480"/>
        <w:rPr>
          <w:color w:val="auto"/>
        </w:rPr>
      </w:pPr>
      <w:r>
        <w:rPr>
          <w:color w:val="auto"/>
        </w:rPr>
        <w:t>（3）土方工程防尘措施。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w:t>
      </w:r>
    </w:p>
    <w:p w14:paraId="1CFB323B">
      <w:pPr>
        <w:pStyle w:val="1356"/>
        <w:ind w:firstLine="480"/>
        <w:rPr>
          <w:color w:val="auto"/>
        </w:rPr>
      </w:pPr>
      <w:r>
        <w:rPr>
          <w:color w:val="auto"/>
        </w:rPr>
        <w:t>（4）建筑材料的防尘管理措施。施工过程中使用水泥、石灰、砂石、涂料、铺装材料等易产生扬尘的建筑材料，应采取下列措施之一：</w:t>
      </w:r>
    </w:p>
    <w:p w14:paraId="6BC2B61B">
      <w:pPr>
        <w:pStyle w:val="1356"/>
        <w:ind w:firstLine="480"/>
        <w:rPr>
          <w:color w:val="auto"/>
        </w:rPr>
      </w:pPr>
      <w:r>
        <w:rPr>
          <w:color w:val="auto"/>
        </w:rPr>
        <w:t>a）密闭存储；</w:t>
      </w:r>
    </w:p>
    <w:p w14:paraId="27D11E40">
      <w:pPr>
        <w:pStyle w:val="1356"/>
        <w:ind w:firstLine="480"/>
        <w:rPr>
          <w:color w:val="auto"/>
        </w:rPr>
      </w:pPr>
      <w:r>
        <w:rPr>
          <w:color w:val="auto"/>
        </w:rPr>
        <w:t>b）设置围挡或堆砌围墙；</w:t>
      </w:r>
    </w:p>
    <w:p w14:paraId="1C823B38">
      <w:pPr>
        <w:pStyle w:val="1356"/>
        <w:ind w:firstLine="480"/>
        <w:rPr>
          <w:color w:val="auto"/>
        </w:rPr>
      </w:pPr>
      <w:r>
        <w:rPr>
          <w:color w:val="auto"/>
        </w:rPr>
        <w:t>c）采用防尘布苫盖；</w:t>
      </w:r>
    </w:p>
    <w:p w14:paraId="4B268F23">
      <w:pPr>
        <w:pStyle w:val="1356"/>
        <w:ind w:firstLine="480"/>
        <w:rPr>
          <w:color w:val="auto"/>
        </w:rPr>
      </w:pPr>
      <w:r>
        <w:rPr>
          <w:color w:val="auto"/>
        </w:rPr>
        <w:t>d）其他有效的防尘措施。</w:t>
      </w:r>
    </w:p>
    <w:p w14:paraId="214E099C">
      <w:pPr>
        <w:pStyle w:val="1356"/>
        <w:ind w:firstLine="480"/>
        <w:rPr>
          <w:color w:val="auto"/>
        </w:rPr>
      </w:pPr>
      <w:r>
        <w:rPr>
          <w:color w:val="auto"/>
        </w:rPr>
        <w:t>（5）建筑垃圾的防尘管理措施。施工工程中产生的弃土、弃料及其他建筑垃圾，应及时清运。若在工地内堆置超过一周的，则应采取下列措施之一，防止风蚀起尘及水蚀迁移：</w:t>
      </w:r>
    </w:p>
    <w:p w14:paraId="49D35B9F">
      <w:pPr>
        <w:pStyle w:val="1356"/>
        <w:ind w:firstLine="480"/>
        <w:rPr>
          <w:color w:val="auto"/>
        </w:rPr>
      </w:pPr>
      <w:r>
        <w:rPr>
          <w:color w:val="auto"/>
        </w:rPr>
        <w:t>a）覆盖防尘布、防尘网；</w:t>
      </w:r>
    </w:p>
    <w:p w14:paraId="4C6EB435">
      <w:pPr>
        <w:pStyle w:val="1356"/>
        <w:ind w:firstLine="480"/>
        <w:rPr>
          <w:color w:val="auto"/>
        </w:rPr>
      </w:pPr>
      <w:r>
        <w:rPr>
          <w:color w:val="auto"/>
        </w:rPr>
        <w:t>b）定期喷洒抑尘剂；</w:t>
      </w:r>
    </w:p>
    <w:p w14:paraId="4E04401A">
      <w:pPr>
        <w:pStyle w:val="1356"/>
        <w:ind w:firstLine="480"/>
        <w:rPr>
          <w:color w:val="auto"/>
        </w:rPr>
      </w:pPr>
      <w:r>
        <w:rPr>
          <w:color w:val="auto"/>
        </w:rPr>
        <w:t>c）定期喷水压尘；</w:t>
      </w:r>
    </w:p>
    <w:p w14:paraId="141C0009">
      <w:pPr>
        <w:pStyle w:val="1356"/>
        <w:ind w:firstLine="480"/>
        <w:rPr>
          <w:color w:val="auto"/>
        </w:rPr>
      </w:pPr>
      <w:r>
        <w:rPr>
          <w:color w:val="auto"/>
        </w:rPr>
        <w:t>d）其他有效的防尘措施。</w:t>
      </w:r>
    </w:p>
    <w:p w14:paraId="113A23E7">
      <w:pPr>
        <w:pStyle w:val="1356"/>
        <w:ind w:firstLine="480"/>
        <w:rPr>
          <w:color w:val="auto"/>
        </w:rPr>
      </w:pPr>
      <w:r>
        <w:rPr>
          <w:color w:val="auto"/>
        </w:rPr>
        <w:t>（6）设置洗车平台，完善排水设施，防止泥土粘带。施工期间，应在物料、渣土、垃圾运输车辆的出口内侧设置洗车平台，车辆驶离工地前，应在洗车平台清洗轮胎及车身，不得带泥上路。洗车平台四周应设置防溢座、废水导流渠、废水收集池、</w:t>
      </w:r>
      <w:r>
        <w:rPr>
          <w:rFonts w:hint="eastAsia"/>
          <w:color w:val="auto"/>
        </w:rPr>
        <w:t>沉沙池及其他</w:t>
      </w:r>
      <w:r>
        <w:rPr>
          <w:color w:val="auto"/>
        </w:rPr>
        <w:t>防治设施，收集洗车、施工以及降水过程中产生的废水和泥浆。工地出口处铺装道路上可见粘带泥土不得超过10米，并应及时清扫冲洗。</w:t>
      </w:r>
    </w:p>
    <w:p w14:paraId="7E800518">
      <w:pPr>
        <w:pStyle w:val="1356"/>
        <w:ind w:firstLine="480"/>
        <w:rPr>
          <w:color w:val="auto"/>
        </w:rPr>
      </w:pPr>
      <w:r>
        <w:rPr>
          <w:color w:val="auto"/>
        </w:rPr>
        <w:t>（7）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15厘米，保证物料、渣土、垃圾等不露出。车辆按照批准的路线和时间进行物料、渣土、垃圾的运输。</w:t>
      </w:r>
    </w:p>
    <w:p w14:paraId="1050620F">
      <w:pPr>
        <w:pStyle w:val="1356"/>
        <w:ind w:firstLine="480"/>
        <w:rPr>
          <w:color w:val="auto"/>
        </w:rPr>
      </w:pPr>
      <w:r>
        <w:rPr>
          <w:color w:val="auto"/>
        </w:rPr>
        <w:t>（8）施工工地道路防尘措施。施工期间，施工工地内及工地出口至铺装道路间的车行道路，应采取下列措施之一，并保持路面清洁，防止机动车扬尘：</w:t>
      </w:r>
    </w:p>
    <w:p w14:paraId="76CE8222">
      <w:pPr>
        <w:pStyle w:val="1356"/>
        <w:ind w:firstLine="480"/>
        <w:rPr>
          <w:color w:val="auto"/>
        </w:rPr>
      </w:pPr>
      <w:r>
        <w:rPr>
          <w:color w:val="auto"/>
        </w:rPr>
        <w:t>a）铺设钢板；</w:t>
      </w:r>
    </w:p>
    <w:p w14:paraId="6B634464">
      <w:pPr>
        <w:pStyle w:val="1356"/>
        <w:ind w:firstLine="480"/>
        <w:rPr>
          <w:color w:val="auto"/>
        </w:rPr>
      </w:pPr>
      <w:r>
        <w:rPr>
          <w:color w:val="auto"/>
        </w:rPr>
        <w:t>b）铺设水泥混凝土；</w:t>
      </w:r>
    </w:p>
    <w:p w14:paraId="5A439BD9">
      <w:pPr>
        <w:pStyle w:val="1356"/>
        <w:ind w:firstLine="480"/>
        <w:rPr>
          <w:color w:val="auto"/>
        </w:rPr>
      </w:pPr>
      <w:r>
        <w:rPr>
          <w:color w:val="auto"/>
        </w:rPr>
        <w:t>c）铺设沥青混凝土；</w:t>
      </w:r>
    </w:p>
    <w:p w14:paraId="6EBEC6D8">
      <w:pPr>
        <w:pStyle w:val="1356"/>
        <w:ind w:firstLine="480"/>
        <w:rPr>
          <w:color w:val="auto"/>
        </w:rPr>
      </w:pPr>
      <w:r>
        <w:rPr>
          <w:color w:val="auto"/>
        </w:rPr>
        <w:t>d）铺设用礁渣、细石或</w:t>
      </w:r>
      <w:r>
        <w:rPr>
          <w:rFonts w:hint="eastAsia"/>
          <w:color w:val="auto"/>
        </w:rPr>
        <w:t>其他</w:t>
      </w:r>
      <w:r>
        <w:rPr>
          <w:color w:val="auto"/>
        </w:rPr>
        <w:t>功能相当的材料等，并辅以洒水、喷洒抑尘剂等措施。</w:t>
      </w:r>
    </w:p>
    <w:p w14:paraId="27DF45B4">
      <w:pPr>
        <w:pStyle w:val="1356"/>
        <w:ind w:firstLine="480"/>
        <w:rPr>
          <w:color w:val="auto"/>
        </w:rPr>
      </w:pPr>
      <w:r>
        <w:rPr>
          <w:color w:val="auto"/>
        </w:rPr>
        <w:t>e）其他有效的防尘措施。</w:t>
      </w:r>
    </w:p>
    <w:p w14:paraId="3B81E055">
      <w:pPr>
        <w:pStyle w:val="1356"/>
        <w:ind w:firstLine="480"/>
        <w:rPr>
          <w:color w:val="auto"/>
        </w:rPr>
      </w:pPr>
      <w:r>
        <w:rPr>
          <w:color w:val="auto"/>
        </w:rPr>
        <w:t>（9）施工工地道路积尘清洁措施。可采用吸尘或水冲洗的方法清洁施工工地道路积尘，不得在未实施洒水等抑尘措施情况下进行直接清扫。</w:t>
      </w:r>
    </w:p>
    <w:p w14:paraId="008803D6">
      <w:pPr>
        <w:pStyle w:val="1356"/>
        <w:ind w:firstLine="480"/>
        <w:rPr>
          <w:color w:val="auto"/>
        </w:rPr>
      </w:pPr>
      <w:r>
        <w:rPr>
          <w:color w:val="auto"/>
        </w:rPr>
        <w:t>（10）施工工地内部裸地防尘措施。施工期间，对于工地内裸露地面，应采取下列防尘措施之一：</w:t>
      </w:r>
    </w:p>
    <w:p w14:paraId="7D07CBE1">
      <w:pPr>
        <w:pStyle w:val="1356"/>
        <w:ind w:firstLine="480"/>
        <w:rPr>
          <w:color w:val="auto"/>
        </w:rPr>
      </w:pPr>
      <w:r>
        <w:rPr>
          <w:color w:val="auto"/>
        </w:rPr>
        <w:t>a）覆盖防尘布或防尘网；</w:t>
      </w:r>
    </w:p>
    <w:p w14:paraId="2F257E36">
      <w:pPr>
        <w:pStyle w:val="1356"/>
        <w:ind w:firstLine="480"/>
        <w:rPr>
          <w:color w:val="auto"/>
        </w:rPr>
      </w:pPr>
      <w:r>
        <w:rPr>
          <w:color w:val="auto"/>
        </w:rPr>
        <w:t>b）铺设礁渣、细石或其他功能相当的材料；</w:t>
      </w:r>
    </w:p>
    <w:p w14:paraId="4C67AC37">
      <w:pPr>
        <w:pStyle w:val="1356"/>
        <w:ind w:firstLine="480"/>
        <w:rPr>
          <w:color w:val="auto"/>
        </w:rPr>
      </w:pPr>
      <w:r>
        <w:rPr>
          <w:color w:val="auto"/>
        </w:rPr>
        <w:t>c）植被绿化；</w:t>
      </w:r>
    </w:p>
    <w:p w14:paraId="4046A893">
      <w:pPr>
        <w:pStyle w:val="1356"/>
        <w:ind w:firstLine="480"/>
        <w:rPr>
          <w:color w:val="auto"/>
        </w:rPr>
      </w:pPr>
      <w:r>
        <w:rPr>
          <w:color w:val="auto"/>
        </w:rPr>
        <w:t>d）晴朗天气时，视情况每周等时间隔洒水二至七次，扬尘严重时应加大洒水频率；</w:t>
      </w:r>
    </w:p>
    <w:p w14:paraId="71BDED23">
      <w:pPr>
        <w:pStyle w:val="1356"/>
        <w:ind w:firstLine="480"/>
        <w:rPr>
          <w:color w:val="auto"/>
        </w:rPr>
      </w:pPr>
      <w:r>
        <w:rPr>
          <w:color w:val="auto"/>
        </w:rPr>
        <w:t>e）根据抑尘剂性能，定期喷洒抑尘剂。</w:t>
      </w:r>
    </w:p>
    <w:p w14:paraId="1E3F3A79">
      <w:pPr>
        <w:pStyle w:val="1356"/>
        <w:ind w:firstLine="480"/>
        <w:rPr>
          <w:color w:val="auto"/>
        </w:rPr>
      </w:pPr>
      <w:r>
        <w:rPr>
          <w:color w:val="auto"/>
        </w:rPr>
        <w:t>f）其他有效的防尘措施。</w:t>
      </w:r>
    </w:p>
    <w:p w14:paraId="7AB2F704">
      <w:pPr>
        <w:pStyle w:val="1356"/>
        <w:ind w:firstLine="480"/>
        <w:rPr>
          <w:color w:val="auto"/>
        </w:rPr>
      </w:pPr>
      <w:r>
        <w:rPr>
          <w:color w:val="auto"/>
        </w:rPr>
        <w:t>（11）施工期间，应在工地建筑结构脚手架外侧设置有效抑尘的密目防尘网（不低于2000目/100厘米2）或防尘布。</w:t>
      </w:r>
    </w:p>
    <w:p w14:paraId="3EBB4419">
      <w:pPr>
        <w:pStyle w:val="1356"/>
        <w:ind w:firstLine="480"/>
        <w:rPr>
          <w:color w:val="auto"/>
        </w:rPr>
      </w:pPr>
      <w:r>
        <w:rPr>
          <w:color w:val="auto"/>
        </w:rPr>
        <w:t>（12）混凝土的防尘措施。施工期间需使用混凝土时，可使用预拌商品混凝土或者进行密闭搅拌并配备防尘除尘装置，不得现场露天搅拌混凝土、消化石灰及拌石灰土等。应尽量采用石材、木</w:t>
      </w:r>
      <w:r>
        <w:rPr>
          <w:rFonts w:hint="eastAsia"/>
          <w:color w:val="auto"/>
        </w:rPr>
        <w:t>制品</w:t>
      </w:r>
      <w:r>
        <w:rPr>
          <w:color w:val="auto"/>
        </w:rPr>
        <w:t>等成品或半成品，实施装配式施工，减少因石材、木制品切割所造成的扬尘污染。</w:t>
      </w:r>
    </w:p>
    <w:p w14:paraId="31303F6F">
      <w:pPr>
        <w:pStyle w:val="1356"/>
        <w:ind w:firstLine="480"/>
        <w:rPr>
          <w:color w:val="auto"/>
        </w:rPr>
      </w:pPr>
      <w:r>
        <w:rPr>
          <w:color w:val="auto"/>
        </w:rPr>
        <w:t>（13）物料、渣土、垃圾等纵向输送作业的防尘措施。施工期间，工地内从建筑上层将具有颗粒物逸散性的物料、渣土或废弃物输送至地面或地下楼层时，可从电梯孔道、建筑内部管道或密闭输送管道输送，或者打包装框搬运，不得凌空抛撒。</w:t>
      </w:r>
    </w:p>
    <w:p w14:paraId="22FE62B0">
      <w:pPr>
        <w:pStyle w:val="1356"/>
        <w:ind w:firstLine="480"/>
        <w:rPr>
          <w:color w:val="auto"/>
        </w:rPr>
      </w:pPr>
      <w:r>
        <w:rPr>
          <w:color w:val="auto"/>
        </w:rPr>
        <w:t>（14）大、中型工地应设专职人员负责扬尘控制措施的实施和监督。各工地应有专人负责逸散性材料、垃圾、渣土、裸地等密闭、覆盖、洒水作业以及车辆清洗作业等，并记录扬尘控制措施的实施情况。</w:t>
      </w:r>
    </w:p>
    <w:p w14:paraId="141CB9DB">
      <w:pPr>
        <w:pStyle w:val="1356"/>
        <w:ind w:firstLine="480"/>
        <w:rPr>
          <w:color w:val="auto"/>
        </w:rPr>
      </w:pPr>
      <w:r>
        <w:rPr>
          <w:color w:val="auto"/>
        </w:rPr>
        <w:t>（15）工地周围环境的保洁。施工单位保洁责任区的范围应根据施工扬尘影响情况确定，一般设在施工工地周围20米范围内。</w:t>
      </w:r>
    </w:p>
    <w:p w14:paraId="2D12B7B7">
      <w:pPr>
        <w:keepNext/>
        <w:keepLines/>
        <w:spacing w:before="120" w:beforeLines="50"/>
        <w:ind w:firstLine="0" w:firstLineChars="0"/>
        <w:outlineLvl w:val="2"/>
        <w:rPr>
          <w:b/>
          <w:bCs/>
          <w:color w:val="auto"/>
          <w:sz w:val="28"/>
          <w:szCs w:val="28"/>
        </w:rPr>
      </w:pPr>
      <w:r>
        <w:rPr>
          <w:rFonts w:hint="eastAsia"/>
          <w:b/>
          <w:bCs/>
          <w:color w:val="auto"/>
          <w:sz w:val="28"/>
          <w:szCs w:val="28"/>
        </w:rPr>
        <w:t>7</w:t>
      </w:r>
      <w:r>
        <w:rPr>
          <w:b/>
          <w:bCs/>
          <w:color w:val="auto"/>
          <w:sz w:val="28"/>
          <w:szCs w:val="28"/>
        </w:rPr>
        <w:t>.1.2 废水污染防治措施</w:t>
      </w:r>
    </w:p>
    <w:p w14:paraId="421EA0F3">
      <w:pPr>
        <w:pStyle w:val="1356"/>
        <w:ind w:firstLine="480"/>
        <w:rPr>
          <w:color w:val="auto"/>
        </w:rPr>
      </w:pPr>
      <w:r>
        <w:rPr>
          <w:color w:val="auto"/>
        </w:rPr>
        <w:t>（1）加强施工期管理，针对施工期污水产生过程不连续、废水种类较单一等特点，可采取相应措施有效控制污水中污染物的产生量。</w:t>
      </w:r>
    </w:p>
    <w:p w14:paraId="2C117055">
      <w:pPr>
        <w:pStyle w:val="1356"/>
        <w:ind w:firstLine="480"/>
        <w:rPr>
          <w:color w:val="auto"/>
        </w:rPr>
      </w:pPr>
      <w:r>
        <w:rPr>
          <w:color w:val="auto"/>
        </w:rPr>
        <w:t>（2）施工现场建造沉淀池和气浮油水分离装置等污水临时处理设施，对含油量大的施工机械冲洗水或悬浮物含量高的其他施工废水经隔油沉淀处理后回用于冲洗用水或洒水抑尘，砂浆和石灰浆等废液委托有资质单位集中处置。</w:t>
      </w:r>
    </w:p>
    <w:p w14:paraId="340F2F7E">
      <w:pPr>
        <w:pStyle w:val="1356"/>
        <w:ind w:firstLine="480"/>
        <w:rPr>
          <w:color w:val="auto"/>
        </w:rPr>
      </w:pPr>
      <w:r>
        <w:rPr>
          <w:color w:val="auto"/>
        </w:rPr>
        <w:t>（3）水泥、黄沙、石灰类的建筑材料需集中堆放，并采取一定的防雨淋措施，及时清扫施工运输工程中抛洒的上述建筑材料，以免这些物质随雨水冲刷污染附近水体。</w:t>
      </w:r>
    </w:p>
    <w:p w14:paraId="459DBA9B">
      <w:pPr>
        <w:pStyle w:val="1356"/>
        <w:ind w:firstLine="480"/>
        <w:rPr>
          <w:color w:val="auto"/>
        </w:rPr>
      </w:pPr>
      <w:r>
        <w:rPr>
          <w:color w:val="auto"/>
        </w:rPr>
        <w:t>（4）生活污水经化粪池处理后达到</w:t>
      </w:r>
      <w:r>
        <w:rPr>
          <w:rFonts w:hint="eastAsia"/>
          <w:color w:val="auto"/>
        </w:rPr>
        <w:t>开发区临港</w:t>
      </w:r>
      <w:r>
        <w:rPr>
          <w:color w:val="auto"/>
        </w:rPr>
        <w:t>污水处理厂的接管标准，经</w:t>
      </w:r>
      <w:r>
        <w:rPr>
          <w:rFonts w:hint="eastAsia"/>
          <w:color w:val="auto"/>
        </w:rPr>
        <w:t>开发区临港</w:t>
      </w:r>
      <w:r>
        <w:rPr>
          <w:color w:val="auto"/>
        </w:rPr>
        <w:t>污水处理厂处理后排放。因排放的水量主要以生活污水为主，废水中各类污染物浓度均低于接管标准，对</w:t>
      </w:r>
      <w:r>
        <w:rPr>
          <w:rFonts w:hint="eastAsia"/>
          <w:color w:val="auto"/>
        </w:rPr>
        <w:t>开发区临港</w:t>
      </w:r>
      <w:r>
        <w:rPr>
          <w:color w:val="auto"/>
        </w:rPr>
        <w:t>污水处理厂正常处理几乎没有冲击影响。</w:t>
      </w:r>
    </w:p>
    <w:p w14:paraId="4F0CB13D">
      <w:pPr>
        <w:pStyle w:val="1356"/>
        <w:ind w:firstLine="0" w:firstLineChars="0"/>
        <w:jc w:val="center"/>
        <w:rPr>
          <w:color w:val="auto"/>
        </w:rPr>
      </w:pPr>
      <w:r>
        <w:rPr>
          <w:color w:val="auto"/>
        </w:rPr>
        <w:object>
          <v:shape id="_x0000_i1038" o:spt="75" type="#_x0000_t75" style="height:97.95pt;width:331.3pt;" o:ole="t" filled="f" o:preferrelative="t" stroked="f" coordsize="21600,21600">
            <v:path/>
            <v:fill on="f" focussize="0,0"/>
            <v:stroke on="f" joinstyle="miter"/>
            <v:imagedata r:id="rId58" o:title=""/>
            <o:lock v:ext="edit" aspectratio="f"/>
            <w10:wrap type="none"/>
            <w10:anchorlock/>
          </v:shape>
          <o:OLEObject Type="Embed" ProgID="Visio.Drawing.15" ShapeID="_x0000_i1038" DrawAspect="Content" ObjectID="_1468075729" r:id="rId57">
            <o:LockedField>false</o:LockedField>
          </o:OLEObject>
        </w:object>
      </w:r>
    </w:p>
    <w:p w14:paraId="34F83E56">
      <w:pPr>
        <w:pStyle w:val="1356"/>
        <w:ind w:firstLine="0" w:firstLineChars="0"/>
        <w:jc w:val="center"/>
        <w:rPr>
          <w:b/>
          <w:bCs/>
          <w:color w:val="auto"/>
        </w:rPr>
      </w:pPr>
      <w:r>
        <w:rPr>
          <w:b/>
          <w:bCs/>
          <w:color w:val="auto"/>
        </w:rPr>
        <w:t>图</w:t>
      </w:r>
      <w:r>
        <w:rPr>
          <w:rFonts w:hint="eastAsia"/>
          <w:b/>
          <w:bCs/>
          <w:color w:val="auto"/>
        </w:rPr>
        <w:t>7</w:t>
      </w:r>
      <w:r>
        <w:rPr>
          <w:b/>
          <w:bCs/>
          <w:color w:val="auto"/>
        </w:rPr>
        <w:t>.1-1  施工期废水处理流程</w:t>
      </w:r>
    </w:p>
    <w:p w14:paraId="327C4687">
      <w:pPr>
        <w:keepNext/>
        <w:keepLines/>
        <w:spacing w:before="120" w:beforeLines="50"/>
        <w:ind w:firstLine="0" w:firstLineChars="0"/>
        <w:outlineLvl w:val="2"/>
        <w:rPr>
          <w:b/>
          <w:bCs/>
          <w:color w:val="auto"/>
          <w:sz w:val="28"/>
          <w:szCs w:val="28"/>
        </w:rPr>
      </w:pPr>
      <w:r>
        <w:rPr>
          <w:rFonts w:hint="eastAsia"/>
          <w:b/>
          <w:bCs/>
          <w:color w:val="auto"/>
          <w:sz w:val="28"/>
          <w:szCs w:val="28"/>
        </w:rPr>
        <w:t>7</w:t>
      </w:r>
      <w:r>
        <w:rPr>
          <w:b/>
          <w:bCs/>
          <w:color w:val="auto"/>
          <w:sz w:val="28"/>
          <w:szCs w:val="28"/>
        </w:rPr>
        <w:t>.1.3 噪声污染防治措施</w:t>
      </w:r>
    </w:p>
    <w:p w14:paraId="64AA885A">
      <w:pPr>
        <w:pStyle w:val="1356"/>
        <w:ind w:firstLine="480"/>
        <w:rPr>
          <w:color w:val="auto"/>
        </w:rPr>
      </w:pPr>
      <w:r>
        <w:rPr>
          <w:color w:val="auto"/>
        </w:rPr>
        <w:t>由于施工场地噪声对环境的影响较大，因此必须采取噪声防治措施，对施工阶段的噪声进行控制，满足《建筑施工场界环境噪声排放标准》（GB12523-2011）规定，以最大限度地减少噪声对环境的影响。具体措施有以下几点：</w:t>
      </w:r>
    </w:p>
    <w:p w14:paraId="7D3DC054">
      <w:pPr>
        <w:pStyle w:val="1356"/>
        <w:ind w:firstLine="480"/>
        <w:rPr>
          <w:color w:val="auto"/>
        </w:rPr>
      </w:pPr>
      <w:r>
        <w:rPr>
          <w:color w:val="auto"/>
        </w:rPr>
        <w:t>（1）选用低噪声的施工机具和先进的工艺，基础打桩应采用静压桩，不得使用冲击式打桩机。</w:t>
      </w:r>
    </w:p>
    <w:p w14:paraId="45085C56">
      <w:pPr>
        <w:pStyle w:val="1356"/>
        <w:ind w:firstLine="480"/>
        <w:rPr>
          <w:color w:val="auto"/>
        </w:rPr>
      </w:pPr>
      <w:r>
        <w:rPr>
          <w:color w:val="auto"/>
        </w:rPr>
        <w:t>（2）加强施工管理，合理安排施工作业时间，尽量避免夜间施工，因特殊需要必须连续作业的必须有有关主管部门的证明，并且必须公告附近居民。</w:t>
      </w:r>
    </w:p>
    <w:p w14:paraId="6CCB38F7">
      <w:pPr>
        <w:pStyle w:val="1356"/>
        <w:ind w:firstLine="480"/>
        <w:rPr>
          <w:color w:val="auto"/>
        </w:rPr>
      </w:pPr>
      <w:r>
        <w:rPr>
          <w:color w:val="auto"/>
        </w:rPr>
        <w:t>（3）在高噪声设备周围设置隔声设施及掩蔽物。</w:t>
      </w:r>
    </w:p>
    <w:p w14:paraId="4B5540E2">
      <w:pPr>
        <w:pStyle w:val="1356"/>
        <w:ind w:firstLine="480"/>
        <w:rPr>
          <w:color w:val="auto"/>
        </w:rPr>
      </w:pPr>
      <w:r>
        <w:rPr>
          <w:color w:val="auto"/>
        </w:rPr>
        <w:t>（4）施工机械应尽可能放置于对厂界外造成影响最小的地点。</w:t>
      </w:r>
    </w:p>
    <w:p w14:paraId="20A70056">
      <w:pPr>
        <w:pStyle w:val="1356"/>
        <w:ind w:firstLine="480"/>
        <w:rPr>
          <w:color w:val="auto"/>
        </w:rPr>
      </w:pPr>
      <w:r>
        <w:rPr>
          <w:color w:val="auto"/>
        </w:rPr>
        <w:t>（5）尽量压缩减少工区汽车数量与行车密度，控制汽车鸣笛。</w:t>
      </w:r>
    </w:p>
    <w:p w14:paraId="41C49BBD">
      <w:pPr>
        <w:pStyle w:val="1356"/>
        <w:ind w:firstLine="480"/>
        <w:rPr>
          <w:color w:val="auto"/>
        </w:rPr>
      </w:pPr>
      <w:r>
        <w:rPr>
          <w:color w:val="auto"/>
        </w:rPr>
        <w:t>（6）施工现场要设置防护围栏，以缩小施工扬尘扩散范围和噪声污染。对施工场地噪声除采取以上减噪措施以外，还应与施工现场周围单位建立良好的社区关系，对受施工干扰的单位应在作业前予以通知，并随时向他们汇报施工进度及施工中对降低噪声采取的措施。此外，施工期间应设热线投</w:t>
      </w:r>
      <w:r>
        <w:rPr>
          <w:rFonts w:hint="eastAsia"/>
          <w:color w:val="auto"/>
        </w:rPr>
        <w:t>诉</w:t>
      </w:r>
      <w:r>
        <w:rPr>
          <w:color w:val="auto"/>
        </w:rPr>
        <w:t>电话，接受</w:t>
      </w:r>
      <w:r>
        <w:rPr>
          <w:rFonts w:hint="eastAsia"/>
          <w:color w:val="auto"/>
        </w:rPr>
        <w:t>噪声</w:t>
      </w:r>
      <w:r>
        <w:rPr>
          <w:color w:val="auto"/>
        </w:rPr>
        <w:t>扰民的</w:t>
      </w:r>
      <w:r>
        <w:rPr>
          <w:rFonts w:hint="eastAsia"/>
          <w:color w:val="auto"/>
        </w:rPr>
        <w:t>投诉</w:t>
      </w:r>
      <w:r>
        <w:rPr>
          <w:color w:val="auto"/>
        </w:rPr>
        <w:t>，并对投诉情况进行积极治理。</w:t>
      </w:r>
    </w:p>
    <w:p w14:paraId="2E9779DA">
      <w:pPr>
        <w:keepNext/>
        <w:keepLines/>
        <w:spacing w:before="120" w:beforeLines="50"/>
        <w:ind w:firstLine="0" w:firstLineChars="0"/>
        <w:outlineLvl w:val="2"/>
        <w:rPr>
          <w:b/>
          <w:bCs/>
          <w:color w:val="auto"/>
          <w:sz w:val="28"/>
          <w:szCs w:val="28"/>
        </w:rPr>
      </w:pPr>
      <w:r>
        <w:rPr>
          <w:rFonts w:hint="eastAsia"/>
          <w:b/>
          <w:bCs/>
          <w:color w:val="auto"/>
          <w:sz w:val="28"/>
          <w:szCs w:val="28"/>
        </w:rPr>
        <w:t>7</w:t>
      </w:r>
      <w:r>
        <w:rPr>
          <w:b/>
          <w:bCs/>
          <w:color w:val="auto"/>
          <w:sz w:val="28"/>
          <w:szCs w:val="28"/>
        </w:rPr>
        <w:t>.1.4 固体废物污染防治措施</w:t>
      </w:r>
    </w:p>
    <w:p w14:paraId="042A7205">
      <w:pPr>
        <w:pStyle w:val="1356"/>
        <w:ind w:firstLine="480"/>
        <w:rPr>
          <w:color w:val="auto"/>
        </w:rPr>
      </w:pPr>
      <w:r>
        <w:rPr>
          <w:color w:val="auto"/>
        </w:rPr>
        <w:t>（1）施工人员居住区的生活垃圾要实行日产日清，交由环卫部门定期清运，集中送至指定堆放点。</w:t>
      </w:r>
    </w:p>
    <w:p w14:paraId="6B64EAC7">
      <w:pPr>
        <w:pStyle w:val="1356"/>
        <w:ind w:firstLine="480"/>
        <w:rPr>
          <w:color w:val="auto"/>
        </w:rPr>
      </w:pPr>
      <w:r>
        <w:rPr>
          <w:color w:val="auto"/>
        </w:rPr>
        <w:t>（2）尽量减少建筑材料在运输、装卸、施工过程中的跑、冒、滴、漏，建筑垃圾应在指定的堆放点存放，并及时送城市垃圾填埋场。</w:t>
      </w:r>
    </w:p>
    <w:p w14:paraId="198FC0A4">
      <w:pPr>
        <w:pStyle w:val="1356"/>
        <w:ind w:firstLine="480"/>
        <w:rPr>
          <w:color w:val="auto"/>
        </w:rPr>
      </w:pPr>
      <w:r>
        <w:rPr>
          <w:color w:val="auto"/>
        </w:rPr>
        <w:t>（3）工地产生的可回收废料，如钢材、金属、砌块、混凝土、未加工木料、瓦楞板纸等，需分类堆放、回收和贮存。</w:t>
      </w:r>
    </w:p>
    <w:p w14:paraId="3ADE203B">
      <w:pPr>
        <w:pStyle w:val="1356"/>
        <w:ind w:firstLine="480"/>
        <w:rPr>
          <w:color w:val="auto"/>
        </w:rPr>
      </w:pPr>
      <w:r>
        <w:rPr>
          <w:color w:val="auto"/>
        </w:rPr>
        <w:t>（4）建设项目挖填方、整平、铺装、建筑和径流侵蚀都会破坏或改变不可再生表土，开挖和建筑铺装区剥离的表土（一般为10</w:t>
      </w:r>
      <w:r>
        <w:rPr>
          <w:rFonts w:hint="eastAsia"/>
          <w:color w:val="auto"/>
        </w:rPr>
        <w:t>—</w:t>
      </w:r>
      <w:r>
        <w:rPr>
          <w:color w:val="auto"/>
        </w:rPr>
        <w:t>15</w:t>
      </w:r>
      <w:r>
        <w:rPr>
          <w:rFonts w:hint="eastAsia"/>
          <w:color w:val="auto"/>
        </w:rPr>
        <w:t>cm</w:t>
      </w:r>
      <w:r>
        <w:rPr>
          <w:color w:val="auto"/>
        </w:rPr>
        <w:t>厚的土层），可用于改换土质或塑造地形的居住区绿地当中。</w:t>
      </w:r>
    </w:p>
    <w:p w14:paraId="76874A4D">
      <w:pPr>
        <w:pStyle w:val="1356"/>
        <w:ind w:firstLine="480"/>
        <w:rPr>
          <w:color w:val="auto"/>
        </w:rPr>
      </w:pPr>
      <w:r>
        <w:rPr>
          <w:color w:val="auto"/>
        </w:rPr>
        <w:br w:type="page"/>
      </w:r>
    </w:p>
    <w:p w14:paraId="3F3A6821">
      <w:pPr>
        <w:pStyle w:val="4"/>
        <w:spacing w:beforeLines="50" w:after="0"/>
        <w:ind w:firstLine="0" w:firstLineChars="0"/>
        <w:rPr>
          <w:color w:val="auto"/>
          <w:sz w:val="30"/>
          <w:szCs w:val="30"/>
        </w:rPr>
      </w:pPr>
      <w:bookmarkStart w:id="166" w:name="_Toc49"/>
      <w:r>
        <w:rPr>
          <w:rFonts w:hint="eastAsia"/>
          <w:color w:val="auto"/>
          <w:sz w:val="30"/>
          <w:szCs w:val="30"/>
        </w:rPr>
        <w:t>7</w:t>
      </w:r>
      <w:r>
        <w:rPr>
          <w:color w:val="auto"/>
          <w:sz w:val="30"/>
          <w:szCs w:val="30"/>
        </w:rPr>
        <w:t>.2 运营期污染治理措施评述</w:t>
      </w:r>
      <w:bookmarkEnd w:id="166"/>
    </w:p>
    <w:p w14:paraId="3EB99314">
      <w:pPr>
        <w:keepNext/>
        <w:keepLines/>
        <w:spacing w:before="120" w:beforeLines="50"/>
        <w:ind w:firstLine="0" w:firstLineChars="0"/>
        <w:outlineLvl w:val="2"/>
        <w:rPr>
          <w:b/>
          <w:bCs/>
          <w:color w:val="auto"/>
          <w:sz w:val="28"/>
          <w:szCs w:val="28"/>
        </w:rPr>
      </w:pPr>
      <w:r>
        <w:rPr>
          <w:rFonts w:hint="eastAsia"/>
          <w:b/>
          <w:bCs/>
          <w:color w:val="auto"/>
          <w:sz w:val="28"/>
          <w:szCs w:val="28"/>
        </w:rPr>
        <w:t>7</w:t>
      </w:r>
      <w:r>
        <w:rPr>
          <w:b/>
          <w:bCs/>
          <w:color w:val="auto"/>
          <w:sz w:val="28"/>
          <w:szCs w:val="28"/>
        </w:rPr>
        <w:t xml:space="preserve">.2.1 </w:t>
      </w:r>
      <w:r>
        <w:rPr>
          <w:rFonts w:hint="eastAsia"/>
          <w:b/>
          <w:bCs/>
          <w:color w:val="auto"/>
          <w:sz w:val="28"/>
          <w:szCs w:val="28"/>
        </w:rPr>
        <w:t>大气污染治理措施</w:t>
      </w:r>
    </w:p>
    <w:p w14:paraId="704C3EFA">
      <w:pPr>
        <w:ind w:firstLine="480"/>
        <w:rPr>
          <w:color w:val="auto"/>
        </w:rPr>
      </w:pPr>
      <w:r>
        <w:rPr>
          <w:rFonts w:hint="eastAsia"/>
          <w:color w:val="auto"/>
        </w:rPr>
        <w:t>根据工程分析，本项目产生的废气主要有天然气燃烧废气、喷砂粉尘、碱蚀工序产生的碱雾、除油、中和和</w:t>
      </w:r>
      <w:r>
        <w:rPr>
          <w:rFonts w:hint="eastAsia"/>
          <w:color w:val="auto"/>
          <w:lang w:val="en-US" w:eastAsia="zh-CN"/>
        </w:rPr>
        <w:t>阳极</w:t>
      </w:r>
      <w:r>
        <w:rPr>
          <w:rFonts w:hint="eastAsia"/>
          <w:color w:val="auto"/>
        </w:rPr>
        <w:t>氧化产生的酸雾、煲模过程产生的碱雾、模具氮化工序产生的氨气。</w:t>
      </w:r>
    </w:p>
    <w:p w14:paraId="3818FF6C">
      <w:pPr>
        <w:keepNext/>
        <w:keepLines/>
        <w:spacing w:before="120" w:beforeLines="50"/>
        <w:ind w:firstLine="0" w:firstLineChars="0"/>
        <w:outlineLvl w:val="3"/>
        <w:rPr>
          <w:b/>
          <w:bCs/>
          <w:color w:val="auto"/>
        </w:rPr>
      </w:pPr>
      <w:r>
        <w:rPr>
          <w:rFonts w:hint="eastAsia"/>
          <w:b/>
          <w:bCs/>
          <w:color w:val="auto"/>
        </w:rPr>
        <w:t>7</w:t>
      </w:r>
      <w:r>
        <w:rPr>
          <w:b/>
          <w:bCs/>
          <w:color w:val="auto"/>
        </w:rPr>
        <w:t>.2.1</w:t>
      </w:r>
      <w:r>
        <w:rPr>
          <w:rFonts w:hint="eastAsia"/>
          <w:b/>
          <w:bCs/>
          <w:color w:val="auto"/>
        </w:rPr>
        <w:t>.1</w:t>
      </w:r>
      <w:r>
        <w:rPr>
          <w:b/>
          <w:bCs/>
          <w:color w:val="auto"/>
        </w:rPr>
        <w:t xml:space="preserve"> </w:t>
      </w:r>
      <w:r>
        <w:rPr>
          <w:rFonts w:hint="eastAsia"/>
          <w:b/>
          <w:bCs/>
          <w:color w:val="auto"/>
        </w:rPr>
        <w:t>有组织废气治理措施</w:t>
      </w:r>
    </w:p>
    <w:p w14:paraId="320B9CCA">
      <w:pPr>
        <w:ind w:firstLine="480"/>
        <w:rPr>
          <w:color w:val="auto"/>
          <w:kern w:val="0"/>
          <w:lang w:bidi="ar"/>
        </w:rPr>
      </w:pPr>
      <w:r>
        <w:rPr>
          <w:color w:val="auto"/>
          <w:kern w:val="0"/>
          <w:lang w:bidi="ar"/>
        </w:rPr>
        <w:t>本项目</w:t>
      </w:r>
      <w:r>
        <w:rPr>
          <w:rFonts w:hint="eastAsia"/>
          <w:color w:val="auto"/>
          <w:kern w:val="0"/>
          <w:lang w:bidi="ar"/>
        </w:rPr>
        <w:t>拟采取的废气污染治理措施及治理目标见表7.2.1-1。</w:t>
      </w:r>
    </w:p>
    <w:p w14:paraId="028AC0F6">
      <w:pPr>
        <w:spacing w:line="240" w:lineRule="auto"/>
        <w:ind w:firstLine="0" w:firstLineChars="0"/>
        <w:jc w:val="center"/>
        <w:rPr>
          <w:b/>
          <w:bCs/>
          <w:color w:val="auto"/>
        </w:rPr>
      </w:pPr>
      <w:r>
        <w:rPr>
          <w:b/>
          <w:bCs/>
          <w:color w:val="auto"/>
        </w:rPr>
        <w:t>表7.2.1-1  大气污染治理措施及目标一览表</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36" w:type="dxa"/>
          <w:left w:w="108" w:type="dxa"/>
          <w:bottom w:w="0" w:type="dxa"/>
          <w:right w:w="50" w:type="dxa"/>
        </w:tblCellMar>
      </w:tblPr>
      <w:tblGrid>
        <w:gridCol w:w="974"/>
        <w:gridCol w:w="1133"/>
        <w:gridCol w:w="856"/>
        <w:gridCol w:w="1169"/>
        <w:gridCol w:w="2382"/>
        <w:gridCol w:w="619"/>
        <w:gridCol w:w="2210"/>
      </w:tblGrid>
      <w:tr w14:paraId="69082B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720" w:hRule="atLeast"/>
          <w:tblHeader/>
          <w:jc w:val="center"/>
        </w:trPr>
        <w:tc>
          <w:tcPr>
            <w:tcW w:w="1127" w:type="pct"/>
            <w:gridSpan w:val="2"/>
            <w:tcBorders>
              <w:tl2br w:val="nil"/>
              <w:tr2bl w:val="nil"/>
            </w:tcBorders>
            <w:vAlign w:val="center"/>
          </w:tcPr>
          <w:p w14:paraId="20194D19">
            <w:pPr>
              <w:spacing w:line="240" w:lineRule="auto"/>
              <w:ind w:firstLine="0" w:firstLineChars="0"/>
              <w:jc w:val="center"/>
              <w:rPr>
                <w:b/>
                <w:color w:val="auto"/>
                <w:sz w:val="21"/>
                <w:szCs w:val="21"/>
              </w:rPr>
            </w:pPr>
            <w:r>
              <w:rPr>
                <w:b/>
                <w:color w:val="auto"/>
                <w:sz w:val="21"/>
                <w:szCs w:val="21"/>
              </w:rPr>
              <w:t>污染源</w:t>
            </w:r>
          </w:p>
        </w:tc>
        <w:tc>
          <w:tcPr>
            <w:tcW w:w="458" w:type="pct"/>
            <w:tcBorders>
              <w:tl2br w:val="nil"/>
              <w:tr2bl w:val="nil"/>
            </w:tcBorders>
            <w:vAlign w:val="center"/>
          </w:tcPr>
          <w:p w14:paraId="05AF869D">
            <w:pPr>
              <w:spacing w:line="240" w:lineRule="auto"/>
              <w:ind w:firstLine="0" w:firstLineChars="0"/>
              <w:jc w:val="center"/>
              <w:rPr>
                <w:b/>
                <w:color w:val="auto"/>
                <w:sz w:val="21"/>
                <w:szCs w:val="21"/>
              </w:rPr>
            </w:pPr>
            <w:r>
              <w:rPr>
                <w:b/>
                <w:color w:val="auto"/>
                <w:sz w:val="21"/>
                <w:szCs w:val="21"/>
              </w:rPr>
              <w:t>排气量m</w:t>
            </w:r>
            <w:r>
              <w:rPr>
                <w:b/>
                <w:color w:val="auto"/>
                <w:sz w:val="21"/>
                <w:szCs w:val="21"/>
                <w:vertAlign w:val="superscript"/>
              </w:rPr>
              <w:t>3</w:t>
            </w:r>
            <w:r>
              <w:rPr>
                <w:b/>
                <w:color w:val="auto"/>
                <w:sz w:val="21"/>
                <w:szCs w:val="21"/>
              </w:rPr>
              <w:t>/h</w:t>
            </w:r>
          </w:p>
        </w:tc>
        <w:tc>
          <w:tcPr>
            <w:tcW w:w="625" w:type="pct"/>
            <w:tcBorders>
              <w:tl2br w:val="nil"/>
              <w:tr2bl w:val="nil"/>
            </w:tcBorders>
            <w:vAlign w:val="center"/>
          </w:tcPr>
          <w:p w14:paraId="39CBE6F0">
            <w:pPr>
              <w:spacing w:line="240" w:lineRule="auto"/>
              <w:ind w:firstLine="0" w:firstLineChars="0"/>
              <w:jc w:val="center"/>
              <w:rPr>
                <w:b/>
                <w:color w:val="auto"/>
                <w:sz w:val="21"/>
                <w:szCs w:val="21"/>
              </w:rPr>
            </w:pPr>
            <w:r>
              <w:rPr>
                <w:b/>
                <w:color w:val="auto"/>
                <w:sz w:val="21"/>
                <w:szCs w:val="21"/>
              </w:rPr>
              <w:t>污染物名称</w:t>
            </w:r>
          </w:p>
        </w:tc>
        <w:tc>
          <w:tcPr>
            <w:tcW w:w="1274" w:type="pct"/>
            <w:tcBorders>
              <w:tl2br w:val="nil"/>
              <w:tr2bl w:val="nil"/>
            </w:tcBorders>
            <w:vAlign w:val="center"/>
          </w:tcPr>
          <w:p w14:paraId="5E675DFA">
            <w:pPr>
              <w:spacing w:line="240" w:lineRule="auto"/>
              <w:ind w:firstLine="0" w:firstLineChars="0"/>
              <w:jc w:val="center"/>
              <w:rPr>
                <w:b/>
                <w:color w:val="auto"/>
                <w:sz w:val="21"/>
                <w:szCs w:val="21"/>
              </w:rPr>
            </w:pPr>
            <w:r>
              <w:rPr>
                <w:b/>
                <w:color w:val="auto"/>
                <w:sz w:val="21"/>
                <w:szCs w:val="21"/>
              </w:rPr>
              <w:t>处理措施</w:t>
            </w:r>
          </w:p>
        </w:tc>
        <w:tc>
          <w:tcPr>
            <w:tcW w:w="331" w:type="pct"/>
            <w:tcBorders>
              <w:tl2br w:val="nil"/>
              <w:tr2bl w:val="nil"/>
            </w:tcBorders>
            <w:vAlign w:val="center"/>
          </w:tcPr>
          <w:p w14:paraId="3E8D2307">
            <w:pPr>
              <w:spacing w:line="240" w:lineRule="auto"/>
              <w:ind w:firstLine="0" w:firstLineChars="0"/>
              <w:jc w:val="center"/>
              <w:rPr>
                <w:b/>
                <w:color w:val="auto"/>
                <w:sz w:val="21"/>
                <w:szCs w:val="21"/>
              </w:rPr>
            </w:pPr>
            <w:r>
              <w:rPr>
                <w:b/>
                <w:color w:val="auto"/>
                <w:sz w:val="21"/>
                <w:szCs w:val="21"/>
              </w:rPr>
              <w:t>处理效率%</w:t>
            </w:r>
          </w:p>
        </w:tc>
        <w:tc>
          <w:tcPr>
            <w:tcW w:w="1182" w:type="pct"/>
            <w:tcBorders>
              <w:tl2br w:val="nil"/>
              <w:tr2bl w:val="nil"/>
            </w:tcBorders>
            <w:vAlign w:val="center"/>
          </w:tcPr>
          <w:p w14:paraId="478589E7">
            <w:pPr>
              <w:spacing w:line="240" w:lineRule="auto"/>
              <w:ind w:firstLine="0" w:firstLineChars="0"/>
              <w:jc w:val="center"/>
              <w:rPr>
                <w:b/>
                <w:color w:val="auto"/>
                <w:sz w:val="21"/>
                <w:szCs w:val="21"/>
              </w:rPr>
            </w:pPr>
            <w:r>
              <w:rPr>
                <w:b/>
                <w:color w:val="auto"/>
                <w:sz w:val="21"/>
                <w:szCs w:val="21"/>
              </w:rPr>
              <w:t>执行标准</w:t>
            </w:r>
          </w:p>
        </w:tc>
      </w:tr>
      <w:tr w14:paraId="2348B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304" w:hRule="atLeast"/>
          <w:jc w:val="center"/>
        </w:trPr>
        <w:tc>
          <w:tcPr>
            <w:tcW w:w="521" w:type="pct"/>
            <w:vMerge w:val="restart"/>
            <w:tcBorders>
              <w:tl2br w:val="nil"/>
              <w:tr2bl w:val="nil"/>
            </w:tcBorders>
            <w:vAlign w:val="center"/>
          </w:tcPr>
          <w:p w14:paraId="7988ED3E">
            <w:pPr>
              <w:spacing w:line="240" w:lineRule="auto"/>
              <w:ind w:firstLine="0" w:firstLineChars="0"/>
              <w:jc w:val="center"/>
              <w:rPr>
                <w:color w:val="auto"/>
                <w:sz w:val="21"/>
                <w:szCs w:val="21"/>
              </w:rPr>
            </w:pPr>
            <w:r>
              <w:rPr>
                <w:rFonts w:hint="eastAsia"/>
                <w:color w:val="auto"/>
                <w:sz w:val="21"/>
                <w:szCs w:val="21"/>
              </w:rPr>
              <w:t>DA001</w:t>
            </w:r>
          </w:p>
        </w:tc>
        <w:tc>
          <w:tcPr>
            <w:tcW w:w="606" w:type="pct"/>
            <w:vMerge w:val="restart"/>
            <w:tcBorders>
              <w:tl2br w:val="nil"/>
              <w:tr2bl w:val="nil"/>
            </w:tcBorders>
            <w:vAlign w:val="center"/>
          </w:tcPr>
          <w:p w14:paraId="150269CC">
            <w:pPr>
              <w:spacing w:line="240" w:lineRule="auto"/>
              <w:ind w:firstLine="0" w:firstLineChars="0"/>
              <w:jc w:val="center"/>
              <w:rPr>
                <w:color w:val="auto"/>
                <w:sz w:val="21"/>
                <w:szCs w:val="21"/>
              </w:rPr>
            </w:pPr>
            <w:r>
              <w:rPr>
                <w:color w:val="auto"/>
                <w:sz w:val="21"/>
                <w:szCs w:val="21"/>
              </w:rPr>
              <w:t>加热炉</w:t>
            </w:r>
          </w:p>
        </w:tc>
        <w:tc>
          <w:tcPr>
            <w:tcW w:w="458" w:type="pct"/>
            <w:vMerge w:val="restart"/>
            <w:tcBorders>
              <w:tl2br w:val="nil"/>
              <w:tr2bl w:val="nil"/>
            </w:tcBorders>
            <w:vAlign w:val="center"/>
          </w:tcPr>
          <w:p w14:paraId="18A17DC5">
            <w:pPr>
              <w:spacing w:line="240" w:lineRule="auto"/>
              <w:ind w:firstLine="0" w:firstLineChars="0"/>
              <w:jc w:val="center"/>
              <w:rPr>
                <w:color w:val="auto"/>
                <w:sz w:val="21"/>
                <w:szCs w:val="21"/>
              </w:rPr>
            </w:pPr>
            <w:r>
              <w:rPr>
                <w:rFonts w:hint="eastAsia"/>
                <w:color w:val="auto"/>
                <w:sz w:val="21"/>
                <w:szCs w:val="21"/>
              </w:rPr>
              <w:t>8000</w:t>
            </w:r>
          </w:p>
        </w:tc>
        <w:tc>
          <w:tcPr>
            <w:tcW w:w="625" w:type="pct"/>
            <w:tcBorders>
              <w:tl2br w:val="nil"/>
              <w:tr2bl w:val="nil"/>
            </w:tcBorders>
            <w:vAlign w:val="center"/>
          </w:tcPr>
          <w:p w14:paraId="0662AD0F">
            <w:pPr>
              <w:spacing w:line="240" w:lineRule="auto"/>
              <w:ind w:firstLine="0" w:firstLineChars="0"/>
              <w:jc w:val="center"/>
              <w:rPr>
                <w:color w:val="auto"/>
                <w:sz w:val="21"/>
                <w:szCs w:val="21"/>
              </w:rPr>
            </w:pPr>
            <w:r>
              <w:rPr>
                <w:rFonts w:hint="eastAsia"/>
                <w:color w:val="auto"/>
                <w:sz w:val="21"/>
                <w:szCs w:val="21"/>
              </w:rPr>
              <w:t>颗粒物</w:t>
            </w:r>
          </w:p>
        </w:tc>
        <w:tc>
          <w:tcPr>
            <w:tcW w:w="1274" w:type="pct"/>
            <w:vMerge w:val="restart"/>
            <w:tcBorders>
              <w:tl2br w:val="nil"/>
              <w:tr2bl w:val="nil"/>
            </w:tcBorders>
            <w:vAlign w:val="center"/>
          </w:tcPr>
          <w:p w14:paraId="1295DEA9">
            <w:pPr>
              <w:spacing w:line="240" w:lineRule="auto"/>
              <w:ind w:firstLine="0" w:firstLineChars="0"/>
              <w:jc w:val="center"/>
              <w:rPr>
                <w:color w:val="auto"/>
                <w:sz w:val="21"/>
                <w:szCs w:val="21"/>
              </w:rPr>
            </w:pPr>
            <w:r>
              <w:rPr>
                <w:rFonts w:hint="eastAsia"/>
                <w:color w:val="auto"/>
                <w:sz w:val="21"/>
                <w:szCs w:val="21"/>
              </w:rPr>
              <w:t>经低氮燃烧技术处理+15</w:t>
            </w:r>
            <w:r>
              <w:rPr>
                <w:color w:val="auto"/>
                <w:sz w:val="21"/>
                <w:szCs w:val="21"/>
              </w:rPr>
              <w:t>m排气筒</w:t>
            </w:r>
            <w:r>
              <w:rPr>
                <w:rFonts w:hint="eastAsia"/>
                <w:color w:val="auto"/>
                <w:sz w:val="21"/>
                <w:szCs w:val="21"/>
              </w:rPr>
              <w:t>高空排放</w:t>
            </w:r>
          </w:p>
        </w:tc>
        <w:tc>
          <w:tcPr>
            <w:tcW w:w="331" w:type="pct"/>
            <w:vMerge w:val="restart"/>
            <w:tcBorders>
              <w:tl2br w:val="nil"/>
              <w:tr2bl w:val="nil"/>
            </w:tcBorders>
            <w:vAlign w:val="center"/>
          </w:tcPr>
          <w:p w14:paraId="1A8BB471">
            <w:pPr>
              <w:spacing w:line="240" w:lineRule="auto"/>
              <w:ind w:firstLine="0" w:firstLineChars="0"/>
              <w:jc w:val="center"/>
              <w:rPr>
                <w:color w:val="auto"/>
                <w:sz w:val="21"/>
                <w:szCs w:val="21"/>
              </w:rPr>
            </w:pPr>
            <w:r>
              <w:rPr>
                <w:color w:val="auto"/>
                <w:sz w:val="21"/>
                <w:szCs w:val="21"/>
              </w:rPr>
              <w:t>/</w:t>
            </w:r>
          </w:p>
        </w:tc>
        <w:tc>
          <w:tcPr>
            <w:tcW w:w="1182" w:type="pct"/>
            <w:vMerge w:val="restart"/>
            <w:tcBorders>
              <w:tl2br w:val="nil"/>
              <w:tr2bl w:val="nil"/>
            </w:tcBorders>
            <w:vAlign w:val="center"/>
          </w:tcPr>
          <w:p w14:paraId="7C960B9E">
            <w:pPr>
              <w:spacing w:line="240" w:lineRule="auto"/>
              <w:ind w:firstLine="0" w:firstLineChars="0"/>
              <w:jc w:val="center"/>
              <w:rPr>
                <w:color w:val="auto"/>
                <w:sz w:val="21"/>
                <w:szCs w:val="21"/>
              </w:rPr>
            </w:pPr>
            <w:r>
              <w:rPr>
                <w:rFonts w:hint="eastAsia"/>
                <w:color w:val="auto"/>
                <w:sz w:val="21"/>
                <w:szCs w:val="21"/>
              </w:rPr>
              <w:t>江苏省地方标准</w:t>
            </w:r>
            <w:r>
              <w:rPr>
                <w:color w:val="auto"/>
                <w:sz w:val="21"/>
                <w:szCs w:val="21"/>
              </w:rPr>
              <w:t>《工业炉窑大气污染物排放标准》（DB32/3728-2020）</w:t>
            </w:r>
          </w:p>
        </w:tc>
      </w:tr>
      <w:tr w14:paraId="6FD416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continue"/>
            <w:tcBorders>
              <w:tl2br w:val="nil"/>
              <w:tr2bl w:val="nil"/>
            </w:tcBorders>
            <w:vAlign w:val="center"/>
          </w:tcPr>
          <w:p w14:paraId="36DE7896">
            <w:pPr>
              <w:spacing w:line="240" w:lineRule="auto"/>
              <w:ind w:firstLine="0" w:firstLineChars="0"/>
              <w:jc w:val="center"/>
              <w:rPr>
                <w:color w:val="auto"/>
                <w:sz w:val="21"/>
                <w:szCs w:val="21"/>
              </w:rPr>
            </w:pPr>
          </w:p>
        </w:tc>
        <w:tc>
          <w:tcPr>
            <w:tcW w:w="606" w:type="pct"/>
            <w:vMerge w:val="continue"/>
            <w:tcBorders>
              <w:tl2br w:val="nil"/>
              <w:tr2bl w:val="nil"/>
            </w:tcBorders>
            <w:vAlign w:val="center"/>
          </w:tcPr>
          <w:p w14:paraId="0FC4E1C5">
            <w:pPr>
              <w:spacing w:line="240" w:lineRule="auto"/>
              <w:ind w:firstLine="0" w:firstLineChars="0"/>
              <w:jc w:val="center"/>
              <w:rPr>
                <w:color w:val="auto"/>
                <w:sz w:val="21"/>
                <w:szCs w:val="21"/>
              </w:rPr>
            </w:pPr>
          </w:p>
        </w:tc>
        <w:tc>
          <w:tcPr>
            <w:tcW w:w="458" w:type="pct"/>
            <w:vMerge w:val="continue"/>
            <w:tcBorders>
              <w:tl2br w:val="nil"/>
              <w:tr2bl w:val="nil"/>
            </w:tcBorders>
            <w:vAlign w:val="center"/>
          </w:tcPr>
          <w:p w14:paraId="0F15FCCA">
            <w:pPr>
              <w:spacing w:line="240" w:lineRule="auto"/>
              <w:ind w:firstLine="0" w:firstLineChars="0"/>
              <w:jc w:val="center"/>
              <w:rPr>
                <w:color w:val="auto"/>
                <w:sz w:val="21"/>
                <w:szCs w:val="21"/>
              </w:rPr>
            </w:pPr>
          </w:p>
        </w:tc>
        <w:tc>
          <w:tcPr>
            <w:tcW w:w="625" w:type="pct"/>
            <w:tcBorders>
              <w:tl2br w:val="nil"/>
              <w:tr2bl w:val="nil"/>
            </w:tcBorders>
            <w:shd w:val="clear" w:color="auto" w:fill="auto"/>
            <w:vAlign w:val="center"/>
          </w:tcPr>
          <w:p w14:paraId="598F8A07">
            <w:pPr>
              <w:spacing w:line="240" w:lineRule="auto"/>
              <w:ind w:firstLine="0" w:firstLineChars="0"/>
              <w:jc w:val="center"/>
              <w:rPr>
                <w:bCs/>
                <w:color w:val="auto"/>
                <w:spacing w:val="4"/>
                <w:sz w:val="21"/>
                <w:szCs w:val="21"/>
              </w:rPr>
            </w:pPr>
            <w:r>
              <w:rPr>
                <w:color w:val="auto"/>
                <w:sz w:val="21"/>
                <w:szCs w:val="21"/>
              </w:rPr>
              <w:t>SO</w:t>
            </w:r>
            <w:r>
              <w:rPr>
                <w:color w:val="auto"/>
                <w:sz w:val="21"/>
                <w:szCs w:val="21"/>
                <w:vertAlign w:val="subscript"/>
              </w:rPr>
              <w:t>2</w:t>
            </w:r>
          </w:p>
        </w:tc>
        <w:tc>
          <w:tcPr>
            <w:tcW w:w="1274" w:type="pct"/>
            <w:vMerge w:val="continue"/>
            <w:tcBorders>
              <w:tl2br w:val="nil"/>
              <w:tr2bl w:val="nil"/>
            </w:tcBorders>
            <w:vAlign w:val="center"/>
          </w:tcPr>
          <w:p w14:paraId="72AF14AB">
            <w:pPr>
              <w:spacing w:line="240" w:lineRule="auto"/>
              <w:ind w:firstLine="0" w:firstLineChars="0"/>
              <w:jc w:val="center"/>
              <w:rPr>
                <w:color w:val="auto"/>
                <w:sz w:val="21"/>
                <w:szCs w:val="21"/>
              </w:rPr>
            </w:pPr>
          </w:p>
        </w:tc>
        <w:tc>
          <w:tcPr>
            <w:tcW w:w="331" w:type="pct"/>
            <w:vMerge w:val="continue"/>
            <w:tcBorders>
              <w:tl2br w:val="nil"/>
              <w:tr2bl w:val="nil"/>
            </w:tcBorders>
            <w:vAlign w:val="center"/>
          </w:tcPr>
          <w:p w14:paraId="41B8D410">
            <w:pPr>
              <w:spacing w:line="240" w:lineRule="auto"/>
              <w:ind w:firstLine="0" w:firstLineChars="0"/>
              <w:jc w:val="center"/>
              <w:rPr>
                <w:color w:val="auto"/>
                <w:sz w:val="21"/>
                <w:szCs w:val="21"/>
              </w:rPr>
            </w:pPr>
          </w:p>
        </w:tc>
        <w:tc>
          <w:tcPr>
            <w:tcW w:w="1182" w:type="pct"/>
            <w:vMerge w:val="continue"/>
            <w:tcBorders>
              <w:tl2br w:val="nil"/>
              <w:tr2bl w:val="nil"/>
            </w:tcBorders>
            <w:vAlign w:val="center"/>
          </w:tcPr>
          <w:p w14:paraId="6AAC5209">
            <w:pPr>
              <w:spacing w:line="240" w:lineRule="auto"/>
              <w:ind w:firstLine="0" w:firstLineChars="0"/>
              <w:jc w:val="center"/>
              <w:rPr>
                <w:color w:val="auto"/>
                <w:sz w:val="21"/>
                <w:szCs w:val="21"/>
              </w:rPr>
            </w:pPr>
          </w:p>
        </w:tc>
      </w:tr>
      <w:tr w14:paraId="440DF0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continue"/>
            <w:tcBorders>
              <w:tl2br w:val="nil"/>
              <w:tr2bl w:val="nil"/>
            </w:tcBorders>
            <w:vAlign w:val="center"/>
          </w:tcPr>
          <w:p w14:paraId="36706101">
            <w:pPr>
              <w:spacing w:line="240" w:lineRule="auto"/>
              <w:ind w:firstLine="0" w:firstLineChars="0"/>
              <w:jc w:val="center"/>
              <w:rPr>
                <w:color w:val="auto"/>
                <w:sz w:val="21"/>
                <w:szCs w:val="21"/>
              </w:rPr>
            </w:pPr>
          </w:p>
        </w:tc>
        <w:tc>
          <w:tcPr>
            <w:tcW w:w="606" w:type="pct"/>
            <w:vMerge w:val="continue"/>
            <w:tcBorders>
              <w:tl2br w:val="nil"/>
              <w:tr2bl w:val="nil"/>
            </w:tcBorders>
            <w:vAlign w:val="center"/>
          </w:tcPr>
          <w:p w14:paraId="10462CDF">
            <w:pPr>
              <w:spacing w:line="240" w:lineRule="auto"/>
              <w:ind w:firstLine="0" w:firstLineChars="0"/>
              <w:jc w:val="center"/>
              <w:rPr>
                <w:color w:val="auto"/>
                <w:sz w:val="21"/>
                <w:szCs w:val="21"/>
              </w:rPr>
            </w:pPr>
          </w:p>
        </w:tc>
        <w:tc>
          <w:tcPr>
            <w:tcW w:w="458" w:type="pct"/>
            <w:vMerge w:val="continue"/>
            <w:tcBorders>
              <w:tl2br w:val="nil"/>
              <w:tr2bl w:val="nil"/>
            </w:tcBorders>
            <w:vAlign w:val="center"/>
          </w:tcPr>
          <w:p w14:paraId="6F3421C1">
            <w:pPr>
              <w:spacing w:line="240" w:lineRule="auto"/>
              <w:ind w:firstLine="0" w:firstLineChars="0"/>
              <w:jc w:val="center"/>
              <w:rPr>
                <w:color w:val="auto"/>
                <w:sz w:val="21"/>
                <w:szCs w:val="21"/>
              </w:rPr>
            </w:pPr>
          </w:p>
        </w:tc>
        <w:tc>
          <w:tcPr>
            <w:tcW w:w="625" w:type="pct"/>
            <w:tcBorders>
              <w:tl2br w:val="nil"/>
              <w:tr2bl w:val="nil"/>
            </w:tcBorders>
            <w:shd w:val="clear" w:color="auto" w:fill="auto"/>
            <w:vAlign w:val="center"/>
          </w:tcPr>
          <w:p w14:paraId="3DFFD28A">
            <w:pPr>
              <w:spacing w:line="240" w:lineRule="auto"/>
              <w:ind w:firstLine="0" w:firstLineChars="0"/>
              <w:jc w:val="center"/>
              <w:rPr>
                <w:bCs/>
                <w:color w:val="auto"/>
                <w:spacing w:val="4"/>
                <w:sz w:val="21"/>
                <w:szCs w:val="21"/>
              </w:rPr>
            </w:pPr>
            <w:r>
              <w:rPr>
                <w:color w:val="auto"/>
                <w:sz w:val="21"/>
                <w:szCs w:val="21"/>
              </w:rPr>
              <w:t>NOx</w:t>
            </w:r>
          </w:p>
        </w:tc>
        <w:tc>
          <w:tcPr>
            <w:tcW w:w="1274" w:type="pct"/>
            <w:vMerge w:val="continue"/>
            <w:tcBorders>
              <w:tl2br w:val="nil"/>
              <w:tr2bl w:val="nil"/>
            </w:tcBorders>
            <w:vAlign w:val="center"/>
          </w:tcPr>
          <w:p w14:paraId="1A3CC17E">
            <w:pPr>
              <w:spacing w:line="240" w:lineRule="auto"/>
              <w:ind w:firstLine="0" w:firstLineChars="0"/>
              <w:jc w:val="center"/>
              <w:rPr>
                <w:color w:val="auto"/>
                <w:sz w:val="21"/>
                <w:szCs w:val="21"/>
              </w:rPr>
            </w:pPr>
          </w:p>
        </w:tc>
        <w:tc>
          <w:tcPr>
            <w:tcW w:w="331" w:type="pct"/>
            <w:vMerge w:val="continue"/>
            <w:tcBorders>
              <w:tl2br w:val="nil"/>
              <w:tr2bl w:val="nil"/>
            </w:tcBorders>
            <w:vAlign w:val="center"/>
          </w:tcPr>
          <w:p w14:paraId="27D7AB95">
            <w:pPr>
              <w:spacing w:line="240" w:lineRule="auto"/>
              <w:ind w:firstLine="0" w:firstLineChars="0"/>
              <w:jc w:val="center"/>
              <w:rPr>
                <w:color w:val="auto"/>
                <w:sz w:val="21"/>
                <w:szCs w:val="21"/>
              </w:rPr>
            </w:pPr>
          </w:p>
        </w:tc>
        <w:tc>
          <w:tcPr>
            <w:tcW w:w="1182" w:type="pct"/>
            <w:vMerge w:val="continue"/>
            <w:tcBorders>
              <w:tl2br w:val="nil"/>
              <w:tr2bl w:val="nil"/>
            </w:tcBorders>
            <w:vAlign w:val="center"/>
          </w:tcPr>
          <w:p w14:paraId="17DE3E6F">
            <w:pPr>
              <w:spacing w:line="240" w:lineRule="auto"/>
              <w:ind w:firstLine="0" w:firstLineChars="0"/>
              <w:jc w:val="center"/>
              <w:rPr>
                <w:color w:val="auto"/>
                <w:sz w:val="21"/>
                <w:szCs w:val="21"/>
              </w:rPr>
            </w:pPr>
          </w:p>
        </w:tc>
      </w:tr>
      <w:tr w14:paraId="6779F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restart"/>
            <w:tcBorders>
              <w:tl2br w:val="nil"/>
              <w:tr2bl w:val="nil"/>
            </w:tcBorders>
            <w:vAlign w:val="center"/>
          </w:tcPr>
          <w:p w14:paraId="65DDD4CD">
            <w:pPr>
              <w:spacing w:line="240" w:lineRule="auto"/>
              <w:ind w:firstLine="0" w:firstLineChars="0"/>
              <w:jc w:val="center"/>
              <w:rPr>
                <w:color w:val="auto"/>
                <w:sz w:val="21"/>
                <w:szCs w:val="21"/>
              </w:rPr>
            </w:pPr>
            <w:r>
              <w:rPr>
                <w:rFonts w:hint="eastAsia"/>
                <w:color w:val="auto"/>
                <w:sz w:val="21"/>
                <w:szCs w:val="21"/>
              </w:rPr>
              <w:t>DA002</w:t>
            </w:r>
          </w:p>
        </w:tc>
        <w:tc>
          <w:tcPr>
            <w:tcW w:w="606" w:type="pct"/>
            <w:vMerge w:val="restart"/>
            <w:tcBorders>
              <w:tl2br w:val="nil"/>
              <w:tr2bl w:val="nil"/>
            </w:tcBorders>
            <w:vAlign w:val="center"/>
          </w:tcPr>
          <w:p w14:paraId="0A39B51C">
            <w:pPr>
              <w:spacing w:line="240" w:lineRule="auto"/>
              <w:ind w:firstLine="0" w:firstLineChars="0"/>
              <w:jc w:val="center"/>
              <w:rPr>
                <w:color w:val="auto"/>
                <w:sz w:val="21"/>
                <w:szCs w:val="21"/>
              </w:rPr>
            </w:pPr>
            <w:r>
              <w:rPr>
                <w:color w:val="auto"/>
                <w:sz w:val="21"/>
                <w:szCs w:val="21"/>
              </w:rPr>
              <w:t>时效炉</w:t>
            </w:r>
          </w:p>
        </w:tc>
        <w:tc>
          <w:tcPr>
            <w:tcW w:w="458" w:type="pct"/>
            <w:vMerge w:val="restart"/>
            <w:tcBorders>
              <w:tl2br w:val="nil"/>
              <w:tr2bl w:val="nil"/>
            </w:tcBorders>
            <w:vAlign w:val="center"/>
          </w:tcPr>
          <w:p w14:paraId="62E5B794">
            <w:pPr>
              <w:spacing w:line="240" w:lineRule="auto"/>
              <w:ind w:firstLine="0" w:firstLineChars="0"/>
              <w:jc w:val="center"/>
              <w:rPr>
                <w:color w:val="auto"/>
                <w:sz w:val="21"/>
                <w:szCs w:val="21"/>
              </w:rPr>
            </w:pPr>
            <w:r>
              <w:rPr>
                <w:rFonts w:hint="eastAsia"/>
                <w:color w:val="auto"/>
                <w:sz w:val="21"/>
                <w:szCs w:val="21"/>
              </w:rPr>
              <w:t>5000</w:t>
            </w:r>
          </w:p>
        </w:tc>
        <w:tc>
          <w:tcPr>
            <w:tcW w:w="625" w:type="pct"/>
            <w:tcBorders>
              <w:tl2br w:val="nil"/>
              <w:tr2bl w:val="nil"/>
            </w:tcBorders>
            <w:shd w:val="clear" w:color="auto" w:fill="auto"/>
            <w:vAlign w:val="center"/>
          </w:tcPr>
          <w:p w14:paraId="21C0A2C0">
            <w:pPr>
              <w:spacing w:line="240" w:lineRule="auto"/>
              <w:ind w:firstLine="0" w:firstLineChars="0"/>
              <w:jc w:val="center"/>
              <w:rPr>
                <w:bCs/>
                <w:color w:val="auto"/>
                <w:spacing w:val="4"/>
                <w:sz w:val="21"/>
                <w:szCs w:val="21"/>
              </w:rPr>
            </w:pPr>
            <w:r>
              <w:rPr>
                <w:rFonts w:hint="eastAsia"/>
                <w:color w:val="auto"/>
                <w:sz w:val="21"/>
                <w:szCs w:val="21"/>
              </w:rPr>
              <w:t>颗粒物</w:t>
            </w:r>
          </w:p>
        </w:tc>
        <w:tc>
          <w:tcPr>
            <w:tcW w:w="1274" w:type="pct"/>
            <w:vMerge w:val="restart"/>
            <w:tcBorders>
              <w:tl2br w:val="nil"/>
              <w:tr2bl w:val="nil"/>
            </w:tcBorders>
            <w:vAlign w:val="center"/>
          </w:tcPr>
          <w:p w14:paraId="76306E7F">
            <w:pPr>
              <w:spacing w:line="240" w:lineRule="auto"/>
              <w:ind w:firstLine="0" w:firstLineChars="0"/>
              <w:jc w:val="center"/>
              <w:rPr>
                <w:color w:val="auto"/>
                <w:sz w:val="21"/>
                <w:szCs w:val="21"/>
              </w:rPr>
            </w:pPr>
            <w:r>
              <w:rPr>
                <w:rFonts w:hint="eastAsia"/>
                <w:color w:val="auto"/>
                <w:sz w:val="21"/>
                <w:szCs w:val="21"/>
              </w:rPr>
              <w:t>经低氮燃烧技术处理+15</w:t>
            </w:r>
            <w:r>
              <w:rPr>
                <w:color w:val="auto"/>
                <w:sz w:val="21"/>
                <w:szCs w:val="21"/>
              </w:rPr>
              <w:t>m排气筒</w:t>
            </w:r>
            <w:r>
              <w:rPr>
                <w:rFonts w:hint="eastAsia"/>
                <w:color w:val="auto"/>
                <w:sz w:val="21"/>
                <w:szCs w:val="21"/>
              </w:rPr>
              <w:t>高空排放</w:t>
            </w:r>
          </w:p>
        </w:tc>
        <w:tc>
          <w:tcPr>
            <w:tcW w:w="331" w:type="pct"/>
            <w:vMerge w:val="restart"/>
            <w:tcBorders>
              <w:tl2br w:val="nil"/>
              <w:tr2bl w:val="nil"/>
            </w:tcBorders>
            <w:vAlign w:val="center"/>
          </w:tcPr>
          <w:p w14:paraId="3B0BFAAB">
            <w:pPr>
              <w:spacing w:line="240" w:lineRule="auto"/>
              <w:ind w:firstLine="0" w:firstLineChars="0"/>
              <w:jc w:val="center"/>
              <w:rPr>
                <w:color w:val="auto"/>
                <w:sz w:val="21"/>
                <w:szCs w:val="21"/>
              </w:rPr>
            </w:pPr>
            <w:r>
              <w:rPr>
                <w:color w:val="auto"/>
                <w:sz w:val="21"/>
                <w:szCs w:val="21"/>
              </w:rPr>
              <w:t>/</w:t>
            </w:r>
          </w:p>
        </w:tc>
        <w:tc>
          <w:tcPr>
            <w:tcW w:w="1182" w:type="pct"/>
            <w:vMerge w:val="continue"/>
            <w:tcBorders>
              <w:tl2br w:val="nil"/>
              <w:tr2bl w:val="nil"/>
            </w:tcBorders>
            <w:vAlign w:val="center"/>
          </w:tcPr>
          <w:p w14:paraId="559C47C3">
            <w:pPr>
              <w:spacing w:line="240" w:lineRule="auto"/>
              <w:ind w:firstLine="0" w:firstLineChars="0"/>
              <w:jc w:val="center"/>
              <w:rPr>
                <w:color w:val="auto"/>
                <w:sz w:val="21"/>
                <w:szCs w:val="21"/>
              </w:rPr>
            </w:pPr>
          </w:p>
        </w:tc>
      </w:tr>
      <w:tr w14:paraId="791F6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continue"/>
            <w:tcBorders>
              <w:tl2br w:val="nil"/>
              <w:tr2bl w:val="nil"/>
            </w:tcBorders>
            <w:vAlign w:val="center"/>
          </w:tcPr>
          <w:p w14:paraId="4CC3A525">
            <w:pPr>
              <w:spacing w:line="240" w:lineRule="auto"/>
              <w:ind w:firstLine="0" w:firstLineChars="0"/>
              <w:jc w:val="center"/>
              <w:rPr>
                <w:color w:val="auto"/>
                <w:sz w:val="21"/>
                <w:szCs w:val="21"/>
              </w:rPr>
            </w:pPr>
          </w:p>
        </w:tc>
        <w:tc>
          <w:tcPr>
            <w:tcW w:w="606" w:type="pct"/>
            <w:vMerge w:val="continue"/>
            <w:tcBorders>
              <w:tl2br w:val="nil"/>
              <w:tr2bl w:val="nil"/>
            </w:tcBorders>
            <w:vAlign w:val="center"/>
          </w:tcPr>
          <w:p w14:paraId="08A35C0E">
            <w:pPr>
              <w:spacing w:line="240" w:lineRule="auto"/>
              <w:ind w:firstLine="0" w:firstLineChars="0"/>
              <w:jc w:val="center"/>
              <w:rPr>
                <w:color w:val="auto"/>
                <w:sz w:val="21"/>
                <w:szCs w:val="21"/>
              </w:rPr>
            </w:pPr>
          </w:p>
        </w:tc>
        <w:tc>
          <w:tcPr>
            <w:tcW w:w="458" w:type="pct"/>
            <w:vMerge w:val="continue"/>
            <w:tcBorders>
              <w:tl2br w:val="nil"/>
              <w:tr2bl w:val="nil"/>
            </w:tcBorders>
            <w:vAlign w:val="center"/>
          </w:tcPr>
          <w:p w14:paraId="7E0F2FDE">
            <w:pPr>
              <w:spacing w:line="240" w:lineRule="auto"/>
              <w:ind w:firstLine="0" w:firstLineChars="0"/>
              <w:jc w:val="center"/>
              <w:rPr>
                <w:color w:val="auto"/>
                <w:sz w:val="21"/>
                <w:szCs w:val="21"/>
              </w:rPr>
            </w:pPr>
          </w:p>
        </w:tc>
        <w:tc>
          <w:tcPr>
            <w:tcW w:w="625" w:type="pct"/>
            <w:tcBorders>
              <w:tl2br w:val="nil"/>
              <w:tr2bl w:val="nil"/>
            </w:tcBorders>
            <w:shd w:val="clear" w:color="auto" w:fill="auto"/>
            <w:vAlign w:val="center"/>
          </w:tcPr>
          <w:p w14:paraId="27AC4CFD">
            <w:pPr>
              <w:spacing w:line="240" w:lineRule="auto"/>
              <w:ind w:firstLine="0" w:firstLineChars="0"/>
              <w:jc w:val="center"/>
              <w:rPr>
                <w:bCs/>
                <w:color w:val="auto"/>
                <w:spacing w:val="4"/>
                <w:sz w:val="21"/>
                <w:szCs w:val="21"/>
              </w:rPr>
            </w:pPr>
            <w:r>
              <w:rPr>
                <w:color w:val="auto"/>
                <w:sz w:val="21"/>
                <w:szCs w:val="21"/>
              </w:rPr>
              <w:t>SO</w:t>
            </w:r>
            <w:r>
              <w:rPr>
                <w:color w:val="auto"/>
                <w:sz w:val="21"/>
                <w:szCs w:val="21"/>
                <w:vertAlign w:val="subscript"/>
              </w:rPr>
              <w:t>2</w:t>
            </w:r>
          </w:p>
        </w:tc>
        <w:tc>
          <w:tcPr>
            <w:tcW w:w="1274" w:type="pct"/>
            <w:vMerge w:val="continue"/>
            <w:tcBorders>
              <w:tl2br w:val="nil"/>
              <w:tr2bl w:val="nil"/>
            </w:tcBorders>
            <w:vAlign w:val="center"/>
          </w:tcPr>
          <w:p w14:paraId="18124AC6">
            <w:pPr>
              <w:spacing w:line="240" w:lineRule="auto"/>
              <w:ind w:firstLine="0" w:firstLineChars="0"/>
              <w:jc w:val="center"/>
              <w:rPr>
                <w:color w:val="auto"/>
                <w:sz w:val="21"/>
                <w:szCs w:val="21"/>
              </w:rPr>
            </w:pPr>
          </w:p>
        </w:tc>
        <w:tc>
          <w:tcPr>
            <w:tcW w:w="331" w:type="pct"/>
            <w:vMerge w:val="continue"/>
            <w:tcBorders>
              <w:tl2br w:val="nil"/>
              <w:tr2bl w:val="nil"/>
            </w:tcBorders>
            <w:vAlign w:val="center"/>
          </w:tcPr>
          <w:p w14:paraId="10CB3EA3">
            <w:pPr>
              <w:spacing w:line="240" w:lineRule="auto"/>
              <w:ind w:firstLine="0" w:firstLineChars="0"/>
              <w:jc w:val="center"/>
              <w:rPr>
                <w:color w:val="auto"/>
                <w:sz w:val="21"/>
                <w:szCs w:val="21"/>
              </w:rPr>
            </w:pPr>
          </w:p>
        </w:tc>
        <w:tc>
          <w:tcPr>
            <w:tcW w:w="1182" w:type="pct"/>
            <w:vMerge w:val="continue"/>
            <w:tcBorders>
              <w:tl2br w:val="nil"/>
              <w:tr2bl w:val="nil"/>
            </w:tcBorders>
            <w:vAlign w:val="center"/>
          </w:tcPr>
          <w:p w14:paraId="602EA93D">
            <w:pPr>
              <w:spacing w:line="240" w:lineRule="auto"/>
              <w:ind w:firstLine="0" w:firstLineChars="0"/>
              <w:jc w:val="center"/>
              <w:rPr>
                <w:color w:val="auto"/>
                <w:sz w:val="21"/>
                <w:szCs w:val="21"/>
              </w:rPr>
            </w:pPr>
          </w:p>
        </w:tc>
      </w:tr>
      <w:tr w14:paraId="2D8299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continue"/>
            <w:tcBorders>
              <w:tl2br w:val="nil"/>
              <w:tr2bl w:val="nil"/>
            </w:tcBorders>
            <w:vAlign w:val="center"/>
          </w:tcPr>
          <w:p w14:paraId="43EF2B21">
            <w:pPr>
              <w:spacing w:line="240" w:lineRule="auto"/>
              <w:ind w:firstLine="0" w:firstLineChars="0"/>
              <w:jc w:val="center"/>
              <w:rPr>
                <w:color w:val="auto"/>
                <w:sz w:val="21"/>
                <w:szCs w:val="21"/>
              </w:rPr>
            </w:pPr>
          </w:p>
        </w:tc>
        <w:tc>
          <w:tcPr>
            <w:tcW w:w="606" w:type="pct"/>
            <w:vMerge w:val="continue"/>
            <w:tcBorders>
              <w:tl2br w:val="nil"/>
              <w:tr2bl w:val="nil"/>
            </w:tcBorders>
            <w:vAlign w:val="center"/>
          </w:tcPr>
          <w:p w14:paraId="49566C07">
            <w:pPr>
              <w:spacing w:line="240" w:lineRule="auto"/>
              <w:ind w:firstLine="0" w:firstLineChars="0"/>
              <w:jc w:val="center"/>
              <w:rPr>
                <w:color w:val="auto"/>
                <w:sz w:val="21"/>
                <w:szCs w:val="21"/>
              </w:rPr>
            </w:pPr>
          </w:p>
        </w:tc>
        <w:tc>
          <w:tcPr>
            <w:tcW w:w="458" w:type="pct"/>
            <w:vMerge w:val="continue"/>
            <w:tcBorders>
              <w:tl2br w:val="nil"/>
              <w:tr2bl w:val="nil"/>
            </w:tcBorders>
            <w:vAlign w:val="center"/>
          </w:tcPr>
          <w:p w14:paraId="137B169F">
            <w:pPr>
              <w:spacing w:line="240" w:lineRule="auto"/>
              <w:ind w:firstLine="0" w:firstLineChars="0"/>
              <w:jc w:val="center"/>
              <w:rPr>
                <w:color w:val="auto"/>
                <w:sz w:val="21"/>
                <w:szCs w:val="21"/>
              </w:rPr>
            </w:pPr>
          </w:p>
        </w:tc>
        <w:tc>
          <w:tcPr>
            <w:tcW w:w="625" w:type="pct"/>
            <w:tcBorders>
              <w:tl2br w:val="nil"/>
              <w:tr2bl w:val="nil"/>
            </w:tcBorders>
            <w:shd w:val="clear" w:color="auto" w:fill="auto"/>
            <w:vAlign w:val="center"/>
          </w:tcPr>
          <w:p w14:paraId="741F8F93">
            <w:pPr>
              <w:spacing w:line="240" w:lineRule="auto"/>
              <w:ind w:firstLine="0" w:firstLineChars="0"/>
              <w:jc w:val="center"/>
              <w:rPr>
                <w:bCs/>
                <w:color w:val="auto"/>
                <w:spacing w:val="4"/>
                <w:sz w:val="21"/>
                <w:szCs w:val="21"/>
              </w:rPr>
            </w:pPr>
            <w:r>
              <w:rPr>
                <w:color w:val="auto"/>
                <w:sz w:val="21"/>
                <w:szCs w:val="21"/>
              </w:rPr>
              <w:t>NOx</w:t>
            </w:r>
          </w:p>
        </w:tc>
        <w:tc>
          <w:tcPr>
            <w:tcW w:w="1274" w:type="pct"/>
            <w:vMerge w:val="continue"/>
            <w:tcBorders>
              <w:tl2br w:val="nil"/>
              <w:tr2bl w:val="nil"/>
            </w:tcBorders>
            <w:vAlign w:val="center"/>
          </w:tcPr>
          <w:p w14:paraId="79D3F4FB">
            <w:pPr>
              <w:spacing w:line="240" w:lineRule="auto"/>
              <w:ind w:firstLine="0" w:firstLineChars="0"/>
              <w:jc w:val="center"/>
              <w:rPr>
                <w:color w:val="auto"/>
                <w:sz w:val="21"/>
                <w:szCs w:val="21"/>
              </w:rPr>
            </w:pPr>
          </w:p>
        </w:tc>
        <w:tc>
          <w:tcPr>
            <w:tcW w:w="331" w:type="pct"/>
            <w:vMerge w:val="continue"/>
            <w:tcBorders>
              <w:tl2br w:val="nil"/>
              <w:tr2bl w:val="nil"/>
            </w:tcBorders>
            <w:vAlign w:val="center"/>
          </w:tcPr>
          <w:p w14:paraId="536A47AE">
            <w:pPr>
              <w:spacing w:line="240" w:lineRule="auto"/>
              <w:ind w:firstLine="0" w:firstLineChars="0"/>
              <w:jc w:val="center"/>
              <w:rPr>
                <w:color w:val="auto"/>
                <w:sz w:val="21"/>
                <w:szCs w:val="21"/>
              </w:rPr>
            </w:pPr>
          </w:p>
        </w:tc>
        <w:tc>
          <w:tcPr>
            <w:tcW w:w="1182" w:type="pct"/>
            <w:vMerge w:val="continue"/>
            <w:tcBorders>
              <w:tl2br w:val="nil"/>
              <w:tr2bl w:val="nil"/>
            </w:tcBorders>
            <w:vAlign w:val="center"/>
          </w:tcPr>
          <w:p w14:paraId="2F4CB9D9">
            <w:pPr>
              <w:spacing w:line="240" w:lineRule="auto"/>
              <w:ind w:firstLine="0" w:firstLineChars="0"/>
              <w:jc w:val="center"/>
              <w:rPr>
                <w:color w:val="auto"/>
                <w:sz w:val="21"/>
                <w:szCs w:val="21"/>
              </w:rPr>
            </w:pPr>
          </w:p>
        </w:tc>
      </w:tr>
      <w:tr w14:paraId="0E5EB6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restart"/>
            <w:tcBorders>
              <w:tl2br w:val="nil"/>
              <w:tr2bl w:val="nil"/>
            </w:tcBorders>
            <w:vAlign w:val="center"/>
          </w:tcPr>
          <w:p w14:paraId="063F9576">
            <w:pPr>
              <w:spacing w:line="240" w:lineRule="auto"/>
              <w:ind w:firstLine="0" w:firstLineChars="0"/>
              <w:jc w:val="center"/>
              <w:rPr>
                <w:color w:val="auto"/>
                <w:sz w:val="21"/>
                <w:szCs w:val="21"/>
              </w:rPr>
            </w:pPr>
            <w:r>
              <w:rPr>
                <w:rFonts w:hint="eastAsia"/>
                <w:color w:val="auto"/>
                <w:sz w:val="21"/>
                <w:szCs w:val="21"/>
              </w:rPr>
              <w:t>DA003</w:t>
            </w:r>
          </w:p>
        </w:tc>
        <w:tc>
          <w:tcPr>
            <w:tcW w:w="606" w:type="pct"/>
            <w:vMerge w:val="restart"/>
            <w:tcBorders>
              <w:tl2br w:val="nil"/>
              <w:tr2bl w:val="nil"/>
            </w:tcBorders>
            <w:vAlign w:val="center"/>
          </w:tcPr>
          <w:p w14:paraId="505580B8">
            <w:pPr>
              <w:spacing w:line="240" w:lineRule="auto"/>
              <w:ind w:firstLine="0" w:firstLineChars="0"/>
              <w:jc w:val="center"/>
              <w:rPr>
                <w:color w:val="auto"/>
                <w:sz w:val="21"/>
                <w:szCs w:val="21"/>
              </w:rPr>
            </w:pPr>
            <w:r>
              <w:rPr>
                <w:rFonts w:hint="eastAsia"/>
                <w:color w:val="auto"/>
                <w:sz w:val="21"/>
                <w:szCs w:val="21"/>
              </w:rPr>
              <w:t>烘干炉</w:t>
            </w:r>
          </w:p>
        </w:tc>
        <w:tc>
          <w:tcPr>
            <w:tcW w:w="458" w:type="pct"/>
            <w:vMerge w:val="restart"/>
            <w:tcBorders>
              <w:tl2br w:val="nil"/>
              <w:tr2bl w:val="nil"/>
            </w:tcBorders>
            <w:vAlign w:val="center"/>
          </w:tcPr>
          <w:p w14:paraId="7B37FD2A">
            <w:pPr>
              <w:spacing w:line="240" w:lineRule="auto"/>
              <w:ind w:firstLine="0" w:firstLineChars="0"/>
              <w:jc w:val="center"/>
              <w:rPr>
                <w:color w:val="auto"/>
                <w:sz w:val="21"/>
                <w:szCs w:val="21"/>
              </w:rPr>
            </w:pPr>
            <w:r>
              <w:rPr>
                <w:rFonts w:hint="eastAsia"/>
                <w:color w:val="auto"/>
                <w:sz w:val="21"/>
                <w:szCs w:val="21"/>
              </w:rPr>
              <w:t>1000</w:t>
            </w:r>
          </w:p>
        </w:tc>
        <w:tc>
          <w:tcPr>
            <w:tcW w:w="625" w:type="pct"/>
            <w:tcBorders>
              <w:tl2br w:val="nil"/>
              <w:tr2bl w:val="nil"/>
            </w:tcBorders>
            <w:shd w:val="clear" w:color="auto" w:fill="auto"/>
            <w:vAlign w:val="center"/>
          </w:tcPr>
          <w:p w14:paraId="2DF82ACC">
            <w:pPr>
              <w:spacing w:line="240" w:lineRule="auto"/>
              <w:ind w:firstLine="0" w:firstLineChars="0"/>
              <w:jc w:val="center"/>
              <w:rPr>
                <w:bCs/>
                <w:color w:val="auto"/>
                <w:spacing w:val="4"/>
                <w:sz w:val="21"/>
                <w:szCs w:val="21"/>
              </w:rPr>
            </w:pPr>
            <w:r>
              <w:rPr>
                <w:rFonts w:hint="eastAsia"/>
                <w:color w:val="auto"/>
                <w:sz w:val="21"/>
                <w:szCs w:val="21"/>
              </w:rPr>
              <w:t>颗粒物</w:t>
            </w:r>
          </w:p>
        </w:tc>
        <w:tc>
          <w:tcPr>
            <w:tcW w:w="1274" w:type="pct"/>
            <w:vMerge w:val="restart"/>
            <w:tcBorders>
              <w:tl2br w:val="nil"/>
              <w:tr2bl w:val="nil"/>
            </w:tcBorders>
            <w:shd w:val="clear" w:color="auto" w:fill="auto"/>
            <w:vAlign w:val="center"/>
          </w:tcPr>
          <w:p w14:paraId="248E9560">
            <w:pPr>
              <w:spacing w:line="240" w:lineRule="auto"/>
              <w:ind w:firstLine="0" w:firstLineChars="0"/>
              <w:jc w:val="center"/>
              <w:rPr>
                <w:color w:val="auto"/>
                <w:sz w:val="21"/>
                <w:szCs w:val="21"/>
              </w:rPr>
            </w:pPr>
            <w:r>
              <w:rPr>
                <w:rFonts w:hint="eastAsia"/>
                <w:color w:val="auto"/>
                <w:sz w:val="21"/>
                <w:szCs w:val="21"/>
              </w:rPr>
              <w:t>经低氮燃烧技术处理+15</w:t>
            </w:r>
            <w:r>
              <w:rPr>
                <w:color w:val="auto"/>
                <w:sz w:val="21"/>
                <w:szCs w:val="21"/>
              </w:rPr>
              <w:t>m排气筒</w:t>
            </w:r>
            <w:r>
              <w:rPr>
                <w:rFonts w:hint="eastAsia"/>
                <w:color w:val="auto"/>
                <w:sz w:val="21"/>
                <w:szCs w:val="21"/>
              </w:rPr>
              <w:t>高空排放</w:t>
            </w:r>
          </w:p>
        </w:tc>
        <w:tc>
          <w:tcPr>
            <w:tcW w:w="331" w:type="pct"/>
            <w:vMerge w:val="restart"/>
            <w:tcBorders>
              <w:tl2br w:val="nil"/>
              <w:tr2bl w:val="nil"/>
            </w:tcBorders>
            <w:shd w:val="clear" w:color="auto" w:fill="auto"/>
            <w:vAlign w:val="center"/>
          </w:tcPr>
          <w:p w14:paraId="0D053F5F">
            <w:pPr>
              <w:spacing w:line="240" w:lineRule="auto"/>
              <w:ind w:firstLine="0" w:firstLineChars="0"/>
              <w:jc w:val="center"/>
              <w:rPr>
                <w:color w:val="auto"/>
                <w:sz w:val="21"/>
                <w:szCs w:val="21"/>
              </w:rPr>
            </w:pPr>
            <w:r>
              <w:rPr>
                <w:color w:val="auto"/>
                <w:sz w:val="21"/>
                <w:szCs w:val="21"/>
              </w:rPr>
              <w:t>/</w:t>
            </w:r>
          </w:p>
        </w:tc>
        <w:tc>
          <w:tcPr>
            <w:tcW w:w="1182" w:type="pct"/>
            <w:vMerge w:val="continue"/>
            <w:tcBorders>
              <w:tl2br w:val="nil"/>
              <w:tr2bl w:val="nil"/>
            </w:tcBorders>
            <w:vAlign w:val="center"/>
          </w:tcPr>
          <w:p w14:paraId="1D5CDB88">
            <w:pPr>
              <w:spacing w:line="240" w:lineRule="auto"/>
              <w:ind w:firstLine="0" w:firstLineChars="0"/>
              <w:jc w:val="center"/>
              <w:rPr>
                <w:color w:val="auto"/>
                <w:sz w:val="21"/>
                <w:szCs w:val="21"/>
              </w:rPr>
            </w:pPr>
          </w:p>
        </w:tc>
      </w:tr>
      <w:tr w14:paraId="3D3D60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continue"/>
            <w:tcBorders>
              <w:tl2br w:val="nil"/>
              <w:tr2bl w:val="nil"/>
            </w:tcBorders>
            <w:vAlign w:val="center"/>
          </w:tcPr>
          <w:p w14:paraId="6299260D">
            <w:pPr>
              <w:spacing w:line="240" w:lineRule="auto"/>
              <w:ind w:firstLine="0" w:firstLineChars="0"/>
              <w:jc w:val="center"/>
              <w:rPr>
                <w:color w:val="auto"/>
                <w:sz w:val="21"/>
                <w:szCs w:val="21"/>
              </w:rPr>
            </w:pPr>
          </w:p>
        </w:tc>
        <w:tc>
          <w:tcPr>
            <w:tcW w:w="606" w:type="pct"/>
            <w:vMerge w:val="continue"/>
            <w:tcBorders>
              <w:tl2br w:val="nil"/>
              <w:tr2bl w:val="nil"/>
            </w:tcBorders>
            <w:vAlign w:val="center"/>
          </w:tcPr>
          <w:p w14:paraId="2855B9A9">
            <w:pPr>
              <w:spacing w:line="240" w:lineRule="auto"/>
              <w:ind w:firstLine="0" w:firstLineChars="0"/>
              <w:jc w:val="center"/>
              <w:rPr>
                <w:color w:val="auto"/>
                <w:sz w:val="21"/>
                <w:szCs w:val="21"/>
              </w:rPr>
            </w:pPr>
          </w:p>
        </w:tc>
        <w:tc>
          <w:tcPr>
            <w:tcW w:w="458" w:type="pct"/>
            <w:vMerge w:val="continue"/>
            <w:tcBorders>
              <w:tl2br w:val="nil"/>
              <w:tr2bl w:val="nil"/>
            </w:tcBorders>
            <w:vAlign w:val="center"/>
          </w:tcPr>
          <w:p w14:paraId="7BC04250">
            <w:pPr>
              <w:spacing w:line="240" w:lineRule="auto"/>
              <w:ind w:firstLine="0" w:firstLineChars="0"/>
              <w:jc w:val="center"/>
              <w:rPr>
                <w:color w:val="auto"/>
                <w:sz w:val="21"/>
                <w:szCs w:val="21"/>
              </w:rPr>
            </w:pPr>
          </w:p>
        </w:tc>
        <w:tc>
          <w:tcPr>
            <w:tcW w:w="625" w:type="pct"/>
            <w:tcBorders>
              <w:tl2br w:val="nil"/>
              <w:tr2bl w:val="nil"/>
            </w:tcBorders>
            <w:shd w:val="clear" w:color="auto" w:fill="auto"/>
            <w:vAlign w:val="center"/>
          </w:tcPr>
          <w:p w14:paraId="19BCE090">
            <w:pPr>
              <w:spacing w:line="240" w:lineRule="auto"/>
              <w:ind w:firstLine="0" w:firstLineChars="0"/>
              <w:jc w:val="center"/>
              <w:rPr>
                <w:bCs/>
                <w:color w:val="auto"/>
                <w:spacing w:val="4"/>
                <w:sz w:val="21"/>
                <w:szCs w:val="21"/>
              </w:rPr>
            </w:pPr>
            <w:r>
              <w:rPr>
                <w:color w:val="auto"/>
                <w:sz w:val="21"/>
                <w:szCs w:val="21"/>
              </w:rPr>
              <w:t>SO</w:t>
            </w:r>
            <w:r>
              <w:rPr>
                <w:color w:val="auto"/>
                <w:sz w:val="21"/>
                <w:szCs w:val="21"/>
                <w:vertAlign w:val="subscript"/>
              </w:rPr>
              <w:t>2</w:t>
            </w:r>
          </w:p>
        </w:tc>
        <w:tc>
          <w:tcPr>
            <w:tcW w:w="1274" w:type="pct"/>
            <w:vMerge w:val="continue"/>
            <w:tcBorders>
              <w:tl2br w:val="nil"/>
              <w:tr2bl w:val="nil"/>
            </w:tcBorders>
            <w:vAlign w:val="center"/>
          </w:tcPr>
          <w:p w14:paraId="7DFFC48F">
            <w:pPr>
              <w:spacing w:line="240" w:lineRule="auto"/>
              <w:ind w:firstLine="0" w:firstLineChars="0"/>
              <w:jc w:val="center"/>
              <w:rPr>
                <w:color w:val="auto"/>
                <w:sz w:val="21"/>
                <w:szCs w:val="21"/>
              </w:rPr>
            </w:pPr>
          </w:p>
        </w:tc>
        <w:tc>
          <w:tcPr>
            <w:tcW w:w="331" w:type="pct"/>
            <w:vMerge w:val="continue"/>
            <w:tcBorders>
              <w:tl2br w:val="nil"/>
              <w:tr2bl w:val="nil"/>
            </w:tcBorders>
            <w:vAlign w:val="center"/>
          </w:tcPr>
          <w:p w14:paraId="58249064">
            <w:pPr>
              <w:spacing w:line="240" w:lineRule="auto"/>
              <w:ind w:firstLine="0" w:firstLineChars="0"/>
              <w:jc w:val="center"/>
              <w:rPr>
                <w:color w:val="auto"/>
                <w:sz w:val="21"/>
                <w:szCs w:val="21"/>
              </w:rPr>
            </w:pPr>
          </w:p>
        </w:tc>
        <w:tc>
          <w:tcPr>
            <w:tcW w:w="1182" w:type="pct"/>
            <w:vMerge w:val="continue"/>
            <w:tcBorders>
              <w:tl2br w:val="nil"/>
              <w:tr2bl w:val="nil"/>
            </w:tcBorders>
            <w:vAlign w:val="center"/>
          </w:tcPr>
          <w:p w14:paraId="0DC442A5">
            <w:pPr>
              <w:spacing w:line="240" w:lineRule="auto"/>
              <w:ind w:firstLine="0" w:firstLineChars="0"/>
              <w:jc w:val="center"/>
              <w:rPr>
                <w:color w:val="auto"/>
                <w:sz w:val="21"/>
                <w:szCs w:val="21"/>
              </w:rPr>
            </w:pPr>
          </w:p>
        </w:tc>
      </w:tr>
      <w:tr w14:paraId="2D5C00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290" w:hRule="atLeast"/>
          <w:jc w:val="center"/>
        </w:trPr>
        <w:tc>
          <w:tcPr>
            <w:tcW w:w="521" w:type="pct"/>
            <w:vMerge w:val="continue"/>
            <w:tcBorders>
              <w:tl2br w:val="nil"/>
              <w:tr2bl w:val="nil"/>
            </w:tcBorders>
            <w:vAlign w:val="center"/>
          </w:tcPr>
          <w:p w14:paraId="769E7216">
            <w:pPr>
              <w:spacing w:line="240" w:lineRule="auto"/>
              <w:ind w:firstLine="0" w:firstLineChars="0"/>
              <w:jc w:val="center"/>
              <w:rPr>
                <w:color w:val="auto"/>
                <w:sz w:val="21"/>
                <w:szCs w:val="21"/>
              </w:rPr>
            </w:pPr>
          </w:p>
        </w:tc>
        <w:tc>
          <w:tcPr>
            <w:tcW w:w="606" w:type="pct"/>
            <w:vMerge w:val="continue"/>
            <w:tcBorders>
              <w:tl2br w:val="nil"/>
              <w:tr2bl w:val="nil"/>
            </w:tcBorders>
            <w:vAlign w:val="center"/>
          </w:tcPr>
          <w:p w14:paraId="378B9F7E">
            <w:pPr>
              <w:spacing w:line="240" w:lineRule="auto"/>
              <w:ind w:firstLine="0" w:firstLineChars="0"/>
              <w:jc w:val="center"/>
              <w:rPr>
                <w:color w:val="auto"/>
                <w:sz w:val="21"/>
                <w:szCs w:val="21"/>
              </w:rPr>
            </w:pPr>
          </w:p>
        </w:tc>
        <w:tc>
          <w:tcPr>
            <w:tcW w:w="458" w:type="pct"/>
            <w:vMerge w:val="continue"/>
            <w:tcBorders>
              <w:tl2br w:val="nil"/>
              <w:tr2bl w:val="nil"/>
            </w:tcBorders>
            <w:vAlign w:val="center"/>
          </w:tcPr>
          <w:p w14:paraId="02727507">
            <w:pPr>
              <w:spacing w:line="240" w:lineRule="auto"/>
              <w:ind w:firstLine="0" w:firstLineChars="0"/>
              <w:jc w:val="center"/>
              <w:rPr>
                <w:color w:val="auto"/>
                <w:sz w:val="21"/>
                <w:szCs w:val="21"/>
              </w:rPr>
            </w:pPr>
          </w:p>
        </w:tc>
        <w:tc>
          <w:tcPr>
            <w:tcW w:w="625" w:type="pct"/>
            <w:tcBorders>
              <w:tl2br w:val="nil"/>
              <w:tr2bl w:val="nil"/>
            </w:tcBorders>
            <w:shd w:val="clear" w:color="auto" w:fill="auto"/>
            <w:vAlign w:val="center"/>
          </w:tcPr>
          <w:p w14:paraId="7C002F42">
            <w:pPr>
              <w:spacing w:line="240" w:lineRule="auto"/>
              <w:ind w:firstLine="0" w:firstLineChars="0"/>
              <w:jc w:val="center"/>
              <w:rPr>
                <w:bCs/>
                <w:color w:val="auto"/>
                <w:spacing w:val="4"/>
                <w:sz w:val="21"/>
                <w:szCs w:val="21"/>
              </w:rPr>
            </w:pPr>
            <w:r>
              <w:rPr>
                <w:color w:val="auto"/>
                <w:sz w:val="21"/>
                <w:szCs w:val="21"/>
              </w:rPr>
              <w:t>NOx</w:t>
            </w:r>
          </w:p>
        </w:tc>
        <w:tc>
          <w:tcPr>
            <w:tcW w:w="1274" w:type="pct"/>
            <w:vMerge w:val="continue"/>
            <w:tcBorders>
              <w:tl2br w:val="nil"/>
              <w:tr2bl w:val="nil"/>
            </w:tcBorders>
            <w:vAlign w:val="center"/>
          </w:tcPr>
          <w:p w14:paraId="2E21ED24">
            <w:pPr>
              <w:spacing w:line="240" w:lineRule="auto"/>
              <w:ind w:firstLine="0" w:firstLineChars="0"/>
              <w:jc w:val="center"/>
              <w:rPr>
                <w:color w:val="auto"/>
                <w:sz w:val="21"/>
                <w:szCs w:val="21"/>
              </w:rPr>
            </w:pPr>
          </w:p>
        </w:tc>
        <w:tc>
          <w:tcPr>
            <w:tcW w:w="331" w:type="pct"/>
            <w:vMerge w:val="continue"/>
            <w:tcBorders>
              <w:tl2br w:val="nil"/>
              <w:tr2bl w:val="nil"/>
            </w:tcBorders>
            <w:vAlign w:val="center"/>
          </w:tcPr>
          <w:p w14:paraId="669359B7">
            <w:pPr>
              <w:spacing w:line="240" w:lineRule="auto"/>
              <w:ind w:firstLine="0" w:firstLineChars="0"/>
              <w:jc w:val="center"/>
              <w:rPr>
                <w:color w:val="auto"/>
                <w:sz w:val="21"/>
                <w:szCs w:val="21"/>
              </w:rPr>
            </w:pPr>
          </w:p>
        </w:tc>
        <w:tc>
          <w:tcPr>
            <w:tcW w:w="1182" w:type="pct"/>
            <w:vMerge w:val="continue"/>
            <w:tcBorders>
              <w:tl2br w:val="nil"/>
              <w:tr2bl w:val="nil"/>
            </w:tcBorders>
            <w:vAlign w:val="center"/>
          </w:tcPr>
          <w:p w14:paraId="3DE5A0F1">
            <w:pPr>
              <w:spacing w:line="240" w:lineRule="auto"/>
              <w:ind w:firstLine="0" w:firstLineChars="0"/>
              <w:jc w:val="center"/>
              <w:rPr>
                <w:color w:val="auto"/>
                <w:sz w:val="21"/>
                <w:szCs w:val="21"/>
              </w:rPr>
            </w:pPr>
          </w:p>
        </w:tc>
      </w:tr>
      <w:tr w14:paraId="28DEC3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1100" w:hRule="atLeast"/>
          <w:jc w:val="center"/>
        </w:trPr>
        <w:tc>
          <w:tcPr>
            <w:tcW w:w="521" w:type="pct"/>
            <w:tcBorders>
              <w:tl2br w:val="nil"/>
              <w:tr2bl w:val="nil"/>
            </w:tcBorders>
            <w:vAlign w:val="center"/>
          </w:tcPr>
          <w:p w14:paraId="3D96100F">
            <w:pPr>
              <w:spacing w:line="240" w:lineRule="auto"/>
              <w:ind w:firstLine="0" w:firstLineChars="0"/>
              <w:jc w:val="center"/>
              <w:rPr>
                <w:color w:val="auto"/>
                <w:sz w:val="21"/>
                <w:szCs w:val="21"/>
              </w:rPr>
            </w:pPr>
            <w:r>
              <w:rPr>
                <w:rFonts w:hint="eastAsia"/>
                <w:color w:val="auto"/>
                <w:sz w:val="21"/>
                <w:szCs w:val="21"/>
              </w:rPr>
              <w:t>DA004</w:t>
            </w:r>
          </w:p>
        </w:tc>
        <w:tc>
          <w:tcPr>
            <w:tcW w:w="606" w:type="pct"/>
            <w:tcBorders>
              <w:tl2br w:val="nil"/>
              <w:tr2bl w:val="nil"/>
            </w:tcBorders>
            <w:vAlign w:val="center"/>
          </w:tcPr>
          <w:p w14:paraId="40F2D369">
            <w:pPr>
              <w:spacing w:line="240" w:lineRule="auto"/>
              <w:ind w:firstLine="0" w:firstLineChars="0"/>
              <w:jc w:val="center"/>
              <w:rPr>
                <w:color w:val="auto"/>
                <w:sz w:val="21"/>
                <w:szCs w:val="21"/>
              </w:rPr>
            </w:pPr>
            <w:r>
              <w:rPr>
                <w:color w:val="auto"/>
                <w:sz w:val="21"/>
                <w:szCs w:val="21"/>
              </w:rPr>
              <w:t>喷砂</w:t>
            </w:r>
          </w:p>
        </w:tc>
        <w:tc>
          <w:tcPr>
            <w:tcW w:w="458" w:type="pct"/>
            <w:tcBorders>
              <w:tl2br w:val="nil"/>
              <w:tr2bl w:val="nil"/>
            </w:tcBorders>
            <w:vAlign w:val="center"/>
          </w:tcPr>
          <w:p w14:paraId="3EA53351">
            <w:pPr>
              <w:spacing w:line="240" w:lineRule="auto"/>
              <w:ind w:firstLine="0" w:firstLineChars="0"/>
              <w:jc w:val="center"/>
              <w:rPr>
                <w:color w:val="auto"/>
                <w:sz w:val="21"/>
                <w:szCs w:val="21"/>
              </w:rPr>
            </w:pPr>
            <w:r>
              <w:rPr>
                <w:rFonts w:hint="eastAsia"/>
                <w:color w:val="auto"/>
                <w:sz w:val="21"/>
                <w:szCs w:val="21"/>
              </w:rPr>
              <w:t>15000</w:t>
            </w:r>
          </w:p>
        </w:tc>
        <w:tc>
          <w:tcPr>
            <w:tcW w:w="625" w:type="pct"/>
            <w:tcBorders>
              <w:tl2br w:val="nil"/>
              <w:tr2bl w:val="nil"/>
            </w:tcBorders>
            <w:vAlign w:val="center"/>
          </w:tcPr>
          <w:p w14:paraId="62AE91E6">
            <w:pPr>
              <w:spacing w:line="240" w:lineRule="auto"/>
              <w:ind w:firstLine="0" w:firstLineChars="0"/>
              <w:jc w:val="center"/>
              <w:rPr>
                <w:color w:val="auto"/>
                <w:sz w:val="21"/>
                <w:szCs w:val="21"/>
              </w:rPr>
            </w:pPr>
            <w:r>
              <w:rPr>
                <w:color w:val="auto"/>
                <w:sz w:val="21"/>
                <w:szCs w:val="21"/>
              </w:rPr>
              <w:t>颗粒物</w:t>
            </w:r>
          </w:p>
        </w:tc>
        <w:tc>
          <w:tcPr>
            <w:tcW w:w="1274" w:type="pct"/>
            <w:tcBorders>
              <w:tl2br w:val="nil"/>
              <w:tr2bl w:val="nil"/>
            </w:tcBorders>
            <w:vAlign w:val="center"/>
          </w:tcPr>
          <w:p w14:paraId="5E201ED6">
            <w:pPr>
              <w:spacing w:line="240" w:lineRule="auto"/>
              <w:ind w:firstLine="0" w:firstLineChars="0"/>
              <w:jc w:val="center"/>
              <w:rPr>
                <w:color w:val="auto"/>
                <w:sz w:val="21"/>
                <w:szCs w:val="21"/>
              </w:rPr>
            </w:pPr>
            <w:r>
              <w:rPr>
                <w:color w:val="auto"/>
                <w:sz w:val="21"/>
                <w:szCs w:val="21"/>
              </w:rPr>
              <w:t>密闭收集+布袋除尘+</w:t>
            </w:r>
            <w:r>
              <w:rPr>
                <w:rFonts w:hint="eastAsia"/>
                <w:color w:val="auto"/>
                <w:sz w:val="21"/>
                <w:szCs w:val="21"/>
              </w:rPr>
              <w:t>15m</w:t>
            </w:r>
            <w:r>
              <w:rPr>
                <w:color w:val="auto"/>
                <w:sz w:val="21"/>
                <w:szCs w:val="21"/>
              </w:rPr>
              <w:t>排气筒</w:t>
            </w:r>
          </w:p>
        </w:tc>
        <w:tc>
          <w:tcPr>
            <w:tcW w:w="331" w:type="pct"/>
            <w:tcBorders>
              <w:tl2br w:val="nil"/>
              <w:tr2bl w:val="nil"/>
            </w:tcBorders>
            <w:vAlign w:val="center"/>
          </w:tcPr>
          <w:p w14:paraId="114BE25E">
            <w:pPr>
              <w:spacing w:line="240" w:lineRule="auto"/>
              <w:ind w:firstLine="0" w:firstLineChars="0"/>
              <w:jc w:val="center"/>
              <w:rPr>
                <w:color w:val="auto"/>
                <w:sz w:val="21"/>
                <w:szCs w:val="21"/>
              </w:rPr>
            </w:pPr>
            <w:r>
              <w:rPr>
                <w:rFonts w:hint="eastAsia"/>
                <w:color w:val="auto"/>
                <w:sz w:val="21"/>
                <w:szCs w:val="21"/>
              </w:rPr>
              <w:t>97</w:t>
            </w:r>
          </w:p>
        </w:tc>
        <w:tc>
          <w:tcPr>
            <w:tcW w:w="1182" w:type="pct"/>
            <w:tcBorders>
              <w:tl2br w:val="nil"/>
              <w:tr2bl w:val="nil"/>
            </w:tcBorders>
            <w:vAlign w:val="center"/>
          </w:tcPr>
          <w:p w14:paraId="2737F5D5">
            <w:pPr>
              <w:spacing w:line="240" w:lineRule="auto"/>
              <w:ind w:firstLine="0" w:firstLineChars="0"/>
              <w:jc w:val="center"/>
              <w:rPr>
                <w:color w:val="auto"/>
                <w:sz w:val="21"/>
                <w:szCs w:val="21"/>
              </w:rPr>
            </w:pPr>
            <w:r>
              <w:rPr>
                <w:rFonts w:hint="eastAsia"/>
                <w:color w:val="auto"/>
                <w:sz w:val="21"/>
                <w:szCs w:val="21"/>
              </w:rPr>
              <w:t>江苏省地方标准</w:t>
            </w:r>
            <w:r>
              <w:rPr>
                <w:color w:val="auto"/>
                <w:sz w:val="21"/>
                <w:szCs w:val="21"/>
              </w:rPr>
              <w:t>《大气污染物综合排放标准》(DB32/4041-2021)</w:t>
            </w:r>
          </w:p>
        </w:tc>
      </w:tr>
      <w:tr w14:paraId="2196CD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1100" w:hRule="atLeast"/>
          <w:jc w:val="center"/>
        </w:trPr>
        <w:tc>
          <w:tcPr>
            <w:tcW w:w="521" w:type="pct"/>
            <w:tcBorders>
              <w:tl2br w:val="nil"/>
              <w:tr2bl w:val="nil"/>
            </w:tcBorders>
            <w:vAlign w:val="center"/>
          </w:tcPr>
          <w:p w14:paraId="04F9E8EF">
            <w:pPr>
              <w:spacing w:line="240" w:lineRule="auto"/>
              <w:ind w:firstLine="0" w:firstLineChars="0"/>
              <w:jc w:val="center"/>
              <w:rPr>
                <w:color w:val="auto"/>
                <w:sz w:val="21"/>
                <w:szCs w:val="21"/>
              </w:rPr>
            </w:pPr>
            <w:r>
              <w:rPr>
                <w:rFonts w:hint="eastAsia"/>
                <w:color w:val="auto"/>
                <w:sz w:val="21"/>
                <w:szCs w:val="21"/>
              </w:rPr>
              <w:t>DA005</w:t>
            </w:r>
          </w:p>
        </w:tc>
        <w:tc>
          <w:tcPr>
            <w:tcW w:w="606" w:type="pct"/>
            <w:tcBorders>
              <w:tl2br w:val="nil"/>
              <w:tr2bl w:val="nil"/>
            </w:tcBorders>
            <w:vAlign w:val="center"/>
          </w:tcPr>
          <w:p w14:paraId="0269CF00">
            <w:pPr>
              <w:spacing w:line="240" w:lineRule="auto"/>
              <w:ind w:firstLine="0" w:firstLineChars="0"/>
              <w:jc w:val="center"/>
              <w:rPr>
                <w:color w:val="auto"/>
                <w:sz w:val="21"/>
                <w:szCs w:val="21"/>
              </w:rPr>
            </w:pPr>
            <w:r>
              <w:rPr>
                <w:rFonts w:hint="eastAsia"/>
                <w:color w:val="auto"/>
                <w:sz w:val="21"/>
                <w:szCs w:val="21"/>
              </w:rPr>
              <w:t>碱蚀（氧化工段）</w:t>
            </w:r>
          </w:p>
        </w:tc>
        <w:tc>
          <w:tcPr>
            <w:tcW w:w="458" w:type="pct"/>
            <w:tcBorders>
              <w:tl2br w:val="nil"/>
              <w:tr2bl w:val="nil"/>
            </w:tcBorders>
            <w:vAlign w:val="center"/>
          </w:tcPr>
          <w:p w14:paraId="3036F2FD">
            <w:pPr>
              <w:spacing w:line="240" w:lineRule="auto"/>
              <w:ind w:firstLine="0" w:firstLineChars="0"/>
              <w:jc w:val="center"/>
              <w:rPr>
                <w:color w:val="auto"/>
                <w:sz w:val="21"/>
                <w:szCs w:val="21"/>
              </w:rPr>
            </w:pPr>
            <w:r>
              <w:rPr>
                <w:rFonts w:hint="eastAsia"/>
                <w:color w:val="auto"/>
                <w:sz w:val="21"/>
                <w:szCs w:val="21"/>
              </w:rPr>
              <w:t>60000</w:t>
            </w:r>
          </w:p>
        </w:tc>
        <w:tc>
          <w:tcPr>
            <w:tcW w:w="625" w:type="pct"/>
            <w:tcBorders>
              <w:tl2br w:val="nil"/>
              <w:tr2bl w:val="nil"/>
            </w:tcBorders>
            <w:vAlign w:val="center"/>
          </w:tcPr>
          <w:p w14:paraId="4714B266">
            <w:pPr>
              <w:spacing w:line="240" w:lineRule="auto"/>
              <w:ind w:firstLine="0" w:firstLineChars="0"/>
              <w:jc w:val="center"/>
              <w:rPr>
                <w:color w:val="auto"/>
                <w:sz w:val="21"/>
                <w:szCs w:val="21"/>
              </w:rPr>
            </w:pPr>
            <w:r>
              <w:rPr>
                <w:rFonts w:hint="eastAsia"/>
                <w:color w:val="auto"/>
                <w:sz w:val="21"/>
                <w:szCs w:val="21"/>
              </w:rPr>
              <w:t>碱雾</w:t>
            </w:r>
          </w:p>
        </w:tc>
        <w:tc>
          <w:tcPr>
            <w:tcW w:w="1274" w:type="pct"/>
            <w:tcBorders>
              <w:tl2br w:val="nil"/>
              <w:tr2bl w:val="nil"/>
            </w:tcBorders>
            <w:shd w:val="clear" w:color="auto" w:fill="auto"/>
            <w:vAlign w:val="center"/>
          </w:tcPr>
          <w:p w14:paraId="000CBF69">
            <w:pPr>
              <w:tabs>
                <w:tab w:val="left" w:pos="2227"/>
              </w:tabs>
              <w:spacing w:line="240" w:lineRule="auto"/>
              <w:ind w:firstLine="0" w:firstLineChars="0"/>
              <w:jc w:val="center"/>
              <w:rPr>
                <w:color w:val="auto"/>
                <w:sz w:val="21"/>
                <w:szCs w:val="21"/>
              </w:rPr>
            </w:pPr>
            <w:r>
              <w:rPr>
                <w:rFonts w:hint="eastAsia"/>
                <w:color w:val="auto"/>
                <w:sz w:val="21"/>
                <w:szCs w:val="21"/>
              </w:rPr>
              <w:t>侧吸+顶部吸风罩+</w:t>
            </w:r>
            <w:r>
              <w:rPr>
                <w:color w:val="auto"/>
                <w:sz w:val="21"/>
                <w:szCs w:val="21"/>
              </w:rPr>
              <w:t>二级</w:t>
            </w:r>
            <w:r>
              <w:rPr>
                <w:rFonts w:hint="eastAsia"/>
                <w:color w:val="auto"/>
                <w:sz w:val="21"/>
                <w:szCs w:val="21"/>
              </w:rPr>
              <w:t>水</w:t>
            </w:r>
            <w:r>
              <w:rPr>
                <w:color w:val="auto"/>
                <w:sz w:val="21"/>
                <w:szCs w:val="21"/>
              </w:rPr>
              <w:t>喷淋处理</w:t>
            </w:r>
            <w:r>
              <w:rPr>
                <w:rFonts w:hint="eastAsia"/>
                <w:color w:val="auto"/>
                <w:sz w:val="21"/>
                <w:szCs w:val="21"/>
              </w:rPr>
              <w:t>+30m高排气筒排放</w:t>
            </w:r>
          </w:p>
        </w:tc>
        <w:tc>
          <w:tcPr>
            <w:tcW w:w="331" w:type="pct"/>
            <w:tcBorders>
              <w:tl2br w:val="nil"/>
              <w:tr2bl w:val="nil"/>
            </w:tcBorders>
            <w:vAlign w:val="center"/>
          </w:tcPr>
          <w:p w14:paraId="0417D625">
            <w:pPr>
              <w:spacing w:line="240" w:lineRule="auto"/>
              <w:ind w:firstLine="0" w:firstLineChars="0"/>
              <w:jc w:val="center"/>
              <w:rPr>
                <w:color w:val="auto"/>
                <w:sz w:val="21"/>
                <w:szCs w:val="21"/>
              </w:rPr>
            </w:pPr>
            <w:r>
              <w:rPr>
                <w:rFonts w:hint="eastAsia"/>
                <w:color w:val="auto"/>
                <w:sz w:val="21"/>
                <w:szCs w:val="21"/>
              </w:rPr>
              <w:t>90</w:t>
            </w:r>
          </w:p>
        </w:tc>
        <w:tc>
          <w:tcPr>
            <w:tcW w:w="1182" w:type="pct"/>
            <w:tcBorders>
              <w:tl2br w:val="nil"/>
              <w:tr2bl w:val="nil"/>
            </w:tcBorders>
            <w:vAlign w:val="center"/>
          </w:tcPr>
          <w:p w14:paraId="217F095C">
            <w:pPr>
              <w:spacing w:line="240" w:lineRule="auto"/>
              <w:ind w:firstLine="0" w:firstLineChars="0"/>
              <w:jc w:val="center"/>
              <w:rPr>
                <w:color w:val="auto"/>
                <w:sz w:val="21"/>
                <w:szCs w:val="21"/>
              </w:rPr>
            </w:pPr>
            <w:r>
              <w:rPr>
                <w:rFonts w:hint="eastAsia"/>
                <w:color w:val="auto"/>
                <w:sz w:val="21"/>
                <w:szCs w:val="21"/>
              </w:rPr>
              <w:t>/</w:t>
            </w:r>
          </w:p>
        </w:tc>
      </w:tr>
      <w:tr w14:paraId="36899F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766" w:hRule="atLeast"/>
          <w:jc w:val="center"/>
        </w:trPr>
        <w:tc>
          <w:tcPr>
            <w:tcW w:w="521" w:type="pct"/>
            <w:tcBorders>
              <w:tl2br w:val="nil"/>
              <w:tr2bl w:val="nil"/>
            </w:tcBorders>
            <w:vAlign w:val="center"/>
          </w:tcPr>
          <w:p w14:paraId="314C2AA6">
            <w:pPr>
              <w:spacing w:line="240" w:lineRule="auto"/>
              <w:ind w:firstLine="0" w:firstLineChars="0"/>
              <w:jc w:val="center"/>
              <w:rPr>
                <w:color w:val="auto"/>
                <w:sz w:val="21"/>
                <w:szCs w:val="21"/>
              </w:rPr>
            </w:pPr>
            <w:r>
              <w:rPr>
                <w:rFonts w:hint="eastAsia"/>
                <w:color w:val="auto"/>
                <w:sz w:val="21"/>
                <w:szCs w:val="21"/>
              </w:rPr>
              <w:t>DA006</w:t>
            </w:r>
          </w:p>
        </w:tc>
        <w:tc>
          <w:tcPr>
            <w:tcW w:w="606" w:type="pct"/>
            <w:tcBorders>
              <w:tl2br w:val="nil"/>
              <w:tr2bl w:val="nil"/>
            </w:tcBorders>
            <w:vAlign w:val="center"/>
          </w:tcPr>
          <w:p w14:paraId="520CF074">
            <w:pPr>
              <w:spacing w:line="240" w:lineRule="auto"/>
              <w:ind w:firstLine="0" w:firstLineChars="0"/>
              <w:jc w:val="center"/>
              <w:rPr>
                <w:color w:val="auto"/>
                <w:sz w:val="21"/>
                <w:szCs w:val="21"/>
              </w:rPr>
            </w:pPr>
            <w:r>
              <w:rPr>
                <w:rFonts w:hint="eastAsia"/>
                <w:color w:val="auto"/>
                <w:sz w:val="21"/>
                <w:szCs w:val="21"/>
              </w:rPr>
              <w:t>脱脂、</w:t>
            </w:r>
            <w:r>
              <w:rPr>
                <w:color w:val="auto"/>
                <w:sz w:val="21"/>
                <w:szCs w:val="21"/>
              </w:rPr>
              <w:t>中和、氧化</w:t>
            </w:r>
          </w:p>
        </w:tc>
        <w:tc>
          <w:tcPr>
            <w:tcW w:w="458" w:type="pct"/>
            <w:tcBorders>
              <w:tl2br w:val="nil"/>
              <w:tr2bl w:val="nil"/>
            </w:tcBorders>
            <w:vAlign w:val="center"/>
          </w:tcPr>
          <w:p w14:paraId="55717D49">
            <w:pPr>
              <w:spacing w:line="240" w:lineRule="auto"/>
              <w:ind w:firstLine="0" w:firstLineChars="0"/>
              <w:jc w:val="center"/>
              <w:rPr>
                <w:color w:val="auto"/>
                <w:sz w:val="21"/>
                <w:szCs w:val="21"/>
              </w:rPr>
            </w:pPr>
            <w:r>
              <w:rPr>
                <w:rFonts w:hint="eastAsia"/>
                <w:color w:val="auto"/>
                <w:sz w:val="21"/>
                <w:szCs w:val="21"/>
              </w:rPr>
              <w:t>34</w:t>
            </w:r>
            <w:r>
              <w:rPr>
                <w:color w:val="auto"/>
                <w:sz w:val="21"/>
                <w:szCs w:val="21"/>
              </w:rPr>
              <w:t>000</w:t>
            </w:r>
          </w:p>
        </w:tc>
        <w:tc>
          <w:tcPr>
            <w:tcW w:w="625" w:type="pct"/>
            <w:tcBorders>
              <w:tl2br w:val="nil"/>
              <w:tr2bl w:val="nil"/>
            </w:tcBorders>
            <w:vAlign w:val="center"/>
          </w:tcPr>
          <w:p w14:paraId="7DE04FFA">
            <w:pPr>
              <w:spacing w:line="240" w:lineRule="auto"/>
              <w:ind w:firstLine="0" w:firstLineChars="0"/>
              <w:jc w:val="center"/>
              <w:rPr>
                <w:color w:val="auto"/>
                <w:sz w:val="21"/>
                <w:szCs w:val="21"/>
              </w:rPr>
            </w:pPr>
            <w:r>
              <w:rPr>
                <w:color w:val="auto"/>
                <w:sz w:val="21"/>
                <w:szCs w:val="21"/>
              </w:rPr>
              <w:t>硫酸雾</w:t>
            </w:r>
          </w:p>
        </w:tc>
        <w:tc>
          <w:tcPr>
            <w:tcW w:w="1274" w:type="pct"/>
            <w:tcBorders>
              <w:tl2br w:val="nil"/>
              <w:tr2bl w:val="nil"/>
            </w:tcBorders>
            <w:vAlign w:val="center"/>
          </w:tcPr>
          <w:p w14:paraId="216930B2">
            <w:pPr>
              <w:spacing w:line="240" w:lineRule="auto"/>
              <w:ind w:firstLine="0" w:firstLineChars="0"/>
              <w:jc w:val="center"/>
              <w:rPr>
                <w:color w:val="auto"/>
                <w:sz w:val="21"/>
                <w:szCs w:val="21"/>
              </w:rPr>
            </w:pPr>
            <w:r>
              <w:rPr>
                <w:color w:val="auto"/>
                <w:sz w:val="21"/>
                <w:szCs w:val="21"/>
              </w:rPr>
              <w:t>侧吸+阴极梁吸风罩收集</w:t>
            </w:r>
            <w:r>
              <w:rPr>
                <w:rFonts w:hint="eastAsia"/>
                <w:color w:val="auto"/>
                <w:sz w:val="21"/>
                <w:szCs w:val="21"/>
              </w:rPr>
              <w:t>+二级</w:t>
            </w:r>
            <w:r>
              <w:rPr>
                <w:color w:val="auto"/>
                <w:sz w:val="21"/>
                <w:szCs w:val="21"/>
              </w:rPr>
              <w:t>碱液喷淋塔处理</w:t>
            </w:r>
            <w:r>
              <w:rPr>
                <w:rFonts w:hint="eastAsia"/>
                <w:color w:val="auto"/>
                <w:sz w:val="21"/>
                <w:szCs w:val="21"/>
              </w:rPr>
              <w:t>+30</w:t>
            </w:r>
            <w:r>
              <w:rPr>
                <w:color w:val="auto"/>
                <w:sz w:val="21"/>
                <w:szCs w:val="21"/>
              </w:rPr>
              <w:t>m高排气筒排放</w:t>
            </w:r>
          </w:p>
        </w:tc>
        <w:tc>
          <w:tcPr>
            <w:tcW w:w="331" w:type="pct"/>
            <w:tcBorders>
              <w:tl2br w:val="nil"/>
              <w:tr2bl w:val="nil"/>
            </w:tcBorders>
            <w:vAlign w:val="center"/>
          </w:tcPr>
          <w:p w14:paraId="5B7DCE57">
            <w:pPr>
              <w:spacing w:line="240" w:lineRule="auto"/>
              <w:ind w:firstLine="0" w:firstLineChars="0"/>
              <w:jc w:val="center"/>
              <w:rPr>
                <w:color w:val="auto"/>
                <w:sz w:val="21"/>
                <w:szCs w:val="21"/>
              </w:rPr>
            </w:pPr>
            <w:r>
              <w:rPr>
                <w:rFonts w:hint="eastAsia"/>
                <w:color w:val="auto"/>
                <w:sz w:val="21"/>
                <w:szCs w:val="21"/>
              </w:rPr>
              <w:t>90</w:t>
            </w:r>
          </w:p>
        </w:tc>
        <w:tc>
          <w:tcPr>
            <w:tcW w:w="1182" w:type="pct"/>
            <w:tcBorders>
              <w:tl2br w:val="nil"/>
              <w:tr2bl w:val="nil"/>
            </w:tcBorders>
            <w:vAlign w:val="center"/>
          </w:tcPr>
          <w:p w14:paraId="0461C9DC">
            <w:pPr>
              <w:spacing w:line="240" w:lineRule="auto"/>
              <w:ind w:firstLine="0" w:firstLineChars="0"/>
              <w:jc w:val="center"/>
              <w:rPr>
                <w:color w:val="auto"/>
                <w:sz w:val="21"/>
                <w:szCs w:val="21"/>
              </w:rPr>
            </w:pPr>
            <w:r>
              <w:rPr>
                <w:color w:val="auto"/>
                <w:sz w:val="21"/>
                <w:szCs w:val="21"/>
              </w:rPr>
              <w:t>《电镀污染物排放标准》（GB21900-2008）表5标准</w:t>
            </w:r>
          </w:p>
        </w:tc>
      </w:tr>
      <w:tr w14:paraId="74625D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1099" w:hRule="atLeast"/>
          <w:jc w:val="center"/>
        </w:trPr>
        <w:tc>
          <w:tcPr>
            <w:tcW w:w="521" w:type="pct"/>
            <w:tcBorders>
              <w:tl2br w:val="nil"/>
              <w:tr2bl w:val="nil"/>
            </w:tcBorders>
            <w:vAlign w:val="center"/>
          </w:tcPr>
          <w:p w14:paraId="58C2E770">
            <w:pPr>
              <w:spacing w:line="240" w:lineRule="auto"/>
              <w:ind w:firstLine="0" w:firstLineChars="0"/>
              <w:jc w:val="center"/>
              <w:rPr>
                <w:color w:val="auto"/>
                <w:sz w:val="21"/>
                <w:szCs w:val="21"/>
              </w:rPr>
            </w:pPr>
            <w:r>
              <w:rPr>
                <w:rFonts w:hint="eastAsia"/>
                <w:color w:val="auto"/>
                <w:sz w:val="21"/>
                <w:szCs w:val="21"/>
              </w:rPr>
              <w:t>DA007</w:t>
            </w:r>
          </w:p>
        </w:tc>
        <w:tc>
          <w:tcPr>
            <w:tcW w:w="606" w:type="pct"/>
            <w:tcBorders>
              <w:tl2br w:val="nil"/>
              <w:tr2bl w:val="nil"/>
            </w:tcBorders>
            <w:vAlign w:val="center"/>
          </w:tcPr>
          <w:p w14:paraId="4835873B">
            <w:pPr>
              <w:spacing w:line="240" w:lineRule="auto"/>
              <w:ind w:firstLine="0" w:firstLineChars="0"/>
              <w:jc w:val="center"/>
              <w:rPr>
                <w:color w:val="auto"/>
                <w:sz w:val="21"/>
                <w:szCs w:val="21"/>
              </w:rPr>
            </w:pPr>
            <w:r>
              <w:rPr>
                <w:color w:val="auto"/>
                <w:sz w:val="21"/>
                <w:szCs w:val="21"/>
              </w:rPr>
              <w:t>碱蚀</w:t>
            </w:r>
            <w:r>
              <w:rPr>
                <w:rFonts w:hint="eastAsia"/>
                <w:color w:val="auto"/>
                <w:sz w:val="21"/>
                <w:szCs w:val="21"/>
              </w:rPr>
              <w:t>（煲模工段）</w:t>
            </w:r>
          </w:p>
        </w:tc>
        <w:tc>
          <w:tcPr>
            <w:tcW w:w="458" w:type="pct"/>
            <w:tcBorders>
              <w:tl2br w:val="nil"/>
              <w:tr2bl w:val="nil"/>
            </w:tcBorders>
            <w:vAlign w:val="center"/>
          </w:tcPr>
          <w:p w14:paraId="4891D094">
            <w:pPr>
              <w:spacing w:line="240" w:lineRule="auto"/>
              <w:ind w:firstLine="0" w:firstLineChars="0"/>
              <w:jc w:val="center"/>
              <w:rPr>
                <w:color w:val="auto"/>
                <w:sz w:val="21"/>
                <w:szCs w:val="21"/>
              </w:rPr>
            </w:pPr>
            <w:r>
              <w:rPr>
                <w:rFonts w:hint="eastAsia"/>
                <w:color w:val="auto"/>
                <w:sz w:val="21"/>
                <w:szCs w:val="21"/>
              </w:rPr>
              <w:t>15000</w:t>
            </w:r>
          </w:p>
        </w:tc>
        <w:tc>
          <w:tcPr>
            <w:tcW w:w="625" w:type="pct"/>
            <w:tcBorders>
              <w:tl2br w:val="nil"/>
              <w:tr2bl w:val="nil"/>
            </w:tcBorders>
            <w:vAlign w:val="center"/>
          </w:tcPr>
          <w:p w14:paraId="1CFB980F">
            <w:pPr>
              <w:spacing w:line="240" w:lineRule="auto"/>
              <w:ind w:firstLine="0" w:firstLineChars="0"/>
              <w:jc w:val="center"/>
              <w:rPr>
                <w:color w:val="auto"/>
                <w:sz w:val="21"/>
                <w:szCs w:val="21"/>
              </w:rPr>
            </w:pPr>
            <w:r>
              <w:rPr>
                <w:color w:val="auto"/>
                <w:sz w:val="21"/>
                <w:szCs w:val="21"/>
              </w:rPr>
              <w:t>碱雾</w:t>
            </w:r>
          </w:p>
        </w:tc>
        <w:tc>
          <w:tcPr>
            <w:tcW w:w="1274" w:type="pct"/>
            <w:tcBorders>
              <w:tl2br w:val="nil"/>
              <w:tr2bl w:val="nil"/>
            </w:tcBorders>
            <w:vAlign w:val="center"/>
          </w:tcPr>
          <w:p w14:paraId="7B052634">
            <w:pPr>
              <w:spacing w:line="240" w:lineRule="auto"/>
              <w:ind w:firstLine="0" w:firstLineChars="0"/>
              <w:jc w:val="center"/>
              <w:rPr>
                <w:color w:val="auto"/>
                <w:sz w:val="21"/>
                <w:szCs w:val="21"/>
              </w:rPr>
            </w:pPr>
            <w:r>
              <w:rPr>
                <w:color w:val="auto"/>
                <w:sz w:val="21"/>
                <w:szCs w:val="21"/>
              </w:rPr>
              <w:t>侧吸+顶</w:t>
            </w:r>
            <w:r>
              <w:rPr>
                <w:rFonts w:hint="eastAsia"/>
                <w:color w:val="auto"/>
                <w:sz w:val="21"/>
                <w:szCs w:val="21"/>
                <w:lang w:val="en-US" w:eastAsia="zh-CN"/>
              </w:rPr>
              <w:t>部</w:t>
            </w:r>
            <w:r>
              <w:rPr>
                <w:color w:val="auto"/>
                <w:sz w:val="21"/>
                <w:szCs w:val="21"/>
              </w:rPr>
              <w:t>吸风罩收集</w:t>
            </w:r>
            <w:r>
              <w:rPr>
                <w:rFonts w:hint="eastAsia"/>
                <w:color w:val="auto"/>
                <w:sz w:val="21"/>
                <w:szCs w:val="21"/>
              </w:rPr>
              <w:t>+二级水</w:t>
            </w:r>
            <w:r>
              <w:rPr>
                <w:color w:val="auto"/>
                <w:sz w:val="21"/>
                <w:szCs w:val="21"/>
              </w:rPr>
              <w:t>喷淋塔处理</w:t>
            </w:r>
            <w:r>
              <w:rPr>
                <w:rFonts w:hint="eastAsia"/>
                <w:color w:val="auto"/>
                <w:sz w:val="21"/>
                <w:szCs w:val="21"/>
              </w:rPr>
              <w:t>+30</w:t>
            </w:r>
            <w:r>
              <w:rPr>
                <w:color w:val="auto"/>
                <w:sz w:val="21"/>
                <w:szCs w:val="21"/>
              </w:rPr>
              <w:t>m高排气筒排放</w:t>
            </w:r>
          </w:p>
        </w:tc>
        <w:tc>
          <w:tcPr>
            <w:tcW w:w="331" w:type="pct"/>
            <w:tcBorders>
              <w:tl2br w:val="nil"/>
              <w:tr2bl w:val="nil"/>
            </w:tcBorders>
            <w:vAlign w:val="center"/>
          </w:tcPr>
          <w:p w14:paraId="0F977FEC">
            <w:pPr>
              <w:spacing w:line="240" w:lineRule="auto"/>
              <w:ind w:firstLine="0" w:firstLineChars="0"/>
              <w:jc w:val="center"/>
              <w:rPr>
                <w:color w:val="auto"/>
                <w:sz w:val="21"/>
                <w:szCs w:val="21"/>
              </w:rPr>
            </w:pPr>
            <w:r>
              <w:rPr>
                <w:rFonts w:hint="eastAsia"/>
                <w:color w:val="auto"/>
                <w:sz w:val="21"/>
                <w:szCs w:val="21"/>
              </w:rPr>
              <w:t>90</w:t>
            </w:r>
          </w:p>
        </w:tc>
        <w:tc>
          <w:tcPr>
            <w:tcW w:w="1182" w:type="pct"/>
            <w:tcBorders>
              <w:tl2br w:val="nil"/>
              <w:tr2bl w:val="nil"/>
            </w:tcBorders>
            <w:vAlign w:val="center"/>
          </w:tcPr>
          <w:p w14:paraId="42132AEB">
            <w:pPr>
              <w:spacing w:line="240" w:lineRule="auto"/>
              <w:ind w:firstLine="0" w:firstLineChars="0"/>
              <w:jc w:val="center"/>
              <w:rPr>
                <w:color w:val="auto"/>
                <w:sz w:val="21"/>
                <w:szCs w:val="21"/>
              </w:rPr>
            </w:pPr>
            <w:r>
              <w:rPr>
                <w:rFonts w:hint="eastAsia"/>
                <w:color w:val="auto"/>
                <w:sz w:val="21"/>
                <w:szCs w:val="21"/>
              </w:rPr>
              <w:t>/</w:t>
            </w:r>
          </w:p>
        </w:tc>
      </w:tr>
      <w:tr w14:paraId="2A54DB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50" w:type="dxa"/>
          </w:tblCellMar>
        </w:tblPrEx>
        <w:trPr>
          <w:trHeight w:val="692" w:hRule="atLeast"/>
          <w:jc w:val="center"/>
        </w:trPr>
        <w:tc>
          <w:tcPr>
            <w:tcW w:w="521" w:type="pct"/>
            <w:tcBorders>
              <w:tl2br w:val="nil"/>
              <w:tr2bl w:val="nil"/>
            </w:tcBorders>
            <w:vAlign w:val="center"/>
          </w:tcPr>
          <w:p w14:paraId="7CA31ED4">
            <w:pPr>
              <w:spacing w:line="240" w:lineRule="auto"/>
              <w:ind w:firstLine="0" w:firstLineChars="0"/>
              <w:jc w:val="center"/>
              <w:rPr>
                <w:color w:val="auto"/>
                <w:sz w:val="21"/>
                <w:szCs w:val="21"/>
              </w:rPr>
            </w:pPr>
            <w:r>
              <w:rPr>
                <w:rFonts w:hint="eastAsia"/>
                <w:color w:val="auto"/>
                <w:sz w:val="21"/>
                <w:szCs w:val="21"/>
              </w:rPr>
              <w:t>DA008</w:t>
            </w:r>
          </w:p>
        </w:tc>
        <w:tc>
          <w:tcPr>
            <w:tcW w:w="606" w:type="pct"/>
            <w:tcBorders>
              <w:tl2br w:val="nil"/>
              <w:tr2bl w:val="nil"/>
            </w:tcBorders>
            <w:vAlign w:val="center"/>
          </w:tcPr>
          <w:p w14:paraId="18E29797">
            <w:pPr>
              <w:spacing w:line="240" w:lineRule="auto"/>
              <w:ind w:firstLine="0" w:firstLineChars="0"/>
              <w:jc w:val="center"/>
              <w:rPr>
                <w:color w:val="auto"/>
                <w:sz w:val="21"/>
                <w:szCs w:val="21"/>
              </w:rPr>
            </w:pPr>
            <w:r>
              <w:rPr>
                <w:rFonts w:hint="eastAsia"/>
                <w:color w:val="auto"/>
                <w:sz w:val="21"/>
                <w:szCs w:val="21"/>
              </w:rPr>
              <w:t>模具氮化</w:t>
            </w:r>
          </w:p>
        </w:tc>
        <w:tc>
          <w:tcPr>
            <w:tcW w:w="458" w:type="pct"/>
            <w:tcBorders>
              <w:tl2br w:val="nil"/>
              <w:tr2bl w:val="nil"/>
            </w:tcBorders>
            <w:vAlign w:val="center"/>
          </w:tcPr>
          <w:p w14:paraId="47DE36F9">
            <w:pPr>
              <w:spacing w:line="240" w:lineRule="auto"/>
              <w:ind w:firstLine="0" w:firstLineChars="0"/>
              <w:jc w:val="center"/>
              <w:rPr>
                <w:color w:val="auto"/>
                <w:sz w:val="21"/>
                <w:szCs w:val="21"/>
              </w:rPr>
            </w:pPr>
            <w:r>
              <w:rPr>
                <w:rFonts w:hint="eastAsia"/>
                <w:color w:val="auto"/>
                <w:sz w:val="21"/>
                <w:szCs w:val="21"/>
              </w:rPr>
              <w:t>15000</w:t>
            </w:r>
          </w:p>
        </w:tc>
        <w:tc>
          <w:tcPr>
            <w:tcW w:w="625" w:type="pct"/>
            <w:tcBorders>
              <w:tl2br w:val="nil"/>
              <w:tr2bl w:val="nil"/>
            </w:tcBorders>
            <w:vAlign w:val="center"/>
          </w:tcPr>
          <w:p w14:paraId="32EFD45C">
            <w:pPr>
              <w:spacing w:line="240" w:lineRule="auto"/>
              <w:ind w:firstLine="0" w:firstLineChars="0"/>
              <w:jc w:val="center"/>
              <w:rPr>
                <w:color w:val="auto"/>
                <w:sz w:val="21"/>
                <w:szCs w:val="21"/>
              </w:rPr>
            </w:pPr>
            <w:r>
              <w:rPr>
                <w:rFonts w:hint="eastAsia"/>
                <w:color w:val="auto"/>
                <w:sz w:val="21"/>
                <w:szCs w:val="21"/>
              </w:rPr>
              <w:t>氨</w:t>
            </w:r>
          </w:p>
        </w:tc>
        <w:tc>
          <w:tcPr>
            <w:tcW w:w="1274" w:type="pct"/>
            <w:tcBorders>
              <w:tl2br w:val="nil"/>
              <w:tr2bl w:val="nil"/>
            </w:tcBorders>
            <w:vAlign w:val="center"/>
          </w:tcPr>
          <w:p w14:paraId="35B2A876">
            <w:pPr>
              <w:spacing w:line="240" w:lineRule="auto"/>
              <w:ind w:firstLine="0" w:firstLineChars="0"/>
              <w:jc w:val="center"/>
              <w:rPr>
                <w:color w:val="auto"/>
                <w:sz w:val="21"/>
                <w:szCs w:val="21"/>
              </w:rPr>
            </w:pPr>
            <w:r>
              <w:rPr>
                <w:rFonts w:hint="eastAsia"/>
                <w:color w:val="auto"/>
                <w:sz w:val="21"/>
                <w:szCs w:val="21"/>
                <w:lang w:val="en-US" w:eastAsia="zh-CN"/>
              </w:rPr>
              <w:t>抽风管道</w:t>
            </w:r>
            <w:r>
              <w:rPr>
                <w:rFonts w:hint="eastAsia"/>
                <w:color w:val="auto"/>
                <w:sz w:val="21"/>
                <w:szCs w:val="21"/>
              </w:rPr>
              <w:t>收集+尾气燃烧装置+15</w:t>
            </w:r>
            <w:r>
              <w:rPr>
                <w:color w:val="auto"/>
                <w:sz w:val="21"/>
                <w:szCs w:val="21"/>
              </w:rPr>
              <w:t>m高排气筒排放</w:t>
            </w:r>
          </w:p>
        </w:tc>
        <w:tc>
          <w:tcPr>
            <w:tcW w:w="331" w:type="pct"/>
            <w:tcBorders>
              <w:tl2br w:val="nil"/>
              <w:tr2bl w:val="nil"/>
            </w:tcBorders>
            <w:vAlign w:val="center"/>
          </w:tcPr>
          <w:p w14:paraId="21F584F2">
            <w:pPr>
              <w:spacing w:line="240" w:lineRule="auto"/>
              <w:ind w:firstLine="0" w:firstLineChars="0"/>
              <w:jc w:val="center"/>
              <w:rPr>
                <w:color w:val="auto"/>
                <w:sz w:val="21"/>
                <w:szCs w:val="21"/>
              </w:rPr>
            </w:pPr>
            <w:r>
              <w:rPr>
                <w:color w:val="auto"/>
                <w:sz w:val="21"/>
                <w:szCs w:val="21"/>
              </w:rPr>
              <w:t>95</w:t>
            </w:r>
          </w:p>
        </w:tc>
        <w:tc>
          <w:tcPr>
            <w:tcW w:w="1182" w:type="pct"/>
            <w:tcBorders>
              <w:tl2br w:val="nil"/>
              <w:tr2bl w:val="nil"/>
            </w:tcBorders>
            <w:vAlign w:val="center"/>
          </w:tcPr>
          <w:p w14:paraId="62F9F5BA">
            <w:pPr>
              <w:spacing w:line="240" w:lineRule="auto"/>
              <w:ind w:firstLine="0" w:firstLineChars="0"/>
              <w:jc w:val="center"/>
              <w:rPr>
                <w:color w:val="auto"/>
                <w:sz w:val="21"/>
                <w:szCs w:val="21"/>
              </w:rPr>
            </w:pPr>
            <w:r>
              <w:rPr>
                <w:rFonts w:hint="eastAsia"/>
                <w:color w:val="auto"/>
                <w:sz w:val="21"/>
                <w:szCs w:val="21"/>
              </w:rPr>
              <w:t>《恶臭污染物排放标准》（GB14554-93）表2标准限值</w:t>
            </w:r>
          </w:p>
        </w:tc>
      </w:tr>
    </w:tbl>
    <w:p w14:paraId="329B5289">
      <w:pPr>
        <w:ind w:firstLine="480"/>
        <w:rPr>
          <w:color w:val="auto"/>
          <w:kern w:val="0"/>
          <w:lang w:bidi="ar"/>
        </w:rPr>
      </w:pPr>
    </w:p>
    <w:p w14:paraId="31C64E96">
      <w:pPr>
        <w:ind w:firstLine="480"/>
        <w:rPr>
          <w:color w:val="auto"/>
          <w:kern w:val="0"/>
          <w:lang w:bidi="ar"/>
        </w:rPr>
      </w:pPr>
    </w:p>
    <w:p w14:paraId="0A474F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kern w:val="0"/>
          <w:lang w:bidi="ar"/>
        </w:rPr>
      </w:pPr>
      <w:r>
        <w:rPr>
          <w:color w:val="auto"/>
          <w:kern w:val="0"/>
          <w:lang w:bidi="ar"/>
        </w:rPr>
        <w:object>
          <v:shape id="_x0000_i1039" o:spt="75" type="#_x0000_t75" style="height:392.5pt;width:458.8pt;" o:ole="t" filled="f" o:preferrelative="t" stroked="f" coordsize="21600,21600">
            <v:path/>
            <v:fill on="f" focussize="0,0"/>
            <v:stroke on="f"/>
            <v:imagedata r:id="rId60" o:title=""/>
            <o:lock v:ext="edit" aspectratio="f"/>
            <w10:wrap type="none"/>
            <w10:anchorlock/>
          </v:shape>
          <o:OLEObject Type="Embed" ProgID="Visio.Drawing.15" ShapeID="_x0000_i1039" DrawAspect="Content" ObjectID="_1468075730" r:id="rId59">
            <o:LockedField>false</o:LockedField>
          </o:OLEObject>
        </w:object>
      </w:r>
    </w:p>
    <w:p w14:paraId="37B9F0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kern w:val="0"/>
          <w:lang w:bidi="ar"/>
        </w:rPr>
      </w:pPr>
      <w:r>
        <w:rPr>
          <w:rFonts w:hint="eastAsia"/>
          <w:b/>
          <w:bCs/>
          <w:color w:val="auto"/>
          <w:kern w:val="0"/>
          <w:lang w:eastAsia="zh-CN" w:bidi="ar"/>
        </w:rPr>
        <w:t>图</w:t>
      </w:r>
      <w:r>
        <w:rPr>
          <w:rFonts w:hint="eastAsia"/>
          <w:b/>
          <w:bCs/>
          <w:color w:val="auto"/>
          <w:kern w:val="0"/>
          <w:lang w:val="en-US" w:eastAsia="zh-CN" w:bidi="ar"/>
        </w:rPr>
        <w:t>7.2.1-1  本项目废气收集走向示意图</w:t>
      </w:r>
    </w:p>
    <w:p w14:paraId="5909009B">
      <w:pPr>
        <w:ind w:firstLine="480"/>
        <w:rPr>
          <w:color w:val="auto"/>
          <w:kern w:val="0"/>
          <w:lang w:bidi="ar"/>
        </w:rPr>
      </w:pPr>
      <w:r>
        <w:rPr>
          <w:color w:val="auto"/>
          <w:kern w:val="0"/>
          <w:lang w:bidi="ar"/>
        </w:rPr>
        <w:t>喷砂粉尘通过其布袋除尘处理后通过15m排气筒可以达标排放，天然气燃烧废气通过收集后通过15m排气筒达标排放，酸雾经</w:t>
      </w:r>
      <w:r>
        <w:rPr>
          <w:rFonts w:hint="eastAsia"/>
          <w:color w:val="auto"/>
          <w:kern w:val="0"/>
          <w:lang w:bidi="ar"/>
        </w:rPr>
        <w:t>二级</w:t>
      </w:r>
      <w:r>
        <w:rPr>
          <w:color w:val="auto"/>
          <w:kern w:val="0"/>
          <w:lang w:bidi="ar"/>
        </w:rPr>
        <w:t>碱喷淋塔处理后经</w:t>
      </w:r>
      <w:r>
        <w:rPr>
          <w:rFonts w:hint="eastAsia"/>
          <w:color w:val="auto"/>
          <w:kern w:val="0"/>
          <w:lang w:bidi="ar"/>
        </w:rPr>
        <w:t>30</w:t>
      </w:r>
      <w:r>
        <w:rPr>
          <w:color w:val="auto"/>
          <w:kern w:val="0"/>
          <w:lang w:bidi="ar"/>
        </w:rPr>
        <w:t>m排气筒达标排放，碱雾经</w:t>
      </w:r>
      <w:r>
        <w:rPr>
          <w:rFonts w:hint="eastAsia"/>
          <w:color w:val="auto"/>
          <w:kern w:val="0"/>
          <w:lang w:bidi="ar"/>
        </w:rPr>
        <w:t>二级水</w:t>
      </w:r>
      <w:r>
        <w:rPr>
          <w:color w:val="auto"/>
          <w:kern w:val="0"/>
          <w:lang w:bidi="ar"/>
        </w:rPr>
        <w:t>喷淋塔处理后经</w:t>
      </w:r>
      <w:r>
        <w:rPr>
          <w:rFonts w:hint="eastAsia"/>
          <w:color w:val="auto"/>
          <w:kern w:val="0"/>
          <w:lang w:bidi="ar"/>
        </w:rPr>
        <w:t>30m</w:t>
      </w:r>
      <w:r>
        <w:rPr>
          <w:color w:val="auto"/>
          <w:kern w:val="0"/>
          <w:lang w:bidi="ar"/>
        </w:rPr>
        <w:t>排气筒达标排放，模具氮化炉中残余的氨经催化分解后经15m排气筒达标排放</w:t>
      </w:r>
      <w:r>
        <w:rPr>
          <w:rFonts w:hint="eastAsia"/>
          <w:color w:val="auto"/>
          <w:kern w:val="0"/>
          <w:lang w:bidi="ar"/>
        </w:rPr>
        <w:t>，</w:t>
      </w:r>
      <w:r>
        <w:rPr>
          <w:color w:val="auto"/>
          <w:kern w:val="0"/>
          <w:lang w:bidi="ar"/>
        </w:rPr>
        <w:t>各项废气都能按相关要求进行收集处理。</w:t>
      </w:r>
    </w:p>
    <w:p w14:paraId="49691ABE">
      <w:pPr>
        <w:ind w:firstLine="482"/>
        <w:rPr>
          <w:b/>
          <w:bCs/>
          <w:color w:val="auto"/>
          <w:kern w:val="0"/>
          <w:lang w:bidi="ar"/>
        </w:rPr>
      </w:pPr>
      <w:r>
        <w:rPr>
          <w:b/>
          <w:bCs/>
          <w:color w:val="auto"/>
          <w:kern w:val="0"/>
          <w:lang w:bidi="ar"/>
        </w:rPr>
        <w:t>1</w:t>
      </w:r>
      <w:r>
        <w:rPr>
          <w:rFonts w:hint="eastAsia"/>
          <w:b/>
          <w:bCs/>
          <w:color w:val="auto"/>
          <w:kern w:val="0"/>
          <w:lang w:bidi="ar"/>
        </w:rPr>
        <w:t>、</w:t>
      </w:r>
      <w:r>
        <w:rPr>
          <w:b/>
          <w:bCs/>
          <w:color w:val="auto"/>
          <w:kern w:val="0"/>
          <w:lang w:bidi="ar"/>
        </w:rPr>
        <w:t>硫酸雾废气处理</w:t>
      </w:r>
    </w:p>
    <w:p w14:paraId="6033BC18">
      <w:pPr>
        <w:ind w:firstLine="482"/>
        <w:rPr>
          <w:b/>
          <w:bCs/>
          <w:color w:val="auto"/>
          <w:kern w:val="0"/>
          <w:lang w:bidi="ar"/>
        </w:rPr>
      </w:pPr>
      <w:r>
        <w:rPr>
          <w:rFonts w:hint="eastAsia"/>
          <w:b/>
          <w:bCs/>
          <w:color w:val="auto"/>
          <w:kern w:val="0"/>
          <w:lang w:bidi="ar"/>
        </w:rPr>
        <w:t>（1）</w:t>
      </w:r>
      <w:r>
        <w:rPr>
          <w:b/>
          <w:bCs/>
          <w:color w:val="auto"/>
          <w:kern w:val="0"/>
          <w:lang w:bidi="ar"/>
        </w:rPr>
        <w:t>废气收集</w:t>
      </w:r>
    </w:p>
    <w:p w14:paraId="3BC3D317">
      <w:pPr>
        <w:ind w:firstLine="480"/>
        <w:rPr>
          <w:color w:val="auto"/>
          <w:kern w:val="0"/>
          <w:lang w:bidi="ar"/>
        </w:rPr>
      </w:pPr>
      <w:r>
        <w:rPr>
          <w:color w:val="auto"/>
          <w:kern w:val="0"/>
          <w:lang w:bidi="ar"/>
        </w:rPr>
        <w:t>本项目硫酸雾废气主要产生于阳极氧化</w:t>
      </w:r>
      <w:r>
        <w:rPr>
          <w:rFonts w:hint="eastAsia"/>
          <w:color w:val="auto"/>
          <w:kern w:val="0"/>
          <w:lang w:bidi="ar"/>
        </w:rPr>
        <w:t>工段</w:t>
      </w:r>
      <w:r>
        <w:rPr>
          <w:color w:val="auto"/>
          <w:kern w:val="0"/>
          <w:lang w:bidi="ar"/>
        </w:rPr>
        <w:t>，硫酸雾通过阳极氧化过程阴极生成的氢气带出，本项目针对阳极氧化槽采取阴极梁吸风罩（详见图</w:t>
      </w:r>
      <w:r>
        <w:rPr>
          <w:rFonts w:hint="eastAsia"/>
          <w:color w:val="auto"/>
          <w:kern w:val="0"/>
          <w:lang w:bidi="ar"/>
        </w:rPr>
        <w:t>7</w:t>
      </w:r>
      <w:r>
        <w:rPr>
          <w:color w:val="auto"/>
          <w:kern w:val="0"/>
          <w:lang w:bidi="ar"/>
        </w:rPr>
        <w:t>.2.1-</w:t>
      </w:r>
      <w:r>
        <w:rPr>
          <w:rFonts w:hint="eastAsia"/>
          <w:color w:val="auto"/>
          <w:kern w:val="0"/>
          <w:lang w:val="en-US" w:eastAsia="zh-CN" w:bidi="ar"/>
        </w:rPr>
        <w:t>2</w:t>
      </w:r>
      <w:r>
        <w:rPr>
          <w:color w:val="auto"/>
          <w:kern w:val="0"/>
          <w:lang w:bidi="ar"/>
        </w:rPr>
        <w:t>）对阳极氧化过程中氢气带出的硫酸雾废气进行收集，采用侧吸吸风罩对除油及中和槽酸洗废气进行收集，确保收集效率不低于9</w:t>
      </w:r>
      <w:r>
        <w:rPr>
          <w:rFonts w:hint="eastAsia"/>
          <w:color w:val="auto"/>
          <w:kern w:val="0"/>
          <w:lang w:bidi="ar"/>
        </w:rPr>
        <w:t>0</w:t>
      </w:r>
      <w:r>
        <w:rPr>
          <w:color w:val="auto"/>
          <w:kern w:val="0"/>
          <w:lang w:bidi="ar"/>
        </w:rPr>
        <w:t>%。</w:t>
      </w:r>
    </w:p>
    <w:p w14:paraId="6285E22F">
      <w:pPr>
        <w:ind w:firstLine="480"/>
        <w:rPr>
          <w:color w:val="auto"/>
          <w:kern w:val="0"/>
          <w:lang w:bidi="ar"/>
        </w:rPr>
      </w:pPr>
      <w:r>
        <w:rPr>
          <w:color w:val="auto"/>
          <w:kern w:val="0"/>
          <w:lang w:bidi="ar"/>
        </w:rPr>
        <w:t>为确保项目废气收集的收集率，企业需做到以下几点：</w:t>
      </w:r>
    </w:p>
    <w:p w14:paraId="45431431">
      <w:pPr>
        <w:ind w:firstLine="480"/>
        <w:rPr>
          <w:color w:val="auto"/>
          <w:kern w:val="0"/>
          <w:lang w:bidi="ar"/>
        </w:rPr>
      </w:pPr>
      <w:r>
        <w:rPr>
          <w:color w:val="auto"/>
          <w:kern w:val="0"/>
          <w:lang w:bidi="ar"/>
        </w:rPr>
        <w:t>1）排风罩管道内的气流流速要低于吸风口处的流速，且一般为吸风口风速的20</w:t>
      </w:r>
      <w:r>
        <w:rPr>
          <w:rFonts w:hint="eastAsia"/>
          <w:color w:val="auto"/>
          <w:kern w:val="0"/>
          <w:lang w:bidi="ar"/>
        </w:rPr>
        <w:t>%～</w:t>
      </w:r>
      <w:r>
        <w:rPr>
          <w:color w:val="auto"/>
          <w:kern w:val="0"/>
          <w:lang w:bidi="ar"/>
        </w:rPr>
        <w:t>50%；</w:t>
      </w:r>
    </w:p>
    <w:p w14:paraId="396A83F4">
      <w:pPr>
        <w:ind w:firstLine="480"/>
        <w:rPr>
          <w:color w:val="auto"/>
          <w:kern w:val="0"/>
          <w:lang w:bidi="ar"/>
        </w:rPr>
      </w:pPr>
      <w:r>
        <w:rPr>
          <w:color w:val="auto"/>
          <w:kern w:val="0"/>
          <w:lang w:bidi="ar"/>
        </w:rPr>
        <w:t>2）为提高抽风的排风效果，尽量使阴极梁吸风罩接近液面。</w:t>
      </w:r>
    </w:p>
    <w:p w14:paraId="4654ED8C">
      <w:pPr>
        <w:ind w:firstLine="480"/>
        <w:rPr>
          <w:color w:val="auto"/>
        </w:rPr>
      </w:pPr>
      <w:r>
        <w:rPr>
          <w:color w:val="auto"/>
        </w:rPr>
        <mc:AlternateContent>
          <mc:Choice Requires="wps">
            <w:drawing>
              <wp:anchor distT="0" distB="0" distL="114300" distR="114300" simplePos="0" relativeHeight="251669504" behindDoc="0" locked="0" layoutInCell="1" allowOverlap="1">
                <wp:simplePos x="0" y="0"/>
                <wp:positionH relativeFrom="column">
                  <wp:posOffset>351155</wp:posOffset>
                </wp:positionH>
                <wp:positionV relativeFrom="paragraph">
                  <wp:posOffset>1308100</wp:posOffset>
                </wp:positionV>
                <wp:extent cx="63500" cy="775970"/>
                <wp:effectExtent l="4445" t="635" r="46355" b="4445"/>
                <wp:wrapNone/>
                <wp:docPr id="140762252" name="直接箭头连接符 7"/>
                <wp:cNvGraphicFramePr/>
                <a:graphic xmlns:a="http://schemas.openxmlformats.org/drawingml/2006/main">
                  <a:graphicData uri="http://schemas.microsoft.com/office/word/2010/wordprocessingShape">
                    <wps:wsp>
                      <wps:cNvCnPr/>
                      <wps:spPr>
                        <a:xfrm>
                          <a:off x="0" y="0"/>
                          <a:ext cx="63500" cy="775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7.65pt;margin-top:103pt;height:61.1pt;width:5pt;z-index:251669504;mso-width-relative:page;mso-height-relative:page;" filled="f" stroked="t" coordsize="21600,21600" o:gfxdata="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FFejdgAAAAJAQAADwAAAAAAAAAB&#10;ACAAAAAiAAAAZHJzL2Rvd25yZXYueG1sUEsBAhQAFAAAAAgAh07iQA37R8MQAgAA7AMAAA4AAAAA&#10;AAAAAQAgAAAAJwEAAGRycy9lMm9Eb2MueG1sUEsFBgAAAAAGAAYAWQEAAKkFAAAAAA==&#10;">
                <v:fill on="f" focussize="0,0"/>
                <v:stroke weight="0.5pt" color="#FF0000 [3204]"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3881120</wp:posOffset>
                </wp:positionH>
                <wp:positionV relativeFrom="paragraph">
                  <wp:posOffset>1913890</wp:posOffset>
                </wp:positionV>
                <wp:extent cx="266065" cy="287020"/>
                <wp:effectExtent l="0" t="0" r="19685" b="17780"/>
                <wp:wrapNone/>
                <wp:docPr id="1647556208" name="直接箭头连接符 6"/>
                <wp:cNvGraphicFramePr/>
                <a:graphic xmlns:a="http://schemas.openxmlformats.org/drawingml/2006/main">
                  <a:graphicData uri="http://schemas.microsoft.com/office/word/2010/wordprocessingShape">
                    <wps:wsp>
                      <wps:cNvCnPr/>
                      <wps:spPr>
                        <a:xfrm flipH="1" flipV="1">
                          <a:off x="0" y="0"/>
                          <a:ext cx="266065" cy="2870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 o:spid="_x0000_s1026" o:spt="32" type="#_x0000_t32" style="position:absolute;left:0pt;flip:x y;margin-left:305.6pt;margin-top:150.7pt;height:22.6pt;width:20.95pt;z-index:251672576;mso-width-relative:page;mso-height-relative:page;" filled="f" stroked="t" coordsize="21600,21600" o:gfxdata="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rp&#10;evPbAAAACwEAAA8AAAAAAAAAAQAgAAAAIgAAAGRycy9kb3ducmV2LnhtbFBLAQIUABQAAAAIAIdO&#10;4kBqWJWcIAIAAAIEAAAOAAAAAAAAAAEAIAAAACoBAABkcnMvZTJvRG9jLnhtbFBLBQYAAAAABgAG&#10;AFkBAAC8BQAAAAA=&#10;">
                <v:fill on="f" focussize="0,0"/>
                <v:stroke weight="0.5pt" color="#FF0000 [3204]"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3274060</wp:posOffset>
                </wp:positionH>
                <wp:positionV relativeFrom="paragraph">
                  <wp:posOffset>1190625</wp:posOffset>
                </wp:positionV>
                <wp:extent cx="340995" cy="117475"/>
                <wp:effectExtent l="1270" t="4445" r="635" b="11430"/>
                <wp:wrapNone/>
                <wp:docPr id="1668788709" name="直接箭头连接符 5"/>
                <wp:cNvGraphicFramePr/>
                <a:graphic xmlns:a="http://schemas.openxmlformats.org/drawingml/2006/main">
                  <a:graphicData uri="http://schemas.microsoft.com/office/word/2010/wordprocessingShape">
                    <wps:wsp>
                      <wps:cNvCnPr/>
                      <wps:spPr>
                        <a:xfrm>
                          <a:off x="0" y="0"/>
                          <a:ext cx="340995" cy="117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 o:spid="_x0000_s1026" o:spt="32" type="#_x0000_t32" style="position:absolute;left:0pt;margin-left:257.8pt;margin-top:93.75pt;height:9.25pt;width:26.85pt;z-index:251671552;mso-width-relative:page;mso-height-relative:page;" filled="f" stroked="t" coordsize="21600,21600" o:gfxdata="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2wsFraAAAACwEAAA8A&#10;AAAAAAAAAQAgAAAAIgAAAGRycy9kb3ducmV2LnhtbFBLAQIUABQAAAAIAIdO4kBMoNvGFQIAAO4D&#10;AAAOAAAAAAAAAAEAIAAAACkBAABkcnMvZTJvRG9jLnhtbFBLBQYAAAAABgAGAFkBAACwBQAAAAA=&#10;">
                <v:fill on="f" focussize="0,0"/>
                <v:stroke weight="0.5pt" color="#FF0000 [3204]"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2424430</wp:posOffset>
                </wp:positionH>
                <wp:positionV relativeFrom="paragraph">
                  <wp:posOffset>1308100</wp:posOffset>
                </wp:positionV>
                <wp:extent cx="244475" cy="201930"/>
                <wp:effectExtent l="0" t="3810" r="3175" b="3810"/>
                <wp:wrapNone/>
                <wp:docPr id="1652470772" name="直接箭头连接符 4"/>
                <wp:cNvGraphicFramePr/>
                <a:graphic xmlns:a="http://schemas.openxmlformats.org/drawingml/2006/main">
                  <a:graphicData uri="http://schemas.microsoft.com/office/word/2010/wordprocessingShape">
                    <wps:wsp>
                      <wps:cNvCnPr/>
                      <wps:spPr>
                        <a:xfrm flipH="1">
                          <a:off x="0" y="0"/>
                          <a:ext cx="244475" cy="2019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 o:spid="_x0000_s1026" o:spt="32" type="#_x0000_t32" style="position:absolute;left:0pt;flip:x;margin-left:190.9pt;margin-top:103pt;height:15.9pt;width:19.25pt;z-index:251670528;mso-width-relative:page;mso-height-relative:page;" filled="f" stroked="t" coordsize="21600,21600" o:gfxdata="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WF6h2gAA&#10;AAsBAAAPAAAAAAAAAAEAIAAAACIAAABkcnMvZG93bnJldi54bWxQSwECFAAUAAAACACHTuJAteZh&#10;iBwCAAD4AwAADgAAAAAAAAABACAAAAApAQAAZHJzL2Uyb0RvYy54bWxQSwUGAAAAAAYABgBZAQAA&#10;twUAAAAA&#10;">
                <v:fill on="f" focussize="0,0"/>
                <v:stroke weight="0.5pt" color="#FF0000 [3204]"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148590</wp:posOffset>
                </wp:positionH>
                <wp:positionV relativeFrom="paragraph">
                  <wp:posOffset>883920</wp:posOffset>
                </wp:positionV>
                <wp:extent cx="760730" cy="308610"/>
                <wp:effectExtent l="4445" t="4445" r="15875" b="10795"/>
                <wp:wrapNone/>
                <wp:docPr id="306033261" name="文本框 3"/>
                <wp:cNvGraphicFramePr/>
                <a:graphic xmlns:a="http://schemas.openxmlformats.org/drawingml/2006/main">
                  <a:graphicData uri="http://schemas.microsoft.com/office/word/2010/wordprocessingShape">
                    <wps:wsp>
                      <wps:cNvSpPr txBox="1"/>
                      <wps:spPr>
                        <a:xfrm>
                          <a:off x="0" y="0"/>
                          <a:ext cx="760730" cy="308610"/>
                        </a:xfrm>
                        <a:prstGeom prst="rect">
                          <a:avLst/>
                        </a:prstGeom>
                        <a:solidFill>
                          <a:schemeClr val="lt1"/>
                        </a:solidFill>
                        <a:ln w="6350">
                          <a:solidFill>
                            <a:prstClr val="black"/>
                          </a:solidFill>
                        </a:ln>
                      </wps:spPr>
                      <wps:txbx>
                        <w:txbxContent>
                          <w:p w14:paraId="75347E9B">
                            <w:pPr>
                              <w:spacing w:line="240" w:lineRule="auto"/>
                              <w:ind w:firstLine="0" w:firstLineChars="0"/>
                              <w:jc w:val="center"/>
                              <w:rPr>
                                <w:rFonts w:ascii="仿宋_GB2312" w:eastAsia="仿宋_GB2312"/>
                                <w:sz w:val="21"/>
                                <w:szCs w:val="21"/>
                              </w:rPr>
                            </w:pPr>
                            <w:r>
                              <w:rPr>
                                <w:rFonts w:hint="eastAsia" w:ascii="仿宋_GB2312" w:eastAsia="仿宋_GB2312"/>
                                <w:sz w:val="21"/>
                                <w:szCs w:val="21"/>
                              </w:rPr>
                              <w:t>氧化槽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1.7pt;margin-top:69.6pt;height:24.3pt;width:59.9pt;z-index:251668480;mso-width-relative:page;mso-height-relative:page;" fillcolor="#FFFFFF [3201]" filled="t" stroked="t" coordsize="21600,21600" o:gfxdata="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5mmtntYAAAAKAQAADwAAAAAAAAABACAAAAAiAAAAZHJzL2Rvd25yZXYueG1sUEsBAhQAFAAAAAgA&#10;h07iQOZjRWxgAgAAvgQAAA4AAAAAAAAAAQAgAAAAJQEAAGRycy9lMm9Eb2MueG1sUEsFBgAAAAAG&#10;AAYAWQEAAPcFAAAAAA==&#10;">
                <v:fill on="t" focussize="0,0"/>
                <v:stroke weight="0.5pt" color="#000000" joinstyle="round"/>
                <v:imagedata o:title=""/>
                <o:lock v:ext="edit" aspectratio="f"/>
                <v:textbox>
                  <w:txbxContent>
                    <w:p w14:paraId="75347E9B">
                      <w:pPr>
                        <w:spacing w:line="240" w:lineRule="auto"/>
                        <w:ind w:firstLine="0" w:firstLineChars="0"/>
                        <w:jc w:val="center"/>
                        <w:rPr>
                          <w:rFonts w:ascii="仿宋_GB2312" w:eastAsia="仿宋_GB2312"/>
                          <w:sz w:val="21"/>
                          <w:szCs w:val="21"/>
                        </w:rPr>
                      </w:pPr>
                      <w:r>
                        <w:rPr>
                          <w:rFonts w:hint="eastAsia" w:ascii="仿宋_GB2312" w:eastAsia="仿宋_GB2312"/>
                          <w:sz w:val="21"/>
                          <w:szCs w:val="21"/>
                        </w:rPr>
                        <w:t>氧化槽</w:t>
                      </w:r>
                    </w:p>
                  </w:txbxContent>
                </v:textbox>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4145915</wp:posOffset>
                </wp:positionH>
                <wp:positionV relativeFrom="paragraph">
                  <wp:posOffset>2083435</wp:posOffset>
                </wp:positionV>
                <wp:extent cx="659130" cy="308610"/>
                <wp:effectExtent l="4445" t="4445" r="22225" b="10795"/>
                <wp:wrapNone/>
                <wp:docPr id="1621401727" name="文本框 2"/>
                <wp:cNvGraphicFramePr/>
                <a:graphic xmlns:a="http://schemas.openxmlformats.org/drawingml/2006/main">
                  <a:graphicData uri="http://schemas.microsoft.com/office/word/2010/wordprocessingShape">
                    <wps:wsp>
                      <wps:cNvSpPr txBox="1"/>
                      <wps:spPr>
                        <a:xfrm>
                          <a:off x="0" y="0"/>
                          <a:ext cx="659130" cy="308610"/>
                        </a:xfrm>
                        <a:prstGeom prst="rect">
                          <a:avLst/>
                        </a:prstGeom>
                        <a:solidFill>
                          <a:schemeClr val="lt1"/>
                        </a:solidFill>
                        <a:ln w="6350">
                          <a:solidFill>
                            <a:prstClr val="black"/>
                          </a:solidFill>
                        </a:ln>
                      </wps:spPr>
                      <wps:txbx>
                        <w:txbxContent>
                          <w:p w14:paraId="203C7DAF">
                            <w:pPr>
                              <w:spacing w:line="240" w:lineRule="auto"/>
                              <w:ind w:firstLine="0" w:firstLineChars="0"/>
                              <w:rPr>
                                <w:rFonts w:ascii="仿宋_GB2312" w:eastAsia="仿宋_GB2312"/>
                              </w:rPr>
                            </w:pPr>
                            <w:r>
                              <w:rPr>
                                <w:rFonts w:hint="eastAsia" w:ascii="仿宋_GB2312" w:eastAsia="仿宋_GB2312"/>
                              </w:rPr>
                              <w:t>阴极梁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26.45pt;margin-top:164.05pt;height:24.3pt;width:51.9pt;z-index:251666432;mso-width-relative:page;mso-height-relative:page;" fillcolor="#FFFFFF [3201]" filled="t" stroked="t" coordsize="21600,21600" o:gfxdata="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PoopdgAAAALAQAADwAAAAAAAAABACAAAAAiAAAAZHJzL2Rvd25yZXYueG1sUEsBAhQAFAAA&#10;AAgAh07iQK2ZKh5hAgAAvwQAAA4AAAAAAAAAAQAgAAAAJwEAAGRycy9lMm9Eb2MueG1sUEsFBgAA&#10;AAAGAAYAWQEAAPoFAAAAAA==&#10;">
                <v:fill on="t" focussize="0,0"/>
                <v:stroke weight="0.5pt" color="#000000" joinstyle="round"/>
                <v:imagedata o:title=""/>
                <o:lock v:ext="edit" aspectratio="f"/>
                <v:textbox>
                  <w:txbxContent>
                    <w:p w14:paraId="203C7DAF">
                      <w:pPr>
                        <w:spacing w:line="240" w:lineRule="auto"/>
                        <w:ind w:firstLine="0" w:firstLineChars="0"/>
                        <w:rPr>
                          <w:rFonts w:ascii="仿宋_GB2312" w:eastAsia="仿宋_GB2312"/>
                        </w:rPr>
                      </w:pPr>
                      <w:r>
                        <w:rPr>
                          <w:rFonts w:hint="eastAsia" w:ascii="仿宋_GB2312" w:eastAsia="仿宋_GB2312"/>
                        </w:rPr>
                        <w:t>阴极梁</w:t>
                      </w:r>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2232660</wp:posOffset>
                </wp:positionH>
                <wp:positionV relativeFrom="paragraph">
                  <wp:posOffset>999490</wp:posOffset>
                </wp:positionV>
                <wp:extent cx="1042035" cy="308610"/>
                <wp:effectExtent l="4445" t="4445" r="20320" b="10795"/>
                <wp:wrapNone/>
                <wp:docPr id="56140264" name="文本框 1"/>
                <wp:cNvGraphicFramePr/>
                <a:graphic xmlns:a="http://schemas.openxmlformats.org/drawingml/2006/main">
                  <a:graphicData uri="http://schemas.microsoft.com/office/word/2010/wordprocessingShape">
                    <wps:wsp>
                      <wps:cNvSpPr txBox="1"/>
                      <wps:spPr>
                        <a:xfrm>
                          <a:off x="0" y="0"/>
                          <a:ext cx="1042035" cy="308610"/>
                        </a:xfrm>
                        <a:prstGeom prst="rect">
                          <a:avLst/>
                        </a:prstGeom>
                        <a:solidFill>
                          <a:schemeClr val="lt1"/>
                        </a:solidFill>
                        <a:ln w="6350">
                          <a:solidFill>
                            <a:prstClr val="black"/>
                          </a:solidFill>
                        </a:ln>
                      </wps:spPr>
                      <wps:txbx>
                        <w:txbxContent>
                          <w:p w14:paraId="7E8ECFB2">
                            <w:pPr>
                              <w:spacing w:line="240" w:lineRule="auto"/>
                              <w:ind w:firstLine="0" w:firstLineChars="0"/>
                              <w:jc w:val="center"/>
                              <w:rPr>
                                <w:rFonts w:ascii="仿宋_GB2312" w:eastAsia="仿宋_GB2312"/>
                                <w:sz w:val="21"/>
                                <w:szCs w:val="21"/>
                              </w:rPr>
                            </w:pPr>
                            <w:r>
                              <w:rPr>
                                <w:rFonts w:hint="eastAsia" w:ascii="仿宋_GB2312" w:eastAsia="仿宋_GB2312"/>
                                <w:sz w:val="21"/>
                                <w:szCs w:val="21"/>
                              </w:rPr>
                              <w:t>阴极梁吸风罩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175.8pt;margin-top:78.7pt;height:24.3pt;width:82.05pt;z-index:251667456;mso-width-relative:page;mso-height-relative:page;" fillcolor="#FFFFFF [3201]" filled="t" stroked="t" coordsize="21600,21600" o:gfxdata="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2WyqNYAAAALAQAADwAAAAAAAAABACAAAAAiAAAAZHJzL2Rvd25yZXYueG1sUEsBAhQAFAAAAAgA&#10;h07iQOfrCb5gAgAAvgQAAA4AAAAAAAAAAQAgAAAAJQEAAGRycy9lMm9Eb2MueG1sUEsFBgAAAAAG&#10;AAYAWQEAAPcFAAAAAA==&#10;">
                <v:fill on="t" focussize="0,0"/>
                <v:stroke weight="0.5pt" color="#000000" joinstyle="round"/>
                <v:imagedata o:title=""/>
                <o:lock v:ext="edit" aspectratio="f"/>
                <v:textbox>
                  <w:txbxContent>
                    <w:p w14:paraId="7E8ECFB2">
                      <w:pPr>
                        <w:spacing w:line="240" w:lineRule="auto"/>
                        <w:ind w:firstLine="0" w:firstLineChars="0"/>
                        <w:jc w:val="center"/>
                        <w:rPr>
                          <w:rFonts w:ascii="仿宋_GB2312" w:eastAsia="仿宋_GB2312"/>
                          <w:sz w:val="21"/>
                          <w:szCs w:val="21"/>
                        </w:rPr>
                      </w:pPr>
                      <w:r>
                        <w:rPr>
                          <w:rFonts w:hint="eastAsia" w:ascii="仿宋_GB2312" w:eastAsia="仿宋_GB2312"/>
                          <w:sz w:val="21"/>
                          <w:szCs w:val="21"/>
                        </w:rPr>
                        <w:t>阴极梁吸风罩</w:t>
                      </w:r>
                    </w:p>
                  </w:txbxContent>
                </v:textbox>
              </v:shape>
            </w:pict>
          </mc:Fallback>
        </mc:AlternateContent>
      </w:r>
      <w:r>
        <w:rPr>
          <w:color w:val="auto"/>
        </w:rPr>
        <w:drawing>
          <wp:inline distT="0" distB="0" distL="0" distR="0">
            <wp:extent cx="5276215" cy="3948430"/>
            <wp:effectExtent l="0" t="0" r="635"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1" cstate="print">
                      <a:extLst>
                        <a:ext uri="{28A0092B-C50C-407E-A947-70E740481C1C}">
                          <a14:useLocalDpi xmlns:a14="http://schemas.microsoft.com/office/drawing/2010/main" val="0"/>
                        </a:ext>
                      </a:extLst>
                    </a:blip>
                    <a:srcRect l="-556" t="-247"/>
                    <a:stretch>
                      <a:fillRect/>
                    </a:stretch>
                  </pic:blipFill>
                  <pic:spPr>
                    <a:xfrm>
                      <a:off x="0" y="0"/>
                      <a:ext cx="5276215" cy="3948430"/>
                    </a:xfrm>
                    <a:prstGeom prst="rect">
                      <a:avLst/>
                    </a:prstGeom>
                    <a:noFill/>
                    <a:ln>
                      <a:noFill/>
                    </a:ln>
                  </pic:spPr>
                </pic:pic>
              </a:graphicData>
            </a:graphic>
          </wp:inline>
        </w:drawing>
      </w:r>
    </w:p>
    <w:p w14:paraId="4329FFC2">
      <w:pPr>
        <w:ind w:firstLine="482"/>
        <w:jc w:val="center"/>
        <w:rPr>
          <w:b/>
          <w:bCs/>
          <w:color w:val="auto"/>
        </w:rPr>
      </w:pPr>
      <w:r>
        <w:rPr>
          <w:b/>
          <w:bCs/>
          <w:color w:val="auto"/>
        </w:rPr>
        <w:t>图</w:t>
      </w:r>
      <w:r>
        <w:rPr>
          <w:rFonts w:hint="eastAsia"/>
          <w:b/>
          <w:bCs/>
          <w:color w:val="auto"/>
        </w:rPr>
        <w:t>7</w:t>
      </w:r>
      <w:r>
        <w:rPr>
          <w:b/>
          <w:bCs/>
          <w:color w:val="auto"/>
        </w:rPr>
        <w:t>.2.1-</w:t>
      </w:r>
      <w:r>
        <w:rPr>
          <w:rFonts w:hint="eastAsia"/>
          <w:b/>
          <w:bCs/>
          <w:color w:val="auto"/>
          <w:lang w:val="en-US" w:eastAsia="zh-CN"/>
        </w:rPr>
        <w:t>2</w:t>
      </w:r>
      <w:r>
        <w:rPr>
          <w:rFonts w:hint="eastAsia"/>
          <w:b/>
          <w:bCs/>
          <w:color w:val="auto"/>
        </w:rPr>
        <w:t xml:space="preserve"> </w:t>
      </w:r>
      <w:r>
        <w:rPr>
          <w:b/>
          <w:bCs/>
          <w:color w:val="auto"/>
        </w:rPr>
        <w:t xml:space="preserve"> 阴极梁吸风罩实物图</w:t>
      </w:r>
    </w:p>
    <w:p w14:paraId="3D457E88">
      <w:pPr>
        <w:ind w:firstLine="480"/>
        <w:rPr>
          <w:b/>
          <w:bCs/>
          <w:color w:val="auto"/>
        </w:rPr>
      </w:pPr>
      <w:r>
        <w:rPr>
          <w:rFonts w:hint="eastAsia"/>
          <w:color w:val="auto"/>
        </w:rPr>
        <w:t>项目按照风速0.3m/s的进行风罩风量计算，项目在阴极设置废气收集设施，根据阴极面积估算约25m</w:t>
      </w:r>
      <w:r>
        <w:rPr>
          <w:rFonts w:hint="eastAsia"/>
          <w:color w:val="auto"/>
          <w:vertAlign w:val="superscript"/>
        </w:rPr>
        <w:t>2</w:t>
      </w:r>
      <w:r>
        <w:rPr>
          <w:rFonts w:hint="eastAsia"/>
          <w:color w:val="auto"/>
        </w:rPr>
        <w:t>，31m</w:t>
      </w:r>
      <w:r>
        <w:rPr>
          <w:rFonts w:hint="eastAsia"/>
          <w:color w:val="auto"/>
          <w:vertAlign w:val="superscript"/>
        </w:rPr>
        <w:t>2</w:t>
      </w:r>
      <w:r>
        <w:rPr>
          <w:rFonts w:hint="eastAsia"/>
          <w:color w:val="auto"/>
        </w:rPr>
        <w:t>×0.3m/s×3600s=25920m</w:t>
      </w:r>
      <w:r>
        <w:rPr>
          <w:rFonts w:hint="eastAsia"/>
          <w:color w:val="auto"/>
          <w:vertAlign w:val="superscript"/>
        </w:rPr>
        <w:t>3</w:t>
      </w:r>
      <w:r>
        <w:rPr>
          <w:rFonts w:hint="eastAsia"/>
          <w:color w:val="auto"/>
        </w:rPr>
        <w:t>/h，确定本项目酸雾风量为30000m</w:t>
      </w:r>
      <w:r>
        <w:rPr>
          <w:rFonts w:hint="eastAsia"/>
          <w:color w:val="auto"/>
          <w:vertAlign w:val="superscript"/>
        </w:rPr>
        <w:t>3</w:t>
      </w:r>
      <w:r>
        <w:rPr>
          <w:rFonts w:hint="eastAsia"/>
          <w:color w:val="auto"/>
        </w:rPr>
        <w:t>/s。</w:t>
      </w:r>
    </w:p>
    <w:p w14:paraId="2E140511">
      <w:pPr>
        <w:ind w:firstLine="482"/>
        <w:rPr>
          <w:b/>
          <w:bCs/>
          <w:color w:val="auto"/>
        </w:rPr>
      </w:pPr>
      <w:r>
        <w:rPr>
          <w:rFonts w:hint="eastAsia"/>
          <w:b/>
          <w:bCs/>
          <w:color w:val="auto"/>
        </w:rPr>
        <w:t>（2）</w:t>
      </w:r>
      <w:r>
        <w:rPr>
          <w:b/>
          <w:bCs/>
          <w:color w:val="auto"/>
        </w:rPr>
        <w:t>处理工艺</w:t>
      </w:r>
    </w:p>
    <w:p w14:paraId="511338F6">
      <w:pPr>
        <w:ind w:firstLine="480"/>
        <w:rPr>
          <w:color w:val="auto"/>
        </w:rPr>
      </w:pPr>
      <w:r>
        <w:rPr>
          <w:color w:val="auto"/>
        </w:rPr>
        <w:t>①净化原理</w:t>
      </w:r>
    </w:p>
    <w:p w14:paraId="697D22C3">
      <w:pPr>
        <w:ind w:firstLine="480"/>
        <w:rPr>
          <w:color w:val="auto"/>
        </w:rPr>
      </w:pPr>
      <w:r>
        <w:rPr>
          <w:color w:val="auto"/>
        </w:rPr>
        <w:t>硫酸雾一般采用碱性溶液中和处理。其化学反应原理如下：</w:t>
      </w:r>
    </w:p>
    <w:p w14:paraId="00AB742D">
      <w:pPr>
        <w:ind w:firstLine="0" w:firstLineChars="0"/>
        <w:jc w:val="center"/>
        <w:rPr>
          <w:color w:val="auto"/>
        </w:rPr>
      </w:pPr>
      <w:r>
        <w:rPr>
          <w:color w:val="auto"/>
        </w:rPr>
        <w:t>2NaOH+H</w:t>
      </w:r>
      <w:r>
        <w:rPr>
          <w:color w:val="auto"/>
          <w:vertAlign w:val="subscript"/>
        </w:rPr>
        <w:t>2</w:t>
      </w:r>
      <w:r>
        <w:rPr>
          <w:color w:val="auto"/>
        </w:rPr>
        <w:t>SO</w:t>
      </w:r>
      <w:r>
        <w:rPr>
          <w:color w:val="auto"/>
          <w:vertAlign w:val="subscript"/>
        </w:rPr>
        <w:t>4</w:t>
      </w:r>
      <w:r>
        <w:rPr>
          <w:color w:val="auto"/>
        </w:rPr>
        <w:t>=Na</w:t>
      </w:r>
      <w:r>
        <w:rPr>
          <w:color w:val="auto"/>
          <w:vertAlign w:val="subscript"/>
        </w:rPr>
        <w:t>2</w:t>
      </w:r>
      <w:r>
        <w:rPr>
          <w:color w:val="auto"/>
        </w:rPr>
        <w:t>SO</w:t>
      </w:r>
      <w:r>
        <w:rPr>
          <w:color w:val="auto"/>
          <w:vertAlign w:val="subscript"/>
        </w:rPr>
        <w:t>4</w:t>
      </w:r>
      <w:r>
        <w:rPr>
          <w:color w:val="auto"/>
        </w:rPr>
        <w:t>+H</w:t>
      </w:r>
      <w:r>
        <w:rPr>
          <w:color w:val="auto"/>
          <w:vertAlign w:val="subscript"/>
        </w:rPr>
        <w:t>2</w:t>
      </w:r>
      <w:r>
        <w:rPr>
          <w:color w:val="auto"/>
        </w:rPr>
        <w:t>O</w:t>
      </w:r>
    </w:p>
    <w:p w14:paraId="4C9493F3">
      <w:pPr>
        <w:ind w:firstLine="480"/>
        <w:rPr>
          <w:color w:val="auto"/>
        </w:rPr>
      </w:pPr>
      <w:r>
        <w:rPr>
          <w:color w:val="auto"/>
        </w:rPr>
        <w:t>②尾气净化</w:t>
      </w:r>
    </w:p>
    <w:p w14:paraId="7AFCB48E">
      <w:pPr>
        <w:ind w:firstLine="480"/>
        <w:rPr>
          <w:color w:val="auto"/>
        </w:rPr>
      </w:pPr>
      <w:r>
        <w:rPr>
          <w:color w:val="auto"/>
        </w:rPr>
        <w:t>项目采用两级碱喷淋塔对硫酸雾进行处理，净化装置采用填料喷淋塔，以2</w:t>
      </w:r>
      <w:r>
        <w:rPr>
          <w:rFonts w:hint="eastAsia"/>
          <w:color w:val="auto"/>
        </w:rPr>
        <w:t>%～</w:t>
      </w:r>
      <w:r>
        <w:rPr>
          <w:color w:val="auto"/>
        </w:rPr>
        <w:t>6%的NaOH溶液作为吸收液，碱液循环使用，当达到一定浓度时，添加新碱液，硫酸雾设计处理效率＞</w:t>
      </w:r>
      <w:r>
        <w:rPr>
          <w:rFonts w:hint="eastAsia"/>
          <w:color w:val="auto"/>
        </w:rPr>
        <w:t>90</w:t>
      </w:r>
      <w:r>
        <w:rPr>
          <w:color w:val="auto"/>
        </w:rPr>
        <w:t>%。喷淋塔原理为：普通酸雾经风管由喷淋塔底部引入，废气由下往上通过二段填料层，在每段填料层，酸雾与氢氧化钠吸收液进行气液两相充分接触吸收中和反应，废气经过净化后再经除雾板脱除水雾由</w:t>
      </w:r>
      <w:r>
        <w:rPr>
          <w:rFonts w:hint="eastAsia"/>
          <w:color w:val="auto"/>
        </w:rPr>
        <w:t>30</w:t>
      </w:r>
      <w:r>
        <w:rPr>
          <w:color w:val="auto"/>
        </w:rPr>
        <w:t>m高排气筒排入大气。吸收液在塔底经水泵增压后在塔顶喷淋而下，最后回流至塔底循环使用，循环水槽设置pH</w:t>
      </w:r>
      <w:r>
        <w:rPr>
          <w:rFonts w:hint="eastAsia"/>
          <w:color w:val="auto"/>
        </w:rPr>
        <w:t>联锁</w:t>
      </w:r>
      <w:r>
        <w:rPr>
          <w:color w:val="auto"/>
        </w:rPr>
        <w:t>自动加药，自动控制pH值。</w:t>
      </w:r>
    </w:p>
    <w:p w14:paraId="4BA7AABD">
      <w:pPr>
        <w:ind w:firstLine="480"/>
        <w:rPr>
          <w:color w:val="auto"/>
        </w:rPr>
      </w:pPr>
      <w:r>
        <w:rPr>
          <w:color w:val="auto"/>
        </w:rPr>
        <w:t>综上，喷淋塔的设计应遵循以下原则：</w:t>
      </w:r>
    </w:p>
    <w:p w14:paraId="7A4DF7F0">
      <w:pPr>
        <w:ind w:firstLine="480"/>
        <w:rPr>
          <w:color w:val="auto"/>
        </w:rPr>
      </w:pPr>
      <w:r>
        <w:rPr>
          <w:rFonts w:hint="eastAsia"/>
          <w:color w:val="auto"/>
        </w:rPr>
        <w:t>1）</w:t>
      </w:r>
      <w:r>
        <w:rPr>
          <w:color w:val="auto"/>
        </w:rPr>
        <w:t>气液之间要有较大的接触面积和一定的接触时间；</w:t>
      </w:r>
    </w:p>
    <w:p w14:paraId="1C2DA5E1">
      <w:pPr>
        <w:ind w:firstLine="480"/>
        <w:rPr>
          <w:color w:val="auto"/>
        </w:rPr>
      </w:pPr>
      <w:r>
        <w:rPr>
          <w:rFonts w:hint="eastAsia"/>
          <w:color w:val="auto"/>
        </w:rPr>
        <w:t>2）</w:t>
      </w:r>
      <w:r>
        <w:rPr>
          <w:color w:val="auto"/>
        </w:rPr>
        <w:t>气液之间扰动强烈，吸收阻力低，吸收效率高；</w:t>
      </w:r>
    </w:p>
    <w:p w14:paraId="1E416D9A">
      <w:pPr>
        <w:ind w:firstLine="480"/>
        <w:rPr>
          <w:color w:val="auto"/>
        </w:rPr>
      </w:pPr>
      <w:r>
        <w:rPr>
          <w:rFonts w:hint="eastAsia"/>
          <w:color w:val="auto"/>
        </w:rPr>
        <w:t>3）</w:t>
      </w:r>
      <w:r>
        <w:rPr>
          <w:color w:val="auto"/>
        </w:rPr>
        <w:t>采用气液逆流操作，增大吸收推动力；</w:t>
      </w:r>
    </w:p>
    <w:p w14:paraId="4F165DA6">
      <w:pPr>
        <w:ind w:firstLine="480"/>
        <w:rPr>
          <w:color w:val="auto"/>
        </w:rPr>
      </w:pPr>
      <w:r>
        <w:rPr>
          <w:rFonts w:hint="eastAsia"/>
          <w:color w:val="auto"/>
        </w:rPr>
        <w:t>4）</w:t>
      </w:r>
      <w:r>
        <w:rPr>
          <w:color w:val="auto"/>
        </w:rPr>
        <w:t>气体通过阻力小；</w:t>
      </w:r>
    </w:p>
    <w:p w14:paraId="281385B1">
      <w:pPr>
        <w:ind w:firstLine="480"/>
        <w:rPr>
          <w:color w:val="auto"/>
        </w:rPr>
      </w:pPr>
      <w:r>
        <w:rPr>
          <w:rFonts w:hint="eastAsia"/>
          <w:color w:val="auto"/>
        </w:rPr>
        <w:t>5）</w:t>
      </w:r>
      <w:r>
        <w:rPr>
          <w:color w:val="auto"/>
        </w:rPr>
        <w:t>设备耐磨、耐腐蚀、运行可靠。</w:t>
      </w:r>
    </w:p>
    <w:p w14:paraId="0FFCAFB8">
      <w:pPr>
        <w:ind w:firstLine="0" w:firstLineChars="0"/>
        <w:jc w:val="center"/>
        <w:rPr>
          <w:color w:val="auto"/>
        </w:rPr>
      </w:pPr>
      <w:r>
        <w:rPr>
          <w:color w:val="auto"/>
        </w:rPr>
        <w:drawing>
          <wp:inline distT="0" distB="0" distL="114300" distR="114300">
            <wp:extent cx="3089275" cy="2705735"/>
            <wp:effectExtent l="0" t="0" r="15875" b="18415"/>
            <wp:docPr id="59" name="图片 15" descr="EXJ8GN70GS5X14KD34O43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EXJ8GN70GS5X14KD34O43PG"/>
                    <pic:cNvPicPr>
                      <a:picLocks noChangeAspect="1"/>
                    </pic:cNvPicPr>
                  </pic:nvPicPr>
                  <pic:blipFill>
                    <a:blip r:embed="rId62"/>
                    <a:srcRect t="5025" b="5180"/>
                    <a:stretch>
                      <a:fillRect/>
                    </a:stretch>
                  </pic:blipFill>
                  <pic:spPr>
                    <a:xfrm>
                      <a:off x="0" y="0"/>
                      <a:ext cx="3089275" cy="2705735"/>
                    </a:xfrm>
                    <a:prstGeom prst="rect">
                      <a:avLst/>
                    </a:prstGeom>
                    <a:noFill/>
                    <a:ln>
                      <a:noFill/>
                    </a:ln>
                  </pic:spPr>
                </pic:pic>
              </a:graphicData>
            </a:graphic>
          </wp:inline>
        </w:drawing>
      </w:r>
    </w:p>
    <w:p w14:paraId="6BEDE634">
      <w:pPr>
        <w:ind w:firstLine="0" w:firstLineChars="0"/>
        <w:jc w:val="center"/>
        <w:rPr>
          <w:color w:val="auto"/>
        </w:rPr>
      </w:pPr>
      <w:r>
        <w:rPr>
          <w:rFonts w:hint="eastAsia"/>
          <w:b/>
          <w:bCs/>
          <w:color w:val="auto"/>
        </w:rPr>
        <w:t>图7.2.1-</w:t>
      </w:r>
      <w:r>
        <w:rPr>
          <w:rFonts w:hint="eastAsia"/>
          <w:b/>
          <w:bCs/>
          <w:color w:val="auto"/>
          <w:lang w:val="en-US" w:eastAsia="zh-CN"/>
        </w:rPr>
        <w:t>3</w:t>
      </w:r>
      <w:r>
        <w:rPr>
          <w:rFonts w:hint="eastAsia"/>
          <w:b/>
          <w:bCs/>
          <w:color w:val="auto"/>
        </w:rPr>
        <w:t xml:space="preserve">  酸雾废气处理流程图</w:t>
      </w:r>
    </w:p>
    <w:p w14:paraId="20A55A38">
      <w:pPr>
        <w:spacing w:line="240" w:lineRule="auto"/>
        <w:ind w:firstLine="0" w:firstLineChars="0"/>
        <w:jc w:val="center"/>
        <w:rPr>
          <w:b/>
          <w:bCs/>
          <w:color w:val="auto"/>
        </w:rPr>
      </w:pPr>
      <w:r>
        <w:rPr>
          <w:rFonts w:hint="eastAsia"/>
          <w:b/>
          <w:bCs/>
          <w:color w:val="auto"/>
        </w:rPr>
        <w:t>表7.2.1-1  项目碱喷淋塔技术参数一览表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9"/>
        <w:gridCol w:w="3134"/>
        <w:gridCol w:w="3134"/>
      </w:tblGrid>
      <w:tr w14:paraId="2730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top w:val="single" w:color="auto" w:sz="12" w:space="0"/>
              <w:left w:val="nil"/>
            </w:tcBorders>
            <w:vAlign w:val="center"/>
          </w:tcPr>
          <w:p w14:paraId="0282DD9B">
            <w:pPr>
              <w:pStyle w:val="55"/>
              <w:spacing w:line="240" w:lineRule="auto"/>
              <w:ind w:firstLine="0" w:firstLineChars="0"/>
              <w:jc w:val="center"/>
              <w:rPr>
                <w:b/>
                <w:bCs/>
                <w:color w:val="auto"/>
                <w:sz w:val="21"/>
                <w:szCs w:val="21"/>
              </w:rPr>
            </w:pPr>
            <w:r>
              <w:rPr>
                <w:rFonts w:hint="eastAsia"/>
                <w:b/>
                <w:bCs/>
                <w:color w:val="auto"/>
                <w:sz w:val="21"/>
                <w:szCs w:val="21"/>
              </w:rPr>
              <w:t>项目</w:t>
            </w:r>
          </w:p>
        </w:tc>
        <w:tc>
          <w:tcPr>
            <w:tcW w:w="1667" w:type="pct"/>
            <w:tcBorders>
              <w:top w:val="single" w:color="auto" w:sz="12" w:space="0"/>
            </w:tcBorders>
            <w:vAlign w:val="center"/>
          </w:tcPr>
          <w:p w14:paraId="717C2CD1">
            <w:pPr>
              <w:pStyle w:val="55"/>
              <w:spacing w:line="240" w:lineRule="auto"/>
              <w:ind w:firstLine="0" w:firstLineChars="0"/>
              <w:jc w:val="center"/>
              <w:rPr>
                <w:b/>
                <w:bCs/>
                <w:color w:val="auto"/>
                <w:sz w:val="21"/>
                <w:szCs w:val="21"/>
              </w:rPr>
            </w:pPr>
            <w:r>
              <w:rPr>
                <w:rFonts w:hint="eastAsia"/>
                <w:b/>
                <w:bCs/>
                <w:color w:val="auto"/>
                <w:sz w:val="21"/>
                <w:szCs w:val="21"/>
              </w:rPr>
              <w:t>单位</w:t>
            </w:r>
          </w:p>
        </w:tc>
        <w:tc>
          <w:tcPr>
            <w:tcW w:w="1667" w:type="pct"/>
            <w:tcBorders>
              <w:top w:val="single" w:color="auto" w:sz="12" w:space="0"/>
              <w:right w:val="nil"/>
            </w:tcBorders>
          </w:tcPr>
          <w:p w14:paraId="43D03FE5">
            <w:pPr>
              <w:spacing w:line="240" w:lineRule="auto"/>
              <w:ind w:firstLine="0" w:firstLineChars="0"/>
              <w:jc w:val="center"/>
              <w:rPr>
                <w:b/>
                <w:bCs/>
                <w:color w:val="auto"/>
                <w:sz w:val="21"/>
                <w:szCs w:val="21"/>
              </w:rPr>
            </w:pPr>
            <w:r>
              <w:rPr>
                <w:rFonts w:hint="eastAsia"/>
                <w:b/>
                <w:bCs/>
                <w:color w:val="auto"/>
                <w:sz w:val="21"/>
                <w:szCs w:val="21"/>
              </w:rPr>
              <w:t>技术参数</w:t>
            </w:r>
          </w:p>
        </w:tc>
      </w:tr>
      <w:tr w14:paraId="5102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5" w:type="pct"/>
            <w:tcBorders>
              <w:left w:val="nil"/>
            </w:tcBorders>
            <w:vAlign w:val="center"/>
          </w:tcPr>
          <w:p w14:paraId="78DF22DA">
            <w:pPr>
              <w:pStyle w:val="55"/>
              <w:spacing w:line="240" w:lineRule="auto"/>
              <w:ind w:firstLine="0" w:firstLineChars="0"/>
              <w:jc w:val="center"/>
              <w:rPr>
                <w:b/>
                <w:bCs/>
                <w:color w:val="auto"/>
                <w:sz w:val="21"/>
                <w:szCs w:val="21"/>
              </w:rPr>
            </w:pPr>
            <w:r>
              <w:rPr>
                <w:rFonts w:hint="eastAsia"/>
                <w:color w:val="auto"/>
                <w:sz w:val="21"/>
                <w:szCs w:val="21"/>
              </w:rPr>
              <w:t>设计处理能力</w:t>
            </w:r>
          </w:p>
        </w:tc>
        <w:tc>
          <w:tcPr>
            <w:tcW w:w="1667" w:type="pct"/>
            <w:vAlign w:val="center"/>
          </w:tcPr>
          <w:p w14:paraId="23490028">
            <w:pPr>
              <w:pStyle w:val="55"/>
              <w:spacing w:line="240" w:lineRule="auto"/>
              <w:ind w:firstLine="0" w:firstLineChars="0"/>
              <w:jc w:val="center"/>
              <w:rPr>
                <w:b/>
                <w:bCs/>
                <w:color w:val="auto"/>
                <w:sz w:val="21"/>
                <w:szCs w:val="21"/>
              </w:rPr>
            </w:pPr>
            <w:r>
              <w:rPr>
                <w:rFonts w:hint="eastAsia"/>
                <w:color w:val="auto"/>
                <w:sz w:val="21"/>
                <w:szCs w:val="21"/>
              </w:rPr>
              <w:t>m</w:t>
            </w:r>
            <w:r>
              <w:rPr>
                <w:rFonts w:hint="eastAsia"/>
                <w:color w:val="auto"/>
                <w:sz w:val="21"/>
                <w:szCs w:val="21"/>
                <w:vertAlign w:val="superscript"/>
              </w:rPr>
              <w:t>3</w:t>
            </w:r>
            <w:r>
              <w:rPr>
                <w:rFonts w:hint="eastAsia"/>
                <w:color w:val="auto"/>
                <w:sz w:val="21"/>
                <w:szCs w:val="21"/>
              </w:rPr>
              <w:t>/h</w:t>
            </w:r>
          </w:p>
        </w:tc>
        <w:tc>
          <w:tcPr>
            <w:tcW w:w="1667" w:type="pct"/>
            <w:tcBorders>
              <w:right w:val="nil"/>
            </w:tcBorders>
            <w:vAlign w:val="center"/>
          </w:tcPr>
          <w:p w14:paraId="4297B4DB">
            <w:pPr>
              <w:pStyle w:val="55"/>
              <w:spacing w:line="240" w:lineRule="auto"/>
              <w:ind w:firstLine="0" w:firstLineChars="0"/>
              <w:jc w:val="center"/>
              <w:rPr>
                <w:b/>
                <w:bCs/>
                <w:color w:val="auto"/>
                <w:sz w:val="21"/>
                <w:szCs w:val="21"/>
              </w:rPr>
            </w:pPr>
            <w:r>
              <w:rPr>
                <w:rFonts w:hint="eastAsia"/>
                <w:color w:val="auto"/>
                <w:sz w:val="21"/>
                <w:szCs w:val="21"/>
              </w:rPr>
              <w:t>34000</w:t>
            </w:r>
          </w:p>
        </w:tc>
      </w:tr>
      <w:tr w14:paraId="290F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554C824A">
            <w:pPr>
              <w:pStyle w:val="55"/>
              <w:spacing w:line="240" w:lineRule="auto"/>
              <w:ind w:firstLine="0" w:firstLineChars="0"/>
              <w:jc w:val="center"/>
              <w:rPr>
                <w:b/>
                <w:bCs/>
                <w:color w:val="auto"/>
                <w:sz w:val="21"/>
                <w:szCs w:val="21"/>
              </w:rPr>
            </w:pPr>
            <w:r>
              <w:rPr>
                <w:rFonts w:hint="eastAsia"/>
                <w:color w:val="auto"/>
                <w:sz w:val="21"/>
                <w:szCs w:val="21"/>
              </w:rPr>
              <w:t>喷淋塔结构</w:t>
            </w:r>
          </w:p>
        </w:tc>
        <w:tc>
          <w:tcPr>
            <w:tcW w:w="1667" w:type="pct"/>
            <w:vAlign w:val="center"/>
          </w:tcPr>
          <w:p w14:paraId="732F2D57">
            <w:pPr>
              <w:pStyle w:val="55"/>
              <w:spacing w:line="240" w:lineRule="auto"/>
              <w:ind w:firstLine="0" w:firstLineChars="0"/>
              <w:jc w:val="center"/>
              <w:rPr>
                <w:b/>
                <w:bCs/>
                <w:color w:val="auto"/>
                <w:sz w:val="21"/>
                <w:szCs w:val="21"/>
              </w:rPr>
            </w:pPr>
            <w:r>
              <w:rPr>
                <w:rFonts w:hint="eastAsia"/>
                <w:color w:val="auto"/>
                <w:sz w:val="21"/>
                <w:szCs w:val="21"/>
              </w:rPr>
              <w:t>/</w:t>
            </w:r>
          </w:p>
        </w:tc>
        <w:tc>
          <w:tcPr>
            <w:tcW w:w="1667" w:type="pct"/>
            <w:tcBorders>
              <w:right w:val="nil"/>
            </w:tcBorders>
            <w:vAlign w:val="center"/>
          </w:tcPr>
          <w:p w14:paraId="73EB685A">
            <w:pPr>
              <w:pStyle w:val="55"/>
              <w:spacing w:line="240" w:lineRule="auto"/>
              <w:ind w:firstLine="0" w:firstLineChars="0"/>
              <w:jc w:val="center"/>
              <w:rPr>
                <w:b/>
                <w:bCs/>
                <w:color w:val="auto"/>
                <w:sz w:val="21"/>
                <w:szCs w:val="21"/>
              </w:rPr>
            </w:pPr>
            <w:r>
              <w:rPr>
                <w:rFonts w:hint="eastAsia"/>
                <w:color w:val="auto"/>
                <w:sz w:val="21"/>
                <w:szCs w:val="21"/>
              </w:rPr>
              <w:t>多层填料</w:t>
            </w:r>
          </w:p>
        </w:tc>
      </w:tr>
      <w:tr w14:paraId="3A04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45667041">
            <w:pPr>
              <w:pStyle w:val="55"/>
              <w:spacing w:line="240" w:lineRule="auto"/>
              <w:ind w:firstLine="0" w:firstLineChars="0"/>
              <w:jc w:val="center"/>
              <w:rPr>
                <w:b/>
                <w:bCs/>
                <w:color w:val="auto"/>
                <w:sz w:val="21"/>
                <w:szCs w:val="21"/>
              </w:rPr>
            </w:pPr>
            <w:r>
              <w:rPr>
                <w:rFonts w:hint="eastAsia"/>
                <w:color w:val="auto"/>
                <w:sz w:val="21"/>
                <w:szCs w:val="21"/>
              </w:rPr>
              <w:t>吸收液</w:t>
            </w:r>
          </w:p>
        </w:tc>
        <w:tc>
          <w:tcPr>
            <w:tcW w:w="1667" w:type="pct"/>
            <w:vAlign w:val="center"/>
          </w:tcPr>
          <w:p w14:paraId="05ED5A6A">
            <w:pPr>
              <w:pStyle w:val="55"/>
              <w:spacing w:line="240" w:lineRule="auto"/>
              <w:ind w:firstLine="0" w:firstLineChars="0"/>
              <w:jc w:val="center"/>
              <w:rPr>
                <w:b/>
                <w:bCs/>
                <w:color w:val="auto"/>
                <w:sz w:val="21"/>
                <w:szCs w:val="21"/>
              </w:rPr>
            </w:pPr>
            <w:r>
              <w:rPr>
                <w:rFonts w:hint="eastAsia"/>
                <w:color w:val="auto"/>
                <w:sz w:val="21"/>
                <w:szCs w:val="21"/>
              </w:rPr>
              <w:t>/</w:t>
            </w:r>
          </w:p>
        </w:tc>
        <w:tc>
          <w:tcPr>
            <w:tcW w:w="1667" w:type="pct"/>
            <w:tcBorders>
              <w:right w:val="nil"/>
            </w:tcBorders>
            <w:vAlign w:val="center"/>
          </w:tcPr>
          <w:p w14:paraId="7DB23E17">
            <w:pPr>
              <w:pStyle w:val="55"/>
              <w:spacing w:line="240" w:lineRule="auto"/>
              <w:ind w:firstLine="0" w:firstLineChars="0"/>
              <w:jc w:val="center"/>
              <w:rPr>
                <w:color w:val="auto"/>
                <w:sz w:val="21"/>
                <w:szCs w:val="21"/>
              </w:rPr>
            </w:pPr>
            <w:r>
              <w:rPr>
                <w:rFonts w:hint="eastAsia"/>
                <w:color w:val="auto"/>
                <w:sz w:val="21"/>
                <w:szCs w:val="21"/>
              </w:rPr>
              <w:t>酸性中和液pH 4~5</w:t>
            </w:r>
          </w:p>
        </w:tc>
      </w:tr>
      <w:tr w14:paraId="436B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6AA98450">
            <w:pPr>
              <w:pStyle w:val="55"/>
              <w:spacing w:line="240" w:lineRule="auto"/>
              <w:ind w:firstLine="0" w:firstLineChars="0"/>
              <w:jc w:val="center"/>
              <w:rPr>
                <w:b/>
                <w:bCs/>
                <w:color w:val="auto"/>
                <w:sz w:val="21"/>
                <w:szCs w:val="21"/>
              </w:rPr>
            </w:pPr>
            <w:r>
              <w:rPr>
                <w:rFonts w:hint="eastAsia"/>
                <w:color w:val="auto"/>
                <w:sz w:val="21"/>
                <w:szCs w:val="21"/>
              </w:rPr>
              <w:t>填料类型</w:t>
            </w:r>
          </w:p>
        </w:tc>
        <w:tc>
          <w:tcPr>
            <w:tcW w:w="1667" w:type="pct"/>
            <w:vAlign w:val="center"/>
          </w:tcPr>
          <w:p w14:paraId="0445E881">
            <w:pPr>
              <w:pStyle w:val="55"/>
              <w:spacing w:line="240" w:lineRule="auto"/>
              <w:ind w:firstLine="0" w:firstLineChars="0"/>
              <w:jc w:val="center"/>
              <w:rPr>
                <w:b/>
                <w:bCs/>
                <w:color w:val="auto"/>
                <w:sz w:val="21"/>
                <w:szCs w:val="21"/>
              </w:rPr>
            </w:pPr>
            <w:r>
              <w:rPr>
                <w:rFonts w:hint="eastAsia"/>
                <w:color w:val="auto"/>
                <w:sz w:val="21"/>
                <w:szCs w:val="21"/>
              </w:rPr>
              <w:t>/</w:t>
            </w:r>
          </w:p>
        </w:tc>
        <w:tc>
          <w:tcPr>
            <w:tcW w:w="1667" w:type="pct"/>
            <w:tcBorders>
              <w:right w:val="nil"/>
            </w:tcBorders>
            <w:vAlign w:val="center"/>
          </w:tcPr>
          <w:p w14:paraId="08F53E83">
            <w:pPr>
              <w:pStyle w:val="55"/>
              <w:spacing w:line="240" w:lineRule="auto"/>
              <w:ind w:firstLine="0" w:firstLineChars="0"/>
              <w:jc w:val="center"/>
              <w:rPr>
                <w:color w:val="auto"/>
                <w:sz w:val="21"/>
                <w:szCs w:val="21"/>
              </w:rPr>
            </w:pPr>
            <w:r>
              <w:rPr>
                <w:rFonts w:hint="eastAsia"/>
                <w:color w:val="auto"/>
                <w:sz w:val="21"/>
                <w:szCs w:val="21"/>
              </w:rPr>
              <w:t>鲍尔环</w:t>
            </w:r>
          </w:p>
        </w:tc>
      </w:tr>
      <w:tr w14:paraId="3287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19336A35">
            <w:pPr>
              <w:pStyle w:val="55"/>
              <w:spacing w:line="240" w:lineRule="auto"/>
              <w:ind w:firstLine="0" w:firstLineChars="0"/>
              <w:jc w:val="center"/>
              <w:rPr>
                <w:b/>
                <w:bCs/>
                <w:color w:val="auto"/>
                <w:sz w:val="21"/>
                <w:szCs w:val="21"/>
              </w:rPr>
            </w:pPr>
            <w:r>
              <w:rPr>
                <w:rFonts w:hint="eastAsia"/>
                <w:color w:val="auto"/>
                <w:sz w:val="21"/>
                <w:szCs w:val="21"/>
              </w:rPr>
              <w:t>填料塔内径</w:t>
            </w:r>
          </w:p>
        </w:tc>
        <w:tc>
          <w:tcPr>
            <w:tcW w:w="1667" w:type="pct"/>
            <w:vAlign w:val="center"/>
          </w:tcPr>
          <w:p w14:paraId="647E350A">
            <w:pPr>
              <w:pStyle w:val="55"/>
              <w:spacing w:line="240" w:lineRule="auto"/>
              <w:ind w:firstLine="0" w:firstLineChars="0"/>
              <w:jc w:val="center"/>
              <w:rPr>
                <w:b/>
                <w:bCs/>
                <w:color w:val="auto"/>
                <w:sz w:val="21"/>
                <w:szCs w:val="21"/>
              </w:rPr>
            </w:pPr>
            <w:r>
              <w:rPr>
                <w:rFonts w:hint="eastAsia"/>
                <w:color w:val="auto"/>
                <w:sz w:val="21"/>
                <w:szCs w:val="21"/>
              </w:rPr>
              <w:t>m</w:t>
            </w:r>
          </w:p>
        </w:tc>
        <w:tc>
          <w:tcPr>
            <w:tcW w:w="1667" w:type="pct"/>
            <w:tcBorders>
              <w:right w:val="nil"/>
            </w:tcBorders>
            <w:vAlign w:val="center"/>
          </w:tcPr>
          <w:p w14:paraId="58C5ACE7">
            <w:pPr>
              <w:pStyle w:val="55"/>
              <w:spacing w:line="240" w:lineRule="auto"/>
              <w:ind w:firstLine="0" w:firstLineChars="0"/>
              <w:jc w:val="center"/>
              <w:rPr>
                <w:color w:val="auto"/>
                <w:sz w:val="21"/>
                <w:szCs w:val="21"/>
              </w:rPr>
            </w:pPr>
            <w:r>
              <w:rPr>
                <w:rFonts w:hint="eastAsia"/>
                <w:color w:val="auto"/>
                <w:sz w:val="21"/>
                <w:szCs w:val="21"/>
              </w:rPr>
              <w:t>D2500</w:t>
            </w:r>
          </w:p>
        </w:tc>
      </w:tr>
      <w:tr w14:paraId="733F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00F6EBFC">
            <w:pPr>
              <w:pStyle w:val="55"/>
              <w:spacing w:line="240" w:lineRule="auto"/>
              <w:ind w:firstLine="0" w:firstLineChars="0"/>
              <w:jc w:val="center"/>
              <w:rPr>
                <w:b/>
                <w:bCs/>
                <w:color w:val="auto"/>
                <w:sz w:val="21"/>
                <w:szCs w:val="21"/>
              </w:rPr>
            </w:pPr>
            <w:r>
              <w:rPr>
                <w:rFonts w:hint="eastAsia"/>
                <w:color w:val="auto"/>
                <w:sz w:val="21"/>
                <w:szCs w:val="21"/>
              </w:rPr>
              <w:t>空气塔气流速度</w:t>
            </w:r>
          </w:p>
        </w:tc>
        <w:tc>
          <w:tcPr>
            <w:tcW w:w="1667" w:type="pct"/>
            <w:vAlign w:val="center"/>
          </w:tcPr>
          <w:p w14:paraId="1BC7D9D9">
            <w:pPr>
              <w:pStyle w:val="55"/>
              <w:spacing w:line="240" w:lineRule="auto"/>
              <w:ind w:firstLine="0" w:firstLineChars="0"/>
              <w:jc w:val="center"/>
              <w:rPr>
                <w:b/>
                <w:bCs/>
                <w:color w:val="auto"/>
                <w:sz w:val="21"/>
                <w:szCs w:val="21"/>
              </w:rPr>
            </w:pPr>
            <w:r>
              <w:rPr>
                <w:rFonts w:hint="eastAsia"/>
                <w:color w:val="auto"/>
                <w:sz w:val="21"/>
                <w:szCs w:val="21"/>
              </w:rPr>
              <w:t>m/s</w:t>
            </w:r>
          </w:p>
        </w:tc>
        <w:tc>
          <w:tcPr>
            <w:tcW w:w="1667" w:type="pct"/>
            <w:tcBorders>
              <w:right w:val="nil"/>
            </w:tcBorders>
            <w:vAlign w:val="center"/>
          </w:tcPr>
          <w:p w14:paraId="5CFD0F41">
            <w:pPr>
              <w:pStyle w:val="55"/>
              <w:spacing w:line="240" w:lineRule="auto"/>
              <w:ind w:firstLine="0" w:firstLineChars="0"/>
              <w:jc w:val="center"/>
              <w:rPr>
                <w:color w:val="auto"/>
                <w:sz w:val="21"/>
                <w:szCs w:val="21"/>
              </w:rPr>
            </w:pPr>
            <w:r>
              <w:rPr>
                <w:rFonts w:hint="eastAsia"/>
                <w:color w:val="auto"/>
                <w:sz w:val="21"/>
                <w:szCs w:val="21"/>
              </w:rPr>
              <w:t>2</w:t>
            </w:r>
          </w:p>
        </w:tc>
      </w:tr>
      <w:tr w14:paraId="52D3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5928502B">
            <w:pPr>
              <w:pStyle w:val="55"/>
              <w:spacing w:line="240" w:lineRule="auto"/>
              <w:ind w:firstLine="0" w:firstLineChars="0"/>
              <w:jc w:val="center"/>
              <w:rPr>
                <w:b/>
                <w:bCs/>
                <w:color w:val="auto"/>
                <w:sz w:val="21"/>
                <w:szCs w:val="21"/>
              </w:rPr>
            </w:pPr>
            <w:r>
              <w:rPr>
                <w:rFonts w:hint="eastAsia"/>
                <w:color w:val="auto"/>
                <w:sz w:val="21"/>
                <w:szCs w:val="21"/>
              </w:rPr>
              <w:t>填料层高度</w:t>
            </w:r>
          </w:p>
        </w:tc>
        <w:tc>
          <w:tcPr>
            <w:tcW w:w="1667" w:type="pct"/>
            <w:vAlign w:val="center"/>
          </w:tcPr>
          <w:p w14:paraId="7A9869D8">
            <w:pPr>
              <w:pStyle w:val="55"/>
              <w:spacing w:line="240" w:lineRule="auto"/>
              <w:ind w:firstLine="0" w:firstLineChars="0"/>
              <w:jc w:val="center"/>
              <w:rPr>
                <w:b/>
                <w:bCs/>
                <w:color w:val="auto"/>
                <w:sz w:val="21"/>
                <w:szCs w:val="21"/>
              </w:rPr>
            </w:pPr>
            <w:r>
              <w:rPr>
                <w:rFonts w:hint="eastAsia"/>
                <w:color w:val="auto"/>
                <w:sz w:val="21"/>
                <w:szCs w:val="21"/>
              </w:rPr>
              <w:t>m</w:t>
            </w:r>
          </w:p>
        </w:tc>
        <w:tc>
          <w:tcPr>
            <w:tcW w:w="1667" w:type="pct"/>
            <w:tcBorders>
              <w:right w:val="nil"/>
            </w:tcBorders>
            <w:vAlign w:val="center"/>
          </w:tcPr>
          <w:p w14:paraId="442176B5">
            <w:pPr>
              <w:pStyle w:val="55"/>
              <w:spacing w:line="240" w:lineRule="auto"/>
              <w:ind w:firstLine="0" w:firstLineChars="0"/>
              <w:jc w:val="center"/>
              <w:rPr>
                <w:b/>
                <w:bCs/>
                <w:color w:val="auto"/>
                <w:sz w:val="21"/>
                <w:szCs w:val="21"/>
              </w:rPr>
            </w:pPr>
            <w:r>
              <w:rPr>
                <w:rFonts w:hint="eastAsia"/>
                <w:color w:val="auto"/>
                <w:sz w:val="21"/>
                <w:szCs w:val="21"/>
              </w:rPr>
              <w:t>500~600</w:t>
            </w:r>
          </w:p>
        </w:tc>
      </w:tr>
      <w:tr w14:paraId="5823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261F1B94">
            <w:pPr>
              <w:pStyle w:val="55"/>
              <w:spacing w:line="240" w:lineRule="auto"/>
              <w:ind w:firstLine="0" w:firstLineChars="0"/>
              <w:jc w:val="center"/>
              <w:rPr>
                <w:b/>
                <w:bCs/>
                <w:color w:val="auto"/>
                <w:sz w:val="21"/>
                <w:szCs w:val="21"/>
              </w:rPr>
            </w:pPr>
            <w:r>
              <w:rPr>
                <w:rFonts w:hint="eastAsia"/>
                <w:color w:val="auto"/>
                <w:sz w:val="21"/>
                <w:szCs w:val="21"/>
              </w:rPr>
              <w:t>单塔接触时间</w:t>
            </w:r>
          </w:p>
        </w:tc>
        <w:tc>
          <w:tcPr>
            <w:tcW w:w="1667" w:type="pct"/>
            <w:vAlign w:val="center"/>
          </w:tcPr>
          <w:p w14:paraId="1271CEAA">
            <w:pPr>
              <w:pStyle w:val="55"/>
              <w:spacing w:line="240" w:lineRule="auto"/>
              <w:ind w:firstLine="0" w:firstLineChars="0"/>
              <w:jc w:val="center"/>
              <w:rPr>
                <w:b/>
                <w:bCs/>
                <w:color w:val="auto"/>
                <w:sz w:val="21"/>
                <w:szCs w:val="21"/>
              </w:rPr>
            </w:pPr>
            <w:r>
              <w:rPr>
                <w:rFonts w:hint="eastAsia"/>
                <w:color w:val="auto"/>
                <w:sz w:val="21"/>
                <w:szCs w:val="21"/>
              </w:rPr>
              <w:t>s</w:t>
            </w:r>
          </w:p>
        </w:tc>
        <w:tc>
          <w:tcPr>
            <w:tcW w:w="1667" w:type="pct"/>
            <w:tcBorders>
              <w:right w:val="nil"/>
            </w:tcBorders>
            <w:vAlign w:val="center"/>
          </w:tcPr>
          <w:p w14:paraId="331217B1">
            <w:pPr>
              <w:pStyle w:val="55"/>
              <w:spacing w:line="240" w:lineRule="auto"/>
              <w:ind w:firstLine="0" w:firstLineChars="0"/>
              <w:jc w:val="center"/>
              <w:rPr>
                <w:b/>
                <w:bCs/>
                <w:color w:val="auto"/>
                <w:sz w:val="21"/>
                <w:szCs w:val="21"/>
              </w:rPr>
            </w:pPr>
            <w:r>
              <w:rPr>
                <w:rFonts w:hint="eastAsia"/>
                <w:color w:val="auto"/>
                <w:sz w:val="21"/>
                <w:szCs w:val="21"/>
              </w:rPr>
              <w:t>2.5</w:t>
            </w:r>
          </w:p>
        </w:tc>
      </w:tr>
      <w:tr w14:paraId="033E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6A374F22">
            <w:pPr>
              <w:pStyle w:val="55"/>
              <w:spacing w:line="240" w:lineRule="auto"/>
              <w:ind w:firstLine="0" w:firstLineChars="0"/>
              <w:jc w:val="center"/>
              <w:rPr>
                <w:b/>
                <w:bCs/>
                <w:color w:val="auto"/>
                <w:sz w:val="21"/>
                <w:szCs w:val="21"/>
              </w:rPr>
            </w:pPr>
            <w:r>
              <w:rPr>
                <w:rFonts w:hint="eastAsia"/>
                <w:color w:val="auto"/>
                <w:sz w:val="21"/>
                <w:szCs w:val="21"/>
              </w:rPr>
              <w:t>水气比</w:t>
            </w:r>
          </w:p>
        </w:tc>
        <w:tc>
          <w:tcPr>
            <w:tcW w:w="1667" w:type="pct"/>
            <w:vAlign w:val="center"/>
          </w:tcPr>
          <w:p w14:paraId="66E3B320">
            <w:pPr>
              <w:pStyle w:val="55"/>
              <w:spacing w:line="240" w:lineRule="auto"/>
              <w:ind w:firstLine="0" w:firstLineChars="0"/>
              <w:jc w:val="center"/>
              <w:rPr>
                <w:b/>
                <w:bCs/>
                <w:color w:val="auto"/>
                <w:sz w:val="21"/>
                <w:szCs w:val="21"/>
              </w:rPr>
            </w:pPr>
            <w:r>
              <w:rPr>
                <w:rFonts w:hint="eastAsia"/>
                <w:color w:val="auto"/>
                <w:sz w:val="21"/>
                <w:szCs w:val="21"/>
              </w:rPr>
              <w:t>L/m</w:t>
            </w:r>
            <w:r>
              <w:rPr>
                <w:rFonts w:hint="eastAsia"/>
                <w:color w:val="auto"/>
                <w:sz w:val="21"/>
                <w:szCs w:val="21"/>
                <w:vertAlign w:val="superscript"/>
              </w:rPr>
              <w:t>3</w:t>
            </w:r>
          </w:p>
        </w:tc>
        <w:tc>
          <w:tcPr>
            <w:tcW w:w="1667" w:type="pct"/>
            <w:tcBorders>
              <w:right w:val="nil"/>
            </w:tcBorders>
            <w:vAlign w:val="center"/>
          </w:tcPr>
          <w:p w14:paraId="485BC26B">
            <w:pPr>
              <w:pStyle w:val="55"/>
              <w:spacing w:line="240" w:lineRule="auto"/>
              <w:ind w:firstLine="0" w:firstLineChars="0"/>
              <w:jc w:val="center"/>
              <w:rPr>
                <w:b/>
                <w:bCs/>
                <w:color w:val="auto"/>
                <w:sz w:val="21"/>
                <w:szCs w:val="21"/>
              </w:rPr>
            </w:pPr>
            <w:r>
              <w:rPr>
                <w:rFonts w:hint="eastAsia"/>
                <w:color w:val="auto"/>
                <w:sz w:val="21"/>
                <w:szCs w:val="21"/>
              </w:rPr>
              <w:t>1.8</w:t>
            </w:r>
          </w:p>
        </w:tc>
      </w:tr>
      <w:tr w14:paraId="7D40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tcBorders>
            <w:vAlign w:val="center"/>
          </w:tcPr>
          <w:p w14:paraId="0A830346">
            <w:pPr>
              <w:pStyle w:val="55"/>
              <w:spacing w:line="240" w:lineRule="auto"/>
              <w:ind w:firstLine="0" w:firstLineChars="0"/>
              <w:jc w:val="center"/>
              <w:rPr>
                <w:b/>
                <w:bCs/>
                <w:color w:val="auto"/>
                <w:sz w:val="21"/>
                <w:szCs w:val="21"/>
              </w:rPr>
            </w:pPr>
            <w:r>
              <w:rPr>
                <w:rFonts w:hint="eastAsia"/>
                <w:color w:val="auto"/>
                <w:sz w:val="21"/>
                <w:szCs w:val="21"/>
              </w:rPr>
              <w:t>塔体材质</w:t>
            </w:r>
          </w:p>
        </w:tc>
        <w:tc>
          <w:tcPr>
            <w:tcW w:w="1667" w:type="pct"/>
            <w:vAlign w:val="center"/>
          </w:tcPr>
          <w:p w14:paraId="5F215D56">
            <w:pPr>
              <w:pStyle w:val="55"/>
              <w:spacing w:line="240" w:lineRule="auto"/>
              <w:ind w:firstLine="0" w:firstLineChars="0"/>
              <w:jc w:val="center"/>
              <w:rPr>
                <w:b/>
                <w:bCs/>
                <w:color w:val="auto"/>
                <w:sz w:val="21"/>
                <w:szCs w:val="21"/>
              </w:rPr>
            </w:pPr>
            <w:r>
              <w:rPr>
                <w:rFonts w:hint="eastAsia"/>
                <w:color w:val="auto"/>
                <w:sz w:val="21"/>
                <w:szCs w:val="21"/>
              </w:rPr>
              <w:t>/</w:t>
            </w:r>
          </w:p>
        </w:tc>
        <w:tc>
          <w:tcPr>
            <w:tcW w:w="1667" w:type="pct"/>
            <w:tcBorders>
              <w:right w:val="nil"/>
            </w:tcBorders>
            <w:vAlign w:val="center"/>
          </w:tcPr>
          <w:p w14:paraId="1E0692F6">
            <w:pPr>
              <w:pStyle w:val="55"/>
              <w:spacing w:line="240" w:lineRule="auto"/>
              <w:ind w:firstLine="0" w:firstLineChars="0"/>
              <w:jc w:val="center"/>
              <w:rPr>
                <w:b/>
                <w:bCs/>
                <w:color w:val="auto"/>
                <w:sz w:val="21"/>
                <w:szCs w:val="21"/>
              </w:rPr>
            </w:pPr>
            <w:r>
              <w:rPr>
                <w:rFonts w:hint="eastAsia"/>
                <w:color w:val="auto"/>
                <w:sz w:val="21"/>
                <w:szCs w:val="21"/>
              </w:rPr>
              <w:t>FRP</w:t>
            </w:r>
          </w:p>
        </w:tc>
      </w:tr>
      <w:tr w14:paraId="3295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Borders>
              <w:left w:val="nil"/>
              <w:bottom w:val="single" w:color="auto" w:sz="12" w:space="0"/>
            </w:tcBorders>
            <w:vAlign w:val="center"/>
          </w:tcPr>
          <w:p w14:paraId="3621985F">
            <w:pPr>
              <w:pStyle w:val="55"/>
              <w:spacing w:line="240" w:lineRule="auto"/>
              <w:ind w:firstLine="0" w:firstLineChars="0"/>
              <w:jc w:val="center"/>
              <w:rPr>
                <w:b/>
                <w:bCs/>
                <w:color w:val="auto"/>
                <w:sz w:val="21"/>
                <w:szCs w:val="21"/>
              </w:rPr>
            </w:pPr>
            <w:r>
              <w:rPr>
                <w:rFonts w:hint="eastAsia"/>
                <w:color w:val="auto"/>
                <w:sz w:val="21"/>
                <w:szCs w:val="21"/>
              </w:rPr>
              <w:t>填料塔数量</w:t>
            </w:r>
          </w:p>
        </w:tc>
        <w:tc>
          <w:tcPr>
            <w:tcW w:w="1667" w:type="pct"/>
            <w:tcBorders>
              <w:bottom w:val="single" w:color="auto" w:sz="12" w:space="0"/>
            </w:tcBorders>
            <w:vAlign w:val="center"/>
          </w:tcPr>
          <w:p w14:paraId="41DF333A">
            <w:pPr>
              <w:pStyle w:val="55"/>
              <w:spacing w:line="240" w:lineRule="auto"/>
              <w:ind w:firstLine="0" w:firstLineChars="0"/>
              <w:jc w:val="center"/>
              <w:rPr>
                <w:b/>
                <w:bCs/>
                <w:color w:val="auto"/>
                <w:sz w:val="21"/>
                <w:szCs w:val="21"/>
              </w:rPr>
            </w:pPr>
            <w:r>
              <w:rPr>
                <w:rFonts w:hint="eastAsia"/>
                <w:color w:val="auto"/>
                <w:sz w:val="21"/>
                <w:szCs w:val="21"/>
              </w:rPr>
              <w:t>座</w:t>
            </w:r>
          </w:p>
        </w:tc>
        <w:tc>
          <w:tcPr>
            <w:tcW w:w="1667" w:type="pct"/>
            <w:tcBorders>
              <w:bottom w:val="single" w:color="auto" w:sz="12" w:space="0"/>
              <w:right w:val="nil"/>
            </w:tcBorders>
            <w:vAlign w:val="center"/>
          </w:tcPr>
          <w:p w14:paraId="2ABD132F">
            <w:pPr>
              <w:pStyle w:val="55"/>
              <w:spacing w:line="240" w:lineRule="auto"/>
              <w:ind w:firstLine="0" w:firstLineChars="0"/>
              <w:jc w:val="center"/>
              <w:rPr>
                <w:b/>
                <w:bCs/>
                <w:color w:val="auto"/>
                <w:sz w:val="21"/>
                <w:szCs w:val="21"/>
              </w:rPr>
            </w:pPr>
            <w:r>
              <w:rPr>
                <w:rFonts w:hint="eastAsia"/>
                <w:color w:val="auto"/>
                <w:sz w:val="21"/>
                <w:szCs w:val="21"/>
              </w:rPr>
              <w:t>1</w:t>
            </w:r>
          </w:p>
        </w:tc>
      </w:tr>
    </w:tbl>
    <w:p w14:paraId="3704A9F5">
      <w:pPr>
        <w:ind w:firstLine="482"/>
        <w:rPr>
          <w:b/>
          <w:bCs/>
          <w:color w:val="auto"/>
        </w:rPr>
      </w:pPr>
      <w:r>
        <w:rPr>
          <w:rFonts w:hint="eastAsia"/>
          <w:b/>
          <w:bCs/>
          <w:color w:val="auto"/>
        </w:rPr>
        <w:t>（3）</w:t>
      </w:r>
      <w:r>
        <w:rPr>
          <w:b/>
          <w:bCs/>
          <w:color w:val="auto"/>
        </w:rPr>
        <w:t>可行性分析</w:t>
      </w:r>
    </w:p>
    <w:p w14:paraId="48F8F099">
      <w:pPr>
        <w:ind w:firstLine="480"/>
        <w:rPr>
          <w:color w:val="auto"/>
        </w:rPr>
      </w:pPr>
      <w:r>
        <w:rPr>
          <w:color w:val="auto"/>
        </w:rPr>
        <w:t>碱液喷淋是普通酸雾最为常见净化方式，根据《排污许可申请与核发技术规范 电镀工业》（HJ855-2017），酸雾采用碱喷淋为可行技术，且项目采用两段式填料喷淋塔，气液接触效果较好，硫酸雾可达到</w:t>
      </w:r>
      <w:r>
        <w:rPr>
          <w:rFonts w:hint="eastAsia"/>
          <w:color w:val="auto"/>
        </w:rPr>
        <w:t>90</w:t>
      </w:r>
      <w:r>
        <w:rPr>
          <w:color w:val="auto"/>
        </w:rPr>
        <w:t>%以上的设计处理效率，外排废气污染物浓、速率度能满足《电镀污染物排放标准》表5、6中有关新建企业硫酸雾折标后的排放限值要求。考虑到硫酸与NaOH反应过程会释放大量的反应热，建议循环水配置降温设施。运行一段时间后，循环池内水质变差，需定期更换，以保证设备正常运行，更换产生的废水进入污水处理站综合废水处理系统处理。同时应该做好收集和处理设施防腐防锈的措施。</w:t>
      </w:r>
    </w:p>
    <w:p w14:paraId="1132FA32">
      <w:pPr>
        <w:ind w:firstLine="480"/>
        <w:rPr>
          <w:color w:val="auto"/>
        </w:rPr>
      </w:pPr>
      <w:r>
        <w:rPr>
          <w:color w:val="auto"/>
        </w:rPr>
        <w:t>根据《电镀污染防治可行技术指南》（</w:t>
      </w:r>
      <w:r>
        <w:rPr>
          <w:rFonts w:hint="eastAsia"/>
          <w:color w:val="auto"/>
        </w:rPr>
        <w:t>HJ1306-2023</w:t>
      </w:r>
      <w:r>
        <w:rPr>
          <w:color w:val="auto"/>
        </w:rPr>
        <w:t>），</w:t>
      </w:r>
      <w:r>
        <w:rPr>
          <w:rFonts w:hint="eastAsia"/>
          <w:color w:val="auto"/>
        </w:rPr>
        <w:t>推荐碱液吸收法。本项目</w:t>
      </w:r>
      <w:r>
        <w:rPr>
          <w:color w:val="auto"/>
        </w:rPr>
        <w:t>通过喷淋塔中和法处理技术，对硫酸废气的处理效率可达90%。</w:t>
      </w:r>
    </w:p>
    <w:p w14:paraId="6BB5171E">
      <w:pPr>
        <w:ind w:firstLine="482"/>
        <w:rPr>
          <w:color w:val="auto"/>
        </w:rPr>
      </w:pPr>
      <w:r>
        <w:rPr>
          <w:rFonts w:hint="eastAsia"/>
          <w:b/>
          <w:bCs/>
          <w:color w:val="auto"/>
        </w:rPr>
        <w:t>同类项目工程</w:t>
      </w:r>
      <w:r>
        <w:rPr>
          <w:b/>
          <w:bCs/>
          <w:color w:val="auto"/>
        </w:rPr>
        <w:t>案例：</w:t>
      </w:r>
      <w:r>
        <w:rPr>
          <w:color w:val="auto"/>
        </w:rPr>
        <w:t>根据《镇江三鑫铝业有限公司铝型材深加工新建项目环评》，该公司的阳极氧化生产线总产能为8000吨/年，采用的生产工艺与本项目基本一致。该项目废气处理工艺为：酸洗及阳极氧化产生的酸雾废气使用两级碱喷淋塔处理；与本项目处理措施一致。根据企业2021年12月有组织废气监测报告，各污染物排放情况如下：</w:t>
      </w:r>
    </w:p>
    <w:p w14:paraId="1D44DAA1">
      <w:pPr>
        <w:spacing w:line="240" w:lineRule="auto"/>
        <w:ind w:firstLine="0" w:firstLineChars="0"/>
        <w:jc w:val="center"/>
        <w:rPr>
          <w:b/>
          <w:bCs/>
          <w:snapToGrid w:val="0"/>
          <w:color w:val="auto"/>
        </w:rPr>
      </w:pPr>
      <w:r>
        <w:rPr>
          <w:b/>
          <w:bCs/>
          <w:snapToGrid w:val="0"/>
          <w:color w:val="auto"/>
        </w:rPr>
        <w:t>表</w:t>
      </w:r>
      <w:r>
        <w:rPr>
          <w:rFonts w:hint="eastAsia"/>
          <w:b/>
          <w:bCs/>
          <w:snapToGrid w:val="0"/>
          <w:color w:val="auto"/>
        </w:rPr>
        <w:t>7</w:t>
      </w:r>
      <w:r>
        <w:rPr>
          <w:b/>
          <w:bCs/>
          <w:snapToGrid w:val="0"/>
          <w:color w:val="auto"/>
        </w:rPr>
        <w:t>.2.1-</w:t>
      </w:r>
      <w:r>
        <w:rPr>
          <w:rFonts w:hint="eastAsia"/>
          <w:b/>
          <w:bCs/>
          <w:snapToGrid w:val="0"/>
          <w:color w:val="auto"/>
        </w:rPr>
        <w:t xml:space="preserve">2 </w:t>
      </w:r>
      <w:r>
        <w:rPr>
          <w:b/>
          <w:bCs/>
          <w:snapToGrid w:val="0"/>
          <w:color w:val="auto"/>
        </w:rPr>
        <w:t xml:space="preserve"> 有组织废气监测结果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367"/>
        <w:gridCol w:w="1400"/>
        <w:gridCol w:w="652"/>
        <w:gridCol w:w="1379"/>
        <w:gridCol w:w="1181"/>
        <w:gridCol w:w="1226"/>
        <w:gridCol w:w="820"/>
      </w:tblGrid>
      <w:tr w14:paraId="47BD0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1" w:type="pct"/>
            <w:vMerge w:val="restart"/>
            <w:tcBorders>
              <w:tl2br w:val="nil"/>
              <w:tr2bl w:val="nil"/>
            </w:tcBorders>
            <w:vAlign w:val="center"/>
          </w:tcPr>
          <w:p w14:paraId="7584085C">
            <w:pPr>
              <w:spacing w:line="240" w:lineRule="auto"/>
              <w:ind w:firstLine="0" w:firstLineChars="0"/>
              <w:jc w:val="center"/>
              <w:rPr>
                <w:b/>
                <w:color w:val="auto"/>
                <w:sz w:val="21"/>
                <w:szCs w:val="21"/>
              </w:rPr>
            </w:pPr>
            <w:r>
              <w:rPr>
                <w:b/>
                <w:color w:val="auto"/>
                <w:sz w:val="21"/>
                <w:szCs w:val="21"/>
              </w:rPr>
              <w:t>污染物名称</w:t>
            </w:r>
          </w:p>
        </w:tc>
        <w:tc>
          <w:tcPr>
            <w:tcW w:w="1471" w:type="pct"/>
            <w:gridSpan w:val="2"/>
            <w:tcBorders>
              <w:tl2br w:val="nil"/>
              <w:tr2bl w:val="nil"/>
            </w:tcBorders>
            <w:vAlign w:val="center"/>
          </w:tcPr>
          <w:p w14:paraId="6541A243">
            <w:pPr>
              <w:spacing w:line="240" w:lineRule="auto"/>
              <w:ind w:firstLine="0" w:firstLineChars="0"/>
              <w:jc w:val="center"/>
              <w:rPr>
                <w:b/>
                <w:color w:val="auto"/>
                <w:sz w:val="21"/>
                <w:szCs w:val="21"/>
              </w:rPr>
            </w:pPr>
            <w:r>
              <w:rPr>
                <w:b/>
                <w:color w:val="auto"/>
                <w:sz w:val="21"/>
                <w:szCs w:val="21"/>
              </w:rPr>
              <w:t>出口监测结果</w:t>
            </w:r>
          </w:p>
        </w:tc>
        <w:tc>
          <w:tcPr>
            <w:tcW w:w="346" w:type="pct"/>
            <w:vMerge w:val="restart"/>
            <w:tcBorders>
              <w:tl2br w:val="nil"/>
              <w:tr2bl w:val="nil"/>
            </w:tcBorders>
            <w:vAlign w:val="center"/>
          </w:tcPr>
          <w:p w14:paraId="21FAD376">
            <w:pPr>
              <w:spacing w:line="240" w:lineRule="auto"/>
              <w:ind w:firstLine="0" w:firstLineChars="0"/>
              <w:jc w:val="center"/>
              <w:rPr>
                <w:b/>
                <w:color w:val="auto"/>
                <w:sz w:val="21"/>
                <w:szCs w:val="21"/>
              </w:rPr>
            </w:pPr>
            <w:r>
              <w:rPr>
                <w:b/>
                <w:color w:val="auto"/>
                <w:sz w:val="21"/>
                <w:szCs w:val="21"/>
              </w:rPr>
              <w:t>排气筒编号</w:t>
            </w:r>
          </w:p>
        </w:tc>
        <w:tc>
          <w:tcPr>
            <w:tcW w:w="1361" w:type="pct"/>
            <w:gridSpan w:val="2"/>
            <w:tcBorders>
              <w:tl2br w:val="nil"/>
              <w:tr2bl w:val="nil"/>
            </w:tcBorders>
            <w:vAlign w:val="center"/>
          </w:tcPr>
          <w:p w14:paraId="2E8F17A8">
            <w:pPr>
              <w:spacing w:line="240" w:lineRule="auto"/>
              <w:ind w:firstLine="0" w:firstLineChars="0"/>
              <w:jc w:val="center"/>
              <w:rPr>
                <w:b/>
                <w:color w:val="auto"/>
                <w:sz w:val="21"/>
                <w:szCs w:val="21"/>
              </w:rPr>
            </w:pPr>
            <w:r>
              <w:rPr>
                <w:rFonts w:hint="eastAsia"/>
                <w:b/>
                <w:color w:val="auto"/>
                <w:sz w:val="21"/>
                <w:szCs w:val="21"/>
              </w:rPr>
              <w:t>标准限值</w:t>
            </w:r>
          </w:p>
        </w:tc>
        <w:tc>
          <w:tcPr>
            <w:tcW w:w="652" w:type="pct"/>
            <w:vMerge w:val="restart"/>
            <w:tcBorders>
              <w:tl2br w:val="nil"/>
              <w:tr2bl w:val="nil"/>
            </w:tcBorders>
            <w:vAlign w:val="center"/>
          </w:tcPr>
          <w:p w14:paraId="428B4DF1">
            <w:pPr>
              <w:spacing w:line="240" w:lineRule="auto"/>
              <w:ind w:firstLine="0" w:firstLineChars="0"/>
              <w:jc w:val="center"/>
              <w:rPr>
                <w:b/>
                <w:color w:val="auto"/>
                <w:sz w:val="21"/>
                <w:szCs w:val="21"/>
              </w:rPr>
            </w:pPr>
            <w:r>
              <w:rPr>
                <w:rFonts w:hint="eastAsia"/>
                <w:b/>
                <w:color w:val="auto"/>
                <w:sz w:val="21"/>
                <w:szCs w:val="21"/>
              </w:rPr>
              <w:t>是否达标</w:t>
            </w:r>
          </w:p>
        </w:tc>
        <w:tc>
          <w:tcPr>
            <w:tcW w:w="436" w:type="pct"/>
            <w:vMerge w:val="restart"/>
            <w:tcBorders>
              <w:tl2br w:val="nil"/>
              <w:tr2bl w:val="nil"/>
            </w:tcBorders>
            <w:vAlign w:val="center"/>
          </w:tcPr>
          <w:p w14:paraId="7539DC15">
            <w:pPr>
              <w:spacing w:line="240" w:lineRule="auto"/>
              <w:ind w:firstLine="0" w:firstLineChars="0"/>
              <w:jc w:val="center"/>
              <w:rPr>
                <w:b/>
                <w:color w:val="auto"/>
                <w:sz w:val="21"/>
                <w:szCs w:val="21"/>
              </w:rPr>
            </w:pPr>
            <w:r>
              <w:rPr>
                <w:b/>
                <w:color w:val="auto"/>
                <w:sz w:val="21"/>
                <w:szCs w:val="21"/>
              </w:rPr>
              <w:t>监测时间</w:t>
            </w:r>
          </w:p>
        </w:tc>
      </w:tr>
      <w:tr w14:paraId="42AF4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1" w:type="pct"/>
            <w:vMerge w:val="continue"/>
            <w:tcBorders>
              <w:tl2br w:val="nil"/>
              <w:tr2bl w:val="nil"/>
            </w:tcBorders>
            <w:vAlign w:val="center"/>
          </w:tcPr>
          <w:p w14:paraId="38DE0718">
            <w:pPr>
              <w:spacing w:line="240" w:lineRule="auto"/>
              <w:ind w:firstLine="0" w:firstLineChars="0"/>
              <w:jc w:val="center"/>
              <w:rPr>
                <w:b/>
                <w:color w:val="auto"/>
                <w:sz w:val="21"/>
                <w:szCs w:val="21"/>
              </w:rPr>
            </w:pPr>
          </w:p>
        </w:tc>
        <w:tc>
          <w:tcPr>
            <w:tcW w:w="727" w:type="pct"/>
            <w:tcBorders>
              <w:tl2br w:val="nil"/>
              <w:tr2bl w:val="nil"/>
            </w:tcBorders>
            <w:vAlign w:val="center"/>
          </w:tcPr>
          <w:p w14:paraId="38C3067A">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c>
          <w:tcPr>
            <w:tcW w:w="744" w:type="pct"/>
            <w:tcBorders>
              <w:tl2br w:val="nil"/>
              <w:tr2bl w:val="nil"/>
            </w:tcBorders>
            <w:vAlign w:val="center"/>
          </w:tcPr>
          <w:p w14:paraId="2CDC393C">
            <w:pPr>
              <w:spacing w:line="240" w:lineRule="auto"/>
              <w:ind w:firstLine="0" w:firstLineChars="0"/>
              <w:jc w:val="center"/>
              <w:rPr>
                <w:b/>
                <w:color w:val="auto"/>
                <w:sz w:val="21"/>
                <w:szCs w:val="21"/>
              </w:rPr>
            </w:pPr>
            <w:r>
              <w:rPr>
                <w:b/>
                <w:color w:val="auto"/>
                <w:sz w:val="21"/>
                <w:szCs w:val="21"/>
              </w:rPr>
              <w:t>速率（kg/h）</w:t>
            </w:r>
          </w:p>
        </w:tc>
        <w:tc>
          <w:tcPr>
            <w:tcW w:w="346" w:type="pct"/>
            <w:vMerge w:val="continue"/>
            <w:tcBorders>
              <w:tl2br w:val="nil"/>
              <w:tr2bl w:val="nil"/>
            </w:tcBorders>
            <w:vAlign w:val="center"/>
          </w:tcPr>
          <w:p w14:paraId="178C6E25">
            <w:pPr>
              <w:spacing w:line="240" w:lineRule="auto"/>
              <w:ind w:firstLine="0" w:firstLineChars="0"/>
              <w:jc w:val="center"/>
              <w:rPr>
                <w:b/>
                <w:color w:val="auto"/>
                <w:sz w:val="21"/>
                <w:szCs w:val="21"/>
              </w:rPr>
            </w:pPr>
          </w:p>
        </w:tc>
        <w:tc>
          <w:tcPr>
            <w:tcW w:w="733" w:type="pct"/>
            <w:tcBorders>
              <w:tl2br w:val="nil"/>
              <w:tr2bl w:val="nil"/>
            </w:tcBorders>
            <w:vAlign w:val="center"/>
          </w:tcPr>
          <w:p w14:paraId="016A2F87">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c>
          <w:tcPr>
            <w:tcW w:w="628" w:type="pct"/>
            <w:tcBorders>
              <w:tl2br w:val="nil"/>
              <w:tr2bl w:val="nil"/>
            </w:tcBorders>
            <w:vAlign w:val="center"/>
          </w:tcPr>
          <w:p w14:paraId="61ADF65A">
            <w:pPr>
              <w:spacing w:line="240" w:lineRule="auto"/>
              <w:ind w:firstLine="0" w:firstLineChars="0"/>
              <w:jc w:val="center"/>
              <w:rPr>
                <w:b/>
                <w:color w:val="auto"/>
                <w:sz w:val="21"/>
                <w:szCs w:val="21"/>
              </w:rPr>
            </w:pPr>
            <w:r>
              <w:rPr>
                <w:b/>
                <w:color w:val="auto"/>
                <w:sz w:val="21"/>
                <w:szCs w:val="21"/>
              </w:rPr>
              <w:t>速率（kg/h）</w:t>
            </w:r>
          </w:p>
        </w:tc>
        <w:tc>
          <w:tcPr>
            <w:tcW w:w="652" w:type="pct"/>
            <w:vMerge w:val="continue"/>
            <w:tcBorders>
              <w:tl2br w:val="nil"/>
              <w:tr2bl w:val="nil"/>
            </w:tcBorders>
            <w:vAlign w:val="center"/>
          </w:tcPr>
          <w:p w14:paraId="69D0D042">
            <w:pPr>
              <w:spacing w:line="240" w:lineRule="auto"/>
              <w:ind w:firstLine="0" w:firstLineChars="0"/>
              <w:jc w:val="center"/>
              <w:rPr>
                <w:b/>
                <w:color w:val="auto"/>
                <w:sz w:val="21"/>
                <w:szCs w:val="21"/>
              </w:rPr>
            </w:pPr>
          </w:p>
        </w:tc>
        <w:tc>
          <w:tcPr>
            <w:tcW w:w="436" w:type="pct"/>
            <w:vMerge w:val="continue"/>
            <w:tcBorders>
              <w:tl2br w:val="nil"/>
              <w:tr2bl w:val="nil"/>
            </w:tcBorders>
            <w:vAlign w:val="center"/>
          </w:tcPr>
          <w:p w14:paraId="0AD2590F">
            <w:pPr>
              <w:spacing w:line="240" w:lineRule="auto"/>
              <w:ind w:firstLine="0" w:firstLineChars="0"/>
              <w:jc w:val="center"/>
              <w:rPr>
                <w:b/>
                <w:color w:val="auto"/>
                <w:sz w:val="21"/>
                <w:szCs w:val="21"/>
              </w:rPr>
            </w:pPr>
          </w:p>
        </w:tc>
      </w:tr>
      <w:tr w14:paraId="7FF39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5997FE92">
            <w:pPr>
              <w:spacing w:line="240" w:lineRule="auto"/>
              <w:ind w:firstLine="0" w:firstLineChars="0"/>
              <w:jc w:val="center"/>
              <w:rPr>
                <w:color w:val="auto"/>
                <w:sz w:val="21"/>
                <w:szCs w:val="21"/>
              </w:rPr>
            </w:pPr>
            <w:r>
              <w:rPr>
                <w:rFonts w:hint="eastAsia"/>
                <w:color w:val="auto"/>
                <w:sz w:val="21"/>
                <w:szCs w:val="21"/>
              </w:rPr>
              <w:t>硫酸雾</w:t>
            </w:r>
          </w:p>
        </w:tc>
        <w:tc>
          <w:tcPr>
            <w:tcW w:w="727" w:type="pct"/>
            <w:tcBorders>
              <w:tl2br w:val="nil"/>
              <w:tr2bl w:val="nil"/>
            </w:tcBorders>
            <w:vAlign w:val="center"/>
          </w:tcPr>
          <w:p w14:paraId="370E0719">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.344</w:t>
            </w:r>
          </w:p>
        </w:tc>
        <w:tc>
          <w:tcPr>
            <w:tcW w:w="744" w:type="pct"/>
            <w:tcBorders>
              <w:tl2br w:val="nil"/>
              <w:tr2bl w:val="nil"/>
            </w:tcBorders>
            <w:vAlign w:val="center"/>
          </w:tcPr>
          <w:p w14:paraId="30331EAD">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.111</w:t>
            </w:r>
            <w:r>
              <w:rPr>
                <w:rFonts w:hint="eastAsia"/>
                <w:color w:val="auto"/>
                <w:sz w:val="21"/>
                <w:szCs w:val="21"/>
              </w:rPr>
              <w:t>×</w:t>
            </w:r>
            <w:r>
              <w:rPr>
                <w:color w:val="auto"/>
                <w:sz w:val="21"/>
                <w:szCs w:val="21"/>
              </w:rPr>
              <w:t>10</w:t>
            </w:r>
            <w:r>
              <w:rPr>
                <w:color w:val="auto"/>
                <w:sz w:val="21"/>
                <w:szCs w:val="21"/>
                <w:vertAlign w:val="superscript"/>
              </w:rPr>
              <w:t>-3</w:t>
            </w:r>
          </w:p>
        </w:tc>
        <w:tc>
          <w:tcPr>
            <w:tcW w:w="346" w:type="pct"/>
            <w:tcBorders>
              <w:tl2br w:val="nil"/>
              <w:tr2bl w:val="nil"/>
            </w:tcBorders>
            <w:vAlign w:val="center"/>
          </w:tcPr>
          <w:p w14:paraId="342CAF76">
            <w:pPr>
              <w:spacing w:line="240" w:lineRule="auto"/>
              <w:ind w:firstLine="0" w:firstLineChars="0"/>
              <w:jc w:val="center"/>
              <w:rPr>
                <w:color w:val="auto"/>
                <w:sz w:val="21"/>
                <w:szCs w:val="21"/>
              </w:rPr>
            </w:pPr>
            <w:r>
              <w:rPr>
                <w:color w:val="auto"/>
                <w:sz w:val="21"/>
                <w:szCs w:val="21"/>
              </w:rPr>
              <w:t>7#</w:t>
            </w:r>
          </w:p>
        </w:tc>
        <w:tc>
          <w:tcPr>
            <w:tcW w:w="733" w:type="pct"/>
            <w:tcBorders>
              <w:tl2br w:val="nil"/>
              <w:tr2bl w:val="nil"/>
            </w:tcBorders>
            <w:vAlign w:val="center"/>
          </w:tcPr>
          <w:p w14:paraId="315408D3">
            <w:pPr>
              <w:spacing w:line="240" w:lineRule="auto"/>
              <w:ind w:firstLine="0" w:firstLineChars="0"/>
              <w:jc w:val="center"/>
              <w:rPr>
                <w:color w:val="auto"/>
                <w:sz w:val="21"/>
                <w:szCs w:val="21"/>
              </w:rPr>
            </w:pPr>
            <w:r>
              <w:rPr>
                <w:color w:val="auto"/>
                <w:sz w:val="21"/>
                <w:szCs w:val="21"/>
              </w:rPr>
              <w:t>30</w:t>
            </w:r>
          </w:p>
        </w:tc>
        <w:tc>
          <w:tcPr>
            <w:tcW w:w="628" w:type="pct"/>
            <w:tcBorders>
              <w:tl2br w:val="nil"/>
              <w:tr2bl w:val="nil"/>
            </w:tcBorders>
            <w:vAlign w:val="center"/>
          </w:tcPr>
          <w:p w14:paraId="7FE36103">
            <w:pPr>
              <w:spacing w:line="240" w:lineRule="auto"/>
              <w:ind w:firstLine="0" w:firstLineChars="0"/>
              <w:jc w:val="center"/>
              <w:rPr>
                <w:color w:val="auto"/>
                <w:sz w:val="21"/>
                <w:szCs w:val="21"/>
              </w:rPr>
            </w:pPr>
            <w:r>
              <w:rPr>
                <w:color w:val="auto"/>
                <w:sz w:val="21"/>
                <w:szCs w:val="21"/>
              </w:rPr>
              <w:t>/</w:t>
            </w:r>
          </w:p>
        </w:tc>
        <w:tc>
          <w:tcPr>
            <w:tcW w:w="652" w:type="pct"/>
            <w:tcBorders>
              <w:tl2br w:val="nil"/>
              <w:tr2bl w:val="nil"/>
            </w:tcBorders>
            <w:vAlign w:val="center"/>
          </w:tcPr>
          <w:p w14:paraId="510DB28A">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15873B1E">
            <w:pPr>
              <w:spacing w:line="240" w:lineRule="auto"/>
              <w:ind w:firstLine="0" w:firstLineChars="0"/>
              <w:jc w:val="center"/>
              <w:rPr>
                <w:color w:val="auto"/>
                <w:sz w:val="21"/>
                <w:szCs w:val="21"/>
              </w:rPr>
            </w:pPr>
          </w:p>
        </w:tc>
      </w:tr>
    </w:tbl>
    <w:p w14:paraId="4035150A">
      <w:pPr>
        <w:ind w:firstLine="0" w:firstLineChars="0"/>
        <w:rPr>
          <w:color w:val="auto"/>
          <w:sz w:val="20"/>
          <w:szCs w:val="20"/>
        </w:rPr>
      </w:pPr>
      <w:r>
        <w:rPr>
          <w:b/>
          <w:bCs/>
          <w:color w:val="auto"/>
          <w:sz w:val="20"/>
          <w:szCs w:val="20"/>
        </w:rPr>
        <w:t>注：</w:t>
      </w:r>
      <w:r>
        <w:rPr>
          <w:color w:val="auto"/>
          <w:sz w:val="20"/>
          <w:szCs w:val="20"/>
        </w:rPr>
        <w:t>硫酸雾执行《电镀污染物排放标准》（GB 21900-2008）表5排放标准限值。</w:t>
      </w:r>
    </w:p>
    <w:p w14:paraId="4F74F646">
      <w:pPr>
        <w:ind w:firstLine="480"/>
        <w:rPr>
          <w:color w:val="auto"/>
        </w:rPr>
      </w:pPr>
      <w:r>
        <w:rPr>
          <w:color w:val="auto"/>
        </w:rPr>
        <w:t>根据上表监测结果，该项目阳极氧化酸雾处理排气筒排放的硫酸雾排放浓度均可满足《电镀污染物排放标准》（GB21900-2008）表5排放标准限值要求。因此，本项目所选用的废气处理措施达标排放可行。</w:t>
      </w:r>
    </w:p>
    <w:p w14:paraId="5518CCDF">
      <w:pPr>
        <w:ind w:firstLine="482"/>
        <w:rPr>
          <w:b/>
          <w:bCs/>
          <w:color w:val="auto"/>
        </w:rPr>
      </w:pPr>
      <w:r>
        <w:rPr>
          <w:rFonts w:hint="eastAsia"/>
          <w:b/>
          <w:bCs/>
          <w:color w:val="auto"/>
        </w:rPr>
        <w:t>2、</w:t>
      </w:r>
      <w:r>
        <w:rPr>
          <w:b/>
          <w:bCs/>
          <w:color w:val="auto"/>
        </w:rPr>
        <w:t>碱雾废气处理</w:t>
      </w:r>
    </w:p>
    <w:p w14:paraId="33786100">
      <w:pPr>
        <w:ind w:firstLine="482"/>
        <w:rPr>
          <w:b/>
          <w:bCs/>
          <w:color w:val="auto"/>
        </w:rPr>
      </w:pPr>
      <w:r>
        <w:rPr>
          <w:rFonts w:hint="eastAsia"/>
          <w:b/>
          <w:bCs/>
          <w:color w:val="auto"/>
        </w:rPr>
        <w:t>（1）</w:t>
      </w:r>
      <w:r>
        <w:rPr>
          <w:b/>
          <w:bCs/>
          <w:color w:val="auto"/>
        </w:rPr>
        <w:t>废气收集</w:t>
      </w:r>
    </w:p>
    <w:p w14:paraId="2C2E1C9C">
      <w:pPr>
        <w:ind w:firstLine="480"/>
        <w:rPr>
          <w:color w:val="auto"/>
        </w:rPr>
      </w:pPr>
      <w:r>
        <w:rPr>
          <w:color w:val="auto"/>
        </w:rPr>
        <w:t>本项目碱雾废气主要产生于阳极氧化碱蚀</w:t>
      </w:r>
      <w:r>
        <w:rPr>
          <w:rFonts w:hint="eastAsia"/>
          <w:color w:val="auto"/>
        </w:rPr>
        <w:t>和煲模</w:t>
      </w:r>
      <w:r>
        <w:rPr>
          <w:color w:val="auto"/>
        </w:rPr>
        <w:t>过程，本项目针对阳极氧化</w:t>
      </w:r>
      <w:r>
        <w:rPr>
          <w:rFonts w:hint="eastAsia"/>
          <w:color w:val="auto"/>
        </w:rPr>
        <w:t>和煲模</w:t>
      </w:r>
      <w:r>
        <w:rPr>
          <w:color w:val="auto"/>
        </w:rPr>
        <w:t>碱蚀槽采取顶吸+侧吸吸风罩，对阳极氧化过程中产生的碱雾废气进行收集，确保收集效率不低于</w:t>
      </w:r>
      <w:r>
        <w:rPr>
          <w:rFonts w:hint="eastAsia"/>
          <w:color w:val="auto"/>
        </w:rPr>
        <w:t>90</w:t>
      </w:r>
      <w:r>
        <w:rPr>
          <w:color w:val="auto"/>
        </w:rPr>
        <w:t>%。</w:t>
      </w:r>
    </w:p>
    <w:p w14:paraId="000C5DD3">
      <w:pPr>
        <w:ind w:firstLine="480"/>
        <w:rPr>
          <w:color w:val="auto"/>
        </w:rPr>
      </w:pPr>
      <w:r>
        <w:rPr>
          <w:rFonts w:hint="eastAsia"/>
          <w:color w:val="auto"/>
        </w:rPr>
        <w:t>碱洗室具体设计如下：</w:t>
      </w:r>
    </w:p>
    <w:p w14:paraId="75781043">
      <w:pPr>
        <w:ind w:firstLine="0" w:firstLineChars="0"/>
        <w:jc w:val="center"/>
        <w:rPr>
          <w:color w:val="auto"/>
        </w:rPr>
      </w:pPr>
      <w:r>
        <w:rPr>
          <w:color w:val="auto"/>
        </w:rPr>
        <w:drawing>
          <wp:inline distT="0" distB="0" distL="114300" distR="114300">
            <wp:extent cx="4215130" cy="2502535"/>
            <wp:effectExtent l="0" t="0" r="13970" b="12065"/>
            <wp:docPr id="13" name="图片 2" descr="模具碱洗流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模具碱洗流程2.jpg"/>
                    <pic:cNvPicPr>
                      <a:picLocks noChangeAspect="1"/>
                    </pic:cNvPicPr>
                  </pic:nvPicPr>
                  <pic:blipFill>
                    <a:blip r:embed="rId63"/>
                    <a:srcRect l="3917" t="15807" r="6636" b="9055"/>
                    <a:stretch>
                      <a:fillRect/>
                    </a:stretch>
                  </pic:blipFill>
                  <pic:spPr>
                    <a:xfrm>
                      <a:off x="0" y="0"/>
                      <a:ext cx="4215130" cy="2502535"/>
                    </a:xfrm>
                    <a:prstGeom prst="rect">
                      <a:avLst/>
                    </a:prstGeom>
                    <a:noFill/>
                    <a:ln>
                      <a:noFill/>
                    </a:ln>
                  </pic:spPr>
                </pic:pic>
              </a:graphicData>
            </a:graphic>
          </wp:inline>
        </w:drawing>
      </w:r>
    </w:p>
    <w:p w14:paraId="1A14C56B">
      <w:pPr>
        <w:ind w:firstLine="480"/>
        <w:rPr>
          <w:color w:val="auto"/>
        </w:rPr>
      </w:pPr>
      <w:r>
        <w:rPr>
          <w:rFonts w:hint="eastAsia"/>
          <w:color w:val="auto"/>
        </w:rPr>
        <w:t>当槽内进行清洗时，废气盖通过滑道进行关闭，设备运行时处于密闭状态下，废气收集效率较高，当需要补加模具或检查模具需要打开模具碱洗室时，碱洗室中的碱水排到废水储罐中暂存，模具补加（检查）完成后关上碱洗室上盖，碱水回到模具碱洗室。</w:t>
      </w:r>
    </w:p>
    <w:p w14:paraId="29E64A5A">
      <w:pPr>
        <w:ind w:firstLine="482"/>
        <w:rPr>
          <w:b/>
          <w:bCs/>
          <w:color w:val="auto"/>
        </w:rPr>
      </w:pPr>
      <w:r>
        <w:rPr>
          <w:rFonts w:hint="eastAsia"/>
          <w:b/>
          <w:bCs/>
          <w:color w:val="auto"/>
        </w:rPr>
        <w:t>（2）</w:t>
      </w:r>
      <w:r>
        <w:rPr>
          <w:b/>
          <w:bCs/>
          <w:color w:val="auto"/>
        </w:rPr>
        <w:t>处理工艺</w:t>
      </w:r>
    </w:p>
    <w:p w14:paraId="02BF262E">
      <w:pPr>
        <w:ind w:firstLine="480"/>
        <w:rPr>
          <w:color w:val="auto"/>
        </w:rPr>
      </w:pPr>
      <w:r>
        <w:rPr>
          <w:color w:val="auto"/>
        </w:rPr>
        <w:t>①净化原理</w:t>
      </w:r>
    </w:p>
    <w:p w14:paraId="7A28711F">
      <w:pPr>
        <w:ind w:firstLine="480"/>
        <w:rPr>
          <w:color w:val="auto"/>
        </w:rPr>
      </w:pPr>
      <w:r>
        <w:rPr>
          <w:color w:val="auto"/>
        </w:rPr>
        <w:t>碱雾一般采用</w:t>
      </w:r>
      <w:r>
        <w:rPr>
          <w:rFonts w:hint="eastAsia"/>
          <w:color w:val="auto"/>
        </w:rPr>
        <w:t>水</w:t>
      </w:r>
      <w:r>
        <w:rPr>
          <w:color w:val="auto"/>
        </w:rPr>
        <w:t>溶液中和处理。</w:t>
      </w:r>
    </w:p>
    <w:p w14:paraId="7C88BE3A">
      <w:pPr>
        <w:ind w:firstLine="480"/>
        <w:rPr>
          <w:color w:val="auto"/>
        </w:rPr>
      </w:pPr>
      <w:r>
        <w:rPr>
          <w:color w:val="auto"/>
        </w:rPr>
        <w:t>②尾气净化</w:t>
      </w:r>
    </w:p>
    <w:p w14:paraId="24F6B3AE">
      <w:pPr>
        <w:ind w:firstLine="480"/>
        <w:rPr>
          <w:color w:val="auto"/>
        </w:rPr>
      </w:pPr>
      <w:r>
        <w:rPr>
          <w:color w:val="auto"/>
        </w:rPr>
        <w:t>项目采用两级中和</w:t>
      </w:r>
      <w:r>
        <w:rPr>
          <w:rFonts w:hint="eastAsia"/>
          <w:color w:val="auto"/>
        </w:rPr>
        <w:t>水</w:t>
      </w:r>
      <w:r>
        <w:rPr>
          <w:color w:val="auto"/>
        </w:rPr>
        <w:t>喷淋塔对碱雾进行处理，净化装置采用填料喷淋塔，以</w:t>
      </w:r>
      <w:r>
        <w:rPr>
          <w:rFonts w:hint="eastAsia"/>
          <w:color w:val="auto"/>
        </w:rPr>
        <w:t>清水</w:t>
      </w:r>
      <w:r>
        <w:rPr>
          <w:color w:val="auto"/>
        </w:rPr>
        <w:t>溶液作为吸收液，</w:t>
      </w:r>
      <w:r>
        <w:rPr>
          <w:rFonts w:hint="eastAsia"/>
          <w:color w:val="auto"/>
        </w:rPr>
        <w:t>清水</w:t>
      </w:r>
      <w:r>
        <w:rPr>
          <w:color w:val="auto"/>
        </w:rPr>
        <w:t>循环使用，当达到一定浓度时，添加新</w:t>
      </w:r>
      <w:r>
        <w:rPr>
          <w:rFonts w:hint="eastAsia"/>
          <w:color w:val="auto"/>
        </w:rPr>
        <w:t>水</w:t>
      </w:r>
      <w:r>
        <w:rPr>
          <w:color w:val="auto"/>
        </w:rPr>
        <w:t>，碱雾设计处理效率＞9</w:t>
      </w:r>
      <w:r>
        <w:rPr>
          <w:rFonts w:hint="eastAsia"/>
          <w:color w:val="auto"/>
        </w:rPr>
        <w:t>0</w:t>
      </w:r>
      <w:r>
        <w:rPr>
          <w:color w:val="auto"/>
        </w:rPr>
        <w:t>%。喷淋塔原理为：普通碱雾经风管由喷淋塔底部引入，废气由下往上通过二段填料层，在每段填料层，碱雾与</w:t>
      </w:r>
      <w:r>
        <w:rPr>
          <w:rFonts w:hint="eastAsia"/>
          <w:color w:val="auto"/>
        </w:rPr>
        <w:t>清水</w:t>
      </w:r>
      <w:r>
        <w:rPr>
          <w:color w:val="auto"/>
        </w:rPr>
        <w:t>进行气液两相充分接触吸收中和反应，废气经过净化后再经除雾板脱除水雾由</w:t>
      </w:r>
      <w:r>
        <w:rPr>
          <w:rFonts w:hint="eastAsia"/>
          <w:color w:val="auto"/>
        </w:rPr>
        <w:t>30</w:t>
      </w:r>
      <w:r>
        <w:rPr>
          <w:color w:val="auto"/>
        </w:rPr>
        <w:t>m高排气筒排入大气。吸收液在塔底经水泵增压后在塔顶喷淋而下，最后回流至塔底循环使用，循环水槽设置pH</w:t>
      </w:r>
      <w:r>
        <w:rPr>
          <w:rFonts w:hint="eastAsia"/>
          <w:color w:val="auto"/>
        </w:rPr>
        <w:t>联锁</w:t>
      </w:r>
      <w:r>
        <w:rPr>
          <w:color w:val="auto"/>
        </w:rPr>
        <w:t>自动加药，自动控制pH值。</w:t>
      </w:r>
    </w:p>
    <w:p w14:paraId="2757D063">
      <w:pPr>
        <w:spacing w:line="240" w:lineRule="auto"/>
        <w:ind w:firstLine="0" w:firstLineChars="0"/>
        <w:jc w:val="center"/>
        <w:rPr>
          <w:b/>
          <w:bCs/>
          <w:color w:val="auto"/>
        </w:rPr>
      </w:pPr>
      <w:r>
        <w:rPr>
          <w:rFonts w:hint="eastAsia"/>
          <w:b/>
          <w:bCs/>
          <w:color w:val="auto"/>
        </w:rPr>
        <w:t>表7.2.1-1  项目水喷淋塔技术参数一览表</w:t>
      </w:r>
    </w:p>
    <w:tbl>
      <w:tblPr>
        <w:tblStyle w:val="8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2350"/>
        <w:gridCol w:w="2350"/>
        <w:gridCol w:w="2352"/>
      </w:tblGrid>
      <w:tr w14:paraId="0F66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top w:val="single" w:color="auto" w:sz="12" w:space="0"/>
              <w:left w:val="nil"/>
            </w:tcBorders>
            <w:vAlign w:val="center"/>
          </w:tcPr>
          <w:p w14:paraId="6EE225F3">
            <w:pPr>
              <w:pStyle w:val="55"/>
              <w:spacing w:line="240" w:lineRule="auto"/>
              <w:ind w:firstLine="0" w:firstLineChars="0"/>
              <w:jc w:val="center"/>
              <w:rPr>
                <w:b/>
                <w:bCs/>
                <w:color w:val="auto"/>
                <w:sz w:val="21"/>
                <w:szCs w:val="21"/>
              </w:rPr>
            </w:pPr>
            <w:r>
              <w:rPr>
                <w:rFonts w:hint="eastAsia"/>
                <w:b/>
                <w:bCs/>
                <w:color w:val="auto"/>
                <w:sz w:val="21"/>
                <w:szCs w:val="21"/>
              </w:rPr>
              <w:t>项目</w:t>
            </w:r>
          </w:p>
        </w:tc>
        <w:tc>
          <w:tcPr>
            <w:tcW w:w="1250" w:type="pct"/>
            <w:tcBorders>
              <w:top w:val="single" w:color="auto" w:sz="12" w:space="0"/>
            </w:tcBorders>
            <w:vAlign w:val="center"/>
          </w:tcPr>
          <w:p w14:paraId="74D6E01F">
            <w:pPr>
              <w:pStyle w:val="55"/>
              <w:spacing w:line="240" w:lineRule="auto"/>
              <w:ind w:firstLine="0" w:firstLineChars="0"/>
              <w:jc w:val="center"/>
              <w:rPr>
                <w:b/>
                <w:bCs/>
                <w:color w:val="auto"/>
                <w:sz w:val="21"/>
                <w:szCs w:val="21"/>
              </w:rPr>
            </w:pPr>
            <w:r>
              <w:rPr>
                <w:rFonts w:hint="eastAsia"/>
                <w:b/>
                <w:bCs/>
                <w:color w:val="auto"/>
                <w:sz w:val="21"/>
                <w:szCs w:val="21"/>
              </w:rPr>
              <w:t>单位</w:t>
            </w:r>
          </w:p>
        </w:tc>
        <w:tc>
          <w:tcPr>
            <w:tcW w:w="2501" w:type="pct"/>
            <w:gridSpan w:val="2"/>
            <w:tcBorders>
              <w:top w:val="single" w:color="auto" w:sz="12" w:space="0"/>
              <w:right w:val="nil"/>
            </w:tcBorders>
          </w:tcPr>
          <w:p w14:paraId="72610769">
            <w:pPr>
              <w:spacing w:line="240" w:lineRule="auto"/>
              <w:ind w:firstLine="0" w:firstLineChars="0"/>
              <w:jc w:val="center"/>
              <w:rPr>
                <w:b/>
                <w:bCs/>
                <w:color w:val="auto"/>
                <w:sz w:val="21"/>
                <w:szCs w:val="21"/>
              </w:rPr>
            </w:pPr>
            <w:r>
              <w:rPr>
                <w:rFonts w:hint="eastAsia"/>
                <w:b/>
                <w:bCs/>
                <w:color w:val="auto"/>
                <w:sz w:val="21"/>
                <w:szCs w:val="21"/>
              </w:rPr>
              <w:t>技术参数</w:t>
            </w:r>
          </w:p>
        </w:tc>
      </w:tr>
      <w:tr w14:paraId="25B2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7" w:type="pct"/>
            <w:tcBorders>
              <w:left w:val="nil"/>
            </w:tcBorders>
            <w:vAlign w:val="center"/>
          </w:tcPr>
          <w:p w14:paraId="5EFD5369">
            <w:pPr>
              <w:pStyle w:val="55"/>
              <w:spacing w:line="240" w:lineRule="auto"/>
              <w:ind w:firstLine="0" w:firstLineChars="0"/>
              <w:jc w:val="center"/>
              <w:rPr>
                <w:b/>
                <w:bCs/>
                <w:color w:val="auto"/>
                <w:sz w:val="21"/>
                <w:szCs w:val="21"/>
              </w:rPr>
            </w:pPr>
            <w:r>
              <w:rPr>
                <w:rFonts w:hint="eastAsia"/>
                <w:color w:val="auto"/>
                <w:sz w:val="21"/>
                <w:szCs w:val="21"/>
              </w:rPr>
              <w:t>设计处理能力</w:t>
            </w:r>
          </w:p>
        </w:tc>
        <w:tc>
          <w:tcPr>
            <w:tcW w:w="1250" w:type="pct"/>
            <w:vAlign w:val="center"/>
          </w:tcPr>
          <w:p w14:paraId="3775BDF5">
            <w:pPr>
              <w:pStyle w:val="55"/>
              <w:spacing w:line="240" w:lineRule="auto"/>
              <w:ind w:firstLine="0" w:firstLineChars="0"/>
              <w:jc w:val="center"/>
              <w:rPr>
                <w:b/>
                <w:bCs/>
                <w:color w:val="auto"/>
                <w:sz w:val="21"/>
                <w:szCs w:val="21"/>
              </w:rPr>
            </w:pPr>
            <w:r>
              <w:rPr>
                <w:rFonts w:hint="eastAsia"/>
                <w:color w:val="auto"/>
                <w:sz w:val="21"/>
                <w:szCs w:val="21"/>
              </w:rPr>
              <w:t>m</w:t>
            </w:r>
            <w:r>
              <w:rPr>
                <w:rFonts w:hint="eastAsia"/>
                <w:color w:val="auto"/>
                <w:sz w:val="21"/>
                <w:szCs w:val="21"/>
                <w:vertAlign w:val="superscript"/>
              </w:rPr>
              <w:t>3</w:t>
            </w:r>
            <w:r>
              <w:rPr>
                <w:rFonts w:hint="eastAsia"/>
                <w:color w:val="auto"/>
                <w:sz w:val="21"/>
                <w:szCs w:val="21"/>
              </w:rPr>
              <w:t>/h</w:t>
            </w:r>
          </w:p>
        </w:tc>
        <w:tc>
          <w:tcPr>
            <w:tcW w:w="1250" w:type="pct"/>
            <w:tcBorders>
              <w:right w:val="nil"/>
            </w:tcBorders>
            <w:vAlign w:val="center"/>
          </w:tcPr>
          <w:p w14:paraId="3B053F8A">
            <w:pPr>
              <w:pStyle w:val="55"/>
              <w:spacing w:line="240" w:lineRule="auto"/>
              <w:ind w:firstLine="0" w:firstLineChars="0"/>
              <w:jc w:val="center"/>
              <w:rPr>
                <w:b/>
                <w:bCs/>
                <w:color w:val="auto"/>
                <w:sz w:val="21"/>
                <w:szCs w:val="21"/>
              </w:rPr>
            </w:pPr>
            <w:r>
              <w:rPr>
                <w:rFonts w:hint="eastAsia"/>
                <w:color w:val="auto"/>
                <w:sz w:val="21"/>
                <w:szCs w:val="21"/>
              </w:rPr>
              <w:t>60000</w:t>
            </w:r>
          </w:p>
        </w:tc>
        <w:tc>
          <w:tcPr>
            <w:tcW w:w="1251" w:type="pct"/>
            <w:tcBorders>
              <w:right w:val="nil"/>
            </w:tcBorders>
            <w:vAlign w:val="center"/>
          </w:tcPr>
          <w:p w14:paraId="53635B50">
            <w:pPr>
              <w:pStyle w:val="55"/>
              <w:spacing w:line="240" w:lineRule="auto"/>
              <w:ind w:firstLine="0" w:firstLineChars="0"/>
              <w:jc w:val="center"/>
              <w:rPr>
                <w:color w:val="auto"/>
                <w:sz w:val="21"/>
                <w:szCs w:val="21"/>
              </w:rPr>
            </w:pPr>
            <w:r>
              <w:rPr>
                <w:rFonts w:hint="eastAsia"/>
                <w:color w:val="auto"/>
                <w:sz w:val="21"/>
                <w:szCs w:val="21"/>
              </w:rPr>
              <w:t>15000</w:t>
            </w:r>
          </w:p>
        </w:tc>
      </w:tr>
      <w:tr w14:paraId="1ADE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5A27EC3A">
            <w:pPr>
              <w:pStyle w:val="55"/>
              <w:spacing w:line="240" w:lineRule="auto"/>
              <w:ind w:firstLine="0" w:firstLineChars="0"/>
              <w:jc w:val="center"/>
              <w:rPr>
                <w:b/>
                <w:bCs/>
                <w:color w:val="auto"/>
                <w:sz w:val="21"/>
                <w:szCs w:val="21"/>
              </w:rPr>
            </w:pPr>
            <w:r>
              <w:rPr>
                <w:rFonts w:hint="eastAsia"/>
                <w:color w:val="auto"/>
                <w:sz w:val="21"/>
                <w:szCs w:val="21"/>
              </w:rPr>
              <w:t>喷淋塔结构</w:t>
            </w:r>
          </w:p>
        </w:tc>
        <w:tc>
          <w:tcPr>
            <w:tcW w:w="1250" w:type="pct"/>
            <w:vAlign w:val="center"/>
          </w:tcPr>
          <w:p w14:paraId="489E6016">
            <w:pPr>
              <w:pStyle w:val="55"/>
              <w:spacing w:line="240" w:lineRule="auto"/>
              <w:ind w:firstLine="0" w:firstLineChars="0"/>
              <w:jc w:val="center"/>
              <w:rPr>
                <w:b/>
                <w:bCs/>
                <w:color w:val="auto"/>
                <w:sz w:val="21"/>
                <w:szCs w:val="21"/>
              </w:rPr>
            </w:pPr>
            <w:r>
              <w:rPr>
                <w:rFonts w:hint="eastAsia"/>
                <w:color w:val="auto"/>
                <w:sz w:val="21"/>
                <w:szCs w:val="21"/>
              </w:rPr>
              <w:t>/</w:t>
            </w:r>
          </w:p>
        </w:tc>
        <w:tc>
          <w:tcPr>
            <w:tcW w:w="1250" w:type="pct"/>
            <w:tcBorders>
              <w:right w:val="nil"/>
            </w:tcBorders>
            <w:vAlign w:val="center"/>
          </w:tcPr>
          <w:p w14:paraId="7ED8FEDC">
            <w:pPr>
              <w:pStyle w:val="55"/>
              <w:spacing w:line="240" w:lineRule="auto"/>
              <w:ind w:firstLine="0" w:firstLineChars="0"/>
              <w:jc w:val="center"/>
              <w:rPr>
                <w:b/>
                <w:bCs/>
                <w:color w:val="auto"/>
                <w:sz w:val="21"/>
                <w:szCs w:val="21"/>
              </w:rPr>
            </w:pPr>
            <w:r>
              <w:rPr>
                <w:rFonts w:hint="eastAsia"/>
                <w:color w:val="auto"/>
                <w:sz w:val="21"/>
                <w:szCs w:val="21"/>
              </w:rPr>
              <w:t>多层填料</w:t>
            </w:r>
          </w:p>
        </w:tc>
        <w:tc>
          <w:tcPr>
            <w:tcW w:w="1251" w:type="pct"/>
            <w:tcBorders>
              <w:right w:val="nil"/>
            </w:tcBorders>
            <w:shd w:val="clear" w:color="auto" w:fill="auto"/>
            <w:vAlign w:val="center"/>
          </w:tcPr>
          <w:p w14:paraId="65B63A13">
            <w:pPr>
              <w:pStyle w:val="55"/>
              <w:spacing w:line="240" w:lineRule="auto"/>
              <w:ind w:firstLine="0" w:firstLineChars="0"/>
              <w:jc w:val="center"/>
              <w:rPr>
                <w:b/>
                <w:bCs/>
                <w:color w:val="auto"/>
                <w:sz w:val="21"/>
                <w:szCs w:val="21"/>
              </w:rPr>
            </w:pPr>
            <w:r>
              <w:rPr>
                <w:rFonts w:hint="eastAsia"/>
                <w:color w:val="auto"/>
                <w:sz w:val="21"/>
                <w:szCs w:val="21"/>
              </w:rPr>
              <w:t>多层填料</w:t>
            </w:r>
          </w:p>
        </w:tc>
      </w:tr>
      <w:tr w14:paraId="3405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74D17DC5">
            <w:pPr>
              <w:pStyle w:val="55"/>
              <w:spacing w:line="240" w:lineRule="auto"/>
              <w:ind w:firstLine="0" w:firstLineChars="0"/>
              <w:jc w:val="center"/>
              <w:rPr>
                <w:b/>
                <w:bCs/>
                <w:color w:val="auto"/>
                <w:sz w:val="21"/>
                <w:szCs w:val="21"/>
              </w:rPr>
            </w:pPr>
            <w:r>
              <w:rPr>
                <w:rFonts w:hint="eastAsia"/>
                <w:color w:val="auto"/>
                <w:sz w:val="21"/>
                <w:szCs w:val="21"/>
              </w:rPr>
              <w:t>吸收液</w:t>
            </w:r>
          </w:p>
        </w:tc>
        <w:tc>
          <w:tcPr>
            <w:tcW w:w="1250" w:type="pct"/>
            <w:vAlign w:val="center"/>
          </w:tcPr>
          <w:p w14:paraId="23D2F12B">
            <w:pPr>
              <w:pStyle w:val="55"/>
              <w:spacing w:line="240" w:lineRule="auto"/>
              <w:ind w:firstLine="0" w:firstLineChars="0"/>
              <w:jc w:val="center"/>
              <w:rPr>
                <w:b/>
                <w:bCs/>
                <w:color w:val="auto"/>
                <w:sz w:val="21"/>
                <w:szCs w:val="21"/>
              </w:rPr>
            </w:pPr>
            <w:r>
              <w:rPr>
                <w:rFonts w:hint="eastAsia"/>
                <w:color w:val="auto"/>
                <w:sz w:val="21"/>
                <w:szCs w:val="21"/>
              </w:rPr>
              <w:t>/</w:t>
            </w:r>
          </w:p>
        </w:tc>
        <w:tc>
          <w:tcPr>
            <w:tcW w:w="1250" w:type="pct"/>
            <w:tcBorders>
              <w:right w:val="nil"/>
            </w:tcBorders>
            <w:vAlign w:val="center"/>
          </w:tcPr>
          <w:p w14:paraId="6E7AC92C">
            <w:pPr>
              <w:pStyle w:val="55"/>
              <w:spacing w:line="240" w:lineRule="auto"/>
              <w:ind w:firstLine="0" w:firstLineChars="0"/>
              <w:jc w:val="center"/>
              <w:rPr>
                <w:color w:val="auto"/>
                <w:sz w:val="21"/>
                <w:szCs w:val="21"/>
              </w:rPr>
            </w:pPr>
            <w:r>
              <w:rPr>
                <w:rFonts w:hint="eastAsia"/>
                <w:color w:val="auto"/>
                <w:sz w:val="21"/>
                <w:szCs w:val="21"/>
              </w:rPr>
              <w:t>清水</w:t>
            </w:r>
          </w:p>
        </w:tc>
        <w:tc>
          <w:tcPr>
            <w:tcW w:w="1251" w:type="pct"/>
            <w:tcBorders>
              <w:right w:val="nil"/>
            </w:tcBorders>
            <w:shd w:val="clear" w:color="auto" w:fill="auto"/>
            <w:vAlign w:val="center"/>
          </w:tcPr>
          <w:p w14:paraId="778492EB">
            <w:pPr>
              <w:pStyle w:val="55"/>
              <w:spacing w:line="240" w:lineRule="auto"/>
              <w:ind w:firstLine="0" w:firstLineChars="0"/>
              <w:jc w:val="center"/>
              <w:rPr>
                <w:color w:val="auto"/>
                <w:sz w:val="21"/>
                <w:szCs w:val="21"/>
              </w:rPr>
            </w:pPr>
            <w:r>
              <w:rPr>
                <w:rFonts w:hint="eastAsia"/>
                <w:color w:val="auto"/>
                <w:sz w:val="21"/>
                <w:szCs w:val="21"/>
              </w:rPr>
              <w:t>清水</w:t>
            </w:r>
          </w:p>
        </w:tc>
      </w:tr>
      <w:tr w14:paraId="3ABF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48277C5B">
            <w:pPr>
              <w:pStyle w:val="55"/>
              <w:spacing w:line="240" w:lineRule="auto"/>
              <w:ind w:firstLine="0" w:firstLineChars="0"/>
              <w:jc w:val="center"/>
              <w:rPr>
                <w:b/>
                <w:bCs/>
                <w:color w:val="auto"/>
                <w:sz w:val="21"/>
                <w:szCs w:val="21"/>
              </w:rPr>
            </w:pPr>
            <w:r>
              <w:rPr>
                <w:rFonts w:hint="eastAsia"/>
                <w:color w:val="auto"/>
                <w:sz w:val="21"/>
                <w:szCs w:val="21"/>
              </w:rPr>
              <w:t>填料类型</w:t>
            </w:r>
          </w:p>
        </w:tc>
        <w:tc>
          <w:tcPr>
            <w:tcW w:w="1250" w:type="pct"/>
            <w:vAlign w:val="center"/>
          </w:tcPr>
          <w:p w14:paraId="2DDA9569">
            <w:pPr>
              <w:pStyle w:val="55"/>
              <w:spacing w:line="240" w:lineRule="auto"/>
              <w:ind w:firstLine="0" w:firstLineChars="0"/>
              <w:jc w:val="center"/>
              <w:rPr>
                <w:b/>
                <w:bCs/>
                <w:color w:val="auto"/>
                <w:sz w:val="21"/>
                <w:szCs w:val="21"/>
              </w:rPr>
            </w:pPr>
            <w:r>
              <w:rPr>
                <w:rFonts w:hint="eastAsia"/>
                <w:color w:val="auto"/>
                <w:sz w:val="21"/>
                <w:szCs w:val="21"/>
              </w:rPr>
              <w:t>/</w:t>
            </w:r>
          </w:p>
        </w:tc>
        <w:tc>
          <w:tcPr>
            <w:tcW w:w="1250" w:type="pct"/>
            <w:tcBorders>
              <w:right w:val="nil"/>
            </w:tcBorders>
            <w:vAlign w:val="center"/>
          </w:tcPr>
          <w:p w14:paraId="35A2BBA1">
            <w:pPr>
              <w:pStyle w:val="55"/>
              <w:spacing w:line="240" w:lineRule="auto"/>
              <w:ind w:firstLine="0" w:firstLineChars="0"/>
              <w:jc w:val="center"/>
              <w:rPr>
                <w:color w:val="auto"/>
                <w:sz w:val="21"/>
                <w:szCs w:val="21"/>
              </w:rPr>
            </w:pPr>
            <w:r>
              <w:rPr>
                <w:rFonts w:hint="eastAsia"/>
                <w:color w:val="auto"/>
                <w:sz w:val="21"/>
                <w:szCs w:val="21"/>
              </w:rPr>
              <w:t>鲍尔环</w:t>
            </w:r>
          </w:p>
        </w:tc>
        <w:tc>
          <w:tcPr>
            <w:tcW w:w="1251" w:type="pct"/>
            <w:tcBorders>
              <w:right w:val="nil"/>
            </w:tcBorders>
            <w:shd w:val="clear" w:color="auto" w:fill="auto"/>
            <w:vAlign w:val="center"/>
          </w:tcPr>
          <w:p w14:paraId="3F04EB33">
            <w:pPr>
              <w:pStyle w:val="55"/>
              <w:spacing w:line="240" w:lineRule="auto"/>
              <w:ind w:firstLine="0" w:firstLineChars="0"/>
              <w:jc w:val="center"/>
              <w:rPr>
                <w:color w:val="auto"/>
                <w:sz w:val="21"/>
                <w:szCs w:val="21"/>
              </w:rPr>
            </w:pPr>
            <w:r>
              <w:rPr>
                <w:rFonts w:hint="eastAsia"/>
                <w:color w:val="auto"/>
                <w:sz w:val="21"/>
                <w:szCs w:val="21"/>
              </w:rPr>
              <w:t>鲍尔环</w:t>
            </w:r>
          </w:p>
        </w:tc>
      </w:tr>
      <w:tr w14:paraId="6CD6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6F7F1B17">
            <w:pPr>
              <w:pStyle w:val="55"/>
              <w:spacing w:line="240" w:lineRule="auto"/>
              <w:ind w:firstLine="0" w:firstLineChars="0"/>
              <w:jc w:val="center"/>
              <w:rPr>
                <w:b/>
                <w:bCs/>
                <w:color w:val="auto"/>
                <w:sz w:val="21"/>
                <w:szCs w:val="21"/>
              </w:rPr>
            </w:pPr>
            <w:r>
              <w:rPr>
                <w:rFonts w:hint="eastAsia"/>
                <w:color w:val="auto"/>
                <w:sz w:val="21"/>
                <w:szCs w:val="21"/>
              </w:rPr>
              <w:t>填料塔内径</w:t>
            </w:r>
          </w:p>
        </w:tc>
        <w:tc>
          <w:tcPr>
            <w:tcW w:w="1250" w:type="pct"/>
            <w:vAlign w:val="center"/>
          </w:tcPr>
          <w:p w14:paraId="7A3F3F4F">
            <w:pPr>
              <w:pStyle w:val="55"/>
              <w:spacing w:line="240" w:lineRule="auto"/>
              <w:ind w:firstLine="0" w:firstLineChars="0"/>
              <w:jc w:val="center"/>
              <w:rPr>
                <w:b/>
                <w:bCs/>
                <w:color w:val="auto"/>
                <w:sz w:val="21"/>
                <w:szCs w:val="21"/>
              </w:rPr>
            </w:pPr>
            <w:r>
              <w:rPr>
                <w:rFonts w:hint="eastAsia"/>
                <w:color w:val="auto"/>
                <w:sz w:val="21"/>
                <w:szCs w:val="21"/>
              </w:rPr>
              <w:t>m</w:t>
            </w:r>
          </w:p>
        </w:tc>
        <w:tc>
          <w:tcPr>
            <w:tcW w:w="1250" w:type="pct"/>
            <w:tcBorders>
              <w:right w:val="nil"/>
            </w:tcBorders>
            <w:vAlign w:val="center"/>
          </w:tcPr>
          <w:p w14:paraId="676CA093">
            <w:pPr>
              <w:pStyle w:val="55"/>
              <w:spacing w:line="240" w:lineRule="auto"/>
              <w:ind w:firstLine="0" w:firstLineChars="0"/>
              <w:jc w:val="center"/>
              <w:rPr>
                <w:color w:val="auto"/>
                <w:sz w:val="21"/>
                <w:szCs w:val="21"/>
              </w:rPr>
            </w:pPr>
            <w:r>
              <w:rPr>
                <w:rFonts w:hint="eastAsia"/>
                <w:color w:val="auto"/>
                <w:sz w:val="21"/>
                <w:szCs w:val="21"/>
              </w:rPr>
              <w:t>D2500</w:t>
            </w:r>
          </w:p>
        </w:tc>
        <w:tc>
          <w:tcPr>
            <w:tcW w:w="1251" w:type="pct"/>
            <w:tcBorders>
              <w:right w:val="nil"/>
            </w:tcBorders>
            <w:shd w:val="clear" w:color="auto" w:fill="auto"/>
            <w:vAlign w:val="center"/>
          </w:tcPr>
          <w:p w14:paraId="4D591060">
            <w:pPr>
              <w:pStyle w:val="55"/>
              <w:spacing w:line="240" w:lineRule="auto"/>
              <w:ind w:firstLine="0" w:firstLineChars="0"/>
              <w:jc w:val="center"/>
              <w:rPr>
                <w:color w:val="auto"/>
                <w:sz w:val="21"/>
                <w:szCs w:val="21"/>
              </w:rPr>
            </w:pPr>
            <w:r>
              <w:rPr>
                <w:rFonts w:hint="eastAsia"/>
                <w:color w:val="auto"/>
                <w:sz w:val="21"/>
                <w:szCs w:val="21"/>
              </w:rPr>
              <w:t>D2500</w:t>
            </w:r>
          </w:p>
        </w:tc>
      </w:tr>
      <w:tr w14:paraId="27AE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6D72DA77">
            <w:pPr>
              <w:pStyle w:val="55"/>
              <w:spacing w:line="240" w:lineRule="auto"/>
              <w:ind w:firstLine="0" w:firstLineChars="0"/>
              <w:jc w:val="center"/>
              <w:rPr>
                <w:b/>
                <w:bCs/>
                <w:color w:val="auto"/>
                <w:sz w:val="21"/>
                <w:szCs w:val="21"/>
              </w:rPr>
            </w:pPr>
            <w:r>
              <w:rPr>
                <w:rFonts w:hint="eastAsia"/>
                <w:color w:val="auto"/>
                <w:sz w:val="21"/>
                <w:szCs w:val="21"/>
              </w:rPr>
              <w:t>空气塔气流速度</w:t>
            </w:r>
          </w:p>
        </w:tc>
        <w:tc>
          <w:tcPr>
            <w:tcW w:w="1250" w:type="pct"/>
            <w:vAlign w:val="center"/>
          </w:tcPr>
          <w:p w14:paraId="6A33FAD8">
            <w:pPr>
              <w:pStyle w:val="55"/>
              <w:spacing w:line="240" w:lineRule="auto"/>
              <w:ind w:firstLine="0" w:firstLineChars="0"/>
              <w:jc w:val="center"/>
              <w:rPr>
                <w:b/>
                <w:bCs/>
                <w:color w:val="auto"/>
                <w:sz w:val="21"/>
                <w:szCs w:val="21"/>
              </w:rPr>
            </w:pPr>
            <w:r>
              <w:rPr>
                <w:rFonts w:hint="eastAsia"/>
                <w:color w:val="auto"/>
                <w:sz w:val="21"/>
                <w:szCs w:val="21"/>
              </w:rPr>
              <w:t>m/s</w:t>
            </w:r>
          </w:p>
        </w:tc>
        <w:tc>
          <w:tcPr>
            <w:tcW w:w="1250" w:type="pct"/>
            <w:tcBorders>
              <w:right w:val="nil"/>
            </w:tcBorders>
            <w:vAlign w:val="center"/>
          </w:tcPr>
          <w:p w14:paraId="672B14CC">
            <w:pPr>
              <w:pStyle w:val="55"/>
              <w:spacing w:line="240" w:lineRule="auto"/>
              <w:ind w:firstLine="0" w:firstLineChars="0"/>
              <w:jc w:val="center"/>
              <w:rPr>
                <w:color w:val="auto"/>
                <w:sz w:val="21"/>
                <w:szCs w:val="21"/>
              </w:rPr>
            </w:pPr>
            <w:r>
              <w:rPr>
                <w:rFonts w:hint="eastAsia"/>
                <w:color w:val="auto"/>
                <w:sz w:val="21"/>
                <w:szCs w:val="21"/>
              </w:rPr>
              <w:t>2</w:t>
            </w:r>
          </w:p>
        </w:tc>
        <w:tc>
          <w:tcPr>
            <w:tcW w:w="1251" w:type="pct"/>
            <w:tcBorders>
              <w:right w:val="nil"/>
            </w:tcBorders>
            <w:shd w:val="clear" w:color="auto" w:fill="auto"/>
            <w:vAlign w:val="center"/>
          </w:tcPr>
          <w:p w14:paraId="7AC9B843">
            <w:pPr>
              <w:pStyle w:val="55"/>
              <w:spacing w:line="240" w:lineRule="auto"/>
              <w:ind w:firstLine="0" w:firstLineChars="0"/>
              <w:jc w:val="center"/>
              <w:rPr>
                <w:color w:val="auto"/>
                <w:sz w:val="21"/>
                <w:szCs w:val="21"/>
              </w:rPr>
            </w:pPr>
            <w:r>
              <w:rPr>
                <w:rFonts w:hint="eastAsia"/>
                <w:color w:val="auto"/>
                <w:sz w:val="21"/>
                <w:szCs w:val="21"/>
              </w:rPr>
              <w:t>2</w:t>
            </w:r>
          </w:p>
        </w:tc>
      </w:tr>
      <w:tr w14:paraId="7A59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7AEB039A">
            <w:pPr>
              <w:pStyle w:val="55"/>
              <w:spacing w:line="240" w:lineRule="auto"/>
              <w:ind w:firstLine="0" w:firstLineChars="0"/>
              <w:jc w:val="center"/>
              <w:rPr>
                <w:b/>
                <w:bCs/>
                <w:color w:val="auto"/>
                <w:sz w:val="21"/>
                <w:szCs w:val="21"/>
              </w:rPr>
            </w:pPr>
            <w:r>
              <w:rPr>
                <w:rFonts w:hint="eastAsia"/>
                <w:color w:val="auto"/>
                <w:sz w:val="21"/>
                <w:szCs w:val="21"/>
              </w:rPr>
              <w:t>填料层高度</w:t>
            </w:r>
          </w:p>
        </w:tc>
        <w:tc>
          <w:tcPr>
            <w:tcW w:w="1250" w:type="pct"/>
            <w:vAlign w:val="center"/>
          </w:tcPr>
          <w:p w14:paraId="24F629BA">
            <w:pPr>
              <w:pStyle w:val="55"/>
              <w:spacing w:line="240" w:lineRule="auto"/>
              <w:ind w:firstLine="0" w:firstLineChars="0"/>
              <w:jc w:val="center"/>
              <w:rPr>
                <w:b/>
                <w:bCs/>
                <w:color w:val="auto"/>
                <w:sz w:val="21"/>
                <w:szCs w:val="21"/>
              </w:rPr>
            </w:pPr>
            <w:r>
              <w:rPr>
                <w:rFonts w:hint="eastAsia"/>
                <w:color w:val="auto"/>
                <w:sz w:val="21"/>
                <w:szCs w:val="21"/>
              </w:rPr>
              <w:t>m</w:t>
            </w:r>
          </w:p>
        </w:tc>
        <w:tc>
          <w:tcPr>
            <w:tcW w:w="1250" w:type="pct"/>
            <w:tcBorders>
              <w:right w:val="nil"/>
            </w:tcBorders>
            <w:vAlign w:val="center"/>
          </w:tcPr>
          <w:p w14:paraId="12AB84F0">
            <w:pPr>
              <w:pStyle w:val="55"/>
              <w:spacing w:line="240" w:lineRule="auto"/>
              <w:ind w:firstLine="0" w:firstLineChars="0"/>
              <w:jc w:val="center"/>
              <w:rPr>
                <w:b/>
                <w:bCs/>
                <w:color w:val="auto"/>
                <w:sz w:val="21"/>
                <w:szCs w:val="21"/>
              </w:rPr>
            </w:pPr>
            <w:r>
              <w:rPr>
                <w:rFonts w:hint="eastAsia"/>
                <w:color w:val="auto"/>
                <w:sz w:val="21"/>
                <w:szCs w:val="21"/>
              </w:rPr>
              <w:t>500~600</w:t>
            </w:r>
          </w:p>
        </w:tc>
        <w:tc>
          <w:tcPr>
            <w:tcW w:w="1251" w:type="pct"/>
            <w:tcBorders>
              <w:right w:val="nil"/>
            </w:tcBorders>
            <w:shd w:val="clear" w:color="auto" w:fill="auto"/>
            <w:vAlign w:val="center"/>
          </w:tcPr>
          <w:p w14:paraId="59179FC9">
            <w:pPr>
              <w:pStyle w:val="55"/>
              <w:spacing w:line="240" w:lineRule="auto"/>
              <w:ind w:firstLine="0" w:firstLineChars="0"/>
              <w:jc w:val="center"/>
              <w:rPr>
                <w:b/>
                <w:bCs/>
                <w:color w:val="auto"/>
                <w:sz w:val="21"/>
                <w:szCs w:val="21"/>
              </w:rPr>
            </w:pPr>
            <w:r>
              <w:rPr>
                <w:rFonts w:hint="eastAsia"/>
                <w:color w:val="auto"/>
                <w:sz w:val="21"/>
                <w:szCs w:val="21"/>
              </w:rPr>
              <w:t>500~600</w:t>
            </w:r>
          </w:p>
        </w:tc>
      </w:tr>
      <w:tr w14:paraId="2C9A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6279D6B5">
            <w:pPr>
              <w:pStyle w:val="55"/>
              <w:spacing w:line="240" w:lineRule="auto"/>
              <w:ind w:firstLine="0" w:firstLineChars="0"/>
              <w:jc w:val="center"/>
              <w:rPr>
                <w:b/>
                <w:bCs/>
                <w:color w:val="auto"/>
                <w:sz w:val="21"/>
                <w:szCs w:val="21"/>
              </w:rPr>
            </w:pPr>
            <w:r>
              <w:rPr>
                <w:rFonts w:hint="eastAsia"/>
                <w:color w:val="auto"/>
                <w:sz w:val="21"/>
                <w:szCs w:val="21"/>
              </w:rPr>
              <w:t>单塔接触时间</w:t>
            </w:r>
          </w:p>
        </w:tc>
        <w:tc>
          <w:tcPr>
            <w:tcW w:w="1250" w:type="pct"/>
            <w:vAlign w:val="center"/>
          </w:tcPr>
          <w:p w14:paraId="772ED7F5">
            <w:pPr>
              <w:pStyle w:val="55"/>
              <w:spacing w:line="240" w:lineRule="auto"/>
              <w:ind w:firstLine="0" w:firstLineChars="0"/>
              <w:jc w:val="center"/>
              <w:rPr>
                <w:b/>
                <w:bCs/>
                <w:color w:val="auto"/>
                <w:sz w:val="21"/>
                <w:szCs w:val="21"/>
              </w:rPr>
            </w:pPr>
            <w:r>
              <w:rPr>
                <w:rFonts w:hint="eastAsia"/>
                <w:color w:val="auto"/>
                <w:sz w:val="21"/>
                <w:szCs w:val="21"/>
              </w:rPr>
              <w:t>s</w:t>
            </w:r>
          </w:p>
        </w:tc>
        <w:tc>
          <w:tcPr>
            <w:tcW w:w="1250" w:type="pct"/>
            <w:tcBorders>
              <w:right w:val="nil"/>
            </w:tcBorders>
            <w:vAlign w:val="center"/>
          </w:tcPr>
          <w:p w14:paraId="5B1FDC05">
            <w:pPr>
              <w:pStyle w:val="55"/>
              <w:spacing w:line="240" w:lineRule="auto"/>
              <w:ind w:firstLine="0" w:firstLineChars="0"/>
              <w:jc w:val="center"/>
              <w:rPr>
                <w:b/>
                <w:bCs/>
                <w:color w:val="auto"/>
                <w:sz w:val="21"/>
                <w:szCs w:val="21"/>
              </w:rPr>
            </w:pPr>
            <w:r>
              <w:rPr>
                <w:rFonts w:hint="eastAsia"/>
                <w:color w:val="auto"/>
                <w:sz w:val="21"/>
                <w:szCs w:val="21"/>
              </w:rPr>
              <w:t>2.5</w:t>
            </w:r>
          </w:p>
        </w:tc>
        <w:tc>
          <w:tcPr>
            <w:tcW w:w="1251" w:type="pct"/>
            <w:tcBorders>
              <w:right w:val="nil"/>
            </w:tcBorders>
            <w:shd w:val="clear" w:color="auto" w:fill="auto"/>
            <w:vAlign w:val="center"/>
          </w:tcPr>
          <w:p w14:paraId="70489C22">
            <w:pPr>
              <w:pStyle w:val="55"/>
              <w:spacing w:line="240" w:lineRule="auto"/>
              <w:ind w:firstLine="0" w:firstLineChars="0"/>
              <w:jc w:val="center"/>
              <w:rPr>
                <w:b/>
                <w:bCs/>
                <w:color w:val="auto"/>
                <w:sz w:val="21"/>
                <w:szCs w:val="21"/>
              </w:rPr>
            </w:pPr>
            <w:r>
              <w:rPr>
                <w:rFonts w:hint="eastAsia"/>
                <w:color w:val="auto"/>
                <w:sz w:val="21"/>
                <w:szCs w:val="21"/>
              </w:rPr>
              <w:t>2.5</w:t>
            </w:r>
          </w:p>
        </w:tc>
      </w:tr>
      <w:tr w14:paraId="295B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444E9D21">
            <w:pPr>
              <w:pStyle w:val="55"/>
              <w:spacing w:line="240" w:lineRule="auto"/>
              <w:ind w:firstLine="0" w:firstLineChars="0"/>
              <w:jc w:val="center"/>
              <w:rPr>
                <w:b/>
                <w:bCs/>
                <w:color w:val="auto"/>
                <w:sz w:val="21"/>
                <w:szCs w:val="21"/>
              </w:rPr>
            </w:pPr>
            <w:r>
              <w:rPr>
                <w:rFonts w:hint="eastAsia"/>
                <w:color w:val="auto"/>
                <w:sz w:val="21"/>
                <w:szCs w:val="21"/>
              </w:rPr>
              <w:t>水气比</w:t>
            </w:r>
          </w:p>
        </w:tc>
        <w:tc>
          <w:tcPr>
            <w:tcW w:w="1250" w:type="pct"/>
            <w:vAlign w:val="center"/>
          </w:tcPr>
          <w:p w14:paraId="16EED475">
            <w:pPr>
              <w:pStyle w:val="55"/>
              <w:spacing w:line="240" w:lineRule="auto"/>
              <w:ind w:firstLine="0" w:firstLineChars="0"/>
              <w:jc w:val="center"/>
              <w:rPr>
                <w:b/>
                <w:bCs/>
                <w:color w:val="auto"/>
                <w:sz w:val="21"/>
                <w:szCs w:val="21"/>
              </w:rPr>
            </w:pPr>
            <w:r>
              <w:rPr>
                <w:rFonts w:hint="eastAsia"/>
                <w:color w:val="auto"/>
                <w:sz w:val="21"/>
                <w:szCs w:val="21"/>
              </w:rPr>
              <w:t>L/m</w:t>
            </w:r>
            <w:r>
              <w:rPr>
                <w:rFonts w:hint="eastAsia"/>
                <w:color w:val="auto"/>
                <w:sz w:val="21"/>
                <w:szCs w:val="21"/>
                <w:vertAlign w:val="superscript"/>
              </w:rPr>
              <w:t>3</w:t>
            </w:r>
          </w:p>
        </w:tc>
        <w:tc>
          <w:tcPr>
            <w:tcW w:w="1250" w:type="pct"/>
            <w:tcBorders>
              <w:right w:val="nil"/>
            </w:tcBorders>
            <w:vAlign w:val="center"/>
          </w:tcPr>
          <w:p w14:paraId="63593B55">
            <w:pPr>
              <w:pStyle w:val="55"/>
              <w:spacing w:line="240" w:lineRule="auto"/>
              <w:ind w:firstLine="0" w:firstLineChars="0"/>
              <w:jc w:val="center"/>
              <w:rPr>
                <w:b/>
                <w:bCs/>
                <w:color w:val="auto"/>
                <w:sz w:val="21"/>
                <w:szCs w:val="21"/>
              </w:rPr>
            </w:pPr>
            <w:r>
              <w:rPr>
                <w:rFonts w:hint="eastAsia"/>
                <w:color w:val="auto"/>
                <w:sz w:val="21"/>
                <w:szCs w:val="21"/>
              </w:rPr>
              <w:t>1.8</w:t>
            </w:r>
          </w:p>
        </w:tc>
        <w:tc>
          <w:tcPr>
            <w:tcW w:w="1251" w:type="pct"/>
            <w:tcBorders>
              <w:right w:val="nil"/>
            </w:tcBorders>
            <w:shd w:val="clear" w:color="auto" w:fill="auto"/>
            <w:vAlign w:val="center"/>
          </w:tcPr>
          <w:p w14:paraId="714619DF">
            <w:pPr>
              <w:pStyle w:val="55"/>
              <w:spacing w:line="240" w:lineRule="auto"/>
              <w:ind w:firstLine="0" w:firstLineChars="0"/>
              <w:jc w:val="center"/>
              <w:rPr>
                <w:b/>
                <w:bCs/>
                <w:color w:val="auto"/>
                <w:sz w:val="21"/>
                <w:szCs w:val="21"/>
              </w:rPr>
            </w:pPr>
            <w:r>
              <w:rPr>
                <w:rFonts w:hint="eastAsia"/>
                <w:color w:val="auto"/>
                <w:sz w:val="21"/>
                <w:szCs w:val="21"/>
              </w:rPr>
              <w:t>1.8</w:t>
            </w:r>
          </w:p>
        </w:tc>
      </w:tr>
      <w:tr w14:paraId="1455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tcBorders>
            <w:vAlign w:val="center"/>
          </w:tcPr>
          <w:p w14:paraId="344D2702">
            <w:pPr>
              <w:pStyle w:val="55"/>
              <w:spacing w:line="240" w:lineRule="auto"/>
              <w:ind w:firstLine="0" w:firstLineChars="0"/>
              <w:jc w:val="center"/>
              <w:rPr>
                <w:b/>
                <w:bCs/>
                <w:color w:val="auto"/>
                <w:sz w:val="21"/>
                <w:szCs w:val="21"/>
              </w:rPr>
            </w:pPr>
            <w:r>
              <w:rPr>
                <w:rFonts w:hint="eastAsia"/>
                <w:color w:val="auto"/>
                <w:sz w:val="21"/>
                <w:szCs w:val="21"/>
              </w:rPr>
              <w:t>塔体材质</w:t>
            </w:r>
          </w:p>
        </w:tc>
        <w:tc>
          <w:tcPr>
            <w:tcW w:w="1250" w:type="pct"/>
            <w:vAlign w:val="center"/>
          </w:tcPr>
          <w:p w14:paraId="0EDE3E9D">
            <w:pPr>
              <w:pStyle w:val="55"/>
              <w:spacing w:line="240" w:lineRule="auto"/>
              <w:ind w:firstLine="0" w:firstLineChars="0"/>
              <w:jc w:val="center"/>
              <w:rPr>
                <w:b/>
                <w:bCs/>
                <w:color w:val="auto"/>
                <w:sz w:val="21"/>
                <w:szCs w:val="21"/>
              </w:rPr>
            </w:pPr>
            <w:r>
              <w:rPr>
                <w:rFonts w:hint="eastAsia"/>
                <w:color w:val="auto"/>
                <w:sz w:val="21"/>
                <w:szCs w:val="21"/>
              </w:rPr>
              <w:t>/</w:t>
            </w:r>
          </w:p>
        </w:tc>
        <w:tc>
          <w:tcPr>
            <w:tcW w:w="1250" w:type="pct"/>
            <w:tcBorders>
              <w:right w:val="nil"/>
            </w:tcBorders>
            <w:vAlign w:val="center"/>
          </w:tcPr>
          <w:p w14:paraId="7F14BA10">
            <w:pPr>
              <w:pStyle w:val="55"/>
              <w:spacing w:line="240" w:lineRule="auto"/>
              <w:ind w:firstLine="0" w:firstLineChars="0"/>
              <w:jc w:val="center"/>
              <w:rPr>
                <w:b/>
                <w:bCs/>
                <w:color w:val="auto"/>
                <w:sz w:val="21"/>
                <w:szCs w:val="21"/>
              </w:rPr>
            </w:pPr>
            <w:r>
              <w:rPr>
                <w:rFonts w:hint="eastAsia"/>
                <w:color w:val="auto"/>
                <w:sz w:val="21"/>
                <w:szCs w:val="21"/>
              </w:rPr>
              <w:t>FRP</w:t>
            </w:r>
          </w:p>
        </w:tc>
        <w:tc>
          <w:tcPr>
            <w:tcW w:w="1251" w:type="pct"/>
            <w:tcBorders>
              <w:right w:val="nil"/>
            </w:tcBorders>
            <w:shd w:val="clear" w:color="auto" w:fill="auto"/>
            <w:vAlign w:val="center"/>
          </w:tcPr>
          <w:p w14:paraId="5932FE62">
            <w:pPr>
              <w:pStyle w:val="55"/>
              <w:spacing w:line="240" w:lineRule="auto"/>
              <w:ind w:firstLine="0" w:firstLineChars="0"/>
              <w:jc w:val="center"/>
              <w:rPr>
                <w:b/>
                <w:bCs/>
                <w:color w:val="auto"/>
                <w:sz w:val="21"/>
                <w:szCs w:val="21"/>
              </w:rPr>
            </w:pPr>
            <w:r>
              <w:rPr>
                <w:rFonts w:hint="eastAsia"/>
                <w:color w:val="auto"/>
                <w:sz w:val="21"/>
                <w:szCs w:val="21"/>
              </w:rPr>
              <w:t>FRP</w:t>
            </w:r>
          </w:p>
        </w:tc>
      </w:tr>
      <w:tr w14:paraId="3348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tcBorders>
              <w:left w:val="nil"/>
              <w:bottom w:val="single" w:color="auto" w:sz="12" w:space="0"/>
            </w:tcBorders>
            <w:vAlign w:val="center"/>
          </w:tcPr>
          <w:p w14:paraId="3C5164B9">
            <w:pPr>
              <w:pStyle w:val="55"/>
              <w:spacing w:line="240" w:lineRule="auto"/>
              <w:ind w:firstLine="0" w:firstLineChars="0"/>
              <w:jc w:val="center"/>
              <w:rPr>
                <w:b/>
                <w:bCs/>
                <w:color w:val="auto"/>
                <w:sz w:val="21"/>
                <w:szCs w:val="21"/>
              </w:rPr>
            </w:pPr>
            <w:r>
              <w:rPr>
                <w:rFonts w:hint="eastAsia"/>
                <w:color w:val="auto"/>
                <w:sz w:val="21"/>
                <w:szCs w:val="21"/>
              </w:rPr>
              <w:t>填料塔数量</w:t>
            </w:r>
          </w:p>
        </w:tc>
        <w:tc>
          <w:tcPr>
            <w:tcW w:w="1250" w:type="pct"/>
            <w:tcBorders>
              <w:bottom w:val="single" w:color="auto" w:sz="12" w:space="0"/>
            </w:tcBorders>
            <w:vAlign w:val="center"/>
          </w:tcPr>
          <w:p w14:paraId="1991D4EB">
            <w:pPr>
              <w:pStyle w:val="55"/>
              <w:spacing w:line="240" w:lineRule="auto"/>
              <w:ind w:firstLine="0" w:firstLineChars="0"/>
              <w:jc w:val="center"/>
              <w:rPr>
                <w:b/>
                <w:bCs/>
                <w:color w:val="auto"/>
                <w:sz w:val="21"/>
                <w:szCs w:val="21"/>
              </w:rPr>
            </w:pPr>
            <w:r>
              <w:rPr>
                <w:rFonts w:hint="eastAsia"/>
                <w:color w:val="auto"/>
                <w:sz w:val="21"/>
                <w:szCs w:val="21"/>
              </w:rPr>
              <w:t>座</w:t>
            </w:r>
          </w:p>
        </w:tc>
        <w:tc>
          <w:tcPr>
            <w:tcW w:w="1250" w:type="pct"/>
            <w:tcBorders>
              <w:bottom w:val="single" w:color="auto" w:sz="12" w:space="0"/>
              <w:right w:val="nil"/>
            </w:tcBorders>
            <w:vAlign w:val="center"/>
          </w:tcPr>
          <w:p w14:paraId="0AA1E855">
            <w:pPr>
              <w:pStyle w:val="55"/>
              <w:spacing w:line="240" w:lineRule="auto"/>
              <w:ind w:firstLine="0" w:firstLineChars="0"/>
              <w:jc w:val="center"/>
              <w:rPr>
                <w:b/>
                <w:bCs/>
                <w:color w:val="auto"/>
                <w:sz w:val="21"/>
                <w:szCs w:val="21"/>
              </w:rPr>
            </w:pPr>
            <w:r>
              <w:rPr>
                <w:rFonts w:hint="eastAsia"/>
                <w:color w:val="auto"/>
                <w:sz w:val="21"/>
                <w:szCs w:val="21"/>
              </w:rPr>
              <w:t>1</w:t>
            </w:r>
          </w:p>
        </w:tc>
        <w:tc>
          <w:tcPr>
            <w:tcW w:w="1251" w:type="pct"/>
            <w:tcBorders>
              <w:bottom w:val="single" w:color="auto" w:sz="12" w:space="0"/>
              <w:right w:val="nil"/>
            </w:tcBorders>
            <w:shd w:val="clear" w:color="auto" w:fill="auto"/>
            <w:vAlign w:val="center"/>
          </w:tcPr>
          <w:p w14:paraId="005AB7C2">
            <w:pPr>
              <w:pStyle w:val="55"/>
              <w:spacing w:line="240" w:lineRule="auto"/>
              <w:ind w:firstLine="0" w:firstLineChars="0"/>
              <w:jc w:val="center"/>
              <w:rPr>
                <w:b/>
                <w:bCs/>
                <w:color w:val="auto"/>
                <w:sz w:val="21"/>
                <w:szCs w:val="21"/>
              </w:rPr>
            </w:pPr>
            <w:r>
              <w:rPr>
                <w:rFonts w:hint="eastAsia"/>
                <w:color w:val="auto"/>
                <w:sz w:val="21"/>
                <w:szCs w:val="21"/>
              </w:rPr>
              <w:t>1</w:t>
            </w:r>
          </w:p>
        </w:tc>
      </w:tr>
    </w:tbl>
    <w:p w14:paraId="77DC2C32">
      <w:pPr>
        <w:ind w:firstLine="482"/>
        <w:rPr>
          <w:b/>
          <w:bCs/>
          <w:color w:val="auto"/>
        </w:rPr>
      </w:pPr>
      <w:r>
        <w:rPr>
          <w:rFonts w:hint="eastAsia"/>
          <w:b/>
          <w:bCs/>
          <w:color w:val="auto"/>
        </w:rPr>
        <w:t>（3）</w:t>
      </w:r>
      <w:r>
        <w:rPr>
          <w:b/>
          <w:bCs/>
          <w:color w:val="auto"/>
        </w:rPr>
        <w:t>可行性分析</w:t>
      </w:r>
    </w:p>
    <w:p w14:paraId="54987A24">
      <w:pPr>
        <w:ind w:firstLine="480"/>
        <w:rPr>
          <w:color w:val="auto"/>
        </w:rPr>
      </w:pPr>
      <w:r>
        <w:rPr>
          <w:rFonts w:hint="eastAsia"/>
          <w:color w:val="auto"/>
        </w:rPr>
        <w:t>水</w:t>
      </w:r>
      <w:r>
        <w:rPr>
          <w:color w:val="auto"/>
        </w:rPr>
        <w:t>喷淋是普通碱雾最为常</w:t>
      </w:r>
      <w:r>
        <w:rPr>
          <w:rFonts w:hint="eastAsia"/>
          <w:color w:val="auto"/>
        </w:rPr>
        <w:t>见的</w:t>
      </w:r>
      <w:r>
        <w:rPr>
          <w:color w:val="auto"/>
        </w:rPr>
        <w:t>净化方式</w:t>
      </w:r>
      <w:r>
        <w:rPr>
          <w:rFonts w:hint="eastAsia"/>
          <w:color w:val="auto"/>
        </w:rPr>
        <w:t>，</w:t>
      </w:r>
      <w:r>
        <w:rPr>
          <w:color w:val="auto"/>
        </w:rPr>
        <w:t>且项目采用两段式填料喷淋塔，气液接触效果较好，碱雾可达到9</w:t>
      </w:r>
      <w:r>
        <w:rPr>
          <w:rFonts w:hint="eastAsia"/>
          <w:color w:val="auto"/>
        </w:rPr>
        <w:t>0</w:t>
      </w:r>
      <w:r>
        <w:rPr>
          <w:color w:val="auto"/>
        </w:rPr>
        <w:t>%以上的设计处理效率。</w:t>
      </w:r>
    </w:p>
    <w:p w14:paraId="78929A35">
      <w:pPr>
        <w:ind w:firstLine="482"/>
        <w:rPr>
          <w:color w:val="auto"/>
        </w:rPr>
      </w:pPr>
      <w:r>
        <w:rPr>
          <w:rFonts w:hint="eastAsia"/>
          <w:b/>
          <w:bCs/>
          <w:color w:val="auto"/>
        </w:rPr>
        <w:t>同类项目工程</w:t>
      </w:r>
      <w:r>
        <w:rPr>
          <w:b/>
          <w:bCs/>
          <w:color w:val="auto"/>
        </w:rPr>
        <w:t>案例：</w:t>
      </w:r>
      <w:r>
        <w:rPr>
          <w:color w:val="auto"/>
        </w:rPr>
        <w:t>根据《镇江三鑫铝业有限公司铝型材深加工新建项目环评》，该公司的阳极氧化生产线总产能为8000吨/年，采用的生产工艺与本项目基本一致。该项目废气处理工艺为：加热炉及时效炉天然气燃烧废气经收集后15m排气筒排放；酸洗及阳极氧化产生的酸雾废气使用两级</w:t>
      </w:r>
      <w:r>
        <w:rPr>
          <w:rFonts w:hint="eastAsia"/>
          <w:color w:val="auto"/>
        </w:rPr>
        <w:t>水</w:t>
      </w:r>
      <w:r>
        <w:rPr>
          <w:color w:val="auto"/>
        </w:rPr>
        <w:t>喷淋塔处理；碱洗槽产生的碱雾废气使用两级</w:t>
      </w:r>
      <w:r>
        <w:rPr>
          <w:rFonts w:hint="eastAsia"/>
          <w:color w:val="auto"/>
        </w:rPr>
        <w:t>水</w:t>
      </w:r>
      <w:r>
        <w:rPr>
          <w:color w:val="auto"/>
        </w:rPr>
        <w:t>喷淋塔处理；与本项目处理措施一致。根据企业2021年12月有组织废气</w:t>
      </w:r>
      <w:r>
        <w:rPr>
          <w:rFonts w:hint="eastAsia"/>
          <w:color w:val="auto"/>
          <w:lang w:eastAsia="zh-CN"/>
        </w:rPr>
        <w:t>检测报告</w:t>
      </w:r>
      <w:r>
        <w:rPr>
          <w:color w:val="auto"/>
        </w:rPr>
        <w:t>，各污染物排放情况如下：</w:t>
      </w:r>
    </w:p>
    <w:p w14:paraId="2B32C902">
      <w:pPr>
        <w:spacing w:line="240" w:lineRule="auto"/>
        <w:ind w:firstLine="0" w:firstLineChars="0"/>
        <w:jc w:val="center"/>
        <w:rPr>
          <w:b/>
          <w:bCs/>
          <w:snapToGrid w:val="0"/>
          <w:color w:val="auto"/>
        </w:rPr>
      </w:pPr>
      <w:r>
        <w:rPr>
          <w:b/>
          <w:bCs/>
          <w:snapToGrid w:val="0"/>
          <w:color w:val="auto"/>
        </w:rPr>
        <w:t>表</w:t>
      </w:r>
      <w:r>
        <w:rPr>
          <w:rFonts w:hint="eastAsia"/>
          <w:b/>
          <w:bCs/>
          <w:snapToGrid w:val="0"/>
          <w:color w:val="auto"/>
        </w:rPr>
        <w:t>7</w:t>
      </w:r>
      <w:r>
        <w:rPr>
          <w:b/>
          <w:bCs/>
          <w:snapToGrid w:val="0"/>
          <w:color w:val="auto"/>
        </w:rPr>
        <w:t>.2.1-</w:t>
      </w:r>
      <w:r>
        <w:rPr>
          <w:rFonts w:hint="eastAsia"/>
          <w:b/>
          <w:bCs/>
          <w:snapToGrid w:val="0"/>
          <w:color w:val="auto"/>
        </w:rPr>
        <w:t xml:space="preserve">2 </w:t>
      </w:r>
      <w:r>
        <w:rPr>
          <w:b/>
          <w:bCs/>
          <w:snapToGrid w:val="0"/>
          <w:color w:val="auto"/>
        </w:rPr>
        <w:t xml:space="preserve"> 有组织废气监测结果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367"/>
        <w:gridCol w:w="1400"/>
        <w:gridCol w:w="652"/>
        <w:gridCol w:w="1379"/>
        <w:gridCol w:w="1181"/>
        <w:gridCol w:w="1226"/>
        <w:gridCol w:w="820"/>
      </w:tblGrid>
      <w:tr w14:paraId="0659F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1" w:type="pct"/>
            <w:vMerge w:val="restart"/>
            <w:tcBorders>
              <w:tl2br w:val="nil"/>
              <w:tr2bl w:val="nil"/>
            </w:tcBorders>
            <w:vAlign w:val="center"/>
          </w:tcPr>
          <w:p w14:paraId="56561EFA">
            <w:pPr>
              <w:spacing w:line="240" w:lineRule="auto"/>
              <w:ind w:firstLine="0" w:firstLineChars="0"/>
              <w:jc w:val="center"/>
              <w:rPr>
                <w:b/>
                <w:color w:val="auto"/>
                <w:sz w:val="21"/>
                <w:szCs w:val="21"/>
              </w:rPr>
            </w:pPr>
            <w:r>
              <w:rPr>
                <w:b/>
                <w:color w:val="auto"/>
                <w:sz w:val="21"/>
                <w:szCs w:val="21"/>
              </w:rPr>
              <w:t>污染物名称</w:t>
            </w:r>
          </w:p>
        </w:tc>
        <w:tc>
          <w:tcPr>
            <w:tcW w:w="1471" w:type="pct"/>
            <w:gridSpan w:val="2"/>
            <w:tcBorders>
              <w:tl2br w:val="nil"/>
              <w:tr2bl w:val="nil"/>
            </w:tcBorders>
            <w:vAlign w:val="center"/>
          </w:tcPr>
          <w:p w14:paraId="40EF4113">
            <w:pPr>
              <w:spacing w:line="240" w:lineRule="auto"/>
              <w:ind w:firstLine="0" w:firstLineChars="0"/>
              <w:jc w:val="center"/>
              <w:rPr>
                <w:b/>
                <w:color w:val="auto"/>
                <w:sz w:val="21"/>
                <w:szCs w:val="21"/>
              </w:rPr>
            </w:pPr>
            <w:r>
              <w:rPr>
                <w:b/>
                <w:color w:val="auto"/>
                <w:sz w:val="21"/>
                <w:szCs w:val="21"/>
              </w:rPr>
              <w:t>出口监测结果</w:t>
            </w:r>
          </w:p>
        </w:tc>
        <w:tc>
          <w:tcPr>
            <w:tcW w:w="346" w:type="pct"/>
            <w:vMerge w:val="restart"/>
            <w:tcBorders>
              <w:tl2br w:val="nil"/>
              <w:tr2bl w:val="nil"/>
            </w:tcBorders>
            <w:vAlign w:val="center"/>
          </w:tcPr>
          <w:p w14:paraId="35A05117">
            <w:pPr>
              <w:spacing w:line="240" w:lineRule="auto"/>
              <w:ind w:firstLine="0" w:firstLineChars="0"/>
              <w:jc w:val="center"/>
              <w:rPr>
                <w:b/>
                <w:color w:val="auto"/>
                <w:sz w:val="21"/>
                <w:szCs w:val="21"/>
              </w:rPr>
            </w:pPr>
            <w:r>
              <w:rPr>
                <w:b/>
                <w:color w:val="auto"/>
                <w:sz w:val="21"/>
                <w:szCs w:val="21"/>
              </w:rPr>
              <w:t>排气筒编号</w:t>
            </w:r>
          </w:p>
        </w:tc>
        <w:tc>
          <w:tcPr>
            <w:tcW w:w="1361" w:type="pct"/>
            <w:gridSpan w:val="2"/>
            <w:tcBorders>
              <w:tl2br w:val="nil"/>
              <w:tr2bl w:val="nil"/>
            </w:tcBorders>
            <w:vAlign w:val="center"/>
          </w:tcPr>
          <w:p w14:paraId="6253BB5E">
            <w:pPr>
              <w:spacing w:line="240" w:lineRule="auto"/>
              <w:ind w:firstLine="0" w:firstLineChars="0"/>
              <w:jc w:val="center"/>
              <w:rPr>
                <w:b/>
                <w:color w:val="auto"/>
                <w:sz w:val="21"/>
                <w:szCs w:val="21"/>
              </w:rPr>
            </w:pPr>
            <w:r>
              <w:rPr>
                <w:rFonts w:hint="eastAsia"/>
                <w:b/>
                <w:color w:val="auto"/>
                <w:sz w:val="21"/>
                <w:szCs w:val="21"/>
              </w:rPr>
              <w:t>标准限值</w:t>
            </w:r>
          </w:p>
        </w:tc>
        <w:tc>
          <w:tcPr>
            <w:tcW w:w="652" w:type="pct"/>
            <w:vMerge w:val="restart"/>
            <w:tcBorders>
              <w:tl2br w:val="nil"/>
              <w:tr2bl w:val="nil"/>
            </w:tcBorders>
            <w:vAlign w:val="center"/>
          </w:tcPr>
          <w:p w14:paraId="4147E116">
            <w:pPr>
              <w:spacing w:line="240" w:lineRule="auto"/>
              <w:ind w:firstLine="0" w:firstLineChars="0"/>
              <w:jc w:val="center"/>
              <w:rPr>
                <w:b/>
                <w:color w:val="auto"/>
                <w:sz w:val="21"/>
                <w:szCs w:val="21"/>
              </w:rPr>
            </w:pPr>
            <w:r>
              <w:rPr>
                <w:rFonts w:hint="eastAsia"/>
                <w:b/>
                <w:color w:val="auto"/>
                <w:sz w:val="21"/>
                <w:szCs w:val="21"/>
              </w:rPr>
              <w:t>是否达标</w:t>
            </w:r>
          </w:p>
        </w:tc>
        <w:tc>
          <w:tcPr>
            <w:tcW w:w="436" w:type="pct"/>
            <w:vMerge w:val="restart"/>
            <w:tcBorders>
              <w:tl2br w:val="nil"/>
              <w:tr2bl w:val="nil"/>
            </w:tcBorders>
            <w:vAlign w:val="center"/>
          </w:tcPr>
          <w:p w14:paraId="7D92DDF5">
            <w:pPr>
              <w:spacing w:line="240" w:lineRule="auto"/>
              <w:ind w:firstLine="0" w:firstLineChars="0"/>
              <w:jc w:val="center"/>
              <w:rPr>
                <w:b/>
                <w:color w:val="auto"/>
                <w:sz w:val="21"/>
                <w:szCs w:val="21"/>
              </w:rPr>
            </w:pPr>
            <w:r>
              <w:rPr>
                <w:b/>
                <w:color w:val="auto"/>
                <w:sz w:val="21"/>
                <w:szCs w:val="21"/>
              </w:rPr>
              <w:t>监测时间</w:t>
            </w:r>
          </w:p>
        </w:tc>
      </w:tr>
      <w:tr w14:paraId="60FDC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1" w:type="pct"/>
            <w:vMerge w:val="continue"/>
            <w:tcBorders>
              <w:tl2br w:val="nil"/>
              <w:tr2bl w:val="nil"/>
            </w:tcBorders>
            <w:vAlign w:val="center"/>
          </w:tcPr>
          <w:p w14:paraId="45AA044B">
            <w:pPr>
              <w:spacing w:line="240" w:lineRule="auto"/>
              <w:ind w:firstLine="0" w:firstLineChars="0"/>
              <w:jc w:val="center"/>
              <w:rPr>
                <w:b/>
                <w:color w:val="auto"/>
                <w:sz w:val="21"/>
                <w:szCs w:val="21"/>
              </w:rPr>
            </w:pPr>
          </w:p>
        </w:tc>
        <w:tc>
          <w:tcPr>
            <w:tcW w:w="727" w:type="pct"/>
            <w:tcBorders>
              <w:tl2br w:val="nil"/>
              <w:tr2bl w:val="nil"/>
            </w:tcBorders>
            <w:vAlign w:val="center"/>
          </w:tcPr>
          <w:p w14:paraId="26739474">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c>
          <w:tcPr>
            <w:tcW w:w="744" w:type="pct"/>
            <w:tcBorders>
              <w:tl2br w:val="nil"/>
              <w:tr2bl w:val="nil"/>
            </w:tcBorders>
            <w:vAlign w:val="center"/>
          </w:tcPr>
          <w:p w14:paraId="3B12EC80">
            <w:pPr>
              <w:spacing w:line="240" w:lineRule="auto"/>
              <w:ind w:firstLine="0" w:firstLineChars="0"/>
              <w:jc w:val="center"/>
              <w:rPr>
                <w:b/>
                <w:color w:val="auto"/>
                <w:sz w:val="21"/>
                <w:szCs w:val="21"/>
              </w:rPr>
            </w:pPr>
            <w:r>
              <w:rPr>
                <w:b/>
                <w:color w:val="auto"/>
                <w:sz w:val="21"/>
                <w:szCs w:val="21"/>
              </w:rPr>
              <w:t>速率（kg/h）</w:t>
            </w:r>
          </w:p>
        </w:tc>
        <w:tc>
          <w:tcPr>
            <w:tcW w:w="346" w:type="pct"/>
            <w:vMerge w:val="continue"/>
            <w:tcBorders>
              <w:tl2br w:val="nil"/>
              <w:tr2bl w:val="nil"/>
            </w:tcBorders>
            <w:vAlign w:val="center"/>
          </w:tcPr>
          <w:p w14:paraId="6007B37B">
            <w:pPr>
              <w:spacing w:line="240" w:lineRule="auto"/>
              <w:ind w:firstLine="0" w:firstLineChars="0"/>
              <w:jc w:val="center"/>
              <w:rPr>
                <w:b/>
                <w:color w:val="auto"/>
                <w:sz w:val="21"/>
                <w:szCs w:val="21"/>
              </w:rPr>
            </w:pPr>
          </w:p>
        </w:tc>
        <w:tc>
          <w:tcPr>
            <w:tcW w:w="733" w:type="pct"/>
            <w:tcBorders>
              <w:tl2br w:val="nil"/>
              <w:tr2bl w:val="nil"/>
            </w:tcBorders>
            <w:vAlign w:val="center"/>
          </w:tcPr>
          <w:p w14:paraId="227D4C61">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c>
          <w:tcPr>
            <w:tcW w:w="628" w:type="pct"/>
            <w:tcBorders>
              <w:tl2br w:val="nil"/>
              <w:tr2bl w:val="nil"/>
            </w:tcBorders>
            <w:vAlign w:val="center"/>
          </w:tcPr>
          <w:p w14:paraId="3BE7DEC9">
            <w:pPr>
              <w:spacing w:line="240" w:lineRule="auto"/>
              <w:ind w:firstLine="0" w:firstLineChars="0"/>
              <w:jc w:val="center"/>
              <w:rPr>
                <w:b/>
                <w:color w:val="auto"/>
                <w:sz w:val="21"/>
                <w:szCs w:val="21"/>
              </w:rPr>
            </w:pPr>
            <w:r>
              <w:rPr>
                <w:b/>
                <w:color w:val="auto"/>
                <w:sz w:val="21"/>
                <w:szCs w:val="21"/>
              </w:rPr>
              <w:t>速率（kg/h）</w:t>
            </w:r>
          </w:p>
        </w:tc>
        <w:tc>
          <w:tcPr>
            <w:tcW w:w="652" w:type="pct"/>
            <w:vMerge w:val="continue"/>
            <w:tcBorders>
              <w:tl2br w:val="nil"/>
              <w:tr2bl w:val="nil"/>
            </w:tcBorders>
            <w:vAlign w:val="center"/>
          </w:tcPr>
          <w:p w14:paraId="495A8BAD">
            <w:pPr>
              <w:spacing w:line="240" w:lineRule="auto"/>
              <w:ind w:firstLine="0" w:firstLineChars="0"/>
              <w:jc w:val="center"/>
              <w:rPr>
                <w:b/>
                <w:color w:val="auto"/>
                <w:sz w:val="21"/>
                <w:szCs w:val="21"/>
              </w:rPr>
            </w:pPr>
          </w:p>
        </w:tc>
        <w:tc>
          <w:tcPr>
            <w:tcW w:w="436" w:type="pct"/>
            <w:vMerge w:val="continue"/>
            <w:tcBorders>
              <w:tl2br w:val="nil"/>
              <w:tr2bl w:val="nil"/>
            </w:tcBorders>
            <w:vAlign w:val="center"/>
          </w:tcPr>
          <w:p w14:paraId="31AD50B4">
            <w:pPr>
              <w:spacing w:line="240" w:lineRule="auto"/>
              <w:ind w:firstLine="0" w:firstLineChars="0"/>
              <w:jc w:val="center"/>
              <w:rPr>
                <w:b/>
                <w:color w:val="auto"/>
                <w:sz w:val="21"/>
                <w:szCs w:val="21"/>
              </w:rPr>
            </w:pPr>
          </w:p>
        </w:tc>
      </w:tr>
      <w:tr w14:paraId="571D7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041201FE">
            <w:pPr>
              <w:spacing w:line="240" w:lineRule="auto"/>
              <w:ind w:firstLine="0" w:firstLineChars="0"/>
              <w:jc w:val="center"/>
              <w:rPr>
                <w:color w:val="auto"/>
                <w:sz w:val="21"/>
                <w:szCs w:val="21"/>
              </w:rPr>
            </w:pPr>
            <w:r>
              <w:rPr>
                <w:rFonts w:hint="eastAsia"/>
                <w:color w:val="auto"/>
                <w:sz w:val="21"/>
                <w:szCs w:val="21"/>
              </w:rPr>
              <w:t>颗粒物</w:t>
            </w:r>
          </w:p>
        </w:tc>
        <w:tc>
          <w:tcPr>
            <w:tcW w:w="727" w:type="pct"/>
            <w:tcBorders>
              <w:tl2br w:val="nil"/>
              <w:tr2bl w:val="nil"/>
            </w:tcBorders>
            <w:vAlign w:val="center"/>
          </w:tcPr>
          <w:p w14:paraId="41E325D8">
            <w:pPr>
              <w:spacing w:line="240" w:lineRule="auto"/>
              <w:ind w:firstLine="0" w:firstLineChars="0"/>
              <w:jc w:val="center"/>
              <w:rPr>
                <w:color w:val="auto"/>
                <w:sz w:val="21"/>
                <w:szCs w:val="21"/>
              </w:rPr>
            </w:pPr>
            <w:r>
              <w:rPr>
                <w:color w:val="auto"/>
                <w:sz w:val="21"/>
                <w:szCs w:val="21"/>
              </w:rPr>
              <w:t>8.8</w:t>
            </w:r>
          </w:p>
        </w:tc>
        <w:tc>
          <w:tcPr>
            <w:tcW w:w="744" w:type="pct"/>
            <w:tcBorders>
              <w:tl2br w:val="nil"/>
              <w:tr2bl w:val="nil"/>
            </w:tcBorders>
            <w:vAlign w:val="center"/>
          </w:tcPr>
          <w:p w14:paraId="422FAEA1">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.13</w:t>
            </w:r>
            <w:r>
              <w:rPr>
                <w:rFonts w:hint="eastAsia"/>
                <w:color w:val="auto"/>
                <w:sz w:val="21"/>
                <w:szCs w:val="21"/>
              </w:rPr>
              <w:t>×</w:t>
            </w:r>
            <w:r>
              <w:rPr>
                <w:color w:val="auto"/>
                <w:sz w:val="21"/>
                <w:szCs w:val="21"/>
              </w:rPr>
              <w:t>10</w:t>
            </w:r>
            <w:r>
              <w:rPr>
                <w:color w:val="auto"/>
                <w:sz w:val="21"/>
                <w:szCs w:val="21"/>
                <w:vertAlign w:val="superscript"/>
              </w:rPr>
              <w:t>-3</w:t>
            </w:r>
          </w:p>
        </w:tc>
        <w:tc>
          <w:tcPr>
            <w:tcW w:w="346" w:type="pct"/>
            <w:vMerge w:val="restart"/>
            <w:tcBorders>
              <w:tl2br w:val="nil"/>
              <w:tr2bl w:val="nil"/>
            </w:tcBorders>
            <w:vAlign w:val="center"/>
          </w:tcPr>
          <w:p w14:paraId="3A4B2431">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w:t>
            </w:r>
          </w:p>
        </w:tc>
        <w:tc>
          <w:tcPr>
            <w:tcW w:w="733" w:type="pct"/>
            <w:tcBorders>
              <w:tl2br w:val="nil"/>
              <w:tr2bl w:val="nil"/>
            </w:tcBorders>
            <w:vAlign w:val="center"/>
          </w:tcPr>
          <w:p w14:paraId="6FB82D23">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07A8808B">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66580C77">
            <w:pPr>
              <w:spacing w:line="240" w:lineRule="auto"/>
              <w:ind w:firstLine="0" w:firstLineChars="0"/>
              <w:jc w:val="center"/>
              <w:rPr>
                <w:color w:val="auto"/>
                <w:sz w:val="21"/>
                <w:szCs w:val="21"/>
              </w:rPr>
            </w:pPr>
            <w:r>
              <w:rPr>
                <w:rFonts w:hint="eastAsia"/>
                <w:color w:val="auto"/>
                <w:sz w:val="21"/>
                <w:szCs w:val="21"/>
              </w:rPr>
              <w:t>是</w:t>
            </w:r>
          </w:p>
        </w:tc>
        <w:tc>
          <w:tcPr>
            <w:tcW w:w="436" w:type="pct"/>
            <w:vMerge w:val="restart"/>
            <w:tcBorders>
              <w:tl2br w:val="nil"/>
              <w:tr2bl w:val="nil"/>
            </w:tcBorders>
            <w:vAlign w:val="center"/>
          </w:tcPr>
          <w:p w14:paraId="5AE3255E">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021.12.9</w:t>
            </w:r>
          </w:p>
        </w:tc>
      </w:tr>
      <w:tr w14:paraId="68287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203DB7A2">
            <w:pPr>
              <w:spacing w:line="240" w:lineRule="auto"/>
              <w:ind w:firstLine="0" w:firstLineChars="0"/>
              <w:jc w:val="center"/>
              <w:rPr>
                <w:color w:val="auto"/>
                <w:sz w:val="21"/>
                <w:szCs w:val="21"/>
              </w:rPr>
            </w:pPr>
            <w:r>
              <w:rPr>
                <w:rFonts w:hint="eastAsia"/>
                <w:color w:val="auto"/>
                <w:sz w:val="21"/>
                <w:szCs w:val="21"/>
              </w:rPr>
              <w:t>二氧化硫</w:t>
            </w:r>
          </w:p>
        </w:tc>
        <w:tc>
          <w:tcPr>
            <w:tcW w:w="727" w:type="pct"/>
            <w:tcBorders>
              <w:tl2br w:val="nil"/>
              <w:tr2bl w:val="nil"/>
            </w:tcBorders>
            <w:vAlign w:val="center"/>
          </w:tcPr>
          <w:p w14:paraId="7ABA7A1F">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D</w:t>
            </w:r>
          </w:p>
        </w:tc>
        <w:tc>
          <w:tcPr>
            <w:tcW w:w="744" w:type="pct"/>
            <w:tcBorders>
              <w:tl2br w:val="nil"/>
              <w:tr2bl w:val="nil"/>
            </w:tcBorders>
            <w:vAlign w:val="center"/>
          </w:tcPr>
          <w:p w14:paraId="5EEBE0E9">
            <w:pPr>
              <w:spacing w:line="240" w:lineRule="auto"/>
              <w:ind w:firstLine="0" w:firstLineChars="0"/>
              <w:jc w:val="center"/>
              <w:rPr>
                <w:color w:val="auto"/>
                <w:sz w:val="21"/>
                <w:szCs w:val="21"/>
              </w:rPr>
            </w:pPr>
            <w:r>
              <w:rPr>
                <w:rFonts w:hint="eastAsia"/>
                <w:color w:val="auto"/>
                <w:sz w:val="21"/>
                <w:szCs w:val="21"/>
              </w:rPr>
              <w:t>/</w:t>
            </w:r>
          </w:p>
        </w:tc>
        <w:tc>
          <w:tcPr>
            <w:tcW w:w="346" w:type="pct"/>
            <w:vMerge w:val="continue"/>
            <w:tcBorders>
              <w:tl2br w:val="nil"/>
              <w:tr2bl w:val="nil"/>
            </w:tcBorders>
            <w:vAlign w:val="center"/>
          </w:tcPr>
          <w:p w14:paraId="1A2028FB">
            <w:pPr>
              <w:spacing w:line="240" w:lineRule="auto"/>
              <w:ind w:firstLine="0" w:firstLineChars="0"/>
              <w:jc w:val="center"/>
              <w:rPr>
                <w:color w:val="auto"/>
                <w:sz w:val="21"/>
                <w:szCs w:val="21"/>
              </w:rPr>
            </w:pPr>
          </w:p>
        </w:tc>
        <w:tc>
          <w:tcPr>
            <w:tcW w:w="733" w:type="pct"/>
            <w:tcBorders>
              <w:tl2br w:val="nil"/>
              <w:tr2bl w:val="nil"/>
            </w:tcBorders>
            <w:vAlign w:val="center"/>
          </w:tcPr>
          <w:p w14:paraId="5ED0F2F5">
            <w:pPr>
              <w:spacing w:line="240" w:lineRule="auto"/>
              <w:ind w:firstLine="0" w:firstLineChars="0"/>
              <w:jc w:val="center"/>
              <w:rPr>
                <w:color w:val="auto"/>
                <w:sz w:val="21"/>
                <w:szCs w:val="21"/>
              </w:rPr>
            </w:pPr>
            <w:r>
              <w:rPr>
                <w:color w:val="auto"/>
                <w:sz w:val="21"/>
                <w:szCs w:val="21"/>
              </w:rPr>
              <w:t>80</w:t>
            </w:r>
          </w:p>
        </w:tc>
        <w:tc>
          <w:tcPr>
            <w:tcW w:w="628" w:type="pct"/>
            <w:tcBorders>
              <w:tl2br w:val="nil"/>
              <w:tr2bl w:val="nil"/>
            </w:tcBorders>
            <w:vAlign w:val="center"/>
          </w:tcPr>
          <w:p w14:paraId="11058FAD">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1D659E31">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5E727612">
            <w:pPr>
              <w:spacing w:line="240" w:lineRule="auto"/>
              <w:ind w:firstLine="0" w:firstLineChars="0"/>
              <w:jc w:val="center"/>
              <w:rPr>
                <w:color w:val="auto"/>
                <w:sz w:val="21"/>
                <w:szCs w:val="21"/>
              </w:rPr>
            </w:pPr>
          </w:p>
        </w:tc>
      </w:tr>
      <w:tr w14:paraId="0E64B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73E4619F">
            <w:pPr>
              <w:spacing w:line="240" w:lineRule="auto"/>
              <w:ind w:firstLine="0" w:firstLineChars="0"/>
              <w:jc w:val="center"/>
              <w:rPr>
                <w:color w:val="auto"/>
                <w:sz w:val="21"/>
                <w:szCs w:val="21"/>
              </w:rPr>
            </w:pPr>
            <w:r>
              <w:rPr>
                <w:rFonts w:hint="eastAsia"/>
                <w:color w:val="auto"/>
                <w:sz w:val="21"/>
                <w:szCs w:val="21"/>
              </w:rPr>
              <w:t>氮氧化物</w:t>
            </w:r>
          </w:p>
        </w:tc>
        <w:tc>
          <w:tcPr>
            <w:tcW w:w="727" w:type="pct"/>
            <w:tcBorders>
              <w:tl2br w:val="nil"/>
              <w:tr2bl w:val="nil"/>
            </w:tcBorders>
            <w:vAlign w:val="center"/>
          </w:tcPr>
          <w:p w14:paraId="1B81F6F7">
            <w:pPr>
              <w:spacing w:line="240" w:lineRule="auto"/>
              <w:ind w:firstLine="0" w:firstLineChars="0"/>
              <w:jc w:val="center"/>
              <w:rPr>
                <w:color w:val="auto"/>
                <w:sz w:val="21"/>
                <w:szCs w:val="21"/>
              </w:rPr>
            </w:pPr>
            <w:r>
              <w:rPr>
                <w:rFonts w:hint="eastAsia"/>
                <w:color w:val="auto"/>
                <w:sz w:val="21"/>
                <w:szCs w:val="21"/>
              </w:rPr>
              <w:t>8</w:t>
            </w:r>
            <w:r>
              <w:rPr>
                <w:color w:val="auto"/>
                <w:sz w:val="21"/>
                <w:szCs w:val="21"/>
              </w:rPr>
              <w:t>9</w:t>
            </w:r>
          </w:p>
        </w:tc>
        <w:tc>
          <w:tcPr>
            <w:tcW w:w="744" w:type="pct"/>
            <w:tcBorders>
              <w:tl2br w:val="nil"/>
              <w:tr2bl w:val="nil"/>
            </w:tcBorders>
            <w:vAlign w:val="center"/>
          </w:tcPr>
          <w:p w14:paraId="63EC3247">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.17</w:t>
            </w:r>
            <w:r>
              <w:rPr>
                <w:rFonts w:hint="eastAsia"/>
                <w:color w:val="auto"/>
                <w:sz w:val="21"/>
                <w:szCs w:val="21"/>
              </w:rPr>
              <w:t>×</w:t>
            </w:r>
            <w:r>
              <w:rPr>
                <w:color w:val="auto"/>
                <w:sz w:val="21"/>
                <w:szCs w:val="21"/>
              </w:rPr>
              <w:t>10</w:t>
            </w:r>
            <w:r>
              <w:rPr>
                <w:color w:val="auto"/>
                <w:sz w:val="21"/>
                <w:szCs w:val="21"/>
                <w:vertAlign w:val="superscript"/>
              </w:rPr>
              <w:t>-2</w:t>
            </w:r>
          </w:p>
        </w:tc>
        <w:tc>
          <w:tcPr>
            <w:tcW w:w="346" w:type="pct"/>
            <w:vMerge w:val="continue"/>
            <w:tcBorders>
              <w:tl2br w:val="nil"/>
              <w:tr2bl w:val="nil"/>
            </w:tcBorders>
            <w:vAlign w:val="center"/>
          </w:tcPr>
          <w:p w14:paraId="7751B1BF">
            <w:pPr>
              <w:spacing w:line="240" w:lineRule="auto"/>
              <w:ind w:firstLine="0" w:firstLineChars="0"/>
              <w:jc w:val="center"/>
              <w:rPr>
                <w:color w:val="auto"/>
                <w:sz w:val="21"/>
                <w:szCs w:val="21"/>
              </w:rPr>
            </w:pPr>
          </w:p>
        </w:tc>
        <w:tc>
          <w:tcPr>
            <w:tcW w:w="733" w:type="pct"/>
            <w:tcBorders>
              <w:tl2br w:val="nil"/>
              <w:tr2bl w:val="nil"/>
            </w:tcBorders>
            <w:vAlign w:val="center"/>
          </w:tcPr>
          <w:p w14:paraId="141CD211">
            <w:pPr>
              <w:spacing w:line="240" w:lineRule="auto"/>
              <w:ind w:firstLine="0" w:firstLineChars="0"/>
              <w:jc w:val="center"/>
              <w:rPr>
                <w:color w:val="auto"/>
                <w:sz w:val="21"/>
                <w:szCs w:val="21"/>
              </w:rPr>
            </w:pPr>
            <w:r>
              <w:rPr>
                <w:color w:val="auto"/>
                <w:sz w:val="21"/>
                <w:szCs w:val="21"/>
              </w:rPr>
              <w:t>180</w:t>
            </w:r>
          </w:p>
        </w:tc>
        <w:tc>
          <w:tcPr>
            <w:tcW w:w="628" w:type="pct"/>
            <w:tcBorders>
              <w:tl2br w:val="nil"/>
              <w:tr2bl w:val="nil"/>
            </w:tcBorders>
            <w:vAlign w:val="center"/>
          </w:tcPr>
          <w:p w14:paraId="30B39C63">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75833D01">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46C854A9">
            <w:pPr>
              <w:spacing w:line="240" w:lineRule="auto"/>
              <w:ind w:firstLine="0" w:firstLineChars="0"/>
              <w:jc w:val="center"/>
              <w:rPr>
                <w:color w:val="auto"/>
                <w:sz w:val="21"/>
                <w:szCs w:val="21"/>
              </w:rPr>
            </w:pPr>
          </w:p>
        </w:tc>
      </w:tr>
      <w:tr w14:paraId="7AEA0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48BF1328">
            <w:pPr>
              <w:spacing w:line="240" w:lineRule="auto"/>
              <w:ind w:firstLine="0" w:firstLineChars="0"/>
              <w:jc w:val="center"/>
              <w:rPr>
                <w:color w:val="auto"/>
                <w:sz w:val="21"/>
                <w:szCs w:val="21"/>
              </w:rPr>
            </w:pPr>
            <w:r>
              <w:rPr>
                <w:rFonts w:hint="eastAsia"/>
                <w:color w:val="auto"/>
                <w:sz w:val="21"/>
                <w:szCs w:val="21"/>
              </w:rPr>
              <w:t>颗粒物</w:t>
            </w:r>
          </w:p>
        </w:tc>
        <w:tc>
          <w:tcPr>
            <w:tcW w:w="727" w:type="pct"/>
            <w:tcBorders>
              <w:tl2br w:val="nil"/>
              <w:tr2bl w:val="nil"/>
            </w:tcBorders>
            <w:vAlign w:val="center"/>
          </w:tcPr>
          <w:p w14:paraId="654EC91C">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.2</w:t>
            </w:r>
          </w:p>
        </w:tc>
        <w:tc>
          <w:tcPr>
            <w:tcW w:w="744" w:type="pct"/>
            <w:tcBorders>
              <w:tl2br w:val="nil"/>
              <w:tr2bl w:val="nil"/>
            </w:tcBorders>
            <w:vAlign w:val="center"/>
          </w:tcPr>
          <w:p w14:paraId="1A862060">
            <w:pPr>
              <w:spacing w:line="240" w:lineRule="auto"/>
              <w:ind w:firstLine="0" w:firstLineChars="0"/>
              <w:jc w:val="center"/>
              <w:rPr>
                <w:color w:val="auto"/>
                <w:sz w:val="21"/>
                <w:szCs w:val="21"/>
              </w:rPr>
            </w:pPr>
            <w:r>
              <w:rPr>
                <w:rFonts w:hint="eastAsia"/>
                <w:color w:val="auto"/>
                <w:sz w:val="21"/>
                <w:szCs w:val="21"/>
              </w:rPr>
              <w:t>8</w:t>
            </w:r>
            <w:r>
              <w:rPr>
                <w:color w:val="auto"/>
                <w:sz w:val="21"/>
                <w:szCs w:val="21"/>
              </w:rPr>
              <w:t>.68</w:t>
            </w:r>
            <w:r>
              <w:rPr>
                <w:rFonts w:hint="eastAsia"/>
                <w:color w:val="auto"/>
                <w:sz w:val="21"/>
                <w:szCs w:val="21"/>
              </w:rPr>
              <w:t>×</w:t>
            </w:r>
            <w:r>
              <w:rPr>
                <w:color w:val="auto"/>
                <w:sz w:val="21"/>
                <w:szCs w:val="21"/>
              </w:rPr>
              <w:t>10</w:t>
            </w:r>
            <w:r>
              <w:rPr>
                <w:color w:val="auto"/>
                <w:sz w:val="21"/>
                <w:szCs w:val="21"/>
                <w:vertAlign w:val="superscript"/>
              </w:rPr>
              <w:t>-4</w:t>
            </w:r>
          </w:p>
        </w:tc>
        <w:tc>
          <w:tcPr>
            <w:tcW w:w="346" w:type="pct"/>
            <w:vMerge w:val="restart"/>
            <w:tcBorders>
              <w:tl2br w:val="nil"/>
              <w:tr2bl w:val="nil"/>
            </w:tcBorders>
            <w:vAlign w:val="center"/>
          </w:tcPr>
          <w:p w14:paraId="2694B740">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w:t>
            </w:r>
          </w:p>
        </w:tc>
        <w:tc>
          <w:tcPr>
            <w:tcW w:w="733" w:type="pct"/>
            <w:tcBorders>
              <w:tl2br w:val="nil"/>
              <w:tr2bl w:val="nil"/>
            </w:tcBorders>
            <w:vAlign w:val="center"/>
          </w:tcPr>
          <w:p w14:paraId="3246EAD1">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65AB2239">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714CDDCA">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2CE57C9B">
            <w:pPr>
              <w:spacing w:line="240" w:lineRule="auto"/>
              <w:ind w:firstLine="0" w:firstLineChars="0"/>
              <w:jc w:val="center"/>
              <w:rPr>
                <w:color w:val="auto"/>
                <w:sz w:val="21"/>
                <w:szCs w:val="21"/>
              </w:rPr>
            </w:pPr>
          </w:p>
        </w:tc>
      </w:tr>
      <w:tr w14:paraId="4D85E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7E3FD8C1">
            <w:pPr>
              <w:spacing w:line="240" w:lineRule="auto"/>
              <w:ind w:firstLine="0" w:firstLineChars="0"/>
              <w:jc w:val="center"/>
              <w:rPr>
                <w:color w:val="auto"/>
                <w:sz w:val="21"/>
                <w:szCs w:val="21"/>
              </w:rPr>
            </w:pPr>
            <w:r>
              <w:rPr>
                <w:rFonts w:hint="eastAsia"/>
                <w:color w:val="auto"/>
                <w:sz w:val="21"/>
                <w:szCs w:val="21"/>
              </w:rPr>
              <w:t>二氧化硫</w:t>
            </w:r>
          </w:p>
        </w:tc>
        <w:tc>
          <w:tcPr>
            <w:tcW w:w="727" w:type="pct"/>
            <w:tcBorders>
              <w:tl2br w:val="nil"/>
              <w:tr2bl w:val="nil"/>
            </w:tcBorders>
            <w:vAlign w:val="center"/>
          </w:tcPr>
          <w:p w14:paraId="726B6DE7">
            <w:pPr>
              <w:spacing w:line="240" w:lineRule="auto"/>
              <w:ind w:firstLine="0" w:firstLineChars="0"/>
              <w:jc w:val="center"/>
              <w:rPr>
                <w:color w:val="auto"/>
                <w:sz w:val="21"/>
                <w:szCs w:val="21"/>
              </w:rPr>
            </w:pPr>
            <w:r>
              <w:rPr>
                <w:color w:val="auto"/>
                <w:sz w:val="21"/>
                <w:szCs w:val="21"/>
              </w:rPr>
              <w:t>ND</w:t>
            </w:r>
          </w:p>
        </w:tc>
        <w:tc>
          <w:tcPr>
            <w:tcW w:w="744" w:type="pct"/>
            <w:tcBorders>
              <w:tl2br w:val="nil"/>
              <w:tr2bl w:val="nil"/>
            </w:tcBorders>
            <w:vAlign w:val="center"/>
          </w:tcPr>
          <w:p w14:paraId="1E64389F">
            <w:pPr>
              <w:spacing w:line="240" w:lineRule="auto"/>
              <w:ind w:firstLine="0" w:firstLineChars="0"/>
              <w:jc w:val="center"/>
              <w:rPr>
                <w:color w:val="auto"/>
                <w:sz w:val="21"/>
                <w:szCs w:val="21"/>
              </w:rPr>
            </w:pPr>
            <w:r>
              <w:rPr>
                <w:rFonts w:hint="eastAsia"/>
                <w:color w:val="auto"/>
                <w:sz w:val="21"/>
                <w:szCs w:val="21"/>
              </w:rPr>
              <w:t>/</w:t>
            </w:r>
          </w:p>
        </w:tc>
        <w:tc>
          <w:tcPr>
            <w:tcW w:w="346" w:type="pct"/>
            <w:vMerge w:val="continue"/>
            <w:tcBorders>
              <w:tl2br w:val="nil"/>
              <w:tr2bl w:val="nil"/>
            </w:tcBorders>
            <w:vAlign w:val="center"/>
          </w:tcPr>
          <w:p w14:paraId="05DCEF6D">
            <w:pPr>
              <w:spacing w:line="240" w:lineRule="auto"/>
              <w:ind w:firstLine="0" w:firstLineChars="0"/>
              <w:jc w:val="center"/>
              <w:rPr>
                <w:color w:val="auto"/>
                <w:sz w:val="21"/>
                <w:szCs w:val="21"/>
              </w:rPr>
            </w:pPr>
          </w:p>
        </w:tc>
        <w:tc>
          <w:tcPr>
            <w:tcW w:w="733" w:type="pct"/>
            <w:tcBorders>
              <w:tl2br w:val="nil"/>
              <w:tr2bl w:val="nil"/>
            </w:tcBorders>
            <w:vAlign w:val="center"/>
          </w:tcPr>
          <w:p w14:paraId="07D9DCE7">
            <w:pPr>
              <w:spacing w:line="240" w:lineRule="auto"/>
              <w:ind w:firstLine="0" w:firstLineChars="0"/>
              <w:jc w:val="center"/>
              <w:rPr>
                <w:color w:val="auto"/>
                <w:sz w:val="21"/>
                <w:szCs w:val="21"/>
              </w:rPr>
            </w:pPr>
            <w:r>
              <w:rPr>
                <w:color w:val="auto"/>
                <w:sz w:val="21"/>
                <w:szCs w:val="21"/>
              </w:rPr>
              <w:t>80</w:t>
            </w:r>
          </w:p>
        </w:tc>
        <w:tc>
          <w:tcPr>
            <w:tcW w:w="628" w:type="pct"/>
            <w:tcBorders>
              <w:tl2br w:val="nil"/>
              <w:tr2bl w:val="nil"/>
            </w:tcBorders>
            <w:vAlign w:val="center"/>
          </w:tcPr>
          <w:p w14:paraId="4BFC3527">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258FEB97">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1D4DD234">
            <w:pPr>
              <w:spacing w:line="240" w:lineRule="auto"/>
              <w:ind w:firstLine="0" w:firstLineChars="0"/>
              <w:jc w:val="center"/>
              <w:rPr>
                <w:color w:val="auto"/>
                <w:sz w:val="21"/>
                <w:szCs w:val="21"/>
              </w:rPr>
            </w:pPr>
          </w:p>
        </w:tc>
      </w:tr>
      <w:tr w14:paraId="76D6C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23F98691">
            <w:pPr>
              <w:spacing w:line="240" w:lineRule="auto"/>
              <w:ind w:firstLine="0" w:firstLineChars="0"/>
              <w:jc w:val="center"/>
              <w:rPr>
                <w:color w:val="auto"/>
                <w:sz w:val="21"/>
                <w:szCs w:val="21"/>
              </w:rPr>
            </w:pPr>
            <w:r>
              <w:rPr>
                <w:rFonts w:hint="eastAsia"/>
                <w:color w:val="auto"/>
                <w:sz w:val="21"/>
                <w:szCs w:val="21"/>
              </w:rPr>
              <w:t>氮氧化物</w:t>
            </w:r>
          </w:p>
        </w:tc>
        <w:tc>
          <w:tcPr>
            <w:tcW w:w="727" w:type="pct"/>
            <w:tcBorders>
              <w:tl2br w:val="nil"/>
              <w:tr2bl w:val="nil"/>
            </w:tcBorders>
            <w:vAlign w:val="center"/>
          </w:tcPr>
          <w:p w14:paraId="36AC37CD">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9</w:t>
            </w:r>
          </w:p>
        </w:tc>
        <w:tc>
          <w:tcPr>
            <w:tcW w:w="744" w:type="pct"/>
            <w:tcBorders>
              <w:tl2br w:val="nil"/>
              <w:tr2bl w:val="nil"/>
            </w:tcBorders>
            <w:vAlign w:val="center"/>
          </w:tcPr>
          <w:p w14:paraId="07E5861F">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.17</w:t>
            </w:r>
            <w:r>
              <w:rPr>
                <w:rFonts w:hint="eastAsia"/>
                <w:color w:val="auto"/>
                <w:sz w:val="21"/>
                <w:szCs w:val="21"/>
              </w:rPr>
              <w:t>×</w:t>
            </w:r>
            <w:r>
              <w:rPr>
                <w:color w:val="auto"/>
                <w:sz w:val="21"/>
                <w:szCs w:val="21"/>
              </w:rPr>
              <w:t>10</w:t>
            </w:r>
            <w:r>
              <w:rPr>
                <w:color w:val="auto"/>
                <w:sz w:val="21"/>
                <w:szCs w:val="21"/>
                <w:vertAlign w:val="superscript"/>
              </w:rPr>
              <w:t>-2</w:t>
            </w:r>
          </w:p>
        </w:tc>
        <w:tc>
          <w:tcPr>
            <w:tcW w:w="346" w:type="pct"/>
            <w:vMerge w:val="continue"/>
            <w:tcBorders>
              <w:tl2br w:val="nil"/>
              <w:tr2bl w:val="nil"/>
            </w:tcBorders>
            <w:vAlign w:val="center"/>
          </w:tcPr>
          <w:p w14:paraId="0B571427">
            <w:pPr>
              <w:spacing w:line="240" w:lineRule="auto"/>
              <w:ind w:firstLine="0" w:firstLineChars="0"/>
              <w:jc w:val="center"/>
              <w:rPr>
                <w:color w:val="auto"/>
                <w:sz w:val="21"/>
                <w:szCs w:val="21"/>
              </w:rPr>
            </w:pPr>
          </w:p>
        </w:tc>
        <w:tc>
          <w:tcPr>
            <w:tcW w:w="733" w:type="pct"/>
            <w:tcBorders>
              <w:tl2br w:val="nil"/>
              <w:tr2bl w:val="nil"/>
            </w:tcBorders>
            <w:vAlign w:val="center"/>
          </w:tcPr>
          <w:p w14:paraId="26ACDB2F">
            <w:pPr>
              <w:spacing w:line="240" w:lineRule="auto"/>
              <w:ind w:firstLine="0" w:firstLineChars="0"/>
              <w:jc w:val="center"/>
              <w:rPr>
                <w:color w:val="auto"/>
                <w:sz w:val="21"/>
                <w:szCs w:val="21"/>
              </w:rPr>
            </w:pPr>
            <w:r>
              <w:rPr>
                <w:color w:val="auto"/>
                <w:sz w:val="21"/>
                <w:szCs w:val="21"/>
              </w:rPr>
              <w:t>180</w:t>
            </w:r>
          </w:p>
        </w:tc>
        <w:tc>
          <w:tcPr>
            <w:tcW w:w="628" w:type="pct"/>
            <w:tcBorders>
              <w:tl2br w:val="nil"/>
              <w:tr2bl w:val="nil"/>
            </w:tcBorders>
            <w:vAlign w:val="center"/>
          </w:tcPr>
          <w:p w14:paraId="50616AB2">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44471996">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76AD710C">
            <w:pPr>
              <w:spacing w:line="240" w:lineRule="auto"/>
              <w:ind w:firstLine="0" w:firstLineChars="0"/>
              <w:jc w:val="center"/>
              <w:rPr>
                <w:color w:val="auto"/>
                <w:sz w:val="21"/>
                <w:szCs w:val="21"/>
              </w:rPr>
            </w:pPr>
          </w:p>
        </w:tc>
      </w:tr>
      <w:tr w14:paraId="1B4C9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31" w:type="pct"/>
            <w:tcBorders>
              <w:tl2br w:val="nil"/>
              <w:tr2bl w:val="nil"/>
            </w:tcBorders>
            <w:vAlign w:val="center"/>
          </w:tcPr>
          <w:p w14:paraId="287F9C6D">
            <w:pPr>
              <w:spacing w:line="240" w:lineRule="auto"/>
              <w:ind w:firstLine="0" w:firstLineChars="0"/>
              <w:jc w:val="center"/>
              <w:rPr>
                <w:color w:val="auto"/>
                <w:sz w:val="21"/>
                <w:szCs w:val="21"/>
              </w:rPr>
            </w:pPr>
            <w:r>
              <w:rPr>
                <w:rFonts w:hint="eastAsia"/>
                <w:color w:val="auto"/>
                <w:sz w:val="21"/>
                <w:szCs w:val="21"/>
              </w:rPr>
              <w:t>颗粒物</w:t>
            </w:r>
          </w:p>
        </w:tc>
        <w:tc>
          <w:tcPr>
            <w:tcW w:w="727" w:type="pct"/>
            <w:tcBorders>
              <w:tl2br w:val="nil"/>
              <w:tr2bl w:val="nil"/>
            </w:tcBorders>
            <w:vAlign w:val="center"/>
          </w:tcPr>
          <w:p w14:paraId="42A0D717">
            <w:pPr>
              <w:spacing w:line="240" w:lineRule="auto"/>
              <w:ind w:firstLine="0" w:firstLineChars="0"/>
              <w:jc w:val="center"/>
              <w:rPr>
                <w:color w:val="auto"/>
                <w:sz w:val="21"/>
                <w:szCs w:val="21"/>
              </w:rPr>
            </w:pPr>
            <w:r>
              <w:rPr>
                <w:rFonts w:hint="eastAsia"/>
                <w:color w:val="auto"/>
                <w:sz w:val="21"/>
                <w:szCs w:val="21"/>
              </w:rPr>
              <w:t>5</w:t>
            </w:r>
            <w:r>
              <w:rPr>
                <w:color w:val="auto"/>
                <w:sz w:val="21"/>
                <w:szCs w:val="21"/>
              </w:rPr>
              <w:t>.0</w:t>
            </w:r>
          </w:p>
        </w:tc>
        <w:tc>
          <w:tcPr>
            <w:tcW w:w="744" w:type="pct"/>
            <w:tcBorders>
              <w:tl2br w:val="nil"/>
              <w:tr2bl w:val="nil"/>
            </w:tcBorders>
            <w:vAlign w:val="center"/>
          </w:tcPr>
          <w:p w14:paraId="2F6870DD">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.51</w:t>
            </w:r>
            <w:r>
              <w:rPr>
                <w:rFonts w:hint="eastAsia"/>
                <w:color w:val="auto"/>
                <w:sz w:val="21"/>
                <w:szCs w:val="21"/>
              </w:rPr>
              <w:t>×</w:t>
            </w:r>
            <w:r>
              <w:rPr>
                <w:color w:val="auto"/>
                <w:sz w:val="21"/>
                <w:szCs w:val="21"/>
              </w:rPr>
              <w:t>10</w:t>
            </w:r>
            <w:r>
              <w:rPr>
                <w:color w:val="auto"/>
                <w:sz w:val="21"/>
                <w:szCs w:val="21"/>
                <w:vertAlign w:val="superscript"/>
              </w:rPr>
              <w:t>-3</w:t>
            </w:r>
          </w:p>
        </w:tc>
        <w:tc>
          <w:tcPr>
            <w:tcW w:w="346" w:type="pct"/>
            <w:vMerge w:val="restart"/>
            <w:tcBorders>
              <w:tl2br w:val="nil"/>
              <w:tr2bl w:val="nil"/>
            </w:tcBorders>
            <w:vAlign w:val="center"/>
          </w:tcPr>
          <w:p w14:paraId="54BE8A27">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w:t>
            </w:r>
          </w:p>
        </w:tc>
        <w:tc>
          <w:tcPr>
            <w:tcW w:w="733" w:type="pct"/>
            <w:tcBorders>
              <w:tl2br w:val="nil"/>
              <w:tr2bl w:val="nil"/>
            </w:tcBorders>
            <w:vAlign w:val="center"/>
          </w:tcPr>
          <w:p w14:paraId="2CC6D907">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6380B9BB">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5C62331E">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3E4FED3A">
            <w:pPr>
              <w:spacing w:line="240" w:lineRule="auto"/>
              <w:ind w:firstLine="0" w:firstLineChars="0"/>
              <w:jc w:val="center"/>
              <w:rPr>
                <w:color w:val="auto"/>
                <w:sz w:val="21"/>
                <w:szCs w:val="21"/>
              </w:rPr>
            </w:pPr>
          </w:p>
        </w:tc>
      </w:tr>
      <w:tr w14:paraId="40190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633F3596">
            <w:pPr>
              <w:spacing w:line="240" w:lineRule="auto"/>
              <w:ind w:firstLine="0" w:firstLineChars="0"/>
              <w:jc w:val="center"/>
              <w:rPr>
                <w:color w:val="auto"/>
                <w:sz w:val="21"/>
                <w:szCs w:val="21"/>
              </w:rPr>
            </w:pPr>
            <w:r>
              <w:rPr>
                <w:rFonts w:hint="eastAsia"/>
                <w:color w:val="auto"/>
                <w:sz w:val="21"/>
                <w:szCs w:val="21"/>
              </w:rPr>
              <w:t>二氧化硫</w:t>
            </w:r>
          </w:p>
        </w:tc>
        <w:tc>
          <w:tcPr>
            <w:tcW w:w="727" w:type="pct"/>
            <w:tcBorders>
              <w:tl2br w:val="nil"/>
              <w:tr2bl w:val="nil"/>
            </w:tcBorders>
            <w:vAlign w:val="center"/>
          </w:tcPr>
          <w:p w14:paraId="0AF7A6CB">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D</w:t>
            </w:r>
          </w:p>
        </w:tc>
        <w:tc>
          <w:tcPr>
            <w:tcW w:w="744" w:type="pct"/>
            <w:tcBorders>
              <w:tl2br w:val="nil"/>
              <w:tr2bl w:val="nil"/>
            </w:tcBorders>
            <w:vAlign w:val="center"/>
          </w:tcPr>
          <w:p w14:paraId="59C6716B">
            <w:pPr>
              <w:spacing w:line="240" w:lineRule="auto"/>
              <w:ind w:firstLine="0" w:firstLineChars="0"/>
              <w:jc w:val="center"/>
              <w:rPr>
                <w:color w:val="auto"/>
                <w:sz w:val="21"/>
                <w:szCs w:val="21"/>
              </w:rPr>
            </w:pPr>
            <w:r>
              <w:rPr>
                <w:rFonts w:hint="eastAsia"/>
                <w:color w:val="auto"/>
                <w:sz w:val="21"/>
                <w:szCs w:val="21"/>
              </w:rPr>
              <w:t>/</w:t>
            </w:r>
          </w:p>
        </w:tc>
        <w:tc>
          <w:tcPr>
            <w:tcW w:w="346" w:type="pct"/>
            <w:vMerge w:val="continue"/>
            <w:tcBorders>
              <w:tl2br w:val="nil"/>
              <w:tr2bl w:val="nil"/>
            </w:tcBorders>
            <w:vAlign w:val="center"/>
          </w:tcPr>
          <w:p w14:paraId="2CF9EE23">
            <w:pPr>
              <w:spacing w:line="240" w:lineRule="auto"/>
              <w:ind w:firstLine="0" w:firstLineChars="0"/>
              <w:jc w:val="center"/>
              <w:rPr>
                <w:color w:val="auto"/>
                <w:sz w:val="21"/>
                <w:szCs w:val="21"/>
              </w:rPr>
            </w:pPr>
          </w:p>
        </w:tc>
        <w:tc>
          <w:tcPr>
            <w:tcW w:w="733" w:type="pct"/>
            <w:tcBorders>
              <w:tl2br w:val="nil"/>
              <w:tr2bl w:val="nil"/>
            </w:tcBorders>
            <w:vAlign w:val="center"/>
          </w:tcPr>
          <w:p w14:paraId="0B318D82">
            <w:pPr>
              <w:spacing w:line="240" w:lineRule="auto"/>
              <w:ind w:firstLine="0" w:firstLineChars="0"/>
              <w:jc w:val="center"/>
              <w:rPr>
                <w:color w:val="auto"/>
                <w:sz w:val="21"/>
                <w:szCs w:val="21"/>
              </w:rPr>
            </w:pPr>
            <w:r>
              <w:rPr>
                <w:color w:val="auto"/>
                <w:sz w:val="21"/>
                <w:szCs w:val="21"/>
              </w:rPr>
              <w:t>80</w:t>
            </w:r>
          </w:p>
        </w:tc>
        <w:tc>
          <w:tcPr>
            <w:tcW w:w="628" w:type="pct"/>
            <w:tcBorders>
              <w:tl2br w:val="nil"/>
              <w:tr2bl w:val="nil"/>
            </w:tcBorders>
            <w:vAlign w:val="center"/>
          </w:tcPr>
          <w:p w14:paraId="070E7112">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501485E5">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3E619189">
            <w:pPr>
              <w:spacing w:line="240" w:lineRule="auto"/>
              <w:ind w:firstLine="0" w:firstLineChars="0"/>
              <w:jc w:val="center"/>
              <w:rPr>
                <w:color w:val="auto"/>
                <w:sz w:val="21"/>
                <w:szCs w:val="21"/>
              </w:rPr>
            </w:pPr>
          </w:p>
        </w:tc>
      </w:tr>
      <w:tr w14:paraId="514F4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1BD98DC7">
            <w:pPr>
              <w:spacing w:line="240" w:lineRule="auto"/>
              <w:ind w:firstLine="0" w:firstLineChars="0"/>
              <w:jc w:val="center"/>
              <w:rPr>
                <w:color w:val="auto"/>
                <w:sz w:val="21"/>
                <w:szCs w:val="21"/>
              </w:rPr>
            </w:pPr>
            <w:r>
              <w:rPr>
                <w:rFonts w:hint="eastAsia"/>
                <w:color w:val="auto"/>
                <w:sz w:val="21"/>
                <w:szCs w:val="21"/>
              </w:rPr>
              <w:t>氮氧化物</w:t>
            </w:r>
          </w:p>
        </w:tc>
        <w:tc>
          <w:tcPr>
            <w:tcW w:w="727" w:type="pct"/>
            <w:tcBorders>
              <w:tl2br w:val="nil"/>
              <w:tr2bl w:val="nil"/>
            </w:tcBorders>
            <w:vAlign w:val="center"/>
          </w:tcPr>
          <w:p w14:paraId="0420D1F4">
            <w:pPr>
              <w:spacing w:line="240" w:lineRule="auto"/>
              <w:ind w:firstLine="0" w:firstLineChars="0"/>
              <w:jc w:val="center"/>
              <w:rPr>
                <w:color w:val="auto"/>
                <w:sz w:val="21"/>
                <w:szCs w:val="21"/>
              </w:rPr>
            </w:pPr>
            <w:r>
              <w:rPr>
                <w:rFonts w:hint="eastAsia"/>
                <w:color w:val="auto"/>
                <w:sz w:val="21"/>
                <w:szCs w:val="21"/>
              </w:rPr>
              <w:t>6</w:t>
            </w:r>
            <w:r>
              <w:rPr>
                <w:color w:val="auto"/>
                <w:sz w:val="21"/>
                <w:szCs w:val="21"/>
              </w:rPr>
              <w:t>4</w:t>
            </w:r>
          </w:p>
        </w:tc>
        <w:tc>
          <w:tcPr>
            <w:tcW w:w="744" w:type="pct"/>
            <w:tcBorders>
              <w:tl2br w:val="nil"/>
              <w:tr2bl w:val="nil"/>
            </w:tcBorders>
            <w:vAlign w:val="center"/>
          </w:tcPr>
          <w:p w14:paraId="7A233C21">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.94</w:t>
            </w:r>
            <w:r>
              <w:rPr>
                <w:rFonts w:hint="eastAsia"/>
                <w:color w:val="auto"/>
                <w:sz w:val="21"/>
                <w:szCs w:val="21"/>
              </w:rPr>
              <w:t>×</w:t>
            </w:r>
            <w:r>
              <w:rPr>
                <w:color w:val="auto"/>
                <w:sz w:val="21"/>
                <w:szCs w:val="21"/>
              </w:rPr>
              <w:t>10</w:t>
            </w:r>
            <w:r>
              <w:rPr>
                <w:color w:val="auto"/>
                <w:sz w:val="21"/>
                <w:szCs w:val="21"/>
                <w:vertAlign w:val="superscript"/>
              </w:rPr>
              <w:t>-2</w:t>
            </w:r>
          </w:p>
        </w:tc>
        <w:tc>
          <w:tcPr>
            <w:tcW w:w="346" w:type="pct"/>
            <w:vMerge w:val="continue"/>
            <w:tcBorders>
              <w:tl2br w:val="nil"/>
              <w:tr2bl w:val="nil"/>
            </w:tcBorders>
            <w:vAlign w:val="center"/>
          </w:tcPr>
          <w:p w14:paraId="34C6AA8F">
            <w:pPr>
              <w:spacing w:line="240" w:lineRule="auto"/>
              <w:ind w:firstLine="0" w:firstLineChars="0"/>
              <w:jc w:val="center"/>
              <w:rPr>
                <w:color w:val="auto"/>
                <w:sz w:val="21"/>
                <w:szCs w:val="21"/>
              </w:rPr>
            </w:pPr>
          </w:p>
        </w:tc>
        <w:tc>
          <w:tcPr>
            <w:tcW w:w="733" w:type="pct"/>
            <w:tcBorders>
              <w:tl2br w:val="nil"/>
              <w:tr2bl w:val="nil"/>
            </w:tcBorders>
            <w:vAlign w:val="center"/>
          </w:tcPr>
          <w:p w14:paraId="448A116E">
            <w:pPr>
              <w:spacing w:line="240" w:lineRule="auto"/>
              <w:ind w:firstLine="0" w:firstLineChars="0"/>
              <w:jc w:val="center"/>
              <w:rPr>
                <w:color w:val="auto"/>
                <w:sz w:val="21"/>
                <w:szCs w:val="21"/>
              </w:rPr>
            </w:pPr>
            <w:r>
              <w:rPr>
                <w:color w:val="auto"/>
                <w:sz w:val="21"/>
                <w:szCs w:val="21"/>
              </w:rPr>
              <w:t>180</w:t>
            </w:r>
          </w:p>
        </w:tc>
        <w:tc>
          <w:tcPr>
            <w:tcW w:w="628" w:type="pct"/>
            <w:tcBorders>
              <w:tl2br w:val="nil"/>
              <w:tr2bl w:val="nil"/>
            </w:tcBorders>
            <w:vAlign w:val="center"/>
          </w:tcPr>
          <w:p w14:paraId="7FCB8EDC">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3F348F53">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5E6B314D">
            <w:pPr>
              <w:spacing w:line="240" w:lineRule="auto"/>
              <w:ind w:firstLine="0" w:firstLineChars="0"/>
              <w:jc w:val="center"/>
              <w:rPr>
                <w:color w:val="auto"/>
                <w:sz w:val="21"/>
                <w:szCs w:val="21"/>
              </w:rPr>
            </w:pPr>
          </w:p>
        </w:tc>
      </w:tr>
      <w:tr w14:paraId="470A2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68A86F5C">
            <w:pPr>
              <w:spacing w:line="240" w:lineRule="auto"/>
              <w:ind w:firstLine="0" w:firstLineChars="0"/>
              <w:jc w:val="center"/>
              <w:rPr>
                <w:color w:val="auto"/>
                <w:sz w:val="21"/>
                <w:szCs w:val="21"/>
              </w:rPr>
            </w:pPr>
            <w:r>
              <w:rPr>
                <w:rFonts w:hint="eastAsia"/>
                <w:color w:val="auto"/>
                <w:sz w:val="21"/>
                <w:szCs w:val="21"/>
              </w:rPr>
              <w:t>颗粒物</w:t>
            </w:r>
          </w:p>
        </w:tc>
        <w:tc>
          <w:tcPr>
            <w:tcW w:w="727" w:type="pct"/>
            <w:tcBorders>
              <w:tl2br w:val="nil"/>
              <w:tr2bl w:val="nil"/>
            </w:tcBorders>
            <w:vAlign w:val="center"/>
          </w:tcPr>
          <w:p w14:paraId="20C4FCEF">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.0</w:t>
            </w:r>
          </w:p>
        </w:tc>
        <w:tc>
          <w:tcPr>
            <w:tcW w:w="744" w:type="pct"/>
            <w:tcBorders>
              <w:tl2br w:val="nil"/>
              <w:tr2bl w:val="nil"/>
            </w:tcBorders>
            <w:vAlign w:val="center"/>
          </w:tcPr>
          <w:p w14:paraId="40280E81">
            <w:pPr>
              <w:spacing w:line="240" w:lineRule="auto"/>
              <w:ind w:firstLine="0" w:firstLineChars="0"/>
              <w:jc w:val="center"/>
              <w:rPr>
                <w:color w:val="auto"/>
                <w:sz w:val="21"/>
                <w:szCs w:val="21"/>
              </w:rPr>
            </w:pPr>
            <w:r>
              <w:rPr>
                <w:rFonts w:hint="eastAsia"/>
                <w:color w:val="auto"/>
                <w:sz w:val="21"/>
                <w:szCs w:val="21"/>
              </w:rPr>
              <w:t>9</w:t>
            </w:r>
            <w:r>
              <w:rPr>
                <w:color w:val="auto"/>
                <w:sz w:val="21"/>
                <w:szCs w:val="21"/>
              </w:rPr>
              <w:t>.11</w:t>
            </w:r>
            <w:r>
              <w:rPr>
                <w:rFonts w:hint="eastAsia"/>
                <w:color w:val="auto"/>
                <w:sz w:val="21"/>
                <w:szCs w:val="21"/>
              </w:rPr>
              <w:t>×</w:t>
            </w:r>
            <w:r>
              <w:rPr>
                <w:color w:val="auto"/>
                <w:sz w:val="21"/>
                <w:szCs w:val="21"/>
              </w:rPr>
              <w:t>10</w:t>
            </w:r>
            <w:r>
              <w:rPr>
                <w:color w:val="auto"/>
                <w:sz w:val="21"/>
                <w:szCs w:val="21"/>
                <w:vertAlign w:val="superscript"/>
              </w:rPr>
              <w:t>-4</w:t>
            </w:r>
          </w:p>
        </w:tc>
        <w:tc>
          <w:tcPr>
            <w:tcW w:w="346" w:type="pct"/>
            <w:vMerge w:val="restart"/>
            <w:tcBorders>
              <w:tl2br w:val="nil"/>
              <w:tr2bl w:val="nil"/>
            </w:tcBorders>
            <w:vAlign w:val="center"/>
          </w:tcPr>
          <w:p w14:paraId="5BC12EBF">
            <w:pPr>
              <w:spacing w:line="240" w:lineRule="auto"/>
              <w:ind w:firstLine="0" w:firstLineChars="0"/>
              <w:jc w:val="center"/>
              <w:rPr>
                <w:color w:val="auto"/>
                <w:sz w:val="21"/>
                <w:szCs w:val="21"/>
              </w:rPr>
            </w:pPr>
            <w:r>
              <w:rPr>
                <w:rFonts w:hint="eastAsia"/>
                <w:color w:val="auto"/>
                <w:sz w:val="21"/>
                <w:szCs w:val="21"/>
              </w:rPr>
              <w:t>4</w:t>
            </w:r>
            <w:r>
              <w:rPr>
                <w:color w:val="auto"/>
                <w:sz w:val="21"/>
                <w:szCs w:val="21"/>
              </w:rPr>
              <w:t>#</w:t>
            </w:r>
          </w:p>
        </w:tc>
        <w:tc>
          <w:tcPr>
            <w:tcW w:w="733" w:type="pct"/>
            <w:tcBorders>
              <w:tl2br w:val="nil"/>
              <w:tr2bl w:val="nil"/>
            </w:tcBorders>
            <w:vAlign w:val="center"/>
          </w:tcPr>
          <w:p w14:paraId="1D2B44F5">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2001303D">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68A467B4">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062B528A">
            <w:pPr>
              <w:spacing w:line="240" w:lineRule="auto"/>
              <w:ind w:firstLine="0" w:firstLineChars="0"/>
              <w:jc w:val="center"/>
              <w:rPr>
                <w:color w:val="auto"/>
                <w:sz w:val="21"/>
                <w:szCs w:val="21"/>
              </w:rPr>
            </w:pPr>
          </w:p>
        </w:tc>
      </w:tr>
      <w:tr w14:paraId="71CC2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6C491091">
            <w:pPr>
              <w:spacing w:line="240" w:lineRule="auto"/>
              <w:ind w:firstLine="0" w:firstLineChars="0"/>
              <w:jc w:val="center"/>
              <w:rPr>
                <w:color w:val="auto"/>
                <w:sz w:val="21"/>
                <w:szCs w:val="21"/>
              </w:rPr>
            </w:pPr>
            <w:r>
              <w:rPr>
                <w:rFonts w:hint="eastAsia"/>
                <w:color w:val="auto"/>
                <w:sz w:val="21"/>
                <w:szCs w:val="21"/>
              </w:rPr>
              <w:t>二氧化硫</w:t>
            </w:r>
          </w:p>
        </w:tc>
        <w:tc>
          <w:tcPr>
            <w:tcW w:w="727" w:type="pct"/>
            <w:tcBorders>
              <w:tl2br w:val="nil"/>
              <w:tr2bl w:val="nil"/>
            </w:tcBorders>
            <w:vAlign w:val="center"/>
          </w:tcPr>
          <w:p w14:paraId="4A0D71B4">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D</w:t>
            </w:r>
          </w:p>
        </w:tc>
        <w:tc>
          <w:tcPr>
            <w:tcW w:w="744" w:type="pct"/>
            <w:tcBorders>
              <w:tl2br w:val="nil"/>
              <w:tr2bl w:val="nil"/>
            </w:tcBorders>
            <w:vAlign w:val="center"/>
          </w:tcPr>
          <w:p w14:paraId="00CFD6F1">
            <w:pPr>
              <w:spacing w:line="240" w:lineRule="auto"/>
              <w:ind w:firstLine="0" w:firstLineChars="0"/>
              <w:jc w:val="center"/>
              <w:rPr>
                <w:color w:val="auto"/>
                <w:sz w:val="21"/>
                <w:szCs w:val="21"/>
              </w:rPr>
            </w:pPr>
            <w:r>
              <w:rPr>
                <w:rFonts w:hint="eastAsia"/>
                <w:color w:val="auto"/>
                <w:sz w:val="21"/>
                <w:szCs w:val="21"/>
              </w:rPr>
              <w:t>/</w:t>
            </w:r>
          </w:p>
        </w:tc>
        <w:tc>
          <w:tcPr>
            <w:tcW w:w="346" w:type="pct"/>
            <w:vMerge w:val="continue"/>
            <w:tcBorders>
              <w:tl2br w:val="nil"/>
              <w:tr2bl w:val="nil"/>
            </w:tcBorders>
            <w:vAlign w:val="center"/>
          </w:tcPr>
          <w:p w14:paraId="40759924">
            <w:pPr>
              <w:spacing w:line="240" w:lineRule="auto"/>
              <w:ind w:firstLine="0" w:firstLineChars="0"/>
              <w:jc w:val="center"/>
              <w:rPr>
                <w:color w:val="auto"/>
                <w:sz w:val="21"/>
                <w:szCs w:val="21"/>
              </w:rPr>
            </w:pPr>
          </w:p>
        </w:tc>
        <w:tc>
          <w:tcPr>
            <w:tcW w:w="733" w:type="pct"/>
            <w:tcBorders>
              <w:tl2br w:val="nil"/>
              <w:tr2bl w:val="nil"/>
            </w:tcBorders>
            <w:vAlign w:val="center"/>
          </w:tcPr>
          <w:p w14:paraId="7A80DFC1">
            <w:pPr>
              <w:spacing w:line="240" w:lineRule="auto"/>
              <w:ind w:firstLine="0" w:firstLineChars="0"/>
              <w:jc w:val="center"/>
              <w:rPr>
                <w:color w:val="auto"/>
                <w:sz w:val="21"/>
                <w:szCs w:val="21"/>
              </w:rPr>
            </w:pPr>
            <w:r>
              <w:rPr>
                <w:color w:val="auto"/>
                <w:sz w:val="21"/>
                <w:szCs w:val="21"/>
              </w:rPr>
              <w:t>80</w:t>
            </w:r>
          </w:p>
        </w:tc>
        <w:tc>
          <w:tcPr>
            <w:tcW w:w="628" w:type="pct"/>
            <w:tcBorders>
              <w:tl2br w:val="nil"/>
              <w:tr2bl w:val="nil"/>
            </w:tcBorders>
            <w:vAlign w:val="center"/>
          </w:tcPr>
          <w:p w14:paraId="3D14E713">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65F19665">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0023A060">
            <w:pPr>
              <w:spacing w:line="240" w:lineRule="auto"/>
              <w:ind w:firstLine="0" w:firstLineChars="0"/>
              <w:jc w:val="center"/>
              <w:rPr>
                <w:color w:val="auto"/>
                <w:sz w:val="21"/>
                <w:szCs w:val="21"/>
              </w:rPr>
            </w:pPr>
          </w:p>
        </w:tc>
      </w:tr>
      <w:tr w14:paraId="37ECC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3F850C71">
            <w:pPr>
              <w:spacing w:line="240" w:lineRule="auto"/>
              <w:ind w:firstLine="0" w:firstLineChars="0"/>
              <w:jc w:val="center"/>
              <w:rPr>
                <w:color w:val="auto"/>
                <w:sz w:val="21"/>
                <w:szCs w:val="21"/>
              </w:rPr>
            </w:pPr>
            <w:r>
              <w:rPr>
                <w:rFonts w:hint="eastAsia"/>
                <w:color w:val="auto"/>
                <w:sz w:val="21"/>
                <w:szCs w:val="21"/>
              </w:rPr>
              <w:t>氮氧化物</w:t>
            </w:r>
          </w:p>
        </w:tc>
        <w:tc>
          <w:tcPr>
            <w:tcW w:w="727" w:type="pct"/>
            <w:tcBorders>
              <w:tl2br w:val="nil"/>
              <w:tr2bl w:val="nil"/>
            </w:tcBorders>
            <w:vAlign w:val="center"/>
          </w:tcPr>
          <w:p w14:paraId="6E3B250A">
            <w:pPr>
              <w:spacing w:line="240" w:lineRule="auto"/>
              <w:ind w:firstLine="0" w:firstLineChars="0"/>
              <w:jc w:val="center"/>
              <w:rPr>
                <w:color w:val="auto"/>
                <w:sz w:val="21"/>
                <w:szCs w:val="21"/>
              </w:rPr>
            </w:pPr>
            <w:r>
              <w:rPr>
                <w:rFonts w:hint="eastAsia"/>
                <w:color w:val="auto"/>
                <w:sz w:val="21"/>
                <w:szCs w:val="21"/>
              </w:rPr>
              <w:t>6</w:t>
            </w:r>
            <w:r>
              <w:rPr>
                <w:color w:val="auto"/>
                <w:sz w:val="21"/>
                <w:szCs w:val="21"/>
              </w:rPr>
              <w:t>9</w:t>
            </w:r>
          </w:p>
        </w:tc>
        <w:tc>
          <w:tcPr>
            <w:tcW w:w="744" w:type="pct"/>
            <w:tcBorders>
              <w:tl2br w:val="nil"/>
              <w:tr2bl w:val="nil"/>
            </w:tcBorders>
            <w:vAlign w:val="center"/>
          </w:tcPr>
          <w:p w14:paraId="6E08D03D">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.08</w:t>
            </w:r>
            <w:r>
              <w:rPr>
                <w:rFonts w:hint="eastAsia"/>
                <w:color w:val="auto"/>
                <w:sz w:val="21"/>
                <w:szCs w:val="21"/>
              </w:rPr>
              <w:t>×</w:t>
            </w:r>
            <w:r>
              <w:rPr>
                <w:color w:val="auto"/>
                <w:sz w:val="21"/>
                <w:szCs w:val="21"/>
              </w:rPr>
              <w:t>10</w:t>
            </w:r>
            <w:r>
              <w:rPr>
                <w:color w:val="auto"/>
                <w:sz w:val="21"/>
                <w:szCs w:val="21"/>
                <w:vertAlign w:val="superscript"/>
              </w:rPr>
              <w:t>-2</w:t>
            </w:r>
          </w:p>
        </w:tc>
        <w:tc>
          <w:tcPr>
            <w:tcW w:w="346" w:type="pct"/>
            <w:vMerge w:val="continue"/>
            <w:tcBorders>
              <w:tl2br w:val="nil"/>
              <w:tr2bl w:val="nil"/>
            </w:tcBorders>
            <w:vAlign w:val="center"/>
          </w:tcPr>
          <w:p w14:paraId="6329ABAB">
            <w:pPr>
              <w:spacing w:line="240" w:lineRule="auto"/>
              <w:ind w:firstLine="0" w:firstLineChars="0"/>
              <w:jc w:val="center"/>
              <w:rPr>
                <w:color w:val="auto"/>
                <w:sz w:val="21"/>
                <w:szCs w:val="21"/>
              </w:rPr>
            </w:pPr>
          </w:p>
        </w:tc>
        <w:tc>
          <w:tcPr>
            <w:tcW w:w="733" w:type="pct"/>
            <w:tcBorders>
              <w:tl2br w:val="nil"/>
              <w:tr2bl w:val="nil"/>
            </w:tcBorders>
            <w:vAlign w:val="center"/>
          </w:tcPr>
          <w:p w14:paraId="50ABB488">
            <w:pPr>
              <w:spacing w:line="240" w:lineRule="auto"/>
              <w:ind w:firstLine="0" w:firstLineChars="0"/>
              <w:jc w:val="center"/>
              <w:rPr>
                <w:color w:val="auto"/>
                <w:sz w:val="21"/>
                <w:szCs w:val="21"/>
              </w:rPr>
            </w:pPr>
            <w:r>
              <w:rPr>
                <w:color w:val="auto"/>
                <w:sz w:val="21"/>
                <w:szCs w:val="21"/>
              </w:rPr>
              <w:t>180</w:t>
            </w:r>
          </w:p>
        </w:tc>
        <w:tc>
          <w:tcPr>
            <w:tcW w:w="628" w:type="pct"/>
            <w:tcBorders>
              <w:tl2br w:val="nil"/>
              <w:tr2bl w:val="nil"/>
            </w:tcBorders>
            <w:vAlign w:val="center"/>
          </w:tcPr>
          <w:p w14:paraId="6639B772">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4F3F7BC9">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517CB306">
            <w:pPr>
              <w:spacing w:line="240" w:lineRule="auto"/>
              <w:ind w:firstLine="0" w:firstLineChars="0"/>
              <w:jc w:val="center"/>
              <w:rPr>
                <w:color w:val="auto"/>
                <w:sz w:val="21"/>
                <w:szCs w:val="21"/>
              </w:rPr>
            </w:pPr>
          </w:p>
        </w:tc>
      </w:tr>
      <w:tr w14:paraId="62356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10C16652">
            <w:pPr>
              <w:spacing w:line="240" w:lineRule="auto"/>
              <w:ind w:firstLine="0" w:firstLineChars="0"/>
              <w:jc w:val="center"/>
              <w:rPr>
                <w:color w:val="auto"/>
                <w:sz w:val="21"/>
                <w:szCs w:val="21"/>
              </w:rPr>
            </w:pPr>
            <w:r>
              <w:rPr>
                <w:rFonts w:hint="eastAsia"/>
                <w:color w:val="auto"/>
                <w:sz w:val="21"/>
                <w:szCs w:val="21"/>
              </w:rPr>
              <w:t>颗粒物</w:t>
            </w:r>
          </w:p>
        </w:tc>
        <w:tc>
          <w:tcPr>
            <w:tcW w:w="727" w:type="pct"/>
            <w:tcBorders>
              <w:tl2br w:val="nil"/>
              <w:tr2bl w:val="nil"/>
            </w:tcBorders>
            <w:vAlign w:val="center"/>
          </w:tcPr>
          <w:p w14:paraId="667F111B">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.3</w:t>
            </w:r>
          </w:p>
        </w:tc>
        <w:tc>
          <w:tcPr>
            <w:tcW w:w="744" w:type="pct"/>
            <w:tcBorders>
              <w:tl2br w:val="nil"/>
              <w:tr2bl w:val="nil"/>
            </w:tcBorders>
            <w:vAlign w:val="center"/>
          </w:tcPr>
          <w:p w14:paraId="33C0374A">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.23</w:t>
            </w:r>
            <w:r>
              <w:rPr>
                <w:rFonts w:hint="eastAsia"/>
                <w:color w:val="auto"/>
                <w:sz w:val="21"/>
                <w:szCs w:val="21"/>
              </w:rPr>
              <w:t>×</w:t>
            </w:r>
            <w:r>
              <w:rPr>
                <w:color w:val="auto"/>
                <w:sz w:val="21"/>
                <w:szCs w:val="21"/>
              </w:rPr>
              <w:t>10</w:t>
            </w:r>
            <w:r>
              <w:rPr>
                <w:color w:val="auto"/>
                <w:sz w:val="21"/>
                <w:szCs w:val="21"/>
                <w:vertAlign w:val="superscript"/>
              </w:rPr>
              <w:t>-3</w:t>
            </w:r>
          </w:p>
        </w:tc>
        <w:tc>
          <w:tcPr>
            <w:tcW w:w="346" w:type="pct"/>
            <w:vMerge w:val="restart"/>
            <w:tcBorders>
              <w:tl2br w:val="nil"/>
              <w:tr2bl w:val="nil"/>
            </w:tcBorders>
            <w:vAlign w:val="center"/>
          </w:tcPr>
          <w:p w14:paraId="7015DCBC">
            <w:pPr>
              <w:spacing w:line="240" w:lineRule="auto"/>
              <w:ind w:firstLine="0" w:firstLineChars="0"/>
              <w:jc w:val="center"/>
              <w:rPr>
                <w:color w:val="auto"/>
                <w:sz w:val="21"/>
                <w:szCs w:val="21"/>
              </w:rPr>
            </w:pPr>
            <w:r>
              <w:rPr>
                <w:rFonts w:hint="eastAsia"/>
                <w:color w:val="auto"/>
                <w:sz w:val="21"/>
                <w:szCs w:val="21"/>
              </w:rPr>
              <w:t>5</w:t>
            </w:r>
            <w:r>
              <w:rPr>
                <w:color w:val="auto"/>
                <w:sz w:val="21"/>
                <w:szCs w:val="21"/>
              </w:rPr>
              <w:t>#</w:t>
            </w:r>
          </w:p>
        </w:tc>
        <w:tc>
          <w:tcPr>
            <w:tcW w:w="733" w:type="pct"/>
            <w:tcBorders>
              <w:tl2br w:val="nil"/>
              <w:tr2bl w:val="nil"/>
            </w:tcBorders>
            <w:vAlign w:val="center"/>
          </w:tcPr>
          <w:p w14:paraId="11C203BF">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5B167C25">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08A57568">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4E95C1B7">
            <w:pPr>
              <w:spacing w:line="240" w:lineRule="auto"/>
              <w:ind w:firstLine="0" w:firstLineChars="0"/>
              <w:jc w:val="center"/>
              <w:rPr>
                <w:color w:val="auto"/>
                <w:sz w:val="21"/>
                <w:szCs w:val="21"/>
              </w:rPr>
            </w:pPr>
          </w:p>
        </w:tc>
      </w:tr>
      <w:tr w14:paraId="17624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35A5ED29">
            <w:pPr>
              <w:spacing w:line="240" w:lineRule="auto"/>
              <w:ind w:firstLine="0" w:firstLineChars="0"/>
              <w:jc w:val="center"/>
              <w:rPr>
                <w:color w:val="auto"/>
                <w:sz w:val="21"/>
                <w:szCs w:val="21"/>
              </w:rPr>
            </w:pPr>
            <w:r>
              <w:rPr>
                <w:rFonts w:hint="eastAsia"/>
                <w:color w:val="auto"/>
                <w:sz w:val="21"/>
                <w:szCs w:val="21"/>
              </w:rPr>
              <w:t>二氧化硫</w:t>
            </w:r>
          </w:p>
        </w:tc>
        <w:tc>
          <w:tcPr>
            <w:tcW w:w="727" w:type="pct"/>
            <w:tcBorders>
              <w:tl2br w:val="nil"/>
              <w:tr2bl w:val="nil"/>
            </w:tcBorders>
            <w:vAlign w:val="center"/>
          </w:tcPr>
          <w:p w14:paraId="398807C6">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D</w:t>
            </w:r>
          </w:p>
        </w:tc>
        <w:tc>
          <w:tcPr>
            <w:tcW w:w="744" w:type="pct"/>
            <w:tcBorders>
              <w:tl2br w:val="nil"/>
              <w:tr2bl w:val="nil"/>
            </w:tcBorders>
            <w:vAlign w:val="center"/>
          </w:tcPr>
          <w:p w14:paraId="329F1484">
            <w:pPr>
              <w:spacing w:line="240" w:lineRule="auto"/>
              <w:ind w:firstLine="0" w:firstLineChars="0"/>
              <w:jc w:val="center"/>
              <w:rPr>
                <w:color w:val="auto"/>
                <w:sz w:val="21"/>
                <w:szCs w:val="21"/>
              </w:rPr>
            </w:pPr>
            <w:r>
              <w:rPr>
                <w:rFonts w:hint="eastAsia"/>
                <w:color w:val="auto"/>
                <w:sz w:val="21"/>
                <w:szCs w:val="21"/>
              </w:rPr>
              <w:t>/</w:t>
            </w:r>
          </w:p>
        </w:tc>
        <w:tc>
          <w:tcPr>
            <w:tcW w:w="346" w:type="pct"/>
            <w:vMerge w:val="continue"/>
            <w:tcBorders>
              <w:tl2br w:val="nil"/>
              <w:tr2bl w:val="nil"/>
            </w:tcBorders>
            <w:vAlign w:val="center"/>
          </w:tcPr>
          <w:p w14:paraId="1BE2E0C6">
            <w:pPr>
              <w:spacing w:line="240" w:lineRule="auto"/>
              <w:ind w:firstLine="0" w:firstLineChars="0"/>
              <w:jc w:val="center"/>
              <w:rPr>
                <w:color w:val="auto"/>
                <w:sz w:val="21"/>
                <w:szCs w:val="21"/>
              </w:rPr>
            </w:pPr>
          </w:p>
        </w:tc>
        <w:tc>
          <w:tcPr>
            <w:tcW w:w="733" w:type="pct"/>
            <w:tcBorders>
              <w:tl2br w:val="nil"/>
              <w:tr2bl w:val="nil"/>
            </w:tcBorders>
            <w:vAlign w:val="center"/>
          </w:tcPr>
          <w:p w14:paraId="69D5D715">
            <w:pPr>
              <w:spacing w:line="240" w:lineRule="auto"/>
              <w:ind w:firstLine="0" w:firstLineChars="0"/>
              <w:jc w:val="center"/>
              <w:rPr>
                <w:color w:val="auto"/>
                <w:sz w:val="21"/>
                <w:szCs w:val="21"/>
              </w:rPr>
            </w:pPr>
            <w:r>
              <w:rPr>
                <w:color w:val="auto"/>
                <w:sz w:val="21"/>
                <w:szCs w:val="21"/>
              </w:rPr>
              <w:t>80</w:t>
            </w:r>
          </w:p>
        </w:tc>
        <w:tc>
          <w:tcPr>
            <w:tcW w:w="628" w:type="pct"/>
            <w:tcBorders>
              <w:tl2br w:val="nil"/>
              <w:tr2bl w:val="nil"/>
            </w:tcBorders>
            <w:vAlign w:val="center"/>
          </w:tcPr>
          <w:p w14:paraId="4BA92196">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327A52FB">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19CE38B5">
            <w:pPr>
              <w:spacing w:line="240" w:lineRule="auto"/>
              <w:ind w:firstLine="0" w:firstLineChars="0"/>
              <w:jc w:val="center"/>
              <w:rPr>
                <w:color w:val="auto"/>
                <w:sz w:val="21"/>
                <w:szCs w:val="21"/>
              </w:rPr>
            </w:pPr>
          </w:p>
        </w:tc>
      </w:tr>
      <w:tr w14:paraId="778E2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2FB91EB9">
            <w:pPr>
              <w:spacing w:line="240" w:lineRule="auto"/>
              <w:ind w:firstLine="0" w:firstLineChars="0"/>
              <w:jc w:val="center"/>
              <w:rPr>
                <w:color w:val="auto"/>
                <w:sz w:val="21"/>
                <w:szCs w:val="21"/>
              </w:rPr>
            </w:pPr>
            <w:r>
              <w:rPr>
                <w:rFonts w:hint="eastAsia"/>
                <w:color w:val="auto"/>
                <w:sz w:val="21"/>
                <w:szCs w:val="21"/>
              </w:rPr>
              <w:t>氮氧化物</w:t>
            </w:r>
          </w:p>
        </w:tc>
        <w:tc>
          <w:tcPr>
            <w:tcW w:w="727" w:type="pct"/>
            <w:tcBorders>
              <w:tl2br w:val="nil"/>
              <w:tr2bl w:val="nil"/>
            </w:tcBorders>
            <w:vAlign w:val="center"/>
          </w:tcPr>
          <w:p w14:paraId="6BDC6A35">
            <w:pPr>
              <w:spacing w:line="240" w:lineRule="auto"/>
              <w:ind w:firstLine="0" w:firstLineChars="0"/>
              <w:jc w:val="center"/>
              <w:rPr>
                <w:color w:val="auto"/>
                <w:sz w:val="21"/>
                <w:szCs w:val="21"/>
              </w:rPr>
            </w:pPr>
            <w:r>
              <w:rPr>
                <w:rFonts w:hint="eastAsia"/>
                <w:color w:val="auto"/>
                <w:sz w:val="21"/>
                <w:szCs w:val="21"/>
              </w:rPr>
              <w:t>6</w:t>
            </w:r>
            <w:r>
              <w:rPr>
                <w:color w:val="auto"/>
                <w:sz w:val="21"/>
                <w:szCs w:val="21"/>
              </w:rPr>
              <w:t>8</w:t>
            </w:r>
          </w:p>
        </w:tc>
        <w:tc>
          <w:tcPr>
            <w:tcW w:w="744" w:type="pct"/>
            <w:tcBorders>
              <w:tl2br w:val="nil"/>
              <w:tr2bl w:val="nil"/>
            </w:tcBorders>
            <w:vAlign w:val="center"/>
          </w:tcPr>
          <w:p w14:paraId="01E36CA4">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.09</w:t>
            </w:r>
            <w:r>
              <w:rPr>
                <w:rFonts w:hint="eastAsia"/>
                <w:color w:val="auto"/>
                <w:sz w:val="21"/>
                <w:szCs w:val="21"/>
              </w:rPr>
              <w:t>×</w:t>
            </w:r>
            <w:r>
              <w:rPr>
                <w:color w:val="auto"/>
                <w:sz w:val="21"/>
                <w:szCs w:val="21"/>
              </w:rPr>
              <w:t>10</w:t>
            </w:r>
            <w:r>
              <w:rPr>
                <w:color w:val="auto"/>
                <w:sz w:val="21"/>
                <w:szCs w:val="21"/>
                <w:vertAlign w:val="superscript"/>
              </w:rPr>
              <w:t>-2</w:t>
            </w:r>
          </w:p>
        </w:tc>
        <w:tc>
          <w:tcPr>
            <w:tcW w:w="346" w:type="pct"/>
            <w:vMerge w:val="continue"/>
            <w:tcBorders>
              <w:tl2br w:val="nil"/>
              <w:tr2bl w:val="nil"/>
            </w:tcBorders>
            <w:vAlign w:val="center"/>
          </w:tcPr>
          <w:p w14:paraId="0CCB8CF3">
            <w:pPr>
              <w:spacing w:line="240" w:lineRule="auto"/>
              <w:ind w:firstLine="0" w:firstLineChars="0"/>
              <w:jc w:val="center"/>
              <w:rPr>
                <w:color w:val="auto"/>
                <w:sz w:val="21"/>
                <w:szCs w:val="21"/>
              </w:rPr>
            </w:pPr>
          </w:p>
        </w:tc>
        <w:tc>
          <w:tcPr>
            <w:tcW w:w="733" w:type="pct"/>
            <w:tcBorders>
              <w:tl2br w:val="nil"/>
              <w:tr2bl w:val="nil"/>
            </w:tcBorders>
            <w:vAlign w:val="center"/>
          </w:tcPr>
          <w:p w14:paraId="77EAF0B0">
            <w:pPr>
              <w:spacing w:line="240" w:lineRule="auto"/>
              <w:ind w:firstLine="0" w:firstLineChars="0"/>
              <w:jc w:val="center"/>
              <w:rPr>
                <w:color w:val="auto"/>
                <w:sz w:val="21"/>
                <w:szCs w:val="21"/>
              </w:rPr>
            </w:pPr>
            <w:r>
              <w:rPr>
                <w:color w:val="auto"/>
                <w:sz w:val="21"/>
                <w:szCs w:val="21"/>
              </w:rPr>
              <w:t>180</w:t>
            </w:r>
          </w:p>
        </w:tc>
        <w:tc>
          <w:tcPr>
            <w:tcW w:w="628" w:type="pct"/>
            <w:tcBorders>
              <w:tl2br w:val="nil"/>
              <w:tr2bl w:val="nil"/>
            </w:tcBorders>
            <w:vAlign w:val="center"/>
          </w:tcPr>
          <w:p w14:paraId="0B20796E">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77DF3212">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4890D6D2">
            <w:pPr>
              <w:spacing w:line="240" w:lineRule="auto"/>
              <w:ind w:firstLine="0" w:firstLineChars="0"/>
              <w:jc w:val="center"/>
              <w:rPr>
                <w:color w:val="auto"/>
                <w:sz w:val="21"/>
                <w:szCs w:val="21"/>
              </w:rPr>
            </w:pPr>
          </w:p>
        </w:tc>
      </w:tr>
      <w:tr w14:paraId="01AD1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229176B1">
            <w:pPr>
              <w:spacing w:line="240" w:lineRule="auto"/>
              <w:ind w:firstLine="0" w:firstLineChars="0"/>
              <w:jc w:val="center"/>
              <w:rPr>
                <w:color w:val="auto"/>
                <w:sz w:val="21"/>
                <w:szCs w:val="21"/>
              </w:rPr>
            </w:pPr>
            <w:r>
              <w:rPr>
                <w:rFonts w:hint="eastAsia"/>
                <w:color w:val="auto"/>
                <w:sz w:val="21"/>
                <w:szCs w:val="21"/>
              </w:rPr>
              <w:t>颗粒物</w:t>
            </w:r>
          </w:p>
        </w:tc>
        <w:tc>
          <w:tcPr>
            <w:tcW w:w="727" w:type="pct"/>
            <w:tcBorders>
              <w:tl2br w:val="nil"/>
              <w:tr2bl w:val="nil"/>
            </w:tcBorders>
            <w:vAlign w:val="center"/>
          </w:tcPr>
          <w:p w14:paraId="41833B71">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.4</w:t>
            </w:r>
          </w:p>
        </w:tc>
        <w:tc>
          <w:tcPr>
            <w:tcW w:w="744" w:type="pct"/>
            <w:tcBorders>
              <w:tl2br w:val="nil"/>
              <w:tr2bl w:val="nil"/>
            </w:tcBorders>
            <w:vAlign w:val="center"/>
          </w:tcPr>
          <w:p w14:paraId="628C4167">
            <w:pPr>
              <w:spacing w:line="240" w:lineRule="auto"/>
              <w:ind w:firstLine="0" w:firstLineChars="0"/>
              <w:jc w:val="center"/>
              <w:rPr>
                <w:color w:val="auto"/>
                <w:sz w:val="21"/>
                <w:szCs w:val="21"/>
              </w:rPr>
            </w:pPr>
            <w:r>
              <w:rPr>
                <w:rFonts w:hint="eastAsia"/>
                <w:color w:val="auto"/>
                <w:sz w:val="21"/>
                <w:szCs w:val="21"/>
              </w:rPr>
              <w:t>9</w:t>
            </w:r>
            <w:r>
              <w:rPr>
                <w:color w:val="auto"/>
                <w:sz w:val="21"/>
                <w:szCs w:val="21"/>
              </w:rPr>
              <w:t>.55</w:t>
            </w:r>
            <w:r>
              <w:rPr>
                <w:rFonts w:hint="eastAsia"/>
                <w:color w:val="auto"/>
                <w:sz w:val="21"/>
                <w:szCs w:val="21"/>
              </w:rPr>
              <w:t>×</w:t>
            </w:r>
            <w:r>
              <w:rPr>
                <w:color w:val="auto"/>
                <w:sz w:val="21"/>
                <w:szCs w:val="21"/>
              </w:rPr>
              <w:t>10</w:t>
            </w:r>
            <w:r>
              <w:rPr>
                <w:color w:val="auto"/>
                <w:sz w:val="21"/>
                <w:szCs w:val="21"/>
                <w:vertAlign w:val="superscript"/>
              </w:rPr>
              <w:t>-4</w:t>
            </w:r>
          </w:p>
        </w:tc>
        <w:tc>
          <w:tcPr>
            <w:tcW w:w="346" w:type="pct"/>
            <w:vMerge w:val="restart"/>
            <w:tcBorders>
              <w:tl2br w:val="nil"/>
              <w:tr2bl w:val="nil"/>
            </w:tcBorders>
            <w:vAlign w:val="center"/>
          </w:tcPr>
          <w:p w14:paraId="39B60714">
            <w:pPr>
              <w:spacing w:line="240" w:lineRule="auto"/>
              <w:ind w:firstLine="0" w:firstLineChars="0"/>
              <w:jc w:val="center"/>
              <w:rPr>
                <w:color w:val="auto"/>
                <w:sz w:val="21"/>
                <w:szCs w:val="21"/>
              </w:rPr>
            </w:pPr>
            <w:r>
              <w:rPr>
                <w:rFonts w:hint="eastAsia"/>
                <w:color w:val="auto"/>
                <w:sz w:val="21"/>
                <w:szCs w:val="21"/>
              </w:rPr>
              <w:t>6</w:t>
            </w:r>
            <w:r>
              <w:rPr>
                <w:color w:val="auto"/>
                <w:sz w:val="21"/>
                <w:szCs w:val="21"/>
              </w:rPr>
              <w:t>#</w:t>
            </w:r>
          </w:p>
        </w:tc>
        <w:tc>
          <w:tcPr>
            <w:tcW w:w="733" w:type="pct"/>
            <w:tcBorders>
              <w:tl2br w:val="nil"/>
              <w:tr2bl w:val="nil"/>
            </w:tcBorders>
            <w:vAlign w:val="center"/>
          </w:tcPr>
          <w:p w14:paraId="173A4B02">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325C3CCE">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179583B4">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5DEA5433">
            <w:pPr>
              <w:spacing w:line="240" w:lineRule="auto"/>
              <w:ind w:firstLine="0" w:firstLineChars="0"/>
              <w:jc w:val="center"/>
              <w:rPr>
                <w:color w:val="auto"/>
                <w:sz w:val="21"/>
                <w:szCs w:val="21"/>
              </w:rPr>
            </w:pPr>
          </w:p>
        </w:tc>
      </w:tr>
      <w:tr w14:paraId="7EA2E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6776E857">
            <w:pPr>
              <w:spacing w:line="240" w:lineRule="auto"/>
              <w:ind w:firstLine="0" w:firstLineChars="0"/>
              <w:jc w:val="center"/>
              <w:rPr>
                <w:color w:val="auto"/>
                <w:sz w:val="21"/>
                <w:szCs w:val="21"/>
              </w:rPr>
            </w:pPr>
            <w:r>
              <w:rPr>
                <w:rFonts w:hint="eastAsia"/>
                <w:color w:val="auto"/>
                <w:sz w:val="21"/>
                <w:szCs w:val="21"/>
              </w:rPr>
              <w:t>二氧化硫</w:t>
            </w:r>
          </w:p>
        </w:tc>
        <w:tc>
          <w:tcPr>
            <w:tcW w:w="727" w:type="pct"/>
            <w:tcBorders>
              <w:tl2br w:val="nil"/>
              <w:tr2bl w:val="nil"/>
            </w:tcBorders>
            <w:vAlign w:val="center"/>
          </w:tcPr>
          <w:p w14:paraId="57BC4B24">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D</w:t>
            </w:r>
          </w:p>
        </w:tc>
        <w:tc>
          <w:tcPr>
            <w:tcW w:w="744" w:type="pct"/>
            <w:tcBorders>
              <w:tl2br w:val="nil"/>
              <w:tr2bl w:val="nil"/>
            </w:tcBorders>
            <w:vAlign w:val="center"/>
          </w:tcPr>
          <w:p w14:paraId="6D9B8662">
            <w:pPr>
              <w:spacing w:line="240" w:lineRule="auto"/>
              <w:ind w:firstLine="0" w:firstLineChars="0"/>
              <w:jc w:val="center"/>
              <w:rPr>
                <w:color w:val="auto"/>
                <w:sz w:val="21"/>
                <w:szCs w:val="21"/>
              </w:rPr>
            </w:pPr>
            <w:r>
              <w:rPr>
                <w:rFonts w:hint="eastAsia"/>
                <w:color w:val="auto"/>
                <w:sz w:val="21"/>
                <w:szCs w:val="21"/>
              </w:rPr>
              <w:t>/</w:t>
            </w:r>
          </w:p>
        </w:tc>
        <w:tc>
          <w:tcPr>
            <w:tcW w:w="346" w:type="pct"/>
            <w:vMerge w:val="continue"/>
            <w:tcBorders>
              <w:tl2br w:val="nil"/>
              <w:tr2bl w:val="nil"/>
            </w:tcBorders>
            <w:vAlign w:val="center"/>
          </w:tcPr>
          <w:p w14:paraId="027F436F">
            <w:pPr>
              <w:spacing w:line="240" w:lineRule="auto"/>
              <w:ind w:firstLine="0" w:firstLineChars="0"/>
              <w:jc w:val="center"/>
              <w:rPr>
                <w:color w:val="auto"/>
                <w:sz w:val="21"/>
                <w:szCs w:val="21"/>
              </w:rPr>
            </w:pPr>
          </w:p>
        </w:tc>
        <w:tc>
          <w:tcPr>
            <w:tcW w:w="733" w:type="pct"/>
            <w:tcBorders>
              <w:tl2br w:val="nil"/>
              <w:tr2bl w:val="nil"/>
            </w:tcBorders>
            <w:vAlign w:val="center"/>
          </w:tcPr>
          <w:p w14:paraId="674AA71A">
            <w:pPr>
              <w:spacing w:line="240" w:lineRule="auto"/>
              <w:ind w:firstLine="0" w:firstLineChars="0"/>
              <w:jc w:val="center"/>
              <w:rPr>
                <w:color w:val="auto"/>
                <w:sz w:val="21"/>
                <w:szCs w:val="21"/>
              </w:rPr>
            </w:pPr>
            <w:r>
              <w:rPr>
                <w:color w:val="auto"/>
                <w:sz w:val="21"/>
                <w:szCs w:val="21"/>
              </w:rPr>
              <w:t>80</w:t>
            </w:r>
          </w:p>
        </w:tc>
        <w:tc>
          <w:tcPr>
            <w:tcW w:w="628" w:type="pct"/>
            <w:tcBorders>
              <w:tl2br w:val="nil"/>
              <w:tr2bl w:val="nil"/>
            </w:tcBorders>
            <w:vAlign w:val="center"/>
          </w:tcPr>
          <w:p w14:paraId="35F98FFA">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42153A25">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43646C7E">
            <w:pPr>
              <w:spacing w:line="240" w:lineRule="auto"/>
              <w:ind w:firstLine="0" w:firstLineChars="0"/>
              <w:jc w:val="center"/>
              <w:rPr>
                <w:color w:val="auto"/>
                <w:sz w:val="21"/>
                <w:szCs w:val="21"/>
              </w:rPr>
            </w:pPr>
          </w:p>
        </w:tc>
      </w:tr>
      <w:tr w14:paraId="68B6F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31" w:type="pct"/>
            <w:tcBorders>
              <w:tl2br w:val="nil"/>
              <w:tr2bl w:val="nil"/>
            </w:tcBorders>
            <w:vAlign w:val="center"/>
          </w:tcPr>
          <w:p w14:paraId="4AE2CC26">
            <w:pPr>
              <w:spacing w:line="240" w:lineRule="auto"/>
              <w:ind w:firstLine="0" w:firstLineChars="0"/>
              <w:jc w:val="center"/>
              <w:rPr>
                <w:color w:val="auto"/>
                <w:sz w:val="21"/>
                <w:szCs w:val="21"/>
              </w:rPr>
            </w:pPr>
            <w:r>
              <w:rPr>
                <w:rFonts w:hint="eastAsia"/>
                <w:color w:val="auto"/>
                <w:sz w:val="21"/>
                <w:szCs w:val="21"/>
              </w:rPr>
              <w:t>氮氧化物</w:t>
            </w:r>
          </w:p>
        </w:tc>
        <w:tc>
          <w:tcPr>
            <w:tcW w:w="727" w:type="pct"/>
            <w:tcBorders>
              <w:tl2br w:val="nil"/>
              <w:tr2bl w:val="nil"/>
            </w:tcBorders>
            <w:vAlign w:val="center"/>
          </w:tcPr>
          <w:p w14:paraId="79BEB2E1">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4</w:t>
            </w:r>
          </w:p>
        </w:tc>
        <w:tc>
          <w:tcPr>
            <w:tcW w:w="744" w:type="pct"/>
            <w:tcBorders>
              <w:tl2br w:val="nil"/>
              <w:tr2bl w:val="nil"/>
            </w:tcBorders>
            <w:vAlign w:val="center"/>
          </w:tcPr>
          <w:p w14:paraId="23E16337">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.08</w:t>
            </w:r>
            <w:r>
              <w:rPr>
                <w:rFonts w:hint="eastAsia"/>
                <w:color w:val="auto"/>
                <w:sz w:val="21"/>
                <w:szCs w:val="21"/>
              </w:rPr>
              <w:t>×</w:t>
            </w:r>
            <w:r>
              <w:rPr>
                <w:color w:val="auto"/>
                <w:sz w:val="21"/>
                <w:szCs w:val="21"/>
              </w:rPr>
              <w:t>10</w:t>
            </w:r>
            <w:r>
              <w:rPr>
                <w:color w:val="auto"/>
                <w:sz w:val="21"/>
                <w:szCs w:val="21"/>
                <w:vertAlign w:val="superscript"/>
              </w:rPr>
              <w:t>-2</w:t>
            </w:r>
          </w:p>
        </w:tc>
        <w:tc>
          <w:tcPr>
            <w:tcW w:w="346" w:type="pct"/>
            <w:vMerge w:val="continue"/>
            <w:tcBorders>
              <w:tl2br w:val="nil"/>
              <w:tr2bl w:val="nil"/>
            </w:tcBorders>
            <w:vAlign w:val="center"/>
          </w:tcPr>
          <w:p w14:paraId="18A80A07">
            <w:pPr>
              <w:spacing w:line="240" w:lineRule="auto"/>
              <w:ind w:firstLine="0" w:firstLineChars="0"/>
              <w:jc w:val="center"/>
              <w:rPr>
                <w:color w:val="auto"/>
                <w:sz w:val="21"/>
                <w:szCs w:val="21"/>
              </w:rPr>
            </w:pPr>
          </w:p>
        </w:tc>
        <w:tc>
          <w:tcPr>
            <w:tcW w:w="733" w:type="pct"/>
            <w:tcBorders>
              <w:tl2br w:val="nil"/>
              <w:tr2bl w:val="nil"/>
            </w:tcBorders>
            <w:vAlign w:val="center"/>
          </w:tcPr>
          <w:p w14:paraId="0195683E">
            <w:pPr>
              <w:spacing w:line="240" w:lineRule="auto"/>
              <w:ind w:firstLine="0" w:firstLineChars="0"/>
              <w:jc w:val="center"/>
              <w:rPr>
                <w:color w:val="auto"/>
                <w:sz w:val="21"/>
                <w:szCs w:val="21"/>
              </w:rPr>
            </w:pPr>
            <w:r>
              <w:rPr>
                <w:color w:val="auto"/>
                <w:sz w:val="21"/>
                <w:szCs w:val="21"/>
              </w:rPr>
              <w:t>180</w:t>
            </w:r>
          </w:p>
        </w:tc>
        <w:tc>
          <w:tcPr>
            <w:tcW w:w="628" w:type="pct"/>
            <w:tcBorders>
              <w:tl2br w:val="nil"/>
              <w:tr2bl w:val="nil"/>
            </w:tcBorders>
            <w:vAlign w:val="center"/>
          </w:tcPr>
          <w:p w14:paraId="5BCCC0C1">
            <w:pPr>
              <w:spacing w:line="240" w:lineRule="auto"/>
              <w:ind w:firstLine="0" w:firstLineChars="0"/>
              <w:jc w:val="center"/>
              <w:rPr>
                <w:color w:val="auto"/>
                <w:sz w:val="21"/>
                <w:szCs w:val="21"/>
              </w:rPr>
            </w:pPr>
            <w:r>
              <w:rPr>
                <w:rFonts w:hint="eastAsia"/>
                <w:color w:val="auto"/>
                <w:sz w:val="21"/>
                <w:szCs w:val="21"/>
              </w:rPr>
              <w:t>/</w:t>
            </w:r>
          </w:p>
        </w:tc>
        <w:tc>
          <w:tcPr>
            <w:tcW w:w="652" w:type="pct"/>
            <w:tcBorders>
              <w:tl2br w:val="nil"/>
              <w:tr2bl w:val="nil"/>
            </w:tcBorders>
            <w:vAlign w:val="center"/>
          </w:tcPr>
          <w:p w14:paraId="590B88BA">
            <w:pPr>
              <w:spacing w:line="240" w:lineRule="auto"/>
              <w:ind w:firstLine="0" w:firstLineChars="0"/>
              <w:jc w:val="center"/>
              <w:rPr>
                <w:color w:val="auto"/>
                <w:sz w:val="21"/>
                <w:szCs w:val="21"/>
              </w:rPr>
            </w:pPr>
            <w:r>
              <w:rPr>
                <w:rFonts w:hint="eastAsia"/>
                <w:color w:val="auto"/>
                <w:sz w:val="21"/>
                <w:szCs w:val="21"/>
              </w:rPr>
              <w:t>是</w:t>
            </w:r>
          </w:p>
        </w:tc>
        <w:tc>
          <w:tcPr>
            <w:tcW w:w="436" w:type="pct"/>
            <w:vMerge w:val="continue"/>
            <w:tcBorders>
              <w:tl2br w:val="nil"/>
              <w:tr2bl w:val="nil"/>
            </w:tcBorders>
            <w:vAlign w:val="center"/>
          </w:tcPr>
          <w:p w14:paraId="2A8919FE">
            <w:pPr>
              <w:spacing w:line="240" w:lineRule="auto"/>
              <w:ind w:firstLine="0" w:firstLineChars="0"/>
              <w:jc w:val="center"/>
              <w:rPr>
                <w:color w:val="auto"/>
                <w:sz w:val="21"/>
                <w:szCs w:val="21"/>
              </w:rPr>
            </w:pPr>
          </w:p>
        </w:tc>
      </w:tr>
    </w:tbl>
    <w:p w14:paraId="4E465A24">
      <w:pPr>
        <w:ind w:firstLine="0" w:firstLineChars="0"/>
        <w:rPr>
          <w:color w:val="auto"/>
          <w:sz w:val="20"/>
          <w:szCs w:val="20"/>
        </w:rPr>
      </w:pPr>
      <w:r>
        <w:rPr>
          <w:b/>
          <w:bCs/>
          <w:color w:val="auto"/>
          <w:sz w:val="20"/>
          <w:szCs w:val="20"/>
        </w:rPr>
        <w:t>注：</w:t>
      </w:r>
      <w:r>
        <w:rPr>
          <w:color w:val="auto"/>
          <w:sz w:val="20"/>
          <w:szCs w:val="20"/>
        </w:rPr>
        <w:t>炉窑执行《工业炉窑大气污染物排放标准》（DB 32/3728-2020）表1排放限值。</w:t>
      </w:r>
    </w:p>
    <w:p w14:paraId="7BFCE693">
      <w:pPr>
        <w:ind w:firstLine="480"/>
        <w:rPr>
          <w:color w:val="auto"/>
        </w:rPr>
      </w:pPr>
      <w:r>
        <w:rPr>
          <w:color w:val="auto"/>
        </w:rPr>
        <w:t>根据上表监测结果，该项目加热炉及时效炉废气排气筒排放的氮氧化物、颗粒物以及二氧化硫浓度能够满足《工业炉窑大气污染物排放标准》（DB32/3728-2020）表1排放标准限值，阳极氧化酸雾处理排气筒排放的硫酸雾排放浓度均可满足《电镀污染物排放标准》（GB21900-2008）表5排放标准限值要求。因此，本项目所选用的废气处理措施达标排放可行。</w:t>
      </w:r>
    </w:p>
    <w:p w14:paraId="3DD71F8C">
      <w:pPr>
        <w:ind w:firstLine="480"/>
        <w:rPr>
          <w:color w:val="auto"/>
        </w:rPr>
      </w:pPr>
    </w:p>
    <w:p w14:paraId="30268AE4">
      <w:pPr>
        <w:ind w:firstLine="482"/>
        <w:rPr>
          <w:b/>
          <w:bCs/>
          <w:color w:val="auto"/>
        </w:rPr>
      </w:pPr>
      <w:r>
        <w:rPr>
          <w:rFonts w:hint="eastAsia"/>
          <w:b/>
          <w:bCs/>
          <w:color w:val="auto"/>
        </w:rPr>
        <w:t>3、</w:t>
      </w:r>
      <w:r>
        <w:rPr>
          <w:b/>
          <w:bCs/>
          <w:color w:val="auto"/>
        </w:rPr>
        <w:t>喷砂废气处理</w:t>
      </w:r>
    </w:p>
    <w:p w14:paraId="51AB1F79">
      <w:pPr>
        <w:ind w:firstLine="482"/>
        <w:rPr>
          <w:b/>
          <w:bCs/>
          <w:color w:val="auto"/>
        </w:rPr>
      </w:pPr>
      <w:r>
        <w:rPr>
          <w:rFonts w:hint="eastAsia"/>
          <w:b/>
          <w:bCs/>
          <w:color w:val="auto"/>
        </w:rPr>
        <w:t>（1）</w:t>
      </w:r>
      <w:r>
        <w:rPr>
          <w:b/>
          <w:bCs/>
          <w:color w:val="auto"/>
        </w:rPr>
        <w:t>废气收集</w:t>
      </w:r>
    </w:p>
    <w:p w14:paraId="2CE34C36">
      <w:pPr>
        <w:ind w:firstLine="480"/>
        <w:rPr>
          <w:color w:val="auto"/>
        </w:rPr>
      </w:pPr>
      <w:r>
        <w:rPr>
          <w:color w:val="auto"/>
        </w:rPr>
        <w:t>本项目使用喷砂机自带布袋除尘对喷砂粉尘进行收集处理，喷砂过程全密闭，粉尘通过</w:t>
      </w:r>
      <w:r>
        <w:rPr>
          <w:rFonts w:hint="eastAsia"/>
          <w:color w:val="auto"/>
        </w:rPr>
        <w:t>抽风管道</w:t>
      </w:r>
      <w:r>
        <w:rPr>
          <w:color w:val="auto"/>
        </w:rPr>
        <w:t>收集后送入布袋除尘，</w:t>
      </w:r>
      <w:r>
        <w:rPr>
          <w:rFonts w:hint="eastAsia"/>
          <w:color w:val="auto"/>
        </w:rPr>
        <w:t>处理</w:t>
      </w:r>
      <w:r>
        <w:rPr>
          <w:color w:val="auto"/>
        </w:rPr>
        <w:t>效率为9</w:t>
      </w:r>
      <w:r>
        <w:rPr>
          <w:rFonts w:hint="eastAsia"/>
          <w:color w:val="auto"/>
        </w:rPr>
        <w:t>7</w:t>
      </w:r>
      <w:r>
        <w:rPr>
          <w:color w:val="auto"/>
        </w:rPr>
        <w:t>%。</w:t>
      </w:r>
    </w:p>
    <w:p w14:paraId="26EF72A2">
      <w:pPr>
        <w:ind w:firstLine="482"/>
        <w:rPr>
          <w:b/>
          <w:bCs/>
          <w:color w:val="auto"/>
        </w:rPr>
      </w:pPr>
      <w:r>
        <w:rPr>
          <w:rFonts w:hint="eastAsia"/>
          <w:b/>
          <w:bCs/>
          <w:color w:val="auto"/>
        </w:rPr>
        <w:t>（2）</w:t>
      </w:r>
      <w:r>
        <w:rPr>
          <w:b/>
          <w:bCs/>
          <w:color w:val="auto"/>
        </w:rPr>
        <w:t>处理工艺</w:t>
      </w:r>
    </w:p>
    <w:p w14:paraId="4B0D8179">
      <w:pPr>
        <w:ind w:firstLine="480"/>
        <w:rPr>
          <w:color w:val="auto"/>
        </w:rPr>
      </w:pPr>
      <w:r>
        <w:rPr>
          <w:color w:val="auto"/>
        </w:rPr>
        <w:t>滤筒除尘器原理：滤筒除尘器是一种干式除尘装置，它适用于捕捉细小、干燥、非纤维性粉尘。滤筒利用纤维织物的过滤作用对含尘气体进行上，当含尘气体进入滤除尘器，颗粒大、比重大的粉尘，由于重力的作用沉降下来，落入灰斗，含有较细小粉尘的气体在通过滤料时，粉尘被阻留，使气体得到净化。随着粉尘在滤料表面的积聚，除尘器的效率和阻力都</w:t>
      </w:r>
      <w:r>
        <w:rPr>
          <w:rFonts w:hint="eastAsia"/>
          <w:color w:val="auto"/>
        </w:rPr>
        <w:t>相对地</w:t>
      </w:r>
      <w:r>
        <w:rPr>
          <w:color w:val="auto"/>
        </w:rPr>
        <w:t>增加，阻力过高会使除尘系统的风量显著下降。因此，除尘器的阻力达到一定数值后，要及时清灰。本项目采用脉冲自动反吹清灰方式。清灰前先关闭工艺设备，然后再关闭除尘设施，使之处于离线状态。滤材清理过程中，时序控制器接通电磁阀电源，相对应的隔膜阀放出脉冲高压空气，然后由滤材内部向外部穿透滤材排出，将附着在滤材表面的粉尘颗粒振落排出，粉尘落于漏斗中，收集于粉尘收集桶中。</w:t>
      </w:r>
    </w:p>
    <w:p w14:paraId="602CE9E1">
      <w:pPr>
        <w:ind w:firstLine="482"/>
        <w:rPr>
          <w:b/>
          <w:bCs/>
          <w:color w:val="auto"/>
        </w:rPr>
      </w:pPr>
      <w:r>
        <w:rPr>
          <w:rFonts w:hint="eastAsia"/>
          <w:b/>
          <w:bCs/>
          <w:color w:val="auto"/>
        </w:rPr>
        <w:t>（3）</w:t>
      </w:r>
      <w:r>
        <w:rPr>
          <w:b/>
          <w:bCs/>
          <w:color w:val="auto"/>
        </w:rPr>
        <w:t>可行性分析</w:t>
      </w:r>
    </w:p>
    <w:p w14:paraId="36153E4C">
      <w:pPr>
        <w:ind w:firstLine="480"/>
        <w:rPr>
          <w:color w:val="auto"/>
        </w:rPr>
      </w:pPr>
      <w:r>
        <w:rPr>
          <w:color w:val="auto"/>
        </w:rPr>
        <w:t>布袋除尘是普通粉尘最为常见净化方式，根据《排污许可申请与核发技术规范 电镀工业》（HJ855-2017），喷砂粉尘采用布袋除尘为可行技术，袋式除尘器具有很高的净化效率，就是捕集细微的粉尘效率也可达9</w:t>
      </w:r>
      <w:r>
        <w:rPr>
          <w:rFonts w:hint="eastAsia"/>
          <w:color w:val="auto"/>
        </w:rPr>
        <w:t>7</w:t>
      </w:r>
      <w:r>
        <w:rPr>
          <w:color w:val="auto"/>
        </w:rPr>
        <w:t>％以上。</w:t>
      </w:r>
    </w:p>
    <w:p w14:paraId="6803B01D">
      <w:pPr>
        <w:ind w:firstLine="482"/>
        <w:rPr>
          <w:b/>
          <w:bCs/>
          <w:snapToGrid w:val="0"/>
          <w:color w:val="auto"/>
        </w:rPr>
      </w:pPr>
      <w:r>
        <w:rPr>
          <w:rFonts w:hint="eastAsia"/>
          <w:b/>
          <w:bCs/>
          <w:color w:val="auto"/>
        </w:rPr>
        <w:t>同类项目工程</w:t>
      </w:r>
      <w:r>
        <w:rPr>
          <w:b/>
          <w:bCs/>
          <w:color w:val="auto"/>
        </w:rPr>
        <w:t>案例：</w:t>
      </w:r>
      <w:r>
        <w:rPr>
          <w:color w:val="auto"/>
        </w:rPr>
        <w:t>根据《</w:t>
      </w:r>
      <w:r>
        <w:rPr>
          <w:rFonts w:hint="eastAsia"/>
          <w:color w:val="auto"/>
        </w:rPr>
        <w:t>宁波金沐阳新能源科技有限公司年产8GW光伏边框以及5GW光伏支架项目环境影响报告书</w:t>
      </w:r>
      <w:r>
        <w:rPr>
          <w:color w:val="auto"/>
        </w:rPr>
        <w:t>》，该公司的阳极氧化生产线总产能为8</w:t>
      </w:r>
      <w:r>
        <w:rPr>
          <w:rFonts w:hint="eastAsia"/>
          <w:color w:val="auto"/>
        </w:rPr>
        <w:t>3520</w:t>
      </w:r>
      <w:r>
        <w:rPr>
          <w:color w:val="auto"/>
        </w:rPr>
        <w:t>吨/年，采用的生产工艺与本项目基本一致。该项目废气处理工艺为：</w:t>
      </w:r>
      <w:r>
        <w:rPr>
          <w:rFonts w:hint="eastAsia"/>
          <w:color w:val="auto"/>
        </w:rPr>
        <w:t>喷砂</w:t>
      </w:r>
      <w:r>
        <w:rPr>
          <w:color w:val="auto"/>
        </w:rPr>
        <w:t>废气经</w:t>
      </w:r>
      <w:r>
        <w:rPr>
          <w:rFonts w:hint="eastAsia"/>
          <w:color w:val="auto"/>
        </w:rPr>
        <w:t>自带除尘设施</w:t>
      </w:r>
      <w:r>
        <w:rPr>
          <w:color w:val="auto"/>
        </w:rPr>
        <w:t>收集</w:t>
      </w:r>
      <w:r>
        <w:rPr>
          <w:rFonts w:hint="eastAsia"/>
          <w:color w:val="auto"/>
        </w:rPr>
        <w:t>处理</w:t>
      </w:r>
      <w:r>
        <w:rPr>
          <w:color w:val="auto"/>
        </w:rPr>
        <w:t>后</w:t>
      </w:r>
      <w:r>
        <w:rPr>
          <w:rFonts w:hint="eastAsia"/>
          <w:color w:val="auto"/>
        </w:rPr>
        <w:t>经</w:t>
      </w:r>
      <w:r>
        <w:rPr>
          <w:color w:val="auto"/>
        </w:rPr>
        <w:t>排气筒排放；与本项目处理措施一致。根据企业202</w:t>
      </w:r>
      <w:r>
        <w:rPr>
          <w:rFonts w:hint="eastAsia"/>
          <w:color w:val="auto"/>
        </w:rPr>
        <w:t>4</w:t>
      </w:r>
      <w:r>
        <w:rPr>
          <w:color w:val="auto"/>
        </w:rPr>
        <w:t>年</w:t>
      </w:r>
      <w:r>
        <w:rPr>
          <w:rFonts w:hint="eastAsia"/>
          <w:color w:val="auto"/>
        </w:rPr>
        <w:t>9</w:t>
      </w:r>
      <w:r>
        <w:rPr>
          <w:color w:val="auto"/>
        </w:rPr>
        <w:t>月有组织废气</w:t>
      </w:r>
      <w:r>
        <w:rPr>
          <w:rFonts w:hint="eastAsia"/>
          <w:color w:val="auto"/>
          <w:lang w:eastAsia="zh-CN"/>
        </w:rPr>
        <w:t>检测报告</w:t>
      </w:r>
      <w:r>
        <w:rPr>
          <w:color w:val="auto"/>
        </w:rPr>
        <w:t>，各污染物排放情况如下：</w:t>
      </w:r>
    </w:p>
    <w:p w14:paraId="708845D0">
      <w:pPr>
        <w:spacing w:line="240" w:lineRule="auto"/>
        <w:ind w:firstLine="0" w:firstLineChars="0"/>
        <w:jc w:val="center"/>
        <w:rPr>
          <w:b/>
          <w:bCs/>
          <w:snapToGrid w:val="0"/>
          <w:color w:val="auto"/>
        </w:rPr>
      </w:pPr>
      <w:r>
        <w:rPr>
          <w:b/>
          <w:bCs/>
          <w:snapToGrid w:val="0"/>
          <w:color w:val="auto"/>
        </w:rPr>
        <w:t>表</w:t>
      </w:r>
      <w:r>
        <w:rPr>
          <w:rFonts w:hint="eastAsia"/>
          <w:b/>
          <w:bCs/>
          <w:snapToGrid w:val="0"/>
          <w:color w:val="auto"/>
        </w:rPr>
        <w:t>7</w:t>
      </w:r>
      <w:r>
        <w:rPr>
          <w:b/>
          <w:bCs/>
          <w:snapToGrid w:val="0"/>
          <w:color w:val="auto"/>
        </w:rPr>
        <w:t>.2.1-</w:t>
      </w:r>
      <w:r>
        <w:rPr>
          <w:rFonts w:hint="eastAsia"/>
          <w:b/>
          <w:bCs/>
          <w:snapToGrid w:val="0"/>
          <w:color w:val="auto"/>
        </w:rPr>
        <w:t xml:space="preserve">3 </w:t>
      </w:r>
      <w:r>
        <w:rPr>
          <w:b/>
          <w:bCs/>
          <w:snapToGrid w:val="0"/>
          <w:color w:val="auto"/>
        </w:rPr>
        <w:t xml:space="preserve"> 有组织废气监测结果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366"/>
        <w:gridCol w:w="1402"/>
        <w:gridCol w:w="651"/>
        <w:gridCol w:w="1379"/>
        <w:gridCol w:w="1181"/>
        <w:gridCol w:w="1008"/>
        <w:gridCol w:w="1038"/>
      </w:tblGrid>
      <w:tr w14:paraId="26B1C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1" w:type="pct"/>
            <w:vMerge w:val="restart"/>
            <w:tcBorders>
              <w:tl2br w:val="nil"/>
              <w:tr2bl w:val="nil"/>
            </w:tcBorders>
            <w:vAlign w:val="center"/>
          </w:tcPr>
          <w:p w14:paraId="36EB3160">
            <w:pPr>
              <w:spacing w:line="240" w:lineRule="auto"/>
              <w:ind w:firstLine="0" w:firstLineChars="0"/>
              <w:jc w:val="center"/>
              <w:rPr>
                <w:b/>
                <w:color w:val="auto"/>
                <w:sz w:val="21"/>
                <w:szCs w:val="21"/>
              </w:rPr>
            </w:pPr>
            <w:r>
              <w:rPr>
                <w:b/>
                <w:color w:val="auto"/>
                <w:sz w:val="21"/>
                <w:szCs w:val="21"/>
              </w:rPr>
              <w:t>污染物名称</w:t>
            </w:r>
          </w:p>
        </w:tc>
        <w:tc>
          <w:tcPr>
            <w:tcW w:w="1471" w:type="pct"/>
            <w:gridSpan w:val="2"/>
            <w:tcBorders>
              <w:tl2br w:val="nil"/>
              <w:tr2bl w:val="nil"/>
            </w:tcBorders>
            <w:vAlign w:val="center"/>
          </w:tcPr>
          <w:p w14:paraId="77D2109B">
            <w:pPr>
              <w:spacing w:line="240" w:lineRule="auto"/>
              <w:ind w:firstLine="0" w:firstLineChars="0"/>
              <w:jc w:val="center"/>
              <w:rPr>
                <w:b/>
                <w:color w:val="auto"/>
                <w:sz w:val="21"/>
                <w:szCs w:val="21"/>
              </w:rPr>
            </w:pPr>
            <w:r>
              <w:rPr>
                <w:b/>
                <w:color w:val="auto"/>
                <w:sz w:val="21"/>
                <w:szCs w:val="21"/>
              </w:rPr>
              <w:t>出口监测结果</w:t>
            </w:r>
          </w:p>
        </w:tc>
        <w:tc>
          <w:tcPr>
            <w:tcW w:w="346" w:type="pct"/>
            <w:vMerge w:val="restart"/>
            <w:tcBorders>
              <w:tl2br w:val="nil"/>
              <w:tr2bl w:val="nil"/>
            </w:tcBorders>
            <w:vAlign w:val="center"/>
          </w:tcPr>
          <w:p w14:paraId="50D3F741">
            <w:pPr>
              <w:spacing w:line="240" w:lineRule="auto"/>
              <w:ind w:firstLine="0" w:firstLineChars="0"/>
              <w:jc w:val="center"/>
              <w:rPr>
                <w:b/>
                <w:color w:val="auto"/>
                <w:sz w:val="21"/>
                <w:szCs w:val="21"/>
              </w:rPr>
            </w:pPr>
            <w:r>
              <w:rPr>
                <w:b/>
                <w:color w:val="auto"/>
                <w:sz w:val="21"/>
                <w:szCs w:val="21"/>
              </w:rPr>
              <w:t>排气筒编号</w:t>
            </w:r>
          </w:p>
        </w:tc>
        <w:tc>
          <w:tcPr>
            <w:tcW w:w="1361" w:type="pct"/>
            <w:gridSpan w:val="2"/>
            <w:tcBorders>
              <w:tl2br w:val="nil"/>
              <w:tr2bl w:val="nil"/>
            </w:tcBorders>
            <w:vAlign w:val="center"/>
          </w:tcPr>
          <w:p w14:paraId="6EC156A5">
            <w:pPr>
              <w:spacing w:line="240" w:lineRule="auto"/>
              <w:ind w:firstLine="0" w:firstLineChars="0"/>
              <w:jc w:val="center"/>
              <w:rPr>
                <w:b/>
                <w:color w:val="auto"/>
                <w:sz w:val="21"/>
                <w:szCs w:val="21"/>
              </w:rPr>
            </w:pPr>
            <w:r>
              <w:rPr>
                <w:rFonts w:hint="eastAsia"/>
                <w:b/>
                <w:color w:val="auto"/>
                <w:sz w:val="21"/>
                <w:szCs w:val="21"/>
              </w:rPr>
              <w:t>标准限值</w:t>
            </w:r>
          </w:p>
        </w:tc>
        <w:tc>
          <w:tcPr>
            <w:tcW w:w="536" w:type="pct"/>
            <w:vMerge w:val="restart"/>
            <w:tcBorders>
              <w:tl2br w:val="nil"/>
              <w:tr2bl w:val="nil"/>
            </w:tcBorders>
            <w:vAlign w:val="center"/>
          </w:tcPr>
          <w:p w14:paraId="0A25F693">
            <w:pPr>
              <w:spacing w:line="240" w:lineRule="auto"/>
              <w:ind w:firstLine="0" w:firstLineChars="0"/>
              <w:jc w:val="center"/>
              <w:rPr>
                <w:b/>
                <w:color w:val="auto"/>
                <w:sz w:val="21"/>
                <w:szCs w:val="21"/>
              </w:rPr>
            </w:pPr>
            <w:r>
              <w:rPr>
                <w:rFonts w:hint="eastAsia"/>
                <w:b/>
                <w:color w:val="auto"/>
                <w:sz w:val="21"/>
                <w:szCs w:val="21"/>
              </w:rPr>
              <w:t>是否达标</w:t>
            </w:r>
          </w:p>
        </w:tc>
        <w:tc>
          <w:tcPr>
            <w:tcW w:w="552" w:type="pct"/>
            <w:vMerge w:val="restart"/>
            <w:tcBorders>
              <w:tl2br w:val="nil"/>
              <w:tr2bl w:val="nil"/>
            </w:tcBorders>
            <w:vAlign w:val="center"/>
          </w:tcPr>
          <w:p w14:paraId="6D7117FA">
            <w:pPr>
              <w:spacing w:line="240" w:lineRule="auto"/>
              <w:ind w:firstLine="0" w:firstLineChars="0"/>
              <w:jc w:val="center"/>
              <w:rPr>
                <w:b/>
                <w:color w:val="auto"/>
                <w:sz w:val="21"/>
                <w:szCs w:val="21"/>
              </w:rPr>
            </w:pPr>
            <w:r>
              <w:rPr>
                <w:b/>
                <w:color w:val="auto"/>
                <w:sz w:val="21"/>
                <w:szCs w:val="21"/>
              </w:rPr>
              <w:t>监测时间</w:t>
            </w:r>
          </w:p>
        </w:tc>
      </w:tr>
      <w:tr w14:paraId="118DB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1" w:type="pct"/>
            <w:vMerge w:val="continue"/>
            <w:tcBorders>
              <w:tl2br w:val="nil"/>
              <w:tr2bl w:val="nil"/>
            </w:tcBorders>
            <w:vAlign w:val="center"/>
          </w:tcPr>
          <w:p w14:paraId="0C913C00">
            <w:pPr>
              <w:spacing w:line="240" w:lineRule="auto"/>
              <w:ind w:firstLine="0" w:firstLineChars="0"/>
              <w:jc w:val="center"/>
              <w:rPr>
                <w:b/>
                <w:color w:val="auto"/>
                <w:sz w:val="21"/>
                <w:szCs w:val="21"/>
              </w:rPr>
            </w:pPr>
          </w:p>
        </w:tc>
        <w:tc>
          <w:tcPr>
            <w:tcW w:w="726" w:type="pct"/>
            <w:tcBorders>
              <w:tl2br w:val="nil"/>
              <w:tr2bl w:val="nil"/>
            </w:tcBorders>
            <w:vAlign w:val="center"/>
          </w:tcPr>
          <w:p w14:paraId="3AB77D4E">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c>
          <w:tcPr>
            <w:tcW w:w="744" w:type="pct"/>
            <w:tcBorders>
              <w:tl2br w:val="nil"/>
              <w:tr2bl w:val="nil"/>
            </w:tcBorders>
            <w:vAlign w:val="center"/>
          </w:tcPr>
          <w:p w14:paraId="2C4EE0BE">
            <w:pPr>
              <w:spacing w:line="240" w:lineRule="auto"/>
              <w:ind w:firstLine="0" w:firstLineChars="0"/>
              <w:jc w:val="center"/>
              <w:rPr>
                <w:b/>
                <w:color w:val="auto"/>
                <w:sz w:val="21"/>
                <w:szCs w:val="21"/>
              </w:rPr>
            </w:pPr>
            <w:r>
              <w:rPr>
                <w:b/>
                <w:color w:val="auto"/>
                <w:sz w:val="21"/>
                <w:szCs w:val="21"/>
              </w:rPr>
              <w:t>速率（kg/h）</w:t>
            </w:r>
          </w:p>
        </w:tc>
        <w:tc>
          <w:tcPr>
            <w:tcW w:w="346" w:type="pct"/>
            <w:vMerge w:val="continue"/>
            <w:tcBorders>
              <w:tl2br w:val="nil"/>
              <w:tr2bl w:val="nil"/>
            </w:tcBorders>
            <w:vAlign w:val="center"/>
          </w:tcPr>
          <w:p w14:paraId="6910B6D5">
            <w:pPr>
              <w:spacing w:line="240" w:lineRule="auto"/>
              <w:ind w:firstLine="0" w:firstLineChars="0"/>
              <w:jc w:val="center"/>
              <w:rPr>
                <w:b/>
                <w:color w:val="auto"/>
                <w:sz w:val="21"/>
                <w:szCs w:val="21"/>
              </w:rPr>
            </w:pPr>
          </w:p>
        </w:tc>
        <w:tc>
          <w:tcPr>
            <w:tcW w:w="733" w:type="pct"/>
            <w:tcBorders>
              <w:tl2br w:val="nil"/>
              <w:tr2bl w:val="nil"/>
            </w:tcBorders>
            <w:vAlign w:val="center"/>
          </w:tcPr>
          <w:p w14:paraId="4142F31A">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c>
          <w:tcPr>
            <w:tcW w:w="628" w:type="pct"/>
            <w:tcBorders>
              <w:tl2br w:val="nil"/>
              <w:tr2bl w:val="nil"/>
            </w:tcBorders>
            <w:vAlign w:val="center"/>
          </w:tcPr>
          <w:p w14:paraId="40751199">
            <w:pPr>
              <w:spacing w:line="240" w:lineRule="auto"/>
              <w:ind w:firstLine="0" w:firstLineChars="0"/>
              <w:jc w:val="center"/>
              <w:rPr>
                <w:b/>
                <w:color w:val="auto"/>
                <w:sz w:val="21"/>
                <w:szCs w:val="21"/>
              </w:rPr>
            </w:pPr>
            <w:r>
              <w:rPr>
                <w:b/>
                <w:color w:val="auto"/>
                <w:sz w:val="21"/>
                <w:szCs w:val="21"/>
              </w:rPr>
              <w:t>速率（kg/h）</w:t>
            </w:r>
          </w:p>
        </w:tc>
        <w:tc>
          <w:tcPr>
            <w:tcW w:w="536" w:type="pct"/>
            <w:vMerge w:val="continue"/>
            <w:tcBorders>
              <w:tl2br w:val="nil"/>
              <w:tr2bl w:val="nil"/>
            </w:tcBorders>
            <w:vAlign w:val="center"/>
          </w:tcPr>
          <w:p w14:paraId="6630FCA9">
            <w:pPr>
              <w:spacing w:line="240" w:lineRule="auto"/>
              <w:ind w:firstLine="0" w:firstLineChars="0"/>
              <w:jc w:val="center"/>
              <w:rPr>
                <w:b/>
                <w:color w:val="auto"/>
                <w:sz w:val="21"/>
                <w:szCs w:val="21"/>
              </w:rPr>
            </w:pPr>
          </w:p>
        </w:tc>
        <w:tc>
          <w:tcPr>
            <w:tcW w:w="552" w:type="pct"/>
            <w:vMerge w:val="continue"/>
            <w:tcBorders>
              <w:tl2br w:val="nil"/>
              <w:tr2bl w:val="nil"/>
            </w:tcBorders>
            <w:vAlign w:val="center"/>
          </w:tcPr>
          <w:p w14:paraId="0059D6AF">
            <w:pPr>
              <w:spacing w:line="240" w:lineRule="auto"/>
              <w:ind w:firstLine="0" w:firstLineChars="0"/>
              <w:jc w:val="center"/>
              <w:rPr>
                <w:b/>
                <w:color w:val="auto"/>
                <w:sz w:val="21"/>
                <w:szCs w:val="21"/>
              </w:rPr>
            </w:pPr>
          </w:p>
        </w:tc>
      </w:tr>
      <w:tr w14:paraId="53159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restart"/>
            <w:tcBorders>
              <w:tl2br w:val="nil"/>
              <w:tr2bl w:val="nil"/>
            </w:tcBorders>
            <w:vAlign w:val="center"/>
          </w:tcPr>
          <w:p w14:paraId="03E4D805">
            <w:pPr>
              <w:spacing w:line="240" w:lineRule="auto"/>
              <w:ind w:firstLine="0" w:firstLineChars="0"/>
              <w:jc w:val="center"/>
              <w:rPr>
                <w:color w:val="auto"/>
                <w:sz w:val="21"/>
                <w:szCs w:val="21"/>
              </w:rPr>
            </w:pPr>
            <w:r>
              <w:rPr>
                <w:rFonts w:hint="eastAsia"/>
                <w:color w:val="auto"/>
                <w:sz w:val="21"/>
                <w:szCs w:val="21"/>
              </w:rPr>
              <w:t>颗粒物</w:t>
            </w:r>
          </w:p>
        </w:tc>
        <w:tc>
          <w:tcPr>
            <w:tcW w:w="726" w:type="pct"/>
            <w:tcBorders>
              <w:tl2br w:val="nil"/>
              <w:tr2bl w:val="nil"/>
            </w:tcBorders>
            <w:vAlign w:val="center"/>
          </w:tcPr>
          <w:p w14:paraId="7D3FE7D3">
            <w:pPr>
              <w:spacing w:line="240" w:lineRule="auto"/>
              <w:ind w:firstLine="0" w:firstLineChars="0"/>
              <w:jc w:val="center"/>
              <w:rPr>
                <w:color w:val="auto"/>
                <w:sz w:val="21"/>
                <w:szCs w:val="21"/>
              </w:rPr>
            </w:pPr>
            <w:r>
              <w:rPr>
                <w:rFonts w:hint="eastAsia"/>
                <w:color w:val="auto"/>
                <w:sz w:val="21"/>
                <w:szCs w:val="21"/>
              </w:rPr>
              <w:t>7.5</w:t>
            </w:r>
          </w:p>
        </w:tc>
        <w:tc>
          <w:tcPr>
            <w:tcW w:w="744" w:type="pct"/>
            <w:tcBorders>
              <w:tl2br w:val="nil"/>
              <w:tr2bl w:val="nil"/>
            </w:tcBorders>
            <w:vAlign w:val="center"/>
          </w:tcPr>
          <w:p w14:paraId="17AD7BE7">
            <w:pPr>
              <w:spacing w:line="240" w:lineRule="auto"/>
              <w:ind w:firstLine="0" w:firstLineChars="0"/>
              <w:jc w:val="center"/>
              <w:rPr>
                <w:color w:val="auto"/>
                <w:sz w:val="21"/>
                <w:szCs w:val="21"/>
              </w:rPr>
            </w:pPr>
            <w:r>
              <w:rPr>
                <w:rFonts w:hint="eastAsia"/>
                <w:color w:val="auto"/>
                <w:sz w:val="21"/>
                <w:szCs w:val="21"/>
              </w:rPr>
              <w:t>0.055</w:t>
            </w:r>
          </w:p>
        </w:tc>
        <w:tc>
          <w:tcPr>
            <w:tcW w:w="346" w:type="pct"/>
            <w:vMerge w:val="restart"/>
            <w:tcBorders>
              <w:tl2br w:val="nil"/>
              <w:tr2bl w:val="nil"/>
            </w:tcBorders>
            <w:vAlign w:val="center"/>
          </w:tcPr>
          <w:p w14:paraId="75770855">
            <w:pPr>
              <w:spacing w:line="240" w:lineRule="auto"/>
              <w:ind w:firstLine="0" w:firstLineChars="0"/>
              <w:jc w:val="center"/>
              <w:rPr>
                <w:color w:val="auto"/>
                <w:sz w:val="21"/>
                <w:szCs w:val="21"/>
              </w:rPr>
            </w:pPr>
            <w:r>
              <w:rPr>
                <w:rFonts w:hint="eastAsia"/>
                <w:color w:val="auto"/>
                <w:sz w:val="21"/>
                <w:szCs w:val="21"/>
              </w:rPr>
              <w:t>DA001</w:t>
            </w:r>
          </w:p>
        </w:tc>
        <w:tc>
          <w:tcPr>
            <w:tcW w:w="733" w:type="pct"/>
            <w:tcBorders>
              <w:tl2br w:val="nil"/>
              <w:tr2bl w:val="nil"/>
            </w:tcBorders>
            <w:vAlign w:val="center"/>
          </w:tcPr>
          <w:p w14:paraId="7287A6A7">
            <w:pPr>
              <w:spacing w:line="240" w:lineRule="auto"/>
              <w:ind w:firstLine="0" w:firstLineChars="0"/>
              <w:jc w:val="center"/>
              <w:rPr>
                <w:color w:val="auto"/>
                <w:sz w:val="21"/>
                <w:szCs w:val="21"/>
              </w:rPr>
            </w:pPr>
            <w:r>
              <w:rPr>
                <w:color w:val="auto"/>
                <w:sz w:val="21"/>
                <w:szCs w:val="21"/>
              </w:rPr>
              <w:t>20</w:t>
            </w:r>
          </w:p>
        </w:tc>
        <w:tc>
          <w:tcPr>
            <w:tcW w:w="628" w:type="pct"/>
            <w:tcBorders>
              <w:tl2br w:val="nil"/>
              <w:tr2bl w:val="nil"/>
            </w:tcBorders>
            <w:vAlign w:val="center"/>
          </w:tcPr>
          <w:p w14:paraId="59114595">
            <w:pPr>
              <w:spacing w:line="240" w:lineRule="auto"/>
              <w:ind w:firstLine="0" w:firstLineChars="0"/>
              <w:jc w:val="center"/>
              <w:rPr>
                <w:color w:val="auto"/>
                <w:sz w:val="21"/>
                <w:szCs w:val="21"/>
              </w:rPr>
            </w:pPr>
            <w:r>
              <w:rPr>
                <w:rFonts w:hint="eastAsia"/>
                <w:color w:val="auto"/>
                <w:sz w:val="21"/>
                <w:szCs w:val="21"/>
              </w:rPr>
              <w:t>1</w:t>
            </w:r>
          </w:p>
        </w:tc>
        <w:tc>
          <w:tcPr>
            <w:tcW w:w="536" w:type="pct"/>
            <w:tcBorders>
              <w:tl2br w:val="nil"/>
              <w:tr2bl w:val="nil"/>
            </w:tcBorders>
            <w:vAlign w:val="center"/>
          </w:tcPr>
          <w:p w14:paraId="06A75B25">
            <w:pPr>
              <w:spacing w:line="240" w:lineRule="auto"/>
              <w:ind w:firstLine="0" w:firstLineChars="0"/>
              <w:jc w:val="center"/>
              <w:rPr>
                <w:color w:val="auto"/>
                <w:sz w:val="21"/>
                <w:szCs w:val="21"/>
              </w:rPr>
            </w:pPr>
            <w:r>
              <w:rPr>
                <w:rFonts w:hint="eastAsia"/>
                <w:color w:val="auto"/>
                <w:sz w:val="21"/>
                <w:szCs w:val="21"/>
              </w:rPr>
              <w:t>是</w:t>
            </w:r>
          </w:p>
        </w:tc>
        <w:tc>
          <w:tcPr>
            <w:tcW w:w="552" w:type="pct"/>
            <w:vMerge w:val="restart"/>
            <w:tcBorders>
              <w:tl2br w:val="nil"/>
              <w:tr2bl w:val="nil"/>
            </w:tcBorders>
            <w:vAlign w:val="center"/>
          </w:tcPr>
          <w:p w14:paraId="5D605123">
            <w:pPr>
              <w:spacing w:line="240" w:lineRule="auto"/>
              <w:ind w:firstLine="0" w:firstLineChars="0"/>
              <w:jc w:val="center"/>
              <w:rPr>
                <w:color w:val="auto"/>
                <w:sz w:val="21"/>
                <w:szCs w:val="21"/>
              </w:rPr>
            </w:pPr>
            <w:r>
              <w:rPr>
                <w:rFonts w:hint="eastAsia"/>
                <w:color w:val="auto"/>
                <w:sz w:val="21"/>
                <w:szCs w:val="21"/>
              </w:rPr>
              <w:t>2024.9.3</w:t>
            </w:r>
          </w:p>
        </w:tc>
      </w:tr>
      <w:tr w14:paraId="719A9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tcBorders>
              <w:tl2br w:val="nil"/>
              <w:tr2bl w:val="nil"/>
            </w:tcBorders>
            <w:vAlign w:val="center"/>
          </w:tcPr>
          <w:p w14:paraId="7F2102AE">
            <w:pPr>
              <w:spacing w:line="240" w:lineRule="auto"/>
              <w:ind w:firstLine="0" w:firstLineChars="0"/>
              <w:jc w:val="center"/>
              <w:rPr>
                <w:color w:val="auto"/>
                <w:sz w:val="21"/>
                <w:szCs w:val="21"/>
              </w:rPr>
            </w:pPr>
          </w:p>
        </w:tc>
        <w:tc>
          <w:tcPr>
            <w:tcW w:w="726" w:type="pct"/>
            <w:tcBorders>
              <w:tl2br w:val="nil"/>
              <w:tr2bl w:val="nil"/>
            </w:tcBorders>
            <w:vAlign w:val="center"/>
          </w:tcPr>
          <w:p w14:paraId="3070D1E9">
            <w:pPr>
              <w:spacing w:line="240" w:lineRule="auto"/>
              <w:ind w:firstLine="0" w:firstLineChars="0"/>
              <w:jc w:val="center"/>
              <w:rPr>
                <w:color w:val="auto"/>
                <w:sz w:val="21"/>
                <w:szCs w:val="21"/>
              </w:rPr>
            </w:pPr>
            <w:r>
              <w:rPr>
                <w:rFonts w:hint="eastAsia"/>
                <w:color w:val="auto"/>
                <w:sz w:val="21"/>
                <w:szCs w:val="21"/>
              </w:rPr>
              <w:t>5.6</w:t>
            </w:r>
          </w:p>
        </w:tc>
        <w:tc>
          <w:tcPr>
            <w:tcW w:w="744" w:type="pct"/>
            <w:tcBorders>
              <w:tl2br w:val="nil"/>
              <w:tr2bl w:val="nil"/>
            </w:tcBorders>
            <w:vAlign w:val="center"/>
          </w:tcPr>
          <w:p w14:paraId="7331A57E">
            <w:pPr>
              <w:spacing w:line="240" w:lineRule="auto"/>
              <w:ind w:firstLine="0" w:firstLineChars="0"/>
              <w:jc w:val="center"/>
              <w:rPr>
                <w:color w:val="auto"/>
                <w:sz w:val="21"/>
                <w:szCs w:val="21"/>
              </w:rPr>
            </w:pPr>
            <w:r>
              <w:rPr>
                <w:rFonts w:hint="eastAsia"/>
                <w:color w:val="auto"/>
                <w:sz w:val="21"/>
                <w:szCs w:val="21"/>
              </w:rPr>
              <w:t>0.045</w:t>
            </w:r>
          </w:p>
        </w:tc>
        <w:tc>
          <w:tcPr>
            <w:tcW w:w="346" w:type="pct"/>
            <w:vMerge w:val="continue"/>
            <w:tcBorders>
              <w:tl2br w:val="nil"/>
              <w:tr2bl w:val="nil"/>
            </w:tcBorders>
            <w:vAlign w:val="center"/>
          </w:tcPr>
          <w:p w14:paraId="52A6C869">
            <w:pPr>
              <w:spacing w:line="240" w:lineRule="auto"/>
              <w:ind w:firstLine="0" w:firstLineChars="0"/>
              <w:jc w:val="center"/>
              <w:rPr>
                <w:color w:val="auto"/>
                <w:sz w:val="21"/>
                <w:szCs w:val="21"/>
              </w:rPr>
            </w:pPr>
          </w:p>
        </w:tc>
        <w:tc>
          <w:tcPr>
            <w:tcW w:w="733" w:type="pct"/>
            <w:tcBorders>
              <w:tl2br w:val="nil"/>
              <w:tr2bl w:val="nil"/>
            </w:tcBorders>
            <w:vAlign w:val="center"/>
          </w:tcPr>
          <w:p w14:paraId="636344E0">
            <w:pPr>
              <w:spacing w:line="240" w:lineRule="auto"/>
              <w:ind w:firstLine="0" w:firstLineChars="0"/>
              <w:jc w:val="center"/>
              <w:rPr>
                <w:color w:val="auto"/>
                <w:sz w:val="21"/>
                <w:szCs w:val="21"/>
              </w:rPr>
            </w:pPr>
            <w:r>
              <w:rPr>
                <w:rFonts w:hint="eastAsia"/>
                <w:color w:val="auto"/>
                <w:sz w:val="21"/>
                <w:szCs w:val="21"/>
              </w:rPr>
              <w:t>20</w:t>
            </w:r>
          </w:p>
        </w:tc>
        <w:tc>
          <w:tcPr>
            <w:tcW w:w="628" w:type="pct"/>
            <w:tcBorders>
              <w:tl2br w:val="nil"/>
              <w:tr2bl w:val="nil"/>
            </w:tcBorders>
            <w:vAlign w:val="center"/>
          </w:tcPr>
          <w:p w14:paraId="72563251">
            <w:pPr>
              <w:spacing w:line="240" w:lineRule="auto"/>
              <w:ind w:firstLine="0" w:firstLineChars="0"/>
              <w:jc w:val="center"/>
              <w:rPr>
                <w:color w:val="auto"/>
                <w:sz w:val="21"/>
                <w:szCs w:val="21"/>
              </w:rPr>
            </w:pPr>
            <w:r>
              <w:rPr>
                <w:rFonts w:hint="eastAsia"/>
                <w:color w:val="auto"/>
                <w:sz w:val="21"/>
                <w:szCs w:val="21"/>
              </w:rPr>
              <w:t>1</w:t>
            </w:r>
          </w:p>
        </w:tc>
        <w:tc>
          <w:tcPr>
            <w:tcW w:w="536" w:type="pct"/>
            <w:tcBorders>
              <w:tl2br w:val="nil"/>
              <w:tr2bl w:val="nil"/>
            </w:tcBorders>
            <w:vAlign w:val="center"/>
          </w:tcPr>
          <w:p w14:paraId="6FD551AC">
            <w:pPr>
              <w:spacing w:line="240" w:lineRule="auto"/>
              <w:ind w:firstLine="0" w:firstLineChars="0"/>
              <w:jc w:val="center"/>
              <w:rPr>
                <w:color w:val="auto"/>
                <w:sz w:val="21"/>
                <w:szCs w:val="21"/>
              </w:rPr>
            </w:pPr>
            <w:r>
              <w:rPr>
                <w:rFonts w:hint="eastAsia"/>
                <w:color w:val="auto"/>
                <w:sz w:val="21"/>
                <w:szCs w:val="21"/>
              </w:rPr>
              <w:t>是</w:t>
            </w:r>
          </w:p>
        </w:tc>
        <w:tc>
          <w:tcPr>
            <w:tcW w:w="552" w:type="pct"/>
            <w:vMerge w:val="continue"/>
            <w:tcBorders>
              <w:tl2br w:val="nil"/>
              <w:tr2bl w:val="nil"/>
            </w:tcBorders>
            <w:vAlign w:val="center"/>
          </w:tcPr>
          <w:p w14:paraId="65AB2440">
            <w:pPr>
              <w:spacing w:line="240" w:lineRule="auto"/>
              <w:ind w:firstLine="0" w:firstLineChars="0"/>
              <w:jc w:val="center"/>
              <w:rPr>
                <w:color w:val="auto"/>
                <w:sz w:val="21"/>
                <w:szCs w:val="21"/>
              </w:rPr>
            </w:pPr>
          </w:p>
        </w:tc>
      </w:tr>
      <w:tr w14:paraId="31969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tcBorders>
              <w:tl2br w:val="nil"/>
              <w:tr2bl w:val="nil"/>
            </w:tcBorders>
            <w:vAlign w:val="center"/>
          </w:tcPr>
          <w:p w14:paraId="5212BC74">
            <w:pPr>
              <w:spacing w:line="240" w:lineRule="auto"/>
              <w:ind w:firstLine="0" w:firstLineChars="0"/>
              <w:jc w:val="center"/>
              <w:rPr>
                <w:color w:val="auto"/>
                <w:sz w:val="21"/>
                <w:szCs w:val="21"/>
              </w:rPr>
            </w:pPr>
          </w:p>
        </w:tc>
        <w:tc>
          <w:tcPr>
            <w:tcW w:w="726" w:type="pct"/>
            <w:tcBorders>
              <w:tl2br w:val="nil"/>
              <w:tr2bl w:val="nil"/>
            </w:tcBorders>
            <w:vAlign w:val="center"/>
          </w:tcPr>
          <w:p w14:paraId="33D49E29">
            <w:pPr>
              <w:spacing w:line="240" w:lineRule="auto"/>
              <w:ind w:firstLine="0" w:firstLineChars="0"/>
              <w:jc w:val="center"/>
              <w:rPr>
                <w:color w:val="auto"/>
                <w:sz w:val="21"/>
                <w:szCs w:val="21"/>
              </w:rPr>
            </w:pPr>
            <w:r>
              <w:rPr>
                <w:rFonts w:hint="eastAsia"/>
                <w:color w:val="auto"/>
                <w:sz w:val="21"/>
                <w:szCs w:val="21"/>
              </w:rPr>
              <w:t>4.1</w:t>
            </w:r>
          </w:p>
        </w:tc>
        <w:tc>
          <w:tcPr>
            <w:tcW w:w="744" w:type="pct"/>
            <w:tcBorders>
              <w:tl2br w:val="nil"/>
              <w:tr2bl w:val="nil"/>
            </w:tcBorders>
            <w:vAlign w:val="center"/>
          </w:tcPr>
          <w:p w14:paraId="7EC45392">
            <w:pPr>
              <w:spacing w:line="240" w:lineRule="auto"/>
              <w:ind w:firstLine="0" w:firstLineChars="0"/>
              <w:jc w:val="center"/>
              <w:rPr>
                <w:color w:val="auto"/>
                <w:sz w:val="21"/>
                <w:szCs w:val="21"/>
              </w:rPr>
            </w:pPr>
            <w:r>
              <w:rPr>
                <w:rFonts w:hint="eastAsia"/>
                <w:color w:val="auto"/>
                <w:sz w:val="21"/>
                <w:szCs w:val="21"/>
              </w:rPr>
              <w:t>0.031</w:t>
            </w:r>
          </w:p>
        </w:tc>
        <w:tc>
          <w:tcPr>
            <w:tcW w:w="346" w:type="pct"/>
            <w:vMerge w:val="continue"/>
            <w:tcBorders>
              <w:tl2br w:val="nil"/>
              <w:tr2bl w:val="nil"/>
            </w:tcBorders>
            <w:vAlign w:val="center"/>
          </w:tcPr>
          <w:p w14:paraId="4CC70F95">
            <w:pPr>
              <w:spacing w:line="240" w:lineRule="auto"/>
              <w:ind w:firstLine="0" w:firstLineChars="0"/>
              <w:jc w:val="center"/>
              <w:rPr>
                <w:color w:val="auto"/>
                <w:sz w:val="21"/>
                <w:szCs w:val="21"/>
              </w:rPr>
            </w:pPr>
          </w:p>
        </w:tc>
        <w:tc>
          <w:tcPr>
            <w:tcW w:w="733" w:type="pct"/>
            <w:tcBorders>
              <w:tl2br w:val="nil"/>
              <w:tr2bl w:val="nil"/>
            </w:tcBorders>
            <w:vAlign w:val="center"/>
          </w:tcPr>
          <w:p w14:paraId="0BADB79A">
            <w:pPr>
              <w:spacing w:line="240" w:lineRule="auto"/>
              <w:ind w:firstLine="0" w:firstLineChars="0"/>
              <w:jc w:val="center"/>
              <w:rPr>
                <w:color w:val="auto"/>
                <w:sz w:val="21"/>
                <w:szCs w:val="21"/>
              </w:rPr>
            </w:pPr>
            <w:r>
              <w:rPr>
                <w:rFonts w:hint="eastAsia"/>
                <w:color w:val="auto"/>
                <w:sz w:val="21"/>
                <w:szCs w:val="21"/>
              </w:rPr>
              <w:t>20</w:t>
            </w:r>
          </w:p>
        </w:tc>
        <w:tc>
          <w:tcPr>
            <w:tcW w:w="628" w:type="pct"/>
            <w:tcBorders>
              <w:tl2br w:val="nil"/>
              <w:tr2bl w:val="nil"/>
            </w:tcBorders>
            <w:vAlign w:val="center"/>
          </w:tcPr>
          <w:p w14:paraId="226934B6">
            <w:pPr>
              <w:spacing w:line="240" w:lineRule="auto"/>
              <w:ind w:firstLine="0" w:firstLineChars="0"/>
              <w:jc w:val="center"/>
              <w:rPr>
                <w:color w:val="auto"/>
                <w:sz w:val="21"/>
                <w:szCs w:val="21"/>
              </w:rPr>
            </w:pPr>
            <w:r>
              <w:rPr>
                <w:rFonts w:hint="eastAsia"/>
                <w:color w:val="auto"/>
                <w:sz w:val="21"/>
                <w:szCs w:val="21"/>
              </w:rPr>
              <w:t>1</w:t>
            </w:r>
          </w:p>
        </w:tc>
        <w:tc>
          <w:tcPr>
            <w:tcW w:w="536" w:type="pct"/>
            <w:tcBorders>
              <w:tl2br w:val="nil"/>
              <w:tr2bl w:val="nil"/>
            </w:tcBorders>
            <w:vAlign w:val="center"/>
          </w:tcPr>
          <w:p w14:paraId="3917F293">
            <w:pPr>
              <w:spacing w:line="240" w:lineRule="auto"/>
              <w:ind w:firstLine="0" w:firstLineChars="0"/>
              <w:jc w:val="center"/>
              <w:rPr>
                <w:color w:val="auto"/>
                <w:sz w:val="21"/>
                <w:szCs w:val="21"/>
              </w:rPr>
            </w:pPr>
            <w:r>
              <w:rPr>
                <w:rFonts w:hint="eastAsia"/>
                <w:color w:val="auto"/>
                <w:sz w:val="21"/>
                <w:szCs w:val="21"/>
              </w:rPr>
              <w:t>是</w:t>
            </w:r>
          </w:p>
        </w:tc>
        <w:tc>
          <w:tcPr>
            <w:tcW w:w="552" w:type="pct"/>
            <w:vMerge w:val="continue"/>
            <w:tcBorders>
              <w:tl2br w:val="nil"/>
              <w:tr2bl w:val="nil"/>
            </w:tcBorders>
            <w:vAlign w:val="center"/>
          </w:tcPr>
          <w:p w14:paraId="66C1BDAD">
            <w:pPr>
              <w:spacing w:line="240" w:lineRule="auto"/>
              <w:ind w:firstLine="0" w:firstLineChars="0"/>
              <w:jc w:val="center"/>
              <w:rPr>
                <w:color w:val="auto"/>
                <w:sz w:val="21"/>
                <w:szCs w:val="21"/>
              </w:rPr>
            </w:pPr>
          </w:p>
        </w:tc>
      </w:tr>
      <w:tr w14:paraId="77134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restart"/>
            <w:tcBorders>
              <w:tl2br w:val="nil"/>
              <w:tr2bl w:val="nil"/>
            </w:tcBorders>
            <w:vAlign w:val="center"/>
          </w:tcPr>
          <w:p w14:paraId="78830857">
            <w:pPr>
              <w:spacing w:line="240" w:lineRule="auto"/>
              <w:ind w:firstLine="0" w:firstLineChars="0"/>
              <w:jc w:val="center"/>
              <w:rPr>
                <w:color w:val="auto"/>
                <w:sz w:val="21"/>
                <w:szCs w:val="21"/>
              </w:rPr>
            </w:pPr>
            <w:r>
              <w:rPr>
                <w:rFonts w:hint="eastAsia"/>
                <w:color w:val="auto"/>
                <w:sz w:val="21"/>
                <w:szCs w:val="21"/>
              </w:rPr>
              <w:t>颗粒物</w:t>
            </w:r>
          </w:p>
        </w:tc>
        <w:tc>
          <w:tcPr>
            <w:tcW w:w="726" w:type="pct"/>
            <w:tcBorders>
              <w:tl2br w:val="nil"/>
              <w:tr2bl w:val="nil"/>
            </w:tcBorders>
            <w:vAlign w:val="center"/>
          </w:tcPr>
          <w:p w14:paraId="55E3EF1C">
            <w:pPr>
              <w:spacing w:line="240" w:lineRule="auto"/>
              <w:ind w:firstLine="0" w:firstLineChars="0"/>
              <w:jc w:val="center"/>
              <w:rPr>
                <w:color w:val="auto"/>
                <w:sz w:val="21"/>
                <w:szCs w:val="21"/>
              </w:rPr>
            </w:pPr>
            <w:r>
              <w:rPr>
                <w:rFonts w:hint="eastAsia"/>
                <w:color w:val="auto"/>
                <w:sz w:val="21"/>
                <w:szCs w:val="21"/>
              </w:rPr>
              <w:t>4.9</w:t>
            </w:r>
          </w:p>
        </w:tc>
        <w:tc>
          <w:tcPr>
            <w:tcW w:w="744" w:type="pct"/>
            <w:tcBorders>
              <w:tl2br w:val="nil"/>
              <w:tr2bl w:val="nil"/>
            </w:tcBorders>
            <w:vAlign w:val="center"/>
          </w:tcPr>
          <w:p w14:paraId="2458E89B">
            <w:pPr>
              <w:spacing w:line="240" w:lineRule="auto"/>
              <w:ind w:firstLine="0" w:firstLineChars="0"/>
              <w:jc w:val="center"/>
              <w:rPr>
                <w:color w:val="auto"/>
                <w:sz w:val="21"/>
                <w:szCs w:val="21"/>
              </w:rPr>
            </w:pPr>
            <w:r>
              <w:rPr>
                <w:rFonts w:hint="eastAsia"/>
                <w:color w:val="auto"/>
                <w:sz w:val="21"/>
                <w:szCs w:val="21"/>
              </w:rPr>
              <w:t>0.050</w:t>
            </w:r>
          </w:p>
        </w:tc>
        <w:tc>
          <w:tcPr>
            <w:tcW w:w="346" w:type="pct"/>
            <w:vMerge w:val="continue"/>
            <w:tcBorders>
              <w:tl2br w:val="nil"/>
              <w:tr2bl w:val="nil"/>
            </w:tcBorders>
            <w:vAlign w:val="center"/>
          </w:tcPr>
          <w:p w14:paraId="01E03736">
            <w:pPr>
              <w:spacing w:line="240" w:lineRule="auto"/>
              <w:ind w:firstLine="0" w:firstLineChars="0"/>
              <w:jc w:val="center"/>
              <w:rPr>
                <w:color w:val="auto"/>
                <w:sz w:val="21"/>
                <w:szCs w:val="21"/>
              </w:rPr>
            </w:pPr>
          </w:p>
        </w:tc>
        <w:tc>
          <w:tcPr>
            <w:tcW w:w="733" w:type="pct"/>
            <w:tcBorders>
              <w:tl2br w:val="nil"/>
              <w:tr2bl w:val="nil"/>
            </w:tcBorders>
            <w:vAlign w:val="center"/>
          </w:tcPr>
          <w:p w14:paraId="11B2CF3D">
            <w:pPr>
              <w:spacing w:line="240" w:lineRule="auto"/>
              <w:ind w:firstLine="0" w:firstLineChars="0"/>
              <w:jc w:val="center"/>
              <w:rPr>
                <w:color w:val="auto"/>
                <w:sz w:val="21"/>
                <w:szCs w:val="21"/>
              </w:rPr>
            </w:pPr>
            <w:r>
              <w:rPr>
                <w:rFonts w:hint="eastAsia"/>
                <w:color w:val="auto"/>
                <w:sz w:val="21"/>
                <w:szCs w:val="21"/>
              </w:rPr>
              <w:t>20</w:t>
            </w:r>
          </w:p>
        </w:tc>
        <w:tc>
          <w:tcPr>
            <w:tcW w:w="628" w:type="pct"/>
            <w:tcBorders>
              <w:tl2br w:val="nil"/>
              <w:tr2bl w:val="nil"/>
            </w:tcBorders>
            <w:vAlign w:val="center"/>
          </w:tcPr>
          <w:p w14:paraId="13C5089E">
            <w:pPr>
              <w:spacing w:line="240" w:lineRule="auto"/>
              <w:ind w:firstLine="0" w:firstLineChars="0"/>
              <w:jc w:val="center"/>
              <w:rPr>
                <w:color w:val="auto"/>
                <w:sz w:val="21"/>
                <w:szCs w:val="21"/>
              </w:rPr>
            </w:pPr>
            <w:r>
              <w:rPr>
                <w:rFonts w:hint="eastAsia"/>
                <w:color w:val="auto"/>
                <w:sz w:val="21"/>
                <w:szCs w:val="21"/>
              </w:rPr>
              <w:t>1</w:t>
            </w:r>
          </w:p>
        </w:tc>
        <w:tc>
          <w:tcPr>
            <w:tcW w:w="536" w:type="pct"/>
            <w:tcBorders>
              <w:tl2br w:val="nil"/>
              <w:tr2bl w:val="nil"/>
            </w:tcBorders>
            <w:vAlign w:val="center"/>
          </w:tcPr>
          <w:p w14:paraId="08E85B63">
            <w:pPr>
              <w:spacing w:line="240" w:lineRule="auto"/>
              <w:ind w:firstLine="0" w:firstLineChars="0"/>
              <w:jc w:val="center"/>
              <w:rPr>
                <w:color w:val="auto"/>
                <w:sz w:val="21"/>
                <w:szCs w:val="21"/>
              </w:rPr>
            </w:pPr>
            <w:r>
              <w:rPr>
                <w:rFonts w:hint="eastAsia"/>
                <w:color w:val="auto"/>
                <w:sz w:val="21"/>
                <w:szCs w:val="21"/>
              </w:rPr>
              <w:t>是</w:t>
            </w:r>
          </w:p>
        </w:tc>
        <w:tc>
          <w:tcPr>
            <w:tcW w:w="552" w:type="pct"/>
            <w:vMerge w:val="restart"/>
            <w:tcBorders>
              <w:tl2br w:val="nil"/>
              <w:tr2bl w:val="nil"/>
            </w:tcBorders>
            <w:vAlign w:val="center"/>
          </w:tcPr>
          <w:p w14:paraId="55068B1A">
            <w:pPr>
              <w:spacing w:line="240" w:lineRule="auto"/>
              <w:ind w:firstLine="0" w:firstLineChars="0"/>
              <w:jc w:val="center"/>
              <w:rPr>
                <w:color w:val="auto"/>
                <w:sz w:val="21"/>
                <w:szCs w:val="21"/>
              </w:rPr>
            </w:pPr>
            <w:r>
              <w:rPr>
                <w:rFonts w:hint="eastAsia"/>
                <w:color w:val="auto"/>
                <w:sz w:val="21"/>
                <w:szCs w:val="21"/>
              </w:rPr>
              <w:t>2024.9.4</w:t>
            </w:r>
          </w:p>
        </w:tc>
      </w:tr>
      <w:tr w14:paraId="5C91D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tcBorders>
              <w:tl2br w:val="nil"/>
              <w:tr2bl w:val="nil"/>
            </w:tcBorders>
            <w:vAlign w:val="center"/>
          </w:tcPr>
          <w:p w14:paraId="3AE70A0F">
            <w:pPr>
              <w:spacing w:line="240" w:lineRule="auto"/>
              <w:ind w:firstLine="0" w:firstLineChars="0"/>
              <w:jc w:val="center"/>
              <w:rPr>
                <w:color w:val="auto"/>
                <w:sz w:val="21"/>
                <w:szCs w:val="21"/>
              </w:rPr>
            </w:pPr>
          </w:p>
        </w:tc>
        <w:tc>
          <w:tcPr>
            <w:tcW w:w="726" w:type="pct"/>
            <w:tcBorders>
              <w:tl2br w:val="nil"/>
              <w:tr2bl w:val="nil"/>
            </w:tcBorders>
            <w:vAlign w:val="center"/>
          </w:tcPr>
          <w:p w14:paraId="4C79B9CA">
            <w:pPr>
              <w:spacing w:line="240" w:lineRule="auto"/>
              <w:ind w:firstLine="0" w:firstLineChars="0"/>
              <w:jc w:val="center"/>
              <w:rPr>
                <w:color w:val="auto"/>
                <w:sz w:val="21"/>
                <w:szCs w:val="21"/>
              </w:rPr>
            </w:pPr>
            <w:r>
              <w:rPr>
                <w:rFonts w:hint="eastAsia"/>
                <w:color w:val="auto"/>
                <w:sz w:val="21"/>
                <w:szCs w:val="21"/>
              </w:rPr>
              <w:t>6.5</w:t>
            </w:r>
          </w:p>
        </w:tc>
        <w:tc>
          <w:tcPr>
            <w:tcW w:w="744" w:type="pct"/>
            <w:tcBorders>
              <w:tl2br w:val="nil"/>
              <w:tr2bl w:val="nil"/>
            </w:tcBorders>
            <w:vAlign w:val="center"/>
          </w:tcPr>
          <w:p w14:paraId="74D95A23">
            <w:pPr>
              <w:spacing w:line="240" w:lineRule="auto"/>
              <w:ind w:firstLine="0" w:firstLineChars="0"/>
              <w:jc w:val="center"/>
              <w:rPr>
                <w:color w:val="auto"/>
                <w:sz w:val="21"/>
                <w:szCs w:val="21"/>
              </w:rPr>
            </w:pPr>
            <w:r>
              <w:rPr>
                <w:rFonts w:hint="eastAsia"/>
                <w:color w:val="auto"/>
                <w:sz w:val="21"/>
                <w:szCs w:val="21"/>
              </w:rPr>
              <w:t>0.044</w:t>
            </w:r>
          </w:p>
        </w:tc>
        <w:tc>
          <w:tcPr>
            <w:tcW w:w="346" w:type="pct"/>
            <w:vMerge w:val="continue"/>
            <w:tcBorders>
              <w:tl2br w:val="nil"/>
              <w:tr2bl w:val="nil"/>
            </w:tcBorders>
            <w:vAlign w:val="center"/>
          </w:tcPr>
          <w:p w14:paraId="5163F629">
            <w:pPr>
              <w:spacing w:line="240" w:lineRule="auto"/>
              <w:ind w:firstLine="0" w:firstLineChars="0"/>
              <w:jc w:val="center"/>
              <w:rPr>
                <w:color w:val="auto"/>
                <w:sz w:val="21"/>
                <w:szCs w:val="21"/>
              </w:rPr>
            </w:pPr>
          </w:p>
        </w:tc>
        <w:tc>
          <w:tcPr>
            <w:tcW w:w="733" w:type="pct"/>
            <w:tcBorders>
              <w:tl2br w:val="nil"/>
              <w:tr2bl w:val="nil"/>
            </w:tcBorders>
            <w:shd w:val="clear" w:color="auto" w:fill="auto"/>
            <w:vAlign w:val="center"/>
          </w:tcPr>
          <w:p w14:paraId="02E77012">
            <w:pPr>
              <w:spacing w:line="240" w:lineRule="auto"/>
              <w:ind w:firstLine="0" w:firstLineChars="0"/>
              <w:jc w:val="center"/>
              <w:rPr>
                <w:color w:val="auto"/>
                <w:sz w:val="21"/>
                <w:szCs w:val="21"/>
              </w:rPr>
            </w:pPr>
            <w:r>
              <w:rPr>
                <w:rFonts w:hint="eastAsia"/>
                <w:color w:val="auto"/>
                <w:sz w:val="21"/>
                <w:szCs w:val="21"/>
              </w:rPr>
              <w:t>20</w:t>
            </w:r>
          </w:p>
        </w:tc>
        <w:tc>
          <w:tcPr>
            <w:tcW w:w="628" w:type="pct"/>
            <w:tcBorders>
              <w:tl2br w:val="nil"/>
              <w:tr2bl w:val="nil"/>
            </w:tcBorders>
            <w:vAlign w:val="center"/>
          </w:tcPr>
          <w:p w14:paraId="03C3089B">
            <w:pPr>
              <w:spacing w:line="240" w:lineRule="auto"/>
              <w:ind w:firstLine="0" w:firstLineChars="0"/>
              <w:jc w:val="center"/>
              <w:rPr>
                <w:color w:val="auto"/>
                <w:sz w:val="21"/>
                <w:szCs w:val="21"/>
              </w:rPr>
            </w:pPr>
            <w:r>
              <w:rPr>
                <w:rFonts w:hint="eastAsia"/>
                <w:color w:val="auto"/>
                <w:sz w:val="21"/>
                <w:szCs w:val="21"/>
              </w:rPr>
              <w:t>1</w:t>
            </w:r>
          </w:p>
        </w:tc>
        <w:tc>
          <w:tcPr>
            <w:tcW w:w="536" w:type="pct"/>
            <w:tcBorders>
              <w:tl2br w:val="nil"/>
              <w:tr2bl w:val="nil"/>
            </w:tcBorders>
            <w:vAlign w:val="center"/>
          </w:tcPr>
          <w:p w14:paraId="6C2DE046">
            <w:pPr>
              <w:spacing w:line="240" w:lineRule="auto"/>
              <w:ind w:firstLine="0" w:firstLineChars="0"/>
              <w:jc w:val="center"/>
              <w:rPr>
                <w:color w:val="auto"/>
                <w:sz w:val="21"/>
                <w:szCs w:val="21"/>
              </w:rPr>
            </w:pPr>
            <w:r>
              <w:rPr>
                <w:rFonts w:hint="eastAsia"/>
                <w:color w:val="auto"/>
                <w:sz w:val="21"/>
                <w:szCs w:val="21"/>
              </w:rPr>
              <w:t>是</w:t>
            </w:r>
          </w:p>
        </w:tc>
        <w:tc>
          <w:tcPr>
            <w:tcW w:w="552" w:type="pct"/>
            <w:vMerge w:val="continue"/>
            <w:tcBorders>
              <w:tl2br w:val="nil"/>
              <w:tr2bl w:val="nil"/>
            </w:tcBorders>
            <w:vAlign w:val="center"/>
          </w:tcPr>
          <w:p w14:paraId="3701D695">
            <w:pPr>
              <w:spacing w:line="240" w:lineRule="auto"/>
              <w:ind w:firstLine="0" w:firstLineChars="0"/>
              <w:jc w:val="center"/>
              <w:rPr>
                <w:color w:val="auto"/>
                <w:sz w:val="21"/>
                <w:szCs w:val="21"/>
              </w:rPr>
            </w:pPr>
          </w:p>
        </w:tc>
      </w:tr>
      <w:tr w14:paraId="54A03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tcBorders>
              <w:tl2br w:val="nil"/>
              <w:tr2bl w:val="nil"/>
            </w:tcBorders>
            <w:vAlign w:val="center"/>
          </w:tcPr>
          <w:p w14:paraId="61284807">
            <w:pPr>
              <w:spacing w:line="240" w:lineRule="auto"/>
              <w:ind w:firstLine="0" w:firstLineChars="0"/>
              <w:jc w:val="center"/>
              <w:rPr>
                <w:color w:val="auto"/>
                <w:sz w:val="21"/>
                <w:szCs w:val="21"/>
              </w:rPr>
            </w:pPr>
          </w:p>
        </w:tc>
        <w:tc>
          <w:tcPr>
            <w:tcW w:w="726" w:type="pct"/>
            <w:tcBorders>
              <w:tl2br w:val="nil"/>
              <w:tr2bl w:val="nil"/>
            </w:tcBorders>
            <w:vAlign w:val="center"/>
          </w:tcPr>
          <w:p w14:paraId="616024DC">
            <w:pPr>
              <w:spacing w:line="240" w:lineRule="auto"/>
              <w:ind w:firstLine="0" w:firstLineChars="0"/>
              <w:jc w:val="center"/>
              <w:rPr>
                <w:color w:val="auto"/>
                <w:sz w:val="21"/>
                <w:szCs w:val="21"/>
              </w:rPr>
            </w:pPr>
            <w:r>
              <w:rPr>
                <w:rFonts w:hint="eastAsia"/>
                <w:color w:val="auto"/>
                <w:sz w:val="21"/>
                <w:szCs w:val="21"/>
              </w:rPr>
              <w:t>3.4</w:t>
            </w:r>
          </w:p>
        </w:tc>
        <w:tc>
          <w:tcPr>
            <w:tcW w:w="744" w:type="pct"/>
            <w:tcBorders>
              <w:tl2br w:val="nil"/>
              <w:tr2bl w:val="nil"/>
            </w:tcBorders>
            <w:vAlign w:val="center"/>
          </w:tcPr>
          <w:p w14:paraId="4072F07A">
            <w:pPr>
              <w:spacing w:line="240" w:lineRule="auto"/>
              <w:ind w:firstLine="0" w:firstLineChars="0"/>
              <w:jc w:val="center"/>
              <w:rPr>
                <w:color w:val="auto"/>
                <w:sz w:val="21"/>
                <w:szCs w:val="21"/>
              </w:rPr>
            </w:pPr>
            <w:r>
              <w:rPr>
                <w:rFonts w:hint="eastAsia"/>
                <w:color w:val="auto"/>
                <w:sz w:val="21"/>
                <w:szCs w:val="21"/>
              </w:rPr>
              <w:t>0.024</w:t>
            </w:r>
          </w:p>
        </w:tc>
        <w:tc>
          <w:tcPr>
            <w:tcW w:w="346" w:type="pct"/>
            <w:vMerge w:val="continue"/>
            <w:tcBorders>
              <w:tl2br w:val="nil"/>
              <w:tr2bl w:val="nil"/>
            </w:tcBorders>
            <w:vAlign w:val="center"/>
          </w:tcPr>
          <w:p w14:paraId="14804905">
            <w:pPr>
              <w:spacing w:line="240" w:lineRule="auto"/>
              <w:ind w:firstLine="0" w:firstLineChars="0"/>
              <w:jc w:val="center"/>
              <w:rPr>
                <w:color w:val="auto"/>
                <w:sz w:val="21"/>
                <w:szCs w:val="21"/>
              </w:rPr>
            </w:pPr>
          </w:p>
        </w:tc>
        <w:tc>
          <w:tcPr>
            <w:tcW w:w="733" w:type="pct"/>
            <w:tcBorders>
              <w:tl2br w:val="nil"/>
              <w:tr2bl w:val="nil"/>
            </w:tcBorders>
            <w:shd w:val="clear" w:color="auto" w:fill="auto"/>
            <w:vAlign w:val="center"/>
          </w:tcPr>
          <w:p w14:paraId="187E1059">
            <w:pPr>
              <w:spacing w:line="240" w:lineRule="auto"/>
              <w:ind w:firstLine="0" w:firstLineChars="0"/>
              <w:jc w:val="center"/>
              <w:rPr>
                <w:color w:val="auto"/>
                <w:sz w:val="21"/>
                <w:szCs w:val="21"/>
              </w:rPr>
            </w:pPr>
            <w:r>
              <w:rPr>
                <w:rFonts w:hint="eastAsia"/>
                <w:color w:val="auto"/>
                <w:sz w:val="21"/>
                <w:szCs w:val="21"/>
              </w:rPr>
              <w:t>20</w:t>
            </w:r>
          </w:p>
        </w:tc>
        <w:tc>
          <w:tcPr>
            <w:tcW w:w="628" w:type="pct"/>
            <w:tcBorders>
              <w:tl2br w:val="nil"/>
              <w:tr2bl w:val="nil"/>
            </w:tcBorders>
            <w:vAlign w:val="center"/>
          </w:tcPr>
          <w:p w14:paraId="3745DD68">
            <w:pPr>
              <w:spacing w:line="240" w:lineRule="auto"/>
              <w:ind w:firstLine="0" w:firstLineChars="0"/>
              <w:jc w:val="center"/>
              <w:rPr>
                <w:color w:val="auto"/>
                <w:sz w:val="21"/>
                <w:szCs w:val="21"/>
              </w:rPr>
            </w:pPr>
            <w:r>
              <w:rPr>
                <w:rFonts w:hint="eastAsia"/>
                <w:color w:val="auto"/>
                <w:sz w:val="21"/>
                <w:szCs w:val="21"/>
              </w:rPr>
              <w:t>1</w:t>
            </w:r>
          </w:p>
        </w:tc>
        <w:tc>
          <w:tcPr>
            <w:tcW w:w="536" w:type="pct"/>
            <w:tcBorders>
              <w:tl2br w:val="nil"/>
              <w:tr2bl w:val="nil"/>
            </w:tcBorders>
            <w:vAlign w:val="center"/>
          </w:tcPr>
          <w:p w14:paraId="0E4BA5AB">
            <w:pPr>
              <w:spacing w:line="240" w:lineRule="auto"/>
              <w:ind w:firstLine="0" w:firstLineChars="0"/>
              <w:jc w:val="center"/>
              <w:rPr>
                <w:color w:val="auto"/>
                <w:sz w:val="21"/>
                <w:szCs w:val="21"/>
              </w:rPr>
            </w:pPr>
            <w:r>
              <w:rPr>
                <w:rFonts w:hint="eastAsia"/>
                <w:color w:val="auto"/>
                <w:sz w:val="21"/>
                <w:szCs w:val="21"/>
              </w:rPr>
              <w:t>是</w:t>
            </w:r>
          </w:p>
        </w:tc>
        <w:tc>
          <w:tcPr>
            <w:tcW w:w="552" w:type="pct"/>
            <w:vMerge w:val="continue"/>
            <w:tcBorders>
              <w:tl2br w:val="nil"/>
              <w:tr2bl w:val="nil"/>
            </w:tcBorders>
            <w:vAlign w:val="center"/>
          </w:tcPr>
          <w:p w14:paraId="071F3E28">
            <w:pPr>
              <w:spacing w:line="240" w:lineRule="auto"/>
              <w:ind w:firstLine="0" w:firstLineChars="0"/>
              <w:jc w:val="center"/>
              <w:rPr>
                <w:color w:val="auto"/>
                <w:sz w:val="21"/>
                <w:szCs w:val="21"/>
              </w:rPr>
            </w:pPr>
          </w:p>
        </w:tc>
      </w:tr>
    </w:tbl>
    <w:p w14:paraId="2285CB68">
      <w:pPr>
        <w:ind w:firstLine="480"/>
        <w:rPr>
          <w:color w:val="auto"/>
        </w:rPr>
      </w:pPr>
      <w:r>
        <w:rPr>
          <w:rFonts w:hint="eastAsia"/>
          <w:color w:val="auto"/>
        </w:rPr>
        <w:t>根据上表监测结果，该项目喷砂过程产生的颗粒物排放浓度及</w:t>
      </w:r>
      <w:r>
        <w:rPr>
          <w:rFonts w:hint="eastAsia"/>
          <w:color w:val="auto"/>
          <w:lang w:eastAsia="zh-CN"/>
        </w:rPr>
        <w:t>排放</w:t>
      </w:r>
      <w:r>
        <w:rPr>
          <w:rFonts w:hint="eastAsia"/>
          <w:color w:val="auto"/>
        </w:rPr>
        <w:t>速率能够满足江苏省地方标准《大气污染物综合排放标准》（DB32/4041-2021）表1中标准限值。因此，本项目所选用的废气处理措施达标排放可行。</w:t>
      </w:r>
    </w:p>
    <w:p w14:paraId="01D92928">
      <w:pPr>
        <w:ind w:firstLine="482"/>
        <w:rPr>
          <w:b/>
          <w:bCs/>
          <w:color w:val="auto"/>
        </w:rPr>
      </w:pPr>
      <w:r>
        <w:rPr>
          <w:rFonts w:hint="eastAsia"/>
          <w:b/>
          <w:bCs/>
          <w:color w:val="auto"/>
        </w:rPr>
        <w:t>4、</w:t>
      </w:r>
      <w:r>
        <w:rPr>
          <w:b/>
          <w:bCs/>
          <w:color w:val="auto"/>
        </w:rPr>
        <w:t>天然气燃烧废气</w:t>
      </w:r>
    </w:p>
    <w:p w14:paraId="030C84E1">
      <w:pPr>
        <w:ind w:firstLine="480"/>
        <w:rPr>
          <w:color w:val="auto"/>
        </w:rPr>
      </w:pPr>
      <w:r>
        <w:rPr>
          <w:color w:val="auto"/>
        </w:rPr>
        <w:t>本项目加热炉、时效炉主要采用清洁的天然气为燃料，</w:t>
      </w:r>
      <w:r>
        <w:rPr>
          <w:rFonts w:hint="eastAsia"/>
          <w:color w:val="auto"/>
        </w:rPr>
        <w:t>属于清洁能源，含硫率低，从源头减少了烟气中污染物产生。为有效控制NOx，项目采用烟气再循环的低氮燃烧技术。</w:t>
      </w:r>
    </w:p>
    <w:p w14:paraId="125258B3">
      <w:pPr>
        <w:ind w:firstLine="480"/>
        <w:rPr>
          <w:color w:val="auto"/>
        </w:rPr>
      </w:pPr>
      <w:r>
        <w:rPr>
          <w:rFonts w:hint="eastAsia"/>
          <w:color w:val="auto"/>
        </w:rPr>
        <w:t>烟气再循环燃烧技术的核心在于利用烟气所具有的低温低特点，将部分烟气再次喷入炉膛合适部位，降低炉膛内局部温度以及形成局部还原性环境，从而抑制NOx、的生成，可保障烟气中NOx、排放浓度控制在180mg/m</w:t>
      </w:r>
      <w:r>
        <w:rPr>
          <w:rFonts w:hint="eastAsia"/>
          <w:color w:val="auto"/>
          <w:vertAlign w:val="superscript"/>
        </w:rPr>
        <w:t>3</w:t>
      </w:r>
      <w:r>
        <w:rPr>
          <w:rFonts w:hint="eastAsia"/>
          <w:color w:val="auto"/>
        </w:rPr>
        <w:t>以下。</w:t>
      </w:r>
    </w:p>
    <w:p w14:paraId="7C2194E6">
      <w:pPr>
        <w:ind w:firstLine="480"/>
        <w:rPr>
          <w:color w:val="auto"/>
        </w:rPr>
      </w:pPr>
      <w:r>
        <w:rPr>
          <w:color w:val="auto"/>
        </w:rPr>
        <w:t>天然气废气工程实例见镇江三鑫铝业有限公司铝型材深加工新建项目2021年有组织</w:t>
      </w:r>
      <w:r>
        <w:rPr>
          <w:rFonts w:hint="eastAsia"/>
          <w:color w:val="auto"/>
        </w:rPr>
        <w:t>自行检测</w:t>
      </w:r>
      <w:r>
        <w:rPr>
          <w:color w:val="auto"/>
        </w:rPr>
        <w:t>结果（表</w:t>
      </w:r>
      <w:r>
        <w:rPr>
          <w:rFonts w:hint="eastAsia"/>
          <w:color w:val="auto"/>
        </w:rPr>
        <w:t>7</w:t>
      </w:r>
      <w:r>
        <w:rPr>
          <w:color w:val="auto"/>
        </w:rPr>
        <w:t>.2.1-</w:t>
      </w:r>
      <w:r>
        <w:rPr>
          <w:rFonts w:hint="eastAsia"/>
          <w:color w:val="auto"/>
        </w:rPr>
        <w:t>2</w:t>
      </w:r>
      <w:r>
        <w:rPr>
          <w:color w:val="auto"/>
        </w:rPr>
        <w:t>）。</w:t>
      </w:r>
    </w:p>
    <w:p w14:paraId="2F5A37E1">
      <w:pPr>
        <w:ind w:firstLine="482"/>
        <w:rPr>
          <w:b/>
          <w:bCs/>
          <w:color w:val="auto"/>
        </w:rPr>
      </w:pPr>
      <w:r>
        <w:rPr>
          <w:rFonts w:hint="eastAsia"/>
          <w:b/>
          <w:bCs/>
          <w:color w:val="auto"/>
        </w:rPr>
        <w:t>5、</w:t>
      </w:r>
      <w:r>
        <w:rPr>
          <w:b/>
          <w:bCs/>
          <w:color w:val="auto"/>
        </w:rPr>
        <w:t>氮化炉废气</w:t>
      </w:r>
    </w:p>
    <w:p w14:paraId="331E91F9">
      <w:pPr>
        <w:ind w:firstLine="480"/>
        <w:rPr>
          <w:color w:val="auto"/>
        </w:rPr>
      </w:pPr>
      <w:r>
        <w:rPr>
          <w:rFonts w:hint="eastAsia"/>
          <w:color w:val="auto"/>
        </w:rPr>
        <w:t>本项目氮化炉自带的尾气燃烧装置，氨气、氢气混合物气体可与送入的空气形成可燃气体被点燃（燃烧温度500~650℃），发生如下化学反应4NH</w:t>
      </w:r>
      <w:r>
        <w:rPr>
          <w:rFonts w:hint="eastAsia"/>
          <w:color w:val="auto"/>
          <w:vertAlign w:val="subscript"/>
        </w:rPr>
        <w:t>3</w:t>
      </w:r>
      <w:r>
        <w:rPr>
          <w:rFonts w:hint="eastAsia"/>
          <w:color w:val="auto"/>
        </w:rPr>
        <w:t>+3O</w:t>
      </w:r>
      <w:r>
        <w:rPr>
          <w:rFonts w:hint="eastAsia"/>
          <w:color w:val="auto"/>
          <w:vertAlign w:val="subscript"/>
        </w:rPr>
        <w:t>2</w:t>
      </w:r>
      <w:r>
        <w:rPr>
          <w:rFonts w:hint="eastAsia"/>
          <w:color w:val="auto"/>
        </w:rPr>
        <w:t>=点燃=2N</w:t>
      </w:r>
      <w:r>
        <w:rPr>
          <w:rFonts w:hint="eastAsia"/>
          <w:color w:val="auto"/>
          <w:vertAlign w:val="subscript"/>
        </w:rPr>
        <w:t>2</w:t>
      </w:r>
      <w:r>
        <w:rPr>
          <w:rFonts w:hint="eastAsia"/>
          <w:color w:val="auto"/>
        </w:rPr>
        <w:t>+6H</w:t>
      </w:r>
      <w:r>
        <w:rPr>
          <w:rFonts w:hint="eastAsia"/>
          <w:color w:val="auto"/>
          <w:vertAlign w:val="subscript"/>
        </w:rPr>
        <w:t>2</w:t>
      </w:r>
      <w:r>
        <w:rPr>
          <w:rFonts w:hint="eastAsia"/>
          <w:color w:val="auto"/>
        </w:rPr>
        <w:t>O生成氮气和水。查阅资料，氨气在540℃下开始缓慢分解为氮气和氢气，燃点约651℃。在氢气的燃烧温度下，可实现部分氨气的分解和燃烧，分解的氢气继续作为燃料燃烧。经处理后排放的废气能够达到《恶臭污染物排放标准》（GB14554-93）表2中污染物排放标准值，确保达标排放。</w:t>
      </w:r>
    </w:p>
    <w:p w14:paraId="36D2D220">
      <w:pPr>
        <w:ind w:firstLine="482"/>
        <w:rPr>
          <w:color w:val="auto"/>
        </w:rPr>
      </w:pPr>
      <w:r>
        <w:rPr>
          <w:rFonts w:hint="eastAsia"/>
          <w:b/>
          <w:bCs/>
          <w:color w:val="auto"/>
        </w:rPr>
        <w:t>工程实例：</w:t>
      </w:r>
      <w:r>
        <w:rPr>
          <w:rFonts w:hint="eastAsia"/>
          <w:color w:val="auto"/>
        </w:rPr>
        <w:t>参考《渗氮过程中废氨气排放及热能再利用》（刘冬日等，热处理技术与装备）中研究，济南柴油机股份有限公司将渗氮炉收集的氨气、氢气通入废气分解炉燃烧后，渗氮车间达到了无氨气异味的效果，经环保部门检测厂区空气质量达标。</w:t>
      </w:r>
    </w:p>
    <w:p w14:paraId="50D3F934">
      <w:pPr>
        <w:ind w:firstLine="480"/>
        <w:rPr>
          <w:color w:val="auto"/>
        </w:rPr>
      </w:pPr>
      <w:r>
        <w:rPr>
          <w:rFonts w:hint="eastAsia"/>
          <w:color w:val="auto"/>
        </w:rPr>
        <w:t>因此，本项目采取尾气燃烧装置是可行的。</w:t>
      </w:r>
    </w:p>
    <w:p w14:paraId="6F0C2916">
      <w:pPr>
        <w:keepNext/>
        <w:keepLines/>
        <w:spacing w:before="120" w:beforeLines="50"/>
        <w:ind w:firstLine="0" w:firstLineChars="0"/>
        <w:outlineLvl w:val="3"/>
        <w:rPr>
          <w:b/>
          <w:bCs/>
          <w:color w:val="auto"/>
        </w:rPr>
      </w:pPr>
      <w:r>
        <w:rPr>
          <w:rFonts w:hint="eastAsia"/>
          <w:b/>
          <w:bCs/>
          <w:color w:val="auto"/>
        </w:rPr>
        <w:t>7</w:t>
      </w:r>
      <w:r>
        <w:rPr>
          <w:b/>
          <w:bCs/>
          <w:color w:val="auto"/>
        </w:rPr>
        <w:t>.2.1</w:t>
      </w:r>
      <w:r>
        <w:rPr>
          <w:rFonts w:hint="eastAsia"/>
          <w:b/>
          <w:bCs/>
          <w:color w:val="auto"/>
        </w:rPr>
        <w:t>.2</w:t>
      </w:r>
      <w:r>
        <w:rPr>
          <w:b/>
          <w:bCs/>
          <w:color w:val="auto"/>
        </w:rPr>
        <w:t xml:space="preserve"> </w:t>
      </w:r>
      <w:r>
        <w:rPr>
          <w:rFonts w:hint="eastAsia"/>
          <w:b/>
          <w:bCs/>
          <w:color w:val="auto"/>
        </w:rPr>
        <w:t>排气筒设置合理性分析</w:t>
      </w:r>
    </w:p>
    <w:p w14:paraId="40913218">
      <w:pPr>
        <w:ind w:firstLine="480"/>
        <w:rPr>
          <w:color w:val="auto"/>
          <w:kern w:val="0"/>
          <w:lang w:bidi="ar"/>
        </w:rPr>
      </w:pPr>
      <w:r>
        <w:rPr>
          <w:color w:val="auto"/>
          <w:kern w:val="0"/>
          <w:lang w:bidi="ar"/>
        </w:rPr>
        <w:t>根据苏环办</w:t>
      </w:r>
      <w:r>
        <w:rPr>
          <w:rFonts w:hint="eastAsia"/>
          <w:color w:val="auto"/>
          <w:kern w:val="0"/>
          <w:lang w:bidi="ar"/>
        </w:rPr>
        <w:t>〔2014〕3号</w:t>
      </w:r>
      <w:r>
        <w:rPr>
          <w:color w:val="auto"/>
          <w:kern w:val="0"/>
          <w:lang w:bidi="ar"/>
        </w:rPr>
        <w:t>文等文件的要求：排气筒高度应按规范要求设置，末端治理设施的进、出口要设置采样口并配备便于采样的设施（包括人梯和平台）。根据江苏省《大气污染物综合排放标准》（DB32/4041</w:t>
      </w:r>
      <w:r>
        <w:rPr>
          <w:rFonts w:hint="eastAsia"/>
          <w:color w:val="auto"/>
          <w:kern w:val="0"/>
          <w:lang w:bidi="ar"/>
        </w:rPr>
        <w:t>-</w:t>
      </w:r>
      <w:r>
        <w:rPr>
          <w:color w:val="auto"/>
          <w:kern w:val="0"/>
          <w:lang w:bidi="ar"/>
        </w:rPr>
        <w:t>2021）中规定，新污染源的排气筒一般不应低于15</w:t>
      </w:r>
      <w:r>
        <w:rPr>
          <w:rFonts w:hint="eastAsia"/>
          <w:color w:val="auto"/>
          <w:kern w:val="0"/>
          <w:lang w:bidi="ar"/>
        </w:rPr>
        <w:t>m</w:t>
      </w:r>
      <w:r>
        <w:rPr>
          <w:color w:val="auto"/>
          <w:kern w:val="0"/>
          <w:lang w:bidi="ar"/>
        </w:rPr>
        <w:t>。</w:t>
      </w:r>
    </w:p>
    <w:p w14:paraId="1D3B9B5D">
      <w:pPr>
        <w:ind w:firstLine="480"/>
        <w:rPr>
          <w:color w:val="auto"/>
          <w:kern w:val="0"/>
          <w:lang w:bidi="ar"/>
        </w:rPr>
      </w:pPr>
      <w:r>
        <w:rPr>
          <w:color w:val="auto"/>
          <w:kern w:val="0"/>
          <w:lang w:bidi="ar"/>
        </w:rPr>
        <w:t>本项目涉及加热炉、时效炉天然气燃烧废气</w:t>
      </w:r>
      <w:r>
        <w:rPr>
          <w:rFonts w:hint="eastAsia"/>
          <w:color w:val="auto"/>
          <w:kern w:val="0"/>
          <w:lang w:bidi="ar"/>
        </w:rPr>
        <w:t>、喷砂粉尘、模具氮化废气设置15m排气筒，碱蚀（氧化工段、煲模工段）废气、酸雾废气设置30m高排气筒。</w:t>
      </w:r>
    </w:p>
    <w:p w14:paraId="12C3EDB1">
      <w:pPr>
        <w:ind w:firstLine="480"/>
        <w:rPr>
          <w:color w:val="auto"/>
          <w:kern w:val="0"/>
          <w:lang w:bidi="ar"/>
        </w:rPr>
      </w:pPr>
      <w:r>
        <w:rPr>
          <w:color w:val="auto"/>
          <w:kern w:val="0"/>
          <w:lang w:bidi="ar"/>
        </w:rPr>
        <w:t>本项目设置8个排气筒。本项目废气污染物的排放均符合标准规定的浓度限值。根据大气环境影响预测可知，本项目排放的大气污染物对周围环境影响较小。</w:t>
      </w:r>
    </w:p>
    <w:p w14:paraId="01826DE8">
      <w:pPr>
        <w:ind w:firstLine="480"/>
        <w:rPr>
          <w:color w:val="auto"/>
          <w:kern w:val="0"/>
          <w:lang w:bidi="ar"/>
        </w:rPr>
      </w:pPr>
      <w:r>
        <w:rPr>
          <w:color w:val="auto"/>
          <w:kern w:val="0"/>
          <w:lang w:bidi="ar"/>
        </w:rPr>
        <w:t>正常排放时，各污染物排放速率、排放浓度均能达标排放。根据大气影响预测评价结果：在正常排放下，各污染物最大占标率均未超过10%。同时环评要求本项目排气筒需设置采样口并配备便于采样的设施。因此本项目废气排气筒的设置是合理的。</w:t>
      </w:r>
    </w:p>
    <w:p w14:paraId="03BEFF27">
      <w:pPr>
        <w:ind w:firstLine="480"/>
        <w:rPr>
          <w:color w:val="auto"/>
          <w:kern w:val="0"/>
          <w:lang w:bidi="ar"/>
        </w:rPr>
      </w:pPr>
      <w:r>
        <w:rPr>
          <w:color w:val="auto"/>
          <w:kern w:val="0"/>
          <w:lang w:bidi="ar"/>
        </w:rPr>
        <w:t>本项目新增</w:t>
      </w:r>
      <w:r>
        <w:rPr>
          <w:rFonts w:hint="eastAsia"/>
          <w:color w:val="auto"/>
          <w:kern w:val="0"/>
          <w:lang w:bidi="ar"/>
        </w:rPr>
        <w:t>8</w:t>
      </w:r>
      <w:r>
        <w:rPr>
          <w:color w:val="auto"/>
          <w:kern w:val="0"/>
          <w:lang w:bidi="ar"/>
        </w:rPr>
        <w:t>根排气筒，具体设置见表</w:t>
      </w:r>
      <w:r>
        <w:rPr>
          <w:rFonts w:hint="eastAsia"/>
          <w:color w:val="auto"/>
          <w:kern w:val="0"/>
          <w:lang w:bidi="ar"/>
        </w:rPr>
        <w:t>7</w:t>
      </w:r>
      <w:r>
        <w:rPr>
          <w:color w:val="auto"/>
          <w:kern w:val="0"/>
          <w:lang w:bidi="ar"/>
        </w:rPr>
        <w:t>.2.1-</w:t>
      </w:r>
      <w:r>
        <w:rPr>
          <w:rFonts w:hint="eastAsia"/>
          <w:color w:val="auto"/>
          <w:kern w:val="0"/>
          <w:lang w:bidi="ar"/>
        </w:rPr>
        <w:t>3</w:t>
      </w:r>
      <w:r>
        <w:rPr>
          <w:color w:val="auto"/>
          <w:kern w:val="0"/>
          <w:lang w:bidi="ar"/>
        </w:rPr>
        <w:t>。</w:t>
      </w:r>
    </w:p>
    <w:p w14:paraId="514F328A">
      <w:pPr>
        <w:spacing w:line="240" w:lineRule="auto"/>
        <w:ind w:firstLine="0" w:firstLineChars="0"/>
        <w:jc w:val="center"/>
        <w:rPr>
          <w:b/>
          <w:bCs/>
          <w:color w:val="auto"/>
        </w:rPr>
      </w:pPr>
      <w:r>
        <w:rPr>
          <w:b/>
          <w:bCs/>
          <w:color w:val="auto"/>
        </w:rPr>
        <w:t>表7.2.1-</w:t>
      </w:r>
      <w:r>
        <w:rPr>
          <w:rFonts w:hint="eastAsia"/>
          <w:b/>
          <w:bCs/>
          <w:color w:val="auto"/>
        </w:rPr>
        <w:t>3</w:t>
      </w:r>
      <w:r>
        <w:rPr>
          <w:b/>
          <w:bCs/>
          <w:color w:val="auto"/>
        </w:rPr>
        <w:t xml:space="preserve">  项目排气筒设置情况</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873"/>
        <w:gridCol w:w="871"/>
        <w:gridCol w:w="1432"/>
        <w:gridCol w:w="1985"/>
        <w:gridCol w:w="2141"/>
        <w:gridCol w:w="942"/>
      </w:tblGrid>
      <w:tr w14:paraId="5119B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5" w:type="pct"/>
            <w:tcBorders>
              <w:tl2br w:val="nil"/>
              <w:tr2bl w:val="nil"/>
            </w:tcBorders>
            <w:shd w:val="clear" w:color="auto" w:fill="auto"/>
            <w:vAlign w:val="center"/>
          </w:tcPr>
          <w:p w14:paraId="6652C662">
            <w:pPr>
              <w:spacing w:line="240" w:lineRule="auto"/>
              <w:ind w:firstLine="0" w:firstLineChars="0"/>
              <w:jc w:val="center"/>
              <w:rPr>
                <w:b/>
                <w:color w:val="auto"/>
                <w:sz w:val="21"/>
                <w:szCs w:val="21"/>
              </w:rPr>
            </w:pPr>
            <w:r>
              <w:rPr>
                <w:b/>
                <w:color w:val="auto"/>
                <w:sz w:val="21"/>
                <w:szCs w:val="21"/>
              </w:rPr>
              <w:t>排气筒编号</w:t>
            </w:r>
          </w:p>
        </w:tc>
        <w:tc>
          <w:tcPr>
            <w:tcW w:w="464" w:type="pct"/>
            <w:tcBorders>
              <w:tl2br w:val="nil"/>
              <w:tr2bl w:val="nil"/>
            </w:tcBorders>
            <w:shd w:val="clear" w:color="auto" w:fill="auto"/>
            <w:vAlign w:val="center"/>
          </w:tcPr>
          <w:p w14:paraId="10918DEC">
            <w:pPr>
              <w:spacing w:line="240" w:lineRule="auto"/>
              <w:ind w:firstLine="0" w:firstLineChars="0"/>
              <w:jc w:val="center"/>
              <w:rPr>
                <w:b/>
                <w:color w:val="auto"/>
                <w:sz w:val="21"/>
                <w:szCs w:val="21"/>
              </w:rPr>
            </w:pPr>
            <w:r>
              <w:rPr>
                <w:b/>
                <w:color w:val="auto"/>
                <w:sz w:val="21"/>
                <w:szCs w:val="21"/>
              </w:rPr>
              <w:t>高度（m）</w:t>
            </w:r>
          </w:p>
        </w:tc>
        <w:tc>
          <w:tcPr>
            <w:tcW w:w="463" w:type="pct"/>
            <w:tcBorders>
              <w:tl2br w:val="nil"/>
              <w:tr2bl w:val="nil"/>
            </w:tcBorders>
            <w:shd w:val="clear" w:color="auto" w:fill="auto"/>
            <w:vAlign w:val="center"/>
          </w:tcPr>
          <w:p w14:paraId="3AFE54ED">
            <w:pPr>
              <w:spacing w:line="240" w:lineRule="auto"/>
              <w:ind w:firstLine="0" w:firstLineChars="0"/>
              <w:jc w:val="center"/>
              <w:rPr>
                <w:b/>
                <w:color w:val="auto"/>
                <w:sz w:val="21"/>
                <w:szCs w:val="21"/>
              </w:rPr>
            </w:pPr>
            <w:r>
              <w:rPr>
                <w:b/>
                <w:color w:val="auto"/>
                <w:sz w:val="21"/>
                <w:szCs w:val="21"/>
              </w:rPr>
              <w:t>内径（m）</w:t>
            </w:r>
          </w:p>
        </w:tc>
        <w:tc>
          <w:tcPr>
            <w:tcW w:w="761" w:type="pct"/>
            <w:tcBorders>
              <w:tl2br w:val="nil"/>
              <w:tr2bl w:val="nil"/>
            </w:tcBorders>
            <w:vAlign w:val="center"/>
          </w:tcPr>
          <w:p w14:paraId="4A0CD8CC">
            <w:pPr>
              <w:spacing w:line="240" w:lineRule="auto"/>
              <w:ind w:firstLine="0" w:firstLineChars="0"/>
              <w:jc w:val="center"/>
              <w:rPr>
                <w:b/>
                <w:color w:val="auto"/>
                <w:sz w:val="21"/>
                <w:szCs w:val="21"/>
              </w:rPr>
            </w:pPr>
            <w:r>
              <w:rPr>
                <w:b/>
                <w:color w:val="auto"/>
                <w:sz w:val="21"/>
                <w:szCs w:val="21"/>
              </w:rPr>
              <w:t>出口风速（m/s）</w:t>
            </w:r>
          </w:p>
        </w:tc>
        <w:tc>
          <w:tcPr>
            <w:tcW w:w="1055" w:type="pct"/>
            <w:tcBorders>
              <w:tl2br w:val="nil"/>
              <w:tr2bl w:val="nil"/>
            </w:tcBorders>
            <w:shd w:val="clear" w:color="auto" w:fill="auto"/>
            <w:vAlign w:val="center"/>
          </w:tcPr>
          <w:p w14:paraId="69E5D5A3">
            <w:pPr>
              <w:spacing w:line="240" w:lineRule="auto"/>
              <w:ind w:firstLine="0" w:firstLineChars="0"/>
              <w:jc w:val="center"/>
              <w:rPr>
                <w:b/>
                <w:color w:val="auto"/>
                <w:sz w:val="21"/>
                <w:szCs w:val="21"/>
              </w:rPr>
            </w:pPr>
            <w:r>
              <w:rPr>
                <w:b/>
                <w:color w:val="auto"/>
                <w:sz w:val="21"/>
                <w:szCs w:val="21"/>
              </w:rPr>
              <w:t>生产工序</w:t>
            </w:r>
          </w:p>
        </w:tc>
        <w:tc>
          <w:tcPr>
            <w:tcW w:w="1138" w:type="pct"/>
            <w:tcBorders>
              <w:tl2br w:val="nil"/>
              <w:tr2bl w:val="nil"/>
            </w:tcBorders>
            <w:shd w:val="clear" w:color="auto" w:fill="auto"/>
            <w:vAlign w:val="center"/>
          </w:tcPr>
          <w:p w14:paraId="3141ABA7">
            <w:pPr>
              <w:spacing w:line="240" w:lineRule="auto"/>
              <w:ind w:firstLine="0" w:firstLineChars="0"/>
              <w:jc w:val="center"/>
              <w:rPr>
                <w:b/>
                <w:color w:val="auto"/>
                <w:sz w:val="21"/>
                <w:szCs w:val="21"/>
              </w:rPr>
            </w:pPr>
            <w:r>
              <w:rPr>
                <w:b/>
                <w:color w:val="auto"/>
                <w:sz w:val="21"/>
                <w:szCs w:val="21"/>
              </w:rPr>
              <w:t>污染物因子</w:t>
            </w:r>
          </w:p>
        </w:tc>
        <w:tc>
          <w:tcPr>
            <w:tcW w:w="500" w:type="pct"/>
            <w:tcBorders>
              <w:tl2br w:val="nil"/>
              <w:tr2bl w:val="nil"/>
            </w:tcBorders>
            <w:vAlign w:val="center"/>
          </w:tcPr>
          <w:p w14:paraId="3F62EC8D">
            <w:pPr>
              <w:spacing w:line="240" w:lineRule="auto"/>
              <w:ind w:firstLine="0" w:firstLineChars="0"/>
              <w:jc w:val="center"/>
              <w:rPr>
                <w:b/>
                <w:color w:val="auto"/>
                <w:sz w:val="21"/>
                <w:szCs w:val="21"/>
              </w:rPr>
            </w:pPr>
            <w:r>
              <w:rPr>
                <w:b/>
                <w:color w:val="auto"/>
                <w:sz w:val="21"/>
                <w:szCs w:val="21"/>
              </w:rPr>
              <w:t>备注</w:t>
            </w:r>
          </w:p>
        </w:tc>
      </w:tr>
      <w:tr w14:paraId="070A1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5" w:type="pct"/>
            <w:tcBorders>
              <w:tl2br w:val="nil"/>
              <w:tr2bl w:val="nil"/>
            </w:tcBorders>
            <w:shd w:val="clear" w:color="auto" w:fill="auto"/>
            <w:vAlign w:val="center"/>
          </w:tcPr>
          <w:p w14:paraId="61997D9B">
            <w:pPr>
              <w:spacing w:line="240" w:lineRule="auto"/>
              <w:ind w:firstLine="0" w:firstLineChars="0"/>
              <w:jc w:val="center"/>
              <w:rPr>
                <w:color w:val="auto"/>
                <w:sz w:val="21"/>
                <w:szCs w:val="21"/>
              </w:rPr>
            </w:pPr>
            <w:r>
              <w:rPr>
                <w:color w:val="auto"/>
                <w:sz w:val="21"/>
                <w:szCs w:val="21"/>
              </w:rPr>
              <w:t>DA001</w:t>
            </w:r>
          </w:p>
        </w:tc>
        <w:tc>
          <w:tcPr>
            <w:tcW w:w="464" w:type="pct"/>
            <w:tcBorders>
              <w:tl2br w:val="nil"/>
              <w:tr2bl w:val="nil"/>
            </w:tcBorders>
            <w:shd w:val="clear" w:color="auto" w:fill="auto"/>
            <w:vAlign w:val="center"/>
          </w:tcPr>
          <w:p w14:paraId="587485D7">
            <w:pPr>
              <w:spacing w:line="240" w:lineRule="auto"/>
              <w:ind w:firstLine="0" w:firstLineChars="0"/>
              <w:jc w:val="center"/>
              <w:rPr>
                <w:color w:val="auto"/>
                <w:sz w:val="21"/>
                <w:szCs w:val="21"/>
              </w:rPr>
            </w:pPr>
            <w:r>
              <w:rPr>
                <w:color w:val="auto"/>
                <w:sz w:val="21"/>
                <w:szCs w:val="21"/>
              </w:rPr>
              <w:t>15</w:t>
            </w:r>
          </w:p>
        </w:tc>
        <w:tc>
          <w:tcPr>
            <w:tcW w:w="463" w:type="pct"/>
            <w:tcBorders>
              <w:tl2br w:val="nil"/>
              <w:tr2bl w:val="nil"/>
            </w:tcBorders>
            <w:shd w:val="clear" w:color="auto" w:fill="auto"/>
            <w:vAlign w:val="center"/>
          </w:tcPr>
          <w:p w14:paraId="093F5D7A">
            <w:pPr>
              <w:spacing w:line="240" w:lineRule="auto"/>
              <w:ind w:firstLine="0" w:firstLineChars="0"/>
              <w:jc w:val="center"/>
              <w:rPr>
                <w:color w:val="auto"/>
                <w:sz w:val="21"/>
                <w:szCs w:val="21"/>
              </w:rPr>
            </w:pPr>
            <w:r>
              <w:rPr>
                <w:rFonts w:hint="eastAsia"/>
                <w:color w:val="auto"/>
                <w:sz w:val="21"/>
                <w:szCs w:val="21"/>
              </w:rPr>
              <w:t>0.44</w:t>
            </w:r>
          </w:p>
        </w:tc>
        <w:tc>
          <w:tcPr>
            <w:tcW w:w="761" w:type="pct"/>
            <w:tcBorders>
              <w:tl2br w:val="nil"/>
              <w:tr2bl w:val="nil"/>
            </w:tcBorders>
            <w:vAlign w:val="center"/>
          </w:tcPr>
          <w:p w14:paraId="5EF1D906">
            <w:pPr>
              <w:spacing w:line="240" w:lineRule="auto"/>
              <w:ind w:firstLine="0" w:firstLineChars="0"/>
              <w:jc w:val="center"/>
              <w:rPr>
                <w:color w:val="auto"/>
                <w:sz w:val="21"/>
                <w:szCs w:val="21"/>
              </w:rPr>
            </w:pPr>
            <w:r>
              <w:rPr>
                <w:rFonts w:hint="eastAsia"/>
                <w:color w:val="auto"/>
                <w:sz w:val="21"/>
                <w:szCs w:val="21"/>
              </w:rPr>
              <w:t>14.85</w:t>
            </w:r>
          </w:p>
        </w:tc>
        <w:tc>
          <w:tcPr>
            <w:tcW w:w="1055" w:type="pct"/>
            <w:tcBorders>
              <w:tl2br w:val="nil"/>
              <w:tr2bl w:val="nil"/>
            </w:tcBorders>
            <w:shd w:val="clear" w:color="auto" w:fill="auto"/>
            <w:vAlign w:val="center"/>
          </w:tcPr>
          <w:p w14:paraId="7F1FB4DC">
            <w:pPr>
              <w:spacing w:line="240" w:lineRule="auto"/>
              <w:ind w:firstLine="0" w:firstLineChars="0"/>
              <w:jc w:val="center"/>
              <w:rPr>
                <w:color w:val="auto"/>
                <w:sz w:val="21"/>
                <w:szCs w:val="21"/>
              </w:rPr>
            </w:pPr>
            <w:r>
              <w:rPr>
                <w:color w:val="auto"/>
                <w:sz w:val="21"/>
                <w:szCs w:val="21"/>
              </w:rPr>
              <w:t>天然气燃烧废气</w:t>
            </w:r>
          </w:p>
        </w:tc>
        <w:tc>
          <w:tcPr>
            <w:tcW w:w="1138" w:type="pct"/>
            <w:tcBorders>
              <w:tl2br w:val="nil"/>
              <w:tr2bl w:val="nil"/>
            </w:tcBorders>
            <w:shd w:val="clear" w:color="auto" w:fill="auto"/>
            <w:vAlign w:val="center"/>
          </w:tcPr>
          <w:p w14:paraId="7E6A5B85">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r>
              <w:rPr>
                <w:color w:val="auto"/>
                <w:sz w:val="21"/>
                <w:szCs w:val="21"/>
              </w:rPr>
              <w:t>、NOx、颗粒物</w:t>
            </w:r>
          </w:p>
        </w:tc>
        <w:tc>
          <w:tcPr>
            <w:tcW w:w="500" w:type="pct"/>
            <w:tcBorders>
              <w:tl2br w:val="nil"/>
              <w:tr2bl w:val="nil"/>
            </w:tcBorders>
            <w:vAlign w:val="center"/>
          </w:tcPr>
          <w:p w14:paraId="51460A68">
            <w:pPr>
              <w:spacing w:line="240" w:lineRule="auto"/>
              <w:ind w:firstLine="0" w:firstLineChars="0"/>
              <w:jc w:val="center"/>
              <w:rPr>
                <w:color w:val="auto"/>
                <w:sz w:val="21"/>
                <w:szCs w:val="21"/>
              </w:rPr>
            </w:pPr>
            <w:r>
              <w:rPr>
                <w:color w:val="auto"/>
                <w:sz w:val="21"/>
                <w:szCs w:val="21"/>
              </w:rPr>
              <w:t>新增</w:t>
            </w:r>
          </w:p>
        </w:tc>
      </w:tr>
      <w:tr w14:paraId="41535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5" w:type="pct"/>
            <w:tcBorders>
              <w:tl2br w:val="nil"/>
              <w:tr2bl w:val="nil"/>
            </w:tcBorders>
            <w:shd w:val="clear" w:color="auto" w:fill="auto"/>
            <w:vAlign w:val="center"/>
          </w:tcPr>
          <w:p w14:paraId="2880D05E">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2</w:t>
            </w:r>
          </w:p>
        </w:tc>
        <w:tc>
          <w:tcPr>
            <w:tcW w:w="464" w:type="pct"/>
            <w:tcBorders>
              <w:tl2br w:val="nil"/>
              <w:tr2bl w:val="nil"/>
            </w:tcBorders>
            <w:shd w:val="clear" w:color="auto" w:fill="auto"/>
            <w:vAlign w:val="center"/>
          </w:tcPr>
          <w:p w14:paraId="70C663F6">
            <w:pPr>
              <w:spacing w:line="240" w:lineRule="auto"/>
              <w:ind w:firstLine="0" w:firstLineChars="0"/>
              <w:jc w:val="center"/>
              <w:rPr>
                <w:color w:val="auto"/>
                <w:sz w:val="21"/>
                <w:szCs w:val="21"/>
              </w:rPr>
            </w:pPr>
            <w:r>
              <w:rPr>
                <w:color w:val="auto"/>
                <w:sz w:val="21"/>
                <w:szCs w:val="21"/>
              </w:rPr>
              <w:t>15</w:t>
            </w:r>
          </w:p>
        </w:tc>
        <w:tc>
          <w:tcPr>
            <w:tcW w:w="463" w:type="pct"/>
            <w:tcBorders>
              <w:tl2br w:val="nil"/>
              <w:tr2bl w:val="nil"/>
            </w:tcBorders>
            <w:shd w:val="clear" w:color="auto" w:fill="auto"/>
            <w:vAlign w:val="center"/>
          </w:tcPr>
          <w:p w14:paraId="05F5CEF4">
            <w:pPr>
              <w:spacing w:line="240" w:lineRule="auto"/>
              <w:ind w:firstLine="0" w:firstLineChars="0"/>
              <w:jc w:val="center"/>
              <w:rPr>
                <w:color w:val="auto"/>
                <w:sz w:val="21"/>
                <w:szCs w:val="21"/>
              </w:rPr>
            </w:pPr>
            <w:r>
              <w:rPr>
                <w:rFonts w:hint="eastAsia"/>
                <w:color w:val="auto"/>
                <w:sz w:val="21"/>
                <w:szCs w:val="21"/>
              </w:rPr>
              <w:t>0.36</w:t>
            </w:r>
          </w:p>
        </w:tc>
        <w:tc>
          <w:tcPr>
            <w:tcW w:w="761" w:type="pct"/>
            <w:tcBorders>
              <w:tl2br w:val="nil"/>
              <w:tr2bl w:val="nil"/>
            </w:tcBorders>
            <w:vAlign w:val="center"/>
          </w:tcPr>
          <w:p w14:paraId="42112069">
            <w:pPr>
              <w:spacing w:line="240" w:lineRule="auto"/>
              <w:ind w:firstLine="0" w:firstLineChars="0"/>
              <w:jc w:val="center"/>
              <w:rPr>
                <w:color w:val="auto"/>
                <w:sz w:val="21"/>
                <w:szCs w:val="21"/>
              </w:rPr>
            </w:pPr>
            <w:r>
              <w:rPr>
                <w:rFonts w:hint="eastAsia"/>
                <w:color w:val="auto"/>
                <w:sz w:val="21"/>
                <w:szCs w:val="21"/>
              </w:rPr>
              <w:t>13.75</w:t>
            </w:r>
          </w:p>
        </w:tc>
        <w:tc>
          <w:tcPr>
            <w:tcW w:w="1055" w:type="pct"/>
            <w:tcBorders>
              <w:tl2br w:val="nil"/>
              <w:tr2bl w:val="nil"/>
            </w:tcBorders>
            <w:shd w:val="clear" w:color="auto" w:fill="auto"/>
            <w:vAlign w:val="center"/>
          </w:tcPr>
          <w:p w14:paraId="261537B5">
            <w:pPr>
              <w:spacing w:line="240" w:lineRule="auto"/>
              <w:ind w:firstLine="0" w:firstLineChars="0"/>
              <w:jc w:val="center"/>
              <w:rPr>
                <w:color w:val="auto"/>
                <w:sz w:val="21"/>
                <w:szCs w:val="21"/>
              </w:rPr>
            </w:pPr>
            <w:r>
              <w:rPr>
                <w:color w:val="auto"/>
                <w:sz w:val="21"/>
                <w:szCs w:val="21"/>
              </w:rPr>
              <w:t>天然气燃烧废气</w:t>
            </w:r>
          </w:p>
        </w:tc>
        <w:tc>
          <w:tcPr>
            <w:tcW w:w="1138" w:type="pct"/>
            <w:tcBorders>
              <w:tl2br w:val="nil"/>
              <w:tr2bl w:val="nil"/>
            </w:tcBorders>
            <w:shd w:val="clear" w:color="auto" w:fill="auto"/>
            <w:vAlign w:val="center"/>
          </w:tcPr>
          <w:p w14:paraId="1706F33F">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r>
              <w:rPr>
                <w:color w:val="auto"/>
                <w:sz w:val="21"/>
                <w:szCs w:val="21"/>
              </w:rPr>
              <w:t>、NOx、颗粒物</w:t>
            </w:r>
          </w:p>
        </w:tc>
        <w:tc>
          <w:tcPr>
            <w:tcW w:w="500" w:type="pct"/>
            <w:tcBorders>
              <w:tl2br w:val="nil"/>
              <w:tr2bl w:val="nil"/>
            </w:tcBorders>
            <w:vAlign w:val="center"/>
          </w:tcPr>
          <w:p w14:paraId="00AE7F39">
            <w:pPr>
              <w:spacing w:line="240" w:lineRule="auto"/>
              <w:ind w:firstLine="0" w:firstLineChars="0"/>
              <w:jc w:val="center"/>
              <w:rPr>
                <w:color w:val="auto"/>
                <w:sz w:val="21"/>
                <w:szCs w:val="21"/>
              </w:rPr>
            </w:pPr>
            <w:r>
              <w:rPr>
                <w:color w:val="auto"/>
                <w:sz w:val="21"/>
                <w:szCs w:val="21"/>
              </w:rPr>
              <w:t>新增</w:t>
            </w:r>
          </w:p>
        </w:tc>
      </w:tr>
      <w:tr w14:paraId="18B47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5" w:type="pct"/>
            <w:tcBorders>
              <w:tl2br w:val="nil"/>
              <w:tr2bl w:val="nil"/>
            </w:tcBorders>
            <w:shd w:val="clear" w:color="auto" w:fill="auto"/>
            <w:vAlign w:val="center"/>
          </w:tcPr>
          <w:p w14:paraId="36511EEC">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3</w:t>
            </w:r>
          </w:p>
        </w:tc>
        <w:tc>
          <w:tcPr>
            <w:tcW w:w="464" w:type="pct"/>
            <w:tcBorders>
              <w:tl2br w:val="nil"/>
              <w:tr2bl w:val="nil"/>
            </w:tcBorders>
            <w:shd w:val="clear" w:color="auto" w:fill="auto"/>
            <w:vAlign w:val="center"/>
          </w:tcPr>
          <w:p w14:paraId="611C0D9D">
            <w:pPr>
              <w:spacing w:line="240" w:lineRule="auto"/>
              <w:ind w:firstLine="0" w:firstLineChars="0"/>
              <w:jc w:val="center"/>
              <w:rPr>
                <w:color w:val="auto"/>
                <w:sz w:val="21"/>
                <w:szCs w:val="21"/>
              </w:rPr>
            </w:pPr>
            <w:r>
              <w:rPr>
                <w:rFonts w:hint="eastAsia"/>
                <w:color w:val="auto"/>
                <w:sz w:val="21"/>
                <w:szCs w:val="21"/>
              </w:rPr>
              <w:t>15</w:t>
            </w:r>
          </w:p>
        </w:tc>
        <w:tc>
          <w:tcPr>
            <w:tcW w:w="463" w:type="pct"/>
            <w:tcBorders>
              <w:tl2br w:val="nil"/>
              <w:tr2bl w:val="nil"/>
            </w:tcBorders>
            <w:shd w:val="clear" w:color="auto" w:fill="auto"/>
            <w:vAlign w:val="center"/>
          </w:tcPr>
          <w:p w14:paraId="0C431DA0">
            <w:pPr>
              <w:spacing w:line="240" w:lineRule="auto"/>
              <w:ind w:firstLine="0" w:firstLineChars="0"/>
              <w:jc w:val="center"/>
              <w:rPr>
                <w:color w:val="auto"/>
                <w:sz w:val="21"/>
                <w:szCs w:val="21"/>
              </w:rPr>
            </w:pPr>
            <w:r>
              <w:rPr>
                <w:rFonts w:hint="eastAsia"/>
                <w:color w:val="auto"/>
                <w:sz w:val="21"/>
                <w:szCs w:val="21"/>
              </w:rPr>
              <w:t>0.16</w:t>
            </w:r>
          </w:p>
        </w:tc>
        <w:tc>
          <w:tcPr>
            <w:tcW w:w="761" w:type="pct"/>
            <w:tcBorders>
              <w:tl2br w:val="nil"/>
              <w:tr2bl w:val="nil"/>
            </w:tcBorders>
            <w:vAlign w:val="center"/>
          </w:tcPr>
          <w:p w14:paraId="05D43196">
            <w:pPr>
              <w:spacing w:line="240" w:lineRule="auto"/>
              <w:ind w:firstLine="0" w:firstLineChars="0"/>
              <w:jc w:val="center"/>
              <w:rPr>
                <w:color w:val="auto"/>
                <w:sz w:val="21"/>
                <w:szCs w:val="21"/>
              </w:rPr>
            </w:pPr>
            <w:r>
              <w:rPr>
                <w:rFonts w:hint="eastAsia"/>
                <w:color w:val="auto"/>
                <w:sz w:val="21"/>
                <w:szCs w:val="21"/>
              </w:rPr>
              <w:t>13.42</w:t>
            </w:r>
          </w:p>
        </w:tc>
        <w:tc>
          <w:tcPr>
            <w:tcW w:w="1055" w:type="pct"/>
            <w:tcBorders>
              <w:tl2br w:val="nil"/>
              <w:tr2bl w:val="nil"/>
            </w:tcBorders>
            <w:shd w:val="clear" w:color="auto" w:fill="auto"/>
            <w:vAlign w:val="center"/>
          </w:tcPr>
          <w:p w14:paraId="387EEC48">
            <w:pPr>
              <w:spacing w:line="240" w:lineRule="auto"/>
              <w:ind w:firstLine="0" w:firstLineChars="0"/>
              <w:jc w:val="center"/>
              <w:rPr>
                <w:color w:val="auto"/>
                <w:sz w:val="21"/>
                <w:szCs w:val="21"/>
              </w:rPr>
            </w:pPr>
            <w:r>
              <w:rPr>
                <w:color w:val="auto"/>
                <w:sz w:val="21"/>
                <w:szCs w:val="21"/>
              </w:rPr>
              <w:t>天然气燃烧废气</w:t>
            </w:r>
          </w:p>
        </w:tc>
        <w:tc>
          <w:tcPr>
            <w:tcW w:w="1138" w:type="pct"/>
            <w:tcBorders>
              <w:tl2br w:val="nil"/>
              <w:tr2bl w:val="nil"/>
            </w:tcBorders>
            <w:shd w:val="clear" w:color="auto" w:fill="auto"/>
            <w:vAlign w:val="center"/>
          </w:tcPr>
          <w:p w14:paraId="783B671C">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r>
              <w:rPr>
                <w:color w:val="auto"/>
                <w:sz w:val="21"/>
                <w:szCs w:val="21"/>
              </w:rPr>
              <w:t>、NOx、颗粒物</w:t>
            </w:r>
          </w:p>
        </w:tc>
        <w:tc>
          <w:tcPr>
            <w:tcW w:w="500" w:type="pct"/>
            <w:tcBorders>
              <w:tl2br w:val="nil"/>
              <w:tr2bl w:val="nil"/>
            </w:tcBorders>
            <w:shd w:val="clear" w:color="auto" w:fill="auto"/>
            <w:vAlign w:val="center"/>
          </w:tcPr>
          <w:p w14:paraId="19EF9F06">
            <w:pPr>
              <w:spacing w:line="240" w:lineRule="auto"/>
              <w:ind w:firstLine="0" w:firstLineChars="0"/>
              <w:jc w:val="center"/>
              <w:rPr>
                <w:color w:val="auto"/>
                <w:sz w:val="21"/>
                <w:szCs w:val="21"/>
              </w:rPr>
            </w:pPr>
            <w:r>
              <w:rPr>
                <w:color w:val="auto"/>
                <w:sz w:val="21"/>
                <w:szCs w:val="21"/>
              </w:rPr>
              <w:t>新增</w:t>
            </w:r>
          </w:p>
        </w:tc>
      </w:tr>
      <w:tr w14:paraId="5FBE3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15" w:type="pct"/>
            <w:tcBorders>
              <w:tl2br w:val="nil"/>
              <w:tr2bl w:val="nil"/>
            </w:tcBorders>
            <w:shd w:val="clear" w:color="auto" w:fill="auto"/>
            <w:vAlign w:val="center"/>
          </w:tcPr>
          <w:p w14:paraId="5ED6F6B6">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4</w:t>
            </w:r>
          </w:p>
        </w:tc>
        <w:tc>
          <w:tcPr>
            <w:tcW w:w="464" w:type="pct"/>
            <w:tcBorders>
              <w:tl2br w:val="nil"/>
              <w:tr2bl w:val="nil"/>
            </w:tcBorders>
            <w:shd w:val="clear" w:color="auto" w:fill="auto"/>
            <w:vAlign w:val="center"/>
          </w:tcPr>
          <w:p w14:paraId="77C39CD3">
            <w:pPr>
              <w:spacing w:line="240" w:lineRule="auto"/>
              <w:ind w:firstLine="0" w:firstLineChars="0"/>
              <w:jc w:val="center"/>
              <w:rPr>
                <w:bCs/>
                <w:color w:val="auto"/>
                <w:spacing w:val="4"/>
                <w:sz w:val="21"/>
                <w:szCs w:val="21"/>
              </w:rPr>
            </w:pPr>
            <w:r>
              <w:rPr>
                <w:color w:val="auto"/>
                <w:sz w:val="21"/>
                <w:szCs w:val="21"/>
              </w:rPr>
              <w:t>15</w:t>
            </w:r>
          </w:p>
        </w:tc>
        <w:tc>
          <w:tcPr>
            <w:tcW w:w="463" w:type="pct"/>
            <w:tcBorders>
              <w:tl2br w:val="nil"/>
              <w:tr2bl w:val="nil"/>
            </w:tcBorders>
            <w:shd w:val="clear" w:color="auto" w:fill="auto"/>
            <w:vAlign w:val="center"/>
          </w:tcPr>
          <w:p w14:paraId="26643C65">
            <w:pPr>
              <w:spacing w:line="240" w:lineRule="auto"/>
              <w:ind w:firstLine="0" w:firstLineChars="0"/>
              <w:jc w:val="center"/>
              <w:rPr>
                <w:bCs/>
                <w:color w:val="auto"/>
                <w:spacing w:val="4"/>
                <w:sz w:val="21"/>
                <w:szCs w:val="21"/>
              </w:rPr>
            </w:pPr>
            <w:r>
              <w:rPr>
                <w:rFonts w:hint="eastAsia"/>
                <w:bCs/>
                <w:color w:val="auto"/>
                <w:spacing w:val="4"/>
                <w:sz w:val="21"/>
                <w:szCs w:val="21"/>
              </w:rPr>
              <w:t>0.62</w:t>
            </w:r>
          </w:p>
        </w:tc>
        <w:tc>
          <w:tcPr>
            <w:tcW w:w="761" w:type="pct"/>
            <w:tcBorders>
              <w:tl2br w:val="nil"/>
              <w:tr2bl w:val="nil"/>
            </w:tcBorders>
            <w:shd w:val="clear" w:color="auto" w:fill="auto"/>
            <w:vAlign w:val="center"/>
          </w:tcPr>
          <w:p w14:paraId="6E6DBE56">
            <w:pPr>
              <w:spacing w:line="240" w:lineRule="auto"/>
              <w:ind w:firstLine="0" w:firstLineChars="0"/>
              <w:jc w:val="center"/>
              <w:rPr>
                <w:bCs/>
                <w:color w:val="auto"/>
                <w:spacing w:val="4"/>
                <w:sz w:val="21"/>
                <w:szCs w:val="21"/>
              </w:rPr>
            </w:pPr>
            <w:r>
              <w:rPr>
                <w:rFonts w:hint="eastAsia"/>
                <w:bCs/>
                <w:color w:val="auto"/>
                <w:spacing w:val="4"/>
                <w:sz w:val="21"/>
                <w:szCs w:val="21"/>
              </w:rPr>
              <w:t>13.84</w:t>
            </w:r>
          </w:p>
        </w:tc>
        <w:tc>
          <w:tcPr>
            <w:tcW w:w="1055" w:type="pct"/>
            <w:tcBorders>
              <w:tl2br w:val="nil"/>
              <w:tr2bl w:val="nil"/>
            </w:tcBorders>
            <w:shd w:val="clear" w:color="auto" w:fill="auto"/>
            <w:vAlign w:val="center"/>
          </w:tcPr>
          <w:p w14:paraId="032BECAC">
            <w:pPr>
              <w:spacing w:line="240" w:lineRule="auto"/>
              <w:ind w:firstLine="0" w:firstLineChars="0"/>
              <w:jc w:val="center"/>
              <w:rPr>
                <w:bCs/>
                <w:color w:val="auto"/>
                <w:spacing w:val="4"/>
                <w:sz w:val="21"/>
                <w:szCs w:val="21"/>
              </w:rPr>
            </w:pPr>
            <w:r>
              <w:rPr>
                <w:color w:val="auto"/>
                <w:sz w:val="21"/>
                <w:szCs w:val="21"/>
              </w:rPr>
              <w:t>喷砂</w:t>
            </w:r>
          </w:p>
        </w:tc>
        <w:tc>
          <w:tcPr>
            <w:tcW w:w="1138" w:type="pct"/>
            <w:tcBorders>
              <w:tl2br w:val="nil"/>
              <w:tr2bl w:val="nil"/>
            </w:tcBorders>
            <w:shd w:val="clear" w:color="auto" w:fill="auto"/>
            <w:vAlign w:val="center"/>
          </w:tcPr>
          <w:p w14:paraId="472326AD">
            <w:pPr>
              <w:spacing w:line="240" w:lineRule="auto"/>
              <w:ind w:firstLine="0" w:firstLineChars="0"/>
              <w:jc w:val="center"/>
              <w:rPr>
                <w:bCs/>
                <w:color w:val="auto"/>
                <w:spacing w:val="4"/>
                <w:sz w:val="21"/>
                <w:szCs w:val="21"/>
              </w:rPr>
            </w:pPr>
            <w:r>
              <w:rPr>
                <w:color w:val="auto"/>
                <w:sz w:val="21"/>
                <w:szCs w:val="21"/>
              </w:rPr>
              <w:t>颗粒物</w:t>
            </w:r>
          </w:p>
        </w:tc>
        <w:tc>
          <w:tcPr>
            <w:tcW w:w="500" w:type="pct"/>
            <w:tcBorders>
              <w:tl2br w:val="nil"/>
              <w:tr2bl w:val="nil"/>
            </w:tcBorders>
            <w:vAlign w:val="center"/>
          </w:tcPr>
          <w:p w14:paraId="2A8F8A6D">
            <w:pPr>
              <w:spacing w:line="240" w:lineRule="auto"/>
              <w:ind w:firstLine="0" w:firstLineChars="0"/>
              <w:jc w:val="center"/>
              <w:rPr>
                <w:color w:val="auto"/>
                <w:sz w:val="21"/>
                <w:szCs w:val="21"/>
              </w:rPr>
            </w:pPr>
            <w:r>
              <w:rPr>
                <w:color w:val="auto"/>
                <w:sz w:val="21"/>
                <w:szCs w:val="21"/>
              </w:rPr>
              <w:t>新增</w:t>
            </w:r>
          </w:p>
        </w:tc>
      </w:tr>
      <w:tr w14:paraId="54DF5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5" w:type="pct"/>
            <w:tcBorders>
              <w:tl2br w:val="nil"/>
              <w:tr2bl w:val="nil"/>
            </w:tcBorders>
            <w:shd w:val="clear" w:color="auto" w:fill="auto"/>
            <w:vAlign w:val="center"/>
          </w:tcPr>
          <w:p w14:paraId="206A0857">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5</w:t>
            </w:r>
          </w:p>
        </w:tc>
        <w:tc>
          <w:tcPr>
            <w:tcW w:w="464" w:type="pct"/>
            <w:tcBorders>
              <w:tl2br w:val="nil"/>
              <w:tr2bl w:val="nil"/>
            </w:tcBorders>
            <w:shd w:val="clear" w:color="auto" w:fill="auto"/>
            <w:noWrap/>
            <w:vAlign w:val="center"/>
          </w:tcPr>
          <w:p w14:paraId="1ECEB3B2">
            <w:pPr>
              <w:spacing w:line="240" w:lineRule="auto"/>
              <w:ind w:firstLine="0" w:firstLineChars="0"/>
              <w:jc w:val="center"/>
              <w:rPr>
                <w:color w:val="auto"/>
                <w:sz w:val="21"/>
                <w:szCs w:val="21"/>
              </w:rPr>
            </w:pPr>
            <w:r>
              <w:rPr>
                <w:rFonts w:hint="eastAsia"/>
                <w:color w:val="auto"/>
                <w:sz w:val="21"/>
                <w:szCs w:val="21"/>
              </w:rPr>
              <w:t>30</w:t>
            </w:r>
          </w:p>
        </w:tc>
        <w:tc>
          <w:tcPr>
            <w:tcW w:w="463" w:type="pct"/>
            <w:tcBorders>
              <w:tl2br w:val="nil"/>
              <w:tr2bl w:val="nil"/>
            </w:tcBorders>
            <w:shd w:val="clear" w:color="auto" w:fill="auto"/>
            <w:noWrap/>
            <w:vAlign w:val="center"/>
          </w:tcPr>
          <w:p w14:paraId="7AD06F14">
            <w:pPr>
              <w:spacing w:line="240" w:lineRule="auto"/>
              <w:ind w:firstLine="0" w:firstLineChars="0"/>
              <w:jc w:val="center"/>
              <w:rPr>
                <w:color w:val="auto"/>
                <w:sz w:val="21"/>
                <w:szCs w:val="21"/>
              </w:rPr>
            </w:pPr>
            <w:r>
              <w:rPr>
                <w:rFonts w:hint="eastAsia"/>
                <w:color w:val="auto"/>
                <w:sz w:val="21"/>
                <w:szCs w:val="21"/>
              </w:rPr>
              <w:t>1.20</w:t>
            </w:r>
          </w:p>
        </w:tc>
        <w:tc>
          <w:tcPr>
            <w:tcW w:w="761" w:type="pct"/>
            <w:tcBorders>
              <w:tl2br w:val="nil"/>
              <w:tr2bl w:val="nil"/>
            </w:tcBorders>
            <w:vAlign w:val="center"/>
          </w:tcPr>
          <w:p w14:paraId="2942540B">
            <w:pPr>
              <w:spacing w:line="240" w:lineRule="auto"/>
              <w:ind w:firstLine="0" w:firstLineChars="0"/>
              <w:jc w:val="center"/>
              <w:rPr>
                <w:color w:val="auto"/>
                <w:sz w:val="21"/>
                <w:szCs w:val="21"/>
              </w:rPr>
            </w:pPr>
            <w:r>
              <w:rPr>
                <w:rFonts w:hint="eastAsia"/>
                <w:color w:val="auto"/>
                <w:sz w:val="21"/>
                <w:szCs w:val="21"/>
              </w:rPr>
              <w:t>14.70</w:t>
            </w:r>
          </w:p>
        </w:tc>
        <w:tc>
          <w:tcPr>
            <w:tcW w:w="1055" w:type="pct"/>
            <w:tcBorders>
              <w:tl2br w:val="nil"/>
              <w:tr2bl w:val="nil"/>
            </w:tcBorders>
            <w:shd w:val="clear" w:color="auto" w:fill="auto"/>
            <w:noWrap/>
            <w:vAlign w:val="center"/>
          </w:tcPr>
          <w:p w14:paraId="709EF48C">
            <w:pPr>
              <w:spacing w:line="240" w:lineRule="auto"/>
              <w:ind w:firstLine="0" w:firstLineChars="0"/>
              <w:jc w:val="center"/>
              <w:rPr>
                <w:bCs/>
                <w:color w:val="auto"/>
                <w:spacing w:val="4"/>
                <w:sz w:val="21"/>
                <w:szCs w:val="21"/>
              </w:rPr>
            </w:pPr>
            <w:r>
              <w:rPr>
                <w:color w:val="auto"/>
                <w:sz w:val="21"/>
                <w:szCs w:val="21"/>
              </w:rPr>
              <w:t>阳极氧化</w:t>
            </w:r>
          </w:p>
        </w:tc>
        <w:tc>
          <w:tcPr>
            <w:tcW w:w="1138" w:type="pct"/>
            <w:tcBorders>
              <w:tl2br w:val="nil"/>
              <w:tr2bl w:val="nil"/>
            </w:tcBorders>
            <w:shd w:val="clear" w:color="auto" w:fill="auto"/>
            <w:noWrap/>
            <w:vAlign w:val="center"/>
          </w:tcPr>
          <w:p w14:paraId="1D1894CD">
            <w:pPr>
              <w:spacing w:line="240" w:lineRule="auto"/>
              <w:ind w:firstLine="0" w:firstLineChars="0"/>
              <w:jc w:val="center"/>
              <w:rPr>
                <w:bCs/>
                <w:color w:val="auto"/>
                <w:spacing w:val="4"/>
                <w:sz w:val="21"/>
                <w:szCs w:val="21"/>
              </w:rPr>
            </w:pPr>
            <w:r>
              <w:rPr>
                <w:color w:val="auto"/>
                <w:sz w:val="21"/>
                <w:szCs w:val="21"/>
              </w:rPr>
              <w:t>硫酸雾</w:t>
            </w:r>
          </w:p>
        </w:tc>
        <w:tc>
          <w:tcPr>
            <w:tcW w:w="500" w:type="pct"/>
            <w:tcBorders>
              <w:tl2br w:val="nil"/>
              <w:tr2bl w:val="nil"/>
            </w:tcBorders>
            <w:vAlign w:val="center"/>
          </w:tcPr>
          <w:p w14:paraId="53112C5A">
            <w:pPr>
              <w:spacing w:line="240" w:lineRule="auto"/>
              <w:ind w:firstLine="0" w:firstLineChars="0"/>
              <w:jc w:val="center"/>
              <w:rPr>
                <w:color w:val="auto"/>
                <w:sz w:val="21"/>
                <w:szCs w:val="21"/>
              </w:rPr>
            </w:pPr>
            <w:r>
              <w:rPr>
                <w:color w:val="auto"/>
                <w:sz w:val="21"/>
                <w:szCs w:val="21"/>
              </w:rPr>
              <w:t>新增</w:t>
            </w:r>
          </w:p>
        </w:tc>
      </w:tr>
      <w:tr w14:paraId="5975A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5" w:type="pct"/>
            <w:tcBorders>
              <w:tl2br w:val="nil"/>
              <w:tr2bl w:val="nil"/>
            </w:tcBorders>
            <w:shd w:val="clear" w:color="auto" w:fill="auto"/>
            <w:vAlign w:val="center"/>
          </w:tcPr>
          <w:p w14:paraId="16D2BEEB">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6</w:t>
            </w:r>
          </w:p>
        </w:tc>
        <w:tc>
          <w:tcPr>
            <w:tcW w:w="464" w:type="pct"/>
            <w:tcBorders>
              <w:tl2br w:val="nil"/>
              <w:tr2bl w:val="nil"/>
            </w:tcBorders>
            <w:shd w:val="clear" w:color="auto" w:fill="auto"/>
            <w:noWrap/>
            <w:vAlign w:val="center"/>
          </w:tcPr>
          <w:p w14:paraId="2DF2F99D">
            <w:pPr>
              <w:spacing w:line="240" w:lineRule="auto"/>
              <w:ind w:firstLine="0" w:firstLineChars="0"/>
              <w:jc w:val="center"/>
              <w:rPr>
                <w:color w:val="auto"/>
                <w:sz w:val="21"/>
                <w:szCs w:val="21"/>
              </w:rPr>
            </w:pPr>
            <w:r>
              <w:rPr>
                <w:rFonts w:hint="eastAsia"/>
                <w:color w:val="auto"/>
                <w:sz w:val="21"/>
                <w:szCs w:val="21"/>
              </w:rPr>
              <w:t>30</w:t>
            </w:r>
          </w:p>
        </w:tc>
        <w:tc>
          <w:tcPr>
            <w:tcW w:w="463" w:type="pct"/>
            <w:tcBorders>
              <w:tl2br w:val="nil"/>
              <w:tr2bl w:val="nil"/>
            </w:tcBorders>
            <w:shd w:val="clear" w:color="auto" w:fill="auto"/>
            <w:noWrap/>
            <w:vAlign w:val="center"/>
          </w:tcPr>
          <w:p w14:paraId="5D5ED75F">
            <w:pPr>
              <w:spacing w:line="240" w:lineRule="auto"/>
              <w:ind w:firstLine="0" w:firstLineChars="0"/>
              <w:jc w:val="center"/>
              <w:rPr>
                <w:color w:val="auto"/>
                <w:sz w:val="21"/>
                <w:szCs w:val="21"/>
              </w:rPr>
            </w:pPr>
            <w:r>
              <w:rPr>
                <w:rFonts w:hint="eastAsia"/>
                <w:color w:val="auto"/>
                <w:sz w:val="21"/>
                <w:szCs w:val="21"/>
              </w:rPr>
              <w:t>0.94</w:t>
            </w:r>
          </w:p>
        </w:tc>
        <w:tc>
          <w:tcPr>
            <w:tcW w:w="761" w:type="pct"/>
            <w:tcBorders>
              <w:tl2br w:val="nil"/>
              <w:tr2bl w:val="nil"/>
            </w:tcBorders>
            <w:vAlign w:val="center"/>
          </w:tcPr>
          <w:p w14:paraId="1A794177">
            <w:pPr>
              <w:spacing w:line="240" w:lineRule="auto"/>
              <w:ind w:firstLine="0" w:firstLineChars="0"/>
              <w:jc w:val="center"/>
              <w:rPr>
                <w:color w:val="auto"/>
                <w:sz w:val="21"/>
                <w:szCs w:val="21"/>
              </w:rPr>
            </w:pPr>
            <w:r>
              <w:rPr>
                <w:rFonts w:hint="eastAsia"/>
                <w:color w:val="auto"/>
                <w:sz w:val="21"/>
                <w:szCs w:val="21"/>
              </w:rPr>
              <w:t>13.52</w:t>
            </w:r>
          </w:p>
        </w:tc>
        <w:tc>
          <w:tcPr>
            <w:tcW w:w="1055" w:type="pct"/>
            <w:tcBorders>
              <w:tl2br w:val="nil"/>
              <w:tr2bl w:val="nil"/>
            </w:tcBorders>
            <w:shd w:val="clear" w:color="auto" w:fill="auto"/>
            <w:noWrap/>
            <w:vAlign w:val="center"/>
          </w:tcPr>
          <w:p w14:paraId="38D11F90">
            <w:pPr>
              <w:spacing w:line="240" w:lineRule="auto"/>
              <w:ind w:firstLine="0" w:firstLineChars="0"/>
              <w:jc w:val="center"/>
              <w:rPr>
                <w:bCs/>
                <w:color w:val="auto"/>
                <w:spacing w:val="4"/>
                <w:sz w:val="21"/>
                <w:szCs w:val="21"/>
              </w:rPr>
            </w:pPr>
            <w:r>
              <w:rPr>
                <w:color w:val="auto"/>
                <w:sz w:val="21"/>
                <w:szCs w:val="21"/>
              </w:rPr>
              <w:t>阳极氧化</w:t>
            </w:r>
          </w:p>
        </w:tc>
        <w:tc>
          <w:tcPr>
            <w:tcW w:w="1138" w:type="pct"/>
            <w:tcBorders>
              <w:tl2br w:val="nil"/>
              <w:tr2bl w:val="nil"/>
            </w:tcBorders>
            <w:shd w:val="clear" w:color="auto" w:fill="auto"/>
            <w:noWrap/>
            <w:vAlign w:val="center"/>
          </w:tcPr>
          <w:p w14:paraId="49B4AD08">
            <w:pPr>
              <w:spacing w:line="240" w:lineRule="auto"/>
              <w:ind w:firstLine="0" w:firstLineChars="0"/>
              <w:jc w:val="center"/>
              <w:rPr>
                <w:bCs/>
                <w:color w:val="auto"/>
                <w:spacing w:val="4"/>
                <w:sz w:val="21"/>
                <w:szCs w:val="21"/>
              </w:rPr>
            </w:pPr>
            <w:r>
              <w:rPr>
                <w:color w:val="auto"/>
                <w:sz w:val="21"/>
                <w:szCs w:val="21"/>
              </w:rPr>
              <w:t>碱雾</w:t>
            </w:r>
          </w:p>
        </w:tc>
        <w:tc>
          <w:tcPr>
            <w:tcW w:w="500" w:type="pct"/>
            <w:tcBorders>
              <w:tl2br w:val="nil"/>
              <w:tr2bl w:val="nil"/>
            </w:tcBorders>
            <w:vAlign w:val="center"/>
          </w:tcPr>
          <w:p w14:paraId="335EDDF4">
            <w:pPr>
              <w:spacing w:line="240" w:lineRule="auto"/>
              <w:ind w:firstLine="0" w:firstLineChars="0"/>
              <w:jc w:val="center"/>
              <w:rPr>
                <w:color w:val="auto"/>
                <w:sz w:val="21"/>
                <w:szCs w:val="21"/>
              </w:rPr>
            </w:pPr>
            <w:r>
              <w:rPr>
                <w:color w:val="auto"/>
                <w:sz w:val="21"/>
                <w:szCs w:val="21"/>
              </w:rPr>
              <w:t>新增</w:t>
            </w:r>
          </w:p>
        </w:tc>
      </w:tr>
      <w:tr w14:paraId="46A8B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5" w:type="pct"/>
            <w:tcBorders>
              <w:tl2br w:val="nil"/>
              <w:tr2bl w:val="nil"/>
            </w:tcBorders>
            <w:shd w:val="clear" w:color="auto" w:fill="auto"/>
            <w:vAlign w:val="center"/>
          </w:tcPr>
          <w:p w14:paraId="12DAEE36">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7</w:t>
            </w:r>
          </w:p>
        </w:tc>
        <w:tc>
          <w:tcPr>
            <w:tcW w:w="464" w:type="pct"/>
            <w:tcBorders>
              <w:tl2br w:val="nil"/>
              <w:tr2bl w:val="nil"/>
            </w:tcBorders>
            <w:shd w:val="clear" w:color="auto" w:fill="auto"/>
            <w:noWrap/>
            <w:vAlign w:val="center"/>
          </w:tcPr>
          <w:p w14:paraId="73F15B3D">
            <w:pPr>
              <w:spacing w:line="240" w:lineRule="auto"/>
              <w:ind w:firstLine="0" w:firstLineChars="0"/>
              <w:jc w:val="center"/>
              <w:rPr>
                <w:color w:val="auto"/>
                <w:sz w:val="21"/>
                <w:szCs w:val="21"/>
              </w:rPr>
            </w:pPr>
            <w:r>
              <w:rPr>
                <w:rFonts w:hint="eastAsia"/>
                <w:color w:val="auto"/>
                <w:sz w:val="21"/>
                <w:szCs w:val="21"/>
              </w:rPr>
              <w:t>30</w:t>
            </w:r>
          </w:p>
        </w:tc>
        <w:tc>
          <w:tcPr>
            <w:tcW w:w="463" w:type="pct"/>
            <w:tcBorders>
              <w:tl2br w:val="nil"/>
              <w:tr2bl w:val="nil"/>
            </w:tcBorders>
            <w:shd w:val="clear" w:color="auto" w:fill="auto"/>
            <w:noWrap/>
            <w:vAlign w:val="center"/>
          </w:tcPr>
          <w:p w14:paraId="0D463A42">
            <w:pPr>
              <w:spacing w:line="240" w:lineRule="auto"/>
              <w:ind w:firstLine="0" w:firstLineChars="0"/>
              <w:jc w:val="center"/>
              <w:rPr>
                <w:color w:val="auto"/>
                <w:sz w:val="21"/>
                <w:szCs w:val="21"/>
              </w:rPr>
            </w:pPr>
            <w:r>
              <w:rPr>
                <w:rFonts w:hint="eastAsia"/>
                <w:color w:val="auto"/>
                <w:sz w:val="21"/>
                <w:szCs w:val="21"/>
              </w:rPr>
              <w:t>0.60</w:t>
            </w:r>
          </w:p>
        </w:tc>
        <w:tc>
          <w:tcPr>
            <w:tcW w:w="761" w:type="pct"/>
            <w:tcBorders>
              <w:tl2br w:val="nil"/>
              <w:tr2bl w:val="nil"/>
            </w:tcBorders>
            <w:vAlign w:val="center"/>
          </w:tcPr>
          <w:p w14:paraId="5A35BCA2">
            <w:pPr>
              <w:spacing w:line="240" w:lineRule="auto"/>
              <w:ind w:firstLine="0" w:firstLineChars="0"/>
              <w:jc w:val="center"/>
              <w:rPr>
                <w:color w:val="auto"/>
                <w:sz w:val="21"/>
                <w:szCs w:val="21"/>
              </w:rPr>
            </w:pPr>
            <w:r>
              <w:rPr>
                <w:rFonts w:hint="eastAsia"/>
                <w:color w:val="auto"/>
                <w:sz w:val="21"/>
                <w:szCs w:val="21"/>
              </w:rPr>
              <w:t>14.83</w:t>
            </w:r>
          </w:p>
        </w:tc>
        <w:tc>
          <w:tcPr>
            <w:tcW w:w="1055" w:type="pct"/>
            <w:tcBorders>
              <w:tl2br w:val="nil"/>
              <w:tr2bl w:val="nil"/>
            </w:tcBorders>
            <w:shd w:val="clear" w:color="auto" w:fill="auto"/>
            <w:noWrap/>
            <w:vAlign w:val="center"/>
          </w:tcPr>
          <w:p w14:paraId="5A9277B4">
            <w:pPr>
              <w:spacing w:line="240" w:lineRule="auto"/>
              <w:ind w:firstLine="0" w:firstLineChars="0"/>
              <w:jc w:val="center"/>
              <w:rPr>
                <w:bCs/>
                <w:color w:val="auto"/>
                <w:spacing w:val="4"/>
                <w:sz w:val="21"/>
                <w:szCs w:val="21"/>
              </w:rPr>
            </w:pPr>
            <w:r>
              <w:rPr>
                <w:rFonts w:hint="eastAsia"/>
                <w:color w:val="auto"/>
                <w:sz w:val="21"/>
                <w:szCs w:val="21"/>
              </w:rPr>
              <w:t>模具处理</w:t>
            </w:r>
          </w:p>
        </w:tc>
        <w:tc>
          <w:tcPr>
            <w:tcW w:w="1138" w:type="pct"/>
            <w:tcBorders>
              <w:tl2br w:val="nil"/>
              <w:tr2bl w:val="nil"/>
            </w:tcBorders>
            <w:shd w:val="clear" w:color="auto" w:fill="auto"/>
            <w:noWrap/>
            <w:vAlign w:val="center"/>
          </w:tcPr>
          <w:p w14:paraId="400720F6">
            <w:pPr>
              <w:spacing w:line="240" w:lineRule="auto"/>
              <w:ind w:firstLine="0" w:firstLineChars="0"/>
              <w:jc w:val="center"/>
              <w:rPr>
                <w:bCs/>
                <w:color w:val="auto"/>
                <w:spacing w:val="4"/>
                <w:sz w:val="21"/>
                <w:szCs w:val="21"/>
              </w:rPr>
            </w:pPr>
            <w:r>
              <w:rPr>
                <w:rFonts w:hint="eastAsia"/>
                <w:color w:val="auto"/>
                <w:sz w:val="21"/>
                <w:szCs w:val="21"/>
              </w:rPr>
              <w:t>碱雾</w:t>
            </w:r>
          </w:p>
        </w:tc>
        <w:tc>
          <w:tcPr>
            <w:tcW w:w="500" w:type="pct"/>
            <w:tcBorders>
              <w:tl2br w:val="nil"/>
              <w:tr2bl w:val="nil"/>
            </w:tcBorders>
            <w:vAlign w:val="center"/>
          </w:tcPr>
          <w:p w14:paraId="6C885EC6">
            <w:pPr>
              <w:spacing w:line="240" w:lineRule="auto"/>
              <w:ind w:firstLine="0" w:firstLineChars="0"/>
              <w:jc w:val="center"/>
              <w:rPr>
                <w:color w:val="auto"/>
                <w:sz w:val="21"/>
                <w:szCs w:val="21"/>
              </w:rPr>
            </w:pPr>
            <w:r>
              <w:rPr>
                <w:color w:val="auto"/>
                <w:sz w:val="21"/>
                <w:szCs w:val="21"/>
              </w:rPr>
              <w:t>新增</w:t>
            </w:r>
          </w:p>
        </w:tc>
      </w:tr>
      <w:tr w14:paraId="0546B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5" w:type="pct"/>
            <w:tcBorders>
              <w:tl2br w:val="nil"/>
              <w:tr2bl w:val="nil"/>
            </w:tcBorders>
            <w:shd w:val="clear" w:color="auto" w:fill="auto"/>
            <w:vAlign w:val="center"/>
          </w:tcPr>
          <w:p w14:paraId="5095ED85">
            <w:pPr>
              <w:spacing w:line="240" w:lineRule="auto"/>
              <w:ind w:firstLine="0" w:firstLineChars="0"/>
              <w:jc w:val="center"/>
              <w:rPr>
                <w:color w:val="auto"/>
                <w:sz w:val="21"/>
                <w:szCs w:val="21"/>
              </w:rPr>
            </w:pPr>
            <w:r>
              <w:rPr>
                <w:color w:val="auto"/>
                <w:sz w:val="21"/>
                <w:szCs w:val="21"/>
              </w:rPr>
              <w:t>DA0</w:t>
            </w:r>
            <w:r>
              <w:rPr>
                <w:rFonts w:hint="eastAsia"/>
                <w:color w:val="auto"/>
                <w:sz w:val="21"/>
                <w:szCs w:val="21"/>
              </w:rPr>
              <w:t>08</w:t>
            </w:r>
          </w:p>
        </w:tc>
        <w:tc>
          <w:tcPr>
            <w:tcW w:w="464" w:type="pct"/>
            <w:tcBorders>
              <w:tl2br w:val="nil"/>
              <w:tr2bl w:val="nil"/>
            </w:tcBorders>
            <w:shd w:val="clear" w:color="auto" w:fill="auto"/>
            <w:noWrap/>
            <w:vAlign w:val="center"/>
          </w:tcPr>
          <w:p w14:paraId="22C5DBFD">
            <w:pPr>
              <w:spacing w:line="240" w:lineRule="auto"/>
              <w:ind w:firstLine="0" w:firstLineChars="0"/>
              <w:jc w:val="center"/>
              <w:rPr>
                <w:color w:val="auto"/>
                <w:sz w:val="21"/>
                <w:szCs w:val="21"/>
              </w:rPr>
            </w:pPr>
            <w:r>
              <w:rPr>
                <w:color w:val="auto"/>
                <w:sz w:val="21"/>
                <w:szCs w:val="21"/>
              </w:rPr>
              <w:t>15</w:t>
            </w:r>
          </w:p>
        </w:tc>
        <w:tc>
          <w:tcPr>
            <w:tcW w:w="463" w:type="pct"/>
            <w:tcBorders>
              <w:tl2br w:val="nil"/>
              <w:tr2bl w:val="nil"/>
            </w:tcBorders>
            <w:shd w:val="clear" w:color="auto" w:fill="auto"/>
            <w:noWrap/>
            <w:vAlign w:val="center"/>
          </w:tcPr>
          <w:p w14:paraId="1B953621">
            <w:pPr>
              <w:spacing w:line="240" w:lineRule="auto"/>
              <w:ind w:firstLine="0" w:firstLineChars="0"/>
              <w:jc w:val="center"/>
              <w:rPr>
                <w:color w:val="auto"/>
                <w:sz w:val="21"/>
                <w:szCs w:val="21"/>
              </w:rPr>
            </w:pPr>
            <w:r>
              <w:rPr>
                <w:rFonts w:hint="eastAsia"/>
                <w:color w:val="auto"/>
                <w:sz w:val="21"/>
                <w:szCs w:val="21"/>
              </w:rPr>
              <w:t>0.60</w:t>
            </w:r>
          </w:p>
        </w:tc>
        <w:tc>
          <w:tcPr>
            <w:tcW w:w="761" w:type="pct"/>
            <w:tcBorders>
              <w:tl2br w:val="nil"/>
              <w:tr2bl w:val="nil"/>
            </w:tcBorders>
            <w:vAlign w:val="center"/>
          </w:tcPr>
          <w:p w14:paraId="464A52D3">
            <w:pPr>
              <w:spacing w:line="240" w:lineRule="auto"/>
              <w:ind w:firstLine="0" w:firstLineChars="0"/>
              <w:jc w:val="center"/>
              <w:rPr>
                <w:color w:val="auto"/>
                <w:sz w:val="21"/>
                <w:szCs w:val="21"/>
              </w:rPr>
            </w:pPr>
            <w:r>
              <w:rPr>
                <w:rFonts w:hint="eastAsia"/>
                <w:color w:val="auto"/>
                <w:sz w:val="21"/>
                <w:szCs w:val="21"/>
              </w:rPr>
              <w:t>14.87</w:t>
            </w:r>
          </w:p>
        </w:tc>
        <w:tc>
          <w:tcPr>
            <w:tcW w:w="1055" w:type="pct"/>
            <w:tcBorders>
              <w:tl2br w:val="nil"/>
              <w:tr2bl w:val="nil"/>
            </w:tcBorders>
            <w:shd w:val="clear" w:color="auto" w:fill="auto"/>
            <w:noWrap/>
            <w:vAlign w:val="center"/>
          </w:tcPr>
          <w:p w14:paraId="2C584364">
            <w:pPr>
              <w:spacing w:line="240" w:lineRule="auto"/>
              <w:ind w:firstLine="0" w:firstLineChars="0"/>
              <w:jc w:val="center"/>
              <w:rPr>
                <w:bCs/>
                <w:color w:val="auto"/>
                <w:spacing w:val="4"/>
                <w:sz w:val="21"/>
                <w:szCs w:val="21"/>
              </w:rPr>
            </w:pPr>
            <w:r>
              <w:rPr>
                <w:color w:val="auto"/>
                <w:sz w:val="21"/>
                <w:szCs w:val="21"/>
              </w:rPr>
              <w:t>模具处理</w:t>
            </w:r>
          </w:p>
        </w:tc>
        <w:tc>
          <w:tcPr>
            <w:tcW w:w="1138" w:type="pct"/>
            <w:tcBorders>
              <w:tl2br w:val="nil"/>
              <w:tr2bl w:val="nil"/>
            </w:tcBorders>
            <w:shd w:val="clear" w:color="auto" w:fill="auto"/>
            <w:noWrap/>
            <w:vAlign w:val="center"/>
          </w:tcPr>
          <w:p w14:paraId="511E2BE5">
            <w:pPr>
              <w:spacing w:line="240" w:lineRule="auto"/>
              <w:ind w:firstLine="0" w:firstLineChars="0"/>
              <w:jc w:val="center"/>
              <w:rPr>
                <w:bCs/>
                <w:color w:val="auto"/>
                <w:spacing w:val="4"/>
                <w:sz w:val="21"/>
                <w:szCs w:val="21"/>
              </w:rPr>
            </w:pPr>
            <w:r>
              <w:rPr>
                <w:rFonts w:hint="eastAsia"/>
                <w:color w:val="auto"/>
                <w:sz w:val="21"/>
                <w:szCs w:val="21"/>
              </w:rPr>
              <w:t>氨</w:t>
            </w:r>
          </w:p>
        </w:tc>
        <w:tc>
          <w:tcPr>
            <w:tcW w:w="500" w:type="pct"/>
            <w:tcBorders>
              <w:tl2br w:val="nil"/>
              <w:tr2bl w:val="nil"/>
            </w:tcBorders>
            <w:vAlign w:val="center"/>
          </w:tcPr>
          <w:p w14:paraId="0D86BE7F">
            <w:pPr>
              <w:spacing w:line="240" w:lineRule="auto"/>
              <w:ind w:firstLine="0" w:firstLineChars="0"/>
              <w:jc w:val="center"/>
              <w:rPr>
                <w:color w:val="auto"/>
                <w:sz w:val="21"/>
                <w:szCs w:val="21"/>
              </w:rPr>
            </w:pPr>
            <w:r>
              <w:rPr>
                <w:color w:val="auto"/>
                <w:sz w:val="21"/>
                <w:szCs w:val="21"/>
              </w:rPr>
              <w:t>新增</w:t>
            </w:r>
          </w:p>
        </w:tc>
      </w:tr>
    </w:tbl>
    <w:p w14:paraId="728E352B">
      <w:pPr>
        <w:keepNext/>
        <w:keepLines/>
        <w:spacing w:before="120" w:beforeLines="50"/>
        <w:ind w:firstLine="0" w:firstLineChars="0"/>
        <w:outlineLvl w:val="3"/>
        <w:rPr>
          <w:b/>
          <w:bCs/>
          <w:color w:val="auto"/>
        </w:rPr>
      </w:pPr>
      <w:r>
        <w:rPr>
          <w:rFonts w:hint="eastAsia"/>
          <w:b/>
          <w:bCs/>
          <w:color w:val="auto"/>
        </w:rPr>
        <w:t>7</w:t>
      </w:r>
      <w:r>
        <w:rPr>
          <w:b/>
          <w:bCs/>
          <w:color w:val="auto"/>
        </w:rPr>
        <w:t>.2.1</w:t>
      </w:r>
      <w:r>
        <w:rPr>
          <w:rFonts w:hint="eastAsia"/>
          <w:b/>
          <w:bCs/>
          <w:color w:val="auto"/>
        </w:rPr>
        <w:t>.3</w:t>
      </w:r>
      <w:r>
        <w:rPr>
          <w:b/>
          <w:bCs/>
          <w:color w:val="auto"/>
        </w:rPr>
        <w:t xml:space="preserve"> </w:t>
      </w:r>
      <w:r>
        <w:rPr>
          <w:rFonts w:hint="eastAsia"/>
          <w:b/>
          <w:bCs/>
          <w:color w:val="auto"/>
        </w:rPr>
        <w:t>无组织废气治理措施</w:t>
      </w:r>
    </w:p>
    <w:p w14:paraId="549AB3A6">
      <w:pPr>
        <w:ind w:firstLine="480"/>
        <w:rPr>
          <w:color w:val="auto"/>
          <w:kern w:val="0"/>
          <w:lang w:bidi="ar"/>
        </w:rPr>
      </w:pPr>
      <w:r>
        <w:rPr>
          <w:rFonts w:hint="eastAsia"/>
          <w:color w:val="auto"/>
          <w:kern w:val="0"/>
          <w:lang w:bidi="ar"/>
        </w:rPr>
        <w:t>拟建项目生产所需原料、成品均采用室内贮存，避免了传统的露天堆存或者设置防雨棚堆存带来的粉尘污染等问题。拟建项目各废气产污点均设置了有效的废气收集装置，通过合理设计风量及集气装置的投影面积等参数，外逸的无组织废气量很少，此部分为主要的无组织废气排放源。拟建项目的无组织排放源主要有喷砂及深加工未被捕集的粉尘、氧化车间及模具处理车间未被捕集的酸雾和碱雾、质检过程产生的酸雾、硫酸储罐“大小呼吸”。</w:t>
      </w:r>
    </w:p>
    <w:p w14:paraId="4DEAB90D">
      <w:pPr>
        <w:ind w:firstLine="480"/>
        <w:rPr>
          <w:color w:val="auto"/>
          <w:kern w:val="0"/>
          <w:lang w:bidi="ar"/>
        </w:rPr>
      </w:pPr>
      <w:r>
        <w:rPr>
          <w:rFonts w:hint="eastAsia"/>
          <w:color w:val="auto"/>
          <w:kern w:val="0"/>
          <w:lang w:bidi="ar"/>
        </w:rPr>
        <w:t>为减少无组织污染物排放，对拟建项目提出如下控制措施建议：</w:t>
      </w:r>
    </w:p>
    <w:p w14:paraId="40CA0815">
      <w:pPr>
        <w:ind w:firstLine="480"/>
        <w:rPr>
          <w:color w:val="auto"/>
          <w:kern w:val="0"/>
          <w:lang w:bidi="ar"/>
        </w:rPr>
      </w:pPr>
      <w:r>
        <w:rPr>
          <w:rFonts w:hint="eastAsia"/>
          <w:color w:val="auto"/>
          <w:kern w:val="0"/>
          <w:lang w:bidi="ar"/>
        </w:rPr>
        <w:t>①采取强化运行工况，确保生产设备密闭性完好，定期检查密封性，减少逸出废气量。深加工锯切和打孔产生的粉尘采用布袋除尘器收集处理后无组织排放。对深加工车间以及喷砂区域加强通风。</w:t>
      </w:r>
    </w:p>
    <w:p w14:paraId="21A4D7BC">
      <w:pPr>
        <w:ind w:firstLine="480"/>
        <w:rPr>
          <w:color w:val="auto"/>
          <w:kern w:val="0"/>
          <w:lang w:bidi="ar"/>
        </w:rPr>
      </w:pPr>
      <w:r>
        <w:rPr>
          <w:rFonts w:hint="eastAsia"/>
          <w:color w:val="auto"/>
          <w:kern w:val="0"/>
          <w:lang w:bidi="ar"/>
        </w:rPr>
        <w:t>②危废贮存仓库设置为封闭的房间，同时车间内设置负压抽风系统。</w:t>
      </w:r>
    </w:p>
    <w:p w14:paraId="4BF5136C">
      <w:pPr>
        <w:ind w:firstLine="480"/>
        <w:rPr>
          <w:color w:val="auto"/>
          <w:kern w:val="0"/>
          <w:lang w:bidi="ar"/>
        </w:rPr>
      </w:pPr>
      <w:r>
        <w:rPr>
          <w:rFonts w:hint="eastAsia"/>
          <w:color w:val="auto"/>
          <w:kern w:val="0"/>
          <w:lang w:bidi="ar"/>
        </w:rPr>
        <w:t>③要求厂内运输道路设专人负责清扫、洒水，对运输车辆和装卸要加强规范操作，减少装卸装运过程中的无组织排放。</w:t>
      </w:r>
    </w:p>
    <w:p w14:paraId="13F7050E">
      <w:pPr>
        <w:ind w:firstLine="480"/>
        <w:rPr>
          <w:color w:val="auto"/>
          <w:kern w:val="0"/>
          <w:lang w:bidi="ar"/>
        </w:rPr>
      </w:pPr>
      <w:r>
        <w:rPr>
          <w:rFonts w:hint="eastAsia"/>
          <w:color w:val="auto"/>
          <w:kern w:val="0"/>
          <w:lang w:bidi="ar"/>
        </w:rPr>
        <w:t>④在厂界围墙、厂前区、车间和物料储库及堆棚周围设置绿化带，对职工进行环境保护宣传教育，培养其在工作过程中规范操作和自觉遵守环保制度的意识。</w:t>
      </w:r>
    </w:p>
    <w:p w14:paraId="0689B65E">
      <w:pPr>
        <w:ind w:firstLine="480"/>
        <w:rPr>
          <w:color w:val="auto"/>
          <w:kern w:val="0"/>
          <w:lang w:bidi="ar"/>
        </w:rPr>
      </w:pPr>
      <w:r>
        <w:rPr>
          <w:rFonts w:hint="eastAsia"/>
          <w:color w:val="auto"/>
          <w:kern w:val="0"/>
          <w:lang w:bidi="ar"/>
        </w:rPr>
        <w:t>⑤加强除尘系统的保养和维护，确保集气罩的抽吸作用，增加集气罩面积，防止除尘系统的“跑、冒、漏、滴”，使处理系统运转良好。</w:t>
      </w:r>
    </w:p>
    <w:p w14:paraId="6C25E42D">
      <w:pPr>
        <w:ind w:firstLine="480"/>
        <w:rPr>
          <w:color w:val="auto"/>
          <w:kern w:val="0"/>
          <w:lang w:bidi="ar"/>
        </w:rPr>
      </w:pPr>
      <w:r>
        <w:rPr>
          <w:rFonts w:hint="eastAsia"/>
          <w:color w:val="auto"/>
          <w:kern w:val="0"/>
          <w:lang w:bidi="ar"/>
        </w:rPr>
        <w:t>⑥加强厂区绿化，形成绿化屏障，减少废气对环境的影响，厂区应种植一些吸收臭气、净化空气作用较大的树木，如夹竹桃等。</w:t>
      </w:r>
    </w:p>
    <w:p w14:paraId="04AF7CC0">
      <w:pPr>
        <w:ind w:firstLine="480"/>
        <w:rPr>
          <w:color w:val="auto"/>
          <w:kern w:val="0"/>
          <w:lang w:bidi="ar"/>
        </w:rPr>
      </w:pPr>
      <w:r>
        <w:rPr>
          <w:rFonts w:hint="eastAsia"/>
          <w:color w:val="auto"/>
          <w:kern w:val="0"/>
          <w:lang w:bidi="ar"/>
        </w:rPr>
        <w:t>⑦制定加料、包装操作程序，规范操作方式，减少加料形成的粉尘无组织排放。</w:t>
      </w:r>
    </w:p>
    <w:p w14:paraId="5B518287">
      <w:pPr>
        <w:ind w:firstLine="480"/>
        <w:rPr>
          <w:color w:val="auto"/>
          <w:kern w:val="0"/>
          <w:lang w:bidi="ar"/>
        </w:rPr>
      </w:pPr>
      <w:r>
        <w:rPr>
          <w:rFonts w:hint="eastAsia"/>
          <w:color w:val="auto"/>
          <w:kern w:val="0"/>
          <w:lang w:bidi="ar"/>
        </w:rPr>
        <w:t>⑧在厂界围墙、厂前区、车间和物料储库周围设置绿化带，对职工进行环境保护宣传教育，培养其在工作过程中规范操作和自觉遵守环保制度的意识。</w:t>
      </w:r>
    </w:p>
    <w:p w14:paraId="61095865">
      <w:pPr>
        <w:ind w:firstLine="480"/>
        <w:rPr>
          <w:color w:val="auto"/>
          <w:kern w:val="0"/>
          <w:lang w:bidi="ar"/>
        </w:rPr>
      </w:pPr>
      <w:r>
        <w:rPr>
          <w:rFonts w:hint="eastAsia"/>
          <w:color w:val="auto"/>
          <w:kern w:val="0"/>
          <w:lang w:bidi="ar"/>
        </w:rPr>
        <w:t>通过执行以上无组织废气排放控制措施，从收集、运输、贮存到处理全过程防止无组织污染物的产生，同时加强厂区绿化，可使各无组织的周围外界最高浓度能够达到江苏省地方标准《大气污染物综合排放标准》（DB32/4041-2021）无组织排放监控浓度限值以及《恶臭污染物排放标准》（GB14554-93）中新扩改二级厂界达标值，无组织废气能够达标排放。</w:t>
      </w:r>
    </w:p>
    <w:p w14:paraId="3E911559">
      <w:pPr>
        <w:keepNext/>
        <w:keepLines/>
        <w:spacing w:before="120" w:beforeLines="50"/>
        <w:ind w:firstLine="0" w:firstLineChars="0"/>
        <w:outlineLvl w:val="3"/>
        <w:rPr>
          <w:b/>
          <w:bCs/>
          <w:color w:val="auto"/>
        </w:rPr>
      </w:pPr>
      <w:r>
        <w:rPr>
          <w:rFonts w:hint="eastAsia"/>
          <w:b/>
          <w:bCs/>
          <w:color w:val="auto"/>
        </w:rPr>
        <w:t>7.2.1.4 非正常工况排放污染控制措施</w:t>
      </w:r>
    </w:p>
    <w:p w14:paraId="5EECDE6F">
      <w:pPr>
        <w:ind w:firstLine="480"/>
        <w:rPr>
          <w:color w:val="auto"/>
        </w:rPr>
      </w:pPr>
      <w:r>
        <w:rPr>
          <w:color w:val="auto"/>
        </w:rPr>
        <w:t>本项目非正常排放情况主要是废气处理装置出现故障或处理效率降低时废气排放量突然增大的情况，项目拟采取以下处理措施进行处理：</w:t>
      </w:r>
    </w:p>
    <w:p w14:paraId="401E1FC4">
      <w:pPr>
        <w:ind w:firstLine="480"/>
        <w:rPr>
          <w:color w:val="auto"/>
        </w:rPr>
      </w:pPr>
      <w:r>
        <w:rPr>
          <w:color w:val="auto"/>
        </w:rPr>
        <w:t>（1）提高设备自动控制水平，生产线上尽量采用自动监控、报警装置；并加强废气处理装置的管理，防止废气处理装置出现故障造成非正常排放的情况。</w:t>
      </w:r>
    </w:p>
    <w:p w14:paraId="5EB57B11">
      <w:pPr>
        <w:ind w:firstLine="480"/>
        <w:rPr>
          <w:color w:val="auto"/>
        </w:rPr>
      </w:pPr>
      <w:r>
        <w:rPr>
          <w:color w:val="auto"/>
        </w:rPr>
        <w:t>（2）加强生产的监督和管理，对可能出现的非正常排放情况制定预案或应急措施，出现非正常排放时及时妥善处理；</w:t>
      </w:r>
    </w:p>
    <w:p w14:paraId="733F2559">
      <w:pPr>
        <w:ind w:firstLine="480"/>
        <w:rPr>
          <w:color w:val="auto"/>
        </w:rPr>
      </w:pPr>
      <w:r>
        <w:rPr>
          <w:color w:val="auto"/>
        </w:rPr>
        <w:t>（3）开车过程中，应先运行废气处理装置，后运行生产装置；停车过程中，应先停止生产装置，后停止废气处理装置，在确保废气有效处理后再停止废气处理装置。</w:t>
      </w:r>
    </w:p>
    <w:p w14:paraId="5888AFEE">
      <w:pPr>
        <w:ind w:firstLine="480"/>
        <w:rPr>
          <w:color w:val="auto"/>
        </w:rPr>
      </w:pPr>
      <w:r>
        <w:rPr>
          <w:color w:val="auto"/>
        </w:rPr>
        <w:t>（4）检修过程中，应与停车的操作规程一致，先停止生产装置，后停止废气处理装置，确保废气通过送至废气处理装置处理后通过排气筒排放。</w:t>
      </w:r>
    </w:p>
    <w:p w14:paraId="0ED22D2F">
      <w:pPr>
        <w:ind w:firstLine="480"/>
        <w:rPr>
          <w:color w:val="auto"/>
        </w:rPr>
      </w:pPr>
      <w:r>
        <w:rPr>
          <w:color w:val="auto"/>
        </w:rPr>
        <w:t>（5）加强喷淋设施等处理装置的管理和维修，及时更换喷淋水，确保废气处理装置的正常运行。</w:t>
      </w:r>
    </w:p>
    <w:p w14:paraId="301C10E2">
      <w:pPr>
        <w:ind w:firstLine="480"/>
        <w:rPr>
          <w:color w:val="auto"/>
        </w:rPr>
      </w:pPr>
      <w:r>
        <w:rPr>
          <w:color w:val="auto"/>
        </w:rPr>
        <w:t>通过以上处理措施处理后，项目的非正常排放废气可</w:t>
      </w:r>
      <w:r>
        <w:rPr>
          <w:rFonts w:hint="eastAsia"/>
          <w:color w:val="auto"/>
          <w:lang w:eastAsia="zh-CN"/>
        </w:rPr>
        <w:t>得到有效的</w:t>
      </w:r>
      <w:r>
        <w:rPr>
          <w:color w:val="auto"/>
        </w:rPr>
        <w:t>控制。</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14:paraId="3FC07968">
      <w:pPr>
        <w:keepNext/>
        <w:keepLines/>
        <w:spacing w:before="120" w:beforeLines="50"/>
        <w:ind w:firstLine="0" w:firstLineChars="0"/>
        <w:outlineLvl w:val="2"/>
        <w:rPr>
          <w:b/>
          <w:bCs/>
          <w:color w:val="auto"/>
          <w:sz w:val="28"/>
          <w:szCs w:val="28"/>
        </w:rPr>
      </w:pPr>
      <w:bookmarkStart w:id="167" w:name="_Toc475202275"/>
      <w:bookmarkStart w:id="168" w:name="_Toc178062858"/>
      <w:bookmarkStart w:id="169" w:name="_Toc486868132"/>
      <w:bookmarkStart w:id="170" w:name="_Toc271731756"/>
      <w:bookmarkStart w:id="171" w:name="_Toc343082743"/>
      <w:bookmarkStart w:id="172" w:name="_Toc486868129"/>
      <w:bookmarkStart w:id="173" w:name="_Toc339357951"/>
      <w:bookmarkStart w:id="174" w:name="_Toc176678878"/>
      <w:bookmarkStart w:id="175" w:name="_Toc101172692"/>
      <w:bookmarkStart w:id="176" w:name="_Toc478027408"/>
      <w:bookmarkStart w:id="177" w:name="_Toc214248631"/>
      <w:bookmarkStart w:id="178" w:name="_Toc187054049"/>
      <w:bookmarkStart w:id="179" w:name="_Toc335677381"/>
      <w:bookmarkStart w:id="180" w:name="_Toc335635642"/>
      <w:bookmarkStart w:id="181" w:name="_Toc478050478"/>
      <w:r>
        <w:rPr>
          <w:rFonts w:hint="eastAsia"/>
          <w:b/>
          <w:bCs/>
          <w:color w:val="auto"/>
          <w:sz w:val="28"/>
          <w:szCs w:val="28"/>
        </w:rPr>
        <w:t>7</w:t>
      </w:r>
      <w:r>
        <w:rPr>
          <w:b/>
          <w:bCs/>
          <w:color w:val="auto"/>
          <w:sz w:val="28"/>
          <w:szCs w:val="28"/>
        </w:rPr>
        <w:t>.2.2 废水污染防治措施</w:t>
      </w:r>
      <w:r>
        <w:rPr>
          <w:rFonts w:hint="eastAsia"/>
          <w:b/>
          <w:bCs/>
          <w:color w:val="auto"/>
          <w:sz w:val="28"/>
          <w:szCs w:val="28"/>
        </w:rPr>
        <w:t>评述</w:t>
      </w:r>
    </w:p>
    <w:p w14:paraId="55FE5350">
      <w:pPr>
        <w:keepNext/>
        <w:keepLines/>
        <w:spacing w:before="120" w:beforeLines="50"/>
        <w:ind w:firstLine="0" w:firstLineChars="0"/>
        <w:outlineLvl w:val="3"/>
        <w:rPr>
          <w:b/>
          <w:bCs/>
          <w:color w:val="auto"/>
        </w:rPr>
      </w:pPr>
      <w:r>
        <w:rPr>
          <w:rFonts w:hint="eastAsia"/>
          <w:b/>
          <w:bCs/>
          <w:color w:val="auto"/>
        </w:rPr>
        <w:t>7</w:t>
      </w:r>
      <w:r>
        <w:rPr>
          <w:b/>
          <w:bCs/>
          <w:color w:val="auto"/>
        </w:rPr>
        <w:t>.2.</w:t>
      </w:r>
      <w:r>
        <w:rPr>
          <w:rFonts w:hint="eastAsia"/>
          <w:b/>
          <w:bCs/>
          <w:color w:val="auto"/>
        </w:rPr>
        <w:t>2.1</w:t>
      </w:r>
      <w:r>
        <w:rPr>
          <w:b/>
          <w:bCs/>
          <w:color w:val="auto"/>
        </w:rPr>
        <w:t xml:space="preserve"> </w:t>
      </w:r>
      <w:r>
        <w:rPr>
          <w:rFonts w:hint="eastAsia"/>
          <w:b/>
          <w:bCs/>
          <w:color w:val="auto"/>
        </w:rPr>
        <w:t>废水产生情况概述</w:t>
      </w:r>
    </w:p>
    <w:p w14:paraId="18CEF750">
      <w:pPr>
        <w:ind w:firstLine="480"/>
        <w:rPr>
          <w:color w:val="auto"/>
          <w:szCs w:val="28"/>
        </w:rPr>
      </w:pPr>
      <w:r>
        <w:rPr>
          <w:rFonts w:hint="eastAsia"/>
          <w:color w:val="auto"/>
          <w:szCs w:val="28"/>
        </w:rPr>
        <w:t>本项目建成后全厂产生的废水量为290159.33t/a（约879.27t/d），主要包括酸碱废水、封孔废水、模具处理工艺废水、酸碱废气处理废水、氧化工段地面清洗废水、纯水制备装置反冲洗废水、纯水制备装置再生废水、初期雨水、生活污水、食堂废水和循环冷却排水等。主要污染因子为COD、SS、氨氮、总磷、总氮、总铝、石油类、LAS、总锡和盐分。</w:t>
      </w:r>
    </w:p>
    <w:p w14:paraId="56F263F8">
      <w:pPr>
        <w:ind w:firstLine="480"/>
        <w:rPr>
          <w:color w:val="auto"/>
          <w:szCs w:val="28"/>
        </w:rPr>
      </w:pPr>
      <w:r>
        <w:rPr>
          <w:rFonts w:hint="eastAsia"/>
          <w:color w:val="auto"/>
          <w:szCs w:val="28"/>
        </w:rPr>
        <w:t>拟新建污水处理站对厂区污水进行分质预处理：</w:t>
      </w:r>
    </w:p>
    <w:p w14:paraId="2BF20BDE">
      <w:pPr>
        <w:ind w:firstLine="480"/>
        <w:rPr>
          <w:color w:val="auto"/>
          <w:szCs w:val="28"/>
        </w:rPr>
      </w:pPr>
      <w:r>
        <w:rPr>
          <w:rFonts w:hint="eastAsia"/>
          <w:color w:val="auto"/>
          <w:szCs w:val="28"/>
        </w:rPr>
        <w:t>（1）封孔剂废水经收集后先送入封孔废水处理系统（工艺为“调节+混凝反应+沉淀”），送入综合废水处理系统处理（工艺为“调节+混凝反应+沉淀”），再经园区污水管网接管至开发区临港污水处理厂集中处理；</w:t>
      </w:r>
    </w:p>
    <w:p w14:paraId="7FBE1744">
      <w:pPr>
        <w:ind w:firstLine="480"/>
        <w:rPr>
          <w:color w:val="auto"/>
          <w:szCs w:val="28"/>
        </w:rPr>
      </w:pPr>
      <w:r>
        <w:rPr>
          <w:rFonts w:hint="eastAsia"/>
          <w:color w:val="auto"/>
          <w:szCs w:val="28"/>
        </w:rPr>
        <w:t>（2）酸碱废水、模具处理工艺废水、酸碱废气处理废水、氧化工段地面清洗废水、纯水制备装置反冲洗废水、纯水制备装置再生废水、循环冷却排水和初期雨水送入综合废水处理系统处理（工艺为“调节+混凝反应+沉淀”）后经园区污水管网接管至开发区污水处理厂集中处理；</w:t>
      </w:r>
    </w:p>
    <w:p w14:paraId="3A8F80D1">
      <w:pPr>
        <w:ind w:firstLine="480"/>
        <w:rPr>
          <w:color w:val="auto"/>
          <w:szCs w:val="28"/>
        </w:rPr>
      </w:pPr>
      <w:r>
        <w:rPr>
          <w:rFonts w:hint="eastAsia"/>
          <w:color w:val="auto"/>
          <w:szCs w:val="28"/>
        </w:rPr>
        <w:t>（3）生活污水、食堂废水分别经化粪池和隔油池预处理后接管区域污水处理厂处理。</w:t>
      </w:r>
    </w:p>
    <w:p w14:paraId="2E4DA82B">
      <w:pPr>
        <w:keepNext/>
        <w:keepLines/>
        <w:spacing w:before="120" w:beforeLines="50"/>
        <w:ind w:firstLine="0" w:firstLineChars="0"/>
        <w:outlineLvl w:val="3"/>
        <w:rPr>
          <w:b/>
          <w:bCs/>
          <w:color w:val="auto"/>
        </w:rPr>
      </w:pPr>
      <w:r>
        <w:rPr>
          <w:rFonts w:hint="eastAsia"/>
          <w:b/>
          <w:bCs/>
          <w:color w:val="auto"/>
        </w:rPr>
        <w:t>7.2.2.2 废水处理措施介绍</w:t>
      </w:r>
    </w:p>
    <w:p w14:paraId="74395614">
      <w:pPr>
        <w:ind w:firstLine="482"/>
        <w:rPr>
          <w:b/>
          <w:bCs/>
          <w:color w:val="auto"/>
        </w:rPr>
      </w:pPr>
      <w:r>
        <w:rPr>
          <w:rFonts w:hint="eastAsia"/>
          <w:b/>
          <w:bCs/>
          <w:color w:val="auto"/>
        </w:rPr>
        <w:t>1、</w:t>
      </w:r>
      <w:r>
        <w:rPr>
          <w:b/>
          <w:bCs/>
          <w:color w:val="auto"/>
        </w:rPr>
        <w:t>工艺介绍</w:t>
      </w:r>
    </w:p>
    <w:p w14:paraId="56A84303">
      <w:pPr>
        <w:ind w:firstLine="480"/>
        <w:rPr>
          <w:color w:val="auto"/>
        </w:rPr>
      </w:pPr>
      <w:r>
        <w:rPr>
          <w:color w:val="auto"/>
        </w:rPr>
        <w:t>本次项目</w:t>
      </w:r>
      <w:r>
        <w:rPr>
          <w:rFonts w:hint="eastAsia"/>
          <w:color w:val="auto"/>
        </w:rPr>
        <w:t>厂内</w:t>
      </w:r>
      <w:r>
        <w:rPr>
          <w:color w:val="auto"/>
        </w:rPr>
        <w:t>污水处理站总体工艺如下所示。</w:t>
      </w:r>
    </w:p>
    <w:p w14:paraId="101FACC6">
      <w:pPr>
        <w:ind w:firstLine="0" w:firstLineChars="0"/>
        <w:jc w:val="center"/>
        <w:rPr>
          <w:color w:val="auto"/>
        </w:rPr>
      </w:pPr>
      <w:r>
        <w:rPr>
          <w:color w:val="auto"/>
        </w:rPr>
        <w:object>
          <v:shape id="_x0000_i1040" o:spt="75" type="#_x0000_t75" style="height:182.95pt;width:439.2pt;" o:ole="t" filled="f" o:preferrelative="t" stroked="f" coordsize="21600,21600">
            <v:path/>
            <v:fill on="f" focussize="0,0"/>
            <v:stroke on="f"/>
            <v:imagedata r:id="rId65" o:title=""/>
            <o:lock v:ext="edit" aspectratio="f"/>
            <w10:wrap type="none"/>
            <w10:anchorlock/>
          </v:shape>
          <o:OLEObject Type="Embed" ProgID="Visio.Drawing.15" ShapeID="_x0000_i1040" DrawAspect="Content" ObjectID="_1468075731" r:id="rId64">
            <o:LockedField>false</o:LockedField>
          </o:OLEObject>
        </w:object>
      </w:r>
    </w:p>
    <w:p w14:paraId="2A33E3E0">
      <w:pPr>
        <w:spacing w:line="500" w:lineRule="exact"/>
        <w:ind w:firstLine="482"/>
        <w:jc w:val="center"/>
        <w:rPr>
          <w:color w:val="auto"/>
        </w:rPr>
      </w:pPr>
      <w:r>
        <w:rPr>
          <w:b/>
          <w:bCs/>
          <w:color w:val="auto"/>
        </w:rPr>
        <w:t>图7.2.2-1  污水处理站总体工艺流程图</w:t>
      </w:r>
    </w:p>
    <w:p w14:paraId="23B9C7D7">
      <w:pPr>
        <w:ind w:firstLine="482"/>
        <w:rPr>
          <w:b/>
          <w:bCs/>
          <w:color w:val="auto"/>
        </w:rPr>
      </w:pPr>
      <w:r>
        <w:rPr>
          <w:b/>
          <w:bCs/>
          <w:color w:val="auto"/>
        </w:rPr>
        <w:t>工艺原理简述：</w:t>
      </w:r>
    </w:p>
    <w:p w14:paraId="2934572D">
      <w:pPr>
        <w:ind w:firstLine="482"/>
        <w:rPr>
          <w:b/>
          <w:bCs/>
          <w:color w:val="auto"/>
        </w:rPr>
      </w:pPr>
      <w:r>
        <w:rPr>
          <w:rFonts w:hint="eastAsia"/>
          <w:b/>
          <w:bCs/>
          <w:color w:val="auto"/>
        </w:rPr>
        <w:t>（1）</w:t>
      </w:r>
      <w:r>
        <w:rPr>
          <w:b/>
          <w:bCs/>
          <w:color w:val="auto"/>
        </w:rPr>
        <w:t>废水分质收集调节</w:t>
      </w:r>
    </w:p>
    <w:p w14:paraId="58012B8B">
      <w:pPr>
        <w:ind w:firstLine="480"/>
        <w:rPr>
          <w:color w:val="auto"/>
        </w:rPr>
      </w:pPr>
      <w:r>
        <w:rPr>
          <w:rFonts w:hint="eastAsia"/>
          <w:color w:val="auto"/>
        </w:rPr>
        <w:t>封孔</w:t>
      </w:r>
      <w:r>
        <w:rPr>
          <w:color w:val="auto"/>
        </w:rPr>
        <w:t>废水需单独收集进预处理后</w:t>
      </w:r>
      <w:r>
        <w:rPr>
          <w:rFonts w:hint="eastAsia"/>
          <w:color w:val="auto"/>
        </w:rPr>
        <w:t>p</w:t>
      </w:r>
      <w:r>
        <w:rPr>
          <w:color w:val="auto"/>
        </w:rPr>
        <w:t>H回调后直接排放后再统一排往综合废水调节池与酸碱废水一同进行处理。</w:t>
      </w:r>
    </w:p>
    <w:p w14:paraId="3FF0574D">
      <w:pPr>
        <w:ind w:firstLine="480"/>
        <w:rPr>
          <w:color w:val="auto"/>
        </w:rPr>
      </w:pPr>
      <w:r>
        <w:rPr>
          <w:color w:val="auto"/>
        </w:rPr>
        <w:t>调节池对废水具有分类和匀质匀量作用，为后续处理提供稳定的水质水量条件，以便进行处理和调节。</w:t>
      </w:r>
    </w:p>
    <w:p w14:paraId="0251FCB8">
      <w:pPr>
        <w:ind w:firstLine="480"/>
        <w:rPr>
          <w:color w:val="auto"/>
        </w:rPr>
      </w:pPr>
      <w:r>
        <w:rPr>
          <w:rFonts w:hint="eastAsia"/>
          <w:color w:val="auto"/>
        </w:rPr>
        <w:t>（2）封孔</w:t>
      </w:r>
      <w:r>
        <w:rPr>
          <w:color w:val="auto"/>
        </w:rPr>
        <w:t>废水</w:t>
      </w:r>
    </w:p>
    <w:p w14:paraId="1E58C6DC">
      <w:pPr>
        <w:ind w:firstLine="480"/>
        <w:rPr>
          <w:color w:val="auto"/>
        </w:rPr>
      </w:pPr>
      <w:r>
        <w:rPr>
          <w:color w:val="auto"/>
        </w:rPr>
        <w:t>采用化学混凝沉淀工艺对</w:t>
      </w:r>
      <w:r>
        <w:rPr>
          <w:rFonts w:hint="eastAsia"/>
          <w:color w:val="auto"/>
        </w:rPr>
        <w:t>封孔</w:t>
      </w:r>
      <w:r>
        <w:rPr>
          <w:color w:val="auto"/>
        </w:rPr>
        <w:t>废水进行处理，通过在线pH计对废水pH进行监控，投加Na</w:t>
      </w:r>
      <w:r>
        <w:rPr>
          <w:rFonts w:hint="eastAsia"/>
          <w:color w:val="auto"/>
        </w:rPr>
        <w:t>O</w:t>
      </w:r>
      <w:r>
        <w:rPr>
          <w:color w:val="auto"/>
        </w:rPr>
        <w:t>H搅拌调节pH至最佳反应条件生成</w:t>
      </w:r>
      <w:r>
        <w:rPr>
          <w:rFonts w:hint="eastAsia"/>
          <w:color w:val="auto"/>
        </w:rPr>
        <w:t>Al</w:t>
      </w:r>
      <w:r>
        <w:rPr>
          <w:color w:val="auto"/>
        </w:rPr>
        <w:t>(</w:t>
      </w:r>
      <w:r>
        <w:rPr>
          <w:rFonts w:hint="eastAsia"/>
          <w:color w:val="auto"/>
        </w:rPr>
        <w:t>O</w:t>
      </w:r>
      <w:r>
        <w:rPr>
          <w:color w:val="auto"/>
        </w:rPr>
        <w:t>H)</w:t>
      </w:r>
      <w:r>
        <w:rPr>
          <w:rFonts w:hint="eastAsia"/>
          <w:color w:val="auto"/>
          <w:vertAlign w:val="subscript"/>
        </w:rPr>
        <w:t>3</w:t>
      </w:r>
      <w:r>
        <w:rPr>
          <w:color w:val="auto"/>
        </w:rPr>
        <w:t>沉淀，使废水中</w:t>
      </w:r>
      <w:r>
        <w:rPr>
          <w:rFonts w:hint="eastAsia"/>
          <w:color w:val="auto"/>
        </w:rPr>
        <w:t>Al</w:t>
      </w:r>
      <w:r>
        <w:rPr>
          <w:color w:val="auto"/>
        </w:rPr>
        <w:t>降到最小。继续投加絮凝剂、助凝剂等促进混凝生成，并在沉淀池中进行固液分离，上清液直接或</w:t>
      </w:r>
      <w:r>
        <w:rPr>
          <w:rFonts w:hint="eastAsia"/>
          <w:color w:val="auto"/>
        </w:rPr>
        <w:t>p</w:t>
      </w:r>
      <w:r>
        <w:rPr>
          <w:color w:val="auto"/>
        </w:rPr>
        <w:t>H回调后排入综合废水处理单元，</w:t>
      </w:r>
      <w:r>
        <w:rPr>
          <w:rFonts w:hint="eastAsia"/>
          <w:color w:val="auto"/>
        </w:rPr>
        <w:t>封孔</w:t>
      </w:r>
      <w:r>
        <w:rPr>
          <w:color w:val="auto"/>
        </w:rPr>
        <w:t>污泥进入</w:t>
      </w:r>
      <w:r>
        <w:rPr>
          <w:rFonts w:hint="eastAsia"/>
          <w:color w:val="auto"/>
        </w:rPr>
        <w:t>封孔</w:t>
      </w:r>
      <w:r>
        <w:rPr>
          <w:color w:val="auto"/>
        </w:rPr>
        <w:t>污泥池。</w:t>
      </w:r>
    </w:p>
    <w:p w14:paraId="4ED19940">
      <w:pPr>
        <w:ind w:firstLine="480"/>
        <w:rPr>
          <w:color w:val="auto"/>
        </w:rPr>
      </w:pPr>
      <w:r>
        <w:rPr>
          <w:color w:val="auto"/>
        </w:rPr>
        <w:t>通过在线pH计实时监测废水pH值，控制Na</w:t>
      </w:r>
      <w:r>
        <w:rPr>
          <w:rFonts w:hint="eastAsia"/>
          <w:color w:val="auto"/>
        </w:rPr>
        <w:t>O</w:t>
      </w:r>
      <w:r>
        <w:rPr>
          <w:color w:val="auto"/>
        </w:rPr>
        <w:t>H的投加量，降低药剂消耗量。</w:t>
      </w:r>
    </w:p>
    <w:p w14:paraId="59F106FD">
      <w:pPr>
        <w:ind w:firstLine="480"/>
        <w:rPr>
          <w:color w:val="auto"/>
        </w:rPr>
      </w:pPr>
      <w:r>
        <w:rPr>
          <w:rFonts w:hint="eastAsia"/>
          <w:color w:val="auto"/>
        </w:rPr>
        <w:t>封孔</w:t>
      </w:r>
      <w:r>
        <w:rPr>
          <w:color w:val="auto"/>
        </w:rPr>
        <w:t>废液单独收集，根据车间排槽、排水及</w:t>
      </w:r>
      <w:r>
        <w:rPr>
          <w:rFonts w:hint="eastAsia"/>
          <w:color w:val="auto"/>
        </w:rPr>
        <w:t>封孔</w:t>
      </w:r>
      <w:r>
        <w:rPr>
          <w:color w:val="auto"/>
        </w:rPr>
        <w:t>废水调节池液位情况，定量投加到</w:t>
      </w:r>
      <w:r>
        <w:rPr>
          <w:rFonts w:hint="eastAsia"/>
          <w:color w:val="auto"/>
        </w:rPr>
        <w:t>封孔</w:t>
      </w:r>
      <w:r>
        <w:rPr>
          <w:color w:val="auto"/>
        </w:rPr>
        <w:t>废水调节池中混合处理。</w:t>
      </w:r>
    </w:p>
    <w:p w14:paraId="0EA5F07B">
      <w:pPr>
        <w:ind w:firstLine="480"/>
        <w:rPr>
          <w:color w:val="auto"/>
        </w:rPr>
      </w:pPr>
      <w:r>
        <w:rPr>
          <w:rFonts w:hint="eastAsia"/>
          <w:color w:val="auto"/>
        </w:rPr>
        <w:t>（3）</w:t>
      </w:r>
      <w:r>
        <w:rPr>
          <w:color w:val="auto"/>
        </w:rPr>
        <w:t>综合废水处理</w:t>
      </w:r>
    </w:p>
    <w:p w14:paraId="0F0746A0">
      <w:pPr>
        <w:ind w:firstLine="480"/>
        <w:rPr>
          <w:color w:val="auto"/>
        </w:rPr>
      </w:pPr>
      <w:r>
        <w:rPr>
          <w:color w:val="auto"/>
        </w:rPr>
        <w:t>酸性废水、碱性废水等与经预处理的其他废水统一进入综合废水调节池混合调节后再处理。废水混合有利于利用废水酸碱性进行中和、降低污染物的浓度、降低水质水量波动为后续处理创造良好条件。酸碱废水中和后投加絮凝剂进入沉淀池进行固液分离，上清液进入清水池后达标排放，酸碱废水污泥进入酸碱污泥池。</w:t>
      </w:r>
    </w:p>
    <w:p w14:paraId="252D147C">
      <w:pPr>
        <w:ind w:firstLine="480"/>
        <w:rPr>
          <w:color w:val="auto"/>
        </w:rPr>
      </w:pPr>
      <w:r>
        <w:rPr>
          <w:color w:val="auto"/>
        </w:rPr>
        <w:t>酸/碱性废液单独做收集池，为防止对系统造成冲击，根据车间排槽、排水及综合调节池</w:t>
      </w:r>
      <w:r>
        <w:rPr>
          <w:rFonts w:hint="eastAsia"/>
          <w:color w:val="auto"/>
        </w:rPr>
        <w:t>p</w:t>
      </w:r>
      <w:r>
        <w:rPr>
          <w:color w:val="auto"/>
        </w:rPr>
        <w:t>H值提升至综合废水调节池中混合处理。</w:t>
      </w:r>
    </w:p>
    <w:p w14:paraId="4D77A0E7">
      <w:pPr>
        <w:ind w:firstLine="480"/>
        <w:rPr>
          <w:color w:val="auto"/>
        </w:rPr>
      </w:pPr>
      <w:r>
        <w:rPr>
          <w:color w:val="auto"/>
        </w:rPr>
        <w:t>通过在线pH计实时监测废水pH</w:t>
      </w:r>
      <w:r>
        <w:rPr>
          <w:rFonts w:hint="eastAsia"/>
          <w:color w:val="auto"/>
        </w:rPr>
        <w:t>值，控制Ca(OH)</w:t>
      </w:r>
      <w:r>
        <w:rPr>
          <w:rFonts w:hint="eastAsia"/>
          <w:color w:val="auto"/>
          <w:vertAlign w:val="subscript"/>
        </w:rPr>
        <w:t>2</w:t>
      </w:r>
      <w:r>
        <w:rPr>
          <w:rFonts w:hint="eastAsia"/>
          <w:color w:val="auto"/>
        </w:rPr>
        <w:t>的投加量，降低药剂消耗量。</w:t>
      </w:r>
    </w:p>
    <w:p w14:paraId="01649F2E">
      <w:pPr>
        <w:ind w:firstLine="480"/>
        <w:rPr>
          <w:color w:val="auto"/>
        </w:rPr>
      </w:pPr>
      <w:r>
        <w:rPr>
          <w:rFonts w:hint="eastAsia"/>
          <w:color w:val="auto"/>
        </w:rPr>
        <w:t>（4）封孔污泥处理</w:t>
      </w:r>
    </w:p>
    <w:p w14:paraId="0C3B5259">
      <w:pPr>
        <w:ind w:firstLine="480"/>
        <w:rPr>
          <w:color w:val="auto"/>
        </w:rPr>
      </w:pPr>
      <w:r>
        <w:rPr>
          <w:rFonts w:hint="eastAsia"/>
          <w:color w:val="auto"/>
        </w:rPr>
        <w:t>封孔处理工艺产生的污泥，由于含有铝，需单独进行处理。废水处理过程中产生的污泥排入污泥池，后进入高压板框压滤机进行脱水处理后外运处置，滤液回封孔废水调节池。</w:t>
      </w:r>
    </w:p>
    <w:p w14:paraId="5AD2E15F">
      <w:pPr>
        <w:ind w:firstLine="480"/>
        <w:rPr>
          <w:color w:val="auto"/>
        </w:rPr>
      </w:pPr>
      <w:r>
        <w:rPr>
          <w:rFonts w:hint="eastAsia"/>
          <w:color w:val="auto"/>
        </w:rPr>
        <w:t>（5）综合污泥处理</w:t>
      </w:r>
    </w:p>
    <w:p w14:paraId="671CD1F6">
      <w:pPr>
        <w:ind w:firstLine="480"/>
        <w:rPr>
          <w:color w:val="auto"/>
        </w:rPr>
      </w:pPr>
      <w:r>
        <w:rPr>
          <w:rFonts w:hint="eastAsia"/>
          <w:color w:val="auto"/>
        </w:rPr>
        <w:t>对综合污泥设置压滤机进行处理。综合污泥统一排入综合污泥池，后进入高压板框压滤机进行脱水处理后外运处置，滤液回综合废水调节池。</w:t>
      </w:r>
    </w:p>
    <w:p w14:paraId="57AFC7CC">
      <w:pPr>
        <w:ind w:firstLine="480"/>
        <w:rPr>
          <w:color w:val="auto"/>
          <w:szCs w:val="22"/>
          <w:lang w:bidi="ar"/>
        </w:rPr>
      </w:pPr>
      <w:r>
        <w:rPr>
          <w:color w:val="auto"/>
          <w:szCs w:val="22"/>
          <w:lang w:bidi="ar"/>
        </w:rPr>
        <w:t>（6）加药系统</w:t>
      </w:r>
    </w:p>
    <w:p w14:paraId="0D90B980">
      <w:pPr>
        <w:ind w:firstLine="480"/>
        <w:rPr>
          <w:color w:val="auto"/>
          <w:lang w:bidi="ar"/>
        </w:rPr>
      </w:pPr>
      <w:r>
        <w:rPr>
          <w:color w:val="auto"/>
          <w:lang w:bidi="ar"/>
        </w:rPr>
        <w:t>通过在反应装置体内投加不同的药剂和搅拌动力等反应条件在池内形成大而结实的矾花，保证去除率。</w:t>
      </w:r>
    </w:p>
    <w:p w14:paraId="0429158E">
      <w:pPr>
        <w:ind w:firstLine="480"/>
        <w:rPr>
          <w:color w:val="auto"/>
          <w:lang w:bidi="ar"/>
        </w:rPr>
      </w:pPr>
      <w:r>
        <w:rPr>
          <w:color w:val="auto"/>
          <w:lang w:bidi="ar"/>
        </w:rPr>
        <w:t>混凝与絮凝机理：</w:t>
      </w:r>
    </w:p>
    <w:p w14:paraId="372CA8F3">
      <w:pPr>
        <w:ind w:firstLine="480"/>
        <w:rPr>
          <w:color w:val="auto"/>
          <w:lang w:bidi="ar"/>
        </w:rPr>
      </w:pPr>
      <w:r>
        <w:rPr>
          <w:color w:val="auto"/>
          <w:lang w:bidi="ar"/>
        </w:rPr>
        <w:t>在废水处理中，混凝与絮凝过程经常</w:t>
      </w:r>
      <w:r>
        <w:rPr>
          <w:rFonts w:hint="eastAsia"/>
          <w:color w:val="auto"/>
          <w:lang w:eastAsia="zh-CN" w:bidi="ar"/>
        </w:rPr>
        <w:t>适用</w:t>
      </w:r>
      <w:r>
        <w:rPr>
          <w:color w:val="auto"/>
          <w:lang w:bidi="ar"/>
        </w:rPr>
        <w:t>于固体物质的分离。分散系（胶体）的稳定性主要是同类胶体分散系微粒带同号电荷，它们之间的静电斥力阻止了微粒间彼此接近而聚合成</w:t>
      </w:r>
      <w:r>
        <w:rPr>
          <w:rFonts w:hint="eastAsia"/>
          <w:color w:val="auto"/>
          <w:lang w:bidi="ar"/>
        </w:rPr>
        <w:t>较</w:t>
      </w:r>
      <w:r>
        <w:rPr>
          <w:color w:val="auto"/>
          <w:lang w:bidi="ar"/>
        </w:rPr>
        <w:t>大的颗粒；其次，带电荷的胶体与反离子都能与周围的水分子发生水化作用，形成一层水化壳，也阻碍了各胶体的聚合。当分散系中加入某种絮凝剂，使胶团ζ电位降低或消除，胶粒相互聚集成絮体，各分散的絮体又相互凝聚成大絮体而沉降去除。</w:t>
      </w:r>
    </w:p>
    <w:p w14:paraId="475A4D3D">
      <w:pPr>
        <w:ind w:firstLine="0" w:firstLineChars="0"/>
        <w:jc w:val="center"/>
        <w:rPr>
          <w:color w:val="auto"/>
        </w:rPr>
      </w:pPr>
      <w:r>
        <w:rPr>
          <w:color w:val="auto"/>
        </w:rPr>
        <w:drawing>
          <wp:inline distT="0" distB="0" distL="114300" distR="114300">
            <wp:extent cx="3295650" cy="2021840"/>
            <wp:effectExtent l="0" t="0" r="0" b="1651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66"/>
                    <a:stretch>
                      <a:fillRect/>
                    </a:stretch>
                  </pic:blipFill>
                  <pic:spPr>
                    <a:xfrm>
                      <a:off x="0" y="0"/>
                      <a:ext cx="3295650" cy="2021840"/>
                    </a:xfrm>
                    <a:prstGeom prst="rect">
                      <a:avLst/>
                    </a:prstGeom>
                    <a:noFill/>
                    <a:ln>
                      <a:noFill/>
                    </a:ln>
                  </pic:spPr>
                </pic:pic>
              </a:graphicData>
            </a:graphic>
          </wp:inline>
        </w:drawing>
      </w:r>
    </w:p>
    <w:p w14:paraId="6E520AA1">
      <w:pPr>
        <w:ind w:firstLine="480"/>
        <w:rPr>
          <w:color w:val="auto"/>
          <w:lang w:bidi="ar"/>
        </w:rPr>
      </w:pPr>
      <w:r>
        <w:rPr>
          <w:color w:val="auto"/>
          <w:lang w:bidi="ar"/>
        </w:rPr>
        <w:t>a</w:t>
      </w:r>
      <w:r>
        <w:rPr>
          <w:rFonts w:hint="eastAsia"/>
          <w:color w:val="auto"/>
          <w:lang w:bidi="ar"/>
        </w:rPr>
        <w:t>）</w:t>
      </w:r>
      <w:r>
        <w:rPr>
          <w:color w:val="auto"/>
          <w:lang w:bidi="ar"/>
        </w:rPr>
        <w:t>胶体的稳定状态</w:t>
      </w:r>
    </w:p>
    <w:p w14:paraId="5C6EAAC9">
      <w:pPr>
        <w:ind w:firstLine="480"/>
        <w:rPr>
          <w:color w:val="auto"/>
          <w:lang w:bidi="ar"/>
        </w:rPr>
      </w:pPr>
      <w:r>
        <w:rPr>
          <w:color w:val="auto"/>
          <w:lang w:bidi="ar"/>
        </w:rPr>
        <w:t>由于胶体带负电荷及相互之间的范德华力，组织颗粒凝聚。</w:t>
      </w:r>
    </w:p>
    <w:p w14:paraId="1C9ADB3B">
      <w:pPr>
        <w:ind w:firstLine="480"/>
        <w:rPr>
          <w:color w:val="auto"/>
          <w:lang w:bidi="ar"/>
        </w:rPr>
      </w:pPr>
      <w:r>
        <w:rPr>
          <w:color w:val="auto"/>
          <w:lang w:bidi="ar"/>
        </w:rPr>
        <w:t>b</w:t>
      </w:r>
      <w:r>
        <w:rPr>
          <w:rFonts w:hint="eastAsia"/>
          <w:color w:val="auto"/>
          <w:lang w:bidi="ar"/>
        </w:rPr>
        <w:t>）</w:t>
      </w:r>
      <w:r>
        <w:rPr>
          <w:color w:val="auto"/>
          <w:lang w:bidi="ar"/>
        </w:rPr>
        <w:t>投加混凝剂后的胶体脱稳。</w:t>
      </w:r>
    </w:p>
    <w:p w14:paraId="7BD923B9">
      <w:pPr>
        <w:ind w:firstLine="480"/>
        <w:rPr>
          <w:color w:val="auto"/>
          <w:lang w:bidi="ar"/>
        </w:rPr>
      </w:pPr>
      <w:r>
        <w:rPr>
          <w:color w:val="auto"/>
          <w:lang w:bidi="ar"/>
        </w:rPr>
        <w:t>投加无机絮凝剂进行电荷中和，胶体凝聚。</w:t>
      </w:r>
    </w:p>
    <w:p w14:paraId="543C6060">
      <w:pPr>
        <w:ind w:firstLine="0" w:firstLineChars="0"/>
        <w:jc w:val="center"/>
        <w:rPr>
          <w:color w:val="auto"/>
        </w:rPr>
      </w:pPr>
      <w:r>
        <w:rPr>
          <w:color w:val="auto"/>
        </w:rPr>
        <w:drawing>
          <wp:inline distT="0" distB="0" distL="114300" distR="114300">
            <wp:extent cx="4171950" cy="1512570"/>
            <wp:effectExtent l="0" t="0" r="0" b="1143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67"/>
                    <a:stretch>
                      <a:fillRect/>
                    </a:stretch>
                  </pic:blipFill>
                  <pic:spPr>
                    <a:xfrm>
                      <a:off x="0" y="0"/>
                      <a:ext cx="4171950" cy="1512570"/>
                    </a:xfrm>
                    <a:prstGeom prst="rect">
                      <a:avLst/>
                    </a:prstGeom>
                    <a:noFill/>
                    <a:ln>
                      <a:noFill/>
                    </a:ln>
                  </pic:spPr>
                </pic:pic>
              </a:graphicData>
            </a:graphic>
          </wp:inline>
        </w:drawing>
      </w:r>
    </w:p>
    <w:p w14:paraId="2B4A1992">
      <w:pPr>
        <w:ind w:firstLine="480"/>
        <w:rPr>
          <w:color w:val="auto"/>
          <w:lang w:bidi="ar"/>
        </w:rPr>
      </w:pPr>
      <w:r>
        <w:rPr>
          <w:color w:val="auto"/>
          <w:lang w:bidi="ar"/>
        </w:rPr>
        <w:t>c</w:t>
      </w:r>
      <w:r>
        <w:rPr>
          <w:rFonts w:hint="eastAsia"/>
          <w:color w:val="auto"/>
          <w:lang w:bidi="ar"/>
        </w:rPr>
        <w:t>）</w:t>
      </w:r>
      <w:r>
        <w:rPr>
          <w:color w:val="auto"/>
          <w:lang w:bidi="ar"/>
        </w:rPr>
        <w:t>凝聚</w:t>
      </w:r>
    </w:p>
    <w:p w14:paraId="54C3AF95">
      <w:pPr>
        <w:ind w:firstLine="480"/>
        <w:rPr>
          <w:color w:val="auto"/>
          <w:lang w:bidi="ar"/>
        </w:rPr>
      </w:pPr>
      <w:r>
        <w:rPr>
          <w:color w:val="auto"/>
          <w:lang w:bidi="ar"/>
        </w:rPr>
        <w:t>吸附架桥主要是指投加的水溶性链状高分子聚合物絮凝剂，在静电力、范德华力和氢键力等的作用下，将小的絮体颗粒吸附、架桥形成一串串絮体（矾花）相互融合聚结为大絮体而沉降的过程。</w:t>
      </w:r>
    </w:p>
    <w:p w14:paraId="7233D426">
      <w:pPr>
        <w:ind w:firstLine="0" w:firstLineChars="0"/>
        <w:jc w:val="center"/>
        <w:rPr>
          <w:color w:val="auto"/>
        </w:rPr>
      </w:pPr>
      <w:r>
        <w:rPr>
          <w:color w:val="auto"/>
        </w:rPr>
        <w:drawing>
          <wp:inline distT="0" distB="0" distL="114300" distR="114300">
            <wp:extent cx="4619625" cy="1612900"/>
            <wp:effectExtent l="0" t="0" r="9525" b="635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68"/>
                    <a:stretch>
                      <a:fillRect/>
                    </a:stretch>
                  </pic:blipFill>
                  <pic:spPr>
                    <a:xfrm>
                      <a:off x="0" y="0"/>
                      <a:ext cx="4619625" cy="1612900"/>
                    </a:xfrm>
                    <a:prstGeom prst="rect">
                      <a:avLst/>
                    </a:prstGeom>
                    <a:noFill/>
                    <a:ln>
                      <a:noFill/>
                    </a:ln>
                  </pic:spPr>
                </pic:pic>
              </a:graphicData>
            </a:graphic>
          </wp:inline>
        </w:drawing>
      </w:r>
    </w:p>
    <w:p w14:paraId="495E9AA8">
      <w:pPr>
        <w:ind w:firstLine="480"/>
        <w:rPr>
          <w:color w:val="auto"/>
          <w:lang w:bidi="ar"/>
        </w:rPr>
      </w:pPr>
      <w:r>
        <w:rPr>
          <w:color w:val="auto"/>
          <w:lang w:bidi="ar"/>
        </w:rPr>
        <w:t>在加入混凝絮凝剂后，微米级及亚微米级小颗粒凝聚成毫米级大颗粒（我们俗称破乳）。由于混凝的过程可在瞬间完成，一旦分散胶体形成大颗粒，它们很容易</w:t>
      </w:r>
      <w:r>
        <w:rPr>
          <w:rFonts w:hint="eastAsia"/>
          <w:color w:val="auto"/>
          <w:lang w:bidi="ar"/>
        </w:rPr>
        <w:t>地</w:t>
      </w:r>
      <w:r>
        <w:rPr>
          <w:color w:val="auto"/>
          <w:lang w:bidi="ar"/>
        </w:rPr>
        <w:t>通过沉淀或气浮去除。</w:t>
      </w:r>
    </w:p>
    <w:p w14:paraId="4D600BC0">
      <w:pPr>
        <w:ind w:firstLine="480"/>
        <w:rPr>
          <w:color w:val="auto"/>
          <w:lang w:bidi="ar"/>
        </w:rPr>
      </w:pPr>
      <w:r>
        <w:rPr>
          <w:color w:val="auto"/>
          <w:lang w:bidi="ar"/>
        </w:rPr>
        <w:t>混凝与絮凝反应药剂：</w:t>
      </w:r>
    </w:p>
    <w:p w14:paraId="78AFB417">
      <w:pPr>
        <w:ind w:firstLine="480"/>
        <w:rPr>
          <w:color w:val="auto"/>
          <w:lang w:bidi="ar"/>
        </w:rPr>
      </w:pPr>
      <w:r>
        <w:rPr>
          <w:color w:val="auto"/>
          <w:lang w:bidi="ar"/>
        </w:rPr>
        <w:t>专用药剂可用于混凝与絮凝反应，在pH弱碱性条件下，絮凝剂可有效中和乳液中胶体表面负电荷，使胶体脱稳。絮凝药剂一般选择有机高分子絮凝剂，如PAM（聚丙烯酰胺），可有效将混凝小颗粒，通过吸附、嫁桥卷扫作用形成大颗粒物质。通过以上作用机理水体悬浮物脱稳，污水得到净化，达到排放处理要求。絮凝脱稳的pH条件根据水体中金属离子的种类含量设定。化学混凝处理会受到水中杂质的成分、浓度、pH值、碱度等因素影响，因此在进行混凝处理前需对污水进行pH调节。</w:t>
      </w:r>
    </w:p>
    <w:p w14:paraId="079CD36A">
      <w:pPr>
        <w:ind w:firstLine="482"/>
        <w:rPr>
          <w:b/>
          <w:bCs/>
          <w:color w:val="auto"/>
          <w:lang w:bidi="ar"/>
        </w:rPr>
      </w:pPr>
      <w:r>
        <w:rPr>
          <w:rFonts w:hint="eastAsia"/>
          <w:b/>
          <w:bCs/>
          <w:color w:val="auto"/>
          <w:lang w:bidi="ar"/>
        </w:rPr>
        <w:t>2、工艺构筑物</w:t>
      </w:r>
    </w:p>
    <w:p w14:paraId="26674321">
      <w:pPr>
        <w:ind w:firstLine="482"/>
        <w:rPr>
          <w:b/>
          <w:bCs/>
          <w:color w:val="auto"/>
          <w:lang w:bidi="ar"/>
        </w:rPr>
      </w:pPr>
      <w:r>
        <w:rPr>
          <w:rFonts w:hint="eastAsia"/>
          <w:b/>
          <w:bCs/>
          <w:color w:val="auto"/>
          <w:lang w:bidi="ar"/>
        </w:rPr>
        <w:t>（1）封孔废水预处理系统</w:t>
      </w:r>
    </w:p>
    <w:p w14:paraId="6287169D">
      <w:pPr>
        <w:ind w:firstLine="480"/>
        <w:rPr>
          <w:color w:val="auto"/>
          <w:lang w:bidi="ar"/>
        </w:rPr>
      </w:pPr>
      <w:r>
        <w:rPr>
          <w:rFonts w:hint="eastAsia"/>
          <w:color w:val="auto"/>
          <w:lang w:bidi="ar"/>
        </w:rPr>
        <w:t>封孔废水调节池尺寸：9900mm×5500mm×4600mm，停留时间为24.2h，有效容积为121m</w:t>
      </w:r>
      <w:r>
        <w:rPr>
          <w:rFonts w:hint="eastAsia"/>
          <w:color w:val="auto"/>
          <w:vertAlign w:val="superscript"/>
          <w:lang w:bidi="ar"/>
        </w:rPr>
        <w:t>3</w:t>
      </w:r>
      <w:r>
        <w:rPr>
          <w:rFonts w:hint="eastAsia"/>
          <w:color w:val="auto"/>
          <w:lang w:bidi="ar"/>
        </w:rPr>
        <w:t>，钢筋混凝土，地埋+防腐；</w:t>
      </w:r>
    </w:p>
    <w:p w14:paraId="737B65C4">
      <w:pPr>
        <w:ind w:firstLine="482"/>
        <w:rPr>
          <w:color w:val="auto"/>
          <w:lang w:bidi="ar"/>
        </w:rPr>
      </w:pPr>
      <w:r>
        <w:rPr>
          <w:rFonts w:hint="eastAsia"/>
          <w:b/>
          <w:bCs/>
          <w:color w:val="auto"/>
          <w:lang w:bidi="ar"/>
        </w:rPr>
        <w:t>混凝反应池尺寸：</w:t>
      </w:r>
      <w:r>
        <w:rPr>
          <w:rFonts w:hint="eastAsia"/>
          <w:color w:val="auto"/>
          <w:lang w:bidi="ar"/>
        </w:rPr>
        <w:t>1500mm×1500mm×5000mm，停留时间为96min，有效容积为8m</w:t>
      </w:r>
      <w:r>
        <w:rPr>
          <w:rFonts w:hint="eastAsia"/>
          <w:color w:val="auto"/>
          <w:vertAlign w:val="superscript"/>
          <w:lang w:bidi="ar"/>
        </w:rPr>
        <w:t>3</w:t>
      </w:r>
      <w:r>
        <w:rPr>
          <w:rFonts w:hint="eastAsia"/>
          <w:color w:val="auto"/>
          <w:lang w:bidi="ar"/>
        </w:rPr>
        <w:t>，钢筋混凝土，半地埋+防腐；</w:t>
      </w:r>
    </w:p>
    <w:p w14:paraId="5FFBFD26">
      <w:pPr>
        <w:ind w:firstLine="482"/>
        <w:rPr>
          <w:color w:val="auto"/>
          <w:lang w:bidi="ar"/>
        </w:rPr>
      </w:pPr>
      <w:r>
        <w:rPr>
          <w:rFonts w:hint="eastAsia"/>
          <w:b/>
          <w:bCs/>
          <w:color w:val="auto"/>
          <w:lang w:bidi="ar"/>
        </w:rPr>
        <w:t>沉淀池尺寸：</w:t>
      </w:r>
      <w:r>
        <w:rPr>
          <w:rFonts w:hint="eastAsia"/>
          <w:color w:val="auto"/>
          <w:lang w:bidi="ar"/>
        </w:rPr>
        <w:t>6000mm×1500mm×5000mm，表面负荷：0.67m</w:t>
      </w:r>
      <w:r>
        <w:rPr>
          <w:rFonts w:hint="eastAsia"/>
          <w:color w:val="auto"/>
          <w:vertAlign w:val="superscript"/>
          <w:lang w:bidi="ar"/>
        </w:rPr>
        <w:t>3</w:t>
      </w:r>
      <w:r>
        <w:rPr>
          <w:rFonts w:hint="eastAsia"/>
          <w:color w:val="auto"/>
          <w:lang w:bidi="ar"/>
        </w:rPr>
        <w:t>/m</w:t>
      </w:r>
      <w:r>
        <w:rPr>
          <w:rFonts w:hint="eastAsia"/>
          <w:color w:val="auto"/>
          <w:vertAlign w:val="superscript"/>
          <w:lang w:bidi="ar"/>
        </w:rPr>
        <w:t>2</w:t>
      </w:r>
      <w:r>
        <w:rPr>
          <w:rFonts w:hint="eastAsia"/>
          <w:color w:val="auto"/>
          <w:lang w:bidi="ar"/>
        </w:rPr>
        <w:t>•h，有效容积为7.5m</w:t>
      </w:r>
      <w:r>
        <w:rPr>
          <w:rFonts w:hint="eastAsia"/>
          <w:color w:val="auto"/>
          <w:vertAlign w:val="superscript"/>
          <w:lang w:bidi="ar"/>
        </w:rPr>
        <w:t>3</w:t>
      </w:r>
      <w:r>
        <w:rPr>
          <w:rFonts w:hint="eastAsia"/>
          <w:color w:val="auto"/>
          <w:lang w:bidi="ar"/>
        </w:rPr>
        <w:t>，钢筋混凝土，半地埋+防腐；</w:t>
      </w:r>
    </w:p>
    <w:p w14:paraId="612B78D7">
      <w:pPr>
        <w:ind w:firstLine="482"/>
        <w:rPr>
          <w:color w:val="auto"/>
          <w:lang w:bidi="ar"/>
        </w:rPr>
      </w:pPr>
      <w:r>
        <w:rPr>
          <w:rFonts w:hint="eastAsia"/>
          <w:b/>
          <w:bCs/>
          <w:color w:val="auto"/>
          <w:lang w:bidi="ar"/>
        </w:rPr>
        <w:t>混凝反应池尺寸：</w:t>
      </w:r>
      <w:r>
        <w:rPr>
          <w:rFonts w:hint="eastAsia"/>
          <w:color w:val="auto"/>
          <w:lang w:bidi="ar"/>
        </w:rPr>
        <w:t>1500mm×1500mm×5000mm，停留时间为90min，有效容积为7.5m</w:t>
      </w:r>
      <w:r>
        <w:rPr>
          <w:rFonts w:hint="eastAsia"/>
          <w:color w:val="auto"/>
          <w:vertAlign w:val="superscript"/>
          <w:lang w:bidi="ar"/>
        </w:rPr>
        <w:t>3</w:t>
      </w:r>
      <w:r>
        <w:rPr>
          <w:rFonts w:hint="eastAsia"/>
          <w:color w:val="auto"/>
          <w:lang w:bidi="ar"/>
        </w:rPr>
        <w:t>，钢筋混凝土，半地埋+防腐；</w:t>
      </w:r>
    </w:p>
    <w:p w14:paraId="5BC7A85F">
      <w:pPr>
        <w:ind w:firstLine="482"/>
        <w:rPr>
          <w:color w:val="auto"/>
          <w:lang w:bidi="ar"/>
        </w:rPr>
      </w:pPr>
      <w:r>
        <w:rPr>
          <w:rFonts w:hint="eastAsia"/>
          <w:b/>
          <w:bCs/>
          <w:color w:val="auto"/>
          <w:lang w:bidi="ar"/>
        </w:rPr>
        <w:t>沉淀池尺寸</w:t>
      </w:r>
      <w:r>
        <w:rPr>
          <w:rFonts w:hint="eastAsia"/>
          <w:color w:val="auto"/>
          <w:lang w:bidi="ar"/>
        </w:rPr>
        <w:t>：6000mm×1500mm×5000mm，表面负荷：0.67m</w:t>
      </w:r>
      <w:r>
        <w:rPr>
          <w:rFonts w:hint="eastAsia"/>
          <w:color w:val="auto"/>
          <w:vertAlign w:val="superscript"/>
          <w:lang w:bidi="ar"/>
        </w:rPr>
        <w:t>3</w:t>
      </w:r>
      <w:r>
        <w:rPr>
          <w:rFonts w:hint="eastAsia"/>
          <w:color w:val="auto"/>
          <w:lang w:bidi="ar"/>
        </w:rPr>
        <w:t>/m</w:t>
      </w:r>
      <w:r>
        <w:rPr>
          <w:rFonts w:hint="eastAsia"/>
          <w:color w:val="auto"/>
          <w:vertAlign w:val="superscript"/>
          <w:lang w:bidi="ar"/>
        </w:rPr>
        <w:t>2</w:t>
      </w:r>
      <w:r>
        <w:rPr>
          <w:rFonts w:hint="eastAsia"/>
          <w:color w:val="auto"/>
          <w:lang w:bidi="ar"/>
        </w:rPr>
        <w:t>•h，有效容积为7.5m</w:t>
      </w:r>
      <w:r>
        <w:rPr>
          <w:rFonts w:hint="eastAsia"/>
          <w:color w:val="auto"/>
          <w:vertAlign w:val="superscript"/>
          <w:lang w:bidi="ar"/>
        </w:rPr>
        <w:t>3</w:t>
      </w:r>
      <w:r>
        <w:rPr>
          <w:rFonts w:hint="eastAsia"/>
          <w:color w:val="auto"/>
          <w:lang w:bidi="ar"/>
        </w:rPr>
        <w:t>，钢筋混凝土，半地埋+防腐；</w:t>
      </w:r>
    </w:p>
    <w:p w14:paraId="15931D4E">
      <w:pPr>
        <w:ind w:firstLine="482"/>
        <w:rPr>
          <w:color w:val="auto"/>
          <w:lang w:bidi="ar"/>
        </w:rPr>
      </w:pPr>
      <w:r>
        <w:rPr>
          <w:rFonts w:hint="eastAsia"/>
          <w:b/>
          <w:bCs/>
          <w:color w:val="auto"/>
          <w:lang w:bidi="ar"/>
        </w:rPr>
        <w:t>pH回调池尺寸：</w:t>
      </w:r>
      <w:r>
        <w:rPr>
          <w:rFonts w:hint="eastAsia"/>
          <w:color w:val="auto"/>
          <w:lang w:bidi="ar"/>
        </w:rPr>
        <w:t>1850mm×1500mm×5000mm，停留时间为108min，有效容积为9m</w:t>
      </w:r>
      <w:r>
        <w:rPr>
          <w:rFonts w:hint="eastAsia"/>
          <w:color w:val="auto"/>
          <w:vertAlign w:val="superscript"/>
          <w:lang w:bidi="ar"/>
        </w:rPr>
        <w:t>3</w:t>
      </w:r>
      <w:r>
        <w:rPr>
          <w:rFonts w:hint="eastAsia"/>
          <w:color w:val="auto"/>
          <w:lang w:bidi="ar"/>
        </w:rPr>
        <w:t>，钢筋混凝土，半地埋+防腐；</w:t>
      </w:r>
    </w:p>
    <w:p w14:paraId="47D7F62D">
      <w:pPr>
        <w:ind w:firstLine="482"/>
        <w:rPr>
          <w:color w:val="auto"/>
          <w:lang w:bidi="ar"/>
        </w:rPr>
      </w:pPr>
      <w:r>
        <w:rPr>
          <w:rFonts w:hint="eastAsia"/>
          <w:b/>
          <w:bCs/>
          <w:color w:val="auto"/>
          <w:lang w:bidi="ar"/>
        </w:rPr>
        <w:t>封孔污泥池尺寸：</w:t>
      </w:r>
      <w:r>
        <w:rPr>
          <w:rFonts w:hint="eastAsia"/>
          <w:color w:val="auto"/>
          <w:lang w:bidi="ar"/>
        </w:rPr>
        <w:t>9900mm×1500mm×4600mm，有效容积为52m</w:t>
      </w:r>
      <w:r>
        <w:rPr>
          <w:rFonts w:hint="eastAsia"/>
          <w:color w:val="auto"/>
          <w:vertAlign w:val="superscript"/>
          <w:lang w:bidi="ar"/>
        </w:rPr>
        <w:t>3</w:t>
      </w:r>
      <w:r>
        <w:rPr>
          <w:rFonts w:hint="eastAsia"/>
          <w:color w:val="auto"/>
          <w:lang w:bidi="ar"/>
        </w:rPr>
        <w:t>，钢筋混凝土，地埋+防腐。</w:t>
      </w:r>
    </w:p>
    <w:p w14:paraId="430C0912">
      <w:pPr>
        <w:ind w:firstLine="480"/>
        <w:rPr>
          <w:color w:val="auto"/>
          <w:lang w:bidi="ar"/>
        </w:rPr>
      </w:pPr>
      <w:r>
        <w:rPr>
          <w:rFonts w:hint="eastAsia"/>
          <w:color w:val="auto"/>
          <w:lang w:bidi="ar"/>
        </w:rPr>
        <w:t>配套设备有：</w:t>
      </w:r>
    </w:p>
    <w:p w14:paraId="3FC4C085">
      <w:pPr>
        <w:ind w:firstLine="480"/>
        <w:rPr>
          <w:color w:val="auto"/>
          <w:lang w:bidi="ar"/>
        </w:rPr>
      </w:pPr>
      <w:r>
        <w:rPr>
          <w:color w:val="auto"/>
          <w:lang w:bidi="ar"/>
        </w:rPr>
        <w:t>①</w:t>
      </w:r>
      <w:r>
        <w:rPr>
          <w:rFonts w:hint="eastAsia"/>
          <w:color w:val="auto"/>
          <w:lang w:bidi="ar"/>
        </w:rPr>
        <w:t>封孔废水提升泵：9m</w:t>
      </w:r>
      <w:r>
        <w:rPr>
          <w:rFonts w:hint="eastAsia"/>
          <w:color w:val="auto"/>
          <w:vertAlign w:val="superscript"/>
          <w:lang w:bidi="ar"/>
        </w:rPr>
        <w:t>3</w:t>
      </w:r>
      <w:r>
        <w:rPr>
          <w:rFonts w:hint="eastAsia"/>
          <w:color w:val="auto"/>
          <w:lang w:bidi="ar"/>
        </w:rPr>
        <w:t>/h，21m，1.5kW，过流界面304不锈钢，2台，1用1备；</w:t>
      </w:r>
    </w:p>
    <w:p w14:paraId="7A1A8501">
      <w:pPr>
        <w:ind w:firstLine="480"/>
        <w:rPr>
          <w:color w:val="auto"/>
          <w:lang w:bidi="ar"/>
        </w:rPr>
      </w:pPr>
      <w:r>
        <w:rPr>
          <w:color w:val="auto"/>
          <w:lang w:bidi="ar"/>
        </w:rPr>
        <w:t>②</w:t>
      </w:r>
      <w:r>
        <w:rPr>
          <w:rFonts w:hint="eastAsia"/>
          <w:color w:val="auto"/>
          <w:lang w:bidi="ar"/>
        </w:rPr>
        <w:t>引水罐：PP罐，1台；</w:t>
      </w:r>
    </w:p>
    <w:p w14:paraId="666D7DA2">
      <w:pPr>
        <w:ind w:firstLine="480"/>
        <w:rPr>
          <w:color w:val="auto"/>
          <w:lang w:bidi="ar"/>
        </w:rPr>
      </w:pPr>
      <w:r>
        <w:rPr>
          <w:color w:val="auto"/>
          <w:lang w:bidi="ar"/>
        </w:rPr>
        <w:t>③</w:t>
      </w:r>
      <w:r>
        <w:rPr>
          <w:rFonts w:hint="eastAsia"/>
          <w:color w:val="auto"/>
          <w:lang w:bidi="ar"/>
        </w:rPr>
        <w:t>转子流量计：LZS-50，1-10m</w:t>
      </w:r>
      <w:r>
        <w:rPr>
          <w:rFonts w:hint="eastAsia"/>
          <w:color w:val="auto"/>
          <w:vertAlign w:val="superscript"/>
          <w:lang w:bidi="ar"/>
        </w:rPr>
        <w:t>3</w:t>
      </w:r>
      <w:r>
        <w:rPr>
          <w:rFonts w:hint="eastAsia"/>
          <w:color w:val="auto"/>
          <w:lang w:bidi="ar"/>
        </w:rPr>
        <w:t>/h，1台；</w:t>
      </w:r>
    </w:p>
    <w:p w14:paraId="11799CE0">
      <w:pPr>
        <w:ind w:firstLine="480"/>
        <w:rPr>
          <w:color w:val="auto"/>
          <w:lang w:bidi="ar"/>
        </w:rPr>
      </w:pPr>
      <w:r>
        <w:rPr>
          <w:rFonts w:hint="eastAsia"/>
          <w:color w:val="auto"/>
          <w:lang w:bidi="ar"/>
        </w:rPr>
        <w:t>④浮球液位计：电缆浮球液位开关，1套；</w:t>
      </w:r>
    </w:p>
    <w:p w14:paraId="0183FBDF">
      <w:pPr>
        <w:ind w:firstLine="480"/>
        <w:rPr>
          <w:color w:val="auto"/>
          <w:lang w:bidi="ar"/>
        </w:rPr>
      </w:pPr>
      <w:r>
        <w:rPr>
          <w:color w:val="auto"/>
          <w:lang w:bidi="ar"/>
        </w:rPr>
        <w:t>⑤</w:t>
      </w:r>
      <w:r>
        <w:rPr>
          <w:rFonts w:hint="eastAsia"/>
          <w:color w:val="auto"/>
          <w:lang w:bidi="ar"/>
        </w:rPr>
        <w:t>封孔废水调节池空气搅拌系统：UPVC，1台；</w:t>
      </w:r>
    </w:p>
    <w:p w14:paraId="3F6239DB">
      <w:pPr>
        <w:ind w:firstLine="480"/>
        <w:rPr>
          <w:color w:val="auto"/>
          <w:lang w:bidi="ar"/>
        </w:rPr>
      </w:pPr>
      <w:r>
        <w:rPr>
          <w:rFonts w:hint="eastAsia"/>
          <w:color w:val="auto"/>
          <w:lang w:bidi="ar"/>
        </w:rPr>
        <w:t>⑥pH控制器：BETTER，含pH探头，pH检测范围值0~14，pH精度0.01，3台；</w:t>
      </w:r>
    </w:p>
    <w:p w14:paraId="365267F8">
      <w:pPr>
        <w:ind w:firstLine="480"/>
        <w:rPr>
          <w:color w:val="auto"/>
          <w:lang w:bidi="ar"/>
        </w:rPr>
      </w:pPr>
      <w:r>
        <w:rPr>
          <w:color w:val="auto"/>
          <w:lang w:bidi="ar"/>
        </w:rPr>
        <w:t>⑦</w:t>
      </w:r>
      <w:r>
        <w:rPr>
          <w:rFonts w:hint="eastAsia"/>
          <w:color w:val="auto"/>
          <w:lang w:bidi="ar"/>
        </w:rPr>
        <w:t>加药电泵阀：UPVC，DN25，活接球阀，开关型，9台；</w:t>
      </w:r>
    </w:p>
    <w:p w14:paraId="126B5922">
      <w:pPr>
        <w:ind w:firstLine="480"/>
        <w:rPr>
          <w:color w:val="auto"/>
          <w:lang w:bidi="ar"/>
        </w:rPr>
      </w:pPr>
      <w:r>
        <w:rPr>
          <w:color w:val="auto"/>
          <w:lang w:bidi="ar"/>
        </w:rPr>
        <w:t>⑧</w:t>
      </w:r>
      <w:r>
        <w:rPr>
          <w:rFonts w:hint="eastAsia"/>
          <w:color w:val="auto"/>
          <w:lang w:bidi="ar"/>
        </w:rPr>
        <w:t>转子流量计：LZS-25，100—1000L/h，9台；</w:t>
      </w:r>
    </w:p>
    <w:p w14:paraId="3B471E21">
      <w:pPr>
        <w:ind w:firstLine="480"/>
        <w:rPr>
          <w:color w:val="auto"/>
          <w:lang w:bidi="ar"/>
        </w:rPr>
      </w:pPr>
      <w:r>
        <w:rPr>
          <w:rFonts w:hint="eastAsia"/>
          <w:color w:val="auto"/>
          <w:lang w:bidi="ar"/>
        </w:rPr>
        <w:t>⑨反应池空气搅拌系统：UPVC，8套；</w:t>
      </w:r>
    </w:p>
    <w:p w14:paraId="325BBB58">
      <w:pPr>
        <w:ind w:firstLine="480"/>
        <w:rPr>
          <w:color w:val="auto"/>
          <w:lang w:bidi="ar"/>
        </w:rPr>
      </w:pPr>
      <w:r>
        <w:rPr>
          <w:color w:val="auto"/>
          <w:lang w:bidi="ar"/>
        </w:rPr>
        <w:t>⑩</w:t>
      </w:r>
      <w:r>
        <w:rPr>
          <w:rFonts w:hint="eastAsia"/>
          <w:color w:val="auto"/>
          <w:lang w:bidi="ar"/>
        </w:rPr>
        <w:t>反应搅拌机：1.1kW，304不锈钢叶片，2套；</w:t>
      </w:r>
    </w:p>
    <w:p w14:paraId="042EF344">
      <w:pPr>
        <w:ind w:firstLine="480"/>
        <w:rPr>
          <w:color w:val="auto"/>
          <w:lang w:bidi="ar"/>
        </w:rPr>
      </w:pPr>
      <w:r>
        <w:rPr>
          <w:color w:val="auto"/>
          <w:lang w:bidi="ar"/>
        </w:rPr>
        <w:t>⑪</w:t>
      </w:r>
      <w:r>
        <w:rPr>
          <w:rFonts w:hint="eastAsia"/>
          <w:color w:val="auto"/>
          <w:lang w:bidi="ar"/>
        </w:rPr>
        <w:t>溢流堰：304不锈钢，3m；</w:t>
      </w:r>
    </w:p>
    <w:p w14:paraId="18373872">
      <w:pPr>
        <w:ind w:firstLine="480"/>
        <w:rPr>
          <w:color w:val="auto"/>
          <w:lang w:bidi="ar"/>
        </w:rPr>
      </w:pPr>
      <w:r>
        <w:rPr>
          <w:color w:val="auto"/>
          <w:lang w:bidi="ar"/>
        </w:rPr>
        <w:t>⑫</w:t>
      </w:r>
      <w:r>
        <w:rPr>
          <w:rFonts w:hint="eastAsia"/>
          <w:color w:val="auto"/>
          <w:lang w:bidi="ar"/>
        </w:rPr>
        <w:t>排泥电动阀：UPVC，DN100，对夹式蝶阀，开关型，4台。</w:t>
      </w:r>
    </w:p>
    <w:p w14:paraId="197D1E7F">
      <w:pPr>
        <w:ind w:firstLine="482"/>
        <w:rPr>
          <w:b/>
          <w:bCs/>
          <w:color w:val="auto"/>
          <w:lang w:bidi="ar"/>
        </w:rPr>
      </w:pPr>
      <w:r>
        <w:rPr>
          <w:rFonts w:hint="eastAsia"/>
          <w:b/>
          <w:bCs/>
          <w:color w:val="auto"/>
          <w:lang w:bidi="ar"/>
        </w:rPr>
        <w:t>（2）综合废水处理系统</w:t>
      </w:r>
    </w:p>
    <w:p w14:paraId="7007A0A3">
      <w:pPr>
        <w:ind w:firstLine="482"/>
        <w:rPr>
          <w:color w:val="auto"/>
          <w:lang w:bidi="ar"/>
        </w:rPr>
      </w:pPr>
      <w:r>
        <w:rPr>
          <w:rFonts w:hint="eastAsia"/>
          <w:b/>
          <w:bCs/>
          <w:color w:val="auto"/>
          <w:lang w:bidi="ar"/>
        </w:rPr>
        <w:t>综合废水调节池尺寸：</w:t>
      </w:r>
      <w:r>
        <w:rPr>
          <w:rFonts w:hint="eastAsia"/>
          <w:color w:val="auto"/>
          <w:lang w:bidi="ar"/>
        </w:rPr>
        <w:t>16000mm×9900mm×4600mm，停留时间为26.1h，有效容积为555m</w:t>
      </w:r>
      <w:r>
        <w:rPr>
          <w:rFonts w:hint="eastAsia"/>
          <w:color w:val="auto"/>
          <w:vertAlign w:val="superscript"/>
          <w:lang w:bidi="ar"/>
        </w:rPr>
        <w:t>3</w:t>
      </w:r>
      <w:r>
        <w:rPr>
          <w:rFonts w:hint="eastAsia"/>
          <w:color w:val="auto"/>
          <w:lang w:bidi="ar"/>
        </w:rPr>
        <w:t>，钢筋混凝土，地埋+防腐；</w:t>
      </w:r>
    </w:p>
    <w:p w14:paraId="6FAA7763">
      <w:pPr>
        <w:ind w:firstLine="482"/>
        <w:rPr>
          <w:color w:val="auto"/>
          <w:lang w:bidi="ar"/>
        </w:rPr>
      </w:pPr>
      <w:r>
        <w:rPr>
          <w:rFonts w:hint="eastAsia"/>
          <w:b/>
          <w:bCs/>
          <w:color w:val="auto"/>
          <w:lang w:bidi="ar"/>
        </w:rPr>
        <w:t>混凝反应池尺寸：</w:t>
      </w:r>
      <w:r>
        <w:rPr>
          <w:rFonts w:hint="eastAsia"/>
          <w:color w:val="auto"/>
          <w:lang w:bidi="ar"/>
        </w:rPr>
        <w:t>5500mm×5150mm×5000mm，停留时间为82min，有效容积为124m</w:t>
      </w:r>
      <w:r>
        <w:rPr>
          <w:rFonts w:hint="eastAsia"/>
          <w:color w:val="auto"/>
          <w:vertAlign w:val="superscript"/>
          <w:lang w:bidi="ar"/>
        </w:rPr>
        <w:t>3</w:t>
      </w:r>
      <w:r>
        <w:rPr>
          <w:rFonts w:hint="eastAsia"/>
          <w:color w:val="auto"/>
          <w:lang w:bidi="ar"/>
        </w:rPr>
        <w:t>，钢筋混凝土，半地埋+防腐；</w:t>
      </w:r>
    </w:p>
    <w:p w14:paraId="79B2F9A3">
      <w:pPr>
        <w:ind w:firstLine="482"/>
        <w:rPr>
          <w:color w:val="auto"/>
          <w:lang w:bidi="ar"/>
        </w:rPr>
      </w:pPr>
      <w:r>
        <w:rPr>
          <w:rFonts w:hint="eastAsia"/>
          <w:b/>
          <w:bCs/>
          <w:color w:val="auto"/>
          <w:lang w:bidi="ar"/>
        </w:rPr>
        <w:t>沉淀池尺寸：</w:t>
      </w:r>
      <w:r>
        <w:rPr>
          <w:rFonts w:hint="eastAsia"/>
          <w:color w:val="auto"/>
          <w:lang w:bidi="ar"/>
        </w:rPr>
        <w:t>19000mm×5500mm×5000mm，表面负荷：0.91m</w:t>
      </w:r>
      <w:r>
        <w:rPr>
          <w:rFonts w:hint="eastAsia"/>
          <w:color w:val="auto"/>
          <w:vertAlign w:val="superscript"/>
          <w:lang w:bidi="ar"/>
        </w:rPr>
        <w:t>3</w:t>
      </w:r>
      <w:r>
        <w:rPr>
          <w:rFonts w:hint="eastAsia"/>
          <w:color w:val="auto"/>
          <w:lang w:bidi="ar"/>
        </w:rPr>
        <w:t>/m</w:t>
      </w:r>
      <w:r>
        <w:rPr>
          <w:rFonts w:hint="eastAsia"/>
          <w:color w:val="auto"/>
          <w:vertAlign w:val="superscript"/>
          <w:lang w:bidi="ar"/>
        </w:rPr>
        <w:t>2</w:t>
      </w:r>
      <w:r>
        <w:rPr>
          <w:rFonts w:hint="eastAsia"/>
          <w:color w:val="auto"/>
          <w:lang w:bidi="ar"/>
        </w:rPr>
        <w:t>•h，有效容积为99m</w:t>
      </w:r>
      <w:r>
        <w:rPr>
          <w:rFonts w:hint="eastAsia"/>
          <w:color w:val="auto"/>
          <w:vertAlign w:val="superscript"/>
          <w:lang w:bidi="ar"/>
        </w:rPr>
        <w:t>3</w:t>
      </w:r>
      <w:r>
        <w:rPr>
          <w:rFonts w:hint="eastAsia"/>
          <w:color w:val="auto"/>
          <w:lang w:bidi="ar"/>
        </w:rPr>
        <w:t>，钢筋混凝土，半地埋+防腐；</w:t>
      </w:r>
    </w:p>
    <w:p w14:paraId="621FD8F9">
      <w:pPr>
        <w:ind w:firstLine="482"/>
        <w:rPr>
          <w:color w:val="auto"/>
          <w:lang w:bidi="ar"/>
        </w:rPr>
      </w:pPr>
      <w:r>
        <w:rPr>
          <w:rFonts w:hint="eastAsia"/>
          <w:b/>
          <w:bCs/>
          <w:color w:val="auto"/>
          <w:lang w:bidi="ar"/>
        </w:rPr>
        <w:t>清水排放池尺寸：</w:t>
      </w:r>
      <w:r>
        <w:rPr>
          <w:rFonts w:hint="eastAsia"/>
          <w:color w:val="auto"/>
          <w:lang w:bidi="ar"/>
        </w:rPr>
        <w:t>6150mm×1500mm×5000mm，停留时间为26min，有效容积为40m</w:t>
      </w:r>
      <w:r>
        <w:rPr>
          <w:rFonts w:hint="eastAsia"/>
          <w:color w:val="auto"/>
          <w:vertAlign w:val="superscript"/>
          <w:lang w:bidi="ar"/>
        </w:rPr>
        <w:t>3</w:t>
      </w:r>
      <w:r>
        <w:rPr>
          <w:rFonts w:hint="eastAsia"/>
          <w:color w:val="auto"/>
          <w:lang w:bidi="ar"/>
        </w:rPr>
        <w:t>，钢筋混凝土，半地埋+防腐；</w:t>
      </w:r>
    </w:p>
    <w:p w14:paraId="7AD3C4E9">
      <w:pPr>
        <w:ind w:firstLine="482"/>
        <w:rPr>
          <w:color w:val="auto"/>
          <w:lang w:bidi="ar"/>
        </w:rPr>
      </w:pPr>
      <w:r>
        <w:rPr>
          <w:rFonts w:hint="eastAsia"/>
          <w:b/>
          <w:bCs/>
          <w:color w:val="auto"/>
          <w:lang w:bidi="ar"/>
        </w:rPr>
        <w:t>综合污泥池尺寸</w:t>
      </w:r>
      <w:r>
        <w:rPr>
          <w:rFonts w:hint="eastAsia"/>
          <w:color w:val="auto"/>
          <w:lang w:bidi="ar"/>
        </w:rPr>
        <w:t>：10000mm×9900mm×4600mm，有效容积为396m</w:t>
      </w:r>
      <w:r>
        <w:rPr>
          <w:rFonts w:hint="eastAsia"/>
          <w:color w:val="auto"/>
          <w:vertAlign w:val="superscript"/>
          <w:lang w:bidi="ar"/>
        </w:rPr>
        <w:t>3</w:t>
      </w:r>
      <w:r>
        <w:rPr>
          <w:rFonts w:hint="eastAsia"/>
          <w:color w:val="auto"/>
          <w:lang w:bidi="ar"/>
        </w:rPr>
        <w:t>，钢筋混凝土，半地埋+防腐。</w:t>
      </w:r>
    </w:p>
    <w:p w14:paraId="29361389">
      <w:pPr>
        <w:ind w:firstLine="482"/>
        <w:rPr>
          <w:b/>
          <w:bCs/>
          <w:color w:val="auto"/>
        </w:rPr>
      </w:pPr>
      <w:r>
        <w:rPr>
          <w:rFonts w:hint="eastAsia"/>
          <w:b/>
          <w:bCs/>
          <w:color w:val="auto"/>
        </w:rPr>
        <w:t>配套设备有：</w:t>
      </w:r>
    </w:p>
    <w:p w14:paraId="1A983009">
      <w:pPr>
        <w:ind w:firstLine="480"/>
        <w:rPr>
          <w:color w:val="auto"/>
          <w:lang w:bidi="ar"/>
        </w:rPr>
      </w:pPr>
      <w:r>
        <w:rPr>
          <w:color w:val="auto"/>
          <w:lang w:bidi="ar"/>
        </w:rPr>
        <w:t>①</w:t>
      </w:r>
      <w:r>
        <w:rPr>
          <w:rFonts w:hint="eastAsia"/>
          <w:color w:val="auto"/>
          <w:lang w:bidi="ar"/>
        </w:rPr>
        <w:t>综合废水提升泵：120m3/h，27.2m，15kW，过流界面304不锈钢，南方ZS100-80-160/15.0，2台，1用1备；</w:t>
      </w:r>
    </w:p>
    <w:p w14:paraId="5B7784C3">
      <w:pPr>
        <w:ind w:firstLine="480"/>
        <w:rPr>
          <w:color w:val="auto"/>
          <w:lang w:bidi="ar"/>
        </w:rPr>
      </w:pPr>
      <w:r>
        <w:rPr>
          <w:color w:val="auto"/>
          <w:lang w:bidi="ar"/>
        </w:rPr>
        <w:t>②引水罐：PP罐，1台；</w:t>
      </w:r>
    </w:p>
    <w:p w14:paraId="132D0F39">
      <w:pPr>
        <w:ind w:firstLine="480"/>
        <w:rPr>
          <w:color w:val="auto"/>
          <w:lang w:bidi="ar"/>
        </w:rPr>
      </w:pPr>
      <w:r>
        <w:rPr>
          <w:color w:val="auto"/>
          <w:lang w:bidi="ar"/>
        </w:rPr>
        <w:t>③</w:t>
      </w:r>
      <w:r>
        <w:rPr>
          <w:rFonts w:hint="eastAsia"/>
          <w:color w:val="auto"/>
          <w:lang w:bidi="ar"/>
        </w:rPr>
        <w:t>转子流量计：LZS-100，18-120m</w:t>
      </w:r>
      <w:r>
        <w:rPr>
          <w:rFonts w:hint="eastAsia"/>
          <w:color w:val="auto"/>
          <w:vertAlign w:val="superscript"/>
          <w:lang w:bidi="ar"/>
        </w:rPr>
        <w:t>3</w:t>
      </w:r>
      <w:r>
        <w:rPr>
          <w:rFonts w:hint="eastAsia"/>
          <w:color w:val="auto"/>
          <w:lang w:bidi="ar"/>
        </w:rPr>
        <w:t>/h，1台；</w:t>
      </w:r>
    </w:p>
    <w:p w14:paraId="42ADC424">
      <w:pPr>
        <w:ind w:firstLine="480"/>
        <w:rPr>
          <w:color w:val="auto"/>
          <w:lang w:bidi="ar"/>
        </w:rPr>
      </w:pPr>
      <w:r>
        <w:rPr>
          <w:rFonts w:hint="eastAsia"/>
          <w:color w:val="auto"/>
          <w:lang w:bidi="ar"/>
        </w:rPr>
        <w:t>④浮球液位计：电缆浮球液位开关，1套；</w:t>
      </w:r>
    </w:p>
    <w:p w14:paraId="1F4A6907">
      <w:pPr>
        <w:ind w:firstLine="480"/>
        <w:rPr>
          <w:color w:val="auto"/>
          <w:lang w:bidi="ar"/>
        </w:rPr>
      </w:pPr>
      <w:r>
        <w:rPr>
          <w:color w:val="auto"/>
          <w:lang w:bidi="ar"/>
        </w:rPr>
        <w:t>⑤</w:t>
      </w:r>
      <w:r>
        <w:rPr>
          <w:rFonts w:hint="eastAsia"/>
          <w:color w:val="auto"/>
          <w:lang w:bidi="ar"/>
        </w:rPr>
        <w:t>综合废水调节池空气搅拌系统：UPVC，1台；</w:t>
      </w:r>
    </w:p>
    <w:p w14:paraId="04AC041E">
      <w:pPr>
        <w:ind w:firstLine="480"/>
        <w:rPr>
          <w:color w:val="auto"/>
          <w:lang w:bidi="ar"/>
        </w:rPr>
      </w:pPr>
      <w:r>
        <w:rPr>
          <w:rFonts w:hint="eastAsia"/>
          <w:color w:val="auto"/>
          <w:lang w:bidi="ar"/>
        </w:rPr>
        <w:t>⑥pH控制器：BETTER，含pH探头，pH检测范围值0~14，pH精度0.01，2台；</w:t>
      </w:r>
    </w:p>
    <w:p w14:paraId="5626ACD1">
      <w:pPr>
        <w:ind w:firstLine="480"/>
        <w:rPr>
          <w:color w:val="auto"/>
          <w:lang w:bidi="ar"/>
        </w:rPr>
      </w:pPr>
      <w:r>
        <w:rPr>
          <w:color w:val="auto"/>
          <w:lang w:bidi="ar"/>
        </w:rPr>
        <w:t>⑦</w:t>
      </w:r>
      <w:r>
        <w:rPr>
          <w:rFonts w:hint="eastAsia"/>
          <w:color w:val="auto"/>
          <w:lang w:bidi="ar"/>
        </w:rPr>
        <w:t>加药电泵阀：UPVC，DN25，活接球阀，开关型，4台；</w:t>
      </w:r>
    </w:p>
    <w:p w14:paraId="24C0B76D">
      <w:pPr>
        <w:ind w:firstLine="480"/>
        <w:rPr>
          <w:color w:val="auto"/>
          <w:lang w:bidi="ar"/>
        </w:rPr>
      </w:pPr>
      <w:r>
        <w:rPr>
          <w:color w:val="auto"/>
          <w:lang w:bidi="ar"/>
        </w:rPr>
        <w:t>⑧</w:t>
      </w:r>
      <w:r>
        <w:rPr>
          <w:rFonts w:hint="eastAsia"/>
          <w:color w:val="auto"/>
          <w:lang w:bidi="ar"/>
        </w:rPr>
        <w:t>转子流量计：LZS-25，160—1600L/h，4台；</w:t>
      </w:r>
    </w:p>
    <w:p w14:paraId="1049A0D9">
      <w:pPr>
        <w:ind w:firstLine="480"/>
        <w:rPr>
          <w:color w:val="auto"/>
          <w:lang w:bidi="ar"/>
        </w:rPr>
      </w:pPr>
      <w:r>
        <w:rPr>
          <w:rFonts w:hint="eastAsia"/>
          <w:color w:val="auto"/>
          <w:lang w:bidi="ar"/>
        </w:rPr>
        <w:t>⑨反应池空气搅拌系统：UPVC，3套；</w:t>
      </w:r>
    </w:p>
    <w:p w14:paraId="73AC6CE9">
      <w:pPr>
        <w:ind w:firstLine="480"/>
        <w:rPr>
          <w:color w:val="auto"/>
          <w:lang w:bidi="ar"/>
        </w:rPr>
      </w:pPr>
      <w:r>
        <w:rPr>
          <w:color w:val="auto"/>
          <w:lang w:bidi="ar"/>
        </w:rPr>
        <w:t>⑩</w:t>
      </w:r>
      <w:r>
        <w:rPr>
          <w:rFonts w:hint="eastAsia"/>
          <w:color w:val="auto"/>
          <w:lang w:bidi="ar"/>
        </w:rPr>
        <w:t>反应搅拌机：3.0kW，304不锈钢叶片，1套；</w:t>
      </w:r>
    </w:p>
    <w:p w14:paraId="38DB1CCF">
      <w:pPr>
        <w:ind w:firstLine="480"/>
        <w:rPr>
          <w:color w:val="auto"/>
          <w:lang w:bidi="ar"/>
        </w:rPr>
      </w:pPr>
      <w:r>
        <w:rPr>
          <w:color w:val="auto"/>
          <w:lang w:bidi="ar"/>
        </w:rPr>
        <w:t>⑪</w:t>
      </w:r>
      <w:r>
        <w:rPr>
          <w:rFonts w:hint="eastAsia"/>
          <w:color w:val="auto"/>
          <w:lang w:bidi="ar"/>
        </w:rPr>
        <w:t>溢流堰：304不锈钢，10m；</w:t>
      </w:r>
    </w:p>
    <w:p w14:paraId="48ECF5E9">
      <w:pPr>
        <w:ind w:firstLine="480"/>
        <w:rPr>
          <w:color w:val="auto"/>
          <w:lang w:bidi="ar"/>
        </w:rPr>
      </w:pPr>
      <w:r>
        <w:rPr>
          <w:color w:val="auto"/>
          <w:lang w:bidi="ar"/>
        </w:rPr>
        <w:t>⑫</w:t>
      </w:r>
      <w:r>
        <w:rPr>
          <w:rFonts w:hint="eastAsia"/>
          <w:color w:val="auto"/>
          <w:lang w:bidi="ar"/>
        </w:rPr>
        <w:t>排泥电动阀：UPVC，DN100，对夹式蝶阀，开关型，7台。</w:t>
      </w:r>
    </w:p>
    <w:p w14:paraId="45A2B4C6">
      <w:pPr>
        <w:numPr>
          <w:ilvl w:val="0"/>
          <w:numId w:val="22"/>
        </w:numPr>
        <w:ind w:firstLine="482"/>
        <w:rPr>
          <w:b/>
          <w:bCs/>
          <w:color w:val="auto"/>
          <w:lang w:bidi="ar"/>
        </w:rPr>
      </w:pPr>
      <w:r>
        <w:rPr>
          <w:rFonts w:hint="eastAsia"/>
          <w:b/>
          <w:bCs/>
          <w:color w:val="auto"/>
          <w:lang w:bidi="ar"/>
        </w:rPr>
        <w:t>封孔废液收集系统</w:t>
      </w:r>
    </w:p>
    <w:p w14:paraId="0DFDF490">
      <w:pPr>
        <w:ind w:firstLine="480"/>
        <w:rPr>
          <w:color w:val="auto"/>
          <w:lang w:bidi="ar"/>
        </w:rPr>
      </w:pPr>
      <w:r>
        <w:rPr>
          <w:rFonts w:hint="eastAsia"/>
          <w:color w:val="auto"/>
          <w:lang w:bidi="ar"/>
        </w:rPr>
        <w:t>封孔废液水收集池</w:t>
      </w:r>
      <w:r>
        <w:rPr>
          <w:color w:val="auto"/>
          <w:lang w:bidi="ar"/>
        </w:rPr>
        <w:t>尺寸</w:t>
      </w:r>
      <w:r>
        <w:rPr>
          <w:rFonts w:hint="eastAsia"/>
          <w:color w:val="auto"/>
          <w:lang w:bidi="ar"/>
        </w:rPr>
        <w:t>：99</w:t>
      </w:r>
      <w:r>
        <w:rPr>
          <w:color w:val="auto"/>
          <w:lang w:bidi="ar"/>
        </w:rPr>
        <w:t>00mm×</w:t>
      </w:r>
      <w:r>
        <w:rPr>
          <w:rFonts w:hint="eastAsia"/>
          <w:color w:val="auto"/>
          <w:lang w:bidi="ar"/>
        </w:rPr>
        <w:t>65</w:t>
      </w:r>
      <w:r>
        <w:rPr>
          <w:color w:val="auto"/>
          <w:lang w:bidi="ar"/>
        </w:rPr>
        <w:t>00mm×4600mm，有效容积为</w:t>
      </w:r>
      <w:r>
        <w:rPr>
          <w:rFonts w:hint="eastAsia"/>
          <w:color w:val="auto"/>
          <w:lang w:bidi="ar"/>
        </w:rPr>
        <w:t>22</w:t>
      </w:r>
      <w:r>
        <w:rPr>
          <w:color w:val="auto"/>
          <w:lang w:bidi="ar"/>
        </w:rPr>
        <w:t>5m</w:t>
      </w:r>
      <w:r>
        <w:rPr>
          <w:color w:val="auto"/>
          <w:vertAlign w:val="superscript"/>
          <w:lang w:bidi="ar"/>
        </w:rPr>
        <w:t>3</w:t>
      </w:r>
      <w:r>
        <w:rPr>
          <w:color w:val="auto"/>
          <w:lang w:bidi="ar"/>
        </w:rPr>
        <w:t>，钢筋混凝土，地埋+防腐；</w:t>
      </w:r>
    </w:p>
    <w:p w14:paraId="629BE99D">
      <w:pPr>
        <w:ind w:firstLine="482"/>
        <w:rPr>
          <w:b/>
          <w:bCs/>
          <w:color w:val="auto"/>
          <w:lang w:bidi="ar"/>
        </w:rPr>
      </w:pPr>
      <w:r>
        <w:rPr>
          <w:rFonts w:hint="eastAsia"/>
          <w:b/>
          <w:bCs/>
          <w:color w:val="auto"/>
          <w:lang w:bidi="ar"/>
        </w:rPr>
        <w:t>配套设备有：</w:t>
      </w:r>
    </w:p>
    <w:p w14:paraId="125E19CF">
      <w:pPr>
        <w:ind w:firstLine="480"/>
        <w:rPr>
          <w:color w:val="auto"/>
          <w:lang w:bidi="ar"/>
        </w:rPr>
      </w:pPr>
      <w:r>
        <w:rPr>
          <w:color w:val="auto"/>
          <w:lang w:bidi="ar"/>
        </w:rPr>
        <w:t>①</w:t>
      </w:r>
      <w:r>
        <w:rPr>
          <w:rFonts w:hint="eastAsia"/>
          <w:color w:val="auto"/>
          <w:lang w:bidi="ar"/>
        </w:rPr>
        <w:t>封孔废液提升泵：12.5m</w:t>
      </w:r>
      <w:r>
        <w:rPr>
          <w:rFonts w:hint="eastAsia"/>
          <w:color w:val="auto"/>
          <w:vertAlign w:val="superscript"/>
          <w:lang w:bidi="ar"/>
        </w:rPr>
        <w:t>3</w:t>
      </w:r>
      <w:r>
        <w:rPr>
          <w:rFonts w:hint="eastAsia"/>
          <w:color w:val="auto"/>
          <w:lang w:bidi="ar"/>
        </w:rPr>
        <w:t>/h，16.4m，1.1kW，过流界面304不锈钢，南方ZS100-80-160/15.0，2台，1用1备；</w:t>
      </w:r>
    </w:p>
    <w:p w14:paraId="3F10D1A6">
      <w:pPr>
        <w:ind w:firstLine="480"/>
        <w:rPr>
          <w:color w:val="auto"/>
          <w:lang w:bidi="ar"/>
        </w:rPr>
      </w:pPr>
      <w:r>
        <w:rPr>
          <w:color w:val="auto"/>
          <w:lang w:bidi="ar"/>
        </w:rPr>
        <w:t>②引水罐：PP罐，1台；</w:t>
      </w:r>
    </w:p>
    <w:p w14:paraId="034790AB">
      <w:pPr>
        <w:ind w:firstLine="480"/>
        <w:rPr>
          <w:color w:val="auto"/>
          <w:lang w:bidi="ar"/>
        </w:rPr>
      </w:pPr>
      <w:r>
        <w:rPr>
          <w:color w:val="auto"/>
          <w:lang w:bidi="ar"/>
        </w:rPr>
        <w:t>③</w:t>
      </w:r>
      <w:r>
        <w:rPr>
          <w:rFonts w:hint="eastAsia"/>
          <w:color w:val="auto"/>
          <w:lang w:bidi="ar"/>
        </w:rPr>
        <w:t>转子流量计：LZS-50，1.6-16m</w:t>
      </w:r>
      <w:r>
        <w:rPr>
          <w:rFonts w:hint="eastAsia"/>
          <w:color w:val="auto"/>
          <w:vertAlign w:val="superscript"/>
          <w:lang w:bidi="ar"/>
        </w:rPr>
        <w:t>3</w:t>
      </w:r>
      <w:r>
        <w:rPr>
          <w:rFonts w:hint="eastAsia"/>
          <w:color w:val="auto"/>
          <w:lang w:bidi="ar"/>
        </w:rPr>
        <w:t>/h，1台；</w:t>
      </w:r>
    </w:p>
    <w:p w14:paraId="6B85AEE9">
      <w:pPr>
        <w:ind w:firstLine="480"/>
        <w:rPr>
          <w:color w:val="auto"/>
          <w:lang w:bidi="ar"/>
        </w:rPr>
      </w:pPr>
      <w:r>
        <w:rPr>
          <w:rFonts w:hint="eastAsia"/>
          <w:color w:val="auto"/>
          <w:lang w:bidi="ar"/>
        </w:rPr>
        <w:t>④浮球液位计：电缆浮球液位开关，1套。</w:t>
      </w:r>
    </w:p>
    <w:p w14:paraId="029402BB">
      <w:pPr>
        <w:numPr>
          <w:ilvl w:val="0"/>
          <w:numId w:val="22"/>
        </w:numPr>
        <w:ind w:firstLine="482"/>
        <w:rPr>
          <w:b/>
          <w:bCs/>
          <w:color w:val="auto"/>
          <w:lang w:bidi="ar"/>
        </w:rPr>
      </w:pPr>
      <w:r>
        <w:rPr>
          <w:rFonts w:hint="eastAsia"/>
          <w:b/>
          <w:bCs/>
          <w:color w:val="auto"/>
          <w:lang w:bidi="ar"/>
        </w:rPr>
        <w:t>酸性废液收集系统</w:t>
      </w:r>
    </w:p>
    <w:p w14:paraId="03398180">
      <w:pPr>
        <w:ind w:firstLine="480"/>
        <w:rPr>
          <w:color w:val="auto"/>
          <w:lang w:bidi="ar"/>
        </w:rPr>
      </w:pPr>
      <w:r>
        <w:rPr>
          <w:rFonts w:hint="eastAsia"/>
          <w:color w:val="auto"/>
          <w:lang w:bidi="ar"/>
        </w:rPr>
        <w:t>酸性废液收集池</w:t>
      </w:r>
      <w:r>
        <w:rPr>
          <w:color w:val="auto"/>
          <w:lang w:bidi="ar"/>
        </w:rPr>
        <w:t>尺寸</w:t>
      </w:r>
      <w:r>
        <w:rPr>
          <w:rFonts w:hint="eastAsia"/>
          <w:color w:val="auto"/>
          <w:lang w:bidi="ar"/>
        </w:rPr>
        <w:t>：99</w:t>
      </w:r>
      <w:r>
        <w:rPr>
          <w:color w:val="auto"/>
          <w:lang w:bidi="ar"/>
        </w:rPr>
        <w:t>00mm×</w:t>
      </w:r>
      <w:r>
        <w:rPr>
          <w:rFonts w:hint="eastAsia"/>
          <w:color w:val="auto"/>
          <w:lang w:bidi="ar"/>
        </w:rPr>
        <w:t>65</w:t>
      </w:r>
      <w:r>
        <w:rPr>
          <w:color w:val="auto"/>
          <w:lang w:bidi="ar"/>
        </w:rPr>
        <w:t>00mm×4600mm，有效容积为</w:t>
      </w:r>
      <w:r>
        <w:rPr>
          <w:rFonts w:hint="eastAsia"/>
          <w:color w:val="auto"/>
          <w:lang w:bidi="ar"/>
        </w:rPr>
        <w:t>22</w:t>
      </w:r>
      <w:r>
        <w:rPr>
          <w:color w:val="auto"/>
          <w:lang w:bidi="ar"/>
        </w:rPr>
        <w:t>5m</w:t>
      </w:r>
      <w:r>
        <w:rPr>
          <w:color w:val="auto"/>
          <w:vertAlign w:val="superscript"/>
          <w:lang w:bidi="ar"/>
        </w:rPr>
        <w:t>3</w:t>
      </w:r>
      <w:r>
        <w:rPr>
          <w:color w:val="auto"/>
          <w:lang w:bidi="ar"/>
        </w:rPr>
        <w:t>，钢筋混凝土，地埋+防腐；</w:t>
      </w:r>
    </w:p>
    <w:p w14:paraId="5029BC81">
      <w:pPr>
        <w:ind w:firstLine="482"/>
        <w:rPr>
          <w:b/>
          <w:bCs/>
          <w:color w:val="auto"/>
          <w:lang w:bidi="ar"/>
        </w:rPr>
      </w:pPr>
      <w:r>
        <w:rPr>
          <w:rFonts w:hint="eastAsia"/>
          <w:b/>
          <w:bCs/>
          <w:color w:val="auto"/>
          <w:lang w:bidi="ar"/>
        </w:rPr>
        <w:t>配套设备有：</w:t>
      </w:r>
    </w:p>
    <w:p w14:paraId="6C3189C1">
      <w:pPr>
        <w:ind w:firstLine="480"/>
        <w:rPr>
          <w:color w:val="auto"/>
          <w:lang w:bidi="ar"/>
        </w:rPr>
      </w:pPr>
      <w:r>
        <w:rPr>
          <w:color w:val="auto"/>
          <w:lang w:bidi="ar"/>
        </w:rPr>
        <w:t>①</w:t>
      </w:r>
      <w:r>
        <w:rPr>
          <w:rFonts w:hint="eastAsia"/>
          <w:color w:val="auto"/>
          <w:lang w:bidi="ar"/>
        </w:rPr>
        <w:t>酸性废液提升泵：12.5m</w:t>
      </w:r>
      <w:r>
        <w:rPr>
          <w:rFonts w:hint="eastAsia"/>
          <w:color w:val="auto"/>
          <w:vertAlign w:val="superscript"/>
          <w:lang w:bidi="ar"/>
        </w:rPr>
        <w:t>3</w:t>
      </w:r>
      <w:r>
        <w:rPr>
          <w:rFonts w:hint="eastAsia"/>
          <w:color w:val="auto"/>
          <w:lang w:bidi="ar"/>
        </w:rPr>
        <w:t>/h，20m，3.0kW，过流界面氟塑料，2台，1用1备；</w:t>
      </w:r>
    </w:p>
    <w:p w14:paraId="437EB510">
      <w:pPr>
        <w:ind w:firstLine="480"/>
        <w:rPr>
          <w:color w:val="auto"/>
          <w:lang w:bidi="ar"/>
        </w:rPr>
      </w:pPr>
      <w:r>
        <w:rPr>
          <w:color w:val="auto"/>
          <w:lang w:bidi="ar"/>
        </w:rPr>
        <w:t>②引水罐：PP罐，1台；</w:t>
      </w:r>
    </w:p>
    <w:p w14:paraId="6EF4FBB4">
      <w:pPr>
        <w:ind w:firstLine="480"/>
        <w:rPr>
          <w:color w:val="auto"/>
          <w:lang w:bidi="ar"/>
        </w:rPr>
      </w:pPr>
      <w:r>
        <w:rPr>
          <w:color w:val="auto"/>
          <w:lang w:bidi="ar"/>
        </w:rPr>
        <w:t>③</w:t>
      </w:r>
      <w:r>
        <w:rPr>
          <w:rFonts w:hint="eastAsia"/>
          <w:color w:val="auto"/>
          <w:lang w:bidi="ar"/>
        </w:rPr>
        <w:t>转子流量计：LZS-50，1.6-16m</w:t>
      </w:r>
      <w:r>
        <w:rPr>
          <w:rFonts w:hint="eastAsia"/>
          <w:color w:val="auto"/>
          <w:vertAlign w:val="superscript"/>
          <w:lang w:bidi="ar"/>
        </w:rPr>
        <w:t>3</w:t>
      </w:r>
      <w:r>
        <w:rPr>
          <w:rFonts w:hint="eastAsia"/>
          <w:color w:val="auto"/>
          <w:lang w:bidi="ar"/>
        </w:rPr>
        <w:t>/h，1台；</w:t>
      </w:r>
    </w:p>
    <w:p w14:paraId="476920E0">
      <w:pPr>
        <w:ind w:firstLine="480"/>
        <w:rPr>
          <w:color w:val="auto"/>
          <w:lang w:bidi="ar"/>
        </w:rPr>
      </w:pPr>
      <w:r>
        <w:rPr>
          <w:rFonts w:hint="eastAsia"/>
          <w:color w:val="auto"/>
          <w:lang w:bidi="ar"/>
        </w:rPr>
        <w:t>④浮球液位计：电缆浮球液位开关，1套。</w:t>
      </w:r>
    </w:p>
    <w:p w14:paraId="271F0E37">
      <w:pPr>
        <w:numPr>
          <w:ilvl w:val="0"/>
          <w:numId w:val="22"/>
        </w:numPr>
        <w:ind w:firstLine="482"/>
        <w:rPr>
          <w:b/>
          <w:bCs/>
          <w:color w:val="auto"/>
          <w:lang w:bidi="ar"/>
        </w:rPr>
      </w:pPr>
      <w:r>
        <w:rPr>
          <w:rFonts w:hint="eastAsia"/>
          <w:b/>
          <w:bCs/>
          <w:color w:val="auto"/>
          <w:lang w:bidi="ar"/>
        </w:rPr>
        <w:t>碱性废液收集系统</w:t>
      </w:r>
    </w:p>
    <w:p w14:paraId="6D71097A">
      <w:pPr>
        <w:ind w:firstLine="480"/>
        <w:rPr>
          <w:color w:val="auto"/>
          <w:lang w:bidi="ar"/>
        </w:rPr>
      </w:pPr>
      <w:r>
        <w:rPr>
          <w:rFonts w:hint="eastAsia"/>
          <w:color w:val="auto"/>
          <w:lang w:bidi="ar"/>
        </w:rPr>
        <w:t>隔油沉渣池</w:t>
      </w:r>
      <w:r>
        <w:rPr>
          <w:color w:val="auto"/>
          <w:lang w:bidi="ar"/>
        </w:rPr>
        <w:t>尺寸</w:t>
      </w:r>
      <w:r>
        <w:rPr>
          <w:rFonts w:hint="eastAsia"/>
          <w:color w:val="auto"/>
          <w:lang w:bidi="ar"/>
        </w:rPr>
        <w:t>：6425</w:t>
      </w:r>
      <w:r>
        <w:rPr>
          <w:color w:val="auto"/>
          <w:lang w:bidi="ar"/>
        </w:rPr>
        <w:t>mm×</w:t>
      </w:r>
      <w:r>
        <w:rPr>
          <w:rFonts w:hint="eastAsia"/>
          <w:color w:val="auto"/>
          <w:lang w:bidi="ar"/>
        </w:rPr>
        <w:t>10</w:t>
      </w:r>
      <w:r>
        <w:rPr>
          <w:color w:val="auto"/>
          <w:lang w:bidi="ar"/>
        </w:rPr>
        <w:t>00mm×4600mm，有效容积为</w:t>
      </w:r>
      <w:r>
        <w:rPr>
          <w:rFonts w:hint="eastAsia"/>
          <w:color w:val="auto"/>
          <w:lang w:bidi="ar"/>
        </w:rPr>
        <w:t>21</w:t>
      </w:r>
      <w:r>
        <w:rPr>
          <w:color w:val="auto"/>
          <w:lang w:bidi="ar"/>
        </w:rPr>
        <w:t>m</w:t>
      </w:r>
      <w:r>
        <w:rPr>
          <w:color w:val="auto"/>
          <w:vertAlign w:val="superscript"/>
          <w:lang w:bidi="ar"/>
        </w:rPr>
        <w:t>3</w:t>
      </w:r>
      <w:r>
        <w:rPr>
          <w:color w:val="auto"/>
          <w:lang w:bidi="ar"/>
        </w:rPr>
        <w:t>，钢筋混凝土，地埋+防腐；</w:t>
      </w:r>
    </w:p>
    <w:p w14:paraId="248581B0">
      <w:pPr>
        <w:ind w:firstLine="480"/>
        <w:rPr>
          <w:color w:val="auto"/>
          <w:lang w:bidi="ar"/>
        </w:rPr>
      </w:pPr>
      <w:r>
        <w:rPr>
          <w:rFonts w:hint="eastAsia"/>
          <w:color w:val="auto"/>
          <w:lang w:bidi="ar"/>
        </w:rPr>
        <w:t>碱性废液收集池</w:t>
      </w:r>
      <w:r>
        <w:rPr>
          <w:color w:val="auto"/>
          <w:lang w:bidi="ar"/>
        </w:rPr>
        <w:t>尺寸</w:t>
      </w:r>
      <w:r>
        <w:rPr>
          <w:rFonts w:hint="eastAsia"/>
          <w:color w:val="auto"/>
          <w:lang w:bidi="ar"/>
        </w:rPr>
        <w:t>：86</w:t>
      </w:r>
      <w:r>
        <w:rPr>
          <w:color w:val="auto"/>
          <w:lang w:bidi="ar"/>
        </w:rPr>
        <w:t>00mm×</w:t>
      </w:r>
      <w:r>
        <w:rPr>
          <w:rFonts w:hint="eastAsia"/>
          <w:color w:val="auto"/>
          <w:lang w:bidi="ar"/>
        </w:rPr>
        <w:t>6425</w:t>
      </w:r>
      <w:r>
        <w:rPr>
          <w:color w:val="auto"/>
          <w:lang w:bidi="ar"/>
        </w:rPr>
        <w:t>mm×4600mm，有效容积为</w:t>
      </w:r>
      <w:r>
        <w:rPr>
          <w:rFonts w:hint="eastAsia"/>
          <w:color w:val="auto"/>
          <w:lang w:bidi="ar"/>
        </w:rPr>
        <w:t>194</w:t>
      </w:r>
      <w:r>
        <w:rPr>
          <w:color w:val="auto"/>
          <w:lang w:bidi="ar"/>
        </w:rPr>
        <w:t>m</w:t>
      </w:r>
      <w:r>
        <w:rPr>
          <w:color w:val="auto"/>
          <w:vertAlign w:val="superscript"/>
          <w:lang w:bidi="ar"/>
        </w:rPr>
        <w:t>3</w:t>
      </w:r>
      <w:r>
        <w:rPr>
          <w:color w:val="auto"/>
          <w:lang w:bidi="ar"/>
        </w:rPr>
        <w:t>，钢筋混凝土，地埋+防腐；</w:t>
      </w:r>
    </w:p>
    <w:p w14:paraId="30CCF3DC">
      <w:pPr>
        <w:ind w:firstLine="482"/>
        <w:rPr>
          <w:b/>
          <w:bCs/>
          <w:color w:val="auto"/>
          <w:lang w:bidi="ar"/>
        </w:rPr>
      </w:pPr>
      <w:r>
        <w:rPr>
          <w:rFonts w:hint="eastAsia"/>
          <w:b/>
          <w:bCs/>
          <w:color w:val="auto"/>
          <w:lang w:bidi="ar"/>
        </w:rPr>
        <w:t>配套设备有：</w:t>
      </w:r>
    </w:p>
    <w:p w14:paraId="41B41E3B">
      <w:pPr>
        <w:ind w:firstLine="480"/>
        <w:rPr>
          <w:color w:val="auto"/>
          <w:lang w:bidi="ar"/>
        </w:rPr>
      </w:pPr>
      <w:r>
        <w:rPr>
          <w:color w:val="auto"/>
          <w:lang w:bidi="ar"/>
        </w:rPr>
        <w:t>①</w:t>
      </w:r>
      <w:r>
        <w:rPr>
          <w:rFonts w:hint="eastAsia"/>
          <w:color w:val="auto"/>
          <w:lang w:bidi="ar"/>
        </w:rPr>
        <w:t>碱性废液提升泵：12.5m</w:t>
      </w:r>
      <w:r>
        <w:rPr>
          <w:rFonts w:hint="eastAsia"/>
          <w:color w:val="auto"/>
          <w:vertAlign w:val="superscript"/>
          <w:lang w:bidi="ar"/>
        </w:rPr>
        <w:t>3</w:t>
      </w:r>
      <w:r>
        <w:rPr>
          <w:rFonts w:hint="eastAsia"/>
          <w:color w:val="auto"/>
          <w:lang w:bidi="ar"/>
        </w:rPr>
        <w:t>/h，216.4m，1.1kW，过流界面304不锈钢，2台，1用1备；</w:t>
      </w:r>
    </w:p>
    <w:p w14:paraId="35F89912">
      <w:pPr>
        <w:ind w:firstLine="480"/>
        <w:rPr>
          <w:color w:val="auto"/>
          <w:lang w:bidi="ar"/>
        </w:rPr>
      </w:pPr>
      <w:r>
        <w:rPr>
          <w:color w:val="auto"/>
          <w:lang w:bidi="ar"/>
        </w:rPr>
        <w:t>②引水罐：PP罐，1台；</w:t>
      </w:r>
    </w:p>
    <w:p w14:paraId="1D152700">
      <w:pPr>
        <w:ind w:firstLine="480"/>
        <w:rPr>
          <w:color w:val="auto"/>
          <w:lang w:bidi="ar"/>
        </w:rPr>
      </w:pPr>
      <w:r>
        <w:rPr>
          <w:color w:val="auto"/>
          <w:lang w:bidi="ar"/>
        </w:rPr>
        <w:t>③</w:t>
      </w:r>
      <w:r>
        <w:rPr>
          <w:rFonts w:hint="eastAsia"/>
          <w:color w:val="auto"/>
          <w:lang w:bidi="ar"/>
        </w:rPr>
        <w:t>转子流量计：LZS-50，1.6-16m</w:t>
      </w:r>
      <w:r>
        <w:rPr>
          <w:rFonts w:hint="eastAsia"/>
          <w:color w:val="auto"/>
          <w:vertAlign w:val="superscript"/>
          <w:lang w:bidi="ar"/>
        </w:rPr>
        <w:t>3</w:t>
      </w:r>
      <w:r>
        <w:rPr>
          <w:rFonts w:hint="eastAsia"/>
          <w:color w:val="auto"/>
          <w:lang w:bidi="ar"/>
        </w:rPr>
        <w:t>/h，1台；</w:t>
      </w:r>
    </w:p>
    <w:p w14:paraId="4F85EE36">
      <w:pPr>
        <w:ind w:firstLine="480"/>
        <w:rPr>
          <w:color w:val="auto"/>
          <w:lang w:bidi="ar"/>
        </w:rPr>
      </w:pPr>
      <w:r>
        <w:rPr>
          <w:rFonts w:hint="eastAsia"/>
          <w:color w:val="auto"/>
          <w:lang w:bidi="ar"/>
        </w:rPr>
        <w:t>④浮球液位计：电缆浮球液位开关，1套。</w:t>
      </w:r>
    </w:p>
    <w:p w14:paraId="601064D5">
      <w:pPr>
        <w:ind w:left="480" w:leftChars="200" w:firstLine="0" w:firstLineChars="0"/>
        <w:rPr>
          <w:b/>
          <w:bCs/>
          <w:color w:val="auto"/>
          <w:lang w:bidi="ar"/>
        </w:rPr>
      </w:pPr>
      <w:r>
        <w:rPr>
          <w:rFonts w:hint="eastAsia"/>
          <w:b/>
          <w:bCs/>
          <w:color w:val="auto"/>
          <w:lang w:bidi="ar"/>
        </w:rPr>
        <w:t>（6）封孔污泥处理系统</w:t>
      </w:r>
    </w:p>
    <w:p w14:paraId="6FF929B3">
      <w:pPr>
        <w:ind w:firstLine="480"/>
        <w:rPr>
          <w:color w:val="auto"/>
          <w:lang w:bidi="ar"/>
        </w:rPr>
      </w:pPr>
      <w:r>
        <w:rPr>
          <w:color w:val="auto"/>
          <w:lang w:bidi="ar"/>
        </w:rPr>
        <w:t>①</w:t>
      </w:r>
      <w:r>
        <w:rPr>
          <w:rFonts w:hint="eastAsia"/>
          <w:color w:val="auto"/>
          <w:lang w:bidi="ar"/>
        </w:rPr>
        <w:t>隔膜压滤机系统：100m</w:t>
      </w:r>
      <w:r>
        <w:rPr>
          <w:rFonts w:hint="eastAsia"/>
          <w:color w:val="auto"/>
          <w:vertAlign w:val="superscript"/>
          <w:lang w:bidi="ar"/>
        </w:rPr>
        <w:t>2</w:t>
      </w:r>
      <w:r>
        <w:rPr>
          <w:rFonts w:hint="eastAsia"/>
          <w:color w:val="auto"/>
          <w:lang w:bidi="ar"/>
        </w:rPr>
        <w:t>，自动拉板，自动保压，景津，1台；</w:t>
      </w:r>
    </w:p>
    <w:p w14:paraId="44C1AE90">
      <w:pPr>
        <w:ind w:firstLine="480"/>
        <w:rPr>
          <w:color w:val="auto"/>
          <w:lang w:bidi="ar"/>
        </w:rPr>
      </w:pPr>
      <w:r>
        <w:rPr>
          <w:color w:val="auto"/>
          <w:lang w:bidi="ar"/>
        </w:rPr>
        <w:t>②</w:t>
      </w:r>
      <w:r>
        <w:rPr>
          <w:rFonts w:hint="eastAsia"/>
          <w:color w:val="auto"/>
          <w:lang w:bidi="ar"/>
        </w:rPr>
        <w:t>导料斗：碳钢防腐，1台；</w:t>
      </w:r>
    </w:p>
    <w:p w14:paraId="5552B1F0">
      <w:pPr>
        <w:ind w:firstLine="480"/>
        <w:rPr>
          <w:color w:val="auto"/>
          <w:lang w:bidi="ar"/>
        </w:rPr>
      </w:pPr>
      <w:r>
        <w:rPr>
          <w:rFonts w:hint="eastAsia"/>
          <w:color w:val="auto"/>
          <w:lang w:bidi="ar"/>
        </w:rPr>
        <w:t>③操作平台：碳钢防腐，1台；</w:t>
      </w:r>
    </w:p>
    <w:p w14:paraId="6081260B">
      <w:pPr>
        <w:ind w:firstLine="480"/>
        <w:rPr>
          <w:color w:val="auto"/>
          <w:lang w:bidi="ar"/>
        </w:rPr>
      </w:pPr>
      <w:r>
        <w:rPr>
          <w:rFonts w:hint="eastAsia"/>
          <w:color w:val="auto"/>
          <w:lang w:bidi="ar"/>
        </w:rPr>
        <w:t>④浮球液位计：电缆浮球液位开关，1套；</w:t>
      </w:r>
    </w:p>
    <w:p w14:paraId="559D5660">
      <w:pPr>
        <w:ind w:firstLine="480"/>
        <w:rPr>
          <w:color w:val="auto"/>
          <w:lang w:bidi="ar"/>
        </w:rPr>
      </w:pPr>
      <w:r>
        <w:rPr>
          <w:color w:val="auto"/>
          <w:lang w:bidi="ar"/>
        </w:rPr>
        <w:t>⑤</w:t>
      </w:r>
      <w:r>
        <w:rPr>
          <w:rFonts w:hint="eastAsia"/>
          <w:color w:val="auto"/>
          <w:lang w:bidi="ar"/>
        </w:rPr>
        <w:t>压泥泵：30m</w:t>
      </w:r>
      <w:r>
        <w:rPr>
          <w:rFonts w:hint="eastAsia"/>
          <w:color w:val="auto"/>
          <w:vertAlign w:val="superscript"/>
          <w:lang w:bidi="ar"/>
        </w:rPr>
        <w:t>3</w:t>
      </w:r>
      <w:r>
        <w:rPr>
          <w:rFonts w:hint="eastAsia"/>
          <w:color w:val="auto"/>
          <w:lang w:bidi="ar"/>
        </w:rPr>
        <w:t>/h，22kW，陶瓷柱塞泵；2台，1用1备；</w:t>
      </w:r>
    </w:p>
    <w:p w14:paraId="10078DAD">
      <w:pPr>
        <w:ind w:firstLine="480"/>
        <w:rPr>
          <w:color w:val="auto"/>
          <w:lang w:bidi="ar"/>
        </w:rPr>
      </w:pPr>
      <w:r>
        <w:rPr>
          <w:color w:val="auto"/>
          <w:lang w:bidi="ar"/>
        </w:rPr>
        <w:t>⑥</w:t>
      </w:r>
      <w:r>
        <w:rPr>
          <w:rFonts w:hint="eastAsia"/>
          <w:color w:val="auto"/>
          <w:lang w:bidi="ar"/>
        </w:rPr>
        <w:t>电接点压力表：0~1.6/1.0Mpa，隔膜式，4分外牙，2套；</w:t>
      </w:r>
    </w:p>
    <w:p w14:paraId="0CD2CF70">
      <w:pPr>
        <w:ind w:firstLine="480"/>
        <w:rPr>
          <w:color w:val="auto"/>
          <w:lang w:bidi="ar"/>
        </w:rPr>
      </w:pPr>
      <w:r>
        <w:rPr>
          <w:color w:val="auto"/>
          <w:lang w:bidi="ar"/>
        </w:rPr>
        <w:t>⑦</w:t>
      </w:r>
      <w:r>
        <w:rPr>
          <w:rFonts w:hint="eastAsia"/>
          <w:color w:val="auto"/>
          <w:lang w:bidi="ar"/>
        </w:rPr>
        <w:t>进料电动阀：304不锈钢，DN150，对夹式蝶阀，开关型，1台；</w:t>
      </w:r>
    </w:p>
    <w:p w14:paraId="0E6CA7E6">
      <w:pPr>
        <w:ind w:firstLine="480"/>
        <w:rPr>
          <w:color w:val="auto"/>
          <w:lang w:bidi="ar"/>
        </w:rPr>
      </w:pPr>
      <w:r>
        <w:rPr>
          <w:color w:val="auto"/>
          <w:lang w:bidi="ar"/>
        </w:rPr>
        <w:t>⑧</w:t>
      </w:r>
      <w:r>
        <w:rPr>
          <w:rFonts w:hint="eastAsia"/>
          <w:color w:val="auto"/>
          <w:lang w:bidi="ar"/>
        </w:rPr>
        <w:t>增压电动阀：304不锈钢，DN150，对夹式蝶阀，开关型，1台；</w:t>
      </w:r>
    </w:p>
    <w:p w14:paraId="7971DC79">
      <w:pPr>
        <w:ind w:firstLine="480"/>
        <w:rPr>
          <w:color w:val="auto"/>
          <w:lang w:bidi="ar"/>
        </w:rPr>
      </w:pPr>
      <w:r>
        <w:rPr>
          <w:rFonts w:hint="eastAsia"/>
          <w:color w:val="auto"/>
          <w:lang w:bidi="ar"/>
        </w:rPr>
        <w:t>⑨污泥进料、压榨管网：无缝管、镀锌管，1套；</w:t>
      </w:r>
    </w:p>
    <w:p w14:paraId="2023F775">
      <w:pPr>
        <w:ind w:left="480" w:leftChars="200" w:firstLine="0" w:firstLineChars="0"/>
        <w:rPr>
          <w:b/>
          <w:bCs/>
          <w:color w:val="auto"/>
          <w:lang w:bidi="ar"/>
        </w:rPr>
      </w:pPr>
      <w:r>
        <w:rPr>
          <w:rFonts w:hint="eastAsia"/>
          <w:b/>
          <w:bCs/>
          <w:color w:val="auto"/>
          <w:lang w:bidi="ar"/>
        </w:rPr>
        <w:t>（7）综合污泥处理系统</w:t>
      </w:r>
    </w:p>
    <w:p w14:paraId="1ED913C1">
      <w:pPr>
        <w:ind w:firstLine="480"/>
        <w:rPr>
          <w:color w:val="auto"/>
          <w:lang w:bidi="ar"/>
        </w:rPr>
      </w:pPr>
      <w:r>
        <w:rPr>
          <w:color w:val="auto"/>
          <w:lang w:bidi="ar"/>
        </w:rPr>
        <w:t>①</w:t>
      </w:r>
      <w:r>
        <w:rPr>
          <w:rFonts w:hint="eastAsia"/>
          <w:color w:val="auto"/>
          <w:lang w:bidi="ar"/>
        </w:rPr>
        <w:t>隔膜压滤机系统：400m</w:t>
      </w:r>
      <w:r>
        <w:rPr>
          <w:rFonts w:hint="eastAsia"/>
          <w:color w:val="auto"/>
          <w:vertAlign w:val="superscript"/>
          <w:lang w:bidi="ar"/>
        </w:rPr>
        <w:t>2</w:t>
      </w:r>
      <w:r>
        <w:rPr>
          <w:rFonts w:hint="eastAsia"/>
          <w:color w:val="auto"/>
          <w:lang w:bidi="ar"/>
        </w:rPr>
        <w:t>，自动拉板，自动保压，景津，1台；</w:t>
      </w:r>
    </w:p>
    <w:p w14:paraId="08D79B33">
      <w:pPr>
        <w:ind w:firstLine="480"/>
        <w:rPr>
          <w:color w:val="auto"/>
          <w:lang w:bidi="ar"/>
        </w:rPr>
      </w:pPr>
      <w:r>
        <w:rPr>
          <w:color w:val="auto"/>
          <w:lang w:bidi="ar"/>
        </w:rPr>
        <w:t>②</w:t>
      </w:r>
      <w:r>
        <w:rPr>
          <w:rFonts w:hint="eastAsia"/>
          <w:color w:val="auto"/>
          <w:lang w:bidi="ar"/>
        </w:rPr>
        <w:t>导料斗：碳钢防腐，1台；</w:t>
      </w:r>
    </w:p>
    <w:p w14:paraId="52699CF6">
      <w:pPr>
        <w:ind w:firstLine="480"/>
        <w:rPr>
          <w:color w:val="auto"/>
          <w:lang w:bidi="ar"/>
        </w:rPr>
      </w:pPr>
      <w:r>
        <w:rPr>
          <w:rFonts w:hint="eastAsia"/>
          <w:color w:val="auto"/>
          <w:lang w:bidi="ar"/>
        </w:rPr>
        <w:t>③操作平台：碳钢防腐，1台；</w:t>
      </w:r>
    </w:p>
    <w:p w14:paraId="38B7745E">
      <w:pPr>
        <w:ind w:firstLine="480"/>
        <w:rPr>
          <w:color w:val="auto"/>
          <w:lang w:bidi="ar"/>
        </w:rPr>
      </w:pPr>
      <w:r>
        <w:rPr>
          <w:rFonts w:hint="eastAsia"/>
          <w:color w:val="auto"/>
          <w:lang w:bidi="ar"/>
        </w:rPr>
        <w:t>④浮球液位计：电缆浮球液位开关，1套；</w:t>
      </w:r>
    </w:p>
    <w:p w14:paraId="70F7FC4F">
      <w:pPr>
        <w:ind w:firstLine="480"/>
        <w:rPr>
          <w:color w:val="auto"/>
          <w:lang w:bidi="ar"/>
        </w:rPr>
      </w:pPr>
      <w:r>
        <w:rPr>
          <w:color w:val="auto"/>
          <w:lang w:bidi="ar"/>
        </w:rPr>
        <w:t>⑤</w:t>
      </w:r>
      <w:r>
        <w:rPr>
          <w:rFonts w:hint="eastAsia"/>
          <w:color w:val="auto"/>
          <w:lang w:bidi="ar"/>
        </w:rPr>
        <w:t>压泥泵：45m</w:t>
      </w:r>
      <w:r>
        <w:rPr>
          <w:rFonts w:hint="eastAsia"/>
          <w:color w:val="auto"/>
          <w:vertAlign w:val="superscript"/>
          <w:lang w:bidi="ar"/>
        </w:rPr>
        <w:t>3</w:t>
      </w:r>
      <w:r>
        <w:rPr>
          <w:rFonts w:hint="eastAsia"/>
          <w:color w:val="auto"/>
          <w:lang w:bidi="ar"/>
        </w:rPr>
        <w:t>/h，30kW，陶瓷柱塞泵；2台，1用1备；</w:t>
      </w:r>
    </w:p>
    <w:p w14:paraId="74974B72">
      <w:pPr>
        <w:ind w:firstLine="480"/>
        <w:rPr>
          <w:color w:val="auto"/>
          <w:lang w:bidi="ar"/>
        </w:rPr>
      </w:pPr>
      <w:r>
        <w:rPr>
          <w:color w:val="auto"/>
          <w:lang w:bidi="ar"/>
        </w:rPr>
        <w:t>⑥</w:t>
      </w:r>
      <w:r>
        <w:rPr>
          <w:rFonts w:hint="eastAsia"/>
          <w:color w:val="auto"/>
          <w:lang w:bidi="ar"/>
        </w:rPr>
        <w:t>电接点压力表：0~1.6/1.0Mpa，隔膜式，4分外牙，2套；</w:t>
      </w:r>
    </w:p>
    <w:p w14:paraId="6B365237">
      <w:pPr>
        <w:ind w:firstLine="480"/>
        <w:rPr>
          <w:color w:val="auto"/>
          <w:lang w:bidi="ar"/>
        </w:rPr>
      </w:pPr>
      <w:r>
        <w:rPr>
          <w:color w:val="auto"/>
          <w:lang w:bidi="ar"/>
        </w:rPr>
        <w:t>⑦</w:t>
      </w:r>
      <w:r>
        <w:rPr>
          <w:rFonts w:hint="eastAsia"/>
          <w:color w:val="auto"/>
          <w:lang w:bidi="ar"/>
        </w:rPr>
        <w:t>进料电动阀：304不锈钢，DN150，对夹式蝶阀，开关型，1台；</w:t>
      </w:r>
    </w:p>
    <w:p w14:paraId="1DFD0749">
      <w:pPr>
        <w:ind w:firstLine="480"/>
        <w:rPr>
          <w:color w:val="auto"/>
          <w:lang w:bidi="ar"/>
        </w:rPr>
      </w:pPr>
      <w:r>
        <w:rPr>
          <w:color w:val="auto"/>
          <w:lang w:bidi="ar"/>
        </w:rPr>
        <w:t>⑧</w:t>
      </w:r>
      <w:r>
        <w:rPr>
          <w:rFonts w:hint="eastAsia"/>
          <w:color w:val="auto"/>
          <w:lang w:bidi="ar"/>
        </w:rPr>
        <w:t>增压电动阀：304不锈钢，DN150，对夹式蝶阀，开关型，1台；</w:t>
      </w:r>
    </w:p>
    <w:p w14:paraId="0F0D4660">
      <w:pPr>
        <w:ind w:firstLine="480"/>
        <w:rPr>
          <w:color w:val="auto"/>
          <w:lang w:bidi="ar"/>
        </w:rPr>
      </w:pPr>
      <w:r>
        <w:rPr>
          <w:rFonts w:hint="eastAsia"/>
          <w:color w:val="auto"/>
          <w:lang w:bidi="ar"/>
        </w:rPr>
        <w:t>⑨污泥进料、压榨管网：无缝管、镀锌管，1套；</w:t>
      </w:r>
    </w:p>
    <w:p w14:paraId="0B5195F6">
      <w:pPr>
        <w:ind w:left="480" w:leftChars="200" w:firstLine="0" w:firstLineChars="0"/>
        <w:rPr>
          <w:color w:val="auto"/>
          <w:lang w:bidi="ar"/>
        </w:rPr>
      </w:pPr>
      <w:r>
        <w:rPr>
          <w:rFonts w:hint="eastAsia"/>
          <w:color w:val="auto"/>
          <w:lang w:bidi="ar"/>
        </w:rPr>
        <w:t>（8）公用设备</w:t>
      </w:r>
    </w:p>
    <w:p w14:paraId="53F2C3FA">
      <w:pPr>
        <w:ind w:firstLine="480"/>
        <w:rPr>
          <w:color w:val="auto"/>
          <w:lang w:bidi="ar"/>
        </w:rPr>
      </w:pPr>
      <w:r>
        <w:rPr>
          <w:rFonts w:hint="eastAsia"/>
          <w:color w:val="auto"/>
          <w:lang w:bidi="ar"/>
        </w:rPr>
        <w:t>①浮球液位计：电缆浮球液位开关，7套；</w:t>
      </w:r>
    </w:p>
    <w:p w14:paraId="23551DD9">
      <w:pPr>
        <w:ind w:firstLine="480"/>
        <w:rPr>
          <w:color w:val="auto"/>
          <w:lang w:bidi="ar"/>
        </w:rPr>
      </w:pPr>
      <w:r>
        <w:rPr>
          <w:rFonts w:hint="eastAsia"/>
          <w:color w:val="auto"/>
          <w:lang w:bidi="ar"/>
        </w:rPr>
        <w:t>②配药加药搅拌机：2.2kW，304不锈钢叶片，2套；</w:t>
      </w:r>
    </w:p>
    <w:p w14:paraId="1366C103">
      <w:pPr>
        <w:ind w:firstLine="480"/>
        <w:rPr>
          <w:color w:val="auto"/>
          <w:lang w:bidi="ar"/>
        </w:rPr>
      </w:pPr>
      <w:r>
        <w:rPr>
          <w:rFonts w:hint="eastAsia"/>
          <w:color w:val="auto"/>
          <w:lang w:bidi="ar"/>
        </w:rPr>
        <w:t>③配套空气搅拌机系统：UPVC，4套；</w:t>
      </w:r>
    </w:p>
    <w:p w14:paraId="680745E3">
      <w:pPr>
        <w:ind w:firstLine="480"/>
        <w:rPr>
          <w:color w:val="auto"/>
          <w:lang w:bidi="ar"/>
        </w:rPr>
      </w:pPr>
      <w:r>
        <w:rPr>
          <w:rFonts w:hint="eastAsia"/>
          <w:color w:val="auto"/>
          <w:lang w:bidi="ar"/>
        </w:rPr>
        <w:t>④加药泵：3.2m</w:t>
      </w:r>
      <w:r>
        <w:rPr>
          <w:rFonts w:hint="eastAsia"/>
          <w:color w:val="auto"/>
          <w:vertAlign w:val="superscript"/>
          <w:lang w:bidi="ar"/>
        </w:rPr>
        <w:t>3</w:t>
      </w:r>
      <w:r>
        <w:rPr>
          <w:rFonts w:hint="eastAsia"/>
          <w:color w:val="auto"/>
          <w:lang w:bidi="ar"/>
        </w:rPr>
        <w:t>/h，20m，1.1kW，过流界面氟塑料，4台，2用2备；</w:t>
      </w:r>
    </w:p>
    <w:p w14:paraId="7A10FF56">
      <w:pPr>
        <w:ind w:firstLine="480"/>
        <w:rPr>
          <w:color w:val="auto"/>
          <w:lang w:bidi="ar"/>
        </w:rPr>
      </w:pPr>
      <w:r>
        <w:rPr>
          <w:rFonts w:hint="eastAsia"/>
          <w:color w:val="auto"/>
          <w:lang w:bidi="ar"/>
        </w:rPr>
        <w:t>⑤加药泵：0.5m</w:t>
      </w:r>
      <w:r>
        <w:rPr>
          <w:rFonts w:hint="eastAsia"/>
          <w:color w:val="auto"/>
          <w:vertAlign w:val="superscript"/>
          <w:lang w:bidi="ar"/>
        </w:rPr>
        <w:t>3</w:t>
      </w:r>
      <w:r>
        <w:rPr>
          <w:rFonts w:hint="eastAsia"/>
          <w:color w:val="auto"/>
          <w:lang w:bidi="ar"/>
        </w:rPr>
        <w:t>/h，28m，0.37kW，过流界面304不锈钢，2台，1用1备；</w:t>
      </w:r>
    </w:p>
    <w:p w14:paraId="79207954">
      <w:pPr>
        <w:ind w:firstLine="480"/>
        <w:rPr>
          <w:color w:val="auto"/>
          <w:lang w:bidi="ar"/>
        </w:rPr>
      </w:pPr>
      <w:r>
        <w:rPr>
          <w:rFonts w:hint="eastAsia"/>
          <w:color w:val="auto"/>
          <w:lang w:bidi="ar"/>
        </w:rPr>
        <w:t>⑥加药泵：4m</w:t>
      </w:r>
      <w:r>
        <w:rPr>
          <w:rFonts w:hint="eastAsia"/>
          <w:color w:val="auto"/>
          <w:vertAlign w:val="superscript"/>
          <w:lang w:bidi="ar"/>
        </w:rPr>
        <w:t>3</w:t>
      </w:r>
      <w:r>
        <w:rPr>
          <w:rFonts w:hint="eastAsia"/>
          <w:color w:val="auto"/>
          <w:lang w:bidi="ar"/>
        </w:rPr>
        <w:t>/h，39m，1.1kW，过流界面304不锈钢，2台，1用1备；</w:t>
      </w:r>
    </w:p>
    <w:p w14:paraId="6DDB8BB7">
      <w:pPr>
        <w:ind w:firstLine="480"/>
        <w:rPr>
          <w:color w:val="auto"/>
          <w:lang w:bidi="ar"/>
        </w:rPr>
      </w:pPr>
      <w:r>
        <w:rPr>
          <w:rFonts w:hint="eastAsia"/>
          <w:color w:val="auto"/>
          <w:lang w:bidi="ar"/>
        </w:rPr>
        <w:t>⑦加药泵：1.2m</w:t>
      </w:r>
      <w:r>
        <w:rPr>
          <w:rFonts w:hint="eastAsia"/>
          <w:color w:val="auto"/>
          <w:vertAlign w:val="superscript"/>
          <w:lang w:bidi="ar"/>
        </w:rPr>
        <w:t>3</w:t>
      </w:r>
      <w:r>
        <w:rPr>
          <w:rFonts w:hint="eastAsia"/>
          <w:color w:val="auto"/>
          <w:lang w:bidi="ar"/>
        </w:rPr>
        <w:t>/h，11m，260W，过流部件CFRPP，2台，1用1备；</w:t>
      </w:r>
    </w:p>
    <w:p w14:paraId="1A8BE398">
      <w:pPr>
        <w:ind w:firstLine="480"/>
        <w:rPr>
          <w:color w:val="auto"/>
          <w:lang w:bidi="ar"/>
        </w:rPr>
      </w:pPr>
      <w:r>
        <w:rPr>
          <w:rFonts w:hint="eastAsia"/>
          <w:color w:val="auto"/>
          <w:lang w:bidi="ar"/>
        </w:rPr>
        <w:t>⑧加药管路：UPVC，DN32，DN25，DN15，5套；</w:t>
      </w:r>
    </w:p>
    <w:p w14:paraId="03A6F84B">
      <w:pPr>
        <w:ind w:firstLine="480"/>
        <w:rPr>
          <w:color w:val="auto"/>
          <w:lang w:bidi="ar"/>
        </w:rPr>
      </w:pPr>
      <w:r>
        <w:rPr>
          <w:color w:val="auto"/>
          <w:lang w:bidi="ar"/>
        </w:rPr>
        <w:t>⑨</w:t>
      </w:r>
      <w:r>
        <w:rPr>
          <w:rFonts w:hint="eastAsia"/>
          <w:color w:val="auto"/>
          <w:lang w:bidi="ar"/>
        </w:rPr>
        <w:t>鼓风机：反应池气搅拌用，2.5m</w:t>
      </w:r>
      <w:r>
        <w:rPr>
          <w:rFonts w:hint="eastAsia"/>
          <w:color w:val="auto"/>
          <w:vertAlign w:val="superscript"/>
          <w:lang w:bidi="ar"/>
        </w:rPr>
        <w:t>3</w:t>
      </w:r>
      <w:r>
        <w:rPr>
          <w:rFonts w:hint="eastAsia"/>
          <w:color w:val="auto"/>
          <w:lang w:bidi="ar"/>
        </w:rPr>
        <w:t>/min，49kPa，3kW，2台，1用1备；</w:t>
      </w:r>
    </w:p>
    <w:p w14:paraId="378FFFF5">
      <w:pPr>
        <w:ind w:firstLine="480"/>
        <w:rPr>
          <w:color w:val="auto"/>
          <w:lang w:bidi="ar"/>
        </w:rPr>
      </w:pPr>
      <w:r>
        <w:rPr>
          <w:color w:val="auto"/>
          <w:lang w:bidi="ar"/>
        </w:rPr>
        <w:t>⑩</w:t>
      </w:r>
      <w:r>
        <w:rPr>
          <w:rFonts w:hint="eastAsia"/>
          <w:color w:val="auto"/>
          <w:lang w:bidi="ar"/>
        </w:rPr>
        <w:t>鼓风机：调节池、污泥池气搅拌用，12m</w:t>
      </w:r>
      <w:r>
        <w:rPr>
          <w:rFonts w:hint="eastAsia"/>
          <w:color w:val="auto"/>
          <w:vertAlign w:val="superscript"/>
          <w:lang w:bidi="ar"/>
        </w:rPr>
        <w:t>3</w:t>
      </w:r>
      <w:r>
        <w:rPr>
          <w:rFonts w:hint="eastAsia"/>
          <w:color w:val="auto"/>
          <w:lang w:bidi="ar"/>
        </w:rPr>
        <w:t>/min，49kPa，15kW，2台，1用1备；</w:t>
      </w:r>
    </w:p>
    <w:p w14:paraId="2A5B2203">
      <w:pPr>
        <w:ind w:firstLine="480"/>
        <w:rPr>
          <w:color w:val="auto"/>
          <w:lang w:bidi="ar"/>
        </w:rPr>
      </w:pPr>
      <w:r>
        <w:rPr>
          <w:color w:val="auto"/>
          <w:lang w:bidi="ar"/>
        </w:rPr>
        <w:t>⑪</w:t>
      </w:r>
      <w:r>
        <w:rPr>
          <w:rFonts w:hint="eastAsia"/>
          <w:color w:val="auto"/>
          <w:lang w:bidi="ar"/>
        </w:rPr>
        <w:t>管路系统：UPVC，镀锌管等，1套；</w:t>
      </w:r>
    </w:p>
    <w:p w14:paraId="053495ED">
      <w:pPr>
        <w:ind w:firstLine="480"/>
        <w:rPr>
          <w:color w:val="auto"/>
          <w:lang w:bidi="ar"/>
        </w:rPr>
      </w:pPr>
      <w:r>
        <w:rPr>
          <w:rFonts w:hint="eastAsia"/>
          <w:color w:val="auto"/>
          <w:lang w:bidi="ar"/>
        </w:rPr>
        <w:t>⑫压泥增加水箱：PE，6m</w:t>
      </w:r>
      <w:r>
        <w:rPr>
          <w:rFonts w:hint="eastAsia"/>
          <w:color w:val="auto"/>
          <w:vertAlign w:val="superscript"/>
          <w:lang w:bidi="ar"/>
        </w:rPr>
        <w:t>3</w:t>
      </w:r>
      <w:r>
        <w:rPr>
          <w:rFonts w:hint="eastAsia"/>
          <w:color w:val="auto"/>
          <w:lang w:bidi="ar"/>
        </w:rPr>
        <w:t>，1台；</w:t>
      </w:r>
    </w:p>
    <w:p w14:paraId="4D68477D">
      <w:pPr>
        <w:ind w:firstLine="480"/>
        <w:rPr>
          <w:color w:val="auto"/>
          <w:lang w:bidi="ar"/>
        </w:rPr>
      </w:pPr>
      <w:r>
        <w:rPr>
          <w:color w:val="auto"/>
          <w:lang w:bidi="ar"/>
        </w:rPr>
        <w:t>⑬</w:t>
      </w:r>
      <w:r>
        <w:rPr>
          <w:rFonts w:hint="eastAsia"/>
          <w:color w:val="auto"/>
          <w:lang w:bidi="ar"/>
        </w:rPr>
        <w:t>压泥增压水泵：16m</w:t>
      </w:r>
      <w:r>
        <w:rPr>
          <w:rFonts w:hint="eastAsia"/>
          <w:color w:val="auto"/>
          <w:vertAlign w:val="superscript"/>
          <w:lang w:bidi="ar"/>
        </w:rPr>
        <w:t>3</w:t>
      </w:r>
      <w:r>
        <w:rPr>
          <w:rFonts w:hint="eastAsia"/>
          <w:color w:val="auto"/>
          <w:lang w:bidi="ar"/>
        </w:rPr>
        <w:t>/h，115m，11kW，过流界面不锈钢；1台。</w:t>
      </w:r>
    </w:p>
    <w:p w14:paraId="348B6E90">
      <w:pPr>
        <w:ind w:firstLine="482"/>
        <w:rPr>
          <w:b/>
          <w:bCs/>
          <w:color w:val="auto"/>
          <w:lang w:bidi="ar"/>
        </w:rPr>
      </w:pPr>
      <w:r>
        <w:rPr>
          <w:rFonts w:hint="eastAsia"/>
          <w:b/>
          <w:bCs/>
          <w:color w:val="auto"/>
          <w:lang w:bidi="ar"/>
        </w:rPr>
        <w:t>3</w:t>
      </w:r>
      <w:r>
        <w:rPr>
          <w:b/>
          <w:bCs/>
          <w:color w:val="auto"/>
          <w:lang w:bidi="ar"/>
        </w:rPr>
        <w:t>、污水处理设施设计进出水参数及规模</w:t>
      </w:r>
    </w:p>
    <w:p w14:paraId="641D5038">
      <w:pPr>
        <w:ind w:firstLine="480"/>
        <w:rPr>
          <w:color w:val="auto"/>
        </w:rPr>
      </w:pPr>
      <w:r>
        <w:rPr>
          <w:color w:val="auto"/>
        </w:rPr>
        <w:t>本次项目污水处理站废水处理情况如下表所示。</w:t>
      </w:r>
    </w:p>
    <w:p w14:paraId="539B603D">
      <w:pPr>
        <w:spacing w:line="240" w:lineRule="auto"/>
        <w:ind w:firstLine="0" w:firstLineChars="0"/>
        <w:jc w:val="center"/>
        <w:rPr>
          <w:b/>
          <w:bCs/>
          <w:color w:val="auto"/>
        </w:rPr>
      </w:pPr>
      <w:r>
        <w:rPr>
          <w:b/>
          <w:bCs/>
          <w:color w:val="auto"/>
        </w:rPr>
        <w:t>表</w:t>
      </w:r>
      <w:r>
        <w:rPr>
          <w:rFonts w:hint="eastAsia"/>
          <w:b/>
          <w:bCs/>
          <w:color w:val="auto"/>
        </w:rPr>
        <w:t>7</w:t>
      </w:r>
      <w:r>
        <w:rPr>
          <w:b/>
          <w:bCs/>
          <w:color w:val="auto"/>
        </w:rPr>
        <w:t xml:space="preserve">.2.2-1 </w:t>
      </w:r>
      <w:r>
        <w:rPr>
          <w:rFonts w:hint="eastAsia"/>
          <w:b/>
          <w:bCs/>
          <w:color w:val="auto"/>
        </w:rPr>
        <w:t xml:space="preserve"> </w:t>
      </w:r>
      <w:r>
        <w:rPr>
          <w:b/>
          <w:bCs/>
          <w:color w:val="auto"/>
        </w:rPr>
        <w:t>本项目废水处理情况</w:t>
      </w:r>
    </w:p>
    <w:tbl>
      <w:tblPr>
        <w:tblStyle w:val="88"/>
        <w:tblW w:w="48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884"/>
        <w:gridCol w:w="1343"/>
        <w:gridCol w:w="2498"/>
        <w:gridCol w:w="2600"/>
      </w:tblGrid>
      <w:tr w14:paraId="7677C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1013" w:type="pct"/>
            <w:tcBorders>
              <w:tl2br w:val="nil"/>
              <w:tr2bl w:val="nil"/>
            </w:tcBorders>
            <w:vAlign w:val="center"/>
          </w:tcPr>
          <w:p w14:paraId="0AC7F395">
            <w:pPr>
              <w:spacing w:line="240" w:lineRule="auto"/>
              <w:ind w:firstLine="0" w:firstLineChars="0"/>
              <w:jc w:val="center"/>
              <w:rPr>
                <w:b/>
                <w:bCs/>
                <w:color w:val="auto"/>
                <w:sz w:val="21"/>
                <w:szCs w:val="21"/>
              </w:rPr>
            </w:pPr>
            <w:r>
              <w:rPr>
                <w:b/>
                <w:bCs/>
                <w:color w:val="auto"/>
                <w:sz w:val="21"/>
                <w:szCs w:val="21"/>
              </w:rPr>
              <w:t>废水种类</w:t>
            </w:r>
          </w:p>
        </w:tc>
        <w:tc>
          <w:tcPr>
            <w:tcW w:w="481" w:type="pct"/>
            <w:tcBorders>
              <w:tl2br w:val="nil"/>
              <w:tr2bl w:val="nil"/>
            </w:tcBorders>
            <w:vAlign w:val="center"/>
          </w:tcPr>
          <w:p w14:paraId="33D8526D">
            <w:pPr>
              <w:spacing w:line="240" w:lineRule="auto"/>
              <w:ind w:firstLine="0" w:firstLineChars="0"/>
              <w:jc w:val="center"/>
              <w:rPr>
                <w:b/>
                <w:bCs/>
                <w:color w:val="auto"/>
                <w:sz w:val="21"/>
                <w:szCs w:val="21"/>
              </w:rPr>
            </w:pPr>
            <w:r>
              <w:rPr>
                <w:b/>
                <w:bCs/>
                <w:color w:val="auto"/>
                <w:sz w:val="21"/>
                <w:szCs w:val="21"/>
              </w:rPr>
              <w:t>预估排水量m</w:t>
            </w:r>
            <w:r>
              <w:rPr>
                <w:b/>
                <w:bCs/>
                <w:color w:val="auto"/>
                <w:sz w:val="21"/>
                <w:szCs w:val="21"/>
                <w:vertAlign w:val="superscript"/>
              </w:rPr>
              <w:t>3</w:t>
            </w:r>
            <w:r>
              <w:rPr>
                <w:b/>
                <w:bCs/>
                <w:color w:val="auto"/>
                <w:sz w:val="21"/>
                <w:szCs w:val="21"/>
              </w:rPr>
              <w:t>/d</w:t>
            </w:r>
          </w:p>
        </w:tc>
        <w:tc>
          <w:tcPr>
            <w:tcW w:w="731" w:type="pct"/>
            <w:tcBorders>
              <w:tl2br w:val="nil"/>
              <w:tr2bl w:val="nil"/>
            </w:tcBorders>
            <w:vAlign w:val="center"/>
          </w:tcPr>
          <w:p w14:paraId="0CDEFB63">
            <w:pPr>
              <w:spacing w:line="240" w:lineRule="auto"/>
              <w:ind w:firstLine="0" w:firstLineChars="0"/>
              <w:jc w:val="center"/>
              <w:rPr>
                <w:b/>
                <w:bCs/>
                <w:color w:val="auto"/>
                <w:sz w:val="21"/>
                <w:szCs w:val="21"/>
              </w:rPr>
            </w:pPr>
            <w:r>
              <w:rPr>
                <w:b/>
                <w:bCs/>
                <w:color w:val="auto"/>
                <w:sz w:val="21"/>
                <w:szCs w:val="21"/>
              </w:rPr>
              <w:t>设计水量m</w:t>
            </w:r>
            <w:r>
              <w:rPr>
                <w:b/>
                <w:bCs/>
                <w:color w:val="auto"/>
                <w:sz w:val="21"/>
                <w:szCs w:val="21"/>
                <w:vertAlign w:val="superscript"/>
              </w:rPr>
              <w:t>3</w:t>
            </w:r>
            <w:r>
              <w:rPr>
                <w:b/>
                <w:bCs/>
                <w:color w:val="auto"/>
                <w:sz w:val="21"/>
                <w:szCs w:val="21"/>
              </w:rPr>
              <w:t>/d</w:t>
            </w:r>
          </w:p>
        </w:tc>
        <w:tc>
          <w:tcPr>
            <w:tcW w:w="1358" w:type="pct"/>
            <w:tcBorders>
              <w:tl2br w:val="nil"/>
              <w:tr2bl w:val="nil"/>
            </w:tcBorders>
            <w:vAlign w:val="center"/>
          </w:tcPr>
          <w:p w14:paraId="615ECBFF">
            <w:pPr>
              <w:spacing w:line="240" w:lineRule="auto"/>
              <w:ind w:firstLine="0" w:firstLineChars="0"/>
              <w:jc w:val="center"/>
              <w:rPr>
                <w:b/>
                <w:bCs/>
                <w:color w:val="auto"/>
                <w:sz w:val="21"/>
                <w:szCs w:val="21"/>
              </w:rPr>
            </w:pPr>
            <w:r>
              <w:rPr>
                <w:b/>
                <w:bCs/>
                <w:color w:val="auto"/>
                <w:sz w:val="21"/>
                <w:szCs w:val="21"/>
              </w:rPr>
              <w:t>主要污染物</w:t>
            </w:r>
          </w:p>
        </w:tc>
        <w:tc>
          <w:tcPr>
            <w:tcW w:w="1414" w:type="pct"/>
            <w:tcBorders>
              <w:tl2br w:val="nil"/>
              <w:tr2bl w:val="nil"/>
            </w:tcBorders>
            <w:vAlign w:val="center"/>
          </w:tcPr>
          <w:p w14:paraId="0CC4D6F9">
            <w:pPr>
              <w:spacing w:line="240" w:lineRule="auto"/>
              <w:ind w:firstLine="0" w:firstLineChars="0"/>
              <w:jc w:val="center"/>
              <w:rPr>
                <w:b/>
                <w:bCs/>
                <w:color w:val="auto"/>
                <w:sz w:val="21"/>
                <w:szCs w:val="21"/>
              </w:rPr>
            </w:pPr>
            <w:r>
              <w:rPr>
                <w:b/>
                <w:bCs/>
                <w:color w:val="auto"/>
                <w:sz w:val="21"/>
                <w:szCs w:val="21"/>
              </w:rPr>
              <w:t>废水来源</w:t>
            </w:r>
          </w:p>
        </w:tc>
      </w:tr>
      <w:tr w14:paraId="45288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13" w:type="pct"/>
            <w:tcBorders>
              <w:tl2br w:val="nil"/>
              <w:tr2bl w:val="nil"/>
            </w:tcBorders>
            <w:vAlign w:val="center"/>
          </w:tcPr>
          <w:p w14:paraId="6B0FE2BA">
            <w:pPr>
              <w:spacing w:line="240" w:lineRule="auto"/>
              <w:ind w:firstLine="0" w:firstLineChars="0"/>
              <w:jc w:val="center"/>
              <w:rPr>
                <w:color w:val="auto"/>
                <w:sz w:val="21"/>
                <w:szCs w:val="21"/>
              </w:rPr>
            </w:pPr>
            <w:r>
              <w:rPr>
                <w:rFonts w:hint="eastAsia"/>
                <w:color w:val="auto"/>
                <w:sz w:val="21"/>
                <w:szCs w:val="21"/>
              </w:rPr>
              <w:t>封孔</w:t>
            </w:r>
            <w:r>
              <w:rPr>
                <w:color w:val="auto"/>
                <w:sz w:val="21"/>
                <w:szCs w:val="21"/>
              </w:rPr>
              <w:t>废水</w:t>
            </w:r>
          </w:p>
        </w:tc>
        <w:tc>
          <w:tcPr>
            <w:tcW w:w="481" w:type="pct"/>
            <w:tcBorders>
              <w:tl2br w:val="nil"/>
              <w:tr2bl w:val="nil"/>
            </w:tcBorders>
            <w:vAlign w:val="center"/>
          </w:tcPr>
          <w:p w14:paraId="5B79ED55">
            <w:pPr>
              <w:spacing w:line="240" w:lineRule="auto"/>
              <w:ind w:firstLine="0" w:firstLineChars="0"/>
              <w:jc w:val="center"/>
              <w:rPr>
                <w:color w:val="auto"/>
                <w:sz w:val="21"/>
                <w:szCs w:val="21"/>
              </w:rPr>
            </w:pPr>
            <w:r>
              <w:rPr>
                <w:rFonts w:hint="eastAsia"/>
                <w:color w:val="auto"/>
                <w:sz w:val="21"/>
                <w:szCs w:val="21"/>
              </w:rPr>
              <w:t>11.88</w:t>
            </w:r>
          </w:p>
        </w:tc>
        <w:tc>
          <w:tcPr>
            <w:tcW w:w="731" w:type="pct"/>
            <w:tcBorders>
              <w:tl2br w:val="nil"/>
              <w:tr2bl w:val="nil"/>
            </w:tcBorders>
            <w:vAlign w:val="center"/>
          </w:tcPr>
          <w:p w14:paraId="6F92C824">
            <w:pPr>
              <w:spacing w:line="240" w:lineRule="auto"/>
              <w:ind w:firstLine="0" w:firstLineChars="0"/>
              <w:jc w:val="center"/>
              <w:rPr>
                <w:color w:val="auto"/>
                <w:sz w:val="21"/>
                <w:szCs w:val="21"/>
              </w:rPr>
            </w:pPr>
            <w:r>
              <w:rPr>
                <w:rFonts w:hint="eastAsia"/>
                <w:color w:val="auto"/>
                <w:sz w:val="21"/>
                <w:szCs w:val="21"/>
              </w:rPr>
              <w:t>100</w:t>
            </w:r>
          </w:p>
        </w:tc>
        <w:tc>
          <w:tcPr>
            <w:tcW w:w="1358" w:type="pct"/>
            <w:tcBorders>
              <w:tl2br w:val="nil"/>
              <w:tr2bl w:val="nil"/>
            </w:tcBorders>
            <w:vAlign w:val="center"/>
          </w:tcPr>
          <w:p w14:paraId="6D150D5A">
            <w:pPr>
              <w:spacing w:line="240" w:lineRule="auto"/>
              <w:ind w:firstLine="0" w:firstLineChars="0"/>
              <w:jc w:val="center"/>
              <w:rPr>
                <w:color w:val="auto"/>
                <w:sz w:val="21"/>
                <w:szCs w:val="21"/>
              </w:rPr>
            </w:pPr>
            <w:r>
              <w:rPr>
                <w:rFonts w:hint="eastAsia"/>
                <w:color w:val="auto"/>
                <w:sz w:val="21"/>
                <w:szCs w:val="21"/>
              </w:rPr>
              <w:t>COD、SS、氨氮、总磷、总氮、石油类、总铝、盐分</w:t>
            </w:r>
          </w:p>
        </w:tc>
        <w:tc>
          <w:tcPr>
            <w:tcW w:w="1414" w:type="pct"/>
            <w:tcBorders>
              <w:tl2br w:val="nil"/>
              <w:tr2bl w:val="nil"/>
            </w:tcBorders>
            <w:vAlign w:val="center"/>
          </w:tcPr>
          <w:p w14:paraId="5BAE34B3">
            <w:pPr>
              <w:spacing w:line="240" w:lineRule="auto"/>
              <w:ind w:firstLine="0" w:firstLineChars="0"/>
              <w:jc w:val="center"/>
              <w:rPr>
                <w:color w:val="auto"/>
                <w:sz w:val="21"/>
                <w:szCs w:val="21"/>
              </w:rPr>
            </w:pPr>
            <w:r>
              <w:rPr>
                <w:color w:val="auto"/>
                <w:sz w:val="21"/>
                <w:szCs w:val="21"/>
              </w:rPr>
              <w:t>封孔</w:t>
            </w:r>
            <w:r>
              <w:rPr>
                <w:rFonts w:hint="eastAsia"/>
                <w:color w:val="auto"/>
                <w:sz w:val="21"/>
                <w:szCs w:val="21"/>
              </w:rPr>
              <w:t>及其清洗用水</w:t>
            </w:r>
          </w:p>
        </w:tc>
      </w:tr>
      <w:tr w14:paraId="34F68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013" w:type="pct"/>
            <w:tcBorders>
              <w:tl2br w:val="nil"/>
              <w:tr2bl w:val="nil"/>
            </w:tcBorders>
            <w:vAlign w:val="center"/>
          </w:tcPr>
          <w:p w14:paraId="3F9DEE15">
            <w:pPr>
              <w:spacing w:line="240" w:lineRule="auto"/>
              <w:ind w:firstLine="0" w:firstLineChars="0"/>
              <w:jc w:val="center"/>
              <w:rPr>
                <w:color w:val="auto"/>
                <w:sz w:val="21"/>
                <w:szCs w:val="21"/>
              </w:rPr>
            </w:pPr>
            <w:r>
              <w:rPr>
                <w:rFonts w:hint="eastAsia"/>
                <w:color w:val="auto"/>
                <w:sz w:val="21"/>
                <w:szCs w:val="21"/>
              </w:rPr>
              <w:t>酸碱废水、模具处理工艺废水、酸碱废气处理废水、氧化工段地面清洗废水、</w:t>
            </w:r>
            <w:r>
              <w:rPr>
                <w:rFonts w:hint="eastAsia"/>
                <w:color w:val="auto"/>
                <w:sz w:val="21"/>
                <w:szCs w:val="22"/>
              </w:rPr>
              <w:t>纯水制备装置反冲洗废水、纯水制备装置再生废水、循环冷却排水和</w:t>
            </w:r>
            <w:r>
              <w:rPr>
                <w:rFonts w:hint="eastAsia"/>
                <w:color w:val="auto"/>
                <w:sz w:val="21"/>
                <w:szCs w:val="21"/>
              </w:rPr>
              <w:t>初期雨水</w:t>
            </w:r>
          </w:p>
        </w:tc>
        <w:tc>
          <w:tcPr>
            <w:tcW w:w="481" w:type="pct"/>
            <w:tcBorders>
              <w:tl2br w:val="nil"/>
              <w:tr2bl w:val="nil"/>
            </w:tcBorders>
            <w:vAlign w:val="center"/>
          </w:tcPr>
          <w:p w14:paraId="28C35FBE">
            <w:pPr>
              <w:spacing w:line="240" w:lineRule="auto"/>
              <w:ind w:firstLine="0" w:firstLineChars="0"/>
              <w:jc w:val="center"/>
              <w:rPr>
                <w:color w:val="auto"/>
                <w:sz w:val="21"/>
                <w:szCs w:val="21"/>
              </w:rPr>
            </w:pPr>
            <w:r>
              <w:rPr>
                <w:rFonts w:hint="eastAsia"/>
                <w:color w:val="auto"/>
                <w:sz w:val="21"/>
                <w:szCs w:val="21"/>
              </w:rPr>
              <w:t>819.27</w:t>
            </w:r>
          </w:p>
        </w:tc>
        <w:tc>
          <w:tcPr>
            <w:tcW w:w="731" w:type="pct"/>
            <w:tcBorders>
              <w:tl2br w:val="nil"/>
              <w:tr2bl w:val="nil"/>
            </w:tcBorders>
            <w:vAlign w:val="center"/>
          </w:tcPr>
          <w:p w14:paraId="6A3CB3C5">
            <w:pPr>
              <w:spacing w:line="240" w:lineRule="auto"/>
              <w:ind w:firstLine="0" w:firstLineChars="0"/>
              <w:jc w:val="center"/>
              <w:rPr>
                <w:color w:val="auto"/>
                <w:sz w:val="21"/>
                <w:szCs w:val="21"/>
              </w:rPr>
            </w:pPr>
            <w:r>
              <w:rPr>
                <w:rFonts w:hint="eastAsia"/>
                <w:color w:val="auto"/>
                <w:sz w:val="21"/>
                <w:szCs w:val="21"/>
              </w:rPr>
              <w:t>1700</w:t>
            </w:r>
          </w:p>
        </w:tc>
        <w:tc>
          <w:tcPr>
            <w:tcW w:w="1358" w:type="pct"/>
            <w:tcBorders>
              <w:tl2br w:val="nil"/>
              <w:tr2bl w:val="nil"/>
            </w:tcBorders>
            <w:vAlign w:val="center"/>
          </w:tcPr>
          <w:p w14:paraId="35C96BCD">
            <w:pPr>
              <w:spacing w:line="240" w:lineRule="auto"/>
              <w:ind w:firstLine="0" w:firstLineChars="0"/>
              <w:jc w:val="center"/>
              <w:rPr>
                <w:color w:val="auto"/>
                <w:sz w:val="21"/>
                <w:szCs w:val="21"/>
              </w:rPr>
            </w:pPr>
            <w:r>
              <w:rPr>
                <w:rFonts w:hint="eastAsia"/>
                <w:color w:val="auto"/>
                <w:sz w:val="21"/>
                <w:szCs w:val="21"/>
              </w:rPr>
              <w:t>pH、COD、SS、氨氮、总磷、总氮、总铝、石油类、LAS、总锡、盐分</w:t>
            </w:r>
          </w:p>
        </w:tc>
        <w:tc>
          <w:tcPr>
            <w:tcW w:w="1414" w:type="pct"/>
            <w:tcBorders>
              <w:tl2br w:val="nil"/>
              <w:tr2bl w:val="nil"/>
            </w:tcBorders>
            <w:vAlign w:val="center"/>
          </w:tcPr>
          <w:p w14:paraId="0B396C25">
            <w:pPr>
              <w:spacing w:line="240" w:lineRule="auto"/>
              <w:ind w:firstLine="0" w:firstLineChars="0"/>
              <w:jc w:val="center"/>
              <w:rPr>
                <w:color w:val="auto"/>
                <w:sz w:val="21"/>
                <w:szCs w:val="21"/>
              </w:rPr>
            </w:pPr>
            <w:r>
              <w:rPr>
                <w:rFonts w:hint="eastAsia"/>
                <w:color w:val="auto"/>
                <w:sz w:val="21"/>
                <w:szCs w:val="21"/>
              </w:rPr>
              <w:t>酸碱废水、模具处理工艺废水、酸碱废气处理废水、氧化工段地面清洗废水、</w:t>
            </w:r>
            <w:r>
              <w:rPr>
                <w:rFonts w:hint="eastAsia"/>
                <w:color w:val="auto"/>
                <w:sz w:val="21"/>
                <w:szCs w:val="22"/>
              </w:rPr>
              <w:t>纯水制备装置反冲洗废水、纯水制备装置再生废水、循环冷却排水和</w:t>
            </w:r>
            <w:r>
              <w:rPr>
                <w:rFonts w:hint="eastAsia"/>
                <w:color w:val="auto"/>
                <w:sz w:val="21"/>
                <w:szCs w:val="21"/>
              </w:rPr>
              <w:t>初期雨水</w:t>
            </w:r>
          </w:p>
        </w:tc>
      </w:tr>
    </w:tbl>
    <w:p w14:paraId="704C0A3A">
      <w:pPr>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480" w:firstLineChars="200"/>
        <w:textAlignment w:val="auto"/>
        <w:rPr>
          <w:rFonts w:hint="default" w:eastAsia="宋体"/>
          <w:b w:val="0"/>
          <w:bCs w:val="0"/>
          <w:color w:val="auto"/>
          <w:lang w:val="en-US" w:eastAsia="zh-CN"/>
        </w:rPr>
      </w:pPr>
      <w:r>
        <w:rPr>
          <w:rFonts w:hint="eastAsia"/>
          <w:b w:val="0"/>
          <w:bCs w:val="0"/>
          <w:color w:val="auto"/>
          <w:lang w:val="en-US" w:eastAsia="zh-CN"/>
        </w:rPr>
        <w:t>厂区污水处理装置各处理单元效率见表7.2.2-2。</w:t>
      </w:r>
    </w:p>
    <w:p w14:paraId="404DD89A">
      <w:pPr>
        <w:spacing w:before="120" w:beforeLines="50" w:line="240" w:lineRule="auto"/>
        <w:ind w:firstLine="0" w:firstLineChars="0"/>
        <w:rPr>
          <w:b/>
          <w:bCs/>
          <w:color w:val="auto"/>
        </w:rPr>
        <w:sectPr>
          <w:footerReference r:id="rId18" w:type="even"/>
          <w:pgSz w:w="11907" w:h="16840"/>
          <w:pgMar w:top="1361" w:right="1361" w:bottom="1361" w:left="1361" w:header="851" w:footer="992" w:gutter="0"/>
          <w:cols w:space="720" w:num="1"/>
          <w:docGrid w:linePitch="326" w:charSpace="0"/>
        </w:sectPr>
      </w:pPr>
    </w:p>
    <w:p w14:paraId="6F76F49F">
      <w:pPr>
        <w:spacing w:line="240" w:lineRule="auto"/>
        <w:ind w:firstLine="0" w:firstLineChars="0"/>
        <w:jc w:val="center"/>
        <w:rPr>
          <w:b/>
          <w:bCs/>
          <w:color w:val="auto"/>
        </w:rPr>
      </w:pPr>
      <w:r>
        <w:rPr>
          <w:b/>
          <w:bCs/>
          <w:color w:val="auto"/>
        </w:rPr>
        <w:t>表</w:t>
      </w:r>
      <w:r>
        <w:rPr>
          <w:rFonts w:hint="eastAsia"/>
          <w:b/>
          <w:bCs/>
          <w:color w:val="auto"/>
        </w:rPr>
        <w:t>7</w:t>
      </w:r>
      <w:r>
        <w:rPr>
          <w:b/>
          <w:bCs/>
          <w:color w:val="auto"/>
        </w:rPr>
        <w:t>.2.2-2  污水处理装置设计进出水水质</w:t>
      </w:r>
    </w:p>
    <w:tbl>
      <w:tblPr>
        <w:tblStyle w:val="8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392"/>
        <w:gridCol w:w="1343"/>
        <w:gridCol w:w="1343"/>
        <w:gridCol w:w="1475"/>
        <w:gridCol w:w="1089"/>
        <w:gridCol w:w="1003"/>
        <w:gridCol w:w="1091"/>
        <w:gridCol w:w="1003"/>
        <w:gridCol w:w="1005"/>
        <w:gridCol w:w="1215"/>
        <w:gridCol w:w="1275"/>
      </w:tblGrid>
      <w:tr w14:paraId="5AE29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0" w:type="pct"/>
            <w:vMerge w:val="restart"/>
            <w:tcBorders>
              <w:tl2br w:val="nil"/>
              <w:tr2bl w:val="nil"/>
            </w:tcBorders>
            <w:shd w:val="clear" w:color="auto" w:fill="auto"/>
            <w:vAlign w:val="center"/>
          </w:tcPr>
          <w:p w14:paraId="41937365">
            <w:pPr>
              <w:widowControl/>
              <w:spacing w:line="240" w:lineRule="auto"/>
              <w:ind w:firstLine="0" w:firstLineChars="0"/>
              <w:jc w:val="center"/>
              <w:textAlignment w:val="center"/>
              <w:rPr>
                <w:b/>
                <w:bCs/>
                <w:color w:val="auto"/>
                <w:sz w:val="21"/>
                <w:szCs w:val="21"/>
              </w:rPr>
            </w:pPr>
            <w:r>
              <w:rPr>
                <w:b/>
                <w:bCs/>
                <w:color w:val="auto"/>
                <w:kern w:val="0"/>
                <w:sz w:val="21"/>
                <w:szCs w:val="21"/>
                <w:lang w:bidi="ar"/>
              </w:rPr>
              <w:t>工艺单元名称</w:t>
            </w:r>
          </w:p>
        </w:tc>
        <w:tc>
          <w:tcPr>
            <w:tcW w:w="485" w:type="pct"/>
            <w:vMerge w:val="restart"/>
            <w:tcBorders>
              <w:tl2br w:val="nil"/>
              <w:tr2bl w:val="nil"/>
            </w:tcBorders>
            <w:shd w:val="clear" w:color="auto" w:fill="auto"/>
            <w:vAlign w:val="center"/>
          </w:tcPr>
          <w:p w14:paraId="50BEB871">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指标</w:t>
            </w:r>
          </w:p>
        </w:tc>
        <w:tc>
          <w:tcPr>
            <w:tcW w:w="469" w:type="pct"/>
            <w:tcBorders>
              <w:tl2br w:val="nil"/>
              <w:tr2bl w:val="nil"/>
            </w:tcBorders>
            <w:shd w:val="clear" w:color="auto" w:fill="auto"/>
            <w:vAlign w:val="center"/>
          </w:tcPr>
          <w:p w14:paraId="3FB69D38">
            <w:pPr>
              <w:widowControl/>
              <w:spacing w:line="240" w:lineRule="auto"/>
              <w:ind w:firstLine="0" w:firstLineChars="0"/>
              <w:jc w:val="center"/>
              <w:textAlignment w:val="center"/>
              <w:rPr>
                <w:b/>
                <w:bCs/>
                <w:color w:val="auto"/>
                <w:sz w:val="21"/>
                <w:szCs w:val="21"/>
              </w:rPr>
            </w:pPr>
            <w:r>
              <w:rPr>
                <w:b/>
                <w:bCs/>
                <w:color w:val="auto"/>
                <w:kern w:val="0"/>
                <w:sz w:val="21"/>
                <w:szCs w:val="21"/>
                <w:lang w:bidi="ar"/>
              </w:rPr>
              <w:t>COD</w:t>
            </w:r>
            <w:r>
              <w:rPr>
                <w:b/>
                <w:bCs/>
                <w:color w:val="auto"/>
                <w:kern w:val="0"/>
                <w:sz w:val="21"/>
                <w:szCs w:val="21"/>
                <w:vertAlign w:val="subscript"/>
                <w:lang w:bidi="ar"/>
              </w:rPr>
              <w:t>Cr</w:t>
            </w:r>
          </w:p>
        </w:tc>
        <w:tc>
          <w:tcPr>
            <w:tcW w:w="469" w:type="pct"/>
            <w:tcBorders>
              <w:tl2br w:val="nil"/>
              <w:tr2bl w:val="nil"/>
            </w:tcBorders>
            <w:shd w:val="clear" w:color="auto" w:fill="auto"/>
            <w:vAlign w:val="center"/>
          </w:tcPr>
          <w:p w14:paraId="5BBA42D6">
            <w:pPr>
              <w:widowControl/>
              <w:spacing w:line="240" w:lineRule="auto"/>
              <w:ind w:firstLine="0" w:firstLineChars="0"/>
              <w:jc w:val="center"/>
              <w:textAlignment w:val="center"/>
              <w:rPr>
                <w:b/>
                <w:bCs/>
                <w:color w:val="auto"/>
                <w:sz w:val="21"/>
                <w:szCs w:val="21"/>
              </w:rPr>
            </w:pPr>
            <w:r>
              <w:rPr>
                <w:b/>
                <w:bCs/>
                <w:color w:val="auto"/>
                <w:kern w:val="0"/>
                <w:sz w:val="21"/>
                <w:szCs w:val="21"/>
                <w:lang w:bidi="ar"/>
              </w:rPr>
              <w:t>SS</w:t>
            </w:r>
          </w:p>
        </w:tc>
        <w:tc>
          <w:tcPr>
            <w:tcW w:w="515" w:type="pct"/>
            <w:tcBorders>
              <w:tl2br w:val="nil"/>
              <w:tr2bl w:val="nil"/>
            </w:tcBorders>
            <w:shd w:val="clear" w:color="auto" w:fill="auto"/>
            <w:vAlign w:val="center"/>
          </w:tcPr>
          <w:p w14:paraId="13A2EF4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氨氮</w:t>
            </w:r>
          </w:p>
        </w:tc>
        <w:tc>
          <w:tcPr>
            <w:tcW w:w="380" w:type="pct"/>
            <w:tcBorders>
              <w:tl2br w:val="nil"/>
              <w:tr2bl w:val="nil"/>
            </w:tcBorders>
            <w:shd w:val="clear" w:color="auto" w:fill="auto"/>
            <w:vAlign w:val="center"/>
          </w:tcPr>
          <w:p w14:paraId="6CC1261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总磷</w:t>
            </w:r>
          </w:p>
        </w:tc>
        <w:tc>
          <w:tcPr>
            <w:tcW w:w="350" w:type="pct"/>
            <w:tcBorders>
              <w:tl2br w:val="nil"/>
              <w:tr2bl w:val="nil"/>
            </w:tcBorders>
            <w:shd w:val="clear" w:color="auto" w:fill="auto"/>
            <w:vAlign w:val="center"/>
          </w:tcPr>
          <w:p w14:paraId="48E02BC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总氮</w:t>
            </w:r>
          </w:p>
        </w:tc>
        <w:tc>
          <w:tcPr>
            <w:tcW w:w="381" w:type="pct"/>
            <w:tcBorders>
              <w:tl2br w:val="nil"/>
              <w:tr2bl w:val="nil"/>
            </w:tcBorders>
            <w:shd w:val="clear" w:color="auto" w:fill="auto"/>
            <w:vAlign w:val="center"/>
          </w:tcPr>
          <w:p w14:paraId="5AFB89D1">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总铝</w:t>
            </w:r>
          </w:p>
        </w:tc>
        <w:tc>
          <w:tcPr>
            <w:tcW w:w="350" w:type="pct"/>
            <w:tcBorders>
              <w:tl2br w:val="nil"/>
              <w:tr2bl w:val="nil"/>
            </w:tcBorders>
            <w:shd w:val="clear" w:color="auto" w:fill="auto"/>
            <w:vAlign w:val="center"/>
          </w:tcPr>
          <w:p w14:paraId="7EE2F6A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石油类</w:t>
            </w:r>
          </w:p>
        </w:tc>
        <w:tc>
          <w:tcPr>
            <w:tcW w:w="351" w:type="pct"/>
            <w:tcBorders>
              <w:tl2br w:val="nil"/>
              <w:tr2bl w:val="nil"/>
            </w:tcBorders>
            <w:shd w:val="clear" w:color="auto" w:fill="auto"/>
            <w:vAlign w:val="center"/>
          </w:tcPr>
          <w:p w14:paraId="641E76A8">
            <w:pPr>
              <w:widowControl/>
              <w:spacing w:line="240" w:lineRule="auto"/>
              <w:ind w:firstLine="0" w:firstLineChars="0"/>
              <w:jc w:val="center"/>
              <w:textAlignment w:val="center"/>
              <w:rPr>
                <w:b/>
                <w:bCs/>
                <w:color w:val="auto"/>
                <w:sz w:val="21"/>
                <w:szCs w:val="21"/>
              </w:rPr>
            </w:pPr>
            <w:r>
              <w:rPr>
                <w:b/>
                <w:bCs/>
                <w:color w:val="auto"/>
                <w:kern w:val="0"/>
                <w:sz w:val="21"/>
                <w:szCs w:val="21"/>
                <w:lang w:bidi="ar"/>
              </w:rPr>
              <w:t>总锡</w:t>
            </w:r>
          </w:p>
        </w:tc>
        <w:tc>
          <w:tcPr>
            <w:tcW w:w="424" w:type="pct"/>
            <w:tcBorders>
              <w:tl2br w:val="nil"/>
              <w:tr2bl w:val="nil"/>
            </w:tcBorders>
            <w:shd w:val="clear" w:color="auto" w:fill="auto"/>
            <w:vAlign w:val="center"/>
          </w:tcPr>
          <w:p w14:paraId="7FBAF833">
            <w:pPr>
              <w:widowControl/>
              <w:spacing w:line="240" w:lineRule="auto"/>
              <w:ind w:firstLine="0" w:firstLineChars="0"/>
              <w:jc w:val="center"/>
              <w:textAlignment w:val="center"/>
              <w:rPr>
                <w:b/>
                <w:bCs/>
                <w:color w:val="auto"/>
                <w:sz w:val="21"/>
                <w:szCs w:val="21"/>
              </w:rPr>
            </w:pPr>
            <w:r>
              <w:rPr>
                <w:b/>
                <w:bCs/>
                <w:color w:val="auto"/>
                <w:kern w:val="0"/>
                <w:sz w:val="21"/>
                <w:szCs w:val="21"/>
                <w:lang w:bidi="ar"/>
              </w:rPr>
              <w:t>LAS</w:t>
            </w:r>
          </w:p>
        </w:tc>
        <w:tc>
          <w:tcPr>
            <w:tcW w:w="439" w:type="pct"/>
            <w:tcBorders>
              <w:tl2br w:val="nil"/>
              <w:tr2bl w:val="nil"/>
            </w:tcBorders>
            <w:shd w:val="clear" w:color="auto" w:fill="auto"/>
            <w:vAlign w:val="center"/>
          </w:tcPr>
          <w:p w14:paraId="42D0AF51">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盐分</w:t>
            </w:r>
          </w:p>
        </w:tc>
      </w:tr>
      <w:tr w14:paraId="063EF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4257C045">
            <w:pPr>
              <w:widowControl/>
              <w:spacing w:line="240" w:lineRule="auto"/>
              <w:ind w:firstLine="0" w:firstLineChars="0"/>
              <w:jc w:val="center"/>
              <w:rPr>
                <w:b/>
                <w:bCs/>
                <w:color w:val="auto"/>
                <w:sz w:val="21"/>
                <w:szCs w:val="21"/>
              </w:rPr>
            </w:pPr>
          </w:p>
        </w:tc>
        <w:tc>
          <w:tcPr>
            <w:tcW w:w="485" w:type="pct"/>
            <w:vMerge w:val="continue"/>
            <w:tcBorders>
              <w:tl2br w:val="nil"/>
              <w:tr2bl w:val="nil"/>
            </w:tcBorders>
            <w:shd w:val="clear" w:color="auto" w:fill="auto"/>
            <w:vAlign w:val="center"/>
          </w:tcPr>
          <w:p w14:paraId="3B77EEF5">
            <w:pPr>
              <w:widowControl/>
              <w:spacing w:line="240" w:lineRule="auto"/>
              <w:ind w:firstLine="0" w:firstLineChars="0"/>
              <w:jc w:val="center"/>
              <w:rPr>
                <w:b/>
                <w:bCs/>
                <w:color w:val="auto"/>
                <w:sz w:val="21"/>
                <w:szCs w:val="21"/>
              </w:rPr>
            </w:pPr>
          </w:p>
        </w:tc>
        <w:tc>
          <w:tcPr>
            <w:tcW w:w="469" w:type="pct"/>
            <w:tcBorders>
              <w:tl2br w:val="nil"/>
              <w:tr2bl w:val="nil"/>
            </w:tcBorders>
            <w:shd w:val="clear" w:color="auto" w:fill="auto"/>
            <w:vAlign w:val="center"/>
          </w:tcPr>
          <w:p w14:paraId="0317095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469" w:type="pct"/>
            <w:tcBorders>
              <w:tl2br w:val="nil"/>
              <w:tr2bl w:val="nil"/>
            </w:tcBorders>
            <w:shd w:val="clear" w:color="auto" w:fill="auto"/>
            <w:vAlign w:val="center"/>
          </w:tcPr>
          <w:p w14:paraId="25CD39E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515" w:type="pct"/>
            <w:tcBorders>
              <w:tl2br w:val="nil"/>
              <w:tr2bl w:val="nil"/>
            </w:tcBorders>
            <w:shd w:val="clear" w:color="auto" w:fill="auto"/>
            <w:vAlign w:val="center"/>
          </w:tcPr>
          <w:p w14:paraId="4D320ADC">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380" w:type="pct"/>
            <w:tcBorders>
              <w:tl2br w:val="nil"/>
              <w:tr2bl w:val="nil"/>
            </w:tcBorders>
            <w:shd w:val="clear" w:color="auto" w:fill="auto"/>
            <w:vAlign w:val="center"/>
          </w:tcPr>
          <w:p w14:paraId="13D78B84">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350" w:type="pct"/>
            <w:tcBorders>
              <w:tl2br w:val="nil"/>
              <w:tr2bl w:val="nil"/>
            </w:tcBorders>
            <w:shd w:val="clear" w:color="auto" w:fill="auto"/>
            <w:vAlign w:val="center"/>
          </w:tcPr>
          <w:p w14:paraId="4F100884">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381" w:type="pct"/>
            <w:tcBorders>
              <w:tl2br w:val="nil"/>
              <w:tr2bl w:val="nil"/>
            </w:tcBorders>
            <w:shd w:val="clear" w:color="auto" w:fill="auto"/>
            <w:vAlign w:val="center"/>
          </w:tcPr>
          <w:p w14:paraId="35238752">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350" w:type="pct"/>
            <w:tcBorders>
              <w:tl2br w:val="nil"/>
              <w:tr2bl w:val="nil"/>
            </w:tcBorders>
            <w:shd w:val="clear" w:color="auto" w:fill="auto"/>
            <w:vAlign w:val="center"/>
          </w:tcPr>
          <w:p w14:paraId="2F0B26B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351" w:type="pct"/>
            <w:tcBorders>
              <w:tl2br w:val="nil"/>
              <w:tr2bl w:val="nil"/>
            </w:tcBorders>
            <w:shd w:val="clear" w:color="auto" w:fill="auto"/>
            <w:noWrap/>
            <w:vAlign w:val="center"/>
          </w:tcPr>
          <w:p w14:paraId="59D7F5DE">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424" w:type="pct"/>
            <w:tcBorders>
              <w:tl2br w:val="nil"/>
              <w:tr2bl w:val="nil"/>
            </w:tcBorders>
            <w:shd w:val="clear" w:color="auto" w:fill="auto"/>
            <w:noWrap/>
            <w:vAlign w:val="center"/>
          </w:tcPr>
          <w:p w14:paraId="4D002DE0">
            <w:pPr>
              <w:widowControl/>
              <w:spacing w:line="240" w:lineRule="auto"/>
              <w:ind w:firstLine="0" w:firstLineChars="0"/>
              <w:jc w:val="center"/>
              <w:textAlignment w:val="center"/>
              <w:rPr>
                <w:b/>
                <w:bCs/>
                <w:color w:val="auto"/>
                <w:sz w:val="21"/>
                <w:szCs w:val="21"/>
              </w:rPr>
            </w:pPr>
            <w:r>
              <w:rPr>
                <w:b/>
                <w:bCs/>
                <w:color w:val="auto"/>
                <w:kern w:val="0"/>
                <w:sz w:val="21"/>
                <w:szCs w:val="21"/>
                <w:lang w:bidi="ar"/>
              </w:rPr>
              <w:t>(mg/L)</w:t>
            </w:r>
          </w:p>
        </w:tc>
        <w:tc>
          <w:tcPr>
            <w:tcW w:w="439" w:type="pct"/>
            <w:tcBorders>
              <w:tl2br w:val="nil"/>
              <w:tr2bl w:val="nil"/>
            </w:tcBorders>
            <w:shd w:val="clear" w:color="auto" w:fill="auto"/>
            <w:noWrap/>
            <w:vAlign w:val="center"/>
          </w:tcPr>
          <w:p w14:paraId="1AECB741">
            <w:pPr>
              <w:widowControl/>
              <w:spacing w:line="240" w:lineRule="auto"/>
              <w:ind w:firstLine="0" w:firstLineChars="0"/>
              <w:jc w:val="center"/>
              <w:textAlignment w:val="center"/>
              <w:rPr>
                <w:b/>
                <w:bCs/>
                <w:color w:val="auto"/>
                <w:kern w:val="0"/>
                <w:sz w:val="21"/>
                <w:szCs w:val="21"/>
                <w:lang w:bidi="ar"/>
              </w:rPr>
            </w:pPr>
            <w:r>
              <w:rPr>
                <w:b/>
                <w:bCs/>
                <w:color w:val="auto"/>
                <w:kern w:val="0"/>
                <w:sz w:val="21"/>
                <w:szCs w:val="21"/>
                <w:lang w:bidi="ar"/>
              </w:rPr>
              <w:t>(mg/L)</w:t>
            </w:r>
          </w:p>
        </w:tc>
      </w:tr>
      <w:tr w14:paraId="68DAD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2"/>
            <w:tcBorders>
              <w:tl2br w:val="nil"/>
              <w:tr2bl w:val="nil"/>
            </w:tcBorders>
            <w:shd w:val="clear" w:color="auto" w:fill="auto"/>
            <w:vAlign w:val="center"/>
          </w:tcPr>
          <w:p w14:paraId="390AA7F9">
            <w:pPr>
              <w:widowControl/>
              <w:spacing w:line="240" w:lineRule="auto"/>
              <w:ind w:firstLine="0" w:firstLineChars="0"/>
              <w:jc w:val="center"/>
              <w:textAlignment w:val="bottom"/>
              <w:rPr>
                <w:color w:val="auto"/>
                <w:kern w:val="0"/>
                <w:sz w:val="21"/>
                <w:szCs w:val="21"/>
                <w:lang w:bidi="ar"/>
              </w:rPr>
            </w:pPr>
            <w:r>
              <w:rPr>
                <w:b/>
                <w:bCs/>
                <w:color w:val="auto"/>
                <w:kern w:val="0"/>
                <w:sz w:val="21"/>
                <w:szCs w:val="21"/>
                <w:lang w:bidi="ar"/>
              </w:rPr>
              <w:t>封孔废水处理系统</w:t>
            </w:r>
          </w:p>
        </w:tc>
      </w:tr>
      <w:tr w14:paraId="3678C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6" w:type="pct"/>
            <w:gridSpan w:val="2"/>
            <w:tcBorders>
              <w:tl2br w:val="nil"/>
              <w:tr2bl w:val="nil"/>
            </w:tcBorders>
            <w:shd w:val="clear" w:color="auto" w:fill="auto"/>
            <w:vAlign w:val="center"/>
          </w:tcPr>
          <w:p w14:paraId="2E4115C4">
            <w:pPr>
              <w:widowControl/>
              <w:spacing w:line="240" w:lineRule="auto"/>
              <w:ind w:firstLine="0" w:firstLineChars="0"/>
              <w:jc w:val="center"/>
              <w:textAlignment w:val="center"/>
              <w:rPr>
                <w:color w:val="auto"/>
                <w:sz w:val="21"/>
                <w:szCs w:val="21"/>
              </w:rPr>
            </w:pPr>
            <w:r>
              <w:rPr>
                <w:color w:val="auto"/>
                <w:kern w:val="0"/>
                <w:sz w:val="21"/>
                <w:szCs w:val="21"/>
                <w:lang w:bidi="ar"/>
              </w:rPr>
              <w:t>进水浓度</w:t>
            </w:r>
          </w:p>
        </w:tc>
        <w:tc>
          <w:tcPr>
            <w:tcW w:w="469" w:type="pct"/>
            <w:tcBorders>
              <w:tl2br w:val="nil"/>
              <w:tr2bl w:val="nil"/>
            </w:tcBorders>
            <w:shd w:val="clear" w:color="auto" w:fill="auto"/>
            <w:vAlign w:val="center"/>
          </w:tcPr>
          <w:p w14:paraId="11ECC91D">
            <w:pPr>
              <w:widowControl/>
              <w:spacing w:line="240" w:lineRule="auto"/>
              <w:ind w:firstLine="0" w:firstLineChars="0"/>
              <w:jc w:val="center"/>
              <w:textAlignment w:val="center"/>
              <w:rPr>
                <w:color w:val="auto"/>
                <w:sz w:val="21"/>
                <w:szCs w:val="21"/>
              </w:rPr>
            </w:pPr>
            <w:r>
              <w:rPr>
                <w:color w:val="auto"/>
                <w:kern w:val="0"/>
                <w:sz w:val="21"/>
                <w:szCs w:val="21"/>
                <w:lang w:bidi="ar"/>
              </w:rPr>
              <w:t>400</w:t>
            </w:r>
          </w:p>
        </w:tc>
        <w:tc>
          <w:tcPr>
            <w:tcW w:w="469" w:type="pct"/>
            <w:tcBorders>
              <w:tl2br w:val="nil"/>
              <w:tr2bl w:val="nil"/>
            </w:tcBorders>
            <w:shd w:val="clear" w:color="auto" w:fill="auto"/>
            <w:vAlign w:val="center"/>
          </w:tcPr>
          <w:p w14:paraId="43EC06E5">
            <w:pPr>
              <w:widowControl/>
              <w:spacing w:line="240" w:lineRule="auto"/>
              <w:ind w:firstLine="0" w:firstLineChars="0"/>
              <w:jc w:val="center"/>
              <w:textAlignment w:val="center"/>
              <w:rPr>
                <w:color w:val="auto"/>
                <w:sz w:val="21"/>
                <w:szCs w:val="21"/>
              </w:rPr>
            </w:pPr>
            <w:r>
              <w:rPr>
                <w:color w:val="auto"/>
                <w:kern w:val="0"/>
                <w:sz w:val="21"/>
                <w:szCs w:val="21"/>
                <w:lang w:bidi="ar"/>
              </w:rPr>
              <w:t>40</w:t>
            </w:r>
          </w:p>
        </w:tc>
        <w:tc>
          <w:tcPr>
            <w:tcW w:w="515" w:type="pct"/>
            <w:tcBorders>
              <w:tl2br w:val="nil"/>
              <w:tr2bl w:val="nil"/>
            </w:tcBorders>
            <w:shd w:val="clear" w:color="auto" w:fill="auto"/>
            <w:vAlign w:val="center"/>
          </w:tcPr>
          <w:p w14:paraId="50D16338">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35</w:t>
            </w:r>
          </w:p>
        </w:tc>
        <w:tc>
          <w:tcPr>
            <w:tcW w:w="380" w:type="pct"/>
            <w:tcBorders>
              <w:tl2br w:val="nil"/>
              <w:tr2bl w:val="nil"/>
            </w:tcBorders>
            <w:shd w:val="clear" w:color="auto" w:fill="auto"/>
            <w:vAlign w:val="center"/>
          </w:tcPr>
          <w:p w14:paraId="0BD847FE">
            <w:pPr>
              <w:widowControl/>
              <w:spacing w:line="240" w:lineRule="auto"/>
              <w:ind w:firstLine="0" w:firstLineChars="0"/>
              <w:jc w:val="center"/>
              <w:textAlignment w:val="center"/>
              <w:rPr>
                <w:color w:val="auto"/>
                <w:sz w:val="21"/>
                <w:szCs w:val="21"/>
              </w:rPr>
            </w:pPr>
            <w:r>
              <w:rPr>
                <w:color w:val="auto"/>
                <w:kern w:val="0"/>
                <w:sz w:val="21"/>
                <w:szCs w:val="21"/>
                <w:lang w:bidi="ar"/>
              </w:rPr>
              <w:t>0.4</w:t>
            </w:r>
          </w:p>
        </w:tc>
        <w:tc>
          <w:tcPr>
            <w:tcW w:w="350" w:type="pct"/>
            <w:tcBorders>
              <w:tl2br w:val="nil"/>
              <w:tr2bl w:val="nil"/>
            </w:tcBorders>
            <w:shd w:val="clear" w:color="auto" w:fill="auto"/>
            <w:vAlign w:val="center"/>
          </w:tcPr>
          <w:p w14:paraId="034E9D4A">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50</w:t>
            </w:r>
          </w:p>
        </w:tc>
        <w:tc>
          <w:tcPr>
            <w:tcW w:w="381" w:type="pct"/>
            <w:tcBorders>
              <w:tl2br w:val="nil"/>
              <w:tr2bl w:val="nil"/>
            </w:tcBorders>
            <w:shd w:val="clear" w:color="auto" w:fill="auto"/>
            <w:vAlign w:val="center"/>
          </w:tcPr>
          <w:p w14:paraId="79F4D454">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60</w:t>
            </w:r>
          </w:p>
        </w:tc>
        <w:tc>
          <w:tcPr>
            <w:tcW w:w="350" w:type="pct"/>
            <w:tcBorders>
              <w:tl2br w:val="nil"/>
              <w:tr2bl w:val="nil"/>
            </w:tcBorders>
            <w:shd w:val="clear" w:color="auto" w:fill="auto"/>
            <w:vAlign w:val="center"/>
          </w:tcPr>
          <w:p w14:paraId="4082A06A">
            <w:pPr>
              <w:widowControl/>
              <w:spacing w:line="240" w:lineRule="auto"/>
              <w:ind w:firstLine="0" w:firstLineChars="0"/>
              <w:jc w:val="center"/>
              <w:textAlignment w:val="center"/>
              <w:rPr>
                <w:color w:val="auto"/>
                <w:sz w:val="21"/>
                <w:szCs w:val="21"/>
              </w:rPr>
            </w:pPr>
            <w:r>
              <w:rPr>
                <w:color w:val="auto"/>
                <w:kern w:val="0"/>
                <w:sz w:val="21"/>
                <w:szCs w:val="21"/>
                <w:lang w:bidi="ar"/>
              </w:rPr>
              <w:t>6</w:t>
            </w:r>
          </w:p>
        </w:tc>
        <w:tc>
          <w:tcPr>
            <w:tcW w:w="351" w:type="pct"/>
            <w:tcBorders>
              <w:tl2br w:val="nil"/>
              <w:tr2bl w:val="nil"/>
            </w:tcBorders>
            <w:shd w:val="clear" w:color="auto" w:fill="auto"/>
            <w:noWrap/>
            <w:vAlign w:val="center"/>
          </w:tcPr>
          <w:p w14:paraId="6E50E3B0">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303BC755">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005ACD0B">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450</w:t>
            </w:r>
          </w:p>
        </w:tc>
      </w:tr>
      <w:tr w14:paraId="348C7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52327485">
            <w:pPr>
              <w:widowControl/>
              <w:spacing w:line="240" w:lineRule="auto"/>
              <w:ind w:firstLine="0" w:firstLineChars="0"/>
              <w:jc w:val="center"/>
              <w:textAlignment w:val="center"/>
              <w:rPr>
                <w:color w:val="auto"/>
                <w:sz w:val="21"/>
                <w:szCs w:val="21"/>
              </w:rPr>
            </w:pPr>
            <w:r>
              <w:rPr>
                <w:color w:val="auto"/>
                <w:kern w:val="0"/>
                <w:sz w:val="21"/>
                <w:szCs w:val="21"/>
                <w:lang w:bidi="ar"/>
              </w:rPr>
              <w:t>一级反应池</w:t>
            </w:r>
          </w:p>
        </w:tc>
        <w:tc>
          <w:tcPr>
            <w:tcW w:w="485" w:type="pct"/>
            <w:tcBorders>
              <w:tl2br w:val="nil"/>
              <w:tr2bl w:val="nil"/>
            </w:tcBorders>
            <w:shd w:val="clear" w:color="auto" w:fill="auto"/>
            <w:vAlign w:val="center"/>
          </w:tcPr>
          <w:p w14:paraId="74ACFA9D">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2B17533F">
            <w:pPr>
              <w:widowControl/>
              <w:spacing w:line="240" w:lineRule="auto"/>
              <w:ind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0</w:t>
            </w:r>
          </w:p>
        </w:tc>
        <w:tc>
          <w:tcPr>
            <w:tcW w:w="469" w:type="pct"/>
            <w:tcBorders>
              <w:tl2br w:val="nil"/>
              <w:tr2bl w:val="nil"/>
            </w:tcBorders>
            <w:shd w:val="clear" w:color="auto" w:fill="auto"/>
            <w:vAlign w:val="center"/>
          </w:tcPr>
          <w:p w14:paraId="38E15541">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515" w:type="pct"/>
            <w:tcBorders>
              <w:tl2br w:val="nil"/>
              <w:tr2bl w:val="nil"/>
            </w:tcBorders>
            <w:shd w:val="clear" w:color="auto" w:fill="auto"/>
            <w:vAlign w:val="center"/>
          </w:tcPr>
          <w:p w14:paraId="37906F63">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0" w:type="pct"/>
            <w:tcBorders>
              <w:tl2br w:val="nil"/>
              <w:tr2bl w:val="nil"/>
            </w:tcBorders>
            <w:shd w:val="clear" w:color="auto" w:fill="auto"/>
            <w:vAlign w:val="center"/>
          </w:tcPr>
          <w:p w14:paraId="3B0DFB76">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50" w:type="pct"/>
            <w:tcBorders>
              <w:tl2br w:val="nil"/>
              <w:tr2bl w:val="nil"/>
            </w:tcBorders>
            <w:shd w:val="clear" w:color="auto" w:fill="auto"/>
            <w:vAlign w:val="center"/>
          </w:tcPr>
          <w:p w14:paraId="2274B72F">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72A44D54">
            <w:pPr>
              <w:widowControl/>
              <w:spacing w:line="240" w:lineRule="auto"/>
              <w:ind w:firstLine="0" w:firstLineChars="0"/>
              <w:jc w:val="center"/>
              <w:textAlignment w:val="center"/>
              <w:rPr>
                <w:color w:val="auto"/>
                <w:sz w:val="21"/>
                <w:szCs w:val="21"/>
              </w:rPr>
            </w:pPr>
            <w:r>
              <w:rPr>
                <w:color w:val="auto"/>
                <w:kern w:val="0"/>
                <w:sz w:val="21"/>
                <w:szCs w:val="21"/>
                <w:lang w:bidi="ar"/>
              </w:rPr>
              <w:t>16.67%</w:t>
            </w:r>
          </w:p>
        </w:tc>
        <w:tc>
          <w:tcPr>
            <w:tcW w:w="350" w:type="pct"/>
            <w:tcBorders>
              <w:tl2br w:val="nil"/>
              <w:tr2bl w:val="nil"/>
            </w:tcBorders>
            <w:shd w:val="clear" w:color="auto" w:fill="auto"/>
            <w:vAlign w:val="center"/>
          </w:tcPr>
          <w:p w14:paraId="243785C1">
            <w:pPr>
              <w:widowControl/>
              <w:spacing w:line="240" w:lineRule="auto"/>
              <w:ind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0</w:t>
            </w:r>
          </w:p>
        </w:tc>
        <w:tc>
          <w:tcPr>
            <w:tcW w:w="351" w:type="pct"/>
            <w:tcBorders>
              <w:tl2br w:val="nil"/>
              <w:tr2bl w:val="nil"/>
            </w:tcBorders>
            <w:shd w:val="clear" w:color="auto" w:fill="auto"/>
            <w:noWrap/>
            <w:vAlign w:val="center"/>
          </w:tcPr>
          <w:p w14:paraId="011308DF">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5247F8A0">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2E19F303">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eastAsia="等线"/>
                <w:color w:val="auto"/>
                <w:kern w:val="0"/>
                <w:sz w:val="21"/>
                <w:szCs w:val="21"/>
                <w:lang w:val="en-US" w:eastAsia="zh-CN" w:bidi="ar"/>
              </w:rPr>
              <w:t>0</w:t>
            </w:r>
          </w:p>
        </w:tc>
      </w:tr>
      <w:tr w14:paraId="46DF9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0B3FDABF">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2BB78BC2">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3B79580F">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400</w:t>
            </w:r>
          </w:p>
        </w:tc>
        <w:tc>
          <w:tcPr>
            <w:tcW w:w="469" w:type="pct"/>
            <w:tcBorders>
              <w:tl2br w:val="nil"/>
              <w:tr2bl w:val="nil"/>
            </w:tcBorders>
            <w:shd w:val="clear" w:color="auto" w:fill="auto"/>
            <w:vAlign w:val="center"/>
          </w:tcPr>
          <w:p w14:paraId="39341556">
            <w:pPr>
              <w:widowControl/>
              <w:spacing w:line="240" w:lineRule="auto"/>
              <w:ind w:firstLine="0" w:firstLineChars="0"/>
              <w:jc w:val="center"/>
              <w:textAlignment w:val="center"/>
              <w:rPr>
                <w:color w:val="auto"/>
                <w:sz w:val="21"/>
                <w:szCs w:val="21"/>
              </w:rPr>
            </w:pPr>
            <w:r>
              <w:rPr>
                <w:color w:val="auto"/>
                <w:kern w:val="0"/>
                <w:sz w:val="21"/>
                <w:szCs w:val="21"/>
                <w:lang w:bidi="ar"/>
              </w:rPr>
              <w:t>40.00</w:t>
            </w:r>
          </w:p>
        </w:tc>
        <w:tc>
          <w:tcPr>
            <w:tcW w:w="515" w:type="pct"/>
            <w:tcBorders>
              <w:tl2br w:val="nil"/>
              <w:tr2bl w:val="nil"/>
            </w:tcBorders>
            <w:shd w:val="clear" w:color="auto" w:fill="auto"/>
            <w:vAlign w:val="center"/>
          </w:tcPr>
          <w:p w14:paraId="1E234E93">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35</w:t>
            </w:r>
          </w:p>
        </w:tc>
        <w:tc>
          <w:tcPr>
            <w:tcW w:w="380" w:type="pct"/>
            <w:tcBorders>
              <w:tl2br w:val="nil"/>
              <w:tr2bl w:val="nil"/>
            </w:tcBorders>
            <w:shd w:val="clear" w:color="auto" w:fill="auto"/>
            <w:vAlign w:val="center"/>
          </w:tcPr>
          <w:p w14:paraId="4B8A1812">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0.4</w:t>
            </w:r>
          </w:p>
        </w:tc>
        <w:tc>
          <w:tcPr>
            <w:tcW w:w="350" w:type="pct"/>
            <w:tcBorders>
              <w:tl2br w:val="nil"/>
              <w:tr2bl w:val="nil"/>
            </w:tcBorders>
            <w:shd w:val="clear" w:color="auto" w:fill="auto"/>
            <w:vAlign w:val="center"/>
          </w:tcPr>
          <w:p w14:paraId="0BCA4D00">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50</w:t>
            </w:r>
          </w:p>
        </w:tc>
        <w:tc>
          <w:tcPr>
            <w:tcW w:w="381" w:type="pct"/>
            <w:tcBorders>
              <w:tl2br w:val="nil"/>
              <w:tr2bl w:val="nil"/>
            </w:tcBorders>
            <w:shd w:val="clear" w:color="auto" w:fill="auto"/>
            <w:vAlign w:val="center"/>
          </w:tcPr>
          <w:p w14:paraId="6AF8A009">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50</w:t>
            </w:r>
          </w:p>
        </w:tc>
        <w:tc>
          <w:tcPr>
            <w:tcW w:w="350" w:type="pct"/>
            <w:tcBorders>
              <w:tl2br w:val="nil"/>
              <w:tr2bl w:val="nil"/>
            </w:tcBorders>
            <w:shd w:val="clear" w:color="auto" w:fill="auto"/>
            <w:vAlign w:val="center"/>
          </w:tcPr>
          <w:p w14:paraId="5F206B75">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6</w:t>
            </w:r>
          </w:p>
        </w:tc>
        <w:tc>
          <w:tcPr>
            <w:tcW w:w="351" w:type="pct"/>
            <w:tcBorders>
              <w:tl2br w:val="nil"/>
              <w:tr2bl w:val="nil"/>
            </w:tcBorders>
            <w:shd w:val="clear" w:color="auto" w:fill="auto"/>
            <w:noWrap/>
            <w:vAlign w:val="center"/>
          </w:tcPr>
          <w:p w14:paraId="79C760CF">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70D9E852">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72B28D31">
            <w:pPr>
              <w:widowControl/>
              <w:spacing w:line="240" w:lineRule="auto"/>
              <w:ind w:firstLine="0" w:firstLineChars="0"/>
              <w:jc w:val="center"/>
              <w:textAlignment w:val="center"/>
              <w:rPr>
                <w:rFonts w:hint="default" w:eastAsia="等线"/>
                <w:color w:val="auto"/>
                <w:kern w:val="0"/>
                <w:sz w:val="21"/>
                <w:szCs w:val="21"/>
                <w:lang w:val="en-US" w:eastAsia="zh-CN" w:bidi="ar"/>
              </w:rPr>
            </w:pPr>
            <w:r>
              <w:rPr>
                <w:rFonts w:eastAsia="等线"/>
                <w:color w:val="auto"/>
                <w:kern w:val="0"/>
                <w:sz w:val="21"/>
                <w:szCs w:val="21"/>
                <w:lang w:bidi="ar"/>
              </w:rPr>
              <w:t>4</w:t>
            </w:r>
            <w:r>
              <w:rPr>
                <w:rFonts w:hint="eastAsia" w:eastAsia="等线"/>
                <w:color w:val="auto"/>
                <w:kern w:val="0"/>
                <w:sz w:val="21"/>
                <w:szCs w:val="21"/>
                <w:lang w:val="en-US" w:eastAsia="zh-CN" w:bidi="ar"/>
              </w:rPr>
              <w:t>50</w:t>
            </w:r>
          </w:p>
        </w:tc>
      </w:tr>
      <w:tr w14:paraId="37847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0ABC1A40">
            <w:pPr>
              <w:widowControl/>
              <w:spacing w:line="240" w:lineRule="auto"/>
              <w:ind w:firstLine="0" w:firstLineChars="0"/>
              <w:jc w:val="center"/>
              <w:textAlignment w:val="center"/>
              <w:rPr>
                <w:color w:val="auto"/>
                <w:sz w:val="21"/>
                <w:szCs w:val="21"/>
              </w:rPr>
            </w:pPr>
            <w:r>
              <w:rPr>
                <w:color w:val="auto"/>
                <w:kern w:val="0"/>
                <w:sz w:val="21"/>
                <w:szCs w:val="21"/>
                <w:lang w:bidi="ar"/>
              </w:rPr>
              <w:t>一级沉淀池</w:t>
            </w:r>
          </w:p>
        </w:tc>
        <w:tc>
          <w:tcPr>
            <w:tcW w:w="485" w:type="pct"/>
            <w:tcBorders>
              <w:tl2br w:val="nil"/>
              <w:tr2bl w:val="nil"/>
            </w:tcBorders>
            <w:shd w:val="clear" w:color="auto" w:fill="auto"/>
            <w:vAlign w:val="center"/>
          </w:tcPr>
          <w:p w14:paraId="6D47C258">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74F7938A">
            <w:pPr>
              <w:widowControl/>
              <w:spacing w:line="240" w:lineRule="auto"/>
              <w:ind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0</w:t>
            </w:r>
          </w:p>
        </w:tc>
        <w:tc>
          <w:tcPr>
            <w:tcW w:w="469" w:type="pct"/>
            <w:tcBorders>
              <w:tl2br w:val="nil"/>
              <w:tr2bl w:val="nil"/>
            </w:tcBorders>
            <w:shd w:val="clear" w:color="auto" w:fill="auto"/>
            <w:vAlign w:val="center"/>
          </w:tcPr>
          <w:p w14:paraId="58E412C9">
            <w:pPr>
              <w:widowControl/>
              <w:spacing w:line="240" w:lineRule="auto"/>
              <w:ind w:firstLine="0" w:firstLineChars="0"/>
              <w:jc w:val="center"/>
              <w:textAlignment w:val="center"/>
              <w:rPr>
                <w:color w:val="auto"/>
                <w:sz w:val="21"/>
                <w:szCs w:val="21"/>
              </w:rPr>
            </w:pPr>
            <w:r>
              <w:rPr>
                <w:color w:val="auto"/>
                <w:kern w:val="0"/>
                <w:sz w:val="21"/>
                <w:szCs w:val="21"/>
                <w:lang w:bidi="ar"/>
              </w:rPr>
              <w:t>13%</w:t>
            </w:r>
          </w:p>
        </w:tc>
        <w:tc>
          <w:tcPr>
            <w:tcW w:w="515" w:type="pct"/>
            <w:tcBorders>
              <w:tl2br w:val="nil"/>
              <w:tr2bl w:val="nil"/>
            </w:tcBorders>
            <w:shd w:val="clear" w:color="auto" w:fill="auto"/>
            <w:vAlign w:val="center"/>
          </w:tcPr>
          <w:p w14:paraId="40B19A63">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0" w:type="pct"/>
            <w:tcBorders>
              <w:tl2br w:val="nil"/>
              <w:tr2bl w:val="nil"/>
            </w:tcBorders>
            <w:shd w:val="clear" w:color="auto" w:fill="auto"/>
            <w:vAlign w:val="center"/>
          </w:tcPr>
          <w:p w14:paraId="787C9AFB">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w:t>
            </w:r>
          </w:p>
        </w:tc>
        <w:tc>
          <w:tcPr>
            <w:tcW w:w="350" w:type="pct"/>
            <w:tcBorders>
              <w:tl2br w:val="nil"/>
              <w:tr2bl w:val="nil"/>
            </w:tcBorders>
            <w:shd w:val="clear" w:color="auto" w:fill="auto"/>
            <w:vAlign w:val="center"/>
          </w:tcPr>
          <w:p w14:paraId="5F529946">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7ECF09A3">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350" w:type="pct"/>
            <w:tcBorders>
              <w:tl2br w:val="nil"/>
              <w:tr2bl w:val="nil"/>
            </w:tcBorders>
            <w:shd w:val="clear" w:color="auto" w:fill="auto"/>
            <w:vAlign w:val="center"/>
          </w:tcPr>
          <w:p w14:paraId="67B1B20A">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bidi="ar"/>
              </w:rPr>
              <w:t>5</w:t>
            </w:r>
            <w:r>
              <w:rPr>
                <w:color w:val="auto"/>
                <w:kern w:val="0"/>
                <w:sz w:val="21"/>
                <w:szCs w:val="21"/>
                <w:lang w:bidi="ar"/>
              </w:rPr>
              <w:t>%</w:t>
            </w:r>
          </w:p>
        </w:tc>
        <w:tc>
          <w:tcPr>
            <w:tcW w:w="351" w:type="pct"/>
            <w:tcBorders>
              <w:tl2br w:val="nil"/>
              <w:tr2bl w:val="nil"/>
            </w:tcBorders>
            <w:shd w:val="clear" w:color="auto" w:fill="auto"/>
            <w:noWrap/>
            <w:vAlign w:val="center"/>
          </w:tcPr>
          <w:p w14:paraId="27082557">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7E8D502C">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0E499276">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4.76%</w:t>
            </w:r>
          </w:p>
        </w:tc>
      </w:tr>
      <w:tr w14:paraId="55D37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6EE3F623">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3A6693A0">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0C3A4528">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400</w:t>
            </w:r>
          </w:p>
        </w:tc>
        <w:tc>
          <w:tcPr>
            <w:tcW w:w="469" w:type="pct"/>
            <w:tcBorders>
              <w:tl2br w:val="nil"/>
              <w:tr2bl w:val="nil"/>
            </w:tcBorders>
            <w:shd w:val="clear" w:color="auto" w:fill="auto"/>
            <w:vAlign w:val="center"/>
          </w:tcPr>
          <w:p w14:paraId="327BD5D1">
            <w:pPr>
              <w:widowControl/>
              <w:spacing w:line="240" w:lineRule="auto"/>
              <w:ind w:firstLine="0" w:firstLineChars="0"/>
              <w:jc w:val="center"/>
              <w:textAlignment w:val="center"/>
              <w:rPr>
                <w:color w:val="auto"/>
                <w:sz w:val="21"/>
                <w:szCs w:val="21"/>
              </w:rPr>
            </w:pPr>
            <w:r>
              <w:rPr>
                <w:color w:val="auto"/>
                <w:kern w:val="0"/>
                <w:sz w:val="21"/>
                <w:szCs w:val="21"/>
                <w:lang w:bidi="ar"/>
              </w:rPr>
              <w:t>34.67</w:t>
            </w:r>
          </w:p>
        </w:tc>
        <w:tc>
          <w:tcPr>
            <w:tcW w:w="515" w:type="pct"/>
            <w:tcBorders>
              <w:tl2br w:val="nil"/>
              <w:tr2bl w:val="nil"/>
            </w:tcBorders>
            <w:shd w:val="clear" w:color="auto" w:fill="auto"/>
            <w:vAlign w:val="center"/>
          </w:tcPr>
          <w:p w14:paraId="53C674F0">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35</w:t>
            </w:r>
          </w:p>
        </w:tc>
        <w:tc>
          <w:tcPr>
            <w:tcW w:w="380" w:type="pct"/>
            <w:tcBorders>
              <w:tl2br w:val="nil"/>
              <w:tr2bl w:val="nil"/>
            </w:tcBorders>
            <w:shd w:val="clear" w:color="auto" w:fill="auto"/>
            <w:vAlign w:val="center"/>
          </w:tcPr>
          <w:p w14:paraId="7F80F5FF">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0.4</w:t>
            </w:r>
          </w:p>
        </w:tc>
        <w:tc>
          <w:tcPr>
            <w:tcW w:w="350" w:type="pct"/>
            <w:tcBorders>
              <w:tl2br w:val="nil"/>
              <w:tr2bl w:val="nil"/>
            </w:tcBorders>
            <w:shd w:val="clear" w:color="auto" w:fill="auto"/>
            <w:vAlign w:val="center"/>
          </w:tcPr>
          <w:p w14:paraId="116A3D89">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50</w:t>
            </w:r>
          </w:p>
        </w:tc>
        <w:tc>
          <w:tcPr>
            <w:tcW w:w="381" w:type="pct"/>
            <w:tcBorders>
              <w:tl2br w:val="nil"/>
              <w:tr2bl w:val="nil"/>
            </w:tcBorders>
            <w:shd w:val="clear" w:color="auto" w:fill="auto"/>
            <w:vAlign w:val="center"/>
          </w:tcPr>
          <w:p w14:paraId="33C77B06">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40</w:t>
            </w:r>
          </w:p>
        </w:tc>
        <w:tc>
          <w:tcPr>
            <w:tcW w:w="350" w:type="pct"/>
            <w:tcBorders>
              <w:tl2br w:val="nil"/>
              <w:tr2bl w:val="nil"/>
            </w:tcBorders>
            <w:shd w:val="clear" w:color="auto" w:fill="auto"/>
            <w:vAlign w:val="center"/>
          </w:tcPr>
          <w:p w14:paraId="06C76F3F">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5.70</w:t>
            </w:r>
          </w:p>
        </w:tc>
        <w:tc>
          <w:tcPr>
            <w:tcW w:w="351" w:type="pct"/>
            <w:tcBorders>
              <w:tl2br w:val="nil"/>
              <w:tr2bl w:val="nil"/>
            </w:tcBorders>
            <w:shd w:val="clear" w:color="auto" w:fill="auto"/>
            <w:noWrap/>
            <w:vAlign w:val="center"/>
          </w:tcPr>
          <w:p w14:paraId="2C03841A">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1DEFA679">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0DD23F4F">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428.58</w:t>
            </w:r>
          </w:p>
        </w:tc>
      </w:tr>
      <w:tr w14:paraId="24735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2D1E315B">
            <w:pPr>
              <w:widowControl/>
              <w:spacing w:line="240" w:lineRule="auto"/>
              <w:ind w:firstLine="0" w:firstLineChars="0"/>
              <w:jc w:val="center"/>
              <w:textAlignment w:val="center"/>
              <w:rPr>
                <w:color w:val="auto"/>
                <w:sz w:val="21"/>
                <w:szCs w:val="21"/>
              </w:rPr>
            </w:pPr>
            <w:r>
              <w:rPr>
                <w:color w:val="auto"/>
                <w:kern w:val="0"/>
                <w:sz w:val="21"/>
                <w:szCs w:val="21"/>
                <w:lang w:bidi="ar"/>
              </w:rPr>
              <w:t>二级反应池</w:t>
            </w:r>
          </w:p>
        </w:tc>
        <w:tc>
          <w:tcPr>
            <w:tcW w:w="485" w:type="pct"/>
            <w:tcBorders>
              <w:tl2br w:val="nil"/>
              <w:tr2bl w:val="nil"/>
            </w:tcBorders>
            <w:shd w:val="clear" w:color="auto" w:fill="auto"/>
            <w:vAlign w:val="center"/>
          </w:tcPr>
          <w:p w14:paraId="7A583032">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243DDA96">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w:t>
            </w:r>
          </w:p>
        </w:tc>
        <w:tc>
          <w:tcPr>
            <w:tcW w:w="469" w:type="pct"/>
            <w:tcBorders>
              <w:tl2br w:val="nil"/>
              <w:tr2bl w:val="nil"/>
            </w:tcBorders>
            <w:shd w:val="clear" w:color="auto" w:fill="auto"/>
            <w:vAlign w:val="center"/>
          </w:tcPr>
          <w:p w14:paraId="73F78009">
            <w:pPr>
              <w:widowControl/>
              <w:spacing w:line="240" w:lineRule="auto"/>
              <w:ind w:firstLine="0" w:firstLineChars="0"/>
              <w:jc w:val="center"/>
              <w:textAlignment w:val="center"/>
              <w:rPr>
                <w:color w:val="auto"/>
                <w:sz w:val="21"/>
                <w:szCs w:val="21"/>
              </w:rPr>
            </w:pPr>
            <w:r>
              <w:rPr>
                <w:color w:val="auto"/>
                <w:kern w:val="0"/>
                <w:sz w:val="21"/>
                <w:szCs w:val="21"/>
                <w:lang w:bidi="ar"/>
              </w:rPr>
              <w:t>0%</w:t>
            </w:r>
          </w:p>
        </w:tc>
        <w:tc>
          <w:tcPr>
            <w:tcW w:w="515" w:type="pct"/>
            <w:tcBorders>
              <w:tl2br w:val="nil"/>
              <w:tr2bl w:val="nil"/>
            </w:tcBorders>
            <w:shd w:val="clear" w:color="auto" w:fill="auto"/>
            <w:vAlign w:val="center"/>
          </w:tcPr>
          <w:p w14:paraId="78F7C769">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0" w:type="pct"/>
            <w:tcBorders>
              <w:tl2br w:val="nil"/>
              <w:tr2bl w:val="nil"/>
            </w:tcBorders>
            <w:shd w:val="clear" w:color="auto" w:fill="auto"/>
            <w:vAlign w:val="center"/>
          </w:tcPr>
          <w:p w14:paraId="54AA07F2">
            <w:pPr>
              <w:widowControl/>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w:t>
            </w:r>
          </w:p>
        </w:tc>
        <w:tc>
          <w:tcPr>
            <w:tcW w:w="350" w:type="pct"/>
            <w:tcBorders>
              <w:tl2br w:val="nil"/>
              <w:tr2bl w:val="nil"/>
            </w:tcBorders>
            <w:shd w:val="clear" w:color="auto" w:fill="auto"/>
            <w:vAlign w:val="center"/>
          </w:tcPr>
          <w:p w14:paraId="19FFB20C">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015E35C1">
            <w:pPr>
              <w:widowControl/>
              <w:spacing w:line="240" w:lineRule="auto"/>
              <w:ind w:firstLine="0" w:firstLineChars="0"/>
              <w:jc w:val="center"/>
              <w:textAlignment w:val="center"/>
              <w:rPr>
                <w:color w:val="auto"/>
                <w:sz w:val="21"/>
                <w:szCs w:val="21"/>
              </w:rPr>
            </w:pPr>
            <w:r>
              <w:rPr>
                <w:color w:val="auto"/>
                <w:kern w:val="0"/>
                <w:sz w:val="21"/>
                <w:szCs w:val="21"/>
                <w:lang w:bidi="ar"/>
              </w:rPr>
              <w:t>25%</w:t>
            </w:r>
          </w:p>
        </w:tc>
        <w:tc>
          <w:tcPr>
            <w:tcW w:w="350" w:type="pct"/>
            <w:tcBorders>
              <w:tl2br w:val="nil"/>
              <w:tr2bl w:val="nil"/>
            </w:tcBorders>
            <w:shd w:val="clear" w:color="auto" w:fill="auto"/>
            <w:vAlign w:val="center"/>
          </w:tcPr>
          <w:p w14:paraId="1640D3DB">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51" w:type="pct"/>
            <w:tcBorders>
              <w:tl2br w:val="nil"/>
              <w:tr2bl w:val="nil"/>
            </w:tcBorders>
            <w:shd w:val="clear" w:color="auto" w:fill="auto"/>
            <w:noWrap/>
            <w:vAlign w:val="center"/>
          </w:tcPr>
          <w:p w14:paraId="500C2883">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7D7B1885">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76689043">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12.50%</w:t>
            </w:r>
          </w:p>
        </w:tc>
      </w:tr>
      <w:tr w14:paraId="79AB7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777F6296">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6CF60BA0">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3628F223">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400</w:t>
            </w:r>
          </w:p>
        </w:tc>
        <w:tc>
          <w:tcPr>
            <w:tcW w:w="469" w:type="pct"/>
            <w:tcBorders>
              <w:tl2br w:val="nil"/>
              <w:tr2bl w:val="nil"/>
            </w:tcBorders>
            <w:shd w:val="clear" w:color="auto" w:fill="auto"/>
            <w:vAlign w:val="center"/>
          </w:tcPr>
          <w:p w14:paraId="5BDDE9AD">
            <w:pPr>
              <w:widowControl/>
              <w:spacing w:line="240" w:lineRule="auto"/>
              <w:ind w:firstLine="0" w:firstLineChars="0"/>
              <w:jc w:val="center"/>
              <w:textAlignment w:val="center"/>
              <w:rPr>
                <w:color w:val="auto"/>
                <w:sz w:val="21"/>
                <w:szCs w:val="21"/>
              </w:rPr>
            </w:pPr>
            <w:r>
              <w:rPr>
                <w:color w:val="auto"/>
                <w:kern w:val="0"/>
                <w:sz w:val="21"/>
                <w:szCs w:val="21"/>
                <w:lang w:bidi="ar"/>
              </w:rPr>
              <w:t>34.67</w:t>
            </w:r>
          </w:p>
        </w:tc>
        <w:tc>
          <w:tcPr>
            <w:tcW w:w="515" w:type="pct"/>
            <w:tcBorders>
              <w:tl2br w:val="nil"/>
              <w:tr2bl w:val="nil"/>
            </w:tcBorders>
            <w:shd w:val="clear" w:color="auto" w:fill="auto"/>
            <w:vAlign w:val="center"/>
          </w:tcPr>
          <w:p w14:paraId="6B5A7E31">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35</w:t>
            </w:r>
          </w:p>
        </w:tc>
        <w:tc>
          <w:tcPr>
            <w:tcW w:w="380" w:type="pct"/>
            <w:tcBorders>
              <w:tl2br w:val="nil"/>
              <w:tr2bl w:val="nil"/>
            </w:tcBorders>
            <w:shd w:val="clear" w:color="auto" w:fill="auto"/>
            <w:vAlign w:val="center"/>
          </w:tcPr>
          <w:p w14:paraId="09A810AB">
            <w:pPr>
              <w:widowControl/>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0.4</w:t>
            </w:r>
          </w:p>
        </w:tc>
        <w:tc>
          <w:tcPr>
            <w:tcW w:w="350" w:type="pct"/>
            <w:tcBorders>
              <w:tl2br w:val="nil"/>
              <w:tr2bl w:val="nil"/>
            </w:tcBorders>
            <w:shd w:val="clear" w:color="auto" w:fill="auto"/>
            <w:vAlign w:val="center"/>
          </w:tcPr>
          <w:p w14:paraId="0F943522">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50</w:t>
            </w:r>
          </w:p>
        </w:tc>
        <w:tc>
          <w:tcPr>
            <w:tcW w:w="381" w:type="pct"/>
            <w:tcBorders>
              <w:tl2br w:val="nil"/>
              <w:tr2bl w:val="nil"/>
            </w:tcBorders>
            <w:shd w:val="clear" w:color="auto" w:fill="auto"/>
            <w:vAlign w:val="center"/>
          </w:tcPr>
          <w:p w14:paraId="43C717FE">
            <w:pPr>
              <w:widowControl/>
              <w:spacing w:line="240" w:lineRule="auto"/>
              <w:ind w:firstLine="0" w:firstLineChars="0"/>
              <w:jc w:val="center"/>
              <w:textAlignment w:val="center"/>
              <w:rPr>
                <w:color w:val="auto"/>
                <w:sz w:val="21"/>
                <w:szCs w:val="21"/>
              </w:rPr>
            </w:pPr>
            <w:r>
              <w:rPr>
                <w:color w:val="auto"/>
                <w:kern w:val="0"/>
                <w:sz w:val="21"/>
                <w:szCs w:val="21"/>
                <w:lang w:bidi="ar"/>
              </w:rPr>
              <w:t>15.00</w:t>
            </w:r>
          </w:p>
        </w:tc>
        <w:tc>
          <w:tcPr>
            <w:tcW w:w="350" w:type="pct"/>
            <w:tcBorders>
              <w:tl2br w:val="nil"/>
              <w:tr2bl w:val="nil"/>
            </w:tcBorders>
            <w:shd w:val="clear" w:color="auto" w:fill="auto"/>
            <w:vAlign w:val="center"/>
          </w:tcPr>
          <w:p w14:paraId="47F03F6B">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5.70</w:t>
            </w:r>
          </w:p>
        </w:tc>
        <w:tc>
          <w:tcPr>
            <w:tcW w:w="351" w:type="pct"/>
            <w:tcBorders>
              <w:tl2br w:val="nil"/>
              <w:tr2bl w:val="nil"/>
            </w:tcBorders>
            <w:shd w:val="clear" w:color="auto" w:fill="auto"/>
            <w:noWrap/>
            <w:vAlign w:val="center"/>
          </w:tcPr>
          <w:p w14:paraId="66BDC509">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193CC9F5">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4C1C6DC2">
            <w:pPr>
              <w:widowControl/>
              <w:spacing w:line="240" w:lineRule="auto"/>
              <w:ind w:firstLine="0" w:firstLineChars="0"/>
              <w:jc w:val="center"/>
              <w:textAlignment w:val="center"/>
              <w:rPr>
                <w:rFonts w:hint="default" w:eastAsia="等线"/>
                <w:color w:val="auto"/>
                <w:kern w:val="0"/>
                <w:sz w:val="21"/>
                <w:szCs w:val="21"/>
                <w:lang w:val="en-US" w:eastAsia="zh-CN" w:bidi="ar"/>
              </w:rPr>
            </w:pPr>
            <w:r>
              <w:rPr>
                <w:rFonts w:eastAsia="等线"/>
                <w:color w:val="auto"/>
                <w:kern w:val="0"/>
                <w:sz w:val="21"/>
                <w:szCs w:val="21"/>
                <w:lang w:bidi="ar"/>
              </w:rPr>
              <w:t>3</w:t>
            </w:r>
            <w:r>
              <w:rPr>
                <w:rFonts w:hint="eastAsia" w:eastAsia="等线"/>
                <w:color w:val="auto"/>
                <w:kern w:val="0"/>
                <w:sz w:val="21"/>
                <w:szCs w:val="21"/>
                <w:lang w:val="en-US" w:eastAsia="zh-CN" w:bidi="ar"/>
              </w:rPr>
              <w:t>75.01</w:t>
            </w:r>
          </w:p>
        </w:tc>
      </w:tr>
      <w:tr w14:paraId="26175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41E75FF7">
            <w:pPr>
              <w:widowControl/>
              <w:spacing w:line="240" w:lineRule="auto"/>
              <w:ind w:firstLine="0" w:firstLineChars="0"/>
              <w:jc w:val="center"/>
              <w:textAlignment w:val="center"/>
              <w:rPr>
                <w:color w:val="auto"/>
                <w:sz w:val="21"/>
                <w:szCs w:val="21"/>
              </w:rPr>
            </w:pPr>
            <w:r>
              <w:rPr>
                <w:color w:val="auto"/>
                <w:kern w:val="0"/>
                <w:sz w:val="21"/>
                <w:szCs w:val="21"/>
                <w:lang w:bidi="ar"/>
              </w:rPr>
              <w:t>二级沉淀池</w:t>
            </w:r>
          </w:p>
        </w:tc>
        <w:tc>
          <w:tcPr>
            <w:tcW w:w="485" w:type="pct"/>
            <w:tcBorders>
              <w:tl2br w:val="nil"/>
              <w:tr2bl w:val="nil"/>
            </w:tcBorders>
            <w:shd w:val="clear" w:color="auto" w:fill="auto"/>
            <w:vAlign w:val="center"/>
          </w:tcPr>
          <w:p w14:paraId="64594C7D">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50D8355F">
            <w:pPr>
              <w:widowControl/>
              <w:spacing w:line="240" w:lineRule="auto"/>
              <w:ind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0</w:t>
            </w:r>
          </w:p>
        </w:tc>
        <w:tc>
          <w:tcPr>
            <w:tcW w:w="469" w:type="pct"/>
            <w:tcBorders>
              <w:tl2br w:val="nil"/>
              <w:tr2bl w:val="nil"/>
            </w:tcBorders>
            <w:shd w:val="clear" w:color="auto" w:fill="auto"/>
            <w:vAlign w:val="center"/>
          </w:tcPr>
          <w:p w14:paraId="11844ED0">
            <w:pPr>
              <w:widowControl/>
              <w:spacing w:line="240" w:lineRule="auto"/>
              <w:ind w:firstLine="0" w:firstLineChars="0"/>
              <w:jc w:val="center"/>
              <w:textAlignment w:val="center"/>
              <w:rPr>
                <w:color w:val="auto"/>
                <w:sz w:val="21"/>
                <w:szCs w:val="21"/>
              </w:rPr>
            </w:pPr>
            <w:r>
              <w:rPr>
                <w:color w:val="auto"/>
                <w:kern w:val="0"/>
                <w:sz w:val="21"/>
                <w:szCs w:val="21"/>
                <w:lang w:bidi="ar"/>
              </w:rPr>
              <w:t>23.08%</w:t>
            </w:r>
          </w:p>
        </w:tc>
        <w:tc>
          <w:tcPr>
            <w:tcW w:w="515" w:type="pct"/>
            <w:tcBorders>
              <w:tl2br w:val="nil"/>
              <w:tr2bl w:val="nil"/>
            </w:tcBorders>
            <w:shd w:val="clear" w:color="auto" w:fill="auto"/>
            <w:vAlign w:val="center"/>
          </w:tcPr>
          <w:p w14:paraId="1BD0381D">
            <w:pPr>
              <w:widowControl/>
              <w:spacing w:line="240" w:lineRule="auto"/>
              <w:ind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0</w:t>
            </w:r>
          </w:p>
        </w:tc>
        <w:tc>
          <w:tcPr>
            <w:tcW w:w="380" w:type="pct"/>
            <w:tcBorders>
              <w:tl2br w:val="nil"/>
              <w:tr2bl w:val="nil"/>
            </w:tcBorders>
            <w:shd w:val="clear" w:color="auto" w:fill="auto"/>
            <w:vAlign w:val="center"/>
          </w:tcPr>
          <w:p w14:paraId="1E056D01">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50" w:type="pct"/>
            <w:tcBorders>
              <w:tl2br w:val="nil"/>
              <w:tr2bl w:val="nil"/>
            </w:tcBorders>
            <w:shd w:val="clear" w:color="auto" w:fill="auto"/>
            <w:vAlign w:val="center"/>
          </w:tcPr>
          <w:p w14:paraId="5133893E">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4124ED1C">
            <w:pPr>
              <w:widowControl/>
              <w:spacing w:line="240" w:lineRule="auto"/>
              <w:ind w:firstLine="0" w:firstLineChars="0"/>
              <w:jc w:val="center"/>
              <w:textAlignment w:val="center"/>
              <w:rPr>
                <w:color w:val="auto"/>
                <w:sz w:val="21"/>
                <w:szCs w:val="21"/>
              </w:rPr>
            </w:pPr>
            <w:r>
              <w:rPr>
                <w:color w:val="auto"/>
                <w:kern w:val="0"/>
                <w:sz w:val="21"/>
                <w:szCs w:val="21"/>
                <w:lang w:bidi="ar"/>
              </w:rPr>
              <w:t>33.33%</w:t>
            </w:r>
          </w:p>
        </w:tc>
        <w:tc>
          <w:tcPr>
            <w:tcW w:w="350" w:type="pct"/>
            <w:tcBorders>
              <w:tl2br w:val="nil"/>
              <w:tr2bl w:val="nil"/>
            </w:tcBorders>
            <w:shd w:val="clear" w:color="auto" w:fill="auto"/>
            <w:vAlign w:val="center"/>
          </w:tcPr>
          <w:p w14:paraId="40A91FFE">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bidi="ar"/>
              </w:rPr>
              <w:t>5</w:t>
            </w:r>
            <w:r>
              <w:rPr>
                <w:color w:val="auto"/>
                <w:kern w:val="0"/>
                <w:sz w:val="21"/>
                <w:szCs w:val="21"/>
                <w:lang w:bidi="ar"/>
              </w:rPr>
              <w:t>%</w:t>
            </w:r>
          </w:p>
        </w:tc>
        <w:tc>
          <w:tcPr>
            <w:tcW w:w="351" w:type="pct"/>
            <w:tcBorders>
              <w:tl2br w:val="nil"/>
              <w:tr2bl w:val="nil"/>
            </w:tcBorders>
            <w:shd w:val="clear" w:color="auto" w:fill="auto"/>
            <w:noWrap/>
            <w:vAlign w:val="center"/>
          </w:tcPr>
          <w:p w14:paraId="333D1E6D">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4AC51C8E">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06E54F14">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14.29%</w:t>
            </w:r>
          </w:p>
        </w:tc>
      </w:tr>
      <w:tr w14:paraId="3E75E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6967EA0C">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528ACB30">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31A1E1CE">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400</w:t>
            </w:r>
          </w:p>
        </w:tc>
        <w:tc>
          <w:tcPr>
            <w:tcW w:w="469" w:type="pct"/>
            <w:tcBorders>
              <w:tl2br w:val="nil"/>
              <w:tr2bl w:val="nil"/>
            </w:tcBorders>
            <w:shd w:val="clear" w:color="auto" w:fill="auto"/>
            <w:vAlign w:val="center"/>
          </w:tcPr>
          <w:p w14:paraId="2A606EDC">
            <w:pPr>
              <w:widowControl/>
              <w:spacing w:line="240" w:lineRule="auto"/>
              <w:ind w:firstLine="0" w:firstLineChars="0"/>
              <w:jc w:val="center"/>
              <w:textAlignment w:val="center"/>
              <w:rPr>
                <w:color w:val="auto"/>
                <w:sz w:val="21"/>
                <w:szCs w:val="21"/>
              </w:rPr>
            </w:pPr>
            <w:r>
              <w:rPr>
                <w:color w:val="auto"/>
                <w:kern w:val="0"/>
                <w:sz w:val="21"/>
                <w:szCs w:val="21"/>
                <w:lang w:bidi="ar"/>
              </w:rPr>
              <w:t>26.7</w:t>
            </w:r>
          </w:p>
        </w:tc>
        <w:tc>
          <w:tcPr>
            <w:tcW w:w="515" w:type="pct"/>
            <w:tcBorders>
              <w:tl2br w:val="nil"/>
              <w:tr2bl w:val="nil"/>
            </w:tcBorders>
            <w:shd w:val="clear" w:color="auto" w:fill="auto"/>
            <w:vAlign w:val="center"/>
          </w:tcPr>
          <w:p w14:paraId="5089AB4A">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35</w:t>
            </w:r>
          </w:p>
        </w:tc>
        <w:tc>
          <w:tcPr>
            <w:tcW w:w="380" w:type="pct"/>
            <w:tcBorders>
              <w:tl2br w:val="nil"/>
              <w:tr2bl w:val="nil"/>
            </w:tcBorders>
            <w:shd w:val="clear" w:color="auto" w:fill="auto"/>
            <w:vAlign w:val="center"/>
          </w:tcPr>
          <w:p w14:paraId="4C7D06A8">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0.4</w:t>
            </w:r>
          </w:p>
        </w:tc>
        <w:tc>
          <w:tcPr>
            <w:tcW w:w="350" w:type="pct"/>
            <w:tcBorders>
              <w:tl2br w:val="nil"/>
              <w:tr2bl w:val="nil"/>
            </w:tcBorders>
            <w:shd w:val="clear" w:color="auto" w:fill="auto"/>
            <w:vAlign w:val="center"/>
          </w:tcPr>
          <w:p w14:paraId="73752D86">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50</w:t>
            </w:r>
          </w:p>
        </w:tc>
        <w:tc>
          <w:tcPr>
            <w:tcW w:w="381" w:type="pct"/>
            <w:tcBorders>
              <w:tl2br w:val="nil"/>
              <w:tr2bl w:val="nil"/>
            </w:tcBorders>
            <w:shd w:val="clear" w:color="auto" w:fill="auto"/>
            <w:vAlign w:val="center"/>
          </w:tcPr>
          <w:p w14:paraId="71606D5B">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20</w:t>
            </w:r>
          </w:p>
        </w:tc>
        <w:tc>
          <w:tcPr>
            <w:tcW w:w="350" w:type="pct"/>
            <w:tcBorders>
              <w:tl2br w:val="nil"/>
              <w:tr2bl w:val="nil"/>
            </w:tcBorders>
            <w:shd w:val="clear" w:color="auto" w:fill="auto"/>
            <w:vAlign w:val="center"/>
          </w:tcPr>
          <w:p w14:paraId="1B5029AE">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5.4</w:t>
            </w:r>
          </w:p>
        </w:tc>
        <w:tc>
          <w:tcPr>
            <w:tcW w:w="351" w:type="pct"/>
            <w:tcBorders>
              <w:tl2br w:val="nil"/>
              <w:tr2bl w:val="nil"/>
            </w:tcBorders>
            <w:shd w:val="clear" w:color="auto" w:fill="auto"/>
            <w:noWrap/>
            <w:vAlign w:val="center"/>
          </w:tcPr>
          <w:p w14:paraId="6D5BC828">
            <w:pPr>
              <w:widowControl/>
              <w:spacing w:line="240" w:lineRule="auto"/>
              <w:ind w:firstLine="0" w:firstLineChars="0"/>
              <w:jc w:val="center"/>
              <w:textAlignment w:val="center"/>
              <w:rPr>
                <w:color w:val="auto"/>
                <w:sz w:val="21"/>
                <w:szCs w:val="21"/>
              </w:rPr>
            </w:pPr>
            <w:r>
              <w:rPr>
                <w:color w:val="auto"/>
                <w:kern w:val="0"/>
                <w:sz w:val="21"/>
                <w:szCs w:val="21"/>
                <w:lang w:bidi="ar"/>
              </w:rPr>
              <w:t>/</w:t>
            </w:r>
          </w:p>
        </w:tc>
        <w:tc>
          <w:tcPr>
            <w:tcW w:w="424" w:type="pct"/>
            <w:tcBorders>
              <w:tl2br w:val="nil"/>
              <w:tr2bl w:val="nil"/>
            </w:tcBorders>
            <w:shd w:val="clear" w:color="auto" w:fill="auto"/>
            <w:noWrap/>
            <w:vAlign w:val="center"/>
          </w:tcPr>
          <w:p w14:paraId="751A9F76">
            <w:pPr>
              <w:widowControl/>
              <w:spacing w:line="240" w:lineRule="auto"/>
              <w:ind w:firstLine="0" w:firstLineChars="0"/>
              <w:jc w:val="center"/>
              <w:textAlignment w:val="bottom"/>
              <w:rPr>
                <w:color w:val="auto"/>
                <w:sz w:val="21"/>
                <w:szCs w:val="21"/>
              </w:rPr>
            </w:pPr>
            <w:r>
              <w:rPr>
                <w:color w:val="auto"/>
                <w:kern w:val="0"/>
                <w:sz w:val="21"/>
                <w:szCs w:val="21"/>
                <w:lang w:bidi="ar"/>
              </w:rPr>
              <w:t>/</w:t>
            </w:r>
          </w:p>
        </w:tc>
        <w:tc>
          <w:tcPr>
            <w:tcW w:w="439" w:type="pct"/>
            <w:tcBorders>
              <w:tl2br w:val="nil"/>
              <w:tr2bl w:val="nil"/>
            </w:tcBorders>
            <w:shd w:val="clear" w:color="auto" w:fill="auto"/>
            <w:noWrap/>
            <w:vAlign w:val="center"/>
          </w:tcPr>
          <w:p w14:paraId="196478AA">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321.40</w:t>
            </w:r>
          </w:p>
        </w:tc>
      </w:tr>
      <w:tr w14:paraId="3B998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2"/>
            <w:tcBorders>
              <w:tl2br w:val="nil"/>
              <w:tr2bl w:val="nil"/>
            </w:tcBorders>
            <w:shd w:val="clear" w:color="auto" w:fill="auto"/>
            <w:vAlign w:val="center"/>
          </w:tcPr>
          <w:p w14:paraId="4B8EAD41">
            <w:pPr>
              <w:widowControl/>
              <w:spacing w:line="240" w:lineRule="auto"/>
              <w:ind w:firstLine="0" w:firstLineChars="0"/>
              <w:jc w:val="center"/>
              <w:textAlignment w:val="bottom"/>
              <w:rPr>
                <w:color w:val="auto"/>
                <w:kern w:val="0"/>
                <w:sz w:val="21"/>
                <w:szCs w:val="21"/>
                <w:lang w:bidi="ar"/>
              </w:rPr>
            </w:pPr>
            <w:r>
              <w:rPr>
                <w:b/>
                <w:bCs/>
                <w:color w:val="auto"/>
                <w:kern w:val="0"/>
                <w:sz w:val="21"/>
                <w:szCs w:val="21"/>
                <w:lang w:bidi="ar"/>
              </w:rPr>
              <w:t>综合废水处理系统</w:t>
            </w:r>
          </w:p>
        </w:tc>
      </w:tr>
      <w:tr w14:paraId="40E9F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6" w:type="pct"/>
            <w:gridSpan w:val="2"/>
            <w:tcBorders>
              <w:tl2br w:val="nil"/>
              <w:tr2bl w:val="nil"/>
            </w:tcBorders>
            <w:shd w:val="clear" w:color="auto" w:fill="auto"/>
            <w:vAlign w:val="center"/>
          </w:tcPr>
          <w:p w14:paraId="0B110612">
            <w:pPr>
              <w:widowControl/>
              <w:spacing w:line="240" w:lineRule="auto"/>
              <w:ind w:firstLine="0" w:firstLineChars="0"/>
              <w:jc w:val="center"/>
              <w:textAlignment w:val="center"/>
              <w:rPr>
                <w:color w:val="auto"/>
                <w:sz w:val="21"/>
                <w:szCs w:val="21"/>
              </w:rPr>
            </w:pPr>
            <w:r>
              <w:rPr>
                <w:color w:val="auto"/>
                <w:kern w:val="0"/>
                <w:sz w:val="21"/>
                <w:szCs w:val="21"/>
                <w:lang w:bidi="ar"/>
              </w:rPr>
              <w:t>进水浓度</w:t>
            </w:r>
          </w:p>
        </w:tc>
        <w:tc>
          <w:tcPr>
            <w:tcW w:w="469" w:type="pct"/>
            <w:tcBorders>
              <w:tl2br w:val="nil"/>
              <w:tr2bl w:val="nil"/>
            </w:tcBorders>
            <w:shd w:val="clear" w:color="auto" w:fill="auto"/>
            <w:noWrap/>
            <w:vAlign w:val="bottom"/>
          </w:tcPr>
          <w:p w14:paraId="27229ECE">
            <w:pPr>
              <w:widowControl/>
              <w:spacing w:line="240" w:lineRule="auto"/>
              <w:ind w:firstLine="0" w:firstLineChars="0"/>
              <w:jc w:val="center"/>
              <w:textAlignment w:val="bottom"/>
              <w:rPr>
                <w:color w:val="auto"/>
                <w:sz w:val="21"/>
                <w:szCs w:val="21"/>
              </w:rPr>
            </w:pPr>
            <w:r>
              <w:rPr>
                <w:rFonts w:eastAsia="等线"/>
                <w:color w:val="auto"/>
                <w:kern w:val="0"/>
                <w:sz w:val="21"/>
                <w:szCs w:val="21"/>
                <w:lang w:bidi="ar"/>
              </w:rPr>
              <w:t>289.45</w:t>
            </w:r>
          </w:p>
        </w:tc>
        <w:tc>
          <w:tcPr>
            <w:tcW w:w="469" w:type="pct"/>
            <w:tcBorders>
              <w:tl2br w:val="nil"/>
              <w:tr2bl w:val="nil"/>
            </w:tcBorders>
            <w:shd w:val="clear" w:color="auto" w:fill="auto"/>
            <w:noWrap/>
            <w:vAlign w:val="bottom"/>
          </w:tcPr>
          <w:p w14:paraId="76331C80">
            <w:pPr>
              <w:widowControl/>
              <w:spacing w:line="240" w:lineRule="auto"/>
              <w:ind w:firstLine="0" w:firstLineChars="0"/>
              <w:jc w:val="center"/>
              <w:textAlignment w:val="bottom"/>
              <w:rPr>
                <w:color w:val="auto"/>
                <w:sz w:val="21"/>
                <w:szCs w:val="21"/>
              </w:rPr>
            </w:pPr>
            <w:r>
              <w:rPr>
                <w:rFonts w:eastAsia="等线"/>
                <w:color w:val="auto"/>
                <w:kern w:val="0"/>
                <w:sz w:val="21"/>
                <w:szCs w:val="21"/>
                <w:lang w:bidi="ar"/>
              </w:rPr>
              <w:t>44.62</w:t>
            </w:r>
          </w:p>
        </w:tc>
        <w:tc>
          <w:tcPr>
            <w:tcW w:w="515" w:type="pct"/>
            <w:tcBorders>
              <w:tl2br w:val="nil"/>
              <w:tr2bl w:val="nil"/>
            </w:tcBorders>
            <w:shd w:val="clear" w:color="auto" w:fill="auto"/>
            <w:noWrap/>
            <w:vAlign w:val="bottom"/>
          </w:tcPr>
          <w:p w14:paraId="21D94846">
            <w:pPr>
              <w:widowControl/>
              <w:spacing w:line="240" w:lineRule="auto"/>
              <w:ind w:firstLine="0" w:firstLineChars="0"/>
              <w:jc w:val="center"/>
              <w:textAlignment w:val="bottom"/>
              <w:rPr>
                <w:rFonts w:hint="default" w:eastAsia="宋体"/>
                <w:color w:val="auto"/>
                <w:sz w:val="21"/>
                <w:szCs w:val="21"/>
                <w:lang w:val="en-US" w:eastAsia="zh-CN"/>
              </w:rPr>
            </w:pPr>
            <w:r>
              <w:rPr>
                <w:rFonts w:hint="eastAsia"/>
                <w:color w:val="auto"/>
                <w:sz w:val="21"/>
                <w:szCs w:val="21"/>
                <w:lang w:val="en-US" w:eastAsia="zh-CN"/>
              </w:rPr>
              <w:t>17.86</w:t>
            </w:r>
          </w:p>
        </w:tc>
        <w:tc>
          <w:tcPr>
            <w:tcW w:w="380" w:type="pct"/>
            <w:tcBorders>
              <w:tl2br w:val="nil"/>
              <w:tr2bl w:val="nil"/>
            </w:tcBorders>
            <w:shd w:val="clear" w:color="auto" w:fill="auto"/>
            <w:noWrap/>
            <w:vAlign w:val="bottom"/>
          </w:tcPr>
          <w:p w14:paraId="27B65CF4">
            <w:pPr>
              <w:widowControl/>
              <w:spacing w:line="240" w:lineRule="auto"/>
              <w:ind w:firstLine="0" w:firstLineChars="0"/>
              <w:jc w:val="center"/>
              <w:textAlignment w:val="bottom"/>
              <w:rPr>
                <w:color w:val="auto"/>
                <w:sz w:val="21"/>
                <w:szCs w:val="21"/>
              </w:rPr>
            </w:pPr>
            <w:r>
              <w:rPr>
                <w:rFonts w:eastAsia="等线"/>
                <w:color w:val="auto"/>
                <w:kern w:val="0"/>
                <w:sz w:val="21"/>
                <w:szCs w:val="21"/>
                <w:lang w:bidi="ar"/>
              </w:rPr>
              <w:t>0.21</w:t>
            </w:r>
          </w:p>
        </w:tc>
        <w:tc>
          <w:tcPr>
            <w:tcW w:w="350" w:type="pct"/>
            <w:tcBorders>
              <w:tl2br w:val="nil"/>
              <w:tr2bl w:val="nil"/>
            </w:tcBorders>
            <w:shd w:val="clear" w:color="auto" w:fill="auto"/>
            <w:noWrap/>
            <w:vAlign w:val="bottom"/>
          </w:tcPr>
          <w:p w14:paraId="1A18C6F9">
            <w:pPr>
              <w:widowControl/>
              <w:spacing w:line="240" w:lineRule="auto"/>
              <w:ind w:firstLine="0" w:firstLineChars="0"/>
              <w:jc w:val="center"/>
              <w:textAlignment w:val="bottom"/>
              <w:rPr>
                <w:rFonts w:hint="default" w:eastAsia="等线"/>
                <w:color w:val="auto"/>
                <w:sz w:val="21"/>
                <w:szCs w:val="21"/>
                <w:lang w:val="en-US" w:eastAsia="zh-CN"/>
              </w:rPr>
            </w:pPr>
            <w:r>
              <w:rPr>
                <w:rFonts w:eastAsia="等线"/>
                <w:color w:val="auto"/>
                <w:kern w:val="0"/>
                <w:sz w:val="21"/>
                <w:szCs w:val="21"/>
                <w:lang w:bidi="ar"/>
              </w:rPr>
              <w:t>28.</w:t>
            </w:r>
            <w:r>
              <w:rPr>
                <w:rFonts w:hint="eastAsia" w:eastAsia="等线"/>
                <w:color w:val="auto"/>
                <w:kern w:val="0"/>
                <w:sz w:val="21"/>
                <w:szCs w:val="21"/>
                <w:lang w:val="en-US" w:eastAsia="zh-CN" w:bidi="ar"/>
              </w:rPr>
              <w:t>11</w:t>
            </w:r>
          </w:p>
        </w:tc>
        <w:tc>
          <w:tcPr>
            <w:tcW w:w="381" w:type="pct"/>
            <w:tcBorders>
              <w:tl2br w:val="nil"/>
              <w:tr2bl w:val="nil"/>
            </w:tcBorders>
            <w:shd w:val="clear" w:color="auto" w:fill="auto"/>
            <w:noWrap/>
            <w:vAlign w:val="bottom"/>
          </w:tcPr>
          <w:p w14:paraId="4395F920">
            <w:pPr>
              <w:widowControl/>
              <w:spacing w:line="240" w:lineRule="auto"/>
              <w:ind w:firstLine="0" w:firstLineChars="0"/>
              <w:jc w:val="center"/>
              <w:textAlignment w:val="bottom"/>
              <w:rPr>
                <w:color w:val="auto"/>
                <w:sz w:val="21"/>
                <w:szCs w:val="21"/>
              </w:rPr>
            </w:pPr>
            <w:r>
              <w:rPr>
                <w:rFonts w:eastAsia="等线"/>
                <w:color w:val="auto"/>
                <w:kern w:val="0"/>
                <w:sz w:val="21"/>
                <w:szCs w:val="21"/>
                <w:lang w:bidi="ar"/>
              </w:rPr>
              <w:t>1455.69</w:t>
            </w:r>
          </w:p>
        </w:tc>
        <w:tc>
          <w:tcPr>
            <w:tcW w:w="350" w:type="pct"/>
            <w:tcBorders>
              <w:tl2br w:val="nil"/>
              <w:tr2bl w:val="nil"/>
            </w:tcBorders>
            <w:shd w:val="clear" w:color="auto" w:fill="auto"/>
            <w:noWrap/>
            <w:vAlign w:val="bottom"/>
          </w:tcPr>
          <w:p w14:paraId="6B832314">
            <w:pPr>
              <w:widowControl/>
              <w:spacing w:line="240" w:lineRule="auto"/>
              <w:ind w:firstLine="0" w:firstLineChars="0"/>
              <w:jc w:val="center"/>
              <w:textAlignment w:val="bottom"/>
              <w:rPr>
                <w:color w:val="auto"/>
                <w:sz w:val="21"/>
                <w:szCs w:val="21"/>
              </w:rPr>
            </w:pPr>
            <w:r>
              <w:rPr>
                <w:rFonts w:eastAsia="等线"/>
                <w:color w:val="auto"/>
                <w:kern w:val="0"/>
                <w:sz w:val="21"/>
                <w:szCs w:val="21"/>
                <w:lang w:bidi="ar"/>
              </w:rPr>
              <w:t>7.61</w:t>
            </w:r>
          </w:p>
        </w:tc>
        <w:tc>
          <w:tcPr>
            <w:tcW w:w="351" w:type="pct"/>
            <w:tcBorders>
              <w:tl2br w:val="nil"/>
              <w:tr2bl w:val="nil"/>
            </w:tcBorders>
            <w:shd w:val="clear" w:color="auto" w:fill="auto"/>
            <w:noWrap/>
            <w:vAlign w:val="bottom"/>
          </w:tcPr>
          <w:p w14:paraId="20E5AA08">
            <w:pPr>
              <w:widowControl/>
              <w:spacing w:line="240" w:lineRule="auto"/>
              <w:ind w:firstLine="0" w:firstLineChars="0"/>
              <w:jc w:val="center"/>
              <w:textAlignment w:val="bottom"/>
              <w:rPr>
                <w:color w:val="auto"/>
                <w:sz w:val="21"/>
                <w:szCs w:val="21"/>
              </w:rPr>
            </w:pPr>
            <w:r>
              <w:rPr>
                <w:color w:val="auto"/>
                <w:kern w:val="0"/>
                <w:sz w:val="21"/>
                <w:szCs w:val="21"/>
                <w:lang w:bidi="ar"/>
              </w:rPr>
              <w:t>24.22</w:t>
            </w:r>
          </w:p>
        </w:tc>
        <w:tc>
          <w:tcPr>
            <w:tcW w:w="424" w:type="pct"/>
            <w:tcBorders>
              <w:tl2br w:val="nil"/>
              <w:tr2bl w:val="nil"/>
            </w:tcBorders>
            <w:shd w:val="clear" w:color="auto" w:fill="auto"/>
            <w:noWrap/>
            <w:vAlign w:val="bottom"/>
          </w:tcPr>
          <w:p w14:paraId="25B8C0CF">
            <w:pPr>
              <w:widowControl/>
              <w:spacing w:line="240" w:lineRule="auto"/>
              <w:ind w:firstLine="0" w:firstLineChars="0"/>
              <w:jc w:val="center"/>
              <w:textAlignment w:val="bottom"/>
              <w:rPr>
                <w:rFonts w:hint="default" w:eastAsia="宋体"/>
                <w:color w:val="auto"/>
                <w:sz w:val="21"/>
                <w:szCs w:val="21"/>
                <w:lang w:val="en-US" w:eastAsia="zh-CN"/>
              </w:rPr>
            </w:pPr>
            <w:r>
              <w:rPr>
                <w:rFonts w:hint="eastAsia"/>
                <w:color w:val="auto"/>
                <w:sz w:val="21"/>
                <w:szCs w:val="21"/>
                <w:lang w:val="en-US" w:eastAsia="zh-CN"/>
              </w:rPr>
              <w:t>363.35</w:t>
            </w:r>
          </w:p>
        </w:tc>
        <w:tc>
          <w:tcPr>
            <w:tcW w:w="439" w:type="pct"/>
            <w:tcBorders>
              <w:tl2br w:val="nil"/>
              <w:tr2bl w:val="nil"/>
            </w:tcBorders>
            <w:shd w:val="clear" w:color="auto" w:fill="auto"/>
            <w:noWrap/>
            <w:vAlign w:val="bottom"/>
          </w:tcPr>
          <w:p w14:paraId="3BC99F1D">
            <w:pPr>
              <w:widowControl/>
              <w:spacing w:line="240" w:lineRule="auto"/>
              <w:ind w:firstLine="0" w:firstLineChars="0"/>
              <w:jc w:val="center"/>
              <w:textAlignment w:val="bottom"/>
              <w:rPr>
                <w:color w:val="auto"/>
                <w:kern w:val="0"/>
                <w:sz w:val="21"/>
                <w:szCs w:val="21"/>
                <w:lang w:bidi="ar"/>
              </w:rPr>
            </w:pPr>
            <w:r>
              <w:rPr>
                <w:color w:val="auto"/>
                <w:kern w:val="0"/>
                <w:sz w:val="21"/>
                <w:szCs w:val="21"/>
                <w:lang w:bidi="ar"/>
              </w:rPr>
              <w:t>960.30</w:t>
            </w:r>
          </w:p>
        </w:tc>
      </w:tr>
      <w:tr w14:paraId="6B6B1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6A49379D">
            <w:pPr>
              <w:widowControl/>
              <w:spacing w:line="240" w:lineRule="auto"/>
              <w:ind w:firstLine="0" w:firstLineChars="0"/>
              <w:jc w:val="center"/>
              <w:textAlignment w:val="center"/>
              <w:rPr>
                <w:color w:val="auto"/>
                <w:sz w:val="21"/>
                <w:szCs w:val="21"/>
              </w:rPr>
            </w:pPr>
            <w:r>
              <w:rPr>
                <w:color w:val="auto"/>
                <w:kern w:val="0"/>
                <w:sz w:val="21"/>
                <w:szCs w:val="21"/>
                <w:lang w:bidi="ar"/>
              </w:rPr>
              <w:t>综合废水调节池</w:t>
            </w:r>
          </w:p>
        </w:tc>
        <w:tc>
          <w:tcPr>
            <w:tcW w:w="485" w:type="pct"/>
            <w:tcBorders>
              <w:tl2br w:val="nil"/>
              <w:tr2bl w:val="nil"/>
            </w:tcBorders>
            <w:shd w:val="clear" w:color="auto" w:fill="auto"/>
            <w:vAlign w:val="center"/>
          </w:tcPr>
          <w:p w14:paraId="15E77700">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6BCD033B">
            <w:pPr>
              <w:widowControl/>
              <w:spacing w:line="240" w:lineRule="auto"/>
              <w:ind w:firstLine="0" w:firstLineChars="0"/>
              <w:jc w:val="center"/>
              <w:textAlignment w:val="center"/>
              <w:rPr>
                <w:rFonts w:hint="eastAsia" w:eastAsia="宋体"/>
                <w:color w:val="auto"/>
                <w:sz w:val="21"/>
                <w:szCs w:val="21"/>
                <w:lang w:eastAsia="zh-CN"/>
              </w:rPr>
            </w:pPr>
            <w:r>
              <w:rPr>
                <w:rFonts w:hint="eastAsia" w:eastAsia="等线"/>
                <w:color w:val="auto"/>
                <w:kern w:val="0"/>
                <w:sz w:val="21"/>
                <w:szCs w:val="21"/>
                <w:lang w:val="en-US" w:eastAsia="zh-CN" w:bidi="ar"/>
              </w:rPr>
              <w:t>0</w:t>
            </w:r>
          </w:p>
        </w:tc>
        <w:tc>
          <w:tcPr>
            <w:tcW w:w="469" w:type="pct"/>
            <w:tcBorders>
              <w:tl2br w:val="nil"/>
              <w:tr2bl w:val="nil"/>
            </w:tcBorders>
            <w:shd w:val="clear" w:color="auto" w:fill="auto"/>
            <w:vAlign w:val="center"/>
          </w:tcPr>
          <w:p w14:paraId="3301CC2C">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w:t>
            </w:r>
          </w:p>
        </w:tc>
        <w:tc>
          <w:tcPr>
            <w:tcW w:w="515" w:type="pct"/>
            <w:tcBorders>
              <w:tl2br w:val="nil"/>
              <w:tr2bl w:val="nil"/>
            </w:tcBorders>
            <w:shd w:val="clear" w:color="auto" w:fill="auto"/>
            <w:vAlign w:val="center"/>
          </w:tcPr>
          <w:p w14:paraId="67027073">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0" w:type="pct"/>
            <w:tcBorders>
              <w:tl2br w:val="nil"/>
              <w:tr2bl w:val="nil"/>
            </w:tcBorders>
            <w:shd w:val="clear" w:color="auto" w:fill="auto"/>
            <w:vAlign w:val="center"/>
          </w:tcPr>
          <w:p w14:paraId="63A0DC05">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w:t>
            </w:r>
          </w:p>
        </w:tc>
        <w:tc>
          <w:tcPr>
            <w:tcW w:w="350" w:type="pct"/>
            <w:tcBorders>
              <w:tl2br w:val="nil"/>
              <w:tr2bl w:val="nil"/>
            </w:tcBorders>
            <w:shd w:val="clear" w:color="auto" w:fill="auto"/>
            <w:vAlign w:val="center"/>
          </w:tcPr>
          <w:p w14:paraId="2D258967">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1415093D">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98%</w:t>
            </w:r>
          </w:p>
        </w:tc>
        <w:tc>
          <w:tcPr>
            <w:tcW w:w="350" w:type="pct"/>
            <w:tcBorders>
              <w:tl2br w:val="nil"/>
              <w:tr2bl w:val="nil"/>
            </w:tcBorders>
            <w:shd w:val="clear" w:color="auto" w:fill="auto"/>
            <w:vAlign w:val="center"/>
          </w:tcPr>
          <w:p w14:paraId="06103451">
            <w:pPr>
              <w:widowControl/>
              <w:spacing w:line="240" w:lineRule="auto"/>
              <w:ind w:firstLine="0" w:firstLineChars="0"/>
              <w:jc w:val="center"/>
              <w:textAlignment w:val="center"/>
              <w:rPr>
                <w:rFonts w:hint="eastAsia" w:eastAsia="宋体"/>
                <w:color w:val="auto"/>
                <w:sz w:val="21"/>
                <w:szCs w:val="21"/>
                <w:lang w:eastAsia="zh-CN"/>
              </w:rPr>
            </w:pPr>
            <w:r>
              <w:rPr>
                <w:rFonts w:hint="eastAsia" w:eastAsia="等线"/>
                <w:color w:val="auto"/>
                <w:kern w:val="0"/>
                <w:sz w:val="21"/>
                <w:szCs w:val="21"/>
                <w:lang w:val="en-US" w:eastAsia="zh-CN" w:bidi="ar"/>
              </w:rPr>
              <w:t>0</w:t>
            </w:r>
          </w:p>
        </w:tc>
        <w:tc>
          <w:tcPr>
            <w:tcW w:w="351" w:type="pct"/>
            <w:tcBorders>
              <w:tl2br w:val="nil"/>
              <w:tr2bl w:val="nil"/>
            </w:tcBorders>
            <w:shd w:val="clear" w:color="auto" w:fill="auto"/>
            <w:noWrap/>
            <w:vAlign w:val="bottom"/>
          </w:tcPr>
          <w:p w14:paraId="36B3C205">
            <w:pPr>
              <w:widowControl/>
              <w:spacing w:line="240" w:lineRule="auto"/>
              <w:ind w:firstLine="0" w:firstLineChars="0"/>
              <w:jc w:val="center"/>
              <w:textAlignment w:val="bottom"/>
              <w:rPr>
                <w:color w:val="auto"/>
                <w:sz w:val="21"/>
                <w:szCs w:val="21"/>
              </w:rPr>
            </w:pPr>
            <w:r>
              <w:rPr>
                <w:rFonts w:hint="eastAsia"/>
                <w:color w:val="auto"/>
                <w:kern w:val="0"/>
                <w:sz w:val="21"/>
                <w:szCs w:val="21"/>
                <w:lang w:val="en-US" w:eastAsia="zh-CN" w:bidi="ar"/>
              </w:rPr>
              <w:t>0</w:t>
            </w:r>
            <w:r>
              <w:rPr>
                <w:color w:val="auto"/>
                <w:kern w:val="0"/>
                <w:sz w:val="21"/>
                <w:szCs w:val="21"/>
                <w:lang w:bidi="ar"/>
              </w:rPr>
              <w:t>%</w:t>
            </w:r>
          </w:p>
        </w:tc>
        <w:tc>
          <w:tcPr>
            <w:tcW w:w="424" w:type="pct"/>
            <w:tcBorders>
              <w:tl2br w:val="nil"/>
              <w:tr2bl w:val="nil"/>
            </w:tcBorders>
            <w:shd w:val="clear" w:color="auto" w:fill="auto"/>
            <w:noWrap/>
            <w:vAlign w:val="bottom"/>
          </w:tcPr>
          <w:p w14:paraId="2927154E">
            <w:pPr>
              <w:widowControl/>
              <w:spacing w:line="240" w:lineRule="auto"/>
              <w:ind w:firstLine="0" w:firstLineChars="0"/>
              <w:jc w:val="center"/>
              <w:textAlignment w:val="bottom"/>
              <w:rPr>
                <w:color w:val="auto"/>
                <w:sz w:val="21"/>
                <w:szCs w:val="21"/>
              </w:rPr>
            </w:pPr>
            <w:r>
              <w:rPr>
                <w:rFonts w:hint="eastAsia"/>
                <w:color w:val="auto"/>
                <w:kern w:val="0"/>
                <w:sz w:val="21"/>
                <w:szCs w:val="21"/>
                <w:lang w:val="en-US" w:eastAsia="zh-CN" w:bidi="ar"/>
              </w:rPr>
              <w:t>0</w:t>
            </w:r>
            <w:r>
              <w:rPr>
                <w:color w:val="auto"/>
                <w:kern w:val="0"/>
                <w:sz w:val="21"/>
                <w:szCs w:val="21"/>
                <w:lang w:bidi="ar"/>
              </w:rPr>
              <w:t>%</w:t>
            </w:r>
          </w:p>
        </w:tc>
        <w:tc>
          <w:tcPr>
            <w:tcW w:w="439" w:type="pct"/>
            <w:tcBorders>
              <w:tl2br w:val="nil"/>
              <w:tr2bl w:val="nil"/>
            </w:tcBorders>
            <w:shd w:val="clear" w:color="auto" w:fill="auto"/>
            <w:noWrap/>
            <w:vAlign w:val="center"/>
          </w:tcPr>
          <w:p w14:paraId="5B6922DB">
            <w:pPr>
              <w:widowControl/>
              <w:spacing w:line="240" w:lineRule="auto"/>
              <w:ind w:firstLine="0" w:firstLineChars="0"/>
              <w:jc w:val="center"/>
              <w:textAlignment w:val="center"/>
              <w:rPr>
                <w:rFonts w:hint="eastAsia" w:eastAsia="宋体"/>
                <w:color w:val="auto"/>
                <w:kern w:val="0"/>
                <w:sz w:val="21"/>
                <w:szCs w:val="21"/>
                <w:lang w:eastAsia="zh-CN" w:bidi="ar"/>
              </w:rPr>
            </w:pPr>
            <w:r>
              <w:rPr>
                <w:rFonts w:hint="eastAsia" w:eastAsia="等线"/>
                <w:color w:val="auto"/>
                <w:kern w:val="0"/>
                <w:sz w:val="21"/>
                <w:szCs w:val="21"/>
                <w:lang w:val="en-US" w:eastAsia="zh-CN" w:bidi="ar"/>
              </w:rPr>
              <w:t>0</w:t>
            </w:r>
          </w:p>
        </w:tc>
      </w:tr>
      <w:tr w14:paraId="490AE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0752C259">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0CF67520">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65F80738">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289.45</w:t>
            </w:r>
          </w:p>
        </w:tc>
        <w:tc>
          <w:tcPr>
            <w:tcW w:w="469" w:type="pct"/>
            <w:tcBorders>
              <w:tl2br w:val="nil"/>
              <w:tr2bl w:val="nil"/>
            </w:tcBorders>
            <w:shd w:val="clear" w:color="auto" w:fill="auto"/>
            <w:vAlign w:val="center"/>
          </w:tcPr>
          <w:p w14:paraId="7739CAD4">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44.62</w:t>
            </w:r>
          </w:p>
        </w:tc>
        <w:tc>
          <w:tcPr>
            <w:tcW w:w="515" w:type="pct"/>
            <w:tcBorders>
              <w:tl2br w:val="nil"/>
              <w:tr2bl w:val="nil"/>
            </w:tcBorders>
            <w:shd w:val="clear" w:color="auto" w:fill="auto"/>
            <w:vAlign w:val="center"/>
          </w:tcPr>
          <w:p w14:paraId="7F271EE6">
            <w:pPr>
              <w:widowControl/>
              <w:spacing w:line="240" w:lineRule="auto"/>
              <w:ind w:firstLine="0" w:firstLineChars="0"/>
              <w:jc w:val="center"/>
              <w:textAlignment w:val="center"/>
              <w:rPr>
                <w:rFonts w:hint="default" w:eastAsia="等线"/>
                <w:color w:val="auto"/>
                <w:sz w:val="21"/>
                <w:szCs w:val="21"/>
                <w:lang w:val="en-US" w:eastAsia="zh-CN"/>
              </w:rPr>
            </w:pPr>
            <w:r>
              <w:rPr>
                <w:rFonts w:eastAsia="等线"/>
                <w:color w:val="auto"/>
                <w:kern w:val="0"/>
                <w:sz w:val="21"/>
                <w:szCs w:val="21"/>
                <w:lang w:bidi="ar"/>
              </w:rPr>
              <w:t>1</w:t>
            </w:r>
            <w:r>
              <w:rPr>
                <w:rFonts w:hint="eastAsia" w:eastAsia="等线"/>
                <w:color w:val="auto"/>
                <w:kern w:val="0"/>
                <w:sz w:val="21"/>
                <w:szCs w:val="21"/>
                <w:lang w:val="en-US" w:eastAsia="zh-CN" w:bidi="ar"/>
              </w:rPr>
              <w:t>7.86</w:t>
            </w:r>
          </w:p>
        </w:tc>
        <w:tc>
          <w:tcPr>
            <w:tcW w:w="380" w:type="pct"/>
            <w:tcBorders>
              <w:tl2br w:val="nil"/>
              <w:tr2bl w:val="nil"/>
            </w:tcBorders>
            <w:shd w:val="clear" w:color="auto" w:fill="auto"/>
            <w:vAlign w:val="center"/>
          </w:tcPr>
          <w:p w14:paraId="1AD94F60">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0.21</w:t>
            </w:r>
          </w:p>
        </w:tc>
        <w:tc>
          <w:tcPr>
            <w:tcW w:w="350" w:type="pct"/>
            <w:tcBorders>
              <w:tl2br w:val="nil"/>
              <w:tr2bl w:val="nil"/>
            </w:tcBorders>
            <w:shd w:val="clear" w:color="auto" w:fill="auto"/>
            <w:vAlign w:val="center"/>
          </w:tcPr>
          <w:p w14:paraId="1DC6C60E">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2</w:t>
            </w:r>
            <w:r>
              <w:rPr>
                <w:rFonts w:hint="eastAsia" w:eastAsia="等线"/>
                <w:color w:val="auto"/>
                <w:kern w:val="0"/>
                <w:sz w:val="21"/>
                <w:szCs w:val="21"/>
                <w:lang w:val="en-US" w:eastAsia="zh-CN" w:bidi="ar"/>
              </w:rPr>
              <w:t>8</w:t>
            </w:r>
            <w:r>
              <w:rPr>
                <w:rFonts w:eastAsia="等线"/>
                <w:color w:val="auto"/>
                <w:kern w:val="0"/>
                <w:sz w:val="21"/>
                <w:szCs w:val="21"/>
                <w:lang w:bidi="ar"/>
              </w:rPr>
              <w:t>.11</w:t>
            </w:r>
          </w:p>
        </w:tc>
        <w:tc>
          <w:tcPr>
            <w:tcW w:w="381" w:type="pct"/>
            <w:tcBorders>
              <w:tl2br w:val="nil"/>
              <w:tr2bl w:val="nil"/>
            </w:tcBorders>
            <w:shd w:val="clear" w:color="auto" w:fill="auto"/>
            <w:vAlign w:val="center"/>
          </w:tcPr>
          <w:p w14:paraId="6DA8D90E">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26.20</w:t>
            </w:r>
          </w:p>
        </w:tc>
        <w:tc>
          <w:tcPr>
            <w:tcW w:w="350" w:type="pct"/>
            <w:tcBorders>
              <w:tl2br w:val="nil"/>
              <w:tr2bl w:val="nil"/>
            </w:tcBorders>
            <w:shd w:val="clear" w:color="auto" w:fill="auto"/>
            <w:vAlign w:val="center"/>
          </w:tcPr>
          <w:p w14:paraId="019BE35A">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7.61</w:t>
            </w:r>
          </w:p>
        </w:tc>
        <w:tc>
          <w:tcPr>
            <w:tcW w:w="351" w:type="pct"/>
            <w:tcBorders>
              <w:tl2br w:val="nil"/>
              <w:tr2bl w:val="nil"/>
            </w:tcBorders>
            <w:shd w:val="clear" w:color="auto" w:fill="auto"/>
            <w:vAlign w:val="center"/>
          </w:tcPr>
          <w:p w14:paraId="546DB183">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24.22</w:t>
            </w:r>
          </w:p>
        </w:tc>
        <w:tc>
          <w:tcPr>
            <w:tcW w:w="424" w:type="pct"/>
            <w:tcBorders>
              <w:tl2br w:val="nil"/>
              <w:tr2bl w:val="nil"/>
            </w:tcBorders>
            <w:shd w:val="clear" w:color="auto" w:fill="auto"/>
            <w:vAlign w:val="center"/>
          </w:tcPr>
          <w:p w14:paraId="0F3FC2D0">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363.35</w:t>
            </w:r>
          </w:p>
        </w:tc>
        <w:tc>
          <w:tcPr>
            <w:tcW w:w="439" w:type="pct"/>
            <w:tcBorders>
              <w:tl2br w:val="nil"/>
              <w:tr2bl w:val="nil"/>
            </w:tcBorders>
            <w:shd w:val="clear" w:color="auto" w:fill="auto"/>
            <w:vAlign w:val="center"/>
          </w:tcPr>
          <w:p w14:paraId="1C216ACC">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960.30</w:t>
            </w:r>
          </w:p>
        </w:tc>
      </w:tr>
      <w:tr w14:paraId="6A8CD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4265DFD0">
            <w:pPr>
              <w:widowControl/>
              <w:spacing w:line="240" w:lineRule="auto"/>
              <w:ind w:firstLine="0" w:firstLineChars="0"/>
              <w:jc w:val="center"/>
              <w:textAlignment w:val="center"/>
              <w:rPr>
                <w:color w:val="auto"/>
                <w:sz w:val="21"/>
                <w:szCs w:val="21"/>
              </w:rPr>
            </w:pPr>
            <w:r>
              <w:rPr>
                <w:color w:val="auto"/>
                <w:kern w:val="0"/>
                <w:sz w:val="21"/>
                <w:szCs w:val="21"/>
                <w:lang w:bidi="ar"/>
              </w:rPr>
              <w:t>反应池</w:t>
            </w:r>
          </w:p>
        </w:tc>
        <w:tc>
          <w:tcPr>
            <w:tcW w:w="485" w:type="pct"/>
            <w:tcBorders>
              <w:tl2br w:val="nil"/>
              <w:tr2bl w:val="nil"/>
            </w:tcBorders>
            <w:shd w:val="clear" w:color="auto" w:fill="auto"/>
            <w:vAlign w:val="center"/>
          </w:tcPr>
          <w:p w14:paraId="594808DA">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3B886850">
            <w:pPr>
              <w:widowControl/>
              <w:spacing w:line="240" w:lineRule="auto"/>
              <w:ind w:firstLine="0" w:firstLineChars="0"/>
              <w:jc w:val="center"/>
              <w:textAlignment w:val="center"/>
              <w:rPr>
                <w:color w:val="auto"/>
                <w:sz w:val="21"/>
                <w:szCs w:val="21"/>
              </w:rPr>
            </w:pPr>
            <w:r>
              <w:rPr>
                <w:rFonts w:hint="eastAsia" w:eastAsia="等线"/>
                <w:color w:val="auto"/>
                <w:kern w:val="0"/>
                <w:sz w:val="21"/>
                <w:szCs w:val="21"/>
                <w:lang w:val="en-US" w:eastAsia="zh-CN" w:bidi="ar"/>
              </w:rPr>
              <w:t>10</w:t>
            </w:r>
            <w:r>
              <w:rPr>
                <w:rFonts w:eastAsia="等线"/>
                <w:color w:val="auto"/>
                <w:kern w:val="0"/>
                <w:sz w:val="21"/>
                <w:szCs w:val="21"/>
                <w:lang w:bidi="ar"/>
              </w:rPr>
              <w:t>%</w:t>
            </w:r>
          </w:p>
        </w:tc>
        <w:tc>
          <w:tcPr>
            <w:tcW w:w="469" w:type="pct"/>
            <w:tcBorders>
              <w:tl2br w:val="nil"/>
              <w:tr2bl w:val="nil"/>
            </w:tcBorders>
            <w:shd w:val="clear" w:color="auto" w:fill="auto"/>
            <w:vAlign w:val="center"/>
          </w:tcPr>
          <w:p w14:paraId="7B16AC16">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w:t>
            </w:r>
          </w:p>
        </w:tc>
        <w:tc>
          <w:tcPr>
            <w:tcW w:w="515" w:type="pct"/>
            <w:tcBorders>
              <w:tl2br w:val="nil"/>
              <w:tr2bl w:val="nil"/>
            </w:tcBorders>
            <w:shd w:val="clear" w:color="auto" w:fill="auto"/>
            <w:vAlign w:val="center"/>
          </w:tcPr>
          <w:p w14:paraId="2FD4BED4">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0" w:type="pct"/>
            <w:tcBorders>
              <w:tl2br w:val="nil"/>
              <w:tr2bl w:val="nil"/>
            </w:tcBorders>
            <w:shd w:val="clear" w:color="auto" w:fill="auto"/>
            <w:vAlign w:val="center"/>
          </w:tcPr>
          <w:p w14:paraId="0FA9A828">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50" w:type="pct"/>
            <w:tcBorders>
              <w:tl2br w:val="nil"/>
              <w:tr2bl w:val="nil"/>
            </w:tcBorders>
            <w:shd w:val="clear" w:color="auto" w:fill="auto"/>
            <w:vAlign w:val="center"/>
          </w:tcPr>
          <w:p w14:paraId="7AA4B189">
            <w:pPr>
              <w:widowControl/>
              <w:spacing w:line="240" w:lineRule="auto"/>
              <w:ind w:firstLine="0" w:firstLineChars="0"/>
              <w:jc w:val="center"/>
              <w:textAlignment w:val="center"/>
              <w:rPr>
                <w:color w:val="auto"/>
                <w:sz w:val="21"/>
                <w:szCs w:val="21"/>
              </w:rPr>
            </w:pPr>
            <w:r>
              <w:rPr>
                <w:rFonts w:hint="eastAsia" w:eastAsia="等线"/>
                <w:color w:val="auto"/>
                <w:kern w:val="0"/>
                <w:sz w:val="21"/>
                <w:szCs w:val="21"/>
                <w:lang w:val="en-US" w:eastAsia="zh-CN" w:bidi="ar"/>
              </w:rPr>
              <w:t>0</w:t>
            </w:r>
          </w:p>
        </w:tc>
        <w:tc>
          <w:tcPr>
            <w:tcW w:w="381" w:type="pct"/>
            <w:tcBorders>
              <w:tl2br w:val="nil"/>
              <w:tr2bl w:val="nil"/>
            </w:tcBorders>
            <w:shd w:val="clear" w:color="auto" w:fill="auto"/>
            <w:vAlign w:val="center"/>
          </w:tcPr>
          <w:p w14:paraId="1B3BDF04">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85%</w:t>
            </w:r>
          </w:p>
        </w:tc>
        <w:tc>
          <w:tcPr>
            <w:tcW w:w="350" w:type="pct"/>
            <w:tcBorders>
              <w:tl2br w:val="nil"/>
              <w:tr2bl w:val="nil"/>
            </w:tcBorders>
            <w:shd w:val="clear" w:color="auto" w:fill="auto"/>
            <w:vAlign w:val="center"/>
          </w:tcPr>
          <w:p w14:paraId="62E754DF">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15%</w:t>
            </w:r>
          </w:p>
        </w:tc>
        <w:tc>
          <w:tcPr>
            <w:tcW w:w="351" w:type="pct"/>
            <w:tcBorders>
              <w:tl2br w:val="nil"/>
              <w:tr2bl w:val="nil"/>
            </w:tcBorders>
            <w:shd w:val="clear" w:color="auto" w:fill="auto"/>
            <w:noWrap/>
            <w:vAlign w:val="bottom"/>
          </w:tcPr>
          <w:p w14:paraId="5FAFE698">
            <w:pPr>
              <w:widowControl/>
              <w:spacing w:line="240" w:lineRule="auto"/>
              <w:ind w:firstLine="0" w:firstLineChars="0"/>
              <w:jc w:val="center"/>
              <w:textAlignment w:val="bottom"/>
              <w:rPr>
                <w:color w:val="auto"/>
                <w:sz w:val="21"/>
                <w:szCs w:val="21"/>
              </w:rPr>
            </w:pPr>
            <w:r>
              <w:rPr>
                <w:rFonts w:hint="eastAsia"/>
                <w:color w:val="auto"/>
                <w:kern w:val="0"/>
                <w:sz w:val="21"/>
                <w:szCs w:val="21"/>
                <w:lang w:val="en-US" w:eastAsia="zh-CN" w:bidi="ar"/>
              </w:rPr>
              <w:t>87</w:t>
            </w:r>
            <w:r>
              <w:rPr>
                <w:color w:val="auto"/>
                <w:kern w:val="0"/>
                <w:sz w:val="21"/>
                <w:szCs w:val="21"/>
                <w:lang w:bidi="ar"/>
              </w:rPr>
              <w:t>%</w:t>
            </w:r>
          </w:p>
        </w:tc>
        <w:tc>
          <w:tcPr>
            <w:tcW w:w="424" w:type="pct"/>
            <w:tcBorders>
              <w:tl2br w:val="nil"/>
              <w:tr2bl w:val="nil"/>
            </w:tcBorders>
            <w:shd w:val="clear" w:color="auto" w:fill="auto"/>
            <w:noWrap/>
            <w:vAlign w:val="bottom"/>
          </w:tcPr>
          <w:p w14:paraId="7A2E5186">
            <w:pPr>
              <w:widowControl/>
              <w:spacing w:line="240" w:lineRule="auto"/>
              <w:ind w:firstLine="0" w:firstLineChars="0"/>
              <w:jc w:val="center"/>
              <w:textAlignment w:val="bottom"/>
              <w:rPr>
                <w:color w:val="auto"/>
                <w:sz w:val="21"/>
                <w:szCs w:val="21"/>
              </w:rPr>
            </w:pPr>
            <w:r>
              <w:rPr>
                <w:color w:val="auto"/>
                <w:kern w:val="0"/>
                <w:sz w:val="21"/>
                <w:szCs w:val="21"/>
                <w:lang w:bidi="ar"/>
              </w:rPr>
              <w:t>9</w:t>
            </w:r>
            <w:r>
              <w:rPr>
                <w:rFonts w:hint="eastAsia"/>
                <w:color w:val="auto"/>
                <w:kern w:val="0"/>
                <w:sz w:val="21"/>
                <w:szCs w:val="21"/>
                <w:lang w:val="en-US" w:eastAsia="zh-CN" w:bidi="ar"/>
              </w:rPr>
              <w:t>5</w:t>
            </w:r>
            <w:r>
              <w:rPr>
                <w:color w:val="auto"/>
                <w:kern w:val="0"/>
                <w:sz w:val="21"/>
                <w:szCs w:val="21"/>
                <w:lang w:bidi="ar"/>
              </w:rPr>
              <w:t>%</w:t>
            </w:r>
          </w:p>
        </w:tc>
        <w:tc>
          <w:tcPr>
            <w:tcW w:w="439" w:type="pct"/>
            <w:tcBorders>
              <w:tl2br w:val="nil"/>
              <w:tr2bl w:val="nil"/>
            </w:tcBorders>
            <w:shd w:val="clear" w:color="auto" w:fill="auto"/>
            <w:noWrap/>
            <w:vAlign w:val="center"/>
          </w:tcPr>
          <w:p w14:paraId="5DFA68A1">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25%</w:t>
            </w:r>
          </w:p>
        </w:tc>
      </w:tr>
      <w:tr w14:paraId="4C9DA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0" w:type="pct"/>
            <w:vMerge w:val="continue"/>
            <w:tcBorders>
              <w:tl2br w:val="nil"/>
              <w:tr2bl w:val="nil"/>
            </w:tcBorders>
            <w:shd w:val="clear" w:color="auto" w:fill="auto"/>
            <w:vAlign w:val="center"/>
          </w:tcPr>
          <w:p w14:paraId="385ABBE8">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0BE79477">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4E376342">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260.50</w:t>
            </w:r>
          </w:p>
        </w:tc>
        <w:tc>
          <w:tcPr>
            <w:tcW w:w="469" w:type="pct"/>
            <w:tcBorders>
              <w:tl2br w:val="nil"/>
              <w:tr2bl w:val="nil"/>
            </w:tcBorders>
            <w:shd w:val="clear" w:color="auto" w:fill="auto"/>
            <w:vAlign w:val="center"/>
          </w:tcPr>
          <w:p w14:paraId="3DE7C680">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44.6</w:t>
            </w:r>
          </w:p>
        </w:tc>
        <w:tc>
          <w:tcPr>
            <w:tcW w:w="515" w:type="pct"/>
            <w:tcBorders>
              <w:tl2br w:val="nil"/>
              <w:tr2bl w:val="nil"/>
            </w:tcBorders>
            <w:shd w:val="clear" w:color="auto" w:fill="auto"/>
            <w:vAlign w:val="center"/>
          </w:tcPr>
          <w:p w14:paraId="7FB6E913">
            <w:pPr>
              <w:widowControl/>
              <w:spacing w:line="240" w:lineRule="auto"/>
              <w:ind w:firstLine="0" w:firstLineChars="0"/>
              <w:jc w:val="center"/>
              <w:textAlignment w:val="center"/>
              <w:rPr>
                <w:rFonts w:hint="default" w:eastAsia="等线"/>
                <w:color w:val="auto"/>
                <w:sz w:val="21"/>
                <w:szCs w:val="21"/>
                <w:lang w:val="en-US" w:eastAsia="zh-CN"/>
              </w:rPr>
            </w:pPr>
            <w:r>
              <w:rPr>
                <w:rFonts w:eastAsia="等线"/>
                <w:color w:val="auto"/>
                <w:kern w:val="0"/>
                <w:sz w:val="21"/>
                <w:szCs w:val="21"/>
                <w:lang w:bidi="ar"/>
              </w:rPr>
              <w:t>17</w:t>
            </w:r>
            <w:r>
              <w:rPr>
                <w:rFonts w:hint="eastAsia" w:eastAsia="等线"/>
                <w:color w:val="auto"/>
                <w:kern w:val="0"/>
                <w:sz w:val="21"/>
                <w:szCs w:val="21"/>
                <w:lang w:val="en-US" w:eastAsia="zh-CN" w:bidi="ar"/>
              </w:rPr>
              <w:t>.86</w:t>
            </w:r>
          </w:p>
        </w:tc>
        <w:tc>
          <w:tcPr>
            <w:tcW w:w="380" w:type="pct"/>
            <w:tcBorders>
              <w:tl2br w:val="nil"/>
              <w:tr2bl w:val="nil"/>
            </w:tcBorders>
            <w:shd w:val="clear" w:color="auto" w:fill="auto"/>
            <w:vAlign w:val="center"/>
          </w:tcPr>
          <w:p w14:paraId="2718702B">
            <w:pPr>
              <w:widowControl/>
              <w:spacing w:line="240" w:lineRule="auto"/>
              <w:ind w:firstLine="0" w:firstLineChars="0"/>
              <w:jc w:val="center"/>
              <w:textAlignment w:val="center"/>
              <w:rPr>
                <w:rFonts w:hint="default" w:eastAsia="等线"/>
                <w:color w:val="auto"/>
                <w:sz w:val="21"/>
                <w:szCs w:val="21"/>
                <w:lang w:val="en-US" w:eastAsia="zh-CN"/>
              </w:rPr>
            </w:pPr>
            <w:r>
              <w:rPr>
                <w:rFonts w:eastAsia="等线"/>
                <w:color w:val="auto"/>
                <w:kern w:val="0"/>
                <w:sz w:val="21"/>
                <w:szCs w:val="21"/>
                <w:lang w:bidi="ar"/>
              </w:rPr>
              <w:t>0.</w:t>
            </w:r>
            <w:r>
              <w:rPr>
                <w:rFonts w:hint="eastAsia" w:eastAsia="等线"/>
                <w:color w:val="auto"/>
                <w:kern w:val="0"/>
                <w:sz w:val="21"/>
                <w:szCs w:val="21"/>
                <w:lang w:val="en-US" w:eastAsia="zh-CN" w:bidi="ar"/>
              </w:rPr>
              <w:t>21</w:t>
            </w:r>
          </w:p>
        </w:tc>
        <w:tc>
          <w:tcPr>
            <w:tcW w:w="350" w:type="pct"/>
            <w:tcBorders>
              <w:tl2br w:val="nil"/>
              <w:tr2bl w:val="nil"/>
            </w:tcBorders>
            <w:shd w:val="clear" w:color="auto" w:fill="auto"/>
            <w:vAlign w:val="center"/>
          </w:tcPr>
          <w:p w14:paraId="6F93FB9B">
            <w:pPr>
              <w:widowControl/>
              <w:spacing w:line="240" w:lineRule="auto"/>
              <w:ind w:firstLine="0" w:firstLineChars="0"/>
              <w:jc w:val="center"/>
              <w:textAlignment w:val="center"/>
              <w:rPr>
                <w:rFonts w:hint="default" w:eastAsia="等线"/>
                <w:color w:val="auto"/>
                <w:sz w:val="21"/>
                <w:szCs w:val="21"/>
                <w:lang w:val="en-US" w:eastAsia="zh-CN"/>
              </w:rPr>
            </w:pPr>
            <w:r>
              <w:rPr>
                <w:rFonts w:eastAsia="等线"/>
                <w:color w:val="auto"/>
                <w:kern w:val="0"/>
                <w:sz w:val="21"/>
                <w:szCs w:val="21"/>
                <w:lang w:bidi="ar"/>
              </w:rPr>
              <w:t>2</w:t>
            </w:r>
            <w:r>
              <w:rPr>
                <w:rFonts w:hint="eastAsia" w:eastAsia="等线"/>
                <w:color w:val="auto"/>
                <w:kern w:val="0"/>
                <w:sz w:val="21"/>
                <w:szCs w:val="21"/>
                <w:lang w:val="en-US" w:eastAsia="zh-CN" w:bidi="ar"/>
              </w:rPr>
              <w:t>8.11</w:t>
            </w:r>
          </w:p>
        </w:tc>
        <w:tc>
          <w:tcPr>
            <w:tcW w:w="381" w:type="pct"/>
            <w:tcBorders>
              <w:tl2br w:val="nil"/>
              <w:tr2bl w:val="nil"/>
            </w:tcBorders>
            <w:shd w:val="clear" w:color="auto" w:fill="auto"/>
            <w:vAlign w:val="center"/>
          </w:tcPr>
          <w:p w14:paraId="1B286F48">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3.9</w:t>
            </w:r>
          </w:p>
        </w:tc>
        <w:tc>
          <w:tcPr>
            <w:tcW w:w="350" w:type="pct"/>
            <w:tcBorders>
              <w:tl2br w:val="nil"/>
              <w:tr2bl w:val="nil"/>
            </w:tcBorders>
            <w:shd w:val="clear" w:color="auto" w:fill="auto"/>
            <w:vAlign w:val="center"/>
          </w:tcPr>
          <w:p w14:paraId="7941EE4D">
            <w:pPr>
              <w:widowControl/>
              <w:spacing w:line="240" w:lineRule="auto"/>
              <w:ind w:firstLine="0" w:firstLineChars="0"/>
              <w:jc w:val="center"/>
              <w:textAlignment w:val="center"/>
              <w:rPr>
                <w:rFonts w:hint="default" w:eastAsia="宋体"/>
                <w:color w:val="auto"/>
                <w:sz w:val="21"/>
                <w:szCs w:val="21"/>
                <w:lang w:val="en-US" w:eastAsia="zh-CN"/>
              </w:rPr>
            </w:pPr>
            <w:r>
              <w:rPr>
                <w:rFonts w:hint="eastAsia" w:eastAsia="等线"/>
                <w:color w:val="auto"/>
                <w:kern w:val="0"/>
                <w:sz w:val="21"/>
                <w:szCs w:val="21"/>
                <w:lang w:val="en-US" w:eastAsia="zh-CN" w:bidi="ar"/>
              </w:rPr>
              <w:t>6.47</w:t>
            </w:r>
          </w:p>
        </w:tc>
        <w:tc>
          <w:tcPr>
            <w:tcW w:w="351" w:type="pct"/>
            <w:tcBorders>
              <w:tl2br w:val="nil"/>
              <w:tr2bl w:val="nil"/>
            </w:tcBorders>
            <w:shd w:val="clear" w:color="auto" w:fill="auto"/>
            <w:vAlign w:val="center"/>
          </w:tcPr>
          <w:p w14:paraId="715FF54F">
            <w:pPr>
              <w:widowControl/>
              <w:spacing w:line="240" w:lineRule="auto"/>
              <w:ind w:firstLine="0" w:firstLineChars="0"/>
              <w:jc w:val="center"/>
              <w:textAlignment w:val="center"/>
              <w:rPr>
                <w:rFonts w:hint="eastAsia" w:eastAsia="宋体"/>
                <w:color w:val="auto"/>
                <w:sz w:val="21"/>
                <w:szCs w:val="21"/>
                <w:lang w:val="en-US" w:eastAsia="zh-CN"/>
              </w:rPr>
            </w:pPr>
            <w:r>
              <w:rPr>
                <w:color w:val="auto"/>
                <w:kern w:val="0"/>
                <w:sz w:val="21"/>
                <w:szCs w:val="21"/>
                <w:lang w:bidi="ar"/>
              </w:rPr>
              <w:t>3.1</w:t>
            </w:r>
            <w:r>
              <w:rPr>
                <w:rFonts w:hint="eastAsia"/>
                <w:color w:val="auto"/>
                <w:kern w:val="0"/>
                <w:sz w:val="21"/>
                <w:szCs w:val="21"/>
                <w:lang w:val="en-US" w:eastAsia="zh-CN" w:bidi="ar"/>
              </w:rPr>
              <w:t>5</w:t>
            </w:r>
          </w:p>
        </w:tc>
        <w:tc>
          <w:tcPr>
            <w:tcW w:w="424" w:type="pct"/>
            <w:tcBorders>
              <w:tl2br w:val="nil"/>
              <w:tr2bl w:val="nil"/>
            </w:tcBorders>
            <w:shd w:val="clear" w:color="auto" w:fill="auto"/>
            <w:vAlign w:val="center"/>
          </w:tcPr>
          <w:p w14:paraId="0952C2ED">
            <w:pPr>
              <w:widowControl/>
              <w:spacing w:line="240" w:lineRule="auto"/>
              <w:ind w:firstLine="0" w:firstLineChars="0"/>
              <w:jc w:val="center"/>
              <w:textAlignment w:val="center"/>
              <w:rPr>
                <w:rFonts w:hint="default" w:eastAsia="宋体"/>
                <w:color w:val="auto"/>
                <w:sz w:val="21"/>
                <w:szCs w:val="21"/>
                <w:lang w:val="en-US" w:eastAsia="zh-CN"/>
              </w:rPr>
            </w:pPr>
            <w:r>
              <w:rPr>
                <w:color w:val="auto"/>
                <w:kern w:val="0"/>
                <w:sz w:val="21"/>
                <w:szCs w:val="21"/>
                <w:lang w:bidi="ar"/>
              </w:rPr>
              <w:t>1</w:t>
            </w:r>
            <w:r>
              <w:rPr>
                <w:rFonts w:hint="eastAsia"/>
                <w:color w:val="auto"/>
                <w:kern w:val="0"/>
                <w:sz w:val="21"/>
                <w:szCs w:val="21"/>
                <w:lang w:val="en-US" w:eastAsia="zh-CN" w:bidi="ar"/>
              </w:rPr>
              <w:t>8.17</w:t>
            </w:r>
          </w:p>
        </w:tc>
        <w:tc>
          <w:tcPr>
            <w:tcW w:w="439" w:type="pct"/>
            <w:tcBorders>
              <w:tl2br w:val="nil"/>
              <w:tr2bl w:val="nil"/>
            </w:tcBorders>
            <w:shd w:val="clear" w:color="auto" w:fill="auto"/>
            <w:vAlign w:val="center"/>
          </w:tcPr>
          <w:p w14:paraId="470CAEE0">
            <w:pPr>
              <w:widowControl/>
              <w:spacing w:line="240" w:lineRule="auto"/>
              <w:ind w:firstLine="0" w:firstLineChars="0"/>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720.2</w:t>
            </w:r>
          </w:p>
        </w:tc>
      </w:tr>
      <w:tr w14:paraId="55EFF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restart"/>
            <w:tcBorders>
              <w:tl2br w:val="nil"/>
              <w:tr2bl w:val="nil"/>
            </w:tcBorders>
            <w:shd w:val="clear" w:color="auto" w:fill="auto"/>
            <w:vAlign w:val="center"/>
          </w:tcPr>
          <w:p w14:paraId="57AB9C3A">
            <w:pPr>
              <w:widowControl/>
              <w:spacing w:line="240" w:lineRule="auto"/>
              <w:ind w:firstLine="0" w:firstLineChars="0"/>
              <w:jc w:val="center"/>
              <w:textAlignment w:val="center"/>
              <w:rPr>
                <w:color w:val="auto"/>
                <w:sz w:val="21"/>
                <w:szCs w:val="21"/>
              </w:rPr>
            </w:pPr>
            <w:r>
              <w:rPr>
                <w:color w:val="auto"/>
                <w:kern w:val="0"/>
                <w:sz w:val="21"/>
                <w:szCs w:val="21"/>
                <w:lang w:bidi="ar"/>
              </w:rPr>
              <w:t>沉淀池</w:t>
            </w:r>
          </w:p>
        </w:tc>
        <w:tc>
          <w:tcPr>
            <w:tcW w:w="485" w:type="pct"/>
            <w:tcBorders>
              <w:tl2br w:val="nil"/>
              <w:tr2bl w:val="nil"/>
            </w:tcBorders>
            <w:shd w:val="clear" w:color="auto" w:fill="auto"/>
            <w:vAlign w:val="center"/>
          </w:tcPr>
          <w:p w14:paraId="6D95442B">
            <w:pPr>
              <w:widowControl/>
              <w:spacing w:line="240" w:lineRule="auto"/>
              <w:ind w:firstLine="0" w:firstLineChars="0"/>
              <w:jc w:val="center"/>
              <w:textAlignment w:val="center"/>
              <w:rPr>
                <w:color w:val="auto"/>
                <w:sz w:val="21"/>
                <w:szCs w:val="21"/>
              </w:rPr>
            </w:pPr>
            <w:r>
              <w:rPr>
                <w:color w:val="auto"/>
                <w:kern w:val="0"/>
                <w:sz w:val="21"/>
                <w:szCs w:val="21"/>
                <w:lang w:bidi="ar"/>
              </w:rPr>
              <w:t>去除率</w:t>
            </w:r>
          </w:p>
        </w:tc>
        <w:tc>
          <w:tcPr>
            <w:tcW w:w="469" w:type="pct"/>
            <w:tcBorders>
              <w:tl2br w:val="nil"/>
              <w:tr2bl w:val="nil"/>
            </w:tcBorders>
            <w:shd w:val="clear" w:color="auto" w:fill="auto"/>
            <w:vAlign w:val="center"/>
          </w:tcPr>
          <w:p w14:paraId="1265236E">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469" w:type="pct"/>
            <w:tcBorders>
              <w:tl2br w:val="nil"/>
              <w:tr2bl w:val="nil"/>
            </w:tcBorders>
            <w:shd w:val="clear" w:color="auto" w:fill="auto"/>
            <w:vAlign w:val="center"/>
          </w:tcPr>
          <w:p w14:paraId="4D0CE589">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43%</w:t>
            </w:r>
          </w:p>
        </w:tc>
        <w:tc>
          <w:tcPr>
            <w:tcW w:w="515" w:type="pct"/>
            <w:tcBorders>
              <w:tl2br w:val="nil"/>
              <w:tr2bl w:val="nil"/>
            </w:tcBorders>
            <w:shd w:val="clear" w:color="auto" w:fill="auto"/>
            <w:vAlign w:val="center"/>
          </w:tcPr>
          <w:p w14:paraId="02CEA9EA">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0" w:type="pct"/>
            <w:tcBorders>
              <w:tl2br w:val="nil"/>
              <w:tr2bl w:val="nil"/>
            </w:tcBorders>
            <w:shd w:val="clear" w:color="auto" w:fill="auto"/>
            <w:vAlign w:val="center"/>
          </w:tcPr>
          <w:p w14:paraId="4D59341F">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50" w:type="pct"/>
            <w:tcBorders>
              <w:tl2br w:val="nil"/>
              <w:tr2bl w:val="nil"/>
            </w:tcBorders>
            <w:shd w:val="clear" w:color="auto" w:fill="auto"/>
            <w:vAlign w:val="center"/>
          </w:tcPr>
          <w:p w14:paraId="7231795B">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6F097EB5">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62%</w:t>
            </w:r>
          </w:p>
        </w:tc>
        <w:tc>
          <w:tcPr>
            <w:tcW w:w="350" w:type="pct"/>
            <w:tcBorders>
              <w:tl2br w:val="nil"/>
              <w:tr2bl w:val="nil"/>
            </w:tcBorders>
            <w:shd w:val="clear" w:color="auto" w:fill="auto"/>
            <w:vAlign w:val="center"/>
          </w:tcPr>
          <w:p w14:paraId="5A4EE043">
            <w:pPr>
              <w:widowControl/>
              <w:spacing w:line="240" w:lineRule="auto"/>
              <w:ind w:firstLine="0" w:firstLineChars="0"/>
              <w:jc w:val="center"/>
              <w:textAlignment w:val="center"/>
              <w:rPr>
                <w:rFonts w:hint="eastAsia" w:eastAsia="宋体"/>
                <w:color w:val="auto"/>
                <w:sz w:val="21"/>
                <w:szCs w:val="21"/>
                <w:lang w:eastAsia="zh-CN"/>
              </w:rPr>
            </w:pPr>
            <w:r>
              <w:rPr>
                <w:rFonts w:hint="eastAsia" w:eastAsia="等线"/>
                <w:color w:val="auto"/>
                <w:kern w:val="0"/>
                <w:sz w:val="21"/>
                <w:szCs w:val="21"/>
                <w:lang w:val="en-US" w:eastAsia="zh-CN" w:bidi="ar"/>
              </w:rPr>
              <w:t>0</w:t>
            </w:r>
          </w:p>
        </w:tc>
        <w:tc>
          <w:tcPr>
            <w:tcW w:w="351" w:type="pct"/>
            <w:tcBorders>
              <w:tl2br w:val="nil"/>
              <w:tr2bl w:val="nil"/>
            </w:tcBorders>
            <w:shd w:val="clear" w:color="auto" w:fill="auto"/>
            <w:noWrap/>
            <w:vAlign w:val="bottom"/>
          </w:tcPr>
          <w:p w14:paraId="1EFE4395">
            <w:pPr>
              <w:widowControl/>
              <w:spacing w:line="240" w:lineRule="auto"/>
              <w:ind w:firstLine="0" w:firstLineChars="0"/>
              <w:jc w:val="center"/>
              <w:textAlignment w:val="bottom"/>
              <w:rPr>
                <w:color w:val="auto"/>
                <w:sz w:val="21"/>
                <w:szCs w:val="21"/>
              </w:rPr>
            </w:pPr>
            <w:r>
              <w:rPr>
                <w:color w:val="auto"/>
                <w:kern w:val="0"/>
                <w:sz w:val="21"/>
                <w:szCs w:val="21"/>
                <w:lang w:bidi="ar"/>
              </w:rPr>
              <w:t>0</w:t>
            </w:r>
          </w:p>
        </w:tc>
        <w:tc>
          <w:tcPr>
            <w:tcW w:w="424" w:type="pct"/>
            <w:tcBorders>
              <w:tl2br w:val="nil"/>
              <w:tr2bl w:val="nil"/>
            </w:tcBorders>
            <w:shd w:val="clear" w:color="auto" w:fill="auto"/>
            <w:noWrap/>
            <w:vAlign w:val="bottom"/>
          </w:tcPr>
          <w:p w14:paraId="1B736B6C">
            <w:pPr>
              <w:widowControl/>
              <w:spacing w:line="240" w:lineRule="auto"/>
              <w:ind w:firstLine="0" w:firstLineChars="0"/>
              <w:jc w:val="center"/>
              <w:textAlignment w:val="bottom"/>
              <w:rPr>
                <w:color w:val="auto"/>
                <w:sz w:val="21"/>
                <w:szCs w:val="21"/>
              </w:rPr>
            </w:pPr>
            <w:r>
              <w:rPr>
                <w:color w:val="auto"/>
                <w:kern w:val="0"/>
                <w:sz w:val="21"/>
                <w:szCs w:val="21"/>
                <w:lang w:bidi="ar"/>
              </w:rPr>
              <w:t>0</w:t>
            </w:r>
          </w:p>
        </w:tc>
        <w:tc>
          <w:tcPr>
            <w:tcW w:w="439" w:type="pct"/>
            <w:tcBorders>
              <w:tl2br w:val="nil"/>
              <w:tr2bl w:val="nil"/>
            </w:tcBorders>
            <w:shd w:val="clear" w:color="auto" w:fill="auto"/>
            <w:noWrap/>
            <w:vAlign w:val="center"/>
          </w:tcPr>
          <w:p w14:paraId="35ECBBDE">
            <w:pPr>
              <w:widowControl/>
              <w:spacing w:line="240" w:lineRule="auto"/>
              <w:ind w:firstLine="0" w:firstLineChars="0"/>
              <w:jc w:val="center"/>
              <w:textAlignment w:val="center"/>
              <w:rPr>
                <w:color w:val="auto"/>
                <w:kern w:val="0"/>
                <w:sz w:val="21"/>
                <w:szCs w:val="21"/>
                <w:lang w:bidi="ar"/>
              </w:rPr>
            </w:pPr>
            <w:r>
              <w:rPr>
                <w:rFonts w:hint="eastAsia" w:eastAsia="等线"/>
                <w:color w:val="auto"/>
                <w:kern w:val="0"/>
                <w:sz w:val="21"/>
                <w:szCs w:val="21"/>
                <w:lang w:val="en-US" w:eastAsia="zh-CN" w:bidi="ar"/>
              </w:rPr>
              <w:t>20</w:t>
            </w:r>
            <w:r>
              <w:rPr>
                <w:rFonts w:eastAsia="等线"/>
                <w:color w:val="auto"/>
                <w:kern w:val="0"/>
                <w:sz w:val="21"/>
                <w:szCs w:val="21"/>
                <w:lang w:bidi="ar"/>
              </w:rPr>
              <w:t>%</w:t>
            </w:r>
          </w:p>
        </w:tc>
      </w:tr>
      <w:tr w14:paraId="7E66A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0" w:type="pct"/>
            <w:vMerge w:val="continue"/>
            <w:tcBorders>
              <w:tl2br w:val="nil"/>
              <w:tr2bl w:val="nil"/>
            </w:tcBorders>
            <w:shd w:val="clear" w:color="auto" w:fill="auto"/>
            <w:vAlign w:val="center"/>
          </w:tcPr>
          <w:p w14:paraId="7311BF4C">
            <w:pPr>
              <w:widowControl/>
              <w:spacing w:line="240" w:lineRule="auto"/>
              <w:ind w:firstLine="0" w:firstLineChars="0"/>
              <w:jc w:val="center"/>
              <w:rPr>
                <w:color w:val="auto"/>
                <w:sz w:val="21"/>
                <w:szCs w:val="21"/>
              </w:rPr>
            </w:pPr>
          </w:p>
        </w:tc>
        <w:tc>
          <w:tcPr>
            <w:tcW w:w="485" w:type="pct"/>
            <w:tcBorders>
              <w:tl2br w:val="nil"/>
              <w:tr2bl w:val="nil"/>
            </w:tcBorders>
            <w:shd w:val="clear" w:color="auto" w:fill="auto"/>
            <w:vAlign w:val="center"/>
          </w:tcPr>
          <w:p w14:paraId="0AE4C458">
            <w:pPr>
              <w:widowControl/>
              <w:spacing w:line="240" w:lineRule="auto"/>
              <w:ind w:firstLine="0" w:firstLineChars="0"/>
              <w:jc w:val="center"/>
              <w:textAlignment w:val="center"/>
              <w:rPr>
                <w:color w:val="auto"/>
                <w:sz w:val="21"/>
                <w:szCs w:val="21"/>
              </w:rPr>
            </w:pPr>
            <w:r>
              <w:rPr>
                <w:color w:val="auto"/>
                <w:kern w:val="0"/>
                <w:sz w:val="21"/>
                <w:szCs w:val="21"/>
                <w:lang w:bidi="ar"/>
              </w:rPr>
              <w:t>出水浓度</w:t>
            </w:r>
          </w:p>
        </w:tc>
        <w:tc>
          <w:tcPr>
            <w:tcW w:w="469" w:type="pct"/>
            <w:tcBorders>
              <w:tl2br w:val="nil"/>
              <w:tr2bl w:val="nil"/>
            </w:tcBorders>
            <w:shd w:val="clear" w:color="auto" w:fill="auto"/>
            <w:vAlign w:val="center"/>
          </w:tcPr>
          <w:p w14:paraId="054D0FA8">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260.50</w:t>
            </w:r>
          </w:p>
        </w:tc>
        <w:tc>
          <w:tcPr>
            <w:tcW w:w="469" w:type="pct"/>
            <w:tcBorders>
              <w:tl2br w:val="nil"/>
              <w:tr2bl w:val="nil"/>
            </w:tcBorders>
            <w:shd w:val="clear" w:color="auto" w:fill="auto"/>
            <w:vAlign w:val="center"/>
          </w:tcPr>
          <w:p w14:paraId="785E4F88">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25.5</w:t>
            </w:r>
          </w:p>
        </w:tc>
        <w:tc>
          <w:tcPr>
            <w:tcW w:w="515" w:type="pct"/>
            <w:tcBorders>
              <w:tl2br w:val="nil"/>
              <w:tr2bl w:val="nil"/>
            </w:tcBorders>
            <w:shd w:val="clear" w:color="auto" w:fill="auto"/>
            <w:vAlign w:val="center"/>
          </w:tcPr>
          <w:p w14:paraId="551E1AC0">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17.86</w:t>
            </w:r>
          </w:p>
        </w:tc>
        <w:tc>
          <w:tcPr>
            <w:tcW w:w="380" w:type="pct"/>
            <w:tcBorders>
              <w:tl2br w:val="nil"/>
              <w:tr2bl w:val="nil"/>
            </w:tcBorders>
            <w:shd w:val="clear" w:color="auto" w:fill="auto"/>
            <w:vAlign w:val="center"/>
          </w:tcPr>
          <w:p w14:paraId="7EF52BCF">
            <w:pPr>
              <w:widowControl/>
              <w:spacing w:line="240" w:lineRule="auto"/>
              <w:ind w:firstLine="0" w:firstLineChars="0"/>
              <w:jc w:val="center"/>
              <w:textAlignment w:val="center"/>
              <w:rPr>
                <w:rFonts w:hint="eastAsia" w:eastAsia="等线"/>
                <w:color w:val="auto"/>
                <w:sz w:val="21"/>
                <w:szCs w:val="21"/>
                <w:lang w:val="en-US" w:eastAsia="zh-CN"/>
              </w:rPr>
            </w:pPr>
            <w:r>
              <w:rPr>
                <w:rFonts w:eastAsia="等线"/>
                <w:color w:val="auto"/>
                <w:kern w:val="0"/>
                <w:sz w:val="21"/>
                <w:szCs w:val="21"/>
                <w:lang w:bidi="ar"/>
              </w:rPr>
              <w:t>0.2</w:t>
            </w:r>
            <w:r>
              <w:rPr>
                <w:rFonts w:hint="eastAsia" w:eastAsia="等线"/>
                <w:color w:val="auto"/>
                <w:kern w:val="0"/>
                <w:sz w:val="21"/>
                <w:szCs w:val="21"/>
                <w:lang w:val="en-US" w:eastAsia="zh-CN" w:bidi="ar"/>
              </w:rPr>
              <w:t>1</w:t>
            </w:r>
          </w:p>
        </w:tc>
        <w:tc>
          <w:tcPr>
            <w:tcW w:w="350" w:type="pct"/>
            <w:tcBorders>
              <w:tl2br w:val="nil"/>
              <w:tr2bl w:val="nil"/>
            </w:tcBorders>
            <w:shd w:val="clear" w:color="auto" w:fill="auto"/>
            <w:vAlign w:val="center"/>
          </w:tcPr>
          <w:p w14:paraId="1E9EB244">
            <w:pPr>
              <w:widowControl/>
              <w:spacing w:line="240" w:lineRule="auto"/>
              <w:ind w:firstLine="0" w:firstLineChars="0"/>
              <w:jc w:val="center"/>
              <w:textAlignment w:val="center"/>
              <w:rPr>
                <w:rFonts w:hint="default" w:eastAsia="等线"/>
                <w:color w:val="auto"/>
                <w:sz w:val="21"/>
                <w:szCs w:val="21"/>
                <w:lang w:val="en-US" w:eastAsia="zh-CN"/>
              </w:rPr>
            </w:pPr>
            <w:r>
              <w:rPr>
                <w:rFonts w:eastAsia="等线"/>
                <w:color w:val="auto"/>
                <w:kern w:val="0"/>
                <w:sz w:val="21"/>
                <w:szCs w:val="21"/>
                <w:lang w:bidi="ar"/>
              </w:rPr>
              <w:t>2</w:t>
            </w:r>
            <w:r>
              <w:rPr>
                <w:rFonts w:hint="eastAsia" w:eastAsia="等线"/>
                <w:color w:val="auto"/>
                <w:kern w:val="0"/>
                <w:sz w:val="21"/>
                <w:szCs w:val="21"/>
                <w:lang w:val="en-US" w:eastAsia="zh-CN" w:bidi="ar"/>
              </w:rPr>
              <w:t>8.11</w:t>
            </w:r>
          </w:p>
        </w:tc>
        <w:tc>
          <w:tcPr>
            <w:tcW w:w="381" w:type="pct"/>
            <w:tcBorders>
              <w:tl2br w:val="nil"/>
              <w:tr2bl w:val="nil"/>
            </w:tcBorders>
            <w:shd w:val="clear" w:color="auto" w:fill="auto"/>
            <w:vAlign w:val="center"/>
          </w:tcPr>
          <w:p w14:paraId="49299D2A">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1.5</w:t>
            </w:r>
          </w:p>
        </w:tc>
        <w:tc>
          <w:tcPr>
            <w:tcW w:w="350" w:type="pct"/>
            <w:tcBorders>
              <w:tl2br w:val="nil"/>
              <w:tr2bl w:val="nil"/>
            </w:tcBorders>
            <w:shd w:val="clear" w:color="auto" w:fill="auto"/>
            <w:vAlign w:val="center"/>
          </w:tcPr>
          <w:p w14:paraId="5C7F3284">
            <w:pPr>
              <w:widowControl/>
              <w:spacing w:line="240" w:lineRule="auto"/>
              <w:ind w:firstLine="0" w:firstLineChars="0"/>
              <w:jc w:val="center"/>
              <w:textAlignment w:val="center"/>
              <w:rPr>
                <w:rFonts w:hint="default" w:eastAsia="宋体"/>
                <w:color w:val="auto"/>
                <w:sz w:val="21"/>
                <w:szCs w:val="21"/>
                <w:lang w:val="en-US" w:eastAsia="zh-CN"/>
              </w:rPr>
            </w:pPr>
            <w:r>
              <w:rPr>
                <w:rFonts w:hint="eastAsia" w:eastAsia="等线"/>
                <w:color w:val="auto"/>
                <w:kern w:val="0"/>
                <w:sz w:val="21"/>
                <w:szCs w:val="21"/>
                <w:lang w:val="en-US" w:eastAsia="zh-CN" w:bidi="ar"/>
              </w:rPr>
              <w:t>6.47</w:t>
            </w:r>
          </w:p>
        </w:tc>
        <w:tc>
          <w:tcPr>
            <w:tcW w:w="351" w:type="pct"/>
            <w:tcBorders>
              <w:tl2br w:val="nil"/>
              <w:tr2bl w:val="nil"/>
            </w:tcBorders>
            <w:shd w:val="clear" w:color="auto" w:fill="auto"/>
            <w:noWrap/>
            <w:vAlign w:val="bottom"/>
          </w:tcPr>
          <w:p w14:paraId="16C1DF20">
            <w:pPr>
              <w:widowControl/>
              <w:spacing w:line="240" w:lineRule="auto"/>
              <w:ind w:firstLine="0" w:firstLineChars="0"/>
              <w:jc w:val="center"/>
              <w:textAlignment w:val="bottom"/>
              <w:rPr>
                <w:color w:val="auto"/>
                <w:sz w:val="21"/>
                <w:szCs w:val="21"/>
              </w:rPr>
            </w:pPr>
            <w:r>
              <w:rPr>
                <w:color w:val="auto"/>
                <w:sz w:val="21"/>
                <w:szCs w:val="21"/>
              </w:rPr>
              <w:t>3.15</w:t>
            </w:r>
          </w:p>
        </w:tc>
        <w:tc>
          <w:tcPr>
            <w:tcW w:w="424" w:type="pct"/>
            <w:tcBorders>
              <w:tl2br w:val="nil"/>
              <w:tr2bl w:val="nil"/>
            </w:tcBorders>
            <w:shd w:val="clear" w:color="auto" w:fill="auto"/>
            <w:noWrap/>
            <w:vAlign w:val="bottom"/>
          </w:tcPr>
          <w:p w14:paraId="26999B0E">
            <w:pPr>
              <w:widowControl/>
              <w:spacing w:line="240" w:lineRule="auto"/>
              <w:ind w:firstLine="0" w:firstLineChars="0"/>
              <w:jc w:val="center"/>
              <w:textAlignment w:val="bottom"/>
              <w:rPr>
                <w:rFonts w:hint="default" w:eastAsia="宋体"/>
                <w:color w:val="auto"/>
                <w:sz w:val="21"/>
                <w:szCs w:val="21"/>
                <w:lang w:val="en-US" w:eastAsia="zh-CN"/>
              </w:rPr>
            </w:pPr>
            <w:r>
              <w:rPr>
                <w:rFonts w:hint="eastAsia"/>
                <w:color w:val="auto"/>
                <w:sz w:val="21"/>
                <w:szCs w:val="21"/>
                <w:lang w:val="en-US" w:eastAsia="zh-CN"/>
              </w:rPr>
              <w:t>18.17</w:t>
            </w:r>
          </w:p>
        </w:tc>
        <w:tc>
          <w:tcPr>
            <w:tcW w:w="439" w:type="pct"/>
            <w:tcBorders>
              <w:tl2br w:val="nil"/>
              <w:tr2bl w:val="nil"/>
            </w:tcBorders>
            <w:shd w:val="clear" w:color="auto" w:fill="auto"/>
            <w:noWrap/>
            <w:vAlign w:val="center"/>
          </w:tcPr>
          <w:p w14:paraId="6DDE260D">
            <w:pPr>
              <w:widowControl/>
              <w:spacing w:line="240" w:lineRule="auto"/>
              <w:ind w:firstLine="0" w:firstLineChars="0"/>
              <w:jc w:val="center"/>
              <w:textAlignment w:val="center"/>
              <w:rPr>
                <w:rFonts w:hint="default" w:eastAsia="等线"/>
                <w:color w:val="auto"/>
                <w:kern w:val="0"/>
                <w:sz w:val="21"/>
                <w:szCs w:val="21"/>
                <w:lang w:val="en-US" w:eastAsia="zh-CN" w:bidi="ar"/>
              </w:rPr>
            </w:pPr>
            <w:r>
              <w:rPr>
                <w:rFonts w:eastAsia="等线"/>
                <w:color w:val="auto"/>
                <w:kern w:val="0"/>
                <w:sz w:val="21"/>
                <w:szCs w:val="21"/>
                <w:lang w:bidi="ar"/>
              </w:rPr>
              <w:t>480.</w:t>
            </w:r>
            <w:r>
              <w:rPr>
                <w:rFonts w:hint="eastAsia" w:eastAsia="等线"/>
                <w:color w:val="auto"/>
                <w:kern w:val="0"/>
                <w:sz w:val="21"/>
                <w:szCs w:val="21"/>
                <w:lang w:val="en-US" w:eastAsia="zh-CN" w:bidi="ar"/>
              </w:rPr>
              <w:t>15</w:t>
            </w:r>
          </w:p>
        </w:tc>
      </w:tr>
      <w:tr w14:paraId="5E14B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6" w:type="pct"/>
            <w:gridSpan w:val="2"/>
            <w:tcBorders>
              <w:tl2br w:val="nil"/>
              <w:tr2bl w:val="nil"/>
            </w:tcBorders>
            <w:shd w:val="clear" w:color="auto" w:fill="auto"/>
            <w:vAlign w:val="center"/>
          </w:tcPr>
          <w:p w14:paraId="428369C7">
            <w:pPr>
              <w:widowControl/>
              <w:spacing w:line="240" w:lineRule="auto"/>
              <w:ind w:firstLine="0" w:firstLineChars="0"/>
              <w:jc w:val="center"/>
              <w:textAlignment w:val="center"/>
              <w:rPr>
                <w:color w:val="auto"/>
                <w:sz w:val="21"/>
                <w:szCs w:val="21"/>
              </w:rPr>
            </w:pPr>
            <w:r>
              <w:rPr>
                <w:color w:val="auto"/>
                <w:kern w:val="0"/>
                <w:sz w:val="21"/>
                <w:szCs w:val="21"/>
                <w:lang w:bidi="ar"/>
              </w:rPr>
              <w:t>总出水浓度</w:t>
            </w:r>
          </w:p>
        </w:tc>
        <w:tc>
          <w:tcPr>
            <w:tcW w:w="469" w:type="pct"/>
            <w:tcBorders>
              <w:tl2br w:val="nil"/>
              <w:tr2bl w:val="nil"/>
            </w:tcBorders>
            <w:shd w:val="clear" w:color="auto" w:fill="auto"/>
            <w:vAlign w:val="center"/>
          </w:tcPr>
          <w:p w14:paraId="467DE19E">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260.50</w:t>
            </w:r>
          </w:p>
        </w:tc>
        <w:tc>
          <w:tcPr>
            <w:tcW w:w="469" w:type="pct"/>
            <w:tcBorders>
              <w:tl2br w:val="nil"/>
              <w:tr2bl w:val="nil"/>
            </w:tcBorders>
            <w:shd w:val="clear" w:color="auto" w:fill="auto"/>
            <w:vAlign w:val="center"/>
          </w:tcPr>
          <w:p w14:paraId="66453A92">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25.5</w:t>
            </w:r>
          </w:p>
        </w:tc>
        <w:tc>
          <w:tcPr>
            <w:tcW w:w="515" w:type="pct"/>
            <w:tcBorders>
              <w:tl2br w:val="nil"/>
              <w:tr2bl w:val="nil"/>
            </w:tcBorders>
            <w:shd w:val="clear" w:color="auto" w:fill="auto"/>
            <w:vAlign w:val="center"/>
          </w:tcPr>
          <w:p w14:paraId="08E4DA85">
            <w:pPr>
              <w:widowControl/>
              <w:spacing w:line="240" w:lineRule="auto"/>
              <w:ind w:firstLine="0" w:firstLineChars="0"/>
              <w:jc w:val="center"/>
              <w:textAlignment w:val="center"/>
              <w:rPr>
                <w:rFonts w:hint="default" w:eastAsia="等线"/>
                <w:color w:val="auto"/>
                <w:sz w:val="21"/>
                <w:szCs w:val="21"/>
                <w:lang w:val="en-US" w:eastAsia="zh-CN"/>
              </w:rPr>
            </w:pPr>
            <w:r>
              <w:rPr>
                <w:rFonts w:eastAsia="等线"/>
                <w:color w:val="auto"/>
                <w:kern w:val="0"/>
                <w:sz w:val="21"/>
                <w:szCs w:val="21"/>
                <w:lang w:bidi="ar"/>
              </w:rPr>
              <w:t>17.</w:t>
            </w:r>
            <w:r>
              <w:rPr>
                <w:rFonts w:hint="eastAsia" w:eastAsia="等线"/>
                <w:color w:val="auto"/>
                <w:kern w:val="0"/>
                <w:sz w:val="21"/>
                <w:szCs w:val="21"/>
                <w:lang w:val="en-US" w:eastAsia="zh-CN" w:bidi="ar"/>
              </w:rPr>
              <w:t>86</w:t>
            </w:r>
          </w:p>
        </w:tc>
        <w:tc>
          <w:tcPr>
            <w:tcW w:w="380" w:type="pct"/>
            <w:tcBorders>
              <w:tl2br w:val="nil"/>
              <w:tr2bl w:val="nil"/>
            </w:tcBorders>
            <w:shd w:val="clear" w:color="auto" w:fill="auto"/>
            <w:vAlign w:val="bottom"/>
          </w:tcPr>
          <w:p w14:paraId="4E9FCDDF">
            <w:pPr>
              <w:widowControl/>
              <w:spacing w:line="240" w:lineRule="auto"/>
              <w:ind w:firstLine="0" w:firstLineChars="0"/>
              <w:jc w:val="center"/>
              <w:textAlignment w:val="bottom"/>
              <w:rPr>
                <w:rFonts w:hint="eastAsia" w:eastAsia="宋体"/>
                <w:color w:val="auto"/>
                <w:sz w:val="21"/>
                <w:szCs w:val="21"/>
                <w:lang w:val="en-US" w:eastAsia="zh-CN"/>
              </w:rPr>
            </w:pPr>
            <w:r>
              <w:rPr>
                <w:color w:val="auto"/>
                <w:sz w:val="21"/>
                <w:szCs w:val="21"/>
              </w:rPr>
              <w:t>0.2</w:t>
            </w:r>
            <w:r>
              <w:rPr>
                <w:rFonts w:hint="eastAsia"/>
                <w:color w:val="auto"/>
                <w:sz w:val="21"/>
                <w:szCs w:val="21"/>
                <w:lang w:val="en-US" w:eastAsia="zh-CN"/>
              </w:rPr>
              <w:t>1</w:t>
            </w:r>
          </w:p>
        </w:tc>
        <w:tc>
          <w:tcPr>
            <w:tcW w:w="350" w:type="pct"/>
            <w:tcBorders>
              <w:tl2br w:val="nil"/>
              <w:tr2bl w:val="nil"/>
            </w:tcBorders>
            <w:shd w:val="clear" w:color="auto" w:fill="auto"/>
            <w:vAlign w:val="bottom"/>
          </w:tcPr>
          <w:p w14:paraId="63A9CEA2">
            <w:pPr>
              <w:widowControl/>
              <w:spacing w:line="240" w:lineRule="auto"/>
              <w:ind w:firstLine="0" w:firstLineChars="0"/>
              <w:jc w:val="center"/>
              <w:textAlignment w:val="bottom"/>
              <w:rPr>
                <w:rFonts w:hint="default" w:eastAsia="宋体"/>
                <w:color w:val="auto"/>
                <w:sz w:val="21"/>
                <w:szCs w:val="21"/>
                <w:lang w:val="en-US" w:eastAsia="zh-CN"/>
              </w:rPr>
            </w:pPr>
            <w:r>
              <w:rPr>
                <w:color w:val="auto"/>
                <w:sz w:val="21"/>
                <w:szCs w:val="21"/>
              </w:rPr>
              <w:t>2</w:t>
            </w:r>
            <w:r>
              <w:rPr>
                <w:rFonts w:hint="eastAsia"/>
                <w:color w:val="auto"/>
                <w:sz w:val="21"/>
                <w:szCs w:val="21"/>
                <w:lang w:val="en-US" w:eastAsia="zh-CN"/>
              </w:rPr>
              <w:t>8.11</w:t>
            </w:r>
          </w:p>
        </w:tc>
        <w:tc>
          <w:tcPr>
            <w:tcW w:w="381" w:type="pct"/>
            <w:tcBorders>
              <w:tl2br w:val="nil"/>
              <w:tr2bl w:val="nil"/>
            </w:tcBorders>
            <w:shd w:val="clear" w:color="auto" w:fill="auto"/>
            <w:vAlign w:val="bottom"/>
          </w:tcPr>
          <w:p w14:paraId="046908E7">
            <w:pPr>
              <w:widowControl/>
              <w:wordWrap w:val="0"/>
              <w:spacing w:line="240" w:lineRule="auto"/>
              <w:ind w:firstLine="0" w:firstLineChars="0"/>
              <w:jc w:val="center"/>
              <w:textAlignment w:val="bottom"/>
              <w:rPr>
                <w:rFonts w:hint="default" w:eastAsia="宋体"/>
                <w:color w:val="auto"/>
                <w:sz w:val="21"/>
                <w:szCs w:val="21"/>
                <w:lang w:val="en-US" w:eastAsia="zh-CN"/>
              </w:rPr>
            </w:pPr>
            <w:r>
              <w:rPr>
                <w:rFonts w:hint="eastAsia"/>
                <w:color w:val="auto"/>
                <w:sz w:val="21"/>
                <w:szCs w:val="21"/>
                <w:lang w:val="en-US" w:eastAsia="zh-CN"/>
              </w:rPr>
              <w:t>1.5</w:t>
            </w:r>
          </w:p>
        </w:tc>
        <w:tc>
          <w:tcPr>
            <w:tcW w:w="350" w:type="pct"/>
            <w:tcBorders>
              <w:tl2br w:val="nil"/>
              <w:tr2bl w:val="nil"/>
            </w:tcBorders>
            <w:shd w:val="clear" w:color="auto" w:fill="auto"/>
            <w:vAlign w:val="bottom"/>
          </w:tcPr>
          <w:p w14:paraId="4C87368C">
            <w:pPr>
              <w:widowControl/>
              <w:spacing w:line="240" w:lineRule="auto"/>
              <w:ind w:firstLine="0" w:firstLineChars="0"/>
              <w:jc w:val="center"/>
              <w:textAlignment w:val="bottom"/>
              <w:rPr>
                <w:rFonts w:hint="default" w:eastAsia="宋体"/>
                <w:color w:val="auto"/>
                <w:sz w:val="21"/>
                <w:szCs w:val="21"/>
                <w:lang w:val="en-US" w:eastAsia="zh-CN"/>
              </w:rPr>
            </w:pPr>
            <w:r>
              <w:rPr>
                <w:rFonts w:hint="eastAsia"/>
                <w:color w:val="auto"/>
                <w:sz w:val="21"/>
                <w:szCs w:val="21"/>
                <w:lang w:val="en-US" w:eastAsia="zh-CN"/>
              </w:rPr>
              <w:t>6.47</w:t>
            </w:r>
          </w:p>
        </w:tc>
        <w:tc>
          <w:tcPr>
            <w:tcW w:w="351" w:type="pct"/>
            <w:tcBorders>
              <w:tl2br w:val="nil"/>
              <w:tr2bl w:val="nil"/>
            </w:tcBorders>
            <w:shd w:val="clear" w:color="auto" w:fill="auto"/>
            <w:noWrap/>
            <w:vAlign w:val="bottom"/>
          </w:tcPr>
          <w:p w14:paraId="7A446E46">
            <w:pPr>
              <w:widowControl/>
              <w:spacing w:line="240" w:lineRule="auto"/>
              <w:ind w:firstLine="0" w:firstLineChars="0"/>
              <w:jc w:val="center"/>
              <w:textAlignment w:val="bottom"/>
              <w:rPr>
                <w:color w:val="auto"/>
                <w:sz w:val="21"/>
                <w:szCs w:val="21"/>
              </w:rPr>
            </w:pPr>
            <w:r>
              <w:rPr>
                <w:color w:val="auto"/>
                <w:sz w:val="21"/>
                <w:szCs w:val="21"/>
              </w:rPr>
              <w:t>3.15</w:t>
            </w:r>
          </w:p>
        </w:tc>
        <w:tc>
          <w:tcPr>
            <w:tcW w:w="424" w:type="pct"/>
            <w:tcBorders>
              <w:tl2br w:val="nil"/>
              <w:tr2bl w:val="nil"/>
            </w:tcBorders>
            <w:shd w:val="clear" w:color="auto" w:fill="auto"/>
            <w:noWrap/>
            <w:vAlign w:val="bottom"/>
          </w:tcPr>
          <w:p w14:paraId="2E477655">
            <w:pPr>
              <w:widowControl/>
              <w:spacing w:line="240" w:lineRule="auto"/>
              <w:ind w:firstLine="0" w:firstLineChars="0"/>
              <w:jc w:val="center"/>
              <w:textAlignment w:val="bottom"/>
              <w:rPr>
                <w:rFonts w:hint="default" w:eastAsia="宋体"/>
                <w:color w:val="auto"/>
                <w:sz w:val="21"/>
                <w:szCs w:val="21"/>
                <w:lang w:val="en-US" w:eastAsia="zh-CN"/>
              </w:rPr>
            </w:pPr>
            <w:r>
              <w:rPr>
                <w:rFonts w:hint="eastAsia"/>
                <w:color w:val="auto"/>
                <w:sz w:val="21"/>
                <w:szCs w:val="21"/>
                <w:lang w:val="en-US" w:eastAsia="zh-CN"/>
              </w:rPr>
              <w:t>18.17</w:t>
            </w:r>
          </w:p>
        </w:tc>
        <w:tc>
          <w:tcPr>
            <w:tcW w:w="439" w:type="pct"/>
            <w:tcBorders>
              <w:tl2br w:val="nil"/>
              <w:tr2bl w:val="nil"/>
            </w:tcBorders>
            <w:shd w:val="clear" w:color="auto" w:fill="auto"/>
            <w:noWrap/>
            <w:vAlign w:val="center"/>
          </w:tcPr>
          <w:p w14:paraId="06935AF2">
            <w:pPr>
              <w:widowControl/>
              <w:spacing w:line="240" w:lineRule="auto"/>
              <w:ind w:firstLine="0" w:firstLineChars="0"/>
              <w:jc w:val="center"/>
              <w:textAlignment w:val="center"/>
              <w:rPr>
                <w:rFonts w:hint="default" w:eastAsia="宋体"/>
                <w:color w:val="auto"/>
                <w:kern w:val="0"/>
                <w:sz w:val="21"/>
                <w:szCs w:val="21"/>
                <w:lang w:val="en-US" w:eastAsia="zh-CN" w:bidi="ar"/>
              </w:rPr>
            </w:pPr>
            <w:r>
              <w:rPr>
                <w:color w:val="auto"/>
                <w:kern w:val="0"/>
                <w:sz w:val="21"/>
                <w:szCs w:val="21"/>
                <w:lang w:bidi="ar"/>
              </w:rPr>
              <w:t>480.</w:t>
            </w:r>
            <w:r>
              <w:rPr>
                <w:rFonts w:hint="eastAsia"/>
                <w:color w:val="auto"/>
                <w:kern w:val="0"/>
                <w:sz w:val="21"/>
                <w:szCs w:val="21"/>
                <w:lang w:val="en-US" w:eastAsia="zh-CN" w:bidi="ar"/>
              </w:rPr>
              <w:t>15</w:t>
            </w:r>
          </w:p>
        </w:tc>
      </w:tr>
      <w:tr w14:paraId="42BF9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6" w:type="pct"/>
            <w:gridSpan w:val="2"/>
            <w:tcBorders>
              <w:tl2br w:val="nil"/>
              <w:tr2bl w:val="nil"/>
            </w:tcBorders>
            <w:shd w:val="clear" w:color="auto" w:fill="auto"/>
            <w:vAlign w:val="center"/>
          </w:tcPr>
          <w:p w14:paraId="5B70BEF4">
            <w:pPr>
              <w:widowControl/>
              <w:spacing w:line="240" w:lineRule="auto"/>
              <w:ind w:firstLine="0" w:firstLineChars="0"/>
              <w:jc w:val="center"/>
              <w:textAlignment w:val="center"/>
              <w:rPr>
                <w:color w:val="auto"/>
                <w:sz w:val="21"/>
                <w:szCs w:val="21"/>
              </w:rPr>
            </w:pPr>
            <w:r>
              <w:rPr>
                <w:color w:val="auto"/>
                <w:kern w:val="0"/>
                <w:sz w:val="21"/>
                <w:szCs w:val="21"/>
                <w:lang w:bidi="ar"/>
              </w:rPr>
              <w:t>总去除率</w:t>
            </w:r>
          </w:p>
        </w:tc>
        <w:tc>
          <w:tcPr>
            <w:tcW w:w="469" w:type="pct"/>
            <w:tcBorders>
              <w:tl2br w:val="nil"/>
              <w:tr2bl w:val="nil"/>
            </w:tcBorders>
            <w:shd w:val="clear" w:color="auto" w:fill="auto"/>
            <w:vAlign w:val="center"/>
          </w:tcPr>
          <w:p w14:paraId="0F5A7D72">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bidi="ar"/>
              </w:rPr>
              <w:t>10</w:t>
            </w:r>
            <w:r>
              <w:rPr>
                <w:color w:val="auto"/>
                <w:kern w:val="0"/>
                <w:sz w:val="21"/>
                <w:szCs w:val="21"/>
                <w:lang w:bidi="ar"/>
              </w:rPr>
              <w:t>%</w:t>
            </w:r>
          </w:p>
        </w:tc>
        <w:tc>
          <w:tcPr>
            <w:tcW w:w="469" w:type="pct"/>
            <w:tcBorders>
              <w:tl2br w:val="nil"/>
              <w:tr2bl w:val="nil"/>
            </w:tcBorders>
            <w:shd w:val="clear" w:color="auto" w:fill="auto"/>
            <w:vAlign w:val="center"/>
          </w:tcPr>
          <w:p w14:paraId="1D8B39FC">
            <w:pPr>
              <w:widowControl/>
              <w:spacing w:line="240" w:lineRule="auto"/>
              <w:ind w:firstLine="0" w:firstLineChars="0"/>
              <w:jc w:val="center"/>
              <w:textAlignment w:val="center"/>
              <w:rPr>
                <w:color w:val="auto"/>
                <w:sz w:val="21"/>
                <w:szCs w:val="21"/>
              </w:rPr>
            </w:pPr>
            <w:r>
              <w:rPr>
                <w:color w:val="auto"/>
                <w:kern w:val="0"/>
                <w:sz w:val="21"/>
                <w:szCs w:val="21"/>
                <w:lang w:bidi="ar"/>
              </w:rPr>
              <w:t>42.86%</w:t>
            </w:r>
          </w:p>
        </w:tc>
        <w:tc>
          <w:tcPr>
            <w:tcW w:w="515" w:type="pct"/>
            <w:tcBorders>
              <w:tl2br w:val="nil"/>
              <w:tr2bl w:val="nil"/>
            </w:tcBorders>
            <w:shd w:val="clear" w:color="auto" w:fill="auto"/>
            <w:vAlign w:val="center"/>
          </w:tcPr>
          <w:p w14:paraId="013C3B89">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bidi="ar"/>
              </w:rPr>
              <w:t>0</w:t>
            </w:r>
          </w:p>
        </w:tc>
        <w:tc>
          <w:tcPr>
            <w:tcW w:w="380" w:type="pct"/>
            <w:tcBorders>
              <w:tl2br w:val="nil"/>
              <w:tr2bl w:val="nil"/>
            </w:tcBorders>
            <w:shd w:val="clear" w:color="auto" w:fill="auto"/>
            <w:vAlign w:val="center"/>
          </w:tcPr>
          <w:p w14:paraId="7EC4B914">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0</w:t>
            </w:r>
          </w:p>
        </w:tc>
        <w:tc>
          <w:tcPr>
            <w:tcW w:w="350" w:type="pct"/>
            <w:tcBorders>
              <w:tl2br w:val="nil"/>
              <w:tr2bl w:val="nil"/>
            </w:tcBorders>
            <w:shd w:val="clear" w:color="auto" w:fill="auto"/>
            <w:vAlign w:val="center"/>
          </w:tcPr>
          <w:p w14:paraId="5BFD2AF4">
            <w:pPr>
              <w:widowControl/>
              <w:spacing w:line="240" w:lineRule="auto"/>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381" w:type="pct"/>
            <w:tcBorders>
              <w:tl2br w:val="nil"/>
              <w:tr2bl w:val="nil"/>
            </w:tcBorders>
            <w:shd w:val="clear" w:color="auto" w:fill="auto"/>
            <w:vAlign w:val="center"/>
          </w:tcPr>
          <w:p w14:paraId="1A65AD3B">
            <w:pPr>
              <w:widowControl/>
              <w:spacing w:line="240" w:lineRule="auto"/>
              <w:ind w:firstLine="0" w:firstLineChars="0"/>
              <w:jc w:val="center"/>
              <w:textAlignment w:val="center"/>
              <w:rPr>
                <w:color w:val="auto"/>
                <w:sz w:val="21"/>
                <w:szCs w:val="21"/>
              </w:rPr>
            </w:pPr>
            <w:r>
              <w:rPr>
                <w:color w:val="auto"/>
                <w:kern w:val="0"/>
                <w:sz w:val="21"/>
                <w:szCs w:val="21"/>
                <w:lang w:bidi="ar"/>
              </w:rPr>
              <w:t>99.90%</w:t>
            </w:r>
          </w:p>
        </w:tc>
        <w:tc>
          <w:tcPr>
            <w:tcW w:w="350" w:type="pct"/>
            <w:tcBorders>
              <w:tl2br w:val="nil"/>
              <w:tr2bl w:val="nil"/>
            </w:tcBorders>
            <w:shd w:val="clear" w:color="auto" w:fill="auto"/>
            <w:vAlign w:val="center"/>
          </w:tcPr>
          <w:p w14:paraId="49B37B10">
            <w:pPr>
              <w:widowControl/>
              <w:spacing w:line="240" w:lineRule="auto"/>
              <w:ind w:firstLine="0" w:firstLineChars="0"/>
              <w:jc w:val="center"/>
              <w:textAlignment w:val="center"/>
              <w:rPr>
                <w:color w:val="auto"/>
                <w:sz w:val="21"/>
                <w:szCs w:val="21"/>
              </w:rPr>
            </w:pPr>
            <w:r>
              <w:rPr>
                <w:rFonts w:hint="eastAsia"/>
                <w:color w:val="auto"/>
                <w:kern w:val="0"/>
                <w:sz w:val="21"/>
                <w:szCs w:val="21"/>
                <w:lang w:val="en-US" w:eastAsia="zh-CN" w:bidi="ar"/>
              </w:rPr>
              <w:t>15</w:t>
            </w:r>
            <w:r>
              <w:rPr>
                <w:color w:val="auto"/>
                <w:kern w:val="0"/>
                <w:sz w:val="21"/>
                <w:szCs w:val="21"/>
                <w:lang w:bidi="ar"/>
              </w:rPr>
              <w:t>%</w:t>
            </w:r>
          </w:p>
        </w:tc>
        <w:tc>
          <w:tcPr>
            <w:tcW w:w="351" w:type="pct"/>
            <w:tcBorders>
              <w:tl2br w:val="nil"/>
              <w:tr2bl w:val="nil"/>
            </w:tcBorders>
            <w:shd w:val="clear" w:color="auto" w:fill="auto"/>
            <w:vAlign w:val="center"/>
          </w:tcPr>
          <w:p w14:paraId="0584EB5C">
            <w:pPr>
              <w:widowControl/>
              <w:spacing w:line="240" w:lineRule="auto"/>
              <w:ind w:firstLine="0" w:firstLineChars="0"/>
              <w:jc w:val="center"/>
              <w:textAlignment w:val="center"/>
              <w:rPr>
                <w:color w:val="auto"/>
                <w:sz w:val="21"/>
                <w:szCs w:val="21"/>
              </w:rPr>
            </w:pPr>
            <w:r>
              <w:rPr>
                <w:color w:val="auto"/>
                <w:kern w:val="0"/>
                <w:sz w:val="21"/>
                <w:szCs w:val="21"/>
                <w:lang w:bidi="ar"/>
              </w:rPr>
              <w:t>87%</w:t>
            </w:r>
          </w:p>
        </w:tc>
        <w:tc>
          <w:tcPr>
            <w:tcW w:w="424" w:type="pct"/>
            <w:tcBorders>
              <w:tl2br w:val="nil"/>
              <w:tr2bl w:val="nil"/>
            </w:tcBorders>
            <w:shd w:val="clear" w:color="auto" w:fill="auto"/>
            <w:vAlign w:val="center"/>
          </w:tcPr>
          <w:p w14:paraId="5745D407">
            <w:pPr>
              <w:widowControl/>
              <w:spacing w:line="240" w:lineRule="auto"/>
              <w:ind w:firstLine="0" w:firstLineChars="0"/>
              <w:jc w:val="center"/>
              <w:textAlignment w:val="center"/>
              <w:rPr>
                <w:color w:val="auto"/>
                <w:sz w:val="21"/>
                <w:szCs w:val="21"/>
              </w:rPr>
            </w:pPr>
            <w:r>
              <w:rPr>
                <w:color w:val="auto"/>
                <w:kern w:val="0"/>
                <w:sz w:val="21"/>
                <w:szCs w:val="21"/>
                <w:lang w:bidi="ar"/>
              </w:rPr>
              <w:t>9</w:t>
            </w:r>
            <w:r>
              <w:rPr>
                <w:rFonts w:hint="eastAsia"/>
                <w:color w:val="auto"/>
                <w:kern w:val="0"/>
                <w:sz w:val="21"/>
                <w:szCs w:val="21"/>
                <w:lang w:val="en-US" w:eastAsia="zh-CN" w:bidi="ar"/>
              </w:rPr>
              <w:t>5.00</w:t>
            </w:r>
            <w:r>
              <w:rPr>
                <w:color w:val="auto"/>
                <w:kern w:val="0"/>
                <w:sz w:val="21"/>
                <w:szCs w:val="21"/>
                <w:lang w:bidi="ar"/>
              </w:rPr>
              <w:t>%</w:t>
            </w:r>
          </w:p>
        </w:tc>
        <w:tc>
          <w:tcPr>
            <w:tcW w:w="439" w:type="pct"/>
            <w:tcBorders>
              <w:tl2br w:val="nil"/>
              <w:tr2bl w:val="nil"/>
            </w:tcBorders>
            <w:shd w:val="clear" w:color="auto" w:fill="auto"/>
            <w:vAlign w:val="center"/>
          </w:tcPr>
          <w:p w14:paraId="2CE405CF">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50%</w:t>
            </w:r>
          </w:p>
        </w:tc>
      </w:tr>
      <w:tr w14:paraId="1D400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6" w:type="pct"/>
            <w:gridSpan w:val="2"/>
            <w:tcBorders>
              <w:tl2br w:val="nil"/>
              <w:tr2bl w:val="nil"/>
            </w:tcBorders>
            <w:shd w:val="clear" w:color="auto" w:fill="auto"/>
            <w:vAlign w:val="center"/>
          </w:tcPr>
          <w:p w14:paraId="4A9B51CD">
            <w:pPr>
              <w:widowControl/>
              <w:spacing w:line="240" w:lineRule="auto"/>
              <w:ind w:firstLine="0" w:firstLineChars="0"/>
              <w:jc w:val="center"/>
              <w:textAlignment w:val="center"/>
              <w:rPr>
                <w:color w:val="auto"/>
                <w:sz w:val="21"/>
                <w:szCs w:val="21"/>
              </w:rPr>
            </w:pPr>
            <w:r>
              <w:rPr>
                <w:color w:val="auto"/>
                <w:kern w:val="0"/>
                <w:sz w:val="21"/>
                <w:szCs w:val="21"/>
                <w:lang w:bidi="ar"/>
              </w:rPr>
              <w:t>接管标准</w:t>
            </w:r>
          </w:p>
        </w:tc>
        <w:tc>
          <w:tcPr>
            <w:tcW w:w="469" w:type="pct"/>
            <w:tcBorders>
              <w:tl2br w:val="nil"/>
              <w:tr2bl w:val="nil"/>
            </w:tcBorders>
            <w:shd w:val="clear" w:color="auto" w:fill="auto"/>
            <w:vAlign w:val="center"/>
          </w:tcPr>
          <w:p w14:paraId="439E09BA">
            <w:pPr>
              <w:widowControl/>
              <w:spacing w:line="240" w:lineRule="auto"/>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500</w:t>
            </w:r>
          </w:p>
        </w:tc>
        <w:tc>
          <w:tcPr>
            <w:tcW w:w="469" w:type="pct"/>
            <w:tcBorders>
              <w:tl2br w:val="nil"/>
              <w:tr2bl w:val="nil"/>
            </w:tcBorders>
            <w:shd w:val="clear" w:color="auto" w:fill="auto"/>
            <w:vAlign w:val="center"/>
          </w:tcPr>
          <w:p w14:paraId="20E7FFC3">
            <w:pPr>
              <w:widowControl/>
              <w:spacing w:line="240" w:lineRule="auto"/>
              <w:ind w:firstLine="0" w:firstLineChars="0"/>
              <w:jc w:val="center"/>
              <w:textAlignment w:val="center"/>
              <w:rPr>
                <w:color w:val="auto"/>
                <w:sz w:val="21"/>
                <w:szCs w:val="21"/>
              </w:rPr>
            </w:pPr>
            <w:r>
              <w:rPr>
                <w:color w:val="auto"/>
                <w:kern w:val="0"/>
                <w:sz w:val="21"/>
                <w:szCs w:val="21"/>
                <w:lang w:bidi="ar"/>
              </w:rPr>
              <w:t>250</w:t>
            </w:r>
          </w:p>
        </w:tc>
        <w:tc>
          <w:tcPr>
            <w:tcW w:w="515" w:type="pct"/>
            <w:tcBorders>
              <w:tl2br w:val="nil"/>
              <w:tr2bl w:val="nil"/>
            </w:tcBorders>
            <w:shd w:val="clear" w:color="auto" w:fill="auto"/>
            <w:vAlign w:val="center"/>
          </w:tcPr>
          <w:p w14:paraId="7F4B917C">
            <w:pPr>
              <w:widowControl/>
              <w:spacing w:line="240" w:lineRule="auto"/>
              <w:ind w:firstLine="0" w:firstLineChars="0"/>
              <w:jc w:val="center"/>
              <w:textAlignment w:val="center"/>
              <w:rPr>
                <w:color w:val="auto"/>
                <w:sz w:val="21"/>
                <w:szCs w:val="21"/>
              </w:rPr>
            </w:pPr>
            <w:r>
              <w:rPr>
                <w:color w:val="auto"/>
                <w:kern w:val="0"/>
                <w:sz w:val="21"/>
                <w:szCs w:val="21"/>
                <w:lang w:bidi="ar"/>
              </w:rPr>
              <w:t>45</w:t>
            </w:r>
          </w:p>
        </w:tc>
        <w:tc>
          <w:tcPr>
            <w:tcW w:w="380" w:type="pct"/>
            <w:tcBorders>
              <w:tl2br w:val="nil"/>
              <w:tr2bl w:val="nil"/>
            </w:tcBorders>
            <w:shd w:val="clear" w:color="auto" w:fill="auto"/>
            <w:vAlign w:val="center"/>
          </w:tcPr>
          <w:p w14:paraId="1119445A">
            <w:pPr>
              <w:widowControl/>
              <w:spacing w:line="240" w:lineRule="auto"/>
              <w:ind w:firstLine="0" w:firstLineChars="0"/>
              <w:jc w:val="center"/>
              <w:textAlignment w:val="center"/>
              <w:rPr>
                <w:color w:val="auto"/>
                <w:sz w:val="21"/>
                <w:szCs w:val="21"/>
              </w:rPr>
            </w:pPr>
            <w:r>
              <w:rPr>
                <w:color w:val="auto"/>
                <w:kern w:val="0"/>
                <w:sz w:val="21"/>
                <w:szCs w:val="21"/>
                <w:lang w:bidi="ar"/>
              </w:rPr>
              <w:t>4.5</w:t>
            </w:r>
          </w:p>
        </w:tc>
        <w:tc>
          <w:tcPr>
            <w:tcW w:w="350" w:type="pct"/>
            <w:tcBorders>
              <w:tl2br w:val="nil"/>
              <w:tr2bl w:val="nil"/>
            </w:tcBorders>
            <w:shd w:val="clear" w:color="auto" w:fill="auto"/>
            <w:vAlign w:val="center"/>
          </w:tcPr>
          <w:p w14:paraId="115FDF61">
            <w:pPr>
              <w:widowControl/>
              <w:spacing w:line="240" w:lineRule="auto"/>
              <w:ind w:firstLine="0" w:firstLineChars="0"/>
              <w:jc w:val="center"/>
              <w:textAlignment w:val="center"/>
              <w:rPr>
                <w:color w:val="auto"/>
                <w:sz w:val="21"/>
                <w:szCs w:val="21"/>
              </w:rPr>
            </w:pPr>
            <w:r>
              <w:rPr>
                <w:color w:val="auto"/>
                <w:kern w:val="0"/>
                <w:sz w:val="21"/>
                <w:szCs w:val="21"/>
                <w:lang w:bidi="ar"/>
              </w:rPr>
              <w:t>60</w:t>
            </w:r>
          </w:p>
        </w:tc>
        <w:tc>
          <w:tcPr>
            <w:tcW w:w="381" w:type="pct"/>
            <w:tcBorders>
              <w:tl2br w:val="nil"/>
              <w:tr2bl w:val="nil"/>
            </w:tcBorders>
            <w:shd w:val="clear" w:color="auto" w:fill="auto"/>
            <w:vAlign w:val="center"/>
          </w:tcPr>
          <w:p w14:paraId="260945EF">
            <w:pPr>
              <w:widowControl/>
              <w:spacing w:line="240" w:lineRule="auto"/>
              <w:ind w:firstLine="0" w:firstLineChars="0"/>
              <w:jc w:val="center"/>
              <w:textAlignment w:val="center"/>
              <w:rPr>
                <w:color w:val="auto"/>
                <w:sz w:val="21"/>
                <w:szCs w:val="21"/>
              </w:rPr>
            </w:pPr>
            <w:r>
              <w:rPr>
                <w:color w:val="auto"/>
                <w:kern w:val="0"/>
                <w:sz w:val="21"/>
                <w:szCs w:val="21"/>
                <w:lang w:bidi="ar"/>
              </w:rPr>
              <w:t>2</w:t>
            </w:r>
          </w:p>
        </w:tc>
        <w:tc>
          <w:tcPr>
            <w:tcW w:w="350" w:type="pct"/>
            <w:tcBorders>
              <w:tl2br w:val="nil"/>
              <w:tr2bl w:val="nil"/>
            </w:tcBorders>
            <w:shd w:val="clear" w:color="auto" w:fill="auto"/>
            <w:vAlign w:val="center"/>
          </w:tcPr>
          <w:p w14:paraId="4CCCB66B">
            <w:pPr>
              <w:widowControl/>
              <w:spacing w:line="240" w:lineRule="auto"/>
              <w:ind w:firstLine="0" w:firstLineChars="0"/>
              <w:jc w:val="center"/>
              <w:textAlignment w:val="center"/>
              <w:rPr>
                <w:color w:val="auto"/>
                <w:sz w:val="21"/>
                <w:szCs w:val="21"/>
              </w:rPr>
            </w:pPr>
            <w:r>
              <w:rPr>
                <w:color w:val="auto"/>
                <w:kern w:val="0"/>
                <w:sz w:val="21"/>
                <w:szCs w:val="21"/>
                <w:lang w:bidi="ar"/>
              </w:rPr>
              <w:t>15</w:t>
            </w:r>
          </w:p>
        </w:tc>
        <w:tc>
          <w:tcPr>
            <w:tcW w:w="351" w:type="pct"/>
            <w:tcBorders>
              <w:tl2br w:val="nil"/>
              <w:tr2bl w:val="nil"/>
            </w:tcBorders>
            <w:shd w:val="clear" w:color="auto" w:fill="auto"/>
            <w:noWrap/>
            <w:vAlign w:val="center"/>
          </w:tcPr>
          <w:p w14:paraId="647F037B">
            <w:pPr>
              <w:widowControl/>
              <w:spacing w:line="240" w:lineRule="auto"/>
              <w:ind w:firstLine="0" w:firstLineChars="0"/>
              <w:jc w:val="center"/>
              <w:textAlignment w:val="bottom"/>
              <w:rPr>
                <w:color w:val="auto"/>
                <w:sz w:val="21"/>
                <w:szCs w:val="21"/>
              </w:rPr>
            </w:pPr>
            <w:r>
              <w:rPr>
                <w:color w:val="auto"/>
                <w:kern w:val="0"/>
                <w:sz w:val="21"/>
                <w:szCs w:val="21"/>
                <w:lang w:bidi="ar"/>
              </w:rPr>
              <w:t>5</w:t>
            </w:r>
          </w:p>
        </w:tc>
        <w:tc>
          <w:tcPr>
            <w:tcW w:w="424" w:type="pct"/>
            <w:tcBorders>
              <w:tl2br w:val="nil"/>
              <w:tr2bl w:val="nil"/>
            </w:tcBorders>
            <w:shd w:val="clear" w:color="auto" w:fill="auto"/>
            <w:vAlign w:val="center"/>
          </w:tcPr>
          <w:p w14:paraId="77B57300">
            <w:pPr>
              <w:widowControl/>
              <w:spacing w:line="240" w:lineRule="auto"/>
              <w:ind w:firstLine="0" w:firstLineChars="0"/>
              <w:jc w:val="center"/>
              <w:textAlignment w:val="center"/>
              <w:rPr>
                <w:color w:val="auto"/>
                <w:sz w:val="21"/>
                <w:szCs w:val="21"/>
              </w:rPr>
            </w:pPr>
            <w:r>
              <w:rPr>
                <w:color w:val="auto"/>
                <w:kern w:val="0"/>
                <w:sz w:val="21"/>
                <w:szCs w:val="21"/>
                <w:lang w:bidi="ar"/>
              </w:rPr>
              <w:t>20</w:t>
            </w:r>
          </w:p>
        </w:tc>
        <w:tc>
          <w:tcPr>
            <w:tcW w:w="439" w:type="pct"/>
            <w:tcBorders>
              <w:tl2br w:val="nil"/>
              <w:tr2bl w:val="nil"/>
            </w:tcBorders>
            <w:shd w:val="clear" w:color="auto" w:fill="auto"/>
            <w:vAlign w:val="center"/>
          </w:tcPr>
          <w:p w14:paraId="0709C7B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1500</w:t>
            </w:r>
          </w:p>
        </w:tc>
      </w:tr>
      <w:tr w14:paraId="5D047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66" w:type="pct"/>
            <w:gridSpan w:val="2"/>
            <w:tcBorders>
              <w:tl2br w:val="nil"/>
              <w:tr2bl w:val="nil"/>
            </w:tcBorders>
            <w:shd w:val="clear" w:color="auto" w:fill="auto"/>
            <w:vAlign w:val="center"/>
          </w:tcPr>
          <w:p w14:paraId="3C51FDAE">
            <w:pPr>
              <w:widowControl/>
              <w:spacing w:line="240" w:lineRule="auto"/>
              <w:ind w:firstLine="0" w:firstLineChars="0"/>
              <w:jc w:val="center"/>
              <w:textAlignment w:val="center"/>
              <w:rPr>
                <w:color w:val="auto"/>
                <w:sz w:val="21"/>
                <w:szCs w:val="21"/>
              </w:rPr>
            </w:pPr>
            <w:r>
              <w:rPr>
                <w:color w:val="auto"/>
                <w:kern w:val="0"/>
                <w:sz w:val="21"/>
                <w:szCs w:val="21"/>
                <w:lang w:bidi="ar"/>
              </w:rPr>
              <w:t>达标评价</w:t>
            </w:r>
          </w:p>
        </w:tc>
        <w:tc>
          <w:tcPr>
            <w:tcW w:w="469" w:type="pct"/>
            <w:tcBorders>
              <w:tl2br w:val="nil"/>
              <w:tr2bl w:val="nil"/>
            </w:tcBorders>
            <w:shd w:val="clear" w:color="auto" w:fill="auto"/>
            <w:vAlign w:val="center"/>
          </w:tcPr>
          <w:p w14:paraId="307DC4D1">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469" w:type="pct"/>
            <w:tcBorders>
              <w:tl2br w:val="nil"/>
              <w:tr2bl w:val="nil"/>
            </w:tcBorders>
            <w:shd w:val="clear" w:color="auto" w:fill="auto"/>
            <w:vAlign w:val="center"/>
          </w:tcPr>
          <w:p w14:paraId="63F46023">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515" w:type="pct"/>
            <w:tcBorders>
              <w:tl2br w:val="nil"/>
              <w:tr2bl w:val="nil"/>
            </w:tcBorders>
            <w:shd w:val="clear" w:color="auto" w:fill="auto"/>
            <w:vAlign w:val="center"/>
          </w:tcPr>
          <w:p w14:paraId="3119133B">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380" w:type="pct"/>
            <w:tcBorders>
              <w:tl2br w:val="nil"/>
              <w:tr2bl w:val="nil"/>
            </w:tcBorders>
            <w:shd w:val="clear" w:color="auto" w:fill="auto"/>
            <w:vAlign w:val="center"/>
          </w:tcPr>
          <w:p w14:paraId="2A038338">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350" w:type="pct"/>
            <w:tcBorders>
              <w:tl2br w:val="nil"/>
              <w:tr2bl w:val="nil"/>
            </w:tcBorders>
            <w:shd w:val="clear" w:color="auto" w:fill="auto"/>
            <w:vAlign w:val="center"/>
          </w:tcPr>
          <w:p w14:paraId="63CDCB71">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381" w:type="pct"/>
            <w:tcBorders>
              <w:tl2br w:val="nil"/>
              <w:tr2bl w:val="nil"/>
            </w:tcBorders>
            <w:shd w:val="clear" w:color="auto" w:fill="auto"/>
            <w:vAlign w:val="center"/>
          </w:tcPr>
          <w:p w14:paraId="69028E8E">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350" w:type="pct"/>
            <w:tcBorders>
              <w:tl2br w:val="nil"/>
              <w:tr2bl w:val="nil"/>
            </w:tcBorders>
            <w:shd w:val="clear" w:color="auto" w:fill="auto"/>
            <w:vAlign w:val="center"/>
          </w:tcPr>
          <w:p w14:paraId="2223DBFE">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351" w:type="pct"/>
            <w:tcBorders>
              <w:tl2br w:val="nil"/>
              <w:tr2bl w:val="nil"/>
            </w:tcBorders>
            <w:shd w:val="clear" w:color="auto" w:fill="auto"/>
            <w:noWrap/>
            <w:vAlign w:val="center"/>
          </w:tcPr>
          <w:p w14:paraId="54BB6328">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424" w:type="pct"/>
            <w:tcBorders>
              <w:tl2br w:val="nil"/>
              <w:tr2bl w:val="nil"/>
            </w:tcBorders>
            <w:shd w:val="clear" w:color="auto" w:fill="auto"/>
            <w:noWrap/>
            <w:vAlign w:val="center"/>
          </w:tcPr>
          <w:p w14:paraId="33D7E51A">
            <w:pPr>
              <w:widowControl/>
              <w:spacing w:line="240" w:lineRule="auto"/>
              <w:ind w:firstLine="0" w:firstLineChars="0"/>
              <w:jc w:val="center"/>
              <w:textAlignment w:val="center"/>
              <w:rPr>
                <w:color w:val="auto"/>
                <w:sz w:val="21"/>
                <w:szCs w:val="21"/>
              </w:rPr>
            </w:pPr>
            <w:r>
              <w:rPr>
                <w:color w:val="auto"/>
                <w:kern w:val="0"/>
                <w:sz w:val="21"/>
                <w:szCs w:val="21"/>
                <w:lang w:bidi="ar"/>
              </w:rPr>
              <w:t>达标</w:t>
            </w:r>
          </w:p>
        </w:tc>
        <w:tc>
          <w:tcPr>
            <w:tcW w:w="439" w:type="pct"/>
            <w:tcBorders>
              <w:tl2br w:val="nil"/>
              <w:tr2bl w:val="nil"/>
            </w:tcBorders>
            <w:shd w:val="clear" w:color="auto" w:fill="auto"/>
            <w:noWrap/>
            <w:vAlign w:val="center"/>
          </w:tcPr>
          <w:p w14:paraId="7C7CDBAD">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达标</w:t>
            </w:r>
          </w:p>
        </w:tc>
      </w:tr>
    </w:tbl>
    <w:p w14:paraId="0F265B56">
      <w:pPr>
        <w:ind w:firstLine="480"/>
        <w:rPr>
          <w:b/>
          <w:bCs/>
          <w:color w:val="auto"/>
        </w:rPr>
      </w:pPr>
      <w:r>
        <w:rPr>
          <w:color w:val="auto"/>
          <w:szCs w:val="22"/>
          <w:lang w:bidi="ar"/>
        </w:rPr>
        <w:t>由上表可知，本项目</w:t>
      </w:r>
      <w:r>
        <w:rPr>
          <w:rFonts w:hint="eastAsia"/>
          <w:color w:val="auto"/>
          <w:szCs w:val="22"/>
          <w:lang w:bidi="ar"/>
        </w:rPr>
        <w:t>总锡</w:t>
      </w:r>
      <w:r>
        <w:rPr>
          <w:color w:val="auto"/>
          <w:szCs w:val="22"/>
          <w:lang w:bidi="ar"/>
        </w:rPr>
        <w:t>排放浓度</w:t>
      </w:r>
      <w:r>
        <w:rPr>
          <w:color w:val="auto"/>
          <w:szCs w:val="22"/>
        </w:rPr>
        <w:t>满足</w:t>
      </w:r>
      <w:r>
        <w:rPr>
          <w:rFonts w:hint="eastAsia"/>
          <w:color w:val="auto"/>
          <w:szCs w:val="22"/>
        </w:rPr>
        <w:t>上海市地方标准《污水综合排放标准》（DB31/199-2018）表1中排放限值，企业总排口总铝满足《电镀污染物排放标准》（GB21900-2008）表3标准</w:t>
      </w:r>
      <w:r>
        <w:rPr>
          <w:color w:val="auto"/>
          <w:szCs w:val="22"/>
        </w:rPr>
        <w:t>，其他污染物</w:t>
      </w:r>
      <w:r>
        <w:rPr>
          <w:color w:val="auto"/>
          <w:szCs w:val="22"/>
          <w:lang w:bidi="ar"/>
        </w:rPr>
        <w:t>经污水处理站预处理后可满足《电镀污染物排放标准》（GB21900-2008）及开发区临港污水处理厂接管标准限值要求。</w:t>
      </w:r>
    </w:p>
    <w:p w14:paraId="0BBD9B59">
      <w:pPr>
        <w:spacing w:line="240" w:lineRule="auto"/>
        <w:ind w:firstLine="0" w:firstLineChars="0"/>
        <w:rPr>
          <w:b/>
          <w:bCs/>
          <w:color w:val="auto"/>
          <w:sz w:val="21"/>
          <w:szCs w:val="21"/>
        </w:rPr>
        <w:sectPr>
          <w:pgSz w:w="16840" w:h="11907" w:orient="landscape"/>
          <w:pgMar w:top="1361" w:right="1361" w:bottom="1361" w:left="1361" w:header="851" w:footer="992" w:gutter="0"/>
          <w:cols w:space="0" w:num="1"/>
          <w:docGrid w:linePitch="326" w:charSpace="0"/>
        </w:sectPr>
      </w:pPr>
    </w:p>
    <w:p w14:paraId="5AE48841">
      <w:pPr>
        <w:ind w:firstLine="482"/>
        <w:rPr>
          <w:b/>
          <w:bCs/>
          <w:color w:val="auto"/>
        </w:rPr>
      </w:pPr>
      <w:r>
        <w:rPr>
          <w:rFonts w:hint="eastAsia"/>
          <w:b/>
          <w:bCs/>
          <w:color w:val="auto"/>
        </w:rPr>
        <w:t>4、废水治理措施相关工程案例</w:t>
      </w:r>
    </w:p>
    <w:p w14:paraId="0C4C1B54">
      <w:pPr>
        <w:ind w:firstLine="480"/>
        <w:rPr>
          <w:color w:val="auto"/>
          <w:szCs w:val="21"/>
        </w:rPr>
      </w:pPr>
      <w:r>
        <w:rPr>
          <w:rFonts w:hint="eastAsia"/>
          <w:color w:val="auto"/>
          <w:szCs w:val="21"/>
        </w:rPr>
        <w:t>参考</w:t>
      </w:r>
      <w:bookmarkStart w:id="182" w:name="_Hlk156833751"/>
      <w:r>
        <w:rPr>
          <w:rFonts w:hint="eastAsia"/>
          <w:color w:val="auto"/>
          <w:szCs w:val="21"/>
          <w:lang w:val="en-US" w:eastAsia="zh-CN"/>
        </w:rPr>
        <w:t>宁波金沐阳新能源科技有限公司</w:t>
      </w:r>
      <w:r>
        <w:rPr>
          <w:rFonts w:hint="eastAsia"/>
          <w:color w:val="auto"/>
          <w:szCs w:val="21"/>
        </w:rPr>
        <w:t>于2</w:t>
      </w:r>
      <w:r>
        <w:rPr>
          <w:color w:val="auto"/>
          <w:szCs w:val="21"/>
        </w:rPr>
        <w:t>02</w:t>
      </w:r>
      <w:r>
        <w:rPr>
          <w:rFonts w:hint="eastAsia"/>
          <w:color w:val="auto"/>
          <w:szCs w:val="21"/>
          <w:lang w:val="en-US" w:eastAsia="zh-CN"/>
        </w:rPr>
        <w:t>4</w:t>
      </w:r>
      <w:r>
        <w:rPr>
          <w:rFonts w:hint="eastAsia"/>
          <w:color w:val="auto"/>
          <w:szCs w:val="21"/>
        </w:rPr>
        <w:t>年</w:t>
      </w:r>
      <w:r>
        <w:rPr>
          <w:rFonts w:hint="eastAsia"/>
          <w:color w:val="auto"/>
          <w:szCs w:val="21"/>
          <w:lang w:val="en-US" w:eastAsia="zh-CN"/>
        </w:rPr>
        <w:t>11</w:t>
      </w:r>
      <w:r>
        <w:rPr>
          <w:rFonts w:hint="eastAsia"/>
          <w:color w:val="auto"/>
          <w:szCs w:val="21"/>
        </w:rPr>
        <w:t>月</w:t>
      </w:r>
      <w:r>
        <w:rPr>
          <w:rFonts w:hint="eastAsia"/>
          <w:color w:val="auto"/>
          <w:szCs w:val="21"/>
          <w:lang w:val="en-US" w:eastAsia="zh-CN"/>
        </w:rPr>
        <w:t>5</w:t>
      </w:r>
      <w:r>
        <w:rPr>
          <w:rFonts w:hint="eastAsia"/>
          <w:color w:val="auto"/>
          <w:szCs w:val="21"/>
        </w:rPr>
        <w:t>日通过验收的《宁波金沐阳新能源科技有限公司年产8GW光伏边框及5GW光伏支架项目竣工环境保护验收监测报告》中验收的污水处理设施</w:t>
      </w:r>
      <w:bookmarkEnd w:id="182"/>
      <w:r>
        <w:rPr>
          <w:rFonts w:hint="eastAsia"/>
          <w:color w:val="auto"/>
          <w:szCs w:val="21"/>
        </w:rPr>
        <w:t>（该企业污水处理工艺与本项目拟采用的污水处理工艺相似，</w:t>
      </w:r>
      <w:r>
        <w:rPr>
          <w:rFonts w:hint="eastAsia"/>
          <w:color w:val="auto"/>
          <w:szCs w:val="21"/>
          <w:lang w:val="en-US" w:eastAsia="zh-CN"/>
        </w:rPr>
        <w:t>综合废水处理工艺为“化学混凝沉淀”</w:t>
      </w:r>
      <w:r>
        <w:rPr>
          <w:rFonts w:hint="eastAsia"/>
          <w:color w:val="auto"/>
          <w:szCs w:val="21"/>
        </w:rPr>
        <w:t>），</w:t>
      </w:r>
      <w:r>
        <w:rPr>
          <w:rFonts w:hint="eastAsia"/>
          <w:color w:val="auto"/>
          <w:spacing w:val="4"/>
          <w:szCs w:val="24"/>
        </w:rPr>
        <w:t>可实现</w:t>
      </w:r>
      <w:r>
        <w:rPr>
          <w:rFonts w:hint="eastAsia"/>
          <w:color w:val="auto"/>
        </w:rPr>
        <w:t>达标排放，具体结果详见表</w:t>
      </w:r>
      <w:r>
        <w:rPr>
          <w:rFonts w:hint="eastAsia"/>
          <w:color w:val="auto"/>
          <w:lang w:val="en-US" w:eastAsia="zh-CN"/>
        </w:rPr>
        <w:t>7.2.2-3</w:t>
      </w:r>
      <w:r>
        <w:rPr>
          <w:rFonts w:hint="eastAsia"/>
          <w:color w:val="auto"/>
        </w:rPr>
        <w:t>。</w:t>
      </w:r>
    </w:p>
    <w:p w14:paraId="5EC126B4">
      <w:pPr>
        <w:autoSpaceDE w:val="0"/>
        <w:autoSpaceDN w:val="0"/>
        <w:spacing w:line="240" w:lineRule="auto"/>
        <w:ind w:firstLine="0" w:firstLineChars="0"/>
        <w:jc w:val="center"/>
        <w:rPr>
          <w:b/>
          <w:color w:val="auto"/>
          <w:szCs w:val="24"/>
        </w:rPr>
      </w:pPr>
      <w:r>
        <w:rPr>
          <w:b/>
          <w:color w:val="auto"/>
          <w:kern w:val="0"/>
          <w:szCs w:val="24"/>
        </w:rPr>
        <w:t>表</w:t>
      </w:r>
      <w:r>
        <w:rPr>
          <w:rFonts w:hint="eastAsia"/>
          <w:b/>
          <w:color w:val="auto"/>
          <w:kern w:val="0"/>
          <w:szCs w:val="24"/>
          <w:lang w:val="en-US" w:eastAsia="zh-CN"/>
        </w:rPr>
        <w:t>7.2.2-3</w:t>
      </w:r>
      <w:r>
        <w:rPr>
          <w:b/>
          <w:color w:val="auto"/>
          <w:kern w:val="0"/>
          <w:szCs w:val="24"/>
        </w:rPr>
        <w:t xml:space="preserve">  废水监测结果</w:t>
      </w:r>
      <w:r>
        <w:rPr>
          <w:rFonts w:hint="eastAsia"/>
          <w:b/>
          <w:color w:val="auto"/>
          <w:szCs w:val="24"/>
        </w:rPr>
        <w:t xml:space="preserve"> </w:t>
      </w:r>
      <w:r>
        <w:rPr>
          <w:b/>
          <w:color w:val="auto"/>
          <w:szCs w:val="24"/>
        </w:rPr>
        <w:t xml:space="preserve">   pH</w:t>
      </w:r>
      <w:r>
        <w:rPr>
          <w:rFonts w:hint="eastAsia"/>
          <w:b/>
          <w:color w:val="auto"/>
          <w:szCs w:val="24"/>
        </w:rPr>
        <w:t>为</w:t>
      </w:r>
      <w:r>
        <w:rPr>
          <w:b/>
          <w:color w:val="auto"/>
          <w:szCs w:val="24"/>
        </w:rPr>
        <w:t>无量纲</w:t>
      </w:r>
      <w:r>
        <w:rPr>
          <w:rFonts w:hint="eastAsia"/>
          <w:b/>
          <w:color w:val="auto"/>
          <w:szCs w:val="24"/>
        </w:rPr>
        <w:t>，其他单位为</w:t>
      </w:r>
      <w:r>
        <w:rPr>
          <w:b/>
          <w:color w:val="auto"/>
          <w:szCs w:val="24"/>
        </w:rPr>
        <w:t>mg/L</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2"/>
        <w:gridCol w:w="767"/>
        <w:gridCol w:w="1252"/>
        <w:gridCol w:w="643"/>
        <w:gridCol w:w="812"/>
        <w:gridCol w:w="759"/>
        <w:gridCol w:w="798"/>
        <w:gridCol w:w="759"/>
        <w:gridCol w:w="767"/>
        <w:gridCol w:w="762"/>
        <w:gridCol w:w="759"/>
        <w:gridCol w:w="721"/>
      </w:tblGrid>
      <w:tr w14:paraId="73D4B7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Align w:val="center"/>
          </w:tcPr>
          <w:p w14:paraId="32F6A248">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767" w:type="dxa"/>
            <w:vAlign w:val="center"/>
          </w:tcPr>
          <w:p w14:paraId="3ABC644C">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252" w:type="dxa"/>
            <w:vAlign w:val="center"/>
          </w:tcPr>
          <w:p w14:paraId="68607DAA">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频次</w:t>
            </w:r>
          </w:p>
        </w:tc>
        <w:tc>
          <w:tcPr>
            <w:tcW w:w="643" w:type="dxa"/>
            <w:vAlign w:val="center"/>
          </w:tcPr>
          <w:p w14:paraId="58C1DC97">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pH</w:t>
            </w:r>
          </w:p>
        </w:tc>
        <w:tc>
          <w:tcPr>
            <w:tcW w:w="812" w:type="dxa"/>
            <w:shd w:val="clear" w:color="auto" w:fill="auto"/>
            <w:vAlign w:val="center"/>
          </w:tcPr>
          <w:p w14:paraId="20387409">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COD</w:t>
            </w:r>
          </w:p>
        </w:tc>
        <w:tc>
          <w:tcPr>
            <w:tcW w:w="759" w:type="dxa"/>
            <w:shd w:val="clear" w:color="auto" w:fill="auto"/>
            <w:vAlign w:val="center"/>
          </w:tcPr>
          <w:p w14:paraId="30C83551">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SS</w:t>
            </w:r>
          </w:p>
        </w:tc>
        <w:tc>
          <w:tcPr>
            <w:tcW w:w="798" w:type="dxa"/>
            <w:vAlign w:val="center"/>
          </w:tcPr>
          <w:p w14:paraId="0BB2392C">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-N</w:t>
            </w:r>
          </w:p>
        </w:tc>
        <w:tc>
          <w:tcPr>
            <w:tcW w:w="759" w:type="dxa"/>
            <w:shd w:val="clear" w:color="auto" w:fill="auto"/>
            <w:vAlign w:val="center"/>
          </w:tcPr>
          <w:p w14:paraId="4F48112B">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TN</w:t>
            </w:r>
          </w:p>
        </w:tc>
        <w:tc>
          <w:tcPr>
            <w:tcW w:w="767" w:type="dxa"/>
            <w:shd w:val="clear" w:color="auto" w:fill="auto"/>
            <w:vAlign w:val="center"/>
          </w:tcPr>
          <w:p w14:paraId="1AC783B4">
            <w:pPr>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TP</w:t>
            </w:r>
          </w:p>
        </w:tc>
        <w:tc>
          <w:tcPr>
            <w:tcW w:w="762" w:type="dxa"/>
            <w:vAlign w:val="center"/>
          </w:tcPr>
          <w:p w14:paraId="73144523">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石油类</w:t>
            </w:r>
          </w:p>
        </w:tc>
        <w:tc>
          <w:tcPr>
            <w:tcW w:w="759" w:type="dxa"/>
            <w:vAlign w:val="center"/>
          </w:tcPr>
          <w:p w14:paraId="6BAD4B1F">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总铝</w:t>
            </w:r>
          </w:p>
        </w:tc>
        <w:tc>
          <w:tcPr>
            <w:tcW w:w="721" w:type="dxa"/>
            <w:vAlign w:val="center"/>
          </w:tcPr>
          <w:p w14:paraId="4C931589">
            <w:pPr>
              <w:spacing w:line="240" w:lineRule="auto"/>
              <w:ind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总锡</w:t>
            </w:r>
          </w:p>
        </w:tc>
      </w:tr>
      <w:tr w14:paraId="02B1E0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restart"/>
            <w:vAlign w:val="center"/>
          </w:tcPr>
          <w:p w14:paraId="7AA63253">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综合废水</w:t>
            </w:r>
            <w:r>
              <w:rPr>
                <w:rFonts w:hint="default" w:ascii="Times New Roman" w:hAnsi="Times New Roman" w:cs="Times New Roman"/>
                <w:color w:val="auto"/>
                <w:sz w:val="21"/>
                <w:szCs w:val="21"/>
              </w:rPr>
              <w:t>进口</w:t>
            </w:r>
          </w:p>
        </w:tc>
        <w:tc>
          <w:tcPr>
            <w:tcW w:w="767" w:type="dxa"/>
            <w:vMerge w:val="restart"/>
            <w:vAlign w:val="center"/>
          </w:tcPr>
          <w:p w14:paraId="54E5A00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9.2</w:t>
            </w:r>
          </w:p>
        </w:tc>
        <w:tc>
          <w:tcPr>
            <w:tcW w:w="1252" w:type="dxa"/>
            <w:vAlign w:val="center"/>
          </w:tcPr>
          <w:p w14:paraId="0839DCFB">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643" w:type="dxa"/>
            <w:vAlign w:val="center"/>
          </w:tcPr>
          <w:p w14:paraId="2EDF3CE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812" w:type="dxa"/>
            <w:vAlign w:val="center"/>
          </w:tcPr>
          <w:p w14:paraId="452F90A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132</w:t>
            </w:r>
          </w:p>
        </w:tc>
        <w:tc>
          <w:tcPr>
            <w:tcW w:w="759" w:type="dxa"/>
            <w:vAlign w:val="center"/>
          </w:tcPr>
          <w:p w14:paraId="4CCE303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798" w:type="dxa"/>
            <w:vAlign w:val="center"/>
          </w:tcPr>
          <w:p w14:paraId="1D1D638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0.233</w:t>
            </w:r>
          </w:p>
        </w:tc>
        <w:tc>
          <w:tcPr>
            <w:tcW w:w="759" w:type="dxa"/>
            <w:vAlign w:val="center"/>
          </w:tcPr>
          <w:p w14:paraId="0B7F59C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3.86</w:t>
            </w:r>
          </w:p>
        </w:tc>
        <w:tc>
          <w:tcPr>
            <w:tcW w:w="767" w:type="dxa"/>
            <w:vAlign w:val="center"/>
          </w:tcPr>
          <w:p w14:paraId="2FA4022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0.14</w:t>
            </w:r>
          </w:p>
        </w:tc>
        <w:tc>
          <w:tcPr>
            <w:tcW w:w="762" w:type="dxa"/>
            <w:vAlign w:val="center"/>
          </w:tcPr>
          <w:p w14:paraId="41F4853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0.58</w:t>
            </w:r>
          </w:p>
        </w:tc>
        <w:tc>
          <w:tcPr>
            <w:tcW w:w="759" w:type="dxa"/>
            <w:vAlign w:val="center"/>
          </w:tcPr>
          <w:p w14:paraId="5CA7550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132</w:t>
            </w:r>
          </w:p>
        </w:tc>
        <w:tc>
          <w:tcPr>
            <w:tcW w:w="721" w:type="dxa"/>
            <w:vAlign w:val="center"/>
          </w:tcPr>
          <w:p w14:paraId="576FF36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14:paraId="5E90D5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43B9B09F">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45B9A22C">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7D8F46B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第二次</w:t>
            </w:r>
          </w:p>
        </w:tc>
        <w:tc>
          <w:tcPr>
            <w:tcW w:w="643" w:type="dxa"/>
            <w:vAlign w:val="center"/>
          </w:tcPr>
          <w:p w14:paraId="7C99381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812" w:type="dxa"/>
            <w:vAlign w:val="center"/>
          </w:tcPr>
          <w:p w14:paraId="1D0ABC2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118</w:t>
            </w:r>
          </w:p>
        </w:tc>
        <w:tc>
          <w:tcPr>
            <w:tcW w:w="759" w:type="dxa"/>
            <w:vAlign w:val="center"/>
          </w:tcPr>
          <w:p w14:paraId="3FE000C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c>
          <w:tcPr>
            <w:tcW w:w="798" w:type="dxa"/>
            <w:vAlign w:val="center"/>
          </w:tcPr>
          <w:p w14:paraId="0F89998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0.271</w:t>
            </w:r>
          </w:p>
        </w:tc>
        <w:tc>
          <w:tcPr>
            <w:tcW w:w="759" w:type="dxa"/>
            <w:vAlign w:val="center"/>
          </w:tcPr>
          <w:p w14:paraId="2CD3600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3.71</w:t>
            </w:r>
          </w:p>
        </w:tc>
        <w:tc>
          <w:tcPr>
            <w:tcW w:w="767" w:type="dxa"/>
            <w:vAlign w:val="center"/>
          </w:tcPr>
          <w:p w14:paraId="4416D44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762" w:type="dxa"/>
            <w:vAlign w:val="center"/>
          </w:tcPr>
          <w:p w14:paraId="3ADAF12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0.48</w:t>
            </w:r>
          </w:p>
        </w:tc>
        <w:tc>
          <w:tcPr>
            <w:tcW w:w="759" w:type="dxa"/>
            <w:vAlign w:val="center"/>
          </w:tcPr>
          <w:p w14:paraId="7C61351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127</w:t>
            </w:r>
          </w:p>
        </w:tc>
        <w:tc>
          <w:tcPr>
            <w:tcW w:w="721" w:type="dxa"/>
            <w:vAlign w:val="center"/>
          </w:tcPr>
          <w:p w14:paraId="631195B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14:paraId="453ECE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4DD0818E">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530706E4">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4FA03EA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第三次</w:t>
            </w:r>
          </w:p>
        </w:tc>
        <w:tc>
          <w:tcPr>
            <w:tcW w:w="643" w:type="dxa"/>
            <w:vAlign w:val="center"/>
          </w:tcPr>
          <w:p w14:paraId="5190871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812" w:type="dxa"/>
            <w:vAlign w:val="center"/>
          </w:tcPr>
          <w:p w14:paraId="309BC2A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125</w:t>
            </w:r>
          </w:p>
        </w:tc>
        <w:tc>
          <w:tcPr>
            <w:tcW w:w="759" w:type="dxa"/>
            <w:vAlign w:val="center"/>
          </w:tcPr>
          <w:p w14:paraId="6286F16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w:t>
            </w:r>
          </w:p>
        </w:tc>
        <w:tc>
          <w:tcPr>
            <w:tcW w:w="798" w:type="dxa"/>
            <w:vAlign w:val="center"/>
          </w:tcPr>
          <w:p w14:paraId="6DE7145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0.228</w:t>
            </w:r>
          </w:p>
        </w:tc>
        <w:tc>
          <w:tcPr>
            <w:tcW w:w="759" w:type="dxa"/>
            <w:vAlign w:val="center"/>
          </w:tcPr>
          <w:p w14:paraId="5504425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3.86</w:t>
            </w:r>
          </w:p>
        </w:tc>
        <w:tc>
          <w:tcPr>
            <w:tcW w:w="767" w:type="dxa"/>
            <w:vAlign w:val="center"/>
          </w:tcPr>
          <w:p w14:paraId="1F7203C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762" w:type="dxa"/>
            <w:vAlign w:val="center"/>
          </w:tcPr>
          <w:p w14:paraId="7408EDD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0.48</w:t>
            </w:r>
          </w:p>
        </w:tc>
        <w:tc>
          <w:tcPr>
            <w:tcW w:w="759" w:type="dxa"/>
            <w:vAlign w:val="center"/>
          </w:tcPr>
          <w:p w14:paraId="159A5D6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137</w:t>
            </w:r>
          </w:p>
        </w:tc>
        <w:tc>
          <w:tcPr>
            <w:tcW w:w="721" w:type="dxa"/>
            <w:vAlign w:val="center"/>
          </w:tcPr>
          <w:p w14:paraId="30DB6E5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14:paraId="64DE9A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75549390">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48ADE988">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52E4E7BD">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第四次</w:t>
            </w:r>
          </w:p>
        </w:tc>
        <w:tc>
          <w:tcPr>
            <w:tcW w:w="643" w:type="dxa"/>
            <w:vAlign w:val="center"/>
          </w:tcPr>
          <w:p w14:paraId="329B15A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812" w:type="dxa"/>
            <w:vAlign w:val="center"/>
          </w:tcPr>
          <w:p w14:paraId="02997E6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129</w:t>
            </w:r>
          </w:p>
        </w:tc>
        <w:tc>
          <w:tcPr>
            <w:tcW w:w="759" w:type="dxa"/>
            <w:vAlign w:val="center"/>
          </w:tcPr>
          <w:p w14:paraId="5593291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798" w:type="dxa"/>
            <w:vAlign w:val="center"/>
          </w:tcPr>
          <w:p w14:paraId="099CDC0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0.209</w:t>
            </w:r>
          </w:p>
        </w:tc>
        <w:tc>
          <w:tcPr>
            <w:tcW w:w="759" w:type="dxa"/>
            <w:vAlign w:val="center"/>
          </w:tcPr>
          <w:p w14:paraId="61B20CF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3.82</w:t>
            </w:r>
          </w:p>
        </w:tc>
        <w:tc>
          <w:tcPr>
            <w:tcW w:w="767" w:type="dxa"/>
            <w:vAlign w:val="center"/>
          </w:tcPr>
          <w:p w14:paraId="06A8A62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762" w:type="dxa"/>
            <w:vAlign w:val="center"/>
          </w:tcPr>
          <w:p w14:paraId="0EFA8C5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0.48</w:t>
            </w:r>
          </w:p>
        </w:tc>
        <w:tc>
          <w:tcPr>
            <w:tcW w:w="759" w:type="dxa"/>
            <w:vAlign w:val="center"/>
          </w:tcPr>
          <w:p w14:paraId="3CE5E61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148</w:t>
            </w:r>
          </w:p>
        </w:tc>
        <w:tc>
          <w:tcPr>
            <w:tcW w:w="721" w:type="dxa"/>
            <w:vAlign w:val="center"/>
          </w:tcPr>
          <w:p w14:paraId="3CB33E0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14:paraId="6422DD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4BCB3225">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5DB6CB0D">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701575F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平均值</w:t>
            </w:r>
          </w:p>
        </w:tc>
        <w:tc>
          <w:tcPr>
            <w:tcW w:w="643" w:type="dxa"/>
            <w:vAlign w:val="center"/>
          </w:tcPr>
          <w:p w14:paraId="4C2DC92D">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812" w:type="dxa"/>
            <w:vAlign w:val="center"/>
          </w:tcPr>
          <w:p w14:paraId="297E5258">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126</w:t>
            </w:r>
          </w:p>
        </w:tc>
        <w:tc>
          <w:tcPr>
            <w:tcW w:w="759" w:type="dxa"/>
            <w:vAlign w:val="center"/>
          </w:tcPr>
          <w:p w14:paraId="0892B4AB">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44.75</w:t>
            </w:r>
          </w:p>
        </w:tc>
        <w:tc>
          <w:tcPr>
            <w:tcW w:w="798" w:type="dxa"/>
            <w:vAlign w:val="center"/>
          </w:tcPr>
          <w:p w14:paraId="5A9A3AFD">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0.24</w:t>
            </w:r>
          </w:p>
        </w:tc>
        <w:tc>
          <w:tcPr>
            <w:tcW w:w="759" w:type="dxa"/>
            <w:vAlign w:val="center"/>
          </w:tcPr>
          <w:p w14:paraId="02C5A258">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3.81</w:t>
            </w:r>
          </w:p>
        </w:tc>
        <w:tc>
          <w:tcPr>
            <w:tcW w:w="767" w:type="dxa"/>
            <w:vAlign w:val="center"/>
          </w:tcPr>
          <w:p w14:paraId="58D400DF">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0.12</w:t>
            </w:r>
          </w:p>
        </w:tc>
        <w:tc>
          <w:tcPr>
            <w:tcW w:w="762" w:type="dxa"/>
            <w:vAlign w:val="center"/>
          </w:tcPr>
          <w:p w14:paraId="51E870FA">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0.51</w:t>
            </w:r>
          </w:p>
        </w:tc>
        <w:tc>
          <w:tcPr>
            <w:tcW w:w="759" w:type="dxa"/>
            <w:vAlign w:val="center"/>
          </w:tcPr>
          <w:p w14:paraId="52738928">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136</w:t>
            </w:r>
          </w:p>
        </w:tc>
        <w:tc>
          <w:tcPr>
            <w:tcW w:w="721" w:type="dxa"/>
            <w:vAlign w:val="center"/>
          </w:tcPr>
          <w:p w14:paraId="299AFCCF">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0.08</w:t>
            </w:r>
          </w:p>
        </w:tc>
      </w:tr>
      <w:tr w14:paraId="68AC1A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restart"/>
            <w:vAlign w:val="center"/>
          </w:tcPr>
          <w:p w14:paraId="6E78129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综合废水</w:t>
            </w:r>
            <w:r>
              <w:rPr>
                <w:rFonts w:hint="default" w:ascii="Times New Roman" w:hAnsi="Times New Roman" w:cs="Times New Roman"/>
                <w:color w:val="auto"/>
                <w:sz w:val="21"/>
                <w:szCs w:val="21"/>
              </w:rPr>
              <w:t>出口</w:t>
            </w:r>
          </w:p>
        </w:tc>
        <w:tc>
          <w:tcPr>
            <w:tcW w:w="767" w:type="dxa"/>
            <w:vMerge w:val="restart"/>
            <w:vAlign w:val="center"/>
          </w:tcPr>
          <w:p w14:paraId="0F6D2C9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w:t>
            </w:r>
          </w:p>
        </w:tc>
        <w:tc>
          <w:tcPr>
            <w:tcW w:w="1252" w:type="dxa"/>
            <w:vAlign w:val="center"/>
          </w:tcPr>
          <w:p w14:paraId="6A54E762">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643" w:type="dxa"/>
            <w:vAlign w:val="center"/>
          </w:tcPr>
          <w:p w14:paraId="563D99D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812" w:type="dxa"/>
            <w:vAlign w:val="center"/>
          </w:tcPr>
          <w:p w14:paraId="1443443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w:t>
            </w:r>
          </w:p>
        </w:tc>
        <w:tc>
          <w:tcPr>
            <w:tcW w:w="759" w:type="dxa"/>
            <w:vAlign w:val="center"/>
          </w:tcPr>
          <w:p w14:paraId="739BCE0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98" w:type="dxa"/>
            <w:vAlign w:val="center"/>
          </w:tcPr>
          <w:p w14:paraId="3B3C1EF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0.593</w:t>
            </w:r>
          </w:p>
        </w:tc>
        <w:tc>
          <w:tcPr>
            <w:tcW w:w="759" w:type="dxa"/>
            <w:vAlign w:val="center"/>
          </w:tcPr>
          <w:p w14:paraId="0C7DA32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3.10</w:t>
            </w:r>
          </w:p>
        </w:tc>
        <w:tc>
          <w:tcPr>
            <w:tcW w:w="767" w:type="dxa"/>
            <w:vAlign w:val="center"/>
          </w:tcPr>
          <w:p w14:paraId="4AE907C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762" w:type="dxa"/>
            <w:vAlign w:val="center"/>
          </w:tcPr>
          <w:p w14:paraId="68DD2E3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0843FA8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0.152</w:t>
            </w:r>
          </w:p>
        </w:tc>
        <w:tc>
          <w:tcPr>
            <w:tcW w:w="721" w:type="dxa"/>
            <w:vAlign w:val="center"/>
          </w:tcPr>
          <w:p w14:paraId="13F069A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262768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73B41BFC">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5FA28E67">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7A3DE8F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第二次</w:t>
            </w:r>
          </w:p>
        </w:tc>
        <w:tc>
          <w:tcPr>
            <w:tcW w:w="643" w:type="dxa"/>
            <w:vAlign w:val="center"/>
          </w:tcPr>
          <w:p w14:paraId="342067D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812" w:type="dxa"/>
            <w:vAlign w:val="center"/>
          </w:tcPr>
          <w:p w14:paraId="5A3C577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59" w:type="dxa"/>
            <w:vAlign w:val="center"/>
          </w:tcPr>
          <w:p w14:paraId="57F4E23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798" w:type="dxa"/>
            <w:vAlign w:val="center"/>
          </w:tcPr>
          <w:p w14:paraId="68987F8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0.615</w:t>
            </w:r>
          </w:p>
        </w:tc>
        <w:tc>
          <w:tcPr>
            <w:tcW w:w="759" w:type="dxa"/>
            <w:vAlign w:val="center"/>
          </w:tcPr>
          <w:p w14:paraId="3D6216F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3.23</w:t>
            </w:r>
          </w:p>
        </w:tc>
        <w:tc>
          <w:tcPr>
            <w:tcW w:w="767" w:type="dxa"/>
            <w:vAlign w:val="center"/>
          </w:tcPr>
          <w:p w14:paraId="771709C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762" w:type="dxa"/>
            <w:vAlign w:val="center"/>
          </w:tcPr>
          <w:p w14:paraId="49DEABD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7E728EC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0.261</w:t>
            </w:r>
          </w:p>
        </w:tc>
        <w:tc>
          <w:tcPr>
            <w:tcW w:w="721" w:type="dxa"/>
            <w:vAlign w:val="center"/>
          </w:tcPr>
          <w:p w14:paraId="60B9D4C6">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36DCF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3CBF89A3">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1B100949">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5140EB8B">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第三次</w:t>
            </w:r>
          </w:p>
        </w:tc>
        <w:tc>
          <w:tcPr>
            <w:tcW w:w="643" w:type="dxa"/>
            <w:vAlign w:val="center"/>
          </w:tcPr>
          <w:p w14:paraId="42990BE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7.1</w:t>
            </w:r>
          </w:p>
        </w:tc>
        <w:tc>
          <w:tcPr>
            <w:tcW w:w="812" w:type="dxa"/>
            <w:vAlign w:val="center"/>
          </w:tcPr>
          <w:p w14:paraId="046AD06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53</w:t>
            </w:r>
          </w:p>
        </w:tc>
        <w:tc>
          <w:tcPr>
            <w:tcW w:w="759" w:type="dxa"/>
            <w:vAlign w:val="center"/>
          </w:tcPr>
          <w:p w14:paraId="10C8A77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798" w:type="dxa"/>
            <w:vAlign w:val="center"/>
          </w:tcPr>
          <w:p w14:paraId="7CCDBA6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0.569</w:t>
            </w:r>
          </w:p>
        </w:tc>
        <w:tc>
          <w:tcPr>
            <w:tcW w:w="759" w:type="dxa"/>
            <w:vAlign w:val="center"/>
          </w:tcPr>
          <w:p w14:paraId="7B75CFE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3.04</w:t>
            </w:r>
          </w:p>
        </w:tc>
        <w:tc>
          <w:tcPr>
            <w:tcW w:w="767" w:type="dxa"/>
            <w:vAlign w:val="center"/>
          </w:tcPr>
          <w:p w14:paraId="71B57E6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762" w:type="dxa"/>
            <w:vAlign w:val="center"/>
          </w:tcPr>
          <w:p w14:paraId="5ABEF2C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6A74D9D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0.301</w:t>
            </w:r>
          </w:p>
        </w:tc>
        <w:tc>
          <w:tcPr>
            <w:tcW w:w="721" w:type="dxa"/>
            <w:vAlign w:val="center"/>
          </w:tcPr>
          <w:p w14:paraId="3BB82F6C">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2AAF72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143974BB">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7B3FF190">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5F231407">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第四次</w:t>
            </w:r>
          </w:p>
        </w:tc>
        <w:tc>
          <w:tcPr>
            <w:tcW w:w="643" w:type="dxa"/>
            <w:vAlign w:val="center"/>
          </w:tcPr>
          <w:p w14:paraId="5FC42DF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812" w:type="dxa"/>
            <w:vAlign w:val="center"/>
          </w:tcPr>
          <w:p w14:paraId="0424BD1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759" w:type="dxa"/>
            <w:vAlign w:val="center"/>
          </w:tcPr>
          <w:p w14:paraId="1076089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98" w:type="dxa"/>
            <w:vAlign w:val="center"/>
          </w:tcPr>
          <w:p w14:paraId="1B33A94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0.556</w:t>
            </w:r>
          </w:p>
        </w:tc>
        <w:tc>
          <w:tcPr>
            <w:tcW w:w="759" w:type="dxa"/>
            <w:vAlign w:val="center"/>
          </w:tcPr>
          <w:p w14:paraId="27F0B86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3.33</w:t>
            </w:r>
          </w:p>
        </w:tc>
        <w:tc>
          <w:tcPr>
            <w:tcW w:w="767" w:type="dxa"/>
            <w:vAlign w:val="center"/>
          </w:tcPr>
          <w:p w14:paraId="58DFB53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762" w:type="dxa"/>
            <w:vAlign w:val="center"/>
          </w:tcPr>
          <w:p w14:paraId="1938D33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340C51C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0.164</w:t>
            </w:r>
          </w:p>
        </w:tc>
        <w:tc>
          <w:tcPr>
            <w:tcW w:w="721" w:type="dxa"/>
            <w:vAlign w:val="center"/>
          </w:tcPr>
          <w:p w14:paraId="5B3484E6">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302632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3D70A975">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6CAD76BF">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07748C1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平均值</w:t>
            </w:r>
          </w:p>
        </w:tc>
        <w:tc>
          <w:tcPr>
            <w:tcW w:w="643" w:type="dxa"/>
            <w:vAlign w:val="center"/>
          </w:tcPr>
          <w:p w14:paraId="1C9B5258">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7.2</w:t>
            </w:r>
          </w:p>
        </w:tc>
        <w:tc>
          <w:tcPr>
            <w:tcW w:w="812" w:type="dxa"/>
            <w:vAlign w:val="center"/>
          </w:tcPr>
          <w:p w14:paraId="2356FA1E">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56.8</w:t>
            </w:r>
          </w:p>
        </w:tc>
        <w:tc>
          <w:tcPr>
            <w:tcW w:w="759" w:type="dxa"/>
            <w:vAlign w:val="center"/>
          </w:tcPr>
          <w:p w14:paraId="3F4649DB">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11.8</w:t>
            </w:r>
          </w:p>
        </w:tc>
        <w:tc>
          <w:tcPr>
            <w:tcW w:w="798" w:type="dxa"/>
            <w:vAlign w:val="center"/>
          </w:tcPr>
          <w:p w14:paraId="1C7AEE92">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w:t>
            </w:r>
          </w:p>
        </w:tc>
        <w:tc>
          <w:tcPr>
            <w:tcW w:w="759" w:type="dxa"/>
            <w:vAlign w:val="center"/>
          </w:tcPr>
          <w:p w14:paraId="3407DA41">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c>
          <w:tcPr>
            <w:tcW w:w="767" w:type="dxa"/>
            <w:vAlign w:val="center"/>
          </w:tcPr>
          <w:p w14:paraId="1A3BBA8A">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w:t>
            </w:r>
          </w:p>
        </w:tc>
        <w:tc>
          <w:tcPr>
            <w:tcW w:w="762" w:type="dxa"/>
            <w:vAlign w:val="center"/>
          </w:tcPr>
          <w:p w14:paraId="52F31DD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36C4B16B">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w:t>
            </w:r>
          </w:p>
        </w:tc>
        <w:tc>
          <w:tcPr>
            <w:tcW w:w="721" w:type="dxa"/>
            <w:vAlign w:val="center"/>
          </w:tcPr>
          <w:p w14:paraId="050E3437">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5B8D33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21" w:type="dxa"/>
            <w:gridSpan w:val="3"/>
            <w:vAlign w:val="center"/>
          </w:tcPr>
          <w:p w14:paraId="10FD8D5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643" w:type="dxa"/>
            <w:vAlign w:val="center"/>
          </w:tcPr>
          <w:p w14:paraId="6A246353">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12" w:type="dxa"/>
            <w:vAlign w:val="center"/>
          </w:tcPr>
          <w:p w14:paraId="110358B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54.96%</w:t>
            </w:r>
          </w:p>
        </w:tc>
        <w:tc>
          <w:tcPr>
            <w:tcW w:w="759" w:type="dxa"/>
            <w:vAlign w:val="center"/>
          </w:tcPr>
          <w:p w14:paraId="487058F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73.74%</w:t>
            </w:r>
          </w:p>
        </w:tc>
        <w:tc>
          <w:tcPr>
            <w:tcW w:w="798" w:type="dxa"/>
            <w:vAlign w:val="center"/>
          </w:tcPr>
          <w:p w14:paraId="191139A5">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dxa"/>
            <w:vAlign w:val="center"/>
          </w:tcPr>
          <w:p w14:paraId="44DD40D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16.72%</w:t>
            </w:r>
          </w:p>
        </w:tc>
        <w:tc>
          <w:tcPr>
            <w:tcW w:w="767" w:type="dxa"/>
            <w:vAlign w:val="center"/>
          </w:tcPr>
          <w:p w14:paraId="770D400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4.08%</w:t>
            </w:r>
          </w:p>
        </w:tc>
        <w:tc>
          <w:tcPr>
            <w:tcW w:w="762" w:type="dxa"/>
            <w:vAlign w:val="center"/>
          </w:tcPr>
          <w:p w14:paraId="525E817E">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dxa"/>
            <w:vAlign w:val="center"/>
          </w:tcPr>
          <w:p w14:paraId="0E9AB21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99.84%</w:t>
            </w:r>
          </w:p>
        </w:tc>
        <w:tc>
          <w:tcPr>
            <w:tcW w:w="721" w:type="dxa"/>
            <w:vAlign w:val="center"/>
          </w:tcPr>
          <w:p w14:paraId="690AE96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4A15C6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restart"/>
            <w:vAlign w:val="center"/>
          </w:tcPr>
          <w:p w14:paraId="5389EBF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综合废水</w:t>
            </w:r>
            <w:r>
              <w:rPr>
                <w:rFonts w:hint="default" w:ascii="Times New Roman" w:hAnsi="Times New Roman" w:cs="Times New Roman"/>
                <w:color w:val="auto"/>
                <w:sz w:val="21"/>
                <w:szCs w:val="21"/>
              </w:rPr>
              <w:t>进口</w:t>
            </w:r>
          </w:p>
        </w:tc>
        <w:tc>
          <w:tcPr>
            <w:tcW w:w="767" w:type="dxa"/>
            <w:vMerge w:val="restart"/>
            <w:vAlign w:val="center"/>
          </w:tcPr>
          <w:p w14:paraId="6D2E639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4.9.3</w:t>
            </w:r>
          </w:p>
        </w:tc>
        <w:tc>
          <w:tcPr>
            <w:tcW w:w="1252" w:type="dxa"/>
            <w:vAlign w:val="center"/>
          </w:tcPr>
          <w:p w14:paraId="27B01B5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643" w:type="dxa"/>
            <w:shd w:val="clear" w:color="auto" w:fill="auto"/>
            <w:vAlign w:val="center"/>
          </w:tcPr>
          <w:p w14:paraId="2A15669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7.3</w:t>
            </w:r>
          </w:p>
        </w:tc>
        <w:tc>
          <w:tcPr>
            <w:tcW w:w="812" w:type="dxa"/>
            <w:shd w:val="clear" w:color="auto" w:fill="auto"/>
            <w:vAlign w:val="center"/>
          </w:tcPr>
          <w:p w14:paraId="120E93F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63</w:t>
            </w:r>
          </w:p>
        </w:tc>
        <w:tc>
          <w:tcPr>
            <w:tcW w:w="759" w:type="dxa"/>
            <w:shd w:val="clear" w:color="auto" w:fill="auto"/>
            <w:vAlign w:val="center"/>
          </w:tcPr>
          <w:p w14:paraId="544F390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34</w:t>
            </w:r>
          </w:p>
        </w:tc>
        <w:tc>
          <w:tcPr>
            <w:tcW w:w="798" w:type="dxa"/>
            <w:shd w:val="clear" w:color="auto" w:fill="auto"/>
            <w:vAlign w:val="center"/>
          </w:tcPr>
          <w:p w14:paraId="7E4BBAA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0.724</w:t>
            </w:r>
          </w:p>
        </w:tc>
        <w:tc>
          <w:tcPr>
            <w:tcW w:w="759" w:type="dxa"/>
            <w:shd w:val="clear" w:color="auto" w:fill="auto"/>
            <w:vAlign w:val="center"/>
          </w:tcPr>
          <w:p w14:paraId="3A437A5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5.02</w:t>
            </w:r>
          </w:p>
        </w:tc>
        <w:tc>
          <w:tcPr>
            <w:tcW w:w="767" w:type="dxa"/>
            <w:shd w:val="clear" w:color="auto" w:fill="auto"/>
            <w:vAlign w:val="center"/>
          </w:tcPr>
          <w:p w14:paraId="49B9634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016</w:t>
            </w:r>
          </w:p>
        </w:tc>
        <w:tc>
          <w:tcPr>
            <w:tcW w:w="762" w:type="dxa"/>
            <w:shd w:val="clear" w:color="auto" w:fill="auto"/>
            <w:vAlign w:val="center"/>
          </w:tcPr>
          <w:p w14:paraId="682358F0">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1.00</w:t>
            </w:r>
          </w:p>
        </w:tc>
        <w:tc>
          <w:tcPr>
            <w:tcW w:w="759" w:type="dxa"/>
            <w:vAlign w:val="center"/>
          </w:tcPr>
          <w:p w14:paraId="2F17D27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122</w:t>
            </w:r>
          </w:p>
        </w:tc>
        <w:tc>
          <w:tcPr>
            <w:tcW w:w="721" w:type="dxa"/>
            <w:vAlign w:val="center"/>
          </w:tcPr>
          <w:p w14:paraId="5F24B48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r>
      <w:tr w14:paraId="25F723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44CCAC98">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7B061A48">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342B3EE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第二次</w:t>
            </w:r>
          </w:p>
        </w:tc>
        <w:tc>
          <w:tcPr>
            <w:tcW w:w="643" w:type="dxa"/>
            <w:shd w:val="clear" w:color="auto" w:fill="auto"/>
            <w:vAlign w:val="center"/>
          </w:tcPr>
          <w:p w14:paraId="7A1922C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7.4</w:t>
            </w:r>
          </w:p>
        </w:tc>
        <w:tc>
          <w:tcPr>
            <w:tcW w:w="812" w:type="dxa"/>
            <w:shd w:val="clear" w:color="auto" w:fill="auto"/>
            <w:vAlign w:val="center"/>
          </w:tcPr>
          <w:p w14:paraId="3157CD4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78</w:t>
            </w:r>
          </w:p>
        </w:tc>
        <w:tc>
          <w:tcPr>
            <w:tcW w:w="759" w:type="dxa"/>
            <w:shd w:val="clear" w:color="auto" w:fill="auto"/>
            <w:vAlign w:val="center"/>
          </w:tcPr>
          <w:p w14:paraId="106A5A2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w:t>
            </w:r>
          </w:p>
        </w:tc>
        <w:tc>
          <w:tcPr>
            <w:tcW w:w="798" w:type="dxa"/>
            <w:shd w:val="clear" w:color="auto" w:fill="auto"/>
            <w:vAlign w:val="center"/>
          </w:tcPr>
          <w:p w14:paraId="5B12848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0.665</w:t>
            </w:r>
          </w:p>
        </w:tc>
        <w:tc>
          <w:tcPr>
            <w:tcW w:w="759" w:type="dxa"/>
            <w:shd w:val="clear" w:color="auto" w:fill="auto"/>
            <w:vAlign w:val="center"/>
          </w:tcPr>
          <w:p w14:paraId="7074205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5.11</w:t>
            </w:r>
          </w:p>
        </w:tc>
        <w:tc>
          <w:tcPr>
            <w:tcW w:w="767" w:type="dxa"/>
            <w:shd w:val="clear" w:color="auto" w:fill="auto"/>
            <w:vAlign w:val="center"/>
          </w:tcPr>
          <w:p w14:paraId="320A7564">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0.14</w:t>
            </w:r>
          </w:p>
        </w:tc>
        <w:tc>
          <w:tcPr>
            <w:tcW w:w="762" w:type="dxa"/>
            <w:shd w:val="clear" w:color="auto" w:fill="auto"/>
            <w:vAlign w:val="center"/>
          </w:tcPr>
          <w:p w14:paraId="56463C7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0.90</w:t>
            </w:r>
          </w:p>
        </w:tc>
        <w:tc>
          <w:tcPr>
            <w:tcW w:w="759" w:type="dxa"/>
            <w:vAlign w:val="center"/>
          </w:tcPr>
          <w:p w14:paraId="5F8B8C5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121</w:t>
            </w:r>
          </w:p>
        </w:tc>
        <w:tc>
          <w:tcPr>
            <w:tcW w:w="721" w:type="dxa"/>
            <w:vAlign w:val="center"/>
          </w:tcPr>
          <w:p w14:paraId="5E278A4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r>
      <w:tr w14:paraId="14AD12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3FF7FF41">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28084671">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6083311E">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第三次</w:t>
            </w:r>
          </w:p>
        </w:tc>
        <w:tc>
          <w:tcPr>
            <w:tcW w:w="643" w:type="dxa"/>
            <w:shd w:val="clear" w:color="auto" w:fill="auto"/>
            <w:vAlign w:val="center"/>
          </w:tcPr>
          <w:p w14:paraId="2400447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7.4</w:t>
            </w:r>
          </w:p>
        </w:tc>
        <w:tc>
          <w:tcPr>
            <w:tcW w:w="812" w:type="dxa"/>
            <w:shd w:val="clear" w:color="auto" w:fill="auto"/>
            <w:vAlign w:val="center"/>
          </w:tcPr>
          <w:p w14:paraId="394F204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71</w:t>
            </w:r>
          </w:p>
        </w:tc>
        <w:tc>
          <w:tcPr>
            <w:tcW w:w="759" w:type="dxa"/>
            <w:shd w:val="clear" w:color="auto" w:fill="auto"/>
            <w:vAlign w:val="center"/>
          </w:tcPr>
          <w:p w14:paraId="2B974E7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31</w:t>
            </w:r>
          </w:p>
        </w:tc>
        <w:tc>
          <w:tcPr>
            <w:tcW w:w="798" w:type="dxa"/>
            <w:shd w:val="clear" w:color="auto" w:fill="auto"/>
            <w:vAlign w:val="center"/>
          </w:tcPr>
          <w:p w14:paraId="66A9136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0.689</w:t>
            </w:r>
          </w:p>
        </w:tc>
        <w:tc>
          <w:tcPr>
            <w:tcW w:w="759" w:type="dxa"/>
            <w:shd w:val="clear" w:color="auto" w:fill="auto"/>
            <w:vAlign w:val="center"/>
          </w:tcPr>
          <w:p w14:paraId="7F5B164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4.97</w:t>
            </w:r>
          </w:p>
        </w:tc>
        <w:tc>
          <w:tcPr>
            <w:tcW w:w="767" w:type="dxa"/>
            <w:shd w:val="clear" w:color="auto" w:fill="auto"/>
            <w:vAlign w:val="center"/>
          </w:tcPr>
          <w:p w14:paraId="6472D89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0.15</w:t>
            </w:r>
          </w:p>
        </w:tc>
        <w:tc>
          <w:tcPr>
            <w:tcW w:w="762" w:type="dxa"/>
            <w:shd w:val="clear" w:color="auto" w:fill="auto"/>
            <w:vAlign w:val="center"/>
          </w:tcPr>
          <w:p w14:paraId="24ED070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0.91</w:t>
            </w:r>
          </w:p>
        </w:tc>
        <w:tc>
          <w:tcPr>
            <w:tcW w:w="759" w:type="dxa"/>
            <w:vAlign w:val="center"/>
          </w:tcPr>
          <w:p w14:paraId="34338B6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141</w:t>
            </w:r>
          </w:p>
        </w:tc>
        <w:tc>
          <w:tcPr>
            <w:tcW w:w="721" w:type="dxa"/>
            <w:vAlign w:val="center"/>
          </w:tcPr>
          <w:p w14:paraId="0A1CF47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r>
      <w:tr w14:paraId="6F615C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487D74E1">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0FF9B8E1">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7A363ABE">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第四次</w:t>
            </w:r>
          </w:p>
        </w:tc>
        <w:tc>
          <w:tcPr>
            <w:tcW w:w="643" w:type="dxa"/>
            <w:shd w:val="clear" w:color="auto" w:fill="auto"/>
            <w:vAlign w:val="center"/>
          </w:tcPr>
          <w:p w14:paraId="0D789545">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7.4</w:t>
            </w:r>
          </w:p>
        </w:tc>
        <w:tc>
          <w:tcPr>
            <w:tcW w:w="812" w:type="dxa"/>
            <w:shd w:val="clear" w:color="auto" w:fill="auto"/>
            <w:vAlign w:val="center"/>
          </w:tcPr>
          <w:p w14:paraId="6603307C">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75</w:t>
            </w:r>
          </w:p>
        </w:tc>
        <w:tc>
          <w:tcPr>
            <w:tcW w:w="759" w:type="dxa"/>
            <w:shd w:val="clear" w:color="auto" w:fill="auto"/>
            <w:vAlign w:val="center"/>
          </w:tcPr>
          <w:p w14:paraId="2367FCA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28</w:t>
            </w:r>
          </w:p>
        </w:tc>
        <w:tc>
          <w:tcPr>
            <w:tcW w:w="798" w:type="dxa"/>
            <w:shd w:val="clear" w:color="auto" w:fill="auto"/>
            <w:vAlign w:val="center"/>
          </w:tcPr>
          <w:p w14:paraId="6753A8C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0.729</w:t>
            </w:r>
          </w:p>
        </w:tc>
        <w:tc>
          <w:tcPr>
            <w:tcW w:w="759" w:type="dxa"/>
            <w:shd w:val="clear" w:color="auto" w:fill="auto"/>
            <w:vAlign w:val="center"/>
          </w:tcPr>
          <w:p w14:paraId="0F7F5AB3">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5.12</w:t>
            </w:r>
          </w:p>
        </w:tc>
        <w:tc>
          <w:tcPr>
            <w:tcW w:w="767" w:type="dxa"/>
            <w:shd w:val="clear" w:color="auto" w:fill="auto"/>
            <w:vAlign w:val="center"/>
          </w:tcPr>
          <w:p w14:paraId="23C74E8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0.14</w:t>
            </w:r>
          </w:p>
        </w:tc>
        <w:tc>
          <w:tcPr>
            <w:tcW w:w="762" w:type="dxa"/>
            <w:shd w:val="clear" w:color="auto" w:fill="auto"/>
            <w:vAlign w:val="center"/>
          </w:tcPr>
          <w:p w14:paraId="301C9884">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0.90</w:t>
            </w:r>
          </w:p>
        </w:tc>
        <w:tc>
          <w:tcPr>
            <w:tcW w:w="759" w:type="dxa"/>
            <w:vAlign w:val="center"/>
          </w:tcPr>
          <w:p w14:paraId="5413C30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144</w:t>
            </w:r>
          </w:p>
        </w:tc>
        <w:tc>
          <w:tcPr>
            <w:tcW w:w="721" w:type="dxa"/>
            <w:vAlign w:val="center"/>
          </w:tcPr>
          <w:p w14:paraId="0F4DFA5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0.08</w:t>
            </w:r>
          </w:p>
        </w:tc>
      </w:tr>
      <w:tr w14:paraId="44F247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367E8484">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484E1BF1">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6C2C3E3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平均值</w:t>
            </w:r>
          </w:p>
        </w:tc>
        <w:tc>
          <w:tcPr>
            <w:tcW w:w="643" w:type="dxa"/>
            <w:shd w:val="clear" w:color="auto" w:fill="auto"/>
            <w:vAlign w:val="center"/>
          </w:tcPr>
          <w:p w14:paraId="6C9FBF6A">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812" w:type="dxa"/>
            <w:shd w:val="clear" w:color="auto" w:fill="auto"/>
            <w:vAlign w:val="center"/>
          </w:tcPr>
          <w:p w14:paraId="5E9A8B95">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71.8</w:t>
            </w:r>
          </w:p>
        </w:tc>
        <w:tc>
          <w:tcPr>
            <w:tcW w:w="759" w:type="dxa"/>
            <w:shd w:val="clear" w:color="auto" w:fill="auto"/>
            <w:vAlign w:val="center"/>
          </w:tcPr>
          <w:p w14:paraId="58030D54">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30.5</w:t>
            </w:r>
          </w:p>
        </w:tc>
        <w:tc>
          <w:tcPr>
            <w:tcW w:w="798" w:type="dxa"/>
            <w:shd w:val="clear" w:color="auto" w:fill="auto"/>
            <w:vAlign w:val="center"/>
          </w:tcPr>
          <w:p w14:paraId="7F89AB31">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0.7</w:t>
            </w:r>
          </w:p>
        </w:tc>
        <w:tc>
          <w:tcPr>
            <w:tcW w:w="759" w:type="dxa"/>
            <w:shd w:val="clear" w:color="auto" w:fill="auto"/>
            <w:vAlign w:val="center"/>
          </w:tcPr>
          <w:p w14:paraId="14096DC5">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5.1</w:t>
            </w:r>
          </w:p>
        </w:tc>
        <w:tc>
          <w:tcPr>
            <w:tcW w:w="767" w:type="dxa"/>
            <w:shd w:val="clear" w:color="auto" w:fill="auto"/>
            <w:vAlign w:val="center"/>
          </w:tcPr>
          <w:p w14:paraId="003F05E6">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4.1</w:t>
            </w:r>
          </w:p>
        </w:tc>
        <w:tc>
          <w:tcPr>
            <w:tcW w:w="762" w:type="dxa"/>
            <w:shd w:val="clear" w:color="auto" w:fill="auto"/>
            <w:vAlign w:val="center"/>
          </w:tcPr>
          <w:p w14:paraId="669E67BE">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0.9</w:t>
            </w:r>
          </w:p>
        </w:tc>
        <w:tc>
          <w:tcPr>
            <w:tcW w:w="759" w:type="dxa"/>
            <w:vAlign w:val="center"/>
          </w:tcPr>
          <w:p w14:paraId="705A9A5B">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132.0</w:t>
            </w:r>
          </w:p>
        </w:tc>
        <w:tc>
          <w:tcPr>
            <w:tcW w:w="721" w:type="dxa"/>
            <w:vAlign w:val="center"/>
          </w:tcPr>
          <w:p w14:paraId="69E650C0">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0.08</w:t>
            </w:r>
          </w:p>
        </w:tc>
      </w:tr>
      <w:tr w14:paraId="7CAB0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restart"/>
            <w:vAlign w:val="center"/>
          </w:tcPr>
          <w:p w14:paraId="030CAD8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综合废水</w:t>
            </w:r>
            <w:r>
              <w:rPr>
                <w:rFonts w:hint="default" w:ascii="Times New Roman" w:hAnsi="Times New Roman" w:cs="Times New Roman"/>
                <w:color w:val="auto"/>
                <w:sz w:val="21"/>
                <w:szCs w:val="21"/>
              </w:rPr>
              <w:t>出口</w:t>
            </w:r>
          </w:p>
        </w:tc>
        <w:tc>
          <w:tcPr>
            <w:tcW w:w="767" w:type="dxa"/>
            <w:vMerge w:val="restart"/>
            <w:vAlign w:val="center"/>
          </w:tcPr>
          <w:p w14:paraId="1868D6E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9.3</w:t>
            </w:r>
          </w:p>
        </w:tc>
        <w:tc>
          <w:tcPr>
            <w:tcW w:w="1252" w:type="dxa"/>
            <w:vAlign w:val="center"/>
          </w:tcPr>
          <w:p w14:paraId="090A0A42">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643" w:type="dxa"/>
            <w:vAlign w:val="center"/>
          </w:tcPr>
          <w:p w14:paraId="61384D6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7.1</w:t>
            </w:r>
          </w:p>
        </w:tc>
        <w:tc>
          <w:tcPr>
            <w:tcW w:w="812" w:type="dxa"/>
            <w:vAlign w:val="center"/>
          </w:tcPr>
          <w:p w14:paraId="47FD866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w:t>
            </w:r>
          </w:p>
        </w:tc>
        <w:tc>
          <w:tcPr>
            <w:tcW w:w="759" w:type="dxa"/>
            <w:vAlign w:val="center"/>
          </w:tcPr>
          <w:p w14:paraId="641A53D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798" w:type="dxa"/>
            <w:vAlign w:val="center"/>
          </w:tcPr>
          <w:p w14:paraId="611050C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0.700</w:t>
            </w:r>
          </w:p>
        </w:tc>
        <w:tc>
          <w:tcPr>
            <w:tcW w:w="759" w:type="dxa"/>
            <w:vAlign w:val="center"/>
          </w:tcPr>
          <w:p w14:paraId="49F8AA8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3.96</w:t>
            </w:r>
          </w:p>
        </w:tc>
        <w:tc>
          <w:tcPr>
            <w:tcW w:w="767" w:type="dxa"/>
            <w:vAlign w:val="center"/>
          </w:tcPr>
          <w:p w14:paraId="63B3DA8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0.16</w:t>
            </w:r>
          </w:p>
        </w:tc>
        <w:tc>
          <w:tcPr>
            <w:tcW w:w="762" w:type="dxa"/>
            <w:vAlign w:val="center"/>
          </w:tcPr>
          <w:p w14:paraId="05D28DA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759" w:type="dxa"/>
            <w:vAlign w:val="center"/>
          </w:tcPr>
          <w:p w14:paraId="79915D7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0.189</w:t>
            </w:r>
          </w:p>
        </w:tc>
        <w:tc>
          <w:tcPr>
            <w:tcW w:w="721" w:type="dxa"/>
            <w:vAlign w:val="center"/>
          </w:tcPr>
          <w:p w14:paraId="745B7E6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0A20A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2E0DB8DA">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5F7952EB">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4C6EE566">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第二次</w:t>
            </w:r>
          </w:p>
        </w:tc>
        <w:tc>
          <w:tcPr>
            <w:tcW w:w="643" w:type="dxa"/>
            <w:vAlign w:val="center"/>
          </w:tcPr>
          <w:p w14:paraId="556366B3">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812" w:type="dxa"/>
            <w:vAlign w:val="center"/>
          </w:tcPr>
          <w:p w14:paraId="6167C96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759" w:type="dxa"/>
            <w:vAlign w:val="center"/>
          </w:tcPr>
          <w:p w14:paraId="65A64F3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98" w:type="dxa"/>
            <w:vAlign w:val="center"/>
          </w:tcPr>
          <w:p w14:paraId="383A69F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0.708</w:t>
            </w:r>
          </w:p>
        </w:tc>
        <w:tc>
          <w:tcPr>
            <w:tcW w:w="759" w:type="dxa"/>
            <w:vAlign w:val="center"/>
          </w:tcPr>
          <w:p w14:paraId="3400194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3.76</w:t>
            </w:r>
          </w:p>
        </w:tc>
        <w:tc>
          <w:tcPr>
            <w:tcW w:w="767" w:type="dxa"/>
            <w:vAlign w:val="center"/>
          </w:tcPr>
          <w:p w14:paraId="02D6658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762" w:type="dxa"/>
            <w:vAlign w:val="center"/>
          </w:tcPr>
          <w:p w14:paraId="7601B06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0.09</w:t>
            </w:r>
          </w:p>
        </w:tc>
        <w:tc>
          <w:tcPr>
            <w:tcW w:w="759" w:type="dxa"/>
            <w:vAlign w:val="center"/>
          </w:tcPr>
          <w:p w14:paraId="39D845E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0.138</w:t>
            </w:r>
          </w:p>
        </w:tc>
        <w:tc>
          <w:tcPr>
            <w:tcW w:w="721" w:type="dxa"/>
            <w:vAlign w:val="center"/>
          </w:tcPr>
          <w:p w14:paraId="4D50AAA9">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5B1BF0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08F9371F">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5BC453BC">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15CD4B56">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第三次</w:t>
            </w:r>
          </w:p>
        </w:tc>
        <w:tc>
          <w:tcPr>
            <w:tcW w:w="643" w:type="dxa"/>
            <w:vAlign w:val="center"/>
          </w:tcPr>
          <w:p w14:paraId="7FCFD54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812" w:type="dxa"/>
            <w:vAlign w:val="center"/>
          </w:tcPr>
          <w:p w14:paraId="6335864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w:t>
            </w:r>
          </w:p>
        </w:tc>
        <w:tc>
          <w:tcPr>
            <w:tcW w:w="759" w:type="dxa"/>
            <w:vAlign w:val="center"/>
          </w:tcPr>
          <w:p w14:paraId="176DB700">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98" w:type="dxa"/>
            <w:vAlign w:val="center"/>
          </w:tcPr>
          <w:p w14:paraId="671246F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0.748</w:t>
            </w:r>
          </w:p>
        </w:tc>
        <w:tc>
          <w:tcPr>
            <w:tcW w:w="759" w:type="dxa"/>
            <w:vAlign w:val="center"/>
          </w:tcPr>
          <w:p w14:paraId="4339C5B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3.87</w:t>
            </w:r>
          </w:p>
        </w:tc>
        <w:tc>
          <w:tcPr>
            <w:tcW w:w="767" w:type="dxa"/>
            <w:vAlign w:val="center"/>
          </w:tcPr>
          <w:p w14:paraId="1A625EE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762" w:type="dxa"/>
            <w:vAlign w:val="center"/>
          </w:tcPr>
          <w:p w14:paraId="4ADFE64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0A926FF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0.154</w:t>
            </w:r>
          </w:p>
        </w:tc>
        <w:tc>
          <w:tcPr>
            <w:tcW w:w="721" w:type="dxa"/>
            <w:vAlign w:val="center"/>
          </w:tcPr>
          <w:p w14:paraId="5754D14F">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437367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174024AB">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12CB8546">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24C4770B">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第四次</w:t>
            </w:r>
          </w:p>
        </w:tc>
        <w:tc>
          <w:tcPr>
            <w:tcW w:w="643" w:type="dxa"/>
            <w:vAlign w:val="center"/>
          </w:tcPr>
          <w:p w14:paraId="2017A5B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812" w:type="dxa"/>
            <w:vAlign w:val="center"/>
          </w:tcPr>
          <w:p w14:paraId="463CD9E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c>
          <w:tcPr>
            <w:tcW w:w="759" w:type="dxa"/>
            <w:vAlign w:val="center"/>
          </w:tcPr>
          <w:p w14:paraId="277F97B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98" w:type="dxa"/>
            <w:vAlign w:val="center"/>
          </w:tcPr>
          <w:p w14:paraId="64ECB899">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0.764</w:t>
            </w:r>
          </w:p>
        </w:tc>
        <w:tc>
          <w:tcPr>
            <w:tcW w:w="759" w:type="dxa"/>
            <w:vAlign w:val="center"/>
          </w:tcPr>
          <w:p w14:paraId="6872B35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3.95</w:t>
            </w:r>
          </w:p>
        </w:tc>
        <w:tc>
          <w:tcPr>
            <w:tcW w:w="767" w:type="dxa"/>
            <w:vAlign w:val="center"/>
          </w:tcPr>
          <w:p w14:paraId="1357618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0.17</w:t>
            </w:r>
          </w:p>
        </w:tc>
        <w:tc>
          <w:tcPr>
            <w:tcW w:w="762" w:type="dxa"/>
            <w:vAlign w:val="center"/>
          </w:tcPr>
          <w:p w14:paraId="1A447B9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0.06</w:t>
            </w:r>
          </w:p>
        </w:tc>
        <w:tc>
          <w:tcPr>
            <w:tcW w:w="759" w:type="dxa"/>
            <w:vAlign w:val="center"/>
          </w:tcPr>
          <w:p w14:paraId="50460EA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0.358</w:t>
            </w:r>
          </w:p>
        </w:tc>
        <w:tc>
          <w:tcPr>
            <w:tcW w:w="721" w:type="dxa"/>
            <w:vAlign w:val="center"/>
          </w:tcPr>
          <w:p w14:paraId="4997EDE8">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017778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vAlign w:val="center"/>
          </w:tcPr>
          <w:p w14:paraId="203D906E">
            <w:pPr>
              <w:spacing w:line="240" w:lineRule="auto"/>
              <w:ind w:firstLine="0" w:firstLineChars="0"/>
              <w:jc w:val="center"/>
              <w:rPr>
                <w:rFonts w:hint="default" w:ascii="Times New Roman" w:hAnsi="Times New Roman" w:cs="Times New Roman"/>
                <w:color w:val="auto"/>
                <w:sz w:val="21"/>
                <w:szCs w:val="21"/>
              </w:rPr>
            </w:pPr>
          </w:p>
        </w:tc>
        <w:tc>
          <w:tcPr>
            <w:tcW w:w="767" w:type="dxa"/>
            <w:vMerge w:val="continue"/>
            <w:vAlign w:val="center"/>
          </w:tcPr>
          <w:p w14:paraId="7248B53B">
            <w:pPr>
              <w:spacing w:line="240" w:lineRule="auto"/>
              <w:ind w:firstLine="0" w:firstLineChars="0"/>
              <w:jc w:val="center"/>
              <w:rPr>
                <w:rFonts w:hint="default" w:ascii="Times New Roman" w:hAnsi="Times New Roman" w:cs="Times New Roman"/>
                <w:color w:val="auto"/>
                <w:sz w:val="21"/>
                <w:szCs w:val="21"/>
              </w:rPr>
            </w:pPr>
          </w:p>
        </w:tc>
        <w:tc>
          <w:tcPr>
            <w:tcW w:w="1252" w:type="dxa"/>
            <w:vAlign w:val="center"/>
          </w:tcPr>
          <w:p w14:paraId="76ED4AE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平均值</w:t>
            </w:r>
          </w:p>
        </w:tc>
        <w:tc>
          <w:tcPr>
            <w:tcW w:w="643" w:type="dxa"/>
            <w:vAlign w:val="center"/>
          </w:tcPr>
          <w:p w14:paraId="68CAD345">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7.2</w:t>
            </w:r>
          </w:p>
        </w:tc>
        <w:tc>
          <w:tcPr>
            <w:tcW w:w="812" w:type="dxa"/>
            <w:vAlign w:val="center"/>
          </w:tcPr>
          <w:p w14:paraId="693CF08A">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45.5</w:t>
            </w:r>
          </w:p>
        </w:tc>
        <w:tc>
          <w:tcPr>
            <w:tcW w:w="759" w:type="dxa"/>
            <w:vAlign w:val="center"/>
          </w:tcPr>
          <w:p w14:paraId="14E1CD1A">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798" w:type="dxa"/>
            <w:vAlign w:val="center"/>
          </w:tcPr>
          <w:p w14:paraId="43D62F5A">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0.730</w:t>
            </w:r>
          </w:p>
        </w:tc>
        <w:tc>
          <w:tcPr>
            <w:tcW w:w="759" w:type="dxa"/>
            <w:vAlign w:val="center"/>
          </w:tcPr>
          <w:p w14:paraId="37BA79E2">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3.89</w:t>
            </w:r>
          </w:p>
        </w:tc>
        <w:tc>
          <w:tcPr>
            <w:tcW w:w="767" w:type="dxa"/>
            <w:vAlign w:val="center"/>
          </w:tcPr>
          <w:p w14:paraId="245A7F24">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0.16</w:t>
            </w:r>
          </w:p>
        </w:tc>
        <w:tc>
          <w:tcPr>
            <w:tcW w:w="762" w:type="dxa"/>
            <w:vAlign w:val="center"/>
          </w:tcPr>
          <w:p w14:paraId="52DADEBB">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c>
          <w:tcPr>
            <w:tcW w:w="759" w:type="dxa"/>
            <w:vAlign w:val="center"/>
          </w:tcPr>
          <w:p w14:paraId="31674BE9">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0.21</w:t>
            </w:r>
          </w:p>
        </w:tc>
        <w:tc>
          <w:tcPr>
            <w:tcW w:w="721" w:type="dxa"/>
            <w:vAlign w:val="center"/>
          </w:tcPr>
          <w:p w14:paraId="5256A1B5">
            <w:pPr>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eastAsia="zh-CN"/>
              </w:rPr>
              <w:t>&lt;</w:t>
            </w:r>
            <w:r>
              <w:rPr>
                <w:rFonts w:hint="default" w:ascii="Times New Roman" w:hAnsi="Times New Roman" w:cs="Times New Roman"/>
                <w:color w:val="auto"/>
                <w:sz w:val="21"/>
                <w:szCs w:val="21"/>
                <w:lang w:val="en-US" w:eastAsia="zh-CN"/>
              </w:rPr>
              <w:t>0.04</w:t>
            </w:r>
          </w:p>
        </w:tc>
      </w:tr>
      <w:tr w14:paraId="44CDE7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621" w:type="dxa"/>
            <w:gridSpan w:val="3"/>
            <w:vAlign w:val="center"/>
          </w:tcPr>
          <w:p w14:paraId="3E36611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643" w:type="dxa"/>
            <w:vAlign w:val="center"/>
          </w:tcPr>
          <w:p w14:paraId="473802E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p>
        </w:tc>
        <w:tc>
          <w:tcPr>
            <w:tcW w:w="812" w:type="dxa"/>
            <w:vAlign w:val="center"/>
          </w:tcPr>
          <w:p w14:paraId="4AD342CF">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36.59%</w:t>
            </w:r>
          </w:p>
        </w:tc>
        <w:tc>
          <w:tcPr>
            <w:tcW w:w="759" w:type="dxa"/>
            <w:vAlign w:val="center"/>
          </w:tcPr>
          <w:p w14:paraId="25B6ED9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63.93%</w:t>
            </w:r>
          </w:p>
        </w:tc>
        <w:tc>
          <w:tcPr>
            <w:tcW w:w="798" w:type="dxa"/>
            <w:vAlign w:val="center"/>
          </w:tcPr>
          <w:p w14:paraId="75C4C2DE">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59" w:type="dxa"/>
            <w:vAlign w:val="center"/>
          </w:tcPr>
          <w:p w14:paraId="1874ADC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23.15%</w:t>
            </w:r>
          </w:p>
        </w:tc>
        <w:tc>
          <w:tcPr>
            <w:tcW w:w="767" w:type="dxa"/>
            <w:vAlign w:val="center"/>
          </w:tcPr>
          <w:p w14:paraId="4F3B206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96.17%</w:t>
            </w:r>
          </w:p>
        </w:tc>
        <w:tc>
          <w:tcPr>
            <w:tcW w:w="762" w:type="dxa"/>
            <w:vAlign w:val="center"/>
          </w:tcPr>
          <w:p w14:paraId="2A57E8D7">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88.68%</w:t>
            </w:r>
          </w:p>
        </w:tc>
        <w:tc>
          <w:tcPr>
            <w:tcW w:w="759" w:type="dxa"/>
            <w:vAlign w:val="center"/>
          </w:tcPr>
          <w:p w14:paraId="098C4186">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99.84%</w:t>
            </w:r>
          </w:p>
        </w:tc>
        <w:tc>
          <w:tcPr>
            <w:tcW w:w="721" w:type="dxa"/>
            <w:vAlign w:val="center"/>
          </w:tcPr>
          <w:p w14:paraId="0D02DA9D">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38.46%</w:t>
            </w:r>
          </w:p>
        </w:tc>
      </w:tr>
    </w:tbl>
    <w:p w14:paraId="45C465E7">
      <w:pPr>
        <w:autoSpaceDE w:val="0"/>
        <w:autoSpaceDN w:val="0"/>
        <w:ind w:firstLine="480"/>
        <w:rPr>
          <w:rFonts w:hint="eastAsia"/>
          <w:b/>
          <w:bCs/>
          <w:color w:val="auto"/>
          <w:szCs w:val="22"/>
          <w:lang w:bidi="ar"/>
        </w:rPr>
      </w:pPr>
      <w:r>
        <w:rPr>
          <w:rFonts w:hint="eastAsia"/>
          <w:bCs/>
          <w:color w:val="auto"/>
          <w:szCs w:val="24"/>
        </w:rPr>
        <w:t>综合以上案例和本项目的工艺特点，本项目废水处理效率COD≥</w:t>
      </w:r>
      <w:r>
        <w:rPr>
          <w:rFonts w:hint="eastAsia"/>
          <w:bCs/>
          <w:color w:val="auto"/>
          <w:szCs w:val="24"/>
          <w:lang w:val="en-US" w:eastAsia="zh-CN"/>
        </w:rPr>
        <w:t>5</w:t>
      </w:r>
      <w:r>
        <w:rPr>
          <w:rFonts w:hint="eastAsia"/>
          <w:bCs/>
          <w:color w:val="auto"/>
          <w:szCs w:val="24"/>
        </w:rPr>
        <w:t>%、SS≥</w:t>
      </w:r>
      <w:r>
        <w:rPr>
          <w:rFonts w:hint="eastAsia"/>
          <w:bCs/>
          <w:color w:val="auto"/>
          <w:szCs w:val="24"/>
          <w:lang w:val="en-US" w:eastAsia="zh-CN"/>
        </w:rPr>
        <w:t>40</w:t>
      </w:r>
      <w:r>
        <w:rPr>
          <w:rFonts w:hint="eastAsia"/>
          <w:bCs/>
          <w:color w:val="auto"/>
          <w:szCs w:val="24"/>
        </w:rPr>
        <w:t>%、T</w:t>
      </w:r>
      <w:r>
        <w:rPr>
          <w:bCs/>
          <w:color w:val="auto"/>
          <w:szCs w:val="24"/>
        </w:rPr>
        <w:t>N</w:t>
      </w:r>
      <w:r>
        <w:rPr>
          <w:rFonts w:hint="eastAsia"/>
          <w:bCs/>
          <w:color w:val="auto"/>
          <w:szCs w:val="24"/>
        </w:rPr>
        <w:t>≥</w:t>
      </w:r>
      <w:r>
        <w:rPr>
          <w:rFonts w:hint="eastAsia"/>
          <w:bCs/>
          <w:color w:val="auto"/>
          <w:szCs w:val="24"/>
          <w:lang w:val="en-US" w:eastAsia="zh-CN"/>
        </w:rPr>
        <w:t>0</w:t>
      </w:r>
      <w:r>
        <w:rPr>
          <w:rFonts w:hint="eastAsia"/>
          <w:bCs/>
          <w:color w:val="auto"/>
          <w:szCs w:val="24"/>
        </w:rPr>
        <w:t>%、N</w:t>
      </w:r>
      <w:r>
        <w:rPr>
          <w:bCs/>
          <w:color w:val="auto"/>
          <w:szCs w:val="24"/>
        </w:rPr>
        <w:t>H</w:t>
      </w:r>
      <w:r>
        <w:rPr>
          <w:bCs/>
          <w:color w:val="auto"/>
          <w:szCs w:val="24"/>
          <w:vertAlign w:val="subscript"/>
        </w:rPr>
        <w:t>3</w:t>
      </w:r>
      <w:r>
        <w:rPr>
          <w:bCs/>
          <w:color w:val="auto"/>
          <w:szCs w:val="24"/>
        </w:rPr>
        <w:t>-N</w:t>
      </w:r>
      <w:r>
        <w:rPr>
          <w:rFonts w:hint="eastAsia"/>
          <w:bCs/>
          <w:color w:val="auto"/>
          <w:szCs w:val="24"/>
        </w:rPr>
        <w:t>≥</w:t>
      </w:r>
      <w:r>
        <w:rPr>
          <w:rFonts w:hint="eastAsia"/>
          <w:bCs/>
          <w:color w:val="auto"/>
          <w:szCs w:val="24"/>
          <w:lang w:val="en-US" w:eastAsia="zh-CN"/>
        </w:rPr>
        <w:t>0</w:t>
      </w:r>
      <w:r>
        <w:rPr>
          <w:rFonts w:hint="eastAsia"/>
          <w:bCs/>
          <w:color w:val="auto"/>
          <w:szCs w:val="24"/>
        </w:rPr>
        <w:t>%、T</w:t>
      </w:r>
      <w:r>
        <w:rPr>
          <w:bCs/>
          <w:color w:val="auto"/>
          <w:szCs w:val="24"/>
        </w:rPr>
        <w:t>P</w:t>
      </w:r>
      <w:r>
        <w:rPr>
          <w:rFonts w:hint="eastAsia"/>
          <w:bCs/>
          <w:color w:val="auto"/>
          <w:szCs w:val="24"/>
        </w:rPr>
        <w:t>≥</w:t>
      </w:r>
      <w:r>
        <w:rPr>
          <w:bCs/>
          <w:color w:val="auto"/>
          <w:szCs w:val="24"/>
        </w:rPr>
        <w:t>8</w:t>
      </w:r>
      <w:r>
        <w:rPr>
          <w:rFonts w:hint="eastAsia"/>
          <w:bCs/>
          <w:color w:val="auto"/>
          <w:szCs w:val="24"/>
          <w:lang w:val="en-US" w:eastAsia="zh-CN"/>
        </w:rPr>
        <w:t>0</w:t>
      </w:r>
      <w:r>
        <w:rPr>
          <w:rFonts w:hint="eastAsia"/>
          <w:bCs/>
          <w:color w:val="auto"/>
          <w:szCs w:val="24"/>
        </w:rPr>
        <w:t>%、石油类≥</w:t>
      </w:r>
      <w:r>
        <w:rPr>
          <w:rFonts w:hint="eastAsia"/>
          <w:bCs/>
          <w:color w:val="auto"/>
          <w:szCs w:val="24"/>
          <w:lang w:val="en-US" w:eastAsia="zh-CN"/>
        </w:rPr>
        <w:t>15</w:t>
      </w:r>
      <w:r>
        <w:rPr>
          <w:rFonts w:hint="eastAsia"/>
          <w:bCs/>
          <w:color w:val="auto"/>
          <w:szCs w:val="24"/>
        </w:rPr>
        <w:t>%</w:t>
      </w:r>
      <w:r>
        <w:rPr>
          <w:rFonts w:hint="eastAsia"/>
          <w:bCs/>
          <w:color w:val="auto"/>
          <w:szCs w:val="24"/>
          <w:lang w:eastAsia="zh-CN"/>
        </w:rPr>
        <w:t>、</w:t>
      </w:r>
      <w:r>
        <w:rPr>
          <w:rFonts w:hint="eastAsia"/>
          <w:bCs/>
          <w:color w:val="auto"/>
          <w:szCs w:val="24"/>
          <w:lang w:val="en-US" w:eastAsia="zh-CN"/>
        </w:rPr>
        <w:t>总铝</w:t>
      </w:r>
      <w:r>
        <w:rPr>
          <w:rFonts w:hint="eastAsia"/>
          <w:bCs/>
          <w:color w:val="auto"/>
          <w:szCs w:val="24"/>
        </w:rPr>
        <w:t>≥</w:t>
      </w:r>
      <w:r>
        <w:rPr>
          <w:rFonts w:hint="eastAsia"/>
          <w:bCs/>
          <w:color w:val="auto"/>
          <w:szCs w:val="24"/>
          <w:lang w:val="en-US" w:eastAsia="zh-CN"/>
        </w:rPr>
        <w:t>99.90</w:t>
      </w:r>
      <w:r>
        <w:rPr>
          <w:rFonts w:hint="eastAsia"/>
          <w:bCs/>
          <w:color w:val="auto"/>
          <w:szCs w:val="24"/>
        </w:rPr>
        <w:t>%</w:t>
      </w:r>
      <w:r>
        <w:rPr>
          <w:rFonts w:hint="eastAsia"/>
          <w:bCs/>
          <w:color w:val="auto"/>
          <w:szCs w:val="24"/>
          <w:lang w:eastAsia="zh-CN"/>
        </w:rPr>
        <w:t>、</w:t>
      </w:r>
      <w:r>
        <w:rPr>
          <w:rFonts w:hint="eastAsia"/>
          <w:bCs/>
          <w:color w:val="auto"/>
          <w:szCs w:val="24"/>
          <w:lang w:val="en-US" w:eastAsia="zh-CN"/>
        </w:rPr>
        <w:t>总锡</w:t>
      </w:r>
      <w:r>
        <w:rPr>
          <w:rFonts w:hint="eastAsia"/>
          <w:bCs/>
          <w:color w:val="auto"/>
          <w:szCs w:val="24"/>
        </w:rPr>
        <w:t>≥</w:t>
      </w:r>
      <w:r>
        <w:rPr>
          <w:rFonts w:hint="eastAsia"/>
          <w:bCs/>
          <w:color w:val="auto"/>
          <w:szCs w:val="24"/>
          <w:lang w:val="en-US" w:eastAsia="zh-CN"/>
        </w:rPr>
        <w:t>87</w:t>
      </w:r>
      <w:r>
        <w:rPr>
          <w:rFonts w:hint="eastAsia"/>
          <w:bCs/>
          <w:color w:val="auto"/>
          <w:szCs w:val="24"/>
        </w:rPr>
        <w:t>%</w:t>
      </w:r>
      <w:r>
        <w:rPr>
          <w:rFonts w:hint="eastAsia"/>
          <w:bCs/>
          <w:color w:val="auto"/>
          <w:szCs w:val="24"/>
          <w:lang w:eastAsia="zh-CN"/>
        </w:rPr>
        <w:t>、</w:t>
      </w:r>
      <w:r>
        <w:rPr>
          <w:rFonts w:hint="eastAsia"/>
          <w:bCs/>
          <w:color w:val="auto"/>
          <w:szCs w:val="24"/>
          <w:lang w:val="en-US" w:eastAsia="zh-CN"/>
        </w:rPr>
        <w:t>LAS</w:t>
      </w:r>
      <w:r>
        <w:rPr>
          <w:rFonts w:hint="eastAsia"/>
          <w:bCs/>
          <w:color w:val="auto"/>
          <w:szCs w:val="24"/>
        </w:rPr>
        <w:t>≥</w:t>
      </w:r>
      <w:r>
        <w:rPr>
          <w:rFonts w:hint="eastAsia"/>
          <w:bCs/>
          <w:color w:val="auto"/>
          <w:szCs w:val="24"/>
          <w:lang w:val="en-US" w:eastAsia="zh-CN"/>
        </w:rPr>
        <w:t>95</w:t>
      </w:r>
      <w:r>
        <w:rPr>
          <w:rFonts w:hint="eastAsia"/>
          <w:bCs/>
          <w:color w:val="auto"/>
          <w:szCs w:val="24"/>
        </w:rPr>
        <w:t>%</w:t>
      </w:r>
      <w:r>
        <w:rPr>
          <w:rFonts w:hint="eastAsia"/>
          <w:bCs/>
          <w:color w:val="auto"/>
          <w:szCs w:val="24"/>
          <w:lang w:eastAsia="zh-CN"/>
        </w:rPr>
        <w:t>、</w:t>
      </w:r>
      <w:r>
        <w:rPr>
          <w:rFonts w:hint="eastAsia"/>
          <w:bCs/>
          <w:color w:val="auto"/>
          <w:szCs w:val="24"/>
          <w:lang w:val="en-US" w:eastAsia="zh-CN"/>
        </w:rPr>
        <w:t>盐分</w:t>
      </w:r>
      <w:r>
        <w:rPr>
          <w:rFonts w:hint="eastAsia"/>
          <w:bCs/>
          <w:color w:val="auto"/>
          <w:szCs w:val="24"/>
        </w:rPr>
        <w:t>≥</w:t>
      </w:r>
      <w:r>
        <w:rPr>
          <w:rFonts w:hint="eastAsia"/>
          <w:bCs/>
          <w:color w:val="auto"/>
          <w:szCs w:val="24"/>
          <w:lang w:val="en-US" w:eastAsia="zh-CN"/>
        </w:rPr>
        <w:t>50</w:t>
      </w:r>
      <w:r>
        <w:rPr>
          <w:rFonts w:hint="eastAsia"/>
          <w:bCs/>
          <w:color w:val="auto"/>
          <w:szCs w:val="24"/>
        </w:rPr>
        <w:t>%基本可行。</w:t>
      </w:r>
    </w:p>
    <w:p w14:paraId="5C20E8B6">
      <w:pPr>
        <w:ind w:firstLine="482"/>
        <w:rPr>
          <w:b/>
          <w:bCs/>
          <w:color w:val="auto"/>
          <w:szCs w:val="22"/>
          <w:lang w:bidi="ar"/>
        </w:rPr>
      </w:pPr>
      <w:r>
        <w:rPr>
          <w:rFonts w:hint="eastAsia"/>
          <w:b/>
          <w:bCs/>
          <w:color w:val="auto"/>
          <w:szCs w:val="22"/>
          <w:lang w:val="en-US" w:eastAsia="zh-CN" w:bidi="ar"/>
        </w:rPr>
        <w:t>5</w:t>
      </w:r>
      <w:r>
        <w:rPr>
          <w:b/>
          <w:bCs/>
          <w:color w:val="auto"/>
          <w:szCs w:val="22"/>
          <w:lang w:bidi="ar"/>
        </w:rPr>
        <w:t>、达标可行性分析</w:t>
      </w:r>
    </w:p>
    <w:p w14:paraId="758C7584">
      <w:pPr>
        <w:ind w:firstLine="480"/>
        <w:rPr>
          <w:color w:val="auto"/>
          <w:szCs w:val="22"/>
          <w:lang w:bidi="ar"/>
        </w:rPr>
      </w:pPr>
      <w:r>
        <w:rPr>
          <w:rFonts w:hint="eastAsia"/>
          <w:color w:val="auto"/>
          <w:szCs w:val="22"/>
          <w:lang w:bidi="ar"/>
        </w:rPr>
        <w:t>本项目废水污染因子主要为COD、SS、氨氮、总磷、总氮、总铝、石油类、LAS、总锡等。参照《排污许可证申请与核发技术规范 电镀工业》（HJ855—2017）中重金属废水治理技术，推荐可行性技术为：化学沉淀法治理技术。</w:t>
      </w:r>
    </w:p>
    <w:p w14:paraId="28853C45">
      <w:pPr>
        <w:ind w:firstLine="480"/>
        <w:rPr>
          <w:color w:val="auto"/>
          <w:szCs w:val="22"/>
          <w:lang w:bidi="ar"/>
        </w:rPr>
      </w:pPr>
      <w:r>
        <w:rPr>
          <w:color w:val="auto"/>
          <w:szCs w:val="22"/>
          <w:lang w:bidi="ar"/>
        </w:rPr>
        <w:t>化学沉淀法治理技术参照《电镀废水治理工程技术规范》（HJ2002-2010）中对含镉废水处理技术，通过加入碱以及絮凝剂将废水中镉离子沉降下来。</w:t>
      </w:r>
    </w:p>
    <w:p w14:paraId="1A65EB86">
      <w:pPr>
        <w:ind w:firstLine="480"/>
        <w:rPr>
          <w:color w:val="auto"/>
          <w:szCs w:val="22"/>
          <w:lang w:bidi="ar"/>
        </w:rPr>
      </w:pPr>
      <w:r>
        <w:rPr>
          <w:color w:val="auto"/>
          <w:szCs w:val="22"/>
          <w:lang w:bidi="ar"/>
        </w:rPr>
        <w:t>铝</w:t>
      </w:r>
      <w:r>
        <w:rPr>
          <w:rFonts w:hint="eastAsia"/>
          <w:color w:val="auto"/>
          <w:szCs w:val="22"/>
          <w:lang w:bidi="ar"/>
        </w:rPr>
        <w:t>、锡</w:t>
      </w:r>
      <w:r>
        <w:rPr>
          <w:color w:val="auto"/>
          <w:szCs w:val="22"/>
          <w:lang w:bidi="ar"/>
        </w:rPr>
        <w:t>离子在pH范围为5.5~</w:t>
      </w:r>
      <w:r>
        <w:rPr>
          <w:rFonts w:hint="eastAsia"/>
          <w:color w:val="auto"/>
          <w:szCs w:val="22"/>
          <w:lang w:bidi="ar"/>
        </w:rPr>
        <w:t>9</w:t>
      </w:r>
      <w:r>
        <w:rPr>
          <w:color w:val="auto"/>
          <w:szCs w:val="22"/>
          <w:lang w:bidi="ar"/>
        </w:rPr>
        <w:t>可以沉降，故本项目含铝废水采用的废水预处理方案为氢氧化</w:t>
      </w:r>
      <w:r>
        <w:rPr>
          <w:rFonts w:hint="eastAsia"/>
          <w:color w:val="auto"/>
          <w:szCs w:val="22"/>
          <w:lang w:bidi="ar"/>
        </w:rPr>
        <w:t>钙</w:t>
      </w:r>
      <w:r>
        <w:rPr>
          <w:color w:val="auto"/>
          <w:szCs w:val="22"/>
          <w:lang w:bidi="ar"/>
        </w:rPr>
        <w:t>沉淀技术：调节池、双联反应池、混凝沉淀池、排放水池。本项目废水采用“调节池+双联反应+混凝沉淀”处理工艺处理，综合废水控制pH在6.5~8.5左右，主要去除废水中的铝离子，使之形成稳定的氢氧化物沉淀，然后投加少量混凝剂、助凝剂，即以污泥的形式分离去除。由于本项目排放标准对COD的要求达到纳管标准即可，为确保铝离子和COD的有效去除，先经混凝沉淀处理再经高效絮凝处理，分别设置不同沉淀pH范围，确保处理效果的连续稳定，总铝能够达到《电镀污染物排放标准》（GB21900</w:t>
      </w:r>
      <w:r>
        <w:rPr>
          <w:rFonts w:hint="eastAsia"/>
          <w:color w:val="auto"/>
          <w:szCs w:val="22"/>
          <w:lang w:bidi="ar"/>
        </w:rPr>
        <w:t>-</w:t>
      </w:r>
      <w:r>
        <w:rPr>
          <w:color w:val="auto"/>
          <w:szCs w:val="22"/>
          <w:lang w:bidi="ar"/>
        </w:rPr>
        <w:t>2008）表3水污染特别排放限值，属于技术规范中推荐的深度处理可行技术。本项目废水经预处理满足《电镀污染物排放标准》（GB21900</w:t>
      </w:r>
      <w:r>
        <w:rPr>
          <w:rFonts w:hint="eastAsia"/>
          <w:color w:val="auto"/>
          <w:szCs w:val="22"/>
          <w:lang w:bidi="ar"/>
        </w:rPr>
        <w:t>-</w:t>
      </w:r>
      <w:r>
        <w:rPr>
          <w:color w:val="auto"/>
          <w:szCs w:val="22"/>
          <w:lang w:bidi="ar"/>
        </w:rPr>
        <w:t>2008）、《污水综合排放标准》（GB8978-1996）、《污水排入城镇下水道水质标准》（GB/T31962-2015）以及</w:t>
      </w:r>
      <w:r>
        <w:rPr>
          <w:rFonts w:hint="eastAsia"/>
          <w:color w:val="auto"/>
          <w:szCs w:val="22"/>
          <w:lang w:bidi="ar"/>
        </w:rPr>
        <w:t>开发区临港</w:t>
      </w:r>
      <w:r>
        <w:rPr>
          <w:color w:val="auto"/>
          <w:szCs w:val="22"/>
          <w:lang w:bidi="ar"/>
        </w:rPr>
        <w:t>污水处理厂根据实际运行能力设定的接管要求后再接入</w:t>
      </w:r>
      <w:r>
        <w:rPr>
          <w:rFonts w:hint="eastAsia"/>
          <w:color w:val="auto"/>
          <w:szCs w:val="22"/>
          <w:lang w:bidi="ar"/>
        </w:rPr>
        <w:t>开发区临港</w:t>
      </w:r>
      <w:r>
        <w:rPr>
          <w:color w:val="auto"/>
          <w:szCs w:val="22"/>
          <w:lang w:bidi="ar"/>
        </w:rPr>
        <w:t>污水处理厂进一步处理。</w:t>
      </w:r>
    </w:p>
    <w:p w14:paraId="53093FF5">
      <w:pPr>
        <w:ind w:firstLine="480"/>
        <w:rPr>
          <w:color w:val="auto"/>
          <w:szCs w:val="22"/>
          <w:lang w:bidi="ar"/>
        </w:rPr>
      </w:pPr>
      <w:r>
        <w:rPr>
          <w:color w:val="auto"/>
          <w:szCs w:val="22"/>
          <w:lang w:bidi="ar"/>
        </w:rPr>
        <w:t>综上，本项目废水污染防治措施采用的工艺技术为《排污许可证申请与核发技术规范 电镀工业》（HJ855</w:t>
      </w:r>
      <w:r>
        <w:rPr>
          <w:rFonts w:hint="eastAsia"/>
          <w:color w:val="auto"/>
          <w:szCs w:val="22"/>
          <w:lang w:bidi="ar"/>
        </w:rPr>
        <w:t>-</w:t>
      </w:r>
      <w:r>
        <w:rPr>
          <w:color w:val="auto"/>
          <w:szCs w:val="22"/>
          <w:lang w:bidi="ar"/>
        </w:rPr>
        <w:t>2017）以及《电镀废水治理工程技术规范》（HJ2002-2010）中的可行技术，处理工艺具有可行性。</w:t>
      </w:r>
    </w:p>
    <w:p w14:paraId="24E77066">
      <w:pPr>
        <w:ind w:firstLine="482"/>
        <w:rPr>
          <w:color w:val="auto"/>
        </w:rPr>
      </w:pPr>
      <w:r>
        <w:rPr>
          <w:b/>
          <w:bCs/>
          <w:color w:val="auto"/>
        </w:rPr>
        <w:t>同类项目案例：</w:t>
      </w:r>
      <w:r>
        <w:rPr>
          <w:color w:val="auto"/>
        </w:rPr>
        <w:t>根据《江苏三鑫铝业有限公司铝型材深加工新建项目固废变更说明及分析报告》，该公司的生产废水经厂内自建污水处理站处理，处理工艺为“综合调节+气浮+絮凝沉淀+自然沉淀”，废水工艺已能满足出水要求，废水达标排放，实际运行数据如下表所示：</w:t>
      </w:r>
    </w:p>
    <w:p w14:paraId="5DCFBD17">
      <w:pPr>
        <w:spacing w:line="240" w:lineRule="auto"/>
        <w:ind w:firstLine="0" w:firstLineChars="0"/>
        <w:jc w:val="center"/>
        <w:rPr>
          <w:b/>
          <w:bCs/>
          <w:snapToGrid w:val="0"/>
          <w:color w:val="auto"/>
        </w:rPr>
      </w:pPr>
      <w:r>
        <w:rPr>
          <w:b/>
          <w:bCs/>
          <w:snapToGrid w:val="0"/>
          <w:color w:val="auto"/>
        </w:rPr>
        <w:t>表</w:t>
      </w:r>
      <w:r>
        <w:rPr>
          <w:rFonts w:hint="eastAsia"/>
          <w:b/>
          <w:bCs/>
          <w:snapToGrid w:val="0"/>
          <w:color w:val="auto"/>
        </w:rPr>
        <w:t>7</w:t>
      </w:r>
      <w:r>
        <w:rPr>
          <w:b/>
          <w:bCs/>
          <w:snapToGrid w:val="0"/>
          <w:color w:val="auto"/>
        </w:rPr>
        <w:t>.2.2-</w:t>
      </w:r>
      <w:r>
        <w:rPr>
          <w:rFonts w:hint="eastAsia"/>
          <w:b/>
          <w:bCs/>
          <w:snapToGrid w:val="0"/>
          <w:color w:val="auto"/>
          <w:lang w:val="en-US" w:eastAsia="zh-CN"/>
        </w:rPr>
        <w:t>4</w:t>
      </w:r>
      <w:r>
        <w:rPr>
          <w:b/>
          <w:bCs/>
          <w:snapToGrid w:val="0"/>
          <w:color w:val="auto"/>
        </w:rPr>
        <w:t xml:space="preserve"> </w:t>
      </w:r>
      <w:r>
        <w:rPr>
          <w:rFonts w:hint="eastAsia"/>
          <w:b/>
          <w:bCs/>
          <w:snapToGrid w:val="0"/>
          <w:color w:val="auto"/>
        </w:rPr>
        <w:t xml:space="preserve"> </w:t>
      </w:r>
      <w:r>
        <w:rPr>
          <w:b/>
          <w:bCs/>
          <w:snapToGrid w:val="0"/>
          <w:color w:val="auto"/>
        </w:rPr>
        <w:t>废水监测结果</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656"/>
        <w:gridCol w:w="1372"/>
        <w:gridCol w:w="1330"/>
        <w:gridCol w:w="1310"/>
        <w:gridCol w:w="862"/>
        <w:gridCol w:w="1573"/>
      </w:tblGrid>
      <w:tr w14:paraId="22B36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0" w:type="pct"/>
            <w:tcBorders>
              <w:tl2br w:val="nil"/>
              <w:tr2bl w:val="nil"/>
            </w:tcBorders>
            <w:vAlign w:val="center"/>
          </w:tcPr>
          <w:p w14:paraId="0595F280">
            <w:pPr>
              <w:spacing w:line="240" w:lineRule="auto"/>
              <w:ind w:firstLine="0" w:firstLineChars="0"/>
              <w:jc w:val="center"/>
              <w:rPr>
                <w:b/>
                <w:color w:val="auto"/>
                <w:sz w:val="21"/>
                <w:szCs w:val="21"/>
              </w:rPr>
            </w:pPr>
            <w:r>
              <w:rPr>
                <w:rFonts w:hint="eastAsia"/>
                <w:b/>
                <w:color w:val="auto"/>
                <w:sz w:val="21"/>
                <w:szCs w:val="21"/>
              </w:rPr>
              <w:t>采样地点</w:t>
            </w:r>
          </w:p>
        </w:tc>
        <w:tc>
          <w:tcPr>
            <w:tcW w:w="880" w:type="pct"/>
            <w:tcBorders>
              <w:tl2br w:val="nil"/>
              <w:tr2bl w:val="nil"/>
            </w:tcBorders>
            <w:vAlign w:val="center"/>
          </w:tcPr>
          <w:p w14:paraId="6484D57D">
            <w:pPr>
              <w:spacing w:line="240" w:lineRule="auto"/>
              <w:ind w:firstLine="0" w:firstLineChars="0"/>
              <w:jc w:val="center"/>
              <w:rPr>
                <w:b/>
                <w:color w:val="auto"/>
                <w:sz w:val="21"/>
                <w:szCs w:val="21"/>
              </w:rPr>
            </w:pPr>
            <w:r>
              <w:rPr>
                <w:rFonts w:hint="eastAsia"/>
                <w:b/>
                <w:color w:val="auto"/>
                <w:sz w:val="21"/>
                <w:szCs w:val="21"/>
              </w:rPr>
              <w:t>检测项目</w:t>
            </w:r>
          </w:p>
        </w:tc>
        <w:tc>
          <w:tcPr>
            <w:tcW w:w="729" w:type="pct"/>
            <w:tcBorders>
              <w:tl2br w:val="nil"/>
              <w:tr2bl w:val="nil"/>
            </w:tcBorders>
            <w:vAlign w:val="center"/>
          </w:tcPr>
          <w:p w14:paraId="56FF1711">
            <w:pPr>
              <w:spacing w:line="240" w:lineRule="auto"/>
              <w:ind w:firstLine="0" w:firstLineChars="0"/>
              <w:jc w:val="center"/>
              <w:rPr>
                <w:b/>
                <w:color w:val="auto"/>
                <w:sz w:val="21"/>
                <w:szCs w:val="21"/>
              </w:rPr>
            </w:pPr>
            <w:r>
              <w:rPr>
                <w:rFonts w:hint="eastAsia"/>
                <w:b/>
                <w:color w:val="auto"/>
                <w:sz w:val="21"/>
                <w:szCs w:val="21"/>
              </w:rPr>
              <w:t>样品性状</w:t>
            </w:r>
          </w:p>
        </w:tc>
        <w:tc>
          <w:tcPr>
            <w:tcW w:w="707" w:type="pct"/>
            <w:tcBorders>
              <w:tl2br w:val="nil"/>
              <w:tr2bl w:val="nil"/>
            </w:tcBorders>
            <w:vAlign w:val="center"/>
          </w:tcPr>
          <w:p w14:paraId="1324CE48">
            <w:pPr>
              <w:spacing w:line="240" w:lineRule="auto"/>
              <w:ind w:firstLine="0" w:firstLineChars="0"/>
              <w:jc w:val="center"/>
              <w:rPr>
                <w:b/>
                <w:color w:val="auto"/>
                <w:sz w:val="21"/>
                <w:szCs w:val="21"/>
              </w:rPr>
            </w:pPr>
            <w:r>
              <w:rPr>
                <w:rFonts w:hint="eastAsia"/>
                <w:b/>
                <w:color w:val="auto"/>
                <w:sz w:val="21"/>
                <w:szCs w:val="21"/>
              </w:rPr>
              <w:t>单位</w:t>
            </w:r>
          </w:p>
        </w:tc>
        <w:tc>
          <w:tcPr>
            <w:tcW w:w="696" w:type="pct"/>
            <w:tcBorders>
              <w:tl2br w:val="nil"/>
              <w:tr2bl w:val="nil"/>
            </w:tcBorders>
            <w:vAlign w:val="center"/>
          </w:tcPr>
          <w:p w14:paraId="060A513D">
            <w:pPr>
              <w:spacing w:line="240" w:lineRule="auto"/>
              <w:ind w:firstLine="0" w:firstLineChars="0"/>
              <w:jc w:val="center"/>
              <w:rPr>
                <w:b/>
                <w:color w:val="auto"/>
                <w:sz w:val="21"/>
                <w:szCs w:val="21"/>
              </w:rPr>
            </w:pPr>
            <w:r>
              <w:rPr>
                <w:rFonts w:hint="eastAsia"/>
                <w:b/>
                <w:color w:val="auto"/>
                <w:sz w:val="21"/>
                <w:szCs w:val="21"/>
              </w:rPr>
              <w:t>检测结果</w:t>
            </w:r>
          </w:p>
        </w:tc>
        <w:tc>
          <w:tcPr>
            <w:tcW w:w="458" w:type="pct"/>
            <w:tcBorders>
              <w:tl2br w:val="nil"/>
              <w:tr2bl w:val="nil"/>
            </w:tcBorders>
            <w:vAlign w:val="center"/>
          </w:tcPr>
          <w:p w14:paraId="54DB43A9">
            <w:pPr>
              <w:spacing w:line="240" w:lineRule="auto"/>
              <w:ind w:firstLine="0" w:firstLineChars="0"/>
              <w:jc w:val="center"/>
              <w:rPr>
                <w:b/>
                <w:color w:val="auto"/>
                <w:sz w:val="21"/>
                <w:szCs w:val="21"/>
              </w:rPr>
            </w:pPr>
            <w:r>
              <w:rPr>
                <w:rFonts w:hint="eastAsia"/>
                <w:b/>
                <w:color w:val="auto"/>
                <w:sz w:val="21"/>
                <w:szCs w:val="21"/>
              </w:rPr>
              <w:t>是否达标</w:t>
            </w:r>
          </w:p>
        </w:tc>
        <w:tc>
          <w:tcPr>
            <w:tcW w:w="836" w:type="pct"/>
            <w:tcBorders>
              <w:tl2br w:val="nil"/>
              <w:tr2bl w:val="nil"/>
            </w:tcBorders>
            <w:vAlign w:val="center"/>
          </w:tcPr>
          <w:p w14:paraId="7ABF9491">
            <w:pPr>
              <w:spacing w:line="240" w:lineRule="auto"/>
              <w:ind w:firstLine="0" w:firstLineChars="0"/>
              <w:jc w:val="center"/>
              <w:rPr>
                <w:b/>
                <w:color w:val="auto"/>
                <w:sz w:val="21"/>
                <w:szCs w:val="21"/>
              </w:rPr>
            </w:pPr>
            <w:r>
              <w:rPr>
                <w:b/>
                <w:color w:val="auto"/>
                <w:sz w:val="21"/>
                <w:szCs w:val="21"/>
              </w:rPr>
              <w:t>监测时间</w:t>
            </w:r>
          </w:p>
        </w:tc>
      </w:tr>
      <w:tr w14:paraId="1B867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restart"/>
            <w:tcBorders>
              <w:tl2br w:val="nil"/>
              <w:tr2bl w:val="nil"/>
            </w:tcBorders>
            <w:vAlign w:val="center"/>
          </w:tcPr>
          <w:p w14:paraId="578DD826">
            <w:pPr>
              <w:spacing w:line="240" w:lineRule="auto"/>
              <w:ind w:firstLine="0" w:firstLineChars="0"/>
              <w:jc w:val="center"/>
              <w:rPr>
                <w:color w:val="auto"/>
                <w:sz w:val="21"/>
                <w:szCs w:val="21"/>
              </w:rPr>
            </w:pPr>
            <w:r>
              <w:rPr>
                <w:rFonts w:hint="eastAsia"/>
                <w:color w:val="auto"/>
                <w:sz w:val="21"/>
                <w:szCs w:val="21"/>
              </w:rPr>
              <w:t>废水排口</w:t>
            </w:r>
          </w:p>
        </w:tc>
        <w:tc>
          <w:tcPr>
            <w:tcW w:w="880" w:type="pct"/>
            <w:tcBorders>
              <w:tl2br w:val="nil"/>
              <w:tr2bl w:val="nil"/>
            </w:tcBorders>
            <w:vAlign w:val="center"/>
          </w:tcPr>
          <w:p w14:paraId="77A9FCF9">
            <w:pPr>
              <w:spacing w:line="240" w:lineRule="auto"/>
              <w:ind w:firstLine="0" w:firstLineChars="0"/>
              <w:jc w:val="center"/>
              <w:rPr>
                <w:color w:val="auto"/>
                <w:sz w:val="21"/>
                <w:szCs w:val="21"/>
              </w:rPr>
            </w:pPr>
            <w:r>
              <w:rPr>
                <w:rFonts w:hint="eastAsia"/>
                <w:color w:val="auto"/>
                <w:sz w:val="21"/>
                <w:szCs w:val="21"/>
              </w:rPr>
              <w:t>pH</w:t>
            </w:r>
          </w:p>
        </w:tc>
        <w:tc>
          <w:tcPr>
            <w:tcW w:w="729" w:type="pct"/>
            <w:vMerge w:val="restart"/>
            <w:tcBorders>
              <w:tl2br w:val="nil"/>
              <w:tr2bl w:val="nil"/>
            </w:tcBorders>
            <w:vAlign w:val="center"/>
          </w:tcPr>
          <w:p w14:paraId="4F5ACE1F">
            <w:pPr>
              <w:spacing w:line="240" w:lineRule="auto"/>
              <w:ind w:firstLine="0" w:firstLineChars="0"/>
              <w:jc w:val="center"/>
              <w:rPr>
                <w:color w:val="auto"/>
                <w:sz w:val="21"/>
                <w:szCs w:val="21"/>
              </w:rPr>
            </w:pPr>
            <w:r>
              <w:rPr>
                <w:rFonts w:hint="eastAsia"/>
                <w:color w:val="auto"/>
                <w:sz w:val="21"/>
                <w:szCs w:val="21"/>
              </w:rPr>
              <w:t>较清、无色、无臭</w:t>
            </w:r>
          </w:p>
        </w:tc>
        <w:tc>
          <w:tcPr>
            <w:tcW w:w="707" w:type="pct"/>
            <w:tcBorders>
              <w:tl2br w:val="nil"/>
              <w:tr2bl w:val="nil"/>
            </w:tcBorders>
            <w:vAlign w:val="center"/>
          </w:tcPr>
          <w:p w14:paraId="69A26A3A">
            <w:pPr>
              <w:spacing w:line="240" w:lineRule="auto"/>
              <w:ind w:firstLine="0" w:firstLineChars="0"/>
              <w:jc w:val="center"/>
              <w:rPr>
                <w:color w:val="auto"/>
                <w:sz w:val="21"/>
                <w:szCs w:val="21"/>
              </w:rPr>
            </w:pPr>
            <w:r>
              <w:rPr>
                <w:rFonts w:hint="eastAsia"/>
                <w:color w:val="auto"/>
                <w:sz w:val="21"/>
                <w:szCs w:val="21"/>
              </w:rPr>
              <w:t>无量纲</w:t>
            </w:r>
          </w:p>
        </w:tc>
        <w:tc>
          <w:tcPr>
            <w:tcW w:w="696" w:type="pct"/>
            <w:tcBorders>
              <w:tl2br w:val="nil"/>
              <w:tr2bl w:val="nil"/>
            </w:tcBorders>
            <w:vAlign w:val="center"/>
          </w:tcPr>
          <w:p w14:paraId="16D233A6">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.53</w:t>
            </w:r>
          </w:p>
        </w:tc>
        <w:tc>
          <w:tcPr>
            <w:tcW w:w="458" w:type="pct"/>
            <w:tcBorders>
              <w:tl2br w:val="nil"/>
              <w:tr2bl w:val="nil"/>
            </w:tcBorders>
            <w:vAlign w:val="center"/>
          </w:tcPr>
          <w:p w14:paraId="19143575">
            <w:pPr>
              <w:spacing w:line="240" w:lineRule="auto"/>
              <w:ind w:firstLine="0" w:firstLineChars="0"/>
              <w:jc w:val="center"/>
              <w:rPr>
                <w:color w:val="auto"/>
                <w:sz w:val="21"/>
                <w:szCs w:val="21"/>
              </w:rPr>
            </w:pPr>
            <w:r>
              <w:rPr>
                <w:rFonts w:hint="eastAsia"/>
                <w:color w:val="auto"/>
                <w:sz w:val="21"/>
                <w:szCs w:val="21"/>
              </w:rPr>
              <w:t>是</w:t>
            </w:r>
          </w:p>
        </w:tc>
        <w:tc>
          <w:tcPr>
            <w:tcW w:w="836" w:type="pct"/>
            <w:vMerge w:val="restart"/>
            <w:tcBorders>
              <w:tl2br w:val="nil"/>
              <w:tr2bl w:val="nil"/>
            </w:tcBorders>
            <w:vAlign w:val="center"/>
          </w:tcPr>
          <w:p w14:paraId="37538E4A">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020</w:t>
            </w:r>
            <w:r>
              <w:rPr>
                <w:rFonts w:hint="eastAsia"/>
                <w:color w:val="auto"/>
                <w:sz w:val="21"/>
                <w:szCs w:val="21"/>
              </w:rPr>
              <w:t>年4月2</w:t>
            </w:r>
            <w:r>
              <w:rPr>
                <w:color w:val="auto"/>
                <w:sz w:val="21"/>
                <w:szCs w:val="21"/>
              </w:rPr>
              <w:t>1</w:t>
            </w:r>
            <w:r>
              <w:rPr>
                <w:rFonts w:hint="eastAsia"/>
                <w:color w:val="auto"/>
                <w:sz w:val="21"/>
                <w:szCs w:val="21"/>
              </w:rPr>
              <w:t>日</w:t>
            </w:r>
          </w:p>
        </w:tc>
      </w:tr>
      <w:tr w14:paraId="5BE6E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117589B2">
            <w:pPr>
              <w:spacing w:line="240" w:lineRule="auto"/>
              <w:ind w:firstLine="0" w:firstLineChars="0"/>
              <w:jc w:val="center"/>
              <w:rPr>
                <w:color w:val="auto"/>
                <w:sz w:val="21"/>
                <w:szCs w:val="21"/>
              </w:rPr>
            </w:pPr>
          </w:p>
        </w:tc>
        <w:tc>
          <w:tcPr>
            <w:tcW w:w="880" w:type="pct"/>
            <w:tcBorders>
              <w:tl2br w:val="nil"/>
              <w:tr2bl w:val="nil"/>
            </w:tcBorders>
            <w:vAlign w:val="center"/>
          </w:tcPr>
          <w:p w14:paraId="65302357">
            <w:pPr>
              <w:spacing w:line="240" w:lineRule="auto"/>
              <w:ind w:firstLine="0" w:firstLineChars="0"/>
              <w:jc w:val="center"/>
              <w:rPr>
                <w:color w:val="auto"/>
                <w:sz w:val="21"/>
                <w:szCs w:val="21"/>
              </w:rPr>
            </w:pPr>
            <w:r>
              <w:rPr>
                <w:rFonts w:hint="eastAsia"/>
                <w:color w:val="auto"/>
                <w:sz w:val="21"/>
                <w:szCs w:val="21"/>
              </w:rPr>
              <w:t>化学需氧量</w:t>
            </w:r>
          </w:p>
        </w:tc>
        <w:tc>
          <w:tcPr>
            <w:tcW w:w="729" w:type="pct"/>
            <w:vMerge w:val="continue"/>
            <w:tcBorders>
              <w:tl2br w:val="nil"/>
              <w:tr2bl w:val="nil"/>
            </w:tcBorders>
            <w:vAlign w:val="center"/>
          </w:tcPr>
          <w:p w14:paraId="02C8AADC">
            <w:pPr>
              <w:spacing w:line="240" w:lineRule="auto"/>
              <w:ind w:firstLine="0" w:firstLineChars="0"/>
              <w:jc w:val="center"/>
              <w:rPr>
                <w:color w:val="auto"/>
                <w:sz w:val="21"/>
                <w:szCs w:val="21"/>
              </w:rPr>
            </w:pPr>
          </w:p>
        </w:tc>
        <w:tc>
          <w:tcPr>
            <w:tcW w:w="707" w:type="pct"/>
            <w:tcBorders>
              <w:tl2br w:val="nil"/>
              <w:tr2bl w:val="nil"/>
            </w:tcBorders>
            <w:vAlign w:val="center"/>
          </w:tcPr>
          <w:p w14:paraId="674F5CC3">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6AA69070">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1</w:t>
            </w:r>
          </w:p>
        </w:tc>
        <w:tc>
          <w:tcPr>
            <w:tcW w:w="458" w:type="pct"/>
            <w:tcBorders>
              <w:tl2br w:val="nil"/>
              <w:tr2bl w:val="nil"/>
            </w:tcBorders>
            <w:vAlign w:val="center"/>
          </w:tcPr>
          <w:p w14:paraId="1300033D">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0288F9E1">
            <w:pPr>
              <w:spacing w:line="240" w:lineRule="auto"/>
              <w:ind w:firstLine="0" w:firstLineChars="0"/>
              <w:jc w:val="center"/>
              <w:rPr>
                <w:color w:val="auto"/>
                <w:sz w:val="21"/>
                <w:szCs w:val="21"/>
              </w:rPr>
            </w:pPr>
          </w:p>
        </w:tc>
      </w:tr>
      <w:tr w14:paraId="5B98E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43654D75">
            <w:pPr>
              <w:spacing w:line="240" w:lineRule="auto"/>
              <w:ind w:firstLine="0" w:firstLineChars="0"/>
              <w:jc w:val="center"/>
              <w:rPr>
                <w:color w:val="auto"/>
                <w:sz w:val="21"/>
                <w:szCs w:val="21"/>
              </w:rPr>
            </w:pPr>
          </w:p>
        </w:tc>
        <w:tc>
          <w:tcPr>
            <w:tcW w:w="880" w:type="pct"/>
            <w:tcBorders>
              <w:tl2br w:val="nil"/>
              <w:tr2bl w:val="nil"/>
            </w:tcBorders>
            <w:vAlign w:val="center"/>
          </w:tcPr>
          <w:p w14:paraId="20595234">
            <w:pPr>
              <w:spacing w:line="240" w:lineRule="auto"/>
              <w:ind w:firstLine="0" w:firstLineChars="0"/>
              <w:jc w:val="center"/>
              <w:rPr>
                <w:color w:val="auto"/>
                <w:sz w:val="21"/>
                <w:szCs w:val="21"/>
              </w:rPr>
            </w:pPr>
            <w:r>
              <w:rPr>
                <w:rFonts w:hint="eastAsia"/>
                <w:color w:val="auto"/>
                <w:sz w:val="21"/>
                <w:szCs w:val="21"/>
              </w:rPr>
              <w:t>悬浮物</w:t>
            </w:r>
          </w:p>
        </w:tc>
        <w:tc>
          <w:tcPr>
            <w:tcW w:w="729" w:type="pct"/>
            <w:vMerge w:val="continue"/>
            <w:tcBorders>
              <w:tl2br w:val="nil"/>
              <w:tr2bl w:val="nil"/>
            </w:tcBorders>
            <w:vAlign w:val="center"/>
          </w:tcPr>
          <w:p w14:paraId="1DB3606C">
            <w:pPr>
              <w:spacing w:line="240" w:lineRule="auto"/>
              <w:ind w:firstLine="0" w:firstLineChars="0"/>
              <w:jc w:val="center"/>
              <w:rPr>
                <w:color w:val="auto"/>
                <w:sz w:val="21"/>
                <w:szCs w:val="21"/>
              </w:rPr>
            </w:pPr>
          </w:p>
        </w:tc>
        <w:tc>
          <w:tcPr>
            <w:tcW w:w="707" w:type="pct"/>
            <w:tcBorders>
              <w:tl2br w:val="nil"/>
              <w:tr2bl w:val="nil"/>
            </w:tcBorders>
          </w:tcPr>
          <w:p w14:paraId="0586C650">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1E728B95">
            <w:pPr>
              <w:spacing w:line="240" w:lineRule="auto"/>
              <w:ind w:firstLine="0" w:firstLineChars="0"/>
              <w:jc w:val="center"/>
              <w:rPr>
                <w:color w:val="auto"/>
                <w:sz w:val="21"/>
                <w:szCs w:val="21"/>
              </w:rPr>
            </w:pPr>
            <w:r>
              <w:rPr>
                <w:rFonts w:hint="eastAsia"/>
                <w:color w:val="auto"/>
                <w:sz w:val="21"/>
                <w:szCs w:val="21"/>
              </w:rPr>
              <w:t>8</w:t>
            </w:r>
          </w:p>
        </w:tc>
        <w:tc>
          <w:tcPr>
            <w:tcW w:w="458" w:type="pct"/>
            <w:tcBorders>
              <w:tl2br w:val="nil"/>
              <w:tr2bl w:val="nil"/>
            </w:tcBorders>
            <w:vAlign w:val="center"/>
          </w:tcPr>
          <w:p w14:paraId="2B61A687">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5C3E42E3">
            <w:pPr>
              <w:spacing w:line="240" w:lineRule="auto"/>
              <w:ind w:firstLine="0" w:firstLineChars="0"/>
              <w:jc w:val="center"/>
              <w:rPr>
                <w:color w:val="auto"/>
                <w:sz w:val="21"/>
                <w:szCs w:val="21"/>
              </w:rPr>
            </w:pPr>
          </w:p>
        </w:tc>
      </w:tr>
      <w:tr w14:paraId="322F0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12FC6B02">
            <w:pPr>
              <w:spacing w:line="240" w:lineRule="auto"/>
              <w:ind w:firstLine="0" w:firstLineChars="0"/>
              <w:jc w:val="center"/>
              <w:rPr>
                <w:color w:val="auto"/>
                <w:sz w:val="21"/>
                <w:szCs w:val="21"/>
              </w:rPr>
            </w:pPr>
          </w:p>
        </w:tc>
        <w:tc>
          <w:tcPr>
            <w:tcW w:w="880" w:type="pct"/>
            <w:tcBorders>
              <w:tl2br w:val="nil"/>
              <w:tr2bl w:val="nil"/>
            </w:tcBorders>
            <w:vAlign w:val="center"/>
          </w:tcPr>
          <w:p w14:paraId="78A1F36E">
            <w:pPr>
              <w:spacing w:line="240" w:lineRule="auto"/>
              <w:ind w:firstLine="0" w:firstLineChars="0"/>
              <w:jc w:val="center"/>
              <w:rPr>
                <w:color w:val="auto"/>
                <w:sz w:val="21"/>
                <w:szCs w:val="21"/>
              </w:rPr>
            </w:pPr>
            <w:r>
              <w:rPr>
                <w:rFonts w:hint="eastAsia"/>
                <w:color w:val="auto"/>
                <w:sz w:val="21"/>
                <w:szCs w:val="21"/>
              </w:rPr>
              <w:t>氨氮</w:t>
            </w:r>
          </w:p>
        </w:tc>
        <w:tc>
          <w:tcPr>
            <w:tcW w:w="729" w:type="pct"/>
            <w:vMerge w:val="continue"/>
            <w:tcBorders>
              <w:tl2br w:val="nil"/>
              <w:tr2bl w:val="nil"/>
            </w:tcBorders>
            <w:vAlign w:val="center"/>
          </w:tcPr>
          <w:p w14:paraId="7804BCA4">
            <w:pPr>
              <w:spacing w:line="240" w:lineRule="auto"/>
              <w:ind w:firstLine="0" w:firstLineChars="0"/>
              <w:jc w:val="center"/>
              <w:rPr>
                <w:color w:val="auto"/>
                <w:sz w:val="21"/>
                <w:szCs w:val="21"/>
              </w:rPr>
            </w:pPr>
          </w:p>
        </w:tc>
        <w:tc>
          <w:tcPr>
            <w:tcW w:w="707" w:type="pct"/>
            <w:tcBorders>
              <w:tl2br w:val="nil"/>
              <w:tr2bl w:val="nil"/>
            </w:tcBorders>
          </w:tcPr>
          <w:p w14:paraId="68C5DF2E">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0A0FCE71">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.95</w:t>
            </w:r>
          </w:p>
        </w:tc>
        <w:tc>
          <w:tcPr>
            <w:tcW w:w="458" w:type="pct"/>
            <w:tcBorders>
              <w:tl2br w:val="nil"/>
              <w:tr2bl w:val="nil"/>
            </w:tcBorders>
            <w:vAlign w:val="center"/>
          </w:tcPr>
          <w:p w14:paraId="1B6F79A7">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1E9AC2C7">
            <w:pPr>
              <w:spacing w:line="240" w:lineRule="auto"/>
              <w:ind w:firstLine="0" w:firstLineChars="0"/>
              <w:jc w:val="center"/>
              <w:rPr>
                <w:color w:val="auto"/>
                <w:sz w:val="21"/>
                <w:szCs w:val="21"/>
              </w:rPr>
            </w:pPr>
          </w:p>
        </w:tc>
      </w:tr>
      <w:tr w14:paraId="49EE1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5241C147">
            <w:pPr>
              <w:spacing w:line="240" w:lineRule="auto"/>
              <w:ind w:firstLine="0" w:firstLineChars="0"/>
              <w:jc w:val="center"/>
              <w:rPr>
                <w:color w:val="auto"/>
                <w:sz w:val="21"/>
                <w:szCs w:val="21"/>
              </w:rPr>
            </w:pPr>
          </w:p>
        </w:tc>
        <w:tc>
          <w:tcPr>
            <w:tcW w:w="880" w:type="pct"/>
            <w:tcBorders>
              <w:tl2br w:val="nil"/>
              <w:tr2bl w:val="nil"/>
            </w:tcBorders>
            <w:vAlign w:val="center"/>
          </w:tcPr>
          <w:p w14:paraId="3FA0A473">
            <w:pPr>
              <w:spacing w:line="240" w:lineRule="auto"/>
              <w:ind w:firstLine="0" w:firstLineChars="0"/>
              <w:jc w:val="center"/>
              <w:rPr>
                <w:color w:val="auto"/>
                <w:sz w:val="21"/>
                <w:szCs w:val="21"/>
              </w:rPr>
            </w:pPr>
            <w:r>
              <w:rPr>
                <w:rFonts w:hint="eastAsia"/>
                <w:color w:val="auto"/>
                <w:sz w:val="21"/>
                <w:szCs w:val="21"/>
              </w:rPr>
              <w:t>总磷</w:t>
            </w:r>
          </w:p>
        </w:tc>
        <w:tc>
          <w:tcPr>
            <w:tcW w:w="729" w:type="pct"/>
            <w:vMerge w:val="continue"/>
            <w:tcBorders>
              <w:tl2br w:val="nil"/>
              <w:tr2bl w:val="nil"/>
            </w:tcBorders>
            <w:vAlign w:val="center"/>
          </w:tcPr>
          <w:p w14:paraId="10D19996">
            <w:pPr>
              <w:spacing w:line="240" w:lineRule="auto"/>
              <w:ind w:firstLine="0" w:firstLineChars="0"/>
              <w:jc w:val="center"/>
              <w:rPr>
                <w:color w:val="auto"/>
                <w:sz w:val="21"/>
                <w:szCs w:val="21"/>
              </w:rPr>
            </w:pPr>
          </w:p>
        </w:tc>
        <w:tc>
          <w:tcPr>
            <w:tcW w:w="707" w:type="pct"/>
            <w:tcBorders>
              <w:tl2br w:val="nil"/>
              <w:tr2bl w:val="nil"/>
            </w:tcBorders>
          </w:tcPr>
          <w:p w14:paraId="53FDBFBF">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48B1DB54">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.01</w:t>
            </w:r>
          </w:p>
        </w:tc>
        <w:tc>
          <w:tcPr>
            <w:tcW w:w="458" w:type="pct"/>
            <w:tcBorders>
              <w:tl2br w:val="nil"/>
              <w:tr2bl w:val="nil"/>
            </w:tcBorders>
            <w:vAlign w:val="center"/>
          </w:tcPr>
          <w:p w14:paraId="6A37F04B">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7F0A51B9">
            <w:pPr>
              <w:spacing w:line="240" w:lineRule="auto"/>
              <w:ind w:firstLine="0" w:firstLineChars="0"/>
              <w:jc w:val="center"/>
              <w:rPr>
                <w:color w:val="auto"/>
                <w:sz w:val="21"/>
                <w:szCs w:val="21"/>
              </w:rPr>
            </w:pPr>
          </w:p>
        </w:tc>
      </w:tr>
      <w:tr w14:paraId="78B58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4DDA579F">
            <w:pPr>
              <w:spacing w:line="240" w:lineRule="auto"/>
              <w:ind w:firstLine="0" w:firstLineChars="0"/>
              <w:jc w:val="center"/>
              <w:rPr>
                <w:color w:val="auto"/>
                <w:sz w:val="21"/>
                <w:szCs w:val="21"/>
              </w:rPr>
            </w:pPr>
          </w:p>
        </w:tc>
        <w:tc>
          <w:tcPr>
            <w:tcW w:w="880" w:type="pct"/>
            <w:tcBorders>
              <w:tl2br w:val="nil"/>
              <w:tr2bl w:val="nil"/>
            </w:tcBorders>
            <w:vAlign w:val="center"/>
          </w:tcPr>
          <w:p w14:paraId="4C604BD2">
            <w:pPr>
              <w:spacing w:line="240" w:lineRule="auto"/>
              <w:ind w:firstLine="0" w:firstLineChars="0"/>
              <w:jc w:val="center"/>
              <w:rPr>
                <w:color w:val="auto"/>
                <w:sz w:val="21"/>
                <w:szCs w:val="21"/>
              </w:rPr>
            </w:pPr>
            <w:r>
              <w:rPr>
                <w:rFonts w:hint="eastAsia"/>
                <w:color w:val="auto"/>
                <w:sz w:val="21"/>
                <w:szCs w:val="21"/>
              </w:rPr>
              <w:t>石油类</w:t>
            </w:r>
          </w:p>
        </w:tc>
        <w:tc>
          <w:tcPr>
            <w:tcW w:w="729" w:type="pct"/>
            <w:vMerge w:val="continue"/>
            <w:tcBorders>
              <w:tl2br w:val="nil"/>
              <w:tr2bl w:val="nil"/>
            </w:tcBorders>
            <w:vAlign w:val="center"/>
          </w:tcPr>
          <w:p w14:paraId="2549A80F">
            <w:pPr>
              <w:spacing w:line="240" w:lineRule="auto"/>
              <w:ind w:firstLine="0" w:firstLineChars="0"/>
              <w:jc w:val="center"/>
              <w:rPr>
                <w:color w:val="auto"/>
                <w:sz w:val="21"/>
                <w:szCs w:val="21"/>
              </w:rPr>
            </w:pPr>
          </w:p>
        </w:tc>
        <w:tc>
          <w:tcPr>
            <w:tcW w:w="707" w:type="pct"/>
            <w:tcBorders>
              <w:tl2br w:val="nil"/>
              <w:tr2bl w:val="nil"/>
            </w:tcBorders>
          </w:tcPr>
          <w:p w14:paraId="15C10917">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29866F54">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.51</w:t>
            </w:r>
          </w:p>
        </w:tc>
        <w:tc>
          <w:tcPr>
            <w:tcW w:w="458" w:type="pct"/>
            <w:tcBorders>
              <w:tl2br w:val="nil"/>
              <w:tr2bl w:val="nil"/>
            </w:tcBorders>
            <w:vAlign w:val="center"/>
          </w:tcPr>
          <w:p w14:paraId="2569B74B">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63A9808D">
            <w:pPr>
              <w:spacing w:line="240" w:lineRule="auto"/>
              <w:ind w:firstLine="0" w:firstLineChars="0"/>
              <w:jc w:val="center"/>
              <w:rPr>
                <w:color w:val="auto"/>
                <w:sz w:val="21"/>
                <w:szCs w:val="21"/>
              </w:rPr>
            </w:pPr>
          </w:p>
        </w:tc>
      </w:tr>
      <w:tr w14:paraId="78459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6DFB3BB">
            <w:pPr>
              <w:spacing w:line="240" w:lineRule="auto"/>
              <w:ind w:firstLine="0" w:firstLineChars="0"/>
              <w:jc w:val="center"/>
              <w:rPr>
                <w:color w:val="auto"/>
                <w:sz w:val="21"/>
                <w:szCs w:val="21"/>
              </w:rPr>
            </w:pPr>
          </w:p>
        </w:tc>
        <w:tc>
          <w:tcPr>
            <w:tcW w:w="880" w:type="pct"/>
            <w:tcBorders>
              <w:tl2br w:val="nil"/>
              <w:tr2bl w:val="nil"/>
            </w:tcBorders>
            <w:vAlign w:val="center"/>
          </w:tcPr>
          <w:p w14:paraId="2EFEF6A9">
            <w:pPr>
              <w:spacing w:line="240" w:lineRule="auto"/>
              <w:ind w:firstLine="0" w:firstLineChars="0"/>
              <w:jc w:val="center"/>
              <w:rPr>
                <w:color w:val="auto"/>
                <w:sz w:val="21"/>
                <w:szCs w:val="21"/>
              </w:rPr>
            </w:pPr>
            <w:r>
              <w:rPr>
                <w:rFonts w:hint="eastAsia"/>
                <w:color w:val="auto"/>
                <w:sz w:val="21"/>
                <w:szCs w:val="21"/>
              </w:rPr>
              <w:t>铝</w:t>
            </w:r>
          </w:p>
        </w:tc>
        <w:tc>
          <w:tcPr>
            <w:tcW w:w="729" w:type="pct"/>
            <w:vMerge w:val="continue"/>
            <w:tcBorders>
              <w:tl2br w:val="nil"/>
              <w:tr2bl w:val="nil"/>
            </w:tcBorders>
            <w:vAlign w:val="center"/>
          </w:tcPr>
          <w:p w14:paraId="06497030">
            <w:pPr>
              <w:spacing w:line="240" w:lineRule="auto"/>
              <w:ind w:firstLine="0" w:firstLineChars="0"/>
              <w:jc w:val="center"/>
              <w:rPr>
                <w:color w:val="auto"/>
                <w:sz w:val="21"/>
                <w:szCs w:val="21"/>
              </w:rPr>
            </w:pPr>
          </w:p>
        </w:tc>
        <w:tc>
          <w:tcPr>
            <w:tcW w:w="707" w:type="pct"/>
            <w:tcBorders>
              <w:tl2br w:val="nil"/>
              <w:tr2bl w:val="nil"/>
            </w:tcBorders>
          </w:tcPr>
          <w:p w14:paraId="4A619D28">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1DD6D875">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.086</w:t>
            </w:r>
          </w:p>
        </w:tc>
        <w:tc>
          <w:tcPr>
            <w:tcW w:w="458" w:type="pct"/>
            <w:tcBorders>
              <w:tl2br w:val="nil"/>
              <w:tr2bl w:val="nil"/>
            </w:tcBorders>
            <w:vAlign w:val="center"/>
          </w:tcPr>
          <w:p w14:paraId="563ABA93">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26146A7A">
            <w:pPr>
              <w:spacing w:line="240" w:lineRule="auto"/>
              <w:ind w:firstLine="0" w:firstLineChars="0"/>
              <w:jc w:val="center"/>
              <w:rPr>
                <w:color w:val="auto"/>
                <w:sz w:val="21"/>
                <w:szCs w:val="21"/>
              </w:rPr>
            </w:pPr>
          </w:p>
        </w:tc>
      </w:tr>
      <w:tr w14:paraId="447EA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200B6959">
            <w:pPr>
              <w:spacing w:line="240" w:lineRule="auto"/>
              <w:ind w:firstLine="0" w:firstLineChars="0"/>
              <w:jc w:val="center"/>
              <w:rPr>
                <w:color w:val="auto"/>
                <w:sz w:val="21"/>
                <w:szCs w:val="21"/>
              </w:rPr>
            </w:pPr>
          </w:p>
        </w:tc>
        <w:tc>
          <w:tcPr>
            <w:tcW w:w="880" w:type="pct"/>
            <w:tcBorders>
              <w:tl2br w:val="nil"/>
              <w:tr2bl w:val="nil"/>
            </w:tcBorders>
            <w:vAlign w:val="center"/>
          </w:tcPr>
          <w:p w14:paraId="70D54416">
            <w:pPr>
              <w:spacing w:line="240" w:lineRule="auto"/>
              <w:ind w:firstLine="0" w:firstLineChars="0"/>
              <w:jc w:val="center"/>
              <w:rPr>
                <w:color w:val="auto"/>
                <w:sz w:val="21"/>
                <w:szCs w:val="21"/>
              </w:rPr>
            </w:pPr>
            <w:r>
              <w:rPr>
                <w:rFonts w:hint="eastAsia"/>
                <w:color w:val="auto"/>
                <w:sz w:val="21"/>
                <w:szCs w:val="21"/>
              </w:rPr>
              <w:t>pH</w:t>
            </w:r>
          </w:p>
        </w:tc>
        <w:tc>
          <w:tcPr>
            <w:tcW w:w="729" w:type="pct"/>
            <w:vMerge w:val="restart"/>
            <w:tcBorders>
              <w:tl2br w:val="nil"/>
              <w:tr2bl w:val="nil"/>
            </w:tcBorders>
            <w:vAlign w:val="center"/>
          </w:tcPr>
          <w:p w14:paraId="40A1E825">
            <w:pPr>
              <w:spacing w:line="240" w:lineRule="auto"/>
              <w:ind w:firstLine="0" w:firstLineChars="0"/>
              <w:jc w:val="center"/>
              <w:rPr>
                <w:color w:val="auto"/>
                <w:sz w:val="21"/>
                <w:szCs w:val="21"/>
              </w:rPr>
            </w:pPr>
            <w:r>
              <w:rPr>
                <w:rFonts w:hint="eastAsia"/>
                <w:color w:val="auto"/>
                <w:sz w:val="21"/>
                <w:szCs w:val="21"/>
              </w:rPr>
              <w:t>清、无色、无味</w:t>
            </w:r>
          </w:p>
        </w:tc>
        <w:tc>
          <w:tcPr>
            <w:tcW w:w="707" w:type="pct"/>
            <w:tcBorders>
              <w:tl2br w:val="nil"/>
              <w:tr2bl w:val="nil"/>
            </w:tcBorders>
          </w:tcPr>
          <w:p w14:paraId="1E539980">
            <w:pPr>
              <w:spacing w:line="240" w:lineRule="auto"/>
              <w:ind w:firstLine="0" w:firstLineChars="0"/>
              <w:jc w:val="center"/>
              <w:rPr>
                <w:color w:val="auto"/>
                <w:sz w:val="21"/>
                <w:szCs w:val="21"/>
              </w:rPr>
            </w:pPr>
            <w:r>
              <w:rPr>
                <w:rFonts w:hint="eastAsia"/>
                <w:color w:val="auto"/>
                <w:sz w:val="21"/>
                <w:szCs w:val="21"/>
              </w:rPr>
              <w:t>无量纲</w:t>
            </w:r>
          </w:p>
        </w:tc>
        <w:tc>
          <w:tcPr>
            <w:tcW w:w="696" w:type="pct"/>
            <w:tcBorders>
              <w:tl2br w:val="nil"/>
              <w:tr2bl w:val="nil"/>
            </w:tcBorders>
            <w:vAlign w:val="center"/>
          </w:tcPr>
          <w:p w14:paraId="083496F9">
            <w:pPr>
              <w:spacing w:line="240" w:lineRule="auto"/>
              <w:ind w:firstLine="0" w:firstLineChars="0"/>
              <w:jc w:val="center"/>
              <w:rPr>
                <w:color w:val="auto"/>
                <w:sz w:val="21"/>
                <w:szCs w:val="21"/>
              </w:rPr>
            </w:pPr>
            <w:r>
              <w:rPr>
                <w:rFonts w:hint="eastAsia"/>
                <w:color w:val="auto"/>
                <w:sz w:val="21"/>
                <w:szCs w:val="21"/>
              </w:rPr>
              <w:t>7</w:t>
            </w:r>
            <w:r>
              <w:rPr>
                <w:color w:val="auto"/>
                <w:sz w:val="21"/>
                <w:szCs w:val="21"/>
              </w:rPr>
              <w:t>.76</w:t>
            </w:r>
          </w:p>
        </w:tc>
        <w:tc>
          <w:tcPr>
            <w:tcW w:w="458" w:type="pct"/>
            <w:tcBorders>
              <w:tl2br w:val="nil"/>
              <w:tr2bl w:val="nil"/>
            </w:tcBorders>
            <w:vAlign w:val="center"/>
          </w:tcPr>
          <w:p w14:paraId="64908F45">
            <w:pPr>
              <w:spacing w:line="240" w:lineRule="auto"/>
              <w:ind w:firstLine="0" w:firstLineChars="0"/>
              <w:jc w:val="center"/>
              <w:rPr>
                <w:color w:val="auto"/>
                <w:sz w:val="21"/>
                <w:szCs w:val="21"/>
              </w:rPr>
            </w:pPr>
            <w:r>
              <w:rPr>
                <w:rFonts w:hint="eastAsia"/>
                <w:color w:val="auto"/>
                <w:sz w:val="21"/>
                <w:szCs w:val="21"/>
              </w:rPr>
              <w:t>是</w:t>
            </w:r>
          </w:p>
        </w:tc>
        <w:tc>
          <w:tcPr>
            <w:tcW w:w="836" w:type="pct"/>
            <w:vMerge w:val="restart"/>
            <w:tcBorders>
              <w:tl2br w:val="nil"/>
              <w:tr2bl w:val="nil"/>
            </w:tcBorders>
            <w:vAlign w:val="center"/>
          </w:tcPr>
          <w:p w14:paraId="18D5287B">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021</w:t>
            </w:r>
            <w:r>
              <w:rPr>
                <w:rFonts w:hint="eastAsia"/>
                <w:color w:val="auto"/>
                <w:sz w:val="21"/>
                <w:szCs w:val="21"/>
              </w:rPr>
              <w:t>年2月</w:t>
            </w:r>
            <w:r>
              <w:rPr>
                <w:color w:val="auto"/>
                <w:sz w:val="21"/>
                <w:szCs w:val="21"/>
              </w:rPr>
              <w:t>20</w:t>
            </w:r>
            <w:r>
              <w:rPr>
                <w:rFonts w:hint="eastAsia"/>
                <w:color w:val="auto"/>
                <w:sz w:val="21"/>
                <w:szCs w:val="21"/>
              </w:rPr>
              <w:t>日</w:t>
            </w:r>
          </w:p>
        </w:tc>
      </w:tr>
      <w:tr w14:paraId="796D1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498F415C">
            <w:pPr>
              <w:spacing w:line="240" w:lineRule="auto"/>
              <w:ind w:firstLine="0" w:firstLineChars="0"/>
              <w:jc w:val="center"/>
              <w:rPr>
                <w:color w:val="auto"/>
                <w:sz w:val="21"/>
                <w:szCs w:val="21"/>
              </w:rPr>
            </w:pPr>
          </w:p>
        </w:tc>
        <w:tc>
          <w:tcPr>
            <w:tcW w:w="880" w:type="pct"/>
            <w:tcBorders>
              <w:tl2br w:val="nil"/>
              <w:tr2bl w:val="nil"/>
            </w:tcBorders>
            <w:vAlign w:val="center"/>
          </w:tcPr>
          <w:p w14:paraId="17CB4B81">
            <w:pPr>
              <w:spacing w:line="240" w:lineRule="auto"/>
              <w:ind w:firstLine="0" w:firstLineChars="0"/>
              <w:jc w:val="center"/>
              <w:rPr>
                <w:color w:val="auto"/>
                <w:sz w:val="21"/>
                <w:szCs w:val="21"/>
              </w:rPr>
            </w:pPr>
            <w:r>
              <w:rPr>
                <w:rFonts w:hint="eastAsia"/>
                <w:color w:val="auto"/>
                <w:sz w:val="21"/>
                <w:szCs w:val="21"/>
              </w:rPr>
              <w:t>化学需氧量</w:t>
            </w:r>
          </w:p>
        </w:tc>
        <w:tc>
          <w:tcPr>
            <w:tcW w:w="729" w:type="pct"/>
            <w:vMerge w:val="continue"/>
            <w:tcBorders>
              <w:tl2br w:val="nil"/>
              <w:tr2bl w:val="nil"/>
            </w:tcBorders>
            <w:vAlign w:val="center"/>
          </w:tcPr>
          <w:p w14:paraId="6D1C489C">
            <w:pPr>
              <w:spacing w:line="240" w:lineRule="auto"/>
              <w:ind w:firstLine="0" w:firstLineChars="0"/>
              <w:jc w:val="center"/>
              <w:rPr>
                <w:color w:val="auto"/>
                <w:sz w:val="21"/>
                <w:szCs w:val="21"/>
              </w:rPr>
            </w:pPr>
          </w:p>
        </w:tc>
        <w:tc>
          <w:tcPr>
            <w:tcW w:w="707" w:type="pct"/>
            <w:tcBorders>
              <w:tl2br w:val="nil"/>
              <w:tr2bl w:val="nil"/>
            </w:tcBorders>
          </w:tcPr>
          <w:p w14:paraId="711A8413">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2149D367">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96</w:t>
            </w:r>
          </w:p>
        </w:tc>
        <w:tc>
          <w:tcPr>
            <w:tcW w:w="458" w:type="pct"/>
            <w:tcBorders>
              <w:tl2br w:val="nil"/>
              <w:tr2bl w:val="nil"/>
            </w:tcBorders>
            <w:vAlign w:val="center"/>
          </w:tcPr>
          <w:p w14:paraId="283FCBB2">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327624C3">
            <w:pPr>
              <w:spacing w:line="240" w:lineRule="auto"/>
              <w:ind w:firstLine="0" w:firstLineChars="0"/>
              <w:jc w:val="center"/>
              <w:rPr>
                <w:color w:val="auto"/>
                <w:sz w:val="21"/>
                <w:szCs w:val="21"/>
              </w:rPr>
            </w:pPr>
          </w:p>
        </w:tc>
      </w:tr>
      <w:tr w14:paraId="387E5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80D99F0">
            <w:pPr>
              <w:spacing w:line="240" w:lineRule="auto"/>
              <w:ind w:firstLine="0" w:firstLineChars="0"/>
              <w:jc w:val="center"/>
              <w:rPr>
                <w:color w:val="auto"/>
                <w:sz w:val="21"/>
                <w:szCs w:val="21"/>
              </w:rPr>
            </w:pPr>
          </w:p>
        </w:tc>
        <w:tc>
          <w:tcPr>
            <w:tcW w:w="880" w:type="pct"/>
            <w:tcBorders>
              <w:tl2br w:val="nil"/>
              <w:tr2bl w:val="nil"/>
            </w:tcBorders>
            <w:vAlign w:val="center"/>
          </w:tcPr>
          <w:p w14:paraId="6CD77682">
            <w:pPr>
              <w:spacing w:line="240" w:lineRule="auto"/>
              <w:ind w:firstLine="0" w:firstLineChars="0"/>
              <w:jc w:val="center"/>
              <w:rPr>
                <w:color w:val="auto"/>
                <w:sz w:val="21"/>
                <w:szCs w:val="21"/>
              </w:rPr>
            </w:pPr>
            <w:r>
              <w:rPr>
                <w:rFonts w:hint="eastAsia"/>
                <w:color w:val="auto"/>
                <w:sz w:val="21"/>
                <w:szCs w:val="21"/>
              </w:rPr>
              <w:t>悬浮物</w:t>
            </w:r>
          </w:p>
        </w:tc>
        <w:tc>
          <w:tcPr>
            <w:tcW w:w="729" w:type="pct"/>
            <w:vMerge w:val="continue"/>
            <w:tcBorders>
              <w:tl2br w:val="nil"/>
              <w:tr2bl w:val="nil"/>
            </w:tcBorders>
            <w:vAlign w:val="center"/>
          </w:tcPr>
          <w:p w14:paraId="20EA4FC4">
            <w:pPr>
              <w:spacing w:line="240" w:lineRule="auto"/>
              <w:ind w:firstLine="0" w:firstLineChars="0"/>
              <w:jc w:val="center"/>
              <w:rPr>
                <w:color w:val="auto"/>
                <w:sz w:val="21"/>
                <w:szCs w:val="21"/>
              </w:rPr>
            </w:pPr>
          </w:p>
        </w:tc>
        <w:tc>
          <w:tcPr>
            <w:tcW w:w="707" w:type="pct"/>
            <w:tcBorders>
              <w:tl2br w:val="nil"/>
              <w:tr2bl w:val="nil"/>
            </w:tcBorders>
          </w:tcPr>
          <w:p w14:paraId="5802D377">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7F775E15">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9</w:t>
            </w:r>
          </w:p>
        </w:tc>
        <w:tc>
          <w:tcPr>
            <w:tcW w:w="458" w:type="pct"/>
            <w:tcBorders>
              <w:tl2br w:val="nil"/>
              <w:tr2bl w:val="nil"/>
            </w:tcBorders>
            <w:vAlign w:val="center"/>
          </w:tcPr>
          <w:p w14:paraId="21615460">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2DEEAD62">
            <w:pPr>
              <w:spacing w:line="240" w:lineRule="auto"/>
              <w:ind w:firstLine="0" w:firstLineChars="0"/>
              <w:jc w:val="center"/>
              <w:rPr>
                <w:color w:val="auto"/>
                <w:sz w:val="21"/>
                <w:szCs w:val="21"/>
              </w:rPr>
            </w:pPr>
          </w:p>
        </w:tc>
      </w:tr>
      <w:tr w14:paraId="4AB80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3233FC4">
            <w:pPr>
              <w:spacing w:line="240" w:lineRule="auto"/>
              <w:ind w:firstLine="0" w:firstLineChars="0"/>
              <w:jc w:val="center"/>
              <w:rPr>
                <w:color w:val="auto"/>
                <w:sz w:val="21"/>
                <w:szCs w:val="21"/>
              </w:rPr>
            </w:pPr>
          </w:p>
        </w:tc>
        <w:tc>
          <w:tcPr>
            <w:tcW w:w="880" w:type="pct"/>
            <w:tcBorders>
              <w:tl2br w:val="nil"/>
              <w:tr2bl w:val="nil"/>
            </w:tcBorders>
            <w:vAlign w:val="center"/>
          </w:tcPr>
          <w:p w14:paraId="5A5222DC">
            <w:pPr>
              <w:spacing w:line="240" w:lineRule="auto"/>
              <w:ind w:firstLine="0" w:firstLineChars="0"/>
              <w:jc w:val="center"/>
              <w:rPr>
                <w:color w:val="auto"/>
                <w:sz w:val="21"/>
                <w:szCs w:val="21"/>
              </w:rPr>
            </w:pPr>
            <w:r>
              <w:rPr>
                <w:rFonts w:hint="eastAsia"/>
                <w:color w:val="auto"/>
                <w:sz w:val="21"/>
                <w:szCs w:val="21"/>
              </w:rPr>
              <w:t>氨氮</w:t>
            </w:r>
          </w:p>
        </w:tc>
        <w:tc>
          <w:tcPr>
            <w:tcW w:w="729" w:type="pct"/>
            <w:vMerge w:val="continue"/>
            <w:tcBorders>
              <w:tl2br w:val="nil"/>
              <w:tr2bl w:val="nil"/>
            </w:tcBorders>
            <w:vAlign w:val="center"/>
          </w:tcPr>
          <w:p w14:paraId="1C1037E7">
            <w:pPr>
              <w:spacing w:line="240" w:lineRule="auto"/>
              <w:ind w:firstLine="0" w:firstLineChars="0"/>
              <w:jc w:val="center"/>
              <w:rPr>
                <w:color w:val="auto"/>
                <w:sz w:val="21"/>
                <w:szCs w:val="21"/>
              </w:rPr>
            </w:pPr>
          </w:p>
        </w:tc>
        <w:tc>
          <w:tcPr>
            <w:tcW w:w="707" w:type="pct"/>
            <w:tcBorders>
              <w:tl2br w:val="nil"/>
              <w:tr2bl w:val="nil"/>
            </w:tcBorders>
          </w:tcPr>
          <w:p w14:paraId="353D5490">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0CE1E245">
            <w:pPr>
              <w:spacing w:line="240" w:lineRule="auto"/>
              <w:ind w:firstLine="0" w:firstLineChars="0"/>
              <w:jc w:val="center"/>
              <w:rPr>
                <w:color w:val="auto"/>
                <w:sz w:val="21"/>
                <w:szCs w:val="21"/>
              </w:rPr>
            </w:pPr>
            <w:r>
              <w:rPr>
                <w:rFonts w:hint="eastAsia"/>
                <w:color w:val="auto"/>
                <w:sz w:val="21"/>
                <w:szCs w:val="21"/>
              </w:rPr>
              <w:t>8</w:t>
            </w:r>
            <w:r>
              <w:rPr>
                <w:color w:val="auto"/>
                <w:sz w:val="21"/>
                <w:szCs w:val="21"/>
              </w:rPr>
              <w:t>.86</w:t>
            </w:r>
          </w:p>
        </w:tc>
        <w:tc>
          <w:tcPr>
            <w:tcW w:w="458" w:type="pct"/>
            <w:tcBorders>
              <w:tl2br w:val="nil"/>
              <w:tr2bl w:val="nil"/>
            </w:tcBorders>
            <w:vAlign w:val="center"/>
          </w:tcPr>
          <w:p w14:paraId="50B22F42">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5ECBC7AC">
            <w:pPr>
              <w:spacing w:line="240" w:lineRule="auto"/>
              <w:ind w:firstLine="0" w:firstLineChars="0"/>
              <w:jc w:val="center"/>
              <w:rPr>
                <w:color w:val="auto"/>
                <w:sz w:val="21"/>
                <w:szCs w:val="21"/>
              </w:rPr>
            </w:pPr>
          </w:p>
        </w:tc>
      </w:tr>
      <w:tr w14:paraId="039AF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10665750">
            <w:pPr>
              <w:spacing w:line="240" w:lineRule="auto"/>
              <w:ind w:firstLine="0" w:firstLineChars="0"/>
              <w:jc w:val="center"/>
              <w:rPr>
                <w:color w:val="auto"/>
                <w:sz w:val="21"/>
                <w:szCs w:val="21"/>
              </w:rPr>
            </w:pPr>
          </w:p>
        </w:tc>
        <w:tc>
          <w:tcPr>
            <w:tcW w:w="880" w:type="pct"/>
            <w:tcBorders>
              <w:tl2br w:val="nil"/>
              <w:tr2bl w:val="nil"/>
            </w:tcBorders>
            <w:vAlign w:val="center"/>
          </w:tcPr>
          <w:p w14:paraId="41305EF2">
            <w:pPr>
              <w:spacing w:line="240" w:lineRule="auto"/>
              <w:ind w:firstLine="0" w:firstLineChars="0"/>
              <w:jc w:val="center"/>
              <w:rPr>
                <w:color w:val="auto"/>
                <w:sz w:val="21"/>
                <w:szCs w:val="21"/>
              </w:rPr>
            </w:pPr>
            <w:r>
              <w:rPr>
                <w:rFonts w:hint="eastAsia"/>
                <w:color w:val="auto"/>
                <w:sz w:val="21"/>
                <w:szCs w:val="21"/>
              </w:rPr>
              <w:t>总磷</w:t>
            </w:r>
          </w:p>
        </w:tc>
        <w:tc>
          <w:tcPr>
            <w:tcW w:w="729" w:type="pct"/>
            <w:vMerge w:val="continue"/>
            <w:tcBorders>
              <w:tl2br w:val="nil"/>
              <w:tr2bl w:val="nil"/>
            </w:tcBorders>
            <w:vAlign w:val="center"/>
          </w:tcPr>
          <w:p w14:paraId="77B73D4E">
            <w:pPr>
              <w:spacing w:line="240" w:lineRule="auto"/>
              <w:ind w:firstLine="0" w:firstLineChars="0"/>
              <w:jc w:val="center"/>
              <w:rPr>
                <w:color w:val="auto"/>
                <w:sz w:val="21"/>
                <w:szCs w:val="21"/>
              </w:rPr>
            </w:pPr>
          </w:p>
        </w:tc>
        <w:tc>
          <w:tcPr>
            <w:tcW w:w="707" w:type="pct"/>
            <w:tcBorders>
              <w:tl2br w:val="nil"/>
              <w:tr2bl w:val="nil"/>
            </w:tcBorders>
          </w:tcPr>
          <w:p w14:paraId="4BB7DFE8">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6815A9CF">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.02</w:t>
            </w:r>
          </w:p>
        </w:tc>
        <w:tc>
          <w:tcPr>
            <w:tcW w:w="458" w:type="pct"/>
            <w:tcBorders>
              <w:tl2br w:val="nil"/>
              <w:tr2bl w:val="nil"/>
            </w:tcBorders>
            <w:vAlign w:val="center"/>
          </w:tcPr>
          <w:p w14:paraId="222064EF">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4FCCEC88">
            <w:pPr>
              <w:spacing w:line="240" w:lineRule="auto"/>
              <w:ind w:firstLine="0" w:firstLineChars="0"/>
              <w:jc w:val="center"/>
              <w:rPr>
                <w:color w:val="auto"/>
                <w:sz w:val="21"/>
                <w:szCs w:val="21"/>
              </w:rPr>
            </w:pPr>
          </w:p>
        </w:tc>
      </w:tr>
      <w:tr w14:paraId="41781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A11E8CF">
            <w:pPr>
              <w:spacing w:line="240" w:lineRule="auto"/>
              <w:ind w:firstLine="0" w:firstLineChars="0"/>
              <w:jc w:val="center"/>
              <w:rPr>
                <w:color w:val="auto"/>
                <w:sz w:val="21"/>
                <w:szCs w:val="21"/>
              </w:rPr>
            </w:pPr>
          </w:p>
        </w:tc>
        <w:tc>
          <w:tcPr>
            <w:tcW w:w="880" w:type="pct"/>
            <w:tcBorders>
              <w:tl2br w:val="nil"/>
              <w:tr2bl w:val="nil"/>
            </w:tcBorders>
            <w:vAlign w:val="center"/>
          </w:tcPr>
          <w:p w14:paraId="4C1D33DA">
            <w:pPr>
              <w:spacing w:line="240" w:lineRule="auto"/>
              <w:ind w:firstLine="0" w:firstLineChars="0"/>
              <w:jc w:val="center"/>
              <w:rPr>
                <w:color w:val="auto"/>
                <w:sz w:val="21"/>
                <w:szCs w:val="21"/>
              </w:rPr>
            </w:pPr>
            <w:r>
              <w:rPr>
                <w:rFonts w:hint="eastAsia"/>
                <w:color w:val="auto"/>
                <w:sz w:val="21"/>
                <w:szCs w:val="21"/>
              </w:rPr>
              <w:t>石油类</w:t>
            </w:r>
          </w:p>
        </w:tc>
        <w:tc>
          <w:tcPr>
            <w:tcW w:w="729" w:type="pct"/>
            <w:vMerge w:val="continue"/>
            <w:tcBorders>
              <w:tl2br w:val="nil"/>
              <w:tr2bl w:val="nil"/>
            </w:tcBorders>
            <w:vAlign w:val="center"/>
          </w:tcPr>
          <w:p w14:paraId="175B0631">
            <w:pPr>
              <w:spacing w:line="240" w:lineRule="auto"/>
              <w:ind w:firstLine="0" w:firstLineChars="0"/>
              <w:jc w:val="center"/>
              <w:rPr>
                <w:color w:val="auto"/>
                <w:sz w:val="21"/>
                <w:szCs w:val="21"/>
              </w:rPr>
            </w:pPr>
          </w:p>
        </w:tc>
        <w:tc>
          <w:tcPr>
            <w:tcW w:w="707" w:type="pct"/>
            <w:tcBorders>
              <w:tl2br w:val="nil"/>
              <w:tr2bl w:val="nil"/>
            </w:tcBorders>
          </w:tcPr>
          <w:p w14:paraId="1A095108">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72766177">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.0</w:t>
            </w:r>
          </w:p>
        </w:tc>
        <w:tc>
          <w:tcPr>
            <w:tcW w:w="458" w:type="pct"/>
            <w:tcBorders>
              <w:tl2br w:val="nil"/>
              <w:tr2bl w:val="nil"/>
            </w:tcBorders>
            <w:vAlign w:val="center"/>
          </w:tcPr>
          <w:p w14:paraId="42860FF6">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2C1F226A">
            <w:pPr>
              <w:spacing w:line="240" w:lineRule="auto"/>
              <w:ind w:firstLine="0" w:firstLineChars="0"/>
              <w:jc w:val="center"/>
              <w:rPr>
                <w:color w:val="auto"/>
                <w:sz w:val="21"/>
                <w:szCs w:val="21"/>
              </w:rPr>
            </w:pPr>
          </w:p>
        </w:tc>
      </w:tr>
      <w:tr w14:paraId="74C50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3665CCDC">
            <w:pPr>
              <w:spacing w:line="240" w:lineRule="auto"/>
              <w:ind w:firstLine="0" w:firstLineChars="0"/>
              <w:jc w:val="center"/>
              <w:rPr>
                <w:color w:val="auto"/>
                <w:sz w:val="21"/>
                <w:szCs w:val="21"/>
              </w:rPr>
            </w:pPr>
          </w:p>
        </w:tc>
        <w:tc>
          <w:tcPr>
            <w:tcW w:w="880" w:type="pct"/>
            <w:tcBorders>
              <w:tl2br w:val="nil"/>
              <w:tr2bl w:val="nil"/>
            </w:tcBorders>
            <w:vAlign w:val="center"/>
          </w:tcPr>
          <w:p w14:paraId="7A70E18B">
            <w:pPr>
              <w:spacing w:line="240" w:lineRule="auto"/>
              <w:ind w:firstLine="0" w:firstLineChars="0"/>
              <w:jc w:val="center"/>
              <w:rPr>
                <w:color w:val="auto"/>
                <w:sz w:val="21"/>
                <w:szCs w:val="21"/>
              </w:rPr>
            </w:pPr>
            <w:r>
              <w:rPr>
                <w:rFonts w:hint="eastAsia"/>
                <w:color w:val="auto"/>
                <w:sz w:val="21"/>
                <w:szCs w:val="21"/>
              </w:rPr>
              <w:t>铝</w:t>
            </w:r>
          </w:p>
        </w:tc>
        <w:tc>
          <w:tcPr>
            <w:tcW w:w="729" w:type="pct"/>
            <w:vMerge w:val="continue"/>
            <w:tcBorders>
              <w:tl2br w:val="nil"/>
              <w:tr2bl w:val="nil"/>
            </w:tcBorders>
            <w:vAlign w:val="center"/>
          </w:tcPr>
          <w:p w14:paraId="57899897">
            <w:pPr>
              <w:spacing w:line="240" w:lineRule="auto"/>
              <w:ind w:firstLine="0" w:firstLineChars="0"/>
              <w:jc w:val="center"/>
              <w:rPr>
                <w:color w:val="auto"/>
                <w:sz w:val="21"/>
                <w:szCs w:val="21"/>
              </w:rPr>
            </w:pPr>
          </w:p>
        </w:tc>
        <w:tc>
          <w:tcPr>
            <w:tcW w:w="707" w:type="pct"/>
            <w:tcBorders>
              <w:tl2br w:val="nil"/>
              <w:tr2bl w:val="nil"/>
            </w:tcBorders>
          </w:tcPr>
          <w:p w14:paraId="54AFC5E0">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7647073A">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.035</w:t>
            </w:r>
          </w:p>
        </w:tc>
        <w:tc>
          <w:tcPr>
            <w:tcW w:w="458" w:type="pct"/>
            <w:tcBorders>
              <w:tl2br w:val="nil"/>
              <w:tr2bl w:val="nil"/>
            </w:tcBorders>
            <w:vAlign w:val="center"/>
          </w:tcPr>
          <w:p w14:paraId="1DED28A5">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2E3CFD10">
            <w:pPr>
              <w:spacing w:line="240" w:lineRule="auto"/>
              <w:ind w:firstLine="0" w:firstLineChars="0"/>
              <w:jc w:val="center"/>
              <w:rPr>
                <w:color w:val="auto"/>
                <w:sz w:val="21"/>
                <w:szCs w:val="21"/>
              </w:rPr>
            </w:pPr>
          </w:p>
        </w:tc>
      </w:tr>
      <w:tr w14:paraId="37A8E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46C46DBC">
            <w:pPr>
              <w:spacing w:line="240" w:lineRule="auto"/>
              <w:ind w:firstLine="0" w:firstLineChars="0"/>
              <w:jc w:val="center"/>
              <w:rPr>
                <w:color w:val="auto"/>
                <w:sz w:val="21"/>
                <w:szCs w:val="21"/>
              </w:rPr>
            </w:pPr>
          </w:p>
        </w:tc>
        <w:tc>
          <w:tcPr>
            <w:tcW w:w="880" w:type="pct"/>
            <w:tcBorders>
              <w:tl2br w:val="nil"/>
              <w:tr2bl w:val="nil"/>
            </w:tcBorders>
            <w:vAlign w:val="center"/>
          </w:tcPr>
          <w:p w14:paraId="78B29372">
            <w:pPr>
              <w:spacing w:line="240" w:lineRule="auto"/>
              <w:ind w:firstLine="0" w:firstLineChars="0"/>
              <w:jc w:val="center"/>
              <w:rPr>
                <w:color w:val="auto"/>
                <w:sz w:val="21"/>
                <w:szCs w:val="21"/>
              </w:rPr>
            </w:pPr>
            <w:r>
              <w:rPr>
                <w:rFonts w:hint="eastAsia"/>
                <w:color w:val="auto"/>
                <w:sz w:val="21"/>
                <w:szCs w:val="21"/>
              </w:rPr>
              <w:t>pH</w:t>
            </w:r>
          </w:p>
        </w:tc>
        <w:tc>
          <w:tcPr>
            <w:tcW w:w="729" w:type="pct"/>
            <w:vMerge w:val="restart"/>
            <w:tcBorders>
              <w:tl2br w:val="nil"/>
              <w:tr2bl w:val="nil"/>
            </w:tcBorders>
            <w:vAlign w:val="center"/>
          </w:tcPr>
          <w:p w14:paraId="75CF678F">
            <w:pPr>
              <w:spacing w:line="240" w:lineRule="auto"/>
              <w:ind w:firstLine="0" w:firstLineChars="0"/>
              <w:jc w:val="center"/>
              <w:rPr>
                <w:color w:val="auto"/>
                <w:sz w:val="21"/>
                <w:szCs w:val="21"/>
              </w:rPr>
            </w:pPr>
            <w:r>
              <w:rPr>
                <w:rFonts w:hint="eastAsia"/>
                <w:color w:val="auto"/>
                <w:sz w:val="21"/>
                <w:szCs w:val="21"/>
              </w:rPr>
              <w:t>微黄、微浑、无臭</w:t>
            </w:r>
          </w:p>
        </w:tc>
        <w:tc>
          <w:tcPr>
            <w:tcW w:w="707" w:type="pct"/>
            <w:tcBorders>
              <w:tl2br w:val="nil"/>
              <w:tr2bl w:val="nil"/>
            </w:tcBorders>
          </w:tcPr>
          <w:p w14:paraId="30C4CF90">
            <w:pPr>
              <w:spacing w:line="240" w:lineRule="auto"/>
              <w:ind w:firstLine="0" w:firstLineChars="0"/>
              <w:jc w:val="center"/>
              <w:rPr>
                <w:color w:val="auto"/>
                <w:sz w:val="21"/>
                <w:szCs w:val="21"/>
              </w:rPr>
            </w:pPr>
            <w:r>
              <w:rPr>
                <w:rFonts w:hint="eastAsia"/>
                <w:color w:val="auto"/>
                <w:sz w:val="21"/>
                <w:szCs w:val="21"/>
              </w:rPr>
              <w:t>无量纲</w:t>
            </w:r>
          </w:p>
        </w:tc>
        <w:tc>
          <w:tcPr>
            <w:tcW w:w="696" w:type="pct"/>
            <w:tcBorders>
              <w:tl2br w:val="nil"/>
              <w:tr2bl w:val="nil"/>
            </w:tcBorders>
            <w:vAlign w:val="center"/>
          </w:tcPr>
          <w:p w14:paraId="095B8F79">
            <w:pPr>
              <w:spacing w:line="240" w:lineRule="auto"/>
              <w:ind w:firstLine="0" w:firstLineChars="0"/>
              <w:jc w:val="center"/>
              <w:rPr>
                <w:color w:val="auto"/>
                <w:sz w:val="21"/>
                <w:szCs w:val="21"/>
              </w:rPr>
            </w:pPr>
            <w:r>
              <w:rPr>
                <w:color w:val="auto"/>
                <w:sz w:val="21"/>
                <w:szCs w:val="21"/>
              </w:rPr>
              <w:t>7.43</w:t>
            </w:r>
          </w:p>
        </w:tc>
        <w:tc>
          <w:tcPr>
            <w:tcW w:w="458" w:type="pct"/>
            <w:tcBorders>
              <w:tl2br w:val="nil"/>
              <w:tr2bl w:val="nil"/>
            </w:tcBorders>
            <w:vAlign w:val="center"/>
          </w:tcPr>
          <w:p w14:paraId="189BC55D">
            <w:pPr>
              <w:spacing w:line="240" w:lineRule="auto"/>
              <w:ind w:firstLine="0" w:firstLineChars="0"/>
              <w:jc w:val="center"/>
              <w:rPr>
                <w:color w:val="auto"/>
                <w:sz w:val="21"/>
                <w:szCs w:val="21"/>
              </w:rPr>
            </w:pPr>
            <w:r>
              <w:rPr>
                <w:rFonts w:hint="eastAsia"/>
                <w:color w:val="auto"/>
                <w:sz w:val="21"/>
                <w:szCs w:val="21"/>
              </w:rPr>
              <w:t>是</w:t>
            </w:r>
          </w:p>
        </w:tc>
        <w:tc>
          <w:tcPr>
            <w:tcW w:w="836" w:type="pct"/>
            <w:vMerge w:val="restart"/>
            <w:tcBorders>
              <w:tl2br w:val="nil"/>
              <w:tr2bl w:val="nil"/>
            </w:tcBorders>
            <w:vAlign w:val="center"/>
          </w:tcPr>
          <w:p w14:paraId="2AEF414D">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021</w:t>
            </w:r>
            <w:r>
              <w:rPr>
                <w:rFonts w:hint="eastAsia"/>
                <w:color w:val="auto"/>
                <w:sz w:val="21"/>
                <w:szCs w:val="21"/>
              </w:rPr>
              <w:t>年3月1</w:t>
            </w:r>
            <w:r>
              <w:rPr>
                <w:color w:val="auto"/>
                <w:sz w:val="21"/>
                <w:szCs w:val="21"/>
              </w:rPr>
              <w:t>2</w:t>
            </w:r>
            <w:r>
              <w:rPr>
                <w:rFonts w:hint="eastAsia"/>
                <w:color w:val="auto"/>
                <w:sz w:val="21"/>
                <w:szCs w:val="21"/>
              </w:rPr>
              <w:t>日</w:t>
            </w:r>
          </w:p>
        </w:tc>
      </w:tr>
      <w:tr w14:paraId="5BFCC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6130574">
            <w:pPr>
              <w:spacing w:line="240" w:lineRule="auto"/>
              <w:ind w:firstLine="0" w:firstLineChars="0"/>
              <w:jc w:val="center"/>
              <w:rPr>
                <w:color w:val="auto"/>
                <w:sz w:val="21"/>
                <w:szCs w:val="21"/>
              </w:rPr>
            </w:pPr>
          </w:p>
        </w:tc>
        <w:tc>
          <w:tcPr>
            <w:tcW w:w="880" w:type="pct"/>
            <w:tcBorders>
              <w:tl2br w:val="nil"/>
              <w:tr2bl w:val="nil"/>
            </w:tcBorders>
            <w:vAlign w:val="center"/>
          </w:tcPr>
          <w:p w14:paraId="02C51C32">
            <w:pPr>
              <w:spacing w:line="240" w:lineRule="auto"/>
              <w:ind w:firstLine="0" w:firstLineChars="0"/>
              <w:jc w:val="center"/>
              <w:rPr>
                <w:color w:val="auto"/>
                <w:sz w:val="21"/>
                <w:szCs w:val="21"/>
              </w:rPr>
            </w:pPr>
            <w:r>
              <w:rPr>
                <w:rFonts w:hint="eastAsia"/>
                <w:color w:val="auto"/>
                <w:sz w:val="21"/>
                <w:szCs w:val="21"/>
              </w:rPr>
              <w:t>化学需氧量</w:t>
            </w:r>
          </w:p>
        </w:tc>
        <w:tc>
          <w:tcPr>
            <w:tcW w:w="729" w:type="pct"/>
            <w:vMerge w:val="continue"/>
            <w:tcBorders>
              <w:tl2br w:val="nil"/>
              <w:tr2bl w:val="nil"/>
            </w:tcBorders>
            <w:vAlign w:val="center"/>
          </w:tcPr>
          <w:p w14:paraId="5ED7509A">
            <w:pPr>
              <w:spacing w:line="240" w:lineRule="auto"/>
              <w:ind w:firstLine="0" w:firstLineChars="0"/>
              <w:jc w:val="center"/>
              <w:rPr>
                <w:color w:val="auto"/>
                <w:sz w:val="21"/>
                <w:szCs w:val="21"/>
              </w:rPr>
            </w:pPr>
          </w:p>
        </w:tc>
        <w:tc>
          <w:tcPr>
            <w:tcW w:w="707" w:type="pct"/>
            <w:tcBorders>
              <w:tl2br w:val="nil"/>
              <w:tr2bl w:val="nil"/>
            </w:tcBorders>
          </w:tcPr>
          <w:p w14:paraId="053C04C2">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6A8F44AA">
            <w:pPr>
              <w:spacing w:line="240" w:lineRule="auto"/>
              <w:ind w:firstLine="0" w:firstLineChars="0"/>
              <w:jc w:val="center"/>
              <w:rPr>
                <w:color w:val="auto"/>
                <w:sz w:val="21"/>
                <w:szCs w:val="21"/>
              </w:rPr>
            </w:pPr>
            <w:r>
              <w:rPr>
                <w:rFonts w:hint="eastAsia"/>
                <w:color w:val="auto"/>
                <w:sz w:val="21"/>
                <w:szCs w:val="21"/>
              </w:rPr>
              <w:t>5</w:t>
            </w:r>
            <w:r>
              <w:rPr>
                <w:color w:val="auto"/>
                <w:sz w:val="21"/>
                <w:szCs w:val="21"/>
              </w:rPr>
              <w:t>9</w:t>
            </w:r>
          </w:p>
        </w:tc>
        <w:tc>
          <w:tcPr>
            <w:tcW w:w="458" w:type="pct"/>
            <w:tcBorders>
              <w:tl2br w:val="nil"/>
              <w:tr2bl w:val="nil"/>
            </w:tcBorders>
            <w:vAlign w:val="center"/>
          </w:tcPr>
          <w:p w14:paraId="154A24D2">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587357D1">
            <w:pPr>
              <w:spacing w:line="240" w:lineRule="auto"/>
              <w:ind w:firstLine="0" w:firstLineChars="0"/>
              <w:jc w:val="center"/>
              <w:rPr>
                <w:color w:val="auto"/>
                <w:sz w:val="21"/>
                <w:szCs w:val="21"/>
              </w:rPr>
            </w:pPr>
          </w:p>
        </w:tc>
      </w:tr>
      <w:tr w14:paraId="77483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0BEC18AC">
            <w:pPr>
              <w:spacing w:line="240" w:lineRule="auto"/>
              <w:ind w:firstLine="0" w:firstLineChars="0"/>
              <w:jc w:val="center"/>
              <w:rPr>
                <w:color w:val="auto"/>
                <w:sz w:val="21"/>
                <w:szCs w:val="21"/>
              </w:rPr>
            </w:pPr>
          </w:p>
        </w:tc>
        <w:tc>
          <w:tcPr>
            <w:tcW w:w="880" w:type="pct"/>
            <w:tcBorders>
              <w:tl2br w:val="nil"/>
              <w:tr2bl w:val="nil"/>
            </w:tcBorders>
            <w:vAlign w:val="center"/>
          </w:tcPr>
          <w:p w14:paraId="7B7B2B83">
            <w:pPr>
              <w:spacing w:line="240" w:lineRule="auto"/>
              <w:ind w:firstLine="0" w:firstLineChars="0"/>
              <w:jc w:val="center"/>
              <w:rPr>
                <w:color w:val="auto"/>
                <w:sz w:val="21"/>
                <w:szCs w:val="21"/>
              </w:rPr>
            </w:pPr>
            <w:r>
              <w:rPr>
                <w:rFonts w:hint="eastAsia"/>
                <w:color w:val="auto"/>
                <w:sz w:val="21"/>
                <w:szCs w:val="21"/>
              </w:rPr>
              <w:t>悬浮物</w:t>
            </w:r>
          </w:p>
        </w:tc>
        <w:tc>
          <w:tcPr>
            <w:tcW w:w="729" w:type="pct"/>
            <w:vMerge w:val="continue"/>
            <w:tcBorders>
              <w:tl2br w:val="nil"/>
              <w:tr2bl w:val="nil"/>
            </w:tcBorders>
            <w:vAlign w:val="center"/>
          </w:tcPr>
          <w:p w14:paraId="3F414729">
            <w:pPr>
              <w:spacing w:line="240" w:lineRule="auto"/>
              <w:ind w:firstLine="0" w:firstLineChars="0"/>
              <w:jc w:val="center"/>
              <w:rPr>
                <w:color w:val="auto"/>
                <w:sz w:val="21"/>
                <w:szCs w:val="21"/>
              </w:rPr>
            </w:pPr>
          </w:p>
        </w:tc>
        <w:tc>
          <w:tcPr>
            <w:tcW w:w="707" w:type="pct"/>
            <w:tcBorders>
              <w:tl2br w:val="nil"/>
              <w:tr2bl w:val="nil"/>
            </w:tcBorders>
          </w:tcPr>
          <w:p w14:paraId="4653D26D">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18BC73F8">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7</w:t>
            </w:r>
          </w:p>
        </w:tc>
        <w:tc>
          <w:tcPr>
            <w:tcW w:w="458" w:type="pct"/>
            <w:tcBorders>
              <w:tl2br w:val="nil"/>
              <w:tr2bl w:val="nil"/>
            </w:tcBorders>
            <w:vAlign w:val="center"/>
          </w:tcPr>
          <w:p w14:paraId="10B9B8CE">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3FF363CB">
            <w:pPr>
              <w:spacing w:line="240" w:lineRule="auto"/>
              <w:ind w:firstLine="0" w:firstLineChars="0"/>
              <w:jc w:val="center"/>
              <w:rPr>
                <w:color w:val="auto"/>
                <w:sz w:val="21"/>
                <w:szCs w:val="21"/>
              </w:rPr>
            </w:pPr>
          </w:p>
        </w:tc>
      </w:tr>
      <w:tr w14:paraId="4783E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29321933">
            <w:pPr>
              <w:spacing w:line="240" w:lineRule="auto"/>
              <w:ind w:firstLine="0" w:firstLineChars="0"/>
              <w:jc w:val="center"/>
              <w:rPr>
                <w:color w:val="auto"/>
                <w:sz w:val="21"/>
                <w:szCs w:val="21"/>
              </w:rPr>
            </w:pPr>
          </w:p>
        </w:tc>
        <w:tc>
          <w:tcPr>
            <w:tcW w:w="880" w:type="pct"/>
            <w:tcBorders>
              <w:tl2br w:val="nil"/>
              <w:tr2bl w:val="nil"/>
            </w:tcBorders>
            <w:vAlign w:val="center"/>
          </w:tcPr>
          <w:p w14:paraId="01FD8DAD">
            <w:pPr>
              <w:spacing w:line="240" w:lineRule="auto"/>
              <w:ind w:firstLine="0" w:firstLineChars="0"/>
              <w:jc w:val="center"/>
              <w:rPr>
                <w:color w:val="auto"/>
                <w:sz w:val="21"/>
                <w:szCs w:val="21"/>
              </w:rPr>
            </w:pPr>
            <w:r>
              <w:rPr>
                <w:rFonts w:hint="eastAsia"/>
                <w:color w:val="auto"/>
                <w:sz w:val="21"/>
                <w:szCs w:val="21"/>
              </w:rPr>
              <w:t>氨氮</w:t>
            </w:r>
          </w:p>
        </w:tc>
        <w:tc>
          <w:tcPr>
            <w:tcW w:w="729" w:type="pct"/>
            <w:vMerge w:val="continue"/>
            <w:tcBorders>
              <w:tl2br w:val="nil"/>
              <w:tr2bl w:val="nil"/>
            </w:tcBorders>
            <w:vAlign w:val="center"/>
          </w:tcPr>
          <w:p w14:paraId="7730D8A5">
            <w:pPr>
              <w:spacing w:line="240" w:lineRule="auto"/>
              <w:ind w:firstLine="0" w:firstLineChars="0"/>
              <w:jc w:val="center"/>
              <w:rPr>
                <w:color w:val="auto"/>
                <w:sz w:val="21"/>
                <w:szCs w:val="21"/>
              </w:rPr>
            </w:pPr>
          </w:p>
        </w:tc>
        <w:tc>
          <w:tcPr>
            <w:tcW w:w="707" w:type="pct"/>
            <w:tcBorders>
              <w:tl2br w:val="nil"/>
              <w:tr2bl w:val="nil"/>
            </w:tcBorders>
          </w:tcPr>
          <w:p w14:paraId="27F437FE">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5F14D407">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.10</w:t>
            </w:r>
          </w:p>
        </w:tc>
        <w:tc>
          <w:tcPr>
            <w:tcW w:w="458" w:type="pct"/>
            <w:tcBorders>
              <w:tl2br w:val="nil"/>
              <w:tr2bl w:val="nil"/>
            </w:tcBorders>
            <w:vAlign w:val="center"/>
          </w:tcPr>
          <w:p w14:paraId="3D16F8B2">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354F8A93">
            <w:pPr>
              <w:spacing w:line="240" w:lineRule="auto"/>
              <w:ind w:firstLine="0" w:firstLineChars="0"/>
              <w:jc w:val="center"/>
              <w:rPr>
                <w:color w:val="auto"/>
                <w:sz w:val="21"/>
                <w:szCs w:val="21"/>
              </w:rPr>
            </w:pPr>
          </w:p>
        </w:tc>
      </w:tr>
      <w:tr w14:paraId="114A4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2B72363F">
            <w:pPr>
              <w:spacing w:line="240" w:lineRule="auto"/>
              <w:ind w:firstLine="0" w:firstLineChars="0"/>
              <w:jc w:val="center"/>
              <w:rPr>
                <w:color w:val="auto"/>
                <w:sz w:val="21"/>
                <w:szCs w:val="21"/>
              </w:rPr>
            </w:pPr>
          </w:p>
        </w:tc>
        <w:tc>
          <w:tcPr>
            <w:tcW w:w="880" w:type="pct"/>
            <w:tcBorders>
              <w:tl2br w:val="nil"/>
              <w:tr2bl w:val="nil"/>
            </w:tcBorders>
            <w:vAlign w:val="center"/>
          </w:tcPr>
          <w:p w14:paraId="5797C62F">
            <w:pPr>
              <w:spacing w:line="240" w:lineRule="auto"/>
              <w:ind w:firstLine="0" w:firstLineChars="0"/>
              <w:jc w:val="center"/>
              <w:rPr>
                <w:color w:val="auto"/>
                <w:sz w:val="21"/>
                <w:szCs w:val="21"/>
              </w:rPr>
            </w:pPr>
            <w:r>
              <w:rPr>
                <w:rFonts w:hint="eastAsia"/>
                <w:color w:val="auto"/>
                <w:sz w:val="21"/>
                <w:szCs w:val="21"/>
              </w:rPr>
              <w:t>总磷</w:t>
            </w:r>
          </w:p>
        </w:tc>
        <w:tc>
          <w:tcPr>
            <w:tcW w:w="729" w:type="pct"/>
            <w:vMerge w:val="continue"/>
            <w:tcBorders>
              <w:tl2br w:val="nil"/>
              <w:tr2bl w:val="nil"/>
            </w:tcBorders>
            <w:vAlign w:val="center"/>
          </w:tcPr>
          <w:p w14:paraId="749AD4DC">
            <w:pPr>
              <w:spacing w:line="240" w:lineRule="auto"/>
              <w:ind w:firstLine="0" w:firstLineChars="0"/>
              <w:jc w:val="center"/>
              <w:rPr>
                <w:color w:val="auto"/>
                <w:sz w:val="21"/>
                <w:szCs w:val="21"/>
              </w:rPr>
            </w:pPr>
          </w:p>
        </w:tc>
        <w:tc>
          <w:tcPr>
            <w:tcW w:w="707" w:type="pct"/>
            <w:tcBorders>
              <w:tl2br w:val="nil"/>
              <w:tr2bl w:val="nil"/>
            </w:tcBorders>
          </w:tcPr>
          <w:p w14:paraId="72E4E950">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52D7A9C2">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.02</w:t>
            </w:r>
          </w:p>
        </w:tc>
        <w:tc>
          <w:tcPr>
            <w:tcW w:w="458" w:type="pct"/>
            <w:tcBorders>
              <w:tl2br w:val="nil"/>
              <w:tr2bl w:val="nil"/>
            </w:tcBorders>
            <w:vAlign w:val="center"/>
          </w:tcPr>
          <w:p w14:paraId="36984F85">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0C2F6534">
            <w:pPr>
              <w:spacing w:line="240" w:lineRule="auto"/>
              <w:ind w:firstLine="0" w:firstLineChars="0"/>
              <w:jc w:val="center"/>
              <w:rPr>
                <w:color w:val="auto"/>
                <w:sz w:val="21"/>
                <w:szCs w:val="21"/>
              </w:rPr>
            </w:pPr>
          </w:p>
        </w:tc>
      </w:tr>
      <w:tr w14:paraId="58970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9499550">
            <w:pPr>
              <w:spacing w:line="240" w:lineRule="auto"/>
              <w:ind w:firstLine="0" w:firstLineChars="0"/>
              <w:jc w:val="center"/>
              <w:rPr>
                <w:color w:val="auto"/>
                <w:sz w:val="21"/>
                <w:szCs w:val="21"/>
              </w:rPr>
            </w:pPr>
          </w:p>
        </w:tc>
        <w:tc>
          <w:tcPr>
            <w:tcW w:w="880" w:type="pct"/>
            <w:tcBorders>
              <w:tl2br w:val="nil"/>
              <w:tr2bl w:val="nil"/>
            </w:tcBorders>
            <w:vAlign w:val="center"/>
          </w:tcPr>
          <w:p w14:paraId="46F217F9">
            <w:pPr>
              <w:spacing w:line="240" w:lineRule="auto"/>
              <w:ind w:firstLine="0" w:firstLineChars="0"/>
              <w:jc w:val="center"/>
              <w:rPr>
                <w:color w:val="auto"/>
                <w:sz w:val="21"/>
                <w:szCs w:val="21"/>
              </w:rPr>
            </w:pPr>
            <w:r>
              <w:rPr>
                <w:rFonts w:hint="eastAsia"/>
                <w:color w:val="auto"/>
                <w:sz w:val="21"/>
                <w:szCs w:val="21"/>
              </w:rPr>
              <w:t>石油类</w:t>
            </w:r>
          </w:p>
        </w:tc>
        <w:tc>
          <w:tcPr>
            <w:tcW w:w="729" w:type="pct"/>
            <w:vMerge w:val="continue"/>
            <w:tcBorders>
              <w:tl2br w:val="nil"/>
              <w:tr2bl w:val="nil"/>
            </w:tcBorders>
            <w:vAlign w:val="center"/>
          </w:tcPr>
          <w:p w14:paraId="508E733D">
            <w:pPr>
              <w:spacing w:line="240" w:lineRule="auto"/>
              <w:ind w:firstLine="0" w:firstLineChars="0"/>
              <w:jc w:val="center"/>
              <w:rPr>
                <w:color w:val="auto"/>
                <w:sz w:val="21"/>
                <w:szCs w:val="21"/>
              </w:rPr>
            </w:pPr>
          </w:p>
        </w:tc>
        <w:tc>
          <w:tcPr>
            <w:tcW w:w="707" w:type="pct"/>
            <w:tcBorders>
              <w:tl2br w:val="nil"/>
              <w:tr2bl w:val="nil"/>
            </w:tcBorders>
          </w:tcPr>
          <w:p w14:paraId="03E7C574">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6D8EA1E5">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.23</w:t>
            </w:r>
          </w:p>
        </w:tc>
        <w:tc>
          <w:tcPr>
            <w:tcW w:w="458" w:type="pct"/>
            <w:tcBorders>
              <w:tl2br w:val="nil"/>
              <w:tr2bl w:val="nil"/>
            </w:tcBorders>
            <w:vAlign w:val="center"/>
          </w:tcPr>
          <w:p w14:paraId="13E5B539">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6E65F5E4">
            <w:pPr>
              <w:spacing w:line="240" w:lineRule="auto"/>
              <w:ind w:firstLine="0" w:firstLineChars="0"/>
              <w:jc w:val="center"/>
              <w:rPr>
                <w:color w:val="auto"/>
                <w:sz w:val="21"/>
                <w:szCs w:val="21"/>
              </w:rPr>
            </w:pPr>
          </w:p>
        </w:tc>
      </w:tr>
      <w:tr w14:paraId="2E5D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3645517C">
            <w:pPr>
              <w:spacing w:line="240" w:lineRule="auto"/>
              <w:ind w:firstLine="0" w:firstLineChars="0"/>
              <w:jc w:val="center"/>
              <w:rPr>
                <w:color w:val="auto"/>
                <w:sz w:val="21"/>
                <w:szCs w:val="21"/>
              </w:rPr>
            </w:pPr>
          </w:p>
        </w:tc>
        <w:tc>
          <w:tcPr>
            <w:tcW w:w="880" w:type="pct"/>
            <w:tcBorders>
              <w:tl2br w:val="nil"/>
              <w:tr2bl w:val="nil"/>
            </w:tcBorders>
            <w:vAlign w:val="center"/>
          </w:tcPr>
          <w:p w14:paraId="1C53D61E">
            <w:pPr>
              <w:spacing w:line="240" w:lineRule="auto"/>
              <w:ind w:firstLine="0" w:firstLineChars="0"/>
              <w:jc w:val="center"/>
              <w:rPr>
                <w:color w:val="auto"/>
                <w:sz w:val="21"/>
                <w:szCs w:val="21"/>
              </w:rPr>
            </w:pPr>
            <w:r>
              <w:rPr>
                <w:rFonts w:hint="eastAsia"/>
                <w:color w:val="auto"/>
                <w:sz w:val="21"/>
                <w:szCs w:val="21"/>
              </w:rPr>
              <w:t>铝</w:t>
            </w:r>
          </w:p>
        </w:tc>
        <w:tc>
          <w:tcPr>
            <w:tcW w:w="729" w:type="pct"/>
            <w:vMerge w:val="continue"/>
            <w:tcBorders>
              <w:tl2br w:val="nil"/>
              <w:tr2bl w:val="nil"/>
            </w:tcBorders>
            <w:vAlign w:val="center"/>
          </w:tcPr>
          <w:p w14:paraId="574A0F18">
            <w:pPr>
              <w:spacing w:line="240" w:lineRule="auto"/>
              <w:ind w:firstLine="0" w:firstLineChars="0"/>
              <w:jc w:val="center"/>
              <w:rPr>
                <w:color w:val="auto"/>
                <w:sz w:val="21"/>
                <w:szCs w:val="21"/>
              </w:rPr>
            </w:pPr>
          </w:p>
        </w:tc>
        <w:tc>
          <w:tcPr>
            <w:tcW w:w="707" w:type="pct"/>
            <w:tcBorders>
              <w:tl2br w:val="nil"/>
              <w:tr2bl w:val="nil"/>
            </w:tcBorders>
          </w:tcPr>
          <w:p w14:paraId="4F31EF86">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49BEBF6C">
            <w:pPr>
              <w:spacing w:line="240" w:lineRule="auto"/>
              <w:ind w:firstLine="0" w:firstLineChars="0"/>
              <w:jc w:val="center"/>
              <w:rPr>
                <w:color w:val="auto"/>
                <w:sz w:val="21"/>
                <w:szCs w:val="21"/>
              </w:rPr>
            </w:pPr>
            <w:r>
              <w:rPr>
                <w:rFonts w:hint="eastAsia"/>
                <w:color w:val="auto"/>
                <w:sz w:val="21"/>
                <w:szCs w:val="21"/>
              </w:rPr>
              <w:t>&lt;0</w:t>
            </w:r>
            <w:r>
              <w:rPr>
                <w:color w:val="auto"/>
                <w:sz w:val="21"/>
                <w:szCs w:val="21"/>
              </w:rPr>
              <w:t>.1</w:t>
            </w:r>
          </w:p>
        </w:tc>
        <w:tc>
          <w:tcPr>
            <w:tcW w:w="458" w:type="pct"/>
            <w:tcBorders>
              <w:tl2br w:val="nil"/>
              <w:tr2bl w:val="nil"/>
            </w:tcBorders>
            <w:vAlign w:val="center"/>
          </w:tcPr>
          <w:p w14:paraId="35C2609C">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7D011A5C">
            <w:pPr>
              <w:spacing w:line="240" w:lineRule="auto"/>
              <w:ind w:firstLine="0" w:firstLineChars="0"/>
              <w:jc w:val="center"/>
              <w:rPr>
                <w:color w:val="auto"/>
                <w:sz w:val="21"/>
                <w:szCs w:val="21"/>
              </w:rPr>
            </w:pPr>
          </w:p>
        </w:tc>
      </w:tr>
    </w:tbl>
    <w:p w14:paraId="467540F3">
      <w:pPr>
        <w:ind w:firstLine="480"/>
        <w:rPr>
          <w:color w:val="auto"/>
        </w:rPr>
      </w:pPr>
      <w:r>
        <w:rPr>
          <w:rFonts w:hint="eastAsia"/>
          <w:color w:val="auto"/>
        </w:rPr>
        <w:t>另根据《华嘉铝业有限公司年产20万吨铝型材表面处理项目环评》，所用原料为铝棒，生产工艺含酸洗、着色、封孔等，废水处理采用工艺为“调节池+混凝反应池+沉淀池”，其生产工艺、原辅料及废水处理工艺与本项目大体一致，因此具有可类比性。废水工艺已能满足出水要求，废水达标排放，实际运行数据如下表所示：</w:t>
      </w:r>
    </w:p>
    <w:p w14:paraId="1B4977C1">
      <w:pPr>
        <w:spacing w:line="240" w:lineRule="auto"/>
        <w:ind w:firstLine="0" w:firstLineChars="0"/>
        <w:jc w:val="center"/>
        <w:rPr>
          <w:b/>
          <w:bCs/>
          <w:snapToGrid w:val="0"/>
          <w:color w:val="auto"/>
        </w:rPr>
      </w:pPr>
      <w:r>
        <w:rPr>
          <w:b/>
          <w:bCs/>
          <w:snapToGrid w:val="0"/>
          <w:color w:val="auto"/>
        </w:rPr>
        <w:t>表</w:t>
      </w:r>
      <w:r>
        <w:rPr>
          <w:rFonts w:hint="eastAsia"/>
          <w:b/>
          <w:bCs/>
          <w:snapToGrid w:val="0"/>
          <w:color w:val="auto"/>
        </w:rPr>
        <w:t>7</w:t>
      </w:r>
      <w:r>
        <w:rPr>
          <w:b/>
          <w:bCs/>
          <w:snapToGrid w:val="0"/>
          <w:color w:val="auto"/>
        </w:rPr>
        <w:t>.2.2-</w:t>
      </w:r>
      <w:r>
        <w:rPr>
          <w:rFonts w:hint="eastAsia"/>
          <w:b/>
          <w:bCs/>
          <w:snapToGrid w:val="0"/>
          <w:color w:val="auto"/>
          <w:lang w:val="en-US" w:eastAsia="zh-CN"/>
        </w:rPr>
        <w:t>5</w:t>
      </w:r>
      <w:r>
        <w:rPr>
          <w:b/>
          <w:bCs/>
          <w:snapToGrid w:val="0"/>
          <w:color w:val="auto"/>
        </w:rPr>
        <w:t xml:space="preserve"> </w:t>
      </w:r>
      <w:r>
        <w:rPr>
          <w:rFonts w:hint="eastAsia"/>
          <w:b/>
          <w:bCs/>
          <w:snapToGrid w:val="0"/>
          <w:color w:val="auto"/>
        </w:rPr>
        <w:t xml:space="preserve"> </w:t>
      </w:r>
      <w:r>
        <w:rPr>
          <w:b/>
          <w:bCs/>
          <w:snapToGrid w:val="0"/>
          <w:color w:val="auto"/>
        </w:rPr>
        <w:t>废水监测结果</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656"/>
        <w:gridCol w:w="1372"/>
        <w:gridCol w:w="1330"/>
        <w:gridCol w:w="1310"/>
        <w:gridCol w:w="862"/>
        <w:gridCol w:w="1573"/>
      </w:tblGrid>
      <w:tr w14:paraId="01E6A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90" w:type="pct"/>
            <w:tcBorders>
              <w:tl2br w:val="nil"/>
              <w:tr2bl w:val="nil"/>
            </w:tcBorders>
            <w:vAlign w:val="center"/>
          </w:tcPr>
          <w:p w14:paraId="6C83F9E8">
            <w:pPr>
              <w:spacing w:line="240" w:lineRule="auto"/>
              <w:ind w:firstLine="0" w:firstLineChars="0"/>
              <w:jc w:val="center"/>
              <w:rPr>
                <w:b/>
                <w:color w:val="auto"/>
                <w:sz w:val="21"/>
                <w:szCs w:val="21"/>
              </w:rPr>
            </w:pPr>
            <w:r>
              <w:rPr>
                <w:rFonts w:hint="eastAsia"/>
                <w:b/>
                <w:color w:val="auto"/>
                <w:sz w:val="21"/>
                <w:szCs w:val="21"/>
              </w:rPr>
              <w:t>采样地点</w:t>
            </w:r>
          </w:p>
        </w:tc>
        <w:tc>
          <w:tcPr>
            <w:tcW w:w="880" w:type="pct"/>
            <w:tcBorders>
              <w:tl2br w:val="nil"/>
              <w:tr2bl w:val="nil"/>
            </w:tcBorders>
            <w:vAlign w:val="center"/>
          </w:tcPr>
          <w:p w14:paraId="1E172E79">
            <w:pPr>
              <w:spacing w:line="240" w:lineRule="auto"/>
              <w:ind w:firstLine="0" w:firstLineChars="0"/>
              <w:jc w:val="center"/>
              <w:rPr>
                <w:b/>
                <w:color w:val="auto"/>
                <w:sz w:val="21"/>
                <w:szCs w:val="21"/>
              </w:rPr>
            </w:pPr>
            <w:r>
              <w:rPr>
                <w:rFonts w:hint="eastAsia"/>
                <w:b/>
                <w:color w:val="auto"/>
                <w:sz w:val="21"/>
                <w:szCs w:val="21"/>
              </w:rPr>
              <w:t>检测项目</w:t>
            </w:r>
          </w:p>
        </w:tc>
        <w:tc>
          <w:tcPr>
            <w:tcW w:w="729" w:type="pct"/>
            <w:tcBorders>
              <w:tl2br w:val="nil"/>
              <w:tr2bl w:val="nil"/>
            </w:tcBorders>
            <w:vAlign w:val="center"/>
          </w:tcPr>
          <w:p w14:paraId="7A5E8EBA">
            <w:pPr>
              <w:spacing w:line="240" w:lineRule="auto"/>
              <w:ind w:firstLine="0" w:firstLineChars="0"/>
              <w:jc w:val="center"/>
              <w:rPr>
                <w:b/>
                <w:color w:val="auto"/>
                <w:sz w:val="21"/>
                <w:szCs w:val="21"/>
              </w:rPr>
            </w:pPr>
            <w:r>
              <w:rPr>
                <w:rFonts w:hint="eastAsia"/>
                <w:b/>
                <w:color w:val="auto"/>
                <w:sz w:val="21"/>
                <w:szCs w:val="21"/>
              </w:rPr>
              <w:t>样品性状</w:t>
            </w:r>
          </w:p>
        </w:tc>
        <w:tc>
          <w:tcPr>
            <w:tcW w:w="707" w:type="pct"/>
            <w:tcBorders>
              <w:tl2br w:val="nil"/>
              <w:tr2bl w:val="nil"/>
            </w:tcBorders>
            <w:vAlign w:val="center"/>
          </w:tcPr>
          <w:p w14:paraId="18966D4F">
            <w:pPr>
              <w:spacing w:line="240" w:lineRule="auto"/>
              <w:ind w:firstLine="0" w:firstLineChars="0"/>
              <w:jc w:val="center"/>
              <w:rPr>
                <w:b/>
                <w:color w:val="auto"/>
                <w:sz w:val="21"/>
                <w:szCs w:val="21"/>
              </w:rPr>
            </w:pPr>
            <w:r>
              <w:rPr>
                <w:rFonts w:hint="eastAsia"/>
                <w:b/>
                <w:color w:val="auto"/>
                <w:sz w:val="21"/>
                <w:szCs w:val="21"/>
              </w:rPr>
              <w:t>单位</w:t>
            </w:r>
          </w:p>
        </w:tc>
        <w:tc>
          <w:tcPr>
            <w:tcW w:w="696" w:type="pct"/>
            <w:tcBorders>
              <w:tl2br w:val="nil"/>
              <w:tr2bl w:val="nil"/>
            </w:tcBorders>
            <w:vAlign w:val="center"/>
          </w:tcPr>
          <w:p w14:paraId="5DEC2D5D">
            <w:pPr>
              <w:spacing w:line="240" w:lineRule="auto"/>
              <w:ind w:firstLine="0" w:firstLineChars="0"/>
              <w:jc w:val="center"/>
              <w:rPr>
                <w:b/>
                <w:color w:val="auto"/>
                <w:sz w:val="21"/>
                <w:szCs w:val="21"/>
              </w:rPr>
            </w:pPr>
            <w:r>
              <w:rPr>
                <w:rFonts w:hint="eastAsia"/>
                <w:b/>
                <w:color w:val="auto"/>
                <w:sz w:val="21"/>
                <w:szCs w:val="21"/>
              </w:rPr>
              <w:t>检测结果</w:t>
            </w:r>
          </w:p>
        </w:tc>
        <w:tc>
          <w:tcPr>
            <w:tcW w:w="458" w:type="pct"/>
            <w:tcBorders>
              <w:tl2br w:val="nil"/>
              <w:tr2bl w:val="nil"/>
            </w:tcBorders>
            <w:vAlign w:val="center"/>
          </w:tcPr>
          <w:p w14:paraId="4895356E">
            <w:pPr>
              <w:spacing w:line="240" w:lineRule="auto"/>
              <w:ind w:firstLine="0" w:firstLineChars="0"/>
              <w:jc w:val="center"/>
              <w:rPr>
                <w:b/>
                <w:color w:val="auto"/>
                <w:sz w:val="21"/>
                <w:szCs w:val="21"/>
              </w:rPr>
            </w:pPr>
            <w:r>
              <w:rPr>
                <w:rFonts w:hint="eastAsia"/>
                <w:b/>
                <w:color w:val="auto"/>
                <w:sz w:val="21"/>
                <w:szCs w:val="21"/>
              </w:rPr>
              <w:t>是否达标</w:t>
            </w:r>
          </w:p>
        </w:tc>
        <w:tc>
          <w:tcPr>
            <w:tcW w:w="836" w:type="pct"/>
            <w:tcBorders>
              <w:tl2br w:val="nil"/>
              <w:tr2bl w:val="nil"/>
            </w:tcBorders>
            <w:vAlign w:val="center"/>
          </w:tcPr>
          <w:p w14:paraId="1F2FA557">
            <w:pPr>
              <w:spacing w:line="240" w:lineRule="auto"/>
              <w:ind w:firstLine="0" w:firstLineChars="0"/>
              <w:jc w:val="center"/>
              <w:rPr>
                <w:b/>
                <w:color w:val="auto"/>
                <w:sz w:val="21"/>
                <w:szCs w:val="21"/>
              </w:rPr>
            </w:pPr>
            <w:r>
              <w:rPr>
                <w:b/>
                <w:color w:val="auto"/>
                <w:sz w:val="21"/>
                <w:szCs w:val="21"/>
              </w:rPr>
              <w:t>监测时间</w:t>
            </w:r>
          </w:p>
        </w:tc>
      </w:tr>
      <w:tr w14:paraId="0A03A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restart"/>
            <w:tcBorders>
              <w:tl2br w:val="nil"/>
              <w:tr2bl w:val="nil"/>
            </w:tcBorders>
            <w:vAlign w:val="center"/>
          </w:tcPr>
          <w:p w14:paraId="09D68BA0">
            <w:pPr>
              <w:spacing w:line="240" w:lineRule="auto"/>
              <w:ind w:firstLine="0" w:firstLineChars="0"/>
              <w:jc w:val="center"/>
              <w:rPr>
                <w:color w:val="auto"/>
                <w:sz w:val="21"/>
                <w:szCs w:val="21"/>
              </w:rPr>
            </w:pPr>
            <w:r>
              <w:rPr>
                <w:rFonts w:hint="eastAsia"/>
                <w:color w:val="auto"/>
                <w:sz w:val="21"/>
                <w:szCs w:val="21"/>
              </w:rPr>
              <w:t>废水排口</w:t>
            </w:r>
          </w:p>
        </w:tc>
        <w:tc>
          <w:tcPr>
            <w:tcW w:w="880" w:type="pct"/>
            <w:tcBorders>
              <w:tl2br w:val="nil"/>
              <w:tr2bl w:val="nil"/>
            </w:tcBorders>
            <w:vAlign w:val="center"/>
          </w:tcPr>
          <w:p w14:paraId="06B71CF2">
            <w:pPr>
              <w:spacing w:line="240" w:lineRule="auto"/>
              <w:ind w:firstLine="0" w:firstLineChars="0"/>
              <w:jc w:val="center"/>
              <w:rPr>
                <w:color w:val="auto"/>
                <w:sz w:val="21"/>
                <w:szCs w:val="21"/>
              </w:rPr>
            </w:pPr>
            <w:r>
              <w:rPr>
                <w:rFonts w:hint="eastAsia"/>
                <w:color w:val="auto"/>
                <w:sz w:val="21"/>
                <w:szCs w:val="21"/>
              </w:rPr>
              <w:t>pH</w:t>
            </w:r>
          </w:p>
        </w:tc>
        <w:tc>
          <w:tcPr>
            <w:tcW w:w="729" w:type="pct"/>
            <w:vMerge w:val="restart"/>
            <w:tcBorders>
              <w:tl2br w:val="nil"/>
              <w:tr2bl w:val="nil"/>
            </w:tcBorders>
            <w:vAlign w:val="center"/>
          </w:tcPr>
          <w:p w14:paraId="39DE33A4">
            <w:pPr>
              <w:spacing w:line="240" w:lineRule="auto"/>
              <w:ind w:firstLine="0" w:firstLineChars="0"/>
              <w:jc w:val="center"/>
              <w:rPr>
                <w:color w:val="auto"/>
                <w:sz w:val="21"/>
                <w:szCs w:val="21"/>
              </w:rPr>
            </w:pPr>
            <w:r>
              <w:rPr>
                <w:rFonts w:hint="eastAsia"/>
                <w:color w:val="auto"/>
                <w:sz w:val="21"/>
                <w:szCs w:val="21"/>
              </w:rPr>
              <w:t>无色透明</w:t>
            </w:r>
          </w:p>
        </w:tc>
        <w:tc>
          <w:tcPr>
            <w:tcW w:w="707" w:type="pct"/>
            <w:tcBorders>
              <w:tl2br w:val="nil"/>
              <w:tr2bl w:val="nil"/>
            </w:tcBorders>
            <w:vAlign w:val="center"/>
          </w:tcPr>
          <w:p w14:paraId="1C6FECF4">
            <w:pPr>
              <w:spacing w:line="240" w:lineRule="auto"/>
              <w:ind w:firstLine="0" w:firstLineChars="0"/>
              <w:jc w:val="center"/>
              <w:rPr>
                <w:color w:val="auto"/>
                <w:sz w:val="21"/>
                <w:szCs w:val="21"/>
              </w:rPr>
            </w:pPr>
            <w:r>
              <w:rPr>
                <w:rFonts w:hint="eastAsia"/>
                <w:color w:val="auto"/>
                <w:sz w:val="21"/>
                <w:szCs w:val="21"/>
              </w:rPr>
              <w:t>无量纲</w:t>
            </w:r>
          </w:p>
        </w:tc>
        <w:tc>
          <w:tcPr>
            <w:tcW w:w="696" w:type="pct"/>
            <w:tcBorders>
              <w:tl2br w:val="nil"/>
              <w:tr2bl w:val="nil"/>
            </w:tcBorders>
            <w:vAlign w:val="center"/>
          </w:tcPr>
          <w:p w14:paraId="0CE21F71">
            <w:pPr>
              <w:spacing w:line="240" w:lineRule="auto"/>
              <w:ind w:firstLine="0" w:firstLineChars="0"/>
              <w:jc w:val="center"/>
              <w:rPr>
                <w:color w:val="auto"/>
                <w:sz w:val="21"/>
                <w:szCs w:val="21"/>
              </w:rPr>
            </w:pPr>
            <w:r>
              <w:rPr>
                <w:rFonts w:hint="eastAsia"/>
                <w:color w:val="auto"/>
                <w:sz w:val="21"/>
                <w:szCs w:val="21"/>
              </w:rPr>
              <w:t>7.4</w:t>
            </w:r>
          </w:p>
        </w:tc>
        <w:tc>
          <w:tcPr>
            <w:tcW w:w="458" w:type="pct"/>
            <w:tcBorders>
              <w:tl2br w:val="nil"/>
              <w:tr2bl w:val="nil"/>
            </w:tcBorders>
            <w:vAlign w:val="center"/>
          </w:tcPr>
          <w:p w14:paraId="59DCDA83">
            <w:pPr>
              <w:spacing w:line="240" w:lineRule="auto"/>
              <w:ind w:firstLine="0" w:firstLineChars="0"/>
              <w:jc w:val="center"/>
              <w:rPr>
                <w:color w:val="auto"/>
                <w:sz w:val="21"/>
                <w:szCs w:val="21"/>
              </w:rPr>
            </w:pPr>
            <w:r>
              <w:rPr>
                <w:rFonts w:hint="eastAsia"/>
                <w:color w:val="auto"/>
                <w:sz w:val="21"/>
                <w:szCs w:val="21"/>
              </w:rPr>
              <w:t>是</w:t>
            </w:r>
          </w:p>
        </w:tc>
        <w:tc>
          <w:tcPr>
            <w:tcW w:w="836" w:type="pct"/>
            <w:vMerge w:val="restart"/>
            <w:tcBorders>
              <w:tl2br w:val="nil"/>
              <w:tr2bl w:val="nil"/>
            </w:tcBorders>
            <w:vAlign w:val="center"/>
          </w:tcPr>
          <w:p w14:paraId="08B7B0BB">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02</w:t>
            </w:r>
            <w:r>
              <w:rPr>
                <w:rFonts w:hint="eastAsia"/>
                <w:color w:val="auto"/>
                <w:sz w:val="21"/>
                <w:szCs w:val="21"/>
              </w:rPr>
              <w:t>2年9月27日</w:t>
            </w:r>
          </w:p>
        </w:tc>
      </w:tr>
      <w:tr w14:paraId="33611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4842216E">
            <w:pPr>
              <w:spacing w:line="240" w:lineRule="auto"/>
              <w:ind w:firstLine="0" w:firstLineChars="0"/>
              <w:jc w:val="center"/>
              <w:rPr>
                <w:color w:val="auto"/>
                <w:sz w:val="21"/>
                <w:szCs w:val="21"/>
              </w:rPr>
            </w:pPr>
          </w:p>
        </w:tc>
        <w:tc>
          <w:tcPr>
            <w:tcW w:w="880" w:type="pct"/>
            <w:tcBorders>
              <w:tl2br w:val="nil"/>
              <w:tr2bl w:val="nil"/>
            </w:tcBorders>
            <w:vAlign w:val="center"/>
          </w:tcPr>
          <w:p w14:paraId="2C0957AC">
            <w:pPr>
              <w:spacing w:line="240" w:lineRule="auto"/>
              <w:ind w:firstLine="0" w:firstLineChars="0"/>
              <w:jc w:val="center"/>
              <w:rPr>
                <w:color w:val="auto"/>
                <w:sz w:val="21"/>
                <w:szCs w:val="21"/>
              </w:rPr>
            </w:pPr>
            <w:r>
              <w:rPr>
                <w:rFonts w:hint="eastAsia"/>
                <w:color w:val="auto"/>
                <w:sz w:val="21"/>
                <w:szCs w:val="21"/>
              </w:rPr>
              <w:t>化学需氧量</w:t>
            </w:r>
          </w:p>
        </w:tc>
        <w:tc>
          <w:tcPr>
            <w:tcW w:w="729" w:type="pct"/>
            <w:vMerge w:val="continue"/>
            <w:tcBorders>
              <w:tl2br w:val="nil"/>
              <w:tr2bl w:val="nil"/>
            </w:tcBorders>
            <w:vAlign w:val="center"/>
          </w:tcPr>
          <w:p w14:paraId="7D752BBC">
            <w:pPr>
              <w:spacing w:line="240" w:lineRule="auto"/>
              <w:ind w:firstLine="0" w:firstLineChars="0"/>
              <w:jc w:val="center"/>
              <w:rPr>
                <w:color w:val="auto"/>
                <w:sz w:val="21"/>
                <w:szCs w:val="21"/>
              </w:rPr>
            </w:pPr>
          </w:p>
        </w:tc>
        <w:tc>
          <w:tcPr>
            <w:tcW w:w="707" w:type="pct"/>
            <w:tcBorders>
              <w:tl2br w:val="nil"/>
              <w:tr2bl w:val="nil"/>
            </w:tcBorders>
            <w:vAlign w:val="center"/>
          </w:tcPr>
          <w:p w14:paraId="131BCBBA">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2C635EEF">
            <w:pPr>
              <w:spacing w:line="240" w:lineRule="auto"/>
              <w:ind w:firstLine="0" w:firstLineChars="0"/>
              <w:jc w:val="center"/>
              <w:rPr>
                <w:color w:val="auto"/>
                <w:sz w:val="21"/>
                <w:szCs w:val="21"/>
              </w:rPr>
            </w:pPr>
            <w:r>
              <w:rPr>
                <w:rFonts w:hint="eastAsia"/>
                <w:color w:val="auto"/>
                <w:sz w:val="21"/>
                <w:szCs w:val="21"/>
              </w:rPr>
              <w:t>84</w:t>
            </w:r>
          </w:p>
        </w:tc>
        <w:tc>
          <w:tcPr>
            <w:tcW w:w="458" w:type="pct"/>
            <w:tcBorders>
              <w:tl2br w:val="nil"/>
              <w:tr2bl w:val="nil"/>
            </w:tcBorders>
            <w:vAlign w:val="center"/>
          </w:tcPr>
          <w:p w14:paraId="7B3DD1C9">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0DA5F97E">
            <w:pPr>
              <w:spacing w:line="240" w:lineRule="auto"/>
              <w:ind w:firstLine="0" w:firstLineChars="0"/>
              <w:jc w:val="center"/>
              <w:rPr>
                <w:color w:val="auto"/>
                <w:sz w:val="21"/>
                <w:szCs w:val="21"/>
              </w:rPr>
            </w:pPr>
          </w:p>
        </w:tc>
      </w:tr>
      <w:tr w14:paraId="655E5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2F00B1D5">
            <w:pPr>
              <w:spacing w:line="240" w:lineRule="auto"/>
              <w:ind w:firstLine="0" w:firstLineChars="0"/>
              <w:jc w:val="center"/>
              <w:rPr>
                <w:color w:val="auto"/>
                <w:sz w:val="21"/>
                <w:szCs w:val="21"/>
              </w:rPr>
            </w:pPr>
          </w:p>
        </w:tc>
        <w:tc>
          <w:tcPr>
            <w:tcW w:w="880" w:type="pct"/>
            <w:tcBorders>
              <w:tl2br w:val="nil"/>
              <w:tr2bl w:val="nil"/>
            </w:tcBorders>
            <w:vAlign w:val="center"/>
          </w:tcPr>
          <w:p w14:paraId="48B317EA">
            <w:pPr>
              <w:spacing w:line="240" w:lineRule="auto"/>
              <w:ind w:firstLine="0" w:firstLineChars="0"/>
              <w:jc w:val="center"/>
              <w:rPr>
                <w:color w:val="auto"/>
                <w:sz w:val="21"/>
                <w:szCs w:val="21"/>
              </w:rPr>
            </w:pPr>
            <w:r>
              <w:rPr>
                <w:rFonts w:hint="eastAsia"/>
                <w:color w:val="auto"/>
                <w:sz w:val="21"/>
                <w:szCs w:val="21"/>
              </w:rPr>
              <w:t>悬浮物</w:t>
            </w:r>
          </w:p>
        </w:tc>
        <w:tc>
          <w:tcPr>
            <w:tcW w:w="729" w:type="pct"/>
            <w:vMerge w:val="continue"/>
            <w:tcBorders>
              <w:tl2br w:val="nil"/>
              <w:tr2bl w:val="nil"/>
            </w:tcBorders>
            <w:vAlign w:val="center"/>
          </w:tcPr>
          <w:p w14:paraId="19A93631">
            <w:pPr>
              <w:spacing w:line="240" w:lineRule="auto"/>
              <w:ind w:firstLine="0" w:firstLineChars="0"/>
              <w:jc w:val="center"/>
              <w:rPr>
                <w:color w:val="auto"/>
                <w:sz w:val="21"/>
                <w:szCs w:val="21"/>
              </w:rPr>
            </w:pPr>
          </w:p>
        </w:tc>
        <w:tc>
          <w:tcPr>
            <w:tcW w:w="707" w:type="pct"/>
            <w:tcBorders>
              <w:tl2br w:val="nil"/>
              <w:tr2bl w:val="nil"/>
            </w:tcBorders>
          </w:tcPr>
          <w:p w14:paraId="0B90A289">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46B8261B">
            <w:pPr>
              <w:spacing w:line="240" w:lineRule="auto"/>
              <w:ind w:firstLine="0" w:firstLineChars="0"/>
              <w:jc w:val="center"/>
              <w:rPr>
                <w:color w:val="auto"/>
                <w:sz w:val="21"/>
                <w:szCs w:val="21"/>
              </w:rPr>
            </w:pPr>
            <w:r>
              <w:rPr>
                <w:rFonts w:hint="eastAsia"/>
                <w:color w:val="auto"/>
                <w:sz w:val="21"/>
                <w:szCs w:val="21"/>
              </w:rPr>
              <w:t>7</w:t>
            </w:r>
          </w:p>
        </w:tc>
        <w:tc>
          <w:tcPr>
            <w:tcW w:w="458" w:type="pct"/>
            <w:tcBorders>
              <w:tl2br w:val="nil"/>
              <w:tr2bl w:val="nil"/>
            </w:tcBorders>
            <w:vAlign w:val="center"/>
          </w:tcPr>
          <w:p w14:paraId="219AA676">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44F0CFBD">
            <w:pPr>
              <w:spacing w:line="240" w:lineRule="auto"/>
              <w:ind w:firstLine="0" w:firstLineChars="0"/>
              <w:jc w:val="center"/>
              <w:rPr>
                <w:color w:val="auto"/>
                <w:sz w:val="21"/>
                <w:szCs w:val="21"/>
              </w:rPr>
            </w:pPr>
          </w:p>
        </w:tc>
      </w:tr>
      <w:tr w14:paraId="27469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6FE74A27">
            <w:pPr>
              <w:spacing w:line="240" w:lineRule="auto"/>
              <w:ind w:firstLine="0" w:firstLineChars="0"/>
              <w:jc w:val="center"/>
              <w:rPr>
                <w:color w:val="auto"/>
                <w:sz w:val="21"/>
                <w:szCs w:val="21"/>
              </w:rPr>
            </w:pPr>
          </w:p>
        </w:tc>
        <w:tc>
          <w:tcPr>
            <w:tcW w:w="880" w:type="pct"/>
            <w:tcBorders>
              <w:tl2br w:val="nil"/>
              <w:tr2bl w:val="nil"/>
            </w:tcBorders>
            <w:vAlign w:val="center"/>
          </w:tcPr>
          <w:p w14:paraId="1714B248">
            <w:pPr>
              <w:spacing w:line="240" w:lineRule="auto"/>
              <w:ind w:firstLine="0" w:firstLineChars="0"/>
              <w:jc w:val="center"/>
              <w:rPr>
                <w:color w:val="auto"/>
                <w:sz w:val="21"/>
                <w:szCs w:val="21"/>
              </w:rPr>
            </w:pPr>
            <w:r>
              <w:rPr>
                <w:rFonts w:hint="eastAsia"/>
                <w:color w:val="auto"/>
                <w:sz w:val="21"/>
                <w:szCs w:val="21"/>
              </w:rPr>
              <w:t>总磷</w:t>
            </w:r>
          </w:p>
        </w:tc>
        <w:tc>
          <w:tcPr>
            <w:tcW w:w="729" w:type="pct"/>
            <w:vMerge w:val="continue"/>
            <w:tcBorders>
              <w:tl2br w:val="nil"/>
              <w:tr2bl w:val="nil"/>
            </w:tcBorders>
            <w:vAlign w:val="center"/>
          </w:tcPr>
          <w:p w14:paraId="10082E3B">
            <w:pPr>
              <w:spacing w:line="240" w:lineRule="auto"/>
              <w:ind w:firstLine="0" w:firstLineChars="0"/>
              <w:jc w:val="center"/>
              <w:rPr>
                <w:color w:val="auto"/>
                <w:sz w:val="21"/>
                <w:szCs w:val="21"/>
              </w:rPr>
            </w:pPr>
          </w:p>
        </w:tc>
        <w:tc>
          <w:tcPr>
            <w:tcW w:w="707" w:type="pct"/>
            <w:tcBorders>
              <w:tl2br w:val="nil"/>
              <w:tr2bl w:val="nil"/>
            </w:tcBorders>
          </w:tcPr>
          <w:p w14:paraId="24E23825">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1590AB73">
            <w:pPr>
              <w:spacing w:line="240" w:lineRule="auto"/>
              <w:ind w:firstLine="0" w:firstLineChars="0"/>
              <w:jc w:val="center"/>
              <w:rPr>
                <w:color w:val="auto"/>
                <w:sz w:val="21"/>
                <w:szCs w:val="21"/>
              </w:rPr>
            </w:pPr>
            <w:r>
              <w:rPr>
                <w:rFonts w:hint="eastAsia"/>
                <w:color w:val="auto"/>
                <w:sz w:val="21"/>
                <w:szCs w:val="21"/>
                <w:lang w:eastAsia="zh-CN"/>
              </w:rPr>
              <w:t>&lt;</w:t>
            </w:r>
            <w:r>
              <w:rPr>
                <w:rFonts w:hint="eastAsia"/>
                <w:color w:val="auto"/>
                <w:sz w:val="21"/>
                <w:szCs w:val="21"/>
              </w:rPr>
              <w:t>0</w:t>
            </w:r>
            <w:r>
              <w:rPr>
                <w:color w:val="auto"/>
                <w:sz w:val="21"/>
                <w:szCs w:val="21"/>
              </w:rPr>
              <w:t>.0</w:t>
            </w:r>
            <w:r>
              <w:rPr>
                <w:rFonts w:hint="eastAsia"/>
                <w:color w:val="auto"/>
                <w:sz w:val="21"/>
                <w:szCs w:val="21"/>
              </w:rPr>
              <w:t>51</w:t>
            </w:r>
          </w:p>
        </w:tc>
        <w:tc>
          <w:tcPr>
            <w:tcW w:w="458" w:type="pct"/>
            <w:tcBorders>
              <w:tl2br w:val="nil"/>
              <w:tr2bl w:val="nil"/>
            </w:tcBorders>
            <w:vAlign w:val="center"/>
          </w:tcPr>
          <w:p w14:paraId="6A0E239B">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3B78E06E">
            <w:pPr>
              <w:spacing w:line="240" w:lineRule="auto"/>
              <w:ind w:firstLine="0" w:firstLineChars="0"/>
              <w:jc w:val="center"/>
              <w:rPr>
                <w:color w:val="auto"/>
                <w:sz w:val="21"/>
                <w:szCs w:val="21"/>
              </w:rPr>
            </w:pPr>
          </w:p>
        </w:tc>
      </w:tr>
      <w:tr w14:paraId="45B0E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pct"/>
            <w:vMerge w:val="continue"/>
            <w:tcBorders>
              <w:tl2br w:val="nil"/>
              <w:tr2bl w:val="nil"/>
            </w:tcBorders>
            <w:vAlign w:val="center"/>
          </w:tcPr>
          <w:p w14:paraId="5B1E94A8">
            <w:pPr>
              <w:spacing w:line="240" w:lineRule="auto"/>
              <w:ind w:firstLine="0" w:firstLineChars="0"/>
              <w:jc w:val="center"/>
              <w:rPr>
                <w:color w:val="auto"/>
                <w:sz w:val="21"/>
                <w:szCs w:val="21"/>
              </w:rPr>
            </w:pPr>
          </w:p>
        </w:tc>
        <w:tc>
          <w:tcPr>
            <w:tcW w:w="880" w:type="pct"/>
            <w:tcBorders>
              <w:tl2br w:val="nil"/>
              <w:tr2bl w:val="nil"/>
            </w:tcBorders>
            <w:vAlign w:val="center"/>
          </w:tcPr>
          <w:p w14:paraId="3F39DCEE">
            <w:pPr>
              <w:spacing w:line="240" w:lineRule="auto"/>
              <w:ind w:firstLine="0" w:firstLineChars="0"/>
              <w:jc w:val="center"/>
              <w:rPr>
                <w:color w:val="auto"/>
                <w:sz w:val="21"/>
                <w:szCs w:val="21"/>
              </w:rPr>
            </w:pPr>
            <w:r>
              <w:rPr>
                <w:rFonts w:hint="eastAsia"/>
                <w:color w:val="auto"/>
                <w:sz w:val="21"/>
                <w:szCs w:val="21"/>
              </w:rPr>
              <w:t>石油类</w:t>
            </w:r>
          </w:p>
        </w:tc>
        <w:tc>
          <w:tcPr>
            <w:tcW w:w="729" w:type="pct"/>
            <w:vMerge w:val="continue"/>
            <w:tcBorders>
              <w:tl2br w:val="nil"/>
              <w:tr2bl w:val="nil"/>
            </w:tcBorders>
            <w:vAlign w:val="center"/>
          </w:tcPr>
          <w:p w14:paraId="29DD5F85">
            <w:pPr>
              <w:spacing w:line="240" w:lineRule="auto"/>
              <w:ind w:firstLine="0" w:firstLineChars="0"/>
              <w:jc w:val="center"/>
              <w:rPr>
                <w:color w:val="auto"/>
                <w:sz w:val="21"/>
                <w:szCs w:val="21"/>
              </w:rPr>
            </w:pPr>
          </w:p>
        </w:tc>
        <w:tc>
          <w:tcPr>
            <w:tcW w:w="707" w:type="pct"/>
            <w:tcBorders>
              <w:tl2br w:val="nil"/>
              <w:tr2bl w:val="nil"/>
            </w:tcBorders>
          </w:tcPr>
          <w:p w14:paraId="2CA6289D">
            <w:pPr>
              <w:spacing w:line="240" w:lineRule="auto"/>
              <w:ind w:firstLine="0" w:firstLineChars="0"/>
              <w:jc w:val="center"/>
              <w:rPr>
                <w:color w:val="auto"/>
                <w:sz w:val="21"/>
                <w:szCs w:val="21"/>
              </w:rPr>
            </w:pPr>
            <w:r>
              <w:rPr>
                <w:rFonts w:hint="eastAsia"/>
                <w:color w:val="auto"/>
                <w:sz w:val="21"/>
                <w:szCs w:val="21"/>
              </w:rPr>
              <w:t>mg</w:t>
            </w:r>
            <w:r>
              <w:rPr>
                <w:color w:val="auto"/>
                <w:sz w:val="21"/>
                <w:szCs w:val="21"/>
              </w:rPr>
              <w:t>/</w:t>
            </w:r>
            <w:r>
              <w:rPr>
                <w:rFonts w:hint="eastAsia"/>
                <w:color w:val="auto"/>
                <w:sz w:val="21"/>
                <w:szCs w:val="21"/>
              </w:rPr>
              <w:t>L</w:t>
            </w:r>
          </w:p>
        </w:tc>
        <w:tc>
          <w:tcPr>
            <w:tcW w:w="696" w:type="pct"/>
            <w:tcBorders>
              <w:tl2br w:val="nil"/>
              <w:tr2bl w:val="nil"/>
            </w:tcBorders>
            <w:vAlign w:val="center"/>
          </w:tcPr>
          <w:p w14:paraId="7D70EAD2">
            <w:pPr>
              <w:spacing w:line="240" w:lineRule="auto"/>
              <w:ind w:firstLine="0" w:firstLineChars="0"/>
              <w:jc w:val="center"/>
              <w:rPr>
                <w:color w:val="auto"/>
                <w:sz w:val="21"/>
                <w:szCs w:val="21"/>
              </w:rPr>
            </w:pPr>
            <w:r>
              <w:rPr>
                <w:rFonts w:hint="eastAsia"/>
                <w:color w:val="auto"/>
                <w:sz w:val="21"/>
                <w:szCs w:val="21"/>
              </w:rPr>
              <w:t>0.61</w:t>
            </w:r>
          </w:p>
        </w:tc>
        <w:tc>
          <w:tcPr>
            <w:tcW w:w="458" w:type="pct"/>
            <w:tcBorders>
              <w:tl2br w:val="nil"/>
              <w:tr2bl w:val="nil"/>
            </w:tcBorders>
            <w:vAlign w:val="center"/>
          </w:tcPr>
          <w:p w14:paraId="6FED67AF">
            <w:pPr>
              <w:spacing w:line="240" w:lineRule="auto"/>
              <w:ind w:firstLine="0" w:firstLineChars="0"/>
              <w:jc w:val="center"/>
              <w:rPr>
                <w:color w:val="auto"/>
                <w:sz w:val="21"/>
                <w:szCs w:val="21"/>
              </w:rPr>
            </w:pPr>
            <w:r>
              <w:rPr>
                <w:rFonts w:hint="eastAsia"/>
                <w:color w:val="auto"/>
                <w:sz w:val="21"/>
                <w:szCs w:val="21"/>
              </w:rPr>
              <w:t>是</w:t>
            </w:r>
          </w:p>
        </w:tc>
        <w:tc>
          <w:tcPr>
            <w:tcW w:w="836" w:type="pct"/>
            <w:vMerge w:val="continue"/>
            <w:tcBorders>
              <w:tl2br w:val="nil"/>
              <w:tr2bl w:val="nil"/>
            </w:tcBorders>
            <w:vAlign w:val="center"/>
          </w:tcPr>
          <w:p w14:paraId="01AF85E9">
            <w:pPr>
              <w:spacing w:line="240" w:lineRule="auto"/>
              <w:ind w:firstLine="0" w:firstLineChars="0"/>
              <w:jc w:val="center"/>
              <w:rPr>
                <w:color w:val="auto"/>
                <w:sz w:val="21"/>
                <w:szCs w:val="21"/>
              </w:rPr>
            </w:pPr>
          </w:p>
        </w:tc>
      </w:tr>
    </w:tbl>
    <w:p w14:paraId="2F8D4D0B">
      <w:pPr>
        <w:keepNext/>
        <w:keepLines/>
        <w:spacing w:before="120" w:beforeLines="50"/>
        <w:ind w:firstLine="0" w:firstLineChars="0"/>
        <w:outlineLvl w:val="3"/>
        <w:rPr>
          <w:b/>
          <w:bCs/>
          <w:color w:val="auto"/>
        </w:rPr>
      </w:pPr>
      <w:r>
        <w:rPr>
          <w:rFonts w:hint="eastAsia"/>
          <w:b/>
          <w:bCs/>
          <w:color w:val="auto"/>
        </w:rPr>
        <w:t>7.2.2.3 工业废水综合评估</w:t>
      </w:r>
    </w:p>
    <w:p w14:paraId="5AD158D7">
      <w:pPr>
        <w:ind w:firstLine="480"/>
        <w:rPr>
          <w:color w:val="auto"/>
        </w:rPr>
      </w:pPr>
      <w:r>
        <w:rPr>
          <w:rFonts w:hint="eastAsia"/>
          <w:color w:val="auto"/>
        </w:rPr>
        <w:t>参照《江苏省工业废水与生活污水分质处理工作推进方案》，评估一道新材科技（连云港）有限公司光伏新材料研发中心及光伏组件制造项目废水接管至开发区临港污水处理厂的纳管可行性，在建设单位向生态环境部门申请领取排污许可证的同时，应向城镇排水主管部门申请领取排水许可证。</w:t>
      </w:r>
    </w:p>
    <w:p w14:paraId="2C4A12A3">
      <w:pPr>
        <w:ind w:firstLine="482"/>
        <w:jc w:val="left"/>
        <w:rPr>
          <w:b/>
          <w:bCs/>
          <w:color w:val="auto"/>
        </w:rPr>
      </w:pPr>
      <w:r>
        <w:rPr>
          <w:rFonts w:hint="eastAsia"/>
          <w:b/>
          <w:bCs/>
          <w:color w:val="auto"/>
        </w:rPr>
        <w:t>一、总则</w:t>
      </w:r>
    </w:p>
    <w:p w14:paraId="30B9CB96">
      <w:pPr>
        <w:ind w:firstLine="480"/>
        <w:jc w:val="left"/>
        <w:rPr>
          <w:color w:val="auto"/>
        </w:rPr>
      </w:pPr>
      <w:r>
        <w:rPr>
          <w:color w:val="auto"/>
        </w:rPr>
        <w:t>2022年6月5日，江苏省人民政府办公厅印发了《关于推进城市污水处理能力建设全面提升污水集中收集处理率的实施意见》（苏政办发〔2022〕42号），该意见提出各地需强化工业废水与生活污水分类收集、分质处理。加快推进工业污水集中处理设施建设。新建冶金、电镀、化工、印染、原料药制造（有工业废水处理资质且出水达到国家标准的原料药制造企业除外）等工业企业排放含重金属、难降解废水、高盐废水的，不得排入城市污水集中收集处理设施。已接管城市污水集中收集处理设施的工业企业组织全面排查评估，认定不能接入的限期退出，认定可以接入的须经预处理达标后方可接入。接管企业应依法取得排污许可和排水许可，出水应与污水处理厂联网实时监控。出现接管超标的，污水处理厂应及时向主管部门报告。无锡市、常州市、苏州市应加快推进工业废水与生活污水分类收集、分质处理，到2024年实现应分尽分。南京市、南通市、扬州市、镇江市、泰州市应逐步推进工业废水与生活污水分类收集、分质处理，到2025年实现应分尽分。徐州市、连云港市、淮安市、盐城市、宿迁市重点推进收集管网能力建设，到2025年省级以上工业园区等有条件的园区实现工业废水与生活污水分类收集、分质处理</w:t>
      </w:r>
      <w:r>
        <w:rPr>
          <w:rFonts w:hint="eastAsia"/>
          <w:color w:val="auto"/>
        </w:rPr>
        <w:t>。</w:t>
      </w:r>
    </w:p>
    <w:p w14:paraId="62C40132">
      <w:pPr>
        <w:ind w:firstLine="480"/>
        <w:rPr>
          <w:color w:val="auto"/>
        </w:rPr>
      </w:pPr>
      <w:r>
        <w:rPr>
          <w:color w:val="auto"/>
        </w:rPr>
        <w:t>2023年5月，江苏省生态环境厅、江苏省住房和城乡建设厅发布了</w:t>
      </w:r>
      <w:r>
        <w:rPr>
          <w:rFonts w:hint="eastAsia"/>
          <w:color w:val="auto"/>
        </w:rPr>
        <w:t>《江苏省工业废水与生活污水分质处理工作推进方案》</w:t>
      </w:r>
      <w:r>
        <w:rPr>
          <w:color w:val="auto"/>
        </w:rPr>
        <w:t>，该</w:t>
      </w:r>
      <w:r>
        <w:rPr>
          <w:rFonts w:hint="eastAsia"/>
          <w:color w:val="auto"/>
        </w:rPr>
        <w:t>方案</w:t>
      </w:r>
      <w:r>
        <w:rPr>
          <w:color w:val="auto"/>
        </w:rPr>
        <w:t>规定了江苏省纳管城镇污水处理厂的工业废水分质处理评估工作的适用范围、总体思路及工作目标，提出了重点工业企业和城镇污水处理厂的评估内容，明确了具体评估重点和要求，并给出了评估判定依据。</w:t>
      </w:r>
    </w:p>
    <w:p w14:paraId="146ED4DA">
      <w:pPr>
        <w:ind w:firstLine="480"/>
        <w:rPr>
          <w:color w:val="auto"/>
        </w:rPr>
      </w:pPr>
      <w:r>
        <w:rPr>
          <w:rFonts w:hint="eastAsia"/>
          <w:color w:val="auto"/>
        </w:rPr>
        <w:t>本次主要针对一道新材科技（连云港）有限公司光伏新材料研发中心及光伏组件制造项目产生的生产废水接入开发区临港污水处理厂进行综合评估。</w:t>
      </w:r>
    </w:p>
    <w:p w14:paraId="7AE86211">
      <w:pPr>
        <w:ind w:firstLine="482"/>
        <w:rPr>
          <w:b/>
          <w:bCs/>
          <w:color w:val="auto"/>
        </w:rPr>
      </w:pPr>
      <w:r>
        <w:rPr>
          <w:rFonts w:hint="eastAsia"/>
          <w:b/>
          <w:bCs/>
          <w:color w:val="auto"/>
        </w:rPr>
        <w:t>二、区域基本情况</w:t>
      </w:r>
    </w:p>
    <w:p w14:paraId="40073331">
      <w:pPr>
        <w:ind w:firstLine="480"/>
        <w:rPr>
          <w:color w:val="auto"/>
        </w:rPr>
      </w:pPr>
      <w:r>
        <w:rPr>
          <w:rFonts w:hint="eastAsia"/>
          <w:color w:val="auto"/>
        </w:rPr>
        <w:t>连云港市位于中国东部沿海地区，地处江苏省的东北部，东临黄海，西与徐州、宿迁相连，南部与淮安、盐城市毗邻，北隔灌河和盐城市响水县相望。其地理坐标大致位于北纬</w:t>
      </w:r>
      <w:r>
        <w:rPr>
          <w:color w:val="auto"/>
        </w:rPr>
        <w:t>34°07′～35°07′、东经118°24′～120°44′之间。</w:t>
      </w:r>
      <w:r>
        <w:rPr>
          <w:rFonts w:hint="eastAsia"/>
          <w:color w:val="auto"/>
        </w:rPr>
        <w:t>连云港市因其独特的地理位置而拥有天然良港，是陇海铁路东端起点，也是新亚欧大陆桥东方桥头堡、国际性港口城市。</w:t>
      </w:r>
    </w:p>
    <w:p w14:paraId="6F43B2F1">
      <w:pPr>
        <w:ind w:firstLine="480"/>
        <w:rPr>
          <w:color w:val="auto"/>
        </w:rPr>
      </w:pPr>
      <w:r>
        <w:rPr>
          <w:rFonts w:hint="eastAsia"/>
          <w:color w:val="auto"/>
        </w:rPr>
        <w:t>连云港经济技术开发区区位交通优越，物流便捷通畅，发展空间广阔，潜力无限。开发区毗邻国家主枢纽港连云港港，距4D级连云港民航机场仅20km，陇海铁路、连盐铁路穿区而过，对外公路交通已全面实现高速化。</w:t>
      </w:r>
    </w:p>
    <w:p w14:paraId="1334C715">
      <w:pPr>
        <w:ind w:firstLine="480"/>
        <w:rPr>
          <w:color w:val="auto"/>
        </w:rPr>
      </w:pPr>
      <w:r>
        <w:rPr>
          <w:rFonts w:hint="eastAsia"/>
          <w:color w:val="auto"/>
        </w:rPr>
        <w:t>本项目地处连云港经济技术开发区临港产业区西北片区内，位于G228国道的南侧，东至大浦路，南至盐池西路，西至项目边界，北至盐汇路。</w:t>
      </w:r>
    </w:p>
    <w:p w14:paraId="6AC62A19">
      <w:pPr>
        <w:ind w:firstLine="482"/>
        <w:rPr>
          <w:b/>
          <w:bCs/>
          <w:color w:val="auto"/>
        </w:rPr>
      </w:pPr>
      <w:r>
        <w:rPr>
          <w:rFonts w:hint="eastAsia"/>
          <w:b/>
          <w:bCs/>
          <w:color w:val="auto"/>
        </w:rPr>
        <w:t>三、区域水环境质量状况</w:t>
      </w:r>
    </w:p>
    <w:p w14:paraId="4F49E722">
      <w:pPr>
        <w:ind w:firstLine="480"/>
        <w:rPr>
          <w:color w:val="auto"/>
        </w:rPr>
      </w:pPr>
      <w:r>
        <w:rPr>
          <w:color w:val="auto"/>
        </w:rPr>
        <w:t>根据《2023年度连云港市生态环境状况公报》数据，2023年，连云港市22个国考断面中，20个断面水质各项指标年均值均达到或好于Ⅲ类，优Ⅲ类比例90.9%，同比上升4.5个百分点，达到省定目标，Ⅳ类比例9.1%，无Ⅴ类、劣Ⅴ类水质断面。</w:t>
      </w:r>
    </w:p>
    <w:p w14:paraId="6134EC79">
      <w:pPr>
        <w:ind w:firstLine="480"/>
        <w:rPr>
          <w:color w:val="auto"/>
        </w:rPr>
      </w:pPr>
      <w:r>
        <w:rPr>
          <w:rFonts w:hint="eastAsia"/>
          <w:color w:val="auto"/>
        </w:rPr>
        <w:t>根据委托检测数据显示，大浦河排污通道和项目周边开泰河各监测因子均能达到《地表水环境质量标准》（GB3838-2002）Ⅳ类标准要求，临洪河各监测因子均能达到《地表水环境质量标准》（GB3838-2002）</w:t>
      </w:r>
      <w:r>
        <w:rPr>
          <w:rFonts w:hint="eastAsia"/>
          <w:color w:val="auto"/>
          <w:lang w:eastAsia="zh-CN"/>
        </w:rPr>
        <w:t>Ⅲ</w:t>
      </w:r>
      <w:r>
        <w:rPr>
          <w:rFonts w:hint="eastAsia"/>
          <w:color w:val="auto"/>
        </w:rPr>
        <w:t>类标准要求。</w:t>
      </w:r>
    </w:p>
    <w:p w14:paraId="4660D817">
      <w:pPr>
        <w:ind w:firstLine="482"/>
        <w:rPr>
          <w:b/>
          <w:bCs/>
          <w:color w:val="auto"/>
        </w:rPr>
      </w:pPr>
      <w:r>
        <w:rPr>
          <w:rFonts w:hint="eastAsia"/>
          <w:b/>
          <w:bCs/>
          <w:color w:val="auto"/>
        </w:rPr>
        <w:t>四、开发区临港污水处理厂（原开发区西北组团污水处理厂）纳管工业企业调查</w:t>
      </w:r>
    </w:p>
    <w:p w14:paraId="0C4EC70C">
      <w:pPr>
        <w:ind w:firstLine="482"/>
        <w:rPr>
          <w:b/>
          <w:bCs/>
          <w:color w:val="auto"/>
        </w:rPr>
      </w:pPr>
      <w:r>
        <w:rPr>
          <w:rFonts w:hint="eastAsia"/>
          <w:b/>
          <w:bCs/>
          <w:color w:val="auto"/>
        </w:rPr>
        <w:t>1）开发区临港污水处理厂基本情况</w:t>
      </w:r>
    </w:p>
    <w:p w14:paraId="4536BEEC">
      <w:pPr>
        <w:ind w:firstLine="480"/>
        <w:rPr>
          <w:color w:val="auto"/>
        </w:rPr>
      </w:pPr>
      <w:r>
        <w:rPr>
          <w:rFonts w:hint="eastAsia"/>
          <w:color w:val="auto"/>
        </w:rPr>
        <w:t>开发区临港污水处理厂（原开发区西北组团污水处理厂）由连云港市同杨水务有限公司投资建设，位于连云港经济技术开发区临港产业区开泰河以南、云池路以北、临洪路以东、云桥路以西，占地约4.89公顷。开发区临港污水处理厂一期工程采用“MSBR+高效混凝沉淀+转盘过滤+二氧化氯消毒”污水处理工艺，设计建设规模为4.8万t/d，实际建设规模为4.8万t/d。2021年11月开展了《连云港开发区西北组团污水处理厂污水消毒工艺验收后变动环境影响分析》，将原有的消毒工艺改为“次氯酸钠”消毒工艺，开发区临港污水处理厂变动后的处理工艺为“MSBR+高效混凝沉淀+转盘过滤+次氯酸钠消毒”。依据其环评及批复，一期工程污水处理厂尾水经大浦河排污通道排入临洪河，最终排至黄海。</w:t>
      </w:r>
    </w:p>
    <w:p w14:paraId="604739FA">
      <w:pPr>
        <w:ind w:firstLine="480"/>
        <w:rPr>
          <w:color w:val="auto"/>
        </w:rPr>
      </w:pPr>
      <w:r>
        <w:rPr>
          <w:rFonts w:hint="eastAsia"/>
          <w:color w:val="auto"/>
        </w:rPr>
        <w:t>开发区临港污水处理厂服务范围主要由两部分组成：一是连云港临港新兴产业区西北片区，污水性质为工业废水和生活污水；二是连云新城（滨海新区）西南片区，主要以居住和公用设施用地为主，污水性质为生活污水。</w:t>
      </w:r>
      <w:r>
        <w:rPr>
          <w:color w:val="auto"/>
        </w:rPr>
        <w:t>区域内现有主要水污染源企业排放去向、达标情况见下表。</w:t>
      </w:r>
    </w:p>
    <w:p w14:paraId="27880849">
      <w:pPr>
        <w:spacing w:line="240" w:lineRule="auto"/>
        <w:ind w:firstLine="0" w:firstLineChars="0"/>
        <w:jc w:val="center"/>
        <w:rPr>
          <w:b/>
          <w:bCs/>
          <w:color w:val="auto"/>
        </w:rPr>
      </w:pPr>
      <w:r>
        <w:rPr>
          <w:b/>
          <w:bCs/>
          <w:color w:val="auto"/>
        </w:rPr>
        <w:t>表</w:t>
      </w:r>
      <w:r>
        <w:rPr>
          <w:rFonts w:hint="eastAsia"/>
          <w:b/>
          <w:bCs/>
          <w:color w:val="auto"/>
        </w:rPr>
        <w:t>7</w:t>
      </w:r>
      <w:r>
        <w:rPr>
          <w:b/>
          <w:bCs/>
          <w:color w:val="auto"/>
        </w:rPr>
        <w:t>.2.2-</w:t>
      </w:r>
      <w:r>
        <w:rPr>
          <w:rFonts w:hint="eastAsia"/>
          <w:b/>
          <w:bCs/>
          <w:color w:val="auto"/>
          <w:lang w:val="en-US" w:eastAsia="zh-CN"/>
        </w:rPr>
        <w:t>6</w:t>
      </w:r>
      <w:r>
        <w:rPr>
          <w:b/>
          <w:bCs/>
          <w:color w:val="auto"/>
        </w:rPr>
        <w:t xml:space="preserve">  园区主要工业废水污染源统计情况（接管量，单位t/a）</w:t>
      </w:r>
    </w:p>
    <w:tbl>
      <w:tblPr>
        <w:tblStyle w:val="8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3840"/>
        <w:gridCol w:w="1013"/>
        <w:gridCol w:w="1027"/>
        <w:gridCol w:w="935"/>
        <w:gridCol w:w="933"/>
        <w:gridCol w:w="902"/>
      </w:tblGrid>
      <w:tr w14:paraId="52D16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28B2918B">
            <w:pPr>
              <w:widowControl/>
              <w:spacing w:line="240" w:lineRule="auto"/>
              <w:ind w:firstLine="0" w:firstLineChars="0"/>
              <w:jc w:val="center"/>
              <w:rPr>
                <w:b/>
                <w:bCs/>
                <w:color w:val="auto"/>
                <w:kern w:val="0"/>
                <w:sz w:val="21"/>
                <w:szCs w:val="21"/>
              </w:rPr>
            </w:pPr>
            <w:r>
              <w:rPr>
                <w:b/>
                <w:bCs/>
                <w:color w:val="auto"/>
                <w:kern w:val="0"/>
                <w:sz w:val="21"/>
                <w:szCs w:val="21"/>
              </w:rPr>
              <w:t>序号</w:t>
            </w:r>
          </w:p>
        </w:tc>
        <w:tc>
          <w:tcPr>
            <w:tcW w:w="2078" w:type="pct"/>
            <w:shd w:val="clear" w:color="auto" w:fill="auto"/>
            <w:tcMar>
              <w:left w:w="28" w:type="dxa"/>
              <w:right w:w="28" w:type="dxa"/>
            </w:tcMar>
            <w:vAlign w:val="center"/>
          </w:tcPr>
          <w:p w14:paraId="65863DBD">
            <w:pPr>
              <w:widowControl/>
              <w:spacing w:line="240" w:lineRule="auto"/>
              <w:ind w:firstLine="0" w:firstLineChars="0"/>
              <w:jc w:val="center"/>
              <w:rPr>
                <w:b/>
                <w:bCs/>
                <w:color w:val="auto"/>
                <w:kern w:val="0"/>
                <w:sz w:val="21"/>
                <w:szCs w:val="21"/>
              </w:rPr>
            </w:pPr>
            <w:r>
              <w:rPr>
                <w:b/>
                <w:bCs/>
                <w:color w:val="auto"/>
                <w:kern w:val="0"/>
                <w:sz w:val="21"/>
                <w:szCs w:val="21"/>
              </w:rPr>
              <w:t>企业名称</w:t>
            </w:r>
          </w:p>
        </w:tc>
        <w:tc>
          <w:tcPr>
            <w:tcW w:w="548" w:type="pct"/>
            <w:shd w:val="clear" w:color="auto" w:fill="auto"/>
            <w:tcMar>
              <w:left w:w="28" w:type="dxa"/>
              <w:right w:w="28" w:type="dxa"/>
            </w:tcMar>
            <w:vAlign w:val="center"/>
          </w:tcPr>
          <w:p w14:paraId="69FB56FF">
            <w:pPr>
              <w:widowControl/>
              <w:spacing w:line="240" w:lineRule="auto"/>
              <w:ind w:firstLine="0" w:firstLineChars="0"/>
              <w:jc w:val="center"/>
              <w:rPr>
                <w:b/>
                <w:bCs/>
                <w:color w:val="auto"/>
                <w:kern w:val="0"/>
                <w:sz w:val="21"/>
                <w:szCs w:val="21"/>
              </w:rPr>
            </w:pPr>
            <w:r>
              <w:rPr>
                <w:b/>
                <w:bCs/>
                <w:color w:val="auto"/>
                <w:kern w:val="0"/>
                <w:sz w:val="21"/>
                <w:szCs w:val="21"/>
              </w:rPr>
              <w:t>水量</w:t>
            </w:r>
          </w:p>
        </w:tc>
        <w:tc>
          <w:tcPr>
            <w:tcW w:w="556" w:type="pct"/>
            <w:shd w:val="clear" w:color="auto" w:fill="auto"/>
            <w:tcMar>
              <w:left w:w="28" w:type="dxa"/>
              <w:right w:w="28" w:type="dxa"/>
            </w:tcMar>
            <w:vAlign w:val="center"/>
          </w:tcPr>
          <w:p w14:paraId="6A455E95">
            <w:pPr>
              <w:widowControl/>
              <w:spacing w:line="240" w:lineRule="auto"/>
              <w:ind w:firstLine="0" w:firstLineChars="0"/>
              <w:jc w:val="center"/>
              <w:rPr>
                <w:b/>
                <w:bCs/>
                <w:color w:val="auto"/>
                <w:kern w:val="0"/>
                <w:sz w:val="21"/>
                <w:szCs w:val="21"/>
              </w:rPr>
            </w:pPr>
            <w:r>
              <w:rPr>
                <w:b/>
                <w:bCs/>
                <w:color w:val="auto"/>
                <w:kern w:val="0"/>
                <w:sz w:val="21"/>
                <w:szCs w:val="21"/>
              </w:rPr>
              <w:t xml:space="preserve">COD </w:t>
            </w:r>
          </w:p>
        </w:tc>
        <w:tc>
          <w:tcPr>
            <w:tcW w:w="506" w:type="pct"/>
            <w:shd w:val="clear" w:color="auto" w:fill="auto"/>
            <w:tcMar>
              <w:left w:w="28" w:type="dxa"/>
              <w:right w:w="28" w:type="dxa"/>
            </w:tcMar>
            <w:vAlign w:val="center"/>
          </w:tcPr>
          <w:p w14:paraId="024A7431">
            <w:pPr>
              <w:widowControl/>
              <w:spacing w:line="240" w:lineRule="auto"/>
              <w:ind w:firstLine="0" w:firstLineChars="0"/>
              <w:jc w:val="center"/>
              <w:rPr>
                <w:b/>
                <w:bCs/>
                <w:color w:val="auto"/>
                <w:kern w:val="0"/>
                <w:sz w:val="21"/>
                <w:szCs w:val="21"/>
              </w:rPr>
            </w:pPr>
            <w:r>
              <w:rPr>
                <w:b/>
                <w:bCs/>
                <w:color w:val="auto"/>
                <w:kern w:val="0"/>
                <w:sz w:val="21"/>
                <w:szCs w:val="21"/>
              </w:rPr>
              <w:t>SS</w:t>
            </w:r>
          </w:p>
        </w:tc>
        <w:tc>
          <w:tcPr>
            <w:tcW w:w="505" w:type="pct"/>
            <w:shd w:val="clear" w:color="auto" w:fill="auto"/>
            <w:tcMar>
              <w:left w:w="28" w:type="dxa"/>
              <w:right w:w="28" w:type="dxa"/>
            </w:tcMar>
            <w:vAlign w:val="center"/>
          </w:tcPr>
          <w:p w14:paraId="7D582B27">
            <w:pPr>
              <w:widowControl/>
              <w:spacing w:line="240" w:lineRule="auto"/>
              <w:ind w:firstLine="0" w:firstLineChars="0"/>
              <w:jc w:val="center"/>
              <w:rPr>
                <w:b/>
                <w:bCs/>
                <w:color w:val="auto"/>
                <w:kern w:val="0"/>
                <w:sz w:val="21"/>
                <w:szCs w:val="21"/>
              </w:rPr>
            </w:pPr>
            <w:r>
              <w:rPr>
                <w:b/>
                <w:bCs/>
                <w:color w:val="auto"/>
                <w:kern w:val="0"/>
                <w:sz w:val="21"/>
                <w:szCs w:val="21"/>
              </w:rPr>
              <w:t>氨氮</w:t>
            </w:r>
          </w:p>
        </w:tc>
        <w:tc>
          <w:tcPr>
            <w:tcW w:w="488" w:type="pct"/>
            <w:shd w:val="clear" w:color="auto" w:fill="auto"/>
            <w:tcMar>
              <w:left w:w="28" w:type="dxa"/>
              <w:right w:w="28" w:type="dxa"/>
            </w:tcMar>
            <w:vAlign w:val="center"/>
          </w:tcPr>
          <w:p w14:paraId="3A7C6F95">
            <w:pPr>
              <w:widowControl/>
              <w:spacing w:line="240" w:lineRule="auto"/>
              <w:ind w:firstLine="0" w:firstLineChars="0"/>
              <w:jc w:val="center"/>
              <w:rPr>
                <w:b/>
                <w:bCs/>
                <w:color w:val="auto"/>
                <w:kern w:val="0"/>
                <w:sz w:val="21"/>
                <w:szCs w:val="21"/>
              </w:rPr>
            </w:pPr>
            <w:r>
              <w:rPr>
                <w:b/>
                <w:bCs/>
                <w:color w:val="auto"/>
                <w:kern w:val="0"/>
                <w:sz w:val="21"/>
                <w:szCs w:val="21"/>
              </w:rPr>
              <w:t>TP</w:t>
            </w:r>
          </w:p>
        </w:tc>
      </w:tr>
      <w:tr w14:paraId="26783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4767DD22">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w:t>
            </w:r>
          </w:p>
        </w:tc>
        <w:tc>
          <w:tcPr>
            <w:tcW w:w="2078" w:type="pct"/>
            <w:shd w:val="clear" w:color="auto" w:fill="auto"/>
            <w:tcMar>
              <w:left w:w="28" w:type="dxa"/>
              <w:right w:w="28" w:type="dxa"/>
            </w:tcMar>
            <w:vAlign w:val="center"/>
          </w:tcPr>
          <w:p w14:paraId="769B2FCC">
            <w:pPr>
              <w:widowControl/>
              <w:spacing w:line="240" w:lineRule="auto"/>
              <w:ind w:firstLine="0" w:firstLineChars="0"/>
              <w:jc w:val="center"/>
              <w:rPr>
                <w:color w:val="auto"/>
                <w:kern w:val="0"/>
                <w:sz w:val="21"/>
                <w:szCs w:val="21"/>
              </w:rPr>
            </w:pPr>
            <w:r>
              <w:rPr>
                <w:color w:val="auto"/>
                <w:kern w:val="0"/>
                <w:sz w:val="21"/>
                <w:szCs w:val="21"/>
              </w:rPr>
              <w:t>江苏豪森药业股份有限公司</w:t>
            </w:r>
          </w:p>
        </w:tc>
        <w:tc>
          <w:tcPr>
            <w:tcW w:w="548" w:type="pct"/>
            <w:shd w:val="clear" w:color="auto" w:fill="auto"/>
            <w:tcMar>
              <w:left w:w="28" w:type="dxa"/>
              <w:right w:w="28" w:type="dxa"/>
            </w:tcMar>
            <w:vAlign w:val="center"/>
          </w:tcPr>
          <w:p w14:paraId="3A85AC21">
            <w:pPr>
              <w:widowControl/>
              <w:spacing w:line="240" w:lineRule="auto"/>
              <w:ind w:firstLine="0" w:firstLineChars="0"/>
              <w:jc w:val="center"/>
              <w:rPr>
                <w:color w:val="auto"/>
                <w:kern w:val="0"/>
                <w:sz w:val="21"/>
                <w:szCs w:val="21"/>
              </w:rPr>
            </w:pPr>
            <w:r>
              <w:rPr>
                <w:color w:val="auto"/>
                <w:kern w:val="0"/>
                <w:sz w:val="21"/>
                <w:szCs w:val="21"/>
              </w:rPr>
              <w:t>38883.63</w:t>
            </w:r>
          </w:p>
        </w:tc>
        <w:tc>
          <w:tcPr>
            <w:tcW w:w="556" w:type="pct"/>
            <w:shd w:val="clear" w:color="auto" w:fill="auto"/>
            <w:tcMar>
              <w:left w:w="28" w:type="dxa"/>
              <w:right w:w="28" w:type="dxa"/>
            </w:tcMar>
            <w:vAlign w:val="center"/>
          </w:tcPr>
          <w:p w14:paraId="3529541E">
            <w:pPr>
              <w:widowControl/>
              <w:spacing w:line="240" w:lineRule="auto"/>
              <w:ind w:firstLine="0" w:firstLineChars="0"/>
              <w:jc w:val="center"/>
              <w:rPr>
                <w:color w:val="auto"/>
                <w:kern w:val="0"/>
                <w:sz w:val="21"/>
                <w:szCs w:val="21"/>
              </w:rPr>
            </w:pPr>
            <w:r>
              <w:rPr>
                <w:color w:val="auto"/>
                <w:kern w:val="0"/>
                <w:sz w:val="21"/>
                <w:szCs w:val="21"/>
              </w:rPr>
              <w:t>3.89</w:t>
            </w:r>
          </w:p>
        </w:tc>
        <w:tc>
          <w:tcPr>
            <w:tcW w:w="506" w:type="pct"/>
            <w:shd w:val="clear" w:color="auto" w:fill="auto"/>
            <w:tcMar>
              <w:left w:w="28" w:type="dxa"/>
              <w:right w:w="28" w:type="dxa"/>
            </w:tcMar>
            <w:vAlign w:val="center"/>
          </w:tcPr>
          <w:p w14:paraId="0D8CCC7B">
            <w:pPr>
              <w:widowControl/>
              <w:spacing w:line="240" w:lineRule="auto"/>
              <w:ind w:firstLine="0" w:firstLineChars="0"/>
              <w:jc w:val="center"/>
              <w:rPr>
                <w:color w:val="auto"/>
                <w:kern w:val="0"/>
                <w:sz w:val="21"/>
                <w:szCs w:val="21"/>
              </w:rPr>
            </w:pPr>
            <w:r>
              <w:rPr>
                <w:color w:val="auto"/>
                <w:kern w:val="0"/>
                <w:sz w:val="21"/>
                <w:szCs w:val="21"/>
              </w:rPr>
              <w:t>2.71</w:t>
            </w:r>
          </w:p>
        </w:tc>
        <w:tc>
          <w:tcPr>
            <w:tcW w:w="505" w:type="pct"/>
            <w:shd w:val="clear" w:color="auto" w:fill="auto"/>
            <w:tcMar>
              <w:left w:w="28" w:type="dxa"/>
              <w:right w:w="28" w:type="dxa"/>
            </w:tcMar>
            <w:vAlign w:val="center"/>
          </w:tcPr>
          <w:p w14:paraId="6D8D4C65">
            <w:pPr>
              <w:widowControl/>
              <w:spacing w:line="240" w:lineRule="auto"/>
              <w:ind w:firstLine="0" w:firstLineChars="0"/>
              <w:jc w:val="center"/>
              <w:rPr>
                <w:color w:val="auto"/>
                <w:kern w:val="0"/>
                <w:sz w:val="21"/>
                <w:szCs w:val="21"/>
              </w:rPr>
            </w:pPr>
            <w:r>
              <w:rPr>
                <w:color w:val="auto"/>
                <w:kern w:val="0"/>
                <w:sz w:val="21"/>
                <w:szCs w:val="21"/>
              </w:rPr>
              <w:t>0.2</w:t>
            </w:r>
          </w:p>
        </w:tc>
        <w:tc>
          <w:tcPr>
            <w:tcW w:w="488" w:type="pct"/>
            <w:shd w:val="clear" w:color="auto" w:fill="auto"/>
            <w:tcMar>
              <w:left w:w="28" w:type="dxa"/>
              <w:right w:w="28" w:type="dxa"/>
            </w:tcMar>
            <w:vAlign w:val="center"/>
          </w:tcPr>
          <w:p w14:paraId="60B8A3FE">
            <w:pPr>
              <w:widowControl/>
              <w:spacing w:line="240" w:lineRule="auto"/>
              <w:ind w:firstLine="0" w:firstLineChars="0"/>
              <w:jc w:val="center"/>
              <w:rPr>
                <w:color w:val="auto"/>
                <w:kern w:val="0"/>
                <w:sz w:val="21"/>
                <w:szCs w:val="21"/>
              </w:rPr>
            </w:pPr>
          </w:p>
        </w:tc>
      </w:tr>
      <w:tr w14:paraId="6E08F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6CEE00ED">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2</w:t>
            </w:r>
          </w:p>
        </w:tc>
        <w:tc>
          <w:tcPr>
            <w:tcW w:w="2078" w:type="pct"/>
            <w:shd w:val="clear" w:color="auto" w:fill="auto"/>
            <w:tcMar>
              <w:left w:w="28" w:type="dxa"/>
              <w:right w:w="28" w:type="dxa"/>
            </w:tcMar>
            <w:vAlign w:val="center"/>
          </w:tcPr>
          <w:p w14:paraId="01A66549">
            <w:pPr>
              <w:widowControl/>
              <w:spacing w:line="240" w:lineRule="auto"/>
              <w:ind w:firstLine="0" w:firstLineChars="0"/>
              <w:jc w:val="center"/>
              <w:rPr>
                <w:color w:val="auto"/>
                <w:kern w:val="0"/>
                <w:sz w:val="21"/>
                <w:szCs w:val="21"/>
              </w:rPr>
            </w:pPr>
            <w:r>
              <w:rPr>
                <w:color w:val="auto"/>
                <w:kern w:val="0"/>
                <w:sz w:val="21"/>
                <w:szCs w:val="21"/>
              </w:rPr>
              <w:t>江苏恒瑞医药股份有限公司</w:t>
            </w:r>
          </w:p>
        </w:tc>
        <w:tc>
          <w:tcPr>
            <w:tcW w:w="548" w:type="pct"/>
            <w:shd w:val="clear" w:color="auto" w:fill="auto"/>
            <w:tcMar>
              <w:left w:w="28" w:type="dxa"/>
              <w:right w:w="28" w:type="dxa"/>
            </w:tcMar>
            <w:vAlign w:val="center"/>
          </w:tcPr>
          <w:p w14:paraId="67884542">
            <w:pPr>
              <w:widowControl/>
              <w:spacing w:line="240" w:lineRule="auto"/>
              <w:ind w:firstLine="0" w:firstLineChars="0"/>
              <w:jc w:val="center"/>
              <w:rPr>
                <w:color w:val="auto"/>
                <w:kern w:val="0"/>
                <w:sz w:val="21"/>
                <w:szCs w:val="21"/>
              </w:rPr>
            </w:pPr>
            <w:r>
              <w:rPr>
                <w:color w:val="auto"/>
                <w:kern w:val="0"/>
                <w:sz w:val="21"/>
                <w:szCs w:val="21"/>
              </w:rPr>
              <w:t>120000</w:t>
            </w:r>
          </w:p>
        </w:tc>
        <w:tc>
          <w:tcPr>
            <w:tcW w:w="556" w:type="pct"/>
            <w:shd w:val="clear" w:color="auto" w:fill="auto"/>
            <w:tcMar>
              <w:left w:w="28" w:type="dxa"/>
              <w:right w:w="28" w:type="dxa"/>
            </w:tcMar>
            <w:vAlign w:val="center"/>
          </w:tcPr>
          <w:p w14:paraId="71D5E777">
            <w:pPr>
              <w:widowControl/>
              <w:spacing w:line="240" w:lineRule="auto"/>
              <w:ind w:firstLine="0" w:firstLineChars="0"/>
              <w:jc w:val="center"/>
              <w:rPr>
                <w:color w:val="auto"/>
                <w:kern w:val="0"/>
                <w:sz w:val="21"/>
                <w:szCs w:val="21"/>
              </w:rPr>
            </w:pPr>
            <w:r>
              <w:rPr>
                <w:color w:val="auto"/>
                <w:kern w:val="0"/>
                <w:sz w:val="21"/>
                <w:szCs w:val="21"/>
              </w:rPr>
              <w:t>15.6</w:t>
            </w:r>
          </w:p>
        </w:tc>
        <w:tc>
          <w:tcPr>
            <w:tcW w:w="506" w:type="pct"/>
            <w:shd w:val="clear" w:color="auto" w:fill="auto"/>
            <w:tcMar>
              <w:left w:w="28" w:type="dxa"/>
              <w:right w:w="28" w:type="dxa"/>
            </w:tcMar>
            <w:vAlign w:val="center"/>
          </w:tcPr>
          <w:p w14:paraId="361DBA84">
            <w:pPr>
              <w:widowControl/>
              <w:spacing w:line="240" w:lineRule="auto"/>
              <w:ind w:firstLine="0" w:firstLineChars="0"/>
              <w:jc w:val="center"/>
              <w:rPr>
                <w:color w:val="auto"/>
                <w:kern w:val="0"/>
                <w:sz w:val="21"/>
                <w:szCs w:val="21"/>
              </w:rPr>
            </w:pPr>
            <w:r>
              <w:rPr>
                <w:color w:val="auto"/>
                <w:kern w:val="0"/>
                <w:sz w:val="21"/>
                <w:szCs w:val="21"/>
              </w:rPr>
              <w:t>6.6</w:t>
            </w:r>
          </w:p>
        </w:tc>
        <w:tc>
          <w:tcPr>
            <w:tcW w:w="505" w:type="pct"/>
            <w:shd w:val="clear" w:color="auto" w:fill="auto"/>
            <w:tcMar>
              <w:left w:w="28" w:type="dxa"/>
              <w:right w:w="28" w:type="dxa"/>
            </w:tcMar>
            <w:vAlign w:val="center"/>
          </w:tcPr>
          <w:p w14:paraId="2D891E37">
            <w:pPr>
              <w:widowControl/>
              <w:spacing w:line="240" w:lineRule="auto"/>
              <w:ind w:firstLine="0" w:firstLineChars="0"/>
              <w:jc w:val="center"/>
              <w:rPr>
                <w:color w:val="auto"/>
                <w:kern w:val="0"/>
                <w:sz w:val="21"/>
                <w:szCs w:val="21"/>
              </w:rPr>
            </w:pPr>
            <w:r>
              <w:rPr>
                <w:color w:val="auto"/>
                <w:kern w:val="0"/>
                <w:sz w:val="21"/>
                <w:szCs w:val="21"/>
              </w:rPr>
              <w:t>2.4</w:t>
            </w:r>
          </w:p>
        </w:tc>
        <w:tc>
          <w:tcPr>
            <w:tcW w:w="488" w:type="pct"/>
            <w:shd w:val="clear" w:color="auto" w:fill="auto"/>
            <w:tcMar>
              <w:left w:w="28" w:type="dxa"/>
              <w:right w:w="28" w:type="dxa"/>
            </w:tcMar>
            <w:vAlign w:val="center"/>
          </w:tcPr>
          <w:p w14:paraId="0058E9AB">
            <w:pPr>
              <w:widowControl/>
              <w:spacing w:line="240" w:lineRule="auto"/>
              <w:ind w:firstLine="0" w:firstLineChars="0"/>
              <w:jc w:val="center"/>
              <w:rPr>
                <w:color w:val="auto"/>
                <w:kern w:val="0"/>
                <w:sz w:val="21"/>
                <w:szCs w:val="21"/>
              </w:rPr>
            </w:pPr>
            <w:r>
              <w:rPr>
                <w:color w:val="auto"/>
                <w:kern w:val="0"/>
                <w:sz w:val="21"/>
                <w:szCs w:val="21"/>
              </w:rPr>
              <w:t>0.1255</w:t>
            </w:r>
          </w:p>
        </w:tc>
      </w:tr>
      <w:tr w14:paraId="6A1B5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68C89C2B">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3</w:t>
            </w:r>
          </w:p>
        </w:tc>
        <w:tc>
          <w:tcPr>
            <w:tcW w:w="2078" w:type="pct"/>
            <w:shd w:val="clear" w:color="auto" w:fill="auto"/>
            <w:tcMar>
              <w:left w:w="28" w:type="dxa"/>
              <w:right w:w="28" w:type="dxa"/>
            </w:tcMar>
            <w:vAlign w:val="center"/>
          </w:tcPr>
          <w:p w14:paraId="731C088A">
            <w:pPr>
              <w:widowControl/>
              <w:spacing w:line="240" w:lineRule="auto"/>
              <w:ind w:firstLine="0" w:firstLineChars="0"/>
              <w:jc w:val="center"/>
              <w:rPr>
                <w:color w:val="auto"/>
                <w:kern w:val="0"/>
                <w:sz w:val="21"/>
                <w:szCs w:val="21"/>
              </w:rPr>
            </w:pPr>
            <w:r>
              <w:rPr>
                <w:color w:val="auto"/>
                <w:kern w:val="0"/>
                <w:sz w:val="21"/>
                <w:szCs w:val="21"/>
              </w:rPr>
              <w:t>国电联合动力技术（连云港）有限公司</w:t>
            </w:r>
          </w:p>
        </w:tc>
        <w:tc>
          <w:tcPr>
            <w:tcW w:w="548" w:type="pct"/>
            <w:shd w:val="clear" w:color="auto" w:fill="auto"/>
            <w:tcMar>
              <w:left w:w="28" w:type="dxa"/>
              <w:right w:w="28" w:type="dxa"/>
            </w:tcMar>
            <w:vAlign w:val="center"/>
          </w:tcPr>
          <w:p w14:paraId="15809E0E">
            <w:pPr>
              <w:widowControl/>
              <w:spacing w:line="240" w:lineRule="auto"/>
              <w:ind w:firstLine="0" w:firstLineChars="0"/>
              <w:jc w:val="center"/>
              <w:rPr>
                <w:color w:val="auto"/>
                <w:kern w:val="0"/>
                <w:sz w:val="21"/>
                <w:szCs w:val="21"/>
              </w:rPr>
            </w:pPr>
            <w:r>
              <w:rPr>
                <w:color w:val="auto"/>
                <w:kern w:val="0"/>
                <w:sz w:val="21"/>
                <w:szCs w:val="21"/>
              </w:rPr>
              <w:t>31458</w:t>
            </w:r>
          </w:p>
        </w:tc>
        <w:tc>
          <w:tcPr>
            <w:tcW w:w="556" w:type="pct"/>
            <w:shd w:val="clear" w:color="auto" w:fill="auto"/>
            <w:tcMar>
              <w:left w:w="28" w:type="dxa"/>
              <w:right w:w="28" w:type="dxa"/>
            </w:tcMar>
            <w:vAlign w:val="center"/>
          </w:tcPr>
          <w:p w14:paraId="023C45BF">
            <w:pPr>
              <w:widowControl/>
              <w:spacing w:line="240" w:lineRule="auto"/>
              <w:ind w:firstLine="0" w:firstLineChars="0"/>
              <w:jc w:val="center"/>
              <w:rPr>
                <w:color w:val="auto"/>
                <w:kern w:val="0"/>
                <w:sz w:val="21"/>
                <w:szCs w:val="21"/>
              </w:rPr>
            </w:pPr>
            <w:r>
              <w:rPr>
                <w:color w:val="auto"/>
                <w:kern w:val="0"/>
                <w:sz w:val="21"/>
                <w:szCs w:val="21"/>
              </w:rPr>
              <w:t>13.47</w:t>
            </w:r>
          </w:p>
        </w:tc>
        <w:tc>
          <w:tcPr>
            <w:tcW w:w="506" w:type="pct"/>
            <w:shd w:val="clear" w:color="auto" w:fill="auto"/>
            <w:tcMar>
              <w:left w:w="28" w:type="dxa"/>
              <w:right w:w="28" w:type="dxa"/>
            </w:tcMar>
            <w:vAlign w:val="center"/>
          </w:tcPr>
          <w:p w14:paraId="5D4C6EE0">
            <w:pPr>
              <w:widowControl/>
              <w:spacing w:line="240" w:lineRule="auto"/>
              <w:ind w:firstLine="0" w:firstLineChars="0"/>
              <w:jc w:val="center"/>
              <w:rPr>
                <w:color w:val="auto"/>
                <w:kern w:val="0"/>
                <w:sz w:val="21"/>
                <w:szCs w:val="21"/>
              </w:rPr>
            </w:pPr>
            <w:r>
              <w:rPr>
                <w:color w:val="auto"/>
                <w:kern w:val="0"/>
                <w:sz w:val="21"/>
                <w:szCs w:val="21"/>
              </w:rPr>
              <w:t>7.74</w:t>
            </w:r>
          </w:p>
        </w:tc>
        <w:tc>
          <w:tcPr>
            <w:tcW w:w="505" w:type="pct"/>
            <w:shd w:val="clear" w:color="auto" w:fill="auto"/>
            <w:tcMar>
              <w:left w:w="28" w:type="dxa"/>
              <w:right w:w="28" w:type="dxa"/>
            </w:tcMar>
            <w:vAlign w:val="center"/>
          </w:tcPr>
          <w:p w14:paraId="584673F3">
            <w:pPr>
              <w:widowControl/>
              <w:spacing w:line="240" w:lineRule="auto"/>
              <w:ind w:firstLine="0" w:firstLineChars="0"/>
              <w:jc w:val="center"/>
              <w:rPr>
                <w:color w:val="auto"/>
                <w:kern w:val="0"/>
                <w:sz w:val="21"/>
                <w:szCs w:val="21"/>
              </w:rPr>
            </w:pPr>
            <w:r>
              <w:rPr>
                <w:color w:val="auto"/>
                <w:kern w:val="0"/>
                <w:sz w:val="21"/>
                <w:szCs w:val="21"/>
              </w:rPr>
              <w:t>0.5</w:t>
            </w:r>
          </w:p>
        </w:tc>
        <w:tc>
          <w:tcPr>
            <w:tcW w:w="488" w:type="pct"/>
            <w:shd w:val="clear" w:color="auto" w:fill="auto"/>
            <w:tcMar>
              <w:left w:w="28" w:type="dxa"/>
              <w:right w:w="28" w:type="dxa"/>
            </w:tcMar>
            <w:vAlign w:val="center"/>
          </w:tcPr>
          <w:p w14:paraId="21DB0353">
            <w:pPr>
              <w:widowControl/>
              <w:spacing w:line="240" w:lineRule="auto"/>
              <w:ind w:firstLine="0" w:firstLineChars="0"/>
              <w:jc w:val="center"/>
              <w:rPr>
                <w:color w:val="auto"/>
                <w:kern w:val="0"/>
                <w:sz w:val="21"/>
                <w:szCs w:val="21"/>
              </w:rPr>
            </w:pPr>
            <w:r>
              <w:rPr>
                <w:color w:val="auto"/>
                <w:kern w:val="0"/>
                <w:sz w:val="21"/>
                <w:szCs w:val="21"/>
              </w:rPr>
              <w:t>0.02</w:t>
            </w:r>
          </w:p>
        </w:tc>
      </w:tr>
      <w:tr w14:paraId="38C42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36CC68CD">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4</w:t>
            </w:r>
          </w:p>
        </w:tc>
        <w:tc>
          <w:tcPr>
            <w:tcW w:w="2078" w:type="pct"/>
            <w:shd w:val="clear" w:color="auto" w:fill="auto"/>
            <w:tcMar>
              <w:left w:w="28" w:type="dxa"/>
              <w:right w:w="28" w:type="dxa"/>
            </w:tcMar>
            <w:vAlign w:val="center"/>
          </w:tcPr>
          <w:p w14:paraId="5ADD4E19">
            <w:pPr>
              <w:widowControl/>
              <w:spacing w:line="240" w:lineRule="auto"/>
              <w:ind w:firstLine="0" w:firstLineChars="0"/>
              <w:jc w:val="center"/>
              <w:rPr>
                <w:color w:val="auto"/>
                <w:kern w:val="0"/>
                <w:sz w:val="21"/>
                <w:szCs w:val="21"/>
              </w:rPr>
            </w:pPr>
            <w:r>
              <w:rPr>
                <w:color w:val="auto"/>
                <w:kern w:val="0"/>
                <w:sz w:val="21"/>
                <w:szCs w:val="21"/>
              </w:rPr>
              <w:t>江苏省电力公司连云港农电培训中心</w:t>
            </w:r>
          </w:p>
        </w:tc>
        <w:tc>
          <w:tcPr>
            <w:tcW w:w="548" w:type="pct"/>
            <w:shd w:val="clear" w:color="auto" w:fill="auto"/>
            <w:tcMar>
              <w:left w:w="28" w:type="dxa"/>
              <w:right w:w="28" w:type="dxa"/>
            </w:tcMar>
            <w:vAlign w:val="center"/>
          </w:tcPr>
          <w:p w14:paraId="7709F5D0">
            <w:pPr>
              <w:widowControl/>
              <w:spacing w:line="240" w:lineRule="auto"/>
              <w:ind w:firstLine="0" w:firstLineChars="0"/>
              <w:jc w:val="center"/>
              <w:rPr>
                <w:color w:val="auto"/>
                <w:kern w:val="0"/>
                <w:sz w:val="21"/>
                <w:szCs w:val="21"/>
              </w:rPr>
            </w:pPr>
            <w:r>
              <w:rPr>
                <w:color w:val="auto"/>
                <w:kern w:val="0"/>
                <w:sz w:val="21"/>
                <w:szCs w:val="21"/>
              </w:rPr>
              <w:t>40000</w:t>
            </w:r>
          </w:p>
        </w:tc>
        <w:tc>
          <w:tcPr>
            <w:tcW w:w="556" w:type="pct"/>
            <w:shd w:val="clear" w:color="auto" w:fill="auto"/>
            <w:tcMar>
              <w:left w:w="28" w:type="dxa"/>
              <w:right w:w="28" w:type="dxa"/>
            </w:tcMar>
            <w:vAlign w:val="center"/>
          </w:tcPr>
          <w:p w14:paraId="54281982">
            <w:pPr>
              <w:widowControl/>
              <w:spacing w:line="240" w:lineRule="auto"/>
              <w:ind w:firstLine="0" w:firstLineChars="0"/>
              <w:jc w:val="center"/>
              <w:rPr>
                <w:color w:val="auto"/>
                <w:kern w:val="0"/>
                <w:sz w:val="21"/>
                <w:szCs w:val="21"/>
              </w:rPr>
            </w:pPr>
            <w:r>
              <w:rPr>
                <w:color w:val="auto"/>
                <w:kern w:val="0"/>
                <w:sz w:val="21"/>
                <w:szCs w:val="21"/>
              </w:rPr>
              <w:t>4</w:t>
            </w:r>
          </w:p>
        </w:tc>
        <w:tc>
          <w:tcPr>
            <w:tcW w:w="506" w:type="pct"/>
            <w:shd w:val="clear" w:color="auto" w:fill="auto"/>
            <w:tcMar>
              <w:left w:w="28" w:type="dxa"/>
              <w:right w:w="28" w:type="dxa"/>
            </w:tcMar>
            <w:vAlign w:val="center"/>
          </w:tcPr>
          <w:p w14:paraId="21676E44">
            <w:pPr>
              <w:widowControl/>
              <w:spacing w:line="240" w:lineRule="auto"/>
              <w:ind w:firstLine="0" w:firstLineChars="0"/>
              <w:jc w:val="center"/>
              <w:rPr>
                <w:color w:val="auto"/>
                <w:kern w:val="0"/>
                <w:sz w:val="21"/>
                <w:szCs w:val="21"/>
              </w:rPr>
            </w:pPr>
            <w:r>
              <w:rPr>
                <w:color w:val="auto"/>
                <w:kern w:val="0"/>
                <w:sz w:val="21"/>
                <w:szCs w:val="21"/>
              </w:rPr>
              <w:t>2</w:t>
            </w:r>
          </w:p>
        </w:tc>
        <w:tc>
          <w:tcPr>
            <w:tcW w:w="505" w:type="pct"/>
            <w:shd w:val="clear" w:color="auto" w:fill="auto"/>
            <w:tcMar>
              <w:left w:w="28" w:type="dxa"/>
              <w:right w:w="28" w:type="dxa"/>
            </w:tcMar>
            <w:vAlign w:val="center"/>
          </w:tcPr>
          <w:p w14:paraId="17FDD89C">
            <w:pPr>
              <w:widowControl/>
              <w:spacing w:line="240" w:lineRule="auto"/>
              <w:ind w:firstLine="0" w:firstLineChars="0"/>
              <w:jc w:val="center"/>
              <w:rPr>
                <w:color w:val="auto"/>
                <w:kern w:val="0"/>
                <w:sz w:val="21"/>
                <w:szCs w:val="21"/>
              </w:rPr>
            </w:pPr>
            <w:r>
              <w:rPr>
                <w:color w:val="auto"/>
                <w:kern w:val="0"/>
                <w:sz w:val="21"/>
                <w:szCs w:val="21"/>
              </w:rPr>
              <w:t>0.6</w:t>
            </w:r>
          </w:p>
        </w:tc>
        <w:tc>
          <w:tcPr>
            <w:tcW w:w="488" w:type="pct"/>
            <w:shd w:val="clear" w:color="auto" w:fill="auto"/>
            <w:tcMar>
              <w:left w:w="28" w:type="dxa"/>
              <w:right w:w="28" w:type="dxa"/>
            </w:tcMar>
            <w:vAlign w:val="center"/>
          </w:tcPr>
          <w:p w14:paraId="006B8B1A">
            <w:pPr>
              <w:widowControl/>
              <w:spacing w:line="240" w:lineRule="auto"/>
              <w:ind w:firstLine="0" w:firstLineChars="0"/>
              <w:jc w:val="center"/>
              <w:rPr>
                <w:color w:val="auto"/>
                <w:kern w:val="0"/>
                <w:sz w:val="21"/>
                <w:szCs w:val="21"/>
              </w:rPr>
            </w:pPr>
            <w:r>
              <w:rPr>
                <w:color w:val="auto"/>
                <w:kern w:val="0"/>
                <w:sz w:val="21"/>
                <w:szCs w:val="21"/>
              </w:rPr>
              <w:t>0.024</w:t>
            </w:r>
          </w:p>
        </w:tc>
      </w:tr>
      <w:tr w14:paraId="7CA08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573DDA3E">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5</w:t>
            </w:r>
          </w:p>
        </w:tc>
        <w:tc>
          <w:tcPr>
            <w:tcW w:w="2078" w:type="pct"/>
            <w:shd w:val="clear" w:color="auto" w:fill="auto"/>
            <w:tcMar>
              <w:left w:w="28" w:type="dxa"/>
              <w:right w:w="28" w:type="dxa"/>
            </w:tcMar>
            <w:vAlign w:val="center"/>
          </w:tcPr>
          <w:p w14:paraId="7AEA50F7">
            <w:pPr>
              <w:widowControl/>
              <w:spacing w:line="240" w:lineRule="auto"/>
              <w:ind w:firstLine="0" w:firstLineChars="0"/>
              <w:jc w:val="center"/>
              <w:rPr>
                <w:color w:val="auto"/>
                <w:kern w:val="0"/>
                <w:sz w:val="21"/>
                <w:szCs w:val="21"/>
              </w:rPr>
            </w:pPr>
            <w:r>
              <w:rPr>
                <w:color w:val="auto"/>
                <w:kern w:val="0"/>
                <w:sz w:val="21"/>
                <w:szCs w:val="21"/>
              </w:rPr>
              <w:t>中科院能源动力研究中心</w:t>
            </w:r>
          </w:p>
        </w:tc>
        <w:tc>
          <w:tcPr>
            <w:tcW w:w="548" w:type="pct"/>
            <w:shd w:val="clear" w:color="auto" w:fill="auto"/>
            <w:tcMar>
              <w:left w:w="28" w:type="dxa"/>
              <w:right w:w="28" w:type="dxa"/>
            </w:tcMar>
            <w:vAlign w:val="center"/>
          </w:tcPr>
          <w:p w14:paraId="0A3108C6">
            <w:pPr>
              <w:widowControl/>
              <w:spacing w:line="240" w:lineRule="auto"/>
              <w:ind w:firstLine="0" w:firstLineChars="0"/>
              <w:jc w:val="center"/>
              <w:rPr>
                <w:color w:val="auto"/>
                <w:kern w:val="0"/>
                <w:sz w:val="21"/>
                <w:szCs w:val="21"/>
              </w:rPr>
            </w:pPr>
            <w:r>
              <w:rPr>
                <w:color w:val="auto"/>
                <w:kern w:val="0"/>
                <w:sz w:val="21"/>
                <w:szCs w:val="21"/>
              </w:rPr>
              <w:t>1200</w:t>
            </w:r>
          </w:p>
        </w:tc>
        <w:tc>
          <w:tcPr>
            <w:tcW w:w="556" w:type="pct"/>
            <w:shd w:val="clear" w:color="auto" w:fill="auto"/>
            <w:tcMar>
              <w:left w:w="28" w:type="dxa"/>
              <w:right w:w="28" w:type="dxa"/>
            </w:tcMar>
            <w:vAlign w:val="center"/>
          </w:tcPr>
          <w:p w14:paraId="162A3CEB">
            <w:pPr>
              <w:widowControl/>
              <w:spacing w:line="240" w:lineRule="auto"/>
              <w:ind w:firstLine="0" w:firstLineChars="0"/>
              <w:jc w:val="center"/>
              <w:rPr>
                <w:color w:val="auto"/>
                <w:kern w:val="0"/>
                <w:sz w:val="21"/>
                <w:szCs w:val="21"/>
              </w:rPr>
            </w:pPr>
            <w:r>
              <w:rPr>
                <w:color w:val="auto"/>
                <w:kern w:val="0"/>
                <w:sz w:val="21"/>
                <w:szCs w:val="21"/>
              </w:rPr>
              <w:t>0.36</w:t>
            </w:r>
          </w:p>
        </w:tc>
        <w:tc>
          <w:tcPr>
            <w:tcW w:w="506" w:type="pct"/>
            <w:shd w:val="clear" w:color="auto" w:fill="auto"/>
            <w:tcMar>
              <w:left w:w="28" w:type="dxa"/>
              <w:right w:w="28" w:type="dxa"/>
            </w:tcMar>
            <w:vAlign w:val="center"/>
          </w:tcPr>
          <w:p w14:paraId="6D6FC48E">
            <w:pPr>
              <w:widowControl/>
              <w:spacing w:line="240" w:lineRule="auto"/>
              <w:ind w:firstLine="0" w:firstLineChars="0"/>
              <w:jc w:val="center"/>
              <w:rPr>
                <w:color w:val="auto"/>
                <w:kern w:val="0"/>
                <w:sz w:val="21"/>
                <w:szCs w:val="21"/>
              </w:rPr>
            </w:pPr>
            <w:r>
              <w:rPr>
                <w:color w:val="auto"/>
                <w:kern w:val="0"/>
                <w:sz w:val="21"/>
                <w:szCs w:val="21"/>
              </w:rPr>
              <w:t>0.24</w:t>
            </w:r>
          </w:p>
        </w:tc>
        <w:tc>
          <w:tcPr>
            <w:tcW w:w="505" w:type="pct"/>
            <w:shd w:val="clear" w:color="auto" w:fill="auto"/>
            <w:tcMar>
              <w:left w:w="28" w:type="dxa"/>
              <w:right w:w="28" w:type="dxa"/>
            </w:tcMar>
            <w:vAlign w:val="center"/>
          </w:tcPr>
          <w:p w14:paraId="73D47CD6">
            <w:pPr>
              <w:widowControl/>
              <w:spacing w:line="240" w:lineRule="auto"/>
              <w:ind w:firstLine="0" w:firstLineChars="0"/>
              <w:jc w:val="center"/>
              <w:rPr>
                <w:color w:val="auto"/>
                <w:kern w:val="0"/>
                <w:sz w:val="21"/>
                <w:szCs w:val="21"/>
              </w:rPr>
            </w:pPr>
            <w:r>
              <w:rPr>
                <w:color w:val="auto"/>
                <w:kern w:val="0"/>
                <w:sz w:val="21"/>
                <w:szCs w:val="21"/>
              </w:rPr>
              <w:t>0.02</w:t>
            </w:r>
          </w:p>
        </w:tc>
        <w:tc>
          <w:tcPr>
            <w:tcW w:w="488" w:type="pct"/>
            <w:shd w:val="clear" w:color="auto" w:fill="auto"/>
            <w:tcMar>
              <w:left w:w="28" w:type="dxa"/>
              <w:right w:w="28" w:type="dxa"/>
            </w:tcMar>
            <w:vAlign w:val="center"/>
          </w:tcPr>
          <w:p w14:paraId="39C60452">
            <w:pPr>
              <w:widowControl/>
              <w:spacing w:line="240" w:lineRule="auto"/>
              <w:ind w:firstLine="0" w:firstLineChars="0"/>
              <w:jc w:val="center"/>
              <w:rPr>
                <w:color w:val="auto"/>
                <w:kern w:val="0"/>
                <w:sz w:val="21"/>
                <w:szCs w:val="21"/>
              </w:rPr>
            </w:pPr>
            <w:r>
              <w:rPr>
                <w:color w:val="auto"/>
                <w:kern w:val="0"/>
                <w:sz w:val="21"/>
                <w:szCs w:val="21"/>
              </w:rPr>
              <w:t>0.005</w:t>
            </w:r>
          </w:p>
        </w:tc>
      </w:tr>
      <w:tr w14:paraId="57425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35FD2325">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6</w:t>
            </w:r>
          </w:p>
        </w:tc>
        <w:tc>
          <w:tcPr>
            <w:tcW w:w="2078" w:type="pct"/>
            <w:shd w:val="clear" w:color="auto" w:fill="auto"/>
            <w:tcMar>
              <w:left w:w="28" w:type="dxa"/>
              <w:right w:w="28" w:type="dxa"/>
            </w:tcMar>
            <w:vAlign w:val="center"/>
          </w:tcPr>
          <w:p w14:paraId="4B3A25DF">
            <w:pPr>
              <w:widowControl/>
              <w:spacing w:line="240" w:lineRule="auto"/>
              <w:ind w:firstLine="0" w:firstLineChars="0"/>
              <w:jc w:val="center"/>
              <w:rPr>
                <w:color w:val="auto"/>
                <w:kern w:val="0"/>
                <w:sz w:val="21"/>
                <w:szCs w:val="21"/>
              </w:rPr>
            </w:pPr>
            <w:r>
              <w:rPr>
                <w:color w:val="auto"/>
                <w:kern w:val="0"/>
                <w:sz w:val="21"/>
                <w:szCs w:val="21"/>
              </w:rPr>
              <w:t>华磁商用电器制造（连云港）有限公司</w:t>
            </w:r>
          </w:p>
        </w:tc>
        <w:tc>
          <w:tcPr>
            <w:tcW w:w="548" w:type="pct"/>
            <w:shd w:val="clear" w:color="auto" w:fill="auto"/>
            <w:tcMar>
              <w:left w:w="28" w:type="dxa"/>
              <w:right w:w="28" w:type="dxa"/>
            </w:tcMar>
            <w:vAlign w:val="center"/>
          </w:tcPr>
          <w:p w14:paraId="10CBB747">
            <w:pPr>
              <w:widowControl/>
              <w:spacing w:line="240" w:lineRule="auto"/>
              <w:ind w:firstLine="0" w:firstLineChars="0"/>
              <w:jc w:val="center"/>
              <w:rPr>
                <w:color w:val="auto"/>
                <w:kern w:val="0"/>
                <w:sz w:val="21"/>
                <w:szCs w:val="21"/>
              </w:rPr>
            </w:pPr>
            <w:r>
              <w:rPr>
                <w:color w:val="auto"/>
                <w:kern w:val="0"/>
                <w:sz w:val="21"/>
                <w:szCs w:val="21"/>
              </w:rPr>
              <w:t>7200</w:t>
            </w:r>
          </w:p>
        </w:tc>
        <w:tc>
          <w:tcPr>
            <w:tcW w:w="556" w:type="pct"/>
            <w:shd w:val="clear" w:color="auto" w:fill="auto"/>
            <w:tcMar>
              <w:left w:w="28" w:type="dxa"/>
              <w:right w:w="28" w:type="dxa"/>
            </w:tcMar>
            <w:vAlign w:val="center"/>
          </w:tcPr>
          <w:p w14:paraId="7242DB68">
            <w:pPr>
              <w:widowControl/>
              <w:spacing w:line="240" w:lineRule="auto"/>
              <w:ind w:firstLine="0" w:firstLineChars="0"/>
              <w:jc w:val="center"/>
              <w:rPr>
                <w:color w:val="auto"/>
                <w:kern w:val="0"/>
                <w:sz w:val="21"/>
                <w:szCs w:val="21"/>
              </w:rPr>
            </w:pPr>
            <w:r>
              <w:rPr>
                <w:color w:val="auto"/>
                <w:kern w:val="0"/>
                <w:sz w:val="21"/>
                <w:szCs w:val="21"/>
              </w:rPr>
              <w:t>2.16</w:t>
            </w:r>
          </w:p>
        </w:tc>
        <w:tc>
          <w:tcPr>
            <w:tcW w:w="506" w:type="pct"/>
            <w:shd w:val="clear" w:color="auto" w:fill="auto"/>
            <w:tcMar>
              <w:left w:w="28" w:type="dxa"/>
              <w:right w:w="28" w:type="dxa"/>
            </w:tcMar>
            <w:vAlign w:val="center"/>
          </w:tcPr>
          <w:p w14:paraId="09E822F7">
            <w:pPr>
              <w:widowControl/>
              <w:spacing w:line="240" w:lineRule="auto"/>
              <w:ind w:firstLine="0" w:firstLineChars="0"/>
              <w:jc w:val="center"/>
              <w:rPr>
                <w:color w:val="auto"/>
                <w:kern w:val="0"/>
                <w:sz w:val="21"/>
                <w:szCs w:val="21"/>
              </w:rPr>
            </w:pPr>
            <w:r>
              <w:rPr>
                <w:color w:val="auto"/>
                <w:kern w:val="0"/>
                <w:sz w:val="21"/>
                <w:szCs w:val="21"/>
              </w:rPr>
              <w:t>1.44</w:t>
            </w:r>
          </w:p>
        </w:tc>
        <w:tc>
          <w:tcPr>
            <w:tcW w:w="505" w:type="pct"/>
            <w:shd w:val="clear" w:color="auto" w:fill="auto"/>
            <w:tcMar>
              <w:left w:w="28" w:type="dxa"/>
              <w:right w:w="28" w:type="dxa"/>
            </w:tcMar>
            <w:vAlign w:val="center"/>
          </w:tcPr>
          <w:p w14:paraId="29920CB6">
            <w:pPr>
              <w:widowControl/>
              <w:spacing w:line="240" w:lineRule="auto"/>
              <w:ind w:firstLine="0" w:firstLineChars="0"/>
              <w:jc w:val="center"/>
              <w:rPr>
                <w:color w:val="auto"/>
                <w:kern w:val="0"/>
                <w:sz w:val="21"/>
                <w:szCs w:val="21"/>
              </w:rPr>
            </w:pPr>
            <w:r>
              <w:rPr>
                <w:color w:val="auto"/>
                <w:kern w:val="0"/>
                <w:sz w:val="21"/>
                <w:szCs w:val="21"/>
              </w:rPr>
              <w:t>0.11</w:t>
            </w:r>
          </w:p>
        </w:tc>
        <w:tc>
          <w:tcPr>
            <w:tcW w:w="488" w:type="pct"/>
            <w:shd w:val="clear" w:color="auto" w:fill="auto"/>
            <w:tcMar>
              <w:left w:w="28" w:type="dxa"/>
              <w:right w:w="28" w:type="dxa"/>
            </w:tcMar>
            <w:vAlign w:val="center"/>
          </w:tcPr>
          <w:p w14:paraId="62FE77AF">
            <w:pPr>
              <w:widowControl/>
              <w:spacing w:line="240" w:lineRule="auto"/>
              <w:ind w:firstLine="0" w:firstLineChars="0"/>
              <w:jc w:val="center"/>
              <w:rPr>
                <w:color w:val="auto"/>
                <w:kern w:val="0"/>
                <w:sz w:val="21"/>
                <w:szCs w:val="21"/>
              </w:rPr>
            </w:pPr>
            <w:r>
              <w:rPr>
                <w:color w:val="auto"/>
                <w:kern w:val="0"/>
                <w:sz w:val="21"/>
                <w:szCs w:val="21"/>
              </w:rPr>
              <w:t>0.03</w:t>
            </w:r>
          </w:p>
        </w:tc>
      </w:tr>
      <w:tr w14:paraId="72ECB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28452D79">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7</w:t>
            </w:r>
          </w:p>
        </w:tc>
        <w:tc>
          <w:tcPr>
            <w:tcW w:w="2078" w:type="pct"/>
            <w:shd w:val="clear" w:color="auto" w:fill="auto"/>
            <w:tcMar>
              <w:left w:w="28" w:type="dxa"/>
              <w:right w:w="28" w:type="dxa"/>
            </w:tcMar>
            <w:vAlign w:val="center"/>
          </w:tcPr>
          <w:p w14:paraId="00EE33D5">
            <w:pPr>
              <w:widowControl/>
              <w:spacing w:line="240" w:lineRule="auto"/>
              <w:ind w:firstLine="0" w:firstLineChars="0"/>
              <w:jc w:val="center"/>
              <w:rPr>
                <w:color w:val="auto"/>
                <w:kern w:val="0"/>
                <w:sz w:val="21"/>
                <w:szCs w:val="21"/>
              </w:rPr>
            </w:pPr>
            <w:r>
              <w:rPr>
                <w:color w:val="auto"/>
                <w:kern w:val="0"/>
                <w:sz w:val="21"/>
                <w:szCs w:val="21"/>
              </w:rPr>
              <w:t>江苏金桥盐化集团上元节能建材有限公司</w:t>
            </w:r>
          </w:p>
        </w:tc>
        <w:tc>
          <w:tcPr>
            <w:tcW w:w="548" w:type="pct"/>
            <w:shd w:val="clear" w:color="auto" w:fill="auto"/>
            <w:tcMar>
              <w:left w:w="28" w:type="dxa"/>
              <w:right w:w="28" w:type="dxa"/>
            </w:tcMar>
            <w:vAlign w:val="center"/>
          </w:tcPr>
          <w:p w14:paraId="4D4720AF">
            <w:pPr>
              <w:widowControl/>
              <w:spacing w:line="240" w:lineRule="auto"/>
              <w:ind w:firstLine="0" w:firstLineChars="0"/>
              <w:jc w:val="center"/>
              <w:rPr>
                <w:color w:val="auto"/>
                <w:kern w:val="0"/>
                <w:sz w:val="21"/>
                <w:szCs w:val="21"/>
              </w:rPr>
            </w:pPr>
            <w:r>
              <w:rPr>
                <w:color w:val="auto"/>
                <w:kern w:val="0"/>
                <w:sz w:val="21"/>
                <w:szCs w:val="21"/>
              </w:rPr>
              <w:t>2000</w:t>
            </w:r>
          </w:p>
        </w:tc>
        <w:tc>
          <w:tcPr>
            <w:tcW w:w="556" w:type="pct"/>
            <w:shd w:val="clear" w:color="auto" w:fill="auto"/>
            <w:tcMar>
              <w:left w:w="28" w:type="dxa"/>
              <w:right w:w="28" w:type="dxa"/>
            </w:tcMar>
            <w:vAlign w:val="center"/>
          </w:tcPr>
          <w:p w14:paraId="3CBDBD28">
            <w:pPr>
              <w:widowControl/>
              <w:spacing w:line="240" w:lineRule="auto"/>
              <w:ind w:firstLine="0" w:firstLineChars="0"/>
              <w:jc w:val="center"/>
              <w:rPr>
                <w:color w:val="auto"/>
                <w:kern w:val="0"/>
                <w:sz w:val="21"/>
                <w:szCs w:val="21"/>
              </w:rPr>
            </w:pPr>
            <w:r>
              <w:rPr>
                <w:color w:val="auto"/>
                <w:kern w:val="0"/>
                <w:sz w:val="21"/>
                <w:szCs w:val="21"/>
              </w:rPr>
              <w:t>0.252</w:t>
            </w:r>
          </w:p>
        </w:tc>
        <w:tc>
          <w:tcPr>
            <w:tcW w:w="506" w:type="pct"/>
            <w:shd w:val="clear" w:color="auto" w:fill="auto"/>
            <w:tcMar>
              <w:left w:w="28" w:type="dxa"/>
              <w:right w:w="28" w:type="dxa"/>
            </w:tcMar>
            <w:vAlign w:val="center"/>
          </w:tcPr>
          <w:p w14:paraId="560E75D5">
            <w:pPr>
              <w:widowControl/>
              <w:spacing w:line="240" w:lineRule="auto"/>
              <w:ind w:firstLine="0" w:firstLineChars="0"/>
              <w:jc w:val="center"/>
              <w:rPr>
                <w:color w:val="auto"/>
                <w:kern w:val="0"/>
                <w:sz w:val="21"/>
                <w:szCs w:val="21"/>
              </w:rPr>
            </w:pPr>
            <w:r>
              <w:rPr>
                <w:color w:val="auto"/>
                <w:kern w:val="0"/>
                <w:sz w:val="21"/>
                <w:szCs w:val="21"/>
              </w:rPr>
              <w:t>0.028</w:t>
            </w:r>
          </w:p>
        </w:tc>
        <w:tc>
          <w:tcPr>
            <w:tcW w:w="505" w:type="pct"/>
            <w:shd w:val="clear" w:color="auto" w:fill="auto"/>
            <w:tcMar>
              <w:left w:w="28" w:type="dxa"/>
              <w:right w:w="28" w:type="dxa"/>
            </w:tcMar>
            <w:vAlign w:val="center"/>
          </w:tcPr>
          <w:p w14:paraId="03CB3F1B">
            <w:pPr>
              <w:widowControl/>
              <w:spacing w:line="240" w:lineRule="auto"/>
              <w:ind w:firstLine="0" w:firstLineChars="0"/>
              <w:jc w:val="center"/>
              <w:rPr>
                <w:color w:val="auto"/>
                <w:kern w:val="0"/>
                <w:sz w:val="21"/>
                <w:szCs w:val="21"/>
              </w:rPr>
            </w:pPr>
            <w:r>
              <w:rPr>
                <w:color w:val="auto"/>
                <w:kern w:val="0"/>
                <w:sz w:val="21"/>
                <w:szCs w:val="21"/>
              </w:rPr>
              <w:t>0.002</w:t>
            </w:r>
          </w:p>
        </w:tc>
        <w:tc>
          <w:tcPr>
            <w:tcW w:w="488" w:type="pct"/>
            <w:shd w:val="clear" w:color="auto" w:fill="auto"/>
            <w:tcMar>
              <w:left w:w="28" w:type="dxa"/>
              <w:right w:w="28" w:type="dxa"/>
            </w:tcMar>
            <w:vAlign w:val="center"/>
          </w:tcPr>
          <w:p w14:paraId="2740904E">
            <w:pPr>
              <w:widowControl/>
              <w:spacing w:line="240" w:lineRule="auto"/>
              <w:ind w:firstLine="0" w:firstLineChars="0"/>
              <w:jc w:val="center"/>
              <w:rPr>
                <w:color w:val="auto"/>
                <w:kern w:val="0"/>
                <w:sz w:val="21"/>
                <w:szCs w:val="21"/>
              </w:rPr>
            </w:pPr>
          </w:p>
        </w:tc>
      </w:tr>
      <w:tr w14:paraId="4F573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7ED7976D">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8</w:t>
            </w:r>
          </w:p>
        </w:tc>
        <w:tc>
          <w:tcPr>
            <w:tcW w:w="2078" w:type="pct"/>
            <w:shd w:val="clear" w:color="auto" w:fill="auto"/>
            <w:tcMar>
              <w:left w:w="28" w:type="dxa"/>
              <w:right w:w="28" w:type="dxa"/>
            </w:tcMar>
            <w:vAlign w:val="center"/>
          </w:tcPr>
          <w:p w14:paraId="2FD93E70">
            <w:pPr>
              <w:widowControl/>
              <w:spacing w:line="240" w:lineRule="auto"/>
              <w:ind w:firstLine="0" w:firstLineChars="0"/>
              <w:jc w:val="center"/>
              <w:rPr>
                <w:color w:val="auto"/>
                <w:kern w:val="0"/>
                <w:sz w:val="21"/>
                <w:szCs w:val="21"/>
              </w:rPr>
            </w:pPr>
            <w:r>
              <w:rPr>
                <w:color w:val="auto"/>
                <w:kern w:val="0"/>
                <w:sz w:val="21"/>
                <w:szCs w:val="21"/>
              </w:rPr>
              <w:t>连云港永德金属科技有限公司</w:t>
            </w:r>
          </w:p>
        </w:tc>
        <w:tc>
          <w:tcPr>
            <w:tcW w:w="548" w:type="pct"/>
            <w:shd w:val="clear" w:color="auto" w:fill="auto"/>
            <w:tcMar>
              <w:left w:w="28" w:type="dxa"/>
              <w:right w:w="28" w:type="dxa"/>
            </w:tcMar>
            <w:vAlign w:val="center"/>
          </w:tcPr>
          <w:p w14:paraId="3C3D22AF">
            <w:pPr>
              <w:widowControl/>
              <w:spacing w:line="240" w:lineRule="auto"/>
              <w:ind w:firstLine="0" w:firstLineChars="0"/>
              <w:jc w:val="center"/>
              <w:rPr>
                <w:color w:val="auto"/>
                <w:kern w:val="0"/>
                <w:sz w:val="21"/>
                <w:szCs w:val="21"/>
              </w:rPr>
            </w:pPr>
            <w:r>
              <w:rPr>
                <w:color w:val="auto"/>
                <w:kern w:val="0"/>
                <w:sz w:val="21"/>
                <w:szCs w:val="21"/>
              </w:rPr>
              <w:t>31500</w:t>
            </w:r>
          </w:p>
        </w:tc>
        <w:tc>
          <w:tcPr>
            <w:tcW w:w="556" w:type="pct"/>
            <w:shd w:val="clear" w:color="auto" w:fill="auto"/>
            <w:tcMar>
              <w:left w:w="28" w:type="dxa"/>
              <w:right w:w="28" w:type="dxa"/>
            </w:tcMar>
            <w:vAlign w:val="center"/>
          </w:tcPr>
          <w:p w14:paraId="10685ECE">
            <w:pPr>
              <w:widowControl/>
              <w:spacing w:line="240" w:lineRule="auto"/>
              <w:ind w:firstLine="0" w:firstLineChars="0"/>
              <w:jc w:val="center"/>
              <w:rPr>
                <w:color w:val="auto"/>
                <w:kern w:val="0"/>
                <w:sz w:val="21"/>
                <w:szCs w:val="21"/>
              </w:rPr>
            </w:pPr>
            <w:r>
              <w:rPr>
                <w:color w:val="auto"/>
                <w:kern w:val="0"/>
                <w:sz w:val="21"/>
                <w:szCs w:val="21"/>
              </w:rPr>
              <w:t>4.2</w:t>
            </w:r>
          </w:p>
        </w:tc>
        <w:tc>
          <w:tcPr>
            <w:tcW w:w="506" w:type="pct"/>
            <w:shd w:val="clear" w:color="auto" w:fill="auto"/>
            <w:tcMar>
              <w:left w:w="28" w:type="dxa"/>
              <w:right w:w="28" w:type="dxa"/>
            </w:tcMar>
            <w:vAlign w:val="center"/>
          </w:tcPr>
          <w:p w14:paraId="0F09C667">
            <w:pPr>
              <w:widowControl/>
              <w:spacing w:line="240" w:lineRule="auto"/>
              <w:ind w:firstLine="0" w:firstLineChars="0"/>
              <w:jc w:val="center"/>
              <w:rPr>
                <w:color w:val="auto"/>
                <w:kern w:val="0"/>
                <w:sz w:val="21"/>
                <w:szCs w:val="21"/>
              </w:rPr>
            </w:pPr>
            <w:r>
              <w:rPr>
                <w:color w:val="auto"/>
                <w:kern w:val="0"/>
                <w:sz w:val="21"/>
                <w:szCs w:val="21"/>
              </w:rPr>
              <w:t>3</w:t>
            </w:r>
          </w:p>
        </w:tc>
        <w:tc>
          <w:tcPr>
            <w:tcW w:w="505" w:type="pct"/>
            <w:shd w:val="clear" w:color="auto" w:fill="auto"/>
            <w:tcMar>
              <w:left w:w="28" w:type="dxa"/>
              <w:right w:w="28" w:type="dxa"/>
            </w:tcMar>
            <w:vAlign w:val="center"/>
          </w:tcPr>
          <w:p w14:paraId="050D0E6D">
            <w:pPr>
              <w:widowControl/>
              <w:spacing w:line="240" w:lineRule="auto"/>
              <w:ind w:firstLine="0" w:firstLineChars="0"/>
              <w:jc w:val="center"/>
              <w:rPr>
                <w:color w:val="auto"/>
                <w:kern w:val="0"/>
                <w:sz w:val="21"/>
                <w:szCs w:val="21"/>
              </w:rPr>
            </w:pPr>
            <w:r>
              <w:rPr>
                <w:color w:val="auto"/>
                <w:kern w:val="0"/>
                <w:sz w:val="21"/>
                <w:szCs w:val="21"/>
              </w:rPr>
              <w:t>0.2</w:t>
            </w:r>
          </w:p>
        </w:tc>
        <w:tc>
          <w:tcPr>
            <w:tcW w:w="488" w:type="pct"/>
            <w:shd w:val="clear" w:color="auto" w:fill="auto"/>
            <w:tcMar>
              <w:left w:w="28" w:type="dxa"/>
              <w:right w:w="28" w:type="dxa"/>
            </w:tcMar>
            <w:vAlign w:val="center"/>
          </w:tcPr>
          <w:p w14:paraId="60EF1721">
            <w:pPr>
              <w:widowControl/>
              <w:spacing w:line="240" w:lineRule="auto"/>
              <w:ind w:firstLine="0" w:firstLineChars="0"/>
              <w:jc w:val="center"/>
              <w:rPr>
                <w:color w:val="auto"/>
                <w:kern w:val="0"/>
                <w:sz w:val="21"/>
                <w:szCs w:val="21"/>
              </w:rPr>
            </w:pPr>
            <w:r>
              <w:rPr>
                <w:color w:val="auto"/>
                <w:kern w:val="0"/>
                <w:sz w:val="21"/>
                <w:szCs w:val="21"/>
              </w:rPr>
              <w:t>0.008</w:t>
            </w:r>
          </w:p>
        </w:tc>
      </w:tr>
      <w:tr w14:paraId="03621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608A2161">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9</w:t>
            </w:r>
          </w:p>
        </w:tc>
        <w:tc>
          <w:tcPr>
            <w:tcW w:w="2078" w:type="pct"/>
            <w:shd w:val="clear" w:color="auto" w:fill="auto"/>
            <w:tcMar>
              <w:left w:w="28" w:type="dxa"/>
              <w:right w:w="28" w:type="dxa"/>
            </w:tcMar>
            <w:vAlign w:val="center"/>
          </w:tcPr>
          <w:p w14:paraId="2E2F797B">
            <w:pPr>
              <w:widowControl/>
              <w:spacing w:line="240" w:lineRule="auto"/>
              <w:ind w:firstLine="0" w:firstLineChars="0"/>
              <w:jc w:val="center"/>
              <w:rPr>
                <w:color w:val="auto"/>
                <w:kern w:val="0"/>
                <w:sz w:val="21"/>
                <w:szCs w:val="21"/>
              </w:rPr>
            </w:pPr>
            <w:r>
              <w:rPr>
                <w:color w:val="auto"/>
                <w:kern w:val="0"/>
                <w:sz w:val="21"/>
                <w:szCs w:val="21"/>
              </w:rPr>
              <w:t>连云港华拓佳实业有限公司</w:t>
            </w:r>
          </w:p>
        </w:tc>
        <w:tc>
          <w:tcPr>
            <w:tcW w:w="548" w:type="pct"/>
            <w:shd w:val="clear" w:color="auto" w:fill="auto"/>
            <w:tcMar>
              <w:left w:w="28" w:type="dxa"/>
              <w:right w:w="28" w:type="dxa"/>
            </w:tcMar>
            <w:vAlign w:val="center"/>
          </w:tcPr>
          <w:p w14:paraId="6E542518">
            <w:pPr>
              <w:widowControl/>
              <w:spacing w:line="240" w:lineRule="auto"/>
              <w:ind w:firstLine="0" w:firstLineChars="0"/>
              <w:jc w:val="center"/>
              <w:rPr>
                <w:color w:val="auto"/>
                <w:kern w:val="0"/>
                <w:sz w:val="21"/>
                <w:szCs w:val="21"/>
              </w:rPr>
            </w:pPr>
            <w:r>
              <w:rPr>
                <w:color w:val="auto"/>
                <w:kern w:val="0"/>
                <w:sz w:val="21"/>
                <w:szCs w:val="21"/>
              </w:rPr>
              <w:t>5600</w:t>
            </w:r>
          </w:p>
        </w:tc>
        <w:tc>
          <w:tcPr>
            <w:tcW w:w="556" w:type="pct"/>
            <w:shd w:val="clear" w:color="auto" w:fill="auto"/>
            <w:tcMar>
              <w:left w:w="28" w:type="dxa"/>
              <w:right w:w="28" w:type="dxa"/>
            </w:tcMar>
            <w:vAlign w:val="center"/>
          </w:tcPr>
          <w:p w14:paraId="2D1FF983">
            <w:pPr>
              <w:widowControl/>
              <w:spacing w:line="240" w:lineRule="auto"/>
              <w:ind w:firstLine="0" w:firstLineChars="0"/>
              <w:jc w:val="center"/>
              <w:rPr>
                <w:color w:val="auto"/>
                <w:kern w:val="0"/>
                <w:sz w:val="21"/>
                <w:szCs w:val="21"/>
              </w:rPr>
            </w:pPr>
            <w:r>
              <w:rPr>
                <w:color w:val="auto"/>
                <w:kern w:val="0"/>
                <w:sz w:val="21"/>
                <w:szCs w:val="21"/>
              </w:rPr>
              <w:t>0.67</w:t>
            </w:r>
          </w:p>
        </w:tc>
        <w:tc>
          <w:tcPr>
            <w:tcW w:w="506" w:type="pct"/>
            <w:shd w:val="clear" w:color="auto" w:fill="auto"/>
            <w:tcMar>
              <w:left w:w="28" w:type="dxa"/>
              <w:right w:w="28" w:type="dxa"/>
            </w:tcMar>
            <w:vAlign w:val="center"/>
          </w:tcPr>
          <w:p w14:paraId="3EB3F0BB">
            <w:pPr>
              <w:widowControl/>
              <w:spacing w:line="240" w:lineRule="auto"/>
              <w:ind w:firstLine="0" w:firstLineChars="0"/>
              <w:jc w:val="center"/>
              <w:rPr>
                <w:color w:val="auto"/>
                <w:kern w:val="0"/>
                <w:sz w:val="21"/>
                <w:szCs w:val="21"/>
              </w:rPr>
            </w:pPr>
            <w:r>
              <w:rPr>
                <w:color w:val="auto"/>
                <w:kern w:val="0"/>
                <w:sz w:val="21"/>
                <w:szCs w:val="21"/>
              </w:rPr>
              <w:t>0.42</w:t>
            </w:r>
          </w:p>
        </w:tc>
        <w:tc>
          <w:tcPr>
            <w:tcW w:w="505" w:type="pct"/>
            <w:shd w:val="clear" w:color="auto" w:fill="auto"/>
            <w:tcMar>
              <w:left w:w="28" w:type="dxa"/>
              <w:right w:w="28" w:type="dxa"/>
            </w:tcMar>
            <w:vAlign w:val="center"/>
          </w:tcPr>
          <w:p w14:paraId="1826FD1E">
            <w:pPr>
              <w:widowControl/>
              <w:spacing w:line="240" w:lineRule="auto"/>
              <w:ind w:firstLine="0" w:firstLineChars="0"/>
              <w:jc w:val="center"/>
              <w:rPr>
                <w:color w:val="auto"/>
                <w:kern w:val="0"/>
                <w:sz w:val="21"/>
                <w:szCs w:val="21"/>
              </w:rPr>
            </w:pPr>
            <w:r>
              <w:rPr>
                <w:color w:val="auto"/>
                <w:kern w:val="0"/>
                <w:sz w:val="21"/>
                <w:szCs w:val="21"/>
              </w:rPr>
              <w:t>0.03</w:t>
            </w:r>
          </w:p>
        </w:tc>
        <w:tc>
          <w:tcPr>
            <w:tcW w:w="488" w:type="pct"/>
            <w:shd w:val="clear" w:color="auto" w:fill="auto"/>
            <w:tcMar>
              <w:left w:w="28" w:type="dxa"/>
              <w:right w:w="28" w:type="dxa"/>
            </w:tcMar>
            <w:vAlign w:val="center"/>
          </w:tcPr>
          <w:p w14:paraId="2AC930CE">
            <w:pPr>
              <w:widowControl/>
              <w:spacing w:line="240" w:lineRule="auto"/>
              <w:ind w:firstLine="0" w:firstLineChars="0"/>
              <w:jc w:val="center"/>
              <w:rPr>
                <w:color w:val="auto"/>
                <w:kern w:val="0"/>
                <w:sz w:val="21"/>
                <w:szCs w:val="21"/>
              </w:rPr>
            </w:pPr>
          </w:p>
        </w:tc>
      </w:tr>
      <w:tr w14:paraId="1F45E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663B37FA">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10</w:t>
            </w:r>
          </w:p>
        </w:tc>
        <w:tc>
          <w:tcPr>
            <w:tcW w:w="2078" w:type="pct"/>
            <w:shd w:val="clear" w:color="auto" w:fill="auto"/>
            <w:tcMar>
              <w:left w:w="28" w:type="dxa"/>
              <w:right w:w="28" w:type="dxa"/>
            </w:tcMar>
            <w:vAlign w:val="center"/>
          </w:tcPr>
          <w:p w14:paraId="08DF5E78">
            <w:pPr>
              <w:widowControl/>
              <w:spacing w:line="240" w:lineRule="auto"/>
              <w:ind w:firstLine="0" w:firstLineChars="0"/>
              <w:jc w:val="center"/>
              <w:rPr>
                <w:color w:val="auto"/>
                <w:kern w:val="0"/>
                <w:sz w:val="21"/>
                <w:szCs w:val="21"/>
              </w:rPr>
            </w:pPr>
            <w:r>
              <w:rPr>
                <w:color w:val="auto"/>
                <w:kern w:val="0"/>
                <w:sz w:val="21"/>
                <w:szCs w:val="21"/>
              </w:rPr>
              <w:t>江苏沃菲德实业有限公司</w:t>
            </w:r>
          </w:p>
        </w:tc>
        <w:tc>
          <w:tcPr>
            <w:tcW w:w="548" w:type="pct"/>
            <w:shd w:val="clear" w:color="auto" w:fill="auto"/>
            <w:tcMar>
              <w:left w:w="28" w:type="dxa"/>
              <w:right w:w="28" w:type="dxa"/>
            </w:tcMar>
            <w:vAlign w:val="center"/>
          </w:tcPr>
          <w:p w14:paraId="7C37E39A">
            <w:pPr>
              <w:widowControl/>
              <w:spacing w:line="240" w:lineRule="auto"/>
              <w:ind w:firstLine="0" w:firstLineChars="0"/>
              <w:jc w:val="center"/>
              <w:rPr>
                <w:color w:val="auto"/>
                <w:kern w:val="0"/>
                <w:sz w:val="21"/>
                <w:szCs w:val="21"/>
              </w:rPr>
            </w:pPr>
            <w:r>
              <w:rPr>
                <w:color w:val="auto"/>
                <w:kern w:val="0"/>
                <w:sz w:val="21"/>
                <w:szCs w:val="21"/>
              </w:rPr>
              <w:t>3645</w:t>
            </w:r>
          </w:p>
        </w:tc>
        <w:tc>
          <w:tcPr>
            <w:tcW w:w="556" w:type="pct"/>
            <w:shd w:val="clear" w:color="auto" w:fill="auto"/>
            <w:tcMar>
              <w:left w:w="28" w:type="dxa"/>
              <w:right w:w="28" w:type="dxa"/>
            </w:tcMar>
            <w:vAlign w:val="center"/>
          </w:tcPr>
          <w:p w14:paraId="07238C20">
            <w:pPr>
              <w:widowControl/>
              <w:spacing w:line="240" w:lineRule="auto"/>
              <w:ind w:firstLine="0" w:firstLineChars="0"/>
              <w:jc w:val="center"/>
              <w:rPr>
                <w:color w:val="auto"/>
                <w:kern w:val="0"/>
                <w:sz w:val="21"/>
                <w:szCs w:val="21"/>
              </w:rPr>
            </w:pPr>
            <w:r>
              <w:rPr>
                <w:color w:val="auto"/>
                <w:kern w:val="0"/>
                <w:sz w:val="21"/>
                <w:szCs w:val="21"/>
              </w:rPr>
              <w:t>0.364</w:t>
            </w:r>
          </w:p>
        </w:tc>
        <w:tc>
          <w:tcPr>
            <w:tcW w:w="506" w:type="pct"/>
            <w:shd w:val="clear" w:color="auto" w:fill="auto"/>
            <w:tcMar>
              <w:left w:w="28" w:type="dxa"/>
              <w:right w:w="28" w:type="dxa"/>
            </w:tcMar>
            <w:vAlign w:val="center"/>
          </w:tcPr>
          <w:p w14:paraId="79C360CB">
            <w:pPr>
              <w:widowControl/>
              <w:spacing w:line="240" w:lineRule="auto"/>
              <w:ind w:firstLine="0" w:firstLineChars="0"/>
              <w:jc w:val="center"/>
              <w:rPr>
                <w:color w:val="auto"/>
                <w:kern w:val="0"/>
                <w:sz w:val="21"/>
                <w:szCs w:val="21"/>
              </w:rPr>
            </w:pPr>
            <w:r>
              <w:rPr>
                <w:color w:val="auto"/>
                <w:kern w:val="0"/>
                <w:sz w:val="21"/>
                <w:szCs w:val="21"/>
              </w:rPr>
              <w:t>0.255</w:t>
            </w:r>
          </w:p>
        </w:tc>
        <w:tc>
          <w:tcPr>
            <w:tcW w:w="505" w:type="pct"/>
            <w:shd w:val="clear" w:color="auto" w:fill="auto"/>
            <w:tcMar>
              <w:left w:w="28" w:type="dxa"/>
              <w:right w:w="28" w:type="dxa"/>
            </w:tcMar>
            <w:vAlign w:val="center"/>
          </w:tcPr>
          <w:p w14:paraId="57653C4A">
            <w:pPr>
              <w:widowControl/>
              <w:spacing w:line="240" w:lineRule="auto"/>
              <w:ind w:firstLine="0" w:firstLineChars="0"/>
              <w:jc w:val="center"/>
              <w:rPr>
                <w:color w:val="auto"/>
                <w:kern w:val="0"/>
                <w:sz w:val="21"/>
                <w:szCs w:val="21"/>
              </w:rPr>
            </w:pPr>
            <w:r>
              <w:rPr>
                <w:color w:val="auto"/>
                <w:kern w:val="0"/>
                <w:sz w:val="21"/>
                <w:szCs w:val="21"/>
              </w:rPr>
              <w:t>0.054</w:t>
            </w:r>
          </w:p>
        </w:tc>
        <w:tc>
          <w:tcPr>
            <w:tcW w:w="488" w:type="pct"/>
            <w:shd w:val="clear" w:color="auto" w:fill="auto"/>
            <w:tcMar>
              <w:left w:w="28" w:type="dxa"/>
              <w:right w:w="28" w:type="dxa"/>
            </w:tcMar>
            <w:vAlign w:val="center"/>
          </w:tcPr>
          <w:p w14:paraId="61C6B620">
            <w:pPr>
              <w:widowControl/>
              <w:spacing w:line="240" w:lineRule="auto"/>
              <w:ind w:firstLine="0" w:firstLineChars="0"/>
              <w:jc w:val="center"/>
              <w:rPr>
                <w:color w:val="auto"/>
                <w:kern w:val="0"/>
                <w:sz w:val="21"/>
                <w:szCs w:val="21"/>
              </w:rPr>
            </w:pPr>
            <w:r>
              <w:rPr>
                <w:color w:val="auto"/>
                <w:kern w:val="0"/>
                <w:sz w:val="21"/>
                <w:szCs w:val="21"/>
              </w:rPr>
              <w:t>0.0052</w:t>
            </w:r>
          </w:p>
        </w:tc>
      </w:tr>
      <w:tr w14:paraId="76F3A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5705E8C0">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11</w:t>
            </w:r>
          </w:p>
        </w:tc>
        <w:tc>
          <w:tcPr>
            <w:tcW w:w="2078" w:type="pct"/>
            <w:shd w:val="clear" w:color="auto" w:fill="auto"/>
            <w:tcMar>
              <w:left w:w="28" w:type="dxa"/>
              <w:right w:w="28" w:type="dxa"/>
            </w:tcMar>
            <w:vAlign w:val="center"/>
          </w:tcPr>
          <w:p w14:paraId="18BEE15F">
            <w:pPr>
              <w:widowControl/>
              <w:spacing w:line="240" w:lineRule="auto"/>
              <w:ind w:firstLine="0" w:firstLineChars="0"/>
              <w:jc w:val="center"/>
              <w:rPr>
                <w:color w:val="auto"/>
                <w:kern w:val="0"/>
                <w:sz w:val="21"/>
                <w:szCs w:val="21"/>
              </w:rPr>
            </w:pPr>
            <w:r>
              <w:rPr>
                <w:color w:val="auto"/>
                <w:kern w:val="0"/>
                <w:sz w:val="21"/>
                <w:szCs w:val="21"/>
              </w:rPr>
              <w:t>江苏鼎翔光电器材有限公司</w:t>
            </w:r>
          </w:p>
        </w:tc>
        <w:tc>
          <w:tcPr>
            <w:tcW w:w="548" w:type="pct"/>
            <w:shd w:val="clear" w:color="auto" w:fill="auto"/>
            <w:tcMar>
              <w:left w:w="28" w:type="dxa"/>
              <w:right w:w="28" w:type="dxa"/>
            </w:tcMar>
            <w:vAlign w:val="center"/>
          </w:tcPr>
          <w:p w14:paraId="6DD8C842">
            <w:pPr>
              <w:widowControl/>
              <w:spacing w:line="240" w:lineRule="auto"/>
              <w:ind w:firstLine="0" w:firstLineChars="0"/>
              <w:jc w:val="center"/>
              <w:rPr>
                <w:color w:val="auto"/>
                <w:kern w:val="0"/>
                <w:sz w:val="21"/>
                <w:szCs w:val="21"/>
              </w:rPr>
            </w:pPr>
            <w:r>
              <w:rPr>
                <w:color w:val="auto"/>
                <w:kern w:val="0"/>
                <w:sz w:val="21"/>
                <w:szCs w:val="21"/>
              </w:rPr>
              <w:t>35640</w:t>
            </w:r>
          </w:p>
        </w:tc>
        <w:tc>
          <w:tcPr>
            <w:tcW w:w="556" w:type="pct"/>
            <w:shd w:val="clear" w:color="auto" w:fill="auto"/>
            <w:tcMar>
              <w:left w:w="28" w:type="dxa"/>
              <w:right w:w="28" w:type="dxa"/>
            </w:tcMar>
            <w:vAlign w:val="center"/>
          </w:tcPr>
          <w:p w14:paraId="30878882">
            <w:pPr>
              <w:widowControl/>
              <w:spacing w:line="240" w:lineRule="auto"/>
              <w:ind w:firstLine="0" w:firstLineChars="0"/>
              <w:jc w:val="center"/>
              <w:rPr>
                <w:color w:val="auto"/>
                <w:kern w:val="0"/>
                <w:sz w:val="21"/>
                <w:szCs w:val="21"/>
              </w:rPr>
            </w:pPr>
            <w:r>
              <w:rPr>
                <w:color w:val="auto"/>
                <w:kern w:val="0"/>
                <w:sz w:val="21"/>
                <w:szCs w:val="21"/>
              </w:rPr>
              <w:t>3.56</w:t>
            </w:r>
          </w:p>
        </w:tc>
        <w:tc>
          <w:tcPr>
            <w:tcW w:w="506" w:type="pct"/>
            <w:shd w:val="clear" w:color="auto" w:fill="auto"/>
            <w:tcMar>
              <w:left w:w="28" w:type="dxa"/>
              <w:right w:w="28" w:type="dxa"/>
            </w:tcMar>
            <w:vAlign w:val="center"/>
          </w:tcPr>
          <w:p w14:paraId="5A8CB8DE">
            <w:pPr>
              <w:widowControl/>
              <w:spacing w:line="240" w:lineRule="auto"/>
              <w:ind w:firstLine="0" w:firstLineChars="0"/>
              <w:jc w:val="center"/>
              <w:rPr>
                <w:color w:val="auto"/>
                <w:kern w:val="0"/>
                <w:sz w:val="21"/>
                <w:szCs w:val="21"/>
              </w:rPr>
            </w:pPr>
            <w:r>
              <w:rPr>
                <w:color w:val="auto"/>
                <w:kern w:val="0"/>
                <w:sz w:val="21"/>
                <w:szCs w:val="21"/>
              </w:rPr>
              <w:t>1.07</w:t>
            </w:r>
          </w:p>
        </w:tc>
        <w:tc>
          <w:tcPr>
            <w:tcW w:w="505" w:type="pct"/>
            <w:shd w:val="clear" w:color="auto" w:fill="auto"/>
            <w:tcMar>
              <w:left w:w="28" w:type="dxa"/>
              <w:right w:w="28" w:type="dxa"/>
            </w:tcMar>
            <w:vAlign w:val="center"/>
          </w:tcPr>
          <w:p w14:paraId="639D0E17">
            <w:pPr>
              <w:widowControl/>
              <w:spacing w:line="240" w:lineRule="auto"/>
              <w:ind w:firstLine="0" w:firstLineChars="0"/>
              <w:jc w:val="center"/>
              <w:rPr>
                <w:color w:val="auto"/>
                <w:kern w:val="0"/>
                <w:sz w:val="21"/>
                <w:szCs w:val="21"/>
              </w:rPr>
            </w:pPr>
            <w:r>
              <w:rPr>
                <w:color w:val="auto"/>
                <w:kern w:val="0"/>
                <w:sz w:val="21"/>
                <w:szCs w:val="21"/>
              </w:rPr>
              <w:t>0.89</w:t>
            </w:r>
          </w:p>
        </w:tc>
        <w:tc>
          <w:tcPr>
            <w:tcW w:w="488" w:type="pct"/>
            <w:shd w:val="clear" w:color="auto" w:fill="auto"/>
            <w:tcMar>
              <w:left w:w="28" w:type="dxa"/>
              <w:right w:w="28" w:type="dxa"/>
            </w:tcMar>
            <w:vAlign w:val="center"/>
          </w:tcPr>
          <w:p w14:paraId="1B326259">
            <w:pPr>
              <w:widowControl/>
              <w:spacing w:line="240" w:lineRule="auto"/>
              <w:ind w:firstLine="0" w:firstLineChars="0"/>
              <w:jc w:val="center"/>
              <w:rPr>
                <w:color w:val="auto"/>
                <w:kern w:val="0"/>
                <w:sz w:val="21"/>
                <w:szCs w:val="21"/>
              </w:rPr>
            </w:pPr>
          </w:p>
        </w:tc>
      </w:tr>
      <w:tr w14:paraId="5924F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16" w:type="pct"/>
            <w:shd w:val="clear" w:color="auto" w:fill="auto"/>
            <w:tcMar>
              <w:left w:w="28" w:type="dxa"/>
              <w:right w:w="28" w:type="dxa"/>
            </w:tcMar>
            <w:vAlign w:val="center"/>
          </w:tcPr>
          <w:p w14:paraId="7CBD63E9">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12</w:t>
            </w:r>
          </w:p>
        </w:tc>
        <w:tc>
          <w:tcPr>
            <w:tcW w:w="2078" w:type="pct"/>
            <w:shd w:val="clear" w:color="auto" w:fill="auto"/>
            <w:tcMar>
              <w:left w:w="28" w:type="dxa"/>
              <w:right w:w="28" w:type="dxa"/>
            </w:tcMar>
            <w:vAlign w:val="center"/>
          </w:tcPr>
          <w:p w14:paraId="08AED710">
            <w:pPr>
              <w:widowControl/>
              <w:spacing w:line="240" w:lineRule="auto"/>
              <w:ind w:firstLine="0" w:firstLineChars="0"/>
              <w:jc w:val="center"/>
              <w:rPr>
                <w:color w:val="auto"/>
                <w:kern w:val="0"/>
                <w:sz w:val="21"/>
                <w:szCs w:val="21"/>
              </w:rPr>
            </w:pPr>
            <w:r>
              <w:rPr>
                <w:color w:val="auto"/>
                <w:kern w:val="0"/>
                <w:sz w:val="21"/>
                <w:szCs w:val="21"/>
              </w:rPr>
              <w:t>连云港杰瑞模具技术有限公司</w:t>
            </w:r>
          </w:p>
        </w:tc>
        <w:tc>
          <w:tcPr>
            <w:tcW w:w="548" w:type="pct"/>
            <w:shd w:val="clear" w:color="auto" w:fill="auto"/>
            <w:tcMar>
              <w:left w:w="28" w:type="dxa"/>
              <w:right w:w="28" w:type="dxa"/>
            </w:tcMar>
            <w:vAlign w:val="center"/>
          </w:tcPr>
          <w:p w14:paraId="367D2634">
            <w:pPr>
              <w:widowControl/>
              <w:spacing w:line="240" w:lineRule="auto"/>
              <w:ind w:firstLine="0" w:firstLineChars="0"/>
              <w:jc w:val="center"/>
              <w:rPr>
                <w:color w:val="auto"/>
                <w:kern w:val="0"/>
                <w:sz w:val="21"/>
                <w:szCs w:val="21"/>
              </w:rPr>
            </w:pPr>
            <w:r>
              <w:rPr>
                <w:color w:val="auto"/>
                <w:kern w:val="0"/>
                <w:sz w:val="21"/>
                <w:szCs w:val="21"/>
              </w:rPr>
              <w:t>6750</w:t>
            </w:r>
          </w:p>
        </w:tc>
        <w:tc>
          <w:tcPr>
            <w:tcW w:w="556" w:type="pct"/>
            <w:shd w:val="clear" w:color="auto" w:fill="auto"/>
            <w:tcMar>
              <w:left w:w="28" w:type="dxa"/>
              <w:right w:w="28" w:type="dxa"/>
            </w:tcMar>
            <w:vAlign w:val="center"/>
          </w:tcPr>
          <w:p w14:paraId="7A2F64DD">
            <w:pPr>
              <w:widowControl/>
              <w:spacing w:line="240" w:lineRule="auto"/>
              <w:ind w:firstLine="0" w:firstLineChars="0"/>
              <w:jc w:val="center"/>
              <w:rPr>
                <w:color w:val="auto"/>
                <w:kern w:val="0"/>
                <w:sz w:val="21"/>
                <w:szCs w:val="21"/>
              </w:rPr>
            </w:pPr>
            <w:r>
              <w:rPr>
                <w:color w:val="auto"/>
                <w:kern w:val="0"/>
                <w:sz w:val="21"/>
                <w:szCs w:val="21"/>
              </w:rPr>
              <w:t>2.025</w:t>
            </w:r>
          </w:p>
        </w:tc>
        <w:tc>
          <w:tcPr>
            <w:tcW w:w="506" w:type="pct"/>
            <w:shd w:val="clear" w:color="auto" w:fill="auto"/>
            <w:tcMar>
              <w:left w:w="28" w:type="dxa"/>
              <w:right w:w="28" w:type="dxa"/>
            </w:tcMar>
            <w:vAlign w:val="center"/>
          </w:tcPr>
          <w:p w14:paraId="073D7989">
            <w:pPr>
              <w:widowControl/>
              <w:spacing w:line="240" w:lineRule="auto"/>
              <w:ind w:firstLine="0" w:firstLineChars="0"/>
              <w:jc w:val="center"/>
              <w:rPr>
                <w:color w:val="auto"/>
                <w:kern w:val="0"/>
                <w:sz w:val="21"/>
                <w:szCs w:val="21"/>
              </w:rPr>
            </w:pPr>
            <w:r>
              <w:rPr>
                <w:color w:val="auto"/>
                <w:kern w:val="0"/>
                <w:sz w:val="21"/>
                <w:szCs w:val="21"/>
              </w:rPr>
              <w:t>1.35</w:t>
            </w:r>
          </w:p>
        </w:tc>
        <w:tc>
          <w:tcPr>
            <w:tcW w:w="505" w:type="pct"/>
            <w:shd w:val="clear" w:color="auto" w:fill="auto"/>
            <w:tcMar>
              <w:left w:w="28" w:type="dxa"/>
              <w:right w:w="28" w:type="dxa"/>
            </w:tcMar>
            <w:vAlign w:val="center"/>
          </w:tcPr>
          <w:p w14:paraId="5C6C2B00">
            <w:pPr>
              <w:widowControl/>
              <w:spacing w:line="240" w:lineRule="auto"/>
              <w:ind w:firstLine="0" w:firstLineChars="0"/>
              <w:jc w:val="center"/>
              <w:rPr>
                <w:color w:val="auto"/>
                <w:kern w:val="0"/>
                <w:sz w:val="21"/>
                <w:szCs w:val="21"/>
              </w:rPr>
            </w:pPr>
            <w:r>
              <w:rPr>
                <w:color w:val="auto"/>
                <w:kern w:val="0"/>
                <w:sz w:val="21"/>
                <w:szCs w:val="21"/>
              </w:rPr>
              <w:t>0.236</w:t>
            </w:r>
          </w:p>
        </w:tc>
        <w:tc>
          <w:tcPr>
            <w:tcW w:w="488" w:type="pct"/>
            <w:shd w:val="clear" w:color="auto" w:fill="auto"/>
            <w:tcMar>
              <w:left w:w="28" w:type="dxa"/>
              <w:right w:w="28" w:type="dxa"/>
            </w:tcMar>
            <w:vAlign w:val="center"/>
          </w:tcPr>
          <w:p w14:paraId="3CBA7B9D">
            <w:pPr>
              <w:widowControl/>
              <w:spacing w:line="240" w:lineRule="auto"/>
              <w:ind w:firstLine="0" w:firstLineChars="0"/>
              <w:jc w:val="center"/>
              <w:rPr>
                <w:color w:val="auto"/>
                <w:kern w:val="0"/>
                <w:sz w:val="21"/>
                <w:szCs w:val="21"/>
              </w:rPr>
            </w:pPr>
          </w:p>
        </w:tc>
      </w:tr>
      <w:tr w14:paraId="35988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7B0A76A2">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13</w:t>
            </w:r>
          </w:p>
        </w:tc>
        <w:tc>
          <w:tcPr>
            <w:tcW w:w="2078" w:type="pct"/>
            <w:shd w:val="clear" w:color="auto" w:fill="auto"/>
            <w:tcMar>
              <w:left w:w="28" w:type="dxa"/>
              <w:right w:w="28" w:type="dxa"/>
            </w:tcMar>
            <w:vAlign w:val="center"/>
          </w:tcPr>
          <w:p w14:paraId="5B76274D">
            <w:pPr>
              <w:widowControl/>
              <w:spacing w:line="240" w:lineRule="auto"/>
              <w:ind w:firstLine="0" w:firstLineChars="0"/>
              <w:jc w:val="center"/>
              <w:rPr>
                <w:color w:val="auto"/>
                <w:kern w:val="0"/>
                <w:sz w:val="21"/>
                <w:szCs w:val="21"/>
              </w:rPr>
            </w:pPr>
            <w:r>
              <w:rPr>
                <w:color w:val="auto"/>
                <w:kern w:val="0"/>
                <w:sz w:val="21"/>
                <w:szCs w:val="21"/>
              </w:rPr>
              <w:t>华春环保设备制造</w:t>
            </w:r>
          </w:p>
        </w:tc>
        <w:tc>
          <w:tcPr>
            <w:tcW w:w="548" w:type="pct"/>
            <w:shd w:val="clear" w:color="auto" w:fill="auto"/>
            <w:tcMar>
              <w:left w:w="28" w:type="dxa"/>
              <w:right w:w="28" w:type="dxa"/>
            </w:tcMar>
            <w:vAlign w:val="center"/>
          </w:tcPr>
          <w:p w14:paraId="5ECE97F4">
            <w:pPr>
              <w:widowControl/>
              <w:spacing w:line="240" w:lineRule="auto"/>
              <w:ind w:firstLine="0" w:firstLineChars="0"/>
              <w:jc w:val="center"/>
              <w:rPr>
                <w:color w:val="auto"/>
                <w:kern w:val="0"/>
                <w:sz w:val="21"/>
                <w:szCs w:val="21"/>
              </w:rPr>
            </w:pPr>
            <w:r>
              <w:rPr>
                <w:color w:val="auto"/>
                <w:kern w:val="0"/>
                <w:sz w:val="21"/>
                <w:szCs w:val="21"/>
              </w:rPr>
              <w:t>3600</w:t>
            </w:r>
          </w:p>
        </w:tc>
        <w:tc>
          <w:tcPr>
            <w:tcW w:w="556" w:type="pct"/>
            <w:shd w:val="clear" w:color="auto" w:fill="auto"/>
            <w:tcMar>
              <w:left w:w="28" w:type="dxa"/>
              <w:right w:w="28" w:type="dxa"/>
            </w:tcMar>
            <w:vAlign w:val="center"/>
          </w:tcPr>
          <w:p w14:paraId="36A84375">
            <w:pPr>
              <w:widowControl/>
              <w:spacing w:line="240" w:lineRule="auto"/>
              <w:ind w:firstLine="0" w:firstLineChars="0"/>
              <w:jc w:val="center"/>
              <w:rPr>
                <w:color w:val="auto"/>
                <w:kern w:val="0"/>
                <w:sz w:val="21"/>
                <w:szCs w:val="21"/>
              </w:rPr>
            </w:pPr>
            <w:r>
              <w:rPr>
                <w:color w:val="auto"/>
                <w:kern w:val="0"/>
                <w:sz w:val="21"/>
                <w:szCs w:val="21"/>
              </w:rPr>
              <w:t>36</w:t>
            </w:r>
          </w:p>
        </w:tc>
        <w:tc>
          <w:tcPr>
            <w:tcW w:w="506" w:type="pct"/>
            <w:shd w:val="clear" w:color="auto" w:fill="auto"/>
            <w:tcMar>
              <w:left w:w="28" w:type="dxa"/>
              <w:right w:w="28" w:type="dxa"/>
            </w:tcMar>
            <w:vAlign w:val="center"/>
          </w:tcPr>
          <w:p w14:paraId="7030B4D8">
            <w:pPr>
              <w:widowControl/>
              <w:spacing w:line="240" w:lineRule="auto"/>
              <w:ind w:firstLine="0" w:firstLineChars="0"/>
              <w:jc w:val="center"/>
              <w:rPr>
                <w:color w:val="auto"/>
                <w:kern w:val="0"/>
                <w:sz w:val="21"/>
                <w:szCs w:val="21"/>
              </w:rPr>
            </w:pPr>
            <w:r>
              <w:rPr>
                <w:color w:val="auto"/>
                <w:kern w:val="0"/>
                <w:sz w:val="21"/>
                <w:szCs w:val="21"/>
              </w:rPr>
              <w:t>0.252</w:t>
            </w:r>
          </w:p>
        </w:tc>
        <w:tc>
          <w:tcPr>
            <w:tcW w:w="505" w:type="pct"/>
            <w:shd w:val="clear" w:color="auto" w:fill="auto"/>
            <w:tcMar>
              <w:left w:w="28" w:type="dxa"/>
              <w:right w:w="28" w:type="dxa"/>
            </w:tcMar>
            <w:vAlign w:val="center"/>
          </w:tcPr>
          <w:p w14:paraId="1796BE67">
            <w:pPr>
              <w:widowControl/>
              <w:spacing w:line="240" w:lineRule="auto"/>
              <w:ind w:firstLine="0" w:firstLineChars="0"/>
              <w:jc w:val="center"/>
              <w:rPr>
                <w:color w:val="auto"/>
                <w:kern w:val="0"/>
                <w:sz w:val="21"/>
                <w:szCs w:val="21"/>
              </w:rPr>
            </w:pPr>
            <w:r>
              <w:rPr>
                <w:color w:val="auto"/>
                <w:kern w:val="0"/>
                <w:sz w:val="21"/>
                <w:szCs w:val="21"/>
              </w:rPr>
              <w:t>0.054</w:t>
            </w:r>
          </w:p>
        </w:tc>
        <w:tc>
          <w:tcPr>
            <w:tcW w:w="488" w:type="pct"/>
            <w:shd w:val="clear" w:color="auto" w:fill="auto"/>
            <w:tcMar>
              <w:left w:w="28" w:type="dxa"/>
              <w:right w:w="28" w:type="dxa"/>
            </w:tcMar>
            <w:vAlign w:val="center"/>
          </w:tcPr>
          <w:p w14:paraId="0D1339AE">
            <w:pPr>
              <w:widowControl/>
              <w:spacing w:line="240" w:lineRule="auto"/>
              <w:ind w:firstLine="0" w:firstLineChars="0"/>
              <w:jc w:val="center"/>
              <w:rPr>
                <w:color w:val="auto"/>
                <w:kern w:val="0"/>
                <w:sz w:val="21"/>
                <w:szCs w:val="21"/>
              </w:rPr>
            </w:pPr>
          </w:p>
        </w:tc>
      </w:tr>
      <w:tr w14:paraId="3BAB2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3888612F">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14</w:t>
            </w:r>
          </w:p>
        </w:tc>
        <w:tc>
          <w:tcPr>
            <w:tcW w:w="2078" w:type="pct"/>
            <w:shd w:val="clear" w:color="auto" w:fill="auto"/>
            <w:tcMar>
              <w:left w:w="28" w:type="dxa"/>
              <w:right w:w="28" w:type="dxa"/>
            </w:tcMar>
            <w:vAlign w:val="center"/>
          </w:tcPr>
          <w:p w14:paraId="63051D7E">
            <w:pPr>
              <w:widowControl/>
              <w:spacing w:line="240" w:lineRule="auto"/>
              <w:ind w:firstLine="0" w:firstLineChars="0"/>
              <w:jc w:val="center"/>
              <w:rPr>
                <w:color w:val="auto"/>
                <w:kern w:val="0"/>
                <w:sz w:val="21"/>
                <w:szCs w:val="21"/>
              </w:rPr>
            </w:pPr>
            <w:r>
              <w:rPr>
                <w:color w:val="auto"/>
                <w:kern w:val="0"/>
                <w:sz w:val="21"/>
                <w:szCs w:val="21"/>
              </w:rPr>
              <w:t>连云港东睦江河粉末冶金有限公司</w:t>
            </w:r>
          </w:p>
        </w:tc>
        <w:tc>
          <w:tcPr>
            <w:tcW w:w="548" w:type="pct"/>
            <w:shd w:val="clear" w:color="auto" w:fill="auto"/>
            <w:tcMar>
              <w:left w:w="28" w:type="dxa"/>
              <w:right w:w="28" w:type="dxa"/>
            </w:tcMar>
            <w:vAlign w:val="center"/>
          </w:tcPr>
          <w:p w14:paraId="5649474F">
            <w:pPr>
              <w:widowControl/>
              <w:spacing w:line="240" w:lineRule="auto"/>
              <w:ind w:firstLine="0" w:firstLineChars="0"/>
              <w:jc w:val="center"/>
              <w:rPr>
                <w:color w:val="auto"/>
                <w:kern w:val="0"/>
                <w:sz w:val="21"/>
                <w:szCs w:val="21"/>
              </w:rPr>
            </w:pPr>
            <w:r>
              <w:rPr>
                <w:color w:val="auto"/>
                <w:kern w:val="0"/>
                <w:sz w:val="21"/>
                <w:szCs w:val="21"/>
              </w:rPr>
              <w:t>11200</w:t>
            </w:r>
          </w:p>
        </w:tc>
        <w:tc>
          <w:tcPr>
            <w:tcW w:w="556" w:type="pct"/>
            <w:shd w:val="clear" w:color="auto" w:fill="auto"/>
            <w:tcMar>
              <w:left w:w="28" w:type="dxa"/>
              <w:right w:w="28" w:type="dxa"/>
            </w:tcMar>
            <w:vAlign w:val="center"/>
          </w:tcPr>
          <w:p w14:paraId="5441880D">
            <w:pPr>
              <w:widowControl/>
              <w:spacing w:line="240" w:lineRule="auto"/>
              <w:ind w:firstLine="0" w:firstLineChars="0"/>
              <w:jc w:val="center"/>
              <w:rPr>
                <w:color w:val="auto"/>
                <w:kern w:val="0"/>
                <w:sz w:val="21"/>
                <w:szCs w:val="21"/>
              </w:rPr>
            </w:pPr>
            <w:r>
              <w:rPr>
                <w:color w:val="auto"/>
                <w:kern w:val="0"/>
                <w:sz w:val="21"/>
                <w:szCs w:val="21"/>
              </w:rPr>
              <w:t>1.11</w:t>
            </w:r>
          </w:p>
        </w:tc>
        <w:tc>
          <w:tcPr>
            <w:tcW w:w="506" w:type="pct"/>
            <w:shd w:val="clear" w:color="auto" w:fill="auto"/>
            <w:tcMar>
              <w:left w:w="28" w:type="dxa"/>
              <w:right w:w="28" w:type="dxa"/>
            </w:tcMar>
            <w:vAlign w:val="center"/>
          </w:tcPr>
          <w:p w14:paraId="710D3934">
            <w:pPr>
              <w:widowControl/>
              <w:spacing w:line="240" w:lineRule="auto"/>
              <w:ind w:firstLine="0" w:firstLineChars="0"/>
              <w:jc w:val="center"/>
              <w:rPr>
                <w:color w:val="auto"/>
                <w:kern w:val="0"/>
                <w:sz w:val="21"/>
                <w:szCs w:val="21"/>
              </w:rPr>
            </w:pPr>
            <w:r>
              <w:rPr>
                <w:color w:val="auto"/>
                <w:kern w:val="0"/>
                <w:sz w:val="21"/>
                <w:szCs w:val="21"/>
              </w:rPr>
              <w:t>0.34</w:t>
            </w:r>
          </w:p>
        </w:tc>
        <w:tc>
          <w:tcPr>
            <w:tcW w:w="505" w:type="pct"/>
            <w:shd w:val="clear" w:color="auto" w:fill="auto"/>
            <w:tcMar>
              <w:left w:w="28" w:type="dxa"/>
              <w:right w:w="28" w:type="dxa"/>
            </w:tcMar>
            <w:vAlign w:val="center"/>
          </w:tcPr>
          <w:p w14:paraId="235881F8">
            <w:pPr>
              <w:widowControl/>
              <w:spacing w:line="240" w:lineRule="auto"/>
              <w:ind w:firstLine="0" w:firstLineChars="0"/>
              <w:jc w:val="center"/>
              <w:rPr>
                <w:color w:val="auto"/>
                <w:kern w:val="0"/>
                <w:sz w:val="21"/>
                <w:szCs w:val="21"/>
              </w:rPr>
            </w:pPr>
            <w:r>
              <w:rPr>
                <w:color w:val="auto"/>
                <w:kern w:val="0"/>
                <w:sz w:val="21"/>
                <w:szCs w:val="21"/>
              </w:rPr>
              <w:t>0.17</w:t>
            </w:r>
          </w:p>
        </w:tc>
        <w:tc>
          <w:tcPr>
            <w:tcW w:w="488" w:type="pct"/>
            <w:shd w:val="clear" w:color="auto" w:fill="auto"/>
            <w:tcMar>
              <w:left w:w="28" w:type="dxa"/>
              <w:right w:w="28" w:type="dxa"/>
            </w:tcMar>
            <w:vAlign w:val="center"/>
          </w:tcPr>
          <w:p w14:paraId="157EC729">
            <w:pPr>
              <w:widowControl/>
              <w:spacing w:line="240" w:lineRule="auto"/>
              <w:ind w:firstLine="0" w:firstLineChars="0"/>
              <w:jc w:val="center"/>
              <w:rPr>
                <w:color w:val="auto"/>
                <w:kern w:val="0"/>
                <w:sz w:val="21"/>
                <w:szCs w:val="21"/>
              </w:rPr>
            </w:pPr>
            <w:r>
              <w:rPr>
                <w:color w:val="auto"/>
                <w:kern w:val="0"/>
                <w:sz w:val="21"/>
                <w:szCs w:val="21"/>
              </w:rPr>
              <w:t>0.0023</w:t>
            </w:r>
          </w:p>
        </w:tc>
      </w:tr>
      <w:tr w14:paraId="67CA4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31365124">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15</w:t>
            </w:r>
          </w:p>
        </w:tc>
        <w:tc>
          <w:tcPr>
            <w:tcW w:w="2078" w:type="pct"/>
            <w:shd w:val="clear" w:color="auto" w:fill="auto"/>
            <w:tcMar>
              <w:left w:w="28" w:type="dxa"/>
              <w:right w:w="28" w:type="dxa"/>
            </w:tcMar>
            <w:vAlign w:val="center"/>
          </w:tcPr>
          <w:p w14:paraId="0BD39285">
            <w:pPr>
              <w:widowControl/>
              <w:spacing w:line="240" w:lineRule="auto"/>
              <w:ind w:firstLine="0" w:firstLineChars="0"/>
              <w:jc w:val="center"/>
              <w:rPr>
                <w:color w:val="auto"/>
                <w:kern w:val="0"/>
                <w:sz w:val="21"/>
                <w:szCs w:val="21"/>
              </w:rPr>
            </w:pPr>
            <w:r>
              <w:rPr>
                <w:color w:val="auto"/>
                <w:kern w:val="0"/>
                <w:sz w:val="21"/>
                <w:szCs w:val="21"/>
              </w:rPr>
              <w:t>连云港中浦机械设备有限公司</w:t>
            </w:r>
          </w:p>
        </w:tc>
        <w:tc>
          <w:tcPr>
            <w:tcW w:w="548" w:type="pct"/>
            <w:shd w:val="clear" w:color="auto" w:fill="auto"/>
            <w:tcMar>
              <w:left w:w="28" w:type="dxa"/>
              <w:right w:w="28" w:type="dxa"/>
            </w:tcMar>
            <w:vAlign w:val="center"/>
          </w:tcPr>
          <w:p w14:paraId="4EA8B3E2">
            <w:pPr>
              <w:widowControl/>
              <w:spacing w:line="240" w:lineRule="auto"/>
              <w:ind w:firstLine="0" w:firstLineChars="0"/>
              <w:jc w:val="center"/>
              <w:rPr>
                <w:color w:val="auto"/>
                <w:kern w:val="0"/>
                <w:sz w:val="21"/>
                <w:szCs w:val="21"/>
              </w:rPr>
            </w:pPr>
            <w:r>
              <w:rPr>
                <w:color w:val="auto"/>
                <w:kern w:val="0"/>
                <w:sz w:val="21"/>
                <w:szCs w:val="21"/>
              </w:rPr>
              <w:t>1560</w:t>
            </w:r>
          </w:p>
        </w:tc>
        <w:tc>
          <w:tcPr>
            <w:tcW w:w="556" w:type="pct"/>
            <w:shd w:val="clear" w:color="auto" w:fill="auto"/>
            <w:tcMar>
              <w:left w:w="28" w:type="dxa"/>
              <w:right w:w="28" w:type="dxa"/>
            </w:tcMar>
            <w:vAlign w:val="center"/>
          </w:tcPr>
          <w:p w14:paraId="3909CE74">
            <w:pPr>
              <w:widowControl/>
              <w:spacing w:line="240" w:lineRule="auto"/>
              <w:ind w:firstLine="0" w:firstLineChars="0"/>
              <w:jc w:val="center"/>
              <w:rPr>
                <w:color w:val="auto"/>
                <w:kern w:val="0"/>
                <w:sz w:val="21"/>
                <w:szCs w:val="21"/>
              </w:rPr>
            </w:pPr>
            <w:r>
              <w:rPr>
                <w:color w:val="auto"/>
                <w:kern w:val="0"/>
                <w:sz w:val="21"/>
                <w:szCs w:val="21"/>
              </w:rPr>
              <w:t>0.183</w:t>
            </w:r>
          </w:p>
        </w:tc>
        <w:tc>
          <w:tcPr>
            <w:tcW w:w="506" w:type="pct"/>
            <w:shd w:val="clear" w:color="auto" w:fill="auto"/>
            <w:tcMar>
              <w:left w:w="28" w:type="dxa"/>
              <w:right w:w="28" w:type="dxa"/>
            </w:tcMar>
            <w:vAlign w:val="center"/>
          </w:tcPr>
          <w:p w14:paraId="4841FA74">
            <w:pPr>
              <w:widowControl/>
              <w:spacing w:line="240" w:lineRule="auto"/>
              <w:ind w:firstLine="0" w:firstLineChars="0"/>
              <w:jc w:val="center"/>
              <w:rPr>
                <w:color w:val="auto"/>
                <w:kern w:val="0"/>
                <w:sz w:val="21"/>
                <w:szCs w:val="21"/>
              </w:rPr>
            </w:pPr>
            <w:r>
              <w:rPr>
                <w:color w:val="auto"/>
                <w:kern w:val="0"/>
                <w:sz w:val="21"/>
                <w:szCs w:val="21"/>
              </w:rPr>
              <w:t>0.147</w:t>
            </w:r>
          </w:p>
        </w:tc>
        <w:tc>
          <w:tcPr>
            <w:tcW w:w="505" w:type="pct"/>
            <w:shd w:val="clear" w:color="auto" w:fill="auto"/>
            <w:tcMar>
              <w:left w:w="28" w:type="dxa"/>
              <w:right w:w="28" w:type="dxa"/>
            </w:tcMar>
            <w:vAlign w:val="center"/>
          </w:tcPr>
          <w:p w14:paraId="26320477">
            <w:pPr>
              <w:widowControl/>
              <w:spacing w:line="240" w:lineRule="auto"/>
              <w:ind w:firstLine="0" w:firstLineChars="0"/>
              <w:jc w:val="center"/>
              <w:rPr>
                <w:color w:val="auto"/>
                <w:kern w:val="0"/>
                <w:sz w:val="21"/>
                <w:szCs w:val="21"/>
              </w:rPr>
            </w:pPr>
            <w:r>
              <w:rPr>
                <w:color w:val="auto"/>
                <w:kern w:val="0"/>
                <w:sz w:val="21"/>
                <w:szCs w:val="21"/>
              </w:rPr>
              <w:t>0.18</w:t>
            </w:r>
          </w:p>
        </w:tc>
        <w:tc>
          <w:tcPr>
            <w:tcW w:w="488" w:type="pct"/>
            <w:shd w:val="clear" w:color="auto" w:fill="auto"/>
            <w:tcMar>
              <w:left w:w="28" w:type="dxa"/>
              <w:right w:w="28" w:type="dxa"/>
            </w:tcMar>
            <w:vAlign w:val="center"/>
          </w:tcPr>
          <w:p w14:paraId="67E21847">
            <w:pPr>
              <w:widowControl/>
              <w:spacing w:line="240" w:lineRule="auto"/>
              <w:ind w:firstLine="0" w:firstLineChars="0"/>
              <w:jc w:val="center"/>
              <w:rPr>
                <w:color w:val="auto"/>
                <w:kern w:val="0"/>
                <w:sz w:val="21"/>
                <w:szCs w:val="21"/>
              </w:rPr>
            </w:pPr>
          </w:p>
        </w:tc>
      </w:tr>
      <w:tr w14:paraId="589FF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5718CFC0">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16</w:t>
            </w:r>
          </w:p>
        </w:tc>
        <w:tc>
          <w:tcPr>
            <w:tcW w:w="2078" w:type="pct"/>
            <w:shd w:val="clear" w:color="auto" w:fill="auto"/>
            <w:tcMar>
              <w:left w:w="28" w:type="dxa"/>
              <w:right w:w="28" w:type="dxa"/>
            </w:tcMar>
            <w:vAlign w:val="center"/>
          </w:tcPr>
          <w:p w14:paraId="6DE6DDC0">
            <w:pPr>
              <w:widowControl/>
              <w:spacing w:line="240" w:lineRule="auto"/>
              <w:ind w:firstLine="0" w:firstLineChars="0"/>
              <w:jc w:val="center"/>
              <w:rPr>
                <w:color w:val="auto"/>
                <w:kern w:val="0"/>
                <w:sz w:val="21"/>
                <w:szCs w:val="21"/>
              </w:rPr>
            </w:pPr>
            <w:r>
              <w:rPr>
                <w:color w:val="auto"/>
                <w:kern w:val="0"/>
                <w:sz w:val="21"/>
                <w:szCs w:val="21"/>
              </w:rPr>
              <w:t>连云港天顺风力塔架</w:t>
            </w:r>
          </w:p>
        </w:tc>
        <w:tc>
          <w:tcPr>
            <w:tcW w:w="548" w:type="pct"/>
            <w:shd w:val="clear" w:color="auto" w:fill="auto"/>
            <w:tcMar>
              <w:left w:w="28" w:type="dxa"/>
              <w:right w:w="28" w:type="dxa"/>
            </w:tcMar>
            <w:vAlign w:val="center"/>
          </w:tcPr>
          <w:p w14:paraId="4CD60942">
            <w:pPr>
              <w:widowControl/>
              <w:spacing w:line="240" w:lineRule="auto"/>
              <w:ind w:firstLine="0" w:firstLineChars="0"/>
              <w:jc w:val="center"/>
              <w:rPr>
                <w:color w:val="auto"/>
                <w:kern w:val="0"/>
                <w:sz w:val="21"/>
                <w:szCs w:val="21"/>
              </w:rPr>
            </w:pPr>
            <w:r>
              <w:rPr>
                <w:color w:val="auto"/>
                <w:kern w:val="0"/>
                <w:sz w:val="21"/>
                <w:szCs w:val="21"/>
              </w:rPr>
              <w:t>3840</w:t>
            </w:r>
          </w:p>
        </w:tc>
        <w:tc>
          <w:tcPr>
            <w:tcW w:w="556" w:type="pct"/>
            <w:shd w:val="clear" w:color="auto" w:fill="auto"/>
            <w:tcMar>
              <w:left w:w="28" w:type="dxa"/>
              <w:right w:w="28" w:type="dxa"/>
            </w:tcMar>
            <w:vAlign w:val="center"/>
          </w:tcPr>
          <w:p w14:paraId="4A2E0237">
            <w:pPr>
              <w:widowControl/>
              <w:spacing w:line="240" w:lineRule="auto"/>
              <w:ind w:firstLine="0" w:firstLineChars="0"/>
              <w:jc w:val="center"/>
              <w:rPr>
                <w:color w:val="auto"/>
                <w:kern w:val="0"/>
                <w:sz w:val="21"/>
                <w:szCs w:val="21"/>
              </w:rPr>
            </w:pPr>
            <w:r>
              <w:rPr>
                <w:color w:val="auto"/>
                <w:kern w:val="0"/>
                <w:sz w:val="21"/>
                <w:szCs w:val="21"/>
              </w:rPr>
              <w:t>0.192</w:t>
            </w:r>
          </w:p>
        </w:tc>
        <w:tc>
          <w:tcPr>
            <w:tcW w:w="506" w:type="pct"/>
            <w:shd w:val="clear" w:color="auto" w:fill="auto"/>
            <w:tcMar>
              <w:left w:w="28" w:type="dxa"/>
              <w:right w:w="28" w:type="dxa"/>
            </w:tcMar>
            <w:vAlign w:val="center"/>
          </w:tcPr>
          <w:p w14:paraId="6217DEA1">
            <w:pPr>
              <w:widowControl/>
              <w:spacing w:line="240" w:lineRule="auto"/>
              <w:ind w:firstLine="0" w:firstLineChars="0"/>
              <w:jc w:val="center"/>
              <w:rPr>
                <w:color w:val="auto"/>
                <w:kern w:val="0"/>
                <w:sz w:val="21"/>
                <w:szCs w:val="21"/>
              </w:rPr>
            </w:pPr>
            <w:r>
              <w:rPr>
                <w:color w:val="auto"/>
                <w:kern w:val="0"/>
                <w:sz w:val="21"/>
                <w:szCs w:val="21"/>
              </w:rPr>
              <w:t>0.154</w:t>
            </w:r>
          </w:p>
        </w:tc>
        <w:tc>
          <w:tcPr>
            <w:tcW w:w="505" w:type="pct"/>
            <w:shd w:val="clear" w:color="auto" w:fill="auto"/>
            <w:tcMar>
              <w:left w:w="28" w:type="dxa"/>
              <w:right w:w="28" w:type="dxa"/>
            </w:tcMar>
            <w:vAlign w:val="center"/>
          </w:tcPr>
          <w:p w14:paraId="48C4C0D9">
            <w:pPr>
              <w:widowControl/>
              <w:spacing w:line="240" w:lineRule="auto"/>
              <w:ind w:firstLine="0" w:firstLineChars="0"/>
              <w:jc w:val="center"/>
              <w:rPr>
                <w:color w:val="auto"/>
                <w:kern w:val="0"/>
                <w:sz w:val="21"/>
                <w:szCs w:val="21"/>
              </w:rPr>
            </w:pPr>
            <w:r>
              <w:rPr>
                <w:color w:val="auto"/>
                <w:kern w:val="0"/>
                <w:sz w:val="21"/>
                <w:szCs w:val="21"/>
              </w:rPr>
              <w:t>0.02</w:t>
            </w:r>
          </w:p>
        </w:tc>
        <w:tc>
          <w:tcPr>
            <w:tcW w:w="488" w:type="pct"/>
            <w:shd w:val="clear" w:color="auto" w:fill="auto"/>
            <w:tcMar>
              <w:left w:w="28" w:type="dxa"/>
              <w:right w:w="28" w:type="dxa"/>
            </w:tcMar>
            <w:vAlign w:val="center"/>
          </w:tcPr>
          <w:p w14:paraId="3F27100F">
            <w:pPr>
              <w:widowControl/>
              <w:spacing w:line="240" w:lineRule="auto"/>
              <w:ind w:firstLine="0" w:firstLineChars="0"/>
              <w:jc w:val="center"/>
              <w:rPr>
                <w:color w:val="auto"/>
                <w:kern w:val="0"/>
                <w:sz w:val="21"/>
                <w:szCs w:val="21"/>
              </w:rPr>
            </w:pPr>
          </w:p>
        </w:tc>
      </w:tr>
      <w:tr w14:paraId="68F28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0BE1F53F">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17</w:t>
            </w:r>
          </w:p>
        </w:tc>
        <w:tc>
          <w:tcPr>
            <w:tcW w:w="2078" w:type="pct"/>
            <w:shd w:val="clear" w:color="auto" w:fill="auto"/>
            <w:tcMar>
              <w:left w:w="28" w:type="dxa"/>
              <w:right w:w="28" w:type="dxa"/>
            </w:tcMar>
            <w:vAlign w:val="center"/>
          </w:tcPr>
          <w:p w14:paraId="768A1D6B">
            <w:pPr>
              <w:widowControl/>
              <w:spacing w:line="240" w:lineRule="auto"/>
              <w:ind w:firstLine="0" w:firstLineChars="0"/>
              <w:jc w:val="center"/>
              <w:rPr>
                <w:color w:val="auto"/>
                <w:kern w:val="0"/>
                <w:sz w:val="21"/>
                <w:szCs w:val="21"/>
              </w:rPr>
            </w:pPr>
            <w:r>
              <w:rPr>
                <w:color w:val="auto"/>
                <w:kern w:val="0"/>
                <w:sz w:val="21"/>
                <w:szCs w:val="21"/>
              </w:rPr>
              <w:t>连云港瑞马石化机械设备制造有限公司</w:t>
            </w:r>
          </w:p>
        </w:tc>
        <w:tc>
          <w:tcPr>
            <w:tcW w:w="548" w:type="pct"/>
            <w:shd w:val="clear" w:color="auto" w:fill="auto"/>
            <w:tcMar>
              <w:left w:w="28" w:type="dxa"/>
              <w:right w:w="28" w:type="dxa"/>
            </w:tcMar>
            <w:vAlign w:val="center"/>
          </w:tcPr>
          <w:p w14:paraId="2B97802B">
            <w:pPr>
              <w:widowControl/>
              <w:spacing w:line="240" w:lineRule="auto"/>
              <w:ind w:firstLine="0" w:firstLineChars="0"/>
              <w:jc w:val="center"/>
              <w:rPr>
                <w:color w:val="auto"/>
                <w:kern w:val="0"/>
                <w:sz w:val="21"/>
                <w:szCs w:val="21"/>
              </w:rPr>
            </w:pPr>
            <w:r>
              <w:rPr>
                <w:color w:val="auto"/>
                <w:kern w:val="0"/>
                <w:sz w:val="21"/>
                <w:szCs w:val="21"/>
              </w:rPr>
              <w:t>9900</w:t>
            </w:r>
          </w:p>
        </w:tc>
        <w:tc>
          <w:tcPr>
            <w:tcW w:w="556" w:type="pct"/>
            <w:shd w:val="clear" w:color="auto" w:fill="auto"/>
            <w:tcMar>
              <w:left w:w="28" w:type="dxa"/>
              <w:right w:w="28" w:type="dxa"/>
            </w:tcMar>
            <w:vAlign w:val="center"/>
          </w:tcPr>
          <w:p w14:paraId="6E1CB37B">
            <w:pPr>
              <w:widowControl/>
              <w:spacing w:line="240" w:lineRule="auto"/>
              <w:ind w:firstLine="0" w:firstLineChars="0"/>
              <w:jc w:val="center"/>
              <w:rPr>
                <w:color w:val="auto"/>
                <w:kern w:val="0"/>
                <w:sz w:val="21"/>
                <w:szCs w:val="21"/>
              </w:rPr>
            </w:pPr>
            <w:r>
              <w:rPr>
                <w:color w:val="auto"/>
                <w:kern w:val="0"/>
                <w:sz w:val="21"/>
                <w:szCs w:val="21"/>
              </w:rPr>
              <w:t>1</w:t>
            </w:r>
          </w:p>
        </w:tc>
        <w:tc>
          <w:tcPr>
            <w:tcW w:w="506" w:type="pct"/>
            <w:shd w:val="clear" w:color="auto" w:fill="auto"/>
            <w:tcMar>
              <w:left w:w="28" w:type="dxa"/>
              <w:right w:w="28" w:type="dxa"/>
            </w:tcMar>
            <w:vAlign w:val="center"/>
          </w:tcPr>
          <w:p w14:paraId="5E1E68EC">
            <w:pPr>
              <w:widowControl/>
              <w:spacing w:line="240" w:lineRule="auto"/>
              <w:ind w:firstLine="0" w:firstLineChars="0"/>
              <w:jc w:val="center"/>
              <w:rPr>
                <w:color w:val="auto"/>
                <w:kern w:val="0"/>
                <w:sz w:val="21"/>
                <w:szCs w:val="21"/>
              </w:rPr>
            </w:pPr>
            <w:r>
              <w:rPr>
                <w:color w:val="auto"/>
                <w:kern w:val="0"/>
                <w:sz w:val="21"/>
                <w:szCs w:val="21"/>
              </w:rPr>
              <w:t>0.3</w:t>
            </w:r>
          </w:p>
        </w:tc>
        <w:tc>
          <w:tcPr>
            <w:tcW w:w="505" w:type="pct"/>
            <w:shd w:val="clear" w:color="auto" w:fill="auto"/>
            <w:tcMar>
              <w:left w:w="28" w:type="dxa"/>
              <w:right w:w="28" w:type="dxa"/>
            </w:tcMar>
            <w:vAlign w:val="center"/>
          </w:tcPr>
          <w:p w14:paraId="4FAC0DA9">
            <w:pPr>
              <w:widowControl/>
              <w:spacing w:line="240" w:lineRule="auto"/>
              <w:ind w:firstLine="0" w:firstLineChars="0"/>
              <w:jc w:val="center"/>
              <w:rPr>
                <w:color w:val="auto"/>
                <w:kern w:val="0"/>
                <w:sz w:val="21"/>
                <w:szCs w:val="21"/>
              </w:rPr>
            </w:pPr>
            <w:r>
              <w:rPr>
                <w:color w:val="auto"/>
                <w:kern w:val="0"/>
                <w:sz w:val="21"/>
                <w:szCs w:val="21"/>
              </w:rPr>
              <w:t>0.25</w:t>
            </w:r>
          </w:p>
        </w:tc>
        <w:tc>
          <w:tcPr>
            <w:tcW w:w="488" w:type="pct"/>
            <w:shd w:val="clear" w:color="auto" w:fill="auto"/>
            <w:tcMar>
              <w:left w:w="28" w:type="dxa"/>
              <w:right w:w="28" w:type="dxa"/>
            </w:tcMar>
            <w:vAlign w:val="center"/>
          </w:tcPr>
          <w:p w14:paraId="1694E3C4">
            <w:pPr>
              <w:widowControl/>
              <w:spacing w:line="240" w:lineRule="auto"/>
              <w:ind w:firstLine="0" w:firstLineChars="0"/>
              <w:jc w:val="center"/>
              <w:rPr>
                <w:color w:val="auto"/>
                <w:kern w:val="0"/>
                <w:sz w:val="21"/>
                <w:szCs w:val="21"/>
              </w:rPr>
            </w:pPr>
          </w:p>
        </w:tc>
      </w:tr>
      <w:tr w14:paraId="6F377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3A67F798">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18</w:t>
            </w:r>
          </w:p>
        </w:tc>
        <w:tc>
          <w:tcPr>
            <w:tcW w:w="2078" w:type="pct"/>
            <w:shd w:val="clear" w:color="auto" w:fill="auto"/>
            <w:tcMar>
              <w:left w:w="28" w:type="dxa"/>
              <w:right w:w="28" w:type="dxa"/>
            </w:tcMar>
            <w:vAlign w:val="center"/>
          </w:tcPr>
          <w:p w14:paraId="41924415">
            <w:pPr>
              <w:widowControl/>
              <w:spacing w:line="240" w:lineRule="auto"/>
              <w:ind w:firstLine="0" w:firstLineChars="0"/>
              <w:jc w:val="center"/>
              <w:rPr>
                <w:color w:val="auto"/>
                <w:kern w:val="0"/>
                <w:sz w:val="21"/>
                <w:szCs w:val="21"/>
              </w:rPr>
            </w:pPr>
            <w:r>
              <w:rPr>
                <w:color w:val="auto"/>
                <w:kern w:val="0"/>
                <w:sz w:val="21"/>
                <w:szCs w:val="21"/>
              </w:rPr>
              <w:t>连云港亚罗多纺织品有限公司</w:t>
            </w:r>
          </w:p>
        </w:tc>
        <w:tc>
          <w:tcPr>
            <w:tcW w:w="548" w:type="pct"/>
            <w:shd w:val="clear" w:color="auto" w:fill="auto"/>
            <w:tcMar>
              <w:left w:w="28" w:type="dxa"/>
              <w:right w:w="28" w:type="dxa"/>
            </w:tcMar>
            <w:vAlign w:val="center"/>
          </w:tcPr>
          <w:p w14:paraId="234AA682">
            <w:pPr>
              <w:widowControl/>
              <w:spacing w:line="240" w:lineRule="auto"/>
              <w:ind w:firstLine="0" w:firstLineChars="0"/>
              <w:jc w:val="center"/>
              <w:rPr>
                <w:color w:val="auto"/>
                <w:kern w:val="0"/>
                <w:sz w:val="21"/>
                <w:szCs w:val="21"/>
              </w:rPr>
            </w:pPr>
            <w:r>
              <w:rPr>
                <w:color w:val="auto"/>
                <w:kern w:val="0"/>
                <w:sz w:val="21"/>
                <w:szCs w:val="21"/>
              </w:rPr>
              <w:t>15500</w:t>
            </w:r>
          </w:p>
        </w:tc>
        <w:tc>
          <w:tcPr>
            <w:tcW w:w="556" w:type="pct"/>
            <w:shd w:val="clear" w:color="auto" w:fill="auto"/>
            <w:tcMar>
              <w:left w:w="28" w:type="dxa"/>
              <w:right w:w="28" w:type="dxa"/>
            </w:tcMar>
            <w:vAlign w:val="center"/>
          </w:tcPr>
          <w:p w14:paraId="01E28AA5">
            <w:pPr>
              <w:widowControl/>
              <w:spacing w:line="240" w:lineRule="auto"/>
              <w:ind w:firstLine="0" w:firstLineChars="0"/>
              <w:jc w:val="center"/>
              <w:rPr>
                <w:color w:val="auto"/>
                <w:kern w:val="0"/>
                <w:sz w:val="21"/>
                <w:szCs w:val="21"/>
              </w:rPr>
            </w:pPr>
            <w:r>
              <w:rPr>
                <w:color w:val="auto"/>
                <w:kern w:val="0"/>
                <w:sz w:val="21"/>
                <w:szCs w:val="21"/>
              </w:rPr>
              <w:t>1.55</w:t>
            </w:r>
          </w:p>
        </w:tc>
        <w:tc>
          <w:tcPr>
            <w:tcW w:w="506" w:type="pct"/>
            <w:shd w:val="clear" w:color="auto" w:fill="auto"/>
            <w:tcMar>
              <w:left w:w="28" w:type="dxa"/>
              <w:right w:w="28" w:type="dxa"/>
            </w:tcMar>
            <w:vAlign w:val="center"/>
          </w:tcPr>
          <w:p w14:paraId="6AED7F01">
            <w:pPr>
              <w:widowControl/>
              <w:spacing w:line="240" w:lineRule="auto"/>
              <w:ind w:firstLine="0" w:firstLineChars="0"/>
              <w:jc w:val="center"/>
              <w:rPr>
                <w:color w:val="auto"/>
                <w:kern w:val="0"/>
                <w:sz w:val="21"/>
                <w:szCs w:val="21"/>
              </w:rPr>
            </w:pPr>
            <w:r>
              <w:rPr>
                <w:color w:val="auto"/>
                <w:kern w:val="0"/>
                <w:sz w:val="21"/>
                <w:szCs w:val="21"/>
              </w:rPr>
              <w:t>1.09</w:t>
            </w:r>
          </w:p>
        </w:tc>
        <w:tc>
          <w:tcPr>
            <w:tcW w:w="505" w:type="pct"/>
            <w:shd w:val="clear" w:color="auto" w:fill="auto"/>
            <w:tcMar>
              <w:left w:w="28" w:type="dxa"/>
              <w:right w:w="28" w:type="dxa"/>
            </w:tcMar>
            <w:vAlign w:val="center"/>
          </w:tcPr>
          <w:p w14:paraId="342E49DE">
            <w:pPr>
              <w:widowControl/>
              <w:spacing w:line="240" w:lineRule="auto"/>
              <w:ind w:firstLine="0" w:firstLineChars="0"/>
              <w:jc w:val="center"/>
              <w:rPr>
                <w:color w:val="auto"/>
                <w:kern w:val="0"/>
                <w:sz w:val="21"/>
                <w:szCs w:val="21"/>
              </w:rPr>
            </w:pPr>
            <w:r>
              <w:rPr>
                <w:color w:val="auto"/>
                <w:kern w:val="0"/>
                <w:sz w:val="21"/>
                <w:szCs w:val="21"/>
              </w:rPr>
              <w:t>0.13</w:t>
            </w:r>
          </w:p>
        </w:tc>
        <w:tc>
          <w:tcPr>
            <w:tcW w:w="488" w:type="pct"/>
            <w:shd w:val="clear" w:color="auto" w:fill="auto"/>
            <w:tcMar>
              <w:left w:w="28" w:type="dxa"/>
              <w:right w:w="28" w:type="dxa"/>
            </w:tcMar>
            <w:vAlign w:val="center"/>
          </w:tcPr>
          <w:p w14:paraId="6ED4A7D5">
            <w:pPr>
              <w:widowControl/>
              <w:spacing w:line="240" w:lineRule="auto"/>
              <w:ind w:firstLine="0" w:firstLineChars="0"/>
              <w:jc w:val="center"/>
              <w:rPr>
                <w:color w:val="auto"/>
                <w:kern w:val="0"/>
                <w:sz w:val="21"/>
                <w:szCs w:val="21"/>
              </w:rPr>
            </w:pPr>
          </w:p>
        </w:tc>
      </w:tr>
      <w:tr w14:paraId="2E462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3EB330AD">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19</w:t>
            </w:r>
          </w:p>
        </w:tc>
        <w:tc>
          <w:tcPr>
            <w:tcW w:w="2078" w:type="pct"/>
            <w:shd w:val="clear" w:color="auto" w:fill="auto"/>
            <w:tcMar>
              <w:left w:w="28" w:type="dxa"/>
              <w:right w:w="28" w:type="dxa"/>
            </w:tcMar>
            <w:vAlign w:val="center"/>
          </w:tcPr>
          <w:p w14:paraId="7B5F40E0">
            <w:pPr>
              <w:widowControl/>
              <w:spacing w:line="240" w:lineRule="auto"/>
              <w:ind w:firstLine="0" w:firstLineChars="0"/>
              <w:jc w:val="center"/>
              <w:rPr>
                <w:color w:val="auto"/>
                <w:kern w:val="0"/>
                <w:sz w:val="21"/>
                <w:szCs w:val="21"/>
              </w:rPr>
            </w:pPr>
            <w:r>
              <w:rPr>
                <w:color w:val="auto"/>
                <w:kern w:val="0"/>
                <w:sz w:val="21"/>
                <w:szCs w:val="21"/>
              </w:rPr>
              <w:t>连云港莆商实业有限公司</w:t>
            </w:r>
          </w:p>
        </w:tc>
        <w:tc>
          <w:tcPr>
            <w:tcW w:w="548" w:type="pct"/>
            <w:shd w:val="clear" w:color="auto" w:fill="auto"/>
            <w:tcMar>
              <w:left w:w="28" w:type="dxa"/>
              <w:right w:w="28" w:type="dxa"/>
            </w:tcMar>
            <w:vAlign w:val="center"/>
          </w:tcPr>
          <w:p w14:paraId="1048BE06">
            <w:pPr>
              <w:widowControl/>
              <w:spacing w:line="240" w:lineRule="auto"/>
              <w:ind w:firstLine="0" w:firstLineChars="0"/>
              <w:jc w:val="center"/>
              <w:rPr>
                <w:color w:val="auto"/>
                <w:kern w:val="0"/>
                <w:sz w:val="21"/>
                <w:szCs w:val="21"/>
              </w:rPr>
            </w:pPr>
            <w:r>
              <w:rPr>
                <w:color w:val="auto"/>
                <w:kern w:val="0"/>
                <w:sz w:val="21"/>
                <w:szCs w:val="21"/>
              </w:rPr>
              <w:t>49500</w:t>
            </w:r>
          </w:p>
        </w:tc>
        <w:tc>
          <w:tcPr>
            <w:tcW w:w="556" w:type="pct"/>
            <w:shd w:val="clear" w:color="auto" w:fill="auto"/>
            <w:tcMar>
              <w:left w:w="28" w:type="dxa"/>
              <w:right w:w="28" w:type="dxa"/>
            </w:tcMar>
            <w:vAlign w:val="center"/>
          </w:tcPr>
          <w:p w14:paraId="51AEAE57">
            <w:pPr>
              <w:widowControl/>
              <w:spacing w:line="240" w:lineRule="auto"/>
              <w:ind w:firstLine="0" w:firstLineChars="0"/>
              <w:jc w:val="center"/>
              <w:rPr>
                <w:color w:val="auto"/>
                <w:kern w:val="0"/>
                <w:sz w:val="21"/>
                <w:szCs w:val="21"/>
              </w:rPr>
            </w:pPr>
            <w:r>
              <w:rPr>
                <w:color w:val="auto"/>
                <w:kern w:val="0"/>
                <w:sz w:val="21"/>
                <w:szCs w:val="21"/>
              </w:rPr>
              <w:t>4.95</w:t>
            </w:r>
          </w:p>
        </w:tc>
        <w:tc>
          <w:tcPr>
            <w:tcW w:w="506" w:type="pct"/>
            <w:shd w:val="clear" w:color="auto" w:fill="auto"/>
            <w:tcMar>
              <w:left w:w="28" w:type="dxa"/>
              <w:right w:w="28" w:type="dxa"/>
            </w:tcMar>
            <w:vAlign w:val="center"/>
          </w:tcPr>
          <w:p w14:paraId="3563285B">
            <w:pPr>
              <w:widowControl/>
              <w:spacing w:line="240" w:lineRule="auto"/>
              <w:ind w:firstLine="0" w:firstLineChars="0"/>
              <w:jc w:val="center"/>
              <w:rPr>
                <w:color w:val="auto"/>
                <w:kern w:val="0"/>
                <w:sz w:val="21"/>
                <w:szCs w:val="21"/>
              </w:rPr>
            </w:pPr>
            <w:r>
              <w:rPr>
                <w:color w:val="auto"/>
                <w:kern w:val="0"/>
                <w:sz w:val="21"/>
                <w:szCs w:val="21"/>
              </w:rPr>
              <w:t>3.47</w:t>
            </w:r>
          </w:p>
        </w:tc>
        <w:tc>
          <w:tcPr>
            <w:tcW w:w="505" w:type="pct"/>
            <w:shd w:val="clear" w:color="auto" w:fill="auto"/>
            <w:tcMar>
              <w:left w:w="28" w:type="dxa"/>
              <w:right w:w="28" w:type="dxa"/>
            </w:tcMar>
            <w:vAlign w:val="center"/>
          </w:tcPr>
          <w:p w14:paraId="3810025A">
            <w:pPr>
              <w:widowControl/>
              <w:spacing w:line="240" w:lineRule="auto"/>
              <w:ind w:firstLine="0" w:firstLineChars="0"/>
              <w:jc w:val="center"/>
              <w:rPr>
                <w:color w:val="auto"/>
                <w:kern w:val="0"/>
                <w:sz w:val="21"/>
                <w:szCs w:val="21"/>
              </w:rPr>
            </w:pPr>
            <w:r>
              <w:rPr>
                <w:color w:val="auto"/>
                <w:kern w:val="0"/>
                <w:sz w:val="21"/>
                <w:szCs w:val="21"/>
              </w:rPr>
              <w:t>0.74</w:t>
            </w:r>
          </w:p>
        </w:tc>
        <w:tc>
          <w:tcPr>
            <w:tcW w:w="488" w:type="pct"/>
            <w:shd w:val="clear" w:color="auto" w:fill="auto"/>
            <w:tcMar>
              <w:left w:w="28" w:type="dxa"/>
              <w:right w:w="28" w:type="dxa"/>
            </w:tcMar>
            <w:vAlign w:val="center"/>
          </w:tcPr>
          <w:p w14:paraId="5937019F">
            <w:pPr>
              <w:widowControl/>
              <w:spacing w:line="240" w:lineRule="auto"/>
              <w:ind w:firstLine="0" w:firstLineChars="0"/>
              <w:jc w:val="center"/>
              <w:rPr>
                <w:color w:val="auto"/>
                <w:kern w:val="0"/>
                <w:sz w:val="21"/>
                <w:szCs w:val="21"/>
              </w:rPr>
            </w:pPr>
          </w:p>
        </w:tc>
      </w:tr>
      <w:tr w14:paraId="2D99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53C05D33">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20</w:t>
            </w:r>
          </w:p>
        </w:tc>
        <w:tc>
          <w:tcPr>
            <w:tcW w:w="2078" w:type="pct"/>
            <w:shd w:val="clear" w:color="auto" w:fill="auto"/>
            <w:tcMar>
              <w:left w:w="28" w:type="dxa"/>
              <w:right w:w="28" w:type="dxa"/>
            </w:tcMar>
            <w:vAlign w:val="center"/>
          </w:tcPr>
          <w:p w14:paraId="15C43DEE">
            <w:pPr>
              <w:widowControl/>
              <w:spacing w:line="240" w:lineRule="auto"/>
              <w:ind w:firstLine="0" w:firstLineChars="0"/>
              <w:jc w:val="center"/>
              <w:rPr>
                <w:color w:val="auto"/>
                <w:kern w:val="0"/>
                <w:sz w:val="21"/>
                <w:szCs w:val="21"/>
              </w:rPr>
            </w:pPr>
            <w:r>
              <w:rPr>
                <w:color w:val="auto"/>
                <w:kern w:val="0"/>
                <w:sz w:val="21"/>
                <w:szCs w:val="21"/>
              </w:rPr>
              <w:t>连云港启创铝制品制造有限公司</w:t>
            </w:r>
          </w:p>
        </w:tc>
        <w:tc>
          <w:tcPr>
            <w:tcW w:w="548" w:type="pct"/>
            <w:shd w:val="clear" w:color="auto" w:fill="auto"/>
            <w:tcMar>
              <w:left w:w="28" w:type="dxa"/>
              <w:right w:w="28" w:type="dxa"/>
            </w:tcMar>
            <w:vAlign w:val="center"/>
          </w:tcPr>
          <w:p w14:paraId="2488831E">
            <w:pPr>
              <w:widowControl/>
              <w:spacing w:line="240" w:lineRule="auto"/>
              <w:ind w:firstLine="0" w:firstLineChars="0"/>
              <w:jc w:val="center"/>
              <w:rPr>
                <w:color w:val="auto"/>
                <w:kern w:val="0"/>
                <w:sz w:val="21"/>
                <w:szCs w:val="21"/>
              </w:rPr>
            </w:pPr>
            <w:r>
              <w:rPr>
                <w:rFonts w:hint="eastAsia"/>
                <w:color w:val="auto"/>
                <w:kern w:val="0"/>
                <w:sz w:val="21"/>
                <w:szCs w:val="21"/>
              </w:rPr>
              <w:t>134371</w:t>
            </w:r>
          </w:p>
        </w:tc>
        <w:tc>
          <w:tcPr>
            <w:tcW w:w="1027" w:type="dxa"/>
            <w:shd w:val="clear" w:color="auto" w:fill="auto"/>
            <w:tcMar>
              <w:left w:w="28" w:type="dxa"/>
              <w:right w:w="28" w:type="dxa"/>
            </w:tcMar>
            <w:vAlign w:val="center"/>
          </w:tcPr>
          <w:p w14:paraId="241ADD75">
            <w:pPr>
              <w:widowControl/>
              <w:spacing w:line="240" w:lineRule="auto"/>
              <w:ind w:firstLine="0" w:firstLineChars="0"/>
              <w:jc w:val="center"/>
              <w:rPr>
                <w:color w:val="auto"/>
                <w:kern w:val="0"/>
                <w:sz w:val="21"/>
                <w:szCs w:val="21"/>
              </w:rPr>
            </w:pPr>
            <w:r>
              <w:rPr>
                <w:color w:val="auto"/>
                <w:kern w:val="0"/>
                <w:sz w:val="21"/>
                <w:szCs w:val="21"/>
              </w:rPr>
              <w:t>0.21</w:t>
            </w:r>
          </w:p>
        </w:tc>
        <w:tc>
          <w:tcPr>
            <w:tcW w:w="935" w:type="dxa"/>
            <w:shd w:val="clear" w:color="auto" w:fill="auto"/>
            <w:tcMar>
              <w:left w:w="28" w:type="dxa"/>
              <w:right w:w="28" w:type="dxa"/>
            </w:tcMar>
            <w:vAlign w:val="center"/>
          </w:tcPr>
          <w:p w14:paraId="35AE96E3">
            <w:pPr>
              <w:widowControl/>
              <w:spacing w:line="240" w:lineRule="auto"/>
              <w:ind w:firstLine="0" w:firstLineChars="0"/>
              <w:jc w:val="center"/>
              <w:rPr>
                <w:color w:val="auto"/>
                <w:kern w:val="0"/>
                <w:sz w:val="21"/>
                <w:szCs w:val="21"/>
              </w:rPr>
            </w:pPr>
            <w:r>
              <w:rPr>
                <w:color w:val="auto"/>
                <w:kern w:val="0"/>
                <w:sz w:val="21"/>
                <w:szCs w:val="21"/>
              </w:rPr>
              <w:t>0.08</w:t>
            </w:r>
          </w:p>
        </w:tc>
        <w:tc>
          <w:tcPr>
            <w:tcW w:w="933" w:type="dxa"/>
            <w:shd w:val="clear" w:color="auto" w:fill="auto"/>
            <w:tcMar>
              <w:left w:w="28" w:type="dxa"/>
              <w:right w:w="28" w:type="dxa"/>
            </w:tcMar>
            <w:vAlign w:val="center"/>
          </w:tcPr>
          <w:p w14:paraId="05DF63F3">
            <w:pPr>
              <w:widowControl/>
              <w:spacing w:line="240" w:lineRule="auto"/>
              <w:ind w:firstLine="0" w:firstLineChars="0"/>
              <w:jc w:val="center"/>
              <w:rPr>
                <w:color w:val="auto"/>
                <w:kern w:val="0"/>
                <w:sz w:val="21"/>
                <w:szCs w:val="21"/>
              </w:rPr>
            </w:pPr>
            <w:r>
              <w:rPr>
                <w:color w:val="auto"/>
                <w:kern w:val="0"/>
                <w:sz w:val="21"/>
                <w:szCs w:val="21"/>
              </w:rPr>
              <w:t>0.025</w:t>
            </w:r>
          </w:p>
        </w:tc>
        <w:tc>
          <w:tcPr>
            <w:tcW w:w="902" w:type="dxa"/>
            <w:shd w:val="clear" w:color="auto" w:fill="auto"/>
            <w:tcMar>
              <w:left w:w="28" w:type="dxa"/>
              <w:right w:w="28" w:type="dxa"/>
            </w:tcMar>
            <w:vAlign w:val="center"/>
          </w:tcPr>
          <w:p w14:paraId="660A20D1">
            <w:pPr>
              <w:widowControl/>
              <w:spacing w:line="240" w:lineRule="auto"/>
              <w:ind w:firstLine="0" w:firstLineChars="0"/>
              <w:jc w:val="center"/>
              <w:rPr>
                <w:color w:val="auto"/>
                <w:kern w:val="0"/>
                <w:sz w:val="21"/>
                <w:szCs w:val="21"/>
              </w:rPr>
            </w:pPr>
            <w:r>
              <w:rPr>
                <w:color w:val="auto"/>
                <w:kern w:val="0"/>
                <w:sz w:val="21"/>
                <w:szCs w:val="21"/>
              </w:rPr>
              <w:t>0.005</w:t>
            </w:r>
          </w:p>
        </w:tc>
      </w:tr>
      <w:tr w14:paraId="71452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16" w:type="pct"/>
            <w:shd w:val="clear" w:color="auto" w:fill="auto"/>
            <w:tcMar>
              <w:left w:w="28" w:type="dxa"/>
              <w:right w:w="28" w:type="dxa"/>
            </w:tcMar>
            <w:vAlign w:val="center"/>
          </w:tcPr>
          <w:p w14:paraId="0058EDCF">
            <w:pPr>
              <w:widowControl/>
              <w:spacing w:line="240" w:lineRule="auto"/>
              <w:ind w:firstLine="0" w:firstLineChars="0"/>
              <w:jc w:val="center"/>
              <w:rPr>
                <w:rFonts w:eastAsia="幼圆"/>
                <w:color w:val="auto"/>
                <w:kern w:val="0"/>
                <w:sz w:val="21"/>
                <w:szCs w:val="21"/>
              </w:rPr>
            </w:pPr>
            <w:r>
              <w:rPr>
                <w:rFonts w:eastAsia="幼圆"/>
                <w:color w:val="auto"/>
                <w:kern w:val="0"/>
                <w:sz w:val="21"/>
                <w:szCs w:val="21"/>
              </w:rPr>
              <w:t>21</w:t>
            </w:r>
          </w:p>
        </w:tc>
        <w:tc>
          <w:tcPr>
            <w:tcW w:w="2078" w:type="pct"/>
            <w:shd w:val="clear" w:color="auto" w:fill="auto"/>
            <w:tcMar>
              <w:left w:w="28" w:type="dxa"/>
              <w:right w:w="28" w:type="dxa"/>
            </w:tcMar>
            <w:vAlign w:val="center"/>
          </w:tcPr>
          <w:p w14:paraId="6EA7DC03">
            <w:pPr>
              <w:widowControl/>
              <w:spacing w:line="240" w:lineRule="auto"/>
              <w:ind w:firstLine="0" w:firstLineChars="0"/>
              <w:jc w:val="center"/>
              <w:rPr>
                <w:color w:val="auto"/>
                <w:kern w:val="0"/>
                <w:sz w:val="21"/>
                <w:szCs w:val="21"/>
              </w:rPr>
            </w:pPr>
            <w:r>
              <w:rPr>
                <w:color w:val="auto"/>
                <w:kern w:val="0"/>
                <w:sz w:val="21"/>
                <w:szCs w:val="21"/>
              </w:rPr>
              <w:t>连云港尊宝实业有限公司</w:t>
            </w:r>
          </w:p>
        </w:tc>
        <w:tc>
          <w:tcPr>
            <w:tcW w:w="548" w:type="pct"/>
            <w:shd w:val="clear" w:color="auto" w:fill="auto"/>
            <w:tcMar>
              <w:left w:w="28" w:type="dxa"/>
              <w:right w:w="28" w:type="dxa"/>
            </w:tcMar>
            <w:vAlign w:val="center"/>
          </w:tcPr>
          <w:p w14:paraId="38B059AD">
            <w:pPr>
              <w:widowControl/>
              <w:spacing w:line="240" w:lineRule="auto"/>
              <w:ind w:firstLine="0" w:firstLineChars="0"/>
              <w:jc w:val="center"/>
              <w:rPr>
                <w:color w:val="auto"/>
                <w:kern w:val="0"/>
                <w:sz w:val="21"/>
                <w:szCs w:val="21"/>
              </w:rPr>
            </w:pPr>
            <w:r>
              <w:rPr>
                <w:color w:val="auto"/>
                <w:kern w:val="0"/>
                <w:sz w:val="21"/>
                <w:szCs w:val="21"/>
              </w:rPr>
              <w:t>31000</w:t>
            </w:r>
          </w:p>
        </w:tc>
        <w:tc>
          <w:tcPr>
            <w:tcW w:w="556" w:type="pct"/>
            <w:shd w:val="clear" w:color="auto" w:fill="auto"/>
            <w:tcMar>
              <w:left w:w="28" w:type="dxa"/>
              <w:right w:w="28" w:type="dxa"/>
            </w:tcMar>
            <w:vAlign w:val="center"/>
          </w:tcPr>
          <w:p w14:paraId="606D0A00">
            <w:pPr>
              <w:widowControl/>
              <w:spacing w:line="240" w:lineRule="auto"/>
              <w:ind w:firstLine="0" w:firstLineChars="0"/>
              <w:jc w:val="center"/>
              <w:rPr>
                <w:color w:val="auto"/>
                <w:kern w:val="0"/>
                <w:sz w:val="21"/>
                <w:szCs w:val="21"/>
              </w:rPr>
            </w:pPr>
            <w:r>
              <w:rPr>
                <w:color w:val="auto"/>
                <w:kern w:val="0"/>
                <w:sz w:val="21"/>
                <w:szCs w:val="21"/>
              </w:rPr>
              <w:t>3.1</w:t>
            </w:r>
          </w:p>
        </w:tc>
        <w:tc>
          <w:tcPr>
            <w:tcW w:w="506" w:type="pct"/>
            <w:shd w:val="clear" w:color="auto" w:fill="auto"/>
            <w:tcMar>
              <w:left w:w="28" w:type="dxa"/>
              <w:right w:w="28" w:type="dxa"/>
            </w:tcMar>
            <w:vAlign w:val="center"/>
          </w:tcPr>
          <w:p w14:paraId="52259F21">
            <w:pPr>
              <w:widowControl/>
              <w:spacing w:line="240" w:lineRule="auto"/>
              <w:ind w:firstLine="0" w:firstLineChars="0"/>
              <w:jc w:val="center"/>
              <w:rPr>
                <w:color w:val="auto"/>
                <w:kern w:val="0"/>
                <w:sz w:val="21"/>
                <w:szCs w:val="21"/>
              </w:rPr>
            </w:pPr>
            <w:r>
              <w:rPr>
                <w:color w:val="auto"/>
                <w:kern w:val="0"/>
                <w:sz w:val="21"/>
                <w:szCs w:val="21"/>
              </w:rPr>
              <w:t>2.2</w:t>
            </w:r>
          </w:p>
        </w:tc>
        <w:tc>
          <w:tcPr>
            <w:tcW w:w="505" w:type="pct"/>
            <w:shd w:val="clear" w:color="auto" w:fill="auto"/>
            <w:tcMar>
              <w:left w:w="28" w:type="dxa"/>
              <w:right w:w="28" w:type="dxa"/>
            </w:tcMar>
            <w:vAlign w:val="center"/>
          </w:tcPr>
          <w:p w14:paraId="08569BDE">
            <w:pPr>
              <w:widowControl/>
              <w:spacing w:line="240" w:lineRule="auto"/>
              <w:ind w:firstLine="0" w:firstLineChars="0"/>
              <w:jc w:val="center"/>
              <w:rPr>
                <w:color w:val="auto"/>
                <w:kern w:val="0"/>
                <w:sz w:val="21"/>
                <w:szCs w:val="21"/>
              </w:rPr>
            </w:pPr>
            <w:r>
              <w:rPr>
                <w:color w:val="auto"/>
                <w:kern w:val="0"/>
                <w:sz w:val="21"/>
                <w:szCs w:val="21"/>
              </w:rPr>
              <w:t>0.2</w:t>
            </w:r>
          </w:p>
        </w:tc>
        <w:tc>
          <w:tcPr>
            <w:tcW w:w="488" w:type="pct"/>
            <w:shd w:val="clear" w:color="auto" w:fill="auto"/>
            <w:tcMar>
              <w:left w:w="28" w:type="dxa"/>
              <w:right w:w="28" w:type="dxa"/>
            </w:tcMar>
            <w:vAlign w:val="center"/>
          </w:tcPr>
          <w:p w14:paraId="7DA6562E">
            <w:pPr>
              <w:widowControl/>
              <w:spacing w:line="240" w:lineRule="auto"/>
              <w:ind w:firstLine="0" w:firstLineChars="0"/>
              <w:jc w:val="center"/>
              <w:rPr>
                <w:color w:val="auto"/>
                <w:kern w:val="0"/>
                <w:sz w:val="21"/>
                <w:szCs w:val="21"/>
              </w:rPr>
            </w:pPr>
          </w:p>
        </w:tc>
      </w:tr>
    </w:tbl>
    <w:p w14:paraId="060E291A">
      <w:pPr>
        <w:ind w:firstLine="480"/>
        <w:rPr>
          <w:color w:val="auto"/>
        </w:rPr>
      </w:pPr>
      <w:r>
        <w:rPr>
          <w:rFonts w:hint="eastAsia"/>
          <w:color w:val="auto"/>
        </w:rPr>
        <w:t>在企业预处理设施正常运行的情况下，以上企业废水经预处理满足《电镀污染物排放标准》（GB21900-2008）、《污水综合排放标准》（GB8978-1996）、《污水排入城镇下水道水质标准》（GB/T31962-2015）以及开发区临港污水处理厂根据实际运行能力设定的接管要求。</w:t>
      </w:r>
    </w:p>
    <w:p w14:paraId="684B77ED">
      <w:pPr>
        <w:ind w:firstLine="480"/>
        <w:rPr>
          <w:color w:val="auto"/>
        </w:rPr>
      </w:pPr>
      <w:r>
        <w:rPr>
          <w:rFonts w:hint="eastAsia"/>
          <w:color w:val="auto"/>
        </w:rPr>
        <w:t>开发区临港污水处理厂现状平稳运行，各污染物因子出水水质均值能满足《城镇污水处理厂污染物排放标准》（GB18918-2002）一级A标准，</w:t>
      </w:r>
      <w:r>
        <w:rPr>
          <w:color w:val="auto"/>
        </w:rPr>
        <w:t>202</w:t>
      </w:r>
      <w:r>
        <w:rPr>
          <w:rFonts w:hint="eastAsia"/>
          <w:color w:val="auto"/>
        </w:rPr>
        <w:t>3年在线监控数据详见表7</w:t>
      </w:r>
      <w:r>
        <w:rPr>
          <w:color w:val="auto"/>
        </w:rPr>
        <w:t>.2.2-</w:t>
      </w:r>
      <w:r>
        <w:rPr>
          <w:rFonts w:hint="eastAsia"/>
          <w:color w:val="auto"/>
          <w:lang w:val="en-US" w:eastAsia="zh-CN"/>
        </w:rPr>
        <w:t>7</w:t>
      </w:r>
      <w:r>
        <w:rPr>
          <w:rFonts w:hint="eastAsia"/>
          <w:color w:val="auto"/>
        </w:rPr>
        <w:t>。</w:t>
      </w:r>
    </w:p>
    <w:p w14:paraId="3244A2C1">
      <w:pPr>
        <w:spacing w:line="240" w:lineRule="auto"/>
        <w:ind w:firstLine="0" w:firstLineChars="0"/>
        <w:jc w:val="center"/>
        <w:rPr>
          <w:b/>
          <w:bCs/>
          <w:color w:val="auto"/>
        </w:rPr>
      </w:pPr>
      <w:r>
        <w:rPr>
          <w:b/>
          <w:bCs/>
          <w:color w:val="auto"/>
        </w:rPr>
        <w:t>表</w:t>
      </w:r>
      <w:r>
        <w:rPr>
          <w:rFonts w:hint="eastAsia"/>
          <w:b/>
          <w:bCs/>
          <w:color w:val="auto"/>
        </w:rPr>
        <w:t>7</w:t>
      </w:r>
      <w:r>
        <w:rPr>
          <w:b/>
          <w:bCs/>
          <w:color w:val="auto"/>
        </w:rPr>
        <w:t>.2.2-</w:t>
      </w:r>
      <w:r>
        <w:rPr>
          <w:rFonts w:hint="eastAsia"/>
          <w:b/>
          <w:bCs/>
          <w:color w:val="auto"/>
          <w:lang w:val="en-US" w:eastAsia="zh-CN"/>
        </w:rPr>
        <w:t>7</w:t>
      </w:r>
      <w:r>
        <w:rPr>
          <w:b/>
          <w:bCs/>
          <w:color w:val="auto"/>
        </w:rPr>
        <w:t xml:space="preserve">  开发区临港</w:t>
      </w:r>
      <w:r>
        <w:rPr>
          <w:rFonts w:hint="eastAsia"/>
          <w:b/>
          <w:bCs/>
          <w:color w:val="auto"/>
        </w:rPr>
        <w:t>污水处理厂</w:t>
      </w:r>
      <w:r>
        <w:rPr>
          <w:b/>
          <w:bCs/>
          <w:color w:val="auto"/>
        </w:rPr>
        <w:t>202</w:t>
      </w:r>
      <w:r>
        <w:rPr>
          <w:rFonts w:hint="eastAsia"/>
          <w:b/>
          <w:bCs/>
          <w:color w:val="auto"/>
        </w:rPr>
        <w:t>3</w:t>
      </w:r>
      <w:r>
        <w:rPr>
          <w:b/>
          <w:bCs/>
          <w:color w:val="auto"/>
        </w:rPr>
        <w:t>年出水在线监控数据（mg/L）</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02"/>
        <w:gridCol w:w="1196"/>
        <w:gridCol w:w="1194"/>
        <w:gridCol w:w="1082"/>
        <w:gridCol w:w="1080"/>
        <w:gridCol w:w="1196"/>
        <w:gridCol w:w="1193"/>
        <w:gridCol w:w="632"/>
      </w:tblGrid>
      <w:tr w14:paraId="01174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438" w:type="pct"/>
            <w:vMerge w:val="restart"/>
            <w:tcBorders>
              <w:tl2br w:val="nil"/>
              <w:tr2bl w:val="nil"/>
            </w:tcBorders>
            <w:shd w:val="clear" w:color="auto" w:fill="auto"/>
            <w:noWrap/>
            <w:vAlign w:val="center"/>
          </w:tcPr>
          <w:p w14:paraId="0E248FEC">
            <w:pPr>
              <w:spacing w:line="240" w:lineRule="auto"/>
              <w:ind w:firstLine="0" w:firstLineChars="0"/>
              <w:jc w:val="center"/>
              <w:rPr>
                <w:b/>
                <w:color w:val="auto"/>
                <w:sz w:val="21"/>
                <w:szCs w:val="21"/>
              </w:rPr>
            </w:pPr>
            <w:r>
              <w:rPr>
                <w:b/>
                <w:color w:val="auto"/>
                <w:sz w:val="21"/>
                <w:szCs w:val="21"/>
              </w:rPr>
              <w:t>月份</w:t>
            </w:r>
          </w:p>
        </w:tc>
        <w:tc>
          <w:tcPr>
            <w:tcW w:w="1169" w:type="pct"/>
            <w:gridSpan w:val="2"/>
            <w:tcBorders>
              <w:tl2br w:val="nil"/>
              <w:tr2bl w:val="nil"/>
            </w:tcBorders>
            <w:shd w:val="clear" w:color="auto" w:fill="auto"/>
            <w:noWrap/>
            <w:vAlign w:val="center"/>
          </w:tcPr>
          <w:p w14:paraId="2BB200FD">
            <w:pPr>
              <w:spacing w:line="240" w:lineRule="auto"/>
              <w:ind w:firstLine="0" w:firstLineChars="0"/>
              <w:jc w:val="center"/>
              <w:rPr>
                <w:b/>
                <w:color w:val="auto"/>
                <w:sz w:val="21"/>
                <w:szCs w:val="21"/>
              </w:rPr>
            </w:pPr>
            <w:r>
              <w:rPr>
                <w:b/>
                <w:color w:val="auto"/>
                <w:sz w:val="21"/>
                <w:szCs w:val="21"/>
              </w:rPr>
              <w:t>COD(mg/L)</w:t>
            </w:r>
          </w:p>
        </w:tc>
        <w:tc>
          <w:tcPr>
            <w:tcW w:w="1210" w:type="pct"/>
            <w:gridSpan w:val="2"/>
            <w:tcBorders>
              <w:tl2br w:val="nil"/>
              <w:tr2bl w:val="nil"/>
            </w:tcBorders>
            <w:shd w:val="clear" w:color="auto" w:fill="auto"/>
            <w:noWrap/>
            <w:vAlign w:val="center"/>
          </w:tcPr>
          <w:p w14:paraId="66DCC2D9">
            <w:pPr>
              <w:spacing w:line="240" w:lineRule="auto"/>
              <w:ind w:firstLine="0" w:firstLineChars="0"/>
              <w:jc w:val="center"/>
              <w:rPr>
                <w:b/>
                <w:color w:val="auto"/>
                <w:sz w:val="21"/>
                <w:szCs w:val="21"/>
              </w:rPr>
            </w:pPr>
            <w:r>
              <w:rPr>
                <w:b/>
                <w:color w:val="auto"/>
                <w:sz w:val="21"/>
                <w:szCs w:val="21"/>
              </w:rPr>
              <w:t>NH</w:t>
            </w:r>
            <w:r>
              <w:rPr>
                <w:b/>
                <w:color w:val="auto"/>
                <w:sz w:val="21"/>
                <w:szCs w:val="21"/>
                <w:vertAlign w:val="subscript"/>
              </w:rPr>
              <w:t>3</w:t>
            </w:r>
            <w:r>
              <w:rPr>
                <w:b/>
                <w:color w:val="auto"/>
                <w:sz w:val="21"/>
                <w:szCs w:val="21"/>
              </w:rPr>
              <w:t>-N(mg/L)</w:t>
            </w:r>
          </w:p>
        </w:tc>
        <w:tc>
          <w:tcPr>
            <w:tcW w:w="1210" w:type="pct"/>
            <w:gridSpan w:val="2"/>
            <w:tcBorders>
              <w:tl2br w:val="nil"/>
              <w:tr2bl w:val="nil"/>
            </w:tcBorders>
            <w:vAlign w:val="center"/>
          </w:tcPr>
          <w:p w14:paraId="3E2BEFF9">
            <w:pPr>
              <w:spacing w:line="240" w:lineRule="auto"/>
              <w:ind w:firstLine="0" w:firstLineChars="0"/>
              <w:jc w:val="center"/>
              <w:rPr>
                <w:b/>
                <w:color w:val="auto"/>
                <w:sz w:val="21"/>
                <w:szCs w:val="21"/>
              </w:rPr>
            </w:pPr>
            <w:r>
              <w:rPr>
                <w:b/>
                <w:color w:val="auto"/>
                <w:sz w:val="21"/>
                <w:szCs w:val="21"/>
              </w:rPr>
              <w:t>TP(mg/L)</w:t>
            </w:r>
          </w:p>
        </w:tc>
        <w:tc>
          <w:tcPr>
            <w:tcW w:w="970" w:type="pct"/>
            <w:gridSpan w:val="2"/>
            <w:tcBorders>
              <w:tl2br w:val="nil"/>
              <w:tr2bl w:val="nil"/>
            </w:tcBorders>
            <w:shd w:val="clear" w:color="auto" w:fill="auto"/>
            <w:noWrap/>
            <w:vAlign w:val="center"/>
          </w:tcPr>
          <w:p w14:paraId="36A207F0">
            <w:pPr>
              <w:spacing w:line="240" w:lineRule="auto"/>
              <w:ind w:firstLine="0" w:firstLineChars="0"/>
              <w:jc w:val="center"/>
              <w:rPr>
                <w:b/>
                <w:color w:val="auto"/>
                <w:sz w:val="21"/>
                <w:szCs w:val="21"/>
              </w:rPr>
            </w:pPr>
            <w:r>
              <w:rPr>
                <w:b/>
                <w:color w:val="auto"/>
                <w:sz w:val="21"/>
                <w:szCs w:val="21"/>
              </w:rPr>
              <w:t>TN(mg/L)</w:t>
            </w:r>
          </w:p>
        </w:tc>
      </w:tr>
      <w:tr w14:paraId="5C08F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438" w:type="pct"/>
            <w:vMerge w:val="continue"/>
            <w:tcBorders>
              <w:tl2br w:val="nil"/>
              <w:tr2bl w:val="nil"/>
            </w:tcBorders>
            <w:vAlign w:val="center"/>
          </w:tcPr>
          <w:p w14:paraId="75C84604">
            <w:pPr>
              <w:spacing w:line="240" w:lineRule="auto"/>
              <w:ind w:firstLine="0" w:firstLineChars="0"/>
              <w:jc w:val="center"/>
              <w:rPr>
                <w:b/>
                <w:color w:val="auto"/>
                <w:sz w:val="21"/>
                <w:szCs w:val="21"/>
              </w:rPr>
            </w:pPr>
          </w:p>
        </w:tc>
        <w:tc>
          <w:tcPr>
            <w:tcW w:w="532" w:type="pct"/>
            <w:tcBorders>
              <w:tl2br w:val="nil"/>
              <w:tr2bl w:val="nil"/>
            </w:tcBorders>
            <w:shd w:val="clear" w:color="auto" w:fill="auto"/>
            <w:noWrap/>
            <w:vAlign w:val="center"/>
          </w:tcPr>
          <w:p w14:paraId="1F330AE1">
            <w:pPr>
              <w:spacing w:line="240" w:lineRule="auto"/>
              <w:ind w:firstLine="0" w:firstLineChars="0"/>
              <w:jc w:val="center"/>
              <w:rPr>
                <w:b/>
                <w:color w:val="auto"/>
                <w:sz w:val="21"/>
                <w:szCs w:val="21"/>
              </w:rPr>
            </w:pPr>
            <w:r>
              <w:rPr>
                <w:b/>
                <w:color w:val="auto"/>
                <w:sz w:val="21"/>
                <w:szCs w:val="21"/>
              </w:rPr>
              <w:t>进水</w:t>
            </w:r>
          </w:p>
        </w:tc>
        <w:tc>
          <w:tcPr>
            <w:tcW w:w="636" w:type="pct"/>
            <w:tcBorders>
              <w:tl2br w:val="nil"/>
              <w:tr2bl w:val="nil"/>
            </w:tcBorders>
            <w:shd w:val="clear" w:color="auto" w:fill="auto"/>
            <w:noWrap/>
            <w:vAlign w:val="center"/>
          </w:tcPr>
          <w:p w14:paraId="04352FAF">
            <w:pPr>
              <w:spacing w:line="240" w:lineRule="auto"/>
              <w:ind w:firstLine="0" w:firstLineChars="0"/>
              <w:jc w:val="center"/>
              <w:rPr>
                <w:b/>
                <w:color w:val="auto"/>
                <w:sz w:val="21"/>
                <w:szCs w:val="21"/>
              </w:rPr>
            </w:pPr>
            <w:r>
              <w:rPr>
                <w:b/>
                <w:color w:val="auto"/>
                <w:sz w:val="21"/>
                <w:szCs w:val="21"/>
              </w:rPr>
              <w:t>出水</w:t>
            </w:r>
          </w:p>
        </w:tc>
        <w:tc>
          <w:tcPr>
            <w:tcW w:w="635" w:type="pct"/>
            <w:tcBorders>
              <w:tl2br w:val="nil"/>
              <w:tr2bl w:val="nil"/>
            </w:tcBorders>
            <w:shd w:val="clear" w:color="auto" w:fill="auto"/>
            <w:noWrap/>
            <w:vAlign w:val="center"/>
          </w:tcPr>
          <w:p w14:paraId="07730D2B">
            <w:pPr>
              <w:spacing w:line="240" w:lineRule="auto"/>
              <w:ind w:firstLine="0" w:firstLineChars="0"/>
              <w:jc w:val="center"/>
              <w:rPr>
                <w:b/>
                <w:color w:val="auto"/>
                <w:sz w:val="21"/>
                <w:szCs w:val="21"/>
              </w:rPr>
            </w:pPr>
            <w:r>
              <w:rPr>
                <w:b/>
                <w:color w:val="auto"/>
                <w:sz w:val="21"/>
                <w:szCs w:val="21"/>
              </w:rPr>
              <w:t>进水</w:t>
            </w:r>
          </w:p>
        </w:tc>
        <w:tc>
          <w:tcPr>
            <w:tcW w:w="575" w:type="pct"/>
            <w:tcBorders>
              <w:tl2br w:val="nil"/>
              <w:tr2bl w:val="nil"/>
            </w:tcBorders>
            <w:shd w:val="clear" w:color="auto" w:fill="auto"/>
            <w:noWrap/>
            <w:vAlign w:val="center"/>
          </w:tcPr>
          <w:p w14:paraId="63CCCDC3">
            <w:pPr>
              <w:spacing w:line="240" w:lineRule="auto"/>
              <w:ind w:firstLine="0" w:firstLineChars="0"/>
              <w:jc w:val="center"/>
              <w:rPr>
                <w:b/>
                <w:color w:val="auto"/>
                <w:sz w:val="21"/>
                <w:szCs w:val="21"/>
              </w:rPr>
            </w:pPr>
            <w:r>
              <w:rPr>
                <w:b/>
                <w:color w:val="auto"/>
                <w:sz w:val="21"/>
                <w:szCs w:val="21"/>
              </w:rPr>
              <w:t>出水</w:t>
            </w:r>
          </w:p>
        </w:tc>
        <w:tc>
          <w:tcPr>
            <w:tcW w:w="574" w:type="pct"/>
            <w:tcBorders>
              <w:tl2br w:val="nil"/>
              <w:tr2bl w:val="nil"/>
            </w:tcBorders>
            <w:vAlign w:val="center"/>
          </w:tcPr>
          <w:p w14:paraId="42FE92F2">
            <w:pPr>
              <w:spacing w:line="240" w:lineRule="auto"/>
              <w:ind w:firstLine="0" w:firstLineChars="0"/>
              <w:jc w:val="center"/>
              <w:rPr>
                <w:b/>
                <w:color w:val="auto"/>
                <w:sz w:val="21"/>
                <w:szCs w:val="21"/>
              </w:rPr>
            </w:pPr>
            <w:r>
              <w:rPr>
                <w:b/>
                <w:color w:val="auto"/>
                <w:sz w:val="21"/>
                <w:szCs w:val="21"/>
              </w:rPr>
              <w:t>进水</w:t>
            </w:r>
          </w:p>
        </w:tc>
        <w:tc>
          <w:tcPr>
            <w:tcW w:w="636" w:type="pct"/>
            <w:tcBorders>
              <w:tl2br w:val="nil"/>
              <w:tr2bl w:val="nil"/>
            </w:tcBorders>
            <w:vAlign w:val="center"/>
          </w:tcPr>
          <w:p w14:paraId="3B583757">
            <w:pPr>
              <w:spacing w:line="240" w:lineRule="auto"/>
              <w:ind w:firstLine="0" w:firstLineChars="0"/>
              <w:jc w:val="center"/>
              <w:rPr>
                <w:b/>
                <w:color w:val="auto"/>
                <w:sz w:val="21"/>
                <w:szCs w:val="21"/>
              </w:rPr>
            </w:pPr>
            <w:r>
              <w:rPr>
                <w:b/>
                <w:color w:val="auto"/>
                <w:sz w:val="21"/>
                <w:szCs w:val="21"/>
              </w:rPr>
              <w:t>出水</w:t>
            </w:r>
          </w:p>
        </w:tc>
        <w:tc>
          <w:tcPr>
            <w:tcW w:w="634" w:type="pct"/>
            <w:tcBorders>
              <w:tl2br w:val="nil"/>
              <w:tr2bl w:val="nil"/>
            </w:tcBorders>
            <w:shd w:val="clear" w:color="auto" w:fill="auto"/>
            <w:noWrap/>
            <w:vAlign w:val="center"/>
          </w:tcPr>
          <w:p w14:paraId="424FCDE3">
            <w:pPr>
              <w:spacing w:line="240" w:lineRule="auto"/>
              <w:ind w:firstLine="0" w:firstLineChars="0"/>
              <w:jc w:val="center"/>
              <w:rPr>
                <w:b/>
                <w:color w:val="auto"/>
                <w:sz w:val="21"/>
                <w:szCs w:val="21"/>
              </w:rPr>
            </w:pPr>
            <w:r>
              <w:rPr>
                <w:b/>
                <w:color w:val="auto"/>
                <w:sz w:val="21"/>
                <w:szCs w:val="21"/>
              </w:rPr>
              <w:t>进水</w:t>
            </w:r>
          </w:p>
        </w:tc>
        <w:tc>
          <w:tcPr>
            <w:tcW w:w="336" w:type="pct"/>
            <w:tcBorders>
              <w:tl2br w:val="nil"/>
              <w:tr2bl w:val="nil"/>
            </w:tcBorders>
            <w:shd w:val="clear" w:color="auto" w:fill="auto"/>
            <w:noWrap/>
            <w:vAlign w:val="center"/>
          </w:tcPr>
          <w:p w14:paraId="0A9A49AC">
            <w:pPr>
              <w:spacing w:line="240" w:lineRule="auto"/>
              <w:ind w:firstLine="0" w:firstLineChars="0"/>
              <w:jc w:val="center"/>
              <w:rPr>
                <w:b/>
                <w:color w:val="auto"/>
                <w:sz w:val="21"/>
                <w:szCs w:val="21"/>
              </w:rPr>
            </w:pPr>
            <w:r>
              <w:rPr>
                <w:b/>
                <w:color w:val="auto"/>
                <w:sz w:val="21"/>
                <w:szCs w:val="21"/>
              </w:rPr>
              <w:t>出水</w:t>
            </w:r>
          </w:p>
        </w:tc>
      </w:tr>
      <w:tr w14:paraId="19860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5E9A6704">
            <w:pPr>
              <w:spacing w:line="240" w:lineRule="auto"/>
              <w:ind w:firstLine="0" w:firstLineChars="0"/>
              <w:jc w:val="center"/>
              <w:rPr>
                <w:color w:val="auto"/>
                <w:sz w:val="21"/>
                <w:szCs w:val="21"/>
              </w:rPr>
            </w:pPr>
            <w:r>
              <w:rPr>
                <w:color w:val="auto"/>
                <w:sz w:val="21"/>
                <w:szCs w:val="21"/>
              </w:rPr>
              <w:t>1</w:t>
            </w:r>
          </w:p>
        </w:tc>
        <w:tc>
          <w:tcPr>
            <w:tcW w:w="532" w:type="pct"/>
            <w:tcBorders>
              <w:tl2br w:val="nil"/>
              <w:tr2bl w:val="nil"/>
            </w:tcBorders>
            <w:shd w:val="clear" w:color="auto" w:fill="auto"/>
            <w:noWrap/>
            <w:vAlign w:val="bottom"/>
          </w:tcPr>
          <w:p w14:paraId="646EDB38">
            <w:pPr>
              <w:widowControl/>
              <w:spacing w:line="240" w:lineRule="auto"/>
              <w:ind w:firstLine="0" w:firstLineChars="0"/>
              <w:jc w:val="center"/>
              <w:textAlignment w:val="bottom"/>
              <w:rPr>
                <w:color w:val="auto"/>
                <w:sz w:val="21"/>
                <w:szCs w:val="21"/>
              </w:rPr>
            </w:pPr>
            <w:r>
              <w:rPr>
                <w:color w:val="auto"/>
                <w:kern w:val="0"/>
                <w:sz w:val="21"/>
                <w:szCs w:val="21"/>
                <w:lang w:bidi="ar"/>
              </w:rPr>
              <w:t>200.4</w:t>
            </w:r>
          </w:p>
        </w:tc>
        <w:tc>
          <w:tcPr>
            <w:tcW w:w="636" w:type="pct"/>
            <w:tcBorders>
              <w:tl2br w:val="nil"/>
              <w:tr2bl w:val="nil"/>
            </w:tcBorders>
            <w:shd w:val="clear" w:color="auto" w:fill="auto"/>
            <w:noWrap/>
            <w:vAlign w:val="bottom"/>
          </w:tcPr>
          <w:p w14:paraId="0BDCDA39">
            <w:pPr>
              <w:widowControl/>
              <w:spacing w:line="240" w:lineRule="auto"/>
              <w:ind w:firstLine="0" w:firstLineChars="0"/>
              <w:jc w:val="center"/>
              <w:textAlignment w:val="bottom"/>
              <w:rPr>
                <w:color w:val="auto"/>
                <w:sz w:val="21"/>
                <w:szCs w:val="21"/>
              </w:rPr>
            </w:pPr>
            <w:r>
              <w:rPr>
                <w:color w:val="auto"/>
                <w:kern w:val="0"/>
                <w:sz w:val="21"/>
                <w:szCs w:val="21"/>
                <w:lang w:bidi="ar"/>
              </w:rPr>
              <w:t>15.6</w:t>
            </w:r>
          </w:p>
        </w:tc>
        <w:tc>
          <w:tcPr>
            <w:tcW w:w="635" w:type="pct"/>
            <w:tcBorders>
              <w:tl2br w:val="nil"/>
              <w:tr2bl w:val="nil"/>
            </w:tcBorders>
            <w:shd w:val="clear" w:color="auto" w:fill="auto"/>
            <w:noWrap/>
            <w:vAlign w:val="bottom"/>
          </w:tcPr>
          <w:p w14:paraId="32AC7F3F">
            <w:pPr>
              <w:widowControl/>
              <w:spacing w:line="240" w:lineRule="auto"/>
              <w:ind w:firstLine="0" w:firstLineChars="0"/>
              <w:jc w:val="center"/>
              <w:textAlignment w:val="bottom"/>
              <w:rPr>
                <w:color w:val="auto"/>
                <w:sz w:val="21"/>
                <w:szCs w:val="21"/>
              </w:rPr>
            </w:pPr>
            <w:r>
              <w:rPr>
                <w:color w:val="auto"/>
                <w:kern w:val="0"/>
                <w:sz w:val="21"/>
                <w:szCs w:val="21"/>
                <w:lang w:bidi="ar"/>
              </w:rPr>
              <w:t>21.00</w:t>
            </w:r>
          </w:p>
        </w:tc>
        <w:tc>
          <w:tcPr>
            <w:tcW w:w="575" w:type="pct"/>
            <w:tcBorders>
              <w:tl2br w:val="nil"/>
              <w:tr2bl w:val="nil"/>
            </w:tcBorders>
            <w:shd w:val="clear" w:color="auto" w:fill="auto"/>
            <w:noWrap/>
            <w:vAlign w:val="bottom"/>
          </w:tcPr>
          <w:p w14:paraId="1E9A52C1">
            <w:pPr>
              <w:widowControl/>
              <w:spacing w:line="240" w:lineRule="auto"/>
              <w:ind w:firstLine="0" w:firstLineChars="0"/>
              <w:jc w:val="center"/>
              <w:textAlignment w:val="bottom"/>
              <w:rPr>
                <w:color w:val="auto"/>
                <w:sz w:val="21"/>
                <w:szCs w:val="21"/>
              </w:rPr>
            </w:pPr>
            <w:r>
              <w:rPr>
                <w:color w:val="auto"/>
                <w:kern w:val="0"/>
                <w:sz w:val="21"/>
                <w:szCs w:val="21"/>
                <w:lang w:bidi="ar"/>
              </w:rPr>
              <w:t>1.37</w:t>
            </w:r>
          </w:p>
        </w:tc>
        <w:tc>
          <w:tcPr>
            <w:tcW w:w="574" w:type="pct"/>
            <w:tcBorders>
              <w:tl2br w:val="nil"/>
              <w:tr2bl w:val="nil"/>
            </w:tcBorders>
            <w:vAlign w:val="center"/>
          </w:tcPr>
          <w:p w14:paraId="216578CD">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4CD81D46">
            <w:pPr>
              <w:widowControl/>
              <w:spacing w:line="240" w:lineRule="auto"/>
              <w:ind w:firstLine="0" w:firstLineChars="0"/>
              <w:jc w:val="center"/>
              <w:textAlignment w:val="bottom"/>
              <w:rPr>
                <w:color w:val="auto"/>
                <w:sz w:val="21"/>
                <w:szCs w:val="21"/>
              </w:rPr>
            </w:pPr>
            <w:r>
              <w:rPr>
                <w:color w:val="auto"/>
                <w:kern w:val="0"/>
                <w:sz w:val="21"/>
                <w:szCs w:val="21"/>
                <w:lang w:bidi="ar"/>
              </w:rPr>
              <w:t>0.048</w:t>
            </w:r>
          </w:p>
        </w:tc>
        <w:tc>
          <w:tcPr>
            <w:tcW w:w="634" w:type="pct"/>
            <w:tcBorders>
              <w:tl2br w:val="nil"/>
              <w:tr2bl w:val="nil"/>
            </w:tcBorders>
            <w:shd w:val="clear" w:color="auto" w:fill="auto"/>
            <w:noWrap/>
            <w:vAlign w:val="center"/>
          </w:tcPr>
          <w:p w14:paraId="19E7E73D">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709EDCB5">
            <w:pPr>
              <w:widowControl/>
              <w:spacing w:line="240" w:lineRule="auto"/>
              <w:ind w:firstLine="0" w:firstLineChars="0"/>
              <w:jc w:val="center"/>
              <w:textAlignment w:val="bottom"/>
              <w:rPr>
                <w:color w:val="auto"/>
                <w:sz w:val="21"/>
                <w:szCs w:val="21"/>
              </w:rPr>
            </w:pPr>
            <w:r>
              <w:rPr>
                <w:color w:val="auto"/>
                <w:kern w:val="0"/>
                <w:sz w:val="21"/>
                <w:szCs w:val="21"/>
                <w:lang w:bidi="ar"/>
              </w:rPr>
              <w:t>5.89</w:t>
            </w:r>
          </w:p>
        </w:tc>
      </w:tr>
      <w:tr w14:paraId="6EF4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8" w:type="pct"/>
            <w:tcBorders>
              <w:tl2br w:val="nil"/>
              <w:tr2bl w:val="nil"/>
            </w:tcBorders>
            <w:shd w:val="clear" w:color="auto" w:fill="auto"/>
            <w:noWrap/>
            <w:vAlign w:val="center"/>
          </w:tcPr>
          <w:p w14:paraId="4682A7F4">
            <w:pPr>
              <w:spacing w:line="240" w:lineRule="auto"/>
              <w:ind w:firstLine="0" w:firstLineChars="0"/>
              <w:jc w:val="center"/>
              <w:rPr>
                <w:color w:val="auto"/>
                <w:sz w:val="21"/>
                <w:szCs w:val="21"/>
              </w:rPr>
            </w:pPr>
            <w:r>
              <w:rPr>
                <w:color w:val="auto"/>
                <w:sz w:val="21"/>
                <w:szCs w:val="21"/>
              </w:rPr>
              <w:t>2</w:t>
            </w:r>
          </w:p>
        </w:tc>
        <w:tc>
          <w:tcPr>
            <w:tcW w:w="532" w:type="pct"/>
            <w:tcBorders>
              <w:tl2br w:val="nil"/>
              <w:tr2bl w:val="nil"/>
            </w:tcBorders>
            <w:shd w:val="clear" w:color="auto" w:fill="auto"/>
            <w:noWrap/>
            <w:vAlign w:val="bottom"/>
          </w:tcPr>
          <w:p w14:paraId="1D722717">
            <w:pPr>
              <w:widowControl/>
              <w:spacing w:line="240" w:lineRule="auto"/>
              <w:ind w:firstLine="0" w:firstLineChars="0"/>
              <w:jc w:val="center"/>
              <w:textAlignment w:val="bottom"/>
              <w:rPr>
                <w:color w:val="auto"/>
                <w:sz w:val="21"/>
                <w:szCs w:val="21"/>
              </w:rPr>
            </w:pPr>
            <w:r>
              <w:rPr>
                <w:color w:val="auto"/>
                <w:kern w:val="0"/>
                <w:sz w:val="21"/>
                <w:szCs w:val="21"/>
                <w:lang w:bidi="ar"/>
              </w:rPr>
              <w:t>222</w:t>
            </w:r>
          </w:p>
        </w:tc>
        <w:tc>
          <w:tcPr>
            <w:tcW w:w="636" w:type="pct"/>
            <w:tcBorders>
              <w:tl2br w:val="nil"/>
              <w:tr2bl w:val="nil"/>
            </w:tcBorders>
            <w:shd w:val="clear" w:color="auto" w:fill="auto"/>
            <w:noWrap/>
            <w:vAlign w:val="bottom"/>
          </w:tcPr>
          <w:p w14:paraId="3F5262F7">
            <w:pPr>
              <w:widowControl/>
              <w:spacing w:line="240" w:lineRule="auto"/>
              <w:ind w:firstLine="0" w:firstLineChars="0"/>
              <w:jc w:val="center"/>
              <w:textAlignment w:val="bottom"/>
              <w:rPr>
                <w:color w:val="auto"/>
                <w:sz w:val="21"/>
                <w:szCs w:val="21"/>
              </w:rPr>
            </w:pPr>
            <w:r>
              <w:rPr>
                <w:color w:val="auto"/>
                <w:kern w:val="0"/>
                <w:sz w:val="21"/>
                <w:szCs w:val="21"/>
                <w:lang w:bidi="ar"/>
              </w:rPr>
              <w:t>14.76</w:t>
            </w:r>
          </w:p>
        </w:tc>
        <w:tc>
          <w:tcPr>
            <w:tcW w:w="635" w:type="pct"/>
            <w:tcBorders>
              <w:tl2br w:val="nil"/>
              <w:tr2bl w:val="nil"/>
            </w:tcBorders>
            <w:shd w:val="clear" w:color="auto" w:fill="auto"/>
            <w:noWrap/>
            <w:vAlign w:val="bottom"/>
          </w:tcPr>
          <w:p w14:paraId="56AB6DC1">
            <w:pPr>
              <w:widowControl/>
              <w:spacing w:line="240" w:lineRule="auto"/>
              <w:ind w:firstLine="0" w:firstLineChars="0"/>
              <w:jc w:val="center"/>
              <w:textAlignment w:val="bottom"/>
              <w:rPr>
                <w:color w:val="auto"/>
                <w:sz w:val="21"/>
                <w:szCs w:val="21"/>
              </w:rPr>
            </w:pPr>
            <w:r>
              <w:rPr>
                <w:color w:val="auto"/>
                <w:kern w:val="0"/>
                <w:sz w:val="21"/>
                <w:szCs w:val="21"/>
                <w:lang w:bidi="ar"/>
              </w:rPr>
              <w:t>21.84</w:t>
            </w:r>
          </w:p>
        </w:tc>
        <w:tc>
          <w:tcPr>
            <w:tcW w:w="575" w:type="pct"/>
            <w:tcBorders>
              <w:tl2br w:val="nil"/>
              <w:tr2bl w:val="nil"/>
            </w:tcBorders>
            <w:shd w:val="clear" w:color="auto" w:fill="auto"/>
            <w:noWrap/>
            <w:vAlign w:val="bottom"/>
          </w:tcPr>
          <w:p w14:paraId="099E5EA8">
            <w:pPr>
              <w:widowControl/>
              <w:spacing w:line="240" w:lineRule="auto"/>
              <w:ind w:firstLine="0" w:firstLineChars="0"/>
              <w:jc w:val="center"/>
              <w:textAlignment w:val="bottom"/>
              <w:rPr>
                <w:color w:val="auto"/>
                <w:sz w:val="21"/>
                <w:szCs w:val="21"/>
              </w:rPr>
            </w:pPr>
            <w:r>
              <w:rPr>
                <w:color w:val="auto"/>
                <w:kern w:val="0"/>
                <w:sz w:val="21"/>
                <w:szCs w:val="21"/>
                <w:lang w:bidi="ar"/>
              </w:rPr>
              <w:t>0.14</w:t>
            </w:r>
          </w:p>
        </w:tc>
        <w:tc>
          <w:tcPr>
            <w:tcW w:w="574" w:type="pct"/>
            <w:tcBorders>
              <w:tl2br w:val="nil"/>
              <w:tr2bl w:val="nil"/>
            </w:tcBorders>
            <w:vAlign w:val="center"/>
          </w:tcPr>
          <w:p w14:paraId="1BA208D5">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323996E4">
            <w:pPr>
              <w:widowControl/>
              <w:spacing w:line="240" w:lineRule="auto"/>
              <w:ind w:firstLine="0" w:firstLineChars="0"/>
              <w:jc w:val="center"/>
              <w:textAlignment w:val="bottom"/>
              <w:rPr>
                <w:color w:val="auto"/>
                <w:sz w:val="21"/>
                <w:szCs w:val="21"/>
              </w:rPr>
            </w:pPr>
            <w:r>
              <w:rPr>
                <w:color w:val="auto"/>
                <w:kern w:val="0"/>
                <w:sz w:val="21"/>
                <w:szCs w:val="21"/>
                <w:lang w:bidi="ar"/>
              </w:rPr>
              <w:t>0.048</w:t>
            </w:r>
          </w:p>
        </w:tc>
        <w:tc>
          <w:tcPr>
            <w:tcW w:w="634" w:type="pct"/>
            <w:tcBorders>
              <w:tl2br w:val="nil"/>
              <w:tr2bl w:val="nil"/>
            </w:tcBorders>
            <w:shd w:val="clear" w:color="auto" w:fill="auto"/>
            <w:noWrap/>
            <w:vAlign w:val="center"/>
          </w:tcPr>
          <w:p w14:paraId="665E758D">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50D0A26D">
            <w:pPr>
              <w:widowControl/>
              <w:spacing w:line="240" w:lineRule="auto"/>
              <w:ind w:firstLine="0" w:firstLineChars="0"/>
              <w:jc w:val="center"/>
              <w:textAlignment w:val="bottom"/>
              <w:rPr>
                <w:color w:val="auto"/>
                <w:sz w:val="21"/>
                <w:szCs w:val="21"/>
              </w:rPr>
            </w:pPr>
            <w:r>
              <w:rPr>
                <w:color w:val="auto"/>
                <w:kern w:val="0"/>
                <w:sz w:val="21"/>
                <w:szCs w:val="21"/>
                <w:lang w:bidi="ar"/>
              </w:rPr>
              <w:t>6.49</w:t>
            </w:r>
          </w:p>
        </w:tc>
      </w:tr>
      <w:tr w14:paraId="15B07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21E18D75">
            <w:pPr>
              <w:spacing w:line="240" w:lineRule="auto"/>
              <w:ind w:firstLine="0" w:firstLineChars="0"/>
              <w:jc w:val="center"/>
              <w:rPr>
                <w:color w:val="auto"/>
                <w:sz w:val="21"/>
                <w:szCs w:val="21"/>
              </w:rPr>
            </w:pPr>
            <w:r>
              <w:rPr>
                <w:color w:val="auto"/>
                <w:sz w:val="21"/>
                <w:szCs w:val="21"/>
              </w:rPr>
              <w:t>3</w:t>
            </w:r>
          </w:p>
        </w:tc>
        <w:tc>
          <w:tcPr>
            <w:tcW w:w="532" w:type="pct"/>
            <w:tcBorders>
              <w:tl2br w:val="nil"/>
              <w:tr2bl w:val="nil"/>
            </w:tcBorders>
            <w:shd w:val="clear" w:color="auto" w:fill="auto"/>
            <w:noWrap/>
            <w:vAlign w:val="bottom"/>
          </w:tcPr>
          <w:p w14:paraId="64FC8FCD">
            <w:pPr>
              <w:widowControl/>
              <w:spacing w:line="240" w:lineRule="auto"/>
              <w:ind w:firstLine="0" w:firstLineChars="0"/>
              <w:jc w:val="center"/>
              <w:textAlignment w:val="bottom"/>
              <w:rPr>
                <w:color w:val="auto"/>
                <w:sz w:val="21"/>
                <w:szCs w:val="21"/>
              </w:rPr>
            </w:pPr>
            <w:r>
              <w:rPr>
                <w:color w:val="auto"/>
                <w:kern w:val="0"/>
                <w:sz w:val="21"/>
                <w:szCs w:val="21"/>
                <w:lang w:bidi="ar"/>
              </w:rPr>
              <w:t>223.2</w:t>
            </w:r>
          </w:p>
        </w:tc>
        <w:tc>
          <w:tcPr>
            <w:tcW w:w="636" w:type="pct"/>
            <w:tcBorders>
              <w:tl2br w:val="nil"/>
              <w:tr2bl w:val="nil"/>
            </w:tcBorders>
            <w:shd w:val="clear" w:color="auto" w:fill="auto"/>
            <w:noWrap/>
            <w:vAlign w:val="bottom"/>
          </w:tcPr>
          <w:p w14:paraId="4825A48E">
            <w:pPr>
              <w:widowControl/>
              <w:spacing w:line="240" w:lineRule="auto"/>
              <w:ind w:firstLine="0" w:firstLineChars="0"/>
              <w:jc w:val="center"/>
              <w:textAlignment w:val="bottom"/>
              <w:rPr>
                <w:color w:val="auto"/>
                <w:sz w:val="21"/>
                <w:szCs w:val="21"/>
              </w:rPr>
            </w:pPr>
            <w:r>
              <w:rPr>
                <w:color w:val="auto"/>
                <w:kern w:val="0"/>
                <w:sz w:val="21"/>
                <w:szCs w:val="21"/>
                <w:lang w:bidi="ar"/>
              </w:rPr>
              <w:t>14.76</w:t>
            </w:r>
          </w:p>
        </w:tc>
        <w:tc>
          <w:tcPr>
            <w:tcW w:w="635" w:type="pct"/>
            <w:tcBorders>
              <w:tl2br w:val="nil"/>
              <w:tr2bl w:val="nil"/>
            </w:tcBorders>
            <w:shd w:val="clear" w:color="auto" w:fill="auto"/>
            <w:noWrap/>
            <w:vAlign w:val="bottom"/>
          </w:tcPr>
          <w:p w14:paraId="6726C9CE">
            <w:pPr>
              <w:widowControl/>
              <w:spacing w:line="240" w:lineRule="auto"/>
              <w:ind w:firstLine="0" w:firstLineChars="0"/>
              <w:jc w:val="center"/>
              <w:textAlignment w:val="bottom"/>
              <w:rPr>
                <w:color w:val="auto"/>
                <w:sz w:val="21"/>
                <w:szCs w:val="21"/>
              </w:rPr>
            </w:pPr>
            <w:r>
              <w:rPr>
                <w:color w:val="auto"/>
                <w:kern w:val="0"/>
                <w:sz w:val="21"/>
                <w:szCs w:val="21"/>
                <w:lang w:bidi="ar"/>
              </w:rPr>
              <w:t>14.40</w:t>
            </w:r>
          </w:p>
        </w:tc>
        <w:tc>
          <w:tcPr>
            <w:tcW w:w="575" w:type="pct"/>
            <w:tcBorders>
              <w:tl2br w:val="nil"/>
              <w:tr2bl w:val="nil"/>
            </w:tcBorders>
            <w:shd w:val="clear" w:color="auto" w:fill="auto"/>
            <w:noWrap/>
            <w:vAlign w:val="bottom"/>
          </w:tcPr>
          <w:p w14:paraId="5618C518">
            <w:pPr>
              <w:widowControl/>
              <w:spacing w:line="240" w:lineRule="auto"/>
              <w:ind w:firstLine="0" w:firstLineChars="0"/>
              <w:jc w:val="center"/>
              <w:textAlignment w:val="bottom"/>
              <w:rPr>
                <w:color w:val="auto"/>
                <w:sz w:val="21"/>
                <w:szCs w:val="21"/>
              </w:rPr>
            </w:pPr>
            <w:r>
              <w:rPr>
                <w:color w:val="auto"/>
                <w:kern w:val="0"/>
                <w:sz w:val="21"/>
                <w:szCs w:val="21"/>
                <w:lang w:bidi="ar"/>
              </w:rPr>
              <w:t>0.23</w:t>
            </w:r>
          </w:p>
        </w:tc>
        <w:tc>
          <w:tcPr>
            <w:tcW w:w="574" w:type="pct"/>
            <w:tcBorders>
              <w:tl2br w:val="nil"/>
              <w:tr2bl w:val="nil"/>
            </w:tcBorders>
            <w:vAlign w:val="center"/>
          </w:tcPr>
          <w:p w14:paraId="0F4DFAB8">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3D9825E2">
            <w:pPr>
              <w:widowControl/>
              <w:spacing w:line="240" w:lineRule="auto"/>
              <w:ind w:firstLine="0" w:firstLineChars="0"/>
              <w:jc w:val="center"/>
              <w:textAlignment w:val="bottom"/>
              <w:rPr>
                <w:color w:val="auto"/>
                <w:sz w:val="21"/>
                <w:szCs w:val="21"/>
              </w:rPr>
            </w:pPr>
            <w:r>
              <w:rPr>
                <w:color w:val="auto"/>
                <w:kern w:val="0"/>
                <w:sz w:val="21"/>
                <w:szCs w:val="21"/>
                <w:lang w:bidi="ar"/>
              </w:rPr>
              <w:t>0.048</w:t>
            </w:r>
          </w:p>
        </w:tc>
        <w:tc>
          <w:tcPr>
            <w:tcW w:w="634" w:type="pct"/>
            <w:tcBorders>
              <w:tl2br w:val="nil"/>
              <w:tr2bl w:val="nil"/>
            </w:tcBorders>
            <w:shd w:val="clear" w:color="auto" w:fill="auto"/>
            <w:noWrap/>
            <w:vAlign w:val="center"/>
          </w:tcPr>
          <w:p w14:paraId="10F21C0E">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332B0D78">
            <w:pPr>
              <w:widowControl/>
              <w:spacing w:line="240" w:lineRule="auto"/>
              <w:ind w:firstLine="0" w:firstLineChars="0"/>
              <w:jc w:val="center"/>
              <w:textAlignment w:val="bottom"/>
              <w:rPr>
                <w:color w:val="auto"/>
                <w:sz w:val="21"/>
                <w:szCs w:val="21"/>
              </w:rPr>
            </w:pPr>
            <w:r>
              <w:rPr>
                <w:color w:val="auto"/>
                <w:kern w:val="0"/>
                <w:sz w:val="21"/>
                <w:szCs w:val="21"/>
                <w:lang w:bidi="ar"/>
              </w:rPr>
              <w:t>4.50</w:t>
            </w:r>
          </w:p>
        </w:tc>
      </w:tr>
      <w:tr w14:paraId="2BC0A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2E416D6F">
            <w:pPr>
              <w:spacing w:line="240" w:lineRule="auto"/>
              <w:ind w:firstLine="0" w:firstLineChars="0"/>
              <w:jc w:val="center"/>
              <w:rPr>
                <w:color w:val="auto"/>
                <w:sz w:val="21"/>
                <w:szCs w:val="21"/>
              </w:rPr>
            </w:pPr>
            <w:r>
              <w:rPr>
                <w:color w:val="auto"/>
                <w:sz w:val="21"/>
                <w:szCs w:val="21"/>
              </w:rPr>
              <w:t>4</w:t>
            </w:r>
          </w:p>
        </w:tc>
        <w:tc>
          <w:tcPr>
            <w:tcW w:w="532" w:type="pct"/>
            <w:tcBorders>
              <w:tl2br w:val="nil"/>
              <w:tr2bl w:val="nil"/>
            </w:tcBorders>
            <w:shd w:val="clear" w:color="auto" w:fill="auto"/>
            <w:noWrap/>
            <w:vAlign w:val="bottom"/>
          </w:tcPr>
          <w:p w14:paraId="1F0FFEFD">
            <w:pPr>
              <w:widowControl/>
              <w:spacing w:line="240" w:lineRule="auto"/>
              <w:ind w:firstLine="0" w:firstLineChars="0"/>
              <w:jc w:val="center"/>
              <w:textAlignment w:val="bottom"/>
              <w:rPr>
                <w:color w:val="auto"/>
                <w:sz w:val="21"/>
                <w:szCs w:val="21"/>
              </w:rPr>
            </w:pPr>
            <w:r>
              <w:rPr>
                <w:color w:val="auto"/>
                <w:kern w:val="0"/>
                <w:sz w:val="21"/>
                <w:szCs w:val="21"/>
                <w:lang w:bidi="ar"/>
              </w:rPr>
              <w:t>267.6</w:t>
            </w:r>
          </w:p>
        </w:tc>
        <w:tc>
          <w:tcPr>
            <w:tcW w:w="636" w:type="pct"/>
            <w:tcBorders>
              <w:tl2br w:val="nil"/>
              <w:tr2bl w:val="nil"/>
            </w:tcBorders>
            <w:shd w:val="clear" w:color="auto" w:fill="auto"/>
            <w:noWrap/>
            <w:vAlign w:val="bottom"/>
          </w:tcPr>
          <w:p w14:paraId="43B5E436">
            <w:pPr>
              <w:widowControl/>
              <w:spacing w:line="240" w:lineRule="auto"/>
              <w:ind w:firstLine="0" w:firstLineChars="0"/>
              <w:jc w:val="center"/>
              <w:textAlignment w:val="bottom"/>
              <w:rPr>
                <w:color w:val="auto"/>
                <w:sz w:val="21"/>
                <w:szCs w:val="21"/>
              </w:rPr>
            </w:pPr>
            <w:r>
              <w:rPr>
                <w:color w:val="auto"/>
                <w:kern w:val="0"/>
                <w:sz w:val="21"/>
                <w:szCs w:val="21"/>
                <w:lang w:bidi="ar"/>
              </w:rPr>
              <w:t>17.16</w:t>
            </w:r>
          </w:p>
        </w:tc>
        <w:tc>
          <w:tcPr>
            <w:tcW w:w="635" w:type="pct"/>
            <w:tcBorders>
              <w:tl2br w:val="nil"/>
              <w:tr2bl w:val="nil"/>
            </w:tcBorders>
            <w:shd w:val="clear" w:color="auto" w:fill="auto"/>
            <w:noWrap/>
            <w:vAlign w:val="bottom"/>
          </w:tcPr>
          <w:p w14:paraId="3400BD37">
            <w:pPr>
              <w:widowControl/>
              <w:spacing w:line="240" w:lineRule="auto"/>
              <w:ind w:firstLine="0" w:firstLineChars="0"/>
              <w:jc w:val="center"/>
              <w:textAlignment w:val="bottom"/>
              <w:rPr>
                <w:color w:val="auto"/>
                <w:sz w:val="21"/>
                <w:szCs w:val="21"/>
              </w:rPr>
            </w:pPr>
            <w:r>
              <w:rPr>
                <w:color w:val="auto"/>
                <w:kern w:val="0"/>
                <w:sz w:val="21"/>
                <w:szCs w:val="21"/>
                <w:lang w:bidi="ar"/>
              </w:rPr>
              <w:t>20.28</w:t>
            </w:r>
          </w:p>
        </w:tc>
        <w:tc>
          <w:tcPr>
            <w:tcW w:w="575" w:type="pct"/>
            <w:tcBorders>
              <w:tl2br w:val="nil"/>
              <w:tr2bl w:val="nil"/>
            </w:tcBorders>
            <w:shd w:val="clear" w:color="auto" w:fill="auto"/>
            <w:noWrap/>
            <w:vAlign w:val="bottom"/>
          </w:tcPr>
          <w:p w14:paraId="1B67B967">
            <w:pPr>
              <w:widowControl/>
              <w:spacing w:line="240" w:lineRule="auto"/>
              <w:ind w:firstLine="0" w:firstLineChars="0"/>
              <w:jc w:val="center"/>
              <w:textAlignment w:val="bottom"/>
              <w:rPr>
                <w:color w:val="auto"/>
                <w:sz w:val="21"/>
                <w:szCs w:val="21"/>
              </w:rPr>
            </w:pPr>
            <w:r>
              <w:rPr>
                <w:color w:val="auto"/>
                <w:kern w:val="0"/>
                <w:sz w:val="21"/>
                <w:szCs w:val="21"/>
                <w:lang w:bidi="ar"/>
              </w:rPr>
              <w:t>1.02</w:t>
            </w:r>
          </w:p>
        </w:tc>
        <w:tc>
          <w:tcPr>
            <w:tcW w:w="574" w:type="pct"/>
            <w:tcBorders>
              <w:tl2br w:val="nil"/>
              <w:tr2bl w:val="nil"/>
            </w:tcBorders>
            <w:vAlign w:val="center"/>
          </w:tcPr>
          <w:p w14:paraId="754076C3">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45190895">
            <w:pPr>
              <w:widowControl/>
              <w:spacing w:line="240" w:lineRule="auto"/>
              <w:ind w:firstLine="0" w:firstLineChars="0"/>
              <w:jc w:val="center"/>
              <w:textAlignment w:val="bottom"/>
              <w:rPr>
                <w:color w:val="auto"/>
                <w:sz w:val="21"/>
                <w:szCs w:val="21"/>
              </w:rPr>
            </w:pPr>
            <w:r>
              <w:rPr>
                <w:color w:val="auto"/>
                <w:kern w:val="0"/>
                <w:sz w:val="21"/>
                <w:szCs w:val="21"/>
                <w:lang w:bidi="ar"/>
              </w:rPr>
              <w:t>0.06</w:t>
            </w:r>
          </w:p>
        </w:tc>
        <w:tc>
          <w:tcPr>
            <w:tcW w:w="634" w:type="pct"/>
            <w:tcBorders>
              <w:tl2br w:val="nil"/>
              <w:tr2bl w:val="nil"/>
            </w:tcBorders>
            <w:shd w:val="clear" w:color="auto" w:fill="auto"/>
            <w:noWrap/>
            <w:vAlign w:val="center"/>
          </w:tcPr>
          <w:p w14:paraId="6C6B0BC6">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61AFAE5A">
            <w:pPr>
              <w:widowControl/>
              <w:spacing w:line="240" w:lineRule="auto"/>
              <w:ind w:firstLine="0" w:firstLineChars="0"/>
              <w:jc w:val="center"/>
              <w:textAlignment w:val="bottom"/>
              <w:rPr>
                <w:color w:val="auto"/>
                <w:sz w:val="21"/>
                <w:szCs w:val="21"/>
              </w:rPr>
            </w:pPr>
            <w:r>
              <w:rPr>
                <w:color w:val="auto"/>
                <w:kern w:val="0"/>
                <w:sz w:val="21"/>
                <w:szCs w:val="21"/>
                <w:lang w:bidi="ar"/>
              </w:rPr>
              <w:t>6.19</w:t>
            </w:r>
          </w:p>
        </w:tc>
      </w:tr>
      <w:tr w14:paraId="2B63B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18518D9D">
            <w:pPr>
              <w:spacing w:line="240" w:lineRule="auto"/>
              <w:ind w:firstLine="0" w:firstLineChars="0"/>
              <w:jc w:val="center"/>
              <w:rPr>
                <w:color w:val="auto"/>
                <w:sz w:val="21"/>
                <w:szCs w:val="21"/>
              </w:rPr>
            </w:pPr>
            <w:r>
              <w:rPr>
                <w:color w:val="auto"/>
                <w:sz w:val="21"/>
                <w:szCs w:val="21"/>
              </w:rPr>
              <w:t>5</w:t>
            </w:r>
          </w:p>
        </w:tc>
        <w:tc>
          <w:tcPr>
            <w:tcW w:w="532" w:type="pct"/>
            <w:tcBorders>
              <w:tl2br w:val="nil"/>
              <w:tr2bl w:val="nil"/>
            </w:tcBorders>
            <w:shd w:val="clear" w:color="auto" w:fill="auto"/>
            <w:noWrap/>
            <w:vAlign w:val="bottom"/>
          </w:tcPr>
          <w:p w14:paraId="0BB26FC5">
            <w:pPr>
              <w:widowControl/>
              <w:spacing w:line="240" w:lineRule="auto"/>
              <w:ind w:firstLine="0" w:firstLineChars="0"/>
              <w:jc w:val="center"/>
              <w:textAlignment w:val="bottom"/>
              <w:rPr>
                <w:color w:val="auto"/>
                <w:sz w:val="21"/>
                <w:szCs w:val="21"/>
              </w:rPr>
            </w:pPr>
            <w:r>
              <w:rPr>
                <w:color w:val="auto"/>
                <w:kern w:val="0"/>
                <w:sz w:val="21"/>
                <w:szCs w:val="21"/>
                <w:lang w:bidi="ar"/>
              </w:rPr>
              <w:t>208.8</w:t>
            </w:r>
          </w:p>
        </w:tc>
        <w:tc>
          <w:tcPr>
            <w:tcW w:w="636" w:type="pct"/>
            <w:tcBorders>
              <w:tl2br w:val="nil"/>
              <w:tr2bl w:val="nil"/>
            </w:tcBorders>
            <w:shd w:val="clear" w:color="auto" w:fill="auto"/>
            <w:noWrap/>
            <w:vAlign w:val="bottom"/>
          </w:tcPr>
          <w:p w14:paraId="577680BA">
            <w:pPr>
              <w:widowControl/>
              <w:spacing w:line="240" w:lineRule="auto"/>
              <w:ind w:firstLine="0" w:firstLineChars="0"/>
              <w:jc w:val="center"/>
              <w:textAlignment w:val="bottom"/>
              <w:rPr>
                <w:color w:val="auto"/>
                <w:sz w:val="21"/>
                <w:szCs w:val="21"/>
              </w:rPr>
            </w:pPr>
            <w:r>
              <w:rPr>
                <w:color w:val="auto"/>
                <w:kern w:val="0"/>
                <w:sz w:val="21"/>
                <w:szCs w:val="21"/>
                <w:lang w:bidi="ar"/>
              </w:rPr>
              <w:t>18.36</w:t>
            </w:r>
          </w:p>
        </w:tc>
        <w:tc>
          <w:tcPr>
            <w:tcW w:w="635" w:type="pct"/>
            <w:tcBorders>
              <w:tl2br w:val="nil"/>
              <w:tr2bl w:val="nil"/>
            </w:tcBorders>
            <w:shd w:val="clear" w:color="auto" w:fill="auto"/>
            <w:noWrap/>
            <w:vAlign w:val="bottom"/>
          </w:tcPr>
          <w:p w14:paraId="78354731">
            <w:pPr>
              <w:widowControl/>
              <w:spacing w:line="240" w:lineRule="auto"/>
              <w:ind w:firstLine="0" w:firstLineChars="0"/>
              <w:jc w:val="center"/>
              <w:textAlignment w:val="bottom"/>
              <w:rPr>
                <w:color w:val="auto"/>
                <w:sz w:val="21"/>
                <w:szCs w:val="21"/>
              </w:rPr>
            </w:pPr>
            <w:r>
              <w:rPr>
                <w:color w:val="auto"/>
                <w:kern w:val="0"/>
                <w:sz w:val="21"/>
                <w:szCs w:val="21"/>
                <w:lang w:bidi="ar"/>
              </w:rPr>
              <w:t>23.16</w:t>
            </w:r>
          </w:p>
        </w:tc>
        <w:tc>
          <w:tcPr>
            <w:tcW w:w="575" w:type="pct"/>
            <w:tcBorders>
              <w:tl2br w:val="nil"/>
              <w:tr2bl w:val="nil"/>
            </w:tcBorders>
            <w:shd w:val="clear" w:color="auto" w:fill="auto"/>
            <w:noWrap/>
            <w:vAlign w:val="bottom"/>
          </w:tcPr>
          <w:p w14:paraId="2EF92B06">
            <w:pPr>
              <w:widowControl/>
              <w:spacing w:line="240" w:lineRule="auto"/>
              <w:ind w:firstLine="0" w:firstLineChars="0"/>
              <w:jc w:val="center"/>
              <w:textAlignment w:val="bottom"/>
              <w:rPr>
                <w:color w:val="auto"/>
                <w:sz w:val="21"/>
                <w:szCs w:val="21"/>
              </w:rPr>
            </w:pPr>
            <w:r>
              <w:rPr>
                <w:color w:val="auto"/>
                <w:kern w:val="0"/>
                <w:sz w:val="21"/>
                <w:szCs w:val="21"/>
                <w:lang w:bidi="ar"/>
              </w:rPr>
              <w:t>0.74</w:t>
            </w:r>
          </w:p>
        </w:tc>
        <w:tc>
          <w:tcPr>
            <w:tcW w:w="574" w:type="pct"/>
            <w:tcBorders>
              <w:tl2br w:val="nil"/>
              <w:tr2bl w:val="nil"/>
            </w:tcBorders>
            <w:vAlign w:val="center"/>
          </w:tcPr>
          <w:p w14:paraId="27F44159">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607BC7B3">
            <w:pPr>
              <w:widowControl/>
              <w:spacing w:line="240" w:lineRule="auto"/>
              <w:ind w:firstLine="0" w:firstLineChars="0"/>
              <w:jc w:val="center"/>
              <w:textAlignment w:val="bottom"/>
              <w:rPr>
                <w:color w:val="auto"/>
                <w:sz w:val="21"/>
                <w:szCs w:val="21"/>
              </w:rPr>
            </w:pPr>
            <w:r>
              <w:rPr>
                <w:color w:val="auto"/>
                <w:kern w:val="0"/>
                <w:sz w:val="21"/>
                <w:szCs w:val="21"/>
                <w:lang w:bidi="ar"/>
              </w:rPr>
              <w:t>0.06</w:t>
            </w:r>
          </w:p>
        </w:tc>
        <w:tc>
          <w:tcPr>
            <w:tcW w:w="634" w:type="pct"/>
            <w:tcBorders>
              <w:tl2br w:val="nil"/>
              <w:tr2bl w:val="nil"/>
            </w:tcBorders>
            <w:shd w:val="clear" w:color="auto" w:fill="auto"/>
            <w:noWrap/>
            <w:vAlign w:val="center"/>
          </w:tcPr>
          <w:p w14:paraId="07A90C1A">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7B41EE66">
            <w:pPr>
              <w:widowControl/>
              <w:spacing w:line="240" w:lineRule="auto"/>
              <w:ind w:firstLine="0" w:firstLineChars="0"/>
              <w:jc w:val="center"/>
              <w:textAlignment w:val="bottom"/>
              <w:rPr>
                <w:color w:val="auto"/>
                <w:sz w:val="21"/>
                <w:szCs w:val="21"/>
              </w:rPr>
            </w:pPr>
            <w:r>
              <w:rPr>
                <w:color w:val="auto"/>
                <w:kern w:val="0"/>
                <w:sz w:val="21"/>
                <w:szCs w:val="21"/>
                <w:lang w:bidi="ar"/>
              </w:rPr>
              <w:t>8.05</w:t>
            </w:r>
          </w:p>
        </w:tc>
      </w:tr>
      <w:tr w14:paraId="7E896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2C9619C2">
            <w:pPr>
              <w:spacing w:line="240" w:lineRule="auto"/>
              <w:ind w:firstLine="0" w:firstLineChars="0"/>
              <w:jc w:val="center"/>
              <w:rPr>
                <w:color w:val="auto"/>
                <w:sz w:val="21"/>
                <w:szCs w:val="21"/>
              </w:rPr>
            </w:pPr>
            <w:r>
              <w:rPr>
                <w:color w:val="auto"/>
                <w:sz w:val="21"/>
                <w:szCs w:val="21"/>
              </w:rPr>
              <w:t>6</w:t>
            </w:r>
          </w:p>
        </w:tc>
        <w:tc>
          <w:tcPr>
            <w:tcW w:w="532" w:type="pct"/>
            <w:tcBorders>
              <w:tl2br w:val="nil"/>
              <w:tr2bl w:val="nil"/>
            </w:tcBorders>
            <w:shd w:val="clear" w:color="auto" w:fill="auto"/>
            <w:noWrap/>
            <w:vAlign w:val="bottom"/>
          </w:tcPr>
          <w:p w14:paraId="15670271">
            <w:pPr>
              <w:widowControl/>
              <w:spacing w:line="240" w:lineRule="auto"/>
              <w:ind w:firstLine="0" w:firstLineChars="0"/>
              <w:jc w:val="center"/>
              <w:textAlignment w:val="bottom"/>
              <w:rPr>
                <w:color w:val="auto"/>
                <w:sz w:val="21"/>
                <w:szCs w:val="21"/>
              </w:rPr>
            </w:pPr>
            <w:r>
              <w:rPr>
                <w:color w:val="auto"/>
                <w:kern w:val="0"/>
                <w:sz w:val="21"/>
                <w:szCs w:val="21"/>
                <w:lang w:bidi="ar"/>
              </w:rPr>
              <w:t>223.2</w:t>
            </w:r>
          </w:p>
        </w:tc>
        <w:tc>
          <w:tcPr>
            <w:tcW w:w="636" w:type="pct"/>
            <w:tcBorders>
              <w:tl2br w:val="nil"/>
              <w:tr2bl w:val="nil"/>
            </w:tcBorders>
            <w:shd w:val="clear" w:color="auto" w:fill="auto"/>
            <w:noWrap/>
            <w:vAlign w:val="bottom"/>
          </w:tcPr>
          <w:p w14:paraId="2BD57029">
            <w:pPr>
              <w:widowControl/>
              <w:spacing w:line="240" w:lineRule="auto"/>
              <w:ind w:firstLine="0" w:firstLineChars="0"/>
              <w:jc w:val="center"/>
              <w:textAlignment w:val="bottom"/>
              <w:rPr>
                <w:color w:val="auto"/>
                <w:sz w:val="21"/>
                <w:szCs w:val="21"/>
              </w:rPr>
            </w:pPr>
            <w:r>
              <w:rPr>
                <w:color w:val="auto"/>
                <w:kern w:val="0"/>
                <w:sz w:val="21"/>
                <w:szCs w:val="21"/>
                <w:lang w:bidi="ar"/>
              </w:rPr>
              <w:t>24</w:t>
            </w:r>
          </w:p>
        </w:tc>
        <w:tc>
          <w:tcPr>
            <w:tcW w:w="635" w:type="pct"/>
            <w:tcBorders>
              <w:tl2br w:val="nil"/>
              <w:tr2bl w:val="nil"/>
            </w:tcBorders>
            <w:shd w:val="clear" w:color="auto" w:fill="auto"/>
            <w:noWrap/>
            <w:vAlign w:val="bottom"/>
          </w:tcPr>
          <w:p w14:paraId="363C96D5">
            <w:pPr>
              <w:widowControl/>
              <w:spacing w:line="240" w:lineRule="auto"/>
              <w:ind w:firstLine="0" w:firstLineChars="0"/>
              <w:jc w:val="center"/>
              <w:textAlignment w:val="bottom"/>
              <w:rPr>
                <w:color w:val="auto"/>
                <w:sz w:val="21"/>
                <w:szCs w:val="21"/>
              </w:rPr>
            </w:pPr>
            <w:r>
              <w:rPr>
                <w:color w:val="auto"/>
                <w:kern w:val="0"/>
                <w:sz w:val="21"/>
                <w:szCs w:val="21"/>
                <w:lang w:bidi="ar"/>
              </w:rPr>
              <w:t>21.24</w:t>
            </w:r>
          </w:p>
        </w:tc>
        <w:tc>
          <w:tcPr>
            <w:tcW w:w="575" w:type="pct"/>
            <w:tcBorders>
              <w:tl2br w:val="nil"/>
              <w:tr2bl w:val="nil"/>
            </w:tcBorders>
            <w:shd w:val="clear" w:color="auto" w:fill="auto"/>
            <w:noWrap/>
            <w:vAlign w:val="bottom"/>
          </w:tcPr>
          <w:p w14:paraId="4D733D39">
            <w:pPr>
              <w:widowControl/>
              <w:spacing w:line="240" w:lineRule="auto"/>
              <w:ind w:firstLine="0" w:firstLineChars="0"/>
              <w:jc w:val="center"/>
              <w:textAlignment w:val="bottom"/>
              <w:rPr>
                <w:color w:val="auto"/>
                <w:sz w:val="21"/>
                <w:szCs w:val="21"/>
              </w:rPr>
            </w:pPr>
            <w:r>
              <w:rPr>
                <w:color w:val="auto"/>
                <w:kern w:val="0"/>
                <w:sz w:val="21"/>
                <w:szCs w:val="21"/>
                <w:lang w:bidi="ar"/>
              </w:rPr>
              <w:t>0.36</w:t>
            </w:r>
          </w:p>
        </w:tc>
        <w:tc>
          <w:tcPr>
            <w:tcW w:w="574" w:type="pct"/>
            <w:tcBorders>
              <w:tl2br w:val="nil"/>
              <w:tr2bl w:val="nil"/>
            </w:tcBorders>
            <w:vAlign w:val="center"/>
          </w:tcPr>
          <w:p w14:paraId="5900975C">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06BB9498">
            <w:pPr>
              <w:widowControl/>
              <w:spacing w:line="240" w:lineRule="auto"/>
              <w:ind w:firstLine="0" w:firstLineChars="0"/>
              <w:jc w:val="center"/>
              <w:textAlignment w:val="bottom"/>
              <w:rPr>
                <w:color w:val="auto"/>
                <w:sz w:val="21"/>
                <w:szCs w:val="21"/>
              </w:rPr>
            </w:pPr>
            <w:r>
              <w:rPr>
                <w:color w:val="auto"/>
                <w:kern w:val="0"/>
                <w:sz w:val="21"/>
                <w:szCs w:val="21"/>
                <w:lang w:bidi="ar"/>
              </w:rPr>
              <w:t>0.06</w:t>
            </w:r>
          </w:p>
        </w:tc>
        <w:tc>
          <w:tcPr>
            <w:tcW w:w="634" w:type="pct"/>
            <w:tcBorders>
              <w:tl2br w:val="nil"/>
              <w:tr2bl w:val="nil"/>
            </w:tcBorders>
            <w:shd w:val="clear" w:color="auto" w:fill="auto"/>
            <w:noWrap/>
            <w:vAlign w:val="center"/>
          </w:tcPr>
          <w:p w14:paraId="65403B78">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6C3669E5">
            <w:pPr>
              <w:widowControl/>
              <w:spacing w:line="240" w:lineRule="auto"/>
              <w:ind w:firstLine="0" w:firstLineChars="0"/>
              <w:jc w:val="center"/>
              <w:textAlignment w:val="bottom"/>
              <w:rPr>
                <w:color w:val="auto"/>
                <w:sz w:val="21"/>
                <w:szCs w:val="21"/>
              </w:rPr>
            </w:pPr>
            <w:r>
              <w:rPr>
                <w:color w:val="auto"/>
                <w:kern w:val="0"/>
                <w:sz w:val="21"/>
                <w:szCs w:val="21"/>
                <w:lang w:bidi="ar"/>
              </w:rPr>
              <w:t>7.33</w:t>
            </w:r>
          </w:p>
        </w:tc>
      </w:tr>
      <w:tr w14:paraId="27D2D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8" w:type="pct"/>
            <w:tcBorders>
              <w:tl2br w:val="nil"/>
              <w:tr2bl w:val="nil"/>
            </w:tcBorders>
            <w:shd w:val="clear" w:color="auto" w:fill="auto"/>
            <w:noWrap/>
            <w:vAlign w:val="center"/>
          </w:tcPr>
          <w:p w14:paraId="784E0C81">
            <w:pPr>
              <w:spacing w:line="240" w:lineRule="auto"/>
              <w:ind w:firstLine="0" w:firstLineChars="0"/>
              <w:jc w:val="center"/>
              <w:rPr>
                <w:color w:val="auto"/>
                <w:sz w:val="21"/>
                <w:szCs w:val="21"/>
              </w:rPr>
            </w:pPr>
            <w:r>
              <w:rPr>
                <w:color w:val="auto"/>
                <w:sz w:val="21"/>
                <w:szCs w:val="21"/>
              </w:rPr>
              <w:t>7</w:t>
            </w:r>
          </w:p>
        </w:tc>
        <w:tc>
          <w:tcPr>
            <w:tcW w:w="532" w:type="pct"/>
            <w:tcBorders>
              <w:tl2br w:val="nil"/>
              <w:tr2bl w:val="nil"/>
            </w:tcBorders>
            <w:shd w:val="clear" w:color="auto" w:fill="auto"/>
            <w:noWrap/>
            <w:vAlign w:val="bottom"/>
          </w:tcPr>
          <w:p w14:paraId="6542AEF7">
            <w:pPr>
              <w:widowControl/>
              <w:spacing w:line="240" w:lineRule="auto"/>
              <w:ind w:firstLine="0" w:firstLineChars="0"/>
              <w:jc w:val="center"/>
              <w:textAlignment w:val="bottom"/>
              <w:rPr>
                <w:color w:val="auto"/>
                <w:sz w:val="21"/>
                <w:szCs w:val="21"/>
              </w:rPr>
            </w:pPr>
            <w:r>
              <w:rPr>
                <w:color w:val="auto"/>
                <w:kern w:val="0"/>
                <w:sz w:val="21"/>
                <w:szCs w:val="21"/>
                <w:lang w:bidi="ar"/>
              </w:rPr>
              <w:t>184.8</w:t>
            </w:r>
          </w:p>
        </w:tc>
        <w:tc>
          <w:tcPr>
            <w:tcW w:w="636" w:type="pct"/>
            <w:tcBorders>
              <w:tl2br w:val="nil"/>
              <w:tr2bl w:val="nil"/>
            </w:tcBorders>
            <w:shd w:val="clear" w:color="auto" w:fill="auto"/>
            <w:noWrap/>
            <w:vAlign w:val="bottom"/>
          </w:tcPr>
          <w:p w14:paraId="4A3F2E8B">
            <w:pPr>
              <w:widowControl/>
              <w:spacing w:line="240" w:lineRule="auto"/>
              <w:ind w:firstLine="0" w:firstLineChars="0"/>
              <w:jc w:val="center"/>
              <w:textAlignment w:val="bottom"/>
              <w:rPr>
                <w:color w:val="auto"/>
                <w:sz w:val="21"/>
                <w:szCs w:val="21"/>
              </w:rPr>
            </w:pPr>
            <w:r>
              <w:rPr>
                <w:color w:val="auto"/>
                <w:kern w:val="0"/>
                <w:sz w:val="21"/>
                <w:szCs w:val="21"/>
                <w:lang w:bidi="ar"/>
              </w:rPr>
              <w:t>23.16</w:t>
            </w:r>
          </w:p>
        </w:tc>
        <w:tc>
          <w:tcPr>
            <w:tcW w:w="635" w:type="pct"/>
            <w:tcBorders>
              <w:tl2br w:val="nil"/>
              <w:tr2bl w:val="nil"/>
            </w:tcBorders>
            <w:shd w:val="clear" w:color="auto" w:fill="auto"/>
            <w:noWrap/>
            <w:vAlign w:val="bottom"/>
          </w:tcPr>
          <w:p w14:paraId="74E96B27">
            <w:pPr>
              <w:widowControl/>
              <w:spacing w:line="240" w:lineRule="auto"/>
              <w:ind w:firstLine="0" w:firstLineChars="0"/>
              <w:jc w:val="center"/>
              <w:textAlignment w:val="bottom"/>
              <w:rPr>
                <w:color w:val="auto"/>
                <w:sz w:val="21"/>
                <w:szCs w:val="21"/>
              </w:rPr>
            </w:pPr>
            <w:r>
              <w:rPr>
                <w:color w:val="auto"/>
                <w:kern w:val="0"/>
                <w:sz w:val="21"/>
                <w:szCs w:val="21"/>
                <w:lang w:bidi="ar"/>
              </w:rPr>
              <w:t>10.56</w:t>
            </w:r>
          </w:p>
        </w:tc>
        <w:tc>
          <w:tcPr>
            <w:tcW w:w="575" w:type="pct"/>
            <w:tcBorders>
              <w:tl2br w:val="nil"/>
              <w:tr2bl w:val="nil"/>
            </w:tcBorders>
            <w:shd w:val="clear" w:color="auto" w:fill="auto"/>
            <w:noWrap/>
            <w:vAlign w:val="bottom"/>
          </w:tcPr>
          <w:p w14:paraId="39C09D25">
            <w:pPr>
              <w:widowControl/>
              <w:spacing w:line="240" w:lineRule="auto"/>
              <w:ind w:firstLine="0" w:firstLineChars="0"/>
              <w:jc w:val="center"/>
              <w:textAlignment w:val="bottom"/>
              <w:rPr>
                <w:color w:val="auto"/>
                <w:sz w:val="21"/>
                <w:szCs w:val="21"/>
              </w:rPr>
            </w:pPr>
            <w:r>
              <w:rPr>
                <w:color w:val="auto"/>
                <w:kern w:val="0"/>
                <w:sz w:val="21"/>
                <w:szCs w:val="21"/>
                <w:lang w:bidi="ar"/>
              </w:rPr>
              <w:t>0.12</w:t>
            </w:r>
          </w:p>
        </w:tc>
        <w:tc>
          <w:tcPr>
            <w:tcW w:w="574" w:type="pct"/>
            <w:tcBorders>
              <w:tl2br w:val="nil"/>
              <w:tr2bl w:val="nil"/>
            </w:tcBorders>
            <w:vAlign w:val="center"/>
          </w:tcPr>
          <w:p w14:paraId="2D597686">
            <w:pPr>
              <w:spacing w:line="240" w:lineRule="auto"/>
              <w:ind w:firstLine="0" w:firstLineChars="0"/>
              <w:jc w:val="center"/>
              <w:rPr>
                <w:color w:val="auto"/>
                <w:sz w:val="21"/>
                <w:szCs w:val="21"/>
              </w:rPr>
            </w:pPr>
            <w:r>
              <w:rPr>
                <w:color w:val="auto"/>
                <w:sz w:val="21"/>
                <w:szCs w:val="21"/>
              </w:rPr>
              <w:t>/</w:t>
            </w:r>
          </w:p>
        </w:tc>
        <w:tc>
          <w:tcPr>
            <w:tcW w:w="636" w:type="pct"/>
            <w:tcBorders>
              <w:tl2br w:val="nil"/>
              <w:tr2bl w:val="nil"/>
            </w:tcBorders>
            <w:vAlign w:val="bottom"/>
          </w:tcPr>
          <w:p w14:paraId="5C24C39A">
            <w:pPr>
              <w:widowControl/>
              <w:spacing w:line="240" w:lineRule="auto"/>
              <w:ind w:firstLine="0" w:firstLineChars="0"/>
              <w:jc w:val="center"/>
              <w:textAlignment w:val="bottom"/>
              <w:rPr>
                <w:color w:val="auto"/>
                <w:sz w:val="21"/>
                <w:szCs w:val="21"/>
              </w:rPr>
            </w:pPr>
            <w:r>
              <w:rPr>
                <w:color w:val="auto"/>
                <w:kern w:val="0"/>
                <w:sz w:val="21"/>
                <w:szCs w:val="21"/>
                <w:lang w:bidi="ar"/>
              </w:rPr>
              <w:t>0.072</w:t>
            </w:r>
          </w:p>
        </w:tc>
        <w:tc>
          <w:tcPr>
            <w:tcW w:w="634" w:type="pct"/>
            <w:tcBorders>
              <w:tl2br w:val="nil"/>
              <w:tr2bl w:val="nil"/>
            </w:tcBorders>
            <w:shd w:val="clear" w:color="auto" w:fill="auto"/>
            <w:noWrap/>
            <w:vAlign w:val="center"/>
          </w:tcPr>
          <w:p w14:paraId="0970CB62">
            <w:pPr>
              <w:spacing w:line="240" w:lineRule="auto"/>
              <w:ind w:firstLine="0" w:firstLineChars="0"/>
              <w:jc w:val="center"/>
              <w:rPr>
                <w:color w:val="auto"/>
                <w:sz w:val="21"/>
                <w:szCs w:val="21"/>
              </w:rPr>
            </w:pPr>
            <w:r>
              <w:rPr>
                <w:color w:val="auto"/>
                <w:sz w:val="21"/>
                <w:szCs w:val="21"/>
              </w:rPr>
              <w:t>/</w:t>
            </w:r>
          </w:p>
        </w:tc>
        <w:tc>
          <w:tcPr>
            <w:tcW w:w="336" w:type="pct"/>
            <w:tcBorders>
              <w:tl2br w:val="nil"/>
              <w:tr2bl w:val="nil"/>
            </w:tcBorders>
            <w:shd w:val="clear" w:color="auto" w:fill="auto"/>
            <w:noWrap/>
            <w:vAlign w:val="bottom"/>
          </w:tcPr>
          <w:p w14:paraId="47371950">
            <w:pPr>
              <w:widowControl/>
              <w:spacing w:line="240" w:lineRule="auto"/>
              <w:ind w:firstLine="0" w:firstLineChars="0"/>
              <w:jc w:val="center"/>
              <w:textAlignment w:val="bottom"/>
              <w:rPr>
                <w:color w:val="auto"/>
                <w:sz w:val="21"/>
                <w:szCs w:val="21"/>
              </w:rPr>
            </w:pPr>
            <w:r>
              <w:rPr>
                <w:color w:val="auto"/>
                <w:kern w:val="0"/>
                <w:sz w:val="21"/>
                <w:szCs w:val="21"/>
                <w:lang w:bidi="ar"/>
              </w:rPr>
              <w:t>6.80</w:t>
            </w:r>
          </w:p>
        </w:tc>
      </w:tr>
      <w:tr w14:paraId="287D9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5F04AD5E">
            <w:pPr>
              <w:spacing w:line="240" w:lineRule="auto"/>
              <w:ind w:firstLine="0" w:firstLineChars="0"/>
              <w:jc w:val="center"/>
              <w:rPr>
                <w:color w:val="auto"/>
                <w:sz w:val="21"/>
                <w:szCs w:val="21"/>
              </w:rPr>
            </w:pPr>
            <w:r>
              <w:rPr>
                <w:color w:val="auto"/>
                <w:sz w:val="21"/>
                <w:szCs w:val="21"/>
              </w:rPr>
              <w:t>8</w:t>
            </w:r>
          </w:p>
        </w:tc>
        <w:tc>
          <w:tcPr>
            <w:tcW w:w="532" w:type="pct"/>
            <w:tcBorders>
              <w:tl2br w:val="nil"/>
              <w:tr2bl w:val="nil"/>
            </w:tcBorders>
            <w:shd w:val="clear" w:color="auto" w:fill="auto"/>
            <w:noWrap/>
            <w:vAlign w:val="bottom"/>
          </w:tcPr>
          <w:p w14:paraId="517BDE44">
            <w:pPr>
              <w:widowControl/>
              <w:spacing w:line="240" w:lineRule="auto"/>
              <w:ind w:firstLine="0" w:firstLineChars="0"/>
              <w:jc w:val="center"/>
              <w:textAlignment w:val="bottom"/>
              <w:rPr>
                <w:color w:val="auto"/>
                <w:sz w:val="21"/>
                <w:szCs w:val="21"/>
              </w:rPr>
            </w:pPr>
            <w:r>
              <w:rPr>
                <w:color w:val="auto"/>
                <w:kern w:val="0"/>
                <w:sz w:val="21"/>
                <w:szCs w:val="21"/>
                <w:lang w:bidi="ar"/>
              </w:rPr>
              <w:t>196.8</w:t>
            </w:r>
          </w:p>
        </w:tc>
        <w:tc>
          <w:tcPr>
            <w:tcW w:w="636" w:type="pct"/>
            <w:tcBorders>
              <w:tl2br w:val="nil"/>
              <w:tr2bl w:val="nil"/>
            </w:tcBorders>
            <w:shd w:val="clear" w:color="auto" w:fill="auto"/>
            <w:noWrap/>
            <w:vAlign w:val="bottom"/>
          </w:tcPr>
          <w:p w14:paraId="180ABEDB">
            <w:pPr>
              <w:widowControl/>
              <w:spacing w:line="240" w:lineRule="auto"/>
              <w:ind w:firstLine="0" w:firstLineChars="0"/>
              <w:jc w:val="center"/>
              <w:textAlignment w:val="bottom"/>
              <w:rPr>
                <w:color w:val="auto"/>
                <w:sz w:val="21"/>
                <w:szCs w:val="21"/>
              </w:rPr>
            </w:pPr>
            <w:r>
              <w:rPr>
                <w:color w:val="auto"/>
                <w:kern w:val="0"/>
                <w:sz w:val="21"/>
                <w:szCs w:val="21"/>
                <w:lang w:bidi="ar"/>
              </w:rPr>
              <w:t>21.36</w:t>
            </w:r>
          </w:p>
        </w:tc>
        <w:tc>
          <w:tcPr>
            <w:tcW w:w="635" w:type="pct"/>
            <w:tcBorders>
              <w:tl2br w:val="nil"/>
              <w:tr2bl w:val="nil"/>
            </w:tcBorders>
            <w:shd w:val="clear" w:color="auto" w:fill="auto"/>
            <w:noWrap/>
            <w:vAlign w:val="bottom"/>
          </w:tcPr>
          <w:p w14:paraId="6F489D77">
            <w:pPr>
              <w:widowControl/>
              <w:spacing w:line="240" w:lineRule="auto"/>
              <w:ind w:firstLine="0" w:firstLineChars="0"/>
              <w:jc w:val="center"/>
              <w:textAlignment w:val="bottom"/>
              <w:rPr>
                <w:color w:val="auto"/>
                <w:sz w:val="21"/>
                <w:szCs w:val="21"/>
              </w:rPr>
            </w:pPr>
            <w:r>
              <w:rPr>
                <w:color w:val="auto"/>
                <w:kern w:val="0"/>
                <w:sz w:val="21"/>
                <w:szCs w:val="21"/>
                <w:lang w:bidi="ar"/>
              </w:rPr>
              <w:t>8.76</w:t>
            </w:r>
          </w:p>
        </w:tc>
        <w:tc>
          <w:tcPr>
            <w:tcW w:w="575" w:type="pct"/>
            <w:tcBorders>
              <w:tl2br w:val="nil"/>
              <w:tr2bl w:val="nil"/>
            </w:tcBorders>
            <w:shd w:val="clear" w:color="auto" w:fill="auto"/>
            <w:noWrap/>
            <w:vAlign w:val="bottom"/>
          </w:tcPr>
          <w:p w14:paraId="4FCDCA20">
            <w:pPr>
              <w:widowControl/>
              <w:spacing w:line="240" w:lineRule="auto"/>
              <w:ind w:firstLine="0" w:firstLineChars="0"/>
              <w:jc w:val="center"/>
              <w:textAlignment w:val="bottom"/>
              <w:rPr>
                <w:color w:val="auto"/>
                <w:sz w:val="21"/>
                <w:szCs w:val="21"/>
              </w:rPr>
            </w:pPr>
            <w:r>
              <w:rPr>
                <w:color w:val="auto"/>
                <w:kern w:val="0"/>
                <w:sz w:val="21"/>
                <w:szCs w:val="21"/>
                <w:lang w:bidi="ar"/>
              </w:rPr>
              <w:t>0.42</w:t>
            </w:r>
          </w:p>
        </w:tc>
        <w:tc>
          <w:tcPr>
            <w:tcW w:w="574" w:type="pct"/>
            <w:tcBorders>
              <w:tl2br w:val="nil"/>
              <w:tr2bl w:val="nil"/>
            </w:tcBorders>
            <w:vAlign w:val="bottom"/>
          </w:tcPr>
          <w:p w14:paraId="24D01D0C">
            <w:pPr>
              <w:widowControl/>
              <w:spacing w:line="240" w:lineRule="auto"/>
              <w:ind w:firstLine="0" w:firstLineChars="0"/>
              <w:jc w:val="center"/>
              <w:textAlignment w:val="bottom"/>
              <w:rPr>
                <w:color w:val="auto"/>
                <w:sz w:val="21"/>
                <w:szCs w:val="21"/>
              </w:rPr>
            </w:pPr>
            <w:r>
              <w:rPr>
                <w:color w:val="auto"/>
                <w:kern w:val="0"/>
                <w:sz w:val="21"/>
                <w:szCs w:val="21"/>
                <w:lang w:bidi="ar"/>
              </w:rPr>
              <w:t>1.14</w:t>
            </w:r>
          </w:p>
        </w:tc>
        <w:tc>
          <w:tcPr>
            <w:tcW w:w="636" w:type="pct"/>
            <w:tcBorders>
              <w:tl2br w:val="nil"/>
              <w:tr2bl w:val="nil"/>
            </w:tcBorders>
            <w:vAlign w:val="bottom"/>
          </w:tcPr>
          <w:p w14:paraId="5EF70CA8">
            <w:pPr>
              <w:widowControl/>
              <w:spacing w:line="240" w:lineRule="auto"/>
              <w:ind w:firstLine="0" w:firstLineChars="0"/>
              <w:jc w:val="center"/>
              <w:textAlignment w:val="bottom"/>
              <w:rPr>
                <w:color w:val="auto"/>
                <w:sz w:val="21"/>
                <w:szCs w:val="21"/>
              </w:rPr>
            </w:pPr>
            <w:r>
              <w:rPr>
                <w:color w:val="auto"/>
                <w:kern w:val="0"/>
                <w:sz w:val="21"/>
                <w:szCs w:val="21"/>
                <w:lang w:bidi="ar"/>
              </w:rPr>
              <w:t>0.072</w:t>
            </w:r>
          </w:p>
        </w:tc>
        <w:tc>
          <w:tcPr>
            <w:tcW w:w="634" w:type="pct"/>
            <w:tcBorders>
              <w:tl2br w:val="nil"/>
              <w:tr2bl w:val="nil"/>
            </w:tcBorders>
            <w:shd w:val="clear" w:color="auto" w:fill="auto"/>
            <w:noWrap/>
            <w:vAlign w:val="bottom"/>
          </w:tcPr>
          <w:p w14:paraId="46AD64D1">
            <w:pPr>
              <w:widowControl/>
              <w:spacing w:line="240" w:lineRule="auto"/>
              <w:ind w:firstLine="0" w:firstLineChars="0"/>
              <w:jc w:val="center"/>
              <w:textAlignment w:val="bottom"/>
              <w:rPr>
                <w:color w:val="auto"/>
                <w:sz w:val="21"/>
                <w:szCs w:val="21"/>
              </w:rPr>
            </w:pPr>
            <w:r>
              <w:rPr>
                <w:color w:val="auto"/>
                <w:kern w:val="0"/>
                <w:sz w:val="21"/>
                <w:szCs w:val="21"/>
                <w:lang w:bidi="ar"/>
              </w:rPr>
              <w:t>18.72</w:t>
            </w:r>
          </w:p>
        </w:tc>
        <w:tc>
          <w:tcPr>
            <w:tcW w:w="336" w:type="pct"/>
            <w:tcBorders>
              <w:tl2br w:val="nil"/>
              <w:tr2bl w:val="nil"/>
            </w:tcBorders>
            <w:shd w:val="clear" w:color="auto" w:fill="auto"/>
            <w:noWrap/>
            <w:vAlign w:val="bottom"/>
          </w:tcPr>
          <w:p w14:paraId="05019353">
            <w:pPr>
              <w:widowControl/>
              <w:spacing w:line="240" w:lineRule="auto"/>
              <w:ind w:firstLine="0" w:firstLineChars="0"/>
              <w:jc w:val="center"/>
              <w:textAlignment w:val="bottom"/>
              <w:rPr>
                <w:color w:val="auto"/>
                <w:sz w:val="21"/>
                <w:szCs w:val="21"/>
              </w:rPr>
            </w:pPr>
            <w:r>
              <w:rPr>
                <w:color w:val="auto"/>
                <w:kern w:val="0"/>
                <w:sz w:val="21"/>
                <w:szCs w:val="21"/>
                <w:lang w:bidi="ar"/>
              </w:rPr>
              <w:t>4.75</w:t>
            </w:r>
          </w:p>
        </w:tc>
      </w:tr>
      <w:tr w14:paraId="7C0FF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745B873A">
            <w:pPr>
              <w:spacing w:line="240" w:lineRule="auto"/>
              <w:ind w:firstLine="0" w:firstLineChars="0"/>
              <w:jc w:val="center"/>
              <w:rPr>
                <w:color w:val="auto"/>
                <w:sz w:val="21"/>
                <w:szCs w:val="21"/>
              </w:rPr>
            </w:pPr>
            <w:r>
              <w:rPr>
                <w:color w:val="auto"/>
                <w:sz w:val="21"/>
                <w:szCs w:val="21"/>
              </w:rPr>
              <w:t>9</w:t>
            </w:r>
          </w:p>
        </w:tc>
        <w:tc>
          <w:tcPr>
            <w:tcW w:w="532" w:type="pct"/>
            <w:tcBorders>
              <w:tl2br w:val="nil"/>
              <w:tr2bl w:val="nil"/>
            </w:tcBorders>
            <w:shd w:val="clear" w:color="auto" w:fill="auto"/>
            <w:noWrap/>
            <w:vAlign w:val="bottom"/>
          </w:tcPr>
          <w:p w14:paraId="765F9F59">
            <w:pPr>
              <w:widowControl/>
              <w:spacing w:line="240" w:lineRule="auto"/>
              <w:ind w:firstLine="0" w:firstLineChars="0"/>
              <w:jc w:val="center"/>
              <w:textAlignment w:val="bottom"/>
              <w:rPr>
                <w:color w:val="auto"/>
                <w:sz w:val="21"/>
                <w:szCs w:val="21"/>
              </w:rPr>
            </w:pPr>
            <w:r>
              <w:rPr>
                <w:color w:val="auto"/>
                <w:kern w:val="0"/>
                <w:sz w:val="21"/>
                <w:szCs w:val="21"/>
                <w:lang w:bidi="ar"/>
              </w:rPr>
              <w:t>246</w:t>
            </w:r>
          </w:p>
        </w:tc>
        <w:tc>
          <w:tcPr>
            <w:tcW w:w="636" w:type="pct"/>
            <w:tcBorders>
              <w:tl2br w:val="nil"/>
              <w:tr2bl w:val="nil"/>
            </w:tcBorders>
            <w:shd w:val="clear" w:color="auto" w:fill="auto"/>
            <w:noWrap/>
            <w:vAlign w:val="bottom"/>
          </w:tcPr>
          <w:p w14:paraId="4D710D19">
            <w:pPr>
              <w:widowControl/>
              <w:spacing w:line="240" w:lineRule="auto"/>
              <w:ind w:firstLine="0" w:firstLineChars="0"/>
              <w:jc w:val="center"/>
              <w:textAlignment w:val="bottom"/>
              <w:rPr>
                <w:color w:val="auto"/>
                <w:sz w:val="21"/>
                <w:szCs w:val="21"/>
              </w:rPr>
            </w:pPr>
            <w:r>
              <w:rPr>
                <w:color w:val="auto"/>
                <w:kern w:val="0"/>
                <w:sz w:val="21"/>
                <w:szCs w:val="21"/>
                <w:lang w:bidi="ar"/>
              </w:rPr>
              <w:t>24</w:t>
            </w:r>
          </w:p>
        </w:tc>
        <w:tc>
          <w:tcPr>
            <w:tcW w:w="635" w:type="pct"/>
            <w:tcBorders>
              <w:tl2br w:val="nil"/>
              <w:tr2bl w:val="nil"/>
            </w:tcBorders>
            <w:shd w:val="clear" w:color="auto" w:fill="auto"/>
            <w:noWrap/>
            <w:vAlign w:val="bottom"/>
          </w:tcPr>
          <w:p w14:paraId="051043FD">
            <w:pPr>
              <w:widowControl/>
              <w:spacing w:line="240" w:lineRule="auto"/>
              <w:ind w:firstLine="0" w:firstLineChars="0"/>
              <w:jc w:val="center"/>
              <w:textAlignment w:val="bottom"/>
              <w:rPr>
                <w:color w:val="auto"/>
                <w:sz w:val="21"/>
                <w:szCs w:val="21"/>
              </w:rPr>
            </w:pPr>
            <w:r>
              <w:rPr>
                <w:color w:val="auto"/>
                <w:kern w:val="0"/>
                <w:sz w:val="21"/>
                <w:szCs w:val="21"/>
                <w:lang w:bidi="ar"/>
              </w:rPr>
              <w:t>14.28</w:t>
            </w:r>
          </w:p>
        </w:tc>
        <w:tc>
          <w:tcPr>
            <w:tcW w:w="575" w:type="pct"/>
            <w:tcBorders>
              <w:tl2br w:val="nil"/>
              <w:tr2bl w:val="nil"/>
            </w:tcBorders>
            <w:shd w:val="clear" w:color="auto" w:fill="auto"/>
            <w:noWrap/>
            <w:vAlign w:val="bottom"/>
          </w:tcPr>
          <w:p w14:paraId="5C0CF476">
            <w:pPr>
              <w:widowControl/>
              <w:spacing w:line="240" w:lineRule="auto"/>
              <w:ind w:firstLine="0" w:firstLineChars="0"/>
              <w:jc w:val="center"/>
              <w:textAlignment w:val="bottom"/>
              <w:rPr>
                <w:color w:val="auto"/>
                <w:sz w:val="21"/>
                <w:szCs w:val="21"/>
              </w:rPr>
            </w:pPr>
            <w:r>
              <w:rPr>
                <w:color w:val="auto"/>
                <w:kern w:val="0"/>
                <w:sz w:val="21"/>
                <w:szCs w:val="21"/>
                <w:lang w:bidi="ar"/>
              </w:rPr>
              <w:t>0.26</w:t>
            </w:r>
          </w:p>
        </w:tc>
        <w:tc>
          <w:tcPr>
            <w:tcW w:w="574" w:type="pct"/>
            <w:tcBorders>
              <w:tl2br w:val="nil"/>
              <w:tr2bl w:val="nil"/>
            </w:tcBorders>
            <w:vAlign w:val="bottom"/>
          </w:tcPr>
          <w:p w14:paraId="780B2B81">
            <w:pPr>
              <w:widowControl/>
              <w:spacing w:line="240" w:lineRule="auto"/>
              <w:ind w:firstLine="0" w:firstLineChars="0"/>
              <w:jc w:val="center"/>
              <w:textAlignment w:val="bottom"/>
              <w:rPr>
                <w:color w:val="auto"/>
                <w:sz w:val="21"/>
                <w:szCs w:val="21"/>
              </w:rPr>
            </w:pPr>
            <w:r>
              <w:rPr>
                <w:color w:val="auto"/>
                <w:kern w:val="0"/>
                <w:sz w:val="21"/>
                <w:szCs w:val="21"/>
                <w:lang w:bidi="ar"/>
              </w:rPr>
              <w:t>1.14</w:t>
            </w:r>
          </w:p>
        </w:tc>
        <w:tc>
          <w:tcPr>
            <w:tcW w:w="636" w:type="pct"/>
            <w:tcBorders>
              <w:tl2br w:val="nil"/>
              <w:tr2bl w:val="nil"/>
            </w:tcBorders>
            <w:vAlign w:val="bottom"/>
          </w:tcPr>
          <w:p w14:paraId="5F90EF7E">
            <w:pPr>
              <w:widowControl/>
              <w:spacing w:line="240" w:lineRule="auto"/>
              <w:ind w:firstLine="0" w:firstLineChars="0"/>
              <w:jc w:val="center"/>
              <w:textAlignment w:val="bottom"/>
              <w:rPr>
                <w:color w:val="auto"/>
                <w:sz w:val="21"/>
                <w:szCs w:val="21"/>
              </w:rPr>
            </w:pPr>
            <w:r>
              <w:rPr>
                <w:color w:val="auto"/>
                <w:kern w:val="0"/>
                <w:sz w:val="21"/>
                <w:szCs w:val="21"/>
                <w:lang w:bidi="ar"/>
              </w:rPr>
              <w:t>0.048</w:t>
            </w:r>
          </w:p>
        </w:tc>
        <w:tc>
          <w:tcPr>
            <w:tcW w:w="634" w:type="pct"/>
            <w:tcBorders>
              <w:tl2br w:val="nil"/>
              <w:tr2bl w:val="nil"/>
            </w:tcBorders>
            <w:shd w:val="clear" w:color="auto" w:fill="auto"/>
            <w:noWrap/>
            <w:vAlign w:val="bottom"/>
          </w:tcPr>
          <w:p w14:paraId="5640A9E3">
            <w:pPr>
              <w:widowControl/>
              <w:spacing w:line="240" w:lineRule="auto"/>
              <w:ind w:firstLine="0" w:firstLineChars="0"/>
              <w:jc w:val="center"/>
              <w:textAlignment w:val="bottom"/>
              <w:rPr>
                <w:color w:val="auto"/>
                <w:sz w:val="21"/>
                <w:szCs w:val="21"/>
              </w:rPr>
            </w:pPr>
            <w:r>
              <w:rPr>
                <w:color w:val="auto"/>
                <w:kern w:val="0"/>
                <w:sz w:val="21"/>
                <w:szCs w:val="21"/>
                <w:lang w:bidi="ar"/>
              </w:rPr>
              <w:t>24.92</w:t>
            </w:r>
          </w:p>
        </w:tc>
        <w:tc>
          <w:tcPr>
            <w:tcW w:w="336" w:type="pct"/>
            <w:tcBorders>
              <w:tl2br w:val="nil"/>
              <w:tr2bl w:val="nil"/>
            </w:tcBorders>
            <w:shd w:val="clear" w:color="auto" w:fill="auto"/>
            <w:noWrap/>
            <w:vAlign w:val="bottom"/>
          </w:tcPr>
          <w:p w14:paraId="09C23FA3">
            <w:pPr>
              <w:widowControl/>
              <w:spacing w:line="240" w:lineRule="auto"/>
              <w:ind w:firstLine="0" w:firstLineChars="0"/>
              <w:jc w:val="center"/>
              <w:textAlignment w:val="bottom"/>
              <w:rPr>
                <w:color w:val="auto"/>
                <w:sz w:val="21"/>
                <w:szCs w:val="21"/>
              </w:rPr>
            </w:pPr>
            <w:r>
              <w:rPr>
                <w:color w:val="auto"/>
                <w:kern w:val="0"/>
                <w:sz w:val="21"/>
                <w:szCs w:val="21"/>
                <w:lang w:bidi="ar"/>
              </w:rPr>
              <w:t>5.15</w:t>
            </w:r>
          </w:p>
        </w:tc>
      </w:tr>
      <w:tr w14:paraId="492BA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0CC3B67A">
            <w:pPr>
              <w:spacing w:line="240" w:lineRule="auto"/>
              <w:ind w:firstLine="0" w:firstLineChars="0"/>
              <w:jc w:val="center"/>
              <w:rPr>
                <w:color w:val="auto"/>
                <w:sz w:val="21"/>
                <w:szCs w:val="21"/>
              </w:rPr>
            </w:pPr>
            <w:r>
              <w:rPr>
                <w:color w:val="auto"/>
                <w:sz w:val="21"/>
                <w:szCs w:val="21"/>
              </w:rPr>
              <w:t>10</w:t>
            </w:r>
          </w:p>
        </w:tc>
        <w:tc>
          <w:tcPr>
            <w:tcW w:w="532" w:type="pct"/>
            <w:tcBorders>
              <w:tl2br w:val="nil"/>
              <w:tr2bl w:val="nil"/>
            </w:tcBorders>
            <w:shd w:val="clear" w:color="auto" w:fill="auto"/>
            <w:noWrap/>
            <w:vAlign w:val="bottom"/>
          </w:tcPr>
          <w:p w14:paraId="4B3C2230">
            <w:pPr>
              <w:widowControl/>
              <w:spacing w:line="240" w:lineRule="auto"/>
              <w:ind w:firstLine="0" w:firstLineChars="0"/>
              <w:jc w:val="center"/>
              <w:textAlignment w:val="bottom"/>
              <w:rPr>
                <w:color w:val="auto"/>
                <w:sz w:val="21"/>
                <w:szCs w:val="21"/>
              </w:rPr>
            </w:pPr>
            <w:r>
              <w:rPr>
                <w:color w:val="auto"/>
                <w:kern w:val="0"/>
                <w:sz w:val="21"/>
                <w:szCs w:val="21"/>
                <w:lang w:bidi="ar"/>
              </w:rPr>
              <w:t>252</w:t>
            </w:r>
          </w:p>
        </w:tc>
        <w:tc>
          <w:tcPr>
            <w:tcW w:w="636" w:type="pct"/>
            <w:tcBorders>
              <w:tl2br w:val="nil"/>
              <w:tr2bl w:val="nil"/>
            </w:tcBorders>
            <w:shd w:val="clear" w:color="auto" w:fill="auto"/>
            <w:noWrap/>
            <w:vAlign w:val="bottom"/>
          </w:tcPr>
          <w:p w14:paraId="5CF86A4C">
            <w:pPr>
              <w:widowControl/>
              <w:spacing w:line="240" w:lineRule="auto"/>
              <w:ind w:firstLine="0" w:firstLineChars="0"/>
              <w:jc w:val="center"/>
              <w:textAlignment w:val="bottom"/>
              <w:rPr>
                <w:color w:val="auto"/>
                <w:sz w:val="21"/>
                <w:szCs w:val="21"/>
              </w:rPr>
            </w:pPr>
            <w:r>
              <w:rPr>
                <w:color w:val="auto"/>
                <w:kern w:val="0"/>
                <w:sz w:val="21"/>
                <w:szCs w:val="21"/>
                <w:lang w:bidi="ar"/>
              </w:rPr>
              <w:t>23.76</w:t>
            </w:r>
          </w:p>
        </w:tc>
        <w:tc>
          <w:tcPr>
            <w:tcW w:w="635" w:type="pct"/>
            <w:tcBorders>
              <w:tl2br w:val="nil"/>
              <w:tr2bl w:val="nil"/>
            </w:tcBorders>
            <w:shd w:val="clear" w:color="auto" w:fill="auto"/>
            <w:noWrap/>
            <w:vAlign w:val="bottom"/>
          </w:tcPr>
          <w:p w14:paraId="4112BDCD">
            <w:pPr>
              <w:widowControl/>
              <w:spacing w:line="240" w:lineRule="auto"/>
              <w:ind w:firstLine="0" w:firstLineChars="0"/>
              <w:jc w:val="center"/>
              <w:textAlignment w:val="bottom"/>
              <w:rPr>
                <w:color w:val="auto"/>
                <w:sz w:val="21"/>
                <w:szCs w:val="21"/>
              </w:rPr>
            </w:pPr>
            <w:r>
              <w:rPr>
                <w:color w:val="auto"/>
                <w:kern w:val="0"/>
                <w:sz w:val="21"/>
                <w:szCs w:val="21"/>
                <w:lang w:bidi="ar"/>
              </w:rPr>
              <w:t>13.32</w:t>
            </w:r>
          </w:p>
        </w:tc>
        <w:tc>
          <w:tcPr>
            <w:tcW w:w="575" w:type="pct"/>
            <w:tcBorders>
              <w:tl2br w:val="nil"/>
              <w:tr2bl w:val="nil"/>
            </w:tcBorders>
            <w:shd w:val="clear" w:color="auto" w:fill="auto"/>
            <w:noWrap/>
            <w:vAlign w:val="bottom"/>
          </w:tcPr>
          <w:p w14:paraId="0708334C">
            <w:pPr>
              <w:widowControl/>
              <w:spacing w:line="240" w:lineRule="auto"/>
              <w:ind w:firstLine="0" w:firstLineChars="0"/>
              <w:jc w:val="center"/>
              <w:textAlignment w:val="bottom"/>
              <w:rPr>
                <w:color w:val="auto"/>
                <w:sz w:val="21"/>
                <w:szCs w:val="21"/>
              </w:rPr>
            </w:pPr>
            <w:r>
              <w:rPr>
                <w:color w:val="auto"/>
                <w:kern w:val="0"/>
                <w:sz w:val="21"/>
                <w:szCs w:val="21"/>
                <w:lang w:bidi="ar"/>
              </w:rPr>
              <w:t>0.19</w:t>
            </w:r>
          </w:p>
        </w:tc>
        <w:tc>
          <w:tcPr>
            <w:tcW w:w="574" w:type="pct"/>
            <w:tcBorders>
              <w:tl2br w:val="nil"/>
              <w:tr2bl w:val="nil"/>
            </w:tcBorders>
            <w:vAlign w:val="bottom"/>
          </w:tcPr>
          <w:p w14:paraId="60A4AB92">
            <w:pPr>
              <w:widowControl/>
              <w:spacing w:line="240" w:lineRule="auto"/>
              <w:ind w:firstLine="0" w:firstLineChars="0"/>
              <w:jc w:val="center"/>
              <w:textAlignment w:val="bottom"/>
              <w:rPr>
                <w:color w:val="auto"/>
                <w:sz w:val="21"/>
                <w:szCs w:val="21"/>
              </w:rPr>
            </w:pPr>
            <w:r>
              <w:rPr>
                <w:color w:val="auto"/>
                <w:kern w:val="0"/>
                <w:sz w:val="21"/>
                <w:szCs w:val="21"/>
                <w:lang w:bidi="ar"/>
              </w:rPr>
              <w:t>1.06</w:t>
            </w:r>
          </w:p>
        </w:tc>
        <w:tc>
          <w:tcPr>
            <w:tcW w:w="636" w:type="pct"/>
            <w:tcBorders>
              <w:tl2br w:val="nil"/>
              <w:tr2bl w:val="nil"/>
            </w:tcBorders>
            <w:vAlign w:val="bottom"/>
          </w:tcPr>
          <w:p w14:paraId="2856EC63">
            <w:pPr>
              <w:widowControl/>
              <w:spacing w:line="240" w:lineRule="auto"/>
              <w:ind w:firstLine="0" w:firstLineChars="0"/>
              <w:jc w:val="center"/>
              <w:textAlignment w:val="bottom"/>
              <w:rPr>
                <w:color w:val="auto"/>
                <w:sz w:val="21"/>
                <w:szCs w:val="21"/>
              </w:rPr>
            </w:pPr>
            <w:r>
              <w:rPr>
                <w:color w:val="auto"/>
                <w:kern w:val="0"/>
                <w:sz w:val="21"/>
                <w:szCs w:val="21"/>
                <w:lang w:bidi="ar"/>
              </w:rPr>
              <w:t>0.06</w:t>
            </w:r>
          </w:p>
        </w:tc>
        <w:tc>
          <w:tcPr>
            <w:tcW w:w="634" w:type="pct"/>
            <w:tcBorders>
              <w:tl2br w:val="nil"/>
              <w:tr2bl w:val="nil"/>
            </w:tcBorders>
            <w:shd w:val="clear" w:color="auto" w:fill="auto"/>
            <w:noWrap/>
            <w:vAlign w:val="bottom"/>
          </w:tcPr>
          <w:p w14:paraId="29B75E78">
            <w:pPr>
              <w:widowControl/>
              <w:spacing w:line="240" w:lineRule="auto"/>
              <w:ind w:firstLine="0" w:firstLineChars="0"/>
              <w:jc w:val="center"/>
              <w:textAlignment w:val="bottom"/>
              <w:rPr>
                <w:color w:val="auto"/>
                <w:sz w:val="21"/>
                <w:szCs w:val="21"/>
              </w:rPr>
            </w:pPr>
            <w:r>
              <w:rPr>
                <w:color w:val="auto"/>
                <w:kern w:val="0"/>
                <w:sz w:val="21"/>
                <w:szCs w:val="21"/>
                <w:lang w:bidi="ar"/>
              </w:rPr>
              <w:t>23.40</w:t>
            </w:r>
          </w:p>
        </w:tc>
        <w:tc>
          <w:tcPr>
            <w:tcW w:w="336" w:type="pct"/>
            <w:tcBorders>
              <w:tl2br w:val="nil"/>
              <w:tr2bl w:val="nil"/>
            </w:tcBorders>
            <w:shd w:val="clear" w:color="auto" w:fill="auto"/>
            <w:noWrap/>
            <w:vAlign w:val="bottom"/>
          </w:tcPr>
          <w:p w14:paraId="7AAFE686">
            <w:pPr>
              <w:widowControl/>
              <w:spacing w:line="240" w:lineRule="auto"/>
              <w:ind w:firstLine="0" w:firstLineChars="0"/>
              <w:jc w:val="center"/>
              <w:textAlignment w:val="bottom"/>
              <w:rPr>
                <w:color w:val="auto"/>
                <w:sz w:val="21"/>
                <w:szCs w:val="21"/>
              </w:rPr>
            </w:pPr>
            <w:r>
              <w:rPr>
                <w:color w:val="auto"/>
                <w:kern w:val="0"/>
                <w:sz w:val="21"/>
                <w:szCs w:val="21"/>
                <w:lang w:bidi="ar"/>
              </w:rPr>
              <w:t>4.91</w:t>
            </w:r>
          </w:p>
        </w:tc>
      </w:tr>
      <w:tr w14:paraId="466CE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2AB5829C">
            <w:pPr>
              <w:spacing w:line="240" w:lineRule="auto"/>
              <w:ind w:firstLine="0" w:firstLineChars="0"/>
              <w:jc w:val="center"/>
              <w:rPr>
                <w:color w:val="auto"/>
                <w:sz w:val="21"/>
                <w:szCs w:val="21"/>
              </w:rPr>
            </w:pPr>
            <w:r>
              <w:rPr>
                <w:color w:val="auto"/>
                <w:sz w:val="21"/>
                <w:szCs w:val="21"/>
              </w:rPr>
              <w:t>11</w:t>
            </w:r>
          </w:p>
        </w:tc>
        <w:tc>
          <w:tcPr>
            <w:tcW w:w="532" w:type="pct"/>
            <w:tcBorders>
              <w:tl2br w:val="nil"/>
              <w:tr2bl w:val="nil"/>
            </w:tcBorders>
            <w:shd w:val="clear" w:color="auto" w:fill="auto"/>
            <w:noWrap/>
            <w:vAlign w:val="bottom"/>
          </w:tcPr>
          <w:p w14:paraId="10605412">
            <w:pPr>
              <w:widowControl/>
              <w:spacing w:line="240" w:lineRule="auto"/>
              <w:ind w:firstLine="0" w:firstLineChars="0"/>
              <w:jc w:val="center"/>
              <w:textAlignment w:val="bottom"/>
              <w:rPr>
                <w:color w:val="auto"/>
                <w:sz w:val="21"/>
                <w:szCs w:val="21"/>
              </w:rPr>
            </w:pPr>
            <w:r>
              <w:rPr>
                <w:color w:val="auto"/>
                <w:kern w:val="0"/>
                <w:sz w:val="21"/>
                <w:szCs w:val="21"/>
                <w:lang w:bidi="ar"/>
              </w:rPr>
              <w:t>333.6</w:t>
            </w:r>
          </w:p>
        </w:tc>
        <w:tc>
          <w:tcPr>
            <w:tcW w:w="636" w:type="pct"/>
            <w:tcBorders>
              <w:tl2br w:val="nil"/>
              <w:tr2bl w:val="nil"/>
            </w:tcBorders>
            <w:shd w:val="clear" w:color="auto" w:fill="auto"/>
            <w:noWrap/>
            <w:vAlign w:val="bottom"/>
          </w:tcPr>
          <w:p w14:paraId="5A85EF42">
            <w:pPr>
              <w:widowControl/>
              <w:spacing w:line="240" w:lineRule="auto"/>
              <w:ind w:firstLine="0" w:firstLineChars="0"/>
              <w:jc w:val="center"/>
              <w:textAlignment w:val="bottom"/>
              <w:rPr>
                <w:color w:val="auto"/>
                <w:sz w:val="21"/>
                <w:szCs w:val="21"/>
              </w:rPr>
            </w:pPr>
            <w:r>
              <w:rPr>
                <w:color w:val="auto"/>
                <w:kern w:val="0"/>
                <w:sz w:val="21"/>
                <w:szCs w:val="21"/>
                <w:lang w:bidi="ar"/>
              </w:rPr>
              <w:t>29.88</w:t>
            </w:r>
          </w:p>
        </w:tc>
        <w:tc>
          <w:tcPr>
            <w:tcW w:w="635" w:type="pct"/>
            <w:tcBorders>
              <w:tl2br w:val="nil"/>
              <w:tr2bl w:val="nil"/>
            </w:tcBorders>
            <w:shd w:val="clear" w:color="auto" w:fill="auto"/>
            <w:noWrap/>
            <w:vAlign w:val="bottom"/>
          </w:tcPr>
          <w:p w14:paraId="5F38A412">
            <w:pPr>
              <w:widowControl/>
              <w:spacing w:line="240" w:lineRule="auto"/>
              <w:ind w:firstLine="0" w:firstLineChars="0"/>
              <w:jc w:val="center"/>
              <w:textAlignment w:val="bottom"/>
              <w:rPr>
                <w:color w:val="auto"/>
                <w:sz w:val="21"/>
                <w:szCs w:val="21"/>
              </w:rPr>
            </w:pPr>
            <w:r>
              <w:rPr>
                <w:color w:val="auto"/>
                <w:kern w:val="0"/>
                <w:sz w:val="21"/>
                <w:szCs w:val="21"/>
                <w:lang w:bidi="ar"/>
              </w:rPr>
              <w:t>21.48</w:t>
            </w:r>
          </w:p>
        </w:tc>
        <w:tc>
          <w:tcPr>
            <w:tcW w:w="575" w:type="pct"/>
            <w:tcBorders>
              <w:tl2br w:val="nil"/>
              <w:tr2bl w:val="nil"/>
            </w:tcBorders>
            <w:shd w:val="clear" w:color="auto" w:fill="auto"/>
            <w:noWrap/>
            <w:vAlign w:val="bottom"/>
          </w:tcPr>
          <w:p w14:paraId="1AFB325D">
            <w:pPr>
              <w:widowControl/>
              <w:spacing w:line="240" w:lineRule="auto"/>
              <w:ind w:firstLine="0" w:firstLineChars="0"/>
              <w:jc w:val="center"/>
              <w:textAlignment w:val="bottom"/>
              <w:rPr>
                <w:color w:val="auto"/>
                <w:sz w:val="21"/>
                <w:szCs w:val="21"/>
              </w:rPr>
            </w:pPr>
            <w:r>
              <w:rPr>
                <w:color w:val="auto"/>
                <w:kern w:val="0"/>
                <w:sz w:val="21"/>
                <w:szCs w:val="21"/>
                <w:lang w:bidi="ar"/>
              </w:rPr>
              <w:t>0.32</w:t>
            </w:r>
          </w:p>
        </w:tc>
        <w:tc>
          <w:tcPr>
            <w:tcW w:w="574" w:type="pct"/>
            <w:tcBorders>
              <w:tl2br w:val="nil"/>
              <w:tr2bl w:val="nil"/>
            </w:tcBorders>
            <w:vAlign w:val="bottom"/>
          </w:tcPr>
          <w:p w14:paraId="31C7DBE0">
            <w:pPr>
              <w:widowControl/>
              <w:spacing w:line="240" w:lineRule="auto"/>
              <w:ind w:firstLine="0" w:firstLineChars="0"/>
              <w:jc w:val="center"/>
              <w:textAlignment w:val="bottom"/>
              <w:rPr>
                <w:color w:val="auto"/>
                <w:sz w:val="21"/>
                <w:szCs w:val="21"/>
              </w:rPr>
            </w:pPr>
            <w:r>
              <w:rPr>
                <w:color w:val="auto"/>
                <w:kern w:val="0"/>
                <w:sz w:val="21"/>
                <w:szCs w:val="21"/>
                <w:lang w:bidi="ar"/>
              </w:rPr>
              <w:t>1.79</w:t>
            </w:r>
          </w:p>
        </w:tc>
        <w:tc>
          <w:tcPr>
            <w:tcW w:w="636" w:type="pct"/>
            <w:tcBorders>
              <w:tl2br w:val="nil"/>
              <w:tr2bl w:val="nil"/>
            </w:tcBorders>
            <w:vAlign w:val="bottom"/>
          </w:tcPr>
          <w:p w14:paraId="5B4ADBCB">
            <w:pPr>
              <w:widowControl/>
              <w:spacing w:line="240" w:lineRule="auto"/>
              <w:ind w:firstLine="0" w:firstLineChars="0"/>
              <w:jc w:val="center"/>
              <w:textAlignment w:val="bottom"/>
              <w:rPr>
                <w:color w:val="auto"/>
                <w:sz w:val="21"/>
                <w:szCs w:val="21"/>
              </w:rPr>
            </w:pPr>
            <w:r>
              <w:rPr>
                <w:color w:val="auto"/>
                <w:kern w:val="0"/>
                <w:sz w:val="21"/>
                <w:szCs w:val="21"/>
                <w:lang w:bidi="ar"/>
              </w:rPr>
              <w:t>0.084</w:t>
            </w:r>
          </w:p>
        </w:tc>
        <w:tc>
          <w:tcPr>
            <w:tcW w:w="634" w:type="pct"/>
            <w:tcBorders>
              <w:tl2br w:val="nil"/>
              <w:tr2bl w:val="nil"/>
            </w:tcBorders>
            <w:shd w:val="clear" w:color="auto" w:fill="auto"/>
            <w:noWrap/>
            <w:vAlign w:val="bottom"/>
          </w:tcPr>
          <w:p w14:paraId="61DED628">
            <w:pPr>
              <w:widowControl/>
              <w:spacing w:line="240" w:lineRule="auto"/>
              <w:ind w:firstLine="0" w:firstLineChars="0"/>
              <w:jc w:val="center"/>
              <w:textAlignment w:val="bottom"/>
              <w:rPr>
                <w:color w:val="auto"/>
                <w:sz w:val="21"/>
                <w:szCs w:val="21"/>
              </w:rPr>
            </w:pPr>
            <w:r>
              <w:rPr>
                <w:color w:val="auto"/>
                <w:kern w:val="0"/>
                <w:sz w:val="21"/>
                <w:szCs w:val="21"/>
                <w:lang w:bidi="ar"/>
              </w:rPr>
              <w:t>39.12</w:t>
            </w:r>
          </w:p>
        </w:tc>
        <w:tc>
          <w:tcPr>
            <w:tcW w:w="336" w:type="pct"/>
            <w:tcBorders>
              <w:tl2br w:val="nil"/>
              <w:tr2bl w:val="nil"/>
            </w:tcBorders>
            <w:shd w:val="clear" w:color="auto" w:fill="auto"/>
            <w:noWrap/>
            <w:vAlign w:val="bottom"/>
          </w:tcPr>
          <w:p w14:paraId="3CCAAD73">
            <w:pPr>
              <w:widowControl/>
              <w:spacing w:line="240" w:lineRule="auto"/>
              <w:ind w:firstLine="0" w:firstLineChars="0"/>
              <w:jc w:val="center"/>
              <w:textAlignment w:val="bottom"/>
              <w:rPr>
                <w:color w:val="auto"/>
                <w:sz w:val="21"/>
                <w:szCs w:val="21"/>
              </w:rPr>
            </w:pPr>
            <w:r>
              <w:rPr>
                <w:color w:val="auto"/>
                <w:kern w:val="0"/>
                <w:sz w:val="21"/>
                <w:szCs w:val="21"/>
                <w:lang w:bidi="ar"/>
              </w:rPr>
              <w:t>6.86</w:t>
            </w:r>
          </w:p>
        </w:tc>
      </w:tr>
      <w:tr w14:paraId="4B268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8" w:type="pct"/>
            <w:tcBorders>
              <w:tl2br w:val="nil"/>
              <w:tr2bl w:val="nil"/>
            </w:tcBorders>
            <w:shd w:val="clear" w:color="auto" w:fill="auto"/>
            <w:noWrap/>
            <w:vAlign w:val="center"/>
          </w:tcPr>
          <w:p w14:paraId="5A8126C9">
            <w:pPr>
              <w:spacing w:line="240" w:lineRule="auto"/>
              <w:ind w:firstLine="0" w:firstLineChars="0"/>
              <w:jc w:val="center"/>
              <w:rPr>
                <w:color w:val="auto"/>
                <w:sz w:val="21"/>
                <w:szCs w:val="21"/>
              </w:rPr>
            </w:pPr>
            <w:r>
              <w:rPr>
                <w:color w:val="auto"/>
                <w:sz w:val="21"/>
                <w:szCs w:val="21"/>
              </w:rPr>
              <w:t>12</w:t>
            </w:r>
          </w:p>
        </w:tc>
        <w:tc>
          <w:tcPr>
            <w:tcW w:w="532" w:type="pct"/>
            <w:tcBorders>
              <w:tl2br w:val="nil"/>
              <w:tr2bl w:val="nil"/>
            </w:tcBorders>
            <w:shd w:val="clear" w:color="auto" w:fill="auto"/>
            <w:noWrap/>
            <w:vAlign w:val="bottom"/>
          </w:tcPr>
          <w:p w14:paraId="27B9E1E9">
            <w:pPr>
              <w:widowControl/>
              <w:spacing w:line="240" w:lineRule="auto"/>
              <w:ind w:firstLine="0" w:firstLineChars="0"/>
              <w:jc w:val="center"/>
              <w:textAlignment w:val="bottom"/>
              <w:rPr>
                <w:color w:val="auto"/>
                <w:sz w:val="21"/>
                <w:szCs w:val="21"/>
              </w:rPr>
            </w:pPr>
            <w:r>
              <w:rPr>
                <w:color w:val="auto"/>
                <w:kern w:val="0"/>
                <w:sz w:val="21"/>
                <w:szCs w:val="21"/>
                <w:lang w:bidi="ar"/>
              </w:rPr>
              <w:t>313.2</w:t>
            </w:r>
          </w:p>
        </w:tc>
        <w:tc>
          <w:tcPr>
            <w:tcW w:w="636" w:type="pct"/>
            <w:tcBorders>
              <w:tl2br w:val="nil"/>
              <w:tr2bl w:val="nil"/>
            </w:tcBorders>
            <w:shd w:val="clear" w:color="auto" w:fill="auto"/>
            <w:noWrap/>
            <w:vAlign w:val="bottom"/>
          </w:tcPr>
          <w:p w14:paraId="211C68E9">
            <w:pPr>
              <w:widowControl/>
              <w:spacing w:line="240" w:lineRule="auto"/>
              <w:ind w:firstLine="0" w:firstLineChars="0"/>
              <w:jc w:val="center"/>
              <w:textAlignment w:val="bottom"/>
              <w:rPr>
                <w:color w:val="auto"/>
                <w:sz w:val="21"/>
                <w:szCs w:val="21"/>
              </w:rPr>
            </w:pPr>
            <w:r>
              <w:rPr>
                <w:color w:val="auto"/>
                <w:kern w:val="0"/>
                <w:sz w:val="21"/>
                <w:szCs w:val="21"/>
                <w:lang w:bidi="ar"/>
              </w:rPr>
              <w:t>26.76</w:t>
            </w:r>
          </w:p>
        </w:tc>
        <w:tc>
          <w:tcPr>
            <w:tcW w:w="635" w:type="pct"/>
            <w:tcBorders>
              <w:tl2br w:val="nil"/>
              <w:tr2bl w:val="nil"/>
            </w:tcBorders>
            <w:shd w:val="clear" w:color="auto" w:fill="auto"/>
            <w:noWrap/>
            <w:vAlign w:val="bottom"/>
          </w:tcPr>
          <w:p w14:paraId="59F16E23">
            <w:pPr>
              <w:widowControl/>
              <w:spacing w:line="240" w:lineRule="auto"/>
              <w:ind w:firstLine="0" w:firstLineChars="0"/>
              <w:jc w:val="center"/>
              <w:textAlignment w:val="bottom"/>
              <w:rPr>
                <w:color w:val="auto"/>
                <w:sz w:val="21"/>
                <w:szCs w:val="21"/>
              </w:rPr>
            </w:pPr>
            <w:r>
              <w:rPr>
                <w:color w:val="auto"/>
                <w:kern w:val="0"/>
                <w:sz w:val="21"/>
                <w:szCs w:val="21"/>
                <w:lang w:bidi="ar"/>
              </w:rPr>
              <w:t>20.16</w:t>
            </w:r>
          </w:p>
        </w:tc>
        <w:tc>
          <w:tcPr>
            <w:tcW w:w="575" w:type="pct"/>
            <w:tcBorders>
              <w:tl2br w:val="nil"/>
              <w:tr2bl w:val="nil"/>
            </w:tcBorders>
            <w:shd w:val="clear" w:color="auto" w:fill="auto"/>
            <w:noWrap/>
            <w:vAlign w:val="bottom"/>
          </w:tcPr>
          <w:p w14:paraId="1E1B1719">
            <w:pPr>
              <w:widowControl/>
              <w:spacing w:line="240" w:lineRule="auto"/>
              <w:ind w:firstLine="0" w:firstLineChars="0"/>
              <w:jc w:val="center"/>
              <w:textAlignment w:val="bottom"/>
              <w:rPr>
                <w:color w:val="auto"/>
                <w:sz w:val="21"/>
                <w:szCs w:val="21"/>
              </w:rPr>
            </w:pPr>
            <w:r>
              <w:rPr>
                <w:color w:val="auto"/>
                <w:kern w:val="0"/>
                <w:sz w:val="21"/>
                <w:szCs w:val="21"/>
                <w:lang w:bidi="ar"/>
              </w:rPr>
              <w:t>0.28</w:t>
            </w:r>
          </w:p>
        </w:tc>
        <w:tc>
          <w:tcPr>
            <w:tcW w:w="574" w:type="pct"/>
            <w:tcBorders>
              <w:tl2br w:val="nil"/>
              <w:tr2bl w:val="nil"/>
            </w:tcBorders>
            <w:vAlign w:val="bottom"/>
          </w:tcPr>
          <w:p w14:paraId="1051E085">
            <w:pPr>
              <w:widowControl/>
              <w:spacing w:line="240" w:lineRule="auto"/>
              <w:ind w:firstLine="0" w:firstLineChars="0"/>
              <w:jc w:val="center"/>
              <w:textAlignment w:val="bottom"/>
              <w:rPr>
                <w:color w:val="auto"/>
                <w:sz w:val="21"/>
                <w:szCs w:val="21"/>
              </w:rPr>
            </w:pPr>
            <w:r>
              <w:rPr>
                <w:color w:val="auto"/>
                <w:kern w:val="0"/>
                <w:sz w:val="21"/>
                <w:szCs w:val="21"/>
                <w:lang w:bidi="ar"/>
              </w:rPr>
              <w:t>1.43</w:t>
            </w:r>
          </w:p>
        </w:tc>
        <w:tc>
          <w:tcPr>
            <w:tcW w:w="636" w:type="pct"/>
            <w:tcBorders>
              <w:tl2br w:val="nil"/>
              <w:tr2bl w:val="nil"/>
            </w:tcBorders>
            <w:vAlign w:val="bottom"/>
          </w:tcPr>
          <w:p w14:paraId="301EF7E7">
            <w:pPr>
              <w:widowControl/>
              <w:spacing w:line="240" w:lineRule="auto"/>
              <w:ind w:firstLine="0" w:firstLineChars="0"/>
              <w:jc w:val="center"/>
              <w:textAlignment w:val="bottom"/>
              <w:rPr>
                <w:color w:val="auto"/>
                <w:sz w:val="21"/>
                <w:szCs w:val="21"/>
              </w:rPr>
            </w:pPr>
            <w:r>
              <w:rPr>
                <w:color w:val="auto"/>
                <w:kern w:val="0"/>
                <w:sz w:val="21"/>
                <w:szCs w:val="21"/>
                <w:lang w:bidi="ar"/>
              </w:rPr>
              <w:t>0.072</w:t>
            </w:r>
          </w:p>
        </w:tc>
        <w:tc>
          <w:tcPr>
            <w:tcW w:w="634" w:type="pct"/>
            <w:tcBorders>
              <w:tl2br w:val="nil"/>
              <w:tr2bl w:val="nil"/>
            </w:tcBorders>
            <w:shd w:val="clear" w:color="auto" w:fill="auto"/>
            <w:noWrap/>
            <w:vAlign w:val="bottom"/>
          </w:tcPr>
          <w:p w14:paraId="2F192B7E">
            <w:pPr>
              <w:widowControl/>
              <w:spacing w:line="240" w:lineRule="auto"/>
              <w:ind w:firstLine="0" w:firstLineChars="0"/>
              <w:jc w:val="center"/>
              <w:textAlignment w:val="bottom"/>
              <w:rPr>
                <w:color w:val="auto"/>
                <w:sz w:val="21"/>
                <w:szCs w:val="21"/>
              </w:rPr>
            </w:pPr>
            <w:r>
              <w:rPr>
                <w:color w:val="auto"/>
                <w:kern w:val="0"/>
                <w:sz w:val="21"/>
                <w:szCs w:val="21"/>
                <w:lang w:bidi="ar"/>
              </w:rPr>
              <w:t>33.40</w:t>
            </w:r>
          </w:p>
        </w:tc>
        <w:tc>
          <w:tcPr>
            <w:tcW w:w="336" w:type="pct"/>
            <w:tcBorders>
              <w:tl2br w:val="nil"/>
              <w:tr2bl w:val="nil"/>
            </w:tcBorders>
            <w:shd w:val="clear" w:color="auto" w:fill="auto"/>
            <w:noWrap/>
            <w:vAlign w:val="bottom"/>
          </w:tcPr>
          <w:p w14:paraId="73A63AB1">
            <w:pPr>
              <w:widowControl/>
              <w:spacing w:line="240" w:lineRule="auto"/>
              <w:ind w:firstLine="0" w:firstLineChars="0"/>
              <w:jc w:val="center"/>
              <w:textAlignment w:val="bottom"/>
              <w:rPr>
                <w:color w:val="auto"/>
                <w:sz w:val="21"/>
                <w:szCs w:val="21"/>
              </w:rPr>
            </w:pPr>
            <w:r>
              <w:rPr>
                <w:color w:val="auto"/>
                <w:kern w:val="0"/>
                <w:sz w:val="21"/>
                <w:szCs w:val="21"/>
                <w:lang w:bidi="ar"/>
              </w:rPr>
              <w:t>7.13</w:t>
            </w:r>
          </w:p>
        </w:tc>
      </w:tr>
      <w:tr w14:paraId="36AA5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1F4E65B9">
            <w:pPr>
              <w:spacing w:line="240" w:lineRule="auto"/>
              <w:ind w:firstLine="0" w:firstLineChars="0"/>
              <w:jc w:val="center"/>
              <w:rPr>
                <w:color w:val="auto"/>
                <w:sz w:val="21"/>
                <w:szCs w:val="21"/>
              </w:rPr>
            </w:pPr>
            <w:r>
              <w:rPr>
                <w:color w:val="auto"/>
                <w:sz w:val="21"/>
                <w:szCs w:val="21"/>
              </w:rPr>
              <w:t>均值</w:t>
            </w:r>
          </w:p>
        </w:tc>
        <w:tc>
          <w:tcPr>
            <w:tcW w:w="532" w:type="pct"/>
            <w:tcBorders>
              <w:tl2br w:val="nil"/>
              <w:tr2bl w:val="nil"/>
            </w:tcBorders>
            <w:shd w:val="clear" w:color="auto" w:fill="auto"/>
            <w:noWrap/>
            <w:vAlign w:val="bottom"/>
          </w:tcPr>
          <w:p w14:paraId="1DA1324A">
            <w:pPr>
              <w:widowControl/>
              <w:spacing w:line="240" w:lineRule="auto"/>
              <w:ind w:firstLine="0" w:firstLineChars="0"/>
              <w:jc w:val="center"/>
              <w:textAlignment w:val="bottom"/>
              <w:rPr>
                <w:color w:val="auto"/>
                <w:sz w:val="21"/>
                <w:szCs w:val="21"/>
              </w:rPr>
            </w:pPr>
            <w:r>
              <w:rPr>
                <w:color w:val="auto"/>
                <w:kern w:val="0"/>
                <w:sz w:val="21"/>
                <w:szCs w:val="21"/>
                <w:lang w:bidi="ar"/>
              </w:rPr>
              <w:t>239.3</w:t>
            </w:r>
          </w:p>
        </w:tc>
        <w:tc>
          <w:tcPr>
            <w:tcW w:w="636" w:type="pct"/>
            <w:tcBorders>
              <w:tl2br w:val="nil"/>
              <w:tr2bl w:val="nil"/>
            </w:tcBorders>
            <w:shd w:val="clear" w:color="auto" w:fill="auto"/>
            <w:noWrap/>
            <w:vAlign w:val="bottom"/>
          </w:tcPr>
          <w:p w14:paraId="4C1310AE">
            <w:pPr>
              <w:widowControl/>
              <w:spacing w:line="240" w:lineRule="auto"/>
              <w:ind w:firstLine="0" w:firstLineChars="0"/>
              <w:jc w:val="center"/>
              <w:textAlignment w:val="bottom"/>
              <w:rPr>
                <w:color w:val="auto"/>
                <w:sz w:val="21"/>
                <w:szCs w:val="21"/>
              </w:rPr>
            </w:pPr>
            <w:r>
              <w:rPr>
                <w:color w:val="auto"/>
                <w:kern w:val="0"/>
                <w:sz w:val="21"/>
                <w:szCs w:val="21"/>
                <w:lang w:bidi="ar"/>
              </w:rPr>
              <w:t>21.13</w:t>
            </w:r>
          </w:p>
        </w:tc>
        <w:tc>
          <w:tcPr>
            <w:tcW w:w="635" w:type="pct"/>
            <w:tcBorders>
              <w:tl2br w:val="nil"/>
              <w:tr2bl w:val="nil"/>
            </w:tcBorders>
            <w:shd w:val="clear" w:color="auto" w:fill="auto"/>
            <w:noWrap/>
            <w:vAlign w:val="bottom"/>
          </w:tcPr>
          <w:p w14:paraId="1273CE36">
            <w:pPr>
              <w:widowControl/>
              <w:spacing w:line="240" w:lineRule="auto"/>
              <w:ind w:firstLine="0" w:firstLineChars="0"/>
              <w:jc w:val="center"/>
              <w:textAlignment w:val="bottom"/>
              <w:rPr>
                <w:color w:val="auto"/>
                <w:sz w:val="21"/>
                <w:szCs w:val="21"/>
              </w:rPr>
            </w:pPr>
            <w:r>
              <w:rPr>
                <w:color w:val="auto"/>
                <w:kern w:val="0"/>
                <w:sz w:val="21"/>
                <w:szCs w:val="21"/>
                <w:lang w:bidi="ar"/>
              </w:rPr>
              <w:t>17.54</w:t>
            </w:r>
          </w:p>
        </w:tc>
        <w:tc>
          <w:tcPr>
            <w:tcW w:w="575" w:type="pct"/>
            <w:tcBorders>
              <w:tl2br w:val="nil"/>
              <w:tr2bl w:val="nil"/>
            </w:tcBorders>
            <w:shd w:val="clear" w:color="auto" w:fill="auto"/>
            <w:noWrap/>
            <w:vAlign w:val="bottom"/>
          </w:tcPr>
          <w:p w14:paraId="7FBAAFC6">
            <w:pPr>
              <w:widowControl/>
              <w:spacing w:line="240" w:lineRule="auto"/>
              <w:ind w:firstLine="0" w:firstLineChars="0"/>
              <w:jc w:val="center"/>
              <w:textAlignment w:val="bottom"/>
              <w:rPr>
                <w:color w:val="auto"/>
                <w:sz w:val="21"/>
                <w:szCs w:val="21"/>
              </w:rPr>
            </w:pPr>
            <w:r>
              <w:rPr>
                <w:color w:val="auto"/>
                <w:kern w:val="0"/>
                <w:sz w:val="21"/>
                <w:szCs w:val="21"/>
                <w:lang w:bidi="ar"/>
              </w:rPr>
              <w:t>0.46</w:t>
            </w:r>
          </w:p>
        </w:tc>
        <w:tc>
          <w:tcPr>
            <w:tcW w:w="574" w:type="pct"/>
            <w:tcBorders>
              <w:tl2br w:val="nil"/>
              <w:tr2bl w:val="nil"/>
            </w:tcBorders>
            <w:vAlign w:val="bottom"/>
          </w:tcPr>
          <w:p w14:paraId="37F64E0B">
            <w:pPr>
              <w:widowControl/>
              <w:spacing w:line="240" w:lineRule="auto"/>
              <w:ind w:firstLine="0" w:firstLineChars="0"/>
              <w:jc w:val="center"/>
              <w:textAlignment w:val="bottom"/>
              <w:rPr>
                <w:color w:val="auto"/>
                <w:sz w:val="21"/>
                <w:szCs w:val="21"/>
              </w:rPr>
            </w:pPr>
            <w:r>
              <w:rPr>
                <w:color w:val="auto"/>
                <w:kern w:val="0"/>
                <w:sz w:val="21"/>
                <w:szCs w:val="21"/>
                <w:lang w:bidi="ar"/>
              </w:rPr>
              <w:t>1.32</w:t>
            </w:r>
          </w:p>
        </w:tc>
        <w:tc>
          <w:tcPr>
            <w:tcW w:w="636" w:type="pct"/>
            <w:tcBorders>
              <w:tl2br w:val="nil"/>
              <w:tr2bl w:val="nil"/>
            </w:tcBorders>
            <w:vAlign w:val="bottom"/>
          </w:tcPr>
          <w:p w14:paraId="7F1CD36F">
            <w:pPr>
              <w:widowControl/>
              <w:spacing w:line="240" w:lineRule="auto"/>
              <w:ind w:firstLine="0" w:firstLineChars="0"/>
              <w:jc w:val="center"/>
              <w:textAlignment w:val="bottom"/>
              <w:rPr>
                <w:color w:val="auto"/>
                <w:sz w:val="21"/>
                <w:szCs w:val="21"/>
              </w:rPr>
            </w:pPr>
            <w:r>
              <w:rPr>
                <w:color w:val="auto"/>
                <w:kern w:val="0"/>
                <w:sz w:val="21"/>
                <w:szCs w:val="21"/>
                <w:lang w:bidi="ar"/>
              </w:rPr>
              <w:t>0.06</w:t>
            </w:r>
          </w:p>
        </w:tc>
        <w:tc>
          <w:tcPr>
            <w:tcW w:w="634" w:type="pct"/>
            <w:tcBorders>
              <w:tl2br w:val="nil"/>
              <w:tr2bl w:val="nil"/>
            </w:tcBorders>
            <w:shd w:val="clear" w:color="auto" w:fill="auto"/>
            <w:noWrap/>
            <w:vAlign w:val="bottom"/>
          </w:tcPr>
          <w:p w14:paraId="0FE8488E">
            <w:pPr>
              <w:widowControl/>
              <w:spacing w:line="240" w:lineRule="auto"/>
              <w:ind w:firstLine="0" w:firstLineChars="0"/>
              <w:jc w:val="center"/>
              <w:textAlignment w:val="bottom"/>
              <w:rPr>
                <w:color w:val="auto"/>
                <w:sz w:val="21"/>
                <w:szCs w:val="21"/>
              </w:rPr>
            </w:pPr>
            <w:r>
              <w:rPr>
                <w:color w:val="auto"/>
                <w:kern w:val="0"/>
                <w:sz w:val="21"/>
                <w:szCs w:val="21"/>
                <w:lang w:bidi="ar"/>
              </w:rPr>
              <w:t>27.91</w:t>
            </w:r>
          </w:p>
        </w:tc>
        <w:tc>
          <w:tcPr>
            <w:tcW w:w="336" w:type="pct"/>
            <w:tcBorders>
              <w:tl2br w:val="nil"/>
              <w:tr2bl w:val="nil"/>
            </w:tcBorders>
            <w:shd w:val="clear" w:color="auto" w:fill="auto"/>
            <w:noWrap/>
            <w:vAlign w:val="bottom"/>
          </w:tcPr>
          <w:p w14:paraId="5D34338B">
            <w:pPr>
              <w:widowControl/>
              <w:spacing w:line="240" w:lineRule="auto"/>
              <w:ind w:firstLine="0" w:firstLineChars="0"/>
              <w:jc w:val="center"/>
              <w:textAlignment w:val="bottom"/>
              <w:rPr>
                <w:color w:val="auto"/>
                <w:sz w:val="21"/>
                <w:szCs w:val="21"/>
              </w:rPr>
            </w:pPr>
            <w:r>
              <w:rPr>
                <w:color w:val="auto"/>
                <w:kern w:val="0"/>
                <w:sz w:val="21"/>
                <w:szCs w:val="21"/>
                <w:lang w:bidi="ar"/>
              </w:rPr>
              <w:t>6.17</w:t>
            </w:r>
          </w:p>
        </w:tc>
      </w:tr>
      <w:tr w14:paraId="23F5F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8" w:type="pct"/>
            <w:tcBorders>
              <w:tl2br w:val="nil"/>
              <w:tr2bl w:val="nil"/>
            </w:tcBorders>
            <w:shd w:val="clear" w:color="auto" w:fill="auto"/>
            <w:noWrap/>
            <w:vAlign w:val="center"/>
          </w:tcPr>
          <w:p w14:paraId="3F19E462">
            <w:pPr>
              <w:spacing w:line="240" w:lineRule="auto"/>
              <w:ind w:firstLine="0" w:firstLineChars="0"/>
              <w:jc w:val="center"/>
              <w:rPr>
                <w:color w:val="auto"/>
                <w:sz w:val="21"/>
                <w:szCs w:val="21"/>
              </w:rPr>
            </w:pPr>
            <w:r>
              <w:rPr>
                <w:color w:val="auto"/>
                <w:sz w:val="21"/>
                <w:szCs w:val="21"/>
              </w:rPr>
              <w:t>标准</w:t>
            </w:r>
          </w:p>
        </w:tc>
        <w:tc>
          <w:tcPr>
            <w:tcW w:w="532" w:type="pct"/>
            <w:tcBorders>
              <w:tl2br w:val="nil"/>
              <w:tr2bl w:val="nil"/>
            </w:tcBorders>
            <w:shd w:val="clear" w:color="auto" w:fill="auto"/>
            <w:noWrap/>
            <w:vAlign w:val="center"/>
          </w:tcPr>
          <w:p w14:paraId="5F5B5785">
            <w:pPr>
              <w:spacing w:line="240" w:lineRule="auto"/>
              <w:ind w:firstLine="0" w:firstLineChars="0"/>
              <w:jc w:val="center"/>
              <w:rPr>
                <w:color w:val="auto"/>
                <w:sz w:val="21"/>
                <w:szCs w:val="21"/>
              </w:rPr>
            </w:pPr>
            <w:r>
              <w:rPr>
                <w:rFonts w:hint="eastAsia"/>
                <w:color w:val="auto"/>
                <w:sz w:val="21"/>
                <w:szCs w:val="21"/>
              </w:rPr>
              <w:t>500</w:t>
            </w:r>
          </w:p>
        </w:tc>
        <w:tc>
          <w:tcPr>
            <w:tcW w:w="636" w:type="pct"/>
            <w:tcBorders>
              <w:tl2br w:val="nil"/>
              <w:tr2bl w:val="nil"/>
            </w:tcBorders>
            <w:shd w:val="clear" w:color="auto" w:fill="auto"/>
            <w:noWrap/>
            <w:vAlign w:val="center"/>
          </w:tcPr>
          <w:p w14:paraId="4E3973F0">
            <w:pPr>
              <w:spacing w:line="240" w:lineRule="auto"/>
              <w:ind w:firstLine="0" w:firstLineChars="0"/>
              <w:jc w:val="center"/>
              <w:rPr>
                <w:color w:val="auto"/>
                <w:sz w:val="21"/>
                <w:szCs w:val="21"/>
              </w:rPr>
            </w:pPr>
            <w:r>
              <w:rPr>
                <w:color w:val="auto"/>
                <w:sz w:val="21"/>
                <w:szCs w:val="21"/>
              </w:rPr>
              <w:t>50</w:t>
            </w:r>
          </w:p>
        </w:tc>
        <w:tc>
          <w:tcPr>
            <w:tcW w:w="635" w:type="pct"/>
            <w:tcBorders>
              <w:tl2br w:val="nil"/>
              <w:tr2bl w:val="nil"/>
            </w:tcBorders>
            <w:shd w:val="clear" w:color="auto" w:fill="auto"/>
            <w:noWrap/>
            <w:vAlign w:val="center"/>
          </w:tcPr>
          <w:p w14:paraId="0D21AA3D">
            <w:pPr>
              <w:spacing w:line="240" w:lineRule="auto"/>
              <w:ind w:firstLine="0" w:firstLineChars="0"/>
              <w:jc w:val="center"/>
              <w:rPr>
                <w:color w:val="auto"/>
                <w:sz w:val="21"/>
                <w:szCs w:val="21"/>
              </w:rPr>
            </w:pPr>
            <w:r>
              <w:rPr>
                <w:color w:val="auto"/>
                <w:sz w:val="21"/>
                <w:szCs w:val="21"/>
              </w:rPr>
              <w:t>45</w:t>
            </w:r>
          </w:p>
        </w:tc>
        <w:tc>
          <w:tcPr>
            <w:tcW w:w="575" w:type="pct"/>
            <w:tcBorders>
              <w:tl2br w:val="nil"/>
              <w:tr2bl w:val="nil"/>
            </w:tcBorders>
            <w:shd w:val="clear" w:color="auto" w:fill="auto"/>
            <w:noWrap/>
            <w:vAlign w:val="center"/>
          </w:tcPr>
          <w:p w14:paraId="5F8C96C9">
            <w:pPr>
              <w:spacing w:line="240" w:lineRule="auto"/>
              <w:ind w:firstLine="0" w:firstLineChars="0"/>
              <w:jc w:val="center"/>
              <w:rPr>
                <w:color w:val="auto"/>
                <w:sz w:val="21"/>
                <w:szCs w:val="21"/>
              </w:rPr>
            </w:pPr>
            <w:r>
              <w:rPr>
                <w:color w:val="auto"/>
                <w:sz w:val="21"/>
                <w:szCs w:val="21"/>
              </w:rPr>
              <w:t>5</w:t>
            </w:r>
          </w:p>
        </w:tc>
        <w:tc>
          <w:tcPr>
            <w:tcW w:w="574" w:type="pct"/>
            <w:tcBorders>
              <w:tl2br w:val="nil"/>
              <w:tr2bl w:val="nil"/>
            </w:tcBorders>
            <w:vAlign w:val="center"/>
          </w:tcPr>
          <w:p w14:paraId="2F8198CD">
            <w:pPr>
              <w:spacing w:line="240" w:lineRule="auto"/>
              <w:ind w:firstLine="0" w:firstLineChars="0"/>
              <w:jc w:val="center"/>
              <w:rPr>
                <w:color w:val="auto"/>
                <w:sz w:val="21"/>
                <w:szCs w:val="21"/>
              </w:rPr>
            </w:pPr>
            <w:r>
              <w:rPr>
                <w:rFonts w:hint="eastAsia"/>
                <w:color w:val="auto"/>
                <w:sz w:val="21"/>
                <w:szCs w:val="21"/>
              </w:rPr>
              <w:t>8</w:t>
            </w:r>
          </w:p>
        </w:tc>
        <w:tc>
          <w:tcPr>
            <w:tcW w:w="636" w:type="pct"/>
            <w:tcBorders>
              <w:tl2br w:val="nil"/>
              <w:tr2bl w:val="nil"/>
            </w:tcBorders>
            <w:vAlign w:val="center"/>
          </w:tcPr>
          <w:p w14:paraId="19CFCD03">
            <w:pPr>
              <w:spacing w:line="240" w:lineRule="auto"/>
              <w:ind w:firstLine="0" w:firstLineChars="0"/>
              <w:jc w:val="center"/>
              <w:rPr>
                <w:color w:val="auto"/>
                <w:sz w:val="21"/>
                <w:szCs w:val="21"/>
              </w:rPr>
            </w:pPr>
            <w:r>
              <w:rPr>
                <w:color w:val="auto"/>
                <w:sz w:val="21"/>
                <w:szCs w:val="21"/>
              </w:rPr>
              <w:t>0.5</w:t>
            </w:r>
          </w:p>
        </w:tc>
        <w:tc>
          <w:tcPr>
            <w:tcW w:w="634" w:type="pct"/>
            <w:tcBorders>
              <w:tl2br w:val="nil"/>
              <w:tr2bl w:val="nil"/>
            </w:tcBorders>
            <w:shd w:val="clear" w:color="auto" w:fill="auto"/>
            <w:noWrap/>
            <w:vAlign w:val="center"/>
          </w:tcPr>
          <w:p w14:paraId="53F8AC14">
            <w:pPr>
              <w:spacing w:line="240" w:lineRule="auto"/>
              <w:ind w:firstLine="0" w:firstLineChars="0"/>
              <w:jc w:val="center"/>
              <w:rPr>
                <w:color w:val="auto"/>
                <w:sz w:val="21"/>
                <w:szCs w:val="21"/>
              </w:rPr>
            </w:pPr>
            <w:r>
              <w:rPr>
                <w:rFonts w:hint="eastAsia"/>
                <w:color w:val="auto"/>
                <w:sz w:val="21"/>
                <w:szCs w:val="21"/>
              </w:rPr>
              <w:t>70</w:t>
            </w:r>
          </w:p>
        </w:tc>
        <w:tc>
          <w:tcPr>
            <w:tcW w:w="336" w:type="pct"/>
            <w:tcBorders>
              <w:tl2br w:val="nil"/>
              <w:tr2bl w:val="nil"/>
            </w:tcBorders>
            <w:shd w:val="clear" w:color="auto" w:fill="auto"/>
            <w:noWrap/>
            <w:vAlign w:val="center"/>
          </w:tcPr>
          <w:p w14:paraId="05EE59C1">
            <w:pPr>
              <w:spacing w:line="240" w:lineRule="auto"/>
              <w:ind w:firstLine="0" w:firstLineChars="0"/>
              <w:jc w:val="center"/>
              <w:rPr>
                <w:color w:val="auto"/>
                <w:sz w:val="21"/>
                <w:szCs w:val="21"/>
              </w:rPr>
            </w:pPr>
            <w:r>
              <w:rPr>
                <w:color w:val="auto"/>
                <w:sz w:val="21"/>
                <w:szCs w:val="21"/>
              </w:rPr>
              <w:t>15</w:t>
            </w:r>
          </w:p>
        </w:tc>
      </w:tr>
    </w:tbl>
    <w:p w14:paraId="2DFCF34C">
      <w:pPr>
        <w:ind w:firstLine="482"/>
        <w:rPr>
          <w:b/>
          <w:bCs/>
          <w:color w:val="auto"/>
        </w:rPr>
      </w:pPr>
      <w:r>
        <w:rPr>
          <w:rFonts w:hint="eastAsia"/>
          <w:b/>
          <w:bCs/>
          <w:color w:val="auto"/>
        </w:rPr>
        <w:t>2）本项目废水情况：</w:t>
      </w:r>
    </w:p>
    <w:p w14:paraId="5C0E69B3">
      <w:pPr>
        <w:ind w:firstLine="480"/>
        <w:rPr>
          <w:color w:val="auto"/>
        </w:rPr>
      </w:pPr>
      <w:r>
        <w:rPr>
          <w:rFonts w:hint="eastAsia"/>
          <w:color w:val="auto"/>
        </w:rPr>
        <w:t>本项目属于金属结构制造，本项目生产废水无高盐、难降解的物质，总锡和总铝经厂区污水处理系统处理后接管至开发区临港污水处理厂集中处理。本项目生产废水排放因子为pH、COD、SS、氨氮、总磷、总氮、总铝、石油类、总锡和LAS，不涉及总镍、总镉、总银、六价铬、总铅、总汞，生产废水总排口废水经预处理满足《电镀污染物排放标准》（GB21900-2008）、《污水综合排放标准》（GB8978-1996）、《污水排入城镇下水道水质标准》（GB/T31962-2015）以及开发区临港污水处理厂根据实际运行能力设定的接管要求后，拟接管至开发区临港污水处理厂处理。</w:t>
      </w:r>
    </w:p>
    <w:p w14:paraId="1D9EC734">
      <w:pPr>
        <w:ind w:firstLine="482"/>
        <w:rPr>
          <w:b/>
          <w:bCs/>
          <w:color w:val="auto"/>
        </w:rPr>
      </w:pPr>
      <w:r>
        <w:rPr>
          <w:rFonts w:hint="eastAsia"/>
          <w:b/>
          <w:bCs/>
          <w:color w:val="auto"/>
        </w:rPr>
        <w:t>五、开发区临港城镇污水处理厂调查</w:t>
      </w:r>
    </w:p>
    <w:p w14:paraId="6F4CD175">
      <w:pPr>
        <w:ind w:firstLine="480"/>
        <w:rPr>
          <w:color w:val="auto"/>
        </w:rPr>
      </w:pPr>
      <w:r>
        <w:rPr>
          <w:rFonts w:hint="eastAsia"/>
          <w:color w:val="auto"/>
        </w:rPr>
        <w:t>开发区临港</w:t>
      </w:r>
      <w:r>
        <w:rPr>
          <w:color w:val="auto"/>
        </w:rPr>
        <w:t>污水处理厂已建成处理规模</w:t>
      </w:r>
      <w:r>
        <w:rPr>
          <w:rFonts w:hint="eastAsia"/>
          <w:color w:val="auto"/>
        </w:rPr>
        <w:t>4.8</w:t>
      </w:r>
      <w:r>
        <w:rPr>
          <w:color w:val="auto"/>
        </w:rPr>
        <w:t>万m</w:t>
      </w:r>
      <w:r>
        <w:rPr>
          <w:color w:val="auto"/>
          <w:vertAlign w:val="superscript"/>
        </w:rPr>
        <w:t>3</w:t>
      </w:r>
      <w:r>
        <w:rPr>
          <w:color w:val="auto"/>
        </w:rPr>
        <w:t>/d，</w:t>
      </w:r>
      <w:r>
        <w:rPr>
          <w:rFonts w:hint="eastAsia"/>
          <w:color w:val="auto"/>
        </w:rPr>
        <w:t>剩余处理能力为18000t/d。污水处理厂</w:t>
      </w:r>
      <w:r>
        <w:rPr>
          <w:color w:val="auto"/>
        </w:rPr>
        <w:t>采用</w:t>
      </w:r>
      <w:r>
        <w:rPr>
          <w:rFonts w:hint="eastAsia"/>
          <w:color w:val="auto"/>
        </w:rPr>
        <w:t>“MSBR+高效混凝沉淀+转盘过滤+次氯酸钠消毒”工艺。</w:t>
      </w:r>
      <w:r>
        <w:rPr>
          <w:color w:val="auto"/>
        </w:rPr>
        <w:t>工艺流程简介如下：</w:t>
      </w:r>
    </w:p>
    <w:p w14:paraId="710C5EDA">
      <w:pPr>
        <w:ind w:firstLine="0" w:firstLineChars="0"/>
        <w:jc w:val="center"/>
        <w:rPr>
          <w:color w:val="auto"/>
        </w:rPr>
      </w:pPr>
      <w:r>
        <w:rPr>
          <w:rFonts w:hint="eastAsia"/>
          <w:b/>
          <w:color w:val="auto"/>
        </w:rPr>
        <w:drawing>
          <wp:inline distT="0" distB="0" distL="114300" distR="114300">
            <wp:extent cx="4259580" cy="3669030"/>
            <wp:effectExtent l="0" t="0" r="7620" b="7620"/>
            <wp:docPr id="61" name="图片 23" descr="微信图片_2021110917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descr="微信图片_20211109175820"/>
                    <pic:cNvPicPr>
                      <a:picLocks noChangeAspect="1"/>
                    </pic:cNvPicPr>
                  </pic:nvPicPr>
                  <pic:blipFill>
                    <a:blip r:embed="rId69"/>
                    <a:stretch>
                      <a:fillRect/>
                    </a:stretch>
                  </pic:blipFill>
                  <pic:spPr>
                    <a:xfrm>
                      <a:off x="0" y="0"/>
                      <a:ext cx="4259580" cy="3669030"/>
                    </a:xfrm>
                    <a:prstGeom prst="rect">
                      <a:avLst/>
                    </a:prstGeom>
                    <a:noFill/>
                    <a:ln>
                      <a:noFill/>
                    </a:ln>
                  </pic:spPr>
                </pic:pic>
              </a:graphicData>
            </a:graphic>
          </wp:inline>
        </w:drawing>
      </w:r>
    </w:p>
    <w:p w14:paraId="029FBA06">
      <w:pPr>
        <w:pStyle w:val="1841"/>
        <w:tabs>
          <w:tab w:val="left" w:pos="3960"/>
        </w:tabs>
        <w:spacing w:before="0" w:line="360" w:lineRule="auto"/>
        <w:ind w:firstLine="0" w:firstLineChars="0"/>
        <w:jc w:val="center"/>
        <w:rPr>
          <w:b/>
          <w:bCs w:val="0"/>
          <w:color w:val="auto"/>
        </w:rPr>
      </w:pPr>
      <w:r>
        <w:rPr>
          <w:rFonts w:hint="eastAsia"/>
          <w:b/>
          <w:bCs w:val="0"/>
          <w:color w:val="auto"/>
        </w:rPr>
        <w:t>图7.2.2-1  污水处理厂处理工艺流程图</w:t>
      </w:r>
    </w:p>
    <w:p w14:paraId="44B03027">
      <w:pPr>
        <w:ind w:firstLine="482"/>
        <w:rPr>
          <w:color w:val="auto"/>
        </w:rPr>
      </w:pPr>
      <w:r>
        <w:rPr>
          <w:rFonts w:hint="eastAsia"/>
          <w:b/>
          <w:bCs/>
          <w:color w:val="auto"/>
        </w:rPr>
        <w:t>六、纳管可行性评估</w:t>
      </w:r>
    </w:p>
    <w:p w14:paraId="363415F2">
      <w:pPr>
        <w:ind w:firstLine="480"/>
        <w:rPr>
          <w:color w:val="auto"/>
        </w:rPr>
      </w:pPr>
      <w:r>
        <w:rPr>
          <w:rFonts w:hint="eastAsia"/>
          <w:color w:val="auto"/>
        </w:rPr>
        <w:t>开发区临港污水处理厂</w:t>
      </w:r>
      <w:r>
        <w:rPr>
          <w:color w:val="auto"/>
        </w:rPr>
        <w:t>污水</w:t>
      </w:r>
      <w:r>
        <w:rPr>
          <w:rFonts w:hint="eastAsia"/>
          <w:color w:val="auto"/>
        </w:rPr>
        <w:t>服务范围主要由两部分组成：一是连云港临港新兴产业区西北片区，污水性质为工业废水和生活污水；二是连云新城（滨海新区）西南片区，主要以居住和公用设施用地为主，污水性质为生活污水。开发区临港污水处理厂处理尾水排放执行《城镇污水处理厂污染物排放标准》（GB18918-2002）一级A标准</w:t>
      </w:r>
      <w:r>
        <w:rPr>
          <w:color w:val="auto"/>
        </w:rPr>
        <w:t>。</w:t>
      </w:r>
    </w:p>
    <w:p w14:paraId="073AC43A">
      <w:pPr>
        <w:ind w:left="480" w:leftChars="200" w:firstLine="0" w:firstLineChars="0"/>
        <w:rPr>
          <w:color w:val="auto"/>
        </w:rPr>
      </w:pPr>
      <w:r>
        <w:rPr>
          <w:rFonts w:hint="eastAsia"/>
          <w:color w:val="auto"/>
        </w:rPr>
        <w:t>①</w:t>
      </w:r>
      <w:r>
        <w:rPr>
          <w:color w:val="auto"/>
        </w:rPr>
        <w:t>从水质接管可行性</w:t>
      </w:r>
    </w:p>
    <w:p w14:paraId="74869A57">
      <w:pPr>
        <w:ind w:firstLine="480"/>
        <w:rPr>
          <w:color w:val="auto"/>
        </w:rPr>
      </w:pPr>
      <w:r>
        <w:rPr>
          <w:rFonts w:hint="eastAsia"/>
          <w:color w:val="auto"/>
        </w:rPr>
        <w:t>本项目产生的废水主要为生产废水（酸碱废水、封孔废水和模具氮化工艺废水）、废气处理废水、氧化工段地面冲洗废水、循环冷却塔排水、纯水制备装置反冲洗废水、纯水制备装置再生废水和初期雨水进行分质收集，生产废水通过各股废水管道输送到污水处理站进行处理，总铝和总锡排放浓度分别达到《电镀污染物排放标准》（GB21900-2008）表3标准（2mg/L）和上海市地方标准《污水综合排放标准》（DB31/199-2018）表1中排放限值（5.0mg/L），含锡废水、含铝废水排放浓度较低，与厂内其他废水一同排入园区污水管网，厂区总排口锡排放浓度低于5mg/L、铝排放浓度低于2mg/L。根据开发区临港污水处理厂环评，未规定总锡和总铝污染物接管标准，本次污染物总锡和总铝经一道新材厂区内自建污水处理站处理达到《电镀污染物排放标准》（GB21900-2008）和上海市地方标准《污水综合排放标准》（DB31/199-2018）表1中排放限值直接排放标准后接入开发区临港污水处理厂；其他污染物浓度预处理满足《污水综合排放标准》（GB8978-1996）、《污水排入城镇下水道水质标准》（GB/T31962-2015）以及开发区临港污水处理厂根据实际运行能力设定的接管要求后，对污水处理厂产生的影响较小。</w:t>
      </w:r>
    </w:p>
    <w:p w14:paraId="6ADC016D">
      <w:pPr>
        <w:ind w:firstLine="480"/>
        <w:rPr>
          <w:color w:val="auto"/>
        </w:rPr>
      </w:pPr>
      <w:r>
        <w:rPr>
          <w:rFonts w:hint="eastAsia"/>
          <w:color w:val="auto"/>
        </w:rPr>
        <w:t>因此，项目废水排入开发区临港污水处理厂后，不会对污水处理厂废水处理工艺产生冲击。根据污水处理厂实际运行情况，项目废水处理达标后接管不会影响其正常运营，能够实现稳定达标排放。</w:t>
      </w:r>
    </w:p>
    <w:p w14:paraId="152F9C53">
      <w:pPr>
        <w:ind w:firstLine="480"/>
        <w:rPr>
          <w:color w:val="auto"/>
        </w:rPr>
      </w:pPr>
      <w:r>
        <w:rPr>
          <w:rFonts w:hint="eastAsia"/>
          <w:color w:val="auto"/>
        </w:rPr>
        <w:t>②从水量接管可行性</w:t>
      </w:r>
    </w:p>
    <w:p w14:paraId="5E8CDB04">
      <w:pPr>
        <w:ind w:firstLine="480"/>
        <w:rPr>
          <w:color w:val="auto"/>
        </w:rPr>
      </w:pPr>
      <w:r>
        <w:rPr>
          <w:rFonts w:hint="eastAsia"/>
          <w:color w:val="auto"/>
        </w:rPr>
        <w:t>开发区临港污水处理厂工程设计处理规模为4.8万t/d，剩余处理能力为18000t/d。拟建项目全厂建成后废水量879.27t/d，项目废水产生量不会对污水处理厂收水能力造成很大冲击。待本项目投产时，废水完全可以送园区污水处理厂统一处理，达标后排放，污水处理厂废水处理能力能够满足本项目的要求。</w:t>
      </w:r>
    </w:p>
    <w:p w14:paraId="5CBB1180">
      <w:pPr>
        <w:ind w:left="480" w:leftChars="200" w:firstLine="0" w:firstLineChars="0"/>
        <w:rPr>
          <w:color w:val="auto"/>
        </w:rPr>
      </w:pPr>
      <w:r>
        <w:rPr>
          <w:rFonts w:hint="eastAsia"/>
          <w:color w:val="auto"/>
        </w:rPr>
        <w:t>③</w:t>
      </w:r>
      <w:r>
        <w:rPr>
          <w:color w:val="auto"/>
        </w:rPr>
        <w:t>管网可行性</w:t>
      </w:r>
    </w:p>
    <w:p w14:paraId="0F9B4EAB">
      <w:pPr>
        <w:ind w:firstLine="480"/>
        <w:rPr>
          <w:color w:val="auto"/>
        </w:rPr>
      </w:pPr>
      <w:r>
        <w:rPr>
          <w:color w:val="auto"/>
        </w:rPr>
        <w:t>项目污水管网覆盖范围主要</w:t>
      </w:r>
      <w:r>
        <w:rPr>
          <w:rFonts w:hint="eastAsia"/>
          <w:color w:val="auto"/>
        </w:rPr>
        <w:t>连云港临港新兴产业区西北片区、连云新城（滨海新区）西南片区</w:t>
      </w:r>
      <w:r>
        <w:rPr>
          <w:color w:val="auto"/>
        </w:rPr>
        <w:t>，拟建项目位于</w:t>
      </w:r>
      <w:r>
        <w:rPr>
          <w:rFonts w:hint="eastAsia"/>
          <w:color w:val="auto"/>
        </w:rPr>
        <w:t>连云港临港新兴产业区西北片区</w:t>
      </w:r>
      <w:r>
        <w:rPr>
          <w:color w:val="auto"/>
        </w:rPr>
        <w:t>，位于污水处理厂收水范围内。目前污水处理厂已经稳定运营，</w:t>
      </w:r>
      <w:r>
        <w:rPr>
          <w:rFonts w:hint="eastAsia"/>
          <w:color w:val="auto"/>
        </w:rPr>
        <w:t>本项目在开发区临港污水处理厂接管范围内，管网已敷设到主干道，企业后续建设企业部分污水管网</w:t>
      </w:r>
      <w:r>
        <w:rPr>
          <w:color w:val="auto"/>
        </w:rPr>
        <w:t>。因此，从污水管网和时间角度分析，本项目废水接管至</w:t>
      </w:r>
      <w:r>
        <w:rPr>
          <w:rFonts w:hint="eastAsia"/>
          <w:color w:val="auto"/>
        </w:rPr>
        <w:t>开发区临港</w:t>
      </w:r>
      <w:r>
        <w:rPr>
          <w:color w:val="auto"/>
        </w:rPr>
        <w:t>污水处理厂是可行的。</w:t>
      </w:r>
    </w:p>
    <w:p w14:paraId="5425B090">
      <w:pPr>
        <w:ind w:left="480" w:leftChars="200" w:firstLine="0" w:firstLineChars="0"/>
        <w:rPr>
          <w:color w:val="auto"/>
        </w:rPr>
      </w:pPr>
      <w:r>
        <w:rPr>
          <w:rFonts w:hint="eastAsia"/>
          <w:color w:val="auto"/>
        </w:rPr>
        <w:t>④污水处理厂</w:t>
      </w:r>
      <w:r>
        <w:rPr>
          <w:color w:val="auto"/>
        </w:rPr>
        <w:t>运行情况</w:t>
      </w:r>
    </w:p>
    <w:p w14:paraId="44F3783A">
      <w:pPr>
        <w:ind w:firstLine="480"/>
        <w:rPr>
          <w:color w:val="auto"/>
        </w:rPr>
      </w:pPr>
      <w:r>
        <w:rPr>
          <w:rFonts w:hint="eastAsia"/>
          <w:color w:val="auto"/>
        </w:rPr>
        <w:t>开发区临港污水处理厂现状平稳运行，各污染物因子出水水质均值能满足《城镇污水处理厂污染物排放标准》（GB18918-2002）一级A标准、《电镀污染物排放标准》（GB21900-2008）以及开发区临港污水处理厂根据实际运行能力设定的接管要求</w:t>
      </w:r>
      <w:r>
        <w:rPr>
          <w:color w:val="auto"/>
        </w:rPr>
        <w:t>。</w:t>
      </w:r>
    </w:p>
    <w:p w14:paraId="4B5822D6">
      <w:pPr>
        <w:ind w:firstLine="480"/>
        <w:rPr>
          <w:color w:val="auto"/>
        </w:rPr>
      </w:pPr>
      <w:r>
        <w:rPr>
          <w:color w:val="auto"/>
        </w:rPr>
        <w:t>综上，本项目废水排放量为</w:t>
      </w:r>
      <w:r>
        <w:rPr>
          <w:rFonts w:hint="eastAsia"/>
          <w:color w:val="auto"/>
        </w:rPr>
        <w:t>879.27</w:t>
      </w:r>
      <w:r>
        <w:rPr>
          <w:color w:val="auto"/>
        </w:rPr>
        <w:t>t/d（</w:t>
      </w:r>
      <w:r>
        <w:rPr>
          <w:rFonts w:hint="eastAsia"/>
          <w:color w:val="auto"/>
        </w:rPr>
        <w:t>开发区临港污水处理厂</w:t>
      </w:r>
      <w:r>
        <w:rPr>
          <w:color w:val="auto"/>
        </w:rPr>
        <w:t>余量为</w:t>
      </w:r>
      <w:r>
        <w:rPr>
          <w:rFonts w:hint="eastAsia"/>
          <w:color w:val="auto"/>
        </w:rPr>
        <w:t>18</w:t>
      </w:r>
      <w:r>
        <w:rPr>
          <w:color w:val="auto"/>
        </w:rPr>
        <w:t>000t/d），其中含COD</w:t>
      </w:r>
      <w:r>
        <w:rPr>
          <w:rFonts w:hint="eastAsia"/>
          <w:color w:val="auto"/>
        </w:rPr>
        <w:t xml:space="preserve"> 55.538</w:t>
      </w:r>
      <w:r>
        <w:rPr>
          <w:color w:val="auto"/>
        </w:rPr>
        <w:t>t/a、SS</w:t>
      </w:r>
      <w:r>
        <w:rPr>
          <w:rFonts w:hint="eastAsia"/>
          <w:color w:val="auto"/>
        </w:rPr>
        <w:t xml:space="preserve"> 10.952t</w:t>
      </w:r>
      <w:r>
        <w:rPr>
          <w:color w:val="auto"/>
        </w:rPr>
        <w:t>/a、氨氮</w:t>
      </w:r>
      <w:r>
        <w:rPr>
          <w:rFonts w:hint="eastAsia"/>
          <w:color w:val="auto"/>
        </w:rPr>
        <w:t>5.047</w:t>
      </w:r>
      <w:r>
        <w:rPr>
          <w:color w:val="auto"/>
        </w:rPr>
        <w:t>t/a，总磷</w:t>
      </w:r>
      <w:r>
        <w:rPr>
          <w:rFonts w:hint="eastAsia"/>
          <w:color w:val="auto"/>
        </w:rPr>
        <w:t>0.1429</w:t>
      </w:r>
      <w:r>
        <w:rPr>
          <w:color w:val="auto"/>
        </w:rPr>
        <w:t>t/a，总氮</w:t>
      </w:r>
      <w:r>
        <w:rPr>
          <w:rFonts w:hint="eastAsia"/>
          <w:color w:val="auto"/>
        </w:rPr>
        <w:t>6.611</w:t>
      </w:r>
      <w:r>
        <w:rPr>
          <w:color w:val="auto"/>
        </w:rPr>
        <w:t>t/a，石油类</w:t>
      </w:r>
      <w:r>
        <w:rPr>
          <w:rFonts w:hint="eastAsia"/>
          <w:color w:val="auto"/>
        </w:rPr>
        <w:t>1.371</w:t>
      </w:r>
      <w:r>
        <w:rPr>
          <w:color w:val="auto"/>
        </w:rPr>
        <w:t>t/a，总铝</w:t>
      </w:r>
      <w:r>
        <w:rPr>
          <w:rFonts w:hint="eastAsia"/>
          <w:color w:val="auto"/>
        </w:rPr>
        <w:t>0.394t</w:t>
      </w:r>
      <w:r>
        <w:rPr>
          <w:color w:val="auto"/>
        </w:rPr>
        <w:t>/a</w:t>
      </w:r>
      <w:r>
        <w:rPr>
          <w:rFonts w:hint="eastAsia"/>
          <w:color w:val="auto"/>
        </w:rPr>
        <w:t>，总锡0.851t/a</w:t>
      </w:r>
      <w:r>
        <w:rPr>
          <w:rFonts w:hint="eastAsia"/>
          <w:bCs/>
          <w:color w:val="auto"/>
        </w:rPr>
        <w:t>，动植物油0.198t/a和盐分129.814t/a</w:t>
      </w:r>
      <w:r>
        <w:rPr>
          <w:color w:val="auto"/>
        </w:rPr>
        <w:t>。生产废水总排口排放废水经预处理满足《电镀污染物排放标准》（GB21900</w:t>
      </w:r>
      <w:r>
        <w:rPr>
          <w:rFonts w:hint="eastAsia"/>
          <w:color w:val="auto"/>
        </w:rPr>
        <w:t>-</w:t>
      </w:r>
      <w:r>
        <w:rPr>
          <w:color w:val="auto"/>
        </w:rPr>
        <w:t>2008）、《污水综合排放标准》（GB8978-1996）、《污水排入城镇下水道水质标准》（GB/T31962-2015）以及</w:t>
      </w:r>
      <w:r>
        <w:rPr>
          <w:rFonts w:hint="eastAsia"/>
          <w:color w:val="auto"/>
        </w:rPr>
        <w:t>开发区临港</w:t>
      </w:r>
      <w:r>
        <w:rPr>
          <w:color w:val="auto"/>
        </w:rPr>
        <w:t>污水处理厂根据实际运行能力设定的接管要求后。</w:t>
      </w:r>
      <w:bookmarkStart w:id="183" w:name="_Hlk148715591"/>
      <w:r>
        <w:rPr>
          <w:color w:val="auto"/>
        </w:rPr>
        <w:t>本项目接管废水中</w:t>
      </w:r>
      <w:r>
        <w:rPr>
          <w:rFonts w:hint="eastAsia"/>
          <w:color w:val="auto"/>
        </w:rPr>
        <w:t>总</w:t>
      </w:r>
      <w:r>
        <w:rPr>
          <w:color w:val="auto"/>
        </w:rPr>
        <w:t>铝</w:t>
      </w:r>
      <w:r>
        <w:rPr>
          <w:rFonts w:hint="eastAsia"/>
          <w:color w:val="auto"/>
        </w:rPr>
        <w:t>和总锡</w:t>
      </w:r>
      <w:r>
        <w:rPr>
          <w:color w:val="auto"/>
        </w:rPr>
        <w:t>浓度较低，</w:t>
      </w:r>
      <w:r>
        <w:rPr>
          <w:rFonts w:hint="eastAsia"/>
          <w:color w:val="auto"/>
        </w:rPr>
        <w:t>可</w:t>
      </w:r>
      <w:r>
        <w:rPr>
          <w:color w:val="auto"/>
        </w:rPr>
        <w:t>达到《电镀污染物排放标准》（GB21900</w:t>
      </w:r>
      <w:r>
        <w:rPr>
          <w:rFonts w:hint="eastAsia"/>
          <w:color w:val="auto"/>
        </w:rPr>
        <w:t>-</w:t>
      </w:r>
      <w:r>
        <w:rPr>
          <w:color w:val="auto"/>
        </w:rPr>
        <w:t>2008）表3水污染特别排放限值和上海市地方标准《污水综合排放标准》（DB31/199-2018）表1</w:t>
      </w:r>
      <w:r>
        <w:rPr>
          <w:rFonts w:hint="eastAsia"/>
          <w:color w:val="auto"/>
        </w:rPr>
        <w:t>中</w:t>
      </w:r>
      <w:r>
        <w:rPr>
          <w:color w:val="auto"/>
        </w:rPr>
        <w:t>排放限值要求，不会对污水处理厂工艺造成冲击。</w:t>
      </w:r>
      <w:bookmarkEnd w:id="183"/>
      <w:r>
        <w:rPr>
          <w:color w:val="auto"/>
        </w:rPr>
        <w:t>因此从水量、水质、管网敷设等角度分析，本项目污水接管可行。</w:t>
      </w:r>
    </w:p>
    <w:p w14:paraId="0F3D3673">
      <w:pPr>
        <w:keepNext/>
        <w:keepLines/>
        <w:spacing w:before="120" w:beforeLines="50"/>
        <w:ind w:firstLine="0" w:firstLineChars="0"/>
        <w:outlineLvl w:val="3"/>
        <w:rPr>
          <w:b/>
          <w:bCs/>
          <w:color w:val="auto"/>
        </w:rPr>
      </w:pPr>
      <w:r>
        <w:rPr>
          <w:rFonts w:hint="eastAsia"/>
          <w:b/>
          <w:bCs/>
          <w:color w:val="auto"/>
        </w:rPr>
        <w:t>7</w:t>
      </w:r>
      <w:r>
        <w:rPr>
          <w:b/>
          <w:bCs/>
          <w:color w:val="auto"/>
        </w:rPr>
        <w:t>.2.</w:t>
      </w:r>
      <w:r>
        <w:rPr>
          <w:rFonts w:hint="eastAsia"/>
          <w:b/>
          <w:bCs/>
          <w:color w:val="auto"/>
        </w:rPr>
        <w:t xml:space="preserve">2.4 </w:t>
      </w:r>
      <w:r>
        <w:rPr>
          <w:b/>
          <w:bCs/>
          <w:color w:val="auto"/>
        </w:rPr>
        <w:t>雨水污染防治措施</w:t>
      </w:r>
    </w:p>
    <w:p w14:paraId="3A5E90ED">
      <w:pPr>
        <w:ind w:firstLine="480"/>
        <w:rPr>
          <w:color w:val="auto"/>
        </w:rPr>
      </w:pPr>
      <w:r>
        <w:rPr>
          <w:color w:val="auto"/>
        </w:rPr>
        <w:t>本项目涉及阳极氧化工艺，参照电镀行业管理要求进行雨水管理，对照《江苏省重点行业工业企业雨水排放环境管理办法（</w:t>
      </w:r>
      <w:r>
        <w:rPr>
          <w:rFonts w:hint="eastAsia"/>
          <w:color w:val="auto"/>
        </w:rPr>
        <w:t>试</w:t>
      </w:r>
      <w:r>
        <w:rPr>
          <w:color w:val="auto"/>
        </w:rPr>
        <w:t>行）》要求，本项目将按要求制定雨水管理制度，已绘制管网分布图，标明雨水管网及排放口位置，本项目实施雨污分流、清污分流，严禁将生产废水和生活污水接入雨水收集系统，或出现溢流、渗漏进入雨水收集管网的现象，设计初期雨水池对初期雨水进行收集，收集后的初期雨水通过管网接入污水处理厂预处理达标后与生产废水一起接入城镇污水处理厂，与文件要求相符。</w:t>
      </w:r>
    </w:p>
    <w:p w14:paraId="58EAA1F2">
      <w:pPr>
        <w:keepNext/>
        <w:keepLines/>
        <w:spacing w:before="120" w:beforeLines="50"/>
        <w:ind w:firstLine="0" w:firstLineChars="0"/>
        <w:outlineLvl w:val="3"/>
        <w:rPr>
          <w:b/>
          <w:bCs/>
          <w:color w:val="auto"/>
        </w:rPr>
      </w:pPr>
      <w:r>
        <w:rPr>
          <w:rFonts w:hint="eastAsia"/>
          <w:b/>
          <w:bCs/>
          <w:color w:val="auto"/>
        </w:rPr>
        <w:t>7</w:t>
      </w:r>
      <w:r>
        <w:rPr>
          <w:b/>
          <w:bCs/>
          <w:color w:val="auto"/>
        </w:rPr>
        <w:t>.2.</w:t>
      </w:r>
      <w:r>
        <w:rPr>
          <w:rFonts w:hint="eastAsia"/>
          <w:b/>
          <w:bCs/>
          <w:color w:val="auto"/>
        </w:rPr>
        <w:t>2.5 其他</w:t>
      </w:r>
      <w:r>
        <w:rPr>
          <w:b/>
          <w:bCs/>
          <w:color w:val="auto"/>
        </w:rPr>
        <w:t>污染防治措施</w:t>
      </w:r>
    </w:p>
    <w:p w14:paraId="3C53B68D">
      <w:pPr>
        <w:ind w:firstLine="480"/>
        <w:rPr>
          <w:color w:val="auto"/>
        </w:rPr>
      </w:pPr>
      <w:r>
        <w:rPr>
          <w:color w:val="auto"/>
        </w:rPr>
        <w:t>（1）设置规范的雨水排放口、生产废水排放口以及综合废水</w:t>
      </w:r>
      <w:r>
        <w:rPr>
          <w:rFonts w:hint="eastAsia"/>
          <w:color w:val="auto"/>
          <w:lang w:eastAsia="zh-CN"/>
        </w:rPr>
        <w:t>排放</w:t>
      </w:r>
      <w:r>
        <w:rPr>
          <w:color w:val="auto"/>
        </w:rPr>
        <w:t>口，并且对雨水排放口和综合污水排放口实施监控，当pH、金属和COD等污染物浓度偏高时应启动应急措施，将超标的雨水和生活污水全部收集进入废水站处理后达标纳管，杜绝雨水和生活污水超标排放。</w:t>
      </w:r>
    </w:p>
    <w:p w14:paraId="728F1FCD">
      <w:pPr>
        <w:ind w:firstLine="480"/>
        <w:rPr>
          <w:color w:val="auto"/>
        </w:rPr>
      </w:pPr>
      <w:r>
        <w:rPr>
          <w:color w:val="auto"/>
        </w:rPr>
        <w:t>（2）企业工艺废水管道满足防腐、防渗漏要求；废水收集和排放系统等各类废水管网设置清晰，有流向、污染物种类等</w:t>
      </w:r>
      <w:r>
        <w:rPr>
          <w:rFonts w:hint="eastAsia"/>
          <w:color w:val="auto"/>
        </w:rPr>
        <w:t>标识</w:t>
      </w:r>
      <w:r>
        <w:rPr>
          <w:color w:val="auto"/>
        </w:rPr>
        <w:t>；氧化生产线全部架空设置，厂区地面实现全部硬化，满足防渗漏要求；雨污分流、清污分流和污水分质分流，并配套合适的废水处理设施。</w:t>
      </w:r>
    </w:p>
    <w:p w14:paraId="77C400D8">
      <w:pPr>
        <w:ind w:firstLine="480"/>
        <w:rPr>
          <w:color w:val="auto"/>
        </w:rPr>
      </w:pPr>
      <w:r>
        <w:rPr>
          <w:color w:val="auto"/>
        </w:rPr>
        <w:t>（3）生产车间的污水沟渠必须有防腐措施，采用架空明管或明沟套明管方式铺设污水管，车间各收集池/罐安装水位自动控制设备；同时各废水收集装置出水口设置有电导率仪器、电磁阀、水表，排水经由电导率仪控制含量，当含量超标时，电导率仪传感给电磁阀，电磁阀自动关闭并报警。</w:t>
      </w:r>
    </w:p>
    <w:p w14:paraId="35614499">
      <w:pPr>
        <w:ind w:firstLine="480"/>
        <w:rPr>
          <w:color w:val="auto"/>
        </w:rPr>
      </w:pPr>
      <w:r>
        <w:rPr>
          <w:color w:val="auto"/>
        </w:rPr>
        <w:t>（4）所有废水收集装置四周设置围堰，防止发生泄漏时废水漫流。</w:t>
      </w:r>
    </w:p>
    <w:p w14:paraId="6F916B3C">
      <w:pPr>
        <w:ind w:firstLine="480"/>
        <w:rPr>
          <w:color w:val="auto"/>
        </w:rPr>
      </w:pPr>
      <w:r>
        <w:rPr>
          <w:color w:val="auto"/>
        </w:rPr>
        <w:t>（5）加强与</w:t>
      </w:r>
      <w:r>
        <w:rPr>
          <w:rFonts w:hint="eastAsia"/>
          <w:color w:val="auto"/>
        </w:rPr>
        <w:t>开发区临港污水处理厂</w:t>
      </w:r>
      <w:r>
        <w:rPr>
          <w:color w:val="auto"/>
        </w:rPr>
        <w:t>的衔接沟通工作，防止车间事故性废水对</w:t>
      </w:r>
      <w:r>
        <w:rPr>
          <w:rFonts w:hint="eastAsia"/>
          <w:color w:val="auto"/>
        </w:rPr>
        <w:t>开发区临港污水处理厂</w:t>
      </w:r>
      <w:r>
        <w:rPr>
          <w:color w:val="auto"/>
        </w:rPr>
        <w:t>的损害，确保废水稳定达标排放。</w:t>
      </w:r>
    </w:p>
    <w:p w14:paraId="38CBCBD7">
      <w:pPr>
        <w:ind w:firstLine="480"/>
        <w:rPr>
          <w:color w:val="auto"/>
        </w:rPr>
      </w:pPr>
      <w:r>
        <w:rPr>
          <w:color w:val="auto"/>
        </w:rPr>
        <w:t>一旦发生事故，关闭雨水及污水排放口，消防废水、雨水等事故废水可通过雨水管道等自流进入事故池。事故废水进入事故池后，通过对事故废水进行水质监测分析，根据事故废水受污染程度分别采用限流分批方式送入污水处理系统进行处理的方法。</w:t>
      </w:r>
    </w:p>
    <w:p w14:paraId="7D57D86F">
      <w:pPr>
        <w:pStyle w:val="5"/>
        <w:spacing w:beforeLines="50" w:after="0"/>
        <w:ind w:firstLine="0" w:firstLineChars="0"/>
        <w:rPr>
          <w:color w:val="auto"/>
          <w:sz w:val="28"/>
          <w:szCs w:val="36"/>
        </w:rPr>
      </w:pPr>
      <w:r>
        <w:rPr>
          <w:rFonts w:hint="eastAsia"/>
          <w:color w:val="auto"/>
          <w:sz w:val="28"/>
          <w:szCs w:val="36"/>
        </w:rPr>
        <w:t>7</w:t>
      </w:r>
      <w:r>
        <w:rPr>
          <w:color w:val="auto"/>
          <w:sz w:val="28"/>
          <w:szCs w:val="36"/>
        </w:rPr>
        <w:t>.2.3 噪声污染防治措施评述</w:t>
      </w:r>
    </w:p>
    <w:p w14:paraId="2E1718A8">
      <w:pPr>
        <w:pStyle w:val="1841"/>
        <w:spacing w:before="0" w:line="360" w:lineRule="auto"/>
        <w:ind w:firstLine="480"/>
        <w:rPr>
          <w:color w:val="auto"/>
          <w:lang w:val="zh-CN"/>
        </w:rPr>
      </w:pPr>
      <w:r>
        <w:rPr>
          <w:color w:val="auto"/>
          <w:lang w:val="zh-CN"/>
        </w:rPr>
        <w:t>本项目主要噪声源设备为生产设备、风机和冷却塔等，其源强为80～90dB(A)。设计时尽量选用低噪声设备，采取隔声减振措施，高噪声设备尽量设置在室内，通过设备减振、厂房隔声等措施能较好</w:t>
      </w:r>
      <w:r>
        <w:rPr>
          <w:rFonts w:hint="eastAsia"/>
          <w:color w:val="auto"/>
          <w:lang w:val="zh-CN"/>
        </w:rPr>
        <w:t>地</w:t>
      </w:r>
      <w:r>
        <w:rPr>
          <w:color w:val="auto"/>
          <w:lang w:val="zh-CN"/>
        </w:rPr>
        <w:t>降低噪声对外环境的影响，具体防治措施如下：</w:t>
      </w:r>
    </w:p>
    <w:p w14:paraId="4719A219">
      <w:pPr>
        <w:pStyle w:val="1841"/>
        <w:spacing w:before="0" w:line="360" w:lineRule="auto"/>
        <w:ind w:firstLine="480"/>
        <w:rPr>
          <w:color w:val="auto"/>
          <w:lang w:val="zh-CN"/>
        </w:rPr>
      </w:pPr>
      <w:r>
        <w:rPr>
          <w:color w:val="auto"/>
          <w:lang w:val="zh-CN"/>
        </w:rPr>
        <w:t>（1）合理布局</w:t>
      </w:r>
    </w:p>
    <w:p w14:paraId="3D6C7458">
      <w:pPr>
        <w:pStyle w:val="1841"/>
        <w:spacing w:before="0" w:line="360" w:lineRule="auto"/>
        <w:ind w:firstLine="480"/>
        <w:rPr>
          <w:color w:val="auto"/>
          <w:lang w:val="zh-CN"/>
        </w:rPr>
      </w:pPr>
      <w:r>
        <w:rPr>
          <w:color w:val="auto"/>
          <w:lang w:val="zh-CN"/>
        </w:rPr>
        <w:t>本项目在平面布局尽量将高噪设备尽量布置在厂区靠中间位置，通过距离衰减减小高噪声设备对外环境的影响。</w:t>
      </w:r>
    </w:p>
    <w:p w14:paraId="04B836F4">
      <w:pPr>
        <w:pStyle w:val="1841"/>
        <w:spacing w:before="0" w:line="360" w:lineRule="auto"/>
        <w:ind w:firstLine="480"/>
        <w:rPr>
          <w:color w:val="auto"/>
          <w:lang w:val="zh-CN"/>
        </w:rPr>
      </w:pPr>
      <w:r>
        <w:rPr>
          <w:color w:val="auto"/>
          <w:lang w:val="zh-CN"/>
        </w:rPr>
        <w:t>（2）生产设备噪声控制</w:t>
      </w:r>
    </w:p>
    <w:p w14:paraId="2A20E018">
      <w:pPr>
        <w:pStyle w:val="1841"/>
        <w:spacing w:before="0" w:line="360" w:lineRule="auto"/>
        <w:ind w:firstLine="480"/>
        <w:rPr>
          <w:color w:val="auto"/>
          <w:lang w:val="zh-CN"/>
        </w:rPr>
      </w:pPr>
      <w:r>
        <w:rPr>
          <w:color w:val="auto"/>
          <w:lang w:val="zh-CN"/>
        </w:rPr>
        <w:t>生产设备选用性能优良、运行时噪声小的设备，设备安装时做好基础减振措施，并利用厂房墙体隔声。</w:t>
      </w:r>
    </w:p>
    <w:p w14:paraId="4A41CE10">
      <w:pPr>
        <w:pStyle w:val="1841"/>
        <w:spacing w:before="0" w:line="360" w:lineRule="auto"/>
        <w:ind w:firstLine="480"/>
        <w:rPr>
          <w:color w:val="auto"/>
          <w:lang w:val="zh-CN"/>
        </w:rPr>
      </w:pPr>
      <w:r>
        <w:rPr>
          <w:color w:val="auto"/>
          <w:lang w:val="zh-CN"/>
        </w:rPr>
        <w:t>（3）加强管理</w:t>
      </w:r>
    </w:p>
    <w:p w14:paraId="598B1161">
      <w:pPr>
        <w:pStyle w:val="1841"/>
        <w:spacing w:before="0" w:line="360" w:lineRule="auto"/>
        <w:ind w:firstLine="480"/>
        <w:rPr>
          <w:color w:val="auto"/>
          <w:lang w:val="zh-CN"/>
        </w:rPr>
      </w:pPr>
      <w:r>
        <w:rPr>
          <w:color w:val="auto"/>
          <w:lang w:val="zh-CN"/>
        </w:rPr>
        <w:t>加强噪声防治管理，降低人为噪声。从管理方面加强以下几个方面工作：</w:t>
      </w:r>
    </w:p>
    <w:p w14:paraId="4726A0B6">
      <w:pPr>
        <w:pStyle w:val="1841"/>
        <w:spacing w:before="0" w:line="360" w:lineRule="auto"/>
        <w:ind w:firstLine="480"/>
        <w:rPr>
          <w:color w:val="auto"/>
          <w:lang w:val="zh-CN"/>
        </w:rPr>
      </w:pPr>
      <w:r>
        <w:rPr>
          <w:color w:val="auto"/>
          <w:lang w:val="zh-CN"/>
        </w:rPr>
        <w:t>①建立设备定期维护、保养的管理制度，以防止设备故障形成的非正常生产噪声，同时确保环保措施发挥最有效的功能。</w:t>
      </w:r>
    </w:p>
    <w:p w14:paraId="2FF0443A">
      <w:pPr>
        <w:pStyle w:val="1841"/>
        <w:spacing w:before="0" w:line="360" w:lineRule="auto"/>
        <w:ind w:firstLine="480"/>
        <w:rPr>
          <w:color w:val="auto"/>
          <w:lang w:val="zh-CN"/>
        </w:rPr>
      </w:pPr>
      <w:r>
        <w:rPr>
          <w:color w:val="auto"/>
          <w:lang w:val="zh-CN"/>
        </w:rPr>
        <w:t>②加强职工环保意识教育，提倡文明生产，防止人为噪声。</w:t>
      </w:r>
    </w:p>
    <w:p w14:paraId="2F76444E">
      <w:pPr>
        <w:pStyle w:val="1841"/>
        <w:spacing w:before="0" w:line="360" w:lineRule="auto"/>
        <w:ind w:firstLine="480"/>
        <w:rPr>
          <w:color w:val="auto"/>
          <w:lang w:val="zh-CN"/>
        </w:rPr>
      </w:pPr>
      <w:r>
        <w:rPr>
          <w:color w:val="auto"/>
          <w:lang w:val="zh-CN"/>
        </w:rPr>
        <w:t>通过采取减振、隔声和消声等治理措施后，再经距离衰减后，该区域声环境影响较小，场界噪声能够满足《声环境质量标准》（GB3096-2008）中3类标准限值，其噪声污染防治措施可行。</w:t>
      </w:r>
    </w:p>
    <w:p w14:paraId="67273901">
      <w:pPr>
        <w:pStyle w:val="5"/>
        <w:spacing w:beforeLines="50" w:after="0"/>
        <w:ind w:firstLine="0" w:firstLineChars="0"/>
        <w:rPr>
          <w:color w:val="auto"/>
          <w:sz w:val="28"/>
          <w:szCs w:val="36"/>
        </w:rPr>
      </w:pPr>
      <w:r>
        <w:rPr>
          <w:rFonts w:hint="eastAsia"/>
          <w:color w:val="auto"/>
          <w:sz w:val="28"/>
          <w:szCs w:val="36"/>
        </w:rPr>
        <w:t>7.2.4 固废处理处置措施评述</w:t>
      </w:r>
    </w:p>
    <w:p w14:paraId="66C2BEF1">
      <w:pPr>
        <w:pStyle w:val="6"/>
        <w:spacing w:beforeLines="50" w:after="0" w:line="360" w:lineRule="auto"/>
        <w:ind w:firstLine="0" w:firstLineChars="0"/>
        <w:rPr>
          <w:color w:val="auto"/>
          <w:szCs w:val="32"/>
        </w:rPr>
      </w:pPr>
      <w:r>
        <w:rPr>
          <w:rFonts w:hint="eastAsia"/>
          <w:color w:val="auto"/>
          <w:szCs w:val="32"/>
        </w:rPr>
        <w:t>7.2.4.1 固废产生情况综述</w:t>
      </w:r>
    </w:p>
    <w:p w14:paraId="58240CC0">
      <w:pPr>
        <w:ind w:firstLine="482"/>
        <w:rPr>
          <w:b/>
          <w:bCs/>
          <w:color w:val="auto"/>
        </w:rPr>
      </w:pPr>
      <w:r>
        <w:rPr>
          <w:rFonts w:hint="eastAsia"/>
          <w:b/>
          <w:bCs/>
          <w:color w:val="auto"/>
        </w:rPr>
        <w:t>1、固废产生情况</w:t>
      </w:r>
    </w:p>
    <w:p w14:paraId="7A09FC7C">
      <w:pPr>
        <w:ind w:firstLine="480"/>
        <w:rPr>
          <w:color w:val="auto"/>
        </w:rPr>
      </w:pPr>
      <w:r>
        <w:rPr>
          <w:rFonts w:hint="eastAsia"/>
          <w:color w:val="auto"/>
        </w:rPr>
        <w:t>本项目固体废物主要有废边角料、废钢丸、废包装膜、不合格品、废包装材料、废模具、质检不合格品、封孔污泥、纯水制备产生的废弃物（废石英砂、废活性炭、废滤芯和废渗透膜、离子交换树脂）、废布袋、布袋收尘和化粪池污泥、废槽液、酸回收装置废膜、酸回收装置废膜、废研磨膏、废试剂瓶、废试剂、废化学品包装材料、废机油、</w:t>
      </w:r>
      <w:r>
        <w:rPr>
          <w:rFonts w:hint="eastAsia"/>
          <w:bCs/>
          <w:color w:val="auto"/>
        </w:rPr>
        <w:t>铝离子回收产生的废弃物（废渗析膜和废活性炭）、</w:t>
      </w:r>
      <w:r>
        <w:rPr>
          <w:rFonts w:hint="eastAsia"/>
          <w:color w:val="auto"/>
        </w:rPr>
        <w:t>废液压油、废油桶、废劳保用品、生活垃圾、厨余垃圾和隔油池废油。固体废物产生情况见表4.3.4-2。</w:t>
      </w:r>
    </w:p>
    <w:p w14:paraId="6C281FF9">
      <w:pPr>
        <w:ind w:firstLine="482"/>
        <w:rPr>
          <w:b/>
          <w:bCs/>
          <w:color w:val="auto"/>
        </w:rPr>
      </w:pPr>
      <w:r>
        <w:rPr>
          <w:rFonts w:hint="eastAsia"/>
          <w:b/>
          <w:bCs/>
          <w:color w:val="auto"/>
        </w:rPr>
        <w:t>2、固废处置情况</w:t>
      </w:r>
    </w:p>
    <w:p w14:paraId="5A5F8845">
      <w:pPr>
        <w:ind w:firstLine="480"/>
        <w:rPr>
          <w:color w:val="auto"/>
        </w:rPr>
      </w:pPr>
      <w:r>
        <w:rPr>
          <w:rFonts w:hint="eastAsia"/>
          <w:color w:val="auto"/>
        </w:rPr>
        <w:t>（1）项目生产过程中产生的废槽液、酸回收装置废膜、酸回收装置废膜、废研磨膏、废试剂瓶、废试剂、废化学品包装材料、废机油、铝离子回收产生的废弃物（废渗析膜和废活性炭）、废液压油、废油桶、废劳保用品均属于危险废物，委托有资质单位集中处置。</w:t>
      </w:r>
    </w:p>
    <w:p w14:paraId="1DFB9FCD">
      <w:pPr>
        <w:ind w:firstLine="480"/>
        <w:rPr>
          <w:color w:val="auto"/>
        </w:rPr>
      </w:pPr>
      <w:r>
        <w:rPr>
          <w:rFonts w:hint="eastAsia"/>
          <w:color w:val="auto"/>
        </w:rPr>
        <w:t>（2）项目生产过程产生的废边角料、废钢丸、废包装膜、不合格品、废包装材料、废模具、质检不合格品、封孔污泥、纯水制备产生的废弃物（废石英砂、废活性炭、废滤芯和废渗透膜、离子交换树脂）、废布袋、布袋收尘和化粪池污泥为一般固废，委托相关单位综合利用等方式处置或外售或交由环卫部门统一清运。</w:t>
      </w:r>
    </w:p>
    <w:p w14:paraId="592E420E">
      <w:pPr>
        <w:ind w:firstLine="480"/>
        <w:rPr>
          <w:color w:val="auto"/>
        </w:rPr>
      </w:pPr>
      <w:r>
        <w:rPr>
          <w:rFonts w:hint="eastAsia"/>
          <w:color w:val="auto"/>
        </w:rPr>
        <w:t>（3）生活垃圾交由环卫部门统一清运；厨余垃圾、隔油池废油妥善收集后交由有资质单位处置。</w:t>
      </w:r>
    </w:p>
    <w:p w14:paraId="5EA8F0F8">
      <w:pPr>
        <w:pStyle w:val="6"/>
        <w:spacing w:beforeLines="50" w:after="0" w:line="360" w:lineRule="auto"/>
        <w:ind w:firstLine="0" w:firstLineChars="0"/>
        <w:rPr>
          <w:color w:val="auto"/>
          <w:szCs w:val="32"/>
        </w:rPr>
      </w:pPr>
      <w:r>
        <w:rPr>
          <w:rFonts w:hint="eastAsia"/>
          <w:color w:val="auto"/>
          <w:szCs w:val="32"/>
        </w:rPr>
        <w:t>7.2.4.2 收集、贮存及运输过程污染防治措施</w:t>
      </w:r>
    </w:p>
    <w:p w14:paraId="12314ACA">
      <w:pPr>
        <w:ind w:firstLine="482"/>
        <w:rPr>
          <w:b/>
          <w:bCs/>
          <w:color w:val="auto"/>
          <w:szCs w:val="32"/>
        </w:rPr>
      </w:pPr>
      <w:r>
        <w:rPr>
          <w:rFonts w:hint="eastAsia"/>
          <w:b/>
          <w:bCs/>
          <w:color w:val="auto"/>
          <w:szCs w:val="32"/>
        </w:rPr>
        <w:t>1、危险废物收集过程要求</w:t>
      </w:r>
    </w:p>
    <w:p w14:paraId="080EE20E">
      <w:pPr>
        <w:ind w:firstLine="480"/>
        <w:rPr>
          <w:color w:val="auto"/>
          <w:szCs w:val="32"/>
        </w:rPr>
      </w:pPr>
      <w:r>
        <w:rPr>
          <w:rFonts w:hint="eastAsia"/>
          <w:color w:val="auto"/>
          <w:szCs w:val="32"/>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3E02EF2E">
      <w:pPr>
        <w:ind w:firstLine="482"/>
        <w:rPr>
          <w:b/>
          <w:bCs/>
          <w:color w:val="auto"/>
          <w:szCs w:val="32"/>
        </w:rPr>
      </w:pPr>
      <w:r>
        <w:rPr>
          <w:rFonts w:hint="eastAsia"/>
          <w:b/>
          <w:bCs/>
          <w:color w:val="auto"/>
          <w:szCs w:val="32"/>
        </w:rPr>
        <w:t>2、固体废物贮存场所建设要求</w:t>
      </w:r>
    </w:p>
    <w:p w14:paraId="119E851D">
      <w:pPr>
        <w:ind w:firstLine="480"/>
        <w:rPr>
          <w:color w:val="auto"/>
          <w:szCs w:val="32"/>
        </w:rPr>
      </w:pPr>
      <w:r>
        <w:rPr>
          <w:rFonts w:hint="eastAsia"/>
          <w:color w:val="auto"/>
          <w:szCs w:val="32"/>
        </w:rPr>
        <w:t>厂区内危险废物暂存场地应按《危险废物贮存污染控制》（GB18597-2023）和《省生态环境厅关于印发〈江苏省固体废物全过程环境监管工作意见〉的通知》（苏环办〔2024〕16号）要求设置，要求做到以下几点：</w:t>
      </w:r>
    </w:p>
    <w:p w14:paraId="0965755E">
      <w:pPr>
        <w:ind w:firstLine="480"/>
        <w:rPr>
          <w:color w:val="auto"/>
          <w:szCs w:val="32"/>
        </w:rPr>
      </w:pPr>
      <w:r>
        <w:rPr>
          <w:rFonts w:hint="eastAsia"/>
          <w:color w:val="auto"/>
          <w:szCs w:val="32"/>
        </w:rPr>
        <w:t>（1）贮存设施按《环境保护图形标志》</w:t>
      </w:r>
      <w:r>
        <w:rPr>
          <w:rFonts w:hint="eastAsia"/>
          <w:color w:val="auto"/>
          <w:szCs w:val="32"/>
          <w:lang w:eastAsia="zh-CN"/>
        </w:rPr>
        <w:t>（</w:t>
      </w:r>
      <w:r>
        <w:rPr>
          <w:rFonts w:hint="eastAsia"/>
          <w:color w:val="auto"/>
          <w:szCs w:val="32"/>
        </w:rPr>
        <w:t>GB15562-1995）的规定设置警示标志；</w:t>
      </w:r>
    </w:p>
    <w:p w14:paraId="145443BC">
      <w:pPr>
        <w:ind w:firstLine="480"/>
        <w:rPr>
          <w:color w:val="auto"/>
          <w:szCs w:val="32"/>
        </w:rPr>
      </w:pPr>
      <w:r>
        <w:rPr>
          <w:rFonts w:hint="eastAsia"/>
          <w:color w:val="auto"/>
          <w:szCs w:val="32"/>
        </w:rPr>
        <w:t>（2）贮存设施周围设置围墙或其他防护栅栏；</w:t>
      </w:r>
    </w:p>
    <w:p w14:paraId="7FB739B1">
      <w:pPr>
        <w:ind w:firstLine="480"/>
        <w:rPr>
          <w:color w:val="auto"/>
          <w:szCs w:val="32"/>
        </w:rPr>
      </w:pPr>
      <w:r>
        <w:rPr>
          <w:rFonts w:hint="eastAsia"/>
          <w:color w:val="auto"/>
          <w:szCs w:val="32"/>
        </w:rPr>
        <w:t>（3）贮存设施设置防渗、防雨、防漏等防范措施；</w:t>
      </w:r>
    </w:p>
    <w:p w14:paraId="332D368F">
      <w:pPr>
        <w:ind w:firstLine="480"/>
        <w:rPr>
          <w:color w:val="auto"/>
          <w:szCs w:val="32"/>
        </w:rPr>
      </w:pPr>
      <w:r>
        <w:rPr>
          <w:rFonts w:hint="eastAsia"/>
          <w:color w:val="auto"/>
          <w:szCs w:val="32"/>
        </w:rPr>
        <w:t>（4）贮存设施配备通讯设备、照明设施、安全防护服装及工具，并设有应急防护设施；</w:t>
      </w:r>
    </w:p>
    <w:p w14:paraId="6892DE25">
      <w:pPr>
        <w:ind w:firstLine="480"/>
        <w:rPr>
          <w:color w:val="auto"/>
          <w:szCs w:val="32"/>
        </w:rPr>
      </w:pPr>
      <w:r>
        <w:rPr>
          <w:rFonts w:hint="eastAsia"/>
          <w:color w:val="auto"/>
          <w:szCs w:val="32"/>
        </w:rPr>
        <w:t>（5）贮存设施内清理出来的泄漏物，一律按危险废物处理。</w:t>
      </w:r>
    </w:p>
    <w:p w14:paraId="6561153E">
      <w:pPr>
        <w:ind w:firstLine="480"/>
        <w:rPr>
          <w:color w:val="auto"/>
          <w:szCs w:val="32"/>
        </w:rPr>
      </w:pPr>
      <w:r>
        <w:rPr>
          <w:rFonts w:hint="eastAsia"/>
          <w:color w:val="auto"/>
          <w:szCs w:val="32"/>
        </w:rPr>
        <w:t>危险废物运输中应做到以下几点：</w:t>
      </w:r>
    </w:p>
    <w:p w14:paraId="5878E9A0">
      <w:pPr>
        <w:ind w:firstLine="480"/>
        <w:rPr>
          <w:color w:val="auto"/>
          <w:szCs w:val="32"/>
        </w:rPr>
      </w:pPr>
      <w:r>
        <w:rPr>
          <w:rFonts w:hint="eastAsia"/>
          <w:color w:val="auto"/>
          <w:szCs w:val="32"/>
        </w:rPr>
        <w:t>（1）危险废物的运输车辆须经主管单位检查，并持有有关单位签发的许可证，负责运输的司机应通过培训，持有证明文件。</w:t>
      </w:r>
    </w:p>
    <w:p w14:paraId="31A793DD">
      <w:pPr>
        <w:ind w:firstLine="480"/>
        <w:rPr>
          <w:color w:val="auto"/>
          <w:szCs w:val="32"/>
        </w:rPr>
      </w:pPr>
      <w:r>
        <w:rPr>
          <w:rFonts w:hint="eastAsia"/>
          <w:color w:val="auto"/>
          <w:szCs w:val="32"/>
        </w:rPr>
        <w:t>（2）承载危险废物的车辆须有明显的标志或适当的危险符号，以引起注意。</w:t>
      </w:r>
    </w:p>
    <w:p w14:paraId="04E05EFA">
      <w:pPr>
        <w:ind w:firstLine="480"/>
        <w:rPr>
          <w:color w:val="auto"/>
          <w:szCs w:val="32"/>
        </w:rPr>
      </w:pPr>
      <w:r>
        <w:rPr>
          <w:rFonts w:hint="eastAsia"/>
          <w:color w:val="auto"/>
          <w:szCs w:val="32"/>
        </w:rPr>
        <w:t>（3）载有危险废物的车辆在公路上行驶时，需持有运输许可证，其上应注明废物来源、性质和运往地点。</w:t>
      </w:r>
    </w:p>
    <w:p w14:paraId="2EA8608F">
      <w:pPr>
        <w:ind w:firstLine="480"/>
        <w:rPr>
          <w:color w:val="auto"/>
          <w:szCs w:val="32"/>
        </w:rPr>
      </w:pPr>
      <w:r>
        <w:rPr>
          <w:rFonts w:hint="eastAsia"/>
          <w:color w:val="auto"/>
          <w:szCs w:val="32"/>
        </w:rPr>
        <w:t>以上固体废物严格按照上述措施处理处置和利用后，对周围环境及人体不会产生影响，也不会造成二次污染，所采取的治理措施是可行。</w:t>
      </w:r>
    </w:p>
    <w:p w14:paraId="0C8D0939">
      <w:pPr>
        <w:pStyle w:val="6"/>
        <w:spacing w:beforeLines="50" w:after="0" w:line="360" w:lineRule="auto"/>
        <w:ind w:firstLine="0" w:firstLineChars="0"/>
        <w:rPr>
          <w:color w:val="auto"/>
          <w:szCs w:val="32"/>
        </w:rPr>
      </w:pPr>
      <w:r>
        <w:rPr>
          <w:rFonts w:hint="eastAsia"/>
          <w:color w:val="auto"/>
          <w:szCs w:val="32"/>
        </w:rPr>
        <w:t>7.2.4.3 贮存场所污染防治措施可行性分析</w:t>
      </w:r>
    </w:p>
    <w:p w14:paraId="19A776D3">
      <w:pPr>
        <w:ind w:firstLine="482"/>
        <w:rPr>
          <w:b/>
          <w:bCs/>
          <w:color w:val="auto"/>
          <w:szCs w:val="32"/>
        </w:rPr>
      </w:pPr>
      <w:r>
        <w:rPr>
          <w:rFonts w:hint="eastAsia"/>
          <w:b/>
          <w:bCs/>
          <w:color w:val="auto"/>
          <w:szCs w:val="32"/>
        </w:rPr>
        <w:t>1、危险废物暂存库、污泥堆场</w:t>
      </w:r>
    </w:p>
    <w:p w14:paraId="48862916">
      <w:pPr>
        <w:ind w:firstLine="480"/>
        <w:rPr>
          <w:color w:val="auto"/>
          <w:szCs w:val="32"/>
        </w:rPr>
      </w:pPr>
      <w:r>
        <w:rPr>
          <w:rFonts w:hint="eastAsia"/>
          <w:color w:val="auto"/>
          <w:szCs w:val="32"/>
        </w:rPr>
        <w:t>项目新建的危废仓库、污泥堆场根据《危险废物贮存污染控制标准》(GB18597-2023)、省生态环境厅关于印发《江苏省固体废物全过程环境监管工作意见》（苏环办〔2024〕16号）、《省生态环境厅关于做好江苏省危险废物全生命周期监控系统上线运行工作的通知》（苏环办〔2020〕401）对危险废物贮存的要求，设置防雨、防火、防雷、防扬散、防渗漏装置及泄漏液体收集装置：</w:t>
      </w:r>
    </w:p>
    <w:p w14:paraId="5DE2FFD1">
      <w:pPr>
        <w:ind w:firstLine="480"/>
        <w:rPr>
          <w:color w:val="auto"/>
          <w:szCs w:val="32"/>
        </w:rPr>
      </w:pPr>
      <w:r>
        <w:rPr>
          <w:rFonts w:hint="eastAsia"/>
          <w:color w:val="auto"/>
          <w:szCs w:val="32"/>
        </w:rPr>
        <w:t>在危险废物贮存场所建设时应包括以下措施：</w:t>
      </w:r>
    </w:p>
    <w:p w14:paraId="687CD20F">
      <w:pPr>
        <w:ind w:firstLine="480"/>
        <w:rPr>
          <w:color w:val="auto"/>
          <w:szCs w:val="32"/>
        </w:rPr>
      </w:pPr>
      <w:r>
        <w:rPr>
          <w:rFonts w:hint="eastAsia"/>
          <w:color w:val="auto"/>
          <w:szCs w:val="32"/>
        </w:rPr>
        <w:t>①贮存设施应根据危险废物的形态、物理化学性质、包装形式和污染物迁移途径，采取必要的防风、防晒、防雨、防漏、防渗、防腐以及其他环境污染防治措施，不应露天堆放危险废物。</w:t>
      </w:r>
    </w:p>
    <w:p w14:paraId="17938130">
      <w:pPr>
        <w:ind w:firstLine="480"/>
        <w:rPr>
          <w:color w:val="auto"/>
          <w:szCs w:val="32"/>
        </w:rPr>
      </w:pPr>
      <w:r>
        <w:rPr>
          <w:rFonts w:hint="eastAsia"/>
          <w:color w:val="auto"/>
          <w:szCs w:val="32"/>
        </w:rPr>
        <w:t>②贮存设施应根据危险废物的类别、数量、形态、物理化学性质和污染防治等要求设置必要的贮存分区，避免不相容的危险废物接触、混合。</w:t>
      </w:r>
    </w:p>
    <w:p w14:paraId="10CFCBF5">
      <w:pPr>
        <w:ind w:firstLine="480"/>
        <w:rPr>
          <w:color w:val="auto"/>
          <w:szCs w:val="32"/>
        </w:rPr>
      </w:pPr>
      <w:r>
        <w:rPr>
          <w:rFonts w:hint="eastAsia"/>
          <w:color w:val="auto"/>
          <w:szCs w:val="32"/>
        </w:rPr>
        <w:t>③贮存设施或贮存分区内地面、墙面</w:t>
      </w:r>
      <w:r>
        <w:rPr>
          <w:rFonts w:hint="eastAsia"/>
          <w:color w:val="auto"/>
          <w:szCs w:val="32"/>
          <w:lang w:eastAsia="zh-CN"/>
        </w:rPr>
        <w:t>裙角</w:t>
      </w:r>
      <w:r>
        <w:rPr>
          <w:rFonts w:hint="eastAsia"/>
          <w:color w:val="auto"/>
          <w:szCs w:val="32"/>
        </w:rPr>
        <w:t>、堵截泄漏的围堰、接触危险废物的隔板和墙体等应采用坚固的材料建造，表面无裂缝。</w:t>
      </w:r>
    </w:p>
    <w:p w14:paraId="0ED02E5A">
      <w:pPr>
        <w:ind w:firstLine="480"/>
        <w:rPr>
          <w:color w:val="auto"/>
          <w:szCs w:val="32"/>
        </w:rPr>
      </w:pPr>
      <w:r>
        <w:rPr>
          <w:rFonts w:hint="eastAsia"/>
          <w:color w:val="auto"/>
          <w:szCs w:val="32"/>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auto"/>
          <w:szCs w:val="32"/>
          <w:vertAlign w:val="superscript"/>
        </w:rPr>
        <w:t>-7</w:t>
      </w:r>
      <w:r>
        <w:rPr>
          <w:rFonts w:hint="eastAsia"/>
          <w:color w:val="auto"/>
          <w:szCs w:val="32"/>
        </w:rPr>
        <w:t>cm/s），或至少2mm厚高密度聚乙烯膜等人工防渗材料（渗透系数不大于10</w:t>
      </w:r>
      <w:r>
        <w:rPr>
          <w:rFonts w:hint="eastAsia"/>
          <w:color w:val="auto"/>
          <w:szCs w:val="32"/>
          <w:vertAlign w:val="superscript"/>
        </w:rPr>
        <w:t>-10</w:t>
      </w:r>
      <w:r>
        <w:rPr>
          <w:rFonts w:hint="eastAsia"/>
          <w:color w:val="auto"/>
          <w:szCs w:val="32"/>
        </w:rPr>
        <w:t>cm/s），或其他防渗性能等效的材料。</w:t>
      </w:r>
    </w:p>
    <w:p w14:paraId="638EFCF3">
      <w:pPr>
        <w:ind w:firstLine="480"/>
        <w:rPr>
          <w:color w:val="auto"/>
          <w:szCs w:val="32"/>
        </w:rPr>
      </w:pPr>
      <w:r>
        <w:rPr>
          <w:rFonts w:hint="eastAsia"/>
          <w:color w:val="auto"/>
          <w:szCs w:val="32"/>
        </w:rPr>
        <w:t>⑤同一贮存设施宜采用相同的防渗、防腐工艺（包括防渗、防腐结构或材料），防渗、防腐材料应覆盖所有可能与废物及其渗滤液、渗漏液等接触的构筑物表面；采用不同防渗、防腐工艺应分别建设贮存分区。</w:t>
      </w:r>
    </w:p>
    <w:p w14:paraId="7F8AD056">
      <w:pPr>
        <w:ind w:firstLine="480"/>
        <w:rPr>
          <w:color w:val="auto"/>
          <w:szCs w:val="32"/>
        </w:rPr>
      </w:pPr>
      <w:r>
        <w:rPr>
          <w:rFonts w:hint="eastAsia"/>
          <w:color w:val="auto"/>
          <w:szCs w:val="32"/>
        </w:rPr>
        <w:t>⑥贮存设施应采取技术和管理措施防止无关人员进入。</w:t>
      </w:r>
    </w:p>
    <w:p w14:paraId="0B678030">
      <w:pPr>
        <w:ind w:firstLine="480"/>
        <w:rPr>
          <w:color w:val="auto"/>
          <w:szCs w:val="32"/>
        </w:rPr>
      </w:pPr>
      <w:r>
        <w:rPr>
          <w:rFonts w:hint="eastAsia"/>
          <w:color w:val="auto"/>
          <w:szCs w:val="32"/>
        </w:rPr>
        <w:t>其中企业</w:t>
      </w:r>
      <w:r>
        <w:rPr>
          <w:rFonts w:hint="eastAsia"/>
          <w:color w:val="auto"/>
          <w:szCs w:val="32"/>
          <w:lang w:eastAsia="zh-CN"/>
        </w:rPr>
        <w:t>设置</w:t>
      </w:r>
      <w:r>
        <w:rPr>
          <w:rFonts w:hint="eastAsia"/>
          <w:color w:val="auto"/>
          <w:szCs w:val="32"/>
        </w:rPr>
        <w:t>一个危险贮存库，贮存库还应满足以下要求：</w:t>
      </w:r>
    </w:p>
    <w:p w14:paraId="1CAD582E">
      <w:pPr>
        <w:ind w:firstLine="480"/>
        <w:rPr>
          <w:color w:val="auto"/>
          <w:szCs w:val="32"/>
        </w:rPr>
      </w:pPr>
      <w:r>
        <w:rPr>
          <w:rFonts w:hint="eastAsia"/>
          <w:color w:val="auto"/>
          <w:szCs w:val="32"/>
        </w:rPr>
        <w:t>①贮存库内不同贮存分区之间应采取隔离措施。隔离措施可根据危险废物特性采用过道、隔板或隔墙等方式。</w:t>
      </w:r>
    </w:p>
    <w:p w14:paraId="411C8CAA">
      <w:pPr>
        <w:ind w:firstLine="480"/>
        <w:rPr>
          <w:color w:val="auto"/>
          <w:szCs w:val="32"/>
        </w:rPr>
      </w:pPr>
      <w:r>
        <w:rPr>
          <w:rFonts w:hint="eastAsia"/>
          <w:color w:val="auto"/>
          <w:szCs w:val="32"/>
        </w:rPr>
        <w:t>②在贮存库内或通过贮存分区方式贮存液态危险废物的，应具有液体泄漏堵截设施，堵截设施最小容积不应低于对应贮存区域最大液态废物容器容积或液态废物总储</w:t>
      </w:r>
      <w:r>
        <w:rPr>
          <w:rFonts w:hint="eastAsia"/>
          <w:color w:val="auto"/>
          <w:szCs w:val="32"/>
          <w:lang w:eastAsia="zh-CN"/>
        </w:rPr>
        <w:t>量的</w:t>
      </w:r>
      <w:r>
        <w:rPr>
          <w:rFonts w:hint="eastAsia"/>
          <w:color w:val="auto"/>
          <w:szCs w:val="32"/>
        </w:rPr>
        <w:t>1/10（二者取较大者）；用于贮存可能产生渗滤液的危险废物的贮存库或贮存分区应设计渗滤液收集设施，收集设施容积应满足渗滤液的收集要求。</w:t>
      </w:r>
    </w:p>
    <w:p w14:paraId="7F4D392F">
      <w:pPr>
        <w:ind w:firstLine="480"/>
        <w:rPr>
          <w:color w:val="auto"/>
          <w:szCs w:val="32"/>
        </w:rPr>
      </w:pPr>
      <w:r>
        <w:rPr>
          <w:rFonts w:hint="eastAsia"/>
          <w:color w:val="auto"/>
          <w:szCs w:val="32"/>
        </w:rPr>
        <w:t>此外，企业还设置有一个危废贮存池，应满足以下要求：</w:t>
      </w:r>
    </w:p>
    <w:p w14:paraId="5097C1B3">
      <w:pPr>
        <w:ind w:firstLine="480"/>
        <w:rPr>
          <w:color w:val="auto"/>
          <w:szCs w:val="32"/>
        </w:rPr>
      </w:pPr>
      <w:r>
        <w:rPr>
          <w:rFonts w:hint="eastAsia"/>
          <w:color w:val="auto"/>
          <w:szCs w:val="32"/>
        </w:rPr>
        <w:t>①贮存池防渗层应覆盖整个池体，并应按照要求进行基础防渗。</w:t>
      </w:r>
    </w:p>
    <w:p w14:paraId="68EED328">
      <w:pPr>
        <w:ind w:firstLine="480"/>
        <w:rPr>
          <w:color w:val="auto"/>
          <w:szCs w:val="32"/>
        </w:rPr>
      </w:pPr>
      <w:r>
        <w:rPr>
          <w:rFonts w:hint="eastAsia"/>
          <w:color w:val="auto"/>
          <w:szCs w:val="32"/>
        </w:rPr>
        <w:t>②贮存池应采取措施防止雨水、地面径流等进入，保证能防止当地重现期不小于25年的暴雨流入贮存池内。</w:t>
      </w:r>
    </w:p>
    <w:p w14:paraId="2D278B49">
      <w:pPr>
        <w:ind w:firstLine="480"/>
        <w:rPr>
          <w:color w:val="auto"/>
          <w:szCs w:val="32"/>
        </w:rPr>
      </w:pPr>
      <w:r>
        <w:rPr>
          <w:rFonts w:hint="eastAsia"/>
          <w:color w:val="auto"/>
          <w:szCs w:val="32"/>
        </w:rPr>
        <w:t>③贮存池应采取措施减少大气污染物的无组织排放。</w:t>
      </w:r>
    </w:p>
    <w:p w14:paraId="61173C9E">
      <w:pPr>
        <w:ind w:firstLine="480"/>
        <w:rPr>
          <w:color w:val="auto"/>
          <w:szCs w:val="32"/>
        </w:rPr>
      </w:pPr>
      <w:r>
        <w:rPr>
          <w:rFonts w:hint="eastAsia"/>
          <w:color w:val="auto"/>
          <w:szCs w:val="32"/>
        </w:rPr>
        <w:t>本项目的危险废物由资质单位进行运输，危废暂存间由专业人员操作，单独收集和贮存，严格执行《危险废物收集 贮存 运输技术规范》（HJ 2025-2012）和《危险废物转移联单管理办法》，并制定好危险废物转移运输途中的污染防范及事故应急措施，严格按照要求办理有关手续。</w:t>
      </w:r>
    </w:p>
    <w:p w14:paraId="537D7614">
      <w:pPr>
        <w:ind w:firstLine="480"/>
        <w:rPr>
          <w:color w:val="auto"/>
          <w:szCs w:val="32"/>
        </w:rPr>
      </w:pPr>
      <w:r>
        <w:rPr>
          <w:rFonts w:hint="eastAsia"/>
          <w:color w:val="auto"/>
          <w:szCs w:val="32"/>
        </w:rPr>
        <w:t>通过采取上述措施和管理方案，可满足危险废物临时存放相关标准的要求，将危险废物可能带来的环境影响降到最低。</w:t>
      </w:r>
    </w:p>
    <w:p w14:paraId="0F27C0B3">
      <w:pPr>
        <w:ind w:firstLine="480"/>
        <w:rPr>
          <w:color w:val="auto"/>
          <w:szCs w:val="32"/>
        </w:rPr>
      </w:pPr>
      <w:r>
        <w:rPr>
          <w:rFonts w:hint="eastAsia"/>
          <w:color w:val="auto"/>
          <w:szCs w:val="32"/>
        </w:rPr>
        <w:t>项目危废贮存场所均在一期建设，危废暂存情况见表6.3.1-1。</w:t>
      </w:r>
    </w:p>
    <w:p w14:paraId="031847EE">
      <w:pPr>
        <w:pStyle w:val="1356"/>
        <w:spacing w:line="240" w:lineRule="auto"/>
        <w:ind w:firstLine="0" w:firstLineChars="0"/>
        <w:jc w:val="center"/>
        <w:rPr>
          <w:b/>
          <w:bCs/>
          <w:color w:val="auto"/>
        </w:rPr>
      </w:pPr>
      <w:r>
        <w:rPr>
          <w:b/>
          <w:bCs/>
          <w:color w:val="auto"/>
        </w:rPr>
        <w:t>表</w:t>
      </w:r>
      <w:r>
        <w:rPr>
          <w:rFonts w:hint="eastAsia"/>
          <w:b/>
          <w:bCs/>
          <w:color w:val="auto"/>
        </w:rPr>
        <w:t>6.2.4-2</w:t>
      </w:r>
      <w:r>
        <w:rPr>
          <w:b/>
          <w:bCs/>
          <w:color w:val="auto"/>
        </w:rPr>
        <w:t xml:space="preserve">  危险废物贮存场所（设施）基本情况</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5"/>
        <w:gridCol w:w="1230"/>
        <w:gridCol w:w="830"/>
        <w:gridCol w:w="1227"/>
        <w:gridCol w:w="1163"/>
        <w:gridCol w:w="875"/>
        <w:gridCol w:w="801"/>
        <w:gridCol w:w="903"/>
        <w:gridCol w:w="657"/>
      </w:tblGrid>
      <w:tr w14:paraId="101F7B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Align w:val="center"/>
          </w:tcPr>
          <w:p w14:paraId="558C3214">
            <w:pPr>
              <w:spacing w:line="240" w:lineRule="auto"/>
              <w:ind w:firstLine="0" w:firstLineChars="0"/>
              <w:jc w:val="center"/>
              <w:rPr>
                <w:b/>
                <w:bCs/>
                <w:color w:val="auto"/>
                <w:sz w:val="21"/>
                <w:szCs w:val="21"/>
              </w:rPr>
            </w:pPr>
            <w:r>
              <w:rPr>
                <w:b/>
                <w:bCs/>
                <w:color w:val="auto"/>
                <w:sz w:val="21"/>
                <w:szCs w:val="21"/>
              </w:rPr>
              <w:t>贮存场所（设施）名称</w:t>
            </w:r>
          </w:p>
        </w:tc>
        <w:tc>
          <w:tcPr>
            <w:tcW w:w="1095" w:type="pct"/>
            <w:gridSpan w:val="2"/>
            <w:vAlign w:val="center"/>
          </w:tcPr>
          <w:p w14:paraId="7E6A0115">
            <w:pPr>
              <w:spacing w:line="240" w:lineRule="auto"/>
              <w:ind w:firstLine="0" w:firstLineChars="0"/>
              <w:jc w:val="center"/>
              <w:rPr>
                <w:b/>
                <w:bCs/>
                <w:color w:val="auto"/>
                <w:sz w:val="21"/>
                <w:szCs w:val="21"/>
              </w:rPr>
            </w:pPr>
            <w:r>
              <w:rPr>
                <w:b/>
                <w:bCs/>
                <w:color w:val="auto"/>
                <w:sz w:val="21"/>
                <w:szCs w:val="21"/>
              </w:rPr>
              <w:t>危险废物名称</w:t>
            </w:r>
          </w:p>
        </w:tc>
        <w:tc>
          <w:tcPr>
            <w:tcW w:w="652" w:type="pct"/>
            <w:vAlign w:val="center"/>
          </w:tcPr>
          <w:p w14:paraId="43B86EFA">
            <w:pPr>
              <w:spacing w:line="240" w:lineRule="auto"/>
              <w:ind w:firstLine="0" w:firstLineChars="0"/>
              <w:jc w:val="center"/>
              <w:rPr>
                <w:b/>
                <w:bCs/>
                <w:color w:val="auto"/>
                <w:sz w:val="21"/>
                <w:szCs w:val="21"/>
              </w:rPr>
            </w:pPr>
            <w:r>
              <w:rPr>
                <w:b/>
                <w:bCs/>
                <w:color w:val="auto"/>
                <w:sz w:val="21"/>
                <w:szCs w:val="21"/>
              </w:rPr>
              <w:t>危险废物类别</w:t>
            </w:r>
          </w:p>
        </w:tc>
        <w:tc>
          <w:tcPr>
            <w:tcW w:w="618" w:type="pct"/>
            <w:vAlign w:val="center"/>
          </w:tcPr>
          <w:p w14:paraId="1586397A">
            <w:pPr>
              <w:spacing w:line="240" w:lineRule="auto"/>
              <w:ind w:firstLine="0" w:firstLineChars="0"/>
              <w:jc w:val="center"/>
              <w:rPr>
                <w:b/>
                <w:bCs/>
                <w:color w:val="auto"/>
                <w:sz w:val="21"/>
                <w:szCs w:val="21"/>
              </w:rPr>
            </w:pPr>
            <w:r>
              <w:rPr>
                <w:b/>
                <w:bCs/>
                <w:color w:val="auto"/>
                <w:sz w:val="21"/>
                <w:szCs w:val="21"/>
              </w:rPr>
              <w:t>危险废物代码</w:t>
            </w:r>
          </w:p>
        </w:tc>
        <w:tc>
          <w:tcPr>
            <w:tcW w:w="465" w:type="pct"/>
            <w:vAlign w:val="center"/>
          </w:tcPr>
          <w:p w14:paraId="5957A9D4">
            <w:pPr>
              <w:spacing w:line="240" w:lineRule="auto"/>
              <w:ind w:firstLine="0" w:firstLineChars="0"/>
              <w:jc w:val="center"/>
              <w:rPr>
                <w:b/>
                <w:bCs/>
                <w:color w:val="auto"/>
                <w:sz w:val="21"/>
                <w:szCs w:val="21"/>
              </w:rPr>
            </w:pPr>
            <w:r>
              <w:rPr>
                <w:b/>
                <w:bCs/>
                <w:color w:val="auto"/>
                <w:sz w:val="21"/>
                <w:szCs w:val="21"/>
              </w:rPr>
              <w:t>位置</w:t>
            </w:r>
          </w:p>
        </w:tc>
        <w:tc>
          <w:tcPr>
            <w:tcW w:w="426" w:type="pct"/>
            <w:vAlign w:val="center"/>
          </w:tcPr>
          <w:p w14:paraId="131AFFD0">
            <w:pPr>
              <w:spacing w:line="240" w:lineRule="auto"/>
              <w:ind w:firstLine="0" w:firstLineChars="0"/>
              <w:jc w:val="center"/>
              <w:rPr>
                <w:b/>
                <w:bCs/>
                <w:color w:val="auto"/>
                <w:sz w:val="21"/>
                <w:szCs w:val="21"/>
              </w:rPr>
            </w:pPr>
            <w:r>
              <w:rPr>
                <w:b/>
                <w:bCs/>
                <w:color w:val="auto"/>
                <w:sz w:val="21"/>
                <w:szCs w:val="21"/>
              </w:rPr>
              <w:t>占地面积</w:t>
            </w:r>
          </w:p>
        </w:tc>
        <w:tc>
          <w:tcPr>
            <w:tcW w:w="480" w:type="pct"/>
            <w:vAlign w:val="center"/>
          </w:tcPr>
          <w:p w14:paraId="0DD48138">
            <w:pPr>
              <w:spacing w:line="240" w:lineRule="auto"/>
              <w:ind w:firstLine="0" w:firstLineChars="0"/>
              <w:jc w:val="center"/>
              <w:rPr>
                <w:b/>
                <w:bCs/>
                <w:color w:val="auto"/>
                <w:sz w:val="21"/>
                <w:szCs w:val="21"/>
              </w:rPr>
            </w:pPr>
            <w:r>
              <w:rPr>
                <w:b/>
                <w:bCs/>
                <w:color w:val="auto"/>
                <w:sz w:val="21"/>
                <w:szCs w:val="21"/>
              </w:rPr>
              <w:t>贮存方式</w:t>
            </w:r>
          </w:p>
        </w:tc>
        <w:tc>
          <w:tcPr>
            <w:tcW w:w="349" w:type="pct"/>
            <w:vAlign w:val="center"/>
          </w:tcPr>
          <w:p w14:paraId="2C6DECBB">
            <w:pPr>
              <w:spacing w:line="240" w:lineRule="auto"/>
              <w:ind w:firstLine="0" w:firstLineChars="0"/>
              <w:jc w:val="center"/>
              <w:rPr>
                <w:b/>
                <w:bCs/>
                <w:color w:val="auto"/>
                <w:sz w:val="21"/>
                <w:szCs w:val="21"/>
              </w:rPr>
            </w:pPr>
            <w:r>
              <w:rPr>
                <w:rFonts w:hint="eastAsia"/>
                <w:b/>
                <w:bCs/>
                <w:color w:val="auto"/>
                <w:sz w:val="21"/>
                <w:szCs w:val="21"/>
              </w:rPr>
              <w:t>贮存周期</w:t>
            </w:r>
          </w:p>
        </w:tc>
      </w:tr>
      <w:tr w14:paraId="57B938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restart"/>
            <w:vAlign w:val="center"/>
          </w:tcPr>
          <w:p w14:paraId="22E22391">
            <w:pPr>
              <w:spacing w:line="240" w:lineRule="auto"/>
              <w:ind w:firstLine="0" w:firstLineChars="0"/>
              <w:jc w:val="center"/>
              <w:rPr>
                <w:color w:val="auto"/>
                <w:sz w:val="21"/>
                <w:szCs w:val="21"/>
              </w:rPr>
            </w:pPr>
            <w:r>
              <w:rPr>
                <w:color w:val="auto"/>
                <w:sz w:val="21"/>
                <w:szCs w:val="21"/>
              </w:rPr>
              <w:t>危废暂存间</w:t>
            </w:r>
          </w:p>
        </w:tc>
        <w:tc>
          <w:tcPr>
            <w:tcW w:w="1095" w:type="pct"/>
            <w:gridSpan w:val="2"/>
            <w:vAlign w:val="center"/>
          </w:tcPr>
          <w:p w14:paraId="587B3DCD">
            <w:pPr>
              <w:spacing w:line="240" w:lineRule="auto"/>
              <w:ind w:firstLine="0" w:firstLineChars="0"/>
              <w:jc w:val="center"/>
              <w:rPr>
                <w:color w:val="auto"/>
                <w:sz w:val="21"/>
                <w:szCs w:val="21"/>
              </w:rPr>
            </w:pPr>
            <w:r>
              <w:rPr>
                <w:rFonts w:hint="eastAsia"/>
                <w:color w:val="auto"/>
                <w:sz w:val="21"/>
                <w:szCs w:val="21"/>
              </w:rPr>
              <w:t>废槽液</w:t>
            </w:r>
          </w:p>
        </w:tc>
        <w:tc>
          <w:tcPr>
            <w:tcW w:w="652" w:type="pct"/>
            <w:shd w:val="clear" w:color="auto" w:fill="auto"/>
            <w:vAlign w:val="center"/>
          </w:tcPr>
          <w:p w14:paraId="0AFED04C">
            <w:pPr>
              <w:spacing w:line="240" w:lineRule="auto"/>
              <w:ind w:firstLine="0" w:firstLineChars="0"/>
              <w:jc w:val="center"/>
              <w:rPr>
                <w:color w:val="auto"/>
                <w:sz w:val="21"/>
                <w:szCs w:val="21"/>
              </w:rPr>
            </w:pPr>
            <w:r>
              <w:rPr>
                <w:rFonts w:hint="eastAsia"/>
                <w:color w:val="auto"/>
                <w:sz w:val="21"/>
                <w:szCs w:val="21"/>
              </w:rPr>
              <w:t>HW34</w:t>
            </w:r>
          </w:p>
        </w:tc>
        <w:tc>
          <w:tcPr>
            <w:tcW w:w="618" w:type="pct"/>
            <w:shd w:val="clear" w:color="auto" w:fill="auto"/>
            <w:vAlign w:val="center"/>
          </w:tcPr>
          <w:p w14:paraId="6C899985">
            <w:pPr>
              <w:spacing w:line="240" w:lineRule="auto"/>
              <w:ind w:firstLine="0" w:firstLineChars="0"/>
              <w:jc w:val="center"/>
              <w:rPr>
                <w:color w:val="auto"/>
                <w:sz w:val="21"/>
                <w:szCs w:val="21"/>
              </w:rPr>
            </w:pPr>
            <w:r>
              <w:rPr>
                <w:rFonts w:hint="eastAsia"/>
                <w:color w:val="auto"/>
                <w:sz w:val="21"/>
                <w:szCs w:val="21"/>
              </w:rPr>
              <w:t>900-300-34</w:t>
            </w:r>
          </w:p>
        </w:tc>
        <w:tc>
          <w:tcPr>
            <w:tcW w:w="465" w:type="pct"/>
            <w:vMerge w:val="restart"/>
            <w:vAlign w:val="center"/>
          </w:tcPr>
          <w:p w14:paraId="75D38012">
            <w:pPr>
              <w:spacing w:line="240" w:lineRule="auto"/>
              <w:ind w:firstLine="0" w:firstLineChars="0"/>
              <w:jc w:val="center"/>
              <w:rPr>
                <w:color w:val="auto"/>
                <w:sz w:val="21"/>
                <w:szCs w:val="21"/>
              </w:rPr>
            </w:pPr>
            <w:r>
              <w:rPr>
                <w:rFonts w:hint="eastAsia"/>
                <w:color w:val="auto"/>
                <w:sz w:val="21"/>
                <w:szCs w:val="21"/>
              </w:rPr>
              <w:t>危废暂存间</w:t>
            </w:r>
          </w:p>
        </w:tc>
        <w:tc>
          <w:tcPr>
            <w:tcW w:w="426" w:type="pct"/>
            <w:vMerge w:val="restart"/>
            <w:vAlign w:val="center"/>
          </w:tcPr>
          <w:p w14:paraId="4DE51D03">
            <w:pPr>
              <w:spacing w:line="240" w:lineRule="auto"/>
              <w:ind w:firstLine="0" w:firstLineChars="0"/>
              <w:jc w:val="center"/>
              <w:rPr>
                <w:color w:val="auto"/>
                <w:sz w:val="21"/>
                <w:szCs w:val="21"/>
              </w:rPr>
            </w:pPr>
            <w:r>
              <w:rPr>
                <w:rFonts w:hint="eastAsia"/>
                <w:color w:val="auto"/>
                <w:sz w:val="21"/>
                <w:szCs w:val="21"/>
              </w:rPr>
              <w:t>80</w:t>
            </w:r>
            <w:r>
              <w:rPr>
                <w:color w:val="auto"/>
                <w:sz w:val="21"/>
                <w:szCs w:val="21"/>
              </w:rPr>
              <w:t>m</w:t>
            </w:r>
            <w:r>
              <w:rPr>
                <w:color w:val="auto"/>
                <w:sz w:val="21"/>
                <w:szCs w:val="21"/>
                <w:vertAlign w:val="superscript"/>
              </w:rPr>
              <w:t>2</w:t>
            </w:r>
          </w:p>
        </w:tc>
        <w:tc>
          <w:tcPr>
            <w:tcW w:w="480" w:type="pct"/>
            <w:shd w:val="clear" w:color="auto" w:fill="auto"/>
            <w:vAlign w:val="center"/>
          </w:tcPr>
          <w:p w14:paraId="6996DA46">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5B4095A1">
            <w:pPr>
              <w:spacing w:line="240" w:lineRule="auto"/>
              <w:ind w:firstLine="0" w:firstLineChars="0"/>
              <w:jc w:val="center"/>
              <w:rPr>
                <w:color w:val="auto"/>
                <w:sz w:val="21"/>
                <w:szCs w:val="21"/>
              </w:rPr>
            </w:pPr>
            <w:r>
              <w:rPr>
                <w:rFonts w:hint="eastAsia"/>
                <w:color w:val="auto"/>
                <w:sz w:val="21"/>
                <w:szCs w:val="21"/>
              </w:rPr>
              <w:t>5d</w:t>
            </w:r>
          </w:p>
        </w:tc>
      </w:tr>
      <w:tr w14:paraId="0742CF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77B58502">
            <w:pPr>
              <w:spacing w:line="240" w:lineRule="auto"/>
              <w:ind w:firstLine="0" w:firstLineChars="0"/>
              <w:jc w:val="center"/>
              <w:rPr>
                <w:color w:val="auto"/>
                <w:sz w:val="21"/>
                <w:szCs w:val="21"/>
              </w:rPr>
            </w:pPr>
          </w:p>
        </w:tc>
        <w:tc>
          <w:tcPr>
            <w:tcW w:w="654" w:type="pct"/>
            <w:vMerge w:val="restart"/>
            <w:shd w:val="clear" w:color="auto" w:fill="auto"/>
            <w:vAlign w:val="center"/>
          </w:tcPr>
          <w:p w14:paraId="09BC8368">
            <w:pPr>
              <w:tabs>
                <w:tab w:val="left" w:pos="2227"/>
              </w:tabs>
              <w:spacing w:line="240" w:lineRule="auto"/>
              <w:ind w:firstLine="0" w:firstLineChars="0"/>
              <w:jc w:val="center"/>
              <w:rPr>
                <w:color w:val="auto"/>
                <w:sz w:val="21"/>
                <w:szCs w:val="21"/>
              </w:rPr>
            </w:pPr>
            <w:r>
              <w:rPr>
                <w:rFonts w:hint="eastAsia"/>
                <w:color w:val="auto"/>
                <w:sz w:val="21"/>
                <w:szCs w:val="21"/>
              </w:rPr>
              <w:t>铝离子回收装置</w:t>
            </w:r>
          </w:p>
        </w:tc>
        <w:tc>
          <w:tcPr>
            <w:tcW w:w="441" w:type="pct"/>
            <w:shd w:val="clear" w:color="auto" w:fill="auto"/>
            <w:vAlign w:val="center"/>
          </w:tcPr>
          <w:p w14:paraId="2009F2FE">
            <w:pPr>
              <w:tabs>
                <w:tab w:val="left" w:pos="2227"/>
              </w:tabs>
              <w:spacing w:line="240" w:lineRule="auto"/>
              <w:ind w:firstLine="0" w:firstLineChars="0"/>
              <w:jc w:val="center"/>
              <w:rPr>
                <w:color w:val="auto"/>
                <w:sz w:val="21"/>
                <w:szCs w:val="21"/>
              </w:rPr>
            </w:pPr>
            <w:r>
              <w:rPr>
                <w:rFonts w:hint="eastAsia"/>
                <w:color w:val="auto"/>
                <w:sz w:val="21"/>
                <w:szCs w:val="21"/>
              </w:rPr>
              <w:t>废渗析膜</w:t>
            </w:r>
          </w:p>
        </w:tc>
        <w:tc>
          <w:tcPr>
            <w:tcW w:w="652" w:type="pct"/>
            <w:shd w:val="clear" w:color="auto" w:fill="auto"/>
            <w:vAlign w:val="center"/>
          </w:tcPr>
          <w:p w14:paraId="38BBB551">
            <w:pPr>
              <w:spacing w:line="240" w:lineRule="auto"/>
              <w:ind w:firstLine="0" w:firstLineChars="0"/>
              <w:jc w:val="center"/>
              <w:rPr>
                <w:color w:val="auto"/>
                <w:sz w:val="21"/>
                <w:szCs w:val="21"/>
              </w:rPr>
            </w:pPr>
            <w:r>
              <w:rPr>
                <w:rFonts w:hint="eastAsia"/>
                <w:color w:val="auto"/>
                <w:sz w:val="21"/>
                <w:szCs w:val="21"/>
              </w:rPr>
              <w:t>HW49</w:t>
            </w:r>
          </w:p>
        </w:tc>
        <w:tc>
          <w:tcPr>
            <w:tcW w:w="618" w:type="pct"/>
            <w:shd w:val="clear" w:color="auto" w:fill="auto"/>
            <w:vAlign w:val="center"/>
          </w:tcPr>
          <w:p w14:paraId="1427C35D">
            <w:pPr>
              <w:spacing w:line="240" w:lineRule="auto"/>
              <w:ind w:firstLine="0" w:firstLineChars="0"/>
              <w:jc w:val="center"/>
              <w:rPr>
                <w:color w:val="auto"/>
                <w:sz w:val="21"/>
                <w:szCs w:val="21"/>
              </w:rPr>
            </w:pPr>
            <w:r>
              <w:rPr>
                <w:rFonts w:hint="eastAsia"/>
                <w:color w:val="auto"/>
                <w:sz w:val="21"/>
                <w:szCs w:val="21"/>
              </w:rPr>
              <w:t>900-041-49</w:t>
            </w:r>
          </w:p>
        </w:tc>
        <w:tc>
          <w:tcPr>
            <w:tcW w:w="465" w:type="pct"/>
            <w:vMerge w:val="continue"/>
            <w:vAlign w:val="center"/>
          </w:tcPr>
          <w:p w14:paraId="547E7F94">
            <w:pPr>
              <w:spacing w:line="240" w:lineRule="auto"/>
              <w:ind w:firstLine="0" w:firstLineChars="0"/>
              <w:jc w:val="center"/>
              <w:rPr>
                <w:color w:val="auto"/>
                <w:sz w:val="21"/>
                <w:szCs w:val="21"/>
              </w:rPr>
            </w:pPr>
          </w:p>
        </w:tc>
        <w:tc>
          <w:tcPr>
            <w:tcW w:w="426" w:type="pct"/>
            <w:vMerge w:val="continue"/>
            <w:vAlign w:val="center"/>
          </w:tcPr>
          <w:p w14:paraId="13F144D5">
            <w:pPr>
              <w:spacing w:line="240" w:lineRule="auto"/>
              <w:ind w:firstLine="0" w:firstLineChars="0"/>
              <w:jc w:val="center"/>
              <w:rPr>
                <w:color w:val="auto"/>
                <w:sz w:val="21"/>
                <w:szCs w:val="21"/>
              </w:rPr>
            </w:pPr>
          </w:p>
        </w:tc>
        <w:tc>
          <w:tcPr>
            <w:tcW w:w="480" w:type="pct"/>
            <w:shd w:val="clear" w:color="auto" w:fill="auto"/>
            <w:vAlign w:val="center"/>
          </w:tcPr>
          <w:p w14:paraId="29EA60B8">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1F8D354F">
            <w:pPr>
              <w:spacing w:line="240" w:lineRule="auto"/>
              <w:ind w:firstLine="0" w:firstLineChars="0"/>
              <w:jc w:val="center"/>
              <w:rPr>
                <w:color w:val="auto"/>
                <w:sz w:val="21"/>
                <w:szCs w:val="21"/>
              </w:rPr>
            </w:pPr>
            <w:r>
              <w:rPr>
                <w:rFonts w:hint="eastAsia"/>
                <w:color w:val="auto"/>
                <w:sz w:val="21"/>
                <w:szCs w:val="21"/>
              </w:rPr>
              <w:t>30d</w:t>
            </w:r>
          </w:p>
        </w:tc>
      </w:tr>
      <w:tr w14:paraId="1384CA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2922E764">
            <w:pPr>
              <w:spacing w:line="240" w:lineRule="auto"/>
              <w:ind w:firstLine="0" w:firstLineChars="0"/>
              <w:jc w:val="center"/>
              <w:rPr>
                <w:color w:val="auto"/>
                <w:sz w:val="21"/>
                <w:szCs w:val="21"/>
              </w:rPr>
            </w:pPr>
          </w:p>
        </w:tc>
        <w:tc>
          <w:tcPr>
            <w:tcW w:w="654" w:type="pct"/>
            <w:vMerge w:val="continue"/>
            <w:shd w:val="clear" w:color="auto" w:fill="auto"/>
            <w:vAlign w:val="center"/>
          </w:tcPr>
          <w:p w14:paraId="3B13B3C1">
            <w:pPr>
              <w:tabs>
                <w:tab w:val="left" w:pos="2227"/>
              </w:tabs>
              <w:spacing w:line="240" w:lineRule="auto"/>
              <w:ind w:firstLine="0" w:firstLineChars="0"/>
              <w:jc w:val="center"/>
              <w:rPr>
                <w:color w:val="auto"/>
                <w:sz w:val="21"/>
                <w:szCs w:val="21"/>
              </w:rPr>
            </w:pPr>
          </w:p>
        </w:tc>
        <w:tc>
          <w:tcPr>
            <w:tcW w:w="441" w:type="pct"/>
            <w:shd w:val="clear" w:color="auto" w:fill="auto"/>
            <w:vAlign w:val="center"/>
          </w:tcPr>
          <w:p w14:paraId="7DE3D770">
            <w:pPr>
              <w:tabs>
                <w:tab w:val="left" w:pos="2227"/>
              </w:tabs>
              <w:spacing w:line="240" w:lineRule="auto"/>
              <w:ind w:firstLine="0" w:firstLineChars="0"/>
              <w:jc w:val="center"/>
              <w:rPr>
                <w:color w:val="auto"/>
                <w:sz w:val="21"/>
                <w:szCs w:val="21"/>
              </w:rPr>
            </w:pPr>
            <w:r>
              <w:rPr>
                <w:rFonts w:hint="eastAsia"/>
                <w:color w:val="auto"/>
                <w:sz w:val="21"/>
                <w:szCs w:val="21"/>
              </w:rPr>
              <w:t>废活性炭</w:t>
            </w:r>
          </w:p>
        </w:tc>
        <w:tc>
          <w:tcPr>
            <w:tcW w:w="652" w:type="pct"/>
            <w:shd w:val="clear" w:color="auto" w:fill="auto"/>
            <w:vAlign w:val="center"/>
          </w:tcPr>
          <w:p w14:paraId="28CCEC35">
            <w:pPr>
              <w:spacing w:line="240" w:lineRule="auto"/>
              <w:ind w:firstLine="0" w:firstLineChars="0"/>
              <w:jc w:val="center"/>
              <w:rPr>
                <w:color w:val="auto"/>
                <w:sz w:val="21"/>
                <w:szCs w:val="21"/>
              </w:rPr>
            </w:pPr>
            <w:r>
              <w:rPr>
                <w:rFonts w:hint="eastAsia"/>
                <w:color w:val="auto"/>
                <w:sz w:val="21"/>
                <w:szCs w:val="21"/>
              </w:rPr>
              <w:t>HW49</w:t>
            </w:r>
          </w:p>
        </w:tc>
        <w:tc>
          <w:tcPr>
            <w:tcW w:w="618" w:type="pct"/>
            <w:shd w:val="clear" w:color="auto" w:fill="auto"/>
            <w:vAlign w:val="center"/>
          </w:tcPr>
          <w:p w14:paraId="588E854B">
            <w:pPr>
              <w:spacing w:line="240" w:lineRule="auto"/>
              <w:ind w:firstLine="0" w:firstLineChars="0"/>
              <w:jc w:val="center"/>
              <w:rPr>
                <w:color w:val="auto"/>
                <w:sz w:val="21"/>
                <w:szCs w:val="21"/>
              </w:rPr>
            </w:pPr>
            <w:r>
              <w:rPr>
                <w:rFonts w:hint="eastAsia"/>
                <w:color w:val="auto"/>
                <w:sz w:val="21"/>
                <w:szCs w:val="21"/>
              </w:rPr>
              <w:t>900-041-49</w:t>
            </w:r>
          </w:p>
        </w:tc>
        <w:tc>
          <w:tcPr>
            <w:tcW w:w="465" w:type="pct"/>
            <w:vMerge w:val="continue"/>
            <w:vAlign w:val="center"/>
          </w:tcPr>
          <w:p w14:paraId="6E9C787E">
            <w:pPr>
              <w:spacing w:line="240" w:lineRule="auto"/>
              <w:ind w:firstLine="0" w:firstLineChars="0"/>
              <w:jc w:val="center"/>
              <w:rPr>
                <w:color w:val="auto"/>
                <w:sz w:val="21"/>
                <w:szCs w:val="21"/>
              </w:rPr>
            </w:pPr>
          </w:p>
        </w:tc>
        <w:tc>
          <w:tcPr>
            <w:tcW w:w="426" w:type="pct"/>
            <w:vMerge w:val="continue"/>
            <w:vAlign w:val="center"/>
          </w:tcPr>
          <w:p w14:paraId="03C76958">
            <w:pPr>
              <w:spacing w:line="240" w:lineRule="auto"/>
              <w:ind w:firstLine="0" w:firstLineChars="0"/>
              <w:jc w:val="center"/>
              <w:rPr>
                <w:color w:val="auto"/>
                <w:sz w:val="21"/>
                <w:szCs w:val="21"/>
              </w:rPr>
            </w:pPr>
          </w:p>
        </w:tc>
        <w:tc>
          <w:tcPr>
            <w:tcW w:w="480" w:type="pct"/>
            <w:shd w:val="clear" w:color="auto" w:fill="auto"/>
            <w:vAlign w:val="center"/>
          </w:tcPr>
          <w:p w14:paraId="14211A48">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54F9F04E">
            <w:pPr>
              <w:spacing w:line="240" w:lineRule="auto"/>
              <w:ind w:firstLine="0" w:firstLineChars="0"/>
              <w:jc w:val="center"/>
              <w:rPr>
                <w:color w:val="auto"/>
                <w:sz w:val="21"/>
                <w:szCs w:val="21"/>
              </w:rPr>
            </w:pPr>
            <w:r>
              <w:rPr>
                <w:rFonts w:hint="eastAsia"/>
                <w:color w:val="auto"/>
                <w:sz w:val="21"/>
                <w:szCs w:val="21"/>
              </w:rPr>
              <w:t>30d</w:t>
            </w:r>
          </w:p>
        </w:tc>
      </w:tr>
      <w:tr w14:paraId="5AE1E5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68540615">
            <w:pPr>
              <w:spacing w:line="240" w:lineRule="auto"/>
              <w:ind w:firstLine="0" w:firstLineChars="0"/>
              <w:jc w:val="center"/>
              <w:rPr>
                <w:color w:val="auto"/>
                <w:sz w:val="21"/>
                <w:szCs w:val="21"/>
              </w:rPr>
            </w:pPr>
          </w:p>
        </w:tc>
        <w:tc>
          <w:tcPr>
            <w:tcW w:w="1095" w:type="pct"/>
            <w:gridSpan w:val="2"/>
            <w:vAlign w:val="center"/>
          </w:tcPr>
          <w:p w14:paraId="7A7A4B96">
            <w:pPr>
              <w:spacing w:line="240" w:lineRule="auto"/>
              <w:ind w:firstLine="0" w:firstLineChars="0"/>
              <w:jc w:val="center"/>
              <w:rPr>
                <w:color w:val="auto"/>
                <w:sz w:val="21"/>
                <w:szCs w:val="21"/>
              </w:rPr>
            </w:pPr>
            <w:r>
              <w:rPr>
                <w:rFonts w:hint="eastAsia"/>
                <w:color w:val="auto"/>
                <w:sz w:val="21"/>
                <w:szCs w:val="21"/>
              </w:rPr>
              <w:t>废研磨膏</w:t>
            </w:r>
          </w:p>
        </w:tc>
        <w:tc>
          <w:tcPr>
            <w:tcW w:w="652" w:type="pct"/>
            <w:vAlign w:val="center"/>
          </w:tcPr>
          <w:p w14:paraId="40B2B247">
            <w:pPr>
              <w:spacing w:line="240" w:lineRule="auto"/>
              <w:ind w:firstLine="0" w:firstLineChars="0"/>
              <w:jc w:val="center"/>
              <w:rPr>
                <w:color w:val="auto"/>
                <w:sz w:val="21"/>
                <w:szCs w:val="21"/>
              </w:rPr>
            </w:pPr>
            <w:r>
              <w:rPr>
                <w:rFonts w:hint="eastAsia"/>
                <w:color w:val="auto"/>
                <w:sz w:val="21"/>
                <w:szCs w:val="21"/>
              </w:rPr>
              <w:t>HW08</w:t>
            </w:r>
          </w:p>
        </w:tc>
        <w:tc>
          <w:tcPr>
            <w:tcW w:w="618" w:type="pct"/>
            <w:vAlign w:val="center"/>
          </w:tcPr>
          <w:p w14:paraId="226E2024">
            <w:pPr>
              <w:spacing w:line="240" w:lineRule="auto"/>
              <w:ind w:firstLine="0" w:firstLineChars="0"/>
              <w:jc w:val="center"/>
              <w:rPr>
                <w:color w:val="auto"/>
                <w:sz w:val="21"/>
                <w:szCs w:val="21"/>
              </w:rPr>
            </w:pPr>
            <w:r>
              <w:rPr>
                <w:rFonts w:hint="eastAsia"/>
                <w:color w:val="auto"/>
                <w:sz w:val="21"/>
                <w:szCs w:val="21"/>
              </w:rPr>
              <w:t>900-200-08</w:t>
            </w:r>
          </w:p>
        </w:tc>
        <w:tc>
          <w:tcPr>
            <w:tcW w:w="465" w:type="pct"/>
            <w:vMerge w:val="continue"/>
            <w:vAlign w:val="center"/>
          </w:tcPr>
          <w:p w14:paraId="75D3D074">
            <w:pPr>
              <w:spacing w:line="240" w:lineRule="auto"/>
              <w:ind w:firstLine="0" w:firstLineChars="0"/>
              <w:jc w:val="center"/>
              <w:rPr>
                <w:color w:val="auto"/>
                <w:sz w:val="21"/>
                <w:szCs w:val="21"/>
              </w:rPr>
            </w:pPr>
          </w:p>
        </w:tc>
        <w:tc>
          <w:tcPr>
            <w:tcW w:w="426" w:type="pct"/>
            <w:vMerge w:val="continue"/>
            <w:vAlign w:val="center"/>
          </w:tcPr>
          <w:p w14:paraId="59F0E800">
            <w:pPr>
              <w:spacing w:line="240" w:lineRule="auto"/>
              <w:ind w:firstLine="0" w:firstLineChars="0"/>
              <w:jc w:val="center"/>
              <w:rPr>
                <w:color w:val="auto"/>
                <w:sz w:val="21"/>
                <w:szCs w:val="21"/>
              </w:rPr>
            </w:pPr>
          </w:p>
        </w:tc>
        <w:tc>
          <w:tcPr>
            <w:tcW w:w="480" w:type="pct"/>
            <w:vAlign w:val="center"/>
          </w:tcPr>
          <w:p w14:paraId="0A013D91">
            <w:pPr>
              <w:spacing w:line="240" w:lineRule="auto"/>
              <w:ind w:firstLine="0" w:firstLineChars="0"/>
              <w:jc w:val="center"/>
              <w:rPr>
                <w:color w:val="auto"/>
                <w:sz w:val="21"/>
                <w:szCs w:val="21"/>
              </w:rPr>
            </w:pPr>
            <w:r>
              <w:rPr>
                <w:color w:val="auto"/>
                <w:sz w:val="21"/>
                <w:szCs w:val="21"/>
              </w:rPr>
              <w:t>桶装密封</w:t>
            </w:r>
          </w:p>
        </w:tc>
        <w:tc>
          <w:tcPr>
            <w:tcW w:w="349" w:type="pct"/>
            <w:vAlign w:val="center"/>
          </w:tcPr>
          <w:p w14:paraId="6CA396ED">
            <w:pPr>
              <w:spacing w:line="240" w:lineRule="auto"/>
              <w:ind w:firstLine="0" w:firstLineChars="0"/>
              <w:jc w:val="center"/>
              <w:rPr>
                <w:color w:val="auto"/>
                <w:sz w:val="21"/>
                <w:szCs w:val="21"/>
              </w:rPr>
            </w:pPr>
            <w:r>
              <w:rPr>
                <w:rFonts w:hint="eastAsia"/>
                <w:color w:val="auto"/>
                <w:sz w:val="21"/>
                <w:szCs w:val="21"/>
              </w:rPr>
              <w:t>30d</w:t>
            </w:r>
          </w:p>
        </w:tc>
      </w:tr>
      <w:tr w14:paraId="77240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2723C7E6">
            <w:pPr>
              <w:spacing w:line="240" w:lineRule="auto"/>
              <w:ind w:firstLine="0" w:firstLineChars="0"/>
              <w:jc w:val="center"/>
              <w:rPr>
                <w:color w:val="auto"/>
                <w:sz w:val="21"/>
                <w:szCs w:val="21"/>
              </w:rPr>
            </w:pPr>
          </w:p>
        </w:tc>
        <w:tc>
          <w:tcPr>
            <w:tcW w:w="1095" w:type="pct"/>
            <w:gridSpan w:val="2"/>
            <w:vAlign w:val="center"/>
          </w:tcPr>
          <w:p w14:paraId="22B896A0">
            <w:pPr>
              <w:tabs>
                <w:tab w:val="left" w:pos="2227"/>
              </w:tabs>
              <w:spacing w:line="240" w:lineRule="auto"/>
              <w:ind w:firstLine="0" w:firstLineChars="0"/>
              <w:jc w:val="center"/>
              <w:rPr>
                <w:color w:val="auto"/>
                <w:sz w:val="21"/>
                <w:szCs w:val="21"/>
              </w:rPr>
            </w:pPr>
            <w:r>
              <w:rPr>
                <w:rFonts w:hint="eastAsia"/>
                <w:color w:val="auto"/>
                <w:sz w:val="21"/>
                <w:szCs w:val="21"/>
              </w:rPr>
              <w:t>废试剂瓶</w:t>
            </w:r>
          </w:p>
        </w:tc>
        <w:tc>
          <w:tcPr>
            <w:tcW w:w="652" w:type="pct"/>
            <w:vAlign w:val="center"/>
          </w:tcPr>
          <w:p w14:paraId="1E774A53">
            <w:pPr>
              <w:spacing w:line="240" w:lineRule="auto"/>
              <w:ind w:firstLine="0" w:firstLineChars="0"/>
              <w:jc w:val="center"/>
              <w:rPr>
                <w:color w:val="auto"/>
                <w:sz w:val="21"/>
                <w:szCs w:val="21"/>
              </w:rPr>
            </w:pPr>
            <w:r>
              <w:rPr>
                <w:rFonts w:hint="eastAsia"/>
                <w:color w:val="auto"/>
                <w:sz w:val="21"/>
                <w:szCs w:val="21"/>
              </w:rPr>
              <w:t>HW49</w:t>
            </w:r>
          </w:p>
        </w:tc>
        <w:tc>
          <w:tcPr>
            <w:tcW w:w="618" w:type="pct"/>
            <w:vAlign w:val="center"/>
          </w:tcPr>
          <w:p w14:paraId="616B0F98">
            <w:pPr>
              <w:spacing w:line="240" w:lineRule="auto"/>
              <w:ind w:firstLine="0" w:firstLineChars="0"/>
              <w:jc w:val="center"/>
              <w:rPr>
                <w:color w:val="auto"/>
                <w:sz w:val="21"/>
                <w:szCs w:val="21"/>
              </w:rPr>
            </w:pPr>
            <w:r>
              <w:rPr>
                <w:rFonts w:hint="eastAsia"/>
                <w:color w:val="auto"/>
                <w:sz w:val="21"/>
                <w:szCs w:val="21"/>
              </w:rPr>
              <w:t>900-041-49</w:t>
            </w:r>
          </w:p>
        </w:tc>
        <w:tc>
          <w:tcPr>
            <w:tcW w:w="465" w:type="pct"/>
            <w:vMerge w:val="continue"/>
            <w:vAlign w:val="center"/>
          </w:tcPr>
          <w:p w14:paraId="634211F5">
            <w:pPr>
              <w:spacing w:line="240" w:lineRule="auto"/>
              <w:ind w:firstLine="0" w:firstLineChars="0"/>
              <w:jc w:val="center"/>
              <w:rPr>
                <w:color w:val="auto"/>
                <w:sz w:val="21"/>
                <w:szCs w:val="21"/>
              </w:rPr>
            </w:pPr>
          </w:p>
        </w:tc>
        <w:tc>
          <w:tcPr>
            <w:tcW w:w="426" w:type="pct"/>
            <w:vMerge w:val="continue"/>
            <w:vAlign w:val="center"/>
          </w:tcPr>
          <w:p w14:paraId="78B7D8BD">
            <w:pPr>
              <w:spacing w:line="240" w:lineRule="auto"/>
              <w:ind w:firstLine="0" w:firstLineChars="0"/>
              <w:jc w:val="center"/>
              <w:rPr>
                <w:color w:val="auto"/>
                <w:sz w:val="21"/>
                <w:szCs w:val="21"/>
              </w:rPr>
            </w:pPr>
          </w:p>
        </w:tc>
        <w:tc>
          <w:tcPr>
            <w:tcW w:w="480" w:type="pct"/>
            <w:vAlign w:val="center"/>
          </w:tcPr>
          <w:p w14:paraId="4002CAB7">
            <w:pPr>
              <w:spacing w:line="240" w:lineRule="auto"/>
              <w:ind w:firstLine="0" w:firstLineChars="0"/>
              <w:jc w:val="center"/>
              <w:rPr>
                <w:color w:val="auto"/>
                <w:sz w:val="21"/>
                <w:szCs w:val="21"/>
              </w:rPr>
            </w:pPr>
            <w:r>
              <w:rPr>
                <w:color w:val="auto"/>
                <w:sz w:val="21"/>
                <w:szCs w:val="21"/>
              </w:rPr>
              <w:t>桶装密封</w:t>
            </w:r>
          </w:p>
        </w:tc>
        <w:tc>
          <w:tcPr>
            <w:tcW w:w="349" w:type="pct"/>
            <w:vAlign w:val="center"/>
          </w:tcPr>
          <w:p w14:paraId="4627924A">
            <w:pPr>
              <w:spacing w:line="240" w:lineRule="auto"/>
              <w:ind w:firstLine="0" w:firstLineChars="0"/>
              <w:jc w:val="center"/>
              <w:rPr>
                <w:color w:val="auto"/>
                <w:sz w:val="21"/>
                <w:szCs w:val="21"/>
              </w:rPr>
            </w:pPr>
            <w:r>
              <w:rPr>
                <w:rFonts w:hint="eastAsia"/>
                <w:color w:val="auto"/>
                <w:sz w:val="21"/>
                <w:szCs w:val="21"/>
              </w:rPr>
              <w:t>30d</w:t>
            </w:r>
          </w:p>
        </w:tc>
      </w:tr>
      <w:tr w14:paraId="33D9C5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3C8CA367">
            <w:pPr>
              <w:spacing w:line="240" w:lineRule="auto"/>
              <w:ind w:firstLine="0" w:firstLineChars="0"/>
              <w:jc w:val="center"/>
              <w:rPr>
                <w:color w:val="auto"/>
                <w:sz w:val="21"/>
                <w:szCs w:val="21"/>
              </w:rPr>
            </w:pPr>
          </w:p>
        </w:tc>
        <w:tc>
          <w:tcPr>
            <w:tcW w:w="1095" w:type="pct"/>
            <w:gridSpan w:val="2"/>
            <w:vAlign w:val="center"/>
          </w:tcPr>
          <w:p w14:paraId="7A6579A9">
            <w:pPr>
              <w:tabs>
                <w:tab w:val="left" w:pos="2227"/>
              </w:tabs>
              <w:spacing w:line="240" w:lineRule="auto"/>
              <w:ind w:firstLine="0" w:firstLineChars="0"/>
              <w:jc w:val="center"/>
              <w:rPr>
                <w:color w:val="auto"/>
                <w:sz w:val="21"/>
                <w:szCs w:val="21"/>
              </w:rPr>
            </w:pPr>
            <w:r>
              <w:rPr>
                <w:rFonts w:hint="eastAsia"/>
                <w:color w:val="auto"/>
                <w:sz w:val="21"/>
                <w:szCs w:val="21"/>
              </w:rPr>
              <w:t>废试剂</w:t>
            </w:r>
          </w:p>
        </w:tc>
        <w:tc>
          <w:tcPr>
            <w:tcW w:w="652" w:type="pct"/>
            <w:vAlign w:val="center"/>
          </w:tcPr>
          <w:p w14:paraId="21F94108">
            <w:pPr>
              <w:spacing w:line="240" w:lineRule="auto"/>
              <w:ind w:firstLine="0" w:firstLineChars="0"/>
              <w:jc w:val="center"/>
              <w:rPr>
                <w:color w:val="auto"/>
                <w:sz w:val="21"/>
                <w:szCs w:val="21"/>
              </w:rPr>
            </w:pPr>
            <w:r>
              <w:rPr>
                <w:rFonts w:hint="eastAsia"/>
                <w:color w:val="auto"/>
                <w:sz w:val="21"/>
                <w:szCs w:val="21"/>
              </w:rPr>
              <w:t>HW49</w:t>
            </w:r>
          </w:p>
        </w:tc>
        <w:tc>
          <w:tcPr>
            <w:tcW w:w="618" w:type="pct"/>
            <w:vAlign w:val="center"/>
          </w:tcPr>
          <w:p w14:paraId="72409477">
            <w:pPr>
              <w:spacing w:line="240" w:lineRule="auto"/>
              <w:ind w:firstLine="0" w:firstLineChars="0"/>
              <w:jc w:val="center"/>
              <w:rPr>
                <w:color w:val="auto"/>
                <w:sz w:val="21"/>
                <w:szCs w:val="21"/>
              </w:rPr>
            </w:pPr>
            <w:r>
              <w:rPr>
                <w:rFonts w:hint="eastAsia"/>
                <w:color w:val="auto"/>
                <w:sz w:val="21"/>
                <w:szCs w:val="21"/>
              </w:rPr>
              <w:t>900-047-49</w:t>
            </w:r>
          </w:p>
        </w:tc>
        <w:tc>
          <w:tcPr>
            <w:tcW w:w="465" w:type="pct"/>
            <w:vMerge w:val="continue"/>
            <w:vAlign w:val="center"/>
          </w:tcPr>
          <w:p w14:paraId="328C7ACA">
            <w:pPr>
              <w:spacing w:line="240" w:lineRule="auto"/>
              <w:ind w:firstLine="0" w:firstLineChars="0"/>
              <w:jc w:val="center"/>
              <w:rPr>
                <w:color w:val="auto"/>
                <w:sz w:val="21"/>
                <w:szCs w:val="21"/>
              </w:rPr>
            </w:pPr>
          </w:p>
        </w:tc>
        <w:tc>
          <w:tcPr>
            <w:tcW w:w="426" w:type="pct"/>
            <w:vMerge w:val="continue"/>
            <w:vAlign w:val="center"/>
          </w:tcPr>
          <w:p w14:paraId="524F5E0A">
            <w:pPr>
              <w:spacing w:line="240" w:lineRule="auto"/>
              <w:ind w:firstLine="0" w:firstLineChars="0"/>
              <w:jc w:val="center"/>
              <w:rPr>
                <w:color w:val="auto"/>
                <w:sz w:val="21"/>
                <w:szCs w:val="21"/>
              </w:rPr>
            </w:pPr>
          </w:p>
        </w:tc>
        <w:tc>
          <w:tcPr>
            <w:tcW w:w="480" w:type="pct"/>
            <w:vAlign w:val="center"/>
          </w:tcPr>
          <w:p w14:paraId="49D78A7C">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6CE8A39E">
            <w:pPr>
              <w:spacing w:line="240" w:lineRule="auto"/>
              <w:ind w:firstLine="0" w:firstLineChars="0"/>
              <w:jc w:val="center"/>
              <w:rPr>
                <w:color w:val="auto"/>
                <w:sz w:val="21"/>
                <w:szCs w:val="21"/>
              </w:rPr>
            </w:pPr>
            <w:r>
              <w:rPr>
                <w:rFonts w:hint="eastAsia"/>
                <w:color w:val="auto"/>
                <w:sz w:val="21"/>
                <w:szCs w:val="21"/>
              </w:rPr>
              <w:t>30d</w:t>
            </w:r>
          </w:p>
        </w:tc>
      </w:tr>
      <w:tr w14:paraId="2C8236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44864EC5">
            <w:pPr>
              <w:spacing w:line="240" w:lineRule="auto"/>
              <w:ind w:firstLine="0" w:firstLineChars="0"/>
              <w:jc w:val="center"/>
              <w:rPr>
                <w:color w:val="auto"/>
                <w:sz w:val="21"/>
                <w:szCs w:val="21"/>
              </w:rPr>
            </w:pPr>
          </w:p>
        </w:tc>
        <w:tc>
          <w:tcPr>
            <w:tcW w:w="1095" w:type="pct"/>
            <w:gridSpan w:val="2"/>
            <w:vAlign w:val="center"/>
          </w:tcPr>
          <w:p w14:paraId="6F88BAB9">
            <w:pPr>
              <w:spacing w:line="240" w:lineRule="auto"/>
              <w:ind w:firstLine="0" w:firstLineChars="0"/>
              <w:jc w:val="center"/>
              <w:rPr>
                <w:color w:val="auto"/>
                <w:sz w:val="21"/>
                <w:szCs w:val="21"/>
              </w:rPr>
            </w:pPr>
            <w:r>
              <w:rPr>
                <w:rFonts w:hint="eastAsia"/>
                <w:color w:val="auto"/>
                <w:sz w:val="21"/>
                <w:szCs w:val="21"/>
              </w:rPr>
              <w:t>废化学品包装材料</w:t>
            </w:r>
          </w:p>
        </w:tc>
        <w:tc>
          <w:tcPr>
            <w:tcW w:w="652" w:type="pct"/>
            <w:vAlign w:val="center"/>
          </w:tcPr>
          <w:p w14:paraId="6B703F45">
            <w:pPr>
              <w:spacing w:line="240" w:lineRule="auto"/>
              <w:ind w:firstLine="0" w:firstLineChars="0"/>
              <w:jc w:val="center"/>
              <w:rPr>
                <w:color w:val="auto"/>
                <w:sz w:val="21"/>
                <w:szCs w:val="21"/>
              </w:rPr>
            </w:pPr>
            <w:r>
              <w:rPr>
                <w:rFonts w:hint="eastAsia"/>
                <w:color w:val="auto"/>
                <w:sz w:val="21"/>
                <w:szCs w:val="21"/>
              </w:rPr>
              <w:t>HW49</w:t>
            </w:r>
          </w:p>
        </w:tc>
        <w:tc>
          <w:tcPr>
            <w:tcW w:w="618" w:type="pct"/>
            <w:vAlign w:val="center"/>
          </w:tcPr>
          <w:p w14:paraId="4C3821D7">
            <w:pPr>
              <w:spacing w:line="240" w:lineRule="auto"/>
              <w:ind w:firstLine="0" w:firstLineChars="0"/>
              <w:jc w:val="center"/>
              <w:rPr>
                <w:color w:val="auto"/>
                <w:sz w:val="21"/>
                <w:szCs w:val="21"/>
              </w:rPr>
            </w:pPr>
            <w:r>
              <w:rPr>
                <w:rFonts w:hint="eastAsia"/>
                <w:color w:val="auto"/>
                <w:sz w:val="21"/>
                <w:szCs w:val="21"/>
              </w:rPr>
              <w:t>900-041-49</w:t>
            </w:r>
          </w:p>
        </w:tc>
        <w:tc>
          <w:tcPr>
            <w:tcW w:w="465" w:type="pct"/>
            <w:vMerge w:val="continue"/>
            <w:vAlign w:val="center"/>
          </w:tcPr>
          <w:p w14:paraId="207724FA">
            <w:pPr>
              <w:spacing w:line="240" w:lineRule="auto"/>
              <w:ind w:firstLine="0" w:firstLineChars="0"/>
              <w:jc w:val="center"/>
              <w:rPr>
                <w:color w:val="auto"/>
                <w:sz w:val="21"/>
                <w:szCs w:val="21"/>
              </w:rPr>
            </w:pPr>
          </w:p>
        </w:tc>
        <w:tc>
          <w:tcPr>
            <w:tcW w:w="426" w:type="pct"/>
            <w:vMerge w:val="continue"/>
            <w:vAlign w:val="center"/>
          </w:tcPr>
          <w:p w14:paraId="15D24591">
            <w:pPr>
              <w:spacing w:line="240" w:lineRule="auto"/>
              <w:ind w:firstLine="0" w:firstLineChars="0"/>
              <w:jc w:val="center"/>
              <w:rPr>
                <w:color w:val="auto"/>
                <w:sz w:val="21"/>
                <w:szCs w:val="21"/>
              </w:rPr>
            </w:pPr>
          </w:p>
        </w:tc>
        <w:tc>
          <w:tcPr>
            <w:tcW w:w="480" w:type="pct"/>
            <w:vAlign w:val="center"/>
          </w:tcPr>
          <w:p w14:paraId="3EC38EBD">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6F47B1F0">
            <w:pPr>
              <w:spacing w:line="240" w:lineRule="auto"/>
              <w:ind w:firstLine="0" w:firstLineChars="0"/>
              <w:jc w:val="center"/>
              <w:rPr>
                <w:color w:val="auto"/>
                <w:sz w:val="21"/>
                <w:szCs w:val="21"/>
              </w:rPr>
            </w:pPr>
            <w:r>
              <w:rPr>
                <w:rFonts w:hint="eastAsia"/>
                <w:color w:val="auto"/>
                <w:sz w:val="21"/>
                <w:szCs w:val="21"/>
              </w:rPr>
              <w:t>30d</w:t>
            </w:r>
          </w:p>
        </w:tc>
      </w:tr>
      <w:tr w14:paraId="5BBAA0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1A7B599D">
            <w:pPr>
              <w:spacing w:line="240" w:lineRule="auto"/>
              <w:ind w:firstLine="0" w:firstLineChars="0"/>
              <w:jc w:val="center"/>
              <w:rPr>
                <w:color w:val="auto"/>
                <w:sz w:val="21"/>
                <w:szCs w:val="21"/>
              </w:rPr>
            </w:pPr>
          </w:p>
        </w:tc>
        <w:tc>
          <w:tcPr>
            <w:tcW w:w="1095" w:type="pct"/>
            <w:gridSpan w:val="2"/>
            <w:vAlign w:val="center"/>
          </w:tcPr>
          <w:p w14:paraId="0929AB2A">
            <w:pPr>
              <w:tabs>
                <w:tab w:val="left" w:pos="2227"/>
              </w:tabs>
              <w:spacing w:line="240" w:lineRule="auto"/>
              <w:ind w:firstLine="0" w:firstLineChars="0"/>
              <w:jc w:val="center"/>
              <w:rPr>
                <w:color w:val="auto"/>
                <w:sz w:val="21"/>
                <w:szCs w:val="21"/>
              </w:rPr>
            </w:pPr>
            <w:r>
              <w:rPr>
                <w:rFonts w:hint="eastAsia"/>
                <w:color w:val="auto"/>
                <w:sz w:val="21"/>
                <w:szCs w:val="21"/>
              </w:rPr>
              <w:t>废机油</w:t>
            </w:r>
          </w:p>
        </w:tc>
        <w:tc>
          <w:tcPr>
            <w:tcW w:w="652" w:type="pct"/>
            <w:vAlign w:val="center"/>
          </w:tcPr>
          <w:p w14:paraId="1E98168B">
            <w:pPr>
              <w:spacing w:line="240" w:lineRule="auto"/>
              <w:ind w:firstLine="0" w:firstLineChars="0"/>
              <w:jc w:val="center"/>
              <w:rPr>
                <w:color w:val="auto"/>
                <w:sz w:val="21"/>
                <w:szCs w:val="21"/>
              </w:rPr>
            </w:pPr>
            <w:r>
              <w:rPr>
                <w:color w:val="auto"/>
                <w:sz w:val="21"/>
                <w:szCs w:val="21"/>
              </w:rPr>
              <w:t>HW08</w:t>
            </w:r>
          </w:p>
        </w:tc>
        <w:tc>
          <w:tcPr>
            <w:tcW w:w="618" w:type="pct"/>
            <w:vAlign w:val="center"/>
          </w:tcPr>
          <w:p w14:paraId="4BA59362">
            <w:pPr>
              <w:spacing w:line="240" w:lineRule="auto"/>
              <w:ind w:firstLine="0" w:firstLineChars="0"/>
              <w:jc w:val="center"/>
              <w:rPr>
                <w:color w:val="auto"/>
                <w:sz w:val="21"/>
                <w:szCs w:val="21"/>
              </w:rPr>
            </w:pPr>
            <w:r>
              <w:rPr>
                <w:color w:val="auto"/>
                <w:sz w:val="21"/>
                <w:szCs w:val="21"/>
              </w:rPr>
              <w:t>900-21</w:t>
            </w:r>
            <w:r>
              <w:rPr>
                <w:rFonts w:hint="eastAsia"/>
                <w:color w:val="auto"/>
                <w:sz w:val="21"/>
                <w:szCs w:val="21"/>
              </w:rPr>
              <w:t>7</w:t>
            </w:r>
            <w:r>
              <w:rPr>
                <w:color w:val="auto"/>
                <w:sz w:val="21"/>
                <w:szCs w:val="21"/>
              </w:rPr>
              <w:t>-08</w:t>
            </w:r>
          </w:p>
        </w:tc>
        <w:tc>
          <w:tcPr>
            <w:tcW w:w="465" w:type="pct"/>
            <w:vMerge w:val="continue"/>
            <w:vAlign w:val="center"/>
          </w:tcPr>
          <w:p w14:paraId="2A13FBFB">
            <w:pPr>
              <w:spacing w:line="240" w:lineRule="auto"/>
              <w:ind w:firstLine="0" w:firstLineChars="0"/>
              <w:jc w:val="center"/>
              <w:rPr>
                <w:color w:val="auto"/>
                <w:sz w:val="21"/>
                <w:szCs w:val="21"/>
              </w:rPr>
            </w:pPr>
          </w:p>
        </w:tc>
        <w:tc>
          <w:tcPr>
            <w:tcW w:w="426" w:type="pct"/>
            <w:vMerge w:val="continue"/>
            <w:vAlign w:val="center"/>
          </w:tcPr>
          <w:p w14:paraId="5BB69CCE">
            <w:pPr>
              <w:spacing w:line="240" w:lineRule="auto"/>
              <w:ind w:firstLine="0" w:firstLineChars="0"/>
              <w:jc w:val="center"/>
              <w:rPr>
                <w:color w:val="auto"/>
                <w:sz w:val="21"/>
                <w:szCs w:val="21"/>
              </w:rPr>
            </w:pPr>
          </w:p>
        </w:tc>
        <w:tc>
          <w:tcPr>
            <w:tcW w:w="480" w:type="pct"/>
            <w:vAlign w:val="center"/>
          </w:tcPr>
          <w:p w14:paraId="07AA75C3">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31747509">
            <w:pPr>
              <w:spacing w:line="240" w:lineRule="auto"/>
              <w:ind w:firstLine="0" w:firstLineChars="0"/>
              <w:jc w:val="center"/>
              <w:rPr>
                <w:color w:val="auto"/>
                <w:sz w:val="21"/>
                <w:szCs w:val="21"/>
              </w:rPr>
            </w:pPr>
            <w:r>
              <w:rPr>
                <w:rFonts w:hint="eastAsia"/>
                <w:color w:val="auto"/>
                <w:sz w:val="21"/>
                <w:szCs w:val="21"/>
              </w:rPr>
              <w:t>30d</w:t>
            </w:r>
          </w:p>
        </w:tc>
      </w:tr>
      <w:tr w14:paraId="31E304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21B6C936">
            <w:pPr>
              <w:spacing w:line="240" w:lineRule="auto"/>
              <w:ind w:firstLine="0" w:firstLineChars="0"/>
              <w:jc w:val="center"/>
              <w:rPr>
                <w:color w:val="auto"/>
                <w:sz w:val="21"/>
                <w:szCs w:val="21"/>
              </w:rPr>
            </w:pPr>
          </w:p>
        </w:tc>
        <w:tc>
          <w:tcPr>
            <w:tcW w:w="1095" w:type="pct"/>
            <w:gridSpan w:val="2"/>
            <w:vAlign w:val="center"/>
          </w:tcPr>
          <w:p w14:paraId="7C51EB10">
            <w:pPr>
              <w:tabs>
                <w:tab w:val="left" w:pos="2227"/>
              </w:tabs>
              <w:spacing w:line="240" w:lineRule="auto"/>
              <w:ind w:firstLine="0" w:firstLineChars="0"/>
              <w:jc w:val="center"/>
              <w:rPr>
                <w:color w:val="auto"/>
                <w:sz w:val="21"/>
                <w:szCs w:val="21"/>
              </w:rPr>
            </w:pPr>
            <w:r>
              <w:rPr>
                <w:rFonts w:hint="eastAsia"/>
                <w:color w:val="auto"/>
                <w:sz w:val="21"/>
                <w:szCs w:val="21"/>
              </w:rPr>
              <w:t>废液压油</w:t>
            </w:r>
          </w:p>
        </w:tc>
        <w:tc>
          <w:tcPr>
            <w:tcW w:w="652" w:type="pct"/>
            <w:vAlign w:val="center"/>
          </w:tcPr>
          <w:p w14:paraId="6DB3CBD5">
            <w:pPr>
              <w:spacing w:line="240" w:lineRule="auto"/>
              <w:ind w:firstLine="0" w:firstLineChars="0"/>
              <w:jc w:val="center"/>
              <w:rPr>
                <w:color w:val="auto"/>
                <w:sz w:val="21"/>
                <w:szCs w:val="21"/>
              </w:rPr>
            </w:pPr>
            <w:r>
              <w:rPr>
                <w:color w:val="auto"/>
                <w:sz w:val="21"/>
                <w:szCs w:val="21"/>
              </w:rPr>
              <w:t>HW08</w:t>
            </w:r>
          </w:p>
        </w:tc>
        <w:tc>
          <w:tcPr>
            <w:tcW w:w="618" w:type="pct"/>
            <w:vAlign w:val="center"/>
          </w:tcPr>
          <w:p w14:paraId="259F9082">
            <w:pPr>
              <w:spacing w:line="240" w:lineRule="auto"/>
              <w:ind w:firstLine="0" w:firstLineChars="0"/>
              <w:jc w:val="center"/>
              <w:rPr>
                <w:color w:val="auto"/>
                <w:sz w:val="21"/>
                <w:szCs w:val="21"/>
              </w:rPr>
            </w:pPr>
            <w:r>
              <w:rPr>
                <w:color w:val="auto"/>
                <w:sz w:val="21"/>
                <w:szCs w:val="21"/>
              </w:rPr>
              <w:t>900-21</w:t>
            </w:r>
            <w:r>
              <w:rPr>
                <w:rFonts w:hint="eastAsia"/>
                <w:color w:val="auto"/>
                <w:sz w:val="21"/>
                <w:szCs w:val="21"/>
              </w:rPr>
              <w:t>8</w:t>
            </w:r>
            <w:r>
              <w:rPr>
                <w:color w:val="auto"/>
                <w:sz w:val="21"/>
                <w:szCs w:val="21"/>
              </w:rPr>
              <w:t>-08</w:t>
            </w:r>
          </w:p>
        </w:tc>
        <w:tc>
          <w:tcPr>
            <w:tcW w:w="465" w:type="pct"/>
            <w:vMerge w:val="continue"/>
            <w:vAlign w:val="center"/>
          </w:tcPr>
          <w:p w14:paraId="757794E1">
            <w:pPr>
              <w:spacing w:line="240" w:lineRule="auto"/>
              <w:ind w:firstLine="0" w:firstLineChars="0"/>
              <w:jc w:val="center"/>
              <w:rPr>
                <w:color w:val="auto"/>
                <w:sz w:val="21"/>
                <w:szCs w:val="21"/>
              </w:rPr>
            </w:pPr>
          </w:p>
        </w:tc>
        <w:tc>
          <w:tcPr>
            <w:tcW w:w="426" w:type="pct"/>
            <w:vMerge w:val="continue"/>
            <w:vAlign w:val="center"/>
          </w:tcPr>
          <w:p w14:paraId="07976AC9">
            <w:pPr>
              <w:spacing w:line="240" w:lineRule="auto"/>
              <w:ind w:firstLine="0" w:firstLineChars="0"/>
              <w:jc w:val="center"/>
              <w:rPr>
                <w:color w:val="auto"/>
                <w:sz w:val="21"/>
                <w:szCs w:val="21"/>
              </w:rPr>
            </w:pPr>
          </w:p>
        </w:tc>
        <w:tc>
          <w:tcPr>
            <w:tcW w:w="480" w:type="pct"/>
            <w:vAlign w:val="center"/>
          </w:tcPr>
          <w:p w14:paraId="56E85BFD">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2B1DD0E1">
            <w:pPr>
              <w:spacing w:line="240" w:lineRule="auto"/>
              <w:ind w:firstLine="0" w:firstLineChars="0"/>
              <w:jc w:val="center"/>
              <w:rPr>
                <w:color w:val="auto"/>
                <w:sz w:val="21"/>
                <w:szCs w:val="21"/>
              </w:rPr>
            </w:pPr>
            <w:r>
              <w:rPr>
                <w:rFonts w:hint="eastAsia"/>
                <w:color w:val="auto"/>
                <w:sz w:val="21"/>
                <w:szCs w:val="21"/>
              </w:rPr>
              <w:t>30d</w:t>
            </w:r>
          </w:p>
        </w:tc>
      </w:tr>
      <w:tr w14:paraId="63FC0A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6D366E5B">
            <w:pPr>
              <w:spacing w:line="240" w:lineRule="auto"/>
              <w:ind w:firstLine="0" w:firstLineChars="0"/>
              <w:jc w:val="center"/>
              <w:rPr>
                <w:color w:val="auto"/>
                <w:sz w:val="21"/>
                <w:szCs w:val="21"/>
              </w:rPr>
            </w:pPr>
          </w:p>
        </w:tc>
        <w:tc>
          <w:tcPr>
            <w:tcW w:w="1095" w:type="pct"/>
            <w:gridSpan w:val="2"/>
            <w:vAlign w:val="center"/>
          </w:tcPr>
          <w:p w14:paraId="5C348448">
            <w:pPr>
              <w:tabs>
                <w:tab w:val="left" w:pos="2227"/>
              </w:tabs>
              <w:spacing w:line="240" w:lineRule="auto"/>
              <w:ind w:firstLine="0" w:firstLineChars="0"/>
              <w:jc w:val="center"/>
              <w:rPr>
                <w:color w:val="auto"/>
                <w:sz w:val="21"/>
                <w:szCs w:val="21"/>
              </w:rPr>
            </w:pPr>
            <w:r>
              <w:rPr>
                <w:rFonts w:hint="eastAsia"/>
                <w:color w:val="auto"/>
                <w:sz w:val="21"/>
                <w:szCs w:val="21"/>
              </w:rPr>
              <w:t>废油桶</w:t>
            </w:r>
          </w:p>
        </w:tc>
        <w:tc>
          <w:tcPr>
            <w:tcW w:w="652" w:type="pct"/>
            <w:vAlign w:val="center"/>
          </w:tcPr>
          <w:p w14:paraId="65C3954C">
            <w:pPr>
              <w:spacing w:line="240" w:lineRule="auto"/>
              <w:ind w:firstLine="0" w:firstLineChars="0"/>
              <w:jc w:val="center"/>
              <w:rPr>
                <w:color w:val="auto"/>
                <w:sz w:val="21"/>
                <w:szCs w:val="21"/>
              </w:rPr>
            </w:pPr>
            <w:r>
              <w:rPr>
                <w:color w:val="auto"/>
                <w:sz w:val="21"/>
                <w:szCs w:val="21"/>
              </w:rPr>
              <w:t>HW08</w:t>
            </w:r>
          </w:p>
        </w:tc>
        <w:tc>
          <w:tcPr>
            <w:tcW w:w="618" w:type="pct"/>
            <w:vAlign w:val="center"/>
          </w:tcPr>
          <w:p w14:paraId="1B4367F8">
            <w:pPr>
              <w:spacing w:line="240" w:lineRule="auto"/>
              <w:ind w:firstLine="0" w:firstLineChars="0"/>
              <w:jc w:val="center"/>
              <w:rPr>
                <w:color w:val="auto"/>
                <w:sz w:val="21"/>
                <w:szCs w:val="21"/>
              </w:rPr>
            </w:pPr>
            <w:r>
              <w:rPr>
                <w:color w:val="auto"/>
                <w:sz w:val="21"/>
                <w:szCs w:val="21"/>
              </w:rPr>
              <w:t>900-249-08</w:t>
            </w:r>
          </w:p>
        </w:tc>
        <w:tc>
          <w:tcPr>
            <w:tcW w:w="465" w:type="pct"/>
            <w:vMerge w:val="continue"/>
            <w:vAlign w:val="center"/>
          </w:tcPr>
          <w:p w14:paraId="03F84307">
            <w:pPr>
              <w:spacing w:line="240" w:lineRule="auto"/>
              <w:ind w:firstLine="0" w:firstLineChars="0"/>
              <w:jc w:val="center"/>
              <w:rPr>
                <w:color w:val="auto"/>
                <w:sz w:val="21"/>
                <w:szCs w:val="21"/>
              </w:rPr>
            </w:pPr>
          </w:p>
        </w:tc>
        <w:tc>
          <w:tcPr>
            <w:tcW w:w="426" w:type="pct"/>
            <w:vMerge w:val="continue"/>
            <w:vAlign w:val="center"/>
          </w:tcPr>
          <w:p w14:paraId="66302447">
            <w:pPr>
              <w:spacing w:line="240" w:lineRule="auto"/>
              <w:ind w:firstLine="0" w:firstLineChars="0"/>
              <w:jc w:val="center"/>
              <w:rPr>
                <w:color w:val="auto"/>
                <w:sz w:val="21"/>
                <w:szCs w:val="21"/>
              </w:rPr>
            </w:pPr>
          </w:p>
        </w:tc>
        <w:tc>
          <w:tcPr>
            <w:tcW w:w="480" w:type="pct"/>
            <w:vAlign w:val="center"/>
          </w:tcPr>
          <w:p w14:paraId="5FECB599">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16FF8773">
            <w:pPr>
              <w:spacing w:line="240" w:lineRule="auto"/>
              <w:ind w:firstLine="0" w:firstLineChars="0"/>
              <w:jc w:val="center"/>
              <w:rPr>
                <w:color w:val="auto"/>
                <w:sz w:val="21"/>
                <w:szCs w:val="21"/>
              </w:rPr>
            </w:pPr>
            <w:r>
              <w:rPr>
                <w:rFonts w:hint="eastAsia"/>
                <w:color w:val="auto"/>
                <w:sz w:val="21"/>
                <w:szCs w:val="21"/>
              </w:rPr>
              <w:t>30d</w:t>
            </w:r>
          </w:p>
        </w:tc>
      </w:tr>
      <w:tr w14:paraId="10753E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Merge w:val="continue"/>
            <w:vAlign w:val="center"/>
          </w:tcPr>
          <w:p w14:paraId="572F0517">
            <w:pPr>
              <w:spacing w:line="240" w:lineRule="auto"/>
              <w:ind w:firstLine="0" w:firstLineChars="0"/>
              <w:jc w:val="center"/>
              <w:rPr>
                <w:color w:val="auto"/>
                <w:sz w:val="21"/>
                <w:szCs w:val="21"/>
              </w:rPr>
            </w:pPr>
          </w:p>
        </w:tc>
        <w:tc>
          <w:tcPr>
            <w:tcW w:w="1095" w:type="pct"/>
            <w:gridSpan w:val="2"/>
            <w:vAlign w:val="center"/>
          </w:tcPr>
          <w:p w14:paraId="41E33313">
            <w:pPr>
              <w:spacing w:line="240" w:lineRule="auto"/>
              <w:ind w:firstLine="0" w:firstLineChars="0"/>
              <w:jc w:val="center"/>
              <w:rPr>
                <w:color w:val="auto"/>
                <w:sz w:val="21"/>
                <w:szCs w:val="21"/>
              </w:rPr>
            </w:pPr>
            <w:r>
              <w:rPr>
                <w:rFonts w:hint="eastAsia"/>
                <w:color w:val="auto"/>
                <w:sz w:val="21"/>
                <w:szCs w:val="21"/>
              </w:rPr>
              <w:t>废劳保用品</w:t>
            </w:r>
          </w:p>
        </w:tc>
        <w:tc>
          <w:tcPr>
            <w:tcW w:w="652" w:type="pct"/>
            <w:shd w:val="clear" w:color="auto" w:fill="auto"/>
            <w:vAlign w:val="center"/>
          </w:tcPr>
          <w:p w14:paraId="442B3313">
            <w:pPr>
              <w:spacing w:line="240" w:lineRule="auto"/>
              <w:ind w:firstLine="0" w:firstLineChars="0"/>
              <w:jc w:val="center"/>
              <w:rPr>
                <w:color w:val="auto"/>
                <w:sz w:val="21"/>
                <w:szCs w:val="21"/>
              </w:rPr>
            </w:pPr>
            <w:r>
              <w:rPr>
                <w:rFonts w:hint="eastAsia"/>
                <w:color w:val="auto"/>
                <w:sz w:val="21"/>
                <w:szCs w:val="21"/>
              </w:rPr>
              <w:t>HW49</w:t>
            </w:r>
          </w:p>
        </w:tc>
        <w:tc>
          <w:tcPr>
            <w:tcW w:w="618" w:type="pct"/>
            <w:shd w:val="clear" w:color="auto" w:fill="auto"/>
            <w:vAlign w:val="center"/>
          </w:tcPr>
          <w:p w14:paraId="48532B35">
            <w:pPr>
              <w:spacing w:line="240" w:lineRule="auto"/>
              <w:ind w:firstLine="0" w:firstLineChars="0"/>
              <w:jc w:val="center"/>
              <w:rPr>
                <w:color w:val="auto"/>
                <w:sz w:val="21"/>
                <w:szCs w:val="21"/>
              </w:rPr>
            </w:pPr>
            <w:r>
              <w:rPr>
                <w:rFonts w:hint="eastAsia"/>
                <w:color w:val="auto"/>
                <w:sz w:val="21"/>
                <w:szCs w:val="21"/>
              </w:rPr>
              <w:t>900-041-49</w:t>
            </w:r>
          </w:p>
        </w:tc>
        <w:tc>
          <w:tcPr>
            <w:tcW w:w="465" w:type="pct"/>
            <w:vMerge w:val="continue"/>
            <w:vAlign w:val="center"/>
          </w:tcPr>
          <w:p w14:paraId="39AD58C9">
            <w:pPr>
              <w:spacing w:line="240" w:lineRule="auto"/>
              <w:ind w:firstLine="0" w:firstLineChars="0"/>
              <w:jc w:val="center"/>
              <w:rPr>
                <w:color w:val="auto"/>
                <w:sz w:val="21"/>
                <w:szCs w:val="21"/>
              </w:rPr>
            </w:pPr>
          </w:p>
        </w:tc>
        <w:tc>
          <w:tcPr>
            <w:tcW w:w="426" w:type="pct"/>
            <w:vMerge w:val="continue"/>
            <w:vAlign w:val="center"/>
          </w:tcPr>
          <w:p w14:paraId="4A33EA44">
            <w:pPr>
              <w:spacing w:line="240" w:lineRule="auto"/>
              <w:ind w:firstLine="0" w:firstLineChars="0"/>
              <w:jc w:val="center"/>
              <w:rPr>
                <w:color w:val="auto"/>
                <w:sz w:val="21"/>
                <w:szCs w:val="21"/>
              </w:rPr>
            </w:pPr>
          </w:p>
        </w:tc>
        <w:tc>
          <w:tcPr>
            <w:tcW w:w="480" w:type="pct"/>
            <w:vAlign w:val="center"/>
          </w:tcPr>
          <w:p w14:paraId="44AF04F9">
            <w:pPr>
              <w:spacing w:line="240" w:lineRule="auto"/>
              <w:ind w:firstLine="0" w:firstLineChars="0"/>
              <w:jc w:val="center"/>
              <w:rPr>
                <w:color w:val="auto"/>
                <w:sz w:val="21"/>
                <w:szCs w:val="21"/>
              </w:rPr>
            </w:pPr>
            <w:r>
              <w:rPr>
                <w:color w:val="auto"/>
                <w:sz w:val="21"/>
                <w:szCs w:val="21"/>
              </w:rPr>
              <w:t>桶装密封</w:t>
            </w:r>
          </w:p>
        </w:tc>
        <w:tc>
          <w:tcPr>
            <w:tcW w:w="349" w:type="pct"/>
            <w:shd w:val="clear" w:color="auto" w:fill="auto"/>
            <w:vAlign w:val="center"/>
          </w:tcPr>
          <w:p w14:paraId="095EAF3C">
            <w:pPr>
              <w:spacing w:line="240" w:lineRule="auto"/>
              <w:ind w:firstLine="0" w:firstLineChars="0"/>
              <w:jc w:val="center"/>
              <w:rPr>
                <w:color w:val="auto"/>
                <w:sz w:val="21"/>
                <w:szCs w:val="21"/>
              </w:rPr>
            </w:pPr>
            <w:r>
              <w:rPr>
                <w:rFonts w:hint="eastAsia"/>
                <w:color w:val="auto"/>
                <w:sz w:val="21"/>
                <w:szCs w:val="21"/>
              </w:rPr>
              <w:t>30d</w:t>
            </w:r>
          </w:p>
        </w:tc>
      </w:tr>
      <w:tr w14:paraId="67554F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vAlign w:val="center"/>
          </w:tcPr>
          <w:p w14:paraId="7CDA6DD5">
            <w:pPr>
              <w:spacing w:line="240" w:lineRule="auto"/>
              <w:ind w:firstLine="0" w:firstLineChars="0"/>
              <w:jc w:val="center"/>
              <w:rPr>
                <w:color w:val="auto"/>
                <w:sz w:val="21"/>
                <w:szCs w:val="21"/>
              </w:rPr>
            </w:pPr>
            <w:r>
              <w:rPr>
                <w:rFonts w:hint="eastAsia"/>
                <w:color w:val="auto"/>
                <w:sz w:val="21"/>
                <w:szCs w:val="21"/>
              </w:rPr>
              <w:t>污泥堆场</w:t>
            </w:r>
          </w:p>
        </w:tc>
        <w:tc>
          <w:tcPr>
            <w:tcW w:w="1095" w:type="pct"/>
            <w:gridSpan w:val="2"/>
            <w:vAlign w:val="center"/>
          </w:tcPr>
          <w:p w14:paraId="62B480E8">
            <w:pPr>
              <w:spacing w:line="240" w:lineRule="auto"/>
              <w:ind w:firstLine="0" w:firstLineChars="0"/>
              <w:jc w:val="center"/>
              <w:rPr>
                <w:color w:val="auto"/>
                <w:sz w:val="21"/>
                <w:szCs w:val="21"/>
              </w:rPr>
            </w:pPr>
            <w:r>
              <w:rPr>
                <w:rFonts w:hint="eastAsia"/>
                <w:color w:val="auto"/>
                <w:sz w:val="21"/>
                <w:szCs w:val="21"/>
              </w:rPr>
              <w:t>碱回收污泥</w:t>
            </w:r>
          </w:p>
        </w:tc>
        <w:tc>
          <w:tcPr>
            <w:tcW w:w="652" w:type="pct"/>
            <w:shd w:val="clear" w:color="auto" w:fill="auto"/>
            <w:vAlign w:val="center"/>
          </w:tcPr>
          <w:p w14:paraId="41C2404A">
            <w:pPr>
              <w:spacing w:line="240" w:lineRule="auto"/>
              <w:ind w:firstLine="0" w:firstLineChars="0"/>
              <w:jc w:val="center"/>
              <w:rPr>
                <w:color w:val="auto"/>
                <w:sz w:val="21"/>
                <w:szCs w:val="21"/>
              </w:rPr>
            </w:pPr>
            <w:r>
              <w:rPr>
                <w:rFonts w:hint="eastAsia"/>
                <w:color w:val="auto"/>
                <w:sz w:val="21"/>
                <w:szCs w:val="21"/>
              </w:rPr>
              <w:t>HW49</w:t>
            </w:r>
          </w:p>
        </w:tc>
        <w:tc>
          <w:tcPr>
            <w:tcW w:w="618" w:type="pct"/>
            <w:shd w:val="clear" w:color="auto" w:fill="auto"/>
            <w:vAlign w:val="center"/>
          </w:tcPr>
          <w:p w14:paraId="542921F6">
            <w:pPr>
              <w:spacing w:line="240" w:lineRule="auto"/>
              <w:ind w:firstLine="0" w:firstLineChars="0"/>
              <w:jc w:val="center"/>
              <w:rPr>
                <w:color w:val="auto"/>
                <w:sz w:val="21"/>
                <w:szCs w:val="21"/>
              </w:rPr>
            </w:pPr>
            <w:r>
              <w:rPr>
                <w:rFonts w:hint="eastAsia"/>
                <w:color w:val="auto"/>
                <w:sz w:val="21"/>
                <w:szCs w:val="21"/>
              </w:rPr>
              <w:t>900-047-49</w:t>
            </w:r>
          </w:p>
        </w:tc>
        <w:tc>
          <w:tcPr>
            <w:tcW w:w="465" w:type="pct"/>
            <w:vAlign w:val="center"/>
          </w:tcPr>
          <w:p w14:paraId="4908B45B">
            <w:pPr>
              <w:spacing w:line="240" w:lineRule="auto"/>
              <w:ind w:firstLine="0" w:firstLineChars="0"/>
              <w:jc w:val="center"/>
              <w:rPr>
                <w:color w:val="auto"/>
                <w:sz w:val="21"/>
                <w:szCs w:val="21"/>
              </w:rPr>
            </w:pPr>
            <w:r>
              <w:rPr>
                <w:rFonts w:hint="eastAsia"/>
                <w:color w:val="auto"/>
                <w:sz w:val="21"/>
                <w:szCs w:val="21"/>
              </w:rPr>
              <w:t>阳极氧化车间旁</w:t>
            </w:r>
          </w:p>
        </w:tc>
        <w:tc>
          <w:tcPr>
            <w:tcW w:w="426" w:type="pct"/>
            <w:vAlign w:val="center"/>
          </w:tcPr>
          <w:p w14:paraId="6DFBE6AA">
            <w:pPr>
              <w:spacing w:line="240" w:lineRule="auto"/>
              <w:ind w:firstLine="0" w:firstLineChars="0"/>
              <w:jc w:val="center"/>
              <w:rPr>
                <w:color w:val="auto"/>
                <w:sz w:val="21"/>
                <w:szCs w:val="21"/>
              </w:rPr>
            </w:pPr>
            <w:r>
              <w:rPr>
                <w:rFonts w:hint="eastAsia"/>
                <w:color w:val="auto"/>
                <w:sz w:val="21"/>
                <w:szCs w:val="21"/>
              </w:rPr>
              <w:t>135</w:t>
            </w:r>
            <w:r>
              <w:rPr>
                <w:color w:val="auto"/>
                <w:sz w:val="21"/>
                <w:szCs w:val="21"/>
              </w:rPr>
              <w:t>m</w:t>
            </w:r>
            <w:r>
              <w:rPr>
                <w:color w:val="auto"/>
                <w:sz w:val="21"/>
                <w:szCs w:val="21"/>
                <w:vertAlign w:val="superscript"/>
              </w:rPr>
              <w:t>2</w:t>
            </w:r>
          </w:p>
        </w:tc>
        <w:tc>
          <w:tcPr>
            <w:tcW w:w="480" w:type="pct"/>
            <w:vAlign w:val="center"/>
          </w:tcPr>
          <w:p w14:paraId="73CCFF44">
            <w:pPr>
              <w:spacing w:line="240" w:lineRule="auto"/>
              <w:ind w:firstLine="0" w:firstLineChars="0"/>
              <w:jc w:val="center"/>
              <w:rPr>
                <w:color w:val="auto"/>
                <w:sz w:val="21"/>
                <w:szCs w:val="21"/>
              </w:rPr>
            </w:pPr>
            <w:r>
              <w:rPr>
                <w:color w:val="auto"/>
                <w:sz w:val="21"/>
                <w:szCs w:val="21"/>
              </w:rPr>
              <w:t>桶装密封</w:t>
            </w:r>
          </w:p>
        </w:tc>
        <w:tc>
          <w:tcPr>
            <w:tcW w:w="349" w:type="pct"/>
            <w:vAlign w:val="center"/>
          </w:tcPr>
          <w:p w14:paraId="1A69C91E">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-/5d*</w:t>
            </w:r>
          </w:p>
        </w:tc>
      </w:tr>
    </w:tbl>
    <w:p w14:paraId="3DCBEA45">
      <w:pPr>
        <w:spacing w:line="240" w:lineRule="auto"/>
        <w:ind w:left="0" w:leftChars="0" w:firstLine="0" w:firstLineChars="0"/>
        <w:rPr>
          <w:rFonts w:hint="default" w:eastAsia="宋体"/>
          <w:b/>
          <w:bCs/>
          <w:color w:val="auto"/>
          <w:sz w:val="22"/>
          <w:szCs w:val="28"/>
          <w:lang w:val="en-US" w:eastAsia="zh-CN"/>
        </w:rPr>
      </w:pPr>
      <w:r>
        <w:rPr>
          <w:rFonts w:hint="eastAsia"/>
          <w:b/>
          <w:bCs/>
          <w:color w:val="auto"/>
          <w:sz w:val="22"/>
          <w:szCs w:val="28"/>
          <w:lang w:val="en-US" w:eastAsia="zh-CN"/>
        </w:rPr>
        <w:t>注：*</w:t>
      </w:r>
      <w:r>
        <w:rPr>
          <w:rFonts w:hint="eastAsia"/>
          <w:b w:val="0"/>
          <w:bCs w:val="0"/>
          <w:color w:val="auto"/>
          <w:sz w:val="22"/>
          <w:szCs w:val="28"/>
          <w:lang w:val="en-US" w:eastAsia="zh-CN"/>
        </w:rPr>
        <w:t>“/”前为正常情况下贮存周期，“/”后为非正常情况下贮存周期。正常情况下碱回收污泥每天转运一次，不在厂区内暂存；非正常情况下，碱回收污泥暂存于135m</w:t>
      </w:r>
      <w:r>
        <w:rPr>
          <w:rFonts w:hint="eastAsia"/>
          <w:b w:val="0"/>
          <w:bCs w:val="0"/>
          <w:color w:val="auto"/>
          <w:sz w:val="22"/>
          <w:szCs w:val="28"/>
          <w:vertAlign w:val="superscript"/>
          <w:lang w:val="en-US" w:eastAsia="zh-CN"/>
        </w:rPr>
        <w:t>2</w:t>
      </w:r>
      <w:r>
        <w:rPr>
          <w:rFonts w:hint="eastAsia"/>
          <w:b w:val="0"/>
          <w:bCs w:val="0"/>
          <w:color w:val="auto"/>
          <w:sz w:val="22"/>
          <w:szCs w:val="28"/>
          <w:lang w:val="en-US" w:eastAsia="zh-CN"/>
        </w:rPr>
        <w:t>污泥堆场，且暂存周期不超过5d。</w:t>
      </w:r>
    </w:p>
    <w:p w14:paraId="4EDD85A5">
      <w:pPr>
        <w:keepNext w:val="0"/>
        <w:keepLines w:val="0"/>
        <w:pageBreakBefore w:val="0"/>
        <w:widowControl w:val="0"/>
        <w:kinsoku/>
        <w:wordWrap/>
        <w:overflowPunct/>
        <w:topLinePunct w:val="0"/>
        <w:autoSpaceDE/>
        <w:autoSpaceDN/>
        <w:bidi w:val="0"/>
        <w:adjustRightInd w:val="0"/>
        <w:snapToGrid w:val="0"/>
        <w:ind w:left="120" w:leftChars="50" w:firstLine="482"/>
        <w:textAlignment w:val="auto"/>
        <w:rPr>
          <w:b/>
          <w:bCs/>
          <w:color w:val="auto"/>
          <w:szCs w:val="32"/>
        </w:rPr>
      </w:pPr>
      <w:r>
        <w:rPr>
          <w:rFonts w:hint="eastAsia"/>
          <w:b/>
          <w:bCs/>
          <w:color w:val="auto"/>
          <w:szCs w:val="32"/>
        </w:rPr>
        <w:t>2、一般工业固废暂存库</w:t>
      </w:r>
    </w:p>
    <w:p w14:paraId="235CEBD3">
      <w:pPr>
        <w:ind w:firstLine="480"/>
        <w:rPr>
          <w:color w:val="auto"/>
          <w:szCs w:val="32"/>
        </w:rPr>
      </w:pPr>
      <w:r>
        <w:rPr>
          <w:rFonts w:hint="eastAsia"/>
          <w:color w:val="auto"/>
          <w:szCs w:val="32"/>
        </w:rPr>
        <w:t>本项目拟设置一般固废暂存间面积100m</w:t>
      </w:r>
      <w:r>
        <w:rPr>
          <w:rFonts w:hint="eastAsia"/>
          <w:color w:val="auto"/>
          <w:szCs w:val="32"/>
          <w:vertAlign w:val="superscript"/>
        </w:rPr>
        <w:t>2</w:t>
      </w:r>
      <w:r>
        <w:rPr>
          <w:rFonts w:hint="eastAsia"/>
          <w:color w:val="auto"/>
          <w:szCs w:val="32"/>
        </w:rPr>
        <w:t>，需按照《一般工业固体废物贮存和填埋污染控制标准》（GB18599-2020）中相关要求建设，地面基础及内墙采取防渗措施</w:t>
      </w:r>
      <w:r>
        <w:rPr>
          <w:rFonts w:hint="eastAsia"/>
          <w:color w:val="auto"/>
          <w:szCs w:val="32"/>
          <w:lang w:eastAsia="zh-CN"/>
        </w:rPr>
        <w:t>，</w:t>
      </w:r>
      <w:r>
        <w:rPr>
          <w:rFonts w:hint="eastAsia"/>
          <w:color w:val="auto"/>
          <w:szCs w:val="32"/>
        </w:rPr>
        <w:t>使用防水混凝土</w:t>
      </w:r>
      <w:r>
        <w:rPr>
          <w:rFonts w:hint="eastAsia"/>
          <w:color w:val="auto"/>
          <w:szCs w:val="32"/>
          <w:lang w:eastAsia="zh-CN"/>
        </w:rPr>
        <w:t>，</w:t>
      </w:r>
      <w:r>
        <w:rPr>
          <w:rFonts w:hint="eastAsia"/>
          <w:color w:val="auto"/>
          <w:szCs w:val="32"/>
        </w:rPr>
        <w:t>地面做防滑处理</w:t>
      </w:r>
      <w:r>
        <w:rPr>
          <w:rFonts w:hint="eastAsia"/>
          <w:color w:val="auto"/>
          <w:szCs w:val="32"/>
          <w:lang w:eastAsia="zh-CN"/>
        </w:rPr>
        <w:t>，</w:t>
      </w:r>
      <w:r>
        <w:rPr>
          <w:rFonts w:hint="eastAsia"/>
          <w:color w:val="auto"/>
          <w:szCs w:val="32"/>
        </w:rPr>
        <w:t>一般固废暂存间渗透系统达到1×10</w:t>
      </w:r>
      <w:r>
        <w:rPr>
          <w:rFonts w:hint="eastAsia"/>
          <w:color w:val="auto"/>
          <w:szCs w:val="32"/>
          <w:vertAlign w:val="superscript"/>
        </w:rPr>
        <w:t>-7</w:t>
      </w:r>
      <w:r>
        <w:rPr>
          <w:rFonts w:hint="eastAsia"/>
          <w:color w:val="auto"/>
          <w:szCs w:val="32"/>
        </w:rPr>
        <w:t>cm/s。本项目一般工业固废产生量为24742.21t/a（其中综合废水污泥18000t/a），一般固废暂存间贮存能力为80t。其中综合废水污泥，每天转运一次，</w:t>
      </w:r>
      <w:r>
        <w:rPr>
          <w:rFonts w:hint="eastAsia"/>
          <w:color w:val="auto"/>
          <w:szCs w:val="32"/>
          <w:lang w:val="en-US" w:eastAsia="zh-CN"/>
        </w:rPr>
        <w:t>正常情况下</w:t>
      </w:r>
      <w:r>
        <w:rPr>
          <w:rFonts w:hint="eastAsia"/>
          <w:color w:val="auto"/>
          <w:szCs w:val="32"/>
        </w:rPr>
        <w:t>不在厂区内暂存</w:t>
      </w:r>
      <w:r>
        <w:rPr>
          <w:rFonts w:hint="eastAsia"/>
          <w:color w:val="auto"/>
          <w:szCs w:val="32"/>
          <w:lang w:eastAsia="zh-CN"/>
        </w:rPr>
        <w:t>；</w:t>
      </w:r>
      <w:r>
        <w:rPr>
          <w:rFonts w:hint="eastAsia"/>
          <w:color w:val="auto"/>
          <w:szCs w:val="32"/>
          <w:lang w:val="en-US" w:eastAsia="zh-CN"/>
        </w:rPr>
        <w:t>非正常情况下，</w:t>
      </w:r>
      <w:r>
        <w:rPr>
          <w:rFonts w:hint="eastAsia"/>
          <w:color w:val="auto"/>
          <w:lang w:val="en-US" w:eastAsia="zh-CN"/>
        </w:rPr>
        <w:t>综合废水污泥暂存于</w:t>
      </w:r>
      <w:r>
        <w:rPr>
          <w:rFonts w:hint="eastAsia"/>
          <w:color w:val="auto"/>
        </w:rPr>
        <w:t>135</w:t>
      </w:r>
      <w:r>
        <w:rPr>
          <w:color w:val="auto"/>
        </w:rPr>
        <w:t>m</w:t>
      </w:r>
      <w:r>
        <w:rPr>
          <w:color w:val="auto"/>
          <w:vertAlign w:val="superscript"/>
        </w:rPr>
        <w:t>2</w:t>
      </w:r>
      <w:r>
        <w:rPr>
          <w:rFonts w:hint="eastAsia"/>
          <w:color w:val="auto"/>
        </w:rPr>
        <w:t>污泥堆场</w:t>
      </w:r>
      <w:r>
        <w:rPr>
          <w:rFonts w:hint="eastAsia"/>
          <w:color w:val="auto"/>
          <w:lang w:eastAsia="zh-CN"/>
        </w:rPr>
        <w:t>，</w:t>
      </w:r>
      <w:r>
        <w:rPr>
          <w:rFonts w:hint="eastAsia"/>
          <w:color w:val="auto"/>
          <w:lang w:val="en-US" w:eastAsia="zh-CN"/>
        </w:rPr>
        <w:t>暂存时间不超过3天</w:t>
      </w:r>
      <w:r>
        <w:rPr>
          <w:rFonts w:hint="eastAsia"/>
          <w:color w:val="auto"/>
          <w:szCs w:val="32"/>
        </w:rPr>
        <w:t>。其余一般固废在厂区最长贮存时间不超过30天，企业拟设置的一般固废暂存间能满足本项目一般工业固废贮存要求，因此企业一般工业固废暂存间设置是合理的。</w:t>
      </w:r>
    </w:p>
    <w:p w14:paraId="3ECFD22C">
      <w:pPr>
        <w:ind w:firstLine="482"/>
        <w:rPr>
          <w:b/>
          <w:bCs/>
          <w:color w:val="auto"/>
          <w:szCs w:val="32"/>
        </w:rPr>
      </w:pPr>
      <w:r>
        <w:rPr>
          <w:rFonts w:hint="eastAsia"/>
          <w:b/>
          <w:bCs/>
          <w:color w:val="auto"/>
          <w:szCs w:val="32"/>
        </w:rPr>
        <w:t>3、生活垃圾</w:t>
      </w:r>
    </w:p>
    <w:p w14:paraId="45BEB7A1">
      <w:pPr>
        <w:ind w:firstLine="480"/>
        <w:rPr>
          <w:color w:val="auto"/>
          <w:szCs w:val="32"/>
        </w:rPr>
      </w:pPr>
      <w:r>
        <w:rPr>
          <w:rFonts w:hint="eastAsia"/>
          <w:color w:val="auto"/>
          <w:szCs w:val="32"/>
        </w:rPr>
        <w:t>项目在办公区设置垃圾箱对生活垃圾进行收集暂存，每日委托环卫部门进行清运，垃圾暂存设施可满足需求。</w:t>
      </w:r>
    </w:p>
    <w:p w14:paraId="40976691">
      <w:pPr>
        <w:ind w:firstLine="480"/>
        <w:rPr>
          <w:color w:val="auto"/>
          <w:szCs w:val="32"/>
        </w:rPr>
      </w:pPr>
      <w:r>
        <w:rPr>
          <w:rFonts w:hint="eastAsia"/>
          <w:color w:val="auto"/>
          <w:szCs w:val="32"/>
        </w:rPr>
        <w:t>为确保项目固废的安全处置，建设单位应加强对固体废物的日常管理，主要包括：</w:t>
      </w:r>
    </w:p>
    <w:p w14:paraId="0B46A2AB">
      <w:pPr>
        <w:ind w:firstLine="480"/>
        <w:rPr>
          <w:color w:val="auto"/>
          <w:szCs w:val="32"/>
        </w:rPr>
      </w:pPr>
      <w:r>
        <w:rPr>
          <w:rFonts w:hint="eastAsia"/>
          <w:color w:val="auto"/>
          <w:szCs w:val="32"/>
        </w:rPr>
        <w:t>①建设单位须做好危险废物情况的记录，记录上须注明危险废物的名称、来源、数量、特性和包装容器的类别、入库日期、存放库位、废物出库日期及接收单位名称；</w:t>
      </w:r>
    </w:p>
    <w:p w14:paraId="2FDB335E">
      <w:pPr>
        <w:ind w:firstLine="480"/>
        <w:rPr>
          <w:color w:val="auto"/>
          <w:szCs w:val="32"/>
        </w:rPr>
      </w:pPr>
      <w:r>
        <w:rPr>
          <w:rFonts w:hint="eastAsia"/>
          <w:color w:val="auto"/>
          <w:szCs w:val="32"/>
        </w:rPr>
        <w:t>②必须定期对所贮存的危险废物包装容器及贮存设施进行检查，发现破损，应及时采取措施清理更换；</w:t>
      </w:r>
    </w:p>
    <w:p w14:paraId="074E6E4D">
      <w:pPr>
        <w:ind w:firstLine="480"/>
        <w:rPr>
          <w:color w:val="auto"/>
          <w:szCs w:val="32"/>
        </w:rPr>
      </w:pPr>
      <w:r>
        <w:rPr>
          <w:rFonts w:hint="eastAsia"/>
          <w:color w:val="auto"/>
          <w:szCs w:val="32"/>
        </w:rPr>
        <w:t>③对危险废物的转移运输要实行《危险废物转移联单管理办法》，实行五联单制度，运出单位及当地环保部门、运输单位、接收单位及当地环保部门进行跟踪联单；</w:t>
      </w:r>
    </w:p>
    <w:p w14:paraId="66EA2895">
      <w:pPr>
        <w:ind w:firstLine="480"/>
        <w:rPr>
          <w:color w:val="auto"/>
          <w:szCs w:val="32"/>
        </w:rPr>
      </w:pPr>
      <w:r>
        <w:rPr>
          <w:rFonts w:hint="eastAsia"/>
          <w:color w:val="auto"/>
          <w:szCs w:val="32"/>
        </w:rPr>
        <w:t>综上所述，本项目的固体废物均可以妥善处理，对环境影响较小。</w:t>
      </w:r>
    </w:p>
    <w:bookmarkEnd w:id="167"/>
    <w:bookmarkEnd w:id="168"/>
    <w:bookmarkEnd w:id="169"/>
    <w:bookmarkEnd w:id="170"/>
    <w:bookmarkEnd w:id="171"/>
    <w:bookmarkEnd w:id="172"/>
    <w:bookmarkEnd w:id="173"/>
    <w:bookmarkEnd w:id="174"/>
    <w:bookmarkEnd w:id="175"/>
    <w:bookmarkEnd w:id="176"/>
    <w:bookmarkEnd w:id="177"/>
    <w:bookmarkEnd w:id="178"/>
    <w:p w14:paraId="4023C734">
      <w:pPr>
        <w:pStyle w:val="5"/>
        <w:spacing w:beforeLines="50" w:after="0"/>
        <w:ind w:firstLine="0" w:firstLineChars="0"/>
        <w:rPr>
          <w:color w:val="auto"/>
          <w:sz w:val="28"/>
          <w:szCs w:val="36"/>
        </w:rPr>
      </w:pPr>
      <w:bookmarkStart w:id="184" w:name="_Toc135637592"/>
      <w:bookmarkStart w:id="185" w:name="_Toc475202277"/>
      <w:bookmarkStart w:id="186" w:name="_Toc171927556"/>
      <w:bookmarkStart w:id="187" w:name="_Toc137606427"/>
      <w:bookmarkStart w:id="188" w:name="_Toc135202906"/>
      <w:bookmarkStart w:id="189" w:name="_Toc153683355"/>
      <w:bookmarkStart w:id="190" w:name="_Toc160335893"/>
      <w:bookmarkStart w:id="191" w:name="_Toc135637714"/>
      <w:bookmarkStart w:id="192" w:name="_Toc478027410"/>
      <w:bookmarkStart w:id="193" w:name="_Toc152511743"/>
      <w:bookmarkStart w:id="194" w:name="_Toc87412731"/>
      <w:bookmarkStart w:id="195" w:name="_Toc486868136"/>
      <w:bookmarkStart w:id="196" w:name="_Toc161680981"/>
      <w:bookmarkStart w:id="197" w:name="_Toc164847777"/>
      <w:r>
        <w:rPr>
          <w:rFonts w:hint="eastAsia"/>
          <w:color w:val="auto"/>
          <w:sz w:val="28"/>
          <w:szCs w:val="36"/>
        </w:rPr>
        <w:t>7</w:t>
      </w:r>
      <w:r>
        <w:rPr>
          <w:color w:val="auto"/>
          <w:sz w:val="28"/>
          <w:szCs w:val="36"/>
        </w:rPr>
        <w:t>.2.5 土壤、地下水污染防治措施评述</w:t>
      </w:r>
    </w:p>
    <w:bookmarkEnd w:id="179"/>
    <w:bookmarkEnd w:id="180"/>
    <w:bookmarkEnd w:id="18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14:paraId="379DDF05">
      <w:pPr>
        <w:pStyle w:val="6"/>
        <w:spacing w:beforeLines="50" w:after="0" w:line="360" w:lineRule="auto"/>
        <w:ind w:firstLine="0" w:firstLineChars="0"/>
        <w:rPr>
          <w:color w:val="auto"/>
          <w:szCs w:val="24"/>
        </w:rPr>
      </w:pPr>
      <w:r>
        <w:rPr>
          <w:rFonts w:hint="eastAsia"/>
          <w:color w:val="auto"/>
          <w:szCs w:val="24"/>
        </w:rPr>
        <w:t>7</w:t>
      </w:r>
      <w:r>
        <w:rPr>
          <w:color w:val="auto"/>
          <w:szCs w:val="24"/>
        </w:rPr>
        <w:t>.2.5.1 防治原则</w:t>
      </w:r>
    </w:p>
    <w:p w14:paraId="3E81A772">
      <w:pPr>
        <w:ind w:firstLine="480"/>
        <w:rPr>
          <w:color w:val="auto"/>
        </w:rPr>
      </w:pPr>
      <w:r>
        <w:rPr>
          <w:color w:val="auto"/>
        </w:rPr>
        <w:t>针对项目可能发生的地下水和土壤污染，本项目地下水和土壤污染防治措施按照“源头控制、末端防治、污染监控、应急响应”相结合的原则，从污染物的产生、入渗、应急响应全阶段进行控制。</w:t>
      </w:r>
    </w:p>
    <w:p w14:paraId="0F019815">
      <w:pPr>
        <w:ind w:firstLine="480"/>
        <w:rPr>
          <w:color w:val="auto"/>
        </w:rPr>
      </w:pPr>
      <w:r>
        <w:rPr>
          <w:color w:val="auto"/>
        </w:rPr>
        <w:t>一是源头控制。主要包括在管道、设备、污水贮存设施采取相应措施，防止和降低污染物“跑、冒、滴、漏”现象，将污染物泄漏的环境风险降到最低程度。建设项目所有输水、排水管道等</w:t>
      </w:r>
      <w:r>
        <w:rPr>
          <w:rFonts w:hint="eastAsia"/>
          <w:color w:val="auto"/>
        </w:rPr>
        <w:t>必须</w:t>
      </w:r>
      <w:r>
        <w:rPr>
          <w:color w:val="auto"/>
        </w:rPr>
        <w:t>采取防渗措施，杜绝各类废水下渗的通道。另外，应严格用水和排水的管理，强调节约用水，防止污水“跑、冒、滴、漏”，确保污水处理系统的衔接；同时建设项目必须严格控制采水量，节约用水，严格将产生的废水循环利用，保证不开采地下水；提高绿化率和优化绿地设计，实施加大降水入渗量、增加地下水涵养量的措施。</w:t>
      </w:r>
    </w:p>
    <w:p w14:paraId="4B342509">
      <w:pPr>
        <w:ind w:firstLine="480"/>
        <w:rPr>
          <w:color w:val="auto"/>
        </w:rPr>
      </w:pPr>
      <w:r>
        <w:rPr>
          <w:color w:val="auto"/>
        </w:rPr>
        <w:t>二是末端控制。主要包括厂内污染区地面的防渗措施，即在污染区地面进行防渗处理，防止洒落地面的污染物渗入地下，并把滞留在地面的污染物收集起来，集中处理。</w:t>
      </w:r>
    </w:p>
    <w:p w14:paraId="2A7DA815">
      <w:pPr>
        <w:ind w:firstLine="480"/>
        <w:rPr>
          <w:color w:val="auto"/>
        </w:rPr>
      </w:pPr>
      <w:r>
        <w:rPr>
          <w:color w:val="auto"/>
        </w:rPr>
        <w:t>三是污染监控。设置覆盖生产区的地下水污染监控系统，包括建立完善的监测制度、配备先进的检测仪器和设备、科学、合理设置地下水污染监控井，及时发现污染、及时控制。在装置投产后，加强现场巡查，下雨地面水量较大时，重点检查有无渗漏情况</w:t>
      </w:r>
      <w:r>
        <w:rPr>
          <w:rFonts w:hint="eastAsia"/>
          <w:color w:val="auto"/>
        </w:rPr>
        <w:t>（</w:t>
      </w:r>
      <w:r>
        <w:rPr>
          <w:color w:val="auto"/>
        </w:rPr>
        <w:t>如地面有气泡现象</w:t>
      </w:r>
      <w:r>
        <w:rPr>
          <w:rFonts w:hint="eastAsia"/>
          <w:color w:val="auto"/>
        </w:rPr>
        <w:t>）</w:t>
      </w:r>
      <w:r>
        <w:rPr>
          <w:color w:val="auto"/>
        </w:rPr>
        <w:t>。若发现问题、及时分析原因，找到渗漏点制定整改措施，尽快修补，确保防腐防渗层的完整性。</w:t>
      </w:r>
    </w:p>
    <w:p w14:paraId="31A5F0FE">
      <w:pPr>
        <w:ind w:firstLine="480"/>
        <w:rPr>
          <w:color w:val="auto"/>
        </w:rPr>
      </w:pPr>
      <w:r>
        <w:rPr>
          <w:color w:val="auto"/>
        </w:rPr>
        <w:t>四是应急响应。制定地下水污染事故应急预案，设置应急设施，一旦发现地下水受到影响，立即启动应急设施控制影响。</w:t>
      </w:r>
    </w:p>
    <w:p w14:paraId="461AFF10">
      <w:pPr>
        <w:pStyle w:val="6"/>
        <w:spacing w:beforeLines="50" w:after="0" w:line="360" w:lineRule="auto"/>
        <w:ind w:firstLine="0" w:firstLineChars="0"/>
        <w:rPr>
          <w:color w:val="auto"/>
          <w:szCs w:val="24"/>
        </w:rPr>
      </w:pPr>
      <w:r>
        <w:rPr>
          <w:rFonts w:hint="eastAsia"/>
          <w:color w:val="auto"/>
          <w:szCs w:val="24"/>
        </w:rPr>
        <w:t>7</w:t>
      </w:r>
      <w:r>
        <w:rPr>
          <w:color w:val="auto"/>
          <w:szCs w:val="24"/>
        </w:rPr>
        <w:t>.2.5.2 源头控制</w:t>
      </w:r>
    </w:p>
    <w:p w14:paraId="14B7EAE6">
      <w:pPr>
        <w:ind w:firstLine="480"/>
        <w:rPr>
          <w:color w:val="auto"/>
        </w:rPr>
      </w:pPr>
      <w:r>
        <w:rPr>
          <w:color w:val="auto"/>
        </w:rPr>
        <w:t>本项目主要污染物为各类生产</w:t>
      </w:r>
      <w:r>
        <w:rPr>
          <w:rFonts w:hint="eastAsia"/>
          <w:color w:val="auto"/>
        </w:rPr>
        <w:t>生活污水</w:t>
      </w:r>
      <w:r>
        <w:rPr>
          <w:color w:val="auto"/>
        </w:rPr>
        <w:t>和危险废物，为了防止一般性渗漏或其他状况产生的污染物污染地下水，企业应严格按照国家相关规范要求，进行源头控制：</w:t>
      </w:r>
    </w:p>
    <w:p w14:paraId="6EBB241D">
      <w:pPr>
        <w:ind w:firstLine="480"/>
        <w:rPr>
          <w:color w:val="auto"/>
        </w:rPr>
      </w:pPr>
      <w:r>
        <w:rPr>
          <w:color w:val="auto"/>
        </w:rPr>
        <w:t>一是加强设备和各个建（构）筑物的巡视和监控。在项目运营过程中，要定期对设备进行维护，保持设备和建（构）筑物运行处于良好的状态，一旦出现异常，应当及时检查，尽量避免池子破裂损坏和管道的跑、冒、滴、漏现象产生，力求将污水泄漏的环境风险事故降低到最低程度。</w:t>
      </w:r>
    </w:p>
    <w:p w14:paraId="1C654CF8">
      <w:pPr>
        <w:ind w:firstLine="480"/>
        <w:rPr>
          <w:color w:val="auto"/>
        </w:rPr>
      </w:pPr>
      <w:r>
        <w:rPr>
          <w:color w:val="auto"/>
        </w:rPr>
        <w:t>二是严格按照国家相关规范要求，对工艺、管道、设备、污水储存及处理构筑物采取相应的措施，优化排水系统设计等。</w:t>
      </w:r>
    </w:p>
    <w:p w14:paraId="7546973D">
      <w:pPr>
        <w:ind w:firstLine="480"/>
        <w:rPr>
          <w:color w:val="auto"/>
        </w:rPr>
      </w:pPr>
      <w:r>
        <w:rPr>
          <w:color w:val="auto"/>
        </w:rPr>
        <w:t>三是重视管道敷设。工艺管线敷设尽量采用“可视化”原则，即管道尽可能地上敷设，做到污染物“早发现、早处理”，以减少由于埋地管道泄漏而可能造成的地下水污染。生活污水、雨水等采用地下管道方式的，也要做好接头连接、防腐防渗，尽可能避免埋地管道跑、冒、滴、漏现象。</w:t>
      </w:r>
    </w:p>
    <w:p w14:paraId="3024F480">
      <w:pPr>
        <w:ind w:firstLine="480"/>
        <w:rPr>
          <w:color w:val="auto"/>
        </w:rPr>
      </w:pPr>
      <w:r>
        <w:rPr>
          <w:color w:val="auto"/>
        </w:rPr>
        <w:t>四是进行质量体系认证并设立地下水动态监测制度。通过对地下水环境监测和管理实现“质量、安全、环境”三位一体的全面质量管理目标。同时建立相关规章制度和岗位责任制，制定风险预警方案，设立应急设施减少环境污染影响。建立有关规章制度和岗位责任制，从源头上减少污染风险。</w:t>
      </w:r>
    </w:p>
    <w:p w14:paraId="14C4975D">
      <w:pPr>
        <w:pStyle w:val="6"/>
        <w:spacing w:beforeLines="50" w:after="0" w:line="360" w:lineRule="auto"/>
        <w:ind w:firstLine="0" w:firstLineChars="0"/>
        <w:rPr>
          <w:color w:val="auto"/>
          <w:szCs w:val="24"/>
        </w:rPr>
      </w:pPr>
      <w:r>
        <w:rPr>
          <w:rFonts w:hint="eastAsia"/>
          <w:color w:val="auto"/>
          <w:szCs w:val="24"/>
        </w:rPr>
        <w:t>7</w:t>
      </w:r>
      <w:r>
        <w:rPr>
          <w:color w:val="auto"/>
          <w:szCs w:val="24"/>
        </w:rPr>
        <w:t>.2.5.3 分区防控措施</w:t>
      </w:r>
    </w:p>
    <w:p w14:paraId="54EF7B7D">
      <w:pPr>
        <w:overflowPunct w:val="0"/>
        <w:ind w:right="210" w:firstLine="480"/>
        <w:textAlignment w:val="baseline"/>
        <w:rPr>
          <w:b/>
          <w:color w:val="auto"/>
          <w:kern w:val="0"/>
          <w:szCs w:val="20"/>
        </w:rPr>
      </w:pPr>
      <w:r>
        <w:rPr>
          <w:color w:val="auto"/>
          <w:kern w:val="0"/>
        </w:rPr>
        <w:t>防渗处理是防止地下水和土壤污染的重要环保保护措施，也是杜绝地下水和土壤污染的最后一道防线。依据项目区域水文地质情况及项目特点，提出如下污染防治措施及防渗要求：项目厂区应划分为简单防渗区、一般防渗区及重点防渗区。污染区则应按照不同分区要求，采取不同等级的防渗措施，并确保其可靠性和有效性。简单防渗区满足地面硬化要求；一般污染区的防渗设计应满足《一般工业固体废物贮存和填埋污染控制标准》(GB18599-2020)；重点防渗区的防渗设计应满足《危险废物贮存污染控制标准》</w:t>
      </w:r>
      <w:r>
        <w:rPr>
          <w:rFonts w:hint="eastAsia"/>
          <w:color w:val="auto"/>
          <w:kern w:val="0"/>
          <w:lang w:eastAsia="zh-CN"/>
        </w:rPr>
        <w:t>（</w:t>
      </w:r>
      <w:r>
        <w:rPr>
          <w:color w:val="auto"/>
          <w:kern w:val="0"/>
        </w:rPr>
        <w:t>GB18597-2023</w:t>
      </w:r>
      <w:r>
        <w:rPr>
          <w:rFonts w:hint="eastAsia"/>
          <w:color w:val="auto"/>
          <w:kern w:val="0"/>
        </w:rPr>
        <w:t>）</w:t>
      </w:r>
      <w:r>
        <w:rPr>
          <w:color w:val="auto"/>
          <w:kern w:val="0"/>
        </w:rPr>
        <w:t>要求。本项目建成后全厂防渗分区划分及防渗等级见表</w:t>
      </w:r>
      <w:r>
        <w:rPr>
          <w:rFonts w:hint="eastAsia"/>
          <w:color w:val="auto"/>
          <w:kern w:val="0"/>
        </w:rPr>
        <w:t>7</w:t>
      </w:r>
      <w:r>
        <w:rPr>
          <w:color w:val="auto"/>
          <w:kern w:val="0"/>
        </w:rPr>
        <w:t>.2</w:t>
      </w:r>
      <w:r>
        <w:rPr>
          <w:rFonts w:hint="eastAsia"/>
          <w:color w:val="auto"/>
          <w:kern w:val="0"/>
        </w:rPr>
        <w:t>.5</w:t>
      </w:r>
      <w:r>
        <w:rPr>
          <w:color w:val="auto"/>
          <w:kern w:val="0"/>
        </w:rPr>
        <w:t>-1，厂区分区防渗</w:t>
      </w:r>
      <w:r>
        <w:rPr>
          <w:rFonts w:hint="eastAsia"/>
          <w:color w:val="auto"/>
          <w:kern w:val="0"/>
        </w:rPr>
        <w:t>示意图见</w:t>
      </w:r>
      <w:r>
        <w:rPr>
          <w:color w:val="auto"/>
          <w:kern w:val="0"/>
        </w:rPr>
        <w:t>附图</w:t>
      </w:r>
      <w:r>
        <w:rPr>
          <w:rFonts w:hint="eastAsia"/>
          <w:color w:val="auto"/>
          <w:kern w:val="0"/>
        </w:rPr>
        <w:t>7.2-3</w:t>
      </w:r>
      <w:r>
        <w:rPr>
          <w:color w:val="auto"/>
          <w:kern w:val="0"/>
        </w:rPr>
        <w:t>。</w:t>
      </w:r>
    </w:p>
    <w:p w14:paraId="026146CD">
      <w:pPr>
        <w:overflowPunct w:val="0"/>
        <w:spacing w:line="240" w:lineRule="auto"/>
        <w:ind w:right="210" w:firstLine="0" w:firstLineChars="0"/>
        <w:jc w:val="center"/>
        <w:textAlignment w:val="baseline"/>
        <w:rPr>
          <w:b/>
          <w:color w:val="auto"/>
          <w:kern w:val="0"/>
          <w:szCs w:val="20"/>
        </w:rPr>
      </w:pPr>
      <w:r>
        <w:rPr>
          <w:b/>
          <w:color w:val="auto"/>
          <w:kern w:val="0"/>
          <w:szCs w:val="20"/>
        </w:rPr>
        <w:t>表</w:t>
      </w:r>
      <w:r>
        <w:rPr>
          <w:rFonts w:hint="eastAsia"/>
          <w:b/>
          <w:color w:val="auto"/>
          <w:kern w:val="0"/>
          <w:szCs w:val="20"/>
        </w:rPr>
        <w:t>7</w:t>
      </w:r>
      <w:r>
        <w:rPr>
          <w:b/>
          <w:color w:val="auto"/>
          <w:kern w:val="0"/>
          <w:szCs w:val="20"/>
        </w:rPr>
        <w:t>.2</w:t>
      </w:r>
      <w:r>
        <w:rPr>
          <w:rFonts w:hint="eastAsia"/>
          <w:b/>
          <w:color w:val="auto"/>
          <w:kern w:val="0"/>
          <w:szCs w:val="20"/>
        </w:rPr>
        <w:t>.5</w:t>
      </w:r>
      <w:r>
        <w:rPr>
          <w:b/>
          <w:color w:val="auto"/>
          <w:kern w:val="0"/>
          <w:szCs w:val="20"/>
        </w:rPr>
        <w:t>-1  本项目建成后厂区污染区划分及防渗等级一览表</w:t>
      </w:r>
    </w:p>
    <w:tbl>
      <w:tblPr>
        <w:tblStyle w:val="8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54"/>
        <w:gridCol w:w="2860"/>
        <w:gridCol w:w="5287"/>
      </w:tblGrid>
      <w:tr w14:paraId="4101D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667" w:type="pct"/>
            <w:tcBorders>
              <w:left w:val="nil"/>
            </w:tcBorders>
            <w:vAlign w:val="center"/>
          </w:tcPr>
          <w:p w14:paraId="68E5D886">
            <w:pPr>
              <w:widowControl/>
              <w:kinsoku w:val="0"/>
              <w:autoSpaceDE w:val="0"/>
              <w:autoSpaceDN w:val="0"/>
              <w:spacing w:line="240" w:lineRule="auto"/>
              <w:ind w:firstLine="0" w:firstLineChars="0"/>
              <w:jc w:val="center"/>
              <w:textAlignment w:val="baseline"/>
              <w:rPr>
                <w:b/>
                <w:bCs/>
                <w:snapToGrid w:val="0"/>
                <w:color w:val="auto"/>
                <w:kern w:val="0"/>
                <w:sz w:val="21"/>
                <w:szCs w:val="21"/>
              </w:rPr>
            </w:pPr>
            <w:r>
              <w:rPr>
                <w:b/>
                <w:bCs/>
                <w:snapToGrid w:val="0"/>
                <w:color w:val="auto"/>
                <w:spacing w:val="-3"/>
                <w:kern w:val="0"/>
                <w:sz w:val="21"/>
                <w:szCs w:val="21"/>
              </w:rPr>
              <w:t>分</w:t>
            </w:r>
            <w:r>
              <w:rPr>
                <w:b/>
                <w:bCs/>
                <w:snapToGrid w:val="0"/>
                <w:color w:val="auto"/>
                <w:spacing w:val="-2"/>
                <w:kern w:val="0"/>
                <w:sz w:val="21"/>
                <w:szCs w:val="21"/>
              </w:rPr>
              <w:t>区</w:t>
            </w:r>
          </w:p>
        </w:tc>
        <w:tc>
          <w:tcPr>
            <w:tcW w:w="1521" w:type="pct"/>
            <w:vAlign w:val="center"/>
          </w:tcPr>
          <w:p w14:paraId="54B07368">
            <w:pPr>
              <w:widowControl/>
              <w:kinsoku w:val="0"/>
              <w:autoSpaceDE w:val="0"/>
              <w:autoSpaceDN w:val="0"/>
              <w:spacing w:line="240" w:lineRule="auto"/>
              <w:ind w:firstLine="0" w:firstLineChars="0"/>
              <w:jc w:val="center"/>
              <w:textAlignment w:val="baseline"/>
              <w:rPr>
                <w:b/>
                <w:bCs/>
                <w:snapToGrid w:val="0"/>
                <w:color w:val="auto"/>
                <w:kern w:val="0"/>
                <w:sz w:val="21"/>
                <w:szCs w:val="21"/>
              </w:rPr>
            </w:pPr>
            <w:r>
              <w:rPr>
                <w:b/>
                <w:bCs/>
                <w:snapToGrid w:val="0"/>
                <w:color w:val="auto"/>
                <w:spacing w:val="-2"/>
                <w:kern w:val="0"/>
                <w:sz w:val="21"/>
                <w:szCs w:val="21"/>
              </w:rPr>
              <w:t>厂</w:t>
            </w:r>
            <w:r>
              <w:rPr>
                <w:b/>
                <w:bCs/>
                <w:snapToGrid w:val="0"/>
                <w:color w:val="auto"/>
                <w:spacing w:val="-1"/>
                <w:kern w:val="0"/>
                <w:sz w:val="21"/>
                <w:szCs w:val="21"/>
              </w:rPr>
              <w:t>内分区</w:t>
            </w:r>
          </w:p>
        </w:tc>
        <w:tc>
          <w:tcPr>
            <w:tcW w:w="2811" w:type="pct"/>
            <w:tcBorders>
              <w:right w:val="nil"/>
            </w:tcBorders>
            <w:vAlign w:val="center"/>
          </w:tcPr>
          <w:p w14:paraId="10484EC0">
            <w:pPr>
              <w:widowControl/>
              <w:kinsoku w:val="0"/>
              <w:autoSpaceDE w:val="0"/>
              <w:autoSpaceDN w:val="0"/>
              <w:spacing w:line="240" w:lineRule="auto"/>
              <w:ind w:firstLine="0" w:firstLineChars="0"/>
              <w:jc w:val="center"/>
              <w:textAlignment w:val="baseline"/>
              <w:rPr>
                <w:b/>
                <w:bCs/>
                <w:snapToGrid w:val="0"/>
                <w:color w:val="auto"/>
                <w:kern w:val="0"/>
                <w:sz w:val="21"/>
                <w:szCs w:val="21"/>
              </w:rPr>
            </w:pPr>
            <w:r>
              <w:rPr>
                <w:b/>
                <w:bCs/>
                <w:snapToGrid w:val="0"/>
                <w:color w:val="auto"/>
                <w:spacing w:val="-5"/>
                <w:kern w:val="0"/>
                <w:sz w:val="21"/>
                <w:szCs w:val="21"/>
              </w:rPr>
              <w:t>防</w:t>
            </w:r>
            <w:r>
              <w:rPr>
                <w:b/>
                <w:bCs/>
                <w:snapToGrid w:val="0"/>
                <w:color w:val="auto"/>
                <w:spacing w:val="-4"/>
                <w:kern w:val="0"/>
                <w:sz w:val="21"/>
                <w:szCs w:val="21"/>
              </w:rPr>
              <w:t>渗要求</w:t>
            </w:r>
          </w:p>
        </w:tc>
      </w:tr>
      <w:tr w14:paraId="080B3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67" w:type="pct"/>
            <w:vMerge w:val="restart"/>
            <w:tcBorders>
              <w:left w:val="nil"/>
            </w:tcBorders>
            <w:vAlign w:val="center"/>
          </w:tcPr>
          <w:p w14:paraId="7F0D0381">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重</w:t>
            </w:r>
            <w:r>
              <w:rPr>
                <w:snapToGrid w:val="0"/>
                <w:color w:val="auto"/>
                <w:spacing w:val="-1"/>
                <w:kern w:val="0"/>
                <w:sz w:val="21"/>
                <w:szCs w:val="21"/>
              </w:rPr>
              <w:t>点防渗区</w:t>
            </w:r>
          </w:p>
        </w:tc>
        <w:tc>
          <w:tcPr>
            <w:tcW w:w="1521" w:type="pct"/>
            <w:vAlign w:val="center"/>
          </w:tcPr>
          <w:p w14:paraId="314C65FF">
            <w:pPr>
              <w:widowControl/>
              <w:kinsoku w:val="0"/>
              <w:autoSpaceDE w:val="0"/>
              <w:autoSpaceDN w:val="0"/>
              <w:spacing w:line="240" w:lineRule="auto"/>
              <w:ind w:firstLine="0" w:firstLineChars="0"/>
              <w:jc w:val="center"/>
              <w:textAlignment w:val="baseline"/>
              <w:rPr>
                <w:snapToGrid w:val="0"/>
                <w:color w:val="auto"/>
                <w:kern w:val="0"/>
                <w:sz w:val="21"/>
                <w:szCs w:val="21"/>
              </w:rPr>
            </w:pPr>
            <w:r>
              <w:rPr>
                <w:rFonts w:hint="eastAsia"/>
                <w:snapToGrid w:val="0"/>
                <w:color w:val="auto"/>
                <w:spacing w:val="-1"/>
                <w:kern w:val="0"/>
                <w:sz w:val="21"/>
                <w:szCs w:val="21"/>
              </w:rPr>
              <w:t>储罐区、模具处理车间、阳极氧化线污水处理区</w:t>
            </w:r>
            <w:r>
              <w:rPr>
                <w:snapToGrid w:val="0"/>
                <w:color w:val="auto"/>
                <w:spacing w:val="-1"/>
                <w:kern w:val="0"/>
                <w:sz w:val="21"/>
                <w:szCs w:val="21"/>
              </w:rPr>
              <w:t>、原料仓库</w:t>
            </w:r>
            <w:r>
              <w:rPr>
                <w:rFonts w:hint="eastAsia"/>
                <w:snapToGrid w:val="0"/>
                <w:color w:val="auto"/>
                <w:spacing w:val="-1"/>
                <w:kern w:val="0"/>
                <w:sz w:val="21"/>
                <w:szCs w:val="21"/>
              </w:rPr>
              <w:t>、化学品库、事故池、液氨储存区、煲模槽区</w:t>
            </w:r>
          </w:p>
        </w:tc>
        <w:tc>
          <w:tcPr>
            <w:tcW w:w="2811" w:type="pct"/>
            <w:tcBorders>
              <w:right w:val="nil"/>
            </w:tcBorders>
            <w:vAlign w:val="center"/>
          </w:tcPr>
          <w:p w14:paraId="5AF1C479">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3"/>
                <w:kern w:val="0"/>
                <w:sz w:val="21"/>
                <w:szCs w:val="21"/>
              </w:rPr>
              <w:t>等</w:t>
            </w:r>
            <w:r>
              <w:rPr>
                <w:snapToGrid w:val="0"/>
                <w:color w:val="auto"/>
                <w:spacing w:val="-2"/>
                <w:kern w:val="0"/>
                <w:sz w:val="21"/>
                <w:szCs w:val="21"/>
              </w:rPr>
              <w:t>效黏土防渗层Mb≥6.0m，K≤1×10</w:t>
            </w:r>
            <w:r>
              <w:rPr>
                <w:snapToGrid w:val="0"/>
                <w:color w:val="auto"/>
                <w:spacing w:val="-2"/>
                <w:kern w:val="0"/>
                <w:position w:val="6"/>
                <w:sz w:val="21"/>
                <w:szCs w:val="21"/>
                <w:vertAlign w:val="superscript"/>
              </w:rPr>
              <w:t>-7</w:t>
            </w:r>
            <w:r>
              <w:rPr>
                <w:snapToGrid w:val="0"/>
                <w:color w:val="auto"/>
                <w:spacing w:val="-2"/>
                <w:kern w:val="0"/>
                <w:sz w:val="21"/>
                <w:szCs w:val="21"/>
              </w:rPr>
              <w:t>cm/s，或</w:t>
            </w:r>
            <w:r>
              <w:rPr>
                <w:snapToGrid w:val="0"/>
                <w:color w:val="auto"/>
                <w:spacing w:val="-1"/>
                <w:kern w:val="0"/>
                <w:sz w:val="21"/>
                <w:szCs w:val="21"/>
              </w:rPr>
              <w:t>者参照《危</w:t>
            </w:r>
            <w:r>
              <w:rPr>
                <w:snapToGrid w:val="0"/>
                <w:color w:val="auto"/>
                <w:kern w:val="0"/>
                <w:sz w:val="21"/>
                <w:szCs w:val="21"/>
              </w:rPr>
              <w:t>险废物贮存污染控制标准》</w:t>
            </w:r>
            <w:r>
              <w:rPr>
                <w:rFonts w:hint="eastAsia"/>
                <w:snapToGrid w:val="0"/>
                <w:color w:val="auto"/>
                <w:kern w:val="0"/>
                <w:sz w:val="21"/>
                <w:szCs w:val="21"/>
                <w:lang w:eastAsia="zh-CN"/>
              </w:rPr>
              <w:t>（</w:t>
            </w:r>
            <w:r>
              <w:rPr>
                <w:snapToGrid w:val="0"/>
                <w:color w:val="auto"/>
                <w:kern w:val="0"/>
                <w:sz w:val="21"/>
                <w:szCs w:val="21"/>
              </w:rPr>
              <w:t>GB</w:t>
            </w:r>
            <w:r>
              <w:rPr>
                <w:snapToGrid w:val="0"/>
                <w:color w:val="auto"/>
                <w:spacing w:val="-1"/>
                <w:kern w:val="0"/>
                <w:sz w:val="21"/>
                <w:szCs w:val="21"/>
              </w:rPr>
              <w:t>1859</w:t>
            </w:r>
            <w:r>
              <w:rPr>
                <w:snapToGrid w:val="0"/>
                <w:color w:val="auto"/>
                <w:kern w:val="0"/>
                <w:sz w:val="21"/>
                <w:szCs w:val="21"/>
              </w:rPr>
              <w:t>7-2023</w:t>
            </w:r>
            <w:r>
              <w:rPr>
                <w:rFonts w:hint="eastAsia"/>
                <w:snapToGrid w:val="0"/>
                <w:color w:val="auto"/>
                <w:kern w:val="0"/>
                <w:sz w:val="21"/>
                <w:szCs w:val="21"/>
              </w:rPr>
              <w:t>）</w:t>
            </w:r>
            <w:r>
              <w:rPr>
                <w:snapToGrid w:val="0"/>
                <w:color w:val="auto"/>
                <w:kern w:val="0"/>
                <w:sz w:val="21"/>
                <w:szCs w:val="21"/>
              </w:rPr>
              <w:t>执行</w:t>
            </w:r>
          </w:p>
        </w:tc>
      </w:tr>
      <w:tr w14:paraId="64281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667" w:type="pct"/>
            <w:vMerge w:val="continue"/>
            <w:tcBorders>
              <w:left w:val="nil"/>
            </w:tcBorders>
            <w:vAlign w:val="center"/>
          </w:tcPr>
          <w:p w14:paraId="3083134A">
            <w:pPr>
              <w:widowControl/>
              <w:kinsoku w:val="0"/>
              <w:autoSpaceDE w:val="0"/>
              <w:autoSpaceDN w:val="0"/>
              <w:spacing w:line="240" w:lineRule="auto"/>
              <w:ind w:firstLine="0" w:firstLineChars="0"/>
              <w:jc w:val="center"/>
              <w:textAlignment w:val="baseline"/>
              <w:rPr>
                <w:snapToGrid w:val="0"/>
                <w:color w:val="auto"/>
                <w:kern w:val="0"/>
                <w:sz w:val="21"/>
                <w:szCs w:val="21"/>
              </w:rPr>
            </w:pPr>
          </w:p>
        </w:tc>
        <w:tc>
          <w:tcPr>
            <w:tcW w:w="1521" w:type="pct"/>
            <w:vAlign w:val="center"/>
          </w:tcPr>
          <w:p w14:paraId="2F87DB18">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危废暂存间</w:t>
            </w:r>
            <w:r>
              <w:rPr>
                <w:rFonts w:hint="eastAsia"/>
                <w:snapToGrid w:val="0"/>
                <w:color w:val="auto"/>
                <w:spacing w:val="-2"/>
                <w:kern w:val="0"/>
                <w:sz w:val="21"/>
                <w:szCs w:val="21"/>
              </w:rPr>
              <w:t>、污泥堆场</w:t>
            </w:r>
          </w:p>
        </w:tc>
        <w:tc>
          <w:tcPr>
            <w:tcW w:w="2811" w:type="pct"/>
            <w:tcBorders>
              <w:right w:val="nil"/>
            </w:tcBorders>
            <w:vAlign w:val="center"/>
          </w:tcPr>
          <w:p w14:paraId="09ED0010">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8"/>
                <w:kern w:val="0"/>
                <w:sz w:val="21"/>
                <w:szCs w:val="21"/>
              </w:rPr>
              <w:t>满足</w:t>
            </w:r>
            <w:r>
              <w:rPr>
                <w:snapToGrid w:val="0"/>
                <w:color w:val="auto"/>
                <w:spacing w:val="5"/>
                <w:kern w:val="0"/>
                <w:sz w:val="21"/>
                <w:szCs w:val="21"/>
              </w:rPr>
              <w:t>《</w:t>
            </w:r>
            <w:r>
              <w:rPr>
                <w:snapToGrid w:val="0"/>
                <w:color w:val="auto"/>
                <w:spacing w:val="4"/>
                <w:kern w:val="0"/>
                <w:sz w:val="21"/>
                <w:szCs w:val="21"/>
              </w:rPr>
              <w:t>危险废物贮存污染控制标准》(</w:t>
            </w:r>
            <w:r>
              <w:rPr>
                <w:snapToGrid w:val="0"/>
                <w:color w:val="auto"/>
                <w:kern w:val="0"/>
                <w:sz w:val="21"/>
                <w:szCs w:val="21"/>
              </w:rPr>
              <w:t>GB</w:t>
            </w:r>
            <w:r>
              <w:rPr>
                <w:snapToGrid w:val="0"/>
                <w:color w:val="auto"/>
                <w:spacing w:val="4"/>
                <w:kern w:val="0"/>
                <w:sz w:val="21"/>
                <w:szCs w:val="21"/>
              </w:rPr>
              <w:t>18597-</w:t>
            </w:r>
            <w:r>
              <w:rPr>
                <w:snapToGrid w:val="0"/>
                <w:color w:val="auto"/>
                <w:spacing w:val="-1"/>
                <w:kern w:val="0"/>
                <w:sz w:val="21"/>
                <w:szCs w:val="21"/>
              </w:rPr>
              <w:t>202</w:t>
            </w:r>
            <w:r>
              <w:rPr>
                <w:snapToGrid w:val="0"/>
                <w:color w:val="auto"/>
                <w:kern w:val="0"/>
                <w:sz w:val="21"/>
                <w:szCs w:val="21"/>
              </w:rPr>
              <w:t>3)</w:t>
            </w:r>
          </w:p>
        </w:tc>
      </w:tr>
      <w:tr w14:paraId="51203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667" w:type="pct"/>
            <w:vMerge w:val="continue"/>
            <w:tcBorders>
              <w:left w:val="nil"/>
            </w:tcBorders>
            <w:vAlign w:val="center"/>
          </w:tcPr>
          <w:p w14:paraId="72421356">
            <w:pPr>
              <w:widowControl/>
              <w:kinsoku w:val="0"/>
              <w:autoSpaceDE w:val="0"/>
              <w:autoSpaceDN w:val="0"/>
              <w:spacing w:line="240" w:lineRule="auto"/>
              <w:ind w:firstLine="0" w:firstLineChars="0"/>
              <w:jc w:val="center"/>
              <w:textAlignment w:val="baseline"/>
              <w:rPr>
                <w:snapToGrid w:val="0"/>
                <w:color w:val="auto"/>
                <w:kern w:val="0"/>
                <w:sz w:val="21"/>
                <w:szCs w:val="21"/>
              </w:rPr>
            </w:pPr>
          </w:p>
        </w:tc>
        <w:tc>
          <w:tcPr>
            <w:tcW w:w="1521" w:type="pct"/>
            <w:vAlign w:val="center"/>
          </w:tcPr>
          <w:p w14:paraId="6BECB756">
            <w:pPr>
              <w:widowControl/>
              <w:kinsoku w:val="0"/>
              <w:autoSpaceDE w:val="0"/>
              <w:autoSpaceDN w:val="0"/>
              <w:spacing w:line="240" w:lineRule="auto"/>
              <w:ind w:firstLine="0" w:firstLineChars="0"/>
              <w:jc w:val="center"/>
              <w:textAlignment w:val="baseline"/>
              <w:rPr>
                <w:snapToGrid w:val="0"/>
                <w:color w:val="auto"/>
                <w:spacing w:val="-2"/>
                <w:kern w:val="0"/>
                <w:sz w:val="21"/>
                <w:szCs w:val="21"/>
              </w:rPr>
            </w:pPr>
            <w:r>
              <w:rPr>
                <w:rFonts w:hint="eastAsia"/>
                <w:snapToGrid w:val="0"/>
                <w:color w:val="auto"/>
                <w:spacing w:val="-2"/>
                <w:kern w:val="0"/>
                <w:sz w:val="21"/>
                <w:szCs w:val="21"/>
              </w:rPr>
              <w:t>管道防渗防漏</w:t>
            </w:r>
          </w:p>
        </w:tc>
        <w:tc>
          <w:tcPr>
            <w:tcW w:w="2811" w:type="pct"/>
            <w:tcBorders>
              <w:right w:val="nil"/>
            </w:tcBorders>
            <w:vAlign w:val="center"/>
          </w:tcPr>
          <w:p w14:paraId="73424A10">
            <w:pPr>
              <w:widowControl/>
              <w:kinsoku w:val="0"/>
              <w:autoSpaceDE w:val="0"/>
              <w:autoSpaceDN w:val="0"/>
              <w:spacing w:line="240" w:lineRule="auto"/>
              <w:ind w:firstLine="0" w:firstLineChars="0"/>
              <w:jc w:val="center"/>
              <w:textAlignment w:val="baseline"/>
              <w:rPr>
                <w:snapToGrid w:val="0"/>
                <w:color w:val="auto"/>
                <w:spacing w:val="8"/>
                <w:kern w:val="0"/>
                <w:sz w:val="21"/>
                <w:szCs w:val="21"/>
              </w:rPr>
            </w:pPr>
            <w:r>
              <w:rPr>
                <w:snapToGrid w:val="0"/>
                <w:color w:val="auto"/>
                <w:spacing w:val="8"/>
                <w:kern w:val="0"/>
                <w:sz w:val="21"/>
                <w:szCs w:val="21"/>
              </w:rPr>
              <w:t>管道采用耐腐蚀型材；管道与管道的连接采用柔性的橡胶圈接口。</w:t>
            </w:r>
          </w:p>
        </w:tc>
      </w:tr>
      <w:tr w14:paraId="0FEB2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667" w:type="pct"/>
            <w:tcBorders>
              <w:left w:val="nil"/>
            </w:tcBorders>
            <w:vAlign w:val="center"/>
          </w:tcPr>
          <w:p w14:paraId="5AEB3C11">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一般防</w:t>
            </w:r>
            <w:r>
              <w:rPr>
                <w:snapToGrid w:val="0"/>
                <w:color w:val="auto"/>
                <w:spacing w:val="-1"/>
                <w:kern w:val="0"/>
                <w:sz w:val="21"/>
                <w:szCs w:val="21"/>
              </w:rPr>
              <w:t>渗区</w:t>
            </w:r>
          </w:p>
        </w:tc>
        <w:tc>
          <w:tcPr>
            <w:tcW w:w="1521" w:type="pct"/>
            <w:vAlign w:val="center"/>
          </w:tcPr>
          <w:p w14:paraId="0D6C3670">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1"/>
                <w:kern w:val="0"/>
                <w:sz w:val="21"/>
                <w:szCs w:val="21"/>
              </w:rPr>
              <w:t>一般固废暂存间、成品</w:t>
            </w:r>
            <w:r>
              <w:rPr>
                <w:snapToGrid w:val="0"/>
                <w:color w:val="auto"/>
                <w:kern w:val="0"/>
                <w:sz w:val="21"/>
                <w:szCs w:val="21"/>
              </w:rPr>
              <w:t>仓</w:t>
            </w:r>
            <w:r>
              <w:rPr>
                <w:snapToGrid w:val="0"/>
                <w:color w:val="auto"/>
                <w:spacing w:val="-2"/>
                <w:kern w:val="0"/>
                <w:sz w:val="21"/>
                <w:szCs w:val="21"/>
              </w:rPr>
              <w:t>库</w:t>
            </w:r>
            <w:r>
              <w:rPr>
                <w:rFonts w:hint="eastAsia"/>
                <w:snapToGrid w:val="0"/>
                <w:color w:val="auto"/>
                <w:spacing w:val="-2"/>
                <w:kern w:val="0"/>
                <w:sz w:val="21"/>
                <w:szCs w:val="21"/>
              </w:rPr>
              <w:t>、深加工车间</w:t>
            </w:r>
          </w:p>
        </w:tc>
        <w:tc>
          <w:tcPr>
            <w:tcW w:w="2811" w:type="pct"/>
            <w:tcBorders>
              <w:right w:val="nil"/>
            </w:tcBorders>
            <w:vAlign w:val="center"/>
          </w:tcPr>
          <w:p w14:paraId="0B712D80">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8"/>
                <w:kern w:val="0"/>
                <w:sz w:val="21"/>
                <w:szCs w:val="21"/>
              </w:rPr>
              <w:t>等效黏</w:t>
            </w:r>
            <w:r>
              <w:rPr>
                <w:snapToGrid w:val="0"/>
                <w:color w:val="auto"/>
                <w:spacing w:val="-5"/>
                <w:kern w:val="0"/>
                <w:sz w:val="21"/>
                <w:szCs w:val="21"/>
              </w:rPr>
              <w:t>土</w:t>
            </w:r>
            <w:r>
              <w:rPr>
                <w:snapToGrid w:val="0"/>
                <w:color w:val="auto"/>
                <w:spacing w:val="-4"/>
                <w:kern w:val="0"/>
                <w:sz w:val="21"/>
                <w:szCs w:val="21"/>
              </w:rPr>
              <w:t>防渗层Mb≥1.5m，K≤1×10</w:t>
            </w:r>
            <w:r>
              <w:rPr>
                <w:snapToGrid w:val="0"/>
                <w:color w:val="auto"/>
                <w:spacing w:val="-4"/>
                <w:kern w:val="0"/>
                <w:position w:val="6"/>
                <w:sz w:val="21"/>
                <w:szCs w:val="21"/>
                <w:vertAlign w:val="superscript"/>
              </w:rPr>
              <w:t>-7</w:t>
            </w:r>
            <w:r>
              <w:rPr>
                <w:snapToGrid w:val="0"/>
                <w:color w:val="auto"/>
                <w:spacing w:val="-4"/>
                <w:kern w:val="0"/>
                <w:sz w:val="21"/>
                <w:szCs w:val="21"/>
              </w:rPr>
              <w:t>cm/s，</w:t>
            </w:r>
            <w:r>
              <w:rPr>
                <w:snapToGrid w:val="0"/>
                <w:color w:val="auto"/>
                <w:spacing w:val="-1"/>
                <w:kern w:val="0"/>
                <w:sz w:val="21"/>
                <w:szCs w:val="21"/>
              </w:rPr>
              <w:t>或参照《一般工</w:t>
            </w:r>
            <w:r>
              <w:rPr>
                <w:snapToGrid w:val="0"/>
                <w:color w:val="auto"/>
                <w:kern w:val="0"/>
                <w:sz w:val="21"/>
                <w:szCs w:val="21"/>
              </w:rPr>
              <w:t>业固体废物贮存和填埋污染控制</w:t>
            </w:r>
            <w:r>
              <w:rPr>
                <w:snapToGrid w:val="0"/>
                <w:color w:val="auto"/>
                <w:spacing w:val="10"/>
                <w:kern w:val="0"/>
                <w:sz w:val="21"/>
                <w:szCs w:val="21"/>
              </w:rPr>
              <w:t>标准</w:t>
            </w:r>
            <w:r>
              <w:rPr>
                <w:snapToGrid w:val="0"/>
                <w:color w:val="auto"/>
                <w:spacing w:val="7"/>
                <w:kern w:val="0"/>
                <w:sz w:val="21"/>
                <w:szCs w:val="21"/>
              </w:rPr>
              <w:t>》</w:t>
            </w:r>
            <w:r>
              <w:rPr>
                <w:rFonts w:hint="eastAsia"/>
                <w:snapToGrid w:val="0"/>
                <w:color w:val="auto"/>
                <w:spacing w:val="7"/>
                <w:kern w:val="0"/>
                <w:sz w:val="21"/>
                <w:szCs w:val="21"/>
                <w:lang w:eastAsia="zh-CN"/>
              </w:rPr>
              <w:t>（</w:t>
            </w:r>
            <w:r>
              <w:rPr>
                <w:snapToGrid w:val="0"/>
                <w:color w:val="auto"/>
                <w:kern w:val="0"/>
                <w:sz w:val="21"/>
                <w:szCs w:val="21"/>
              </w:rPr>
              <w:t>GB</w:t>
            </w:r>
            <w:r>
              <w:rPr>
                <w:snapToGrid w:val="0"/>
                <w:color w:val="auto"/>
                <w:spacing w:val="5"/>
                <w:kern w:val="0"/>
                <w:sz w:val="21"/>
                <w:szCs w:val="21"/>
              </w:rPr>
              <w:t>18599-2020</w:t>
            </w:r>
            <w:r>
              <w:rPr>
                <w:rFonts w:hint="eastAsia"/>
                <w:snapToGrid w:val="0"/>
                <w:color w:val="auto"/>
                <w:spacing w:val="5"/>
                <w:kern w:val="0"/>
                <w:sz w:val="21"/>
                <w:szCs w:val="21"/>
              </w:rPr>
              <w:t>）</w:t>
            </w:r>
            <w:r>
              <w:rPr>
                <w:snapToGrid w:val="0"/>
                <w:color w:val="auto"/>
                <w:spacing w:val="5"/>
                <w:kern w:val="0"/>
                <w:sz w:val="21"/>
                <w:szCs w:val="21"/>
              </w:rPr>
              <w:t>执行</w:t>
            </w:r>
          </w:p>
        </w:tc>
      </w:tr>
      <w:tr w14:paraId="6DE37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 w:hRule="atLeast"/>
        </w:trPr>
        <w:tc>
          <w:tcPr>
            <w:tcW w:w="667" w:type="pct"/>
            <w:tcBorders>
              <w:left w:val="nil"/>
            </w:tcBorders>
            <w:vAlign w:val="center"/>
          </w:tcPr>
          <w:p w14:paraId="4C3FD1A4">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简单防渗</w:t>
            </w:r>
            <w:r>
              <w:rPr>
                <w:snapToGrid w:val="0"/>
                <w:color w:val="auto"/>
                <w:spacing w:val="-1"/>
                <w:kern w:val="0"/>
                <w:sz w:val="21"/>
                <w:szCs w:val="21"/>
              </w:rPr>
              <w:t>区</w:t>
            </w:r>
          </w:p>
        </w:tc>
        <w:tc>
          <w:tcPr>
            <w:tcW w:w="1521" w:type="pct"/>
            <w:vAlign w:val="center"/>
          </w:tcPr>
          <w:p w14:paraId="475A62BC">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1"/>
                <w:kern w:val="0"/>
                <w:sz w:val="21"/>
                <w:szCs w:val="21"/>
              </w:rPr>
              <w:t>办公楼、厂区运输</w:t>
            </w:r>
            <w:r>
              <w:rPr>
                <w:snapToGrid w:val="0"/>
                <w:color w:val="auto"/>
                <w:kern w:val="0"/>
                <w:sz w:val="21"/>
                <w:szCs w:val="21"/>
              </w:rPr>
              <w:t>道路等</w:t>
            </w:r>
          </w:p>
        </w:tc>
        <w:tc>
          <w:tcPr>
            <w:tcW w:w="2811" w:type="pct"/>
            <w:tcBorders>
              <w:right w:val="nil"/>
            </w:tcBorders>
            <w:vAlign w:val="center"/>
          </w:tcPr>
          <w:p w14:paraId="718A9E2F">
            <w:pPr>
              <w:widowControl/>
              <w:kinsoku w:val="0"/>
              <w:autoSpaceDE w:val="0"/>
              <w:autoSpaceDN w:val="0"/>
              <w:spacing w:line="240" w:lineRule="auto"/>
              <w:ind w:firstLine="0" w:firstLineChars="0"/>
              <w:jc w:val="center"/>
              <w:textAlignment w:val="baseline"/>
              <w:rPr>
                <w:snapToGrid w:val="0"/>
                <w:color w:val="auto"/>
                <w:kern w:val="0"/>
                <w:sz w:val="21"/>
                <w:szCs w:val="21"/>
              </w:rPr>
            </w:pPr>
            <w:r>
              <w:rPr>
                <w:snapToGrid w:val="0"/>
                <w:color w:val="auto"/>
                <w:spacing w:val="-2"/>
                <w:kern w:val="0"/>
                <w:sz w:val="21"/>
                <w:szCs w:val="21"/>
              </w:rPr>
              <w:t>一般</w:t>
            </w:r>
            <w:r>
              <w:rPr>
                <w:snapToGrid w:val="0"/>
                <w:color w:val="auto"/>
                <w:spacing w:val="-1"/>
                <w:kern w:val="0"/>
                <w:sz w:val="21"/>
                <w:szCs w:val="21"/>
              </w:rPr>
              <w:t>地面硬化</w:t>
            </w:r>
          </w:p>
        </w:tc>
      </w:tr>
    </w:tbl>
    <w:p w14:paraId="49DC5E32">
      <w:pPr>
        <w:overflowPunct w:val="0"/>
        <w:ind w:firstLine="480"/>
        <w:textAlignment w:val="baseline"/>
        <w:rPr>
          <w:bCs/>
          <w:color w:val="auto"/>
          <w:kern w:val="0"/>
          <w:szCs w:val="20"/>
        </w:rPr>
      </w:pPr>
      <w:r>
        <w:rPr>
          <w:bCs/>
          <w:color w:val="auto"/>
          <w:kern w:val="0"/>
          <w:szCs w:val="20"/>
        </w:rPr>
        <w:t>在确保各项防渗措施得以落实，并加强维护和厂区环境管理的前提下，可有效控制厂区内废水、危废和液体类原料等污染物的下渗现象，避免污染地下水和土壤，因此，项目不会对区域地下水和土壤环境产生较大影响。</w:t>
      </w:r>
    </w:p>
    <w:p w14:paraId="26168F17">
      <w:pPr>
        <w:pStyle w:val="6"/>
        <w:spacing w:beforeLines="50" w:after="0" w:line="360" w:lineRule="auto"/>
        <w:ind w:firstLine="0" w:firstLineChars="0"/>
        <w:rPr>
          <w:color w:val="auto"/>
          <w:szCs w:val="24"/>
        </w:rPr>
      </w:pPr>
      <w:r>
        <w:rPr>
          <w:rFonts w:hint="eastAsia"/>
          <w:color w:val="auto"/>
          <w:szCs w:val="24"/>
        </w:rPr>
        <w:t>7</w:t>
      </w:r>
      <w:r>
        <w:rPr>
          <w:color w:val="auto"/>
          <w:szCs w:val="24"/>
        </w:rPr>
        <w:t>.2.5.4 跟踪监测</w:t>
      </w:r>
    </w:p>
    <w:p w14:paraId="4A7C208C">
      <w:pPr>
        <w:overflowPunct w:val="0"/>
        <w:ind w:firstLine="480"/>
        <w:textAlignment w:val="baseline"/>
        <w:rPr>
          <w:bCs/>
          <w:color w:val="auto"/>
          <w:kern w:val="0"/>
          <w:szCs w:val="20"/>
        </w:rPr>
      </w:pPr>
      <w:r>
        <w:rPr>
          <w:bCs/>
          <w:color w:val="auto"/>
          <w:kern w:val="0"/>
          <w:szCs w:val="20"/>
        </w:rPr>
        <w:t>建立厂区地下水环境跟踪监测体系，包括建立地下水监控制度和环境管理体系、制定监测计划、配备必要的检测仪器和设备，以便及时发现问题，及时采取措施。企业不具备</w:t>
      </w:r>
      <w:r>
        <w:rPr>
          <w:rFonts w:hint="eastAsia"/>
          <w:bCs/>
          <w:color w:val="auto"/>
          <w:kern w:val="0"/>
          <w:szCs w:val="20"/>
        </w:rPr>
        <w:t>检测</w:t>
      </w:r>
      <w:r>
        <w:rPr>
          <w:bCs/>
          <w:color w:val="auto"/>
          <w:kern w:val="0"/>
          <w:szCs w:val="20"/>
        </w:rPr>
        <w:t>能力，可以委托第三方有资质检测机构进行检测。</w:t>
      </w:r>
    </w:p>
    <w:p w14:paraId="16F987BC">
      <w:pPr>
        <w:overflowPunct w:val="0"/>
        <w:ind w:firstLine="480"/>
        <w:textAlignment w:val="baseline"/>
        <w:rPr>
          <w:bCs/>
          <w:color w:val="auto"/>
          <w:kern w:val="0"/>
          <w:szCs w:val="20"/>
        </w:rPr>
      </w:pPr>
      <w:r>
        <w:rPr>
          <w:bCs/>
          <w:color w:val="auto"/>
          <w:kern w:val="0"/>
          <w:szCs w:val="20"/>
        </w:rPr>
        <w:t>本项目地下水评级等级为</w:t>
      </w:r>
      <w:r>
        <w:rPr>
          <w:rFonts w:hint="eastAsia"/>
          <w:bCs/>
          <w:color w:val="auto"/>
          <w:kern w:val="0"/>
          <w:szCs w:val="20"/>
        </w:rPr>
        <w:t>二</w:t>
      </w:r>
      <w:r>
        <w:rPr>
          <w:bCs/>
          <w:color w:val="auto"/>
          <w:kern w:val="0"/>
          <w:szCs w:val="20"/>
        </w:rPr>
        <w:t>级，根据《环境影响评价技术导则 地下水环境》</w:t>
      </w:r>
      <w:r>
        <w:rPr>
          <w:rFonts w:hint="eastAsia"/>
          <w:bCs/>
          <w:color w:val="auto"/>
          <w:kern w:val="0"/>
          <w:szCs w:val="20"/>
          <w:lang w:eastAsia="zh-CN"/>
        </w:rPr>
        <w:t>（</w:t>
      </w:r>
      <w:r>
        <w:rPr>
          <w:bCs/>
          <w:color w:val="auto"/>
          <w:kern w:val="0"/>
          <w:szCs w:val="20"/>
        </w:rPr>
        <w:t>HJ610-2016</w:t>
      </w:r>
      <w:r>
        <w:rPr>
          <w:rFonts w:hint="eastAsia"/>
          <w:bCs/>
          <w:color w:val="auto"/>
          <w:kern w:val="0"/>
          <w:szCs w:val="20"/>
        </w:rPr>
        <w:t>）</w:t>
      </w:r>
      <w:r>
        <w:rPr>
          <w:bCs/>
          <w:color w:val="auto"/>
          <w:kern w:val="0"/>
          <w:szCs w:val="20"/>
        </w:rPr>
        <w:t>制定地下水环境跟踪监测方案如下：在拟建项目用地范围内与场地</w:t>
      </w:r>
      <w:r>
        <w:rPr>
          <w:rFonts w:hint="eastAsia"/>
          <w:bCs/>
          <w:color w:val="auto"/>
          <w:kern w:val="0"/>
          <w:szCs w:val="20"/>
        </w:rPr>
        <w:t>上、</w:t>
      </w:r>
      <w:r>
        <w:rPr>
          <w:bCs/>
          <w:color w:val="auto"/>
          <w:kern w:val="0"/>
          <w:szCs w:val="20"/>
        </w:rPr>
        <w:t>下游各设1个地下水监测点，项目</w:t>
      </w:r>
      <w:r>
        <w:rPr>
          <w:rFonts w:hint="eastAsia"/>
          <w:bCs/>
          <w:color w:val="auto"/>
          <w:kern w:val="0"/>
          <w:szCs w:val="20"/>
        </w:rPr>
        <w:t>运营</w:t>
      </w:r>
      <w:r>
        <w:rPr>
          <w:bCs/>
          <w:color w:val="auto"/>
          <w:kern w:val="0"/>
          <w:szCs w:val="20"/>
        </w:rPr>
        <w:t>期间每年度监测一次。</w:t>
      </w:r>
    </w:p>
    <w:p w14:paraId="7DD8E7D9">
      <w:pPr>
        <w:overflowPunct w:val="0"/>
        <w:ind w:firstLine="480"/>
        <w:textAlignment w:val="baseline"/>
        <w:rPr>
          <w:bCs/>
          <w:color w:val="auto"/>
          <w:kern w:val="0"/>
          <w:szCs w:val="20"/>
        </w:rPr>
      </w:pPr>
      <w:r>
        <w:rPr>
          <w:bCs/>
          <w:color w:val="auto"/>
          <w:kern w:val="0"/>
          <w:szCs w:val="20"/>
        </w:rPr>
        <w:t>监测层位：潜水含水层；采样深度：水位以下1.0m之内；监测因子：①八大离子：K</w:t>
      </w:r>
      <w:r>
        <w:rPr>
          <w:bCs/>
          <w:color w:val="auto"/>
          <w:kern w:val="0"/>
          <w:szCs w:val="20"/>
          <w:vertAlign w:val="superscript"/>
        </w:rPr>
        <w:t>+</w:t>
      </w:r>
      <w:r>
        <w:rPr>
          <w:bCs/>
          <w:color w:val="auto"/>
          <w:kern w:val="0"/>
          <w:szCs w:val="20"/>
        </w:rPr>
        <w:t>、Na</w:t>
      </w:r>
      <w:r>
        <w:rPr>
          <w:bCs/>
          <w:color w:val="auto"/>
          <w:kern w:val="0"/>
          <w:szCs w:val="20"/>
          <w:vertAlign w:val="superscript"/>
        </w:rPr>
        <w:t>+</w:t>
      </w:r>
      <w:r>
        <w:rPr>
          <w:bCs/>
          <w:color w:val="auto"/>
          <w:kern w:val="0"/>
          <w:szCs w:val="20"/>
        </w:rPr>
        <w:t>、Ca</w:t>
      </w:r>
      <w:r>
        <w:rPr>
          <w:bCs/>
          <w:color w:val="auto"/>
          <w:kern w:val="0"/>
          <w:szCs w:val="20"/>
          <w:vertAlign w:val="superscript"/>
        </w:rPr>
        <w:t>2+</w:t>
      </w:r>
      <w:r>
        <w:rPr>
          <w:bCs/>
          <w:color w:val="auto"/>
          <w:kern w:val="0"/>
          <w:szCs w:val="20"/>
        </w:rPr>
        <w:t>、Mg</w:t>
      </w:r>
      <w:r>
        <w:rPr>
          <w:bCs/>
          <w:color w:val="auto"/>
          <w:kern w:val="0"/>
          <w:szCs w:val="20"/>
          <w:vertAlign w:val="superscript"/>
        </w:rPr>
        <w:t>2+</w:t>
      </w:r>
      <w:r>
        <w:rPr>
          <w:bCs/>
          <w:color w:val="auto"/>
          <w:kern w:val="0"/>
          <w:szCs w:val="20"/>
        </w:rPr>
        <w:t>、CO</w:t>
      </w:r>
      <w:r>
        <w:rPr>
          <w:bCs/>
          <w:color w:val="auto"/>
          <w:kern w:val="0"/>
          <w:szCs w:val="20"/>
          <w:vertAlign w:val="subscript"/>
        </w:rPr>
        <w:t>3</w:t>
      </w:r>
      <w:r>
        <w:rPr>
          <w:bCs/>
          <w:color w:val="auto"/>
          <w:kern w:val="0"/>
          <w:szCs w:val="20"/>
          <w:vertAlign w:val="superscript"/>
        </w:rPr>
        <w:t>2-</w:t>
      </w:r>
      <w:r>
        <w:rPr>
          <w:bCs/>
          <w:color w:val="auto"/>
          <w:kern w:val="0"/>
          <w:szCs w:val="20"/>
        </w:rPr>
        <w:t>、HCO</w:t>
      </w:r>
      <w:r>
        <w:rPr>
          <w:bCs/>
          <w:color w:val="auto"/>
          <w:kern w:val="0"/>
          <w:szCs w:val="20"/>
          <w:vertAlign w:val="subscript"/>
        </w:rPr>
        <w:t>3</w:t>
      </w:r>
      <w:r>
        <w:rPr>
          <w:bCs/>
          <w:color w:val="auto"/>
          <w:kern w:val="0"/>
          <w:szCs w:val="20"/>
          <w:vertAlign w:val="superscript"/>
        </w:rPr>
        <w:t>-</w:t>
      </w:r>
      <w:r>
        <w:rPr>
          <w:bCs/>
          <w:color w:val="auto"/>
          <w:kern w:val="0"/>
          <w:szCs w:val="20"/>
        </w:rPr>
        <w:t>、Cl</w:t>
      </w:r>
      <w:r>
        <w:rPr>
          <w:bCs/>
          <w:color w:val="auto"/>
          <w:kern w:val="0"/>
          <w:szCs w:val="20"/>
          <w:vertAlign w:val="superscript"/>
        </w:rPr>
        <w:t>-</w:t>
      </w:r>
      <w:r>
        <w:rPr>
          <w:bCs/>
          <w:color w:val="auto"/>
          <w:kern w:val="0"/>
          <w:szCs w:val="20"/>
        </w:rPr>
        <w:t>、SO</w:t>
      </w:r>
      <w:r>
        <w:rPr>
          <w:bCs/>
          <w:color w:val="auto"/>
          <w:kern w:val="0"/>
          <w:szCs w:val="20"/>
          <w:vertAlign w:val="subscript"/>
        </w:rPr>
        <w:t>4</w:t>
      </w:r>
      <w:r>
        <w:rPr>
          <w:bCs/>
          <w:color w:val="auto"/>
          <w:kern w:val="0"/>
          <w:szCs w:val="20"/>
          <w:vertAlign w:val="superscript"/>
        </w:rPr>
        <w:t>2-</w:t>
      </w:r>
      <w:r>
        <w:rPr>
          <w:bCs/>
          <w:color w:val="auto"/>
          <w:kern w:val="0"/>
          <w:szCs w:val="20"/>
        </w:rPr>
        <w:t>；②基本水质因子及项目特征因子：pH、氨氮、硝酸盐、亚硝酸盐、挥发性酚类、氰化物、砷、汞、铬（六价）、总硬度、铅、氟化物、镉、铁、锰、溶解性总固体、耗氧量（COD</w:t>
      </w:r>
      <w:r>
        <w:rPr>
          <w:bCs/>
          <w:color w:val="auto"/>
          <w:kern w:val="0"/>
          <w:szCs w:val="20"/>
          <w:vertAlign w:val="subscript"/>
        </w:rPr>
        <w:t>Mn</w:t>
      </w:r>
      <w:r>
        <w:rPr>
          <w:bCs/>
          <w:color w:val="auto"/>
          <w:kern w:val="0"/>
          <w:szCs w:val="20"/>
        </w:rPr>
        <w:t>法）、硫酸盐、氯化物、总大肠菌群、细菌总数、硫化物、铝、LAS、水位、水温。</w:t>
      </w:r>
    </w:p>
    <w:p w14:paraId="054364A6">
      <w:pPr>
        <w:overflowPunct w:val="0"/>
        <w:ind w:firstLine="480"/>
        <w:textAlignment w:val="baseline"/>
        <w:rPr>
          <w:bCs/>
          <w:color w:val="auto"/>
          <w:kern w:val="0"/>
          <w:szCs w:val="20"/>
        </w:rPr>
      </w:pPr>
      <w:r>
        <w:rPr>
          <w:bCs/>
          <w:color w:val="auto"/>
          <w:kern w:val="0"/>
          <w:szCs w:val="20"/>
        </w:rPr>
        <w:t>本项目土壤评级等级为二级，根据《环境影响评价技术导则 土壤水环境》</w:t>
      </w:r>
      <w:r>
        <w:rPr>
          <w:bCs/>
          <w:color w:val="auto"/>
          <w:kern w:val="0"/>
          <w:szCs w:val="20"/>
        </w:rPr>
        <w:tab/>
      </w:r>
      <w:r>
        <w:rPr>
          <w:rFonts w:hint="eastAsia"/>
          <w:bCs/>
          <w:color w:val="auto"/>
          <w:kern w:val="0"/>
          <w:szCs w:val="20"/>
          <w:lang w:eastAsia="zh-CN"/>
        </w:rPr>
        <w:t>（</w:t>
      </w:r>
      <w:r>
        <w:rPr>
          <w:bCs/>
          <w:color w:val="auto"/>
          <w:kern w:val="0"/>
          <w:szCs w:val="20"/>
        </w:rPr>
        <w:t>HJ610-2018</w:t>
      </w:r>
      <w:r>
        <w:rPr>
          <w:rFonts w:hint="eastAsia"/>
          <w:bCs/>
          <w:color w:val="auto"/>
          <w:kern w:val="0"/>
          <w:szCs w:val="20"/>
        </w:rPr>
        <w:t>）</w:t>
      </w:r>
      <w:r>
        <w:rPr>
          <w:bCs/>
          <w:color w:val="auto"/>
          <w:kern w:val="0"/>
          <w:szCs w:val="20"/>
        </w:rPr>
        <w:t>制定土壤环境跟踪监测方案如下：在拟建项目用地范围内与周边各设1个土壤监测点，项目运营期间每年监测一次。监测因子：pH、</w:t>
      </w:r>
      <w:r>
        <w:rPr>
          <w:rFonts w:hint="eastAsia"/>
          <w:bCs/>
          <w:color w:val="auto"/>
          <w:kern w:val="0"/>
          <w:szCs w:val="20"/>
        </w:rPr>
        <w:t>总铝、总锡</w:t>
      </w:r>
      <w:r>
        <w:rPr>
          <w:bCs/>
          <w:color w:val="auto"/>
          <w:kern w:val="0"/>
          <w:szCs w:val="20"/>
        </w:rPr>
        <w:t>。</w:t>
      </w:r>
    </w:p>
    <w:p w14:paraId="0578EEAD">
      <w:pPr>
        <w:overflowPunct w:val="0"/>
        <w:ind w:firstLine="480"/>
        <w:textAlignment w:val="baseline"/>
        <w:rPr>
          <w:bCs/>
          <w:color w:val="auto"/>
          <w:kern w:val="0"/>
          <w:szCs w:val="20"/>
        </w:rPr>
      </w:pPr>
      <w:r>
        <w:rPr>
          <w:bCs/>
          <w:color w:val="auto"/>
          <w:kern w:val="0"/>
          <w:szCs w:val="20"/>
        </w:rPr>
        <w:t>建设单位应根据地下水和土壤跟踪监测结果编制跟踪监测报告，报告内容应包括：</w:t>
      </w:r>
    </w:p>
    <w:p w14:paraId="0B69296F">
      <w:pPr>
        <w:overflowPunct w:val="0"/>
        <w:ind w:firstLine="480"/>
        <w:textAlignment w:val="baseline"/>
        <w:rPr>
          <w:bCs/>
          <w:color w:val="auto"/>
          <w:kern w:val="0"/>
          <w:szCs w:val="20"/>
        </w:rPr>
      </w:pPr>
      <w:r>
        <w:rPr>
          <w:rFonts w:hint="eastAsia"/>
          <w:bCs/>
          <w:color w:val="auto"/>
          <w:kern w:val="0"/>
          <w:szCs w:val="20"/>
        </w:rPr>
        <w:t>（1）</w:t>
      </w:r>
      <w:r>
        <w:rPr>
          <w:bCs/>
          <w:color w:val="auto"/>
          <w:kern w:val="0"/>
          <w:szCs w:val="20"/>
        </w:rPr>
        <w:t>项目厂区及其影响区地下水环境和土壤环境跟踪监测数据，项目排放污染物的种类、数量和浓度等。</w:t>
      </w:r>
    </w:p>
    <w:p w14:paraId="5C673ED8">
      <w:pPr>
        <w:overflowPunct w:val="0"/>
        <w:ind w:firstLine="480"/>
        <w:textAlignment w:val="baseline"/>
        <w:rPr>
          <w:bCs/>
          <w:color w:val="auto"/>
          <w:kern w:val="0"/>
          <w:szCs w:val="20"/>
        </w:rPr>
      </w:pPr>
      <w:r>
        <w:rPr>
          <w:rFonts w:hint="eastAsia"/>
          <w:bCs/>
          <w:color w:val="auto"/>
          <w:kern w:val="0"/>
          <w:szCs w:val="20"/>
        </w:rPr>
        <w:t>（2）</w:t>
      </w:r>
      <w:r>
        <w:rPr>
          <w:bCs/>
          <w:color w:val="auto"/>
          <w:kern w:val="0"/>
          <w:szCs w:val="20"/>
        </w:rPr>
        <w:t>项目生产设备、管廊或管线、成品的贮存与运输装置、固体废物和危险废物暂存场所、事故应急池及应急装置等设施的运行状况、跑冒滴漏记录和维护记录等。</w:t>
      </w:r>
    </w:p>
    <w:p w14:paraId="7FE2D528">
      <w:pPr>
        <w:overflowPunct w:val="0"/>
        <w:ind w:firstLine="480"/>
        <w:textAlignment w:val="baseline"/>
        <w:rPr>
          <w:bCs/>
          <w:color w:val="auto"/>
          <w:kern w:val="0"/>
          <w:szCs w:val="20"/>
        </w:rPr>
      </w:pPr>
      <w:r>
        <w:rPr>
          <w:bCs/>
          <w:color w:val="auto"/>
          <w:kern w:val="0"/>
          <w:szCs w:val="20"/>
        </w:rPr>
        <w:t>同时，建设单位应将地下水环境监测值向公众公开。</w:t>
      </w:r>
    </w:p>
    <w:p w14:paraId="3C1866ED">
      <w:pPr>
        <w:pStyle w:val="6"/>
        <w:spacing w:beforeLines="50" w:after="0" w:line="360" w:lineRule="auto"/>
        <w:ind w:firstLine="0" w:firstLineChars="0"/>
        <w:rPr>
          <w:color w:val="auto"/>
          <w:szCs w:val="24"/>
        </w:rPr>
      </w:pPr>
      <w:r>
        <w:rPr>
          <w:rFonts w:hint="eastAsia"/>
          <w:color w:val="auto"/>
          <w:szCs w:val="24"/>
        </w:rPr>
        <w:t>7</w:t>
      </w:r>
      <w:r>
        <w:rPr>
          <w:color w:val="auto"/>
          <w:szCs w:val="24"/>
        </w:rPr>
        <w:t>.2.5.5 应急处置措施</w:t>
      </w:r>
    </w:p>
    <w:p w14:paraId="0F3174A2">
      <w:pPr>
        <w:autoSpaceDE w:val="0"/>
        <w:autoSpaceDN w:val="0"/>
        <w:ind w:right="210" w:firstLine="480"/>
        <w:textAlignment w:val="bottom"/>
        <w:rPr>
          <w:color w:val="auto"/>
          <w:kern w:val="44"/>
        </w:rPr>
      </w:pPr>
      <w:r>
        <w:rPr>
          <w:color w:val="auto"/>
          <w:kern w:val="44"/>
        </w:rPr>
        <w:t>（1）当发生异常情况，需要马上采取紧急措施。</w:t>
      </w:r>
    </w:p>
    <w:p w14:paraId="775418DB">
      <w:pPr>
        <w:autoSpaceDE w:val="0"/>
        <w:autoSpaceDN w:val="0"/>
        <w:ind w:right="210" w:firstLine="480"/>
        <w:textAlignment w:val="bottom"/>
        <w:rPr>
          <w:color w:val="auto"/>
          <w:kern w:val="44"/>
        </w:rPr>
      </w:pPr>
      <w:r>
        <w:rPr>
          <w:color w:val="auto"/>
          <w:kern w:val="44"/>
        </w:rPr>
        <w:t>（2）当发生异常情况时，按照装置制定的环境事故应急预案，启动应急预案。在第一时间内尽快上报主管领导，启动周围社会预案，密切关注地下水水质变化情况。</w:t>
      </w:r>
    </w:p>
    <w:p w14:paraId="704A77A0">
      <w:pPr>
        <w:autoSpaceDE w:val="0"/>
        <w:autoSpaceDN w:val="0"/>
        <w:ind w:right="210" w:firstLine="480"/>
        <w:textAlignment w:val="bottom"/>
        <w:rPr>
          <w:color w:val="auto"/>
          <w:kern w:val="44"/>
        </w:rPr>
      </w:pPr>
      <w:r>
        <w:rPr>
          <w:color w:val="auto"/>
          <w:kern w:val="44"/>
        </w:rPr>
        <w:t>（3）组织专业队伍负责查找环境事故发生地点，分析事故原因，尽量将</w:t>
      </w:r>
      <w:r>
        <w:rPr>
          <w:rFonts w:hint="eastAsia"/>
          <w:color w:val="auto"/>
          <w:kern w:val="44"/>
        </w:rPr>
        <w:t>紧急事件</w:t>
      </w:r>
      <w:r>
        <w:rPr>
          <w:color w:val="auto"/>
          <w:kern w:val="44"/>
        </w:rPr>
        <w:t>局部化，如可能应予以消除，尽量缩小环境事故对人和财产的影响。减低事故后果的手段，包括切断生产装置或设施。</w:t>
      </w:r>
    </w:p>
    <w:p w14:paraId="73DC2EE1">
      <w:pPr>
        <w:autoSpaceDE w:val="0"/>
        <w:autoSpaceDN w:val="0"/>
        <w:ind w:right="210" w:firstLine="480"/>
        <w:textAlignment w:val="bottom"/>
        <w:rPr>
          <w:color w:val="auto"/>
          <w:kern w:val="44"/>
        </w:rPr>
      </w:pPr>
      <w:r>
        <w:rPr>
          <w:color w:val="auto"/>
          <w:kern w:val="44"/>
        </w:rPr>
        <w:t>（4）对事故现场进行调查，监测，处理。对事故后果进行评估，采取紧急措施制止事故的扩散，扩大，并制定防止类似事件发生的措施。</w:t>
      </w:r>
    </w:p>
    <w:p w14:paraId="60FF7462">
      <w:pPr>
        <w:pStyle w:val="5"/>
        <w:spacing w:beforeLines="50" w:after="0"/>
        <w:ind w:firstLine="0" w:firstLineChars="0"/>
        <w:rPr>
          <w:color w:val="auto"/>
          <w:sz w:val="28"/>
          <w:szCs w:val="28"/>
        </w:rPr>
      </w:pPr>
      <w:r>
        <w:rPr>
          <w:rFonts w:hint="eastAsia"/>
          <w:color w:val="auto"/>
          <w:sz w:val="28"/>
          <w:szCs w:val="28"/>
        </w:rPr>
        <w:t>7.2.6</w:t>
      </w:r>
      <w:r>
        <w:rPr>
          <w:color w:val="auto"/>
          <w:sz w:val="28"/>
          <w:szCs w:val="28"/>
        </w:rPr>
        <w:t xml:space="preserve"> </w:t>
      </w:r>
      <w:r>
        <w:rPr>
          <w:rFonts w:hint="eastAsia"/>
          <w:color w:val="auto"/>
          <w:sz w:val="28"/>
          <w:szCs w:val="28"/>
        </w:rPr>
        <w:t>生态治理措施</w:t>
      </w:r>
    </w:p>
    <w:p w14:paraId="4320BD2D">
      <w:pPr>
        <w:autoSpaceDE w:val="0"/>
        <w:autoSpaceDN w:val="0"/>
        <w:ind w:right="210" w:firstLine="480"/>
        <w:textAlignment w:val="bottom"/>
        <w:rPr>
          <w:color w:val="auto"/>
          <w:kern w:val="44"/>
        </w:rPr>
      </w:pPr>
      <w:r>
        <w:rPr>
          <w:color w:val="auto"/>
          <w:kern w:val="44"/>
        </w:rPr>
        <w:t>本项目土地性质属于工业</w:t>
      </w:r>
      <w:r>
        <w:rPr>
          <w:rFonts w:hint="eastAsia"/>
          <w:color w:val="auto"/>
          <w:kern w:val="44"/>
        </w:rPr>
        <w:t>用</w:t>
      </w:r>
      <w:r>
        <w:rPr>
          <w:color w:val="auto"/>
          <w:kern w:val="44"/>
        </w:rPr>
        <w:t>地，不在风景名胜区等。</w:t>
      </w:r>
    </w:p>
    <w:p w14:paraId="5A063E90">
      <w:pPr>
        <w:autoSpaceDE w:val="0"/>
        <w:autoSpaceDN w:val="0"/>
        <w:ind w:right="210" w:firstLine="480"/>
        <w:textAlignment w:val="bottom"/>
        <w:rPr>
          <w:color w:val="auto"/>
          <w:kern w:val="44"/>
        </w:rPr>
      </w:pPr>
      <w:r>
        <w:rPr>
          <w:color w:val="auto"/>
          <w:kern w:val="44"/>
        </w:rPr>
        <w:t>项目建成后，在绿化方面需注重点、线、面的结合，采用“乔、灌、花、草”相结合的多层次复合绿化系统，合理分配高大与低矮植物的布设，对绿化树种进行筛选，优良的防污绿化植物应该具备下列条件：①具有较强的抗污染能力；②具有净化空气的能力；③具有对当地自然条件的适应能力；④容易繁殖、移栽和管理；⑤有较好的绿化、美化效果。</w:t>
      </w:r>
    </w:p>
    <w:p w14:paraId="3C9B04A3">
      <w:pPr>
        <w:autoSpaceDE w:val="0"/>
        <w:autoSpaceDN w:val="0"/>
        <w:ind w:right="210" w:firstLine="480"/>
        <w:textAlignment w:val="bottom"/>
        <w:rPr>
          <w:color w:val="auto"/>
          <w:kern w:val="44"/>
        </w:rPr>
      </w:pPr>
      <w:r>
        <w:rPr>
          <w:color w:val="auto"/>
          <w:kern w:val="44"/>
        </w:rPr>
        <w:t>项目绿化需注意：</w:t>
      </w:r>
    </w:p>
    <w:p w14:paraId="220DB164">
      <w:pPr>
        <w:autoSpaceDE w:val="0"/>
        <w:autoSpaceDN w:val="0"/>
        <w:ind w:right="210" w:firstLine="480"/>
        <w:textAlignment w:val="bottom"/>
        <w:rPr>
          <w:color w:val="auto"/>
          <w:kern w:val="44"/>
        </w:rPr>
      </w:pPr>
      <w:r>
        <w:rPr>
          <w:color w:val="auto"/>
          <w:kern w:val="44"/>
        </w:rPr>
        <w:t>（1）厂区建设应重视绿化工作，并从整体上与厂貌协调，注意绿化布局的层次、风格。</w:t>
      </w:r>
    </w:p>
    <w:p w14:paraId="025B0A72">
      <w:pPr>
        <w:autoSpaceDE w:val="0"/>
        <w:autoSpaceDN w:val="0"/>
        <w:ind w:right="210" w:firstLine="480"/>
        <w:textAlignment w:val="bottom"/>
        <w:rPr>
          <w:color w:val="auto"/>
          <w:kern w:val="44"/>
        </w:rPr>
      </w:pPr>
      <w:r>
        <w:rPr>
          <w:color w:val="auto"/>
          <w:kern w:val="44"/>
        </w:rPr>
        <w:t>（2）为达到降噪和吸尘的作用，降低对周边声环境的影响，在厂区四周应建设10m的绿化隔离带。</w:t>
      </w:r>
    </w:p>
    <w:p w14:paraId="79AC64F8">
      <w:pPr>
        <w:pStyle w:val="5"/>
        <w:spacing w:beforeLines="50" w:after="0"/>
        <w:ind w:firstLine="0" w:firstLineChars="0"/>
        <w:rPr>
          <w:color w:val="auto"/>
          <w:sz w:val="28"/>
          <w:szCs w:val="28"/>
        </w:rPr>
      </w:pPr>
      <w:bookmarkStart w:id="198" w:name="_Toc479348118"/>
      <w:bookmarkStart w:id="199" w:name="_Toc494440474"/>
      <w:r>
        <w:rPr>
          <w:rFonts w:hint="eastAsia"/>
          <w:color w:val="auto"/>
          <w:sz w:val="28"/>
          <w:szCs w:val="28"/>
        </w:rPr>
        <w:t>7.2.7</w:t>
      </w:r>
      <w:r>
        <w:rPr>
          <w:color w:val="auto"/>
          <w:sz w:val="28"/>
          <w:szCs w:val="28"/>
        </w:rPr>
        <w:t xml:space="preserve"> 环境风险</w:t>
      </w:r>
      <w:bookmarkEnd w:id="198"/>
      <w:bookmarkEnd w:id="199"/>
      <w:r>
        <w:rPr>
          <w:rFonts w:hint="eastAsia"/>
          <w:color w:val="auto"/>
          <w:sz w:val="28"/>
          <w:szCs w:val="28"/>
        </w:rPr>
        <w:t>管理</w:t>
      </w:r>
    </w:p>
    <w:p w14:paraId="65AA68B8">
      <w:pPr>
        <w:pStyle w:val="6"/>
        <w:spacing w:beforeLines="50" w:after="0" w:line="360" w:lineRule="auto"/>
        <w:ind w:firstLine="0" w:firstLineChars="0"/>
        <w:rPr>
          <w:color w:val="auto"/>
          <w:szCs w:val="24"/>
        </w:rPr>
      </w:pPr>
      <w:bookmarkStart w:id="200" w:name="_Hlk58859810"/>
      <w:r>
        <w:rPr>
          <w:rFonts w:hint="eastAsia"/>
          <w:color w:val="auto"/>
          <w:szCs w:val="24"/>
        </w:rPr>
        <w:t>7.2.7.1</w:t>
      </w:r>
      <w:r>
        <w:rPr>
          <w:color w:val="auto"/>
          <w:szCs w:val="24"/>
        </w:rPr>
        <w:t xml:space="preserve"> 环境风险防范措施</w:t>
      </w:r>
    </w:p>
    <w:p w14:paraId="55803787">
      <w:pPr>
        <w:ind w:firstLine="482"/>
        <w:jc w:val="left"/>
        <w:rPr>
          <w:b/>
          <w:bCs/>
          <w:color w:val="auto"/>
          <w:kern w:val="0"/>
        </w:rPr>
      </w:pPr>
      <w:r>
        <w:rPr>
          <w:b/>
          <w:bCs/>
          <w:color w:val="auto"/>
          <w:kern w:val="0"/>
        </w:rPr>
        <w:t>一、大气环境风险防范措施</w:t>
      </w:r>
    </w:p>
    <w:p w14:paraId="32DF2A55">
      <w:pPr>
        <w:ind w:firstLine="482"/>
        <w:jc w:val="left"/>
        <w:rPr>
          <w:b/>
          <w:bCs/>
          <w:color w:val="auto"/>
        </w:rPr>
      </w:pPr>
      <w:r>
        <w:rPr>
          <w:b/>
          <w:bCs/>
          <w:color w:val="auto"/>
        </w:rPr>
        <w:t>（1）大气环境风险监控</w:t>
      </w:r>
    </w:p>
    <w:p w14:paraId="3667D51F">
      <w:pPr>
        <w:ind w:firstLine="480"/>
        <w:jc w:val="left"/>
        <w:rPr>
          <w:rFonts w:hint="eastAsia"/>
          <w:color w:val="auto"/>
        </w:rPr>
      </w:pPr>
      <w:r>
        <w:rPr>
          <w:color w:val="auto"/>
        </w:rPr>
        <w:t>本项目大气环境风险主要为火灾造成的次生污染，本项目主要易燃风险物质为天然气、油品等。其中使用天然气区域应参照相关设计规范设置可燃气体报警器。对于液压油</w:t>
      </w:r>
      <w:r>
        <w:rPr>
          <w:rFonts w:hint="eastAsia"/>
          <w:color w:val="auto"/>
        </w:rPr>
        <w:t>、液氨储存区等位置</w:t>
      </w:r>
      <w:r>
        <w:rPr>
          <w:color w:val="auto"/>
        </w:rPr>
        <w:t>，应设置火灾报警装置及视频监控；危险废物仓库按照相关的标准设置视频监控。</w:t>
      </w:r>
      <w:r>
        <w:rPr>
          <w:rFonts w:hint="eastAsia"/>
          <w:color w:val="auto"/>
        </w:rPr>
        <w:t>火灾、爆炸等事故发生时，应使用水、干粉或二氧化碳灭火器扑救，灭火过程同时对邻近储罐进行冷却降温，以降低相邻储罐发生爆炸的可能性。同时对扩散至空气中的未燃烧物、烟尘等污染物进行洗消，以减小对环境空气的影响。</w:t>
      </w:r>
    </w:p>
    <w:p w14:paraId="5220A71F">
      <w:pPr>
        <w:ind w:firstLine="480"/>
        <w:jc w:val="left"/>
        <w:rPr>
          <w:rFonts w:hint="default"/>
          <w:color w:val="auto"/>
          <w:lang w:val="en-US"/>
        </w:rPr>
      </w:pPr>
      <w:r>
        <w:rPr>
          <w:rFonts w:hint="eastAsia"/>
          <w:color w:val="auto"/>
          <w:lang w:val="en-US" w:eastAsia="zh-CN"/>
        </w:rPr>
        <w:t>项目在线碱回收装置、阳极氧化、模具氮化工序物料反应均会有少量氢气产生。氢气产生区域应通风良好，禁止在厂房内排放，保证空气中氢气含量不超过1%。另外氢气排放源上方安装固定式可燃性气体检测报警仪。</w:t>
      </w:r>
    </w:p>
    <w:p w14:paraId="4867E2B9">
      <w:pPr>
        <w:ind w:firstLine="482"/>
        <w:jc w:val="left"/>
        <w:rPr>
          <w:b/>
          <w:bCs/>
          <w:color w:val="auto"/>
        </w:rPr>
      </w:pPr>
      <w:r>
        <w:rPr>
          <w:b/>
          <w:bCs/>
          <w:color w:val="auto"/>
        </w:rPr>
        <w:t>（2）</w:t>
      </w:r>
      <w:r>
        <w:rPr>
          <w:rFonts w:hint="eastAsia"/>
          <w:b/>
          <w:bCs/>
          <w:color w:val="auto"/>
        </w:rPr>
        <w:t>基本保护措施和防护方法</w:t>
      </w:r>
    </w:p>
    <w:p w14:paraId="28DD2D76">
      <w:pPr>
        <w:ind w:firstLine="480"/>
        <w:jc w:val="left"/>
        <w:rPr>
          <w:color w:val="auto"/>
        </w:rPr>
      </w:pPr>
      <w:r>
        <w:rPr>
          <w:rFonts w:hint="eastAsia"/>
          <w:color w:val="auto"/>
        </w:rPr>
        <w:t>呼吸系统防护：疏散过程中应用衣物捂住口鼻，如条件允许，应该佩戴自吸过滤式防毒面具（半面罩）。</w:t>
      </w:r>
    </w:p>
    <w:p w14:paraId="4825E334">
      <w:pPr>
        <w:ind w:firstLine="480"/>
        <w:jc w:val="left"/>
        <w:rPr>
          <w:color w:val="auto"/>
        </w:rPr>
      </w:pPr>
      <w:r>
        <w:rPr>
          <w:rFonts w:hint="eastAsia"/>
          <w:color w:val="auto"/>
        </w:rPr>
        <w:t>眼睛防护：戴化学安全防护眼镜。</w:t>
      </w:r>
    </w:p>
    <w:p w14:paraId="708A2BD6">
      <w:pPr>
        <w:ind w:firstLine="480"/>
        <w:jc w:val="left"/>
        <w:rPr>
          <w:color w:val="auto"/>
        </w:rPr>
      </w:pPr>
      <w:r>
        <w:rPr>
          <w:rFonts w:hint="eastAsia"/>
          <w:color w:val="auto"/>
        </w:rPr>
        <w:t>身体防护：尽可能减少身体暴露，如有可能穿毒物渗透工作服。</w:t>
      </w:r>
    </w:p>
    <w:p w14:paraId="7FC0AACC">
      <w:pPr>
        <w:ind w:firstLine="480"/>
        <w:jc w:val="left"/>
        <w:rPr>
          <w:color w:val="auto"/>
        </w:rPr>
      </w:pPr>
      <w:r>
        <w:rPr>
          <w:rFonts w:hint="eastAsia"/>
          <w:color w:val="auto"/>
        </w:rPr>
        <w:t>手防护：戴橡胶耐酸碱手套。</w:t>
      </w:r>
    </w:p>
    <w:p w14:paraId="1D655045">
      <w:pPr>
        <w:ind w:firstLine="480"/>
        <w:jc w:val="left"/>
        <w:rPr>
          <w:color w:val="auto"/>
        </w:rPr>
      </w:pPr>
      <w:r>
        <w:rPr>
          <w:rFonts w:hint="eastAsia"/>
          <w:color w:val="auto"/>
        </w:rPr>
        <w:t>其他防护：根据泄漏影响程度，周边人员可选择在室内避险，关闭门窗，等待污染影响消失。</w:t>
      </w:r>
    </w:p>
    <w:p w14:paraId="52C519CB">
      <w:pPr>
        <w:ind w:firstLine="482"/>
        <w:jc w:val="left"/>
        <w:rPr>
          <w:b/>
          <w:bCs/>
          <w:color w:val="auto"/>
        </w:rPr>
      </w:pPr>
      <w:r>
        <w:rPr>
          <w:rFonts w:hint="eastAsia"/>
          <w:b/>
          <w:bCs/>
          <w:color w:val="auto"/>
        </w:rPr>
        <w:t>（3）疏散方式、方法</w:t>
      </w:r>
    </w:p>
    <w:p w14:paraId="6E7B5975">
      <w:pPr>
        <w:ind w:firstLine="480"/>
        <w:jc w:val="left"/>
        <w:rPr>
          <w:color w:val="auto"/>
        </w:rPr>
      </w:pPr>
      <w:r>
        <w:rPr>
          <w:rFonts w:hint="eastAsia"/>
          <w:color w:val="auto"/>
        </w:rPr>
        <w:t>事故状态下，根据气象条件及交通情况，选择向远离泄漏点上风向进行疏散。疏散过程中应注意交通情况，有序疏散，防止发生交通事故及踩踏伤害。</w:t>
      </w:r>
    </w:p>
    <w:p w14:paraId="0D23E01B">
      <w:pPr>
        <w:ind w:firstLine="480"/>
        <w:jc w:val="left"/>
        <w:rPr>
          <w:color w:val="auto"/>
        </w:rPr>
      </w:pPr>
      <w:r>
        <w:rPr>
          <w:rFonts w:hint="eastAsia"/>
          <w:color w:val="auto"/>
        </w:rPr>
        <w:t>①保证疏散指示标志明显，应急疏散通道出口通畅，应急照明灯能正常使用。</w:t>
      </w:r>
    </w:p>
    <w:p w14:paraId="3459365D">
      <w:pPr>
        <w:ind w:firstLine="480"/>
        <w:jc w:val="left"/>
        <w:rPr>
          <w:color w:val="auto"/>
        </w:rPr>
      </w:pPr>
      <w:r>
        <w:rPr>
          <w:rFonts w:hint="eastAsia"/>
          <w:color w:val="auto"/>
        </w:rPr>
        <w:t>②明确疏散计划，由应急指挥部发出疏散命令后，负责应急消防组按负责部位进入指定位置，立即组织人员疏散。</w:t>
      </w:r>
    </w:p>
    <w:p w14:paraId="5D875D5C">
      <w:pPr>
        <w:ind w:firstLine="480"/>
        <w:jc w:val="left"/>
        <w:rPr>
          <w:color w:val="auto"/>
        </w:rPr>
      </w:pPr>
      <w:r>
        <w:rPr>
          <w:rFonts w:hint="eastAsia"/>
          <w:color w:val="auto"/>
        </w:rPr>
        <w:t>③应急消防组用最快速度通知现场人员，按疏散的方向通道进行疏散。积极配合好有关部门（如公安消防大队）进行疏散工作，主动汇报事故现场情况。</w:t>
      </w:r>
    </w:p>
    <w:p w14:paraId="2D156884">
      <w:pPr>
        <w:ind w:firstLine="480"/>
        <w:jc w:val="left"/>
        <w:rPr>
          <w:color w:val="auto"/>
        </w:rPr>
      </w:pPr>
      <w:r>
        <w:rPr>
          <w:rFonts w:hint="eastAsia"/>
          <w:color w:val="auto"/>
        </w:rPr>
        <w:t>④事故现场有被困人员时，疏导人员应劝导被困人员，服从指挥，做到有组织、有秩序地疏散。</w:t>
      </w:r>
    </w:p>
    <w:p w14:paraId="29575E7B">
      <w:pPr>
        <w:ind w:firstLine="480"/>
        <w:jc w:val="left"/>
        <w:rPr>
          <w:color w:val="auto"/>
        </w:rPr>
      </w:pPr>
      <w:r>
        <w:rPr>
          <w:rFonts w:hint="eastAsia"/>
          <w:color w:val="auto"/>
        </w:rPr>
        <w:t>⑤正确通报、防止混乱。疏导人员首先通知事故现场附近人员进行疏散，然后视情况公开通报，通知其他区域人员进行有序疏散，防止不分先后，发生拥挤影响顺利疏散。</w:t>
      </w:r>
    </w:p>
    <w:p w14:paraId="17D055F3">
      <w:pPr>
        <w:ind w:firstLine="480"/>
        <w:jc w:val="left"/>
        <w:rPr>
          <w:color w:val="auto"/>
        </w:rPr>
      </w:pPr>
      <w:r>
        <w:rPr>
          <w:rFonts w:hint="eastAsia"/>
          <w:color w:val="auto"/>
        </w:rPr>
        <w:t>⑥广播引导疏散。利用广播将发生事故的部位，需疏散人员的区域，安全的区域方向和标志告诉大家，对已被困人员告知他们救生器材的使用方法，自制救生器材的方法。</w:t>
      </w:r>
    </w:p>
    <w:p w14:paraId="2E7E06C6">
      <w:pPr>
        <w:ind w:firstLine="480"/>
        <w:jc w:val="left"/>
        <w:rPr>
          <w:color w:val="auto"/>
        </w:rPr>
      </w:pPr>
      <w:r>
        <w:rPr>
          <w:rFonts w:hint="eastAsia"/>
          <w:color w:val="auto"/>
        </w:rPr>
        <w:t>⑦事故现场直接威胁人员安全，应急消防队人员采取必要的手段强制疏导，防止出现伤亡事故。在疏散通道的拐弯、叉道等容易走错方向的地方设疏导人员，提示疏散方向，防止误入死胡同或进入危险区域。</w:t>
      </w:r>
    </w:p>
    <w:p w14:paraId="33D695F3">
      <w:pPr>
        <w:ind w:firstLine="480"/>
        <w:jc w:val="left"/>
        <w:rPr>
          <w:color w:val="auto"/>
        </w:rPr>
      </w:pPr>
      <w:r>
        <w:rPr>
          <w:rFonts w:hint="eastAsia"/>
          <w:color w:val="auto"/>
        </w:rPr>
        <w:t>⑧对疏散出的人员，要加强脱险后的管理，防止脱险人员对财产和未撤离危险区的亲友生命担心而重新返回事故现场。必要时，在进入危险区域的关键部位配备警戒人员。</w:t>
      </w:r>
    </w:p>
    <w:p w14:paraId="4A4351B6">
      <w:pPr>
        <w:ind w:firstLine="480"/>
        <w:jc w:val="left"/>
        <w:rPr>
          <w:color w:val="auto"/>
        </w:rPr>
      </w:pPr>
      <w:r>
        <w:rPr>
          <w:rFonts w:hint="eastAsia"/>
          <w:color w:val="auto"/>
        </w:rPr>
        <w:t>⑨专业救援队伍到达现场后，疏导人员若知晓内部被困人员情况，要迅速报告，介绍被困人员方位、数量。</w:t>
      </w:r>
    </w:p>
    <w:p w14:paraId="13A28312">
      <w:pPr>
        <w:ind w:firstLine="480"/>
        <w:jc w:val="left"/>
        <w:rPr>
          <w:color w:val="auto"/>
        </w:rPr>
      </w:pPr>
      <w:r>
        <w:rPr>
          <w:rFonts w:hint="eastAsia"/>
          <w:color w:val="auto"/>
        </w:rPr>
        <w:t>（4）紧急避难场所</w:t>
      </w:r>
    </w:p>
    <w:p w14:paraId="5C8AF5BF">
      <w:pPr>
        <w:ind w:firstLine="480"/>
        <w:jc w:val="left"/>
        <w:rPr>
          <w:color w:val="auto"/>
        </w:rPr>
      </w:pPr>
      <w:r>
        <w:rPr>
          <w:rFonts w:hint="eastAsia"/>
          <w:color w:val="auto"/>
        </w:rPr>
        <w:t>①一般选择厂区大门前空地及停车场区域作为紧急避难场所，同时需避开事故时的下风向区域。</w:t>
      </w:r>
    </w:p>
    <w:p w14:paraId="5A0280AB">
      <w:pPr>
        <w:ind w:firstLine="480"/>
        <w:jc w:val="left"/>
        <w:rPr>
          <w:color w:val="auto"/>
        </w:rPr>
      </w:pPr>
      <w:r>
        <w:rPr>
          <w:rFonts w:hint="eastAsia"/>
          <w:color w:val="auto"/>
        </w:rPr>
        <w:t>②做好宣传工作，确保所有人了解紧急避难场所的位置和功能。</w:t>
      </w:r>
    </w:p>
    <w:p w14:paraId="2D0F099F">
      <w:pPr>
        <w:ind w:firstLine="480"/>
        <w:jc w:val="left"/>
        <w:rPr>
          <w:color w:val="auto"/>
        </w:rPr>
      </w:pPr>
      <w:r>
        <w:rPr>
          <w:rFonts w:hint="eastAsia"/>
          <w:color w:val="auto"/>
        </w:rPr>
        <w:t>③紧急避难场所必须有醒目的标志牌。</w:t>
      </w:r>
    </w:p>
    <w:p w14:paraId="34F0E903">
      <w:pPr>
        <w:ind w:firstLine="480"/>
        <w:jc w:val="left"/>
        <w:rPr>
          <w:b/>
          <w:bCs/>
          <w:color w:val="auto"/>
        </w:rPr>
      </w:pPr>
      <w:r>
        <w:rPr>
          <w:rFonts w:hint="eastAsia"/>
          <w:color w:val="auto"/>
        </w:rPr>
        <w:t>④紧急避难场所不得作为他用。</w:t>
      </w:r>
    </w:p>
    <w:p w14:paraId="1927E02C">
      <w:pPr>
        <w:ind w:firstLine="482"/>
        <w:jc w:val="left"/>
        <w:rPr>
          <w:b/>
          <w:bCs/>
          <w:color w:val="auto"/>
        </w:rPr>
      </w:pPr>
      <w:r>
        <w:rPr>
          <w:rFonts w:hint="eastAsia"/>
          <w:b/>
          <w:bCs/>
          <w:color w:val="auto"/>
        </w:rPr>
        <w:t>（5）</w:t>
      </w:r>
      <w:r>
        <w:rPr>
          <w:b/>
          <w:bCs/>
          <w:color w:val="auto"/>
        </w:rPr>
        <w:t>人员疏散通道及安置建议</w:t>
      </w:r>
    </w:p>
    <w:p w14:paraId="29CFC7C9">
      <w:pPr>
        <w:ind w:firstLine="480"/>
        <w:jc w:val="left"/>
        <w:rPr>
          <w:color w:val="auto"/>
        </w:rPr>
      </w:pPr>
      <w:r>
        <w:rPr>
          <w:color w:val="auto"/>
        </w:rPr>
        <w:t>污染物已经影响或预测可能影响到周边居民和环境时，由公司应急指挥部报告园区应急救援指挥机构，请求园区应急救援指挥机构援助，并配合园区应急救援指挥机构对周边受影响区域人群进行疏散。具体疏散方案如下：</w:t>
      </w:r>
    </w:p>
    <w:p w14:paraId="23302EA8">
      <w:pPr>
        <w:ind w:firstLine="480"/>
        <w:jc w:val="left"/>
        <w:rPr>
          <w:color w:val="auto"/>
        </w:rPr>
      </w:pPr>
      <w:r>
        <w:rPr>
          <w:color w:val="auto"/>
        </w:rPr>
        <w:t>①确定疏散计划。由园区应急救援指挥机构明确周边受影响区域人群疏散计划，确定疏散时间、路线、交通工具、目的地等。本公司疏散小组配合政府应急行动小组组织人员疏散。应急指挥部发出疏散命令后，疏散小组按负责部位进入指定位置，立即组织人员疏散。遵循向风险源上风向疏散原则，</w:t>
      </w:r>
      <w:r>
        <w:rPr>
          <w:rFonts w:hint="eastAsia"/>
          <w:color w:val="auto"/>
        </w:rPr>
        <w:t>连云港</w:t>
      </w:r>
      <w:r>
        <w:rPr>
          <w:color w:val="auto"/>
        </w:rPr>
        <w:t>主导风向为东南风，本疏散路线以主导风向为考虑依据，若事故时风向发生变化，则疏散路线方向主要为事发地上风向。本厂区具体疏散路线及避难场所见表</w:t>
      </w:r>
      <w:r>
        <w:rPr>
          <w:rFonts w:hint="eastAsia"/>
          <w:color w:val="auto"/>
        </w:rPr>
        <w:t>7.2.7</w:t>
      </w:r>
      <w:r>
        <w:rPr>
          <w:color w:val="auto"/>
        </w:rPr>
        <w:t>-1，图</w:t>
      </w:r>
      <w:r>
        <w:rPr>
          <w:rFonts w:hint="eastAsia"/>
          <w:color w:val="auto"/>
        </w:rPr>
        <w:t>7</w:t>
      </w:r>
      <w:r>
        <w:rPr>
          <w:color w:val="auto"/>
        </w:rPr>
        <w:t>.</w:t>
      </w:r>
      <w:r>
        <w:rPr>
          <w:rFonts w:hint="eastAsia"/>
          <w:color w:val="auto"/>
        </w:rPr>
        <w:t>2-4</w:t>
      </w:r>
      <w:r>
        <w:rPr>
          <w:color w:val="auto"/>
        </w:rPr>
        <w:t>。</w:t>
      </w:r>
    </w:p>
    <w:p w14:paraId="0A7AA532">
      <w:pPr>
        <w:spacing w:line="240" w:lineRule="auto"/>
        <w:ind w:firstLine="482"/>
        <w:jc w:val="center"/>
        <w:rPr>
          <w:b/>
          <w:bCs/>
          <w:color w:val="auto"/>
        </w:rPr>
      </w:pPr>
      <w:r>
        <w:rPr>
          <w:b/>
          <w:bCs/>
          <w:color w:val="auto"/>
        </w:rPr>
        <w:t>表</w:t>
      </w:r>
      <w:r>
        <w:rPr>
          <w:rFonts w:hint="eastAsia"/>
          <w:b/>
          <w:bCs/>
          <w:color w:val="auto"/>
        </w:rPr>
        <w:t>7.2.7</w:t>
      </w:r>
      <w:r>
        <w:rPr>
          <w:b/>
          <w:bCs/>
          <w:color w:val="auto"/>
        </w:rPr>
        <w:t>-1  厂区紧急疏散路线及避难场所</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4139"/>
        <w:gridCol w:w="1431"/>
        <w:gridCol w:w="1630"/>
      </w:tblGrid>
      <w:tr w14:paraId="5407F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8" w:type="pct"/>
            <w:tcBorders>
              <w:tl2br w:val="nil"/>
              <w:tr2bl w:val="nil"/>
            </w:tcBorders>
            <w:vAlign w:val="center"/>
          </w:tcPr>
          <w:p w14:paraId="1E20318E">
            <w:pPr>
              <w:spacing w:line="240" w:lineRule="auto"/>
              <w:ind w:firstLine="0" w:firstLineChars="0"/>
              <w:jc w:val="center"/>
              <w:rPr>
                <w:b/>
                <w:color w:val="auto"/>
                <w:kern w:val="0"/>
                <w:sz w:val="21"/>
                <w:szCs w:val="21"/>
              </w:rPr>
            </w:pPr>
            <w:r>
              <w:rPr>
                <w:b/>
                <w:color w:val="auto"/>
                <w:kern w:val="0"/>
                <w:sz w:val="21"/>
                <w:szCs w:val="21"/>
              </w:rPr>
              <w:t>事故发生地的上风向</w:t>
            </w:r>
          </w:p>
        </w:tc>
        <w:tc>
          <w:tcPr>
            <w:tcW w:w="2202" w:type="pct"/>
            <w:tcBorders>
              <w:tl2br w:val="nil"/>
              <w:tr2bl w:val="nil"/>
            </w:tcBorders>
            <w:vAlign w:val="center"/>
          </w:tcPr>
          <w:p w14:paraId="5419C583">
            <w:pPr>
              <w:spacing w:line="240" w:lineRule="auto"/>
              <w:ind w:firstLine="0" w:firstLineChars="0"/>
              <w:jc w:val="center"/>
              <w:rPr>
                <w:b/>
                <w:color w:val="auto"/>
                <w:kern w:val="0"/>
                <w:sz w:val="21"/>
                <w:szCs w:val="21"/>
              </w:rPr>
            </w:pPr>
            <w:r>
              <w:rPr>
                <w:b/>
                <w:color w:val="auto"/>
                <w:kern w:val="0"/>
                <w:sz w:val="21"/>
                <w:szCs w:val="21"/>
              </w:rPr>
              <w:t>疏散路线</w:t>
            </w:r>
          </w:p>
        </w:tc>
        <w:tc>
          <w:tcPr>
            <w:tcW w:w="761" w:type="pct"/>
            <w:tcBorders>
              <w:tl2br w:val="nil"/>
              <w:tr2bl w:val="nil"/>
            </w:tcBorders>
            <w:vAlign w:val="center"/>
          </w:tcPr>
          <w:p w14:paraId="7BBB23E1">
            <w:pPr>
              <w:spacing w:line="240" w:lineRule="auto"/>
              <w:ind w:firstLine="0" w:firstLineChars="0"/>
              <w:jc w:val="center"/>
              <w:rPr>
                <w:b/>
                <w:color w:val="auto"/>
                <w:kern w:val="0"/>
                <w:sz w:val="21"/>
                <w:szCs w:val="21"/>
              </w:rPr>
            </w:pPr>
            <w:r>
              <w:rPr>
                <w:b/>
                <w:color w:val="auto"/>
                <w:kern w:val="0"/>
                <w:sz w:val="21"/>
                <w:szCs w:val="21"/>
              </w:rPr>
              <w:t>避难场所</w:t>
            </w:r>
          </w:p>
        </w:tc>
        <w:tc>
          <w:tcPr>
            <w:tcW w:w="867" w:type="pct"/>
            <w:tcBorders>
              <w:tl2br w:val="nil"/>
              <w:tr2bl w:val="nil"/>
            </w:tcBorders>
            <w:vAlign w:val="center"/>
          </w:tcPr>
          <w:p w14:paraId="555C6127">
            <w:pPr>
              <w:spacing w:line="240" w:lineRule="auto"/>
              <w:ind w:firstLine="0" w:firstLineChars="0"/>
              <w:jc w:val="center"/>
              <w:rPr>
                <w:b/>
                <w:color w:val="auto"/>
                <w:kern w:val="0"/>
                <w:sz w:val="21"/>
                <w:szCs w:val="21"/>
              </w:rPr>
            </w:pPr>
            <w:r>
              <w:rPr>
                <w:b/>
                <w:color w:val="auto"/>
                <w:kern w:val="0"/>
                <w:sz w:val="21"/>
                <w:szCs w:val="21"/>
              </w:rPr>
              <w:t>可容纳人数</w:t>
            </w:r>
          </w:p>
        </w:tc>
      </w:tr>
      <w:tr w14:paraId="1CAED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8" w:type="pct"/>
            <w:tcBorders>
              <w:tl2br w:val="nil"/>
              <w:tr2bl w:val="nil"/>
            </w:tcBorders>
            <w:vAlign w:val="center"/>
          </w:tcPr>
          <w:p w14:paraId="51855916">
            <w:pPr>
              <w:spacing w:line="240" w:lineRule="auto"/>
              <w:ind w:firstLine="0" w:firstLineChars="0"/>
              <w:jc w:val="center"/>
              <w:rPr>
                <w:bCs/>
                <w:color w:val="auto"/>
                <w:kern w:val="0"/>
                <w:sz w:val="21"/>
                <w:szCs w:val="21"/>
              </w:rPr>
            </w:pPr>
            <w:r>
              <w:rPr>
                <w:bCs/>
                <w:color w:val="auto"/>
                <w:kern w:val="0"/>
                <w:sz w:val="21"/>
                <w:szCs w:val="21"/>
              </w:rPr>
              <w:t>东（主导风向）</w:t>
            </w:r>
          </w:p>
        </w:tc>
        <w:tc>
          <w:tcPr>
            <w:tcW w:w="2202" w:type="pct"/>
            <w:tcBorders>
              <w:tl2br w:val="nil"/>
              <w:tr2bl w:val="nil"/>
            </w:tcBorders>
            <w:vAlign w:val="center"/>
          </w:tcPr>
          <w:p w14:paraId="03B772E5">
            <w:pPr>
              <w:spacing w:line="240" w:lineRule="auto"/>
              <w:ind w:firstLine="0" w:firstLineChars="0"/>
              <w:jc w:val="center"/>
              <w:rPr>
                <w:bCs/>
                <w:color w:val="auto"/>
                <w:kern w:val="0"/>
                <w:sz w:val="21"/>
                <w:szCs w:val="21"/>
              </w:rPr>
            </w:pPr>
            <w:r>
              <w:rPr>
                <w:bCs/>
                <w:color w:val="auto"/>
                <w:kern w:val="0"/>
                <w:sz w:val="21"/>
                <w:szCs w:val="21"/>
              </w:rPr>
              <w:t>厂区内部：沿厂区道路向</w:t>
            </w:r>
            <w:r>
              <w:rPr>
                <w:rFonts w:hint="eastAsia"/>
                <w:bCs/>
                <w:color w:val="auto"/>
                <w:kern w:val="0"/>
                <w:sz w:val="21"/>
                <w:szCs w:val="21"/>
              </w:rPr>
              <w:t>南</w:t>
            </w:r>
            <w:r>
              <w:rPr>
                <w:bCs/>
                <w:color w:val="auto"/>
                <w:kern w:val="0"/>
                <w:sz w:val="21"/>
                <w:szCs w:val="21"/>
              </w:rPr>
              <w:t>、向厂区大门方向疏散。</w:t>
            </w:r>
          </w:p>
        </w:tc>
        <w:tc>
          <w:tcPr>
            <w:tcW w:w="761" w:type="pct"/>
            <w:vMerge w:val="restart"/>
            <w:tcBorders>
              <w:tl2br w:val="nil"/>
              <w:tr2bl w:val="nil"/>
            </w:tcBorders>
            <w:vAlign w:val="center"/>
          </w:tcPr>
          <w:p w14:paraId="2FBF5CC3">
            <w:pPr>
              <w:spacing w:line="240" w:lineRule="auto"/>
              <w:ind w:firstLine="0" w:firstLineChars="0"/>
              <w:jc w:val="center"/>
              <w:rPr>
                <w:bCs/>
                <w:color w:val="auto"/>
                <w:kern w:val="0"/>
                <w:sz w:val="21"/>
                <w:szCs w:val="21"/>
              </w:rPr>
            </w:pPr>
            <w:r>
              <w:rPr>
                <w:rFonts w:hint="eastAsia"/>
                <w:bCs/>
                <w:color w:val="auto"/>
                <w:kern w:val="0"/>
                <w:sz w:val="21"/>
                <w:szCs w:val="21"/>
              </w:rPr>
              <w:t>盐池路</w:t>
            </w:r>
          </w:p>
        </w:tc>
        <w:tc>
          <w:tcPr>
            <w:tcW w:w="867" w:type="pct"/>
            <w:vMerge w:val="restart"/>
            <w:tcBorders>
              <w:tl2br w:val="nil"/>
              <w:tr2bl w:val="nil"/>
            </w:tcBorders>
            <w:vAlign w:val="center"/>
          </w:tcPr>
          <w:p w14:paraId="5B5666B3">
            <w:pPr>
              <w:spacing w:line="240" w:lineRule="auto"/>
              <w:ind w:firstLine="0" w:firstLineChars="0"/>
              <w:jc w:val="center"/>
              <w:rPr>
                <w:bCs/>
                <w:color w:val="auto"/>
                <w:kern w:val="0"/>
                <w:sz w:val="21"/>
                <w:szCs w:val="21"/>
              </w:rPr>
            </w:pPr>
            <w:r>
              <w:rPr>
                <w:rFonts w:hint="eastAsia"/>
                <w:bCs/>
                <w:color w:val="auto"/>
                <w:kern w:val="0"/>
                <w:sz w:val="21"/>
                <w:szCs w:val="21"/>
              </w:rPr>
              <w:t>5000</w:t>
            </w:r>
          </w:p>
        </w:tc>
      </w:tr>
      <w:tr w14:paraId="7CA89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8" w:type="pct"/>
            <w:tcBorders>
              <w:tl2br w:val="nil"/>
              <w:tr2bl w:val="nil"/>
            </w:tcBorders>
            <w:vAlign w:val="center"/>
          </w:tcPr>
          <w:p w14:paraId="7A121C7A">
            <w:pPr>
              <w:spacing w:line="240" w:lineRule="auto"/>
              <w:ind w:firstLine="0" w:firstLineChars="0"/>
              <w:jc w:val="center"/>
              <w:rPr>
                <w:bCs/>
                <w:color w:val="auto"/>
                <w:kern w:val="0"/>
                <w:sz w:val="21"/>
                <w:szCs w:val="21"/>
              </w:rPr>
            </w:pPr>
            <w:r>
              <w:rPr>
                <w:bCs/>
                <w:color w:val="auto"/>
                <w:kern w:val="0"/>
                <w:sz w:val="21"/>
                <w:szCs w:val="21"/>
              </w:rPr>
              <w:t>东</w:t>
            </w:r>
          </w:p>
        </w:tc>
        <w:tc>
          <w:tcPr>
            <w:tcW w:w="2202" w:type="pct"/>
            <w:tcBorders>
              <w:tl2br w:val="nil"/>
              <w:tr2bl w:val="nil"/>
            </w:tcBorders>
            <w:vAlign w:val="center"/>
          </w:tcPr>
          <w:p w14:paraId="23DB641E">
            <w:pPr>
              <w:spacing w:line="240" w:lineRule="auto"/>
              <w:ind w:firstLine="0" w:firstLineChars="0"/>
              <w:jc w:val="center"/>
              <w:rPr>
                <w:bCs/>
                <w:color w:val="auto"/>
                <w:kern w:val="0"/>
                <w:sz w:val="21"/>
                <w:szCs w:val="21"/>
              </w:rPr>
            </w:pPr>
            <w:r>
              <w:rPr>
                <w:bCs/>
                <w:color w:val="auto"/>
                <w:kern w:val="0"/>
                <w:sz w:val="21"/>
                <w:szCs w:val="21"/>
              </w:rPr>
              <w:t>企业外部园区内部：出门口沿着</w:t>
            </w:r>
            <w:r>
              <w:rPr>
                <w:rFonts w:hint="eastAsia"/>
                <w:bCs/>
                <w:color w:val="auto"/>
                <w:kern w:val="0"/>
                <w:sz w:val="21"/>
                <w:szCs w:val="21"/>
              </w:rPr>
              <w:t>盐池西路</w:t>
            </w:r>
            <w:r>
              <w:rPr>
                <w:bCs/>
                <w:color w:val="auto"/>
                <w:kern w:val="0"/>
                <w:sz w:val="21"/>
                <w:szCs w:val="21"/>
              </w:rPr>
              <w:t>向东疏散</w:t>
            </w:r>
          </w:p>
        </w:tc>
        <w:tc>
          <w:tcPr>
            <w:tcW w:w="761" w:type="pct"/>
            <w:vMerge w:val="continue"/>
            <w:tcBorders>
              <w:tl2br w:val="nil"/>
              <w:tr2bl w:val="nil"/>
            </w:tcBorders>
            <w:vAlign w:val="center"/>
          </w:tcPr>
          <w:p w14:paraId="329C86AD">
            <w:pPr>
              <w:widowControl/>
              <w:adjustRightInd/>
              <w:snapToGrid/>
              <w:spacing w:line="240" w:lineRule="auto"/>
              <w:ind w:firstLine="0" w:firstLineChars="0"/>
              <w:jc w:val="left"/>
              <w:rPr>
                <w:bCs/>
                <w:color w:val="auto"/>
                <w:kern w:val="0"/>
                <w:sz w:val="21"/>
                <w:szCs w:val="21"/>
              </w:rPr>
            </w:pPr>
          </w:p>
        </w:tc>
        <w:tc>
          <w:tcPr>
            <w:tcW w:w="867" w:type="pct"/>
            <w:vMerge w:val="continue"/>
            <w:tcBorders>
              <w:tl2br w:val="nil"/>
              <w:tr2bl w:val="nil"/>
            </w:tcBorders>
            <w:vAlign w:val="center"/>
          </w:tcPr>
          <w:p w14:paraId="39E76208">
            <w:pPr>
              <w:widowControl/>
              <w:adjustRightInd/>
              <w:snapToGrid/>
              <w:spacing w:line="240" w:lineRule="auto"/>
              <w:ind w:firstLine="0" w:firstLineChars="0"/>
              <w:jc w:val="left"/>
              <w:rPr>
                <w:bCs/>
                <w:color w:val="auto"/>
                <w:kern w:val="0"/>
                <w:sz w:val="21"/>
                <w:szCs w:val="21"/>
              </w:rPr>
            </w:pPr>
          </w:p>
        </w:tc>
      </w:tr>
      <w:tr w14:paraId="0A7D9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8" w:type="pct"/>
            <w:tcBorders>
              <w:tl2br w:val="nil"/>
              <w:tr2bl w:val="nil"/>
            </w:tcBorders>
            <w:vAlign w:val="center"/>
          </w:tcPr>
          <w:p w14:paraId="6A881C49">
            <w:pPr>
              <w:spacing w:line="240" w:lineRule="auto"/>
              <w:ind w:firstLine="0" w:firstLineChars="0"/>
              <w:jc w:val="center"/>
              <w:rPr>
                <w:bCs/>
                <w:color w:val="auto"/>
                <w:kern w:val="0"/>
                <w:sz w:val="21"/>
                <w:szCs w:val="21"/>
              </w:rPr>
            </w:pPr>
            <w:r>
              <w:rPr>
                <w:bCs/>
                <w:color w:val="auto"/>
                <w:kern w:val="0"/>
                <w:sz w:val="21"/>
                <w:szCs w:val="21"/>
              </w:rPr>
              <w:t>东</w:t>
            </w:r>
          </w:p>
        </w:tc>
        <w:tc>
          <w:tcPr>
            <w:tcW w:w="2202" w:type="pct"/>
            <w:tcBorders>
              <w:tl2br w:val="nil"/>
              <w:tr2bl w:val="nil"/>
            </w:tcBorders>
            <w:vAlign w:val="center"/>
          </w:tcPr>
          <w:p w14:paraId="02B2008E">
            <w:pPr>
              <w:spacing w:line="240" w:lineRule="auto"/>
              <w:ind w:firstLine="0" w:firstLineChars="0"/>
              <w:jc w:val="center"/>
              <w:rPr>
                <w:bCs/>
                <w:color w:val="auto"/>
                <w:kern w:val="0"/>
                <w:sz w:val="21"/>
                <w:szCs w:val="21"/>
              </w:rPr>
            </w:pPr>
            <w:r>
              <w:rPr>
                <w:bCs/>
                <w:color w:val="auto"/>
                <w:kern w:val="0"/>
                <w:sz w:val="21"/>
                <w:szCs w:val="21"/>
              </w:rPr>
              <w:t>沿着</w:t>
            </w:r>
            <w:r>
              <w:rPr>
                <w:rFonts w:hint="eastAsia"/>
                <w:bCs/>
                <w:color w:val="auto"/>
                <w:kern w:val="0"/>
                <w:sz w:val="21"/>
                <w:szCs w:val="21"/>
              </w:rPr>
              <w:t>大浦路</w:t>
            </w:r>
            <w:r>
              <w:rPr>
                <w:bCs/>
                <w:color w:val="auto"/>
                <w:kern w:val="0"/>
                <w:sz w:val="21"/>
                <w:szCs w:val="21"/>
              </w:rPr>
              <w:t>向</w:t>
            </w:r>
            <w:r>
              <w:rPr>
                <w:rFonts w:hint="eastAsia"/>
                <w:bCs/>
                <w:color w:val="auto"/>
                <w:kern w:val="0"/>
                <w:sz w:val="21"/>
                <w:szCs w:val="21"/>
              </w:rPr>
              <w:t>南</w:t>
            </w:r>
            <w:r>
              <w:rPr>
                <w:bCs/>
                <w:color w:val="auto"/>
                <w:kern w:val="0"/>
                <w:sz w:val="21"/>
                <w:szCs w:val="21"/>
              </w:rPr>
              <w:t>疏散。</w:t>
            </w:r>
          </w:p>
        </w:tc>
        <w:tc>
          <w:tcPr>
            <w:tcW w:w="761" w:type="pct"/>
            <w:vMerge w:val="continue"/>
            <w:tcBorders>
              <w:tl2br w:val="nil"/>
              <w:tr2bl w:val="nil"/>
            </w:tcBorders>
            <w:vAlign w:val="center"/>
          </w:tcPr>
          <w:p w14:paraId="01CBE782">
            <w:pPr>
              <w:widowControl/>
              <w:adjustRightInd/>
              <w:snapToGrid/>
              <w:spacing w:line="240" w:lineRule="auto"/>
              <w:ind w:firstLine="0" w:firstLineChars="0"/>
              <w:jc w:val="left"/>
              <w:rPr>
                <w:bCs/>
                <w:color w:val="auto"/>
                <w:kern w:val="0"/>
                <w:sz w:val="21"/>
                <w:szCs w:val="21"/>
              </w:rPr>
            </w:pPr>
          </w:p>
        </w:tc>
        <w:tc>
          <w:tcPr>
            <w:tcW w:w="867" w:type="pct"/>
            <w:vMerge w:val="continue"/>
            <w:tcBorders>
              <w:tl2br w:val="nil"/>
              <w:tr2bl w:val="nil"/>
            </w:tcBorders>
            <w:vAlign w:val="center"/>
          </w:tcPr>
          <w:p w14:paraId="067D283F">
            <w:pPr>
              <w:widowControl/>
              <w:adjustRightInd/>
              <w:snapToGrid/>
              <w:spacing w:line="240" w:lineRule="auto"/>
              <w:ind w:firstLine="0" w:firstLineChars="0"/>
              <w:jc w:val="left"/>
              <w:rPr>
                <w:bCs/>
                <w:color w:val="auto"/>
                <w:kern w:val="0"/>
                <w:sz w:val="21"/>
                <w:szCs w:val="21"/>
              </w:rPr>
            </w:pPr>
          </w:p>
        </w:tc>
      </w:tr>
    </w:tbl>
    <w:p w14:paraId="1022284D">
      <w:pPr>
        <w:ind w:firstLine="480"/>
        <w:jc w:val="left"/>
        <w:rPr>
          <w:color w:val="auto"/>
          <w:kern w:val="0"/>
        </w:rPr>
      </w:pPr>
      <w:r>
        <w:rPr>
          <w:color w:val="auto"/>
          <w:kern w:val="0"/>
        </w:rPr>
        <w:t>在疏散路线上设置疏散指示标志，保证疏散指示标志明显，应急疏散通道出口通畅，应急照明灯能正常使用。</w:t>
      </w:r>
      <w:r>
        <w:rPr>
          <w:color w:val="auto"/>
          <w:kern w:val="0"/>
        </w:rPr>
        <w:tab/>
      </w:r>
    </w:p>
    <w:p w14:paraId="0970B947">
      <w:pPr>
        <w:ind w:firstLine="480"/>
        <w:jc w:val="left"/>
        <w:rPr>
          <w:color w:val="auto"/>
          <w:kern w:val="0"/>
        </w:rPr>
      </w:pPr>
      <w:r>
        <w:rPr>
          <w:color w:val="auto"/>
          <w:kern w:val="0"/>
          <w:szCs w:val="18"/>
        </w:rPr>
        <w:t>②</w:t>
      </w:r>
      <w:r>
        <w:rPr>
          <w:color w:val="auto"/>
          <w:kern w:val="0"/>
        </w:rPr>
        <w:t>告知周边可能受影响的群众及企业。配合园区应急救援指挥机构，通过各种途径向公众发出警报和紧急公告，告知事故性质、对健康的影响、自我保护措施、</w:t>
      </w:r>
      <w:r>
        <w:rPr>
          <w:rFonts w:hint="eastAsia"/>
          <w:color w:val="auto"/>
          <w:kern w:val="0"/>
        </w:rPr>
        <w:t>注意事项</w:t>
      </w:r>
      <w:r>
        <w:rPr>
          <w:color w:val="auto"/>
          <w:kern w:val="0"/>
        </w:rPr>
        <w:t>、疏散线路等。</w:t>
      </w:r>
    </w:p>
    <w:p w14:paraId="44808377">
      <w:pPr>
        <w:ind w:firstLine="480"/>
        <w:jc w:val="left"/>
        <w:rPr>
          <w:color w:val="auto"/>
          <w:kern w:val="0"/>
          <w:szCs w:val="21"/>
        </w:rPr>
      </w:pPr>
      <w:r>
        <w:rPr>
          <w:color w:val="auto"/>
          <w:kern w:val="0"/>
        </w:rPr>
        <w:t>③组织现场人员疏散。A</w:t>
      </w:r>
      <w:r>
        <w:rPr>
          <w:rFonts w:hint="eastAsia"/>
          <w:color w:val="auto"/>
          <w:kern w:val="0"/>
        </w:rPr>
        <w:t>、</w:t>
      </w:r>
      <w:r>
        <w:rPr>
          <w:color w:val="auto"/>
          <w:kern w:val="0"/>
          <w:szCs w:val="18"/>
        </w:rPr>
        <w:t>人员自行撤离到上风口处，由当班班组长负责清点本班人数。当班班长应组织本班人员有秩序地疏散，疏散顺序从最危险地段人员先开始。相互兼顾照应，并根据风向指明集合地点。人员在安全地点集合后，班长清点人数后，向车间厂长或者值班长报告人员情况。发现缺员，应报告所缺员工的姓名和事故前所处位置等。B</w:t>
      </w:r>
      <w:r>
        <w:rPr>
          <w:rFonts w:hint="eastAsia"/>
          <w:color w:val="auto"/>
          <w:kern w:val="0"/>
          <w:szCs w:val="18"/>
        </w:rPr>
        <w:t>、</w:t>
      </w:r>
      <w:r>
        <w:rPr>
          <w:color w:val="auto"/>
          <w:kern w:val="0"/>
          <w:szCs w:val="18"/>
        </w:rPr>
        <w:t>由事故单位负责报警，发出撤离命令，</w:t>
      </w:r>
      <w:r>
        <w:rPr>
          <w:rFonts w:hint="eastAsia"/>
          <w:color w:val="auto"/>
          <w:kern w:val="0"/>
          <w:szCs w:val="18"/>
        </w:rPr>
        <w:t>接到</w:t>
      </w:r>
      <w:r>
        <w:rPr>
          <w:color w:val="auto"/>
          <w:kern w:val="0"/>
          <w:szCs w:val="18"/>
        </w:rPr>
        <w:t>命令后，当班负责人组织疏散，人员</w:t>
      </w:r>
      <w:r>
        <w:rPr>
          <w:rFonts w:hint="eastAsia"/>
          <w:color w:val="auto"/>
          <w:kern w:val="0"/>
          <w:szCs w:val="18"/>
        </w:rPr>
        <w:t>接到</w:t>
      </w:r>
      <w:r>
        <w:rPr>
          <w:color w:val="auto"/>
          <w:kern w:val="0"/>
          <w:szCs w:val="18"/>
        </w:rPr>
        <w:t>通知后，自行撤离</w:t>
      </w:r>
      <w:r>
        <w:rPr>
          <w:rFonts w:hint="eastAsia"/>
          <w:color w:val="auto"/>
          <w:kern w:val="0"/>
          <w:szCs w:val="18"/>
        </w:rPr>
        <w:t>至上</w:t>
      </w:r>
      <w:r>
        <w:rPr>
          <w:color w:val="auto"/>
          <w:kern w:val="0"/>
          <w:szCs w:val="18"/>
        </w:rPr>
        <w:t>风口处。疏散顺序从最危险地段人员先开始。相互兼顾照应，并根据风向指明集合地点。人员在安全地点集合后，负责人清点人数后，向事故车间厂长或者值班长报告人员情况。发现缺员，应报告所缺人员的姓名和事故前所处位置等。</w:t>
      </w:r>
    </w:p>
    <w:p w14:paraId="114043F0">
      <w:pPr>
        <w:ind w:firstLine="480"/>
        <w:jc w:val="left"/>
        <w:rPr>
          <w:color w:val="auto"/>
          <w:kern w:val="0"/>
        </w:rPr>
      </w:pPr>
      <w:r>
        <w:rPr>
          <w:color w:val="auto"/>
          <w:kern w:val="0"/>
        </w:rPr>
        <w:t>④强制疏导。事故现场直接威胁人员安全，疏散组人员采取必要的手段强制疏导，防止出现伤亡事故。在疏散通道的拐弯、</w:t>
      </w:r>
      <w:r>
        <w:rPr>
          <w:rFonts w:hint="eastAsia"/>
          <w:color w:val="auto"/>
          <w:kern w:val="0"/>
        </w:rPr>
        <w:t>岔道</w:t>
      </w:r>
      <w:r>
        <w:rPr>
          <w:color w:val="auto"/>
          <w:kern w:val="0"/>
        </w:rPr>
        <w:t>等容易走错方向的地方设疏导人员，提示疏散方向，防止误入死胡同或进入危险区域。</w:t>
      </w:r>
    </w:p>
    <w:p w14:paraId="697B05EF">
      <w:pPr>
        <w:ind w:firstLine="480"/>
        <w:jc w:val="left"/>
        <w:rPr>
          <w:color w:val="auto"/>
          <w:kern w:val="0"/>
        </w:rPr>
      </w:pPr>
      <w:r>
        <w:rPr>
          <w:color w:val="auto"/>
          <w:kern w:val="0"/>
        </w:rPr>
        <w:t>⑤加强对疏散出人员的管理。对疏散出的人员，要加强脱险后的管理，防止脱险人员对财产和未撤离危险区的亲人生命担心而重新返回事故现场。必要时，在进入危险区域的关键部位配备警戒人员。</w:t>
      </w:r>
    </w:p>
    <w:p w14:paraId="2F9F810F">
      <w:pPr>
        <w:ind w:firstLine="480"/>
        <w:jc w:val="left"/>
        <w:rPr>
          <w:color w:val="auto"/>
        </w:rPr>
      </w:pPr>
      <w:r>
        <w:rPr>
          <w:color w:val="auto"/>
          <w:kern w:val="0"/>
        </w:rPr>
        <w:t>⑥及时报告被困人员。专业救援队伍到达现场后，疏导人员若知晓内部被困人员，要迅速报告，介绍被困人员方位、数量。</w:t>
      </w:r>
    </w:p>
    <w:bookmarkEnd w:id="200"/>
    <w:p w14:paraId="11FCEF7B">
      <w:pPr>
        <w:adjustRightInd/>
        <w:snapToGrid/>
        <w:ind w:firstLine="482"/>
        <w:jc w:val="left"/>
        <w:rPr>
          <w:b/>
          <w:bCs/>
          <w:color w:val="auto"/>
          <w:kern w:val="0"/>
        </w:rPr>
      </w:pPr>
      <w:bookmarkStart w:id="201" w:name="_Toc494440475"/>
      <w:bookmarkStart w:id="202" w:name="_Toc366507334"/>
      <w:bookmarkStart w:id="203" w:name="_Toc339207391"/>
      <w:bookmarkStart w:id="204" w:name="_Toc225314991"/>
      <w:bookmarkStart w:id="205" w:name="_Toc345163893"/>
      <w:bookmarkStart w:id="206" w:name="_Toc272430930"/>
      <w:bookmarkStart w:id="207" w:name="_Toc100975756"/>
      <w:bookmarkStart w:id="208" w:name="_Toc67194685"/>
      <w:bookmarkStart w:id="209" w:name="_Toc339206821"/>
      <w:bookmarkStart w:id="210" w:name="_Toc207719519"/>
      <w:r>
        <w:rPr>
          <w:rFonts w:hint="eastAsia"/>
          <w:b/>
          <w:bCs/>
          <w:color w:val="auto"/>
          <w:kern w:val="0"/>
        </w:rPr>
        <w:t>二、事故废水环境风险防范措施</w:t>
      </w:r>
    </w:p>
    <w:p w14:paraId="2F7C0485">
      <w:pPr>
        <w:adjustRightInd/>
        <w:snapToGrid/>
        <w:ind w:firstLine="480"/>
        <w:jc w:val="left"/>
        <w:rPr>
          <w:color w:val="auto"/>
          <w:kern w:val="0"/>
        </w:rPr>
      </w:pPr>
      <w:r>
        <w:rPr>
          <w:rFonts w:hint="eastAsia"/>
          <w:color w:val="auto"/>
          <w:kern w:val="0"/>
        </w:rPr>
        <w:t>本项目酸碱废水、模具处理工艺废水、酸碱废气处理废水、氧化工段地面清洗废水、纯水制备装置反冲洗废水、纯水制备装置再生废水、循环冷却排水和初期雨水送入厂区综合废水处理系统进行预处理，再分别同经化粪池、隔油池+化粪池预处理后的生活污水和食堂废水一起接管至开发区临港污水处理厂集中处理，尾水经大浦河排污通道排入临洪河，最终排至黄海。本项目非初期通过厂内雨水管网排入市政雨水管网。</w:t>
      </w:r>
    </w:p>
    <w:p w14:paraId="43C63D0E">
      <w:pPr>
        <w:adjustRightInd/>
        <w:snapToGrid/>
        <w:ind w:firstLine="480"/>
        <w:jc w:val="left"/>
        <w:rPr>
          <w:color w:val="auto"/>
          <w:kern w:val="0"/>
        </w:rPr>
      </w:pPr>
      <w:r>
        <w:rPr>
          <w:rFonts w:hint="eastAsia"/>
          <w:color w:val="auto"/>
          <w:kern w:val="0"/>
        </w:rPr>
        <w:t>（1）事故废水三级</w:t>
      </w:r>
      <w:r>
        <w:rPr>
          <w:rFonts w:hint="eastAsia"/>
          <w:color w:val="auto"/>
          <w:kern w:val="0"/>
          <w:lang w:eastAsia="zh-CN"/>
        </w:rPr>
        <w:t>（</w:t>
      </w:r>
      <w:r>
        <w:rPr>
          <w:rFonts w:hint="eastAsia"/>
          <w:color w:val="auto"/>
          <w:kern w:val="0"/>
        </w:rPr>
        <w:t>单元、项目和园区</w:t>
      </w:r>
      <w:r>
        <w:rPr>
          <w:rFonts w:hint="eastAsia"/>
          <w:color w:val="auto"/>
          <w:kern w:val="0"/>
          <w:lang w:eastAsia="zh-CN"/>
        </w:rPr>
        <w:t>）</w:t>
      </w:r>
      <w:r>
        <w:rPr>
          <w:rFonts w:hint="eastAsia"/>
          <w:color w:val="auto"/>
          <w:kern w:val="0"/>
        </w:rPr>
        <w:t>应急防范体系</w:t>
      </w:r>
    </w:p>
    <w:p w14:paraId="14026CAC">
      <w:pPr>
        <w:adjustRightInd/>
        <w:snapToGrid/>
        <w:ind w:firstLine="480"/>
        <w:jc w:val="left"/>
        <w:rPr>
          <w:rFonts w:hint="eastAsia"/>
          <w:color w:val="auto"/>
          <w:kern w:val="0"/>
        </w:rPr>
      </w:pPr>
      <w:r>
        <w:rPr>
          <w:rFonts w:hint="eastAsia"/>
          <w:color w:val="auto"/>
          <w:kern w:val="0"/>
        </w:rPr>
        <w:t>①第一级防控系统</w:t>
      </w:r>
    </w:p>
    <w:p w14:paraId="3C0846F8">
      <w:pPr>
        <w:adjustRightInd/>
        <w:snapToGrid/>
        <w:ind w:firstLine="480"/>
        <w:jc w:val="left"/>
        <w:rPr>
          <w:rFonts w:hint="eastAsia"/>
          <w:color w:val="auto"/>
          <w:kern w:val="0"/>
        </w:rPr>
      </w:pPr>
      <w:r>
        <w:rPr>
          <w:rFonts w:hint="eastAsia"/>
          <w:color w:val="auto"/>
          <w:kern w:val="0"/>
        </w:rPr>
        <w:t>第一级防控体系的功能主要是将事故废水控制在事故风险源所在区域单元，该体系主要是由收集沟和管道等配套基础设施组成，防止污染雨水和轻微事故泄漏造成的环境污染。</w:t>
      </w:r>
    </w:p>
    <w:p w14:paraId="44898D46">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color w:val="auto"/>
          <w:kern w:val="0"/>
        </w:rPr>
      </w:pPr>
      <w:r>
        <w:rPr>
          <w:rFonts w:hint="eastAsia"/>
          <w:color w:val="auto"/>
          <w:kern w:val="0"/>
        </w:rPr>
        <w:t>在</w:t>
      </w:r>
      <w:r>
        <w:rPr>
          <w:rFonts w:hint="eastAsia"/>
          <w:color w:val="auto"/>
          <w:kern w:val="0"/>
          <w:lang w:val="en-US" w:eastAsia="zh-CN"/>
        </w:rPr>
        <w:t>硫酸、液碱</w:t>
      </w:r>
      <w:r>
        <w:rPr>
          <w:rFonts w:hint="eastAsia"/>
          <w:color w:val="auto"/>
          <w:kern w:val="0"/>
        </w:rPr>
        <w:t>罐区</w:t>
      </w:r>
      <w:r>
        <w:rPr>
          <w:rFonts w:hint="eastAsia"/>
          <w:color w:val="auto"/>
          <w:kern w:val="0"/>
          <w:lang w:val="en-US" w:eastAsia="zh-CN"/>
        </w:rPr>
        <w:t>均设置3.6m*7.6m*2.5m的围堰，在1.5m*2.5m*2.5m的围堰，</w:t>
      </w:r>
      <w:r>
        <w:rPr>
          <w:rFonts w:hint="eastAsia"/>
          <w:color w:val="auto"/>
          <w:kern w:val="0"/>
        </w:rPr>
        <w:t>并对生产车间装置区和原料库地面进行硬化处理</w:t>
      </w:r>
      <w:r>
        <w:rPr>
          <w:rFonts w:hint="eastAsia"/>
          <w:color w:val="auto"/>
          <w:kern w:val="0"/>
          <w:lang w:eastAsia="zh-CN"/>
        </w:rPr>
        <w:t>，</w:t>
      </w:r>
      <w:r>
        <w:rPr>
          <w:rFonts w:hint="eastAsia"/>
          <w:color w:val="auto"/>
          <w:kern w:val="0"/>
          <w:lang w:val="en-US" w:eastAsia="zh-CN"/>
        </w:rPr>
        <w:t>企业并配备吸附、围堵材料及设施作为轻微事故泄漏及污染雨水的一级防控设施。</w:t>
      </w:r>
    </w:p>
    <w:p w14:paraId="24976AD1">
      <w:pPr>
        <w:adjustRightInd/>
        <w:snapToGrid/>
        <w:ind w:firstLine="480"/>
        <w:rPr>
          <w:color w:val="auto"/>
          <w:kern w:val="0"/>
        </w:rPr>
      </w:pPr>
      <w:r>
        <w:rPr>
          <w:rFonts w:hint="eastAsia"/>
          <w:color w:val="auto"/>
          <w:kern w:val="0"/>
        </w:rPr>
        <w:t>②第二级防控体系</w:t>
      </w:r>
    </w:p>
    <w:p w14:paraId="5FE99BC8">
      <w:pPr>
        <w:adjustRightInd/>
        <w:snapToGrid/>
        <w:ind w:firstLine="480"/>
        <w:rPr>
          <w:rFonts w:hint="eastAsia"/>
          <w:color w:val="auto"/>
          <w:kern w:val="0"/>
        </w:rPr>
      </w:pPr>
      <w:r>
        <w:rPr>
          <w:rFonts w:hint="eastAsia"/>
          <w:color w:val="auto"/>
          <w:kern w:val="0"/>
        </w:rPr>
        <w:t>必须建设厂区应急事故水池、雨排口切断装置及其配套设施（如事故导排系统、强排系统），防止单套生产装置（罐区）较大事故泄漏物料和消防废水造成的环境污染。应急事故池应在突发事故状态下拦截和收集厂区范围内的事故废水和消防尾水，避免其危害外部环境致使事故扩大化，因此应急事故池被视为企业的关键防控设施体系。应急事故池应</w:t>
      </w:r>
      <w:r>
        <w:rPr>
          <w:rFonts w:hint="eastAsia"/>
          <w:color w:val="auto"/>
          <w:kern w:val="0"/>
          <w:lang w:eastAsia="zh-CN"/>
        </w:rPr>
        <w:t>必须</w:t>
      </w:r>
      <w:r>
        <w:rPr>
          <w:rFonts w:hint="eastAsia"/>
          <w:color w:val="auto"/>
          <w:kern w:val="0"/>
        </w:rPr>
        <w:t>具备以下基本属性要求：专一性，禁止他用；自流式，即进水方式不依赖动力；池容足够大；地下式，防蚀防渗。</w:t>
      </w:r>
    </w:p>
    <w:p w14:paraId="2B09B871">
      <w:pPr>
        <w:adjustRightInd/>
        <w:snapToGrid/>
        <w:ind w:firstLine="480"/>
        <w:rPr>
          <w:rFonts w:hint="eastAsia"/>
          <w:color w:val="auto"/>
          <w:kern w:val="0"/>
          <w:sz w:val="24"/>
          <w:szCs w:val="24"/>
        </w:rPr>
      </w:pPr>
      <w:r>
        <w:rPr>
          <w:rFonts w:hint="eastAsia"/>
          <w:color w:val="auto"/>
          <w:kern w:val="0"/>
          <w:sz w:val="24"/>
          <w:szCs w:val="24"/>
          <w:lang w:val="en-US" w:eastAsia="zh-CN"/>
        </w:rPr>
        <w:t>厂区设置1座600m</w:t>
      </w:r>
      <w:r>
        <w:rPr>
          <w:rFonts w:hint="eastAsia"/>
          <w:color w:val="auto"/>
          <w:kern w:val="0"/>
          <w:sz w:val="24"/>
          <w:szCs w:val="24"/>
          <w:vertAlign w:val="superscript"/>
          <w:lang w:val="en-US" w:eastAsia="zh-CN"/>
        </w:rPr>
        <w:t>3</w:t>
      </w:r>
      <w:r>
        <w:rPr>
          <w:rFonts w:hint="eastAsia"/>
          <w:color w:val="auto"/>
          <w:kern w:val="0"/>
          <w:sz w:val="24"/>
          <w:szCs w:val="24"/>
          <w:lang w:val="en-US" w:eastAsia="zh-CN"/>
        </w:rPr>
        <w:t>事故应急池及配套设施（事故导排系统），对消防废水、泄漏物料通过事故池进行收容控制，厂区地面有雨水截流导流槽与事故池连通，在雨水管排口处设置切断阀或控制井，出现事故时可关闭切断阀门或在控制井处进行封堵，从而阻止污水直接进入附近水体，防止水污染事故的发生，事故废水自流至事故应急池，能满足物料泄漏和消防废水的收集和临时暂存，作为较大事故泄漏物料和废水的二级防控设置，将事故废水控制在厂区内，防止事故废水进入园区外地表水体，确保事故废水不直接进入外环境。</w:t>
      </w:r>
    </w:p>
    <w:p w14:paraId="200A28EA">
      <w:pPr>
        <w:adjustRightInd/>
        <w:snapToGrid/>
        <w:ind w:firstLine="480"/>
        <w:jc w:val="left"/>
        <w:rPr>
          <w:color w:val="auto"/>
          <w:kern w:val="0"/>
        </w:rPr>
      </w:pPr>
      <w:r>
        <w:rPr>
          <w:rFonts w:hint="eastAsia"/>
          <w:color w:val="auto"/>
          <w:kern w:val="0"/>
        </w:rPr>
        <w:t>③第三级防控体系</w:t>
      </w:r>
    </w:p>
    <w:p w14:paraId="40D06A01">
      <w:pPr>
        <w:adjustRightInd/>
        <w:snapToGrid/>
        <w:ind w:firstLine="480"/>
        <w:jc w:val="left"/>
        <w:rPr>
          <w:rFonts w:hint="eastAsia"/>
          <w:color w:val="auto"/>
          <w:kern w:val="0"/>
        </w:rPr>
      </w:pPr>
      <w:r>
        <w:rPr>
          <w:rFonts w:hint="eastAsia"/>
          <w:color w:val="auto"/>
          <w:kern w:val="0"/>
        </w:rPr>
        <w:t>第三级水环境风险防控体系是针对企业厂内防范能力有限而导致事故废水可能外溢出厂界的应急处理。可根据实际情况实现企业自身事故池与园区公共应急事故池或园区污水处理厂应急事故池连通，或与其他临近企业实现资源共享和救援合作，增强事故废水的防范能力；同时应注意加强与园区及河道水利部门联系，在极端水环境事故状态下，</w:t>
      </w:r>
      <w:r>
        <w:rPr>
          <w:rFonts w:hint="eastAsia"/>
          <w:color w:val="auto"/>
          <w:kern w:val="0"/>
          <w:lang w:eastAsia="zh-CN"/>
        </w:rPr>
        <w:t>为</w:t>
      </w:r>
      <w:r>
        <w:rPr>
          <w:rFonts w:hint="eastAsia"/>
          <w:color w:val="auto"/>
          <w:kern w:val="0"/>
        </w:rPr>
        <w:t>防止事故废水进入环境敏感区，申请进行关闭排污通道入临洪河闸门。</w:t>
      </w:r>
    </w:p>
    <w:p w14:paraId="0DAE17E1">
      <w:pPr>
        <w:adjustRightInd/>
        <w:snapToGrid/>
        <w:ind w:firstLine="480"/>
        <w:jc w:val="left"/>
        <w:rPr>
          <w:rFonts w:hint="eastAsia"/>
          <w:color w:val="auto"/>
          <w:kern w:val="0"/>
          <w:lang w:val="en-US" w:eastAsia="zh-CN"/>
        </w:rPr>
      </w:pPr>
      <w:r>
        <w:rPr>
          <w:rFonts w:hint="eastAsia"/>
          <w:color w:val="auto"/>
          <w:kern w:val="0"/>
          <w:lang w:val="en-US" w:eastAsia="zh-CN"/>
        </w:rPr>
        <w:t>开发区临港产业园片区三级防控体系建设如下：</w:t>
      </w:r>
    </w:p>
    <w:p w14:paraId="650E5F3C">
      <w:pPr>
        <w:adjustRightInd/>
        <w:snapToGrid/>
        <w:ind w:firstLine="480"/>
        <w:jc w:val="left"/>
        <w:rPr>
          <w:rFonts w:hint="default"/>
          <w:color w:val="auto"/>
          <w:kern w:val="0"/>
          <w:lang w:val="en-US" w:eastAsia="zh-CN"/>
        </w:rPr>
      </w:pPr>
      <w:r>
        <w:rPr>
          <w:rFonts w:hint="eastAsia"/>
          <w:color w:val="auto"/>
          <w:kern w:val="0"/>
          <w:lang w:val="en-US" w:eastAsia="zh-CN"/>
        </w:rPr>
        <w:t>第一级应急防控体系：即事故废水不出企业，事故废水储存在企业事故应急池内。园区内所有企业均设置相应的事故应急池，企业雨水（清下水）排口设有监管部门控制的阀门。一旦发生物料泄漏及火灾等安全生产事故，相关企业快速断开雨水排口，联动打开事故应急池，将事故废水和消防尾水导入事故应急池。事故结束后，应急事故池中的废水进入厂区自身污水处理站处理，无污水处理站的企业按照监测结果进入开发区临港污水处理厂处理。</w:t>
      </w:r>
    </w:p>
    <w:p w14:paraId="12C09557">
      <w:pPr>
        <w:adjustRightInd/>
        <w:snapToGrid/>
        <w:ind w:firstLine="480"/>
        <w:jc w:val="left"/>
        <w:rPr>
          <w:rFonts w:hint="eastAsia"/>
          <w:color w:val="auto"/>
          <w:kern w:val="0"/>
        </w:rPr>
      </w:pPr>
      <w:r>
        <w:rPr>
          <w:rFonts w:hint="eastAsia"/>
          <w:color w:val="auto"/>
          <w:kern w:val="0"/>
        </w:rPr>
        <w:t>第二级应急防控体系，即事故废水不出园区，事故废水储存在园区公共应急池及园区内雨污水管网公共空间内。目前</w:t>
      </w:r>
      <w:r>
        <w:rPr>
          <w:rFonts w:hint="eastAsia"/>
          <w:color w:val="auto"/>
          <w:kern w:val="0"/>
          <w:lang w:val="en-US" w:eastAsia="zh-CN"/>
        </w:rPr>
        <w:t>开发区临港产业园</w:t>
      </w:r>
      <w:r>
        <w:rPr>
          <w:rFonts w:hint="eastAsia"/>
          <w:color w:val="auto"/>
          <w:kern w:val="0"/>
        </w:rPr>
        <w:t>内尚未建设公共应急池</w:t>
      </w:r>
      <w:r>
        <w:rPr>
          <w:rFonts w:hint="eastAsia"/>
          <w:color w:val="auto"/>
          <w:kern w:val="0"/>
          <w:lang w:eastAsia="zh-CN"/>
        </w:rPr>
        <w:t>，在</w:t>
      </w:r>
      <w:r>
        <w:rPr>
          <w:rFonts w:hint="eastAsia"/>
          <w:color w:val="auto"/>
          <w:kern w:val="0"/>
        </w:rPr>
        <w:t>企业突发水环境事件超出企业自身处理能力时，可以依托园区雨污水管网，将事故废水截留在公共空间内，或者临时调用附近企业应急池，将事故废水通过闸门、移动泵或槽车进行转移实现大池共用。</w:t>
      </w:r>
    </w:p>
    <w:p w14:paraId="7EAD76A2">
      <w:pPr>
        <w:adjustRightInd/>
        <w:snapToGrid/>
        <w:ind w:firstLine="480"/>
        <w:jc w:val="left"/>
        <w:rPr>
          <w:rFonts w:hint="eastAsia"/>
          <w:color w:val="auto"/>
          <w:kern w:val="0"/>
        </w:rPr>
      </w:pPr>
      <w:r>
        <w:rPr>
          <w:rFonts w:hint="eastAsia"/>
          <w:color w:val="auto"/>
          <w:kern w:val="0"/>
        </w:rPr>
        <w:t>第三级应急防控体系，即事故废水不进入河流，充分利用园区内现有河流的闸坝，形成“水环境安全缓冲区”，确保事故废水不进入园区外河流。若事故废水一旦进入河流，通过关闭河流上下游闸坝，将一段河流作为应急空间；当危化品运输车辆发生交通事故时，可引导、转移泄漏物，避免污染物入河。</w:t>
      </w:r>
    </w:p>
    <w:p w14:paraId="4C8951D5">
      <w:pPr>
        <w:adjustRightInd/>
        <w:snapToGrid/>
        <w:ind w:firstLine="480"/>
        <w:jc w:val="left"/>
        <w:rPr>
          <w:rFonts w:hint="eastAsia"/>
          <w:color w:val="auto"/>
          <w:kern w:val="0"/>
        </w:rPr>
      </w:pPr>
      <w:r>
        <w:rPr>
          <w:rFonts w:hint="eastAsia"/>
          <w:color w:val="auto"/>
          <w:kern w:val="0"/>
        </w:rPr>
        <w:t>事故结束后，对河流内污水进行检测，或直接进行污染物降解或稀释，满足要求后恢复正常流通。</w:t>
      </w:r>
    </w:p>
    <w:p w14:paraId="36BB1F28">
      <w:pPr>
        <w:pStyle w:val="2722"/>
        <w:spacing w:line="360" w:lineRule="auto"/>
        <w:ind w:firstLine="480"/>
        <w:rPr>
          <w:rFonts w:ascii="Times New Roman" w:hAnsi="Times New Roman" w:cs="Times New Roman"/>
          <w:bCs w:val="0"/>
          <w:color w:val="auto"/>
        </w:rPr>
      </w:pPr>
      <w:r>
        <w:rPr>
          <w:rFonts w:hint="eastAsia" w:ascii="Times New Roman" w:hAnsi="Times New Roman" w:cs="Times New Roman"/>
          <w:bCs w:val="0"/>
          <w:color w:val="auto"/>
        </w:rPr>
        <w:t>防止事故废水进入外环境的控制、封堵系统示意图见图</w:t>
      </w:r>
      <w:r>
        <w:rPr>
          <w:rFonts w:hint="eastAsia" w:ascii="Times New Roman" w:hAnsi="Times New Roman" w:cs="Times New Roman"/>
          <w:color w:val="auto"/>
        </w:rPr>
        <w:t>7.2.7</w:t>
      </w:r>
      <w:r>
        <w:rPr>
          <w:rFonts w:ascii="Times New Roman" w:hAnsi="Times New Roman" w:cs="Times New Roman"/>
          <w:color w:val="auto"/>
        </w:rPr>
        <w:t>-3</w:t>
      </w:r>
      <w:r>
        <w:rPr>
          <w:rFonts w:hint="eastAsia" w:ascii="Times New Roman" w:hAnsi="Times New Roman" w:cs="Times New Roman"/>
          <w:color w:val="auto"/>
        </w:rPr>
        <w:t>及附图7.2-5</w:t>
      </w:r>
      <w:r>
        <w:rPr>
          <w:rFonts w:ascii="Times New Roman" w:hAnsi="Times New Roman" w:cs="Times New Roman"/>
          <w:bCs w:val="0"/>
          <w:color w:val="auto"/>
        </w:rPr>
        <w:t>。</w:t>
      </w:r>
    </w:p>
    <w:p w14:paraId="43A709E9">
      <w:pPr>
        <w:ind w:firstLine="0" w:firstLineChars="0"/>
        <w:jc w:val="center"/>
        <w:rPr>
          <w:color w:val="auto"/>
        </w:rPr>
      </w:pPr>
      <w:r>
        <w:rPr>
          <w:color w:val="auto"/>
        </w:rPr>
        <w:object>
          <v:shape id="_x0000_i1041" o:spt="75" type="#_x0000_t75" style="height:262.05pt;width:458.9pt;" o:ole="t" filled="f" o:preferrelative="t" stroked="f" coordsize="21600,21600">
            <v:path/>
            <v:fill on="f" focussize="0,0"/>
            <v:stroke on="f" joinstyle="miter"/>
            <v:imagedata r:id="rId71" o:title=""/>
            <o:lock v:ext="edit" aspectratio="f"/>
            <w10:wrap type="none"/>
            <w10:anchorlock/>
          </v:shape>
          <o:OLEObject Type="Embed" ProgID="Visio.Drawing.15" ShapeID="_x0000_i1041" DrawAspect="Content" ObjectID="_1468075732" r:id="rId70">
            <o:LockedField>false</o:LockedField>
          </o:OLEObject>
        </w:object>
      </w:r>
    </w:p>
    <w:p w14:paraId="7A341B50">
      <w:pPr>
        <w:ind w:firstLine="0" w:firstLineChars="0"/>
        <w:jc w:val="center"/>
        <w:rPr>
          <w:b/>
          <w:color w:val="auto"/>
        </w:rPr>
      </w:pPr>
      <w:r>
        <w:rPr>
          <w:b/>
          <w:color w:val="auto"/>
        </w:rPr>
        <w:t>图</w:t>
      </w:r>
      <w:r>
        <w:rPr>
          <w:rFonts w:hint="eastAsia"/>
          <w:b/>
          <w:color w:val="auto"/>
        </w:rPr>
        <w:t>7.2-3</w:t>
      </w:r>
      <w:r>
        <w:rPr>
          <w:b/>
          <w:color w:val="auto"/>
        </w:rPr>
        <w:t xml:space="preserve">  事故水控制、封堵系统图</w:t>
      </w:r>
    </w:p>
    <w:p w14:paraId="3C08CCF1">
      <w:pPr>
        <w:ind w:firstLine="480"/>
        <w:rPr>
          <w:color w:val="auto"/>
        </w:rPr>
      </w:pPr>
      <w:r>
        <w:rPr>
          <w:rFonts w:hint="eastAsia"/>
          <w:color w:val="auto"/>
        </w:rPr>
        <w:t>废水收集流程说明：</w:t>
      </w:r>
    </w:p>
    <w:p w14:paraId="38AAFD36">
      <w:pPr>
        <w:ind w:firstLine="480"/>
        <w:rPr>
          <w:color w:val="auto"/>
        </w:rPr>
      </w:pPr>
      <w:r>
        <w:rPr>
          <w:rFonts w:hint="eastAsia"/>
          <w:color w:val="auto"/>
        </w:rPr>
        <w:t>全厂实施清污分流和雨污分流。清下水系统收集雨水等，污水系统收集生产废水。</w:t>
      </w:r>
    </w:p>
    <w:p w14:paraId="12C0DB49">
      <w:pPr>
        <w:ind w:firstLine="480"/>
        <w:rPr>
          <w:color w:val="auto"/>
        </w:rPr>
      </w:pPr>
      <w:r>
        <w:rPr>
          <w:rFonts w:hint="eastAsia"/>
          <w:color w:val="auto"/>
        </w:rPr>
        <w:t>正常生产情况下，阀门1、4、5开启，阀门2、3关闭，对于初期雨水的收集可通过关闭阀门1，开启阀门2进行收集。初期雨水收集结束后，开启阀门1，关闭阀门2。</w:t>
      </w:r>
    </w:p>
    <w:p w14:paraId="0BA92AC2">
      <w:pPr>
        <w:ind w:firstLine="480"/>
        <w:rPr>
          <w:color w:val="auto"/>
        </w:rPr>
      </w:pPr>
      <w:r>
        <w:rPr>
          <w:rFonts w:hint="eastAsia"/>
          <w:color w:val="auto"/>
        </w:rPr>
        <w:t>事故状况下，阀门1、4、5关闭，阀门2、3开启，对消防污水和事故废水进行收集，收集的污水分批次送污水处理站处理，处理达到接管标准后排入开发区临港污水处理厂集中处理。</w:t>
      </w:r>
    </w:p>
    <w:p w14:paraId="73DA0088">
      <w:pPr>
        <w:ind w:firstLine="480"/>
        <w:rPr>
          <w:color w:val="auto"/>
        </w:rPr>
      </w:pPr>
      <w:r>
        <w:rPr>
          <w:rFonts w:hint="eastAsia"/>
          <w:color w:val="auto"/>
        </w:rPr>
        <w:t>（4）其他注意事项</w:t>
      </w:r>
    </w:p>
    <w:p w14:paraId="0D535A1F">
      <w:pPr>
        <w:ind w:firstLine="480"/>
        <w:rPr>
          <w:color w:val="auto"/>
        </w:rPr>
      </w:pPr>
      <w:r>
        <w:rPr>
          <w:rFonts w:hint="eastAsia"/>
          <w:color w:val="auto"/>
        </w:rPr>
        <w:t>①消防废水应根据火灾发生的具体物料及消防废水监测浓度，将消防废水及时引入厂内废水处理站处理，做到达标接管，厂内无法处理该废水时，委托其他单位处理。</w:t>
      </w:r>
    </w:p>
    <w:p w14:paraId="51B4FC5A">
      <w:pPr>
        <w:ind w:firstLine="480"/>
        <w:rPr>
          <w:color w:val="auto"/>
        </w:rPr>
      </w:pPr>
      <w:r>
        <w:rPr>
          <w:rFonts w:hint="eastAsia"/>
          <w:color w:val="auto"/>
        </w:rPr>
        <w:t>②如厂区污水处理站发生风险事故，可将超标废水引入事故池，待污水处理站风险事故处理后，可将事故废水按照</w:t>
      </w:r>
      <w:r>
        <w:rPr>
          <w:rFonts w:hint="eastAsia"/>
          <w:color w:val="auto"/>
          <w:lang w:eastAsia="zh-CN"/>
        </w:rPr>
        <w:t>一定</w:t>
      </w:r>
      <w:r>
        <w:rPr>
          <w:rFonts w:hint="eastAsia"/>
          <w:color w:val="auto"/>
        </w:rPr>
        <w:t>比例泵入污水处理系统重新进行处理达标后排放，厂内无法处理该废水达标时，委托其他单位处理。</w:t>
      </w:r>
    </w:p>
    <w:p w14:paraId="2741DF2A">
      <w:pPr>
        <w:ind w:firstLine="480"/>
        <w:rPr>
          <w:color w:val="auto"/>
        </w:rPr>
      </w:pPr>
      <w:r>
        <w:rPr>
          <w:rFonts w:hint="eastAsia"/>
          <w:color w:val="auto"/>
        </w:rPr>
        <w:t>③如事故废水超出厂区，流入周边河流，应进行实时监控，启动相应的园区/区域突发环境事件应急预案，可采取关闭河道泵站等方式，减少对周边河流的影响，并进行及时修复。</w:t>
      </w:r>
    </w:p>
    <w:p w14:paraId="251B1943">
      <w:pPr>
        <w:ind w:firstLine="482"/>
        <w:jc w:val="left"/>
        <w:rPr>
          <w:b/>
          <w:bCs/>
          <w:color w:val="auto"/>
        </w:rPr>
      </w:pPr>
      <w:r>
        <w:rPr>
          <w:rFonts w:hint="eastAsia"/>
          <w:b/>
          <w:bCs/>
          <w:color w:val="auto"/>
        </w:rPr>
        <w:t>（2）事故池的设置合理性分析</w:t>
      </w:r>
    </w:p>
    <w:p w14:paraId="1BA4F25D">
      <w:pPr>
        <w:ind w:firstLine="480"/>
        <w:rPr>
          <w:color w:val="auto"/>
        </w:rPr>
      </w:pPr>
      <w:r>
        <w:rPr>
          <w:color w:val="auto"/>
        </w:rPr>
        <w:t>本项目拟建设的</w:t>
      </w:r>
      <w:r>
        <w:rPr>
          <w:rFonts w:hint="eastAsia"/>
          <w:color w:val="auto"/>
        </w:rPr>
        <w:t>600</w:t>
      </w:r>
      <w:r>
        <w:rPr>
          <w:color w:val="auto"/>
        </w:rPr>
        <w:t>m</w:t>
      </w:r>
      <w:r>
        <w:rPr>
          <w:color w:val="auto"/>
          <w:vertAlign w:val="superscript"/>
        </w:rPr>
        <w:t>3</w:t>
      </w:r>
      <w:r>
        <w:rPr>
          <w:color w:val="auto"/>
        </w:rPr>
        <w:t>事故应急池满足事故废水收集的要求。厂区应配套设置迅速切断事故排水直接外排并使其进入事故池的措施。事故池平时应保持排空状态，保证随时可以容纳可能发生的事故废水。</w:t>
      </w:r>
    </w:p>
    <w:p w14:paraId="21F29727">
      <w:pPr>
        <w:ind w:firstLine="480"/>
        <w:rPr>
          <w:color w:val="auto"/>
        </w:rPr>
      </w:pPr>
      <w:r>
        <w:rPr>
          <w:color w:val="auto"/>
        </w:rPr>
        <w:t>事故状态下，所有事故废水暂存于事故池内，后期分批分次泵至污水处理站进行处理。</w:t>
      </w:r>
    </w:p>
    <w:p w14:paraId="729D83F0">
      <w:pPr>
        <w:ind w:firstLine="480"/>
        <w:rPr>
          <w:color w:val="auto"/>
        </w:rPr>
      </w:pPr>
      <w:r>
        <w:rPr>
          <w:color w:val="auto"/>
        </w:rPr>
        <w:t>结合本项目情况，应急事故池根据《水体污染防控紧急措施设计导则》有关</w:t>
      </w:r>
      <w:r>
        <w:rPr>
          <w:rFonts w:hint="eastAsia"/>
          <w:color w:val="auto"/>
        </w:rPr>
        <w:t>公式</w:t>
      </w:r>
      <w:r>
        <w:rPr>
          <w:color w:val="auto"/>
        </w:rPr>
        <w:t>进行核算，事故储存设施总有效容积：</w:t>
      </w:r>
    </w:p>
    <w:p w14:paraId="1FDB870D">
      <w:pPr>
        <w:ind w:firstLine="0" w:firstLineChars="0"/>
        <w:jc w:val="center"/>
        <w:rPr>
          <w:color w:val="auto"/>
        </w:rPr>
      </w:pPr>
      <w:r>
        <w:rPr>
          <w:color w:val="auto"/>
        </w:rPr>
        <w:t>V</w:t>
      </w:r>
      <w:r>
        <w:rPr>
          <w:color w:val="auto"/>
          <w:vertAlign w:val="subscript"/>
        </w:rPr>
        <w:t>总</w:t>
      </w:r>
      <w:r>
        <w:rPr>
          <w:color w:val="auto"/>
        </w:rPr>
        <w:t>=（V</w:t>
      </w:r>
      <w:r>
        <w:rPr>
          <w:color w:val="auto"/>
          <w:vertAlign w:val="subscript"/>
        </w:rPr>
        <w:t>1</w:t>
      </w:r>
      <w:r>
        <w:rPr>
          <w:color w:val="auto"/>
        </w:rPr>
        <w:t>+V</w:t>
      </w:r>
      <w:r>
        <w:rPr>
          <w:color w:val="auto"/>
          <w:vertAlign w:val="subscript"/>
        </w:rPr>
        <w:t>2</w:t>
      </w:r>
      <w:r>
        <w:rPr>
          <w:color w:val="auto"/>
        </w:rPr>
        <w:t>-V</w:t>
      </w:r>
      <w:r>
        <w:rPr>
          <w:color w:val="auto"/>
          <w:vertAlign w:val="subscript"/>
        </w:rPr>
        <w:t>3</w:t>
      </w:r>
      <w:r>
        <w:rPr>
          <w:color w:val="auto"/>
        </w:rPr>
        <w:t>）max+V</w:t>
      </w:r>
      <w:r>
        <w:rPr>
          <w:color w:val="auto"/>
          <w:vertAlign w:val="subscript"/>
        </w:rPr>
        <w:t>4</w:t>
      </w:r>
      <w:r>
        <w:rPr>
          <w:color w:val="auto"/>
        </w:rPr>
        <w:t>+V</w:t>
      </w:r>
      <w:r>
        <w:rPr>
          <w:color w:val="auto"/>
          <w:vertAlign w:val="subscript"/>
        </w:rPr>
        <w:t>5</w:t>
      </w:r>
    </w:p>
    <w:p w14:paraId="43D8B0C0">
      <w:pPr>
        <w:ind w:firstLine="480"/>
        <w:rPr>
          <w:color w:val="auto"/>
        </w:rPr>
      </w:pPr>
      <w:r>
        <w:rPr>
          <w:color w:val="auto"/>
        </w:rPr>
        <w:t>V</w:t>
      </w:r>
      <w:r>
        <w:rPr>
          <w:color w:val="auto"/>
          <w:vertAlign w:val="subscript"/>
        </w:rPr>
        <w:t>1</w:t>
      </w:r>
      <w:r>
        <w:rPr>
          <w:color w:val="auto"/>
        </w:rPr>
        <w:t>---收集系统范围内发生事故的一个罐组或一套装置的物料量（注：储存相同物料的罐组按一个最大储罐计，装置物料量按存留最大物料量的一台反应器或中间储罐计）；V</w:t>
      </w:r>
      <w:r>
        <w:rPr>
          <w:color w:val="auto"/>
          <w:vertAlign w:val="subscript"/>
        </w:rPr>
        <w:t>1</w:t>
      </w:r>
      <w:r>
        <w:rPr>
          <w:color w:val="auto"/>
        </w:rPr>
        <w:t>取0。</w:t>
      </w:r>
    </w:p>
    <w:p w14:paraId="6B0183F9">
      <w:pPr>
        <w:ind w:firstLine="480"/>
        <w:rPr>
          <w:color w:val="auto"/>
        </w:rPr>
      </w:pPr>
      <w:r>
        <w:rPr>
          <w:color w:val="auto"/>
        </w:rPr>
        <w:t>V</w:t>
      </w:r>
      <w:r>
        <w:rPr>
          <w:color w:val="auto"/>
          <w:vertAlign w:val="subscript"/>
        </w:rPr>
        <w:t>2</w:t>
      </w:r>
      <w:r>
        <w:rPr>
          <w:color w:val="auto"/>
        </w:rPr>
        <w:t>---发生事故的储罐或装置的消防水量，m</w:t>
      </w:r>
      <w:r>
        <w:rPr>
          <w:color w:val="auto"/>
          <w:vertAlign w:val="superscript"/>
        </w:rPr>
        <w:t>3</w:t>
      </w:r>
      <w:r>
        <w:rPr>
          <w:color w:val="auto"/>
        </w:rPr>
        <w:t>；</w:t>
      </w:r>
    </w:p>
    <w:p w14:paraId="3430D993">
      <w:pPr>
        <w:ind w:firstLine="480"/>
        <w:rPr>
          <w:color w:val="auto"/>
        </w:rPr>
      </w:pPr>
      <w:r>
        <w:rPr>
          <w:color w:val="auto"/>
        </w:rPr>
        <w:t>V</w:t>
      </w:r>
      <w:r>
        <w:rPr>
          <w:color w:val="auto"/>
          <w:vertAlign w:val="subscript"/>
        </w:rPr>
        <w:t>3</w:t>
      </w:r>
      <w:r>
        <w:rPr>
          <w:color w:val="auto"/>
        </w:rPr>
        <w:t>---发生事故时可以传输到其他储存或处理设施的物料量，m</w:t>
      </w:r>
      <w:r>
        <w:rPr>
          <w:color w:val="auto"/>
          <w:vertAlign w:val="superscript"/>
        </w:rPr>
        <w:t>3</w:t>
      </w:r>
      <w:r>
        <w:rPr>
          <w:color w:val="auto"/>
        </w:rPr>
        <w:t>；</w:t>
      </w:r>
      <w:r>
        <w:rPr>
          <w:rFonts w:hint="eastAsia"/>
          <w:color w:val="auto"/>
        </w:rPr>
        <w:t xml:space="preserve"> </w:t>
      </w:r>
    </w:p>
    <w:p w14:paraId="5117A874">
      <w:pPr>
        <w:ind w:firstLine="480"/>
        <w:rPr>
          <w:color w:val="auto"/>
        </w:rPr>
      </w:pPr>
      <w:r>
        <w:rPr>
          <w:color w:val="auto"/>
        </w:rPr>
        <w:t>V</w:t>
      </w:r>
      <w:r>
        <w:rPr>
          <w:color w:val="auto"/>
          <w:vertAlign w:val="subscript"/>
        </w:rPr>
        <w:t>4</w:t>
      </w:r>
      <w:r>
        <w:rPr>
          <w:color w:val="auto"/>
        </w:rPr>
        <w:t>---发生事故时仍必须进入该收集系统的生产废水量，m</w:t>
      </w:r>
      <w:r>
        <w:rPr>
          <w:color w:val="auto"/>
          <w:vertAlign w:val="superscript"/>
        </w:rPr>
        <w:t>3</w:t>
      </w:r>
      <w:r>
        <w:rPr>
          <w:color w:val="auto"/>
        </w:rPr>
        <w:t>；</w:t>
      </w:r>
    </w:p>
    <w:p w14:paraId="13A651FF">
      <w:pPr>
        <w:ind w:firstLine="480"/>
        <w:rPr>
          <w:color w:val="auto"/>
        </w:rPr>
      </w:pPr>
      <w:r>
        <w:rPr>
          <w:color w:val="auto"/>
        </w:rPr>
        <w:t>V</w:t>
      </w:r>
      <w:r>
        <w:rPr>
          <w:color w:val="auto"/>
          <w:vertAlign w:val="subscript"/>
        </w:rPr>
        <w:t>5</w:t>
      </w:r>
      <w:r>
        <w:rPr>
          <w:color w:val="auto"/>
        </w:rPr>
        <w:t>---发生事故时可能进入该收集系统的降雨量，m</w:t>
      </w:r>
      <w:r>
        <w:rPr>
          <w:color w:val="auto"/>
          <w:vertAlign w:val="superscript"/>
        </w:rPr>
        <w:t>3</w:t>
      </w:r>
      <w:r>
        <w:rPr>
          <w:color w:val="auto"/>
        </w:rPr>
        <w:t>；</w:t>
      </w:r>
    </w:p>
    <w:p w14:paraId="6EA44DAB">
      <w:pPr>
        <w:pStyle w:val="1356"/>
        <w:ind w:firstLine="480"/>
        <w:rPr>
          <w:color w:val="auto"/>
        </w:rPr>
      </w:pPr>
      <w:r>
        <w:rPr>
          <w:color w:val="auto"/>
        </w:rPr>
        <w:t>根据项目情况，本项目事故存储设施总有效容积计算如下：</w:t>
      </w:r>
    </w:p>
    <w:p w14:paraId="30449581">
      <w:pPr>
        <w:pStyle w:val="1356"/>
        <w:ind w:firstLine="480"/>
        <w:rPr>
          <w:color w:val="auto"/>
        </w:rPr>
      </w:pPr>
      <w:r>
        <w:rPr>
          <w:color w:val="auto"/>
        </w:rPr>
        <w:t>①V</w:t>
      </w:r>
      <w:r>
        <w:rPr>
          <w:color w:val="auto"/>
          <w:vertAlign w:val="subscript"/>
        </w:rPr>
        <w:t>1</w:t>
      </w:r>
      <w:r>
        <w:rPr>
          <w:color w:val="auto"/>
        </w:rPr>
        <w:t>：本项目储罐区</w:t>
      </w:r>
      <w:r>
        <w:rPr>
          <w:rFonts w:hint="eastAsia"/>
          <w:color w:val="auto"/>
        </w:rPr>
        <w:t>、化学品库、危废库等均已设置围堰，可有效拦截事故状态下的废液，故本次评价不考虑储罐物料量</w:t>
      </w:r>
      <w:r>
        <w:rPr>
          <w:color w:val="auto"/>
        </w:rPr>
        <w:t>。</w:t>
      </w:r>
    </w:p>
    <w:p w14:paraId="52283D6B">
      <w:pPr>
        <w:pStyle w:val="1356"/>
        <w:ind w:firstLine="480"/>
        <w:rPr>
          <w:color w:val="auto"/>
        </w:rPr>
      </w:pPr>
      <w:r>
        <w:rPr>
          <w:color w:val="auto"/>
        </w:rPr>
        <w:t>②V</w:t>
      </w:r>
      <w:r>
        <w:rPr>
          <w:color w:val="auto"/>
          <w:vertAlign w:val="subscript"/>
        </w:rPr>
        <w:t>2</w:t>
      </w:r>
      <w:r>
        <w:rPr>
          <w:color w:val="auto"/>
        </w:rPr>
        <w:t>：根据项目工程可行性研究报告，本项目</w:t>
      </w:r>
      <w:r>
        <w:rPr>
          <w:rFonts w:hint="eastAsia"/>
          <w:color w:val="auto"/>
        </w:rPr>
        <w:t>室内</w:t>
      </w:r>
      <w:r>
        <w:rPr>
          <w:color w:val="auto"/>
        </w:rPr>
        <w:t>消火栓系统供水流量</w:t>
      </w:r>
      <w:r>
        <w:rPr>
          <w:rFonts w:hint="eastAsia"/>
          <w:color w:val="auto"/>
        </w:rPr>
        <w:t>10</w:t>
      </w:r>
      <w:r>
        <w:rPr>
          <w:color w:val="auto"/>
        </w:rPr>
        <w:t>L/s，</w:t>
      </w:r>
      <w:r>
        <w:rPr>
          <w:rFonts w:hint="eastAsia"/>
          <w:color w:val="auto"/>
        </w:rPr>
        <w:t>室外消火栓系统供水流量20L/s，</w:t>
      </w:r>
      <w:r>
        <w:rPr>
          <w:color w:val="auto"/>
        </w:rPr>
        <w:t>设计消防历时</w:t>
      </w:r>
      <w:r>
        <w:rPr>
          <w:rFonts w:hint="eastAsia"/>
          <w:color w:val="auto"/>
        </w:rPr>
        <w:t>2</w:t>
      </w:r>
      <w:r>
        <w:rPr>
          <w:color w:val="auto"/>
        </w:rPr>
        <w:t>h，计算得出项目火灾消防用水量为</w:t>
      </w:r>
      <w:r>
        <w:rPr>
          <w:rFonts w:hint="eastAsia"/>
          <w:color w:val="auto"/>
        </w:rPr>
        <w:t>216</w:t>
      </w:r>
      <w:r>
        <w:rPr>
          <w:color w:val="auto"/>
        </w:rPr>
        <w:t>m</w:t>
      </w:r>
      <w:r>
        <w:rPr>
          <w:color w:val="auto"/>
          <w:vertAlign w:val="superscript"/>
        </w:rPr>
        <w:t>3</w:t>
      </w:r>
      <w:r>
        <w:rPr>
          <w:color w:val="auto"/>
        </w:rPr>
        <w:t>，故V</w:t>
      </w:r>
      <w:r>
        <w:rPr>
          <w:color w:val="auto"/>
          <w:vertAlign w:val="subscript"/>
        </w:rPr>
        <w:t>2</w:t>
      </w:r>
      <w:r>
        <w:rPr>
          <w:color w:val="auto"/>
        </w:rPr>
        <w:t>取</w:t>
      </w:r>
      <w:r>
        <w:rPr>
          <w:rFonts w:hint="eastAsia"/>
          <w:color w:val="auto"/>
        </w:rPr>
        <w:t>216</w:t>
      </w:r>
      <w:r>
        <w:rPr>
          <w:color w:val="auto"/>
        </w:rPr>
        <w:t>m</w:t>
      </w:r>
      <w:r>
        <w:rPr>
          <w:color w:val="auto"/>
          <w:vertAlign w:val="superscript"/>
        </w:rPr>
        <w:t>3</w:t>
      </w:r>
      <w:r>
        <w:rPr>
          <w:color w:val="auto"/>
        </w:rPr>
        <w:t>。</w:t>
      </w:r>
    </w:p>
    <w:p w14:paraId="6CC91D9E">
      <w:pPr>
        <w:pStyle w:val="1356"/>
        <w:ind w:firstLine="480"/>
        <w:rPr>
          <w:color w:val="auto"/>
        </w:rPr>
      </w:pPr>
      <w:r>
        <w:rPr>
          <w:color w:val="auto"/>
        </w:rPr>
        <w:t>③V</w:t>
      </w:r>
      <w:r>
        <w:rPr>
          <w:color w:val="auto"/>
          <w:vertAlign w:val="subscript"/>
        </w:rPr>
        <w:t>3</w:t>
      </w:r>
      <w:r>
        <w:rPr>
          <w:color w:val="auto"/>
        </w:rPr>
        <w:t>：本项目不涉及，故V</w:t>
      </w:r>
      <w:r>
        <w:rPr>
          <w:color w:val="auto"/>
          <w:vertAlign w:val="subscript"/>
        </w:rPr>
        <w:t>3</w:t>
      </w:r>
      <w:r>
        <w:rPr>
          <w:color w:val="auto"/>
        </w:rPr>
        <w:t>取0m</w:t>
      </w:r>
      <w:r>
        <w:rPr>
          <w:color w:val="auto"/>
          <w:vertAlign w:val="superscript"/>
        </w:rPr>
        <w:t>3</w:t>
      </w:r>
      <w:r>
        <w:rPr>
          <w:color w:val="auto"/>
        </w:rPr>
        <w:t>。</w:t>
      </w:r>
    </w:p>
    <w:p w14:paraId="7A8217E0">
      <w:pPr>
        <w:pStyle w:val="1356"/>
        <w:ind w:firstLine="480"/>
        <w:rPr>
          <w:color w:val="auto"/>
        </w:rPr>
      </w:pPr>
      <w:r>
        <w:rPr>
          <w:color w:val="auto"/>
        </w:rPr>
        <w:t>④V</w:t>
      </w:r>
      <w:r>
        <w:rPr>
          <w:color w:val="auto"/>
          <w:vertAlign w:val="subscript"/>
        </w:rPr>
        <w:t>4</w:t>
      </w:r>
      <w:r>
        <w:rPr>
          <w:color w:val="auto"/>
        </w:rPr>
        <w:t>：事故情况下不考虑其他生产废水的产生，故V</w:t>
      </w:r>
      <w:r>
        <w:rPr>
          <w:color w:val="auto"/>
          <w:vertAlign w:val="subscript"/>
        </w:rPr>
        <w:t>4</w:t>
      </w:r>
      <w:r>
        <w:rPr>
          <w:color w:val="auto"/>
        </w:rPr>
        <w:t>取0m</w:t>
      </w:r>
      <w:r>
        <w:rPr>
          <w:color w:val="auto"/>
          <w:vertAlign w:val="superscript"/>
        </w:rPr>
        <w:t>3</w:t>
      </w:r>
      <w:r>
        <w:rPr>
          <w:color w:val="auto"/>
        </w:rPr>
        <w:t>。</w:t>
      </w:r>
    </w:p>
    <w:p w14:paraId="6BDAF8B7">
      <w:pPr>
        <w:pStyle w:val="1356"/>
        <w:ind w:firstLine="480"/>
        <w:rPr>
          <w:color w:val="auto"/>
        </w:rPr>
      </w:pPr>
      <w:r>
        <w:rPr>
          <w:color w:val="auto"/>
        </w:rPr>
        <w:t>⑤V</w:t>
      </w:r>
      <w:r>
        <w:rPr>
          <w:color w:val="auto"/>
          <w:vertAlign w:val="subscript"/>
        </w:rPr>
        <w:t>5</w:t>
      </w:r>
      <w:r>
        <w:rPr>
          <w:rFonts w:hint="eastAsia"/>
          <w:color w:val="auto"/>
          <w:vertAlign w:val="subscript"/>
        </w:rPr>
        <w:t>:</w:t>
      </w:r>
      <w:r>
        <w:rPr>
          <w:color w:val="auto"/>
        </w:rPr>
        <w:t>V</w:t>
      </w:r>
      <w:r>
        <w:rPr>
          <w:color w:val="auto"/>
          <w:vertAlign w:val="subscript"/>
        </w:rPr>
        <w:t>5</w:t>
      </w:r>
      <w:r>
        <w:rPr>
          <w:color w:val="auto"/>
        </w:rPr>
        <w:t>=10qF</w:t>
      </w:r>
    </w:p>
    <w:p w14:paraId="4A846690">
      <w:pPr>
        <w:pStyle w:val="1356"/>
        <w:ind w:firstLine="1200" w:firstLineChars="500"/>
        <w:rPr>
          <w:color w:val="auto"/>
        </w:rPr>
      </w:pPr>
      <w:r>
        <w:rPr>
          <w:color w:val="auto"/>
        </w:rPr>
        <w:t>q——降雨强度，mm；按平均日降雨量；</w:t>
      </w:r>
    </w:p>
    <w:p w14:paraId="545F734F">
      <w:pPr>
        <w:pStyle w:val="1356"/>
        <w:ind w:firstLine="0" w:firstLineChars="0"/>
        <w:jc w:val="center"/>
        <w:rPr>
          <w:color w:val="auto"/>
        </w:rPr>
      </w:pPr>
      <w:r>
        <w:rPr>
          <w:color w:val="auto"/>
        </w:rPr>
        <w:t>q=q</w:t>
      </w:r>
      <w:r>
        <w:rPr>
          <w:color w:val="auto"/>
          <w:vertAlign w:val="subscript"/>
        </w:rPr>
        <w:t>a</w:t>
      </w:r>
      <w:r>
        <w:rPr>
          <w:color w:val="auto"/>
        </w:rPr>
        <w:t>/n</w:t>
      </w:r>
    </w:p>
    <w:p w14:paraId="6CD78519">
      <w:pPr>
        <w:pStyle w:val="1356"/>
        <w:ind w:firstLine="1200" w:firstLineChars="500"/>
        <w:rPr>
          <w:color w:val="auto"/>
        </w:rPr>
      </w:pPr>
      <w:r>
        <w:rPr>
          <w:color w:val="auto"/>
        </w:rPr>
        <w:t>q</w:t>
      </w:r>
      <w:r>
        <w:rPr>
          <w:color w:val="auto"/>
          <w:vertAlign w:val="subscript"/>
        </w:rPr>
        <w:t>a</w:t>
      </w:r>
      <w:r>
        <w:rPr>
          <w:color w:val="auto"/>
        </w:rPr>
        <w:t>——年平均降雨量，mm；n——年平均降雨日数。通过查询，</w:t>
      </w:r>
      <w:r>
        <w:rPr>
          <w:rFonts w:hint="eastAsia"/>
          <w:color w:val="auto"/>
        </w:rPr>
        <w:t>当地</w:t>
      </w:r>
      <w:r>
        <w:rPr>
          <w:color w:val="auto"/>
        </w:rPr>
        <w:t>平均年降雨量</w:t>
      </w:r>
      <w:r>
        <w:rPr>
          <w:rFonts w:hint="eastAsia"/>
          <w:color w:val="auto"/>
        </w:rPr>
        <w:t>900.9</w:t>
      </w:r>
      <w:r>
        <w:rPr>
          <w:color w:val="auto"/>
        </w:rPr>
        <w:t>mm，年均下雨天数约1</w:t>
      </w:r>
      <w:r>
        <w:rPr>
          <w:rFonts w:hint="eastAsia"/>
          <w:color w:val="auto"/>
        </w:rPr>
        <w:t>11</w:t>
      </w:r>
      <w:r>
        <w:rPr>
          <w:color w:val="auto"/>
        </w:rPr>
        <w:t>d，故q=</w:t>
      </w:r>
      <w:r>
        <w:rPr>
          <w:rFonts w:hint="eastAsia"/>
          <w:color w:val="auto"/>
        </w:rPr>
        <w:t>8</w:t>
      </w:r>
      <w:r>
        <w:rPr>
          <w:color w:val="auto"/>
        </w:rPr>
        <w:t>.12mm。</w:t>
      </w:r>
    </w:p>
    <w:p w14:paraId="231A0366">
      <w:pPr>
        <w:pStyle w:val="1356"/>
        <w:ind w:firstLine="1200" w:firstLineChars="500"/>
        <w:rPr>
          <w:color w:val="auto"/>
        </w:rPr>
      </w:pPr>
      <w:r>
        <w:rPr>
          <w:color w:val="auto"/>
        </w:rPr>
        <w:t>F——必须进入事故废水收集系统的雨水汇水面积，hm</w:t>
      </w:r>
      <w:r>
        <w:rPr>
          <w:color w:val="auto"/>
          <w:vertAlign w:val="superscript"/>
        </w:rPr>
        <w:t>2</w:t>
      </w:r>
      <w:r>
        <w:rPr>
          <w:color w:val="auto"/>
        </w:rPr>
        <w:t>。必须进入事故废水收集系统的雨水汇水面积约</w:t>
      </w:r>
      <w:r>
        <w:rPr>
          <w:rFonts w:hint="eastAsia"/>
          <w:color w:val="auto"/>
        </w:rPr>
        <w:t>4</w:t>
      </w:r>
      <w:r>
        <w:rPr>
          <w:color w:val="auto"/>
        </w:rPr>
        <w:t>hm</w:t>
      </w:r>
      <w:r>
        <w:rPr>
          <w:color w:val="auto"/>
          <w:vertAlign w:val="superscript"/>
        </w:rPr>
        <w:t>2</w:t>
      </w:r>
      <w:r>
        <w:rPr>
          <w:color w:val="auto"/>
        </w:rPr>
        <w:t>。</w:t>
      </w:r>
      <w:r>
        <w:rPr>
          <w:rFonts w:hint="eastAsia"/>
          <w:color w:val="auto"/>
        </w:rPr>
        <w:t>经计算，V</w:t>
      </w:r>
      <w:r>
        <w:rPr>
          <w:rFonts w:hint="eastAsia"/>
          <w:color w:val="auto"/>
          <w:vertAlign w:val="subscript"/>
        </w:rPr>
        <w:t>5</w:t>
      </w:r>
      <w:r>
        <w:rPr>
          <w:rFonts w:hint="eastAsia"/>
          <w:color w:val="auto"/>
        </w:rPr>
        <w:t>为324.8</w:t>
      </w:r>
      <w:r>
        <w:rPr>
          <w:color w:val="auto"/>
        </w:rPr>
        <w:t>m</w:t>
      </w:r>
      <w:r>
        <w:rPr>
          <w:color w:val="auto"/>
          <w:vertAlign w:val="superscript"/>
        </w:rPr>
        <w:t>3</w:t>
      </w:r>
      <w:r>
        <w:rPr>
          <w:color w:val="auto"/>
        </w:rPr>
        <w:t>。</w:t>
      </w:r>
    </w:p>
    <w:p w14:paraId="38012883">
      <w:pPr>
        <w:pStyle w:val="1356"/>
        <w:ind w:firstLine="480"/>
        <w:rPr>
          <w:color w:val="auto"/>
        </w:rPr>
      </w:pPr>
      <w:r>
        <w:rPr>
          <w:color w:val="auto"/>
        </w:rPr>
        <w:t>综上，V</w:t>
      </w:r>
      <w:r>
        <w:rPr>
          <w:color w:val="auto"/>
          <w:vertAlign w:val="subscript"/>
        </w:rPr>
        <w:t>总</w:t>
      </w:r>
      <w:r>
        <w:rPr>
          <w:color w:val="auto"/>
        </w:rPr>
        <w:t>＝</w:t>
      </w:r>
      <w:r>
        <w:rPr>
          <w:rFonts w:hint="eastAsia"/>
          <w:color w:val="auto"/>
        </w:rPr>
        <w:t>（0</w:t>
      </w:r>
      <w:r>
        <w:rPr>
          <w:color w:val="auto"/>
        </w:rPr>
        <w:t>+</w:t>
      </w:r>
      <w:r>
        <w:rPr>
          <w:rFonts w:hint="eastAsia"/>
          <w:color w:val="auto"/>
        </w:rPr>
        <w:t>216</w:t>
      </w:r>
      <w:r>
        <w:rPr>
          <w:color w:val="auto"/>
        </w:rPr>
        <w:t>-0）+0+</w:t>
      </w:r>
      <w:r>
        <w:rPr>
          <w:rFonts w:hint="eastAsia"/>
          <w:color w:val="auto"/>
        </w:rPr>
        <w:t>324.8</w:t>
      </w:r>
      <w:r>
        <w:rPr>
          <w:color w:val="auto"/>
        </w:rPr>
        <w:t>=</w:t>
      </w:r>
      <w:r>
        <w:rPr>
          <w:rFonts w:hint="eastAsia"/>
          <w:color w:val="auto"/>
        </w:rPr>
        <w:t>540.8</w:t>
      </w:r>
      <w:r>
        <w:rPr>
          <w:color w:val="auto"/>
        </w:rPr>
        <w:t>m</w:t>
      </w:r>
      <w:r>
        <w:rPr>
          <w:color w:val="auto"/>
          <w:vertAlign w:val="superscript"/>
        </w:rPr>
        <w:t>3</w:t>
      </w:r>
    </w:p>
    <w:p w14:paraId="1F7BF5DF">
      <w:pPr>
        <w:ind w:firstLine="480"/>
        <w:rPr>
          <w:color w:val="auto"/>
        </w:rPr>
      </w:pPr>
      <w:r>
        <w:rPr>
          <w:color w:val="auto"/>
        </w:rPr>
        <w:t>因此全厂所需事故池总容积为</w:t>
      </w:r>
      <w:r>
        <w:rPr>
          <w:rFonts w:hint="eastAsia"/>
          <w:color w:val="auto"/>
        </w:rPr>
        <w:t>540.8</w:t>
      </w:r>
      <w:r>
        <w:rPr>
          <w:color w:val="auto"/>
        </w:rPr>
        <w:t>m</w:t>
      </w:r>
      <w:r>
        <w:rPr>
          <w:color w:val="auto"/>
          <w:vertAlign w:val="superscript"/>
        </w:rPr>
        <w:t>3</w:t>
      </w:r>
      <w:r>
        <w:rPr>
          <w:color w:val="auto"/>
        </w:rPr>
        <w:t>；因此全厂建设的</w:t>
      </w:r>
      <w:r>
        <w:rPr>
          <w:rFonts w:hint="eastAsia"/>
          <w:color w:val="auto"/>
        </w:rPr>
        <w:t>600</w:t>
      </w:r>
      <w:r>
        <w:rPr>
          <w:color w:val="auto"/>
        </w:rPr>
        <w:t>m</w:t>
      </w:r>
      <w:r>
        <w:rPr>
          <w:color w:val="auto"/>
          <w:vertAlign w:val="superscript"/>
        </w:rPr>
        <w:t>3</w:t>
      </w:r>
      <w:r>
        <w:rPr>
          <w:color w:val="auto"/>
        </w:rPr>
        <w:t>事故应急池可以满足事故废水收集的要求。建设单位拟建设</w:t>
      </w:r>
      <w:r>
        <w:rPr>
          <w:rFonts w:hint="eastAsia"/>
          <w:color w:val="auto"/>
        </w:rPr>
        <w:t>600</w:t>
      </w:r>
      <w:r>
        <w:rPr>
          <w:color w:val="auto"/>
        </w:rPr>
        <w:t>m</w:t>
      </w:r>
      <w:r>
        <w:rPr>
          <w:color w:val="auto"/>
          <w:vertAlign w:val="superscript"/>
        </w:rPr>
        <w:t>3</w:t>
      </w:r>
      <w:r>
        <w:rPr>
          <w:color w:val="auto"/>
        </w:rPr>
        <w:t>事故应急池，池内壁做防渗处理，事故池保持常空状态。</w:t>
      </w:r>
    </w:p>
    <w:p w14:paraId="71941C0A">
      <w:pPr>
        <w:ind w:firstLine="482"/>
        <w:rPr>
          <w:b/>
          <w:bCs/>
          <w:color w:val="auto"/>
        </w:rPr>
      </w:pPr>
      <w:r>
        <w:rPr>
          <w:b/>
          <w:bCs/>
          <w:color w:val="auto"/>
        </w:rPr>
        <w:t>三、地下水风险防范</w:t>
      </w:r>
    </w:p>
    <w:p w14:paraId="5A049608">
      <w:pPr>
        <w:ind w:firstLine="480"/>
        <w:rPr>
          <w:color w:val="auto"/>
        </w:rPr>
      </w:pPr>
      <w:r>
        <w:rPr>
          <w:color w:val="auto"/>
        </w:rPr>
        <w:t>地下水风险防范措施重点采取源头控制和分区防渗要求，具体见</w:t>
      </w:r>
      <w:r>
        <w:rPr>
          <w:rFonts w:hint="eastAsia"/>
          <w:color w:val="auto"/>
        </w:rPr>
        <w:t>7.2.5</w:t>
      </w:r>
      <w:r>
        <w:rPr>
          <w:color w:val="auto"/>
        </w:rPr>
        <w:t>章节。</w:t>
      </w:r>
    </w:p>
    <w:p w14:paraId="7CFC880B">
      <w:pPr>
        <w:ind w:firstLine="480"/>
        <w:rPr>
          <w:color w:val="auto"/>
        </w:rPr>
      </w:pPr>
      <w:r>
        <w:rPr>
          <w:color w:val="auto"/>
        </w:rPr>
        <w:t>（1）源头控制</w:t>
      </w:r>
    </w:p>
    <w:p w14:paraId="7EFC17B6">
      <w:pPr>
        <w:ind w:firstLine="480"/>
        <w:rPr>
          <w:color w:val="auto"/>
        </w:rPr>
      </w:pPr>
      <w:r>
        <w:rPr>
          <w:color w:val="auto"/>
        </w:rPr>
        <w:t>建设期要从工艺、管道、设备、污水储存及处理构筑物等方面采取措施，防止污染物的跑、冒、滴、漏。具体要做到：厂内雨污分流；车间、贮罐区要做好底部防渗处理；发生泄漏时将泄漏物料全部导入事故池，阻断污染物与地下水的联系。厂内废水要日产日清、固废及时委外处置，避免堆积过多。</w:t>
      </w:r>
    </w:p>
    <w:p w14:paraId="28269BED">
      <w:pPr>
        <w:ind w:firstLine="480"/>
        <w:rPr>
          <w:color w:val="auto"/>
        </w:rPr>
      </w:pPr>
      <w:r>
        <w:rPr>
          <w:color w:val="auto"/>
        </w:rPr>
        <w:t>运行期要严格管理，加强各装置巡检，及时发现污染物泄漏；一旦出现泄漏及时处理，检查检修设备，将污染物泄漏并引起下渗的环境风险降至最低程度。</w:t>
      </w:r>
    </w:p>
    <w:p w14:paraId="6C38A1D8">
      <w:pPr>
        <w:ind w:firstLine="480"/>
        <w:rPr>
          <w:color w:val="auto"/>
        </w:rPr>
      </w:pPr>
      <w:r>
        <w:rPr>
          <w:color w:val="auto"/>
        </w:rPr>
        <w:t>（2）分区防渗</w:t>
      </w:r>
    </w:p>
    <w:p w14:paraId="53A5D800">
      <w:pPr>
        <w:ind w:firstLine="480"/>
        <w:rPr>
          <w:color w:val="auto"/>
        </w:rPr>
      </w:pPr>
      <w:r>
        <w:rPr>
          <w:color w:val="auto"/>
        </w:rPr>
        <w:t>划定</w:t>
      </w:r>
      <w:r>
        <w:rPr>
          <w:rFonts w:hint="eastAsia"/>
          <w:color w:val="auto"/>
        </w:rPr>
        <w:t>储罐区、模具处理车间、阳极氧化线污水处理区、原料仓库、化学品库、事故池、</w:t>
      </w:r>
      <w:r>
        <w:rPr>
          <w:color w:val="auto"/>
        </w:rPr>
        <w:t>危险</w:t>
      </w:r>
      <w:r>
        <w:rPr>
          <w:rFonts w:hint="eastAsia"/>
          <w:color w:val="auto"/>
        </w:rPr>
        <w:t>暂存间</w:t>
      </w:r>
      <w:r>
        <w:rPr>
          <w:color w:val="auto"/>
        </w:rPr>
        <w:t>、</w:t>
      </w:r>
      <w:r>
        <w:rPr>
          <w:rFonts w:hint="eastAsia"/>
          <w:color w:val="auto"/>
        </w:rPr>
        <w:t>污泥堆场和厂区管道</w:t>
      </w:r>
      <w:r>
        <w:rPr>
          <w:color w:val="auto"/>
        </w:rPr>
        <w:t>为重点防渗区，</w:t>
      </w:r>
      <w:r>
        <w:rPr>
          <w:rFonts w:hint="eastAsia"/>
          <w:color w:val="auto"/>
        </w:rPr>
        <w:t>一般固废暂存间、成品仓库、深加工车间</w:t>
      </w:r>
      <w:r>
        <w:rPr>
          <w:color w:val="auto"/>
        </w:rPr>
        <w:t>为一般防渗区，办公区</w:t>
      </w:r>
      <w:r>
        <w:rPr>
          <w:rFonts w:hint="eastAsia"/>
          <w:color w:val="auto"/>
        </w:rPr>
        <w:t>、厂区运输道路</w:t>
      </w:r>
      <w:r>
        <w:rPr>
          <w:color w:val="auto"/>
        </w:rPr>
        <w:t>为简单防渗区，各防渗分区需满足相应的防渗技术要求。</w:t>
      </w:r>
    </w:p>
    <w:p w14:paraId="1C5C4DA5">
      <w:pPr>
        <w:ind w:firstLine="482"/>
        <w:rPr>
          <w:b/>
          <w:bCs/>
          <w:color w:val="auto"/>
        </w:rPr>
      </w:pPr>
      <w:r>
        <w:rPr>
          <w:rFonts w:hint="eastAsia"/>
          <w:b/>
          <w:bCs/>
          <w:color w:val="auto"/>
        </w:rPr>
        <w:t>四、</w:t>
      </w:r>
      <w:r>
        <w:rPr>
          <w:b/>
          <w:bCs/>
          <w:color w:val="auto"/>
        </w:rPr>
        <w:t>风险监控及应急监测系统</w:t>
      </w:r>
    </w:p>
    <w:p w14:paraId="1C1B7E06">
      <w:pPr>
        <w:ind w:firstLine="482"/>
        <w:rPr>
          <w:b/>
          <w:bCs/>
          <w:color w:val="auto"/>
        </w:rPr>
      </w:pPr>
      <w:r>
        <w:rPr>
          <w:rFonts w:hint="eastAsia"/>
          <w:b/>
          <w:bCs/>
          <w:color w:val="auto"/>
        </w:rPr>
        <w:t>1、</w:t>
      </w:r>
      <w:r>
        <w:rPr>
          <w:b/>
          <w:bCs/>
          <w:color w:val="auto"/>
        </w:rPr>
        <w:t>风险监控</w:t>
      </w:r>
    </w:p>
    <w:p w14:paraId="65BE5FCE">
      <w:pPr>
        <w:ind w:firstLine="480"/>
        <w:rPr>
          <w:color w:val="auto"/>
        </w:rPr>
      </w:pPr>
      <w:r>
        <w:rPr>
          <w:color w:val="auto"/>
        </w:rPr>
        <w:t>（1）本项目生产装置控制温度较高，尤其是物料多为有毒、有害的危险化学品，属于重点防火、防爆区。装置生产出现不正常情况，如误操作、设备故障、仪表失灵、公用系统故障等，都会造成装置处于危险状态。因此，整个生产过程应采用集中控制系统（DCS）对反应系统及关键设备的操作温度、操作压力、液位高低均能自动控制及安全报警，在紧急情况下可自动停车；设置气相氧含量监控联锁系统；紧急送入惰性气体的系统；安全泄放系统；可燃和有毒气体检测报警装置等。</w:t>
      </w:r>
    </w:p>
    <w:p w14:paraId="536E4172">
      <w:pPr>
        <w:ind w:firstLine="480"/>
        <w:rPr>
          <w:color w:val="auto"/>
        </w:rPr>
      </w:pPr>
      <w:r>
        <w:rPr>
          <w:color w:val="auto"/>
        </w:rPr>
        <w:t>（2）</w:t>
      </w:r>
      <w:r>
        <w:rPr>
          <w:rFonts w:hint="eastAsia"/>
          <w:color w:val="auto"/>
        </w:rPr>
        <w:t>液氨储存区设置可燃和有毒气体检测仪进行检测，并引入操作室，设现场声光报警和操作室声光报警。</w:t>
      </w:r>
    </w:p>
    <w:p w14:paraId="47D18390">
      <w:pPr>
        <w:ind w:firstLine="480"/>
        <w:rPr>
          <w:color w:val="auto"/>
        </w:rPr>
      </w:pPr>
      <w:r>
        <w:rPr>
          <w:color w:val="auto"/>
        </w:rPr>
        <w:t>（3）全厂应配备视频监控等。</w:t>
      </w:r>
    </w:p>
    <w:p w14:paraId="4BB0FA49">
      <w:pPr>
        <w:ind w:firstLine="482"/>
        <w:rPr>
          <w:b/>
          <w:bCs/>
          <w:color w:val="auto"/>
        </w:rPr>
      </w:pPr>
      <w:r>
        <w:rPr>
          <w:rFonts w:hint="eastAsia"/>
          <w:b/>
          <w:bCs/>
          <w:color w:val="auto"/>
        </w:rPr>
        <w:t>2、</w:t>
      </w:r>
      <w:r>
        <w:rPr>
          <w:b/>
          <w:bCs/>
          <w:color w:val="auto"/>
        </w:rPr>
        <w:t>应急监测系统</w:t>
      </w:r>
    </w:p>
    <w:p w14:paraId="5F7EAD97">
      <w:pPr>
        <w:ind w:firstLine="480"/>
        <w:rPr>
          <w:color w:val="auto"/>
        </w:rPr>
      </w:pPr>
      <w:r>
        <w:rPr>
          <w:color w:val="auto"/>
        </w:rPr>
        <w:t>配备COD测定仪、pH计、可燃气体检测仪等应急监测仪器，其他监测均委托专业监测机构，当监测能力均无法满足监测需求时应当及时向专业监测机构寻求帮助，做到对污染物的快速应急监测、跟踪。</w:t>
      </w:r>
    </w:p>
    <w:p w14:paraId="19D6695A">
      <w:pPr>
        <w:ind w:firstLine="480"/>
        <w:rPr>
          <w:color w:val="auto"/>
        </w:rPr>
      </w:pPr>
      <w:r>
        <w:rPr>
          <w:color w:val="auto"/>
        </w:rPr>
        <w:t>应急监测人员做好安全防护措施，应该配备必要的防护器材，如防毒面具、空气呼吸器、阻燃防护服、气密型化学防护服、安全帽、耐酸碱鞋靴、防护手套、防腐蚀液护目镜以及应急灯等。</w:t>
      </w:r>
    </w:p>
    <w:p w14:paraId="51945FF6">
      <w:pPr>
        <w:ind w:firstLine="482"/>
        <w:rPr>
          <w:b/>
          <w:bCs/>
          <w:color w:val="auto"/>
        </w:rPr>
      </w:pPr>
      <w:r>
        <w:rPr>
          <w:rFonts w:hint="eastAsia"/>
          <w:b/>
          <w:bCs/>
          <w:color w:val="auto"/>
        </w:rPr>
        <w:t>3、</w:t>
      </w:r>
      <w:r>
        <w:rPr>
          <w:b/>
          <w:bCs/>
          <w:color w:val="auto"/>
        </w:rPr>
        <w:t>应急物资和人员要求</w:t>
      </w:r>
    </w:p>
    <w:p w14:paraId="44323809">
      <w:pPr>
        <w:ind w:firstLine="480"/>
        <w:rPr>
          <w:color w:val="auto"/>
        </w:rPr>
      </w:pPr>
      <w:r>
        <w:rPr>
          <w:color w:val="auto"/>
        </w:rPr>
        <w:t>根据事故应急抢险救援需要，配备消防、堵漏、</w:t>
      </w:r>
      <w:r>
        <w:rPr>
          <w:rFonts w:hint="eastAsia"/>
          <w:color w:val="auto"/>
          <w:lang w:eastAsia="zh-CN"/>
        </w:rPr>
        <w:t>通信、交通</w:t>
      </w:r>
      <w:r>
        <w:rPr>
          <w:color w:val="auto"/>
        </w:rPr>
        <w:t>、工具、应急照明、防护、急救等各类所需应急抢险装备器材。建立厂区环境污染事故应急物资装备的储存、调拨和紧急配送系统，确保应急物资、设备性能完好，随时备用。应急结束后，加强对应急物资、设备的维护、保养以及补充。加强对储备物资的管理，防止储备物资被盗用、挪用、流散和失效。</w:t>
      </w:r>
    </w:p>
    <w:p w14:paraId="559C78AD">
      <w:pPr>
        <w:ind w:firstLine="480"/>
        <w:rPr>
          <w:color w:val="auto"/>
        </w:rPr>
      </w:pPr>
      <w:r>
        <w:rPr>
          <w:color w:val="auto"/>
        </w:rPr>
        <w:t>应配备完善的厂区应急队伍，做好人员分工和应急救援知识的培训，演练。与周边企业建立了良好的应急互助关系，在较大事故发生后，相互支援。厂区需要外部援助时可第一时间向园区环保局、园区安监局等部门求助，还可以联系</w:t>
      </w:r>
      <w:r>
        <w:rPr>
          <w:rFonts w:hint="eastAsia"/>
          <w:color w:val="auto"/>
        </w:rPr>
        <w:t>连云港经济技术开发区</w:t>
      </w:r>
      <w:r>
        <w:rPr>
          <w:color w:val="auto"/>
        </w:rPr>
        <w:t>环保、消防、医院、公安、交通、安监局以及各相关职能部门，请求救援力量、设备的支持。</w:t>
      </w:r>
    </w:p>
    <w:p w14:paraId="6ECE62A8">
      <w:pPr>
        <w:ind w:firstLine="482"/>
        <w:rPr>
          <w:b/>
          <w:bCs/>
          <w:color w:val="auto"/>
        </w:rPr>
      </w:pPr>
      <w:r>
        <w:rPr>
          <w:rFonts w:hint="eastAsia"/>
          <w:b/>
          <w:bCs/>
          <w:color w:val="auto"/>
        </w:rPr>
        <w:t>五、</w:t>
      </w:r>
      <w:r>
        <w:rPr>
          <w:b/>
          <w:bCs/>
          <w:color w:val="auto"/>
        </w:rPr>
        <w:t>危险化学品运输、储存、使用等环境风险防范措施</w:t>
      </w:r>
    </w:p>
    <w:p w14:paraId="7EABB0C0">
      <w:pPr>
        <w:ind w:firstLine="480"/>
        <w:rPr>
          <w:color w:val="auto"/>
        </w:rPr>
      </w:pPr>
      <w:r>
        <w:rPr>
          <w:color w:val="auto"/>
        </w:rPr>
        <w:t>针对建设项目使用的各类危险化学品，应采取以下对策措施：</w:t>
      </w:r>
    </w:p>
    <w:p w14:paraId="1BA8C158">
      <w:pPr>
        <w:ind w:firstLine="480"/>
        <w:rPr>
          <w:color w:val="auto"/>
        </w:rPr>
      </w:pPr>
      <w:r>
        <w:rPr>
          <w:color w:val="auto"/>
        </w:rPr>
        <w:t>（1）根据《危险化学品安全管理条例》（中华人民共和国国务院令第591号）规定：危险化学品安全管理，应当坚持安全</w:t>
      </w:r>
      <w:r>
        <w:rPr>
          <w:rFonts w:hint="eastAsia"/>
          <w:color w:val="auto"/>
        </w:rPr>
        <w:t>第一，</w:t>
      </w:r>
      <w:r>
        <w:rPr>
          <w:color w:val="auto"/>
        </w:rPr>
        <w:t>预防为主、综合治理的方针，强化和落实企业的主体责任。在使用、贮存安全、运输等过程所采取的措施如下：</w:t>
      </w:r>
    </w:p>
    <w:p w14:paraId="340E0FBB">
      <w:pPr>
        <w:ind w:firstLine="480"/>
        <w:rPr>
          <w:color w:val="auto"/>
        </w:rPr>
      </w:pPr>
      <w:r>
        <w:rPr>
          <w:color w:val="auto"/>
        </w:rPr>
        <w:t>①化学危险品的申购严格按照化学危险品的申购程序，填写化工产品申请表。</w:t>
      </w:r>
    </w:p>
    <w:p w14:paraId="1A7E4CB5">
      <w:pPr>
        <w:ind w:firstLine="480"/>
        <w:rPr>
          <w:color w:val="auto"/>
        </w:rPr>
      </w:pPr>
      <w:r>
        <w:rPr>
          <w:color w:val="auto"/>
        </w:rPr>
        <w:t>②按照《危险化学品安全管理条例》（中华人民共和国国务院令第591号）的要求，加强对危险化学品的管理，并制定企业内部危险化学品操作使用规程。</w:t>
      </w:r>
    </w:p>
    <w:p w14:paraId="7A517213">
      <w:pPr>
        <w:ind w:firstLine="480"/>
        <w:rPr>
          <w:color w:val="auto"/>
        </w:rPr>
      </w:pPr>
      <w:r>
        <w:rPr>
          <w:color w:val="auto"/>
        </w:rPr>
        <w:t>（2）运输、生产等操作人员必须经过专门培训，严格遵守操作规程，熟练掌握操作技能，具备应急处置知识。</w:t>
      </w:r>
    </w:p>
    <w:p w14:paraId="21923731">
      <w:pPr>
        <w:ind w:firstLine="480"/>
        <w:rPr>
          <w:color w:val="auto"/>
        </w:rPr>
      </w:pPr>
      <w:r>
        <w:rPr>
          <w:color w:val="auto"/>
        </w:rPr>
        <w:t>（3）运输车辆应有危险货物运输标志、安装具有行驶记录功能的卫星定位装置。未经公安机关批准，运输车辆不得进入危险化学品运输车辆限制通行的区域。</w:t>
      </w:r>
    </w:p>
    <w:p w14:paraId="015C290C">
      <w:pPr>
        <w:ind w:firstLine="480"/>
        <w:rPr>
          <w:color w:val="auto"/>
        </w:rPr>
      </w:pPr>
      <w:r>
        <w:rPr>
          <w:color w:val="auto"/>
        </w:rPr>
        <w:t>（4）危险化学品装卸人员必须注意防护，按规定穿戴必要的防护用品；搬运时，管理人员必须到现场监卸监装；夜晚或光线不足时、雨天不宜装卸或搬运。若遇特殊情况必须搬运时，必须得到部门负责人的同意，还应有遮雨等相关措施；严禁在搬运时吸烟。禁止在居民区和人口稠密区停留。</w:t>
      </w:r>
    </w:p>
    <w:p w14:paraId="479F6775">
      <w:pPr>
        <w:ind w:firstLine="480"/>
        <w:rPr>
          <w:color w:val="auto"/>
        </w:rPr>
      </w:pPr>
      <w:r>
        <w:rPr>
          <w:color w:val="auto"/>
        </w:rPr>
        <w:t>（5）项目化学品按照分类储存的方式，采用金属托盘等方式，确保在物料洒落后可及时收集；项目发生事故时，消防水可通过车间外侧雨水收集管网收集后汇入应急事故池；本项目发生事故后，废水可第一时间通过车间水管导入事故池进行处理。</w:t>
      </w:r>
    </w:p>
    <w:p w14:paraId="4950D2E3">
      <w:pPr>
        <w:ind w:firstLine="480"/>
        <w:rPr>
          <w:color w:val="auto"/>
        </w:rPr>
      </w:pPr>
      <w:r>
        <w:rPr>
          <w:color w:val="auto"/>
        </w:rPr>
        <w:t>由于本项目布置较单一，项目事故收集管网主要依托车间外污水管网，事故应急池设置于污水处理站处，项目设置的事故应急等设施可满足事故状态下各物质的收集控制要求。</w:t>
      </w:r>
    </w:p>
    <w:p w14:paraId="3CB73C89">
      <w:pPr>
        <w:ind w:firstLine="482"/>
        <w:rPr>
          <w:b/>
          <w:bCs/>
          <w:color w:val="auto"/>
        </w:rPr>
      </w:pPr>
      <w:r>
        <w:rPr>
          <w:rFonts w:hint="eastAsia"/>
          <w:b/>
          <w:bCs/>
          <w:color w:val="auto"/>
        </w:rPr>
        <w:t>六、液氨储存风险防范及风险处置措施</w:t>
      </w:r>
    </w:p>
    <w:p w14:paraId="5C9A2717">
      <w:pPr>
        <w:ind w:firstLine="482"/>
        <w:rPr>
          <w:b/>
          <w:bCs/>
          <w:color w:val="auto"/>
        </w:rPr>
      </w:pPr>
      <w:r>
        <w:rPr>
          <w:rFonts w:hint="eastAsia"/>
          <w:b/>
          <w:bCs/>
          <w:color w:val="auto"/>
        </w:rPr>
        <w:t>（1）液氨储存区的设置</w:t>
      </w:r>
    </w:p>
    <w:p w14:paraId="20DA7699">
      <w:pPr>
        <w:ind w:firstLine="480"/>
        <w:rPr>
          <w:color w:val="auto"/>
        </w:rPr>
      </w:pPr>
      <w:r>
        <w:rPr>
          <w:rFonts w:hint="eastAsia"/>
          <w:color w:val="auto"/>
        </w:rPr>
        <w:t>①液氨储存区的基础、防火堤及有关的码头、管架、管墩等，均采用非燃烧材料，其耐火极限不低于3h。</w:t>
      </w:r>
    </w:p>
    <w:p w14:paraId="78048BDE">
      <w:pPr>
        <w:ind w:firstLine="480"/>
        <w:rPr>
          <w:color w:val="auto"/>
        </w:rPr>
      </w:pPr>
      <w:r>
        <w:rPr>
          <w:rFonts w:hint="eastAsia"/>
          <w:color w:val="auto"/>
        </w:rPr>
        <w:t>②液氨储存场所设置有氨气体检测报警仪。液氨储存场所设置相应的安全标志。</w:t>
      </w:r>
    </w:p>
    <w:p w14:paraId="6176BE01">
      <w:pPr>
        <w:ind w:firstLine="480"/>
        <w:rPr>
          <w:color w:val="auto"/>
        </w:rPr>
      </w:pPr>
      <w:r>
        <w:rPr>
          <w:rFonts w:hint="eastAsia"/>
          <w:color w:val="auto"/>
        </w:rPr>
        <w:t>③液氨储存钢瓶常温储存采用卧罐，液氨储存钢瓶内不布置无关管道。</w:t>
      </w:r>
    </w:p>
    <w:p w14:paraId="23641E08">
      <w:pPr>
        <w:ind w:firstLine="480"/>
        <w:rPr>
          <w:color w:val="auto"/>
        </w:rPr>
      </w:pPr>
      <w:r>
        <w:rPr>
          <w:rFonts w:hint="eastAsia"/>
          <w:color w:val="auto"/>
        </w:rPr>
        <w:t>④液氨储存钢瓶设置防晒、冷却水喷淋降温设施。</w:t>
      </w:r>
    </w:p>
    <w:p w14:paraId="52E0E170">
      <w:pPr>
        <w:ind w:firstLine="480"/>
        <w:rPr>
          <w:color w:val="auto"/>
        </w:rPr>
      </w:pPr>
      <w:r>
        <w:rPr>
          <w:rFonts w:hint="eastAsia"/>
          <w:color w:val="auto"/>
        </w:rPr>
        <w:t>⑤在储存钢瓶区20m以内，严禁堆放易燃、可燃物品。</w:t>
      </w:r>
    </w:p>
    <w:p w14:paraId="183558F0">
      <w:pPr>
        <w:ind w:firstLine="482"/>
        <w:rPr>
          <w:b/>
          <w:bCs/>
          <w:color w:val="auto"/>
        </w:rPr>
      </w:pPr>
      <w:r>
        <w:rPr>
          <w:rFonts w:hint="eastAsia"/>
          <w:b/>
          <w:bCs/>
          <w:color w:val="auto"/>
        </w:rPr>
        <w:t>（2）管理措施</w:t>
      </w:r>
    </w:p>
    <w:p w14:paraId="51A19B18">
      <w:pPr>
        <w:ind w:firstLine="480"/>
        <w:rPr>
          <w:color w:val="auto"/>
        </w:rPr>
      </w:pPr>
      <w:r>
        <w:rPr>
          <w:rFonts w:hint="eastAsia"/>
          <w:color w:val="auto"/>
        </w:rPr>
        <w:t>①液氨存储、装卸单位均建立健全本单位的安全生产责任制、安全生产规章制度和操作规程，明确各岗位人员的职责。确保企业安全生产主体责任的落实。</w:t>
      </w:r>
    </w:p>
    <w:p w14:paraId="3FC7D27E">
      <w:pPr>
        <w:ind w:firstLine="480"/>
        <w:rPr>
          <w:color w:val="auto"/>
        </w:rPr>
      </w:pPr>
      <w:r>
        <w:rPr>
          <w:rFonts w:hint="eastAsia"/>
          <w:color w:val="auto"/>
        </w:rPr>
        <w:t>②液氨储存和装卸场所的储罐、压力管道、电气设施和防雷、防静电装置符合国家标准、规范的要求，并定期检查及监测。</w:t>
      </w:r>
    </w:p>
    <w:p w14:paraId="6FE2FF64">
      <w:pPr>
        <w:ind w:firstLine="480"/>
        <w:rPr>
          <w:color w:val="auto"/>
        </w:rPr>
      </w:pPr>
      <w:r>
        <w:rPr>
          <w:rFonts w:hint="eastAsia"/>
          <w:color w:val="auto"/>
        </w:rPr>
        <w:t>③在液氨存储和装卸场所设置明显警示标志，注明危险化学品主要品种的特性、危害防治、处置措施、报警电话等。</w:t>
      </w:r>
    </w:p>
    <w:p w14:paraId="726C9470">
      <w:pPr>
        <w:ind w:firstLine="480"/>
        <w:rPr>
          <w:color w:val="auto"/>
        </w:rPr>
      </w:pPr>
      <w:r>
        <w:rPr>
          <w:rFonts w:hint="eastAsia"/>
          <w:color w:val="auto"/>
        </w:rPr>
        <w:t>④液氨储存、装卸单位的从业人员培训考试合格，持证上岗，并加强日常安全教育。</w:t>
      </w:r>
    </w:p>
    <w:p w14:paraId="4A87894B">
      <w:pPr>
        <w:ind w:firstLine="480"/>
        <w:rPr>
          <w:color w:val="auto"/>
        </w:rPr>
      </w:pPr>
      <w:r>
        <w:rPr>
          <w:rFonts w:hint="eastAsia"/>
          <w:color w:val="auto"/>
        </w:rPr>
        <w:t>⑤为防止液氨在储存、使用过程中发生泄漏，造成污染事故，液氨储存区处地面全部进行防渗、防漏、防腐处理，并建有小型围堰、液氨应急池，保证事故发生后，能有效将事故泄漏液收集至液氨应急池中。</w:t>
      </w:r>
    </w:p>
    <w:p w14:paraId="4CAADEC8">
      <w:pPr>
        <w:ind w:firstLine="482"/>
        <w:rPr>
          <w:b/>
          <w:bCs/>
          <w:color w:val="auto"/>
        </w:rPr>
      </w:pPr>
      <w:r>
        <w:rPr>
          <w:rFonts w:hint="eastAsia"/>
          <w:b/>
          <w:bCs/>
          <w:color w:val="auto"/>
        </w:rPr>
        <w:t>七、</w:t>
      </w:r>
      <w:r>
        <w:rPr>
          <w:b/>
          <w:bCs/>
          <w:color w:val="auto"/>
        </w:rPr>
        <w:t>危废贮存、运输过程风险防范措施</w:t>
      </w:r>
    </w:p>
    <w:p w14:paraId="52318502">
      <w:pPr>
        <w:ind w:firstLine="480"/>
        <w:rPr>
          <w:color w:val="auto"/>
        </w:rPr>
      </w:pPr>
      <w:r>
        <w:rPr>
          <w:color w:val="auto"/>
        </w:rPr>
        <w:t>（1）厂区内危险废物暂存场地必须严格按照《危险废物贮存污染控制标准》（GB18597-2023）的要求设置和管理；</w:t>
      </w:r>
    </w:p>
    <w:p w14:paraId="50C87C36">
      <w:pPr>
        <w:ind w:firstLine="480"/>
        <w:rPr>
          <w:color w:val="auto"/>
        </w:rPr>
      </w:pPr>
      <w:r>
        <w:rPr>
          <w:color w:val="auto"/>
        </w:rPr>
        <w:t>（2）建立危险废物台账管理制度，跟踪记录危险废物在公司内部运转的整个流程，与生产记录相结合，建立危险废物台账；</w:t>
      </w:r>
    </w:p>
    <w:p w14:paraId="3651FF55">
      <w:pPr>
        <w:ind w:firstLine="480"/>
        <w:rPr>
          <w:color w:val="auto"/>
        </w:rPr>
      </w:pPr>
      <w:r>
        <w:rPr>
          <w:color w:val="auto"/>
        </w:rPr>
        <w:t>（3）对危险废物的容器和包装物以及收集、贮存、运输、处置危险废物的设施、场所，必须设置危险废物识别标志；</w:t>
      </w:r>
    </w:p>
    <w:p w14:paraId="02BD1FF2">
      <w:pPr>
        <w:ind w:firstLine="480"/>
        <w:rPr>
          <w:color w:val="auto"/>
        </w:rPr>
      </w:pPr>
      <w:r>
        <w:rPr>
          <w:color w:val="auto"/>
        </w:rPr>
        <w:t>（4）禁止将性质不相容而未经安全性处置的危险废物混合收集、贮存、运输、处置，禁止将危险废物混入非危险废物中贮存、处置；</w:t>
      </w:r>
    </w:p>
    <w:p w14:paraId="2C7F4601">
      <w:pPr>
        <w:ind w:firstLine="480"/>
        <w:rPr>
          <w:color w:val="auto"/>
        </w:rPr>
      </w:pPr>
      <w:r>
        <w:rPr>
          <w:color w:val="auto"/>
        </w:rPr>
        <w:t>（5）必须定期对所贮存的危险废物包装容器及贮存设施进行检查，发现破损，应及时采取措施清理更换；</w:t>
      </w:r>
    </w:p>
    <w:p w14:paraId="29AD6BF5">
      <w:pPr>
        <w:ind w:firstLine="480"/>
        <w:rPr>
          <w:color w:val="auto"/>
        </w:rPr>
      </w:pPr>
      <w:r>
        <w:rPr>
          <w:color w:val="auto"/>
        </w:rPr>
        <w:t>（6）运输危险废物必须根据废物特性，采用符合相应标准的包装物、容器和运输工具；</w:t>
      </w:r>
    </w:p>
    <w:p w14:paraId="7D136D71">
      <w:pPr>
        <w:ind w:firstLine="480"/>
        <w:rPr>
          <w:color w:val="auto"/>
        </w:rPr>
      </w:pPr>
      <w:r>
        <w:rPr>
          <w:color w:val="auto"/>
        </w:rPr>
        <w:t>（7）尽可能减少各类危险废物在厂内的贮存周期和贮存量，降低环境风险；</w:t>
      </w:r>
    </w:p>
    <w:p w14:paraId="6D5A8747">
      <w:pPr>
        <w:ind w:firstLine="480"/>
        <w:rPr>
          <w:color w:val="auto"/>
        </w:rPr>
      </w:pPr>
      <w:r>
        <w:rPr>
          <w:color w:val="auto"/>
        </w:rPr>
        <w:t>（8）同时在环境管理中注意以下内容：建设单位应通过“江苏省危险废物动态管理信息系统”进行危险废物申报登记，将危险废物的实际产生、贮存、利用、处置等情况纳入生产记录，建立危险废物管理台账和企业内部产生和收集、贮存、转移等部门危险废物交接制度；必须明确企</w:t>
      </w:r>
      <w:r>
        <w:rPr>
          <w:rFonts w:hint="eastAsia"/>
          <w:color w:val="auto"/>
          <w:lang w:eastAsia="zh-CN"/>
        </w:rPr>
        <w:t>业作</w:t>
      </w:r>
      <w:r>
        <w:rPr>
          <w:color w:val="auto"/>
        </w:rPr>
        <w:t>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4504991E">
      <w:pPr>
        <w:ind w:firstLine="480"/>
        <w:rPr>
          <w:color w:val="auto"/>
        </w:rPr>
      </w:pPr>
      <w:r>
        <w:rPr>
          <w:color w:val="auto"/>
        </w:rPr>
        <w:t>（9）按《省生态环境厅关于做好江苏省危险废物全生命周期监控系统上线运行工作的通知》的要求登录系统，补充完善产生源、贮存设施、自建利用处置设施等基础信息，系统自动生成含二维码的各类标识，企业可将标识固定于对应设施显著位置（标识大小、材质、固定方式等不限）。</w:t>
      </w:r>
    </w:p>
    <w:p w14:paraId="5C72E425">
      <w:pPr>
        <w:ind w:firstLine="482"/>
        <w:rPr>
          <w:b/>
          <w:bCs/>
          <w:color w:val="auto"/>
        </w:rPr>
      </w:pPr>
      <w:r>
        <w:rPr>
          <w:rFonts w:hint="eastAsia"/>
          <w:b/>
          <w:bCs/>
          <w:color w:val="auto"/>
        </w:rPr>
        <w:t>八、</w:t>
      </w:r>
      <w:r>
        <w:rPr>
          <w:b/>
          <w:bCs/>
          <w:color w:val="auto"/>
        </w:rPr>
        <w:t>次/伴生污染防治措施</w:t>
      </w:r>
    </w:p>
    <w:p w14:paraId="3EA74DE3">
      <w:pPr>
        <w:ind w:firstLine="480"/>
        <w:rPr>
          <w:color w:val="auto"/>
        </w:rPr>
      </w:pPr>
      <w:r>
        <w:rPr>
          <w:rFonts w:hint="eastAsia"/>
          <w:color w:val="auto"/>
        </w:rPr>
        <w:t>针对厂区可能发生火灾的天然气管线，建议企业采取隔热、绝热措施，并与可燃材料保持规定距离，以防止因高温引发的泄漏；瓶装天然气储存主要装置为储气罐，需要保证其安全，应定期检查瓶体破裂、阀门漏气等故障。同时，在防爆区设置储运场所，以免气体与火源接触等。建议企业安排专人经常检查管道是否漏气，发现有漏气、龟裂或老化等现象要及时更换。常用检漏方法是在管件上涂肥皂液看是否有气泡。</w:t>
      </w:r>
    </w:p>
    <w:p w14:paraId="3363CD44">
      <w:pPr>
        <w:ind w:firstLine="480"/>
        <w:rPr>
          <w:color w:val="auto"/>
        </w:rPr>
      </w:pPr>
      <w:r>
        <w:rPr>
          <w:rFonts w:hint="eastAsia"/>
          <w:color w:val="auto"/>
        </w:rPr>
        <w:t>在</w:t>
      </w:r>
      <w:r>
        <w:rPr>
          <w:color w:val="auto"/>
        </w:rPr>
        <w:t>发生火灾后，首先要进行灭火，降低着火时间，减少燃烧产物对环境空气造成的影响；事故救援过程中产生的喷淋废水和消防废水应引入厂内事故池暂时收集，然后分批进入污水收集池达到接管标准后出厂；</w:t>
      </w:r>
      <w:r>
        <w:rPr>
          <w:rFonts w:hint="eastAsia"/>
          <w:color w:val="auto"/>
        </w:rPr>
        <w:t>其他</w:t>
      </w:r>
      <w:r>
        <w:rPr>
          <w:color w:val="auto"/>
        </w:rPr>
        <w:t>废灭火剂、拦截、堵漏材料等在事故排放后统一收集送有资质单位进行处理。</w:t>
      </w:r>
    </w:p>
    <w:p w14:paraId="16C66E57">
      <w:pPr>
        <w:ind w:firstLine="480"/>
        <w:rPr>
          <w:color w:val="auto"/>
        </w:rPr>
      </w:pPr>
      <w:r>
        <w:rPr>
          <w:color w:val="auto"/>
        </w:rPr>
        <w:t>由上述分析可知，事故发生时，可能会产生伴生、次生污染物颗粒物、CO等，会对周边大气环境造成一定的影响。企业应针对各种可能存在的次生污染物制定针对性的应急预案，一旦发生该类事故，立即组织力量进行救援、现场消洗。</w:t>
      </w:r>
    </w:p>
    <w:p w14:paraId="5583C1C4">
      <w:pPr>
        <w:ind w:firstLine="482"/>
        <w:rPr>
          <w:b/>
          <w:bCs/>
          <w:color w:val="auto"/>
        </w:rPr>
      </w:pPr>
      <w:r>
        <w:rPr>
          <w:rFonts w:hint="eastAsia"/>
          <w:b/>
          <w:bCs/>
          <w:color w:val="auto"/>
        </w:rPr>
        <w:t>九、</w:t>
      </w:r>
      <w:r>
        <w:rPr>
          <w:b/>
          <w:bCs/>
          <w:color w:val="auto"/>
        </w:rPr>
        <w:t>建立与园区对接、联动的风险防范体系</w:t>
      </w:r>
    </w:p>
    <w:p w14:paraId="3AAD64F4">
      <w:pPr>
        <w:ind w:firstLine="482"/>
        <w:rPr>
          <w:b/>
          <w:bCs/>
          <w:color w:val="auto"/>
        </w:rPr>
      </w:pPr>
      <w:r>
        <w:rPr>
          <w:rFonts w:hint="eastAsia"/>
          <w:b/>
          <w:bCs/>
          <w:color w:val="auto"/>
        </w:rPr>
        <w:t>1、</w:t>
      </w:r>
      <w:r>
        <w:rPr>
          <w:b/>
          <w:bCs/>
          <w:color w:val="auto"/>
        </w:rPr>
        <w:t>风险防范措施的衔接</w:t>
      </w:r>
    </w:p>
    <w:p w14:paraId="2906BBEF">
      <w:pPr>
        <w:ind w:firstLine="480"/>
        <w:rPr>
          <w:color w:val="auto"/>
        </w:rPr>
      </w:pPr>
      <w:r>
        <w:rPr>
          <w:color w:val="auto"/>
        </w:rPr>
        <w:t>（1）风险报警系统的衔接</w:t>
      </w:r>
    </w:p>
    <w:p w14:paraId="02648AC2">
      <w:pPr>
        <w:ind w:firstLine="480"/>
        <w:rPr>
          <w:color w:val="auto"/>
        </w:rPr>
      </w:pPr>
      <w:r>
        <w:rPr>
          <w:color w:val="auto"/>
        </w:rPr>
        <w:t>①企业应与</w:t>
      </w:r>
      <w:r>
        <w:rPr>
          <w:rFonts w:hint="eastAsia"/>
          <w:color w:val="auto"/>
        </w:rPr>
        <w:t>连云港经济技术开发区</w:t>
      </w:r>
      <w:r>
        <w:rPr>
          <w:color w:val="auto"/>
        </w:rPr>
        <w:t>主管单位建立报警联络通道；厂内采用电话报警，火灾报警信号报送至厂内值班室，上报至连云港经济技术开发区主管单位。</w:t>
      </w:r>
    </w:p>
    <w:p w14:paraId="662BDA2A">
      <w:pPr>
        <w:ind w:firstLine="480"/>
        <w:rPr>
          <w:color w:val="auto"/>
        </w:rPr>
      </w:pPr>
      <w:r>
        <w:rPr>
          <w:color w:val="auto"/>
        </w:rPr>
        <w:t>②应将本项目可能发生的事故类型及对应的救援方案纳入园区风险管理体系。园区救援中心应建立入区企业事故类型、应急物资数据库，一旦区内某一家企业发生风险事故，可立即调配其余企业的同类型救援物资进行救援，构筑“一家有难，集体联动”的防范体系。</w:t>
      </w:r>
    </w:p>
    <w:p w14:paraId="3B5D651D">
      <w:pPr>
        <w:ind w:firstLine="480"/>
        <w:rPr>
          <w:color w:val="auto"/>
        </w:rPr>
      </w:pPr>
      <w:r>
        <w:rPr>
          <w:color w:val="auto"/>
        </w:rPr>
        <w:t>（2）应急防范设施的衔接</w:t>
      </w:r>
    </w:p>
    <w:p w14:paraId="08FCCA94">
      <w:pPr>
        <w:ind w:firstLine="480"/>
        <w:rPr>
          <w:color w:val="auto"/>
        </w:rPr>
      </w:pPr>
      <w:r>
        <w:rPr>
          <w:color w:val="auto"/>
        </w:rPr>
        <w:t>当风险事故废水超过企业能够处理范围后，应及时向连云港经济技术开发区</w:t>
      </w:r>
      <w:r>
        <w:rPr>
          <w:rFonts w:hint="eastAsia"/>
          <w:color w:val="auto"/>
        </w:rPr>
        <w:t>及其</w:t>
      </w:r>
      <w:r>
        <w:rPr>
          <w:color w:val="auto"/>
        </w:rPr>
        <w:t>相关单位请求援助，收集事故废水，以免风险事故进一步扩大。</w:t>
      </w:r>
    </w:p>
    <w:p w14:paraId="64F4365A">
      <w:pPr>
        <w:ind w:firstLine="480"/>
        <w:rPr>
          <w:color w:val="auto"/>
        </w:rPr>
      </w:pPr>
      <w:r>
        <w:rPr>
          <w:color w:val="auto"/>
        </w:rPr>
        <w:t>（3）应急救援物资的衔接</w:t>
      </w:r>
    </w:p>
    <w:p w14:paraId="07D60971">
      <w:pPr>
        <w:ind w:firstLine="480"/>
        <w:rPr>
          <w:color w:val="auto"/>
        </w:rPr>
      </w:pPr>
      <w:r>
        <w:rPr>
          <w:color w:val="auto"/>
        </w:rPr>
        <w:t>当企业应急救援物资不能满足事故现场需求时，可在园区应急指挥中心协调下向邻近企业请求援助，以免风险事故的扩大，同时应服从连云港经济技术开发区</w:t>
      </w:r>
      <w:r>
        <w:rPr>
          <w:rFonts w:hint="eastAsia"/>
          <w:color w:val="auto"/>
        </w:rPr>
        <w:t>及其</w:t>
      </w:r>
      <w:r>
        <w:rPr>
          <w:color w:val="auto"/>
        </w:rPr>
        <w:t>相关单位调度，请求其他单位援助帮助。</w:t>
      </w:r>
    </w:p>
    <w:p w14:paraId="3934F95C">
      <w:pPr>
        <w:ind w:firstLine="482"/>
        <w:rPr>
          <w:b/>
          <w:bCs/>
          <w:color w:val="auto"/>
        </w:rPr>
      </w:pPr>
      <w:r>
        <w:rPr>
          <w:rFonts w:hint="eastAsia"/>
          <w:b/>
          <w:bCs/>
          <w:color w:val="auto"/>
        </w:rPr>
        <w:t>2、</w:t>
      </w:r>
      <w:r>
        <w:rPr>
          <w:b/>
          <w:bCs/>
          <w:color w:val="auto"/>
        </w:rPr>
        <w:t>风险应急预案的衔接</w:t>
      </w:r>
    </w:p>
    <w:p w14:paraId="404F18F0">
      <w:pPr>
        <w:ind w:firstLine="480"/>
        <w:rPr>
          <w:color w:val="auto"/>
        </w:rPr>
      </w:pPr>
      <w:r>
        <w:rPr>
          <w:color w:val="auto"/>
        </w:rPr>
        <w:t>（1）应急组织机构、人员的衔接</w:t>
      </w:r>
    </w:p>
    <w:p w14:paraId="357C72D9">
      <w:pPr>
        <w:ind w:firstLine="480"/>
        <w:rPr>
          <w:color w:val="auto"/>
        </w:rPr>
      </w:pPr>
      <w:r>
        <w:rPr>
          <w:color w:val="auto"/>
        </w:rPr>
        <w:t>当发生风险事故时，企业应及时与当地区域或各职能管理部门的应急指挥机构联系，及时将事故发生情况及最新进展向有关部门汇报，并将上级指挥机构的命令及时向项目应急指挥小组汇报。</w:t>
      </w:r>
    </w:p>
    <w:p w14:paraId="024EC980">
      <w:pPr>
        <w:ind w:firstLine="480"/>
        <w:rPr>
          <w:color w:val="auto"/>
        </w:rPr>
      </w:pPr>
      <w:r>
        <w:rPr>
          <w:color w:val="auto"/>
        </w:rPr>
        <w:t>（2）预案分级响应的衔接</w:t>
      </w:r>
    </w:p>
    <w:p w14:paraId="2394DEBC">
      <w:pPr>
        <w:ind w:firstLine="480"/>
        <w:rPr>
          <w:color w:val="auto"/>
        </w:rPr>
      </w:pPr>
      <w:r>
        <w:rPr>
          <w:color w:val="auto"/>
        </w:rPr>
        <w:t>①一般污染事故：在污染事故现场处置妥当后，经应急指挥小组研究确定后，向当地环保部门和连云港经济技术开发区事故应急指挥中心报告处理结果。</w:t>
      </w:r>
    </w:p>
    <w:p w14:paraId="2131A4B9">
      <w:pPr>
        <w:ind w:firstLine="480"/>
        <w:rPr>
          <w:color w:val="auto"/>
        </w:rPr>
      </w:pPr>
      <w:r>
        <w:rPr>
          <w:color w:val="auto"/>
        </w:rPr>
        <w:t>②较大或重大污染事故：应急指挥小组在接到事故报警后，及时向连云港经济技术开发区事故应急指挥部、</w:t>
      </w:r>
      <w:r>
        <w:rPr>
          <w:rFonts w:hint="eastAsia"/>
          <w:color w:val="auto"/>
        </w:rPr>
        <w:t>连云港经济技术开发区</w:t>
      </w:r>
      <w:r>
        <w:rPr>
          <w:color w:val="auto"/>
        </w:rPr>
        <w:t>应急指挥中心报告，并请求支援；</w:t>
      </w:r>
      <w:r>
        <w:rPr>
          <w:rFonts w:hint="eastAsia"/>
          <w:color w:val="auto"/>
        </w:rPr>
        <w:t>有</w:t>
      </w:r>
      <w:r>
        <w:rPr>
          <w:color w:val="auto"/>
        </w:rPr>
        <w:t>关连云港经济技术开发区应急指挥部进行紧急动员，成立应急行动小组，厂内应急小组应服从连云港经济技术开发区</w:t>
      </w:r>
      <w:r>
        <w:rPr>
          <w:rFonts w:hint="eastAsia"/>
          <w:color w:val="auto"/>
        </w:rPr>
        <w:t>管委会</w:t>
      </w:r>
      <w:r>
        <w:rPr>
          <w:color w:val="auto"/>
        </w:rPr>
        <w:t>现场指挥部的领导。</w:t>
      </w:r>
    </w:p>
    <w:p w14:paraId="08891032">
      <w:pPr>
        <w:ind w:firstLine="480"/>
        <w:rPr>
          <w:color w:val="auto"/>
        </w:rPr>
      </w:pPr>
      <w:r>
        <w:rPr>
          <w:color w:val="auto"/>
        </w:rPr>
        <w:t>（3）应急救援保障的衔接</w:t>
      </w:r>
    </w:p>
    <w:p w14:paraId="0D3F107B">
      <w:pPr>
        <w:ind w:firstLine="480"/>
        <w:rPr>
          <w:color w:val="auto"/>
        </w:rPr>
      </w:pPr>
      <w:r>
        <w:rPr>
          <w:color w:val="auto"/>
        </w:rPr>
        <w:t>①单位互助体系：建设单位和周边企业建立良好的应急互助关系，在重大事故发生后，相互支援。</w:t>
      </w:r>
    </w:p>
    <w:p w14:paraId="4767E8A5">
      <w:pPr>
        <w:ind w:firstLine="480"/>
        <w:rPr>
          <w:color w:val="auto"/>
        </w:rPr>
      </w:pPr>
      <w:r>
        <w:rPr>
          <w:color w:val="auto"/>
        </w:rPr>
        <w:t>②公共援助力量：厂区还可以联系</w:t>
      </w:r>
      <w:r>
        <w:rPr>
          <w:rFonts w:hint="eastAsia"/>
          <w:color w:val="auto"/>
        </w:rPr>
        <w:t>连云港市</w:t>
      </w:r>
      <w:r>
        <w:rPr>
          <w:color w:val="auto"/>
        </w:rPr>
        <w:t>公共消防队、医院、公安、交通、安监局以及各相关职能部门，请求救援力量、设备的支持。</w:t>
      </w:r>
    </w:p>
    <w:p w14:paraId="7854D0FD">
      <w:pPr>
        <w:ind w:firstLine="480"/>
        <w:rPr>
          <w:color w:val="auto"/>
        </w:rPr>
      </w:pPr>
      <w:r>
        <w:rPr>
          <w:color w:val="auto"/>
        </w:rPr>
        <w:t>③专家援助：企业建立风险事故救援安全专家库，在紧急情况下，可以联系获取救援支持。</w:t>
      </w:r>
    </w:p>
    <w:p w14:paraId="68E26BF3">
      <w:pPr>
        <w:ind w:firstLine="480"/>
        <w:rPr>
          <w:color w:val="auto"/>
        </w:rPr>
      </w:pPr>
      <w:r>
        <w:rPr>
          <w:color w:val="auto"/>
        </w:rPr>
        <w:t>（4）应急培训计划的衔接</w:t>
      </w:r>
    </w:p>
    <w:p w14:paraId="515434CC">
      <w:pPr>
        <w:ind w:firstLine="480"/>
        <w:rPr>
          <w:color w:val="auto"/>
        </w:rPr>
      </w:pPr>
      <w:r>
        <w:rPr>
          <w:color w:val="auto"/>
        </w:rPr>
        <w:t>企业在开展应急培训计划的同时，还应积极配合连云港经济技术开发区</w:t>
      </w:r>
      <w:r>
        <w:rPr>
          <w:rFonts w:hint="eastAsia"/>
          <w:color w:val="auto"/>
        </w:rPr>
        <w:t>管委会</w:t>
      </w:r>
      <w:r>
        <w:rPr>
          <w:color w:val="auto"/>
        </w:rPr>
        <w:t>开展的应急培训计划，在发生风险事故时，及时与开发区应急组织取得联系。</w:t>
      </w:r>
    </w:p>
    <w:p w14:paraId="267A690D">
      <w:pPr>
        <w:ind w:firstLine="480"/>
        <w:rPr>
          <w:color w:val="auto"/>
        </w:rPr>
      </w:pPr>
      <w:r>
        <w:rPr>
          <w:color w:val="auto"/>
        </w:rPr>
        <w:t>（5）信息通报系统</w:t>
      </w:r>
    </w:p>
    <w:p w14:paraId="411CE3A0">
      <w:pPr>
        <w:ind w:firstLine="480"/>
        <w:rPr>
          <w:color w:val="auto"/>
        </w:rPr>
      </w:pPr>
      <w:r>
        <w:rPr>
          <w:color w:val="auto"/>
        </w:rPr>
        <w:t>建设畅通的信息通道，应急指挥部必须与周边企业、连云港经济技术开发区及周边村庄、村委会保持24小时的电话联系。一旦发生风险事故，可在第一时间通知相关单位组织居民疏散、撤离。</w:t>
      </w:r>
    </w:p>
    <w:p w14:paraId="0C554B0B">
      <w:pPr>
        <w:ind w:firstLine="480"/>
        <w:rPr>
          <w:color w:val="auto"/>
        </w:rPr>
      </w:pPr>
      <w:r>
        <w:rPr>
          <w:color w:val="auto"/>
        </w:rPr>
        <w:t>（6）公众教育的衔接</w:t>
      </w:r>
    </w:p>
    <w:p w14:paraId="3F2C9746">
      <w:pPr>
        <w:ind w:firstLine="480"/>
        <w:rPr>
          <w:color w:val="auto"/>
        </w:rPr>
      </w:pPr>
      <w:r>
        <w:rPr>
          <w:color w:val="auto"/>
        </w:rPr>
        <w:t>企业对厂内和附近地区公众开展教育、培训时，应加强与周边公众和</w:t>
      </w:r>
      <w:r>
        <w:rPr>
          <w:rFonts w:hint="eastAsia"/>
          <w:color w:val="auto"/>
        </w:rPr>
        <w:t>连云港经济技术开发区</w:t>
      </w:r>
      <w:r>
        <w:rPr>
          <w:color w:val="auto"/>
        </w:rPr>
        <w:t>相关单位的交流，如发生事故，可</w:t>
      </w:r>
      <w:r>
        <w:rPr>
          <w:rFonts w:hint="eastAsia"/>
          <w:color w:val="auto"/>
        </w:rPr>
        <w:t>更好地</w:t>
      </w:r>
      <w:r>
        <w:rPr>
          <w:color w:val="auto"/>
        </w:rPr>
        <w:t>疏散、防护污染。</w:t>
      </w:r>
    </w:p>
    <w:p w14:paraId="2CB42DB3">
      <w:pPr>
        <w:pStyle w:val="6"/>
        <w:spacing w:beforeLines="50" w:after="0" w:line="360" w:lineRule="auto"/>
        <w:ind w:firstLine="0" w:firstLineChars="0"/>
        <w:rPr>
          <w:color w:val="auto"/>
          <w:szCs w:val="24"/>
        </w:rPr>
      </w:pPr>
      <w:r>
        <w:rPr>
          <w:rFonts w:hint="eastAsia"/>
          <w:color w:val="auto"/>
          <w:szCs w:val="24"/>
        </w:rPr>
        <w:t>7.2.7.2 应急管理制度内容</w:t>
      </w:r>
    </w:p>
    <w:p w14:paraId="1749FAA1">
      <w:pPr>
        <w:ind w:firstLine="482"/>
        <w:rPr>
          <w:b/>
          <w:bCs/>
          <w:color w:val="auto"/>
        </w:rPr>
      </w:pPr>
      <w:r>
        <w:rPr>
          <w:rFonts w:hint="eastAsia"/>
          <w:b/>
          <w:bCs/>
          <w:color w:val="auto"/>
        </w:rPr>
        <w:t>1、</w:t>
      </w:r>
      <w:r>
        <w:rPr>
          <w:b/>
          <w:bCs/>
          <w:color w:val="auto"/>
        </w:rPr>
        <w:t>突发环境事件应急预案</w:t>
      </w:r>
      <w:r>
        <w:rPr>
          <w:rFonts w:hint="eastAsia"/>
          <w:b/>
          <w:bCs/>
          <w:color w:val="auto"/>
        </w:rPr>
        <w:t>编制要求</w:t>
      </w:r>
    </w:p>
    <w:p w14:paraId="0C20BAB9">
      <w:pPr>
        <w:ind w:firstLine="480"/>
        <w:rPr>
          <w:bCs/>
          <w:color w:val="auto"/>
          <w:lang w:val="zh-CN"/>
        </w:rPr>
      </w:pPr>
      <w:r>
        <w:rPr>
          <w:bCs/>
          <w:color w:val="auto"/>
          <w:lang w:val="zh-CN"/>
        </w:rPr>
        <w:t>建设单位应按照《企事业单位和工业园区突发环境事件应急预案编制导则》(DB32/T3795-2020)《企业事业单位突发环境事件应急预案备案管理办法（试行）》</w:t>
      </w:r>
      <w:r>
        <w:rPr>
          <w:rFonts w:hint="eastAsia"/>
          <w:bCs/>
          <w:color w:val="auto"/>
          <w:lang w:val="zh-CN"/>
        </w:rPr>
        <w:t>（</w:t>
      </w:r>
      <w:r>
        <w:rPr>
          <w:bCs/>
          <w:color w:val="auto"/>
          <w:lang w:val="zh-CN"/>
        </w:rPr>
        <w:t>环发</w:t>
      </w:r>
      <w:r>
        <w:rPr>
          <w:rFonts w:hint="eastAsia"/>
          <w:bCs/>
          <w:color w:val="auto"/>
          <w:lang w:val="zh-CN"/>
        </w:rPr>
        <w:t>〔</w:t>
      </w:r>
      <w:r>
        <w:rPr>
          <w:bCs/>
          <w:color w:val="auto"/>
          <w:lang w:val="zh-CN"/>
        </w:rPr>
        <w:t>2015</w:t>
      </w:r>
      <w:r>
        <w:rPr>
          <w:rFonts w:hint="eastAsia"/>
          <w:bCs/>
          <w:color w:val="auto"/>
          <w:lang w:val="zh-CN"/>
        </w:rPr>
        <w:t>〕</w:t>
      </w:r>
      <w:r>
        <w:rPr>
          <w:bCs/>
          <w:color w:val="auto"/>
          <w:lang w:val="zh-CN"/>
        </w:rPr>
        <w:t>4号）《省生态环境厅关于印发江苏省环境影响评价文件环境应急相关内容编制要点的通知》（苏环办</w:t>
      </w:r>
      <w:r>
        <w:rPr>
          <w:rFonts w:hint="eastAsia"/>
          <w:bCs/>
          <w:color w:val="auto"/>
          <w:lang w:val="zh-CN"/>
        </w:rPr>
        <w:t>〔</w:t>
      </w:r>
      <w:r>
        <w:rPr>
          <w:bCs/>
          <w:color w:val="auto"/>
          <w:lang w:val="zh-CN"/>
        </w:rPr>
        <w:t>2022</w:t>
      </w:r>
      <w:r>
        <w:rPr>
          <w:rFonts w:hint="eastAsia"/>
          <w:bCs/>
          <w:color w:val="auto"/>
          <w:lang w:val="zh-CN"/>
        </w:rPr>
        <w:t>〕</w:t>
      </w:r>
      <w:r>
        <w:rPr>
          <w:bCs/>
          <w:color w:val="auto"/>
          <w:lang w:val="zh-CN"/>
        </w:rPr>
        <w:t>338号）《</w:t>
      </w:r>
      <w:r>
        <w:rPr>
          <w:bCs/>
          <w:color w:val="auto"/>
        </w:rPr>
        <w:t>关于印发</w:t>
      </w:r>
      <w:r>
        <w:rPr>
          <w:rFonts w:hint="eastAsia"/>
          <w:bCs/>
          <w:color w:val="auto"/>
        </w:rPr>
        <w:t>〈</w:t>
      </w:r>
      <w:r>
        <w:rPr>
          <w:bCs/>
          <w:color w:val="auto"/>
          <w:lang w:val="zh-CN"/>
        </w:rPr>
        <w:t>江苏省突发环境事件应急预案管理办法</w:t>
      </w:r>
      <w:r>
        <w:rPr>
          <w:rFonts w:hint="eastAsia"/>
          <w:bCs/>
          <w:color w:val="auto"/>
          <w:lang w:val="zh-CN"/>
        </w:rPr>
        <w:t>〉</w:t>
      </w:r>
      <w:r>
        <w:rPr>
          <w:bCs/>
          <w:color w:val="auto"/>
        </w:rPr>
        <w:t>的通知</w:t>
      </w:r>
      <w:r>
        <w:rPr>
          <w:bCs/>
          <w:color w:val="auto"/>
          <w:lang w:val="zh-CN"/>
        </w:rPr>
        <w:t>》</w:t>
      </w:r>
      <w:r>
        <w:rPr>
          <w:rFonts w:hint="eastAsia"/>
          <w:bCs/>
          <w:color w:val="auto"/>
          <w:lang w:val="zh-CN"/>
        </w:rPr>
        <w:t>（</w:t>
      </w:r>
      <w:r>
        <w:rPr>
          <w:bCs/>
          <w:color w:val="auto"/>
        </w:rPr>
        <w:t>苏环发</w:t>
      </w:r>
      <w:r>
        <w:rPr>
          <w:rFonts w:hint="eastAsia"/>
          <w:bCs/>
          <w:color w:val="auto"/>
        </w:rPr>
        <w:t>〔</w:t>
      </w:r>
      <w:r>
        <w:rPr>
          <w:bCs/>
          <w:color w:val="auto"/>
        </w:rPr>
        <w:t>2023</w:t>
      </w:r>
      <w:r>
        <w:rPr>
          <w:rFonts w:hint="eastAsia"/>
          <w:bCs/>
          <w:color w:val="auto"/>
        </w:rPr>
        <w:t>〕</w:t>
      </w:r>
      <w:r>
        <w:rPr>
          <w:bCs/>
          <w:color w:val="auto"/>
        </w:rPr>
        <w:t>7</w:t>
      </w:r>
      <w:r>
        <w:rPr>
          <w:bCs/>
          <w:color w:val="auto"/>
          <w:lang w:val="zh-CN"/>
        </w:rPr>
        <w:t>号）《突发环境事件应急预案“一图两单两卡”推荐范例》（2024年1月2日江苏省生态环境厅发布）等要求，制定突发环境事件应急预案。制定的突发环境事件应急预案应向</w:t>
      </w:r>
      <w:r>
        <w:rPr>
          <w:rFonts w:hint="eastAsia"/>
          <w:bCs/>
          <w:color w:val="auto"/>
        </w:rPr>
        <w:t>连云港经济技术开发区</w:t>
      </w:r>
      <w:r>
        <w:rPr>
          <w:bCs/>
          <w:color w:val="auto"/>
          <w:lang w:val="zh-CN"/>
        </w:rPr>
        <w:t>生态环境局备案，并定期组织开展培训和演练。</w:t>
      </w:r>
    </w:p>
    <w:p w14:paraId="5EA80294">
      <w:pPr>
        <w:ind w:firstLine="480"/>
        <w:rPr>
          <w:bCs/>
          <w:color w:val="auto"/>
          <w:lang w:val="zh-CN"/>
        </w:rPr>
      </w:pPr>
      <w:r>
        <w:rPr>
          <w:bCs/>
          <w:color w:val="auto"/>
          <w:lang w:val="zh-CN"/>
        </w:rPr>
        <w:t>公司按照以下步骤制定环境应急预案：（1）成立环境应急预案编制组，明确编制组组长和成员、工作任务、编制计划和经费预算；（2）开展环境风险评估和应急资源调查；（3）编制环境应急预案；（4）评审环境应急预案；（5）签署发布环境应急预案。应急预案应与</w:t>
      </w:r>
      <w:r>
        <w:rPr>
          <w:rFonts w:hint="eastAsia"/>
          <w:bCs/>
          <w:color w:val="auto"/>
        </w:rPr>
        <w:t>连云港经济技术开发区</w:t>
      </w:r>
      <w:r>
        <w:rPr>
          <w:bCs/>
          <w:color w:val="auto"/>
          <w:lang w:val="zh-CN"/>
        </w:rPr>
        <w:t>突发环境事件相衔接，形成分级响应和区域联动。</w:t>
      </w:r>
    </w:p>
    <w:p w14:paraId="6E77CA85">
      <w:pPr>
        <w:ind w:firstLine="480"/>
        <w:rPr>
          <w:bCs/>
          <w:color w:val="auto"/>
          <w:lang w:val="zh-CN"/>
        </w:rPr>
      </w:pPr>
      <w:r>
        <w:rPr>
          <w:bCs/>
          <w:color w:val="auto"/>
          <w:lang w:val="zh-CN"/>
        </w:rPr>
        <w:t>建设单位按照国家相关导则和技术规范要求，结合实际生产，制定公司突发环境事件应急预案。本项目突发事故应急预案主要内容见下表。</w:t>
      </w:r>
    </w:p>
    <w:p w14:paraId="04A13998">
      <w:pPr>
        <w:spacing w:line="240" w:lineRule="auto"/>
        <w:ind w:firstLine="0" w:firstLineChars="0"/>
        <w:jc w:val="center"/>
        <w:rPr>
          <w:b/>
          <w:color w:val="auto"/>
        </w:rPr>
      </w:pPr>
      <w:r>
        <w:rPr>
          <w:b/>
          <w:color w:val="auto"/>
        </w:rPr>
        <w:t>表</w:t>
      </w:r>
      <w:r>
        <w:rPr>
          <w:rFonts w:hint="eastAsia"/>
          <w:b/>
          <w:color w:val="auto"/>
        </w:rPr>
        <w:t xml:space="preserve">7.2.7-3  </w:t>
      </w:r>
      <w:r>
        <w:rPr>
          <w:b/>
          <w:color w:val="auto"/>
        </w:rPr>
        <w:t>突发环境事件应急预案内容表</w:t>
      </w:r>
    </w:p>
    <w:tbl>
      <w:tblPr>
        <w:tblStyle w:val="8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772"/>
        <w:gridCol w:w="2142"/>
        <w:gridCol w:w="5763"/>
      </w:tblGrid>
      <w:tr w14:paraId="31976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382B37A3">
            <w:pPr>
              <w:spacing w:line="240" w:lineRule="auto"/>
              <w:ind w:firstLine="0" w:firstLineChars="0"/>
              <w:jc w:val="center"/>
              <w:rPr>
                <w:b/>
                <w:color w:val="auto"/>
                <w:sz w:val="21"/>
                <w:szCs w:val="21"/>
              </w:rPr>
            </w:pPr>
            <w:r>
              <w:rPr>
                <w:b/>
                <w:color w:val="auto"/>
                <w:sz w:val="21"/>
                <w:szCs w:val="21"/>
              </w:rPr>
              <w:t>序号</w:t>
            </w:r>
          </w:p>
        </w:tc>
        <w:tc>
          <w:tcPr>
            <w:tcW w:w="1551" w:type="pct"/>
            <w:gridSpan w:val="2"/>
            <w:vAlign w:val="center"/>
          </w:tcPr>
          <w:p w14:paraId="6D0243A0">
            <w:pPr>
              <w:spacing w:line="240" w:lineRule="auto"/>
              <w:ind w:firstLine="0" w:firstLineChars="0"/>
              <w:jc w:val="center"/>
              <w:rPr>
                <w:b/>
                <w:color w:val="auto"/>
                <w:sz w:val="21"/>
                <w:szCs w:val="21"/>
                <w:lang w:val="zh-CN"/>
              </w:rPr>
            </w:pPr>
            <w:r>
              <w:rPr>
                <w:b/>
                <w:color w:val="auto"/>
                <w:sz w:val="21"/>
                <w:szCs w:val="21"/>
              </w:rPr>
              <w:t>项目</w:t>
            </w:r>
          </w:p>
        </w:tc>
        <w:tc>
          <w:tcPr>
            <w:tcW w:w="3066" w:type="pct"/>
            <w:vAlign w:val="center"/>
          </w:tcPr>
          <w:p w14:paraId="0AE9420C">
            <w:pPr>
              <w:spacing w:line="240" w:lineRule="auto"/>
              <w:ind w:firstLine="0" w:firstLineChars="0"/>
              <w:jc w:val="center"/>
              <w:rPr>
                <w:b/>
                <w:color w:val="auto"/>
                <w:sz w:val="21"/>
                <w:szCs w:val="21"/>
              </w:rPr>
            </w:pPr>
            <w:r>
              <w:rPr>
                <w:b/>
                <w:color w:val="auto"/>
                <w:sz w:val="21"/>
                <w:szCs w:val="21"/>
              </w:rPr>
              <w:t>内容及要求</w:t>
            </w:r>
          </w:p>
        </w:tc>
      </w:tr>
      <w:tr w14:paraId="19F7F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9A2EA01">
            <w:pPr>
              <w:spacing w:line="240" w:lineRule="auto"/>
              <w:ind w:firstLine="0" w:firstLineChars="0"/>
              <w:jc w:val="center"/>
              <w:rPr>
                <w:b/>
                <w:color w:val="auto"/>
                <w:sz w:val="21"/>
                <w:szCs w:val="21"/>
              </w:rPr>
            </w:pPr>
            <w:r>
              <w:rPr>
                <w:b/>
                <w:color w:val="auto"/>
                <w:sz w:val="21"/>
                <w:szCs w:val="21"/>
              </w:rPr>
              <w:t>综合应急预案</w:t>
            </w:r>
          </w:p>
        </w:tc>
      </w:tr>
      <w:tr w14:paraId="7AA25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restart"/>
            <w:vAlign w:val="center"/>
          </w:tcPr>
          <w:p w14:paraId="58293134">
            <w:pPr>
              <w:spacing w:line="240" w:lineRule="auto"/>
              <w:ind w:firstLine="0" w:firstLineChars="0"/>
              <w:jc w:val="center"/>
              <w:rPr>
                <w:bCs/>
                <w:color w:val="auto"/>
                <w:sz w:val="21"/>
                <w:szCs w:val="21"/>
              </w:rPr>
            </w:pPr>
            <w:r>
              <w:rPr>
                <w:bCs/>
                <w:color w:val="auto"/>
                <w:sz w:val="21"/>
                <w:szCs w:val="21"/>
              </w:rPr>
              <w:t>1</w:t>
            </w:r>
          </w:p>
        </w:tc>
        <w:tc>
          <w:tcPr>
            <w:tcW w:w="411" w:type="pct"/>
            <w:vMerge w:val="restart"/>
            <w:vAlign w:val="center"/>
          </w:tcPr>
          <w:p w14:paraId="3F51763A">
            <w:pPr>
              <w:spacing w:line="240" w:lineRule="auto"/>
              <w:ind w:firstLine="0" w:firstLineChars="0"/>
              <w:jc w:val="center"/>
              <w:rPr>
                <w:bCs/>
                <w:color w:val="auto"/>
                <w:sz w:val="21"/>
                <w:szCs w:val="21"/>
              </w:rPr>
            </w:pPr>
            <w:r>
              <w:rPr>
                <w:bCs/>
                <w:color w:val="auto"/>
                <w:sz w:val="21"/>
                <w:szCs w:val="21"/>
              </w:rPr>
              <w:t>总则</w:t>
            </w:r>
          </w:p>
        </w:tc>
        <w:tc>
          <w:tcPr>
            <w:tcW w:w="1140" w:type="pct"/>
            <w:vAlign w:val="center"/>
          </w:tcPr>
          <w:p w14:paraId="33315CD9">
            <w:pPr>
              <w:spacing w:line="240" w:lineRule="auto"/>
              <w:ind w:firstLine="0" w:firstLineChars="0"/>
              <w:jc w:val="center"/>
              <w:rPr>
                <w:bCs/>
                <w:color w:val="auto"/>
                <w:sz w:val="21"/>
                <w:szCs w:val="21"/>
                <w:lang w:val="zh-CN"/>
              </w:rPr>
            </w:pPr>
            <w:r>
              <w:rPr>
                <w:bCs/>
                <w:color w:val="auto"/>
                <w:sz w:val="21"/>
                <w:szCs w:val="21"/>
                <w:lang w:val="zh-CN"/>
              </w:rPr>
              <w:t>（1）编制目的</w:t>
            </w:r>
          </w:p>
        </w:tc>
        <w:tc>
          <w:tcPr>
            <w:tcW w:w="3066" w:type="pct"/>
            <w:vAlign w:val="center"/>
          </w:tcPr>
          <w:p w14:paraId="07C3B924">
            <w:pPr>
              <w:spacing w:line="240" w:lineRule="auto"/>
              <w:ind w:firstLine="0" w:firstLineChars="0"/>
              <w:rPr>
                <w:bCs/>
                <w:color w:val="auto"/>
                <w:sz w:val="21"/>
                <w:szCs w:val="21"/>
                <w:lang w:val="zh-CN"/>
              </w:rPr>
            </w:pPr>
            <w:r>
              <w:rPr>
                <w:bCs/>
                <w:color w:val="auto"/>
                <w:sz w:val="21"/>
                <w:szCs w:val="21"/>
                <w:lang w:val="zh-CN"/>
              </w:rPr>
              <w:t>简述企事业单位编制环境应急预案的目的、作用等。</w:t>
            </w:r>
          </w:p>
        </w:tc>
      </w:tr>
      <w:tr w14:paraId="604E3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4126DF81">
            <w:pPr>
              <w:spacing w:line="240" w:lineRule="auto"/>
              <w:ind w:firstLine="0" w:firstLineChars="0"/>
              <w:jc w:val="center"/>
              <w:rPr>
                <w:bCs/>
                <w:color w:val="auto"/>
                <w:sz w:val="21"/>
                <w:szCs w:val="21"/>
                <w:lang w:val="zh-CN"/>
              </w:rPr>
            </w:pPr>
          </w:p>
        </w:tc>
        <w:tc>
          <w:tcPr>
            <w:tcW w:w="411" w:type="pct"/>
            <w:vMerge w:val="continue"/>
            <w:vAlign w:val="center"/>
          </w:tcPr>
          <w:p w14:paraId="0B594197">
            <w:pPr>
              <w:spacing w:line="240" w:lineRule="auto"/>
              <w:ind w:firstLine="0" w:firstLineChars="0"/>
              <w:jc w:val="center"/>
              <w:rPr>
                <w:bCs/>
                <w:color w:val="auto"/>
                <w:sz w:val="21"/>
                <w:szCs w:val="21"/>
                <w:lang w:val="zh-CN"/>
              </w:rPr>
            </w:pPr>
          </w:p>
        </w:tc>
        <w:tc>
          <w:tcPr>
            <w:tcW w:w="1140" w:type="pct"/>
            <w:vAlign w:val="center"/>
          </w:tcPr>
          <w:p w14:paraId="7A35FCA4">
            <w:pPr>
              <w:spacing w:line="240" w:lineRule="auto"/>
              <w:ind w:firstLine="0" w:firstLineChars="0"/>
              <w:jc w:val="center"/>
              <w:rPr>
                <w:bCs/>
                <w:color w:val="auto"/>
                <w:sz w:val="21"/>
                <w:szCs w:val="21"/>
                <w:lang w:val="zh-CN"/>
              </w:rPr>
            </w:pPr>
            <w:r>
              <w:rPr>
                <w:bCs/>
                <w:color w:val="auto"/>
                <w:sz w:val="21"/>
                <w:szCs w:val="21"/>
                <w:lang w:val="zh-CN"/>
              </w:rPr>
              <w:t>（2）编制依据</w:t>
            </w:r>
          </w:p>
        </w:tc>
        <w:tc>
          <w:tcPr>
            <w:tcW w:w="3066" w:type="pct"/>
            <w:vAlign w:val="center"/>
          </w:tcPr>
          <w:p w14:paraId="042A2807">
            <w:pPr>
              <w:spacing w:line="240" w:lineRule="auto"/>
              <w:ind w:firstLine="0" w:firstLineChars="0"/>
              <w:rPr>
                <w:bCs/>
                <w:color w:val="auto"/>
                <w:sz w:val="21"/>
                <w:szCs w:val="21"/>
                <w:lang w:val="zh-CN"/>
              </w:rPr>
            </w:pPr>
            <w:r>
              <w:rPr>
                <w:bCs/>
                <w:color w:val="auto"/>
                <w:sz w:val="21"/>
                <w:szCs w:val="21"/>
                <w:lang w:val="zh-CN"/>
              </w:rPr>
              <w:t>说明环境应急预案编制所依据的国家及地方法律法规、规章制度、技术规范、标准</w:t>
            </w:r>
            <w:r>
              <w:rPr>
                <w:rFonts w:hint="eastAsia"/>
                <w:bCs/>
                <w:color w:val="auto"/>
                <w:sz w:val="21"/>
                <w:szCs w:val="21"/>
                <w:lang w:val="zh-CN"/>
              </w:rPr>
              <w:t>，以及</w:t>
            </w:r>
            <w:r>
              <w:rPr>
                <w:bCs/>
                <w:color w:val="auto"/>
                <w:sz w:val="21"/>
                <w:szCs w:val="21"/>
                <w:lang w:val="zh-CN"/>
              </w:rPr>
              <w:t>有关行业管理规定等。</w:t>
            </w:r>
          </w:p>
        </w:tc>
      </w:tr>
      <w:tr w14:paraId="5BFB7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34DA88C0">
            <w:pPr>
              <w:spacing w:line="240" w:lineRule="auto"/>
              <w:ind w:firstLine="0" w:firstLineChars="0"/>
              <w:jc w:val="center"/>
              <w:rPr>
                <w:bCs/>
                <w:color w:val="auto"/>
                <w:sz w:val="21"/>
                <w:szCs w:val="21"/>
                <w:lang w:val="zh-CN"/>
              </w:rPr>
            </w:pPr>
          </w:p>
        </w:tc>
        <w:tc>
          <w:tcPr>
            <w:tcW w:w="411" w:type="pct"/>
            <w:vMerge w:val="continue"/>
            <w:vAlign w:val="center"/>
          </w:tcPr>
          <w:p w14:paraId="3EBCFAB4">
            <w:pPr>
              <w:spacing w:line="240" w:lineRule="auto"/>
              <w:ind w:firstLine="0" w:firstLineChars="0"/>
              <w:jc w:val="center"/>
              <w:rPr>
                <w:bCs/>
                <w:color w:val="auto"/>
                <w:sz w:val="21"/>
                <w:szCs w:val="21"/>
                <w:lang w:val="zh-CN"/>
              </w:rPr>
            </w:pPr>
          </w:p>
        </w:tc>
        <w:tc>
          <w:tcPr>
            <w:tcW w:w="1140" w:type="pct"/>
            <w:vAlign w:val="center"/>
          </w:tcPr>
          <w:p w14:paraId="72EA93C5">
            <w:pPr>
              <w:spacing w:line="240" w:lineRule="auto"/>
              <w:ind w:firstLine="0" w:firstLineChars="0"/>
              <w:jc w:val="center"/>
              <w:rPr>
                <w:bCs/>
                <w:color w:val="auto"/>
                <w:sz w:val="21"/>
                <w:szCs w:val="21"/>
                <w:lang w:val="zh-CN"/>
              </w:rPr>
            </w:pPr>
            <w:r>
              <w:rPr>
                <w:bCs/>
                <w:color w:val="auto"/>
                <w:sz w:val="21"/>
                <w:szCs w:val="21"/>
                <w:lang w:val="zh-CN"/>
              </w:rPr>
              <w:t>（3）适用范围</w:t>
            </w:r>
          </w:p>
        </w:tc>
        <w:tc>
          <w:tcPr>
            <w:tcW w:w="3066" w:type="pct"/>
            <w:vAlign w:val="center"/>
          </w:tcPr>
          <w:p w14:paraId="2C33D83D">
            <w:pPr>
              <w:spacing w:line="240" w:lineRule="auto"/>
              <w:ind w:firstLine="0" w:firstLineChars="0"/>
              <w:rPr>
                <w:bCs/>
                <w:color w:val="auto"/>
                <w:sz w:val="21"/>
                <w:szCs w:val="21"/>
                <w:lang w:val="zh-CN"/>
              </w:rPr>
            </w:pPr>
            <w:r>
              <w:rPr>
                <w:bCs/>
                <w:color w:val="auto"/>
                <w:sz w:val="21"/>
                <w:szCs w:val="21"/>
                <w:lang w:val="zh-CN"/>
              </w:rPr>
              <w:t>说明环境应急预案的工作范围、可能发生的突发环境事件类型、突发环境事件级别。</w:t>
            </w:r>
          </w:p>
        </w:tc>
      </w:tr>
      <w:tr w14:paraId="1413E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59076E61">
            <w:pPr>
              <w:spacing w:line="240" w:lineRule="auto"/>
              <w:ind w:firstLine="0" w:firstLineChars="0"/>
              <w:jc w:val="center"/>
              <w:rPr>
                <w:bCs/>
                <w:color w:val="auto"/>
                <w:sz w:val="21"/>
                <w:szCs w:val="21"/>
                <w:lang w:val="zh-CN"/>
              </w:rPr>
            </w:pPr>
          </w:p>
        </w:tc>
        <w:tc>
          <w:tcPr>
            <w:tcW w:w="411" w:type="pct"/>
            <w:vMerge w:val="continue"/>
            <w:vAlign w:val="center"/>
          </w:tcPr>
          <w:p w14:paraId="0D2255C9">
            <w:pPr>
              <w:spacing w:line="240" w:lineRule="auto"/>
              <w:ind w:firstLine="0" w:firstLineChars="0"/>
              <w:jc w:val="center"/>
              <w:rPr>
                <w:bCs/>
                <w:color w:val="auto"/>
                <w:sz w:val="21"/>
                <w:szCs w:val="21"/>
                <w:lang w:val="zh-CN"/>
              </w:rPr>
            </w:pPr>
          </w:p>
        </w:tc>
        <w:tc>
          <w:tcPr>
            <w:tcW w:w="1140" w:type="pct"/>
            <w:vAlign w:val="center"/>
          </w:tcPr>
          <w:p w14:paraId="7941ABA0">
            <w:pPr>
              <w:spacing w:line="240" w:lineRule="auto"/>
              <w:ind w:firstLine="0" w:firstLineChars="0"/>
              <w:jc w:val="center"/>
              <w:rPr>
                <w:bCs/>
                <w:color w:val="auto"/>
                <w:sz w:val="21"/>
                <w:szCs w:val="21"/>
                <w:lang w:val="zh-CN"/>
              </w:rPr>
            </w:pPr>
            <w:r>
              <w:rPr>
                <w:bCs/>
                <w:color w:val="auto"/>
                <w:sz w:val="21"/>
                <w:szCs w:val="21"/>
                <w:lang w:val="zh-CN"/>
              </w:rPr>
              <w:t>（4）预案体系</w:t>
            </w:r>
          </w:p>
        </w:tc>
        <w:tc>
          <w:tcPr>
            <w:tcW w:w="3066" w:type="pct"/>
            <w:vAlign w:val="center"/>
          </w:tcPr>
          <w:p w14:paraId="67620E63">
            <w:pPr>
              <w:spacing w:line="240" w:lineRule="auto"/>
              <w:ind w:firstLine="0" w:firstLineChars="0"/>
              <w:rPr>
                <w:bCs/>
                <w:color w:val="auto"/>
                <w:sz w:val="21"/>
                <w:szCs w:val="21"/>
                <w:lang w:val="zh-CN"/>
              </w:rPr>
            </w:pPr>
            <w:r>
              <w:rPr>
                <w:bCs/>
                <w:color w:val="auto"/>
                <w:sz w:val="21"/>
                <w:szCs w:val="21"/>
                <w:lang w:val="zh-CN"/>
              </w:rPr>
              <w:t>简述环境应急预案体系，可包括环境应急综合预案、专项预案、现场处置预案。一般环境风险的企事业单位可简化。</w:t>
            </w:r>
          </w:p>
          <w:p w14:paraId="37CED025">
            <w:pPr>
              <w:spacing w:line="240" w:lineRule="auto"/>
              <w:ind w:firstLine="0" w:firstLineChars="0"/>
              <w:rPr>
                <w:bCs/>
                <w:color w:val="auto"/>
                <w:sz w:val="21"/>
                <w:szCs w:val="21"/>
                <w:lang w:val="zh-CN"/>
              </w:rPr>
            </w:pPr>
            <w:r>
              <w:rPr>
                <w:bCs/>
                <w:color w:val="auto"/>
                <w:sz w:val="21"/>
                <w:szCs w:val="21"/>
                <w:lang w:val="zh-CN"/>
              </w:rPr>
              <w:t>说明环境应急预案的体系与内、外部相关应急预案的衔接关系。</w:t>
            </w:r>
          </w:p>
        </w:tc>
      </w:tr>
      <w:tr w14:paraId="64F42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5BDE0687">
            <w:pPr>
              <w:spacing w:line="240" w:lineRule="auto"/>
              <w:ind w:firstLine="0" w:firstLineChars="0"/>
              <w:jc w:val="center"/>
              <w:rPr>
                <w:bCs/>
                <w:color w:val="auto"/>
                <w:sz w:val="21"/>
                <w:szCs w:val="21"/>
                <w:lang w:val="zh-CN"/>
              </w:rPr>
            </w:pPr>
          </w:p>
        </w:tc>
        <w:tc>
          <w:tcPr>
            <w:tcW w:w="411" w:type="pct"/>
            <w:vMerge w:val="continue"/>
            <w:vAlign w:val="center"/>
          </w:tcPr>
          <w:p w14:paraId="6FAD449A">
            <w:pPr>
              <w:spacing w:line="240" w:lineRule="auto"/>
              <w:ind w:firstLine="0" w:firstLineChars="0"/>
              <w:jc w:val="center"/>
              <w:rPr>
                <w:bCs/>
                <w:color w:val="auto"/>
                <w:sz w:val="21"/>
                <w:szCs w:val="21"/>
                <w:lang w:val="zh-CN"/>
              </w:rPr>
            </w:pPr>
          </w:p>
        </w:tc>
        <w:tc>
          <w:tcPr>
            <w:tcW w:w="1140" w:type="pct"/>
            <w:vAlign w:val="center"/>
          </w:tcPr>
          <w:p w14:paraId="652DC6CC">
            <w:pPr>
              <w:spacing w:line="240" w:lineRule="auto"/>
              <w:ind w:firstLine="0" w:firstLineChars="0"/>
              <w:jc w:val="center"/>
              <w:rPr>
                <w:bCs/>
                <w:color w:val="auto"/>
                <w:sz w:val="21"/>
                <w:szCs w:val="21"/>
                <w:lang w:val="zh-CN"/>
              </w:rPr>
            </w:pPr>
            <w:r>
              <w:rPr>
                <w:bCs/>
                <w:color w:val="auto"/>
                <w:sz w:val="21"/>
                <w:szCs w:val="21"/>
                <w:lang w:val="zh-CN"/>
              </w:rPr>
              <w:t>（5）工作原则</w:t>
            </w:r>
          </w:p>
        </w:tc>
        <w:tc>
          <w:tcPr>
            <w:tcW w:w="3066" w:type="pct"/>
            <w:vAlign w:val="center"/>
          </w:tcPr>
          <w:p w14:paraId="28306DE2">
            <w:pPr>
              <w:spacing w:line="240" w:lineRule="auto"/>
              <w:ind w:firstLine="0" w:firstLineChars="0"/>
              <w:rPr>
                <w:bCs/>
                <w:color w:val="auto"/>
                <w:sz w:val="21"/>
                <w:szCs w:val="21"/>
                <w:lang w:val="zh-CN"/>
              </w:rPr>
            </w:pPr>
            <w:r>
              <w:rPr>
                <w:bCs/>
                <w:color w:val="auto"/>
                <w:sz w:val="21"/>
                <w:szCs w:val="21"/>
                <w:lang w:val="zh-CN"/>
              </w:rPr>
              <w:t>说明企事业单位开展环境应急处置工作应遵循的总体原则。</w:t>
            </w:r>
          </w:p>
        </w:tc>
      </w:tr>
      <w:tr w14:paraId="035A2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06AA9A96">
            <w:pPr>
              <w:spacing w:line="240" w:lineRule="auto"/>
              <w:ind w:firstLine="0" w:firstLineChars="0"/>
              <w:jc w:val="center"/>
              <w:rPr>
                <w:bCs/>
                <w:color w:val="auto"/>
                <w:sz w:val="21"/>
                <w:szCs w:val="21"/>
              </w:rPr>
            </w:pPr>
            <w:r>
              <w:rPr>
                <w:bCs/>
                <w:color w:val="auto"/>
                <w:sz w:val="21"/>
                <w:szCs w:val="21"/>
              </w:rPr>
              <w:t>2</w:t>
            </w:r>
          </w:p>
        </w:tc>
        <w:tc>
          <w:tcPr>
            <w:tcW w:w="411" w:type="pct"/>
            <w:vAlign w:val="center"/>
          </w:tcPr>
          <w:p w14:paraId="59F92B48">
            <w:pPr>
              <w:spacing w:line="240" w:lineRule="auto"/>
              <w:ind w:firstLine="0" w:firstLineChars="0"/>
              <w:jc w:val="center"/>
              <w:rPr>
                <w:bCs/>
                <w:color w:val="auto"/>
                <w:sz w:val="21"/>
                <w:szCs w:val="21"/>
              </w:rPr>
            </w:pPr>
            <w:r>
              <w:rPr>
                <w:bCs/>
                <w:color w:val="auto"/>
                <w:sz w:val="21"/>
                <w:szCs w:val="21"/>
              </w:rPr>
              <w:t>组织机构及职责</w:t>
            </w:r>
          </w:p>
        </w:tc>
        <w:tc>
          <w:tcPr>
            <w:tcW w:w="1140" w:type="pct"/>
            <w:vAlign w:val="center"/>
          </w:tcPr>
          <w:p w14:paraId="46FE4B3D">
            <w:pPr>
              <w:spacing w:line="240" w:lineRule="auto"/>
              <w:ind w:firstLine="0" w:firstLineChars="0"/>
              <w:jc w:val="center"/>
              <w:rPr>
                <w:bCs/>
                <w:color w:val="auto"/>
                <w:sz w:val="21"/>
                <w:szCs w:val="21"/>
              </w:rPr>
            </w:pPr>
            <w:r>
              <w:rPr>
                <w:bCs/>
                <w:color w:val="auto"/>
                <w:sz w:val="21"/>
                <w:szCs w:val="21"/>
              </w:rPr>
              <w:t>/</w:t>
            </w:r>
          </w:p>
        </w:tc>
        <w:tc>
          <w:tcPr>
            <w:tcW w:w="3066" w:type="pct"/>
          </w:tcPr>
          <w:p w14:paraId="24993416">
            <w:pPr>
              <w:spacing w:line="240" w:lineRule="auto"/>
              <w:ind w:firstLine="0" w:firstLineChars="0"/>
              <w:rPr>
                <w:bCs/>
                <w:color w:val="auto"/>
                <w:sz w:val="21"/>
                <w:szCs w:val="21"/>
                <w:lang w:val="zh-CN"/>
              </w:rPr>
            </w:pPr>
            <w:r>
              <w:rPr>
                <w:bCs/>
                <w:color w:val="auto"/>
                <w:sz w:val="21"/>
                <w:szCs w:val="21"/>
                <w:lang w:val="zh-CN"/>
              </w:rPr>
              <w:t>明确环境应急组织机构体系、人员及应急工作职责，辅以图、表形式表示。</w:t>
            </w:r>
          </w:p>
          <w:p w14:paraId="246FEA10">
            <w:pPr>
              <w:spacing w:line="240" w:lineRule="auto"/>
              <w:ind w:firstLine="0" w:firstLineChars="0"/>
              <w:rPr>
                <w:bCs/>
                <w:color w:val="auto"/>
                <w:sz w:val="21"/>
                <w:szCs w:val="21"/>
                <w:lang w:val="zh-CN"/>
              </w:rPr>
            </w:pPr>
            <w:r>
              <w:rPr>
                <w:bCs/>
                <w:color w:val="auto"/>
                <w:sz w:val="21"/>
                <w:szCs w:val="21"/>
                <w:lang w:val="zh-CN"/>
              </w:rPr>
              <w:t>应急组织机构体系由应急指挥部及其办事机构、应急处置组、环境应急监测组、应急保障组以及其他必要的行动组构成，企事业单位可依据实际情况调整，应与其他应急组织机构相协调。</w:t>
            </w:r>
          </w:p>
          <w:p w14:paraId="747338E2">
            <w:pPr>
              <w:spacing w:line="240" w:lineRule="auto"/>
              <w:ind w:firstLine="0" w:firstLineChars="0"/>
              <w:rPr>
                <w:bCs/>
                <w:color w:val="auto"/>
                <w:sz w:val="21"/>
                <w:szCs w:val="21"/>
                <w:lang w:val="zh-CN"/>
              </w:rPr>
            </w:pPr>
            <w:r>
              <w:rPr>
                <w:bCs/>
                <w:color w:val="auto"/>
                <w:sz w:val="21"/>
                <w:szCs w:val="21"/>
                <w:lang w:val="zh-CN"/>
              </w:rPr>
              <w:t>应急组织机构人员应覆盖各相关部门，能力不足时可聘请外部专家或第三方机构。</w:t>
            </w:r>
          </w:p>
        </w:tc>
      </w:tr>
      <w:tr w14:paraId="26542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restart"/>
            <w:vAlign w:val="center"/>
          </w:tcPr>
          <w:p w14:paraId="3435FEDD">
            <w:pPr>
              <w:spacing w:line="240" w:lineRule="auto"/>
              <w:ind w:firstLine="0" w:firstLineChars="0"/>
              <w:jc w:val="center"/>
              <w:rPr>
                <w:bCs/>
                <w:color w:val="auto"/>
                <w:sz w:val="21"/>
                <w:szCs w:val="21"/>
              </w:rPr>
            </w:pPr>
            <w:r>
              <w:rPr>
                <w:bCs/>
                <w:color w:val="auto"/>
                <w:sz w:val="21"/>
                <w:szCs w:val="21"/>
              </w:rPr>
              <w:t>3</w:t>
            </w:r>
          </w:p>
        </w:tc>
        <w:tc>
          <w:tcPr>
            <w:tcW w:w="411" w:type="pct"/>
            <w:vMerge w:val="restart"/>
            <w:vAlign w:val="center"/>
          </w:tcPr>
          <w:p w14:paraId="167F3403">
            <w:pPr>
              <w:spacing w:line="240" w:lineRule="auto"/>
              <w:ind w:firstLine="0" w:firstLineChars="0"/>
              <w:jc w:val="center"/>
              <w:rPr>
                <w:bCs/>
                <w:color w:val="auto"/>
                <w:sz w:val="21"/>
                <w:szCs w:val="21"/>
              </w:rPr>
            </w:pPr>
            <w:r>
              <w:rPr>
                <w:bCs/>
                <w:color w:val="auto"/>
                <w:sz w:val="21"/>
                <w:szCs w:val="21"/>
              </w:rPr>
              <w:t>监控预警</w:t>
            </w:r>
          </w:p>
        </w:tc>
        <w:tc>
          <w:tcPr>
            <w:tcW w:w="1140" w:type="pct"/>
            <w:vAlign w:val="center"/>
          </w:tcPr>
          <w:p w14:paraId="28FB14C2">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1</w:t>
            </w:r>
            <w:r>
              <w:rPr>
                <w:bCs/>
                <w:color w:val="auto"/>
                <w:sz w:val="21"/>
                <w:szCs w:val="21"/>
                <w:lang w:val="zh-CN"/>
              </w:rPr>
              <w:t>）</w:t>
            </w:r>
            <w:r>
              <w:rPr>
                <w:bCs/>
                <w:color w:val="auto"/>
                <w:sz w:val="21"/>
                <w:szCs w:val="21"/>
              </w:rPr>
              <w:t>监控</w:t>
            </w:r>
          </w:p>
        </w:tc>
        <w:tc>
          <w:tcPr>
            <w:tcW w:w="3066" w:type="pct"/>
            <w:vAlign w:val="center"/>
          </w:tcPr>
          <w:p w14:paraId="43581CC2">
            <w:pPr>
              <w:spacing w:line="240" w:lineRule="auto"/>
              <w:ind w:firstLine="0" w:firstLineChars="0"/>
              <w:rPr>
                <w:bCs/>
                <w:color w:val="auto"/>
                <w:sz w:val="21"/>
                <w:szCs w:val="21"/>
                <w:lang w:val="zh-CN"/>
              </w:rPr>
            </w:pPr>
            <w:r>
              <w:rPr>
                <w:bCs/>
                <w:color w:val="auto"/>
                <w:sz w:val="21"/>
                <w:szCs w:val="21"/>
                <w:lang w:val="zh-CN"/>
              </w:rPr>
              <w:t>明确对环境风险源监控的方式、方法以及采取的预防措施。</w:t>
            </w:r>
          </w:p>
        </w:tc>
      </w:tr>
      <w:tr w14:paraId="109EA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05635403">
            <w:pPr>
              <w:spacing w:line="240" w:lineRule="auto"/>
              <w:ind w:firstLine="0" w:firstLineChars="0"/>
              <w:jc w:val="center"/>
              <w:rPr>
                <w:bCs/>
                <w:color w:val="auto"/>
                <w:sz w:val="21"/>
                <w:szCs w:val="21"/>
                <w:lang w:val="zh-CN"/>
              </w:rPr>
            </w:pPr>
          </w:p>
        </w:tc>
        <w:tc>
          <w:tcPr>
            <w:tcW w:w="411" w:type="pct"/>
            <w:vMerge w:val="continue"/>
            <w:vAlign w:val="center"/>
          </w:tcPr>
          <w:p w14:paraId="4E9AB042">
            <w:pPr>
              <w:spacing w:line="240" w:lineRule="auto"/>
              <w:ind w:firstLine="0" w:firstLineChars="0"/>
              <w:jc w:val="center"/>
              <w:rPr>
                <w:bCs/>
                <w:color w:val="auto"/>
                <w:sz w:val="21"/>
                <w:szCs w:val="21"/>
                <w:lang w:val="zh-CN"/>
              </w:rPr>
            </w:pPr>
          </w:p>
        </w:tc>
        <w:tc>
          <w:tcPr>
            <w:tcW w:w="1140" w:type="pct"/>
            <w:vAlign w:val="center"/>
          </w:tcPr>
          <w:p w14:paraId="1F68C485">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2</w:t>
            </w:r>
            <w:r>
              <w:rPr>
                <w:bCs/>
                <w:color w:val="auto"/>
                <w:sz w:val="21"/>
                <w:szCs w:val="21"/>
                <w:lang w:val="zh-CN"/>
              </w:rPr>
              <w:t>）</w:t>
            </w:r>
            <w:r>
              <w:rPr>
                <w:bCs/>
                <w:color w:val="auto"/>
                <w:sz w:val="21"/>
                <w:szCs w:val="21"/>
              </w:rPr>
              <w:t>预警</w:t>
            </w:r>
          </w:p>
        </w:tc>
        <w:tc>
          <w:tcPr>
            <w:tcW w:w="3066" w:type="pct"/>
            <w:vAlign w:val="center"/>
          </w:tcPr>
          <w:p w14:paraId="1147F56A">
            <w:pPr>
              <w:spacing w:line="240" w:lineRule="auto"/>
              <w:ind w:firstLine="0" w:firstLineChars="0"/>
              <w:rPr>
                <w:bCs/>
                <w:color w:val="auto"/>
                <w:sz w:val="21"/>
                <w:szCs w:val="21"/>
                <w:lang w:val="zh-CN"/>
              </w:rPr>
            </w:pPr>
            <w:r>
              <w:rPr>
                <w:bCs/>
                <w:color w:val="auto"/>
                <w:sz w:val="21"/>
                <w:szCs w:val="21"/>
                <w:lang w:val="zh-CN"/>
              </w:rPr>
              <w:t>结合事件危害程度、紧急程度和发展态势，说明预警信息的获得途径、分析研判的方式方法，明确预警级别、预警发布与解除、预警措施等。</w:t>
            </w:r>
          </w:p>
        </w:tc>
      </w:tr>
      <w:tr w14:paraId="026BD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restart"/>
            <w:vAlign w:val="center"/>
          </w:tcPr>
          <w:p w14:paraId="3199D61F">
            <w:pPr>
              <w:spacing w:line="240" w:lineRule="auto"/>
              <w:ind w:firstLine="0" w:firstLineChars="0"/>
              <w:jc w:val="center"/>
              <w:rPr>
                <w:bCs/>
                <w:color w:val="auto"/>
                <w:sz w:val="21"/>
                <w:szCs w:val="21"/>
              </w:rPr>
            </w:pPr>
            <w:r>
              <w:rPr>
                <w:bCs/>
                <w:color w:val="auto"/>
                <w:sz w:val="21"/>
                <w:szCs w:val="21"/>
              </w:rPr>
              <w:t>4</w:t>
            </w:r>
          </w:p>
        </w:tc>
        <w:tc>
          <w:tcPr>
            <w:tcW w:w="411" w:type="pct"/>
            <w:vMerge w:val="restart"/>
            <w:vAlign w:val="center"/>
          </w:tcPr>
          <w:p w14:paraId="75B83621">
            <w:pPr>
              <w:spacing w:line="240" w:lineRule="auto"/>
              <w:ind w:firstLine="0" w:firstLineChars="0"/>
              <w:jc w:val="center"/>
              <w:rPr>
                <w:bCs/>
                <w:color w:val="auto"/>
                <w:sz w:val="21"/>
                <w:szCs w:val="21"/>
                <w:lang w:val="zh-CN"/>
              </w:rPr>
            </w:pPr>
            <w:r>
              <w:rPr>
                <w:bCs/>
                <w:color w:val="auto"/>
                <w:sz w:val="21"/>
                <w:szCs w:val="21"/>
                <w:lang w:val="zh-CN"/>
              </w:rPr>
              <w:t>信息</w:t>
            </w:r>
          </w:p>
          <w:p w14:paraId="37018C25">
            <w:pPr>
              <w:spacing w:line="240" w:lineRule="auto"/>
              <w:ind w:firstLine="0" w:firstLineChars="0"/>
              <w:jc w:val="center"/>
              <w:rPr>
                <w:bCs/>
                <w:color w:val="auto"/>
                <w:sz w:val="21"/>
                <w:szCs w:val="21"/>
                <w:lang w:val="zh-CN"/>
              </w:rPr>
            </w:pPr>
            <w:r>
              <w:rPr>
                <w:bCs/>
                <w:color w:val="auto"/>
                <w:sz w:val="21"/>
                <w:szCs w:val="21"/>
                <w:lang w:val="zh-CN"/>
              </w:rPr>
              <w:t>报告</w:t>
            </w:r>
          </w:p>
        </w:tc>
        <w:tc>
          <w:tcPr>
            <w:tcW w:w="1140" w:type="pct"/>
            <w:vAlign w:val="center"/>
          </w:tcPr>
          <w:p w14:paraId="516A4088">
            <w:pPr>
              <w:spacing w:line="240" w:lineRule="auto"/>
              <w:ind w:firstLine="0" w:firstLineChars="0"/>
              <w:jc w:val="center"/>
              <w:rPr>
                <w:bCs/>
                <w:color w:val="auto"/>
                <w:sz w:val="21"/>
                <w:szCs w:val="21"/>
                <w:lang w:val="zh-CN"/>
              </w:rPr>
            </w:pPr>
            <w:r>
              <w:rPr>
                <w:bCs/>
                <w:color w:val="auto"/>
                <w:sz w:val="21"/>
                <w:szCs w:val="21"/>
                <w:lang w:val="zh-CN"/>
              </w:rPr>
              <w:t>（1）信息报告程序</w:t>
            </w:r>
          </w:p>
        </w:tc>
        <w:tc>
          <w:tcPr>
            <w:tcW w:w="3066" w:type="pct"/>
            <w:vAlign w:val="center"/>
          </w:tcPr>
          <w:p w14:paraId="743A7A1E">
            <w:pPr>
              <w:spacing w:line="240" w:lineRule="auto"/>
              <w:ind w:firstLine="0" w:firstLineChars="0"/>
              <w:rPr>
                <w:bCs/>
                <w:color w:val="auto"/>
                <w:sz w:val="21"/>
                <w:szCs w:val="21"/>
                <w:lang w:val="zh-CN"/>
              </w:rPr>
            </w:pPr>
            <w:r>
              <w:rPr>
                <w:bCs/>
                <w:color w:val="auto"/>
                <w:sz w:val="21"/>
                <w:szCs w:val="21"/>
                <w:lang w:val="zh-CN"/>
              </w:rPr>
              <w:t>信息报告程序包括内部报告、信息上报、信息通报，明确联络方式、责任人、时限、程序</w:t>
            </w:r>
          </w:p>
        </w:tc>
      </w:tr>
      <w:tr w14:paraId="42883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7D9DA00D">
            <w:pPr>
              <w:spacing w:line="240" w:lineRule="auto"/>
              <w:ind w:firstLine="0" w:firstLineChars="0"/>
              <w:jc w:val="center"/>
              <w:rPr>
                <w:bCs/>
                <w:color w:val="auto"/>
                <w:sz w:val="21"/>
                <w:szCs w:val="21"/>
                <w:lang w:val="zh-CN"/>
              </w:rPr>
            </w:pPr>
          </w:p>
        </w:tc>
        <w:tc>
          <w:tcPr>
            <w:tcW w:w="411" w:type="pct"/>
            <w:vMerge w:val="continue"/>
            <w:vAlign w:val="center"/>
          </w:tcPr>
          <w:p w14:paraId="231208AA">
            <w:pPr>
              <w:spacing w:line="240" w:lineRule="auto"/>
              <w:ind w:firstLine="0" w:firstLineChars="0"/>
              <w:jc w:val="center"/>
              <w:rPr>
                <w:bCs/>
                <w:color w:val="auto"/>
                <w:sz w:val="21"/>
                <w:szCs w:val="21"/>
                <w:lang w:val="zh-CN"/>
              </w:rPr>
            </w:pPr>
          </w:p>
        </w:tc>
        <w:tc>
          <w:tcPr>
            <w:tcW w:w="1140" w:type="pct"/>
            <w:vAlign w:val="center"/>
          </w:tcPr>
          <w:p w14:paraId="05E32892">
            <w:pPr>
              <w:spacing w:line="240" w:lineRule="auto"/>
              <w:ind w:firstLine="0" w:firstLineChars="0"/>
              <w:jc w:val="center"/>
              <w:rPr>
                <w:bCs/>
                <w:color w:val="auto"/>
                <w:sz w:val="21"/>
                <w:szCs w:val="21"/>
                <w:lang w:val="zh-CN"/>
              </w:rPr>
            </w:pPr>
            <w:r>
              <w:rPr>
                <w:bCs/>
                <w:color w:val="auto"/>
                <w:sz w:val="21"/>
                <w:szCs w:val="21"/>
                <w:lang w:val="zh-CN"/>
              </w:rPr>
              <w:t>（2）信息报告内容及方式</w:t>
            </w:r>
          </w:p>
        </w:tc>
        <w:tc>
          <w:tcPr>
            <w:tcW w:w="3066" w:type="pct"/>
            <w:vAlign w:val="center"/>
          </w:tcPr>
          <w:p w14:paraId="76980F1A">
            <w:pPr>
              <w:spacing w:line="240" w:lineRule="auto"/>
              <w:ind w:firstLine="0" w:firstLineChars="0"/>
              <w:rPr>
                <w:bCs/>
                <w:color w:val="auto"/>
                <w:sz w:val="21"/>
                <w:szCs w:val="21"/>
                <w:lang w:val="zh-CN"/>
              </w:rPr>
            </w:pPr>
            <w:r>
              <w:rPr>
                <w:bCs/>
                <w:color w:val="auto"/>
                <w:sz w:val="21"/>
                <w:szCs w:val="21"/>
                <w:lang w:val="zh-CN"/>
              </w:rPr>
              <w:t>应明确不同阶段信息报告的内容与方式，可根据突发环境事件情况分为初报、续报和处理结果报告，宜采用传真、网络、邮寄和面呈等方式书面报告。</w:t>
            </w:r>
          </w:p>
        </w:tc>
      </w:tr>
      <w:tr w14:paraId="3E403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7F905A28">
            <w:pPr>
              <w:spacing w:line="240" w:lineRule="auto"/>
              <w:ind w:firstLine="0" w:firstLineChars="0"/>
              <w:jc w:val="center"/>
              <w:rPr>
                <w:bCs/>
                <w:color w:val="auto"/>
                <w:sz w:val="21"/>
                <w:szCs w:val="21"/>
              </w:rPr>
            </w:pPr>
            <w:r>
              <w:rPr>
                <w:bCs/>
                <w:color w:val="auto"/>
                <w:sz w:val="21"/>
                <w:szCs w:val="21"/>
              </w:rPr>
              <w:t>5</w:t>
            </w:r>
          </w:p>
        </w:tc>
        <w:tc>
          <w:tcPr>
            <w:tcW w:w="411" w:type="pct"/>
            <w:vAlign w:val="center"/>
          </w:tcPr>
          <w:p w14:paraId="5FDFB5C1">
            <w:pPr>
              <w:spacing w:line="240" w:lineRule="auto"/>
              <w:ind w:firstLine="0" w:firstLineChars="0"/>
              <w:jc w:val="center"/>
              <w:rPr>
                <w:bCs/>
                <w:color w:val="auto"/>
                <w:sz w:val="21"/>
                <w:szCs w:val="21"/>
              </w:rPr>
            </w:pPr>
            <w:r>
              <w:rPr>
                <w:bCs/>
                <w:color w:val="auto"/>
                <w:sz w:val="21"/>
                <w:szCs w:val="21"/>
              </w:rPr>
              <w:t>环境应急监测</w:t>
            </w:r>
          </w:p>
        </w:tc>
        <w:tc>
          <w:tcPr>
            <w:tcW w:w="1140" w:type="pct"/>
            <w:vAlign w:val="center"/>
          </w:tcPr>
          <w:p w14:paraId="244C8575">
            <w:pPr>
              <w:spacing w:line="240" w:lineRule="auto"/>
              <w:ind w:firstLine="0" w:firstLineChars="0"/>
              <w:jc w:val="center"/>
              <w:rPr>
                <w:bCs/>
                <w:color w:val="auto"/>
                <w:sz w:val="21"/>
                <w:szCs w:val="21"/>
              </w:rPr>
            </w:pPr>
            <w:r>
              <w:rPr>
                <w:bCs/>
                <w:color w:val="auto"/>
                <w:sz w:val="21"/>
                <w:szCs w:val="21"/>
              </w:rPr>
              <w:t>/</w:t>
            </w:r>
          </w:p>
        </w:tc>
        <w:tc>
          <w:tcPr>
            <w:tcW w:w="3066" w:type="pct"/>
            <w:vAlign w:val="center"/>
          </w:tcPr>
          <w:p w14:paraId="26A892E7">
            <w:pPr>
              <w:spacing w:line="240" w:lineRule="auto"/>
              <w:ind w:firstLine="0" w:firstLineChars="0"/>
              <w:rPr>
                <w:bCs/>
                <w:color w:val="auto"/>
                <w:sz w:val="21"/>
                <w:szCs w:val="21"/>
                <w:lang w:val="zh-CN"/>
              </w:rPr>
            </w:pPr>
            <w:r>
              <w:rPr>
                <w:bCs/>
                <w:color w:val="auto"/>
                <w:sz w:val="21"/>
                <w:szCs w:val="21"/>
                <w:lang w:val="zh-CN"/>
              </w:rPr>
              <w:t>制定不同突发环境事件情景下的环境应急监测方案，具体技术规范可参见HJ589中相关规定。</w:t>
            </w:r>
          </w:p>
          <w:p w14:paraId="2C1860A4">
            <w:pPr>
              <w:spacing w:line="240" w:lineRule="auto"/>
              <w:ind w:firstLine="0" w:firstLineChars="0"/>
              <w:rPr>
                <w:bCs/>
                <w:color w:val="auto"/>
                <w:sz w:val="21"/>
                <w:szCs w:val="21"/>
                <w:lang w:val="zh-CN"/>
              </w:rPr>
            </w:pPr>
            <w:r>
              <w:rPr>
                <w:bCs/>
                <w:color w:val="auto"/>
                <w:sz w:val="21"/>
                <w:szCs w:val="21"/>
                <w:lang w:val="zh-CN"/>
              </w:rPr>
              <w:t>若企事业单位自身监测能力不足，应依托外部有资质的监测（检测）单位并签订环境应急监测协议。</w:t>
            </w:r>
          </w:p>
        </w:tc>
      </w:tr>
      <w:tr w14:paraId="639B8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restart"/>
            <w:vAlign w:val="center"/>
          </w:tcPr>
          <w:p w14:paraId="4109D485">
            <w:pPr>
              <w:spacing w:line="240" w:lineRule="auto"/>
              <w:ind w:firstLine="0" w:firstLineChars="0"/>
              <w:jc w:val="center"/>
              <w:rPr>
                <w:bCs/>
                <w:color w:val="auto"/>
                <w:sz w:val="21"/>
                <w:szCs w:val="21"/>
              </w:rPr>
            </w:pPr>
            <w:r>
              <w:rPr>
                <w:bCs/>
                <w:color w:val="auto"/>
                <w:sz w:val="21"/>
                <w:szCs w:val="21"/>
              </w:rPr>
              <w:t>6</w:t>
            </w:r>
          </w:p>
        </w:tc>
        <w:tc>
          <w:tcPr>
            <w:tcW w:w="411" w:type="pct"/>
            <w:vMerge w:val="restart"/>
            <w:vAlign w:val="center"/>
          </w:tcPr>
          <w:p w14:paraId="312ADAC5">
            <w:pPr>
              <w:spacing w:line="240" w:lineRule="auto"/>
              <w:ind w:firstLine="0" w:firstLineChars="0"/>
              <w:rPr>
                <w:bCs/>
                <w:color w:val="auto"/>
                <w:sz w:val="21"/>
                <w:szCs w:val="21"/>
              </w:rPr>
            </w:pPr>
            <w:r>
              <w:rPr>
                <w:bCs/>
                <w:color w:val="auto"/>
                <w:sz w:val="21"/>
                <w:szCs w:val="21"/>
              </w:rPr>
              <w:t>环境应急响应</w:t>
            </w:r>
          </w:p>
        </w:tc>
        <w:tc>
          <w:tcPr>
            <w:tcW w:w="1140" w:type="pct"/>
            <w:vAlign w:val="center"/>
          </w:tcPr>
          <w:p w14:paraId="541772FC">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1</w:t>
            </w:r>
            <w:r>
              <w:rPr>
                <w:bCs/>
                <w:color w:val="auto"/>
                <w:sz w:val="21"/>
                <w:szCs w:val="21"/>
                <w:lang w:val="zh-CN"/>
              </w:rPr>
              <w:t>）</w:t>
            </w:r>
            <w:r>
              <w:rPr>
                <w:bCs/>
                <w:color w:val="auto"/>
                <w:sz w:val="21"/>
                <w:szCs w:val="21"/>
              </w:rPr>
              <w:t>响应程序</w:t>
            </w:r>
          </w:p>
        </w:tc>
        <w:tc>
          <w:tcPr>
            <w:tcW w:w="3066" w:type="pct"/>
            <w:vAlign w:val="center"/>
          </w:tcPr>
          <w:p w14:paraId="22A308F6">
            <w:pPr>
              <w:spacing w:line="240" w:lineRule="auto"/>
              <w:ind w:firstLine="0" w:firstLineChars="0"/>
              <w:rPr>
                <w:bCs/>
                <w:color w:val="auto"/>
                <w:sz w:val="21"/>
                <w:szCs w:val="21"/>
                <w:lang w:val="zh-CN"/>
              </w:rPr>
            </w:pPr>
            <w:r>
              <w:rPr>
                <w:bCs/>
                <w:color w:val="auto"/>
                <w:sz w:val="21"/>
                <w:szCs w:val="21"/>
                <w:lang w:val="zh-CN"/>
              </w:rPr>
              <w:t>明确突发环境事件发生后，各应急组织机构应当采取的具体行动措施，包括响应分级、应急启动、应急处置等程序。</w:t>
            </w:r>
          </w:p>
        </w:tc>
      </w:tr>
      <w:tr w14:paraId="56E1F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61ED204E">
            <w:pPr>
              <w:spacing w:line="240" w:lineRule="auto"/>
              <w:ind w:firstLine="0" w:firstLineChars="0"/>
              <w:jc w:val="center"/>
              <w:rPr>
                <w:bCs/>
                <w:color w:val="auto"/>
                <w:sz w:val="21"/>
                <w:szCs w:val="21"/>
                <w:lang w:val="zh-CN"/>
              </w:rPr>
            </w:pPr>
          </w:p>
        </w:tc>
        <w:tc>
          <w:tcPr>
            <w:tcW w:w="411" w:type="pct"/>
            <w:vMerge w:val="continue"/>
            <w:vAlign w:val="center"/>
          </w:tcPr>
          <w:p w14:paraId="60FD4CCA">
            <w:pPr>
              <w:spacing w:line="240" w:lineRule="auto"/>
              <w:ind w:firstLine="0" w:firstLineChars="0"/>
              <w:jc w:val="center"/>
              <w:rPr>
                <w:bCs/>
                <w:color w:val="auto"/>
                <w:sz w:val="21"/>
                <w:szCs w:val="21"/>
                <w:lang w:val="zh-CN"/>
              </w:rPr>
            </w:pPr>
          </w:p>
        </w:tc>
        <w:tc>
          <w:tcPr>
            <w:tcW w:w="1140" w:type="pct"/>
            <w:vAlign w:val="center"/>
          </w:tcPr>
          <w:p w14:paraId="7077D645">
            <w:pPr>
              <w:spacing w:line="240" w:lineRule="auto"/>
              <w:ind w:firstLine="0" w:firstLineChars="0"/>
              <w:jc w:val="center"/>
              <w:rPr>
                <w:bCs/>
                <w:color w:val="auto"/>
                <w:sz w:val="21"/>
                <w:szCs w:val="21"/>
                <w:lang w:val="zh-CN"/>
              </w:rPr>
            </w:pPr>
            <w:r>
              <w:rPr>
                <w:bCs/>
                <w:color w:val="auto"/>
                <w:sz w:val="21"/>
                <w:szCs w:val="21"/>
                <w:lang w:val="zh-CN"/>
              </w:rPr>
              <w:t>（</w:t>
            </w:r>
            <w:r>
              <w:rPr>
                <w:bCs/>
                <w:color w:val="auto"/>
                <w:sz w:val="21"/>
                <w:szCs w:val="21"/>
              </w:rPr>
              <w:t>2</w:t>
            </w:r>
            <w:r>
              <w:rPr>
                <w:bCs/>
                <w:color w:val="auto"/>
                <w:sz w:val="21"/>
                <w:szCs w:val="21"/>
                <w:lang w:val="zh-CN"/>
              </w:rPr>
              <w:t>）</w:t>
            </w:r>
            <w:r>
              <w:rPr>
                <w:bCs/>
                <w:color w:val="auto"/>
                <w:sz w:val="21"/>
                <w:szCs w:val="21"/>
              </w:rPr>
              <w:t>响应分级</w:t>
            </w:r>
          </w:p>
        </w:tc>
        <w:tc>
          <w:tcPr>
            <w:tcW w:w="3066" w:type="pct"/>
            <w:vAlign w:val="center"/>
          </w:tcPr>
          <w:p w14:paraId="4063FCB1">
            <w:pPr>
              <w:spacing w:line="240" w:lineRule="auto"/>
              <w:ind w:firstLine="0" w:firstLineChars="0"/>
              <w:rPr>
                <w:bCs/>
                <w:color w:val="auto"/>
                <w:sz w:val="21"/>
                <w:szCs w:val="21"/>
                <w:lang w:val="zh-CN"/>
              </w:rPr>
            </w:pPr>
            <w:r>
              <w:rPr>
                <w:bCs/>
                <w:color w:val="auto"/>
                <w:sz w:val="21"/>
                <w:szCs w:val="21"/>
                <w:lang w:val="zh-CN"/>
              </w:rPr>
              <w:t>针对突发环境事件危害程度、影响范围、企事业单位内部控制事态的能力以及可以调动的应急资源，将突发环境事件应急响应行动分为不同的级别。</w:t>
            </w:r>
          </w:p>
        </w:tc>
      </w:tr>
      <w:tr w14:paraId="658A3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356364C9">
            <w:pPr>
              <w:spacing w:line="240" w:lineRule="auto"/>
              <w:ind w:firstLine="0" w:firstLineChars="0"/>
              <w:jc w:val="center"/>
              <w:rPr>
                <w:bCs/>
                <w:color w:val="auto"/>
                <w:sz w:val="21"/>
                <w:szCs w:val="21"/>
                <w:lang w:val="zh-CN"/>
              </w:rPr>
            </w:pPr>
          </w:p>
        </w:tc>
        <w:tc>
          <w:tcPr>
            <w:tcW w:w="411" w:type="pct"/>
            <w:vMerge w:val="continue"/>
            <w:vAlign w:val="center"/>
          </w:tcPr>
          <w:p w14:paraId="411E3555">
            <w:pPr>
              <w:spacing w:line="240" w:lineRule="auto"/>
              <w:ind w:firstLine="0" w:firstLineChars="0"/>
              <w:jc w:val="center"/>
              <w:rPr>
                <w:bCs/>
                <w:color w:val="auto"/>
                <w:sz w:val="21"/>
                <w:szCs w:val="21"/>
                <w:lang w:val="zh-CN"/>
              </w:rPr>
            </w:pPr>
          </w:p>
        </w:tc>
        <w:tc>
          <w:tcPr>
            <w:tcW w:w="1140" w:type="pct"/>
            <w:vAlign w:val="center"/>
          </w:tcPr>
          <w:p w14:paraId="3EF0CE34">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3</w:t>
            </w:r>
            <w:r>
              <w:rPr>
                <w:bCs/>
                <w:color w:val="auto"/>
                <w:sz w:val="21"/>
                <w:szCs w:val="21"/>
                <w:lang w:val="zh-CN"/>
              </w:rPr>
              <w:t>）</w:t>
            </w:r>
            <w:r>
              <w:rPr>
                <w:bCs/>
                <w:color w:val="auto"/>
                <w:sz w:val="21"/>
                <w:szCs w:val="21"/>
              </w:rPr>
              <w:t>应急启动</w:t>
            </w:r>
          </w:p>
        </w:tc>
        <w:tc>
          <w:tcPr>
            <w:tcW w:w="3066" w:type="pct"/>
            <w:vAlign w:val="center"/>
          </w:tcPr>
          <w:p w14:paraId="37236FF1">
            <w:pPr>
              <w:spacing w:line="240" w:lineRule="auto"/>
              <w:ind w:firstLine="0" w:firstLineChars="0"/>
              <w:rPr>
                <w:bCs/>
                <w:color w:val="auto"/>
                <w:sz w:val="21"/>
                <w:szCs w:val="21"/>
                <w:lang w:val="zh-CN"/>
              </w:rPr>
            </w:pPr>
            <w:r>
              <w:rPr>
                <w:bCs/>
                <w:color w:val="auto"/>
                <w:sz w:val="21"/>
                <w:szCs w:val="21"/>
                <w:lang w:val="zh-CN"/>
              </w:rPr>
              <w:t>按照分级响应的原则，确定不同级别的现场负责人，指挥调度应急救援工作和开展应急响应。</w:t>
            </w:r>
          </w:p>
        </w:tc>
      </w:tr>
      <w:tr w14:paraId="70EF5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2" w:type="pct"/>
            <w:vMerge w:val="continue"/>
            <w:vAlign w:val="center"/>
          </w:tcPr>
          <w:p w14:paraId="03356872">
            <w:pPr>
              <w:spacing w:line="240" w:lineRule="auto"/>
              <w:ind w:firstLine="0" w:firstLineChars="0"/>
              <w:jc w:val="center"/>
              <w:rPr>
                <w:bCs/>
                <w:color w:val="auto"/>
                <w:sz w:val="21"/>
                <w:szCs w:val="21"/>
                <w:lang w:val="zh-CN"/>
              </w:rPr>
            </w:pPr>
          </w:p>
        </w:tc>
        <w:tc>
          <w:tcPr>
            <w:tcW w:w="411" w:type="pct"/>
            <w:vMerge w:val="continue"/>
            <w:vAlign w:val="center"/>
          </w:tcPr>
          <w:p w14:paraId="32F49C0E">
            <w:pPr>
              <w:spacing w:line="240" w:lineRule="auto"/>
              <w:ind w:firstLine="0" w:firstLineChars="0"/>
              <w:jc w:val="center"/>
              <w:rPr>
                <w:bCs/>
                <w:color w:val="auto"/>
                <w:sz w:val="21"/>
                <w:szCs w:val="21"/>
                <w:lang w:val="zh-CN"/>
              </w:rPr>
            </w:pPr>
          </w:p>
        </w:tc>
        <w:tc>
          <w:tcPr>
            <w:tcW w:w="1140" w:type="pct"/>
            <w:vAlign w:val="center"/>
          </w:tcPr>
          <w:p w14:paraId="6D13993B">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4</w:t>
            </w:r>
            <w:r>
              <w:rPr>
                <w:bCs/>
                <w:color w:val="auto"/>
                <w:sz w:val="21"/>
                <w:szCs w:val="21"/>
                <w:lang w:val="zh-CN"/>
              </w:rPr>
              <w:t>）</w:t>
            </w:r>
            <w:r>
              <w:rPr>
                <w:bCs/>
                <w:color w:val="auto"/>
                <w:sz w:val="21"/>
                <w:szCs w:val="21"/>
              </w:rPr>
              <w:t>应急处置</w:t>
            </w:r>
          </w:p>
        </w:tc>
        <w:tc>
          <w:tcPr>
            <w:tcW w:w="3066" w:type="pct"/>
            <w:vAlign w:val="center"/>
          </w:tcPr>
          <w:p w14:paraId="23EA5C9A">
            <w:pPr>
              <w:spacing w:line="240" w:lineRule="auto"/>
              <w:ind w:firstLine="0" w:firstLineChars="0"/>
              <w:rPr>
                <w:bCs/>
                <w:color w:val="auto"/>
                <w:sz w:val="21"/>
                <w:szCs w:val="21"/>
                <w:lang w:val="zh-CN"/>
              </w:rPr>
            </w:pPr>
            <w:r>
              <w:rPr>
                <w:bCs/>
                <w:color w:val="auto"/>
                <w:sz w:val="21"/>
                <w:szCs w:val="21"/>
                <w:lang w:val="zh-CN"/>
              </w:rPr>
              <w:t>按照内部污染源控制、污染范围研判、污染扩散控制、污染处置应对的流程，制定相应的应急处置措施，明确应急处置流程、步骤、责任人和所需应急资源等内容。突发环境事件可能或已经对企业外部环境产生影响时，说明在外部可以采取的原则性措施、对当地人民政府的建议性措施。</w:t>
            </w:r>
          </w:p>
        </w:tc>
      </w:tr>
      <w:tr w14:paraId="5FB8B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82" w:type="pct"/>
            <w:vAlign w:val="center"/>
          </w:tcPr>
          <w:p w14:paraId="28DB8B20">
            <w:pPr>
              <w:spacing w:line="240" w:lineRule="auto"/>
              <w:ind w:firstLine="0" w:firstLineChars="0"/>
              <w:jc w:val="center"/>
              <w:rPr>
                <w:bCs/>
                <w:color w:val="auto"/>
                <w:sz w:val="21"/>
                <w:szCs w:val="21"/>
              </w:rPr>
            </w:pPr>
            <w:r>
              <w:rPr>
                <w:bCs/>
                <w:color w:val="auto"/>
                <w:sz w:val="21"/>
                <w:szCs w:val="21"/>
              </w:rPr>
              <w:t>7</w:t>
            </w:r>
          </w:p>
        </w:tc>
        <w:tc>
          <w:tcPr>
            <w:tcW w:w="411" w:type="pct"/>
            <w:vAlign w:val="center"/>
          </w:tcPr>
          <w:p w14:paraId="09751149">
            <w:pPr>
              <w:spacing w:line="240" w:lineRule="auto"/>
              <w:ind w:firstLine="0" w:firstLineChars="0"/>
              <w:jc w:val="center"/>
              <w:rPr>
                <w:bCs/>
                <w:color w:val="auto"/>
                <w:sz w:val="21"/>
                <w:szCs w:val="21"/>
              </w:rPr>
            </w:pPr>
            <w:r>
              <w:rPr>
                <w:bCs/>
                <w:color w:val="auto"/>
                <w:sz w:val="21"/>
                <w:szCs w:val="21"/>
              </w:rPr>
              <w:t>应急终止</w:t>
            </w:r>
          </w:p>
        </w:tc>
        <w:tc>
          <w:tcPr>
            <w:tcW w:w="1140" w:type="pct"/>
            <w:vAlign w:val="center"/>
          </w:tcPr>
          <w:p w14:paraId="6B24DC02">
            <w:pPr>
              <w:spacing w:line="240" w:lineRule="auto"/>
              <w:ind w:firstLine="0" w:firstLineChars="0"/>
              <w:jc w:val="center"/>
              <w:rPr>
                <w:bCs/>
                <w:color w:val="auto"/>
                <w:sz w:val="21"/>
                <w:szCs w:val="21"/>
              </w:rPr>
            </w:pPr>
            <w:r>
              <w:rPr>
                <w:bCs/>
                <w:color w:val="auto"/>
                <w:sz w:val="21"/>
                <w:szCs w:val="21"/>
              </w:rPr>
              <w:t>/</w:t>
            </w:r>
          </w:p>
        </w:tc>
        <w:tc>
          <w:tcPr>
            <w:tcW w:w="3066" w:type="pct"/>
            <w:vAlign w:val="center"/>
          </w:tcPr>
          <w:p w14:paraId="0019254D">
            <w:pPr>
              <w:spacing w:line="240" w:lineRule="auto"/>
              <w:ind w:firstLine="0" w:firstLineChars="0"/>
              <w:rPr>
                <w:bCs/>
                <w:color w:val="auto"/>
                <w:sz w:val="21"/>
                <w:szCs w:val="21"/>
                <w:lang w:val="zh-CN"/>
              </w:rPr>
            </w:pPr>
            <w:r>
              <w:rPr>
                <w:bCs/>
                <w:color w:val="auto"/>
                <w:sz w:val="21"/>
                <w:szCs w:val="21"/>
                <w:lang w:val="zh-CN"/>
              </w:rPr>
              <w:t>明确应急终止的条件、程序和责任人，说明应急状态终止后，开展跟踪环境监测和评估工作的方案。</w:t>
            </w:r>
          </w:p>
        </w:tc>
      </w:tr>
      <w:tr w14:paraId="119B9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restart"/>
            <w:vAlign w:val="center"/>
          </w:tcPr>
          <w:p w14:paraId="4C2E7642">
            <w:pPr>
              <w:spacing w:line="240" w:lineRule="auto"/>
              <w:ind w:firstLine="0" w:firstLineChars="0"/>
              <w:jc w:val="center"/>
              <w:rPr>
                <w:bCs/>
                <w:color w:val="auto"/>
                <w:sz w:val="21"/>
                <w:szCs w:val="21"/>
              </w:rPr>
            </w:pPr>
            <w:r>
              <w:rPr>
                <w:bCs/>
                <w:color w:val="auto"/>
                <w:sz w:val="21"/>
                <w:szCs w:val="21"/>
              </w:rPr>
              <w:t>8</w:t>
            </w:r>
          </w:p>
        </w:tc>
        <w:tc>
          <w:tcPr>
            <w:tcW w:w="411" w:type="pct"/>
            <w:vMerge w:val="restart"/>
            <w:vAlign w:val="center"/>
          </w:tcPr>
          <w:p w14:paraId="2D7BAAA7">
            <w:pPr>
              <w:spacing w:line="240" w:lineRule="auto"/>
              <w:ind w:firstLine="0" w:firstLineChars="0"/>
              <w:jc w:val="center"/>
              <w:rPr>
                <w:bCs/>
                <w:color w:val="auto"/>
                <w:sz w:val="21"/>
                <w:szCs w:val="21"/>
              </w:rPr>
            </w:pPr>
            <w:r>
              <w:rPr>
                <w:bCs/>
                <w:color w:val="auto"/>
                <w:sz w:val="21"/>
                <w:szCs w:val="21"/>
              </w:rPr>
              <w:t>事后恢复</w:t>
            </w:r>
          </w:p>
        </w:tc>
        <w:tc>
          <w:tcPr>
            <w:tcW w:w="1140" w:type="pct"/>
            <w:vAlign w:val="center"/>
          </w:tcPr>
          <w:p w14:paraId="7C4E98FD">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1</w:t>
            </w:r>
            <w:r>
              <w:rPr>
                <w:bCs/>
                <w:color w:val="auto"/>
                <w:sz w:val="21"/>
                <w:szCs w:val="21"/>
                <w:lang w:val="zh-CN"/>
              </w:rPr>
              <w:t>）</w:t>
            </w:r>
            <w:r>
              <w:rPr>
                <w:bCs/>
                <w:color w:val="auto"/>
                <w:sz w:val="21"/>
                <w:szCs w:val="21"/>
              </w:rPr>
              <w:t>善后处置</w:t>
            </w:r>
          </w:p>
        </w:tc>
        <w:tc>
          <w:tcPr>
            <w:tcW w:w="3066" w:type="pct"/>
            <w:vAlign w:val="center"/>
          </w:tcPr>
          <w:p w14:paraId="6E501752">
            <w:pPr>
              <w:spacing w:line="240" w:lineRule="auto"/>
              <w:ind w:firstLine="0" w:firstLineChars="0"/>
              <w:rPr>
                <w:bCs/>
                <w:color w:val="auto"/>
                <w:sz w:val="21"/>
                <w:szCs w:val="21"/>
                <w:lang w:val="zh-CN"/>
              </w:rPr>
            </w:pPr>
            <w:r>
              <w:rPr>
                <w:bCs/>
                <w:color w:val="auto"/>
                <w:sz w:val="21"/>
                <w:szCs w:val="21"/>
                <w:lang w:val="zh-CN"/>
              </w:rPr>
              <w:t>应明确现场污染物的后续处置措施以及环境应急相关设施、设备、场所的维护措施，开展事件调查和总结。</w:t>
            </w:r>
          </w:p>
        </w:tc>
      </w:tr>
      <w:tr w14:paraId="75C9F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Merge w:val="continue"/>
            <w:vAlign w:val="center"/>
          </w:tcPr>
          <w:p w14:paraId="18F90E56">
            <w:pPr>
              <w:spacing w:line="240" w:lineRule="auto"/>
              <w:ind w:firstLine="0" w:firstLineChars="0"/>
              <w:jc w:val="center"/>
              <w:rPr>
                <w:bCs/>
                <w:color w:val="auto"/>
                <w:sz w:val="21"/>
                <w:szCs w:val="21"/>
                <w:lang w:val="zh-CN"/>
              </w:rPr>
            </w:pPr>
          </w:p>
        </w:tc>
        <w:tc>
          <w:tcPr>
            <w:tcW w:w="411" w:type="pct"/>
            <w:vMerge w:val="continue"/>
            <w:vAlign w:val="center"/>
          </w:tcPr>
          <w:p w14:paraId="25A7BABB">
            <w:pPr>
              <w:spacing w:line="240" w:lineRule="auto"/>
              <w:ind w:firstLine="0" w:firstLineChars="0"/>
              <w:jc w:val="center"/>
              <w:rPr>
                <w:bCs/>
                <w:color w:val="auto"/>
                <w:sz w:val="21"/>
                <w:szCs w:val="21"/>
                <w:lang w:val="zh-CN"/>
              </w:rPr>
            </w:pPr>
          </w:p>
        </w:tc>
        <w:tc>
          <w:tcPr>
            <w:tcW w:w="1140" w:type="pct"/>
            <w:vAlign w:val="center"/>
          </w:tcPr>
          <w:p w14:paraId="2EB36855">
            <w:pPr>
              <w:spacing w:line="240" w:lineRule="auto"/>
              <w:ind w:firstLine="0" w:firstLineChars="0"/>
              <w:jc w:val="center"/>
              <w:rPr>
                <w:bCs/>
                <w:color w:val="auto"/>
                <w:sz w:val="21"/>
                <w:szCs w:val="21"/>
              </w:rPr>
            </w:pPr>
            <w:r>
              <w:rPr>
                <w:bCs/>
                <w:color w:val="auto"/>
                <w:sz w:val="21"/>
                <w:szCs w:val="21"/>
                <w:lang w:val="zh-CN"/>
              </w:rPr>
              <w:t>（</w:t>
            </w:r>
            <w:r>
              <w:rPr>
                <w:bCs/>
                <w:color w:val="auto"/>
                <w:sz w:val="21"/>
                <w:szCs w:val="21"/>
              </w:rPr>
              <w:t>2</w:t>
            </w:r>
            <w:r>
              <w:rPr>
                <w:bCs/>
                <w:color w:val="auto"/>
                <w:sz w:val="21"/>
                <w:szCs w:val="21"/>
                <w:lang w:val="zh-CN"/>
              </w:rPr>
              <w:t>）</w:t>
            </w:r>
            <w:r>
              <w:rPr>
                <w:bCs/>
                <w:color w:val="auto"/>
                <w:sz w:val="21"/>
                <w:szCs w:val="21"/>
              </w:rPr>
              <w:t>保险理赔</w:t>
            </w:r>
          </w:p>
        </w:tc>
        <w:tc>
          <w:tcPr>
            <w:tcW w:w="3066" w:type="pct"/>
            <w:vAlign w:val="center"/>
          </w:tcPr>
          <w:p w14:paraId="33B65AE6">
            <w:pPr>
              <w:spacing w:line="240" w:lineRule="auto"/>
              <w:ind w:firstLine="0" w:firstLineChars="0"/>
              <w:rPr>
                <w:bCs/>
                <w:color w:val="auto"/>
                <w:sz w:val="21"/>
                <w:szCs w:val="21"/>
                <w:lang w:val="zh-CN"/>
              </w:rPr>
            </w:pPr>
            <w:r>
              <w:rPr>
                <w:bCs/>
                <w:color w:val="auto"/>
                <w:sz w:val="21"/>
                <w:szCs w:val="21"/>
                <w:lang w:val="zh-CN"/>
              </w:rPr>
              <w:t>明确办理的相关责任险或其他险种，对企事业单位环境应急人员办理意外伤害保险。突发环境事件发生后，及时做好理赔工作。</w:t>
            </w:r>
          </w:p>
        </w:tc>
      </w:tr>
      <w:tr w14:paraId="3CA62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5F33AAEB">
            <w:pPr>
              <w:spacing w:line="240" w:lineRule="auto"/>
              <w:ind w:firstLine="0" w:firstLineChars="0"/>
              <w:jc w:val="center"/>
              <w:rPr>
                <w:bCs/>
                <w:color w:val="auto"/>
                <w:sz w:val="21"/>
                <w:szCs w:val="21"/>
              </w:rPr>
            </w:pPr>
            <w:r>
              <w:rPr>
                <w:bCs/>
                <w:color w:val="auto"/>
                <w:sz w:val="21"/>
                <w:szCs w:val="21"/>
              </w:rPr>
              <w:t>9</w:t>
            </w:r>
          </w:p>
        </w:tc>
        <w:tc>
          <w:tcPr>
            <w:tcW w:w="411" w:type="pct"/>
            <w:vAlign w:val="center"/>
          </w:tcPr>
          <w:p w14:paraId="5C30DB00">
            <w:pPr>
              <w:spacing w:line="240" w:lineRule="auto"/>
              <w:ind w:firstLine="0" w:firstLineChars="0"/>
              <w:jc w:val="center"/>
              <w:rPr>
                <w:bCs/>
                <w:color w:val="auto"/>
                <w:sz w:val="21"/>
                <w:szCs w:val="21"/>
              </w:rPr>
            </w:pPr>
            <w:r>
              <w:rPr>
                <w:bCs/>
                <w:color w:val="auto"/>
                <w:sz w:val="21"/>
                <w:szCs w:val="21"/>
              </w:rPr>
              <w:t>保障措施</w:t>
            </w:r>
          </w:p>
        </w:tc>
        <w:tc>
          <w:tcPr>
            <w:tcW w:w="1140" w:type="pct"/>
            <w:vAlign w:val="center"/>
          </w:tcPr>
          <w:p w14:paraId="594E82D7">
            <w:pPr>
              <w:spacing w:line="240" w:lineRule="auto"/>
              <w:ind w:firstLine="0" w:firstLineChars="0"/>
              <w:jc w:val="center"/>
              <w:rPr>
                <w:bCs/>
                <w:color w:val="auto"/>
                <w:sz w:val="21"/>
                <w:szCs w:val="21"/>
              </w:rPr>
            </w:pPr>
            <w:r>
              <w:rPr>
                <w:bCs/>
                <w:color w:val="auto"/>
                <w:sz w:val="21"/>
                <w:szCs w:val="21"/>
              </w:rPr>
              <w:t>/</w:t>
            </w:r>
          </w:p>
        </w:tc>
        <w:tc>
          <w:tcPr>
            <w:tcW w:w="3066" w:type="pct"/>
            <w:vAlign w:val="center"/>
          </w:tcPr>
          <w:p w14:paraId="33FE44E7">
            <w:pPr>
              <w:spacing w:line="240" w:lineRule="auto"/>
              <w:ind w:firstLine="0" w:firstLineChars="0"/>
              <w:rPr>
                <w:bCs/>
                <w:color w:val="auto"/>
                <w:sz w:val="21"/>
                <w:szCs w:val="21"/>
                <w:lang w:val="zh-CN"/>
              </w:rPr>
            </w:pPr>
            <w:r>
              <w:rPr>
                <w:bCs/>
                <w:color w:val="auto"/>
                <w:sz w:val="21"/>
                <w:szCs w:val="21"/>
                <w:lang w:val="zh-CN"/>
              </w:rPr>
              <w:t>根据环境应急工作需求确定相关保障措施，包括经费保障、制度保障、应急物资装备保障、应急队伍保障、通信与信息保障等。</w:t>
            </w:r>
          </w:p>
        </w:tc>
      </w:tr>
      <w:tr w14:paraId="78788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4C42F629">
            <w:pPr>
              <w:spacing w:line="240" w:lineRule="auto"/>
              <w:ind w:firstLine="0" w:firstLineChars="0"/>
              <w:jc w:val="center"/>
              <w:rPr>
                <w:bCs/>
                <w:color w:val="auto"/>
                <w:sz w:val="21"/>
                <w:szCs w:val="21"/>
              </w:rPr>
            </w:pPr>
            <w:r>
              <w:rPr>
                <w:bCs/>
                <w:color w:val="auto"/>
                <w:sz w:val="21"/>
                <w:szCs w:val="21"/>
              </w:rPr>
              <w:t>10</w:t>
            </w:r>
          </w:p>
        </w:tc>
        <w:tc>
          <w:tcPr>
            <w:tcW w:w="411" w:type="pct"/>
            <w:vAlign w:val="center"/>
          </w:tcPr>
          <w:p w14:paraId="3FEA5444">
            <w:pPr>
              <w:spacing w:line="240" w:lineRule="auto"/>
              <w:ind w:firstLine="0" w:firstLineChars="0"/>
              <w:jc w:val="center"/>
              <w:rPr>
                <w:bCs/>
                <w:color w:val="auto"/>
                <w:sz w:val="21"/>
                <w:szCs w:val="21"/>
              </w:rPr>
            </w:pPr>
            <w:r>
              <w:rPr>
                <w:bCs/>
                <w:color w:val="auto"/>
                <w:sz w:val="21"/>
                <w:szCs w:val="21"/>
              </w:rPr>
              <w:t>预案管理</w:t>
            </w:r>
          </w:p>
        </w:tc>
        <w:tc>
          <w:tcPr>
            <w:tcW w:w="1140" w:type="pct"/>
            <w:vAlign w:val="center"/>
          </w:tcPr>
          <w:p w14:paraId="1BAF9896">
            <w:pPr>
              <w:spacing w:line="240" w:lineRule="auto"/>
              <w:ind w:firstLine="0" w:firstLineChars="0"/>
              <w:jc w:val="center"/>
              <w:rPr>
                <w:bCs/>
                <w:color w:val="auto"/>
                <w:sz w:val="21"/>
                <w:szCs w:val="21"/>
                <w:lang w:val="zh-CN"/>
              </w:rPr>
            </w:pPr>
            <w:r>
              <w:rPr>
                <w:bCs/>
                <w:color w:val="auto"/>
                <w:sz w:val="21"/>
                <w:szCs w:val="21"/>
              </w:rPr>
              <w:t>/</w:t>
            </w:r>
          </w:p>
        </w:tc>
        <w:tc>
          <w:tcPr>
            <w:tcW w:w="3066" w:type="pct"/>
            <w:vAlign w:val="center"/>
          </w:tcPr>
          <w:p w14:paraId="3A7D6AD7">
            <w:pPr>
              <w:spacing w:line="240" w:lineRule="auto"/>
              <w:ind w:firstLine="0" w:firstLineChars="0"/>
              <w:rPr>
                <w:bCs/>
                <w:color w:val="auto"/>
                <w:sz w:val="21"/>
                <w:szCs w:val="21"/>
                <w:lang w:val="zh-CN"/>
              </w:rPr>
            </w:pPr>
            <w:r>
              <w:rPr>
                <w:bCs/>
                <w:color w:val="auto"/>
                <w:sz w:val="21"/>
                <w:szCs w:val="21"/>
                <w:lang w:val="zh-CN"/>
              </w:rPr>
              <w:t>明确环境应急预案培训、演练、评估修订等要求。</w:t>
            </w:r>
          </w:p>
        </w:tc>
      </w:tr>
      <w:tr w14:paraId="25A6A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p w14:paraId="427A977C">
            <w:pPr>
              <w:spacing w:line="240" w:lineRule="auto"/>
              <w:ind w:firstLine="0" w:firstLineChars="0"/>
              <w:jc w:val="center"/>
              <w:rPr>
                <w:bCs/>
                <w:color w:val="auto"/>
                <w:sz w:val="21"/>
                <w:szCs w:val="21"/>
              </w:rPr>
            </w:pPr>
            <w:r>
              <w:rPr>
                <w:bCs/>
                <w:color w:val="auto"/>
                <w:sz w:val="21"/>
                <w:szCs w:val="21"/>
              </w:rPr>
              <w:t>11</w:t>
            </w:r>
          </w:p>
        </w:tc>
        <w:tc>
          <w:tcPr>
            <w:tcW w:w="411" w:type="pct"/>
            <w:vAlign w:val="center"/>
          </w:tcPr>
          <w:p w14:paraId="741256C5">
            <w:pPr>
              <w:spacing w:line="240" w:lineRule="auto"/>
              <w:ind w:firstLine="0" w:firstLineChars="0"/>
              <w:jc w:val="center"/>
              <w:rPr>
                <w:bCs/>
                <w:color w:val="auto"/>
                <w:sz w:val="21"/>
                <w:szCs w:val="21"/>
              </w:rPr>
            </w:pPr>
            <w:r>
              <w:rPr>
                <w:bCs/>
                <w:color w:val="auto"/>
                <w:sz w:val="21"/>
                <w:szCs w:val="21"/>
              </w:rPr>
              <w:t>附件</w:t>
            </w:r>
          </w:p>
        </w:tc>
        <w:tc>
          <w:tcPr>
            <w:tcW w:w="1140" w:type="pct"/>
            <w:vAlign w:val="center"/>
          </w:tcPr>
          <w:p w14:paraId="7E97C4E4">
            <w:pPr>
              <w:spacing w:line="240" w:lineRule="auto"/>
              <w:ind w:firstLine="0" w:firstLineChars="0"/>
              <w:jc w:val="center"/>
              <w:rPr>
                <w:bCs/>
                <w:color w:val="auto"/>
                <w:sz w:val="21"/>
                <w:szCs w:val="21"/>
                <w:lang w:val="zh-CN"/>
              </w:rPr>
            </w:pPr>
            <w:r>
              <w:rPr>
                <w:bCs/>
                <w:color w:val="auto"/>
                <w:sz w:val="21"/>
                <w:szCs w:val="21"/>
              </w:rPr>
              <w:t>/</w:t>
            </w:r>
          </w:p>
        </w:tc>
        <w:tc>
          <w:tcPr>
            <w:tcW w:w="3066" w:type="pct"/>
            <w:vAlign w:val="center"/>
          </w:tcPr>
          <w:p w14:paraId="1F694C73">
            <w:pPr>
              <w:spacing w:line="240" w:lineRule="auto"/>
              <w:ind w:firstLine="0" w:firstLineChars="0"/>
              <w:rPr>
                <w:bCs/>
                <w:color w:val="auto"/>
                <w:sz w:val="21"/>
                <w:szCs w:val="21"/>
                <w:lang w:val="zh-CN"/>
              </w:rPr>
            </w:pPr>
            <w:r>
              <w:rPr>
                <w:bCs/>
                <w:color w:val="auto"/>
                <w:sz w:val="21"/>
                <w:szCs w:val="21"/>
                <w:lang w:val="zh-CN"/>
              </w:rPr>
              <w:t>附件宜包括以下内容a）涉及部门、机构或人员的联系方式（含应急联系方式）；b）应急信息接报、处理、上报等规范化格式文本；c）其他相关材料。</w:t>
            </w:r>
          </w:p>
        </w:tc>
      </w:tr>
    </w:tbl>
    <w:p w14:paraId="057D5D25">
      <w:pPr>
        <w:ind w:firstLine="482"/>
        <w:rPr>
          <w:b/>
          <w:bCs/>
          <w:color w:val="auto"/>
        </w:rPr>
      </w:pPr>
      <w:r>
        <w:rPr>
          <w:rFonts w:hint="eastAsia"/>
          <w:b/>
          <w:bCs/>
          <w:color w:val="auto"/>
        </w:rPr>
        <w:t>2、环境应急物资配备要求</w:t>
      </w:r>
    </w:p>
    <w:p w14:paraId="356B0E5D">
      <w:pPr>
        <w:ind w:firstLine="480"/>
        <w:rPr>
          <w:color w:val="auto"/>
        </w:rPr>
      </w:pPr>
      <w:r>
        <w:rPr>
          <w:rFonts w:hint="eastAsia"/>
          <w:color w:val="auto"/>
        </w:rPr>
        <w:t>本项目使用的硫酸、碱蚀添加剂等为危险化学品，参照《危险化学品单位应急救援物资配备要求》（GB30077-2013），环境应急装备物资配备应符合表7.2.7-4的要求。环境应急设施分布图见图7.2-6。</w:t>
      </w:r>
    </w:p>
    <w:p w14:paraId="6712C8EB">
      <w:pPr>
        <w:spacing w:line="240" w:lineRule="auto"/>
        <w:ind w:firstLine="0" w:firstLineChars="0"/>
        <w:jc w:val="center"/>
        <w:rPr>
          <w:b/>
          <w:bCs/>
          <w:color w:val="auto"/>
        </w:rPr>
      </w:pPr>
      <w:r>
        <w:rPr>
          <w:rFonts w:hint="eastAsia"/>
          <w:b/>
          <w:bCs/>
          <w:color w:val="auto"/>
        </w:rPr>
        <w:t>表7.2.7-4  作业场所救援物资配备要求</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130"/>
        <w:gridCol w:w="3157"/>
        <w:gridCol w:w="1007"/>
        <w:gridCol w:w="2447"/>
      </w:tblGrid>
      <w:tr w14:paraId="12ED8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56B2D5FB">
            <w:pPr>
              <w:spacing w:line="240" w:lineRule="auto"/>
              <w:ind w:firstLine="0" w:firstLineChars="0"/>
              <w:jc w:val="center"/>
              <w:rPr>
                <w:b/>
                <w:bCs/>
                <w:color w:val="auto"/>
                <w:sz w:val="21"/>
                <w:szCs w:val="21"/>
              </w:rPr>
            </w:pPr>
            <w:r>
              <w:rPr>
                <w:rFonts w:hint="eastAsia"/>
                <w:b/>
                <w:bCs/>
                <w:color w:val="auto"/>
                <w:sz w:val="21"/>
                <w:szCs w:val="21"/>
              </w:rPr>
              <w:t>序号</w:t>
            </w:r>
          </w:p>
        </w:tc>
        <w:tc>
          <w:tcPr>
            <w:tcW w:w="2130" w:type="dxa"/>
            <w:tcBorders>
              <w:tl2br w:val="nil"/>
              <w:tr2bl w:val="nil"/>
            </w:tcBorders>
            <w:vAlign w:val="center"/>
          </w:tcPr>
          <w:p w14:paraId="25C7ECA1">
            <w:pPr>
              <w:spacing w:line="240" w:lineRule="auto"/>
              <w:ind w:firstLine="0" w:firstLineChars="0"/>
              <w:jc w:val="center"/>
              <w:rPr>
                <w:b/>
                <w:bCs/>
                <w:color w:val="auto"/>
                <w:sz w:val="21"/>
                <w:szCs w:val="21"/>
              </w:rPr>
            </w:pPr>
            <w:r>
              <w:rPr>
                <w:rFonts w:hint="eastAsia"/>
                <w:b/>
                <w:bCs/>
                <w:color w:val="auto"/>
                <w:sz w:val="21"/>
                <w:szCs w:val="21"/>
              </w:rPr>
              <w:t>物资名称</w:t>
            </w:r>
          </w:p>
        </w:tc>
        <w:tc>
          <w:tcPr>
            <w:tcW w:w="3157" w:type="dxa"/>
            <w:tcBorders>
              <w:tl2br w:val="nil"/>
              <w:tr2bl w:val="nil"/>
            </w:tcBorders>
            <w:vAlign w:val="center"/>
          </w:tcPr>
          <w:p w14:paraId="01CDAC4B">
            <w:pPr>
              <w:spacing w:line="240" w:lineRule="auto"/>
              <w:ind w:firstLine="0" w:firstLineChars="0"/>
              <w:jc w:val="center"/>
              <w:rPr>
                <w:b/>
                <w:bCs/>
                <w:color w:val="auto"/>
                <w:sz w:val="21"/>
                <w:szCs w:val="21"/>
              </w:rPr>
            </w:pPr>
            <w:r>
              <w:rPr>
                <w:rFonts w:hint="eastAsia"/>
                <w:b/>
                <w:bCs/>
                <w:color w:val="auto"/>
                <w:sz w:val="21"/>
                <w:szCs w:val="21"/>
              </w:rPr>
              <w:t>技术要求或功能要求</w:t>
            </w:r>
          </w:p>
        </w:tc>
        <w:tc>
          <w:tcPr>
            <w:tcW w:w="1007" w:type="dxa"/>
            <w:tcBorders>
              <w:tl2br w:val="nil"/>
              <w:tr2bl w:val="nil"/>
            </w:tcBorders>
            <w:vAlign w:val="center"/>
          </w:tcPr>
          <w:p w14:paraId="4A575784">
            <w:pPr>
              <w:spacing w:line="240" w:lineRule="auto"/>
              <w:ind w:firstLine="0" w:firstLineChars="0"/>
              <w:jc w:val="center"/>
              <w:rPr>
                <w:b/>
                <w:bCs/>
                <w:color w:val="auto"/>
                <w:sz w:val="21"/>
                <w:szCs w:val="21"/>
              </w:rPr>
            </w:pPr>
            <w:r>
              <w:rPr>
                <w:rFonts w:hint="eastAsia"/>
                <w:b/>
                <w:bCs/>
                <w:color w:val="auto"/>
                <w:sz w:val="21"/>
                <w:szCs w:val="21"/>
              </w:rPr>
              <w:t>配备套数</w:t>
            </w:r>
          </w:p>
        </w:tc>
        <w:tc>
          <w:tcPr>
            <w:tcW w:w="2447" w:type="dxa"/>
            <w:tcBorders>
              <w:tl2br w:val="nil"/>
              <w:tr2bl w:val="nil"/>
            </w:tcBorders>
            <w:vAlign w:val="center"/>
          </w:tcPr>
          <w:p w14:paraId="13C54B7C">
            <w:pPr>
              <w:spacing w:line="240" w:lineRule="auto"/>
              <w:ind w:firstLine="0" w:firstLineChars="0"/>
              <w:jc w:val="center"/>
              <w:rPr>
                <w:b/>
                <w:bCs/>
                <w:color w:val="auto"/>
                <w:sz w:val="21"/>
                <w:szCs w:val="21"/>
              </w:rPr>
            </w:pPr>
            <w:r>
              <w:rPr>
                <w:rFonts w:hint="eastAsia"/>
                <w:b/>
                <w:bCs/>
                <w:color w:val="auto"/>
                <w:sz w:val="21"/>
                <w:szCs w:val="21"/>
              </w:rPr>
              <w:t>备注</w:t>
            </w:r>
          </w:p>
        </w:tc>
      </w:tr>
      <w:tr w14:paraId="5143A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3D63B221">
            <w:pPr>
              <w:spacing w:line="240" w:lineRule="auto"/>
              <w:ind w:firstLine="0" w:firstLineChars="0"/>
              <w:jc w:val="center"/>
              <w:rPr>
                <w:color w:val="auto"/>
                <w:sz w:val="21"/>
                <w:szCs w:val="21"/>
              </w:rPr>
            </w:pPr>
            <w:r>
              <w:rPr>
                <w:rFonts w:hint="eastAsia"/>
                <w:color w:val="auto"/>
                <w:sz w:val="21"/>
                <w:szCs w:val="21"/>
              </w:rPr>
              <w:t>1</w:t>
            </w:r>
          </w:p>
        </w:tc>
        <w:tc>
          <w:tcPr>
            <w:tcW w:w="2130" w:type="dxa"/>
            <w:tcBorders>
              <w:tl2br w:val="nil"/>
              <w:tr2bl w:val="nil"/>
            </w:tcBorders>
            <w:vAlign w:val="center"/>
          </w:tcPr>
          <w:p w14:paraId="34B567BE">
            <w:pPr>
              <w:spacing w:line="240" w:lineRule="auto"/>
              <w:ind w:firstLine="0" w:firstLineChars="0"/>
              <w:jc w:val="center"/>
              <w:rPr>
                <w:color w:val="auto"/>
                <w:sz w:val="21"/>
                <w:szCs w:val="21"/>
              </w:rPr>
            </w:pPr>
            <w:r>
              <w:rPr>
                <w:rFonts w:hint="eastAsia"/>
                <w:color w:val="auto"/>
                <w:sz w:val="21"/>
                <w:szCs w:val="21"/>
              </w:rPr>
              <w:t>正压式空气呼吸器</w:t>
            </w:r>
          </w:p>
        </w:tc>
        <w:tc>
          <w:tcPr>
            <w:tcW w:w="3157" w:type="dxa"/>
            <w:tcBorders>
              <w:tl2br w:val="nil"/>
              <w:tr2bl w:val="nil"/>
            </w:tcBorders>
            <w:vAlign w:val="center"/>
          </w:tcPr>
          <w:p w14:paraId="2E59B001">
            <w:pPr>
              <w:spacing w:line="240" w:lineRule="auto"/>
              <w:ind w:firstLine="0" w:firstLineChars="0"/>
              <w:jc w:val="center"/>
              <w:rPr>
                <w:color w:val="auto"/>
                <w:sz w:val="21"/>
                <w:szCs w:val="21"/>
              </w:rPr>
            </w:pPr>
            <w:r>
              <w:rPr>
                <w:rFonts w:hint="eastAsia"/>
                <w:color w:val="auto"/>
                <w:sz w:val="21"/>
                <w:szCs w:val="21"/>
              </w:rPr>
              <w:t>技术性能符合GB/T18664要求</w:t>
            </w:r>
          </w:p>
        </w:tc>
        <w:tc>
          <w:tcPr>
            <w:tcW w:w="1007" w:type="dxa"/>
            <w:tcBorders>
              <w:tl2br w:val="nil"/>
              <w:tr2bl w:val="nil"/>
            </w:tcBorders>
            <w:vAlign w:val="center"/>
          </w:tcPr>
          <w:p w14:paraId="41C1D0E2">
            <w:pPr>
              <w:spacing w:line="240" w:lineRule="auto"/>
              <w:ind w:firstLine="0" w:firstLineChars="0"/>
              <w:jc w:val="center"/>
              <w:rPr>
                <w:color w:val="auto"/>
                <w:sz w:val="21"/>
                <w:szCs w:val="21"/>
              </w:rPr>
            </w:pPr>
            <w:r>
              <w:rPr>
                <w:rFonts w:hint="eastAsia"/>
                <w:color w:val="auto"/>
                <w:sz w:val="21"/>
                <w:szCs w:val="21"/>
              </w:rPr>
              <w:t>4套</w:t>
            </w:r>
          </w:p>
        </w:tc>
        <w:tc>
          <w:tcPr>
            <w:tcW w:w="2447" w:type="dxa"/>
            <w:tcBorders>
              <w:tl2br w:val="nil"/>
              <w:tr2bl w:val="nil"/>
            </w:tcBorders>
            <w:vAlign w:val="center"/>
          </w:tcPr>
          <w:p w14:paraId="4377429F">
            <w:pPr>
              <w:spacing w:line="240" w:lineRule="auto"/>
              <w:ind w:firstLine="0" w:firstLineChars="0"/>
              <w:jc w:val="center"/>
              <w:rPr>
                <w:color w:val="auto"/>
                <w:sz w:val="21"/>
                <w:szCs w:val="21"/>
              </w:rPr>
            </w:pPr>
            <w:r>
              <w:rPr>
                <w:rFonts w:hint="eastAsia"/>
                <w:color w:val="auto"/>
                <w:sz w:val="21"/>
                <w:szCs w:val="21"/>
              </w:rPr>
              <w:t>/</w:t>
            </w:r>
          </w:p>
        </w:tc>
      </w:tr>
      <w:tr w14:paraId="72137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2AE097DC">
            <w:pPr>
              <w:spacing w:line="240" w:lineRule="auto"/>
              <w:ind w:firstLine="0" w:firstLineChars="0"/>
              <w:jc w:val="center"/>
              <w:rPr>
                <w:color w:val="auto"/>
                <w:sz w:val="21"/>
                <w:szCs w:val="21"/>
              </w:rPr>
            </w:pPr>
            <w:r>
              <w:rPr>
                <w:rFonts w:hint="eastAsia"/>
                <w:color w:val="auto"/>
                <w:sz w:val="21"/>
                <w:szCs w:val="21"/>
              </w:rPr>
              <w:t>2</w:t>
            </w:r>
          </w:p>
        </w:tc>
        <w:tc>
          <w:tcPr>
            <w:tcW w:w="2130" w:type="dxa"/>
            <w:tcBorders>
              <w:tl2br w:val="nil"/>
              <w:tr2bl w:val="nil"/>
            </w:tcBorders>
            <w:vAlign w:val="center"/>
          </w:tcPr>
          <w:p w14:paraId="052EACEA">
            <w:pPr>
              <w:spacing w:line="240" w:lineRule="auto"/>
              <w:ind w:firstLine="0" w:firstLineChars="0"/>
              <w:jc w:val="center"/>
              <w:rPr>
                <w:color w:val="auto"/>
                <w:sz w:val="21"/>
                <w:szCs w:val="21"/>
              </w:rPr>
            </w:pPr>
            <w:r>
              <w:rPr>
                <w:rFonts w:hint="eastAsia"/>
                <w:color w:val="auto"/>
                <w:sz w:val="21"/>
                <w:szCs w:val="21"/>
              </w:rPr>
              <w:t>化学防护服</w:t>
            </w:r>
          </w:p>
        </w:tc>
        <w:tc>
          <w:tcPr>
            <w:tcW w:w="3157" w:type="dxa"/>
            <w:tcBorders>
              <w:tl2br w:val="nil"/>
              <w:tr2bl w:val="nil"/>
            </w:tcBorders>
            <w:vAlign w:val="center"/>
          </w:tcPr>
          <w:p w14:paraId="6AAC4640">
            <w:pPr>
              <w:spacing w:line="240" w:lineRule="auto"/>
              <w:ind w:firstLine="0" w:firstLineChars="0"/>
              <w:jc w:val="center"/>
              <w:rPr>
                <w:color w:val="auto"/>
                <w:sz w:val="21"/>
                <w:szCs w:val="21"/>
              </w:rPr>
            </w:pPr>
            <w:r>
              <w:rPr>
                <w:rFonts w:hint="eastAsia"/>
                <w:color w:val="auto"/>
                <w:sz w:val="21"/>
                <w:szCs w:val="21"/>
              </w:rPr>
              <w:t>技术性能符合AQ/T6107要求</w:t>
            </w:r>
          </w:p>
        </w:tc>
        <w:tc>
          <w:tcPr>
            <w:tcW w:w="1007" w:type="dxa"/>
            <w:tcBorders>
              <w:tl2br w:val="nil"/>
              <w:tr2bl w:val="nil"/>
            </w:tcBorders>
            <w:vAlign w:val="center"/>
          </w:tcPr>
          <w:p w14:paraId="6E0FFCC2">
            <w:pPr>
              <w:spacing w:line="240" w:lineRule="auto"/>
              <w:ind w:firstLine="0" w:firstLineChars="0"/>
              <w:jc w:val="center"/>
              <w:rPr>
                <w:color w:val="auto"/>
                <w:sz w:val="21"/>
                <w:szCs w:val="21"/>
              </w:rPr>
            </w:pPr>
            <w:r>
              <w:rPr>
                <w:rFonts w:hint="eastAsia"/>
                <w:color w:val="auto"/>
                <w:sz w:val="21"/>
                <w:szCs w:val="21"/>
              </w:rPr>
              <w:t>4套</w:t>
            </w:r>
          </w:p>
        </w:tc>
        <w:tc>
          <w:tcPr>
            <w:tcW w:w="2447" w:type="dxa"/>
            <w:tcBorders>
              <w:tl2br w:val="nil"/>
              <w:tr2bl w:val="nil"/>
            </w:tcBorders>
            <w:vAlign w:val="center"/>
          </w:tcPr>
          <w:p w14:paraId="766093D0">
            <w:pPr>
              <w:spacing w:line="240" w:lineRule="auto"/>
              <w:ind w:firstLine="0" w:firstLineChars="0"/>
              <w:jc w:val="center"/>
              <w:rPr>
                <w:color w:val="auto"/>
                <w:sz w:val="21"/>
                <w:szCs w:val="21"/>
              </w:rPr>
            </w:pPr>
            <w:r>
              <w:rPr>
                <w:rFonts w:hint="eastAsia"/>
                <w:color w:val="auto"/>
                <w:sz w:val="21"/>
                <w:szCs w:val="21"/>
              </w:rPr>
              <w:t>具有有毒、腐蚀性危险化学品的作业场所</w:t>
            </w:r>
          </w:p>
        </w:tc>
      </w:tr>
      <w:tr w14:paraId="5A70D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70CD5F29">
            <w:pPr>
              <w:spacing w:line="240" w:lineRule="auto"/>
              <w:ind w:firstLine="0" w:firstLineChars="0"/>
              <w:jc w:val="center"/>
              <w:rPr>
                <w:color w:val="auto"/>
                <w:sz w:val="21"/>
                <w:szCs w:val="21"/>
              </w:rPr>
            </w:pPr>
            <w:r>
              <w:rPr>
                <w:rFonts w:hint="eastAsia"/>
                <w:color w:val="auto"/>
                <w:sz w:val="21"/>
                <w:szCs w:val="21"/>
              </w:rPr>
              <w:t>3</w:t>
            </w:r>
          </w:p>
        </w:tc>
        <w:tc>
          <w:tcPr>
            <w:tcW w:w="2130" w:type="dxa"/>
            <w:tcBorders>
              <w:tl2br w:val="nil"/>
              <w:tr2bl w:val="nil"/>
            </w:tcBorders>
            <w:vAlign w:val="center"/>
          </w:tcPr>
          <w:p w14:paraId="11C88B54">
            <w:pPr>
              <w:spacing w:line="240" w:lineRule="auto"/>
              <w:ind w:firstLine="0" w:firstLineChars="0"/>
              <w:jc w:val="center"/>
              <w:rPr>
                <w:color w:val="auto"/>
                <w:sz w:val="21"/>
                <w:szCs w:val="21"/>
              </w:rPr>
            </w:pPr>
            <w:r>
              <w:rPr>
                <w:rFonts w:hint="eastAsia"/>
                <w:color w:val="auto"/>
                <w:sz w:val="21"/>
                <w:szCs w:val="21"/>
              </w:rPr>
              <w:t>过滤式防毒面具</w:t>
            </w:r>
          </w:p>
        </w:tc>
        <w:tc>
          <w:tcPr>
            <w:tcW w:w="3157" w:type="dxa"/>
            <w:tcBorders>
              <w:tl2br w:val="nil"/>
              <w:tr2bl w:val="nil"/>
            </w:tcBorders>
            <w:vAlign w:val="center"/>
          </w:tcPr>
          <w:p w14:paraId="5595CA7D">
            <w:pPr>
              <w:spacing w:line="240" w:lineRule="auto"/>
              <w:ind w:firstLine="0" w:firstLineChars="0"/>
              <w:jc w:val="center"/>
              <w:rPr>
                <w:color w:val="auto"/>
                <w:sz w:val="21"/>
                <w:szCs w:val="21"/>
              </w:rPr>
            </w:pPr>
            <w:r>
              <w:rPr>
                <w:rFonts w:hint="eastAsia"/>
                <w:color w:val="auto"/>
                <w:sz w:val="21"/>
                <w:szCs w:val="21"/>
              </w:rPr>
              <w:t>技术性能符合GB/T18664要求</w:t>
            </w:r>
          </w:p>
        </w:tc>
        <w:tc>
          <w:tcPr>
            <w:tcW w:w="1007" w:type="dxa"/>
            <w:tcBorders>
              <w:tl2br w:val="nil"/>
              <w:tr2bl w:val="nil"/>
            </w:tcBorders>
            <w:vAlign w:val="center"/>
          </w:tcPr>
          <w:p w14:paraId="6E86075B">
            <w:pPr>
              <w:spacing w:line="240" w:lineRule="auto"/>
              <w:ind w:firstLine="0" w:firstLineChars="0"/>
              <w:jc w:val="center"/>
              <w:rPr>
                <w:color w:val="auto"/>
                <w:sz w:val="21"/>
                <w:szCs w:val="21"/>
              </w:rPr>
            </w:pPr>
            <w:r>
              <w:rPr>
                <w:rFonts w:hint="eastAsia"/>
                <w:color w:val="auto"/>
                <w:sz w:val="21"/>
                <w:szCs w:val="21"/>
              </w:rPr>
              <w:t>若干</w:t>
            </w:r>
          </w:p>
        </w:tc>
        <w:tc>
          <w:tcPr>
            <w:tcW w:w="2447" w:type="dxa"/>
            <w:tcBorders>
              <w:tl2br w:val="nil"/>
              <w:tr2bl w:val="nil"/>
            </w:tcBorders>
            <w:vAlign w:val="center"/>
          </w:tcPr>
          <w:p w14:paraId="26D5281E">
            <w:pPr>
              <w:spacing w:line="240" w:lineRule="auto"/>
              <w:ind w:firstLine="0" w:firstLineChars="0"/>
              <w:jc w:val="center"/>
              <w:rPr>
                <w:color w:val="auto"/>
                <w:sz w:val="21"/>
                <w:szCs w:val="21"/>
              </w:rPr>
            </w:pPr>
            <w:r>
              <w:rPr>
                <w:rFonts w:hint="eastAsia"/>
                <w:color w:val="auto"/>
                <w:sz w:val="21"/>
                <w:szCs w:val="21"/>
              </w:rPr>
              <w:t>类型根据有毒有害物质确定，数量根据当班人数确定</w:t>
            </w:r>
          </w:p>
        </w:tc>
      </w:tr>
      <w:tr w14:paraId="1F430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36CF4B51">
            <w:pPr>
              <w:spacing w:line="240" w:lineRule="auto"/>
              <w:ind w:firstLine="0" w:firstLineChars="0"/>
              <w:jc w:val="center"/>
              <w:rPr>
                <w:color w:val="auto"/>
                <w:sz w:val="21"/>
                <w:szCs w:val="21"/>
              </w:rPr>
            </w:pPr>
            <w:r>
              <w:rPr>
                <w:rFonts w:hint="eastAsia"/>
                <w:color w:val="auto"/>
                <w:sz w:val="21"/>
                <w:szCs w:val="21"/>
              </w:rPr>
              <w:t>4</w:t>
            </w:r>
          </w:p>
        </w:tc>
        <w:tc>
          <w:tcPr>
            <w:tcW w:w="2130" w:type="dxa"/>
            <w:tcBorders>
              <w:tl2br w:val="nil"/>
              <w:tr2bl w:val="nil"/>
            </w:tcBorders>
            <w:vAlign w:val="center"/>
          </w:tcPr>
          <w:p w14:paraId="4989342C">
            <w:pPr>
              <w:spacing w:line="240" w:lineRule="auto"/>
              <w:ind w:firstLine="0" w:firstLineChars="0"/>
              <w:jc w:val="center"/>
              <w:rPr>
                <w:color w:val="auto"/>
                <w:sz w:val="21"/>
                <w:szCs w:val="21"/>
              </w:rPr>
            </w:pPr>
            <w:r>
              <w:rPr>
                <w:rFonts w:hint="eastAsia"/>
                <w:color w:val="auto"/>
                <w:sz w:val="21"/>
                <w:szCs w:val="21"/>
              </w:rPr>
              <w:t>气体浓度检测仪</w:t>
            </w:r>
          </w:p>
        </w:tc>
        <w:tc>
          <w:tcPr>
            <w:tcW w:w="3157" w:type="dxa"/>
            <w:tcBorders>
              <w:tl2br w:val="nil"/>
              <w:tr2bl w:val="nil"/>
            </w:tcBorders>
            <w:vAlign w:val="center"/>
          </w:tcPr>
          <w:p w14:paraId="2FA35C58">
            <w:pPr>
              <w:spacing w:line="240" w:lineRule="auto"/>
              <w:ind w:firstLine="0" w:firstLineChars="0"/>
              <w:jc w:val="center"/>
              <w:rPr>
                <w:color w:val="auto"/>
                <w:sz w:val="21"/>
                <w:szCs w:val="21"/>
              </w:rPr>
            </w:pPr>
            <w:r>
              <w:rPr>
                <w:rFonts w:hint="eastAsia"/>
                <w:color w:val="auto"/>
                <w:sz w:val="21"/>
                <w:szCs w:val="21"/>
              </w:rPr>
              <w:t>检测气体浓度</w:t>
            </w:r>
          </w:p>
        </w:tc>
        <w:tc>
          <w:tcPr>
            <w:tcW w:w="1007" w:type="dxa"/>
            <w:tcBorders>
              <w:tl2br w:val="nil"/>
              <w:tr2bl w:val="nil"/>
            </w:tcBorders>
            <w:vAlign w:val="center"/>
          </w:tcPr>
          <w:p w14:paraId="291A6613">
            <w:pPr>
              <w:spacing w:line="240" w:lineRule="auto"/>
              <w:ind w:firstLine="0" w:firstLineChars="0"/>
              <w:jc w:val="center"/>
              <w:rPr>
                <w:color w:val="auto"/>
                <w:sz w:val="21"/>
                <w:szCs w:val="21"/>
              </w:rPr>
            </w:pPr>
            <w:r>
              <w:rPr>
                <w:rFonts w:hint="eastAsia"/>
                <w:color w:val="auto"/>
                <w:sz w:val="21"/>
                <w:szCs w:val="21"/>
              </w:rPr>
              <w:t>1台</w:t>
            </w:r>
          </w:p>
        </w:tc>
        <w:tc>
          <w:tcPr>
            <w:tcW w:w="2447" w:type="dxa"/>
            <w:tcBorders>
              <w:tl2br w:val="nil"/>
              <w:tr2bl w:val="nil"/>
            </w:tcBorders>
            <w:vAlign w:val="center"/>
          </w:tcPr>
          <w:p w14:paraId="74CAB307">
            <w:pPr>
              <w:spacing w:line="240" w:lineRule="auto"/>
              <w:ind w:firstLine="0" w:firstLineChars="0"/>
              <w:jc w:val="center"/>
              <w:rPr>
                <w:color w:val="auto"/>
                <w:sz w:val="21"/>
                <w:szCs w:val="21"/>
              </w:rPr>
            </w:pPr>
            <w:r>
              <w:rPr>
                <w:rFonts w:hint="eastAsia"/>
                <w:color w:val="auto"/>
                <w:sz w:val="21"/>
                <w:szCs w:val="21"/>
              </w:rPr>
              <w:t>/</w:t>
            </w:r>
          </w:p>
        </w:tc>
      </w:tr>
      <w:tr w14:paraId="5B84A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68BE7623">
            <w:pPr>
              <w:spacing w:line="240" w:lineRule="auto"/>
              <w:ind w:firstLine="0" w:firstLineChars="0"/>
              <w:jc w:val="center"/>
              <w:rPr>
                <w:color w:val="auto"/>
                <w:sz w:val="21"/>
                <w:szCs w:val="21"/>
              </w:rPr>
            </w:pPr>
            <w:r>
              <w:rPr>
                <w:rFonts w:hint="eastAsia"/>
                <w:color w:val="auto"/>
                <w:sz w:val="21"/>
                <w:szCs w:val="21"/>
              </w:rPr>
              <w:t>5</w:t>
            </w:r>
          </w:p>
        </w:tc>
        <w:tc>
          <w:tcPr>
            <w:tcW w:w="2130" w:type="dxa"/>
            <w:tcBorders>
              <w:tl2br w:val="nil"/>
              <w:tr2bl w:val="nil"/>
            </w:tcBorders>
            <w:vAlign w:val="center"/>
          </w:tcPr>
          <w:p w14:paraId="6DC6FA13">
            <w:pPr>
              <w:spacing w:line="240" w:lineRule="auto"/>
              <w:ind w:firstLine="0" w:firstLineChars="0"/>
              <w:jc w:val="center"/>
              <w:rPr>
                <w:color w:val="auto"/>
                <w:sz w:val="21"/>
                <w:szCs w:val="21"/>
              </w:rPr>
            </w:pPr>
            <w:r>
              <w:rPr>
                <w:rFonts w:hint="eastAsia"/>
                <w:color w:val="auto"/>
                <w:sz w:val="21"/>
                <w:szCs w:val="21"/>
              </w:rPr>
              <w:t>手电筒</w:t>
            </w:r>
          </w:p>
        </w:tc>
        <w:tc>
          <w:tcPr>
            <w:tcW w:w="3157" w:type="dxa"/>
            <w:tcBorders>
              <w:tl2br w:val="nil"/>
              <w:tr2bl w:val="nil"/>
            </w:tcBorders>
            <w:vAlign w:val="center"/>
          </w:tcPr>
          <w:p w14:paraId="0574912F">
            <w:pPr>
              <w:spacing w:line="240" w:lineRule="auto"/>
              <w:ind w:firstLine="0" w:firstLineChars="0"/>
              <w:jc w:val="center"/>
              <w:rPr>
                <w:color w:val="auto"/>
                <w:sz w:val="21"/>
                <w:szCs w:val="21"/>
              </w:rPr>
            </w:pPr>
            <w:r>
              <w:rPr>
                <w:rFonts w:hint="eastAsia"/>
                <w:color w:val="auto"/>
                <w:sz w:val="21"/>
                <w:szCs w:val="21"/>
              </w:rPr>
              <w:t>易燃易爆</w:t>
            </w:r>
            <w:r>
              <w:rPr>
                <w:rFonts w:hint="eastAsia"/>
                <w:color w:val="auto"/>
                <w:sz w:val="21"/>
                <w:szCs w:val="21"/>
                <w:lang w:eastAsia="zh-CN"/>
              </w:rPr>
              <w:t>场所</w:t>
            </w:r>
            <w:r>
              <w:rPr>
                <w:rFonts w:hint="eastAsia"/>
                <w:color w:val="auto"/>
                <w:sz w:val="21"/>
                <w:szCs w:val="21"/>
              </w:rPr>
              <w:t>，防爆</w:t>
            </w:r>
          </w:p>
        </w:tc>
        <w:tc>
          <w:tcPr>
            <w:tcW w:w="1007" w:type="dxa"/>
            <w:tcBorders>
              <w:tl2br w:val="nil"/>
              <w:tr2bl w:val="nil"/>
            </w:tcBorders>
            <w:vAlign w:val="center"/>
          </w:tcPr>
          <w:p w14:paraId="63F2694D">
            <w:pPr>
              <w:spacing w:line="240" w:lineRule="auto"/>
              <w:ind w:firstLine="0" w:firstLineChars="0"/>
              <w:jc w:val="center"/>
              <w:rPr>
                <w:color w:val="auto"/>
                <w:sz w:val="21"/>
                <w:szCs w:val="21"/>
              </w:rPr>
            </w:pPr>
            <w:r>
              <w:rPr>
                <w:rFonts w:hint="eastAsia"/>
                <w:color w:val="auto"/>
                <w:sz w:val="21"/>
                <w:szCs w:val="21"/>
              </w:rPr>
              <w:t>若干</w:t>
            </w:r>
          </w:p>
        </w:tc>
        <w:tc>
          <w:tcPr>
            <w:tcW w:w="2447" w:type="dxa"/>
            <w:tcBorders>
              <w:tl2br w:val="nil"/>
              <w:tr2bl w:val="nil"/>
            </w:tcBorders>
            <w:vAlign w:val="center"/>
          </w:tcPr>
          <w:p w14:paraId="65BE95C6">
            <w:pPr>
              <w:spacing w:line="240" w:lineRule="auto"/>
              <w:ind w:firstLine="0" w:firstLineChars="0"/>
              <w:jc w:val="center"/>
              <w:rPr>
                <w:color w:val="auto"/>
                <w:sz w:val="21"/>
                <w:szCs w:val="21"/>
              </w:rPr>
            </w:pPr>
            <w:r>
              <w:rPr>
                <w:rFonts w:hint="eastAsia"/>
                <w:color w:val="auto"/>
                <w:sz w:val="21"/>
                <w:szCs w:val="21"/>
              </w:rPr>
              <w:t>/</w:t>
            </w:r>
          </w:p>
        </w:tc>
      </w:tr>
      <w:tr w14:paraId="05DEB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0C351746">
            <w:pPr>
              <w:spacing w:line="240" w:lineRule="auto"/>
              <w:ind w:firstLine="0" w:firstLineChars="0"/>
              <w:jc w:val="center"/>
              <w:rPr>
                <w:color w:val="auto"/>
                <w:sz w:val="21"/>
                <w:szCs w:val="21"/>
              </w:rPr>
            </w:pPr>
            <w:r>
              <w:rPr>
                <w:rFonts w:hint="eastAsia"/>
                <w:color w:val="auto"/>
                <w:sz w:val="21"/>
                <w:szCs w:val="21"/>
              </w:rPr>
              <w:t>6</w:t>
            </w:r>
          </w:p>
        </w:tc>
        <w:tc>
          <w:tcPr>
            <w:tcW w:w="2130" w:type="dxa"/>
            <w:tcBorders>
              <w:tl2br w:val="nil"/>
              <w:tr2bl w:val="nil"/>
            </w:tcBorders>
            <w:vAlign w:val="center"/>
          </w:tcPr>
          <w:p w14:paraId="6BCA9ABD">
            <w:pPr>
              <w:spacing w:line="240" w:lineRule="auto"/>
              <w:ind w:firstLine="0" w:firstLineChars="0"/>
              <w:jc w:val="center"/>
              <w:rPr>
                <w:color w:val="auto"/>
                <w:sz w:val="21"/>
                <w:szCs w:val="21"/>
              </w:rPr>
            </w:pPr>
            <w:r>
              <w:rPr>
                <w:rFonts w:hint="eastAsia"/>
                <w:color w:val="auto"/>
                <w:sz w:val="21"/>
                <w:szCs w:val="21"/>
              </w:rPr>
              <w:t>吸附材料或堵漏</w:t>
            </w:r>
          </w:p>
          <w:p w14:paraId="569F3B58">
            <w:pPr>
              <w:spacing w:line="240" w:lineRule="auto"/>
              <w:ind w:firstLine="0" w:firstLineChars="0"/>
              <w:jc w:val="center"/>
              <w:rPr>
                <w:color w:val="auto"/>
                <w:sz w:val="21"/>
                <w:szCs w:val="21"/>
              </w:rPr>
            </w:pPr>
            <w:r>
              <w:rPr>
                <w:rFonts w:hint="eastAsia"/>
                <w:color w:val="auto"/>
                <w:sz w:val="21"/>
                <w:szCs w:val="21"/>
              </w:rPr>
              <w:t>器材</w:t>
            </w:r>
          </w:p>
        </w:tc>
        <w:tc>
          <w:tcPr>
            <w:tcW w:w="3157" w:type="dxa"/>
            <w:tcBorders>
              <w:tl2br w:val="nil"/>
              <w:tr2bl w:val="nil"/>
            </w:tcBorders>
            <w:vAlign w:val="center"/>
          </w:tcPr>
          <w:p w14:paraId="35B49462">
            <w:pPr>
              <w:spacing w:line="240" w:lineRule="auto"/>
              <w:ind w:firstLine="0" w:firstLineChars="0"/>
              <w:jc w:val="center"/>
              <w:rPr>
                <w:color w:val="auto"/>
                <w:sz w:val="21"/>
                <w:szCs w:val="21"/>
              </w:rPr>
            </w:pPr>
            <w:r>
              <w:rPr>
                <w:rFonts w:hint="eastAsia"/>
                <w:color w:val="auto"/>
                <w:sz w:val="21"/>
                <w:szCs w:val="21"/>
              </w:rPr>
              <w:t>处理化学品泄漏</w:t>
            </w:r>
          </w:p>
        </w:tc>
        <w:tc>
          <w:tcPr>
            <w:tcW w:w="1007" w:type="dxa"/>
            <w:tcBorders>
              <w:tl2br w:val="nil"/>
              <w:tr2bl w:val="nil"/>
            </w:tcBorders>
            <w:vAlign w:val="center"/>
          </w:tcPr>
          <w:p w14:paraId="6BAD3F47">
            <w:pPr>
              <w:spacing w:line="240" w:lineRule="auto"/>
              <w:ind w:firstLine="0" w:firstLineChars="0"/>
              <w:jc w:val="center"/>
              <w:rPr>
                <w:color w:val="auto"/>
                <w:sz w:val="21"/>
                <w:szCs w:val="21"/>
              </w:rPr>
            </w:pPr>
            <w:r>
              <w:rPr>
                <w:rFonts w:hint="eastAsia"/>
                <w:color w:val="auto"/>
                <w:sz w:val="21"/>
                <w:szCs w:val="21"/>
              </w:rPr>
              <w:t>若干</w:t>
            </w:r>
          </w:p>
        </w:tc>
        <w:tc>
          <w:tcPr>
            <w:tcW w:w="2447" w:type="dxa"/>
            <w:tcBorders>
              <w:tl2br w:val="nil"/>
              <w:tr2bl w:val="nil"/>
            </w:tcBorders>
            <w:vAlign w:val="center"/>
          </w:tcPr>
          <w:p w14:paraId="7061722A">
            <w:pPr>
              <w:spacing w:line="240" w:lineRule="auto"/>
              <w:ind w:firstLine="0" w:firstLineChars="0"/>
              <w:jc w:val="center"/>
              <w:rPr>
                <w:color w:val="auto"/>
                <w:sz w:val="21"/>
                <w:szCs w:val="21"/>
              </w:rPr>
            </w:pPr>
            <w:r>
              <w:rPr>
                <w:rFonts w:hint="eastAsia"/>
                <w:color w:val="auto"/>
                <w:sz w:val="21"/>
                <w:szCs w:val="21"/>
              </w:rPr>
              <w:t>以工作介质理化性质选</w:t>
            </w:r>
          </w:p>
          <w:p w14:paraId="65659A56">
            <w:pPr>
              <w:spacing w:line="240" w:lineRule="auto"/>
              <w:ind w:firstLine="0" w:firstLineChars="0"/>
              <w:jc w:val="center"/>
              <w:rPr>
                <w:color w:val="auto"/>
                <w:sz w:val="21"/>
                <w:szCs w:val="21"/>
              </w:rPr>
            </w:pPr>
            <w:r>
              <w:rPr>
                <w:rFonts w:hint="eastAsia"/>
                <w:color w:val="auto"/>
                <w:sz w:val="21"/>
                <w:szCs w:val="21"/>
              </w:rPr>
              <w:t>择吸附材料，常用吸附材料为干沙土（具有爆炸危险性的除外）</w:t>
            </w:r>
          </w:p>
        </w:tc>
      </w:tr>
      <w:tr w14:paraId="06349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57" w:type="dxa"/>
            <w:tcBorders>
              <w:tl2br w:val="nil"/>
              <w:tr2bl w:val="nil"/>
            </w:tcBorders>
            <w:shd w:val="clear" w:color="auto" w:fill="auto"/>
            <w:vAlign w:val="center"/>
          </w:tcPr>
          <w:p w14:paraId="4B2347F9">
            <w:pPr>
              <w:spacing w:line="240" w:lineRule="auto"/>
              <w:ind w:firstLine="0" w:firstLineChars="0"/>
              <w:jc w:val="center"/>
              <w:rPr>
                <w:color w:val="auto"/>
                <w:sz w:val="21"/>
                <w:szCs w:val="21"/>
              </w:rPr>
            </w:pPr>
            <w:r>
              <w:rPr>
                <w:rFonts w:hint="eastAsia"/>
                <w:color w:val="auto"/>
                <w:sz w:val="21"/>
                <w:szCs w:val="21"/>
              </w:rPr>
              <w:t>7</w:t>
            </w:r>
          </w:p>
        </w:tc>
        <w:tc>
          <w:tcPr>
            <w:tcW w:w="2130" w:type="dxa"/>
            <w:tcBorders>
              <w:tl2br w:val="nil"/>
              <w:tr2bl w:val="nil"/>
            </w:tcBorders>
            <w:vAlign w:val="center"/>
          </w:tcPr>
          <w:p w14:paraId="238CF765">
            <w:pPr>
              <w:spacing w:line="240" w:lineRule="auto"/>
              <w:ind w:firstLine="0" w:firstLineChars="0"/>
              <w:jc w:val="center"/>
              <w:rPr>
                <w:color w:val="auto"/>
                <w:sz w:val="21"/>
                <w:szCs w:val="21"/>
              </w:rPr>
            </w:pPr>
            <w:r>
              <w:rPr>
                <w:rFonts w:hint="eastAsia"/>
                <w:color w:val="auto"/>
                <w:sz w:val="21"/>
                <w:szCs w:val="21"/>
              </w:rPr>
              <w:t>对讲机</w:t>
            </w:r>
          </w:p>
        </w:tc>
        <w:tc>
          <w:tcPr>
            <w:tcW w:w="3157" w:type="dxa"/>
            <w:tcBorders>
              <w:tl2br w:val="nil"/>
              <w:tr2bl w:val="nil"/>
            </w:tcBorders>
            <w:vAlign w:val="center"/>
          </w:tcPr>
          <w:p w14:paraId="71FBB2A8">
            <w:pPr>
              <w:spacing w:line="240" w:lineRule="auto"/>
              <w:ind w:firstLine="0" w:firstLineChars="0"/>
              <w:jc w:val="center"/>
              <w:rPr>
                <w:color w:val="auto"/>
                <w:sz w:val="21"/>
                <w:szCs w:val="21"/>
              </w:rPr>
            </w:pPr>
            <w:r>
              <w:rPr>
                <w:rFonts w:hint="eastAsia"/>
                <w:color w:val="auto"/>
                <w:sz w:val="21"/>
                <w:szCs w:val="21"/>
              </w:rPr>
              <w:t>易燃易爆</w:t>
            </w:r>
            <w:r>
              <w:rPr>
                <w:rFonts w:hint="eastAsia"/>
                <w:color w:val="auto"/>
                <w:sz w:val="21"/>
                <w:szCs w:val="21"/>
                <w:lang w:eastAsia="zh-CN"/>
              </w:rPr>
              <w:t>场所</w:t>
            </w:r>
            <w:r>
              <w:rPr>
                <w:rFonts w:hint="eastAsia"/>
                <w:color w:val="auto"/>
                <w:sz w:val="21"/>
                <w:szCs w:val="21"/>
              </w:rPr>
              <w:t>，防爆</w:t>
            </w:r>
          </w:p>
        </w:tc>
        <w:tc>
          <w:tcPr>
            <w:tcW w:w="1007" w:type="dxa"/>
            <w:tcBorders>
              <w:tl2br w:val="nil"/>
              <w:tr2bl w:val="nil"/>
            </w:tcBorders>
            <w:vAlign w:val="center"/>
          </w:tcPr>
          <w:p w14:paraId="6001D67C">
            <w:pPr>
              <w:spacing w:line="240" w:lineRule="auto"/>
              <w:ind w:firstLine="0" w:firstLineChars="0"/>
              <w:jc w:val="center"/>
              <w:rPr>
                <w:color w:val="auto"/>
                <w:sz w:val="21"/>
                <w:szCs w:val="21"/>
              </w:rPr>
            </w:pPr>
            <w:r>
              <w:rPr>
                <w:rFonts w:hint="eastAsia"/>
                <w:color w:val="auto"/>
                <w:sz w:val="21"/>
                <w:szCs w:val="21"/>
              </w:rPr>
              <w:t>若干</w:t>
            </w:r>
          </w:p>
        </w:tc>
        <w:tc>
          <w:tcPr>
            <w:tcW w:w="2447" w:type="dxa"/>
            <w:tcBorders>
              <w:tl2br w:val="nil"/>
              <w:tr2bl w:val="nil"/>
            </w:tcBorders>
            <w:vAlign w:val="center"/>
          </w:tcPr>
          <w:p w14:paraId="418E2BD6">
            <w:pPr>
              <w:spacing w:line="240" w:lineRule="auto"/>
              <w:ind w:firstLine="0" w:firstLineChars="0"/>
              <w:jc w:val="center"/>
              <w:rPr>
                <w:color w:val="auto"/>
                <w:sz w:val="21"/>
                <w:szCs w:val="21"/>
              </w:rPr>
            </w:pPr>
            <w:r>
              <w:rPr>
                <w:rFonts w:hint="eastAsia"/>
                <w:color w:val="auto"/>
                <w:sz w:val="21"/>
                <w:szCs w:val="21"/>
              </w:rPr>
              <w:t>数量根据当班人数确定</w:t>
            </w:r>
          </w:p>
        </w:tc>
      </w:tr>
      <w:tr w14:paraId="612AF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57" w:type="dxa"/>
            <w:tcBorders>
              <w:tl2br w:val="nil"/>
              <w:tr2bl w:val="nil"/>
            </w:tcBorders>
            <w:shd w:val="clear" w:color="auto" w:fill="auto"/>
            <w:vAlign w:val="center"/>
          </w:tcPr>
          <w:p w14:paraId="2A1C97A3">
            <w:pPr>
              <w:spacing w:line="240" w:lineRule="auto"/>
              <w:ind w:firstLine="0" w:firstLineChars="0"/>
              <w:jc w:val="center"/>
              <w:rPr>
                <w:color w:val="auto"/>
                <w:sz w:val="21"/>
                <w:szCs w:val="21"/>
              </w:rPr>
            </w:pPr>
            <w:r>
              <w:rPr>
                <w:rFonts w:hint="eastAsia"/>
                <w:color w:val="auto"/>
                <w:sz w:val="21"/>
                <w:szCs w:val="21"/>
              </w:rPr>
              <w:t>8</w:t>
            </w:r>
          </w:p>
        </w:tc>
        <w:tc>
          <w:tcPr>
            <w:tcW w:w="2130" w:type="dxa"/>
            <w:tcBorders>
              <w:tl2br w:val="nil"/>
              <w:tr2bl w:val="nil"/>
            </w:tcBorders>
            <w:vAlign w:val="center"/>
          </w:tcPr>
          <w:p w14:paraId="25F21132">
            <w:pPr>
              <w:spacing w:line="240" w:lineRule="auto"/>
              <w:ind w:firstLine="0" w:firstLineChars="0"/>
              <w:jc w:val="center"/>
              <w:rPr>
                <w:color w:val="auto"/>
                <w:sz w:val="21"/>
                <w:szCs w:val="21"/>
              </w:rPr>
            </w:pPr>
            <w:r>
              <w:rPr>
                <w:rFonts w:hint="eastAsia"/>
                <w:color w:val="auto"/>
                <w:sz w:val="21"/>
                <w:szCs w:val="21"/>
              </w:rPr>
              <w:t>应急处置工具箱</w:t>
            </w:r>
          </w:p>
        </w:tc>
        <w:tc>
          <w:tcPr>
            <w:tcW w:w="3157" w:type="dxa"/>
            <w:tcBorders>
              <w:tl2br w:val="nil"/>
              <w:tr2bl w:val="nil"/>
            </w:tcBorders>
            <w:vAlign w:val="center"/>
          </w:tcPr>
          <w:p w14:paraId="528A81DB">
            <w:pPr>
              <w:spacing w:line="240" w:lineRule="auto"/>
              <w:ind w:firstLine="0" w:firstLineChars="0"/>
              <w:jc w:val="center"/>
              <w:rPr>
                <w:color w:val="auto"/>
                <w:sz w:val="21"/>
                <w:szCs w:val="21"/>
              </w:rPr>
            </w:pPr>
            <w:r>
              <w:rPr>
                <w:rFonts w:hint="eastAsia"/>
                <w:color w:val="auto"/>
                <w:sz w:val="21"/>
                <w:szCs w:val="21"/>
              </w:rPr>
              <w:t>工作箱内配备常用工具或</w:t>
            </w:r>
          </w:p>
          <w:p w14:paraId="26A48E78">
            <w:pPr>
              <w:spacing w:line="240" w:lineRule="auto"/>
              <w:ind w:firstLine="0" w:firstLineChars="0"/>
              <w:jc w:val="center"/>
              <w:rPr>
                <w:color w:val="auto"/>
                <w:sz w:val="21"/>
                <w:szCs w:val="21"/>
              </w:rPr>
            </w:pPr>
            <w:r>
              <w:rPr>
                <w:rFonts w:hint="eastAsia"/>
                <w:color w:val="auto"/>
                <w:sz w:val="21"/>
                <w:szCs w:val="21"/>
              </w:rPr>
              <w:t>专业处置工具</w:t>
            </w:r>
          </w:p>
        </w:tc>
        <w:tc>
          <w:tcPr>
            <w:tcW w:w="1007" w:type="dxa"/>
            <w:tcBorders>
              <w:tl2br w:val="nil"/>
              <w:tr2bl w:val="nil"/>
            </w:tcBorders>
            <w:vAlign w:val="center"/>
          </w:tcPr>
          <w:p w14:paraId="11FA5841">
            <w:pPr>
              <w:spacing w:line="240" w:lineRule="auto"/>
              <w:ind w:firstLine="0" w:firstLineChars="0"/>
              <w:jc w:val="center"/>
              <w:rPr>
                <w:color w:val="auto"/>
                <w:sz w:val="21"/>
                <w:szCs w:val="21"/>
              </w:rPr>
            </w:pPr>
            <w:r>
              <w:rPr>
                <w:rFonts w:hint="eastAsia"/>
                <w:color w:val="auto"/>
                <w:sz w:val="21"/>
                <w:szCs w:val="21"/>
              </w:rPr>
              <w:t>若干</w:t>
            </w:r>
          </w:p>
        </w:tc>
        <w:tc>
          <w:tcPr>
            <w:tcW w:w="2447" w:type="dxa"/>
            <w:tcBorders>
              <w:tl2br w:val="nil"/>
              <w:tr2bl w:val="nil"/>
            </w:tcBorders>
            <w:vAlign w:val="center"/>
          </w:tcPr>
          <w:p w14:paraId="4C18741A">
            <w:pPr>
              <w:spacing w:line="240" w:lineRule="auto"/>
              <w:ind w:firstLine="0" w:firstLineChars="0"/>
              <w:jc w:val="center"/>
              <w:rPr>
                <w:color w:val="auto"/>
                <w:sz w:val="21"/>
                <w:szCs w:val="21"/>
              </w:rPr>
            </w:pPr>
            <w:r>
              <w:rPr>
                <w:rFonts w:hint="eastAsia"/>
                <w:color w:val="auto"/>
                <w:sz w:val="21"/>
                <w:szCs w:val="21"/>
              </w:rPr>
              <w:t>防爆场所配备</w:t>
            </w:r>
          </w:p>
        </w:tc>
      </w:tr>
      <w:tr w14:paraId="516C0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57" w:type="dxa"/>
            <w:tcBorders>
              <w:tl2br w:val="nil"/>
              <w:tr2bl w:val="nil"/>
            </w:tcBorders>
            <w:shd w:val="clear" w:color="auto" w:fill="auto"/>
            <w:vAlign w:val="center"/>
          </w:tcPr>
          <w:p w14:paraId="482CD8DC">
            <w:pPr>
              <w:spacing w:line="240" w:lineRule="auto"/>
              <w:ind w:firstLine="0" w:firstLineChars="0"/>
              <w:jc w:val="center"/>
              <w:rPr>
                <w:color w:val="auto"/>
                <w:sz w:val="21"/>
                <w:szCs w:val="21"/>
              </w:rPr>
            </w:pPr>
            <w:r>
              <w:rPr>
                <w:rFonts w:hint="eastAsia"/>
                <w:color w:val="auto"/>
                <w:sz w:val="21"/>
                <w:szCs w:val="21"/>
              </w:rPr>
              <w:t>9</w:t>
            </w:r>
          </w:p>
        </w:tc>
        <w:tc>
          <w:tcPr>
            <w:tcW w:w="2130" w:type="dxa"/>
            <w:tcBorders>
              <w:tl2br w:val="nil"/>
              <w:tr2bl w:val="nil"/>
            </w:tcBorders>
            <w:vAlign w:val="center"/>
          </w:tcPr>
          <w:p w14:paraId="7B884EDA">
            <w:pPr>
              <w:spacing w:line="240" w:lineRule="auto"/>
              <w:ind w:firstLine="0" w:firstLineChars="0"/>
              <w:jc w:val="center"/>
              <w:rPr>
                <w:color w:val="auto"/>
                <w:sz w:val="21"/>
                <w:szCs w:val="21"/>
              </w:rPr>
            </w:pPr>
            <w:r>
              <w:rPr>
                <w:rFonts w:hint="eastAsia"/>
                <w:color w:val="auto"/>
                <w:sz w:val="21"/>
                <w:szCs w:val="21"/>
              </w:rPr>
              <w:t>水枪</w:t>
            </w:r>
          </w:p>
        </w:tc>
        <w:tc>
          <w:tcPr>
            <w:tcW w:w="3157" w:type="dxa"/>
            <w:tcBorders>
              <w:tl2br w:val="nil"/>
              <w:tr2bl w:val="nil"/>
            </w:tcBorders>
            <w:vAlign w:val="center"/>
          </w:tcPr>
          <w:p w14:paraId="374606B8">
            <w:pPr>
              <w:spacing w:line="240" w:lineRule="auto"/>
              <w:ind w:firstLine="0" w:firstLineChars="0"/>
              <w:jc w:val="center"/>
              <w:rPr>
                <w:color w:val="auto"/>
                <w:sz w:val="21"/>
                <w:szCs w:val="21"/>
              </w:rPr>
            </w:pPr>
            <w:r>
              <w:rPr>
                <w:rFonts w:hint="eastAsia"/>
                <w:color w:val="auto"/>
                <w:sz w:val="21"/>
                <w:szCs w:val="21"/>
              </w:rPr>
              <w:t>危险化学品的驱散、隔离、灭火和洗消等</w:t>
            </w:r>
          </w:p>
        </w:tc>
        <w:tc>
          <w:tcPr>
            <w:tcW w:w="1007" w:type="dxa"/>
            <w:tcBorders>
              <w:tl2br w:val="nil"/>
              <w:tr2bl w:val="nil"/>
            </w:tcBorders>
            <w:vAlign w:val="center"/>
          </w:tcPr>
          <w:p w14:paraId="147C8EB2">
            <w:pPr>
              <w:spacing w:line="240" w:lineRule="auto"/>
              <w:ind w:firstLine="0" w:firstLineChars="0"/>
              <w:jc w:val="center"/>
              <w:rPr>
                <w:color w:val="auto"/>
                <w:sz w:val="21"/>
                <w:szCs w:val="21"/>
              </w:rPr>
            </w:pPr>
            <w:r>
              <w:rPr>
                <w:rFonts w:hint="eastAsia"/>
                <w:color w:val="auto"/>
                <w:sz w:val="21"/>
                <w:szCs w:val="21"/>
              </w:rPr>
              <w:t>1</w:t>
            </w:r>
          </w:p>
        </w:tc>
        <w:tc>
          <w:tcPr>
            <w:tcW w:w="2447" w:type="dxa"/>
            <w:tcBorders>
              <w:tl2br w:val="nil"/>
              <w:tr2bl w:val="nil"/>
            </w:tcBorders>
            <w:vAlign w:val="center"/>
          </w:tcPr>
          <w:p w14:paraId="097B11F1">
            <w:pPr>
              <w:spacing w:line="240" w:lineRule="auto"/>
              <w:ind w:firstLine="0" w:firstLineChars="0"/>
              <w:jc w:val="center"/>
              <w:rPr>
                <w:color w:val="auto"/>
                <w:sz w:val="21"/>
                <w:szCs w:val="21"/>
              </w:rPr>
            </w:pPr>
            <w:r>
              <w:rPr>
                <w:rFonts w:hint="eastAsia"/>
                <w:color w:val="auto"/>
                <w:sz w:val="21"/>
                <w:szCs w:val="21"/>
              </w:rPr>
              <w:t>型号根据实际需求确定，允许用水灭火、稀释或降温的场所配备</w:t>
            </w:r>
          </w:p>
        </w:tc>
      </w:tr>
      <w:tr w14:paraId="67CB9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14:paraId="37FFD894">
            <w:pPr>
              <w:spacing w:line="240" w:lineRule="auto"/>
              <w:ind w:firstLine="0" w:firstLineChars="0"/>
              <w:jc w:val="center"/>
              <w:rPr>
                <w:color w:val="auto"/>
                <w:sz w:val="21"/>
                <w:szCs w:val="21"/>
              </w:rPr>
            </w:pPr>
            <w:r>
              <w:rPr>
                <w:rFonts w:hint="eastAsia"/>
                <w:color w:val="auto"/>
                <w:sz w:val="21"/>
                <w:szCs w:val="21"/>
              </w:rPr>
              <w:t>10</w:t>
            </w:r>
          </w:p>
        </w:tc>
        <w:tc>
          <w:tcPr>
            <w:tcW w:w="2130" w:type="dxa"/>
            <w:tcBorders>
              <w:tl2br w:val="nil"/>
              <w:tr2bl w:val="nil"/>
            </w:tcBorders>
            <w:vAlign w:val="center"/>
          </w:tcPr>
          <w:p w14:paraId="6D246587">
            <w:pPr>
              <w:spacing w:line="240" w:lineRule="auto"/>
              <w:ind w:firstLine="0" w:firstLineChars="0"/>
              <w:jc w:val="center"/>
              <w:rPr>
                <w:color w:val="auto"/>
                <w:sz w:val="21"/>
                <w:szCs w:val="21"/>
              </w:rPr>
            </w:pPr>
            <w:r>
              <w:rPr>
                <w:rFonts w:hint="eastAsia"/>
                <w:color w:val="auto"/>
                <w:sz w:val="21"/>
                <w:szCs w:val="21"/>
              </w:rPr>
              <w:t>洗消设施</w:t>
            </w:r>
          </w:p>
        </w:tc>
        <w:tc>
          <w:tcPr>
            <w:tcW w:w="3157" w:type="dxa"/>
            <w:tcBorders>
              <w:tl2br w:val="nil"/>
              <w:tr2bl w:val="nil"/>
            </w:tcBorders>
            <w:vAlign w:val="center"/>
          </w:tcPr>
          <w:p w14:paraId="2857DBFD">
            <w:pPr>
              <w:spacing w:line="240" w:lineRule="auto"/>
              <w:ind w:firstLine="0" w:firstLineChars="0"/>
              <w:jc w:val="center"/>
              <w:rPr>
                <w:color w:val="auto"/>
                <w:sz w:val="21"/>
                <w:szCs w:val="21"/>
              </w:rPr>
            </w:pPr>
            <w:r>
              <w:rPr>
                <w:rFonts w:hint="eastAsia"/>
                <w:color w:val="auto"/>
                <w:sz w:val="21"/>
                <w:szCs w:val="21"/>
              </w:rPr>
              <w:t>洗消受污染或可能受污染</w:t>
            </w:r>
          </w:p>
          <w:p w14:paraId="4D9F3AC6">
            <w:pPr>
              <w:spacing w:line="240" w:lineRule="auto"/>
              <w:ind w:firstLine="0" w:firstLineChars="0"/>
              <w:jc w:val="center"/>
              <w:rPr>
                <w:color w:val="auto"/>
                <w:sz w:val="21"/>
                <w:szCs w:val="21"/>
              </w:rPr>
            </w:pPr>
            <w:r>
              <w:rPr>
                <w:rFonts w:hint="eastAsia"/>
                <w:color w:val="auto"/>
                <w:sz w:val="21"/>
                <w:szCs w:val="21"/>
              </w:rPr>
              <w:t>的人员、设备和器材</w:t>
            </w:r>
          </w:p>
        </w:tc>
        <w:tc>
          <w:tcPr>
            <w:tcW w:w="1007" w:type="dxa"/>
            <w:tcBorders>
              <w:tl2br w:val="nil"/>
              <w:tr2bl w:val="nil"/>
            </w:tcBorders>
            <w:vAlign w:val="center"/>
          </w:tcPr>
          <w:p w14:paraId="709E8ACE">
            <w:pPr>
              <w:spacing w:line="240" w:lineRule="auto"/>
              <w:ind w:firstLine="0" w:firstLineChars="0"/>
              <w:jc w:val="center"/>
              <w:rPr>
                <w:color w:val="auto"/>
                <w:sz w:val="21"/>
                <w:szCs w:val="21"/>
              </w:rPr>
            </w:pPr>
            <w:r>
              <w:rPr>
                <w:rFonts w:hint="eastAsia"/>
                <w:color w:val="auto"/>
                <w:sz w:val="21"/>
                <w:szCs w:val="21"/>
              </w:rPr>
              <w:t>若干</w:t>
            </w:r>
          </w:p>
        </w:tc>
        <w:tc>
          <w:tcPr>
            <w:tcW w:w="2447" w:type="dxa"/>
            <w:tcBorders>
              <w:tl2br w:val="nil"/>
              <w:tr2bl w:val="nil"/>
            </w:tcBorders>
            <w:vAlign w:val="center"/>
          </w:tcPr>
          <w:p w14:paraId="0D3FE89D">
            <w:pPr>
              <w:spacing w:line="240" w:lineRule="auto"/>
              <w:ind w:firstLine="0" w:firstLineChars="0"/>
              <w:jc w:val="center"/>
              <w:rPr>
                <w:color w:val="auto"/>
                <w:sz w:val="21"/>
                <w:szCs w:val="21"/>
              </w:rPr>
            </w:pPr>
            <w:r>
              <w:rPr>
                <w:rFonts w:hint="eastAsia"/>
                <w:color w:val="auto"/>
                <w:sz w:val="21"/>
                <w:szCs w:val="21"/>
              </w:rPr>
              <w:t>在工作地点配备</w:t>
            </w:r>
          </w:p>
        </w:tc>
      </w:tr>
      <w:tr w14:paraId="27935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98" w:type="dxa"/>
            <w:gridSpan w:val="5"/>
            <w:tcBorders>
              <w:tl2br w:val="nil"/>
              <w:tr2bl w:val="nil"/>
            </w:tcBorders>
            <w:vAlign w:val="center"/>
          </w:tcPr>
          <w:p w14:paraId="08A7C73E">
            <w:pPr>
              <w:spacing w:line="240" w:lineRule="auto"/>
              <w:ind w:firstLine="0" w:firstLineChars="0"/>
              <w:rPr>
                <w:color w:val="auto"/>
                <w:sz w:val="21"/>
                <w:szCs w:val="21"/>
              </w:rPr>
            </w:pPr>
            <w:r>
              <w:rPr>
                <w:rFonts w:hint="eastAsia"/>
                <w:color w:val="auto"/>
                <w:sz w:val="21"/>
                <w:szCs w:val="21"/>
              </w:rPr>
              <w:t>注：以上物资由单位根据实际需要进行</w:t>
            </w:r>
            <w:r>
              <w:rPr>
                <w:rFonts w:hint="eastAsia"/>
                <w:color w:val="auto"/>
                <w:sz w:val="21"/>
                <w:szCs w:val="21"/>
                <w:lang w:eastAsia="zh-CN"/>
              </w:rPr>
              <w:t>配置</w:t>
            </w:r>
            <w:r>
              <w:rPr>
                <w:rFonts w:hint="eastAsia"/>
                <w:color w:val="auto"/>
                <w:sz w:val="21"/>
                <w:szCs w:val="21"/>
              </w:rPr>
              <w:t>，本次评价不作具体规定。</w:t>
            </w:r>
          </w:p>
        </w:tc>
      </w:tr>
    </w:tbl>
    <w:p w14:paraId="5ABA3BC5">
      <w:pPr>
        <w:pStyle w:val="6"/>
        <w:spacing w:beforeLines="50" w:after="0" w:line="360" w:lineRule="auto"/>
        <w:ind w:firstLine="0" w:firstLineChars="0"/>
        <w:rPr>
          <w:color w:val="auto"/>
          <w:szCs w:val="24"/>
        </w:rPr>
      </w:pPr>
      <w:r>
        <w:rPr>
          <w:rFonts w:hint="eastAsia"/>
          <w:color w:val="auto"/>
          <w:szCs w:val="24"/>
        </w:rPr>
        <w:t>7.2.7.3</w:t>
      </w:r>
      <w:r>
        <w:rPr>
          <w:color w:val="auto"/>
          <w:szCs w:val="24"/>
        </w:rPr>
        <w:t xml:space="preserve"> </w:t>
      </w:r>
      <w:r>
        <w:rPr>
          <w:rFonts w:hint="eastAsia"/>
          <w:color w:val="auto"/>
          <w:szCs w:val="24"/>
        </w:rPr>
        <w:t>建立突发环境事件隐患排查治理制度</w:t>
      </w:r>
    </w:p>
    <w:p w14:paraId="3593E722">
      <w:pPr>
        <w:ind w:firstLine="480"/>
        <w:rPr>
          <w:color w:val="auto"/>
        </w:rPr>
      </w:pPr>
      <w:r>
        <w:rPr>
          <w:rFonts w:hint="eastAsia"/>
          <w:color w:val="auto"/>
        </w:rPr>
        <w:t>运营单位应当按照《企业突发环境事件隐患排查和治理工作指南</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eastAsia"/>
          <w:color w:val="auto"/>
        </w:rPr>
        <w:t>生态环境部公告2016年第74号</w:t>
      </w:r>
      <w:r>
        <w:rPr>
          <w:rFonts w:hint="eastAsia"/>
          <w:color w:val="auto"/>
          <w:lang w:eastAsia="zh-CN"/>
        </w:rPr>
        <w:t>）</w:t>
      </w:r>
      <w:r>
        <w:rPr>
          <w:rFonts w:hint="eastAsia"/>
          <w:color w:val="auto"/>
        </w:rPr>
        <w:t>、《省生态环境厅关于印发江苏省突发环境事件隐患排查治理行动工作方案的通知》</w:t>
      </w:r>
      <w:r>
        <w:rPr>
          <w:rFonts w:hint="eastAsia"/>
          <w:color w:val="auto"/>
          <w:lang w:eastAsia="zh-CN"/>
        </w:rPr>
        <w:t>（</w:t>
      </w:r>
      <w:r>
        <w:rPr>
          <w:rFonts w:hint="eastAsia"/>
          <w:color w:val="auto"/>
        </w:rPr>
        <w:t>苏环办〔2022〕68号</w:t>
      </w:r>
      <w:r>
        <w:rPr>
          <w:rFonts w:hint="eastAsia"/>
          <w:color w:val="auto"/>
          <w:lang w:eastAsia="zh-CN"/>
        </w:rPr>
        <w:t>）</w:t>
      </w:r>
      <w:r>
        <w:rPr>
          <w:rFonts w:hint="eastAsia"/>
          <w:color w:val="auto"/>
        </w:rPr>
        <w:t>以及《</w:t>
      </w:r>
      <w:r>
        <w:rPr>
          <w:rFonts w:hint="eastAsia"/>
          <w:color w:val="auto"/>
          <w:lang w:eastAsia="zh-CN"/>
        </w:rPr>
        <w:t>关于印发〈</w:t>
      </w:r>
      <w:r>
        <w:rPr>
          <w:rFonts w:hint="eastAsia"/>
          <w:color w:val="auto"/>
        </w:rPr>
        <w:t>连云港市突发环境事件隐患排查治理行动实施方案</w:t>
      </w:r>
      <w:r>
        <w:rPr>
          <w:rFonts w:hint="eastAsia"/>
          <w:color w:val="auto"/>
          <w:lang w:eastAsia="zh-CN"/>
        </w:rPr>
        <w:t>〉的通知》（</w:t>
      </w:r>
      <w:r>
        <w:rPr>
          <w:rFonts w:hint="eastAsia"/>
          <w:color w:val="auto"/>
        </w:rPr>
        <w:t>连环发〔2022〕88号</w:t>
      </w:r>
      <w:r>
        <w:rPr>
          <w:rFonts w:hint="eastAsia"/>
          <w:color w:val="auto"/>
          <w:lang w:eastAsia="zh-CN"/>
        </w:rPr>
        <w:t>）</w:t>
      </w:r>
      <w:r>
        <w:rPr>
          <w:rFonts w:hint="eastAsia"/>
          <w:color w:val="auto"/>
        </w:rPr>
        <w:t>要求建立健全隐患排查治理制度，建立并完善隐患排查管理机构，配备相应的管理和技术人员。</w:t>
      </w:r>
    </w:p>
    <w:p w14:paraId="0616D2C8">
      <w:pPr>
        <w:ind w:firstLine="480"/>
        <w:rPr>
          <w:color w:val="auto"/>
        </w:rPr>
      </w:pPr>
      <w:r>
        <w:rPr>
          <w:rFonts w:hint="eastAsia"/>
          <w:color w:val="auto"/>
        </w:rPr>
        <w:t>1、隐患排查制度</w:t>
      </w:r>
    </w:p>
    <w:p w14:paraId="34A0E473">
      <w:pPr>
        <w:ind w:firstLine="480"/>
        <w:rPr>
          <w:color w:val="auto"/>
        </w:rPr>
      </w:pPr>
      <w:r>
        <w:rPr>
          <w:rFonts w:hint="eastAsia"/>
          <w:color w:val="auto"/>
        </w:rPr>
        <w:t>①建立隐患排查治理责任制。运营单位应当建立健全从主要负责人到每位作业人员，覆盖各部门、各单位、各岗位的隐患排查治理责任体系；明确主要负责人对本运营单位隐患排查治理工作全面负责，统一组织、领导和协调本单位隐患排查治理工作，及时掌握、监督重大隐患治理情况；明确分管隐患排查治理工作的组织机构、责任人和责任分工，按照生产区、储运区或车间、工段等划分排查区域，明确每个区域的责任人，逐级建立并落实隐患排查治理岗位责任制。</w:t>
      </w:r>
    </w:p>
    <w:p w14:paraId="1B68E68C">
      <w:pPr>
        <w:ind w:firstLine="480"/>
        <w:rPr>
          <w:color w:val="auto"/>
        </w:rPr>
      </w:pPr>
      <w:r>
        <w:rPr>
          <w:rFonts w:hint="eastAsia"/>
          <w:color w:val="auto"/>
        </w:rPr>
        <w:t>②制定突发环境事件风险防控设施的操作规程和检查、运行、维修与维护等</w:t>
      </w:r>
      <w:r>
        <w:rPr>
          <w:rFonts w:hint="eastAsia"/>
          <w:color w:val="auto"/>
          <w:lang w:eastAsia="zh-CN"/>
        </w:rPr>
        <w:t>规划</w:t>
      </w:r>
      <w:r>
        <w:rPr>
          <w:rFonts w:hint="eastAsia"/>
          <w:color w:val="auto"/>
        </w:rPr>
        <w:t>保证资金投入，确保各设施处于正常完好状态。</w:t>
      </w:r>
    </w:p>
    <w:p w14:paraId="22614960">
      <w:pPr>
        <w:ind w:firstLine="480"/>
        <w:rPr>
          <w:color w:val="auto"/>
        </w:rPr>
      </w:pPr>
      <w:r>
        <w:rPr>
          <w:rFonts w:hint="eastAsia"/>
          <w:color w:val="auto"/>
        </w:rPr>
        <w:t>③建立自查、自报、自改、自验的隐患排查治理组织实施制度，</w:t>
      </w:r>
    </w:p>
    <w:p w14:paraId="0948AA6A">
      <w:pPr>
        <w:ind w:firstLine="480"/>
        <w:rPr>
          <w:color w:val="auto"/>
        </w:rPr>
      </w:pPr>
      <w:r>
        <w:rPr>
          <w:rFonts w:hint="eastAsia"/>
          <w:color w:val="auto"/>
        </w:rPr>
        <w:t>④如实记录隐患排查治理情况，形成档案文件并做好存档。</w:t>
      </w:r>
    </w:p>
    <w:p w14:paraId="43BE635F">
      <w:pPr>
        <w:ind w:firstLine="480"/>
        <w:rPr>
          <w:color w:val="auto"/>
        </w:rPr>
      </w:pPr>
      <w:r>
        <w:rPr>
          <w:rFonts w:hint="eastAsia"/>
          <w:color w:val="auto"/>
        </w:rPr>
        <w:t>⑤及时修订企业突发环境事件应急预案、完善相关突发环境事件风险防控措施。</w:t>
      </w:r>
    </w:p>
    <w:p w14:paraId="79F71C8F">
      <w:pPr>
        <w:ind w:firstLine="480"/>
        <w:rPr>
          <w:color w:val="auto"/>
        </w:rPr>
      </w:pPr>
      <w:r>
        <w:rPr>
          <w:rFonts w:hint="eastAsia"/>
          <w:color w:val="auto"/>
        </w:rPr>
        <w:t>⑥定期对员工进行隐患排查治理相关知识的宣传和培训。</w:t>
      </w:r>
    </w:p>
    <w:p w14:paraId="180F8D1E">
      <w:pPr>
        <w:ind w:firstLine="480"/>
        <w:rPr>
          <w:color w:val="auto"/>
        </w:rPr>
      </w:pPr>
      <w:r>
        <w:rPr>
          <w:rFonts w:hint="eastAsia"/>
          <w:color w:val="auto"/>
        </w:rPr>
        <w:t>⑦有条件的企业应当建立与企业相关信息化管理系统联网的突发环境事件隐患排查治理信息系统。</w:t>
      </w:r>
    </w:p>
    <w:p w14:paraId="27A5726B">
      <w:pPr>
        <w:ind w:firstLine="480"/>
        <w:rPr>
          <w:color w:val="auto"/>
        </w:rPr>
      </w:pPr>
      <w:r>
        <w:rPr>
          <w:rFonts w:hint="eastAsia"/>
          <w:color w:val="auto"/>
        </w:rPr>
        <w:t>2、隐患排查内容</w:t>
      </w:r>
    </w:p>
    <w:p w14:paraId="11234765">
      <w:pPr>
        <w:ind w:firstLine="480"/>
        <w:rPr>
          <w:color w:val="auto"/>
        </w:rPr>
      </w:pPr>
      <w:r>
        <w:rPr>
          <w:rFonts w:hint="eastAsia"/>
          <w:color w:val="auto"/>
        </w:rPr>
        <w:t>建设单位应从环境应急管理和突发环境事件风险防控措施两大方面排查可能直接导致或次生突发环境事件的隐患。</w:t>
      </w:r>
    </w:p>
    <w:p w14:paraId="11769CF9">
      <w:pPr>
        <w:ind w:firstLine="480"/>
        <w:rPr>
          <w:color w:val="auto"/>
        </w:rPr>
      </w:pPr>
      <w:r>
        <w:rPr>
          <w:rFonts w:hint="eastAsia"/>
          <w:color w:val="auto"/>
        </w:rPr>
        <w:t>（1）企业突发环境事件应急管理</w:t>
      </w:r>
    </w:p>
    <w:p w14:paraId="0E70C78A">
      <w:pPr>
        <w:ind w:firstLine="480"/>
        <w:rPr>
          <w:color w:val="auto"/>
        </w:rPr>
      </w:pPr>
      <w:r>
        <w:rPr>
          <w:rFonts w:hint="eastAsia"/>
          <w:color w:val="auto"/>
        </w:rPr>
        <w:t>①按规定开展突发环境事件风险评估，确定风险等级情况。</w:t>
      </w:r>
    </w:p>
    <w:p w14:paraId="17A3ACC3">
      <w:pPr>
        <w:ind w:firstLine="480"/>
        <w:rPr>
          <w:color w:val="auto"/>
        </w:rPr>
      </w:pPr>
      <w:r>
        <w:rPr>
          <w:rFonts w:hint="eastAsia"/>
          <w:color w:val="auto"/>
        </w:rPr>
        <w:t>②按规定制定突发环境事件应急预案并备案情况。</w:t>
      </w:r>
    </w:p>
    <w:p w14:paraId="7D276E15">
      <w:pPr>
        <w:ind w:firstLine="480"/>
        <w:rPr>
          <w:color w:val="auto"/>
        </w:rPr>
      </w:pPr>
      <w:r>
        <w:rPr>
          <w:rFonts w:hint="eastAsia"/>
          <w:color w:val="auto"/>
        </w:rPr>
        <w:t>③按规定建立健全隐患排查治理制度，开展隐患排查治理工作和建立档案情况。</w:t>
      </w:r>
    </w:p>
    <w:p w14:paraId="6CB71323">
      <w:pPr>
        <w:ind w:firstLine="480"/>
        <w:rPr>
          <w:color w:val="auto"/>
        </w:rPr>
      </w:pPr>
      <w:r>
        <w:rPr>
          <w:rFonts w:hint="eastAsia"/>
          <w:color w:val="auto"/>
        </w:rPr>
        <w:t>④按规定开展突发环境事件应急培训，如实记录培训情况。</w:t>
      </w:r>
    </w:p>
    <w:p w14:paraId="46661B21">
      <w:pPr>
        <w:ind w:firstLine="480"/>
        <w:rPr>
          <w:color w:val="auto"/>
        </w:rPr>
      </w:pPr>
      <w:r>
        <w:rPr>
          <w:rFonts w:hint="eastAsia"/>
          <w:color w:val="auto"/>
        </w:rPr>
        <w:t>⑤按规定储备必要的环境应急装备和物资情况。</w:t>
      </w:r>
    </w:p>
    <w:p w14:paraId="562B8CBD">
      <w:pPr>
        <w:ind w:firstLine="480"/>
        <w:rPr>
          <w:color w:val="auto"/>
        </w:rPr>
      </w:pPr>
      <w:r>
        <w:rPr>
          <w:rFonts w:hint="eastAsia"/>
          <w:color w:val="auto"/>
        </w:rPr>
        <w:t>⑥按规定公开突发环境事件应急预案及演练情况。</w:t>
      </w:r>
    </w:p>
    <w:p w14:paraId="5FC32100">
      <w:pPr>
        <w:ind w:firstLine="480"/>
        <w:rPr>
          <w:color w:val="auto"/>
        </w:rPr>
      </w:pPr>
      <w:r>
        <w:rPr>
          <w:rFonts w:hint="eastAsia"/>
          <w:color w:val="auto"/>
        </w:rPr>
        <w:t>（2）企业突发环境事件风险防控措施</w:t>
      </w:r>
    </w:p>
    <w:p w14:paraId="5BD5DDE2">
      <w:pPr>
        <w:ind w:firstLine="480"/>
        <w:rPr>
          <w:color w:val="auto"/>
        </w:rPr>
      </w:pPr>
      <w:r>
        <w:rPr>
          <w:rFonts w:hint="eastAsia"/>
          <w:color w:val="auto"/>
        </w:rPr>
        <w:t>①突发水环境事件风险防控措施</w:t>
      </w:r>
    </w:p>
    <w:p w14:paraId="36ADFB9F">
      <w:pPr>
        <w:ind w:firstLine="480"/>
        <w:rPr>
          <w:color w:val="auto"/>
        </w:rPr>
      </w:pPr>
      <w:r>
        <w:rPr>
          <w:rFonts w:hint="eastAsia"/>
          <w:color w:val="auto"/>
        </w:rPr>
        <w:t>从以下几方面排查突发水环境事件风险防范措施：</w:t>
      </w:r>
    </w:p>
    <w:p w14:paraId="4B9AD868">
      <w:pPr>
        <w:numPr>
          <w:ilvl w:val="0"/>
          <w:numId w:val="27"/>
        </w:numPr>
        <w:ind w:firstLine="480"/>
        <w:rPr>
          <w:color w:val="auto"/>
        </w:rPr>
      </w:pPr>
      <w:r>
        <w:rPr>
          <w:rFonts w:hint="eastAsia"/>
          <w:color w:val="auto"/>
        </w:rPr>
        <w:t>是否设置中间事故缓冲设施、事故应急水池或事故存液池等各类应急池；应急池容积是否满足环评文件及批复等相关文件要求；应急池位置是否合理，是否能确保所有受污染的雨水、消防水和泄漏物等通过排水系统接入应急池或全部收集；是否通过厂区内部管线或协议单位，将所收集的废</w:t>
      </w:r>
      <w:r>
        <w:rPr>
          <w:rFonts w:hint="eastAsia"/>
          <w:color w:val="auto"/>
          <w:lang w:eastAsia="zh-CN"/>
        </w:rPr>
        <w:t>（</w:t>
      </w:r>
      <w:r>
        <w:rPr>
          <w:rFonts w:hint="eastAsia"/>
          <w:color w:val="auto"/>
        </w:rPr>
        <w:t>污</w:t>
      </w:r>
      <w:r>
        <w:rPr>
          <w:rFonts w:hint="eastAsia"/>
          <w:color w:val="auto"/>
          <w:lang w:eastAsia="zh-CN"/>
        </w:rPr>
        <w:t>）</w:t>
      </w:r>
      <w:r>
        <w:rPr>
          <w:rFonts w:hint="eastAsia"/>
          <w:color w:val="auto"/>
        </w:rPr>
        <w:t>水送至污水处理设施处理；</w:t>
      </w:r>
    </w:p>
    <w:p w14:paraId="0E6CD8DD">
      <w:pPr>
        <w:numPr>
          <w:ilvl w:val="0"/>
          <w:numId w:val="27"/>
        </w:numPr>
        <w:ind w:firstLine="480"/>
        <w:rPr>
          <w:color w:val="auto"/>
        </w:rPr>
      </w:pPr>
      <w:r>
        <w:rPr>
          <w:rFonts w:hint="eastAsia"/>
          <w:color w:val="auto"/>
        </w:rPr>
        <w:t>正常情况下厂区内涉危险化学品或其他有毒有害物质的各个生产装置、作业场所和危险废物贮存设施（场所）的排水管道</w:t>
      </w:r>
      <w:r>
        <w:rPr>
          <w:rFonts w:hint="eastAsia"/>
          <w:color w:val="auto"/>
          <w:lang w:eastAsia="zh-CN"/>
        </w:rPr>
        <w:t>（</w:t>
      </w:r>
      <w:r>
        <w:rPr>
          <w:rFonts w:hint="eastAsia"/>
          <w:color w:val="auto"/>
        </w:rPr>
        <w:t>如围堰防火堤、阳极氧化线污水收集池</w:t>
      </w:r>
      <w:r>
        <w:rPr>
          <w:rFonts w:hint="eastAsia"/>
          <w:color w:val="auto"/>
          <w:lang w:eastAsia="zh-CN"/>
        </w:rPr>
        <w:t>）</w:t>
      </w:r>
      <w:r>
        <w:rPr>
          <w:rFonts w:hint="eastAsia"/>
          <w:color w:val="auto"/>
        </w:rPr>
        <w:t>接入雨水或清净下水系统的阀</w:t>
      </w:r>
      <w:r>
        <w:rPr>
          <w:rFonts w:hint="eastAsia"/>
          <w:color w:val="auto"/>
          <w:lang w:eastAsia="zh-CN"/>
        </w:rPr>
        <w:t>（</w:t>
      </w:r>
      <w:r>
        <w:rPr>
          <w:rFonts w:hint="eastAsia"/>
          <w:color w:val="auto"/>
        </w:rPr>
        <w:t>闸</w:t>
      </w:r>
      <w:r>
        <w:rPr>
          <w:rFonts w:hint="eastAsia"/>
          <w:color w:val="auto"/>
          <w:lang w:eastAsia="zh-CN"/>
        </w:rPr>
        <w:t>）</w:t>
      </w:r>
      <w:r>
        <w:rPr>
          <w:rFonts w:hint="eastAsia"/>
          <w:color w:val="auto"/>
        </w:rPr>
        <w:t>是否关闭，通向应急池或废水处理系统的阀</w:t>
      </w:r>
      <w:r>
        <w:rPr>
          <w:rFonts w:hint="eastAsia"/>
          <w:color w:val="auto"/>
          <w:lang w:eastAsia="zh-CN"/>
        </w:rPr>
        <w:t>（</w:t>
      </w:r>
      <w:r>
        <w:rPr>
          <w:rFonts w:hint="eastAsia"/>
          <w:color w:val="auto"/>
        </w:rPr>
        <w:t>闸</w:t>
      </w:r>
      <w:r>
        <w:rPr>
          <w:rFonts w:hint="eastAsia"/>
          <w:color w:val="auto"/>
          <w:lang w:eastAsia="zh-CN"/>
        </w:rPr>
        <w:t>）</w:t>
      </w:r>
      <w:r>
        <w:rPr>
          <w:rFonts w:hint="eastAsia"/>
          <w:color w:val="auto"/>
        </w:rPr>
        <w:t>是否打开：受污染的冷却水和上述场所的墙壁、地面冲洗水和受污染的雨水</w:t>
      </w:r>
      <w:r>
        <w:rPr>
          <w:rFonts w:hint="eastAsia"/>
          <w:color w:val="auto"/>
          <w:lang w:eastAsia="zh-CN"/>
        </w:rPr>
        <w:t>（</w:t>
      </w:r>
      <w:r>
        <w:rPr>
          <w:rFonts w:hint="eastAsia"/>
          <w:color w:val="auto"/>
        </w:rPr>
        <w:t>初期雨水</w:t>
      </w:r>
      <w:r>
        <w:rPr>
          <w:rFonts w:hint="eastAsia"/>
          <w:color w:val="auto"/>
          <w:lang w:eastAsia="zh-CN"/>
        </w:rPr>
        <w:t>）</w:t>
      </w:r>
      <w:r>
        <w:rPr>
          <w:rFonts w:hint="eastAsia"/>
          <w:color w:val="auto"/>
        </w:rPr>
        <w:t>、消防水等是否都能排入生产废水处理系统或独立的处理系统；有排洪沟</w:t>
      </w:r>
      <w:r>
        <w:rPr>
          <w:rFonts w:hint="eastAsia"/>
          <w:color w:val="auto"/>
          <w:lang w:eastAsia="zh-CN"/>
        </w:rPr>
        <w:t>（</w:t>
      </w:r>
      <w:r>
        <w:rPr>
          <w:rFonts w:hint="eastAsia"/>
          <w:color w:val="auto"/>
        </w:rPr>
        <w:t>排洪涵洞</w:t>
      </w:r>
      <w:r>
        <w:rPr>
          <w:rFonts w:hint="eastAsia"/>
          <w:color w:val="auto"/>
          <w:lang w:eastAsia="zh-CN"/>
        </w:rPr>
        <w:t>）</w:t>
      </w:r>
      <w:r>
        <w:rPr>
          <w:rFonts w:hint="eastAsia"/>
          <w:color w:val="auto"/>
        </w:rPr>
        <w:t>或河道穿过厂区时，排洪沟</w:t>
      </w:r>
      <w:r>
        <w:rPr>
          <w:rFonts w:hint="eastAsia"/>
          <w:color w:val="auto"/>
          <w:lang w:eastAsia="zh-CN"/>
        </w:rPr>
        <w:t>（</w:t>
      </w:r>
      <w:r>
        <w:rPr>
          <w:rFonts w:hint="eastAsia"/>
          <w:color w:val="auto"/>
        </w:rPr>
        <w:t>排洪涵洞</w:t>
      </w:r>
      <w:r>
        <w:rPr>
          <w:rFonts w:hint="eastAsia"/>
          <w:color w:val="auto"/>
          <w:lang w:eastAsia="zh-CN"/>
        </w:rPr>
        <w:t>）</w:t>
      </w:r>
      <w:r>
        <w:rPr>
          <w:rFonts w:hint="eastAsia"/>
          <w:color w:val="auto"/>
        </w:rPr>
        <w:t>是否与渗漏观察井、生产水、清净下水排放管道连通；</w:t>
      </w:r>
    </w:p>
    <w:p w14:paraId="00C849EA">
      <w:pPr>
        <w:ind w:firstLine="480"/>
        <w:rPr>
          <w:color w:val="auto"/>
        </w:rPr>
      </w:pPr>
      <w:r>
        <w:rPr>
          <w:rFonts w:hint="eastAsia"/>
          <w:color w:val="auto"/>
        </w:rPr>
        <w:t>c.雨水系统、清净下水系统、生产废</w:t>
      </w:r>
      <w:r>
        <w:rPr>
          <w:rFonts w:hint="eastAsia"/>
          <w:color w:val="auto"/>
          <w:lang w:eastAsia="zh-CN"/>
        </w:rPr>
        <w:t>（</w:t>
      </w:r>
      <w:r>
        <w:rPr>
          <w:rFonts w:hint="eastAsia"/>
          <w:color w:val="auto"/>
        </w:rPr>
        <w:t>污</w:t>
      </w:r>
      <w:r>
        <w:rPr>
          <w:rFonts w:hint="eastAsia"/>
          <w:color w:val="auto"/>
          <w:lang w:eastAsia="zh-CN"/>
        </w:rPr>
        <w:t>）</w:t>
      </w:r>
      <w:r>
        <w:rPr>
          <w:rFonts w:hint="eastAsia"/>
          <w:color w:val="auto"/>
        </w:rPr>
        <w:t>水系统的总排放口是否设置监视及关闭闸</w:t>
      </w:r>
      <w:r>
        <w:rPr>
          <w:rFonts w:hint="eastAsia"/>
          <w:color w:val="auto"/>
          <w:lang w:eastAsia="zh-CN"/>
        </w:rPr>
        <w:t>（</w:t>
      </w:r>
      <w:r>
        <w:rPr>
          <w:rFonts w:hint="eastAsia"/>
          <w:color w:val="auto"/>
        </w:rPr>
        <w:t>阀</w:t>
      </w:r>
      <w:r>
        <w:rPr>
          <w:rFonts w:hint="eastAsia"/>
          <w:color w:val="auto"/>
          <w:lang w:eastAsia="zh-CN"/>
        </w:rPr>
        <w:t>）</w:t>
      </w:r>
      <w:r>
        <w:rPr>
          <w:rFonts w:hint="eastAsia"/>
          <w:color w:val="auto"/>
        </w:rPr>
        <w:t>，是否设专人负责在紧急情况下关闭总排口，确保受污染的雨水、消防水和泄漏物等全部收集。</w:t>
      </w:r>
    </w:p>
    <w:p w14:paraId="1EC84F41">
      <w:pPr>
        <w:ind w:firstLine="480"/>
        <w:rPr>
          <w:color w:val="auto"/>
        </w:rPr>
      </w:pPr>
      <w:r>
        <w:rPr>
          <w:rFonts w:hint="eastAsia"/>
          <w:color w:val="auto"/>
        </w:rPr>
        <w:t>②突发大气环境事件风险防控措施</w:t>
      </w:r>
    </w:p>
    <w:p w14:paraId="059541C4">
      <w:pPr>
        <w:ind w:firstLine="480"/>
        <w:rPr>
          <w:color w:val="auto"/>
        </w:rPr>
      </w:pPr>
      <w:r>
        <w:rPr>
          <w:rFonts w:hint="eastAsia"/>
          <w:color w:val="auto"/>
        </w:rPr>
        <w:t>从以下几方面排查突发大气环境事件风险防控措施：</w:t>
      </w:r>
    </w:p>
    <w:p w14:paraId="4A08B051">
      <w:pPr>
        <w:ind w:firstLine="480"/>
        <w:rPr>
          <w:color w:val="auto"/>
        </w:rPr>
      </w:pPr>
      <w:r>
        <w:rPr>
          <w:rFonts w:hint="eastAsia"/>
          <w:color w:val="auto"/>
        </w:rPr>
        <w:t>a.企业与周边重要环境风险受体的各类防护距离是否符合环境影响评价文件及批复的要求；</w:t>
      </w:r>
    </w:p>
    <w:p w14:paraId="4A60E6C8">
      <w:pPr>
        <w:ind w:firstLine="480"/>
        <w:rPr>
          <w:color w:val="auto"/>
        </w:rPr>
      </w:pPr>
      <w:r>
        <w:rPr>
          <w:rFonts w:hint="eastAsia"/>
          <w:color w:val="auto"/>
        </w:rPr>
        <w:t>b.涉有毒有害大气污染物名录的企业是否在厂界建设针对有毒有害特征污染物的环境风险预警体系；</w:t>
      </w:r>
    </w:p>
    <w:p w14:paraId="0282769A">
      <w:pPr>
        <w:ind w:firstLine="480"/>
        <w:rPr>
          <w:color w:val="auto"/>
        </w:rPr>
      </w:pPr>
      <w:r>
        <w:rPr>
          <w:rFonts w:hint="eastAsia"/>
          <w:color w:val="auto"/>
        </w:rPr>
        <w:t>c.突发环境事件信息通报机制建立情况</w:t>
      </w:r>
      <w:r>
        <w:rPr>
          <w:rFonts w:hint="eastAsia"/>
          <w:color w:val="auto"/>
          <w:lang w:eastAsia="zh-CN"/>
        </w:rPr>
        <w:t>，</w:t>
      </w:r>
      <w:r>
        <w:rPr>
          <w:rFonts w:hint="eastAsia"/>
          <w:color w:val="auto"/>
        </w:rPr>
        <w:t>是否能在突发环境事件发生后及时通报可能受到污染危害的单位和居民。</w:t>
      </w:r>
    </w:p>
    <w:p w14:paraId="620CB3A8">
      <w:pPr>
        <w:ind w:firstLine="480"/>
        <w:rPr>
          <w:color w:val="auto"/>
        </w:rPr>
      </w:pPr>
      <w:r>
        <w:rPr>
          <w:rFonts w:hint="eastAsia"/>
          <w:color w:val="auto"/>
        </w:rPr>
        <w:t>（3）隐患排查方式和频次</w:t>
      </w:r>
    </w:p>
    <w:p w14:paraId="1C551957">
      <w:pPr>
        <w:ind w:firstLine="480"/>
        <w:rPr>
          <w:color w:val="auto"/>
        </w:rPr>
      </w:pPr>
      <w:r>
        <w:rPr>
          <w:rFonts w:hint="eastAsia"/>
          <w:color w:val="auto"/>
        </w:rPr>
        <w:t>1</w:t>
      </w:r>
      <w:r>
        <w:rPr>
          <w:rFonts w:hint="eastAsia"/>
          <w:color w:val="auto"/>
          <w:lang w:eastAsia="zh-CN"/>
        </w:rPr>
        <w:t>）</w:t>
      </w:r>
      <w:r>
        <w:rPr>
          <w:rFonts w:hint="eastAsia"/>
          <w:color w:val="auto"/>
        </w:rPr>
        <w:t>企业应当综合考虑企业自身突发环境事件风险等级、生产工况等因素合理制定年度工作计划，明确排查频次、排查规模、排查项目等内容。</w:t>
      </w:r>
    </w:p>
    <w:p w14:paraId="07B9D8E7">
      <w:pPr>
        <w:ind w:firstLine="480"/>
        <w:rPr>
          <w:color w:val="auto"/>
        </w:rPr>
      </w:pPr>
      <w:r>
        <w:rPr>
          <w:rFonts w:hint="eastAsia"/>
          <w:color w:val="auto"/>
        </w:rPr>
        <w:t>2</w:t>
      </w:r>
      <w:r>
        <w:rPr>
          <w:rFonts w:hint="eastAsia"/>
          <w:color w:val="auto"/>
          <w:lang w:eastAsia="zh-CN"/>
        </w:rPr>
        <w:t>）</w:t>
      </w:r>
      <w:r>
        <w:rPr>
          <w:rFonts w:hint="eastAsia"/>
          <w:color w:val="auto"/>
        </w:rPr>
        <w:t>根据排查频次、排查规模、排查项目不同，排查可分为综合排查、日常排查、专项排查及抽查等方式。企业应建立以日常排查为主的隐患排查工作机制，及时发现并治理隐患。</w:t>
      </w:r>
    </w:p>
    <w:p w14:paraId="7FC2D587">
      <w:pPr>
        <w:ind w:firstLine="480"/>
        <w:rPr>
          <w:color w:val="auto"/>
        </w:rPr>
      </w:pPr>
      <w:r>
        <w:rPr>
          <w:rFonts w:hint="eastAsia"/>
          <w:color w:val="auto"/>
        </w:rPr>
        <w:t>综合排查是指企业以厂区为单位开展全面排查，一年应不少于一次。</w:t>
      </w:r>
    </w:p>
    <w:p w14:paraId="7086A469">
      <w:pPr>
        <w:pStyle w:val="6"/>
        <w:spacing w:beforeLines="50" w:after="0" w:line="360" w:lineRule="auto"/>
        <w:ind w:firstLine="0" w:firstLineChars="0"/>
        <w:rPr>
          <w:color w:val="auto"/>
          <w:szCs w:val="24"/>
        </w:rPr>
      </w:pPr>
      <w:r>
        <w:rPr>
          <w:rFonts w:hint="eastAsia"/>
          <w:color w:val="auto"/>
          <w:szCs w:val="24"/>
        </w:rPr>
        <w:t>7.2.7.3</w:t>
      </w:r>
      <w:r>
        <w:rPr>
          <w:color w:val="auto"/>
          <w:szCs w:val="24"/>
        </w:rPr>
        <w:t xml:space="preserve"> 环境应急培训、演练相关要求</w:t>
      </w:r>
    </w:p>
    <w:p w14:paraId="785E4075">
      <w:pPr>
        <w:ind w:firstLine="480"/>
        <w:rPr>
          <w:color w:val="auto"/>
        </w:rPr>
      </w:pPr>
      <w:r>
        <w:rPr>
          <w:color w:val="auto"/>
        </w:rPr>
        <w:t>建设单位应每年至少组织一次预案培训，通过各种形式，使有关人员了解环境应急预案的内容，熟悉应急职责、应急程序和岗位应急处置预案。</w:t>
      </w:r>
    </w:p>
    <w:p w14:paraId="52DBD37F">
      <w:pPr>
        <w:ind w:firstLine="480"/>
        <w:rPr>
          <w:color w:val="auto"/>
        </w:rPr>
      </w:pPr>
      <w:r>
        <w:rPr>
          <w:color w:val="auto"/>
        </w:rPr>
        <w:t>建设单位应当建立健全环境应急预案演练制度，每年至少组织一次应急演练。环境应急预案演练结束后，应当对环境应急预案演练结果进行总结，分析存</w:t>
      </w:r>
      <w:r>
        <w:rPr>
          <w:rFonts w:hint="eastAsia"/>
          <w:color w:val="auto"/>
        </w:rPr>
        <w:t>在的</w:t>
      </w:r>
      <w:r>
        <w:rPr>
          <w:color w:val="auto"/>
        </w:rPr>
        <w:t>问题，对环境应急预案提出修改意见。</w:t>
      </w:r>
    </w:p>
    <w:p w14:paraId="564D86E0">
      <w:pPr>
        <w:ind w:firstLine="480"/>
        <w:rPr>
          <w:color w:val="auto"/>
        </w:rPr>
      </w:pPr>
      <w:r>
        <w:rPr>
          <w:color w:val="auto"/>
        </w:rPr>
        <w:t>建设单位应保留1年以上环境应急相关台账和资料，以备环保部门查验。</w:t>
      </w:r>
    </w:p>
    <w:p w14:paraId="773C341C">
      <w:pPr>
        <w:pStyle w:val="6"/>
        <w:spacing w:beforeLines="50" w:after="0" w:line="360" w:lineRule="auto"/>
        <w:ind w:firstLine="0" w:firstLineChars="0"/>
        <w:rPr>
          <w:color w:val="auto"/>
          <w:szCs w:val="24"/>
        </w:rPr>
      </w:pPr>
      <w:r>
        <w:rPr>
          <w:rFonts w:hint="eastAsia"/>
          <w:color w:val="auto"/>
          <w:szCs w:val="24"/>
        </w:rPr>
        <w:t xml:space="preserve">7.2.7.4 </w:t>
      </w:r>
      <w:r>
        <w:rPr>
          <w:color w:val="auto"/>
          <w:szCs w:val="24"/>
        </w:rPr>
        <w:t>环境风险</w:t>
      </w:r>
      <w:r>
        <w:rPr>
          <w:rFonts w:hint="eastAsia"/>
          <w:color w:val="auto"/>
          <w:szCs w:val="24"/>
        </w:rPr>
        <w:t>应急管理相关要求</w:t>
      </w:r>
    </w:p>
    <w:p w14:paraId="5BA81639">
      <w:pPr>
        <w:ind w:firstLine="480"/>
        <w:rPr>
          <w:color w:val="auto"/>
        </w:rPr>
      </w:pPr>
      <w:r>
        <w:rPr>
          <w:rFonts w:hint="eastAsia"/>
          <w:color w:val="auto"/>
        </w:rPr>
        <w:t>经对照《省生态环境厅关于做好安全生产专项整治工作方案》（苏环办〔2020〕16号）文件，本次评价已按照《建设项目环境风险评价技术导则》要求进行环境影响评价，建设单位已承诺项目运行后将按照环境管理要求及生产管理要求实施。</w:t>
      </w:r>
    </w:p>
    <w:p w14:paraId="5A6972E1">
      <w:pPr>
        <w:ind w:firstLine="480"/>
        <w:rPr>
          <w:color w:val="auto"/>
        </w:rPr>
      </w:pPr>
      <w:r>
        <w:rPr>
          <w:color w:val="auto"/>
        </w:rPr>
        <w:t>根据《关于做好生态环境和应急管理部门联动工作的意见》（苏环办</w:t>
      </w:r>
      <w:r>
        <w:rPr>
          <w:rFonts w:hint="eastAsia"/>
          <w:color w:val="auto"/>
        </w:rPr>
        <w:t>〔</w:t>
      </w:r>
      <w:r>
        <w:rPr>
          <w:color w:val="auto"/>
        </w:rPr>
        <w:t>2020</w:t>
      </w:r>
      <w:r>
        <w:rPr>
          <w:rFonts w:hint="eastAsia"/>
          <w:color w:val="auto"/>
        </w:rPr>
        <w:t>〕</w:t>
      </w:r>
      <w:r>
        <w:rPr>
          <w:color w:val="auto"/>
        </w:rPr>
        <w:t>101号）要求，本次评价要求建设单位对污水处理、粉尘治理等环境治理设施开展安全风险辨识管控，健全内部污染防治设施稳定运行和管理责任制度，严格依据标准规范建设环境治理设施，确保环境治理设施安全、稳定、有效运行。</w:t>
      </w:r>
    </w:p>
    <w:p w14:paraId="1A690A57">
      <w:pPr>
        <w:pStyle w:val="6"/>
        <w:spacing w:beforeLines="50" w:after="0" w:line="360" w:lineRule="auto"/>
        <w:ind w:firstLine="0" w:firstLineChars="0"/>
        <w:rPr>
          <w:color w:val="auto"/>
          <w:szCs w:val="24"/>
        </w:rPr>
      </w:pPr>
      <w:r>
        <w:rPr>
          <w:rFonts w:hint="eastAsia"/>
          <w:color w:val="auto"/>
          <w:szCs w:val="24"/>
        </w:rPr>
        <w:t xml:space="preserve">7.2.7.5 </w:t>
      </w:r>
      <w:r>
        <w:rPr>
          <w:color w:val="auto"/>
          <w:szCs w:val="24"/>
        </w:rPr>
        <w:t>环境风险评价结论</w:t>
      </w:r>
    </w:p>
    <w:p w14:paraId="4ABE74F6">
      <w:pPr>
        <w:ind w:firstLine="480"/>
        <w:rPr>
          <w:bCs/>
          <w:color w:val="auto"/>
          <w:lang w:val="zh-CN"/>
        </w:rPr>
      </w:pPr>
      <w:r>
        <w:rPr>
          <w:bCs/>
          <w:color w:val="auto"/>
          <w:lang w:val="zh-CN"/>
        </w:rPr>
        <w:t>本项目生产涉及各类危废及基础油等。仓库及生产装置区存在着泄漏、爆炸、火灾、中毒等危险因素，一旦发生泄漏、火灾和爆炸，对环境的影响和人身的安全造成的损失较大。</w:t>
      </w:r>
    </w:p>
    <w:p w14:paraId="0799D48B">
      <w:pPr>
        <w:ind w:firstLine="480"/>
        <w:rPr>
          <w:bCs/>
          <w:color w:val="auto"/>
          <w:lang w:val="zh-CN"/>
        </w:rPr>
      </w:pPr>
      <w:r>
        <w:rPr>
          <w:bCs/>
          <w:color w:val="auto"/>
          <w:lang w:val="zh-CN"/>
        </w:rPr>
        <w:t>本项目重点</w:t>
      </w:r>
      <w:r>
        <w:rPr>
          <w:rFonts w:hint="eastAsia"/>
          <w:bCs/>
          <w:color w:val="auto"/>
        </w:rPr>
        <w:t>关注二级碱喷淋和二级水喷淋</w:t>
      </w:r>
      <w:r>
        <w:rPr>
          <w:bCs/>
          <w:color w:val="auto"/>
          <w:lang w:val="zh-CN"/>
        </w:rPr>
        <w:t>装置</w:t>
      </w:r>
      <w:r>
        <w:rPr>
          <w:rFonts w:hint="eastAsia"/>
          <w:bCs/>
          <w:color w:val="auto"/>
          <w:lang w:val="zh-CN"/>
        </w:rPr>
        <w:t>，</w:t>
      </w:r>
      <w:r>
        <w:rPr>
          <w:bCs/>
          <w:color w:val="auto"/>
          <w:lang w:val="zh-CN"/>
        </w:rPr>
        <w:t>应设置温度和压力的报警和联锁系统、原料与危废仓库应配备泄漏处理材料，设置仓库泄漏收集池供应急使用。</w:t>
      </w:r>
    </w:p>
    <w:p w14:paraId="337B7D70">
      <w:pPr>
        <w:ind w:firstLine="480"/>
        <w:rPr>
          <w:bCs/>
          <w:color w:val="auto"/>
          <w:lang w:val="zh-CN"/>
        </w:rPr>
      </w:pPr>
      <w:r>
        <w:rPr>
          <w:bCs/>
          <w:color w:val="auto"/>
          <w:lang w:val="zh-CN"/>
        </w:rPr>
        <w:t>实施事故状态下消防水收集措施；建设单位承诺项目的防火和防爆的硬件措施与管理措施、事故应急系统能够真正落实到位，所有应急措施能够进行预演；重大事故情况下与园区和更高层次的应急措施和应急预案能够建立起快速响应的机制。</w:t>
      </w:r>
    </w:p>
    <w:p w14:paraId="2387FA38">
      <w:pPr>
        <w:ind w:firstLine="480"/>
        <w:rPr>
          <w:bCs/>
          <w:color w:val="auto"/>
          <w:lang w:val="zh-CN"/>
        </w:rPr>
      </w:pPr>
      <w:r>
        <w:rPr>
          <w:bCs/>
          <w:color w:val="auto"/>
          <w:lang w:val="zh-CN"/>
        </w:rPr>
        <w:t>在本项目实施后，企业应对突发环境事件应急预案进行编订，应明确与园区应急预案的联动措施，在发生事故后，应及时启动应急预案并上报园区管委会，防止危险物质进入环境；在发生突发环境事件后，企业应积极配合园区管委会对进入环境的危险物质进行控制、消减、监测等。</w:t>
      </w:r>
    </w:p>
    <w:p w14:paraId="32970997">
      <w:pPr>
        <w:ind w:firstLine="480"/>
        <w:rPr>
          <w:color w:val="auto"/>
        </w:rPr>
      </w:pPr>
      <w:r>
        <w:rPr>
          <w:bCs/>
          <w:color w:val="auto"/>
          <w:lang w:val="zh-CN"/>
        </w:rPr>
        <w:t>综上，企业</w:t>
      </w:r>
      <w:r>
        <w:rPr>
          <w:rFonts w:hint="eastAsia"/>
          <w:bCs/>
          <w:color w:val="auto"/>
          <w:lang w:val="zh-CN"/>
        </w:rPr>
        <w:t>在</w:t>
      </w:r>
      <w:r>
        <w:rPr>
          <w:bCs/>
          <w:color w:val="auto"/>
          <w:lang w:val="zh-CN"/>
        </w:rPr>
        <w:t>采取有效的风险防范措施和制定充分可行的应急预案的情况下，本项目的环境风险可防控，符合《江苏省环境影响评价文件环境应急相关内容编制要点》（苏环办〔2022〕338号文）的要求。</w:t>
      </w:r>
    </w:p>
    <w:bookmarkEnd w:id="201"/>
    <w:bookmarkEnd w:id="202"/>
    <w:bookmarkEnd w:id="203"/>
    <w:bookmarkEnd w:id="204"/>
    <w:bookmarkEnd w:id="205"/>
    <w:bookmarkEnd w:id="206"/>
    <w:bookmarkEnd w:id="207"/>
    <w:bookmarkEnd w:id="208"/>
    <w:bookmarkEnd w:id="209"/>
    <w:bookmarkEnd w:id="210"/>
    <w:p w14:paraId="1D3F50F6">
      <w:pPr>
        <w:spacing w:before="120" w:beforeLines="50" w:after="120" w:afterLines="50"/>
        <w:ind w:firstLine="482"/>
        <w:jc w:val="center"/>
        <w:rPr>
          <w:b/>
          <w:bCs/>
          <w:color w:val="auto"/>
        </w:rPr>
        <w:sectPr>
          <w:pgSz w:w="11907" w:h="16840"/>
          <w:pgMar w:top="1361" w:right="1361" w:bottom="1361" w:left="1361" w:header="851" w:footer="992" w:gutter="0"/>
          <w:cols w:space="720" w:num="1"/>
          <w:docGrid w:linePitch="326" w:charSpace="0"/>
        </w:sectPr>
      </w:pPr>
    </w:p>
    <w:p w14:paraId="2B3F8E66">
      <w:pPr>
        <w:pStyle w:val="5"/>
        <w:spacing w:beforeLines="50" w:after="0"/>
        <w:ind w:firstLine="0" w:firstLineChars="0"/>
        <w:rPr>
          <w:color w:val="auto"/>
          <w:sz w:val="28"/>
          <w:szCs w:val="28"/>
        </w:rPr>
      </w:pPr>
      <w:bookmarkStart w:id="211" w:name="_Toc241761247"/>
      <w:bookmarkStart w:id="212" w:name="_Toc289498215"/>
      <w:bookmarkStart w:id="213" w:name="_Toc494440476"/>
      <w:bookmarkStart w:id="214" w:name="_Toc479348120"/>
      <w:bookmarkStart w:id="215" w:name="_Toc199556940"/>
      <w:bookmarkStart w:id="216" w:name="_Toc149200819"/>
      <w:bookmarkStart w:id="217" w:name="_Toc224292536"/>
      <w:bookmarkStart w:id="218" w:name="_Hlk56713020"/>
      <w:r>
        <w:rPr>
          <w:rFonts w:hint="eastAsia"/>
          <w:color w:val="auto"/>
          <w:sz w:val="28"/>
          <w:szCs w:val="28"/>
        </w:rPr>
        <w:t>7.2.8</w:t>
      </w:r>
      <w:r>
        <w:rPr>
          <w:color w:val="auto"/>
          <w:sz w:val="28"/>
          <w:szCs w:val="28"/>
        </w:rPr>
        <w:t xml:space="preserve"> 本项目“三同时”验收一览表</w:t>
      </w:r>
      <w:bookmarkEnd w:id="211"/>
      <w:bookmarkEnd w:id="212"/>
      <w:bookmarkEnd w:id="213"/>
      <w:bookmarkEnd w:id="214"/>
      <w:bookmarkEnd w:id="215"/>
      <w:bookmarkEnd w:id="216"/>
      <w:bookmarkEnd w:id="217"/>
    </w:p>
    <w:p w14:paraId="4046B2AD">
      <w:pPr>
        <w:autoSpaceDE w:val="0"/>
        <w:autoSpaceDN w:val="0"/>
        <w:ind w:firstLine="480"/>
        <w:textAlignment w:val="baseline"/>
        <w:rPr>
          <w:bCs/>
          <w:color w:val="auto"/>
        </w:rPr>
      </w:pPr>
      <w:r>
        <w:rPr>
          <w:bCs/>
          <w:color w:val="auto"/>
        </w:rPr>
        <w:t>本项目环保投资约</w:t>
      </w:r>
      <w:r>
        <w:rPr>
          <w:rFonts w:hint="eastAsia"/>
          <w:bCs/>
          <w:color w:val="auto"/>
        </w:rPr>
        <w:t>1950</w:t>
      </w:r>
      <w:r>
        <w:rPr>
          <w:bCs/>
          <w:color w:val="auto"/>
        </w:rPr>
        <w:t>万元，占总投资的</w:t>
      </w:r>
      <w:r>
        <w:rPr>
          <w:rFonts w:hint="eastAsia"/>
          <w:bCs/>
          <w:color w:val="auto"/>
        </w:rPr>
        <w:t>1.88</w:t>
      </w:r>
      <w:r>
        <w:rPr>
          <w:bCs/>
          <w:color w:val="auto"/>
        </w:rPr>
        <w:t>%。本项目“三同时”环保措施验收内容见表</w:t>
      </w:r>
      <w:r>
        <w:rPr>
          <w:rFonts w:hint="eastAsia"/>
          <w:bCs/>
          <w:color w:val="auto"/>
        </w:rPr>
        <w:t>7.2.8-1</w:t>
      </w:r>
      <w:r>
        <w:rPr>
          <w:bCs/>
          <w:color w:val="auto"/>
        </w:rPr>
        <w:t>。</w:t>
      </w:r>
    </w:p>
    <w:p w14:paraId="73416598">
      <w:pPr>
        <w:tabs>
          <w:tab w:val="left" w:pos="0"/>
        </w:tabs>
        <w:spacing w:before="120" w:beforeLines="50" w:line="240" w:lineRule="auto"/>
        <w:ind w:firstLine="0" w:firstLineChars="0"/>
        <w:jc w:val="center"/>
        <w:rPr>
          <w:b/>
          <w:color w:val="auto"/>
          <w:szCs w:val="20"/>
        </w:rPr>
      </w:pPr>
      <w:r>
        <w:rPr>
          <w:b/>
          <w:color w:val="auto"/>
          <w:szCs w:val="20"/>
        </w:rPr>
        <w:t>表</w:t>
      </w:r>
      <w:r>
        <w:rPr>
          <w:rFonts w:hint="eastAsia"/>
          <w:b/>
          <w:color w:val="auto"/>
          <w:szCs w:val="20"/>
        </w:rPr>
        <w:t>7.2.8-1</w:t>
      </w:r>
      <w:r>
        <w:rPr>
          <w:b/>
          <w:color w:val="auto"/>
          <w:szCs w:val="20"/>
        </w:rPr>
        <w:t xml:space="preserve">  </w:t>
      </w:r>
      <w:r>
        <w:rPr>
          <w:b/>
          <w:color w:val="auto"/>
        </w:rPr>
        <w:t>本</w:t>
      </w:r>
      <w:r>
        <w:rPr>
          <w:b/>
          <w:color w:val="auto"/>
          <w:szCs w:val="20"/>
        </w:rPr>
        <w:t>项目“三同时”验收一览表</w:t>
      </w:r>
    </w:p>
    <w:bookmarkEnd w:id="218"/>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135"/>
        <w:gridCol w:w="2529"/>
        <w:gridCol w:w="1709"/>
        <w:gridCol w:w="3520"/>
        <w:gridCol w:w="3368"/>
        <w:gridCol w:w="797"/>
        <w:gridCol w:w="677"/>
      </w:tblGrid>
      <w:tr w14:paraId="05AA9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05" w:type="pct"/>
            <w:gridSpan w:val="2"/>
            <w:vAlign w:val="center"/>
          </w:tcPr>
          <w:p w14:paraId="2EE374C0">
            <w:pPr>
              <w:spacing w:line="240" w:lineRule="auto"/>
              <w:ind w:firstLine="0" w:firstLineChars="0"/>
              <w:jc w:val="center"/>
              <w:textAlignment w:val="baseline"/>
              <w:rPr>
                <w:b/>
                <w:bCs/>
                <w:color w:val="auto"/>
                <w:kern w:val="0"/>
                <w:sz w:val="21"/>
                <w:szCs w:val="21"/>
              </w:rPr>
            </w:pPr>
            <w:bookmarkStart w:id="219" w:name="_Hlk515931693"/>
            <w:r>
              <w:rPr>
                <w:b/>
                <w:bCs/>
                <w:color w:val="auto"/>
                <w:kern w:val="0"/>
                <w:sz w:val="21"/>
                <w:szCs w:val="21"/>
              </w:rPr>
              <w:t>类别</w:t>
            </w:r>
          </w:p>
        </w:tc>
        <w:tc>
          <w:tcPr>
            <w:tcW w:w="882" w:type="pct"/>
            <w:vAlign w:val="center"/>
          </w:tcPr>
          <w:p w14:paraId="6702BF64">
            <w:pPr>
              <w:spacing w:line="240" w:lineRule="auto"/>
              <w:ind w:firstLine="0" w:firstLineChars="0"/>
              <w:jc w:val="center"/>
              <w:textAlignment w:val="baseline"/>
              <w:rPr>
                <w:b/>
                <w:bCs/>
                <w:color w:val="auto"/>
                <w:kern w:val="0"/>
                <w:sz w:val="21"/>
                <w:szCs w:val="21"/>
              </w:rPr>
            </w:pPr>
            <w:r>
              <w:rPr>
                <w:b/>
                <w:bCs/>
                <w:color w:val="auto"/>
                <w:kern w:val="0"/>
                <w:sz w:val="21"/>
                <w:szCs w:val="21"/>
              </w:rPr>
              <w:t>污染源</w:t>
            </w:r>
          </w:p>
        </w:tc>
        <w:tc>
          <w:tcPr>
            <w:tcW w:w="596" w:type="pct"/>
            <w:vAlign w:val="center"/>
          </w:tcPr>
          <w:p w14:paraId="6F7550C4">
            <w:pPr>
              <w:spacing w:line="240" w:lineRule="auto"/>
              <w:ind w:firstLine="0" w:firstLineChars="0"/>
              <w:jc w:val="center"/>
              <w:textAlignment w:val="baseline"/>
              <w:rPr>
                <w:b/>
                <w:bCs/>
                <w:color w:val="auto"/>
                <w:kern w:val="0"/>
                <w:sz w:val="21"/>
                <w:szCs w:val="21"/>
              </w:rPr>
            </w:pPr>
            <w:r>
              <w:rPr>
                <w:b/>
                <w:bCs/>
                <w:color w:val="auto"/>
                <w:kern w:val="0"/>
                <w:sz w:val="21"/>
                <w:szCs w:val="21"/>
              </w:rPr>
              <w:t>污染物</w:t>
            </w:r>
          </w:p>
        </w:tc>
        <w:tc>
          <w:tcPr>
            <w:tcW w:w="1227" w:type="pct"/>
            <w:vAlign w:val="center"/>
          </w:tcPr>
          <w:p w14:paraId="02A86F8F">
            <w:pPr>
              <w:spacing w:line="240" w:lineRule="auto"/>
              <w:ind w:firstLine="0" w:firstLineChars="0"/>
              <w:jc w:val="center"/>
              <w:textAlignment w:val="baseline"/>
              <w:rPr>
                <w:b/>
                <w:bCs/>
                <w:color w:val="auto"/>
                <w:kern w:val="0"/>
                <w:sz w:val="21"/>
                <w:szCs w:val="21"/>
              </w:rPr>
            </w:pPr>
            <w:r>
              <w:rPr>
                <w:b/>
                <w:bCs/>
                <w:color w:val="auto"/>
                <w:kern w:val="0"/>
                <w:sz w:val="21"/>
                <w:szCs w:val="21"/>
              </w:rPr>
              <w:t>治理措施（设施数量、规模、处理能力等）</w:t>
            </w:r>
          </w:p>
        </w:tc>
        <w:tc>
          <w:tcPr>
            <w:tcW w:w="1174" w:type="pct"/>
            <w:vAlign w:val="center"/>
          </w:tcPr>
          <w:p w14:paraId="12CC7A46">
            <w:pPr>
              <w:spacing w:line="240" w:lineRule="auto"/>
              <w:ind w:firstLine="0" w:firstLineChars="0"/>
              <w:jc w:val="center"/>
              <w:textAlignment w:val="baseline"/>
              <w:rPr>
                <w:b/>
                <w:bCs/>
                <w:color w:val="auto"/>
                <w:kern w:val="0"/>
                <w:sz w:val="21"/>
                <w:szCs w:val="21"/>
              </w:rPr>
            </w:pPr>
            <w:r>
              <w:rPr>
                <w:b/>
                <w:bCs/>
                <w:color w:val="auto"/>
                <w:kern w:val="0"/>
                <w:sz w:val="21"/>
                <w:szCs w:val="21"/>
              </w:rPr>
              <w:t>处理效果、执行标准或拟达标要求</w:t>
            </w:r>
          </w:p>
        </w:tc>
        <w:tc>
          <w:tcPr>
            <w:tcW w:w="278" w:type="pct"/>
            <w:vAlign w:val="center"/>
          </w:tcPr>
          <w:p w14:paraId="497B812F">
            <w:pPr>
              <w:spacing w:line="240" w:lineRule="auto"/>
              <w:ind w:firstLine="0" w:firstLineChars="0"/>
              <w:jc w:val="center"/>
              <w:textAlignment w:val="baseline"/>
              <w:rPr>
                <w:b/>
                <w:bCs/>
                <w:color w:val="auto"/>
                <w:kern w:val="0"/>
                <w:sz w:val="21"/>
                <w:szCs w:val="21"/>
              </w:rPr>
            </w:pPr>
            <w:r>
              <w:rPr>
                <w:b/>
                <w:bCs/>
                <w:color w:val="auto"/>
                <w:kern w:val="0"/>
                <w:sz w:val="21"/>
                <w:szCs w:val="21"/>
              </w:rPr>
              <w:t>投资金额（万元）</w:t>
            </w:r>
          </w:p>
        </w:tc>
        <w:tc>
          <w:tcPr>
            <w:tcW w:w="236" w:type="pct"/>
            <w:vAlign w:val="center"/>
          </w:tcPr>
          <w:p w14:paraId="2217C9EF">
            <w:pPr>
              <w:spacing w:line="240" w:lineRule="auto"/>
              <w:ind w:firstLine="0" w:firstLineChars="0"/>
              <w:jc w:val="center"/>
              <w:textAlignment w:val="baseline"/>
              <w:rPr>
                <w:b/>
                <w:bCs/>
                <w:color w:val="auto"/>
                <w:kern w:val="0"/>
                <w:sz w:val="21"/>
                <w:szCs w:val="21"/>
              </w:rPr>
            </w:pPr>
            <w:r>
              <w:rPr>
                <w:b/>
                <w:bCs/>
                <w:color w:val="auto"/>
                <w:kern w:val="0"/>
                <w:sz w:val="21"/>
                <w:szCs w:val="21"/>
              </w:rPr>
              <w:t>完成时间</w:t>
            </w:r>
          </w:p>
        </w:tc>
      </w:tr>
      <w:tr w14:paraId="392F9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restart"/>
            <w:vAlign w:val="center"/>
          </w:tcPr>
          <w:p w14:paraId="7BA9D1E6">
            <w:pPr>
              <w:spacing w:line="240" w:lineRule="auto"/>
              <w:ind w:firstLine="0" w:firstLineChars="0"/>
              <w:jc w:val="center"/>
              <w:textAlignment w:val="baseline"/>
              <w:rPr>
                <w:color w:val="auto"/>
                <w:kern w:val="0"/>
                <w:sz w:val="21"/>
                <w:szCs w:val="21"/>
              </w:rPr>
            </w:pPr>
            <w:r>
              <w:rPr>
                <w:rFonts w:hint="eastAsia"/>
                <w:color w:val="auto"/>
                <w:kern w:val="0"/>
                <w:sz w:val="21"/>
                <w:szCs w:val="21"/>
              </w:rPr>
              <w:t>废气</w:t>
            </w:r>
          </w:p>
        </w:tc>
        <w:tc>
          <w:tcPr>
            <w:tcW w:w="395" w:type="pct"/>
            <w:vMerge w:val="restart"/>
            <w:vAlign w:val="center"/>
          </w:tcPr>
          <w:p w14:paraId="3CE65ADE">
            <w:pPr>
              <w:spacing w:line="240" w:lineRule="auto"/>
              <w:ind w:firstLine="0" w:firstLineChars="0"/>
              <w:jc w:val="center"/>
              <w:textAlignment w:val="baseline"/>
              <w:rPr>
                <w:color w:val="auto"/>
                <w:kern w:val="0"/>
                <w:sz w:val="21"/>
                <w:szCs w:val="21"/>
              </w:rPr>
            </w:pPr>
            <w:r>
              <w:rPr>
                <w:rFonts w:hint="eastAsia"/>
                <w:color w:val="auto"/>
                <w:kern w:val="0"/>
                <w:sz w:val="21"/>
                <w:szCs w:val="21"/>
              </w:rPr>
              <w:t>有组织</w:t>
            </w:r>
          </w:p>
        </w:tc>
        <w:tc>
          <w:tcPr>
            <w:tcW w:w="882" w:type="pct"/>
            <w:vAlign w:val="center"/>
          </w:tcPr>
          <w:p w14:paraId="6C38C94B">
            <w:pPr>
              <w:spacing w:line="240" w:lineRule="auto"/>
              <w:ind w:firstLine="0" w:firstLineChars="0"/>
              <w:jc w:val="center"/>
              <w:textAlignment w:val="baseline"/>
              <w:rPr>
                <w:color w:val="auto"/>
                <w:kern w:val="0"/>
                <w:sz w:val="21"/>
                <w:szCs w:val="21"/>
              </w:rPr>
            </w:pPr>
            <w:r>
              <w:rPr>
                <w:rFonts w:hint="eastAsia"/>
                <w:color w:val="auto"/>
                <w:kern w:val="0"/>
                <w:sz w:val="21"/>
                <w:szCs w:val="21"/>
              </w:rPr>
              <w:t>加热炉天然气燃烧废气</w:t>
            </w:r>
          </w:p>
        </w:tc>
        <w:tc>
          <w:tcPr>
            <w:tcW w:w="596" w:type="pct"/>
            <w:vAlign w:val="center"/>
          </w:tcPr>
          <w:p w14:paraId="598F297F">
            <w:pPr>
              <w:spacing w:line="240" w:lineRule="auto"/>
              <w:ind w:firstLine="0" w:firstLineChars="0"/>
              <w:jc w:val="center"/>
              <w:textAlignment w:val="baseline"/>
              <w:rPr>
                <w:color w:val="auto"/>
                <w:kern w:val="0"/>
                <w:sz w:val="21"/>
                <w:szCs w:val="21"/>
              </w:rPr>
            </w:pPr>
            <w:r>
              <w:rPr>
                <w:color w:val="auto"/>
                <w:sz w:val="21"/>
                <w:szCs w:val="21"/>
              </w:rPr>
              <w:t>SO</w:t>
            </w:r>
            <w:r>
              <w:rPr>
                <w:color w:val="auto"/>
                <w:sz w:val="21"/>
                <w:szCs w:val="21"/>
                <w:vertAlign w:val="subscript"/>
              </w:rPr>
              <w:t>2</w:t>
            </w:r>
            <w:r>
              <w:rPr>
                <w:color w:val="auto"/>
                <w:sz w:val="21"/>
                <w:szCs w:val="21"/>
              </w:rPr>
              <w:t>、NOx和颗粒物</w:t>
            </w:r>
          </w:p>
        </w:tc>
        <w:tc>
          <w:tcPr>
            <w:tcW w:w="1227" w:type="pct"/>
            <w:vAlign w:val="center"/>
          </w:tcPr>
          <w:p w14:paraId="6437D2AA">
            <w:pPr>
              <w:spacing w:line="240" w:lineRule="auto"/>
              <w:ind w:firstLine="0" w:firstLineChars="0"/>
              <w:jc w:val="center"/>
              <w:textAlignment w:val="baseline"/>
              <w:rPr>
                <w:color w:val="auto"/>
                <w:kern w:val="0"/>
                <w:sz w:val="21"/>
                <w:szCs w:val="21"/>
              </w:rPr>
            </w:pPr>
            <w:r>
              <w:rPr>
                <w:rFonts w:hint="eastAsia"/>
                <w:color w:val="auto"/>
                <w:kern w:val="0"/>
                <w:sz w:val="21"/>
                <w:szCs w:val="21"/>
              </w:rPr>
              <w:t>低氮燃烧技术处理+</w:t>
            </w:r>
            <w:r>
              <w:rPr>
                <w:color w:val="auto"/>
                <w:kern w:val="0"/>
                <w:sz w:val="21"/>
                <w:szCs w:val="21"/>
              </w:rPr>
              <w:t>1根</w:t>
            </w:r>
            <w:r>
              <w:rPr>
                <w:rFonts w:hint="eastAsia"/>
                <w:color w:val="auto"/>
                <w:kern w:val="0"/>
                <w:sz w:val="21"/>
                <w:szCs w:val="21"/>
              </w:rPr>
              <w:t>15</w:t>
            </w:r>
            <w:r>
              <w:rPr>
                <w:color w:val="auto"/>
                <w:kern w:val="0"/>
                <w:sz w:val="21"/>
                <w:szCs w:val="21"/>
              </w:rPr>
              <w:t>m高排气筒（DA00</w:t>
            </w:r>
            <w:r>
              <w:rPr>
                <w:rFonts w:hint="eastAsia"/>
                <w:color w:val="auto"/>
                <w:kern w:val="0"/>
                <w:sz w:val="21"/>
                <w:szCs w:val="21"/>
              </w:rPr>
              <w:t>1</w:t>
            </w:r>
            <w:r>
              <w:rPr>
                <w:color w:val="auto"/>
                <w:kern w:val="0"/>
                <w:sz w:val="21"/>
                <w:szCs w:val="21"/>
              </w:rPr>
              <w:t>）排放</w:t>
            </w:r>
          </w:p>
        </w:tc>
        <w:tc>
          <w:tcPr>
            <w:tcW w:w="1174" w:type="pct"/>
            <w:vMerge w:val="restart"/>
            <w:vAlign w:val="center"/>
          </w:tcPr>
          <w:p w14:paraId="4C99A251">
            <w:pPr>
              <w:spacing w:line="240" w:lineRule="auto"/>
              <w:ind w:firstLine="0" w:firstLineChars="0"/>
              <w:jc w:val="center"/>
              <w:textAlignment w:val="baseline"/>
              <w:rPr>
                <w:color w:val="auto"/>
                <w:kern w:val="0"/>
                <w:sz w:val="21"/>
                <w:szCs w:val="21"/>
              </w:rPr>
            </w:pPr>
            <w:r>
              <w:rPr>
                <w:rFonts w:hint="eastAsia"/>
                <w:color w:val="auto"/>
                <w:kern w:val="0"/>
                <w:sz w:val="21"/>
                <w:szCs w:val="21"/>
              </w:rPr>
              <w:t>江苏省地方标准</w:t>
            </w:r>
            <w:r>
              <w:rPr>
                <w:color w:val="auto"/>
                <w:kern w:val="0"/>
                <w:sz w:val="21"/>
                <w:szCs w:val="21"/>
              </w:rPr>
              <w:t>《工业炉窑大气污染物排放标准》（DB32/3728-2020）中标准限值</w:t>
            </w:r>
          </w:p>
        </w:tc>
        <w:tc>
          <w:tcPr>
            <w:tcW w:w="797" w:type="dxa"/>
            <w:vAlign w:val="center"/>
          </w:tcPr>
          <w:p w14:paraId="3CF4E01B">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45</w:t>
            </w:r>
          </w:p>
        </w:tc>
        <w:tc>
          <w:tcPr>
            <w:tcW w:w="236" w:type="pct"/>
            <w:vMerge w:val="restart"/>
            <w:vAlign w:val="center"/>
          </w:tcPr>
          <w:p w14:paraId="19464E1E">
            <w:pPr>
              <w:spacing w:line="240" w:lineRule="auto"/>
              <w:ind w:firstLine="0" w:firstLineChars="0"/>
              <w:jc w:val="center"/>
              <w:textAlignment w:val="baseline"/>
              <w:rPr>
                <w:color w:val="auto"/>
                <w:kern w:val="0"/>
                <w:sz w:val="21"/>
                <w:szCs w:val="21"/>
              </w:rPr>
            </w:pPr>
            <w:r>
              <w:rPr>
                <w:color w:val="auto"/>
                <w:kern w:val="0"/>
                <w:sz w:val="21"/>
                <w:szCs w:val="21"/>
              </w:rPr>
              <w:t>与本项目同时设计、同时开工、同时投产</w:t>
            </w:r>
          </w:p>
        </w:tc>
      </w:tr>
      <w:tr w14:paraId="186E4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715B87DA">
            <w:pPr>
              <w:spacing w:line="240" w:lineRule="auto"/>
              <w:ind w:firstLine="0" w:firstLineChars="0"/>
              <w:jc w:val="center"/>
              <w:textAlignment w:val="baseline"/>
              <w:rPr>
                <w:color w:val="auto"/>
                <w:kern w:val="0"/>
                <w:sz w:val="21"/>
                <w:szCs w:val="21"/>
              </w:rPr>
            </w:pPr>
          </w:p>
        </w:tc>
        <w:tc>
          <w:tcPr>
            <w:tcW w:w="395" w:type="pct"/>
            <w:vMerge w:val="continue"/>
            <w:vAlign w:val="center"/>
          </w:tcPr>
          <w:p w14:paraId="5F77AEC1">
            <w:pPr>
              <w:spacing w:line="240" w:lineRule="auto"/>
              <w:ind w:firstLine="0" w:firstLineChars="0"/>
              <w:jc w:val="center"/>
              <w:textAlignment w:val="baseline"/>
              <w:rPr>
                <w:color w:val="auto"/>
                <w:kern w:val="0"/>
                <w:sz w:val="21"/>
                <w:szCs w:val="21"/>
              </w:rPr>
            </w:pPr>
          </w:p>
        </w:tc>
        <w:tc>
          <w:tcPr>
            <w:tcW w:w="882" w:type="pct"/>
            <w:vAlign w:val="center"/>
          </w:tcPr>
          <w:p w14:paraId="0D7805FF">
            <w:pPr>
              <w:spacing w:line="240" w:lineRule="auto"/>
              <w:ind w:firstLine="0" w:firstLineChars="0"/>
              <w:jc w:val="center"/>
              <w:textAlignment w:val="baseline"/>
              <w:rPr>
                <w:color w:val="auto"/>
                <w:kern w:val="0"/>
                <w:sz w:val="21"/>
                <w:szCs w:val="21"/>
              </w:rPr>
            </w:pPr>
            <w:r>
              <w:rPr>
                <w:rFonts w:hint="eastAsia"/>
                <w:color w:val="auto"/>
                <w:kern w:val="0"/>
                <w:sz w:val="21"/>
                <w:szCs w:val="21"/>
              </w:rPr>
              <w:t>时效炉天然气燃烧废气</w:t>
            </w:r>
          </w:p>
        </w:tc>
        <w:tc>
          <w:tcPr>
            <w:tcW w:w="596" w:type="pct"/>
            <w:shd w:val="clear" w:color="auto" w:fill="auto"/>
            <w:vAlign w:val="center"/>
          </w:tcPr>
          <w:p w14:paraId="508ABFFB">
            <w:pPr>
              <w:spacing w:line="240" w:lineRule="auto"/>
              <w:ind w:firstLine="0" w:firstLineChars="0"/>
              <w:jc w:val="center"/>
              <w:textAlignment w:val="baseline"/>
              <w:rPr>
                <w:color w:val="auto"/>
                <w:kern w:val="0"/>
                <w:sz w:val="21"/>
                <w:szCs w:val="21"/>
              </w:rPr>
            </w:pPr>
            <w:r>
              <w:rPr>
                <w:color w:val="auto"/>
                <w:sz w:val="21"/>
                <w:szCs w:val="21"/>
              </w:rPr>
              <w:t>SO</w:t>
            </w:r>
            <w:r>
              <w:rPr>
                <w:color w:val="auto"/>
                <w:sz w:val="21"/>
                <w:szCs w:val="21"/>
                <w:vertAlign w:val="subscript"/>
              </w:rPr>
              <w:t>2</w:t>
            </w:r>
            <w:r>
              <w:rPr>
                <w:color w:val="auto"/>
                <w:sz w:val="21"/>
                <w:szCs w:val="21"/>
              </w:rPr>
              <w:t>、NOx和颗粒物</w:t>
            </w:r>
          </w:p>
        </w:tc>
        <w:tc>
          <w:tcPr>
            <w:tcW w:w="1227" w:type="pct"/>
            <w:shd w:val="clear" w:color="auto" w:fill="auto"/>
            <w:vAlign w:val="center"/>
          </w:tcPr>
          <w:p w14:paraId="75F3F0CC">
            <w:pPr>
              <w:spacing w:line="240" w:lineRule="auto"/>
              <w:ind w:firstLine="0" w:firstLineChars="0"/>
              <w:jc w:val="center"/>
              <w:textAlignment w:val="baseline"/>
              <w:rPr>
                <w:color w:val="auto"/>
                <w:kern w:val="0"/>
                <w:sz w:val="21"/>
                <w:szCs w:val="21"/>
              </w:rPr>
            </w:pPr>
            <w:r>
              <w:rPr>
                <w:rFonts w:hint="eastAsia"/>
                <w:color w:val="auto"/>
                <w:kern w:val="0"/>
                <w:sz w:val="21"/>
                <w:szCs w:val="21"/>
              </w:rPr>
              <w:t>低氮燃烧技术处理+</w:t>
            </w:r>
            <w:r>
              <w:rPr>
                <w:color w:val="auto"/>
                <w:kern w:val="0"/>
                <w:sz w:val="21"/>
                <w:szCs w:val="21"/>
              </w:rPr>
              <w:t>1根</w:t>
            </w:r>
            <w:r>
              <w:rPr>
                <w:rFonts w:hint="eastAsia"/>
                <w:color w:val="auto"/>
                <w:kern w:val="0"/>
                <w:sz w:val="21"/>
                <w:szCs w:val="21"/>
              </w:rPr>
              <w:t>15</w:t>
            </w:r>
            <w:r>
              <w:rPr>
                <w:color w:val="auto"/>
                <w:kern w:val="0"/>
                <w:sz w:val="21"/>
                <w:szCs w:val="21"/>
              </w:rPr>
              <w:t>m高排气筒（DA00</w:t>
            </w:r>
            <w:r>
              <w:rPr>
                <w:rFonts w:hint="eastAsia"/>
                <w:color w:val="auto"/>
                <w:kern w:val="0"/>
                <w:sz w:val="21"/>
                <w:szCs w:val="21"/>
              </w:rPr>
              <w:t>2</w:t>
            </w:r>
            <w:r>
              <w:rPr>
                <w:color w:val="auto"/>
                <w:kern w:val="0"/>
                <w:sz w:val="21"/>
                <w:szCs w:val="21"/>
              </w:rPr>
              <w:t>）排放</w:t>
            </w:r>
          </w:p>
        </w:tc>
        <w:tc>
          <w:tcPr>
            <w:tcW w:w="1174" w:type="pct"/>
            <w:vMerge w:val="continue"/>
            <w:vAlign w:val="center"/>
          </w:tcPr>
          <w:p w14:paraId="2A69C28A">
            <w:pPr>
              <w:spacing w:line="240" w:lineRule="auto"/>
              <w:ind w:firstLine="0" w:firstLineChars="0"/>
              <w:jc w:val="center"/>
              <w:textAlignment w:val="baseline"/>
              <w:rPr>
                <w:color w:val="auto"/>
                <w:kern w:val="0"/>
                <w:sz w:val="21"/>
                <w:szCs w:val="21"/>
              </w:rPr>
            </w:pPr>
          </w:p>
        </w:tc>
        <w:tc>
          <w:tcPr>
            <w:tcW w:w="797" w:type="dxa"/>
            <w:vAlign w:val="center"/>
          </w:tcPr>
          <w:p w14:paraId="3658E87F">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45</w:t>
            </w:r>
          </w:p>
        </w:tc>
        <w:tc>
          <w:tcPr>
            <w:tcW w:w="236" w:type="pct"/>
            <w:vMerge w:val="continue"/>
            <w:vAlign w:val="center"/>
          </w:tcPr>
          <w:p w14:paraId="0BDC2B1A">
            <w:pPr>
              <w:spacing w:line="240" w:lineRule="auto"/>
              <w:ind w:firstLine="0" w:firstLineChars="0"/>
              <w:jc w:val="center"/>
              <w:textAlignment w:val="baseline"/>
              <w:rPr>
                <w:color w:val="auto"/>
                <w:kern w:val="0"/>
                <w:sz w:val="21"/>
                <w:szCs w:val="21"/>
              </w:rPr>
            </w:pPr>
          </w:p>
        </w:tc>
      </w:tr>
      <w:tr w14:paraId="2ADBD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5A554886">
            <w:pPr>
              <w:spacing w:line="240" w:lineRule="auto"/>
              <w:ind w:firstLine="0" w:firstLineChars="0"/>
              <w:jc w:val="center"/>
              <w:textAlignment w:val="baseline"/>
              <w:rPr>
                <w:color w:val="auto"/>
                <w:kern w:val="0"/>
                <w:sz w:val="21"/>
                <w:szCs w:val="21"/>
              </w:rPr>
            </w:pPr>
          </w:p>
        </w:tc>
        <w:tc>
          <w:tcPr>
            <w:tcW w:w="395" w:type="pct"/>
            <w:vMerge w:val="continue"/>
            <w:vAlign w:val="center"/>
          </w:tcPr>
          <w:p w14:paraId="14CC1087">
            <w:pPr>
              <w:spacing w:line="240" w:lineRule="auto"/>
              <w:ind w:firstLine="0" w:firstLineChars="0"/>
              <w:jc w:val="center"/>
              <w:textAlignment w:val="baseline"/>
              <w:rPr>
                <w:color w:val="auto"/>
                <w:kern w:val="0"/>
                <w:sz w:val="21"/>
                <w:szCs w:val="21"/>
              </w:rPr>
            </w:pPr>
          </w:p>
        </w:tc>
        <w:tc>
          <w:tcPr>
            <w:tcW w:w="882" w:type="pct"/>
            <w:vAlign w:val="center"/>
          </w:tcPr>
          <w:p w14:paraId="73A2C855">
            <w:pPr>
              <w:spacing w:line="240" w:lineRule="auto"/>
              <w:ind w:firstLine="0" w:firstLineChars="0"/>
              <w:jc w:val="center"/>
              <w:textAlignment w:val="baseline"/>
              <w:rPr>
                <w:color w:val="auto"/>
                <w:kern w:val="0"/>
                <w:sz w:val="21"/>
                <w:szCs w:val="21"/>
              </w:rPr>
            </w:pPr>
            <w:r>
              <w:rPr>
                <w:rFonts w:hint="eastAsia"/>
                <w:color w:val="auto"/>
                <w:kern w:val="0"/>
                <w:sz w:val="21"/>
                <w:szCs w:val="21"/>
              </w:rPr>
              <w:t>烘干炉天然气燃烧废气</w:t>
            </w:r>
          </w:p>
        </w:tc>
        <w:tc>
          <w:tcPr>
            <w:tcW w:w="596" w:type="pct"/>
            <w:shd w:val="clear" w:color="auto" w:fill="auto"/>
            <w:vAlign w:val="center"/>
          </w:tcPr>
          <w:p w14:paraId="46EC550C">
            <w:pPr>
              <w:spacing w:line="240" w:lineRule="auto"/>
              <w:ind w:firstLine="0" w:firstLineChars="0"/>
              <w:jc w:val="center"/>
              <w:textAlignment w:val="baseline"/>
              <w:rPr>
                <w:color w:val="auto"/>
                <w:kern w:val="0"/>
                <w:sz w:val="21"/>
                <w:szCs w:val="21"/>
              </w:rPr>
            </w:pPr>
            <w:r>
              <w:rPr>
                <w:color w:val="auto"/>
                <w:sz w:val="21"/>
                <w:szCs w:val="21"/>
              </w:rPr>
              <w:t>SO</w:t>
            </w:r>
            <w:r>
              <w:rPr>
                <w:color w:val="auto"/>
                <w:sz w:val="21"/>
                <w:szCs w:val="21"/>
                <w:vertAlign w:val="subscript"/>
              </w:rPr>
              <w:t>2</w:t>
            </w:r>
            <w:r>
              <w:rPr>
                <w:color w:val="auto"/>
                <w:sz w:val="21"/>
                <w:szCs w:val="21"/>
              </w:rPr>
              <w:t>、NOx和颗粒物</w:t>
            </w:r>
          </w:p>
        </w:tc>
        <w:tc>
          <w:tcPr>
            <w:tcW w:w="1227" w:type="pct"/>
            <w:shd w:val="clear" w:color="auto" w:fill="auto"/>
            <w:vAlign w:val="center"/>
          </w:tcPr>
          <w:p w14:paraId="7387840C">
            <w:pPr>
              <w:spacing w:line="240" w:lineRule="auto"/>
              <w:ind w:firstLine="0" w:firstLineChars="0"/>
              <w:jc w:val="center"/>
              <w:textAlignment w:val="baseline"/>
              <w:rPr>
                <w:color w:val="auto"/>
                <w:kern w:val="0"/>
                <w:sz w:val="21"/>
                <w:szCs w:val="21"/>
              </w:rPr>
            </w:pPr>
            <w:r>
              <w:rPr>
                <w:rFonts w:hint="eastAsia"/>
                <w:color w:val="auto"/>
                <w:kern w:val="0"/>
                <w:sz w:val="21"/>
                <w:szCs w:val="21"/>
              </w:rPr>
              <w:t>低氮燃烧技术处理+</w:t>
            </w:r>
            <w:r>
              <w:rPr>
                <w:color w:val="auto"/>
                <w:kern w:val="0"/>
                <w:sz w:val="21"/>
                <w:szCs w:val="21"/>
              </w:rPr>
              <w:t>1根</w:t>
            </w:r>
            <w:r>
              <w:rPr>
                <w:rFonts w:hint="eastAsia"/>
                <w:color w:val="auto"/>
                <w:kern w:val="0"/>
                <w:sz w:val="21"/>
                <w:szCs w:val="21"/>
              </w:rPr>
              <w:t>15</w:t>
            </w:r>
            <w:r>
              <w:rPr>
                <w:color w:val="auto"/>
                <w:kern w:val="0"/>
                <w:sz w:val="21"/>
                <w:szCs w:val="21"/>
              </w:rPr>
              <w:t>m高排气筒（DA00</w:t>
            </w:r>
            <w:r>
              <w:rPr>
                <w:rFonts w:hint="eastAsia"/>
                <w:color w:val="auto"/>
                <w:kern w:val="0"/>
                <w:sz w:val="21"/>
                <w:szCs w:val="21"/>
              </w:rPr>
              <w:t>3</w:t>
            </w:r>
            <w:r>
              <w:rPr>
                <w:color w:val="auto"/>
                <w:kern w:val="0"/>
                <w:sz w:val="21"/>
                <w:szCs w:val="21"/>
              </w:rPr>
              <w:t>）排放</w:t>
            </w:r>
          </w:p>
        </w:tc>
        <w:tc>
          <w:tcPr>
            <w:tcW w:w="1174" w:type="pct"/>
            <w:vMerge w:val="continue"/>
            <w:vAlign w:val="center"/>
          </w:tcPr>
          <w:p w14:paraId="30E1C6A2">
            <w:pPr>
              <w:spacing w:line="240" w:lineRule="auto"/>
              <w:ind w:firstLine="0" w:firstLineChars="0"/>
              <w:jc w:val="center"/>
              <w:textAlignment w:val="baseline"/>
              <w:rPr>
                <w:color w:val="auto"/>
                <w:kern w:val="0"/>
                <w:sz w:val="21"/>
                <w:szCs w:val="21"/>
              </w:rPr>
            </w:pPr>
          </w:p>
        </w:tc>
        <w:tc>
          <w:tcPr>
            <w:tcW w:w="797" w:type="dxa"/>
            <w:vAlign w:val="center"/>
          </w:tcPr>
          <w:p w14:paraId="608DFB82">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45</w:t>
            </w:r>
          </w:p>
        </w:tc>
        <w:tc>
          <w:tcPr>
            <w:tcW w:w="236" w:type="pct"/>
            <w:vMerge w:val="continue"/>
            <w:vAlign w:val="center"/>
          </w:tcPr>
          <w:p w14:paraId="41F68F15">
            <w:pPr>
              <w:spacing w:line="240" w:lineRule="auto"/>
              <w:ind w:firstLine="0" w:firstLineChars="0"/>
              <w:jc w:val="center"/>
              <w:textAlignment w:val="baseline"/>
              <w:rPr>
                <w:color w:val="auto"/>
                <w:kern w:val="0"/>
                <w:sz w:val="21"/>
                <w:szCs w:val="21"/>
              </w:rPr>
            </w:pPr>
          </w:p>
        </w:tc>
      </w:tr>
      <w:tr w14:paraId="7DAFB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50009926">
            <w:pPr>
              <w:spacing w:line="240" w:lineRule="auto"/>
              <w:ind w:firstLine="0" w:firstLineChars="0"/>
              <w:jc w:val="center"/>
              <w:textAlignment w:val="baseline"/>
              <w:rPr>
                <w:color w:val="auto"/>
                <w:kern w:val="0"/>
                <w:sz w:val="21"/>
                <w:szCs w:val="21"/>
              </w:rPr>
            </w:pPr>
          </w:p>
        </w:tc>
        <w:tc>
          <w:tcPr>
            <w:tcW w:w="395" w:type="pct"/>
            <w:vMerge w:val="continue"/>
            <w:vAlign w:val="center"/>
          </w:tcPr>
          <w:p w14:paraId="420025BD">
            <w:pPr>
              <w:spacing w:line="240" w:lineRule="auto"/>
              <w:ind w:firstLine="0" w:firstLineChars="0"/>
              <w:jc w:val="center"/>
              <w:textAlignment w:val="baseline"/>
              <w:rPr>
                <w:color w:val="auto"/>
                <w:kern w:val="0"/>
                <w:sz w:val="21"/>
                <w:szCs w:val="21"/>
              </w:rPr>
            </w:pPr>
          </w:p>
        </w:tc>
        <w:tc>
          <w:tcPr>
            <w:tcW w:w="882" w:type="pct"/>
            <w:vAlign w:val="center"/>
          </w:tcPr>
          <w:p w14:paraId="1AB4A2D2">
            <w:pPr>
              <w:spacing w:line="240" w:lineRule="auto"/>
              <w:ind w:firstLine="0" w:firstLineChars="0"/>
              <w:jc w:val="center"/>
              <w:textAlignment w:val="baseline"/>
              <w:rPr>
                <w:color w:val="auto"/>
                <w:kern w:val="0"/>
                <w:sz w:val="21"/>
                <w:szCs w:val="21"/>
              </w:rPr>
            </w:pPr>
            <w:r>
              <w:rPr>
                <w:rFonts w:hint="eastAsia"/>
                <w:color w:val="auto"/>
                <w:kern w:val="0"/>
                <w:sz w:val="21"/>
                <w:szCs w:val="21"/>
              </w:rPr>
              <w:t>喷砂</w:t>
            </w:r>
            <w:r>
              <w:rPr>
                <w:color w:val="auto"/>
                <w:kern w:val="0"/>
                <w:sz w:val="21"/>
                <w:szCs w:val="21"/>
              </w:rPr>
              <w:t>废气</w:t>
            </w:r>
          </w:p>
        </w:tc>
        <w:tc>
          <w:tcPr>
            <w:tcW w:w="596" w:type="pct"/>
            <w:vAlign w:val="center"/>
          </w:tcPr>
          <w:p w14:paraId="1ED71FFE">
            <w:pPr>
              <w:spacing w:line="240" w:lineRule="auto"/>
              <w:ind w:firstLine="0" w:firstLineChars="0"/>
              <w:jc w:val="center"/>
              <w:textAlignment w:val="baseline"/>
              <w:rPr>
                <w:color w:val="auto"/>
                <w:kern w:val="0"/>
                <w:sz w:val="21"/>
                <w:szCs w:val="21"/>
              </w:rPr>
            </w:pPr>
            <w:r>
              <w:rPr>
                <w:rFonts w:hint="eastAsia"/>
                <w:color w:val="auto"/>
                <w:kern w:val="0"/>
                <w:sz w:val="21"/>
                <w:szCs w:val="21"/>
              </w:rPr>
              <w:t>颗粒物</w:t>
            </w:r>
          </w:p>
        </w:tc>
        <w:tc>
          <w:tcPr>
            <w:tcW w:w="1227" w:type="pct"/>
            <w:vAlign w:val="center"/>
          </w:tcPr>
          <w:p w14:paraId="3DF3149D">
            <w:pPr>
              <w:spacing w:line="240" w:lineRule="auto"/>
              <w:ind w:firstLine="0" w:firstLineChars="0"/>
              <w:jc w:val="center"/>
              <w:textAlignment w:val="baseline"/>
              <w:rPr>
                <w:color w:val="auto"/>
                <w:kern w:val="0"/>
                <w:sz w:val="21"/>
                <w:szCs w:val="21"/>
              </w:rPr>
            </w:pPr>
            <w:r>
              <w:rPr>
                <w:rFonts w:hint="eastAsia"/>
                <w:color w:val="auto"/>
                <w:kern w:val="0"/>
                <w:sz w:val="21"/>
                <w:szCs w:val="21"/>
              </w:rPr>
              <w:t>布袋除尘器处理后+</w:t>
            </w:r>
            <w:r>
              <w:rPr>
                <w:color w:val="auto"/>
                <w:kern w:val="0"/>
                <w:sz w:val="21"/>
                <w:szCs w:val="21"/>
              </w:rPr>
              <w:t>1根</w:t>
            </w:r>
            <w:r>
              <w:rPr>
                <w:rFonts w:hint="eastAsia"/>
                <w:color w:val="auto"/>
                <w:kern w:val="0"/>
                <w:sz w:val="21"/>
                <w:szCs w:val="21"/>
              </w:rPr>
              <w:t>15</w:t>
            </w:r>
            <w:r>
              <w:rPr>
                <w:color w:val="auto"/>
                <w:kern w:val="0"/>
                <w:sz w:val="21"/>
                <w:szCs w:val="21"/>
              </w:rPr>
              <w:t>m高排气筒（DA0</w:t>
            </w:r>
            <w:r>
              <w:rPr>
                <w:rFonts w:hint="eastAsia"/>
                <w:color w:val="auto"/>
                <w:kern w:val="0"/>
                <w:sz w:val="21"/>
                <w:szCs w:val="21"/>
              </w:rPr>
              <w:t>04</w:t>
            </w:r>
            <w:r>
              <w:rPr>
                <w:color w:val="auto"/>
                <w:kern w:val="0"/>
                <w:sz w:val="21"/>
                <w:szCs w:val="21"/>
              </w:rPr>
              <w:t>）排放</w:t>
            </w:r>
          </w:p>
        </w:tc>
        <w:tc>
          <w:tcPr>
            <w:tcW w:w="1174" w:type="pct"/>
            <w:vAlign w:val="center"/>
          </w:tcPr>
          <w:p w14:paraId="316A8D7F">
            <w:pPr>
              <w:spacing w:line="240" w:lineRule="auto"/>
              <w:ind w:firstLine="0" w:firstLineChars="0"/>
              <w:jc w:val="center"/>
              <w:textAlignment w:val="baseline"/>
              <w:rPr>
                <w:color w:val="auto"/>
                <w:kern w:val="0"/>
                <w:sz w:val="21"/>
                <w:szCs w:val="21"/>
              </w:rPr>
            </w:pPr>
            <w:r>
              <w:rPr>
                <w:color w:val="auto"/>
                <w:kern w:val="0"/>
                <w:sz w:val="21"/>
                <w:szCs w:val="21"/>
              </w:rPr>
              <w:t>江苏省地方标准《大气污染物综合排放标准》（DB32/4041-2021）表1中标准限值</w:t>
            </w:r>
          </w:p>
        </w:tc>
        <w:tc>
          <w:tcPr>
            <w:tcW w:w="797" w:type="dxa"/>
            <w:vAlign w:val="center"/>
          </w:tcPr>
          <w:p w14:paraId="5FC31F65">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80</w:t>
            </w:r>
          </w:p>
        </w:tc>
        <w:tc>
          <w:tcPr>
            <w:tcW w:w="236" w:type="pct"/>
            <w:vMerge w:val="continue"/>
            <w:vAlign w:val="center"/>
          </w:tcPr>
          <w:p w14:paraId="5B9852DC">
            <w:pPr>
              <w:spacing w:line="240" w:lineRule="auto"/>
              <w:ind w:firstLine="0" w:firstLineChars="0"/>
              <w:jc w:val="center"/>
              <w:textAlignment w:val="baseline"/>
              <w:rPr>
                <w:color w:val="auto"/>
                <w:kern w:val="0"/>
                <w:sz w:val="21"/>
                <w:szCs w:val="21"/>
              </w:rPr>
            </w:pPr>
          </w:p>
        </w:tc>
      </w:tr>
      <w:tr w14:paraId="2FF2D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58B48E72">
            <w:pPr>
              <w:spacing w:line="240" w:lineRule="auto"/>
              <w:ind w:firstLine="0" w:firstLineChars="0"/>
              <w:jc w:val="center"/>
              <w:textAlignment w:val="baseline"/>
              <w:rPr>
                <w:color w:val="auto"/>
                <w:kern w:val="0"/>
                <w:sz w:val="21"/>
                <w:szCs w:val="21"/>
              </w:rPr>
            </w:pPr>
          </w:p>
        </w:tc>
        <w:tc>
          <w:tcPr>
            <w:tcW w:w="395" w:type="pct"/>
            <w:vMerge w:val="continue"/>
            <w:vAlign w:val="center"/>
          </w:tcPr>
          <w:p w14:paraId="21C98DA6">
            <w:pPr>
              <w:spacing w:line="240" w:lineRule="auto"/>
              <w:ind w:firstLine="0" w:firstLineChars="0"/>
              <w:jc w:val="center"/>
              <w:textAlignment w:val="baseline"/>
              <w:rPr>
                <w:color w:val="auto"/>
                <w:kern w:val="0"/>
                <w:sz w:val="21"/>
                <w:szCs w:val="21"/>
              </w:rPr>
            </w:pPr>
          </w:p>
        </w:tc>
        <w:tc>
          <w:tcPr>
            <w:tcW w:w="882" w:type="pct"/>
            <w:vAlign w:val="center"/>
          </w:tcPr>
          <w:p w14:paraId="4C4BD1CD">
            <w:pPr>
              <w:spacing w:line="240" w:lineRule="auto"/>
              <w:ind w:firstLine="0" w:firstLineChars="0"/>
              <w:jc w:val="center"/>
              <w:textAlignment w:val="baseline"/>
              <w:rPr>
                <w:color w:val="auto"/>
                <w:kern w:val="0"/>
                <w:sz w:val="21"/>
                <w:szCs w:val="21"/>
              </w:rPr>
            </w:pPr>
            <w:r>
              <w:rPr>
                <w:rFonts w:hint="eastAsia"/>
                <w:color w:val="auto"/>
                <w:kern w:val="0"/>
                <w:sz w:val="21"/>
                <w:szCs w:val="21"/>
              </w:rPr>
              <w:t>碱蚀（氧化工段）</w:t>
            </w:r>
            <w:r>
              <w:rPr>
                <w:color w:val="auto"/>
                <w:kern w:val="0"/>
                <w:sz w:val="21"/>
                <w:szCs w:val="21"/>
              </w:rPr>
              <w:t>废气</w:t>
            </w:r>
          </w:p>
        </w:tc>
        <w:tc>
          <w:tcPr>
            <w:tcW w:w="596" w:type="pct"/>
            <w:vAlign w:val="center"/>
          </w:tcPr>
          <w:p w14:paraId="13BC7DAB">
            <w:pPr>
              <w:spacing w:line="240" w:lineRule="auto"/>
              <w:ind w:firstLine="0" w:firstLineChars="0"/>
              <w:jc w:val="center"/>
              <w:textAlignment w:val="baseline"/>
              <w:rPr>
                <w:color w:val="auto"/>
                <w:kern w:val="0"/>
                <w:sz w:val="21"/>
                <w:szCs w:val="21"/>
              </w:rPr>
            </w:pPr>
            <w:r>
              <w:rPr>
                <w:rFonts w:hint="eastAsia"/>
                <w:color w:val="auto"/>
                <w:kern w:val="0"/>
                <w:sz w:val="21"/>
                <w:szCs w:val="21"/>
              </w:rPr>
              <w:t>碱雾</w:t>
            </w:r>
          </w:p>
        </w:tc>
        <w:tc>
          <w:tcPr>
            <w:tcW w:w="1227" w:type="pct"/>
            <w:vAlign w:val="center"/>
          </w:tcPr>
          <w:p w14:paraId="412DB494">
            <w:pPr>
              <w:spacing w:line="240" w:lineRule="auto"/>
              <w:ind w:firstLine="0" w:firstLineChars="0"/>
              <w:jc w:val="center"/>
              <w:textAlignment w:val="baseline"/>
              <w:rPr>
                <w:color w:val="auto"/>
                <w:kern w:val="0"/>
                <w:sz w:val="21"/>
                <w:szCs w:val="21"/>
              </w:rPr>
            </w:pPr>
            <w:r>
              <w:rPr>
                <w:rFonts w:hint="eastAsia"/>
                <w:color w:val="auto"/>
                <w:kern w:val="0"/>
                <w:sz w:val="21"/>
                <w:szCs w:val="21"/>
              </w:rPr>
              <w:t>二级水喷淋</w:t>
            </w:r>
            <w:r>
              <w:rPr>
                <w:color w:val="auto"/>
                <w:kern w:val="0"/>
                <w:sz w:val="21"/>
                <w:szCs w:val="21"/>
              </w:rPr>
              <w:t>装置处理</w:t>
            </w:r>
            <w:r>
              <w:rPr>
                <w:rFonts w:hint="eastAsia"/>
                <w:color w:val="auto"/>
                <w:kern w:val="0"/>
                <w:sz w:val="21"/>
                <w:szCs w:val="21"/>
              </w:rPr>
              <w:t>+</w:t>
            </w:r>
            <w:r>
              <w:rPr>
                <w:color w:val="auto"/>
                <w:kern w:val="0"/>
                <w:sz w:val="21"/>
                <w:szCs w:val="21"/>
              </w:rPr>
              <w:t>1根</w:t>
            </w:r>
            <w:r>
              <w:rPr>
                <w:rFonts w:hint="eastAsia"/>
                <w:color w:val="auto"/>
                <w:kern w:val="0"/>
                <w:sz w:val="21"/>
                <w:szCs w:val="21"/>
              </w:rPr>
              <w:t>30</w:t>
            </w:r>
            <w:r>
              <w:rPr>
                <w:color w:val="auto"/>
                <w:kern w:val="0"/>
                <w:sz w:val="21"/>
                <w:szCs w:val="21"/>
              </w:rPr>
              <w:t>m高排气筒（DA00</w:t>
            </w:r>
            <w:r>
              <w:rPr>
                <w:rFonts w:hint="eastAsia"/>
                <w:color w:val="auto"/>
                <w:kern w:val="0"/>
                <w:sz w:val="21"/>
                <w:szCs w:val="21"/>
              </w:rPr>
              <w:t>5</w:t>
            </w:r>
            <w:r>
              <w:rPr>
                <w:color w:val="auto"/>
                <w:kern w:val="0"/>
                <w:sz w:val="21"/>
                <w:szCs w:val="21"/>
              </w:rPr>
              <w:t>）排放</w:t>
            </w:r>
          </w:p>
        </w:tc>
        <w:tc>
          <w:tcPr>
            <w:tcW w:w="1174" w:type="pct"/>
            <w:vAlign w:val="center"/>
          </w:tcPr>
          <w:p w14:paraId="11757918">
            <w:pPr>
              <w:spacing w:line="240" w:lineRule="auto"/>
              <w:ind w:firstLine="0" w:firstLineChars="0"/>
              <w:jc w:val="center"/>
              <w:textAlignment w:val="baseline"/>
              <w:rPr>
                <w:color w:val="auto"/>
                <w:kern w:val="0"/>
                <w:sz w:val="21"/>
                <w:szCs w:val="21"/>
              </w:rPr>
            </w:pPr>
            <w:r>
              <w:rPr>
                <w:rFonts w:hint="eastAsia"/>
                <w:color w:val="auto"/>
                <w:kern w:val="0"/>
                <w:sz w:val="21"/>
                <w:szCs w:val="21"/>
              </w:rPr>
              <w:t>/</w:t>
            </w:r>
          </w:p>
        </w:tc>
        <w:tc>
          <w:tcPr>
            <w:tcW w:w="797" w:type="dxa"/>
            <w:vAlign w:val="center"/>
          </w:tcPr>
          <w:p w14:paraId="62B353B3">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w:t>
            </w:r>
          </w:p>
        </w:tc>
        <w:tc>
          <w:tcPr>
            <w:tcW w:w="236" w:type="pct"/>
            <w:vMerge w:val="continue"/>
            <w:vAlign w:val="center"/>
          </w:tcPr>
          <w:p w14:paraId="149EECE5">
            <w:pPr>
              <w:spacing w:line="240" w:lineRule="auto"/>
              <w:ind w:firstLine="0" w:firstLineChars="0"/>
              <w:jc w:val="center"/>
              <w:textAlignment w:val="baseline"/>
              <w:rPr>
                <w:color w:val="auto"/>
                <w:kern w:val="0"/>
                <w:sz w:val="21"/>
                <w:szCs w:val="21"/>
              </w:rPr>
            </w:pPr>
          </w:p>
        </w:tc>
      </w:tr>
      <w:tr w14:paraId="3B041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1173F3AA">
            <w:pPr>
              <w:spacing w:line="240" w:lineRule="auto"/>
              <w:ind w:firstLine="0" w:firstLineChars="0"/>
              <w:jc w:val="center"/>
              <w:textAlignment w:val="baseline"/>
              <w:rPr>
                <w:color w:val="auto"/>
                <w:kern w:val="0"/>
                <w:sz w:val="21"/>
                <w:szCs w:val="21"/>
              </w:rPr>
            </w:pPr>
          </w:p>
        </w:tc>
        <w:tc>
          <w:tcPr>
            <w:tcW w:w="395" w:type="pct"/>
            <w:vMerge w:val="continue"/>
            <w:vAlign w:val="center"/>
          </w:tcPr>
          <w:p w14:paraId="285772A9">
            <w:pPr>
              <w:spacing w:line="240" w:lineRule="auto"/>
              <w:ind w:firstLine="0" w:firstLineChars="0"/>
              <w:jc w:val="center"/>
              <w:textAlignment w:val="baseline"/>
              <w:rPr>
                <w:color w:val="auto"/>
                <w:kern w:val="0"/>
                <w:sz w:val="21"/>
                <w:szCs w:val="21"/>
              </w:rPr>
            </w:pPr>
          </w:p>
        </w:tc>
        <w:tc>
          <w:tcPr>
            <w:tcW w:w="882" w:type="pct"/>
            <w:vAlign w:val="center"/>
          </w:tcPr>
          <w:p w14:paraId="3DD6962F">
            <w:pPr>
              <w:spacing w:line="240" w:lineRule="auto"/>
              <w:ind w:firstLine="0" w:firstLineChars="0"/>
              <w:jc w:val="center"/>
              <w:textAlignment w:val="baseline"/>
              <w:rPr>
                <w:color w:val="auto"/>
                <w:sz w:val="21"/>
                <w:szCs w:val="21"/>
              </w:rPr>
            </w:pPr>
            <w:r>
              <w:rPr>
                <w:rFonts w:hint="eastAsia"/>
                <w:color w:val="auto"/>
                <w:sz w:val="21"/>
                <w:szCs w:val="21"/>
              </w:rPr>
              <w:t>酸性废气（脱脂、</w:t>
            </w:r>
            <w:r>
              <w:rPr>
                <w:color w:val="auto"/>
                <w:sz w:val="21"/>
                <w:szCs w:val="21"/>
              </w:rPr>
              <w:t>中和、氧化</w:t>
            </w:r>
            <w:r>
              <w:rPr>
                <w:rFonts w:hint="eastAsia"/>
                <w:color w:val="auto"/>
                <w:sz w:val="21"/>
                <w:szCs w:val="21"/>
              </w:rPr>
              <w:t>）</w:t>
            </w:r>
          </w:p>
        </w:tc>
        <w:tc>
          <w:tcPr>
            <w:tcW w:w="596" w:type="pct"/>
            <w:vAlign w:val="center"/>
          </w:tcPr>
          <w:p w14:paraId="6C4C6C47">
            <w:pPr>
              <w:spacing w:line="240" w:lineRule="auto"/>
              <w:ind w:firstLine="0" w:firstLineChars="0"/>
              <w:jc w:val="center"/>
              <w:textAlignment w:val="baseline"/>
              <w:rPr>
                <w:color w:val="auto"/>
                <w:sz w:val="21"/>
                <w:szCs w:val="21"/>
              </w:rPr>
            </w:pPr>
            <w:r>
              <w:rPr>
                <w:rFonts w:hint="eastAsia"/>
                <w:color w:val="auto"/>
                <w:sz w:val="21"/>
                <w:szCs w:val="21"/>
              </w:rPr>
              <w:t>硫酸雾</w:t>
            </w:r>
          </w:p>
        </w:tc>
        <w:tc>
          <w:tcPr>
            <w:tcW w:w="1227" w:type="pct"/>
            <w:vAlign w:val="center"/>
          </w:tcPr>
          <w:p w14:paraId="4AE2CC83">
            <w:pPr>
              <w:spacing w:line="240" w:lineRule="auto"/>
              <w:ind w:firstLine="0" w:firstLineChars="0"/>
              <w:jc w:val="center"/>
              <w:textAlignment w:val="baseline"/>
              <w:rPr>
                <w:color w:val="auto"/>
                <w:sz w:val="21"/>
                <w:szCs w:val="21"/>
              </w:rPr>
            </w:pPr>
            <w:r>
              <w:rPr>
                <w:color w:val="auto"/>
                <w:sz w:val="21"/>
                <w:szCs w:val="21"/>
              </w:rPr>
              <w:t>二级</w:t>
            </w:r>
            <w:r>
              <w:rPr>
                <w:rFonts w:hint="eastAsia"/>
                <w:color w:val="auto"/>
                <w:sz w:val="21"/>
                <w:szCs w:val="21"/>
              </w:rPr>
              <w:t>碱</w:t>
            </w:r>
            <w:r>
              <w:rPr>
                <w:color w:val="auto"/>
                <w:sz w:val="21"/>
                <w:szCs w:val="21"/>
              </w:rPr>
              <w:t>喷淋装置处理</w:t>
            </w:r>
            <w:r>
              <w:rPr>
                <w:rFonts w:hint="eastAsia"/>
                <w:color w:val="auto"/>
                <w:sz w:val="21"/>
                <w:szCs w:val="21"/>
              </w:rPr>
              <w:t>+</w:t>
            </w:r>
            <w:r>
              <w:rPr>
                <w:color w:val="auto"/>
                <w:sz w:val="21"/>
                <w:szCs w:val="21"/>
              </w:rPr>
              <w:t>1根30m高排气筒（DA00</w:t>
            </w:r>
            <w:r>
              <w:rPr>
                <w:rFonts w:hint="eastAsia"/>
                <w:color w:val="auto"/>
                <w:sz w:val="21"/>
                <w:szCs w:val="21"/>
              </w:rPr>
              <w:t>6</w:t>
            </w:r>
            <w:r>
              <w:rPr>
                <w:color w:val="auto"/>
                <w:sz w:val="21"/>
                <w:szCs w:val="21"/>
              </w:rPr>
              <w:t>）排放</w:t>
            </w:r>
          </w:p>
        </w:tc>
        <w:tc>
          <w:tcPr>
            <w:tcW w:w="1174" w:type="pct"/>
            <w:vAlign w:val="center"/>
          </w:tcPr>
          <w:p w14:paraId="79CCAD01">
            <w:pPr>
              <w:spacing w:line="240" w:lineRule="auto"/>
              <w:ind w:firstLine="0" w:firstLineChars="0"/>
              <w:jc w:val="center"/>
              <w:textAlignment w:val="baseline"/>
              <w:rPr>
                <w:color w:val="auto"/>
                <w:kern w:val="0"/>
                <w:sz w:val="21"/>
                <w:szCs w:val="21"/>
              </w:rPr>
            </w:pPr>
            <w:r>
              <w:rPr>
                <w:color w:val="auto"/>
                <w:kern w:val="0"/>
                <w:sz w:val="21"/>
                <w:szCs w:val="21"/>
              </w:rPr>
              <w:t>《电镀污染物排放标准》（GB21900-2008）中标准限值</w:t>
            </w:r>
          </w:p>
        </w:tc>
        <w:tc>
          <w:tcPr>
            <w:tcW w:w="797" w:type="dxa"/>
            <w:vAlign w:val="center"/>
          </w:tcPr>
          <w:p w14:paraId="3C160363">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w:t>
            </w:r>
          </w:p>
        </w:tc>
        <w:tc>
          <w:tcPr>
            <w:tcW w:w="236" w:type="pct"/>
            <w:vMerge w:val="continue"/>
            <w:vAlign w:val="center"/>
          </w:tcPr>
          <w:p w14:paraId="338CC8E7">
            <w:pPr>
              <w:spacing w:line="240" w:lineRule="auto"/>
              <w:ind w:firstLine="0" w:firstLineChars="0"/>
              <w:jc w:val="center"/>
              <w:textAlignment w:val="baseline"/>
              <w:rPr>
                <w:color w:val="auto"/>
                <w:kern w:val="0"/>
                <w:sz w:val="21"/>
                <w:szCs w:val="21"/>
              </w:rPr>
            </w:pPr>
          </w:p>
        </w:tc>
      </w:tr>
      <w:tr w14:paraId="38041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27884F8E">
            <w:pPr>
              <w:spacing w:line="240" w:lineRule="auto"/>
              <w:ind w:firstLine="0" w:firstLineChars="0"/>
              <w:jc w:val="center"/>
              <w:textAlignment w:val="baseline"/>
              <w:rPr>
                <w:color w:val="auto"/>
                <w:kern w:val="0"/>
                <w:sz w:val="21"/>
                <w:szCs w:val="21"/>
              </w:rPr>
            </w:pPr>
          </w:p>
        </w:tc>
        <w:tc>
          <w:tcPr>
            <w:tcW w:w="395" w:type="pct"/>
            <w:vMerge w:val="continue"/>
            <w:vAlign w:val="center"/>
          </w:tcPr>
          <w:p w14:paraId="3360D34D">
            <w:pPr>
              <w:spacing w:line="240" w:lineRule="auto"/>
              <w:ind w:firstLine="0" w:firstLineChars="0"/>
              <w:jc w:val="center"/>
              <w:textAlignment w:val="baseline"/>
              <w:rPr>
                <w:color w:val="auto"/>
                <w:kern w:val="0"/>
                <w:sz w:val="21"/>
                <w:szCs w:val="21"/>
              </w:rPr>
            </w:pPr>
          </w:p>
        </w:tc>
        <w:tc>
          <w:tcPr>
            <w:tcW w:w="882" w:type="pct"/>
            <w:vAlign w:val="center"/>
          </w:tcPr>
          <w:p w14:paraId="24970D36">
            <w:pPr>
              <w:spacing w:line="240" w:lineRule="auto"/>
              <w:ind w:firstLine="0" w:firstLineChars="0"/>
              <w:jc w:val="center"/>
              <w:textAlignment w:val="baseline"/>
              <w:rPr>
                <w:color w:val="auto"/>
                <w:sz w:val="21"/>
                <w:szCs w:val="21"/>
              </w:rPr>
            </w:pPr>
            <w:r>
              <w:rPr>
                <w:rFonts w:hint="eastAsia"/>
                <w:color w:val="auto"/>
                <w:kern w:val="0"/>
                <w:sz w:val="21"/>
                <w:szCs w:val="21"/>
              </w:rPr>
              <w:t>碱蚀（煲模）</w:t>
            </w:r>
            <w:r>
              <w:rPr>
                <w:color w:val="auto"/>
                <w:kern w:val="0"/>
                <w:sz w:val="21"/>
                <w:szCs w:val="21"/>
              </w:rPr>
              <w:t>废气</w:t>
            </w:r>
          </w:p>
        </w:tc>
        <w:tc>
          <w:tcPr>
            <w:tcW w:w="596" w:type="pct"/>
            <w:shd w:val="clear" w:color="auto" w:fill="auto"/>
            <w:vAlign w:val="center"/>
          </w:tcPr>
          <w:p w14:paraId="51E29B18">
            <w:pPr>
              <w:spacing w:line="240" w:lineRule="auto"/>
              <w:ind w:firstLine="0" w:firstLineChars="0"/>
              <w:jc w:val="center"/>
              <w:textAlignment w:val="baseline"/>
              <w:rPr>
                <w:color w:val="auto"/>
                <w:kern w:val="0"/>
                <w:sz w:val="21"/>
                <w:szCs w:val="21"/>
              </w:rPr>
            </w:pPr>
            <w:r>
              <w:rPr>
                <w:rFonts w:hint="eastAsia"/>
                <w:color w:val="auto"/>
                <w:kern w:val="0"/>
                <w:sz w:val="21"/>
                <w:szCs w:val="21"/>
              </w:rPr>
              <w:t>碱雾</w:t>
            </w:r>
          </w:p>
        </w:tc>
        <w:tc>
          <w:tcPr>
            <w:tcW w:w="1227" w:type="pct"/>
            <w:shd w:val="clear" w:color="auto" w:fill="auto"/>
            <w:vAlign w:val="center"/>
          </w:tcPr>
          <w:p w14:paraId="7D64D6AF">
            <w:pPr>
              <w:spacing w:line="240" w:lineRule="auto"/>
              <w:ind w:firstLine="0" w:firstLineChars="0"/>
              <w:jc w:val="center"/>
              <w:textAlignment w:val="baseline"/>
              <w:rPr>
                <w:color w:val="auto"/>
                <w:kern w:val="0"/>
                <w:sz w:val="21"/>
                <w:szCs w:val="21"/>
              </w:rPr>
            </w:pPr>
            <w:r>
              <w:rPr>
                <w:rFonts w:hint="eastAsia"/>
                <w:color w:val="auto"/>
                <w:kern w:val="0"/>
                <w:sz w:val="21"/>
                <w:szCs w:val="21"/>
              </w:rPr>
              <w:t>二级水喷淋</w:t>
            </w:r>
            <w:r>
              <w:rPr>
                <w:color w:val="auto"/>
                <w:kern w:val="0"/>
                <w:sz w:val="21"/>
                <w:szCs w:val="21"/>
              </w:rPr>
              <w:t>装置处理</w:t>
            </w:r>
            <w:r>
              <w:rPr>
                <w:rFonts w:hint="eastAsia"/>
                <w:color w:val="auto"/>
                <w:kern w:val="0"/>
                <w:sz w:val="21"/>
                <w:szCs w:val="21"/>
              </w:rPr>
              <w:t>+</w:t>
            </w:r>
            <w:r>
              <w:rPr>
                <w:color w:val="auto"/>
                <w:kern w:val="0"/>
                <w:sz w:val="21"/>
                <w:szCs w:val="21"/>
              </w:rPr>
              <w:t>1根</w:t>
            </w:r>
            <w:r>
              <w:rPr>
                <w:rFonts w:hint="eastAsia"/>
                <w:color w:val="auto"/>
                <w:kern w:val="0"/>
                <w:sz w:val="21"/>
                <w:szCs w:val="21"/>
              </w:rPr>
              <w:t>30</w:t>
            </w:r>
            <w:r>
              <w:rPr>
                <w:color w:val="auto"/>
                <w:kern w:val="0"/>
                <w:sz w:val="21"/>
                <w:szCs w:val="21"/>
              </w:rPr>
              <w:t>m高排气筒（DA00</w:t>
            </w:r>
            <w:r>
              <w:rPr>
                <w:rFonts w:hint="eastAsia"/>
                <w:color w:val="auto"/>
                <w:kern w:val="0"/>
                <w:sz w:val="21"/>
                <w:szCs w:val="21"/>
              </w:rPr>
              <w:t>7</w:t>
            </w:r>
            <w:r>
              <w:rPr>
                <w:color w:val="auto"/>
                <w:kern w:val="0"/>
                <w:sz w:val="21"/>
                <w:szCs w:val="21"/>
              </w:rPr>
              <w:t>）排放</w:t>
            </w:r>
          </w:p>
        </w:tc>
        <w:tc>
          <w:tcPr>
            <w:tcW w:w="1174" w:type="pct"/>
            <w:shd w:val="clear" w:color="auto" w:fill="auto"/>
            <w:vAlign w:val="center"/>
          </w:tcPr>
          <w:p w14:paraId="208CF827">
            <w:pPr>
              <w:spacing w:line="240" w:lineRule="auto"/>
              <w:ind w:firstLine="0" w:firstLineChars="0"/>
              <w:jc w:val="center"/>
              <w:textAlignment w:val="baseline"/>
              <w:rPr>
                <w:color w:val="auto"/>
                <w:kern w:val="0"/>
                <w:sz w:val="21"/>
                <w:szCs w:val="21"/>
              </w:rPr>
            </w:pPr>
            <w:r>
              <w:rPr>
                <w:rFonts w:hint="eastAsia"/>
                <w:color w:val="auto"/>
                <w:kern w:val="0"/>
                <w:sz w:val="21"/>
                <w:szCs w:val="21"/>
              </w:rPr>
              <w:t>/</w:t>
            </w:r>
          </w:p>
        </w:tc>
        <w:tc>
          <w:tcPr>
            <w:tcW w:w="797" w:type="dxa"/>
            <w:shd w:val="clear" w:color="auto" w:fill="auto"/>
            <w:vAlign w:val="center"/>
          </w:tcPr>
          <w:p w14:paraId="5B18BE51">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w:t>
            </w:r>
          </w:p>
        </w:tc>
        <w:tc>
          <w:tcPr>
            <w:tcW w:w="236" w:type="pct"/>
            <w:vMerge w:val="continue"/>
            <w:vAlign w:val="center"/>
          </w:tcPr>
          <w:p w14:paraId="5F4A1492">
            <w:pPr>
              <w:spacing w:line="240" w:lineRule="auto"/>
              <w:ind w:firstLine="0" w:firstLineChars="0"/>
              <w:jc w:val="center"/>
              <w:textAlignment w:val="baseline"/>
              <w:rPr>
                <w:color w:val="auto"/>
                <w:kern w:val="0"/>
                <w:sz w:val="21"/>
                <w:szCs w:val="21"/>
              </w:rPr>
            </w:pPr>
          </w:p>
        </w:tc>
      </w:tr>
      <w:tr w14:paraId="1ECD7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109FDE03">
            <w:pPr>
              <w:spacing w:line="240" w:lineRule="auto"/>
              <w:ind w:firstLine="0" w:firstLineChars="0"/>
              <w:jc w:val="center"/>
              <w:textAlignment w:val="baseline"/>
              <w:rPr>
                <w:color w:val="auto"/>
                <w:kern w:val="0"/>
                <w:sz w:val="21"/>
                <w:szCs w:val="21"/>
              </w:rPr>
            </w:pPr>
          </w:p>
        </w:tc>
        <w:tc>
          <w:tcPr>
            <w:tcW w:w="395" w:type="pct"/>
            <w:vMerge w:val="continue"/>
            <w:vAlign w:val="center"/>
          </w:tcPr>
          <w:p w14:paraId="6014CAC4">
            <w:pPr>
              <w:spacing w:line="240" w:lineRule="auto"/>
              <w:ind w:firstLine="0" w:firstLineChars="0"/>
              <w:jc w:val="center"/>
              <w:textAlignment w:val="baseline"/>
              <w:rPr>
                <w:color w:val="auto"/>
                <w:kern w:val="0"/>
                <w:sz w:val="21"/>
                <w:szCs w:val="21"/>
              </w:rPr>
            </w:pPr>
          </w:p>
        </w:tc>
        <w:tc>
          <w:tcPr>
            <w:tcW w:w="882" w:type="pct"/>
            <w:vAlign w:val="center"/>
          </w:tcPr>
          <w:p w14:paraId="18B3AB74">
            <w:pPr>
              <w:spacing w:line="240" w:lineRule="auto"/>
              <w:ind w:firstLine="0" w:firstLineChars="0"/>
              <w:jc w:val="center"/>
              <w:textAlignment w:val="baseline"/>
              <w:rPr>
                <w:color w:val="auto"/>
                <w:sz w:val="21"/>
                <w:szCs w:val="21"/>
              </w:rPr>
            </w:pPr>
            <w:r>
              <w:rPr>
                <w:rFonts w:hint="eastAsia"/>
                <w:color w:val="auto"/>
                <w:sz w:val="21"/>
                <w:szCs w:val="21"/>
              </w:rPr>
              <w:t>模具氮化废气</w:t>
            </w:r>
          </w:p>
        </w:tc>
        <w:tc>
          <w:tcPr>
            <w:tcW w:w="596" w:type="pct"/>
            <w:vAlign w:val="center"/>
          </w:tcPr>
          <w:p w14:paraId="3FC54A59">
            <w:pPr>
              <w:spacing w:line="240" w:lineRule="auto"/>
              <w:ind w:firstLine="0" w:firstLineChars="0"/>
              <w:jc w:val="center"/>
              <w:textAlignment w:val="baseline"/>
              <w:rPr>
                <w:color w:val="auto"/>
                <w:sz w:val="21"/>
                <w:szCs w:val="21"/>
              </w:rPr>
            </w:pPr>
            <w:r>
              <w:rPr>
                <w:color w:val="auto"/>
                <w:sz w:val="21"/>
                <w:szCs w:val="21"/>
              </w:rPr>
              <w:t>NH</w:t>
            </w:r>
            <w:r>
              <w:rPr>
                <w:color w:val="auto"/>
                <w:sz w:val="21"/>
                <w:szCs w:val="21"/>
                <w:vertAlign w:val="subscript"/>
              </w:rPr>
              <w:t>3</w:t>
            </w:r>
          </w:p>
        </w:tc>
        <w:tc>
          <w:tcPr>
            <w:tcW w:w="1227" w:type="pct"/>
            <w:vAlign w:val="center"/>
          </w:tcPr>
          <w:p w14:paraId="0EC1FD92">
            <w:pPr>
              <w:spacing w:line="240" w:lineRule="auto"/>
              <w:ind w:firstLine="0" w:firstLineChars="0"/>
              <w:jc w:val="center"/>
              <w:textAlignment w:val="baseline"/>
              <w:rPr>
                <w:color w:val="auto"/>
                <w:sz w:val="21"/>
                <w:szCs w:val="21"/>
              </w:rPr>
            </w:pPr>
            <w:r>
              <w:rPr>
                <w:rFonts w:hint="eastAsia"/>
                <w:color w:val="auto"/>
                <w:sz w:val="21"/>
                <w:szCs w:val="21"/>
              </w:rPr>
              <w:t>尾气燃烧装置</w:t>
            </w:r>
            <w:r>
              <w:rPr>
                <w:color w:val="auto"/>
                <w:sz w:val="21"/>
                <w:szCs w:val="21"/>
              </w:rPr>
              <w:t>+</w:t>
            </w:r>
            <w:r>
              <w:rPr>
                <w:color w:val="auto"/>
                <w:kern w:val="0"/>
                <w:sz w:val="21"/>
                <w:szCs w:val="21"/>
              </w:rPr>
              <w:t>1根</w:t>
            </w:r>
            <w:r>
              <w:rPr>
                <w:color w:val="auto"/>
                <w:sz w:val="21"/>
                <w:szCs w:val="21"/>
              </w:rPr>
              <w:t>15m高排气筒</w:t>
            </w:r>
            <w:r>
              <w:rPr>
                <w:color w:val="auto"/>
                <w:kern w:val="0"/>
                <w:sz w:val="21"/>
                <w:szCs w:val="21"/>
              </w:rPr>
              <w:t>（DA00</w:t>
            </w:r>
            <w:r>
              <w:rPr>
                <w:rFonts w:hint="eastAsia"/>
                <w:color w:val="auto"/>
                <w:kern w:val="0"/>
                <w:sz w:val="21"/>
                <w:szCs w:val="21"/>
              </w:rPr>
              <w:t>8</w:t>
            </w:r>
            <w:r>
              <w:rPr>
                <w:color w:val="auto"/>
                <w:kern w:val="0"/>
                <w:sz w:val="21"/>
                <w:szCs w:val="21"/>
              </w:rPr>
              <w:t>）排放</w:t>
            </w:r>
          </w:p>
        </w:tc>
        <w:tc>
          <w:tcPr>
            <w:tcW w:w="1174" w:type="pct"/>
            <w:vAlign w:val="center"/>
          </w:tcPr>
          <w:p w14:paraId="43297739">
            <w:pPr>
              <w:spacing w:line="240" w:lineRule="auto"/>
              <w:ind w:firstLine="0" w:firstLineChars="0"/>
              <w:rPr>
                <w:color w:val="auto"/>
                <w:kern w:val="0"/>
                <w:szCs w:val="21"/>
              </w:rPr>
            </w:pPr>
            <w:r>
              <w:rPr>
                <w:color w:val="auto"/>
                <w:sz w:val="21"/>
                <w:szCs w:val="21"/>
              </w:rPr>
              <w:t>《恶臭污染物排放标准》（GB14554-93）表2中标准限值</w:t>
            </w:r>
          </w:p>
        </w:tc>
        <w:tc>
          <w:tcPr>
            <w:tcW w:w="797" w:type="dxa"/>
            <w:vAlign w:val="center"/>
          </w:tcPr>
          <w:p w14:paraId="28CF8D7D">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45</w:t>
            </w:r>
          </w:p>
        </w:tc>
        <w:tc>
          <w:tcPr>
            <w:tcW w:w="236" w:type="pct"/>
            <w:vMerge w:val="continue"/>
            <w:vAlign w:val="center"/>
          </w:tcPr>
          <w:p w14:paraId="3D73CEB3">
            <w:pPr>
              <w:spacing w:line="240" w:lineRule="auto"/>
              <w:ind w:firstLine="0" w:firstLineChars="0"/>
              <w:jc w:val="center"/>
              <w:textAlignment w:val="baseline"/>
              <w:rPr>
                <w:color w:val="auto"/>
                <w:kern w:val="0"/>
                <w:sz w:val="21"/>
                <w:szCs w:val="21"/>
              </w:rPr>
            </w:pPr>
          </w:p>
        </w:tc>
      </w:tr>
      <w:tr w14:paraId="226A0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4C6D3878">
            <w:pPr>
              <w:spacing w:line="240" w:lineRule="auto"/>
              <w:ind w:firstLine="0" w:firstLineChars="0"/>
              <w:jc w:val="center"/>
              <w:textAlignment w:val="baseline"/>
              <w:rPr>
                <w:color w:val="auto"/>
                <w:kern w:val="0"/>
                <w:sz w:val="21"/>
                <w:szCs w:val="21"/>
              </w:rPr>
            </w:pPr>
          </w:p>
        </w:tc>
        <w:tc>
          <w:tcPr>
            <w:tcW w:w="395" w:type="pct"/>
            <w:vMerge w:val="continue"/>
            <w:vAlign w:val="center"/>
          </w:tcPr>
          <w:p w14:paraId="151C2412">
            <w:pPr>
              <w:spacing w:line="240" w:lineRule="auto"/>
              <w:ind w:firstLine="0" w:firstLineChars="0"/>
              <w:jc w:val="center"/>
              <w:textAlignment w:val="baseline"/>
              <w:rPr>
                <w:color w:val="auto"/>
                <w:kern w:val="0"/>
                <w:sz w:val="21"/>
                <w:szCs w:val="21"/>
              </w:rPr>
            </w:pPr>
          </w:p>
        </w:tc>
        <w:tc>
          <w:tcPr>
            <w:tcW w:w="882" w:type="pct"/>
            <w:vAlign w:val="center"/>
          </w:tcPr>
          <w:p w14:paraId="73A07D29">
            <w:pPr>
              <w:spacing w:line="240" w:lineRule="auto"/>
              <w:ind w:firstLine="0" w:firstLineChars="0"/>
              <w:jc w:val="center"/>
              <w:textAlignment w:val="baseline"/>
              <w:rPr>
                <w:color w:val="auto"/>
                <w:sz w:val="21"/>
                <w:szCs w:val="21"/>
              </w:rPr>
            </w:pPr>
            <w:r>
              <w:rPr>
                <w:rFonts w:hint="eastAsia"/>
                <w:color w:val="auto"/>
                <w:sz w:val="21"/>
                <w:szCs w:val="21"/>
              </w:rPr>
              <w:t>食堂废气</w:t>
            </w:r>
          </w:p>
        </w:tc>
        <w:tc>
          <w:tcPr>
            <w:tcW w:w="596" w:type="pct"/>
            <w:vAlign w:val="center"/>
          </w:tcPr>
          <w:p w14:paraId="6EEE77B1">
            <w:pPr>
              <w:spacing w:line="240" w:lineRule="auto"/>
              <w:ind w:firstLine="0" w:firstLineChars="0"/>
              <w:jc w:val="center"/>
              <w:textAlignment w:val="baseline"/>
              <w:rPr>
                <w:color w:val="auto"/>
                <w:sz w:val="21"/>
                <w:szCs w:val="21"/>
              </w:rPr>
            </w:pPr>
            <w:r>
              <w:rPr>
                <w:rFonts w:hint="eastAsia"/>
                <w:color w:val="auto"/>
                <w:sz w:val="21"/>
                <w:szCs w:val="21"/>
              </w:rPr>
              <w:t>油烟</w:t>
            </w:r>
          </w:p>
        </w:tc>
        <w:tc>
          <w:tcPr>
            <w:tcW w:w="1227" w:type="pct"/>
            <w:vAlign w:val="center"/>
          </w:tcPr>
          <w:p w14:paraId="4D72AD6C">
            <w:pPr>
              <w:spacing w:line="240" w:lineRule="auto"/>
              <w:ind w:firstLine="0" w:firstLineChars="0"/>
              <w:jc w:val="center"/>
              <w:textAlignment w:val="baseline"/>
              <w:rPr>
                <w:color w:val="auto"/>
                <w:sz w:val="21"/>
                <w:szCs w:val="21"/>
              </w:rPr>
            </w:pPr>
            <w:r>
              <w:rPr>
                <w:rFonts w:hint="eastAsia"/>
                <w:color w:val="auto"/>
                <w:sz w:val="21"/>
                <w:szCs w:val="21"/>
              </w:rPr>
              <w:t>油烟净化器处理后引至</w:t>
            </w:r>
            <w:r>
              <w:rPr>
                <w:rFonts w:hint="eastAsia"/>
                <w:color w:val="auto"/>
                <w:sz w:val="21"/>
                <w:szCs w:val="21"/>
                <w:lang w:val="en-US" w:eastAsia="zh-CN"/>
              </w:rPr>
              <w:t>室外</w:t>
            </w:r>
            <w:r>
              <w:rPr>
                <w:rFonts w:hint="eastAsia"/>
                <w:color w:val="auto"/>
                <w:sz w:val="21"/>
                <w:szCs w:val="21"/>
              </w:rPr>
              <w:t>排放。</w:t>
            </w:r>
          </w:p>
        </w:tc>
        <w:tc>
          <w:tcPr>
            <w:tcW w:w="1174" w:type="pct"/>
            <w:vAlign w:val="center"/>
          </w:tcPr>
          <w:p w14:paraId="4373E645">
            <w:pPr>
              <w:spacing w:line="240" w:lineRule="auto"/>
              <w:ind w:firstLine="0" w:firstLineChars="0"/>
              <w:jc w:val="center"/>
              <w:textAlignment w:val="baseline"/>
              <w:rPr>
                <w:color w:val="auto"/>
                <w:kern w:val="0"/>
                <w:sz w:val="21"/>
                <w:szCs w:val="21"/>
              </w:rPr>
            </w:pPr>
            <w:r>
              <w:rPr>
                <w:color w:val="auto"/>
                <w:sz w:val="21"/>
                <w:szCs w:val="20"/>
              </w:rPr>
              <w:t>《饮食业油烟排放标准》（试行）（GB18483-2001）表2中标准限值</w:t>
            </w:r>
          </w:p>
        </w:tc>
        <w:tc>
          <w:tcPr>
            <w:tcW w:w="797" w:type="dxa"/>
            <w:vAlign w:val="center"/>
          </w:tcPr>
          <w:p w14:paraId="5055BD55">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20</w:t>
            </w:r>
          </w:p>
        </w:tc>
        <w:tc>
          <w:tcPr>
            <w:tcW w:w="236" w:type="pct"/>
            <w:vMerge w:val="continue"/>
            <w:vAlign w:val="center"/>
          </w:tcPr>
          <w:p w14:paraId="044D3EAC">
            <w:pPr>
              <w:spacing w:line="240" w:lineRule="auto"/>
              <w:ind w:firstLine="0" w:firstLineChars="0"/>
              <w:jc w:val="center"/>
              <w:textAlignment w:val="baseline"/>
              <w:rPr>
                <w:color w:val="auto"/>
                <w:kern w:val="0"/>
                <w:sz w:val="21"/>
                <w:szCs w:val="21"/>
              </w:rPr>
            </w:pPr>
          </w:p>
        </w:tc>
      </w:tr>
      <w:tr w14:paraId="2C3F3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58F4A1DF">
            <w:pPr>
              <w:spacing w:line="240" w:lineRule="auto"/>
              <w:ind w:firstLine="0" w:firstLineChars="0"/>
              <w:jc w:val="center"/>
              <w:textAlignment w:val="baseline"/>
              <w:rPr>
                <w:color w:val="auto"/>
                <w:kern w:val="0"/>
                <w:sz w:val="21"/>
                <w:szCs w:val="21"/>
              </w:rPr>
            </w:pPr>
          </w:p>
        </w:tc>
        <w:tc>
          <w:tcPr>
            <w:tcW w:w="395" w:type="pct"/>
            <w:vMerge w:val="restart"/>
            <w:vAlign w:val="center"/>
          </w:tcPr>
          <w:p w14:paraId="3BF2D75B">
            <w:pPr>
              <w:spacing w:line="240" w:lineRule="auto"/>
              <w:ind w:firstLine="0" w:firstLineChars="0"/>
              <w:jc w:val="center"/>
              <w:textAlignment w:val="baseline"/>
              <w:rPr>
                <w:color w:val="auto"/>
                <w:kern w:val="0"/>
                <w:sz w:val="21"/>
                <w:szCs w:val="21"/>
              </w:rPr>
            </w:pPr>
            <w:r>
              <w:rPr>
                <w:rFonts w:hint="eastAsia"/>
                <w:color w:val="auto"/>
                <w:kern w:val="0"/>
                <w:sz w:val="21"/>
                <w:szCs w:val="21"/>
              </w:rPr>
              <w:t>无组织</w:t>
            </w:r>
          </w:p>
        </w:tc>
        <w:tc>
          <w:tcPr>
            <w:tcW w:w="882" w:type="pct"/>
            <w:vAlign w:val="center"/>
          </w:tcPr>
          <w:p w14:paraId="6E3C94C0">
            <w:pPr>
              <w:spacing w:line="240" w:lineRule="auto"/>
              <w:ind w:firstLine="0" w:firstLineChars="0"/>
              <w:jc w:val="center"/>
              <w:textAlignment w:val="baseline"/>
              <w:rPr>
                <w:color w:val="auto"/>
                <w:sz w:val="21"/>
                <w:szCs w:val="21"/>
              </w:rPr>
            </w:pPr>
            <w:r>
              <w:rPr>
                <w:rFonts w:hint="eastAsia"/>
                <w:color w:val="auto"/>
                <w:sz w:val="21"/>
                <w:szCs w:val="21"/>
              </w:rPr>
              <w:t>未被收集的喷砂粉尘</w:t>
            </w:r>
          </w:p>
        </w:tc>
        <w:tc>
          <w:tcPr>
            <w:tcW w:w="596" w:type="pct"/>
            <w:vAlign w:val="center"/>
          </w:tcPr>
          <w:p w14:paraId="252369A9">
            <w:pPr>
              <w:spacing w:line="240" w:lineRule="auto"/>
              <w:ind w:firstLine="0" w:firstLineChars="0"/>
              <w:jc w:val="center"/>
              <w:textAlignment w:val="baseline"/>
              <w:rPr>
                <w:color w:val="auto"/>
                <w:sz w:val="21"/>
                <w:szCs w:val="21"/>
              </w:rPr>
            </w:pPr>
            <w:r>
              <w:rPr>
                <w:rFonts w:hint="eastAsia"/>
                <w:color w:val="auto"/>
                <w:sz w:val="21"/>
                <w:szCs w:val="21"/>
              </w:rPr>
              <w:t>颗粒物</w:t>
            </w:r>
          </w:p>
        </w:tc>
        <w:tc>
          <w:tcPr>
            <w:tcW w:w="1227" w:type="pct"/>
            <w:vAlign w:val="center"/>
          </w:tcPr>
          <w:p w14:paraId="5A993F0D">
            <w:pPr>
              <w:spacing w:line="240" w:lineRule="auto"/>
              <w:ind w:firstLine="0" w:firstLineChars="0"/>
              <w:jc w:val="center"/>
              <w:textAlignment w:val="baseline"/>
              <w:rPr>
                <w:color w:val="auto"/>
                <w:sz w:val="21"/>
                <w:szCs w:val="21"/>
              </w:rPr>
            </w:pPr>
            <w:r>
              <w:rPr>
                <w:color w:val="auto"/>
                <w:sz w:val="21"/>
                <w:szCs w:val="21"/>
              </w:rPr>
              <w:t>加强车间自然通风及机械排风</w:t>
            </w:r>
          </w:p>
        </w:tc>
        <w:tc>
          <w:tcPr>
            <w:tcW w:w="1174" w:type="pct"/>
            <w:vMerge w:val="restart"/>
            <w:vAlign w:val="center"/>
          </w:tcPr>
          <w:p w14:paraId="4414BA94">
            <w:pPr>
              <w:spacing w:line="240" w:lineRule="auto"/>
              <w:ind w:firstLine="0" w:firstLineChars="0"/>
              <w:jc w:val="center"/>
              <w:textAlignment w:val="baseline"/>
              <w:rPr>
                <w:color w:val="auto"/>
                <w:kern w:val="0"/>
                <w:sz w:val="21"/>
                <w:szCs w:val="21"/>
              </w:rPr>
            </w:pPr>
            <w:r>
              <w:rPr>
                <w:color w:val="auto"/>
                <w:kern w:val="0"/>
                <w:sz w:val="21"/>
                <w:szCs w:val="21"/>
              </w:rPr>
              <w:t>江苏省地方标准《大气污染物综合排放标准》（DB32/4041-2021）表3中标准限值</w:t>
            </w:r>
          </w:p>
        </w:tc>
        <w:tc>
          <w:tcPr>
            <w:tcW w:w="797" w:type="dxa"/>
            <w:vMerge w:val="restart"/>
            <w:vAlign w:val="center"/>
          </w:tcPr>
          <w:p w14:paraId="6A4685F9">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20</w:t>
            </w:r>
          </w:p>
        </w:tc>
        <w:tc>
          <w:tcPr>
            <w:tcW w:w="236" w:type="pct"/>
            <w:vMerge w:val="continue"/>
            <w:vAlign w:val="center"/>
          </w:tcPr>
          <w:p w14:paraId="2E8E82DD">
            <w:pPr>
              <w:spacing w:line="240" w:lineRule="auto"/>
              <w:ind w:firstLine="0" w:firstLineChars="0"/>
              <w:jc w:val="center"/>
              <w:textAlignment w:val="baseline"/>
              <w:rPr>
                <w:color w:val="auto"/>
                <w:kern w:val="0"/>
                <w:sz w:val="21"/>
                <w:szCs w:val="21"/>
              </w:rPr>
            </w:pPr>
          </w:p>
        </w:tc>
      </w:tr>
      <w:tr w14:paraId="347F1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10363E82">
            <w:pPr>
              <w:spacing w:line="240" w:lineRule="auto"/>
              <w:ind w:firstLine="0" w:firstLineChars="0"/>
              <w:jc w:val="center"/>
              <w:textAlignment w:val="baseline"/>
              <w:rPr>
                <w:color w:val="auto"/>
                <w:kern w:val="0"/>
                <w:sz w:val="21"/>
                <w:szCs w:val="21"/>
              </w:rPr>
            </w:pPr>
          </w:p>
        </w:tc>
        <w:tc>
          <w:tcPr>
            <w:tcW w:w="395" w:type="pct"/>
            <w:vMerge w:val="continue"/>
            <w:vAlign w:val="center"/>
          </w:tcPr>
          <w:p w14:paraId="0C08A891">
            <w:pPr>
              <w:spacing w:line="240" w:lineRule="auto"/>
              <w:ind w:firstLine="0" w:firstLineChars="0"/>
              <w:jc w:val="center"/>
              <w:textAlignment w:val="baseline"/>
              <w:rPr>
                <w:color w:val="auto"/>
                <w:kern w:val="0"/>
                <w:sz w:val="21"/>
                <w:szCs w:val="21"/>
              </w:rPr>
            </w:pPr>
          </w:p>
        </w:tc>
        <w:tc>
          <w:tcPr>
            <w:tcW w:w="882" w:type="pct"/>
            <w:vAlign w:val="center"/>
          </w:tcPr>
          <w:p w14:paraId="43378403">
            <w:pPr>
              <w:spacing w:line="240" w:lineRule="auto"/>
              <w:ind w:firstLine="0" w:firstLineChars="0"/>
              <w:jc w:val="center"/>
              <w:textAlignment w:val="baseline"/>
              <w:rPr>
                <w:color w:val="auto"/>
                <w:sz w:val="21"/>
                <w:szCs w:val="21"/>
              </w:rPr>
            </w:pPr>
            <w:r>
              <w:rPr>
                <w:rFonts w:hint="eastAsia"/>
                <w:color w:val="auto"/>
                <w:sz w:val="21"/>
                <w:szCs w:val="21"/>
              </w:rPr>
              <w:t>深加工废气</w:t>
            </w:r>
          </w:p>
        </w:tc>
        <w:tc>
          <w:tcPr>
            <w:tcW w:w="596" w:type="pct"/>
            <w:vAlign w:val="center"/>
          </w:tcPr>
          <w:p w14:paraId="43D04FEA">
            <w:pPr>
              <w:spacing w:line="240" w:lineRule="auto"/>
              <w:ind w:firstLine="0" w:firstLineChars="0"/>
              <w:jc w:val="center"/>
              <w:textAlignment w:val="baseline"/>
              <w:rPr>
                <w:color w:val="auto"/>
                <w:sz w:val="21"/>
                <w:szCs w:val="21"/>
              </w:rPr>
            </w:pPr>
            <w:r>
              <w:rPr>
                <w:rFonts w:hint="eastAsia"/>
                <w:color w:val="auto"/>
                <w:sz w:val="21"/>
                <w:szCs w:val="21"/>
              </w:rPr>
              <w:t>颗粒物</w:t>
            </w:r>
          </w:p>
        </w:tc>
        <w:tc>
          <w:tcPr>
            <w:tcW w:w="1227" w:type="pct"/>
            <w:vAlign w:val="center"/>
          </w:tcPr>
          <w:p w14:paraId="2996A245">
            <w:pPr>
              <w:spacing w:line="240" w:lineRule="auto"/>
              <w:ind w:firstLine="0" w:firstLineChars="0"/>
              <w:jc w:val="center"/>
              <w:textAlignment w:val="baseline"/>
              <w:rPr>
                <w:color w:val="auto"/>
                <w:sz w:val="21"/>
                <w:szCs w:val="21"/>
              </w:rPr>
            </w:pPr>
            <w:r>
              <w:rPr>
                <w:rFonts w:hint="eastAsia"/>
                <w:color w:val="auto"/>
                <w:sz w:val="21"/>
                <w:szCs w:val="21"/>
              </w:rPr>
              <w:t>设备自带布袋除尘</w:t>
            </w:r>
          </w:p>
        </w:tc>
        <w:tc>
          <w:tcPr>
            <w:tcW w:w="1174" w:type="pct"/>
            <w:vMerge w:val="continue"/>
            <w:vAlign w:val="center"/>
          </w:tcPr>
          <w:p w14:paraId="12DBF7E0">
            <w:pPr>
              <w:spacing w:line="240" w:lineRule="auto"/>
              <w:ind w:firstLine="0" w:firstLineChars="0"/>
              <w:jc w:val="center"/>
              <w:textAlignment w:val="baseline"/>
              <w:rPr>
                <w:color w:val="auto"/>
                <w:kern w:val="0"/>
                <w:sz w:val="21"/>
                <w:szCs w:val="21"/>
              </w:rPr>
            </w:pPr>
          </w:p>
        </w:tc>
        <w:tc>
          <w:tcPr>
            <w:tcW w:w="278" w:type="pct"/>
            <w:vMerge w:val="continue"/>
            <w:vAlign w:val="center"/>
          </w:tcPr>
          <w:p w14:paraId="1BC118CE">
            <w:pPr>
              <w:spacing w:line="240" w:lineRule="auto"/>
              <w:ind w:firstLine="0" w:firstLineChars="0"/>
              <w:jc w:val="center"/>
              <w:textAlignment w:val="baseline"/>
              <w:rPr>
                <w:color w:val="auto"/>
                <w:kern w:val="0"/>
                <w:sz w:val="21"/>
                <w:szCs w:val="21"/>
              </w:rPr>
            </w:pPr>
          </w:p>
        </w:tc>
        <w:tc>
          <w:tcPr>
            <w:tcW w:w="236" w:type="pct"/>
            <w:vMerge w:val="continue"/>
            <w:vAlign w:val="center"/>
          </w:tcPr>
          <w:p w14:paraId="59E154CD">
            <w:pPr>
              <w:spacing w:line="240" w:lineRule="auto"/>
              <w:ind w:firstLine="0" w:firstLineChars="0"/>
              <w:jc w:val="center"/>
              <w:textAlignment w:val="baseline"/>
              <w:rPr>
                <w:color w:val="auto"/>
                <w:kern w:val="0"/>
                <w:sz w:val="21"/>
                <w:szCs w:val="21"/>
              </w:rPr>
            </w:pPr>
          </w:p>
        </w:tc>
      </w:tr>
      <w:tr w14:paraId="5675B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0BC6DE62">
            <w:pPr>
              <w:spacing w:line="240" w:lineRule="auto"/>
              <w:ind w:firstLine="0" w:firstLineChars="0"/>
              <w:jc w:val="center"/>
              <w:textAlignment w:val="baseline"/>
              <w:rPr>
                <w:color w:val="auto"/>
                <w:kern w:val="0"/>
                <w:sz w:val="21"/>
                <w:szCs w:val="21"/>
              </w:rPr>
            </w:pPr>
          </w:p>
        </w:tc>
        <w:tc>
          <w:tcPr>
            <w:tcW w:w="395" w:type="pct"/>
            <w:vMerge w:val="continue"/>
            <w:vAlign w:val="center"/>
          </w:tcPr>
          <w:p w14:paraId="674E0B8C">
            <w:pPr>
              <w:spacing w:line="240" w:lineRule="auto"/>
              <w:ind w:firstLine="0" w:firstLineChars="0"/>
              <w:jc w:val="center"/>
              <w:textAlignment w:val="baseline"/>
              <w:rPr>
                <w:color w:val="auto"/>
                <w:kern w:val="0"/>
                <w:sz w:val="21"/>
                <w:szCs w:val="21"/>
              </w:rPr>
            </w:pPr>
          </w:p>
        </w:tc>
        <w:tc>
          <w:tcPr>
            <w:tcW w:w="882" w:type="pct"/>
            <w:vAlign w:val="center"/>
          </w:tcPr>
          <w:p w14:paraId="381DF1AC">
            <w:pPr>
              <w:spacing w:line="240" w:lineRule="auto"/>
              <w:ind w:firstLine="0" w:firstLineChars="0"/>
              <w:jc w:val="center"/>
              <w:textAlignment w:val="baseline"/>
              <w:rPr>
                <w:color w:val="auto"/>
                <w:sz w:val="21"/>
                <w:szCs w:val="21"/>
              </w:rPr>
            </w:pPr>
            <w:r>
              <w:rPr>
                <w:rFonts w:hint="eastAsia"/>
                <w:color w:val="auto"/>
                <w:sz w:val="21"/>
                <w:szCs w:val="21"/>
              </w:rPr>
              <w:t>阳极氧化车间无组织废气</w:t>
            </w:r>
          </w:p>
        </w:tc>
        <w:tc>
          <w:tcPr>
            <w:tcW w:w="596" w:type="pct"/>
            <w:vAlign w:val="center"/>
          </w:tcPr>
          <w:p w14:paraId="6FCD17F7">
            <w:pPr>
              <w:spacing w:line="240" w:lineRule="auto"/>
              <w:ind w:firstLine="0" w:firstLineChars="0"/>
              <w:jc w:val="center"/>
              <w:textAlignment w:val="baseline"/>
              <w:rPr>
                <w:color w:val="auto"/>
                <w:sz w:val="21"/>
                <w:szCs w:val="21"/>
              </w:rPr>
            </w:pPr>
            <w:r>
              <w:rPr>
                <w:rFonts w:hint="eastAsia"/>
                <w:color w:val="auto"/>
                <w:sz w:val="21"/>
                <w:szCs w:val="21"/>
              </w:rPr>
              <w:t>碱雾、硫酸雾</w:t>
            </w:r>
          </w:p>
        </w:tc>
        <w:tc>
          <w:tcPr>
            <w:tcW w:w="1227" w:type="pct"/>
            <w:vAlign w:val="center"/>
          </w:tcPr>
          <w:p w14:paraId="2A1D5FAF">
            <w:pPr>
              <w:spacing w:line="240" w:lineRule="auto"/>
              <w:ind w:firstLine="0" w:firstLineChars="0"/>
              <w:jc w:val="center"/>
              <w:textAlignment w:val="baseline"/>
              <w:rPr>
                <w:color w:val="auto"/>
                <w:sz w:val="21"/>
                <w:szCs w:val="21"/>
              </w:rPr>
            </w:pPr>
            <w:r>
              <w:rPr>
                <w:rFonts w:hint="eastAsia"/>
                <w:color w:val="auto"/>
                <w:sz w:val="21"/>
                <w:szCs w:val="21"/>
              </w:rPr>
              <w:t>加强厂区绿化</w:t>
            </w:r>
          </w:p>
        </w:tc>
        <w:tc>
          <w:tcPr>
            <w:tcW w:w="1174" w:type="pct"/>
            <w:vMerge w:val="continue"/>
            <w:vAlign w:val="center"/>
          </w:tcPr>
          <w:p w14:paraId="43EC8747">
            <w:pPr>
              <w:spacing w:line="240" w:lineRule="auto"/>
              <w:ind w:firstLine="0" w:firstLineChars="0"/>
              <w:jc w:val="center"/>
              <w:textAlignment w:val="baseline"/>
              <w:rPr>
                <w:color w:val="auto"/>
                <w:kern w:val="0"/>
                <w:sz w:val="21"/>
                <w:szCs w:val="21"/>
              </w:rPr>
            </w:pPr>
          </w:p>
        </w:tc>
        <w:tc>
          <w:tcPr>
            <w:tcW w:w="278" w:type="pct"/>
            <w:vMerge w:val="continue"/>
            <w:vAlign w:val="center"/>
          </w:tcPr>
          <w:p w14:paraId="640E8C4D">
            <w:pPr>
              <w:spacing w:line="240" w:lineRule="auto"/>
              <w:ind w:firstLine="0" w:firstLineChars="0"/>
              <w:jc w:val="center"/>
              <w:textAlignment w:val="baseline"/>
              <w:rPr>
                <w:color w:val="auto"/>
                <w:kern w:val="0"/>
                <w:sz w:val="21"/>
                <w:szCs w:val="21"/>
              </w:rPr>
            </w:pPr>
          </w:p>
        </w:tc>
        <w:tc>
          <w:tcPr>
            <w:tcW w:w="236" w:type="pct"/>
            <w:vMerge w:val="continue"/>
            <w:vAlign w:val="center"/>
          </w:tcPr>
          <w:p w14:paraId="1D295A30">
            <w:pPr>
              <w:spacing w:line="240" w:lineRule="auto"/>
              <w:ind w:firstLine="0" w:firstLineChars="0"/>
              <w:jc w:val="center"/>
              <w:textAlignment w:val="baseline"/>
              <w:rPr>
                <w:color w:val="auto"/>
                <w:kern w:val="0"/>
                <w:sz w:val="21"/>
                <w:szCs w:val="21"/>
              </w:rPr>
            </w:pPr>
          </w:p>
        </w:tc>
      </w:tr>
      <w:tr w14:paraId="150CD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7C55D0B2">
            <w:pPr>
              <w:spacing w:line="240" w:lineRule="auto"/>
              <w:ind w:firstLine="0" w:firstLineChars="0"/>
              <w:jc w:val="center"/>
              <w:textAlignment w:val="baseline"/>
              <w:rPr>
                <w:color w:val="auto"/>
                <w:kern w:val="0"/>
                <w:sz w:val="21"/>
                <w:szCs w:val="21"/>
              </w:rPr>
            </w:pPr>
          </w:p>
        </w:tc>
        <w:tc>
          <w:tcPr>
            <w:tcW w:w="395" w:type="pct"/>
            <w:vMerge w:val="continue"/>
            <w:vAlign w:val="center"/>
          </w:tcPr>
          <w:p w14:paraId="0334420A">
            <w:pPr>
              <w:spacing w:line="240" w:lineRule="auto"/>
              <w:ind w:firstLine="0" w:firstLineChars="0"/>
              <w:jc w:val="center"/>
              <w:textAlignment w:val="baseline"/>
              <w:rPr>
                <w:color w:val="auto"/>
                <w:kern w:val="0"/>
                <w:sz w:val="21"/>
                <w:szCs w:val="21"/>
              </w:rPr>
            </w:pPr>
          </w:p>
        </w:tc>
        <w:tc>
          <w:tcPr>
            <w:tcW w:w="882" w:type="pct"/>
            <w:vAlign w:val="center"/>
          </w:tcPr>
          <w:p w14:paraId="06D63967">
            <w:pPr>
              <w:spacing w:line="240" w:lineRule="auto"/>
              <w:ind w:firstLine="0" w:firstLineChars="0"/>
              <w:jc w:val="center"/>
              <w:textAlignment w:val="baseline"/>
              <w:rPr>
                <w:color w:val="auto"/>
                <w:sz w:val="21"/>
                <w:szCs w:val="21"/>
              </w:rPr>
            </w:pPr>
            <w:r>
              <w:rPr>
                <w:rFonts w:hint="eastAsia"/>
                <w:color w:val="auto"/>
                <w:sz w:val="21"/>
                <w:szCs w:val="21"/>
              </w:rPr>
              <w:t>模具处理无组织废气</w:t>
            </w:r>
          </w:p>
        </w:tc>
        <w:tc>
          <w:tcPr>
            <w:tcW w:w="596" w:type="pct"/>
            <w:vAlign w:val="center"/>
          </w:tcPr>
          <w:p w14:paraId="6364C7A3">
            <w:pPr>
              <w:spacing w:line="240" w:lineRule="auto"/>
              <w:ind w:firstLine="0" w:firstLineChars="0"/>
              <w:jc w:val="center"/>
              <w:textAlignment w:val="baseline"/>
              <w:rPr>
                <w:color w:val="auto"/>
                <w:sz w:val="21"/>
                <w:szCs w:val="21"/>
              </w:rPr>
            </w:pPr>
            <w:r>
              <w:rPr>
                <w:rFonts w:hint="eastAsia"/>
                <w:color w:val="auto"/>
                <w:sz w:val="21"/>
                <w:szCs w:val="21"/>
              </w:rPr>
              <w:t>碱雾</w:t>
            </w:r>
          </w:p>
        </w:tc>
        <w:tc>
          <w:tcPr>
            <w:tcW w:w="1227" w:type="pct"/>
            <w:vMerge w:val="restart"/>
            <w:vAlign w:val="center"/>
          </w:tcPr>
          <w:p w14:paraId="2C4B90EC">
            <w:pPr>
              <w:spacing w:line="240" w:lineRule="auto"/>
              <w:ind w:firstLine="0" w:firstLineChars="0"/>
              <w:jc w:val="center"/>
              <w:textAlignment w:val="baseline"/>
              <w:rPr>
                <w:color w:val="auto"/>
                <w:sz w:val="21"/>
                <w:szCs w:val="21"/>
              </w:rPr>
            </w:pPr>
            <w:r>
              <w:rPr>
                <w:color w:val="auto"/>
                <w:sz w:val="21"/>
                <w:szCs w:val="21"/>
              </w:rPr>
              <w:t>加强车间自然通风及机械排风</w:t>
            </w:r>
          </w:p>
        </w:tc>
        <w:tc>
          <w:tcPr>
            <w:tcW w:w="1174" w:type="pct"/>
            <w:vMerge w:val="continue"/>
            <w:vAlign w:val="center"/>
          </w:tcPr>
          <w:p w14:paraId="6A037AAF">
            <w:pPr>
              <w:spacing w:line="240" w:lineRule="auto"/>
              <w:ind w:firstLine="0" w:firstLineChars="0"/>
              <w:jc w:val="center"/>
              <w:textAlignment w:val="baseline"/>
              <w:rPr>
                <w:color w:val="auto"/>
                <w:sz w:val="21"/>
                <w:szCs w:val="21"/>
              </w:rPr>
            </w:pPr>
          </w:p>
        </w:tc>
        <w:tc>
          <w:tcPr>
            <w:tcW w:w="278" w:type="pct"/>
            <w:vMerge w:val="continue"/>
            <w:vAlign w:val="center"/>
          </w:tcPr>
          <w:p w14:paraId="22867A52">
            <w:pPr>
              <w:spacing w:line="240" w:lineRule="auto"/>
              <w:ind w:firstLine="0" w:firstLineChars="0"/>
              <w:jc w:val="center"/>
              <w:textAlignment w:val="baseline"/>
              <w:rPr>
                <w:color w:val="auto"/>
                <w:kern w:val="0"/>
                <w:sz w:val="21"/>
                <w:szCs w:val="21"/>
              </w:rPr>
            </w:pPr>
          </w:p>
        </w:tc>
        <w:tc>
          <w:tcPr>
            <w:tcW w:w="236" w:type="pct"/>
            <w:vMerge w:val="continue"/>
            <w:vAlign w:val="center"/>
          </w:tcPr>
          <w:p w14:paraId="1C0F611A">
            <w:pPr>
              <w:spacing w:line="240" w:lineRule="auto"/>
              <w:ind w:firstLine="0" w:firstLineChars="0"/>
              <w:jc w:val="center"/>
              <w:textAlignment w:val="baseline"/>
              <w:rPr>
                <w:color w:val="auto"/>
                <w:kern w:val="0"/>
                <w:sz w:val="21"/>
                <w:szCs w:val="21"/>
              </w:rPr>
            </w:pPr>
          </w:p>
        </w:tc>
      </w:tr>
      <w:tr w14:paraId="4DAB5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9" w:type="pct"/>
            <w:vMerge w:val="continue"/>
            <w:vAlign w:val="center"/>
          </w:tcPr>
          <w:p w14:paraId="28916F3E">
            <w:pPr>
              <w:spacing w:line="240" w:lineRule="auto"/>
              <w:ind w:firstLine="0" w:firstLineChars="0"/>
              <w:jc w:val="center"/>
              <w:textAlignment w:val="baseline"/>
              <w:rPr>
                <w:color w:val="auto"/>
                <w:kern w:val="0"/>
                <w:sz w:val="21"/>
                <w:szCs w:val="21"/>
              </w:rPr>
            </w:pPr>
          </w:p>
        </w:tc>
        <w:tc>
          <w:tcPr>
            <w:tcW w:w="395" w:type="pct"/>
            <w:vMerge w:val="continue"/>
            <w:vAlign w:val="center"/>
          </w:tcPr>
          <w:p w14:paraId="6E65782F">
            <w:pPr>
              <w:spacing w:line="240" w:lineRule="auto"/>
              <w:ind w:firstLine="0" w:firstLineChars="0"/>
              <w:jc w:val="center"/>
              <w:textAlignment w:val="baseline"/>
              <w:rPr>
                <w:color w:val="auto"/>
                <w:kern w:val="0"/>
                <w:sz w:val="21"/>
                <w:szCs w:val="21"/>
              </w:rPr>
            </w:pPr>
          </w:p>
        </w:tc>
        <w:tc>
          <w:tcPr>
            <w:tcW w:w="882" w:type="pct"/>
            <w:vAlign w:val="center"/>
          </w:tcPr>
          <w:p w14:paraId="45C09B09">
            <w:pPr>
              <w:spacing w:line="240" w:lineRule="auto"/>
              <w:ind w:firstLine="0" w:firstLineChars="0"/>
              <w:jc w:val="center"/>
              <w:textAlignment w:val="baseline"/>
              <w:rPr>
                <w:color w:val="auto"/>
                <w:sz w:val="21"/>
                <w:szCs w:val="21"/>
              </w:rPr>
            </w:pPr>
            <w:r>
              <w:rPr>
                <w:rFonts w:hint="eastAsia"/>
                <w:color w:val="auto"/>
                <w:sz w:val="21"/>
                <w:szCs w:val="21"/>
              </w:rPr>
              <w:t>硫酸储罐“大小呼吸”</w:t>
            </w:r>
          </w:p>
        </w:tc>
        <w:tc>
          <w:tcPr>
            <w:tcW w:w="596" w:type="pct"/>
            <w:vAlign w:val="center"/>
          </w:tcPr>
          <w:p w14:paraId="09087AC5">
            <w:pPr>
              <w:spacing w:line="240" w:lineRule="auto"/>
              <w:ind w:firstLine="0" w:firstLineChars="0"/>
              <w:jc w:val="center"/>
              <w:textAlignment w:val="baseline"/>
              <w:rPr>
                <w:color w:val="auto"/>
                <w:sz w:val="21"/>
                <w:szCs w:val="21"/>
              </w:rPr>
            </w:pPr>
            <w:r>
              <w:rPr>
                <w:rFonts w:hint="eastAsia"/>
                <w:color w:val="auto"/>
                <w:sz w:val="21"/>
                <w:szCs w:val="21"/>
              </w:rPr>
              <w:t>硫酸雾</w:t>
            </w:r>
          </w:p>
        </w:tc>
        <w:tc>
          <w:tcPr>
            <w:tcW w:w="1227" w:type="pct"/>
            <w:vMerge w:val="continue"/>
            <w:vAlign w:val="center"/>
          </w:tcPr>
          <w:p w14:paraId="255A8A85">
            <w:pPr>
              <w:spacing w:line="240" w:lineRule="auto"/>
              <w:ind w:firstLine="0" w:firstLineChars="0"/>
              <w:jc w:val="center"/>
              <w:textAlignment w:val="baseline"/>
              <w:rPr>
                <w:color w:val="auto"/>
                <w:sz w:val="21"/>
                <w:szCs w:val="21"/>
              </w:rPr>
            </w:pPr>
          </w:p>
        </w:tc>
        <w:tc>
          <w:tcPr>
            <w:tcW w:w="1174" w:type="pct"/>
            <w:vMerge w:val="continue"/>
            <w:vAlign w:val="center"/>
          </w:tcPr>
          <w:p w14:paraId="1D80D793">
            <w:pPr>
              <w:spacing w:line="240" w:lineRule="auto"/>
              <w:ind w:firstLine="0" w:firstLineChars="0"/>
              <w:jc w:val="center"/>
              <w:textAlignment w:val="baseline"/>
              <w:rPr>
                <w:color w:val="auto"/>
                <w:sz w:val="21"/>
                <w:szCs w:val="21"/>
              </w:rPr>
            </w:pPr>
          </w:p>
        </w:tc>
        <w:tc>
          <w:tcPr>
            <w:tcW w:w="278" w:type="pct"/>
            <w:vMerge w:val="continue"/>
            <w:vAlign w:val="center"/>
          </w:tcPr>
          <w:p w14:paraId="72DAF246">
            <w:pPr>
              <w:spacing w:line="240" w:lineRule="auto"/>
              <w:ind w:firstLine="0" w:firstLineChars="0"/>
              <w:jc w:val="center"/>
              <w:textAlignment w:val="baseline"/>
              <w:rPr>
                <w:color w:val="auto"/>
                <w:kern w:val="0"/>
                <w:sz w:val="21"/>
                <w:szCs w:val="21"/>
              </w:rPr>
            </w:pPr>
          </w:p>
        </w:tc>
        <w:tc>
          <w:tcPr>
            <w:tcW w:w="236" w:type="pct"/>
            <w:vMerge w:val="continue"/>
            <w:vAlign w:val="center"/>
          </w:tcPr>
          <w:p w14:paraId="548D5965">
            <w:pPr>
              <w:spacing w:line="240" w:lineRule="auto"/>
              <w:ind w:firstLine="0" w:firstLineChars="0"/>
              <w:jc w:val="center"/>
              <w:textAlignment w:val="baseline"/>
              <w:rPr>
                <w:color w:val="auto"/>
                <w:kern w:val="0"/>
                <w:sz w:val="21"/>
                <w:szCs w:val="21"/>
              </w:rPr>
            </w:pPr>
          </w:p>
        </w:tc>
      </w:tr>
      <w:tr w14:paraId="34A4F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restart"/>
            <w:vAlign w:val="center"/>
          </w:tcPr>
          <w:p w14:paraId="41FBCDB7">
            <w:pPr>
              <w:spacing w:line="240" w:lineRule="auto"/>
              <w:ind w:firstLine="0" w:firstLineChars="0"/>
              <w:jc w:val="center"/>
              <w:textAlignment w:val="baseline"/>
              <w:rPr>
                <w:color w:val="auto"/>
                <w:kern w:val="0"/>
                <w:sz w:val="21"/>
                <w:szCs w:val="21"/>
              </w:rPr>
            </w:pPr>
            <w:r>
              <w:rPr>
                <w:color w:val="auto"/>
                <w:kern w:val="0"/>
                <w:sz w:val="21"/>
                <w:szCs w:val="21"/>
              </w:rPr>
              <w:t>废水</w:t>
            </w:r>
          </w:p>
        </w:tc>
        <w:tc>
          <w:tcPr>
            <w:tcW w:w="882" w:type="pct"/>
            <w:vAlign w:val="center"/>
          </w:tcPr>
          <w:p w14:paraId="740FB520">
            <w:pPr>
              <w:spacing w:line="240" w:lineRule="auto"/>
              <w:ind w:firstLine="0" w:firstLineChars="0"/>
              <w:jc w:val="center"/>
              <w:textAlignment w:val="baseline"/>
              <w:rPr>
                <w:color w:val="auto"/>
                <w:kern w:val="0"/>
                <w:sz w:val="21"/>
                <w:szCs w:val="21"/>
              </w:rPr>
            </w:pPr>
            <w:r>
              <w:rPr>
                <w:color w:val="auto"/>
                <w:kern w:val="0"/>
                <w:sz w:val="21"/>
                <w:szCs w:val="21"/>
              </w:rPr>
              <w:t>生活污水</w:t>
            </w:r>
          </w:p>
        </w:tc>
        <w:tc>
          <w:tcPr>
            <w:tcW w:w="596" w:type="pct"/>
            <w:vAlign w:val="center"/>
          </w:tcPr>
          <w:p w14:paraId="19A4900D">
            <w:pPr>
              <w:spacing w:line="240" w:lineRule="auto"/>
              <w:ind w:firstLine="0" w:firstLineChars="0"/>
              <w:jc w:val="center"/>
              <w:textAlignment w:val="baseline"/>
              <w:rPr>
                <w:color w:val="auto"/>
                <w:kern w:val="0"/>
                <w:sz w:val="21"/>
                <w:szCs w:val="21"/>
              </w:rPr>
            </w:pPr>
            <w:r>
              <w:rPr>
                <w:color w:val="auto"/>
                <w:kern w:val="0"/>
                <w:sz w:val="21"/>
                <w:szCs w:val="21"/>
              </w:rPr>
              <w:t>COD、SS、氨氮、总氮和总磷</w:t>
            </w:r>
          </w:p>
        </w:tc>
        <w:tc>
          <w:tcPr>
            <w:tcW w:w="1227" w:type="pct"/>
            <w:vAlign w:val="center"/>
          </w:tcPr>
          <w:p w14:paraId="59370D46">
            <w:pPr>
              <w:spacing w:line="240" w:lineRule="auto"/>
              <w:ind w:firstLine="0" w:firstLineChars="0"/>
              <w:jc w:val="center"/>
              <w:textAlignment w:val="baseline"/>
              <w:rPr>
                <w:color w:val="auto"/>
                <w:kern w:val="0"/>
                <w:sz w:val="21"/>
                <w:szCs w:val="21"/>
              </w:rPr>
            </w:pPr>
            <w:r>
              <w:rPr>
                <w:color w:val="auto"/>
                <w:kern w:val="0"/>
                <w:sz w:val="21"/>
                <w:szCs w:val="21"/>
              </w:rPr>
              <w:t>化粪池容积</w:t>
            </w:r>
            <w:r>
              <w:rPr>
                <w:rFonts w:hint="eastAsia"/>
                <w:color w:val="auto"/>
                <w:kern w:val="0"/>
                <w:sz w:val="21"/>
                <w:szCs w:val="21"/>
              </w:rPr>
              <w:t>80</w:t>
            </w:r>
            <w:r>
              <w:rPr>
                <w:color w:val="auto"/>
                <w:kern w:val="0"/>
                <w:sz w:val="21"/>
                <w:szCs w:val="21"/>
              </w:rPr>
              <w:t>m</w:t>
            </w:r>
            <w:r>
              <w:rPr>
                <w:color w:val="auto"/>
                <w:kern w:val="0"/>
                <w:sz w:val="21"/>
                <w:szCs w:val="21"/>
                <w:vertAlign w:val="superscript"/>
              </w:rPr>
              <w:t>3</w:t>
            </w:r>
            <w:r>
              <w:rPr>
                <w:color w:val="auto"/>
                <w:kern w:val="0"/>
                <w:sz w:val="21"/>
                <w:szCs w:val="21"/>
              </w:rPr>
              <w:t>/d</w:t>
            </w:r>
          </w:p>
        </w:tc>
        <w:tc>
          <w:tcPr>
            <w:tcW w:w="1174" w:type="pct"/>
            <w:vMerge w:val="restart"/>
            <w:vAlign w:val="center"/>
          </w:tcPr>
          <w:p w14:paraId="30052C5E">
            <w:pPr>
              <w:spacing w:line="240" w:lineRule="auto"/>
              <w:ind w:firstLine="0" w:firstLineChars="0"/>
              <w:textAlignment w:val="baseline"/>
              <w:rPr>
                <w:color w:val="auto"/>
                <w:kern w:val="0"/>
                <w:sz w:val="21"/>
                <w:szCs w:val="21"/>
              </w:rPr>
            </w:pPr>
            <w:r>
              <w:rPr>
                <w:color w:val="auto"/>
                <w:kern w:val="0"/>
                <w:sz w:val="21"/>
                <w:szCs w:val="21"/>
              </w:rPr>
              <w:t>废水经预处理满足《电镀污染物排放标准》（GB21900</w:t>
            </w:r>
            <w:r>
              <w:rPr>
                <w:rFonts w:hint="eastAsia"/>
                <w:color w:val="auto"/>
                <w:kern w:val="0"/>
                <w:sz w:val="21"/>
                <w:szCs w:val="21"/>
              </w:rPr>
              <w:t>-</w:t>
            </w:r>
            <w:r>
              <w:rPr>
                <w:color w:val="auto"/>
                <w:kern w:val="0"/>
                <w:sz w:val="21"/>
                <w:szCs w:val="21"/>
              </w:rPr>
              <w:t>2008）、《污水综合排放标准》（GB8978-1996）、《污水排入城镇下水道水质标准》（GB/T31962-2015）以及</w:t>
            </w:r>
            <w:r>
              <w:rPr>
                <w:rFonts w:hint="eastAsia"/>
                <w:color w:val="auto"/>
                <w:kern w:val="0"/>
                <w:sz w:val="21"/>
                <w:szCs w:val="21"/>
              </w:rPr>
              <w:t>开发区临港</w:t>
            </w:r>
            <w:r>
              <w:rPr>
                <w:color w:val="auto"/>
                <w:kern w:val="0"/>
                <w:sz w:val="21"/>
                <w:szCs w:val="21"/>
              </w:rPr>
              <w:t>污水处理厂根据实际运行能力设定的接管要求</w:t>
            </w:r>
          </w:p>
        </w:tc>
        <w:tc>
          <w:tcPr>
            <w:tcW w:w="797" w:type="dxa"/>
            <w:vMerge w:val="restart"/>
            <w:vAlign w:val="center"/>
          </w:tcPr>
          <w:p w14:paraId="5183E83E">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500</w:t>
            </w:r>
          </w:p>
        </w:tc>
        <w:tc>
          <w:tcPr>
            <w:tcW w:w="236" w:type="pct"/>
            <w:vMerge w:val="continue"/>
            <w:vAlign w:val="center"/>
          </w:tcPr>
          <w:p w14:paraId="4C71610C">
            <w:pPr>
              <w:spacing w:line="240" w:lineRule="auto"/>
              <w:ind w:firstLine="0" w:firstLineChars="0"/>
              <w:jc w:val="center"/>
              <w:textAlignment w:val="baseline"/>
              <w:rPr>
                <w:color w:val="auto"/>
                <w:kern w:val="0"/>
                <w:sz w:val="21"/>
                <w:szCs w:val="21"/>
              </w:rPr>
            </w:pPr>
          </w:p>
        </w:tc>
      </w:tr>
      <w:tr w14:paraId="327DA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36BDD567">
            <w:pPr>
              <w:spacing w:line="240" w:lineRule="auto"/>
              <w:ind w:firstLine="0" w:firstLineChars="0"/>
              <w:jc w:val="center"/>
              <w:textAlignment w:val="baseline"/>
              <w:rPr>
                <w:color w:val="auto"/>
                <w:kern w:val="0"/>
                <w:sz w:val="21"/>
                <w:szCs w:val="21"/>
              </w:rPr>
            </w:pPr>
          </w:p>
        </w:tc>
        <w:tc>
          <w:tcPr>
            <w:tcW w:w="882" w:type="pct"/>
            <w:vAlign w:val="center"/>
          </w:tcPr>
          <w:p w14:paraId="2BB0B2CD">
            <w:pPr>
              <w:spacing w:line="240" w:lineRule="auto"/>
              <w:ind w:firstLine="0" w:firstLineChars="0"/>
              <w:jc w:val="center"/>
              <w:textAlignment w:val="baseline"/>
              <w:rPr>
                <w:color w:val="auto"/>
                <w:kern w:val="0"/>
                <w:sz w:val="21"/>
                <w:szCs w:val="21"/>
              </w:rPr>
            </w:pPr>
            <w:r>
              <w:rPr>
                <w:rFonts w:hint="eastAsia"/>
                <w:color w:val="auto"/>
                <w:kern w:val="0"/>
                <w:sz w:val="21"/>
                <w:szCs w:val="21"/>
              </w:rPr>
              <w:t>食堂废水</w:t>
            </w:r>
          </w:p>
        </w:tc>
        <w:tc>
          <w:tcPr>
            <w:tcW w:w="596" w:type="pct"/>
            <w:vAlign w:val="center"/>
          </w:tcPr>
          <w:p w14:paraId="34C828E8">
            <w:pPr>
              <w:spacing w:line="240" w:lineRule="auto"/>
              <w:ind w:firstLine="0" w:firstLineChars="0"/>
              <w:jc w:val="center"/>
              <w:textAlignment w:val="baseline"/>
              <w:rPr>
                <w:color w:val="auto"/>
                <w:kern w:val="0"/>
                <w:sz w:val="21"/>
                <w:szCs w:val="21"/>
              </w:rPr>
            </w:pPr>
            <w:r>
              <w:rPr>
                <w:color w:val="auto"/>
                <w:kern w:val="0"/>
                <w:sz w:val="21"/>
                <w:szCs w:val="21"/>
              </w:rPr>
              <w:t>COD、SS、氨氮、总氮</w:t>
            </w:r>
            <w:r>
              <w:rPr>
                <w:rFonts w:hint="eastAsia"/>
                <w:color w:val="auto"/>
                <w:kern w:val="0"/>
                <w:sz w:val="21"/>
                <w:szCs w:val="21"/>
              </w:rPr>
              <w:t>、</w:t>
            </w:r>
            <w:r>
              <w:rPr>
                <w:color w:val="auto"/>
                <w:kern w:val="0"/>
                <w:sz w:val="21"/>
                <w:szCs w:val="21"/>
              </w:rPr>
              <w:t>总磷</w:t>
            </w:r>
            <w:r>
              <w:rPr>
                <w:rFonts w:hint="eastAsia"/>
                <w:color w:val="auto"/>
                <w:kern w:val="0"/>
                <w:sz w:val="21"/>
                <w:szCs w:val="21"/>
              </w:rPr>
              <w:t>和动植物油</w:t>
            </w:r>
          </w:p>
        </w:tc>
        <w:tc>
          <w:tcPr>
            <w:tcW w:w="1227" w:type="pct"/>
            <w:vAlign w:val="center"/>
          </w:tcPr>
          <w:p w14:paraId="7DD61C3A">
            <w:pPr>
              <w:spacing w:line="240" w:lineRule="auto"/>
              <w:ind w:firstLine="0" w:firstLineChars="0"/>
              <w:jc w:val="center"/>
              <w:textAlignment w:val="baseline"/>
              <w:rPr>
                <w:color w:val="auto"/>
                <w:kern w:val="0"/>
                <w:sz w:val="21"/>
                <w:szCs w:val="21"/>
              </w:rPr>
            </w:pPr>
            <w:r>
              <w:rPr>
                <w:rFonts w:hint="eastAsia"/>
                <w:color w:val="auto"/>
                <w:kern w:val="0"/>
                <w:sz w:val="21"/>
                <w:szCs w:val="21"/>
              </w:rPr>
              <w:t>隔油池容积35</w:t>
            </w:r>
            <w:r>
              <w:rPr>
                <w:color w:val="auto"/>
                <w:kern w:val="0"/>
                <w:sz w:val="21"/>
                <w:szCs w:val="21"/>
              </w:rPr>
              <w:t>m</w:t>
            </w:r>
            <w:r>
              <w:rPr>
                <w:color w:val="auto"/>
                <w:kern w:val="0"/>
                <w:sz w:val="21"/>
                <w:szCs w:val="21"/>
                <w:vertAlign w:val="superscript"/>
              </w:rPr>
              <w:t>3</w:t>
            </w:r>
            <w:r>
              <w:rPr>
                <w:color w:val="auto"/>
                <w:kern w:val="0"/>
                <w:sz w:val="21"/>
                <w:szCs w:val="21"/>
              </w:rPr>
              <w:t>/d</w:t>
            </w:r>
          </w:p>
        </w:tc>
        <w:tc>
          <w:tcPr>
            <w:tcW w:w="1174" w:type="pct"/>
            <w:vMerge w:val="continue"/>
            <w:vAlign w:val="center"/>
          </w:tcPr>
          <w:p w14:paraId="1A05D602">
            <w:pPr>
              <w:spacing w:line="240" w:lineRule="auto"/>
              <w:ind w:firstLine="0" w:firstLineChars="0"/>
              <w:jc w:val="center"/>
              <w:textAlignment w:val="baseline"/>
              <w:rPr>
                <w:color w:val="auto"/>
                <w:kern w:val="0"/>
                <w:sz w:val="21"/>
                <w:szCs w:val="21"/>
              </w:rPr>
            </w:pPr>
          </w:p>
        </w:tc>
        <w:tc>
          <w:tcPr>
            <w:tcW w:w="278" w:type="pct"/>
            <w:vMerge w:val="continue"/>
            <w:vAlign w:val="center"/>
          </w:tcPr>
          <w:p w14:paraId="6CEFC4CB">
            <w:pPr>
              <w:spacing w:line="240" w:lineRule="auto"/>
              <w:ind w:firstLine="0" w:firstLineChars="0"/>
              <w:jc w:val="center"/>
              <w:textAlignment w:val="baseline"/>
              <w:rPr>
                <w:color w:val="auto"/>
                <w:kern w:val="0"/>
                <w:sz w:val="21"/>
                <w:szCs w:val="21"/>
              </w:rPr>
            </w:pPr>
          </w:p>
        </w:tc>
        <w:tc>
          <w:tcPr>
            <w:tcW w:w="236" w:type="pct"/>
            <w:vMerge w:val="continue"/>
            <w:vAlign w:val="center"/>
          </w:tcPr>
          <w:p w14:paraId="455D972F">
            <w:pPr>
              <w:spacing w:line="240" w:lineRule="auto"/>
              <w:ind w:firstLine="0" w:firstLineChars="0"/>
              <w:jc w:val="center"/>
              <w:textAlignment w:val="baseline"/>
              <w:rPr>
                <w:color w:val="auto"/>
                <w:kern w:val="0"/>
                <w:sz w:val="21"/>
                <w:szCs w:val="21"/>
              </w:rPr>
            </w:pPr>
          </w:p>
        </w:tc>
      </w:tr>
      <w:tr w14:paraId="61C40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1A91E434">
            <w:pPr>
              <w:spacing w:line="240" w:lineRule="auto"/>
              <w:ind w:firstLine="0" w:firstLineChars="0"/>
              <w:jc w:val="center"/>
              <w:textAlignment w:val="baseline"/>
              <w:rPr>
                <w:color w:val="auto"/>
                <w:kern w:val="0"/>
                <w:sz w:val="21"/>
                <w:szCs w:val="21"/>
              </w:rPr>
            </w:pPr>
          </w:p>
        </w:tc>
        <w:tc>
          <w:tcPr>
            <w:tcW w:w="882" w:type="pct"/>
            <w:vAlign w:val="center"/>
          </w:tcPr>
          <w:p w14:paraId="69EC5F67">
            <w:pPr>
              <w:spacing w:line="240" w:lineRule="auto"/>
              <w:ind w:firstLine="0" w:firstLineChars="0"/>
              <w:jc w:val="center"/>
              <w:rPr>
                <w:color w:val="auto"/>
                <w:sz w:val="21"/>
                <w:szCs w:val="21"/>
              </w:rPr>
            </w:pPr>
            <w:r>
              <w:rPr>
                <w:rFonts w:hint="eastAsia"/>
                <w:color w:val="auto"/>
                <w:sz w:val="21"/>
                <w:szCs w:val="21"/>
              </w:rPr>
              <w:t>酸碱废水、模具处理工艺废水、酸碱废气处理废水、氧化工段地面清洗废水、纯水制备装置反冲洗废水、纯水制备装置再生废水、循环冷却排水和初期雨水</w:t>
            </w:r>
          </w:p>
        </w:tc>
        <w:tc>
          <w:tcPr>
            <w:tcW w:w="596" w:type="pct"/>
            <w:vAlign w:val="center"/>
          </w:tcPr>
          <w:p w14:paraId="2C14DB52">
            <w:pPr>
              <w:spacing w:line="240" w:lineRule="auto"/>
              <w:ind w:firstLine="0" w:firstLineChars="0"/>
              <w:jc w:val="center"/>
              <w:textAlignment w:val="baseline"/>
              <w:rPr>
                <w:color w:val="auto"/>
                <w:kern w:val="0"/>
                <w:sz w:val="21"/>
                <w:szCs w:val="21"/>
              </w:rPr>
            </w:pPr>
            <w:r>
              <w:rPr>
                <w:color w:val="auto"/>
                <w:kern w:val="0"/>
                <w:sz w:val="21"/>
                <w:szCs w:val="21"/>
              </w:rPr>
              <w:t>COD</w:t>
            </w:r>
            <w:r>
              <w:rPr>
                <w:rFonts w:hint="eastAsia"/>
                <w:color w:val="auto"/>
                <w:kern w:val="0"/>
                <w:sz w:val="21"/>
                <w:szCs w:val="21"/>
              </w:rPr>
              <w:t>、</w:t>
            </w:r>
            <w:r>
              <w:rPr>
                <w:color w:val="auto"/>
                <w:kern w:val="0"/>
                <w:sz w:val="21"/>
                <w:szCs w:val="21"/>
              </w:rPr>
              <w:t>SS</w:t>
            </w:r>
            <w:r>
              <w:rPr>
                <w:rFonts w:hint="eastAsia"/>
                <w:color w:val="auto"/>
                <w:kern w:val="0"/>
                <w:sz w:val="21"/>
                <w:szCs w:val="21"/>
              </w:rPr>
              <w:t>、</w:t>
            </w:r>
            <w:r>
              <w:rPr>
                <w:color w:val="auto"/>
                <w:kern w:val="0"/>
                <w:sz w:val="21"/>
                <w:szCs w:val="21"/>
              </w:rPr>
              <w:t>氨氮</w:t>
            </w:r>
            <w:r>
              <w:rPr>
                <w:rFonts w:hint="eastAsia"/>
                <w:color w:val="auto"/>
                <w:kern w:val="0"/>
                <w:sz w:val="21"/>
                <w:szCs w:val="21"/>
              </w:rPr>
              <w:t>、</w:t>
            </w:r>
            <w:r>
              <w:rPr>
                <w:color w:val="auto"/>
                <w:kern w:val="0"/>
                <w:sz w:val="21"/>
                <w:szCs w:val="21"/>
              </w:rPr>
              <w:t>总磷</w:t>
            </w:r>
            <w:r>
              <w:rPr>
                <w:rFonts w:hint="eastAsia"/>
                <w:color w:val="auto"/>
                <w:kern w:val="0"/>
                <w:sz w:val="21"/>
                <w:szCs w:val="21"/>
              </w:rPr>
              <w:t>、</w:t>
            </w:r>
            <w:r>
              <w:rPr>
                <w:color w:val="auto"/>
                <w:kern w:val="0"/>
                <w:sz w:val="21"/>
                <w:szCs w:val="21"/>
              </w:rPr>
              <w:t>总氮</w:t>
            </w:r>
            <w:r>
              <w:rPr>
                <w:rFonts w:hint="eastAsia"/>
                <w:color w:val="auto"/>
                <w:kern w:val="0"/>
                <w:sz w:val="21"/>
                <w:szCs w:val="21"/>
              </w:rPr>
              <w:t>、</w:t>
            </w:r>
            <w:r>
              <w:rPr>
                <w:color w:val="auto"/>
                <w:kern w:val="0"/>
                <w:sz w:val="21"/>
                <w:szCs w:val="21"/>
              </w:rPr>
              <w:t>总铝</w:t>
            </w:r>
            <w:r>
              <w:rPr>
                <w:rFonts w:hint="eastAsia"/>
                <w:color w:val="auto"/>
                <w:kern w:val="0"/>
                <w:sz w:val="21"/>
                <w:szCs w:val="21"/>
              </w:rPr>
              <w:t>、</w:t>
            </w:r>
            <w:r>
              <w:rPr>
                <w:color w:val="auto"/>
                <w:kern w:val="0"/>
                <w:sz w:val="21"/>
                <w:szCs w:val="21"/>
              </w:rPr>
              <w:t>石油类</w:t>
            </w:r>
            <w:r>
              <w:rPr>
                <w:rFonts w:hint="eastAsia"/>
                <w:color w:val="auto"/>
                <w:kern w:val="0"/>
                <w:sz w:val="21"/>
                <w:szCs w:val="21"/>
              </w:rPr>
              <w:t>、</w:t>
            </w:r>
            <w:r>
              <w:rPr>
                <w:color w:val="auto"/>
                <w:kern w:val="0"/>
                <w:sz w:val="21"/>
                <w:szCs w:val="21"/>
              </w:rPr>
              <w:t>总锡</w:t>
            </w:r>
            <w:r>
              <w:rPr>
                <w:rFonts w:hint="eastAsia"/>
                <w:color w:val="auto"/>
                <w:kern w:val="0"/>
                <w:sz w:val="21"/>
                <w:szCs w:val="21"/>
              </w:rPr>
              <w:t>、</w:t>
            </w:r>
            <w:r>
              <w:rPr>
                <w:color w:val="auto"/>
                <w:kern w:val="0"/>
                <w:sz w:val="21"/>
                <w:szCs w:val="21"/>
              </w:rPr>
              <w:t>LAS</w:t>
            </w:r>
            <w:r>
              <w:rPr>
                <w:rFonts w:hint="eastAsia"/>
                <w:color w:val="auto"/>
                <w:kern w:val="0"/>
                <w:sz w:val="21"/>
                <w:szCs w:val="21"/>
              </w:rPr>
              <w:t>、盐分</w:t>
            </w:r>
          </w:p>
        </w:tc>
        <w:tc>
          <w:tcPr>
            <w:tcW w:w="1227" w:type="pct"/>
            <w:vAlign w:val="center"/>
          </w:tcPr>
          <w:p w14:paraId="372E97A8">
            <w:pPr>
              <w:spacing w:line="240" w:lineRule="auto"/>
              <w:ind w:firstLine="0" w:firstLineChars="0"/>
              <w:jc w:val="center"/>
              <w:textAlignment w:val="baseline"/>
              <w:rPr>
                <w:color w:val="auto"/>
                <w:kern w:val="0"/>
                <w:sz w:val="21"/>
                <w:szCs w:val="21"/>
              </w:rPr>
            </w:pPr>
            <w:r>
              <w:rPr>
                <w:rFonts w:hint="eastAsia"/>
                <w:color w:val="auto"/>
                <w:kern w:val="0"/>
                <w:sz w:val="21"/>
                <w:szCs w:val="21"/>
              </w:rPr>
              <w:t>新建一套综合废水处理系统，设计</w:t>
            </w:r>
            <w:r>
              <w:rPr>
                <w:color w:val="auto"/>
                <w:kern w:val="0"/>
                <w:sz w:val="21"/>
                <w:szCs w:val="21"/>
              </w:rPr>
              <w:t>规模</w:t>
            </w:r>
            <w:r>
              <w:rPr>
                <w:rFonts w:hint="eastAsia"/>
                <w:color w:val="auto"/>
                <w:kern w:val="0"/>
                <w:sz w:val="21"/>
                <w:szCs w:val="21"/>
              </w:rPr>
              <w:t>170</w:t>
            </w:r>
            <w:r>
              <w:rPr>
                <w:color w:val="auto"/>
                <w:kern w:val="0"/>
                <w:sz w:val="21"/>
                <w:szCs w:val="21"/>
              </w:rPr>
              <w:t>0</w:t>
            </w:r>
            <w:r>
              <w:rPr>
                <w:rFonts w:hint="eastAsia"/>
                <w:color w:val="auto"/>
                <w:kern w:val="0"/>
                <w:sz w:val="21"/>
                <w:szCs w:val="21"/>
              </w:rPr>
              <w:t>t</w:t>
            </w:r>
            <w:r>
              <w:rPr>
                <w:color w:val="auto"/>
                <w:kern w:val="0"/>
                <w:sz w:val="21"/>
                <w:szCs w:val="21"/>
              </w:rPr>
              <w:t>/d</w:t>
            </w:r>
            <w:r>
              <w:rPr>
                <w:rFonts w:hint="eastAsia"/>
                <w:color w:val="auto"/>
                <w:kern w:val="0"/>
                <w:sz w:val="21"/>
                <w:szCs w:val="21"/>
              </w:rPr>
              <w:t>，处理工艺为“调节+混凝反应+沉淀”，处理完成后接管至开发区临港污水处理厂</w:t>
            </w:r>
          </w:p>
        </w:tc>
        <w:tc>
          <w:tcPr>
            <w:tcW w:w="1174" w:type="pct"/>
            <w:vMerge w:val="continue"/>
            <w:vAlign w:val="center"/>
          </w:tcPr>
          <w:p w14:paraId="117CCAB8">
            <w:pPr>
              <w:spacing w:line="240" w:lineRule="auto"/>
              <w:ind w:firstLine="0" w:firstLineChars="0"/>
              <w:jc w:val="center"/>
              <w:textAlignment w:val="baseline"/>
              <w:rPr>
                <w:color w:val="auto"/>
                <w:kern w:val="0"/>
                <w:sz w:val="21"/>
                <w:szCs w:val="21"/>
              </w:rPr>
            </w:pPr>
          </w:p>
        </w:tc>
        <w:tc>
          <w:tcPr>
            <w:tcW w:w="278" w:type="pct"/>
            <w:vMerge w:val="continue"/>
            <w:vAlign w:val="center"/>
          </w:tcPr>
          <w:p w14:paraId="7B79C1A4">
            <w:pPr>
              <w:spacing w:line="240" w:lineRule="auto"/>
              <w:ind w:firstLine="0" w:firstLineChars="0"/>
              <w:jc w:val="center"/>
              <w:textAlignment w:val="baseline"/>
              <w:rPr>
                <w:color w:val="auto"/>
                <w:kern w:val="0"/>
                <w:sz w:val="21"/>
                <w:szCs w:val="21"/>
              </w:rPr>
            </w:pPr>
          </w:p>
        </w:tc>
        <w:tc>
          <w:tcPr>
            <w:tcW w:w="236" w:type="pct"/>
            <w:vMerge w:val="continue"/>
            <w:vAlign w:val="center"/>
          </w:tcPr>
          <w:p w14:paraId="0906B7C1">
            <w:pPr>
              <w:spacing w:line="240" w:lineRule="auto"/>
              <w:ind w:firstLine="0" w:firstLineChars="0"/>
              <w:jc w:val="center"/>
              <w:textAlignment w:val="baseline"/>
              <w:rPr>
                <w:color w:val="auto"/>
                <w:kern w:val="0"/>
                <w:sz w:val="21"/>
                <w:szCs w:val="21"/>
              </w:rPr>
            </w:pPr>
          </w:p>
        </w:tc>
      </w:tr>
      <w:tr w14:paraId="4CCD8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396579BD">
            <w:pPr>
              <w:spacing w:line="240" w:lineRule="auto"/>
              <w:ind w:firstLine="0" w:firstLineChars="0"/>
              <w:jc w:val="center"/>
              <w:textAlignment w:val="baseline"/>
              <w:rPr>
                <w:color w:val="auto"/>
                <w:kern w:val="0"/>
                <w:sz w:val="21"/>
                <w:szCs w:val="21"/>
              </w:rPr>
            </w:pPr>
          </w:p>
        </w:tc>
        <w:tc>
          <w:tcPr>
            <w:tcW w:w="882" w:type="pct"/>
            <w:vAlign w:val="center"/>
          </w:tcPr>
          <w:p w14:paraId="04FC125E">
            <w:pPr>
              <w:spacing w:line="240" w:lineRule="auto"/>
              <w:ind w:firstLine="0" w:firstLineChars="0"/>
              <w:jc w:val="center"/>
              <w:rPr>
                <w:color w:val="auto"/>
                <w:sz w:val="21"/>
                <w:szCs w:val="21"/>
              </w:rPr>
            </w:pPr>
            <w:r>
              <w:rPr>
                <w:rFonts w:hint="eastAsia"/>
                <w:color w:val="auto"/>
                <w:sz w:val="21"/>
                <w:szCs w:val="21"/>
              </w:rPr>
              <w:t>封孔废水</w:t>
            </w:r>
          </w:p>
        </w:tc>
        <w:tc>
          <w:tcPr>
            <w:tcW w:w="596" w:type="pct"/>
            <w:vAlign w:val="center"/>
          </w:tcPr>
          <w:p w14:paraId="5559574B">
            <w:pPr>
              <w:spacing w:line="240" w:lineRule="auto"/>
              <w:ind w:firstLine="0" w:firstLineChars="0"/>
              <w:jc w:val="center"/>
              <w:textAlignment w:val="baseline"/>
              <w:rPr>
                <w:color w:val="auto"/>
                <w:kern w:val="0"/>
                <w:sz w:val="21"/>
                <w:szCs w:val="21"/>
              </w:rPr>
            </w:pPr>
            <w:r>
              <w:rPr>
                <w:color w:val="auto"/>
                <w:kern w:val="0"/>
                <w:sz w:val="21"/>
                <w:szCs w:val="21"/>
              </w:rPr>
              <w:t>COD</w:t>
            </w:r>
            <w:r>
              <w:rPr>
                <w:rFonts w:hint="eastAsia"/>
                <w:color w:val="auto"/>
                <w:kern w:val="0"/>
                <w:sz w:val="21"/>
                <w:szCs w:val="21"/>
              </w:rPr>
              <w:t>、</w:t>
            </w:r>
            <w:r>
              <w:rPr>
                <w:color w:val="auto"/>
                <w:kern w:val="0"/>
                <w:sz w:val="21"/>
                <w:szCs w:val="21"/>
              </w:rPr>
              <w:t>SS</w:t>
            </w:r>
            <w:r>
              <w:rPr>
                <w:rFonts w:hint="eastAsia"/>
                <w:color w:val="auto"/>
                <w:kern w:val="0"/>
                <w:sz w:val="21"/>
                <w:szCs w:val="21"/>
              </w:rPr>
              <w:t>、</w:t>
            </w:r>
            <w:r>
              <w:rPr>
                <w:color w:val="auto"/>
                <w:kern w:val="0"/>
                <w:sz w:val="21"/>
                <w:szCs w:val="21"/>
              </w:rPr>
              <w:t>氨氮</w:t>
            </w:r>
            <w:r>
              <w:rPr>
                <w:rFonts w:hint="eastAsia"/>
                <w:color w:val="auto"/>
                <w:kern w:val="0"/>
                <w:sz w:val="21"/>
                <w:szCs w:val="21"/>
              </w:rPr>
              <w:t>、</w:t>
            </w:r>
            <w:r>
              <w:rPr>
                <w:color w:val="auto"/>
                <w:kern w:val="0"/>
                <w:sz w:val="21"/>
                <w:szCs w:val="21"/>
              </w:rPr>
              <w:t>总磷</w:t>
            </w:r>
            <w:r>
              <w:rPr>
                <w:rFonts w:hint="eastAsia"/>
                <w:color w:val="auto"/>
                <w:kern w:val="0"/>
                <w:sz w:val="21"/>
                <w:szCs w:val="21"/>
              </w:rPr>
              <w:t>、</w:t>
            </w:r>
            <w:r>
              <w:rPr>
                <w:color w:val="auto"/>
                <w:kern w:val="0"/>
                <w:sz w:val="21"/>
                <w:szCs w:val="21"/>
              </w:rPr>
              <w:t>总氮</w:t>
            </w:r>
            <w:r>
              <w:rPr>
                <w:rFonts w:hint="eastAsia"/>
                <w:color w:val="auto"/>
                <w:kern w:val="0"/>
                <w:sz w:val="21"/>
                <w:szCs w:val="21"/>
              </w:rPr>
              <w:t>、</w:t>
            </w:r>
            <w:r>
              <w:rPr>
                <w:color w:val="auto"/>
                <w:kern w:val="0"/>
                <w:sz w:val="21"/>
                <w:szCs w:val="21"/>
              </w:rPr>
              <w:t>总铝</w:t>
            </w:r>
            <w:r>
              <w:rPr>
                <w:rFonts w:hint="eastAsia"/>
                <w:color w:val="auto"/>
                <w:kern w:val="0"/>
                <w:sz w:val="21"/>
                <w:szCs w:val="21"/>
              </w:rPr>
              <w:t>、</w:t>
            </w:r>
            <w:r>
              <w:rPr>
                <w:color w:val="auto"/>
                <w:kern w:val="0"/>
                <w:sz w:val="21"/>
                <w:szCs w:val="21"/>
              </w:rPr>
              <w:t>石油类</w:t>
            </w:r>
            <w:r>
              <w:rPr>
                <w:rFonts w:hint="eastAsia"/>
                <w:color w:val="auto"/>
                <w:kern w:val="0"/>
                <w:sz w:val="21"/>
                <w:szCs w:val="21"/>
              </w:rPr>
              <w:t>、盐分</w:t>
            </w:r>
          </w:p>
        </w:tc>
        <w:tc>
          <w:tcPr>
            <w:tcW w:w="1227" w:type="pct"/>
            <w:vAlign w:val="center"/>
          </w:tcPr>
          <w:p w14:paraId="5F76CC75">
            <w:pPr>
              <w:spacing w:line="240" w:lineRule="auto"/>
              <w:ind w:firstLine="0" w:firstLineChars="0"/>
              <w:jc w:val="center"/>
              <w:textAlignment w:val="baseline"/>
              <w:rPr>
                <w:color w:val="auto"/>
                <w:kern w:val="0"/>
                <w:sz w:val="21"/>
                <w:szCs w:val="21"/>
              </w:rPr>
            </w:pPr>
            <w:r>
              <w:rPr>
                <w:rFonts w:hint="eastAsia"/>
                <w:color w:val="auto"/>
                <w:kern w:val="0"/>
                <w:sz w:val="21"/>
                <w:szCs w:val="21"/>
              </w:rPr>
              <w:t>新建1套封孔废水处理系统，设计</w:t>
            </w:r>
            <w:r>
              <w:rPr>
                <w:color w:val="auto"/>
                <w:kern w:val="0"/>
                <w:sz w:val="21"/>
                <w:szCs w:val="21"/>
              </w:rPr>
              <w:t>规模</w:t>
            </w:r>
            <w:r>
              <w:rPr>
                <w:rFonts w:hint="eastAsia"/>
                <w:color w:val="auto"/>
                <w:kern w:val="0"/>
                <w:sz w:val="21"/>
                <w:szCs w:val="21"/>
              </w:rPr>
              <w:t>100t</w:t>
            </w:r>
            <w:r>
              <w:rPr>
                <w:color w:val="auto"/>
                <w:kern w:val="0"/>
                <w:sz w:val="21"/>
                <w:szCs w:val="21"/>
              </w:rPr>
              <w:t>/d</w:t>
            </w:r>
            <w:r>
              <w:rPr>
                <w:rFonts w:hint="eastAsia"/>
                <w:color w:val="auto"/>
                <w:kern w:val="0"/>
                <w:sz w:val="21"/>
                <w:szCs w:val="21"/>
              </w:rPr>
              <w:t>，处理工艺为“调节+混凝反应+沉淀”，再送入综合废水处理系统处理，处理完成后接管至开发区临港污水处理厂</w:t>
            </w:r>
          </w:p>
        </w:tc>
        <w:tc>
          <w:tcPr>
            <w:tcW w:w="1174" w:type="pct"/>
            <w:vMerge w:val="continue"/>
            <w:vAlign w:val="center"/>
          </w:tcPr>
          <w:p w14:paraId="6B8E9A24">
            <w:pPr>
              <w:spacing w:line="240" w:lineRule="auto"/>
              <w:ind w:firstLine="0" w:firstLineChars="0"/>
              <w:jc w:val="center"/>
              <w:textAlignment w:val="baseline"/>
              <w:rPr>
                <w:color w:val="auto"/>
                <w:kern w:val="0"/>
                <w:sz w:val="21"/>
                <w:szCs w:val="21"/>
              </w:rPr>
            </w:pPr>
          </w:p>
        </w:tc>
        <w:tc>
          <w:tcPr>
            <w:tcW w:w="278" w:type="pct"/>
            <w:vMerge w:val="continue"/>
            <w:vAlign w:val="center"/>
          </w:tcPr>
          <w:p w14:paraId="58BC37A9">
            <w:pPr>
              <w:spacing w:line="240" w:lineRule="auto"/>
              <w:ind w:firstLine="0" w:firstLineChars="0"/>
              <w:jc w:val="center"/>
              <w:textAlignment w:val="baseline"/>
              <w:rPr>
                <w:color w:val="auto"/>
                <w:kern w:val="0"/>
                <w:sz w:val="21"/>
                <w:szCs w:val="21"/>
              </w:rPr>
            </w:pPr>
          </w:p>
        </w:tc>
        <w:tc>
          <w:tcPr>
            <w:tcW w:w="236" w:type="pct"/>
            <w:vMerge w:val="continue"/>
            <w:vAlign w:val="center"/>
          </w:tcPr>
          <w:p w14:paraId="47B02D7A">
            <w:pPr>
              <w:spacing w:line="240" w:lineRule="auto"/>
              <w:ind w:firstLine="0" w:firstLineChars="0"/>
              <w:jc w:val="center"/>
              <w:textAlignment w:val="baseline"/>
              <w:rPr>
                <w:color w:val="auto"/>
                <w:kern w:val="0"/>
                <w:sz w:val="21"/>
                <w:szCs w:val="21"/>
              </w:rPr>
            </w:pPr>
          </w:p>
        </w:tc>
      </w:tr>
      <w:tr w14:paraId="46F9E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Align w:val="center"/>
          </w:tcPr>
          <w:p w14:paraId="04DD6455">
            <w:pPr>
              <w:spacing w:line="240" w:lineRule="auto"/>
              <w:ind w:firstLine="0" w:firstLineChars="0"/>
              <w:jc w:val="center"/>
              <w:textAlignment w:val="baseline"/>
              <w:rPr>
                <w:color w:val="auto"/>
                <w:kern w:val="0"/>
                <w:sz w:val="21"/>
                <w:szCs w:val="21"/>
              </w:rPr>
            </w:pPr>
            <w:r>
              <w:rPr>
                <w:color w:val="auto"/>
                <w:kern w:val="0"/>
                <w:sz w:val="21"/>
                <w:szCs w:val="21"/>
              </w:rPr>
              <w:t>噪声</w:t>
            </w:r>
          </w:p>
        </w:tc>
        <w:tc>
          <w:tcPr>
            <w:tcW w:w="882" w:type="pct"/>
            <w:vAlign w:val="center"/>
          </w:tcPr>
          <w:p w14:paraId="3C5ED2F7">
            <w:pPr>
              <w:spacing w:line="240" w:lineRule="auto"/>
              <w:ind w:firstLine="0" w:firstLineChars="0"/>
              <w:jc w:val="center"/>
              <w:textAlignment w:val="baseline"/>
              <w:rPr>
                <w:color w:val="auto"/>
                <w:kern w:val="0"/>
                <w:sz w:val="21"/>
                <w:szCs w:val="21"/>
              </w:rPr>
            </w:pPr>
            <w:r>
              <w:rPr>
                <w:color w:val="auto"/>
                <w:kern w:val="0"/>
                <w:sz w:val="21"/>
                <w:szCs w:val="21"/>
              </w:rPr>
              <w:t>设备噪声</w:t>
            </w:r>
          </w:p>
        </w:tc>
        <w:tc>
          <w:tcPr>
            <w:tcW w:w="596" w:type="pct"/>
            <w:vAlign w:val="center"/>
          </w:tcPr>
          <w:p w14:paraId="1CD02F84">
            <w:pPr>
              <w:spacing w:line="240" w:lineRule="auto"/>
              <w:ind w:firstLine="0" w:firstLineChars="0"/>
              <w:jc w:val="center"/>
              <w:textAlignment w:val="baseline"/>
              <w:rPr>
                <w:color w:val="auto"/>
                <w:kern w:val="0"/>
                <w:sz w:val="21"/>
                <w:szCs w:val="21"/>
              </w:rPr>
            </w:pPr>
            <w:r>
              <w:rPr>
                <w:color w:val="auto"/>
                <w:kern w:val="0"/>
                <w:sz w:val="21"/>
                <w:szCs w:val="21"/>
              </w:rPr>
              <w:t>/</w:t>
            </w:r>
          </w:p>
        </w:tc>
        <w:tc>
          <w:tcPr>
            <w:tcW w:w="1227" w:type="pct"/>
            <w:vAlign w:val="center"/>
          </w:tcPr>
          <w:p w14:paraId="79BB9000">
            <w:pPr>
              <w:spacing w:line="240" w:lineRule="auto"/>
              <w:ind w:firstLine="0" w:firstLineChars="0"/>
              <w:jc w:val="center"/>
              <w:textAlignment w:val="baseline"/>
              <w:rPr>
                <w:color w:val="auto"/>
                <w:kern w:val="0"/>
                <w:sz w:val="21"/>
                <w:szCs w:val="21"/>
              </w:rPr>
            </w:pPr>
            <w:r>
              <w:rPr>
                <w:color w:val="auto"/>
                <w:kern w:val="0"/>
                <w:sz w:val="21"/>
                <w:szCs w:val="21"/>
              </w:rPr>
              <w:t>采用低噪声设备、合理布局、加强绿化隔声等措施</w:t>
            </w:r>
          </w:p>
        </w:tc>
        <w:tc>
          <w:tcPr>
            <w:tcW w:w="1174" w:type="pct"/>
            <w:vAlign w:val="center"/>
          </w:tcPr>
          <w:p w14:paraId="2B9040EB">
            <w:pPr>
              <w:spacing w:line="240" w:lineRule="auto"/>
              <w:ind w:firstLine="0" w:firstLineChars="0"/>
              <w:jc w:val="center"/>
              <w:textAlignment w:val="baseline"/>
              <w:rPr>
                <w:color w:val="auto"/>
                <w:kern w:val="0"/>
                <w:sz w:val="21"/>
                <w:szCs w:val="21"/>
              </w:rPr>
            </w:pPr>
            <w:r>
              <w:rPr>
                <w:color w:val="auto"/>
                <w:kern w:val="0"/>
                <w:sz w:val="21"/>
                <w:szCs w:val="21"/>
              </w:rPr>
              <w:t>噪声执行《工业企业厂界环境噪声排放标准》（GB12348-2008）中3类。</w:t>
            </w:r>
          </w:p>
        </w:tc>
        <w:tc>
          <w:tcPr>
            <w:tcW w:w="797" w:type="dxa"/>
            <w:vAlign w:val="center"/>
          </w:tcPr>
          <w:p w14:paraId="58174705">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w:t>
            </w:r>
          </w:p>
        </w:tc>
        <w:tc>
          <w:tcPr>
            <w:tcW w:w="236" w:type="pct"/>
            <w:vMerge w:val="continue"/>
            <w:vAlign w:val="center"/>
          </w:tcPr>
          <w:p w14:paraId="100C67E1">
            <w:pPr>
              <w:spacing w:line="240" w:lineRule="auto"/>
              <w:ind w:firstLine="0" w:firstLineChars="0"/>
              <w:jc w:val="center"/>
              <w:textAlignment w:val="baseline"/>
              <w:rPr>
                <w:color w:val="auto"/>
                <w:kern w:val="0"/>
                <w:sz w:val="21"/>
                <w:szCs w:val="21"/>
              </w:rPr>
            </w:pPr>
          </w:p>
        </w:tc>
      </w:tr>
      <w:tr w14:paraId="6E117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gridSpan w:val="2"/>
            <w:vMerge w:val="restart"/>
            <w:vAlign w:val="center"/>
          </w:tcPr>
          <w:p w14:paraId="7D0B6613">
            <w:pPr>
              <w:spacing w:line="240" w:lineRule="auto"/>
              <w:ind w:firstLine="0" w:firstLineChars="0"/>
              <w:jc w:val="center"/>
              <w:textAlignment w:val="baseline"/>
              <w:rPr>
                <w:color w:val="auto"/>
                <w:kern w:val="0"/>
                <w:sz w:val="21"/>
                <w:szCs w:val="21"/>
              </w:rPr>
            </w:pPr>
            <w:r>
              <w:rPr>
                <w:color w:val="auto"/>
                <w:kern w:val="0"/>
                <w:sz w:val="21"/>
                <w:szCs w:val="21"/>
              </w:rPr>
              <w:t>固废</w:t>
            </w:r>
          </w:p>
        </w:tc>
        <w:tc>
          <w:tcPr>
            <w:tcW w:w="882" w:type="pct"/>
            <w:vMerge w:val="restart"/>
            <w:vAlign w:val="center"/>
          </w:tcPr>
          <w:p w14:paraId="3957EB9A">
            <w:pPr>
              <w:spacing w:line="240" w:lineRule="auto"/>
              <w:ind w:firstLine="0" w:firstLineChars="0"/>
              <w:jc w:val="center"/>
              <w:textAlignment w:val="baseline"/>
              <w:rPr>
                <w:color w:val="auto"/>
                <w:kern w:val="0"/>
                <w:sz w:val="21"/>
                <w:szCs w:val="21"/>
              </w:rPr>
            </w:pPr>
            <w:r>
              <w:rPr>
                <w:color w:val="auto"/>
                <w:kern w:val="0"/>
                <w:sz w:val="21"/>
                <w:szCs w:val="21"/>
              </w:rPr>
              <w:t>生产</w:t>
            </w:r>
          </w:p>
        </w:tc>
        <w:tc>
          <w:tcPr>
            <w:tcW w:w="596" w:type="pct"/>
            <w:vAlign w:val="center"/>
          </w:tcPr>
          <w:p w14:paraId="7CF640CB">
            <w:pPr>
              <w:spacing w:line="240" w:lineRule="auto"/>
              <w:ind w:firstLine="0" w:firstLineChars="0"/>
              <w:jc w:val="center"/>
              <w:textAlignment w:val="baseline"/>
              <w:rPr>
                <w:color w:val="auto"/>
                <w:kern w:val="0"/>
                <w:sz w:val="21"/>
                <w:szCs w:val="21"/>
              </w:rPr>
            </w:pPr>
            <w:r>
              <w:rPr>
                <w:color w:val="auto"/>
                <w:kern w:val="0"/>
                <w:sz w:val="21"/>
                <w:szCs w:val="21"/>
              </w:rPr>
              <w:t>一般工业固废</w:t>
            </w:r>
          </w:p>
        </w:tc>
        <w:tc>
          <w:tcPr>
            <w:tcW w:w="1227" w:type="pct"/>
            <w:vAlign w:val="center"/>
          </w:tcPr>
          <w:p w14:paraId="0E20A163">
            <w:pPr>
              <w:spacing w:line="240" w:lineRule="auto"/>
              <w:ind w:firstLine="0" w:firstLineChars="0"/>
              <w:jc w:val="center"/>
              <w:textAlignment w:val="baseline"/>
              <w:rPr>
                <w:color w:val="auto"/>
                <w:kern w:val="0"/>
                <w:sz w:val="21"/>
                <w:szCs w:val="21"/>
              </w:rPr>
            </w:pPr>
            <w:r>
              <w:rPr>
                <w:rFonts w:hint="eastAsia"/>
                <w:color w:val="auto"/>
                <w:kern w:val="0"/>
                <w:sz w:val="21"/>
                <w:szCs w:val="21"/>
              </w:rPr>
              <w:t>新建</w:t>
            </w:r>
            <w:r>
              <w:rPr>
                <w:color w:val="auto"/>
                <w:kern w:val="0"/>
                <w:sz w:val="21"/>
                <w:szCs w:val="21"/>
              </w:rPr>
              <w:t>一般固废暂存间</w:t>
            </w:r>
            <w:r>
              <w:rPr>
                <w:rFonts w:hint="eastAsia"/>
                <w:color w:val="auto"/>
                <w:kern w:val="0"/>
                <w:sz w:val="21"/>
                <w:szCs w:val="21"/>
              </w:rPr>
              <w:t>100</w:t>
            </w:r>
            <w:r>
              <w:rPr>
                <w:color w:val="auto"/>
                <w:kern w:val="0"/>
                <w:sz w:val="21"/>
                <w:szCs w:val="21"/>
              </w:rPr>
              <w:t>m</w:t>
            </w:r>
            <w:r>
              <w:rPr>
                <w:color w:val="auto"/>
                <w:kern w:val="0"/>
                <w:sz w:val="21"/>
                <w:szCs w:val="21"/>
                <w:vertAlign w:val="superscript"/>
              </w:rPr>
              <w:t>2</w:t>
            </w:r>
          </w:p>
        </w:tc>
        <w:tc>
          <w:tcPr>
            <w:tcW w:w="1174" w:type="pct"/>
            <w:vMerge w:val="restart"/>
            <w:vAlign w:val="center"/>
          </w:tcPr>
          <w:p w14:paraId="14DC0D56">
            <w:pPr>
              <w:spacing w:line="240" w:lineRule="auto"/>
              <w:ind w:firstLine="0" w:firstLineChars="0"/>
              <w:jc w:val="center"/>
              <w:textAlignment w:val="baseline"/>
              <w:rPr>
                <w:color w:val="auto"/>
                <w:kern w:val="0"/>
                <w:sz w:val="21"/>
                <w:szCs w:val="21"/>
              </w:rPr>
            </w:pPr>
            <w:r>
              <w:rPr>
                <w:color w:val="auto"/>
                <w:kern w:val="0"/>
                <w:sz w:val="21"/>
                <w:szCs w:val="21"/>
              </w:rPr>
              <w:t>零排放，不产生二次污染</w:t>
            </w:r>
          </w:p>
        </w:tc>
        <w:tc>
          <w:tcPr>
            <w:tcW w:w="797" w:type="dxa"/>
            <w:vMerge w:val="restart"/>
            <w:vAlign w:val="center"/>
          </w:tcPr>
          <w:p w14:paraId="58F862D3">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200</w:t>
            </w:r>
          </w:p>
        </w:tc>
        <w:tc>
          <w:tcPr>
            <w:tcW w:w="236" w:type="pct"/>
            <w:vMerge w:val="continue"/>
            <w:vAlign w:val="center"/>
          </w:tcPr>
          <w:p w14:paraId="4BF41689">
            <w:pPr>
              <w:spacing w:line="240" w:lineRule="auto"/>
              <w:ind w:firstLine="0" w:firstLineChars="0"/>
              <w:jc w:val="center"/>
              <w:textAlignment w:val="baseline"/>
              <w:rPr>
                <w:color w:val="auto"/>
                <w:kern w:val="0"/>
                <w:sz w:val="21"/>
                <w:szCs w:val="21"/>
              </w:rPr>
            </w:pPr>
          </w:p>
        </w:tc>
      </w:tr>
      <w:tr w14:paraId="72A20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2EFA6DE7">
            <w:pPr>
              <w:spacing w:line="240" w:lineRule="auto"/>
              <w:ind w:firstLine="0" w:firstLineChars="0"/>
              <w:jc w:val="center"/>
              <w:textAlignment w:val="baseline"/>
              <w:rPr>
                <w:color w:val="auto"/>
                <w:kern w:val="0"/>
                <w:sz w:val="21"/>
                <w:szCs w:val="21"/>
              </w:rPr>
            </w:pPr>
          </w:p>
        </w:tc>
        <w:tc>
          <w:tcPr>
            <w:tcW w:w="882" w:type="pct"/>
            <w:vMerge w:val="continue"/>
            <w:vAlign w:val="center"/>
          </w:tcPr>
          <w:p w14:paraId="5856F316">
            <w:pPr>
              <w:spacing w:line="240" w:lineRule="auto"/>
              <w:ind w:firstLine="0" w:firstLineChars="0"/>
              <w:jc w:val="center"/>
              <w:textAlignment w:val="baseline"/>
              <w:rPr>
                <w:color w:val="auto"/>
                <w:kern w:val="0"/>
                <w:sz w:val="21"/>
                <w:szCs w:val="21"/>
              </w:rPr>
            </w:pPr>
          </w:p>
        </w:tc>
        <w:tc>
          <w:tcPr>
            <w:tcW w:w="596" w:type="pct"/>
            <w:vAlign w:val="center"/>
          </w:tcPr>
          <w:p w14:paraId="1AB8675D">
            <w:pPr>
              <w:spacing w:line="240" w:lineRule="auto"/>
              <w:ind w:firstLine="0" w:firstLineChars="0"/>
              <w:jc w:val="center"/>
              <w:textAlignment w:val="baseline"/>
              <w:rPr>
                <w:color w:val="auto"/>
                <w:kern w:val="0"/>
                <w:sz w:val="21"/>
                <w:szCs w:val="21"/>
              </w:rPr>
            </w:pPr>
            <w:r>
              <w:rPr>
                <w:color w:val="auto"/>
                <w:kern w:val="0"/>
                <w:sz w:val="21"/>
                <w:szCs w:val="21"/>
              </w:rPr>
              <w:t>危险废物</w:t>
            </w:r>
          </w:p>
        </w:tc>
        <w:tc>
          <w:tcPr>
            <w:tcW w:w="1227" w:type="pct"/>
            <w:vAlign w:val="center"/>
          </w:tcPr>
          <w:p w14:paraId="2F62227E">
            <w:pPr>
              <w:spacing w:line="240" w:lineRule="auto"/>
              <w:ind w:firstLine="0" w:firstLineChars="0"/>
              <w:jc w:val="center"/>
              <w:textAlignment w:val="baseline"/>
              <w:rPr>
                <w:color w:val="auto"/>
                <w:kern w:val="0"/>
                <w:sz w:val="21"/>
                <w:szCs w:val="21"/>
              </w:rPr>
            </w:pPr>
            <w:r>
              <w:rPr>
                <w:rFonts w:hint="eastAsia"/>
                <w:color w:val="auto"/>
                <w:kern w:val="0"/>
                <w:sz w:val="21"/>
                <w:szCs w:val="21"/>
              </w:rPr>
              <w:t>新建</w:t>
            </w:r>
            <w:r>
              <w:rPr>
                <w:color w:val="auto"/>
                <w:kern w:val="0"/>
                <w:sz w:val="21"/>
                <w:szCs w:val="21"/>
              </w:rPr>
              <w:t>危废暂存间</w:t>
            </w:r>
            <w:r>
              <w:rPr>
                <w:rFonts w:hint="eastAsia"/>
                <w:color w:val="auto"/>
                <w:kern w:val="0"/>
                <w:sz w:val="21"/>
                <w:szCs w:val="21"/>
              </w:rPr>
              <w:t>80</w:t>
            </w:r>
            <w:r>
              <w:rPr>
                <w:color w:val="auto"/>
                <w:kern w:val="0"/>
                <w:sz w:val="21"/>
                <w:szCs w:val="21"/>
              </w:rPr>
              <w:t>m</w:t>
            </w:r>
            <w:r>
              <w:rPr>
                <w:color w:val="auto"/>
                <w:kern w:val="0"/>
                <w:sz w:val="21"/>
                <w:szCs w:val="21"/>
                <w:vertAlign w:val="superscript"/>
              </w:rPr>
              <w:t>2</w:t>
            </w:r>
          </w:p>
        </w:tc>
        <w:tc>
          <w:tcPr>
            <w:tcW w:w="1174" w:type="pct"/>
            <w:vMerge w:val="continue"/>
            <w:vAlign w:val="center"/>
          </w:tcPr>
          <w:p w14:paraId="62D20F18">
            <w:pPr>
              <w:spacing w:line="240" w:lineRule="auto"/>
              <w:ind w:firstLine="0" w:firstLineChars="0"/>
              <w:jc w:val="center"/>
              <w:textAlignment w:val="baseline"/>
              <w:rPr>
                <w:color w:val="auto"/>
                <w:kern w:val="0"/>
                <w:sz w:val="21"/>
                <w:szCs w:val="21"/>
              </w:rPr>
            </w:pPr>
          </w:p>
        </w:tc>
        <w:tc>
          <w:tcPr>
            <w:tcW w:w="278" w:type="pct"/>
            <w:vMerge w:val="continue"/>
            <w:vAlign w:val="center"/>
          </w:tcPr>
          <w:p w14:paraId="2F99E4F6">
            <w:pPr>
              <w:spacing w:line="240" w:lineRule="auto"/>
              <w:ind w:firstLine="0" w:firstLineChars="0"/>
              <w:jc w:val="center"/>
              <w:textAlignment w:val="baseline"/>
              <w:rPr>
                <w:color w:val="auto"/>
                <w:kern w:val="0"/>
                <w:sz w:val="21"/>
                <w:szCs w:val="21"/>
              </w:rPr>
            </w:pPr>
          </w:p>
        </w:tc>
        <w:tc>
          <w:tcPr>
            <w:tcW w:w="236" w:type="pct"/>
            <w:vMerge w:val="continue"/>
            <w:vAlign w:val="center"/>
          </w:tcPr>
          <w:p w14:paraId="3DF171A8">
            <w:pPr>
              <w:spacing w:line="240" w:lineRule="auto"/>
              <w:ind w:firstLine="0" w:firstLineChars="0"/>
              <w:jc w:val="center"/>
              <w:textAlignment w:val="baseline"/>
              <w:rPr>
                <w:color w:val="auto"/>
                <w:kern w:val="0"/>
                <w:sz w:val="21"/>
                <w:szCs w:val="21"/>
              </w:rPr>
            </w:pPr>
          </w:p>
        </w:tc>
      </w:tr>
      <w:tr w14:paraId="43F66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4E00EDC5">
            <w:pPr>
              <w:spacing w:line="240" w:lineRule="auto"/>
              <w:ind w:firstLine="0" w:firstLineChars="0"/>
              <w:jc w:val="center"/>
              <w:textAlignment w:val="baseline"/>
              <w:rPr>
                <w:color w:val="auto"/>
                <w:kern w:val="0"/>
                <w:sz w:val="21"/>
                <w:szCs w:val="21"/>
              </w:rPr>
            </w:pPr>
          </w:p>
        </w:tc>
        <w:tc>
          <w:tcPr>
            <w:tcW w:w="882" w:type="pct"/>
            <w:vMerge w:val="continue"/>
            <w:vAlign w:val="center"/>
          </w:tcPr>
          <w:p w14:paraId="14AE867F">
            <w:pPr>
              <w:spacing w:line="240" w:lineRule="auto"/>
              <w:ind w:firstLine="0" w:firstLineChars="0"/>
              <w:jc w:val="center"/>
              <w:textAlignment w:val="baseline"/>
              <w:rPr>
                <w:color w:val="auto"/>
                <w:kern w:val="0"/>
                <w:sz w:val="21"/>
                <w:szCs w:val="21"/>
              </w:rPr>
            </w:pPr>
          </w:p>
        </w:tc>
        <w:tc>
          <w:tcPr>
            <w:tcW w:w="596" w:type="pct"/>
            <w:vAlign w:val="center"/>
          </w:tcPr>
          <w:p w14:paraId="066A6725">
            <w:pPr>
              <w:spacing w:line="240" w:lineRule="auto"/>
              <w:ind w:firstLine="0" w:firstLineChars="0"/>
              <w:jc w:val="center"/>
              <w:textAlignment w:val="baseline"/>
              <w:rPr>
                <w:color w:val="auto"/>
                <w:kern w:val="0"/>
                <w:sz w:val="21"/>
                <w:szCs w:val="21"/>
              </w:rPr>
            </w:pPr>
            <w:r>
              <w:rPr>
                <w:rFonts w:hint="eastAsia"/>
                <w:color w:val="auto"/>
                <w:kern w:val="0"/>
                <w:sz w:val="21"/>
                <w:szCs w:val="21"/>
              </w:rPr>
              <w:t>污泥</w:t>
            </w:r>
          </w:p>
        </w:tc>
        <w:tc>
          <w:tcPr>
            <w:tcW w:w="1227" w:type="pct"/>
            <w:vAlign w:val="center"/>
          </w:tcPr>
          <w:p w14:paraId="3B03A1FA">
            <w:pPr>
              <w:spacing w:line="240" w:lineRule="auto"/>
              <w:ind w:firstLine="0" w:firstLineChars="0"/>
              <w:jc w:val="center"/>
              <w:textAlignment w:val="baseline"/>
              <w:rPr>
                <w:color w:val="auto"/>
                <w:kern w:val="0"/>
                <w:sz w:val="21"/>
                <w:szCs w:val="21"/>
              </w:rPr>
            </w:pPr>
            <w:r>
              <w:rPr>
                <w:rFonts w:hint="eastAsia"/>
                <w:color w:val="auto"/>
                <w:kern w:val="0"/>
                <w:sz w:val="21"/>
                <w:szCs w:val="21"/>
              </w:rPr>
              <w:t>新建污泥堆场135</w:t>
            </w:r>
            <w:r>
              <w:rPr>
                <w:color w:val="auto"/>
                <w:kern w:val="0"/>
                <w:sz w:val="21"/>
                <w:szCs w:val="21"/>
              </w:rPr>
              <w:t>m</w:t>
            </w:r>
            <w:r>
              <w:rPr>
                <w:color w:val="auto"/>
                <w:kern w:val="0"/>
                <w:sz w:val="21"/>
                <w:szCs w:val="21"/>
                <w:vertAlign w:val="superscript"/>
              </w:rPr>
              <w:t>2</w:t>
            </w:r>
          </w:p>
        </w:tc>
        <w:tc>
          <w:tcPr>
            <w:tcW w:w="1174" w:type="pct"/>
            <w:vMerge w:val="continue"/>
            <w:vAlign w:val="center"/>
          </w:tcPr>
          <w:p w14:paraId="1569BBC1">
            <w:pPr>
              <w:spacing w:line="240" w:lineRule="auto"/>
              <w:ind w:firstLine="0" w:firstLineChars="0"/>
              <w:jc w:val="center"/>
              <w:textAlignment w:val="baseline"/>
              <w:rPr>
                <w:color w:val="auto"/>
                <w:kern w:val="0"/>
                <w:sz w:val="21"/>
                <w:szCs w:val="21"/>
              </w:rPr>
            </w:pPr>
          </w:p>
        </w:tc>
        <w:tc>
          <w:tcPr>
            <w:tcW w:w="278" w:type="pct"/>
            <w:vMerge w:val="continue"/>
            <w:vAlign w:val="center"/>
          </w:tcPr>
          <w:p w14:paraId="14549CFA">
            <w:pPr>
              <w:spacing w:line="240" w:lineRule="auto"/>
              <w:ind w:firstLine="0" w:firstLineChars="0"/>
              <w:jc w:val="center"/>
              <w:textAlignment w:val="baseline"/>
              <w:rPr>
                <w:color w:val="auto"/>
                <w:kern w:val="0"/>
                <w:sz w:val="21"/>
                <w:szCs w:val="21"/>
              </w:rPr>
            </w:pPr>
          </w:p>
        </w:tc>
        <w:tc>
          <w:tcPr>
            <w:tcW w:w="236" w:type="pct"/>
            <w:vMerge w:val="continue"/>
            <w:vAlign w:val="center"/>
          </w:tcPr>
          <w:p w14:paraId="0D16EFB3">
            <w:pPr>
              <w:spacing w:line="240" w:lineRule="auto"/>
              <w:ind w:firstLine="0" w:firstLineChars="0"/>
              <w:jc w:val="center"/>
              <w:textAlignment w:val="baseline"/>
              <w:rPr>
                <w:color w:val="auto"/>
                <w:kern w:val="0"/>
                <w:sz w:val="21"/>
                <w:szCs w:val="21"/>
              </w:rPr>
            </w:pPr>
          </w:p>
        </w:tc>
      </w:tr>
      <w:tr w14:paraId="05178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5EEB237B">
            <w:pPr>
              <w:spacing w:line="240" w:lineRule="auto"/>
              <w:ind w:firstLine="0" w:firstLineChars="0"/>
              <w:jc w:val="center"/>
              <w:textAlignment w:val="baseline"/>
              <w:rPr>
                <w:color w:val="auto"/>
                <w:kern w:val="0"/>
                <w:sz w:val="21"/>
                <w:szCs w:val="21"/>
              </w:rPr>
            </w:pPr>
          </w:p>
        </w:tc>
        <w:tc>
          <w:tcPr>
            <w:tcW w:w="882" w:type="pct"/>
            <w:vMerge w:val="restart"/>
            <w:vAlign w:val="center"/>
          </w:tcPr>
          <w:p w14:paraId="7DBCFFD2">
            <w:pPr>
              <w:spacing w:line="240" w:lineRule="auto"/>
              <w:ind w:firstLine="0" w:firstLineChars="0"/>
              <w:jc w:val="center"/>
              <w:textAlignment w:val="baseline"/>
              <w:rPr>
                <w:color w:val="auto"/>
                <w:kern w:val="0"/>
                <w:sz w:val="21"/>
                <w:szCs w:val="21"/>
              </w:rPr>
            </w:pPr>
            <w:r>
              <w:rPr>
                <w:color w:val="auto"/>
                <w:kern w:val="0"/>
                <w:sz w:val="21"/>
                <w:szCs w:val="21"/>
              </w:rPr>
              <w:t>生活</w:t>
            </w:r>
          </w:p>
        </w:tc>
        <w:tc>
          <w:tcPr>
            <w:tcW w:w="596" w:type="pct"/>
            <w:vAlign w:val="center"/>
          </w:tcPr>
          <w:p w14:paraId="56AF08D5">
            <w:pPr>
              <w:spacing w:line="240" w:lineRule="auto"/>
              <w:ind w:firstLine="0" w:firstLineChars="0"/>
              <w:jc w:val="center"/>
              <w:textAlignment w:val="baseline"/>
              <w:rPr>
                <w:color w:val="auto"/>
                <w:kern w:val="0"/>
                <w:sz w:val="21"/>
                <w:szCs w:val="21"/>
              </w:rPr>
            </w:pPr>
            <w:r>
              <w:rPr>
                <w:color w:val="auto"/>
                <w:kern w:val="0"/>
                <w:sz w:val="21"/>
                <w:szCs w:val="21"/>
              </w:rPr>
              <w:t>生活垃圾</w:t>
            </w:r>
          </w:p>
        </w:tc>
        <w:tc>
          <w:tcPr>
            <w:tcW w:w="1227" w:type="pct"/>
            <w:vAlign w:val="center"/>
          </w:tcPr>
          <w:p w14:paraId="13F2C2CD">
            <w:pPr>
              <w:spacing w:line="240" w:lineRule="auto"/>
              <w:ind w:firstLine="0" w:firstLineChars="0"/>
              <w:jc w:val="center"/>
              <w:textAlignment w:val="baseline"/>
              <w:rPr>
                <w:color w:val="auto"/>
                <w:kern w:val="0"/>
                <w:sz w:val="21"/>
                <w:szCs w:val="21"/>
              </w:rPr>
            </w:pPr>
            <w:r>
              <w:rPr>
                <w:color w:val="auto"/>
                <w:kern w:val="0"/>
                <w:sz w:val="21"/>
                <w:szCs w:val="21"/>
              </w:rPr>
              <w:t>当地环卫部门清运</w:t>
            </w:r>
          </w:p>
        </w:tc>
        <w:tc>
          <w:tcPr>
            <w:tcW w:w="1174" w:type="pct"/>
            <w:vMerge w:val="continue"/>
            <w:vAlign w:val="center"/>
          </w:tcPr>
          <w:p w14:paraId="6327E9C5">
            <w:pPr>
              <w:spacing w:line="240" w:lineRule="auto"/>
              <w:ind w:firstLine="0" w:firstLineChars="0"/>
              <w:jc w:val="center"/>
              <w:textAlignment w:val="baseline"/>
              <w:rPr>
                <w:color w:val="auto"/>
                <w:kern w:val="0"/>
                <w:sz w:val="21"/>
                <w:szCs w:val="21"/>
              </w:rPr>
            </w:pPr>
          </w:p>
        </w:tc>
        <w:tc>
          <w:tcPr>
            <w:tcW w:w="278" w:type="pct"/>
            <w:vMerge w:val="continue"/>
            <w:vAlign w:val="center"/>
          </w:tcPr>
          <w:p w14:paraId="0D40065B">
            <w:pPr>
              <w:spacing w:line="240" w:lineRule="auto"/>
              <w:ind w:firstLine="0" w:firstLineChars="0"/>
              <w:jc w:val="center"/>
              <w:textAlignment w:val="baseline"/>
              <w:rPr>
                <w:color w:val="auto"/>
                <w:kern w:val="0"/>
                <w:sz w:val="21"/>
                <w:szCs w:val="21"/>
              </w:rPr>
            </w:pPr>
          </w:p>
        </w:tc>
        <w:tc>
          <w:tcPr>
            <w:tcW w:w="236" w:type="pct"/>
            <w:vMerge w:val="continue"/>
            <w:vAlign w:val="center"/>
          </w:tcPr>
          <w:p w14:paraId="6C409817">
            <w:pPr>
              <w:spacing w:line="240" w:lineRule="auto"/>
              <w:ind w:firstLine="0" w:firstLineChars="0"/>
              <w:jc w:val="center"/>
              <w:textAlignment w:val="baseline"/>
              <w:rPr>
                <w:color w:val="auto"/>
                <w:kern w:val="0"/>
                <w:sz w:val="21"/>
                <w:szCs w:val="21"/>
              </w:rPr>
            </w:pPr>
          </w:p>
        </w:tc>
      </w:tr>
      <w:tr w14:paraId="5CE70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continue"/>
            <w:vAlign w:val="center"/>
          </w:tcPr>
          <w:p w14:paraId="7356B6FA">
            <w:pPr>
              <w:spacing w:line="240" w:lineRule="auto"/>
              <w:ind w:firstLine="0" w:firstLineChars="0"/>
              <w:jc w:val="center"/>
              <w:textAlignment w:val="baseline"/>
              <w:rPr>
                <w:color w:val="auto"/>
                <w:kern w:val="0"/>
                <w:sz w:val="21"/>
                <w:szCs w:val="21"/>
              </w:rPr>
            </w:pPr>
          </w:p>
        </w:tc>
        <w:tc>
          <w:tcPr>
            <w:tcW w:w="882" w:type="pct"/>
            <w:vMerge w:val="continue"/>
            <w:vAlign w:val="center"/>
          </w:tcPr>
          <w:p w14:paraId="60B67F11">
            <w:pPr>
              <w:spacing w:line="240" w:lineRule="auto"/>
              <w:ind w:firstLine="0" w:firstLineChars="0"/>
              <w:jc w:val="center"/>
              <w:textAlignment w:val="baseline"/>
              <w:rPr>
                <w:color w:val="auto"/>
                <w:kern w:val="0"/>
                <w:sz w:val="21"/>
                <w:szCs w:val="21"/>
              </w:rPr>
            </w:pPr>
          </w:p>
        </w:tc>
        <w:tc>
          <w:tcPr>
            <w:tcW w:w="596" w:type="pct"/>
            <w:vAlign w:val="center"/>
          </w:tcPr>
          <w:p w14:paraId="54359EE5">
            <w:pPr>
              <w:spacing w:line="240" w:lineRule="auto"/>
              <w:ind w:firstLine="0" w:firstLineChars="0"/>
              <w:jc w:val="center"/>
              <w:textAlignment w:val="baseline"/>
              <w:rPr>
                <w:color w:val="auto"/>
                <w:kern w:val="0"/>
                <w:sz w:val="21"/>
                <w:szCs w:val="21"/>
              </w:rPr>
            </w:pPr>
            <w:r>
              <w:rPr>
                <w:rFonts w:hint="eastAsia"/>
                <w:color w:val="auto"/>
                <w:kern w:val="0"/>
                <w:sz w:val="21"/>
                <w:szCs w:val="21"/>
              </w:rPr>
              <w:t>厨余垃圾和隔油池废油</w:t>
            </w:r>
          </w:p>
        </w:tc>
        <w:tc>
          <w:tcPr>
            <w:tcW w:w="1227" w:type="pct"/>
            <w:vAlign w:val="center"/>
          </w:tcPr>
          <w:p w14:paraId="281D8A5D">
            <w:pPr>
              <w:spacing w:line="240" w:lineRule="auto"/>
              <w:ind w:firstLine="0" w:firstLineChars="0"/>
              <w:jc w:val="center"/>
              <w:textAlignment w:val="baseline"/>
              <w:rPr>
                <w:color w:val="auto"/>
                <w:kern w:val="0"/>
                <w:sz w:val="21"/>
                <w:szCs w:val="21"/>
              </w:rPr>
            </w:pPr>
            <w:r>
              <w:rPr>
                <w:rFonts w:hint="eastAsia"/>
                <w:color w:val="auto"/>
                <w:kern w:val="0"/>
                <w:sz w:val="21"/>
                <w:szCs w:val="21"/>
              </w:rPr>
              <w:t>交由有许可资质单位集中处置</w:t>
            </w:r>
          </w:p>
        </w:tc>
        <w:tc>
          <w:tcPr>
            <w:tcW w:w="1174" w:type="pct"/>
            <w:vMerge w:val="continue"/>
            <w:vAlign w:val="center"/>
          </w:tcPr>
          <w:p w14:paraId="1051DD17">
            <w:pPr>
              <w:spacing w:line="240" w:lineRule="auto"/>
              <w:ind w:firstLine="0" w:firstLineChars="0"/>
              <w:jc w:val="center"/>
              <w:textAlignment w:val="baseline"/>
              <w:rPr>
                <w:color w:val="auto"/>
                <w:kern w:val="0"/>
                <w:sz w:val="21"/>
                <w:szCs w:val="21"/>
              </w:rPr>
            </w:pPr>
          </w:p>
        </w:tc>
        <w:tc>
          <w:tcPr>
            <w:tcW w:w="278" w:type="pct"/>
            <w:vMerge w:val="continue"/>
            <w:vAlign w:val="center"/>
          </w:tcPr>
          <w:p w14:paraId="2F9B83E3">
            <w:pPr>
              <w:spacing w:line="240" w:lineRule="auto"/>
              <w:ind w:firstLine="0" w:firstLineChars="0"/>
              <w:jc w:val="center"/>
              <w:textAlignment w:val="baseline"/>
              <w:rPr>
                <w:color w:val="auto"/>
                <w:kern w:val="0"/>
                <w:sz w:val="21"/>
                <w:szCs w:val="21"/>
              </w:rPr>
            </w:pPr>
          </w:p>
        </w:tc>
        <w:tc>
          <w:tcPr>
            <w:tcW w:w="236" w:type="pct"/>
            <w:vMerge w:val="continue"/>
            <w:vAlign w:val="center"/>
          </w:tcPr>
          <w:p w14:paraId="7C1F6EB5">
            <w:pPr>
              <w:spacing w:line="240" w:lineRule="auto"/>
              <w:ind w:firstLine="0" w:firstLineChars="0"/>
              <w:jc w:val="center"/>
              <w:textAlignment w:val="baseline"/>
              <w:rPr>
                <w:color w:val="auto"/>
                <w:kern w:val="0"/>
                <w:sz w:val="21"/>
                <w:szCs w:val="21"/>
              </w:rPr>
            </w:pPr>
          </w:p>
        </w:tc>
      </w:tr>
      <w:tr w14:paraId="2620F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Align w:val="center"/>
          </w:tcPr>
          <w:p w14:paraId="271FD6E4">
            <w:pPr>
              <w:spacing w:line="240" w:lineRule="auto"/>
              <w:ind w:firstLine="0" w:firstLineChars="0"/>
              <w:jc w:val="center"/>
              <w:textAlignment w:val="baseline"/>
              <w:rPr>
                <w:color w:val="auto"/>
                <w:kern w:val="0"/>
                <w:sz w:val="21"/>
                <w:szCs w:val="21"/>
              </w:rPr>
            </w:pPr>
            <w:r>
              <w:rPr>
                <w:color w:val="auto"/>
                <w:kern w:val="0"/>
                <w:sz w:val="21"/>
                <w:szCs w:val="21"/>
              </w:rPr>
              <w:t>地下水、土壤</w:t>
            </w:r>
          </w:p>
        </w:tc>
        <w:tc>
          <w:tcPr>
            <w:tcW w:w="2706" w:type="pct"/>
            <w:gridSpan w:val="3"/>
            <w:vAlign w:val="center"/>
          </w:tcPr>
          <w:p w14:paraId="0B83A406">
            <w:pPr>
              <w:spacing w:line="240" w:lineRule="auto"/>
              <w:ind w:firstLine="0" w:firstLineChars="0"/>
              <w:jc w:val="center"/>
              <w:textAlignment w:val="baseline"/>
              <w:rPr>
                <w:color w:val="auto"/>
                <w:kern w:val="0"/>
                <w:sz w:val="21"/>
                <w:szCs w:val="21"/>
              </w:rPr>
            </w:pPr>
            <w:r>
              <w:rPr>
                <w:color w:val="auto"/>
                <w:kern w:val="0"/>
                <w:sz w:val="21"/>
                <w:szCs w:val="21"/>
              </w:rPr>
              <w:t>地面防渗工程、地下水污染事故监控、事故防范措施应急预案</w:t>
            </w:r>
          </w:p>
        </w:tc>
        <w:tc>
          <w:tcPr>
            <w:tcW w:w="1174" w:type="pct"/>
            <w:vAlign w:val="center"/>
          </w:tcPr>
          <w:p w14:paraId="543840B0">
            <w:pPr>
              <w:spacing w:line="240" w:lineRule="auto"/>
              <w:ind w:firstLine="0" w:firstLineChars="0"/>
              <w:jc w:val="center"/>
              <w:textAlignment w:val="baseline"/>
              <w:rPr>
                <w:color w:val="auto"/>
                <w:kern w:val="0"/>
                <w:sz w:val="21"/>
                <w:szCs w:val="21"/>
              </w:rPr>
            </w:pPr>
            <w:r>
              <w:rPr>
                <w:color w:val="auto"/>
                <w:kern w:val="0"/>
                <w:sz w:val="21"/>
                <w:szCs w:val="21"/>
              </w:rPr>
              <w:t>/</w:t>
            </w:r>
          </w:p>
        </w:tc>
        <w:tc>
          <w:tcPr>
            <w:tcW w:w="797" w:type="dxa"/>
            <w:vAlign w:val="center"/>
          </w:tcPr>
          <w:p w14:paraId="0D1676DC">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350</w:t>
            </w:r>
          </w:p>
        </w:tc>
        <w:tc>
          <w:tcPr>
            <w:tcW w:w="236" w:type="pct"/>
            <w:vMerge w:val="continue"/>
            <w:vAlign w:val="center"/>
          </w:tcPr>
          <w:p w14:paraId="31DA7E02">
            <w:pPr>
              <w:spacing w:line="240" w:lineRule="auto"/>
              <w:ind w:firstLine="0" w:firstLineChars="0"/>
              <w:jc w:val="center"/>
              <w:textAlignment w:val="baseline"/>
              <w:rPr>
                <w:color w:val="auto"/>
                <w:kern w:val="0"/>
                <w:sz w:val="21"/>
                <w:szCs w:val="21"/>
              </w:rPr>
            </w:pPr>
          </w:p>
        </w:tc>
      </w:tr>
      <w:tr w14:paraId="58F54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05" w:type="pct"/>
            <w:gridSpan w:val="2"/>
            <w:vAlign w:val="center"/>
          </w:tcPr>
          <w:p w14:paraId="5925DC94">
            <w:pPr>
              <w:spacing w:line="240" w:lineRule="auto"/>
              <w:ind w:firstLine="0" w:firstLineChars="0"/>
              <w:jc w:val="center"/>
              <w:textAlignment w:val="baseline"/>
              <w:rPr>
                <w:color w:val="auto"/>
                <w:kern w:val="0"/>
                <w:sz w:val="21"/>
                <w:szCs w:val="21"/>
              </w:rPr>
            </w:pPr>
            <w:r>
              <w:rPr>
                <w:color w:val="auto"/>
                <w:kern w:val="0"/>
                <w:sz w:val="21"/>
                <w:szCs w:val="21"/>
              </w:rPr>
              <w:t>绿化</w:t>
            </w:r>
          </w:p>
        </w:tc>
        <w:tc>
          <w:tcPr>
            <w:tcW w:w="2706" w:type="pct"/>
            <w:gridSpan w:val="3"/>
            <w:vAlign w:val="center"/>
          </w:tcPr>
          <w:p w14:paraId="1C8BFBC6">
            <w:pPr>
              <w:spacing w:line="240" w:lineRule="auto"/>
              <w:ind w:firstLine="0" w:firstLineChars="0"/>
              <w:jc w:val="center"/>
              <w:textAlignment w:val="baseline"/>
              <w:rPr>
                <w:color w:val="auto"/>
                <w:kern w:val="0"/>
                <w:sz w:val="21"/>
                <w:szCs w:val="21"/>
              </w:rPr>
            </w:pPr>
            <w:r>
              <w:rPr>
                <w:color w:val="auto"/>
                <w:kern w:val="0"/>
                <w:sz w:val="21"/>
                <w:szCs w:val="21"/>
              </w:rPr>
              <w:t>绿化覆盖率10%</w:t>
            </w:r>
          </w:p>
        </w:tc>
        <w:tc>
          <w:tcPr>
            <w:tcW w:w="1174" w:type="pct"/>
            <w:vAlign w:val="center"/>
          </w:tcPr>
          <w:p w14:paraId="4146A4E2">
            <w:pPr>
              <w:spacing w:line="240" w:lineRule="auto"/>
              <w:ind w:firstLine="0" w:firstLineChars="0"/>
              <w:jc w:val="center"/>
              <w:textAlignment w:val="baseline"/>
              <w:rPr>
                <w:color w:val="auto"/>
                <w:kern w:val="0"/>
                <w:sz w:val="21"/>
                <w:szCs w:val="21"/>
              </w:rPr>
            </w:pPr>
            <w:r>
              <w:rPr>
                <w:color w:val="auto"/>
                <w:kern w:val="0"/>
                <w:sz w:val="21"/>
                <w:szCs w:val="21"/>
              </w:rPr>
              <w:t>/</w:t>
            </w:r>
          </w:p>
        </w:tc>
        <w:tc>
          <w:tcPr>
            <w:tcW w:w="797" w:type="dxa"/>
            <w:vAlign w:val="center"/>
          </w:tcPr>
          <w:p w14:paraId="4E3056A8">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w:t>
            </w:r>
          </w:p>
        </w:tc>
        <w:tc>
          <w:tcPr>
            <w:tcW w:w="236" w:type="pct"/>
            <w:vMerge w:val="continue"/>
            <w:vAlign w:val="center"/>
          </w:tcPr>
          <w:p w14:paraId="2F793BBB">
            <w:pPr>
              <w:spacing w:line="240" w:lineRule="auto"/>
              <w:ind w:firstLine="0" w:firstLineChars="0"/>
              <w:jc w:val="center"/>
              <w:textAlignment w:val="baseline"/>
              <w:rPr>
                <w:color w:val="auto"/>
                <w:kern w:val="0"/>
                <w:sz w:val="21"/>
                <w:szCs w:val="21"/>
              </w:rPr>
            </w:pPr>
          </w:p>
        </w:tc>
      </w:tr>
      <w:tr w14:paraId="0C2B3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Merge w:val="restart"/>
            <w:vAlign w:val="center"/>
          </w:tcPr>
          <w:p w14:paraId="53B6CC4D">
            <w:pPr>
              <w:spacing w:line="240" w:lineRule="auto"/>
              <w:ind w:firstLine="0" w:firstLineChars="0"/>
              <w:jc w:val="center"/>
              <w:textAlignment w:val="baseline"/>
              <w:rPr>
                <w:color w:val="auto"/>
                <w:kern w:val="0"/>
                <w:sz w:val="21"/>
                <w:szCs w:val="21"/>
              </w:rPr>
            </w:pPr>
            <w:r>
              <w:rPr>
                <w:color w:val="auto"/>
                <w:kern w:val="0"/>
                <w:sz w:val="21"/>
                <w:szCs w:val="21"/>
              </w:rPr>
              <w:t>环境管理及事故应急（机构、监测能力等）</w:t>
            </w:r>
          </w:p>
        </w:tc>
        <w:tc>
          <w:tcPr>
            <w:tcW w:w="2706" w:type="pct"/>
            <w:gridSpan w:val="3"/>
            <w:vAlign w:val="center"/>
          </w:tcPr>
          <w:p w14:paraId="26C89338">
            <w:pPr>
              <w:spacing w:line="240" w:lineRule="auto"/>
              <w:ind w:firstLine="0" w:firstLineChars="0"/>
              <w:jc w:val="center"/>
              <w:textAlignment w:val="baseline"/>
              <w:rPr>
                <w:color w:val="auto"/>
                <w:kern w:val="0"/>
                <w:sz w:val="21"/>
                <w:szCs w:val="21"/>
              </w:rPr>
            </w:pPr>
            <w:r>
              <w:rPr>
                <w:color w:val="auto"/>
                <w:kern w:val="0"/>
                <w:sz w:val="21"/>
                <w:szCs w:val="21"/>
              </w:rPr>
              <w:t>应急预案编制、演练、备案，设置1座容积不低于</w:t>
            </w:r>
            <w:r>
              <w:rPr>
                <w:rFonts w:hint="eastAsia"/>
                <w:color w:val="auto"/>
                <w:kern w:val="0"/>
                <w:sz w:val="21"/>
                <w:szCs w:val="21"/>
              </w:rPr>
              <w:t>600</w:t>
            </w:r>
            <w:r>
              <w:rPr>
                <w:color w:val="auto"/>
                <w:kern w:val="0"/>
                <w:sz w:val="21"/>
                <w:szCs w:val="21"/>
              </w:rPr>
              <w:t>m</w:t>
            </w:r>
            <w:r>
              <w:rPr>
                <w:color w:val="auto"/>
                <w:kern w:val="0"/>
                <w:sz w:val="21"/>
                <w:szCs w:val="21"/>
                <w:vertAlign w:val="superscript"/>
              </w:rPr>
              <w:t>3</w:t>
            </w:r>
            <w:r>
              <w:rPr>
                <w:color w:val="auto"/>
                <w:kern w:val="0"/>
                <w:sz w:val="21"/>
                <w:szCs w:val="21"/>
              </w:rPr>
              <w:t>事故应急池，</w:t>
            </w:r>
            <w:r>
              <w:rPr>
                <w:rFonts w:hint="eastAsia"/>
                <w:color w:val="auto"/>
                <w:kern w:val="0"/>
                <w:sz w:val="21"/>
                <w:szCs w:val="21"/>
              </w:rPr>
              <w:t>新建初期雨水池750</w:t>
            </w:r>
            <w:r>
              <w:rPr>
                <w:color w:val="auto"/>
                <w:kern w:val="0"/>
                <w:sz w:val="21"/>
                <w:szCs w:val="21"/>
              </w:rPr>
              <w:t>m</w:t>
            </w:r>
            <w:r>
              <w:rPr>
                <w:color w:val="auto"/>
                <w:kern w:val="0"/>
                <w:sz w:val="21"/>
                <w:szCs w:val="21"/>
                <w:vertAlign w:val="superscript"/>
              </w:rPr>
              <w:t>3</w:t>
            </w:r>
            <w:r>
              <w:rPr>
                <w:rFonts w:hint="eastAsia"/>
                <w:color w:val="auto"/>
                <w:kern w:val="0"/>
                <w:sz w:val="21"/>
                <w:szCs w:val="21"/>
              </w:rPr>
              <w:t>，</w:t>
            </w:r>
            <w:r>
              <w:rPr>
                <w:color w:val="auto"/>
                <w:kern w:val="0"/>
                <w:sz w:val="21"/>
                <w:szCs w:val="21"/>
              </w:rPr>
              <w:t>设管网切换及切断装置，雨水管网、事故污水管网经闸阀连通，保障事故状态下雨水、消防水、事故污水可自流至事故应急池；雨水、污水总排口设置控制总阀。</w:t>
            </w:r>
          </w:p>
        </w:tc>
        <w:tc>
          <w:tcPr>
            <w:tcW w:w="1174" w:type="pct"/>
            <w:vMerge w:val="restart"/>
            <w:vAlign w:val="center"/>
          </w:tcPr>
          <w:p w14:paraId="77C49EBC">
            <w:pPr>
              <w:spacing w:line="240" w:lineRule="auto"/>
              <w:ind w:firstLine="0" w:firstLineChars="0"/>
              <w:jc w:val="center"/>
              <w:textAlignment w:val="baseline"/>
              <w:rPr>
                <w:color w:val="auto"/>
                <w:kern w:val="0"/>
                <w:sz w:val="21"/>
                <w:szCs w:val="21"/>
              </w:rPr>
            </w:pPr>
            <w:r>
              <w:rPr>
                <w:color w:val="auto"/>
                <w:kern w:val="0"/>
                <w:sz w:val="21"/>
                <w:szCs w:val="21"/>
              </w:rPr>
              <w:t>满足风险防范要求</w:t>
            </w:r>
          </w:p>
        </w:tc>
        <w:tc>
          <w:tcPr>
            <w:tcW w:w="797" w:type="dxa"/>
            <w:vMerge w:val="restart"/>
            <w:vAlign w:val="center"/>
          </w:tcPr>
          <w:p w14:paraId="4D0A98DE">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300</w:t>
            </w:r>
          </w:p>
        </w:tc>
        <w:tc>
          <w:tcPr>
            <w:tcW w:w="236" w:type="pct"/>
            <w:vMerge w:val="continue"/>
            <w:vAlign w:val="center"/>
          </w:tcPr>
          <w:p w14:paraId="2A975F2E">
            <w:pPr>
              <w:spacing w:line="240" w:lineRule="auto"/>
              <w:ind w:firstLine="0" w:firstLineChars="0"/>
              <w:jc w:val="center"/>
              <w:textAlignment w:val="baseline"/>
              <w:rPr>
                <w:color w:val="auto"/>
                <w:kern w:val="0"/>
                <w:sz w:val="21"/>
                <w:szCs w:val="21"/>
              </w:rPr>
            </w:pPr>
          </w:p>
        </w:tc>
      </w:tr>
      <w:tr w14:paraId="52A53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05" w:type="pct"/>
            <w:gridSpan w:val="2"/>
            <w:vMerge w:val="continue"/>
            <w:vAlign w:val="center"/>
          </w:tcPr>
          <w:p w14:paraId="71ACB955">
            <w:pPr>
              <w:spacing w:line="240" w:lineRule="auto"/>
              <w:ind w:firstLine="0" w:firstLineChars="0"/>
              <w:jc w:val="center"/>
              <w:textAlignment w:val="baseline"/>
              <w:rPr>
                <w:color w:val="auto"/>
                <w:kern w:val="0"/>
                <w:sz w:val="21"/>
                <w:szCs w:val="21"/>
              </w:rPr>
            </w:pPr>
          </w:p>
        </w:tc>
        <w:tc>
          <w:tcPr>
            <w:tcW w:w="2706" w:type="pct"/>
            <w:gridSpan w:val="3"/>
            <w:vAlign w:val="center"/>
          </w:tcPr>
          <w:p w14:paraId="0A4EEB91">
            <w:pPr>
              <w:spacing w:line="240" w:lineRule="auto"/>
              <w:ind w:firstLine="0" w:firstLineChars="0"/>
              <w:jc w:val="center"/>
              <w:textAlignment w:val="baseline"/>
              <w:rPr>
                <w:color w:val="auto"/>
                <w:kern w:val="0"/>
                <w:sz w:val="21"/>
                <w:szCs w:val="21"/>
              </w:rPr>
            </w:pPr>
            <w:r>
              <w:rPr>
                <w:rFonts w:hint="eastAsia"/>
                <w:color w:val="auto"/>
                <w:kern w:val="0"/>
                <w:sz w:val="21"/>
                <w:szCs w:val="21"/>
              </w:rPr>
              <w:t>设置可燃气体报警系统、视频监控设施等</w:t>
            </w:r>
          </w:p>
        </w:tc>
        <w:tc>
          <w:tcPr>
            <w:tcW w:w="1174" w:type="pct"/>
            <w:vMerge w:val="continue"/>
            <w:vAlign w:val="center"/>
          </w:tcPr>
          <w:p w14:paraId="10AFCC8E">
            <w:pPr>
              <w:spacing w:line="240" w:lineRule="auto"/>
              <w:ind w:firstLine="0" w:firstLineChars="0"/>
              <w:jc w:val="center"/>
              <w:textAlignment w:val="baseline"/>
              <w:rPr>
                <w:color w:val="auto"/>
                <w:kern w:val="0"/>
                <w:sz w:val="21"/>
                <w:szCs w:val="21"/>
              </w:rPr>
            </w:pPr>
          </w:p>
        </w:tc>
        <w:tc>
          <w:tcPr>
            <w:tcW w:w="278" w:type="pct"/>
            <w:vMerge w:val="continue"/>
            <w:vAlign w:val="center"/>
          </w:tcPr>
          <w:p w14:paraId="434723E0">
            <w:pPr>
              <w:spacing w:line="240" w:lineRule="auto"/>
              <w:ind w:firstLine="0" w:firstLineChars="0"/>
              <w:jc w:val="center"/>
              <w:textAlignment w:val="baseline"/>
              <w:rPr>
                <w:color w:val="auto"/>
                <w:kern w:val="0"/>
                <w:sz w:val="21"/>
                <w:szCs w:val="21"/>
              </w:rPr>
            </w:pPr>
          </w:p>
        </w:tc>
        <w:tc>
          <w:tcPr>
            <w:tcW w:w="236" w:type="pct"/>
            <w:vMerge w:val="continue"/>
            <w:vAlign w:val="center"/>
          </w:tcPr>
          <w:p w14:paraId="1B381C5F">
            <w:pPr>
              <w:spacing w:line="240" w:lineRule="auto"/>
              <w:ind w:firstLine="0" w:firstLineChars="0"/>
              <w:jc w:val="center"/>
              <w:textAlignment w:val="baseline"/>
              <w:rPr>
                <w:color w:val="auto"/>
                <w:kern w:val="0"/>
                <w:sz w:val="21"/>
                <w:szCs w:val="21"/>
              </w:rPr>
            </w:pPr>
          </w:p>
        </w:tc>
      </w:tr>
      <w:tr w14:paraId="621C8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Align w:val="center"/>
          </w:tcPr>
          <w:p w14:paraId="26BEC196">
            <w:pPr>
              <w:spacing w:line="240" w:lineRule="auto"/>
              <w:ind w:firstLine="0" w:firstLineChars="0"/>
              <w:jc w:val="center"/>
              <w:textAlignment w:val="baseline"/>
              <w:rPr>
                <w:color w:val="auto"/>
                <w:kern w:val="0"/>
                <w:sz w:val="21"/>
                <w:szCs w:val="21"/>
              </w:rPr>
            </w:pPr>
            <w:r>
              <w:rPr>
                <w:color w:val="auto"/>
                <w:kern w:val="0"/>
                <w:sz w:val="21"/>
                <w:szCs w:val="21"/>
              </w:rPr>
              <w:t>雨污分流、排污口规范化设置（流量计、在线监测仪等）</w:t>
            </w:r>
          </w:p>
        </w:tc>
        <w:tc>
          <w:tcPr>
            <w:tcW w:w="2706" w:type="pct"/>
            <w:gridSpan w:val="3"/>
            <w:vAlign w:val="center"/>
          </w:tcPr>
          <w:p w14:paraId="7F156EDB">
            <w:pPr>
              <w:spacing w:line="240" w:lineRule="auto"/>
              <w:ind w:firstLine="0" w:firstLineChars="0"/>
              <w:jc w:val="center"/>
              <w:textAlignment w:val="baseline"/>
              <w:rPr>
                <w:color w:val="auto"/>
                <w:kern w:val="0"/>
                <w:sz w:val="21"/>
                <w:szCs w:val="21"/>
              </w:rPr>
            </w:pPr>
            <w:r>
              <w:rPr>
                <w:color w:val="auto"/>
                <w:kern w:val="0"/>
                <w:sz w:val="21"/>
                <w:szCs w:val="21"/>
              </w:rPr>
              <w:t>1、雨污分流；2、废水排口：废水流量计</w:t>
            </w:r>
            <w:r>
              <w:rPr>
                <w:rFonts w:hint="eastAsia"/>
                <w:color w:val="auto"/>
                <w:kern w:val="0"/>
                <w:sz w:val="21"/>
                <w:szCs w:val="21"/>
              </w:rPr>
              <w:t>、</w:t>
            </w:r>
            <w:r>
              <w:rPr>
                <w:color w:val="auto"/>
                <w:kern w:val="0"/>
                <w:sz w:val="21"/>
                <w:szCs w:val="21"/>
              </w:rPr>
              <w:t>排口标识、排口可控阀门</w:t>
            </w:r>
            <w:r>
              <w:rPr>
                <w:rFonts w:hint="eastAsia"/>
                <w:color w:val="auto"/>
                <w:kern w:val="0"/>
                <w:sz w:val="21"/>
                <w:szCs w:val="21"/>
              </w:rPr>
              <w:t>，以及安装COD自动监测仪，并与生态环境部门联网</w:t>
            </w:r>
            <w:r>
              <w:rPr>
                <w:color w:val="auto"/>
                <w:kern w:val="0"/>
                <w:sz w:val="21"/>
                <w:szCs w:val="21"/>
              </w:rPr>
              <w:t>；废气：</w:t>
            </w:r>
            <w:r>
              <w:rPr>
                <w:rFonts w:hint="eastAsia"/>
                <w:color w:val="auto"/>
                <w:kern w:val="0"/>
                <w:sz w:val="21"/>
                <w:szCs w:val="21"/>
              </w:rPr>
              <w:t>3、</w:t>
            </w:r>
            <w:r>
              <w:rPr>
                <w:color w:val="auto"/>
                <w:kern w:val="0"/>
                <w:sz w:val="21"/>
                <w:szCs w:val="21"/>
              </w:rPr>
              <w:t>排气筒按照要求安装标志牌、预留监测采样平台，并设置环境保护图形标志；</w:t>
            </w:r>
            <w:r>
              <w:rPr>
                <w:rFonts w:hint="eastAsia"/>
                <w:color w:val="auto"/>
                <w:kern w:val="0"/>
                <w:sz w:val="21"/>
                <w:szCs w:val="21"/>
              </w:rPr>
              <w:t>4、</w:t>
            </w:r>
            <w:r>
              <w:rPr>
                <w:color w:val="auto"/>
                <w:kern w:val="0"/>
                <w:sz w:val="21"/>
                <w:szCs w:val="21"/>
              </w:rPr>
              <w:t>噪声：在噪声设备点，设置环境保护标志牌；</w:t>
            </w:r>
            <w:r>
              <w:rPr>
                <w:rFonts w:hint="eastAsia"/>
                <w:color w:val="auto"/>
                <w:kern w:val="0"/>
                <w:sz w:val="21"/>
                <w:szCs w:val="21"/>
              </w:rPr>
              <w:t>5、</w:t>
            </w:r>
            <w:r>
              <w:rPr>
                <w:color w:val="auto"/>
                <w:kern w:val="0"/>
                <w:sz w:val="21"/>
                <w:szCs w:val="21"/>
              </w:rPr>
              <w:t>固废：设置专用的贮存设施或堆放场地，规范化设置标志牌</w:t>
            </w:r>
            <w:r>
              <w:rPr>
                <w:rFonts w:hint="eastAsia"/>
                <w:color w:val="auto"/>
                <w:kern w:val="0"/>
                <w:sz w:val="21"/>
                <w:szCs w:val="21"/>
              </w:rPr>
              <w:t>。</w:t>
            </w:r>
          </w:p>
        </w:tc>
        <w:tc>
          <w:tcPr>
            <w:tcW w:w="1174" w:type="pct"/>
            <w:vAlign w:val="center"/>
          </w:tcPr>
          <w:p w14:paraId="744ABFD1">
            <w:pPr>
              <w:spacing w:line="240" w:lineRule="auto"/>
              <w:ind w:firstLine="0" w:firstLineChars="0"/>
              <w:jc w:val="center"/>
              <w:textAlignment w:val="baseline"/>
              <w:rPr>
                <w:color w:val="auto"/>
                <w:kern w:val="0"/>
                <w:sz w:val="21"/>
                <w:szCs w:val="21"/>
              </w:rPr>
            </w:pPr>
            <w:r>
              <w:rPr>
                <w:color w:val="auto"/>
                <w:sz w:val="21"/>
                <w:szCs w:val="21"/>
              </w:rPr>
              <w:t>排污口规范化建设，</w:t>
            </w:r>
            <w:r>
              <w:rPr>
                <w:rFonts w:hint="eastAsia"/>
                <w:color w:val="auto"/>
                <w:sz w:val="21"/>
                <w:szCs w:val="21"/>
              </w:rPr>
              <w:t>实现有效监管</w:t>
            </w:r>
          </w:p>
        </w:tc>
        <w:tc>
          <w:tcPr>
            <w:tcW w:w="797" w:type="dxa"/>
            <w:vAlign w:val="center"/>
          </w:tcPr>
          <w:p w14:paraId="72ADA34B">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50</w:t>
            </w:r>
          </w:p>
        </w:tc>
        <w:tc>
          <w:tcPr>
            <w:tcW w:w="236" w:type="pct"/>
            <w:vMerge w:val="continue"/>
            <w:vAlign w:val="center"/>
          </w:tcPr>
          <w:p w14:paraId="0A5E6385">
            <w:pPr>
              <w:spacing w:line="240" w:lineRule="auto"/>
              <w:ind w:firstLine="0" w:firstLineChars="0"/>
              <w:jc w:val="center"/>
              <w:textAlignment w:val="baseline"/>
              <w:rPr>
                <w:color w:val="auto"/>
                <w:kern w:val="0"/>
                <w:sz w:val="21"/>
                <w:szCs w:val="21"/>
              </w:rPr>
            </w:pPr>
          </w:p>
        </w:tc>
      </w:tr>
      <w:tr w14:paraId="1FC3E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Align w:val="center"/>
          </w:tcPr>
          <w:p w14:paraId="7C9D46BF">
            <w:pPr>
              <w:spacing w:line="240" w:lineRule="auto"/>
              <w:ind w:firstLine="0" w:firstLineChars="0"/>
              <w:jc w:val="center"/>
              <w:textAlignment w:val="baseline"/>
              <w:rPr>
                <w:color w:val="auto"/>
                <w:kern w:val="0"/>
                <w:sz w:val="21"/>
                <w:szCs w:val="21"/>
              </w:rPr>
            </w:pPr>
            <w:r>
              <w:rPr>
                <w:color w:val="auto"/>
                <w:kern w:val="0"/>
                <w:sz w:val="21"/>
                <w:szCs w:val="21"/>
              </w:rPr>
              <w:t>以新带老措施</w:t>
            </w:r>
          </w:p>
        </w:tc>
        <w:tc>
          <w:tcPr>
            <w:tcW w:w="3880" w:type="pct"/>
            <w:gridSpan w:val="4"/>
            <w:vAlign w:val="center"/>
          </w:tcPr>
          <w:p w14:paraId="38AFF5EA">
            <w:pPr>
              <w:spacing w:line="240" w:lineRule="auto"/>
              <w:ind w:firstLine="0" w:firstLineChars="0"/>
              <w:jc w:val="center"/>
              <w:textAlignment w:val="baseline"/>
              <w:rPr>
                <w:color w:val="auto"/>
                <w:kern w:val="0"/>
                <w:sz w:val="21"/>
                <w:szCs w:val="21"/>
              </w:rPr>
            </w:pPr>
            <w:r>
              <w:rPr>
                <w:color w:val="auto"/>
                <w:kern w:val="0"/>
                <w:sz w:val="21"/>
                <w:szCs w:val="21"/>
              </w:rPr>
              <w:t>-</w:t>
            </w:r>
          </w:p>
        </w:tc>
        <w:tc>
          <w:tcPr>
            <w:tcW w:w="278" w:type="pct"/>
            <w:vAlign w:val="center"/>
          </w:tcPr>
          <w:p w14:paraId="5179D478">
            <w:pPr>
              <w:spacing w:line="240" w:lineRule="auto"/>
              <w:ind w:firstLine="0" w:firstLineChars="0"/>
              <w:jc w:val="center"/>
              <w:textAlignment w:val="baseline"/>
              <w:rPr>
                <w:color w:val="auto"/>
                <w:kern w:val="0"/>
                <w:sz w:val="21"/>
                <w:szCs w:val="21"/>
              </w:rPr>
            </w:pPr>
            <w:r>
              <w:rPr>
                <w:color w:val="auto"/>
                <w:kern w:val="0"/>
                <w:sz w:val="21"/>
                <w:szCs w:val="21"/>
              </w:rPr>
              <w:t>-</w:t>
            </w:r>
          </w:p>
        </w:tc>
        <w:tc>
          <w:tcPr>
            <w:tcW w:w="236" w:type="pct"/>
            <w:vMerge w:val="continue"/>
            <w:vAlign w:val="center"/>
          </w:tcPr>
          <w:p w14:paraId="49D8DDDA">
            <w:pPr>
              <w:spacing w:line="240" w:lineRule="auto"/>
              <w:ind w:firstLine="0" w:firstLineChars="0"/>
              <w:jc w:val="center"/>
              <w:textAlignment w:val="baseline"/>
              <w:rPr>
                <w:color w:val="auto"/>
                <w:kern w:val="0"/>
                <w:sz w:val="21"/>
                <w:szCs w:val="21"/>
              </w:rPr>
            </w:pPr>
          </w:p>
        </w:tc>
      </w:tr>
      <w:tr w14:paraId="1EF2F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5" w:type="pct"/>
            <w:gridSpan w:val="2"/>
            <w:vAlign w:val="center"/>
          </w:tcPr>
          <w:p w14:paraId="38A99F93">
            <w:pPr>
              <w:spacing w:line="240" w:lineRule="auto"/>
              <w:ind w:firstLine="0" w:firstLineChars="0"/>
              <w:jc w:val="center"/>
              <w:textAlignment w:val="baseline"/>
              <w:rPr>
                <w:color w:val="auto"/>
                <w:kern w:val="0"/>
                <w:sz w:val="21"/>
                <w:szCs w:val="21"/>
              </w:rPr>
            </w:pPr>
            <w:r>
              <w:rPr>
                <w:color w:val="auto"/>
                <w:kern w:val="0"/>
                <w:sz w:val="21"/>
                <w:szCs w:val="21"/>
              </w:rPr>
              <w:t>卫生防护距离</w:t>
            </w:r>
          </w:p>
        </w:tc>
        <w:tc>
          <w:tcPr>
            <w:tcW w:w="2706" w:type="pct"/>
            <w:gridSpan w:val="3"/>
            <w:vAlign w:val="center"/>
          </w:tcPr>
          <w:p w14:paraId="5E5BAEBB">
            <w:pPr>
              <w:spacing w:line="240" w:lineRule="auto"/>
              <w:ind w:firstLine="0" w:firstLineChars="0"/>
              <w:jc w:val="center"/>
              <w:textAlignment w:val="baseline"/>
              <w:rPr>
                <w:color w:val="auto"/>
                <w:kern w:val="0"/>
                <w:sz w:val="21"/>
                <w:szCs w:val="21"/>
              </w:rPr>
            </w:pPr>
            <w:r>
              <w:rPr>
                <w:color w:val="auto"/>
                <w:kern w:val="0"/>
                <w:sz w:val="21"/>
                <w:szCs w:val="21"/>
              </w:rPr>
              <w:t>本项目不设大气环境防护距离；目前卫生防护距离内无环境敏感目标，今后也不得新建学校、居民区等敏感目标。</w:t>
            </w:r>
          </w:p>
        </w:tc>
        <w:tc>
          <w:tcPr>
            <w:tcW w:w="1174" w:type="pct"/>
            <w:vAlign w:val="center"/>
          </w:tcPr>
          <w:p w14:paraId="7E4B1E16">
            <w:pPr>
              <w:spacing w:line="240" w:lineRule="auto"/>
              <w:ind w:firstLine="0" w:firstLineChars="0"/>
              <w:jc w:val="center"/>
              <w:textAlignment w:val="baseline"/>
              <w:rPr>
                <w:color w:val="auto"/>
                <w:kern w:val="0"/>
                <w:sz w:val="21"/>
                <w:szCs w:val="21"/>
              </w:rPr>
            </w:pPr>
            <w:r>
              <w:rPr>
                <w:color w:val="auto"/>
                <w:kern w:val="0"/>
                <w:sz w:val="21"/>
                <w:szCs w:val="21"/>
              </w:rPr>
              <w:t>项目以厂界向外设置100卫生防护距离</w:t>
            </w:r>
          </w:p>
        </w:tc>
        <w:tc>
          <w:tcPr>
            <w:tcW w:w="278" w:type="pct"/>
            <w:vAlign w:val="center"/>
          </w:tcPr>
          <w:p w14:paraId="22CE3040">
            <w:pPr>
              <w:spacing w:line="240" w:lineRule="auto"/>
              <w:ind w:firstLine="0" w:firstLineChars="0"/>
              <w:jc w:val="center"/>
              <w:textAlignment w:val="baseline"/>
              <w:rPr>
                <w:color w:val="auto"/>
                <w:kern w:val="0"/>
                <w:sz w:val="21"/>
                <w:szCs w:val="21"/>
              </w:rPr>
            </w:pPr>
            <w:r>
              <w:rPr>
                <w:color w:val="auto"/>
                <w:kern w:val="0"/>
                <w:sz w:val="21"/>
                <w:szCs w:val="21"/>
              </w:rPr>
              <w:t>/</w:t>
            </w:r>
          </w:p>
        </w:tc>
        <w:tc>
          <w:tcPr>
            <w:tcW w:w="236" w:type="pct"/>
            <w:vMerge w:val="continue"/>
            <w:vAlign w:val="center"/>
          </w:tcPr>
          <w:p w14:paraId="5B1DBD46">
            <w:pPr>
              <w:spacing w:line="240" w:lineRule="auto"/>
              <w:ind w:firstLine="0" w:firstLineChars="0"/>
              <w:jc w:val="center"/>
              <w:textAlignment w:val="baseline"/>
              <w:rPr>
                <w:color w:val="auto"/>
                <w:kern w:val="0"/>
                <w:sz w:val="21"/>
                <w:szCs w:val="21"/>
              </w:rPr>
            </w:pPr>
          </w:p>
        </w:tc>
      </w:tr>
      <w:tr w14:paraId="4F090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85" w:type="pct"/>
            <w:gridSpan w:val="6"/>
            <w:vAlign w:val="center"/>
          </w:tcPr>
          <w:p w14:paraId="6B278B31">
            <w:pPr>
              <w:spacing w:line="240" w:lineRule="auto"/>
              <w:ind w:firstLine="0" w:firstLineChars="0"/>
              <w:jc w:val="center"/>
              <w:textAlignment w:val="baseline"/>
              <w:rPr>
                <w:color w:val="auto"/>
                <w:kern w:val="0"/>
                <w:sz w:val="21"/>
                <w:szCs w:val="21"/>
              </w:rPr>
            </w:pPr>
            <w:r>
              <w:rPr>
                <w:color w:val="auto"/>
                <w:kern w:val="0"/>
                <w:sz w:val="21"/>
                <w:szCs w:val="21"/>
              </w:rPr>
              <w:t>合计</w:t>
            </w:r>
          </w:p>
        </w:tc>
        <w:tc>
          <w:tcPr>
            <w:tcW w:w="278" w:type="pct"/>
            <w:vAlign w:val="center"/>
          </w:tcPr>
          <w:p w14:paraId="6713D820">
            <w:pPr>
              <w:spacing w:line="240" w:lineRule="auto"/>
              <w:ind w:firstLine="0" w:firstLineChars="0"/>
              <w:jc w:val="center"/>
              <w:textAlignment w:val="baseline"/>
              <w:rPr>
                <w:color w:val="auto"/>
                <w:kern w:val="0"/>
                <w:sz w:val="21"/>
                <w:szCs w:val="21"/>
              </w:rPr>
            </w:pPr>
            <w:r>
              <w:rPr>
                <w:rFonts w:hint="eastAsia"/>
                <w:color w:val="auto"/>
                <w:kern w:val="0"/>
                <w:sz w:val="21"/>
                <w:szCs w:val="21"/>
              </w:rPr>
              <w:t>1950</w:t>
            </w:r>
          </w:p>
        </w:tc>
        <w:tc>
          <w:tcPr>
            <w:tcW w:w="236" w:type="pct"/>
            <w:vMerge w:val="continue"/>
            <w:vAlign w:val="center"/>
          </w:tcPr>
          <w:p w14:paraId="7F57313E">
            <w:pPr>
              <w:spacing w:line="240" w:lineRule="auto"/>
              <w:ind w:firstLine="0" w:firstLineChars="0"/>
              <w:jc w:val="center"/>
              <w:textAlignment w:val="baseline"/>
              <w:rPr>
                <w:color w:val="auto"/>
                <w:kern w:val="0"/>
                <w:sz w:val="21"/>
                <w:szCs w:val="21"/>
              </w:rPr>
            </w:pPr>
          </w:p>
        </w:tc>
      </w:tr>
      <w:bookmarkEnd w:id="219"/>
    </w:tbl>
    <w:p w14:paraId="3CF9C2D4">
      <w:pPr>
        <w:ind w:firstLine="480"/>
        <w:rPr>
          <w:color w:val="auto"/>
        </w:rPr>
        <w:sectPr>
          <w:pgSz w:w="16840" w:h="11907" w:orient="landscape"/>
          <w:pgMar w:top="1361" w:right="1361" w:bottom="1361" w:left="1361" w:header="851" w:footer="992" w:gutter="0"/>
          <w:cols w:space="720" w:num="1"/>
          <w:docGrid w:linePitch="326" w:charSpace="0"/>
        </w:sectPr>
      </w:pPr>
    </w:p>
    <w:p w14:paraId="25B33C33">
      <w:pPr>
        <w:pStyle w:val="3"/>
        <w:spacing w:before="120" w:beforeLines="50"/>
        <w:ind w:firstLine="0" w:firstLineChars="0"/>
        <w:rPr>
          <w:color w:val="auto"/>
          <w:sz w:val="32"/>
          <w:szCs w:val="48"/>
        </w:rPr>
      </w:pPr>
      <w:bookmarkStart w:id="220" w:name="_Toc31960"/>
      <w:r>
        <w:rPr>
          <w:rFonts w:hint="eastAsia"/>
          <w:color w:val="auto"/>
          <w:sz w:val="32"/>
          <w:szCs w:val="48"/>
        </w:rPr>
        <w:t>8</w:t>
      </w:r>
      <w:r>
        <w:rPr>
          <w:color w:val="auto"/>
          <w:sz w:val="32"/>
          <w:szCs w:val="48"/>
        </w:rPr>
        <w:t xml:space="preserve"> 环境影响经济损益分析</w:t>
      </w:r>
      <w:bookmarkEnd w:id="220"/>
    </w:p>
    <w:p w14:paraId="68192B0B">
      <w:pPr>
        <w:ind w:firstLine="480"/>
        <w:rPr>
          <w:color w:val="auto"/>
        </w:rPr>
      </w:pPr>
      <w:r>
        <w:rPr>
          <w:color w:val="auto"/>
        </w:rPr>
        <w:t>本项目建设将促进当地的社会经济发展，但项目建设也必然会对项目地和周围环境产生一定的不利影响。在项目建设中采取必要的环境保护措施，可以减缓项目建设对环境所造成的不利影响和经济损失。</w:t>
      </w:r>
    </w:p>
    <w:p w14:paraId="28953FE1">
      <w:pPr>
        <w:pStyle w:val="4"/>
        <w:spacing w:beforeLines="50" w:after="0"/>
        <w:ind w:firstLine="0" w:firstLineChars="0"/>
        <w:rPr>
          <w:color w:val="auto"/>
          <w:sz w:val="30"/>
          <w:szCs w:val="30"/>
        </w:rPr>
      </w:pPr>
      <w:bookmarkStart w:id="221" w:name="_Toc475202285"/>
      <w:bookmarkStart w:id="222" w:name="_Toc476636672"/>
      <w:bookmarkStart w:id="223" w:name="_Toc26513"/>
      <w:r>
        <w:rPr>
          <w:rFonts w:hint="eastAsia"/>
          <w:color w:val="auto"/>
          <w:sz w:val="30"/>
          <w:szCs w:val="30"/>
        </w:rPr>
        <w:t>8</w:t>
      </w:r>
      <w:r>
        <w:rPr>
          <w:color w:val="auto"/>
          <w:sz w:val="30"/>
          <w:szCs w:val="30"/>
        </w:rPr>
        <w:t>.1 环境影响经济损益分析</w:t>
      </w:r>
      <w:bookmarkEnd w:id="221"/>
      <w:bookmarkEnd w:id="222"/>
      <w:bookmarkEnd w:id="223"/>
    </w:p>
    <w:p w14:paraId="00C07063">
      <w:pPr>
        <w:ind w:firstLine="480"/>
        <w:rPr>
          <w:color w:val="auto"/>
        </w:rPr>
      </w:pPr>
      <w:bookmarkStart w:id="224" w:name="_Toc471285177"/>
      <w:bookmarkStart w:id="225" w:name="_Toc468460184"/>
      <w:bookmarkStart w:id="226" w:name="_Toc471247907"/>
      <w:bookmarkStart w:id="227" w:name="_Toc471255071"/>
      <w:bookmarkStart w:id="228" w:name="_Toc476636674"/>
      <w:bookmarkStart w:id="229" w:name="_Toc475202287"/>
      <w:bookmarkStart w:id="230" w:name="_Toc471255147"/>
      <w:r>
        <w:rPr>
          <w:color w:val="auto"/>
        </w:rPr>
        <w:t>本项目总投资为</w:t>
      </w:r>
      <w:r>
        <w:rPr>
          <w:rFonts w:hint="eastAsia"/>
          <w:color w:val="auto"/>
        </w:rPr>
        <w:t>104000</w:t>
      </w:r>
      <w:r>
        <w:rPr>
          <w:color w:val="auto"/>
        </w:rPr>
        <w:t>万元，其中环保投资</w:t>
      </w:r>
      <w:r>
        <w:rPr>
          <w:rFonts w:hint="eastAsia"/>
          <w:color w:val="auto"/>
        </w:rPr>
        <w:t>1950</w:t>
      </w:r>
      <w:r>
        <w:rPr>
          <w:color w:val="auto"/>
        </w:rPr>
        <w:t>万元，占总投资的</w:t>
      </w:r>
      <w:r>
        <w:rPr>
          <w:rFonts w:hint="eastAsia"/>
          <w:color w:val="auto"/>
        </w:rPr>
        <w:t>1.88</w:t>
      </w:r>
      <w:r>
        <w:rPr>
          <w:color w:val="auto"/>
        </w:rPr>
        <w:t>%，在企业可承受范围内，拟建项目年利润总额约</w:t>
      </w:r>
      <w:r>
        <w:rPr>
          <w:rFonts w:hint="eastAsia"/>
          <w:color w:val="auto"/>
        </w:rPr>
        <w:t>62960.3</w:t>
      </w:r>
      <w:r>
        <w:rPr>
          <w:color w:val="auto"/>
        </w:rPr>
        <w:t>万元。拟建项目主要经济指标见表</w:t>
      </w:r>
      <w:r>
        <w:rPr>
          <w:rFonts w:hint="eastAsia"/>
          <w:color w:val="auto"/>
        </w:rPr>
        <w:t>8</w:t>
      </w:r>
      <w:r>
        <w:rPr>
          <w:color w:val="auto"/>
        </w:rPr>
        <w:t>-1。</w:t>
      </w:r>
    </w:p>
    <w:p w14:paraId="71A42AAD">
      <w:pPr>
        <w:spacing w:line="240" w:lineRule="auto"/>
        <w:ind w:firstLine="482"/>
        <w:jc w:val="center"/>
        <w:rPr>
          <w:b/>
          <w:bCs/>
          <w:color w:val="auto"/>
        </w:rPr>
      </w:pPr>
      <w:r>
        <w:rPr>
          <w:b/>
          <w:bCs/>
          <w:color w:val="auto"/>
        </w:rPr>
        <w:t>表</w:t>
      </w:r>
      <w:r>
        <w:rPr>
          <w:rFonts w:hint="eastAsia"/>
          <w:b/>
          <w:bCs/>
          <w:color w:val="auto"/>
        </w:rPr>
        <w:t>8</w:t>
      </w:r>
      <w:r>
        <w:rPr>
          <w:b/>
          <w:bCs/>
          <w:color w:val="auto"/>
        </w:rPr>
        <w:t>-1  拟建项目主要经济指标</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2"/>
        <w:gridCol w:w="2417"/>
        <w:gridCol w:w="997"/>
        <w:gridCol w:w="1231"/>
        <w:gridCol w:w="4075"/>
      </w:tblGrid>
      <w:tr w14:paraId="671A74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42062F34">
            <w:pPr>
              <w:spacing w:line="240" w:lineRule="auto"/>
              <w:ind w:firstLine="0" w:firstLineChars="0"/>
              <w:jc w:val="center"/>
              <w:rPr>
                <w:b/>
                <w:bCs/>
                <w:color w:val="auto"/>
                <w:sz w:val="21"/>
                <w:szCs w:val="21"/>
              </w:rPr>
            </w:pPr>
            <w:r>
              <w:rPr>
                <w:b/>
                <w:bCs/>
                <w:color w:val="auto"/>
                <w:sz w:val="21"/>
                <w:szCs w:val="21"/>
              </w:rPr>
              <w:t>序号</w:t>
            </w:r>
          </w:p>
        </w:tc>
        <w:tc>
          <w:tcPr>
            <w:tcW w:w="1284" w:type="pct"/>
            <w:vAlign w:val="center"/>
          </w:tcPr>
          <w:p w14:paraId="024DA2C1">
            <w:pPr>
              <w:spacing w:line="240" w:lineRule="auto"/>
              <w:ind w:firstLine="0" w:firstLineChars="0"/>
              <w:jc w:val="center"/>
              <w:rPr>
                <w:b/>
                <w:bCs/>
                <w:color w:val="auto"/>
                <w:sz w:val="21"/>
                <w:szCs w:val="21"/>
              </w:rPr>
            </w:pPr>
            <w:r>
              <w:rPr>
                <w:b/>
                <w:bCs/>
                <w:color w:val="auto"/>
                <w:sz w:val="21"/>
                <w:szCs w:val="21"/>
              </w:rPr>
              <w:t>指标名称</w:t>
            </w:r>
          </w:p>
        </w:tc>
        <w:tc>
          <w:tcPr>
            <w:tcW w:w="530" w:type="pct"/>
            <w:vAlign w:val="center"/>
          </w:tcPr>
          <w:p w14:paraId="776976D0">
            <w:pPr>
              <w:spacing w:line="240" w:lineRule="auto"/>
              <w:ind w:firstLine="0" w:firstLineChars="0"/>
              <w:jc w:val="center"/>
              <w:rPr>
                <w:b/>
                <w:bCs/>
                <w:color w:val="auto"/>
                <w:sz w:val="21"/>
                <w:szCs w:val="21"/>
              </w:rPr>
            </w:pPr>
            <w:r>
              <w:rPr>
                <w:b/>
                <w:bCs/>
                <w:color w:val="auto"/>
                <w:sz w:val="21"/>
                <w:szCs w:val="21"/>
              </w:rPr>
              <w:t>单位</w:t>
            </w:r>
          </w:p>
        </w:tc>
        <w:tc>
          <w:tcPr>
            <w:tcW w:w="655" w:type="pct"/>
            <w:vAlign w:val="center"/>
          </w:tcPr>
          <w:p w14:paraId="24000C51">
            <w:pPr>
              <w:spacing w:line="240" w:lineRule="auto"/>
              <w:ind w:firstLine="0" w:firstLineChars="0"/>
              <w:jc w:val="center"/>
              <w:rPr>
                <w:b/>
                <w:bCs/>
                <w:color w:val="auto"/>
                <w:sz w:val="21"/>
                <w:szCs w:val="21"/>
              </w:rPr>
            </w:pPr>
            <w:r>
              <w:rPr>
                <w:b/>
                <w:bCs/>
                <w:color w:val="auto"/>
                <w:sz w:val="21"/>
                <w:szCs w:val="21"/>
              </w:rPr>
              <w:t>数量</w:t>
            </w:r>
          </w:p>
        </w:tc>
        <w:tc>
          <w:tcPr>
            <w:tcW w:w="2166" w:type="pct"/>
            <w:vAlign w:val="center"/>
          </w:tcPr>
          <w:p w14:paraId="30E5487B">
            <w:pPr>
              <w:spacing w:line="240" w:lineRule="auto"/>
              <w:ind w:firstLine="0" w:firstLineChars="0"/>
              <w:jc w:val="center"/>
              <w:rPr>
                <w:b/>
                <w:bCs/>
                <w:color w:val="auto"/>
                <w:sz w:val="21"/>
                <w:szCs w:val="21"/>
              </w:rPr>
            </w:pPr>
            <w:r>
              <w:rPr>
                <w:b/>
                <w:bCs/>
                <w:color w:val="auto"/>
                <w:sz w:val="21"/>
                <w:szCs w:val="21"/>
              </w:rPr>
              <w:t>备注</w:t>
            </w:r>
          </w:p>
        </w:tc>
      </w:tr>
      <w:tr w14:paraId="7B952D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7CEE2FC1">
            <w:pPr>
              <w:spacing w:line="240" w:lineRule="auto"/>
              <w:ind w:firstLine="0" w:firstLineChars="0"/>
              <w:jc w:val="center"/>
              <w:rPr>
                <w:color w:val="auto"/>
                <w:sz w:val="21"/>
                <w:szCs w:val="21"/>
              </w:rPr>
            </w:pPr>
            <w:r>
              <w:rPr>
                <w:color w:val="auto"/>
                <w:sz w:val="21"/>
                <w:szCs w:val="21"/>
              </w:rPr>
              <w:t>1</w:t>
            </w:r>
          </w:p>
        </w:tc>
        <w:tc>
          <w:tcPr>
            <w:tcW w:w="1284" w:type="pct"/>
            <w:vAlign w:val="center"/>
          </w:tcPr>
          <w:p w14:paraId="58AAEC82">
            <w:pPr>
              <w:spacing w:line="240" w:lineRule="auto"/>
              <w:ind w:firstLine="0" w:firstLineChars="0"/>
              <w:jc w:val="center"/>
              <w:rPr>
                <w:color w:val="auto"/>
                <w:sz w:val="21"/>
                <w:szCs w:val="21"/>
              </w:rPr>
            </w:pPr>
            <w:r>
              <w:rPr>
                <w:color w:val="auto"/>
                <w:sz w:val="21"/>
                <w:szCs w:val="21"/>
              </w:rPr>
              <w:t>新增项目总投资</w:t>
            </w:r>
          </w:p>
        </w:tc>
        <w:tc>
          <w:tcPr>
            <w:tcW w:w="530" w:type="pct"/>
            <w:vAlign w:val="center"/>
          </w:tcPr>
          <w:p w14:paraId="3040188F">
            <w:pPr>
              <w:spacing w:line="240" w:lineRule="auto"/>
              <w:ind w:firstLine="0" w:firstLineChars="0"/>
              <w:jc w:val="center"/>
              <w:rPr>
                <w:color w:val="auto"/>
                <w:sz w:val="21"/>
                <w:szCs w:val="21"/>
              </w:rPr>
            </w:pPr>
            <w:r>
              <w:rPr>
                <w:color w:val="auto"/>
                <w:sz w:val="21"/>
                <w:szCs w:val="21"/>
              </w:rPr>
              <w:t>万元</w:t>
            </w:r>
          </w:p>
        </w:tc>
        <w:tc>
          <w:tcPr>
            <w:tcW w:w="655" w:type="pct"/>
            <w:vAlign w:val="center"/>
          </w:tcPr>
          <w:p w14:paraId="25FAFDEB">
            <w:pPr>
              <w:spacing w:line="240" w:lineRule="auto"/>
              <w:ind w:firstLine="0" w:firstLineChars="0"/>
              <w:jc w:val="center"/>
              <w:rPr>
                <w:color w:val="auto"/>
                <w:sz w:val="21"/>
                <w:szCs w:val="21"/>
              </w:rPr>
            </w:pPr>
            <w:r>
              <w:rPr>
                <w:color w:val="auto"/>
                <w:sz w:val="21"/>
                <w:szCs w:val="21"/>
              </w:rPr>
              <w:t>1</w:t>
            </w:r>
            <w:r>
              <w:rPr>
                <w:rFonts w:hint="eastAsia"/>
                <w:color w:val="auto"/>
                <w:sz w:val="21"/>
                <w:szCs w:val="21"/>
              </w:rPr>
              <w:t>04000</w:t>
            </w:r>
          </w:p>
        </w:tc>
        <w:tc>
          <w:tcPr>
            <w:tcW w:w="2166" w:type="pct"/>
            <w:vAlign w:val="center"/>
          </w:tcPr>
          <w:p w14:paraId="28EBDD4A">
            <w:pPr>
              <w:spacing w:line="240" w:lineRule="auto"/>
              <w:ind w:firstLine="0" w:firstLineChars="0"/>
              <w:jc w:val="center"/>
              <w:rPr>
                <w:color w:val="auto"/>
                <w:sz w:val="21"/>
                <w:szCs w:val="21"/>
              </w:rPr>
            </w:pPr>
            <w:r>
              <w:rPr>
                <w:color w:val="auto"/>
                <w:sz w:val="21"/>
                <w:szCs w:val="21"/>
              </w:rPr>
              <w:t>包括设备的设计、安装和调试等</w:t>
            </w:r>
          </w:p>
        </w:tc>
      </w:tr>
      <w:tr w14:paraId="218358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24F4357A">
            <w:pPr>
              <w:spacing w:line="240" w:lineRule="auto"/>
              <w:ind w:firstLine="0" w:firstLineChars="0"/>
              <w:jc w:val="center"/>
              <w:rPr>
                <w:color w:val="auto"/>
                <w:sz w:val="21"/>
                <w:szCs w:val="21"/>
              </w:rPr>
            </w:pPr>
            <w:r>
              <w:rPr>
                <w:color w:val="auto"/>
                <w:sz w:val="21"/>
                <w:szCs w:val="21"/>
              </w:rPr>
              <w:t>2</w:t>
            </w:r>
          </w:p>
        </w:tc>
        <w:tc>
          <w:tcPr>
            <w:tcW w:w="1284" w:type="pct"/>
            <w:vAlign w:val="center"/>
          </w:tcPr>
          <w:p w14:paraId="47B46076">
            <w:pPr>
              <w:spacing w:line="240" w:lineRule="auto"/>
              <w:ind w:firstLine="0" w:firstLineChars="0"/>
              <w:jc w:val="center"/>
              <w:rPr>
                <w:color w:val="auto"/>
                <w:sz w:val="21"/>
                <w:szCs w:val="21"/>
              </w:rPr>
            </w:pPr>
            <w:r>
              <w:rPr>
                <w:color w:val="auto"/>
                <w:sz w:val="21"/>
                <w:szCs w:val="21"/>
              </w:rPr>
              <w:t>环保总投资</w:t>
            </w:r>
          </w:p>
        </w:tc>
        <w:tc>
          <w:tcPr>
            <w:tcW w:w="530" w:type="pct"/>
            <w:vAlign w:val="center"/>
          </w:tcPr>
          <w:p w14:paraId="6DE57238">
            <w:pPr>
              <w:spacing w:line="240" w:lineRule="auto"/>
              <w:ind w:firstLine="0" w:firstLineChars="0"/>
              <w:jc w:val="center"/>
              <w:rPr>
                <w:color w:val="auto"/>
                <w:sz w:val="21"/>
                <w:szCs w:val="21"/>
              </w:rPr>
            </w:pPr>
            <w:r>
              <w:rPr>
                <w:color w:val="auto"/>
                <w:sz w:val="21"/>
                <w:szCs w:val="21"/>
              </w:rPr>
              <w:t>万元</w:t>
            </w:r>
          </w:p>
        </w:tc>
        <w:tc>
          <w:tcPr>
            <w:tcW w:w="655" w:type="pct"/>
            <w:vAlign w:val="center"/>
          </w:tcPr>
          <w:p w14:paraId="165BC901">
            <w:pPr>
              <w:spacing w:line="240" w:lineRule="auto"/>
              <w:ind w:firstLine="0" w:firstLineChars="0"/>
              <w:jc w:val="center"/>
              <w:rPr>
                <w:color w:val="auto"/>
                <w:sz w:val="21"/>
                <w:szCs w:val="21"/>
              </w:rPr>
            </w:pPr>
            <w:r>
              <w:rPr>
                <w:rFonts w:hint="eastAsia"/>
                <w:color w:val="auto"/>
                <w:sz w:val="21"/>
                <w:szCs w:val="21"/>
              </w:rPr>
              <w:t>1950</w:t>
            </w:r>
          </w:p>
        </w:tc>
        <w:tc>
          <w:tcPr>
            <w:tcW w:w="2166" w:type="pct"/>
            <w:vAlign w:val="center"/>
          </w:tcPr>
          <w:p w14:paraId="5A3AEC2D">
            <w:pPr>
              <w:spacing w:line="240" w:lineRule="auto"/>
              <w:ind w:firstLine="0" w:firstLineChars="0"/>
              <w:jc w:val="center"/>
              <w:rPr>
                <w:color w:val="auto"/>
                <w:sz w:val="21"/>
                <w:szCs w:val="21"/>
              </w:rPr>
            </w:pPr>
            <w:r>
              <w:rPr>
                <w:color w:val="auto"/>
                <w:sz w:val="21"/>
                <w:szCs w:val="21"/>
              </w:rPr>
              <w:t>新增废气治理、废水治理、固废暂存场所、风险防范措施和噪声治理等费用</w:t>
            </w:r>
          </w:p>
        </w:tc>
      </w:tr>
      <w:tr w14:paraId="76EF0A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46F0DF38">
            <w:pPr>
              <w:spacing w:line="240" w:lineRule="auto"/>
              <w:ind w:firstLine="0" w:firstLineChars="0"/>
              <w:jc w:val="center"/>
              <w:rPr>
                <w:color w:val="auto"/>
                <w:sz w:val="21"/>
                <w:szCs w:val="21"/>
              </w:rPr>
            </w:pPr>
            <w:r>
              <w:rPr>
                <w:color w:val="auto"/>
                <w:sz w:val="21"/>
                <w:szCs w:val="21"/>
              </w:rPr>
              <w:t>3</w:t>
            </w:r>
          </w:p>
        </w:tc>
        <w:tc>
          <w:tcPr>
            <w:tcW w:w="1284" w:type="pct"/>
            <w:vAlign w:val="center"/>
          </w:tcPr>
          <w:p w14:paraId="21B051E5">
            <w:pPr>
              <w:spacing w:line="240" w:lineRule="auto"/>
              <w:ind w:firstLine="0" w:firstLineChars="0"/>
              <w:jc w:val="center"/>
              <w:rPr>
                <w:color w:val="auto"/>
                <w:sz w:val="21"/>
                <w:szCs w:val="21"/>
              </w:rPr>
            </w:pPr>
            <w:r>
              <w:rPr>
                <w:color w:val="auto"/>
                <w:sz w:val="21"/>
                <w:szCs w:val="21"/>
              </w:rPr>
              <w:t>年销售收入</w:t>
            </w:r>
          </w:p>
        </w:tc>
        <w:tc>
          <w:tcPr>
            <w:tcW w:w="530" w:type="pct"/>
            <w:vAlign w:val="center"/>
          </w:tcPr>
          <w:p w14:paraId="04427CE9">
            <w:pPr>
              <w:spacing w:line="240" w:lineRule="auto"/>
              <w:ind w:firstLine="0" w:firstLineChars="0"/>
              <w:jc w:val="center"/>
              <w:rPr>
                <w:color w:val="auto"/>
                <w:sz w:val="21"/>
                <w:szCs w:val="21"/>
              </w:rPr>
            </w:pPr>
            <w:r>
              <w:rPr>
                <w:color w:val="auto"/>
                <w:sz w:val="21"/>
                <w:szCs w:val="21"/>
              </w:rPr>
              <w:t>万元</w:t>
            </w:r>
          </w:p>
        </w:tc>
        <w:tc>
          <w:tcPr>
            <w:tcW w:w="655" w:type="pct"/>
            <w:vAlign w:val="center"/>
          </w:tcPr>
          <w:p w14:paraId="05BEAB66">
            <w:pPr>
              <w:spacing w:line="240" w:lineRule="auto"/>
              <w:ind w:firstLine="0" w:firstLineChars="0"/>
              <w:jc w:val="center"/>
              <w:rPr>
                <w:color w:val="auto"/>
                <w:sz w:val="21"/>
                <w:szCs w:val="21"/>
              </w:rPr>
            </w:pPr>
            <w:r>
              <w:rPr>
                <w:rFonts w:hint="eastAsia"/>
                <w:color w:val="auto"/>
                <w:sz w:val="21"/>
                <w:szCs w:val="21"/>
              </w:rPr>
              <w:t>399115</w:t>
            </w:r>
          </w:p>
        </w:tc>
        <w:tc>
          <w:tcPr>
            <w:tcW w:w="2166" w:type="pct"/>
            <w:vAlign w:val="center"/>
          </w:tcPr>
          <w:p w14:paraId="7EC216BB">
            <w:pPr>
              <w:spacing w:line="240" w:lineRule="auto"/>
              <w:ind w:firstLine="0" w:firstLineChars="0"/>
              <w:jc w:val="center"/>
              <w:rPr>
                <w:color w:val="auto"/>
                <w:sz w:val="21"/>
                <w:szCs w:val="21"/>
              </w:rPr>
            </w:pPr>
            <w:r>
              <w:rPr>
                <w:color w:val="auto"/>
                <w:sz w:val="21"/>
                <w:szCs w:val="21"/>
              </w:rPr>
              <w:t>/</w:t>
            </w:r>
          </w:p>
        </w:tc>
      </w:tr>
      <w:tr w14:paraId="05DD8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4B6D19CD">
            <w:pPr>
              <w:spacing w:line="240" w:lineRule="auto"/>
              <w:ind w:firstLine="0" w:firstLineChars="0"/>
              <w:jc w:val="center"/>
              <w:rPr>
                <w:color w:val="auto"/>
                <w:sz w:val="21"/>
                <w:szCs w:val="21"/>
              </w:rPr>
            </w:pPr>
            <w:r>
              <w:rPr>
                <w:color w:val="auto"/>
                <w:sz w:val="21"/>
                <w:szCs w:val="21"/>
              </w:rPr>
              <w:t>4</w:t>
            </w:r>
          </w:p>
        </w:tc>
        <w:tc>
          <w:tcPr>
            <w:tcW w:w="1284" w:type="pct"/>
            <w:vAlign w:val="center"/>
          </w:tcPr>
          <w:p w14:paraId="3383B819">
            <w:pPr>
              <w:spacing w:line="240" w:lineRule="auto"/>
              <w:ind w:firstLine="0" w:firstLineChars="0"/>
              <w:jc w:val="center"/>
              <w:rPr>
                <w:color w:val="auto"/>
                <w:sz w:val="21"/>
                <w:szCs w:val="21"/>
              </w:rPr>
            </w:pPr>
            <w:r>
              <w:rPr>
                <w:color w:val="auto"/>
                <w:sz w:val="21"/>
                <w:szCs w:val="21"/>
              </w:rPr>
              <w:t>年销售税金及附加</w:t>
            </w:r>
          </w:p>
        </w:tc>
        <w:tc>
          <w:tcPr>
            <w:tcW w:w="530" w:type="pct"/>
            <w:vAlign w:val="center"/>
          </w:tcPr>
          <w:p w14:paraId="5F3A5CC4">
            <w:pPr>
              <w:spacing w:line="240" w:lineRule="auto"/>
              <w:ind w:firstLine="0" w:firstLineChars="0"/>
              <w:jc w:val="center"/>
              <w:rPr>
                <w:color w:val="auto"/>
                <w:sz w:val="21"/>
                <w:szCs w:val="21"/>
              </w:rPr>
            </w:pPr>
            <w:r>
              <w:rPr>
                <w:color w:val="auto"/>
                <w:sz w:val="21"/>
                <w:szCs w:val="21"/>
              </w:rPr>
              <w:t>万元</w:t>
            </w:r>
          </w:p>
        </w:tc>
        <w:tc>
          <w:tcPr>
            <w:tcW w:w="655" w:type="pct"/>
            <w:vAlign w:val="center"/>
          </w:tcPr>
          <w:p w14:paraId="5D05A232">
            <w:pPr>
              <w:spacing w:line="240" w:lineRule="auto"/>
              <w:ind w:firstLine="0" w:firstLineChars="0"/>
              <w:jc w:val="center"/>
              <w:rPr>
                <w:color w:val="auto"/>
                <w:sz w:val="21"/>
                <w:szCs w:val="21"/>
              </w:rPr>
            </w:pPr>
            <w:r>
              <w:rPr>
                <w:rFonts w:hint="eastAsia"/>
                <w:color w:val="auto"/>
                <w:sz w:val="21"/>
                <w:szCs w:val="21"/>
              </w:rPr>
              <w:t>1611.8</w:t>
            </w:r>
          </w:p>
        </w:tc>
        <w:tc>
          <w:tcPr>
            <w:tcW w:w="2166" w:type="pct"/>
            <w:vAlign w:val="center"/>
          </w:tcPr>
          <w:p w14:paraId="3C2C2D95">
            <w:pPr>
              <w:spacing w:line="240" w:lineRule="auto"/>
              <w:ind w:firstLine="0" w:firstLineChars="0"/>
              <w:jc w:val="center"/>
              <w:rPr>
                <w:color w:val="auto"/>
                <w:sz w:val="21"/>
                <w:szCs w:val="21"/>
              </w:rPr>
            </w:pPr>
            <w:r>
              <w:rPr>
                <w:color w:val="auto"/>
                <w:sz w:val="21"/>
                <w:szCs w:val="21"/>
              </w:rPr>
              <w:t>/</w:t>
            </w:r>
          </w:p>
        </w:tc>
      </w:tr>
      <w:tr w14:paraId="49E1BC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1EF7251D">
            <w:pPr>
              <w:spacing w:line="240" w:lineRule="auto"/>
              <w:ind w:firstLine="0" w:firstLineChars="0"/>
              <w:jc w:val="center"/>
              <w:rPr>
                <w:color w:val="auto"/>
                <w:sz w:val="21"/>
                <w:szCs w:val="21"/>
              </w:rPr>
            </w:pPr>
            <w:r>
              <w:rPr>
                <w:color w:val="auto"/>
                <w:sz w:val="21"/>
                <w:szCs w:val="21"/>
              </w:rPr>
              <w:t>5</w:t>
            </w:r>
          </w:p>
        </w:tc>
        <w:tc>
          <w:tcPr>
            <w:tcW w:w="1284" w:type="pct"/>
            <w:vAlign w:val="center"/>
          </w:tcPr>
          <w:p w14:paraId="0A5781A9">
            <w:pPr>
              <w:spacing w:line="240" w:lineRule="auto"/>
              <w:ind w:firstLine="0" w:firstLineChars="0"/>
              <w:jc w:val="center"/>
              <w:rPr>
                <w:color w:val="auto"/>
                <w:sz w:val="21"/>
                <w:szCs w:val="21"/>
              </w:rPr>
            </w:pPr>
            <w:r>
              <w:rPr>
                <w:color w:val="auto"/>
                <w:sz w:val="21"/>
                <w:szCs w:val="21"/>
              </w:rPr>
              <w:t>年利润总额</w:t>
            </w:r>
          </w:p>
        </w:tc>
        <w:tc>
          <w:tcPr>
            <w:tcW w:w="530" w:type="pct"/>
            <w:vAlign w:val="center"/>
          </w:tcPr>
          <w:p w14:paraId="5A15E5BE">
            <w:pPr>
              <w:spacing w:line="240" w:lineRule="auto"/>
              <w:ind w:firstLine="0" w:firstLineChars="0"/>
              <w:jc w:val="center"/>
              <w:rPr>
                <w:color w:val="auto"/>
                <w:sz w:val="21"/>
                <w:szCs w:val="21"/>
              </w:rPr>
            </w:pPr>
            <w:r>
              <w:rPr>
                <w:color w:val="auto"/>
                <w:sz w:val="21"/>
                <w:szCs w:val="21"/>
              </w:rPr>
              <w:t>万元</w:t>
            </w:r>
          </w:p>
        </w:tc>
        <w:tc>
          <w:tcPr>
            <w:tcW w:w="655" w:type="pct"/>
            <w:vAlign w:val="center"/>
          </w:tcPr>
          <w:p w14:paraId="151B9074">
            <w:pPr>
              <w:spacing w:line="240" w:lineRule="auto"/>
              <w:ind w:firstLine="0" w:firstLineChars="0"/>
              <w:jc w:val="center"/>
              <w:rPr>
                <w:color w:val="auto"/>
                <w:sz w:val="21"/>
                <w:szCs w:val="21"/>
              </w:rPr>
            </w:pPr>
            <w:r>
              <w:rPr>
                <w:rFonts w:hint="eastAsia"/>
                <w:color w:val="auto"/>
                <w:sz w:val="21"/>
                <w:szCs w:val="21"/>
              </w:rPr>
              <w:t>62960.3</w:t>
            </w:r>
          </w:p>
        </w:tc>
        <w:tc>
          <w:tcPr>
            <w:tcW w:w="2166" w:type="pct"/>
            <w:vAlign w:val="center"/>
          </w:tcPr>
          <w:p w14:paraId="5D81713B">
            <w:pPr>
              <w:spacing w:line="240" w:lineRule="auto"/>
              <w:ind w:firstLine="0" w:firstLineChars="0"/>
              <w:jc w:val="center"/>
              <w:rPr>
                <w:color w:val="auto"/>
                <w:sz w:val="21"/>
                <w:szCs w:val="21"/>
              </w:rPr>
            </w:pPr>
            <w:r>
              <w:rPr>
                <w:color w:val="auto"/>
                <w:sz w:val="21"/>
                <w:szCs w:val="21"/>
              </w:rPr>
              <w:t>/</w:t>
            </w:r>
          </w:p>
        </w:tc>
      </w:tr>
      <w:tr w14:paraId="06B348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73F718FA">
            <w:pPr>
              <w:spacing w:line="240" w:lineRule="auto"/>
              <w:ind w:firstLine="0" w:firstLineChars="0"/>
              <w:jc w:val="center"/>
              <w:rPr>
                <w:color w:val="auto"/>
                <w:sz w:val="21"/>
                <w:szCs w:val="21"/>
              </w:rPr>
            </w:pPr>
            <w:r>
              <w:rPr>
                <w:color w:val="auto"/>
                <w:sz w:val="21"/>
                <w:szCs w:val="21"/>
              </w:rPr>
              <w:t>6</w:t>
            </w:r>
          </w:p>
        </w:tc>
        <w:tc>
          <w:tcPr>
            <w:tcW w:w="1284" w:type="pct"/>
            <w:vAlign w:val="center"/>
          </w:tcPr>
          <w:p w14:paraId="6986371D">
            <w:pPr>
              <w:spacing w:line="240" w:lineRule="auto"/>
              <w:ind w:firstLine="0" w:firstLineChars="0"/>
              <w:jc w:val="center"/>
              <w:rPr>
                <w:color w:val="auto"/>
                <w:sz w:val="21"/>
                <w:szCs w:val="21"/>
              </w:rPr>
            </w:pPr>
            <w:r>
              <w:rPr>
                <w:color w:val="auto"/>
                <w:sz w:val="21"/>
                <w:szCs w:val="21"/>
              </w:rPr>
              <w:t>财务内部收益率</w:t>
            </w:r>
          </w:p>
        </w:tc>
        <w:tc>
          <w:tcPr>
            <w:tcW w:w="530" w:type="pct"/>
            <w:vAlign w:val="center"/>
          </w:tcPr>
          <w:p w14:paraId="5CFD3CF5">
            <w:pPr>
              <w:spacing w:line="240" w:lineRule="auto"/>
              <w:ind w:firstLine="0" w:firstLineChars="0"/>
              <w:jc w:val="center"/>
              <w:rPr>
                <w:color w:val="auto"/>
                <w:sz w:val="21"/>
                <w:szCs w:val="21"/>
              </w:rPr>
            </w:pPr>
            <w:r>
              <w:rPr>
                <w:color w:val="auto"/>
                <w:sz w:val="21"/>
                <w:szCs w:val="21"/>
              </w:rPr>
              <w:t>%</w:t>
            </w:r>
          </w:p>
        </w:tc>
        <w:tc>
          <w:tcPr>
            <w:tcW w:w="655" w:type="pct"/>
            <w:vAlign w:val="center"/>
          </w:tcPr>
          <w:p w14:paraId="7A1872A5">
            <w:pPr>
              <w:spacing w:line="240" w:lineRule="auto"/>
              <w:ind w:firstLine="0" w:firstLineChars="0"/>
              <w:jc w:val="center"/>
              <w:rPr>
                <w:color w:val="auto"/>
                <w:sz w:val="21"/>
                <w:szCs w:val="21"/>
              </w:rPr>
            </w:pPr>
            <w:r>
              <w:rPr>
                <w:rFonts w:hint="eastAsia"/>
                <w:color w:val="auto"/>
                <w:sz w:val="21"/>
                <w:szCs w:val="21"/>
              </w:rPr>
              <w:t>46.06</w:t>
            </w:r>
            <w:r>
              <w:rPr>
                <w:color w:val="auto"/>
                <w:sz w:val="21"/>
                <w:szCs w:val="21"/>
              </w:rPr>
              <w:t>/</w:t>
            </w:r>
            <w:r>
              <w:rPr>
                <w:rFonts w:hint="eastAsia"/>
                <w:color w:val="auto"/>
                <w:sz w:val="21"/>
                <w:szCs w:val="21"/>
              </w:rPr>
              <w:t>33</w:t>
            </w:r>
          </w:p>
        </w:tc>
        <w:tc>
          <w:tcPr>
            <w:tcW w:w="2166" w:type="pct"/>
            <w:vAlign w:val="center"/>
          </w:tcPr>
          <w:p w14:paraId="16F31682">
            <w:pPr>
              <w:spacing w:line="240" w:lineRule="auto"/>
              <w:ind w:firstLine="0" w:firstLineChars="0"/>
              <w:jc w:val="center"/>
              <w:rPr>
                <w:color w:val="auto"/>
                <w:sz w:val="21"/>
                <w:szCs w:val="21"/>
              </w:rPr>
            </w:pPr>
            <w:r>
              <w:rPr>
                <w:color w:val="auto"/>
                <w:sz w:val="21"/>
                <w:szCs w:val="21"/>
              </w:rPr>
              <w:t>税前/税后</w:t>
            </w:r>
          </w:p>
        </w:tc>
      </w:tr>
      <w:tr w14:paraId="61795F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26F9D6B2">
            <w:pPr>
              <w:spacing w:line="240" w:lineRule="auto"/>
              <w:ind w:firstLine="0" w:firstLineChars="0"/>
              <w:jc w:val="center"/>
              <w:rPr>
                <w:color w:val="auto"/>
                <w:sz w:val="21"/>
                <w:szCs w:val="21"/>
              </w:rPr>
            </w:pPr>
            <w:r>
              <w:rPr>
                <w:color w:val="auto"/>
                <w:sz w:val="21"/>
                <w:szCs w:val="21"/>
              </w:rPr>
              <w:t>7</w:t>
            </w:r>
          </w:p>
        </w:tc>
        <w:tc>
          <w:tcPr>
            <w:tcW w:w="1284" w:type="pct"/>
            <w:vAlign w:val="center"/>
          </w:tcPr>
          <w:p w14:paraId="59AE3D4F">
            <w:pPr>
              <w:spacing w:line="240" w:lineRule="auto"/>
              <w:ind w:firstLine="0" w:firstLineChars="0"/>
              <w:jc w:val="center"/>
              <w:rPr>
                <w:color w:val="auto"/>
                <w:sz w:val="21"/>
                <w:szCs w:val="21"/>
              </w:rPr>
            </w:pPr>
            <w:r>
              <w:rPr>
                <w:color w:val="auto"/>
                <w:sz w:val="21"/>
                <w:szCs w:val="21"/>
              </w:rPr>
              <w:t>财务净现值（Ic=8%）</w:t>
            </w:r>
          </w:p>
        </w:tc>
        <w:tc>
          <w:tcPr>
            <w:tcW w:w="530" w:type="pct"/>
            <w:vAlign w:val="center"/>
          </w:tcPr>
          <w:p w14:paraId="0C72E6F4">
            <w:pPr>
              <w:spacing w:line="240" w:lineRule="auto"/>
              <w:ind w:firstLine="0" w:firstLineChars="0"/>
              <w:jc w:val="center"/>
              <w:rPr>
                <w:color w:val="auto"/>
                <w:sz w:val="21"/>
                <w:szCs w:val="21"/>
              </w:rPr>
            </w:pPr>
            <w:r>
              <w:rPr>
                <w:color w:val="auto"/>
                <w:sz w:val="21"/>
                <w:szCs w:val="21"/>
              </w:rPr>
              <w:t>万元</w:t>
            </w:r>
          </w:p>
        </w:tc>
        <w:tc>
          <w:tcPr>
            <w:tcW w:w="655" w:type="pct"/>
            <w:vAlign w:val="center"/>
          </w:tcPr>
          <w:p w14:paraId="2F12DDA8">
            <w:pPr>
              <w:spacing w:line="240" w:lineRule="auto"/>
              <w:ind w:firstLine="0" w:firstLineChars="0"/>
              <w:jc w:val="center"/>
              <w:rPr>
                <w:color w:val="auto"/>
                <w:sz w:val="21"/>
                <w:szCs w:val="21"/>
              </w:rPr>
            </w:pPr>
            <w:r>
              <w:rPr>
                <w:rFonts w:hint="eastAsia"/>
                <w:color w:val="auto"/>
                <w:sz w:val="21"/>
                <w:szCs w:val="21"/>
              </w:rPr>
              <w:t>199847/136188</w:t>
            </w:r>
          </w:p>
        </w:tc>
        <w:tc>
          <w:tcPr>
            <w:tcW w:w="2166" w:type="pct"/>
            <w:vAlign w:val="center"/>
          </w:tcPr>
          <w:p w14:paraId="01CE46A9">
            <w:pPr>
              <w:spacing w:line="240" w:lineRule="auto"/>
              <w:ind w:firstLine="0" w:firstLineChars="0"/>
              <w:jc w:val="center"/>
              <w:rPr>
                <w:color w:val="auto"/>
                <w:sz w:val="21"/>
                <w:szCs w:val="21"/>
              </w:rPr>
            </w:pPr>
            <w:r>
              <w:rPr>
                <w:color w:val="auto"/>
                <w:sz w:val="21"/>
                <w:szCs w:val="21"/>
              </w:rPr>
              <w:t>税前/税后</w:t>
            </w:r>
          </w:p>
        </w:tc>
      </w:tr>
      <w:tr w14:paraId="335CBC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0855056B">
            <w:pPr>
              <w:spacing w:line="240" w:lineRule="auto"/>
              <w:ind w:firstLine="0" w:firstLineChars="0"/>
              <w:jc w:val="center"/>
              <w:rPr>
                <w:color w:val="auto"/>
                <w:sz w:val="21"/>
                <w:szCs w:val="21"/>
              </w:rPr>
            </w:pPr>
            <w:r>
              <w:rPr>
                <w:color w:val="auto"/>
                <w:sz w:val="21"/>
                <w:szCs w:val="21"/>
              </w:rPr>
              <w:t>8</w:t>
            </w:r>
          </w:p>
        </w:tc>
        <w:tc>
          <w:tcPr>
            <w:tcW w:w="1284" w:type="pct"/>
            <w:vAlign w:val="center"/>
          </w:tcPr>
          <w:p w14:paraId="40BD9105">
            <w:pPr>
              <w:spacing w:line="240" w:lineRule="auto"/>
              <w:ind w:firstLine="0" w:firstLineChars="0"/>
              <w:jc w:val="center"/>
              <w:rPr>
                <w:color w:val="auto"/>
                <w:sz w:val="21"/>
                <w:szCs w:val="21"/>
              </w:rPr>
            </w:pPr>
            <w:r>
              <w:rPr>
                <w:color w:val="auto"/>
                <w:sz w:val="21"/>
                <w:szCs w:val="21"/>
              </w:rPr>
              <w:t>静态投资回收期</w:t>
            </w:r>
          </w:p>
        </w:tc>
        <w:tc>
          <w:tcPr>
            <w:tcW w:w="530" w:type="pct"/>
            <w:vAlign w:val="center"/>
          </w:tcPr>
          <w:p w14:paraId="43713AAB">
            <w:pPr>
              <w:spacing w:line="240" w:lineRule="auto"/>
              <w:ind w:firstLine="0" w:firstLineChars="0"/>
              <w:jc w:val="center"/>
              <w:rPr>
                <w:color w:val="auto"/>
                <w:sz w:val="21"/>
                <w:szCs w:val="21"/>
              </w:rPr>
            </w:pPr>
            <w:r>
              <w:rPr>
                <w:color w:val="auto"/>
                <w:sz w:val="21"/>
                <w:szCs w:val="21"/>
              </w:rPr>
              <w:t>%</w:t>
            </w:r>
          </w:p>
        </w:tc>
        <w:tc>
          <w:tcPr>
            <w:tcW w:w="655" w:type="pct"/>
            <w:vAlign w:val="center"/>
          </w:tcPr>
          <w:p w14:paraId="69E48165">
            <w:pPr>
              <w:spacing w:line="240" w:lineRule="auto"/>
              <w:ind w:firstLine="0" w:firstLineChars="0"/>
              <w:jc w:val="center"/>
              <w:rPr>
                <w:color w:val="auto"/>
                <w:sz w:val="21"/>
                <w:szCs w:val="21"/>
              </w:rPr>
            </w:pPr>
            <w:r>
              <w:rPr>
                <w:color w:val="auto"/>
                <w:sz w:val="21"/>
                <w:szCs w:val="21"/>
              </w:rPr>
              <w:t>30</w:t>
            </w:r>
          </w:p>
        </w:tc>
        <w:tc>
          <w:tcPr>
            <w:tcW w:w="2166" w:type="pct"/>
            <w:vAlign w:val="center"/>
          </w:tcPr>
          <w:p w14:paraId="7E44E045">
            <w:pPr>
              <w:spacing w:line="240" w:lineRule="auto"/>
              <w:ind w:firstLine="0" w:firstLineChars="0"/>
              <w:jc w:val="center"/>
              <w:rPr>
                <w:color w:val="auto"/>
                <w:sz w:val="21"/>
                <w:szCs w:val="21"/>
              </w:rPr>
            </w:pPr>
            <w:r>
              <w:rPr>
                <w:color w:val="auto"/>
                <w:sz w:val="21"/>
                <w:szCs w:val="21"/>
              </w:rPr>
              <w:t>税前/税后</w:t>
            </w:r>
          </w:p>
        </w:tc>
      </w:tr>
      <w:tr w14:paraId="528312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07B5FAD2">
            <w:pPr>
              <w:spacing w:line="240" w:lineRule="auto"/>
              <w:ind w:firstLine="0" w:firstLineChars="0"/>
              <w:jc w:val="center"/>
              <w:rPr>
                <w:color w:val="auto"/>
                <w:sz w:val="21"/>
                <w:szCs w:val="21"/>
              </w:rPr>
            </w:pPr>
            <w:r>
              <w:rPr>
                <w:color w:val="auto"/>
                <w:sz w:val="21"/>
                <w:szCs w:val="21"/>
              </w:rPr>
              <w:t>9</w:t>
            </w:r>
          </w:p>
        </w:tc>
        <w:tc>
          <w:tcPr>
            <w:tcW w:w="1284" w:type="pct"/>
            <w:vAlign w:val="center"/>
          </w:tcPr>
          <w:p w14:paraId="6B63ED81">
            <w:pPr>
              <w:spacing w:line="240" w:lineRule="auto"/>
              <w:ind w:firstLine="0" w:firstLineChars="0"/>
              <w:jc w:val="center"/>
              <w:rPr>
                <w:color w:val="auto"/>
                <w:sz w:val="21"/>
                <w:szCs w:val="21"/>
              </w:rPr>
            </w:pPr>
            <w:r>
              <w:rPr>
                <w:color w:val="auto"/>
                <w:sz w:val="21"/>
                <w:szCs w:val="21"/>
              </w:rPr>
              <w:t>总投资收益率</w:t>
            </w:r>
          </w:p>
        </w:tc>
        <w:tc>
          <w:tcPr>
            <w:tcW w:w="530" w:type="pct"/>
            <w:vAlign w:val="center"/>
          </w:tcPr>
          <w:p w14:paraId="739B55F0">
            <w:pPr>
              <w:spacing w:line="240" w:lineRule="auto"/>
              <w:ind w:firstLine="0" w:firstLineChars="0"/>
              <w:jc w:val="center"/>
              <w:rPr>
                <w:color w:val="auto"/>
                <w:sz w:val="21"/>
                <w:szCs w:val="21"/>
              </w:rPr>
            </w:pPr>
            <w:r>
              <w:rPr>
                <w:color w:val="auto"/>
                <w:sz w:val="21"/>
                <w:szCs w:val="21"/>
              </w:rPr>
              <w:t>%</w:t>
            </w:r>
          </w:p>
        </w:tc>
        <w:tc>
          <w:tcPr>
            <w:tcW w:w="655" w:type="pct"/>
            <w:vAlign w:val="center"/>
          </w:tcPr>
          <w:p w14:paraId="293CBD91">
            <w:pPr>
              <w:spacing w:line="240" w:lineRule="auto"/>
              <w:ind w:firstLine="0" w:firstLineChars="0"/>
              <w:jc w:val="center"/>
              <w:rPr>
                <w:color w:val="auto"/>
                <w:sz w:val="21"/>
                <w:szCs w:val="21"/>
              </w:rPr>
            </w:pPr>
            <w:r>
              <w:rPr>
                <w:color w:val="auto"/>
                <w:sz w:val="21"/>
                <w:szCs w:val="21"/>
              </w:rPr>
              <w:t>8</w:t>
            </w:r>
          </w:p>
        </w:tc>
        <w:tc>
          <w:tcPr>
            <w:tcW w:w="2166" w:type="pct"/>
            <w:vAlign w:val="center"/>
          </w:tcPr>
          <w:p w14:paraId="1A413460">
            <w:pPr>
              <w:spacing w:line="240" w:lineRule="auto"/>
              <w:ind w:firstLine="0" w:firstLineChars="0"/>
              <w:jc w:val="center"/>
              <w:rPr>
                <w:color w:val="auto"/>
                <w:sz w:val="21"/>
                <w:szCs w:val="21"/>
              </w:rPr>
            </w:pPr>
            <w:r>
              <w:rPr>
                <w:color w:val="auto"/>
                <w:sz w:val="21"/>
                <w:szCs w:val="21"/>
              </w:rPr>
              <w:t>/</w:t>
            </w:r>
          </w:p>
        </w:tc>
      </w:tr>
      <w:tr w14:paraId="43CD8C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2" w:type="pct"/>
            <w:vAlign w:val="center"/>
          </w:tcPr>
          <w:p w14:paraId="0965D6DB">
            <w:pPr>
              <w:spacing w:line="240" w:lineRule="auto"/>
              <w:ind w:firstLine="0" w:firstLineChars="0"/>
              <w:jc w:val="center"/>
              <w:rPr>
                <w:color w:val="auto"/>
                <w:sz w:val="21"/>
                <w:szCs w:val="21"/>
              </w:rPr>
            </w:pPr>
            <w:r>
              <w:rPr>
                <w:color w:val="auto"/>
                <w:sz w:val="21"/>
                <w:szCs w:val="21"/>
              </w:rPr>
              <w:t>10</w:t>
            </w:r>
          </w:p>
        </w:tc>
        <w:tc>
          <w:tcPr>
            <w:tcW w:w="1284" w:type="pct"/>
            <w:vAlign w:val="center"/>
          </w:tcPr>
          <w:p w14:paraId="22F05671">
            <w:pPr>
              <w:spacing w:line="240" w:lineRule="auto"/>
              <w:ind w:firstLine="0" w:firstLineChars="0"/>
              <w:jc w:val="center"/>
              <w:rPr>
                <w:color w:val="auto"/>
                <w:sz w:val="21"/>
                <w:szCs w:val="21"/>
              </w:rPr>
            </w:pPr>
            <w:r>
              <w:rPr>
                <w:color w:val="auto"/>
                <w:sz w:val="21"/>
                <w:szCs w:val="21"/>
              </w:rPr>
              <w:t>盈亏平衡点</w:t>
            </w:r>
          </w:p>
        </w:tc>
        <w:tc>
          <w:tcPr>
            <w:tcW w:w="530" w:type="pct"/>
            <w:vAlign w:val="center"/>
          </w:tcPr>
          <w:p w14:paraId="79310071">
            <w:pPr>
              <w:spacing w:line="240" w:lineRule="auto"/>
              <w:ind w:firstLine="0" w:firstLineChars="0"/>
              <w:jc w:val="center"/>
              <w:rPr>
                <w:color w:val="auto"/>
                <w:sz w:val="21"/>
                <w:szCs w:val="21"/>
              </w:rPr>
            </w:pPr>
            <w:r>
              <w:rPr>
                <w:color w:val="auto"/>
                <w:sz w:val="21"/>
                <w:szCs w:val="21"/>
              </w:rPr>
              <w:t>%</w:t>
            </w:r>
          </w:p>
        </w:tc>
        <w:tc>
          <w:tcPr>
            <w:tcW w:w="655" w:type="pct"/>
            <w:vAlign w:val="center"/>
          </w:tcPr>
          <w:p w14:paraId="67EAF59F">
            <w:pPr>
              <w:spacing w:line="240" w:lineRule="auto"/>
              <w:ind w:firstLine="0" w:firstLineChars="0"/>
              <w:jc w:val="center"/>
              <w:rPr>
                <w:color w:val="auto"/>
                <w:sz w:val="21"/>
                <w:szCs w:val="21"/>
              </w:rPr>
            </w:pPr>
            <w:r>
              <w:rPr>
                <w:color w:val="auto"/>
                <w:sz w:val="21"/>
                <w:szCs w:val="21"/>
              </w:rPr>
              <w:t>8</w:t>
            </w:r>
          </w:p>
        </w:tc>
        <w:tc>
          <w:tcPr>
            <w:tcW w:w="2166" w:type="pct"/>
            <w:vAlign w:val="center"/>
          </w:tcPr>
          <w:p w14:paraId="3BDDB74B">
            <w:pPr>
              <w:spacing w:line="240" w:lineRule="auto"/>
              <w:ind w:firstLine="0" w:firstLineChars="0"/>
              <w:jc w:val="center"/>
              <w:rPr>
                <w:color w:val="auto"/>
                <w:sz w:val="21"/>
                <w:szCs w:val="21"/>
              </w:rPr>
            </w:pPr>
            <w:r>
              <w:rPr>
                <w:color w:val="auto"/>
                <w:sz w:val="21"/>
                <w:szCs w:val="21"/>
              </w:rPr>
              <w:t>/</w:t>
            </w:r>
          </w:p>
        </w:tc>
      </w:tr>
    </w:tbl>
    <w:p w14:paraId="3F98511B">
      <w:pPr>
        <w:ind w:firstLine="480"/>
        <w:rPr>
          <w:color w:val="auto"/>
        </w:rPr>
      </w:pPr>
      <w:r>
        <w:rPr>
          <w:color w:val="auto"/>
        </w:rPr>
        <w:t>由上表分析可知，本项目各项财务指标较好，项目在经济效益上是可行的。</w:t>
      </w:r>
    </w:p>
    <w:p w14:paraId="516C4C21">
      <w:pPr>
        <w:pStyle w:val="4"/>
        <w:spacing w:beforeLines="50" w:after="0"/>
        <w:ind w:firstLine="0" w:firstLineChars="0"/>
        <w:rPr>
          <w:color w:val="auto"/>
          <w:sz w:val="30"/>
          <w:szCs w:val="30"/>
        </w:rPr>
      </w:pPr>
      <w:bookmarkStart w:id="231" w:name="_Toc21065"/>
      <w:r>
        <w:rPr>
          <w:rFonts w:hint="eastAsia"/>
          <w:color w:val="auto"/>
          <w:sz w:val="30"/>
          <w:szCs w:val="30"/>
        </w:rPr>
        <w:t>8</w:t>
      </w:r>
      <w:r>
        <w:rPr>
          <w:color w:val="auto"/>
          <w:sz w:val="30"/>
          <w:szCs w:val="30"/>
        </w:rPr>
        <w:t>.2 社会效益分析</w:t>
      </w:r>
      <w:bookmarkEnd w:id="224"/>
      <w:bookmarkEnd w:id="225"/>
      <w:bookmarkEnd w:id="226"/>
      <w:bookmarkEnd w:id="227"/>
      <w:bookmarkEnd w:id="228"/>
      <w:bookmarkEnd w:id="229"/>
      <w:bookmarkEnd w:id="230"/>
      <w:bookmarkEnd w:id="231"/>
    </w:p>
    <w:p w14:paraId="42B1673A">
      <w:pPr>
        <w:ind w:firstLine="480"/>
        <w:rPr>
          <w:bCs/>
          <w:color w:val="auto"/>
        </w:rPr>
      </w:pPr>
      <w:r>
        <w:rPr>
          <w:bCs/>
          <w:color w:val="auto"/>
        </w:rPr>
        <w:t>本项目的建设，对行业和社会经济的发展，势必起到积极推进的作用，项目投产后会产生良好的社会效益，主要表现为：</w:t>
      </w:r>
    </w:p>
    <w:p w14:paraId="2AD202B9">
      <w:pPr>
        <w:ind w:firstLine="480"/>
        <w:rPr>
          <w:bCs/>
          <w:color w:val="auto"/>
        </w:rPr>
      </w:pPr>
      <w:r>
        <w:rPr>
          <w:bCs/>
          <w:color w:val="auto"/>
        </w:rPr>
        <w:t>（1）本项目建成后将给当地直接创造约</w:t>
      </w:r>
      <w:r>
        <w:rPr>
          <w:rFonts w:hint="eastAsia"/>
          <w:bCs/>
          <w:color w:val="auto"/>
        </w:rPr>
        <w:t>1000</w:t>
      </w:r>
      <w:r>
        <w:rPr>
          <w:bCs/>
          <w:color w:val="auto"/>
        </w:rPr>
        <w:t>个就业岗位，同时也会带动其上、下游相关产业的发展，间接增加更多的就业岗位，有利于提高就业人群收入水平，促进区域经济发展。</w:t>
      </w:r>
    </w:p>
    <w:p w14:paraId="55BF4733">
      <w:pPr>
        <w:ind w:firstLine="480"/>
        <w:rPr>
          <w:bCs/>
          <w:color w:val="auto"/>
        </w:rPr>
      </w:pPr>
      <w:r>
        <w:rPr>
          <w:bCs/>
          <w:color w:val="auto"/>
        </w:rPr>
        <w:t>（2）本项目运营将增加区域政府部门税收，使政府能够投入更多资金，提供更好的社会服务，助力构建和谐社会。本项目运营需要地区提供电力、动力、热力和给排水等设施，将带动了部分运输业和公用事业等的发展和繁荣。</w:t>
      </w:r>
    </w:p>
    <w:p w14:paraId="261B611F">
      <w:pPr>
        <w:ind w:firstLine="480"/>
        <w:rPr>
          <w:bCs/>
          <w:color w:val="auto"/>
        </w:rPr>
      </w:pPr>
      <w:r>
        <w:rPr>
          <w:bCs/>
          <w:color w:val="auto"/>
        </w:rPr>
        <w:t>（3）本项目投产后将定期对职工进行教育和技能培训，一定程度上提高了区域劳动力整体文化素质。</w:t>
      </w:r>
    </w:p>
    <w:p w14:paraId="0369A3D4">
      <w:pPr>
        <w:ind w:firstLine="480"/>
        <w:rPr>
          <w:bCs/>
          <w:color w:val="auto"/>
        </w:rPr>
      </w:pPr>
      <w:r>
        <w:rPr>
          <w:bCs/>
          <w:color w:val="auto"/>
        </w:rPr>
        <w:t>综上，本项目建设社会效益显著。</w:t>
      </w:r>
    </w:p>
    <w:p w14:paraId="06BEAD06">
      <w:pPr>
        <w:pStyle w:val="4"/>
        <w:spacing w:beforeLines="50" w:after="0"/>
        <w:ind w:firstLine="0" w:firstLineChars="0"/>
        <w:rPr>
          <w:color w:val="auto"/>
          <w:sz w:val="30"/>
          <w:szCs w:val="30"/>
        </w:rPr>
      </w:pPr>
      <w:bookmarkStart w:id="232" w:name="_Toc27299"/>
      <w:r>
        <w:rPr>
          <w:rFonts w:hint="eastAsia"/>
          <w:color w:val="auto"/>
          <w:sz w:val="30"/>
          <w:szCs w:val="30"/>
        </w:rPr>
        <w:t>8</w:t>
      </w:r>
      <w:r>
        <w:rPr>
          <w:color w:val="auto"/>
          <w:sz w:val="30"/>
          <w:szCs w:val="30"/>
        </w:rPr>
        <w:t>.3 环境效益分析</w:t>
      </w:r>
      <w:bookmarkEnd w:id="232"/>
    </w:p>
    <w:p w14:paraId="5C006AB6">
      <w:pPr>
        <w:ind w:firstLine="480"/>
        <w:rPr>
          <w:bCs/>
          <w:color w:val="auto"/>
        </w:rPr>
      </w:pPr>
      <w:r>
        <w:rPr>
          <w:bCs/>
          <w:color w:val="auto"/>
        </w:rPr>
        <w:t>本项目的建成投产将在以下几个方面产生社会效益：</w:t>
      </w:r>
    </w:p>
    <w:p w14:paraId="170AB66A">
      <w:pPr>
        <w:ind w:firstLine="480"/>
        <w:rPr>
          <w:bCs/>
          <w:color w:val="auto"/>
        </w:rPr>
      </w:pPr>
      <w:r>
        <w:rPr>
          <w:bCs/>
          <w:color w:val="auto"/>
        </w:rPr>
        <w:t>（1）提高企业市场竞争力，促进地区经济发展</w:t>
      </w:r>
    </w:p>
    <w:p w14:paraId="1104C25F">
      <w:pPr>
        <w:ind w:firstLine="480"/>
        <w:rPr>
          <w:bCs/>
          <w:color w:val="auto"/>
        </w:rPr>
      </w:pPr>
      <w:r>
        <w:rPr>
          <w:bCs/>
          <w:color w:val="auto"/>
        </w:rPr>
        <w:t>随着汽车轻量化进程的加快，新能源汽车的推广应用，以及太阳能光伏、轨道交通等下游应用产业的蓬勃发展，国内市场对工业铝型材的需求持续增加。本项目建设符合国家现行产业政策及相关发展规划。同时通过财务分析，本项目的各项经济指标良好，抗产量波动能力、抗风险能力和适应市场变化能力强，从而大大提高了企业产品的市场竞争力。确保在今后的市场竞争中为企业增强活力，并带来新的经济增长点。本工程经济效益良好，除</w:t>
      </w:r>
      <w:r>
        <w:rPr>
          <w:rFonts w:hint="eastAsia"/>
          <w:bCs/>
          <w:color w:val="auto"/>
        </w:rPr>
        <w:t>上缴</w:t>
      </w:r>
      <w:r>
        <w:rPr>
          <w:bCs/>
          <w:color w:val="auto"/>
        </w:rPr>
        <w:t>给国家一定利税外，还能为地方经济发展做出贡献。</w:t>
      </w:r>
    </w:p>
    <w:p w14:paraId="7EA18362">
      <w:pPr>
        <w:ind w:firstLine="480"/>
        <w:rPr>
          <w:bCs/>
          <w:color w:val="auto"/>
        </w:rPr>
      </w:pPr>
      <w:r>
        <w:rPr>
          <w:bCs/>
          <w:color w:val="auto"/>
        </w:rPr>
        <w:t>（2）改善社会投资环境，促进社会正常运转</w:t>
      </w:r>
    </w:p>
    <w:p w14:paraId="153A54BE">
      <w:pPr>
        <w:ind w:firstLine="480"/>
        <w:rPr>
          <w:bCs/>
          <w:color w:val="auto"/>
        </w:rPr>
      </w:pPr>
      <w:r>
        <w:rPr>
          <w:bCs/>
          <w:color w:val="auto"/>
        </w:rPr>
        <w:t>项目的实施对促进我国铝型材产业转型升级、提升区域新材料产业影响力以及践行国家绿色低碳发展战略、推动铝型材行业节能减排都具有重要意义，为社会稳定与安全做出了一定的贡献。</w:t>
      </w:r>
    </w:p>
    <w:p w14:paraId="79D1C686">
      <w:pPr>
        <w:pStyle w:val="4"/>
        <w:spacing w:beforeLines="50" w:after="0"/>
        <w:ind w:firstLine="0" w:firstLineChars="0"/>
        <w:rPr>
          <w:color w:val="auto"/>
          <w:sz w:val="30"/>
          <w:szCs w:val="30"/>
        </w:rPr>
      </w:pPr>
      <w:bookmarkStart w:id="233" w:name="_Toc19582"/>
      <w:r>
        <w:rPr>
          <w:rFonts w:hint="eastAsia"/>
          <w:color w:val="auto"/>
          <w:sz w:val="30"/>
          <w:szCs w:val="30"/>
        </w:rPr>
        <w:t>8</w:t>
      </w:r>
      <w:r>
        <w:rPr>
          <w:color w:val="auto"/>
          <w:sz w:val="30"/>
          <w:szCs w:val="30"/>
        </w:rPr>
        <w:t>.4 小结</w:t>
      </w:r>
      <w:bookmarkEnd w:id="233"/>
    </w:p>
    <w:p w14:paraId="7FBA0A25">
      <w:pPr>
        <w:ind w:firstLine="480"/>
        <w:rPr>
          <w:bCs/>
          <w:color w:val="auto"/>
        </w:rPr>
      </w:pPr>
      <w:r>
        <w:rPr>
          <w:bCs/>
          <w:color w:val="auto"/>
        </w:rPr>
        <w:t>本项目建成投产后，对项目所在地水、声和大气环境的负面影响较小，采取有效的防控措施后，完全可以控制在当地环境容量可以接受的范围内。社会经济效益显著，对促进地区经济持续、健康</w:t>
      </w:r>
      <w:r>
        <w:rPr>
          <w:rFonts w:hint="eastAsia"/>
          <w:bCs/>
          <w:color w:val="auto"/>
        </w:rPr>
        <w:t>地</w:t>
      </w:r>
      <w:r>
        <w:rPr>
          <w:bCs/>
          <w:color w:val="auto"/>
        </w:rPr>
        <w:t>发展有重要的意义。总之，从环境和社会经济方面来看，该项目具有良好的综合效益，其建设是可行的。</w:t>
      </w:r>
    </w:p>
    <w:p w14:paraId="1DBA5555">
      <w:pPr>
        <w:ind w:firstLine="480"/>
        <w:rPr>
          <w:color w:val="auto"/>
        </w:rPr>
        <w:sectPr>
          <w:pgSz w:w="11907" w:h="16840"/>
          <w:pgMar w:top="1361" w:right="1361" w:bottom="1361" w:left="1361" w:header="851" w:footer="992" w:gutter="0"/>
          <w:cols w:space="720" w:num="1"/>
          <w:docGrid w:linePitch="326" w:charSpace="0"/>
        </w:sectPr>
      </w:pPr>
    </w:p>
    <w:p w14:paraId="4C4DC9CA">
      <w:pPr>
        <w:pStyle w:val="3"/>
        <w:spacing w:before="120" w:beforeLines="50"/>
        <w:ind w:firstLine="0" w:firstLineChars="0"/>
        <w:rPr>
          <w:color w:val="auto"/>
          <w:sz w:val="32"/>
          <w:szCs w:val="48"/>
        </w:rPr>
      </w:pPr>
      <w:bookmarkStart w:id="234" w:name="_Toc18658"/>
      <w:r>
        <w:rPr>
          <w:rFonts w:hint="eastAsia"/>
          <w:color w:val="auto"/>
          <w:sz w:val="32"/>
          <w:szCs w:val="48"/>
        </w:rPr>
        <w:t>9</w:t>
      </w:r>
      <w:r>
        <w:rPr>
          <w:color w:val="auto"/>
          <w:sz w:val="32"/>
          <w:szCs w:val="48"/>
        </w:rPr>
        <w:t xml:space="preserve"> 环境管理与监测计划</w:t>
      </w:r>
      <w:bookmarkEnd w:id="234"/>
    </w:p>
    <w:p w14:paraId="5F431D8D">
      <w:pPr>
        <w:ind w:firstLine="480"/>
        <w:rPr>
          <w:color w:val="auto"/>
        </w:rPr>
      </w:pPr>
      <w:r>
        <w:rPr>
          <w:color w:val="auto"/>
        </w:rPr>
        <w:t>根据分析和评价，本项目建成后将对周围环境造成一定的影响，</w:t>
      </w:r>
      <w:r>
        <w:rPr>
          <w:rFonts w:hint="eastAsia"/>
          <w:color w:val="auto"/>
        </w:rPr>
        <w:t>故</w:t>
      </w:r>
      <w:r>
        <w:rPr>
          <w:color w:val="auto"/>
        </w:rPr>
        <w:t>建设单位应在加强环境管理的同时，定期进行环境监测，以便了解对环境造成影响的情况，采取相应措施，消除不利因素，减轻环境污染，使各项环保措施落到实处，以达到预定的目标。</w:t>
      </w:r>
    </w:p>
    <w:p w14:paraId="2CD19BE4">
      <w:pPr>
        <w:pStyle w:val="4"/>
        <w:spacing w:beforeLines="50" w:after="0"/>
        <w:ind w:firstLine="0" w:firstLineChars="0"/>
        <w:rPr>
          <w:color w:val="auto"/>
          <w:sz w:val="30"/>
          <w:szCs w:val="30"/>
        </w:rPr>
      </w:pPr>
      <w:bookmarkStart w:id="235" w:name="_Toc17863"/>
      <w:r>
        <w:rPr>
          <w:rFonts w:hint="eastAsia"/>
          <w:color w:val="auto"/>
          <w:sz w:val="30"/>
          <w:szCs w:val="30"/>
        </w:rPr>
        <w:t>9</w:t>
      </w:r>
      <w:r>
        <w:rPr>
          <w:color w:val="auto"/>
          <w:sz w:val="30"/>
          <w:szCs w:val="30"/>
        </w:rPr>
        <w:t>.1 环境管理</w:t>
      </w:r>
      <w:bookmarkEnd w:id="235"/>
    </w:p>
    <w:p w14:paraId="0056425D">
      <w:pPr>
        <w:keepNext/>
        <w:keepLines/>
        <w:tabs>
          <w:tab w:val="left" w:pos="2340"/>
        </w:tabs>
        <w:spacing w:before="120" w:beforeLines="50"/>
        <w:ind w:firstLine="0" w:firstLineChars="0"/>
        <w:outlineLvl w:val="2"/>
        <w:rPr>
          <w:b/>
          <w:bCs/>
          <w:color w:val="auto"/>
          <w:sz w:val="28"/>
          <w:szCs w:val="32"/>
        </w:rPr>
      </w:pPr>
      <w:r>
        <w:rPr>
          <w:rFonts w:hint="eastAsia"/>
          <w:b/>
          <w:bCs/>
          <w:color w:val="auto"/>
          <w:sz w:val="28"/>
          <w:szCs w:val="32"/>
        </w:rPr>
        <w:t>9</w:t>
      </w:r>
      <w:r>
        <w:rPr>
          <w:b/>
          <w:bCs/>
          <w:color w:val="auto"/>
          <w:sz w:val="28"/>
          <w:szCs w:val="32"/>
        </w:rPr>
        <w:t>.1.1 环境管理</w:t>
      </w:r>
      <w:r>
        <w:rPr>
          <w:rFonts w:hint="eastAsia"/>
          <w:b/>
          <w:bCs/>
          <w:color w:val="auto"/>
          <w:sz w:val="28"/>
          <w:szCs w:val="32"/>
        </w:rPr>
        <w:t>目的</w:t>
      </w:r>
    </w:p>
    <w:p w14:paraId="083C96AC">
      <w:pPr>
        <w:ind w:firstLine="480"/>
        <w:rPr>
          <w:color w:val="auto"/>
        </w:rPr>
      </w:pPr>
      <w:r>
        <w:rPr>
          <w:color w:val="auto"/>
        </w:rPr>
        <w:t>《中华人民共和国环境保护法》明确指出，我国环境保护的任务是保证在社会主义现代化建设中，合理利用自然资源，防止环境污染和生态破坏，为人民创造清洁适宜的生活和劳动环境，保护人民健康，促进经济发展。为了缓解建设项目生产运行期对环境构成的不良影响，在采取环保治理工程措施解决建设项目环境影响的同时，必须制定全面的企业环境管理计划，以保证企业的环境保护制度化和系统化，保证企业环保工作持久开展，保证企业能够持续发展生产。通过环境管理，使企业环保措施和设施得以具体落实，并使地方环保部门具有监督和管理的依据。通过环保防治措施的实施管理，使项目营运给环境带来的不利影响减轻到最低的程度，使项目建设的经济效益和环境效益得以协调发展。</w:t>
      </w:r>
    </w:p>
    <w:p w14:paraId="176CF066">
      <w:pPr>
        <w:keepNext/>
        <w:keepLines/>
        <w:tabs>
          <w:tab w:val="left" w:pos="2340"/>
        </w:tabs>
        <w:spacing w:before="120" w:beforeLines="50"/>
        <w:ind w:firstLine="0" w:firstLineChars="0"/>
        <w:outlineLvl w:val="2"/>
        <w:rPr>
          <w:b/>
          <w:bCs/>
          <w:color w:val="auto"/>
          <w:sz w:val="28"/>
          <w:szCs w:val="32"/>
        </w:rPr>
      </w:pPr>
      <w:r>
        <w:rPr>
          <w:rFonts w:hint="eastAsia"/>
          <w:b/>
          <w:bCs/>
          <w:color w:val="auto"/>
          <w:sz w:val="28"/>
          <w:szCs w:val="32"/>
        </w:rPr>
        <w:t>9</w:t>
      </w:r>
      <w:r>
        <w:rPr>
          <w:b/>
          <w:bCs/>
          <w:color w:val="auto"/>
          <w:sz w:val="28"/>
          <w:szCs w:val="32"/>
        </w:rPr>
        <w:t>.1.</w:t>
      </w:r>
      <w:r>
        <w:rPr>
          <w:rFonts w:hint="eastAsia"/>
          <w:b/>
          <w:bCs/>
          <w:color w:val="auto"/>
          <w:sz w:val="28"/>
          <w:szCs w:val="32"/>
        </w:rPr>
        <w:t>2</w:t>
      </w:r>
      <w:r>
        <w:rPr>
          <w:b/>
          <w:bCs/>
          <w:color w:val="auto"/>
          <w:sz w:val="28"/>
          <w:szCs w:val="32"/>
        </w:rPr>
        <w:t xml:space="preserve"> 环境管理</w:t>
      </w:r>
      <w:r>
        <w:rPr>
          <w:rFonts w:hint="eastAsia"/>
          <w:b/>
          <w:bCs/>
          <w:color w:val="auto"/>
          <w:sz w:val="28"/>
          <w:szCs w:val="32"/>
        </w:rPr>
        <w:t>机构及职能</w:t>
      </w:r>
    </w:p>
    <w:p w14:paraId="494F257A">
      <w:pPr>
        <w:ind w:firstLine="482"/>
        <w:rPr>
          <w:b/>
          <w:bCs/>
          <w:color w:val="auto"/>
        </w:rPr>
      </w:pPr>
      <w:r>
        <w:rPr>
          <w:b/>
          <w:bCs/>
          <w:color w:val="auto"/>
        </w:rPr>
        <w:t>一、健全环保机构</w:t>
      </w:r>
    </w:p>
    <w:p w14:paraId="7C5D9F42">
      <w:pPr>
        <w:ind w:firstLine="480"/>
        <w:rPr>
          <w:color w:val="auto"/>
        </w:rPr>
      </w:pPr>
      <w:r>
        <w:rPr>
          <w:color w:val="auto"/>
        </w:rPr>
        <w:t>应设立专门的环境管理机构，根据生产组织及环境保护要求的特点，要求企业内部设置一个生产与环保、兼职与专职相结合的环境保护工作机构网络。这个机构由一名厂长级负责人分管主抓，由企业环保管理部门、环保设施运行、</w:t>
      </w:r>
      <w:r>
        <w:rPr>
          <w:rFonts w:hint="eastAsia"/>
          <w:color w:val="auto"/>
        </w:rPr>
        <w:t>设备保养</w:t>
      </w:r>
      <w:r>
        <w:rPr>
          <w:color w:val="auto"/>
        </w:rPr>
        <w:t>维修、监督巡回检查和工艺技术改造等部分组成。其中前两个由专职人员负责，后三个可由厂内的生产、运行、维修和管理等人员兼职。</w:t>
      </w:r>
    </w:p>
    <w:p w14:paraId="2EB398B8">
      <w:pPr>
        <w:ind w:firstLine="482"/>
        <w:rPr>
          <w:b/>
          <w:bCs/>
          <w:color w:val="auto"/>
        </w:rPr>
      </w:pPr>
      <w:r>
        <w:rPr>
          <w:b/>
          <w:bCs/>
          <w:color w:val="auto"/>
        </w:rPr>
        <w:t>二、明确管理职能</w:t>
      </w:r>
    </w:p>
    <w:p w14:paraId="3AF69A7E">
      <w:pPr>
        <w:ind w:firstLine="480"/>
        <w:rPr>
          <w:color w:val="auto"/>
        </w:rPr>
      </w:pPr>
      <w:r>
        <w:rPr>
          <w:color w:val="auto"/>
        </w:rPr>
        <w:t>针对本项目实施过程中各阶段的具体情况，环境管理机构的职能也相应有所变化，各阶段职能见表</w:t>
      </w:r>
      <w:r>
        <w:rPr>
          <w:rFonts w:hint="eastAsia"/>
          <w:color w:val="auto"/>
        </w:rPr>
        <w:t>9</w:t>
      </w:r>
      <w:r>
        <w:rPr>
          <w:color w:val="auto"/>
        </w:rPr>
        <w:t>.1-1。</w:t>
      </w:r>
    </w:p>
    <w:p w14:paraId="2191B0D6">
      <w:pPr>
        <w:spacing w:before="20" w:line="240" w:lineRule="auto"/>
        <w:ind w:firstLine="482" w:firstLineChars="0"/>
        <w:jc w:val="center"/>
        <w:rPr>
          <w:b/>
          <w:bCs/>
          <w:color w:val="auto"/>
        </w:rPr>
      </w:pPr>
      <w:r>
        <w:rPr>
          <w:b/>
          <w:bCs/>
          <w:color w:val="auto"/>
        </w:rPr>
        <w:t xml:space="preserve">表9.1-1 </w:t>
      </w:r>
      <w:r>
        <w:rPr>
          <w:rFonts w:hint="eastAsia"/>
          <w:b/>
          <w:bCs/>
          <w:color w:val="auto"/>
        </w:rPr>
        <w:t xml:space="preserve"> </w:t>
      </w:r>
      <w:r>
        <w:rPr>
          <w:b/>
          <w:bCs/>
          <w:color w:val="auto"/>
        </w:rPr>
        <w:t>环境管理机构各阶段主要职责</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745"/>
      </w:tblGrid>
      <w:tr w14:paraId="4FE0C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tcBorders>
              <w:tl2br w:val="nil"/>
              <w:tr2bl w:val="nil"/>
            </w:tcBorders>
          </w:tcPr>
          <w:p w14:paraId="6D39CC25">
            <w:pPr>
              <w:spacing w:line="240" w:lineRule="auto"/>
              <w:ind w:firstLine="438"/>
              <w:jc w:val="center"/>
              <w:rPr>
                <w:b/>
                <w:color w:val="auto"/>
                <w:spacing w:val="4"/>
                <w:sz w:val="21"/>
                <w:szCs w:val="21"/>
              </w:rPr>
            </w:pPr>
            <w:r>
              <w:rPr>
                <w:b/>
                <w:color w:val="auto"/>
                <w:spacing w:val="4"/>
                <w:sz w:val="21"/>
                <w:szCs w:val="21"/>
              </w:rPr>
              <w:t>阶段</w:t>
            </w:r>
          </w:p>
        </w:tc>
        <w:tc>
          <w:tcPr>
            <w:tcW w:w="7745" w:type="dxa"/>
            <w:tcBorders>
              <w:tl2br w:val="nil"/>
              <w:tr2bl w:val="nil"/>
            </w:tcBorders>
          </w:tcPr>
          <w:p w14:paraId="5D598F71">
            <w:pPr>
              <w:spacing w:line="240" w:lineRule="auto"/>
              <w:ind w:firstLine="438"/>
              <w:jc w:val="center"/>
              <w:rPr>
                <w:b/>
                <w:color w:val="auto"/>
                <w:spacing w:val="4"/>
                <w:sz w:val="21"/>
                <w:szCs w:val="21"/>
              </w:rPr>
            </w:pPr>
            <w:r>
              <w:rPr>
                <w:b/>
                <w:color w:val="auto"/>
                <w:spacing w:val="4"/>
                <w:sz w:val="21"/>
                <w:szCs w:val="21"/>
              </w:rPr>
              <w:t>主要职责</w:t>
            </w:r>
          </w:p>
        </w:tc>
      </w:tr>
      <w:tr w14:paraId="4B29D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Merge w:val="restart"/>
            <w:tcBorders>
              <w:tl2br w:val="nil"/>
              <w:tr2bl w:val="nil"/>
            </w:tcBorders>
            <w:vAlign w:val="center"/>
          </w:tcPr>
          <w:p w14:paraId="7C4163BD">
            <w:pPr>
              <w:spacing w:line="240" w:lineRule="auto"/>
              <w:ind w:firstLine="436"/>
              <w:jc w:val="center"/>
              <w:rPr>
                <w:bCs/>
                <w:color w:val="auto"/>
                <w:spacing w:val="4"/>
                <w:sz w:val="21"/>
                <w:szCs w:val="21"/>
              </w:rPr>
            </w:pPr>
            <w:r>
              <w:rPr>
                <w:bCs/>
                <w:color w:val="auto"/>
                <w:spacing w:val="4"/>
                <w:sz w:val="21"/>
                <w:szCs w:val="21"/>
              </w:rPr>
              <w:t>运营期</w:t>
            </w:r>
          </w:p>
        </w:tc>
        <w:tc>
          <w:tcPr>
            <w:tcW w:w="7745" w:type="dxa"/>
            <w:tcBorders>
              <w:tl2br w:val="nil"/>
              <w:tr2bl w:val="nil"/>
            </w:tcBorders>
          </w:tcPr>
          <w:p w14:paraId="739C3854">
            <w:pPr>
              <w:spacing w:line="240" w:lineRule="auto"/>
              <w:ind w:firstLine="0" w:firstLineChars="0"/>
              <w:rPr>
                <w:bCs/>
                <w:color w:val="auto"/>
                <w:spacing w:val="4"/>
                <w:sz w:val="21"/>
                <w:szCs w:val="21"/>
              </w:rPr>
            </w:pPr>
            <w:r>
              <w:rPr>
                <w:bCs/>
                <w:color w:val="auto"/>
                <w:spacing w:val="4"/>
                <w:sz w:val="21"/>
                <w:szCs w:val="21"/>
              </w:rPr>
              <w:t>1、积极贯彻执行各项环保</w:t>
            </w:r>
            <w:r>
              <w:rPr>
                <w:rFonts w:hint="eastAsia"/>
                <w:bCs/>
                <w:color w:val="auto"/>
                <w:spacing w:val="4"/>
                <w:sz w:val="21"/>
                <w:szCs w:val="21"/>
              </w:rPr>
              <w:t>法律法规</w:t>
            </w:r>
            <w:r>
              <w:rPr>
                <w:bCs/>
                <w:color w:val="auto"/>
                <w:spacing w:val="4"/>
                <w:sz w:val="21"/>
                <w:szCs w:val="21"/>
              </w:rPr>
              <w:t>、标准和规章制度。</w:t>
            </w:r>
          </w:p>
        </w:tc>
      </w:tr>
      <w:tr w14:paraId="29526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Merge w:val="continue"/>
            <w:tcBorders>
              <w:tl2br w:val="nil"/>
              <w:tr2bl w:val="nil"/>
            </w:tcBorders>
          </w:tcPr>
          <w:p w14:paraId="1E9BC9ED">
            <w:pPr>
              <w:spacing w:line="240" w:lineRule="auto"/>
              <w:ind w:firstLine="436"/>
              <w:jc w:val="center"/>
              <w:rPr>
                <w:bCs/>
                <w:color w:val="auto"/>
                <w:spacing w:val="4"/>
                <w:sz w:val="21"/>
                <w:szCs w:val="21"/>
              </w:rPr>
            </w:pPr>
          </w:p>
        </w:tc>
        <w:tc>
          <w:tcPr>
            <w:tcW w:w="7745" w:type="dxa"/>
            <w:tcBorders>
              <w:tl2br w:val="nil"/>
              <w:tr2bl w:val="nil"/>
            </w:tcBorders>
          </w:tcPr>
          <w:p w14:paraId="599E4F3B">
            <w:pPr>
              <w:spacing w:line="240" w:lineRule="auto"/>
              <w:ind w:firstLine="0" w:firstLineChars="0"/>
              <w:rPr>
                <w:bCs/>
                <w:color w:val="auto"/>
                <w:spacing w:val="4"/>
                <w:sz w:val="21"/>
                <w:szCs w:val="21"/>
              </w:rPr>
            </w:pPr>
            <w:r>
              <w:rPr>
                <w:bCs/>
                <w:color w:val="auto"/>
                <w:spacing w:val="4"/>
                <w:sz w:val="21"/>
                <w:szCs w:val="21"/>
              </w:rPr>
              <w:t>2、编制全厂性的环境保护规划和计划，并组织实施。</w:t>
            </w:r>
          </w:p>
        </w:tc>
      </w:tr>
      <w:tr w14:paraId="0B346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Merge w:val="continue"/>
            <w:tcBorders>
              <w:tl2br w:val="nil"/>
              <w:tr2bl w:val="nil"/>
            </w:tcBorders>
          </w:tcPr>
          <w:p w14:paraId="58F4A211">
            <w:pPr>
              <w:spacing w:line="240" w:lineRule="auto"/>
              <w:ind w:firstLine="436"/>
              <w:jc w:val="center"/>
              <w:rPr>
                <w:bCs/>
                <w:color w:val="auto"/>
                <w:spacing w:val="4"/>
                <w:sz w:val="21"/>
                <w:szCs w:val="21"/>
              </w:rPr>
            </w:pPr>
          </w:p>
        </w:tc>
        <w:tc>
          <w:tcPr>
            <w:tcW w:w="7745" w:type="dxa"/>
            <w:tcBorders>
              <w:tl2br w:val="nil"/>
              <w:tr2bl w:val="nil"/>
            </w:tcBorders>
          </w:tcPr>
          <w:p w14:paraId="3BFA44F6">
            <w:pPr>
              <w:spacing w:line="240" w:lineRule="auto"/>
              <w:ind w:firstLine="0" w:firstLineChars="0"/>
              <w:rPr>
                <w:bCs/>
                <w:color w:val="auto"/>
                <w:spacing w:val="4"/>
                <w:sz w:val="21"/>
                <w:szCs w:val="21"/>
              </w:rPr>
            </w:pPr>
            <w:r>
              <w:rPr>
                <w:bCs/>
                <w:color w:val="auto"/>
                <w:spacing w:val="4"/>
                <w:sz w:val="21"/>
                <w:szCs w:val="21"/>
              </w:rPr>
              <w:t>3、负责执行和监督厂内的各项规章制度的落实，及时将监测数据汇总、存档并建立完备的环境保护档案。</w:t>
            </w:r>
          </w:p>
        </w:tc>
      </w:tr>
      <w:tr w14:paraId="5F5BB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Merge w:val="continue"/>
            <w:tcBorders>
              <w:tl2br w:val="nil"/>
              <w:tr2bl w:val="nil"/>
            </w:tcBorders>
          </w:tcPr>
          <w:p w14:paraId="73B710CC">
            <w:pPr>
              <w:spacing w:line="240" w:lineRule="auto"/>
              <w:ind w:firstLine="436"/>
              <w:jc w:val="center"/>
              <w:rPr>
                <w:bCs/>
                <w:color w:val="auto"/>
                <w:spacing w:val="4"/>
                <w:sz w:val="21"/>
                <w:szCs w:val="21"/>
              </w:rPr>
            </w:pPr>
          </w:p>
        </w:tc>
        <w:tc>
          <w:tcPr>
            <w:tcW w:w="7745" w:type="dxa"/>
            <w:tcBorders>
              <w:tl2br w:val="nil"/>
              <w:tr2bl w:val="nil"/>
            </w:tcBorders>
          </w:tcPr>
          <w:p w14:paraId="510C490F">
            <w:pPr>
              <w:spacing w:line="240" w:lineRule="auto"/>
              <w:ind w:firstLine="0" w:firstLineChars="0"/>
              <w:rPr>
                <w:bCs/>
                <w:color w:val="auto"/>
                <w:spacing w:val="4"/>
                <w:sz w:val="21"/>
                <w:szCs w:val="21"/>
              </w:rPr>
            </w:pPr>
            <w:r>
              <w:rPr>
                <w:bCs/>
                <w:color w:val="auto"/>
                <w:spacing w:val="4"/>
                <w:sz w:val="21"/>
                <w:szCs w:val="21"/>
              </w:rPr>
              <w:t>4、定期组织人员对档案进行分析和研究，及时发现并处理设备运行过程中出现的问题。</w:t>
            </w:r>
          </w:p>
        </w:tc>
      </w:tr>
      <w:tr w14:paraId="05DBD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Merge w:val="continue"/>
            <w:tcBorders>
              <w:tl2br w:val="nil"/>
              <w:tr2bl w:val="nil"/>
            </w:tcBorders>
          </w:tcPr>
          <w:p w14:paraId="5C272846">
            <w:pPr>
              <w:spacing w:line="240" w:lineRule="auto"/>
              <w:ind w:firstLine="436"/>
              <w:jc w:val="center"/>
              <w:rPr>
                <w:bCs/>
                <w:color w:val="auto"/>
                <w:spacing w:val="4"/>
                <w:sz w:val="21"/>
                <w:szCs w:val="21"/>
              </w:rPr>
            </w:pPr>
          </w:p>
        </w:tc>
        <w:tc>
          <w:tcPr>
            <w:tcW w:w="7745" w:type="dxa"/>
            <w:tcBorders>
              <w:tl2br w:val="nil"/>
              <w:tr2bl w:val="nil"/>
            </w:tcBorders>
          </w:tcPr>
          <w:p w14:paraId="6540E69C">
            <w:pPr>
              <w:spacing w:line="240" w:lineRule="auto"/>
              <w:ind w:firstLine="0" w:firstLineChars="0"/>
              <w:rPr>
                <w:bCs/>
                <w:color w:val="auto"/>
                <w:spacing w:val="4"/>
                <w:sz w:val="21"/>
                <w:szCs w:val="21"/>
              </w:rPr>
            </w:pPr>
            <w:r>
              <w:rPr>
                <w:bCs/>
                <w:color w:val="auto"/>
                <w:spacing w:val="4"/>
                <w:sz w:val="21"/>
                <w:szCs w:val="21"/>
              </w:rPr>
              <w:t>5、协同上级生态环境部门进行污染事故的调查和处理。</w:t>
            </w:r>
          </w:p>
        </w:tc>
      </w:tr>
    </w:tbl>
    <w:p w14:paraId="5F095455">
      <w:pPr>
        <w:keepNext/>
        <w:keepLines/>
        <w:tabs>
          <w:tab w:val="left" w:pos="2340"/>
        </w:tabs>
        <w:spacing w:before="120" w:beforeLines="50"/>
        <w:ind w:firstLine="0" w:firstLineChars="0"/>
        <w:outlineLvl w:val="2"/>
        <w:rPr>
          <w:b/>
          <w:bCs/>
          <w:color w:val="auto"/>
          <w:sz w:val="28"/>
          <w:szCs w:val="32"/>
        </w:rPr>
      </w:pPr>
      <w:r>
        <w:rPr>
          <w:rFonts w:hint="eastAsia"/>
          <w:b/>
          <w:bCs/>
          <w:color w:val="auto"/>
          <w:sz w:val="28"/>
          <w:szCs w:val="32"/>
        </w:rPr>
        <w:t>9</w:t>
      </w:r>
      <w:r>
        <w:rPr>
          <w:b/>
          <w:bCs/>
          <w:color w:val="auto"/>
          <w:sz w:val="28"/>
          <w:szCs w:val="32"/>
        </w:rPr>
        <w:t>.1.</w:t>
      </w:r>
      <w:r>
        <w:rPr>
          <w:rFonts w:hint="eastAsia"/>
          <w:b/>
          <w:bCs/>
          <w:color w:val="auto"/>
          <w:sz w:val="28"/>
          <w:szCs w:val="32"/>
        </w:rPr>
        <w:t>3</w:t>
      </w:r>
      <w:r>
        <w:rPr>
          <w:b/>
          <w:bCs/>
          <w:color w:val="auto"/>
          <w:sz w:val="28"/>
          <w:szCs w:val="32"/>
        </w:rPr>
        <w:t xml:space="preserve"> 施工期环境管理</w:t>
      </w:r>
    </w:p>
    <w:p w14:paraId="03F533D3">
      <w:pPr>
        <w:ind w:firstLine="480"/>
        <w:rPr>
          <w:color w:val="auto"/>
          <w:szCs w:val="20"/>
        </w:rPr>
      </w:pPr>
      <w:r>
        <w:rPr>
          <w:color w:val="auto"/>
          <w:szCs w:val="20"/>
        </w:rPr>
        <w:t>施工期间，本项目的环境管理工作拟由建设单位和施工单位共同承担。</w:t>
      </w:r>
    </w:p>
    <w:p w14:paraId="70D1CB30">
      <w:pPr>
        <w:ind w:firstLine="480"/>
        <w:rPr>
          <w:color w:val="auto"/>
          <w:szCs w:val="20"/>
        </w:rPr>
      </w:pPr>
      <w:r>
        <w:rPr>
          <w:color w:val="auto"/>
          <w:szCs w:val="20"/>
        </w:rPr>
        <w:t>（1）建设单位环境管理职责</w:t>
      </w:r>
    </w:p>
    <w:p w14:paraId="3B6CF0B7">
      <w:pPr>
        <w:ind w:firstLine="480"/>
        <w:rPr>
          <w:color w:val="auto"/>
          <w:szCs w:val="20"/>
        </w:rPr>
      </w:pPr>
      <w:r>
        <w:rPr>
          <w:color w:val="auto"/>
          <w:szCs w:val="20"/>
        </w:rPr>
        <w:t>施工期间，建设单位应设专职环境管理人员，负责工程施工</w:t>
      </w:r>
      <w:r>
        <w:rPr>
          <w:rFonts w:hint="eastAsia"/>
          <w:color w:val="auto"/>
          <w:szCs w:val="20"/>
        </w:rPr>
        <w:t>期间</w:t>
      </w:r>
      <w:r>
        <w:rPr>
          <w:color w:val="auto"/>
          <w:szCs w:val="20"/>
        </w:rPr>
        <w:t>（从工程施工开始至工程竣工验收期间）的环境保护工作。具体职责包括：统筹管理施工期间的环境保护工作；制定施工期环境管理方案与计划；监督、协调施工单位依照承包合同条款、环境影响报告书及其批复意见的内容开展和落实工作；处理施工期内环境污染事故和纠纷，并及时向上级部门汇报等。建设单位在与施工单位签署施工承包合同时，应将环境保护的条款包含在内，如施工机械设备、施工方法、施工进度安排、施工设备废气、噪声排放控制措施、施工废水处理方式等。</w:t>
      </w:r>
    </w:p>
    <w:p w14:paraId="5D5B751F">
      <w:pPr>
        <w:ind w:firstLine="480"/>
        <w:rPr>
          <w:color w:val="auto"/>
          <w:szCs w:val="20"/>
        </w:rPr>
      </w:pPr>
      <w:r>
        <w:rPr>
          <w:color w:val="auto"/>
          <w:szCs w:val="20"/>
        </w:rPr>
        <w:t>（2）施工单位环境管理职责</w:t>
      </w:r>
    </w:p>
    <w:p w14:paraId="18A8FB88">
      <w:pPr>
        <w:ind w:firstLine="480"/>
        <w:rPr>
          <w:color w:val="auto"/>
          <w:szCs w:val="20"/>
        </w:rPr>
      </w:pPr>
      <w:r>
        <w:rPr>
          <w:color w:val="auto"/>
          <w:szCs w:val="20"/>
        </w:rPr>
        <w:t>施工单位是承包合同中各项环境保护措施的执行者，并要接受建设单位及有关环保管理部门的监督和管理。施工单位应设立环境保护管理机构，工程竣工并验收合格后</w:t>
      </w:r>
      <w:r>
        <w:rPr>
          <w:rFonts w:hint="eastAsia"/>
          <w:color w:val="auto"/>
          <w:szCs w:val="20"/>
        </w:rPr>
        <w:t>撤销</w:t>
      </w:r>
      <w:r>
        <w:rPr>
          <w:color w:val="auto"/>
          <w:szCs w:val="20"/>
        </w:rPr>
        <w:t>。其主要职责包括：</w:t>
      </w:r>
    </w:p>
    <w:p w14:paraId="25C65F02">
      <w:pPr>
        <w:ind w:firstLine="480"/>
        <w:rPr>
          <w:color w:val="auto"/>
          <w:szCs w:val="20"/>
        </w:rPr>
      </w:pPr>
      <w:r>
        <w:rPr>
          <w:color w:val="auto"/>
          <w:szCs w:val="20"/>
        </w:rPr>
        <w:t>①在施工前，应按照建设单位制定的环境管理方案，编制详细的“环境管理方案”，并连同施工计划一起呈报建设单位环境管理部门，批准后方可以开工。</w:t>
      </w:r>
    </w:p>
    <w:p w14:paraId="463797F5">
      <w:pPr>
        <w:ind w:firstLine="480"/>
        <w:rPr>
          <w:color w:val="auto"/>
          <w:szCs w:val="20"/>
        </w:rPr>
      </w:pPr>
      <w:r>
        <w:rPr>
          <w:color w:val="auto"/>
          <w:szCs w:val="20"/>
        </w:rPr>
        <w:t>②施工期间的各项活动需依据承包合同条款、环境影响报告书及其批复意见的内容严格执行，尽量减轻施工</w:t>
      </w:r>
      <w:r>
        <w:rPr>
          <w:rFonts w:hint="eastAsia"/>
          <w:color w:val="auto"/>
          <w:szCs w:val="20"/>
        </w:rPr>
        <w:t>期间</w:t>
      </w:r>
      <w:r>
        <w:rPr>
          <w:color w:val="auto"/>
          <w:szCs w:val="20"/>
        </w:rPr>
        <w:t>对环境的污染；</w:t>
      </w:r>
    </w:p>
    <w:p w14:paraId="5DCD6FBD">
      <w:pPr>
        <w:ind w:firstLine="480"/>
        <w:rPr>
          <w:color w:val="auto"/>
          <w:szCs w:val="20"/>
        </w:rPr>
      </w:pPr>
      <w:r>
        <w:rPr>
          <w:color w:val="auto"/>
          <w:szCs w:val="20"/>
        </w:rPr>
        <w:t>③定期向建设单位汇报承包合同中各项环保条款的执行情况，并负责环保措施的建设进度、建设质量、运行和检测情况。</w:t>
      </w:r>
    </w:p>
    <w:p w14:paraId="2D44886B">
      <w:pPr>
        <w:ind w:firstLine="480"/>
        <w:rPr>
          <w:color w:val="auto"/>
          <w:szCs w:val="20"/>
        </w:rPr>
      </w:pPr>
      <w:r>
        <w:rPr>
          <w:color w:val="auto"/>
          <w:szCs w:val="20"/>
        </w:rPr>
        <w:t>（3）施工期环境监理</w:t>
      </w:r>
    </w:p>
    <w:p w14:paraId="393233C8">
      <w:pPr>
        <w:ind w:firstLine="480"/>
        <w:rPr>
          <w:color w:val="auto"/>
          <w:szCs w:val="20"/>
        </w:rPr>
      </w:pPr>
      <w:r>
        <w:rPr>
          <w:color w:val="auto"/>
          <w:szCs w:val="20"/>
        </w:rPr>
        <w:t>为推进建设项目全过程环境管理，建议建设单位在项目施工阶段开展环境监理工作。</w:t>
      </w:r>
    </w:p>
    <w:p w14:paraId="55F9615D">
      <w:pPr>
        <w:keepNext/>
        <w:keepLines/>
        <w:tabs>
          <w:tab w:val="left" w:pos="2340"/>
        </w:tabs>
        <w:spacing w:before="120" w:beforeLines="50"/>
        <w:ind w:firstLine="0" w:firstLineChars="0"/>
        <w:outlineLvl w:val="2"/>
        <w:rPr>
          <w:b/>
          <w:bCs/>
          <w:color w:val="auto"/>
          <w:sz w:val="28"/>
          <w:szCs w:val="32"/>
        </w:rPr>
      </w:pPr>
      <w:r>
        <w:rPr>
          <w:rFonts w:hint="eastAsia"/>
          <w:b/>
          <w:bCs/>
          <w:color w:val="auto"/>
          <w:sz w:val="28"/>
          <w:szCs w:val="32"/>
        </w:rPr>
        <w:t>9</w:t>
      </w:r>
      <w:r>
        <w:rPr>
          <w:b/>
          <w:bCs/>
          <w:color w:val="auto"/>
          <w:sz w:val="28"/>
          <w:szCs w:val="32"/>
        </w:rPr>
        <w:t>.1.</w:t>
      </w:r>
      <w:r>
        <w:rPr>
          <w:rFonts w:hint="eastAsia"/>
          <w:b/>
          <w:bCs/>
          <w:color w:val="auto"/>
          <w:sz w:val="28"/>
          <w:szCs w:val="32"/>
        </w:rPr>
        <w:t>4</w:t>
      </w:r>
      <w:r>
        <w:rPr>
          <w:b/>
          <w:bCs/>
          <w:color w:val="auto"/>
          <w:sz w:val="28"/>
          <w:szCs w:val="32"/>
        </w:rPr>
        <w:t xml:space="preserve"> 运营期环境管理</w:t>
      </w:r>
    </w:p>
    <w:p w14:paraId="5B19013A">
      <w:pPr>
        <w:ind w:firstLine="480"/>
        <w:textAlignment w:val="center"/>
        <w:rPr>
          <w:color w:val="auto"/>
          <w:kern w:val="0"/>
          <w:szCs w:val="20"/>
        </w:rPr>
      </w:pPr>
      <w:r>
        <w:rPr>
          <w:color w:val="auto"/>
          <w:kern w:val="0"/>
          <w:szCs w:val="20"/>
        </w:rPr>
        <w:t>企业应建立健全环境管理制度体系，将环保工作纳入考核体系，确保在日常运行中将环保目标</w:t>
      </w:r>
      <w:r>
        <w:rPr>
          <w:rFonts w:hint="eastAsia"/>
          <w:color w:val="auto"/>
          <w:kern w:val="0"/>
          <w:szCs w:val="20"/>
        </w:rPr>
        <w:t>落到实处</w:t>
      </w:r>
      <w:r>
        <w:rPr>
          <w:color w:val="auto"/>
          <w:kern w:val="0"/>
          <w:szCs w:val="20"/>
        </w:rPr>
        <w:t>。</w:t>
      </w:r>
    </w:p>
    <w:p w14:paraId="6951031B">
      <w:pPr>
        <w:ind w:firstLine="480"/>
        <w:textAlignment w:val="center"/>
        <w:rPr>
          <w:color w:val="auto"/>
          <w:kern w:val="0"/>
          <w:szCs w:val="20"/>
        </w:rPr>
      </w:pPr>
      <w:r>
        <w:rPr>
          <w:color w:val="auto"/>
          <w:kern w:val="0"/>
          <w:szCs w:val="20"/>
        </w:rPr>
        <w:t>（1）“三同时”制度</w:t>
      </w:r>
    </w:p>
    <w:p w14:paraId="63F1185F">
      <w:pPr>
        <w:ind w:firstLine="480"/>
        <w:textAlignment w:val="center"/>
        <w:rPr>
          <w:color w:val="auto"/>
          <w:kern w:val="0"/>
          <w:szCs w:val="20"/>
        </w:rPr>
      </w:pPr>
      <w:r>
        <w:rPr>
          <w:color w:val="auto"/>
          <w:kern w:val="0"/>
          <w:szCs w:val="20"/>
        </w:rPr>
        <w:t>根据《建设项目环境保护管理条例》，建设项目需要配套建设的环境保护设施，必须与主体工程同时设计、同时施工、同时投产使用。</w:t>
      </w:r>
      <w:r>
        <w:rPr>
          <w:color w:val="auto"/>
        </w:rPr>
        <w:t>本项目</w:t>
      </w:r>
      <w:r>
        <w:rPr>
          <w:color w:val="auto"/>
          <w:kern w:val="0"/>
          <w:szCs w:val="20"/>
        </w:rPr>
        <w:t>配套建设的环境保护设施经验收合格，方可投入生产</w:t>
      </w:r>
      <w:r>
        <w:rPr>
          <w:rFonts w:hint="eastAsia"/>
          <w:color w:val="auto"/>
          <w:kern w:val="0"/>
          <w:szCs w:val="20"/>
        </w:rPr>
        <w:t>或</w:t>
      </w:r>
      <w:r>
        <w:rPr>
          <w:color w:val="auto"/>
          <w:kern w:val="0"/>
          <w:szCs w:val="20"/>
        </w:rPr>
        <w:t>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14:paraId="3340CE21">
      <w:pPr>
        <w:ind w:firstLine="480"/>
        <w:textAlignment w:val="center"/>
        <w:rPr>
          <w:color w:val="auto"/>
          <w:kern w:val="0"/>
          <w:szCs w:val="20"/>
        </w:rPr>
      </w:pPr>
      <w:r>
        <w:rPr>
          <w:color w:val="auto"/>
          <w:kern w:val="0"/>
          <w:szCs w:val="20"/>
        </w:rPr>
        <w:t>（2）排污许可证制度</w:t>
      </w:r>
    </w:p>
    <w:p w14:paraId="583084C1">
      <w:pPr>
        <w:ind w:firstLine="480"/>
        <w:textAlignment w:val="center"/>
        <w:rPr>
          <w:color w:val="auto"/>
          <w:kern w:val="0"/>
          <w:szCs w:val="20"/>
        </w:rPr>
      </w:pPr>
      <w:r>
        <w:rPr>
          <w:color w:val="auto"/>
          <w:kern w:val="0"/>
          <w:szCs w:val="20"/>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14:paraId="5861C5DD">
      <w:pPr>
        <w:ind w:firstLine="480"/>
        <w:rPr>
          <w:color w:val="auto"/>
        </w:rPr>
      </w:pPr>
      <w:r>
        <w:rPr>
          <w:color w:val="auto"/>
        </w:rPr>
        <w:t>（3）环保台账制度</w:t>
      </w:r>
    </w:p>
    <w:p w14:paraId="39F0A2C0">
      <w:pPr>
        <w:ind w:firstLine="480"/>
        <w:rPr>
          <w:color w:val="auto"/>
        </w:rPr>
      </w:pPr>
      <w:r>
        <w:rPr>
          <w:color w:val="auto"/>
        </w:rPr>
        <w:t>厂内需完善记录制度和档案保存制度，有利于环境管理质量的追踪和持续改进；记录和</w:t>
      </w:r>
      <w:r>
        <w:rPr>
          <w:rFonts w:hint="eastAsia"/>
          <w:color w:val="auto"/>
        </w:rPr>
        <w:t>台账</w:t>
      </w:r>
      <w:r>
        <w:rPr>
          <w:color w:val="auto"/>
        </w:rPr>
        <w:t>包括设施运行和维护记录、危险废物进出</w:t>
      </w:r>
      <w:r>
        <w:rPr>
          <w:rFonts w:hint="eastAsia"/>
          <w:color w:val="auto"/>
        </w:rPr>
        <w:t>台账</w:t>
      </w:r>
      <w:r>
        <w:rPr>
          <w:color w:val="auto"/>
        </w:rPr>
        <w:t>、废水、废气污染物监测</w:t>
      </w:r>
      <w:r>
        <w:rPr>
          <w:rFonts w:hint="eastAsia"/>
          <w:color w:val="auto"/>
        </w:rPr>
        <w:t>台账</w:t>
      </w:r>
      <w:r>
        <w:rPr>
          <w:color w:val="auto"/>
        </w:rPr>
        <w:t>、所有化学品使用</w:t>
      </w:r>
      <w:r>
        <w:rPr>
          <w:rFonts w:hint="eastAsia"/>
          <w:color w:val="auto"/>
        </w:rPr>
        <w:t>台账</w:t>
      </w:r>
      <w:r>
        <w:rPr>
          <w:color w:val="auto"/>
        </w:rPr>
        <w:t>、突发性事件的处理、调查记录等，妥善保存所有记录、</w:t>
      </w:r>
      <w:r>
        <w:rPr>
          <w:rFonts w:hint="eastAsia"/>
          <w:color w:val="auto"/>
        </w:rPr>
        <w:t>台账</w:t>
      </w:r>
      <w:r>
        <w:rPr>
          <w:color w:val="auto"/>
        </w:rPr>
        <w:t>及污染物排放监测资料、环境管理档案资料等。</w:t>
      </w:r>
    </w:p>
    <w:p w14:paraId="5FA07611">
      <w:pPr>
        <w:ind w:firstLine="480"/>
        <w:rPr>
          <w:color w:val="auto"/>
        </w:rPr>
      </w:pPr>
      <w:r>
        <w:rPr>
          <w:color w:val="auto"/>
        </w:rPr>
        <w:t>（4）污染治理设施管理制度</w:t>
      </w:r>
    </w:p>
    <w:p w14:paraId="29DE4D9B">
      <w:pPr>
        <w:ind w:firstLine="480"/>
        <w:rPr>
          <w:color w:val="auto"/>
        </w:rPr>
      </w:pPr>
      <w:r>
        <w:rPr>
          <w:color w:val="auto"/>
        </w:rPr>
        <w:t>项目建成后，必须确保污染</w:t>
      </w:r>
      <w:r>
        <w:rPr>
          <w:rFonts w:hint="eastAsia"/>
          <w:color w:val="auto"/>
        </w:rPr>
        <w:t>治理</w:t>
      </w:r>
      <w:r>
        <w:rPr>
          <w:color w:val="auto"/>
        </w:rPr>
        <w:t>设施长期、稳定、有效地运行，不得擅自拆除或者闲置污染处理设施，不得故意不正常使用污染处理设施。</w:t>
      </w:r>
      <w:r>
        <w:rPr>
          <w:rFonts w:hint="eastAsia"/>
          <w:color w:val="auto"/>
        </w:rPr>
        <w:t>污染治理</w:t>
      </w:r>
      <w:r>
        <w:rPr>
          <w:color w:val="auto"/>
        </w:rPr>
        <w:t>设施的管理必须与生产经营活动一起纳入单位日常管理工作的范畴，落实责任人、操作人员、维修人员、运行经费、设备的备品备件、化学药品和其他原辅材料。同时要建立岗位责任制、制定操作规程、建立管理</w:t>
      </w:r>
      <w:r>
        <w:rPr>
          <w:rFonts w:hint="eastAsia"/>
          <w:color w:val="auto"/>
        </w:rPr>
        <w:t>台账</w:t>
      </w:r>
      <w:r>
        <w:rPr>
          <w:color w:val="auto"/>
        </w:rPr>
        <w:t>。</w:t>
      </w:r>
    </w:p>
    <w:p w14:paraId="50540E92">
      <w:pPr>
        <w:ind w:firstLine="480"/>
        <w:rPr>
          <w:color w:val="auto"/>
        </w:rPr>
      </w:pPr>
      <w:r>
        <w:rPr>
          <w:color w:val="auto"/>
        </w:rPr>
        <w:t>（5）报告制度</w:t>
      </w:r>
    </w:p>
    <w:p w14:paraId="43BFDA05">
      <w:pPr>
        <w:ind w:firstLine="480"/>
        <w:rPr>
          <w:color w:val="auto"/>
        </w:rPr>
      </w:pPr>
      <w:r>
        <w:rPr>
          <w:color w:val="auto"/>
        </w:rPr>
        <w:t>执行月报制度。月报内容主要为污染治理设施的运行情况、污染物排放情况以及污染事故或污染纠纷等。厂内环境保护相关的所有记录、</w:t>
      </w:r>
      <w:r>
        <w:rPr>
          <w:rFonts w:hint="eastAsia"/>
          <w:color w:val="auto"/>
        </w:rPr>
        <w:t>台账</w:t>
      </w:r>
      <w:r>
        <w:rPr>
          <w:color w:val="auto"/>
        </w:rPr>
        <w:t>及污染物排放监测资料、环境管理档案资料等应妥善保存并定期上报，发现污染因子超标，要在监测数据出来后以书面形式上报公司管理层，快速果断采取应对措施。</w:t>
      </w:r>
    </w:p>
    <w:p w14:paraId="321BC9A2">
      <w:pPr>
        <w:ind w:firstLine="480"/>
        <w:rPr>
          <w:color w:val="auto"/>
        </w:rPr>
      </w:pPr>
      <w:r>
        <w:rPr>
          <w:color w:val="auto"/>
        </w:rPr>
        <w:t>建设单位应定期向园区及属地环保部门报告污染治理设施运行情况、污染物排放情况以及污染事故、污染纠纷等情况，便于政府部门及时了解污染动态，以利于采取相应的对策措施。本项目的性质、规模、地点、生产工艺和环境保护措施等发生变动的，必须向环保部门报告，并履行相关手续，如发生重大变动并且可能导致环境影响显著变化（特别是不利环境影响加重）的，应当重新报批环评。</w:t>
      </w:r>
    </w:p>
    <w:p w14:paraId="6F132131">
      <w:pPr>
        <w:ind w:firstLine="480"/>
        <w:rPr>
          <w:color w:val="auto"/>
        </w:rPr>
      </w:pPr>
      <w:r>
        <w:rPr>
          <w:color w:val="auto"/>
        </w:rPr>
        <w:t>（6）环保奖惩制度</w:t>
      </w:r>
    </w:p>
    <w:p w14:paraId="4BED50BB">
      <w:pPr>
        <w:ind w:firstLine="480"/>
        <w:rPr>
          <w:color w:val="auto"/>
        </w:rPr>
      </w:pPr>
      <w:r>
        <w:rPr>
          <w:color w:val="auto"/>
        </w:rPr>
        <w:t>企业应加强宣传教育，</w:t>
      </w:r>
      <w:r>
        <w:rPr>
          <w:rFonts w:hint="eastAsia"/>
          <w:color w:val="auto"/>
        </w:rPr>
        <w:t>增强</w:t>
      </w:r>
      <w:r>
        <w:rPr>
          <w:color w:val="auto"/>
        </w:rPr>
        <w:t>员工的污染隐患意识和环境风险意识；制定员工参与环保技术培训的计划，提高员工技术素质水平；设立岗位</w:t>
      </w:r>
      <w:r>
        <w:rPr>
          <w:rFonts w:hint="eastAsia"/>
          <w:color w:val="auto"/>
        </w:rPr>
        <w:t>负责</w:t>
      </w:r>
      <w:r>
        <w:rPr>
          <w:color w:val="auto"/>
        </w:rPr>
        <w:t>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6A3F008E">
      <w:pPr>
        <w:ind w:firstLine="480"/>
        <w:rPr>
          <w:color w:val="auto"/>
        </w:rPr>
      </w:pPr>
      <w:r>
        <w:rPr>
          <w:color w:val="auto"/>
        </w:rPr>
        <w:t>（7）信息公开制度</w:t>
      </w:r>
    </w:p>
    <w:p w14:paraId="0E0533A3">
      <w:pPr>
        <w:ind w:firstLine="480"/>
        <w:rPr>
          <w:color w:val="auto"/>
        </w:rPr>
      </w:pPr>
      <w:r>
        <w:rPr>
          <w:color w:val="auto"/>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789AA4D7">
      <w:pPr>
        <w:pStyle w:val="4"/>
        <w:spacing w:beforeLines="50" w:after="0"/>
        <w:ind w:firstLine="0" w:firstLineChars="0"/>
        <w:rPr>
          <w:color w:val="auto"/>
          <w:sz w:val="30"/>
          <w:szCs w:val="30"/>
        </w:rPr>
      </w:pPr>
      <w:bookmarkStart w:id="236" w:name="_Toc12568"/>
      <w:r>
        <w:rPr>
          <w:rFonts w:hint="eastAsia"/>
          <w:color w:val="auto"/>
          <w:sz w:val="30"/>
          <w:szCs w:val="30"/>
        </w:rPr>
        <w:t>9</w:t>
      </w:r>
      <w:r>
        <w:rPr>
          <w:color w:val="auto"/>
          <w:sz w:val="30"/>
          <w:szCs w:val="30"/>
        </w:rPr>
        <w:t>.2 环境监测计划</w:t>
      </w:r>
      <w:bookmarkEnd w:id="236"/>
    </w:p>
    <w:p w14:paraId="5FB2C7E3">
      <w:pPr>
        <w:keepNext/>
        <w:keepLines/>
        <w:tabs>
          <w:tab w:val="left" w:pos="2340"/>
        </w:tabs>
        <w:spacing w:before="120" w:beforeLines="50"/>
        <w:ind w:firstLine="0" w:firstLineChars="0"/>
        <w:outlineLvl w:val="2"/>
        <w:rPr>
          <w:b/>
          <w:bCs/>
          <w:color w:val="auto"/>
          <w:sz w:val="28"/>
          <w:szCs w:val="32"/>
        </w:rPr>
      </w:pPr>
      <w:bookmarkStart w:id="237" w:name="_Toc399600570"/>
      <w:bookmarkStart w:id="238" w:name="_Toc397521677"/>
      <w:r>
        <w:rPr>
          <w:rFonts w:hint="eastAsia"/>
          <w:b/>
          <w:bCs/>
          <w:color w:val="auto"/>
          <w:sz w:val="28"/>
          <w:szCs w:val="32"/>
        </w:rPr>
        <w:t>9</w:t>
      </w:r>
      <w:r>
        <w:rPr>
          <w:b/>
          <w:bCs/>
          <w:color w:val="auto"/>
          <w:sz w:val="28"/>
          <w:szCs w:val="32"/>
        </w:rPr>
        <w:t>.2.1 施工期监测计划</w:t>
      </w:r>
      <w:bookmarkEnd w:id="237"/>
      <w:bookmarkEnd w:id="238"/>
    </w:p>
    <w:p w14:paraId="68AB2C00">
      <w:pPr>
        <w:widowControl/>
        <w:ind w:firstLine="480"/>
        <w:rPr>
          <w:color w:val="auto"/>
        </w:rPr>
      </w:pPr>
      <w:bookmarkStart w:id="239" w:name="_Toc397521678"/>
      <w:bookmarkStart w:id="240" w:name="_Toc399600571"/>
      <w:r>
        <w:rPr>
          <w:color w:val="auto"/>
          <w:kern w:val="0"/>
        </w:rPr>
        <w:t>本项目施工期环境保护管理的主要内容：</w:t>
      </w:r>
    </w:p>
    <w:p w14:paraId="09C3E25B">
      <w:pPr>
        <w:widowControl/>
        <w:ind w:firstLine="480"/>
        <w:rPr>
          <w:color w:val="auto"/>
        </w:rPr>
      </w:pPr>
      <w:r>
        <w:rPr>
          <w:color w:val="auto"/>
          <w:kern w:val="0"/>
        </w:rPr>
        <w:t>（1）在施工期间，应按照以下计划实施施工期环境监测。</w:t>
      </w:r>
    </w:p>
    <w:p w14:paraId="3ACF752E">
      <w:pPr>
        <w:widowControl/>
        <w:ind w:firstLine="480"/>
        <w:rPr>
          <w:color w:val="auto"/>
        </w:rPr>
      </w:pPr>
      <w:r>
        <w:rPr>
          <w:color w:val="auto"/>
          <w:kern w:val="0"/>
        </w:rPr>
        <w:t>①大气监测</w:t>
      </w:r>
    </w:p>
    <w:p w14:paraId="43CF416C">
      <w:pPr>
        <w:widowControl/>
        <w:ind w:firstLine="480"/>
        <w:rPr>
          <w:color w:val="auto"/>
        </w:rPr>
      </w:pPr>
      <w:r>
        <w:rPr>
          <w:color w:val="auto"/>
          <w:kern w:val="0"/>
        </w:rPr>
        <w:t>在施工区及其周围布设2个大气监测点，监测一次，每次连续三天，监测因子为TSP、PM</w:t>
      </w:r>
      <w:r>
        <w:rPr>
          <w:color w:val="auto"/>
          <w:kern w:val="0"/>
          <w:vertAlign w:val="subscript"/>
        </w:rPr>
        <w:t>10</w:t>
      </w:r>
      <w:r>
        <w:rPr>
          <w:color w:val="auto"/>
          <w:kern w:val="0"/>
        </w:rPr>
        <w:t>。</w:t>
      </w:r>
    </w:p>
    <w:p w14:paraId="010DB2AA">
      <w:pPr>
        <w:widowControl/>
        <w:ind w:firstLine="480"/>
        <w:rPr>
          <w:color w:val="auto"/>
        </w:rPr>
      </w:pPr>
      <w:r>
        <w:rPr>
          <w:color w:val="auto"/>
          <w:kern w:val="0"/>
        </w:rPr>
        <w:t>②噪声监测</w:t>
      </w:r>
    </w:p>
    <w:p w14:paraId="058BE2DA">
      <w:pPr>
        <w:widowControl/>
        <w:ind w:firstLine="480"/>
        <w:rPr>
          <w:color w:val="auto"/>
        </w:rPr>
      </w:pPr>
      <w:r>
        <w:rPr>
          <w:color w:val="auto"/>
          <w:kern w:val="0"/>
        </w:rPr>
        <w:t>在施工场地四周设置5～6个噪声监测点，每月监测1天，昼、夜间各监测1次，监测因子为等效A声级dB（A）。</w:t>
      </w:r>
    </w:p>
    <w:p w14:paraId="628A766C">
      <w:pPr>
        <w:widowControl/>
        <w:ind w:firstLine="480"/>
        <w:rPr>
          <w:color w:val="auto"/>
        </w:rPr>
      </w:pPr>
      <w:r>
        <w:rPr>
          <w:color w:val="auto"/>
          <w:kern w:val="0"/>
        </w:rPr>
        <w:t>（2）环境管理机构对施工期环境保护工作全面负责，履行施工期各阶段环境管理职责。对施工队伍实行职责管理，要求施工队伍按要求文明施工，并做好监督、检查和教育工作。</w:t>
      </w:r>
    </w:p>
    <w:p w14:paraId="74EDFF88">
      <w:pPr>
        <w:widowControl/>
        <w:ind w:firstLine="480"/>
        <w:rPr>
          <w:color w:val="auto"/>
        </w:rPr>
      </w:pPr>
      <w:r>
        <w:rPr>
          <w:color w:val="auto"/>
          <w:kern w:val="0"/>
        </w:rPr>
        <w:t>（3）按照环保主管部门的要求和本报告书中有关环境保护对策措施对施工程序和场地布置实施统一安排；对产生的扬尘应及时洒水，及时清除弃土，避免二次扬尘；合理布置施工场内的机械和设备，把噪声较大的机械设备布置到远离居民的地点。</w:t>
      </w:r>
    </w:p>
    <w:p w14:paraId="6970ED61">
      <w:pPr>
        <w:widowControl/>
        <w:ind w:firstLine="480"/>
        <w:rPr>
          <w:color w:val="auto"/>
        </w:rPr>
      </w:pPr>
      <w:r>
        <w:rPr>
          <w:color w:val="auto"/>
          <w:kern w:val="0"/>
        </w:rPr>
        <w:t>（4）在施工结束后，建设单位应组织全面检查工程环保措施落实和施工现场的环境恢复情况，督促施工单位及时撤出临时占用场地，恢复原貌。</w:t>
      </w:r>
    </w:p>
    <w:p w14:paraId="2C4F8E83">
      <w:pPr>
        <w:widowControl/>
        <w:spacing w:line="240" w:lineRule="auto"/>
        <w:ind w:firstLine="0" w:firstLineChars="0"/>
        <w:jc w:val="center"/>
        <w:rPr>
          <w:b/>
          <w:color w:val="auto"/>
        </w:rPr>
      </w:pPr>
      <w:r>
        <w:rPr>
          <w:b/>
          <w:color w:val="auto"/>
          <w:kern w:val="0"/>
        </w:rPr>
        <w:t>表</w:t>
      </w:r>
      <w:r>
        <w:rPr>
          <w:rFonts w:hint="eastAsia"/>
          <w:b/>
          <w:color w:val="auto"/>
          <w:kern w:val="0"/>
        </w:rPr>
        <w:t>9</w:t>
      </w:r>
      <w:r>
        <w:rPr>
          <w:b/>
          <w:color w:val="auto"/>
          <w:kern w:val="0"/>
        </w:rPr>
        <w:t>.2-1  施工期环境管理及监理的主要内容</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6354"/>
        <w:gridCol w:w="1563"/>
      </w:tblGrid>
      <w:tr w14:paraId="1333B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04" w:type="pct"/>
            <w:tcBorders>
              <w:tl2br w:val="nil"/>
              <w:tr2bl w:val="nil"/>
            </w:tcBorders>
            <w:shd w:val="clear" w:color="auto" w:fill="auto"/>
            <w:vAlign w:val="center"/>
          </w:tcPr>
          <w:p w14:paraId="031AFD21">
            <w:pPr>
              <w:widowControl/>
              <w:spacing w:line="240" w:lineRule="auto"/>
              <w:ind w:firstLine="0" w:firstLineChars="0"/>
              <w:jc w:val="center"/>
              <w:rPr>
                <w:b/>
                <w:color w:val="auto"/>
                <w:sz w:val="21"/>
                <w:szCs w:val="21"/>
              </w:rPr>
            </w:pPr>
            <w:r>
              <w:rPr>
                <w:b/>
                <w:color w:val="auto"/>
                <w:kern w:val="0"/>
                <w:sz w:val="21"/>
                <w:szCs w:val="21"/>
              </w:rPr>
              <w:t>监测计划</w:t>
            </w:r>
          </w:p>
        </w:tc>
        <w:tc>
          <w:tcPr>
            <w:tcW w:w="3448" w:type="pct"/>
            <w:tcBorders>
              <w:tl2br w:val="nil"/>
              <w:tr2bl w:val="nil"/>
            </w:tcBorders>
            <w:shd w:val="clear" w:color="auto" w:fill="auto"/>
            <w:vAlign w:val="center"/>
          </w:tcPr>
          <w:p w14:paraId="3D6D7DAE">
            <w:pPr>
              <w:widowControl/>
              <w:spacing w:line="240" w:lineRule="auto"/>
              <w:ind w:firstLine="0" w:firstLineChars="0"/>
              <w:jc w:val="center"/>
              <w:rPr>
                <w:b/>
                <w:color w:val="auto"/>
                <w:sz w:val="21"/>
                <w:szCs w:val="21"/>
              </w:rPr>
            </w:pPr>
            <w:r>
              <w:rPr>
                <w:b/>
                <w:color w:val="auto"/>
                <w:kern w:val="0"/>
                <w:sz w:val="21"/>
                <w:szCs w:val="21"/>
              </w:rPr>
              <w:t>监测点位及频率</w:t>
            </w:r>
          </w:p>
        </w:tc>
        <w:tc>
          <w:tcPr>
            <w:tcW w:w="848" w:type="pct"/>
            <w:tcBorders>
              <w:tl2br w:val="nil"/>
              <w:tr2bl w:val="nil"/>
            </w:tcBorders>
            <w:shd w:val="clear" w:color="auto" w:fill="auto"/>
            <w:vAlign w:val="center"/>
          </w:tcPr>
          <w:p w14:paraId="2C7B59E0">
            <w:pPr>
              <w:widowControl/>
              <w:spacing w:line="240" w:lineRule="auto"/>
              <w:ind w:firstLine="0" w:firstLineChars="0"/>
              <w:jc w:val="center"/>
              <w:rPr>
                <w:b/>
                <w:color w:val="auto"/>
                <w:sz w:val="21"/>
                <w:szCs w:val="21"/>
              </w:rPr>
            </w:pPr>
            <w:r>
              <w:rPr>
                <w:b/>
                <w:color w:val="auto"/>
                <w:kern w:val="0"/>
                <w:sz w:val="21"/>
                <w:szCs w:val="21"/>
              </w:rPr>
              <w:t>监测因子</w:t>
            </w:r>
          </w:p>
        </w:tc>
      </w:tr>
      <w:tr w14:paraId="47D3C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tcBorders>
              <w:tl2br w:val="nil"/>
              <w:tr2bl w:val="nil"/>
            </w:tcBorders>
            <w:shd w:val="clear" w:color="auto" w:fill="auto"/>
            <w:vAlign w:val="center"/>
          </w:tcPr>
          <w:p w14:paraId="415F46CD">
            <w:pPr>
              <w:widowControl/>
              <w:spacing w:line="240" w:lineRule="auto"/>
              <w:ind w:firstLine="0" w:firstLineChars="0"/>
              <w:jc w:val="center"/>
              <w:rPr>
                <w:color w:val="auto"/>
                <w:sz w:val="21"/>
                <w:szCs w:val="21"/>
              </w:rPr>
            </w:pPr>
            <w:r>
              <w:rPr>
                <w:color w:val="auto"/>
                <w:kern w:val="0"/>
                <w:sz w:val="21"/>
                <w:szCs w:val="21"/>
              </w:rPr>
              <w:t>大气</w:t>
            </w:r>
          </w:p>
        </w:tc>
        <w:tc>
          <w:tcPr>
            <w:tcW w:w="3448" w:type="pct"/>
            <w:tcBorders>
              <w:tl2br w:val="nil"/>
              <w:tr2bl w:val="nil"/>
            </w:tcBorders>
            <w:shd w:val="clear" w:color="auto" w:fill="auto"/>
            <w:vAlign w:val="center"/>
          </w:tcPr>
          <w:p w14:paraId="7F2C08A0">
            <w:pPr>
              <w:widowControl/>
              <w:spacing w:line="240" w:lineRule="auto"/>
              <w:ind w:firstLine="0" w:firstLineChars="0"/>
              <w:jc w:val="center"/>
              <w:rPr>
                <w:color w:val="auto"/>
                <w:sz w:val="21"/>
                <w:szCs w:val="21"/>
              </w:rPr>
            </w:pPr>
            <w:r>
              <w:rPr>
                <w:color w:val="auto"/>
                <w:kern w:val="0"/>
                <w:sz w:val="21"/>
                <w:szCs w:val="21"/>
              </w:rPr>
              <w:t>2个大气监测点，监测一次，每次连续三天</w:t>
            </w:r>
          </w:p>
        </w:tc>
        <w:tc>
          <w:tcPr>
            <w:tcW w:w="848" w:type="pct"/>
            <w:tcBorders>
              <w:tl2br w:val="nil"/>
              <w:tr2bl w:val="nil"/>
            </w:tcBorders>
            <w:shd w:val="clear" w:color="auto" w:fill="auto"/>
            <w:vAlign w:val="center"/>
          </w:tcPr>
          <w:p w14:paraId="5753E061">
            <w:pPr>
              <w:widowControl/>
              <w:spacing w:line="240" w:lineRule="auto"/>
              <w:ind w:firstLine="0" w:firstLineChars="0"/>
              <w:jc w:val="center"/>
              <w:rPr>
                <w:color w:val="auto"/>
                <w:sz w:val="21"/>
                <w:szCs w:val="21"/>
              </w:rPr>
            </w:pPr>
            <w:r>
              <w:rPr>
                <w:color w:val="auto"/>
                <w:kern w:val="0"/>
                <w:sz w:val="21"/>
                <w:szCs w:val="21"/>
              </w:rPr>
              <w:t>TSP</w:t>
            </w:r>
          </w:p>
        </w:tc>
      </w:tr>
      <w:tr w14:paraId="25903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tcBorders>
              <w:tl2br w:val="nil"/>
              <w:tr2bl w:val="nil"/>
            </w:tcBorders>
            <w:shd w:val="clear" w:color="auto" w:fill="auto"/>
            <w:vAlign w:val="center"/>
          </w:tcPr>
          <w:p w14:paraId="2251638B">
            <w:pPr>
              <w:widowControl/>
              <w:spacing w:line="240" w:lineRule="auto"/>
              <w:ind w:firstLine="0" w:firstLineChars="0"/>
              <w:jc w:val="center"/>
              <w:rPr>
                <w:color w:val="auto"/>
                <w:sz w:val="21"/>
                <w:szCs w:val="21"/>
              </w:rPr>
            </w:pPr>
            <w:r>
              <w:rPr>
                <w:color w:val="auto"/>
                <w:kern w:val="0"/>
                <w:sz w:val="21"/>
                <w:szCs w:val="21"/>
              </w:rPr>
              <w:t>噪声</w:t>
            </w:r>
          </w:p>
        </w:tc>
        <w:tc>
          <w:tcPr>
            <w:tcW w:w="3448" w:type="pct"/>
            <w:tcBorders>
              <w:tl2br w:val="nil"/>
              <w:tr2bl w:val="nil"/>
            </w:tcBorders>
            <w:shd w:val="clear" w:color="auto" w:fill="auto"/>
            <w:vAlign w:val="center"/>
          </w:tcPr>
          <w:p w14:paraId="27648BDC">
            <w:pPr>
              <w:widowControl/>
              <w:spacing w:line="240" w:lineRule="auto"/>
              <w:ind w:firstLine="0" w:firstLineChars="0"/>
              <w:jc w:val="center"/>
              <w:rPr>
                <w:color w:val="auto"/>
                <w:sz w:val="21"/>
                <w:szCs w:val="21"/>
              </w:rPr>
            </w:pPr>
            <w:r>
              <w:rPr>
                <w:color w:val="auto"/>
                <w:kern w:val="0"/>
                <w:sz w:val="21"/>
                <w:szCs w:val="21"/>
              </w:rPr>
              <w:t>施工场地四周设置5～6个噪声监测点，每月监测1天，昼、夜间各监测1次</w:t>
            </w:r>
          </w:p>
        </w:tc>
        <w:tc>
          <w:tcPr>
            <w:tcW w:w="848" w:type="pct"/>
            <w:tcBorders>
              <w:tl2br w:val="nil"/>
              <w:tr2bl w:val="nil"/>
            </w:tcBorders>
            <w:shd w:val="clear" w:color="auto" w:fill="auto"/>
            <w:vAlign w:val="center"/>
          </w:tcPr>
          <w:p w14:paraId="575651E2">
            <w:pPr>
              <w:widowControl/>
              <w:spacing w:line="240" w:lineRule="auto"/>
              <w:ind w:firstLine="0" w:firstLineChars="0"/>
              <w:jc w:val="center"/>
              <w:rPr>
                <w:color w:val="auto"/>
                <w:sz w:val="21"/>
                <w:szCs w:val="21"/>
              </w:rPr>
            </w:pPr>
            <w:r>
              <w:rPr>
                <w:color w:val="auto"/>
                <w:kern w:val="0"/>
                <w:sz w:val="21"/>
                <w:szCs w:val="21"/>
              </w:rPr>
              <w:t>等效A声级dB（A）</w:t>
            </w:r>
          </w:p>
        </w:tc>
      </w:tr>
      <w:tr w14:paraId="411BD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tcBorders>
              <w:tl2br w:val="nil"/>
              <w:tr2bl w:val="nil"/>
            </w:tcBorders>
            <w:shd w:val="clear" w:color="auto" w:fill="auto"/>
            <w:vAlign w:val="center"/>
          </w:tcPr>
          <w:p w14:paraId="28D72157">
            <w:pPr>
              <w:widowControl/>
              <w:spacing w:line="240" w:lineRule="auto"/>
              <w:ind w:firstLine="0" w:firstLineChars="0"/>
              <w:jc w:val="center"/>
              <w:rPr>
                <w:color w:val="auto"/>
                <w:sz w:val="21"/>
                <w:szCs w:val="21"/>
              </w:rPr>
            </w:pPr>
            <w:r>
              <w:rPr>
                <w:color w:val="auto"/>
                <w:kern w:val="0"/>
                <w:sz w:val="21"/>
                <w:szCs w:val="21"/>
              </w:rPr>
              <w:t>防治对象</w:t>
            </w:r>
          </w:p>
        </w:tc>
        <w:tc>
          <w:tcPr>
            <w:tcW w:w="3448" w:type="pct"/>
            <w:tcBorders>
              <w:tl2br w:val="nil"/>
              <w:tr2bl w:val="nil"/>
            </w:tcBorders>
            <w:shd w:val="clear" w:color="auto" w:fill="auto"/>
            <w:vAlign w:val="center"/>
          </w:tcPr>
          <w:p w14:paraId="6026DA73">
            <w:pPr>
              <w:widowControl/>
              <w:spacing w:line="240" w:lineRule="auto"/>
              <w:ind w:firstLine="0" w:firstLineChars="0"/>
              <w:jc w:val="center"/>
              <w:rPr>
                <w:color w:val="auto"/>
                <w:sz w:val="21"/>
                <w:szCs w:val="21"/>
              </w:rPr>
            </w:pPr>
            <w:r>
              <w:rPr>
                <w:color w:val="auto"/>
                <w:kern w:val="0"/>
                <w:sz w:val="21"/>
                <w:szCs w:val="21"/>
              </w:rPr>
              <w:t>防治措施</w:t>
            </w:r>
          </w:p>
        </w:tc>
        <w:tc>
          <w:tcPr>
            <w:tcW w:w="848" w:type="pct"/>
            <w:tcBorders>
              <w:tl2br w:val="nil"/>
              <w:tr2bl w:val="nil"/>
            </w:tcBorders>
            <w:shd w:val="clear" w:color="auto" w:fill="auto"/>
            <w:vAlign w:val="center"/>
          </w:tcPr>
          <w:p w14:paraId="4D97516E">
            <w:pPr>
              <w:widowControl/>
              <w:spacing w:line="240" w:lineRule="auto"/>
              <w:ind w:firstLine="0" w:firstLineChars="0"/>
              <w:jc w:val="center"/>
              <w:rPr>
                <w:color w:val="auto"/>
                <w:sz w:val="21"/>
                <w:szCs w:val="21"/>
              </w:rPr>
            </w:pPr>
            <w:r>
              <w:rPr>
                <w:color w:val="auto"/>
                <w:kern w:val="0"/>
                <w:sz w:val="21"/>
                <w:szCs w:val="21"/>
              </w:rPr>
              <w:t>环境管理</w:t>
            </w:r>
          </w:p>
        </w:tc>
      </w:tr>
      <w:tr w14:paraId="22B98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restart"/>
            <w:tcBorders>
              <w:tl2br w:val="nil"/>
              <w:tr2bl w:val="nil"/>
            </w:tcBorders>
            <w:shd w:val="clear" w:color="auto" w:fill="auto"/>
            <w:vAlign w:val="center"/>
          </w:tcPr>
          <w:p w14:paraId="64659D9A">
            <w:pPr>
              <w:widowControl/>
              <w:spacing w:line="240" w:lineRule="auto"/>
              <w:ind w:firstLine="0" w:firstLineChars="0"/>
              <w:jc w:val="center"/>
              <w:rPr>
                <w:color w:val="auto"/>
                <w:sz w:val="21"/>
                <w:szCs w:val="21"/>
              </w:rPr>
            </w:pPr>
            <w:r>
              <w:rPr>
                <w:color w:val="auto"/>
                <w:kern w:val="0"/>
                <w:sz w:val="21"/>
                <w:szCs w:val="21"/>
              </w:rPr>
              <w:t>施工扬尘</w:t>
            </w:r>
          </w:p>
        </w:tc>
        <w:tc>
          <w:tcPr>
            <w:tcW w:w="3448" w:type="pct"/>
            <w:tcBorders>
              <w:tl2br w:val="nil"/>
              <w:tr2bl w:val="nil"/>
            </w:tcBorders>
            <w:shd w:val="clear" w:color="auto" w:fill="auto"/>
            <w:vAlign w:val="center"/>
          </w:tcPr>
          <w:p w14:paraId="295C1C40">
            <w:pPr>
              <w:widowControl/>
              <w:spacing w:line="240" w:lineRule="auto"/>
              <w:ind w:firstLine="0" w:firstLineChars="0"/>
              <w:jc w:val="center"/>
              <w:rPr>
                <w:color w:val="auto"/>
                <w:sz w:val="21"/>
                <w:szCs w:val="21"/>
              </w:rPr>
            </w:pPr>
            <w:r>
              <w:rPr>
                <w:color w:val="auto"/>
                <w:kern w:val="0"/>
                <w:sz w:val="21"/>
                <w:szCs w:val="21"/>
              </w:rPr>
              <w:t>建筑垃圾、生活垃圾及多余弃土、渣及时清运；</w:t>
            </w:r>
          </w:p>
        </w:tc>
        <w:tc>
          <w:tcPr>
            <w:tcW w:w="848" w:type="pct"/>
            <w:vMerge w:val="restart"/>
            <w:tcBorders>
              <w:tl2br w:val="nil"/>
              <w:tr2bl w:val="nil"/>
            </w:tcBorders>
            <w:shd w:val="clear" w:color="auto" w:fill="auto"/>
            <w:vAlign w:val="center"/>
          </w:tcPr>
          <w:p w14:paraId="4DB48E07">
            <w:pPr>
              <w:widowControl/>
              <w:spacing w:line="240" w:lineRule="auto"/>
              <w:ind w:firstLine="0" w:firstLineChars="0"/>
              <w:jc w:val="center"/>
              <w:rPr>
                <w:color w:val="auto"/>
                <w:sz w:val="21"/>
                <w:szCs w:val="21"/>
              </w:rPr>
            </w:pPr>
            <w:r>
              <w:rPr>
                <w:color w:val="auto"/>
                <w:kern w:val="0"/>
                <w:sz w:val="21"/>
                <w:szCs w:val="21"/>
              </w:rPr>
              <w:t>施工单位环保措施上墙，落实到人，做好施工场地环境管理和保洁工作。</w:t>
            </w:r>
          </w:p>
        </w:tc>
      </w:tr>
      <w:tr w14:paraId="3545B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427DBAE9">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6C784C4A">
            <w:pPr>
              <w:widowControl/>
              <w:spacing w:line="240" w:lineRule="auto"/>
              <w:ind w:firstLine="0" w:firstLineChars="0"/>
              <w:jc w:val="center"/>
              <w:rPr>
                <w:color w:val="auto"/>
                <w:sz w:val="21"/>
                <w:szCs w:val="21"/>
              </w:rPr>
            </w:pPr>
            <w:r>
              <w:rPr>
                <w:color w:val="auto"/>
                <w:kern w:val="0"/>
                <w:sz w:val="21"/>
                <w:szCs w:val="21"/>
              </w:rPr>
              <w:t>施工场地车辆出入口设置、车辆冲洗及沉淀设施；</w:t>
            </w:r>
          </w:p>
        </w:tc>
        <w:tc>
          <w:tcPr>
            <w:tcW w:w="848" w:type="pct"/>
            <w:vMerge w:val="continue"/>
            <w:tcBorders>
              <w:tl2br w:val="nil"/>
              <w:tr2bl w:val="nil"/>
            </w:tcBorders>
            <w:shd w:val="clear" w:color="auto" w:fill="auto"/>
            <w:vAlign w:val="center"/>
          </w:tcPr>
          <w:p w14:paraId="5E13B64E">
            <w:pPr>
              <w:spacing w:line="240" w:lineRule="auto"/>
              <w:ind w:firstLine="0" w:firstLineChars="0"/>
              <w:jc w:val="center"/>
              <w:rPr>
                <w:color w:val="auto"/>
                <w:sz w:val="21"/>
                <w:szCs w:val="21"/>
              </w:rPr>
            </w:pPr>
          </w:p>
        </w:tc>
      </w:tr>
      <w:tr w14:paraId="727FD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4FC6F030">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1DF93788">
            <w:pPr>
              <w:widowControl/>
              <w:spacing w:line="240" w:lineRule="auto"/>
              <w:ind w:firstLine="0" w:firstLineChars="0"/>
              <w:jc w:val="center"/>
              <w:rPr>
                <w:color w:val="auto"/>
                <w:sz w:val="21"/>
                <w:szCs w:val="21"/>
              </w:rPr>
            </w:pPr>
            <w:r>
              <w:rPr>
                <w:color w:val="auto"/>
                <w:kern w:val="0"/>
                <w:sz w:val="21"/>
                <w:szCs w:val="21"/>
              </w:rPr>
              <w:t>对工地及进出口定期洒水抑尘、清扫，保持工地整齐干净；</w:t>
            </w:r>
          </w:p>
        </w:tc>
        <w:tc>
          <w:tcPr>
            <w:tcW w:w="848" w:type="pct"/>
            <w:vMerge w:val="continue"/>
            <w:tcBorders>
              <w:tl2br w:val="nil"/>
              <w:tr2bl w:val="nil"/>
            </w:tcBorders>
            <w:shd w:val="clear" w:color="auto" w:fill="auto"/>
            <w:vAlign w:val="center"/>
          </w:tcPr>
          <w:p w14:paraId="7CD42AED">
            <w:pPr>
              <w:spacing w:line="240" w:lineRule="auto"/>
              <w:ind w:firstLine="0" w:firstLineChars="0"/>
              <w:jc w:val="center"/>
              <w:rPr>
                <w:color w:val="auto"/>
                <w:sz w:val="21"/>
                <w:szCs w:val="21"/>
              </w:rPr>
            </w:pPr>
          </w:p>
        </w:tc>
      </w:tr>
      <w:tr w14:paraId="60BBB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2CF831ED">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48A01429">
            <w:pPr>
              <w:widowControl/>
              <w:spacing w:line="240" w:lineRule="auto"/>
              <w:ind w:firstLine="0" w:firstLineChars="0"/>
              <w:jc w:val="center"/>
              <w:rPr>
                <w:color w:val="auto"/>
                <w:sz w:val="21"/>
                <w:szCs w:val="21"/>
              </w:rPr>
            </w:pPr>
            <w:r>
              <w:rPr>
                <w:color w:val="auto"/>
                <w:kern w:val="0"/>
                <w:sz w:val="21"/>
                <w:szCs w:val="21"/>
              </w:rPr>
              <w:t>禁止焚烧熔化沥青；</w:t>
            </w:r>
          </w:p>
        </w:tc>
        <w:tc>
          <w:tcPr>
            <w:tcW w:w="848" w:type="pct"/>
            <w:vMerge w:val="continue"/>
            <w:tcBorders>
              <w:tl2br w:val="nil"/>
              <w:tr2bl w:val="nil"/>
            </w:tcBorders>
            <w:shd w:val="clear" w:color="auto" w:fill="auto"/>
            <w:vAlign w:val="center"/>
          </w:tcPr>
          <w:p w14:paraId="4032322D">
            <w:pPr>
              <w:spacing w:line="240" w:lineRule="auto"/>
              <w:ind w:firstLine="0" w:firstLineChars="0"/>
              <w:jc w:val="center"/>
              <w:rPr>
                <w:color w:val="auto"/>
                <w:sz w:val="21"/>
                <w:szCs w:val="21"/>
              </w:rPr>
            </w:pPr>
          </w:p>
        </w:tc>
      </w:tr>
      <w:tr w14:paraId="4C660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1C0A54A6">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535E2C76">
            <w:pPr>
              <w:widowControl/>
              <w:spacing w:line="240" w:lineRule="auto"/>
              <w:ind w:firstLine="0" w:firstLineChars="0"/>
              <w:jc w:val="center"/>
              <w:rPr>
                <w:color w:val="auto"/>
                <w:sz w:val="21"/>
                <w:szCs w:val="21"/>
              </w:rPr>
            </w:pPr>
            <w:r>
              <w:rPr>
                <w:color w:val="auto"/>
                <w:kern w:val="0"/>
                <w:sz w:val="21"/>
                <w:szCs w:val="21"/>
              </w:rPr>
              <w:t>对回填土方进行压实或喷覆盖剂处理；</w:t>
            </w:r>
          </w:p>
        </w:tc>
        <w:tc>
          <w:tcPr>
            <w:tcW w:w="848" w:type="pct"/>
            <w:vMerge w:val="continue"/>
            <w:tcBorders>
              <w:tl2br w:val="nil"/>
              <w:tr2bl w:val="nil"/>
            </w:tcBorders>
            <w:shd w:val="clear" w:color="auto" w:fill="auto"/>
            <w:vAlign w:val="center"/>
          </w:tcPr>
          <w:p w14:paraId="5EDC81A2">
            <w:pPr>
              <w:spacing w:line="240" w:lineRule="auto"/>
              <w:ind w:firstLine="0" w:firstLineChars="0"/>
              <w:jc w:val="center"/>
              <w:rPr>
                <w:color w:val="auto"/>
                <w:sz w:val="21"/>
                <w:szCs w:val="21"/>
              </w:rPr>
            </w:pPr>
          </w:p>
        </w:tc>
      </w:tr>
      <w:tr w14:paraId="309D1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01B66A79">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4E1F62D2">
            <w:pPr>
              <w:widowControl/>
              <w:spacing w:line="240" w:lineRule="auto"/>
              <w:ind w:firstLine="0" w:firstLineChars="0"/>
              <w:jc w:val="center"/>
              <w:rPr>
                <w:color w:val="auto"/>
                <w:sz w:val="21"/>
                <w:szCs w:val="21"/>
              </w:rPr>
            </w:pPr>
            <w:r>
              <w:rPr>
                <w:color w:val="auto"/>
                <w:kern w:val="0"/>
                <w:sz w:val="21"/>
                <w:szCs w:val="21"/>
              </w:rPr>
              <w:t>建筑工地按有关规定进行围挡。</w:t>
            </w:r>
          </w:p>
        </w:tc>
        <w:tc>
          <w:tcPr>
            <w:tcW w:w="848" w:type="pct"/>
            <w:vMerge w:val="continue"/>
            <w:tcBorders>
              <w:tl2br w:val="nil"/>
              <w:tr2bl w:val="nil"/>
            </w:tcBorders>
            <w:shd w:val="clear" w:color="auto" w:fill="auto"/>
            <w:vAlign w:val="center"/>
          </w:tcPr>
          <w:p w14:paraId="251EFB58">
            <w:pPr>
              <w:spacing w:line="240" w:lineRule="auto"/>
              <w:ind w:firstLine="0" w:firstLineChars="0"/>
              <w:jc w:val="center"/>
              <w:rPr>
                <w:color w:val="auto"/>
                <w:sz w:val="21"/>
                <w:szCs w:val="21"/>
              </w:rPr>
            </w:pPr>
          </w:p>
        </w:tc>
      </w:tr>
      <w:tr w14:paraId="2BCC1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restart"/>
            <w:tcBorders>
              <w:tl2br w:val="nil"/>
              <w:tr2bl w:val="nil"/>
            </w:tcBorders>
            <w:shd w:val="clear" w:color="auto" w:fill="auto"/>
            <w:vAlign w:val="center"/>
          </w:tcPr>
          <w:p w14:paraId="1657BFE3">
            <w:pPr>
              <w:widowControl/>
              <w:spacing w:line="240" w:lineRule="auto"/>
              <w:ind w:firstLine="0" w:firstLineChars="0"/>
              <w:jc w:val="center"/>
              <w:rPr>
                <w:color w:val="auto"/>
                <w:sz w:val="21"/>
                <w:szCs w:val="21"/>
              </w:rPr>
            </w:pPr>
            <w:r>
              <w:rPr>
                <w:color w:val="auto"/>
                <w:kern w:val="0"/>
                <w:sz w:val="21"/>
                <w:szCs w:val="21"/>
              </w:rPr>
              <w:t>施工噪声</w:t>
            </w:r>
          </w:p>
        </w:tc>
        <w:tc>
          <w:tcPr>
            <w:tcW w:w="3448" w:type="pct"/>
            <w:tcBorders>
              <w:tl2br w:val="nil"/>
              <w:tr2bl w:val="nil"/>
            </w:tcBorders>
            <w:shd w:val="clear" w:color="auto" w:fill="auto"/>
            <w:vAlign w:val="center"/>
          </w:tcPr>
          <w:p w14:paraId="3F6935D7">
            <w:pPr>
              <w:widowControl/>
              <w:spacing w:line="240" w:lineRule="auto"/>
              <w:ind w:firstLine="0" w:firstLineChars="0"/>
              <w:jc w:val="center"/>
              <w:rPr>
                <w:color w:val="auto"/>
                <w:sz w:val="21"/>
                <w:szCs w:val="21"/>
              </w:rPr>
            </w:pPr>
            <w:r>
              <w:rPr>
                <w:color w:val="auto"/>
                <w:kern w:val="0"/>
                <w:sz w:val="21"/>
                <w:szCs w:val="21"/>
              </w:rPr>
              <w:t>施工单位开工15日前，携带施工资料等到当地环保部门申报《建设施工环保审批表》，经批准后方可施工；</w:t>
            </w:r>
          </w:p>
        </w:tc>
        <w:tc>
          <w:tcPr>
            <w:tcW w:w="848" w:type="pct"/>
            <w:vMerge w:val="continue"/>
            <w:tcBorders>
              <w:tl2br w:val="nil"/>
              <w:tr2bl w:val="nil"/>
            </w:tcBorders>
            <w:shd w:val="clear" w:color="auto" w:fill="auto"/>
            <w:vAlign w:val="center"/>
          </w:tcPr>
          <w:p w14:paraId="424352CB">
            <w:pPr>
              <w:spacing w:line="240" w:lineRule="auto"/>
              <w:ind w:firstLine="0" w:firstLineChars="0"/>
              <w:jc w:val="center"/>
              <w:rPr>
                <w:color w:val="auto"/>
                <w:sz w:val="21"/>
                <w:szCs w:val="21"/>
              </w:rPr>
            </w:pPr>
          </w:p>
        </w:tc>
      </w:tr>
      <w:tr w14:paraId="6848F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50EE8319">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692849EB">
            <w:pPr>
              <w:widowControl/>
              <w:spacing w:line="240" w:lineRule="auto"/>
              <w:ind w:firstLine="0" w:firstLineChars="0"/>
              <w:jc w:val="center"/>
              <w:rPr>
                <w:color w:val="auto"/>
                <w:sz w:val="21"/>
                <w:szCs w:val="21"/>
              </w:rPr>
            </w:pPr>
            <w:r>
              <w:rPr>
                <w:color w:val="auto"/>
                <w:kern w:val="0"/>
                <w:sz w:val="21"/>
                <w:szCs w:val="21"/>
              </w:rPr>
              <w:t>禁止在12:00~14</w:t>
            </w:r>
            <w:r>
              <w:rPr>
                <w:rFonts w:hint="eastAsia"/>
                <w:color w:val="auto"/>
                <w:kern w:val="0"/>
                <w:sz w:val="21"/>
                <w:szCs w:val="21"/>
              </w:rPr>
              <w:t>:</w:t>
            </w:r>
            <w:r>
              <w:rPr>
                <w:color w:val="auto"/>
                <w:kern w:val="0"/>
                <w:sz w:val="21"/>
                <w:szCs w:val="21"/>
              </w:rPr>
              <w:t>00、22:00~6:00进行产生噪声污染的施工作业；</w:t>
            </w:r>
          </w:p>
        </w:tc>
        <w:tc>
          <w:tcPr>
            <w:tcW w:w="848" w:type="pct"/>
            <w:vMerge w:val="continue"/>
            <w:tcBorders>
              <w:tl2br w:val="nil"/>
              <w:tr2bl w:val="nil"/>
            </w:tcBorders>
            <w:shd w:val="clear" w:color="auto" w:fill="auto"/>
            <w:vAlign w:val="center"/>
          </w:tcPr>
          <w:p w14:paraId="49A8B588">
            <w:pPr>
              <w:spacing w:line="240" w:lineRule="auto"/>
              <w:ind w:firstLine="0" w:firstLineChars="0"/>
              <w:jc w:val="center"/>
              <w:rPr>
                <w:color w:val="auto"/>
                <w:sz w:val="21"/>
                <w:szCs w:val="21"/>
              </w:rPr>
            </w:pPr>
          </w:p>
        </w:tc>
      </w:tr>
      <w:tr w14:paraId="626BE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515B4192">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34EF4F6A">
            <w:pPr>
              <w:widowControl/>
              <w:spacing w:line="240" w:lineRule="auto"/>
              <w:ind w:firstLine="0" w:firstLineChars="0"/>
              <w:jc w:val="center"/>
              <w:rPr>
                <w:color w:val="auto"/>
                <w:sz w:val="21"/>
                <w:szCs w:val="21"/>
              </w:rPr>
            </w:pPr>
            <w:r>
              <w:rPr>
                <w:color w:val="auto"/>
                <w:kern w:val="0"/>
                <w:sz w:val="21"/>
                <w:szCs w:val="21"/>
              </w:rPr>
              <w:t>因施工浇筑需要连续作业的施工前3天内，由施工单位报环保部门审批。</w:t>
            </w:r>
          </w:p>
        </w:tc>
        <w:tc>
          <w:tcPr>
            <w:tcW w:w="848" w:type="pct"/>
            <w:vMerge w:val="continue"/>
            <w:tcBorders>
              <w:tl2br w:val="nil"/>
              <w:tr2bl w:val="nil"/>
            </w:tcBorders>
            <w:shd w:val="clear" w:color="auto" w:fill="auto"/>
            <w:vAlign w:val="center"/>
          </w:tcPr>
          <w:p w14:paraId="5BC65306">
            <w:pPr>
              <w:spacing w:line="240" w:lineRule="auto"/>
              <w:ind w:firstLine="0" w:firstLineChars="0"/>
              <w:jc w:val="center"/>
              <w:rPr>
                <w:color w:val="auto"/>
                <w:sz w:val="21"/>
                <w:szCs w:val="21"/>
              </w:rPr>
            </w:pPr>
          </w:p>
        </w:tc>
      </w:tr>
      <w:tr w14:paraId="6E559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restart"/>
            <w:tcBorders>
              <w:tl2br w:val="nil"/>
              <w:tr2bl w:val="nil"/>
            </w:tcBorders>
            <w:shd w:val="clear" w:color="auto" w:fill="auto"/>
            <w:vAlign w:val="center"/>
          </w:tcPr>
          <w:p w14:paraId="61455415">
            <w:pPr>
              <w:widowControl/>
              <w:spacing w:line="240" w:lineRule="auto"/>
              <w:ind w:firstLine="0" w:firstLineChars="0"/>
              <w:jc w:val="center"/>
              <w:rPr>
                <w:color w:val="auto"/>
                <w:sz w:val="21"/>
                <w:szCs w:val="21"/>
              </w:rPr>
            </w:pPr>
            <w:r>
              <w:rPr>
                <w:color w:val="auto"/>
                <w:kern w:val="0"/>
                <w:sz w:val="21"/>
                <w:szCs w:val="21"/>
              </w:rPr>
              <w:t>水</w:t>
            </w:r>
          </w:p>
        </w:tc>
        <w:tc>
          <w:tcPr>
            <w:tcW w:w="3448" w:type="pct"/>
            <w:tcBorders>
              <w:tl2br w:val="nil"/>
              <w:tr2bl w:val="nil"/>
            </w:tcBorders>
            <w:shd w:val="clear" w:color="auto" w:fill="auto"/>
            <w:vAlign w:val="center"/>
          </w:tcPr>
          <w:p w14:paraId="3BB783B1">
            <w:pPr>
              <w:widowControl/>
              <w:spacing w:line="240" w:lineRule="auto"/>
              <w:ind w:firstLine="0" w:firstLineChars="0"/>
              <w:jc w:val="center"/>
              <w:rPr>
                <w:color w:val="auto"/>
                <w:sz w:val="21"/>
                <w:szCs w:val="21"/>
              </w:rPr>
            </w:pPr>
            <w:r>
              <w:rPr>
                <w:color w:val="auto"/>
                <w:kern w:val="0"/>
                <w:sz w:val="21"/>
                <w:szCs w:val="21"/>
              </w:rPr>
              <w:t>施工废水和人员生活污水可纳入厂区建设的处理系统，施工废水经过处理后达标排放</w:t>
            </w:r>
          </w:p>
        </w:tc>
        <w:tc>
          <w:tcPr>
            <w:tcW w:w="848" w:type="pct"/>
            <w:vMerge w:val="continue"/>
            <w:tcBorders>
              <w:tl2br w:val="nil"/>
              <w:tr2bl w:val="nil"/>
            </w:tcBorders>
            <w:shd w:val="clear" w:color="auto" w:fill="auto"/>
            <w:vAlign w:val="center"/>
          </w:tcPr>
          <w:p w14:paraId="0A4403E2">
            <w:pPr>
              <w:spacing w:line="240" w:lineRule="auto"/>
              <w:ind w:firstLine="0" w:firstLineChars="0"/>
              <w:jc w:val="center"/>
              <w:rPr>
                <w:color w:val="auto"/>
                <w:sz w:val="21"/>
                <w:szCs w:val="21"/>
              </w:rPr>
            </w:pPr>
          </w:p>
        </w:tc>
      </w:tr>
      <w:tr w14:paraId="686D0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vMerge w:val="continue"/>
            <w:tcBorders>
              <w:tl2br w:val="nil"/>
              <w:tr2bl w:val="nil"/>
            </w:tcBorders>
            <w:shd w:val="clear" w:color="auto" w:fill="auto"/>
            <w:vAlign w:val="center"/>
          </w:tcPr>
          <w:p w14:paraId="65457D8D">
            <w:pPr>
              <w:spacing w:line="240" w:lineRule="auto"/>
              <w:ind w:firstLine="0" w:firstLineChars="0"/>
              <w:jc w:val="center"/>
              <w:rPr>
                <w:color w:val="auto"/>
                <w:sz w:val="21"/>
                <w:szCs w:val="21"/>
              </w:rPr>
            </w:pPr>
          </w:p>
        </w:tc>
        <w:tc>
          <w:tcPr>
            <w:tcW w:w="3448" w:type="pct"/>
            <w:tcBorders>
              <w:tl2br w:val="nil"/>
              <w:tr2bl w:val="nil"/>
            </w:tcBorders>
            <w:shd w:val="clear" w:color="auto" w:fill="auto"/>
            <w:vAlign w:val="center"/>
          </w:tcPr>
          <w:p w14:paraId="35EE71D9">
            <w:pPr>
              <w:widowControl/>
              <w:spacing w:line="240" w:lineRule="auto"/>
              <w:ind w:firstLine="0" w:firstLineChars="0"/>
              <w:jc w:val="center"/>
              <w:rPr>
                <w:color w:val="auto"/>
                <w:sz w:val="21"/>
                <w:szCs w:val="21"/>
              </w:rPr>
            </w:pPr>
            <w:r>
              <w:rPr>
                <w:color w:val="auto"/>
                <w:kern w:val="0"/>
                <w:sz w:val="21"/>
                <w:szCs w:val="21"/>
              </w:rPr>
              <w:t>避免在雨季进行基础开挖施工。</w:t>
            </w:r>
          </w:p>
        </w:tc>
        <w:tc>
          <w:tcPr>
            <w:tcW w:w="848" w:type="pct"/>
            <w:vMerge w:val="continue"/>
            <w:tcBorders>
              <w:tl2br w:val="nil"/>
              <w:tr2bl w:val="nil"/>
            </w:tcBorders>
            <w:shd w:val="clear" w:color="auto" w:fill="auto"/>
            <w:vAlign w:val="center"/>
          </w:tcPr>
          <w:p w14:paraId="179273B1">
            <w:pPr>
              <w:spacing w:line="240" w:lineRule="auto"/>
              <w:ind w:firstLine="0" w:firstLineChars="0"/>
              <w:jc w:val="center"/>
              <w:rPr>
                <w:color w:val="auto"/>
                <w:sz w:val="21"/>
                <w:szCs w:val="21"/>
              </w:rPr>
            </w:pPr>
          </w:p>
        </w:tc>
      </w:tr>
      <w:tr w14:paraId="54A1E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4" w:type="pct"/>
            <w:tcBorders>
              <w:tl2br w:val="nil"/>
              <w:tr2bl w:val="nil"/>
            </w:tcBorders>
            <w:shd w:val="clear" w:color="auto" w:fill="auto"/>
            <w:vAlign w:val="center"/>
          </w:tcPr>
          <w:p w14:paraId="3A0B5539">
            <w:pPr>
              <w:widowControl/>
              <w:spacing w:line="240" w:lineRule="auto"/>
              <w:ind w:firstLine="0" w:firstLineChars="0"/>
              <w:jc w:val="center"/>
              <w:rPr>
                <w:color w:val="auto"/>
                <w:sz w:val="21"/>
                <w:szCs w:val="21"/>
              </w:rPr>
            </w:pPr>
            <w:r>
              <w:rPr>
                <w:color w:val="auto"/>
                <w:kern w:val="0"/>
                <w:sz w:val="21"/>
                <w:szCs w:val="21"/>
              </w:rPr>
              <w:t>建筑及生活垃圾</w:t>
            </w:r>
          </w:p>
        </w:tc>
        <w:tc>
          <w:tcPr>
            <w:tcW w:w="3448" w:type="pct"/>
            <w:tcBorders>
              <w:tl2br w:val="nil"/>
              <w:tr2bl w:val="nil"/>
            </w:tcBorders>
            <w:shd w:val="clear" w:color="auto" w:fill="auto"/>
            <w:vAlign w:val="center"/>
          </w:tcPr>
          <w:p w14:paraId="5FD13BA7">
            <w:pPr>
              <w:widowControl/>
              <w:spacing w:line="240" w:lineRule="auto"/>
              <w:ind w:firstLine="0" w:firstLineChars="0"/>
              <w:jc w:val="center"/>
              <w:rPr>
                <w:color w:val="auto"/>
                <w:sz w:val="21"/>
                <w:szCs w:val="21"/>
              </w:rPr>
            </w:pPr>
            <w:r>
              <w:rPr>
                <w:color w:val="auto"/>
                <w:kern w:val="0"/>
                <w:sz w:val="21"/>
                <w:szCs w:val="21"/>
              </w:rPr>
              <w:t>建筑垃圾及多余弃土及时清运，不能长期堆存，做到日产日清，车辆用毡布遮盖，防止沿途散落。</w:t>
            </w:r>
          </w:p>
        </w:tc>
        <w:tc>
          <w:tcPr>
            <w:tcW w:w="848" w:type="pct"/>
            <w:tcBorders>
              <w:tl2br w:val="nil"/>
              <w:tr2bl w:val="nil"/>
            </w:tcBorders>
            <w:shd w:val="clear" w:color="auto" w:fill="auto"/>
            <w:vAlign w:val="center"/>
          </w:tcPr>
          <w:p w14:paraId="78EA6E99">
            <w:pPr>
              <w:widowControl/>
              <w:spacing w:line="240" w:lineRule="auto"/>
              <w:ind w:firstLine="0" w:firstLineChars="0"/>
              <w:jc w:val="center"/>
              <w:rPr>
                <w:color w:val="auto"/>
                <w:sz w:val="21"/>
                <w:szCs w:val="21"/>
              </w:rPr>
            </w:pPr>
            <w:r>
              <w:rPr>
                <w:color w:val="auto"/>
                <w:kern w:val="0"/>
                <w:sz w:val="21"/>
                <w:szCs w:val="21"/>
              </w:rPr>
              <w:t>渣土清运至指定地点填埋。</w:t>
            </w:r>
          </w:p>
        </w:tc>
      </w:tr>
      <w:bookmarkEnd w:id="239"/>
      <w:bookmarkEnd w:id="240"/>
    </w:tbl>
    <w:p w14:paraId="62A39CA4">
      <w:pPr>
        <w:keepNext/>
        <w:keepLines/>
        <w:tabs>
          <w:tab w:val="left" w:pos="2340"/>
        </w:tabs>
        <w:spacing w:before="120" w:beforeLines="50"/>
        <w:ind w:firstLine="0" w:firstLineChars="0"/>
        <w:outlineLvl w:val="2"/>
        <w:rPr>
          <w:b/>
          <w:bCs/>
          <w:color w:val="auto"/>
          <w:sz w:val="28"/>
          <w:szCs w:val="32"/>
        </w:rPr>
      </w:pPr>
      <w:bookmarkStart w:id="241" w:name="_Toc397521679"/>
      <w:bookmarkStart w:id="242" w:name="_Toc399600572"/>
      <w:r>
        <w:rPr>
          <w:rFonts w:hint="eastAsia"/>
          <w:b/>
          <w:bCs/>
          <w:color w:val="auto"/>
          <w:sz w:val="28"/>
          <w:szCs w:val="32"/>
        </w:rPr>
        <w:t>9</w:t>
      </w:r>
      <w:r>
        <w:rPr>
          <w:b/>
          <w:bCs/>
          <w:color w:val="auto"/>
          <w:sz w:val="28"/>
          <w:szCs w:val="32"/>
        </w:rPr>
        <w:t>.2.2 运营期环境监测计划</w:t>
      </w:r>
    </w:p>
    <w:p w14:paraId="39BD3D29">
      <w:pPr>
        <w:ind w:firstLine="480"/>
        <w:rPr>
          <w:color w:val="auto"/>
        </w:rPr>
      </w:pPr>
      <w:r>
        <w:rPr>
          <w:color w:val="auto"/>
        </w:rPr>
        <w:t>本项目产生的主要污染物有：生产废水，生活污水和动力设备噪声等。</w:t>
      </w:r>
    </w:p>
    <w:p w14:paraId="2BE011DB">
      <w:pPr>
        <w:ind w:firstLine="480"/>
        <w:rPr>
          <w:color w:val="auto"/>
        </w:rPr>
      </w:pPr>
      <w:bookmarkStart w:id="243" w:name="_Hlk515932292"/>
      <w:r>
        <w:rPr>
          <w:color w:val="auto"/>
        </w:rPr>
        <w:t>环境保护工作的关键是废水、废气的处理以及噪声的控制。为检查落实国家和地方的各项环保法规、标准的执行情况，公司应建立环境监测室，负责对废水、废气和噪声等常规监测项目的监测和对环保设施的运行情况进行监控，将监测结果与生产情况作对照分析；对工厂的废水、废气、噪声排放情况委托有资质的环境监测站定期监测，为环境管理提供依据。</w:t>
      </w:r>
    </w:p>
    <w:bookmarkEnd w:id="243"/>
    <w:p w14:paraId="4E19CEBB">
      <w:pPr>
        <w:autoSpaceDE w:val="0"/>
        <w:autoSpaceDN w:val="0"/>
        <w:ind w:firstLine="482"/>
        <w:rPr>
          <w:b/>
          <w:bCs/>
          <w:color w:val="auto"/>
        </w:rPr>
      </w:pPr>
      <w:bookmarkStart w:id="244" w:name="_Hlk525829715"/>
      <w:r>
        <w:rPr>
          <w:b/>
          <w:bCs/>
          <w:color w:val="auto"/>
        </w:rPr>
        <w:t>（1）污染源监测</w:t>
      </w:r>
    </w:p>
    <w:p w14:paraId="4F1CC369">
      <w:pPr>
        <w:autoSpaceDE w:val="0"/>
        <w:autoSpaceDN w:val="0"/>
        <w:ind w:firstLine="480"/>
        <w:rPr>
          <w:color w:val="auto"/>
        </w:rPr>
      </w:pPr>
      <w:r>
        <w:rPr>
          <w:color w:val="auto"/>
        </w:rPr>
        <w:t xml:space="preserve">根据《排污许可证申请与核发技术规范 </w:t>
      </w:r>
      <w:r>
        <w:rPr>
          <w:rFonts w:hint="eastAsia"/>
          <w:color w:val="auto"/>
        </w:rPr>
        <w:t>电镀工业</w:t>
      </w:r>
      <w:r>
        <w:rPr>
          <w:color w:val="auto"/>
        </w:rPr>
        <w:t>》（HJ</w:t>
      </w:r>
      <w:r>
        <w:rPr>
          <w:rFonts w:hint="eastAsia"/>
          <w:color w:val="auto"/>
        </w:rPr>
        <w:t>855</w:t>
      </w:r>
      <w:r>
        <w:rPr>
          <w:color w:val="auto"/>
        </w:rPr>
        <w:t>-20</w:t>
      </w:r>
      <w:r>
        <w:rPr>
          <w:rFonts w:hint="eastAsia"/>
          <w:color w:val="auto"/>
        </w:rPr>
        <w:t>17</w:t>
      </w:r>
      <w:r>
        <w:rPr>
          <w:color w:val="auto"/>
        </w:rPr>
        <w:t xml:space="preserve">）、《排污单位自行监测技术指南 </w:t>
      </w:r>
      <w:r>
        <w:rPr>
          <w:rFonts w:hint="eastAsia"/>
          <w:color w:val="auto"/>
        </w:rPr>
        <w:t>工业炉窑</w:t>
      </w:r>
      <w:r>
        <w:rPr>
          <w:color w:val="auto"/>
        </w:rPr>
        <w:t>》（HJ</w:t>
      </w:r>
      <w:r>
        <w:rPr>
          <w:rFonts w:hint="eastAsia"/>
          <w:color w:val="auto"/>
        </w:rPr>
        <w:t>1121</w:t>
      </w:r>
      <w:r>
        <w:rPr>
          <w:color w:val="auto"/>
        </w:rPr>
        <w:t>-20</w:t>
      </w:r>
      <w:r>
        <w:rPr>
          <w:rFonts w:hint="eastAsia"/>
          <w:color w:val="auto"/>
        </w:rPr>
        <w:t>20</w:t>
      </w:r>
      <w:r>
        <w:rPr>
          <w:color w:val="auto"/>
        </w:rPr>
        <w:t>）等文件要求，污染源监测以排污单位自行监测为主，具体监测方案见表</w:t>
      </w:r>
      <w:r>
        <w:rPr>
          <w:rFonts w:hint="eastAsia"/>
          <w:color w:val="auto"/>
        </w:rPr>
        <w:t>9</w:t>
      </w:r>
      <w:r>
        <w:rPr>
          <w:color w:val="auto"/>
        </w:rPr>
        <w:t>.2-1。企业应成立相应部门，定期完成自行监测任务，若企业不具备监测条件，可委托有资质的环境监测单位进行监测。</w:t>
      </w:r>
      <w:bookmarkStart w:id="245" w:name="_Hlk30004997"/>
    </w:p>
    <w:bookmarkEnd w:id="245"/>
    <w:p w14:paraId="1D816711">
      <w:pPr>
        <w:autoSpaceDE w:val="0"/>
        <w:autoSpaceDN w:val="0"/>
        <w:spacing w:line="240" w:lineRule="auto"/>
        <w:ind w:firstLine="0" w:firstLineChars="0"/>
        <w:jc w:val="center"/>
        <w:rPr>
          <w:b/>
          <w:color w:val="auto"/>
          <w:kern w:val="0"/>
          <w:szCs w:val="25"/>
        </w:rPr>
      </w:pPr>
      <w:r>
        <w:rPr>
          <w:b/>
          <w:color w:val="auto"/>
          <w:kern w:val="0"/>
          <w:szCs w:val="25"/>
        </w:rPr>
        <w:t>表</w:t>
      </w:r>
      <w:r>
        <w:rPr>
          <w:rFonts w:hint="eastAsia"/>
          <w:b/>
          <w:color w:val="auto"/>
          <w:kern w:val="0"/>
          <w:szCs w:val="25"/>
        </w:rPr>
        <w:t>9</w:t>
      </w:r>
      <w:r>
        <w:rPr>
          <w:b/>
          <w:color w:val="auto"/>
          <w:kern w:val="0"/>
          <w:szCs w:val="25"/>
        </w:rPr>
        <w:t>.2-1  污染源监测计划一览表</w:t>
      </w:r>
    </w:p>
    <w:tbl>
      <w:tblPr>
        <w:tblStyle w:val="8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582"/>
        <w:gridCol w:w="1347"/>
        <w:gridCol w:w="2198"/>
        <w:gridCol w:w="1533"/>
        <w:gridCol w:w="2974"/>
      </w:tblGrid>
      <w:tr w14:paraId="29882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tcBorders>
              <w:tl2br w:val="nil"/>
              <w:tr2bl w:val="nil"/>
            </w:tcBorders>
            <w:vAlign w:val="center"/>
          </w:tcPr>
          <w:p w14:paraId="085BBB70">
            <w:pPr>
              <w:spacing w:line="240" w:lineRule="auto"/>
              <w:ind w:firstLine="0" w:firstLineChars="0"/>
              <w:jc w:val="center"/>
              <w:rPr>
                <w:b/>
                <w:bCs/>
                <w:color w:val="auto"/>
                <w:sz w:val="21"/>
                <w:szCs w:val="21"/>
              </w:rPr>
            </w:pPr>
            <w:r>
              <w:rPr>
                <w:b/>
                <w:bCs/>
                <w:color w:val="auto"/>
                <w:sz w:val="21"/>
                <w:szCs w:val="21"/>
              </w:rPr>
              <w:t>类别</w:t>
            </w:r>
          </w:p>
        </w:tc>
        <w:tc>
          <w:tcPr>
            <w:tcW w:w="731" w:type="pct"/>
            <w:tcBorders>
              <w:tl2br w:val="nil"/>
              <w:tr2bl w:val="nil"/>
            </w:tcBorders>
            <w:vAlign w:val="center"/>
          </w:tcPr>
          <w:p w14:paraId="42327D5F">
            <w:pPr>
              <w:spacing w:line="240" w:lineRule="auto"/>
              <w:ind w:firstLine="0" w:firstLineChars="0"/>
              <w:jc w:val="center"/>
              <w:rPr>
                <w:b/>
                <w:bCs/>
                <w:color w:val="auto"/>
                <w:sz w:val="21"/>
                <w:szCs w:val="21"/>
              </w:rPr>
            </w:pPr>
            <w:r>
              <w:rPr>
                <w:b/>
                <w:bCs/>
                <w:color w:val="auto"/>
                <w:sz w:val="21"/>
                <w:szCs w:val="21"/>
              </w:rPr>
              <w:t>监测点位</w:t>
            </w:r>
          </w:p>
        </w:tc>
        <w:tc>
          <w:tcPr>
            <w:tcW w:w="1193" w:type="pct"/>
            <w:tcBorders>
              <w:tl2br w:val="nil"/>
              <w:tr2bl w:val="nil"/>
            </w:tcBorders>
            <w:vAlign w:val="center"/>
          </w:tcPr>
          <w:p w14:paraId="26007C81">
            <w:pPr>
              <w:spacing w:line="240" w:lineRule="auto"/>
              <w:ind w:firstLine="0" w:firstLineChars="0"/>
              <w:jc w:val="center"/>
              <w:rPr>
                <w:b/>
                <w:bCs/>
                <w:color w:val="auto"/>
                <w:sz w:val="21"/>
                <w:szCs w:val="21"/>
              </w:rPr>
            </w:pPr>
            <w:r>
              <w:rPr>
                <w:b/>
                <w:bCs/>
                <w:color w:val="auto"/>
                <w:sz w:val="21"/>
                <w:szCs w:val="21"/>
              </w:rPr>
              <w:t>监测指标</w:t>
            </w:r>
          </w:p>
        </w:tc>
        <w:tc>
          <w:tcPr>
            <w:tcW w:w="832" w:type="pct"/>
            <w:tcBorders>
              <w:tl2br w:val="nil"/>
              <w:tr2bl w:val="nil"/>
            </w:tcBorders>
            <w:vAlign w:val="center"/>
          </w:tcPr>
          <w:p w14:paraId="7BB53647">
            <w:pPr>
              <w:spacing w:line="240" w:lineRule="auto"/>
              <w:ind w:firstLine="0" w:firstLineChars="0"/>
              <w:jc w:val="center"/>
              <w:rPr>
                <w:b/>
                <w:bCs/>
                <w:color w:val="auto"/>
                <w:sz w:val="21"/>
                <w:szCs w:val="21"/>
              </w:rPr>
            </w:pPr>
            <w:r>
              <w:rPr>
                <w:b/>
                <w:bCs/>
                <w:color w:val="auto"/>
                <w:sz w:val="21"/>
                <w:szCs w:val="21"/>
              </w:rPr>
              <w:t>监测频次</w:t>
            </w:r>
          </w:p>
        </w:tc>
        <w:tc>
          <w:tcPr>
            <w:tcW w:w="1614" w:type="pct"/>
            <w:tcBorders>
              <w:tl2br w:val="nil"/>
              <w:tr2bl w:val="nil"/>
            </w:tcBorders>
            <w:vAlign w:val="center"/>
          </w:tcPr>
          <w:p w14:paraId="71F044B1">
            <w:pPr>
              <w:spacing w:line="240" w:lineRule="auto"/>
              <w:ind w:firstLine="0" w:firstLineChars="0"/>
              <w:jc w:val="center"/>
              <w:rPr>
                <w:b/>
                <w:bCs/>
                <w:color w:val="auto"/>
                <w:sz w:val="21"/>
                <w:szCs w:val="21"/>
              </w:rPr>
            </w:pPr>
            <w:r>
              <w:rPr>
                <w:b/>
                <w:bCs/>
                <w:color w:val="auto"/>
                <w:sz w:val="21"/>
                <w:szCs w:val="21"/>
              </w:rPr>
              <w:t>执行排放标准</w:t>
            </w:r>
          </w:p>
        </w:tc>
      </w:tr>
      <w:tr w14:paraId="00EA6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vMerge w:val="restart"/>
            <w:tcBorders>
              <w:tl2br w:val="nil"/>
              <w:tr2bl w:val="nil"/>
            </w:tcBorders>
            <w:vAlign w:val="center"/>
          </w:tcPr>
          <w:p w14:paraId="665C6519">
            <w:pPr>
              <w:spacing w:line="240" w:lineRule="auto"/>
              <w:ind w:firstLine="0" w:firstLineChars="0"/>
              <w:jc w:val="center"/>
              <w:rPr>
                <w:color w:val="auto"/>
                <w:sz w:val="21"/>
                <w:szCs w:val="21"/>
              </w:rPr>
            </w:pPr>
            <w:r>
              <w:rPr>
                <w:color w:val="auto"/>
                <w:sz w:val="21"/>
                <w:szCs w:val="21"/>
              </w:rPr>
              <w:t>废水</w:t>
            </w:r>
          </w:p>
        </w:tc>
        <w:tc>
          <w:tcPr>
            <w:tcW w:w="731" w:type="pct"/>
            <w:vMerge w:val="restart"/>
            <w:tcBorders>
              <w:tl2br w:val="nil"/>
              <w:tr2bl w:val="nil"/>
            </w:tcBorders>
            <w:vAlign w:val="center"/>
          </w:tcPr>
          <w:p w14:paraId="019F4EA5">
            <w:pPr>
              <w:spacing w:line="240" w:lineRule="auto"/>
              <w:ind w:firstLine="0" w:firstLineChars="0"/>
              <w:jc w:val="center"/>
              <w:rPr>
                <w:color w:val="auto"/>
                <w:sz w:val="21"/>
                <w:szCs w:val="21"/>
              </w:rPr>
            </w:pPr>
            <w:r>
              <w:rPr>
                <w:color w:val="auto"/>
                <w:sz w:val="21"/>
                <w:szCs w:val="21"/>
              </w:rPr>
              <w:t>废水总排口（DW001）</w:t>
            </w:r>
          </w:p>
        </w:tc>
        <w:tc>
          <w:tcPr>
            <w:tcW w:w="1193" w:type="pct"/>
            <w:tcBorders>
              <w:tl2br w:val="nil"/>
              <w:tr2bl w:val="nil"/>
            </w:tcBorders>
            <w:vAlign w:val="center"/>
          </w:tcPr>
          <w:p w14:paraId="5798CC42">
            <w:pPr>
              <w:spacing w:line="240" w:lineRule="auto"/>
              <w:ind w:firstLine="0" w:firstLineChars="0"/>
              <w:jc w:val="center"/>
              <w:rPr>
                <w:color w:val="auto"/>
                <w:sz w:val="21"/>
                <w:szCs w:val="21"/>
              </w:rPr>
            </w:pPr>
            <w:r>
              <w:rPr>
                <w:color w:val="auto"/>
                <w:sz w:val="21"/>
                <w:szCs w:val="21"/>
                <w:lang w:val="en-GB"/>
              </w:rPr>
              <w:t>流量</w:t>
            </w:r>
            <w:r>
              <w:rPr>
                <w:rFonts w:hint="eastAsia"/>
                <w:color w:val="auto"/>
                <w:sz w:val="21"/>
                <w:szCs w:val="21"/>
                <w:lang w:val="en-GB"/>
              </w:rPr>
              <w:t>、</w:t>
            </w:r>
            <w:r>
              <w:rPr>
                <w:rFonts w:hint="eastAsia"/>
                <w:color w:val="auto"/>
                <w:sz w:val="21"/>
                <w:szCs w:val="21"/>
              </w:rPr>
              <w:t>COD</w:t>
            </w:r>
          </w:p>
        </w:tc>
        <w:tc>
          <w:tcPr>
            <w:tcW w:w="832" w:type="pct"/>
            <w:tcBorders>
              <w:tl2br w:val="nil"/>
              <w:tr2bl w:val="nil"/>
            </w:tcBorders>
            <w:vAlign w:val="center"/>
          </w:tcPr>
          <w:p w14:paraId="1BE0E249">
            <w:pPr>
              <w:spacing w:line="240" w:lineRule="auto"/>
              <w:ind w:firstLine="0" w:firstLineChars="0"/>
              <w:jc w:val="center"/>
              <w:rPr>
                <w:color w:val="auto"/>
                <w:sz w:val="21"/>
                <w:szCs w:val="21"/>
              </w:rPr>
            </w:pPr>
            <w:r>
              <w:rPr>
                <w:color w:val="auto"/>
                <w:sz w:val="21"/>
                <w:szCs w:val="21"/>
              </w:rPr>
              <w:t>自动监测</w:t>
            </w:r>
          </w:p>
        </w:tc>
        <w:tc>
          <w:tcPr>
            <w:tcW w:w="1614" w:type="pct"/>
            <w:vMerge w:val="restart"/>
            <w:tcBorders>
              <w:tl2br w:val="nil"/>
              <w:tr2bl w:val="nil"/>
            </w:tcBorders>
            <w:vAlign w:val="center"/>
          </w:tcPr>
          <w:p w14:paraId="1D55D573">
            <w:pPr>
              <w:spacing w:line="240" w:lineRule="auto"/>
              <w:ind w:firstLine="0" w:firstLineChars="0"/>
              <w:jc w:val="center"/>
              <w:rPr>
                <w:color w:val="auto"/>
                <w:sz w:val="21"/>
                <w:szCs w:val="21"/>
              </w:rPr>
            </w:pPr>
            <w:r>
              <w:rPr>
                <w:rFonts w:hint="eastAsia"/>
                <w:color w:val="auto"/>
                <w:sz w:val="21"/>
                <w:szCs w:val="21"/>
              </w:rPr>
              <w:t>《电镀污染物排放标准》（GB31900-2008）、《污水综合排放标准》（GB8978-1996）、《污水排入城镇下水道水质标准》（GB/T31962-2015）以及</w:t>
            </w:r>
            <w:r>
              <w:rPr>
                <w:color w:val="auto"/>
                <w:sz w:val="21"/>
                <w:szCs w:val="21"/>
              </w:rPr>
              <w:t>开发区临港污水处理厂接管标准</w:t>
            </w:r>
          </w:p>
        </w:tc>
      </w:tr>
      <w:tr w14:paraId="3B273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vMerge w:val="continue"/>
            <w:tcBorders>
              <w:tl2br w:val="nil"/>
              <w:tr2bl w:val="nil"/>
            </w:tcBorders>
            <w:vAlign w:val="center"/>
          </w:tcPr>
          <w:p w14:paraId="3BC474DE">
            <w:pPr>
              <w:spacing w:line="240" w:lineRule="auto"/>
              <w:ind w:firstLine="0" w:firstLineChars="0"/>
              <w:jc w:val="center"/>
              <w:rPr>
                <w:color w:val="auto"/>
                <w:sz w:val="21"/>
                <w:szCs w:val="21"/>
              </w:rPr>
            </w:pPr>
          </w:p>
        </w:tc>
        <w:tc>
          <w:tcPr>
            <w:tcW w:w="731" w:type="pct"/>
            <w:vMerge w:val="continue"/>
            <w:tcBorders>
              <w:tl2br w:val="nil"/>
              <w:tr2bl w:val="nil"/>
            </w:tcBorders>
            <w:vAlign w:val="center"/>
          </w:tcPr>
          <w:p w14:paraId="7AC4390B">
            <w:pPr>
              <w:spacing w:line="240" w:lineRule="auto"/>
              <w:ind w:firstLine="0" w:firstLineChars="0"/>
              <w:jc w:val="center"/>
              <w:rPr>
                <w:color w:val="auto"/>
                <w:sz w:val="21"/>
                <w:szCs w:val="21"/>
              </w:rPr>
            </w:pPr>
          </w:p>
        </w:tc>
        <w:tc>
          <w:tcPr>
            <w:tcW w:w="1193" w:type="pct"/>
            <w:tcBorders>
              <w:tl2br w:val="nil"/>
              <w:tr2bl w:val="nil"/>
            </w:tcBorders>
            <w:vAlign w:val="center"/>
          </w:tcPr>
          <w:p w14:paraId="54CD62D7">
            <w:pPr>
              <w:spacing w:line="240" w:lineRule="auto"/>
              <w:ind w:firstLine="0" w:firstLineChars="0"/>
              <w:jc w:val="center"/>
              <w:rPr>
                <w:color w:val="auto"/>
                <w:sz w:val="21"/>
                <w:szCs w:val="21"/>
              </w:rPr>
            </w:pPr>
            <w:r>
              <w:rPr>
                <w:color w:val="auto"/>
                <w:sz w:val="21"/>
                <w:szCs w:val="21"/>
                <w:lang w:val="en-GB"/>
              </w:rPr>
              <w:t>pH</w:t>
            </w:r>
            <w:r>
              <w:rPr>
                <w:rFonts w:hint="eastAsia"/>
                <w:color w:val="auto"/>
                <w:sz w:val="21"/>
                <w:szCs w:val="21"/>
              </w:rPr>
              <w:t>值</w:t>
            </w:r>
            <w:r>
              <w:rPr>
                <w:color w:val="auto"/>
                <w:sz w:val="21"/>
                <w:szCs w:val="21"/>
                <w:lang w:val="en-GB"/>
              </w:rPr>
              <w:t>、</w:t>
            </w:r>
            <w:r>
              <w:rPr>
                <w:rFonts w:hint="eastAsia"/>
                <w:color w:val="auto"/>
                <w:sz w:val="21"/>
                <w:szCs w:val="21"/>
              </w:rPr>
              <w:t>总磷、总氮</w:t>
            </w:r>
          </w:p>
        </w:tc>
        <w:tc>
          <w:tcPr>
            <w:tcW w:w="832" w:type="pct"/>
            <w:tcBorders>
              <w:tl2br w:val="nil"/>
              <w:tr2bl w:val="nil"/>
            </w:tcBorders>
            <w:vAlign w:val="center"/>
          </w:tcPr>
          <w:p w14:paraId="6655B815">
            <w:pPr>
              <w:spacing w:line="240" w:lineRule="auto"/>
              <w:ind w:firstLine="0" w:firstLineChars="0"/>
              <w:jc w:val="center"/>
              <w:rPr>
                <w:color w:val="auto"/>
                <w:sz w:val="21"/>
                <w:szCs w:val="21"/>
              </w:rPr>
            </w:pPr>
            <w:r>
              <w:rPr>
                <w:rFonts w:hint="eastAsia"/>
                <w:color w:val="auto"/>
                <w:sz w:val="21"/>
                <w:szCs w:val="21"/>
              </w:rPr>
              <w:t>每</w:t>
            </w:r>
            <w:r>
              <w:rPr>
                <w:color w:val="auto"/>
                <w:sz w:val="21"/>
                <w:szCs w:val="21"/>
              </w:rPr>
              <w:t>日</w:t>
            </w:r>
            <w:r>
              <w:rPr>
                <w:rFonts w:hint="eastAsia"/>
                <w:color w:val="auto"/>
                <w:sz w:val="21"/>
                <w:szCs w:val="21"/>
              </w:rPr>
              <w:t>/次</w:t>
            </w:r>
          </w:p>
        </w:tc>
        <w:tc>
          <w:tcPr>
            <w:tcW w:w="1614" w:type="pct"/>
            <w:vMerge w:val="continue"/>
            <w:tcBorders>
              <w:tl2br w:val="nil"/>
              <w:tr2bl w:val="nil"/>
            </w:tcBorders>
            <w:vAlign w:val="center"/>
          </w:tcPr>
          <w:p w14:paraId="0183DFA4">
            <w:pPr>
              <w:spacing w:line="240" w:lineRule="auto"/>
              <w:ind w:firstLine="0" w:firstLineChars="0"/>
              <w:jc w:val="center"/>
              <w:rPr>
                <w:color w:val="auto"/>
                <w:sz w:val="21"/>
                <w:szCs w:val="21"/>
              </w:rPr>
            </w:pPr>
          </w:p>
        </w:tc>
      </w:tr>
      <w:tr w14:paraId="7DEB4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vMerge w:val="continue"/>
            <w:tcBorders>
              <w:tl2br w:val="nil"/>
              <w:tr2bl w:val="nil"/>
            </w:tcBorders>
            <w:vAlign w:val="center"/>
          </w:tcPr>
          <w:p w14:paraId="6AEF682C">
            <w:pPr>
              <w:spacing w:line="240" w:lineRule="auto"/>
              <w:ind w:firstLine="0" w:firstLineChars="0"/>
              <w:jc w:val="center"/>
              <w:rPr>
                <w:color w:val="auto"/>
                <w:sz w:val="21"/>
                <w:szCs w:val="21"/>
              </w:rPr>
            </w:pPr>
          </w:p>
        </w:tc>
        <w:tc>
          <w:tcPr>
            <w:tcW w:w="731" w:type="pct"/>
            <w:vMerge w:val="continue"/>
            <w:tcBorders>
              <w:tl2br w:val="nil"/>
              <w:tr2bl w:val="nil"/>
            </w:tcBorders>
            <w:vAlign w:val="center"/>
          </w:tcPr>
          <w:p w14:paraId="7D7C6282">
            <w:pPr>
              <w:spacing w:line="240" w:lineRule="auto"/>
              <w:ind w:firstLine="0" w:firstLineChars="0"/>
              <w:jc w:val="center"/>
              <w:rPr>
                <w:color w:val="auto"/>
                <w:sz w:val="21"/>
                <w:szCs w:val="21"/>
              </w:rPr>
            </w:pPr>
          </w:p>
        </w:tc>
        <w:tc>
          <w:tcPr>
            <w:tcW w:w="1193" w:type="pct"/>
            <w:tcBorders>
              <w:tl2br w:val="nil"/>
              <w:tr2bl w:val="nil"/>
            </w:tcBorders>
            <w:vAlign w:val="center"/>
          </w:tcPr>
          <w:p w14:paraId="27DBFF40">
            <w:pPr>
              <w:spacing w:line="240" w:lineRule="auto"/>
              <w:ind w:firstLine="0" w:firstLineChars="0"/>
              <w:jc w:val="center"/>
              <w:rPr>
                <w:color w:val="auto"/>
                <w:sz w:val="21"/>
                <w:szCs w:val="21"/>
              </w:rPr>
            </w:pPr>
            <w:r>
              <w:rPr>
                <w:color w:val="auto"/>
                <w:sz w:val="21"/>
                <w:szCs w:val="21"/>
              </w:rPr>
              <w:t>氨氮</w:t>
            </w:r>
            <w:r>
              <w:rPr>
                <w:rFonts w:hint="eastAsia"/>
                <w:color w:val="auto"/>
                <w:sz w:val="21"/>
                <w:szCs w:val="21"/>
              </w:rPr>
              <w:t>、总铝、SS、石油类、总锡</w:t>
            </w:r>
          </w:p>
        </w:tc>
        <w:tc>
          <w:tcPr>
            <w:tcW w:w="832" w:type="pct"/>
            <w:tcBorders>
              <w:tl2br w:val="nil"/>
              <w:tr2bl w:val="nil"/>
            </w:tcBorders>
            <w:vAlign w:val="center"/>
          </w:tcPr>
          <w:p w14:paraId="3DDC14FD">
            <w:pPr>
              <w:spacing w:line="240" w:lineRule="auto"/>
              <w:ind w:firstLine="0" w:firstLineChars="0"/>
              <w:jc w:val="center"/>
              <w:rPr>
                <w:color w:val="auto"/>
                <w:sz w:val="21"/>
                <w:szCs w:val="21"/>
              </w:rPr>
            </w:pPr>
            <w:r>
              <w:rPr>
                <w:rFonts w:hint="eastAsia"/>
                <w:color w:val="auto"/>
                <w:sz w:val="21"/>
                <w:szCs w:val="21"/>
              </w:rPr>
              <w:t>每月/次</w:t>
            </w:r>
          </w:p>
        </w:tc>
        <w:tc>
          <w:tcPr>
            <w:tcW w:w="1614" w:type="pct"/>
            <w:vMerge w:val="continue"/>
            <w:tcBorders>
              <w:tl2br w:val="nil"/>
              <w:tr2bl w:val="nil"/>
            </w:tcBorders>
            <w:vAlign w:val="center"/>
          </w:tcPr>
          <w:p w14:paraId="3F1E067A">
            <w:pPr>
              <w:spacing w:line="240" w:lineRule="auto"/>
              <w:ind w:firstLine="0" w:firstLineChars="0"/>
              <w:jc w:val="center"/>
              <w:rPr>
                <w:color w:val="auto"/>
                <w:sz w:val="21"/>
                <w:szCs w:val="21"/>
              </w:rPr>
            </w:pPr>
          </w:p>
        </w:tc>
      </w:tr>
      <w:tr w14:paraId="6FC09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vMerge w:val="continue"/>
            <w:tcBorders>
              <w:tl2br w:val="nil"/>
              <w:tr2bl w:val="nil"/>
            </w:tcBorders>
            <w:vAlign w:val="center"/>
          </w:tcPr>
          <w:p w14:paraId="45B45A7C">
            <w:pPr>
              <w:spacing w:line="240" w:lineRule="auto"/>
              <w:ind w:firstLine="0" w:firstLineChars="0"/>
              <w:jc w:val="center"/>
              <w:rPr>
                <w:color w:val="auto"/>
                <w:sz w:val="21"/>
                <w:szCs w:val="21"/>
              </w:rPr>
            </w:pPr>
          </w:p>
        </w:tc>
        <w:tc>
          <w:tcPr>
            <w:tcW w:w="731" w:type="pct"/>
            <w:vMerge w:val="continue"/>
            <w:tcBorders>
              <w:tl2br w:val="nil"/>
              <w:tr2bl w:val="nil"/>
            </w:tcBorders>
            <w:vAlign w:val="center"/>
          </w:tcPr>
          <w:p w14:paraId="33000EE7">
            <w:pPr>
              <w:spacing w:line="240" w:lineRule="auto"/>
              <w:ind w:firstLine="0" w:firstLineChars="0"/>
              <w:jc w:val="center"/>
              <w:rPr>
                <w:color w:val="auto"/>
                <w:sz w:val="21"/>
                <w:szCs w:val="21"/>
              </w:rPr>
            </w:pPr>
          </w:p>
        </w:tc>
        <w:tc>
          <w:tcPr>
            <w:tcW w:w="1193" w:type="pct"/>
            <w:tcBorders>
              <w:tl2br w:val="nil"/>
              <w:tr2bl w:val="nil"/>
            </w:tcBorders>
            <w:vAlign w:val="center"/>
          </w:tcPr>
          <w:p w14:paraId="2448952D">
            <w:pPr>
              <w:spacing w:line="240" w:lineRule="auto"/>
              <w:ind w:firstLine="0" w:firstLineChars="0"/>
              <w:jc w:val="center"/>
              <w:rPr>
                <w:color w:val="auto"/>
                <w:sz w:val="21"/>
                <w:szCs w:val="21"/>
              </w:rPr>
            </w:pPr>
            <w:r>
              <w:rPr>
                <w:rFonts w:hint="eastAsia"/>
                <w:color w:val="auto"/>
                <w:sz w:val="21"/>
                <w:szCs w:val="21"/>
              </w:rPr>
              <w:t>LAS</w:t>
            </w:r>
          </w:p>
        </w:tc>
        <w:tc>
          <w:tcPr>
            <w:tcW w:w="832" w:type="pct"/>
            <w:tcBorders>
              <w:tl2br w:val="nil"/>
              <w:tr2bl w:val="nil"/>
            </w:tcBorders>
            <w:vAlign w:val="center"/>
          </w:tcPr>
          <w:p w14:paraId="0F8FB059">
            <w:pPr>
              <w:spacing w:line="240" w:lineRule="auto"/>
              <w:ind w:firstLine="0" w:firstLineChars="0"/>
              <w:jc w:val="center"/>
              <w:rPr>
                <w:color w:val="auto"/>
                <w:sz w:val="21"/>
                <w:szCs w:val="21"/>
              </w:rPr>
            </w:pPr>
            <w:r>
              <w:rPr>
                <w:rFonts w:hint="eastAsia"/>
                <w:color w:val="auto"/>
                <w:sz w:val="21"/>
                <w:szCs w:val="21"/>
              </w:rPr>
              <w:t>每年/次</w:t>
            </w:r>
          </w:p>
        </w:tc>
        <w:tc>
          <w:tcPr>
            <w:tcW w:w="1614" w:type="pct"/>
            <w:vMerge w:val="continue"/>
            <w:tcBorders>
              <w:tl2br w:val="nil"/>
              <w:tr2bl w:val="nil"/>
            </w:tcBorders>
            <w:vAlign w:val="center"/>
          </w:tcPr>
          <w:p w14:paraId="166D075F">
            <w:pPr>
              <w:spacing w:line="240" w:lineRule="auto"/>
              <w:ind w:firstLine="0" w:firstLineChars="0"/>
              <w:jc w:val="center"/>
              <w:rPr>
                <w:color w:val="auto"/>
                <w:sz w:val="21"/>
                <w:szCs w:val="21"/>
              </w:rPr>
            </w:pPr>
          </w:p>
        </w:tc>
      </w:tr>
      <w:tr w14:paraId="7FCE8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vMerge w:val="continue"/>
            <w:tcBorders>
              <w:tl2br w:val="nil"/>
              <w:tr2bl w:val="nil"/>
            </w:tcBorders>
            <w:vAlign w:val="center"/>
          </w:tcPr>
          <w:p w14:paraId="4A0C619C">
            <w:pPr>
              <w:widowControl/>
              <w:spacing w:line="240" w:lineRule="auto"/>
              <w:ind w:firstLine="0" w:firstLineChars="0"/>
              <w:jc w:val="center"/>
              <w:rPr>
                <w:color w:val="auto"/>
                <w:sz w:val="21"/>
                <w:szCs w:val="21"/>
              </w:rPr>
            </w:pPr>
          </w:p>
        </w:tc>
        <w:tc>
          <w:tcPr>
            <w:tcW w:w="731" w:type="pct"/>
            <w:tcBorders>
              <w:tl2br w:val="nil"/>
              <w:tr2bl w:val="nil"/>
            </w:tcBorders>
            <w:vAlign w:val="center"/>
          </w:tcPr>
          <w:p w14:paraId="5809897E">
            <w:pPr>
              <w:widowControl/>
              <w:spacing w:line="240" w:lineRule="auto"/>
              <w:ind w:firstLine="0" w:firstLineChars="0"/>
              <w:jc w:val="center"/>
              <w:rPr>
                <w:color w:val="auto"/>
                <w:sz w:val="21"/>
                <w:szCs w:val="21"/>
              </w:rPr>
            </w:pPr>
            <w:r>
              <w:rPr>
                <w:color w:val="auto"/>
                <w:sz w:val="21"/>
                <w:szCs w:val="21"/>
              </w:rPr>
              <w:t>雨水排口</w:t>
            </w:r>
          </w:p>
        </w:tc>
        <w:tc>
          <w:tcPr>
            <w:tcW w:w="1193" w:type="pct"/>
            <w:tcBorders>
              <w:tl2br w:val="nil"/>
              <w:tr2bl w:val="nil"/>
            </w:tcBorders>
            <w:vAlign w:val="center"/>
          </w:tcPr>
          <w:p w14:paraId="00EC8F3A">
            <w:pPr>
              <w:spacing w:line="240" w:lineRule="auto"/>
              <w:ind w:firstLine="0" w:firstLineChars="0"/>
              <w:jc w:val="center"/>
              <w:rPr>
                <w:color w:val="auto"/>
                <w:sz w:val="21"/>
                <w:szCs w:val="21"/>
              </w:rPr>
            </w:pPr>
            <w:r>
              <w:rPr>
                <w:color w:val="auto"/>
                <w:sz w:val="21"/>
                <w:szCs w:val="21"/>
              </w:rPr>
              <w:t>pH、悬浮物</w:t>
            </w:r>
          </w:p>
        </w:tc>
        <w:tc>
          <w:tcPr>
            <w:tcW w:w="832" w:type="pct"/>
            <w:tcBorders>
              <w:tl2br w:val="nil"/>
              <w:tr2bl w:val="nil"/>
            </w:tcBorders>
            <w:vAlign w:val="center"/>
          </w:tcPr>
          <w:p w14:paraId="0E3F5F7E">
            <w:pPr>
              <w:spacing w:line="240" w:lineRule="auto"/>
              <w:ind w:firstLine="0" w:firstLineChars="0"/>
              <w:jc w:val="center"/>
              <w:rPr>
                <w:color w:val="auto"/>
                <w:sz w:val="21"/>
                <w:szCs w:val="21"/>
              </w:rPr>
            </w:pPr>
            <w:r>
              <w:rPr>
                <w:color w:val="auto"/>
                <w:sz w:val="21"/>
                <w:szCs w:val="21"/>
              </w:rPr>
              <w:t>雨水排放口有流动水排放时按日监测，若监测一年无异常情况，可放宽至每季度开展一次监测</w:t>
            </w:r>
          </w:p>
        </w:tc>
        <w:tc>
          <w:tcPr>
            <w:tcW w:w="1614" w:type="pct"/>
            <w:tcBorders>
              <w:tl2br w:val="nil"/>
              <w:tr2bl w:val="nil"/>
            </w:tcBorders>
            <w:vAlign w:val="center"/>
          </w:tcPr>
          <w:p w14:paraId="303F19D3">
            <w:pPr>
              <w:widowControl/>
              <w:spacing w:line="240" w:lineRule="auto"/>
              <w:ind w:firstLine="0" w:firstLineChars="0"/>
              <w:jc w:val="center"/>
              <w:rPr>
                <w:color w:val="auto"/>
                <w:sz w:val="21"/>
                <w:szCs w:val="21"/>
              </w:rPr>
            </w:pPr>
            <w:r>
              <w:rPr>
                <w:color w:val="auto"/>
                <w:sz w:val="21"/>
                <w:szCs w:val="21"/>
              </w:rPr>
              <w:t>/</w:t>
            </w:r>
          </w:p>
        </w:tc>
      </w:tr>
      <w:tr w14:paraId="1CBFC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Borders>
              <w:tl2br w:val="nil"/>
              <w:tr2bl w:val="nil"/>
            </w:tcBorders>
            <w:vAlign w:val="center"/>
          </w:tcPr>
          <w:p w14:paraId="3185C2FA">
            <w:pPr>
              <w:widowControl/>
              <w:spacing w:line="240" w:lineRule="auto"/>
              <w:ind w:firstLine="0" w:firstLineChars="0"/>
              <w:jc w:val="center"/>
              <w:rPr>
                <w:color w:val="auto"/>
                <w:sz w:val="21"/>
                <w:szCs w:val="21"/>
              </w:rPr>
            </w:pPr>
            <w:r>
              <w:rPr>
                <w:color w:val="auto"/>
                <w:sz w:val="21"/>
                <w:szCs w:val="21"/>
              </w:rPr>
              <w:t>废气</w:t>
            </w:r>
          </w:p>
        </w:tc>
        <w:tc>
          <w:tcPr>
            <w:tcW w:w="315" w:type="pct"/>
            <w:vMerge w:val="restart"/>
            <w:tcBorders>
              <w:tl2br w:val="nil"/>
              <w:tr2bl w:val="nil"/>
            </w:tcBorders>
            <w:vAlign w:val="center"/>
          </w:tcPr>
          <w:p w14:paraId="7395C75C">
            <w:pPr>
              <w:widowControl/>
              <w:spacing w:line="240" w:lineRule="auto"/>
              <w:ind w:firstLine="0" w:firstLineChars="0"/>
              <w:jc w:val="center"/>
              <w:rPr>
                <w:color w:val="auto"/>
                <w:sz w:val="21"/>
                <w:szCs w:val="21"/>
              </w:rPr>
            </w:pPr>
            <w:r>
              <w:rPr>
                <w:color w:val="auto"/>
                <w:sz w:val="21"/>
                <w:szCs w:val="21"/>
              </w:rPr>
              <w:t>有组织</w:t>
            </w:r>
          </w:p>
        </w:tc>
        <w:tc>
          <w:tcPr>
            <w:tcW w:w="731" w:type="pct"/>
            <w:tcBorders>
              <w:tl2br w:val="nil"/>
              <w:tr2bl w:val="nil"/>
            </w:tcBorders>
            <w:vAlign w:val="center"/>
          </w:tcPr>
          <w:p w14:paraId="540E0CC1">
            <w:pPr>
              <w:widowControl/>
              <w:spacing w:line="240" w:lineRule="auto"/>
              <w:ind w:firstLine="0" w:firstLineChars="0"/>
              <w:jc w:val="center"/>
              <w:rPr>
                <w:color w:val="auto"/>
                <w:sz w:val="21"/>
                <w:szCs w:val="21"/>
              </w:rPr>
            </w:pPr>
            <w:r>
              <w:rPr>
                <w:color w:val="auto"/>
                <w:sz w:val="21"/>
                <w:szCs w:val="21"/>
              </w:rPr>
              <w:t>DA001</w:t>
            </w:r>
          </w:p>
        </w:tc>
        <w:tc>
          <w:tcPr>
            <w:tcW w:w="1193" w:type="pct"/>
            <w:tcBorders>
              <w:tl2br w:val="nil"/>
              <w:tr2bl w:val="nil"/>
            </w:tcBorders>
            <w:vAlign w:val="center"/>
          </w:tcPr>
          <w:p w14:paraId="3A0C3D87">
            <w:pPr>
              <w:widowControl/>
              <w:spacing w:line="240" w:lineRule="auto"/>
              <w:ind w:firstLine="0" w:firstLineChars="0"/>
              <w:jc w:val="center"/>
              <w:rPr>
                <w:color w:val="auto"/>
                <w:sz w:val="21"/>
                <w:szCs w:val="21"/>
              </w:rPr>
            </w:pPr>
            <w:r>
              <w:rPr>
                <w:color w:val="auto"/>
                <w:sz w:val="21"/>
                <w:szCs w:val="21"/>
              </w:rPr>
              <w:t>颗粒物、二氧化硫、氮氧化物</w:t>
            </w:r>
          </w:p>
        </w:tc>
        <w:tc>
          <w:tcPr>
            <w:tcW w:w="832" w:type="pct"/>
            <w:tcBorders>
              <w:tl2br w:val="nil"/>
              <w:tr2bl w:val="nil"/>
            </w:tcBorders>
            <w:vAlign w:val="center"/>
          </w:tcPr>
          <w:p w14:paraId="02A12FBA">
            <w:pPr>
              <w:spacing w:line="240" w:lineRule="auto"/>
              <w:ind w:firstLine="0" w:firstLineChars="0"/>
              <w:jc w:val="center"/>
              <w:rPr>
                <w:color w:val="auto"/>
                <w:sz w:val="21"/>
                <w:szCs w:val="21"/>
              </w:rPr>
            </w:pPr>
            <w:r>
              <w:rPr>
                <w:color w:val="auto"/>
                <w:sz w:val="21"/>
                <w:szCs w:val="21"/>
              </w:rPr>
              <w:t>每年</w:t>
            </w:r>
            <w:r>
              <w:rPr>
                <w:rFonts w:hint="eastAsia"/>
                <w:color w:val="auto"/>
                <w:sz w:val="21"/>
                <w:szCs w:val="21"/>
              </w:rPr>
              <w:t>/次</w:t>
            </w:r>
          </w:p>
        </w:tc>
        <w:tc>
          <w:tcPr>
            <w:tcW w:w="1614" w:type="pct"/>
            <w:vMerge w:val="restart"/>
            <w:tcBorders>
              <w:tl2br w:val="nil"/>
              <w:tr2bl w:val="nil"/>
            </w:tcBorders>
            <w:vAlign w:val="center"/>
          </w:tcPr>
          <w:p w14:paraId="7CB09136">
            <w:pPr>
              <w:spacing w:line="240" w:lineRule="auto"/>
              <w:ind w:firstLine="0" w:firstLineChars="0"/>
              <w:jc w:val="center"/>
              <w:rPr>
                <w:color w:val="auto"/>
                <w:sz w:val="21"/>
                <w:szCs w:val="21"/>
              </w:rPr>
            </w:pPr>
            <w:r>
              <w:rPr>
                <w:color w:val="auto"/>
                <w:sz w:val="21"/>
                <w:szCs w:val="28"/>
              </w:rPr>
              <w:t>江苏省地方标准</w:t>
            </w:r>
            <w:r>
              <w:rPr>
                <w:color w:val="auto"/>
                <w:sz w:val="21"/>
                <w:szCs w:val="21"/>
              </w:rPr>
              <w:t>《工业炉窑大气污染物排放标准》（DB32/3728-2020）</w:t>
            </w:r>
          </w:p>
        </w:tc>
      </w:tr>
      <w:tr w14:paraId="337EF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Borders>
              <w:tl2br w:val="nil"/>
              <w:tr2bl w:val="nil"/>
            </w:tcBorders>
            <w:vAlign w:val="center"/>
          </w:tcPr>
          <w:p w14:paraId="059AE1C6">
            <w:pPr>
              <w:widowControl/>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21D419A3">
            <w:pPr>
              <w:widowControl/>
              <w:spacing w:line="240" w:lineRule="auto"/>
              <w:ind w:firstLine="0" w:firstLineChars="0"/>
              <w:jc w:val="center"/>
              <w:rPr>
                <w:color w:val="auto"/>
                <w:sz w:val="21"/>
                <w:szCs w:val="21"/>
              </w:rPr>
            </w:pPr>
          </w:p>
        </w:tc>
        <w:tc>
          <w:tcPr>
            <w:tcW w:w="731" w:type="pct"/>
            <w:tcBorders>
              <w:tl2br w:val="nil"/>
              <w:tr2bl w:val="nil"/>
            </w:tcBorders>
            <w:vAlign w:val="center"/>
          </w:tcPr>
          <w:p w14:paraId="60E8383D">
            <w:pPr>
              <w:widowControl/>
              <w:spacing w:line="240" w:lineRule="auto"/>
              <w:ind w:firstLine="0" w:firstLineChars="0"/>
              <w:jc w:val="center"/>
              <w:rPr>
                <w:color w:val="auto"/>
                <w:sz w:val="21"/>
                <w:szCs w:val="21"/>
              </w:rPr>
            </w:pPr>
            <w:r>
              <w:rPr>
                <w:color w:val="auto"/>
                <w:sz w:val="21"/>
                <w:szCs w:val="21"/>
              </w:rPr>
              <w:t>DA002</w:t>
            </w:r>
          </w:p>
        </w:tc>
        <w:tc>
          <w:tcPr>
            <w:tcW w:w="1193" w:type="pct"/>
            <w:tcBorders>
              <w:tl2br w:val="nil"/>
              <w:tr2bl w:val="nil"/>
            </w:tcBorders>
            <w:vAlign w:val="center"/>
          </w:tcPr>
          <w:p w14:paraId="47C25493">
            <w:pPr>
              <w:widowControl/>
              <w:spacing w:line="240" w:lineRule="auto"/>
              <w:ind w:firstLine="0" w:firstLineChars="0"/>
              <w:jc w:val="center"/>
              <w:rPr>
                <w:color w:val="auto"/>
                <w:sz w:val="21"/>
                <w:szCs w:val="21"/>
              </w:rPr>
            </w:pPr>
            <w:r>
              <w:rPr>
                <w:color w:val="auto"/>
                <w:sz w:val="21"/>
                <w:szCs w:val="21"/>
              </w:rPr>
              <w:t>颗粒物、二氧化硫、氮氧化物</w:t>
            </w:r>
          </w:p>
        </w:tc>
        <w:tc>
          <w:tcPr>
            <w:tcW w:w="832" w:type="pct"/>
            <w:tcBorders>
              <w:tl2br w:val="nil"/>
              <w:tr2bl w:val="nil"/>
            </w:tcBorders>
            <w:vAlign w:val="center"/>
          </w:tcPr>
          <w:p w14:paraId="05337222">
            <w:pPr>
              <w:spacing w:line="240" w:lineRule="auto"/>
              <w:ind w:firstLine="0" w:firstLineChars="0"/>
              <w:jc w:val="center"/>
              <w:rPr>
                <w:color w:val="auto"/>
                <w:sz w:val="21"/>
                <w:szCs w:val="21"/>
              </w:rPr>
            </w:pPr>
            <w:r>
              <w:rPr>
                <w:color w:val="auto"/>
                <w:sz w:val="21"/>
                <w:szCs w:val="21"/>
              </w:rPr>
              <w:t>每年</w:t>
            </w:r>
            <w:r>
              <w:rPr>
                <w:rFonts w:hint="eastAsia"/>
                <w:color w:val="auto"/>
                <w:sz w:val="21"/>
                <w:szCs w:val="21"/>
              </w:rPr>
              <w:t>/次</w:t>
            </w:r>
          </w:p>
        </w:tc>
        <w:tc>
          <w:tcPr>
            <w:tcW w:w="1614" w:type="pct"/>
            <w:vMerge w:val="continue"/>
            <w:tcBorders>
              <w:tl2br w:val="nil"/>
              <w:tr2bl w:val="nil"/>
            </w:tcBorders>
            <w:vAlign w:val="center"/>
          </w:tcPr>
          <w:p w14:paraId="21AE36F4">
            <w:pPr>
              <w:spacing w:line="240" w:lineRule="auto"/>
              <w:ind w:firstLine="0" w:firstLineChars="0"/>
              <w:jc w:val="center"/>
              <w:rPr>
                <w:color w:val="auto"/>
                <w:sz w:val="21"/>
                <w:szCs w:val="21"/>
              </w:rPr>
            </w:pPr>
          </w:p>
        </w:tc>
      </w:tr>
      <w:tr w14:paraId="6A2AF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Borders>
              <w:tl2br w:val="nil"/>
              <w:tr2bl w:val="nil"/>
            </w:tcBorders>
            <w:vAlign w:val="center"/>
          </w:tcPr>
          <w:p w14:paraId="28A688B0">
            <w:pPr>
              <w:widowControl/>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17D69BC9">
            <w:pPr>
              <w:widowControl/>
              <w:spacing w:line="240" w:lineRule="auto"/>
              <w:ind w:firstLine="0" w:firstLineChars="0"/>
              <w:jc w:val="center"/>
              <w:rPr>
                <w:color w:val="auto"/>
                <w:sz w:val="21"/>
                <w:szCs w:val="21"/>
              </w:rPr>
            </w:pPr>
          </w:p>
        </w:tc>
        <w:tc>
          <w:tcPr>
            <w:tcW w:w="731" w:type="pct"/>
            <w:tcBorders>
              <w:tl2br w:val="nil"/>
              <w:tr2bl w:val="nil"/>
            </w:tcBorders>
            <w:vAlign w:val="center"/>
          </w:tcPr>
          <w:p w14:paraId="1F232B50">
            <w:pPr>
              <w:widowControl/>
              <w:spacing w:line="240" w:lineRule="auto"/>
              <w:ind w:firstLine="0" w:firstLineChars="0"/>
              <w:jc w:val="center"/>
              <w:rPr>
                <w:color w:val="auto"/>
                <w:sz w:val="21"/>
                <w:szCs w:val="21"/>
              </w:rPr>
            </w:pPr>
            <w:r>
              <w:rPr>
                <w:color w:val="auto"/>
                <w:sz w:val="21"/>
                <w:szCs w:val="21"/>
              </w:rPr>
              <w:t>DA003</w:t>
            </w:r>
          </w:p>
        </w:tc>
        <w:tc>
          <w:tcPr>
            <w:tcW w:w="1193" w:type="pct"/>
            <w:tcBorders>
              <w:tl2br w:val="nil"/>
              <w:tr2bl w:val="nil"/>
            </w:tcBorders>
            <w:shd w:val="clear" w:color="auto" w:fill="auto"/>
            <w:vAlign w:val="center"/>
          </w:tcPr>
          <w:p w14:paraId="234165DE">
            <w:pPr>
              <w:widowControl/>
              <w:spacing w:line="240" w:lineRule="auto"/>
              <w:ind w:firstLine="0" w:firstLineChars="0"/>
              <w:jc w:val="center"/>
              <w:rPr>
                <w:color w:val="auto"/>
                <w:sz w:val="21"/>
                <w:szCs w:val="21"/>
              </w:rPr>
            </w:pPr>
            <w:r>
              <w:rPr>
                <w:color w:val="auto"/>
                <w:sz w:val="21"/>
                <w:szCs w:val="21"/>
              </w:rPr>
              <w:t>颗粒物、二氧化硫、氮氧化物</w:t>
            </w:r>
          </w:p>
        </w:tc>
        <w:tc>
          <w:tcPr>
            <w:tcW w:w="832" w:type="pct"/>
            <w:tcBorders>
              <w:tl2br w:val="nil"/>
              <w:tr2bl w:val="nil"/>
            </w:tcBorders>
            <w:shd w:val="clear" w:color="auto" w:fill="auto"/>
            <w:vAlign w:val="center"/>
          </w:tcPr>
          <w:p w14:paraId="1EEDCC45">
            <w:pPr>
              <w:spacing w:line="240" w:lineRule="auto"/>
              <w:ind w:firstLine="0" w:firstLineChars="0"/>
              <w:jc w:val="center"/>
              <w:rPr>
                <w:color w:val="auto"/>
                <w:sz w:val="21"/>
                <w:szCs w:val="21"/>
              </w:rPr>
            </w:pPr>
            <w:r>
              <w:rPr>
                <w:color w:val="auto"/>
                <w:sz w:val="21"/>
                <w:szCs w:val="21"/>
              </w:rPr>
              <w:t>每年</w:t>
            </w:r>
            <w:r>
              <w:rPr>
                <w:rFonts w:hint="eastAsia"/>
                <w:color w:val="auto"/>
                <w:sz w:val="21"/>
                <w:szCs w:val="21"/>
              </w:rPr>
              <w:t>/次</w:t>
            </w:r>
          </w:p>
        </w:tc>
        <w:tc>
          <w:tcPr>
            <w:tcW w:w="1614" w:type="pct"/>
            <w:vMerge w:val="continue"/>
            <w:tcBorders>
              <w:tl2br w:val="nil"/>
              <w:tr2bl w:val="nil"/>
            </w:tcBorders>
            <w:vAlign w:val="center"/>
          </w:tcPr>
          <w:p w14:paraId="23C225A5">
            <w:pPr>
              <w:spacing w:line="240" w:lineRule="auto"/>
              <w:ind w:firstLine="0" w:firstLineChars="0"/>
              <w:jc w:val="center"/>
              <w:rPr>
                <w:color w:val="auto"/>
                <w:sz w:val="21"/>
                <w:szCs w:val="21"/>
              </w:rPr>
            </w:pPr>
          </w:p>
        </w:tc>
      </w:tr>
      <w:tr w14:paraId="52A28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Borders>
              <w:tl2br w:val="nil"/>
              <w:tr2bl w:val="nil"/>
            </w:tcBorders>
            <w:vAlign w:val="center"/>
          </w:tcPr>
          <w:p w14:paraId="0D217853">
            <w:pPr>
              <w:widowControl/>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5811D1E1">
            <w:pPr>
              <w:widowControl/>
              <w:spacing w:line="240" w:lineRule="auto"/>
              <w:ind w:firstLine="0" w:firstLineChars="0"/>
              <w:jc w:val="center"/>
              <w:rPr>
                <w:color w:val="auto"/>
                <w:sz w:val="21"/>
                <w:szCs w:val="21"/>
              </w:rPr>
            </w:pPr>
          </w:p>
        </w:tc>
        <w:tc>
          <w:tcPr>
            <w:tcW w:w="731" w:type="pct"/>
            <w:tcBorders>
              <w:tl2br w:val="nil"/>
              <w:tr2bl w:val="nil"/>
            </w:tcBorders>
            <w:vAlign w:val="center"/>
          </w:tcPr>
          <w:p w14:paraId="3EAD9AC0">
            <w:pPr>
              <w:widowControl/>
              <w:spacing w:line="240" w:lineRule="auto"/>
              <w:ind w:firstLine="0" w:firstLineChars="0"/>
              <w:jc w:val="center"/>
              <w:rPr>
                <w:color w:val="auto"/>
                <w:sz w:val="21"/>
                <w:szCs w:val="21"/>
              </w:rPr>
            </w:pPr>
            <w:r>
              <w:rPr>
                <w:color w:val="auto"/>
                <w:sz w:val="21"/>
                <w:szCs w:val="21"/>
              </w:rPr>
              <w:t>DA00</w:t>
            </w:r>
            <w:r>
              <w:rPr>
                <w:rFonts w:hint="eastAsia"/>
                <w:color w:val="auto"/>
                <w:sz w:val="21"/>
                <w:szCs w:val="21"/>
              </w:rPr>
              <w:t>4</w:t>
            </w:r>
          </w:p>
        </w:tc>
        <w:tc>
          <w:tcPr>
            <w:tcW w:w="1193" w:type="pct"/>
            <w:tcBorders>
              <w:tl2br w:val="nil"/>
              <w:tr2bl w:val="nil"/>
            </w:tcBorders>
            <w:shd w:val="clear" w:color="auto" w:fill="auto"/>
            <w:vAlign w:val="center"/>
          </w:tcPr>
          <w:p w14:paraId="251694D0">
            <w:pPr>
              <w:widowControl/>
              <w:spacing w:line="240" w:lineRule="auto"/>
              <w:ind w:firstLine="0" w:firstLineChars="0"/>
              <w:jc w:val="center"/>
              <w:rPr>
                <w:color w:val="auto"/>
                <w:sz w:val="21"/>
                <w:szCs w:val="21"/>
              </w:rPr>
            </w:pPr>
            <w:r>
              <w:rPr>
                <w:color w:val="auto"/>
                <w:sz w:val="21"/>
                <w:szCs w:val="21"/>
              </w:rPr>
              <w:t>颗粒物</w:t>
            </w:r>
          </w:p>
        </w:tc>
        <w:tc>
          <w:tcPr>
            <w:tcW w:w="832" w:type="pct"/>
            <w:tcBorders>
              <w:tl2br w:val="nil"/>
              <w:tr2bl w:val="nil"/>
            </w:tcBorders>
            <w:shd w:val="clear" w:color="auto" w:fill="auto"/>
            <w:vAlign w:val="center"/>
          </w:tcPr>
          <w:p w14:paraId="6E57B9F7">
            <w:pPr>
              <w:spacing w:line="240" w:lineRule="auto"/>
              <w:ind w:firstLine="0" w:firstLineChars="0"/>
              <w:jc w:val="center"/>
              <w:rPr>
                <w:color w:val="auto"/>
                <w:sz w:val="21"/>
                <w:szCs w:val="21"/>
              </w:rPr>
            </w:pPr>
            <w:r>
              <w:rPr>
                <w:rFonts w:hint="eastAsia"/>
                <w:color w:val="auto"/>
                <w:sz w:val="21"/>
                <w:szCs w:val="21"/>
              </w:rPr>
              <w:t>每</w:t>
            </w:r>
            <w:r>
              <w:rPr>
                <w:color w:val="auto"/>
                <w:sz w:val="21"/>
                <w:szCs w:val="21"/>
              </w:rPr>
              <w:t>年</w:t>
            </w:r>
            <w:r>
              <w:rPr>
                <w:rFonts w:hint="eastAsia"/>
                <w:color w:val="auto"/>
                <w:sz w:val="21"/>
                <w:szCs w:val="21"/>
              </w:rPr>
              <w:t>/次</w:t>
            </w:r>
          </w:p>
        </w:tc>
        <w:tc>
          <w:tcPr>
            <w:tcW w:w="1614" w:type="pct"/>
            <w:tcBorders>
              <w:tl2br w:val="nil"/>
              <w:tr2bl w:val="nil"/>
            </w:tcBorders>
            <w:vAlign w:val="center"/>
          </w:tcPr>
          <w:p w14:paraId="368620BB">
            <w:pPr>
              <w:spacing w:line="240" w:lineRule="auto"/>
              <w:ind w:firstLine="0" w:firstLineChars="0"/>
              <w:jc w:val="center"/>
              <w:rPr>
                <w:color w:val="auto"/>
                <w:sz w:val="21"/>
                <w:szCs w:val="21"/>
              </w:rPr>
            </w:pPr>
            <w:r>
              <w:rPr>
                <w:color w:val="auto"/>
                <w:sz w:val="21"/>
                <w:szCs w:val="28"/>
              </w:rPr>
              <w:t>江苏省地方标准</w:t>
            </w:r>
            <w:r>
              <w:rPr>
                <w:color w:val="auto"/>
                <w:sz w:val="21"/>
                <w:szCs w:val="21"/>
              </w:rPr>
              <w:t>《大气污染物综合排放标准》（DB32/4041-2021）</w:t>
            </w:r>
          </w:p>
        </w:tc>
      </w:tr>
      <w:tr w14:paraId="77650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Borders>
              <w:tl2br w:val="nil"/>
              <w:tr2bl w:val="nil"/>
            </w:tcBorders>
            <w:vAlign w:val="center"/>
          </w:tcPr>
          <w:p w14:paraId="3FB918D8">
            <w:pPr>
              <w:widowControl/>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3AFADEC6">
            <w:pPr>
              <w:widowControl/>
              <w:spacing w:line="240" w:lineRule="auto"/>
              <w:ind w:firstLine="0" w:firstLineChars="0"/>
              <w:jc w:val="center"/>
              <w:rPr>
                <w:color w:val="auto"/>
                <w:sz w:val="21"/>
                <w:szCs w:val="21"/>
              </w:rPr>
            </w:pPr>
          </w:p>
        </w:tc>
        <w:tc>
          <w:tcPr>
            <w:tcW w:w="731" w:type="pct"/>
            <w:tcBorders>
              <w:tl2br w:val="nil"/>
              <w:tr2bl w:val="nil"/>
            </w:tcBorders>
            <w:vAlign w:val="center"/>
          </w:tcPr>
          <w:p w14:paraId="454136A2">
            <w:pPr>
              <w:widowControl/>
              <w:spacing w:line="240" w:lineRule="auto"/>
              <w:ind w:firstLine="0" w:firstLineChars="0"/>
              <w:jc w:val="center"/>
              <w:rPr>
                <w:color w:val="auto"/>
                <w:sz w:val="21"/>
                <w:szCs w:val="21"/>
              </w:rPr>
            </w:pPr>
            <w:r>
              <w:rPr>
                <w:color w:val="auto"/>
                <w:sz w:val="21"/>
                <w:szCs w:val="21"/>
              </w:rPr>
              <w:t>DA00</w:t>
            </w:r>
            <w:r>
              <w:rPr>
                <w:rFonts w:hint="eastAsia"/>
                <w:color w:val="auto"/>
                <w:sz w:val="21"/>
                <w:szCs w:val="21"/>
              </w:rPr>
              <w:t>6</w:t>
            </w:r>
          </w:p>
        </w:tc>
        <w:tc>
          <w:tcPr>
            <w:tcW w:w="1193" w:type="pct"/>
            <w:tcBorders>
              <w:tl2br w:val="nil"/>
              <w:tr2bl w:val="nil"/>
            </w:tcBorders>
            <w:vAlign w:val="center"/>
          </w:tcPr>
          <w:p w14:paraId="71D9C37C">
            <w:pPr>
              <w:widowControl/>
              <w:spacing w:line="240" w:lineRule="auto"/>
              <w:ind w:firstLine="0" w:firstLineChars="0"/>
              <w:jc w:val="center"/>
              <w:rPr>
                <w:color w:val="auto"/>
                <w:sz w:val="21"/>
                <w:szCs w:val="21"/>
              </w:rPr>
            </w:pPr>
            <w:r>
              <w:rPr>
                <w:color w:val="auto"/>
                <w:sz w:val="21"/>
                <w:szCs w:val="21"/>
              </w:rPr>
              <w:t>硫酸雾</w:t>
            </w:r>
          </w:p>
        </w:tc>
        <w:tc>
          <w:tcPr>
            <w:tcW w:w="832" w:type="pct"/>
            <w:tcBorders>
              <w:tl2br w:val="nil"/>
              <w:tr2bl w:val="nil"/>
            </w:tcBorders>
            <w:vAlign w:val="center"/>
          </w:tcPr>
          <w:p w14:paraId="4A2D55B2">
            <w:pPr>
              <w:spacing w:line="240" w:lineRule="auto"/>
              <w:ind w:firstLine="0" w:firstLineChars="0"/>
              <w:jc w:val="center"/>
              <w:rPr>
                <w:color w:val="auto"/>
                <w:sz w:val="21"/>
                <w:szCs w:val="21"/>
              </w:rPr>
            </w:pPr>
            <w:r>
              <w:rPr>
                <w:rFonts w:hint="eastAsia"/>
                <w:color w:val="auto"/>
                <w:sz w:val="21"/>
                <w:szCs w:val="21"/>
              </w:rPr>
              <w:t>每半年/次</w:t>
            </w:r>
          </w:p>
        </w:tc>
        <w:tc>
          <w:tcPr>
            <w:tcW w:w="1614" w:type="pct"/>
            <w:tcBorders>
              <w:tl2br w:val="nil"/>
              <w:tr2bl w:val="nil"/>
            </w:tcBorders>
            <w:vAlign w:val="center"/>
          </w:tcPr>
          <w:p w14:paraId="483D6C00">
            <w:pPr>
              <w:spacing w:line="240" w:lineRule="auto"/>
              <w:ind w:firstLine="0" w:firstLineChars="0"/>
              <w:jc w:val="center"/>
              <w:rPr>
                <w:color w:val="auto"/>
                <w:sz w:val="21"/>
                <w:szCs w:val="21"/>
              </w:rPr>
            </w:pPr>
            <w:r>
              <w:rPr>
                <w:color w:val="auto"/>
                <w:sz w:val="21"/>
                <w:szCs w:val="28"/>
              </w:rPr>
              <w:t>江苏省地方标准《大气污染物综合排放标准》（DB32/4041-2021）表3中标准限值</w:t>
            </w:r>
          </w:p>
        </w:tc>
      </w:tr>
      <w:tr w14:paraId="4BA3A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Borders>
              <w:tl2br w:val="nil"/>
              <w:tr2bl w:val="nil"/>
            </w:tcBorders>
            <w:vAlign w:val="center"/>
          </w:tcPr>
          <w:p w14:paraId="7A34DF98">
            <w:pPr>
              <w:widowControl/>
              <w:spacing w:line="240" w:lineRule="auto"/>
              <w:ind w:firstLine="0" w:firstLineChars="0"/>
              <w:jc w:val="center"/>
              <w:rPr>
                <w:color w:val="auto"/>
                <w:sz w:val="21"/>
                <w:szCs w:val="21"/>
              </w:rPr>
            </w:pPr>
          </w:p>
        </w:tc>
        <w:tc>
          <w:tcPr>
            <w:tcW w:w="315" w:type="pct"/>
            <w:vMerge w:val="continue"/>
            <w:tcBorders>
              <w:tl2br w:val="nil"/>
              <w:tr2bl w:val="nil"/>
            </w:tcBorders>
            <w:vAlign w:val="center"/>
          </w:tcPr>
          <w:p w14:paraId="5972D55C">
            <w:pPr>
              <w:widowControl/>
              <w:spacing w:line="240" w:lineRule="auto"/>
              <w:ind w:firstLine="0" w:firstLineChars="0"/>
              <w:jc w:val="center"/>
              <w:rPr>
                <w:color w:val="auto"/>
                <w:sz w:val="21"/>
                <w:szCs w:val="21"/>
              </w:rPr>
            </w:pPr>
          </w:p>
        </w:tc>
        <w:tc>
          <w:tcPr>
            <w:tcW w:w="731" w:type="pct"/>
            <w:tcBorders>
              <w:tl2br w:val="nil"/>
              <w:tr2bl w:val="nil"/>
            </w:tcBorders>
            <w:vAlign w:val="center"/>
          </w:tcPr>
          <w:p w14:paraId="2570101A">
            <w:pPr>
              <w:widowControl/>
              <w:spacing w:line="240" w:lineRule="auto"/>
              <w:ind w:firstLine="0" w:firstLineChars="0"/>
              <w:jc w:val="center"/>
              <w:rPr>
                <w:color w:val="auto"/>
                <w:sz w:val="21"/>
                <w:szCs w:val="21"/>
              </w:rPr>
            </w:pPr>
            <w:r>
              <w:rPr>
                <w:color w:val="auto"/>
                <w:sz w:val="21"/>
                <w:szCs w:val="21"/>
              </w:rPr>
              <w:t>DA0</w:t>
            </w:r>
            <w:r>
              <w:rPr>
                <w:rFonts w:hint="eastAsia"/>
                <w:color w:val="auto"/>
                <w:sz w:val="21"/>
                <w:szCs w:val="21"/>
              </w:rPr>
              <w:t>08</w:t>
            </w:r>
          </w:p>
        </w:tc>
        <w:tc>
          <w:tcPr>
            <w:tcW w:w="1193" w:type="pct"/>
            <w:tcBorders>
              <w:tl2br w:val="nil"/>
              <w:tr2bl w:val="nil"/>
            </w:tcBorders>
            <w:vAlign w:val="center"/>
          </w:tcPr>
          <w:p w14:paraId="57267B94">
            <w:pPr>
              <w:widowControl/>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p>
        </w:tc>
        <w:tc>
          <w:tcPr>
            <w:tcW w:w="832" w:type="pct"/>
            <w:tcBorders>
              <w:tl2br w:val="nil"/>
              <w:tr2bl w:val="nil"/>
            </w:tcBorders>
            <w:vAlign w:val="center"/>
          </w:tcPr>
          <w:p w14:paraId="7A5FB733">
            <w:pPr>
              <w:spacing w:line="240" w:lineRule="auto"/>
              <w:ind w:firstLine="0" w:firstLineChars="0"/>
              <w:jc w:val="center"/>
              <w:rPr>
                <w:color w:val="auto"/>
                <w:sz w:val="21"/>
                <w:szCs w:val="21"/>
              </w:rPr>
            </w:pPr>
            <w:r>
              <w:rPr>
                <w:rFonts w:hint="eastAsia"/>
                <w:color w:val="auto"/>
                <w:sz w:val="21"/>
                <w:szCs w:val="21"/>
              </w:rPr>
              <w:t>每半年/次</w:t>
            </w:r>
          </w:p>
        </w:tc>
        <w:tc>
          <w:tcPr>
            <w:tcW w:w="1614" w:type="pct"/>
            <w:tcBorders>
              <w:tl2br w:val="nil"/>
              <w:tr2bl w:val="nil"/>
            </w:tcBorders>
            <w:vAlign w:val="center"/>
          </w:tcPr>
          <w:p w14:paraId="450428F2">
            <w:pPr>
              <w:spacing w:line="240" w:lineRule="auto"/>
              <w:ind w:firstLine="0" w:firstLineChars="0"/>
              <w:jc w:val="center"/>
              <w:rPr>
                <w:color w:val="auto"/>
                <w:sz w:val="21"/>
                <w:szCs w:val="21"/>
              </w:rPr>
            </w:pPr>
            <w:r>
              <w:rPr>
                <w:color w:val="auto"/>
                <w:sz w:val="21"/>
                <w:szCs w:val="21"/>
              </w:rPr>
              <w:t>《电镀污染物排放标准》（GB21900-2008）表5标准</w:t>
            </w:r>
          </w:p>
        </w:tc>
      </w:tr>
      <w:tr w14:paraId="482D4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312" w:type="pct"/>
            <w:vMerge w:val="continue"/>
            <w:tcBorders>
              <w:tl2br w:val="nil"/>
              <w:tr2bl w:val="nil"/>
            </w:tcBorders>
            <w:vAlign w:val="center"/>
          </w:tcPr>
          <w:p w14:paraId="60DE25FD">
            <w:pPr>
              <w:widowControl/>
              <w:spacing w:line="240" w:lineRule="auto"/>
              <w:ind w:firstLine="0" w:firstLineChars="0"/>
              <w:jc w:val="center"/>
              <w:rPr>
                <w:color w:val="auto"/>
                <w:sz w:val="21"/>
                <w:szCs w:val="21"/>
              </w:rPr>
            </w:pPr>
          </w:p>
        </w:tc>
        <w:tc>
          <w:tcPr>
            <w:tcW w:w="315" w:type="pct"/>
            <w:tcBorders>
              <w:tl2br w:val="nil"/>
              <w:tr2bl w:val="nil"/>
            </w:tcBorders>
            <w:vAlign w:val="center"/>
          </w:tcPr>
          <w:p w14:paraId="45644EF9">
            <w:pPr>
              <w:widowControl/>
              <w:spacing w:line="240" w:lineRule="auto"/>
              <w:ind w:firstLine="0" w:firstLineChars="0"/>
              <w:jc w:val="center"/>
              <w:rPr>
                <w:color w:val="auto"/>
                <w:sz w:val="21"/>
                <w:szCs w:val="21"/>
              </w:rPr>
            </w:pPr>
            <w:r>
              <w:rPr>
                <w:color w:val="auto"/>
                <w:sz w:val="21"/>
                <w:szCs w:val="21"/>
              </w:rPr>
              <w:t>无组织</w:t>
            </w:r>
          </w:p>
        </w:tc>
        <w:tc>
          <w:tcPr>
            <w:tcW w:w="731" w:type="pct"/>
            <w:tcBorders>
              <w:tl2br w:val="nil"/>
              <w:tr2bl w:val="nil"/>
            </w:tcBorders>
            <w:vAlign w:val="center"/>
          </w:tcPr>
          <w:p w14:paraId="34368E29">
            <w:pPr>
              <w:widowControl/>
              <w:spacing w:line="240" w:lineRule="auto"/>
              <w:ind w:firstLine="0" w:firstLineChars="0"/>
              <w:jc w:val="center"/>
              <w:rPr>
                <w:color w:val="auto"/>
                <w:sz w:val="21"/>
                <w:szCs w:val="21"/>
              </w:rPr>
            </w:pPr>
            <w:r>
              <w:rPr>
                <w:color w:val="auto"/>
                <w:sz w:val="21"/>
                <w:szCs w:val="21"/>
              </w:rPr>
              <w:t>厂界设置4个无组织排放监测点，上风向1个、下风向3个</w:t>
            </w:r>
          </w:p>
        </w:tc>
        <w:tc>
          <w:tcPr>
            <w:tcW w:w="1193" w:type="pct"/>
            <w:tcBorders>
              <w:tl2br w:val="nil"/>
              <w:tr2bl w:val="nil"/>
            </w:tcBorders>
            <w:vAlign w:val="center"/>
          </w:tcPr>
          <w:p w14:paraId="2BF87D5C">
            <w:pPr>
              <w:widowControl/>
              <w:spacing w:line="240" w:lineRule="auto"/>
              <w:ind w:firstLine="0" w:firstLineChars="0"/>
              <w:jc w:val="center"/>
              <w:rPr>
                <w:color w:val="auto"/>
                <w:sz w:val="21"/>
                <w:szCs w:val="21"/>
              </w:rPr>
            </w:pPr>
            <w:r>
              <w:rPr>
                <w:color w:val="auto"/>
                <w:sz w:val="21"/>
                <w:szCs w:val="21"/>
              </w:rPr>
              <w:t>颗粒物、硫酸雾</w:t>
            </w:r>
            <w:r>
              <w:rPr>
                <w:rFonts w:hint="eastAsia"/>
                <w:color w:val="auto"/>
                <w:sz w:val="21"/>
                <w:szCs w:val="21"/>
              </w:rPr>
              <w:t>和NH</w:t>
            </w:r>
            <w:r>
              <w:rPr>
                <w:rFonts w:hint="eastAsia"/>
                <w:color w:val="auto"/>
                <w:sz w:val="21"/>
                <w:szCs w:val="21"/>
                <w:vertAlign w:val="subscript"/>
              </w:rPr>
              <w:t>3</w:t>
            </w:r>
          </w:p>
        </w:tc>
        <w:tc>
          <w:tcPr>
            <w:tcW w:w="832" w:type="pct"/>
            <w:tcBorders>
              <w:tl2br w:val="nil"/>
              <w:tr2bl w:val="nil"/>
            </w:tcBorders>
            <w:vAlign w:val="center"/>
          </w:tcPr>
          <w:p w14:paraId="76EDEA51">
            <w:pPr>
              <w:widowControl/>
              <w:spacing w:line="240" w:lineRule="auto"/>
              <w:ind w:firstLine="0" w:firstLineChars="0"/>
              <w:jc w:val="center"/>
              <w:rPr>
                <w:color w:val="auto"/>
                <w:sz w:val="21"/>
                <w:szCs w:val="21"/>
              </w:rPr>
            </w:pPr>
            <w:r>
              <w:rPr>
                <w:rFonts w:hint="eastAsia"/>
                <w:color w:val="auto"/>
                <w:sz w:val="21"/>
                <w:szCs w:val="21"/>
              </w:rPr>
              <w:t>每半年/次</w:t>
            </w:r>
          </w:p>
        </w:tc>
        <w:tc>
          <w:tcPr>
            <w:tcW w:w="1614" w:type="pct"/>
            <w:tcBorders>
              <w:tl2br w:val="nil"/>
              <w:tr2bl w:val="nil"/>
            </w:tcBorders>
            <w:vAlign w:val="center"/>
          </w:tcPr>
          <w:p w14:paraId="20431299">
            <w:pPr>
              <w:widowControl/>
              <w:spacing w:line="240" w:lineRule="auto"/>
              <w:ind w:firstLine="0" w:firstLineChars="0"/>
              <w:jc w:val="center"/>
              <w:rPr>
                <w:color w:val="auto"/>
                <w:sz w:val="21"/>
                <w:szCs w:val="21"/>
              </w:rPr>
            </w:pPr>
            <w:r>
              <w:rPr>
                <w:rFonts w:hint="eastAsia"/>
                <w:color w:val="auto"/>
                <w:sz w:val="21"/>
                <w:szCs w:val="21"/>
              </w:rPr>
              <w:t>江苏省地方标准</w:t>
            </w:r>
            <w:r>
              <w:rPr>
                <w:color w:val="auto"/>
                <w:sz w:val="21"/>
                <w:szCs w:val="21"/>
              </w:rPr>
              <w:t>《大气污染物综合排放标准》（DB32/4041-2021）</w:t>
            </w:r>
          </w:p>
        </w:tc>
      </w:tr>
      <w:tr w14:paraId="12E1F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gridSpan w:val="2"/>
            <w:tcBorders>
              <w:tl2br w:val="nil"/>
              <w:tr2bl w:val="nil"/>
            </w:tcBorders>
            <w:vAlign w:val="center"/>
          </w:tcPr>
          <w:p w14:paraId="0B99C4EE">
            <w:pPr>
              <w:widowControl/>
              <w:spacing w:line="240" w:lineRule="auto"/>
              <w:ind w:firstLine="0" w:firstLineChars="0"/>
              <w:jc w:val="center"/>
              <w:rPr>
                <w:color w:val="auto"/>
                <w:sz w:val="21"/>
                <w:szCs w:val="21"/>
              </w:rPr>
            </w:pPr>
            <w:r>
              <w:rPr>
                <w:color w:val="auto"/>
                <w:sz w:val="21"/>
                <w:szCs w:val="21"/>
              </w:rPr>
              <w:t>噪声</w:t>
            </w:r>
          </w:p>
        </w:tc>
        <w:tc>
          <w:tcPr>
            <w:tcW w:w="731" w:type="pct"/>
            <w:tcBorders>
              <w:tl2br w:val="nil"/>
              <w:tr2bl w:val="nil"/>
            </w:tcBorders>
            <w:vAlign w:val="center"/>
          </w:tcPr>
          <w:p w14:paraId="25249622">
            <w:pPr>
              <w:widowControl/>
              <w:spacing w:line="240" w:lineRule="auto"/>
              <w:ind w:firstLine="0" w:firstLineChars="0"/>
              <w:jc w:val="center"/>
              <w:rPr>
                <w:color w:val="auto"/>
                <w:sz w:val="21"/>
                <w:szCs w:val="21"/>
              </w:rPr>
            </w:pPr>
            <w:r>
              <w:rPr>
                <w:color w:val="auto"/>
                <w:sz w:val="21"/>
                <w:szCs w:val="21"/>
              </w:rPr>
              <w:t>厂界四周布设4个点位</w:t>
            </w:r>
          </w:p>
        </w:tc>
        <w:tc>
          <w:tcPr>
            <w:tcW w:w="1193" w:type="pct"/>
            <w:tcBorders>
              <w:tl2br w:val="nil"/>
              <w:tr2bl w:val="nil"/>
            </w:tcBorders>
            <w:vAlign w:val="center"/>
          </w:tcPr>
          <w:p w14:paraId="07A06E9F">
            <w:pPr>
              <w:widowControl/>
              <w:spacing w:line="240" w:lineRule="auto"/>
              <w:ind w:firstLine="0" w:firstLineChars="0"/>
              <w:jc w:val="center"/>
              <w:rPr>
                <w:color w:val="auto"/>
                <w:sz w:val="21"/>
                <w:szCs w:val="21"/>
              </w:rPr>
            </w:pPr>
            <w:r>
              <w:rPr>
                <w:color w:val="auto"/>
                <w:sz w:val="21"/>
                <w:szCs w:val="21"/>
              </w:rPr>
              <w:t>等效连续A声级</w:t>
            </w:r>
          </w:p>
        </w:tc>
        <w:tc>
          <w:tcPr>
            <w:tcW w:w="832" w:type="pct"/>
            <w:tcBorders>
              <w:tl2br w:val="nil"/>
              <w:tr2bl w:val="nil"/>
            </w:tcBorders>
            <w:vAlign w:val="center"/>
          </w:tcPr>
          <w:p w14:paraId="30C07C31">
            <w:pPr>
              <w:widowControl/>
              <w:spacing w:line="240" w:lineRule="auto"/>
              <w:ind w:firstLine="0" w:firstLineChars="0"/>
              <w:jc w:val="center"/>
              <w:rPr>
                <w:color w:val="auto"/>
                <w:sz w:val="21"/>
                <w:szCs w:val="21"/>
              </w:rPr>
            </w:pPr>
            <w:r>
              <w:rPr>
                <w:rFonts w:hint="eastAsia"/>
                <w:color w:val="auto"/>
                <w:sz w:val="21"/>
                <w:szCs w:val="21"/>
              </w:rPr>
              <w:t>每</w:t>
            </w:r>
            <w:r>
              <w:rPr>
                <w:color w:val="auto"/>
                <w:sz w:val="21"/>
                <w:szCs w:val="21"/>
              </w:rPr>
              <w:t>季度</w:t>
            </w:r>
            <w:r>
              <w:rPr>
                <w:rFonts w:hint="eastAsia"/>
                <w:color w:val="auto"/>
                <w:sz w:val="21"/>
                <w:szCs w:val="21"/>
              </w:rPr>
              <w:t>/次</w:t>
            </w:r>
          </w:p>
          <w:p w14:paraId="636920A4">
            <w:pPr>
              <w:widowControl/>
              <w:spacing w:line="240" w:lineRule="auto"/>
              <w:ind w:firstLine="0" w:firstLineChars="0"/>
              <w:jc w:val="center"/>
              <w:rPr>
                <w:color w:val="auto"/>
                <w:sz w:val="21"/>
                <w:szCs w:val="21"/>
              </w:rPr>
            </w:pPr>
            <w:r>
              <w:rPr>
                <w:color w:val="auto"/>
                <w:sz w:val="21"/>
                <w:szCs w:val="21"/>
              </w:rPr>
              <w:t>（昼夜各一次）</w:t>
            </w:r>
          </w:p>
        </w:tc>
        <w:tc>
          <w:tcPr>
            <w:tcW w:w="1614" w:type="pct"/>
            <w:tcBorders>
              <w:tl2br w:val="nil"/>
              <w:tr2bl w:val="nil"/>
            </w:tcBorders>
            <w:vAlign w:val="center"/>
          </w:tcPr>
          <w:p w14:paraId="5316204C">
            <w:pPr>
              <w:widowControl/>
              <w:spacing w:line="240" w:lineRule="auto"/>
              <w:ind w:firstLine="0" w:firstLineChars="0"/>
              <w:jc w:val="center"/>
              <w:rPr>
                <w:color w:val="auto"/>
                <w:sz w:val="21"/>
                <w:szCs w:val="21"/>
              </w:rPr>
            </w:pPr>
            <w:r>
              <w:rPr>
                <w:color w:val="auto"/>
                <w:sz w:val="21"/>
                <w:szCs w:val="21"/>
              </w:rPr>
              <w:t>《工业企业厂界环境噪声排放标准》GB12348-2008的3类标准值</w:t>
            </w:r>
          </w:p>
        </w:tc>
      </w:tr>
    </w:tbl>
    <w:p w14:paraId="01325156">
      <w:pPr>
        <w:autoSpaceDE w:val="0"/>
        <w:autoSpaceDN w:val="0"/>
        <w:ind w:firstLine="0" w:firstLineChars="0"/>
        <w:rPr>
          <w:b/>
          <w:bCs/>
          <w:color w:val="auto"/>
          <w:sz w:val="22"/>
          <w:szCs w:val="22"/>
        </w:rPr>
      </w:pPr>
      <w:r>
        <w:rPr>
          <w:rFonts w:hint="eastAsia"/>
          <w:b/>
          <w:bCs/>
          <w:color w:val="auto"/>
          <w:sz w:val="22"/>
          <w:szCs w:val="22"/>
        </w:rPr>
        <w:t>注：由于碱雾尚无国家污染物监测方法标准，故DA005和DA007排气筒</w:t>
      </w:r>
      <w:r>
        <w:rPr>
          <w:rFonts w:hint="eastAsia"/>
          <w:b/>
          <w:bCs/>
          <w:color w:val="auto"/>
          <w:sz w:val="22"/>
          <w:szCs w:val="22"/>
          <w:lang w:eastAsia="zh-CN"/>
        </w:rPr>
        <w:t>不作</w:t>
      </w:r>
      <w:r>
        <w:rPr>
          <w:rFonts w:hint="eastAsia"/>
          <w:b/>
          <w:bCs/>
          <w:color w:val="auto"/>
          <w:sz w:val="22"/>
          <w:szCs w:val="22"/>
        </w:rPr>
        <w:t>考核。</w:t>
      </w:r>
    </w:p>
    <w:p w14:paraId="026709CB">
      <w:pPr>
        <w:autoSpaceDE w:val="0"/>
        <w:autoSpaceDN w:val="0"/>
        <w:ind w:firstLine="482"/>
        <w:rPr>
          <w:b/>
          <w:bCs/>
          <w:color w:val="auto"/>
        </w:rPr>
      </w:pPr>
      <w:r>
        <w:rPr>
          <w:b/>
          <w:bCs/>
          <w:color w:val="auto"/>
        </w:rPr>
        <w:t>（2）环境质量监测</w:t>
      </w:r>
    </w:p>
    <w:p w14:paraId="45EF510B">
      <w:pPr>
        <w:widowControl/>
        <w:ind w:firstLine="480"/>
        <w:rPr>
          <w:color w:val="auto"/>
        </w:rPr>
      </w:pPr>
      <w:r>
        <w:rPr>
          <w:color w:val="auto"/>
          <w:kern w:val="0"/>
        </w:rPr>
        <w:t>大气：建议在项目厂界设置1个监测点，根据《环境影响评价技术导则 大气环境》（HJ2.2－2018），环境质量监测因子选择估算模式中项目排放污染物Pi≥1%的其他污染物，经模型计算，</w:t>
      </w:r>
      <w:r>
        <w:rPr>
          <w:rFonts w:hint="eastAsia"/>
          <w:color w:val="auto"/>
          <w:kern w:val="0"/>
        </w:rPr>
        <w:t>NO</w:t>
      </w:r>
      <w:r>
        <w:rPr>
          <w:rFonts w:hint="eastAsia"/>
          <w:color w:val="auto"/>
          <w:kern w:val="0"/>
          <w:vertAlign w:val="subscript"/>
        </w:rPr>
        <w:t>2</w:t>
      </w:r>
      <w:r>
        <w:rPr>
          <w:rFonts w:hint="eastAsia"/>
          <w:color w:val="auto"/>
          <w:kern w:val="0"/>
        </w:rPr>
        <w:t>、NH</w:t>
      </w:r>
      <w:r>
        <w:rPr>
          <w:rFonts w:hint="eastAsia"/>
          <w:color w:val="auto"/>
          <w:kern w:val="0"/>
          <w:vertAlign w:val="subscript"/>
        </w:rPr>
        <w:t>3</w:t>
      </w:r>
      <w:r>
        <w:rPr>
          <w:rFonts w:hint="eastAsia"/>
          <w:color w:val="auto"/>
          <w:kern w:val="0"/>
        </w:rPr>
        <w:t>和硫酸雾</w:t>
      </w:r>
      <w:r>
        <w:rPr>
          <w:color w:val="auto"/>
          <w:kern w:val="0"/>
        </w:rPr>
        <w:t>Pi≥1%，故选择NO</w:t>
      </w:r>
      <w:r>
        <w:rPr>
          <w:rFonts w:hint="eastAsia"/>
          <w:color w:val="auto"/>
          <w:kern w:val="0"/>
          <w:vertAlign w:val="subscript"/>
        </w:rPr>
        <w:t>2</w:t>
      </w:r>
      <w:r>
        <w:rPr>
          <w:color w:val="auto"/>
          <w:kern w:val="0"/>
        </w:rPr>
        <w:t>、NH</w:t>
      </w:r>
      <w:r>
        <w:rPr>
          <w:color w:val="auto"/>
          <w:kern w:val="0"/>
          <w:vertAlign w:val="subscript"/>
        </w:rPr>
        <w:t>3</w:t>
      </w:r>
      <w:r>
        <w:rPr>
          <w:color w:val="auto"/>
          <w:kern w:val="0"/>
        </w:rPr>
        <w:t>和硫酸雾作为大气环境质量监测因子</w:t>
      </w:r>
      <w:r>
        <w:rPr>
          <w:rFonts w:hint="eastAsia"/>
          <w:color w:val="auto"/>
          <w:kern w:val="0"/>
        </w:rPr>
        <w:t>。由于NO</w:t>
      </w:r>
      <w:r>
        <w:rPr>
          <w:rFonts w:hint="eastAsia"/>
          <w:color w:val="auto"/>
          <w:kern w:val="0"/>
          <w:vertAlign w:val="subscript"/>
        </w:rPr>
        <w:t>2</w:t>
      </w:r>
      <w:r>
        <w:rPr>
          <w:rFonts w:hint="eastAsia"/>
          <w:color w:val="auto"/>
          <w:kern w:val="0"/>
        </w:rPr>
        <w:t>为基础污染物，生态环境主管部门例行监测，故本项目选取NH</w:t>
      </w:r>
      <w:r>
        <w:rPr>
          <w:rFonts w:hint="eastAsia"/>
          <w:color w:val="auto"/>
          <w:kern w:val="0"/>
          <w:vertAlign w:val="subscript"/>
        </w:rPr>
        <w:t>3</w:t>
      </w:r>
      <w:r>
        <w:rPr>
          <w:rFonts w:hint="eastAsia"/>
          <w:color w:val="auto"/>
          <w:kern w:val="0"/>
        </w:rPr>
        <w:t>和硫酸雾</w:t>
      </w:r>
      <w:r>
        <w:rPr>
          <w:color w:val="auto"/>
          <w:kern w:val="0"/>
        </w:rPr>
        <w:t>作为大气环境质量监测因子。具体监测情况详见</w:t>
      </w:r>
      <w:r>
        <w:rPr>
          <w:snapToGrid w:val="0"/>
          <w:color w:val="auto"/>
          <w:kern w:val="0"/>
        </w:rPr>
        <w:t>表</w:t>
      </w:r>
      <w:r>
        <w:rPr>
          <w:rFonts w:hint="eastAsia"/>
          <w:snapToGrid w:val="0"/>
          <w:color w:val="auto"/>
          <w:kern w:val="0"/>
        </w:rPr>
        <w:t>9.2-2</w:t>
      </w:r>
      <w:r>
        <w:rPr>
          <w:color w:val="auto"/>
          <w:kern w:val="0"/>
        </w:rPr>
        <w:t>。</w:t>
      </w:r>
    </w:p>
    <w:p w14:paraId="0904DCFD">
      <w:pPr>
        <w:widowControl/>
        <w:spacing w:line="240" w:lineRule="auto"/>
        <w:ind w:firstLine="0" w:firstLineChars="0"/>
        <w:jc w:val="center"/>
        <w:rPr>
          <w:b/>
          <w:color w:val="auto"/>
        </w:rPr>
      </w:pPr>
      <w:r>
        <w:rPr>
          <w:b/>
          <w:color w:val="auto"/>
          <w:kern w:val="0"/>
        </w:rPr>
        <w:t>表</w:t>
      </w:r>
      <w:r>
        <w:rPr>
          <w:rFonts w:hint="eastAsia"/>
          <w:b/>
          <w:color w:val="auto"/>
          <w:kern w:val="0"/>
        </w:rPr>
        <w:t>9.2-2</w:t>
      </w:r>
      <w:r>
        <w:rPr>
          <w:b/>
          <w:color w:val="auto"/>
          <w:kern w:val="0"/>
        </w:rPr>
        <w:t xml:space="preserve">  大气环境质量监测表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2401"/>
        <w:gridCol w:w="1413"/>
        <w:gridCol w:w="4023"/>
      </w:tblGrid>
      <w:tr w14:paraId="643E3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749" w:type="pct"/>
            <w:tcBorders>
              <w:tl2br w:val="nil"/>
              <w:tr2bl w:val="nil"/>
            </w:tcBorders>
            <w:shd w:val="clear" w:color="auto" w:fill="auto"/>
            <w:vAlign w:val="center"/>
          </w:tcPr>
          <w:p w14:paraId="1A9E93CE">
            <w:pPr>
              <w:widowControl/>
              <w:spacing w:line="240" w:lineRule="auto"/>
              <w:ind w:firstLine="0" w:firstLineChars="0"/>
              <w:jc w:val="center"/>
              <w:rPr>
                <w:b/>
                <w:color w:val="auto"/>
                <w:sz w:val="21"/>
              </w:rPr>
            </w:pPr>
            <w:r>
              <w:rPr>
                <w:b/>
                <w:color w:val="auto"/>
                <w:kern w:val="0"/>
                <w:sz w:val="21"/>
              </w:rPr>
              <w:t>监测点位</w:t>
            </w:r>
          </w:p>
        </w:tc>
        <w:tc>
          <w:tcPr>
            <w:tcW w:w="1302" w:type="pct"/>
            <w:tcBorders>
              <w:tl2br w:val="nil"/>
              <w:tr2bl w:val="nil"/>
            </w:tcBorders>
            <w:shd w:val="clear" w:color="auto" w:fill="auto"/>
            <w:vAlign w:val="center"/>
          </w:tcPr>
          <w:p w14:paraId="5098FAA9">
            <w:pPr>
              <w:widowControl/>
              <w:spacing w:line="240" w:lineRule="auto"/>
              <w:ind w:firstLine="0" w:firstLineChars="0"/>
              <w:jc w:val="center"/>
              <w:rPr>
                <w:b/>
                <w:color w:val="auto"/>
                <w:sz w:val="21"/>
              </w:rPr>
            </w:pPr>
            <w:r>
              <w:rPr>
                <w:b/>
                <w:color w:val="auto"/>
                <w:kern w:val="0"/>
                <w:sz w:val="21"/>
              </w:rPr>
              <w:t>监测指标</w:t>
            </w:r>
          </w:p>
        </w:tc>
        <w:tc>
          <w:tcPr>
            <w:tcW w:w="766" w:type="pct"/>
            <w:tcBorders>
              <w:tl2br w:val="nil"/>
              <w:tr2bl w:val="nil"/>
            </w:tcBorders>
            <w:shd w:val="clear" w:color="auto" w:fill="auto"/>
            <w:vAlign w:val="center"/>
          </w:tcPr>
          <w:p w14:paraId="17D50169">
            <w:pPr>
              <w:widowControl/>
              <w:spacing w:line="240" w:lineRule="auto"/>
              <w:ind w:firstLine="0" w:firstLineChars="0"/>
              <w:jc w:val="center"/>
              <w:rPr>
                <w:b/>
                <w:color w:val="auto"/>
                <w:sz w:val="21"/>
              </w:rPr>
            </w:pPr>
            <w:r>
              <w:rPr>
                <w:b/>
                <w:color w:val="auto"/>
                <w:kern w:val="0"/>
                <w:sz w:val="21"/>
              </w:rPr>
              <w:t>监测频次</w:t>
            </w:r>
          </w:p>
        </w:tc>
        <w:tc>
          <w:tcPr>
            <w:tcW w:w="2181" w:type="pct"/>
            <w:tcBorders>
              <w:tl2br w:val="nil"/>
              <w:tr2bl w:val="nil"/>
            </w:tcBorders>
            <w:shd w:val="clear" w:color="auto" w:fill="auto"/>
            <w:vAlign w:val="center"/>
          </w:tcPr>
          <w:p w14:paraId="61A3CEB7">
            <w:pPr>
              <w:widowControl/>
              <w:spacing w:line="240" w:lineRule="auto"/>
              <w:ind w:firstLine="0" w:firstLineChars="0"/>
              <w:jc w:val="center"/>
              <w:rPr>
                <w:b/>
                <w:color w:val="auto"/>
                <w:sz w:val="21"/>
              </w:rPr>
            </w:pPr>
            <w:r>
              <w:rPr>
                <w:b/>
                <w:color w:val="auto"/>
                <w:kern w:val="0"/>
                <w:sz w:val="21"/>
              </w:rPr>
              <w:t>执行环境质量标准</w:t>
            </w:r>
          </w:p>
        </w:tc>
      </w:tr>
      <w:tr w14:paraId="43F3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9" w:type="pct"/>
            <w:tcBorders>
              <w:tl2br w:val="nil"/>
              <w:tr2bl w:val="nil"/>
            </w:tcBorders>
            <w:shd w:val="clear" w:color="auto" w:fill="auto"/>
            <w:vAlign w:val="center"/>
          </w:tcPr>
          <w:p w14:paraId="42D62DA7">
            <w:pPr>
              <w:widowControl/>
              <w:spacing w:line="240" w:lineRule="auto"/>
              <w:ind w:firstLine="0" w:firstLineChars="0"/>
              <w:jc w:val="center"/>
              <w:rPr>
                <w:color w:val="auto"/>
                <w:sz w:val="21"/>
              </w:rPr>
            </w:pPr>
            <w:r>
              <w:rPr>
                <w:color w:val="auto"/>
                <w:kern w:val="0"/>
                <w:sz w:val="21"/>
              </w:rPr>
              <w:t>项目所在地</w:t>
            </w:r>
          </w:p>
        </w:tc>
        <w:tc>
          <w:tcPr>
            <w:tcW w:w="1302" w:type="pct"/>
            <w:tcBorders>
              <w:tl2br w:val="nil"/>
              <w:tr2bl w:val="nil"/>
            </w:tcBorders>
            <w:shd w:val="clear" w:color="auto" w:fill="auto"/>
            <w:vAlign w:val="center"/>
          </w:tcPr>
          <w:p w14:paraId="2DA23862">
            <w:pPr>
              <w:widowControl/>
              <w:spacing w:line="240" w:lineRule="auto"/>
              <w:ind w:firstLine="0" w:firstLineChars="0"/>
              <w:jc w:val="center"/>
              <w:rPr>
                <w:color w:val="auto"/>
                <w:sz w:val="21"/>
              </w:rPr>
            </w:pPr>
            <w:r>
              <w:rPr>
                <w:rFonts w:hint="eastAsia"/>
                <w:color w:val="auto"/>
                <w:sz w:val="21"/>
              </w:rPr>
              <w:t>NH</w:t>
            </w:r>
            <w:r>
              <w:rPr>
                <w:rFonts w:hint="eastAsia"/>
                <w:color w:val="auto"/>
                <w:sz w:val="21"/>
                <w:vertAlign w:val="subscript"/>
              </w:rPr>
              <w:t>3</w:t>
            </w:r>
            <w:r>
              <w:rPr>
                <w:rFonts w:hint="eastAsia"/>
                <w:color w:val="auto"/>
                <w:sz w:val="21"/>
              </w:rPr>
              <w:t>、</w:t>
            </w:r>
            <w:r>
              <w:rPr>
                <w:color w:val="auto"/>
                <w:sz w:val="21"/>
              </w:rPr>
              <w:t>硫酸雾</w:t>
            </w:r>
          </w:p>
        </w:tc>
        <w:tc>
          <w:tcPr>
            <w:tcW w:w="766" w:type="pct"/>
            <w:tcBorders>
              <w:tl2br w:val="nil"/>
              <w:tr2bl w:val="nil"/>
            </w:tcBorders>
            <w:shd w:val="clear" w:color="auto" w:fill="auto"/>
            <w:vAlign w:val="center"/>
          </w:tcPr>
          <w:p w14:paraId="4359E3D7">
            <w:pPr>
              <w:widowControl/>
              <w:spacing w:line="240" w:lineRule="auto"/>
              <w:ind w:firstLine="0" w:firstLineChars="0"/>
              <w:jc w:val="center"/>
              <w:rPr>
                <w:color w:val="auto"/>
                <w:sz w:val="21"/>
              </w:rPr>
            </w:pPr>
            <w:r>
              <w:rPr>
                <w:color w:val="auto"/>
                <w:kern w:val="0"/>
                <w:sz w:val="21"/>
              </w:rPr>
              <w:t>每年一次</w:t>
            </w:r>
          </w:p>
        </w:tc>
        <w:tc>
          <w:tcPr>
            <w:tcW w:w="2181" w:type="pct"/>
            <w:tcBorders>
              <w:tl2br w:val="nil"/>
              <w:tr2bl w:val="nil"/>
            </w:tcBorders>
            <w:shd w:val="clear" w:color="auto" w:fill="auto"/>
            <w:vAlign w:val="center"/>
          </w:tcPr>
          <w:p w14:paraId="6A867995">
            <w:pPr>
              <w:widowControl/>
              <w:spacing w:line="240" w:lineRule="auto"/>
              <w:ind w:firstLine="0" w:firstLineChars="0"/>
              <w:jc w:val="center"/>
              <w:rPr>
                <w:color w:val="auto"/>
                <w:sz w:val="21"/>
              </w:rPr>
            </w:pPr>
            <w:r>
              <w:rPr>
                <w:color w:val="auto"/>
                <w:kern w:val="0"/>
                <w:sz w:val="21"/>
              </w:rPr>
              <w:t>《环境影响评价技术导则 大气环境》（HJ2.2-2018）附录D表D.1中标准限值</w:t>
            </w:r>
          </w:p>
        </w:tc>
      </w:tr>
    </w:tbl>
    <w:p w14:paraId="64BBF14B">
      <w:pPr>
        <w:widowControl/>
        <w:ind w:firstLine="480"/>
        <w:rPr>
          <w:color w:val="auto"/>
        </w:rPr>
      </w:pPr>
      <w:r>
        <w:rPr>
          <w:color w:val="auto"/>
          <w:kern w:val="0"/>
        </w:rPr>
        <w:t>声环境：对声环境质量每半年监测一次，在厂界四周设测点4个，每次分昼间、夜间进行。</w:t>
      </w:r>
    </w:p>
    <w:p w14:paraId="1924BEC3">
      <w:pPr>
        <w:widowControl/>
        <w:ind w:firstLine="480"/>
        <w:rPr>
          <w:color w:val="auto"/>
          <w:kern w:val="0"/>
        </w:rPr>
      </w:pPr>
      <w:r>
        <w:rPr>
          <w:color w:val="auto"/>
          <w:kern w:val="0"/>
        </w:rPr>
        <w:t>地表水：对临近的</w:t>
      </w:r>
      <w:r>
        <w:rPr>
          <w:rFonts w:hint="eastAsia"/>
          <w:color w:val="auto"/>
          <w:kern w:val="0"/>
        </w:rPr>
        <w:t>开泰河</w:t>
      </w:r>
      <w:r>
        <w:rPr>
          <w:color w:val="auto"/>
          <w:kern w:val="0"/>
        </w:rPr>
        <w:t>每</w:t>
      </w:r>
      <w:r>
        <w:rPr>
          <w:rFonts w:hint="eastAsia"/>
          <w:color w:val="auto"/>
          <w:kern w:val="0"/>
        </w:rPr>
        <w:t>季度</w:t>
      </w:r>
      <w:r>
        <w:rPr>
          <w:color w:val="auto"/>
          <w:kern w:val="0"/>
        </w:rPr>
        <w:t>监测一次，监测项目：</w:t>
      </w:r>
      <w:r>
        <w:rPr>
          <w:rFonts w:hint="eastAsia"/>
          <w:color w:val="auto"/>
          <w:kern w:val="0"/>
        </w:rPr>
        <w:t>pH值、COD、SS、氨氮、总氮、总磷等</w:t>
      </w:r>
      <w:r>
        <w:rPr>
          <w:color w:val="auto"/>
          <w:kern w:val="0"/>
        </w:rPr>
        <w:t>。</w:t>
      </w:r>
    </w:p>
    <w:p w14:paraId="31B703A0">
      <w:pPr>
        <w:widowControl/>
        <w:ind w:firstLine="480"/>
        <w:rPr>
          <w:color w:val="auto"/>
        </w:rPr>
      </w:pPr>
      <w:r>
        <w:rPr>
          <w:color w:val="auto"/>
          <w:kern w:val="0"/>
        </w:rPr>
        <w:t>地下水：</w:t>
      </w:r>
      <w:r>
        <w:rPr>
          <w:color w:val="auto"/>
        </w:rPr>
        <w:t>评价范围内在厂区地下水下游布设一个监测点位，每年监测一次。监测项目：</w:t>
      </w:r>
      <w:r>
        <w:rPr>
          <w:rFonts w:hint="eastAsia"/>
          <w:color w:val="auto"/>
        </w:rPr>
        <w:t>水位、</w:t>
      </w:r>
      <w:r>
        <w:rPr>
          <w:color w:val="auto"/>
        </w:rPr>
        <w:t>pH</w:t>
      </w:r>
      <w:r>
        <w:rPr>
          <w:rFonts w:hint="eastAsia"/>
          <w:color w:val="auto"/>
        </w:rPr>
        <w:t>值</w:t>
      </w:r>
      <w:r>
        <w:rPr>
          <w:color w:val="auto"/>
        </w:rPr>
        <w:t>、高锰酸盐指数、</w:t>
      </w:r>
      <w:r>
        <w:rPr>
          <w:rFonts w:hint="eastAsia"/>
          <w:color w:val="auto"/>
        </w:rPr>
        <w:t>氨氮、溶解性总固体、总铝、总锡</w:t>
      </w:r>
      <w:r>
        <w:rPr>
          <w:color w:val="auto"/>
        </w:rPr>
        <w:t>。</w:t>
      </w:r>
    </w:p>
    <w:p w14:paraId="5512E139">
      <w:pPr>
        <w:widowControl/>
        <w:ind w:firstLine="480"/>
        <w:rPr>
          <w:color w:val="auto"/>
        </w:rPr>
      </w:pPr>
      <w:r>
        <w:rPr>
          <w:color w:val="auto"/>
          <w:kern w:val="0"/>
        </w:rPr>
        <w:t>土壤：在厂内重点区域布设2个监测点位（阳极氧化车间、污水站）以及厂区外敏感点布置1个监测点位，</w:t>
      </w:r>
      <w:r>
        <w:rPr>
          <w:rFonts w:hint="eastAsia"/>
          <w:color w:val="auto"/>
          <w:kern w:val="0"/>
        </w:rPr>
        <w:t>每年</w:t>
      </w:r>
      <w:r>
        <w:rPr>
          <w:color w:val="auto"/>
          <w:kern w:val="0"/>
        </w:rPr>
        <w:t>监测1次，监测因子为：pH、铜、镍、铬、铅、镉、汞、砷、挥发性有机物（四氯化碳、氯仿、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半挥发性有机物（硝基苯、苯胺、2-氯酚、苯并[a]蒽、苯并[a]芘、苯并[b]荧蒽、苯并[k]荧蒽、䓛、二苯并[a,h]蒽、茚并[1,2,3-cd]芘、萘）、石油烃。</w:t>
      </w:r>
    </w:p>
    <w:p w14:paraId="50572837">
      <w:pPr>
        <w:widowControl/>
        <w:ind w:firstLine="480"/>
        <w:rPr>
          <w:color w:val="auto"/>
          <w:kern w:val="0"/>
        </w:rPr>
      </w:pPr>
      <w:r>
        <w:rPr>
          <w:color w:val="auto"/>
          <w:kern w:val="0"/>
        </w:rPr>
        <w:t>若企业不具备上述污染源及环境质量的监测条件，须委托当地环境监测站或有资质单位进行监测，监测结果以报告形式上报当地生态环境部门及在公司网站进行公示。如发现问题，必须及时纠正，防止环境污染。</w:t>
      </w:r>
    </w:p>
    <w:p w14:paraId="3AAE9E06">
      <w:pPr>
        <w:ind w:firstLine="482"/>
        <w:rPr>
          <w:b/>
          <w:bCs/>
          <w:color w:val="auto"/>
        </w:rPr>
      </w:pPr>
      <w:r>
        <w:rPr>
          <w:b/>
          <w:bCs/>
          <w:color w:val="auto"/>
        </w:rPr>
        <w:t>（3）风险应急监测</w:t>
      </w:r>
    </w:p>
    <w:p w14:paraId="57F11010">
      <w:pPr>
        <w:ind w:firstLine="480"/>
        <w:rPr>
          <w:bCs/>
          <w:color w:val="auto"/>
        </w:rPr>
      </w:pPr>
      <w:r>
        <w:rPr>
          <w:bCs/>
          <w:color w:val="auto"/>
        </w:rPr>
        <w:t>①监测项目</w:t>
      </w:r>
    </w:p>
    <w:p w14:paraId="56022561">
      <w:pPr>
        <w:ind w:firstLine="480"/>
        <w:rPr>
          <w:bCs/>
          <w:color w:val="auto"/>
        </w:rPr>
      </w:pPr>
      <w:r>
        <w:rPr>
          <w:bCs/>
          <w:color w:val="auto"/>
        </w:rPr>
        <w:t>环境空气：根据事故类型和排放物质确定。本项目的大气事故因子主要为：</w:t>
      </w:r>
      <w:r>
        <w:rPr>
          <w:color w:val="auto"/>
          <w:kern w:val="0"/>
        </w:rPr>
        <w:t>SO</w:t>
      </w:r>
      <w:r>
        <w:rPr>
          <w:color w:val="auto"/>
          <w:kern w:val="0"/>
          <w:vertAlign w:val="subscript"/>
        </w:rPr>
        <w:t>2</w:t>
      </w:r>
      <w:r>
        <w:rPr>
          <w:color w:val="auto"/>
          <w:kern w:val="0"/>
        </w:rPr>
        <w:t>、NOx、颗粒物、硫酸雾、氨等</w:t>
      </w:r>
      <w:r>
        <w:rPr>
          <w:bCs/>
          <w:color w:val="auto"/>
        </w:rPr>
        <w:t>。</w:t>
      </w:r>
    </w:p>
    <w:p w14:paraId="2B60E5D6">
      <w:pPr>
        <w:ind w:firstLine="480"/>
        <w:rPr>
          <w:bCs/>
          <w:color w:val="auto"/>
        </w:rPr>
      </w:pPr>
      <w:r>
        <w:rPr>
          <w:bCs/>
          <w:color w:val="auto"/>
        </w:rPr>
        <w:t>地表水：根据事故类型和排放物质确定。拟建项目地表水事故因子主要为：</w:t>
      </w:r>
      <w:r>
        <w:rPr>
          <w:color w:val="auto"/>
          <w:lang w:val="en-GB"/>
        </w:rPr>
        <w:t>pH、COD、SS</w:t>
      </w:r>
      <w:r>
        <w:rPr>
          <w:color w:val="auto"/>
        </w:rPr>
        <w:t>、</w:t>
      </w:r>
      <w:r>
        <w:rPr>
          <w:rFonts w:hint="eastAsia"/>
          <w:color w:val="auto"/>
        </w:rPr>
        <w:t>氨氮、总磷、总氮、LAS、总铝、总锡、</w:t>
      </w:r>
      <w:r>
        <w:rPr>
          <w:color w:val="auto"/>
        </w:rPr>
        <w:t>石油类</w:t>
      </w:r>
      <w:r>
        <w:rPr>
          <w:rFonts w:hint="eastAsia"/>
          <w:color w:val="auto"/>
        </w:rPr>
        <w:t>等</w:t>
      </w:r>
      <w:r>
        <w:rPr>
          <w:bCs/>
          <w:color w:val="auto"/>
        </w:rPr>
        <w:t>。</w:t>
      </w:r>
    </w:p>
    <w:p w14:paraId="3F5E164A">
      <w:pPr>
        <w:ind w:firstLine="480"/>
        <w:rPr>
          <w:bCs/>
          <w:color w:val="auto"/>
        </w:rPr>
      </w:pPr>
      <w:r>
        <w:rPr>
          <w:bCs/>
          <w:color w:val="auto"/>
        </w:rPr>
        <w:t>②监测区域</w:t>
      </w:r>
    </w:p>
    <w:p w14:paraId="1789DCAB">
      <w:pPr>
        <w:ind w:firstLine="480"/>
        <w:rPr>
          <w:bCs/>
          <w:color w:val="auto"/>
        </w:rPr>
      </w:pPr>
      <w:r>
        <w:rPr>
          <w:bCs/>
          <w:color w:val="auto"/>
        </w:rPr>
        <w:t>大气环境：本项目周边区域内的敏感点；</w:t>
      </w:r>
    </w:p>
    <w:p w14:paraId="1EE3400C">
      <w:pPr>
        <w:ind w:firstLine="480"/>
        <w:rPr>
          <w:bCs/>
          <w:color w:val="auto"/>
        </w:rPr>
      </w:pPr>
      <w:r>
        <w:rPr>
          <w:bCs/>
          <w:color w:val="auto"/>
        </w:rPr>
        <w:t>水环境：根据事故类型和事故废水走向，确定监测范围。主要监测点位为：事故池进出口、厂区雨水出口、厂区污水处理站进出口、周边河流等。</w:t>
      </w:r>
    </w:p>
    <w:p w14:paraId="0F1CE17B">
      <w:pPr>
        <w:ind w:firstLine="480"/>
        <w:rPr>
          <w:bCs/>
          <w:color w:val="auto"/>
        </w:rPr>
      </w:pPr>
      <w:r>
        <w:rPr>
          <w:bCs/>
          <w:color w:val="auto"/>
        </w:rPr>
        <w:t>③监测频率</w:t>
      </w:r>
    </w:p>
    <w:p w14:paraId="6202EC58">
      <w:pPr>
        <w:ind w:firstLine="480"/>
        <w:rPr>
          <w:bCs/>
          <w:color w:val="auto"/>
        </w:rPr>
      </w:pPr>
      <w:r>
        <w:rPr>
          <w:bCs/>
          <w:color w:val="auto"/>
        </w:rPr>
        <w:t>环境空气：事故初期，采样1次/30min；随后根据空气中有害物质浓度降低监测频率，按1h、2h等时间间隔采样。</w:t>
      </w:r>
    </w:p>
    <w:p w14:paraId="2531E2CF">
      <w:pPr>
        <w:ind w:firstLine="480"/>
        <w:rPr>
          <w:bCs/>
          <w:color w:val="auto"/>
        </w:rPr>
      </w:pPr>
      <w:r>
        <w:rPr>
          <w:bCs/>
          <w:color w:val="auto"/>
        </w:rPr>
        <w:t>地表水：采样1次/30min。</w:t>
      </w:r>
    </w:p>
    <w:p w14:paraId="05D6D5D3">
      <w:pPr>
        <w:ind w:firstLine="480"/>
        <w:rPr>
          <w:bCs/>
          <w:color w:val="auto"/>
        </w:rPr>
      </w:pPr>
      <w:r>
        <w:rPr>
          <w:bCs/>
          <w:color w:val="auto"/>
        </w:rPr>
        <w:t>④监测报告</w:t>
      </w:r>
    </w:p>
    <w:p w14:paraId="1DD5C317">
      <w:pPr>
        <w:ind w:firstLine="480"/>
        <w:rPr>
          <w:bCs/>
          <w:color w:val="auto"/>
        </w:rPr>
      </w:pPr>
      <w:r>
        <w:rPr>
          <w:bCs/>
          <w:color w:val="auto"/>
        </w:rPr>
        <w:t>事故现场的应急监测机构负责每小时向</w:t>
      </w:r>
      <w:r>
        <w:rPr>
          <w:rFonts w:hint="eastAsia"/>
          <w:bCs/>
          <w:color w:val="auto"/>
        </w:rPr>
        <w:t>连云港经济技术开发区</w:t>
      </w:r>
      <w:r>
        <w:rPr>
          <w:bCs/>
          <w:color w:val="auto"/>
        </w:rPr>
        <w:t>管委会、</w:t>
      </w:r>
      <w:r>
        <w:rPr>
          <w:rFonts w:hint="eastAsia"/>
          <w:bCs/>
          <w:color w:val="auto"/>
        </w:rPr>
        <w:t>连云港经济技术开发区行政审批局</w:t>
      </w:r>
      <w:r>
        <w:rPr>
          <w:bCs/>
          <w:color w:val="auto"/>
        </w:rPr>
        <w:t>指挥部等提供分析报告，由</w:t>
      </w:r>
      <w:r>
        <w:rPr>
          <w:rFonts w:hint="eastAsia"/>
          <w:bCs/>
          <w:color w:val="auto"/>
        </w:rPr>
        <w:t>连云港经济技术开发区</w:t>
      </w:r>
      <w:r>
        <w:rPr>
          <w:bCs/>
          <w:color w:val="auto"/>
        </w:rPr>
        <w:t>环境监测站负责完成总报告和动态报告编制、发送。</w:t>
      </w:r>
    </w:p>
    <w:p w14:paraId="2CAA0F1D">
      <w:pPr>
        <w:ind w:firstLine="480"/>
        <w:rPr>
          <w:bCs/>
          <w:color w:val="auto"/>
        </w:rPr>
      </w:pPr>
      <w:r>
        <w:rPr>
          <w:bCs/>
          <w:color w:val="auto"/>
        </w:rPr>
        <w:t>值得注意的是，事故后期需开展环境风险损害评估工作，对受污染的土壤、水体等进行环境影响评估。</w:t>
      </w:r>
    </w:p>
    <w:p w14:paraId="1312A980">
      <w:pPr>
        <w:ind w:firstLine="482"/>
        <w:rPr>
          <w:b/>
          <w:bCs/>
          <w:color w:val="auto"/>
        </w:rPr>
      </w:pPr>
      <w:r>
        <w:rPr>
          <w:b/>
          <w:bCs/>
          <w:color w:val="auto"/>
        </w:rPr>
        <w:t>（</w:t>
      </w:r>
      <w:r>
        <w:rPr>
          <w:rFonts w:hint="eastAsia"/>
          <w:b/>
          <w:bCs/>
          <w:color w:val="auto"/>
        </w:rPr>
        <w:t>4</w:t>
      </w:r>
      <w:r>
        <w:rPr>
          <w:b/>
          <w:bCs/>
          <w:color w:val="auto"/>
        </w:rPr>
        <w:t>）人群健康检查</w:t>
      </w:r>
      <w:r>
        <w:rPr>
          <w:rFonts w:hint="eastAsia"/>
          <w:b/>
          <w:bCs/>
          <w:color w:val="auto"/>
        </w:rPr>
        <w:t xml:space="preserve"> </w:t>
      </w:r>
    </w:p>
    <w:p w14:paraId="4DFD3E6F">
      <w:pPr>
        <w:ind w:firstLine="480"/>
        <w:rPr>
          <w:color w:val="auto"/>
        </w:rPr>
      </w:pPr>
      <w:r>
        <w:rPr>
          <w:bCs/>
          <w:color w:val="auto"/>
        </w:rPr>
        <w:t>建设单位应对企业员工以及项目评价范围内的公众定期抽样检查，企业员工应每半年检查一次，周围公众一年检查一次。周围公众包括评价范围内的居民、周边企业员工等。</w:t>
      </w:r>
    </w:p>
    <w:p w14:paraId="0751053D">
      <w:pPr>
        <w:ind w:firstLine="480"/>
        <w:rPr>
          <w:color w:val="auto"/>
          <w:kern w:val="0"/>
        </w:rPr>
      </w:pPr>
      <w:r>
        <w:rPr>
          <w:color w:val="auto"/>
          <w:kern w:val="0"/>
        </w:rPr>
        <w:t>上述污染源监测及环境质量监测若企业不具备监测条件，可委托有资质的监测单位进行监测，监测结果以报表形式上报当地环境保护主管部门。</w:t>
      </w:r>
      <w:bookmarkEnd w:id="241"/>
      <w:bookmarkEnd w:id="242"/>
      <w:bookmarkEnd w:id="244"/>
    </w:p>
    <w:p w14:paraId="4A42B1A1">
      <w:pPr>
        <w:ind w:firstLine="0" w:firstLineChars="0"/>
        <w:rPr>
          <w:color w:val="auto"/>
          <w:kern w:val="0"/>
        </w:rPr>
      </w:pPr>
      <w:r>
        <w:rPr>
          <w:color w:val="auto"/>
          <w:kern w:val="0"/>
        </w:rPr>
        <w:br w:type="page"/>
      </w:r>
    </w:p>
    <w:p w14:paraId="232FC281">
      <w:pPr>
        <w:pStyle w:val="4"/>
        <w:spacing w:beforeLines="50" w:after="0"/>
        <w:ind w:firstLine="0" w:firstLineChars="0"/>
        <w:rPr>
          <w:color w:val="auto"/>
          <w:sz w:val="30"/>
          <w:szCs w:val="30"/>
        </w:rPr>
        <w:sectPr>
          <w:pgSz w:w="11906" w:h="16838"/>
          <w:pgMar w:top="1418" w:right="1452" w:bottom="1418" w:left="1452" w:header="851" w:footer="992" w:gutter="0"/>
          <w:paperSrc w:first="7" w:other="7"/>
          <w:cols w:space="720" w:num="1"/>
          <w:docGrid w:linePitch="312" w:charSpace="0"/>
        </w:sectPr>
      </w:pPr>
    </w:p>
    <w:p w14:paraId="0C49EEBD">
      <w:pPr>
        <w:pStyle w:val="4"/>
        <w:spacing w:beforeLines="50" w:after="0"/>
        <w:ind w:firstLine="0" w:firstLineChars="0"/>
        <w:rPr>
          <w:color w:val="auto"/>
          <w:sz w:val="30"/>
          <w:szCs w:val="30"/>
        </w:rPr>
      </w:pPr>
      <w:bookmarkStart w:id="246" w:name="_Toc24729"/>
      <w:r>
        <w:rPr>
          <w:rFonts w:hint="eastAsia"/>
          <w:color w:val="auto"/>
          <w:sz w:val="30"/>
          <w:szCs w:val="30"/>
        </w:rPr>
        <w:t>9</w:t>
      </w:r>
      <w:r>
        <w:rPr>
          <w:color w:val="auto"/>
          <w:sz w:val="30"/>
          <w:szCs w:val="30"/>
        </w:rPr>
        <w:t>.</w:t>
      </w:r>
      <w:r>
        <w:rPr>
          <w:rFonts w:hint="eastAsia"/>
          <w:color w:val="auto"/>
          <w:sz w:val="30"/>
          <w:szCs w:val="30"/>
        </w:rPr>
        <w:t>3</w:t>
      </w:r>
      <w:r>
        <w:rPr>
          <w:color w:val="auto"/>
          <w:sz w:val="30"/>
          <w:szCs w:val="30"/>
        </w:rPr>
        <w:t xml:space="preserve"> 污染物排放清单</w:t>
      </w:r>
      <w:bookmarkEnd w:id="246"/>
    </w:p>
    <w:p w14:paraId="0B587732">
      <w:pPr>
        <w:ind w:firstLine="480"/>
        <w:rPr>
          <w:color w:val="auto"/>
        </w:rPr>
      </w:pPr>
      <w:r>
        <w:rPr>
          <w:color w:val="auto"/>
        </w:rPr>
        <w:t>建设项目污染物排放清单见表</w:t>
      </w:r>
      <w:r>
        <w:rPr>
          <w:rFonts w:hint="eastAsia"/>
          <w:color w:val="auto"/>
        </w:rPr>
        <w:t>9.3-1</w:t>
      </w:r>
      <w:r>
        <w:rPr>
          <w:color w:val="auto"/>
        </w:rPr>
        <w:t>。</w:t>
      </w:r>
    </w:p>
    <w:p w14:paraId="5BE164EC">
      <w:pPr>
        <w:widowControl/>
        <w:spacing w:line="240" w:lineRule="auto"/>
        <w:ind w:firstLine="0" w:firstLineChars="0"/>
        <w:jc w:val="center"/>
        <w:rPr>
          <w:b/>
          <w:color w:val="auto"/>
        </w:rPr>
      </w:pPr>
      <w:r>
        <w:rPr>
          <w:b/>
          <w:color w:val="auto"/>
        </w:rPr>
        <w:t>表</w:t>
      </w:r>
      <w:r>
        <w:rPr>
          <w:rFonts w:hint="eastAsia"/>
          <w:b/>
          <w:color w:val="auto"/>
        </w:rPr>
        <w:t>9.3</w:t>
      </w:r>
      <w:r>
        <w:rPr>
          <w:b/>
          <w:color w:val="auto"/>
        </w:rPr>
        <w:t>-1</w:t>
      </w:r>
      <w:r>
        <w:rPr>
          <w:rFonts w:hint="eastAsia"/>
          <w:b/>
          <w:color w:val="auto"/>
        </w:rPr>
        <w:t xml:space="preserve">  </w:t>
      </w:r>
      <w:r>
        <w:rPr>
          <w:b/>
          <w:color w:val="auto"/>
        </w:rPr>
        <w:t>污染物排放清单</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97"/>
        <w:gridCol w:w="546"/>
        <w:gridCol w:w="278"/>
        <w:gridCol w:w="630"/>
        <w:gridCol w:w="489"/>
        <w:gridCol w:w="886"/>
        <w:gridCol w:w="2539"/>
        <w:gridCol w:w="1001"/>
        <w:gridCol w:w="664"/>
        <w:gridCol w:w="776"/>
        <w:gridCol w:w="931"/>
        <w:gridCol w:w="1111"/>
        <w:gridCol w:w="723"/>
        <w:gridCol w:w="692"/>
        <w:gridCol w:w="2087"/>
      </w:tblGrid>
      <w:tr w14:paraId="1AAFE7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restart"/>
            <w:vAlign w:val="center"/>
          </w:tcPr>
          <w:p w14:paraId="70E98E91">
            <w:pPr>
              <w:spacing w:line="240" w:lineRule="auto"/>
              <w:ind w:firstLine="0" w:firstLineChars="0"/>
              <w:jc w:val="center"/>
              <w:rPr>
                <w:b/>
                <w:bCs/>
                <w:color w:val="auto"/>
                <w:kern w:val="44"/>
                <w:sz w:val="21"/>
                <w:szCs w:val="21"/>
              </w:rPr>
            </w:pPr>
            <w:r>
              <w:rPr>
                <w:b/>
                <w:bCs/>
                <w:color w:val="auto"/>
                <w:kern w:val="44"/>
                <w:sz w:val="21"/>
                <w:szCs w:val="21"/>
              </w:rPr>
              <w:t>污染物类别</w:t>
            </w:r>
          </w:p>
        </w:tc>
        <w:tc>
          <w:tcPr>
            <w:tcW w:w="691" w:type="pct"/>
            <w:gridSpan w:val="4"/>
            <w:vMerge w:val="restart"/>
            <w:vAlign w:val="center"/>
          </w:tcPr>
          <w:p w14:paraId="4B0F52E7">
            <w:pPr>
              <w:spacing w:line="240" w:lineRule="auto"/>
              <w:ind w:firstLine="0" w:firstLineChars="0"/>
              <w:jc w:val="center"/>
              <w:rPr>
                <w:b/>
                <w:bCs/>
                <w:color w:val="auto"/>
                <w:kern w:val="44"/>
                <w:sz w:val="21"/>
                <w:szCs w:val="21"/>
              </w:rPr>
            </w:pPr>
            <w:r>
              <w:rPr>
                <w:b/>
                <w:bCs/>
                <w:color w:val="auto"/>
                <w:kern w:val="44"/>
                <w:sz w:val="21"/>
                <w:szCs w:val="21"/>
              </w:rPr>
              <w:t>污染源</w:t>
            </w:r>
          </w:p>
        </w:tc>
        <w:tc>
          <w:tcPr>
            <w:tcW w:w="315" w:type="pct"/>
            <w:vMerge w:val="restart"/>
            <w:vAlign w:val="center"/>
          </w:tcPr>
          <w:p w14:paraId="25EC3612">
            <w:pPr>
              <w:spacing w:line="240" w:lineRule="auto"/>
              <w:ind w:firstLine="0" w:firstLineChars="0"/>
              <w:jc w:val="center"/>
              <w:rPr>
                <w:b/>
                <w:bCs/>
                <w:color w:val="auto"/>
                <w:kern w:val="44"/>
                <w:sz w:val="21"/>
                <w:szCs w:val="21"/>
              </w:rPr>
            </w:pPr>
            <w:r>
              <w:rPr>
                <w:b/>
                <w:bCs/>
                <w:color w:val="auto"/>
                <w:kern w:val="44"/>
                <w:sz w:val="21"/>
                <w:szCs w:val="21"/>
              </w:rPr>
              <w:t>污染物名称</w:t>
            </w:r>
          </w:p>
        </w:tc>
        <w:tc>
          <w:tcPr>
            <w:tcW w:w="903" w:type="pct"/>
            <w:vMerge w:val="restart"/>
            <w:vAlign w:val="center"/>
          </w:tcPr>
          <w:p w14:paraId="71E31552">
            <w:pPr>
              <w:spacing w:line="240" w:lineRule="auto"/>
              <w:ind w:firstLine="0" w:firstLineChars="0"/>
              <w:jc w:val="center"/>
              <w:rPr>
                <w:b/>
                <w:bCs/>
                <w:color w:val="auto"/>
                <w:kern w:val="44"/>
                <w:sz w:val="21"/>
                <w:szCs w:val="21"/>
              </w:rPr>
            </w:pPr>
            <w:r>
              <w:rPr>
                <w:b/>
                <w:bCs/>
                <w:color w:val="auto"/>
                <w:kern w:val="44"/>
                <w:sz w:val="21"/>
                <w:szCs w:val="21"/>
              </w:rPr>
              <w:t>治理措施及运行参数</w:t>
            </w:r>
          </w:p>
        </w:tc>
        <w:tc>
          <w:tcPr>
            <w:tcW w:w="356" w:type="pct"/>
            <w:vMerge w:val="restart"/>
            <w:vAlign w:val="center"/>
          </w:tcPr>
          <w:p w14:paraId="2FB5E141">
            <w:pPr>
              <w:spacing w:line="240" w:lineRule="auto"/>
              <w:ind w:firstLine="0" w:firstLineChars="0"/>
              <w:jc w:val="center"/>
              <w:rPr>
                <w:b/>
                <w:bCs/>
                <w:color w:val="auto"/>
                <w:kern w:val="44"/>
                <w:sz w:val="21"/>
                <w:szCs w:val="21"/>
              </w:rPr>
            </w:pPr>
            <w:r>
              <w:rPr>
                <w:b/>
                <w:bCs/>
                <w:color w:val="auto"/>
                <w:kern w:val="44"/>
                <w:sz w:val="21"/>
                <w:szCs w:val="21"/>
              </w:rPr>
              <w:t>排污口参数</w:t>
            </w:r>
          </w:p>
        </w:tc>
        <w:tc>
          <w:tcPr>
            <w:tcW w:w="236" w:type="pct"/>
            <w:vMerge w:val="restart"/>
            <w:vAlign w:val="center"/>
          </w:tcPr>
          <w:p w14:paraId="6F8F34D4">
            <w:pPr>
              <w:spacing w:line="240" w:lineRule="auto"/>
              <w:ind w:firstLine="0" w:firstLineChars="0"/>
              <w:jc w:val="center"/>
              <w:rPr>
                <w:b/>
                <w:bCs/>
                <w:color w:val="auto"/>
                <w:kern w:val="44"/>
                <w:sz w:val="21"/>
                <w:szCs w:val="21"/>
              </w:rPr>
            </w:pPr>
            <w:r>
              <w:rPr>
                <w:b/>
                <w:bCs/>
                <w:color w:val="auto"/>
                <w:kern w:val="44"/>
                <w:sz w:val="21"/>
                <w:szCs w:val="21"/>
              </w:rPr>
              <w:t>排放规律及运行时间</w:t>
            </w:r>
          </w:p>
        </w:tc>
        <w:tc>
          <w:tcPr>
            <w:tcW w:w="1002" w:type="pct"/>
            <w:gridSpan w:val="3"/>
            <w:vAlign w:val="center"/>
          </w:tcPr>
          <w:p w14:paraId="63EAAE63">
            <w:pPr>
              <w:spacing w:line="240" w:lineRule="auto"/>
              <w:ind w:firstLine="0" w:firstLineChars="0"/>
              <w:jc w:val="center"/>
              <w:rPr>
                <w:b/>
                <w:bCs/>
                <w:color w:val="auto"/>
                <w:kern w:val="44"/>
                <w:sz w:val="21"/>
                <w:szCs w:val="21"/>
              </w:rPr>
            </w:pPr>
            <w:r>
              <w:rPr>
                <w:b/>
                <w:bCs/>
                <w:color w:val="auto"/>
                <w:kern w:val="44"/>
                <w:sz w:val="21"/>
                <w:szCs w:val="21"/>
              </w:rPr>
              <w:t>排放状况</w:t>
            </w:r>
          </w:p>
        </w:tc>
        <w:tc>
          <w:tcPr>
            <w:tcW w:w="503" w:type="pct"/>
            <w:gridSpan w:val="2"/>
            <w:vAlign w:val="center"/>
          </w:tcPr>
          <w:p w14:paraId="3D30F218">
            <w:pPr>
              <w:spacing w:line="240" w:lineRule="auto"/>
              <w:ind w:firstLine="0" w:firstLineChars="0"/>
              <w:jc w:val="center"/>
              <w:rPr>
                <w:b/>
                <w:bCs/>
                <w:color w:val="auto"/>
                <w:kern w:val="44"/>
                <w:sz w:val="21"/>
                <w:szCs w:val="21"/>
              </w:rPr>
            </w:pPr>
            <w:r>
              <w:rPr>
                <w:b/>
                <w:bCs/>
                <w:color w:val="auto"/>
                <w:kern w:val="44"/>
                <w:sz w:val="21"/>
                <w:szCs w:val="21"/>
              </w:rPr>
              <w:t>排放标准</w:t>
            </w:r>
          </w:p>
        </w:tc>
        <w:tc>
          <w:tcPr>
            <w:tcW w:w="742" w:type="pct"/>
            <w:vMerge w:val="restart"/>
            <w:vAlign w:val="center"/>
          </w:tcPr>
          <w:p w14:paraId="19C44C4D">
            <w:pPr>
              <w:spacing w:line="240" w:lineRule="auto"/>
              <w:ind w:firstLine="0" w:firstLineChars="0"/>
              <w:jc w:val="center"/>
              <w:rPr>
                <w:b/>
                <w:bCs/>
                <w:color w:val="auto"/>
                <w:kern w:val="44"/>
                <w:sz w:val="21"/>
                <w:szCs w:val="21"/>
              </w:rPr>
            </w:pPr>
            <w:r>
              <w:rPr>
                <w:b/>
                <w:bCs/>
                <w:color w:val="auto"/>
                <w:kern w:val="44"/>
                <w:sz w:val="21"/>
                <w:szCs w:val="21"/>
              </w:rPr>
              <w:t>执行标准</w:t>
            </w:r>
          </w:p>
        </w:tc>
      </w:tr>
      <w:tr w14:paraId="41A092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95809E0">
            <w:pPr>
              <w:spacing w:line="240" w:lineRule="auto"/>
              <w:ind w:firstLine="0" w:firstLineChars="0"/>
              <w:jc w:val="center"/>
              <w:rPr>
                <w:b/>
                <w:bCs/>
                <w:color w:val="auto"/>
                <w:kern w:val="44"/>
                <w:sz w:val="21"/>
                <w:szCs w:val="21"/>
              </w:rPr>
            </w:pPr>
          </w:p>
        </w:tc>
        <w:tc>
          <w:tcPr>
            <w:tcW w:w="691" w:type="pct"/>
            <w:gridSpan w:val="4"/>
            <w:vMerge w:val="continue"/>
            <w:vAlign w:val="center"/>
          </w:tcPr>
          <w:p w14:paraId="717FC664">
            <w:pPr>
              <w:spacing w:line="240" w:lineRule="auto"/>
              <w:ind w:firstLine="0" w:firstLineChars="0"/>
              <w:jc w:val="center"/>
              <w:rPr>
                <w:b/>
                <w:bCs/>
                <w:color w:val="auto"/>
                <w:kern w:val="44"/>
                <w:sz w:val="21"/>
                <w:szCs w:val="21"/>
              </w:rPr>
            </w:pPr>
          </w:p>
        </w:tc>
        <w:tc>
          <w:tcPr>
            <w:tcW w:w="315" w:type="pct"/>
            <w:vMerge w:val="continue"/>
            <w:vAlign w:val="center"/>
          </w:tcPr>
          <w:p w14:paraId="4DEAD95F">
            <w:pPr>
              <w:spacing w:line="240" w:lineRule="auto"/>
              <w:ind w:firstLine="0" w:firstLineChars="0"/>
              <w:jc w:val="center"/>
              <w:rPr>
                <w:b/>
                <w:bCs/>
                <w:color w:val="auto"/>
                <w:kern w:val="44"/>
                <w:sz w:val="21"/>
                <w:szCs w:val="21"/>
              </w:rPr>
            </w:pPr>
          </w:p>
        </w:tc>
        <w:tc>
          <w:tcPr>
            <w:tcW w:w="903" w:type="pct"/>
            <w:vMerge w:val="continue"/>
            <w:vAlign w:val="center"/>
          </w:tcPr>
          <w:p w14:paraId="45A1F2D8">
            <w:pPr>
              <w:spacing w:line="240" w:lineRule="auto"/>
              <w:ind w:firstLine="0" w:firstLineChars="0"/>
              <w:jc w:val="center"/>
              <w:rPr>
                <w:b/>
                <w:bCs/>
                <w:color w:val="auto"/>
                <w:kern w:val="44"/>
                <w:sz w:val="21"/>
                <w:szCs w:val="21"/>
              </w:rPr>
            </w:pPr>
          </w:p>
        </w:tc>
        <w:tc>
          <w:tcPr>
            <w:tcW w:w="356" w:type="pct"/>
            <w:vMerge w:val="continue"/>
            <w:vAlign w:val="center"/>
          </w:tcPr>
          <w:p w14:paraId="70EE206F">
            <w:pPr>
              <w:spacing w:line="240" w:lineRule="auto"/>
              <w:ind w:firstLine="0" w:firstLineChars="0"/>
              <w:jc w:val="center"/>
              <w:rPr>
                <w:b/>
                <w:bCs/>
                <w:color w:val="auto"/>
                <w:kern w:val="44"/>
                <w:sz w:val="21"/>
                <w:szCs w:val="21"/>
              </w:rPr>
            </w:pPr>
          </w:p>
        </w:tc>
        <w:tc>
          <w:tcPr>
            <w:tcW w:w="236" w:type="pct"/>
            <w:vMerge w:val="continue"/>
            <w:vAlign w:val="center"/>
          </w:tcPr>
          <w:p w14:paraId="7A5F259A">
            <w:pPr>
              <w:spacing w:line="240" w:lineRule="auto"/>
              <w:ind w:firstLine="0" w:firstLineChars="0"/>
              <w:jc w:val="center"/>
              <w:rPr>
                <w:b/>
                <w:bCs/>
                <w:color w:val="auto"/>
                <w:kern w:val="44"/>
                <w:sz w:val="21"/>
                <w:szCs w:val="21"/>
              </w:rPr>
            </w:pPr>
          </w:p>
        </w:tc>
        <w:tc>
          <w:tcPr>
            <w:tcW w:w="276" w:type="pct"/>
            <w:vAlign w:val="center"/>
          </w:tcPr>
          <w:p w14:paraId="2F3278B6">
            <w:pPr>
              <w:spacing w:line="240" w:lineRule="auto"/>
              <w:ind w:firstLine="0" w:firstLineChars="0"/>
              <w:jc w:val="center"/>
              <w:rPr>
                <w:b/>
                <w:bCs/>
                <w:color w:val="auto"/>
                <w:kern w:val="44"/>
                <w:sz w:val="21"/>
                <w:szCs w:val="21"/>
              </w:rPr>
            </w:pPr>
            <w:r>
              <w:rPr>
                <w:b/>
                <w:bCs/>
                <w:color w:val="auto"/>
                <w:kern w:val="44"/>
                <w:sz w:val="21"/>
                <w:szCs w:val="21"/>
              </w:rPr>
              <w:t>浓度mg/m</w:t>
            </w:r>
            <w:r>
              <w:rPr>
                <w:b/>
                <w:bCs/>
                <w:color w:val="auto"/>
                <w:kern w:val="44"/>
                <w:sz w:val="21"/>
                <w:szCs w:val="21"/>
                <w:vertAlign w:val="superscript"/>
              </w:rPr>
              <w:t>3</w:t>
            </w:r>
          </w:p>
        </w:tc>
        <w:tc>
          <w:tcPr>
            <w:tcW w:w="331" w:type="pct"/>
            <w:vAlign w:val="center"/>
          </w:tcPr>
          <w:p w14:paraId="3E4DAA05">
            <w:pPr>
              <w:spacing w:line="240" w:lineRule="auto"/>
              <w:ind w:firstLine="0" w:firstLineChars="0"/>
              <w:jc w:val="center"/>
              <w:rPr>
                <w:b/>
                <w:bCs/>
                <w:color w:val="auto"/>
                <w:kern w:val="44"/>
                <w:sz w:val="21"/>
                <w:szCs w:val="21"/>
              </w:rPr>
            </w:pPr>
            <w:r>
              <w:rPr>
                <w:b/>
                <w:bCs/>
                <w:color w:val="auto"/>
                <w:kern w:val="44"/>
                <w:sz w:val="21"/>
                <w:szCs w:val="21"/>
              </w:rPr>
              <w:t>排放速率kg/h</w:t>
            </w:r>
          </w:p>
        </w:tc>
        <w:tc>
          <w:tcPr>
            <w:tcW w:w="395" w:type="pct"/>
            <w:vAlign w:val="center"/>
          </w:tcPr>
          <w:p w14:paraId="44805BBB">
            <w:pPr>
              <w:spacing w:line="240" w:lineRule="auto"/>
              <w:ind w:firstLine="0" w:firstLineChars="0"/>
              <w:jc w:val="center"/>
              <w:rPr>
                <w:b/>
                <w:bCs/>
                <w:color w:val="auto"/>
                <w:kern w:val="44"/>
                <w:sz w:val="21"/>
                <w:szCs w:val="21"/>
              </w:rPr>
            </w:pPr>
            <w:r>
              <w:rPr>
                <w:b/>
                <w:bCs/>
                <w:color w:val="auto"/>
                <w:kern w:val="44"/>
                <w:sz w:val="21"/>
                <w:szCs w:val="21"/>
              </w:rPr>
              <w:t>排放量t/a</w:t>
            </w:r>
          </w:p>
        </w:tc>
        <w:tc>
          <w:tcPr>
            <w:tcW w:w="257" w:type="pct"/>
            <w:vAlign w:val="center"/>
          </w:tcPr>
          <w:p w14:paraId="0B4BED94">
            <w:pPr>
              <w:spacing w:line="240" w:lineRule="auto"/>
              <w:ind w:firstLine="0" w:firstLineChars="0"/>
              <w:jc w:val="center"/>
              <w:rPr>
                <w:b/>
                <w:bCs/>
                <w:color w:val="auto"/>
                <w:kern w:val="44"/>
                <w:sz w:val="21"/>
                <w:szCs w:val="21"/>
              </w:rPr>
            </w:pPr>
            <w:r>
              <w:rPr>
                <w:b/>
                <w:bCs/>
                <w:color w:val="auto"/>
                <w:kern w:val="44"/>
                <w:sz w:val="21"/>
                <w:szCs w:val="21"/>
              </w:rPr>
              <w:t>浓度mg/m</w:t>
            </w:r>
            <w:r>
              <w:rPr>
                <w:b/>
                <w:bCs/>
                <w:color w:val="auto"/>
                <w:kern w:val="44"/>
                <w:sz w:val="21"/>
                <w:szCs w:val="21"/>
                <w:vertAlign w:val="superscript"/>
              </w:rPr>
              <w:t>3</w:t>
            </w:r>
          </w:p>
        </w:tc>
        <w:tc>
          <w:tcPr>
            <w:tcW w:w="246" w:type="pct"/>
            <w:vAlign w:val="center"/>
          </w:tcPr>
          <w:p w14:paraId="7AE5F5AB">
            <w:pPr>
              <w:spacing w:line="240" w:lineRule="auto"/>
              <w:ind w:firstLine="0" w:firstLineChars="0"/>
              <w:jc w:val="center"/>
              <w:rPr>
                <w:b/>
                <w:bCs/>
                <w:color w:val="auto"/>
                <w:kern w:val="44"/>
                <w:sz w:val="21"/>
                <w:szCs w:val="21"/>
              </w:rPr>
            </w:pPr>
            <w:r>
              <w:rPr>
                <w:b/>
                <w:bCs/>
                <w:color w:val="auto"/>
                <w:kern w:val="44"/>
                <w:sz w:val="21"/>
                <w:szCs w:val="21"/>
              </w:rPr>
              <w:t>排放速率kg/h</w:t>
            </w:r>
          </w:p>
        </w:tc>
        <w:tc>
          <w:tcPr>
            <w:tcW w:w="742" w:type="pct"/>
            <w:vMerge w:val="continue"/>
            <w:vAlign w:val="center"/>
          </w:tcPr>
          <w:p w14:paraId="630E9615">
            <w:pPr>
              <w:spacing w:line="240" w:lineRule="auto"/>
              <w:ind w:firstLine="0" w:firstLineChars="0"/>
              <w:jc w:val="center"/>
              <w:rPr>
                <w:b/>
                <w:bCs/>
                <w:color w:val="auto"/>
                <w:kern w:val="44"/>
                <w:sz w:val="21"/>
                <w:szCs w:val="21"/>
              </w:rPr>
            </w:pPr>
          </w:p>
        </w:tc>
      </w:tr>
      <w:tr w14:paraId="5278E2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248" w:type="pct"/>
            <w:vMerge w:val="restart"/>
            <w:vAlign w:val="center"/>
          </w:tcPr>
          <w:p w14:paraId="48195250">
            <w:pPr>
              <w:spacing w:line="240" w:lineRule="auto"/>
              <w:ind w:firstLine="0" w:firstLineChars="0"/>
              <w:jc w:val="center"/>
              <w:rPr>
                <w:color w:val="auto"/>
                <w:kern w:val="44"/>
                <w:sz w:val="21"/>
                <w:szCs w:val="21"/>
              </w:rPr>
            </w:pPr>
            <w:r>
              <w:rPr>
                <w:color w:val="auto"/>
                <w:kern w:val="44"/>
                <w:sz w:val="21"/>
                <w:szCs w:val="21"/>
              </w:rPr>
              <w:t>废气</w:t>
            </w:r>
          </w:p>
        </w:tc>
        <w:tc>
          <w:tcPr>
            <w:tcW w:w="293" w:type="pct"/>
            <w:gridSpan w:val="2"/>
            <w:vMerge w:val="restart"/>
            <w:vAlign w:val="center"/>
          </w:tcPr>
          <w:p w14:paraId="0E77A5B3">
            <w:pPr>
              <w:spacing w:line="240" w:lineRule="auto"/>
              <w:ind w:firstLine="0" w:firstLineChars="0"/>
              <w:jc w:val="center"/>
              <w:rPr>
                <w:color w:val="auto"/>
                <w:sz w:val="21"/>
                <w:szCs w:val="21"/>
              </w:rPr>
            </w:pPr>
            <w:r>
              <w:rPr>
                <w:color w:val="auto"/>
                <w:sz w:val="21"/>
                <w:szCs w:val="21"/>
              </w:rPr>
              <w:t>DA001</w:t>
            </w:r>
          </w:p>
        </w:tc>
        <w:tc>
          <w:tcPr>
            <w:tcW w:w="398" w:type="pct"/>
            <w:gridSpan w:val="2"/>
            <w:vMerge w:val="restart"/>
            <w:vAlign w:val="center"/>
          </w:tcPr>
          <w:p w14:paraId="1F1C8751">
            <w:pPr>
              <w:spacing w:line="240" w:lineRule="auto"/>
              <w:ind w:firstLine="0" w:firstLineChars="0"/>
              <w:jc w:val="center"/>
              <w:textAlignment w:val="baseline"/>
              <w:rPr>
                <w:color w:val="auto"/>
                <w:sz w:val="21"/>
                <w:szCs w:val="21"/>
              </w:rPr>
            </w:pPr>
            <w:r>
              <w:rPr>
                <w:rFonts w:hint="eastAsia"/>
                <w:color w:val="auto"/>
                <w:kern w:val="0"/>
                <w:sz w:val="21"/>
                <w:szCs w:val="21"/>
              </w:rPr>
              <w:t>加热炉天然气燃烧废气</w:t>
            </w:r>
          </w:p>
        </w:tc>
        <w:tc>
          <w:tcPr>
            <w:tcW w:w="315" w:type="pct"/>
            <w:vAlign w:val="center"/>
          </w:tcPr>
          <w:p w14:paraId="247FE640">
            <w:pPr>
              <w:spacing w:line="240" w:lineRule="auto"/>
              <w:ind w:firstLine="0" w:firstLineChars="0"/>
              <w:jc w:val="center"/>
              <w:rPr>
                <w:color w:val="auto"/>
                <w:sz w:val="21"/>
                <w:szCs w:val="21"/>
              </w:rPr>
            </w:pPr>
            <w:r>
              <w:rPr>
                <w:rFonts w:hint="eastAsia"/>
                <w:color w:val="auto"/>
                <w:sz w:val="21"/>
                <w:szCs w:val="21"/>
              </w:rPr>
              <w:t>颗粒物</w:t>
            </w:r>
          </w:p>
        </w:tc>
        <w:tc>
          <w:tcPr>
            <w:tcW w:w="903" w:type="pct"/>
            <w:vMerge w:val="restart"/>
            <w:vAlign w:val="center"/>
          </w:tcPr>
          <w:p w14:paraId="59B0E516">
            <w:pPr>
              <w:spacing w:line="240" w:lineRule="auto"/>
              <w:ind w:firstLine="0" w:firstLineChars="0"/>
              <w:rPr>
                <w:color w:val="auto"/>
                <w:sz w:val="21"/>
                <w:szCs w:val="21"/>
              </w:rPr>
            </w:pPr>
            <w:r>
              <w:rPr>
                <w:color w:val="auto"/>
                <w:kern w:val="0"/>
                <w:sz w:val="21"/>
                <w:szCs w:val="21"/>
              </w:rPr>
              <w:t>经</w:t>
            </w:r>
            <w:r>
              <w:rPr>
                <w:rFonts w:hint="eastAsia"/>
                <w:color w:val="auto"/>
                <w:kern w:val="0"/>
                <w:sz w:val="21"/>
                <w:szCs w:val="21"/>
              </w:rPr>
              <w:t>低氮燃烧技术处理+</w:t>
            </w:r>
            <w:r>
              <w:rPr>
                <w:color w:val="auto"/>
                <w:kern w:val="0"/>
                <w:sz w:val="21"/>
                <w:szCs w:val="21"/>
              </w:rPr>
              <w:t>1根</w:t>
            </w:r>
            <w:r>
              <w:rPr>
                <w:rFonts w:hint="eastAsia"/>
                <w:color w:val="auto"/>
                <w:kern w:val="0"/>
                <w:sz w:val="21"/>
                <w:szCs w:val="21"/>
              </w:rPr>
              <w:t>15</w:t>
            </w:r>
            <w:r>
              <w:rPr>
                <w:color w:val="auto"/>
                <w:kern w:val="0"/>
                <w:sz w:val="21"/>
                <w:szCs w:val="21"/>
              </w:rPr>
              <w:t>m高排气筒排放，风量为</w:t>
            </w:r>
            <w:r>
              <w:rPr>
                <w:rFonts w:hint="eastAsia"/>
                <w:color w:val="auto"/>
                <w:kern w:val="0"/>
                <w:sz w:val="21"/>
                <w:szCs w:val="21"/>
              </w:rPr>
              <w:t>8000</w:t>
            </w:r>
            <w:r>
              <w:rPr>
                <w:color w:val="auto"/>
                <w:kern w:val="0"/>
                <w:sz w:val="21"/>
                <w:szCs w:val="21"/>
              </w:rPr>
              <w:t>m</w:t>
            </w:r>
            <w:r>
              <w:rPr>
                <w:color w:val="auto"/>
                <w:kern w:val="0"/>
                <w:sz w:val="21"/>
                <w:szCs w:val="21"/>
                <w:vertAlign w:val="superscript"/>
              </w:rPr>
              <w:t>3</w:t>
            </w:r>
            <w:r>
              <w:rPr>
                <w:color w:val="auto"/>
                <w:kern w:val="0"/>
                <w:sz w:val="21"/>
                <w:szCs w:val="21"/>
              </w:rPr>
              <w:t>/h。</w:t>
            </w:r>
          </w:p>
        </w:tc>
        <w:tc>
          <w:tcPr>
            <w:tcW w:w="356" w:type="pct"/>
            <w:vMerge w:val="restart"/>
            <w:vAlign w:val="center"/>
          </w:tcPr>
          <w:p w14:paraId="725173E7">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15</w:t>
            </w:r>
            <w:r>
              <w:rPr>
                <w:color w:val="auto"/>
                <w:kern w:val="44"/>
                <w:sz w:val="21"/>
                <w:szCs w:val="21"/>
              </w:rPr>
              <w:t>m，内径：0.</w:t>
            </w:r>
            <w:r>
              <w:rPr>
                <w:rFonts w:hint="eastAsia"/>
                <w:color w:val="auto"/>
                <w:kern w:val="44"/>
                <w:sz w:val="21"/>
                <w:szCs w:val="21"/>
              </w:rPr>
              <w:t>44</w:t>
            </w:r>
            <w:r>
              <w:rPr>
                <w:color w:val="auto"/>
                <w:kern w:val="44"/>
                <w:sz w:val="21"/>
                <w:szCs w:val="21"/>
              </w:rPr>
              <w:t>m，温度：</w:t>
            </w:r>
            <w:r>
              <w:rPr>
                <w:rFonts w:hint="eastAsia"/>
                <w:color w:val="auto"/>
                <w:kern w:val="44"/>
                <w:sz w:val="21"/>
                <w:szCs w:val="21"/>
              </w:rPr>
              <w:t>50</w:t>
            </w:r>
            <w:r>
              <w:rPr>
                <w:color w:val="auto"/>
                <w:kern w:val="44"/>
                <w:sz w:val="21"/>
                <w:szCs w:val="21"/>
              </w:rPr>
              <w:t>℃</w:t>
            </w:r>
          </w:p>
        </w:tc>
        <w:tc>
          <w:tcPr>
            <w:tcW w:w="236" w:type="pct"/>
            <w:vMerge w:val="restart"/>
            <w:vAlign w:val="center"/>
          </w:tcPr>
          <w:p w14:paraId="39D848DF">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397078D7">
            <w:pPr>
              <w:tabs>
                <w:tab w:val="left" w:pos="2227"/>
              </w:tabs>
              <w:spacing w:line="240" w:lineRule="auto"/>
              <w:ind w:firstLine="0" w:firstLineChars="0"/>
              <w:jc w:val="center"/>
              <w:rPr>
                <w:color w:val="auto"/>
                <w:sz w:val="21"/>
                <w:szCs w:val="21"/>
                <w:lang w:val="en-AU"/>
              </w:rPr>
            </w:pPr>
            <w:r>
              <w:rPr>
                <w:rFonts w:hint="eastAsia"/>
                <w:color w:val="auto"/>
                <w:sz w:val="21"/>
                <w:szCs w:val="21"/>
              </w:rPr>
              <w:t>12.012</w:t>
            </w:r>
          </w:p>
        </w:tc>
        <w:tc>
          <w:tcPr>
            <w:tcW w:w="331" w:type="pct"/>
            <w:shd w:val="clear" w:color="auto" w:fill="auto"/>
            <w:vAlign w:val="center"/>
          </w:tcPr>
          <w:p w14:paraId="2AD8A42D">
            <w:pPr>
              <w:tabs>
                <w:tab w:val="left" w:pos="2227"/>
              </w:tabs>
              <w:spacing w:line="240" w:lineRule="auto"/>
              <w:ind w:firstLine="0" w:firstLineChars="0"/>
              <w:jc w:val="center"/>
              <w:rPr>
                <w:color w:val="auto"/>
                <w:sz w:val="21"/>
                <w:szCs w:val="21"/>
              </w:rPr>
            </w:pPr>
            <w:r>
              <w:rPr>
                <w:rFonts w:hint="eastAsia"/>
                <w:color w:val="auto"/>
                <w:sz w:val="21"/>
                <w:szCs w:val="21"/>
              </w:rPr>
              <w:t>0.096</w:t>
            </w:r>
          </w:p>
        </w:tc>
        <w:tc>
          <w:tcPr>
            <w:tcW w:w="395" w:type="pct"/>
            <w:shd w:val="clear" w:color="auto" w:fill="auto"/>
            <w:vAlign w:val="center"/>
          </w:tcPr>
          <w:p w14:paraId="541F248B">
            <w:pPr>
              <w:tabs>
                <w:tab w:val="left" w:pos="2227"/>
              </w:tabs>
              <w:spacing w:line="240" w:lineRule="auto"/>
              <w:ind w:firstLine="0" w:firstLineChars="0"/>
              <w:jc w:val="center"/>
              <w:rPr>
                <w:color w:val="auto"/>
                <w:sz w:val="21"/>
                <w:szCs w:val="21"/>
              </w:rPr>
            </w:pPr>
            <w:r>
              <w:rPr>
                <w:rFonts w:hint="eastAsia"/>
                <w:color w:val="auto"/>
                <w:sz w:val="21"/>
                <w:szCs w:val="21"/>
              </w:rPr>
              <w:t>0.761</w:t>
            </w:r>
          </w:p>
        </w:tc>
        <w:tc>
          <w:tcPr>
            <w:tcW w:w="257" w:type="pct"/>
            <w:shd w:val="clear" w:color="auto" w:fill="auto"/>
            <w:vAlign w:val="center"/>
          </w:tcPr>
          <w:p w14:paraId="49C9CC4D">
            <w:pPr>
              <w:tabs>
                <w:tab w:val="left" w:pos="2227"/>
              </w:tabs>
              <w:spacing w:line="240" w:lineRule="auto"/>
              <w:ind w:firstLine="0" w:firstLineChars="0"/>
              <w:jc w:val="center"/>
              <w:rPr>
                <w:color w:val="auto"/>
                <w:sz w:val="21"/>
                <w:szCs w:val="21"/>
              </w:rPr>
            </w:pPr>
            <w:r>
              <w:rPr>
                <w:color w:val="auto"/>
                <w:sz w:val="21"/>
                <w:szCs w:val="21"/>
              </w:rPr>
              <w:t>20</w:t>
            </w:r>
          </w:p>
        </w:tc>
        <w:tc>
          <w:tcPr>
            <w:tcW w:w="246" w:type="pct"/>
            <w:shd w:val="clear" w:color="auto" w:fill="auto"/>
            <w:vAlign w:val="center"/>
          </w:tcPr>
          <w:p w14:paraId="5DAF7DB6">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restart"/>
            <w:vAlign w:val="center"/>
          </w:tcPr>
          <w:p w14:paraId="3076A3DB">
            <w:pPr>
              <w:spacing w:line="240" w:lineRule="auto"/>
              <w:ind w:firstLine="0" w:firstLineChars="0"/>
              <w:jc w:val="center"/>
              <w:rPr>
                <w:color w:val="auto"/>
                <w:kern w:val="44"/>
                <w:sz w:val="21"/>
                <w:szCs w:val="21"/>
              </w:rPr>
            </w:pPr>
            <w:r>
              <w:rPr>
                <w:rFonts w:hint="eastAsia"/>
                <w:color w:val="auto"/>
                <w:kern w:val="0"/>
                <w:sz w:val="21"/>
                <w:szCs w:val="21"/>
              </w:rPr>
              <w:t>江苏省地方标准</w:t>
            </w:r>
            <w:r>
              <w:rPr>
                <w:color w:val="auto"/>
                <w:kern w:val="0"/>
                <w:sz w:val="21"/>
                <w:szCs w:val="21"/>
              </w:rPr>
              <w:t>《工业炉窑大气污染物排放标准》（DB32/3728-2020）中标准限值</w:t>
            </w:r>
          </w:p>
        </w:tc>
      </w:tr>
      <w:tr w14:paraId="2B934F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248" w:type="pct"/>
            <w:vMerge w:val="continue"/>
            <w:vAlign w:val="center"/>
          </w:tcPr>
          <w:p w14:paraId="028C74FD">
            <w:pPr>
              <w:tabs>
                <w:tab w:val="left" w:pos="2227"/>
              </w:tabs>
              <w:spacing w:line="240" w:lineRule="auto"/>
              <w:ind w:firstLine="0" w:firstLineChars="0"/>
              <w:jc w:val="center"/>
              <w:rPr>
                <w:color w:val="auto"/>
                <w:sz w:val="21"/>
                <w:szCs w:val="21"/>
              </w:rPr>
            </w:pPr>
          </w:p>
        </w:tc>
        <w:tc>
          <w:tcPr>
            <w:tcW w:w="293" w:type="pct"/>
            <w:gridSpan w:val="2"/>
            <w:vMerge w:val="continue"/>
            <w:vAlign w:val="center"/>
          </w:tcPr>
          <w:p w14:paraId="6170C92D">
            <w:pPr>
              <w:tabs>
                <w:tab w:val="left" w:pos="2227"/>
              </w:tabs>
              <w:spacing w:line="240" w:lineRule="auto"/>
              <w:ind w:firstLine="0" w:firstLineChars="0"/>
              <w:jc w:val="center"/>
              <w:rPr>
                <w:color w:val="auto"/>
                <w:sz w:val="21"/>
                <w:szCs w:val="21"/>
              </w:rPr>
            </w:pPr>
          </w:p>
        </w:tc>
        <w:tc>
          <w:tcPr>
            <w:tcW w:w="398" w:type="pct"/>
            <w:gridSpan w:val="2"/>
            <w:vMerge w:val="continue"/>
            <w:vAlign w:val="center"/>
          </w:tcPr>
          <w:p w14:paraId="3EE2B731">
            <w:pPr>
              <w:tabs>
                <w:tab w:val="left" w:pos="2227"/>
              </w:tabs>
              <w:spacing w:line="240" w:lineRule="auto"/>
              <w:ind w:firstLine="0" w:firstLineChars="0"/>
              <w:jc w:val="center"/>
              <w:rPr>
                <w:color w:val="auto"/>
                <w:sz w:val="21"/>
                <w:szCs w:val="21"/>
              </w:rPr>
            </w:pPr>
          </w:p>
        </w:tc>
        <w:tc>
          <w:tcPr>
            <w:tcW w:w="315" w:type="pct"/>
            <w:vAlign w:val="center"/>
          </w:tcPr>
          <w:p w14:paraId="1A9A963D">
            <w:pPr>
              <w:tabs>
                <w:tab w:val="left" w:pos="2227"/>
              </w:tabs>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903" w:type="pct"/>
            <w:vMerge w:val="continue"/>
            <w:vAlign w:val="center"/>
          </w:tcPr>
          <w:p w14:paraId="378267EB">
            <w:pPr>
              <w:tabs>
                <w:tab w:val="left" w:pos="2227"/>
              </w:tabs>
              <w:spacing w:line="240" w:lineRule="auto"/>
              <w:ind w:firstLine="0" w:firstLineChars="0"/>
              <w:jc w:val="center"/>
              <w:rPr>
                <w:color w:val="auto"/>
                <w:sz w:val="21"/>
                <w:szCs w:val="21"/>
              </w:rPr>
            </w:pPr>
          </w:p>
        </w:tc>
        <w:tc>
          <w:tcPr>
            <w:tcW w:w="356" w:type="pct"/>
            <w:vMerge w:val="continue"/>
            <w:vAlign w:val="center"/>
          </w:tcPr>
          <w:p w14:paraId="20D98055">
            <w:pPr>
              <w:tabs>
                <w:tab w:val="left" w:pos="2227"/>
              </w:tabs>
              <w:spacing w:line="240" w:lineRule="auto"/>
              <w:ind w:firstLine="0" w:firstLineChars="0"/>
              <w:jc w:val="center"/>
              <w:rPr>
                <w:color w:val="auto"/>
                <w:sz w:val="21"/>
                <w:szCs w:val="21"/>
              </w:rPr>
            </w:pPr>
          </w:p>
        </w:tc>
        <w:tc>
          <w:tcPr>
            <w:tcW w:w="236" w:type="pct"/>
            <w:vMerge w:val="continue"/>
            <w:vAlign w:val="center"/>
          </w:tcPr>
          <w:p w14:paraId="531D0E2D">
            <w:pPr>
              <w:tabs>
                <w:tab w:val="left" w:pos="2227"/>
              </w:tabs>
              <w:spacing w:line="240" w:lineRule="auto"/>
              <w:ind w:firstLine="0" w:firstLineChars="0"/>
              <w:jc w:val="center"/>
              <w:rPr>
                <w:color w:val="auto"/>
                <w:sz w:val="21"/>
                <w:szCs w:val="21"/>
              </w:rPr>
            </w:pPr>
          </w:p>
        </w:tc>
        <w:tc>
          <w:tcPr>
            <w:tcW w:w="276" w:type="pct"/>
            <w:shd w:val="clear" w:color="auto" w:fill="auto"/>
            <w:vAlign w:val="center"/>
          </w:tcPr>
          <w:p w14:paraId="1CB5B143">
            <w:pPr>
              <w:tabs>
                <w:tab w:val="left" w:pos="2227"/>
              </w:tabs>
              <w:spacing w:line="240" w:lineRule="auto"/>
              <w:ind w:firstLine="0" w:firstLineChars="0"/>
              <w:jc w:val="center"/>
              <w:rPr>
                <w:color w:val="auto"/>
                <w:sz w:val="21"/>
                <w:szCs w:val="21"/>
                <w:lang w:val="en-AU"/>
              </w:rPr>
            </w:pPr>
            <w:r>
              <w:rPr>
                <w:rFonts w:hint="eastAsia"/>
                <w:color w:val="auto"/>
                <w:sz w:val="21"/>
                <w:szCs w:val="21"/>
              </w:rPr>
              <w:t>8.400</w:t>
            </w:r>
          </w:p>
        </w:tc>
        <w:tc>
          <w:tcPr>
            <w:tcW w:w="331" w:type="pct"/>
            <w:shd w:val="clear" w:color="auto" w:fill="auto"/>
            <w:vAlign w:val="center"/>
          </w:tcPr>
          <w:p w14:paraId="015E13D0">
            <w:pPr>
              <w:tabs>
                <w:tab w:val="left" w:pos="2227"/>
              </w:tabs>
              <w:spacing w:line="240" w:lineRule="auto"/>
              <w:ind w:firstLine="0" w:firstLineChars="0"/>
              <w:jc w:val="center"/>
              <w:rPr>
                <w:color w:val="auto"/>
                <w:sz w:val="21"/>
                <w:szCs w:val="21"/>
                <w:lang w:val="en-AU"/>
              </w:rPr>
            </w:pPr>
            <w:r>
              <w:rPr>
                <w:rFonts w:hint="eastAsia"/>
                <w:color w:val="auto"/>
                <w:sz w:val="21"/>
                <w:szCs w:val="21"/>
              </w:rPr>
              <w:t>0.067</w:t>
            </w:r>
          </w:p>
        </w:tc>
        <w:tc>
          <w:tcPr>
            <w:tcW w:w="395" w:type="pct"/>
            <w:shd w:val="clear" w:color="auto" w:fill="auto"/>
            <w:vAlign w:val="center"/>
          </w:tcPr>
          <w:p w14:paraId="112AB615">
            <w:pPr>
              <w:tabs>
                <w:tab w:val="left" w:pos="2227"/>
              </w:tabs>
              <w:spacing w:line="240" w:lineRule="auto"/>
              <w:ind w:firstLine="0" w:firstLineChars="0"/>
              <w:jc w:val="center"/>
              <w:rPr>
                <w:color w:val="auto"/>
                <w:sz w:val="21"/>
                <w:szCs w:val="21"/>
                <w:lang w:val="en-AU"/>
              </w:rPr>
            </w:pPr>
            <w:r>
              <w:rPr>
                <w:rFonts w:hint="eastAsia"/>
                <w:color w:val="auto"/>
                <w:sz w:val="21"/>
                <w:szCs w:val="21"/>
              </w:rPr>
              <w:t>0.532</w:t>
            </w:r>
          </w:p>
        </w:tc>
        <w:tc>
          <w:tcPr>
            <w:tcW w:w="257" w:type="pct"/>
            <w:shd w:val="clear" w:color="auto" w:fill="auto"/>
            <w:vAlign w:val="center"/>
          </w:tcPr>
          <w:p w14:paraId="2E97FADB">
            <w:pPr>
              <w:tabs>
                <w:tab w:val="left" w:pos="2227"/>
              </w:tabs>
              <w:spacing w:line="240" w:lineRule="auto"/>
              <w:ind w:firstLine="0" w:firstLineChars="0"/>
              <w:jc w:val="center"/>
              <w:rPr>
                <w:color w:val="auto"/>
                <w:sz w:val="21"/>
                <w:szCs w:val="21"/>
                <w:lang w:val="en-AU"/>
              </w:rPr>
            </w:pPr>
            <w:r>
              <w:rPr>
                <w:color w:val="auto"/>
                <w:sz w:val="21"/>
                <w:szCs w:val="21"/>
              </w:rPr>
              <w:t>80</w:t>
            </w:r>
          </w:p>
        </w:tc>
        <w:tc>
          <w:tcPr>
            <w:tcW w:w="246" w:type="pct"/>
            <w:shd w:val="clear" w:color="auto" w:fill="auto"/>
            <w:vAlign w:val="center"/>
          </w:tcPr>
          <w:p w14:paraId="177F5D85">
            <w:pPr>
              <w:tabs>
                <w:tab w:val="left" w:pos="2227"/>
              </w:tabs>
              <w:spacing w:line="240" w:lineRule="auto"/>
              <w:ind w:firstLine="0" w:firstLineChars="0"/>
              <w:jc w:val="center"/>
              <w:rPr>
                <w:color w:val="auto"/>
                <w:sz w:val="21"/>
                <w:szCs w:val="21"/>
                <w:lang w:val="en-AU"/>
              </w:rPr>
            </w:pPr>
            <w:r>
              <w:rPr>
                <w:color w:val="auto"/>
                <w:sz w:val="21"/>
                <w:szCs w:val="21"/>
              </w:rPr>
              <w:t>/</w:t>
            </w:r>
          </w:p>
        </w:tc>
        <w:tc>
          <w:tcPr>
            <w:tcW w:w="742" w:type="pct"/>
            <w:vMerge w:val="continue"/>
            <w:vAlign w:val="center"/>
          </w:tcPr>
          <w:p w14:paraId="0C336AC2">
            <w:pPr>
              <w:tabs>
                <w:tab w:val="left" w:pos="2227"/>
              </w:tabs>
              <w:spacing w:line="240" w:lineRule="auto"/>
              <w:ind w:firstLine="0" w:firstLineChars="0"/>
              <w:jc w:val="center"/>
              <w:rPr>
                <w:color w:val="auto"/>
                <w:sz w:val="21"/>
                <w:szCs w:val="21"/>
                <w:lang w:val="en-AU"/>
              </w:rPr>
            </w:pPr>
          </w:p>
        </w:tc>
      </w:tr>
      <w:tr w14:paraId="68A22B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248" w:type="pct"/>
            <w:vMerge w:val="continue"/>
            <w:vAlign w:val="center"/>
          </w:tcPr>
          <w:p w14:paraId="4D5D1051">
            <w:pPr>
              <w:tabs>
                <w:tab w:val="left" w:pos="2227"/>
              </w:tabs>
              <w:spacing w:line="240" w:lineRule="auto"/>
              <w:ind w:firstLine="0" w:firstLineChars="0"/>
              <w:jc w:val="center"/>
              <w:rPr>
                <w:color w:val="auto"/>
                <w:sz w:val="21"/>
                <w:szCs w:val="21"/>
                <w:lang w:val="en-AU"/>
              </w:rPr>
            </w:pPr>
          </w:p>
        </w:tc>
        <w:tc>
          <w:tcPr>
            <w:tcW w:w="293" w:type="pct"/>
            <w:gridSpan w:val="2"/>
            <w:vMerge w:val="continue"/>
            <w:vAlign w:val="center"/>
          </w:tcPr>
          <w:p w14:paraId="0647C178">
            <w:pPr>
              <w:tabs>
                <w:tab w:val="left" w:pos="2227"/>
              </w:tabs>
              <w:spacing w:line="240" w:lineRule="auto"/>
              <w:ind w:firstLine="0" w:firstLineChars="0"/>
              <w:jc w:val="center"/>
              <w:rPr>
                <w:color w:val="auto"/>
                <w:sz w:val="21"/>
                <w:szCs w:val="21"/>
                <w:lang w:val="en-AU"/>
              </w:rPr>
            </w:pPr>
          </w:p>
        </w:tc>
        <w:tc>
          <w:tcPr>
            <w:tcW w:w="398" w:type="pct"/>
            <w:gridSpan w:val="2"/>
            <w:vMerge w:val="continue"/>
            <w:vAlign w:val="center"/>
          </w:tcPr>
          <w:p w14:paraId="09D5BFB6">
            <w:pPr>
              <w:tabs>
                <w:tab w:val="left" w:pos="2227"/>
              </w:tabs>
              <w:spacing w:line="240" w:lineRule="auto"/>
              <w:ind w:firstLine="0" w:firstLineChars="0"/>
              <w:jc w:val="center"/>
              <w:rPr>
                <w:color w:val="auto"/>
                <w:sz w:val="21"/>
                <w:szCs w:val="21"/>
                <w:lang w:val="en-AU"/>
              </w:rPr>
            </w:pPr>
          </w:p>
        </w:tc>
        <w:tc>
          <w:tcPr>
            <w:tcW w:w="315" w:type="pct"/>
            <w:vAlign w:val="center"/>
          </w:tcPr>
          <w:p w14:paraId="6828558C">
            <w:pPr>
              <w:tabs>
                <w:tab w:val="left" w:pos="2227"/>
              </w:tabs>
              <w:spacing w:line="240" w:lineRule="auto"/>
              <w:ind w:firstLine="0" w:firstLineChars="0"/>
              <w:jc w:val="center"/>
              <w:rPr>
                <w:color w:val="auto"/>
                <w:sz w:val="21"/>
                <w:szCs w:val="21"/>
              </w:rPr>
            </w:pPr>
            <w:r>
              <w:rPr>
                <w:rFonts w:hint="eastAsia"/>
                <w:color w:val="auto"/>
                <w:sz w:val="21"/>
                <w:szCs w:val="21"/>
              </w:rPr>
              <w:t>NOx</w:t>
            </w:r>
          </w:p>
        </w:tc>
        <w:tc>
          <w:tcPr>
            <w:tcW w:w="903" w:type="pct"/>
            <w:vMerge w:val="continue"/>
            <w:vAlign w:val="center"/>
          </w:tcPr>
          <w:p w14:paraId="6E66D10B">
            <w:pPr>
              <w:tabs>
                <w:tab w:val="left" w:pos="2227"/>
              </w:tabs>
              <w:spacing w:line="240" w:lineRule="auto"/>
              <w:ind w:firstLine="0" w:firstLineChars="0"/>
              <w:jc w:val="center"/>
              <w:rPr>
                <w:color w:val="auto"/>
                <w:sz w:val="21"/>
                <w:szCs w:val="21"/>
                <w:lang w:val="en-AU"/>
              </w:rPr>
            </w:pPr>
          </w:p>
        </w:tc>
        <w:tc>
          <w:tcPr>
            <w:tcW w:w="356" w:type="pct"/>
            <w:vMerge w:val="continue"/>
            <w:vAlign w:val="center"/>
          </w:tcPr>
          <w:p w14:paraId="796E967E">
            <w:pPr>
              <w:tabs>
                <w:tab w:val="left" w:pos="2227"/>
              </w:tabs>
              <w:spacing w:line="240" w:lineRule="auto"/>
              <w:ind w:firstLine="0" w:firstLineChars="0"/>
              <w:jc w:val="center"/>
              <w:rPr>
                <w:color w:val="auto"/>
                <w:sz w:val="21"/>
                <w:szCs w:val="21"/>
                <w:lang w:val="en-AU"/>
              </w:rPr>
            </w:pPr>
          </w:p>
        </w:tc>
        <w:tc>
          <w:tcPr>
            <w:tcW w:w="236" w:type="pct"/>
            <w:vMerge w:val="continue"/>
            <w:vAlign w:val="center"/>
          </w:tcPr>
          <w:p w14:paraId="22905796">
            <w:pPr>
              <w:tabs>
                <w:tab w:val="left" w:pos="2227"/>
              </w:tabs>
              <w:spacing w:line="240" w:lineRule="auto"/>
              <w:ind w:firstLine="0" w:firstLineChars="0"/>
              <w:jc w:val="center"/>
              <w:rPr>
                <w:color w:val="auto"/>
                <w:sz w:val="21"/>
                <w:szCs w:val="21"/>
                <w:lang w:val="en-AU"/>
              </w:rPr>
            </w:pPr>
          </w:p>
        </w:tc>
        <w:tc>
          <w:tcPr>
            <w:tcW w:w="276" w:type="pct"/>
            <w:shd w:val="clear" w:color="auto" w:fill="auto"/>
            <w:vAlign w:val="center"/>
          </w:tcPr>
          <w:p w14:paraId="167CDA0E">
            <w:pPr>
              <w:tabs>
                <w:tab w:val="left" w:pos="2227"/>
              </w:tabs>
              <w:spacing w:line="240" w:lineRule="auto"/>
              <w:ind w:firstLine="0" w:firstLineChars="0"/>
              <w:jc w:val="center"/>
              <w:rPr>
                <w:color w:val="auto"/>
                <w:sz w:val="21"/>
                <w:szCs w:val="21"/>
                <w:lang w:val="en-AU"/>
              </w:rPr>
            </w:pPr>
            <w:r>
              <w:rPr>
                <w:rFonts w:hint="eastAsia"/>
                <w:color w:val="auto"/>
                <w:sz w:val="21"/>
                <w:szCs w:val="21"/>
              </w:rPr>
              <w:t>78.539</w:t>
            </w:r>
          </w:p>
        </w:tc>
        <w:tc>
          <w:tcPr>
            <w:tcW w:w="331" w:type="pct"/>
            <w:shd w:val="clear" w:color="auto" w:fill="auto"/>
            <w:vAlign w:val="center"/>
          </w:tcPr>
          <w:p w14:paraId="4EC60647">
            <w:pPr>
              <w:tabs>
                <w:tab w:val="left" w:pos="2227"/>
              </w:tabs>
              <w:spacing w:line="240" w:lineRule="auto"/>
              <w:ind w:firstLine="0" w:firstLineChars="0"/>
              <w:jc w:val="center"/>
              <w:rPr>
                <w:color w:val="auto"/>
                <w:sz w:val="21"/>
                <w:szCs w:val="21"/>
                <w:lang w:val="en-AU"/>
              </w:rPr>
            </w:pPr>
            <w:r>
              <w:rPr>
                <w:rFonts w:hint="eastAsia"/>
                <w:color w:val="auto"/>
                <w:sz w:val="21"/>
                <w:szCs w:val="21"/>
              </w:rPr>
              <w:t>0.628</w:t>
            </w:r>
          </w:p>
        </w:tc>
        <w:tc>
          <w:tcPr>
            <w:tcW w:w="395" w:type="pct"/>
            <w:shd w:val="clear" w:color="auto" w:fill="auto"/>
            <w:vAlign w:val="center"/>
          </w:tcPr>
          <w:p w14:paraId="1DEBBEAB">
            <w:pPr>
              <w:tabs>
                <w:tab w:val="left" w:pos="2227"/>
              </w:tabs>
              <w:spacing w:line="240" w:lineRule="auto"/>
              <w:ind w:firstLine="0" w:firstLineChars="0"/>
              <w:jc w:val="center"/>
              <w:rPr>
                <w:color w:val="auto"/>
                <w:sz w:val="21"/>
                <w:szCs w:val="21"/>
                <w:lang w:val="en-AU"/>
              </w:rPr>
            </w:pPr>
            <w:r>
              <w:rPr>
                <w:rFonts w:hint="eastAsia"/>
                <w:color w:val="auto"/>
                <w:sz w:val="21"/>
                <w:szCs w:val="21"/>
              </w:rPr>
              <w:t>4.976</w:t>
            </w:r>
          </w:p>
        </w:tc>
        <w:tc>
          <w:tcPr>
            <w:tcW w:w="257" w:type="pct"/>
            <w:shd w:val="clear" w:color="auto" w:fill="auto"/>
            <w:vAlign w:val="center"/>
          </w:tcPr>
          <w:p w14:paraId="77FE56AC">
            <w:pPr>
              <w:tabs>
                <w:tab w:val="left" w:pos="2227"/>
              </w:tabs>
              <w:spacing w:line="240" w:lineRule="auto"/>
              <w:ind w:firstLine="0" w:firstLineChars="0"/>
              <w:jc w:val="center"/>
              <w:rPr>
                <w:color w:val="auto"/>
                <w:sz w:val="21"/>
                <w:szCs w:val="21"/>
                <w:lang w:val="en-AU"/>
              </w:rPr>
            </w:pPr>
            <w:r>
              <w:rPr>
                <w:color w:val="auto"/>
                <w:sz w:val="21"/>
                <w:szCs w:val="21"/>
              </w:rPr>
              <w:t>180</w:t>
            </w:r>
          </w:p>
        </w:tc>
        <w:tc>
          <w:tcPr>
            <w:tcW w:w="246" w:type="pct"/>
            <w:shd w:val="clear" w:color="auto" w:fill="auto"/>
            <w:vAlign w:val="center"/>
          </w:tcPr>
          <w:p w14:paraId="734FF94B">
            <w:pPr>
              <w:tabs>
                <w:tab w:val="left" w:pos="2227"/>
              </w:tabs>
              <w:spacing w:line="240" w:lineRule="auto"/>
              <w:ind w:firstLine="0" w:firstLineChars="0"/>
              <w:jc w:val="center"/>
              <w:rPr>
                <w:color w:val="auto"/>
                <w:sz w:val="21"/>
                <w:szCs w:val="21"/>
                <w:lang w:val="en-AU"/>
              </w:rPr>
            </w:pPr>
            <w:r>
              <w:rPr>
                <w:color w:val="auto"/>
                <w:sz w:val="21"/>
                <w:szCs w:val="21"/>
              </w:rPr>
              <w:t>/</w:t>
            </w:r>
          </w:p>
        </w:tc>
        <w:tc>
          <w:tcPr>
            <w:tcW w:w="742" w:type="pct"/>
            <w:vMerge w:val="continue"/>
            <w:vAlign w:val="center"/>
          </w:tcPr>
          <w:p w14:paraId="5E1BB957">
            <w:pPr>
              <w:tabs>
                <w:tab w:val="left" w:pos="2227"/>
              </w:tabs>
              <w:spacing w:line="240" w:lineRule="auto"/>
              <w:ind w:firstLine="0" w:firstLineChars="0"/>
              <w:jc w:val="center"/>
              <w:rPr>
                <w:color w:val="auto"/>
                <w:sz w:val="21"/>
                <w:szCs w:val="21"/>
                <w:lang w:val="en-AU"/>
              </w:rPr>
            </w:pPr>
          </w:p>
        </w:tc>
      </w:tr>
      <w:tr w14:paraId="7478EC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61" w:hRule="atLeast"/>
          <w:jc w:val="center"/>
        </w:trPr>
        <w:tc>
          <w:tcPr>
            <w:tcW w:w="248" w:type="pct"/>
            <w:vMerge w:val="continue"/>
            <w:vAlign w:val="center"/>
          </w:tcPr>
          <w:p w14:paraId="30707DFB">
            <w:pPr>
              <w:spacing w:line="240" w:lineRule="auto"/>
              <w:ind w:firstLine="0" w:firstLineChars="0"/>
              <w:jc w:val="center"/>
              <w:rPr>
                <w:color w:val="auto"/>
                <w:kern w:val="44"/>
                <w:sz w:val="21"/>
                <w:szCs w:val="21"/>
              </w:rPr>
            </w:pPr>
          </w:p>
        </w:tc>
        <w:tc>
          <w:tcPr>
            <w:tcW w:w="293" w:type="pct"/>
            <w:gridSpan w:val="2"/>
            <w:vMerge w:val="restart"/>
            <w:vAlign w:val="center"/>
          </w:tcPr>
          <w:p w14:paraId="669DCC64">
            <w:pPr>
              <w:spacing w:line="240" w:lineRule="auto"/>
              <w:ind w:firstLine="0" w:firstLineChars="0"/>
              <w:jc w:val="center"/>
              <w:rPr>
                <w:color w:val="auto"/>
                <w:sz w:val="21"/>
                <w:szCs w:val="21"/>
              </w:rPr>
            </w:pPr>
            <w:r>
              <w:rPr>
                <w:color w:val="auto"/>
                <w:sz w:val="21"/>
                <w:szCs w:val="21"/>
              </w:rPr>
              <w:t>DA002</w:t>
            </w:r>
          </w:p>
        </w:tc>
        <w:tc>
          <w:tcPr>
            <w:tcW w:w="398" w:type="pct"/>
            <w:gridSpan w:val="2"/>
            <w:vMerge w:val="restart"/>
            <w:vAlign w:val="center"/>
          </w:tcPr>
          <w:p w14:paraId="4EB6F9BC">
            <w:pPr>
              <w:spacing w:line="240" w:lineRule="auto"/>
              <w:ind w:firstLine="0" w:firstLineChars="0"/>
              <w:jc w:val="center"/>
              <w:textAlignment w:val="baseline"/>
              <w:rPr>
                <w:color w:val="auto"/>
                <w:sz w:val="21"/>
                <w:szCs w:val="21"/>
              </w:rPr>
            </w:pPr>
            <w:r>
              <w:rPr>
                <w:rFonts w:hint="eastAsia"/>
                <w:color w:val="auto"/>
                <w:kern w:val="0"/>
                <w:sz w:val="21"/>
                <w:szCs w:val="21"/>
              </w:rPr>
              <w:t>时效炉天然气燃烧废气</w:t>
            </w:r>
          </w:p>
        </w:tc>
        <w:tc>
          <w:tcPr>
            <w:tcW w:w="315" w:type="pct"/>
            <w:shd w:val="clear" w:color="auto" w:fill="auto"/>
            <w:vAlign w:val="center"/>
          </w:tcPr>
          <w:p w14:paraId="5C97803B">
            <w:pPr>
              <w:spacing w:line="240" w:lineRule="auto"/>
              <w:ind w:firstLine="0" w:firstLineChars="0"/>
              <w:jc w:val="center"/>
              <w:rPr>
                <w:color w:val="auto"/>
                <w:sz w:val="21"/>
                <w:szCs w:val="21"/>
              </w:rPr>
            </w:pPr>
            <w:r>
              <w:rPr>
                <w:rFonts w:hint="eastAsia"/>
                <w:color w:val="auto"/>
                <w:sz w:val="21"/>
                <w:szCs w:val="21"/>
              </w:rPr>
              <w:t>颗粒物</w:t>
            </w:r>
          </w:p>
        </w:tc>
        <w:tc>
          <w:tcPr>
            <w:tcW w:w="903" w:type="pct"/>
            <w:vMerge w:val="restart"/>
            <w:vAlign w:val="center"/>
          </w:tcPr>
          <w:p w14:paraId="3B1F3698">
            <w:pPr>
              <w:spacing w:line="240" w:lineRule="auto"/>
              <w:ind w:firstLine="0" w:firstLineChars="0"/>
              <w:rPr>
                <w:color w:val="auto"/>
                <w:sz w:val="21"/>
                <w:szCs w:val="21"/>
              </w:rPr>
            </w:pPr>
            <w:r>
              <w:rPr>
                <w:color w:val="auto"/>
                <w:kern w:val="0"/>
                <w:sz w:val="21"/>
                <w:szCs w:val="21"/>
              </w:rPr>
              <w:t>经</w:t>
            </w:r>
            <w:r>
              <w:rPr>
                <w:rFonts w:hint="eastAsia"/>
                <w:color w:val="auto"/>
                <w:kern w:val="0"/>
                <w:sz w:val="21"/>
                <w:szCs w:val="21"/>
              </w:rPr>
              <w:t>低氮燃烧技术处理+</w:t>
            </w:r>
            <w:r>
              <w:rPr>
                <w:color w:val="auto"/>
                <w:kern w:val="0"/>
                <w:sz w:val="21"/>
                <w:szCs w:val="21"/>
              </w:rPr>
              <w:t>1根</w:t>
            </w:r>
            <w:r>
              <w:rPr>
                <w:rFonts w:hint="eastAsia"/>
                <w:color w:val="auto"/>
                <w:kern w:val="0"/>
                <w:sz w:val="21"/>
                <w:szCs w:val="21"/>
              </w:rPr>
              <w:t>15</w:t>
            </w:r>
            <w:r>
              <w:rPr>
                <w:color w:val="auto"/>
                <w:kern w:val="0"/>
                <w:sz w:val="21"/>
                <w:szCs w:val="21"/>
              </w:rPr>
              <w:t>m高排气筒排放，风量为</w:t>
            </w:r>
            <w:r>
              <w:rPr>
                <w:rFonts w:hint="eastAsia"/>
                <w:color w:val="auto"/>
                <w:kern w:val="0"/>
                <w:sz w:val="21"/>
                <w:szCs w:val="21"/>
              </w:rPr>
              <w:t>5000</w:t>
            </w:r>
            <w:r>
              <w:rPr>
                <w:color w:val="auto"/>
                <w:kern w:val="0"/>
                <w:sz w:val="21"/>
                <w:szCs w:val="21"/>
              </w:rPr>
              <w:t>m</w:t>
            </w:r>
            <w:r>
              <w:rPr>
                <w:color w:val="auto"/>
                <w:kern w:val="0"/>
                <w:sz w:val="21"/>
                <w:szCs w:val="21"/>
                <w:vertAlign w:val="superscript"/>
              </w:rPr>
              <w:t>3</w:t>
            </w:r>
            <w:r>
              <w:rPr>
                <w:color w:val="auto"/>
                <w:kern w:val="0"/>
                <w:sz w:val="21"/>
                <w:szCs w:val="21"/>
              </w:rPr>
              <w:t>/h。</w:t>
            </w:r>
          </w:p>
        </w:tc>
        <w:tc>
          <w:tcPr>
            <w:tcW w:w="356" w:type="pct"/>
            <w:vMerge w:val="restart"/>
            <w:vAlign w:val="center"/>
          </w:tcPr>
          <w:p w14:paraId="377E32EC">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15</w:t>
            </w:r>
            <w:r>
              <w:rPr>
                <w:color w:val="auto"/>
                <w:kern w:val="44"/>
                <w:sz w:val="21"/>
                <w:szCs w:val="21"/>
              </w:rPr>
              <w:t>m，内径：</w:t>
            </w:r>
            <w:r>
              <w:rPr>
                <w:rFonts w:hint="eastAsia"/>
                <w:color w:val="auto"/>
                <w:kern w:val="44"/>
                <w:sz w:val="21"/>
                <w:szCs w:val="21"/>
              </w:rPr>
              <w:t>0.36</w:t>
            </w:r>
            <w:r>
              <w:rPr>
                <w:color w:val="auto"/>
                <w:kern w:val="44"/>
                <w:sz w:val="21"/>
                <w:szCs w:val="21"/>
              </w:rPr>
              <w:t>m，温度：</w:t>
            </w:r>
            <w:r>
              <w:rPr>
                <w:rFonts w:hint="eastAsia"/>
                <w:color w:val="auto"/>
                <w:kern w:val="44"/>
                <w:sz w:val="21"/>
                <w:szCs w:val="21"/>
              </w:rPr>
              <w:t>50</w:t>
            </w:r>
            <w:r>
              <w:rPr>
                <w:color w:val="auto"/>
                <w:kern w:val="44"/>
                <w:sz w:val="21"/>
                <w:szCs w:val="21"/>
              </w:rPr>
              <w:t>℃</w:t>
            </w:r>
          </w:p>
        </w:tc>
        <w:tc>
          <w:tcPr>
            <w:tcW w:w="236" w:type="pct"/>
            <w:vMerge w:val="restart"/>
            <w:vAlign w:val="center"/>
          </w:tcPr>
          <w:p w14:paraId="7F744911">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2B24205E">
            <w:pPr>
              <w:tabs>
                <w:tab w:val="left" w:pos="2227"/>
              </w:tabs>
              <w:spacing w:line="240" w:lineRule="auto"/>
              <w:ind w:firstLine="0" w:firstLineChars="0"/>
              <w:jc w:val="center"/>
              <w:rPr>
                <w:color w:val="auto"/>
                <w:sz w:val="21"/>
                <w:szCs w:val="21"/>
              </w:rPr>
            </w:pPr>
            <w:r>
              <w:rPr>
                <w:rFonts w:hint="eastAsia"/>
                <w:color w:val="auto"/>
                <w:sz w:val="21"/>
                <w:szCs w:val="21"/>
              </w:rPr>
              <w:t>13.047</w:t>
            </w:r>
          </w:p>
        </w:tc>
        <w:tc>
          <w:tcPr>
            <w:tcW w:w="331" w:type="pct"/>
            <w:shd w:val="clear" w:color="auto" w:fill="auto"/>
            <w:vAlign w:val="center"/>
          </w:tcPr>
          <w:p w14:paraId="23FA6E1F">
            <w:pPr>
              <w:tabs>
                <w:tab w:val="left" w:pos="2227"/>
              </w:tabs>
              <w:spacing w:line="240" w:lineRule="auto"/>
              <w:ind w:firstLine="0" w:firstLineChars="0"/>
              <w:jc w:val="center"/>
              <w:rPr>
                <w:color w:val="auto"/>
                <w:sz w:val="21"/>
                <w:szCs w:val="21"/>
              </w:rPr>
            </w:pPr>
            <w:r>
              <w:rPr>
                <w:rFonts w:hint="eastAsia"/>
                <w:color w:val="auto"/>
                <w:sz w:val="21"/>
                <w:szCs w:val="21"/>
              </w:rPr>
              <w:t>0.065</w:t>
            </w:r>
          </w:p>
        </w:tc>
        <w:tc>
          <w:tcPr>
            <w:tcW w:w="395" w:type="pct"/>
            <w:shd w:val="clear" w:color="auto" w:fill="auto"/>
            <w:vAlign w:val="center"/>
          </w:tcPr>
          <w:p w14:paraId="595F6909">
            <w:pPr>
              <w:tabs>
                <w:tab w:val="left" w:pos="2227"/>
              </w:tabs>
              <w:spacing w:line="240" w:lineRule="auto"/>
              <w:ind w:firstLine="0" w:firstLineChars="0"/>
              <w:jc w:val="center"/>
              <w:rPr>
                <w:color w:val="auto"/>
                <w:sz w:val="21"/>
                <w:szCs w:val="21"/>
              </w:rPr>
            </w:pPr>
            <w:r>
              <w:rPr>
                <w:rFonts w:hint="eastAsia"/>
                <w:color w:val="auto"/>
                <w:sz w:val="21"/>
                <w:szCs w:val="21"/>
              </w:rPr>
              <w:t>0.326</w:t>
            </w:r>
          </w:p>
        </w:tc>
        <w:tc>
          <w:tcPr>
            <w:tcW w:w="257" w:type="pct"/>
            <w:shd w:val="clear" w:color="auto" w:fill="auto"/>
            <w:vAlign w:val="center"/>
          </w:tcPr>
          <w:p w14:paraId="3C4D6CF0">
            <w:pPr>
              <w:tabs>
                <w:tab w:val="left" w:pos="2227"/>
              </w:tabs>
              <w:spacing w:line="240" w:lineRule="auto"/>
              <w:ind w:firstLine="0" w:firstLineChars="0"/>
              <w:jc w:val="center"/>
              <w:rPr>
                <w:color w:val="auto"/>
                <w:sz w:val="21"/>
                <w:szCs w:val="21"/>
              </w:rPr>
            </w:pPr>
            <w:r>
              <w:rPr>
                <w:color w:val="auto"/>
                <w:sz w:val="21"/>
                <w:szCs w:val="21"/>
              </w:rPr>
              <w:t>20</w:t>
            </w:r>
          </w:p>
        </w:tc>
        <w:tc>
          <w:tcPr>
            <w:tcW w:w="246" w:type="pct"/>
            <w:shd w:val="clear" w:color="auto" w:fill="auto"/>
            <w:vAlign w:val="center"/>
          </w:tcPr>
          <w:p w14:paraId="015917E5">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continue"/>
            <w:vAlign w:val="center"/>
          </w:tcPr>
          <w:p w14:paraId="51F66476">
            <w:pPr>
              <w:spacing w:line="240" w:lineRule="auto"/>
              <w:ind w:firstLine="0" w:firstLineChars="0"/>
              <w:jc w:val="center"/>
              <w:rPr>
                <w:color w:val="auto"/>
                <w:kern w:val="44"/>
                <w:sz w:val="21"/>
                <w:szCs w:val="21"/>
              </w:rPr>
            </w:pPr>
          </w:p>
        </w:tc>
      </w:tr>
      <w:tr w14:paraId="08817B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90" w:hRule="atLeast"/>
          <w:jc w:val="center"/>
        </w:trPr>
        <w:tc>
          <w:tcPr>
            <w:tcW w:w="248" w:type="pct"/>
            <w:vMerge w:val="continue"/>
            <w:vAlign w:val="center"/>
          </w:tcPr>
          <w:p w14:paraId="5E166D9A">
            <w:pPr>
              <w:spacing w:line="240" w:lineRule="auto"/>
              <w:ind w:firstLine="0" w:firstLineChars="0"/>
              <w:jc w:val="center"/>
              <w:rPr>
                <w:color w:val="auto"/>
                <w:kern w:val="44"/>
                <w:sz w:val="21"/>
                <w:szCs w:val="21"/>
              </w:rPr>
            </w:pPr>
          </w:p>
        </w:tc>
        <w:tc>
          <w:tcPr>
            <w:tcW w:w="293" w:type="pct"/>
            <w:gridSpan w:val="2"/>
            <w:vMerge w:val="continue"/>
            <w:vAlign w:val="center"/>
          </w:tcPr>
          <w:p w14:paraId="1D778B48">
            <w:pPr>
              <w:spacing w:line="240" w:lineRule="auto"/>
              <w:ind w:firstLine="0" w:firstLineChars="0"/>
              <w:jc w:val="center"/>
              <w:rPr>
                <w:color w:val="auto"/>
                <w:sz w:val="21"/>
                <w:szCs w:val="21"/>
              </w:rPr>
            </w:pPr>
          </w:p>
        </w:tc>
        <w:tc>
          <w:tcPr>
            <w:tcW w:w="398" w:type="pct"/>
            <w:gridSpan w:val="2"/>
            <w:vMerge w:val="continue"/>
            <w:vAlign w:val="center"/>
          </w:tcPr>
          <w:p w14:paraId="0E2716EF">
            <w:pPr>
              <w:spacing w:line="240" w:lineRule="auto"/>
              <w:ind w:firstLine="0" w:firstLineChars="0"/>
              <w:jc w:val="center"/>
              <w:rPr>
                <w:color w:val="auto"/>
                <w:sz w:val="21"/>
                <w:szCs w:val="21"/>
              </w:rPr>
            </w:pPr>
          </w:p>
        </w:tc>
        <w:tc>
          <w:tcPr>
            <w:tcW w:w="315" w:type="pct"/>
            <w:shd w:val="clear" w:color="auto" w:fill="auto"/>
            <w:vAlign w:val="center"/>
          </w:tcPr>
          <w:p w14:paraId="0CA79722">
            <w:pPr>
              <w:tabs>
                <w:tab w:val="left" w:pos="2227"/>
              </w:tabs>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903" w:type="pct"/>
            <w:vMerge w:val="continue"/>
            <w:vAlign w:val="center"/>
          </w:tcPr>
          <w:p w14:paraId="145DB1B2">
            <w:pPr>
              <w:spacing w:line="240" w:lineRule="auto"/>
              <w:ind w:firstLine="0" w:firstLineChars="0"/>
              <w:rPr>
                <w:color w:val="auto"/>
                <w:kern w:val="0"/>
                <w:sz w:val="21"/>
                <w:szCs w:val="21"/>
              </w:rPr>
            </w:pPr>
          </w:p>
        </w:tc>
        <w:tc>
          <w:tcPr>
            <w:tcW w:w="356" w:type="pct"/>
            <w:vMerge w:val="continue"/>
            <w:vAlign w:val="center"/>
          </w:tcPr>
          <w:p w14:paraId="6976B1EF">
            <w:pPr>
              <w:spacing w:line="240" w:lineRule="auto"/>
              <w:ind w:firstLine="0" w:firstLineChars="0"/>
              <w:jc w:val="center"/>
              <w:rPr>
                <w:color w:val="auto"/>
                <w:kern w:val="44"/>
                <w:sz w:val="21"/>
                <w:szCs w:val="21"/>
              </w:rPr>
            </w:pPr>
          </w:p>
        </w:tc>
        <w:tc>
          <w:tcPr>
            <w:tcW w:w="236" w:type="pct"/>
            <w:vMerge w:val="continue"/>
            <w:vAlign w:val="center"/>
          </w:tcPr>
          <w:p w14:paraId="0995077A">
            <w:pPr>
              <w:spacing w:line="240" w:lineRule="auto"/>
              <w:ind w:firstLine="0" w:firstLineChars="0"/>
              <w:jc w:val="center"/>
              <w:rPr>
                <w:color w:val="auto"/>
                <w:kern w:val="44"/>
                <w:sz w:val="21"/>
                <w:szCs w:val="21"/>
                <w:lang w:val="en-AU"/>
              </w:rPr>
            </w:pPr>
          </w:p>
        </w:tc>
        <w:tc>
          <w:tcPr>
            <w:tcW w:w="276" w:type="pct"/>
            <w:shd w:val="clear" w:color="auto" w:fill="auto"/>
            <w:vAlign w:val="center"/>
          </w:tcPr>
          <w:p w14:paraId="354C8B25">
            <w:pPr>
              <w:tabs>
                <w:tab w:val="left" w:pos="2227"/>
              </w:tabs>
              <w:spacing w:line="240" w:lineRule="auto"/>
              <w:ind w:firstLine="0" w:firstLineChars="0"/>
              <w:jc w:val="center"/>
              <w:rPr>
                <w:color w:val="auto"/>
                <w:sz w:val="21"/>
                <w:szCs w:val="21"/>
              </w:rPr>
            </w:pPr>
            <w:r>
              <w:rPr>
                <w:rFonts w:hint="eastAsia"/>
                <w:color w:val="auto"/>
                <w:sz w:val="21"/>
                <w:szCs w:val="21"/>
              </w:rPr>
              <w:t>9.124</w:t>
            </w:r>
          </w:p>
        </w:tc>
        <w:tc>
          <w:tcPr>
            <w:tcW w:w="331" w:type="pct"/>
            <w:shd w:val="clear" w:color="auto" w:fill="auto"/>
            <w:vAlign w:val="center"/>
          </w:tcPr>
          <w:p w14:paraId="5482CA48">
            <w:pPr>
              <w:tabs>
                <w:tab w:val="left" w:pos="2227"/>
              </w:tabs>
              <w:spacing w:line="240" w:lineRule="auto"/>
              <w:ind w:firstLine="0" w:firstLineChars="0"/>
              <w:jc w:val="center"/>
              <w:rPr>
                <w:color w:val="auto"/>
                <w:sz w:val="21"/>
                <w:szCs w:val="21"/>
              </w:rPr>
            </w:pPr>
            <w:r>
              <w:rPr>
                <w:rFonts w:hint="eastAsia"/>
                <w:color w:val="auto"/>
                <w:sz w:val="21"/>
                <w:szCs w:val="21"/>
              </w:rPr>
              <w:t>0.046</w:t>
            </w:r>
          </w:p>
        </w:tc>
        <w:tc>
          <w:tcPr>
            <w:tcW w:w="395" w:type="pct"/>
            <w:shd w:val="clear" w:color="auto" w:fill="auto"/>
            <w:vAlign w:val="center"/>
          </w:tcPr>
          <w:p w14:paraId="3896FCB4">
            <w:pPr>
              <w:tabs>
                <w:tab w:val="left" w:pos="2227"/>
              </w:tabs>
              <w:spacing w:line="240" w:lineRule="auto"/>
              <w:ind w:firstLine="0" w:firstLineChars="0"/>
              <w:jc w:val="center"/>
              <w:rPr>
                <w:color w:val="auto"/>
                <w:sz w:val="21"/>
                <w:szCs w:val="21"/>
              </w:rPr>
            </w:pPr>
            <w:r>
              <w:rPr>
                <w:rFonts w:hint="eastAsia"/>
                <w:color w:val="auto"/>
                <w:sz w:val="21"/>
                <w:szCs w:val="21"/>
              </w:rPr>
              <w:t>0.228</w:t>
            </w:r>
          </w:p>
        </w:tc>
        <w:tc>
          <w:tcPr>
            <w:tcW w:w="257" w:type="pct"/>
            <w:shd w:val="clear" w:color="auto" w:fill="auto"/>
            <w:vAlign w:val="center"/>
          </w:tcPr>
          <w:p w14:paraId="13696959">
            <w:pPr>
              <w:tabs>
                <w:tab w:val="left" w:pos="2227"/>
              </w:tabs>
              <w:spacing w:line="240" w:lineRule="auto"/>
              <w:ind w:firstLine="0" w:firstLineChars="0"/>
              <w:jc w:val="center"/>
              <w:rPr>
                <w:color w:val="auto"/>
                <w:sz w:val="21"/>
                <w:szCs w:val="21"/>
              </w:rPr>
            </w:pPr>
            <w:r>
              <w:rPr>
                <w:color w:val="auto"/>
                <w:sz w:val="21"/>
                <w:szCs w:val="21"/>
              </w:rPr>
              <w:t>80</w:t>
            </w:r>
          </w:p>
        </w:tc>
        <w:tc>
          <w:tcPr>
            <w:tcW w:w="246" w:type="pct"/>
            <w:shd w:val="clear" w:color="auto" w:fill="auto"/>
            <w:vAlign w:val="center"/>
          </w:tcPr>
          <w:p w14:paraId="4DFB3AA5">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continue"/>
            <w:vAlign w:val="center"/>
          </w:tcPr>
          <w:p w14:paraId="3A05B870">
            <w:pPr>
              <w:spacing w:line="240" w:lineRule="auto"/>
              <w:ind w:firstLine="0" w:firstLineChars="0"/>
              <w:jc w:val="center"/>
              <w:rPr>
                <w:color w:val="auto"/>
                <w:kern w:val="44"/>
                <w:sz w:val="21"/>
                <w:szCs w:val="21"/>
              </w:rPr>
            </w:pPr>
          </w:p>
        </w:tc>
      </w:tr>
      <w:tr w14:paraId="04CE75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248" w:type="pct"/>
            <w:vMerge w:val="continue"/>
            <w:vAlign w:val="center"/>
          </w:tcPr>
          <w:p w14:paraId="6A5D5DAE">
            <w:pPr>
              <w:spacing w:line="240" w:lineRule="auto"/>
              <w:ind w:firstLine="0" w:firstLineChars="0"/>
              <w:jc w:val="center"/>
              <w:rPr>
                <w:color w:val="auto"/>
                <w:kern w:val="44"/>
                <w:sz w:val="21"/>
                <w:szCs w:val="21"/>
              </w:rPr>
            </w:pPr>
          </w:p>
        </w:tc>
        <w:tc>
          <w:tcPr>
            <w:tcW w:w="293" w:type="pct"/>
            <w:gridSpan w:val="2"/>
            <w:vMerge w:val="continue"/>
            <w:vAlign w:val="center"/>
          </w:tcPr>
          <w:p w14:paraId="1ADFBAFF">
            <w:pPr>
              <w:spacing w:line="240" w:lineRule="auto"/>
              <w:ind w:firstLine="0" w:firstLineChars="0"/>
              <w:jc w:val="center"/>
              <w:rPr>
                <w:color w:val="auto"/>
                <w:sz w:val="21"/>
                <w:szCs w:val="21"/>
              </w:rPr>
            </w:pPr>
          </w:p>
        </w:tc>
        <w:tc>
          <w:tcPr>
            <w:tcW w:w="398" w:type="pct"/>
            <w:gridSpan w:val="2"/>
            <w:vMerge w:val="continue"/>
            <w:vAlign w:val="center"/>
          </w:tcPr>
          <w:p w14:paraId="141599DD">
            <w:pPr>
              <w:spacing w:line="240" w:lineRule="auto"/>
              <w:ind w:firstLine="0" w:firstLineChars="0"/>
              <w:jc w:val="center"/>
              <w:rPr>
                <w:color w:val="auto"/>
                <w:sz w:val="21"/>
                <w:szCs w:val="21"/>
              </w:rPr>
            </w:pPr>
          </w:p>
        </w:tc>
        <w:tc>
          <w:tcPr>
            <w:tcW w:w="315" w:type="pct"/>
            <w:shd w:val="clear" w:color="auto" w:fill="auto"/>
            <w:vAlign w:val="center"/>
          </w:tcPr>
          <w:p w14:paraId="1BBC62DE">
            <w:pPr>
              <w:tabs>
                <w:tab w:val="left" w:pos="2227"/>
              </w:tabs>
              <w:spacing w:line="240" w:lineRule="auto"/>
              <w:ind w:firstLine="0" w:firstLineChars="0"/>
              <w:jc w:val="center"/>
              <w:rPr>
                <w:color w:val="auto"/>
                <w:sz w:val="21"/>
                <w:szCs w:val="21"/>
              </w:rPr>
            </w:pPr>
            <w:r>
              <w:rPr>
                <w:rFonts w:hint="eastAsia"/>
                <w:color w:val="auto"/>
                <w:sz w:val="21"/>
                <w:szCs w:val="21"/>
              </w:rPr>
              <w:t>NOx</w:t>
            </w:r>
          </w:p>
        </w:tc>
        <w:tc>
          <w:tcPr>
            <w:tcW w:w="903" w:type="pct"/>
            <w:vMerge w:val="continue"/>
            <w:vAlign w:val="center"/>
          </w:tcPr>
          <w:p w14:paraId="25299F3D">
            <w:pPr>
              <w:spacing w:line="240" w:lineRule="auto"/>
              <w:ind w:firstLine="0" w:firstLineChars="0"/>
              <w:rPr>
                <w:color w:val="auto"/>
                <w:sz w:val="21"/>
                <w:szCs w:val="21"/>
              </w:rPr>
            </w:pPr>
          </w:p>
        </w:tc>
        <w:tc>
          <w:tcPr>
            <w:tcW w:w="356" w:type="pct"/>
            <w:vMerge w:val="continue"/>
            <w:vAlign w:val="center"/>
          </w:tcPr>
          <w:p w14:paraId="48CEB0AA">
            <w:pPr>
              <w:spacing w:line="240" w:lineRule="auto"/>
              <w:ind w:firstLine="0" w:firstLineChars="0"/>
              <w:jc w:val="center"/>
              <w:rPr>
                <w:color w:val="auto"/>
                <w:kern w:val="44"/>
                <w:sz w:val="21"/>
                <w:szCs w:val="21"/>
              </w:rPr>
            </w:pPr>
          </w:p>
        </w:tc>
        <w:tc>
          <w:tcPr>
            <w:tcW w:w="236" w:type="pct"/>
            <w:vMerge w:val="continue"/>
            <w:vAlign w:val="center"/>
          </w:tcPr>
          <w:p w14:paraId="3C5C4ADE">
            <w:pPr>
              <w:spacing w:line="240" w:lineRule="auto"/>
              <w:ind w:firstLine="0" w:firstLineChars="0"/>
              <w:jc w:val="center"/>
              <w:rPr>
                <w:color w:val="auto"/>
                <w:kern w:val="44"/>
                <w:sz w:val="21"/>
                <w:szCs w:val="21"/>
                <w:lang w:val="en-AU"/>
              </w:rPr>
            </w:pPr>
          </w:p>
        </w:tc>
        <w:tc>
          <w:tcPr>
            <w:tcW w:w="276" w:type="pct"/>
            <w:shd w:val="clear" w:color="auto" w:fill="auto"/>
            <w:vAlign w:val="center"/>
          </w:tcPr>
          <w:p w14:paraId="3BB0E9B6">
            <w:pPr>
              <w:tabs>
                <w:tab w:val="left" w:pos="2227"/>
              </w:tabs>
              <w:spacing w:line="240" w:lineRule="auto"/>
              <w:ind w:firstLine="0" w:firstLineChars="0"/>
              <w:jc w:val="center"/>
              <w:rPr>
                <w:color w:val="auto"/>
                <w:sz w:val="21"/>
                <w:szCs w:val="21"/>
              </w:rPr>
            </w:pPr>
            <w:r>
              <w:rPr>
                <w:rFonts w:hint="eastAsia"/>
                <w:color w:val="auto"/>
                <w:sz w:val="21"/>
                <w:szCs w:val="21"/>
              </w:rPr>
              <w:t>85.309</w:t>
            </w:r>
          </w:p>
        </w:tc>
        <w:tc>
          <w:tcPr>
            <w:tcW w:w="331" w:type="pct"/>
            <w:shd w:val="clear" w:color="auto" w:fill="auto"/>
            <w:vAlign w:val="center"/>
          </w:tcPr>
          <w:p w14:paraId="0D02B467">
            <w:pPr>
              <w:tabs>
                <w:tab w:val="left" w:pos="2227"/>
              </w:tabs>
              <w:spacing w:line="240" w:lineRule="auto"/>
              <w:ind w:firstLine="0" w:firstLineChars="0"/>
              <w:jc w:val="center"/>
              <w:rPr>
                <w:color w:val="auto"/>
                <w:sz w:val="21"/>
                <w:szCs w:val="21"/>
              </w:rPr>
            </w:pPr>
            <w:r>
              <w:rPr>
                <w:rFonts w:hint="eastAsia"/>
                <w:color w:val="auto"/>
                <w:sz w:val="21"/>
                <w:szCs w:val="21"/>
              </w:rPr>
              <w:t>0.427</w:t>
            </w:r>
          </w:p>
        </w:tc>
        <w:tc>
          <w:tcPr>
            <w:tcW w:w="395" w:type="pct"/>
            <w:shd w:val="clear" w:color="auto" w:fill="auto"/>
            <w:vAlign w:val="center"/>
          </w:tcPr>
          <w:p w14:paraId="3BCF7942">
            <w:pPr>
              <w:tabs>
                <w:tab w:val="left" w:pos="2227"/>
              </w:tabs>
              <w:spacing w:line="240" w:lineRule="auto"/>
              <w:ind w:firstLine="0" w:firstLineChars="0"/>
              <w:jc w:val="center"/>
              <w:rPr>
                <w:color w:val="auto"/>
                <w:sz w:val="21"/>
                <w:szCs w:val="21"/>
              </w:rPr>
            </w:pPr>
            <w:r>
              <w:rPr>
                <w:rFonts w:hint="eastAsia"/>
                <w:color w:val="auto"/>
                <w:sz w:val="21"/>
                <w:szCs w:val="21"/>
              </w:rPr>
              <w:t>2.133</w:t>
            </w:r>
          </w:p>
        </w:tc>
        <w:tc>
          <w:tcPr>
            <w:tcW w:w="257" w:type="pct"/>
            <w:shd w:val="clear" w:color="auto" w:fill="auto"/>
            <w:vAlign w:val="center"/>
          </w:tcPr>
          <w:p w14:paraId="216BA867">
            <w:pPr>
              <w:tabs>
                <w:tab w:val="left" w:pos="2227"/>
              </w:tabs>
              <w:spacing w:line="240" w:lineRule="auto"/>
              <w:ind w:firstLine="0" w:firstLineChars="0"/>
              <w:jc w:val="center"/>
              <w:rPr>
                <w:color w:val="auto"/>
                <w:sz w:val="21"/>
                <w:szCs w:val="21"/>
              </w:rPr>
            </w:pPr>
            <w:r>
              <w:rPr>
                <w:color w:val="auto"/>
                <w:sz w:val="21"/>
                <w:szCs w:val="21"/>
              </w:rPr>
              <w:t>180</w:t>
            </w:r>
          </w:p>
        </w:tc>
        <w:tc>
          <w:tcPr>
            <w:tcW w:w="246" w:type="pct"/>
            <w:shd w:val="clear" w:color="auto" w:fill="auto"/>
            <w:vAlign w:val="center"/>
          </w:tcPr>
          <w:p w14:paraId="3A283F93">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continue"/>
            <w:vAlign w:val="center"/>
          </w:tcPr>
          <w:p w14:paraId="351BC12C">
            <w:pPr>
              <w:spacing w:line="240" w:lineRule="auto"/>
              <w:ind w:firstLine="0" w:firstLineChars="0"/>
              <w:jc w:val="center"/>
              <w:rPr>
                <w:color w:val="auto"/>
                <w:kern w:val="44"/>
                <w:sz w:val="21"/>
                <w:szCs w:val="21"/>
              </w:rPr>
            </w:pPr>
          </w:p>
        </w:tc>
      </w:tr>
      <w:tr w14:paraId="37ED19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44" w:hRule="atLeast"/>
          <w:jc w:val="center"/>
        </w:trPr>
        <w:tc>
          <w:tcPr>
            <w:tcW w:w="248" w:type="pct"/>
            <w:vMerge w:val="continue"/>
            <w:vAlign w:val="center"/>
          </w:tcPr>
          <w:p w14:paraId="7F7E7208">
            <w:pPr>
              <w:spacing w:line="240" w:lineRule="auto"/>
              <w:ind w:firstLine="0" w:firstLineChars="0"/>
              <w:jc w:val="center"/>
              <w:rPr>
                <w:color w:val="auto"/>
                <w:kern w:val="44"/>
                <w:sz w:val="21"/>
                <w:szCs w:val="21"/>
              </w:rPr>
            </w:pPr>
          </w:p>
        </w:tc>
        <w:tc>
          <w:tcPr>
            <w:tcW w:w="293" w:type="pct"/>
            <w:gridSpan w:val="2"/>
            <w:vMerge w:val="restart"/>
            <w:vAlign w:val="center"/>
          </w:tcPr>
          <w:p w14:paraId="30E9A880">
            <w:pPr>
              <w:spacing w:line="240" w:lineRule="auto"/>
              <w:ind w:firstLine="0" w:firstLineChars="0"/>
              <w:jc w:val="center"/>
              <w:rPr>
                <w:color w:val="auto"/>
                <w:sz w:val="21"/>
                <w:szCs w:val="21"/>
              </w:rPr>
            </w:pPr>
            <w:r>
              <w:rPr>
                <w:rFonts w:hint="eastAsia"/>
                <w:color w:val="auto"/>
                <w:sz w:val="21"/>
                <w:szCs w:val="21"/>
              </w:rPr>
              <w:t>DA003</w:t>
            </w:r>
          </w:p>
        </w:tc>
        <w:tc>
          <w:tcPr>
            <w:tcW w:w="398" w:type="pct"/>
            <w:gridSpan w:val="2"/>
            <w:vMerge w:val="restart"/>
            <w:vAlign w:val="center"/>
          </w:tcPr>
          <w:p w14:paraId="0EF1F944">
            <w:pPr>
              <w:spacing w:line="240" w:lineRule="auto"/>
              <w:ind w:firstLine="0" w:firstLineChars="0"/>
              <w:jc w:val="center"/>
              <w:textAlignment w:val="baseline"/>
              <w:rPr>
                <w:color w:val="auto"/>
                <w:sz w:val="21"/>
                <w:szCs w:val="21"/>
              </w:rPr>
            </w:pPr>
            <w:r>
              <w:rPr>
                <w:rFonts w:hint="eastAsia"/>
                <w:color w:val="auto"/>
                <w:kern w:val="0"/>
                <w:sz w:val="21"/>
                <w:szCs w:val="21"/>
              </w:rPr>
              <w:t>烘干炉天然气燃烧废气</w:t>
            </w:r>
          </w:p>
        </w:tc>
        <w:tc>
          <w:tcPr>
            <w:tcW w:w="315" w:type="pct"/>
            <w:shd w:val="clear" w:color="auto" w:fill="auto"/>
            <w:vAlign w:val="center"/>
          </w:tcPr>
          <w:p w14:paraId="73F4531B">
            <w:pPr>
              <w:spacing w:line="240" w:lineRule="auto"/>
              <w:ind w:firstLine="0" w:firstLineChars="0"/>
              <w:jc w:val="center"/>
              <w:rPr>
                <w:color w:val="auto"/>
                <w:sz w:val="21"/>
                <w:szCs w:val="21"/>
              </w:rPr>
            </w:pPr>
            <w:r>
              <w:rPr>
                <w:rFonts w:hint="eastAsia"/>
                <w:color w:val="auto"/>
                <w:sz w:val="21"/>
                <w:szCs w:val="21"/>
              </w:rPr>
              <w:t>颗粒物</w:t>
            </w:r>
          </w:p>
        </w:tc>
        <w:tc>
          <w:tcPr>
            <w:tcW w:w="903" w:type="pct"/>
            <w:vMerge w:val="restart"/>
            <w:vAlign w:val="center"/>
          </w:tcPr>
          <w:p w14:paraId="7F2535DB">
            <w:pPr>
              <w:spacing w:line="240" w:lineRule="auto"/>
              <w:ind w:firstLine="0" w:firstLineChars="0"/>
              <w:rPr>
                <w:color w:val="auto"/>
                <w:kern w:val="0"/>
                <w:sz w:val="21"/>
                <w:szCs w:val="21"/>
              </w:rPr>
            </w:pPr>
            <w:r>
              <w:rPr>
                <w:color w:val="auto"/>
                <w:kern w:val="0"/>
                <w:sz w:val="21"/>
                <w:szCs w:val="21"/>
              </w:rPr>
              <w:t>经</w:t>
            </w:r>
            <w:r>
              <w:rPr>
                <w:rFonts w:hint="eastAsia"/>
                <w:color w:val="auto"/>
                <w:kern w:val="0"/>
                <w:sz w:val="21"/>
                <w:szCs w:val="21"/>
              </w:rPr>
              <w:t>低氮燃烧技术处理+</w:t>
            </w:r>
            <w:r>
              <w:rPr>
                <w:color w:val="auto"/>
                <w:kern w:val="0"/>
                <w:sz w:val="21"/>
                <w:szCs w:val="21"/>
              </w:rPr>
              <w:t>1根</w:t>
            </w:r>
            <w:r>
              <w:rPr>
                <w:rFonts w:hint="eastAsia"/>
                <w:color w:val="auto"/>
                <w:kern w:val="0"/>
                <w:sz w:val="21"/>
                <w:szCs w:val="21"/>
              </w:rPr>
              <w:t>15</w:t>
            </w:r>
            <w:r>
              <w:rPr>
                <w:color w:val="auto"/>
                <w:kern w:val="0"/>
                <w:sz w:val="21"/>
                <w:szCs w:val="21"/>
              </w:rPr>
              <w:t>m高排气筒排放，风量为</w:t>
            </w:r>
            <w:r>
              <w:rPr>
                <w:rFonts w:hint="eastAsia"/>
                <w:color w:val="auto"/>
                <w:kern w:val="0"/>
                <w:sz w:val="21"/>
                <w:szCs w:val="21"/>
              </w:rPr>
              <w:t>10</w:t>
            </w:r>
            <w:r>
              <w:rPr>
                <w:color w:val="auto"/>
                <w:kern w:val="0"/>
                <w:sz w:val="21"/>
                <w:szCs w:val="21"/>
              </w:rPr>
              <w:t>00m</w:t>
            </w:r>
            <w:r>
              <w:rPr>
                <w:color w:val="auto"/>
                <w:kern w:val="0"/>
                <w:sz w:val="21"/>
                <w:szCs w:val="21"/>
                <w:vertAlign w:val="superscript"/>
              </w:rPr>
              <w:t>3</w:t>
            </w:r>
            <w:r>
              <w:rPr>
                <w:color w:val="auto"/>
                <w:kern w:val="0"/>
                <w:sz w:val="21"/>
                <w:szCs w:val="21"/>
              </w:rPr>
              <w:t>/h。</w:t>
            </w:r>
          </w:p>
        </w:tc>
        <w:tc>
          <w:tcPr>
            <w:tcW w:w="356" w:type="pct"/>
            <w:vMerge w:val="restart"/>
            <w:vAlign w:val="center"/>
          </w:tcPr>
          <w:p w14:paraId="519006EC">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15</w:t>
            </w:r>
            <w:r>
              <w:rPr>
                <w:color w:val="auto"/>
                <w:kern w:val="44"/>
                <w:sz w:val="21"/>
                <w:szCs w:val="21"/>
              </w:rPr>
              <w:t>m，内径：</w:t>
            </w:r>
            <w:r>
              <w:rPr>
                <w:rFonts w:hint="eastAsia"/>
                <w:color w:val="auto"/>
                <w:kern w:val="44"/>
                <w:sz w:val="21"/>
                <w:szCs w:val="21"/>
              </w:rPr>
              <w:t>0.16</w:t>
            </w:r>
            <w:r>
              <w:rPr>
                <w:color w:val="auto"/>
                <w:kern w:val="44"/>
                <w:sz w:val="21"/>
                <w:szCs w:val="21"/>
              </w:rPr>
              <w:t>m，温度：</w:t>
            </w:r>
            <w:r>
              <w:rPr>
                <w:rFonts w:hint="eastAsia"/>
                <w:color w:val="auto"/>
                <w:kern w:val="44"/>
                <w:sz w:val="21"/>
                <w:szCs w:val="21"/>
              </w:rPr>
              <w:t>50</w:t>
            </w:r>
            <w:r>
              <w:rPr>
                <w:color w:val="auto"/>
                <w:kern w:val="44"/>
                <w:sz w:val="21"/>
                <w:szCs w:val="21"/>
              </w:rPr>
              <w:t>℃</w:t>
            </w:r>
          </w:p>
        </w:tc>
        <w:tc>
          <w:tcPr>
            <w:tcW w:w="236" w:type="pct"/>
            <w:vMerge w:val="restart"/>
            <w:vAlign w:val="center"/>
          </w:tcPr>
          <w:p w14:paraId="1D666906">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7CD7C41F">
            <w:pPr>
              <w:tabs>
                <w:tab w:val="left" w:pos="2227"/>
              </w:tabs>
              <w:spacing w:line="240" w:lineRule="auto"/>
              <w:ind w:firstLine="0" w:firstLineChars="0"/>
              <w:jc w:val="center"/>
              <w:rPr>
                <w:color w:val="auto"/>
                <w:sz w:val="21"/>
                <w:szCs w:val="21"/>
              </w:rPr>
            </w:pPr>
            <w:r>
              <w:rPr>
                <w:rFonts w:hint="eastAsia"/>
                <w:color w:val="auto"/>
                <w:sz w:val="21"/>
                <w:szCs w:val="21"/>
              </w:rPr>
              <w:t>1.430</w:t>
            </w:r>
          </w:p>
        </w:tc>
        <w:tc>
          <w:tcPr>
            <w:tcW w:w="331" w:type="pct"/>
            <w:shd w:val="clear" w:color="auto" w:fill="auto"/>
            <w:vAlign w:val="center"/>
          </w:tcPr>
          <w:p w14:paraId="7C8BDB42">
            <w:pPr>
              <w:tabs>
                <w:tab w:val="left" w:pos="2227"/>
              </w:tabs>
              <w:spacing w:line="240" w:lineRule="auto"/>
              <w:ind w:firstLine="0" w:firstLineChars="0"/>
              <w:jc w:val="center"/>
              <w:rPr>
                <w:color w:val="auto"/>
                <w:sz w:val="21"/>
                <w:szCs w:val="21"/>
              </w:rPr>
            </w:pPr>
            <w:r>
              <w:rPr>
                <w:rFonts w:hint="eastAsia"/>
                <w:color w:val="auto"/>
                <w:sz w:val="21"/>
                <w:szCs w:val="21"/>
              </w:rPr>
              <w:t>0.001</w:t>
            </w:r>
          </w:p>
        </w:tc>
        <w:tc>
          <w:tcPr>
            <w:tcW w:w="395" w:type="pct"/>
            <w:shd w:val="clear" w:color="auto" w:fill="auto"/>
            <w:vAlign w:val="center"/>
          </w:tcPr>
          <w:p w14:paraId="1C6778E0">
            <w:pPr>
              <w:tabs>
                <w:tab w:val="left" w:pos="2227"/>
              </w:tabs>
              <w:spacing w:line="240" w:lineRule="auto"/>
              <w:ind w:firstLine="0" w:firstLineChars="0"/>
              <w:jc w:val="center"/>
              <w:rPr>
                <w:color w:val="auto"/>
                <w:sz w:val="21"/>
                <w:szCs w:val="21"/>
              </w:rPr>
            </w:pPr>
            <w:r>
              <w:rPr>
                <w:rFonts w:hint="eastAsia"/>
                <w:color w:val="auto"/>
                <w:sz w:val="21"/>
                <w:szCs w:val="21"/>
              </w:rPr>
              <w:t>0.011</w:t>
            </w:r>
          </w:p>
        </w:tc>
        <w:tc>
          <w:tcPr>
            <w:tcW w:w="257" w:type="pct"/>
            <w:shd w:val="clear" w:color="auto" w:fill="auto"/>
            <w:vAlign w:val="center"/>
          </w:tcPr>
          <w:p w14:paraId="4894F3A1">
            <w:pPr>
              <w:tabs>
                <w:tab w:val="left" w:pos="2227"/>
              </w:tabs>
              <w:spacing w:line="240" w:lineRule="auto"/>
              <w:ind w:firstLine="0" w:firstLineChars="0"/>
              <w:jc w:val="center"/>
              <w:rPr>
                <w:color w:val="auto"/>
                <w:sz w:val="21"/>
                <w:szCs w:val="21"/>
              </w:rPr>
            </w:pPr>
            <w:r>
              <w:rPr>
                <w:color w:val="auto"/>
                <w:sz w:val="21"/>
                <w:szCs w:val="21"/>
              </w:rPr>
              <w:t>20</w:t>
            </w:r>
          </w:p>
        </w:tc>
        <w:tc>
          <w:tcPr>
            <w:tcW w:w="246" w:type="pct"/>
            <w:shd w:val="clear" w:color="auto" w:fill="auto"/>
            <w:vAlign w:val="center"/>
          </w:tcPr>
          <w:p w14:paraId="1553418E">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continue"/>
            <w:vAlign w:val="center"/>
          </w:tcPr>
          <w:p w14:paraId="3606A4CD">
            <w:pPr>
              <w:spacing w:line="240" w:lineRule="auto"/>
              <w:ind w:firstLine="0" w:firstLineChars="0"/>
              <w:jc w:val="center"/>
              <w:rPr>
                <w:color w:val="auto"/>
                <w:kern w:val="44"/>
                <w:sz w:val="21"/>
                <w:szCs w:val="21"/>
              </w:rPr>
            </w:pPr>
          </w:p>
        </w:tc>
      </w:tr>
      <w:tr w14:paraId="418263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36" w:hRule="atLeast"/>
          <w:jc w:val="center"/>
        </w:trPr>
        <w:tc>
          <w:tcPr>
            <w:tcW w:w="248" w:type="pct"/>
            <w:vMerge w:val="continue"/>
            <w:vAlign w:val="center"/>
          </w:tcPr>
          <w:p w14:paraId="1DF812DA">
            <w:pPr>
              <w:spacing w:line="240" w:lineRule="auto"/>
              <w:ind w:firstLine="0" w:firstLineChars="0"/>
              <w:jc w:val="center"/>
              <w:rPr>
                <w:color w:val="auto"/>
                <w:kern w:val="44"/>
                <w:sz w:val="21"/>
                <w:szCs w:val="21"/>
              </w:rPr>
            </w:pPr>
          </w:p>
        </w:tc>
        <w:tc>
          <w:tcPr>
            <w:tcW w:w="293" w:type="pct"/>
            <w:gridSpan w:val="2"/>
            <w:vMerge w:val="continue"/>
            <w:vAlign w:val="center"/>
          </w:tcPr>
          <w:p w14:paraId="50F7F662">
            <w:pPr>
              <w:spacing w:line="240" w:lineRule="auto"/>
              <w:ind w:firstLine="0" w:firstLineChars="0"/>
              <w:jc w:val="center"/>
              <w:rPr>
                <w:color w:val="auto"/>
                <w:sz w:val="21"/>
                <w:szCs w:val="21"/>
              </w:rPr>
            </w:pPr>
          </w:p>
        </w:tc>
        <w:tc>
          <w:tcPr>
            <w:tcW w:w="398" w:type="pct"/>
            <w:gridSpan w:val="2"/>
            <w:vMerge w:val="continue"/>
            <w:vAlign w:val="center"/>
          </w:tcPr>
          <w:p w14:paraId="53B3E87D">
            <w:pPr>
              <w:spacing w:line="240" w:lineRule="auto"/>
              <w:ind w:firstLine="0" w:firstLineChars="0"/>
              <w:jc w:val="center"/>
              <w:rPr>
                <w:color w:val="auto"/>
                <w:sz w:val="21"/>
                <w:szCs w:val="21"/>
              </w:rPr>
            </w:pPr>
          </w:p>
        </w:tc>
        <w:tc>
          <w:tcPr>
            <w:tcW w:w="315" w:type="pct"/>
            <w:shd w:val="clear" w:color="auto" w:fill="auto"/>
            <w:vAlign w:val="center"/>
          </w:tcPr>
          <w:p w14:paraId="37EAE9EA">
            <w:pPr>
              <w:tabs>
                <w:tab w:val="left" w:pos="2227"/>
              </w:tabs>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903" w:type="pct"/>
            <w:vMerge w:val="continue"/>
            <w:vAlign w:val="center"/>
          </w:tcPr>
          <w:p w14:paraId="4A1C7C11">
            <w:pPr>
              <w:spacing w:line="240" w:lineRule="auto"/>
              <w:ind w:firstLine="0" w:firstLineChars="0"/>
              <w:rPr>
                <w:color w:val="auto"/>
                <w:kern w:val="0"/>
                <w:sz w:val="21"/>
                <w:szCs w:val="21"/>
              </w:rPr>
            </w:pPr>
          </w:p>
        </w:tc>
        <w:tc>
          <w:tcPr>
            <w:tcW w:w="356" w:type="pct"/>
            <w:vMerge w:val="continue"/>
            <w:vAlign w:val="center"/>
          </w:tcPr>
          <w:p w14:paraId="41D06BA5">
            <w:pPr>
              <w:spacing w:line="240" w:lineRule="auto"/>
              <w:ind w:firstLine="0" w:firstLineChars="0"/>
              <w:jc w:val="center"/>
              <w:rPr>
                <w:color w:val="auto"/>
                <w:kern w:val="44"/>
                <w:sz w:val="21"/>
                <w:szCs w:val="21"/>
              </w:rPr>
            </w:pPr>
          </w:p>
        </w:tc>
        <w:tc>
          <w:tcPr>
            <w:tcW w:w="236" w:type="pct"/>
            <w:vMerge w:val="continue"/>
            <w:vAlign w:val="center"/>
          </w:tcPr>
          <w:p w14:paraId="73BE801D">
            <w:pPr>
              <w:spacing w:line="240" w:lineRule="auto"/>
              <w:ind w:firstLine="0" w:firstLineChars="0"/>
              <w:jc w:val="center"/>
              <w:rPr>
                <w:color w:val="auto"/>
                <w:kern w:val="44"/>
                <w:sz w:val="21"/>
                <w:szCs w:val="21"/>
                <w:lang w:val="en-AU"/>
              </w:rPr>
            </w:pPr>
          </w:p>
        </w:tc>
        <w:tc>
          <w:tcPr>
            <w:tcW w:w="276" w:type="pct"/>
            <w:shd w:val="clear" w:color="auto" w:fill="auto"/>
            <w:vAlign w:val="center"/>
          </w:tcPr>
          <w:p w14:paraId="6E45DD4E">
            <w:pPr>
              <w:tabs>
                <w:tab w:val="left" w:pos="2227"/>
              </w:tabs>
              <w:spacing w:line="240" w:lineRule="auto"/>
              <w:ind w:firstLine="0" w:firstLineChars="0"/>
              <w:jc w:val="center"/>
              <w:rPr>
                <w:color w:val="auto"/>
                <w:sz w:val="21"/>
                <w:szCs w:val="21"/>
              </w:rPr>
            </w:pPr>
            <w:r>
              <w:rPr>
                <w:rFonts w:hint="eastAsia"/>
                <w:color w:val="auto"/>
                <w:sz w:val="21"/>
                <w:szCs w:val="21"/>
              </w:rPr>
              <w:t>1.000</w:t>
            </w:r>
          </w:p>
        </w:tc>
        <w:tc>
          <w:tcPr>
            <w:tcW w:w="331" w:type="pct"/>
            <w:shd w:val="clear" w:color="auto" w:fill="auto"/>
            <w:vAlign w:val="center"/>
          </w:tcPr>
          <w:p w14:paraId="0947F472">
            <w:pPr>
              <w:tabs>
                <w:tab w:val="left" w:pos="2227"/>
              </w:tabs>
              <w:spacing w:line="240" w:lineRule="auto"/>
              <w:ind w:firstLine="0" w:firstLineChars="0"/>
              <w:jc w:val="center"/>
              <w:rPr>
                <w:color w:val="auto"/>
                <w:sz w:val="21"/>
                <w:szCs w:val="21"/>
              </w:rPr>
            </w:pPr>
            <w:r>
              <w:rPr>
                <w:rFonts w:hint="eastAsia"/>
                <w:color w:val="auto"/>
                <w:sz w:val="21"/>
                <w:szCs w:val="21"/>
              </w:rPr>
              <w:t>0.001</w:t>
            </w:r>
          </w:p>
        </w:tc>
        <w:tc>
          <w:tcPr>
            <w:tcW w:w="395" w:type="pct"/>
            <w:shd w:val="clear" w:color="auto" w:fill="auto"/>
            <w:vAlign w:val="center"/>
          </w:tcPr>
          <w:p w14:paraId="28797DAD">
            <w:pPr>
              <w:tabs>
                <w:tab w:val="left" w:pos="2227"/>
              </w:tabs>
              <w:spacing w:line="240" w:lineRule="auto"/>
              <w:ind w:firstLine="0" w:firstLineChars="0"/>
              <w:jc w:val="center"/>
              <w:rPr>
                <w:color w:val="auto"/>
                <w:sz w:val="21"/>
                <w:szCs w:val="21"/>
              </w:rPr>
            </w:pPr>
            <w:r>
              <w:rPr>
                <w:rFonts w:hint="eastAsia"/>
                <w:color w:val="auto"/>
                <w:sz w:val="21"/>
                <w:szCs w:val="21"/>
              </w:rPr>
              <w:t>0.008</w:t>
            </w:r>
          </w:p>
        </w:tc>
        <w:tc>
          <w:tcPr>
            <w:tcW w:w="257" w:type="pct"/>
            <w:shd w:val="clear" w:color="auto" w:fill="auto"/>
            <w:vAlign w:val="center"/>
          </w:tcPr>
          <w:p w14:paraId="57D71B88">
            <w:pPr>
              <w:tabs>
                <w:tab w:val="left" w:pos="2227"/>
              </w:tabs>
              <w:spacing w:line="240" w:lineRule="auto"/>
              <w:ind w:firstLine="0" w:firstLineChars="0"/>
              <w:jc w:val="center"/>
              <w:rPr>
                <w:color w:val="auto"/>
                <w:sz w:val="21"/>
                <w:szCs w:val="21"/>
              </w:rPr>
            </w:pPr>
            <w:r>
              <w:rPr>
                <w:color w:val="auto"/>
                <w:sz w:val="21"/>
                <w:szCs w:val="21"/>
              </w:rPr>
              <w:t>80</w:t>
            </w:r>
          </w:p>
        </w:tc>
        <w:tc>
          <w:tcPr>
            <w:tcW w:w="246" w:type="pct"/>
            <w:shd w:val="clear" w:color="auto" w:fill="auto"/>
            <w:vAlign w:val="center"/>
          </w:tcPr>
          <w:p w14:paraId="72480765">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continue"/>
            <w:vAlign w:val="center"/>
          </w:tcPr>
          <w:p w14:paraId="5050A979">
            <w:pPr>
              <w:spacing w:line="240" w:lineRule="auto"/>
              <w:ind w:firstLine="0" w:firstLineChars="0"/>
              <w:jc w:val="center"/>
              <w:rPr>
                <w:color w:val="auto"/>
                <w:kern w:val="44"/>
                <w:sz w:val="21"/>
                <w:szCs w:val="21"/>
              </w:rPr>
            </w:pPr>
          </w:p>
        </w:tc>
      </w:tr>
      <w:tr w14:paraId="569286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288" w:hRule="atLeast"/>
          <w:jc w:val="center"/>
        </w:trPr>
        <w:tc>
          <w:tcPr>
            <w:tcW w:w="248" w:type="pct"/>
            <w:vMerge w:val="continue"/>
            <w:vAlign w:val="center"/>
          </w:tcPr>
          <w:p w14:paraId="422FBF20">
            <w:pPr>
              <w:spacing w:line="240" w:lineRule="auto"/>
              <w:ind w:firstLine="0" w:firstLineChars="0"/>
              <w:jc w:val="center"/>
              <w:rPr>
                <w:color w:val="auto"/>
                <w:kern w:val="44"/>
                <w:sz w:val="21"/>
                <w:szCs w:val="21"/>
              </w:rPr>
            </w:pPr>
          </w:p>
        </w:tc>
        <w:tc>
          <w:tcPr>
            <w:tcW w:w="293" w:type="pct"/>
            <w:gridSpan w:val="2"/>
            <w:vMerge w:val="continue"/>
            <w:vAlign w:val="center"/>
          </w:tcPr>
          <w:p w14:paraId="3CC40D1C">
            <w:pPr>
              <w:spacing w:line="240" w:lineRule="auto"/>
              <w:ind w:firstLine="0" w:firstLineChars="0"/>
              <w:jc w:val="center"/>
              <w:rPr>
                <w:color w:val="auto"/>
                <w:sz w:val="21"/>
                <w:szCs w:val="21"/>
              </w:rPr>
            </w:pPr>
          </w:p>
        </w:tc>
        <w:tc>
          <w:tcPr>
            <w:tcW w:w="398" w:type="pct"/>
            <w:gridSpan w:val="2"/>
            <w:vMerge w:val="continue"/>
            <w:vAlign w:val="center"/>
          </w:tcPr>
          <w:p w14:paraId="4837C6E2">
            <w:pPr>
              <w:spacing w:line="240" w:lineRule="auto"/>
              <w:ind w:firstLine="0" w:firstLineChars="0"/>
              <w:jc w:val="center"/>
              <w:rPr>
                <w:color w:val="auto"/>
                <w:sz w:val="21"/>
                <w:szCs w:val="21"/>
              </w:rPr>
            </w:pPr>
          </w:p>
        </w:tc>
        <w:tc>
          <w:tcPr>
            <w:tcW w:w="315" w:type="pct"/>
            <w:shd w:val="clear" w:color="auto" w:fill="auto"/>
            <w:vAlign w:val="center"/>
          </w:tcPr>
          <w:p w14:paraId="1ED5B288">
            <w:pPr>
              <w:tabs>
                <w:tab w:val="left" w:pos="2227"/>
              </w:tabs>
              <w:spacing w:line="240" w:lineRule="auto"/>
              <w:ind w:firstLine="0" w:firstLineChars="0"/>
              <w:jc w:val="center"/>
              <w:rPr>
                <w:color w:val="auto"/>
                <w:sz w:val="21"/>
                <w:szCs w:val="21"/>
              </w:rPr>
            </w:pPr>
            <w:r>
              <w:rPr>
                <w:rFonts w:hint="eastAsia"/>
                <w:color w:val="auto"/>
                <w:sz w:val="21"/>
                <w:szCs w:val="21"/>
              </w:rPr>
              <w:t>NOx</w:t>
            </w:r>
          </w:p>
        </w:tc>
        <w:tc>
          <w:tcPr>
            <w:tcW w:w="903" w:type="pct"/>
            <w:vMerge w:val="continue"/>
            <w:vAlign w:val="center"/>
          </w:tcPr>
          <w:p w14:paraId="072ECA80">
            <w:pPr>
              <w:spacing w:line="240" w:lineRule="auto"/>
              <w:ind w:firstLine="0" w:firstLineChars="0"/>
              <w:rPr>
                <w:color w:val="auto"/>
                <w:kern w:val="0"/>
                <w:sz w:val="21"/>
                <w:szCs w:val="21"/>
              </w:rPr>
            </w:pPr>
          </w:p>
        </w:tc>
        <w:tc>
          <w:tcPr>
            <w:tcW w:w="356" w:type="pct"/>
            <w:vMerge w:val="continue"/>
            <w:vAlign w:val="center"/>
          </w:tcPr>
          <w:p w14:paraId="291B41BB">
            <w:pPr>
              <w:spacing w:line="240" w:lineRule="auto"/>
              <w:ind w:firstLine="0" w:firstLineChars="0"/>
              <w:jc w:val="center"/>
              <w:rPr>
                <w:color w:val="auto"/>
                <w:kern w:val="44"/>
                <w:sz w:val="21"/>
                <w:szCs w:val="21"/>
              </w:rPr>
            </w:pPr>
          </w:p>
        </w:tc>
        <w:tc>
          <w:tcPr>
            <w:tcW w:w="236" w:type="pct"/>
            <w:vMerge w:val="continue"/>
            <w:vAlign w:val="center"/>
          </w:tcPr>
          <w:p w14:paraId="15B56360">
            <w:pPr>
              <w:spacing w:line="240" w:lineRule="auto"/>
              <w:ind w:firstLine="0" w:firstLineChars="0"/>
              <w:jc w:val="center"/>
              <w:rPr>
                <w:color w:val="auto"/>
                <w:kern w:val="44"/>
                <w:sz w:val="21"/>
                <w:szCs w:val="21"/>
                <w:lang w:val="en-AU"/>
              </w:rPr>
            </w:pPr>
          </w:p>
        </w:tc>
        <w:tc>
          <w:tcPr>
            <w:tcW w:w="276" w:type="pct"/>
            <w:shd w:val="clear" w:color="auto" w:fill="auto"/>
            <w:vAlign w:val="center"/>
          </w:tcPr>
          <w:p w14:paraId="6AB21571">
            <w:pPr>
              <w:tabs>
                <w:tab w:val="left" w:pos="2227"/>
              </w:tabs>
              <w:spacing w:line="240" w:lineRule="auto"/>
              <w:ind w:firstLine="0" w:firstLineChars="0"/>
              <w:jc w:val="center"/>
              <w:rPr>
                <w:color w:val="auto"/>
                <w:sz w:val="21"/>
                <w:szCs w:val="21"/>
              </w:rPr>
            </w:pPr>
            <w:r>
              <w:rPr>
                <w:rFonts w:hint="eastAsia"/>
                <w:color w:val="auto"/>
                <w:sz w:val="21"/>
                <w:szCs w:val="21"/>
              </w:rPr>
              <w:t>9.350</w:t>
            </w:r>
          </w:p>
        </w:tc>
        <w:tc>
          <w:tcPr>
            <w:tcW w:w="331" w:type="pct"/>
            <w:shd w:val="clear" w:color="auto" w:fill="auto"/>
            <w:vAlign w:val="center"/>
          </w:tcPr>
          <w:p w14:paraId="4CED7966">
            <w:pPr>
              <w:tabs>
                <w:tab w:val="left" w:pos="2227"/>
              </w:tabs>
              <w:spacing w:line="240" w:lineRule="auto"/>
              <w:ind w:firstLine="0" w:firstLineChars="0"/>
              <w:jc w:val="center"/>
              <w:rPr>
                <w:color w:val="auto"/>
                <w:sz w:val="21"/>
                <w:szCs w:val="21"/>
              </w:rPr>
            </w:pPr>
            <w:r>
              <w:rPr>
                <w:rFonts w:hint="eastAsia"/>
                <w:color w:val="auto"/>
                <w:sz w:val="21"/>
                <w:szCs w:val="21"/>
              </w:rPr>
              <w:t>0.009</w:t>
            </w:r>
          </w:p>
        </w:tc>
        <w:tc>
          <w:tcPr>
            <w:tcW w:w="395" w:type="pct"/>
            <w:shd w:val="clear" w:color="auto" w:fill="auto"/>
            <w:vAlign w:val="center"/>
          </w:tcPr>
          <w:p w14:paraId="4D5726BB">
            <w:pPr>
              <w:tabs>
                <w:tab w:val="left" w:pos="2227"/>
              </w:tabs>
              <w:spacing w:line="240" w:lineRule="auto"/>
              <w:ind w:firstLine="0" w:firstLineChars="0"/>
              <w:jc w:val="center"/>
              <w:rPr>
                <w:color w:val="auto"/>
                <w:sz w:val="21"/>
                <w:szCs w:val="21"/>
              </w:rPr>
            </w:pPr>
            <w:r>
              <w:rPr>
                <w:rFonts w:hint="eastAsia"/>
                <w:color w:val="auto"/>
                <w:sz w:val="21"/>
                <w:szCs w:val="21"/>
              </w:rPr>
              <w:t>0.074</w:t>
            </w:r>
          </w:p>
        </w:tc>
        <w:tc>
          <w:tcPr>
            <w:tcW w:w="257" w:type="pct"/>
            <w:shd w:val="clear" w:color="auto" w:fill="auto"/>
            <w:vAlign w:val="center"/>
          </w:tcPr>
          <w:p w14:paraId="2375A442">
            <w:pPr>
              <w:tabs>
                <w:tab w:val="left" w:pos="2227"/>
              </w:tabs>
              <w:spacing w:line="240" w:lineRule="auto"/>
              <w:ind w:firstLine="0" w:firstLineChars="0"/>
              <w:jc w:val="center"/>
              <w:rPr>
                <w:color w:val="auto"/>
                <w:sz w:val="21"/>
                <w:szCs w:val="21"/>
              </w:rPr>
            </w:pPr>
            <w:r>
              <w:rPr>
                <w:color w:val="auto"/>
                <w:sz w:val="21"/>
                <w:szCs w:val="21"/>
              </w:rPr>
              <w:t>180</w:t>
            </w:r>
          </w:p>
        </w:tc>
        <w:tc>
          <w:tcPr>
            <w:tcW w:w="246" w:type="pct"/>
            <w:shd w:val="clear" w:color="auto" w:fill="auto"/>
            <w:vAlign w:val="center"/>
          </w:tcPr>
          <w:p w14:paraId="732B4706">
            <w:pPr>
              <w:tabs>
                <w:tab w:val="left" w:pos="2227"/>
              </w:tabs>
              <w:spacing w:line="240" w:lineRule="auto"/>
              <w:ind w:firstLine="0" w:firstLineChars="0"/>
              <w:jc w:val="center"/>
              <w:rPr>
                <w:color w:val="auto"/>
                <w:sz w:val="21"/>
                <w:szCs w:val="21"/>
              </w:rPr>
            </w:pPr>
            <w:r>
              <w:rPr>
                <w:color w:val="auto"/>
                <w:sz w:val="21"/>
                <w:szCs w:val="21"/>
              </w:rPr>
              <w:t>/</w:t>
            </w:r>
          </w:p>
        </w:tc>
        <w:tc>
          <w:tcPr>
            <w:tcW w:w="742" w:type="pct"/>
            <w:vMerge w:val="continue"/>
            <w:vAlign w:val="center"/>
          </w:tcPr>
          <w:p w14:paraId="5E50A338">
            <w:pPr>
              <w:spacing w:line="240" w:lineRule="auto"/>
              <w:ind w:firstLine="0" w:firstLineChars="0"/>
              <w:jc w:val="center"/>
              <w:rPr>
                <w:color w:val="auto"/>
                <w:kern w:val="44"/>
                <w:sz w:val="21"/>
                <w:szCs w:val="21"/>
              </w:rPr>
            </w:pPr>
          </w:p>
        </w:tc>
      </w:tr>
      <w:tr w14:paraId="51096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44" w:hRule="atLeast"/>
          <w:jc w:val="center"/>
        </w:trPr>
        <w:tc>
          <w:tcPr>
            <w:tcW w:w="248" w:type="pct"/>
            <w:vMerge w:val="continue"/>
            <w:vAlign w:val="center"/>
          </w:tcPr>
          <w:p w14:paraId="4E4CBF39">
            <w:pPr>
              <w:spacing w:line="240" w:lineRule="auto"/>
              <w:ind w:firstLine="0" w:firstLineChars="0"/>
              <w:jc w:val="center"/>
              <w:rPr>
                <w:color w:val="auto"/>
                <w:kern w:val="44"/>
                <w:sz w:val="21"/>
                <w:szCs w:val="21"/>
              </w:rPr>
            </w:pPr>
          </w:p>
        </w:tc>
        <w:tc>
          <w:tcPr>
            <w:tcW w:w="293" w:type="pct"/>
            <w:gridSpan w:val="2"/>
            <w:vAlign w:val="center"/>
          </w:tcPr>
          <w:p w14:paraId="7150DFF8">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4</w:t>
            </w:r>
          </w:p>
        </w:tc>
        <w:tc>
          <w:tcPr>
            <w:tcW w:w="398" w:type="pct"/>
            <w:gridSpan w:val="2"/>
            <w:vAlign w:val="center"/>
          </w:tcPr>
          <w:p w14:paraId="46AD2D5F">
            <w:pPr>
              <w:spacing w:line="240" w:lineRule="auto"/>
              <w:ind w:firstLine="0" w:firstLineChars="0"/>
              <w:jc w:val="center"/>
              <w:rPr>
                <w:color w:val="auto"/>
                <w:sz w:val="21"/>
                <w:szCs w:val="21"/>
              </w:rPr>
            </w:pPr>
            <w:r>
              <w:rPr>
                <w:rFonts w:hint="eastAsia"/>
                <w:color w:val="auto"/>
                <w:sz w:val="21"/>
                <w:szCs w:val="21"/>
              </w:rPr>
              <w:t>喷砂</w:t>
            </w:r>
          </w:p>
        </w:tc>
        <w:tc>
          <w:tcPr>
            <w:tcW w:w="315" w:type="pct"/>
            <w:vAlign w:val="center"/>
          </w:tcPr>
          <w:p w14:paraId="7CB26E26">
            <w:pPr>
              <w:spacing w:line="240" w:lineRule="auto"/>
              <w:ind w:firstLine="0" w:firstLineChars="0"/>
              <w:jc w:val="center"/>
              <w:rPr>
                <w:color w:val="auto"/>
                <w:sz w:val="21"/>
                <w:szCs w:val="21"/>
              </w:rPr>
            </w:pPr>
            <w:r>
              <w:rPr>
                <w:color w:val="auto"/>
                <w:sz w:val="21"/>
                <w:szCs w:val="21"/>
              </w:rPr>
              <w:t>颗粒物</w:t>
            </w:r>
          </w:p>
        </w:tc>
        <w:tc>
          <w:tcPr>
            <w:tcW w:w="903" w:type="pct"/>
            <w:vAlign w:val="center"/>
          </w:tcPr>
          <w:p w14:paraId="6438A36F">
            <w:pPr>
              <w:spacing w:line="240" w:lineRule="auto"/>
              <w:ind w:firstLine="0" w:firstLineChars="0"/>
              <w:rPr>
                <w:color w:val="auto"/>
                <w:sz w:val="21"/>
                <w:szCs w:val="21"/>
              </w:rPr>
            </w:pPr>
            <w:r>
              <w:rPr>
                <w:rFonts w:hint="eastAsia"/>
                <w:color w:val="auto"/>
                <w:kern w:val="0"/>
                <w:sz w:val="21"/>
                <w:szCs w:val="21"/>
              </w:rPr>
              <w:t>布袋除尘器处理后+</w:t>
            </w:r>
            <w:r>
              <w:rPr>
                <w:color w:val="auto"/>
                <w:kern w:val="0"/>
                <w:sz w:val="21"/>
                <w:szCs w:val="21"/>
              </w:rPr>
              <w:t>1根</w:t>
            </w:r>
            <w:r>
              <w:rPr>
                <w:rFonts w:hint="eastAsia"/>
                <w:color w:val="auto"/>
                <w:kern w:val="0"/>
                <w:sz w:val="21"/>
                <w:szCs w:val="21"/>
              </w:rPr>
              <w:t>15</w:t>
            </w:r>
            <w:r>
              <w:rPr>
                <w:color w:val="auto"/>
                <w:kern w:val="0"/>
                <w:sz w:val="21"/>
                <w:szCs w:val="21"/>
              </w:rPr>
              <w:t>m高排气筒</w:t>
            </w:r>
            <w:r>
              <w:rPr>
                <w:rFonts w:hint="eastAsia"/>
                <w:color w:val="auto"/>
                <w:kern w:val="0"/>
                <w:sz w:val="21"/>
                <w:szCs w:val="21"/>
              </w:rPr>
              <w:t>，</w:t>
            </w:r>
            <w:r>
              <w:rPr>
                <w:color w:val="auto"/>
                <w:kern w:val="0"/>
                <w:sz w:val="21"/>
                <w:szCs w:val="21"/>
              </w:rPr>
              <w:t>风量为</w:t>
            </w:r>
            <w:r>
              <w:rPr>
                <w:rFonts w:hint="eastAsia"/>
                <w:color w:val="auto"/>
                <w:kern w:val="0"/>
                <w:sz w:val="21"/>
                <w:szCs w:val="21"/>
              </w:rPr>
              <w:t>15000</w:t>
            </w:r>
            <w:r>
              <w:rPr>
                <w:color w:val="auto"/>
                <w:kern w:val="0"/>
                <w:sz w:val="21"/>
                <w:szCs w:val="21"/>
              </w:rPr>
              <w:t>m</w:t>
            </w:r>
            <w:r>
              <w:rPr>
                <w:color w:val="auto"/>
                <w:kern w:val="0"/>
                <w:sz w:val="21"/>
                <w:szCs w:val="21"/>
                <w:vertAlign w:val="superscript"/>
              </w:rPr>
              <w:t>3</w:t>
            </w:r>
            <w:r>
              <w:rPr>
                <w:color w:val="auto"/>
                <w:kern w:val="0"/>
                <w:sz w:val="21"/>
                <w:szCs w:val="21"/>
              </w:rPr>
              <w:t>/h。</w:t>
            </w:r>
          </w:p>
        </w:tc>
        <w:tc>
          <w:tcPr>
            <w:tcW w:w="356" w:type="pct"/>
            <w:vAlign w:val="center"/>
          </w:tcPr>
          <w:p w14:paraId="6BE2CE6F">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15</w:t>
            </w:r>
            <w:r>
              <w:rPr>
                <w:color w:val="auto"/>
                <w:kern w:val="44"/>
                <w:sz w:val="21"/>
                <w:szCs w:val="21"/>
              </w:rPr>
              <w:t>m，内径：0.</w:t>
            </w:r>
            <w:r>
              <w:rPr>
                <w:rFonts w:hint="eastAsia"/>
                <w:color w:val="auto"/>
                <w:kern w:val="44"/>
                <w:sz w:val="21"/>
                <w:szCs w:val="21"/>
              </w:rPr>
              <w:t>62</w:t>
            </w:r>
            <w:r>
              <w:rPr>
                <w:color w:val="auto"/>
                <w:kern w:val="44"/>
                <w:sz w:val="21"/>
                <w:szCs w:val="21"/>
              </w:rPr>
              <w:t>m，温度：</w:t>
            </w:r>
            <w:r>
              <w:rPr>
                <w:rFonts w:hint="eastAsia"/>
                <w:color w:val="auto"/>
                <w:kern w:val="44"/>
                <w:sz w:val="21"/>
                <w:szCs w:val="21"/>
              </w:rPr>
              <w:t>25</w:t>
            </w:r>
            <w:r>
              <w:rPr>
                <w:color w:val="auto"/>
                <w:kern w:val="44"/>
                <w:sz w:val="21"/>
                <w:szCs w:val="21"/>
              </w:rPr>
              <w:t>℃</w:t>
            </w:r>
          </w:p>
        </w:tc>
        <w:tc>
          <w:tcPr>
            <w:tcW w:w="236" w:type="pct"/>
            <w:vAlign w:val="center"/>
          </w:tcPr>
          <w:p w14:paraId="771674DA">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338DCB34">
            <w:pPr>
              <w:tabs>
                <w:tab w:val="left" w:pos="2227"/>
              </w:tabs>
              <w:spacing w:line="240" w:lineRule="auto"/>
              <w:ind w:firstLine="0" w:firstLineChars="0"/>
              <w:jc w:val="center"/>
              <w:rPr>
                <w:color w:val="auto"/>
                <w:sz w:val="21"/>
                <w:szCs w:val="21"/>
              </w:rPr>
            </w:pPr>
            <w:r>
              <w:rPr>
                <w:rFonts w:hint="eastAsia"/>
                <w:color w:val="auto"/>
                <w:sz w:val="21"/>
                <w:szCs w:val="21"/>
              </w:rPr>
              <w:t>6.310</w:t>
            </w:r>
          </w:p>
        </w:tc>
        <w:tc>
          <w:tcPr>
            <w:tcW w:w="331" w:type="pct"/>
            <w:shd w:val="clear" w:color="auto" w:fill="auto"/>
            <w:vAlign w:val="center"/>
          </w:tcPr>
          <w:p w14:paraId="61B9550B">
            <w:pPr>
              <w:tabs>
                <w:tab w:val="left" w:pos="2227"/>
              </w:tabs>
              <w:spacing w:line="240" w:lineRule="auto"/>
              <w:ind w:firstLine="0" w:firstLineChars="0"/>
              <w:jc w:val="center"/>
              <w:rPr>
                <w:color w:val="auto"/>
                <w:sz w:val="21"/>
                <w:szCs w:val="21"/>
              </w:rPr>
            </w:pPr>
            <w:r>
              <w:rPr>
                <w:rFonts w:hint="eastAsia"/>
                <w:color w:val="auto"/>
                <w:sz w:val="21"/>
                <w:szCs w:val="21"/>
              </w:rPr>
              <w:t>0.095</w:t>
            </w:r>
          </w:p>
        </w:tc>
        <w:tc>
          <w:tcPr>
            <w:tcW w:w="395" w:type="pct"/>
            <w:shd w:val="clear" w:color="auto" w:fill="auto"/>
            <w:vAlign w:val="center"/>
          </w:tcPr>
          <w:p w14:paraId="1E0067F5">
            <w:pPr>
              <w:tabs>
                <w:tab w:val="left" w:pos="2227"/>
              </w:tabs>
              <w:spacing w:line="240" w:lineRule="auto"/>
              <w:ind w:firstLine="0" w:firstLineChars="0"/>
              <w:jc w:val="center"/>
              <w:rPr>
                <w:color w:val="auto"/>
                <w:sz w:val="21"/>
                <w:szCs w:val="21"/>
              </w:rPr>
            </w:pPr>
            <w:r>
              <w:rPr>
                <w:rFonts w:hint="eastAsia"/>
                <w:color w:val="auto"/>
                <w:sz w:val="21"/>
                <w:szCs w:val="21"/>
              </w:rPr>
              <w:t>0.750</w:t>
            </w:r>
          </w:p>
        </w:tc>
        <w:tc>
          <w:tcPr>
            <w:tcW w:w="257" w:type="pct"/>
            <w:vAlign w:val="center"/>
          </w:tcPr>
          <w:p w14:paraId="10A0D722">
            <w:pPr>
              <w:spacing w:line="240" w:lineRule="auto"/>
              <w:ind w:firstLine="0" w:firstLineChars="0"/>
              <w:jc w:val="center"/>
              <w:rPr>
                <w:color w:val="auto"/>
                <w:kern w:val="44"/>
                <w:sz w:val="21"/>
                <w:szCs w:val="21"/>
              </w:rPr>
            </w:pPr>
            <w:r>
              <w:rPr>
                <w:color w:val="auto"/>
                <w:kern w:val="44"/>
                <w:sz w:val="21"/>
                <w:szCs w:val="21"/>
              </w:rPr>
              <w:t>20</w:t>
            </w:r>
          </w:p>
        </w:tc>
        <w:tc>
          <w:tcPr>
            <w:tcW w:w="246" w:type="pct"/>
            <w:vAlign w:val="center"/>
          </w:tcPr>
          <w:p w14:paraId="0569DE84">
            <w:pPr>
              <w:spacing w:line="240" w:lineRule="auto"/>
              <w:ind w:firstLine="0" w:firstLineChars="0"/>
              <w:jc w:val="center"/>
              <w:rPr>
                <w:color w:val="auto"/>
                <w:kern w:val="44"/>
                <w:sz w:val="21"/>
                <w:szCs w:val="21"/>
              </w:rPr>
            </w:pPr>
            <w:r>
              <w:rPr>
                <w:rFonts w:hint="eastAsia"/>
                <w:color w:val="auto"/>
                <w:kern w:val="44"/>
                <w:sz w:val="21"/>
                <w:szCs w:val="21"/>
              </w:rPr>
              <w:t>1</w:t>
            </w:r>
          </w:p>
        </w:tc>
        <w:tc>
          <w:tcPr>
            <w:tcW w:w="742" w:type="pct"/>
            <w:vAlign w:val="center"/>
          </w:tcPr>
          <w:p w14:paraId="498A130B">
            <w:pPr>
              <w:spacing w:line="240" w:lineRule="auto"/>
              <w:ind w:firstLine="0" w:firstLineChars="0"/>
              <w:jc w:val="center"/>
              <w:rPr>
                <w:color w:val="auto"/>
                <w:kern w:val="44"/>
                <w:sz w:val="21"/>
                <w:szCs w:val="21"/>
              </w:rPr>
            </w:pPr>
            <w:r>
              <w:rPr>
                <w:color w:val="auto"/>
                <w:kern w:val="0"/>
                <w:sz w:val="21"/>
                <w:szCs w:val="21"/>
              </w:rPr>
              <w:t>江苏省地方标准《大气污染物综合排放标准》（DB32/4041-2021）表1中标准限值</w:t>
            </w:r>
          </w:p>
        </w:tc>
      </w:tr>
      <w:tr w14:paraId="53C7C1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43" w:hRule="atLeast"/>
          <w:jc w:val="center"/>
        </w:trPr>
        <w:tc>
          <w:tcPr>
            <w:tcW w:w="248" w:type="pct"/>
            <w:vMerge w:val="continue"/>
            <w:vAlign w:val="center"/>
          </w:tcPr>
          <w:p w14:paraId="7039973B">
            <w:pPr>
              <w:spacing w:line="240" w:lineRule="auto"/>
              <w:ind w:firstLine="0" w:firstLineChars="0"/>
              <w:jc w:val="center"/>
              <w:rPr>
                <w:color w:val="auto"/>
                <w:kern w:val="44"/>
                <w:sz w:val="21"/>
                <w:szCs w:val="21"/>
              </w:rPr>
            </w:pPr>
          </w:p>
        </w:tc>
        <w:tc>
          <w:tcPr>
            <w:tcW w:w="293" w:type="pct"/>
            <w:gridSpan w:val="2"/>
            <w:vAlign w:val="center"/>
          </w:tcPr>
          <w:p w14:paraId="6C6BABD1">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5</w:t>
            </w:r>
          </w:p>
        </w:tc>
        <w:tc>
          <w:tcPr>
            <w:tcW w:w="398" w:type="pct"/>
            <w:gridSpan w:val="2"/>
            <w:vAlign w:val="center"/>
          </w:tcPr>
          <w:p w14:paraId="79AB54A7">
            <w:pPr>
              <w:spacing w:line="240" w:lineRule="auto"/>
              <w:ind w:firstLine="0" w:firstLineChars="0"/>
              <w:jc w:val="center"/>
              <w:rPr>
                <w:color w:val="auto"/>
                <w:sz w:val="21"/>
                <w:szCs w:val="21"/>
              </w:rPr>
            </w:pPr>
            <w:r>
              <w:rPr>
                <w:rFonts w:hint="eastAsia"/>
                <w:color w:val="auto"/>
                <w:sz w:val="21"/>
                <w:szCs w:val="21"/>
              </w:rPr>
              <w:t>碱蚀（氧化工段）</w:t>
            </w:r>
          </w:p>
        </w:tc>
        <w:tc>
          <w:tcPr>
            <w:tcW w:w="315" w:type="pct"/>
            <w:vAlign w:val="center"/>
          </w:tcPr>
          <w:p w14:paraId="3CDB81E1">
            <w:pPr>
              <w:spacing w:line="240" w:lineRule="auto"/>
              <w:ind w:firstLine="0" w:firstLineChars="0"/>
              <w:jc w:val="center"/>
              <w:rPr>
                <w:color w:val="auto"/>
                <w:sz w:val="21"/>
                <w:szCs w:val="21"/>
              </w:rPr>
            </w:pPr>
            <w:r>
              <w:rPr>
                <w:rFonts w:hint="eastAsia"/>
                <w:color w:val="auto"/>
                <w:sz w:val="21"/>
                <w:szCs w:val="21"/>
              </w:rPr>
              <w:t>碱雾</w:t>
            </w:r>
          </w:p>
        </w:tc>
        <w:tc>
          <w:tcPr>
            <w:tcW w:w="903" w:type="pct"/>
            <w:vAlign w:val="center"/>
          </w:tcPr>
          <w:p w14:paraId="4C126E47">
            <w:pPr>
              <w:spacing w:line="240" w:lineRule="auto"/>
              <w:ind w:firstLine="0" w:firstLineChars="0"/>
              <w:rPr>
                <w:color w:val="auto"/>
                <w:sz w:val="21"/>
                <w:szCs w:val="21"/>
              </w:rPr>
            </w:pPr>
            <w:r>
              <w:rPr>
                <w:rFonts w:hint="eastAsia"/>
                <w:color w:val="auto"/>
                <w:kern w:val="0"/>
                <w:sz w:val="21"/>
                <w:szCs w:val="21"/>
              </w:rPr>
              <w:t>二级水喷淋</w:t>
            </w:r>
            <w:r>
              <w:rPr>
                <w:color w:val="auto"/>
                <w:kern w:val="0"/>
                <w:sz w:val="21"/>
                <w:szCs w:val="21"/>
              </w:rPr>
              <w:t>装置处理</w:t>
            </w:r>
            <w:r>
              <w:rPr>
                <w:rFonts w:hint="eastAsia"/>
                <w:color w:val="auto"/>
                <w:kern w:val="0"/>
                <w:sz w:val="21"/>
                <w:szCs w:val="21"/>
              </w:rPr>
              <w:t>+</w:t>
            </w:r>
            <w:r>
              <w:rPr>
                <w:color w:val="auto"/>
                <w:kern w:val="0"/>
                <w:sz w:val="21"/>
                <w:szCs w:val="21"/>
              </w:rPr>
              <w:t>1根</w:t>
            </w:r>
            <w:r>
              <w:rPr>
                <w:rFonts w:hint="eastAsia"/>
                <w:color w:val="auto"/>
                <w:kern w:val="0"/>
                <w:sz w:val="21"/>
                <w:szCs w:val="21"/>
              </w:rPr>
              <w:t>30</w:t>
            </w:r>
            <w:r>
              <w:rPr>
                <w:color w:val="auto"/>
                <w:kern w:val="0"/>
                <w:sz w:val="21"/>
                <w:szCs w:val="21"/>
              </w:rPr>
              <w:t>m高排气筒排放，风量为</w:t>
            </w:r>
            <w:r>
              <w:rPr>
                <w:rFonts w:hint="eastAsia"/>
                <w:color w:val="auto"/>
                <w:kern w:val="0"/>
                <w:sz w:val="21"/>
                <w:szCs w:val="21"/>
              </w:rPr>
              <w:t>60</w:t>
            </w:r>
            <w:r>
              <w:rPr>
                <w:color w:val="auto"/>
                <w:kern w:val="0"/>
                <w:sz w:val="21"/>
                <w:szCs w:val="21"/>
              </w:rPr>
              <w:t>000m</w:t>
            </w:r>
            <w:r>
              <w:rPr>
                <w:color w:val="auto"/>
                <w:kern w:val="0"/>
                <w:sz w:val="21"/>
                <w:szCs w:val="21"/>
                <w:vertAlign w:val="superscript"/>
              </w:rPr>
              <w:t>3</w:t>
            </w:r>
            <w:r>
              <w:rPr>
                <w:color w:val="auto"/>
                <w:kern w:val="0"/>
                <w:sz w:val="21"/>
                <w:szCs w:val="21"/>
              </w:rPr>
              <w:t>/h。</w:t>
            </w:r>
          </w:p>
        </w:tc>
        <w:tc>
          <w:tcPr>
            <w:tcW w:w="356" w:type="pct"/>
            <w:vAlign w:val="center"/>
          </w:tcPr>
          <w:p w14:paraId="7A1D75F4">
            <w:pPr>
              <w:spacing w:line="240" w:lineRule="auto"/>
              <w:ind w:firstLine="0" w:firstLineChars="0"/>
              <w:jc w:val="center"/>
              <w:rPr>
                <w:color w:val="auto"/>
                <w:kern w:val="44"/>
                <w:sz w:val="21"/>
                <w:szCs w:val="21"/>
              </w:rPr>
            </w:pPr>
            <w:r>
              <w:rPr>
                <w:color w:val="auto"/>
                <w:kern w:val="44"/>
                <w:sz w:val="21"/>
                <w:szCs w:val="21"/>
              </w:rPr>
              <w:t>排气筒高度：30m，内径：</w:t>
            </w:r>
            <w:r>
              <w:rPr>
                <w:rFonts w:hint="eastAsia"/>
                <w:color w:val="auto"/>
                <w:kern w:val="44"/>
                <w:sz w:val="21"/>
                <w:szCs w:val="21"/>
              </w:rPr>
              <w:t>1.20</w:t>
            </w:r>
            <w:r>
              <w:rPr>
                <w:color w:val="auto"/>
                <w:kern w:val="44"/>
                <w:sz w:val="21"/>
                <w:szCs w:val="21"/>
              </w:rPr>
              <w:t>m，温度：25℃</w:t>
            </w:r>
          </w:p>
        </w:tc>
        <w:tc>
          <w:tcPr>
            <w:tcW w:w="236" w:type="pct"/>
            <w:vAlign w:val="center"/>
          </w:tcPr>
          <w:p w14:paraId="5742FB83">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3FB7C3C1">
            <w:pPr>
              <w:tabs>
                <w:tab w:val="left" w:pos="2227"/>
              </w:tabs>
              <w:spacing w:line="240" w:lineRule="auto"/>
              <w:ind w:firstLine="0" w:firstLineChars="0"/>
              <w:jc w:val="center"/>
              <w:rPr>
                <w:color w:val="auto"/>
                <w:sz w:val="21"/>
                <w:szCs w:val="21"/>
                <w:lang w:val="en-AU"/>
              </w:rPr>
            </w:pPr>
            <w:r>
              <w:rPr>
                <w:rFonts w:hint="eastAsia"/>
                <w:color w:val="auto"/>
                <w:sz w:val="21"/>
                <w:szCs w:val="21"/>
              </w:rPr>
              <w:t>2.480</w:t>
            </w:r>
          </w:p>
        </w:tc>
        <w:tc>
          <w:tcPr>
            <w:tcW w:w="331" w:type="pct"/>
            <w:shd w:val="clear" w:color="auto" w:fill="auto"/>
            <w:vAlign w:val="center"/>
          </w:tcPr>
          <w:p w14:paraId="07DDA3ED">
            <w:pPr>
              <w:tabs>
                <w:tab w:val="left" w:pos="2227"/>
              </w:tabs>
              <w:spacing w:line="240" w:lineRule="auto"/>
              <w:ind w:firstLine="0" w:firstLineChars="0"/>
              <w:jc w:val="center"/>
              <w:rPr>
                <w:color w:val="auto"/>
                <w:sz w:val="21"/>
                <w:szCs w:val="21"/>
              </w:rPr>
            </w:pPr>
            <w:r>
              <w:rPr>
                <w:rFonts w:hint="eastAsia"/>
                <w:color w:val="auto"/>
                <w:sz w:val="21"/>
                <w:szCs w:val="21"/>
              </w:rPr>
              <w:t>0.149</w:t>
            </w:r>
          </w:p>
        </w:tc>
        <w:tc>
          <w:tcPr>
            <w:tcW w:w="395" w:type="pct"/>
            <w:shd w:val="clear" w:color="auto" w:fill="auto"/>
            <w:vAlign w:val="center"/>
          </w:tcPr>
          <w:p w14:paraId="5CE66249">
            <w:pPr>
              <w:tabs>
                <w:tab w:val="left" w:pos="2227"/>
              </w:tabs>
              <w:spacing w:line="240" w:lineRule="auto"/>
              <w:ind w:firstLine="0" w:firstLineChars="0"/>
              <w:jc w:val="center"/>
              <w:rPr>
                <w:color w:val="auto"/>
                <w:sz w:val="21"/>
                <w:szCs w:val="21"/>
              </w:rPr>
            </w:pPr>
            <w:r>
              <w:rPr>
                <w:rFonts w:hint="eastAsia"/>
                <w:color w:val="auto"/>
                <w:sz w:val="21"/>
                <w:szCs w:val="21"/>
              </w:rPr>
              <w:t>1.178</w:t>
            </w:r>
          </w:p>
        </w:tc>
        <w:tc>
          <w:tcPr>
            <w:tcW w:w="257" w:type="pct"/>
            <w:vAlign w:val="center"/>
          </w:tcPr>
          <w:p w14:paraId="0D556449">
            <w:pPr>
              <w:spacing w:line="240" w:lineRule="auto"/>
              <w:ind w:firstLine="0" w:firstLineChars="0"/>
              <w:jc w:val="center"/>
              <w:rPr>
                <w:color w:val="auto"/>
                <w:kern w:val="44"/>
                <w:sz w:val="21"/>
                <w:szCs w:val="21"/>
              </w:rPr>
            </w:pPr>
            <w:r>
              <w:rPr>
                <w:rFonts w:hint="eastAsia"/>
                <w:color w:val="auto"/>
                <w:kern w:val="44"/>
                <w:sz w:val="21"/>
                <w:szCs w:val="21"/>
              </w:rPr>
              <w:t>/</w:t>
            </w:r>
          </w:p>
        </w:tc>
        <w:tc>
          <w:tcPr>
            <w:tcW w:w="246" w:type="pct"/>
            <w:vAlign w:val="center"/>
          </w:tcPr>
          <w:p w14:paraId="1FF50F3A">
            <w:pPr>
              <w:spacing w:line="240" w:lineRule="auto"/>
              <w:ind w:firstLine="0" w:firstLineChars="0"/>
              <w:jc w:val="center"/>
              <w:rPr>
                <w:color w:val="auto"/>
                <w:kern w:val="44"/>
                <w:sz w:val="21"/>
                <w:szCs w:val="21"/>
              </w:rPr>
            </w:pPr>
            <w:r>
              <w:rPr>
                <w:rFonts w:hint="eastAsia"/>
                <w:color w:val="auto"/>
                <w:kern w:val="44"/>
                <w:sz w:val="21"/>
                <w:szCs w:val="21"/>
              </w:rPr>
              <w:t>/</w:t>
            </w:r>
          </w:p>
        </w:tc>
        <w:tc>
          <w:tcPr>
            <w:tcW w:w="742" w:type="pct"/>
            <w:vAlign w:val="center"/>
          </w:tcPr>
          <w:p w14:paraId="1755DB38">
            <w:pPr>
              <w:spacing w:line="240" w:lineRule="auto"/>
              <w:ind w:firstLine="0" w:firstLineChars="0"/>
              <w:jc w:val="center"/>
              <w:rPr>
                <w:color w:val="auto"/>
                <w:kern w:val="44"/>
                <w:sz w:val="21"/>
                <w:szCs w:val="21"/>
              </w:rPr>
            </w:pPr>
            <w:r>
              <w:rPr>
                <w:rFonts w:hint="eastAsia"/>
                <w:color w:val="auto"/>
                <w:kern w:val="44"/>
                <w:sz w:val="21"/>
                <w:szCs w:val="21"/>
              </w:rPr>
              <w:t>/</w:t>
            </w:r>
          </w:p>
        </w:tc>
      </w:tr>
      <w:tr w14:paraId="7156D7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08" w:hRule="atLeast"/>
          <w:jc w:val="center"/>
        </w:trPr>
        <w:tc>
          <w:tcPr>
            <w:tcW w:w="248" w:type="pct"/>
            <w:vMerge w:val="continue"/>
            <w:vAlign w:val="center"/>
          </w:tcPr>
          <w:p w14:paraId="314B6A70">
            <w:pPr>
              <w:spacing w:line="240" w:lineRule="auto"/>
              <w:ind w:firstLine="0" w:firstLineChars="0"/>
              <w:jc w:val="center"/>
              <w:rPr>
                <w:color w:val="auto"/>
                <w:kern w:val="44"/>
                <w:sz w:val="21"/>
                <w:szCs w:val="21"/>
              </w:rPr>
            </w:pPr>
          </w:p>
        </w:tc>
        <w:tc>
          <w:tcPr>
            <w:tcW w:w="293" w:type="pct"/>
            <w:gridSpan w:val="2"/>
            <w:vAlign w:val="center"/>
          </w:tcPr>
          <w:p w14:paraId="353F2B45">
            <w:pPr>
              <w:spacing w:line="240" w:lineRule="auto"/>
              <w:ind w:firstLine="0" w:firstLineChars="0"/>
              <w:jc w:val="center"/>
              <w:rPr>
                <w:color w:val="auto"/>
                <w:sz w:val="21"/>
                <w:szCs w:val="21"/>
              </w:rPr>
            </w:pPr>
            <w:r>
              <w:rPr>
                <w:color w:val="auto"/>
                <w:sz w:val="21"/>
                <w:szCs w:val="21"/>
              </w:rPr>
              <w:t>DA00</w:t>
            </w:r>
            <w:r>
              <w:rPr>
                <w:rFonts w:hint="eastAsia"/>
                <w:color w:val="auto"/>
                <w:sz w:val="21"/>
                <w:szCs w:val="21"/>
              </w:rPr>
              <w:t>6</w:t>
            </w:r>
          </w:p>
        </w:tc>
        <w:tc>
          <w:tcPr>
            <w:tcW w:w="398" w:type="pct"/>
            <w:gridSpan w:val="2"/>
            <w:vAlign w:val="center"/>
          </w:tcPr>
          <w:p w14:paraId="536BD513">
            <w:pPr>
              <w:spacing w:line="240" w:lineRule="auto"/>
              <w:ind w:firstLine="0" w:firstLineChars="0"/>
              <w:jc w:val="center"/>
              <w:rPr>
                <w:color w:val="auto"/>
                <w:sz w:val="21"/>
                <w:szCs w:val="21"/>
              </w:rPr>
            </w:pPr>
            <w:r>
              <w:rPr>
                <w:rFonts w:hint="eastAsia"/>
                <w:color w:val="auto"/>
                <w:sz w:val="21"/>
                <w:szCs w:val="21"/>
              </w:rPr>
              <w:t>酸性废气（脱脂、</w:t>
            </w:r>
            <w:r>
              <w:rPr>
                <w:color w:val="auto"/>
                <w:sz w:val="21"/>
                <w:szCs w:val="21"/>
              </w:rPr>
              <w:t>中和、氧化</w:t>
            </w:r>
            <w:r>
              <w:rPr>
                <w:rFonts w:hint="eastAsia"/>
                <w:color w:val="auto"/>
                <w:sz w:val="21"/>
                <w:szCs w:val="21"/>
              </w:rPr>
              <w:t>）</w:t>
            </w:r>
          </w:p>
        </w:tc>
        <w:tc>
          <w:tcPr>
            <w:tcW w:w="315" w:type="pct"/>
            <w:vAlign w:val="center"/>
          </w:tcPr>
          <w:p w14:paraId="6ADA2007">
            <w:pPr>
              <w:spacing w:line="240" w:lineRule="auto"/>
              <w:ind w:firstLine="0" w:firstLineChars="0"/>
              <w:jc w:val="center"/>
              <w:rPr>
                <w:color w:val="auto"/>
                <w:sz w:val="21"/>
                <w:szCs w:val="21"/>
              </w:rPr>
            </w:pPr>
            <w:r>
              <w:rPr>
                <w:rFonts w:hint="eastAsia"/>
                <w:color w:val="auto"/>
                <w:sz w:val="21"/>
                <w:szCs w:val="21"/>
              </w:rPr>
              <w:t>硫酸雾</w:t>
            </w:r>
          </w:p>
        </w:tc>
        <w:tc>
          <w:tcPr>
            <w:tcW w:w="903" w:type="pct"/>
            <w:vAlign w:val="center"/>
          </w:tcPr>
          <w:p w14:paraId="4D0B9C7C">
            <w:pPr>
              <w:spacing w:line="240" w:lineRule="auto"/>
              <w:ind w:firstLine="0" w:firstLineChars="0"/>
              <w:jc w:val="center"/>
              <w:rPr>
                <w:color w:val="auto"/>
                <w:sz w:val="21"/>
                <w:szCs w:val="21"/>
              </w:rPr>
            </w:pPr>
            <w:r>
              <w:rPr>
                <w:rFonts w:hint="eastAsia"/>
                <w:color w:val="auto"/>
                <w:kern w:val="0"/>
                <w:sz w:val="21"/>
                <w:szCs w:val="21"/>
              </w:rPr>
              <w:t>二级碱喷淋</w:t>
            </w:r>
            <w:r>
              <w:rPr>
                <w:color w:val="auto"/>
                <w:kern w:val="0"/>
                <w:sz w:val="21"/>
                <w:szCs w:val="21"/>
              </w:rPr>
              <w:t>装置处理</w:t>
            </w:r>
            <w:r>
              <w:rPr>
                <w:rFonts w:hint="eastAsia"/>
                <w:color w:val="auto"/>
                <w:kern w:val="0"/>
                <w:sz w:val="21"/>
                <w:szCs w:val="21"/>
              </w:rPr>
              <w:t>+</w:t>
            </w:r>
            <w:r>
              <w:rPr>
                <w:color w:val="auto"/>
                <w:kern w:val="0"/>
                <w:sz w:val="21"/>
                <w:szCs w:val="21"/>
              </w:rPr>
              <w:t>1根</w:t>
            </w:r>
            <w:r>
              <w:rPr>
                <w:rFonts w:hint="eastAsia"/>
                <w:color w:val="auto"/>
                <w:kern w:val="0"/>
                <w:sz w:val="21"/>
                <w:szCs w:val="21"/>
              </w:rPr>
              <w:t>30</w:t>
            </w:r>
            <w:r>
              <w:rPr>
                <w:color w:val="auto"/>
                <w:kern w:val="0"/>
                <w:sz w:val="21"/>
                <w:szCs w:val="21"/>
              </w:rPr>
              <w:t>m高排气筒排放，风量为</w:t>
            </w:r>
            <w:r>
              <w:rPr>
                <w:rFonts w:hint="eastAsia"/>
                <w:color w:val="auto"/>
                <w:kern w:val="0"/>
                <w:sz w:val="21"/>
                <w:szCs w:val="21"/>
              </w:rPr>
              <w:t>34</w:t>
            </w:r>
            <w:r>
              <w:rPr>
                <w:color w:val="auto"/>
                <w:kern w:val="0"/>
                <w:sz w:val="21"/>
                <w:szCs w:val="21"/>
              </w:rPr>
              <w:t>000m</w:t>
            </w:r>
            <w:r>
              <w:rPr>
                <w:color w:val="auto"/>
                <w:kern w:val="0"/>
                <w:sz w:val="21"/>
                <w:szCs w:val="21"/>
                <w:vertAlign w:val="superscript"/>
              </w:rPr>
              <w:t>3</w:t>
            </w:r>
            <w:r>
              <w:rPr>
                <w:color w:val="auto"/>
                <w:kern w:val="0"/>
                <w:sz w:val="21"/>
                <w:szCs w:val="21"/>
              </w:rPr>
              <w:t>/h。</w:t>
            </w:r>
          </w:p>
        </w:tc>
        <w:tc>
          <w:tcPr>
            <w:tcW w:w="356" w:type="pct"/>
            <w:vAlign w:val="center"/>
          </w:tcPr>
          <w:p w14:paraId="517F2945">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30</w:t>
            </w:r>
            <w:r>
              <w:rPr>
                <w:color w:val="auto"/>
                <w:kern w:val="44"/>
                <w:sz w:val="21"/>
                <w:szCs w:val="21"/>
              </w:rPr>
              <w:t>m，内径：0.</w:t>
            </w:r>
            <w:r>
              <w:rPr>
                <w:rFonts w:hint="eastAsia"/>
                <w:color w:val="auto"/>
                <w:kern w:val="44"/>
                <w:sz w:val="21"/>
                <w:szCs w:val="21"/>
              </w:rPr>
              <w:t>94</w:t>
            </w:r>
            <w:r>
              <w:rPr>
                <w:color w:val="auto"/>
                <w:kern w:val="44"/>
                <w:sz w:val="21"/>
                <w:szCs w:val="21"/>
              </w:rPr>
              <w:t>m，温度：</w:t>
            </w:r>
            <w:r>
              <w:rPr>
                <w:rFonts w:hint="eastAsia"/>
                <w:color w:val="auto"/>
                <w:kern w:val="44"/>
                <w:sz w:val="21"/>
                <w:szCs w:val="21"/>
              </w:rPr>
              <w:t>25</w:t>
            </w:r>
            <w:r>
              <w:rPr>
                <w:color w:val="auto"/>
                <w:kern w:val="44"/>
                <w:sz w:val="21"/>
                <w:szCs w:val="21"/>
              </w:rPr>
              <w:t>℃</w:t>
            </w:r>
          </w:p>
        </w:tc>
        <w:tc>
          <w:tcPr>
            <w:tcW w:w="236" w:type="pct"/>
            <w:vAlign w:val="center"/>
          </w:tcPr>
          <w:p w14:paraId="165F2F4F">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5CA6AB1C">
            <w:pPr>
              <w:tabs>
                <w:tab w:val="left" w:pos="2227"/>
              </w:tabs>
              <w:spacing w:line="240" w:lineRule="auto"/>
              <w:ind w:firstLine="0" w:firstLineChars="0"/>
              <w:jc w:val="center"/>
              <w:rPr>
                <w:color w:val="auto"/>
                <w:sz w:val="21"/>
                <w:szCs w:val="21"/>
              </w:rPr>
            </w:pPr>
            <w:r>
              <w:rPr>
                <w:rFonts w:hint="eastAsia"/>
                <w:color w:val="auto"/>
                <w:sz w:val="21"/>
                <w:szCs w:val="21"/>
              </w:rPr>
              <w:t>14.780</w:t>
            </w:r>
          </w:p>
        </w:tc>
        <w:tc>
          <w:tcPr>
            <w:tcW w:w="331" w:type="pct"/>
            <w:shd w:val="clear" w:color="auto" w:fill="auto"/>
            <w:vAlign w:val="center"/>
          </w:tcPr>
          <w:p w14:paraId="00FF40F8">
            <w:pPr>
              <w:tabs>
                <w:tab w:val="left" w:pos="2227"/>
              </w:tabs>
              <w:spacing w:line="240" w:lineRule="auto"/>
              <w:ind w:firstLine="0" w:firstLineChars="0"/>
              <w:jc w:val="center"/>
              <w:rPr>
                <w:color w:val="auto"/>
                <w:sz w:val="21"/>
                <w:szCs w:val="21"/>
              </w:rPr>
            </w:pPr>
            <w:r>
              <w:rPr>
                <w:rFonts w:hint="eastAsia"/>
                <w:color w:val="auto"/>
                <w:sz w:val="21"/>
                <w:szCs w:val="21"/>
              </w:rPr>
              <w:t>0.503</w:t>
            </w:r>
          </w:p>
        </w:tc>
        <w:tc>
          <w:tcPr>
            <w:tcW w:w="395" w:type="pct"/>
            <w:shd w:val="clear" w:color="auto" w:fill="auto"/>
            <w:vAlign w:val="center"/>
          </w:tcPr>
          <w:p w14:paraId="5B6C1DDE">
            <w:pPr>
              <w:tabs>
                <w:tab w:val="left" w:pos="2227"/>
              </w:tabs>
              <w:spacing w:line="240" w:lineRule="auto"/>
              <w:ind w:firstLine="0" w:firstLineChars="0"/>
              <w:jc w:val="center"/>
              <w:rPr>
                <w:color w:val="auto"/>
                <w:sz w:val="21"/>
                <w:szCs w:val="21"/>
              </w:rPr>
            </w:pPr>
            <w:r>
              <w:rPr>
                <w:rFonts w:hint="eastAsia"/>
                <w:color w:val="auto"/>
                <w:sz w:val="21"/>
                <w:szCs w:val="21"/>
              </w:rPr>
              <w:t>3.980</w:t>
            </w:r>
          </w:p>
        </w:tc>
        <w:tc>
          <w:tcPr>
            <w:tcW w:w="257" w:type="pct"/>
            <w:vAlign w:val="center"/>
          </w:tcPr>
          <w:p w14:paraId="5DC2BB31">
            <w:pPr>
              <w:tabs>
                <w:tab w:val="left" w:pos="2227"/>
              </w:tabs>
              <w:spacing w:line="240" w:lineRule="auto"/>
              <w:ind w:firstLine="0" w:firstLineChars="0"/>
              <w:jc w:val="center"/>
              <w:rPr>
                <w:color w:val="auto"/>
                <w:sz w:val="21"/>
                <w:szCs w:val="21"/>
              </w:rPr>
            </w:pPr>
            <w:r>
              <w:rPr>
                <w:rFonts w:hint="eastAsia"/>
                <w:color w:val="auto"/>
                <w:sz w:val="21"/>
                <w:szCs w:val="21"/>
              </w:rPr>
              <w:t>30</w:t>
            </w:r>
          </w:p>
        </w:tc>
        <w:tc>
          <w:tcPr>
            <w:tcW w:w="246" w:type="pct"/>
            <w:vAlign w:val="center"/>
          </w:tcPr>
          <w:p w14:paraId="12944189">
            <w:pPr>
              <w:spacing w:line="240" w:lineRule="auto"/>
              <w:ind w:firstLine="0" w:firstLineChars="0"/>
              <w:jc w:val="center"/>
              <w:rPr>
                <w:color w:val="auto"/>
                <w:kern w:val="44"/>
                <w:sz w:val="21"/>
                <w:szCs w:val="21"/>
              </w:rPr>
            </w:pPr>
            <w:r>
              <w:rPr>
                <w:color w:val="auto"/>
                <w:sz w:val="21"/>
                <w:szCs w:val="21"/>
              </w:rPr>
              <w:t>/</w:t>
            </w:r>
          </w:p>
        </w:tc>
        <w:tc>
          <w:tcPr>
            <w:tcW w:w="742" w:type="pct"/>
            <w:vAlign w:val="center"/>
          </w:tcPr>
          <w:p w14:paraId="5CA2EC79">
            <w:pPr>
              <w:spacing w:line="240" w:lineRule="auto"/>
              <w:ind w:firstLine="0" w:firstLineChars="0"/>
              <w:jc w:val="center"/>
              <w:rPr>
                <w:color w:val="auto"/>
                <w:kern w:val="44"/>
                <w:sz w:val="21"/>
                <w:szCs w:val="21"/>
              </w:rPr>
            </w:pPr>
            <w:r>
              <w:rPr>
                <w:color w:val="auto"/>
                <w:kern w:val="0"/>
                <w:sz w:val="21"/>
                <w:szCs w:val="21"/>
              </w:rPr>
              <w:t>《电镀污染物排放标准》（GB21900-2008）中标准限值</w:t>
            </w:r>
          </w:p>
        </w:tc>
      </w:tr>
      <w:tr w14:paraId="7E9E4D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08" w:hRule="atLeast"/>
          <w:jc w:val="center"/>
        </w:trPr>
        <w:tc>
          <w:tcPr>
            <w:tcW w:w="248" w:type="pct"/>
            <w:vMerge w:val="continue"/>
            <w:vAlign w:val="center"/>
          </w:tcPr>
          <w:p w14:paraId="2B9B87D2">
            <w:pPr>
              <w:spacing w:line="240" w:lineRule="auto"/>
              <w:ind w:firstLine="0" w:firstLineChars="0"/>
              <w:jc w:val="center"/>
              <w:rPr>
                <w:color w:val="auto"/>
                <w:kern w:val="44"/>
                <w:sz w:val="21"/>
                <w:szCs w:val="21"/>
              </w:rPr>
            </w:pPr>
          </w:p>
        </w:tc>
        <w:tc>
          <w:tcPr>
            <w:tcW w:w="293" w:type="pct"/>
            <w:gridSpan w:val="2"/>
            <w:vAlign w:val="center"/>
          </w:tcPr>
          <w:p w14:paraId="08B643A8">
            <w:pPr>
              <w:spacing w:line="240" w:lineRule="auto"/>
              <w:ind w:firstLine="0" w:firstLineChars="0"/>
              <w:jc w:val="center"/>
              <w:rPr>
                <w:color w:val="auto"/>
                <w:sz w:val="21"/>
                <w:szCs w:val="21"/>
              </w:rPr>
            </w:pPr>
            <w:r>
              <w:rPr>
                <w:rFonts w:hint="eastAsia"/>
                <w:color w:val="auto"/>
                <w:sz w:val="21"/>
                <w:szCs w:val="21"/>
              </w:rPr>
              <w:t>DA007</w:t>
            </w:r>
          </w:p>
        </w:tc>
        <w:tc>
          <w:tcPr>
            <w:tcW w:w="398" w:type="pct"/>
            <w:gridSpan w:val="2"/>
            <w:vAlign w:val="center"/>
          </w:tcPr>
          <w:p w14:paraId="534E38A1">
            <w:pPr>
              <w:spacing w:line="240" w:lineRule="auto"/>
              <w:ind w:firstLine="0" w:firstLineChars="0"/>
              <w:jc w:val="center"/>
              <w:rPr>
                <w:color w:val="auto"/>
                <w:sz w:val="21"/>
                <w:szCs w:val="21"/>
              </w:rPr>
            </w:pPr>
            <w:r>
              <w:rPr>
                <w:rFonts w:hint="eastAsia"/>
                <w:color w:val="auto"/>
                <w:kern w:val="0"/>
                <w:sz w:val="21"/>
                <w:szCs w:val="21"/>
              </w:rPr>
              <w:t>碱蚀（煲模）</w:t>
            </w:r>
            <w:r>
              <w:rPr>
                <w:color w:val="auto"/>
                <w:kern w:val="0"/>
                <w:sz w:val="21"/>
                <w:szCs w:val="21"/>
              </w:rPr>
              <w:t>废气</w:t>
            </w:r>
          </w:p>
        </w:tc>
        <w:tc>
          <w:tcPr>
            <w:tcW w:w="315" w:type="pct"/>
            <w:vAlign w:val="center"/>
          </w:tcPr>
          <w:p w14:paraId="7ADF65F5">
            <w:pPr>
              <w:spacing w:line="240" w:lineRule="auto"/>
              <w:ind w:firstLine="0" w:firstLineChars="0"/>
              <w:jc w:val="center"/>
              <w:rPr>
                <w:color w:val="auto"/>
                <w:sz w:val="21"/>
                <w:szCs w:val="21"/>
              </w:rPr>
            </w:pPr>
            <w:r>
              <w:rPr>
                <w:rFonts w:hint="eastAsia"/>
                <w:color w:val="auto"/>
                <w:sz w:val="21"/>
                <w:szCs w:val="21"/>
              </w:rPr>
              <w:t>碱雾</w:t>
            </w:r>
          </w:p>
        </w:tc>
        <w:tc>
          <w:tcPr>
            <w:tcW w:w="903" w:type="pct"/>
            <w:vAlign w:val="center"/>
          </w:tcPr>
          <w:p w14:paraId="6757504D">
            <w:pPr>
              <w:spacing w:line="240" w:lineRule="auto"/>
              <w:ind w:firstLine="0" w:firstLineChars="0"/>
              <w:jc w:val="center"/>
              <w:rPr>
                <w:color w:val="auto"/>
                <w:sz w:val="21"/>
                <w:szCs w:val="21"/>
              </w:rPr>
            </w:pPr>
            <w:r>
              <w:rPr>
                <w:rFonts w:hint="eastAsia"/>
                <w:color w:val="auto"/>
                <w:kern w:val="0"/>
                <w:sz w:val="21"/>
                <w:szCs w:val="21"/>
              </w:rPr>
              <w:t>二级水喷淋</w:t>
            </w:r>
            <w:r>
              <w:rPr>
                <w:color w:val="auto"/>
                <w:kern w:val="0"/>
                <w:sz w:val="21"/>
                <w:szCs w:val="21"/>
              </w:rPr>
              <w:t>装置处理</w:t>
            </w:r>
            <w:r>
              <w:rPr>
                <w:rFonts w:hint="eastAsia"/>
                <w:color w:val="auto"/>
                <w:kern w:val="0"/>
                <w:sz w:val="21"/>
                <w:szCs w:val="21"/>
              </w:rPr>
              <w:t>+</w:t>
            </w:r>
            <w:r>
              <w:rPr>
                <w:color w:val="auto"/>
                <w:kern w:val="0"/>
                <w:sz w:val="21"/>
                <w:szCs w:val="21"/>
              </w:rPr>
              <w:t>1根</w:t>
            </w:r>
            <w:r>
              <w:rPr>
                <w:rFonts w:hint="eastAsia"/>
                <w:color w:val="auto"/>
                <w:kern w:val="0"/>
                <w:sz w:val="21"/>
                <w:szCs w:val="21"/>
              </w:rPr>
              <w:t>30</w:t>
            </w:r>
            <w:r>
              <w:rPr>
                <w:color w:val="auto"/>
                <w:kern w:val="0"/>
                <w:sz w:val="21"/>
                <w:szCs w:val="21"/>
              </w:rPr>
              <w:t>m高排气筒排放，风量为1</w:t>
            </w:r>
            <w:r>
              <w:rPr>
                <w:rFonts w:hint="eastAsia"/>
                <w:color w:val="auto"/>
                <w:kern w:val="0"/>
                <w:sz w:val="21"/>
                <w:szCs w:val="21"/>
              </w:rPr>
              <w:t>5</w:t>
            </w:r>
            <w:r>
              <w:rPr>
                <w:color w:val="auto"/>
                <w:kern w:val="0"/>
                <w:sz w:val="21"/>
                <w:szCs w:val="21"/>
              </w:rPr>
              <w:t>000m</w:t>
            </w:r>
            <w:r>
              <w:rPr>
                <w:color w:val="auto"/>
                <w:kern w:val="0"/>
                <w:sz w:val="21"/>
                <w:szCs w:val="21"/>
                <w:vertAlign w:val="superscript"/>
              </w:rPr>
              <w:t>3</w:t>
            </w:r>
            <w:r>
              <w:rPr>
                <w:color w:val="auto"/>
                <w:kern w:val="0"/>
                <w:sz w:val="21"/>
                <w:szCs w:val="21"/>
              </w:rPr>
              <w:t>/h。</w:t>
            </w:r>
          </w:p>
        </w:tc>
        <w:tc>
          <w:tcPr>
            <w:tcW w:w="356" w:type="pct"/>
            <w:vAlign w:val="center"/>
          </w:tcPr>
          <w:p w14:paraId="1BB0942F">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30</w:t>
            </w:r>
            <w:r>
              <w:rPr>
                <w:color w:val="auto"/>
                <w:kern w:val="44"/>
                <w:sz w:val="21"/>
                <w:szCs w:val="21"/>
              </w:rPr>
              <w:t>m，内径：0.</w:t>
            </w:r>
            <w:r>
              <w:rPr>
                <w:rFonts w:hint="eastAsia"/>
                <w:color w:val="auto"/>
                <w:kern w:val="44"/>
                <w:sz w:val="21"/>
                <w:szCs w:val="21"/>
              </w:rPr>
              <w:t>60</w:t>
            </w:r>
            <w:r>
              <w:rPr>
                <w:color w:val="auto"/>
                <w:kern w:val="44"/>
                <w:sz w:val="21"/>
                <w:szCs w:val="21"/>
              </w:rPr>
              <w:t>m，温度：</w:t>
            </w:r>
            <w:r>
              <w:rPr>
                <w:rFonts w:hint="eastAsia"/>
                <w:color w:val="auto"/>
                <w:kern w:val="44"/>
                <w:sz w:val="21"/>
                <w:szCs w:val="21"/>
              </w:rPr>
              <w:t>25</w:t>
            </w:r>
            <w:r>
              <w:rPr>
                <w:color w:val="auto"/>
                <w:kern w:val="44"/>
                <w:sz w:val="21"/>
                <w:szCs w:val="21"/>
              </w:rPr>
              <w:t>℃</w:t>
            </w:r>
          </w:p>
        </w:tc>
        <w:tc>
          <w:tcPr>
            <w:tcW w:w="236" w:type="pct"/>
            <w:vAlign w:val="center"/>
          </w:tcPr>
          <w:p w14:paraId="60318C5D">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67E2BBF3">
            <w:pPr>
              <w:tabs>
                <w:tab w:val="left" w:pos="2227"/>
              </w:tabs>
              <w:spacing w:line="240" w:lineRule="auto"/>
              <w:ind w:firstLine="0" w:firstLineChars="0"/>
              <w:jc w:val="center"/>
              <w:rPr>
                <w:color w:val="auto"/>
                <w:sz w:val="21"/>
                <w:szCs w:val="21"/>
              </w:rPr>
            </w:pPr>
            <w:r>
              <w:rPr>
                <w:rFonts w:hint="eastAsia"/>
                <w:color w:val="auto"/>
                <w:sz w:val="21"/>
                <w:szCs w:val="21"/>
              </w:rPr>
              <w:t>5.970</w:t>
            </w:r>
          </w:p>
        </w:tc>
        <w:tc>
          <w:tcPr>
            <w:tcW w:w="331" w:type="pct"/>
            <w:shd w:val="clear" w:color="auto" w:fill="auto"/>
            <w:vAlign w:val="center"/>
          </w:tcPr>
          <w:p w14:paraId="00515643">
            <w:pPr>
              <w:tabs>
                <w:tab w:val="left" w:pos="2227"/>
              </w:tabs>
              <w:spacing w:line="240" w:lineRule="auto"/>
              <w:ind w:firstLine="0" w:firstLineChars="0"/>
              <w:jc w:val="center"/>
              <w:rPr>
                <w:color w:val="auto"/>
                <w:sz w:val="21"/>
                <w:szCs w:val="21"/>
              </w:rPr>
            </w:pPr>
            <w:r>
              <w:rPr>
                <w:rFonts w:hint="eastAsia"/>
                <w:color w:val="auto"/>
                <w:sz w:val="21"/>
                <w:szCs w:val="21"/>
              </w:rPr>
              <w:t>0.090</w:t>
            </w:r>
          </w:p>
        </w:tc>
        <w:tc>
          <w:tcPr>
            <w:tcW w:w="395" w:type="pct"/>
            <w:shd w:val="clear" w:color="auto" w:fill="auto"/>
            <w:vAlign w:val="center"/>
          </w:tcPr>
          <w:p w14:paraId="4B66FAEB">
            <w:pPr>
              <w:tabs>
                <w:tab w:val="left" w:pos="2227"/>
              </w:tabs>
              <w:spacing w:line="240" w:lineRule="auto"/>
              <w:ind w:firstLine="0" w:firstLineChars="0"/>
              <w:jc w:val="center"/>
              <w:rPr>
                <w:color w:val="auto"/>
                <w:sz w:val="21"/>
                <w:szCs w:val="21"/>
              </w:rPr>
            </w:pPr>
            <w:r>
              <w:rPr>
                <w:rFonts w:hint="eastAsia"/>
                <w:color w:val="auto"/>
                <w:sz w:val="21"/>
                <w:szCs w:val="21"/>
              </w:rPr>
              <w:t>0.709</w:t>
            </w:r>
          </w:p>
        </w:tc>
        <w:tc>
          <w:tcPr>
            <w:tcW w:w="257" w:type="pct"/>
            <w:vAlign w:val="center"/>
          </w:tcPr>
          <w:p w14:paraId="48B4D427">
            <w:pPr>
              <w:tabs>
                <w:tab w:val="left" w:pos="2227"/>
              </w:tabs>
              <w:spacing w:line="240" w:lineRule="auto"/>
              <w:ind w:firstLine="0" w:firstLineChars="0"/>
              <w:jc w:val="center"/>
              <w:rPr>
                <w:color w:val="auto"/>
                <w:sz w:val="21"/>
                <w:szCs w:val="21"/>
              </w:rPr>
            </w:pPr>
            <w:r>
              <w:rPr>
                <w:rFonts w:hint="eastAsia"/>
                <w:color w:val="auto"/>
                <w:sz w:val="21"/>
                <w:szCs w:val="21"/>
              </w:rPr>
              <w:t>/</w:t>
            </w:r>
          </w:p>
        </w:tc>
        <w:tc>
          <w:tcPr>
            <w:tcW w:w="246" w:type="pct"/>
            <w:vAlign w:val="center"/>
          </w:tcPr>
          <w:p w14:paraId="5C3BA8AB">
            <w:pPr>
              <w:tabs>
                <w:tab w:val="left" w:pos="2227"/>
              </w:tabs>
              <w:spacing w:line="240" w:lineRule="auto"/>
              <w:ind w:firstLine="0" w:firstLineChars="0"/>
              <w:jc w:val="center"/>
              <w:rPr>
                <w:color w:val="auto"/>
                <w:sz w:val="21"/>
                <w:szCs w:val="21"/>
              </w:rPr>
            </w:pPr>
            <w:r>
              <w:rPr>
                <w:rFonts w:hint="eastAsia"/>
                <w:color w:val="auto"/>
                <w:sz w:val="21"/>
                <w:szCs w:val="21"/>
              </w:rPr>
              <w:t>/</w:t>
            </w:r>
          </w:p>
        </w:tc>
        <w:tc>
          <w:tcPr>
            <w:tcW w:w="742" w:type="pct"/>
            <w:vAlign w:val="center"/>
          </w:tcPr>
          <w:p w14:paraId="77C2936A">
            <w:pPr>
              <w:spacing w:line="240" w:lineRule="auto"/>
              <w:ind w:firstLine="0" w:firstLineChars="0"/>
              <w:jc w:val="center"/>
              <w:rPr>
                <w:color w:val="auto"/>
                <w:kern w:val="44"/>
                <w:sz w:val="21"/>
                <w:szCs w:val="21"/>
              </w:rPr>
            </w:pPr>
            <w:r>
              <w:rPr>
                <w:rFonts w:hint="eastAsia"/>
                <w:color w:val="auto"/>
                <w:kern w:val="44"/>
                <w:sz w:val="21"/>
                <w:szCs w:val="21"/>
              </w:rPr>
              <w:t>/</w:t>
            </w:r>
          </w:p>
        </w:tc>
      </w:tr>
      <w:tr w14:paraId="0D1662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08" w:hRule="atLeast"/>
          <w:jc w:val="center"/>
        </w:trPr>
        <w:tc>
          <w:tcPr>
            <w:tcW w:w="248" w:type="pct"/>
            <w:vMerge w:val="continue"/>
            <w:vAlign w:val="center"/>
          </w:tcPr>
          <w:p w14:paraId="1A1F95A0">
            <w:pPr>
              <w:spacing w:line="240" w:lineRule="auto"/>
              <w:ind w:firstLine="0" w:firstLineChars="0"/>
              <w:jc w:val="center"/>
              <w:rPr>
                <w:color w:val="auto"/>
                <w:kern w:val="44"/>
                <w:sz w:val="21"/>
                <w:szCs w:val="21"/>
              </w:rPr>
            </w:pPr>
          </w:p>
        </w:tc>
        <w:tc>
          <w:tcPr>
            <w:tcW w:w="293" w:type="pct"/>
            <w:gridSpan w:val="2"/>
            <w:vAlign w:val="center"/>
          </w:tcPr>
          <w:p w14:paraId="48BBD498">
            <w:pPr>
              <w:spacing w:line="240" w:lineRule="auto"/>
              <w:ind w:firstLine="0" w:firstLineChars="0"/>
              <w:jc w:val="center"/>
              <w:rPr>
                <w:color w:val="auto"/>
                <w:sz w:val="21"/>
                <w:szCs w:val="21"/>
              </w:rPr>
            </w:pPr>
            <w:r>
              <w:rPr>
                <w:rFonts w:hint="eastAsia"/>
                <w:color w:val="auto"/>
                <w:sz w:val="21"/>
                <w:szCs w:val="21"/>
              </w:rPr>
              <w:t>DA008</w:t>
            </w:r>
          </w:p>
        </w:tc>
        <w:tc>
          <w:tcPr>
            <w:tcW w:w="398" w:type="pct"/>
            <w:gridSpan w:val="2"/>
            <w:vAlign w:val="center"/>
          </w:tcPr>
          <w:p w14:paraId="68D7B145">
            <w:pPr>
              <w:spacing w:line="240" w:lineRule="auto"/>
              <w:ind w:firstLine="0" w:firstLineChars="0"/>
              <w:jc w:val="center"/>
              <w:rPr>
                <w:color w:val="auto"/>
                <w:kern w:val="0"/>
                <w:sz w:val="21"/>
                <w:szCs w:val="21"/>
              </w:rPr>
            </w:pPr>
            <w:r>
              <w:rPr>
                <w:rFonts w:hint="eastAsia"/>
                <w:color w:val="auto"/>
                <w:sz w:val="21"/>
                <w:szCs w:val="21"/>
              </w:rPr>
              <w:t>模具氮化废气</w:t>
            </w:r>
          </w:p>
        </w:tc>
        <w:tc>
          <w:tcPr>
            <w:tcW w:w="315" w:type="pct"/>
            <w:vAlign w:val="center"/>
          </w:tcPr>
          <w:p w14:paraId="35B88D0B">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903" w:type="pct"/>
            <w:vAlign w:val="center"/>
          </w:tcPr>
          <w:p w14:paraId="0407A4D5">
            <w:pPr>
              <w:spacing w:line="240" w:lineRule="auto"/>
              <w:ind w:firstLine="0" w:firstLineChars="0"/>
              <w:jc w:val="center"/>
              <w:rPr>
                <w:color w:val="auto"/>
                <w:kern w:val="0"/>
                <w:sz w:val="21"/>
                <w:szCs w:val="21"/>
              </w:rPr>
            </w:pPr>
            <w:r>
              <w:rPr>
                <w:rFonts w:hint="eastAsia"/>
                <w:color w:val="auto"/>
                <w:sz w:val="21"/>
                <w:szCs w:val="21"/>
              </w:rPr>
              <w:t>尾气燃烧装置</w:t>
            </w:r>
            <w:r>
              <w:rPr>
                <w:color w:val="auto"/>
                <w:sz w:val="21"/>
                <w:szCs w:val="21"/>
              </w:rPr>
              <w:t>+</w:t>
            </w:r>
            <w:r>
              <w:rPr>
                <w:color w:val="auto"/>
                <w:kern w:val="0"/>
                <w:sz w:val="21"/>
                <w:szCs w:val="21"/>
              </w:rPr>
              <w:t>1根</w:t>
            </w:r>
            <w:r>
              <w:rPr>
                <w:color w:val="auto"/>
                <w:sz w:val="21"/>
                <w:szCs w:val="21"/>
              </w:rPr>
              <w:t>15m高排气筒</w:t>
            </w:r>
            <w:r>
              <w:rPr>
                <w:color w:val="auto"/>
                <w:kern w:val="0"/>
                <w:sz w:val="21"/>
                <w:szCs w:val="21"/>
              </w:rPr>
              <w:t>排放</w:t>
            </w:r>
            <w:r>
              <w:rPr>
                <w:rFonts w:hint="eastAsia"/>
                <w:color w:val="auto"/>
                <w:kern w:val="0"/>
                <w:sz w:val="21"/>
                <w:szCs w:val="21"/>
              </w:rPr>
              <w:t>，风量</w:t>
            </w:r>
          </w:p>
        </w:tc>
        <w:tc>
          <w:tcPr>
            <w:tcW w:w="356" w:type="pct"/>
            <w:vAlign w:val="center"/>
          </w:tcPr>
          <w:p w14:paraId="344B3DF2">
            <w:pPr>
              <w:spacing w:line="240" w:lineRule="auto"/>
              <w:ind w:firstLine="0" w:firstLineChars="0"/>
              <w:jc w:val="center"/>
              <w:rPr>
                <w:color w:val="auto"/>
                <w:kern w:val="44"/>
                <w:sz w:val="21"/>
                <w:szCs w:val="21"/>
              </w:rPr>
            </w:pPr>
            <w:r>
              <w:rPr>
                <w:color w:val="auto"/>
                <w:kern w:val="44"/>
                <w:sz w:val="21"/>
                <w:szCs w:val="21"/>
              </w:rPr>
              <w:t>排气筒高度：</w:t>
            </w:r>
            <w:r>
              <w:rPr>
                <w:rFonts w:hint="eastAsia"/>
                <w:color w:val="auto"/>
                <w:kern w:val="44"/>
                <w:sz w:val="21"/>
                <w:szCs w:val="21"/>
              </w:rPr>
              <w:t>15</w:t>
            </w:r>
            <w:r>
              <w:rPr>
                <w:color w:val="auto"/>
                <w:kern w:val="44"/>
                <w:sz w:val="21"/>
                <w:szCs w:val="21"/>
              </w:rPr>
              <w:t>m，内径：</w:t>
            </w:r>
            <w:r>
              <w:rPr>
                <w:rFonts w:hint="eastAsia"/>
                <w:color w:val="auto"/>
                <w:kern w:val="44"/>
                <w:sz w:val="21"/>
                <w:szCs w:val="21"/>
              </w:rPr>
              <w:t>0.60</w:t>
            </w:r>
            <w:r>
              <w:rPr>
                <w:color w:val="auto"/>
                <w:kern w:val="44"/>
                <w:sz w:val="21"/>
                <w:szCs w:val="21"/>
              </w:rPr>
              <w:t>m，温度：</w:t>
            </w:r>
            <w:r>
              <w:rPr>
                <w:rFonts w:hint="eastAsia"/>
                <w:color w:val="auto"/>
                <w:kern w:val="44"/>
                <w:sz w:val="21"/>
                <w:szCs w:val="21"/>
              </w:rPr>
              <w:t>25</w:t>
            </w:r>
            <w:r>
              <w:rPr>
                <w:color w:val="auto"/>
                <w:kern w:val="44"/>
                <w:sz w:val="21"/>
                <w:szCs w:val="21"/>
              </w:rPr>
              <w:t>℃</w:t>
            </w:r>
          </w:p>
        </w:tc>
        <w:tc>
          <w:tcPr>
            <w:tcW w:w="236" w:type="pct"/>
            <w:vAlign w:val="center"/>
          </w:tcPr>
          <w:p w14:paraId="45943A17">
            <w:pPr>
              <w:spacing w:line="240" w:lineRule="auto"/>
              <w:ind w:firstLine="0" w:firstLineChars="0"/>
              <w:jc w:val="center"/>
              <w:rPr>
                <w:color w:val="auto"/>
                <w:kern w:val="44"/>
                <w:sz w:val="21"/>
                <w:szCs w:val="21"/>
                <w:lang w:val="en-AU"/>
              </w:rPr>
            </w:pPr>
            <w:r>
              <w:rPr>
                <w:color w:val="auto"/>
                <w:kern w:val="44"/>
                <w:sz w:val="21"/>
                <w:szCs w:val="21"/>
                <w:lang w:val="en-AU"/>
              </w:rPr>
              <w:t>间歇</w:t>
            </w:r>
          </w:p>
        </w:tc>
        <w:tc>
          <w:tcPr>
            <w:tcW w:w="276" w:type="pct"/>
            <w:shd w:val="clear" w:color="auto" w:fill="auto"/>
            <w:vAlign w:val="center"/>
          </w:tcPr>
          <w:p w14:paraId="628561A4">
            <w:pPr>
              <w:tabs>
                <w:tab w:val="left" w:pos="2227"/>
              </w:tabs>
              <w:spacing w:line="240" w:lineRule="auto"/>
              <w:ind w:firstLine="0" w:firstLineChars="0"/>
              <w:jc w:val="center"/>
              <w:rPr>
                <w:color w:val="auto"/>
                <w:sz w:val="21"/>
                <w:szCs w:val="21"/>
              </w:rPr>
            </w:pPr>
            <w:r>
              <w:rPr>
                <w:rFonts w:hint="eastAsia"/>
                <w:color w:val="auto"/>
                <w:sz w:val="21"/>
                <w:szCs w:val="21"/>
              </w:rPr>
              <w:t>4.478</w:t>
            </w:r>
          </w:p>
        </w:tc>
        <w:tc>
          <w:tcPr>
            <w:tcW w:w="331" w:type="pct"/>
            <w:shd w:val="clear" w:color="auto" w:fill="auto"/>
            <w:vAlign w:val="center"/>
          </w:tcPr>
          <w:p w14:paraId="31FFAFE3">
            <w:pPr>
              <w:tabs>
                <w:tab w:val="left" w:pos="2227"/>
              </w:tabs>
              <w:spacing w:line="240" w:lineRule="auto"/>
              <w:ind w:firstLine="0" w:firstLineChars="0"/>
              <w:jc w:val="center"/>
              <w:rPr>
                <w:color w:val="auto"/>
                <w:sz w:val="21"/>
                <w:szCs w:val="21"/>
              </w:rPr>
            </w:pPr>
            <w:r>
              <w:rPr>
                <w:rFonts w:hint="eastAsia"/>
                <w:color w:val="auto"/>
                <w:sz w:val="21"/>
                <w:szCs w:val="21"/>
              </w:rPr>
              <w:t>0.067</w:t>
            </w:r>
          </w:p>
        </w:tc>
        <w:tc>
          <w:tcPr>
            <w:tcW w:w="395" w:type="pct"/>
            <w:shd w:val="clear" w:color="auto" w:fill="auto"/>
            <w:vAlign w:val="center"/>
          </w:tcPr>
          <w:p w14:paraId="390B731A">
            <w:pPr>
              <w:tabs>
                <w:tab w:val="left" w:pos="2227"/>
              </w:tabs>
              <w:spacing w:line="240" w:lineRule="auto"/>
              <w:ind w:firstLine="0" w:firstLineChars="0"/>
              <w:jc w:val="center"/>
              <w:rPr>
                <w:color w:val="auto"/>
                <w:sz w:val="21"/>
                <w:szCs w:val="21"/>
              </w:rPr>
            </w:pPr>
            <w:r>
              <w:rPr>
                <w:rFonts w:hint="eastAsia"/>
                <w:color w:val="auto"/>
                <w:sz w:val="21"/>
                <w:szCs w:val="21"/>
              </w:rPr>
              <w:t>0.532</w:t>
            </w:r>
          </w:p>
        </w:tc>
        <w:tc>
          <w:tcPr>
            <w:tcW w:w="257" w:type="pct"/>
            <w:vAlign w:val="center"/>
          </w:tcPr>
          <w:p w14:paraId="074B8BE8">
            <w:pPr>
              <w:tabs>
                <w:tab w:val="left" w:pos="2227"/>
              </w:tabs>
              <w:spacing w:line="240" w:lineRule="auto"/>
              <w:ind w:firstLine="0" w:firstLineChars="0"/>
              <w:jc w:val="center"/>
              <w:rPr>
                <w:color w:val="auto"/>
                <w:sz w:val="21"/>
                <w:szCs w:val="21"/>
              </w:rPr>
            </w:pPr>
            <w:r>
              <w:rPr>
                <w:rFonts w:hint="eastAsia"/>
                <w:color w:val="auto"/>
                <w:sz w:val="21"/>
                <w:szCs w:val="21"/>
              </w:rPr>
              <w:t>/</w:t>
            </w:r>
          </w:p>
        </w:tc>
        <w:tc>
          <w:tcPr>
            <w:tcW w:w="246" w:type="pct"/>
            <w:vAlign w:val="center"/>
          </w:tcPr>
          <w:p w14:paraId="7843067D">
            <w:pPr>
              <w:tabs>
                <w:tab w:val="left" w:pos="2227"/>
              </w:tabs>
              <w:spacing w:line="240" w:lineRule="auto"/>
              <w:ind w:firstLine="0" w:firstLineChars="0"/>
              <w:jc w:val="center"/>
              <w:rPr>
                <w:color w:val="auto"/>
                <w:sz w:val="21"/>
                <w:szCs w:val="21"/>
              </w:rPr>
            </w:pPr>
            <w:r>
              <w:rPr>
                <w:rFonts w:hint="eastAsia"/>
                <w:color w:val="auto"/>
                <w:sz w:val="21"/>
                <w:szCs w:val="21"/>
              </w:rPr>
              <w:t>20</w:t>
            </w:r>
          </w:p>
        </w:tc>
        <w:tc>
          <w:tcPr>
            <w:tcW w:w="742" w:type="pct"/>
            <w:vAlign w:val="center"/>
          </w:tcPr>
          <w:p w14:paraId="3E5CE6FE">
            <w:pPr>
              <w:spacing w:line="240" w:lineRule="auto"/>
              <w:ind w:firstLine="0" w:firstLineChars="0"/>
              <w:jc w:val="center"/>
              <w:rPr>
                <w:color w:val="auto"/>
                <w:sz w:val="21"/>
                <w:szCs w:val="21"/>
              </w:rPr>
            </w:pPr>
            <w:r>
              <w:rPr>
                <w:color w:val="auto"/>
                <w:sz w:val="21"/>
                <w:szCs w:val="21"/>
              </w:rPr>
              <w:t>《恶臭污染物排放标准》（GB14554-93）表2中标准限值</w:t>
            </w:r>
          </w:p>
        </w:tc>
      </w:tr>
      <w:tr w14:paraId="3319A6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7E2EF1F0">
            <w:pPr>
              <w:spacing w:line="240" w:lineRule="auto"/>
              <w:ind w:firstLine="0" w:firstLineChars="0"/>
              <w:jc w:val="center"/>
              <w:rPr>
                <w:color w:val="auto"/>
                <w:kern w:val="44"/>
                <w:sz w:val="21"/>
                <w:szCs w:val="21"/>
              </w:rPr>
            </w:pPr>
          </w:p>
        </w:tc>
        <w:tc>
          <w:tcPr>
            <w:tcW w:w="293" w:type="pct"/>
            <w:gridSpan w:val="2"/>
            <w:vMerge w:val="restart"/>
            <w:vAlign w:val="center"/>
          </w:tcPr>
          <w:p w14:paraId="6A0488E2">
            <w:pPr>
              <w:spacing w:line="240" w:lineRule="auto"/>
              <w:ind w:firstLine="0" w:firstLineChars="0"/>
              <w:jc w:val="center"/>
              <w:rPr>
                <w:color w:val="auto"/>
                <w:sz w:val="21"/>
                <w:szCs w:val="21"/>
              </w:rPr>
            </w:pPr>
            <w:r>
              <w:rPr>
                <w:color w:val="auto"/>
                <w:sz w:val="21"/>
                <w:szCs w:val="21"/>
              </w:rPr>
              <w:t>无组织废气</w:t>
            </w:r>
          </w:p>
        </w:tc>
        <w:tc>
          <w:tcPr>
            <w:tcW w:w="398" w:type="pct"/>
            <w:gridSpan w:val="2"/>
            <w:vAlign w:val="center"/>
          </w:tcPr>
          <w:p w14:paraId="4B043A51">
            <w:pPr>
              <w:spacing w:line="240" w:lineRule="auto"/>
              <w:ind w:firstLine="0" w:firstLineChars="0"/>
              <w:jc w:val="center"/>
              <w:rPr>
                <w:color w:val="auto"/>
                <w:sz w:val="21"/>
                <w:szCs w:val="21"/>
              </w:rPr>
            </w:pPr>
            <w:r>
              <w:rPr>
                <w:rFonts w:hint="eastAsia"/>
                <w:color w:val="auto"/>
                <w:sz w:val="21"/>
                <w:szCs w:val="21"/>
              </w:rPr>
              <w:t>未被收集的喷砂粉尘</w:t>
            </w:r>
          </w:p>
        </w:tc>
        <w:tc>
          <w:tcPr>
            <w:tcW w:w="315" w:type="pct"/>
            <w:vAlign w:val="center"/>
          </w:tcPr>
          <w:p w14:paraId="7C3E04B2">
            <w:pPr>
              <w:spacing w:line="240" w:lineRule="auto"/>
              <w:ind w:firstLine="0" w:firstLineChars="0"/>
              <w:jc w:val="center"/>
              <w:rPr>
                <w:color w:val="auto"/>
                <w:sz w:val="21"/>
                <w:szCs w:val="21"/>
              </w:rPr>
            </w:pPr>
            <w:r>
              <w:rPr>
                <w:rFonts w:hint="eastAsia"/>
                <w:color w:val="auto"/>
                <w:sz w:val="21"/>
                <w:szCs w:val="21"/>
              </w:rPr>
              <w:t>颗粒物</w:t>
            </w:r>
          </w:p>
        </w:tc>
        <w:tc>
          <w:tcPr>
            <w:tcW w:w="903" w:type="pct"/>
            <w:vAlign w:val="center"/>
          </w:tcPr>
          <w:p w14:paraId="7247279B">
            <w:pPr>
              <w:spacing w:line="240" w:lineRule="auto"/>
              <w:ind w:firstLine="0" w:firstLineChars="0"/>
              <w:jc w:val="center"/>
              <w:rPr>
                <w:color w:val="auto"/>
                <w:sz w:val="21"/>
                <w:szCs w:val="21"/>
              </w:rPr>
            </w:pPr>
            <w:r>
              <w:rPr>
                <w:color w:val="auto"/>
                <w:sz w:val="21"/>
                <w:szCs w:val="21"/>
              </w:rPr>
              <w:t>加强车间自然通风及机械排风</w:t>
            </w:r>
          </w:p>
        </w:tc>
        <w:tc>
          <w:tcPr>
            <w:tcW w:w="356" w:type="pct"/>
            <w:vAlign w:val="center"/>
          </w:tcPr>
          <w:p w14:paraId="2EC76AC2">
            <w:pPr>
              <w:spacing w:line="240" w:lineRule="auto"/>
              <w:ind w:firstLine="0" w:firstLineChars="0"/>
              <w:jc w:val="center"/>
              <w:rPr>
                <w:color w:val="auto"/>
                <w:kern w:val="44"/>
                <w:sz w:val="21"/>
                <w:szCs w:val="21"/>
              </w:rPr>
            </w:pPr>
            <w:r>
              <w:rPr>
                <w:color w:val="auto"/>
                <w:kern w:val="44"/>
                <w:sz w:val="21"/>
                <w:szCs w:val="21"/>
              </w:rPr>
              <w:t>/</w:t>
            </w:r>
          </w:p>
        </w:tc>
        <w:tc>
          <w:tcPr>
            <w:tcW w:w="236" w:type="pct"/>
            <w:vAlign w:val="center"/>
          </w:tcPr>
          <w:p w14:paraId="33575B49">
            <w:pPr>
              <w:spacing w:line="240" w:lineRule="auto"/>
              <w:ind w:firstLine="0" w:firstLineChars="0"/>
              <w:jc w:val="center"/>
              <w:rPr>
                <w:color w:val="auto"/>
                <w:kern w:val="44"/>
                <w:sz w:val="21"/>
                <w:szCs w:val="21"/>
                <w:lang w:val="en-AU"/>
              </w:rPr>
            </w:pPr>
            <w:r>
              <w:rPr>
                <w:color w:val="auto"/>
                <w:kern w:val="44"/>
                <w:sz w:val="21"/>
                <w:szCs w:val="21"/>
                <w:lang w:val="en-AU"/>
              </w:rPr>
              <w:t>连续</w:t>
            </w:r>
          </w:p>
        </w:tc>
        <w:tc>
          <w:tcPr>
            <w:tcW w:w="276" w:type="pct"/>
            <w:vAlign w:val="center"/>
          </w:tcPr>
          <w:p w14:paraId="3955CBF2">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331" w:type="pct"/>
            <w:vAlign w:val="center"/>
          </w:tcPr>
          <w:p w14:paraId="2B7DE73F">
            <w:pPr>
              <w:tabs>
                <w:tab w:val="left" w:pos="2227"/>
              </w:tabs>
              <w:spacing w:line="240" w:lineRule="auto"/>
              <w:ind w:firstLine="0" w:firstLineChars="0"/>
              <w:jc w:val="center"/>
              <w:rPr>
                <w:color w:val="auto"/>
                <w:kern w:val="0"/>
                <w:sz w:val="21"/>
                <w:szCs w:val="21"/>
              </w:rPr>
            </w:pPr>
            <w:r>
              <w:rPr>
                <w:rFonts w:hint="eastAsia"/>
                <w:color w:val="auto"/>
                <w:kern w:val="0"/>
                <w:sz w:val="21"/>
                <w:szCs w:val="21"/>
              </w:rPr>
              <w:t>0.316</w:t>
            </w:r>
          </w:p>
        </w:tc>
        <w:tc>
          <w:tcPr>
            <w:tcW w:w="395" w:type="pct"/>
            <w:vAlign w:val="center"/>
          </w:tcPr>
          <w:p w14:paraId="181D17AF">
            <w:pPr>
              <w:tabs>
                <w:tab w:val="left" w:pos="2227"/>
              </w:tabs>
              <w:spacing w:line="240" w:lineRule="auto"/>
              <w:ind w:firstLine="0" w:firstLineChars="0"/>
              <w:jc w:val="center"/>
              <w:rPr>
                <w:color w:val="auto"/>
                <w:sz w:val="21"/>
                <w:szCs w:val="21"/>
              </w:rPr>
            </w:pPr>
            <w:r>
              <w:rPr>
                <w:rFonts w:hint="eastAsia"/>
                <w:color w:val="auto"/>
                <w:sz w:val="21"/>
                <w:szCs w:val="21"/>
              </w:rPr>
              <w:t>2.499</w:t>
            </w:r>
          </w:p>
        </w:tc>
        <w:tc>
          <w:tcPr>
            <w:tcW w:w="257" w:type="pct"/>
            <w:vAlign w:val="center"/>
          </w:tcPr>
          <w:p w14:paraId="2F22461A">
            <w:pPr>
              <w:spacing w:line="240" w:lineRule="auto"/>
              <w:ind w:firstLine="0" w:firstLineChars="0"/>
              <w:jc w:val="center"/>
              <w:rPr>
                <w:color w:val="auto"/>
                <w:kern w:val="44"/>
                <w:sz w:val="21"/>
                <w:szCs w:val="21"/>
              </w:rPr>
            </w:pPr>
            <w:r>
              <w:rPr>
                <w:rFonts w:hint="eastAsia"/>
                <w:color w:val="auto"/>
                <w:kern w:val="44"/>
                <w:sz w:val="21"/>
                <w:szCs w:val="21"/>
              </w:rPr>
              <w:t>0.5</w:t>
            </w:r>
          </w:p>
        </w:tc>
        <w:tc>
          <w:tcPr>
            <w:tcW w:w="246" w:type="pct"/>
            <w:vAlign w:val="center"/>
          </w:tcPr>
          <w:p w14:paraId="50E82FC2">
            <w:pPr>
              <w:spacing w:line="240" w:lineRule="auto"/>
              <w:ind w:firstLine="0" w:firstLineChars="0"/>
              <w:jc w:val="center"/>
              <w:rPr>
                <w:color w:val="auto"/>
                <w:kern w:val="44"/>
                <w:sz w:val="21"/>
                <w:szCs w:val="21"/>
              </w:rPr>
            </w:pPr>
            <w:r>
              <w:rPr>
                <w:rFonts w:hint="eastAsia"/>
                <w:color w:val="auto"/>
                <w:kern w:val="44"/>
                <w:sz w:val="21"/>
                <w:szCs w:val="21"/>
              </w:rPr>
              <w:t>/</w:t>
            </w:r>
          </w:p>
        </w:tc>
        <w:tc>
          <w:tcPr>
            <w:tcW w:w="742" w:type="pct"/>
            <w:vMerge w:val="restart"/>
            <w:vAlign w:val="center"/>
          </w:tcPr>
          <w:p w14:paraId="767CF6EC">
            <w:pPr>
              <w:spacing w:line="240" w:lineRule="auto"/>
              <w:ind w:firstLine="0" w:firstLineChars="0"/>
              <w:jc w:val="center"/>
              <w:rPr>
                <w:color w:val="auto"/>
                <w:kern w:val="44"/>
                <w:sz w:val="21"/>
                <w:szCs w:val="21"/>
              </w:rPr>
            </w:pPr>
            <w:r>
              <w:rPr>
                <w:color w:val="auto"/>
                <w:sz w:val="21"/>
                <w:szCs w:val="21"/>
              </w:rPr>
              <w:t>执行江苏省地方标准《大气污染物综合排放标准》（DB32/4041-2021）表3中标准限值</w:t>
            </w:r>
          </w:p>
        </w:tc>
      </w:tr>
      <w:tr w14:paraId="71938B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7A187CDD">
            <w:pPr>
              <w:spacing w:line="240" w:lineRule="auto"/>
              <w:ind w:firstLine="0" w:firstLineChars="0"/>
              <w:jc w:val="center"/>
              <w:rPr>
                <w:color w:val="auto"/>
                <w:kern w:val="44"/>
                <w:sz w:val="21"/>
                <w:szCs w:val="21"/>
              </w:rPr>
            </w:pPr>
          </w:p>
        </w:tc>
        <w:tc>
          <w:tcPr>
            <w:tcW w:w="293" w:type="pct"/>
            <w:gridSpan w:val="2"/>
            <w:vMerge w:val="continue"/>
            <w:vAlign w:val="center"/>
          </w:tcPr>
          <w:p w14:paraId="187B2937">
            <w:pPr>
              <w:spacing w:line="240" w:lineRule="auto"/>
              <w:ind w:firstLine="0" w:firstLineChars="0"/>
              <w:jc w:val="center"/>
              <w:rPr>
                <w:color w:val="auto"/>
                <w:sz w:val="21"/>
                <w:szCs w:val="21"/>
              </w:rPr>
            </w:pPr>
          </w:p>
        </w:tc>
        <w:tc>
          <w:tcPr>
            <w:tcW w:w="398" w:type="pct"/>
            <w:gridSpan w:val="2"/>
            <w:vAlign w:val="center"/>
          </w:tcPr>
          <w:p w14:paraId="47E8F16E">
            <w:pPr>
              <w:spacing w:line="240" w:lineRule="auto"/>
              <w:ind w:firstLine="0" w:firstLineChars="0"/>
              <w:jc w:val="center"/>
              <w:rPr>
                <w:color w:val="auto"/>
                <w:sz w:val="21"/>
                <w:szCs w:val="21"/>
              </w:rPr>
            </w:pPr>
            <w:r>
              <w:rPr>
                <w:rFonts w:hint="eastAsia"/>
                <w:color w:val="auto"/>
                <w:sz w:val="21"/>
                <w:szCs w:val="21"/>
              </w:rPr>
              <w:t>深加工废气</w:t>
            </w:r>
          </w:p>
        </w:tc>
        <w:tc>
          <w:tcPr>
            <w:tcW w:w="315" w:type="pct"/>
            <w:vAlign w:val="center"/>
          </w:tcPr>
          <w:p w14:paraId="4E82E99E">
            <w:pPr>
              <w:spacing w:line="240" w:lineRule="auto"/>
              <w:ind w:firstLine="0" w:firstLineChars="0"/>
              <w:jc w:val="center"/>
              <w:rPr>
                <w:color w:val="auto"/>
                <w:sz w:val="21"/>
                <w:szCs w:val="21"/>
              </w:rPr>
            </w:pPr>
            <w:r>
              <w:rPr>
                <w:rFonts w:hint="eastAsia"/>
                <w:color w:val="auto"/>
                <w:sz w:val="21"/>
                <w:szCs w:val="21"/>
              </w:rPr>
              <w:t>颗粒物</w:t>
            </w:r>
          </w:p>
        </w:tc>
        <w:tc>
          <w:tcPr>
            <w:tcW w:w="903" w:type="pct"/>
            <w:vAlign w:val="center"/>
          </w:tcPr>
          <w:p w14:paraId="0F493861">
            <w:pPr>
              <w:spacing w:line="240" w:lineRule="auto"/>
              <w:ind w:firstLine="0" w:firstLineChars="0"/>
              <w:jc w:val="center"/>
              <w:rPr>
                <w:color w:val="auto"/>
                <w:sz w:val="21"/>
                <w:szCs w:val="21"/>
              </w:rPr>
            </w:pPr>
            <w:r>
              <w:rPr>
                <w:rFonts w:hint="eastAsia"/>
                <w:color w:val="auto"/>
                <w:sz w:val="21"/>
                <w:szCs w:val="21"/>
              </w:rPr>
              <w:t>设备自带布袋除尘</w:t>
            </w:r>
          </w:p>
        </w:tc>
        <w:tc>
          <w:tcPr>
            <w:tcW w:w="356" w:type="pct"/>
            <w:vAlign w:val="center"/>
          </w:tcPr>
          <w:p w14:paraId="07049CE3">
            <w:pPr>
              <w:spacing w:line="240" w:lineRule="auto"/>
              <w:ind w:firstLine="0" w:firstLineChars="0"/>
              <w:jc w:val="center"/>
              <w:rPr>
                <w:color w:val="auto"/>
                <w:kern w:val="44"/>
                <w:sz w:val="21"/>
                <w:szCs w:val="21"/>
              </w:rPr>
            </w:pPr>
            <w:r>
              <w:rPr>
                <w:rFonts w:hint="eastAsia"/>
                <w:color w:val="auto"/>
                <w:kern w:val="44"/>
                <w:sz w:val="21"/>
                <w:szCs w:val="21"/>
              </w:rPr>
              <w:t>/</w:t>
            </w:r>
          </w:p>
        </w:tc>
        <w:tc>
          <w:tcPr>
            <w:tcW w:w="236" w:type="pct"/>
            <w:shd w:val="clear" w:color="auto" w:fill="auto"/>
            <w:vAlign w:val="center"/>
          </w:tcPr>
          <w:p w14:paraId="5703540E">
            <w:pPr>
              <w:spacing w:line="240" w:lineRule="auto"/>
              <w:ind w:firstLine="0" w:firstLineChars="0"/>
              <w:jc w:val="center"/>
              <w:rPr>
                <w:color w:val="auto"/>
                <w:kern w:val="44"/>
                <w:sz w:val="21"/>
                <w:szCs w:val="21"/>
                <w:lang w:val="en-AU"/>
              </w:rPr>
            </w:pPr>
            <w:r>
              <w:rPr>
                <w:color w:val="auto"/>
                <w:kern w:val="44"/>
                <w:sz w:val="21"/>
                <w:szCs w:val="21"/>
                <w:lang w:val="en-AU"/>
              </w:rPr>
              <w:t>连续</w:t>
            </w:r>
          </w:p>
        </w:tc>
        <w:tc>
          <w:tcPr>
            <w:tcW w:w="276" w:type="pct"/>
            <w:shd w:val="clear" w:color="auto" w:fill="auto"/>
            <w:vAlign w:val="center"/>
          </w:tcPr>
          <w:p w14:paraId="35BC81A4">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331" w:type="pct"/>
            <w:vAlign w:val="center"/>
          </w:tcPr>
          <w:p w14:paraId="1BC64147">
            <w:pPr>
              <w:tabs>
                <w:tab w:val="left" w:pos="2227"/>
              </w:tabs>
              <w:spacing w:line="240" w:lineRule="auto"/>
              <w:ind w:firstLine="0" w:firstLineChars="0"/>
              <w:jc w:val="center"/>
              <w:rPr>
                <w:color w:val="auto"/>
                <w:sz w:val="21"/>
                <w:szCs w:val="21"/>
              </w:rPr>
            </w:pPr>
            <w:r>
              <w:rPr>
                <w:rFonts w:hint="eastAsia"/>
                <w:color w:val="auto"/>
                <w:sz w:val="21"/>
                <w:szCs w:val="21"/>
              </w:rPr>
              <w:t>0.102</w:t>
            </w:r>
          </w:p>
        </w:tc>
        <w:tc>
          <w:tcPr>
            <w:tcW w:w="395" w:type="pct"/>
            <w:vAlign w:val="center"/>
          </w:tcPr>
          <w:p w14:paraId="1FC30C53">
            <w:pPr>
              <w:tabs>
                <w:tab w:val="left" w:pos="2227"/>
              </w:tabs>
              <w:spacing w:line="240" w:lineRule="auto"/>
              <w:ind w:firstLine="0" w:firstLineChars="0"/>
              <w:jc w:val="center"/>
              <w:rPr>
                <w:color w:val="auto"/>
                <w:sz w:val="21"/>
                <w:szCs w:val="21"/>
              </w:rPr>
            </w:pPr>
            <w:r>
              <w:rPr>
                <w:rFonts w:hint="eastAsia"/>
                <w:color w:val="auto"/>
                <w:sz w:val="21"/>
                <w:szCs w:val="21"/>
              </w:rPr>
              <w:t>0.866</w:t>
            </w:r>
          </w:p>
        </w:tc>
        <w:tc>
          <w:tcPr>
            <w:tcW w:w="257" w:type="pct"/>
            <w:shd w:val="clear" w:color="auto" w:fill="auto"/>
            <w:vAlign w:val="center"/>
          </w:tcPr>
          <w:p w14:paraId="18BC833A">
            <w:pPr>
              <w:spacing w:line="240" w:lineRule="auto"/>
              <w:ind w:firstLine="0" w:firstLineChars="0"/>
              <w:jc w:val="center"/>
              <w:rPr>
                <w:color w:val="auto"/>
                <w:kern w:val="44"/>
                <w:sz w:val="21"/>
                <w:szCs w:val="21"/>
              </w:rPr>
            </w:pPr>
            <w:r>
              <w:rPr>
                <w:rFonts w:hint="eastAsia"/>
                <w:color w:val="auto"/>
                <w:kern w:val="44"/>
                <w:sz w:val="21"/>
                <w:szCs w:val="21"/>
              </w:rPr>
              <w:t>0.5</w:t>
            </w:r>
          </w:p>
        </w:tc>
        <w:tc>
          <w:tcPr>
            <w:tcW w:w="246" w:type="pct"/>
            <w:shd w:val="clear" w:color="auto" w:fill="auto"/>
            <w:vAlign w:val="center"/>
          </w:tcPr>
          <w:p w14:paraId="13030EF5">
            <w:pPr>
              <w:spacing w:line="240" w:lineRule="auto"/>
              <w:ind w:firstLine="0" w:firstLineChars="0"/>
              <w:jc w:val="center"/>
              <w:rPr>
                <w:color w:val="auto"/>
                <w:kern w:val="44"/>
                <w:sz w:val="21"/>
                <w:szCs w:val="21"/>
              </w:rPr>
            </w:pPr>
            <w:r>
              <w:rPr>
                <w:rFonts w:hint="eastAsia"/>
                <w:color w:val="auto"/>
                <w:kern w:val="44"/>
                <w:sz w:val="21"/>
                <w:szCs w:val="21"/>
              </w:rPr>
              <w:t>/</w:t>
            </w:r>
          </w:p>
        </w:tc>
        <w:tc>
          <w:tcPr>
            <w:tcW w:w="742" w:type="pct"/>
            <w:vMerge w:val="continue"/>
            <w:vAlign w:val="center"/>
          </w:tcPr>
          <w:p w14:paraId="77617A08">
            <w:pPr>
              <w:spacing w:line="240" w:lineRule="auto"/>
              <w:ind w:firstLine="0" w:firstLineChars="0"/>
              <w:jc w:val="center"/>
              <w:rPr>
                <w:color w:val="auto"/>
                <w:kern w:val="44"/>
                <w:sz w:val="21"/>
                <w:szCs w:val="21"/>
              </w:rPr>
            </w:pPr>
          </w:p>
        </w:tc>
      </w:tr>
      <w:tr w14:paraId="4C4B81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28" w:hRule="atLeast"/>
          <w:jc w:val="center"/>
        </w:trPr>
        <w:tc>
          <w:tcPr>
            <w:tcW w:w="248" w:type="pct"/>
            <w:vMerge w:val="continue"/>
            <w:vAlign w:val="center"/>
          </w:tcPr>
          <w:p w14:paraId="445AA9DA">
            <w:pPr>
              <w:spacing w:line="240" w:lineRule="auto"/>
              <w:ind w:firstLine="0" w:firstLineChars="0"/>
              <w:jc w:val="center"/>
              <w:rPr>
                <w:color w:val="auto"/>
                <w:kern w:val="44"/>
                <w:sz w:val="21"/>
                <w:szCs w:val="21"/>
              </w:rPr>
            </w:pPr>
          </w:p>
        </w:tc>
        <w:tc>
          <w:tcPr>
            <w:tcW w:w="293" w:type="pct"/>
            <w:gridSpan w:val="2"/>
            <w:vMerge w:val="continue"/>
            <w:vAlign w:val="center"/>
          </w:tcPr>
          <w:p w14:paraId="6532E4A3">
            <w:pPr>
              <w:spacing w:line="240" w:lineRule="auto"/>
              <w:ind w:firstLine="0" w:firstLineChars="0"/>
              <w:jc w:val="center"/>
              <w:rPr>
                <w:color w:val="auto"/>
                <w:sz w:val="21"/>
                <w:szCs w:val="21"/>
              </w:rPr>
            </w:pPr>
          </w:p>
        </w:tc>
        <w:tc>
          <w:tcPr>
            <w:tcW w:w="398" w:type="pct"/>
            <w:gridSpan w:val="2"/>
            <w:vMerge w:val="restart"/>
            <w:shd w:val="clear" w:color="auto" w:fill="auto"/>
            <w:vAlign w:val="center"/>
          </w:tcPr>
          <w:p w14:paraId="6C7A3640">
            <w:pPr>
              <w:spacing w:line="240" w:lineRule="auto"/>
              <w:ind w:firstLine="0" w:firstLineChars="0"/>
              <w:jc w:val="center"/>
              <w:textAlignment w:val="baseline"/>
              <w:rPr>
                <w:color w:val="auto"/>
                <w:sz w:val="21"/>
                <w:szCs w:val="21"/>
              </w:rPr>
            </w:pPr>
            <w:r>
              <w:rPr>
                <w:rFonts w:hint="eastAsia"/>
                <w:color w:val="auto"/>
                <w:sz w:val="21"/>
                <w:szCs w:val="21"/>
              </w:rPr>
              <w:t>阳极氧化车间无组织废气</w:t>
            </w:r>
          </w:p>
        </w:tc>
        <w:tc>
          <w:tcPr>
            <w:tcW w:w="315" w:type="pct"/>
            <w:vAlign w:val="center"/>
          </w:tcPr>
          <w:p w14:paraId="27802AD0">
            <w:pPr>
              <w:spacing w:line="240" w:lineRule="auto"/>
              <w:ind w:firstLine="0" w:firstLineChars="0"/>
              <w:jc w:val="center"/>
              <w:rPr>
                <w:color w:val="auto"/>
                <w:sz w:val="21"/>
                <w:szCs w:val="21"/>
              </w:rPr>
            </w:pPr>
            <w:r>
              <w:rPr>
                <w:rFonts w:hint="eastAsia"/>
                <w:color w:val="auto"/>
                <w:sz w:val="21"/>
                <w:szCs w:val="21"/>
              </w:rPr>
              <w:t>碱雾</w:t>
            </w:r>
          </w:p>
        </w:tc>
        <w:tc>
          <w:tcPr>
            <w:tcW w:w="903" w:type="pct"/>
            <w:vMerge w:val="restart"/>
            <w:vAlign w:val="center"/>
          </w:tcPr>
          <w:p w14:paraId="7AF74740">
            <w:pPr>
              <w:spacing w:line="240" w:lineRule="auto"/>
              <w:ind w:firstLine="0" w:firstLineChars="0"/>
              <w:jc w:val="center"/>
              <w:rPr>
                <w:color w:val="auto"/>
                <w:sz w:val="21"/>
                <w:szCs w:val="21"/>
              </w:rPr>
            </w:pPr>
            <w:r>
              <w:rPr>
                <w:rFonts w:hint="eastAsia"/>
                <w:color w:val="auto"/>
                <w:sz w:val="21"/>
                <w:szCs w:val="21"/>
              </w:rPr>
              <w:t>加强厂区绿化</w:t>
            </w:r>
          </w:p>
        </w:tc>
        <w:tc>
          <w:tcPr>
            <w:tcW w:w="356" w:type="pct"/>
            <w:vMerge w:val="restart"/>
            <w:vAlign w:val="center"/>
          </w:tcPr>
          <w:p w14:paraId="7B754C58">
            <w:pPr>
              <w:spacing w:line="240" w:lineRule="auto"/>
              <w:ind w:firstLine="0" w:firstLineChars="0"/>
              <w:jc w:val="center"/>
              <w:rPr>
                <w:color w:val="auto"/>
                <w:kern w:val="44"/>
                <w:sz w:val="21"/>
                <w:szCs w:val="21"/>
              </w:rPr>
            </w:pPr>
            <w:r>
              <w:rPr>
                <w:color w:val="auto"/>
                <w:kern w:val="44"/>
                <w:sz w:val="21"/>
                <w:szCs w:val="21"/>
              </w:rPr>
              <w:t>/</w:t>
            </w:r>
          </w:p>
        </w:tc>
        <w:tc>
          <w:tcPr>
            <w:tcW w:w="236" w:type="pct"/>
            <w:vMerge w:val="restart"/>
            <w:vAlign w:val="center"/>
          </w:tcPr>
          <w:p w14:paraId="5DFED3F6">
            <w:pPr>
              <w:spacing w:line="240" w:lineRule="auto"/>
              <w:ind w:firstLine="0" w:firstLineChars="0"/>
              <w:jc w:val="center"/>
              <w:rPr>
                <w:color w:val="auto"/>
                <w:kern w:val="44"/>
                <w:sz w:val="21"/>
                <w:szCs w:val="21"/>
                <w:lang w:val="en-AU"/>
              </w:rPr>
            </w:pPr>
            <w:r>
              <w:rPr>
                <w:color w:val="auto"/>
                <w:kern w:val="44"/>
                <w:sz w:val="21"/>
                <w:szCs w:val="21"/>
                <w:lang w:val="en-AU"/>
              </w:rPr>
              <w:t>连续</w:t>
            </w:r>
          </w:p>
        </w:tc>
        <w:tc>
          <w:tcPr>
            <w:tcW w:w="276" w:type="pct"/>
            <w:vMerge w:val="restart"/>
            <w:vAlign w:val="center"/>
          </w:tcPr>
          <w:p w14:paraId="14167849">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331" w:type="pct"/>
            <w:vAlign w:val="center"/>
          </w:tcPr>
          <w:p w14:paraId="3D113BEC">
            <w:pPr>
              <w:tabs>
                <w:tab w:val="left" w:pos="2227"/>
              </w:tabs>
              <w:spacing w:line="240" w:lineRule="auto"/>
              <w:ind w:firstLine="0" w:firstLineChars="0"/>
              <w:jc w:val="center"/>
              <w:rPr>
                <w:color w:val="auto"/>
                <w:kern w:val="44"/>
                <w:sz w:val="21"/>
                <w:szCs w:val="21"/>
              </w:rPr>
            </w:pPr>
            <w:r>
              <w:rPr>
                <w:rFonts w:hint="eastAsia"/>
                <w:color w:val="auto"/>
                <w:kern w:val="44"/>
                <w:sz w:val="21"/>
                <w:szCs w:val="21"/>
              </w:rPr>
              <w:t>0.078</w:t>
            </w:r>
          </w:p>
        </w:tc>
        <w:tc>
          <w:tcPr>
            <w:tcW w:w="395" w:type="pct"/>
            <w:vAlign w:val="center"/>
          </w:tcPr>
          <w:p w14:paraId="59349770">
            <w:pPr>
              <w:tabs>
                <w:tab w:val="left" w:pos="2227"/>
              </w:tabs>
              <w:spacing w:line="240" w:lineRule="auto"/>
              <w:ind w:firstLine="0" w:firstLineChars="0"/>
              <w:jc w:val="center"/>
              <w:rPr>
                <w:color w:val="auto"/>
                <w:kern w:val="44"/>
                <w:sz w:val="21"/>
                <w:szCs w:val="21"/>
              </w:rPr>
            </w:pPr>
            <w:r>
              <w:rPr>
                <w:rFonts w:hint="eastAsia"/>
                <w:color w:val="auto"/>
                <w:kern w:val="44"/>
                <w:sz w:val="21"/>
                <w:szCs w:val="21"/>
              </w:rPr>
              <w:t>0.620</w:t>
            </w:r>
          </w:p>
        </w:tc>
        <w:tc>
          <w:tcPr>
            <w:tcW w:w="257" w:type="pct"/>
            <w:vAlign w:val="center"/>
          </w:tcPr>
          <w:p w14:paraId="51A28132">
            <w:pPr>
              <w:spacing w:line="240" w:lineRule="auto"/>
              <w:ind w:firstLine="0" w:firstLineChars="0"/>
              <w:jc w:val="center"/>
              <w:rPr>
                <w:color w:val="auto"/>
                <w:kern w:val="44"/>
                <w:sz w:val="21"/>
                <w:szCs w:val="21"/>
              </w:rPr>
            </w:pPr>
            <w:r>
              <w:rPr>
                <w:rFonts w:hint="eastAsia"/>
                <w:color w:val="auto"/>
                <w:kern w:val="44"/>
                <w:sz w:val="21"/>
                <w:szCs w:val="21"/>
              </w:rPr>
              <w:t>/</w:t>
            </w:r>
          </w:p>
        </w:tc>
        <w:tc>
          <w:tcPr>
            <w:tcW w:w="246" w:type="pct"/>
            <w:vAlign w:val="center"/>
          </w:tcPr>
          <w:p w14:paraId="62434F60">
            <w:pPr>
              <w:spacing w:line="240" w:lineRule="auto"/>
              <w:ind w:firstLine="0" w:firstLineChars="0"/>
              <w:jc w:val="center"/>
              <w:rPr>
                <w:color w:val="auto"/>
                <w:kern w:val="44"/>
                <w:sz w:val="21"/>
                <w:szCs w:val="21"/>
              </w:rPr>
            </w:pPr>
            <w:r>
              <w:rPr>
                <w:rFonts w:hint="eastAsia"/>
                <w:color w:val="auto"/>
                <w:kern w:val="44"/>
                <w:sz w:val="21"/>
                <w:szCs w:val="21"/>
              </w:rPr>
              <w:t>/</w:t>
            </w:r>
          </w:p>
        </w:tc>
        <w:tc>
          <w:tcPr>
            <w:tcW w:w="742" w:type="pct"/>
            <w:vMerge w:val="continue"/>
            <w:vAlign w:val="center"/>
          </w:tcPr>
          <w:p w14:paraId="4B490B83">
            <w:pPr>
              <w:spacing w:line="240" w:lineRule="auto"/>
              <w:ind w:firstLine="0" w:firstLineChars="0"/>
              <w:jc w:val="center"/>
              <w:rPr>
                <w:color w:val="auto"/>
                <w:kern w:val="44"/>
                <w:sz w:val="21"/>
                <w:szCs w:val="21"/>
              </w:rPr>
            </w:pPr>
          </w:p>
        </w:tc>
      </w:tr>
      <w:tr w14:paraId="50CB9F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28" w:hRule="atLeast"/>
          <w:jc w:val="center"/>
        </w:trPr>
        <w:tc>
          <w:tcPr>
            <w:tcW w:w="248" w:type="pct"/>
            <w:vMerge w:val="continue"/>
            <w:vAlign w:val="center"/>
          </w:tcPr>
          <w:p w14:paraId="07A753FF">
            <w:pPr>
              <w:spacing w:line="240" w:lineRule="auto"/>
              <w:ind w:firstLine="0" w:firstLineChars="0"/>
              <w:jc w:val="center"/>
              <w:rPr>
                <w:color w:val="auto"/>
                <w:sz w:val="21"/>
                <w:szCs w:val="21"/>
              </w:rPr>
            </w:pPr>
          </w:p>
        </w:tc>
        <w:tc>
          <w:tcPr>
            <w:tcW w:w="293" w:type="pct"/>
            <w:gridSpan w:val="2"/>
            <w:vMerge w:val="continue"/>
            <w:vAlign w:val="center"/>
          </w:tcPr>
          <w:p w14:paraId="394E1D67">
            <w:pPr>
              <w:spacing w:line="240" w:lineRule="auto"/>
              <w:ind w:firstLine="0" w:firstLineChars="0"/>
              <w:jc w:val="center"/>
              <w:rPr>
                <w:color w:val="auto"/>
                <w:sz w:val="21"/>
                <w:szCs w:val="21"/>
              </w:rPr>
            </w:pPr>
          </w:p>
        </w:tc>
        <w:tc>
          <w:tcPr>
            <w:tcW w:w="398" w:type="pct"/>
            <w:gridSpan w:val="2"/>
            <w:vMerge w:val="continue"/>
            <w:shd w:val="clear" w:color="auto" w:fill="auto"/>
            <w:vAlign w:val="center"/>
          </w:tcPr>
          <w:p w14:paraId="04CAC200">
            <w:pPr>
              <w:spacing w:line="240" w:lineRule="auto"/>
              <w:ind w:firstLine="0" w:firstLineChars="0"/>
              <w:jc w:val="center"/>
              <w:rPr>
                <w:color w:val="auto"/>
                <w:sz w:val="21"/>
                <w:szCs w:val="21"/>
              </w:rPr>
            </w:pPr>
          </w:p>
        </w:tc>
        <w:tc>
          <w:tcPr>
            <w:tcW w:w="315" w:type="pct"/>
            <w:vAlign w:val="center"/>
          </w:tcPr>
          <w:p w14:paraId="71813BB6">
            <w:pPr>
              <w:spacing w:line="240" w:lineRule="auto"/>
              <w:ind w:firstLine="0" w:firstLineChars="0"/>
              <w:jc w:val="center"/>
              <w:rPr>
                <w:color w:val="auto"/>
                <w:sz w:val="21"/>
                <w:szCs w:val="21"/>
              </w:rPr>
            </w:pPr>
            <w:r>
              <w:rPr>
                <w:rFonts w:hint="eastAsia"/>
                <w:color w:val="auto"/>
                <w:sz w:val="21"/>
                <w:szCs w:val="21"/>
              </w:rPr>
              <w:t>硫酸雾</w:t>
            </w:r>
          </w:p>
        </w:tc>
        <w:tc>
          <w:tcPr>
            <w:tcW w:w="903" w:type="pct"/>
            <w:vMerge w:val="continue"/>
            <w:vAlign w:val="center"/>
          </w:tcPr>
          <w:p w14:paraId="05DC9A6D">
            <w:pPr>
              <w:spacing w:line="240" w:lineRule="auto"/>
              <w:ind w:firstLine="0" w:firstLineChars="0"/>
              <w:jc w:val="center"/>
              <w:rPr>
                <w:color w:val="auto"/>
                <w:sz w:val="21"/>
                <w:szCs w:val="21"/>
              </w:rPr>
            </w:pPr>
          </w:p>
        </w:tc>
        <w:tc>
          <w:tcPr>
            <w:tcW w:w="356" w:type="pct"/>
            <w:vMerge w:val="continue"/>
            <w:vAlign w:val="center"/>
          </w:tcPr>
          <w:p w14:paraId="7B1CEAE3">
            <w:pPr>
              <w:spacing w:line="240" w:lineRule="auto"/>
              <w:ind w:firstLine="0" w:firstLineChars="0"/>
              <w:jc w:val="center"/>
              <w:rPr>
                <w:color w:val="auto"/>
                <w:sz w:val="21"/>
                <w:szCs w:val="21"/>
              </w:rPr>
            </w:pPr>
          </w:p>
        </w:tc>
        <w:tc>
          <w:tcPr>
            <w:tcW w:w="236" w:type="pct"/>
            <w:vMerge w:val="continue"/>
            <w:vAlign w:val="center"/>
          </w:tcPr>
          <w:p w14:paraId="1F6BF583">
            <w:pPr>
              <w:spacing w:line="240" w:lineRule="auto"/>
              <w:ind w:firstLine="0" w:firstLineChars="0"/>
              <w:jc w:val="center"/>
              <w:rPr>
                <w:color w:val="auto"/>
                <w:sz w:val="21"/>
                <w:szCs w:val="21"/>
              </w:rPr>
            </w:pPr>
          </w:p>
        </w:tc>
        <w:tc>
          <w:tcPr>
            <w:tcW w:w="276" w:type="pct"/>
            <w:vMerge w:val="continue"/>
            <w:vAlign w:val="center"/>
          </w:tcPr>
          <w:p w14:paraId="0BB65D90">
            <w:pPr>
              <w:spacing w:line="240" w:lineRule="auto"/>
              <w:ind w:firstLine="0" w:firstLineChars="0"/>
              <w:jc w:val="center"/>
              <w:rPr>
                <w:color w:val="auto"/>
                <w:sz w:val="21"/>
                <w:szCs w:val="21"/>
              </w:rPr>
            </w:pPr>
          </w:p>
        </w:tc>
        <w:tc>
          <w:tcPr>
            <w:tcW w:w="331" w:type="pct"/>
            <w:vAlign w:val="center"/>
          </w:tcPr>
          <w:p w14:paraId="6E300EEA">
            <w:pPr>
              <w:spacing w:line="240" w:lineRule="auto"/>
              <w:ind w:firstLine="0" w:firstLineChars="0"/>
              <w:jc w:val="center"/>
              <w:rPr>
                <w:color w:val="auto"/>
                <w:sz w:val="21"/>
                <w:szCs w:val="21"/>
              </w:rPr>
            </w:pPr>
            <w:r>
              <w:rPr>
                <w:rFonts w:hint="eastAsia"/>
                <w:color w:val="auto"/>
                <w:sz w:val="21"/>
                <w:szCs w:val="21"/>
              </w:rPr>
              <w:t>0.264</w:t>
            </w:r>
          </w:p>
        </w:tc>
        <w:tc>
          <w:tcPr>
            <w:tcW w:w="395" w:type="pct"/>
            <w:vAlign w:val="center"/>
          </w:tcPr>
          <w:p w14:paraId="44B90A4A">
            <w:pPr>
              <w:spacing w:line="240" w:lineRule="auto"/>
              <w:ind w:firstLine="0" w:firstLineChars="0"/>
              <w:jc w:val="center"/>
              <w:rPr>
                <w:color w:val="auto"/>
                <w:sz w:val="21"/>
                <w:szCs w:val="21"/>
              </w:rPr>
            </w:pPr>
            <w:r>
              <w:rPr>
                <w:rFonts w:hint="eastAsia"/>
                <w:color w:val="auto"/>
                <w:sz w:val="21"/>
                <w:szCs w:val="21"/>
              </w:rPr>
              <w:t>2.095</w:t>
            </w:r>
          </w:p>
        </w:tc>
        <w:tc>
          <w:tcPr>
            <w:tcW w:w="257" w:type="pct"/>
            <w:vAlign w:val="center"/>
          </w:tcPr>
          <w:p w14:paraId="09CC864A">
            <w:pPr>
              <w:spacing w:line="240" w:lineRule="auto"/>
              <w:ind w:firstLine="0" w:firstLineChars="0"/>
              <w:jc w:val="center"/>
              <w:rPr>
                <w:color w:val="auto"/>
                <w:sz w:val="21"/>
                <w:szCs w:val="21"/>
              </w:rPr>
            </w:pPr>
            <w:r>
              <w:rPr>
                <w:rFonts w:hint="eastAsia"/>
                <w:color w:val="auto"/>
                <w:sz w:val="21"/>
                <w:szCs w:val="21"/>
              </w:rPr>
              <w:t>0.01</w:t>
            </w:r>
          </w:p>
        </w:tc>
        <w:tc>
          <w:tcPr>
            <w:tcW w:w="246" w:type="pct"/>
            <w:vAlign w:val="center"/>
          </w:tcPr>
          <w:p w14:paraId="06486A5A">
            <w:pPr>
              <w:spacing w:line="240" w:lineRule="auto"/>
              <w:ind w:firstLine="0" w:firstLineChars="0"/>
              <w:jc w:val="center"/>
              <w:rPr>
                <w:color w:val="auto"/>
                <w:sz w:val="21"/>
                <w:szCs w:val="21"/>
              </w:rPr>
            </w:pPr>
            <w:r>
              <w:rPr>
                <w:rFonts w:hint="eastAsia"/>
                <w:color w:val="auto"/>
                <w:sz w:val="21"/>
                <w:szCs w:val="21"/>
              </w:rPr>
              <w:t>/</w:t>
            </w:r>
          </w:p>
        </w:tc>
        <w:tc>
          <w:tcPr>
            <w:tcW w:w="742" w:type="pct"/>
            <w:vMerge w:val="continue"/>
            <w:vAlign w:val="center"/>
          </w:tcPr>
          <w:p w14:paraId="2324AB48">
            <w:pPr>
              <w:spacing w:line="240" w:lineRule="auto"/>
              <w:ind w:firstLine="0" w:firstLineChars="0"/>
              <w:jc w:val="center"/>
              <w:rPr>
                <w:color w:val="auto"/>
                <w:sz w:val="21"/>
                <w:szCs w:val="21"/>
              </w:rPr>
            </w:pPr>
          </w:p>
        </w:tc>
      </w:tr>
      <w:tr w14:paraId="40A70B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72" w:hRule="atLeast"/>
          <w:jc w:val="center"/>
        </w:trPr>
        <w:tc>
          <w:tcPr>
            <w:tcW w:w="248" w:type="pct"/>
            <w:vMerge w:val="continue"/>
            <w:vAlign w:val="center"/>
          </w:tcPr>
          <w:p w14:paraId="2EB4DF7B">
            <w:pPr>
              <w:spacing w:line="240" w:lineRule="auto"/>
              <w:ind w:firstLine="0" w:firstLineChars="0"/>
              <w:jc w:val="center"/>
              <w:rPr>
                <w:color w:val="auto"/>
                <w:kern w:val="44"/>
                <w:sz w:val="21"/>
                <w:szCs w:val="21"/>
              </w:rPr>
            </w:pPr>
          </w:p>
        </w:tc>
        <w:tc>
          <w:tcPr>
            <w:tcW w:w="293" w:type="pct"/>
            <w:gridSpan w:val="2"/>
            <w:vMerge w:val="continue"/>
            <w:vAlign w:val="center"/>
          </w:tcPr>
          <w:p w14:paraId="6BEE43CD">
            <w:pPr>
              <w:spacing w:line="240" w:lineRule="auto"/>
              <w:ind w:firstLine="0" w:firstLineChars="0"/>
              <w:jc w:val="center"/>
              <w:rPr>
                <w:color w:val="auto"/>
                <w:sz w:val="21"/>
                <w:szCs w:val="21"/>
              </w:rPr>
            </w:pPr>
          </w:p>
        </w:tc>
        <w:tc>
          <w:tcPr>
            <w:tcW w:w="398" w:type="pct"/>
            <w:gridSpan w:val="2"/>
            <w:shd w:val="clear" w:color="auto" w:fill="auto"/>
            <w:vAlign w:val="center"/>
          </w:tcPr>
          <w:p w14:paraId="2EAC12AC">
            <w:pPr>
              <w:spacing w:line="240" w:lineRule="auto"/>
              <w:ind w:firstLine="0" w:firstLineChars="0"/>
              <w:jc w:val="center"/>
              <w:textAlignment w:val="baseline"/>
              <w:rPr>
                <w:color w:val="auto"/>
                <w:sz w:val="21"/>
                <w:szCs w:val="21"/>
              </w:rPr>
            </w:pPr>
            <w:r>
              <w:rPr>
                <w:rFonts w:hint="eastAsia"/>
                <w:color w:val="auto"/>
                <w:sz w:val="21"/>
                <w:szCs w:val="21"/>
              </w:rPr>
              <w:t>模具处理无组织废气</w:t>
            </w:r>
          </w:p>
        </w:tc>
        <w:tc>
          <w:tcPr>
            <w:tcW w:w="315" w:type="pct"/>
            <w:vAlign w:val="center"/>
          </w:tcPr>
          <w:p w14:paraId="1A552C6D">
            <w:pPr>
              <w:spacing w:line="240" w:lineRule="auto"/>
              <w:ind w:firstLine="0" w:firstLineChars="0"/>
              <w:jc w:val="center"/>
              <w:rPr>
                <w:color w:val="auto"/>
                <w:sz w:val="21"/>
                <w:szCs w:val="21"/>
              </w:rPr>
            </w:pPr>
            <w:r>
              <w:rPr>
                <w:rFonts w:hint="eastAsia"/>
                <w:color w:val="auto"/>
                <w:sz w:val="21"/>
                <w:szCs w:val="21"/>
              </w:rPr>
              <w:t>碱雾</w:t>
            </w:r>
          </w:p>
        </w:tc>
        <w:tc>
          <w:tcPr>
            <w:tcW w:w="903" w:type="pct"/>
            <w:vMerge w:val="restart"/>
            <w:vAlign w:val="center"/>
          </w:tcPr>
          <w:p w14:paraId="50960034">
            <w:pPr>
              <w:spacing w:line="240" w:lineRule="auto"/>
              <w:ind w:firstLine="0" w:firstLineChars="0"/>
              <w:jc w:val="center"/>
              <w:rPr>
                <w:color w:val="auto"/>
                <w:sz w:val="21"/>
                <w:szCs w:val="21"/>
              </w:rPr>
            </w:pPr>
            <w:r>
              <w:rPr>
                <w:color w:val="auto"/>
                <w:sz w:val="21"/>
                <w:szCs w:val="21"/>
              </w:rPr>
              <w:t>加强车间自然通风及机械排风</w:t>
            </w:r>
          </w:p>
        </w:tc>
        <w:tc>
          <w:tcPr>
            <w:tcW w:w="356" w:type="pct"/>
            <w:shd w:val="clear" w:color="auto" w:fill="auto"/>
            <w:vAlign w:val="center"/>
          </w:tcPr>
          <w:p w14:paraId="2592A3FB">
            <w:pPr>
              <w:spacing w:line="240" w:lineRule="auto"/>
              <w:ind w:firstLine="0" w:firstLineChars="0"/>
              <w:jc w:val="center"/>
              <w:rPr>
                <w:color w:val="auto"/>
                <w:kern w:val="44"/>
                <w:sz w:val="21"/>
                <w:szCs w:val="21"/>
              </w:rPr>
            </w:pPr>
            <w:r>
              <w:rPr>
                <w:color w:val="auto"/>
                <w:kern w:val="44"/>
                <w:sz w:val="21"/>
                <w:szCs w:val="21"/>
              </w:rPr>
              <w:t>/</w:t>
            </w:r>
          </w:p>
        </w:tc>
        <w:tc>
          <w:tcPr>
            <w:tcW w:w="236" w:type="pct"/>
            <w:shd w:val="clear" w:color="auto" w:fill="auto"/>
            <w:vAlign w:val="center"/>
          </w:tcPr>
          <w:p w14:paraId="05A9ACE7">
            <w:pPr>
              <w:spacing w:line="240" w:lineRule="auto"/>
              <w:ind w:firstLine="0" w:firstLineChars="0"/>
              <w:jc w:val="center"/>
              <w:rPr>
                <w:color w:val="auto"/>
                <w:kern w:val="44"/>
                <w:sz w:val="21"/>
                <w:szCs w:val="21"/>
                <w:lang w:val="en-AU"/>
              </w:rPr>
            </w:pPr>
            <w:r>
              <w:rPr>
                <w:color w:val="auto"/>
                <w:kern w:val="44"/>
                <w:sz w:val="21"/>
                <w:szCs w:val="21"/>
                <w:lang w:val="en-AU"/>
              </w:rPr>
              <w:t>连续</w:t>
            </w:r>
          </w:p>
        </w:tc>
        <w:tc>
          <w:tcPr>
            <w:tcW w:w="276" w:type="pct"/>
            <w:shd w:val="clear" w:color="auto" w:fill="auto"/>
            <w:vAlign w:val="center"/>
          </w:tcPr>
          <w:p w14:paraId="595ACFCA">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331" w:type="pct"/>
            <w:vAlign w:val="center"/>
          </w:tcPr>
          <w:p w14:paraId="0BE2693A">
            <w:pPr>
              <w:tabs>
                <w:tab w:val="left" w:pos="2227"/>
              </w:tabs>
              <w:spacing w:line="240" w:lineRule="auto"/>
              <w:ind w:firstLine="0" w:firstLineChars="0"/>
              <w:jc w:val="center"/>
              <w:rPr>
                <w:color w:val="auto"/>
                <w:sz w:val="21"/>
                <w:szCs w:val="21"/>
              </w:rPr>
            </w:pPr>
            <w:r>
              <w:rPr>
                <w:rFonts w:hint="eastAsia"/>
                <w:color w:val="auto"/>
                <w:sz w:val="21"/>
                <w:szCs w:val="21"/>
              </w:rPr>
              <w:t>0.047</w:t>
            </w:r>
          </w:p>
        </w:tc>
        <w:tc>
          <w:tcPr>
            <w:tcW w:w="395" w:type="pct"/>
            <w:vAlign w:val="center"/>
          </w:tcPr>
          <w:p w14:paraId="07EB9EAE">
            <w:pPr>
              <w:tabs>
                <w:tab w:val="left" w:pos="2227"/>
              </w:tabs>
              <w:spacing w:line="240" w:lineRule="auto"/>
              <w:ind w:firstLine="0" w:firstLineChars="0"/>
              <w:jc w:val="center"/>
              <w:rPr>
                <w:color w:val="auto"/>
                <w:sz w:val="21"/>
                <w:szCs w:val="21"/>
              </w:rPr>
            </w:pPr>
            <w:r>
              <w:rPr>
                <w:rFonts w:hint="eastAsia"/>
                <w:color w:val="auto"/>
                <w:sz w:val="21"/>
                <w:szCs w:val="21"/>
              </w:rPr>
              <w:t>0.373</w:t>
            </w:r>
          </w:p>
        </w:tc>
        <w:tc>
          <w:tcPr>
            <w:tcW w:w="257" w:type="pct"/>
            <w:vAlign w:val="center"/>
          </w:tcPr>
          <w:p w14:paraId="75332D0F">
            <w:pPr>
              <w:spacing w:line="240" w:lineRule="auto"/>
              <w:ind w:firstLine="0" w:firstLineChars="0"/>
              <w:jc w:val="center"/>
              <w:rPr>
                <w:color w:val="auto"/>
                <w:kern w:val="44"/>
                <w:sz w:val="21"/>
                <w:szCs w:val="21"/>
              </w:rPr>
            </w:pPr>
            <w:r>
              <w:rPr>
                <w:rFonts w:hint="eastAsia"/>
                <w:color w:val="auto"/>
                <w:kern w:val="44"/>
                <w:sz w:val="21"/>
                <w:szCs w:val="21"/>
              </w:rPr>
              <w:t>/</w:t>
            </w:r>
          </w:p>
        </w:tc>
        <w:tc>
          <w:tcPr>
            <w:tcW w:w="246" w:type="pct"/>
            <w:vAlign w:val="center"/>
          </w:tcPr>
          <w:p w14:paraId="47548CF6">
            <w:pPr>
              <w:spacing w:line="240" w:lineRule="auto"/>
              <w:ind w:firstLine="0" w:firstLineChars="0"/>
              <w:jc w:val="center"/>
              <w:rPr>
                <w:color w:val="auto"/>
                <w:kern w:val="44"/>
                <w:sz w:val="21"/>
                <w:szCs w:val="21"/>
              </w:rPr>
            </w:pPr>
            <w:r>
              <w:rPr>
                <w:rFonts w:hint="eastAsia"/>
                <w:color w:val="auto"/>
                <w:kern w:val="44"/>
                <w:sz w:val="21"/>
                <w:szCs w:val="21"/>
              </w:rPr>
              <w:t>/</w:t>
            </w:r>
          </w:p>
        </w:tc>
        <w:tc>
          <w:tcPr>
            <w:tcW w:w="742" w:type="pct"/>
            <w:vMerge w:val="continue"/>
            <w:vAlign w:val="center"/>
          </w:tcPr>
          <w:p w14:paraId="11B0A498">
            <w:pPr>
              <w:spacing w:line="240" w:lineRule="auto"/>
              <w:ind w:firstLine="0" w:firstLineChars="0"/>
              <w:jc w:val="center"/>
              <w:rPr>
                <w:color w:val="auto"/>
                <w:kern w:val="44"/>
                <w:sz w:val="21"/>
                <w:szCs w:val="21"/>
              </w:rPr>
            </w:pPr>
          </w:p>
        </w:tc>
      </w:tr>
      <w:tr w14:paraId="3CFDA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381391E">
            <w:pPr>
              <w:spacing w:line="240" w:lineRule="auto"/>
              <w:ind w:firstLine="0" w:firstLineChars="0"/>
              <w:jc w:val="center"/>
              <w:rPr>
                <w:color w:val="auto"/>
                <w:kern w:val="44"/>
                <w:sz w:val="21"/>
                <w:szCs w:val="21"/>
              </w:rPr>
            </w:pPr>
          </w:p>
        </w:tc>
        <w:tc>
          <w:tcPr>
            <w:tcW w:w="293" w:type="pct"/>
            <w:gridSpan w:val="2"/>
            <w:vMerge w:val="continue"/>
            <w:vAlign w:val="center"/>
          </w:tcPr>
          <w:p w14:paraId="6F7932AD">
            <w:pPr>
              <w:spacing w:line="240" w:lineRule="auto"/>
              <w:ind w:firstLine="0" w:firstLineChars="0"/>
              <w:jc w:val="center"/>
              <w:rPr>
                <w:color w:val="auto"/>
                <w:sz w:val="21"/>
                <w:szCs w:val="21"/>
              </w:rPr>
            </w:pPr>
          </w:p>
        </w:tc>
        <w:tc>
          <w:tcPr>
            <w:tcW w:w="398" w:type="pct"/>
            <w:gridSpan w:val="2"/>
            <w:vAlign w:val="center"/>
          </w:tcPr>
          <w:p w14:paraId="1799FD94">
            <w:pPr>
              <w:spacing w:line="240" w:lineRule="auto"/>
              <w:ind w:firstLine="0" w:firstLineChars="0"/>
              <w:jc w:val="center"/>
              <w:rPr>
                <w:color w:val="auto"/>
                <w:sz w:val="21"/>
                <w:szCs w:val="21"/>
              </w:rPr>
            </w:pPr>
            <w:r>
              <w:rPr>
                <w:rFonts w:hint="eastAsia"/>
                <w:color w:val="auto"/>
                <w:sz w:val="21"/>
                <w:szCs w:val="21"/>
              </w:rPr>
              <w:t>硫酸储罐“大小呼吸”</w:t>
            </w:r>
          </w:p>
        </w:tc>
        <w:tc>
          <w:tcPr>
            <w:tcW w:w="315" w:type="pct"/>
            <w:vAlign w:val="center"/>
          </w:tcPr>
          <w:p w14:paraId="09A1CB72">
            <w:pPr>
              <w:spacing w:line="240" w:lineRule="auto"/>
              <w:ind w:firstLine="0" w:firstLineChars="0"/>
              <w:jc w:val="center"/>
              <w:rPr>
                <w:color w:val="auto"/>
                <w:sz w:val="21"/>
                <w:szCs w:val="21"/>
              </w:rPr>
            </w:pPr>
            <w:r>
              <w:rPr>
                <w:rFonts w:hint="eastAsia"/>
                <w:color w:val="auto"/>
                <w:sz w:val="21"/>
                <w:szCs w:val="21"/>
              </w:rPr>
              <w:t>硫酸雾</w:t>
            </w:r>
          </w:p>
        </w:tc>
        <w:tc>
          <w:tcPr>
            <w:tcW w:w="903" w:type="pct"/>
            <w:vMerge w:val="continue"/>
            <w:vAlign w:val="center"/>
          </w:tcPr>
          <w:p w14:paraId="1F067C21">
            <w:pPr>
              <w:spacing w:line="240" w:lineRule="auto"/>
              <w:ind w:firstLine="0" w:firstLineChars="0"/>
              <w:jc w:val="center"/>
              <w:rPr>
                <w:color w:val="auto"/>
                <w:sz w:val="21"/>
                <w:szCs w:val="21"/>
              </w:rPr>
            </w:pPr>
          </w:p>
        </w:tc>
        <w:tc>
          <w:tcPr>
            <w:tcW w:w="356" w:type="pct"/>
            <w:vAlign w:val="center"/>
          </w:tcPr>
          <w:p w14:paraId="56D4BBCE">
            <w:pPr>
              <w:spacing w:line="240" w:lineRule="auto"/>
              <w:ind w:firstLine="0" w:firstLineChars="0"/>
              <w:jc w:val="center"/>
              <w:rPr>
                <w:color w:val="auto"/>
                <w:kern w:val="44"/>
                <w:sz w:val="21"/>
                <w:szCs w:val="21"/>
              </w:rPr>
            </w:pPr>
            <w:r>
              <w:rPr>
                <w:color w:val="auto"/>
                <w:kern w:val="44"/>
                <w:sz w:val="21"/>
                <w:szCs w:val="21"/>
              </w:rPr>
              <w:t>/</w:t>
            </w:r>
          </w:p>
        </w:tc>
        <w:tc>
          <w:tcPr>
            <w:tcW w:w="236" w:type="pct"/>
            <w:vAlign w:val="center"/>
          </w:tcPr>
          <w:p w14:paraId="3A35A20E">
            <w:pPr>
              <w:spacing w:line="240" w:lineRule="auto"/>
              <w:ind w:firstLine="0" w:firstLineChars="0"/>
              <w:jc w:val="center"/>
              <w:rPr>
                <w:color w:val="auto"/>
                <w:kern w:val="44"/>
                <w:sz w:val="21"/>
                <w:szCs w:val="21"/>
                <w:lang w:val="en-AU"/>
              </w:rPr>
            </w:pPr>
            <w:r>
              <w:rPr>
                <w:color w:val="auto"/>
                <w:kern w:val="44"/>
                <w:sz w:val="21"/>
                <w:szCs w:val="21"/>
                <w:lang w:val="en-AU"/>
              </w:rPr>
              <w:t>连续</w:t>
            </w:r>
          </w:p>
        </w:tc>
        <w:tc>
          <w:tcPr>
            <w:tcW w:w="276" w:type="pct"/>
            <w:vAlign w:val="center"/>
          </w:tcPr>
          <w:p w14:paraId="3696D338">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331" w:type="pct"/>
            <w:vAlign w:val="center"/>
          </w:tcPr>
          <w:p w14:paraId="5331E6E8">
            <w:pPr>
              <w:spacing w:line="240" w:lineRule="auto"/>
              <w:ind w:firstLine="0" w:firstLineChars="0"/>
              <w:jc w:val="center"/>
              <w:rPr>
                <w:color w:val="auto"/>
                <w:kern w:val="0"/>
                <w:sz w:val="21"/>
                <w:szCs w:val="21"/>
              </w:rPr>
            </w:pPr>
            <w:r>
              <w:rPr>
                <w:rFonts w:hint="eastAsia"/>
                <w:color w:val="auto"/>
                <w:sz w:val="21"/>
                <w:szCs w:val="21"/>
                <w:lang w:bidi="ar"/>
              </w:rPr>
              <w:t>7.83×10</w:t>
            </w:r>
            <w:r>
              <w:rPr>
                <w:rFonts w:hint="eastAsia"/>
                <w:color w:val="auto"/>
                <w:sz w:val="21"/>
                <w:szCs w:val="21"/>
                <w:vertAlign w:val="superscript"/>
                <w:lang w:bidi="ar"/>
              </w:rPr>
              <w:t>-6</w:t>
            </w:r>
          </w:p>
        </w:tc>
        <w:tc>
          <w:tcPr>
            <w:tcW w:w="395" w:type="pct"/>
            <w:vAlign w:val="center"/>
          </w:tcPr>
          <w:p w14:paraId="3C742AC6">
            <w:pPr>
              <w:spacing w:line="240" w:lineRule="auto"/>
              <w:ind w:firstLine="0" w:firstLineChars="0"/>
              <w:jc w:val="center"/>
              <w:rPr>
                <w:color w:val="auto"/>
                <w:sz w:val="21"/>
                <w:szCs w:val="21"/>
              </w:rPr>
            </w:pPr>
            <w:r>
              <w:rPr>
                <w:rFonts w:hint="eastAsia"/>
                <w:color w:val="auto"/>
                <w:sz w:val="21"/>
                <w:szCs w:val="21"/>
              </w:rPr>
              <w:t>0.0672kg/a</w:t>
            </w:r>
          </w:p>
        </w:tc>
        <w:tc>
          <w:tcPr>
            <w:tcW w:w="257" w:type="pct"/>
            <w:vAlign w:val="center"/>
          </w:tcPr>
          <w:p w14:paraId="4F99B543">
            <w:pPr>
              <w:spacing w:line="240" w:lineRule="auto"/>
              <w:ind w:firstLine="0" w:firstLineChars="0"/>
              <w:jc w:val="center"/>
              <w:rPr>
                <w:color w:val="auto"/>
                <w:kern w:val="44"/>
                <w:sz w:val="21"/>
                <w:szCs w:val="21"/>
              </w:rPr>
            </w:pPr>
            <w:r>
              <w:rPr>
                <w:color w:val="auto"/>
                <w:kern w:val="44"/>
                <w:sz w:val="21"/>
                <w:szCs w:val="21"/>
                <w:lang w:val="en-AU"/>
              </w:rPr>
              <w:t>0.</w:t>
            </w:r>
            <w:r>
              <w:rPr>
                <w:rFonts w:hint="eastAsia"/>
                <w:color w:val="auto"/>
                <w:kern w:val="44"/>
                <w:sz w:val="21"/>
                <w:szCs w:val="21"/>
              </w:rPr>
              <w:t>01</w:t>
            </w:r>
          </w:p>
        </w:tc>
        <w:tc>
          <w:tcPr>
            <w:tcW w:w="246" w:type="pct"/>
            <w:vAlign w:val="center"/>
          </w:tcPr>
          <w:p w14:paraId="56CBA22E">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5D19AC8E">
            <w:pPr>
              <w:spacing w:line="240" w:lineRule="auto"/>
              <w:ind w:firstLine="0" w:firstLineChars="0"/>
              <w:jc w:val="center"/>
              <w:rPr>
                <w:color w:val="auto"/>
                <w:kern w:val="44"/>
                <w:sz w:val="21"/>
                <w:szCs w:val="21"/>
              </w:rPr>
            </w:pPr>
          </w:p>
        </w:tc>
      </w:tr>
      <w:tr w14:paraId="5CEF01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599" w:hRule="atLeast"/>
          <w:jc w:val="center"/>
        </w:trPr>
        <w:tc>
          <w:tcPr>
            <w:tcW w:w="248" w:type="pct"/>
            <w:vMerge w:val="restart"/>
            <w:vAlign w:val="center"/>
          </w:tcPr>
          <w:p w14:paraId="6A30DD63">
            <w:pPr>
              <w:spacing w:line="240" w:lineRule="auto"/>
              <w:ind w:firstLine="0" w:firstLineChars="0"/>
              <w:jc w:val="center"/>
              <w:rPr>
                <w:color w:val="auto"/>
                <w:kern w:val="44"/>
                <w:sz w:val="21"/>
                <w:szCs w:val="21"/>
              </w:rPr>
            </w:pPr>
            <w:r>
              <w:rPr>
                <w:color w:val="auto"/>
                <w:kern w:val="44"/>
                <w:sz w:val="21"/>
                <w:szCs w:val="21"/>
              </w:rPr>
              <w:t>废水</w:t>
            </w:r>
          </w:p>
        </w:tc>
        <w:tc>
          <w:tcPr>
            <w:tcW w:w="293" w:type="pct"/>
            <w:gridSpan w:val="2"/>
            <w:vMerge w:val="restart"/>
            <w:vAlign w:val="center"/>
          </w:tcPr>
          <w:p w14:paraId="6FAA047D">
            <w:pPr>
              <w:spacing w:line="240" w:lineRule="auto"/>
              <w:ind w:firstLine="0" w:firstLineChars="0"/>
              <w:jc w:val="center"/>
              <w:rPr>
                <w:color w:val="auto"/>
                <w:kern w:val="44"/>
                <w:sz w:val="21"/>
                <w:szCs w:val="21"/>
              </w:rPr>
            </w:pPr>
            <w:r>
              <w:rPr>
                <w:color w:val="auto"/>
                <w:kern w:val="44"/>
                <w:sz w:val="21"/>
                <w:szCs w:val="21"/>
              </w:rPr>
              <w:t>企业总排口DW001</w:t>
            </w:r>
          </w:p>
        </w:tc>
        <w:tc>
          <w:tcPr>
            <w:tcW w:w="398" w:type="pct"/>
            <w:gridSpan w:val="2"/>
            <w:vMerge w:val="restart"/>
            <w:vAlign w:val="center"/>
          </w:tcPr>
          <w:p w14:paraId="687B3455">
            <w:pPr>
              <w:spacing w:line="240" w:lineRule="auto"/>
              <w:ind w:firstLine="0" w:firstLineChars="0"/>
              <w:jc w:val="center"/>
              <w:rPr>
                <w:color w:val="auto"/>
                <w:kern w:val="44"/>
                <w:sz w:val="21"/>
                <w:szCs w:val="21"/>
              </w:rPr>
            </w:pPr>
            <w:r>
              <w:rPr>
                <w:color w:val="auto"/>
                <w:kern w:val="44"/>
                <w:sz w:val="21"/>
                <w:szCs w:val="21"/>
              </w:rPr>
              <w:t>综合废水</w:t>
            </w:r>
          </w:p>
        </w:tc>
        <w:tc>
          <w:tcPr>
            <w:tcW w:w="315" w:type="pct"/>
            <w:vAlign w:val="center"/>
          </w:tcPr>
          <w:p w14:paraId="599383B5">
            <w:pPr>
              <w:spacing w:line="240" w:lineRule="auto"/>
              <w:ind w:firstLine="0" w:firstLineChars="0"/>
              <w:jc w:val="center"/>
              <w:rPr>
                <w:color w:val="auto"/>
                <w:kern w:val="44"/>
                <w:sz w:val="21"/>
                <w:szCs w:val="21"/>
              </w:rPr>
            </w:pPr>
            <w:r>
              <w:rPr>
                <w:color w:val="auto"/>
                <w:kern w:val="44"/>
                <w:sz w:val="21"/>
                <w:szCs w:val="21"/>
              </w:rPr>
              <w:t>COD</w:t>
            </w:r>
          </w:p>
        </w:tc>
        <w:tc>
          <w:tcPr>
            <w:tcW w:w="903" w:type="pct"/>
            <w:vMerge w:val="restart"/>
            <w:vAlign w:val="center"/>
          </w:tcPr>
          <w:p w14:paraId="0B30A700">
            <w:pPr>
              <w:spacing w:line="240" w:lineRule="auto"/>
              <w:ind w:firstLine="0" w:firstLineChars="0"/>
              <w:rPr>
                <w:color w:val="auto"/>
                <w:kern w:val="44"/>
                <w:sz w:val="21"/>
                <w:szCs w:val="21"/>
              </w:rPr>
            </w:pPr>
            <w:r>
              <w:rPr>
                <w:color w:val="auto"/>
                <w:kern w:val="44"/>
                <w:sz w:val="21"/>
                <w:szCs w:val="21"/>
              </w:rPr>
              <w:t>酸碱废水、模具处理工艺废水、酸碱废气处理废水、氧化工段地面清洗废水、纯水制备装置反冲洗废水、纯水制备装置再生废水、循环冷却排水和初期雨水，送入综合废水处理系统处理（设计规模为1700t/d），工艺为“调节+混凝反应+沉淀”；封孔废水先送入封孔废水处理系统（设计处理规模为100t/d），处理工艺为“调节+混凝反应+沉淀”，再送入综合废水处理系统处理；经处理后的酸碱废水、模具处理工艺废水、酸碱废气处理废水、氧化工段地面清洗废水、纯水制备装置反冲洗废水、纯水制备装置再生废水、初期雨水、封孔废水同循环冷却排水由园区污水管网接管至开发区临港污水处理厂集中处理，尾水经大浦河排污通道排入临洪河，最终排至黄海。</w:t>
            </w:r>
            <w:r>
              <w:rPr>
                <w:rFonts w:hint="eastAsia"/>
                <w:color w:val="auto"/>
                <w:kern w:val="44"/>
                <w:sz w:val="21"/>
                <w:szCs w:val="21"/>
              </w:rPr>
              <w:t>生活污水和食堂废水分别经化粪池、隔油池+化粪池预处理后接管至开发区临港污水处理厂集中处理。</w:t>
            </w:r>
            <w:r>
              <w:rPr>
                <w:color w:val="auto"/>
                <w:kern w:val="44"/>
                <w:sz w:val="21"/>
                <w:szCs w:val="21"/>
              </w:rPr>
              <w:t>纯水浓排水回用至酸碱废气处理用水，循环冷却排水部分回用至氧化工段地面清洗废水和酸碱废气处理用水。</w:t>
            </w:r>
          </w:p>
        </w:tc>
        <w:tc>
          <w:tcPr>
            <w:tcW w:w="356" w:type="pct"/>
            <w:vMerge w:val="restart"/>
            <w:vAlign w:val="center"/>
          </w:tcPr>
          <w:p w14:paraId="64836238">
            <w:pPr>
              <w:spacing w:line="240" w:lineRule="auto"/>
              <w:ind w:firstLine="0" w:firstLineChars="0"/>
              <w:jc w:val="center"/>
              <w:rPr>
                <w:color w:val="auto"/>
                <w:kern w:val="44"/>
                <w:sz w:val="21"/>
                <w:szCs w:val="21"/>
              </w:rPr>
            </w:pPr>
            <w:r>
              <w:rPr>
                <w:color w:val="auto"/>
                <w:kern w:val="44"/>
                <w:sz w:val="21"/>
                <w:szCs w:val="21"/>
              </w:rPr>
              <w:t>标准化排污口</w:t>
            </w:r>
          </w:p>
        </w:tc>
        <w:tc>
          <w:tcPr>
            <w:tcW w:w="236" w:type="pct"/>
            <w:vMerge w:val="restart"/>
            <w:vAlign w:val="center"/>
          </w:tcPr>
          <w:p w14:paraId="1F5BF987">
            <w:pPr>
              <w:spacing w:line="240" w:lineRule="auto"/>
              <w:ind w:firstLine="0" w:firstLineChars="0"/>
              <w:jc w:val="center"/>
              <w:rPr>
                <w:color w:val="auto"/>
                <w:kern w:val="44"/>
                <w:sz w:val="21"/>
                <w:szCs w:val="21"/>
              </w:rPr>
            </w:pPr>
            <w:r>
              <w:rPr>
                <w:color w:val="auto"/>
                <w:kern w:val="44"/>
                <w:sz w:val="21"/>
                <w:szCs w:val="21"/>
                <w:lang w:val="en-AU"/>
              </w:rPr>
              <w:t>连续</w:t>
            </w:r>
          </w:p>
        </w:tc>
        <w:tc>
          <w:tcPr>
            <w:tcW w:w="276" w:type="pct"/>
            <w:vAlign w:val="center"/>
          </w:tcPr>
          <w:p w14:paraId="26807B33">
            <w:pPr>
              <w:widowControl/>
              <w:spacing w:line="240" w:lineRule="auto"/>
              <w:ind w:firstLine="0" w:firstLineChars="0"/>
              <w:jc w:val="center"/>
              <w:textAlignment w:val="center"/>
              <w:rPr>
                <w:color w:val="auto"/>
                <w:kern w:val="44"/>
                <w:sz w:val="21"/>
                <w:szCs w:val="21"/>
              </w:rPr>
            </w:pPr>
            <w:r>
              <w:rPr>
                <w:rFonts w:eastAsia="等线"/>
                <w:color w:val="auto"/>
                <w:kern w:val="0"/>
                <w:sz w:val="21"/>
                <w:szCs w:val="21"/>
                <w:lang w:bidi="ar"/>
              </w:rPr>
              <w:t>201.91</w:t>
            </w:r>
          </w:p>
        </w:tc>
        <w:tc>
          <w:tcPr>
            <w:tcW w:w="331" w:type="pct"/>
            <w:vAlign w:val="center"/>
          </w:tcPr>
          <w:p w14:paraId="2A030E1F">
            <w:pPr>
              <w:spacing w:line="240" w:lineRule="auto"/>
              <w:ind w:firstLine="0" w:firstLineChars="0"/>
              <w:jc w:val="center"/>
              <w:rPr>
                <w:color w:val="auto"/>
                <w:kern w:val="44"/>
                <w:sz w:val="21"/>
                <w:szCs w:val="21"/>
              </w:rPr>
            </w:pPr>
            <w:r>
              <w:rPr>
                <w:color w:val="auto"/>
                <w:kern w:val="44"/>
                <w:sz w:val="21"/>
                <w:szCs w:val="21"/>
              </w:rPr>
              <w:t>/</w:t>
            </w:r>
          </w:p>
        </w:tc>
        <w:tc>
          <w:tcPr>
            <w:tcW w:w="395" w:type="pct"/>
            <w:vAlign w:val="center"/>
          </w:tcPr>
          <w:p w14:paraId="524196C0">
            <w:pPr>
              <w:widowControl/>
              <w:spacing w:line="240" w:lineRule="auto"/>
              <w:ind w:firstLine="0" w:firstLineChars="0"/>
              <w:jc w:val="center"/>
              <w:textAlignment w:val="center"/>
              <w:rPr>
                <w:color w:val="auto"/>
                <w:kern w:val="44"/>
                <w:sz w:val="21"/>
                <w:szCs w:val="21"/>
              </w:rPr>
            </w:pPr>
            <w:r>
              <w:rPr>
                <w:rFonts w:eastAsia="等线"/>
                <w:color w:val="auto"/>
                <w:kern w:val="0"/>
                <w:sz w:val="21"/>
                <w:szCs w:val="21"/>
                <w:lang w:bidi="ar"/>
              </w:rPr>
              <w:t xml:space="preserve">59.254 </w:t>
            </w:r>
          </w:p>
        </w:tc>
        <w:tc>
          <w:tcPr>
            <w:tcW w:w="257" w:type="pct"/>
            <w:vAlign w:val="center"/>
          </w:tcPr>
          <w:p w14:paraId="39411546">
            <w:pPr>
              <w:widowControl/>
              <w:spacing w:line="240" w:lineRule="auto"/>
              <w:ind w:firstLine="0" w:firstLineChars="0"/>
              <w:jc w:val="center"/>
              <w:textAlignment w:val="center"/>
              <w:rPr>
                <w:color w:val="auto"/>
                <w:kern w:val="44"/>
                <w:sz w:val="21"/>
                <w:szCs w:val="21"/>
                <w:lang w:val="en-AU"/>
              </w:rPr>
            </w:pPr>
            <w:r>
              <w:rPr>
                <w:color w:val="auto"/>
                <w:kern w:val="0"/>
                <w:sz w:val="21"/>
                <w:szCs w:val="21"/>
                <w:lang w:bidi="ar"/>
              </w:rPr>
              <w:t>50</w:t>
            </w:r>
          </w:p>
        </w:tc>
        <w:tc>
          <w:tcPr>
            <w:tcW w:w="246" w:type="pct"/>
            <w:vAlign w:val="center"/>
          </w:tcPr>
          <w:p w14:paraId="10D9E9E3">
            <w:pPr>
              <w:spacing w:line="240" w:lineRule="auto"/>
              <w:ind w:firstLine="0" w:firstLineChars="0"/>
              <w:jc w:val="center"/>
              <w:rPr>
                <w:color w:val="auto"/>
                <w:kern w:val="44"/>
                <w:sz w:val="21"/>
                <w:szCs w:val="21"/>
              </w:rPr>
            </w:pPr>
            <w:r>
              <w:rPr>
                <w:color w:val="auto"/>
                <w:kern w:val="44"/>
                <w:sz w:val="21"/>
                <w:szCs w:val="21"/>
              </w:rPr>
              <w:t>/</w:t>
            </w:r>
          </w:p>
        </w:tc>
        <w:tc>
          <w:tcPr>
            <w:tcW w:w="742" w:type="pct"/>
            <w:vMerge w:val="restart"/>
            <w:vAlign w:val="center"/>
          </w:tcPr>
          <w:p w14:paraId="12EE5992">
            <w:pPr>
              <w:spacing w:line="240" w:lineRule="auto"/>
              <w:ind w:firstLine="0" w:firstLineChars="0"/>
              <w:jc w:val="center"/>
              <w:rPr>
                <w:color w:val="auto"/>
                <w:kern w:val="44"/>
                <w:sz w:val="21"/>
                <w:szCs w:val="21"/>
              </w:rPr>
            </w:pPr>
            <w:r>
              <w:rPr>
                <w:rFonts w:hint="eastAsia"/>
                <w:bCs/>
                <w:color w:val="auto"/>
                <w:sz w:val="21"/>
                <w:szCs w:val="21"/>
              </w:rPr>
              <w:t>满足《电镀污染物排放标准》（GB31900-2008）、《污水综合排放标准》（GB8978-1996）、《污水排入城镇下水道水质标准》（GB/T31962-2015）以及开发区临港污水处理厂根据实际运行能力设定的接管要求后接管至开发区临港污水处理厂集中处理</w:t>
            </w:r>
          </w:p>
        </w:tc>
      </w:tr>
      <w:tr w14:paraId="51B9A3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93" w:hRule="atLeast"/>
          <w:jc w:val="center"/>
        </w:trPr>
        <w:tc>
          <w:tcPr>
            <w:tcW w:w="248" w:type="pct"/>
            <w:vMerge w:val="continue"/>
            <w:vAlign w:val="center"/>
          </w:tcPr>
          <w:p w14:paraId="5807D604">
            <w:pPr>
              <w:spacing w:line="240" w:lineRule="auto"/>
              <w:ind w:firstLine="0" w:firstLineChars="0"/>
              <w:jc w:val="center"/>
              <w:rPr>
                <w:color w:val="auto"/>
                <w:kern w:val="44"/>
                <w:sz w:val="21"/>
                <w:szCs w:val="21"/>
              </w:rPr>
            </w:pPr>
          </w:p>
        </w:tc>
        <w:tc>
          <w:tcPr>
            <w:tcW w:w="293" w:type="pct"/>
            <w:gridSpan w:val="2"/>
            <w:vMerge w:val="continue"/>
            <w:vAlign w:val="center"/>
          </w:tcPr>
          <w:p w14:paraId="3FAA3B2F">
            <w:pPr>
              <w:spacing w:line="240" w:lineRule="auto"/>
              <w:ind w:firstLine="0" w:firstLineChars="0"/>
              <w:jc w:val="center"/>
              <w:rPr>
                <w:color w:val="auto"/>
                <w:kern w:val="44"/>
                <w:sz w:val="21"/>
                <w:szCs w:val="21"/>
              </w:rPr>
            </w:pPr>
          </w:p>
        </w:tc>
        <w:tc>
          <w:tcPr>
            <w:tcW w:w="398" w:type="pct"/>
            <w:gridSpan w:val="2"/>
            <w:vMerge w:val="continue"/>
            <w:vAlign w:val="center"/>
          </w:tcPr>
          <w:p w14:paraId="00AD4ADA">
            <w:pPr>
              <w:spacing w:line="240" w:lineRule="auto"/>
              <w:ind w:firstLine="0" w:firstLineChars="0"/>
              <w:jc w:val="center"/>
              <w:rPr>
                <w:color w:val="auto"/>
                <w:kern w:val="44"/>
                <w:sz w:val="21"/>
                <w:szCs w:val="21"/>
              </w:rPr>
            </w:pPr>
          </w:p>
        </w:tc>
        <w:tc>
          <w:tcPr>
            <w:tcW w:w="315" w:type="pct"/>
            <w:shd w:val="clear" w:color="auto" w:fill="auto"/>
            <w:vAlign w:val="center"/>
          </w:tcPr>
          <w:p w14:paraId="131D3955">
            <w:pPr>
              <w:spacing w:line="240" w:lineRule="auto"/>
              <w:ind w:firstLine="0" w:firstLineChars="0"/>
              <w:jc w:val="center"/>
              <w:rPr>
                <w:color w:val="auto"/>
                <w:kern w:val="44"/>
                <w:sz w:val="21"/>
                <w:szCs w:val="21"/>
              </w:rPr>
            </w:pPr>
            <w:r>
              <w:rPr>
                <w:color w:val="auto"/>
                <w:sz w:val="21"/>
                <w:szCs w:val="21"/>
              </w:rPr>
              <w:t>SS</w:t>
            </w:r>
          </w:p>
        </w:tc>
        <w:tc>
          <w:tcPr>
            <w:tcW w:w="903" w:type="pct"/>
            <w:vMerge w:val="continue"/>
            <w:vAlign w:val="center"/>
          </w:tcPr>
          <w:p w14:paraId="632D24D4">
            <w:pPr>
              <w:spacing w:line="240" w:lineRule="auto"/>
              <w:ind w:firstLine="0" w:firstLineChars="0"/>
              <w:jc w:val="center"/>
              <w:rPr>
                <w:color w:val="auto"/>
                <w:kern w:val="44"/>
                <w:sz w:val="21"/>
                <w:szCs w:val="21"/>
              </w:rPr>
            </w:pPr>
          </w:p>
        </w:tc>
        <w:tc>
          <w:tcPr>
            <w:tcW w:w="356" w:type="pct"/>
            <w:vMerge w:val="continue"/>
            <w:vAlign w:val="center"/>
          </w:tcPr>
          <w:p w14:paraId="55EAD223">
            <w:pPr>
              <w:spacing w:line="240" w:lineRule="auto"/>
              <w:ind w:firstLine="0" w:firstLineChars="0"/>
              <w:jc w:val="center"/>
              <w:rPr>
                <w:color w:val="auto"/>
                <w:kern w:val="44"/>
                <w:sz w:val="21"/>
                <w:szCs w:val="21"/>
              </w:rPr>
            </w:pPr>
          </w:p>
        </w:tc>
        <w:tc>
          <w:tcPr>
            <w:tcW w:w="236" w:type="pct"/>
            <w:vMerge w:val="continue"/>
            <w:vAlign w:val="center"/>
          </w:tcPr>
          <w:p w14:paraId="2C8C6747">
            <w:pPr>
              <w:spacing w:line="240" w:lineRule="auto"/>
              <w:ind w:firstLine="0" w:firstLineChars="0"/>
              <w:jc w:val="center"/>
              <w:rPr>
                <w:color w:val="auto"/>
                <w:kern w:val="44"/>
                <w:sz w:val="21"/>
                <w:szCs w:val="21"/>
              </w:rPr>
            </w:pPr>
          </w:p>
        </w:tc>
        <w:tc>
          <w:tcPr>
            <w:tcW w:w="276" w:type="pct"/>
            <w:vAlign w:val="center"/>
          </w:tcPr>
          <w:p w14:paraId="2162CB1D">
            <w:pPr>
              <w:widowControl/>
              <w:spacing w:line="240" w:lineRule="auto"/>
              <w:ind w:firstLine="0" w:firstLineChars="0"/>
              <w:jc w:val="center"/>
              <w:textAlignment w:val="center"/>
              <w:rPr>
                <w:color w:val="auto"/>
                <w:kern w:val="44"/>
                <w:sz w:val="21"/>
                <w:szCs w:val="21"/>
              </w:rPr>
            </w:pPr>
            <w:r>
              <w:rPr>
                <w:rFonts w:eastAsia="等线"/>
                <w:color w:val="auto"/>
                <w:kern w:val="0"/>
                <w:sz w:val="21"/>
                <w:szCs w:val="21"/>
                <w:lang w:bidi="ar"/>
              </w:rPr>
              <w:t>58.45</w:t>
            </w:r>
          </w:p>
        </w:tc>
        <w:tc>
          <w:tcPr>
            <w:tcW w:w="331" w:type="pct"/>
            <w:vAlign w:val="center"/>
          </w:tcPr>
          <w:p w14:paraId="6616D37A">
            <w:pPr>
              <w:spacing w:line="240" w:lineRule="auto"/>
              <w:ind w:firstLine="0" w:firstLineChars="0"/>
              <w:jc w:val="center"/>
              <w:rPr>
                <w:color w:val="auto"/>
                <w:kern w:val="44"/>
                <w:sz w:val="21"/>
                <w:szCs w:val="21"/>
              </w:rPr>
            </w:pPr>
            <w:r>
              <w:rPr>
                <w:color w:val="auto"/>
                <w:kern w:val="44"/>
                <w:sz w:val="21"/>
                <w:szCs w:val="21"/>
              </w:rPr>
              <w:t>/</w:t>
            </w:r>
          </w:p>
        </w:tc>
        <w:tc>
          <w:tcPr>
            <w:tcW w:w="395" w:type="pct"/>
            <w:vAlign w:val="center"/>
          </w:tcPr>
          <w:p w14:paraId="14BBD527">
            <w:pPr>
              <w:widowControl/>
              <w:spacing w:line="240" w:lineRule="auto"/>
              <w:ind w:firstLine="0" w:firstLineChars="0"/>
              <w:jc w:val="center"/>
              <w:textAlignment w:val="center"/>
              <w:rPr>
                <w:color w:val="auto"/>
                <w:kern w:val="44"/>
                <w:sz w:val="21"/>
                <w:szCs w:val="21"/>
              </w:rPr>
            </w:pPr>
            <w:r>
              <w:rPr>
                <w:rFonts w:eastAsia="等线"/>
                <w:color w:val="auto"/>
                <w:kern w:val="0"/>
                <w:sz w:val="21"/>
                <w:szCs w:val="21"/>
                <w:lang w:bidi="ar"/>
              </w:rPr>
              <w:t xml:space="preserve">17.154 </w:t>
            </w:r>
          </w:p>
        </w:tc>
        <w:tc>
          <w:tcPr>
            <w:tcW w:w="257" w:type="pct"/>
            <w:vAlign w:val="center"/>
          </w:tcPr>
          <w:p w14:paraId="04ECE6E1">
            <w:pPr>
              <w:widowControl/>
              <w:spacing w:line="240" w:lineRule="auto"/>
              <w:ind w:firstLine="0" w:firstLineChars="0"/>
              <w:jc w:val="center"/>
              <w:textAlignment w:val="center"/>
              <w:rPr>
                <w:color w:val="auto"/>
                <w:kern w:val="44"/>
                <w:sz w:val="21"/>
                <w:szCs w:val="21"/>
                <w:lang w:val="en-AU"/>
              </w:rPr>
            </w:pPr>
            <w:r>
              <w:rPr>
                <w:color w:val="auto"/>
                <w:kern w:val="0"/>
                <w:sz w:val="21"/>
                <w:szCs w:val="21"/>
                <w:lang w:bidi="ar"/>
              </w:rPr>
              <w:t>10</w:t>
            </w:r>
          </w:p>
        </w:tc>
        <w:tc>
          <w:tcPr>
            <w:tcW w:w="246" w:type="pct"/>
            <w:vAlign w:val="center"/>
          </w:tcPr>
          <w:p w14:paraId="0F61F193">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3B7D51D8">
            <w:pPr>
              <w:spacing w:line="240" w:lineRule="auto"/>
              <w:ind w:firstLine="0" w:firstLineChars="0"/>
              <w:jc w:val="center"/>
              <w:rPr>
                <w:color w:val="auto"/>
                <w:kern w:val="44"/>
                <w:sz w:val="21"/>
                <w:szCs w:val="21"/>
              </w:rPr>
            </w:pPr>
          </w:p>
        </w:tc>
      </w:tr>
      <w:tr w14:paraId="4C5A0C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703" w:hRule="atLeast"/>
          <w:jc w:val="center"/>
        </w:trPr>
        <w:tc>
          <w:tcPr>
            <w:tcW w:w="248" w:type="pct"/>
            <w:vMerge w:val="continue"/>
            <w:vAlign w:val="center"/>
          </w:tcPr>
          <w:p w14:paraId="59B71CFE">
            <w:pPr>
              <w:spacing w:line="240" w:lineRule="auto"/>
              <w:ind w:firstLine="0" w:firstLineChars="0"/>
              <w:jc w:val="center"/>
              <w:rPr>
                <w:color w:val="auto"/>
                <w:kern w:val="44"/>
                <w:sz w:val="21"/>
                <w:szCs w:val="21"/>
              </w:rPr>
            </w:pPr>
          </w:p>
        </w:tc>
        <w:tc>
          <w:tcPr>
            <w:tcW w:w="293" w:type="pct"/>
            <w:gridSpan w:val="2"/>
            <w:vMerge w:val="continue"/>
            <w:vAlign w:val="center"/>
          </w:tcPr>
          <w:p w14:paraId="60E015F6">
            <w:pPr>
              <w:spacing w:line="240" w:lineRule="auto"/>
              <w:ind w:firstLine="0" w:firstLineChars="0"/>
              <w:jc w:val="center"/>
              <w:rPr>
                <w:color w:val="auto"/>
                <w:kern w:val="44"/>
                <w:sz w:val="21"/>
                <w:szCs w:val="21"/>
              </w:rPr>
            </w:pPr>
          </w:p>
        </w:tc>
        <w:tc>
          <w:tcPr>
            <w:tcW w:w="398" w:type="pct"/>
            <w:gridSpan w:val="2"/>
            <w:vMerge w:val="continue"/>
            <w:vAlign w:val="center"/>
          </w:tcPr>
          <w:p w14:paraId="0FB76878">
            <w:pPr>
              <w:spacing w:line="240" w:lineRule="auto"/>
              <w:ind w:firstLine="0" w:firstLineChars="0"/>
              <w:jc w:val="center"/>
              <w:rPr>
                <w:color w:val="auto"/>
                <w:kern w:val="44"/>
                <w:sz w:val="21"/>
                <w:szCs w:val="21"/>
              </w:rPr>
            </w:pPr>
          </w:p>
        </w:tc>
        <w:tc>
          <w:tcPr>
            <w:tcW w:w="315" w:type="pct"/>
            <w:shd w:val="clear" w:color="auto" w:fill="auto"/>
            <w:vAlign w:val="center"/>
          </w:tcPr>
          <w:p w14:paraId="0A2F7EDE">
            <w:pPr>
              <w:spacing w:line="240" w:lineRule="auto"/>
              <w:ind w:firstLine="0" w:firstLineChars="0"/>
              <w:jc w:val="center"/>
              <w:rPr>
                <w:color w:val="auto"/>
                <w:kern w:val="44"/>
                <w:sz w:val="21"/>
                <w:szCs w:val="21"/>
              </w:rPr>
            </w:pPr>
            <w:r>
              <w:rPr>
                <w:rFonts w:hint="eastAsia"/>
                <w:color w:val="auto"/>
                <w:kern w:val="44"/>
                <w:sz w:val="21"/>
                <w:szCs w:val="21"/>
              </w:rPr>
              <w:t>氨氮</w:t>
            </w:r>
          </w:p>
        </w:tc>
        <w:tc>
          <w:tcPr>
            <w:tcW w:w="903" w:type="pct"/>
            <w:vMerge w:val="continue"/>
            <w:vAlign w:val="center"/>
          </w:tcPr>
          <w:p w14:paraId="5B22B1C2">
            <w:pPr>
              <w:spacing w:line="240" w:lineRule="auto"/>
              <w:ind w:firstLine="0" w:firstLineChars="0"/>
              <w:jc w:val="center"/>
              <w:rPr>
                <w:color w:val="auto"/>
                <w:kern w:val="44"/>
                <w:sz w:val="21"/>
                <w:szCs w:val="21"/>
              </w:rPr>
            </w:pPr>
          </w:p>
        </w:tc>
        <w:tc>
          <w:tcPr>
            <w:tcW w:w="356" w:type="pct"/>
            <w:vMerge w:val="continue"/>
            <w:vAlign w:val="center"/>
          </w:tcPr>
          <w:p w14:paraId="5D0A58A2">
            <w:pPr>
              <w:spacing w:line="240" w:lineRule="auto"/>
              <w:ind w:firstLine="0" w:firstLineChars="0"/>
              <w:jc w:val="center"/>
              <w:rPr>
                <w:color w:val="auto"/>
                <w:kern w:val="44"/>
                <w:sz w:val="21"/>
                <w:szCs w:val="21"/>
              </w:rPr>
            </w:pPr>
          </w:p>
        </w:tc>
        <w:tc>
          <w:tcPr>
            <w:tcW w:w="236" w:type="pct"/>
            <w:vMerge w:val="continue"/>
            <w:vAlign w:val="center"/>
          </w:tcPr>
          <w:p w14:paraId="70F73409">
            <w:pPr>
              <w:spacing w:line="240" w:lineRule="auto"/>
              <w:ind w:firstLine="0" w:firstLineChars="0"/>
              <w:jc w:val="center"/>
              <w:rPr>
                <w:color w:val="auto"/>
                <w:kern w:val="0"/>
                <w:sz w:val="21"/>
                <w:szCs w:val="21"/>
              </w:rPr>
            </w:pPr>
          </w:p>
        </w:tc>
        <w:tc>
          <w:tcPr>
            <w:tcW w:w="276" w:type="pct"/>
            <w:vAlign w:val="center"/>
          </w:tcPr>
          <w:p w14:paraId="569440C5">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17.42</w:t>
            </w:r>
          </w:p>
        </w:tc>
        <w:tc>
          <w:tcPr>
            <w:tcW w:w="331" w:type="pct"/>
            <w:vAlign w:val="center"/>
          </w:tcPr>
          <w:p w14:paraId="10859704">
            <w:pPr>
              <w:spacing w:line="240" w:lineRule="auto"/>
              <w:ind w:firstLine="0" w:firstLineChars="0"/>
              <w:jc w:val="center"/>
              <w:rPr>
                <w:color w:val="auto"/>
                <w:kern w:val="0"/>
                <w:sz w:val="21"/>
                <w:szCs w:val="21"/>
              </w:rPr>
            </w:pPr>
            <w:r>
              <w:rPr>
                <w:color w:val="auto"/>
                <w:kern w:val="0"/>
                <w:sz w:val="21"/>
                <w:szCs w:val="21"/>
              </w:rPr>
              <w:t>/</w:t>
            </w:r>
          </w:p>
        </w:tc>
        <w:tc>
          <w:tcPr>
            <w:tcW w:w="395" w:type="pct"/>
            <w:vAlign w:val="center"/>
          </w:tcPr>
          <w:p w14:paraId="6FFF38EF">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 xml:space="preserve">5.113 </w:t>
            </w:r>
          </w:p>
        </w:tc>
        <w:tc>
          <w:tcPr>
            <w:tcW w:w="257" w:type="pct"/>
            <w:vAlign w:val="center"/>
          </w:tcPr>
          <w:p w14:paraId="2D3829C7">
            <w:pPr>
              <w:widowControl/>
              <w:spacing w:line="240" w:lineRule="auto"/>
              <w:ind w:firstLine="0" w:firstLineChars="0"/>
              <w:jc w:val="center"/>
              <w:textAlignment w:val="center"/>
              <w:rPr>
                <w:color w:val="auto"/>
                <w:kern w:val="44"/>
                <w:sz w:val="21"/>
                <w:szCs w:val="21"/>
              </w:rPr>
            </w:pPr>
            <w:r>
              <w:rPr>
                <w:rFonts w:hint="eastAsia"/>
                <w:color w:val="auto"/>
                <w:kern w:val="44"/>
                <w:sz w:val="21"/>
                <w:szCs w:val="21"/>
              </w:rPr>
              <w:t>5(8)</w:t>
            </w:r>
          </w:p>
        </w:tc>
        <w:tc>
          <w:tcPr>
            <w:tcW w:w="246" w:type="pct"/>
            <w:vAlign w:val="center"/>
          </w:tcPr>
          <w:p w14:paraId="5EA781FF">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5B32F125">
            <w:pPr>
              <w:spacing w:line="240" w:lineRule="auto"/>
              <w:ind w:firstLine="0" w:firstLineChars="0"/>
              <w:jc w:val="center"/>
              <w:rPr>
                <w:color w:val="auto"/>
                <w:kern w:val="44"/>
                <w:sz w:val="21"/>
                <w:szCs w:val="21"/>
              </w:rPr>
            </w:pPr>
          </w:p>
        </w:tc>
      </w:tr>
      <w:tr w14:paraId="6D09D0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84" w:hRule="atLeast"/>
          <w:jc w:val="center"/>
        </w:trPr>
        <w:tc>
          <w:tcPr>
            <w:tcW w:w="248" w:type="pct"/>
            <w:vMerge w:val="continue"/>
            <w:vAlign w:val="center"/>
          </w:tcPr>
          <w:p w14:paraId="35A4584E">
            <w:pPr>
              <w:spacing w:line="240" w:lineRule="auto"/>
              <w:ind w:firstLine="0" w:firstLineChars="0"/>
              <w:jc w:val="center"/>
              <w:rPr>
                <w:color w:val="auto"/>
                <w:kern w:val="44"/>
                <w:sz w:val="21"/>
                <w:szCs w:val="21"/>
              </w:rPr>
            </w:pPr>
          </w:p>
        </w:tc>
        <w:tc>
          <w:tcPr>
            <w:tcW w:w="293" w:type="pct"/>
            <w:gridSpan w:val="2"/>
            <w:vMerge w:val="continue"/>
            <w:vAlign w:val="center"/>
          </w:tcPr>
          <w:p w14:paraId="7CDC88EA">
            <w:pPr>
              <w:spacing w:line="240" w:lineRule="auto"/>
              <w:ind w:firstLine="0" w:firstLineChars="0"/>
              <w:jc w:val="center"/>
              <w:rPr>
                <w:color w:val="auto"/>
                <w:kern w:val="44"/>
                <w:sz w:val="21"/>
                <w:szCs w:val="21"/>
              </w:rPr>
            </w:pPr>
          </w:p>
        </w:tc>
        <w:tc>
          <w:tcPr>
            <w:tcW w:w="398" w:type="pct"/>
            <w:gridSpan w:val="2"/>
            <w:vMerge w:val="continue"/>
            <w:vAlign w:val="center"/>
          </w:tcPr>
          <w:p w14:paraId="337D7E62">
            <w:pPr>
              <w:spacing w:line="240" w:lineRule="auto"/>
              <w:ind w:firstLine="0" w:firstLineChars="0"/>
              <w:jc w:val="center"/>
              <w:rPr>
                <w:color w:val="auto"/>
                <w:kern w:val="44"/>
                <w:sz w:val="21"/>
                <w:szCs w:val="21"/>
              </w:rPr>
            </w:pPr>
          </w:p>
        </w:tc>
        <w:tc>
          <w:tcPr>
            <w:tcW w:w="315" w:type="pct"/>
            <w:shd w:val="clear" w:color="auto" w:fill="auto"/>
            <w:vAlign w:val="center"/>
          </w:tcPr>
          <w:p w14:paraId="7066355D">
            <w:pPr>
              <w:spacing w:line="240" w:lineRule="auto"/>
              <w:ind w:firstLine="0" w:firstLineChars="0"/>
              <w:jc w:val="center"/>
              <w:rPr>
                <w:color w:val="auto"/>
                <w:sz w:val="21"/>
                <w:szCs w:val="21"/>
              </w:rPr>
            </w:pPr>
            <w:r>
              <w:rPr>
                <w:rFonts w:hint="eastAsia"/>
                <w:color w:val="auto"/>
                <w:sz w:val="21"/>
                <w:szCs w:val="21"/>
              </w:rPr>
              <w:t>总磷</w:t>
            </w:r>
          </w:p>
        </w:tc>
        <w:tc>
          <w:tcPr>
            <w:tcW w:w="903" w:type="pct"/>
            <w:vMerge w:val="continue"/>
            <w:vAlign w:val="center"/>
          </w:tcPr>
          <w:p w14:paraId="1C1A20BB">
            <w:pPr>
              <w:spacing w:line="240" w:lineRule="auto"/>
              <w:ind w:firstLine="0" w:firstLineChars="0"/>
              <w:jc w:val="center"/>
              <w:rPr>
                <w:color w:val="auto"/>
                <w:kern w:val="44"/>
                <w:sz w:val="21"/>
                <w:szCs w:val="21"/>
              </w:rPr>
            </w:pPr>
          </w:p>
        </w:tc>
        <w:tc>
          <w:tcPr>
            <w:tcW w:w="356" w:type="pct"/>
            <w:vMerge w:val="continue"/>
            <w:vAlign w:val="center"/>
          </w:tcPr>
          <w:p w14:paraId="316667CC">
            <w:pPr>
              <w:spacing w:line="240" w:lineRule="auto"/>
              <w:ind w:firstLine="0" w:firstLineChars="0"/>
              <w:jc w:val="center"/>
              <w:rPr>
                <w:color w:val="auto"/>
                <w:kern w:val="44"/>
                <w:sz w:val="21"/>
                <w:szCs w:val="21"/>
              </w:rPr>
            </w:pPr>
          </w:p>
        </w:tc>
        <w:tc>
          <w:tcPr>
            <w:tcW w:w="236" w:type="pct"/>
            <w:vMerge w:val="continue"/>
            <w:vAlign w:val="center"/>
          </w:tcPr>
          <w:p w14:paraId="40A8C9FC">
            <w:pPr>
              <w:spacing w:line="240" w:lineRule="auto"/>
              <w:ind w:firstLine="0" w:firstLineChars="0"/>
              <w:jc w:val="center"/>
              <w:rPr>
                <w:color w:val="auto"/>
                <w:kern w:val="0"/>
                <w:sz w:val="21"/>
                <w:szCs w:val="21"/>
              </w:rPr>
            </w:pPr>
          </w:p>
        </w:tc>
        <w:tc>
          <w:tcPr>
            <w:tcW w:w="276" w:type="pct"/>
            <w:vAlign w:val="center"/>
          </w:tcPr>
          <w:p w14:paraId="2659B053">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0.541</w:t>
            </w:r>
          </w:p>
        </w:tc>
        <w:tc>
          <w:tcPr>
            <w:tcW w:w="331" w:type="pct"/>
            <w:vAlign w:val="center"/>
          </w:tcPr>
          <w:p w14:paraId="59CE2995">
            <w:pPr>
              <w:spacing w:line="240" w:lineRule="auto"/>
              <w:ind w:firstLine="0" w:firstLineChars="0"/>
              <w:jc w:val="center"/>
              <w:rPr>
                <w:color w:val="auto"/>
                <w:kern w:val="0"/>
                <w:sz w:val="21"/>
                <w:szCs w:val="21"/>
              </w:rPr>
            </w:pPr>
            <w:r>
              <w:rPr>
                <w:color w:val="auto"/>
                <w:kern w:val="0"/>
                <w:sz w:val="21"/>
                <w:szCs w:val="21"/>
              </w:rPr>
              <w:t>/</w:t>
            </w:r>
          </w:p>
        </w:tc>
        <w:tc>
          <w:tcPr>
            <w:tcW w:w="395" w:type="pct"/>
            <w:vAlign w:val="center"/>
          </w:tcPr>
          <w:p w14:paraId="551E1344">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 xml:space="preserve">0.159 </w:t>
            </w:r>
          </w:p>
        </w:tc>
        <w:tc>
          <w:tcPr>
            <w:tcW w:w="257" w:type="pct"/>
            <w:vAlign w:val="center"/>
          </w:tcPr>
          <w:p w14:paraId="7DD6053F">
            <w:pPr>
              <w:widowControl/>
              <w:spacing w:line="240" w:lineRule="auto"/>
              <w:ind w:firstLine="0" w:firstLineChars="0"/>
              <w:jc w:val="center"/>
              <w:textAlignment w:val="center"/>
              <w:rPr>
                <w:color w:val="auto"/>
                <w:kern w:val="44"/>
                <w:sz w:val="21"/>
                <w:szCs w:val="21"/>
              </w:rPr>
            </w:pPr>
            <w:r>
              <w:rPr>
                <w:rFonts w:hint="eastAsia"/>
                <w:color w:val="auto"/>
                <w:kern w:val="0"/>
                <w:sz w:val="21"/>
                <w:szCs w:val="21"/>
                <w:lang w:bidi="ar"/>
              </w:rPr>
              <w:t>0.5</w:t>
            </w:r>
          </w:p>
        </w:tc>
        <w:tc>
          <w:tcPr>
            <w:tcW w:w="246" w:type="pct"/>
            <w:vAlign w:val="center"/>
          </w:tcPr>
          <w:p w14:paraId="16943128">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4E2E9B54">
            <w:pPr>
              <w:spacing w:line="240" w:lineRule="auto"/>
              <w:ind w:firstLine="0" w:firstLineChars="0"/>
              <w:jc w:val="center"/>
              <w:rPr>
                <w:color w:val="auto"/>
                <w:kern w:val="44"/>
                <w:sz w:val="21"/>
                <w:szCs w:val="21"/>
              </w:rPr>
            </w:pPr>
          </w:p>
        </w:tc>
      </w:tr>
      <w:tr w14:paraId="4AD2F8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145" w:hRule="atLeast"/>
          <w:jc w:val="center"/>
        </w:trPr>
        <w:tc>
          <w:tcPr>
            <w:tcW w:w="248" w:type="pct"/>
            <w:vMerge w:val="continue"/>
            <w:vAlign w:val="center"/>
          </w:tcPr>
          <w:p w14:paraId="2C911A1E">
            <w:pPr>
              <w:spacing w:line="240" w:lineRule="auto"/>
              <w:ind w:firstLine="0" w:firstLineChars="0"/>
              <w:jc w:val="center"/>
              <w:rPr>
                <w:color w:val="auto"/>
                <w:kern w:val="44"/>
                <w:sz w:val="21"/>
                <w:szCs w:val="21"/>
              </w:rPr>
            </w:pPr>
          </w:p>
        </w:tc>
        <w:tc>
          <w:tcPr>
            <w:tcW w:w="293" w:type="pct"/>
            <w:gridSpan w:val="2"/>
            <w:vMerge w:val="continue"/>
            <w:vAlign w:val="center"/>
          </w:tcPr>
          <w:p w14:paraId="55A3B35C">
            <w:pPr>
              <w:spacing w:line="240" w:lineRule="auto"/>
              <w:ind w:firstLine="0" w:firstLineChars="0"/>
              <w:jc w:val="center"/>
              <w:rPr>
                <w:color w:val="auto"/>
                <w:kern w:val="44"/>
                <w:sz w:val="21"/>
                <w:szCs w:val="21"/>
              </w:rPr>
            </w:pPr>
          </w:p>
        </w:tc>
        <w:tc>
          <w:tcPr>
            <w:tcW w:w="398" w:type="pct"/>
            <w:gridSpan w:val="2"/>
            <w:vMerge w:val="continue"/>
            <w:vAlign w:val="center"/>
          </w:tcPr>
          <w:p w14:paraId="0424AEB0">
            <w:pPr>
              <w:spacing w:line="240" w:lineRule="auto"/>
              <w:ind w:firstLine="0" w:firstLineChars="0"/>
              <w:jc w:val="center"/>
              <w:rPr>
                <w:color w:val="auto"/>
                <w:kern w:val="44"/>
                <w:sz w:val="21"/>
                <w:szCs w:val="21"/>
              </w:rPr>
            </w:pPr>
          </w:p>
        </w:tc>
        <w:tc>
          <w:tcPr>
            <w:tcW w:w="315" w:type="pct"/>
            <w:vAlign w:val="center"/>
          </w:tcPr>
          <w:p w14:paraId="0E4E3663">
            <w:pPr>
              <w:spacing w:line="240" w:lineRule="auto"/>
              <w:ind w:firstLine="0" w:firstLineChars="0"/>
              <w:jc w:val="center"/>
              <w:rPr>
                <w:color w:val="auto"/>
                <w:sz w:val="21"/>
                <w:szCs w:val="21"/>
              </w:rPr>
            </w:pPr>
            <w:r>
              <w:rPr>
                <w:rFonts w:hint="eastAsia"/>
                <w:color w:val="auto"/>
                <w:sz w:val="21"/>
                <w:szCs w:val="21"/>
              </w:rPr>
              <w:t>总氮</w:t>
            </w:r>
          </w:p>
        </w:tc>
        <w:tc>
          <w:tcPr>
            <w:tcW w:w="903" w:type="pct"/>
            <w:vMerge w:val="continue"/>
            <w:vAlign w:val="center"/>
          </w:tcPr>
          <w:p w14:paraId="69891A07">
            <w:pPr>
              <w:spacing w:line="240" w:lineRule="auto"/>
              <w:ind w:firstLine="0" w:firstLineChars="0"/>
              <w:jc w:val="center"/>
              <w:rPr>
                <w:color w:val="auto"/>
                <w:kern w:val="44"/>
                <w:sz w:val="21"/>
                <w:szCs w:val="21"/>
              </w:rPr>
            </w:pPr>
          </w:p>
        </w:tc>
        <w:tc>
          <w:tcPr>
            <w:tcW w:w="356" w:type="pct"/>
            <w:vMerge w:val="continue"/>
            <w:vAlign w:val="center"/>
          </w:tcPr>
          <w:p w14:paraId="4BB862DF">
            <w:pPr>
              <w:spacing w:line="240" w:lineRule="auto"/>
              <w:ind w:firstLine="0" w:firstLineChars="0"/>
              <w:jc w:val="center"/>
              <w:rPr>
                <w:color w:val="auto"/>
                <w:kern w:val="44"/>
                <w:sz w:val="21"/>
                <w:szCs w:val="21"/>
              </w:rPr>
            </w:pPr>
          </w:p>
        </w:tc>
        <w:tc>
          <w:tcPr>
            <w:tcW w:w="236" w:type="pct"/>
            <w:vMerge w:val="continue"/>
            <w:vAlign w:val="center"/>
          </w:tcPr>
          <w:p w14:paraId="7BB5E72A">
            <w:pPr>
              <w:spacing w:line="240" w:lineRule="auto"/>
              <w:ind w:firstLine="0" w:firstLineChars="0"/>
              <w:jc w:val="center"/>
              <w:rPr>
                <w:color w:val="auto"/>
                <w:kern w:val="0"/>
                <w:sz w:val="21"/>
                <w:szCs w:val="21"/>
              </w:rPr>
            </w:pPr>
          </w:p>
        </w:tc>
        <w:tc>
          <w:tcPr>
            <w:tcW w:w="276" w:type="pct"/>
            <w:vAlign w:val="center"/>
          </w:tcPr>
          <w:p w14:paraId="0C723484">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22.98</w:t>
            </w:r>
          </w:p>
        </w:tc>
        <w:tc>
          <w:tcPr>
            <w:tcW w:w="331" w:type="pct"/>
            <w:vAlign w:val="center"/>
          </w:tcPr>
          <w:p w14:paraId="145561FB">
            <w:pPr>
              <w:spacing w:line="240" w:lineRule="auto"/>
              <w:ind w:firstLine="0" w:firstLineChars="0"/>
              <w:jc w:val="center"/>
              <w:rPr>
                <w:color w:val="auto"/>
                <w:kern w:val="0"/>
                <w:sz w:val="21"/>
                <w:szCs w:val="21"/>
              </w:rPr>
            </w:pPr>
            <w:r>
              <w:rPr>
                <w:color w:val="auto"/>
                <w:kern w:val="0"/>
                <w:sz w:val="21"/>
                <w:szCs w:val="21"/>
              </w:rPr>
              <w:t>/</w:t>
            </w:r>
          </w:p>
        </w:tc>
        <w:tc>
          <w:tcPr>
            <w:tcW w:w="395" w:type="pct"/>
            <w:vAlign w:val="center"/>
          </w:tcPr>
          <w:p w14:paraId="2A9C8C3D">
            <w:pPr>
              <w:widowControl/>
              <w:spacing w:line="240" w:lineRule="auto"/>
              <w:ind w:firstLine="0" w:firstLineChars="0"/>
              <w:jc w:val="center"/>
              <w:textAlignment w:val="center"/>
              <w:rPr>
                <w:color w:val="auto"/>
                <w:kern w:val="0"/>
                <w:sz w:val="21"/>
                <w:szCs w:val="21"/>
              </w:rPr>
            </w:pPr>
            <w:r>
              <w:rPr>
                <w:rFonts w:eastAsia="等线"/>
                <w:color w:val="auto"/>
                <w:kern w:val="0"/>
                <w:sz w:val="21"/>
                <w:szCs w:val="21"/>
                <w:lang w:bidi="ar"/>
              </w:rPr>
              <w:t xml:space="preserve">6.743 </w:t>
            </w:r>
          </w:p>
        </w:tc>
        <w:tc>
          <w:tcPr>
            <w:tcW w:w="257" w:type="pct"/>
            <w:vAlign w:val="center"/>
          </w:tcPr>
          <w:p w14:paraId="52BCC086">
            <w:pPr>
              <w:widowControl/>
              <w:spacing w:line="240" w:lineRule="auto"/>
              <w:ind w:firstLine="0" w:firstLineChars="0"/>
              <w:jc w:val="center"/>
              <w:textAlignment w:val="center"/>
              <w:rPr>
                <w:color w:val="auto"/>
                <w:kern w:val="44"/>
                <w:sz w:val="21"/>
                <w:szCs w:val="21"/>
              </w:rPr>
            </w:pPr>
            <w:r>
              <w:rPr>
                <w:rFonts w:hint="eastAsia"/>
                <w:color w:val="auto"/>
                <w:kern w:val="0"/>
                <w:sz w:val="21"/>
                <w:szCs w:val="21"/>
                <w:lang w:bidi="ar"/>
              </w:rPr>
              <w:t>15</w:t>
            </w:r>
          </w:p>
        </w:tc>
        <w:tc>
          <w:tcPr>
            <w:tcW w:w="246" w:type="pct"/>
            <w:vAlign w:val="center"/>
          </w:tcPr>
          <w:p w14:paraId="2E32AFA5">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6989140C">
            <w:pPr>
              <w:spacing w:line="240" w:lineRule="auto"/>
              <w:ind w:firstLine="0" w:firstLineChars="0"/>
              <w:jc w:val="center"/>
              <w:rPr>
                <w:color w:val="auto"/>
                <w:kern w:val="44"/>
                <w:sz w:val="21"/>
                <w:szCs w:val="21"/>
              </w:rPr>
            </w:pPr>
          </w:p>
        </w:tc>
      </w:tr>
      <w:tr w14:paraId="715F45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54" w:hRule="atLeast"/>
          <w:jc w:val="center"/>
        </w:trPr>
        <w:tc>
          <w:tcPr>
            <w:tcW w:w="248" w:type="pct"/>
            <w:vMerge w:val="continue"/>
            <w:vAlign w:val="center"/>
          </w:tcPr>
          <w:p w14:paraId="1A9A3F3E">
            <w:pPr>
              <w:spacing w:line="240" w:lineRule="auto"/>
              <w:ind w:firstLine="0" w:firstLineChars="0"/>
              <w:jc w:val="center"/>
              <w:rPr>
                <w:color w:val="auto"/>
                <w:kern w:val="44"/>
                <w:sz w:val="21"/>
                <w:szCs w:val="21"/>
              </w:rPr>
            </w:pPr>
          </w:p>
        </w:tc>
        <w:tc>
          <w:tcPr>
            <w:tcW w:w="293" w:type="pct"/>
            <w:gridSpan w:val="2"/>
            <w:vMerge w:val="continue"/>
            <w:vAlign w:val="center"/>
          </w:tcPr>
          <w:p w14:paraId="2A78EAD1">
            <w:pPr>
              <w:spacing w:line="240" w:lineRule="auto"/>
              <w:ind w:firstLine="0" w:firstLineChars="0"/>
              <w:jc w:val="center"/>
              <w:rPr>
                <w:color w:val="auto"/>
                <w:kern w:val="44"/>
                <w:sz w:val="21"/>
                <w:szCs w:val="21"/>
              </w:rPr>
            </w:pPr>
          </w:p>
        </w:tc>
        <w:tc>
          <w:tcPr>
            <w:tcW w:w="398" w:type="pct"/>
            <w:gridSpan w:val="2"/>
            <w:vMerge w:val="continue"/>
            <w:vAlign w:val="center"/>
          </w:tcPr>
          <w:p w14:paraId="7BD51DBA">
            <w:pPr>
              <w:spacing w:line="240" w:lineRule="auto"/>
              <w:ind w:firstLine="0" w:firstLineChars="0"/>
              <w:jc w:val="center"/>
              <w:rPr>
                <w:color w:val="auto"/>
                <w:kern w:val="44"/>
                <w:sz w:val="21"/>
                <w:szCs w:val="21"/>
              </w:rPr>
            </w:pPr>
          </w:p>
        </w:tc>
        <w:tc>
          <w:tcPr>
            <w:tcW w:w="315" w:type="pct"/>
            <w:vAlign w:val="center"/>
          </w:tcPr>
          <w:p w14:paraId="39E2658D">
            <w:pPr>
              <w:spacing w:line="240" w:lineRule="auto"/>
              <w:ind w:firstLine="0" w:firstLineChars="0"/>
              <w:jc w:val="center"/>
              <w:rPr>
                <w:color w:val="auto"/>
                <w:sz w:val="21"/>
                <w:szCs w:val="21"/>
              </w:rPr>
            </w:pPr>
            <w:r>
              <w:rPr>
                <w:rFonts w:hint="eastAsia"/>
                <w:color w:val="auto"/>
                <w:sz w:val="21"/>
                <w:szCs w:val="21"/>
              </w:rPr>
              <w:t>总铝</w:t>
            </w:r>
          </w:p>
        </w:tc>
        <w:tc>
          <w:tcPr>
            <w:tcW w:w="903" w:type="pct"/>
            <w:vMerge w:val="continue"/>
            <w:vAlign w:val="center"/>
          </w:tcPr>
          <w:p w14:paraId="3D5EAB2A">
            <w:pPr>
              <w:spacing w:line="240" w:lineRule="auto"/>
              <w:ind w:firstLine="0" w:firstLineChars="0"/>
              <w:jc w:val="center"/>
              <w:rPr>
                <w:color w:val="auto"/>
                <w:kern w:val="44"/>
                <w:sz w:val="21"/>
                <w:szCs w:val="21"/>
              </w:rPr>
            </w:pPr>
          </w:p>
        </w:tc>
        <w:tc>
          <w:tcPr>
            <w:tcW w:w="356" w:type="pct"/>
            <w:vMerge w:val="continue"/>
            <w:vAlign w:val="center"/>
          </w:tcPr>
          <w:p w14:paraId="73D93509">
            <w:pPr>
              <w:spacing w:line="240" w:lineRule="auto"/>
              <w:ind w:firstLine="0" w:firstLineChars="0"/>
              <w:jc w:val="center"/>
              <w:rPr>
                <w:color w:val="auto"/>
                <w:kern w:val="44"/>
                <w:sz w:val="21"/>
                <w:szCs w:val="21"/>
              </w:rPr>
            </w:pPr>
          </w:p>
        </w:tc>
        <w:tc>
          <w:tcPr>
            <w:tcW w:w="236" w:type="pct"/>
            <w:vMerge w:val="continue"/>
            <w:vAlign w:val="center"/>
          </w:tcPr>
          <w:p w14:paraId="6ED47EBF">
            <w:pPr>
              <w:spacing w:line="240" w:lineRule="auto"/>
              <w:ind w:firstLine="0" w:firstLineChars="0"/>
              <w:jc w:val="center"/>
              <w:rPr>
                <w:color w:val="auto"/>
                <w:sz w:val="21"/>
                <w:szCs w:val="21"/>
              </w:rPr>
            </w:pPr>
          </w:p>
        </w:tc>
        <w:tc>
          <w:tcPr>
            <w:tcW w:w="276" w:type="pct"/>
            <w:vAlign w:val="center"/>
          </w:tcPr>
          <w:p w14:paraId="690F558D">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1.34</w:t>
            </w:r>
          </w:p>
        </w:tc>
        <w:tc>
          <w:tcPr>
            <w:tcW w:w="331" w:type="pct"/>
            <w:vAlign w:val="center"/>
          </w:tcPr>
          <w:p w14:paraId="0C51FF48">
            <w:pPr>
              <w:spacing w:line="240" w:lineRule="auto"/>
              <w:ind w:firstLine="0" w:firstLineChars="0"/>
              <w:jc w:val="center"/>
              <w:rPr>
                <w:color w:val="auto"/>
                <w:sz w:val="21"/>
                <w:szCs w:val="21"/>
              </w:rPr>
            </w:pPr>
            <w:r>
              <w:rPr>
                <w:color w:val="auto"/>
                <w:sz w:val="21"/>
                <w:szCs w:val="21"/>
              </w:rPr>
              <w:t>/</w:t>
            </w:r>
          </w:p>
        </w:tc>
        <w:tc>
          <w:tcPr>
            <w:tcW w:w="395" w:type="pct"/>
            <w:vAlign w:val="center"/>
          </w:tcPr>
          <w:p w14:paraId="40BB26B4">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0.394</w:t>
            </w:r>
          </w:p>
        </w:tc>
        <w:tc>
          <w:tcPr>
            <w:tcW w:w="257" w:type="pct"/>
            <w:vAlign w:val="center"/>
          </w:tcPr>
          <w:p w14:paraId="66C88E0C">
            <w:pPr>
              <w:widowControl/>
              <w:spacing w:line="240" w:lineRule="auto"/>
              <w:ind w:firstLine="0" w:firstLineChars="0"/>
              <w:jc w:val="center"/>
              <w:textAlignment w:val="center"/>
              <w:rPr>
                <w:color w:val="auto"/>
                <w:kern w:val="44"/>
                <w:sz w:val="21"/>
                <w:szCs w:val="21"/>
                <w:lang w:val="en-AU"/>
              </w:rPr>
            </w:pPr>
            <w:r>
              <w:rPr>
                <w:rFonts w:hint="eastAsia"/>
                <w:color w:val="auto"/>
                <w:kern w:val="0"/>
                <w:sz w:val="21"/>
                <w:szCs w:val="21"/>
                <w:lang w:bidi="ar"/>
              </w:rPr>
              <w:t>2</w:t>
            </w:r>
          </w:p>
        </w:tc>
        <w:tc>
          <w:tcPr>
            <w:tcW w:w="246" w:type="pct"/>
            <w:vAlign w:val="center"/>
          </w:tcPr>
          <w:p w14:paraId="36FE4737">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53FECF30">
            <w:pPr>
              <w:spacing w:line="240" w:lineRule="auto"/>
              <w:ind w:firstLine="0" w:firstLineChars="0"/>
              <w:jc w:val="center"/>
              <w:rPr>
                <w:color w:val="auto"/>
                <w:kern w:val="44"/>
                <w:sz w:val="21"/>
                <w:szCs w:val="21"/>
              </w:rPr>
            </w:pPr>
          </w:p>
        </w:tc>
      </w:tr>
      <w:tr w14:paraId="599779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54" w:hRule="atLeast"/>
          <w:jc w:val="center"/>
        </w:trPr>
        <w:tc>
          <w:tcPr>
            <w:tcW w:w="248" w:type="pct"/>
            <w:vMerge w:val="continue"/>
            <w:vAlign w:val="center"/>
          </w:tcPr>
          <w:p w14:paraId="6F074E66">
            <w:pPr>
              <w:spacing w:line="240" w:lineRule="auto"/>
              <w:ind w:firstLine="0" w:firstLineChars="0"/>
              <w:jc w:val="center"/>
              <w:rPr>
                <w:color w:val="auto"/>
                <w:kern w:val="44"/>
                <w:sz w:val="21"/>
                <w:szCs w:val="21"/>
              </w:rPr>
            </w:pPr>
          </w:p>
        </w:tc>
        <w:tc>
          <w:tcPr>
            <w:tcW w:w="293" w:type="pct"/>
            <w:gridSpan w:val="2"/>
            <w:vMerge w:val="continue"/>
            <w:vAlign w:val="center"/>
          </w:tcPr>
          <w:p w14:paraId="0657A4A8">
            <w:pPr>
              <w:spacing w:line="240" w:lineRule="auto"/>
              <w:ind w:firstLine="0" w:firstLineChars="0"/>
              <w:jc w:val="center"/>
              <w:rPr>
                <w:color w:val="auto"/>
                <w:kern w:val="44"/>
                <w:sz w:val="21"/>
                <w:szCs w:val="21"/>
              </w:rPr>
            </w:pPr>
          </w:p>
        </w:tc>
        <w:tc>
          <w:tcPr>
            <w:tcW w:w="398" w:type="pct"/>
            <w:gridSpan w:val="2"/>
            <w:vMerge w:val="continue"/>
            <w:vAlign w:val="center"/>
          </w:tcPr>
          <w:p w14:paraId="6B546F69">
            <w:pPr>
              <w:spacing w:line="240" w:lineRule="auto"/>
              <w:ind w:firstLine="0" w:firstLineChars="0"/>
              <w:jc w:val="center"/>
              <w:rPr>
                <w:color w:val="auto"/>
                <w:kern w:val="44"/>
                <w:sz w:val="21"/>
                <w:szCs w:val="21"/>
              </w:rPr>
            </w:pPr>
          </w:p>
        </w:tc>
        <w:tc>
          <w:tcPr>
            <w:tcW w:w="315" w:type="pct"/>
            <w:vAlign w:val="center"/>
          </w:tcPr>
          <w:p w14:paraId="2142F9B2">
            <w:pPr>
              <w:spacing w:line="240" w:lineRule="auto"/>
              <w:ind w:firstLine="0" w:firstLineChars="0"/>
              <w:jc w:val="center"/>
              <w:rPr>
                <w:color w:val="auto"/>
                <w:sz w:val="21"/>
                <w:szCs w:val="21"/>
              </w:rPr>
            </w:pPr>
            <w:r>
              <w:rPr>
                <w:rFonts w:hint="eastAsia"/>
                <w:color w:val="auto"/>
                <w:sz w:val="21"/>
                <w:szCs w:val="21"/>
              </w:rPr>
              <w:t>石油类</w:t>
            </w:r>
          </w:p>
        </w:tc>
        <w:tc>
          <w:tcPr>
            <w:tcW w:w="903" w:type="pct"/>
            <w:vMerge w:val="continue"/>
            <w:vAlign w:val="center"/>
          </w:tcPr>
          <w:p w14:paraId="2171E088">
            <w:pPr>
              <w:spacing w:line="240" w:lineRule="auto"/>
              <w:ind w:firstLine="0" w:firstLineChars="0"/>
              <w:jc w:val="center"/>
              <w:rPr>
                <w:color w:val="auto"/>
                <w:kern w:val="44"/>
                <w:sz w:val="21"/>
                <w:szCs w:val="21"/>
              </w:rPr>
            </w:pPr>
          </w:p>
        </w:tc>
        <w:tc>
          <w:tcPr>
            <w:tcW w:w="356" w:type="pct"/>
            <w:vMerge w:val="continue"/>
            <w:vAlign w:val="center"/>
          </w:tcPr>
          <w:p w14:paraId="28BF8418">
            <w:pPr>
              <w:spacing w:line="240" w:lineRule="auto"/>
              <w:ind w:firstLine="0" w:firstLineChars="0"/>
              <w:jc w:val="center"/>
              <w:rPr>
                <w:color w:val="auto"/>
                <w:kern w:val="44"/>
                <w:sz w:val="21"/>
                <w:szCs w:val="21"/>
              </w:rPr>
            </w:pPr>
          </w:p>
        </w:tc>
        <w:tc>
          <w:tcPr>
            <w:tcW w:w="236" w:type="pct"/>
            <w:vMerge w:val="continue"/>
            <w:vAlign w:val="center"/>
          </w:tcPr>
          <w:p w14:paraId="563B5985">
            <w:pPr>
              <w:spacing w:line="240" w:lineRule="auto"/>
              <w:ind w:firstLine="0" w:firstLineChars="0"/>
              <w:jc w:val="center"/>
              <w:rPr>
                <w:color w:val="auto"/>
                <w:sz w:val="21"/>
                <w:szCs w:val="21"/>
              </w:rPr>
            </w:pPr>
          </w:p>
        </w:tc>
        <w:tc>
          <w:tcPr>
            <w:tcW w:w="276" w:type="pct"/>
            <w:vAlign w:val="center"/>
          </w:tcPr>
          <w:p w14:paraId="3DE62420">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4.67</w:t>
            </w:r>
          </w:p>
        </w:tc>
        <w:tc>
          <w:tcPr>
            <w:tcW w:w="331" w:type="pct"/>
            <w:shd w:val="clear" w:color="auto" w:fill="auto"/>
            <w:vAlign w:val="center"/>
          </w:tcPr>
          <w:p w14:paraId="4104AD2D">
            <w:pPr>
              <w:spacing w:line="240" w:lineRule="auto"/>
              <w:ind w:firstLine="0" w:firstLineChars="0"/>
              <w:jc w:val="center"/>
              <w:rPr>
                <w:color w:val="auto"/>
                <w:kern w:val="0"/>
                <w:sz w:val="21"/>
                <w:szCs w:val="21"/>
              </w:rPr>
            </w:pPr>
            <w:r>
              <w:rPr>
                <w:color w:val="auto"/>
                <w:kern w:val="0"/>
                <w:sz w:val="21"/>
                <w:szCs w:val="21"/>
              </w:rPr>
              <w:t>/</w:t>
            </w:r>
          </w:p>
        </w:tc>
        <w:tc>
          <w:tcPr>
            <w:tcW w:w="395" w:type="pct"/>
            <w:vAlign w:val="center"/>
          </w:tcPr>
          <w:p w14:paraId="6B74711C">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1.371</w:t>
            </w:r>
          </w:p>
        </w:tc>
        <w:tc>
          <w:tcPr>
            <w:tcW w:w="257" w:type="pct"/>
            <w:vAlign w:val="center"/>
          </w:tcPr>
          <w:p w14:paraId="6D24303C">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w:t>
            </w:r>
          </w:p>
        </w:tc>
        <w:tc>
          <w:tcPr>
            <w:tcW w:w="246" w:type="pct"/>
            <w:shd w:val="clear" w:color="auto" w:fill="auto"/>
            <w:vAlign w:val="center"/>
          </w:tcPr>
          <w:p w14:paraId="205B71BF">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6F278147">
            <w:pPr>
              <w:spacing w:line="240" w:lineRule="auto"/>
              <w:ind w:firstLine="0" w:firstLineChars="0"/>
              <w:jc w:val="center"/>
              <w:rPr>
                <w:color w:val="auto"/>
                <w:kern w:val="44"/>
                <w:sz w:val="21"/>
                <w:szCs w:val="21"/>
              </w:rPr>
            </w:pPr>
          </w:p>
        </w:tc>
      </w:tr>
      <w:tr w14:paraId="41816D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54" w:hRule="atLeast"/>
          <w:jc w:val="center"/>
        </w:trPr>
        <w:tc>
          <w:tcPr>
            <w:tcW w:w="248" w:type="pct"/>
            <w:vMerge w:val="continue"/>
            <w:vAlign w:val="center"/>
          </w:tcPr>
          <w:p w14:paraId="231475A2">
            <w:pPr>
              <w:spacing w:line="240" w:lineRule="auto"/>
              <w:ind w:firstLine="0" w:firstLineChars="0"/>
              <w:jc w:val="center"/>
              <w:rPr>
                <w:color w:val="auto"/>
                <w:kern w:val="44"/>
                <w:sz w:val="21"/>
                <w:szCs w:val="21"/>
              </w:rPr>
            </w:pPr>
          </w:p>
        </w:tc>
        <w:tc>
          <w:tcPr>
            <w:tcW w:w="293" w:type="pct"/>
            <w:gridSpan w:val="2"/>
            <w:vMerge w:val="continue"/>
            <w:vAlign w:val="center"/>
          </w:tcPr>
          <w:p w14:paraId="62F17D59">
            <w:pPr>
              <w:spacing w:line="240" w:lineRule="auto"/>
              <w:ind w:firstLine="0" w:firstLineChars="0"/>
              <w:jc w:val="center"/>
              <w:rPr>
                <w:color w:val="auto"/>
                <w:kern w:val="44"/>
                <w:sz w:val="21"/>
                <w:szCs w:val="21"/>
              </w:rPr>
            </w:pPr>
          </w:p>
        </w:tc>
        <w:tc>
          <w:tcPr>
            <w:tcW w:w="398" w:type="pct"/>
            <w:gridSpan w:val="2"/>
            <w:vMerge w:val="continue"/>
            <w:vAlign w:val="center"/>
          </w:tcPr>
          <w:p w14:paraId="6562B3B2">
            <w:pPr>
              <w:spacing w:line="240" w:lineRule="auto"/>
              <w:ind w:firstLine="0" w:firstLineChars="0"/>
              <w:jc w:val="center"/>
              <w:rPr>
                <w:color w:val="auto"/>
                <w:kern w:val="44"/>
                <w:sz w:val="21"/>
                <w:szCs w:val="21"/>
              </w:rPr>
            </w:pPr>
          </w:p>
        </w:tc>
        <w:tc>
          <w:tcPr>
            <w:tcW w:w="315" w:type="pct"/>
            <w:vAlign w:val="center"/>
          </w:tcPr>
          <w:p w14:paraId="169490E1">
            <w:pPr>
              <w:spacing w:line="240" w:lineRule="auto"/>
              <w:ind w:firstLine="0" w:firstLineChars="0"/>
              <w:jc w:val="center"/>
              <w:rPr>
                <w:color w:val="auto"/>
                <w:sz w:val="21"/>
                <w:szCs w:val="21"/>
              </w:rPr>
            </w:pPr>
            <w:r>
              <w:rPr>
                <w:rFonts w:hint="eastAsia"/>
                <w:color w:val="auto"/>
                <w:sz w:val="21"/>
                <w:szCs w:val="21"/>
              </w:rPr>
              <w:t>LAS</w:t>
            </w:r>
          </w:p>
        </w:tc>
        <w:tc>
          <w:tcPr>
            <w:tcW w:w="903" w:type="pct"/>
            <w:vMerge w:val="continue"/>
            <w:vAlign w:val="center"/>
          </w:tcPr>
          <w:p w14:paraId="5C86B9B7">
            <w:pPr>
              <w:spacing w:line="240" w:lineRule="auto"/>
              <w:ind w:firstLine="0" w:firstLineChars="0"/>
              <w:jc w:val="center"/>
              <w:rPr>
                <w:color w:val="auto"/>
                <w:kern w:val="44"/>
                <w:sz w:val="21"/>
                <w:szCs w:val="21"/>
              </w:rPr>
            </w:pPr>
          </w:p>
        </w:tc>
        <w:tc>
          <w:tcPr>
            <w:tcW w:w="356" w:type="pct"/>
            <w:vMerge w:val="continue"/>
            <w:vAlign w:val="center"/>
          </w:tcPr>
          <w:p w14:paraId="378F813D">
            <w:pPr>
              <w:spacing w:line="240" w:lineRule="auto"/>
              <w:ind w:firstLine="0" w:firstLineChars="0"/>
              <w:jc w:val="center"/>
              <w:rPr>
                <w:color w:val="auto"/>
                <w:kern w:val="44"/>
                <w:sz w:val="21"/>
                <w:szCs w:val="21"/>
              </w:rPr>
            </w:pPr>
          </w:p>
        </w:tc>
        <w:tc>
          <w:tcPr>
            <w:tcW w:w="236" w:type="pct"/>
            <w:vMerge w:val="continue"/>
            <w:vAlign w:val="center"/>
          </w:tcPr>
          <w:p w14:paraId="175DE03F">
            <w:pPr>
              <w:spacing w:line="240" w:lineRule="auto"/>
              <w:ind w:firstLine="0" w:firstLineChars="0"/>
              <w:jc w:val="center"/>
              <w:rPr>
                <w:color w:val="auto"/>
                <w:sz w:val="21"/>
                <w:szCs w:val="21"/>
              </w:rPr>
            </w:pPr>
          </w:p>
        </w:tc>
        <w:tc>
          <w:tcPr>
            <w:tcW w:w="276" w:type="pct"/>
            <w:vAlign w:val="center"/>
          </w:tcPr>
          <w:p w14:paraId="0770979F">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10.04</w:t>
            </w:r>
          </w:p>
        </w:tc>
        <w:tc>
          <w:tcPr>
            <w:tcW w:w="331" w:type="pct"/>
            <w:shd w:val="clear" w:color="auto" w:fill="auto"/>
            <w:vAlign w:val="center"/>
          </w:tcPr>
          <w:p w14:paraId="05757439">
            <w:pPr>
              <w:spacing w:line="240" w:lineRule="auto"/>
              <w:ind w:firstLine="0" w:firstLineChars="0"/>
              <w:jc w:val="center"/>
              <w:rPr>
                <w:color w:val="auto"/>
                <w:kern w:val="0"/>
                <w:sz w:val="21"/>
                <w:szCs w:val="21"/>
              </w:rPr>
            </w:pPr>
            <w:r>
              <w:rPr>
                <w:color w:val="auto"/>
                <w:kern w:val="0"/>
                <w:sz w:val="21"/>
                <w:szCs w:val="21"/>
              </w:rPr>
              <w:t>/</w:t>
            </w:r>
          </w:p>
        </w:tc>
        <w:tc>
          <w:tcPr>
            <w:tcW w:w="395" w:type="pct"/>
            <w:vAlign w:val="center"/>
          </w:tcPr>
          <w:p w14:paraId="05F870CC">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2.947</w:t>
            </w:r>
          </w:p>
        </w:tc>
        <w:tc>
          <w:tcPr>
            <w:tcW w:w="257" w:type="pct"/>
            <w:vAlign w:val="center"/>
          </w:tcPr>
          <w:p w14:paraId="270BFD8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0.5</w:t>
            </w:r>
          </w:p>
        </w:tc>
        <w:tc>
          <w:tcPr>
            <w:tcW w:w="246" w:type="pct"/>
            <w:shd w:val="clear" w:color="auto" w:fill="auto"/>
            <w:vAlign w:val="center"/>
          </w:tcPr>
          <w:p w14:paraId="1209FF75">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2499F60F">
            <w:pPr>
              <w:spacing w:line="240" w:lineRule="auto"/>
              <w:ind w:firstLine="0" w:firstLineChars="0"/>
              <w:jc w:val="center"/>
              <w:rPr>
                <w:color w:val="auto"/>
                <w:kern w:val="44"/>
                <w:sz w:val="21"/>
                <w:szCs w:val="21"/>
              </w:rPr>
            </w:pPr>
          </w:p>
        </w:tc>
      </w:tr>
      <w:tr w14:paraId="2F853D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54" w:hRule="atLeast"/>
          <w:jc w:val="center"/>
        </w:trPr>
        <w:tc>
          <w:tcPr>
            <w:tcW w:w="248" w:type="pct"/>
            <w:vMerge w:val="continue"/>
            <w:vAlign w:val="center"/>
          </w:tcPr>
          <w:p w14:paraId="1D405546">
            <w:pPr>
              <w:spacing w:line="240" w:lineRule="auto"/>
              <w:ind w:firstLine="0" w:firstLineChars="0"/>
              <w:jc w:val="center"/>
              <w:rPr>
                <w:color w:val="auto"/>
                <w:kern w:val="44"/>
                <w:sz w:val="21"/>
                <w:szCs w:val="21"/>
              </w:rPr>
            </w:pPr>
          </w:p>
        </w:tc>
        <w:tc>
          <w:tcPr>
            <w:tcW w:w="293" w:type="pct"/>
            <w:gridSpan w:val="2"/>
            <w:vMerge w:val="continue"/>
            <w:vAlign w:val="center"/>
          </w:tcPr>
          <w:p w14:paraId="48142CF4">
            <w:pPr>
              <w:spacing w:line="240" w:lineRule="auto"/>
              <w:ind w:firstLine="0" w:firstLineChars="0"/>
              <w:jc w:val="center"/>
              <w:rPr>
                <w:color w:val="auto"/>
                <w:kern w:val="44"/>
                <w:sz w:val="21"/>
                <w:szCs w:val="21"/>
              </w:rPr>
            </w:pPr>
          </w:p>
        </w:tc>
        <w:tc>
          <w:tcPr>
            <w:tcW w:w="398" w:type="pct"/>
            <w:gridSpan w:val="2"/>
            <w:vMerge w:val="continue"/>
            <w:vAlign w:val="center"/>
          </w:tcPr>
          <w:p w14:paraId="490D7444">
            <w:pPr>
              <w:spacing w:line="240" w:lineRule="auto"/>
              <w:ind w:firstLine="0" w:firstLineChars="0"/>
              <w:jc w:val="center"/>
              <w:rPr>
                <w:color w:val="auto"/>
                <w:kern w:val="44"/>
                <w:sz w:val="21"/>
                <w:szCs w:val="21"/>
              </w:rPr>
            </w:pPr>
          </w:p>
        </w:tc>
        <w:tc>
          <w:tcPr>
            <w:tcW w:w="315" w:type="pct"/>
            <w:vAlign w:val="center"/>
          </w:tcPr>
          <w:p w14:paraId="24323690">
            <w:pPr>
              <w:spacing w:line="240" w:lineRule="auto"/>
              <w:ind w:firstLine="0" w:firstLineChars="0"/>
              <w:jc w:val="center"/>
              <w:rPr>
                <w:color w:val="auto"/>
                <w:sz w:val="21"/>
                <w:szCs w:val="21"/>
              </w:rPr>
            </w:pPr>
            <w:r>
              <w:rPr>
                <w:rFonts w:hint="eastAsia"/>
                <w:color w:val="auto"/>
                <w:sz w:val="21"/>
                <w:szCs w:val="21"/>
              </w:rPr>
              <w:t>总锡</w:t>
            </w:r>
          </w:p>
        </w:tc>
        <w:tc>
          <w:tcPr>
            <w:tcW w:w="903" w:type="pct"/>
            <w:vMerge w:val="continue"/>
            <w:vAlign w:val="center"/>
          </w:tcPr>
          <w:p w14:paraId="3563EE55">
            <w:pPr>
              <w:spacing w:line="240" w:lineRule="auto"/>
              <w:ind w:firstLine="0" w:firstLineChars="0"/>
              <w:jc w:val="center"/>
              <w:rPr>
                <w:color w:val="auto"/>
                <w:kern w:val="44"/>
                <w:sz w:val="21"/>
                <w:szCs w:val="21"/>
              </w:rPr>
            </w:pPr>
          </w:p>
        </w:tc>
        <w:tc>
          <w:tcPr>
            <w:tcW w:w="356" w:type="pct"/>
            <w:vMerge w:val="continue"/>
            <w:vAlign w:val="center"/>
          </w:tcPr>
          <w:p w14:paraId="55BAF94F">
            <w:pPr>
              <w:spacing w:line="240" w:lineRule="auto"/>
              <w:ind w:firstLine="0" w:firstLineChars="0"/>
              <w:jc w:val="center"/>
              <w:rPr>
                <w:color w:val="auto"/>
                <w:kern w:val="44"/>
                <w:sz w:val="21"/>
                <w:szCs w:val="21"/>
              </w:rPr>
            </w:pPr>
          </w:p>
        </w:tc>
        <w:tc>
          <w:tcPr>
            <w:tcW w:w="236" w:type="pct"/>
            <w:vMerge w:val="continue"/>
            <w:vAlign w:val="center"/>
          </w:tcPr>
          <w:p w14:paraId="00FB4204">
            <w:pPr>
              <w:spacing w:line="240" w:lineRule="auto"/>
              <w:ind w:firstLine="0" w:firstLineChars="0"/>
              <w:jc w:val="center"/>
              <w:rPr>
                <w:color w:val="auto"/>
                <w:sz w:val="21"/>
                <w:szCs w:val="21"/>
              </w:rPr>
            </w:pPr>
          </w:p>
        </w:tc>
        <w:tc>
          <w:tcPr>
            <w:tcW w:w="276" w:type="pct"/>
            <w:vAlign w:val="center"/>
          </w:tcPr>
          <w:p w14:paraId="42203FA9">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2.90</w:t>
            </w:r>
          </w:p>
        </w:tc>
        <w:tc>
          <w:tcPr>
            <w:tcW w:w="331" w:type="pct"/>
            <w:shd w:val="clear" w:color="auto" w:fill="auto"/>
            <w:vAlign w:val="center"/>
          </w:tcPr>
          <w:p w14:paraId="6A3716AD">
            <w:pPr>
              <w:spacing w:line="240" w:lineRule="auto"/>
              <w:ind w:firstLine="0" w:firstLineChars="0"/>
              <w:jc w:val="center"/>
              <w:rPr>
                <w:color w:val="auto"/>
                <w:kern w:val="0"/>
                <w:sz w:val="21"/>
                <w:szCs w:val="21"/>
              </w:rPr>
            </w:pPr>
            <w:r>
              <w:rPr>
                <w:color w:val="auto"/>
                <w:kern w:val="0"/>
                <w:sz w:val="21"/>
                <w:szCs w:val="21"/>
              </w:rPr>
              <w:t>/</w:t>
            </w:r>
          </w:p>
        </w:tc>
        <w:tc>
          <w:tcPr>
            <w:tcW w:w="395" w:type="pct"/>
            <w:vAlign w:val="center"/>
          </w:tcPr>
          <w:p w14:paraId="5E6DDFCF">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0.851</w:t>
            </w:r>
          </w:p>
        </w:tc>
        <w:tc>
          <w:tcPr>
            <w:tcW w:w="257" w:type="pct"/>
            <w:vAlign w:val="center"/>
          </w:tcPr>
          <w:p w14:paraId="382FF6CB">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5.0</w:t>
            </w:r>
          </w:p>
        </w:tc>
        <w:tc>
          <w:tcPr>
            <w:tcW w:w="246" w:type="pct"/>
            <w:shd w:val="clear" w:color="auto" w:fill="auto"/>
            <w:vAlign w:val="center"/>
          </w:tcPr>
          <w:p w14:paraId="231BA77C">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76F4FC70">
            <w:pPr>
              <w:spacing w:line="240" w:lineRule="auto"/>
              <w:ind w:firstLine="0" w:firstLineChars="0"/>
              <w:jc w:val="center"/>
              <w:rPr>
                <w:color w:val="auto"/>
                <w:kern w:val="44"/>
                <w:sz w:val="21"/>
                <w:szCs w:val="21"/>
              </w:rPr>
            </w:pPr>
          </w:p>
        </w:tc>
      </w:tr>
      <w:tr w14:paraId="677755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1054" w:hRule="atLeast"/>
          <w:jc w:val="center"/>
        </w:trPr>
        <w:tc>
          <w:tcPr>
            <w:tcW w:w="248" w:type="pct"/>
            <w:vMerge w:val="continue"/>
            <w:vAlign w:val="center"/>
          </w:tcPr>
          <w:p w14:paraId="25A6E827">
            <w:pPr>
              <w:spacing w:line="240" w:lineRule="auto"/>
              <w:ind w:firstLine="0" w:firstLineChars="0"/>
              <w:jc w:val="center"/>
              <w:rPr>
                <w:color w:val="auto"/>
                <w:kern w:val="44"/>
                <w:sz w:val="21"/>
                <w:szCs w:val="21"/>
              </w:rPr>
            </w:pPr>
          </w:p>
        </w:tc>
        <w:tc>
          <w:tcPr>
            <w:tcW w:w="293" w:type="pct"/>
            <w:gridSpan w:val="2"/>
            <w:vMerge w:val="continue"/>
            <w:vAlign w:val="center"/>
          </w:tcPr>
          <w:p w14:paraId="0F24D538">
            <w:pPr>
              <w:spacing w:line="240" w:lineRule="auto"/>
              <w:ind w:firstLine="0" w:firstLineChars="0"/>
              <w:jc w:val="center"/>
              <w:rPr>
                <w:color w:val="auto"/>
                <w:kern w:val="44"/>
                <w:sz w:val="21"/>
                <w:szCs w:val="21"/>
              </w:rPr>
            </w:pPr>
          </w:p>
        </w:tc>
        <w:tc>
          <w:tcPr>
            <w:tcW w:w="398" w:type="pct"/>
            <w:gridSpan w:val="2"/>
            <w:vMerge w:val="continue"/>
            <w:vAlign w:val="center"/>
          </w:tcPr>
          <w:p w14:paraId="13148FE7">
            <w:pPr>
              <w:spacing w:line="240" w:lineRule="auto"/>
              <w:ind w:firstLine="0" w:firstLineChars="0"/>
              <w:jc w:val="center"/>
              <w:rPr>
                <w:color w:val="auto"/>
                <w:kern w:val="44"/>
                <w:sz w:val="21"/>
                <w:szCs w:val="21"/>
              </w:rPr>
            </w:pPr>
          </w:p>
        </w:tc>
        <w:tc>
          <w:tcPr>
            <w:tcW w:w="315" w:type="pct"/>
            <w:vAlign w:val="center"/>
          </w:tcPr>
          <w:p w14:paraId="16E13A22">
            <w:pPr>
              <w:spacing w:line="240" w:lineRule="auto"/>
              <w:ind w:firstLine="0" w:firstLineChars="0"/>
              <w:jc w:val="center"/>
              <w:rPr>
                <w:color w:val="auto"/>
                <w:sz w:val="21"/>
                <w:szCs w:val="21"/>
              </w:rPr>
            </w:pPr>
            <w:r>
              <w:rPr>
                <w:rFonts w:hint="eastAsia"/>
                <w:color w:val="auto"/>
                <w:sz w:val="21"/>
                <w:szCs w:val="21"/>
              </w:rPr>
              <w:t>动植物油</w:t>
            </w:r>
          </w:p>
        </w:tc>
        <w:tc>
          <w:tcPr>
            <w:tcW w:w="903" w:type="pct"/>
            <w:vMerge w:val="continue"/>
            <w:vAlign w:val="center"/>
          </w:tcPr>
          <w:p w14:paraId="597FDA14">
            <w:pPr>
              <w:spacing w:line="240" w:lineRule="auto"/>
              <w:ind w:firstLine="0" w:firstLineChars="0"/>
              <w:jc w:val="center"/>
              <w:rPr>
                <w:color w:val="auto"/>
                <w:kern w:val="44"/>
                <w:sz w:val="21"/>
                <w:szCs w:val="21"/>
              </w:rPr>
            </w:pPr>
          </w:p>
        </w:tc>
        <w:tc>
          <w:tcPr>
            <w:tcW w:w="356" w:type="pct"/>
            <w:vMerge w:val="continue"/>
            <w:vAlign w:val="center"/>
          </w:tcPr>
          <w:p w14:paraId="18DE2628">
            <w:pPr>
              <w:spacing w:line="240" w:lineRule="auto"/>
              <w:ind w:firstLine="0" w:firstLineChars="0"/>
              <w:jc w:val="center"/>
              <w:rPr>
                <w:color w:val="auto"/>
                <w:kern w:val="44"/>
                <w:sz w:val="21"/>
                <w:szCs w:val="21"/>
              </w:rPr>
            </w:pPr>
          </w:p>
        </w:tc>
        <w:tc>
          <w:tcPr>
            <w:tcW w:w="236" w:type="pct"/>
            <w:vMerge w:val="continue"/>
            <w:vAlign w:val="center"/>
          </w:tcPr>
          <w:p w14:paraId="1D6A8DCC">
            <w:pPr>
              <w:spacing w:line="240" w:lineRule="auto"/>
              <w:ind w:firstLine="0" w:firstLineChars="0"/>
              <w:jc w:val="center"/>
              <w:rPr>
                <w:color w:val="auto"/>
                <w:sz w:val="21"/>
                <w:szCs w:val="21"/>
              </w:rPr>
            </w:pPr>
          </w:p>
        </w:tc>
        <w:tc>
          <w:tcPr>
            <w:tcW w:w="276" w:type="pct"/>
            <w:vAlign w:val="center"/>
          </w:tcPr>
          <w:p w14:paraId="1BCE869B">
            <w:pPr>
              <w:widowControl/>
              <w:spacing w:line="240" w:lineRule="auto"/>
              <w:ind w:firstLine="0" w:firstLineChars="0"/>
              <w:jc w:val="center"/>
              <w:textAlignment w:val="center"/>
              <w:rPr>
                <w:color w:val="auto"/>
                <w:sz w:val="21"/>
                <w:szCs w:val="21"/>
              </w:rPr>
            </w:pPr>
            <w:r>
              <w:rPr>
                <w:rFonts w:eastAsia="等线"/>
                <w:color w:val="auto"/>
                <w:kern w:val="0"/>
                <w:sz w:val="21"/>
                <w:szCs w:val="21"/>
                <w:lang w:bidi="ar"/>
              </w:rPr>
              <w:t>0.67</w:t>
            </w:r>
          </w:p>
        </w:tc>
        <w:tc>
          <w:tcPr>
            <w:tcW w:w="331" w:type="pct"/>
            <w:shd w:val="clear" w:color="auto" w:fill="auto"/>
            <w:vAlign w:val="center"/>
          </w:tcPr>
          <w:p w14:paraId="5D0EA453">
            <w:pPr>
              <w:spacing w:line="240" w:lineRule="auto"/>
              <w:ind w:firstLine="0" w:firstLineChars="0"/>
              <w:jc w:val="center"/>
              <w:rPr>
                <w:color w:val="auto"/>
                <w:sz w:val="21"/>
                <w:szCs w:val="21"/>
              </w:rPr>
            </w:pPr>
            <w:r>
              <w:rPr>
                <w:color w:val="auto"/>
                <w:sz w:val="21"/>
                <w:szCs w:val="21"/>
              </w:rPr>
              <w:t>/</w:t>
            </w:r>
          </w:p>
        </w:tc>
        <w:tc>
          <w:tcPr>
            <w:tcW w:w="395" w:type="pct"/>
            <w:vAlign w:val="center"/>
          </w:tcPr>
          <w:p w14:paraId="15C2F0F3">
            <w:pPr>
              <w:widowControl/>
              <w:spacing w:line="240" w:lineRule="auto"/>
              <w:ind w:firstLine="0" w:firstLineChars="0"/>
              <w:jc w:val="center"/>
              <w:textAlignment w:val="center"/>
              <w:rPr>
                <w:color w:val="auto"/>
                <w:kern w:val="0"/>
                <w:sz w:val="21"/>
                <w:szCs w:val="21"/>
                <w:lang w:bidi="ar"/>
              </w:rPr>
            </w:pPr>
            <w:r>
              <w:rPr>
                <w:rFonts w:eastAsia="等线"/>
                <w:color w:val="auto"/>
                <w:kern w:val="0"/>
                <w:sz w:val="21"/>
                <w:szCs w:val="21"/>
                <w:lang w:bidi="ar"/>
              </w:rPr>
              <w:t>0.198</w:t>
            </w:r>
          </w:p>
        </w:tc>
        <w:tc>
          <w:tcPr>
            <w:tcW w:w="257" w:type="pct"/>
            <w:vAlign w:val="center"/>
          </w:tcPr>
          <w:p w14:paraId="72A26A39">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w:t>
            </w:r>
          </w:p>
        </w:tc>
        <w:tc>
          <w:tcPr>
            <w:tcW w:w="246" w:type="pct"/>
            <w:shd w:val="clear" w:color="auto" w:fill="auto"/>
            <w:vAlign w:val="center"/>
          </w:tcPr>
          <w:p w14:paraId="5BD205A4">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232F4503">
            <w:pPr>
              <w:spacing w:line="240" w:lineRule="auto"/>
              <w:ind w:firstLine="0" w:firstLineChars="0"/>
              <w:jc w:val="center"/>
              <w:rPr>
                <w:color w:val="auto"/>
                <w:kern w:val="44"/>
                <w:sz w:val="21"/>
                <w:szCs w:val="21"/>
              </w:rPr>
            </w:pPr>
          </w:p>
        </w:tc>
      </w:tr>
      <w:tr w14:paraId="0AE8A6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862" w:hRule="atLeast"/>
          <w:jc w:val="center"/>
        </w:trPr>
        <w:tc>
          <w:tcPr>
            <w:tcW w:w="248" w:type="pct"/>
            <w:vMerge w:val="continue"/>
            <w:vAlign w:val="center"/>
          </w:tcPr>
          <w:p w14:paraId="680AF443">
            <w:pPr>
              <w:spacing w:line="240" w:lineRule="auto"/>
              <w:ind w:firstLine="0" w:firstLineChars="0"/>
              <w:jc w:val="center"/>
              <w:rPr>
                <w:color w:val="auto"/>
                <w:kern w:val="44"/>
                <w:sz w:val="21"/>
                <w:szCs w:val="21"/>
              </w:rPr>
            </w:pPr>
          </w:p>
        </w:tc>
        <w:tc>
          <w:tcPr>
            <w:tcW w:w="293" w:type="pct"/>
            <w:gridSpan w:val="2"/>
            <w:vMerge w:val="continue"/>
            <w:vAlign w:val="center"/>
          </w:tcPr>
          <w:p w14:paraId="07499D8A">
            <w:pPr>
              <w:spacing w:line="240" w:lineRule="auto"/>
              <w:ind w:firstLine="0" w:firstLineChars="0"/>
              <w:jc w:val="center"/>
              <w:rPr>
                <w:color w:val="auto"/>
                <w:kern w:val="44"/>
                <w:sz w:val="21"/>
                <w:szCs w:val="21"/>
              </w:rPr>
            </w:pPr>
          </w:p>
        </w:tc>
        <w:tc>
          <w:tcPr>
            <w:tcW w:w="398" w:type="pct"/>
            <w:gridSpan w:val="2"/>
            <w:vMerge w:val="continue"/>
            <w:vAlign w:val="center"/>
          </w:tcPr>
          <w:p w14:paraId="2E2D5987">
            <w:pPr>
              <w:spacing w:line="240" w:lineRule="auto"/>
              <w:ind w:firstLine="0" w:firstLineChars="0"/>
              <w:jc w:val="center"/>
              <w:rPr>
                <w:color w:val="auto"/>
                <w:kern w:val="44"/>
                <w:sz w:val="21"/>
                <w:szCs w:val="21"/>
              </w:rPr>
            </w:pPr>
          </w:p>
        </w:tc>
        <w:tc>
          <w:tcPr>
            <w:tcW w:w="315" w:type="pct"/>
            <w:vAlign w:val="center"/>
          </w:tcPr>
          <w:p w14:paraId="1CD051D5">
            <w:pPr>
              <w:spacing w:line="240" w:lineRule="auto"/>
              <w:ind w:firstLine="0" w:firstLineChars="0"/>
              <w:jc w:val="center"/>
              <w:rPr>
                <w:color w:val="auto"/>
                <w:sz w:val="21"/>
                <w:szCs w:val="21"/>
              </w:rPr>
            </w:pPr>
            <w:r>
              <w:rPr>
                <w:rFonts w:hint="eastAsia"/>
                <w:color w:val="auto"/>
                <w:sz w:val="21"/>
                <w:szCs w:val="21"/>
              </w:rPr>
              <w:t>盐分</w:t>
            </w:r>
          </w:p>
        </w:tc>
        <w:tc>
          <w:tcPr>
            <w:tcW w:w="903" w:type="pct"/>
            <w:vMerge w:val="continue"/>
            <w:vAlign w:val="center"/>
          </w:tcPr>
          <w:p w14:paraId="7EE01E49">
            <w:pPr>
              <w:spacing w:line="240" w:lineRule="auto"/>
              <w:ind w:firstLine="0" w:firstLineChars="0"/>
              <w:jc w:val="center"/>
              <w:rPr>
                <w:color w:val="auto"/>
                <w:kern w:val="44"/>
                <w:sz w:val="21"/>
                <w:szCs w:val="21"/>
              </w:rPr>
            </w:pPr>
          </w:p>
        </w:tc>
        <w:tc>
          <w:tcPr>
            <w:tcW w:w="356" w:type="pct"/>
            <w:vMerge w:val="continue"/>
            <w:vAlign w:val="center"/>
          </w:tcPr>
          <w:p w14:paraId="76F6C26A">
            <w:pPr>
              <w:spacing w:line="240" w:lineRule="auto"/>
              <w:ind w:firstLine="0" w:firstLineChars="0"/>
              <w:jc w:val="center"/>
              <w:rPr>
                <w:color w:val="auto"/>
                <w:kern w:val="44"/>
                <w:sz w:val="21"/>
                <w:szCs w:val="21"/>
              </w:rPr>
            </w:pPr>
          </w:p>
        </w:tc>
        <w:tc>
          <w:tcPr>
            <w:tcW w:w="236" w:type="pct"/>
            <w:vMerge w:val="continue"/>
            <w:vAlign w:val="center"/>
          </w:tcPr>
          <w:p w14:paraId="738D4BEC">
            <w:pPr>
              <w:spacing w:line="240" w:lineRule="auto"/>
              <w:ind w:firstLine="0" w:firstLineChars="0"/>
              <w:jc w:val="center"/>
              <w:rPr>
                <w:color w:val="auto"/>
                <w:sz w:val="21"/>
                <w:szCs w:val="21"/>
              </w:rPr>
            </w:pPr>
          </w:p>
        </w:tc>
        <w:tc>
          <w:tcPr>
            <w:tcW w:w="276" w:type="pct"/>
            <w:vAlign w:val="center"/>
          </w:tcPr>
          <w:p w14:paraId="0EA6A0D6">
            <w:pPr>
              <w:widowControl/>
              <w:spacing w:line="240" w:lineRule="auto"/>
              <w:ind w:firstLine="0" w:firstLineChars="0"/>
              <w:jc w:val="center"/>
              <w:textAlignment w:val="center"/>
              <w:rPr>
                <w:color w:val="auto"/>
                <w:sz w:val="21"/>
                <w:szCs w:val="21"/>
              </w:rPr>
            </w:pPr>
            <w:r>
              <w:rPr>
                <w:rFonts w:hint="eastAsia" w:eastAsia="等线"/>
                <w:bCs/>
                <w:color w:val="auto"/>
                <w:sz w:val="21"/>
                <w:szCs w:val="21"/>
              </w:rPr>
              <w:t>442.36</w:t>
            </w:r>
          </w:p>
        </w:tc>
        <w:tc>
          <w:tcPr>
            <w:tcW w:w="331" w:type="pct"/>
            <w:vAlign w:val="center"/>
          </w:tcPr>
          <w:p w14:paraId="2974EE36">
            <w:pPr>
              <w:spacing w:line="240" w:lineRule="auto"/>
              <w:ind w:firstLine="0" w:firstLineChars="0"/>
              <w:jc w:val="center"/>
              <w:rPr>
                <w:color w:val="auto"/>
                <w:sz w:val="21"/>
                <w:szCs w:val="21"/>
              </w:rPr>
            </w:pPr>
            <w:r>
              <w:rPr>
                <w:rFonts w:hint="eastAsia"/>
                <w:color w:val="auto"/>
                <w:sz w:val="21"/>
                <w:szCs w:val="21"/>
              </w:rPr>
              <w:t>/</w:t>
            </w:r>
          </w:p>
        </w:tc>
        <w:tc>
          <w:tcPr>
            <w:tcW w:w="395" w:type="pct"/>
            <w:vAlign w:val="center"/>
          </w:tcPr>
          <w:p w14:paraId="05E35780">
            <w:pPr>
              <w:widowControl/>
              <w:spacing w:line="240" w:lineRule="auto"/>
              <w:ind w:firstLine="0" w:firstLineChars="0"/>
              <w:jc w:val="center"/>
              <w:textAlignment w:val="center"/>
              <w:rPr>
                <w:color w:val="auto"/>
                <w:kern w:val="0"/>
                <w:sz w:val="21"/>
                <w:szCs w:val="21"/>
                <w:lang w:bidi="ar"/>
              </w:rPr>
            </w:pPr>
            <w:r>
              <w:rPr>
                <w:rFonts w:hint="eastAsia" w:eastAsia="等线"/>
                <w:color w:val="auto"/>
                <w:kern w:val="0"/>
                <w:sz w:val="21"/>
                <w:szCs w:val="21"/>
                <w:lang w:bidi="ar"/>
              </w:rPr>
              <w:t>129.814</w:t>
            </w:r>
          </w:p>
        </w:tc>
        <w:tc>
          <w:tcPr>
            <w:tcW w:w="257" w:type="pct"/>
            <w:vAlign w:val="center"/>
          </w:tcPr>
          <w:p w14:paraId="7DA080B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1500</w:t>
            </w:r>
          </w:p>
        </w:tc>
        <w:tc>
          <w:tcPr>
            <w:tcW w:w="246" w:type="pct"/>
            <w:vAlign w:val="center"/>
          </w:tcPr>
          <w:p w14:paraId="11770E07">
            <w:pPr>
              <w:spacing w:line="240" w:lineRule="auto"/>
              <w:ind w:firstLine="0" w:firstLineChars="0"/>
              <w:jc w:val="center"/>
              <w:rPr>
                <w:color w:val="auto"/>
                <w:kern w:val="44"/>
                <w:sz w:val="21"/>
                <w:szCs w:val="21"/>
              </w:rPr>
            </w:pPr>
            <w:r>
              <w:rPr>
                <w:rFonts w:hint="eastAsia"/>
                <w:color w:val="auto"/>
                <w:kern w:val="44"/>
                <w:sz w:val="21"/>
                <w:szCs w:val="21"/>
              </w:rPr>
              <w:t>/</w:t>
            </w:r>
          </w:p>
        </w:tc>
        <w:tc>
          <w:tcPr>
            <w:tcW w:w="742" w:type="pct"/>
            <w:vMerge w:val="continue"/>
            <w:vAlign w:val="center"/>
          </w:tcPr>
          <w:p w14:paraId="1F61EDB3">
            <w:pPr>
              <w:spacing w:line="240" w:lineRule="auto"/>
              <w:ind w:firstLine="0" w:firstLineChars="0"/>
              <w:jc w:val="center"/>
              <w:rPr>
                <w:color w:val="auto"/>
                <w:kern w:val="44"/>
                <w:sz w:val="21"/>
                <w:szCs w:val="21"/>
              </w:rPr>
            </w:pPr>
          </w:p>
        </w:tc>
      </w:tr>
      <w:tr w14:paraId="1D1A31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67" w:hRule="atLeast"/>
          <w:jc w:val="center"/>
        </w:trPr>
        <w:tc>
          <w:tcPr>
            <w:tcW w:w="248" w:type="pct"/>
            <w:vAlign w:val="center"/>
          </w:tcPr>
          <w:p w14:paraId="1A4CFD40">
            <w:pPr>
              <w:spacing w:line="240" w:lineRule="auto"/>
              <w:ind w:firstLine="0" w:firstLineChars="0"/>
              <w:jc w:val="center"/>
              <w:rPr>
                <w:color w:val="auto"/>
                <w:kern w:val="44"/>
                <w:sz w:val="21"/>
                <w:szCs w:val="21"/>
              </w:rPr>
            </w:pPr>
            <w:r>
              <w:rPr>
                <w:color w:val="auto"/>
                <w:kern w:val="44"/>
                <w:sz w:val="21"/>
                <w:szCs w:val="21"/>
              </w:rPr>
              <w:t>噪声</w:t>
            </w:r>
          </w:p>
        </w:tc>
        <w:tc>
          <w:tcPr>
            <w:tcW w:w="1006" w:type="pct"/>
            <w:gridSpan w:val="5"/>
            <w:vAlign w:val="center"/>
          </w:tcPr>
          <w:p w14:paraId="169C51C6">
            <w:pPr>
              <w:spacing w:line="240" w:lineRule="auto"/>
              <w:ind w:firstLine="0" w:firstLineChars="0"/>
              <w:jc w:val="center"/>
              <w:rPr>
                <w:color w:val="auto"/>
                <w:kern w:val="44"/>
                <w:sz w:val="21"/>
                <w:szCs w:val="21"/>
              </w:rPr>
            </w:pPr>
            <w:r>
              <w:rPr>
                <w:color w:val="auto"/>
                <w:kern w:val="44"/>
                <w:sz w:val="21"/>
                <w:szCs w:val="21"/>
              </w:rPr>
              <w:t>噪声</w:t>
            </w:r>
          </w:p>
        </w:tc>
        <w:tc>
          <w:tcPr>
            <w:tcW w:w="903" w:type="pct"/>
            <w:vAlign w:val="center"/>
          </w:tcPr>
          <w:p w14:paraId="05F9E463">
            <w:pPr>
              <w:spacing w:line="240" w:lineRule="auto"/>
              <w:ind w:firstLine="0" w:firstLineChars="0"/>
              <w:jc w:val="center"/>
              <w:rPr>
                <w:color w:val="auto"/>
                <w:kern w:val="44"/>
                <w:sz w:val="21"/>
                <w:szCs w:val="21"/>
              </w:rPr>
            </w:pPr>
            <w:r>
              <w:rPr>
                <w:color w:val="auto"/>
                <w:kern w:val="44"/>
                <w:sz w:val="21"/>
                <w:szCs w:val="21"/>
              </w:rPr>
              <w:t>采用低噪声设备、合理布局、消声、减震、加强绿化隔声等措施</w:t>
            </w:r>
          </w:p>
        </w:tc>
        <w:tc>
          <w:tcPr>
            <w:tcW w:w="356" w:type="pct"/>
            <w:vAlign w:val="center"/>
          </w:tcPr>
          <w:p w14:paraId="5EBB5A11">
            <w:pPr>
              <w:spacing w:line="240" w:lineRule="auto"/>
              <w:ind w:firstLine="0" w:firstLineChars="0"/>
              <w:jc w:val="center"/>
              <w:rPr>
                <w:color w:val="auto"/>
                <w:kern w:val="44"/>
                <w:sz w:val="21"/>
                <w:szCs w:val="21"/>
              </w:rPr>
            </w:pPr>
            <w:r>
              <w:rPr>
                <w:color w:val="auto"/>
                <w:kern w:val="44"/>
                <w:sz w:val="21"/>
                <w:szCs w:val="21"/>
              </w:rPr>
              <w:t>厂界四周</w:t>
            </w:r>
          </w:p>
        </w:tc>
        <w:tc>
          <w:tcPr>
            <w:tcW w:w="236" w:type="pct"/>
            <w:vAlign w:val="center"/>
          </w:tcPr>
          <w:p w14:paraId="547B2F8B">
            <w:pPr>
              <w:spacing w:line="240" w:lineRule="auto"/>
              <w:ind w:firstLine="0" w:firstLineChars="0"/>
              <w:jc w:val="center"/>
              <w:rPr>
                <w:color w:val="auto"/>
                <w:kern w:val="44"/>
                <w:sz w:val="21"/>
                <w:szCs w:val="21"/>
              </w:rPr>
            </w:pPr>
            <w:r>
              <w:rPr>
                <w:color w:val="auto"/>
                <w:kern w:val="44"/>
                <w:sz w:val="21"/>
                <w:szCs w:val="21"/>
              </w:rPr>
              <w:t>间歇</w:t>
            </w:r>
          </w:p>
        </w:tc>
        <w:tc>
          <w:tcPr>
            <w:tcW w:w="1002" w:type="pct"/>
            <w:gridSpan w:val="3"/>
            <w:vAlign w:val="center"/>
          </w:tcPr>
          <w:p w14:paraId="14DBBA85">
            <w:pPr>
              <w:spacing w:line="240" w:lineRule="auto"/>
              <w:ind w:firstLine="0" w:firstLineChars="0"/>
              <w:jc w:val="center"/>
              <w:rPr>
                <w:color w:val="auto"/>
                <w:kern w:val="44"/>
                <w:sz w:val="21"/>
                <w:szCs w:val="21"/>
              </w:rPr>
            </w:pPr>
            <w:r>
              <w:rPr>
                <w:color w:val="auto"/>
                <w:kern w:val="44"/>
                <w:sz w:val="21"/>
                <w:szCs w:val="21"/>
              </w:rPr>
              <w:t>/</w:t>
            </w:r>
          </w:p>
        </w:tc>
        <w:tc>
          <w:tcPr>
            <w:tcW w:w="257" w:type="pct"/>
            <w:vAlign w:val="center"/>
          </w:tcPr>
          <w:p w14:paraId="4C8F3DAF">
            <w:pPr>
              <w:spacing w:line="240" w:lineRule="auto"/>
              <w:ind w:firstLine="0" w:firstLineChars="0"/>
              <w:jc w:val="center"/>
              <w:rPr>
                <w:color w:val="auto"/>
                <w:kern w:val="44"/>
                <w:sz w:val="21"/>
                <w:szCs w:val="21"/>
              </w:rPr>
            </w:pPr>
            <w:r>
              <w:rPr>
                <w:color w:val="auto"/>
                <w:kern w:val="44"/>
                <w:sz w:val="21"/>
                <w:szCs w:val="21"/>
              </w:rPr>
              <w:t>/</w:t>
            </w:r>
          </w:p>
        </w:tc>
        <w:tc>
          <w:tcPr>
            <w:tcW w:w="246" w:type="pct"/>
            <w:vAlign w:val="center"/>
          </w:tcPr>
          <w:p w14:paraId="2E3E3359">
            <w:pPr>
              <w:spacing w:line="240" w:lineRule="auto"/>
              <w:ind w:firstLine="0" w:firstLineChars="0"/>
              <w:jc w:val="center"/>
              <w:rPr>
                <w:color w:val="auto"/>
                <w:kern w:val="44"/>
                <w:sz w:val="21"/>
                <w:szCs w:val="21"/>
              </w:rPr>
            </w:pPr>
            <w:r>
              <w:rPr>
                <w:color w:val="auto"/>
                <w:kern w:val="44"/>
                <w:sz w:val="21"/>
                <w:szCs w:val="21"/>
              </w:rPr>
              <w:t>/</w:t>
            </w:r>
          </w:p>
        </w:tc>
        <w:tc>
          <w:tcPr>
            <w:tcW w:w="742" w:type="pct"/>
            <w:vAlign w:val="center"/>
          </w:tcPr>
          <w:p w14:paraId="2344AFD5">
            <w:pPr>
              <w:spacing w:line="240" w:lineRule="auto"/>
              <w:ind w:firstLine="0" w:firstLineChars="0"/>
              <w:jc w:val="center"/>
              <w:rPr>
                <w:color w:val="auto"/>
                <w:kern w:val="44"/>
                <w:sz w:val="21"/>
                <w:szCs w:val="21"/>
              </w:rPr>
            </w:pPr>
            <w:r>
              <w:rPr>
                <w:color w:val="auto"/>
                <w:kern w:val="44"/>
                <w:sz w:val="21"/>
                <w:szCs w:val="21"/>
              </w:rPr>
              <w:t>《工业企业厂界环境噪声排放标准》（GB12348-2008）3类标准</w:t>
            </w:r>
          </w:p>
        </w:tc>
      </w:tr>
      <w:tr w14:paraId="30204C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restart"/>
            <w:vAlign w:val="center"/>
          </w:tcPr>
          <w:p w14:paraId="10E35124">
            <w:pPr>
              <w:spacing w:line="240" w:lineRule="auto"/>
              <w:ind w:firstLine="0" w:firstLineChars="0"/>
              <w:jc w:val="center"/>
              <w:rPr>
                <w:color w:val="auto"/>
                <w:kern w:val="44"/>
                <w:sz w:val="21"/>
                <w:szCs w:val="21"/>
              </w:rPr>
            </w:pPr>
            <w:r>
              <w:rPr>
                <w:color w:val="auto"/>
                <w:kern w:val="44"/>
                <w:sz w:val="21"/>
                <w:szCs w:val="21"/>
              </w:rPr>
              <w:t>固废</w:t>
            </w:r>
          </w:p>
        </w:tc>
        <w:tc>
          <w:tcPr>
            <w:tcW w:w="194" w:type="pct"/>
            <w:vMerge w:val="restart"/>
            <w:vAlign w:val="center"/>
          </w:tcPr>
          <w:p w14:paraId="7BAC7B96">
            <w:pPr>
              <w:spacing w:line="240" w:lineRule="auto"/>
              <w:ind w:firstLine="0" w:firstLineChars="0"/>
              <w:jc w:val="center"/>
              <w:rPr>
                <w:color w:val="auto"/>
                <w:sz w:val="21"/>
                <w:szCs w:val="21"/>
              </w:rPr>
            </w:pPr>
            <w:r>
              <w:rPr>
                <w:color w:val="auto"/>
                <w:sz w:val="21"/>
                <w:szCs w:val="21"/>
              </w:rPr>
              <w:t>一般工业固废</w:t>
            </w:r>
          </w:p>
        </w:tc>
        <w:tc>
          <w:tcPr>
            <w:tcW w:w="812" w:type="pct"/>
            <w:gridSpan w:val="4"/>
            <w:vAlign w:val="center"/>
          </w:tcPr>
          <w:p w14:paraId="230E1B76">
            <w:pPr>
              <w:spacing w:line="240" w:lineRule="auto"/>
              <w:ind w:firstLine="0" w:firstLineChars="0"/>
              <w:jc w:val="center"/>
              <w:rPr>
                <w:color w:val="auto"/>
                <w:sz w:val="21"/>
                <w:szCs w:val="21"/>
              </w:rPr>
            </w:pPr>
            <w:r>
              <w:rPr>
                <w:rFonts w:hint="eastAsia"/>
                <w:color w:val="auto"/>
                <w:sz w:val="21"/>
                <w:szCs w:val="21"/>
              </w:rPr>
              <w:t>废边角料</w:t>
            </w:r>
          </w:p>
        </w:tc>
        <w:tc>
          <w:tcPr>
            <w:tcW w:w="903" w:type="pct"/>
            <w:vMerge w:val="restart"/>
            <w:vAlign w:val="center"/>
          </w:tcPr>
          <w:p w14:paraId="6F403BFB">
            <w:pPr>
              <w:spacing w:line="240" w:lineRule="auto"/>
              <w:ind w:firstLine="0" w:firstLineChars="0"/>
              <w:jc w:val="center"/>
              <w:rPr>
                <w:color w:val="auto"/>
                <w:kern w:val="44"/>
                <w:sz w:val="21"/>
                <w:szCs w:val="21"/>
              </w:rPr>
            </w:pPr>
            <w:r>
              <w:rPr>
                <w:color w:val="auto"/>
                <w:kern w:val="44"/>
                <w:sz w:val="21"/>
                <w:szCs w:val="21"/>
              </w:rPr>
              <w:t>妥善收集，暂存于一般固废暂存间（面积</w:t>
            </w:r>
            <w:r>
              <w:rPr>
                <w:rFonts w:hint="eastAsia"/>
                <w:color w:val="auto"/>
                <w:kern w:val="44"/>
                <w:sz w:val="21"/>
                <w:szCs w:val="21"/>
              </w:rPr>
              <w:t>100</w:t>
            </w:r>
            <w:r>
              <w:rPr>
                <w:color w:val="auto"/>
                <w:kern w:val="44"/>
                <w:sz w:val="21"/>
                <w:szCs w:val="21"/>
              </w:rPr>
              <w:t>m</w:t>
            </w:r>
            <w:r>
              <w:rPr>
                <w:color w:val="auto"/>
                <w:kern w:val="44"/>
                <w:sz w:val="21"/>
                <w:szCs w:val="21"/>
                <w:vertAlign w:val="superscript"/>
              </w:rPr>
              <w:t>2</w:t>
            </w:r>
            <w:r>
              <w:rPr>
                <w:color w:val="auto"/>
                <w:kern w:val="44"/>
                <w:sz w:val="21"/>
                <w:szCs w:val="21"/>
              </w:rPr>
              <w:t>）</w:t>
            </w:r>
          </w:p>
        </w:tc>
        <w:tc>
          <w:tcPr>
            <w:tcW w:w="356" w:type="pct"/>
            <w:vMerge w:val="restart"/>
            <w:vAlign w:val="center"/>
          </w:tcPr>
          <w:p w14:paraId="0E49FC48">
            <w:pPr>
              <w:spacing w:line="240" w:lineRule="auto"/>
              <w:ind w:firstLine="0" w:firstLineChars="0"/>
              <w:jc w:val="center"/>
              <w:rPr>
                <w:color w:val="auto"/>
                <w:kern w:val="44"/>
                <w:sz w:val="21"/>
                <w:szCs w:val="21"/>
              </w:rPr>
            </w:pPr>
            <w:r>
              <w:rPr>
                <w:color w:val="auto"/>
                <w:kern w:val="44"/>
                <w:sz w:val="21"/>
                <w:szCs w:val="21"/>
              </w:rPr>
              <w:t>/</w:t>
            </w:r>
          </w:p>
        </w:tc>
        <w:tc>
          <w:tcPr>
            <w:tcW w:w="236" w:type="pct"/>
            <w:vMerge w:val="restart"/>
            <w:vAlign w:val="center"/>
          </w:tcPr>
          <w:p w14:paraId="475FFF71">
            <w:pPr>
              <w:spacing w:line="240" w:lineRule="auto"/>
              <w:ind w:firstLine="0" w:firstLineChars="0"/>
              <w:jc w:val="center"/>
              <w:rPr>
                <w:color w:val="auto"/>
                <w:kern w:val="44"/>
                <w:sz w:val="21"/>
                <w:szCs w:val="21"/>
              </w:rPr>
            </w:pPr>
            <w:r>
              <w:rPr>
                <w:color w:val="auto"/>
                <w:kern w:val="44"/>
                <w:sz w:val="21"/>
                <w:szCs w:val="21"/>
              </w:rPr>
              <w:t>/</w:t>
            </w:r>
          </w:p>
        </w:tc>
        <w:tc>
          <w:tcPr>
            <w:tcW w:w="1002" w:type="pct"/>
            <w:gridSpan w:val="3"/>
            <w:vMerge w:val="restart"/>
            <w:vAlign w:val="center"/>
          </w:tcPr>
          <w:p w14:paraId="48D76F1D">
            <w:pPr>
              <w:spacing w:line="240" w:lineRule="auto"/>
              <w:ind w:firstLine="0" w:firstLineChars="0"/>
              <w:jc w:val="center"/>
              <w:rPr>
                <w:color w:val="auto"/>
                <w:kern w:val="44"/>
                <w:sz w:val="21"/>
                <w:szCs w:val="21"/>
              </w:rPr>
            </w:pPr>
            <w:r>
              <w:rPr>
                <w:rStyle w:val="146"/>
                <w:color w:val="auto"/>
              </w:rPr>
              <w:t>合理处置，不产生二次污染</w:t>
            </w:r>
          </w:p>
        </w:tc>
        <w:tc>
          <w:tcPr>
            <w:tcW w:w="257" w:type="pct"/>
            <w:vMerge w:val="restart"/>
            <w:vAlign w:val="center"/>
          </w:tcPr>
          <w:p w14:paraId="0BCE75F1">
            <w:pPr>
              <w:spacing w:line="240" w:lineRule="auto"/>
              <w:ind w:firstLine="0" w:firstLineChars="0"/>
              <w:jc w:val="center"/>
              <w:rPr>
                <w:color w:val="auto"/>
                <w:kern w:val="44"/>
                <w:sz w:val="21"/>
                <w:szCs w:val="21"/>
              </w:rPr>
            </w:pPr>
            <w:r>
              <w:rPr>
                <w:color w:val="auto"/>
                <w:kern w:val="44"/>
                <w:sz w:val="21"/>
                <w:szCs w:val="21"/>
              </w:rPr>
              <w:t>/</w:t>
            </w:r>
          </w:p>
        </w:tc>
        <w:tc>
          <w:tcPr>
            <w:tcW w:w="246" w:type="pct"/>
            <w:vMerge w:val="restart"/>
            <w:vAlign w:val="center"/>
          </w:tcPr>
          <w:p w14:paraId="0A8F6031">
            <w:pPr>
              <w:spacing w:line="240" w:lineRule="auto"/>
              <w:ind w:firstLine="0" w:firstLineChars="0"/>
              <w:jc w:val="center"/>
              <w:rPr>
                <w:color w:val="auto"/>
                <w:kern w:val="44"/>
                <w:sz w:val="21"/>
                <w:szCs w:val="21"/>
              </w:rPr>
            </w:pPr>
            <w:r>
              <w:rPr>
                <w:color w:val="auto"/>
                <w:kern w:val="44"/>
                <w:sz w:val="21"/>
                <w:szCs w:val="21"/>
              </w:rPr>
              <w:t>/</w:t>
            </w:r>
          </w:p>
        </w:tc>
        <w:tc>
          <w:tcPr>
            <w:tcW w:w="742" w:type="pct"/>
            <w:vMerge w:val="restart"/>
            <w:vAlign w:val="center"/>
          </w:tcPr>
          <w:p w14:paraId="3969EFC6">
            <w:pPr>
              <w:spacing w:line="240" w:lineRule="auto"/>
              <w:ind w:firstLine="0" w:firstLineChars="0"/>
              <w:jc w:val="center"/>
              <w:rPr>
                <w:color w:val="auto"/>
                <w:kern w:val="44"/>
                <w:sz w:val="21"/>
                <w:szCs w:val="21"/>
              </w:rPr>
            </w:pPr>
            <w:r>
              <w:rPr>
                <w:color w:val="auto"/>
                <w:kern w:val="44"/>
                <w:sz w:val="21"/>
                <w:szCs w:val="21"/>
              </w:rPr>
              <w:t>/</w:t>
            </w:r>
          </w:p>
        </w:tc>
      </w:tr>
      <w:tr w14:paraId="28460B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22B840F">
            <w:pPr>
              <w:spacing w:line="240" w:lineRule="auto"/>
              <w:ind w:firstLine="0" w:firstLineChars="0"/>
              <w:jc w:val="center"/>
              <w:rPr>
                <w:color w:val="auto"/>
                <w:kern w:val="44"/>
                <w:sz w:val="21"/>
                <w:szCs w:val="21"/>
              </w:rPr>
            </w:pPr>
          </w:p>
        </w:tc>
        <w:tc>
          <w:tcPr>
            <w:tcW w:w="194" w:type="pct"/>
            <w:vMerge w:val="continue"/>
            <w:vAlign w:val="center"/>
          </w:tcPr>
          <w:p w14:paraId="3A761827">
            <w:pPr>
              <w:spacing w:line="240" w:lineRule="auto"/>
              <w:ind w:firstLine="0" w:firstLineChars="0"/>
              <w:jc w:val="center"/>
              <w:rPr>
                <w:color w:val="auto"/>
                <w:sz w:val="21"/>
                <w:szCs w:val="21"/>
              </w:rPr>
            </w:pPr>
          </w:p>
        </w:tc>
        <w:tc>
          <w:tcPr>
            <w:tcW w:w="812" w:type="pct"/>
            <w:gridSpan w:val="4"/>
            <w:vAlign w:val="center"/>
          </w:tcPr>
          <w:p w14:paraId="5F896ECD">
            <w:pPr>
              <w:tabs>
                <w:tab w:val="left" w:pos="2227"/>
              </w:tabs>
              <w:spacing w:line="240" w:lineRule="auto"/>
              <w:ind w:firstLine="0" w:firstLineChars="0"/>
              <w:jc w:val="center"/>
              <w:rPr>
                <w:color w:val="auto"/>
                <w:sz w:val="21"/>
                <w:szCs w:val="21"/>
              </w:rPr>
            </w:pPr>
            <w:r>
              <w:rPr>
                <w:rFonts w:hint="eastAsia"/>
                <w:color w:val="auto"/>
                <w:sz w:val="21"/>
                <w:szCs w:val="21"/>
              </w:rPr>
              <w:t>废钢丸</w:t>
            </w:r>
          </w:p>
        </w:tc>
        <w:tc>
          <w:tcPr>
            <w:tcW w:w="903" w:type="pct"/>
            <w:vMerge w:val="continue"/>
            <w:vAlign w:val="center"/>
          </w:tcPr>
          <w:p w14:paraId="366C981F">
            <w:pPr>
              <w:spacing w:line="240" w:lineRule="auto"/>
              <w:ind w:firstLine="0" w:firstLineChars="0"/>
              <w:jc w:val="center"/>
              <w:rPr>
                <w:color w:val="auto"/>
                <w:kern w:val="44"/>
                <w:sz w:val="21"/>
                <w:szCs w:val="21"/>
              </w:rPr>
            </w:pPr>
          </w:p>
        </w:tc>
        <w:tc>
          <w:tcPr>
            <w:tcW w:w="356" w:type="pct"/>
            <w:vMerge w:val="continue"/>
            <w:vAlign w:val="center"/>
          </w:tcPr>
          <w:p w14:paraId="7F14BB71">
            <w:pPr>
              <w:spacing w:line="240" w:lineRule="auto"/>
              <w:ind w:firstLine="0" w:firstLineChars="0"/>
              <w:jc w:val="center"/>
              <w:rPr>
                <w:color w:val="auto"/>
                <w:kern w:val="44"/>
                <w:sz w:val="21"/>
                <w:szCs w:val="21"/>
              </w:rPr>
            </w:pPr>
          </w:p>
        </w:tc>
        <w:tc>
          <w:tcPr>
            <w:tcW w:w="236" w:type="pct"/>
            <w:vMerge w:val="continue"/>
            <w:vAlign w:val="center"/>
          </w:tcPr>
          <w:p w14:paraId="5967EA9D">
            <w:pPr>
              <w:spacing w:line="240" w:lineRule="auto"/>
              <w:ind w:firstLine="0" w:firstLineChars="0"/>
              <w:jc w:val="center"/>
              <w:rPr>
                <w:color w:val="auto"/>
                <w:kern w:val="44"/>
                <w:sz w:val="21"/>
                <w:szCs w:val="21"/>
              </w:rPr>
            </w:pPr>
          </w:p>
        </w:tc>
        <w:tc>
          <w:tcPr>
            <w:tcW w:w="1002" w:type="pct"/>
            <w:gridSpan w:val="3"/>
            <w:vMerge w:val="continue"/>
            <w:vAlign w:val="center"/>
          </w:tcPr>
          <w:p w14:paraId="02A07FF3">
            <w:pPr>
              <w:spacing w:line="240" w:lineRule="auto"/>
              <w:ind w:firstLine="0" w:firstLineChars="0"/>
              <w:jc w:val="center"/>
              <w:rPr>
                <w:color w:val="auto"/>
                <w:kern w:val="44"/>
                <w:sz w:val="21"/>
                <w:szCs w:val="21"/>
              </w:rPr>
            </w:pPr>
          </w:p>
        </w:tc>
        <w:tc>
          <w:tcPr>
            <w:tcW w:w="257" w:type="pct"/>
            <w:vMerge w:val="continue"/>
            <w:vAlign w:val="center"/>
          </w:tcPr>
          <w:p w14:paraId="62594ADE">
            <w:pPr>
              <w:spacing w:line="240" w:lineRule="auto"/>
              <w:ind w:firstLine="0" w:firstLineChars="0"/>
              <w:jc w:val="center"/>
              <w:rPr>
                <w:color w:val="auto"/>
                <w:kern w:val="44"/>
                <w:sz w:val="21"/>
                <w:szCs w:val="21"/>
                <w:lang w:val="en-AU"/>
              </w:rPr>
            </w:pPr>
          </w:p>
        </w:tc>
        <w:tc>
          <w:tcPr>
            <w:tcW w:w="246" w:type="pct"/>
            <w:vMerge w:val="continue"/>
            <w:vAlign w:val="center"/>
          </w:tcPr>
          <w:p w14:paraId="169A0C55">
            <w:pPr>
              <w:spacing w:line="240" w:lineRule="auto"/>
              <w:ind w:firstLine="0" w:firstLineChars="0"/>
              <w:jc w:val="center"/>
              <w:rPr>
                <w:color w:val="auto"/>
                <w:kern w:val="44"/>
                <w:sz w:val="21"/>
                <w:szCs w:val="21"/>
              </w:rPr>
            </w:pPr>
          </w:p>
        </w:tc>
        <w:tc>
          <w:tcPr>
            <w:tcW w:w="742" w:type="pct"/>
            <w:vMerge w:val="continue"/>
            <w:vAlign w:val="center"/>
          </w:tcPr>
          <w:p w14:paraId="2ED7CFA7">
            <w:pPr>
              <w:spacing w:line="240" w:lineRule="auto"/>
              <w:ind w:firstLine="0" w:firstLineChars="0"/>
              <w:jc w:val="center"/>
              <w:rPr>
                <w:color w:val="auto"/>
                <w:kern w:val="44"/>
                <w:sz w:val="21"/>
                <w:szCs w:val="21"/>
              </w:rPr>
            </w:pPr>
          </w:p>
        </w:tc>
      </w:tr>
      <w:tr w14:paraId="05B956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22226284">
            <w:pPr>
              <w:spacing w:line="240" w:lineRule="auto"/>
              <w:ind w:firstLine="0" w:firstLineChars="0"/>
              <w:jc w:val="center"/>
              <w:rPr>
                <w:color w:val="auto"/>
                <w:kern w:val="44"/>
                <w:sz w:val="21"/>
                <w:szCs w:val="21"/>
              </w:rPr>
            </w:pPr>
          </w:p>
        </w:tc>
        <w:tc>
          <w:tcPr>
            <w:tcW w:w="194" w:type="pct"/>
            <w:vMerge w:val="continue"/>
            <w:vAlign w:val="center"/>
          </w:tcPr>
          <w:p w14:paraId="1C2A1A4D">
            <w:pPr>
              <w:spacing w:line="240" w:lineRule="auto"/>
              <w:ind w:firstLine="0" w:firstLineChars="0"/>
              <w:jc w:val="center"/>
              <w:rPr>
                <w:color w:val="auto"/>
                <w:sz w:val="21"/>
                <w:szCs w:val="21"/>
              </w:rPr>
            </w:pPr>
          </w:p>
        </w:tc>
        <w:tc>
          <w:tcPr>
            <w:tcW w:w="812" w:type="pct"/>
            <w:gridSpan w:val="4"/>
            <w:vAlign w:val="center"/>
          </w:tcPr>
          <w:p w14:paraId="163FC63B">
            <w:pPr>
              <w:tabs>
                <w:tab w:val="left" w:pos="2227"/>
              </w:tabs>
              <w:spacing w:line="240" w:lineRule="auto"/>
              <w:ind w:firstLine="0" w:firstLineChars="0"/>
              <w:jc w:val="center"/>
              <w:rPr>
                <w:color w:val="auto"/>
                <w:sz w:val="21"/>
                <w:szCs w:val="21"/>
              </w:rPr>
            </w:pPr>
            <w:r>
              <w:rPr>
                <w:rFonts w:hint="eastAsia"/>
                <w:color w:val="auto"/>
                <w:sz w:val="21"/>
                <w:szCs w:val="21"/>
              </w:rPr>
              <w:t>封孔污泥</w:t>
            </w:r>
          </w:p>
        </w:tc>
        <w:tc>
          <w:tcPr>
            <w:tcW w:w="903" w:type="pct"/>
            <w:vMerge w:val="continue"/>
            <w:vAlign w:val="center"/>
          </w:tcPr>
          <w:p w14:paraId="27A47923">
            <w:pPr>
              <w:spacing w:line="240" w:lineRule="auto"/>
              <w:ind w:firstLine="0" w:firstLineChars="0"/>
              <w:jc w:val="center"/>
              <w:rPr>
                <w:color w:val="auto"/>
                <w:kern w:val="44"/>
                <w:sz w:val="21"/>
                <w:szCs w:val="21"/>
              </w:rPr>
            </w:pPr>
          </w:p>
        </w:tc>
        <w:tc>
          <w:tcPr>
            <w:tcW w:w="356" w:type="pct"/>
            <w:vMerge w:val="continue"/>
            <w:vAlign w:val="center"/>
          </w:tcPr>
          <w:p w14:paraId="6BC7F3ED">
            <w:pPr>
              <w:spacing w:line="240" w:lineRule="auto"/>
              <w:ind w:firstLine="0" w:firstLineChars="0"/>
              <w:jc w:val="center"/>
              <w:rPr>
                <w:color w:val="auto"/>
                <w:kern w:val="44"/>
                <w:sz w:val="21"/>
                <w:szCs w:val="21"/>
              </w:rPr>
            </w:pPr>
          </w:p>
        </w:tc>
        <w:tc>
          <w:tcPr>
            <w:tcW w:w="236" w:type="pct"/>
            <w:vMerge w:val="continue"/>
            <w:vAlign w:val="center"/>
          </w:tcPr>
          <w:p w14:paraId="70E5BE7C">
            <w:pPr>
              <w:spacing w:line="240" w:lineRule="auto"/>
              <w:ind w:firstLine="0" w:firstLineChars="0"/>
              <w:jc w:val="center"/>
              <w:rPr>
                <w:color w:val="auto"/>
                <w:kern w:val="44"/>
                <w:sz w:val="21"/>
                <w:szCs w:val="21"/>
              </w:rPr>
            </w:pPr>
          </w:p>
        </w:tc>
        <w:tc>
          <w:tcPr>
            <w:tcW w:w="1002" w:type="pct"/>
            <w:gridSpan w:val="3"/>
            <w:vMerge w:val="continue"/>
            <w:vAlign w:val="center"/>
          </w:tcPr>
          <w:p w14:paraId="38C990C3">
            <w:pPr>
              <w:spacing w:line="240" w:lineRule="auto"/>
              <w:ind w:firstLine="0" w:firstLineChars="0"/>
              <w:jc w:val="center"/>
              <w:rPr>
                <w:color w:val="auto"/>
                <w:kern w:val="44"/>
                <w:sz w:val="21"/>
                <w:szCs w:val="21"/>
              </w:rPr>
            </w:pPr>
          </w:p>
        </w:tc>
        <w:tc>
          <w:tcPr>
            <w:tcW w:w="257" w:type="pct"/>
            <w:vMerge w:val="continue"/>
            <w:vAlign w:val="center"/>
          </w:tcPr>
          <w:p w14:paraId="27C34A1B">
            <w:pPr>
              <w:spacing w:line="240" w:lineRule="auto"/>
              <w:ind w:firstLine="0" w:firstLineChars="0"/>
              <w:jc w:val="center"/>
              <w:rPr>
                <w:color w:val="auto"/>
                <w:kern w:val="44"/>
                <w:sz w:val="21"/>
                <w:szCs w:val="21"/>
                <w:lang w:val="en-AU"/>
              </w:rPr>
            </w:pPr>
          </w:p>
        </w:tc>
        <w:tc>
          <w:tcPr>
            <w:tcW w:w="246" w:type="pct"/>
            <w:vMerge w:val="continue"/>
            <w:vAlign w:val="center"/>
          </w:tcPr>
          <w:p w14:paraId="09FEA94E">
            <w:pPr>
              <w:spacing w:line="240" w:lineRule="auto"/>
              <w:ind w:firstLine="0" w:firstLineChars="0"/>
              <w:jc w:val="center"/>
              <w:rPr>
                <w:color w:val="auto"/>
                <w:kern w:val="44"/>
                <w:sz w:val="21"/>
                <w:szCs w:val="21"/>
              </w:rPr>
            </w:pPr>
          </w:p>
        </w:tc>
        <w:tc>
          <w:tcPr>
            <w:tcW w:w="742" w:type="pct"/>
            <w:vMerge w:val="continue"/>
            <w:vAlign w:val="center"/>
          </w:tcPr>
          <w:p w14:paraId="09B1D15B">
            <w:pPr>
              <w:spacing w:line="240" w:lineRule="auto"/>
              <w:ind w:firstLine="0" w:firstLineChars="0"/>
              <w:jc w:val="center"/>
              <w:rPr>
                <w:color w:val="auto"/>
                <w:kern w:val="44"/>
                <w:sz w:val="21"/>
                <w:szCs w:val="21"/>
              </w:rPr>
            </w:pPr>
          </w:p>
        </w:tc>
      </w:tr>
      <w:tr w14:paraId="2050C8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3237EFB9">
            <w:pPr>
              <w:spacing w:line="240" w:lineRule="auto"/>
              <w:ind w:firstLine="0" w:firstLineChars="0"/>
              <w:jc w:val="center"/>
              <w:rPr>
                <w:color w:val="auto"/>
                <w:kern w:val="44"/>
                <w:sz w:val="21"/>
                <w:szCs w:val="21"/>
              </w:rPr>
            </w:pPr>
          </w:p>
        </w:tc>
        <w:tc>
          <w:tcPr>
            <w:tcW w:w="194" w:type="pct"/>
            <w:vMerge w:val="continue"/>
            <w:vAlign w:val="center"/>
          </w:tcPr>
          <w:p w14:paraId="26F45EC8">
            <w:pPr>
              <w:spacing w:line="240" w:lineRule="auto"/>
              <w:ind w:firstLine="0" w:firstLineChars="0"/>
              <w:jc w:val="center"/>
              <w:rPr>
                <w:color w:val="auto"/>
                <w:sz w:val="21"/>
                <w:szCs w:val="21"/>
              </w:rPr>
            </w:pPr>
          </w:p>
        </w:tc>
        <w:tc>
          <w:tcPr>
            <w:tcW w:w="812" w:type="pct"/>
            <w:gridSpan w:val="4"/>
            <w:vAlign w:val="center"/>
          </w:tcPr>
          <w:p w14:paraId="07E4D894">
            <w:pPr>
              <w:tabs>
                <w:tab w:val="left" w:pos="2227"/>
              </w:tabs>
              <w:spacing w:line="240" w:lineRule="auto"/>
              <w:ind w:firstLine="0" w:firstLineChars="0"/>
              <w:jc w:val="center"/>
              <w:rPr>
                <w:color w:val="auto"/>
                <w:sz w:val="21"/>
                <w:szCs w:val="21"/>
              </w:rPr>
            </w:pPr>
            <w:r>
              <w:rPr>
                <w:rFonts w:hint="eastAsia"/>
                <w:color w:val="auto"/>
                <w:sz w:val="21"/>
                <w:szCs w:val="21"/>
              </w:rPr>
              <w:t>废包装膜</w:t>
            </w:r>
          </w:p>
        </w:tc>
        <w:tc>
          <w:tcPr>
            <w:tcW w:w="903" w:type="pct"/>
            <w:vMerge w:val="continue"/>
            <w:vAlign w:val="center"/>
          </w:tcPr>
          <w:p w14:paraId="715568E6">
            <w:pPr>
              <w:spacing w:line="240" w:lineRule="auto"/>
              <w:ind w:firstLine="0" w:firstLineChars="0"/>
              <w:jc w:val="center"/>
              <w:rPr>
                <w:color w:val="auto"/>
                <w:kern w:val="44"/>
                <w:sz w:val="21"/>
                <w:szCs w:val="21"/>
              </w:rPr>
            </w:pPr>
          </w:p>
        </w:tc>
        <w:tc>
          <w:tcPr>
            <w:tcW w:w="356" w:type="pct"/>
            <w:vMerge w:val="continue"/>
            <w:vAlign w:val="center"/>
          </w:tcPr>
          <w:p w14:paraId="74A6362A">
            <w:pPr>
              <w:spacing w:line="240" w:lineRule="auto"/>
              <w:ind w:firstLine="0" w:firstLineChars="0"/>
              <w:jc w:val="center"/>
              <w:rPr>
                <w:color w:val="auto"/>
                <w:kern w:val="44"/>
                <w:sz w:val="21"/>
                <w:szCs w:val="21"/>
              </w:rPr>
            </w:pPr>
          </w:p>
        </w:tc>
        <w:tc>
          <w:tcPr>
            <w:tcW w:w="236" w:type="pct"/>
            <w:vMerge w:val="continue"/>
            <w:vAlign w:val="center"/>
          </w:tcPr>
          <w:p w14:paraId="2778D7C7">
            <w:pPr>
              <w:spacing w:line="240" w:lineRule="auto"/>
              <w:ind w:firstLine="0" w:firstLineChars="0"/>
              <w:jc w:val="center"/>
              <w:rPr>
                <w:color w:val="auto"/>
                <w:kern w:val="44"/>
                <w:sz w:val="21"/>
                <w:szCs w:val="21"/>
              </w:rPr>
            </w:pPr>
          </w:p>
        </w:tc>
        <w:tc>
          <w:tcPr>
            <w:tcW w:w="1002" w:type="pct"/>
            <w:gridSpan w:val="3"/>
            <w:vMerge w:val="continue"/>
            <w:vAlign w:val="center"/>
          </w:tcPr>
          <w:p w14:paraId="61FAC422">
            <w:pPr>
              <w:spacing w:line="240" w:lineRule="auto"/>
              <w:ind w:firstLine="0" w:firstLineChars="0"/>
              <w:jc w:val="center"/>
              <w:rPr>
                <w:color w:val="auto"/>
                <w:kern w:val="44"/>
                <w:sz w:val="21"/>
                <w:szCs w:val="21"/>
              </w:rPr>
            </w:pPr>
          </w:p>
        </w:tc>
        <w:tc>
          <w:tcPr>
            <w:tcW w:w="257" w:type="pct"/>
            <w:vMerge w:val="continue"/>
            <w:vAlign w:val="center"/>
          </w:tcPr>
          <w:p w14:paraId="6C433A32">
            <w:pPr>
              <w:spacing w:line="240" w:lineRule="auto"/>
              <w:ind w:firstLine="0" w:firstLineChars="0"/>
              <w:jc w:val="center"/>
              <w:rPr>
                <w:color w:val="auto"/>
                <w:kern w:val="44"/>
                <w:sz w:val="21"/>
                <w:szCs w:val="21"/>
                <w:lang w:val="en-AU"/>
              </w:rPr>
            </w:pPr>
          </w:p>
        </w:tc>
        <w:tc>
          <w:tcPr>
            <w:tcW w:w="246" w:type="pct"/>
            <w:vMerge w:val="continue"/>
            <w:vAlign w:val="center"/>
          </w:tcPr>
          <w:p w14:paraId="6A1C74F1">
            <w:pPr>
              <w:spacing w:line="240" w:lineRule="auto"/>
              <w:ind w:firstLine="0" w:firstLineChars="0"/>
              <w:jc w:val="center"/>
              <w:rPr>
                <w:color w:val="auto"/>
                <w:kern w:val="44"/>
                <w:sz w:val="21"/>
                <w:szCs w:val="21"/>
              </w:rPr>
            </w:pPr>
          </w:p>
        </w:tc>
        <w:tc>
          <w:tcPr>
            <w:tcW w:w="742" w:type="pct"/>
            <w:vMerge w:val="continue"/>
            <w:vAlign w:val="center"/>
          </w:tcPr>
          <w:p w14:paraId="60BF273A">
            <w:pPr>
              <w:spacing w:line="240" w:lineRule="auto"/>
              <w:ind w:firstLine="0" w:firstLineChars="0"/>
              <w:jc w:val="center"/>
              <w:rPr>
                <w:color w:val="auto"/>
                <w:kern w:val="44"/>
                <w:sz w:val="21"/>
                <w:szCs w:val="21"/>
              </w:rPr>
            </w:pPr>
          </w:p>
        </w:tc>
      </w:tr>
      <w:tr w14:paraId="0B3173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562B3D1D">
            <w:pPr>
              <w:spacing w:line="240" w:lineRule="auto"/>
              <w:ind w:firstLine="0" w:firstLineChars="0"/>
              <w:jc w:val="center"/>
              <w:rPr>
                <w:color w:val="auto"/>
                <w:kern w:val="44"/>
                <w:sz w:val="21"/>
                <w:szCs w:val="21"/>
              </w:rPr>
            </w:pPr>
          </w:p>
        </w:tc>
        <w:tc>
          <w:tcPr>
            <w:tcW w:w="194" w:type="pct"/>
            <w:vMerge w:val="continue"/>
            <w:vAlign w:val="center"/>
          </w:tcPr>
          <w:p w14:paraId="53D46497">
            <w:pPr>
              <w:spacing w:line="240" w:lineRule="auto"/>
              <w:ind w:firstLine="0" w:firstLineChars="0"/>
              <w:jc w:val="center"/>
              <w:rPr>
                <w:color w:val="auto"/>
                <w:sz w:val="21"/>
                <w:szCs w:val="21"/>
              </w:rPr>
            </w:pPr>
          </w:p>
        </w:tc>
        <w:tc>
          <w:tcPr>
            <w:tcW w:w="812" w:type="pct"/>
            <w:gridSpan w:val="4"/>
            <w:shd w:val="clear" w:color="auto" w:fill="auto"/>
            <w:vAlign w:val="center"/>
          </w:tcPr>
          <w:p w14:paraId="1623D3A5">
            <w:pPr>
              <w:tabs>
                <w:tab w:val="left" w:pos="2227"/>
              </w:tabs>
              <w:spacing w:line="240" w:lineRule="auto"/>
              <w:ind w:firstLine="0" w:firstLineChars="0"/>
              <w:jc w:val="center"/>
              <w:rPr>
                <w:color w:val="auto"/>
                <w:sz w:val="21"/>
                <w:szCs w:val="21"/>
              </w:rPr>
            </w:pPr>
            <w:r>
              <w:rPr>
                <w:rFonts w:hint="eastAsia"/>
                <w:color w:val="auto"/>
                <w:sz w:val="21"/>
                <w:szCs w:val="21"/>
              </w:rPr>
              <w:t>不合格品</w:t>
            </w:r>
          </w:p>
        </w:tc>
        <w:tc>
          <w:tcPr>
            <w:tcW w:w="903" w:type="pct"/>
            <w:vMerge w:val="continue"/>
            <w:vAlign w:val="center"/>
          </w:tcPr>
          <w:p w14:paraId="777B0BCC">
            <w:pPr>
              <w:spacing w:line="240" w:lineRule="auto"/>
              <w:ind w:firstLine="0" w:firstLineChars="0"/>
              <w:jc w:val="center"/>
              <w:rPr>
                <w:color w:val="auto"/>
                <w:kern w:val="44"/>
                <w:sz w:val="21"/>
                <w:szCs w:val="21"/>
              </w:rPr>
            </w:pPr>
          </w:p>
        </w:tc>
        <w:tc>
          <w:tcPr>
            <w:tcW w:w="356" w:type="pct"/>
            <w:vMerge w:val="continue"/>
            <w:vAlign w:val="center"/>
          </w:tcPr>
          <w:p w14:paraId="46808D6A">
            <w:pPr>
              <w:spacing w:line="240" w:lineRule="auto"/>
              <w:ind w:firstLine="0" w:firstLineChars="0"/>
              <w:jc w:val="center"/>
              <w:rPr>
                <w:color w:val="auto"/>
                <w:kern w:val="44"/>
                <w:sz w:val="21"/>
                <w:szCs w:val="21"/>
              </w:rPr>
            </w:pPr>
          </w:p>
        </w:tc>
        <w:tc>
          <w:tcPr>
            <w:tcW w:w="236" w:type="pct"/>
            <w:vMerge w:val="continue"/>
            <w:vAlign w:val="center"/>
          </w:tcPr>
          <w:p w14:paraId="4CBE0289">
            <w:pPr>
              <w:spacing w:line="240" w:lineRule="auto"/>
              <w:ind w:firstLine="0" w:firstLineChars="0"/>
              <w:jc w:val="center"/>
              <w:rPr>
                <w:color w:val="auto"/>
                <w:kern w:val="44"/>
                <w:sz w:val="21"/>
                <w:szCs w:val="21"/>
              </w:rPr>
            </w:pPr>
          </w:p>
        </w:tc>
        <w:tc>
          <w:tcPr>
            <w:tcW w:w="1002" w:type="pct"/>
            <w:gridSpan w:val="3"/>
            <w:vMerge w:val="continue"/>
            <w:vAlign w:val="center"/>
          </w:tcPr>
          <w:p w14:paraId="3074123E">
            <w:pPr>
              <w:spacing w:line="240" w:lineRule="auto"/>
              <w:ind w:firstLine="0" w:firstLineChars="0"/>
              <w:jc w:val="center"/>
              <w:rPr>
                <w:color w:val="auto"/>
                <w:kern w:val="44"/>
                <w:sz w:val="21"/>
                <w:szCs w:val="21"/>
              </w:rPr>
            </w:pPr>
          </w:p>
        </w:tc>
        <w:tc>
          <w:tcPr>
            <w:tcW w:w="257" w:type="pct"/>
            <w:vMerge w:val="continue"/>
            <w:vAlign w:val="center"/>
          </w:tcPr>
          <w:p w14:paraId="6FECB182">
            <w:pPr>
              <w:spacing w:line="240" w:lineRule="auto"/>
              <w:ind w:firstLine="0" w:firstLineChars="0"/>
              <w:jc w:val="center"/>
              <w:rPr>
                <w:color w:val="auto"/>
                <w:kern w:val="44"/>
                <w:sz w:val="21"/>
                <w:szCs w:val="21"/>
                <w:lang w:val="en-AU"/>
              </w:rPr>
            </w:pPr>
          </w:p>
        </w:tc>
        <w:tc>
          <w:tcPr>
            <w:tcW w:w="246" w:type="pct"/>
            <w:vMerge w:val="continue"/>
            <w:vAlign w:val="center"/>
          </w:tcPr>
          <w:p w14:paraId="6662B206">
            <w:pPr>
              <w:spacing w:line="240" w:lineRule="auto"/>
              <w:ind w:firstLine="0" w:firstLineChars="0"/>
              <w:jc w:val="center"/>
              <w:rPr>
                <w:color w:val="auto"/>
                <w:kern w:val="44"/>
                <w:sz w:val="21"/>
                <w:szCs w:val="21"/>
              </w:rPr>
            </w:pPr>
          </w:p>
        </w:tc>
        <w:tc>
          <w:tcPr>
            <w:tcW w:w="742" w:type="pct"/>
            <w:vMerge w:val="continue"/>
            <w:vAlign w:val="center"/>
          </w:tcPr>
          <w:p w14:paraId="73547C4C">
            <w:pPr>
              <w:spacing w:line="240" w:lineRule="auto"/>
              <w:ind w:firstLine="0" w:firstLineChars="0"/>
              <w:jc w:val="center"/>
              <w:rPr>
                <w:color w:val="auto"/>
                <w:kern w:val="44"/>
                <w:sz w:val="21"/>
                <w:szCs w:val="21"/>
              </w:rPr>
            </w:pPr>
          </w:p>
        </w:tc>
      </w:tr>
      <w:tr w14:paraId="2DCA13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3396946">
            <w:pPr>
              <w:spacing w:line="240" w:lineRule="auto"/>
              <w:ind w:firstLine="0" w:firstLineChars="0"/>
              <w:jc w:val="center"/>
              <w:rPr>
                <w:color w:val="auto"/>
                <w:kern w:val="44"/>
                <w:sz w:val="21"/>
                <w:szCs w:val="21"/>
              </w:rPr>
            </w:pPr>
          </w:p>
        </w:tc>
        <w:tc>
          <w:tcPr>
            <w:tcW w:w="194" w:type="pct"/>
            <w:vMerge w:val="continue"/>
            <w:vAlign w:val="center"/>
          </w:tcPr>
          <w:p w14:paraId="4C8866EA">
            <w:pPr>
              <w:spacing w:line="240" w:lineRule="auto"/>
              <w:ind w:firstLine="0" w:firstLineChars="0"/>
              <w:jc w:val="center"/>
              <w:rPr>
                <w:color w:val="auto"/>
                <w:sz w:val="21"/>
                <w:szCs w:val="21"/>
              </w:rPr>
            </w:pPr>
          </w:p>
        </w:tc>
        <w:tc>
          <w:tcPr>
            <w:tcW w:w="812" w:type="pct"/>
            <w:gridSpan w:val="4"/>
            <w:shd w:val="clear" w:color="auto" w:fill="auto"/>
            <w:vAlign w:val="center"/>
          </w:tcPr>
          <w:p w14:paraId="27E0F99A">
            <w:pPr>
              <w:tabs>
                <w:tab w:val="left" w:pos="2227"/>
              </w:tabs>
              <w:spacing w:line="240" w:lineRule="auto"/>
              <w:ind w:firstLine="0" w:firstLineChars="0"/>
              <w:jc w:val="center"/>
              <w:rPr>
                <w:color w:val="auto"/>
                <w:sz w:val="21"/>
                <w:szCs w:val="21"/>
              </w:rPr>
            </w:pPr>
            <w:r>
              <w:rPr>
                <w:rFonts w:hint="eastAsia"/>
                <w:color w:val="auto"/>
                <w:sz w:val="21"/>
                <w:szCs w:val="21"/>
              </w:rPr>
              <w:t>废包装材料</w:t>
            </w:r>
          </w:p>
        </w:tc>
        <w:tc>
          <w:tcPr>
            <w:tcW w:w="903" w:type="pct"/>
            <w:vMerge w:val="continue"/>
            <w:vAlign w:val="center"/>
          </w:tcPr>
          <w:p w14:paraId="7CD44436">
            <w:pPr>
              <w:spacing w:line="240" w:lineRule="auto"/>
              <w:ind w:firstLine="0" w:firstLineChars="0"/>
              <w:jc w:val="center"/>
              <w:rPr>
                <w:color w:val="auto"/>
                <w:kern w:val="44"/>
                <w:sz w:val="21"/>
                <w:szCs w:val="21"/>
              </w:rPr>
            </w:pPr>
          </w:p>
        </w:tc>
        <w:tc>
          <w:tcPr>
            <w:tcW w:w="356" w:type="pct"/>
            <w:vMerge w:val="continue"/>
            <w:vAlign w:val="center"/>
          </w:tcPr>
          <w:p w14:paraId="7649BF74">
            <w:pPr>
              <w:spacing w:line="240" w:lineRule="auto"/>
              <w:ind w:firstLine="0" w:firstLineChars="0"/>
              <w:jc w:val="center"/>
              <w:rPr>
                <w:color w:val="auto"/>
                <w:kern w:val="44"/>
                <w:sz w:val="21"/>
                <w:szCs w:val="21"/>
              </w:rPr>
            </w:pPr>
          </w:p>
        </w:tc>
        <w:tc>
          <w:tcPr>
            <w:tcW w:w="236" w:type="pct"/>
            <w:vMerge w:val="continue"/>
            <w:vAlign w:val="center"/>
          </w:tcPr>
          <w:p w14:paraId="0642BE74">
            <w:pPr>
              <w:spacing w:line="240" w:lineRule="auto"/>
              <w:ind w:firstLine="0" w:firstLineChars="0"/>
              <w:jc w:val="center"/>
              <w:rPr>
                <w:color w:val="auto"/>
                <w:kern w:val="44"/>
                <w:sz w:val="21"/>
                <w:szCs w:val="21"/>
              </w:rPr>
            </w:pPr>
          </w:p>
        </w:tc>
        <w:tc>
          <w:tcPr>
            <w:tcW w:w="1002" w:type="pct"/>
            <w:gridSpan w:val="3"/>
            <w:vMerge w:val="continue"/>
            <w:vAlign w:val="center"/>
          </w:tcPr>
          <w:p w14:paraId="49911E9D">
            <w:pPr>
              <w:spacing w:line="240" w:lineRule="auto"/>
              <w:ind w:firstLine="0" w:firstLineChars="0"/>
              <w:jc w:val="center"/>
              <w:rPr>
                <w:color w:val="auto"/>
                <w:kern w:val="44"/>
                <w:sz w:val="21"/>
                <w:szCs w:val="21"/>
              </w:rPr>
            </w:pPr>
          </w:p>
        </w:tc>
        <w:tc>
          <w:tcPr>
            <w:tcW w:w="257" w:type="pct"/>
            <w:vMerge w:val="continue"/>
            <w:vAlign w:val="center"/>
          </w:tcPr>
          <w:p w14:paraId="5F5048E5">
            <w:pPr>
              <w:spacing w:line="240" w:lineRule="auto"/>
              <w:ind w:firstLine="0" w:firstLineChars="0"/>
              <w:jc w:val="center"/>
              <w:rPr>
                <w:color w:val="auto"/>
                <w:kern w:val="44"/>
                <w:sz w:val="21"/>
                <w:szCs w:val="21"/>
                <w:lang w:val="en-AU"/>
              </w:rPr>
            </w:pPr>
          </w:p>
        </w:tc>
        <w:tc>
          <w:tcPr>
            <w:tcW w:w="246" w:type="pct"/>
            <w:vMerge w:val="continue"/>
            <w:vAlign w:val="center"/>
          </w:tcPr>
          <w:p w14:paraId="26096D8F">
            <w:pPr>
              <w:spacing w:line="240" w:lineRule="auto"/>
              <w:ind w:firstLine="0" w:firstLineChars="0"/>
              <w:jc w:val="center"/>
              <w:rPr>
                <w:color w:val="auto"/>
                <w:kern w:val="44"/>
                <w:sz w:val="21"/>
                <w:szCs w:val="21"/>
              </w:rPr>
            </w:pPr>
          </w:p>
        </w:tc>
        <w:tc>
          <w:tcPr>
            <w:tcW w:w="742" w:type="pct"/>
            <w:vMerge w:val="continue"/>
            <w:vAlign w:val="center"/>
          </w:tcPr>
          <w:p w14:paraId="52BCBDCC">
            <w:pPr>
              <w:spacing w:line="240" w:lineRule="auto"/>
              <w:ind w:firstLine="0" w:firstLineChars="0"/>
              <w:jc w:val="center"/>
              <w:rPr>
                <w:color w:val="auto"/>
                <w:kern w:val="44"/>
                <w:sz w:val="21"/>
                <w:szCs w:val="21"/>
              </w:rPr>
            </w:pPr>
          </w:p>
        </w:tc>
      </w:tr>
      <w:tr w14:paraId="73AA0D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3C590289">
            <w:pPr>
              <w:spacing w:line="240" w:lineRule="auto"/>
              <w:ind w:firstLine="0" w:firstLineChars="0"/>
              <w:jc w:val="center"/>
              <w:rPr>
                <w:color w:val="auto"/>
                <w:kern w:val="44"/>
                <w:sz w:val="21"/>
                <w:szCs w:val="21"/>
              </w:rPr>
            </w:pPr>
          </w:p>
        </w:tc>
        <w:tc>
          <w:tcPr>
            <w:tcW w:w="194" w:type="pct"/>
            <w:vMerge w:val="continue"/>
            <w:vAlign w:val="center"/>
          </w:tcPr>
          <w:p w14:paraId="3DC320DB">
            <w:pPr>
              <w:spacing w:line="240" w:lineRule="auto"/>
              <w:ind w:firstLine="0" w:firstLineChars="0"/>
              <w:jc w:val="center"/>
              <w:rPr>
                <w:color w:val="auto"/>
                <w:sz w:val="21"/>
                <w:szCs w:val="21"/>
              </w:rPr>
            </w:pPr>
          </w:p>
        </w:tc>
        <w:tc>
          <w:tcPr>
            <w:tcW w:w="812" w:type="pct"/>
            <w:gridSpan w:val="4"/>
            <w:shd w:val="clear" w:color="auto" w:fill="auto"/>
            <w:vAlign w:val="center"/>
          </w:tcPr>
          <w:p w14:paraId="01D0384C">
            <w:pPr>
              <w:tabs>
                <w:tab w:val="left" w:pos="2227"/>
              </w:tabs>
              <w:spacing w:line="240" w:lineRule="auto"/>
              <w:ind w:firstLine="0" w:firstLineChars="0"/>
              <w:jc w:val="center"/>
              <w:rPr>
                <w:color w:val="auto"/>
                <w:sz w:val="21"/>
                <w:szCs w:val="21"/>
              </w:rPr>
            </w:pPr>
            <w:r>
              <w:rPr>
                <w:rFonts w:hint="eastAsia"/>
                <w:color w:val="auto"/>
                <w:sz w:val="21"/>
                <w:szCs w:val="21"/>
              </w:rPr>
              <w:t>废模具</w:t>
            </w:r>
          </w:p>
        </w:tc>
        <w:tc>
          <w:tcPr>
            <w:tcW w:w="903" w:type="pct"/>
            <w:vMerge w:val="continue"/>
            <w:vAlign w:val="center"/>
          </w:tcPr>
          <w:p w14:paraId="2C0C5AB5">
            <w:pPr>
              <w:spacing w:line="240" w:lineRule="auto"/>
              <w:ind w:firstLine="0" w:firstLineChars="0"/>
              <w:jc w:val="center"/>
              <w:rPr>
                <w:color w:val="auto"/>
                <w:kern w:val="44"/>
                <w:sz w:val="21"/>
                <w:szCs w:val="21"/>
              </w:rPr>
            </w:pPr>
          </w:p>
        </w:tc>
        <w:tc>
          <w:tcPr>
            <w:tcW w:w="356" w:type="pct"/>
            <w:vMerge w:val="continue"/>
            <w:vAlign w:val="center"/>
          </w:tcPr>
          <w:p w14:paraId="710093D7">
            <w:pPr>
              <w:spacing w:line="240" w:lineRule="auto"/>
              <w:ind w:firstLine="0" w:firstLineChars="0"/>
              <w:jc w:val="center"/>
              <w:rPr>
                <w:color w:val="auto"/>
                <w:kern w:val="44"/>
                <w:sz w:val="21"/>
                <w:szCs w:val="21"/>
              </w:rPr>
            </w:pPr>
          </w:p>
        </w:tc>
        <w:tc>
          <w:tcPr>
            <w:tcW w:w="236" w:type="pct"/>
            <w:vMerge w:val="continue"/>
            <w:vAlign w:val="center"/>
          </w:tcPr>
          <w:p w14:paraId="3E3497E4">
            <w:pPr>
              <w:spacing w:line="240" w:lineRule="auto"/>
              <w:ind w:firstLine="0" w:firstLineChars="0"/>
              <w:jc w:val="center"/>
              <w:rPr>
                <w:color w:val="auto"/>
                <w:kern w:val="44"/>
                <w:sz w:val="21"/>
                <w:szCs w:val="21"/>
              </w:rPr>
            </w:pPr>
          </w:p>
        </w:tc>
        <w:tc>
          <w:tcPr>
            <w:tcW w:w="1002" w:type="pct"/>
            <w:gridSpan w:val="3"/>
            <w:vMerge w:val="continue"/>
            <w:vAlign w:val="center"/>
          </w:tcPr>
          <w:p w14:paraId="02B3D82E">
            <w:pPr>
              <w:spacing w:line="240" w:lineRule="auto"/>
              <w:ind w:firstLine="0" w:firstLineChars="0"/>
              <w:jc w:val="center"/>
              <w:rPr>
                <w:color w:val="auto"/>
                <w:kern w:val="44"/>
                <w:sz w:val="21"/>
                <w:szCs w:val="21"/>
              </w:rPr>
            </w:pPr>
          </w:p>
        </w:tc>
        <w:tc>
          <w:tcPr>
            <w:tcW w:w="257" w:type="pct"/>
            <w:vMerge w:val="continue"/>
            <w:vAlign w:val="center"/>
          </w:tcPr>
          <w:p w14:paraId="487901BA">
            <w:pPr>
              <w:spacing w:line="240" w:lineRule="auto"/>
              <w:ind w:firstLine="0" w:firstLineChars="0"/>
              <w:jc w:val="center"/>
              <w:rPr>
                <w:color w:val="auto"/>
                <w:kern w:val="44"/>
                <w:sz w:val="21"/>
                <w:szCs w:val="21"/>
                <w:lang w:val="en-AU"/>
              </w:rPr>
            </w:pPr>
          </w:p>
        </w:tc>
        <w:tc>
          <w:tcPr>
            <w:tcW w:w="246" w:type="pct"/>
            <w:vMerge w:val="continue"/>
            <w:vAlign w:val="center"/>
          </w:tcPr>
          <w:p w14:paraId="65440C12">
            <w:pPr>
              <w:spacing w:line="240" w:lineRule="auto"/>
              <w:ind w:firstLine="0" w:firstLineChars="0"/>
              <w:jc w:val="center"/>
              <w:rPr>
                <w:color w:val="auto"/>
                <w:kern w:val="44"/>
                <w:sz w:val="21"/>
                <w:szCs w:val="21"/>
              </w:rPr>
            </w:pPr>
          </w:p>
        </w:tc>
        <w:tc>
          <w:tcPr>
            <w:tcW w:w="742" w:type="pct"/>
            <w:vMerge w:val="continue"/>
            <w:vAlign w:val="center"/>
          </w:tcPr>
          <w:p w14:paraId="7E8FF4AA">
            <w:pPr>
              <w:spacing w:line="240" w:lineRule="auto"/>
              <w:ind w:firstLine="0" w:firstLineChars="0"/>
              <w:jc w:val="center"/>
              <w:rPr>
                <w:color w:val="auto"/>
                <w:kern w:val="44"/>
                <w:sz w:val="21"/>
                <w:szCs w:val="21"/>
              </w:rPr>
            </w:pPr>
          </w:p>
        </w:tc>
      </w:tr>
      <w:tr w14:paraId="5F08B4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5DDC7440">
            <w:pPr>
              <w:spacing w:line="240" w:lineRule="auto"/>
              <w:ind w:firstLine="0" w:firstLineChars="0"/>
              <w:jc w:val="center"/>
              <w:rPr>
                <w:color w:val="auto"/>
                <w:kern w:val="44"/>
                <w:sz w:val="21"/>
                <w:szCs w:val="21"/>
              </w:rPr>
            </w:pPr>
          </w:p>
        </w:tc>
        <w:tc>
          <w:tcPr>
            <w:tcW w:w="194" w:type="pct"/>
            <w:vMerge w:val="continue"/>
            <w:vAlign w:val="center"/>
          </w:tcPr>
          <w:p w14:paraId="6D64AE90">
            <w:pPr>
              <w:spacing w:line="240" w:lineRule="auto"/>
              <w:ind w:firstLine="0" w:firstLineChars="0"/>
              <w:jc w:val="center"/>
              <w:rPr>
                <w:color w:val="auto"/>
                <w:sz w:val="21"/>
                <w:szCs w:val="21"/>
              </w:rPr>
            </w:pPr>
          </w:p>
        </w:tc>
        <w:tc>
          <w:tcPr>
            <w:tcW w:w="812" w:type="pct"/>
            <w:gridSpan w:val="4"/>
            <w:vAlign w:val="center"/>
          </w:tcPr>
          <w:p w14:paraId="4A89B90E">
            <w:pPr>
              <w:spacing w:line="240" w:lineRule="auto"/>
              <w:ind w:firstLine="0" w:firstLineChars="0"/>
              <w:jc w:val="center"/>
              <w:rPr>
                <w:color w:val="auto"/>
                <w:sz w:val="21"/>
                <w:szCs w:val="21"/>
              </w:rPr>
            </w:pPr>
            <w:r>
              <w:rPr>
                <w:rFonts w:hint="eastAsia"/>
                <w:color w:val="auto"/>
                <w:sz w:val="21"/>
                <w:szCs w:val="21"/>
              </w:rPr>
              <w:t>质检不合格品</w:t>
            </w:r>
          </w:p>
        </w:tc>
        <w:tc>
          <w:tcPr>
            <w:tcW w:w="903" w:type="pct"/>
            <w:vMerge w:val="continue"/>
            <w:vAlign w:val="center"/>
          </w:tcPr>
          <w:p w14:paraId="208D39E9">
            <w:pPr>
              <w:spacing w:line="240" w:lineRule="auto"/>
              <w:ind w:firstLine="0" w:firstLineChars="0"/>
              <w:jc w:val="center"/>
              <w:rPr>
                <w:color w:val="auto"/>
                <w:kern w:val="44"/>
                <w:sz w:val="21"/>
                <w:szCs w:val="21"/>
              </w:rPr>
            </w:pPr>
          </w:p>
        </w:tc>
        <w:tc>
          <w:tcPr>
            <w:tcW w:w="356" w:type="pct"/>
            <w:vMerge w:val="continue"/>
            <w:vAlign w:val="center"/>
          </w:tcPr>
          <w:p w14:paraId="64F361BB">
            <w:pPr>
              <w:spacing w:line="240" w:lineRule="auto"/>
              <w:ind w:firstLine="0" w:firstLineChars="0"/>
              <w:jc w:val="center"/>
              <w:rPr>
                <w:color w:val="auto"/>
                <w:kern w:val="44"/>
                <w:sz w:val="21"/>
                <w:szCs w:val="21"/>
              </w:rPr>
            </w:pPr>
          </w:p>
        </w:tc>
        <w:tc>
          <w:tcPr>
            <w:tcW w:w="236" w:type="pct"/>
            <w:vMerge w:val="continue"/>
            <w:vAlign w:val="center"/>
          </w:tcPr>
          <w:p w14:paraId="67F924B7">
            <w:pPr>
              <w:spacing w:line="240" w:lineRule="auto"/>
              <w:ind w:firstLine="0" w:firstLineChars="0"/>
              <w:jc w:val="center"/>
              <w:rPr>
                <w:color w:val="auto"/>
                <w:kern w:val="44"/>
                <w:sz w:val="21"/>
                <w:szCs w:val="21"/>
              </w:rPr>
            </w:pPr>
          </w:p>
        </w:tc>
        <w:tc>
          <w:tcPr>
            <w:tcW w:w="1002" w:type="pct"/>
            <w:gridSpan w:val="3"/>
            <w:vMerge w:val="continue"/>
            <w:vAlign w:val="center"/>
          </w:tcPr>
          <w:p w14:paraId="5C025BE4">
            <w:pPr>
              <w:spacing w:line="240" w:lineRule="auto"/>
              <w:ind w:firstLine="0" w:firstLineChars="0"/>
              <w:jc w:val="center"/>
              <w:rPr>
                <w:color w:val="auto"/>
                <w:kern w:val="44"/>
                <w:sz w:val="21"/>
                <w:szCs w:val="21"/>
              </w:rPr>
            </w:pPr>
          </w:p>
        </w:tc>
        <w:tc>
          <w:tcPr>
            <w:tcW w:w="257" w:type="pct"/>
            <w:vMerge w:val="continue"/>
            <w:vAlign w:val="center"/>
          </w:tcPr>
          <w:p w14:paraId="618C2ABE">
            <w:pPr>
              <w:spacing w:line="240" w:lineRule="auto"/>
              <w:ind w:firstLine="0" w:firstLineChars="0"/>
              <w:jc w:val="center"/>
              <w:rPr>
                <w:color w:val="auto"/>
                <w:kern w:val="44"/>
                <w:sz w:val="21"/>
                <w:szCs w:val="21"/>
                <w:lang w:val="en-AU"/>
              </w:rPr>
            </w:pPr>
          </w:p>
        </w:tc>
        <w:tc>
          <w:tcPr>
            <w:tcW w:w="246" w:type="pct"/>
            <w:vMerge w:val="continue"/>
            <w:vAlign w:val="center"/>
          </w:tcPr>
          <w:p w14:paraId="5950B0F6">
            <w:pPr>
              <w:spacing w:line="240" w:lineRule="auto"/>
              <w:ind w:firstLine="0" w:firstLineChars="0"/>
              <w:jc w:val="center"/>
              <w:rPr>
                <w:color w:val="auto"/>
                <w:kern w:val="44"/>
                <w:sz w:val="21"/>
                <w:szCs w:val="21"/>
              </w:rPr>
            </w:pPr>
          </w:p>
        </w:tc>
        <w:tc>
          <w:tcPr>
            <w:tcW w:w="742" w:type="pct"/>
            <w:vMerge w:val="continue"/>
            <w:vAlign w:val="center"/>
          </w:tcPr>
          <w:p w14:paraId="07A1A377">
            <w:pPr>
              <w:spacing w:line="240" w:lineRule="auto"/>
              <w:ind w:firstLine="0" w:firstLineChars="0"/>
              <w:jc w:val="center"/>
              <w:rPr>
                <w:color w:val="auto"/>
                <w:kern w:val="44"/>
                <w:sz w:val="21"/>
                <w:szCs w:val="21"/>
              </w:rPr>
            </w:pPr>
          </w:p>
        </w:tc>
      </w:tr>
      <w:tr w14:paraId="4949FD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BFD47F4">
            <w:pPr>
              <w:spacing w:line="240" w:lineRule="auto"/>
              <w:ind w:firstLine="0" w:firstLineChars="0"/>
              <w:jc w:val="center"/>
              <w:rPr>
                <w:color w:val="auto"/>
                <w:kern w:val="44"/>
                <w:sz w:val="21"/>
                <w:szCs w:val="21"/>
              </w:rPr>
            </w:pPr>
          </w:p>
        </w:tc>
        <w:tc>
          <w:tcPr>
            <w:tcW w:w="194" w:type="pct"/>
            <w:vMerge w:val="continue"/>
            <w:vAlign w:val="center"/>
          </w:tcPr>
          <w:p w14:paraId="6EBE3D7F">
            <w:pPr>
              <w:spacing w:line="240" w:lineRule="auto"/>
              <w:ind w:firstLine="0" w:firstLineChars="0"/>
              <w:jc w:val="center"/>
              <w:rPr>
                <w:color w:val="auto"/>
                <w:sz w:val="21"/>
                <w:szCs w:val="21"/>
              </w:rPr>
            </w:pPr>
          </w:p>
        </w:tc>
        <w:tc>
          <w:tcPr>
            <w:tcW w:w="323" w:type="pct"/>
            <w:gridSpan w:val="2"/>
            <w:vMerge w:val="restart"/>
            <w:vAlign w:val="center"/>
          </w:tcPr>
          <w:p w14:paraId="134A13AC">
            <w:pPr>
              <w:spacing w:line="240" w:lineRule="auto"/>
              <w:ind w:firstLine="0" w:firstLineChars="0"/>
              <w:jc w:val="center"/>
              <w:rPr>
                <w:color w:val="auto"/>
                <w:sz w:val="21"/>
                <w:szCs w:val="21"/>
              </w:rPr>
            </w:pPr>
            <w:r>
              <w:rPr>
                <w:rFonts w:hint="eastAsia"/>
                <w:color w:val="auto"/>
                <w:sz w:val="21"/>
                <w:szCs w:val="21"/>
              </w:rPr>
              <w:t>纯水制备产生的</w:t>
            </w:r>
            <w:r>
              <w:rPr>
                <w:color w:val="auto"/>
                <w:sz w:val="21"/>
                <w:szCs w:val="21"/>
              </w:rPr>
              <w:t>废弃物</w:t>
            </w:r>
          </w:p>
        </w:tc>
        <w:tc>
          <w:tcPr>
            <w:tcW w:w="489" w:type="pct"/>
            <w:gridSpan w:val="2"/>
            <w:vAlign w:val="center"/>
          </w:tcPr>
          <w:p w14:paraId="1BE15B91">
            <w:pPr>
              <w:spacing w:line="240" w:lineRule="auto"/>
              <w:ind w:firstLine="0" w:firstLineChars="0"/>
              <w:jc w:val="center"/>
              <w:rPr>
                <w:color w:val="auto"/>
                <w:sz w:val="21"/>
                <w:szCs w:val="21"/>
              </w:rPr>
            </w:pPr>
            <w:r>
              <w:rPr>
                <w:color w:val="auto"/>
                <w:sz w:val="21"/>
                <w:szCs w:val="21"/>
              </w:rPr>
              <w:t>废石英砂</w:t>
            </w:r>
          </w:p>
        </w:tc>
        <w:tc>
          <w:tcPr>
            <w:tcW w:w="903" w:type="pct"/>
            <w:vMerge w:val="continue"/>
            <w:vAlign w:val="center"/>
          </w:tcPr>
          <w:p w14:paraId="2F82985A">
            <w:pPr>
              <w:spacing w:line="240" w:lineRule="auto"/>
              <w:ind w:firstLine="0" w:firstLineChars="0"/>
              <w:jc w:val="center"/>
              <w:rPr>
                <w:color w:val="auto"/>
                <w:kern w:val="44"/>
                <w:sz w:val="21"/>
                <w:szCs w:val="21"/>
              </w:rPr>
            </w:pPr>
          </w:p>
        </w:tc>
        <w:tc>
          <w:tcPr>
            <w:tcW w:w="356" w:type="pct"/>
            <w:vMerge w:val="continue"/>
            <w:vAlign w:val="center"/>
          </w:tcPr>
          <w:p w14:paraId="401B83E5">
            <w:pPr>
              <w:spacing w:line="240" w:lineRule="auto"/>
              <w:ind w:firstLine="0" w:firstLineChars="0"/>
              <w:jc w:val="center"/>
              <w:rPr>
                <w:color w:val="auto"/>
                <w:kern w:val="44"/>
                <w:sz w:val="21"/>
                <w:szCs w:val="21"/>
              </w:rPr>
            </w:pPr>
          </w:p>
        </w:tc>
        <w:tc>
          <w:tcPr>
            <w:tcW w:w="236" w:type="pct"/>
            <w:vMerge w:val="continue"/>
            <w:vAlign w:val="center"/>
          </w:tcPr>
          <w:p w14:paraId="7A9FC1CD">
            <w:pPr>
              <w:spacing w:line="240" w:lineRule="auto"/>
              <w:ind w:firstLine="0" w:firstLineChars="0"/>
              <w:jc w:val="center"/>
              <w:rPr>
                <w:color w:val="auto"/>
                <w:kern w:val="44"/>
                <w:sz w:val="21"/>
                <w:szCs w:val="21"/>
              </w:rPr>
            </w:pPr>
          </w:p>
        </w:tc>
        <w:tc>
          <w:tcPr>
            <w:tcW w:w="1002" w:type="pct"/>
            <w:gridSpan w:val="3"/>
            <w:vMerge w:val="continue"/>
            <w:vAlign w:val="center"/>
          </w:tcPr>
          <w:p w14:paraId="5DDADEF7">
            <w:pPr>
              <w:spacing w:line="240" w:lineRule="auto"/>
              <w:ind w:firstLine="0" w:firstLineChars="0"/>
              <w:jc w:val="center"/>
              <w:rPr>
                <w:color w:val="auto"/>
                <w:kern w:val="44"/>
                <w:sz w:val="21"/>
                <w:szCs w:val="21"/>
              </w:rPr>
            </w:pPr>
          </w:p>
        </w:tc>
        <w:tc>
          <w:tcPr>
            <w:tcW w:w="257" w:type="pct"/>
            <w:vMerge w:val="continue"/>
            <w:vAlign w:val="center"/>
          </w:tcPr>
          <w:p w14:paraId="30A88F8F">
            <w:pPr>
              <w:spacing w:line="240" w:lineRule="auto"/>
              <w:ind w:firstLine="0" w:firstLineChars="0"/>
              <w:jc w:val="center"/>
              <w:rPr>
                <w:color w:val="auto"/>
                <w:kern w:val="44"/>
                <w:sz w:val="21"/>
                <w:szCs w:val="21"/>
                <w:lang w:val="en-AU"/>
              </w:rPr>
            </w:pPr>
          </w:p>
        </w:tc>
        <w:tc>
          <w:tcPr>
            <w:tcW w:w="246" w:type="pct"/>
            <w:vMerge w:val="continue"/>
            <w:vAlign w:val="center"/>
          </w:tcPr>
          <w:p w14:paraId="4D983505">
            <w:pPr>
              <w:spacing w:line="240" w:lineRule="auto"/>
              <w:ind w:firstLine="0" w:firstLineChars="0"/>
              <w:jc w:val="center"/>
              <w:rPr>
                <w:color w:val="auto"/>
                <w:kern w:val="44"/>
                <w:sz w:val="21"/>
                <w:szCs w:val="21"/>
              </w:rPr>
            </w:pPr>
          </w:p>
        </w:tc>
        <w:tc>
          <w:tcPr>
            <w:tcW w:w="742" w:type="pct"/>
            <w:vMerge w:val="continue"/>
            <w:vAlign w:val="center"/>
          </w:tcPr>
          <w:p w14:paraId="6336D303">
            <w:pPr>
              <w:spacing w:line="240" w:lineRule="auto"/>
              <w:ind w:firstLine="0" w:firstLineChars="0"/>
              <w:jc w:val="center"/>
              <w:rPr>
                <w:color w:val="auto"/>
                <w:kern w:val="44"/>
                <w:sz w:val="21"/>
                <w:szCs w:val="21"/>
              </w:rPr>
            </w:pPr>
          </w:p>
        </w:tc>
      </w:tr>
      <w:tr w14:paraId="2EFB8B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248" w:type="pct"/>
            <w:vMerge w:val="continue"/>
            <w:vAlign w:val="center"/>
          </w:tcPr>
          <w:p w14:paraId="369E11EF">
            <w:pPr>
              <w:spacing w:line="240" w:lineRule="auto"/>
              <w:ind w:firstLine="0" w:firstLineChars="0"/>
              <w:jc w:val="center"/>
              <w:rPr>
                <w:color w:val="auto"/>
                <w:kern w:val="44"/>
                <w:sz w:val="21"/>
                <w:szCs w:val="21"/>
              </w:rPr>
            </w:pPr>
          </w:p>
        </w:tc>
        <w:tc>
          <w:tcPr>
            <w:tcW w:w="194" w:type="pct"/>
            <w:vMerge w:val="continue"/>
            <w:vAlign w:val="center"/>
          </w:tcPr>
          <w:p w14:paraId="6922CC32">
            <w:pPr>
              <w:spacing w:line="240" w:lineRule="auto"/>
              <w:ind w:firstLine="0" w:firstLineChars="0"/>
              <w:jc w:val="center"/>
              <w:rPr>
                <w:color w:val="auto"/>
                <w:sz w:val="21"/>
                <w:szCs w:val="21"/>
              </w:rPr>
            </w:pPr>
          </w:p>
        </w:tc>
        <w:tc>
          <w:tcPr>
            <w:tcW w:w="323" w:type="pct"/>
            <w:gridSpan w:val="2"/>
            <w:vMerge w:val="continue"/>
            <w:vAlign w:val="center"/>
          </w:tcPr>
          <w:p w14:paraId="77009A37">
            <w:pPr>
              <w:spacing w:line="240" w:lineRule="auto"/>
              <w:ind w:firstLine="0" w:firstLineChars="0"/>
              <w:jc w:val="center"/>
              <w:rPr>
                <w:color w:val="auto"/>
                <w:sz w:val="21"/>
                <w:szCs w:val="21"/>
              </w:rPr>
            </w:pPr>
          </w:p>
        </w:tc>
        <w:tc>
          <w:tcPr>
            <w:tcW w:w="489" w:type="pct"/>
            <w:gridSpan w:val="2"/>
            <w:vAlign w:val="center"/>
          </w:tcPr>
          <w:p w14:paraId="6D291A14">
            <w:pPr>
              <w:spacing w:line="240" w:lineRule="auto"/>
              <w:ind w:firstLine="0" w:firstLineChars="0"/>
              <w:jc w:val="center"/>
              <w:rPr>
                <w:color w:val="auto"/>
                <w:sz w:val="21"/>
                <w:szCs w:val="21"/>
              </w:rPr>
            </w:pPr>
            <w:r>
              <w:rPr>
                <w:color w:val="auto"/>
                <w:sz w:val="21"/>
                <w:szCs w:val="21"/>
              </w:rPr>
              <w:t>废活性炭</w:t>
            </w:r>
          </w:p>
        </w:tc>
        <w:tc>
          <w:tcPr>
            <w:tcW w:w="903" w:type="pct"/>
            <w:vMerge w:val="continue"/>
            <w:vAlign w:val="center"/>
          </w:tcPr>
          <w:p w14:paraId="5CDA52E5">
            <w:pPr>
              <w:spacing w:line="240" w:lineRule="auto"/>
              <w:ind w:firstLine="0" w:firstLineChars="0"/>
              <w:jc w:val="center"/>
              <w:rPr>
                <w:color w:val="auto"/>
                <w:kern w:val="44"/>
                <w:sz w:val="21"/>
                <w:szCs w:val="21"/>
              </w:rPr>
            </w:pPr>
          </w:p>
        </w:tc>
        <w:tc>
          <w:tcPr>
            <w:tcW w:w="356" w:type="pct"/>
            <w:vMerge w:val="continue"/>
            <w:vAlign w:val="center"/>
          </w:tcPr>
          <w:p w14:paraId="3EAB0F1B">
            <w:pPr>
              <w:spacing w:line="240" w:lineRule="auto"/>
              <w:ind w:firstLine="0" w:firstLineChars="0"/>
              <w:jc w:val="center"/>
              <w:rPr>
                <w:color w:val="auto"/>
                <w:kern w:val="44"/>
                <w:sz w:val="21"/>
                <w:szCs w:val="21"/>
              </w:rPr>
            </w:pPr>
          </w:p>
        </w:tc>
        <w:tc>
          <w:tcPr>
            <w:tcW w:w="236" w:type="pct"/>
            <w:vMerge w:val="continue"/>
            <w:vAlign w:val="center"/>
          </w:tcPr>
          <w:p w14:paraId="436F5893">
            <w:pPr>
              <w:spacing w:line="240" w:lineRule="auto"/>
              <w:ind w:firstLine="0" w:firstLineChars="0"/>
              <w:jc w:val="center"/>
              <w:rPr>
                <w:color w:val="auto"/>
                <w:kern w:val="44"/>
                <w:sz w:val="21"/>
                <w:szCs w:val="21"/>
              </w:rPr>
            </w:pPr>
          </w:p>
        </w:tc>
        <w:tc>
          <w:tcPr>
            <w:tcW w:w="1002" w:type="pct"/>
            <w:gridSpan w:val="3"/>
            <w:vMerge w:val="continue"/>
            <w:vAlign w:val="center"/>
          </w:tcPr>
          <w:p w14:paraId="21A5CA1C">
            <w:pPr>
              <w:spacing w:line="240" w:lineRule="auto"/>
              <w:ind w:firstLine="0" w:firstLineChars="0"/>
              <w:jc w:val="center"/>
              <w:rPr>
                <w:color w:val="auto"/>
                <w:kern w:val="44"/>
                <w:sz w:val="21"/>
                <w:szCs w:val="21"/>
              </w:rPr>
            </w:pPr>
          </w:p>
        </w:tc>
        <w:tc>
          <w:tcPr>
            <w:tcW w:w="257" w:type="pct"/>
            <w:vMerge w:val="continue"/>
            <w:vAlign w:val="center"/>
          </w:tcPr>
          <w:p w14:paraId="70474B51">
            <w:pPr>
              <w:spacing w:line="240" w:lineRule="auto"/>
              <w:ind w:firstLine="0" w:firstLineChars="0"/>
              <w:jc w:val="center"/>
              <w:rPr>
                <w:color w:val="auto"/>
                <w:kern w:val="44"/>
                <w:sz w:val="21"/>
                <w:szCs w:val="21"/>
                <w:lang w:val="en-AU"/>
              </w:rPr>
            </w:pPr>
          </w:p>
        </w:tc>
        <w:tc>
          <w:tcPr>
            <w:tcW w:w="246" w:type="pct"/>
            <w:vMerge w:val="continue"/>
            <w:vAlign w:val="center"/>
          </w:tcPr>
          <w:p w14:paraId="7A2156A3">
            <w:pPr>
              <w:spacing w:line="240" w:lineRule="auto"/>
              <w:ind w:firstLine="0" w:firstLineChars="0"/>
              <w:jc w:val="center"/>
              <w:rPr>
                <w:color w:val="auto"/>
                <w:kern w:val="44"/>
                <w:sz w:val="21"/>
                <w:szCs w:val="21"/>
              </w:rPr>
            </w:pPr>
          </w:p>
        </w:tc>
        <w:tc>
          <w:tcPr>
            <w:tcW w:w="742" w:type="pct"/>
            <w:vMerge w:val="continue"/>
            <w:vAlign w:val="center"/>
          </w:tcPr>
          <w:p w14:paraId="6C05A0ED">
            <w:pPr>
              <w:spacing w:line="240" w:lineRule="auto"/>
              <w:ind w:firstLine="0" w:firstLineChars="0"/>
              <w:jc w:val="center"/>
              <w:rPr>
                <w:color w:val="auto"/>
                <w:kern w:val="44"/>
                <w:sz w:val="21"/>
                <w:szCs w:val="21"/>
              </w:rPr>
            </w:pPr>
          </w:p>
        </w:tc>
      </w:tr>
      <w:tr w14:paraId="324B55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32C1A24">
            <w:pPr>
              <w:spacing w:line="240" w:lineRule="auto"/>
              <w:ind w:firstLine="0" w:firstLineChars="0"/>
              <w:jc w:val="center"/>
              <w:rPr>
                <w:color w:val="auto"/>
                <w:kern w:val="44"/>
                <w:sz w:val="21"/>
                <w:szCs w:val="21"/>
              </w:rPr>
            </w:pPr>
          </w:p>
        </w:tc>
        <w:tc>
          <w:tcPr>
            <w:tcW w:w="194" w:type="pct"/>
            <w:vMerge w:val="continue"/>
            <w:vAlign w:val="center"/>
          </w:tcPr>
          <w:p w14:paraId="4DF39A10">
            <w:pPr>
              <w:spacing w:line="240" w:lineRule="auto"/>
              <w:ind w:firstLine="0" w:firstLineChars="0"/>
              <w:jc w:val="center"/>
              <w:rPr>
                <w:color w:val="auto"/>
                <w:sz w:val="21"/>
                <w:szCs w:val="21"/>
              </w:rPr>
            </w:pPr>
          </w:p>
        </w:tc>
        <w:tc>
          <w:tcPr>
            <w:tcW w:w="323" w:type="pct"/>
            <w:gridSpan w:val="2"/>
            <w:vMerge w:val="continue"/>
            <w:vAlign w:val="center"/>
          </w:tcPr>
          <w:p w14:paraId="156A407E">
            <w:pPr>
              <w:spacing w:line="240" w:lineRule="auto"/>
              <w:ind w:firstLine="0" w:firstLineChars="0"/>
              <w:jc w:val="center"/>
              <w:rPr>
                <w:color w:val="auto"/>
                <w:sz w:val="21"/>
                <w:szCs w:val="21"/>
              </w:rPr>
            </w:pPr>
          </w:p>
        </w:tc>
        <w:tc>
          <w:tcPr>
            <w:tcW w:w="489" w:type="pct"/>
            <w:gridSpan w:val="2"/>
            <w:vAlign w:val="center"/>
          </w:tcPr>
          <w:p w14:paraId="2838E2BD">
            <w:pPr>
              <w:spacing w:line="240" w:lineRule="auto"/>
              <w:ind w:firstLine="0" w:firstLineChars="0"/>
              <w:jc w:val="center"/>
              <w:rPr>
                <w:color w:val="auto"/>
                <w:sz w:val="21"/>
                <w:szCs w:val="21"/>
              </w:rPr>
            </w:pPr>
            <w:r>
              <w:rPr>
                <w:rFonts w:hint="eastAsia"/>
                <w:color w:val="auto"/>
                <w:sz w:val="21"/>
                <w:szCs w:val="21"/>
              </w:rPr>
              <w:t>废离子交换树脂</w:t>
            </w:r>
          </w:p>
        </w:tc>
        <w:tc>
          <w:tcPr>
            <w:tcW w:w="903" w:type="pct"/>
            <w:vMerge w:val="continue"/>
            <w:vAlign w:val="center"/>
          </w:tcPr>
          <w:p w14:paraId="295F32A5">
            <w:pPr>
              <w:spacing w:line="240" w:lineRule="auto"/>
              <w:ind w:firstLine="0" w:firstLineChars="0"/>
              <w:jc w:val="center"/>
              <w:rPr>
                <w:color w:val="auto"/>
                <w:kern w:val="44"/>
                <w:sz w:val="21"/>
                <w:szCs w:val="21"/>
              </w:rPr>
            </w:pPr>
          </w:p>
        </w:tc>
        <w:tc>
          <w:tcPr>
            <w:tcW w:w="356" w:type="pct"/>
            <w:vMerge w:val="continue"/>
            <w:vAlign w:val="center"/>
          </w:tcPr>
          <w:p w14:paraId="4426B071">
            <w:pPr>
              <w:spacing w:line="240" w:lineRule="auto"/>
              <w:ind w:firstLine="0" w:firstLineChars="0"/>
              <w:jc w:val="center"/>
              <w:rPr>
                <w:color w:val="auto"/>
                <w:kern w:val="44"/>
                <w:sz w:val="21"/>
                <w:szCs w:val="21"/>
              </w:rPr>
            </w:pPr>
          </w:p>
        </w:tc>
        <w:tc>
          <w:tcPr>
            <w:tcW w:w="236" w:type="pct"/>
            <w:vMerge w:val="continue"/>
            <w:vAlign w:val="center"/>
          </w:tcPr>
          <w:p w14:paraId="1B4BCA5A">
            <w:pPr>
              <w:spacing w:line="240" w:lineRule="auto"/>
              <w:ind w:firstLine="0" w:firstLineChars="0"/>
              <w:jc w:val="center"/>
              <w:rPr>
                <w:color w:val="auto"/>
                <w:kern w:val="44"/>
                <w:sz w:val="21"/>
                <w:szCs w:val="21"/>
              </w:rPr>
            </w:pPr>
          </w:p>
        </w:tc>
        <w:tc>
          <w:tcPr>
            <w:tcW w:w="1002" w:type="pct"/>
            <w:gridSpan w:val="3"/>
            <w:vMerge w:val="continue"/>
            <w:vAlign w:val="center"/>
          </w:tcPr>
          <w:p w14:paraId="459E965E">
            <w:pPr>
              <w:spacing w:line="240" w:lineRule="auto"/>
              <w:ind w:firstLine="0" w:firstLineChars="0"/>
              <w:jc w:val="center"/>
              <w:rPr>
                <w:color w:val="auto"/>
                <w:kern w:val="44"/>
                <w:sz w:val="21"/>
                <w:szCs w:val="21"/>
              </w:rPr>
            </w:pPr>
          </w:p>
        </w:tc>
        <w:tc>
          <w:tcPr>
            <w:tcW w:w="257" w:type="pct"/>
            <w:vMerge w:val="continue"/>
            <w:vAlign w:val="center"/>
          </w:tcPr>
          <w:p w14:paraId="6FFB6C69">
            <w:pPr>
              <w:spacing w:line="240" w:lineRule="auto"/>
              <w:ind w:firstLine="0" w:firstLineChars="0"/>
              <w:jc w:val="center"/>
              <w:rPr>
                <w:color w:val="auto"/>
                <w:kern w:val="44"/>
                <w:sz w:val="21"/>
                <w:szCs w:val="21"/>
                <w:lang w:val="en-AU"/>
              </w:rPr>
            </w:pPr>
          </w:p>
        </w:tc>
        <w:tc>
          <w:tcPr>
            <w:tcW w:w="246" w:type="pct"/>
            <w:vMerge w:val="continue"/>
            <w:vAlign w:val="center"/>
          </w:tcPr>
          <w:p w14:paraId="1B7AF74D">
            <w:pPr>
              <w:spacing w:line="240" w:lineRule="auto"/>
              <w:ind w:firstLine="0" w:firstLineChars="0"/>
              <w:jc w:val="center"/>
              <w:rPr>
                <w:color w:val="auto"/>
                <w:kern w:val="44"/>
                <w:sz w:val="21"/>
                <w:szCs w:val="21"/>
              </w:rPr>
            </w:pPr>
          </w:p>
        </w:tc>
        <w:tc>
          <w:tcPr>
            <w:tcW w:w="742" w:type="pct"/>
            <w:vMerge w:val="continue"/>
            <w:vAlign w:val="center"/>
          </w:tcPr>
          <w:p w14:paraId="576E01E3">
            <w:pPr>
              <w:spacing w:line="240" w:lineRule="auto"/>
              <w:ind w:firstLine="0" w:firstLineChars="0"/>
              <w:jc w:val="center"/>
              <w:rPr>
                <w:color w:val="auto"/>
                <w:kern w:val="44"/>
                <w:sz w:val="21"/>
                <w:szCs w:val="21"/>
              </w:rPr>
            </w:pPr>
          </w:p>
        </w:tc>
      </w:tr>
      <w:tr w14:paraId="72C534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F0EA465">
            <w:pPr>
              <w:spacing w:line="240" w:lineRule="auto"/>
              <w:ind w:firstLine="0" w:firstLineChars="0"/>
              <w:jc w:val="center"/>
              <w:rPr>
                <w:color w:val="auto"/>
                <w:kern w:val="44"/>
                <w:sz w:val="21"/>
                <w:szCs w:val="21"/>
              </w:rPr>
            </w:pPr>
          </w:p>
        </w:tc>
        <w:tc>
          <w:tcPr>
            <w:tcW w:w="194" w:type="pct"/>
            <w:vMerge w:val="continue"/>
            <w:vAlign w:val="center"/>
          </w:tcPr>
          <w:p w14:paraId="3FC56765">
            <w:pPr>
              <w:spacing w:line="240" w:lineRule="auto"/>
              <w:ind w:firstLine="0" w:firstLineChars="0"/>
              <w:jc w:val="center"/>
              <w:rPr>
                <w:color w:val="auto"/>
                <w:sz w:val="21"/>
                <w:szCs w:val="21"/>
              </w:rPr>
            </w:pPr>
          </w:p>
        </w:tc>
        <w:tc>
          <w:tcPr>
            <w:tcW w:w="323" w:type="pct"/>
            <w:gridSpan w:val="2"/>
            <w:vMerge w:val="continue"/>
            <w:vAlign w:val="center"/>
          </w:tcPr>
          <w:p w14:paraId="131C6A15">
            <w:pPr>
              <w:spacing w:line="240" w:lineRule="auto"/>
              <w:ind w:firstLine="0" w:firstLineChars="0"/>
              <w:jc w:val="center"/>
              <w:rPr>
                <w:color w:val="auto"/>
                <w:sz w:val="21"/>
                <w:szCs w:val="21"/>
              </w:rPr>
            </w:pPr>
          </w:p>
        </w:tc>
        <w:tc>
          <w:tcPr>
            <w:tcW w:w="489" w:type="pct"/>
            <w:gridSpan w:val="2"/>
            <w:vAlign w:val="center"/>
          </w:tcPr>
          <w:p w14:paraId="441E59AE">
            <w:pPr>
              <w:spacing w:line="240" w:lineRule="auto"/>
              <w:ind w:firstLine="0" w:firstLineChars="0"/>
              <w:jc w:val="center"/>
              <w:rPr>
                <w:color w:val="auto"/>
                <w:sz w:val="21"/>
                <w:szCs w:val="21"/>
              </w:rPr>
            </w:pPr>
            <w:r>
              <w:rPr>
                <w:rFonts w:hint="eastAsia"/>
                <w:color w:val="auto"/>
                <w:sz w:val="21"/>
                <w:szCs w:val="21"/>
              </w:rPr>
              <w:t>废渗透膜</w:t>
            </w:r>
          </w:p>
        </w:tc>
        <w:tc>
          <w:tcPr>
            <w:tcW w:w="903" w:type="pct"/>
            <w:vMerge w:val="continue"/>
            <w:vAlign w:val="center"/>
          </w:tcPr>
          <w:p w14:paraId="5B634EF0">
            <w:pPr>
              <w:spacing w:line="240" w:lineRule="auto"/>
              <w:ind w:firstLine="0" w:firstLineChars="0"/>
              <w:jc w:val="center"/>
              <w:rPr>
                <w:color w:val="auto"/>
                <w:kern w:val="44"/>
                <w:sz w:val="21"/>
                <w:szCs w:val="21"/>
              </w:rPr>
            </w:pPr>
          </w:p>
        </w:tc>
        <w:tc>
          <w:tcPr>
            <w:tcW w:w="356" w:type="pct"/>
            <w:vMerge w:val="continue"/>
            <w:vAlign w:val="center"/>
          </w:tcPr>
          <w:p w14:paraId="0BD82827">
            <w:pPr>
              <w:spacing w:line="240" w:lineRule="auto"/>
              <w:ind w:firstLine="0" w:firstLineChars="0"/>
              <w:jc w:val="center"/>
              <w:rPr>
                <w:color w:val="auto"/>
                <w:kern w:val="44"/>
                <w:sz w:val="21"/>
                <w:szCs w:val="21"/>
              </w:rPr>
            </w:pPr>
          </w:p>
        </w:tc>
        <w:tc>
          <w:tcPr>
            <w:tcW w:w="236" w:type="pct"/>
            <w:vMerge w:val="continue"/>
            <w:vAlign w:val="center"/>
          </w:tcPr>
          <w:p w14:paraId="7E892745">
            <w:pPr>
              <w:spacing w:line="240" w:lineRule="auto"/>
              <w:ind w:firstLine="0" w:firstLineChars="0"/>
              <w:jc w:val="center"/>
              <w:rPr>
                <w:color w:val="auto"/>
                <w:kern w:val="44"/>
                <w:sz w:val="21"/>
                <w:szCs w:val="21"/>
              </w:rPr>
            </w:pPr>
          </w:p>
        </w:tc>
        <w:tc>
          <w:tcPr>
            <w:tcW w:w="1002" w:type="pct"/>
            <w:gridSpan w:val="3"/>
            <w:vMerge w:val="continue"/>
            <w:vAlign w:val="center"/>
          </w:tcPr>
          <w:p w14:paraId="6EB490BA">
            <w:pPr>
              <w:spacing w:line="240" w:lineRule="auto"/>
              <w:ind w:firstLine="0" w:firstLineChars="0"/>
              <w:jc w:val="center"/>
              <w:rPr>
                <w:color w:val="auto"/>
                <w:kern w:val="44"/>
                <w:sz w:val="21"/>
                <w:szCs w:val="21"/>
              </w:rPr>
            </w:pPr>
          </w:p>
        </w:tc>
        <w:tc>
          <w:tcPr>
            <w:tcW w:w="257" w:type="pct"/>
            <w:vMerge w:val="continue"/>
            <w:vAlign w:val="center"/>
          </w:tcPr>
          <w:p w14:paraId="202129C8">
            <w:pPr>
              <w:spacing w:line="240" w:lineRule="auto"/>
              <w:ind w:firstLine="0" w:firstLineChars="0"/>
              <w:jc w:val="center"/>
              <w:rPr>
                <w:color w:val="auto"/>
                <w:kern w:val="44"/>
                <w:sz w:val="21"/>
                <w:szCs w:val="21"/>
                <w:lang w:val="en-AU"/>
              </w:rPr>
            </w:pPr>
          </w:p>
        </w:tc>
        <w:tc>
          <w:tcPr>
            <w:tcW w:w="246" w:type="pct"/>
            <w:vMerge w:val="continue"/>
            <w:vAlign w:val="center"/>
          </w:tcPr>
          <w:p w14:paraId="334C9B06">
            <w:pPr>
              <w:spacing w:line="240" w:lineRule="auto"/>
              <w:ind w:firstLine="0" w:firstLineChars="0"/>
              <w:jc w:val="center"/>
              <w:rPr>
                <w:color w:val="auto"/>
                <w:kern w:val="44"/>
                <w:sz w:val="21"/>
                <w:szCs w:val="21"/>
              </w:rPr>
            </w:pPr>
          </w:p>
        </w:tc>
        <w:tc>
          <w:tcPr>
            <w:tcW w:w="742" w:type="pct"/>
            <w:vMerge w:val="continue"/>
            <w:vAlign w:val="center"/>
          </w:tcPr>
          <w:p w14:paraId="1CE405F4">
            <w:pPr>
              <w:spacing w:line="240" w:lineRule="auto"/>
              <w:ind w:firstLine="0" w:firstLineChars="0"/>
              <w:jc w:val="center"/>
              <w:rPr>
                <w:color w:val="auto"/>
                <w:kern w:val="44"/>
                <w:sz w:val="21"/>
                <w:szCs w:val="21"/>
              </w:rPr>
            </w:pPr>
          </w:p>
        </w:tc>
      </w:tr>
      <w:tr w14:paraId="2544B3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126DFC08">
            <w:pPr>
              <w:spacing w:line="240" w:lineRule="auto"/>
              <w:ind w:firstLine="0" w:firstLineChars="0"/>
              <w:jc w:val="center"/>
              <w:rPr>
                <w:color w:val="auto"/>
                <w:kern w:val="44"/>
                <w:sz w:val="21"/>
                <w:szCs w:val="21"/>
              </w:rPr>
            </w:pPr>
          </w:p>
        </w:tc>
        <w:tc>
          <w:tcPr>
            <w:tcW w:w="194" w:type="pct"/>
            <w:vMerge w:val="continue"/>
            <w:vAlign w:val="center"/>
          </w:tcPr>
          <w:p w14:paraId="206A862A">
            <w:pPr>
              <w:spacing w:line="240" w:lineRule="auto"/>
              <w:ind w:firstLine="0" w:firstLineChars="0"/>
              <w:jc w:val="center"/>
              <w:rPr>
                <w:color w:val="auto"/>
                <w:sz w:val="21"/>
                <w:szCs w:val="21"/>
              </w:rPr>
            </w:pPr>
          </w:p>
        </w:tc>
        <w:tc>
          <w:tcPr>
            <w:tcW w:w="323" w:type="pct"/>
            <w:gridSpan w:val="2"/>
            <w:vMerge w:val="continue"/>
            <w:vAlign w:val="center"/>
          </w:tcPr>
          <w:p w14:paraId="31A9C922">
            <w:pPr>
              <w:spacing w:line="240" w:lineRule="auto"/>
              <w:ind w:firstLine="0" w:firstLineChars="0"/>
              <w:jc w:val="center"/>
              <w:rPr>
                <w:color w:val="auto"/>
                <w:sz w:val="21"/>
                <w:szCs w:val="21"/>
              </w:rPr>
            </w:pPr>
          </w:p>
        </w:tc>
        <w:tc>
          <w:tcPr>
            <w:tcW w:w="489" w:type="pct"/>
            <w:gridSpan w:val="2"/>
            <w:vAlign w:val="center"/>
          </w:tcPr>
          <w:p w14:paraId="5995E8F4">
            <w:pPr>
              <w:spacing w:line="240" w:lineRule="auto"/>
              <w:ind w:firstLine="0" w:firstLineChars="0"/>
              <w:jc w:val="center"/>
              <w:rPr>
                <w:color w:val="auto"/>
                <w:sz w:val="21"/>
                <w:szCs w:val="21"/>
              </w:rPr>
            </w:pPr>
            <w:r>
              <w:rPr>
                <w:rFonts w:hint="eastAsia"/>
                <w:color w:val="auto"/>
                <w:sz w:val="21"/>
                <w:szCs w:val="21"/>
              </w:rPr>
              <w:t>废滤芯</w:t>
            </w:r>
          </w:p>
        </w:tc>
        <w:tc>
          <w:tcPr>
            <w:tcW w:w="903" w:type="pct"/>
            <w:vMerge w:val="continue"/>
            <w:vAlign w:val="center"/>
          </w:tcPr>
          <w:p w14:paraId="6716BD0B">
            <w:pPr>
              <w:spacing w:line="240" w:lineRule="auto"/>
              <w:ind w:firstLine="0" w:firstLineChars="0"/>
              <w:jc w:val="center"/>
              <w:rPr>
                <w:color w:val="auto"/>
                <w:kern w:val="44"/>
                <w:sz w:val="21"/>
                <w:szCs w:val="21"/>
              </w:rPr>
            </w:pPr>
          </w:p>
        </w:tc>
        <w:tc>
          <w:tcPr>
            <w:tcW w:w="356" w:type="pct"/>
            <w:vMerge w:val="continue"/>
            <w:vAlign w:val="center"/>
          </w:tcPr>
          <w:p w14:paraId="6E5F381E">
            <w:pPr>
              <w:spacing w:line="240" w:lineRule="auto"/>
              <w:ind w:firstLine="0" w:firstLineChars="0"/>
              <w:jc w:val="center"/>
              <w:rPr>
                <w:color w:val="auto"/>
                <w:kern w:val="44"/>
                <w:sz w:val="21"/>
                <w:szCs w:val="21"/>
              </w:rPr>
            </w:pPr>
          </w:p>
        </w:tc>
        <w:tc>
          <w:tcPr>
            <w:tcW w:w="236" w:type="pct"/>
            <w:vMerge w:val="continue"/>
            <w:vAlign w:val="center"/>
          </w:tcPr>
          <w:p w14:paraId="55F8D108">
            <w:pPr>
              <w:spacing w:line="240" w:lineRule="auto"/>
              <w:ind w:firstLine="0" w:firstLineChars="0"/>
              <w:jc w:val="center"/>
              <w:rPr>
                <w:color w:val="auto"/>
                <w:kern w:val="44"/>
                <w:sz w:val="21"/>
                <w:szCs w:val="21"/>
              </w:rPr>
            </w:pPr>
          </w:p>
        </w:tc>
        <w:tc>
          <w:tcPr>
            <w:tcW w:w="1002" w:type="pct"/>
            <w:gridSpan w:val="3"/>
            <w:vMerge w:val="continue"/>
            <w:vAlign w:val="center"/>
          </w:tcPr>
          <w:p w14:paraId="4577FCBE">
            <w:pPr>
              <w:spacing w:line="240" w:lineRule="auto"/>
              <w:ind w:firstLine="0" w:firstLineChars="0"/>
              <w:jc w:val="center"/>
              <w:rPr>
                <w:color w:val="auto"/>
                <w:kern w:val="44"/>
                <w:sz w:val="21"/>
                <w:szCs w:val="21"/>
              </w:rPr>
            </w:pPr>
          </w:p>
        </w:tc>
        <w:tc>
          <w:tcPr>
            <w:tcW w:w="257" w:type="pct"/>
            <w:vMerge w:val="continue"/>
            <w:vAlign w:val="center"/>
          </w:tcPr>
          <w:p w14:paraId="2727E0E3">
            <w:pPr>
              <w:spacing w:line="240" w:lineRule="auto"/>
              <w:ind w:firstLine="0" w:firstLineChars="0"/>
              <w:jc w:val="center"/>
              <w:rPr>
                <w:color w:val="auto"/>
                <w:kern w:val="44"/>
                <w:sz w:val="21"/>
                <w:szCs w:val="21"/>
                <w:lang w:val="en-AU"/>
              </w:rPr>
            </w:pPr>
          </w:p>
        </w:tc>
        <w:tc>
          <w:tcPr>
            <w:tcW w:w="246" w:type="pct"/>
            <w:vMerge w:val="continue"/>
            <w:vAlign w:val="center"/>
          </w:tcPr>
          <w:p w14:paraId="3FEB3277">
            <w:pPr>
              <w:spacing w:line="240" w:lineRule="auto"/>
              <w:ind w:firstLine="0" w:firstLineChars="0"/>
              <w:jc w:val="center"/>
              <w:rPr>
                <w:color w:val="auto"/>
                <w:kern w:val="44"/>
                <w:sz w:val="21"/>
                <w:szCs w:val="21"/>
              </w:rPr>
            </w:pPr>
          </w:p>
        </w:tc>
        <w:tc>
          <w:tcPr>
            <w:tcW w:w="742" w:type="pct"/>
            <w:vMerge w:val="continue"/>
            <w:vAlign w:val="center"/>
          </w:tcPr>
          <w:p w14:paraId="3CFBDC71">
            <w:pPr>
              <w:spacing w:line="240" w:lineRule="auto"/>
              <w:ind w:firstLine="0" w:firstLineChars="0"/>
              <w:jc w:val="center"/>
              <w:rPr>
                <w:color w:val="auto"/>
                <w:kern w:val="44"/>
                <w:sz w:val="21"/>
                <w:szCs w:val="21"/>
              </w:rPr>
            </w:pPr>
          </w:p>
        </w:tc>
      </w:tr>
      <w:tr w14:paraId="024758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57A2E316">
            <w:pPr>
              <w:spacing w:line="240" w:lineRule="auto"/>
              <w:ind w:firstLine="0" w:firstLineChars="0"/>
              <w:jc w:val="center"/>
              <w:rPr>
                <w:color w:val="auto"/>
                <w:kern w:val="44"/>
                <w:sz w:val="21"/>
                <w:szCs w:val="21"/>
              </w:rPr>
            </w:pPr>
          </w:p>
        </w:tc>
        <w:tc>
          <w:tcPr>
            <w:tcW w:w="194" w:type="pct"/>
            <w:vMerge w:val="continue"/>
            <w:vAlign w:val="center"/>
          </w:tcPr>
          <w:p w14:paraId="1EEEA214">
            <w:pPr>
              <w:spacing w:line="240" w:lineRule="auto"/>
              <w:ind w:firstLine="0" w:firstLineChars="0"/>
              <w:jc w:val="center"/>
              <w:rPr>
                <w:color w:val="auto"/>
                <w:sz w:val="21"/>
                <w:szCs w:val="21"/>
              </w:rPr>
            </w:pPr>
          </w:p>
        </w:tc>
        <w:tc>
          <w:tcPr>
            <w:tcW w:w="812" w:type="pct"/>
            <w:gridSpan w:val="4"/>
            <w:shd w:val="clear" w:color="auto" w:fill="auto"/>
            <w:vAlign w:val="center"/>
          </w:tcPr>
          <w:p w14:paraId="43CC9FFF">
            <w:pPr>
              <w:tabs>
                <w:tab w:val="left" w:pos="2227"/>
              </w:tabs>
              <w:spacing w:line="240" w:lineRule="auto"/>
              <w:ind w:firstLine="0" w:firstLineChars="0"/>
              <w:jc w:val="center"/>
              <w:rPr>
                <w:color w:val="auto"/>
                <w:sz w:val="21"/>
                <w:szCs w:val="21"/>
              </w:rPr>
            </w:pPr>
            <w:r>
              <w:rPr>
                <w:rFonts w:hint="eastAsia"/>
                <w:color w:val="auto"/>
                <w:sz w:val="21"/>
                <w:szCs w:val="21"/>
              </w:rPr>
              <w:t>废布袋</w:t>
            </w:r>
          </w:p>
        </w:tc>
        <w:tc>
          <w:tcPr>
            <w:tcW w:w="903" w:type="pct"/>
            <w:vMerge w:val="continue"/>
            <w:vAlign w:val="center"/>
          </w:tcPr>
          <w:p w14:paraId="1C22E576">
            <w:pPr>
              <w:spacing w:line="240" w:lineRule="auto"/>
              <w:ind w:firstLine="0" w:firstLineChars="0"/>
              <w:jc w:val="center"/>
              <w:rPr>
                <w:color w:val="auto"/>
                <w:sz w:val="21"/>
                <w:szCs w:val="21"/>
              </w:rPr>
            </w:pPr>
          </w:p>
        </w:tc>
        <w:tc>
          <w:tcPr>
            <w:tcW w:w="356" w:type="pct"/>
            <w:vMerge w:val="continue"/>
            <w:vAlign w:val="center"/>
          </w:tcPr>
          <w:p w14:paraId="01C9A1F5">
            <w:pPr>
              <w:spacing w:line="240" w:lineRule="auto"/>
              <w:ind w:firstLine="0" w:firstLineChars="0"/>
              <w:jc w:val="center"/>
              <w:rPr>
                <w:color w:val="auto"/>
                <w:kern w:val="44"/>
                <w:sz w:val="21"/>
                <w:szCs w:val="21"/>
              </w:rPr>
            </w:pPr>
          </w:p>
        </w:tc>
        <w:tc>
          <w:tcPr>
            <w:tcW w:w="236" w:type="pct"/>
            <w:vMerge w:val="continue"/>
            <w:vAlign w:val="center"/>
          </w:tcPr>
          <w:p w14:paraId="2F56EF6C">
            <w:pPr>
              <w:spacing w:line="240" w:lineRule="auto"/>
              <w:ind w:firstLine="0" w:firstLineChars="0"/>
              <w:jc w:val="center"/>
              <w:rPr>
                <w:color w:val="auto"/>
                <w:kern w:val="44"/>
                <w:sz w:val="21"/>
                <w:szCs w:val="21"/>
              </w:rPr>
            </w:pPr>
          </w:p>
        </w:tc>
        <w:tc>
          <w:tcPr>
            <w:tcW w:w="1002" w:type="pct"/>
            <w:gridSpan w:val="3"/>
            <w:vMerge w:val="continue"/>
            <w:vAlign w:val="center"/>
          </w:tcPr>
          <w:p w14:paraId="352BDDA6">
            <w:pPr>
              <w:spacing w:line="240" w:lineRule="auto"/>
              <w:ind w:firstLine="0" w:firstLineChars="0"/>
              <w:jc w:val="center"/>
              <w:rPr>
                <w:color w:val="auto"/>
                <w:kern w:val="44"/>
                <w:sz w:val="21"/>
                <w:szCs w:val="21"/>
              </w:rPr>
            </w:pPr>
          </w:p>
        </w:tc>
        <w:tc>
          <w:tcPr>
            <w:tcW w:w="257" w:type="pct"/>
            <w:vMerge w:val="continue"/>
            <w:vAlign w:val="center"/>
          </w:tcPr>
          <w:p w14:paraId="6EE30ADC">
            <w:pPr>
              <w:spacing w:line="240" w:lineRule="auto"/>
              <w:ind w:firstLine="0" w:firstLineChars="0"/>
              <w:jc w:val="center"/>
              <w:rPr>
                <w:color w:val="auto"/>
                <w:kern w:val="44"/>
                <w:sz w:val="21"/>
                <w:szCs w:val="21"/>
                <w:lang w:val="en-AU"/>
              </w:rPr>
            </w:pPr>
          </w:p>
        </w:tc>
        <w:tc>
          <w:tcPr>
            <w:tcW w:w="246" w:type="pct"/>
            <w:vMerge w:val="continue"/>
            <w:vAlign w:val="center"/>
          </w:tcPr>
          <w:p w14:paraId="172486CC">
            <w:pPr>
              <w:spacing w:line="240" w:lineRule="auto"/>
              <w:ind w:firstLine="0" w:firstLineChars="0"/>
              <w:jc w:val="center"/>
              <w:rPr>
                <w:color w:val="auto"/>
                <w:kern w:val="44"/>
                <w:sz w:val="21"/>
                <w:szCs w:val="21"/>
              </w:rPr>
            </w:pPr>
          </w:p>
        </w:tc>
        <w:tc>
          <w:tcPr>
            <w:tcW w:w="742" w:type="pct"/>
            <w:vMerge w:val="continue"/>
            <w:vAlign w:val="center"/>
          </w:tcPr>
          <w:p w14:paraId="6F53F0BC">
            <w:pPr>
              <w:spacing w:line="240" w:lineRule="auto"/>
              <w:ind w:firstLine="0" w:firstLineChars="0"/>
              <w:jc w:val="center"/>
              <w:rPr>
                <w:color w:val="auto"/>
                <w:kern w:val="44"/>
                <w:sz w:val="21"/>
                <w:szCs w:val="21"/>
              </w:rPr>
            </w:pPr>
          </w:p>
        </w:tc>
      </w:tr>
      <w:tr w14:paraId="4CD2E7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60AD3CE">
            <w:pPr>
              <w:spacing w:line="240" w:lineRule="auto"/>
              <w:ind w:firstLine="0" w:firstLineChars="0"/>
              <w:jc w:val="center"/>
              <w:rPr>
                <w:color w:val="auto"/>
                <w:kern w:val="44"/>
                <w:sz w:val="21"/>
                <w:szCs w:val="21"/>
              </w:rPr>
            </w:pPr>
          </w:p>
        </w:tc>
        <w:tc>
          <w:tcPr>
            <w:tcW w:w="194" w:type="pct"/>
            <w:vMerge w:val="continue"/>
            <w:vAlign w:val="center"/>
          </w:tcPr>
          <w:p w14:paraId="686C45D3">
            <w:pPr>
              <w:spacing w:line="240" w:lineRule="auto"/>
              <w:ind w:firstLine="0" w:firstLineChars="0"/>
              <w:jc w:val="center"/>
              <w:rPr>
                <w:color w:val="auto"/>
                <w:sz w:val="21"/>
                <w:szCs w:val="21"/>
              </w:rPr>
            </w:pPr>
          </w:p>
        </w:tc>
        <w:tc>
          <w:tcPr>
            <w:tcW w:w="812" w:type="pct"/>
            <w:gridSpan w:val="4"/>
            <w:shd w:val="clear" w:color="auto" w:fill="auto"/>
            <w:vAlign w:val="center"/>
          </w:tcPr>
          <w:p w14:paraId="1CBFA522">
            <w:pPr>
              <w:tabs>
                <w:tab w:val="left" w:pos="2227"/>
              </w:tabs>
              <w:spacing w:line="240" w:lineRule="auto"/>
              <w:ind w:firstLine="0" w:firstLineChars="0"/>
              <w:jc w:val="center"/>
              <w:rPr>
                <w:color w:val="auto"/>
                <w:sz w:val="21"/>
                <w:szCs w:val="21"/>
              </w:rPr>
            </w:pPr>
            <w:r>
              <w:rPr>
                <w:rFonts w:hint="eastAsia"/>
                <w:color w:val="auto"/>
                <w:sz w:val="21"/>
                <w:szCs w:val="21"/>
              </w:rPr>
              <w:t>布袋收尘</w:t>
            </w:r>
          </w:p>
        </w:tc>
        <w:tc>
          <w:tcPr>
            <w:tcW w:w="903" w:type="pct"/>
            <w:vMerge w:val="continue"/>
            <w:vAlign w:val="center"/>
          </w:tcPr>
          <w:p w14:paraId="7F2ECCB5">
            <w:pPr>
              <w:spacing w:line="240" w:lineRule="auto"/>
              <w:ind w:firstLine="0" w:firstLineChars="0"/>
              <w:jc w:val="center"/>
              <w:rPr>
                <w:color w:val="auto"/>
                <w:kern w:val="44"/>
                <w:sz w:val="21"/>
                <w:szCs w:val="21"/>
              </w:rPr>
            </w:pPr>
          </w:p>
        </w:tc>
        <w:tc>
          <w:tcPr>
            <w:tcW w:w="356" w:type="pct"/>
            <w:vMerge w:val="continue"/>
            <w:vAlign w:val="center"/>
          </w:tcPr>
          <w:p w14:paraId="41704745">
            <w:pPr>
              <w:spacing w:line="240" w:lineRule="auto"/>
              <w:ind w:firstLine="0" w:firstLineChars="0"/>
              <w:jc w:val="center"/>
              <w:rPr>
                <w:color w:val="auto"/>
                <w:kern w:val="44"/>
                <w:sz w:val="21"/>
                <w:szCs w:val="21"/>
              </w:rPr>
            </w:pPr>
          </w:p>
        </w:tc>
        <w:tc>
          <w:tcPr>
            <w:tcW w:w="236" w:type="pct"/>
            <w:vMerge w:val="continue"/>
            <w:vAlign w:val="center"/>
          </w:tcPr>
          <w:p w14:paraId="0B6B044D">
            <w:pPr>
              <w:spacing w:line="240" w:lineRule="auto"/>
              <w:ind w:firstLine="0" w:firstLineChars="0"/>
              <w:jc w:val="center"/>
              <w:rPr>
                <w:color w:val="auto"/>
                <w:kern w:val="44"/>
                <w:sz w:val="21"/>
                <w:szCs w:val="21"/>
              </w:rPr>
            </w:pPr>
          </w:p>
        </w:tc>
        <w:tc>
          <w:tcPr>
            <w:tcW w:w="1002" w:type="pct"/>
            <w:gridSpan w:val="3"/>
            <w:vMerge w:val="continue"/>
            <w:vAlign w:val="center"/>
          </w:tcPr>
          <w:p w14:paraId="2390B678">
            <w:pPr>
              <w:spacing w:line="240" w:lineRule="auto"/>
              <w:ind w:firstLine="0" w:firstLineChars="0"/>
              <w:jc w:val="center"/>
              <w:rPr>
                <w:color w:val="auto"/>
                <w:kern w:val="44"/>
                <w:sz w:val="21"/>
                <w:szCs w:val="21"/>
              </w:rPr>
            </w:pPr>
          </w:p>
        </w:tc>
        <w:tc>
          <w:tcPr>
            <w:tcW w:w="257" w:type="pct"/>
            <w:vMerge w:val="continue"/>
            <w:vAlign w:val="center"/>
          </w:tcPr>
          <w:p w14:paraId="01B4F1CA">
            <w:pPr>
              <w:spacing w:line="240" w:lineRule="auto"/>
              <w:ind w:firstLine="0" w:firstLineChars="0"/>
              <w:jc w:val="center"/>
              <w:rPr>
                <w:color w:val="auto"/>
                <w:kern w:val="44"/>
                <w:sz w:val="21"/>
                <w:szCs w:val="21"/>
                <w:lang w:val="en-AU"/>
              </w:rPr>
            </w:pPr>
          </w:p>
        </w:tc>
        <w:tc>
          <w:tcPr>
            <w:tcW w:w="246" w:type="pct"/>
            <w:vMerge w:val="continue"/>
            <w:vAlign w:val="center"/>
          </w:tcPr>
          <w:p w14:paraId="15AC7DD8">
            <w:pPr>
              <w:spacing w:line="240" w:lineRule="auto"/>
              <w:ind w:firstLine="0" w:firstLineChars="0"/>
              <w:jc w:val="center"/>
              <w:rPr>
                <w:color w:val="auto"/>
                <w:kern w:val="44"/>
                <w:sz w:val="21"/>
                <w:szCs w:val="21"/>
              </w:rPr>
            </w:pPr>
          </w:p>
        </w:tc>
        <w:tc>
          <w:tcPr>
            <w:tcW w:w="742" w:type="pct"/>
            <w:vMerge w:val="continue"/>
            <w:vAlign w:val="center"/>
          </w:tcPr>
          <w:p w14:paraId="15648870">
            <w:pPr>
              <w:spacing w:line="240" w:lineRule="auto"/>
              <w:ind w:firstLine="0" w:firstLineChars="0"/>
              <w:jc w:val="center"/>
              <w:rPr>
                <w:color w:val="auto"/>
                <w:kern w:val="44"/>
                <w:sz w:val="21"/>
                <w:szCs w:val="21"/>
              </w:rPr>
            </w:pPr>
          </w:p>
        </w:tc>
      </w:tr>
      <w:tr w14:paraId="4CF05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5200AB7F">
            <w:pPr>
              <w:spacing w:line="240" w:lineRule="auto"/>
              <w:ind w:firstLine="0" w:firstLineChars="0"/>
              <w:jc w:val="center"/>
              <w:rPr>
                <w:color w:val="auto"/>
                <w:kern w:val="44"/>
                <w:sz w:val="21"/>
                <w:szCs w:val="21"/>
              </w:rPr>
            </w:pPr>
          </w:p>
        </w:tc>
        <w:tc>
          <w:tcPr>
            <w:tcW w:w="194" w:type="pct"/>
            <w:vMerge w:val="continue"/>
            <w:vAlign w:val="center"/>
          </w:tcPr>
          <w:p w14:paraId="7EC01341">
            <w:pPr>
              <w:spacing w:line="240" w:lineRule="auto"/>
              <w:ind w:firstLine="0" w:firstLineChars="0"/>
              <w:jc w:val="center"/>
              <w:rPr>
                <w:color w:val="auto"/>
                <w:sz w:val="21"/>
                <w:szCs w:val="21"/>
              </w:rPr>
            </w:pPr>
          </w:p>
        </w:tc>
        <w:tc>
          <w:tcPr>
            <w:tcW w:w="812" w:type="pct"/>
            <w:gridSpan w:val="4"/>
            <w:shd w:val="clear" w:color="auto" w:fill="auto"/>
            <w:vAlign w:val="center"/>
          </w:tcPr>
          <w:p w14:paraId="29AFA8F0">
            <w:pPr>
              <w:tabs>
                <w:tab w:val="left" w:pos="2227"/>
              </w:tabs>
              <w:spacing w:line="240" w:lineRule="auto"/>
              <w:ind w:firstLine="0" w:firstLineChars="0"/>
              <w:jc w:val="center"/>
              <w:rPr>
                <w:color w:val="auto"/>
                <w:sz w:val="21"/>
                <w:szCs w:val="21"/>
              </w:rPr>
            </w:pPr>
            <w:r>
              <w:rPr>
                <w:rFonts w:hint="eastAsia"/>
                <w:color w:val="auto"/>
                <w:sz w:val="21"/>
                <w:szCs w:val="21"/>
              </w:rPr>
              <w:t>化粪池污泥</w:t>
            </w:r>
          </w:p>
        </w:tc>
        <w:tc>
          <w:tcPr>
            <w:tcW w:w="903" w:type="pct"/>
            <w:vMerge w:val="continue"/>
            <w:vAlign w:val="center"/>
          </w:tcPr>
          <w:p w14:paraId="52F0D0A2">
            <w:pPr>
              <w:spacing w:line="240" w:lineRule="auto"/>
              <w:ind w:firstLine="0" w:firstLineChars="0"/>
              <w:jc w:val="center"/>
              <w:rPr>
                <w:color w:val="auto"/>
                <w:kern w:val="44"/>
                <w:sz w:val="21"/>
                <w:szCs w:val="21"/>
              </w:rPr>
            </w:pPr>
          </w:p>
        </w:tc>
        <w:tc>
          <w:tcPr>
            <w:tcW w:w="356" w:type="pct"/>
            <w:vMerge w:val="continue"/>
            <w:vAlign w:val="center"/>
          </w:tcPr>
          <w:p w14:paraId="7B80C1B2">
            <w:pPr>
              <w:spacing w:line="240" w:lineRule="auto"/>
              <w:ind w:firstLine="0" w:firstLineChars="0"/>
              <w:jc w:val="center"/>
              <w:rPr>
                <w:color w:val="auto"/>
                <w:kern w:val="44"/>
                <w:sz w:val="21"/>
                <w:szCs w:val="21"/>
              </w:rPr>
            </w:pPr>
          </w:p>
        </w:tc>
        <w:tc>
          <w:tcPr>
            <w:tcW w:w="236" w:type="pct"/>
            <w:vMerge w:val="continue"/>
            <w:vAlign w:val="center"/>
          </w:tcPr>
          <w:p w14:paraId="1593CA9E">
            <w:pPr>
              <w:spacing w:line="240" w:lineRule="auto"/>
              <w:ind w:firstLine="0" w:firstLineChars="0"/>
              <w:jc w:val="center"/>
              <w:rPr>
                <w:color w:val="auto"/>
                <w:kern w:val="44"/>
                <w:sz w:val="21"/>
                <w:szCs w:val="21"/>
              </w:rPr>
            </w:pPr>
          </w:p>
        </w:tc>
        <w:tc>
          <w:tcPr>
            <w:tcW w:w="1002" w:type="pct"/>
            <w:gridSpan w:val="3"/>
            <w:vMerge w:val="continue"/>
            <w:vAlign w:val="center"/>
          </w:tcPr>
          <w:p w14:paraId="61D0DA1A">
            <w:pPr>
              <w:spacing w:line="240" w:lineRule="auto"/>
              <w:ind w:firstLine="0" w:firstLineChars="0"/>
              <w:jc w:val="center"/>
              <w:rPr>
                <w:color w:val="auto"/>
                <w:kern w:val="44"/>
                <w:sz w:val="21"/>
                <w:szCs w:val="21"/>
              </w:rPr>
            </w:pPr>
          </w:p>
        </w:tc>
        <w:tc>
          <w:tcPr>
            <w:tcW w:w="257" w:type="pct"/>
            <w:vMerge w:val="continue"/>
            <w:vAlign w:val="center"/>
          </w:tcPr>
          <w:p w14:paraId="244BF4F5">
            <w:pPr>
              <w:spacing w:line="240" w:lineRule="auto"/>
              <w:ind w:firstLine="0" w:firstLineChars="0"/>
              <w:jc w:val="center"/>
              <w:rPr>
                <w:color w:val="auto"/>
                <w:kern w:val="44"/>
                <w:sz w:val="21"/>
                <w:szCs w:val="21"/>
                <w:lang w:val="en-AU"/>
              </w:rPr>
            </w:pPr>
          </w:p>
        </w:tc>
        <w:tc>
          <w:tcPr>
            <w:tcW w:w="246" w:type="pct"/>
            <w:vMerge w:val="continue"/>
            <w:vAlign w:val="center"/>
          </w:tcPr>
          <w:p w14:paraId="110128DC">
            <w:pPr>
              <w:spacing w:line="240" w:lineRule="auto"/>
              <w:ind w:firstLine="0" w:firstLineChars="0"/>
              <w:jc w:val="center"/>
              <w:rPr>
                <w:color w:val="auto"/>
                <w:kern w:val="44"/>
                <w:sz w:val="21"/>
                <w:szCs w:val="21"/>
              </w:rPr>
            </w:pPr>
          </w:p>
        </w:tc>
        <w:tc>
          <w:tcPr>
            <w:tcW w:w="742" w:type="pct"/>
            <w:vMerge w:val="continue"/>
            <w:vAlign w:val="center"/>
          </w:tcPr>
          <w:p w14:paraId="748928D4">
            <w:pPr>
              <w:spacing w:line="240" w:lineRule="auto"/>
              <w:ind w:firstLine="0" w:firstLineChars="0"/>
              <w:jc w:val="center"/>
              <w:rPr>
                <w:color w:val="auto"/>
                <w:kern w:val="44"/>
                <w:sz w:val="21"/>
                <w:szCs w:val="21"/>
              </w:rPr>
            </w:pPr>
          </w:p>
        </w:tc>
      </w:tr>
      <w:tr w14:paraId="7BB5D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3AD1E374">
            <w:pPr>
              <w:spacing w:line="240" w:lineRule="auto"/>
              <w:ind w:firstLine="0" w:firstLineChars="0"/>
              <w:jc w:val="center"/>
              <w:rPr>
                <w:color w:val="auto"/>
                <w:kern w:val="44"/>
                <w:sz w:val="21"/>
                <w:szCs w:val="21"/>
              </w:rPr>
            </w:pPr>
          </w:p>
        </w:tc>
        <w:tc>
          <w:tcPr>
            <w:tcW w:w="194" w:type="pct"/>
            <w:vMerge w:val="continue"/>
            <w:vAlign w:val="center"/>
          </w:tcPr>
          <w:p w14:paraId="210F9FE0">
            <w:pPr>
              <w:spacing w:line="240" w:lineRule="auto"/>
              <w:ind w:firstLine="0" w:firstLineChars="0"/>
              <w:jc w:val="center"/>
              <w:rPr>
                <w:color w:val="auto"/>
                <w:sz w:val="21"/>
                <w:szCs w:val="21"/>
              </w:rPr>
            </w:pPr>
          </w:p>
        </w:tc>
        <w:tc>
          <w:tcPr>
            <w:tcW w:w="812" w:type="pct"/>
            <w:gridSpan w:val="4"/>
            <w:shd w:val="clear" w:color="auto" w:fill="auto"/>
            <w:vAlign w:val="center"/>
          </w:tcPr>
          <w:p w14:paraId="6F7519D5">
            <w:pPr>
              <w:tabs>
                <w:tab w:val="left" w:pos="2227"/>
              </w:tabs>
              <w:spacing w:line="240" w:lineRule="auto"/>
              <w:ind w:firstLine="0" w:firstLineChars="0"/>
              <w:jc w:val="center"/>
              <w:rPr>
                <w:color w:val="auto"/>
                <w:sz w:val="21"/>
                <w:szCs w:val="21"/>
              </w:rPr>
            </w:pPr>
            <w:r>
              <w:rPr>
                <w:rFonts w:hint="eastAsia"/>
                <w:color w:val="auto"/>
                <w:sz w:val="21"/>
                <w:szCs w:val="21"/>
              </w:rPr>
              <w:t>综合废水污泥</w:t>
            </w:r>
          </w:p>
        </w:tc>
        <w:tc>
          <w:tcPr>
            <w:tcW w:w="903" w:type="pct"/>
            <w:vAlign w:val="center"/>
          </w:tcPr>
          <w:p w14:paraId="7A6CE8D3">
            <w:pPr>
              <w:spacing w:line="240" w:lineRule="auto"/>
              <w:ind w:firstLine="0" w:firstLineChars="0"/>
              <w:jc w:val="center"/>
              <w:rPr>
                <w:color w:val="auto"/>
                <w:kern w:val="44"/>
                <w:sz w:val="21"/>
                <w:szCs w:val="21"/>
              </w:rPr>
            </w:pPr>
            <w:r>
              <w:rPr>
                <w:rFonts w:hint="eastAsia"/>
                <w:color w:val="auto"/>
                <w:kern w:val="44"/>
                <w:sz w:val="21"/>
                <w:szCs w:val="21"/>
              </w:rPr>
              <w:t>及时清运，不在厂区暂存</w:t>
            </w:r>
          </w:p>
        </w:tc>
        <w:tc>
          <w:tcPr>
            <w:tcW w:w="356" w:type="pct"/>
            <w:vMerge w:val="continue"/>
            <w:vAlign w:val="center"/>
          </w:tcPr>
          <w:p w14:paraId="3F2CEEF3">
            <w:pPr>
              <w:spacing w:line="240" w:lineRule="auto"/>
              <w:ind w:firstLine="0" w:firstLineChars="0"/>
              <w:jc w:val="center"/>
              <w:rPr>
                <w:color w:val="auto"/>
                <w:kern w:val="44"/>
                <w:sz w:val="21"/>
                <w:szCs w:val="21"/>
              </w:rPr>
            </w:pPr>
          </w:p>
        </w:tc>
        <w:tc>
          <w:tcPr>
            <w:tcW w:w="236" w:type="pct"/>
            <w:vMerge w:val="continue"/>
            <w:vAlign w:val="center"/>
          </w:tcPr>
          <w:p w14:paraId="39D7A357">
            <w:pPr>
              <w:spacing w:line="240" w:lineRule="auto"/>
              <w:ind w:firstLine="0" w:firstLineChars="0"/>
              <w:jc w:val="center"/>
              <w:rPr>
                <w:color w:val="auto"/>
                <w:kern w:val="44"/>
                <w:sz w:val="21"/>
                <w:szCs w:val="21"/>
              </w:rPr>
            </w:pPr>
          </w:p>
        </w:tc>
        <w:tc>
          <w:tcPr>
            <w:tcW w:w="1002" w:type="pct"/>
            <w:gridSpan w:val="3"/>
            <w:vMerge w:val="continue"/>
            <w:vAlign w:val="center"/>
          </w:tcPr>
          <w:p w14:paraId="20A209E3">
            <w:pPr>
              <w:spacing w:line="240" w:lineRule="auto"/>
              <w:ind w:firstLine="0" w:firstLineChars="0"/>
              <w:jc w:val="center"/>
              <w:rPr>
                <w:color w:val="auto"/>
                <w:kern w:val="44"/>
                <w:sz w:val="21"/>
                <w:szCs w:val="21"/>
              </w:rPr>
            </w:pPr>
          </w:p>
        </w:tc>
        <w:tc>
          <w:tcPr>
            <w:tcW w:w="257" w:type="pct"/>
            <w:vMerge w:val="continue"/>
            <w:vAlign w:val="center"/>
          </w:tcPr>
          <w:p w14:paraId="036215AC">
            <w:pPr>
              <w:spacing w:line="240" w:lineRule="auto"/>
              <w:ind w:firstLine="0" w:firstLineChars="0"/>
              <w:jc w:val="center"/>
              <w:rPr>
                <w:color w:val="auto"/>
                <w:kern w:val="44"/>
                <w:sz w:val="21"/>
                <w:szCs w:val="21"/>
                <w:lang w:val="en-AU"/>
              </w:rPr>
            </w:pPr>
          </w:p>
        </w:tc>
        <w:tc>
          <w:tcPr>
            <w:tcW w:w="246" w:type="pct"/>
            <w:vMerge w:val="continue"/>
            <w:vAlign w:val="center"/>
          </w:tcPr>
          <w:p w14:paraId="64E6108B">
            <w:pPr>
              <w:spacing w:line="240" w:lineRule="auto"/>
              <w:ind w:firstLine="0" w:firstLineChars="0"/>
              <w:jc w:val="center"/>
              <w:rPr>
                <w:color w:val="auto"/>
                <w:kern w:val="44"/>
                <w:sz w:val="21"/>
                <w:szCs w:val="21"/>
              </w:rPr>
            </w:pPr>
          </w:p>
        </w:tc>
        <w:tc>
          <w:tcPr>
            <w:tcW w:w="742" w:type="pct"/>
            <w:vMerge w:val="continue"/>
            <w:vAlign w:val="center"/>
          </w:tcPr>
          <w:p w14:paraId="69159303">
            <w:pPr>
              <w:spacing w:line="240" w:lineRule="auto"/>
              <w:ind w:firstLine="0" w:firstLineChars="0"/>
              <w:jc w:val="center"/>
              <w:rPr>
                <w:color w:val="auto"/>
                <w:kern w:val="44"/>
                <w:sz w:val="21"/>
                <w:szCs w:val="21"/>
              </w:rPr>
            </w:pPr>
          </w:p>
        </w:tc>
      </w:tr>
      <w:tr w14:paraId="70D7C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A0E6639">
            <w:pPr>
              <w:spacing w:line="240" w:lineRule="auto"/>
              <w:ind w:firstLine="0" w:firstLineChars="0"/>
              <w:jc w:val="center"/>
              <w:rPr>
                <w:color w:val="auto"/>
                <w:kern w:val="44"/>
                <w:sz w:val="21"/>
                <w:szCs w:val="21"/>
              </w:rPr>
            </w:pPr>
          </w:p>
        </w:tc>
        <w:tc>
          <w:tcPr>
            <w:tcW w:w="194" w:type="pct"/>
            <w:vMerge w:val="continue"/>
            <w:vAlign w:val="center"/>
          </w:tcPr>
          <w:p w14:paraId="65745B51">
            <w:pPr>
              <w:spacing w:line="240" w:lineRule="auto"/>
              <w:ind w:firstLine="0" w:firstLineChars="0"/>
              <w:jc w:val="center"/>
              <w:rPr>
                <w:color w:val="auto"/>
                <w:sz w:val="21"/>
                <w:szCs w:val="21"/>
              </w:rPr>
            </w:pPr>
          </w:p>
        </w:tc>
        <w:tc>
          <w:tcPr>
            <w:tcW w:w="812" w:type="pct"/>
            <w:gridSpan w:val="4"/>
            <w:shd w:val="clear" w:color="auto" w:fill="auto"/>
            <w:vAlign w:val="center"/>
          </w:tcPr>
          <w:p w14:paraId="3BE01E9F">
            <w:pPr>
              <w:tabs>
                <w:tab w:val="left" w:pos="2227"/>
              </w:tabs>
              <w:spacing w:line="240" w:lineRule="auto"/>
              <w:ind w:firstLine="0" w:firstLineChars="0"/>
              <w:jc w:val="center"/>
              <w:rPr>
                <w:color w:val="auto"/>
                <w:sz w:val="21"/>
                <w:szCs w:val="21"/>
              </w:rPr>
            </w:pPr>
            <w:r>
              <w:rPr>
                <w:rFonts w:hint="eastAsia"/>
                <w:color w:val="auto"/>
                <w:sz w:val="21"/>
                <w:szCs w:val="21"/>
              </w:rPr>
              <w:t>封孔污泥</w:t>
            </w:r>
          </w:p>
        </w:tc>
        <w:tc>
          <w:tcPr>
            <w:tcW w:w="903" w:type="pct"/>
            <w:vAlign w:val="center"/>
          </w:tcPr>
          <w:p w14:paraId="20039EB1">
            <w:pPr>
              <w:spacing w:line="240" w:lineRule="auto"/>
              <w:ind w:firstLine="0" w:firstLineChars="0"/>
              <w:jc w:val="center"/>
              <w:rPr>
                <w:color w:val="auto"/>
                <w:kern w:val="44"/>
                <w:sz w:val="21"/>
                <w:szCs w:val="21"/>
              </w:rPr>
            </w:pPr>
            <w:r>
              <w:rPr>
                <w:color w:val="auto"/>
                <w:sz w:val="21"/>
                <w:szCs w:val="21"/>
              </w:rPr>
              <w:t>妥善收集，暂存于</w:t>
            </w:r>
            <w:r>
              <w:rPr>
                <w:rFonts w:hint="eastAsia"/>
                <w:color w:val="auto"/>
                <w:sz w:val="21"/>
                <w:szCs w:val="21"/>
              </w:rPr>
              <w:t>污泥堆场</w:t>
            </w:r>
            <w:r>
              <w:rPr>
                <w:color w:val="auto"/>
                <w:sz w:val="21"/>
                <w:szCs w:val="21"/>
              </w:rPr>
              <w:t>（面积</w:t>
            </w:r>
            <w:r>
              <w:rPr>
                <w:rFonts w:hint="eastAsia"/>
                <w:color w:val="auto"/>
                <w:sz w:val="21"/>
                <w:szCs w:val="21"/>
              </w:rPr>
              <w:t>135</w:t>
            </w:r>
            <w:r>
              <w:rPr>
                <w:color w:val="auto"/>
                <w:sz w:val="21"/>
                <w:szCs w:val="21"/>
              </w:rPr>
              <w:t>m</w:t>
            </w:r>
            <w:r>
              <w:rPr>
                <w:color w:val="auto"/>
                <w:sz w:val="21"/>
                <w:szCs w:val="21"/>
                <w:vertAlign w:val="superscript"/>
              </w:rPr>
              <w:t>2</w:t>
            </w:r>
            <w:r>
              <w:rPr>
                <w:color w:val="auto"/>
                <w:sz w:val="21"/>
                <w:szCs w:val="21"/>
              </w:rPr>
              <w:t>）</w:t>
            </w:r>
          </w:p>
        </w:tc>
        <w:tc>
          <w:tcPr>
            <w:tcW w:w="356" w:type="pct"/>
            <w:vMerge w:val="continue"/>
            <w:vAlign w:val="center"/>
          </w:tcPr>
          <w:p w14:paraId="45EBB97A">
            <w:pPr>
              <w:spacing w:line="240" w:lineRule="auto"/>
              <w:ind w:firstLine="0" w:firstLineChars="0"/>
              <w:jc w:val="center"/>
              <w:rPr>
                <w:color w:val="auto"/>
                <w:kern w:val="44"/>
                <w:sz w:val="21"/>
                <w:szCs w:val="21"/>
              </w:rPr>
            </w:pPr>
          </w:p>
        </w:tc>
        <w:tc>
          <w:tcPr>
            <w:tcW w:w="236" w:type="pct"/>
            <w:vMerge w:val="continue"/>
            <w:vAlign w:val="center"/>
          </w:tcPr>
          <w:p w14:paraId="7F375A9A">
            <w:pPr>
              <w:spacing w:line="240" w:lineRule="auto"/>
              <w:ind w:firstLine="0" w:firstLineChars="0"/>
              <w:jc w:val="center"/>
              <w:rPr>
                <w:color w:val="auto"/>
                <w:kern w:val="44"/>
                <w:sz w:val="21"/>
                <w:szCs w:val="21"/>
              </w:rPr>
            </w:pPr>
          </w:p>
        </w:tc>
        <w:tc>
          <w:tcPr>
            <w:tcW w:w="1002" w:type="pct"/>
            <w:gridSpan w:val="3"/>
            <w:vMerge w:val="continue"/>
            <w:vAlign w:val="center"/>
          </w:tcPr>
          <w:p w14:paraId="099BCB9F">
            <w:pPr>
              <w:spacing w:line="240" w:lineRule="auto"/>
              <w:ind w:firstLine="0" w:firstLineChars="0"/>
              <w:jc w:val="center"/>
              <w:rPr>
                <w:color w:val="auto"/>
                <w:kern w:val="44"/>
                <w:sz w:val="21"/>
                <w:szCs w:val="21"/>
              </w:rPr>
            </w:pPr>
          </w:p>
        </w:tc>
        <w:tc>
          <w:tcPr>
            <w:tcW w:w="257" w:type="pct"/>
            <w:vMerge w:val="continue"/>
            <w:vAlign w:val="center"/>
          </w:tcPr>
          <w:p w14:paraId="38DF4809">
            <w:pPr>
              <w:spacing w:line="240" w:lineRule="auto"/>
              <w:ind w:firstLine="0" w:firstLineChars="0"/>
              <w:jc w:val="center"/>
              <w:rPr>
                <w:color w:val="auto"/>
                <w:kern w:val="44"/>
                <w:sz w:val="21"/>
                <w:szCs w:val="21"/>
                <w:lang w:val="en-AU"/>
              </w:rPr>
            </w:pPr>
          </w:p>
        </w:tc>
        <w:tc>
          <w:tcPr>
            <w:tcW w:w="246" w:type="pct"/>
            <w:vMerge w:val="continue"/>
            <w:vAlign w:val="center"/>
          </w:tcPr>
          <w:p w14:paraId="68DB60BA">
            <w:pPr>
              <w:spacing w:line="240" w:lineRule="auto"/>
              <w:ind w:firstLine="0" w:firstLineChars="0"/>
              <w:jc w:val="center"/>
              <w:rPr>
                <w:color w:val="auto"/>
                <w:kern w:val="44"/>
                <w:sz w:val="21"/>
                <w:szCs w:val="21"/>
              </w:rPr>
            </w:pPr>
          </w:p>
        </w:tc>
        <w:tc>
          <w:tcPr>
            <w:tcW w:w="742" w:type="pct"/>
            <w:vMerge w:val="continue"/>
            <w:vAlign w:val="center"/>
          </w:tcPr>
          <w:p w14:paraId="431AA925">
            <w:pPr>
              <w:spacing w:line="240" w:lineRule="auto"/>
              <w:ind w:firstLine="0" w:firstLineChars="0"/>
              <w:jc w:val="center"/>
              <w:rPr>
                <w:color w:val="auto"/>
                <w:kern w:val="44"/>
                <w:sz w:val="21"/>
                <w:szCs w:val="21"/>
              </w:rPr>
            </w:pPr>
          </w:p>
        </w:tc>
      </w:tr>
      <w:tr w14:paraId="221099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2113625B">
            <w:pPr>
              <w:spacing w:line="240" w:lineRule="auto"/>
              <w:ind w:firstLine="0" w:firstLineChars="0"/>
              <w:jc w:val="center"/>
              <w:rPr>
                <w:color w:val="auto"/>
                <w:kern w:val="44"/>
                <w:sz w:val="21"/>
                <w:szCs w:val="21"/>
              </w:rPr>
            </w:pPr>
          </w:p>
        </w:tc>
        <w:tc>
          <w:tcPr>
            <w:tcW w:w="194" w:type="pct"/>
            <w:vMerge w:val="restart"/>
            <w:vAlign w:val="center"/>
          </w:tcPr>
          <w:p w14:paraId="7FB10D4E">
            <w:pPr>
              <w:spacing w:line="240" w:lineRule="auto"/>
              <w:ind w:firstLine="0" w:firstLineChars="0"/>
              <w:jc w:val="center"/>
              <w:rPr>
                <w:color w:val="auto"/>
                <w:sz w:val="21"/>
                <w:szCs w:val="21"/>
              </w:rPr>
            </w:pPr>
            <w:r>
              <w:rPr>
                <w:color w:val="auto"/>
                <w:sz w:val="21"/>
                <w:szCs w:val="21"/>
              </w:rPr>
              <w:t>危险废物</w:t>
            </w:r>
          </w:p>
        </w:tc>
        <w:tc>
          <w:tcPr>
            <w:tcW w:w="812" w:type="pct"/>
            <w:gridSpan w:val="4"/>
            <w:vAlign w:val="center"/>
          </w:tcPr>
          <w:p w14:paraId="465857C8">
            <w:pPr>
              <w:spacing w:line="240" w:lineRule="auto"/>
              <w:ind w:firstLine="0" w:firstLineChars="0"/>
              <w:jc w:val="center"/>
              <w:rPr>
                <w:color w:val="auto"/>
                <w:sz w:val="21"/>
                <w:szCs w:val="21"/>
              </w:rPr>
            </w:pPr>
            <w:r>
              <w:rPr>
                <w:rFonts w:hint="eastAsia"/>
                <w:color w:val="auto"/>
                <w:sz w:val="21"/>
                <w:szCs w:val="21"/>
              </w:rPr>
              <w:t>废槽液</w:t>
            </w:r>
          </w:p>
        </w:tc>
        <w:tc>
          <w:tcPr>
            <w:tcW w:w="903" w:type="pct"/>
            <w:vMerge w:val="restart"/>
            <w:vAlign w:val="center"/>
          </w:tcPr>
          <w:p w14:paraId="462C639B">
            <w:pPr>
              <w:spacing w:line="240" w:lineRule="auto"/>
              <w:ind w:firstLine="0" w:firstLineChars="0"/>
              <w:jc w:val="center"/>
              <w:rPr>
                <w:color w:val="auto"/>
                <w:sz w:val="21"/>
                <w:szCs w:val="21"/>
              </w:rPr>
            </w:pPr>
            <w:r>
              <w:rPr>
                <w:color w:val="auto"/>
                <w:sz w:val="21"/>
                <w:szCs w:val="21"/>
              </w:rPr>
              <w:t>妥善收集，暂存于危废暂存间（面积</w:t>
            </w:r>
            <w:r>
              <w:rPr>
                <w:rFonts w:hint="eastAsia"/>
                <w:color w:val="auto"/>
                <w:sz w:val="21"/>
                <w:szCs w:val="21"/>
              </w:rPr>
              <w:t>80</w:t>
            </w:r>
            <w:r>
              <w:rPr>
                <w:color w:val="auto"/>
                <w:sz w:val="21"/>
                <w:szCs w:val="21"/>
              </w:rPr>
              <w:t>m</w:t>
            </w:r>
            <w:r>
              <w:rPr>
                <w:color w:val="auto"/>
                <w:sz w:val="21"/>
                <w:szCs w:val="21"/>
                <w:vertAlign w:val="superscript"/>
              </w:rPr>
              <w:t>2</w:t>
            </w:r>
            <w:r>
              <w:rPr>
                <w:color w:val="auto"/>
                <w:sz w:val="21"/>
                <w:szCs w:val="21"/>
              </w:rPr>
              <w:t>）</w:t>
            </w:r>
          </w:p>
        </w:tc>
        <w:tc>
          <w:tcPr>
            <w:tcW w:w="356" w:type="pct"/>
            <w:vMerge w:val="restart"/>
            <w:vAlign w:val="center"/>
          </w:tcPr>
          <w:p w14:paraId="2FF603E2">
            <w:pPr>
              <w:spacing w:line="240" w:lineRule="auto"/>
              <w:ind w:firstLine="0" w:firstLineChars="0"/>
              <w:jc w:val="center"/>
              <w:rPr>
                <w:color w:val="auto"/>
                <w:kern w:val="44"/>
                <w:sz w:val="21"/>
                <w:szCs w:val="21"/>
              </w:rPr>
            </w:pPr>
            <w:r>
              <w:rPr>
                <w:color w:val="auto"/>
                <w:kern w:val="44"/>
                <w:sz w:val="21"/>
                <w:szCs w:val="21"/>
              </w:rPr>
              <w:t>/</w:t>
            </w:r>
          </w:p>
        </w:tc>
        <w:tc>
          <w:tcPr>
            <w:tcW w:w="236" w:type="pct"/>
            <w:vMerge w:val="restart"/>
            <w:vAlign w:val="center"/>
          </w:tcPr>
          <w:p w14:paraId="0BFFAF06">
            <w:pPr>
              <w:spacing w:line="240" w:lineRule="auto"/>
              <w:ind w:firstLine="0" w:firstLineChars="0"/>
              <w:jc w:val="center"/>
              <w:rPr>
                <w:color w:val="auto"/>
                <w:kern w:val="44"/>
                <w:sz w:val="21"/>
                <w:szCs w:val="21"/>
              </w:rPr>
            </w:pPr>
            <w:r>
              <w:rPr>
                <w:color w:val="auto"/>
                <w:kern w:val="44"/>
                <w:sz w:val="21"/>
                <w:szCs w:val="21"/>
              </w:rPr>
              <w:t>/</w:t>
            </w:r>
          </w:p>
        </w:tc>
        <w:tc>
          <w:tcPr>
            <w:tcW w:w="1002" w:type="pct"/>
            <w:gridSpan w:val="3"/>
            <w:vMerge w:val="continue"/>
            <w:vAlign w:val="center"/>
          </w:tcPr>
          <w:p w14:paraId="6AEA3C50">
            <w:pPr>
              <w:spacing w:line="240" w:lineRule="auto"/>
              <w:ind w:firstLine="0" w:firstLineChars="0"/>
              <w:jc w:val="center"/>
              <w:rPr>
                <w:color w:val="auto"/>
                <w:kern w:val="44"/>
                <w:sz w:val="21"/>
                <w:szCs w:val="21"/>
              </w:rPr>
            </w:pPr>
          </w:p>
        </w:tc>
        <w:tc>
          <w:tcPr>
            <w:tcW w:w="257" w:type="pct"/>
            <w:vMerge w:val="restart"/>
            <w:vAlign w:val="center"/>
          </w:tcPr>
          <w:p w14:paraId="3718BFAD">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246" w:type="pct"/>
            <w:vMerge w:val="restart"/>
            <w:vAlign w:val="center"/>
          </w:tcPr>
          <w:p w14:paraId="4B7E1801">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3F6BB521">
            <w:pPr>
              <w:spacing w:line="240" w:lineRule="auto"/>
              <w:ind w:firstLine="0" w:firstLineChars="0"/>
              <w:jc w:val="center"/>
              <w:rPr>
                <w:color w:val="auto"/>
                <w:kern w:val="44"/>
                <w:sz w:val="21"/>
                <w:szCs w:val="21"/>
              </w:rPr>
            </w:pPr>
          </w:p>
        </w:tc>
      </w:tr>
      <w:tr w14:paraId="35C6E4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71EB9C2F">
            <w:pPr>
              <w:spacing w:line="240" w:lineRule="auto"/>
              <w:ind w:firstLine="0" w:firstLineChars="0"/>
              <w:jc w:val="center"/>
              <w:rPr>
                <w:color w:val="auto"/>
                <w:kern w:val="44"/>
                <w:sz w:val="21"/>
                <w:szCs w:val="21"/>
              </w:rPr>
            </w:pPr>
          </w:p>
        </w:tc>
        <w:tc>
          <w:tcPr>
            <w:tcW w:w="194" w:type="pct"/>
            <w:vMerge w:val="continue"/>
            <w:vAlign w:val="center"/>
          </w:tcPr>
          <w:p w14:paraId="76D39C4D">
            <w:pPr>
              <w:spacing w:line="240" w:lineRule="auto"/>
              <w:ind w:firstLine="0" w:firstLineChars="0"/>
              <w:jc w:val="center"/>
              <w:rPr>
                <w:color w:val="auto"/>
                <w:sz w:val="21"/>
                <w:szCs w:val="21"/>
              </w:rPr>
            </w:pPr>
          </w:p>
        </w:tc>
        <w:tc>
          <w:tcPr>
            <w:tcW w:w="323" w:type="pct"/>
            <w:gridSpan w:val="2"/>
            <w:vMerge w:val="restart"/>
            <w:vAlign w:val="center"/>
          </w:tcPr>
          <w:p w14:paraId="2F201F19">
            <w:pPr>
              <w:spacing w:line="240" w:lineRule="auto"/>
              <w:ind w:firstLine="0" w:firstLineChars="0"/>
              <w:jc w:val="center"/>
              <w:rPr>
                <w:color w:val="auto"/>
                <w:sz w:val="21"/>
                <w:szCs w:val="21"/>
              </w:rPr>
            </w:pPr>
            <w:r>
              <w:rPr>
                <w:rFonts w:hint="eastAsia"/>
                <w:color w:val="auto"/>
                <w:sz w:val="21"/>
                <w:szCs w:val="21"/>
              </w:rPr>
              <w:t>铝离子回收装置</w:t>
            </w:r>
          </w:p>
        </w:tc>
        <w:tc>
          <w:tcPr>
            <w:tcW w:w="489" w:type="pct"/>
            <w:gridSpan w:val="2"/>
            <w:vAlign w:val="center"/>
          </w:tcPr>
          <w:p w14:paraId="7E55D5EC">
            <w:pPr>
              <w:spacing w:line="240" w:lineRule="auto"/>
              <w:ind w:firstLine="0" w:firstLineChars="0"/>
              <w:jc w:val="center"/>
              <w:rPr>
                <w:color w:val="auto"/>
                <w:sz w:val="21"/>
                <w:szCs w:val="21"/>
              </w:rPr>
            </w:pPr>
            <w:r>
              <w:rPr>
                <w:rFonts w:hint="eastAsia"/>
                <w:color w:val="auto"/>
                <w:sz w:val="21"/>
                <w:szCs w:val="21"/>
              </w:rPr>
              <w:t>废渗析膜</w:t>
            </w:r>
          </w:p>
        </w:tc>
        <w:tc>
          <w:tcPr>
            <w:tcW w:w="903" w:type="pct"/>
            <w:vMerge w:val="continue"/>
            <w:vAlign w:val="center"/>
          </w:tcPr>
          <w:p w14:paraId="3DFCC8C1">
            <w:pPr>
              <w:spacing w:line="240" w:lineRule="auto"/>
              <w:ind w:firstLine="0" w:firstLineChars="0"/>
              <w:jc w:val="center"/>
              <w:rPr>
                <w:color w:val="auto"/>
                <w:sz w:val="21"/>
                <w:szCs w:val="21"/>
              </w:rPr>
            </w:pPr>
          </w:p>
        </w:tc>
        <w:tc>
          <w:tcPr>
            <w:tcW w:w="356" w:type="pct"/>
            <w:vMerge w:val="continue"/>
            <w:vAlign w:val="center"/>
          </w:tcPr>
          <w:p w14:paraId="25AE5E12">
            <w:pPr>
              <w:spacing w:line="240" w:lineRule="auto"/>
              <w:ind w:firstLine="0" w:firstLineChars="0"/>
              <w:jc w:val="center"/>
              <w:rPr>
                <w:color w:val="auto"/>
                <w:kern w:val="44"/>
                <w:sz w:val="21"/>
                <w:szCs w:val="21"/>
              </w:rPr>
            </w:pPr>
          </w:p>
        </w:tc>
        <w:tc>
          <w:tcPr>
            <w:tcW w:w="236" w:type="pct"/>
            <w:vMerge w:val="continue"/>
            <w:vAlign w:val="center"/>
          </w:tcPr>
          <w:p w14:paraId="2D5B96BB">
            <w:pPr>
              <w:spacing w:line="240" w:lineRule="auto"/>
              <w:ind w:firstLine="0" w:firstLineChars="0"/>
              <w:jc w:val="center"/>
              <w:rPr>
                <w:color w:val="auto"/>
                <w:kern w:val="44"/>
                <w:sz w:val="21"/>
                <w:szCs w:val="21"/>
              </w:rPr>
            </w:pPr>
          </w:p>
        </w:tc>
        <w:tc>
          <w:tcPr>
            <w:tcW w:w="1002" w:type="pct"/>
            <w:gridSpan w:val="3"/>
            <w:vMerge w:val="continue"/>
            <w:vAlign w:val="center"/>
          </w:tcPr>
          <w:p w14:paraId="2DB254A2">
            <w:pPr>
              <w:spacing w:line="240" w:lineRule="auto"/>
              <w:ind w:firstLine="0" w:firstLineChars="0"/>
              <w:jc w:val="center"/>
              <w:rPr>
                <w:color w:val="auto"/>
                <w:kern w:val="44"/>
                <w:sz w:val="21"/>
                <w:szCs w:val="21"/>
              </w:rPr>
            </w:pPr>
          </w:p>
        </w:tc>
        <w:tc>
          <w:tcPr>
            <w:tcW w:w="257" w:type="pct"/>
            <w:vMerge w:val="continue"/>
            <w:vAlign w:val="center"/>
          </w:tcPr>
          <w:p w14:paraId="2D659661">
            <w:pPr>
              <w:spacing w:line="240" w:lineRule="auto"/>
              <w:ind w:firstLine="0" w:firstLineChars="0"/>
              <w:jc w:val="center"/>
              <w:rPr>
                <w:color w:val="auto"/>
                <w:kern w:val="44"/>
                <w:sz w:val="21"/>
                <w:szCs w:val="21"/>
                <w:lang w:val="en-AU"/>
              </w:rPr>
            </w:pPr>
          </w:p>
        </w:tc>
        <w:tc>
          <w:tcPr>
            <w:tcW w:w="246" w:type="pct"/>
            <w:vMerge w:val="continue"/>
            <w:vAlign w:val="center"/>
          </w:tcPr>
          <w:p w14:paraId="2D46E4AD">
            <w:pPr>
              <w:spacing w:line="240" w:lineRule="auto"/>
              <w:ind w:firstLine="0" w:firstLineChars="0"/>
              <w:jc w:val="center"/>
              <w:rPr>
                <w:color w:val="auto"/>
                <w:kern w:val="44"/>
                <w:sz w:val="21"/>
                <w:szCs w:val="21"/>
              </w:rPr>
            </w:pPr>
          </w:p>
        </w:tc>
        <w:tc>
          <w:tcPr>
            <w:tcW w:w="742" w:type="pct"/>
            <w:vMerge w:val="continue"/>
            <w:vAlign w:val="center"/>
          </w:tcPr>
          <w:p w14:paraId="13BF87BC">
            <w:pPr>
              <w:spacing w:line="240" w:lineRule="auto"/>
              <w:ind w:firstLine="0" w:firstLineChars="0"/>
              <w:jc w:val="center"/>
              <w:rPr>
                <w:color w:val="auto"/>
                <w:kern w:val="44"/>
                <w:sz w:val="21"/>
                <w:szCs w:val="21"/>
              </w:rPr>
            </w:pPr>
          </w:p>
        </w:tc>
      </w:tr>
      <w:tr w14:paraId="26D252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2A324ABA">
            <w:pPr>
              <w:spacing w:line="240" w:lineRule="auto"/>
              <w:ind w:firstLine="0" w:firstLineChars="0"/>
              <w:jc w:val="center"/>
              <w:rPr>
                <w:color w:val="auto"/>
                <w:kern w:val="44"/>
                <w:sz w:val="21"/>
                <w:szCs w:val="21"/>
              </w:rPr>
            </w:pPr>
          </w:p>
        </w:tc>
        <w:tc>
          <w:tcPr>
            <w:tcW w:w="194" w:type="pct"/>
            <w:vMerge w:val="continue"/>
            <w:vAlign w:val="center"/>
          </w:tcPr>
          <w:p w14:paraId="66697DBC">
            <w:pPr>
              <w:spacing w:line="240" w:lineRule="auto"/>
              <w:ind w:firstLine="0" w:firstLineChars="0"/>
              <w:jc w:val="center"/>
              <w:rPr>
                <w:color w:val="auto"/>
                <w:sz w:val="21"/>
                <w:szCs w:val="21"/>
              </w:rPr>
            </w:pPr>
          </w:p>
        </w:tc>
        <w:tc>
          <w:tcPr>
            <w:tcW w:w="323" w:type="pct"/>
            <w:gridSpan w:val="2"/>
            <w:vMerge w:val="continue"/>
            <w:vAlign w:val="center"/>
          </w:tcPr>
          <w:p w14:paraId="78099007">
            <w:pPr>
              <w:spacing w:line="240" w:lineRule="auto"/>
              <w:ind w:firstLine="0" w:firstLineChars="0"/>
              <w:jc w:val="center"/>
              <w:rPr>
                <w:color w:val="auto"/>
                <w:sz w:val="21"/>
                <w:szCs w:val="21"/>
              </w:rPr>
            </w:pPr>
          </w:p>
        </w:tc>
        <w:tc>
          <w:tcPr>
            <w:tcW w:w="489" w:type="pct"/>
            <w:gridSpan w:val="2"/>
            <w:vAlign w:val="center"/>
          </w:tcPr>
          <w:p w14:paraId="21E74A9D">
            <w:pPr>
              <w:spacing w:line="240" w:lineRule="auto"/>
              <w:ind w:firstLine="0" w:firstLineChars="0"/>
              <w:jc w:val="center"/>
              <w:rPr>
                <w:color w:val="auto"/>
                <w:sz w:val="21"/>
                <w:szCs w:val="21"/>
              </w:rPr>
            </w:pPr>
            <w:r>
              <w:rPr>
                <w:rFonts w:hint="eastAsia"/>
                <w:color w:val="auto"/>
                <w:sz w:val="21"/>
                <w:szCs w:val="21"/>
              </w:rPr>
              <w:t>废活性炭</w:t>
            </w:r>
          </w:p>
        </w:tc>
        <w:tc>
          <w:tcPr>
            <w:tcW w:w="903" w:type="pct"/>
            <w:vMerge w:val="continue"/>
            <w:vAlign w:val="center"/>
          </w:tcPr>
          <w:p w14:paraId="41263C6E">
            <w:pPr>
              <w:spacing w:line="240" w:lineRule="auto"/>
              <w:ind w:firstLine="0" w:firstLineChars="0"/>
              <w:jc w:val="center"/>
              <w:rPr>
                <w:color w:val="auto"/>
                <w:sz w:val="21"/>
                <w:szCs w:val="21"/>
              </w:rPr>
            </w:pPr>
          </w:p>
        </w:tc>
        <w:tc>
          <w:tcPr>
            <w:tcW w:w="356" w:type="pct"/>
            <w:vMerge w:val="continue"/>
            <w:vAlign w:val="center"/>
          </w:tcPr>
          <w:p w14:paraId="72E9282B">
            <w:pPr>
              <w:spacing w:line="240" w:lineRule="auto"/>
              <w:ind w:firstLine="0" w:firstLineChars="0"/>
              <w:jc w:val="center"/>
              <w:rPr>
                <w:color w:val="auto"/>
                <w:kern w:val="44"/>
                <w:sz w:val="21"/>
                <w:szCs w:val="21"/>
              </w:rPr>
            </w:pPr>
          </w:p>
        </w:tc>
        <w:tc>
          <w:tcPr>
            <w:tcW w:w="236" w:type="pct"/>
            <w:vMerge w:val="continue"/>
            <w:vAlign w:val="center"/>
          </w:tcPr>
          <w:p w14:paraId="75B6DC26">
            <w:pPr>
              <w:spacing w:line="240" w:lineRule="auto"/>
              <w:ind w:firstLine="0" w:firstLineChars="0"/>
              <w:jc w:val="center"/>
              <w:rPr>
                <w:color w:val="auto"/>
                <w:kern w:val="44"/>
                <w:sz w:val="21"/>
                <w:szCs w:val="21"/>
              </w:rPr>
            </w:pPr>
          </w:p>
        </w:tc>
        <w:tc>
          <w:tcPr>
            <w:tcW w:w="1002" w:type="pct"/>
            <w:gridSpan w:val="3"/>
            <w:vMerge w:val="continue"/>
            <w:vAlign w:val="center"/>
          </w:tcPr>
          <w:p w14:paraId="0328989E">
            <w:pPr>
              <w:spacing w:line="240" w:lineRule="auto"/>
              <w:ind w:firstLine="0" w:firstLineChars="0"/>
              <w:jc w:val="center"/>
              <w:rPr>
                <w:color w:val="auto"/>
                <w:kern w:val="44"/>
                <w:sz w:val="21"/>
                <w:szCs w:val="21"/>
              </w:rPr>
            </w:pPr>
          </w:p>
        </w:tc>
        <w:tc>
          <w:tcPr>
            <w:tcW w:w="257" w:type="pct"/>
            <w:vMerge w:val="continue"/>
            <w:vAlign w:val="center"/>
          </w:tcPr>
          <w:p w14:paraId="47738DC9">
            <w:pPr>
              <w:spacing w:line="240" w:lineRule="auto"/>
              <w:ind w:firstLine="0" w:firstLineChars="0"/>
              <w:jc w:val="center"/>
              <w:rPr>
                <w:color w:val="auto"/>
                <w:kern w:val="44"/>
                <w:sz w:val="21"/>
                <w:szCs w:val="21"/>
                <w:lang w:val="en-AU"/>
              </w:rPr>
            </w:pPr>
          </w:p>
        </w:tc>
        <w:tc>
          <w:tcPr>
            <w:tcW w:w="246" w:type="pct"/>
            <w:vMerge w:val="continue"/>
            <w:vAlign w:val="center"/>
          </w:tcPr>
          <w:p w14:paraId="37132E31">
            <w:pPr>
              <w:spacing w:line="240" w:lineRule="auto"/>
              <w:ind w:firstLine="0" w:firstLineChars="0"/>
              <w:jc w:val="center"/>
              <w:rPr>
                <w:color w:val="auto"/>
                <w:kern w:val="44"/>
                <w:sz w:val="21"/>
                <w:szCs w:val="21"/>
              </w:rPr>
            </w:pPr>
          </w:p>
        </w:tc>
        <w:tc>
          <w:tcPr>
            <w:tcW w:w="742" w:type="pct"/>
            <w:vMerge w:val="continue"/>
            <w:vAlign w:val="center"/>
          </w:tcPr>
          <w:p w14:paraId="75DFD3EE">
            <w:pPr>
              <w:spacing w:line="240" w:lineRule="auto"/>
              <w:ind w:firstLine="0" w:firstLineChars="0"/>
              <w:jc w:val="center"/>
              <w:rPr>
                <w:color w:val="auto"/>
                <w:kern w:val="44"/>
                <w:sz w:val="21"/>
                <w:szCs w:val="21"/>
              </w:rPr>
            </w:pPr>
          </w:p>
        </w:tc>
      </w:tr>
      <w:tr w14:paraId="55E34E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DAAB778">
            <w:pPr>
              <w:spacing w:line="240" w:lineRule="auto"/>
              <w:ind w:firstLine="0" w:firstLineChars="0"/>
              <w:jc w:val="center"/>
              <w:rPr>
                <w:color w:val="auto"/>
                <w:kern w:val="44"/>
                <w:sz w:val="21"/>
                <w:szCs w:val="21"/>
              </w:rPr>
            </w:pPr>
          </w:p>
        </w:tc>
        <w:tc>
          <w:tcPr>
            <w:tcW w:w="194" w:type="pct"/>
            <w:vMerge w:val="continue"/>
            <w:vAlign w:val="center"/>
          </w:tcPr>
          <w:p w14:paraId="494D5C59">
            <w:pPr>
              <w:spacing w:line="240" w:lineRule="auto"/>
              <w:ind w:firstLine="0" w:firstLineChars="0"/>
              <w:jc w:val="center"/>
              <w:rPr>
                <w:color w:val="auto"/>
                <w:sz w:val="21"/>
                <w:szCs w:val="21"/>
              </w:rPr>
            </w:pPr>
          </w:p>
        </w:tc>
        <w:tc>
          <w:tcPr>
            <w:tcW w:w="812" w:type="pct"/>
            <w:gridSpan w:val="4"/>
            <w:shd w:val="clear" w:color="auto" w:fill="auto"/>
            <w:vAlign w:val="center"/>
          </w:tcPr>
          <w:p w14:paraId="37DC8F95">
            <w:pPr>
              <w:tabs>
                <w:tab w:val="left" w:pos="2227"/>
              </w:tabs>
              <w:spacing w:line="240" w:lineRule="auto"/>
              <w:ind w:firstLine="0" w:firstLineChars="0"/>
              <w:jc w:val="center"/>
              <w:rPr>
                <w:color w:val="auto"/>
                <w:sz w:val="21"/>
                <w:szCs w:val="21"/>
              </w:rPr>
            </w:pPr>
            <w:r>
              <w:rPr>
                <w:rFonts w:hint="eastAsia"/>
                <w:color w:val="auto"/>
                <w:sz w:val="21"/>
                <w:szCs w:val="21"/>
              </w:rPr>
              <w:t>废试剂瓶</w:t>
            </w:r>
          </w:p>
        </w:tc>
        <w:tc>
          <w:tcPr>
            <w:tcW w:w="903" w:type="pct"/>
            <w:vMerge w:val="continue"/>
            <w:vAlign w:val="center"/>
          </w:tcPr>
          <w:p w14:paraId="237D2B63">
            <w:pPr>
              <w:spacing w:line="240" w:lineRule="auto"/>
              <w:ind w:firstLine="0" w:firstLineChars="0"/>
              <w:jc w:val="center"/>
              <w:rPr>
                <w:color w:val="auto"/>
                <w:sz w:val="21"/>
                <w:szCs w:val="21"/>
              </w:rPr>
            </w:pPr>
          </w:p>
        </w:tc>
        <w:tc>
          <w:tcPr>
            <w:tcW w:w="356" w:type="pct"/>
            <w:vMerge w:val="continue"/>
            <w:vAlign w:val="center"/>
          </w:tcPr>
          <w:p w14:paraId="13F629CB">
            <w:pPr>
              <w:spacing w:line="240" w:lineRule="auto"/>
              <w:ind w:firstLine="0" w:firstLineChars="0"/>
              <w:jc w:val="center"/>
              <w:rPr>
                <w:color w:val="auto"/>
                <w:kern w:val="44"/>
                <w:sz w:val="21"/>
                <w:szCs w:val="21"/>
              </w:rPr>
            </w:pPr>
          </w:p>
        </w:tc>
        <w:tc>
          <w:tcPr>
            <w:tcW w:w="236" w:type="pct"/>
            <w:vMerge w:val="continue"/>
            <w:vAlign w:val="center"/>
          </w:tcPr>
          <w:p w14:paraId="65AE0665">
            <w:pPr>
              <w:spacing w:line="240" w:lineRule="auto"/>
              <w:ind w:firstLine="0" w:firstLineChars="0"/>
              <w:jc w:val="center"/>
              <w:rPr>
                <w:color w:val="auto"/>
                <w:kern w:val="44"/>
                <w:sz w:val="21"/>
                <w:szCs w:val="21"/>
              </w:rPr>
            </w:pPr>
          </w:p>
        </w:tc>
        <w:tc>
          <w:tcPr>
            <w:tcW w:w="1002" w:type="pct"/>
            <w:gridSpan w:val="3"/>
            <w:vMerge w:val="continue"/>
            <w:vAlign w:val="center"/>
          </w:tcPr>
          <w:p w14:paraId="60382CA0">
            <w:pPr>
              <w:spacing w:line="240" w:lineRule="auto"/>
              <w:ind w:firstLine="0" w:firstLineChars="0"/>
              <w:jc w:val="center"/>
              <w:rPr>
                <w:color w:val="auto"/>
                <w:kern w:val="44"/>
                <w:sz w:val="21"/>
                <w:szCs w:val="21"/>
              </w:rPr>
            </w:pPr>
          </w:p>
        </w:tc>
        <w:tc>
          <w:tcPr>
            <w:tcW w:w="257" w:type="pct"/>
            <w:vMerge w:val="continue"/>
            <w:vAlign w:val="center"/>
          </w:tcPr>
          <w:p w14:paraId="6614F174">
            <w:pPr>
              <w:spacing w:line="240" w:lineRule="auto"/>
              <w:ind w:firstLine="0" w:firstLineChars="0"/>
              <w:jc w:val="center"/>
              <w:rPr>
                <w:color w:val="auto"/>
                <w:kern w:val="44"/>
                <w:sz w:val="21"/>
                <w:szCs w:val="21"/>
                <w:lang w:val="en-AU"/>
              </w:rPr>
            </w:pPr>
          </w:p>
        </w:tc>
        <w:tc>
          <w:tcPr>
            <w:tcW w:w="246" w:type="pct"/>
            <w:vMerge w:val="continue"/>
            <w:vAlign w:val="center"/>
          </w:tcPr>
          <w:p w14:paraId="4C7FEE98">
            <w:pPr>
              <w:spacing w:line="240" w:lineRule="auto"/>
              <w:ind w:firstLine="0" w:firstLineChars="0"/>
              <w:jc w:val="center"/>
              <w:rPr>
                <w:color w:val="auto"/>
                <w:kern w:val="44"/>
                <w:sz w:val="21"/>
                <w:szCs w:val="21"/>
              </w:rPr>
            </w:pPr>
          </w:p>
        </w:tc>
        <w:tc>
          <w:tcPr>
            <w:tcW w:w="742" w:type="pct"/>
            <w:vMerge w:val="continue"/>
            <w:vAlign w:val="center"/>
          </w:tcPr>
          <w:p w14:paraId="62F115EF">
            <w:pPr>
              <w:spacing w:line="240" w:lineRule="auto"/>
              <w:ind w:firstLine="0" w:firstLineChars="0"/>
              <w:jc w:val="center"/>
              <w:rPr>
                <w:color w:val="auto"/>
                <w:kern w:val="44"/>
                <w:sz w:val="21"/>
                <w:szCs w:val="21"/>
              </w:rPr>
            </w:pPr>
          </w:p>
        </w:tc>
      </w:tr>
      <w:tr w14:paraId="0DBEC2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C36864B">
            <w:pPr>
              <w:spacing w:line="240" w:lineRule="auto"/>
              <w:ind w:firstLine="0" w:firstLineChars="0"/>
              <w:jc w:val="center"/>
              <w:rPr>
                <w:color w:val="auto"/>
                <w:kern w:val="44"/>
                <w:sz w:val="21"/>
                <w:szCs w:val="21"/>
              </w:rPr>
            </w:pPr>
          </w:p>
        </w:tc>
        <w:tc>
          <w:tcPr>
            <w:tcW w:w="194" w:type="pct"/>
            <w:vMerge w:val="continue"/>
            <w:vAlign w:val="center"/>
          </w:tcPr>
          <w:p w14:paraId="22CAB3DB">
            <w:pPr>
              <w:spacing w:line="240" w:lineRule="auto"/>
              <w:ind w:firstLine="0" w:firstLineChars="0"/>
              <w:jc w:val="center"/>
              <w:rPr>
                <w:color w:val="auto"/>
                <w:sz w:val="21"/>
                <w:szCs w:val="21"/>
              </w:rPr>
            </w:pPr>
          </w:p>
        </w:tc>
        <w:tc>
          <w:tcPr>
            <w:tcW w:w="812" w:type="pct"/>
            <w:gridSpan w:val="4"/>
            <w:shd w:val="clear" w:color="auto" w:fill="auto"/>
            <w:vAlign w:val="center"/>
          </w:tcPr>
          <w:p w14:paraId="55628C68">
            <w:pPr>
              <w:tabs>
                <w:tab w:val="left" w:pos="2227"/>
              </w:tabs>
              <w:spacing w:line="240" w:lineRule="auto"/>
              <w:ind w:firstLine="0" w:firstLineChars="0"/>
              <w:jc w:val="center"/>
              <w:rPr>
                <w:color w:val="auto"/>
                <w:sz w:val="21"/>
                <w:szCs w:val="21"/>
              </w:rPr>
            </w:pPr>
            <w:r>
              <w:rPr>
                <w:rFonts w:hint="eastAsia"/>
                <w:color w:val="auto"/>
                <w:sz w:val="21"/>
                <w:szCs w:val="21"/>
              </w:rPr>
              <w:t>废试剂</w:t>
            </w:r>
          </w:p>
        </w:tc>
        <w:tc>
          <w:tcPr>
            <w:tcW w:w="903" w:type="pct"/>
            <w:vMerge w:val="continue"/>
            <w:vAlign w:val="center"/>
          </w:tcPr>
          <w:p w14:paraId="40B1664C">
            <w:pPr>
              <w:spacing w:line="240" w:lineRule="auto"/>
              <w:ind w:firstLine="0" w:firstLineChars="0"/>
              <w:jc w:val="center"/>
              <w:rPr>
                <w:color w:val="auto"/>
                <w:sz w:val="21"/>
                <w:szCs w:val="21"/>
              </w:rPr>
            </w:pPr>
          </w:p>
        </w:tc>
        <w:tc>
          <w:tcPr>
            <w:tcW w:w="356" w:type="pct"/>
            <w:vMerge w:val="continue"/>
            <w:vAlign w:val="center"/>
          </w:tcPr>
          <w:p w14:paraId="70AE3664">
            <w:pPr>
              <w:spacing w:line="240" w:lineRule="auto"/>
              <w:ind w:firstLine="0" w:firstLineChars="0"/>
              <w:jc w:val="center"/>
              <w:rPr>
                <w:color w:val="auto"/>
                <w:kern w:val="44"/>
                <w:sz w:val="21"/>
                <w:szCs w:val="21"/>
              </w:rPr>
            </w:pPr>
          </w:p>
        </w:tc>
        <w:tc>
          <w:tcPr>
            <w:tcW w:w="236" w:type="pct"/>
            <w:vMerge w:val="continue"/>
            <w:vAlign w:val="center"/>
          </w:tcPr>
          <w:p w14:paraId="666990CA">
            <w:pPr>
              <w:spacing w:line="240" w:lineRule="auto"/>
              <w:ind w:firstLine="0" w:firstLineChars="0"/>
              <w:jc w:val="center"/>
              <w:rPr>
                <w:color w:val="auto"/>
                <w:kern w:val="44"/>
                <w:sz w:val="21"/>
                <w:szCs w:val="21"/>
              </w:rPr>
            </w:pPr>
          </w:p>
        </w:tc>
        <w:tc>
          <w:tcPr>
            <w:tcW w:w="1002" w:type="pct"/>
            <w:gridSpan w:val="3"/>
            <w:vMerge w:val="continue"/>
            <w:vAlign w:val="center"/>
          </w:tcPr>
          <w:p w14:paraId="7AE475F6">
            <w:pPr>
              <w:spacing w:line="240" w:lineRule="auto"/>
              <w:ind w:firstLine="0" w:firstLineChars="0"/>
              <w:jc w:val="center"/>
              <w:rPr>
                <w:color w:val="auto"/>
                <w:kern w:val="44"/>
                <w:sz w:val="21"/>
                <w:szCs w:val="21"/>
              </w:rPr>
            </w:pPr>
          </w:p>
        </w:tc>
        <w:tc>
          <w:tcPr>
            <w:tcW w:w="257" w:type="pct"/>
            <w:vMerge w:val="continue"/>
            <w:vAlign w:val="center"/>
          </w:tcPr>
          <w:p w14:paraId="298E63BE">
            <w:pPr>
              <w:spacing w:line="240" w:lineRule="auto"/>
              <w:ind w:firstLine="0" w:firstLineChars="0"/>
              <w:jc w:val="center"/>
              <w:rPr>
                <w:color w:val="auto"/>
                <w:kern w:val="44"/>
                <w:sz w:val="21"/>
                <w:szCs w:val="21"/>
                <w:lang w:val="en-AU"/>
              </w:rPr>
            </w:pPr>
          </w:p>
        </w:tc>
        <w:tc>
          <w:tcPr>
            <w:tcW w:w="246" w:type="pct"/>
            <w:vMerge w:val="continue"/>
            <w:vAlign w:val="center"/>
          </w:tcPr>
          <w:p w14:paraId="56952FC9">
            <w:pPr>
              <w:spacing w:line="240" w:lineRule="auto"/>
              <w:ind w:firstLine="0" w:firstLineChars="0"/>
              <w:jc w:val="center"/>
              <w:rPr>
                <w:color w:val="auto"/>
                <w:kern w:val="44"/>
                <w:sz w:val="21"/>
                <w:szCs w:val="21"/>
              </w:rPr>
            </w:pPr>
          </w:p>
        </w:tc>
        <w:tc>
          <w:tcPr>
            <w:tcW w:w="742" w:type="pct"/>
            <w:vMerge w:val="continue"/>
            <w:vAlign w:val="center"/>
          </w:tcPr>
          <w:p w14:paraId="345721F7">
            <w:pPr>
              <w:spacing w:line="240" w:lineRule="auto"/>
              <w:ind w:firstLine="0" w:firstLineChars="0"/>
              <w:jc w:val="center"/>
              <w:rPr>
                <w:color w:val="auto"/>
                <w:kern w:val="44"/>
                <w:sz w:val="21"/>
                <w:szCs w:val="21"/>
              </w:rPr>
            </w:pPr>
          </w:p>
        </w:tc>
      </w:tr>
      <w:tr w14:paraId="0F7358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A364E5A">
            <w:pPr>
              <w:spacing w:line="240" w:lineRule="auto"/>
              <w:ind w:firstLine="0" w:firstLineChars="0"/>
              <w:jc w:val="center"/>
              <w:rPr>
                <w:color w:val="auto"/>
                <w:kern w:val="44"/>
                <w:sz w:val="21"/>
                <w:szCs w:val="21"/>
              </w:rPr>
            </w:pPr>
          </w:p>
        </w:tc>
        <w:tc>
          <w:tcPr>
            <w:tcW w:w="194" w:type="pct"/>
            <w:vMerge w:val="continue"/>
            <w:vAlign w:val="center"/>
          </w:tcPr>
          <w:p w14:paraId="4068C2B7">
            <w:pPr>
              <w:spacing w:line="240" w:lineRule="auto"/>
              <w:ind w:firstLine="0" w:firstLineChars="0"/>
              <w:jc w:val="center"/>
              <w:rPr>
                <w:color w:val="auto"/>
                <w:sz w:val="21"/>
                <w:szCs w:val="21"/>
              </w:rPr>
            </w:pPr>
          </w:p>
        </w:tc>
        <w:tc>
          <w:tcPr>
            <w:tcW w:w="812" w:type="pct"/>
            <w:gridSpan w:val="4"/>
            <w:vAlign w:val="center"/>
          </w:tcPr>
          <w:p w14:paraId="0E02AF2A">
            <w:pPr>
              <w:spacing w:line="240" w:lineRule="auto"/>
              <w:ind w:firstLine="0" w:firstLineChars="0"/>
              <w:jc w:val="center"/>
              <w:rPr>
                <w:color w:val="auto"/>
                <w:sz w:val="21"/>
                <w:szCs w:val="21"/>
              </w:rPr>
            </w:pPr>
            <w:r>
              <w:rPr>
                <w:rFonts w:hint="eastAsia"/>
                <w:color w:val="auto"/>
                <w:sz w:val="21"/>
                <w:szCs w:val="21"/>
              </w:rPr>
              <w:t>废研磨膏</w:t>
            </w:r>
          </w:p>
        </w:tc>
        <w:tc>
          <w:tcPr>
            <w:tcW w:w="903" w:type="pct"/>
            <w:vMerge w:val="continue"/>
            <w:vAlign w:val="center"/>
          </w:tcPr>
          <w:p w14:paraId="18069914">
            <w:pPr>
              <w:spacing w:line="240" w:lineRule="auto"/>
              <w:ind w:firstLine="0" w:firstLineChars="0"/>
              <w:jc w:val="center"/>
              <w:rPr>
                <w:color w:val="auto"/>
                <w:sz w:val="21"/>
                <w:szCs w:val="21"/>
              </w:rPr>
            </w:pPr>
          </w:p>
        </w:tc>
        <w:tc>
          <w:tcPr>
            <w:tcW w:w="356" w:type="pct"/>
            <w:vMerge w:val="continue"/>
            <w:vAlign w:val="center"/>
          </w:tcPr>
          <w:p w14:paraId="502B5E4B">
            <w:pPr>
              <w:spacing w:line="240" w:lineRule="auto"/>
              <w:ind w:firstLine="0" w:firstLineChars="0"/>
              <w:jc w:val="center"/>
              <w:rPr>
                <w:color w:val="auto"/>
                <w:kern w:val="44"/>
                <w:sz w:val="21"/>
                <w:szCs w:val="21"/>
              </w:rPr>
            </w:pPr>
          </w:p>
        </w:tc>
        <w:tc>
          <w:tcPr>
            <w:tcW w:w="236" w:type="pct"/>
            <w:vMerge w:val="continue"/>
            <w:vAlign w:val="center"/>
          </w:tcPr>
          <w:p w14:paraId="2ACD4EC5">
            <w:pPr>
              <w:spacing w:line="240" w:lineRule="auto"/>
              <w:ind w:firstLine="0" w:firstLineChars="0"/>
              <w:jc w:val="center"/>
              <w:rPr>
                <w:color w:val="auto"/>
                <w:kern w:val="44"/>
                <w:sz w:val="21"/>
                <w:szCs w:val="21"/>
              </w:rPr>
            </w:pPr>
          </w:p>
        </w:tc>
        <w:tc>
          <w:tcPr>
            <w:tcW w:w="1002" w:type="pct"/>
            <w:gridSpan w:val="3"/>
            <w:vMerge w:val="continue"/>
            <w:vAlign w:val="center"/>
          </w:tcPr>
          <w:p w14:paraId="2153A825">
            <w:pPr>
              <w:spacing w:line="240" w:lineRule="auto"/>
              <w:ind w:firstLine="0" w:firstLineChars="0"/>
              <w:jc w:val="center"/>
              <w:rPr>
                <w:color w:val="auto"/>
                <w:kern w:val="44"/>
                <w:sz w:val="21"/>
                <w:szCs w:val="21"/>
              </w:rPr>
            </w:pPr>
          </w:p>
        </w:tc>
        <w:tc>
          <w:tcPr>
            <w:tcW w:w="257" w:type="pct"/>
            <w:vMerge w:val="continue"/>
            <w:vAlign w:val="center"/>
          </w:tcPr>
          <w:p w14:paraId="21665F59">
            <w:pPr>
              <w:spacing w:line="240" w:lineRule="auto"/>
              <w:ind w:firstLine="0" w:firstLineChars="0"/>
              <w:jc w:val="center"/>
              <w:rPr>
                <w:color w:val="auto"/>
                <w:kern w:val="44"/>
                <w:sz w:val="21"/>
                <w:szCs w:val="21"/>
                <w:lang w:val="en-AU"/>
              </w:rPr>
            </w:pPr>
          </w:p>
        </w:tc>
        <w:tc>
          <w:tcPr>
            <w:tcW w:w="246" w:type="pct"/>
            <w:vMerge w:val="continue"/>
            <w:vAlign w:val="center"/>
          </w:tcPr>
          <w:p w14:paraId="6F648CE1">
            <w:pPr>
              <w:spacing w:line="240" w:lineRule="auto"/>
              <w:ind w:firstLine="0" w:firstLineChars="0"/>
              <w:jc w:val="center"/>
              <w:rPr>
                <w:color w:val="auto"/>
                <w:kern w:val="44"/>
                <w:sz w:val="21"/>
                <w:szCs w:val="21"/>
              </w:rPr>
            </w:pPr>
          </w:p>
        </w:tc>
        <w:tc>
          <w:tcPr>
            <w:tcW w:w="742" w:type="pct"/>
            <w:vMerge w:val="continue"/>
            <w:vAlign w:val="center"/>
          </w:tcPr>
          <w:p w14:paraId="7F7D92BD">
            <w:pPr>
              <w:spacing w:line="240" w:lineRule="auto"/>
              <w:ind w:firstLine="0" w:firstLineChars="0"/>
              <w:jc w:val="center"/>
              <w:rPr>
                <w:color w:val="auto"/>
                <w:kern w:val="44"/>
                <w:sz w:val="21"/>
                <w:szCs w:val="21"/>
              </w:rPr>
            </w:pPr>
          </w:p>
        </w:tc>
      </w:tr>
      <w:tr w14:paraId="182D2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5711E3CA">
            <w:pPr>
              <w:spacing w:line="240" w:lineRule="auto"/>
              <w:ind w:firstLine="0" w:firstLineChars="0"/>
              <w:jc w:val="center"/>
              <w:rPr>
                <w:color w:val="auto"/>
                <w:kern w:val="44"/>
                <w:sz w:val="21"/>
                <w:szCs w:val="21"/>
              </w:rPr>
            </w:pPr>
          </w:p>
        </w:tc>
        <w:tc>
          <w:tcPr>
            <w:tcW w:w="194" w:type="pct"/>
            <w:vMerge w:val="continue"/>
            <w:vAlign w:val="center"/>
          </w:tcPr>
          <w:p w14:paraId="645CADD3">
            <w:pPr>
              <w:spacing w:line="240" w:lineRule="auto"/>
              <w:ind w:firstLine="0" w:firstLineChars="0"/>
              <w:jc w:val="center"/>
              <w:rPr>
                <w:color w:val="auto"/>
                <w:sz w:val="21"/>
                <w:szCs w:val="21"/>
              </w:rPr>
            </w:pPr>
          </w:p>
        </w:tc>
        <w:tc>
          <w:tcPr>
            <w:tcW w:w="812" w:type="pct"/>
            <w:gridSpan w:val="4"/>
            <w:vAlign w:val="center"/>
          </w:tcPr>
          <w:p w14:paraId="528551A4">
            <w:pPr>
              <w:spacing w:line="240" w:lineRule="auto"/>
              <w:ind w:firstLine="0" w:firstLineChars="0"/>
              <w:jc w:val="center"/>
              <w:rPr>
                <w:color w:val="auto"/>
                <w:sz w:val="21"/>
                <w:szCs w:val="21"/>
              </w:rPr>
            </w:pPr>
            <w:r>
              <w:rPr>
                <w:rFonts w:hint="eastAsia"/>
                <w:color w:val="auto"/>
                <w:sz w:val="21"/>
                <w:szCs w:val="21"/>
              </w:rPr>
              <w:t>废化学品包装材料</w:t>
            </w:r>
          </w:p>
        </w:tc>
        <w:tc>
          <w:tcPr>
            <w:tcW w:w="903" w:type="pct"/>
            <w:vMerge w:val="continue"/>
            <w:vAlign w:val="center"/>
          </w:tcPr>
          <w:p w14:paraId="5F99E02F">
            <w:pPr>
              <w:spacing w:line="240" w:lineRule="auto"/>
              <w:ind w:firstLine="0" w:firstLineChars="0"/>
              <w:jc w:val="center"/>
              <w:rPr>
                <w:color w:val="auto"/>
                <w:sz w:val="21"/>
                <w:szCs w:val="21"/>
              </w:rPr>
            </w:pPr>
          </w:p>
        </w:tc>
        <w:tc>
          <w:tcPr>
            <w:tcW w:w="356" w:type="pct"/>
            <w:vMerge w:val="continue"/>
            <w:vAlign w:val="center"/>
          </w:tcPr>
          <w:p w14:paraId="2D3A6296">
            <w:pPr>
              <w:spacing w:line="240" w:lineRule="auto"/>
              <w:ind w:firstLine="0" w:firstLineChars="0"/>
              <w:jc w:val="center"/>
              <w:rPr>
                <w:color w:val="auto"/>
                <w:kern w:val="44"/>
                <w:sz w:val="21"/>
                <w:szCs w:val="21"/>
              </w:rPr>
            </w:pPr>
          </w:p>
        </w:tc>
        <w:tc>
          <w:tcPr>
            <w:tcW w:w="236" w:type="pct"/>
            <w:vMerge w:val="continue"/>
            <w:vAlign w:val="center"/>
          </w:tcPr>
          <w:p w14:paraId="33E4E378">
            <w:pPr>
              <w:spacing w:line="240" w:lineRule="auto"/>
              <w:ind w:firstLine="0" w:firstLineChars="0"/>
              <w:jc w:val="center"/>
              <w:rPr>
                <w:color w:val="auto"/>
                <w:kern w:val="44"/>
                <w:sz w:val="21"/>
                <w:szCs w:val="21"/>
              </w:rPr>
            </w:pPr>
          </w:p>
        </w:tc>
        <w:tc>
          <w:tcPr>
            <w:tcW w:w="1002" w:type="pct"/>
            <w:gridSpan w:val="3"/>
            <w:vMerge w:val="continue"/>
            <w:vAlign w:val="center"/>
          </w:tcPr>
          <w:p w14:paraId="6EF7374D">
            <w:pPr>
              <w:spacing w:line="240" w:lineRule="auto"/>
              <w:ind w:firstLine="0" w:firstLineChars="0"/>
              <w:jc w:val="center"/>
              <w:rPr>
                <w:color w:val="auto"/>
                <w:kern w:val="44"/>
                <w:sz w:val="21"/>
                <w:szCs w:val="21"/>
              </w:rPr>
            </w:pPr>
          </w:p>
        </w:tc>
        <w:tc>
          <w:tcPr>
            <w:tcW w:w="257" w:type="pct"/>
            <w:vMerge w:val="continue"/>
            <w:vAlign w:val="center"/>
          </w:tcPr>
          <w:p w14:paraId="1D117478">
            <w:pPr>
              <w:spacing w:line="240" w:lineRule="auto"/>
              <w:ind w:firstLine="0" w:firstLineChars="0"/>
              <w:jc w:val="center"/>
              <w:rPr>
                <w:color w:val="auto"/>
                <w:kern w:val="44"/>
                <w:sz w:val="21"/>
                <w:szCs w:val="21"/>
                <w:lang w:val="en-AU"/>
              </w:rPr>
            </w:pPr>
          </w:p>
        </w:tc>
        <w:tc>
          <w:tcPr>
            <w:tcW w:w="246" w:type="pct"/>
            <w:vMerge w:val="continue"/>
            <w:vAlign w:val="center"/>
          </w:tcPr>
          <w:p w14:paraId="41ADDDDC">
            <w:pPr>
              <w:spacing w:line="240" w:lineRule="auto"/>
              <w:ind w:firstLine="0" w:firstLineChars="0"/>
              <w:jc w:val="center"/>
              <w:rPr>
                <w:color w:val="auto"/>
                <w:kern w:val="44"/>
                <w:sz w:val="21"/>
                <w:szCs w:val="21"/>
              </w:rPr>
            </w:pPr>
          </w:p>
        </w:tc>
        <w:tc>
          <w:tcPr>
            <w:tcW w:w="742" w:type="pct"/>
            <w:vMerge w:val="continue"/>
            <w:vAlign w:val="center"/>
          </w:tcPr>
          <w:p w14:paraId="46251897">
            <w:pPr>
              <w:spacing w:line="240" w:lineRule="auto"/>
              <w:ind w:firstLine="0" w:firstLineChars="0"/>
              <w:jc w:val="center"/>
              <w:rPr>
                <w:color w:val="auto"/>
                <w:kern w:val="44"/>
                <w:sz w:val="21"/>
                <w:szCs w:val="21"/>
              </w:rPr>
            </w:pPr>
          </w:p>
        </w:tc>
      </w:tr>
      <w:tr w14:paraId="77E7B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163B8827">
            <w:pPr>
              <w:spacing w:line="240" w:lineRule="auto"/>
              <w:ind w:firstLine="0" w:firstLineChars="0"/>
              <w:jc w:val="center"/>
              <w:rPr>
                <w:color w:val="auto"/>
                <w:kern w:val="44"/>
                <w:sz w:val="21"/>
                <w:szCs w:val="21"/>
              </w:rPr>
            </w:pPr>
          </w:p>
        </w:tc>
        <w:tc>
          <w:tcPr>
            <w:tcW w:w="194" w:type="pct"/>
            <w:vMerge w:val="continue"/>
            <w:vAlign w:val="center"/>
          </w:tcPr>
          <w:p w14:paraId="04E30388">
            <w:pPr>
              <w:spacing w:line="240" w:lineRule="auto"/>
              <w:ind w:firstLine="0" w:firstLineChars="0"/>
              <w:jc w:val="center"/>
              <w:rPr>
                <w:color w:val="auto"/>
                <w:sz w:val="21"/>
                <w:szCs w:val="21"/>
              </w:rPr>
            </w:pPr>
          </w:p>
        </w:tc>
        <w:tc>
          <w:tcPr>
            <w:tcW w:w="812" w:type="pct"/>
            <w:gridSpan w:val="4"/>
            <w:vAlign w:val="center"/>
          </w:tcPr>
          <w:p w14:paraId="140B3733">
            <w:pPr>
              <w:spacing w:line="240" w:lineRule="auto"/>
              <w:ind w:firstLine="0" w:firstLineChars="0"/>
              <w:jc w:val="center"/>
              <w:rPr>
                <w:color w:val="auto"/>
                <w:sz w:val="21"/>
                <w:szCs w:val="21"/>
              </w:rPr>
            </w:pPr>
            <w:r>
              <w:rPr>
                <w:color w:val="auto"/>
                <w:sz w:val="21"/>
                <w:szCs w:val="21"/>
              </w:rPr>
              <w:t>废液压油</w:t>
            </w:r>
          </w:p>
        </w:tc>
        <w:tc>
          <w:tcPr>
            <w:tcW w:w="903" w:type="pct"/>
            <w:vMerge w:val="continue"/>
            <w:vAlign w:val="center"/>
          </w:tcPr>
          <w:p w14:paraId="0D515B40">
            <w:pPr>
              <w:spacing w:line="240" w:lineRule="auto"/>
              <w:ind w:firstLine="0" w:firstLineChars="0"/>
              <w:jc w:val="center"/>
              <w:rPr>
                <w:color w:val="auto"/>
                <w:sz w:val="21"/>
                <w:szCs w:val="21"/>
              </w:rPr>
            </w:pPr>
          </w:p>
        </w:tc>
        <w:tc>
          <w:tcPr>
            <w:tcW w:w="356" w:type="pct"/>
            <w:vMerge w:val="continue"/>
            <w:vAlign w:val="center"/>
          </w:tcPr>
          <w:p w14:paraId="052650D0">
            <w:pPr>
              <w:spacing w:line="240" w:lineRule="auto"/>
              <w:ind w:firstLine="0" w:firstLineChars="0"/>
              <w:jc w:val="center"/>
              <w:rPr>
                <w:color w:val="auto"/>
                <w:kern w:val="44"/>
                <w:sz w:val="21"/>
                <w:szCs w:val="21"/>
              </w:rPr>
            </w:pPr>
          </w:p>
        </w:tc>
        <w:tc>
          <w:tcPr>
            <w:tcW w:w="236" w:type="pct"/>
            <w:vMerge w:val="continue"/>
            <w:vAlign w:val="center"/>
          </w:tcPr>
          <w:p w14:paraId="29F6F5A2">
            <w:pPr>
              <w:spacing w:line="240" w:lineRule="auto"/>
              <w:ind w:firstLine="0" w:firstLineChars="0"/>
              <w:jc w:val="center"/>
              <w:rPr>
                <w:color w:val="auto"/>
                <w:kern w:val="44"/>
                <w:sz w:val="21"/>
                <w:szCs w:val="21"/>
              </w:rPr>
            </w:pPr>
          </w:p>
        </w:tc>
        <w:tc>
          <w:tcPr>
            <w:tcW w:w="1002" w:type="pct"/>
            <w:gridSpan w:val="3"/>
            <w:vMerge w:val="continue"/>
            <w:vAlign w:val="center"/>
          </w:tcPr>
          <w:p w14:paraId="023A18EE">
            <w:pPr>
              <w:spacing w:line="240" w:lineRule="auto"/>
              <w:ind w:firstLine="0" w:firstLineChars="0"/>
              <w:jc w:val="center"/>
              <w:rPr>
                <w:color w:val="auto"/>
                <w:kern w:val="44"/>
                <w:sz w:val="21"/>
                <w:szCs w:val="21"/>
              </w:rPr>
            </w:pPr>
          </w:p>
        </w:tc>
        <w:tc>
          <w:tcPr>
            <w:tcW w:w="257" w:type="pct"/>
            <w:vMerge w:val="continue"/>
            <w:vAlign w:val="center"/>
          </w:tcPr>
          <w:p w14:paraId="09DB041B">
            <w:pPr>
              <w:spacing w:line="240" w:lineRule="auto"/>
              <w:ind w:firstLine="0" w:firstLineChars="0"/>
              <w:jc w:val="center"/>
              <w:rPr>
                <w:color w:val="auto"/>
                <w:kern w:val="44"/>
                <w:sz w:val="21"/>
                <w:szCs w:val="21"/>
                <w:lang w:val="en-AU"/>
              </w:rPr>
            </w:pPr>
          </w:p>
        </w:tc>
        <w:tc>
          <w:tcPr>
            <w:tcW w:w="246" w:type="pct"/>
            <w:vMerge w:val="continue"/>
            <w:vAlign w:val="center"/>
          </w:tcPr>
          <w:p w14:paraId="323948A4">
            <w:pPr>
              <w:spacing w:line="240" w:lineRule="auto"/>
              <w:ind w:firstLine="0" w:firstLineChars="0"/>
              <w:jc w:val="center"/>
              <w:rPr>
                <w:color w:val="auto"/>
                <w:kern w:val="44"/>
                <w:sz w:val="21"/>
                <w:szCs w:val="21"/>
              </w:rPr>
            </w:pPr>
          </w:p>
        </w:tc>
        <w:tc>
          <w:tcPr>
            <w:tcW w:w="742" w:type="pct"/>
            <w:vMerge w:val="continue"/>
            <w:vAlign w:val="center"/>
          </w:tcPr>
          <w:p w14:paraId="5AA49B53">
            <w:pPr>
              <w:spacing w:line="240" w:lineRule="auto"/>
              <w:ind w:firstLine="0" w:firstLineChars="0"/>
              <w:jc w:val="center"/>
              <w:rPr>
                <w:color w:val="auto"/>
                <w:kern w:val="44"/>
                <w:sz w:val="21"/>
                <w:szCs w:val="21"/>
              </w:rPr>
            </w:pPr>
          </w:p>
        </w:tc>
      </w:tr>
      <w:tr w14:paraId="67B108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F2518F6">
            <w:pPr>
              <w:spacing w:line="240" w:lineRule="auto"/>
              <w:ind w:firstLine="0" w:firstLineChars="0"/>
              <w:jc w:val="center"/>
              <w:rPr>
                <w:color w:val="auto"/>
                <w:kern w:val="44"/>
                <w:sz w:val="21"/>
                <w:szCs w:val="21"/>
              </w:rPr>
            </w:pPr>
          </w:p>
        </w:tc>
        <w:tc>
          <w:tcPr>
            <w:tcW w:w="194" w:type="pct"/>
            <w:vMerge w:val="continue"/>
            <w:vAlign w:val="center"/>
          </w:tcPr>
          <w:p w14:paraId="1D3B5223">
            <w:pPr>
              <w:spacing w:line="240" w:lineRule="auto"/>
              <w:ind w:firstLine="0" w:firstLineChars="0"/>
              <w:jc w:val="center"/>
              <w:rPr>
                <w:color w:val="auto"/>
                <w:sz w:val="21"/>
                <w:szCs w:val="21"/>
              </w:rPr>
            </w:pPr>
          </w:p>
        </w:tc>
        <w:tc>
          <w:tcPr>
            <w:tcW w:w="812" w:type="pct"/>
            <w:gridSpan w:val="4"/>
            <w:vAlign w:val="center"/>
          </w:tcPr>
          <w:p w14:paraId="07CAC81C">
            <w:pPr>
              <w:spacing w:line="240" w:lineRule="auto"/>
              <w:ind w:firstLine="0" w:firstLineChars="0"/>
              <w:jc w:val="center"/>
              <w:rPr>
                <w:color w:val="auto"/>
                <w:sz w:val="21"/>
                <w:szCs w:val="21"/>
              </w:rPr>
            </w:pPr>
            <w:r>
              <w:rPr>
                <w:color w:val="auto"/>
                <w:sz w:val="21"/>
                <w:szCs w:val="21"/>
              </w:rPr>
              <w:t>废机油</w:t>
            </w:r>
          </w:p>
        </w:tc>
        <w:tc>
          <w:tcPr>
            <w:tcW w:w="903" w:type="pct"/>
            <w:vMerge w:val="continue"/>
            <w:vAlign w:val="center"/>
          </w:tcPr>
          <w:p w14:paraId="096B80EA">
            <w:pPr>
              <w:spacing w:line="240" w:lineRule="auto"/>
              <w:ind w:firstLine="0" w:firstLineChars="0"/>
              <w:jc w:val="center"/>
              <w:rPr>
                <w:color w:val="auto"/>
                <w:sz w:val="21"/>
                <w:szCs w:val="21"/>
              </w:rPr>
            </w:pPr>
          </w:p>
        </w:tc>
        <w:tc>
          <w:tcPr>
            <w:tcW w:w="356" w:type="pct"/>
            <w:vMerge w:val="continue"/>
            <w:vAlign w:val="center"/>
          </w:tcPr>
          <w:p w14:paraId="7C3D40F5">
            <w:pPr>
              <w:spacing w:line="240" w:lineRule="auto"/>
              <w:ind w:firstLine="0" w:firstLineChars="0"/>
              <w:jc w:val="center"/>
              <w:rPr>
                <w:color w:val="auto"/>
                <w:kern w:val="44"/>
                <w:sz w:val="21"/>
                <w:szCs w:val="21"/>
              </w:rPr>
            </w:pPr>
          </w:p>
        </w:tc>
        <w:tc>
          <w:tcPr>
            <w:tcW w:w="236" w:type="pct"/>
            <w:vMerge w:val="continue"/>
            <w:vAlign w:val="center"/>
          </w:tcPr>
          <w:p w14:paraId="54F200CC">
            <w:pPr>
              <w:spacing w:line="240" w:lineRule="auto"/>
              <w:ind w:firstLine="0" w:firstLineChars="0"/>
              <w:jc w:val="center"/>
              <w:rPr>
                <w:color w:val="auto"/>
                <w:kern w:val="44"/>
                <w:sz w:val="21"/>
                <w:szCs w:val="21"/>
              </w:rPr>
            </w:pPr>
          </w:p>
        </w:tc>
        <w:tc>
          <w:tcPr>
            <w:tcW w:w="1002" w:type="pct"/>
            <w:gridSpan w:val="3"/>
            <w:vMerge w:val="continue"/>
            <w:vAlign w:val="center"/>
          </w:tcPr>
          <w:p w14:paraId="63156D72">
            <w:pPr>
              <w:spacing w:line="240" w:lineRule="auto"/>
              <w:ind w:firstLine="0" w:firstLineChars="0"/>
              <w:jc w:val="center"/>
              <w:rPr>
                <w:color w:val="auto"/>
                <w:kern w:val="44"/>
                <w:sz w:val="21"/>
                <w:szCs w:val="21"/>
              </w:rPr>
            </w:pPr>
          </w:p>
        </w:tc>
        <w:tc>
          <w:tcPr>
            <w:tcW w:w="257" w:type="pct"/>
            <w:vMerge w:val="continue"/>
            <w:vAlign w:val="center"/>
          </w:tcPr>
          <w:p w14:paraId="4814985D">
            <w:pPr>
              <w:spacing w:line="240" w:lineRule="auto"/>
              <w:ind w:firstLine="0" w:firstLineChars="0"/>
              <w:jc w:val="center"/>
              <w:rPr>
                <w:color w:val="auto"/>
                <w:kern w:val="44"/>
                <w:sz w:val="21"/>
                <w:szCs w:val="21"/>
                <w:lang w:val="en-AU"/>
              </w:rPr>
            </w:pPr>
          </w:p>
        </w:tc>
        <w:tc>
          <w:tcPr>
            <w:tcW w:w="246" w:type="pct"/>
            <w:vMerge w:val="continue"/>
            <w:vAlign w:val="center"/>
          </w:tcPr>
          <w:p w14:paraId="5925FB7B">
            <w:pPr>
              <w:spacing w:line="240" w:lineRule="auto"/>
              <w:ind w:firstLine="0" w:firstLineChars="0"/>
              <w:jc w:val="center"/>
              <w:rPr>
                <w:color w:val="auto"/>
                <w:kern w:val="44"/>
                <w:sz w:val="21"/>
                <w:szCs w:val="21"/>
              </w:rPr>
            </w:pPr>
          </w:p>
        </w:tc>
        <w:tc>
          <w:tcPr>
            <w:tcW w:w="742" w:type="pct"/>
            <w:vMerge w:val="continue"/>
            <w:vAlign w:val="center"/>
          </w:tcPr>
          <w:p w14:paraId="212D7367">
            <w:pPr>
              <w:spacing w:line="240" w:lineRule="auto"/>
              <w:ind w:firstLine="0" w:firstLineChars="0"/>
              <w:jc w:val="center"/>
              <w:rPr>
                <w:color w:val="auto"/>
                <w:kern w:val="44"/>
                <w:sz w:val="21"/>
                <w:szCs w:val="21"/>
              </w:rPr>
            </w:pPr>
          </w:p>
        </w:tc>
      </w:tr>
      <w:tr w14:paraId="6F23E9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D9E931A">
            <w:pPr>
              <w:spacing w:line="240" w:lineRule="auto"/>
              <w:ind w:firstLine="0" w:firstLineChars="0"/>
              <w:jc w:val="center"/>
              <w:rPr>
                <w:color w:val="auto"/>
                <w:kern w:val="44"/>
                <w:sz w:val="21"/>
                <w:szCs w:val="21"/>
              </w:rPr>
            </w:pPr>
          </w:p>
        </w:tc>
        <w:tc>
          <w:tcPr>
            <w:tcW w:w="194" w:type="pct"/>
            <w:vMerge w:val="continue"/>
            <w:vAlign w:val="center"/>
          </w:tcPr>
          <w:p w14:paraId="177E0611">
            <w:pPr>
              <w:spacing w:line="240" w:lineRule="auto"/>
              <w:ind w:firstLine="0" w:firstLineChars="0"/>
              <w:jc w:val="center"/>
              <w:rPr>
                <w:color w:val="auto"/>
                <w:sz w:val="21"/>
                <w:szCs w:val="21"/>
              </w:rPr>
            </w:pPr>
          </w:p>
        </w:tc>
        <w:tc>
          <w:tcPr>
            <w:tcW w:w="812" w:type="pct"/>
            <w:gridSpan w:val="4"/>
            <w:vAlign w:val="center"/>
          </w:tcPr>
          <w:p w14:paraId="58BB87CD">
            <w:pPr>
              <w:spacing w:line="240" w:lineRule="auto"/>
              <w:ind w:firstLine="0" w:firstLineChars="0"/>
              <w:jc w:val="center"/>
              <w:rPr>
                <w:color w:val="auto"/>
                <w:sz w:val="21"/>
                <w:szCs w:val="21"/>
              </w:rPr>
            </w:pPr>
            <w:r>
              <w:rPr>
                <w:color w:val="auto"/>
                <w:sz w:val="21"/>
                <w:szCs w:val="21"/>
              </w:rPr>
              <w:t>废油桶</w:t>
            </w:r>
          </w:p>
        </w:tc>
        <w:tc>
          <w:tcPr>
            <w:tcW w:w="903" w:type="pct"/>
            <w:vMerge w:val="continue"/>
            <w:vAlign w:val="center"/>
          </w:tcPr>
          <w:p w14:paraId="2D55A435">
            <w:pPr>
              <w:spacing w:line="240" w:lineRule="auto"/>
              <w:ind w:firstLine="0" w:firstLineChars="0"/>
              <w:jc w:val="center"/>
              <w:rPr>
                <w:color w:val="auto"/>
                <w:sz w:val="21"/>
                <w:szCs w:val="21"/>
              </w:rPr>
            </w:pPr>
          </w:p>
        </w:tc>
        <w:tc>
          <w:tcPr>
            <w:tcW w:w="356" w:type="pct"/>
            <w:vMerge w:val="continue"/>
            <w:vAlign w:val="center"/>
          </w:tcPr>
          <w:p w14:paraId="49894BD6">
            <w:pPr>
              <w:spacing w:line="240" w:lineRule="auto"/>
              <w:ind w:firstLine="0" w:firstLineChars="0"/>
              <w:jc w:val="center"/>
              <w:rPr>
                <w:color w:val="auto"/>
                <w:kern w:val="44"/>
                <w:sz w:val="21"/>
                <w:szCs w:val="21"/>
              </w:rPr>
            </w:pPr>
          </w:p>
        </w:tc>
        <w:tc>
          <w:tcPr>
            <w:tcW w:w="236" w:type="pct"/>
            <w:vMerge w:val="continue"/>
            <w:vAlign w:val="center"/>
          </w:tcPr>
          <w:p w14:paraId="332F2EA1">
            <w:pPr>
              <w:spacing w:line="240" w:lineRule="auto"/>
              <w:ind w:firstLine="0" w:firstLineChars="0"/>
              <w:jc w:val="center"/>
              <w:rPr>
                <w:color w:val="auto"/>
                <w:kern w:val="44"/>
                <w:sz w:val="21"/>
                <w:szCs w:val="21"/>
              </w:rPr>
            </w:pPr>
          </w:p>
        </w:tc>
        <w:tc>
          <w:tcPr>
            <w:tcW w:w="1002" w:type="pct"/>
            <w:gridSpan w:val="3"/>
            <w:vMerge w:val="continue"/>
            <w:vAlign w:val="center"/>
          </w:tcPr>
          <w:p w14:paraId="341CA0D1">
            <w:pPr>
              <w:spacing w:line="240" w:lineRule="auto"/>
              <w:ind w:firstLine="0" w:firstLineChars="0"/>
              <w:jc w:val="center"/>
              <w:rPr>
                <w:color w:val="auto"/>
                <w:kern w:val="44"/>
                <w:sz w:val="21"/>
                <w:szCs w:val="21"/>
              </w:rPr>
            </w:pPr>
          </w:p>
        </w:tc>
        <w:tc>
          <w:tcPr>
            <w:tcW w:w="257" w:type="pct"/>
            <w:vMerge w:val="continue"/>
            <w:vAlign w:val="center"/>
          </w:tcPr>
          <w:p w14:paraId="495252F5">
            <w:pPr>
              <w:spacing w:line="240" w:lineRule="auto"/>
              <w:ind w:firstLine="0" w:firstLineChars="0"/>
              <w:jc w:val="center"/>
              <w:rPr>
                <w:color w:val="auto"/>
                <w:kern w:val="44"/>
                <w:sz w:val="21"/>
                <w:szCs w:val="21"/>
                <w:lang w:val="en-AU"/>
              </w:rPr>
            </w:pPr>
          </w:p>
        </w:tc>
        <w:tc>
          <w:tcPr>
            <w:tcW w:w="246" w:type="pct"/>
            <w:vMerge w:val="continue"/>
            <w:vAlign w:val="center"/>
          </w:tcPr>
          <w:p w14:paraId="76456375">
            <w:pPr>
              <w:spacing w:line="240" w:lineRule="auto"/>
              <w:ind w:firstLine="0" w:firstLineChars="0"/>
              <w:jc w:val="center"/>
              <w:rPr>
                <w:color w:val="auto"/>
                <w:kern w:val="44"/>
                <w:sz w:val="21"/>
                <w:szCs w:val="21"/>
              </w:rPr>
            </w:pPr>
          </w:p>
        </w:tc>
        <w:tc>
          <w:tcPr>
            <w:tcW w:w="742" w:type="pct"/>
            <w:vMerge w:val="continue"/>
            <w:vAlign w:val="center"/>
          </w:tcPr>
          <w:p w14:paraId="5F057344">
            <w:pPr>
              <w:spacing w:line="240" w:lineRule="auto"/>
              <w:ind w:firstLine="0" w:firstLineChars="0"/>
              <w:jc w:val="center"/>
              <w:rPr>
                <w:color w:val="auto"/>
                <w:kern w:val="44"/>
                <w:sz w:val="21"/>
                <w:szCs w:val="21"/>
              </w:rPr>
            </w:pPr>
          </w:p>
        </w:tc>
      </w:tr>
      <w:tr w14:paraId="5BD6F2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4FD3A902">
            <w:pPr>
              <w:spacing w:line="240" w:lineRule="auto"/>
              <w:ind w:firstLine="0" w:firstLineChars="0"/>
              <w:jc w:val="center"/>
              <w:rPr>
                <w:color w:val="auto"/>
                <w:kern w:val="44"/>
                <w:sz w:val="21"/>
                <w:szCs w:val="21"/>
              </w:rPr>
            </w:pPr>
          </w:p>
        </w:tc>
        <w:tc>
          <w:tcPr>
            <w:tcW w:w="194" w:type="pct"/>
            <w:vMerge w:val="continue"/>
            <w:vAlign w:val="center"/>
          </w:tcPr>
          <w:p w14:paraId="06078A5F">
            <w:pPr>
              <w:spacing w:line="240" w:lineRule="auto"/>
              <w:ind w:firstLine="0" w:firstLineChars="0"/>
              <w:jc w:val="center"/>
              <w:rPr>
                <w:color w:val="auto"/>
                <w:sz w:val="21"/>
                <w:szCs w:val="21"/>
              </w:rPr>
            </w:pPr>
          </w:p>
        </w:tc>
        <w:tc>
          <w:tcPr>
            <w:tcW w:w="812" w:type="pct"/>
            <w:gridSpan w:val="4"/>
            <w:vAlign w:val="center"/>
          </w:tcPr>
          <w:p w14:paraId="6A540D6A">
            <w:pPr>
              <w:spacing w:line="240" w:lineRule="auto"/>
              <w:ind w:firstLine="0" w:firstLineChars="0"/>
              <w:jc w:val="center"/>
              <w:rPr>
                <w:color w:val="auto"/>
                <w:sz w:val="21"/>
                <w:szCs w:val="21"/>
              </w:rPr>
            </w:pPr>
            <w:r>
              <w:rPr>
                <w:rFonts w:hint="eastAsia"/>
                <w:color w:val="auto"/>
                <w:sz w:val="21"/>
                <w:szCs w:val="21"/>
              </w:rPr>
              <w:t>废劳保用品</w:t>
            </w:r>
          </w:p>
        </w:tc>
        <w:tc>
          <w:tcPr>
            <w:tcW w:w="903" w:type="pct"/>
            <w:vMerge w:val="continue"/>
            <w:vAlign w:val="center"/>
          </w:tcPr>
          <w:p w14:paraId="35939079">
            <w:pPr>
              <w:spacing w:line="240" w:lineRule="auto"/>
              <w:ind w:firstLine="0" w:firstLineChars="0"/>
              <w:jc w:val="center"/>
              <w:rPr>
                <w:color w:val="auto"/>
                <w:sz w:val="21"/>
                <w:szCs w:val="21"/>
              </w:rPr>
            </w:pPr>
          </w:p>
        </w:tc>
        <w:tc>
          <w:tcPr>
            <w:tcW w:w="356" w:type="pct"/>
            <w:vMerge w:val="continue"/>
            <w:vAlign w:val="center"/>
          </w:tcPr>
          <w:p w14:paraId="791A3A2F">
            <w:pPr>
              <w:spacing w:line="240" w:lineRule="auto"/>
              <w:ind w:firstLine="0" w:firstLineChars="0"/>
              <w:jc w:val="center"/>
              <w:rPr>
                <w:color w:val="auto"/>
                <w:kern w:val="44"/>
                <w:sz w:val="21"/>
                <w:szCs w:val="21"/>
              </w:rPr>
            </w:pPr>
          </w:p>
        </w:tc>
        <w:tc>
          <w:tcPr>
            <w:tcW w:w="236" w:type="pct"/>
            <w:vMerge w:val="continue"/>
            <w:vAlign w:val="center"/>
          </w:tcPr>
          <w:p w14:paraId="7E37212B">
            <w:pPr>
              <w:spacing w:line="240" w:lineRule="auto"/>
              <w:ind w:firstLine="0" w:firstLineChars="0"/>
              <w:jc w:val="center"/>
              <w:rPr>
                <w:color w:val="auto"/>
                <w:kern w:val="44"/>
                <w:sz w:val="21"/>
                <w:szCs w:val="21"/>
              </w:rPr>
            </w:pPr>
          </w:p>
        </w:tc>
        <w:tc>
          <w:tcPr>
            <w:tcW w:w="1002" w:type="pct"/>
            <w:gridSpan w:val="3"/>
            <w:vMerge w:val="continue"/>
            <w:vAlign w:val="center"/>
          </w:tcPr>
          <w:p w14:paraId="240077D1">
            <w:pPr>
              <w:spacing w:line="240" w:lineRule="auto"/>
              <w:ind w:firstLine="0" w:firstLineChars="0"/>
              <w:jc w:val="center"/>
              <w:rPr>
                <w:color w:val="auto"/>
                <w:kern w:val="44"/>
                <w:sz w:val="21"/>
                <w:szCs w:val="21"/>
              </w:rPr>
            </w:pPr>
          </w:p>
        </w:tc>
        <w:tc>
          <w:tcPr>
            <w:tcW w:w="257" w:type="pct"/>
            <w:vMerge w:val="continue"/>
            <w:vAlign w:val="center"/>
          </w:tcPr>
          <w:p w14:paraId="410156E1">
            <w:pPr>
              <w:spacing w:line="240" w:lineRule="auto"/>
              <w:ind w:firstLine="0" w:firstLineChars="0"/>
              <w:jc w:val="center"/>
              <w:rPr>
                <w:color w:val="auto"/>
                <w:kern w:val="44"/>
                <w:sz w:val="21"/>
                <w:szCs w:val="21"/>
                <w:lang w:val="en-AU"/>
              </w:rPr>
            </w:pPr>
          </w:p>
        </w:tc>
        <w:tc>
          <w:tcPr>
            <w:tcW w:w="246" w:type="pct"/>
            <w:vMerge w:val="continue"/>
            <w:vAlign w:val="center"/>
          </w:tcPr>
          <w:p w14:paraId="6B6EDA4A">
            <w:pPr>
              <w:spacing w:line="240" w:lineRule="auto"/>
              <w:ind w:firstLine="0" w:firstLineChars="0"/>
              <w:jc w:val="center"/>
              <w:rPr>
                <w:color w:val="auto"/>
                <w:kern w:val="44"/>
                <w:sz w:val="21"/>
                <w:szCs w:val="21"/>
              </w:rPr>
            </w:pPr>
          </w:p>
        </w:tc>
        <w:tc>
          <w:tcPr>
            <w:tcW w:w="742" w:type="pct"/>
            <w:vMerge w:val="continue"/>
            <w:vAlign w:val="center"/>
          </w:tcPr>
          <w:p w14:paraId="16B93FF2">
            <w:pPr>
              <w:spacing w:line="240" w:lineRule="auto"/>
              <w:ind w:firstLine="0" w:firstLineChars="0"/>
              <w:jc w:val="center"/>
              <w:rPr>
                <w:color w:val="auto"/>
                <w:kern w:val="44"/>
                <w:sz w:val="21"/>
                <w:szCs w:val="21"/>
              </w:rPr>
            </w:pPr>
          </w:p>
        </w:tc>
      </w:tr>
      <w:tr w14:paraId="4A5057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6022965B">
            <w:pPr>
              <w:spacing w:line="240" w:lineRule="auto"/>
              <w:ind w:firstLine="0" w:firstLineChars="0"/>
              <w:jc w:val="center"/>
              <w:rPr>
                <w:color w:val="auto"/>
                <w:kern w:val="44"/>
                <w:sz w:val="21"/>
                <w:szCs w:val="21"/>
              </w:rPr>
            </w:pPr>
          </w:p>
        </w:tc>
        <w:tc>
          <w:tcPr>
            <w:tcW w:w="194" w:type="pct"/>
            <w:vMerge w:val="continue"/>
            <w:vAlign w:val="center"/>
          </w:tcPr>
          <w:p w14:paraId="29EF0A2F">
            <w:pPr>
              <w:spacing w:line="240" w:lineRule="auto"/>
              <w:ind w:firstLine="0" w:firstLineChars="0"/>
              <w:jc w:val="center"/>
              <w:rPr>
                <w:color w:val="auto"/>
                <w:sz w:val="21"/>
                <w:szCs w:val="21"/>
              </w:rPr>
            </w:pPr>
          </w:p>
        </w:tc>
        <w:tc>
          <w:tcPr>
            <w:tcW w:w="812" w:type="pct"/>
            <w:gridSpan w:val="4"/>
            <w:vAlign w:val="center"/>
          </w:tcPr>
          <w:p w14:paraId="526680D8">
            <w:pPr>
              <w:spacing w:line="240" w:lineRule="auto"/>
              <w:ind w:firstLine="0" w:firstLineChars="0"/>
              <w:jc w:val="center"/>
              <w:rPr>
                <w:color w:val="auto"/>
                <w:sz w:val="21"/>
                <w:szCs w:val="21"/>
              </w:rPr>
            </w:pPr>
            <w:r>
              <w:rPr>
                <w:rFonts w:hint="eastAsia"/>
                <w:color w:val="auto"/>
                <w:sz w:val="21"/>
                <w:szCs w:val="21"/>
              </w:rPr>
              <w:t>碱回收污泥</w:t>
            </w:r>
          </w:p>
        </w:tc>
        <w:tc>
          <w:tcPr>
            <w:tcW w:w="903" w:type="pct"/>
            <w:vAlign w:val="center"/>
          </w:tcPr>
          <w:p w14:paraId="4169BB28">
            <w:pPr>
              <w:spacing w:line="240" w:lineRule="auto"/>
              <w:ind w:firstLine="0" w:firstLineChars="0"/>
              <w:jc w:val="center"/>
              <w:rPr>
                <w:color w:val="auto"/>
                <w:sz w:val="21"/>
                <w:szCs w:val="21"/>
              </w:rPr>
            </w:pPr>
            <w:r>
              <w:rPr>
                <w:color w:val="auto"/>
                <w:sz w:val="21"/>
                <w:szCs w:val="21"/>
              </w:rPr>
              <w:t>妥善收集，暂存于</w:t>
            </w:r>
            <w:r>
              <w:rPr>
                <w:rFonts w:hint="eastAsia"/>
                <w:color w:val="auto"/>
                <w:sz w:val="21"/>
                <w:szCs w:val="21"/>
              </w:rPr>
              <w:t>污泥堆场</w:t>
            </w:r>
            <w:r>
              <w:rPr>
                <w:color w:val="auto"/>
                <w:sz w:val="21"/>
                <w:szCs w:val="21"/>
              </w:rPr>
              <w:t>（面积</w:t>
            </w:r>
            <w:r>
              <w:rPr>
                <w:rFonts w:hint="eastAsia"/>
                <w:color w:val="auto"/>
                <w:sz w:val="21"/>
                <w:szCs w:val="21"/>
              </w:rPr>
              <w:t>135</w:t>
            </w:r>
            <w:r>
              <w:rPr>
                <w:color w:val="auto"/>
                <w:sz w:val="21"/>
                <w:szCs w:val="21"/>
              </w:rPr>
              <w:t>m</w:t>
            </w:r>
            <w:r>
              <w:rPr>
                <w:color w:val="auto"/>
                <w:sz w:val="21"/>
                <w:szCs w:val="21"/>
                <w:vertAlign w:val="superscript"/>
              </w:rPr>
              <w:t>2</w:t>
            </w:r>
            <w:r>
              <w:rPr>
                <w:color w:val="auto"/>
                <w:sz w:val="21"/>
                <w:szCs w:val="21"/>
              </w:rPr>
              <w:t>）</w:t>
            </w:r>
          </w:p>
        </w:tc>
        <w:tc>
          <w:tcPr>
            <w:tcW w:w="356" w:type="pct"/>
            <w:vAlign w:val="center"/>
          </w:tcPr>
          <w:p w14:paraId="103DBB76">
            <w:pPr>
              <w:spacing w:line="240" w:lineRule="auto"/>
              <w:ind w:firstLine="0" w:firstLineChars="0"/>
              <w:jc w:val="center"/>
              <w:rPr>
                <w:color w:val="auto"/>
                <w:kern w:val="44"/>
                <w:sz w:val="21"/>
                <w:szCs w:val="21"/>
              </w:rPr>
            </w:pPr>
          </w:p>
        </w:tc>
        <w:tc>
          <w:tcPr>
            <w:tcW w:w="236" w:type="pct"/>
            <w:vAlign w:val="center"/>
          </w:tcPr>
          <w:p w14:paraId="2B4D4DBF">
            <w:pPr>
              <w:spacing w:line="240" w:lineRule="auto"/>
              <w:ind w:firstLine="0" w:firstLineChars="0"/>
              <w:jc w:val="center"/>
              <w:rPr>
                <w:color w:val="auto"/>
                <w:kern w:val="44"/>
                <w:sz w:val="21"/>
                <w:szCs w:val="21"/>
              </w:rPr>
            </w:pPr>
          </w:p>
        </w:tc>
        <w:tc>
          <w:tcPr>
            <w:tcW w:w="1002" w:type="pct"/>
            <w:gridSpan w:val="3"/>
            <w:vMerge w:val="continue"/>
            <w:vAlign w:val="center"/>
          </w:tcPr>
          <w:p w14:paraId="4FAC74D9">
            <w:pPr>
              <w:spacing w:line="240" w:lineRule="auto"/>
              <w:ind w:firstLine="0" w:firstLineChars="0"/>
              <w:jc w:val="center"/>
              <w:rPr>
                <w:color w:val="auto"/>
                <w:kern w:val="44"/>
                <w:sz w:val="21"/>
                <w:szCs w:val="21"/>
              </w:rPr>
            </w:pPr>
          </w:p>
        </w:tc>
        <w:tc>
          <w:tcPr>
            <w:tcW w:w="257" w:type="pct"/>
            <w:vAlign w:val="center"/>
          </w:tcPr>
          <w:p w14:paraId="260B8838">
            <w:pPr>
              <w:spacing w:line="240" w:lineRule="auto"/>
              <w:ind w:firstLine="0" w:firstLineChars="0"/>
              <w:jc w:val="center"/>
              <w:rPr>
                <w:color w:val="auto"/>
                <w:kern w:val="44"/>
                <w:sz w:val="21"/>
                <w:szCs w:val="21"/>
                <w:lang w:val="en-AU"/>
              </w:rPr>
            </w:pPr>
          </w:p>
        </w:tc>
        <w:tc>
          <w:tcPr>
            <w:tcW w:w="246" w:type="pct"/>
            <w:vAlign w:val="center"/>
          </w:tcPr>
          <w:p w14:paraId="23758897">
            <w:pPr>
              <w:spacing w:line="240" w:lineRule="auto"/>
              <w:ind w:firstLine="0" w:firstLineChars="0"/>
              <w:jc w:val="center"/>
              <w:rPr>
                <w:color w:val="auto"/>
                <w:kern w:val="44"/>
                <w:sz w:val="21"/>
                <w:szCs w:val="21"/>
              </w:rPr>
            </w:pPr>
          </w:p>
        </w:tc>
        <w:tc>
          <w:tcPr>
            <w:tcW w:w="742" w:type="pct"/>
            <w:vMerge w:val="continue"/>
            <w:vAlign w:val="center"/>
          </w:tcPr>
          <w:p w14:paraId="6F05BDD4">
            <w:pPr>
              <w:spacing w:line="240" w:lineRule="auto"/>
              <w:ind w:firstLine="0" w:firstLineChars="0"/>
              <w:jc w:val="center"/>
              <w:rPr>
                <w:color w:val="auto"/>
                <w:kern w:val="44"/>
                <w:sz w:val="21"/>
                <w:szCs w:val="21"/>
              </w:rPr>
            </w:pPr>
          </w:p>
        </w:tc>
      </w:tr>
      <w:tr w14:paraId="0461E8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248" w:type="pct"/>
            <w:vMerge w:val="continue"/>
            <w:vAlign w:val="center"/>
          </w:tcPr>
          <w:p w14:paraId="074B7294">
            <w:pPr>
              <w:spacing w:line="240" w:lineRule="auto"/>
              <w:ind w:firstLine="0" w:firstLineChars="0"/>
              <w:jc w:val="center"/>
              <w:rPr>
                <w:color w:val="auto"/>
                <w:kern w:val="44"/>
                <w:sz w:val="21"/>
                <w:szCs w:val="21"/>
              </w:rPr>
            </w:pPr>
          </w:p>
        </w:tc>
        <w:tc>
          <w:tcPr>
            <w:tcW w:w="194" w:type="pct"/>
            <w:vAlign w:val="center"/>
          </w:tcPr>
          <w:p w14:paraId="7477550E">
            <w:pPr>
              <w:spacing w:line="240" w:lineRule="auto"/>
              <w:ind w:firstLine="0" w:firstLineChars="0"/>
              <w:jc w:val="center"/>
              <w:rPr>
                <w:color w:val="auto"/>
                <w:sz w:val="21"/>
                <w:szCs w:val="21"/>
              </w:rPr>
            </w:pPr>
            <w:r>
              <w:rPr>
                <w:color w:val="auto"/>
                <w:sz w:val="21"/>
                <w:szCs w:val="21"/>
              </w:rPr>
              <w:t>生活垃圾</w:t>
            </w:r>
          </w:p>
        </w:tc>
        <w:tc>
          <w:tcPr>
            <w:tcW w:w="812" w:type="pct"/>
            <w:gridSpan w:val="4"/>
            <w:vAlign w:val="center"/>
          </w:tcPr>
          <w:p w14:paraId="2106EA41">
            <w:pPr>
              <w:spacing w:line="240" w:lineRule="auto"/>
              <w:ind w:firstLine="0" w:firstLineChars="0"/>
              <w:jc w:val="center"/>
              <w:rPr>
                <w:color w:val="auto"/>
                <w:sz w:val="21"/>
                <w:szCs w:val="21"/>
              </w:rPr>
            </w:pPr>
            <w:r>
              <w:rPr>
                <w:color w:val="auto"/>
                <w:sz w:val="21"/>
                <w:szCs w:val="21"/>
              </w:rPr>
              <w:t>生活垃圾</w:t>
            </w:r>
          </w:p>
        </w:tc>
        <w:tc>
          <w:tcPr>
            <w:tcW w:w="903" w:type="pct"/>
            <w:vAlign w:val="center"/>
          </w:tcPr>
          <w:p w14:paraId="2155964F">
            <w:pPr>
              <w:spacing w:line="240" w:lineRule="auto"/>
              <w:ind w:firstLine="0" w:firstLineChars="0"/>
              <w:jc w:val="center"/>
              <w:rPr>
                <w:color w:val="auto"/>
                <w:sz w:val="21"/>
                <w:szCs w:val="21"/>
              </w:rPr>
            </w:pPr>
            <w:r>
              <w:rPr>
                <w:color w:val="auto"/>
                <w:sz w:val="21"/>
                <w:szCs w:val="21"/>
              </w:rPr>
              <w:t>交由环卫部门清运</w:t>
            </w:r>
          </w:p>
        </w:tc>
        <w:tc>
          <w:tcPr>
            <w:tcW w:w="356" w:type="pct"/>
            <w:vAlign w:val="center"/>
          </w:tcPr>
          <w:p w14:paraId="6B740E3E">
            <w:pPr>
              <w:spacing w:line="240" w:lineRule="auto"/>
              <w:ind w:firstLine="0" w:firstLineChars="0"/>
              <w:jc w:val="center"/>
              <w:rPr>
                <w:color w:val="auto"/>
                <w:kern w:val="44"/>
                <w:sz w:val="21"/>
                <w:szCs w:val="21"/>
              </w:rPr>
            </w:pPr>
            <w:r>
              <w:rPr>
                <w:color w:val="auto"/>
                <w:kern w:val="44"/>
                <w:sz w:val="21"/>
                <w:szCs w:val="21"/>
              </w:rPr>
              <w:t>/</w:t>
            </w:r>
          </w:p>
        </w:tc>
        <w:tc>
          <w:tcPr>
            <w:tcW w:w="236" w:type="pct"/>
            <w:vAlign w:val="center"/>
          </w:tcPr>
          <w:p w14:paraId="5E534D8B">
            <w:pPr>
              <w:spacing w:line="240" w:lineRule="auto"/>
              <w:ind w:firstLine="0" w:firstLineChars="0"/>
              <w:jc w:val="center"/>
              <w:rPr>
                <w:color w:val="auto"/>
                <w:kern w:val="44"/>
                <w:sz w:val="21"/>
                <w:szCs w:val="21"/>
              </w:rPr>
            </w:pPr>
            <w:r>
              <w:rPr>
                <w:color w:val="auto"/>
                <w:kern w:val="44"/>
                <w:sz w:val="21"/>
                <w:szCs w:val="21"/>
              </w:rPr>
              <w:t>/</w:t>
            </w:r>
          </w:p>
        </w:tc>
        <w:tc>
          <w:tcPr>
            <w:tcW w:w="1002" w:type="pct"/>
            <w:gridSpan w:val="3"/>
            <w:vMerge w:val="continue"/>
            <w:vAlign w:val="center"/>
          </w:tcPr>
          <w:p w14:paraId="3CD2B26D">
            <w:pPr>
              <w:spacing w:line="240" w:lineRule="auto"/>
              <w:ind w:firstLine="0" w:firstLineChars="0"/>
              <w:jc w:val="center"/>
              <w:rPr>
                <w:color w:val="auto"/>
                <w:kern w:val="44"/>
                <w:sz w:val="21"/>
                <w:szCs w:val="21"/>
              </w:rPr>
            </w:pPr>
          </w:p>
        </w:tc>
        <w:tc>
          <w:tcPr>
            <w:tcW w:w="257" w:type="pct"/>
            <w:vAlign w:val="center"/>
          </w:tcPr>
          <w:p w14:paraId="7A13CCC5">
            <w:pPr>
              <w:spacing w:line="240" w:lineRule="auto"/>
              <w:ind w:firstLine="0" w:firstLineChars="0"/>
              <w:jc w:val="center"/>
              <w:rPr>
                <w:color w:val="auto"/>
                <w:kern w:val="44"/>
                <w:sz w:val="21"/>
                <w:szCs w:val="21"/>
                <w:lang w:val="en-AU"/>
              </w:rPr>
            </w:pPr>
            <w:r>
              <w:rPr>
                <w:color w:val="auto"/>
                <w:kern w:val="44"/>
                <w:sz w:val="21"/>
                <w:szCs w:val="21"/>
                <w:lang w:val="en-AU"/>
              </w:rPr>
              <w:t>/</w:t>
            </w:r>
          </w:p>
        </w:tc>
        <w:tc>
          <w:tcPr>
            <w:tcW w:w="246" w:type="pct"/>
            <w:vAlign w:val="center"/>
          </w:tcPr>
          <w:p w14:paraId="64A3A537">
            <w:pPr>
              <w:spacing w:line="240" w:lineRule="auto"/>
              <w:ind w:firstLine="0" w:firstLineChars="0"/>
              <w:jc w:val="center"/>
              <w:rPr>
                <w:color w:val="auto"/>
                <w:kern w:val="44"/>
                <w:sz w:val="21"/>
                <w:szCs w:val="21"/>
              </w:rPr>
            </w:pPr>
            <w:r>
              <w:rPr>
                <w:color w:val="auto"/>
                <w:kern w:val="44"/>
                <w:sz w:val="21"/>
                <w:szCs w:val="21"/>
              </w:rPr>
              <w:t>/</w:t>
            </w:r>
          </w:p>
        </w:tc>
        <w:tc>
          <w:tcPr>
            <w:tcW w:w="742" w:type="pct"/>
            <w:vMerge w:val="continue"/>
            <w:vAlign w:val="center"/>
          </w:tcPr>
          <w:p w14:paraId="75060E5C">
            <w:pPr>
              <w:spacing w:line="240" w:lineRule="auto"/>
              <w:ind w:firstLine="0" w:firstLineChars="0"/>
              <w:jc w:val="center"/>
              <w:rPr>
                <w:color w:val="auto"/>
                <w:kern w:val="44"/>
                <w:sz w:val="21"/>
                <w:szCs w:val="21"/>
              </w:rPr>
            </w:pPr>
          </w:p>
        </w:tc>
      </w:tr>
    </w:tbl>
    <w:p w14:paraId="3B1D1FAB">
      <w:pPr>
        <w:keepNext/>
        <w:keepLines/>
        <w:tabs>
          <w:tab w:val="left" w:pos="2340"/>
        </w:tabs>
        <w:spacing w:before="120" w:beforeLines="50"/>
        <w:ind w:firstLine="0" w:firstLineChars="0"/>
        <w:rPr>
          <w:b/>
          <w:bCs/>
          <w:color w:val="auto"/>
          <w:sz w:val="28"/>
          <w:szCs w:val="32"/>
        </w:rPr>
      </w:pPr>
    </w:p>
    <w:p w14:paraId="3465E68D">
      <w:pPr>
        <w:ind w:firstLine="480"/>
        <w:rPr>
          <w:color w:val="auto"/>
        </w:rPr>
        <w:sectPr>
          <w:pgSz w:w="16838" w:h="11906" w:orient="landscape"/>
          <w:pgMar w:top="1451" w:right="1418" w:bottom="1451" w:left="1418" w:header="851" w:footer="992" w:gutter="0"/>
          <w:paperSrc w:first="7" w:other="7"/>
          <w:cols w:space="0" w:num="1"/>
          <w:docGrid w:linePitch="312" w:charSpace="0"/>
        </w:sectPr>
      </w:pPr>
    </w:p>
    <w:p w14:paraId="358C4173">
      <w:pPr>
        <w:keepNext/>
        <w:keepLines/>
        <w:tabs>
          <w:tab w:val="left" w:pos="2340"/>
        </w:tabs>
        <w:spacing w:before="120" w:beforeLines="50"/>
        <w:ind w:firstLine="0" w:firstLineChars="0"/>
        <w:outlineLvl w:val="2"/>
        <w:rPr>
          <w:b/>
          <w:bCs/>
          <w:color w:val="auto"/>
          <w:sz w:val="28"/>
          <w:szCs w:val="32"/>
        </w:rPr>
      </w:pPr>
      <w:r>
        <w:rPr>
          <w:rFonts w:hint="eastAsia"/>
          <w:b/>
          <w:bCs/>
          <w:color w:val="auto"/>
          <w:sz w:val="28"/>
          <w:szCs w:val="32"/>
        </w:rPr>
        <w:t>9.3.1</w:t>
      </w:r>
      <w:r>
        <w:rPr>
          <w:b/>
          <w:bCs/>
          <w:color w:val="auto"/>
          <w:sz w:val="28"/>
          <w:szCs w:val="32"/>
        </w:rPr>
        <w:t xml:space="preserve"> </w:t>
      </w:r>
      <w:r>
        <w:rPr>
          <w:rFonts w:hint="eastAsia"/>
          <w:b/>
          <w:bCs/>
          <w:color w:val="auto"/>
          <w:sz w:val="28"/>
          <w:szCs w:val="32"/>
        </w:rPr>
        <w:t>污染物总量控制</w:t>
      </w:r>
    </w:p>
    <w:p w14:paraId="60B7AE7E">
      <w:pPr>
        <w:widowControl/>
        <w:ind w:firstLine="482"/>
        <w:rPr>
          <w:b/>
          <w:bCs/>
          <w:snapToGrid w:val="0"/>
          <w:color w:val="auto"/>
        </w:rPr>
      </w:pPr>
      <w:r>
        <w:rPr>
          <w:b/>
          <w:bCs/>
          <w:snapToGrid w:val="0"/>
          <w:color w:val="auto"/>
          <w:kern w:val="0"/>
        </w:rPr>
        <w:t>1、总量控制因子</w:t>
      </w:r>
    </w:p>
    <w:p w14:paraId="01AE1030">
      <w:pPr>
        <w:widowControl/>
        <w:ind w:firstLine="480"/>
        <w:rPr>
          <w:snapToGrid w:val="0"/>
          <w:color w:val="auto"/>
        </w:rPr>
      </w:pPr>
      <w:r>
        <w:rPr>
          <w:snapToGrid w:val="0"/>
          <w:color w:val="auto"/>
          <w:kern w:val="0"/>
        </w:rPr>
        <w:t>本项目总量控制因子为：</w:t>
      </w:r>
    </w:p>
    <w:p w14:paraId="0DAFB0F2">
      <w:pPr>
        <w:widowControl/>
        <w:ind w:firstLine="480"/>
        <w:rPr>
          <w:snapToGrid w:val="0"/>
          <w:color w:val="auto"/>
        </w:rPr>
      </w:pPr>
      <w:r>
        <w:rPr>
          <w:snapToGrid w:val="0"/>
          <w:color w:val="auto"/>
          <w:kern w:val="0"/>
        </w:rPr>
        <w:t>（1）大气污染物排放总量控制因子</w:t>
      </w:r>
    </w:p>
    <w:p w14:paraId="2823ED8A">
      <w:pPr>
        <w:widowControl/>
        <w:ind w:firstLine="480"/>
        <w:rPr>
          <w:snapToGrid w:val="0"/>
          <w:color w:val="auto"/>
        </w:rPr>
      </w:pPr>
      <w:r>
        <w:rPr>
          <w:snapToGrid w:val="0"/>
          <w:color w:val="auto"/>
          <w:kern w:val="0"/>
        </w:rPr>
        <w:t>总量控制因子：SO</w:t>
      </w:r>
      <w:r>
        <w:rPr>
          <w:snapToGrid w:val="0"/>
          <w:color w:val="auto"/>
          <w:kern w:val="0"/>
          <w:vertAlign w:val="subscript"/>
        </w:rPr>
        <w:t>2</w:t>
      </w:r>
      <w:r>
        <w:rPr>
          <w:snapToGrid w:val="0"/>
          <w:color w:val="auto"/>
          <w:kern w:val="0"/>
        </w:rPr>
        <w:t>、NO</w:t>
      </w:r>
      <w:r>
        <w:rPr>
          <w:snapToGrid w:val="0"/>
          <w:color w:val="auto"/>
          <w:kern w:val="0"/>
          <w:vertAlign w:val="subscript"/>
        </w:rPr>
        <w:t>X</w:t>
      </w:r>
      <w:r>
        <w:rPr>
          <w:snapToGrid w:val="0"/>
          <w:color w:val="auto"/>
          <w:kern w:val="0"/>
        </w:rPr>
        <w:t>、颗粒物。</w:t>
      </w:r>
    </w:p>
    <w:p w14:paraId="055C8567">
      <w:pPr>
        <w:widowControl/>
        <w:ind w:firstLine="480"/>
        <w:rPr>
          <w:snapToGrid w:val="0"/>
          <w:color w:val="auto"/>
        </w:rPr>
      </w:pPr>
      <w:r>
        <w:rPr>
          <w:snapToGrid w:val="0"/>
          <w:color w:val="auto"/>
          <w:kern w:val="0"/>
        </w:rPr>
        <w:t>总量考核因子：硫酸雾、氨</w:t>
      </w:r>
      <w:r>
        <w:rPr>
          <w:rFonts w:hint="eastAsia"/>
          <w:snapToGrid w:val="0"/>
          <w:color w:val="auto"/>
          <w:kern w:val="0"/>
        </w:rPr>
        <w:t>、碱雾</w:t>
      </w:r>
      <w:r>
        <w:rPr>
          <w:snapToGrid w:val="0"/>
          <w:color w:val="auto"/>
          <w:kern w:val="0"/>
        </w:rPr>
        <w:t>。</w:t>
      </w:r>
    </w:p>
    <w:p w14:paraId="497671B8">
      <w:pPr>
        <w:widowControl/>
        <w:ind w:firstLine="480"/>
        <w:rPr>
          <w:snapToGrid w:val="0"/>
          <w:color w:val="auto"/>
        </w:rPr>
      </w:pPr>
      <w:r>
        <w:rPr>
          <w:snapToGrid w:val="0"/>
          <w:color w:val="auto"/>
          <w:kern w:val="0"/>
        </w:rPr>
        <w:t>（2）废水排放总量控制因子</w:t>
      </w:r>
    </w:p>
    <w:p w14:paraId="5FF58D9D">
      <w:pPr>
        <w:widowControl/>
        <w:ind w:firstLine="480"/>
        <w:rPr>
          <w:snapToGrid w:val="0"/>
          <w:color w:val="auto"/>
        </w:rPr>
      </w:pPr>
      <w:r>
        <w:rPr>
          <w:snapToGrid w:val="0"/>
          <w:color w:val="auto"/>
          <w:kern w:val="0"/>
        </w:rPr>
        <w:t>总量控制因子：COD、氨氮、总磷、总氮；</w:t>
      </w:r>
    </w:p>
    <w:p w14:paraId="6A469DD8">
      <w:pPr>
        <w:widowControl/>
        <w:ind w:firstLine="480"/>
        <w:rPr>
          <w:snapToGrid w:val="0"/>
          <w:color w:val="auto"/>
        </w:rPr>
      </w:pPr>
      <w:r>
        <w:rPr>
          <w:snapToGrid w:val="0"/>
          <w:color w:val="auto"/>
          <w:kern w:val="0"/>
        </w:rPr>
        <w:t>总量考核因子：废水量、SS、总铝、石油类</w:t>
      </w:r>
      <w:r>
        <w:rPr>
          <w:rFonts w:hint="eastAsia"/>
          <w:snapToGrid w:val="0"/>
          <w:color w:val="auto"/>
          <w:kern w:val="0"/>
        </w:rPr>
        <w:t>、LAS、锡和盐分</w:t>
      </w:r>
      <w:r>
        <w:rPr>
          <w:snapToGrid w:val="0"/>
          <w:color w:val="auto"/>
          <w:kern w:val="0"/>
        </w:rPr>
        <w:t>。</w:t>
      </w:r>
    </w:p>
    <w:p w14:paraId="32225132">
      <w:pPr>
        <w:widowControl/>
        <w:ind w:firstLine="480"/>
        <w:rPr>
          <w:snapToGrid w:val="0"/>
          <w:color w:val="auto"/>
        </w:rPr>
      </w:pPr>
      <w:r>
        <w:rPr>
          <w:snapToGrid w:val="0"/>
          <w:color w:val="auto"/>
          <w:kern w:val="0"/>
        </w:rPr>
        <w:t>（3）固废产生及处置情况。</w:t>
      </w:r>
    </w:p>
    <w:p w14:paraId="6991A9F4">
      <w:pPr>
        <w:widowControl/>
        <w:ind w:firstLine="480"/>
        <w:rPr>
          <w:snapToGrid w:val="0"/>
          <w:color w:val="auto"/>
        </w:rPr>
      </w:pPr>
      <w:r>
        <w:rPr>
          <w:snapToGrid w:val="0"/>
          <w:color w:val="auto"/>
          <w:kern w:val="0"/>
        </w:rPr>
        <w:t>本项目产生的固体废弃物均得到妥善处理和处置，实现固废全部安全处置。</w:t>
      </w:r>
    </w:p>
    <w:p w14:paraId="1431D7BA">
      <w:pPr>
        <w:widowControl/>
        <w:ind w:firstLine="482"/>
        <w:rPr>
          <w:b/>
          <w:bCs/>
          <w:snapToGrid w:val="0"/>
          <w:color w:val="auto"/>
        </w:rPr>
      </w:pPr>
      <w:r>
        <w:rPr>
          <w:b/>
          <w:bCs/>
          <w:snapToGrid w:val="0"/>
          <w:color w:val="auto"/>
          <w:kern w:val="0"/>
        </w:rPr>
        <w:t>2、污染物排放总量</w:t>
      </w:r>
    </w:p>
    <w:p w14:paraId="572DA521">
      <w:pPr>
        <w:widowControl/>
        <w:ind w:firstLine="480"/>
        <w:rPr>
          <w:snapToGrid w:val="0"/>
          <w:color w:val="auto"/>
          <w:kern w:val="0"/>
        </w:rPr>
      </w:pPr>
      <w:r>
        <w:rPr>
          <w:snapToGrid w:val="0"/>
          <w:color w:val="auto"/>
          <w:kern w:val="0"/>
        </w:rPr>
        <w:t>本项目全厂污染物排放总量见表</w:t>
      </w:r>
      <w:r>
        <w:rPr>
          <w:rFonts w:hint="eastAsia"/>
          <w:snapToGrid w:val="0"/>
          <w:color w:val="auto"/>
          <w:kern w:val="0"/>
        </w:rPr>
        <w:t>9.3</w:t>
      </w:r>
      <w:r>
        <w:rPr>
          <w:snapToGrid w:val="0"/>
          <w:color w:val="auto"/>
          <w:kern w:val="0"/>
        </w:rPr>
        <w:t>-</w:t>
      </w:r>
      <w:r>
        <w:rPr>
          <w:rFonts w:hint="eastAsia"/>
          <w:snapToGrid w:val="0"/>
          <w:color w:val="auto"/>
          <w:kern w:val="0"/>
        </w:rPr>
        <w:t>2</w:t>
      </w:r>
      <w:r>
        <w:rPr>
          <w:snapToGrid w:val="0"/>
          <w:color w:val="auto"/>
          <w:kern w:val="0"/>
        </w:rPr>
        <w:t>。</w:t>
      </w:r>
    </w:p>
    <w:p w14:paraId="0D24C36D">
      <w:pPr>
        <w:spacing w:line="240" w:lineRule="auto"/>
        <w:ind w:firstLine="482"/>
        <w:jc w:val="center"/>
        <w:rPr>
          <w:b/>
          <w:color w:val="auto"/>
        </w:rPr>
      </w:pPr>
      <w:r>
        <w:rPr>
          <w:b/>
          <w:color w:val="auto"/>
        </w:rPr>
        <w:t>表</w:t>
      </w:r>
      <w:r>
        <w:rPr>
          <w:rFonts w:hint="eastAsia"/>
          <w:b/>
          <w:color w:val="auto"/>
        </w:rPr>
        <w:t>9.3-2</w:t>
      </w:r>
      <w:r>
        <w:rPr>
          <w:b/>
          <w:color w:val="auto"/>
        </w:rPr>
        <w:t xml:space="preserve">  本项目污染物排放</w:t>
      </w:r>
      <w:r>
        <w:rPr>
          <w:rFonts w:hint="eastAsia"/>
          <w:b/>
          <w:color w:val="auto"/>
        </w:rPr>
        <w:t>总</w:t>
      </w:r>
      <w:r>
        <w:rPr>
          <w:b/>
          <w:color w:val="auto"/>
        </w:rPr>
        <w:t>量   单位：t/a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4"/>
        <w:gridCol w:w="565"/>
        <w:gridCol w:w="1581"/>
        <w:gridCol w:w="1395"/>
        <w:gridCol w:w="1677"/>
        <w:gridCol w:w="1373"/>
        <w:gridCol w:w="1373"/>
      </w:tblGrid>
      <w:tr w14:paraId="0FE133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4D99706D">
            <w:pPr>
              <w:widowControl/>
              <w:spacing w:line="240" w:lineRule="auto"/>
              <w:ind w:firstLine="0" w:firstLineChars="0"/>
              <w:jc w:val="center"/>
              <w:rPr>
                <w:b/>
                <w:bCs/>
                <w:color w:val="auto"/>
                <w:kern w:val="0"/>
                <w:sz w:val="21"/>
                <w:szCs w:val="21"/>
              </w:rPr>
            </w:pPr>
            <w:r>
              <w:rPr>
                <w:b/>
                <w:bCs/>
                <w:color w:val="auto"/>
                <w:kern w:val="0"/>
                <w:sz w:val="21"/>
                <w:szCs w:val="21"/>
              </w:rPr>
              <w:t>污染物种类</w:t>
            </w:r>
          </w:p>
        </w:tc>
        <w:tc>
          <w:tcPr>
            <w:tcW w:w="1163" w:type="pct"/>
            <w:gridSpan w:val="2"/>
            <w:shd w:val="clear" w:color="auto" w:fill="auto"/>
            <w:vAlign w:val="center"/>
          </w:tcPr>
          <w:p w14:paraId="3F5DCCF8">
            <w:pPr>
              <w:widowControl/>
              <w:spacing w:line="240" w:lineRule="auto"/>
              <w:ind w:firstLine="0" w:firstLineChars="0"/>
              <w:jc w:val="center"/>
              <w:rPr>
                <w:b/>
                <w:bCs/>
                <w:color w:val="auto"/>
                <w:kern w:val="0"/>
                <w:sz w:val="21"/>
                <w:szCs w:val="21"/>
              </w:rPr>
            </w:pPr>
            <w:r>
              <w:rPr>
                <w:b/>
                <w:bCs/>
                <w:color w:val="auto"/>
                <w:kern w:val="0"/>
                <w:sz w:val="21"/>
                <w:szCs w:val="21"/>
              </w:rPr>
              <w:t>污染物名称</w:t>
            </w:r>
          </w:p>
        </w:tc>
        <w:tc>
          <w:tcPr>
            <w:tcW w:w="756" w:type="pct"/>
            <w:shd w:val="clear" w:color="auto" w:fill="auto"/>
            <w:vAlign w:val="center"/>
          </w:tcPr>
          <w:p w14:paraId="48763E2F">
            <w:pPr>
              <w:widowControl/>
              <w:spacing w:line="240" w:lineRule="auto"/>
              <w:ind w:firstLine="0" w:firstLineChars="0"/>
              <w:jc w:val="center"/>
              <w:rPr>
                <w:b/>
                <w:bCs/>
                <w:color w:val="auto"/>
                <w:kern w:val="0"/>
                <w:sz w:val="21"/>
                <w:szCs w:val="21"/>
              </w:rPr>
            </w:pPr>
            <w:r>
              <w:rPr>
                <w:b/>
                <w:bCs/>
                <w:color w:val="auto"/>
                <w:kern w:val="0"/>
                <w:sz w:val="21"/>
                <w:szCs w:val="21"/>
              </w:rPr>
              <w:t>产生量</w:t>
            </w:r>
          </w:p>
        </w:tc>
        <w:tc>
          <w:tcPr>
            <w:tcW w:w="909" w:type="pct"/>
            <w:shd w:val="clear" w:color="auto" w:fill="auto"/>
            <w:vAlign w:val="center"/>
          </w:tcPr>
          <w:p w14:paraId="2313C8F8">
            <w:pPr>
              <w:widowControl/>
              <w:spacing w:line="240" w:lineRule="auto"/>
              <w:ind w:firstLine="0" w:firstLineChars="0"/>
              <w:jc w:val="center"/>
              <w:rPr>
                <w:b/>
                <w:bCs/>
                <w:color w:val="auto"/>
                <w:kern w:val="0"/>
                <w:sz w:val="21"/>
                <w:szCs w:val="21"/>
              </w:rPr>
            </w:pPr>
            <w:r>
              <w:rPr>
                <w:b/>
                <w:bCs/>
                <w:color w:val="auto"/>
                <w:kern w:val="0"/>
                <w:sz w:val="21"/>
                <w:szCs w:val="21"/>
              </w:rPr>
              <w:t>削减量</w:t>
            </w:r>
          </w:p>
        </w:tc>
        <w:tc>
          <w:tcPr>
            <w:tcW w:w="744" w:type="pct"/>
            <w:shd w:val="clear" w:color="auto" w:fill="auto"/>
            <w:vAlign w:val="center"/>
          </w:tcPr>
          <w:p w14:paraId="7AC5757D">
            <w:pPr>
              <w:widowControl/>
              <w:spacing w:line="240" w:lineRule="auto"/>
              <w:ind w:firstLine="0" w:firstLineChars="0"/>
              <w:jc w:val="center"/>
              <w:rPr>
                <w:b/>
                <w:bCs/>
                <w:color w:val="auto"/>
                <w:kern w:val="0"/>
                <w:sz w:val="21"/>
                <w:szCs w:val="21"/>
              </w:rPr>
            </w:pPr>
            <w:r>
              <w:rPr>
                <w:b/>
                <w:bCs/>
                <w:color w:val="auto"/>
                <w:kern w:val="0"/>
                <w:sz w:val="21"/>
                <w:szCs w:val="21"/>
              </w:rPr>
              <w:t>接管量</w:t>
            </w:r>
          </w:p>
        </w:tc>
        <w:tc>
          <w:tcPr>
            <w:tcW w:w="744" w:type="pct"/>
            <w:shd w:val="clear" w:color="auto" w:fill="auto"/>
            <w:vAlign w:val="center"/>
          </w:tcPr>
          <w:p w14:paraId="7F634554">
            <w:pPr>
              <w:widowControl/>
              <w:spacing w:line="240" w:lineRule="auto"/>
              <w:ind w:firstLine="0" w:firstLineChars="0"/>
              <w:jc w:val="center"/>
              <w:rPr>
                <w:b/>
                <w:bCs/>
                <w:color w:val="auto"/>
                <w:kern w:val="0"/>
                <w:sz w:val="21"/>
                <w:szCs w:val="21"/>
              </w:rPr>
            </w:pPr>
            <w:r>
              <w:rPr>
                <w:b/>
                <w:bCs/>
                <w:color w:val="auto"/>
                <w:kern w:val="0"/>
                <w:sz w:val="21"/>
                <w:szCs w:val="21"/>
              </w:rPr>
              <w:t>排入环境量</w:t>
            </w:r>
          </w:p>
        </w:tc>
      </w:tr>
      <w:tr w14:paraId="37B0FB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restart"/>
            <w:shd w:val="clear" w:color="auto" w:fill="auto"/>
            <w:vAlign w:val="center"/>
          </w:tcPr>
          <w:p w14:paraId="1C0F57C2">
            <w:pPr>
              <w:widowControl/>
              <w:spacing w:line="240" w:lineRule="auto"/>
              <w:ind w:firstLine="0" w:firstLineChars="0"/>
              <w:jc w:val="center"/>
              <w:rPr>
                <w:color w:val="auto"/>
                <w:kern w:val="0"/>
                <w:sz w:val="21"/>
                <w:szCs w:val="21"/>
              </w:rPr>
            </w:pPr>
            <w:r>
              <w:rPr>
                <w:color w:val="auto"/>
                <w:kern w:val="0"/>
                <w:sz w:val="21"/>
                <w:szCs w:val="21"/>
              </w:rPr>
              <w:t>废气</w:t>
            </w:r>
          </w:p>
        </w:tc>
        <w:tc>
          <w:tcPr>
            <w:tcW w:w="306" w:type="pct"/>
            <w:vMerge w:val="restart"/>
            <w:shd w:val="clear" w:color="auto" w:fill="auto"/>
            <w:vAlign w:val="center"/>
          </w:tcPr>
          <w:p w14:paraId="5928B5FC">
            <w:pPr>
              <w:widowControl/>
              <w:spacing w:line="240" w:lineRule="auto"/>
              <w:ind w:firstLine="0" w:firstLineChars="0"/>
              <w:jc w:val="center"/>
              <w:rPr>
                <w:color w:val="auto"/>
                <w:kern w:val="0"/>
                <w:sz w:val="21"/>
                <w:szCs w:val="21"/>
              </w:rPr>
            </w:pPr>
            <w:r>
              <w:rPr>
                <w:color w:val="auto"/>
                <w:kern w:val="0"/>
                <w:sz w:val="21"/>
                <w:szCs w:val="21"/>
              </w:rPr>
              <w:t>有组织</w:t>
            </w:r>
          </w:p>
        </w:tc>
        <w:tc>
          <w:tcPr>
            <w:tcW w:w="857" w:type="pct"/>
            <w:shd w:val="clear" w:color="auto" w:fill="auto"/>
            <w:vAlign w:val="center"/>
          </w:tcPr>
          <w:p w14:paraId="5665C4E0">
            <w:pPr>
              <w:widowControl/>
              <w:spacing w:line="240" w:lineRule="auto"/>
              <w:ind w:firstLine="0" w:firstLineChars="0"/>
              <w:jc w:val="center"/>
              <w:rPr>
                <w:color w:val="auto"/>
                <w:kern w:val="0"/>
                <w:sz w:val="21"/>
                <w:szCs w:val="21"/>
              </w:rPr>
            </w:pPr>
            <w:r>
              <w:rPr>
                <w:color w:val="auto"/>
                <w:kern w:val="0"/>
                <w:sz w:val="21"/>
                <w:szCs w:val="21"/>
              </w:rPr>
              <w:t>颗粒物</w:t>
            </w:r>
          </w:p>
        </w:tc>
        <w:tc>
          <w:tcPr>
            <w:tcW w:w="756" w:type="pct"/>
            <w:shd w:val="clear" w:color="auto" w:fill="auto"/>
            <w:vAlign w:val="center"/>
          </w:tcPr>
          <w:p w14:paraId="0D62BCDC">
            <w:pPr>
              <w:widowControl/>
              <w:spacing w:line="240" w:lineRule="auto"/>
              <w:ind w:firstLine="0" w:firstLineChars="0"/>
              <w:jc w:val="center"/>
              <w:rPr>
                <w:color w:val="auto"/>
                <w:kern w:val="0"/>
                <w:sz w:val="21"/>
                <w:szCs w:val="21"/>
              </w:rPr>
            </w:pPr>
            <w:r>
              <w:rPr>
                <w:color w:val="auto"/>
                <w:kern w:val="0"/>
                <w:sz w:val="21"/>
                <w:szCs w:val="21"/>
              </w:rPr>
              <w:t>26.086</w:t>
            </w:r>
          </w:p>
        </w:tc>
        <w:tc>
          <w:tcPr>
            <w:tcW w:w="909" w:type="pct"/>
            <w:shd w:val="clear" w:color="auto" w:fill="auto"/>
            <w:vAlign w:val="center"/>
          </w:tcPr>
          <w:p w14:paraId="438A24AA">
            <w:pPr>
              <w:widowControl/>
              <w:spacing w:line="240" w:lineRule="auto"/>
              <w:ind w:firstLine="0" w:firstLineChars="0"/>
              <w:jc w:val="center"/>
              <w:rPr>
                <w:color w:val="auto"/>
                <w:kern w:val="0"/>
                <w:sz w:val="21"/>
                <w:szCs w:val="21"/>
              </w:rPr>
            </w:pPr>
            <w:r>
              <w:rPr>
                <w:color w:val="auto"/>
                <w:kern w:val="0"/>
                <w:sz w:val="21"/>
                <w:szCs w:val="21"/>
              </w:rPr>
              <w:t>24.238</w:t>
            </w:r>
          </w:p>
        </w:tc>
        <w:tc>
          <w:tcPr>
            <w:tcW w:w="744" w:type="pct"/>
            <w:shd w:val="clear" w:color="auto" w:fill="auto"/>
            <w:vAlign w:val="center"/>
          </w:tcPr>
          <w:p w14:paraId="25114EF3">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12FA542A">
            <w:pPr>
              <w:widowControl/>
              <w:spacing w:line="240" w:lineRule="auto"/>
              <w:ind w:firstLine="0" w:firstLineChars="0"/>
              <w:jc w:val="center"/>
              <w:rPr>
                <w:color w:val="auto"/>
                <w:kern w:val="0"/>
                <w:sz w:val="21"/>
                <w:szCs w:val="21"/>
              </w:rPr>
            </w:pPr>
            <w:r>
              <w:rPr>
                <w:color w:val="auto"/>
                <w:kern w:val="0"/>
                <w:sz w:val="21"/>
                <w:szCs w:val="21"/>
              </w:rPr>
              <w:t>1.848</w:t>
            </w:r>
          </w:p>
        </w:tc>
      </w:tr>
      <w:tr w14:paraId="3389A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680" w:type="pct"/>
            <w:vMerge w:val="continue"/>
            <w:vAlign w:val="center"/>
          </w:tcPr>
          <w:p w14:paraId="5C0E5A5B">
            <w:pPr>
              <w:widowControl/>
              <w:spacing w:line="240" w:lineRule="auto"/>
              <w:ind w:firstLine="0" w:firstLineChars="0"/>
              <w:jc w:val="center"/>
              <w:rPr>
                <w:color w:val="auto"/>
                <w:kern w:val="0"/>
                <w:sz w:val="21"/>
                <w:szCs w:val="21"/>
              </w:rPr>
            </w:pPr>
          </w:p>
        </w:tc>
        <w:tc>
          <w:tcPr>
            <w:tcW w:w="306" w:type="pct"/>
            <w:vMerge w:val="continue"/>
            <w:vAlign w:val="center"/>
          </w:tcPr>
          <w:p w14:paraId="2C5C9F8A">
            <w:pPr>
              <w:widowControl/>
              <w:spacing w:line="240" w:lineRule="auto"/>
              <w:ind w:firstLine="0" w:firstLineChars="0"/>
              <w:jc w:val="center"/>
              <w:rPr>
                <w:color w:val="auto"/>
                <w:kern w:val="0"/>
                <w:sz w:val="21"/>
                <w:szCs w:val="21"/>
              </w:rPr>
            </w:pPr>
          </w:p>
        </w:tc>
        <w:tc>
          <w:tcPr>
            <w:tcW w:w="857" w:type="pct"/>
            <w:shd w:val="clear" w:color="auto" w:fill="auto"/>
            <w:vAlign w:val="center"/>
          </w:tcPr>
          <w:p w14:paraId="1CA11618">
            <w:pPr>
              <w:widowControl/>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2</w:t>
            </w:r>
          </w:p>
        </w:tc>
        <w:tc>
          <w:tcPr>
            <w:tcW w:w="756" w:type="pct"/>
            <w:shd w:val="clear" w:color="auto" w:fill="auto"/>
            <w:vAlign w:val="center"/>
          </w:tcPr>
          <w:p w14:paraId="5A612A3D">
            <w:pPr>
              <w:widowControl/>
              <w:spacing w:line="240" w:lineRule="auto"/>
              <w:ind w:firstLine="0" w:firstLineChars="0"/>
              <w:jc w:val="center"/>
              <w:rPr>
                <w:color w:val="auto"/>
                <w:kern w:val="0"/>
                <w:sz w:val="21"/>
                <w:szCs w:val="21"/>
              </w:rPr>
            </w:pPr>
            <w:r>
              <w:rPr>
                <w:color w:val="auto"/>
                <w:kern w:val="0"/>
                <w:sz w:val="21"/>
                <w:szCs w:val="21"/>
              </w:rPr>
              <w:t>0.768</w:t>
            </w:r>
          </w:p>
        </w:tc>
        <w:tc>
          <w:tcPr>
            <w:tcW w:w="909" w:type="pct"/>
            <w:shd w:val="clear" w:color="auto" w:fill="auto"/>
            <w:vAlign w:val="center"/>
          </w:tcPr>
          <w:p w14:paraId="277D9F27">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014F9B68">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00DA29DD">
            <w:pPr>
              <w:widowControl/>
              <w:spacing w:line="240" w:lineRule="auto"/>
              <w:ind w:firstLine="0" w:firstLineChars="0"/>
              <w:jc w:val="center"/>
              <w:rPr>
                <w:color w:val="auto"/>
                <w:kern w:val="0"/>
                <w:sz w:val="21"/>
                <w:szCs w:val="21"/>
              </w:rPr>
            </w:pPr>
            <w:r>
              <w:rPr>
                <w:color w:val="auto"/>
                <w:kern w:val="0"/>
                <w:sz w:val="21"/>
                <w:szCs w:val="21"/>
              </w:rPr>
              <w:t>0.768</w:t>
            </w:r>
          </w:p>
        </w:tc>
      </w:tr>
      <w:tr w14:paraId="02D091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0127CC4D">
            <w:pPr>
              <w:widowControl/>
              <w:spacing w:line="240" w:lineRule="auto"/>
              <w:ind w:firstLine="0" w:firstLineChars="0"/>
              <w:jc w:val="center"/>
              <w:rPr>
                <w:color w:val="auto"/>
                <w:kern w:val="0"/>
                <w:sz w:val="21"/>
                <w:szCs w:val="21"/>
              </w:rPr>
            </w:pPr>
          </w:p>
        </w:tc>
        <w:tc>
          <w:tcPr>
            <w:tcW w:w="306" w:type="pct"/>
            <w:vMerge w:val="continue"/>
            <w:vAlign w:val="center"/>
          </w:tcPr>
          <w:p w14:paraId="5550F1AE">
            <w:pPr>
              <w:widowControl/>
              <w:spacing w:line="240" w:lineRule="auto"/>
              <w:ind w:firstLine="0" w:firstLineChars="0"/>
              <w:jc w:val="center"/>
              <w:rPr>
                <w:color w:val="auto"/>
                <w:kern w:val="0"/>
                <w:sz w:val="21"/>
                <w:szCs w:val="21"/>
              </w:rPr>
            </w:pPr>
          </w:p>
        </w:tc>
        <w:tc>
          <w:tcPr>
            <w:tcW w:w="857" w:type="pct"/>
            <w:shd w:val="clear" w:color="auto" w:fill="auto"/>
            <w:vAlign w:val="center"/>
          </w:tcPr>
          <w:p w14:paraId="607588D2">
            <w:pPr>
              <w:widowControl/>
              <w:spacing w:line="240" w:lineRule="auto"/>
              <w:ind w:firstLine="0" w:firstLineChars="0"/>
              <w:jc w:val="center"/>
              <w:rPr>
                <w:color w:val="auto"/>
                <w:kern w:val="0"/>
                <w:sz w:val="21"/>
                <w:szCs w:val="21"/>
              </w:rPr>
            </w:pPr>
            <w:r>
              <w:rPr>
                <w:color w:val="auto"/>
                <w:kern w:val="0"/>
                <w:sz w:val="21"/>
                <w:szCs w:val="21"/>
              </w:rPr>
              <w:t>NO</w:t>
            </w:r>
            <w:r>
              <w:rPr>
                <w:color w:val="auto"/>
                <w:kern w:val="0"/>
                <w:sz w:val="21"/>
                <w:szCs w:val="21"/>
                <w:vertAlign w:val="subscript"/>
              </w:rPr>
              <w:t>X</w:t>
            </w:r>
          </w:p>
        </w:tc>
        <w:tc>
          <w:tcPr>
            <w:tcW w:w="756" w:type="pct"/>
            <w:shd w:val="clear" w:color="auto" w:fill="auto"/>
            <w:vAlign w:val="center"/>
          </w:tcPr>
          <w:p w14:paraId="1D44140A">
            <w:pPr>
              <w:widowControl/>
              <w:spacing w:line="240" w:lineRule="auto"/>
              <w:ind w:firstLine="0" w:firstLineChars="0"/>
              <w:jc w:val="center"/>
              <w:rPr>
                <w:color w:val="auto"/>
                <w:kern w:val="0"/>
                <w:sz w:val="21"/>
                <w:szCs w:val="21"/>
              </w:rPr>
            </w:pPr>
            <w:r>
              <w:rPr>
                <w:color w:val="auto"/>
                <w:kern w:val="0"/>
                <w:sz w:val="21"/>
                <w:szCs w:val="21"/>
              </w:rPr>
              <w:t>7.183</w:t>
            </w:r>
          </w:p>
        </w:tc>
        <w:tc>
          <w:tcPr>
            <w:tcW w:w="909" w:type="pct"/>
            <w:shd w:val="clear" w:color="auto" w:fill="auto"/>
            <w:vAlign w:val="center"/>
          </w:tcPr>
          <w:p w14:paraId="48C47EF5">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426E68EB">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1B8D9CE7">
            <w:pPr>
              <w:widowControl/>
              <w:spacing w:line="240" w:lineRule="auto"/>
              <w:ind w:firstLine="0" w:firstLineChars="0"/>
              <w:jc w:val="center"/>
              <w:rPr>
                <w:color w:val="auto"/>
                <w:kern w:val="0"/>
                <w:sz w:val="21"/>
                <w:szCs w:val="21"/>
              </w:rPr>
            </w:pPr>
            <w:r>
              <w:rPr>
                <w:color w:val="auto"/>
                <w:kern w:val="0"/>
                <w:sz w:val="21"/>
                <w:szCs w:val="21"/>
              </w:rPr>
              <w:t>7.183</w:t>
            </w:r>
          </w:p>
        </w:tc>
      </w:tr>
      <w:tr w14:paraId="3A7106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27A9F253">
            <w:pPr>
              <w:widowControl/>
              <w:spacing w:line="240" w:lineRule="auto"/>
              <w:ind w:firstLine="0" w:firstLineChars="0"/>
              <w:jc w:val="center"/>
              <w:rPr>
                <w:color w:val="auto"/>
                <w:kern w:val="0"/>
                <w:sz w:val="21"/>
                <w:szCs w:val="21"/>
              </w:rPr>
            </w:pPr>
          </w:p>
        </w:tc>
        <w:tc>
          <w:tcPr>
            <w:tcW w:w="306" w:type="pct"/>
            <w:vMerge w:val="continue"/>
            <w:vAlign w:val="center"/>
          </w:tcPr>
          <w:p w14:paraId="432F69F9">
            <w:pPr>
              <w:widowControl/>
              <w:spacing w:line="240" w:lineRule="auto"/>
              <w:ind w:firstLine="0" w:firstLineChars="0"/>
              <w:jc w:val="center"/>
              <w:rPr>
                <w:color w:val="auto"/>
                <w:kern w:val="0"/>
                <w:sz w:val="21"/>
                <w:szCs w:val="21"/>
              </w:rPr>
            </w:pPr>
          </w:p>
        </w:tc>
        <w:tc>
          <w:tcPr>
            <w:tcW w:w="857" w:type="pct"/>
            <w:shd w:val="clear" w:color="auto" w:fill="auto"/>
            <w:vAlign w:val="center"/>
          </w:tcPr>
          <w:p w14:paraId="4D6C8742">
            <w:pPr>
              <w:widowControl/>
              <w:spacing w:line="240" w:lineRule="auto"/>
              <w:ind w:firstLine="0" w:firstLineChars="0"/>
              <w:jc w:val="center"/>
              <w:rPr>
                <w:color w:val="auto"/>
                <w:kern w:val="0"/>
                <w:sz w:val="21"/>
                <w:szCs w:val="21"/>
              </w:rPr>
            </w:pPr>
            <w:r>
              <w:rPr>
                <w:color w:val="auto"/>
                <w:kern w:val="0"/>
                <w:sz w:val="21"/>
                <w:szCs w:val="21"/>
              </w:rPr>
              <w:t>碱雾</w:t>
            </w:r>
          </w:p>
        </w:tc>
        <w:tc>
          <w:tcPr>
            <w:tcW w:w="756" w:type="pct"/>
            <w:shd w:val="clear" w:color="auto" w:fill="auto"/>
            <w:vAlign w:val="center"/>
          </w:tcPr>
          <w:p w14:paraId="473BAD61">
            <w:pPr>
              <w:widowControl/>
              <w:spacing w:line="240" w:lineRule="auto"/>
              <w:ind w:firstLine="0" w:firstLineChars="0"/>
              <w:jc w:val="center"/>
              <w:rPr>
                <w:color w:val="auto"/>
                <w:kern w:val="0"/>
                <w:sz w:val="21"/>
                <w:szCs w:val="21"/>
              </w:rPr>
            </w:pPr>
            <w:r>
              <w:rPr>
                <w:color w:val="auto"/>
                <w:kern w:val="0"/>
                <w:sz w:val="21"/>
                <w:szCs w:val="21"/>
              </w:rPr>
              <w:t>18.875</w:t>
            </w:r>
          </w:p>
        </w:tc>
        <w:tc>
          <w:tcPr>
            <w:tcW w:w="909" w:type="pct"/>
            <w:shd w:val="clear" w:color="auto" w:fill="auto"/>
            <w:vAlign w:val="center"/>
          </w:tcPr>
          <w:p w14:paraId="237C3264">
            <w:pPr>
              <w:widowControl/>
              <w:spacing w:line="240" w:lineRule="auto"/>
              <w:ind w:firstLine="0" w:firstLineChars="0"/>
              <w:jc w:val="center"/>
              <w:rPr>
                <w:color w:val="auto"/>
                <w:kern w:val="0"/>
                <w:sz w:val="21"/>
                <w:szCs w:val="21"/>
              </w:rPr>
            </w:pPr>
            <w:r>
              <w:rPr>
                <w:color w:val="auto"/>
                <w:kern w:val="0"/>
                <w:sz w:val="21"/>
                <w:szCs w:val="21"/>
              </w:rPr>
              <w:t>16.988</w:t>
            </w:r>
          </w:p>
        </w:tc>
        <w:tc>
          <w:tcPr>
            <w:tcW w:w="744" w:type="pct"/>
            <w:shd w:val="clear" w:color="auto" w:fill="auto"/>
            <w:vAlign w:val="center"/>
          </w:tcPr>
          <w:p w14:paraId="2F714CC2">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6A28BF9E">
            <w:pPr>
              <w:widowControl/>
              <w:spacing w:line="240" w:lineRule="auto"/>
              <w:ind w:firstLine="0" w:firstLineChars="0"/>
              <w:jc w:val="center"/>
              <w:rPr>
                <w:color w:val="auto"/>
                <w:kern w:val="0"/>
                <w:sz w:val="21"/>
                <w:szCs w:val="21"/>
              </w:rPr>
            </w:pPr>
            <w:r>
              <w:rPr>
                <w:color w:val="auto"/>
                <w:kern w:val="0"/>
                <w:sz w:val="21"/>
                <w:szCs w:val="21"/>
              </w:rPr>
              <w:t>1.887</w:t>
            </w:r>
          </w:p>
        </w:tc>
      </w:tr>
      <w:tr w14:paraId="2F2970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5B53B189">
            <w:pPr>
              <w:widowControl/>
              <w:spacing w:line="240" w:lineRule="auto"/>
              <w:ind w:firstLine="0" w:firstLineChars="0"/>
              <w:jc w:val="center"/>
              <w:rPr>
                <w:color w:val="auto"/>
                <w:kern w:val="0"/>
                <w:sz w:val="21"/>
                <w:szCs w:val="21"/>
              </w:rPr>
            </w:pPr>
          </w:p>
        </w:tc>
        <w:tc>
          <w:tcPr>
            <w:tcW w:w="306" w:type="pct"/>
            <w:vMerge w:val="continue"/>
            <w:vAlign w:val="center"/>
          </w:tcPr>
          <w:p w14:paraId="5E877956">
            <w:pPr>
              <w:widowControl/>
              <w:spacing w:line="240" w:lineRule="auto"/>
              <w:ind w:firstLine="0" w:firstLineChars="0"/>
              <w:jc w:val="center"/>
              <w:rPr>
                <w:color w:val="auto"/>
                <w:kern w:val="0"/>
                <w:sz w:val="21"/>
                <w:szCs w:val="21"/>
              </w:rPr>
            </w:pPr>
          </w:p>
        </w:tc>
        <w:tc>
          <w:tcPr>
            <w:tcW w:w="857" w:type="pct"/>
            <w:shd w:val="clear" w:color="auto" w:fill="auto"/>
            <w:vAlign w:val="center"/>
          </w:tcPr>
          <w:p w14:paraId="714B303D">
            <w:pPr>
              <w:widowControl/>
              <w:spacing w:line="240" w:lineRule="auto"/>
              <w:ind w:firstLine="0" w:firstLineChars="0"/>
              <w:jc w:val="center"/>
              <w:rPr>
                <w:color w:val="auto"/>
                <w:kern w:val="0"/>
                <w:sz w:val="21"/>
                <w:szCs w:val="21"/>
              </w:rPr>
            </w:pPr>
            <w:r>
              <w:rPr>
                <w:color w:val="auto"/>
                <w:kern w:val="0"/>
                <w:sz w:val="21"/>
                <w:szCs w:val="21"/>
              </w:rPr>
              <w:t>硫酸雾</w:t>
            </w:r>
          </w:p>
        </w:tc>
        <w:tc>
          <w:tcPr>
            <w:tcW w:w="756" w:type="pct"/>
            <w:shd w:val="clear" w:color="auto" w:fill="auto"/>
            <w:vAlign w:val="center"/>
          </w:tcPr>
          <w:p w14:paraId="19004BD6">
            <w:pPr>
              <w:widowControl/>
              <w:spacing w:line="240" w:lineRule="auto"/>
              <w:ind w:firstLine="0" w:firstLineChars="0"/>
              <w:jc w:val="center"/>
              <w:rPr>
                <w:color w:val="auto"/>
                <w:kern w:val="0"/>
                <w:sz w:val="21"/>
                <w:szCs w:val="21"/>
              </w:rPr>
            </w:pPr>
            <w:r>
              <w:rPr>
                <w:color w:val="auto"/>
                <w:kern w:val="0"/>
                <w:sz w:val="21"/>
                <w:szCs w:val="21"/>
              </w:rPr>
              <w:t>39.800</w:t>
            </w:r>
          </w:p>
        </w:tc>
        <w:tc>
          <w:tcPr>
            <w:tcW w:w="909" w:type="pct"/>
            <w:shd w:val="clear" w:color="auto" w:fill="auto"/>
            <w:vAlign w:val="center"/>
          </w:tcPr>
          <w:p w14:paraId="535FE87D">
            <w:pPr>
              <w:widowControl/>
              <w:spacing w:line="240" w:lineRule="auto"/>
              <w:ind w:firstLine="0" w:firstLineChars="0"/>
              <w:jc w:val="center"/>
              <w:rPr>
                <w:color w:val="auto"/>
                <w:kern w:val="0"/>
                <w:sz w:val="21"/>
                <w:szCs w:val="21"/>
              </w:rPr>
            </w:pPr>
            <w:r>
              <w:rPr>
                <w:color w:val="auto"/>
                <w:kern w:val="0"/>
                <w:sz w:val="21"/>
                <w:szCs w:val="21"/>
              </w:rPr>
              <w:t>35.820</w:t>
            </w:r>
          </w:p>
        </w:tc>
        <w:tc>
          <w:tcPr>
            <w:tcW w:w="744" w:type="pct"/>
            <w:shd w:val="clear" w:color="auto" w:fill="auto"/>
            <w:vAlign w:val="center"/>
          </w:tcPr>
          <w:p w14:paraId="197F9D25">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34AB5D66">
            <w:pPr>
              <w:widowControl/>
              <w:spacing w:line="240" w:lineRule="auto"/>
              <w:ind w:firstLine="0" w:firstLineChars="0"/>
              <w:jc w:val="center"/>
              <w:rPr>
                <w:color w:val="auto"/>
                <w:kern w:val="0"/>
                <w:sz w:val="21"/>
                <w:szCs w:val="21"/>
              </w:rPr>
            </w:pPr>
            <w:r>
              <w:rPr>
                <w:color w:val="auto"/>
                <w:kern w:val="0"/>
                <w:sz w:val="21"/>
                <w:szCs w:val="21"/>
              </w:rPr>
              <w:t>3.980</w:t>
            </w:r>
          </w:p>
        </w:tc>
      </w:tr>
      <w:tr w14:paraId="1296E0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680" w:type="pct"/>
            <w:vMerge w:val="continue"/>
            <w:vAlign w:val="center"/>
          </w:tcPr>
          <w:p w14:paraId="02FCFB99">
            <w:pPr>
              <w:widowControl/>
              <w:spacing w:line="240" w:lineRule="auto"/>
              <w:ind w:firstLine="0" w:firstLineChars="0"/>
              <w:jc w:val="center"/>
              <w:rPr>
                <w:color w:val="auto"/>
                <w:kern w:val="0"/>
                <w:sz w:val="21"/>
                <w:szCs w:val="21"/>
              </w:rPr>
            </w:pPr>
          </w:p>
        </w:tc>
        <w:tc>
          <w:tcPr>
            <w:tcW w:w="306" w:type="pct"/>
            <w:vMerge w:val="continue"/>
            <w:vAlign w:val="center"/>
          </w:tcPr>
          <w:p w14:paraId="153CB803">
            <w:pPr>
              <w:widowControl/>
              <w:spacing w:line="240" w:lineRule="auto"/>
              <w:ind w:firstLine="0" w:firstLineChars="0"/>
              <w:jc w:val="center"/>
              <w:rPr>
                <w:color w:val="auto"/>
                <w:kern w:val="0"/>
                <w:sz w:val="21"/>
                <w:szCs w:val="21"/>
              </w:rPr>
            </w:pPr>
          </w:p>
        </w:tc>
        <w:tc>
          <w:tcPr>
            <w:tcW w:w="857" w:type="pct"/>
            <w:shd w:val="clear" w:color="auto" w:fill="auto"/>
            <w:vAlign w:val="center"/>
          </w:tcPr>
          <w:p w14:paraId="4FBF8DE5">
            <w:pPr>
              <w:widowControl/>
              <w:spacing w:line="240" w:lineRule="auto"/>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756" w:type="pct"/>
            <w:shd w:val="clear" w:color="auto" w:fill="auto"/>
            <w:vAlign w:val="center"/>
          </w:tcPr>
          <w:p w14:paraId="3086ABEC">
            <w:pPr>
              <w:widowControl/>
              <w:spacing w:line="240" w:lineRule="auto"/>
              <w:ind w:firstLine="0" w:firstLineChars="0"/>
              <w:jc w:val="center"/>
              <w:rPr>
                <w:color w:val="auto"/>
                <w:kern w:val="0"/>
                <w:sz w:val="21"/>
                <w:szCs w:val="21"/>
              </w:rPr>
            </w:pPr>
            <w:r>
              <w:rPr>
                <w:color w:val="auto"/>
                <w:kern w:val="0"/>
                <w:sz w:val="21"/>
                <w:szCs w:val="21"/>
              </w:rPr>
              <w:t>10.640</w:t>
            </w:r>
          </w:p>
        </w:tc>
        <w:tc>
          <w:tcPr>
            <w:tcW w:w="909" w:type="pct"/>
            <w:shd w:val="clear" w:color="auto" w:fill="auto"/>
            <w:vAlign w:val="center"/>
          </w:tcPr>
          <w:p w14:paraId="426911B1">
            <w:pPr>
              <w:widowControl/>
              <w:spacing w:line="240" w:lineRule="auto"/>
              <w:ind w:firstLine="0" w:firstLineChars="0"/>
              <w:jc w:val="center"/>
              <w:rPr>
                <w:color w:val="auto"/>
                <w:kern w:val="0"/>
                <w:sz w:val="21"/>
                <w:szCs w:val="21"/>
              </w:rPr>
            </w:pPr>
            <w:r>
              <w:rPr>
                <w:color w:val="auto"/>
                <w:kern w:val="0"/>
                <w:sz w:val="21"/>
                <w:szCs w:val="21"/>
              </w:rPr>
              <w:t>10.108</w:t>
            </w:r>
          </w:p>
        </w:tc>
        <w:tc>
          <w:tcPr>
            <w:tcW w:w="744" w:type="pct"/>
            <w:shd w:val="clear" w:color="auto" w:fill="auto"/>
            <w:vAlign w:val="center"/>
          </w:tcPr>
          <w:p w14:paraId="3820F994">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6D2A8D14">
            <w:pPr>
              <w:widowControl/>
              <w:spacing w:line="240" w:lineRule="auto"/>
              <w:ind w:firstLine="0" w:firstLineChars="0"/>
              <w:jc w:val="center"/>
              <w:rPr>
                <w:color w:val="auto"/>
                <w:kern w:val="0"/>
                <w:sz w:val="21"/>
                <w:szCs w:val="21"/>
              </w:rPr>
            </w:pPr>
            <w:r>
              <w:rPr>
                <w:color w:val="auto"/>
                <w:kern w:val="0"/>
                <w:sz w:val="21"/>
                <w:szCs w:val="21"/>
              </w:rPr>
              <w:t>0.532</w:t>
            </w:r>
          </w:p>
        </w:tc>
      </w:tr>
      <w:tr w14:paraId="206553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0BD67F39">
            <w:pPr>
              <w:widowControl/>
              <w:spacing w:line="240" w:lineRule="auto"/>
              <w:ind w:firstLine="0" w:firstLineChars="0"/>
              <w:jc w:val="center"/>
              <w:rPr>
                <w:color w:val="auto"/>
                <w:kern w:val="0"/>
                <w:sz w:val="21"/>
                <w:szCs w:val="21"/>
              </w:rPr>
            </w:pPr>
          </w:p>
        </w:tc>
        <w:tc>
          <w:tcPr>
            <w:tcW w:w="306" w:type="pct"/>
            <w:vMerge w:val="restart"/>
            <w:shd w:val="clear" w:color="auto" w:fill="auto"/>
            <w:vAlign w:val="center"/>
          </w:tcPr>
          <w:p w14:paraId="30B966BE">
            <w:pPr>
              <w:widowControl/>
              <w:spacing w:line="240" w:lineRule="auto"/>
              <w:ind w:firstLine="0" w:firstLineChars="0"/>
              <w:jc w:val="center"/>
              <w:rPr>
                <w:color w:val="auto"/>
                <w:kern w:val="0"/>
                <w:sz w:val="21"/>
                <w:szCs w:val="21"/>
              </w:rPr>
            </w:pPr>
            <w:r>
              <w:rPr>
                <w:color w:val="auto"/>
                <w:kern w:val="0"/>
                <w:sz w:val="21"/>
                <w:szCs w:val="21"/>
              </w:rPr>
              <w:t>无组织</w:t>
            </w:r>
          </w:p>
        </w:tc>
        <w:tc>
          <w:tcPr>
            <w:tcW w:w="857" w:type="pct"/>
            <w:shd w:val="clear" w:color="auto" w:fill="auto"/>
            <w:vAlign w:val="center"/>
          </w:tcPr>
          <w:p w14:paraId="5E2853D5">
            <w:pPr>
              <w:widowControl/>
              <w:spacing w:line="240" w:lineRule="auto"/>
              <w:ind w:firstLine="0" w:firstLineChars="0"/>
              <w:jc w:val="center"/>
              <w:rPr>
                <w:color w:val="auto"/>
                <w:kern w:val="0"/>
                <w:sz w:val="21"/>
                <w:szCs w:val="21"/>
              </w:rPr>
            </w:pPr>
            <w:r>
              <w:rPr>
                <w:color w:val="auto"/>
                <w:kern w:val="0"/>
                <w:sz w:val="21"/>
                <w:szCs w:val="21"/>
              </w:rPr>
              <w:t>颗粒物</w:t>
            </w:r>
          </w:p>
        </w:tc>
        <w:tc>
          <w:tcPr>
            <w:tcW w:w="756" w:type="pct"/>
            <w:shd w:val="clear" w:color="auto" w:fill="auto"/>
            <w:vAlign w:val="center"/>
          </w:tcPr>
          <w:p w14:paraId="1FDBF528">
            <w:pPr>
              <w:widowControl/>
              <w:spacing w:line="240" w:lineRule="auto"/>
              <w:ind w:firstLine="0" w:firstLineChars="0"/>
              <w:jc w:val="center"/>
              <w:rPr>
                <w:color w:val="auto"/>
                <w:kern w:val="0"/>
                <w:sz w:val="21"/>
                <w:szCs w:val="21"/>
              </w:rPr>
            </w:pPr>
            <w:r>
              <w:rPr>
                <w:color w:val="auto"/>
                <w:kern w:val="0"/>
                <w:sz w:val="21"/>
                <w:szCs w:val="21"/>
              </w:rPr>
              <w:t>3.449</w:t>
            </w:r>
          </w:p>
        </w:tc>
        <w:tc>
          <w:tcPr>
            <w:tcW w:w="909" w:type="pct"/>
            <w:shd w:val="clear" w:color="auto" w:fill="auto"/>
            <w:vAlign w:val="center"/>
          </w:tcPr>
          <w:p w14:paraId="33AFC0A3">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7344EFDF">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025E9796">
            <w:pPr>
              <w:widowControl/>
              <w:spacing w:line="240" w:lineRule="auto"/>
              <w:ind w:firstLine="0" w:firstLineChars="0"/>
              <w:jc w:val="center"/>
              <w:rPr>
                <w:color w:val="auto"/>
                <w:kern w:val="0"/>
                <w:sz w:val="21"/>
                <w:szCs w:val="21"/>
              </w:rPr>
            </w:pPr>
            <w:r>
              <w:rPr>
                <w:color w:val="auto"/>
                <w:kern w:val="0"/>
                <w:sz w:val="21"/>
                <w:szCs w:val="21"/>
              </w:rPr>
              <w:t>3.449</w:t>
            </w:r>
          </w:p>
        </w:tc>
      </w:tr>
      <w:tr w14:paraId="354420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7100F9A3">
            <w:pPr>
              <w:widowControl/>
              <w:spacing w:line="240" w:lineRule="auto"/>
              <w:ind w:firstLine="0" w:firstLineChars="0"/>
              <w:jc w:val="center"/>
              <w:rPr>
                <w:color w:val="auto"/>
                <w:kern w:val="0"/>
                <w:sz w:val="21"/>
                <w:szCs w:val="21"/>
              </w:rPr>
            </w:pPr>
          </w:p>
        </w:tc>
        <w:tc>
          <w:tcPr>
            <w:tcW w:w="306" w:type="pct"/>
            <w:vMerge w:val="continue"/>
            <w:shd w:val="clear" w:color="auto" w:fill="auto"/>
            <w:vAlign w:val="center"/>
          </w:tcPr>
          <w:p w14:paraId="14BD882B">
            <w:pPr>
              <w:widowControl/>
              <w:spacing w:line="240" w:lineRule="auto"/>
              <w:ind w:firstLine="0" w:firstLineChars="0"/>
              <w:jc w:val="center"/>
              <w:rPr>
                <w:color w:val="auto"/>
                <w:kern w:val="0"/>
                <w:sz w:val="21"/>
                <w:szCs w:val="21"/>
              </w:rPr>
            </w:pPr>
          </w:p>
        </w:tc>
        <w:tc>
          <w:tcPr>
            <w:tcW w:w="857" w:type="pct"/>
            <w:shd w:val="clear" w:color="auto" w:fill="auto"/>
            <w:vAlign w:val="center"/>
          </w:tcPr>
          <w:p w14:paraId="71E39B6E">
            <w:pPr>
              <w:widowControl/>
              <w:spacing w:line="240" w:lineRule="auto"/>
              <w:ind w:firstLine="0" w:firstLineChars="0"/>
              <w:jc w:val="center"/>
              <w:rPr>
                <w:color w:val="auto"/>
                <w:kern w:val="0"/>
                <w:sz w:val="21"/>
                <w:szCs w:val="21"/>
              </w:rPr>
            </w:pPr>
            <w:r>
              <w:rPr>
                <w:color w:val="auto"/>
                <w:kern w:val="0"/>
                <w:sz w:val="21"/>
                <w:szCs w:val="21"/>
              </w:rPr>
              <w:t>碱雾</w:t>
            </w:r>
          </w:p>
        </w:tc>
        <w:tc>
          <w:tcPr>
            <w:tcW w:w="756" w:type="pct"/>
            <w:shd w:val="clear" w:color="auto" w:fill="auto"/>
            <w:vAlign w:val="center"/>
          </w:tcPr>
          <w:p w14:paraId="1C415E2D">
            <w:pPr>
              <w:widowControl/>
              <w:spacing w:line="240" w:lineRule="auto"/>
              <w:ind w:firstLine="0" w:firstLineChars="0"/>
              <w:jc w:val="center"/>
              <w:rPr>
                <w:color w:val="auto"/>
                <w:kern w:val="0"/>
                <w:sz w:val="21"/>
                <w:szCs w:val="21"/>
              </w:rPr>
            </w:pPr>
            <w:r>
              <w:rPr>
                <w:color w:val="auto"/>
                <w:kern w:val="0"/>
                <w:sz w:val="21"/>
                <w:szCs w:val="21"/>
              </w:rPr>
              <w:t>0.993</w:t>
            </w:r>
          </w:p>
        </w:tc>
        <w:tc>
          <w:tcPr>
            <w:tcW w:w="909" w:type="pct"/>
            <w:shd w:val="clear" w:color="auto" w:fill="auto"/>
            <w:vAlign w:val="center"/>
          </w:tcPr>
          <w:p w14:paraId="589FDE91">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2341C540">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6323506B">
            <w:pPr>
              <w:widowControl/>
              <w:spacing w:line="240" w:lineRule="auto"/>
              <w:ind w:firstLine="0" w:firstLineChars="0"/>
              <w:jc w:val="center"/>
              <w:rPr>
                <w:color w:val="auto"/>
                <w:kern w:val="0"/>
                <w:sz w:val="21"/>
                <w:szCs w:val="21"/>
              </w:rPr>
            </w:pPr>
            <w:r>
              <w:rPr>
                <w:color w:val="auto"/>
                <w:kern w:val="0"/>
                <w:sz w:val="21"/>
                <w:szCs w:val="21"/>
              </w:rPr>
              <w:t>0.993</w:t>
            </w:r>
          </w:p>
        </w:tc>
      </w:tr>
      <w:tr w14:paraId="7CE7C5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5FA3C0CD">
            <w:pPr>
              <w:widowControl/>
              <w:spacing w:line="240" w:lineRule="auto"/>
              <w:ind w:firstLine="0" w:firstLineChars="0"/>
              <w:jc w:val="center"/>
              <w:rPr>
                <w:color w:val="auto"/>
                <w:kern w:val="0"/>
                <w:sz w:val="21"/>
                <w:szCs w:val="21"/>
              </w:rPr>
            </w:pPr>
          </w:p>
        </w:tc>
        <w:tc>
          <w:tcPr>
            <w:tcW w:w="306" w:type="pct"/>
            <w:vMerge w:val="continue"/>
            <w:vAlign w:val="center"/>
          </w:tcPr>
          <w:p w14:paraId="1F725D36">
            <w:pPr>
              <w:widowControl/>
              <w:spacing w:line="240" w:lineRule="auto"/>
              <w:ind w:firstLine="0" w:firstLineChars="0"/>
              <w:jc w:val="center"/>
              <w:rPr>
                <w:color w:val="auto"/>
                <w:kern w:val="0"/>
                <w:sz w:val="21"/>
                <w:szCs w:val="21"/>
              </w:rPr>
            </w:pPr>
          </w:p>
        </w:tc>
        <w:tc>
          <w:tcPr>
            <w:tcW w:w="857" w:type="pct"/>
            <w:shd w:val="clear" w:color="auto" w:fill="auto"/>
            <w:vAlign w:val="center"/>
          </w:tcPr>
          <w:p w14:paraId="44767845">
            <w:pPr>
              <w:widowControl/>
              <w:spacing w:line="240" w:lineRule="auto"/>
              <w:ind w:firstLine="0" w:firstLineChars="0"/>
              <w:jc w:val="center"/>
              <w:rPr>
                <w:color w:val="auto"/>
                <w:kern w:val="0"/>
                <w:sz w:val="21"/>
                <w:szCs w:val="21"/>
              </w:rPr>
            </w:pPr>
            <w:r>
              <w:rPr>
                <w:color w:val="auto"/>
                <w:kern w:val="0"/>
                <w:sz w:val="21"/>
                <w:szCs w:val="21"/>
              </w:rPr>
              <w:t>硫酸雾</w:t>
            </w:r>
          </w:p>
        </w:tc>
        <w:tc>
          <w:tcPr>
            <w:tcW w:w="756" w:type="pct"/>
            <w:shd w:val="clear" w:color="auto" w:fill="auto"/>
            <w:vAlign w:val="center"/>
          </w:tcPr>
          <w:p w14:paraId="68926C4B">
            <w:pPr>
              <w:widowControl/>
              <w:spacing w:line="240" w:lineRule="auto"/>
              <w:ind w:firstLine="0" w:firstLineChars="0"/>
              <w:jc w:val="center"/>
              <w:rPr>
                <w:color w:val="auto"/>
                <w:kern w:val="0"/>
                <w:sz w:val="21"/>
                <w:szCs w:val="21"/>
              </w:rPr>
            </w:pPr>
            <w:r>
              <w:rPr>
                <w:color w:val="auto"/>
                <w:kern w:val="0"/>
                <w:sz w:val="21"/>
                <w:szCs w:val="21"/>
              </w:rPr>
              <w:t>2.095</w:t>
            </w:r>
          </w:p>
        </w:tc>
        <w:tc>
          <w:tcPr>
            <w:tcW w:w="909" w:type="pct"/>
            <w:shd w:val="clear" w:color="auto" w:fill="auto"/>
            <w:vAlign w:val="center"/>
          </w:tcPr>
          <w:p w14:paraId="374F4282">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07F91CB9">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2E303F20">
            <w:pPr>
              <w:widowControl/>
              <w:spacing w:line="240" w:lineRule="auto"/>
              <w:ind w:firstLine="0" w:firstLineChars="0"/>
              <w:jc w:val="center"/>
              <w:rPr>
                <w:color w:val="auto"/>
                <w:kern w:val="0"/>
                <w:sz w:val="21"/>
                <w:szCs w:val="21"/>
              </w:rPr>
            </w:pPr>
            <w:r>
              <w:rPr>
                <w:color w:val="auto"/>
                <w:kern w:val="0"/>
                <w:sz w:val="21"/>
                <w:szCs w:val="21"/>
              </w:rPr>
              <w:t>2.095</w:t>
            </w:r>
          </w:p>
        </w:tc>
      </w:tr>
      <w:tr w14:paraId="1F7A8B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0" w:type="pct"/>
            <w:vMerge w:val="continue"/>
            <w:vAlign w:val="center"/>
          </w:tcPr>
          <w:p w14:paraId="42D9C036">
            <w:pPr>
              <w:widowControl/>
              <w:spacing w:line="240" w:lineRule="auto"/>
              <w:ind w:firstLine="0" w:firstLineChars="0"/>
              <w:jc w:val="center"/>
              <w:rPr>
                <w:color w:val="auto"/>
                <w:kern w:val="0"/>
                <w:sz w:val="21"/>
                <w:szCs w:val="21"/>
              </w:rPr>
            </w:pPr>
          </w:p>
        </w:tc>
        <w:tc>
          <w:tcPr>
            <w:tcW w:w="306" w:type="pct"/>
            <w:vMerge w:val="continue"/>
            <w:vAlign w:val="center"/>
          </w:tcPr>
          <w:p w14:paraId="0560DAEC">
            <w:pPr>
              <w:widowControl/>
              <w:spacing w:line="240" w:lineRule="auto"/>
              <w:ind w:firstLine="0" w:firstLineChars="0"/>
              <w:jc w:val="center"/>
              <w:rPr>
                <w:color w:val="auto"/>
                <w:kern w:val="0"/>
                <w:sz w:val="21"/>
                <w:szCs w:val="21"/>
              </w:rPr>
            </w:pPr>
          </w:p>
        </w:tc>
        <w:tc>
          <w:tcPr>
            <w:tcW w:w="857" w:type="pct"/>
            <w:shd w:val="clear" w:color="auto" w:fill="auto"/>
            <w:vAlign w:val="center"/>
          </w:tcPr>
          <w:p w14:paraId="417B4604">
            <w:pPr>
              <w:widowControl/>
              <w:spacing w:line="240" w:lineRule="auto"/>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756" w:type="pct"/>
            <w:shd w:val="clear" w:color="auto" w:fill="auto"/>
            <w:vAlign w:val="center"/>
          </w:tcPr>
          <w:p w14:paraId="46EB6298">
            <w:pPr>
              <w:widowControl/>
              <w:spacing w:line="240" w:lineRule="auto"/>
              <w:ind w:firstLine="0" w:firstLineChars="0"/>
              <w:jc w:val="center"/>
              <w:rPr>
                <w:color w:val="auto"/>
                <w:kern w:val="0"/>
                <w:sz w:val="21"/>
                <w:szCs w:val="21"/>
              </w:rPr>
            </w:pPr>
            <w:r>
              <w:rPr>
                <w:color w:val="auto"/>
                <w:kern w:val="0"/>
                <w:sz w:val="21"/>
                <w:szCs w:val="21"/>
              </w:rPr>
              <w:t>0.560</w:t>
            </w:r>
          </w:p>
        </w:tc>
        <w:tc>
          <w:tcPr>
            <w:tcW w:w="909" w:type="pct"/>
            <w:shd w:val="clear" w:color="auto" w:fill="auto"/>
            <w:vAlign w:val="center"/>
          </w:tcPr>
          <w:p w14:paraId="581CCD89">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6C45B86D">
            <w:pPr>
              <w:widowControl/>
              <w:spacing w:line="240" w:lineRule="auto"/>
              <w:ind w:firstLine="0" w:firstLineChars="0"/>
              <w:jc w:val="center"/>
              <w:rPr>
                <w:color w:val="auto"/>
                <w:kern w:val="0"/>
                <w:sz w:val="21"/>
                <w:szCs w:val="21"/>
              </w:rPr>
            </w:pPr>
            <w:r>
              <w:rPr>
                <w:color w:val="auto"/>
                <w:kern w:val="0"/>
                <w:sz w:val="21"/>
                <w:szCs w:val="21"/>
              </w:rPr>
              <w:t>/</w:t>
            </w:r>
          </w:p>
        </w:tc>
        <w:tc>
          <w:tcPr>
            <w:tcW w:w="744" w:type="pct"/>
            <w:shd w:val="clear" w:color="auto" w:fill="auto"/>
            <w:vAlign w:val="center"/>
          </w:tcPr>
          <w:p w14:paraId="086D47FD">
            <w:pPr>
              <w:widowControl/>
              <w:spacing w:line="240" w:lineRule="auto"/>
              <w:ind w:firstLine="0" w:firstLineChars="0"/>
              <w:jc w:val="center"/>
              <w:rPr>
                <w:color w:val="auto"/>
                <w:kern w:val="0"/>
                <w:sz w:val="21"/>
                <w:szCs w:val="21"/>
              </w:rPr>
            </w:pPr>
            <w:r>
              <w:rPr>
                <w:color w:val="auto"/>
                <w:kern w:val="0"/>
                <w:sz w:val="21"/>
                <w:szCs w:val="21"/>
              </w:rPr>
              <w:t>0.560</w:t>
            </w:r>
          </w:p>
        </w:tc>
      </w:tr>
      <w:tr w14:paraId="60E72D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6" w:type="pct"/>
            <w:gridSpan w:val="2"/>
            <w:vMerge w:val="restart"/>
            <w:shd w:val="clear" w:color="auto" w:fill="auto"/>
            <w:vAlign w:val="center"/>
          </w:tcPr>
          <w:p w14:paraId="5A539E7E">
            <w:pPr>
              <w:widowControl/>
              <w:spacing w:line="240" w:lineRule="auto"/>
              <w:ind w:firstLine="0" w:firstLineChars="0"/>
              <w:jc w:val="center"/>
              <w:rPr>
                <w:color w:val="auto"/>
                <w:kern w:val="0"/>
                <w:sz w:val="21"/>
                <w:szCs w:val="21"/>
              </w:rPr>
            </w:pPr>
            <w:r>
              <w:rPr>
                <w:color w:val="auto"/>
                <w:kern w:val="0"/>
                <w:sz w:val="21"/>
                <w:szCs w:val="21"/>
              </w:rPr>
              <w:t>综合废水</w:t>
            </w:r>
          </w:p>
        </w:tc>
        <w:tc>
          <w:tcPr>
            <w:tcW w:w="857" w:type="pct"/>
            <w:shd w:val="clear" w:color="auto" w:fill="auto"/>
            <w:vAlign w:val="center"/>
          </w:tcPr>
          <w:p w14:paraId="7E6CB538">
            <w:pPr>
              <w:widowControl/>
              <w:spacing w:line="240" w:lineRule="auto"/>
              <w:ind w:firstLine="0" w:firstLineChars="0"/>
              <w:jc w:val="center"/>
              <w:rPr>
                <w:color w:val="auto"/>
                <w:kern w:val="0"/>
                <w:sz w:val="21"/>
                <w:szCs w:val="21"/>
              </w:rPr>
            </w:pPr>
            <w:r>
              <w:rPr>
                <w:color w:val="auto"/>
                <w:sz w:val="21"/>
                <w:szCs w:val="21"/>
              </w:rPr>
              <w:t>废水量</w:t>
            </w:r>
          </w:p>
        </w:tc>
        <w:tc>
          <w:tcPr>
            <w:tcW w:w="756" w:type="pct"/>
            <w:shd w:val="clear" w:color="auto" w:fill="auto"/>
            <w:vAlign w:val="center"/>
          </w:tcPr>
          <w:p w14:paraId="0BDB5F20">
            <w:pPr>
              <w:spacing w:line="240" w:lineRule="auto"/>
              <w:ind w:firstLine="0" w:firstLineChars="0"/>
              <w:jc w:val="center"/>
              <w:rPr>
                <w:color w:val="auto"/>
                <w:sz w:val="21"/>
                <w:szCs w:val="21"/>
              </w:rPr>
            </w:pPr>
            <w:r>
              <w:rPr>
                <w:color w:val="auto"/>
                <w:sz w:val="21"/>
                <w:szCs w:val="21"/>
              </w:rPr>
              <w:t>290159.33</w:t>
            </w:r>
          </w:p>
        </w:tc>
        <w:tc>
          <w:tcPr>
            <w:tcW w:w="909" w:type="pct"/>
            <w:shd w:val="clear" w:color="auto" w:fill="auto"/>
            <w:vAlign w:val="center"/>
          </w:tcPr>
          <w:p w14:paraId="5A4A2C95">
            <w:pPr>
              <w:spacing w:line="240" w:lineRule="auto"/>
              <w:ind w:firstLine="0" w:firstLineChars="0"/>
              <w:jc w:val="center"/>
              <w:rPr>
                <w:color w:val="auto"/>
                <w:sz w:val="21"/>
                <w:szCs w:val="21"/>
              </w:rPr>
            </w:pPr>
            <w:r>
              <w:rPr>
                <w:color w:val="auto"/>
                <w:sz w:val="21"/>
                <w:szCs w:val="21"/>
              </w:rPr>
              <w:t>0</w:t>
            </w:r>
          </w:p>
        </w:tc>
        <w:tc>
          <w:tcPr>
            <w:tcW w:w="744" w:type="pct"/>
            <w:shd w:val="clear" w:color="auto" w:fill="auto"/>
            <w:vAlign w:val="center"/>
          </w:tcPr>
          <w:p w14:paraId="1CD4C7CC">
            <w:pPr>
              <w:spacing w:line="240" w:lineRule="auto"/>
              <w:ind w:firstLine="0" w:firstLineChars="0"/>
              <w:jc w:val="center"/>
              <w:rPr>
                <w:color w:val="auto"/>
                <w:sz w:val="21"/>
                <w:szCs w:val="21"/>
              </w:rPr>
            </w:pPr>
            <w:r>
              <w:rPr>
                <w:color w:val="auto"/>
                <w:sz w:val="21"/>
                <w:szCs w:val="21"/>
              </w:rPr>
              <w:t>290159.33</w:t>
            </w:r>
          </w:p>
        </w:tc>
        <w:tc>
          <w:tcPr>
            <w:tcW w:w="744" w:type="pct"/>
            <w:shd w:val="clear" w:color="auto" w:fill="auto"/>
            <w:vAlign w:val="center"/>
          </w:tcPr>
          <w:p w14:paraId="73CE5BF6">
            <w:pPr>
              <w:spacing w:line="240" w:lineRule="auto"/>
              <w:ind w:firstLine="0" w:firstLineChars="0"/>
              <w:jc w:val="center"/>
              <w:rPr>
                <w:color w:val="auto"/>
                <w:sz w:val="21"/>
                <w:szCs w:val="21"/>
              </w:rPr>
            </w:pPr>
            <w:r>
              <w:rPr>
                <w:color w:val="auto"/>
                <w:sz w:val="21"/>
                <w:szCs w:val="21"/>
              </w:rPr>
              <w:t>290159.33</w:t>
            </w:r>
          </w:p>
        </w:tc>
      </w:tr>
      <w:tr w14:paraId="471695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6" w:type="pct"/>
            <w:gridSpan w:val="2"/>
            <w:vMerge w:val="continue"/>
            <w:vAlign w:val="center"/>
          </w:tcPr>
          <w:p w14:paraId="6F8506BB">
            <w:pPr>
              <w:widowControl/>
              <w:spacing w:line="240" w:lineRule="auto"/>
              <w:ind w:firstLine="0" w:firstLineChars="0"/>
              <w:jc w:val="center"/>
              <w:rPr>
                <w:color w:val="auto"/>
                <w:kern w:val="0"/>
                <w:sz w:val="21"/>
                <w:szCs w:val="21"/>
              </w:rPr>
            </w:pPr>
          </w:p>
        </w:tc>
        <w:tc>
          <w:tcPr>
            <w:tcW w:w="857" w:type="pct"/>
            <w:shd w:val="clear" w:color="auto" w:fill="auto"/>
            <w:vAlign w:val="center"/>
          </w:tcPr>
          <w:p w14:paraId="5FDBBA2E">
            <w:pPr>
              <w:widowControl/>
              <w:spacing w:line="240" w:lineRule="auto"/>
              <w:ind w:firstLine="0" w:firstLineChars="0"/>
              <w:jc w:val="center"/>
              <w:rPr>
                <w:color w:val="auto"/>
                <w:sz w:val="21"/>
                <w:szCs w:val="21"/>
              </w:rPr>
            </w:pPr>
            <w:r>
              <w:rPr>
                <w:bCs/>
                <w:color w:val="auto"/>
                <w:kern w:val="0"/>
                <w:sz w:val="21"/>
                <w:szCs w:val="21"/>
                <w:lang w:bidi="ar"/>
              </w:rPr>
              <w:t>COD</w:t>
            </w:r>
          </w:p>
        </w:tc>
        <w:tc>
          <w:tcPr>
            <w:tcW w:w="756" w:type="pct"/>
            <w:shd w:val="clear" w:color="auto" w:fill="auto"/>
            <w:vAlign w:val="center"/>
          </w:tcPr>
          <w:p w14:paraId="263F552A">
            <w:pPr>
              <w:widowControl/>
              <w:spacing w:line="240" w:lineRule="auto"/>
              <w:ind w:firstLine="0" w:firstLineChars="0"/>
              <w:jc w:val="center"/>
              <w:rPr>
                <w:color w:val="auto"/>
                <w:sz w:val="21"/>
                <w:szCs w:val="21"/>
              </w:rPr>
            </w:pPr>
            <w:r>
              <w:rPr>
                <w:rFonts w:eastAsia="等线"/>
                <w:color w:val="auto"/>
                <w:kern w:val="0"/>
                <w:sz w:val="21"/>
                <w:szCs w:val="21"/>
                <w:lang w:bidi="ar"/>
              </w:rPr>
              <w:t>91.669</w:t>
            </w:r>
          </w:p>
        </w:tc>
        <w:tc>
          <w:tcPr>
            <w:tcW w:w="909" w:type="pct"/>
            <w:shd w:val="clear" w:color="auto" w:fill="auto"/>
            <w:vAlign w:val="center"/>
          </w:tcPr>
          <w:p w14:paraId="1788F69E">
            <w:pPr>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15.299</w:t>
            </w:r>
          </w:p>
        </w:tc>
        <w:tc>
          <w:tcPr>
            <w:tcW w:w="744" w:type="pct"/>
            <w:shd w:val="clear" w:color="auto" w:fill="auto"/>
            <w:vAlign w:val="center"/>
          </w:tcPr>
          <w:p w14:paraId="26840487">
            <w:pPr>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76.370</w:t>
            </w:r>
          </w:p>
        </w:tc>
        <w:tc>
          <w:tcPr>
            <w:tcW w:w="744" w:type="pct"/>
            <w:shd w:val="clear" w:color="auto" w:fill="auto"/>
            <w:vAlign w:val="center"/>
          </w:tcPr>
          <w:p w14:paraId="259D913E">
            <w:pPr>
              <w:widowControl/>
              <w:spacing w:line="240" w:lineRule="auto"/>
              <w:ind w:firstLine="0" w:firstLineChars="0"/>
              <w:jc w:val="center"/>
              <w:rPr>
                <w:color w:val="auto"/>
                <w:sz w:val="21"/>
                <w:szCs w:val="21"/>
              </w:rPr>
            </w:pPr>
            <w:r>
              <w:rPr>
                <w:color w:val="auto"/>
                <w:kern w:val="0"/>
                <w:sz w:val="21"/>
                <w:szCs w:val="21"/>
                <w:lang w:bidi="ar"/>
              </w:rPr>
              <w:t>14.508</w:t>
            </w:r>
          </w:p>
        </w:tc>
      </w:tr>
      <w:tr w14:paraId="094236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66B3227A">
            <w:pPr>
              <w:widowControl/>
              <w:spacing w:line="240" w:lineRule="auto"/>
              <w:ind w:firstLine="0" w:firstLineChars="0"/>
              <w:jc w:val="center"/>
              <w:rPr>
                <w:color w:val="auto"/>
                <w:kern w:val="0"/>
                <w:sz w:val="21"/>
                <w:szCs w:val="21"/>
              </w:rPr>
            </w:pPr>
          </w:p>
        </w:tc>
        <w:tc>
          <w:tcPr>
            <w:tcW w:w="857" w:type="pct"/>
            <w:shd w:val="clear" w:color="auto" w:fill="auto"/>
            <w:vAlign w:val="center"/>
          </w:tcPr>
          <w:p w14:paraId="3CDA7BD4">
            <w:pPr>
              <w:widowControl/>
              <w:spacing w:line="240" w:lineRule="auto"/>
              <w:ind w:firstLine="0" w:firstLineChars="0"/>
              <w:jc w:val="center"/>
              <w:rPr>
                <w:color w:val="auto"/>
                <w:sz w:val="21"/>
                <w:szCs w:val="21"/>
              </w:rPr>
            </w:pPr>
            <w:r>
              <w:rPr>
                <w:bCs/>
                <w:color w:val="auto"/>
                <w:kern w:val="0"/>
                <w:sz w:val="21"/>
                <w:szCs w:val="21"/>
                <w:lang w:bidi="ar"/>
              </w:rPr>
              <w:t>SS</w:t>
            </w:r>
          </w:p>
        </w:tc>
        <w:tc>
          <w:tcPr>
            <w:tcW w:w="756" w:type="pct"/>
            <w:shd w:val="clear" w:color="auto" w:fill="auto"/>
            <w:vAlign w:val="center"/>
          </w:tcPr>
          <w:p w14:paraId="39D54AC4">
            <w:pPr>
              <w:widowControl/>
              <w:spacing w:line="240" w:lineRule="auto"/>
              <w:ind w:firstLine="0" w:firstLineChars="0"/>
              <w:jc w:val="center"/>
              <w:rPr>
                <w:color w:val="auto"/>
                <w:sz w:val="21"/>
                <w:szCs w:val="21"/>
              </w:rPr>
            </w:pPr>
            <w:r>
              <w:rPr>
                <w:rFonts w:eastAsia="等线"/>
                <w:color w:val="auto"/>
                <w:kern w:val="0"/>
                <w:sz w:val="21"/>
                <w:szCs w:val="21"/>
                <w:lang w:bidi="ar"/>
              </w:rPr>
              <w:t>25.454</w:t>
            </w:r>
          </w:p>
        </w:tc>
        <w:tc>
          <w:tcPr>
            <w:tcW w:w="909" w:type="pct"/>
            <w:shd w:val="clear" w:color="auto" w:fill="auto"/>
            <w:vAlign w:val="center"/>
          </w:tcPr>
          <w:p w14:paraId="1FD56F2E">
            <w:pPr>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14.5</w:t>
            </w:r>
            <w:r>
              <w:rPr>
                <w:rFonts w:hint="eastAsia"/>
                <w:color w:val="auto"/>
                <w:sz w:val="21"/>
                <w:szCs w:val="21"/>
                <w:lang w:val="en-US" w:eastAsia="zh-CN"/>
              </w:rPr>
              <w:t>02</w:t>
            </w:r>
          </w:p>
        </w:tc>
        <w:tc>
          <w:tcPr>
            <w:tcW w:w="744" w:type="pct"/>
            <w:shd w:val="clear" w:color="auto" w:fill="auto"/>
            <w:vAlign w:val="center"/>
          </w:tcPr>
          <w:p w14:paraId="03C05C8A">
            <w:pPr>
              <w:widowControl/>
              <w:spacing w:line="240" w:lineRule="auto"/>
              <w:ind w:firstLine="0" w:firstLineChars="0"/>
              <w:jc w:val="center"/>
              <w:rPr>
                <w:color w:val="auto"/>
                <w:sz w:val="21"/>
                <w:szCs w:val="21"/>
              </w:rPr>
            </w:pPr>
            <w:r>
              <w:rPr>
                <w:rFonts w:hint="eastAsia" w:eastAsia="等线"/>
                <w:color w:val="auto"/>
                <w:kern w:val="0"/>
                <w:sz w:val="21"/>
                <w:szCs w:val="21"/>
                <w:lang w:bidi="ar"/>
              </w:rPr>
              <w:t>10.952</w:t>
            </w:r>
          </w:p>
        </w:tc>
        <w:tc>
          <w:tcPr>
            <w:tcW w:w="744" w:type="pct"/>
            <w:shd w:val="clear" w:color="auto" w:fill="auto"/>
            <w:vAlign w:val="center"/>
          </w:tcPr>
          <w:p w14:paraId="0517D700">
            <w:pPr>
              <w:widowControl/>
              <w:spacing w:line="240" w:lineRule="auto"/>
              <w:ind w:firstLine="0" w:firstLineChars="0"/>
              <w:jc w:val="center"/>
              <w:rPr>
                <w:color w:val="auto"/>
                <w:sz w:val="21"/>
                <w:szCs w:val="21"/>
              </w:rPr>
            </w:pPr>
            <w:r>
              <w:rPr>
                <w:color w:val="auto"/>
                <w:kern w:val="0"/>
                <w:sz w:val="21"/>
                <w:szCs w:val="21"/>
                <w:lang w:bidi="ar"/>
              </w:rPr>
              <w:t>2.902</w:t>
            </w:r>
          </w:p>
        </w:tc>
      </w:tr>
      <w:tr w14:paraId="73D208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497CDBB4">
            <w:pPr>
              <w:widowControl/>
              <w:spacing w:line="240" w:lineRule="auto"/>
              <w:ind w:firstLine="0" w:firstLineChars="0"/>
              <w:jc w:val="center"/>
              <w:rPr>
                <w:color w:val="auto"/>
                <w:kern w:val="0"/>
                <w:sz w:val="21"/>
                <w:szCs w:val="21"/>
              </w:rPr>
            </w:pPr>
          </w:p>
        </w:tc>
        <w:tc>
          <w:tcPr>
            <w:tcW w:w="857" w:type="pct"/>
            <w:shd w:val="clear" w:color="auto" w:fill="auto"/>
            <w:vAlign w:val="center"/>
          </w:tcPr>
          <w:p w14:paraId="40219BBB">
            <w:pPr>
              <w:widowControl/>
              <w:spacing w:line="240" w:lineRule="auto"/>
              <w:ind w:firstLine="0" w:firstLineChars="0"/>
              <w:jc w:val="center"/>
              <w:rPr>
                <w:color w:val="auto"/>
                <w:sz w:val="21"/>
                <w:szCs w:val="21"/>
              </w:rPr>
            </w:pPr>
            <w:r>
              <w:rPr>
                <w:bCs/>
                <w:color w:val="auto"/>
                <w:kern w:val="0"/>
                <w:sz w:val="21"/>
                <w:szCs w:val="21"/>
                <w:lang w:bidi="ar"/>
              </w:rPr>
              <w:t>氨氮</w:t>
            </w:r>
          </w:p>
        </w:tc>
        <w:tc>
          <w:tcPr>
            <w:tcW w:w="756" w:type="pct"/>
            <w:shd w:val="clear" w:color="auto" w:fill="auto"/>
            <w:vAlign w:val="center"/>
          </w:tcPr>
          <w:p w14:paraId="6505ED6A">
            <w:pPr>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5.226</w:t>
            </w:r>
          </w:p>
        </w:tc>
        <w:tc>
          <w:tcPr>
            <w:tcW w:w="909" w:type="pct"/>
            <w:shd w:val="clear" w:color="auto" w:fill="auto"/>
            <w:vAlign w:val="center"/>
          </w:tcPr>
          <w:p w14:paraId="71293546">
            <w:pPr>
              <w:widowControl/>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744" w:type="pct"/>
            <w:shd w:val="clear" w:color="auto" w:fill="auto"/>
            <w:vAlign w:val="center"/>
          </w:tcPr>
          <w:p w14:paraId="70B4EA7C">
            <w:pPr>
              <w:widowControl/>
              <w:spacing w:line="240" w:lineRule="auto"/>
              <w:ind w:firstLine="0" w:firstLineChars="0"/>
              <w:jc w:val="center"/>
              <w:rPr>
                <w:rFonts w:hint="default" w:eastAsia="等线"/>
                <w:color w:val="auto"/>
                <w:sz w:val="21"/>
                <w:szCs w:val="21"/>
                <w:lang w:val="en-US" w:eastAsia="zh-CN"/>
              </w:rPr>
            </w:pPr>
            <w:r>
              <w:rPr>
                <w:rFonts w:eastAsia="等线"/>
                <w:color w:val="auto"/>
                <w:kern w:val="0"/>
                <w:sz w:val="21"/>
                <w:szCs w:val="21"/>
                <w:lang w:bidi="ar"/>
              </w:rPr>
              <w:t>5.</w:t>
            </w:r>
            <w:r>
              <w:rPr>
                <w:rFonts w:hint="eastAsia" w:eastAsia="等线"/>
                <w:color w:val="auto"/>
                <w:kern w:val="0"/>
                <w:sz w:val="21"/>
                <w:szCs w:val="21"/>
                <w:lang w:val="en-US" w:eastAsia="zh-CN" w:bidi="ar"/>
              </w:rPr>
              <w:t>226</w:t>
            </w:r>
          </w:p>
        </w:tc>
        <w:tc>
          <w:tcPr>
            <w:tcW w:w="744" w:type="pct"/>
            <w:shd w:val="clear" w:color="auto" w:fill="auto"/>
            <w:vAlign w:val="center"/>
          </w:tcPr>
          <w:p w14:paraId="441EBFA1">
            <w:pPr>
              <w:widowControl/>
              <w:spacing w:line="240" w:lineRule="auto"/>
              <w:ind w:firstLine="0" w:firstLineChars="0"/>
              <w:jc w:val="center"/>
              <w:rPr>
                <w:color w:val="auto"/>
                <w:sz w:val="21"/>
                <w:szCs w:val="21"/>
              </w:rPr>
            </w:pPr>
            <w:r>
              <w:rPr>
                <w:color w:val="auto"/>
                <w:kern w:val="0"/>
                <w:sz w:val="21"/>
                <w:szCs w:val="21"/>
                <w:lang w:bidi="ar"/>
              </w:rPr>
              <w:t>1.451</w:t>
            </w:r>
          </w:p>
        </w:tc>
      </w:tr>
      <w:tr w14:paraId="479EB3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986" w:type="pct"/>
            <w:gridSpan w:val="2"/>
            <w:vMerge w:val="continue"/>
            <w:vAlign w:val="center"/>
          </w:tcPr>
          <w:p w14:paraId="7F8B7942">
            <w:pPr>
              <w:widowControl/>
              <w:spacing w:line="240" w:lineRule="auto"/>
              <w:ind w:firstLine="0" w:firstLineChars="0"/>
              <w:jc w:val="center"/>
              <w:rPr>
                <w:color w:val="auto"/>
                <w:kern w:val="0"/>
                <w:sz w:val="21"/>
                <w:szCs w:val="21"/>
              </w:rPr>
            </w:pPr>
          </w:p>
        </w:tc>
        <w:tc>
          <w:tcPr>
            <w:tcW w:w="857" w:type="pct"/>
            <w:shd w:val="clear" w:color="auto" w:fill="auto"/>
            <w:vAlign w:val="center"/>
          </w:tcPr>
          <w:p w14:paraId="40A1FEF8">
            <w:pPr>
              <w:widowControl/>
              <w:spacing w:line="240" w:lineRule="auto"/>
              <w:ind w:firstLine="0" w:firstLineChars="0"/>
              <w:jc w:val="center"/>
              <w:rPr>
                <w:bCs/>
                <w:color w:val="auto"/>
                <w:kern w:val="0"/>
                <w:sz w:val="21"/>
                <w:szCs w:val="21"/>
                <w:lang w:bidi="ar"/>
              </w:rPr>
            </w:pPr>
            <w:r>
              <w:rPr>
                <w:bCs/>
                <w:color w:val="auto"/>
                <w:kern w:val="0"/>
                <w:sz w:val="21"/>
                <w:szCs w:val="21"/>
                <w:lang w:bidi="ar"/>
              </w:rPr>
              <w:t>总磷</w:t>
            </w:r>
          </w:p>
        </w:tc>
        <w:tc>
          <w:tcPr>
            <w:tcW w:w="756" w:type="pct"/>
            <w:shd w:val="clear" w:color="auto" w:fill="auto"/>
            <w:vAlign w:val="center"/>
          </w:tcPr>
          <w:p w14:paraId="11DFA149">
            <w:pPr>
              <w:widowControl/>
              <w:spacing w:line="240" w:lineRule="auto"/>
              <w:ind w:firstLine="0" w:firstLineChars="0"/>
              <w:jc w:val="center"/>
              <w:rPr>
                <w:color w:val="auto"/>
                <w:sz w:val="21"/>
                <w:szCs w:val="21"/>
              </w:rPr>
            </w:pPr>
            <w:r>
              <w:rPr>
                <w:rFonts w:eastAsia="等线"/>
                <w:color w:val="auto"/>
                <w:kern w:val="0"/>
                <w:sz w:val="21"/>
                <w:szCs w:val="21"/>
                <w:lang w:bidi="ar"/>
              </w:rPr>
              <w:t>0.156</w:t>
            </w:r>
          </w:p>
        </w:tc>
        <w:tc>
          <w:tcPr>
            <w:tcW w:w="909" w:type="pct"/>
            <w:shd w:val="clear" w:color="auto" w:fill="auto"/>
            <w:vAlign w:val="center"/>
          </w:tcPr>
          <w:p w14:paraId="37498894">
            <w:pPr>
              <w:widowControl/>
              <w:spacing w:line="240" w:lineRule="auto"/>
              <w:ind w:firstLine="0" w:firstLineChars="0"/>
              <w:jc w:val="center"/>
              <w:rPr>
                <w:rFonts w:hint="eastAsia" w:eastAsia="宋体"/>
                <w:color w:val="auto"/>
                <w:sz w:val="21"/>
                <w:szCs w:val="21"/>
                <w:lang w:eastAsia="zh-CN"/>
              </w:rPr>
            </w:pPr>
            <w:r>
              <w:rPr>
                <w:rFonts w:hint="eastAsia" w:eastAsia="等线"/>
                <w:color w:val="auto"/>
                <w:kern w:val="0"/>
                <w:sz w:val="21"/>
                <w:szCs w:val="21"/>
                <w:lang w:val="en-US" w:eastAsia="zh-CN" w:bidi="ar"/>
              </w:rPr>
              <w:t>0</w:t>
            </w:r>
          </w:p>
        </w:tc>
        <w:tc>
          <w:tcPr>
            <w:tcW w:w="744" w:type="pct"/>
            <w:shd w:val="clear" w:color="auto" w:fill="auto"/>
            <w:vAlign w:val="center"/>
          </w:tcPr>
          <w:p w14:paraId="7155BEC5">
            <w:pPr>
              <w:widowControl/>
              <w:spacing w:line="240" w:lineRule="auto"/>
              <w:ind w:firstLine="0" w:firstLineChars="0"/>
              <w:jc w:val="center"/>
              <w:rPr>
                <w:rFonts w:hint="default" w:eastAsia="等线"/>
                <w:color w:val="auto"/>
                <w:sz w:val="21"/>
                <w:szCs w:val="21"/>
                <w:lang w:val="en-US" w:eastAsia="zh-CN"/>
              </w:rPr>
            </w:pPr>
            <w:r>
              <w:rPr>
                <w:rFonts w:eastAsia="等线"/>
                <w:color w:val="auto"/>
                <w:kern w:val="0"/>
                <w:sz w:val="21"/>
                <w:szCs w:val="21"/>
                <w:lang w:bidi="ar"/>
              </w:rPr>
              <w:t>0.1</w:t>
            </w:r>
            <w:r>
              <w:rPr>
                <w:rFonts w:hint="eastAsia" w:eastAsia="等线"/>
                <w:color w:val="auto"/>
                <w:kern w:val="0"/>
                <w:sz w:val="21"/>
                <w:szCs w:val="21"/>
                <w:lang w:val="en-US" w:eastAsia="zh-CN" w:bidi="ar"/>
              </w:rPr>
              <w:t>56</w:t>
            </w:r>
          </w:p>
        </w:tc>
        <w:tc>
          <w:tcPr>
            <w:tcW w:w="744" w:type="pct"/>
            <w:shd w:val="clear" w:color="auto" w:fill="auto"/>
            <w:vAlign w:val="center"/>
          </w:tcPr>
          <w:p w14:paraId="5827D369">
            <w:pPr>
              <w:widowControl/>
              <w:spacing w:line="240" w:lineRule="auto"/>
              <w:ind w:firstLine="0" w:firstLineChars="0"/>
              <w:jc w:val="center"/>
              <w:rPr>
                <w:color w:val="auto"/>
                <w:sz w:val="21"/>
                <w:szCs w:val="21"/>
              </w:rPr>
            </w:pPr>
            <w:r>
              <w:rPr>
                <w:color w:val="auto"/>
                <w:kern w:val="0"/>
                <w:sz w:val="21"/>
                <w:szCs w:val="21"/>
                <w:lang w:bidi="ar"/>
              </w:rPr>
              <w:t>0.145</w:t>
            </w:r>
          </w:p>
        </w:tc>
      </w:tr>
      <w:tr w14:paraId="194A37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1D551F56">
            <w:pPr>
              <w:widowControl/>
              <w:spacing w:line="240" w:lineRule="auto"/>
              <w:ind w:firstLine="0" w:firstLineChars="0"/>
              <w:jc w:val="center"/>
              <w:rPr>
                <w:color w:val="auto"/>
                <w:kern w:val="0"/>
                <w:sz w:val="21"/>
                <w:szCs w:val="21"/>
              </w:rPr>
            </w:pPr>
          </w:p>
        </w:tc>
        <w:tc>
          <w:tcPr>
            <w:tcW w:w="857" w:type="pct"/>
            <w:shd w:val="clear" w:color="auto" w:fill="auto"/>
            <w:vAlign w:val="center"/>
          </w:tcPr>
          <w:p w14:paraId="24A94624">
            <w:pPr>
              <w:widowControl/>
              <w:spacing w:line="240" w:lineRule="auto"/>
              <w:ind w:firstLine="0" w:firstLineChars="0"/>
              <w:jc w:val="center"/>
              <w:rPr>
                <w:color w:val="auto"/>
                <w:sz w:val="21"/>
                <w:szCs w:val="21"/>
              </w:rPr>
            </w:pPr>
            <w:r>
              <w:rPr>
                <w:bCs/>
                <w:color w:val="auto"/>
                <w:kern w:val="0"/>
                <w:sz w:val="21"/>
                <w:szCs w:val="21"/>
                <w:lang w:bidi="ar"/>
              </w:rPr>
              <w:t>总氮</w:t>
            </w:r>
          </w:p>
        </w:tc>
        <w:tc>
          <w:tcPr>
            <w:tcW w:w="756" w:type="pct"/>
            <w:shd w:val="clear" w:color="auto" w:fill="auto"/>
            <w:vAlign w:val="center"/>
          </w:tcPr>
          <w:p w14:paraId="2863CF82">
            <w:pPr>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8.391</w:t>
            </w:r>
          </w:p>
        </w:tc>
        <w:tc>
          <w:tcPr>
            <w:tcW w:w="909" w:type="pct"/>
            <w:shd w:val="clear" w:color="auto" w:fill="auto"/>
            <w:vAlign w:val="center"/>
          </w:tcPr>
          <w:p w14:paraId="52FF466A">
            <w:pPr>
              <w:widowControl/>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744" w:type="pct"/>
            <w:shd w:val="clear" w:color="auto" w:fill="auto"/>
            <w:vAlign w:val="center"/>
          </w:tcPr>
          <w:p w14:paraId="4AB0094F">
            <w:pPr>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8.391</w:t>
            </w:r>
          </w:p>
        </w:tc>
        <w:tc>
          <w:tcPr>
            <w:tcW w:w="744" w:type="pct"/>
            <w:shd w:val="clear" w:color="auto" w:fill="auto"/>
            <w:vAlign w:val="center"/>
          </w:tcPr>
          <w:p w14:paraId="5D429BC7">
            <w:pPr>
              <w:widowControl/>
              <w:spacing w:line="240" w:lineRule="auto"/>
              <w:ind w:firstLine="0" w:firstLineChars="0"/>
              <w:jc w:val="center"/>
              <w:rPr>
                <w:color w:val="auto"/>
                <w:sz w:val="21"/>
                <w:szCs w:val="21"/>
              </w:rPr>
            </w:pPr>
            <w:r>
              <w:rPr>
                <w:color w:val="auto"/>
                <w:kern w:val="0"/>
                <w:sz w:val="21"/>
                <w:szCs w:val="21"/>
                <w:lang w:bidi="ar"/>
              </w:rPr>
              <w:t>4.352</w:t>
            </w:r>
          </w:p>
        </w:tc>
      </w:tr>
      <w:tr w14:paraId="7F4ED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1B2071A6">
            <w:pPr>
              <w:widowControl/>
              <w:spacing w:line="240" w:lineRule="auto"/>
              <w:ind w:firstLine="0" w:firstLineChars="0"/>
              <w:jc w:val="center"/>
              <w:rPr>
                <w:color w:val="auto"/>
                <w:kern w:val="0"/>
                <w:sz w:val="21"/>
                <w:szCs w:val="21"/>
              </w:rPr>
            </w:pPr>
          </w:p>
        </w:tc>
        <w:tc>
          <w:tcPr>
            <w:tcW w:w="857" w:type="pct"/>
            <w:shd w:val="clear" w:color="auto" w:fill="auto"/>
            <w:vAlign w:val="center"/>
          </w:tcPr>
          <w:p w14:paraId="0DD3D564">
            <w:pPr>
              <w:widowControl/>
              <w:spacing w:line="240" w:lineRule="auto"/>
              <w:ind w:firstLine="0" w:firstLineChars="0"/>
              <w:jc w:val="center"/>
              <w:rPr>
                <w:color w:val="auto"/>
                <w:sz w:val="21"/>
                <w:szCs w:val="21"/>
              </w:rPr>
            </w:pPr>
            <w:r>
              <w:rPr>
                <w:color w:val="auto"/>
                <w:sz w:val="21"/>
                <w:szCs w:val="21"/>
              </w:rPr>
              <w:t>总铝</w:t>
            </w:r>
          </w:p>
        </w:tc>
        <w:tc>
          <w:tcPr>
            <w:tcW w:w="756" w:type="pct"/>
            <w:shd w:val="clear" w:color="auto" w:fill="auto"/>
            <w:vAlign w:val="center"/>
          </w:tcPr>
          <w:p w14:paraId="2465E194">
            <w:pPr>
              <w:widowControl/>
              <w:spacing w:line="240" w:lineRule="auto"/>
              <w:ind w:firstLine="0" w:firstLineChars="0"/>
              <w:jc w:val="center"/>
              <w:rPr>
                <w:color w:val="auto"/>
                <w:sz w:val="21"/>
                <w:szCs w:val="21"/>
              </w:rPr>
            </w:pPr>
            <w:r>
              <w:rPr>
                <w:rFonts w:eastAsia="等线"/>
                <w:color w:val="auto"/>
                <w:kern w:val="0"/>
                <w:sz w:val="21"/>
                <w:szCs w:val="21"/>
                <w:lang w:bidi="ar"/>
              </w:rPr>
              <w:t>393.559</w:t>
            </w:r>
          </w:p>
        </w:tc>
        <w:tc>
          <w:tcPr>
            <w:tcW w:w="909" w:type="pct"/>
            <w:shd w:val="clear" w:color="auto" w:fill="auto"/>
            <w:vAlign w:val="center"/>
          </w:tcPr>
          <w:p w14:paraId="3D12E6D0">
            <w:pPr>
              <w:widowControl/>
              <w:spacing w:line="240" w:lineRule="auto"/>
              <w:ind w:firstLine="0" w:firstLineChars="0"/>
              <w:jc w:val="center"/>
              <w:rPr>
                <w:color w:val="auto"/>
                <w:sz w:val="21"/>
                <w:szCs w:val="21"/>
              </w:rPr>
            </w:pPr>
            <w:r>
              <w:rPr>
                <w:rFonts w:eastAsia="等线"/>
                <w:color w:val="auto"/>
                <w:kern w:val="0"/>
                <w:sz w:val="21"/>
                <w:szCs w:val="21"/>
                <w:lang w:bidi="ar"/>
              </w:rPr>
              <w:t>393.166</w:t>
            </w:r>
          </w:p>
        </w:tc>
        <w:tc>
          <w:tcPr>
            <w:tcW w:w="744" w:type="pct"/>
            <w:shd w:val="clear" w:color="auto" w:fill="auto"/>
            <w:vAlign w:val="center"/>
          </w:tcPr>
          <w:p w14:paraId="6BFFA863">
            <w:pPr>
              <w:widowControl/>
              <w:spacing w:line="240" w:lineRule="auto"/>
              <w:ind w:firstLine="0" w:firstLineChars="0"/>
              <w:jc w:val="center"/>
              <w:rPr>
                <w:rFonts w:hint="default" w:eastAsia="等线"/>
                <w:color w:val="auto"/>
                <w:sz w:val="21"/>
                <w:szCs w:val="21"/>
                <w:lang w:val="en-US" w:eastAsia="zh-CN"/>
              </w:rPr>
            </w:pPr>
            <w:r>
              <w:rPr>
                <w:rFonts w:eastAsia="等线"/>
                <w:color w:val="auto"/>
                <w:kern w:val="0"/>
                <w:sz w:val="21"/>
                <w:szCs w:val="21"/>
                <w:lang w:bidi="ar"/>
              </w:rPr>
              <w:t>0.3</w:t>
            </w:r>
            <w:r>
              <w:rPr>
                <w:rFonts w:hint="eastAsia" w:eastAsia="等线"/>
                <w:color w:val="auto"/>
                <w:kern w:val="0"/>
                <w:sz w:val="21"/>
                <w:szCs w:val="21"/>
                <w:lang w:val="en-US" w:eastAsia="zh-CN" w:bidi="ar"/>
              </w:rPr>
              <w:t>94</w:t>
            </w:r>
          </w:p>
        </w:tc>
        <w:tc>
          <w:tcPr>
            <w:tcW w:w="744" w:type="pct"/>
            <w:shd w:val="clear" w:color="auto" w:fill="auto"/>
            <w:vAlign w:val="center"/>
          </w:tcPr>
          <w:p w14:paraId="0E77FDF0">
            <w:pPr>
              <w:widowControl/>
              <w:spacing w:line="240" w:lineRule="auto"/>
              <w:ind w:firstLine="0" w:firstLineChars="0"/>
              <w:jc w:val="center"/>
              <w:rPr>
                <w:color w:val="auto"/>
                <w:sz w:val="21"/>
                <w:szCs w:val="21"/>
              </w:rPr>
            </w:pPr>
            <w:r>
              <w:rPr>
                <w:color w:val="auto"/>
                <w:kern w:val="0"/>
                <w:sz w:val="21"/>
                <w:szCs w:val="21"/>
                <w:lang w:bidi="ar"/>
              </w:rPr>
              <w:t>0.389</w:t>
            </w:r>
          </w:p>
        </w:tc>
      </w:tr>
      <w:tr w14:paraId="0CF4DD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7C6E10BF">
            <w:pPr>
              <w:widowControl/>
              <w:spacing w:line="240" w:lineRule="auto"/>
              <w:ind w:firstLine="0" w:firstLineChars="0"/>
              <w:jc w:val="center"/>
              <w:rPr>
                <w:color w:val="auto"/>
                <w:kern w:val="0"/>
                <w:sz w:val="21"/>
                <w:szCs w:val="21"/>
              </w:rPr>
            </w:pPr>
          </w:p>
        </w:tc>
        <w:tc>
          <w:tcPr>
            <w:tcW w:w="857" w:type="pct"/>
            <w:shd w:val="clear" w:color="auto" w:fill="auto"/>
            <w:vAlign w:val="center"/>
          </w:tcPr>
          <w:p w14:paraId="424A2967">
            <w:pPr>
              <w:widowControl/>
              <w:spacing w:line="240" w:lineRule="auto"/>
              <w:ind w:firstLine="0" w:firstLineChars="0"/>
              <w:jc w:val="center"/>
              <w:rPr>
                <w:color w:val="auto"/>
                <w:sz w:val="21"/>
                <w:szCs w:val="21"/>
              </w:rPr>
            </w:pPr>
            <w:r>
              <w:rPr>
                <w:color w:val="auto"/>
                <w:sz w:val="21"/>
                <w:szCs w:val="21"/>
              </w:rPr>
              <w:t>石油类</w:t>
            </w:r>
          </w:p>
        </w:tc>
        <w:tc>
          <w:tcPr>
            <w:tcW w:w="756" w:type="pct"/>
            <w:shd w:val="clear" w:color="auto" w:fill="auto"/>
            <w:vAlign w:val="center"/>
          </w:tcPr>
          <w:p w14:paraId="4C6129F1">
            <w:pPr>
              <w:widowControl/>
              <w:spacing w:line="240" w:lineRule="auto"/>
              <w:ind w:firstLine="0" w:firstLineChars="0"/>
              <w:jc w:val="center"/>
              <w:rPr>
                <w:color w:val="auto"/>
                <w:sz w:val="21"/>
                <w:szCs w:val="21"/>
              </w:rPr>
            </w:pPr>
            <w:r>
              <w:rPr>
                <w:rFonts w:eastAsia="等线"/>
                <w:color w:val="auto"/>
                <w:kern w:val="0"/>
                <w:sz w:val="21"/>
                <w:szCs w:val="21"/>
                <w:lang w:bidi="ar"/>
              </w:rPr>
              <w:t>2.056</w:t>
            </w:r>
          </w:p>
        </w:tc>
        <w:tc>
          <w:tcPr>
            <w:tcW w:w="909" w:type="pct"/>
            <w:shd w:val="clear" w:color="auto" w:fill="auto"/>
            <w:vAlign w:val="center"/>
          </w:tcPr>
          <w:p w14:paraId="60E5A326">
            <w:pPr>
              <w:widowControl/>
              <w:spacing w:line="240" w:lineRule="auto"/>
              <w:ind w:firstLine="0" w:firstLineChars="0"/>
              <w:jc w:val="center"/>
              <w:rPr>
                <w:rFonts w:hint="default" w:eastAsia="等线"/>
                <w:color w:val="auto"/>
                <w:sz w:val="21"/>
                <w:szCs w:val="21"/>
                <w:lang w:val="en-US" w:eastAsia="zh-CN"/>
              </w:rPr>
            </w:pPr>
            <w:r>
              <w:rPr>
                <w:rFonts w:eastAsia="等线"/>
                <w:color w:val="auto"/>
                <w:kern w:val="0"/>
                <w:sz w:val="21"/>
                <w:szCs w:val="21"/>
                <w:lang w:bidi="ar"/>
              </w:rPr>
              <w:t>0.</w:t>
            </w:r>
            <w:r>
              <w:rPr>
                <w:rFonts w:hint="eastAsia" w:eastAsia="等线"/>
                <w:color w:val="auto"/>
                <w:kern w:val="0"/>
                <w:sz w:val="21"/>
                <w:szCs w:val="21"/>
                <w:lang w:val="en-US" w:eastAsia="zh-CN" w:bidi="ar"/>
              </w:rPr>
              <w:t>308</w:t>
            </w:r>
          </w:p>
        </w:tc>
        <w:tc>
          <w:tcPr>
            <w:tcW w:w="744" w:type="pct"/>
            <w:shd w:val="clear" w:color="auto" w:fill="auto"/>
            <w:vAlign w:val="center"/>
          </w:tcPr>
          <w:p w14:paraId="34B431B8">
            <w:pPr>
              <w:widowControl/>
              <w:spacing w:line="240" w:lineRule="auto"/>
              <w:ind w:firstLine="0" w:firstLineChars="0"/>
              <w:jc w:val="center"/>
              <w:rPr>
                <w:rFonts w:hint="default" w:eastAsia="等线"/>
                <w:color w:val="auto"/>
                <w:sz w:val="21"/>
                <w:szCs w:val="21"/>
                <w:lang w:val="en-US" w:eastAsia="zh-CN"/>
              </w:rPr>
            </w:pPr>
            <w:r>
              <w:rPr>
                <w:rFonts w:eastAsia="等线"/>
                <w:color w:val="auto"/>
                <w:kern w:val="0"/>
                <w:sz w:val="21"/>
                <w:szCs w:val="21"/>
                <w:lang w:bidi="ar"/>
              </w:rPr>
              <w:t>1.</w:t>
            </w:r>
            <w:r>
              <w:rPr>
                <w:rFonts w:hint="eastAsia" w:eastAsia="等线"/>
                <w:color w:val="auto"/>
                <w:kern w:val="0"/>
                <w:sz w:val="21"/>
                <w:szCs w:val="21"/>
                <w:lang w:val="en-US" w:eastAsia="zh-CN" w:bidi="ar"/>
              </w:rPr>
              <w:t>748</w:t>
            </w:r>
          </w:p>
        </w:tc>
        <w:tc>
          <w:tcPr>
            <w:tcW w:w="744" w:type="pct"/>
            <w:shd w:val="clear" w:color="auto" w:fill="auto"/>
            <w:vAlign w:val="center"/>
          </w:tcPr>
          <w:p w14:paraId="4B127792">
            <w:pPr>
              <w:widowControl/>
              <w:spacing w:line="240" w:lineRule="auto"/>
              <w:ind w:firstLine="0" w:firstLineChars="0"/>
              <w:jc w:val="center"/>
              <w:rPr>
                <w:color w:val="auto"/>
                <w:sz w:val="21"/>
                <w:szCs w:val="21"/>
              </w:rPr>
            </w:pPr>
            <w:r>
              <w:rPr>
                <w:color w:val="auto"/>
                <w:kern w:val="0"/>
                <w:sz w:val="21"/>
                <w:szCs w:val="21"/>
                <w:lang w:bidi="ar"/>
              </w:rPr>
              <w:t>0.290</w:t>
            </w:r>
          </w:p>
        </w:tc>
      </w:tr>
      <w:tr w14:paraId="047806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6776AD71">
            <w:pPr>
              <w:widowControl/>
              <w:spacing w:line="240" w:lineRule="auto"/>
              <w:ind w:firstLine="0" w:firstLineChars="0"/>
              <w:jc w:val="center"/>
              <w:rPr>
                <w:color w:val="auto"/>
                <w:kern w:val="0"/>
                <w:sz w:val="21"/>
                <w:szCs w:val="21"/>
              </w:rPr>
            </w:pPr>
          </w:p>
        </w:tc>
        <w:tc>
          <w:tcPr>
            <w:tcW w:w="857" w:type="pct"/>
            <w:shd w:val="clear" w:color="auto" w:fill="auto"/>
            <w:vAlign w:val="center"/>
          </w:tcPr>
          <w:p w14:paraId="3606B11F">
            <w:pPr>
              <w:widowControl/>
              <w:spacing w:line="240" w:lineRule="auto"/>
              <w:ind w:firstLine="0" w:firstLineChars="0"/>
              <w:jc w:val="center"/>
              <w:rPr>
                <w:bCs/>
                <w:color w:val="auto"/>
                <w:kern w:val="0"/>
                <w:sz w:val="21"/>
                <w:szCs w:val="21"/>
                <w:lang w:bidi="ar"/>
              </w:rPr>
            </w:pPr>
            <w:r>
              <w:rPr>
                <w:bCs/>
                <w:color w:val="auto"/>
                <w:kern w:val="0"/>
                <w:sz w:val="21"/>
                <w:szCs w:val="21"/>
                <w:lang w:bidi="ar"/>
              </w:rPr>
              <w:t>LAS</w:t>
            </w:r>
          </w:p>
        </w:tc>
        <w:tc>
          <w:tcPr>
            <w:tcW w:w="756" w:type="pct"/>
            <w:shd w:val="clear" w:color="auto" w:fill="auto"/>
            <w:vAlign w:val="center"/>
          </w:tcPr>
          <w:p w14:paraId="540C4F4F">
            <w:pPr>
              <w:widowControl/>
              <w:spacing w:line="240" w:lineRule="auto"/>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98.236</w:t>
            </w:r>
          </w:p>
        </w:tc>
        <w:tc>
          <w:tcPr>
            <w:tcW w:w="909" w:type="pct"/>
            <w:shd w:val="clear" w:color="auto" w:fill="auto"/>
            <w:vAlign w:val="center"/>
          </w:tcPr>
          <w:p w14:paraId="4EBF520C">
            <w:pPr>
              <w:widowControl/>
              <w:spacing w:line="240" w:lineRule="auto"/>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93.324</w:t>
            </w:r>
          </w:p>
        </w:tc>
        <w:tc>
          <w:tcPr>
            <w:tcW w:w="744" w:type="pct"/>
            <w:shd w:val="clear" w:color="auto" w:fill="auto"/>
            <w:vAlign w:val="center"/>
          </w:tcPr>
          <w:p w14:paraId="446CB7F2">
            <w:pPr>
              <w:widowControl/>
              <w:spacing w:line="240" w:lineRule="auto"/>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4.912</w:t>
            </w:r>
          </w:p>
        </w:tc>
        <w:tc>
          <w:tcPr>
            <w:tcW w:w="744" w:type="pct"/>
            <w:shd w:val="clear" w:color="auto" w:fill="auto"/>
            <w:vAlign w:val="center"/>
          </w:tcPr>
          <w:p w14:paraId="73E1B7A4">
            <w:pPr>
              <w:widowControl/>
              <w:spacing w:line="240" w:lineRule="auto"/>
              <w:ind w:firstLine="0" w:firstLineChars="0"/>
              <w:jc w:val="center"/>
              <w:rPr>
                <w:color w:val="auto"/>
                <w:kern w:val="0"/>
                <w:sz w:val="21"/>
                <w:szCs w:val="21"/>
                <w:lang w:bidi="ar"/>
              </w:rPr>
            </w:pPr>
            <w:r>
              <w:rPr>
                <w:color w:val="auto"/>
                <w:kern w:val="0"/>
                <w:sz w:val="21"/>
                <w:szCs w:val="21"/>
                <w:lang w:bidi="ar"/>
              </w:rPr>
              <w:t>0.145</w:t>
            </w:r>
          </w:p>
        </w:tc>
      </w:tr>
      <w:tr w14:paraId="200147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1D32DCE9">
            <w:pPr>
              <w:widowControl/>
              <w:spacing w:line="240" w:lineRule="auto"/>
              <w:ind w:firstLine="0" w:firstLineChars="0"/>
              <w:jc w:val="center"/>
              <w:rPr>
                <w:color w:val="auto"/>
                <w:kern w:val="0"/>
                <w:sz w:val="21"/>
                <w:szCs w:val="21"/>
              </w:rPr>
            </w:pPr>
          </w:p>
        </w:tc>
        <w:tc>
          <w:tcPr>
            <w:tcW w:w="857" w:type="pct"/>
            <w:shd w:val="clear" w:color="auto" w:fill="auto"/>
            <w:vAlign w:val="center"/>
          </w:tcPr>
          <w:p w14:paraId="738CB8ED">
            <w:pPr>
              <w:widowControl/>
              <w:spacing w:line="240" w:lineRule="auto"/>
              <w:ind w:firstLine="0" w:firstLineChars="0"/>
              <w:jc w:val="center"/>
              <w:rPr>
                <w:bCs/>
                <w:color w:val="auto"/>
                <w:kern w:val="0"/>
                <w:sz w:val="21"/>
                <w:szCs w:val="21"/>
                <w:lang w:bidi="ar"/>
              </w:rPr>
            </w:pPr>
            <w:r>
              <w:rPr>
                <w:bCs/>
                <w:color w:val="auto"/>
                <w:kern w:val="0"/>
                <w:sz w:val="21"/>
                <w:szCs w:val="21"/>
                <w:lang w:bidi="ar"/>
              </w:rPr>
              <w:t>总锡</w:t>
            </w:r>
          </w:p>
        </w:tc>
        <w:tc>
          <w:tcPr>
            <w:tcW w:w="756" w:type="pct"/>
            <w:shd w:val="clear" w:color="auto" w:fill="auto"/>
            <w:vAlign w:val="center"/>
          </w:tcPr>
          <w:p w14:paraId="4084CCFD">
            <w:pPr>
              <w:widowControl/>
              <w:spacing w:line="240" w:lineRule="auto"/>
              <w:ind w:firstLine="0" w:firstLineChars="0"/>
              <w:jc w:val="center"/>
              <w:rPr>
                <w:color w:val="auto"/>
                <w:kern w:val="0"/>
                <w:sz w:val="21"/>
                <w:szCs w:val="21"/>
                <w:lang w:bidi="ar"/>
              </w:rPr>
            </w:pPr>
            <w:r>
              <w:rPr>
                <w:rFonts w:eastAsia="等线"/>
                <w:color w:val="auto"/>
                <w:kern w:val="0"/>
                <w:sz w:val="21"/>
                <w:szCs w:val="21"/>
                <w:lang w:bidi="ar"/>
              </w:rPr>
              <w:t>6.549</w:t>
            </w:r>
          </w:p>
        </w:tc>
        <w:tc>
          <w:tcPr>
            <w:tcW w:w="909" w:type="pct"/>
            <w:shd w:val="clear" w:color="auto" w:fill="auto"/>
            <w:vAlign w:val="center"/>
          </w:tcPr>
          <w:p w14:paraId="12BA4F0B">
            <w:pPr>
              <w:widowControl/>
              <w:spacing w:line="240" w:lineRule="auto"/>
              <w:ind w:firstLine="0" w:firstLineChars="0"/>
              <w:jc w:val="center"/>
              <w:rPr>
                <w:color w:val="auto"/>
                <w:kern w:val="0"/>
                <w:sz w:val="21"/>
                <w:szCs w:val="21"/>
                <w:lang w:bidi="ar"/>
              </w:rPr>
            </w:pPr>
            <w:r>
              <w:rPr>
                <w:rFonts w:eastAsia="等线"/>
                <w:color w:val="auto"/>
                <w:kern w:val="0"/>
                <w:sz w:val="21"/>
                <w:szCs w:val="21"/>
                <w:lang w:bidi="ar"/>
              </w:rPr>
              <w:t>5.698</w:t>
            </w:r>
          </w:p>
        </w:tc>
        <w:tc>
          <w:tcPr>
            <w:tcW w:w="744" w:type="pct"/>
            <w:shd w:val="clear" w:color="auto" w:fill="auto"/>
            <w:vAlign w:val="center"/>
          </w:tcPr>
          <w:p w14:paraId="45E35D73">
            <w:pPr>
              <w:widowControl/>
              <w:spacing w:line="240" w:lineRule="auto"/>
              <w:ind w:firstLine="0" w:firstLineChars="0"/>
              <w:jc w:val="center"/>
              <w:rPr>
                <w:color w:val="auto"/>
                <w:kern w:val="0"/>
                <w:sz w:val="21"/>
                <w:szCs w:val="21"/>
                <w:lang w:bidi="ar"/>
              </w:rPr>
            </w:pPr>
            <w:r>
              <w:rPr>
                <w:rFonts w:eastAsia="等线"/>
                <w:color w:val="auto"/>
                <w:kern w:val="0"/>
                <w:sz w:val="21"/>
                <w:szCs w:val="21"/>
                <w:lang w:bidi="ar"/>
              </w:rPr>
              <w:t>0.851</w:t>
            </w:r>
          </w:p>
        </w:tc>
        <w:tc>
          <w:tcPr>
            <w:tcW w:w="744" w:type="pct"/>
            <w:shd w:val="clear" w:color="auto" w:fill="auto"/>
            <w:vAlign w:val="center"/>
          </w:tcPr>
          <w:p w14:paraId="6FFC6111">
            <w:pPr>
              <w:widowControl/>
              <w:spacing w:line="240" w:lineRule="auto"/>
              <w:ind w:firstLine="0" w:firstLineChars="0"/>
              <w:jc w:val="center"/>
              <w:rPr>
                <w:color w:val="auto"/>
                <w:kern w:val="0"/>
                <w:sz w:val="21"/>
                <w:szCs w:val="21"/>
                <w:lang w:bidi="ar"/>
              </w:rPr>
            </w:pPr>
            <w:r>
              <w:rPr>
                <w:color w:val="auto"/>
                <w:kern w:val="0"/>
                <w:sz w:val="21"/>
                <w:szCs w:val="21"/>
                <w:lang w:bidi="ar"/>
              </w:rPr>
              <w:t>0.851</w:t>
            </w:r>
          </w:p>
        </w:tc>
      </w:tr>
      <w:tr w14:paraId="62E406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0BBA6309">
            <w:pPr>
              <w:widowControl/>
              <w:spacing w:line="240" w:lineRule="auto"/>
              <w:ind w:firstLine="0" w:firstLineChars="0"/>
              <w:jc w:val="center"/>
              <w:rPr>
                <w:color w:val="auto"/>
                <w:kern w:val="0"/>
                <w:sz w:val="21"/>
                <w:szCs w:val="21"/>
              </w:rPr>
            </w:pPr>
          </w:p>
        </w:tc>
        <w:tc>
          <w:tcPr>
            <w:tcW w:w="857" w:type="pct"/>
            <w:shd w:val="clear" w:color="auto" w:fill="auto"/>
            <w:vAlign w:val="center"/>
          </w:tcPr>
          <w:p w14:paraId="75474DA1">
            <w:pPr>
              <w:widowControl/>
              <w:spacing w:line="240" w:lineRule="auto"/>
              <w:ind w:firstLine="0" w:firstLineChars="0"/>
              <w:jc w:val="center"/>
              <w:rPr>
                <w:color w:val="auto"/>
                <w:sz w:val="21"/>
                <w:szCs w:val="21"/>
              </w:rPr>
            </w:pPr>
            <w:r>
              <w:rPr>
                <w:bCs/>
                <w:color w:val="auto"/>
                <w:kern w:val="0"/>
                <w:sz w:val="21"/>
                <w:szCs w:val="21"/>
                <w:lang w:bidi="ar"/>
              </w:rPr>
              <w:t>动植物油</w:t>
            </w:r>
          </w:p>
        </w:tc>
        <w:tc>
          <w:tcPr>
            <w:tcW w:w="756" w:type="pct"/>
            <w:shd w:val="clear" w:color="auto" w:fill="auto"/>
            <w:vAlign w:val="center"/>
          </w:tcPr>
          <w:p w14:paraId="2901CD80">
            <w:pPr>
              <w:widowControl/>
              <w:spacing w:line="240" w:lineRule="auto"/>
              <w:ind w:firstLine="0" w:firstLineChars="0"/>
              <w:jc w:val="center"/>
              <w:rPr>
                <w:color w:val="auto"/>
                <w:sz w:val="21"/>
                <w:szCs w:val="21"/>
              </w:rPr>
            </w:pPr>
            <w:r>
              <w:rPr>
                <w:rFonts w:eastAsia="等线"/>
                <w:color w:val="auto"/>
                <w:kern w:val="0"/>
                <w:sz w:val="21"/>
                <w:szCs w:val="21"/>
                <w:lang w:bidi="ar"/>
              </w:rPr>
              <w:t>0.660</w:t>
            </w:r>
          </w:p>
        </w:tc>
        <w:tc>
          <w:tcPr>
            <w:tcW w:w="909" w:type="pct"/>
            <w:shd w:val="clear" w:color="auto" w:fill="auto"/>
            <w:vAlign w:val="center"/>
          </w:tcPr>
          <w:p w14:paraId="48BC8FA1">
            <w:pPr>
              <w:widowControl/>
              <w:spacing w:line="240" w:lineRule="auto"/>
              <w:ind w:firstLine="0" w:firstLineChars="0"/>
              <w:jc w:val="center"/>
              <w:rPr>
                <w:color w:val="auto"/>
                <w:sz w:val="21"/>
                <w:szCs w:val="21"/>
              </w:rPr>
            </w:pPr>
            <w:r>
              <w:rPr>
                <w:rFonts w:eastAsia="等线"/>
                <w:color w:val="auto"/>
                <w:kern w:val="0"/>
                <w:sz w:val="21"/>
                <w:szCs w:val="21"/>
                <w:lang w:bidi="ar"/>
              </w:rPr>
              <w:t>0.462</w:t>
            </w:r>
          </w:p>
        </w:tc>
        <w:tc>
          <w:tcPr>
            <w:tcW w:w="744" w:type="pct"/>
            <w:shd w:val="clear" w:color="auto" w:fill="auto"/>
            <w:vAlign w:val="center"/>
          </w:tcPr>
          <w:p w14:paraId="109A2117">
            <w:pPr>
              <w:widowControl/>
              <w:spacing w:line="240" w:lineRule="auto"/>
              <w:ind w:firstLine="0" w:firstLineChars="0"/>
              <w:jc w:val="center"/>
              <w:rPr>
                <w:color w:val="auto"/>
                <w:sz w:val="21"/>
                <w:szCs w:val="21"/>
              </w:rPr>
            </w:pPr>
            <w:r>
              <w:rPr>
                <w:rFonts w:eastAsia="等线"/>
                <w:color w:val="auto"/>
                <w:kern w:val="0"/>
                <w:sz w:val="21"/>
                <w:szCs w:val="21"/>
                <w:lang w:bidi="ar"/>
              </w:rPr>
              <w:t>0.198</w:t>
            </w:r>
          </w:p>
        </w:tc>
        <w:tc>
          <w:tcPr>
            <w:tcW w:w="744" w:type="pct"/>
            <w:shd w:val="clear" w:color="auto" w:fill="auto"/>
            <w:vAlign w:val="center"/>
          </w:tcPr>
          <w:p w14:paraId="0226C0C3">
            <w:pPr>
              <w:widowControl/>
              <w:spacing w:line="240" w:lineRule="auto"/>
              <w:ind w:firstLine="0" w:firstLineChars="0"/>
              <w:jc w:val="center"/>
              <w:rPr>
                <w:color w:val="auto"/>
                <w:sz w:val="21"/>
                <w:szCs w:val="21"/>
              </w:rPr>
            </w:pPr>
            <w:r>
              <w:rPr>
                <w:rFonts w:hint="eastAsia"/>
                <w:color w:val="auto"/>
                <w:kern w:val="0"/>
                <w:sz w:val="21"/>
                <w:szCs w:val="21"/>
                <w:lang w:bidi="ar"/>
              </w:rPr>
              <w:t>0.198</w:t>
            </w:r>
          </w:p>
        </w:tc>
      </w:tr>
      <w:tr w14:paraId="668276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7E4BB20E">
            <w:pPr>
              <w:widowControl/>
              <w:spacing w:line="240" w:lineRule="auto"/>
              <w:ind w:firstLine="0" w:firstLineChars="0"/>
              <w:jc w:val="center"/>
              <w:rPr>
                <w:color w:val="auto"/>
                <w:kern w:val="0"/>
                <w:sz w:val="21"/>
                <w:szCs w:val="21"/>
              </w:rPr>
            </w:pPr>
          </w:p>
        </w:tc>
        <w:tc>
          <w:tcPr>
            <w:tcW w:w="857" w:type="pct"/>
            <w:shd w:val="clear" w:color="auto" w:fill="auto"/>
            <w:vAlign w:val="center"/>
          </w:tcPr>
          <w:p w14:paraId="64322FE9">
            <w:pPr>
              <w:widowControl/>
              <w:spacing w:line="240" w:lineRule="auto"/>
              <w:ind w:firstLine="0" w:firstLineChars="0"/>
              <w:jc w:val="center"/>
              <w:rPr>
                <w:bCs/>
                <w:color w:val="auto"/>
                <w:kern w:val="0"/>
                <w:sz w:val="21"/>
                <w:szCs w:val="21"/>
                <w:lang w:bidi="ar"/>
              </w:rPr>
            </w:pPr>
            <w:r>
              <w:rPr>
                <w:bCs/>
                <w:color w:val="auto"/>
                <w:kern w:val="0"/>
                <w:sz w:val="21"/>
                <w:szCs w:val="21"/>
                <w:lang w:bidi="ar"/>
              </w:rPr>
              <w:t>盐分</w:t>
            </w:r>
          </w:p>
        </w:tc>
        <w:tc>
          <w:tcPr>
            <w:tcW w:w="756" w:type="pct"/>
            <w:shd w:val="clear" w:color="auto" w:fill="auto"/>
            <w:vAlign w:val="center"/>
          </w:tcPr>
          <w:p w14:paraId="6F63952C">
            <w:pPr>
              <w:widowControl/>
              <w:spacing w:line="240" w:lineRule="auto"/>
              <w:ind w:firstLine="0" w:firstLineChars="0"/>
              <w:jc w:val="center"/>
              <w:rPr>
                <w:color w:val="auto"/>
                <w:sz w:val="21"/>
                <w:szCs w:val="21"/>
              </w:rPr>
            </w:pPr>
            <w:r>
              <w:rPr>
                <w:rFonts w:eastAsia="等线"/>
                <w:color w:val="auto"/>
                <w:kern w:val="0"/>
                <w:sz w:val="21"/>
                <w:szCs w:val="21"/>
                <w:lang w:bidi="ar"/>
              </w:rPr>
              <w:t>259.627</w:t>
            </w:r>
          </w:p>
        </w:tc>
        <w:tc>
          <w:tcPr>
            <w:tcW w:w="909" w:type="pct"/>
            <w:shd w:val="clear" w:color="auto" w:fill="auto"/>
            <w:vAlign w:val="center"/>
          </w:tcPr>
          <w:p w14:paraId="7598E962">
            <w:pPr>
              <w:widowControl/>
              <w:spacing w:line="240" w:lineRule="auto"/>
              <w:ind w:firstLine="0" w:firstLineChars="0"/>
              <w:jc w:val="center"/>
              <w:rPr>
                <w:color w:val="auto"/>
                <w:sz w:val="21"/>
                <w:szCs w:val="21"/>
              </w:rPr>
            </w:pPr>
            <w:r>
              <w:rPr>
                <w:rFonts w:eastAsia="等线"/>
                <w:color w:val="auto"/>
                <w:kern w:val="0"/>
                <w:sz w:val="21"/>
                <w:szCs w:val="21"/>
                <w:lang w:bidi="ar"/>
              </w:rPr>
              <w:t>129.813</w:t>
            </w:r>
          </w:p>
        </w:tc>
        <w:tc>
          <w:tcPr>
            <w:tcW w:w="744" w:type="pct"/>
            <w:shd w:val="clear" w:color="auto" w:fill="auto"/>
            <w:vAlign w:val="center"/>
          </w:tcPr>
          <w:p w14:paraId="2595E156">
            <w:pPr>
              <w:widowControl/>
              <w:spacing w:line="240" w:lineRule="auto"/>
              <w:ind w:firstLine="0" w:firstLineChars="0"/>
              <w:jc w:val="center"/>
              <w:rPr>
                <w:color w:val="auto"/>
                <w:sz w:val="21"/>
                <w:szCs w:val="21"/>
              </w:rPr>
            </w:pPr>
            <w:r>
              <w:rPr>
                <w:rFonts w:eastAsia="等线"/>
                <w:color w:val="auto"/>
                <w:kern w:val="0"/>
                <w:sz w:val="21"/>
                <w:szCs w:val="21"/>
                <w:lang w:bidi="ar"/>
              </w:rPr>
              <w:t>129.814</w:t>
            </w:r>
          </w:p>
        </w:tc>
        <w:tc>
          <w:tcPr>
            <w:tcW w:w="744" w:type="pct"/>
            <w:shd w:val="clear" w:color="auto" w:fill="auto"/>
            <w:vAlign w:val="center"/>
          </w:tcPr>
          <w:p w14:paraId="515F5291">
            <w:pPr>
              <w:widowControl/>
              <w:spacing w:line="240" w:lineRule="auto"/>
              <w:ind w:firstLine="0" w:firstLineChars="0"/>
              <w:jc w:val="center"/>
              <w:rPr>
                <w:color w:val="auto"/>
                <w:sz w:val="21"/>
                <w:szCs w:val="21"/>
              </w:rPr>
            </w:pPr>
            <w:r>
              <w:rPr>
                <w:rFonts w:eastAsia="等线"/>
                <w:color w:val="auto"/>
                <w:kern w:val="0"/>
                <w:sz w:val="21"/>
                <w:szCs w:val="21"/>
                <w:lang w:bidi="ar"/>
              </w:rPr>
              <w:t>129.814</w:t>
            </w:r>
          </w:p>
        </w:tc>
      </w:tr>
      <w:tr w14:paraId="055FA3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restart"/>
            <w:shd w:val="clear" w:color="auto" w:fill="auto"/>
            <w:vAlign w:val="center"/>
          </w:tcPr>
          <w:p w14:paraId="69D0D539">
            <w:pPr>
              <w:widowControl/>
              <w:spacing w:line="240" w:lineRule="auto"/>
              <w:ind w:firstLine="0" w:firstLineChars="0"/>
              <w:jc w:val="center"/>
              <w:rPr>
                <w:color w:val="auto"/>
                <w:kern w:val="0"/>
                <w:sz w:val="21"/>
                <w:szCs w:val="21"/>
              </w:rPr>
            </w:pPr>
            <w:r>
              <w:rPr>
                <w:color w:val="auto"/>
                <w:kern w:val="0"/>
                <w:sz w:val="21"/>
                <w:szCs w:val="21"/>
              </w:rPr>
              <w:t>固体废物</w:t>
            </w:r>
          </w:p>
        </w:tc>
        <w:tc>
          <w:tcPr>
            <w:tcW w:w="857" w:type="pct"/>
            <w:shd w:val="clear" w:color="auto" w:fill="auto"/>
            <w:vAlign w:val="center"/>
          </w:tcPr>
          <w:p w14:paraId="28B6E1A2">
            <w:pPr>
              <w:widowControl/>
              <w:spacing w:line="240" w:lineRule="auto"/>
              <w:ind w:firstLine="0" w:firstLineChars="0"/>
              <w:jc w:val="center"/>
              <w:rPr>
                <w:color w:val="auto"/>
                <w:kern w:val="0"/>
                <w:sz w:val="21"/>
                <w:szCs w:val="21"/>
              </w:rPr>
            </w:pPr>
            <w:r>
              <w:rPr>
                <w:color w:val="auto"/>
                <w:kern w:val="0"/>
                <w:sz w:val="21"/>
                <w:szCs w:val="21"/>
              </w:rPr>
              <w:t>一般固体废物</w:t>
            </w:r>
          </w:p>
        </w:tc>
        <w:tc>
          <w:tcPr>
            <w:tcW w:w="756" w:type="pct"/>
            <w:shd w:val="clear" w:color="auto" w:fill="auto"/>
            <w:vAlign w:val="center"/>
          </w:tcPr>
          <w:p w14:paraId="7CC31854">
            <w:pPr>
              <w:widowControl/>
              <w:spacing w:line="240" w:lineRule="auto"/>
              <w:ind w:firstLine="0" w:firstLineChars="0"/>
              <w:jc w:val="center"/>
              <w:rPr>
                <w:color w:val="auto"/>
                <w:kern w:val="0"/>
                <w:sz w:val="21"/>
                <w:szCs w:val="21"/>
              </w:rPr>
            </w:pPr>
            <w:r>
              <w:rPr>
                <w:color w:val="auto"/>
                <w:kern w:val="0"/>
                <w:sz w:val="21"/>
                <w:szCs w:val="21"/>
              </w:rPr>
              <w:t>247</w:t>
            </w:r>
            <w:r>
              <w:rPr>
                <w:rFonts w:hint="eastAsia"/>
                <w:color w:val="auto"/>
                <w:kern w:val="0"/>
                <w:sz w:val="21"/>
                <w:szCs w:val="21"/>
              </w:rPr>
              <w:t>42.212</w:t>
            </w:r>
          </w:p>
        </w:tc>
        <w:tc>
          <w:tcPr>
            <w:tcW w:w="909" w:type="pct"/>
            <w:shd w:val="clear" w:color="auto" w:fill="auto"/>
            <w:vAlign w:val="center"/>
          </w:tcPr>
          <w:p w14:paraId="4D2FEBAC">
            <w:pPr>
              <w:widowControl/>
              <w:spacing w:line="240" w:lineRule="auto"/>
              <w:ind w:firstLine="0" w:firstLineChars="0"/>
              <w:jc w:val="center"/>
              <w:rPr>
                <w:color w:val="auto"/>
                <w:kern w:val="0"/>
                <w:sz w:val="21"/>
                <w:szCs w:val="21"/>
              </w:rPr>
            </w:pPr>
            <w:r>
              <w:rPr>
                <w:color w:val="auto"/>
                <w:kern w:val="0"/>
                <w:sz w:val="21"/>
                <w:szCs w:val="21"/>
              </w:rPr>
              <w:t>247</w:t>
            </w:r>
            <w:r>
              <w:rPr>
                <w:rFonts w:hint="eastAsia"/>
                <w:color w:val="auto"/>
                <w:kern w:val="0"/>
                <w:sz w:val="21"/>
                <w:szCs w:val="21"/>
              </w:rPr>
              <w:t>42.212</w:t>
            </w:r>
          </w:p>
        </w:tc>
        <w:tc>
          <w:tcPr>
            <w:tcW w:w="744" w:type="pct"/>
            <w:shd w:val="clear" w:color="auto" w:fill="auto"/>
            <w:vAlign w:val="center"/>
          </w:tcPr>
          <w:p w14:paraId="16077AE4">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2015719A">
            <w:pPr>
              <w:widowControl/>
              <w:spacing w:line="240" w:lineRule="auto"/>
              <w:ind w:firstLine="0" w:firstLineChars="0"/>
              <w:jc w:val="center"/>
              <w:rPr>
                <w:color w:val="auto"/>
                <w:kern w:val="0"/>
                <w:sz w:val="21"/>
                <w:szCs w:val="21"/>
              </w:rPr>
            </w:pPr>
            <w:r>
              <w:rPr>
                <w:color w:val="auto"/>
                <w:kern w:val="0"/>
                <w:sz w:val="21"/>
                <w:szCs w:val="21"/>
              </w:rPr>
              <w:t>0</w:t>
            </w:r>
          </w:p>
        </w:tc>
      </w:tr>
      <w:tr w14:paraId="4C9AF5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3469FE3F">
            <w:pPr>
              <w:widowControl/>
              <w:spacing w:line="240" w:lineRule="auto"/>
              <w:ind w:firstLine="0" w:firstLineChars="0"/>
              <w:jc w:val="center"/>
              <w:rPr>
                <w:color w:val="auto"/>
                <w:kern w:val="0"/>
                <w:sz w:val="21"/>
                <w:szCs w:val="21"/>
              </w:rPr>
            </w:pPr>
          </w:p>
        </w:tc>
        <w:tc>
          <w:tcPr>
            <w:tcW w:w="857" w:type="pct"/>
            <w:shd w:val="clear" w:color="auto" w:fill="auto"/>
            <w:vAlign w:val="center"/>
          </w:tcPr>
          <w:p w14:paraId="206DFCDB">
            <w:pPr>
              <w:widowControl/>
              <w:spacing w:line="240" w:lineRule="auto"/>
              <w:ind w:firstLine="0" w:firstLineChars="0"/>
              <w:jc w:val="center"/>
              <w:rPr>
                <w:color w:val="auto"/>
                <w:kern w:val="0"/>
                <w:sz w:val="21"/>
                <w:szCs w:val="21"/>
              </w:rPr>
            </w:pPr>
            <w:r>
              <w:rPr>
                <w:color w:val="auto"/>
                <w:kern w:val="0"/>
                <w:sz w:val="21"/>
                <w:szCs w:val="21"/>
              </w:rPr>
              <w:t>危险废物</w:t>
            </w:r>
          </w:p>
        </w:tc>
        <w:tc>
          <w:tcPr>
            <w:tcW w:w="756" w:type="pct"/>
            <w:shd w:val="clear" w:color="auto" w:fill="auto"/>
            <w:vAlign w:val="center"/>
          </w:tcPr>
          <w:p w14:paraId="57FD55BE">
            <w:pPr>
              <w:widowControl/>
              <w:spacing w:line="240" w:lineRule="auto"/>
              <w:ind w:firstLine="0" w:firstLineChars="0"/>
              <w:jc w:val="center"/>
              <w:rPr>
                <w:color w:val="auto"/>
                <w:kern w:val="0"/>
                <w:sz w:val="21"/>
                <w:szCs w:val="21"/>
              </w:rPr>
            </w:pPr>
            <w:r>
              <w:rPr>
                <w:rFonts w:hint="eastAsia"/>
                <w:color w:val="auto"/>
                <w:kern w:val="0"/>
                <w:sz w:val="21"/>
                <w:szCs w:val="21"/>
              </w:rPr>
              <w:t>3989.86</w:t>
            </w:r>
          </w:p>
        </w:tc>
        <w:tc>
          <w:tcPr>
            <w:tcW w:w="909" w:type="pct"/>
            <w:shd w:val="clear" w:color="auto" w:fill="auto"/>
            <w:vAlign w:val="center"/>
          </w:tcPr>
          <w:p w14:paraId="2C26D059">
            <w:pPr>
              <w:widowControl/>
              <w:spacing w:line="240" w:lineRule="auto"/>
              <w:ind w:firstLine="0" w:firstLineChars="0"/>
              <w:jc w:val="center"/>
              <w:rPr>
                <w:color w:val="auto"/>
                <w:kern w:val="0"/>
                <w:sz w:val="21"/>
                <w:szCs w:val="21"/>
              </w:rPr>
            </w:pPr>
            <w:r>
              <w:rPr>
                <w:rFonts w:hint="eastAsia"/>
                <w:color w:val="auto"/>
                <w:kern w:val="0"/>
                <w:sz w:val="21"/>
                <w:szCs w:val="21"/>
              </w:rPr>
              <w:t>3989.86</w:t>
            </w:r>
          </w:p>
        </w:tc>
        <w:tc>
          <w:tcPr>
            <w:tcW w:w="744" w:type="pct"/>
            <w:shd w:val="clear" w:color="auto" w:fill="auto"/>
            <w:vAlign w:val="center"/>
          </w:tcPr>
          <w:p w14:paraId="393D4A57">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39BD99D1">
            <w:pPr>
              <w:widowControl/>
              <w:spacing w:line="240" w:lineRule="auto"/>
              <w:ind w:firstLine="0" w:firstLineChars="0"/>
              <w:jc w:val="center"/>
              <w:rPr>
                <w:color w:val="auto"/>
                <w:kern w:val="0"/>
                <w:sz w:val="21"/>
                <w:szCs w:val="21"/>
              </w:rPr>
            </w:pPr>
            <w:r>
              <w:rPr>
                <w:color w:val="auto"/>
                <w:kern w:val="0"/>
                <w:sz w:val="21"/>
                <w:szCs w:val="21"/>
              </w:rPr>
              <w:t>0</w:t>
            </w:r>
          </w:p>
        </w:tc>
      </w:tr>
      <w:tr w14:paraId="622768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986" w:type="pct"/>
            <w:gridSpan w:val="2"/>
            <w:vMerge w:val="continue"/>
            <w:vAlign w:val="center"/>
          </w:tcPr>
          <w:p w14:paraId="60198385">
            <w:pPr>
              <w:widowControl/>
              <w:spacing w:line="240" w:lineRule="auto"/>
              <w:ind w:firstLine="0" w:firstLineChars="0"/>
              <w:jc w:val="center"/>
              <w:rPr>
                <w:color w:val="auto"/>
                <w:kern w:val="0"/>
                <w:sz w:val="21"/>
                <w:szCs w:val="21"/>
              </w:rPr>
            </w:pPr>
          </w:p>
        </w:tc>
        <w:tc>
          <w:tcPr>
            <w:tcW w:w="857" w:type="pct"/>
            <w:shd w:val="clear" w:color="auto" w:fill="auto"/>
            <w:vAlign w:val="center"/>
          </w:tcPr>
          <w:p w14:paraId="5F92DFB8">
            <w:pPr>
              <w:widowControl/>
              <w:spacing w:line="240" w:lineRule="auto"/>
              <w:ind w:firstLine="0" w:firstLineChars="0"/>
              <w:jc w:val="center"/>
              <w:rPr>
                <w:color w:val="auto"/>
                <w:kern w:val="0"/>
                <w:sz w:val="21"/>
                <w:szCs w:val="21"/>
              </w:rPr>
            </w:pPr>
            <w:r>
              <w:rPr>
                <w:color w:val="auto"/>
                <w:kern w:val="0"/>
                <w:sz w:val="21"/>
                <w:szCs w:val="21"/>
              </w:rPr>
              <w:t>生活垃圾</w:t>
            </w:r>
          </w:p>
        </w:tc>
        <w:tc>
          <w:tcPr>
            <w:tcW w:w="756" w:type="pct"/>
            <w:shd w:val="clear" w:color="auto" w:fill="auto"/>
            <w:vAlign w:val="center"/>
          </w:tcPr>
          <w:p w14:paraId="2AA5A264">
            <w:pPr>
              <w:widowControl/>
              <w:spacing w:line="240" w:lineRule="auto"/>
              <w:ind w:firstLine="0" w:firstLineChars="0"/>
              <w:jc w:val="center"/>
              <w:rPr>
                <w:color w:val="auto"/>
                <w:kern w:val="0"/>
                <w:sz w:val="21"/>
                <w:szCs w:val="21"/>
              </w:rPr>
            </w:pPr>
            <w:r>
              <w:rPr>
                <w:color w:val="auto"/>
                <w:kern w:val="0"/>
                <w:sz w:val="21"/>
                <w:szCs w:val="21"/>
              </w:rPr>
              <w:t>306.5</w:t>
            </w:r>
          </w:p>
        </w:tc>
        <w:tc>
          <w:tcPr>
            <w:tcW w:w="909" w:type="pct"/>
            <w:shd w:val="clear" w:color="auto" w:fill="auto"/>
            <w:vAlign w:val="center"/>
          </w:tcPr>
          <w:p w14:paraId="4D9DCD36">
            <w:pPr>
              <w:widowControl/>
              <w:spacing w:line="240" w:lineRule="auto"/>
              <w:ind w:firstLine="0" w:firstLineChars="0"/>
              <w:jc w:val="center"/>
              <w:rPr>
                <w:color w:val="auto"/>
                <w:kern w:val="0"/>
                <w:sz w:val="21"/>
                <w:szCs w:val="21"/>
              </w:rPr>
            </w:pPr>
            <w:r>
              <w:rPr>
                <w:color w:val="auto"/>
                <w:kern w:val="0"/>
                <w:sz w:val="21"/>
                <w:szCs w:val="21"/>
              </w:rPr>
              <w:t>306.5</w:t>
            </w:r>
          </w:p>
        </w:tc>
        <w:tc>
          <w:tcPr>
            <w:tcW w:w="744" w:type="pct"/>
            <w:shd w:val="clear" w:color="auto" w:fill="auto"/>
            <w:vAlign w:val="center"/>
          </w:tcPr>
          <w:p w14:paraId="3A8E6844">
            <w:pPr>
              <w:widowControl/>
              <w:spacing w:line="240" w:lineRule="auto"/>
              <w:ind w:firstLine="0" w:firstLineChars="0"/>
              <w:jc w:val="center"/>
              <w:rPr>
                <w:color w:val="auto"/>
                <w:kern w:val="0"/>
                <w:sz w:val="21"/>
                <w:szCs w:val="21"/>
              </w:rPr>
            </w:pPr>
            <w:r>
              <w:rPr>
                <w:color w:val="auto"/>
                <w:kern w:val="0"/>
                <w:sz w:val="21"/>
                <w:szCs w:val="21"/>
              </w:rPr>
              <w:t>0</w:t>
            </w:r>
          </w:p>
        </w:tc>
        <w:tc>
          <w:tcPr>
            <w:tcW w:w="744" w:type="pct"/>
            <w:shd w:val="clear" w:color="auto" w:fill="auto"/>
            <w:vAlign w:val="center"/>
          </w:tcPr>
          <w:p w14:paraId="71A25E19">
            <w:pPr>
              <w:widowControl/>
              <w:spacing w:line="240" w:lineRule="auto"/>
              <w:ind w:firstLine="0" w:firstLineChars="0"/>
              <w:jc w:val="center"/>
              <w:rPr>
                <w:color w:val="auto"/>
                <w:kern w:val="0"/>
                <w:sz w:val="21"/>
                <w:szCs w:val="21"/>
              </w:rPr>
            </w:pPr>
            <w:r>
              <w:rPr>
                <w:color w:val="auto"/>
                <w:kern w:val="0"/>
                <w:sz w:val="21"/>
                <w:szCs w:val="21"/>
              </w:rPr>
              <w:t>0</w:t>
            </w:r>
          </w:p>
        </w:tc>
      </w:tr>
    </w:tbl>
    <w:p w14:paraId="1C8BC92D">
      <w:pPr>
        <w:widowControl/>
        <w:ind w:firstLine="482"/>
        <w:rPr>
          <w:b/>
          <w:bCs/>
          <w:snapToGrid w:val="0"/>
          <w:color w:val="auto"/>
        </w:rPr>
      </w:pPr>
      <w:r>
        <w:rPr>
          <w:b/>
          <w:bCs/>
          <w:snapToGrid w:val="0"/>
          <w:color w:val="auto"/>
          <w:kern w:val="0"/>
        </w:rPr>
        <w:t>3、总量平衡途径</w:t>
      </w:r>
    </w:p>
    <w:p w14:paraId="39B17613">
      <w:pPr>
        <w:ind w:firstLine="482"/>
        <w:rPr>
          <w:b/>
          <w:bCs/>
          <w:color w:val="auto"/>
        </w:rPr>
      </w:pPr>
      <w:r>
        <w:rPr>
          <w:b/>
          <w:bCs/>
          <w:color w:val="auto"/>
        </w:rPr>
        <w:t>（1）废气</w:t>
      </w:r>
    </w:p>
    <w:p w14:paraId="680B8F9E">
      <w:pPr>
        <w:ind w:firstLine="480"/>
        <w:rPr>
          <w:color w:val="auto"/>
        </w:rPr>
      </w:pPr>
      <w:r>
        <w:rPr>
          <w:color w:val="auto"/>
        </w:rPr>
        <w:t>本项目有组织污染物排放量</w:t>
      </w:r>
      <w:r>
        <w:rPr>
          <w:rFonts w:hint="eastAsia"/>
          <w:color w:val="auto"/>
        </w:rPr>
        <w:t>颗粒物1.848t/a、SO</w:t>
      </w:r>
      <w:r>
        <w:rPr>
          <w:rFonts w:hint="eastAsia"/>
          <w:color w:val="auto"/>
          <w:vertAlign w:val="subscript"/>
        </w:rPr>
        <w:t>2</w:t>
      </w:r>
      <w:r>
        <w:rPr>
          <w:rFonts w:hint="eastAsia"/>
          <w:color w:val="auto"/>
        </w:rPr>
        <w:t xml:space="preserve"> 0.768t/a、NOx 7.183t/a，碱雾1.887t/a、硫酸雾3.980t/a、NH</w:t>
      </w:r>
      <w:r>
        <w:rPr>
          <w:rFonts w:hint="eastAsia"/>
          <w:color w:val="auto"/>
          <w:vertAlign w:val="subscript"/>
        </w:rPr>
        <w:t>3</w:t>
      </w:r>
      <w:r>
        <w:rPr>
          <w:rFonts w:hint="eastAsia"/>
          <w:color w:val="auto"/>
        </w:rPr>
        <w:t xml:space="preserve"> 0.532t/a。新增污染物总量通过江苏省排污总量指标储备和交易管理系统申请政府指标，由连云港市生态环境局开发区分局核定后在开发区内平衡。</w:t>
      </w:r>
    </w:p>
    <w:p w14:paraId="1E917CA3">
      <w:pPr>
        <w:ind w:firstLine="482"/>
        <w:rPr>
          <w:b/>
          <w:bCs/>
          <w:color w:val="auto"/>
        </w:rPr>
      </w:pPr>
      <w:r>
        <w:rPr>
          <w:b/>
          <w:bCs/>
          <w:color w:val="auto"/>
        </w:rPr>
        <w:t>（2）废水</w:t>
      </w:r>
    </w:p>
    <w:p w14:paraId="4E6743B1">
      <w:pPr>
        <w:ind w:firstLine="480"/>
        <w:rPr>
          <w:color w:val="auto"/>
        </w:rPr>
      </w:pPr>
      <w:r>
        <w:rPr>
          <w:color w:val="auto"/>
        </w:rPr>
        <w:t>本项目</w:t>
      </w:r>
      <w:r>
        <w:rPr>
          <w:rFonts w:hint="eastAsia"/>
          <w:color w:val="auto"/>
        </w:rPr>
        <w:t xml:space="preserve">废水接管量290159.33t/a，COD </w:t>
      </w:r>
      <w:r>
        <w:rPr>
          <w:rFonts w:hint="eastAsia"/>
          <w:color w:val="auto"/>
          <w:lang w:val="en-US" w:eastAsia="zh-CN"/>
        </w:rPr>
        <w:t>76.370</w:t>
      </w:r>
      <w:r>
        <w:rPr>
          <w:rFonts w:hint="eastAsia"/>
          <w:color w:val="auto"/>
        </w:rPr>
        <w:t>t/a，SS 10.952t/a，氨氮5.</w:t>
      </w:r>
      <w:r>
        <w:rPr>
          <w:rFonts w:hint="eastAsia"/>
          <w:color w:val="auto"/>
          <w:lang w:val="en-US" w:eastAsia="zh-CN"/>
        </w:rPr>
        <w:t>226</w:t>
      </w:r>
      <w:r>
        <w:rPr>
          <w:rFonts w:hint="eastAsia"/>
          <w:color w:val="auto"/>
        </w:rPr>
        <w:t>t/a、总磷0.1</w:t>
      </w:r>
      <w:r>
        <w:rPr>
          <w:rFonts w:hint="eastAsia"/>
          <w:color w:val="auto"/>
          <w:lang w:val="en-US" w:eastAsia="zh-CN"/>
        </w:rPr>
        <w:t>56</w:t>
      </w:r>
      <w:r>
        <w:rPr>
          <w:rFonts w:hint="eastAsia"/>
          <w:color w:val="auto"/>
        </w:rPr>
        <w:t>t/a、总氮</w:t>
      </w:r>
      <w:r>
        <w:rPr>
          <w:rFonts w:hint="eastAsia"/>
          <w:color w:val="auto"/>
          <w:lang w:val="en-US" w:eastAsia="zh-CN"/>
        </w:rPr>
        <w:t>8.391</w:t>
      </w:r>
      <w:r>
        <w:rPr>
          <w:rFonts w:hint="eastAsia"/>
          <w:color w:val="auto"/>
        </w:rPr>
        <w:t>t/a、石油类1.</w:t>
      </w:r>
      <w:r>
        <w:rPr>
          <w:rFonts w:hint="eastAsia"/>
          <w:color w:val="auto"/>
          <w:lang w:val="en-US" w:eastAsia="zh-CN"/>
        </w:rPr>
        <w:t>748</w:t>
      </w:r>
      <w:r>
        <w:rPr>
          <w:rFonts w:hint="eastAsia"/>
          <w:color w:val="auto"/>
        </w:rPr>
        <w:t xml:space="preserve">t/a，总铝0.394t/a，LAS </w:t>
      </w:r>
      <w:r>
        <w:rPr>
          <w:rFonts w:hint="eastAsia"/>
          <w:color w:val="auto"/>
          <w:lang w:val="en-US" w:eastAsia="zh-CN"/>
        </w:rPr>
        <w:t>4.912</w:t>
      </w:r>
      <w:r>
        <w:rPr>
          <w:rFonts w:hint="eastAsia"/>
          <w:color w:val="auto"/>
        </w:rPr>
        <w:t>t/a，总锡0.851t/a，动植物油0.198t/a和盐分129.814t/a；最终外排量：废水量290159.33t/a，COD 14.508t/a，SS 2.902t/a，氨氮1.451t/a，总磷0.145t/a，总氮4.352t/a，石油类0.290t/a，总铝0.389t/a，LAS 0.145t/a，总锡0.851t/a和动植物油0.198t/a。项目新增污染物总量在连云港经济技术开发区内平衡。</w:t>
      </w:r>
    </w:p>
    <w:p w14:paraId="6A9CCC44">
      <w:pPr>
        <w:ind w:firstLine="482"/>
        <w:rPr>
          <w:b/>
          <w:bCs/>
          <w:color w:val="auto"/>
        </w:rPr>
      </w:pPr>
      <w:r>
        <w:rPr>
          <w:b/>
          <w:bCs/>
          <w:color w:val="auto"/>
        </w:rPr>
        <w:t>（3）固废</w:t>
      </w:r>
    </w:p>
    <w:p w14:paraId="1C554D48">
      <w:pPr>
        <w:ind w:firstLine="480"/>
        <w:rPr>
          <w:color w:val="auto"/>
        </w:rPr>
      </w:pPr>
      <w:r>
        <w:rPr>
          <w:color w:val="auto"/>
        </w:rPr>
        <w:t>本项目所有固废均进行妥善处理处置，外排量为零。</w:t>
      </w:r>
    </w:p>
    <w:p w14:paraId="04972A6B">
      <w:pPr>
        <w:ind w:firstLine="0" w:firstLineChars="0"/>
        <w:rPr>
          <w:color w:val="auto"/>
        </w:rPr>
        <w:sectPr>
          <w:pgSz w:w="11906" w:h="16838"/>
          <w:pgMar w:top="1418" w:right="1452" w:bottom="1418" w:left="1452" w:header="851" w:footer="992" w:gutter="0"/>
          <w:paperSrc w:first="7" w:other="7"/>
          <w:cols w:space="720" w:num="1"/>
          <w:docGrid w:linePitch="312" w:charSpace="0"/>
        </w:sectPr>
      </w:pPr>
    </w:p>
    <w:p w14:paraId="1F0D487C">
      <w:pPr>
        <w:ind w:firstLine="480"/>
        <w:rPr>
          <w:bCs/>
          <w:color w:val="auto"/>
        </w:rPr>
      </w:pPr>
      <w:r>
        <w:rPr>
          <w:rFonts w:hint="eastAsia"/>
          <w:bCs/>
          <w:color w:val="auto"/>
        </w:rPr>
        <w:t>本项目建成后全厂污染物排放量汇总情况见表9.3-3。</w:t>
      </w:r>
    </w:p>
    <w:p w14:paraId="5BA28D25">
      <w:pPr>
        <w:spacing w:line="240" w:lineRule="auto"/>
        <w:ind w:firstLine="482"/>
        <w:jc w:val="center"/>
        <w:rPr>
          <w:b/>
          <w:color w:val="auto"/>
        </w:rPr>
      </w:pPr>
      <w:r>
        <w:rPr>
          <w:b/>
          <w:color w:val="auto"/>
        </w:rPr>
        <w:t>表</w:t>
      </w:r>
      <w:r>
        <w:rPr>
          <w:rFonts w:hint="eastAsia"/>
          <w:b/>
          <w:color w:val="auto"/>
        </w:rPr>
        <w:t>9.3-3</w:t>
      </w:r>
      <w:r>
        <w:rPr>
          <w:b/>
          <w:color w:val="auto"/>
        </w:rPr>
        <w:t xml:space="preserve">  本项目</w:t>
      </w:r>
      <w:r>
        <w:rPr>
          <w:rFonts w:hint="eastAsia"/>
          <w:b/>
          <w:color w:val="auto"/>
        </w:rPr>
        <w:t>建成后全厂</w:t>
      </w:r>
      <w:r>
        <w:rPr>
          <w:b/>
          <w:color w:val="auto"/>
        </w:rPr>
        <w:t>污染物</w:t>
      </w:r>
      <w:r>
        <w:rPr>
          <w:rFonts w:hint="eastAsia"/>
          <w:b/>
          <w:color w:val="auto"/>
        </w:rPr>
        <w:t>排放量汇总表</w:t>
      </w:r>
      <w:r>
        <w:rPr>
          <w:b/>
          <w:color w:val="auto"/>
        </w:rPr>
        <w:t xml:space="preserve">   单位：t/a</w:t>
      </w:r>
    </w:p>
    <w:tbl>
      <w:tblPr>
        <w:tblStyle w:val="88"/>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580"/>
        <w:gridCol w:w="1112"/>
        <w:gridCol w:w="1166"/>
        <w:gridCol w:w="1120"/>
        <w:gridCol w:w="1285"/>
        <w:gridCol w:w="1129"/>
        <w:gridCol w:w="1288"/>
        <w:gridCol w:w="1280"/>
        <w:gridCol w:w="958"/>
        <w:gridCol w:w="1058"/>
        <w:gridCol w:w="2340"/>
      </w:tblGrid>
      <w:tr w14:paraId="7D41FB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restart"/>
            <w:shd w:val="clear" w:color="auto" w:fill="auto"/>
            <w:vAlign w:val="center"/>
          </w:tcPr>
          <w:p w14:paraId="404FBE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b/>
                <w:bCs/>
                <w:color w:val="auto"/>
                <w:kern w:val="0"/>
                <w:sz w:val="21"/>
                <w:szCs w:val="21"/>
              </w:rPr>
              <w:t>污染物种类</w:t>
            </w:r>
          </w:p>
        </w:tc>
        <w:tc>
          <w:tcPr>
            <w:tcW w:w="595" w:type="pct"/>
            <w:gridSpan w:val="2"/>
            <w:vMerge w:val="restart"/>
            <w:shd w:val="clear" w:color="auto" w:fill="auto"/>
            <w:vAlign w:val="center"/>
          </w:tcPr>
          <w:p w14:paraId="720318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b/>
                <w:bCs/>
                <w:color w:val="auto"/>
                <w:kern w:val="0"/>
                <w:sz w:val="21"/>
                <w:szCs w:val="21"/>
              </w:rPr>
              <w:t>污染物名称</w:t>
            </w:r>
          </w:p>
        </w:tc>
        <w:tc>
          <w:tcPr>
            <w:tcW w:w="410" w:type="pct"/>
            <w:vMerge w:val="restart"/>
            <w:shd w:val="clear" w:color="auto" w:fill="auto"/>
            <w:vAlign w:val="center"/>
          </w:tcPr>
          <w:p w14:paraId="15406F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现有项目接管量</w:t>
            </w:r>
          </w:p>
        </w:tc>
        <w:tc>
          <w:tcPr>
            <w:tcW w:w="394" w:type="pct"/>
            <w:vMerge w:val="restart"/>
            <w:shd w:val="clear" w:color="auto" w:fill="auto"/>
            <w:vAlign w:val="center"/>
          </w:tcPr>
          <w:p w14:paraId="526476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现有项目排放量</w:t>
            </w:r>
          </w:p>
        </w:tc>
        <w:tc>
          <w:tcPr>
            <w:tcW w:w="1752" w:type="pct"/>
            <w:gridSpan w:val="4"/>
            <w:shd w:val="clear" w:color="auto" w:fill="auto"/>
            <w:vAlign w:val="center"/>
          </w:tcPr>
          <w:p w14:paraId="1C2A58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本项目排放情况</w:t>
            </w:r>
          </w:p>
        </w:tc>
        <w:tc>
          <w:tcPr>
            <w:tcW w:w="337" w:type="pct"/>
            <w:vMerge w:val="restart"/>
            <w:shd w:val="clear" w:color="auto" w:fill="auto"/>
            <w:vAlign w:val="center"/>
          </w:tcPr>
          <w:p w14:paraId="16F7B1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“以新带老”削减量</w:t>
            </w:r>
          </w:p>
        </w:tc>
        <w:tc>
          <w:tcPr>
            <w:tcW w:w="372" w:type="pct"/>
            <w:vMerge w:val="restart"/>
            <w:shd w:val="clear" w:color="auto" w:fill="auto"/>
            <w:vAlign w:val="center"/>
          </w:tcPr>
          <w:p w14:paraId="4C3976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建成后全厂排放量</w:t>
            </w:r>
          </w:p>
        </w:tc>
        <w:tc>
          <w:tcPr>
            <w:tcW w:w="823" w:type="pct"/>
            <w:vMerge w:val="restart"/>
            <w:shd w:val="clear" w:color="auto" w:fill="auto"/>
            <w:vAlign w:val="center"/>
          </w:tcPr>
          <w:p w14:paraId="290585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排放增减量</w:t>
            </w:r>
          </w:p>
        </w:tc>
      </w:tr>
      <w:tr w14:paraId="513268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18C64E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c>
          <w:tcPr>
            <w:tcW w:w="595" w:type="pct"/>
            <w:gridSpan w:val="2"/>
            <w:vMerge w:val="continue"/>
            <w:shd w:val="clear" w:color="auto" w:fill="auto"/>
            <w:vAlign w:val="center"/>
          </w:tcPr>
          <w:p w14:paraId="49E49D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c>
          <w:tcPr>
            <w:tcW w:w="410" w:type="pct"/>
            <w:vMerge w:val="continue"/>
            <w:shd w:val="clear" w:color="auto" w:fill="auto"/>
            <w:vAlign w:val="center"/>
          </w:tcPr>
          <w:p w14:paraId="5E82D8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c>
          <w:tcPr>
            <w:tcW w:w="394" w:type="pct"/>
            <w:vMerge w:val="continue"/>
            <w:shd w:val="clear" w:color="auto" w:fill="auto"/>
            <w:vAlign w:val="center"/>
          </w:tcPr>
          <w:p w14:paraId="6D4C7E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c>
          <w:tcPr>
            <w:tcW w:w="452" w:type="pct"/>
            <w:shd w:val="clear" w:color="auto" w:fill="auto"/>
            <w:vAlign w:val="center"/>
          </w:tcPr>
          <w:p w14:paraId="5C1F84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b/>
                <w:bCs/>
                <w:color w:val="auto"/>
                <w:kern w:val="0"/>
                <w:sz w:val="21"/>
                <w:szCs w:val="21"/>
              </w:rPr>
              <w:t>产生量</w:t>
            </w:r>
          </w:p>
        </w:tc>
        <w:tc>
          <w:tcPr>
            <w:tcW w:w="397" w:type="pct"/>
            <w:shd w:val="clear" w:color="auto" w:fill="auto"/>
            <w:vAlign w:val="center"/>
          </w:tcPr>
          <w:p w14:paraId="78BE79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b/>
                <w:bCs/>
                <w:color w:val="auto"/>
                <w:kern w:val="0"/>
                <w:sz w:val="21"/>
                <w:szCs w:val="21"/>
              </w:rPr>
              <w:t>削减量</w:t>
            </w:r>
          </w:p>
        </w:tc>
        <w:tc>
          <w:tcPr>
            <w:tcW w:w="453" w:type="pct"/>
            <w:shd w:val="clear" w:color="auto" w:fill="auto"/>
            <w:vAlign w:val="center"/>
          </w:tcPr>
          <w:p w14:paraId="1F4AE3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接管量</w:t>
            </w:r>
          </w:p>
        </w:tc>
        <w:tc>
          <w:tcPr>
            <w:tcW w:w="448" w:type="pct"/>
            <w:shd w:val="clear" w:color="auto" w:fill="auto"/>
            <w:vAlign w:val="center"/>
          </w:tcPr>
          <w:p w14:paraId="614F46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r>
              <w:rPr>
                <w:rFonts w:hint="eastAsia"/>
                <w:b/>
                <w:bCs/>
                <w:color w:val="auto"/>
                <w:kern w:val="0"/>
                <w:sz w:val="21"/>
                <w:szCs w:val="21"/>
              </w:rPr>
              <w:t>排放量</w:t>
            </w:r>
          </w:p>
        </w:tc>
        <w:tc>
          <w:tcPr>
            <w:tcW w:w="337" w:type="pct"/>
            <w:vMerge w:val="continue"/>
            <w:shd w:val="clear" w:color="auto" w:fill="auto"/>
            <w:vAlign w:val="center"/>
          </w:tcPr>
          <w:p w14:paraId="53FEBF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c>
          <w:tcPr>
            <w:tcW w:w="372" w:type="pct"/>
            <w:vMerge w:val="continue"/>
            <w:shd w:val="clear" w:color="auto" w:fill="auto"/>
            <w:vAlign w:val="center"/>
          </w:tcPr>
          <w:p w14:paraId="109A56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c>
          <w:tcPr>
            <w:tcW w:w="823" w:type="pct"/>
            <w:vMerge w:val="continue"/>
            <w:shd w:val="clear" w:color="auto" w:fill="auto"/>
            <w:vAlign w:val="center"/>
          </w:tcPr>
          <w:p w14:paraId="77DD05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rPr>
            </w:pPr>
          </w:p>
        </w:tc>
      </w:tr>
      <w:tr w14:paraId="529379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4" w:type="pct"/>
            <w:vMerge w:val="restart"/>
            <w:shd w:val="clear" w:color="auto" w:fill="auto"/>
            <w:vAlign w:val="center"/>
          </w:tcPr>
          <w:p w14:paraId="1FE83A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废气</w:t>
            </w:r>
          </w:p>
        </w:tc>
        <w:tc>
          <w:tcPr>
            <w:tcW w:w="204" w:type="pct"/>
            <w:vMerge w:val="restart"/>
            <w:shd w:val="clear" w:color="auto" w:fill="auto"/>
            <w:vAlign w:val="center"/>
          </w:tcPr>
          <w:p w14:paraId="0811ED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有组织</w:t>
            </w:r>
          </w:p>
        </w:tc>
        <w:tc>
          <w:tcPr>
            <w:tcW w:w="391" w:type="pct"/>
            <w:shd w:val="clear" w:color="auto" w:fill="auto"/>
            <w:vAlign w:val="center"/>
          </w:tcPr>
          <w:p w14:paraId="3E808A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颗粒物</w:t>
            </w:r>
          </w:p>
        </w:tc>
        <w:tc>
          <w:tcPr>
            <w:tcW w:w="410" w:type="pct"/>
            <w:shd w:val="clear" w:color="auto" w:fill="auto"/>
            <w:vAlign w:val="center"/>
          </w:tcPr>
          <w:p w14:paraId="1BDDC6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394" w:type="pct"/>
            <w:shd w:val="clear" w:color="auto" w:fill="auto"/>
            <w:vAlign w:val="center"/>
          </w:tcPr>
          <w:p w14:paraId="053079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1B6D84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26.086</w:t>
            </w:r>
          </w:p>
        </w:tc>
        <w:tc>
          <w:tcPr>
            <w:tcW w:w="397" w:type="pct"/>
            <w:shd w:val="clear" w:color="auto" w:fill="auto"/>
            <w:vAlign w:val="center"/>
          </w:tcPr>
          <w:p w14:paraId="2F935B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24.238</w:t>
            </w:r>
          </w:p>
        </w:tc>
        <w:tc>
          <w:tcPr>
            <w:tcW w:w="453" w:type="pct"/>
            <w:shd w:val="clear" w:color="auto" w:fill="auto"/>
            <w:vAlign w:val="center"/>
          </w:tcPr>
          <w:p w14:paraId="721E89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33890B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1.848</w:t>
            </w:r>
          </w:p>
        </w:tc>
        <w:tc>
          <w:tcPr>
            <w:tcW w:w="337" w:type="pct"/>
            <w:shd w:val="clear" w:color="auto" w:fill="auto"/>
            <w:vAlign w:val="center"/>
          </w:tcPr>
          <w:p w14:paraId="54BC7B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196562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1.848</w:t>
            </w:r>
          </w:p>
        </w:tc>
        <w:tc>
          <w:tcPr>
            <w:tcW w:w="823" w:type="pct"/>
            <w:shd w:val="clear" w:color="auto" w:fill="auto"/>
            <w:vAlign w:val="center"/>
          </w:tcPr>
          <w:p w14:paraId="7CA974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1.848</w:t>
            </w:r>
          </w:p>
        </w:tc>
      </w:tr>
      <w:tr w14:paraId="2D074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04F6E5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06DB6B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089FBA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SO</w:t>
            </w:r>
            <w:r>
              <w:rPr>
                <w:color w:val="auto"/>
                <w:kern w:val="0"/>
                <w:sz w:val="21"/>
                <w:szCs w:val="21"/>
                <w:vertAlign w:val="subscript"/>
              </w:rPr>
              <w:t>2</w:t>
            </w:r>
          </w:p>
        </w:tc>
        <w:tc>
          <w:tcPr>
            <w:tcW w:w="410" w:type="pct"/>
            <w:shd w:val="clear" w:color="auto" w:fill="auto"/>
            <w:vAlign w:val="center"/>
          </w:tcPr>
          <w:p w14:paraId="3D5361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2A7720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0E50F9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0.768</w:t>
            </w:r>
          </w:p>
        </w:tc>
        <w:tc>
          <w:tcPr>
            <w:tcW w:w="397" w:type="pct"/>
            <w:shd w:val="clear" w:color="auto" w:fill="auto"/>
            <w:vAlign w:val="center"/>
          </w:tcPr>
          <w:p w14:paraId="1161BD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53" w:type="pct"/>
            <w:shd w:val="clear" w:color="auto" w:fill="auto"/>
            <w:vAlign w:val="center"/>
          </w:tcPr>
          <w:p w14:paraId="5BAF02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00E1B0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0.768</w:t>
            </w:r>
          </w:p>
        </w:tc>
        <w:tc>
          <w:tcPr>
            <w:tcW w:w="337" w:type="pct"/>
            <w:shd w:val="clear" w:color="auto" w:fill="auto"/>
            <w:vAlign w:val="center"/>
          </w:tcPr>
          <w:p w14:paraId="2F7C61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671175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0.768</w:t>
            </w:r>
          </w:p>
        </w:tc>
        <w:tc>
          <w:tcPr>
            <w:tcW w:w="823" w:type="pct"/>
            <w:shd w:val="clear" w:color="auto" w:fill="auto"/>
            <w:vAlign w:val="center"/>
          </w:tcPr>
          <w:p w14:paraId="48F8E6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0.768</w:t>
            </w:r>
          </w:p>
        </w:tc>
      </w:tr>
      <w:tr w14:paraId="2B36A7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626471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472BFF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32C040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NO</w:t>
            </w:r>
            <w:r>
              <w:rPr>
                <w:color w:val="auto"/>
                <w:kern w:val="0"/>
                <w:sz w:val="21"/>
                <w:szCs w:val="21"/>
                <w:vertAlign w:val="subscript"/>
              </w:rPr>
              <w:t>X</w:t>
            </w:r>
          </w:p>
        </w:tc>
        <w:tc>
          <w:tcPr>
            <w:tcW w:w="410" w:type="pct"/>
            <w:shd w:val="clear" w:color="auto" w:fill="auto"/>
            <w:vAlign w:val="center"/>
          </w:tcPr>
          <w:p w14:paraId="73E6A9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1C32C3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44DDF6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7.183</w:t>
            </w:r>
          </w:p>
        </w:tc>
        <w:tc>
          <w:tcPr>
            <w:tcW w:w="397" w:type="pct"/>
            <w:shd w:val="clear" w:color="auto" w:fill="auto"/>
            <w:vAlign w:val="center"/>
          </w:tcPr>
          <w:p w14:paraId="31442C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53" w:type="pct"/>
            <w:shd w:val="clear" w:color="auto" w:fill="auto"/>
            <w:vAlign w:val="center"/>
          </w:tcPr>
          <w:p w14:paraId="5B8241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436091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7.183</w:t>
            </w:r>
          </w:p>
        </w:tc>
        <w:tc>
          <w:tcPr>
            <w:tcW w:w="337" w:type="pct"/>
            <w:shd w:val="clear" w:color="auto" w:fill="auto"/>
            <w:vAlign w:val="center"/>
          </w:tcPr>
          <w:p w14:paraId="22D8A8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255933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7.183</w:t>
            </w:r>
          </w:p>
        </w:tc>
        <w:tc>
          <w:tcPr>
            <w:tcW w:w="823" w:type="pct"/>
            <w:shd w:val="clear" w:color="auto" w:fill="auto"/>
            <w:vAlign w:val="center"/>
          </w:tcPr>
          <w:p w14:paraId="65AFF4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7.183</w:t>
            </w:r>
          </w:p>
        </w:tc>
      </w:tr>
      <w:tr w14:paraId="54DBFC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3EA518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70FA92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29EB14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碱雾</w:t>
            </w:r>
          </w:p>
        </w:tc>
        <w:tc>
          <w:tcPr>
            <w:tcW w:w="410" w:type="pct"/>
            <w:shd w:val="clear" w:color="auto" w:fill="auto"/>
            <w:vAlign w:val="center"/>
          </w:tcPr>
          <w:p w14:paraId="3C412C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2DC959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712252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18.875</w:t>
            </w:r>
          </w:p>
        </w:tc>
        <w:tc>
          <w:tcPr>
            <w:tcW w:w="397" w:type="pct"/>
            <w:shd w:val="clear" w:color="auto" w:fill="auto"/>
            <w:vAlign w:val="center"/>
          </w:tcPr>
          <w:p w14:paraId="32812C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16.988</w:t>
            </w:r>
          </w:p>
        </w:tc>
        <w:tc>
          <w:tcPr>
            <w:tcW w:w="453" w:type="pct"/>
            <w:shd w:val="clear" w:color="auto" w:fill="auto"/>
            <w:vAlign w:val="center"/>
          </w:tcPr>
          <w:p w14:paraId="2866C0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63B9C8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1.887</w:t>
            </w:r>
          </w:p>
        </w:tc>
        <w:tc>
          <w:tcPr>
            <w:tcW w:w="337" w:type="pct"/>
            <w:shd w:val="clear" w:color="auto" w:fill="auto"/>
            <w:vAlign w:val="center"/>
          </w:tcPr>
          <w:p w14:paraId="06CA62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0C4278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1.887</w:t>
            </w:r>
          </w:p>
        </w:tc>
        <w:tc>
          <w:tcPr>
            <w:tcW w:w="823" w:type="pct"/>
            <w:shd w:val="clear" w:color="auto" w:fill="auto"/>
            <w:vAlign w:val="center"/>
          </w:tcPr>
          <w:p w14:paraId="0AE3CD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1.887</w:t>
            </w:r>
          </w:p>
        </w:tc>
      </w:tr>
      <w:tr w14:paraId="10EA6B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42DF89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359B97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0EA6C8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硫酸雾</w:t>
            </w:r>
          </w:p>
        </w:tc>
        <w:tc>
          <w:tcPr>
            <w:tcW w:w="410" w:type="pct"/>
            <w:shd w:val="clear" w:color="auto" w:fill="auto"/>
            <w:vAlign w:val="center"/>
          </w:tcPr>
          <w:p w14:paraId="4AAFBF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2ED60D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43475B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39.800</w:t>
            </w:r>
          </w:p>
        </w:tc>
        <w:tc>
          <w:tcPr>
            <w:tcW w:w="397" w:type="pct"/>
            <w:shd w:val="clear" w:color="auto" w:fill="auto"/>
            <w:vAlign w:val="center"/>
          </w:tcPr>
          <w:p w14:paraId="67B4E8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35.820</w:t>
            </w:r>
          </w:p>
        </w:tc>
        <w:tc>
          <w:tcPr>
            <w:tcW w:w="453" w:type="pct"/>
            <w:shd w:val="clear" w:color="auto" w:fill="auto"/>
            <w:vAlign w:val="center"/>
          </w:tcPr>
          <w:p w14:paraId="5670C6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782C72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3.980</w:t>
            </w:r>
          </w:p>
        </w:tc>
        <w:tc>
          <w:tcPr>
            <w:tcW w:w="337" w:type="pct"/>
            <w:shd w:val="clear" w:color="auto" w:fill="auto"/>
            <w:vAlign w:val="center"/>
          </w:tcPr>
          <w:p w14:paraId="6DCE2E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7A3100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3.980</w:t>
            </w:r>
          </w:p>
        </w:tc>
        <w:tc>
          <w:tcPr>
            <w:tcW w:w="823" w:type="pct"/>
            <w:shd w:val="clear" w:color="auto" w:fill="auto"/>
            <w:vAlign w:val="center"/>
          </w:tcPr>
          <w:p w14:paraId="69DA8F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3.980</w:t>
            </w:r>
          </w:p>
        </w:tc>
      </w:tr>
      <w:tr w14:paraId="2BB8F3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2C2D4C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21EA09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1828B4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NH</w:t>
            </w:r>
            <w:r>
              <w:rPr>
                <w:color w:val="auto"/>
                <w:kern w:val="0"/>
                <w:sz w:val="21"/>
                <w:szCs w:val="21"/>
                <w:vertAlign w:val="subscript"/>
              </w:rPr>
              <w:t>3</w:t>
            </w:r>
          </w:p>
        </w:tc>
        <w:tc>
          <w:tcPr>
            <w:tcW w:w="410" w:type="pct"/>
            <w:shd w:val="clear" w:color="auto" w:fill="auto"/>
            <w:vAlign w:val="center"/>
          </w:tcPr>
          <w:p w14:paraId="410852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054DCF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58F437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10.640</w:t>
            </w:r>
          </w:p>
        </w:tc>
        <w:tc>
          <w:tcPr>
            <w:tcW w:w="397" w:type="pct"/>
            <w:shd w:val="clear" w:color="auto" w:fill="auto"/>
            <w:vAlign w:val="center"/>
          </w:tcPr>
          <w:p w14:paraId="7730F9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10.108</w:t>
            </w:r>
          </w:p>
        </w:tc>
        <w:tc>
          <w:tcPr>
            <w:tcW w:w="453" w:type="pct"/>
            <w:shd w:val="clear" w:color="auto" w:fill="auto"/>
            <w:vAlign w:val="center"/>
          </w:tcPr>
          <w:p w14:paraId="2056B5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16D527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0.532</w:t>
            </w:r>
          </w:p>
        </w:tc>
        <w:tc>
          <w:tcPr>
            <w:tcW w:w="337" w:type="pct"/>
            <w:shd w:val="clear" w:color="auto" w:fill="auto"/>
            <w:vAlign w:val="center"/>
          </w:tcPr>
          <w:p w14:paraId="45D356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390697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0.532</w:t>
            </w:r>
          </w:p>
        </w:tc>
        <w:tc>
          <w:tcPr>
            <w:tcW w:w="823" w:type="pct"/>
            <w:shd w:val="clear" w:color="auto" w:fill="auto"/>
            <w:vAlign w:val="center"/>
          </w:tcPr>
          <w:p w14:paraId="2568DA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0.532</w:t>
            </w:r>
          </w:p>
        </w:tc>
      </w:tr>
      <w:tr w14:paraId="5DA0A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328EBA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restart"/>
            <w:shd w:val="clear" w:color="auto" w:fill="auto"/>
            <w:vAlign w:val="center"/>
          </w:tcPr>
          <w:p w14:paraId="5F7FEA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无组织</w:t>
            </w:r>
          </w:p>
        </w:tc>
        <w:tc>
          <w:tcPr>
            <w:tcW w:w="391" w:type="pct"/>
            <w:shd w:val="clear" w:color="auto" w:fill="auto"/>
            <w:vAlign w:val="center"/>
          </w:tcPr>
          <w:p w14:paraId="4395A5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颗粒物</w:t>
            </w:r>
          </w:p>
        </w:tc>
        <w:tc>
          <w:tcPr>
            <w:tcW w:w="410" w:type="pct"/>
            <w:shd w:val="clear" w:color="auto" w:fill="auto"/>
            <w:vAlign w:val="center"/>
          </w:tcPr>
          <w:p w14:paraId="10C9B0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394" w:type="pct"/>
            <w:shd w:val="clear" w:color="auto" w:fill="auto"/>
            <w:vAlign w:val="center"/>
          </w:tcPr>
          <w:p w14:paraId="52D875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39DCD9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3.449</w:t>
            </w:r>
          </w:p>
        </w:tc>
        <w:tc>
          <w:tcPr>
            <w:tcW w:w="397" w:type="pct"/>
            <w:shd w:val="clear" w:color="auto" w:fill="auto"/>
            <w:vAlign w:val="center"/>
          </w:tcPr>
          <w:p w14:paraId="3CF4EC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53" w:type="pct"/>
            <w:shd w:val="clear" w:color="auto" w:fill="auto"/>
            <w:vAlign w:val="center"/>
          </w:tcPr>
          <w:p w14:paraId="24EEA4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73CF5E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3.449</w:t>
            </w:r>
          </w:p>
        </w:tc>
        <w:tc>
          <w:tcPr>
            <w:tcW w:w="337" w:type="pct"/>
            <w:shd w:val="clear" w:color="auto" w:fill="auto"/>
            <w:vAlign w:val="center"/>
          </w:tcPr>
          <w:p w14:paraId="15D722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309A2E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3.449</w:t>
            </w:r>
          </w:p>
        </w:tc>
        <w:tc>
          <w:tcPr>
            <w:tcW w:w="823" w:type="pct"/>
            <w:shd w:val="clear" w:color="auto" w:fill="auto"/>
            <w:vAlign w:val="center"/>
          </w:tcPr>
          <w:p w14:paraId="31BA88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3.449</w:t>
            </w:r>
          </w:p>
        </w:tc>
      </w:tr>
      <w:tr w14:paraId="42E79A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67F9F5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5AF606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1E9575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碱雾</w:t>
            </w:r>
          </w:p>
        </w:tc>
        <w:tc>
          <w:tcPr>
            <w:tcW w:w="410" w:type="pct"/>
            <w:shd w:val="clear" w:color="auto" w:fill="auto"/>
            <w:vAlign w:val="center"/>
          </w:tcPr>
          <w:p w14:paraId="1BFF88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6E5293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652ABD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0.993</w:t>
            </w:r>
          </w:p>
        </w:tc>
        <w:tc>
          <w:tcPr>
            <w:tcW w:w="397" w:type="pct"/>
            <w:shd w:val="clear" w:color="auto" w:fill="auto"/>
            <w:vAlign w:val="center"/>
          </w:tcPr>
          <w:p w14:paraId="0982F0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53" w:type="pct"/>
            <w:shd w:val="clear" w:color="auto" w:fill="auto"/>
            <w:vAlign w:val="center"/>
          </w:tcPr>
          <w:p w14:paraId="617AFF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57BD4A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0.993</w:t>
            </w:r>
          </w:p>
        </w:tc>
        <w:tc>
          <w:tcPr>
            <w:tcW w:w="337" w:type="pct"/>
            <w:shd w:val="clear" w:color="auto" w:fill="auto"/>
            <w:vAlign w:val="center"/>
          </w:tcPr>
          <w:p w14:paraId="2EBB6C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5A1B88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0.993</w:t>
            </w:r>
          </w:p>
        </w:tc>
        <w:tc>
          <w:tcPr>
            <w:tcW w:w="823" w:type="pct"/>
            <w:shd w:val="clear" w:color="auto" w:fill="auto"/>
            <w:vAlign w:val="center"/>
          </w:tcPr>
          <w:p w14:paraId="0FB036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0.993</w:t>
            </w:r>
          </w:p>
        </w:tc>
      </w:tr>
      <w:tr w14:paraId="443DB3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67FFF2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390439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79E2E0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硫酸雾</w:t>
            </w:r>
          </w:p>
        </w:tc>
        <w:tc>
          <w:tcPr>
            <w:tcW w:w="410" w:type="pct"/>
            <w:shd w:val="clear" w:color="auto" w:fill="auto"/>
            <w:vAlign w:val="center"/>
          </w:tcPr>
          <w:p w14:paraId="28B6DD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394" w:type="pct"/>
            <w:shd w:val="clear" w:color="auto" w:fill="auto"/>
            <w:vAlign w:val="center"/>
          </w:tcPr>
          <w:p w14:paraId="3C1C03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03D1B1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2.095</w:t>
            </w:r>
          </w:p>
        </w:tc>
        <w:tc>
          <w:tcPr>
            <w:tcW w:w="397" w:type="pct"/>
            <w:shd w:val="clear" w:color="auto" w:fill="auto"/>
            <w:vAlign w:val="center"/>
          </w:tcPr>
          <w:p w14:paraId="2943DF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53" w:type="pct"/>
            <w:shd w:val="clear" w:color="auto" w:fill="auto"/>
            <w:vAlign w:val="center"/>
          </w:tcPr>
          <w:p w14:paraId="636205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0C4242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2.095</w:t>
            </w:r>
          </w:p>
        </w:tc>
        <w:tc>
          <w:tcPr>
            <w:tcW w:w="337" w:type="pct"/>
            <w:shd w:val="clear" w:color="auto" w:fill="auto"/>
            <w:vAlign w:val="center"/>
          </w:tcPr>
          <w:p w14:paraId="33E7EF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08F0FB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2.095</w:t>
            </w:r>
          </w:p>
        </w:tc>
        <w:tc>
          <w:tcPr>
            <w:tcW w:w="823" w:type="pct"/>
            <w:shd w:val="clear" w:color="auto" w:fill="auto"/>
            <w:vAlign w:val="center"/>
          </w:tcPr>
          <w:p w14:paraId="6662DD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2.095</w:t>
            </w:r>
          </w:p>
        </w:tc>
      </w:tr>
      <w:tr w14:paraId="23A0EB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shd w:val="clear" w:color="auto" w:fill="auto"/>
            <w:vAlign w:val="center"/>
          </w:tcPr>
          <w:p w14:paraId="357A08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204" w:type="pct"/>
            <w:vMerge w:val="continue"/>
            <w:shd w:val="clear" w:color="auto" w:fill="auto"/>
            <w:vAlign w:val="center"/>
          </w:tcPr>
          <w:p w14:paraId="51BFAD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391" w:type="pct"/>
            <w:shd w:val="clear" w:color="auto" w:fill="auto"/>
            <w:vAlign w:val="center"/>
          </w:tcPr>
          <w:p w14:paraId="43ADA7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NH</w:t>
            </w:r>
            <w:r>
              <w:rPr>
                <w:color w:val="auto"/>
                <w:kern w:val="0"/>
                <w:sz w:val="21"/>
                <w:szCs w:val="21"/>
                <w:vertAlign w:val="subscript"/>
              </w:rPr>
              <w:t>3</w:t>
            </w:r>
          </w:p>
        </w:tc>
        <w:tc>
          <w:tcPr>
            <w:tcW w:w="410" w:type="pct"/>
            <w:shd w:val="clear" w:color="auto" w:fill="auto"/>
            <w:vAlign w:val="center"/>
          </w:tcPr>
          <w:p w14:paraId="155283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4E57F9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162CF9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0.560</w:t>
            </w:r>
          </w:p>
        </w:tc>
        <w:tc>
          <w:tcPr>
            <w:tcW w:w="397" w:type="pct"/>
            <w:shd w:val="clear" w:color="auto" w:fill="auto"/>
            <w:vAlign w:val="center"/>
          </w:tcPr>
          <w:p w14:paraId="67896D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53" w:type="pct"/>
            <w:shd w:val="clear" w:color="auto" w:fill="auto"/>
            <w:vAlign w:val="center"/>
          </w:tcPr>
          <w:p w14:paraId="5BC24F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w:t>
            </w:r>
          </w:p>
        </w:tc>
        <w:tc>
          <w:tcPr>
            <w:tcW w:w="448" w:type="pct"/>
            <w:shd w:val="clear" w:color="auto" w:fill="auto"/>
            <w:vAlign w:val="center"/>
          </w:tcPr>
          <w:p w14:paraId="24FEA3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0.560</w:t>
            </w:r>
          </w:p>
        </w:tc>
        <w:tc>
          <w:tcPr>
            <w:tcW w:w="337" w:type="pct"/>
            <w:shd w:val="clear" w:color="auto" w:fill="auto"/>
            <w:vAlign w:val="center"/>
          </w:tcPr>
          <w:p w14:paraId="706F99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573336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0.560</w:t>
            </w:r>
          </w:p>
        </w:tc>
        <w:tc>
          <w:tcPr>
            <w:tcW w:w="823" w:type="pct"/>
            <w:shd w:val="clear" w:color="auto" w:fill="auto"/>
            <w:vAlign w:val="center"/>
          </w:tcPr>
          <w:p w14:paraId="425C09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r>
              <w:rPr>
                <w:color w:val="auto"/>
                <w:kern w:val="0"/>
                <w:sz w:val="21"/>
                <w:szCs w:val="21"/>
              </w:rPr>
              <w:t>0.560</w:t>
            </w:r>
          </w:p>
        </w:tc>
      </w:tr>
      <w:tr w14:paraId="49772D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4" w:type="pct"/>
            <w:vMerge w:val="restart"/>
            <w:shd w:val="clear" w:color="auto" w:fill="auto"/>
            <w:vAlign w:val="center"/>
          </w:tcPr>
          <w:p w14:paraId="4D5D06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综合废水</w:t>
            </w:r>
          </w:p>
        </w:tc>
        <w:tc>
          <w:tcPr>
            <w:tcW w:w="595" w:type="pct"/>
            <w:gridSpan w:val="2"/>
            <w:shd w:val="clear" w:color="auto" w:fill="auto"/>
            <w:vAlign w:val="center"/>
          </w:tcPr>
          <w:p w14:paraId="2F0AFF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sz w:val="21"/>
                <w:szCs w:val="21"/>
              </w:rPr>
              <w:t>废水量</w:t>
            </w:r>
          </w:p>
        </w:tc>
        <w:tc>
          <w:tcPr>
            <w:tcW w:w="410" w:type="pct"/>
            <w:shd w:val="clear" w:color="auto" w:fill="auto"/>
            <w:vAlign w:val="center"/>
          </w:tcPr>
          <w:p w14:paraId="327F60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240</w:t>
            </w:r>
          </w:p>
        </w:tc>
        <w:tc>
          <w:tcPr>
            <w:tcW w:w="394" w:type="pct"/>
            <w:shd w:val="clear" w:color="auto" w:fill="auto"/>
            <w:vAlign w:val="center"/>
          </w:tcPr>
          <w:p w14:paraId="229811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240</w:t>
            </w:r>
          </w:p>
        </w:tc>
        <w:tc>
          <w:tcPr>
            <w:tcW w:w="452" w:type="pct"/>
            <w:shd w:val="clear" w:color="auto" w:fill="auto"/>
            <w:vAlign w:val="center"/>
          </w:tcPr>
          <w:p w14:paraId="78A6FE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290159.33</w:t>
            </w:r>
          </w:p>
        </w:tc>
        <w:tc>
          <w:tcPr>
            <w:tcW w:w="397" w:type="pct"/>
            <w:shd w:val="clear" w:color="auto" w:fill="auto"/>
            <w:vAlign w:val="center"/>
          </w:tcPr>
          <w:p w14:paraId="40F9A4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0</w:t>
            </w:r>
          </w:p>
        </w:tc>
        <w:tc>
          <w:tcPr>
            <w:tcW w:w="453" w:type="pct"/>
            <w:shd w:val="clear" w:color="auto" w:fill="auto"/>
            <w:vAlign w:val="center"/>
          </w:tcPr>
          <w:p w14:paraId="400F3E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290159.33</w:t>
            </w:r>
          </w:p>
        </w:tc>
        <w:tc>
          <w:tcPr>
            <w:tcW w:w="448" w:type="pct"/>
            <w:shd w:val="clear" w:color="auto" w:fill="auto"/>
            <w:vAlign w:val="center"/>
          </w:tcPr>
          <w:p w14:paraId="3934DE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290159.33</w:t>
            </w:r>
          </w:p>
        </w:tc>
        <w:tc>
          <w:tcPr>
            <w:tcW w:w="337" w:type="pct"/>
            <w:shd w:val="clear" w:color="auto" w:fill="auto"/>
            <w:vAlign w:val="center"/>
          </w:tcPr>
          <w:p w14:paraId="234280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-240</w:t>
            </w:r>
          </w:p>
        </w:tc>
        <w:tc>
          <w:tcPr>
            <w:tcW w:w="372" w:type="pct"/>
            <w:shd w:val="clear" w:color="auto" w:fill="auto"/>
            <w:vAlign w:val="center"/>
          </w:tcPr>
          <w:p w14:paraId="641E98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-240</w:t>
            </w:r>
          </w:p>
        </w:tc>
        <w:tc>
          <w:tcPr>
            <w:tcW w:w="823" w:type="pct"/>
            <w:shd w:val="clear" w:color="auto" w:fill="auto"/>
            <w:vAlign w:val="center"/>
          </w:tcPr>
          <w:p w14:paraId="167501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+290159.33/+290159.33</w:t>
            </w:r>
          </w:p>
        </w:tc>
      </w:tr>
      <w:tr w14:paraId="0EB5F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4" w:type="pct"/>
            <w:vMerge w:val="continue"/>
            <w:vAlign w:val="center"/>
          </w:tcPr>
          <w:p w14:paraId="06384C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2255B7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bCs/>
                <w:color w:val="auto"/>
                <w:kern w:val="0"/>
                <w:sz w:val="21"/>
                <w:szCs w:val="21"/>
                <w:lang w:bidi="ar"/>
              </w:rPr>
              <w:t>COD</w:t>
            </w:r>
          </w:p>
        </w:tc>
        <w:tc>
          <w:tcPr>
            <w:tcW w:w="410" w:type="pct"/>
            <w:shd w:val="clear" w:color="auto" w:fill="auto"/>
            <w:vAlign w:val="center"/>
          </w:tcPr>
          <w:p w14:paraId="1412BB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0.0672</w:t>
            </w:r>
          </w:p>
        </w:tc>
        <w:tc>
          <w:tcPr>
            <w:tcW w:w="394" w:type="pct"/>
            <w:shd w:val="clear" w:color="auto" w:fill="auto"/>
            <w:vAlign w:val="center"/>
          </w:tcPr>
          <w:p w14:paraId="1670BD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0.012</w:t>
            </w:r>
          </w:p>
        </w:tc>
        <w:tc>
          <w:tcPr>
            <w:tcW w:w="452" w:type="pct"/>
            <w:shd w:val="clear" w:color="auto" w:fill="auto"/>
            <w:vAlign w:val="center"/>
          </w:tcPr>
          <w:p w14:paraId="4DA13A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91.669</w:t>
            </w:r>
          </w:p>
        </w:tc>
        <w:tc>
          <w:tcPr>
            <w:tcW w:w="397" w:type="pct"/>
            <w:shd w:val="clear" w:color="auto" w:fill="auto"/>
            <w:vAlign w:val="center"/>
          </w:tcPr>
          <w:p w14:paraId="51A57E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15.299</w:t>
            </w:r>
          </w:p>
        </w:tc>
        <w:tc>
          <w:tcPr>
            <w:tcW w:w="453" w:type="pct"/>
            <w:shd w:val="clear" w:color="auto" w:fill="auto"/>
            <w:vAlign w:val="center"/>
          </w:tcPr>
          <w:p w14:paraId="495D02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76.370</w:t>
            </w:r>
          </w:p>
        </w:tc>
        <w:tc>
          <w:tcPr>
            <w:tcW w:w="448" w:type="pct"/>
            <w:shd w:val="clear" w:color="auto" w:fill="auto"/>
            <w:vAlign w:val="center"/>
          </w:tcPr>
          <w:p w14:paraId="4CF65E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14.508</w:t>
            </w:r>
          </w:p>
        </w:tc>
        <w:tc>
          <w:tcPr>
            <w:tcW w:w="337" w:type="pct"/>
            <w:shd w:val="clear" w:color="auto" w:fill="auto"/>
            <w:vAlign w:val="center"/>
          </w:tcPr>
          <w:p w14:paraId="43ECF4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-0.0672</w:t>
            </w:r>
          </w:p>
        </w:tc>
        <w:tc>
          <w:tcPr>
            <w:tcW w:w="372" w:type="pct"/>
            <w:shd w:val="clear" w:color="auto" w:fill="auto"/>
            <w:vAlign w:val="center"/>
          </w:tcPr>
          <w:p w14:paraId="061F4A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-0.012</w:t>
            </w:r>
          </w:p>
        </w:tc>
        <w:tc>
          <w:tcPr>
            <w:tcW w:w="823" w:type="pct"/>
            <w:shd w:val="clear" w:color="auto" w:fill="auto"/>
            <w:vAlign w:val="center"/>
          </w:tcPr>
          <w:p w14:paraId="0E3C3D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r>
              <w:rPr>
                <w:rFonts w:hint="eastAsia"/>
                <w:color w:val="auto"/>
                <w:sz w:val="21"/>
                <w:szCs w:val="21"/>
                <w:lang w:val="en-US" w:eastAsia="zh-CN"/>
              </w:rPr>
              <w:t>76.370</w:t>
            </w:r>
            <w:r>
              <w:rPr>
                <w:rFonts w:hint="eastAsia"/>
                <w:color w:val="auto"/>
                <w:sz w:val="21"/>
                <w:szCs w:val="21"/>
              </w:rPr>
              <w:t>/+14.508</w:t>
            </w:r>
          </w:p>
        </w:tc>
      </w:tr>
      <w:tr w14:paraId="60D911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570687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700B0A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bCs/>
                <w:color w:val="auto"/>
                <w:kern w:val="0"/>
                <w:sz w:val="21"/>
                <w:szCs w:val="21"/>
                <w:lang w:bidi="ar"/>
              </w:rPr>
              <w:t>SS</w:t>
            </w:r>
          </w:p>
        </w:tc>
        <w:tc>
          <w:tcPr>
            <w:tcW w:w="410" w:type="pct"/>
            <w:shd w:val="clear" w:color="auto" w:fill="auto"/>
            <w:vAlign w:val="center"/>
          </w:tcPr>
          <w:p w14:paraId="2E17EF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0.042</w:t>
            </w:r>
          </w:p>
        </w:tc>
        <w:tc>
          <w:tcPr>
            <w:tcW w:w="394" w:type="pct"/>
            <w:shd w:val="clear" w:color="auto" w:fill="auto"/>
            <w:vAlign w:val="center"/>
          </w:tcPr>
          <w:p w14:paraId="42DD64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0.0024</w:t>
            </w:r>
          </w:p>
        </w:tc>
        <w:tc>
          <w:tcPr>
            <w:tcW w:w="452" w:type="pct"/>
            <w:shd w:val="clear" w:color="auto" w:fill="auto"/>
            <w:vAlign w:val="center"/>
          </w:tcPr>
          <w:p w14:paraId="148F25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25.454</w:t>
            </w:r>
          </w:p>
        </w:tc>
        <w:tc>
          <w:tcPr>
            <w:tcW w:w="397" w:type="pct"/>
            <w:shd w:val="clear" w:color="auto" w:fill="auto"/>
            <w:vAlign w:val="center"/>
          </w:tcPr>
          <w:p w14:paraId="2B9947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14.5</w:t>
            </w:r>
            <w:r>
              <w:rPr>
                <w:rFonts w:hint="eastAsia"/>
                <w:color w:val="auto"/>
                <w:sz w:val="21"/>
                <w:szCs w:val="21"/>
                <w:lang w:val="en-US" w:eastAsia="zh-CN"/>
              </w:rPr>
              <w:t>02</w:t>
            </w:r>
          </w:p>
        </w:tc>
        <w:tc>
          <w:tcPr>
            <w:tcW w:w="453" w:type="pct"/>
            <w:shd w:val="clear" w:color="auto" w:fill="auto"/>
            <w:vAlign w:val="center"/>
          </w:tcPr>
          <w:p w14:paraId="1CF6CB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eastAsia="等线"/>
                <w:color w:val="auto"/>
                <w:kern w:val="0"/>
                <w:sz w:val="21"/>
                <w:szCs w:val="21"/>
                <w:lang w:bidi="ar"/>
              </w:rPr>
              <w:t>10.952</w:t>
            </w:r>
          </w:p>
        </w:tc>
        <w:tc>
          <w:tcPr>
            <w:tcW w:w="448" w:type="pct"/>
            <w:shd w:val="clear" w:color="auto" w:fill="auto"/>
            <w:vAlign w:val="center"/>
          </w:tcPr>
          <w:p w14:paraId="3469AE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2.902</w:t>
            </w:r>
          </w:p>
        </w:tc>
        <w:tc>
          <w:tcPr>
            <w:tcW w:w="337" w:type="pct"/>
            <w:shd w:val="clear" w:color="auto" w:fill="auto"/>
            <w:vAlign w:val="center"/>
          </w:tcPr>
          <w:p w14:paraId="455386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-0.042</w:t>
            </w:r>
          </w:p>
        </w:tc>
        <w:tc>
          <w:tcPr>
            <w:tcW w:w="372" w:type="pct"/>
            <w:shd w:val="clear" w:color="auto" w:fill="auto"/>
            <w:vAlign w:val="center"/>
          </w:tcPr>
          <w:p w14:paraId="3092EF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-0.0024</w:t>
            </w:r>
          </w:p>
        </w:tc>
        <w:tc>
          <w:tcPr>
            <w:tcW w:w="823" w:type="pct"/>
            <w:shd w:val="clear" w:color="auto" w:fill="auto"/>
            <w:vAlign w:val="center"/>
          </w:tcPr>
          <w:p w14:paraId="7C77D5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+10.952/+2.902</w:t>
            </w:r>
          </w:p>
        </w:tc>
      </w:tr>
      <w:tr w14:paraId="633FED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4DFEE5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10BDB5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bCs/>
                <w:color w:val="auto"/>
                <w:kern w:val="0"/>
                <w:sz w:val="21"/>
                <w:szCs w:val="21"/>
                <w:lang w:bidi="ar"/>
              </w:rPr>
              <w:t>氨氮</w:t>
            </w:r>
          </w:p>
        </w:tc>
        <w:tc>
          <w:tcPr>
            <w:tcW w:w="410" w:type="pct"/>
            <w:shd w:val="clear" w:color="auto" w:fill="auto"/>
            <w:vAlign w:val="center"/>
          </w:tcPr>
          <w:p w14:paraId="50C67B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0.0084</w:t>
            </w:r>
          </w:p>
        </w:tc>
        <w:tc>
          <w:tcPr>
            <w:tcW w:w="394" w:type="pct"/>
            <w:shd w:val="clear" w:color="auto" w:fill="auto"/>
            <w:vAlign w:val="center"/>
          </w:tcPr>
          <w:p w14:paraId="33FE26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0.0012</w:t>
            </w:r>
          </w:p>
        </w:tc>
        <w:tc>
          <w:tcPr>
            <w:tcW w:w="452" w:type="pct"/>
            <w:shd w:val="clear" w:color="auto" w:fill="auto"/>
            <w:vAlign w:val="center"/>
          </w:tcPr>
          <w:p w14:paraId="725A80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5.226</w:t>
            </w:r>
          </w:p>
        </w:tc>
        <w:tc>
          <w:tcPr>
            <w:tcW w:w="397" w:type="pct"/>
            <w:shd w:val="clear" w:color="auto" w:fill="auto"/>
            <w:vAlign w:val="center"/>
          </w:tcPr>
          <w:p w14:paraId="7A2D49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0</w:t>
            </w:r>
          </w:p>
        </w:tc>
        <w:tc>
          <w:tcPr>
            <w:tcW w:w="453" w:type="pct"/>
            <w:shd w:val="clear" w:color="auto" w:fill="auto"/>
            <w:vAlign w:val="center"/>
          </w:tcPr>
          <w:p w14:paraId="7470B5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5.</w:t>
            </w:r>
            <w:r>
              <w:rPr>
                <w:rFonts w:hint="eastAsia" w:eastAsia="等线"/>
                <w:color w:val="auto"/>
                <w:kern w:val="0"/>
                <w:sz w:val="21"/>
                <w:szCs w:val="21"/>
                <w:lang w:val="en-US" w:eastAsia="zh-CN" w:bidi="ar"/>
              </w:rPr>
              <w:t>226</w:t>
            </w:r>
          </w:p>
        </w:tc>
        <w:tc>
          <w:tcPr>
            <w:tcW w:w="448" w:type="pct"/>
            <w:shd w:val="clear" w:color="auto" w:fill="auto"/>
            <w:vAlign w:val="center"/>
          </w:tcPr>
          <w:p w14:paraId="217C0B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1.451</w:t>
            </w:r>
          </w:p>
        </w:tc>
        <w:tc>
          <w:tcPr>
            <w:tcW w:w="337" w:type="pct"/>
            <w:shd w:val="clear" w:color="auto" w:fill="auto"/>
            <w:vAlign w:val="center"/>
          </w:tcPr>
          <w:p w14:paraId="5A6F85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-0.0084</w:t>
            </w:r>
          </w:p>
        </w:tc>
        <w:tc>
          <w:tcPr>
            <w:tcW w:w="372" w:type="pct"/>
            <w:shd w:val="clear" w:color="auto" w:fill="auto"/>
            <w:vAlign w:val="center"/>
          </w:tcPr>
          <w:p w14:paraId="053FBE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-0.0012</w:t>
            </w:r>
          </w:p>
        </w:tc>
        <w:tc>
          <w:tcPr>
            <w:tcW w:w="823" w:type="pct"/>
            <w:shd w:val="clear" w:color="auto" w:fill="auto"/>
            <w:vAlign w:val="center"/>
          </w:tcPr>
          <w:p w14:paraId="7B35EF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+5.</w:t>
            </w:r>
            <w:r>
              <w:rPr>
                <w:rFonts w:hint="eastAsia"/>
                <w:color w:val="auto"/>
                <w:sz w:val="21"/>
                <w:szCs w:val="21"/>
                <w:lang w:val="en-US" w:eastAsia="zh-CN"/>
              </w:rPr>
              <w:t>226</w:t>
            </w:r>
            <w:r>
              <w:rPr>
                <w:rFonts w:hint="eastAsia"/>
                <w:color w:val="auto"/>
                <w:sz w:val="21"/>
                <w:szCs w:val="21"/>
              </w:rPr>
              <w:t>/+1.451</w:t>
            </w:r>
          </w:p>
        </w:tc>
      </w:tr>
      <w:tr w14:paraId="600361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2D1506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441F1B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Cs/>
                <w:color w:val="auto"/>
                <w:kern w:val="0"/>
                <w:sz w:val="21"/>
                <w:szCs w:val="21"/>
                <w:lang w:bidi="ar"/>
              </w:rPr>
            </w:pPr>
            <w:r>
              <w:rPr>
                <w:bCs/>
                <w:color w:val="auto"/>
                <w:kern w:val="0"/>
                <w:sz w:val="21"/>
                <w:szCs w:val="21"/>
                <w:lang w:bidi="ar"/>
              </w:rPr>
              <w:t>总磷</w:t>
            </w:r>
          </w:p>
        </w:tc>
        <w:tc>
          <w:tcPr>
            <w:tcW w:w="410" w:type="pct"/>
            <w:shd w:val="clear" w:color="auto" w:fill="auto"/>
            <w:vAlign w:val="center"/>
          </w:tcPr>
          <w:p w14:paraId="2417D3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0.0012</w:t>
            </w:r>
          </w:p>
        </w:tc>
        <w:tc>
          <w:tcPr>
            <w:tcW w:w="394" w:type="pct"/>
            <w:shd w:val="clear" w:color="auto" w:fill="auto"/>
            <w:vAlign w:val="center"/>
          </w:tcPr>
          <w:p w14:paraId="448D81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0.00012</w:t>
            </w:r>
          </w:p>
        </w:tc>
        <w:tc>
          <w:tcPr>
            <w:tcW w:w="452" w:type="pct"/>
            <w:shd w:val="clear" w:color="auto" w:fill="auto"/>
            <w:vAlign w:val="center"/>
          </w:tcPr>
          <w:p w14:paraId="4D412B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0.156</w:t>
            </w:r>
          </w:p>
        </w:tc>
        <w:tc>
          <w:tcPr>
            <w:tcW w:w="397" w:type="pct"/>
            <w:shd w:val="clear" w:color="auto" w:fill="auto"/>
            <w:vAlign w:val="center"/>
          </w:tcPr>
          <w:p w14:paraId="1C494F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eastAsia="等线"/>
                <w:color w:val="auto"/>
                <w:kern w:val="0"/>
                <w:sz w:val="21"/>
                <w:szCs w:val="21"/>
                <w:lang w:val="en-US" w:eastAsia="zh-CN" w:bidi="ar"/>
              </w:rPr>
              <w:t>0</w:t>
            </w:r>
          </w:p>
        </w:tc>
        <w:tc>
          <w:tcPr>
            <w:tcW w:w="453" w:type="pct"/>
            <w:shd w:val="clear" w:color="auto" w:fill="auto"/>
            <w:vAlign w:val="center"/>
          </w:tcPr>
          <w:p w14:paraId="1342A1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0.1</w:t>
            </w:r>
            <w:r>
              <w:rPr>
                <w:rFonts w:hint="eastAsia" w:eastAsia="等线"/>
                <w:color w:val="auto"/>
                <w:kern w:val="0"/>
                <w:sz w:val="21"/>
                <w:szCs w:val="21"/>
                <w:lang w:val="en-US" w:eastAsia="zh-CN" w:bidi="ar"/>
              </w:rPr>
              <w:t>56</w:t>
            </w:r>
          </w:p>
        </w:tc>
        <w:tc>
          <w:tcPr>
            <w:tcW w:w="448" w:type="pct"/>
            <w:shd w:val="clear" w:color="auto" w:fill="auto"/>
            <w:vAlign w:val="center"/>
          </w:tcPr>
          <w:p w14:paraId="312209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0.145</w:t>
            </w:r>
          </w:p>
        </w:tc>
        <w:tc>
          <w:tcPr>
            <w:tcW w:w="337" w:type="pct"/>
            <w:shd w:val="clear" w:color="auto" w:fill="auto"/>
            <w:vAlign w:val="center"/>
          </w:tcPr>
          <w:p w14:paraId="536FBA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-0.0012</w:t>
            </w:r>
          </w:p>
        </w:tc>
        <w:tc>
          <w:tcPr>
            <w:tcW w:w="372" w:type="pct"/>
            <w:shd w:val="clear" w:color="auto" w:fill="auto"/>
            <w:vAlign w:val="center"/>
          </w:tcPr>
          <w:p w14:paraId="2D6281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-0.00012</w:t>
            </w:r>
          </w:p>
        </w:tc>
        <w:tc>
          <w:tcPr>
            <w:tcW w:w="823" w:type="pct"/>
            <w:shd w:val="clear" w:color="auto" w:fill="auto"/>
            <w:vAlign w:val="center"/>
          </w:tcPr>
          <w:p w14:paraId="143E33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+0.1</w:t>
            </w:r>
            <w:r>
              <w:rPr>
                <w:rFonts w:hint="eastAsia"/>
                <w:color w:val="auto"/>
                <w:sz w:val="21"/>
                <w:szCs w:val="21"/>
                <w:lang w:val="en-US" w:eastAsia="zh-CN"/>
              </w:rPr>
              <w:t>56</w:t>
            </w:r>
            <w:r>
              <w:rPr>
                <w:rFonts w:hint="eastAsia"/>
                <w:color w:val="auto"/>
                <w:sz w:val="21"/>
                <w:szCs w:val="21"/>
              </w:rPr>
              <w:t>/+0.145</w:t>
            </w:r>
          </w:p>
        </w:tc>
      </w:tr>
      <w:tr w14:paraId="56B07F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4FC3AF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56CECD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bCs/>
                <w:color w:val="auto"/>
                <w:kern w:val="0"/>
                <w:sz w:val="21"/>
                <w:szCs w:val="21"/>
                <w:lang w:bidi="ar"/>
              </w:rPr>
              <w:t>总氮</w:t>
            </w:r>
          </w:p>
        </w:tc>
        <w:tc>
          <w:tcPr>
            <w:tcW w:w="410" w:type="pct"/>
            <w:shd w:val="clear" w:color="auto" w:fill="auto"/>
            <w:vAlign w:val="center"/>
          </w:tcPr>
          <w:p w14:paraId="1D086A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0.011</w:t>
            </w:r>
          </w:p>
        </w:tc>
        <w:tc>
          <w:tcPr>
            <w:tcW w:w="394" w:type="pct"/>
            <w:shd w:val="clear" w:color="auto" w:fill="auto"/>
            <w:vAlign w:val="center"/>
          </w:tcPr>
          <w:p w14:paraId="6BB7CA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0.0036</w:t>
            </w:r>
          </w:p>
        </w:tc>
        <w:tc>
          <w:tcPr>
            <w:tcW w:w="452" w:type="pct"/>
            <w:shd w:val="clear" w:color="auto" w:fill="auto"/>
            <w:vAlign w:val="center"/>
          </w:tcPr>
          <w:p w14:paraId="46E027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8.391</w:t>
            </w:r>
          </w:p>
        </w:tc>
        <w:tc>
          <w:tcPr>
            <w:tcW w:w="397" w:type="pct"/>
            <w:shd w:val="clear" w:color="auto" w:fill="auto"/>
            <w:vAlign w:val="center"/>
          </w:tcPr>
          <w:p w14:paraId="02891E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0</w:t>
            </w:r>
          </w:p>
        </w:tc>
        <w:tc>
          <w:tcPr>
            <w:tcW w:w="453" w:type="pct"/>
            <w:shd w:val="clear" w:color="auto" w:fill="auto"/>
            <w:vAlign w:val="center"/>
          </w:tcPr>
          <w:p w14:paraId="67DDD0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8.391</w:t>
            </w:r>
          </w:p>
        </w:tc>
        <w:tc>
          <w:tcPr>
            <w:tcW w:w="448" w:type="pct"/>
            <w:shd w:val="clear" w:color="auto" w:fill="auto"/>
            <w:vAlign w:val="center"/>
          </w:tcPr>
          <w:p w14:paraId="77480D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4.352</w:t>
            </w:r>
          </w:p>
        </w:tc>
        <w:tc>
          <w:tcPr>
            <w:tcW w:w="337" w:type="pct"/>
            <w:shd w:val="clear" w:color="auto" w:fill="auto"/>
            <w:vAlign w:val="center"/>
          </w:tcPr>
          <w:p w14:paraId="542814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-0.011</w:t>
            </w:r>
          </w:p>
        </w:tc>
        <w:tc>
          <w:tcPr>
            <w:tcW w:w="372" w:type="pct"/>
            <w:shd w:val="clear" w:color="auto" w:fill="auto"/>
            <w:vAlign w:val="center"/>
          </w:tcPr>
          <w:p w14:paraId="2638A6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-0.0036</w:t>
            </w:r>
          </w:p>
        </w:tc>
        <w:tc>
          <w:tcPr>
            <w:tcW w:w="823" w:type="pct"/>
            <w:shd w:val="clear" w:color="auto" w:fill="auto"/>
            <w:vAlign w:val="center"/>
          </w:tcPr>
          <w:p w14:paraId="1DA80F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r>
              <w:rPr>
                <w:rFonts w:hint="eastAsia"/>
                <w:color w:val="auto"/>
                <w:sz w:val="21"/>
                <w:szCs w:val="21"/>
                <w:lang w:val="en-US" w:eastAsia="zh-CN"/>
              </w:rPr>
              <w:t>8.391</w:t>
            </w:r>
            <w:r>
              <w:rPr>
                <w:rFonts w:hint="eastAsia"/>
                <w:color w:val="auto"/>
                <w:sz w:val="21"/>
                <w:szCs w:val="21"/>
              </w:rPr>
              <w:t>/+4.352</w:t>
            </w:r>
          </w:p>
        </w:tc>
      </w:tr>
      <w:tr w14:paraId="1928CB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1BFF16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1C4FB2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总铝</w:t>
            </w:r>
          </w:p>
        </w:tc>
        <w:tc>
          <w:tcPr>
            <w:tcW w:w="410" w:type="pct"/>
            <w:shd w:val="clear" w:color="auto" w:fill="auto"/>
            <w:vAlign w:val="center"/>
          </w:tcPr>
          <w:p w14:paraId="0279B5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394" w:type="pct"/>
            <w:shd w:val="clear" w:color="auto" w:fill="auto"/>
            <w:vAlign w:val="center"/>
          </w:tcPr>
          <w:p w14:paraId="6023BC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452" w:type="pct"/>
            <w:shd w:val="clear" w:color="auto" w:fill="auto"/>
            <w:vAlign w:val="center"/>
          </w:tcPr>
          <w:p w14:paraId="66F42C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393.559</w:t>
            </w:r>
          </w:p>
        </w:tc>
        <w:tc>
          <w:tcPr>
            <w:tcW w:w="397" w:type="pct"/>
            <w:shd w:val="clear" w:color="auto" w:fill="auto"/>
            <w:vAlign w:val="center"/>
          </w:tcPr>
          <w:p w14:paraId="2CE0CE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393.166</w:t>
            </w:r>
          </w:p>
        </w:tc>
        <w:tc>
          <w:tcPr>
            <w:tcW w:w="453" w:type="pct"/>
            <w:shd w:val="clear" w:color="auto" w:fill="auto"/>
            <w:vAlign w:val="center"/>
          </w:tcPr>
          <w:p w14:paraId="11E840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0.3</w:t>
            </w:r>
            <w:r>
              <w:rPr>
                <w:rFonts w:hint="eastAsia" w:eastAsia="等线"/>
                <w:color w:val="auto"/>
                <w:kern w:val="0"/>
                <w:sz w:val="21"/>
                <w:szCs w:val="21"/>
                <w:lang w:val="en-US" w:eastAsia="zh-CN" w:bidi="ar"/>
              </w:rPr>
              <w:t>94</w:t>
            </w:r>
          </w:p>
        </w:tc>
        <w:tc>
          <w:tcPr>
            <w:tcW w:w="448" w:type="pct"/>
            <w:shd w:val="clear" w:color="auto" w:fill="auto"/>
            <w:vAlign w:val="center"/>
          </w:tcPr>
          <w:p w14:paraId="0CB4D1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0.389</w:t>
            </w:r>
          </w:p>
        </w:tc>
        <w:tc>
          <w:tcPr>
            <w:tcW w:w="337" w:type="pct"/>
            <w:shd w:val="clear" w:color="auto" w:fill="auto"/>
            <w:vAlign w:val="center"/>
          </w:tcPr>
          <w:p w14:paraId="7D2231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372" w:type="pct"/>
            <w:shd w:val="clear" w:color="auto" w:fill="auto"/>
            <w:vAlign w:val="center"/>
          </w:tcPr>
          <w:p w14:paraId="0E4422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w:t>
            </w:r>
          </w:p>
        </w:tc>
        <w:tc>
          <w:tcPr>
            <w:tcW w:w="823" w:type="pct"/>
            <w:shd w:val="clear" w:color="auto" w:fill="auto"/>
            <w:vAlign w:val="center"/>
          </w:tcPr>
          <w:p w14:paraId="24A0FB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+0.394/+0.389</w:t>
            </w:r>
          </w:p>
        </w:tc>
      </w:tr>
      <w:tr w14:paraId="20FCED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55B875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43ADC9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石油类</w:t>
            </w:r>
          </w:p>
        </w:tc>
        <w:tc>
          <w:tcPr>
            <w:tcW w:w="410" w:type="pct"/>
            <w:shd w:val="clear" w:color="auto" w:fill="auto"/>
            <w:vAlign w:val="center"/>
          </w:tcPr>
          <w:p w14:paraId="770778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37F160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452" w:type="pct"/>
            <w:shd w:val="clear" w:color="auto" w:fill="auto"/>
            <w:vAlign w:val="center"/>
          </w:tcPr>
          <w:p w14:paraId="513A5D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2.056</w:t>
            </w:r>
          </w:p>
        </w:tc>
        <w:tc>
          <w:tcPr>
            <w:tcW w:w="397" w:type="pct"/>
            <w:shd w:val="clear" w:color="auto" w:fill="auto"/>
            <w:vAlign w:val="center"/>
          </w:tcPr>
          <w:p w14:paraId="705BD2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w:t>
            </w:r>
            <w:r>
              <w:rPr>
                <w:rFonts w:hint="eastAsia" w:eastAsia="等线"/>
                <w:color w:val="auto"/>
                <w:kern w:val="0"/>
                <w:sz w:val="21"/>
                <w:szCs w:val="21"/>
                <w:lang w:val="en-US" w:eastAsia="zh-CN" w:bidi="ar"/>
              </w:rPr>
              <w:t>308</w:t>
            </w:r>
          </w:p>
        </w:tc>
        <w:tc>
          <w:tcPr>
            <w:tcW w:w="453" w:type="pct"/>
            <w:shd w:val="clear" w:color="auto" w:fill="auto"/>
            <w:vAlign w:val="center"/>
          </w:tcPr>
          <w:p w14:paraId="0F0CC9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1.</w:t>
            </w:r>
            <w:r>
              <w:rPr>
                <w:rFonts w:hint="eastAsia" w:eastAsia="等线"/>
                <w:color w:val="auto"/>
                <w:kern w:val="0"/>
                <w:sz w:val="21"/>
                <w:szCs w:val="21"/>
                <w:lang w:val="en-US" w:eastAsia="zh-CN" w:bidi="ar"/>
              </w:rPr>
              <w:t>748</w:t>
            </w:r>
          </w:p>
        </w:tc>
        <w:tc>
          <w:tcPr>
            <w:tcW w:w="448" w:type="pct"/>
            <w:shd w:val="clear" w:color="auto" w:fill="auto"/>
            <w:vAlign w:val="center"/>
          </w:tcPr>
          <w:p w14:paraId="0A4413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0.290</w:t>
            </w:r>
          </w:p>
        </w:tc>
        <w:tc>
          <w:tcPr>
            <w:tcW w:w="337" w:type="pct"/>
            <w:shd w:val="clear" w:color="auto" w:fill="auto"/>
            <w:vAlign w:val="center"/>
          </w:tcPr>
          <w:p w14:paraId="1E5EF9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72" w:type="pct"/>
            <w:shd w:val="clear" w:color="auto" w:fill="auto"/>
            <w:vAlign w:val="center"/>
          </w:tcPr>
          <w:p w14:paraId="0AFE75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823" w:type="pct"/>
            <w:shd w:val="clear" w:color="auto" w:fill="auto"/>
            <w:vAlign w:val="center"/>
          </w:tcPr>
          <w:p w14:paraId="56E02B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+1.</w:t>
            </w:r>
            <w:r>
              <w:rPr>
                <w:rFonts w:hint="eastAsia"/>
                <w:color w:val="auto"/>
                <w:sz w:val="21"/>
                <w:szCs w:val="21"/>
                <w:lang w:val="en-US" w:eastAsia="zh-CN"/>
              </w:rPr>
              <w:t>748</w:t>
            </w:r>
            <w:r>
              <w:rPr>
                <w:rFonts w:hint="eastAsia"/>
                <w:color w:val="auto"/>
                <w:sz w:val="21"/>
                <w:szCs w:val="21"/>
              </w:rPr>
              <w:t>/+0.290</w:t>
            </w:r>
          </w:p>
        </w:tc>
      </w:tr>
      <w:tr w14:paraId="019D10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532230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1466A5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Cs/>
                <w:color w:val="auto"/>
                <w:kern w:val="0"/>
                <w:sz w:val="21"/>
                <w:szCs w:val="21"/>
                <w:lang w:bidi="ar"/>
              </w:rPr>
            </w:pPr>
            <w:r>
              <w:rPr>
                <w:rFonts w:hint="eastAsia"/>
                <w:bCs/>
                <w:color w:val="auto"/>
                <w:kern w:val="0"/>
                <w:sz w:val="21"/>
                <w:szCs w:val="21"/>
                <w:lang w:bidi="ar"/>
              </w:rPr>
              <w:t>LAS</w:t>
            </w:r>
          </w:p>
        </w:tc>
        <w:tc>
          <w:tcPr>
            <w:tcW w:w="410" w:type="pct"/>
            <w:shd w:val="clear" w:color="auto" w:fill="auto"/>
            <w:vAlign w:val="center"/>
          </w:tcPr>
          <w:p w14:paraId="79D7D0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374CE2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452" w:type="pct"/>
            <w:shd w:val="clear" w:color="auto" w:fill="auto"/>
            <w:vAlign w:val="center"/>
          </w:tcPr>
          <w:p w14:paraId="4B6385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val="en-US" w:eastAsia="zh-CN" w:bidi="ar"/>
              </w:rPr>
              <w:t>98.236</w:t>
            </w:r>
          </w:p>
        </w:tc>
        <w:tc>
          <w:tcPr>
            <w:tcW w:w="397" w:type="pct"/>
            <w:shd w:val="clear" w:color="auto" w:fill="auto"/>
            <w:vAlign w:val="center"/>
          </w:tcPr>
          <w:p w14:paraId="46A20A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val="en-US" w:eastAsia="zh-CN" w:bidi="ar"/>
              </w:rPr>
              <w:t>93.324</w:t>
            </w:r>
          </w:p>
        </w:tc>
        <w:tc>
          <w:tcPr>
            <w:tcW w:w="453" w:type="pct"/>
            <w:shd w:val="clear" w:color="auto" w:fill="auto"/>
            <w:vAlign w:val="center"/>
          </w:tcPr>
          <w:p w14:paraId="59CDB3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val="en-US" w:eastAsia="zh-CN" w:bidi="ar"/>
              </w:rPr>
              <w:t>4.912</w:t>
            </w:r>
          </w:p>
        </w:tc>
        <w:tc>
          <w:tcPr>
            <w:tcW w:w="448" w:type="pct"/>
            <w:shd w:val="clear" w:color="auto" w:fill="auto"/>
            <w:vAlign w:val="center"/>
          </w:tcPr>
          <w:p w14:paraId="05DDA8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color w:val="auto"/>
                <w:kern w:val="0"/>
                <w:sz w:val="21"/>
                <w:szCs w:val="21"/>
                <w:lang w:bidi="ar"/>
              </w:rPr>
              <w:t>0.145</w:t>
            </w:r>
          </w:p>
        </w:tc>
        <w:tc>
          <w:tcPr>
            <w:tcW w:w="337" w:type="pct"/>
            <w:shd w:val="clear" w:color="auto" w:fill="auto"/>
            <w:vAlign w:val="center"/>
          </w:tcPr>
          <w:p w14:paraId="25F362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72" w:type="pct"/>
            <w:shd w:val="clear" w:color="auto" w:fill="auto"/>
            <w:vAlign w:val="center"/>
          </w:tcPr>
          <w:p w14:paraId="1A8B13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823" w:type="pct"/>
            <w:shd w:val="clear" w:color="auto" w:fill="auto"/>
            <w:vAlign w:val="center"/>
          </w:tcPr>
          <w:p w14:paraId="021444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r>
              <w:rPr>
                <w:rFonts w:hint="eastAsia"/>
                <w:color w:val="auto"/>
                <w:kern w:val="0"/>
                <w:sz w:val="21"/>
                <w:szCs w:val="21"/>
                <w:lang w:val="en-US" w:eastAsia="zh-CN" w:bidi="ar"/>
              </w:rPr>
              <w:t>4.912</w:t>
            </w:r>
            <w:r>
              <w:rPr>
                <w:rFonts w:hint="eastAsia"/>
                <w:color w:val="auto"/>
                <w:kern w:val="0"/>
                <w:sz w:val="21"/>
                <w:szCs w:val="21"/>
                <w:lang w:bidi="ar"/>
              </w:rPr>
              <w:t>/+0.145</w:t>
            </w:r>
          </w:p>
        </w:tc>
      </w:tr>
      <w:tr w14:paraId="755B93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474DFC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57C7A6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Cs/>
                <w:color w:val="auto"/>
                <w:kern w:val="0"/>
                <w:sz w:val="21"/>
                <w:szCs w:val="21"/>
                <w:lang w:bidi="ar"/>
              </w:rPr>
            </w:pPr>
            <w:r>
              <w:rPr>
                <w:rFonts w:hint="eastAsia"/>
                <w:bCs/>
                <w:color w:val="auto"/>
                <w:kern w:val="0"/>
                <w:sz w:val="21"/>
                <w:szCs w:val="21"/>
                <w:lang w:bidi="ar"/>
              </w:rPr>
              <w:t>总锡</w:t>
            </w:r>
          </w:p>
        </w:tc>
        <w:tc>
          <w:tcPr>
            <w:tcW w:w="410" w:type="pct"/>
            <w:shd w:val="clear" w:color="auto" w:fill="auto"/>
            <w:vAlign w:val="center"/>
          </w:tcPr>
          <w:p w14:paraId="4EDD70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78DD5C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452" w:type="pct"/>
            <w:shd w:val="clear" w:color="auto" w:fill="auto"/>
            <w:vAlign w:val="center"/>
          </w:tcPr>
          <w:p w14:paraId="438E2A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eastAsia="等线"/>
                <w:color w:val="auto"/>
                <w:kern w:val="0"/>
                <w:sz w:val="21"/>
                <w:szCs w:val="21"/>
                <w:lang w:bidi="ar"/>
              </w:rPr>
              <w:t>6.549</w:t>
            </w:r>
          </w:p>
        </w:tc>
        <w:tc>
          <w:tcPr>
            <w:tcW w:w="397" w:type="pct"/>
            <w:shd w:val="clear" w:color="auto" w:fill="auto"/>
            <w:vAlign w:val="center"/>
          </w:tcPr>
          <w:p w14:paraId="140E8C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5.698</w:t>
            </w:r>
          </w:p>
        </w:tc>
        <w:tc>
          <w:tcPr>
            <w:tcW w:w="453" w:type="pct"/>
            <w:shd w:val="clear" w:color="auto" w:fill="auto"/>
            <w:vAlign w:val="center"/>
          </w:tcPr>
          <w:p w14:paraId="5EC0FD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0.851</w:t>
            </w:r>
          </w:p>
        </w:tc>
        <w:tc>
          <w:tcPr>
            <w:tcW w:w="448" w:type="pct"/>
            <w:shd w:val="clear" w:color="auto" w:fill="auto"/>
            <w:vAlign w:val="center"/>
          </w:tcPr>
          <w:p w14:paraId="147D08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kern w:val="0"/>
                <w:sz w:val="21"/>
                <w:szCs w:val="21"/>
                <w:lang w:bidi="ar"/>
              </w:rPr>
              <w:t>0.851</w:t>
            </w:r>
          </w:p>
        </w:tc>
        <w:tc>
          <w:tcPr>
            <w:tcW w:w="337" w:type="pct"/>
            <w:shd w:val="clear" w:color="auto" w:fill="auto"/>
            <w:vAlign w:val="center"/>
          </w:tcPr>
          <w:p w14:paraId="28D1AB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72" w:type="pct"/>
            <w:shd w:val="clear" w:color="auto" w:fill="auto"/>
            <w:vAlign w:val="center"/>
          </w:tcPr>
          <w:p w14:paraId="3A189B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823" w:type="pct"/>
            <w:shd w:val="clear" w:color="auto" w:fill="auto"/>
            <w:vAlign w:val="center"/>
          </w:tcPr>
          <w:p w14:paraId="7A54F4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+0.851/+0.851</w:t>
            </w:r>
          </w:p>
        </w:tc>
      </w:tr>
      <w:tr w14:paraId="6D5CFF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164F75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42BA1C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bCs/>
                <w:color w:val="auto"/>
                <w:kern w:val="0"/>
                <w:sz w:val="21"/>
                <w:szCs w:val="21"/>
                <w:lang w:bidi="ar"/>
              </w:rPr>
              <w:t>动植物油</w:t>
            </w:r>
          </w:p>
        </w:tc>
        <w:tc>
          <w:tcPr>
            <w:tcW w:w="410" w:type="pct"/>
            <w:shd w:val="clear" w:color="auto" w:fill="auto"/>
            <w:vAlign w:val="center"/>
          </w:tcPr>
          <w:p w14:paraId="512313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94" w:type="pct"/>
            <w:shd w:val="clear" w:color="auto" w:fill="auto"/>
            <w:vAlign w:val="center"/>
          </w:tcPr>
          <w:p w14:paraId="0FE6FE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452" w:type="pct"/>
            <w:shd w:val="clear" w:color="auto" w:fill="auto"/>
            <w:vAlign w:val="center"/>
          </w:tcPr>
          <w:p w14:paraId="595B44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0.660</w:t>
            </w:r>
          </w:p>
        </w:tc>
        <w:tc>
          <w:tcPr>
            <w:tcW w:w="397" w:type="pct"/>
            <w:shd w:val="clear" w:color="auto" w:fill="auto"/>
            <w:vAlign w:val="center"/>
          </w:tcPr>
          <w:p w14:paraId="5B2421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0.462</w:t>
            </w:r>
          </w:p>
        </w:tc>
        <w:tc>
          <w:tcPr>
            <w:tcW w:w="453" w:type="pct"/>
            <w:shd w:val="clear" w:color="auto" w:fill="auto"/>
            <w:vAlign w:val="center"/>
          </w:tcPr>
          <w:p w14:paraId="5465B7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0.198</w:t>
            </w:r>
          </w:p>
        </w:tc>
        <w:tc>
          <w:tcPr>
            <w:tcW w:w="448" w:type="pct"/>
            <w:shd w:val="clear" w:color="auto" w:fill="auto"/>
            <w:vAlign w:val="center"/>
          </w:tcPr>
          <w:p w14:paraId="21BEF9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kern w:val="0"/>
                <w:sz w:val="21"/>
                <w:szCs w:val="21"/>
                <w:lang w:bidi="ar"/>
              </w:rPr>
              <w:t>0.198</w:t>
            </w:r>
          </w:p>
        </w:tc>
        <w:tc>
          <w:tcPr>
            <w:tcW w:w="337" w:type="pct"/>
            <w:shd w:val="clear" w:color="auto" w:fill="auto"/>
            <w:vAlign w:val="center"/>
          </w:tcPr>
          <w:p w14:paraId="05CE63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372" w:type="pct"/>
            <w:shd w:val="clear" w:color="auto" w:fill="auto"/>
            <w:vAlign w:val="center"/>
          </w:tcPr>
          <w:p w14:paraId="193482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r>
              <w:rPr>
                <w:rFonts w:hint="eastAsia"/>
                <w:color w:val="auto"/>
                <w:kern w:val="0"/>
                <w:sz w:val="21"/>
                <w:szCs w:val="21"/>
                <w:lang w:bidi="ar"/>
              </w:rPr>
              <w:t>/</w:t>
            </w:r>
          </w:p>
        </w:tc>
        <w:tc>
          <w:tcPr>
            <w:tcW w:w="823" w:type="pct"/>
            <w:shd w:val="clear" w:color="auto" w:fill="auto"/>
            <w:vAlign w:val="center"/>
          </w:tcPr>
          <w:p w14:paraId="6A8D92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+0.198/+0.198</w:t>
            </w:r>
          </w:p>
        </w:tc>
      </w:tr>
      <w:tr w14:paraId="03566D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09936C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257BA0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Cs/>
                <w:color w:val="auto"/>
                <w:kern w:val="0"/>
                <w:sz w:val="21"/>
                <w:szCs w:val="21"/>
                <w:lang w:bidi="ar"/>
              </w:rPr>
            </w:pPr>
            <w:r>
              <w:rPr>
                <w:rFonts w:hint="eastAsia"/>
                <w:bCs/>
                <w:color w:val="auto"/>
                <w:kern w:val="0"/>
                <w:sz w:val="21"/>
                <w:szCs w:val="21"/>
                <w:lang w:bidi="ar"/>
              </w:rPr>
              <w:t>盐分</w:t>
            </w:r>
          </w:p>
        </w:tc>
        <w:tc>
          <w:tcPr>
            <w:tcW w:w="410" w:type="pct"/>
            <w:shd w:val="clear" w:color="auto" w:fill="auto"/>
            <w:vAlign w:val="center"/>
          </w:tcPr>
          <w:p w14:paraId="299D34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p>
        </w:tc>
        <w:tc>
          <w:tcPr>
            <w:tcW w:w="394" w:type="pct"/>
            <w:shd w:val="clear" w:color="auto" w:fill="auto"/>
            <w:vAlign w:val="center"/>
          </w:tcPr>
          <w:p w14:paraId="2D2FD2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p>
        </w:tc>
        <w:tc>
          <w:tcPr>
            <w:tcW w:w="452" w:type="pct"/>
            <w:shd w:val="clear" w:color="auto" w:fill="auto"/>
            <w:vAlign w:val="center"/>
          </w:tcPr>
          <w:p w14:paraId="72AFC0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259.627</w:t>
            </w:r>
          </w:p>
        </w:tc>
        <w:tc>
          <w:tcPr>
            <w:tcW w:w="397" w:type="pct"/>
            <w:shd w:val="clear" w:color="auto" w:fill="auto"/>
            <w:vAlign w:val="center"/>
          </w:tcPr>
          <w:p w14:paraId="26B43B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129.813</w:t>
            </w:r>
          </w:p>
        </w:tc>
        <w:tc>
          <w:tcPr>
            <w:tcW w:w="453" w:type="pct"/>
            <w:shd w:val="clear" w:color="auto" w:fill="auto"/>
            <w:vAlign w:val="center"/>
          </w:tcPr>
          <w:p w14:paraId="5ED049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129.814</w:t>
            </w:r>
          </w:p>
        </w:tc>
        <w:tc>
          <w:tcPr>
            <w:tcW w:w="448" w:type="pct"/>
            <w:shd w:val="clear" w:color="auto" w:fill="auto"/>
            <w:vAlign w:val="center"/>
          </w:tcPr>
          <w:p w14:paraId="63E71A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等线"/>
                <w:color w:val="auto"/>
                <w:kern w:val="0"/>
                <w:sz w:val="21"/>
                <w:szCs w:val="21"/>
                <w:lang w:bidi="ar"/>
              </w:rPr>
              <w:t>129.814</w:t>
            </w:r>
          </w:p>
        </w:tc>
        <w:tc>
          <w:tcPr>
            <w:tcW w:w="337" w:type="pct"/>
            <w:shd w:val="clear" w:color="auto" w:fill="auto"/>
            <w:vAlign w:val="center"/>
          </w:tcPr>
          <w:p w14:paraId="1C28ED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p>
        </w:tc>
        <w:tc>
          <w:tcPr>
            <w:tcW w:w="372" w:type="pct"/>
            <w:shd w:val="clear" w:color="auto" w:fill="auto"/>
            <w:vAlign w:val="center"/>
          </w:tcPr>
          <w:p w14:paraId="441F1B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lang w:bidi="ar"/>
              </w:rPr>
            </w:pPr>
          </w:p>
        </w:tc>
        <w:tc>
          <w:tcPr>
            <w:tcW w:w="823" w:type="pct"/>
            <w:shd w:val="clear" w:color="auto" w:fill="auto"/>
            <w:vAlign w:val="center"/>
          </w:tcPr>
          <w:p w14:paraId="593621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+129.814/+129.814</w:t>
            </w:r>
          </w:p>
        </w:tc>
      </w:tr>
      <w:tr w14:paraId="5D402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restart"/>
            <w:shd w:val="clear" w:color="auto" w:fill="auto"/>
            <w:vAlign w:val="center"/>
          </w:tcPr>
          <w:p w14:paraId="53FCA5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固体废物</w:t>
            </w:r>
          </w:p>
        </w:tc>
        <w:tc>
          <w:tcPr>
            <w:tcW w:w="595" w:type="pct"/>
            <w:gridSpan w:val="2"/>
            <w:shd w:val="clear" w:color="auto" w:fill="auto"/>
            <w:vAlign w:val="center"/>
          </w:tcPr>
          <w:p w14:paraId="661CB8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一般固体废物</w:t>
            </w:r>
          </w:p>
        </w:tc>
        <w:tc>
          <w:tcPr>
            <w:tcW w:w="410" w:type="pct"/>
            <w:shd w:val="clear" w:color="auto" w:fill="auto"/>
            <w:vAlign w:val="center"/>
          </w:tcPr>
          <w:p w14:paraId="052EB0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94" w:type="pct"/>
            <w:shd w:val="clear" w:color="auto" w:fill="auto"/>
            <w:vAlign w:val="center"/>
          </w:tcPr>
          <w:p w14:paraId="264911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5F30F5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247</w:t>
            </w:r>
            <w:r>
              <w:rPr>
                <w:rFonts w:hint="eastAsia"/>
                <w:color w:val="auto"/>
                <w:kern w:val="0"/>
                <w:sz w:val="21"/>
                <w:szCs w:val="21"/>
              </w:rPr>
              <w:t>42.212</w:t>
            </w:r>
          </w:p>
        </w:tc>
        <w:tc>
          <w:tcPr>
            <w:tcW w:w="397" w:type="pct"/>
            <w:shd w:val="clear" w:color="auto" w:fill="auto"/>
            <w:vAlign w:val="center"/>
          </w:tcPr>
          <w:p w14:paraId="0380E9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247</w:t>
            </w:r>
            <w:r>
              <w:rPr>
                <w:rFonts w:hint="eastAsia"/>
                <w:color w:val="auto"/>
                <w:kern w:val="0"/>
                <w:sz w:val="21"/>
                <w:szCs w:val="21"/>
              </w:rPr>
              <w:t>42.212</w:t>
            </w:r>
          </w:p>
        </w:tc>
        <w:tc>
          <w:tcPr>
            <w:tcW w:w="453" w:type="pct"/>
            <w:shd w:val="clear" w:color="auto" w:fill="auto"/>
            <w:vAlign w:val="center"/>
          </w:tcPr>
          <w:p w14:paraId="1E519D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48" w:type="pct"/>
            <w:shd w:val="clear" w:color="auto" w:fill="auto"/>
            <w:vAlign w:val="center"/>
          </w:tcPr>
          <w:p w14:paraId="6EB189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37" w:type="pct"/>
            <w:shd w:val="clear" w:color="auto" w:fill="auto"/>
            <w:vAlign w:val="center"/>
          </w:tcPr>
          <w:p w14:paraId="5AD2D3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15A173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823" w:type="pct"/>
            <w:shd w:val="clear" w:color="auto" w:fill="auto"/>
            <w:vAlign w:val="center"/>
          </w:tcPr>
          <w:p w14:paraId="306CEF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r>
      <w:tr w14:paraId="6F44F8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61B400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58806F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危险废物</w:t>
            </w:r>
          </w:p>
        </w:tc>
        <w:tc>
          <w:tcPr>
            <w:tcW w:w="410" w:type="pct"/>
            <w:shd w:val="clear" w:color="auto" w:fill="auto"/>
            <w:vAlign w:val="center"/>
          </w:tcPr>
          <w:p w14:paraId="372081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94" w:type="pct"/>
            <w:shd w:val="clear" w:color="auto" w:fill="auto"/>
            <w:vAlign w:val="center"/>
          </w:tcPr>
          <w:p w14:paraId="030EB7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4EB695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3989.86</w:t>
            </w:r>
          </w:p>
        </w:tc>
        <w:tc>
          <w:tcPr>
            <w:tcW w:w="397" w:type="pct"/>
            <w:shd w:val="clear" w:color="auto" w:fill="auto"/>
            <w:vAlign w:val="center"/>
          </w:tcPr>
          <w:p w14:paraId="5774B3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3989.86</w:t>
            </w:r>
          </w:p>
        </w:tc>
        <w:tc>
          <w:tcPr>
            <w:tcW w:w="453" w:type="pct"/>
            <w:shd w:val="clear" w:color="auto" w:fill="auto"/>
            <w:vAlign w:val="center"/>
          </w:tcPr>
          <w:p w14:paraId="0C5820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48" w:type="pct"/>
            <w:shd w:val="clear" w:color="auto" w:fill="auto"/>
            <w:vAlign w:val="center"/>
          </w:tcPr>
          <w:p w14:paraId="416CA4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37" w:type="pct"/>
            <w:shd w:val="clear" w:color="auto" w:fill="auto"/>
            <w:vAlign w:val="center"/>
          </w:tcPr>
          <w:p w14:paraId="37835A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124B58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823" w:type="pct"/>
            <w:shd w:val="clear" w:color="auto" w:fill="auto"/>
            <w:vAlign w:val="center"/>
          </w:tcPr>
          <w:p w14:paraId="6C6E79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r>
      <w:tr w14:paraId="05EADC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14" w:type="pct"/>
            <w:vMerge w:val="continue"/>
            <w:vAlign w:val="center"/>
          </w:tcPr>
          <w:p w14:paraId="3DE8B5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p>
        </w:tc>
        <w:tc>
          <w:tcPr>
            <w:tcW w:w="595" w:type="pct"/>
            <w:gridSpan w:val="2"/>
            <w:shd w:val="clear" w:color="auto" w:fill="auto"/>
            <w:vAlign w:val="center"/>
          </w:tcPr>
          <w:p w14:paraId="218E10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生活垃圾</w:t>
            </w:r>
          </w:p>
        </w:tc>
        <w:tc>
          <w:tcPr>
            <w:tcW w:w="410" w:type="pct"/>
            <w:shd w:val="clear" w:color="auto" w:fill="auto"/>
            <w:vAlign w:val="center"/>
          </w:tcPr>
          <w:p w14:paraId="2059CC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94" w:type="pct"/>
            <w:shd w:val="clear" w:color="auto" w:fill="auto"/>
            <w:vAlign w:val="center"/>
          </w:tcPr>
          <w:p w14:paraId="21F899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452" w:type="pct"/>
            <w:shd w:val="clear" w:color="auto" w:fill="auto"/>
            <w:vAlign w:val="center"/>
          </w:tcPr>
          <w:p w14:paraId="5797AA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306.5</w:t>
            </w:r>
          </w:p>
        </w:tc>
        <w:tc>
          <w:tcPr>
            <w:tcW w:w="397" w:type="pct"/>
            <w:shd w:val="clear" w:color="auto" w:fill="auto"/>
            <w:vAlign w:val="center"/>
          </w:tcPr>
          <w:p w14:paraId="7C85D2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306.5</w:t>
            </w:r>
          </w:p>
        </w:tc>
        <w:tc>
          <w:tcPr>
            <w:tcW w:w="453" w:type="pct"/>
            <w:shd w:val="clear" w:color="auto" w:fill="auto"/>
            <w:vAlign w:val="center"/>
          </w:tcPr>
          <w:p w14:paraId="211341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c>
          <w:tcPr>
            <w:tcW w:w="448" w:type="pct"/>
            <w:shd w:val="clear" w:color="auto" w:fill="auto"/>
            <w:vAlign w:val="center"/>
          </w:tcPr>
          <w:p w14:paraId="4D47A8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37" w:type="pct"/>
            <w:shd w:val="clear" w:color="auto" w:fill="auto"/>
            <w:vAlign w:val="center"/>
          </w:tcPr>
          <w:p w14:paraId="2E4C7B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372" w:type="pct"/>
            <w:shd w:val="clear" w:color="auto" w:fill="auto"/>
            <w:vAlign w:val="center"/>
          </w:tcPr>
          <w:p w14:paraId="7C45EB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0</w:t>
            </w:r>
          </w:p>
        </w:tc>
        <w:tc>
          <w:tcPr>
            <w:tcW w:w="823" w:type="pct"/>
            <w:shd w:val="clear" w:color="auto" w:fill="auto"/>
            <w:vAlign w:val="center"/>
          </w:tcPr>
          <w:p w14:paraId="53A8F3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color w:val="auto"/>
                <w:kern w:val="0"/>
                <w:sz w:val="21"/>
                <w:szCs w:val="21"/>
              </w:rPr>
              <w:t>0</w:t>
            </w:r>
          </w:p>
        </w:tc>
      </w:tr>
    </w:tbl>
    <w:p w14:paraId="47B5D8EC">
      <w:pPr>
        <w:spacing w:line="240" w:lineRule="auto"/>
        <w:ind w:firstLine="482"/>
        <w:jc w:val="center"/>
        <w:rPr>
          <w:b/>
          <w:color w:val="auto"/>
        </w:rPr>
      </w:pPr>
    </w:p>
    <w:p w14:paraId="6B2F0FAB">
      <w:pPr>
        <w:ind w:firstLine="0" w:firstLineChars="0"/>
        <w:rPr>
          <w:bCs/>
          <w:color w:val="auto"/>
          <w:sz w:val="21"/>
        </w:rPr>
      </w:pPr>
      <w:r>
        <w:rPr>
          <w:rFonts w:hint="eastAsia"/>
          <w:bCs/>
          <w:color w:val="auto"/>
          <w:sz w:val="21"/>
        </w:rPr>
        <w:t>注：“/”前为接管量，“/”后为最终排入外环境量。</w:t>
      </w:r>
    </w:p>
    <w:p w14:paraId="07791101">
      <w:pPr>
        <w:ind w:firstLine="480"/>
        <w:rPr>
          <w:color w:val="auto"/>
        </w:rPr>
      </w:pPr>
      <w:r>
        <w:rPr>
          <w:rFonts w:hint="eastAsia"/>
          <w:color w:val="auto"/>
        </w:rPr>
        <w:t>本项目建成后全厂</w:t>
      </w:r>
      <w:r>
        <w:rPr>
          <w:color w:val="auto"/>
        </w:rPr>
        <w:t>总量平衡途径：</w:t>
      </w:r>
    </w:p>
    <w:p w14:paraId="4A8E0CD5">
      <w:pPr>
        <w:ind w:firstLine="480"/>
        <w:rPr>
          <w:color w:val="auto"/>
        </w:rPr>
      </w:pPr>
      <w:r>
        <w:rPr>
          <w:color w:val="auto"/>
        </w:rPr>
        <w:t>（1）废气污染物总量控制途径</w:t>
      </w:r>
    </w:p>
    <w:p w14:paraId="468F2D6E">
      <w:pPr>
        <w:ind w:firstLine="480"/>
        <w:rPr>
          <w:color w:val="auto"/>
        </w:rPr>
      </w:pPr>
      <w:r>
        <w:rPr>
          <w:rFonts w:hint="eastAsia"/>
          <w:color w:val="auto"/>
        </w:rPr>
        <w:t>建成后全厂</w:t>
      </w:r>
      <w:r>
        <w:rPr>
          <w:color w:val="auto"/>
        </w:rPr>
        <w:t>新增有组织废气污染物排放量为：</w:t>
      </w:r>
      <w:r>
        <w:rPr>
          <w:rFonts w:hint="eastAsia"/>
          <w:color w:val="auto"/>
        </w:rPr>
        <w:t>颗粒物1.848t/a、SO</w:t>
      </w:r>
      <w:r>
        <w:rPr>
          <w:rFonts w:hint="eastAsia"/>
          <w:color w:val="auto"/>
          <w:vertAlign w:val="subscript"/>
        </w:rPr>
        <w:t>2</w:t>
      </w:r>
      <w:r>
        <w:rPr>
          <w:rFonts w:hint="eastAsia"/>
          <w:color w:val="auto"/>
        </w:rPr>
        <w:t xml:space="preserve"> 0.768t/a、NOx 7.183t/a，碱雾1.887t/a、硫酸雾3.980t/a、NH3 0.532t/a</w:t>
      </w:r>
      <w:r>
        <w:rPr>
          <w:color w:val="auto"/>
        </w:rPr>
        <w:t>，在连云港经济技术开发区范围平衡。</w:t>
      </w:r>
    </w:p>
    <w:p w14:paraId="7DCEBDEF">
      <w:pPr>
        <w:ind w:firstLine="480"/>
        <w:rPr>
          <w:color w:val="auto"/>
        </w:rPr>
      </w:pPr>
      <w:r>
        <w:rPr>
          <w:color w:val="auto"/>
        </w:rPr>
        <w:t>（2）水污染物总量控制途径</w:t>
      </w:r>
    </w:p>
    <w:p w14:paraId="0B83ADA0">
      <w:pPr>
        <w:ind w:firstLine="480"/>
        <w:rPr>
          <w:rFonts w:hint="eastAsia"/>
          <w:color w:val="auto"/>
        </w:rPr>
      </w:pPr>
      <w:r>
        <w:rPr>
          <w:color w:val="auto"/>
        </w:rPr>
        <w:t>本项目建成后合计新增废水污染物接管量为：</w:t>
      </w:r>
      <w:r>
        <w:rPr>
          <w:rFonts w:hint="eastAsia"/>
          <w:color w:val="auto"/>
        </w:rPr>
        <w:t xml:space="preserve">废水量290159.33t/a，COD </w:t>
      </w:r>
      <w:r>
        <w:rPr>
          <w:rFonts w:hint="eastAsia"/>
          <w:color w:val="auto"/>
          <w:lang w:val="en-US" w:eastAsia="zh-CN"/>
        </w:rPr>
        <w:t>76.370</w:t>
      </w:r>
      <w:r>
        <w:rPr>
          <w:rFonts w:hint="eastAsia"/>
          <w:color w:val="auto"/>
        </w:rPr>
        <w:t>t/a，SS 10.952t/a，氨氮5.</w:t>
      </w:r>
      <w:r>
        <w:rPr>
          <w:rFonts w:hint="eastAsia"/>
          <w:color w:val="auto"/>
          <w:lang w:val="en-US" w:eastAsia="zh-CN"/>
        </w:rPr>
        <w:t>226</w:t>
      </w:r>
      <w:r>
        <w:rPr>
          <w:rFonts w:hint="eastAsia"/>
          <w:color w:val="auto"/>
        </w:rPr>
        <w:t>t/a、总磷0.1</w:t>
      </w:r>
      <w:r>
        <w:rPr>
          <w:rFonts w:hint="eastAsia"/>
          <w:color w:val="auto"/>
          <w:lang w:val="en-US" w:eastAsia="zh-CN"/>
        </w:rPr>
        <w:t>56</w:t>
      </w:r>
      <w:r>
        <w:rPr>
          <w:rFonts w:hint="eastAsia"/>
          <w:color w:val="auto"/>
        </w:rPr>
        <w:t>t/a、总氮</w:t>
      </w:r>
      <w:r>
        <w:rPr>
          <w:rFonts w:hint="eastAsia"/>
          <w:color w:val="auto"/>
          <w:lang w:val="en-US" w:eastAsia="zh-CN"/>
        </w:rPr>
        <w:t>8.391</w:t>
      </w:r>
      <w:r>
        <w:rPr>
          <w:rFonts w:hint="eastAsia"/>
          <w:color w:val="auto"/>
        </w:rPr>
        <w:t>t/a、石油类1.</w:t>
      </w:r>
      <w:r>
        <w:rPr>
          <w:rFonts w:hint="eastAsia"/>
          <w:color w:val="auto"/>
          <w:lang w:val="en-US" w:eastAsia="zh-CN"/>
        </w:rPr>
        <w:t>748</w:t>
      </w:r>
      <w:r>
        <w:rPr>
          <w:rFonts w:hint="eastAsia"/>
          <w:color w:val="auto"/>
        </w:rPr>
        <w:t xml:space="preserve">t/a，总铝0.394t/a，LAS </w:t>
      </w:r>
      <w:r>
        <w:rPr>
          <w:rFonts w:hint="eastAsia"/>
          <w:color w:val="auto"/>
          <w:lang w:val="en-US" w:eastAsia="zh-CN"/>
        </w:rPr>
        <w:t>4.912</w:t>
      </w:r>
      <w:r>
        <w:rPr>
          <w:rFonts w:hint="eastAsia"/>
          <w:color w:val="auto"/>
        </w:rPr>
        <w:t>t/a，总锡0.851t/a，动植物油0.198t/a和盐分129.814t/a；</w:t>
      </w:r>
    </w:p>
    <w:p w14:paraId="747A36AF">
      <w:pPr>
        <w:ind w:firstLine="480"/>
        <w:rPr>
          <w:color w:val="auto"/>
        </w:rPr>
      </w:pPr>
      <w:r>
        <w:rPr>
          <w:rFonts w:hint="eastAsia"/>
          <w:color w:val="auto"/>
          <w:lang w:val="en-US" w:eastAsia="zh-CN"/>
        </w:rPr>
        <w:t>本项目建成后</w:t>
      </w:r>
      <w:r>
        <w:rPr>
          <w:rFonts w:hint="eastAsia"/>
          <w:color w:val="auto"/>
        </w:rPr>
        <w:t>最终外排量：废水量290159.33t/a，COD 14.508t/a，SS 2.902t/a，氨氮1.451t/a，总磷0.145t/a，总氮4.352t/a，石油类0.290t/a，总铝0.389t/a，LAS 0.145t/a，总锡0.851t/a和动植物油0.198t/a。</w:t>
      </w:r>
    </w:p>
    <w:p w14:paraId="436499E6">
      <w:pPr>
        <w:ind w:firstLine="480"/>
        <w:rPr>
          <w:rFonts w:hint="default"/>
          <w:color w:val="auto"/>
          <w:lang w:val="en-US"/>
        </w:rPr>
      </w:pPr>
      <w:r>
        <w:rPr>
          <w:rFonts w:hint="eastAsia"/>
          <w:color w:val="auto"/>
          <w:lang w:val="en-US" w:eastAsia="zh-CN"/>
        </w:rPr>
        <w:t>污染物在现有项目已批复总量中平衡，本次新增总量不足部分通过江苏省排污总量指标储备和交易管理系统申请政府指标，由连云港市生态环境局开发区分局核定后在开发区内平衡。</w:t>
      </w:r>
    </w:p>
    <w:p w14:paraId="0CF516A4">
      <w:pPr>
        <w:ind w:firstLine="480"/>
        <w:rPr>
          <w:color w:val="auto"/>
        </w:rPr>
      </w:pPr>
      <w:r>
        <w:rPr>
          <w:color w:val="auto"/>
        </w:rPr>
        <w:t>本项目废水COD、氨氮、总氮、总磷作为总量控制指标；其他因子作为一般考核指标，本项目新增的废水污染物（COD、氨氮、总磷和总氮）需纳入开发区临港污水处理厂总量指标内平衡</w:t>
      </w:r>
      <w:r>
        <w:rPr>
          <w:rFonts w:hint="eastAsia"/>
          <w:color w:val="auto"/>
        </w:rPr>
        <w:t>。</w:t>
      </w:r>
    </w:p>
    <w:p w14:paraId="31724F78">
      <w:pPr>
        <w:ind w:firstLine="480"/>
        <w:rPr>
          <w:color w:val="auto"/>
        </w:rPr>
      </w:pPr>
      <w:r>
        <w:rPr>
          <w:color w:val="auto"/>
        </w:rPr>
        <w:t>（3）固体废物总量控制途径</w:t>
      </w:r>
    </w:p>
    <w:p w14:paraId="095F89C9">
      <w:pPr>
        <w:ind w:firstLine="480"/>
        <w:rPr>
          <w:color w:val="auto"/>
        </w:rPr>
      </w:pPr>
      <w:r>
        <w:rPr>
          <w:color w:val="auto"/>
        </w:rPr>
        <w:t>本项目</w:t>
      </w:r>
      <w:r>
        <w:rPr>
          <w:rFonts w:hint="eastAsia"/>
          <w:color w:val="auto"/>
        </w:rPr>
        <w:t>建成后</w:t>
      </w:r>
      <w:r>
        <w:rPr>
          <w:color w:val="auto"/>
        </w:rPr>
        <w:t>的各类固废均</w:t>
      </w:r>
      <w:r>
        <w:rPr>
          <w:rFonts w:hint="eastAsia"/>
          <w:color w:val="auto"/>
        </w:rPr>
        <w:t>得到有效</w:t>
      </w:r>
      <w:r>
        <w:rPr>
          <w:rFonts w:hint="eastAsia"/>
          <w:color w:val="auto"/>
          <w:lang w:eastAsia="zh-CN"/>
        </w:rPr>
        <w:t>地</w:t>
      </w:r>
      <w:r>
        <w:rPr>
          <w:color w:val="auto"/>
        </w:rPr>
        <w:t>处置和利用。</w:t>
      </w:r>
    </w:p>
    <w:p w14:paraId="79CB6883">
      <w:pPr>
        <w:keepNext/>
        <w:keepLines/>
        <w:tabs>
          <w:tab w:val="left" w:pos="2340"/>
        </w:tabs>
        <w:spacing w:before="120" w:beforeLines="50"/>
        <w:ind w:firstLine="0" w:firstLineChars="0"/>
        <w:outlineLvl w:val="2"/>
        <w:rPr>
          <w:b/>
          <w:bCs/>
          <w:color w:val="auto"/>
          <w:sz w:val="28"/>
          <w:szCs w:val="32"/>
        </w:rPr>
        <w:sectPr>
          <w:pgSz w:w="16838" w:h="11906" w:orient="landscape"/>
          <w:pgMar w:top="1451" w:right="1418" w:bottom="1451" w:left="1418" w:header="851" w:footer="992" w:gutter="0"/>
          <w:paperSrc w:first="7" w:other="7"/>
          <w:cols w:space="0" w:num="1"/>
          <w:docGrid w:linePitch="312" w:charSpace="0"/>
        </w:sectPr>
      </w:pPr>
    </w:p>
    <w:p w14:paraId="7055110E">
      <w:pPr>
        <w:keepNext/>
        <w:keepLines/>
        <w:tabs>
          <w:tab w:val="left" w:pos="2340"/>
        </w:tabs>
        <w:spacing w:before="120" w:beforeLines="50"/>
        <w:ind w:firstLine="0" w:firstLineChars="0"/>
        <w:outlineLvl w:val="2"/>
        <w:rPr>
          <w:b/>
          <w:bCs/>
          <w:color w:val="auto"/>
          <w:sz w:val="28"/>
          <w:szCs w:val="32"/>
        </w:rPr>
      </w:pPr>
      <w:r>
        <w:rPr>
          <w:rFonts w:hint="eastAsia"/>
          <w:b/>
          <w:bCs/>
          <w:color w:val="auto"/>
          <w:sz w:val="28"/>
          <w:szCs w:val="32"/>
        </w:rPr>
        <w:t>9</w:t>
      </w:r>
      <w:r>
        <w:rPr>
          <w:b/>
          <w:bCs/>
          <w:color w:val="auto"/>
          <w:sz w:val="28"/>
          <w:szCs w:val="32"/>
        </w:rPr>
        <w:t>.</w:t>
      </w:r>
      <w:r>
        <w:rPr>
          <w:rFonts w:hint="eastAsia"/>
          <w:b/>
          <w:bCs/>
          <w:color w:val="auto"/>
          <w:sz w:val="28"/>
          <w:szCs w:val="32"/>
        </w:rPr>
        <w:t>3.2</w:t>
      </w:r>
      <w:r>
        <w:rPr>
          <w:b/>
          <w:bCs/>
          <w:color w:val="auto"/>
          <w:sz w:val="28"/>
          <w:szCs w:val="32"/>
        </w:rPr>
        <w:t xml:space="preserve"> 排污口规范化设置</w:t>
      </w:r>
    </w:p>
    <w:p w14:paraId="0A7C416C">
      <w:pPr>
        <w:ind w:firstLine="480"/>
        <w:rPr>
          <w:bCs/>
          <w:color w:val="auto"/>
        </w:rPr>
      </w:pPr>
      <w:bookmarkStart w:id="247" w:name="_Hlk515932177"/>
      <w:r>
        <w:rPr>
          <w:bCs/>
          <w:color w:val="auto"/>
        </w:rPr>
        <w:t>根据《江苏省排污口设置及规范化整治管理办法》（苏环控</w:t>
      </w:r>
      <w:r>
        <w:rPr>
          <w:rFonts w:hint="eastAsia"/>
          <w:bCs/>
          <w:color w:val="auto"/>
        </w:rPr>
        <w:t>〔</w:t>
      </w:r>
      <w:r>
        <w:rPr>
          <w:bCs/>
          <w:color w:val="auto"/>
        </w:rPr>
        <w:t>1997</w:t>
      </w:r>
      <w:r>
        <w:rPr>
          <w:rFonts w:hint="eastAsia"/>
          <w:bCs/>
          <w:color w:val="auto"/>
        </w:rPr>
        <w:t>〕</w:t>
      </w:r>
      <w:r>
        <w:rPr>
          <w:bCs/>
          <w:color w:val="auto"/>
        </w:rPr>
        <w:t>122号）的要求设置与管理排污口（指废水排放口、废气排气筒和固废临时堆放场所）：在排污口附近醒目处按规定设置环保标志牌，排污口的设置要合理，便于采集监测样品、便于监测计量、便于公众参与监督管理。</w:t>
      </w:r>
    </w:p>
    <w:p w14:paraId="5BE67F1C">
      <w:pPr>
        <w:ind w:firstLine="480"/>
        <w:rPr>
          <w:bCs/>
          <w:color w:val="auto"/>
        </w:rPr>
      </w:pPr>
      <w:r>
        <w:rPr>
          <w:bCs/>
          <w:color w:val="auto"/>
        </w:rPr>
        <w:t>本项目排污口设置情况如下：</w:t>
      </w:r>
    </w:p>
    <w:p w14:paraId="34A73BD3">
      <w:pPr>
        <w:ind w:firstLine="482"/>
        <w:rPr>
          <w:b/>
          <w:bCs/>
          <w:color w:val="auto"/>
        </w:rPr>
      </w:pPr>
      <w:r>
        <w:rPr>
          <w:rFonts w:hint="eastAsia"/>
          <w:b/>
          <w:bCs/>
          <w:color w:val="auto"/>
        </w:rPr>
        <w:t>1、</w:t>
      </w:r>
      <w:r>
        <w:rPr>
          <w:b/>
          <w:bCs/>
          <w:color w:val="auto"/>
        </w:rPr>
        <w:t>废气排放口</w:t>
      </w:r>
    </w:p>
    <w:p w14:paraId="0EAEE1A6">
      <w:pPr>
        <w:ind w:firstLine="480"/>
        <w:rPr>
          <w:color w:val="auto"/>
        </w:rPr>
      </w:pPr>
      <w:r>
        <w:rPr>
          <w:color w:val="auto"/>
          <w:lang w:val="en-GB"/>
        </w:rPr>
        <w:t>本项目</w:t>
      </w:r>
      <w:r>
        <w:rPr>
          <w:color w:val="auto"/>
        </w:rPr>
        <w:t>设置DA001~DA00</w:t>
      </w:r>
      <w:r>
        <w:rPr>
          <w:rFonts w:hint="eastAsia"/>
          <w:color w:val="auto"/>
          <w:lang w:val="en-US" w:eastAsia="zh-CN"/>
        </w:rPr>
        <w:t>8</w:t>
      </w:r>
      <w:r>
        <w:rPr>
          <w:color w:val="auto"/>
        </w:rPr>
        <w:t>排气筒</w:t>
      </w:r>
      <w:r>
        <w:rPr>
          <w:rFonts w:hint="eastAsia"/>
          <w:color w:val="auto"/>
          <w:lang w:val="en-US" w:eastAsia="zh-CN"/>
        </w:rPr>
        <w:t>8</w:t>
      </w:r>
      <w:r>
        <w:rPr>
          <w:color w:val="auto"/>
        </w:rPr>
        <w:t>个</w:t>
      </w:r>
      <w:r>
        <w:rPr>
          <w:rFonts w:hint="eastAsia"/>
          <w:color w:val="auto"/>
        </w:rPr>
        <w:t>，</w:t>
      </w:r>
      <w:r>
        <w:rPr>
          <w:color w:val="auto"/>
          <w:lang w:val="en-GB"/>
        </w:rPr>
        <w:t>全厂各排气筒均应设置环保图形标志牌，设置便于采样监测的平台、采样孔。</w:t>
      </w:r>
    </w:p>
    <w:p w14:paraId="66136888">
      <w:pPr>
        <w:ind w:firstLine="482"/>
        <w:rPr>
          <w:b/>
          <w:bCs/>
          <w:color w:val="auto"/>
        </w:rPr>
      </w:pPr>
      <w:r>
        <w:rPr>
          <w:rFonts w:hint="eastAsia"/>
          <w:b/>
          <w:bCs/>
          <w:color w:val="auto"/>
        </w:rPr>
        <w:t>2、</w:t>
      </w:r>
      <w:r>
        <w:rPr>
          <w:b/>
          <w:bCs/>
          <w:color w:val="auto"/>
        </w:rPr>
        <w:t>废水</w:t>
      </w:r>
      <w:r>
        <w:rPr>
          <w:rFonts w:hint="eastAsia"/>
          <w:b/>
          <w:bCs/>
          <w:color w:val="auto"/>
        </w:rPr>
        <w:t>和雨水</w:t>
      </w:r>
      <w:r>
        <w:rPr>
          <w:b/>
          <w:bCs/>
          <w:color w:val="auto"/>
        </w:rPr>
        <w:t>排放口</w:t>
      </w:r>
    </w:p>
    <w:p w14:paraId="119E1156">
      <w:pPr>
        <w:ind w:firstLine="480"/>
        <w:rPr>
          <w:color w:val="auto"/>
        </w:rPr>
      </w:pPr>
      <w:r>
        <w:rPr>
          <w:rFonts w:hint="eastAsia"/>
          <w:color w:val="auto"/>
        </w:rPr>
        <w:t>根据江苏省环保厅《江苏省排污口设置及规范化整治管理办法》建设项目厂区的排水体制必须实施“清污分流制”排水系统，依托项目厂区原有的雨水排放口和污水接管口，在污水排水出口设置能满足采样条件的明渠，明渠规格应符合《城市排水流量堰槽测量标准》（CI3008.1-5-93）设计规定。污水接口附近醒目处应树立环保图形标志牌。企业</w:t>
      </w:r>
      <w:r>
        <w:rPr>
          <w:color w:val="auto"/>
          <w:lang w:val="en-GB"/>
        </w:rPr>
        <w:t>设置废水</w:t>
      </w:r>
      <w:r>
        <w:rPr>
          <w:color w:val="auto"/>
        </w:rPr>
        <w:t>总排</w:t>
      </w:r>
      <w:r>
        <w:rPr>
          <w:color w:val="auto"/>
          <w:lang w:val="en-GB"/>
        </w:rPr>
        <w:t>口</w:t>
      </w:r>
      <w:r>
        <w:rPr>
          <w:color w:val="auto"/>
        </w:rPr>
        <w:t>1</w:t>
      </w:r>
      <w:r>
        <w:rPr>
          <w:color w:val="auto"/>
          <w:lang w:val="en-GB"/>
        </w:rPr>
        <w:t>个（</w:t>
      </w:r>
      <w:r>
        <w:rPr>
          <w:color w:val="auto"/>
        </w:rPr>
        <w:t>DW001），雨水</w:t>
      </w:r>
      <w:r>
        <w:rPr>
          <w:color w:val="auto"/>
          <w:lang w:val="en-GB"/>
        </w:rPr>
        <w:t>排放口</w:t>
      </w:r>
      <w:r>
        <w:rPr>
          <w:rFonts w:hint="eastAsia"/>
          <w:color w:val="auto"/>
        </w:rPr>
        <w:t>2</w:t>
      </w:r>
      <w:r>
        <w:rPr>
          <w:color w:val="auto"/>
          <w:lang w:val="en-GB"/>
        </w:rPr>
        <w:t>个</w:t>
      </w:r>
      <w:r>
        <w:rPr>
          <w:color w:val="auto"/>
        </w:rPr>
        <w:t>，并在排污口设置明显排口标志及装备污水流量计。</w:t>
      </w:r>
    </w:p>
    <w:p w14:paraId="780BC13E">
      <w:pPr>
        <w:numPr>
          <w:ilvl w:val="0"/>
          <w:numId w:val="16"/>
        </w:numPr>
        <w:ind w:firstLine="482"/>
        <w:rPr>
          <w:b/>
          <w:bCs/>
          <w:color w:val="auto"/>
        </w:rPr>
      </w:pPr>
      <w:r>
        <w:rPr>
          <w:b/>
          <w:bCs/>
          <w:color w:val="auto"/>
        </w:rPr>
        <w:t>噪声排污口的规范化</w:t>
      </w:r>
    </w:p>
    <w:p w14:paraId="76015FC8">
      <w:pPr>
        <w:ind w:firstLine="480"/>
        <w:rPr>
          <w:bCs/>
          <w:color w:val="auto"/>
        </w:rPr>
      </w:pPr>
      <w:r>
        <w:rPr>
          <w:bCs/>
          <w:color w:val="auto"/>
        </w:rPr>
        <w:t>固定噪声污染源（即其产生的噪声超过国家标准并干扰他人正常生活、工作和学习的固定噪声源）对边界影响最大处，设置环境噪声监测点，并在该处附近醒目处设置环境保护图形标志牌。</w:t>
      </w:r>
    </w:p>
    <w:p w14:paraId="2DC46A07">
      <w:pPr>
        <w:ind w:firstLine="482"/>
        <w:rPr>
          <w:b/>
          <w:color w:val="auto"/>
        </w:rPr>
      </w:pPr>
      <w:r>
        <w:rPr>
          <w:rFonts w:hint="eastAsia"/>
          <w:b/>
          <w:color w:val="auto"/>
        </w:rPr>
        <w:t>4、</w:t>
      </w:r>
      <w:r>
        <w:rPr>
          <w:b/>
          <w:color w:val="auto"/>
        </w:rPr>
        <w:t>固体废物贮存场所</w:t>
      </w:r>
    </w:p>
    <w:p w14:paraId="63245772">
      <w:pPr>
        <w:ind w:firstLine="480"/>
        <w:rPr>
          <w:color w:val="auto"/>
        </w:rPr>
      </w:pP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color w:val="auto"/>
        </w:rPr>
        <w:t>一般固废</w:t>
      </w:r>
    </w:p>
    <w:p w14:paraId="043BA681">
      <w:pPr>
        <w:ind w:firstLine="480"/>
        <w:rPr>
          <w:color w:val="auto"/>
        </w:rPr>
      </w:pPr>
      <w:r>
        <w:rPr>
          <w:color w:val="auto"/>
        </w:rPr>
        <w:t>设置固体废物临时贮存场所，贮存场所要求如下：</w:t>
      </w:r>
    </w:p>
    <w:p w14:paraId="7F6F6087">
      <w:pPr>
        <w:ind w:firstLine="480"/>
        <w:rPr>
          <w:color w:val="auto"/>
        </w:rPr>
      </w:pPr>
      <w:r>
        <w:rPr>
          <w:color w:val="auto"/>
        </w:rPr>
        <w:fldChar w:fldCharType="begin"/>
      </w:r>
      <w:r>
        <w:rPr>
          <w:color w:val="auto"/>
        </w:rPr>
        <w:instrText xml:space="preserve"> = 1 \* alphabetic </w:instrText>
      </w:r>
      <w:r>
        <w:rPr>
          <w:color w:val="auto"/>
        </w:rPr>
        <w:fldChar w:fldCharType="separate"/>
      </w:r>
      <w:r>
        <w:rPr>
          <w:color w:val="auto"/>
        </w:rPr>
        <w:t>a</w:t>
      </w:r>
      <w:r>
        <w:rPr>
          <w:color w:val="auto"/>
        </w:rPr>
        <w:fldChar w:fldCharType="end"/>
      </w:r>
      <w:r>
        <w:rPr>
          <w:color w:val="auto"/>
        </w:rPr>
        <w:t>、固体废物贮存场所要防渗漏、防雨淋、防扬尘等环境保护要求。</w:t>
      </w:r>
    </w:p>
    <w:p w14:paraId="6ED707B0">
      <w:pPr>
        <w:ind w:firstLine="480"/>
        <w:rPr>
          <w:color w:val="auto"/>
        </w:rPr>
      </w:pPr>
      <w:r>
        <w:rPr>
          <w:color w:val="auto"/>
        </w:rPr>
        <w:fldChar w:fldCharType="begin"/>
      </w:r>
      <w:r>
        <w:rPr>
          <w:color w:val="auto"/>
        </w:rPr>
        <w:instrText xml:space="preserve"> = 2 \* alphabetic </w:instrText>
      </w:r>
      <w:r>
        <w:rPr>
          <w:color w:val="auto"/>
        </w:rPr>
        <w:fldChar w:fldCharType="separate"/>
      </w:r>
      <w:r>
        <w:rPr>
          <w:color w:val="auto"/>
        </w:rPr>
        <w:t>b</w:t>
      </w:r>
      <w:r>
        <w:rPr>
          <w:color w:val="auto"/>
        </w:rPr>
        <w:fldChar w:fldCharType="end"/>
      </w:r>
      <w:r>
        <w:rPr>
          <w:color w:val="auto"/>
        </w:rPr>
        <w:t>、固体废物贮存场所在醒目处设置一个标志牌。固废环境保护图形标志牌按照《环境保护图形标志》</w:t>
      </w:r>
      <w:r>
        <w:rPr>
          <w:rFonts w:hint="eastAsia"/>
          <w:color w:val="auto"/>
          <w:lang w:eastAsia="zh-CN"/>
        </w:rPr>
        <w:t>（</w:t>
      </w:r>
      <w:r>
        <w:rPr>
          <w:color w:val="auto"/>
        </w:rPr>
        <w:t>GB15562.2–1995</w:t>
      </w:r>
      <w:r>
        <w:rPr>
          <w:rFonts w:hint="eastAsia"/>
          <w:color w:val="auto"/>
        </w:rPr>
        <w:t>）</w:t>
      </w:r>
      <w:r>
        <w:rPr>
          <w:color w:val="auto"/>
        </w:rPr>
        <w:t>规定制作。</w:t>
      </w:r>
    </w:p>
    <w:p w14:paraId="4A4ED376">
      <w:pPr>
        <w:ind w:firstLine="480"/>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危险固废</w:t>
      </w:r>
    </w:p>
    <w:p w14:paraId="4D133EB1">
      <w:pPr>
        <w:ind w:firstLine="480"/>
        <w:rPr>
          <w:color w:val="auto"/>
        </w:rPr>
      </w:pPr>
      <w:r>
        <w:rPr>
          <w:color w:val="auto"/>
        </w:rPr>
        <w:t>固废</w:t>
      </w:r>
      <w:r>
        <w:rPr>
          <w:rFonts w:hint="eastAsia"/>
          <w:color w:val="auto"/>
        </w:rPr>
        <w:t>（</w:t>
      </w:r>
      <w:r>
        <w:rPr>
          <w:color w:val="auto"/>
        </w:rPr>
        <w:t>液</w:t>
      </w:r>
      <w:r>
        <w:rPr>
          <w:rFonts w:hint="eastAsia"/>
          <w:color w:val="auto"/>
        </w:rPr>
        <w:t>）</w:t>
      </w:r>
      <w:r>
        <w:rPr>
          <w:color w:val="auto"/>
        </w:rPr>
        <w:t>应收集后尽快综合利用或委托</w:t>
      </w:r>
      <w:r>
        <w:rPr>
          <w:color w:val="auto"/>
          <w:spacing w:val="8"/>
        </w:rPr>
        <w:t>有资质单位进行</w:t>
      </w:r>
      <w:r>
        <w:rPr>
          <w:color w:val="auto"/>
        </w:rPr>
        <w:t>安全处置，不</w:t>
      </w:r>
      <w:r>
        <w:rPr>
          <w:rFonts w:hint="eastAsia"/>
          <w:color w:val="auto"/>
        </w:rPr>
        <w:t>宜</w:t>
      </w:r>
      <w:r>
        <w:rPr>
          <w:color w:val="auto"/>
        </w:rPr>
        <w:t>存放过长时间，以防止存放过程中，无组织废气挥发进入大气，造成二次污染。确需暂存的危险废物，危废仓库应满足《危险废物贮存污染控制标准》(GB18597-2023)、《危险废物识别标志设置技术规范》（HJ1276-2022）、</w:t>
      </w:r>
      <w:r>
        <w:rPr>
          <w:color w:val="auto"/>
        </w:rPr>
        <w:fldChar w:fldCharType="begin"/>
      </w:r>
      <w:r>
        <w:rPr>
          <w:color w:val="auto"/>
        </w:rPr>
        <w:instrText xml:space="preserve"> HYPERLINK "http://www.mee.gov.cn/xxgk2018/xxgk/xxgk01/202302/t20230224_1017497.html" </w:instrText>
      </w:r>
      <w:r>
        <w:rPr>
          <w:color w:val="auto"/>
        </w:rPr>
        <w:fldChar w:fldCharType="separate"/>
      </w:r>
      <w:r>
        <w:rPr>
          <w:color w:val="auto"/>
        </w:rPr>
        <w:t>《环境保护图形标志—固体废物贮存（处置）场》（GB 15562.2-1995）修改单</w:t>
      </w:r>
      <w:r>
        <w:rPr>
          <w:color w:val="auto"/>
        </w:rPr>
        <w:fldChar w:fldCharType="end"/>
      </w:r>
      <w:r>
        <w:rPr>
          <w:rFonts w:hint="eastAsia"/>
          <w:color w:val="auto"/>
        </w:rPr>
        <w:t>和</w:t>
      </w:r>
      <w:r>
        <w:rPr>
          <w:color w:val="auto"/>
        </w:rPr>
        <w:t>《省生态环境厅关于做好江苏省危险废物全生命周期监控系统上线运行工作的通知》（苏环办</w:t>
      </w:r>
      <w:r>
        <w:rPr>
          <w:rFonts w:hint="eastAsia"/>
          <w:color w:val="auto"/>
        </w:rPr>
        <w:t>〔</w:t>
      </w:r>
      <w:r>
        <w:rPr>
          <w:color w:val="auto"/>
        </w:rPr>
        <w:t>2020</w:t>
      </w:r>
      <w:r>
        <w:rPr>
          <w:rFonts w:hint="eastAsia"/>
          <w:color w:val="auto"/>
        </w:rPr>
        <w:t>〕</w:t>
      </w:r>
      <w:r>
        <w:rPr>
          <w:color w:val="auto"/>
        </w:rPr>
        <w:t>401）中相关要求。</w:t>
      </w:r>
    </w:p>
    <w:p w14:paraId="7658EA8F">
      <w:pPr>
        <w:ind w:firstLine="480"/>
        <w:rPr>
          <w:color w:val="auto"/>
        </w:rPr>
      </w:pPr>
      <w:r>
        <w:rPr>
          <w:color w:val="auto"/>
        </w:rPr>
        <w:t>环境保护图形符合见表</w:t>
      </w:r>
      <w:r>
        <w:rPr>
          <w:rFonts w:hint="eastAsia"/>
          <w:color w:val="auto"/>
        </w:rPr>
        <w:t>9</w:t>
      </w:r>
      <w:r>
        <w:rPr>
          <w:color w:val="auto"/>
        </w:rPr>
        <w:t>.</w:t>
      </w:r>
      <w:r>
        <w:rPr>
          <w:rFonts w:hint="eastAsia"/>
          <w:color w:val="auto"/>
        </w:rPr>
        <w:t>3-4，</w:t>
      </w:r>
      <w:r>
        <w:rPr>
          <w:color w:val="auto"/>
        </w:rPr>
        <w:t>环境保护图形标志的形状及颜色见表</w:t>
      </w:r>
      <w:r>
        <w:rPr>
          <w:rFonts w:hint="eastAsia"/>
          <w:color w:val="auto"/>
        </w:rPr>
        <w:t>9.3-5</w:t>
      </w:r>
      <w:r>
        <w:rPr>
          <w:color w:val="auto"/>
        </w:rPr>
        <w:t>。</w:t>
      </w:r>
    </w:p>
    <w:p w14:paraId="4C2B5D1F">
      <w:pPr>
        <w:spacing w:line="240" w:lineRule="auto"/>
        <w:ind w:firstLine="0" w:firstLineChars="0"/>
        <w:jc w:val="center"/>
        <w:rPr>
          <w:b/>
          <w:color w:val="auto"/>
        </w:rPr>
      </w:pPr>
      <w:r>
        <w:rPr>
          <w:b/>
          <w:color w:val="auto"/>
        </w:rPr>
        <w:t>表9.</w:t>
      </w:r>
      <w:r>
        <w:rPr>
          <w:rFonts w:hint="eastAsia"/>
          <w:b/>
          <w:color w:val="auto"/>
        </w:rPr>
        <w:t>3-4</w:t>
      </w:r>
      <w:r>
        <w:rPr>
          <w:b/>
          <w:color w:val="auto"/>
        </w:rPr>
        <w:t xml:space="preserve">  环境保护图形符号一览表</w:t>
      </w:r>
    </w:p>
    <w:tbl>
      <w:tblPr>
        <w:tblStyle w:val="88"/>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027"/>
        <w:gridCol w:w="2125"/>
        <w:gridCol w:w="1827"/>
        <w:gridCol w:w="2247"/>
      </w:tblGrid>
      <w:tr w14:paraId="694347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992" w:type="dxa"/>
            <w:tcBorders>
              <w:tl2br w:val="nil"/>
              <w:tr2bl w:val="nil"/>
            </w:tcBorders>
            <w:vAlign w:val="center"/>
          </w:tcPr>
          <w:p w14:paraId="36A03AC4">
            <w:pPr>
              <w:spacing w:line="240" w:lineRule="auto"/>
              <w:ind w:firstLine="0" w:firstLineChars="0"/>
              <w:jc w:val="center"/>
              <w:rPr>
                <w:b/>
                <w:bCs/>
                <w:color w:val="auto"/>
                <w:sz w:val="21"/>
                <w:szCs w:val="21"/>
              </w:rPr>
            </w:pPr>
            <w:r>
              <w:rPr>
                <w:b/>
                <w:bCs/>
                <w:color w:val="auto"/>
                <w:sz w:val="21"/>
                <w:szCs w:val="21"/>
              </w:rPr>
              <w:t>序号</w:t>
            </w:r>
          </w:p>
        </w:tc>
        <w:tc>
          <w:tcPr>
            <w:tcW w:w="2027" w:type="dxa"/>
            <w:tcBorders>
              <w:tl2br w:val="nil"/>
              <w:tr2bl w:val="nil"/>
            </w:tcBorders>
            <w:vAlign w:val="center"/>
          </w:tcPr>
          <w:p w14:paraId="3BFB3623">
            <w:pPr>
              <w:spacing w:line="240" w:lineRule="auto"/>
              <w:ind w:firstLine="0" w:firstLineChars="0"/>
              <w:jc w:val="center"/>
              <w:rPr>
                <w:b/>
                <w:bCs/>
                <w:color w:val="auto"/>
                <w:sz w:val="21"/>
                <w:szCs w:val="21"/>
              </w:rPr>
            </w:pPr>
            <w:r>
              <w:rPr>
                <w:b/>
                <w:bCs/>
                <w:color w:val="auto"/>
                <w:sz w:val="21"/>
                <w:szCs w:val="21"/>
              </w:rPr>
              <w:t>提示图形符号</w:t>
            </w:r>
          </w:p>
        </w:tc>
        <w:tc>
          <w:tcPr>
            <w:tcW w:w="2125" w:type="dxa"/>
            <w:tcBorders>
              <w:tl2br w:val="nil"/>
              <w:tr2bl w:val="nil"/>
            </w:tcBorders>
            <w:vAlign w:val="center"/>
          </w:tcPr>
          <w:p w14:paraId="2F58BAC0">
            <w:pPr>
              <w:spacing w:line="240" w:lineRule="auto"/>
              <w:ind w:firstLine="0" w:firstLineChars="0"/>
              <w:jc w:val="center"/>
              <w:rPr>
                <w:b/>
                <w:bCs/>
                <w:color w:val="auto"/>
                <w:sz w:val="21"/>
                <w:szCs w:val="21"/>
              </w:rPr>
            </w:pPr>
            <w:r>
              <w:rPr>
                <w:b/>
                <w:bCs/>
                <w:color w:val="auto"/>
                <w:sz w:val="21"/>
                <w:szCs w:val="21"/>
              </w:rPr>
              <w:t>警告图形符号</w:t>
            </w:r>
          </w:p>
        </w:tc>
        <w:tc>
          <w:tcPr>
            <w:tcW w:w="1827" w:type="dxa"/>
            <w:tcBorders>
              <w:tl2br w:val="nil"/>
              <w:tr2bl w:val="nil"/>
            </w:tcBorders>
            <w:vAlign w:val="center"/>
          </w:tcPr>
          <w:p w14:paraId="7A013003">
            <w:pPr>
              <w:spacing w:line="240" w:lineRule="auto"/>
              <w:ind w:firstLine="0" w:firstLineChars="0"/>
              <w:jc w:val="center"/>
              <w:rPr>
                <w:b/>
                <w:bCs/>
                <w:color w:val="auto"/>
                <w:sz w:val="21"/>
                <w:szCs w:val="21"/>
              </w:rPr>
            </w:pPr>
            <w:r>
              <w:rPr>
                <w:b/>
                <w:bCs/>
                <w:color w:val="auto"/>
                <w:sz w:val="21"/>
                <w:szCs w:val="21"/>
              </w:rPr>
              <w:t>名称</w:t>
            </w:r>
          </w:p>
        </w:tc>
        <w:tc>
          <w:tcPr>
            <w:tcW w:w="2247" w:type="dxa"/>
            <w:tcBorders>
              <w:tl2br w:val="nil"/>
              <w:tr2bl w:val="nil"/>
            </w:tcBorders>
            <w:vAlign w:val="center"/>
          </w:tcPr>
          <w:p w14:paraId="1A9BE23F">
            <w:pPr>
              <w:spacing w:line="240" w:lineRule="auto"/>
              <w:ind w:firstLine="0" w:firstLineChars="0"/>
              <w:jc w:val="center"/>
              <w:rPr>
                <w:b/>
                <w:bCs/>
                <w:color w:val="auto"/>
                <w:sz w:val="21"/>
                <w:szCs w:val="21"/>
              </w:rPr>
            </w:pPr>
            <w:r>
              <w:rPr>
                <w:b/>
                <w:bCs/>
                <w:color w:val="auto"/>
                <w:sz w:val="21"/>
                <w:szCs w:val="21"/>
              </w:rPr>
              <w:t>功能</w:t>
            </w:r>
          </w:p>
        </w:tc>
      </w:tr>
      <w:tr w14:paraId="2C9742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106" w:hRule="atLeast"/>
          <w:jc w:val="center"/>
        </w:trPr>
        <w:tc>
          <w:tcPr>
            <w:tcW w:w="992" w:type="dxa"/>
            <w:tcBorders>
              <w:tl2br w:val="nil"/>
              <w:tr2bl w:val="nil"/>
            </w:tcBorders>
            <w:vAlign w:val="center"/>
          </w:tcPr>
          <w:p w14:paraId="55267729">
            <w:pPr>
              <w:spacing w:line="240" w:lineRule="auto"/>
              <w:ind w:firstLine="0" w:firstLineChars="0"/>
              <w:jc w:val="center"/>
              <w:rPr>
                <w:color w:val="auto"/>
                <w:sz w:val="21"/>
                <w:szCs w:val="21"/>
              </w:rPr>
            </w:pPr>
            <w:r>
              <w:rPr>
                <w:color w:val="auto"/>
                <w:sz w:val="21"/>
                <w:szCs w:val="21"/>
              </w:rPr>
              <w:t>1</w:t>
            </w:r>
          </w:p>
        </w:tc>
        <w:tc>
          <w:tcPr>
            <w:tcW w:w="2027" w:type="dxa"/>
            <w:tcBorders>
              <w:tl2br w:val="nil"/>
              <w:tr2bl w:val="nil"/>
            </w:tcBorders>
            <w:vAlign w:val="center"/>
          </w:tcPr>
          <w:p w14:paraId="3FB64B1E">
            <w:pPr>
              <w:spacing w:line="240" w:lineRule="auto"/>
              <w:ind w:firstLine="0" w:firstLineChars="0"/>
              <w:jc w:val="center"/>
              <w:rPr>
                <w:color w:val="auto"/>
                <w:sz w:val="21"/>
                <w:szCs w:val="21"/>
              </w:rPr>
            </w:pPr>
            <w:r>
              <w:rPr>
                <w:color w:val="auto"/>
              </w:rPr>
              <mc:AlternateContent>
                <mc:Choice Requires="wpg">
                  <w:drawing>
                    <wp:anchor distT="0" distB="0" distL="114300" distR="114300" simplePos="0" relativeHeight="251662336" behindDoc="0" locked="0" layoutInCell="1" allowOverlap="1">
                      <wp:simplePos x="0" y="0"/>
                      <wp:positionH relativeFrom="page">
                        <wp:posOffset>270510</wp:posOffset>
                      </wp:positionH>
                      <wp:positionV relativeFrom="paragraph">
                        <wp:posOffset>32385</wp:posOffset>
                      </wp:positionV>
                      <wp:extent cx="762000" cy="2658110"/>
                      <wp:effectExtent l="0" t="635" r="0" b="8255"/>
                      <wp:wrapNone/>
                      <wp:docPr id="7" name="组合 5"/>
                      <wp:cNvGraphicFramePr/>
                      <a:graphic xmlns:a="http://schemas.openxmlformats.org/drawingml/2006/main">
                        <a:graphicData uri="http://schemas.microsoft.com/office/word/2010/wordprocessingGroup">
                          <wpg:wgp>
                            <wpg:cNvGrpSpPr/>
                            <wpg:grpSpPr>
                              <a:xfrm>
                                <a:off x="0" y="0"/>
                                <a:ext cx="762000" cy="2658110"/>
                                <a:chOff x="2882" y="755"/>
                                <a:chExt cx="1200" cy="4186"/>
                              </a:xfrm>
                              <a:effectLst/>
                            </wpg:grpSpPr>
                            <pic:pic xmlns:pic="http://schemas.openxmlformats.org/drawingml/2006/picture">
                              <pic:nvPicPr>
                                <pic:cNvPr id="18" name="图片 20772"/>
                                <pic:cNvPicPr>
                                  <a:picLocks noChangeAspect="1"/>
                                </pic:cNvPicPr>
                              </pic:nvPicPr>
                              <pic:blipFill>
                                <a:blip r:embed="rId72"/>
                                <a:stretch>
                                  <a:fillRect/>
                                </a:stretch>
                              </pic:blipFill>
                              <pic:spPr>
                                <a:xfrm>
                                  <a:off x="2920" y="754"/>
                                  <a:ext cx="1126" cy="3080"/>
                                </a:xfrm>
                                <a:prstGeom prst="rect">
                                  <a:avLst/>
                                </a:prstGeom>
                                <a:noFill/>
                                <a:ln>
                                  <a:noFill/>
                                </a:ln>
                                <a:effectLst/>
                              </pic:spPr>
                            </pic:pic>
                            <pic:pic xmlns:pic="http://schemas.openxmlformats.org/drawingml/2006/picture">
                              <pic:nvPicPr>
                                <pic:cNvPr id="19" name="图片 21797"/>
                                <pic:cNvPicPr>
                                  <a:picLocks noChangeAspect="1"/>
                                </pic:cNvPicPr>
                              </pic:nvPicPr>
                              <pic:blipFill>
                                <a:blip r:embed="rId73"/>
                                <a:stretch>
                                  <a:fillRect/>
                                </a:stretch>
                              </pic:blipFill>
                              <pic:spPr>
                                <a:xfrm>
                                  <a:off x="2882" y="3845"/>
                                  <a:ext cx="1200" cy="1095"/>
                                </a:xfrm>
                                <a:prstGeom prst="rect">
                                  <a:avLst/>
                                </a:prstGeom>
                                <a:noFill/>
                                <a:ln>
                                  <a:noFill/>
                                </a:ln>
                                <a:effectLst/>
                              </pic:spPr>
                            </pic:pic>
                          </wpg:wgp>
                        </a:graphicData>
                      </a:graphic>
                    </wp:anchor>
                  </w:drawing>
                </mc:Choice>
                <mc:Fallback>
                  <w:pict>
                    <v:group id="组合 5" o:spid="_x0000_s1026" o:spt="203" style="position:absolute;left:0pt;margin-left:21.3pt;margin-top:2.55pt;height:209.3pt;width:60pt;mso-position-horizontal-relative:page;z-index:251662336;mso-width-relative:page;mso-height-relative:page;" coordorigin="2882,755" coordsize="1200,4186" o:gfxdata="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">
                      <o:lock v:ext="edit" aspectratio="f"/>
                      <v:shape id="图片 20772" o:spid="_x0000_s1026" o:spt="75" type="#_x0000_t75" style="position:absolute;left:2920;top:754;height:3080;width:1126;" filled="f" o:preferrelative="t" stroked="f" coordsize="21600,21600" o:gfxdata="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Mz474A&#10;AADbAAAADwAAAAAAAAABACAAAAAiAAAAZHJzL2Rvd25yZXYueG1sUEsBAhQAFAAAAAgAh07iQDMv&#10;BZ47AAAAOQAAABAAAAAAAAAAAQAgAAAADQEAAGRycy9zaGFwZXhtbC54bWxQSwUGAAAAAAYABgBb&#10;AQAAtwMAAAAA&#10;">
                        <v:fill on="f" focussize="0,0"/>
                        <v:stroke on="f"/>
                        <v:imagedata r:id="rId72" o:title=""/>
                        <o:lock v:ext="edit" aspectratio="t"/>
                      </v:shape>
                      <v:shape id="图片 21797" o:spid="_x0000_s1026" o:spt="75" type="#_x0000_t75" style="position:absolute;left:2882;top:3845;height:1095;width:1200;" filled="f" o:preferrelative="t" stroked="f" coordsize="21600,21600" o:gfxdata="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xuxi8AAAA&#10;2wAAAA8AAAAAAAAAAQAgAAAAIgAAAGRycy9kb3ducmV2LnhtbFBLAQIUABQAAAAIAIdO4kAzLwWe&#10;OwAAADkAAAAQAAAAAAAAAAEAIAAAAAsBAABkcnMvc2hhcGV4bWwueG1sUEsFBgAAAAAGAAYAWwEA&#10;ALUDAAAAAA==&#10;">
                        <v:fill on="f" focussize="0,0"/>
                        <v:stroke on="f"/>
                        <v:imagedata r:id="rId73" o:title=""/>
                        <o:lock v:ext="edit" aspectratio="t"/>
                      </v:shape>
                    </v:group>
                  </w:pict>
                </mc:Fallback>
              </mc:AlternateContent>
            </w:r>
          </w:p>
        </w:tc>
        <w:tc>
          <w:tcPr>
            <w:tcW w:w="2125" w:type="dxa"/>
            <w:tcBorders>
              <w:tl2br w:val="nil"/>
              <w:tr2bl w:val="nil"/>
            </w:tcBorders>
            <w:vAlign w:val="center"/>
          </w:tcPr>
          <w:p w14:paraId="4F6C94F7">
            <w:pPr>
              <w:spacing w:line="240" w:lineRule="auto"/>
              <w:ind w:firstLine="0" w:firstLineChars="0"/>
              <w:jc w:val="center"/>
              <w:rPr>
                <w:color w:val="auto"/>
                <w:sz w:val="21"/>
                <w:szCs w:val="21"/>
              </w:rPr>
            </w:pPr>
            <w:r>
              <w:rPr>
                <w:color w:val="auto"/>
              </w:rPr>
              <mc:AlternateContent>
                <mc:Choice Requires="wpg">
                  <w:drawing>
                    <wp:anchor distT="0" distB="0" distL="114300" distR="114300" simplePos="0" relativeHeight="251664384" behindDoc="0" locked="0" layoutInCell="1" allowOverlap="1">
                      <wp:simplePos x="0" y="0"/>
                      <wp:positionH relativeFrom="page">
                        <wp:posOffset>340995</wp:posOffset>
                      </wp:positionH>
                      <wp:positionV relativeFrom="paragraph">
                        <wp:posOffset>3810</wp:posOffset>
                      </wp:positionV>
                      <wp:extent cx="668020" cy="1923415"/>
                      <wp:effectExtent l="635" t="0" r="17145" b="635"/>
                      <wp:wrapNone/>
                      <wp:docPr id="40" name="组合 13"/>
                      <wp:cNvGraphicFramePr/>
                      <a:graphic xmlns:a="http://schemas.openxmlformats.org/drawingml/2006/main">
                        <a:graphicData uri="http://schemas.microsoft.com/office/word/2010/wordprocessingGroup">
                          <wpg:wgp>
                            <wpg:cNvGrpSpPr/>
                            <wpg:grpSpPr>
                              <a:xfrm>
                                <a:off x="0" y="0"/>
                                <a:ext cx="668020" cy="1923415"/>
                                <a:chOff x="4769" y="793"/>
                                <a:chExt cx="1052" cy="3029"/>
                              </a:xfrm>
                              <a:effectLst/>
                            </wpg:grpSpPr>
                            <pic:pic xmlns:pic="http://schemas.openxmlformats.org/drawingml/2006/picture">
                              <pic:nvPicPr>
                                <pic:cNvPr id="41" name="图片 21799"/>
                                <pic:cNvPicPr>
                                  <a:picLocks noChangeAspect="1"/>
                                </pic:cNvPicPr>
                              </pic:nvPicPr>
                              <pic:blipFill>
                                <a:blip r:embed="rId74"/>
                                <a:stretch>
                                  <a:fillRect/>
                                </a:stretch>
                              </pic:blipFill>
                              <pic:spPr>
                                <a:xfrm>
                                  <a:off x="4783" y="793"/>
                                  <a:ext cx="1020" cy="1035"/>
                                </a:xfrm>
                                <a:prstGeom prst="rect">
                                  <a:avLst/>
                                </a:prstGeom>
                                <a:noFill/>
                                <a:ln>
                                  <a:noFill/>
                                </a:ln>
                                <a:effectLst/>
                              </pic:spPr>
                            </pic:pic>
                            <pic:pic xmlns:pic="http://schemas.openxmlformats.org/drawingml/2006/picture">
                              <pic:nvPicPr>
                                <pic:cNvPr id="42" name="图片 21800"/>
                                <pic:cNvPicPr>
                                  <a:picLocks noChangeAspect="1"/>
                                </pic:cNvPicPr>
                              </pic:nvPicPr>
                              <pic:blipFill>
                                <a:blip r:embed="rId75"/>
                                <a:stretch>
                                  <a:fillRect/>
                                </a:stretch>
                              </pic:blipFill>
                              <pic:spPr>
                                <a:xfrm>
                                  <a:off x="4768" y="1882"/>
                                  <a:ext cx="1052" cy="960"/>
                                </a:xfrm>
                                <a:prstGeom prst="rect">
                                  <a:avLst/>
                                </a:prstGeom>
                                <a:noFill/>
                                <a:ln>
                                  <a:noFill/>
                                </a:ln>
                                <a:effectLst/>
                              </pic:spPr>
                            </pic:pic>
                            <pic:pic xmlns:pic="http://schemas.openxmlformats.org/drawingml/2006/picture">
                              <pic:nvPicPr>
                                <pic:cNvPr id="43" name="图片 21801"/>
                                <pic:cNvPicPr>
                                  <a:picLocks noChangeAspect="1"/>
                                </pic:cNvPicPr>
                              </pic:nvPicPr>
                              <pic:blipFill>
                                <a:blip r:embed="rId76"/>
                                <a:stretch>
                                  <a:fillRect/>
                                </a:stretch>
                              </pic:blipFill>
                              <pic:spPr>
                                <a:xfrm>
                                  <a:off x="4768" y="2876"/>
                                  <a:ext cx="1052" cy="946"/>
                                </a:xfrm>
                                <a:prstGeom prst="rect">
                                  <a:avLst/>
                                </a:prstGeom>
                                <a:noFill/>
                                <a:ln>
                                  <a:noFill/>
                                </a:ln>
                                <a:effectLst/>
                              </pic:spPr>
                            </pic:pic>
                          </wpg:wgp>
                        </a:graphicData>
                      </a:graphic>
                    </wp:anchor>
                  </w:drawing>
                </mc:Choice>
                <mc:Fallback>
                  <w:pict>
                    <v:group id="组合 13" o:spid="_x0000_s1026" o:spt="203" style="position:absolute;left:0pt;margin-left:26.85pt;margin-top:0.3pt;height:151.45pt;width:52.6pt;mso-position-horizontal-relative:page;z-index:251664384;mso-width-relative:page;mso-height-relative:page;" coordorigin="4769,793" coordsize="1052,3029" o:gfxdata="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">
                      <o:lock v:ext="edit" aspectratio="f"/>
                      <v:shape id="图片 21799" o:spid="_x0000_s1026" o:spt="75" type="#_x0000_t75" style="position:absolute;left:4783;top:793;height:1035;width:1020;" filled="f" o:preferrelative="t" stroked="f" coordsize="21600,21600" o:gfxdata="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IfovQAA&#10;ANsAAAAPAAAAAAAAAAEAIAAAACIAAABkcnMvZG93bnJldi54bWxQSwECFAAUAAAACACHTuJAMy8F&#10;njsAAAA5AAAAEAAAAAAAAAABACAAAAAMAQAAZHJzL3NoYXBleG1sLnhtbFBLBQYAAAAABgAGAFsB&#10;AAC2AwAAAAA=&#10;">
                        <v:fill on="f" focussize="0,0"/>
                        <v:stroke on="f"/>
                        <v:imagedata r:id="rId74" o:title=""/>
                        <o:lock v:ext="edit" aspectratio="t"/>
                      </v:shape>
                      <v:shape id="图片 21800" o:spid="_x0000_s1026" o:spt="75" type="#_x0000_t75" style="position:absolute;left:4768;top:1882;height:960;width:1052;" filled="f" o:preferrelative="t" stroked="f" coordsize="21600,21600" o:gfxdata="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AvPAvQAA&#10;ANsAAAAPAAAAAAAAAAEAIAAAACIAAABkcnMvZG93bnJldi54bWxQSwECFAAUAAAACACHTuJAMy8F&#10;njsAAAA5AAAAEAAAAAAAAAABACAAAAAMAQAAZHJzL3NoYXBleG1sLnhtbFBLBQYAAAAABgAGAFsB&#10;AAC2AwAAAAA=&#10;">
                        <v:fill on="f" focussize="0,0"/>
                        <v:stroke on="f"/>
                        <v:imagedata r:id="rId75" o:title=""/>
                        <o:lock v:ext="edit" aspectratio="t"/>
                      </v:shape>
                      <v:shape id="图片 21801" o:spid="_x0000_s1026" o:spt="75" type="#_x0000_t75" style="position:absolute;left:4768;top:2876;height:946;width:1052;" filled="f" o:preferrelative="t" stroked="f" coordsize="21600,21600" o:gfxdata="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DQFvQAA&#10;ANsAAAAPAAAAAAAAAAEAIAAAACIAAABkcnMvZG93bnJldi54bWxQSwECFAAUAAAACACHTuJAMy8F&#10;njsAAAA5AAAAEAAAAAAAAAABACAAAAAMAQAAZHJzL3NoYXBleG1sLnhtbFBLBQYAAAAABgAGAFsB&#10;AAC2AwAAAAA=&#10;">
                        <v:fill on="f" focussize="0,0"/>
                        <v:stroke on="f"/>
                        <v:imagedata r:id="rId76" o:title=""/>
                        <o:lock v:ext="edit" aspectratio="t"/>
                      </v:shape>
                    </v:group>
                  </w:pict>
                </mc:Fallback>
              </mc:AlternateContent>
            </w:r>
          </w:p>
        </w:tc>
        <w:tc>
          <w:tcPr>
            <w:tcW w:w="1827" w:type="dxa"/>
            <w:tcBorders>
              <w:tl2br w:val="nil"/>
              <w:tr2bl w:val="nil"/>
            </w:tcBorders>
            <w:vAlign w:val="center"/>
          </w:tcPr>
          <w:p w14:paraId="139BA41F">
            <w:pPr>
              <w:spacing w:line="240" w:lineRule="auto"/>
              <w:ind w:firstLine="0" w:firstLineChars="0"/>
              <w:jc w:val="center"/>
              <w:rPr>
                <w:color w:val="auto"/>
                <w:sz w:val="21"/>
                <w:szCs w:val="21"/>
              </w:rPr>
            </w:pPr>
            <w:r>
              <w:rPr>
                <w:color w:val="auto"/>
                <w:sz w:val="21"/>
                <w:szCs w:val="21"/>
              </w:rPr>
              <w:t>废水排放口</w:t>
            </w:r>
          </w:p>
        </w:tc>
        <w:tc>
          <w:tcPr>
            <w:tcW w:w="2247" w:type="dxa"/>
            <w:tcBorders>
              <w:tl2br w:val="nil"/>
              <w:tr2bl w:val="nil"/>
            </w:tcBorders>
            <w:vAlign w:val="center"/>
          </w:tcPr>
          <w:p w14:paraId="54F3EB50">
            <w:pPr>
              <w:spacing w:line="240" w:lineRule="auto"/>
              <w:ind w:firstLine="0" w:firstLineChars="0"/>
              <w:jc w:val="center"/>
              <w:rPr>
                <w:color w:val="auto"/>
                <w:sz w:val="21"/>
                <w:szCs w:val="21"/>
              </w:rPr>
            </w:pPr>
            <w:r>
              <w:rPr>
                <w:color w:val="auto"/>
                <w:sz w:val="21"/>
                <w:szCs w:val="21"/>
              </w:rPr>
              <w:t>表示废水向水体排放</w:t>
            </w:r>
          </w:p>
        </w:tc>
      </w:tr>
      <w:tr w14:paraId="29571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86" w:hRule="atLeast"/>
          <w:jc w:val="center"/>
        </w:trPr>
        <w:tc>
          <w:tcPr>
            <w:tcW w:w="992" w:type="dxa"/>
            <w:tcBorders>
              <w:tl2br w:val="nil"/>
              <w:tr2bl w:val="nil"/>
            </w:tcBorders>
            <w:vAlign w:val="center"/>
          </w:tcPr>
          <w:p w14:paraId="41EA1A59">
            <w:pPr>
              <w:spacing w:line="240" w:lineRule="auto"/>
              <w:ind w:firstLine="0" w:firstLineChars="0"/>
              <w:jc w:val="center"/>
              <w:rPr>
                <w:color w:val="auto"/>
                <w:sz w:val="21"/>
                <w:szCs w:val="21"/>
              </w:rPr>
            </w:pPr>
            <w:r>
              <w:rPr>
                <w:color w:val="auto"/>
                <w:sz w:val="21"/>
                <w:szCs w:val="21"/>
              </w:rPr>
              <w:t>2</w:t>
            </w:r>
          </w:p>
        </w:tc>
        <w:tc>
          <w:tcPr>
            <w:tcW w:w="2027" w:type="dxa"/>
            <w:tcBorders>
              <w:tl2br w:val="nil"/>
              <w:tr2bl w:val="nil"/>
            </w:tcBorders>
            <w:vAlign w:val="center"/>
          </w:tcPr>
          <w:p w14:paraId="4D018F70">
            <w:pPr>
              <w:spacing w:line="240" w:lineRule="auto"/>
              <w:ind w:firstLine="0" w:firstLineChars="0"/>
              <w:jc w:val="center"/>
              <w:rPr>
                <w:color w:val="auto"/>
                <w:sz w:val="21"/>
                <w:szCs w:val="21"/>
              </w:rPr>
            </w:pPr>
          </w:p>
        </w:tc>
        <w:tc>
          <w:tcPr>
            <w:tcW w:w="2125" w:type="dxa"/>
            <w:tcBorders>
              <w:tl2br w:val="nil"/>
              <w:tr2bl w:val="nil"/>
            </w:tcBorders>
            <w:vAlign w:val="center"/>
          </w:tcPr>
          <w:p w14:paraId="4FE8A3FD">
            <w:pPr>
              <w:spacing w:line="240" w:lineRule="auto"/>
              <w:ind w:firstLine="0" w:firstLineChars="0"/>
              <w:jc w:val="center"/>
              <w:rPr>
                <w:color w:val="auto"/>
                <w:sz w:val="21"/>
                <w:szCs w:val="21"/>
              </w:rPr>
            </w:pPr>
          </w:p>
        </w:tc>
        <w:tc>
          <w:tcPr>
            <w:tcW w:w="1827" w:type="dxa"/>
            <w:tcBorders>
              <w:tl2br w:val="nil"/>
              <w:tr2bl w:val="nil"/>
            </w:tcBorders>
            <w:vAlign w:val="center"/>
          </w:tcPr>
          <w:p w14:paraId="2AE7F4C2">
            <w:pPr>
              <w:spacing w:line="240" w:lineRule="auto"/>
              <w:ind w:firstLine="0" w:firstLineChars="0"/>
              <w:jc w:val="center"/>
              <w:rPr>
                <w:color w:val="auto"/>
                <w:sz w:val="21"/>
                <w:szCs w:val="21"/>
              </w:rPr>
            </w:pPr>
            <w:r>
              <w:rPr>
                <w:color w:val="auto"/>
                <w:sz w:val="21"/>
                <w:szCs w:val="21"/>
              </w:rPr>
              <w:t>废气排放口</w:t>
            </w:r>
          </w:p>
        </w:tc>
        <w:tc>
          <w:tcPr>
            <w:tcW w:w="2247" w:type="dxa"/>
            <w:tcBorders>
              <w:tl2br w:val="nil"/>
              <w:tr2bl w:val="nil"/>
            </w:tcBorders>
            <w:vAlign w:val="center"/>
          </w:tcPr>
          <w:p w14:paraId="1FA573C5">
            <w:pPr>
              <w:spacing w:line="240" w:lineRule="auto"/>
              <w:ind w:firstLine="0" w:firstLineChars="0"/>
              <w:jc w:val="center"/>
              <w:rPr>
                <w:color w:val="auto"/>
                <w:sz w:val="21"/>
                <w:szCs w:val="21"/>
              </w:rPr>
            </w:pPr>
            <w:r>
              <w:rPr>
                <w:color w:val="auto"/>
                <w:sz w:val="21"/>
                <w:szCs w:val="21"/>
              </w:rPr>
              <w:t>表示废气向大气环境排放</w:t>
            </w:r>
          </w:p>
        </w:tc>
      </w:tr>
      <w:tr w14:paraId="7539B2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38" w:hRule="atLeast"/>
          <w:jc w:val="center"/>
        </w:trPr>
        <w:tc>
          <w:tcPr>
            <w:tcW w:w="992" w:type="dxa"/>
            <w:tcBorders>
              <w:tl2br w:val="nil"/>
              <w:tr2bl w:val="nil"/>
            </w:tcBorders>
            <w:vAlign w:val="center"/>
          </w:tcPr>
          <w:p w14:paraId="0D021122">
            <w:pPr>
              <w:spacing w:line="240" w:lineRule="auto"/>
              <w:ind w:firstLine="0" w:firstLineChars="0"/>
              <w:jc w:val="center"/>
              <w:rPr>
                <w:color w:val="auto"/>
                <w:sz w:val="21"/>
                <w:szCs w:val="21"/>
              </w:rPr>
            </w:pPr>
            <w:r>
              <w:rPr>
                <w:color w:val="auto"/>
                <w:sz w:val="21"/>
                <w:szCs w:val="21"/>
              </w:rPr>
              <w:t>3</w:t>
            </w:r>
          </w:p>
        </w:tc>
        <w:tc>
          <w:tcPr>
            <w:tcW w:w="2027" w:type="dxa"/>
            <w:tcBorders>
              <w:tl2br w:val="nil"/>
              <w:tr2bl w:val="nil"/>
            </w:tcBorders>
            <w:vAlign w:val="center"/>
          </w:tcPr>
          <w:p w14:paraId="2357F7EE">
            <w:pPr>
              <w:spacing w:line="240" w:lineRule="auto"/>
              <w:ind w:firstLine="0" w:firstLineChars="0"/>
              <w:jc w:val="center"/>
              <w:rPr>
                <w:bCs/>
                <w:color w:val="auto"/>
                <w:sz w:val="21"/>
                <w:szCs w:val="21"/>
              </w:rPr>
            </w:pPr>
          </w:p>
        </w:tc>
        <w:tc>
          <w:tcPr>
            <w:tcW w:w="2125" w:type="dxa"/>
            <w:tcBorders>
              <w:tl2br w:val="nil"/>
              <w:tr2bl w:val="nil"/>
            </w:tcBorders>
            <w:vAlign w:val="center"/>
          </w:tcPr>
          <w:p w14:paraId="00CF303E">
            <w:pPr>
              <w:spacing w:line="240" w:lineRule="auto"/>
              <w:ind w:firstLine="0" w:firstLineChars="0"/>
              <w:jc w:val="center"/>
              <w:rPr>
                <w:color w:val="auto"/>
                <w:sz w:val="21"/>
                <w:szCs w:val="21"/>
              </w:rPr>
            </w:pPr>
          </w:p>
        </w:tc>
        <w:tc>
          <w:tcPr>
            <w:tcW w:w="1827" w:type="dxa"/>
            <w:tcBorders>
              <w:tl2br w:val="nil"/>
              <w:tr2bl w:val="nil"/>
            </w:tcBorders>
            <w:vAlign w:val="center"/>
          </w:tcPr>
          <w:p w14:paraId="277A78A4">
            <w:pPr>
              <w:spacing w:line="240" w:lineRule="auto"/>
              <w:ind w:firstLine="0" w:firstLineChars="0"/>
              <w:jc w:val="center"/>
              <w:rPr>
                <w:color w:val="auto"/>
                <w:sz w:val="21"/>
                <w:szCs w:val="21"/>
              </w:rPr>
            </w:pPr>
            <w:r>
              <w:rPr>
                <w:color w:val="auto"/>
                <w:sz w:val="21"/>
                <w:szCs w:val="21"/>
              </w:rPr>
              <w:t>噪声排放源</w:t>
            </w:r>
          </w:p>
        </w:tc>
        <w:tc>
          <w:tcPr>
            <w:tcW w:w="2247" w:type="dxa"/>
            <w:tcBorders>
              <w:tl2br w:val="nil"/>
              <w:tr2bl w:val="nil"/>
            </w:tcBorders>
            <w:vAlign w:val="center"/>
          </w:tcPr>
          <w:p w14:paraId="2072F550">
            <w:pPr>
              <w:spacing w:line="240" w:lineRule="auto"/>
              <w:ind w:firstLine="0" w:firstLineChars="0"/>
              <w:jc w:val="center"/>
              <w:rPr>
                <w:color w:val="auto"/>
                <w:sz w:val="21"/>
                <w:szCs w:val="21"/>
              </w:rPr>
            </w:pPr>
            <w:r>
              <w:rPr>
                <w:color w:val="auto"/>
                <w:sz w:val="21"/>
                <w:szCs w:val="21"/>
              </w:rPr>
              <w:t>表示噪声向外环境排放</w:t>
            </w:r>
          </w:p>
        </w:tc>
      </w:tr>
      <w:tr w14:paraId="20A5EC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142" w:hRule="atLeast"/>
          <w:jc w:val="center"/>
        </w:trPr>
        <w:tc>
          <w:tcPr>
            <w:tcW w:w="992" w:type="dxa"/>
            <w:tcBorders>
              <w:tl2br w:val="nil"/>
              <w:tr2bl w:val="nil"/>
            </w:tcBorders>
            <w:vAlign w:val="center"/>
          </w:tcPr>
          <w:p w14:paraId="418F1A8B">
            <w:pPr>
              <w:spacing w:line="240" w:lineRule="auto"/>
              <w:ind w:firstLine="0" w:firstLineChars="0"/>
              <w:jc w:val="center"/>
              <w:rPr>
                <w:color w:val="auto"/>
                <w:sz w:val="21"/>
                <w:szCs w:val="21"/>
              </w:rPr>
            </w:pPr>
            <w:r>
              <w:rPr>
                <w:color w:val="auto"/>
                <w:sz w:val="21"/>
                <w:szCs w:val="21"/>
              </w:rPr>
              <w:t>4</w:t>
            </w:r>
          </w:p>
        </w:tc>
        <w:tc>
          <w:tcPr>
            <w:tcW w:w="2027" w:type="dxa"/>
            <w:tcBorders>
              <w:tl2br w:val="nil"/>
              <w:tr2bl w:val="nil"/>
            </w:tcBorders>
            <w:vAlign w:val="center"/>
          </w:tcPr>
          <w:p w14:paraId="29FA115A">
            <w:pPr>
              <w:spacing w:line="240" w:lineRule="auto"/>
              <w:ind w:firstLine="0" w:firstLineChars="0"/>
              <w:jc w:val="center"/>
              <w:rPr>
                <w:bCs/>
                <w:color w:val="auto"/>
                <w:sz w:val="21"/>
                <w:szCs w:val="21"/>
              </w:rPr>
            </w:pPr>
          </w:p>
        </w:tc>
        <w:tc>
          <w:tcPr>
            <w:tcW w:w="2125" w:type="dxa"/>
            <w:tcBorders>
              <w:tl2br w:val="nil"/>
              <w:tr2bl w:val="nil"/>
            </w:tcBorders>
            <w:vAlign w:val="center"/>
          </w:tcPr>
          <w:p w14:paraId="79786EC7">
            <w:pPr>
              <w:spacing w:line="240" w:lineRule="auto"/>
              <w:ind w:firstLine="0" w:firstLineChars="0"/>
              <w:jc w:val="center"/>
              <w:rPr>
                <w:color w:val="auto"/>
                <w:sz w:val="21"/>
                <w:szCs w:val="21"/>
              </w:rPr>
            </w:pPr>
            <w:r>
              <w:rPr>
                <w:color w:val="auto"/>
              </w:rPr>
              <w:drawing>
                <wp:anchor distT="0" distB="0" distL="114300" distR="114300" simplePos="0" relativeHeight="251663360" behindDoc="0" locked="0" layoutInCell="1" allowOverlap="1">
                  <wp:simplePos x="0" y="0"/>
                  <wp:positionH relativeFrom="page">
                    <wp:posOffset>353060</wp:posOffset>
                  </wp:positionH>
                  <wp:positionV relativeFrom="paragraph">
                    <wp:posOffset>57150</wp:posOffset>
                  </wp:positionV>
                  <wp:extent cx="660400" cy="584835"/>
                  <wp:effectExtent l="0" t="0" r="6350" b="5715"/>
                  <wp:wrapNone/>
                  <wp:docPr id="3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0.jpeg"/>
                          <pic:cNvPicPr>
                            <a:picLocks noChangeAspect="1"/>
                          </pic:cNvPicPr>
                        </pic:nvPicPr>
                        <pic:blipFill>
                          <a:blip r:embed="rId77"/>
                          <a:stretch>
                            <a:fillRect/>
                          </a:stretch>
                        </pic:blipFill>
                        <pic:spPr>
                          <a:xfrm>
                            <a:off x="0" y="0"/>
                            <a:ext cx="660400" cy="584835"/>
                          </a:xfrm>
                          <a:prstGeom prst="rect">
                            <a:avLst/>
                          </a:prstGeom>
                          <a:noFill/>
                          <a:ln>
                            <a:noFill/>
                          </a:ln>
                        </pic:spPr>
                      </pic:pic>
                    </a:graphicData>
                  </a:graphic>
                </wp:anchor>
              </w:drawing>
            </w:r>
          </w:p>
        </w:tc>
        <w:tc>
          <w:tcPr>
            <w:tcW w:w="1827" w:type="dxa"/>
            <w:tcBorders>
              <w:tl2br w:val="nil"/>
              <w:tr2bl w:val="nil"/>
            </w:tcBorders>
            <w:vAlign w:val="center"/>
          </w:tcPr>
          <w:p w14:paraId="1C3EB444">
            <w:pPr>
              <w:spacing w:line="240" w:lineRule="auto"/>
              <w:ind w:firstLine="0" w:firstLineChars="0"/>
              <w:jc w:val="center"/>
              <w:rPr>
                <w:color w:val="auto"/>
                <w:sz w:val="21"/>
                <w:szCs w:val="21"/>
              </w:rPr>
            </w:pPr>
            <w:r>
              <w:rPr>
                <w:color w:val="auto"/>
                <w:sz w:val="21"/>
                <w:szCs w:val="21"/>
              </w:rPr>
              <w:t>一般固体废物</w:t>
            </w:r>
          </w:p>
        </w:tc>
        <w:tc>
          <w:tcPr>
            <w:tcW w:w="2247" w:type="dxa"/>
            <w:tcBorders>
              <w:tl2br w:val="nil"/>
              <w:tr2bl w:val="nil"/>
            </w:tcBorders>
            <w:vAlign w:val="center"/>
          </w:tcPr>
          <w:p w14:paraId="2C9664CE">
            <w:pPr>
              <w:spacing w:line="240" w:lineRule="auto"/>
              <w:ind w:firstLine="0" w:firstLineChars="0"/>
              <w:jc w:val="center"/>
              <w:rPr>
                <w:color w:val="auto"/>
                <w:sz w:val="21"/>
                <w:szCs w:val="21"/>
              </w:rPr>
            </w:pPr>
            <w:r>
              <w:rPr>
                <w:color w:val="auto"/>
                <w:sz w:val="21"/>
                <w:szCs w:val="21"/>
              </w:rPr>
              <w:t>表示一般固体废物贮存、处置场所</w:t>
            </w:r>
          </w:p>
        </w:tc>
      </w:tr>
      <w:tr w14:paraId="58EE53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60" w:hRule="atLeast"/>
          <w:jc w:val="center"/>
        </w:trPr>
        <w:tc>
          <w:tcPr>
            <w:tcW w:w="992" w:type="dxa"/>
            <w:tcBorders>
              <w:tl2br w:val="nil"/>
              <w:tr2bl w:val="nil"/>
            </w:tcBorders>
            <w:vAlign w:val="center"/>
          </w:tcPr>
          <w:p w14:paraId="1881313A">
            <w:pPr>
              <w:spacing w:line="240" w:lineRule="auto"/>
              <w:ind w:firstLine="0" w:firstLineChars="0"/>
              <w:jc w:val="center"/>
              <w:rPr>
                <w:color w:val="auto"/>
                <w:sz w:val="21"/>
                <w:szCs w:val="21"/>
              </w:rPr>
            </w:pPr>
            <w:r>
              <w:rPr>
                <w:color w:val="auto"/>
                <w:sz w:val="21"/>
                <w:szCs w:val="21"/>
              </w:rPr>
              <w:t>5</w:t>
            </w:r>
          </w:p>
        </w:tc>
        <w:tc>
          <w:tcPr>
            <w:tcW w:w="2027" w:type="dxa"/>
            <w:tcBorders>
              <w:tl2br w:val="nil"/>
              <w:tr2bl w:val="nil"/>
            </w:tcBorders>
            <w:vAlign w:val="center"/>
          </w:tcPr>
          <w:p w14:paraId="2F4A41F5">
            <w:pPr>
              <w:spacing w:line="240" w:lineRule="auto"/>
              <w:ind w:firstLine="0" w:firstLineChars="0"/>
              <w:jc w:val="center"/>
              <w:rPr>
                <w:bCs/>
                <w:color w:val="auto"/>
                <w:sz w:val="21"/>
                <w:szCs w:val="21"/>
              </w:rPr>
            </w:pPr>
            <w:r>
              <w:rPr>
                <w:bCs/>
                <w:color w:val="auto"/>
                <w:sz w:val="21"/>
                <w:szCs w:val="21"/>
              </w:rPr>
              <w:t>/</w:t>
            </w:r>
          </w:p>
        </w:tc>
        <w:tc>
          <w:tcPr>
            <w:tcW w:w="2125" w:type="dxa"/>
            <w:tcBorders>
              <w:tl2br w:val="nil"/>
              <w:tr2bl w:val="nil"/>
            </w:tcBorders>
            <w:vAlign w:val="center"/>
          </w:tcPr>
          <w:p w14:paraId="4ED11D35">
            <w:pPr>
              <w:spacing w:line="240" w:lineRule="auto"/>
              <w:ind w:firstLine="0" w:firstLineChars="0"/>
              <w:jc w:val="center"/>
              <w:rPr>
                <w:color w:val="auto"/>
                <w:sz w:val="21"/>
                <w:szCs w:val="21"/>
              </w:rPr>
            </w:pPr>
            <w:r>
              <w:rPr>
                <w:color w:val="auto"/>
              </w:rPr>
              <w:drawing>
                <wp:inline distT="0" distB="0" distL="114300" distR="114300">
                  <wp:extent cx="748030" cy="589280"/>
                  <wp:effectExtent l="0" t="0" r="13970" b="127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78"/>
                          <a:stretch>
                            <a:fillRect/>
                          </a:stretch>
                        </pic:blipFill>
                        <pic:spPr>
                          <a:xfrm>
                            <a:off x="0" y="0"/>
                            <a:ext cx="748030" cy="589280"/>
                          </a:xfrm>
                          <a:prstGeom prst="rect">
                            <a:avLst/>
                          </a:prstGeom>
                          <a:noFill/>
                          <a:ln>
                            <a:noFill/>
                          </a:ln>
                        </pic:spPr>
                      </pic:pic>
                    </a:graphicData>
                  </a:graphic>
                </wp:inline>
              </w:drawing>
            </w:r>
          </w:p>
        </w:tc>
        <w:tc>
          <w:tcPr>
            <w:tcW w:w="1827" w:type="dxa"/>
            <w:tcBorders>
              <w:tl2br w:val="nil"/>
              <w:tr2bl w:val="nil"/>
            </w:tcBorders>
            <w:vAlign w:val="center"/>
          </w:tcPr>
          <w:p w14:paraId="475A65DA">
            <w:pPr>
              <w:spacing w:line="240" w:lineRule="auto"/>
              <w:ind w:firstLine="0" w:firstLineChars="0"/>
              <w:jc w:val="center"/>
              <w:rPr>
                <w:color w:val="auto"/>
                <w:sz w:val="21"/>
                <w:szCs w:val="21"/>
              </w:rPr>
            </w:pPr>
            <w:r>
              <w:rPr>
                <w:color w:val="auto"/>
                <w:sz w:val="21"/>
                <w:szCs w:val="21"/>
              </w:rPr>
              <w:t>危废仓库</w:t>
            </w:r>
          </w:p>
        </w:tc>
        <w:tc>
          <w:tcPr>
            <w:tcW w:w="2247" w:type="dxa"/>
            <w:tcBorders>
              <w:tl2br w:val="nil"/>
              <w:tr2bl w:val="nil"/>
            </w:tcBorders>
            <w:vAlign w:val="center"/>
          </w:tcPr>
          <w:p w14:paraId="72022FBD">
            <w:pPr>
              <w:spacing w:line="240" w:lineRule="auto"/>
              <w:ind w:firstLine="0" w:firstLineChars="0"/>
              <w:jc w:val="center"/>
              <w:rPr>
                <w:color w:val="auto"/>
                <w:sz w:val="21"/>
                <w:szCs w:val="21"/>
              </w:rPr>
            </w:pPr>
            <w:r>
              <w:rPr>
                <w:color w:val="auto"/>
                <w:sz w:val="21"/>
                <w:szCs w:val="21"/>
              </w:rPr>
              <w:t>表示危险废物贮存、处置场所</w:t>
            </w:r>
          </w:p>
        </w:tc>
      </w:tr>
    </w:tbl>
    <w:p w14:paraId="4A11E046">
      <w:pPr>
        <w:spacing w:line="500" w:lineRule="exact"/>
        <w:ind w:firstLine="482"/>
        <w:jc w:val="center"/>
        <w:rPr>
          <w:b/>
          <w:color w:val="auto"/>
        </w:rPr>
      </w:pPr>
      <w:r>
        <w:rPr>
          <w:rFonts w:hint="eastAsia"/>
          <w:b/>
          <w:color w:val="auto"/>
        </w:rPr>
        <w:t>表9.3-5  环境保护图形标志的形状及颜色表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687"/>
        <w:gridCol w:w="1465"/>
        <w:gridCol w:w="1827"/>
        <w:gridCol w:w="2247"/>
      </w:tblGrid>
      <w:tr w14:paraId="56D57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92" w:type="dxa"/>
            <w:tcBorders>
              <w:tl2br w:val="nil"/>
              <w:tr2bl w:val="nil"/>
            </w:tcBorders>
            <w:vAlign w:val="center"/>
          </w:tcPr>
          <w:p w14:paraId="2AD5C07D">
            <w:pPr>
              <w:spacing w:line="240" w:lineRule="auto"/>
              <w:ind w:firstLine="0" w:firstLineChars="0"/>
              <w:jc w:val="center"/>
              <w:rPr>
                <w:b/>
                <w:bCs/>
                <w:color w:val="auto"/>
                <w:sz w:val="21"/>
                <w:szCs w:val="21"/>
              </w:rPr>
            </w:pPr>
            <w:r>
              <w:rPr>
                <w:b/>
                <w:bCs/>
                <w:color w:val="auto"/>
                <w:sz w:val="21"/>
                <w:szCs w:val="21"/>
              </w:rPr>
              <w:t>编号</w:t>
            </w:r>
          </w:p>
        </w:tc>
        <w:tc>
          <w:tcPr>
            <w:tcW w:w="2687" w:type="dxa"/>
            <w:tcBorders>
              <w:tl2br w:val="nil"/>
              <w:tr2bl w:val="nil"/>
            </w:tcBorders>
            <w:vAlign w:val="center"/>
          </w:tcPr>
          <w:p w14:paraId="654633D4">
            <w:pPr>
              <w:spacing w:line="240" w:lineRule="auto"/>
              <w:ind w:firstLine="0" w:firstLineChars="0"/>
              <w:jc w:val="center"/>
              <w:rPr>
                <w:b/>
                <w:bCs/>
                <w:color w:val="auto"/>
                <w:sz w:val="21"/>
                <w:szCs w:val="21"/>
              </w:rPr>
            </w:pPr>
            <w:r>
              <w:rPr>
                <w:b/>
                <w:bCs/>
                <w:color w:val="auto"/>
                <w:sz w:val="21"/>
                <w:szCs w:val="21"/>
              </w:rPr>
              <w:t>标志名称</w:t>
            </w:r>
          </w:p>
        </w:tc>
        <w:tc>
          <w:tcPr>
            <w:tcW w:w="1465" w:type="dxa"/>
            <w:tcBorders>
              <w:tl2br w:val="nil"/>
              <w:tr2bl w:val="nil"/>
            </w:tcBorders>
            <w:vAlign w:val="center"/>
          </w:tcPr>
          <w:p w14:paraId="513F439A">
            <w:pPr>
              <w:spacing w:line="240" w:lineRule="auto"/>
              <w:ind w:firstLine="0" w:firstLineChars="0"/>
              <w:jc w:val="center"/>
              <w:rPr>
                <w:b/>
                <w:bCs/>
                <w:color w:val="auto"/>
                <w:sz w:val="21"/>
                <w:szCs w:val="21"/>
              </w:rPr>
            </w:pPr>
            <w:r>
              <w:rPr>
                <w:b/>
                <w:bCs/>
                <w:color w:val="auto"/>
                <w:sz w:val="21"/>
                <w:szCs w:val="21"/>
              </w:rPr>
              <w:t>形状</w:t>
            </w:r>
          </w:p>
        </w:tc>
        <w:tc>
          <w:tcPr>
            <w:tcW w:w="1827" w:type="dxa"/>
            <w:tcBorders>
              <w:tl2br w:val="nil"/>
              <w:tr2bl w:val="nil"/>
            </w:tcBorders>
            <w:vAlign w:val="center"/>
          </w:tcPr>
          <w:p w14:paraId="031140E4">
            <w:pPr>
              <w:spacing w:line="240" w:lineRule="auto"/>
              <w:ind w:firstLine="0" w:firstLineChars="0"/>
              <w:jc w:val="center"/>
              <w:rPr>
                <w:b/>
                <w:bCs/>
                <w:color w:val="auto"/>
                <w:sz w:val="21"/>
                <w:szCs w:val="21"/>
              </w:rPr>
            </w:pPr>
            <w:r>
              <w:rPr>
                <w:b/>
                <w:bCs/>
                <w:color w:val="auto"/>
                <w:sz w:val="21"/>
                <w:szCs w:val="21"/>
              </w:rPr>
              <w:t>背景颜色</w:t>
            </w:r>
          </w:p>
        </w:tc>
        <w:tc>
          <w:tcPr>
            <w:tcW w:w="2247" w:type="dxa"/>
            <w:tcBorders>
              <w:tl2br w:val="nil"/>
              <w:tr2bl w:val="nil"/>
            </w:tcBorders>
            <w:vAlign w:val="center"/>
          </w:tcPr>
          <w:p w14:paraId="47F32B6B">
            <w:pPr>
              <w:spacing w:line="240" w:lineRule="auto"/>
              <w:ind w:firstLine="0" w:firstLineChars="0"/>
              <w:jc w:val="center"/>
              <w:rPr>
                <w:b/>
                <w:bCs/>
                <w:color w:val="auto"/>
                <w:sz w:val="21"/>
                <w:szCs w:val="21"/>
              </w:rPr>
            </w:pPr>
            <w:r>
              <w:rPr>
                <w:b/>
                <w:bCs/>
                <w:color w:val="auto"/>
                <w:sz w:val="21"/>
                <w:szCs w:val="21"/>
              </w:rPr>
              <w:t>图形颜色</w:t>
            </w:r>
          </w:p>
        </w:tc>
      </w:tr>
      <w:tr w14:paraId="0E952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92" w:type="dxa"/>
            <w:tcBorders>
              <w:tl2br w:val="nil"/>
              <w:tr2bl w:val="nil"/>
            </w:tcBorders>
            <w:vAlign w:val="center"/>
          </w:tcPr>
          <w:p w14:paraId="556B67FC">
            <w:pPr>
              <w:spacing w:line="240" w:lineRule="auto"/>
              <w:ind w:firstLine="0" w:firstLineChars="0"/>
              <w:jc w:val="center"/>
              <w:rPr>
                <w:color w:val="auto"/>
                <w:sz w:val="21"/>
                <w:szCs w:val="21"/>
              </w:rPr>
            </w:pPr>
            <w:r>
              <w:rPr>
                <w:color w:val="auto"/>
                <w:sz w:val="21"/>
                <w:szCs w:val="21"/>
              </w:rPr>
              <w:t>1</w:t>
            </w:r>
          </w:p>
        </w:tc>
        <w:tc>
          <w:tcPr>
            <w:tcW w:w="2687" w:type="dxa"/>
            <w:tcBorders>
              <w:tl2br w:val="nil"/>
              <w:tr2bl w:val="nil"/>
            </w:tcBorders>
            <w:vAlign w:val="center"/>
          </w:tcPr>
          <w:p w14:paraId="14810EE8">
            <w:pPr>
              <w:spacing w:line="240" w:lineRule="auto"/>
              <w:ind w:firstLine="0" w:firstLineChars="0"/>
              <w:jc w:val="center"/>
              <w:rPr>
                <w:color w:val="auto"/>
                <w:sz w:val="21"/>
                <w:szCs w:val="21"/>
              </w:rPr>
            </w:pPr>
            <w:r>
              <w:rPr>
                <w:color w:val="auto"/>
                <w:sz w:val="21"/>
                <w:szCs w:val="21"/>
              </w:rPr>
              <w:t>警告标志</w:t>
            </w:r>
          </w:p>
        </w:tc>
        <w:tc>
          <w:tcPr>
            <w:tcW w:w="1465" w:type="dxa"/>
            <w:tcBorders>
              <w:tl2br w:val="nil"/>
              <w:tr2bl w:val="nil"/>
            </w:tcBorders>
            <w:vAlign w:val="center"/>
          </w:tcPr>
          <w:p w14:paraId="3625A463">
            <w:pPr>
              <w:spacing w:line="240" w:lineRule="auto"/>
              <w:ind w:firstLine="0" w:firstLineChars="0"/>
              <w:jc w:val="center"/>
              <w:rPr>
                <w:color w:val="auto"/>
                <w:sz w:val="21"/>
                <w:szCs w:val="21"/>
              </w:rPr>
            </w:pPr>
            <w:r>
              <w:rPr>
                <w:color w:val="auto"/>
                <w:sz w:val="21"/>
                <w:szCs w:val="21"/>
              </w:rPr>
              <w:t>三角形边框</w:t>
            </w:r>
          </w:p>
        </w:tc>
        <w:tc>
          <w:tcPr>
            <w:tcW w:w="1827" w:type="dxa"/>
            <w:tcBorders>
              <w:tl2br w:val="nil"/>
              <w:tr2bl w:val="nil"/>
            </w:tcBorders>
            <w:vAlign w:val="center"/>
          </w:tcPr>
          <w:p w14:paraId="5D203617">
            <w:pPr>
              <w:spacing w:line="240" w:lineRule="auto"/>
              <w:ind w:firstLine="0" w:firstLineChars="0"/>
              <w:jc w:val="center"/>
              <w:rPr>
                <w:color w:val="auto"/>
                <w:sz w:val="21"/>
                <w:szCs w:val="21"/>
              </w:rPr>
            </w:pPr>
            <w:r>
              <w:rPr>
                <w:color w:val="auto"/>
                <w:sz w:val="21"/>
                <w:szCs w:val="21"/>
              </w:rPr>
              <w:t>黄色</w:t>
            </w:r>
          </w:p>
        </w:tc>
        <w:tc>
          <w:tcPr>
            <w:tcW w:w="2247" w:type="dxa"/>
            <w:tcBorders>
              <w:tl2br w:val="nil"/>
              <w:tr2bl w:val="nil"/>
            </w:tcBorders>
            <w:vAlign w:val="center"/>
          </w:tcPr>
          <w:p w14:paraId="37C7FF2D">
            <w:pPr>
              <w:spacing w:line="240" w:lineRule="auto"/>
              <w:ind w:firstLine="0" w:firstLineChars="0"/>
              <w:jc w:val="center"/>
              <w:rPr>
                <w:color w:val="auto"/>
                <w:sz w:val="21"/>
                <w:szCs w:val="21"/>
              </w:rPr>
            </w:pPr>
            <w:r>
              <w:rPr>
                <w:color w:val="auto"/>
                <w:sz w:val="21"/>
                <w:szCs w:val="21"/>
              </w:rPr>
              <w:t>黑色</w:t>
            </w:r>
          </w:p>
        </w:tc>
      </w:tr>
      <w:tr w14:paraId="52C0F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92" w:type="dxa"/>
            <w:tcBorders>
              <w:tl2br w:val="nil"/>
              <w:tr2bl w:val="nil"/>
            </w:tcBorders>
            <w:vAlign w:val="center"/>
          </w:tcPr>
          <w:p w14:paraId="0C042985">
            <w:pPr>
              <w:spacing w:line="240" w:lineRule="auto"/>
              <w:ind w:firstLine="0" w:firstLineChars="0"/>
              <w:jc w:val="center"/>
              <w:rPr>
                <w:color w:val="auto"/>
                <w:sz w:val="21"/>
                <w:szCs w:val="21"/>
              </w:rPr>
            </w:pPr>
            <w:r>
              <w:rPr>
                <w:color w:val="auto"/>
                <w:sz w:val="21"/>
                <w:szCs w:val="21"/>
              </w:rPr>
              <w:t>2</w:t>
            </w:r>
          </w:p>
        </w:tc>
        <w:tc>
          <w:tcPr>
            <w:tcW w:w="2687" w:type="dxa"/>
            <w:tcBorders>
              <w:tl2br w:val="nil"/>
              <w:tr2bl w:val="nil"/>
            </w:tcBorders>
            <w:vAlign w:val="center"/>
          </w:tcPr>
          <w:p w14:paraId="16B9975B">
            <w:pPr>
              <w:spacing w:line="240" w:lineRule="auto"/>
              <w:ind w:firstLine="0" w:firstLineChars="0"/>
              <w:jc w:val="center"/>
              <w:rPr>
                <w:color w:val="auto"/>
                <w:sz w:val="21"/>
                <w:szCs w:val="21"/>
              </w:rPr>
            </w:pPr>
            <w:r>
              <w:rPr>
                <w:color w:val="auto"/>
                <w:sz w:val="21"/>
                <w:szCs w:val="21"/>
              </w:rPr>
              <w:t>提示标志</w:t>
            </w:r>
          </w:p>
        </w:tc>
        <w:tc>
          <w:tcPr>
            <w:tcW w:w="1465" w:type="dxa"/>
            <w:tcBorders>
              <w:tl2br w:val="nil"/>
              <w:tr2bl w:val="nil"/>
            </w:tcBorders>
            <w:vAlign w:val="center"/>
          </w:tcPr>
          <w:p w14:paraId="68F02ED6">
            <w:pPr>
              <w:spacing w:line="240" w:lineRule="auto"/>
              <w:ind w:firstLine="0" w:firstLineChars="0"/>
              <w:jc w:val="center"/>
              <w:rPr>
                <w:color w:val="auto"/>
                <w:sz w:val="21"/>
                <w:szCs w:val="21"/>
              </w:rPr>
            </w:pPr>
            <w:r>
              <w:rPr>
                <w:color w:val="auto"/>
                <w:sz w:val="21"/>
                <w:szCs w:val="21"/>
              </w:rPr>
              <w:t>正方形边框</w:t>
            </w:r>
          </w:p>
        </w:tc>
        <w:tc>
          <w:tcPr>
            <w:tcW w:w="1827" w:type="dxa"/>
            <w:tcBorders>
              <w:tl2br w:val="nil"/>
              <w:tr2bl w:val="nil"/>
            </w:tcBorders>
            <w:vAlign w:val="center"/>
          </w:tcPr>
          <w:p w14:paraId="6141AB18">
            <w:pPr>
              <w:spacing w:line="240" w:lineRule="auto"/>
              <w:ind w:firstLine="0" w:firstLineChars="0"/>
              <w:jc w:val="center"/>
              <w:rPr>
                <w:color w:val="auto"/>
                <w:sz w:val="21"/>
                <w:szCs w:val="21"/>
              </w:rPr>
            </w:pPr>
            <w:r>
              <w:rPr>
                <w:color w:val="auto"/>
                <w:sz w:val="21"/>
                <w:szCs w:val="21"/>
              </w:rPr>
              <w:t>绿色</w:t>
            </w:r>
          </w:p>
        </w:tc>
        <w:tc>
          <w:tcPr>
            <w:tcW w:w="2247" w:type="dxa"/>
            <w:tcBorders>
              <w:tl2br w:val="nil"/>
              <w:tr2bl w:val="nil"/>
            </w:tcBorders>
            <w:vAlign w:val="center"/>
          </w:tcPr>
          <w:p w14:paraId="2F4DB261">
            <w:pPr>
              <w:spacing w:line="240" w:lineRule="auto"/>
              <w:ind w:firstLine="0" w:firstLineChars="0"/>
              <w:jc w:val="center"/>
              <w:rPr>
                <w:color w:val="auto"/>
                <w:sz w:val="21"/>
                <w:szCs w:val="21"/>
              </w:rPr>
            </w:pPr>
            <w:r>
              <w:rPr>
                <w:color w:val="auto"/>
                <w:sz w:val="21"/>
                <w:szCs w:val="21"/>
              </w:rPr>
              <w:t>白色</w:t>
            </w:r>
          </w:p>
        </w:tc>
      </w:tr>
    </w:tbl>
    <w:p w14:paraId="4F5C9543">
      <w:pPr>
        <w:ind w:firstLine="480"/>
        <w:rPr>
          <w:rFonts w:eastAsia="仿宋" w:cs="仿宋"/>
          <w:color w:val="auto"/>
          <w:szCs w:val="28"/>
        </w:rPr>
      </w:pPr>
      <w:r>
        <w:rPr>
          <w:rFonts w:hint="eastAsia"/>
          <w:color w:val="auto"/>
        </w:rPr>
        <w:t>依据《危险废物识别标志设置技术规范》（HJ1276-2022）、</w:t>
      </w:r>
      <w:r>
        <w:rPr>
          <w:color w:val="auto"/>
        </w:rPr>
        <w:fldChar w:fldCharType="begin"/>
      </w:r>
      <w:r>
        <w:rPr>
          <w:color w:val="auto"/>
        </w:rPr>
        <w:instrText xml:space="preserve"> HYPERLINK "http://www.mee.gov.cn/xxgk2018/xxgk/xxgk01/202302/t20230224_1017497.html" </w:instrText>
      </w:r>
      <w:r>
        <w:rPr>
          <w:color w:val="auto"/>
        </w:rPr>
        <w:fldChar w:fldCharType="separate"/>
      </w:r>
      <w:r>
        <w:rPr>
          <w:rFonts w:hint="eastAsia"/>
          <w:color w:val="auto"/>
        </w:rPr>
        <w:t>《环境保护图形标志—固体废物贮存（处置）场》（GB 15562.2-1995）修改单</w:t>
      </w:r>
      <w:r>
        <w:rPr>
          <w:rFonts w:hint="eastAsia"/>
          <w:color w:val="auto"/>
        </w:rPr>
        <w:fldChar w:fldCharType="end"/>
      </w:r>
      <w:r>
        <w:rPr>
          <w:rFonts w:hint="eastAsia"/>
          <w:color w:val="auto"/>
        </w:rPr>
        <w:t>号中规定的危险废物警告图形符号设置标志牌。图示如下表9.3-6。</w:t>
      </w:r>
    </w:p>
    <w:p w14:paraId="4472465E">
      <w:pPr>
        <w:spacing w:line="500" w:lineRule="exact"/>
        <w:ind w:firstLine="562"/>
        <w:jc w:val="center"/>
        <w:rPr>
          <w:rFonts w:eastAsia="仿宋" w:cs="仿宋"/>
          <w:b/>
          <w:color w:val="auto"/>
          <w:sz w:val="28"/>
          <w:szCs w:val="28"/>
        </w:rPr>
        <w:sectPr>
          <w:pgSz w:w="11906" w:h="16838"/>
          <w:pgMar w:top="1418" w:right="1452" w:bottom="1418" w:left="1452" w:header="851" w:footer="992" w:gutter="0"/>
          <w:paperSrc w:first="7" w:other="7"/>
          <w:cols w:space="720" w:num="1"/>
          <w:docGrid w:linePitch="312" w:charSpace="0"/>
        </w:sectPr>
      </w:pPr>
    </w:p>
    <w:p w14:paraId="2CC92911">
      <w:pPr>
        <w:spacing w:line="240" w:lineRule="auto"/>
        <w:ind w:firstLine="0" w:firstLineChars="0"/>
        <w:jc w:val="center"/>
        <w:rPr>
          <w:b/>
          <w:color w:val="auto"/>
        </w:rPr>
      </w:pPr>
      <w:r>
        <w:rPr>
          <w:b/>
          <w:color w:val="auto"/>
        </w:rPr>
        <w:t>表</w:t>
      </w:r>
      <w:r>
        <w:rPr>
          <w:rFonts w:hint="eastAsia"/>
          <w:b/>
          <w:color w:val="auto"/>
        </w:rPr>
        <w:t>9.3-6</w:t>
      </w:r>
      <w:r>
        <w:rPr>
          <w:b/>
          <w:color w:val="auto"/>
        </w:rPr>
        <w:t xml:space="preserve">  危险废物警告图形符号设置标志牌</w:t>
      </w:r>
    </w:p>
    <w:tbl>
      <w:tblPr>
        <w:tblStyle w:val="8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25"/>
        <w:gridCol w:w="4416"/>
        <w:gridCol w:w="8985"/>
      </w:tblGrid>
      <w:tr w14:paraId="3B4C22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3" w:type="pct"/>
            <w:tcBorders>
              <w:tl2br w:val="nil"/>
              <w:tr2bl w:val="nil"/>
            </w:tcBorders>
            <w:shd w:val="clear" w:color="auto" w:fill="auto"/>
            <w:tcMar>
              <w:left w:w="108" w:type="dxa"/>
              <w:right w:w="108" w:type="dxa"/>
            </w:tcMar>
            <w:vAlign w:val="center"/>
          </w:tcPr>
          <w:p w14:paraId="3C39336A">
            <w:pPr>
              <w:spacing w:line="240" w:lineRule="auto"/>
              <w:ind w:firstLine="0" w:firstLineChars="0"/>
              <w:jc w:val="center"/>
              <w:rPr>
                <w:b/>
                <w:bCs/>
                <w:color w:val="auto"/>
                <w:sz w:val="21"/>
                <w:szCs w:val="21"/>
                <w:lang w:bidi="ar"/>
              </w:rPr>
            </w:pPr>
            <w:r>
              <w:rPr>
                <w:b/>
                <w:bCs/>
                <w:color w:val="auto"/>
                <w:sz w:val="21"/>
                <w:szCs w:val="21"/>
                <w:lang w:bidi="ar"/>
              </w:rPr>
              <w:t>类别</w:t>
            </w:r>
          </w:p>
        </w:tc>
        <w:tc>
          <w:tcPr>
            <w:tcW w:w="1540" w:type="pct"/>
            <w:tcBorders>
              <w:tl2br w:val="nil"/>
              <w:tr2bl w:val="nil"/>
            </w:tcBorders>
            <w:shd w:val="clear" w:color="auto" w:fill="auto"/>
            <w:tcMar>
              <w:left w:w="108" w:type="dxa"/>
              <w:right w:w="108" w:type="dxa"/>
            </w:tcMar>
            <w:vAlign w:val="center"/>
          </w:tcPr>
          <w:p w14:paraId="797632DC">
            <w:pPr>
              <w:spacing w:line="240" w:lineRule="auto"/>
              <w:ind w:firstLine="0" w:firstLineChars="0"/>
              <w:jc w:val="center"/>
              <w:rPr>
                <w:b/>
                <w:bCs/>
                <w:color w:val="auto"/>
                <w:sz w:val="21"/>
                <w:szCs w:val="21"/>
                <w:lang w:bidi="ar"/>
              </w:rPr>
            </w:pPr>
            <w:r>
              <w:rPr>
                <w:b/>
                <w:bCs/>
                <w:color w:val="auto"/>
                <w:sz w:val="21"/>
                <w:szCs w:val="21"/>
                <w:lang w:bidi="ar"/>
              </w:rPr>
              <w:t>图案样式</w:t>
            </w:r>
          </w:p>
        </w:tc>
        <w:tc>
          <w:tcPr>
            <w:tcW w:w="3135" w:type="pct"/>
            <w:tcBorders>
              <w:tl2br w:val="nil"/>
              <w:tr2bl w:val="nil"/>
            </w:tcBorders>
            <w:shd w:val="clear" w:color="auto" w:fill="auto"/>
            <w:tcMar>
              <w:left w:w="108" w:type="dxa"/>
              <w:right w:w="108" w:type="dxa"/>
            </w:tcMar>
            <w:vAlign w:val="center"/>
          </w:tcPr>
          <w:p w14:paraId="468A1B75">
            <w:pPr>
              <w:spacing w:line="240" w:lineRule="auto"/>
              <w:ind w:firstLine="0" w:firstLineChars="0"/>
              <w:jc w:val="center"/>
              <w:rPr>
                <w:b/>
                <w:bCs/>
                <w:color w:val="auto"/>
                <w:sz w:val="21"/>
                <w:szCs w:val="21"/>
                <w:lang w:bidi="ar"/>
              </w:rPr>
            </w:pPr>
            <w:r>
              <w:rPr>
                <w:b/>
                <w:bCs/>
                <w:color w:val="auto"/>
                <w:sz w:val="21"/>
                <w:szCs w:val="21"/>
                <w:lang w:bidi="ar"/>
              </w:rPr>
              <w:t>设置规范</w:t>
            </w:r>
          </w:p>
        </w:tc>
      </w:tr>
      <w:tr w14:paraId="12819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3" w:type="pct"/>
            <w:tcBorders>
              <w:tl2br w:val="nil"/>
              <w:tr2bl w:val="nil"/>
            </w:tcBorders>
            <w:shd w:val="clear" w:color="auto" w:fill="auto"/>
            <w:tcMar>
              <w:left w:w="108" w:type="dxa"/>
              <w:right w:w="108" w:type="dxa"/>
            </w:tcMar>
            <w:vAlign w:val="center"/>
          </w:tcPr>
          <w:p w14:paraId="72E5E778">
            <w:pPr>
              <w:spacing w:line="240" w:lineRule="auto"/>
              <w:ind w:firstLine="0" w:firstLineChars="0"/>
              <w:jc w:val="center"/>
              <w:rPr>
                <w:b/>
                <w:color w:val="auto"/>
                <w:sz w:val="21"/>
                <w:szCs w:val="21"/>
              </w:rPr>
            </w:pPr>
            <w:r>
              <w:rPr>
                <w:color w:val="auto"/>
                <w:sz w:val="21"/>
                <w:szCs w:val="21"/>
                <w:lang w:bidi="ar"/>
              </w:rPr>
              <w:t>危险废物信息公开栏</w:t>
            </w:r>
          </w:p>
        </w:tc>
        <w:tc>
          <w:tcPr>
            <w:tcW w:w="1540" w:type="pct"/>
            <w:tcBorders>
              <w:tl2br w:val="nil"/>
              <w:tr2bl w:val="nil"/>
            </w:tcBorders>
            <w:shd w:val="clear" w:color="auto" w:fill="auto"/>
            <w:tcMar>
              <w:left w:w="108" w:type="dxa"/>
              <w:right w:w="108" w:type="dxa"/>
            </w:tcMar>
            <w:vAlign w:val="center"/>
          </w:tcPr>
          <w:p w14:paraId="78EDD7F5">
            <w:pPr>
              <w:spacing w:line="240" w:lineRule="auto"/>
              <w:ind w:firstLine="0" w:firstLineChars="0"/>
              <w:jc w:val="center"/>
              <w:rPr>
                <w:color w:val="auto"/>
                <w:sz w:val="21"/>
                <w:szCs w:val="21"/>
                <w:lang w:bidi="ar"/>
              </w:rPr>
            </w:pPr>
            <w:r>
              <w:rPr>
                <w:color w:val="auto"/>
                <w:sz w:val="21"/>
                <w:szCs w:val="21"/>
              </w:rPr>
              <w:drawing>
                <wp:inline distT="0" distB="0" distL="114300" distR="114300">
                  <wp:extent cx="2611120" cy="2041525"/>
                  <wp:effectExtent l="0" t="0" r="17780" b="1587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79"/>
                          <a:stretch>
                            <a:fillRect/>
                          </a:stretch>
                        </pic:blipFill>
                        <pic:spPr>
                          <a:xfrm>
                            <a:off x="0" y="0"/>
                            <a:ext cx="2611120" cy="2041525"/>
                          </a:xfrm>
                          <a:prstGeom prst="rect">
                            <a:avLst/>
                          </a:prstGeom>
                          <a:noFill/>
                          <a:ln>
                            <a:noFill/>
                          </a:ln>
                        </pic:spPr>
                      </pic:pic>
                    </a:graphicData>
                  </a:graphic>
                </wp:inline>
              </w:drawing>
            </w:r>
          </w:p>
        </w:tc>
        <w:tc>
          <w:tcPr>
            <w:tcW w:w="3135" w:type="pct"/>
            <w:tcBorders>
              <w:tl2br w:val="nil"/>
              <w:tr2bl w:val="nil"/>
            </w:tcBorders>
            <w:shd w:val="clear" w:color="auto" w:fill="auto"/>
            <w:tcMar>
              <w:left w:w="108" w:type="dxa"/>
              <w:right w:w="108" w:type="dxa"/>
            </w:tcMar>
            <w:vAlign w:val="center"/>
          </w:tcPr>
          <w:p w14:paraId="5782CB76">
            <w:pPr>
              <w:spacing w:line="240" w:lineRule="auto"/>
              <w:ind w:firstLine="0" w:firstLineChars="0"/>
              <w:rPr>
                <w:color w:val="auto"/>
                <w:sz w:val="21"/>
                <w:szCs w:val="21"/>
                <w:lang w:bidi="ar"/>
              </w:rPr>
            </w:pPr>
            <w:r>
              <w:rPr>
                <w:color w:val="auto"/>
                <w:sz w:val="21"/>
                <w:szCs w:val="21"/>
                <w:lang w:bidi="ar"/>
              </w:rPr>
              <w:t>1.设置位置</w:t>
            </w:r>
          </w:p>
          <w:p w14:paraId="4FC458A4">
            <w:pPr>
              <w:spacing w:line="240" w:lineRule="auto"/>
              <w:ind w:firstLine="0" w:firstLineChars="0"/>
              <w:rPr>
                <w:color w:val="auto"/>
                <w:sz w:val="21"/>
                <w:szCs w:val="21"/>
                <w:lang w:bidi="ar"/>
              </w:rPr>
            </w:pPr>
            <w:r>
              <w:rPr>
                <w:color w:val="auto"/>
                <w:sz w:val="21"/>
                <w:szCs w:val="21"/>
                <w:lang w:bidi="ar"/>
              </w:rPr>
              <w:t>采用立式固定方式固定在危险废物产生单位厂区门口醒目位置，公开栏顶端距离地面200cm处。</w:t>
            </w:r>
          </w:p>
          <w:p w14:paraId="3A895F33">
            <w:pPr>
              <w:spacing w:line="240" w:lineRule="auto"/>
              <w:ind w:firstLine="0" w:firstLineChars="0"/>
              <w:rPr>
                <w:color w:val="auto"/>
                <w:sz w:val="21"/>
                <w:szCs w:val="21"/>
                <w:lang w:bidi="ar"/>
              </w:rPr>
            </w:pPr>
            <w:r>
              <w:rPr>
                <w:color w:val="auto"/>
                <w:sz w:val="21"/>
                <w:szCs w:val="21"/>
                <w:lang w:bidi="ar"/>
              </w:rPr>
              <w:t>2.规格参数</w:t>
            </w:r>
          </w:p>
          <w:p w14:paraId="4315F647">
            <w:pPr>
              <w:spacing w:line="240" w:lineRule="auto"/>
              <w:ind w:firstLine="0" w:firstLineChars="0"/>
              <w:rPr>
                <w:color w:val="auto"/>
                <w:sz w:val="21"/>
                <w:szCs w:val="21"/>
                <w:lang w:bidi="ar"/>
              </w:rPr>
            </w:pPr>
            <w:r>
              <w:rPr>
                <w:color w:val="auto"/>
                <w:sz w:val="21"/>
                <w:szCs w:val="21"/>
                <w:lang w:bidi="ar"/>
              </w:rPr>
              <w:t>（1）尺寸：底板120cm×80cm。</w:t>
            </w:r>
          </w:p>
          <w:p w14:paraId="3C95D7F6">
            <w:pPr>
              <w:spacing w:line="240" w:lineRule="auto"/>
              <w:ind w:firstLine="0" w:firstLineChars="0"/>
              <w:rPr>
                <w:color w:val="auto"/>
                <w:sz w:val="21"/>
                <w:szCs w:val="21"/>
                <w:lang w:bidi="ar"/>
              </w:rPr>
            </w:pPr>
            <w:r>
              <w:rPr>
                <w:color w:val="auto"/>
                <w:sz w:val="21"/>
                <w:szCs w:val="21"/>
                <w:lang w:bidi="ar"/>
              </w:rPr>
              <w:t>（2）颜色与字体：公开栏底板背景颜色为蓝色</w:t>
            </w:r>
            <w:r>
              <w:rPr>
                <w:rFonts w:hint="eastAsia"/>
                <w:color w:val="auto"/>
                <w:sz w:val="21"/>
                <w:szCs w:val="21"/>
                <w:lang w:bidi="ar"/>
              </w:rPr>
              <w:t>（</w:t>
            </w:r>
            <w:r>
              <w:rPr>
                <w:color w:val="auto"/>
                <w:sz w:val="21"/>
                <w:szCs w:val="21"/>
                <w:lang w:bidi="ar"/>
              </w:rPr>
              <w:t>印刷CMYK参数附后，下同</w:t>
            </w:r>
            <w:r>
              <w:rPr>
                <w:rFonts w:hint="eastAsia"/>
                <w:color w:val="auto"/>
                <w:sz w:val="21"/>
                <w:szCs w:val="21"/>
                <w:lang w:bidi="ar"/>
              </w:rPr>
              <w:t>）</w:t>
            </w:r>
            <w:r>
              <w:rPr>
                <w:color w:val="auto"/>
                <w:sz w:val="21"/>
                <w:szCs w:val="21"/>
                <w:lang w:bidi="ar"/>
              </w:rPr>
              <w:t>，文字颜色为白色，所有文字字体为黑体。</w:t>
            </w:r>
          </w:p>
          <w:p w14:paraId="5B8ACDDC">
            <w:pPr>
              <w:spacing w:line="240" w:lineRule="auto"/>
              <w:ind w:firstLine="0" w:firstLineChars="0"/>
              <w:rPr>
                <w:color w:val="auto"/>
                <w:sz w:val="21"/>
                <w:szCs w:val="21"/>
                <w:lang w:bidi="ar"/>
              </w:rPr>
            </w:pPr>
            <w:r>
              <w:rPr>
                <w:color w:val="auto"/>
                <w:sz w:val="21"/>
                <w:szCs w:val="21"/>
                <w:lang w:bidi="ar"/>
              </w:rPr>
              <w:t>（3）材料：底板采用5mm铝板。</w:t>
            </w:r>
          </w:p>
          <w:p w14:paraId="7708546C">
            <w:pPr>
              <w:spacing w:line="240" w:lineRule="auto"/>
              <w:ind w:firstLine="0" w:firstLineChars="0"/>
              <w:rPr>
                <w:color w:val="auto"/>
                <w:sz w:val="21"/>
                <w:szCs w:val="21"/>
                <w:lang w:bidi="ar"/>
              </w:rPr>
            </w:pPr>
            <w:r>
              <w:rPr>
                <w:color w:val="auto"/>
                <w:sz w:val="21"/>
                <w:szCs w:val="21"/>
                <w:lang w:bidi="ar"/>
              </w:rPr>
              <w:t>3.公开内容</w:t>
            </w:r>
          </w:p>
          <w:p w14:paraId="159BBBD5">
            <w:pPr>
              <w:spacing w:line="240" w:lineRule="auto"/>
              <w:ind w:firstLine="0" w:firstLineChars="0"/>
              <w:rPr>
                <w:color w:val="auto"/>
                <w:sz w:val="21"/>
                <w:szCs w:val="21"/>
                <w:lang w:bidi="ar"/>
              </w:rPr>
            </w:pPr>
            <w:r>
              <w:rPr>
                <w:color w:val="auto"/>
                <w:sz w:val="21"/>
                <w:szCs w:val="21"/>
                <w:lang w:bidi="ar"/>
              </w:rPr>
              <w:t>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14:paraId="6C6031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3" w:type="pct"/>
            <w:tcBorders>
              <w:tl2br w:val="nil"/>
              <w:tr2bl w:val="nil"/>
            </w:tcBorders>
            <w:shd w:val="clear" w:color="auto" w:fill="auto"/>
            <w:tcMar>
              <w:left w:w="108" w:type="dxa"/>
              <w:right w:w="108" w:type="dxa"/>
            </w:tcMar>
            <w:vAlign w:val="center"/>
          </w:tcPr>
          <w:p w14:paraId="0FEF5371">
            <w:pPr>
              <w:spacing w:line="240" w:lineRule="auto"/>
              <w:ind w:firstLine="0" w:firstLineChars="0"/>
              <w:jc w:val="center"/>
              <w:rPr>
                <w:color w:val="auto"/>
                <w:sz w:val="21"/>
                <w:szCs w:val="21"/>
                <w:lang w:bidi="ar"/>
              </w:rPr>
            </w:pPr>
            <w:r>
              <w:rPr>
                <w:color w:val="auto"/>
                <w:sz w:val="21"/>
                <w:szCs w:val="21"/>
                <w:lang w:bidi="ar"/>
              </w:rPr>
              <w:t>贮存设置警示标志</w:t>
            </w:r>
          </w:p>
        </w:tc>
        <w:tc>
          <w:tcPr>
            <w:tcW w:w="1540" w:type="pct"/>
            <w:tcBorders>
              <w:tl2br w:val="nil"/>
              <w:tr2bl w:val="nil"/>
            </w:tcBorders>
            <w:shd w:val="clear" w:color="auto" w:fill="auto"/>
            <w:tcMar>
              <w:left w:w="108" w:type="dxa"/>
              <w:right w:w="108" w:type="dxa"/>
            </w:tcMar>
            <w:vAlign w:val="center"/>
          </w:tcPr>
          <w:p w14:paraId="6B60BD63">
            <w:pPr>
              <w:spacing w:line="240" w:lineRule="auto"/>
              <w:ind w:firstLine="0" w:firstLineChars="0"/>
              <w:jc w:val="center"/>
              <w:rPr>
                <w:color w:val="auto"/>
                <w:sz w:val="21"/>
                <w:szCs w:val="21"/>
              </w:rPr>
            </w:pPr>
            <w:r>
              <w:rPr>
                <w:color w:val="auto"/>
              </w:rPr>
              <w:drawing>
                <wp:inline distT="0" distB="0" distL="114300" distR="114300">
                  <wp:extent cx="2641600" cy="1664335"/>
                  <wp:effectExtent l="0" t="0" r="6350" b="1206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80"/>
                          <a:stretch>
                            <a:fillRect/>
                          </a:stretch>
                        </pic:blipFill>
                        <pic:spPr>
                          <a:xfrm>
                            <a:off x="0" y="0"/>
                            <a:ext cx="2641600" cy="1664335"/>
                          </a:xfrm>
                          <a:prstGeom prst="rect">
                            <a:avLst/>
                          </a:prstGeom>
                          <a:noFill/>
                          <a:ln>
                            <a:noFill/>
                          </a:ln>
                        </pic:spPr>
                      </pic:pic>
                    </a:graphicData>
                  </a:graphic>
                </wp:inline>
              </w:drawing>
            </w:r>
          </w:p>
        </w:tc>
        <w:tc>
          <w:tcPr>
            <w:tcW w:w="3135" w:type="pct"/>
            <w:tcBorders>
              <w:tl2br w:val="nil"/>
              <w:tr2bl w:val="nil"/>
            </w:tcBorders>
            <w:shd w:val="clear" w:color="auto" w:fill="auto"/>
            <w:tcMar>
              <w:left w:w="108" w:type="dxa"/>
              <w:right w:w="108" w:type="dxa"/>
            </w:tcMar>
            <w:vAlign w:val="center"/>
          </w:tcPr>
          <w:p w14:paraId="794E66AA">
            <w:pPr>
              <w:spacing w:line="240" w:lineRule="auto"/>
              <w:ind w:firstLine="0" w:firstLineChars="0"/>
              <w:rPr>
                <w:color w:val="auto"/>
                <w:sz w:val="21"/>
                <w:szCs w:val="21"/>
                <w:lang w:bidi="ar"/>
              </w:rPr>
            </w:pPr>
            <w:r>
              <w:rPr>
                <w:color w:val="auto"/>
                <w:sz w:val="21"/>
                <w:szCs w:val="21"/>
                <w:lang w:bidi="ar"/>
              </w:rPr>
              <w:t>1.设置位置</w:t>
            </w:r>
          </w:p>
          <w:p w14:paraId="4FC57095">
            <w:pPr>
              <w:spacing w:line="240" w:lineRule="auto"/>
              <w:ind w:firstLine="0" w:firstLineChars="0"/>
              <w:rPr>
                <w:color w:val="auto"/>
                <w:sz w:val="21"/>
                <w:szCs w:val="21"/>
                <w:lang w:bidi="ar"/>
              </w:rPr>
            </w:pPr>
            <w:r>
              <w:rPr>
                <w:color w:val="auto"/>
                <w:sz w:val="21"/>
                <w:szCs w:val="21"/>
                <w:lang w:bidi="ar"/>
              </w:rPr>
              <w:t xml:space="preserve">危险废物相关单位的每一个贮存、利用、处置设施均应在设施附近或场所的入口处设置相应的 </w:t>
            </w:r>
          </w:p>
          <w:p w14:paraId="647CE276">
            <w:pPr>
              <w:spacing w:line="240" w:lineRule="auto"/>
              <w:ind w:firstLine="0" w:firstLineChars="0"/>
              <w:rPr>
                <w:color w:val="auto"/>
                <w:sz w:val="21"/>
                <w:szCs w:val="21"/>
                <w:lang w:bidi="ar"/>
              </w:rPr>
            </w:pPr>
            <w:r>
              <w:rPr>
                <w:color w:val="auto"/>
                <w:sz w:val="21"/>
                <w:szCs w:val="21"/>
                <w:lang w:bidi="ar"/>
              </w:rPr>
              <w:t>危险废物贮存设施标志、危险废物利用设施标志、危险废物处置设施标志；对于有独立场所的危险废物贮存、利用、处置设施，应在场所外入口处的墙壁或栏杆显著位置设置相应的设施标志；位于建筑物内局部区域的危险废物贮存、利用、处置设施，应在其区域边界或入口处显著位置设置相应的标志；对于危险废物填埋场等开放式的危险废物相关设施，除了固定的入口处之外，还可根据环境管理需要在相关位置设置更多的标志；宜根据设施标志的设置位置和观察距离设置相应的标志；危险废物设施标志可采用附着式和柱式两种固定方式，应优先选择附着式，当无法选择附着式时，可选择柱式。附着式标志的设置高度，应尽量与视线高度一致；柱式的标志和支架应牢固地</w:t>
            </w:r>
            <w:r>
              <w:rPr>
                <w:rFonts w:hint="eastAsia"/>
                <w:color w:val="auto"/>
                <w:sz w:val="21"/>
                <w:szCs w:val="21"/>
                <w:lang w:bidi="ar"/>
              </w:rPr>
              <w:t>连接</w:t>
            </w:r>
            <w:r>
              <w:rPr>
                <w:color w:val="auto"/>
                <w:sz w:val="21"/>
                <w:szCs w:val="21"/>
                <w:lang w:bidi="ar"/>
              </w:rPr>
              <w:t>在一起，标志牌最上端距地面约 2 m；位于室外的标志牌中，支架固定在地下的，其支架埋深约0.3m；危险废物设施标志应稳固固定，不能产生倾斜、卷翘、摆动等现象。在室外露天设置时，应充分考虑风力的影响。</w:t>
            </w:r>
          </w:p>
          <w:p w14:paraId="2608BD02">
            <w:pPr>
              <w:spacing w:line="240" w:lineRule="auto"/>
              <w:ind w:firstLine="0" w:firstLineChars="0"/>
              <w:rPr>
                <w:color w:val="auto"/>
                <w:sz w:val="21"/>
                <w:szCs w:val="21"/>
                <w:lang w:bidi="ar"/>
              </w:rPr>
            </w:pPr>
            <w:r>
              <w:rPr>
                <w:color w:val="auto"/>
                <w:sz w:val="21"/>
                <w:szCs w:val="21"/>
                <w:lang w:bidi="ar"/>
              </w:rPr>
              <w:t>2.规格参数</w:t>
            </w:r>
          </w:p>
          <w:p w14:paraId="3847BE08">
            <w:pPr>
              <w:spacing w:line="240" w:lineRule="auto"/>
              <w:ind w:firstLine="0" w:firstLineChars="0"/>
              <w:rPr>
                <w:color w:val="auto"/>
                <w:sz w:val="21"/>
                <w:szCs w:val="21"/>
                <w:lang w:bidi="ar"/>
              </w:rPr>
            </w:pPr>
            <w:r>
              <w:rPr>
                <w:color w:val="auto"/>
                <w:sz w:val="21"/>
                <w:szCs w:val="21"/>
                <w:lang w:bidi="ar"/>
              </w:rPr>
              <w:t>（1）尺寸：若设在露天、室外入口，则标志牌最小尺寸90cm×55.8cm，三角形警示标志外边长50cm，内边长37.5cm，边框外角圆弧半径3cm，设施类型名称最低文字高度4.8cm，其他</w:t>
            </w:r>
            <w:r>
              <w:rPr>
                <w:rFonts w:hint="eastAsia"/>
                <w:color w:val="auto"/>
                <w:sz w:val="21"/>
                <w:szCs w:val="21"/>
                <w:lang w:bidi="ar"/>
              </w:rPr>
              <w:t>文字</w:t>
            </w:r>
            <w:r>
              <w:rPr>
                <w:color w:val="auto"/>
                <w:sz w:val="21"/>
                <w:szCs w:val="21"/>
                <w:lang w:bidi="ar"/>
              </w:rPr>
              <w:t>高度2.4cm；若设在室内（观察距离大于4m小于10m），则标志牌最小尺寸60cm×37.2cm，三角形警示标志外边长30cm，内边长22.5cm，边框外角圆弧半径1.8cm，设施类型名称最低文字高度3.2cm，其他</w:t>
            </w:r>
            <w:r>
              <w:rPr>
                <w:rFonts w:hint="eastAsia"/>
                <w:color w:val="auto"/>
                <w:sz w:val="21"/>
                <w:szCs w:val="21"/>
                <w:lang w:bidi="ar"/>
              </w:rPr>
              <w:t>文字</w:t>
            </w:r>
            <w:r>
              <w:rPr>
                <w:color w:val="auto"/>
                <w:sz w:val="21"/>
                <w:szCs w:val="21"/>
                <w:lang w:bidi="ar"/>
              </w:rPr>
              <w:t>高度1.6cm；若设在室内（观察距离小于4m），则标志牌最小尺寸30cm×18.6cm，三角形警示标志外边长14cm，内边长10.5cm，边框外角圆弧半径0.84cm，设施类型名称最低文字高度1.6cm，其他</w:t>
            </w:r>
            <w:r>
              <w:rPr>
                <w:rFonts w:hint="eastAsia"/>
                <w:color w:val="auto"/>
                <w:sz w:val="21"/>
                <w:szCs w:val="21"/>
                <w:lang w:bidi="ar"/>
              </w:rPr>
              <w:t>文字</w:t>
            </w:r>
            <w:r>
              <w:rPr>
                <w:color w:val="auto"/>
                <w:sz w:val="21"/>
                <w:szCs w:val="21"/>
                <w:lang w:bidi="ar"/>
              </w:rPr>
              <w:t>高度0.8cm</w:t>
            </w:r>
            <w:r>
              <w:rPr>
                <w:rFonts w:hint="eastAsia"/>
                <w:color w:val="auto"/>
                <w:sz w:val="21"/>
                <w:szCs w:val="21"/>
                <w:lang w:bidi="ar"/>
              </w:rPr>
              <w:t>；</w:t>
            </w:r>
          </w:p>
          <w:p w14:paraId="33521D9C">
            <w:pPr>
              <w:spacing w:line="240" w:lineRule="auto"/>
              <w:ind w:firstLine="0" w:firstLineChars="0"/>
              <w:rPr>
                <w:color w:val="auto"/>
                <w:sz w:val="21"/>
                <w:szCs w:val="21"/>
                <w:lang w:bidi="ar"/>
              </w:rPr>
            </w:pPr>
            <w:r>
              <w:rPr>
                <w:color w:val="auto"/>
                <w:sz w:val="21"/>
                <w:szCs w:val="21"/>
                <w:lang w:bidi="ar"/>
              </w:rPr>
              <w:t>（2）颜色与字体：标志背景颜色为黄色，RGB 颜色值为（255, 255, 0）。字体和边框颜色为黑色，RGB颜色值为（0, 0, 0）。所有文字字体为黑体，其中危险废物设施类型的字样应加粗放大并居中显示。</w:t>
            </w:r>
          </w:p>
          <w:p w14:paraId="7046C84E">
            <w:pPr>
              <w:spacing w:line="240" w:lineRule="auto"/>
              <w:ind w:firstLine="0" w:firstLineChars="0"/>
              <w:rPr>
                <w:color w:val="auto"/>
                <w:sz w:val="21"/>
                <w:szCs w:val="21"/>
                <w:lang w:bidi="ar"/>
              </w:rPr>
            </w:pPr>
            <w:r>
              <w:rPr>
                <w:color w:val="auto"/>
                <w:sz w:val="21"/>
                <w:szCs w:val="21"/>
                <w:lang w:bidi="ar"/>
              </w:rPr>
              <w:t>（3）材料：采用坚固耐用的材料（如 1.5 mm～2 mm 冷轧钢板），并做搪瓷处理或贴膜处理。一般不宜使用遇水变形、变质或易燃的材料。柱式标志牌的立柱可采用 38×4无缝钢管或其他坚固耐用的材料，并经过防腐处理。</w:t>
            </w:r>
          </w:p>
          <w:p w14:paraId="667F41FC">
            <w:pPr>
              <w:spacing w:line="240" w:lineRule="auto"/>
              <w:ind w:firstLine="0" w:firstLineChars="0"/>
              <w:rPr>
                <w:color w:val="auto"/>
                <w:sz w:val="21"/>
                <w:szCs w:val="21"/>
                <w:lang w:bidi="ar"/>
              </w:rPr>
            </w:pPr>
            <w:r>
              <w:rPr>
                <w:color w:val="auto"/>
                <w:sz w:val="21"/>
                <w:szCs w:val="21"/>
                <w:lang w:bidi="ar"/>
              </w:rPr>
              <w:t>3.公开内容</w:t>
            </w:r>
          </w:p>
          <w:p w14:paraId="3B133EE2">
            <w:pPr>
              <w:spacing w:line="240" w:lineRule="auto"/>
              <w:ind w:firstLine="0" w:firstLineChars="0"/>
              <w:rPr>
                <w:color w:val="auto"/>
                <w:sz w:val="21"/>
                <w:szCs w:val="21"/>
                <w:lang w:bidi="ar"/>
              </w:rPr>
            </w:pPr>
            <w:r>
              <w:rPr>
                <w:color w:val="auto"/>
                <w:sz w:val="21"/>
                <w:szCs w:val="21"/>
                <w:lang w:bidi="ar"/>
              </w:rPr>
              <w:t>包括单位名称、设施编码、负责人及联系方式。</w:t>
            </w:r>
          </w:p>
        </w:tc>
      </w:tr>
      <w:tr w14:paraId="1947C2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3" w:type="pct"/>
            <w:tcBorders>
              <w:tl2br w:val="nil"/>
              <w:tr2bl w:val="nil"/>
            </w:tcBorders>
            <w:shd w:val="clear" w:color="auto" w:fill="auto"/>
            <w:tcMar>
              <w:left w:w="108" w:type="dxa"/>
              <w:right w:w="108" w:type="dxa"/>
            </w:tcMar>
            <w:vAlign w:val="center"/>
          </w:tcPr>
          <w:p w14:paraId="41664D0B">
            <w:pPr>
              <w:spacing w:line="240" w:lineRule="auto"/>
              <w:ind w:firstLine="0" w:firstLineChars="0"/>
              <w:jc w:val="center"/>
              <w:rPr>
                <w:color w:val="auto"/>
                <w:sz w:val="21"/>
                <w:szCs w:val="21"/>
                <w:lang w:bidi="ar"/>
              </w:rPr>
            </w:pPr>
            <w:r>
              <w:rPr>
                <w:color w:val="auto"/>
                <w:sz w:val="21"/>
                <w:szCs w:val="21"/>
                <w:lang w:bidi="ar"/>
              </w:rPr>
              <w:t>贮存设施内部分区警示标志牌</w:t>
            </w:r>
          </w:p>
        </w:tc>
        <w:tc>
          <w:tcPr>
            <w:tcW w:w="1540" w:type="pct"/>
            <w:tcBorders>
              <w:tl2br w:val="nil"/>
              <w:tr2bl w:val="nil"/>
            </w:tcBorders>
            <w:shd w:val="clear" w:color="auto" w:fill="auto"/>
            <w:tcMar>
              <w:left w:w="108" w:type="dxa"/>
              <w:right w:w="108" w:type="dxa"/>
            </w:tcMar>
            <w:vAlign w:val="center"/>
          </w:tcPr>
          <w:p w14:paraId="0CA683C7">
            <w:pPr>
              <w:spacing w:line="240" w:lineRule="auto"/>
              <w:ind w:firstLine="0" w:firstLineChars="0"/>
              <w:jc w:val="center"/>
              <w:rPr>
                <w:color w:val="auto"/>
                <w:sz w:val="21"/>
                <w:szCs w:val="21"/>
              </w:rPr>
            </w:pPr>
            <w:r>
              <w:rPr>
                <w:color w:val="auto"/>
              </w:rPr>
              <w:drawing>
                <wp:inline distT="0" distB="0" distL="114300" distR="114300">
                  <wp:extent cx="2689225" cy="2596515"/>
                  <wp:effectExtent l="0" t="0" r="15875" b="1333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81"/>
                          <a:stretch>
                            <a:fillRect/>
                          </a:stretch>
                        </pic:blipFill>
                        <pic:spPr>
                          <a:xfrm>
                            <a:off x="0" y="0"/>
                            <a:ext cx="2689225" cy="2596515"/>
                          </a:xfrm>
                          <a:prstGeom prst="rect">
                            <a:avLst/>
                          </a:prstGeom>
                          <a:noFill/>
                          <a:ln>
                            <a:noFill/>
                          </a:ln>
                        </pic:spPr>
                      </pic:pic>
                    </a:graphicData>
                  </a:graphic>
                </wp:inline>
              </w:drawing>
            </w:r>
          </w:p>
        </w:tc>
        <w:tc>
          <w:tcPr>
            <w:tcW w:w="3135" w:type="pct"/>
            <w:tcBorders>
              <w:tl2br w:val="nil"/>
              <w:tr2bl w:val="nil"/>
            </w:tcBorders>
            <w:shd w:val="clear" w:color="auto" w:fill="auto"/>
            <w:tcMar>
              <w:left w:w="108" w:type="dxa"/>
              <w:right w:w="108" w:type="dxa"/>
            </w:tcMar>
            <w:vAlign w:val="center"/>
          </w:tcPr>
          <w:p w14:paraId="6B1A2888">
            <w:pPr>
              <w:spacing w:line="240" w:lineRule="auto"/>
              <w:ind w:firstLine="0" w:firstLineChars="0"/>
              <w:rPr>
                <w:color w:val="auto"/>
                <w:sz w:val="21"/>
                <w:szCs w:val="21"/>
                <w:lang w:bidi="ar"/>
              </w:rPr>
            </w:pPr>
            <w:r>
              <w:rPr>
                <w:color w:val="auto"/>
                <w:sz w:val="21"/>
                <w:szCs w:val="21"/>
                <w:lang w:bidi="ar"/>
              </w:rPr>
              <w:t>1.设置位置</w:t>
            </w:r>
          </w:p>
          <w:p w14:paraId="6591CEEF">
            <w:pPr>
              <w:spacing w:line="240" w:lineRule="auto"/>
              <w:ind w:firstLine="0" w:firstLineChars="0"/>
              <w:rPr>
                <w:color w:val="auto"/>
                <w:sz w:val="21"/>
                <w:szCs w:val="21"/>
                <w:lang w:bidi="ar"/>
              </w:rPr>
            </w:pPr>
            <w:r>
              <w:rPr>
                <w:color w:val="auto"/>
                <w:sz w:val="21"/>
                <w:szCs w:val="21"/>
                <w:lang w:bidi="ar"/>
              </w:rPr>
              <w:t>贮存设施内部分区，固定于每一种危险废物存放区域的墙面、栅栏内部等易于观察的位置。可采用附着式（如钉挂、粘贴等）、悬挂式和柱式（固定于标志杆或支架等物体上）等固定形式，不得破坏防渗区域。</w:t>
            </w:r>
          </w:p>
          <w:p w14:paraId="25BC8576">
            <w:pPr>
              <w:spacing w:line="240" w:lineRule="auto"/>
              <w:ind w:firstLine="0" w:firstLineChars="0"/>
              <w:rPr>
                <w:color w:val="auto"/>
                <w:sz w:val="21"/>
                <w:szCs w:val="21"/>
                <w:lang w:bidi="ar"/>
              </w:rPr>
            </w:pPr>
            <w:r>
              <w:rPr>
                <w:color w:val="auto"/>
                <w:sz w:val="21"/>
                <w:szCs w:val="21"/>
                <w:lang w:bidi="ar"/>
              </w:rPr>
              <w:t>2.规格参数</w:t>
            </w:r>
          </w:p>
          <w:p w14:paraId="4C58C327">
            <w:pPr>
              <w:spacing w:line="240" w:lineRule="auto"/>
              <w:ind w:firstLine="0" w:firstLineChars="0"/>
              <w:rPr>
                <w:color w:val="auto"/>
                <w:sz w:val="21"/>
                <w:szCs w:val="21"/>
                <w:lang w:bidi="ar"/>
              </w:rPr>
            </w:pPr>
            <w:r>
              <w:rPr>
                <w:color w:val="auto"/>
                <w:sz w:val="21"/>
                <w:szCs w:val="21"/>
                <w:lang w:bidi="ar"/>
              </w:rPr>
              <w:t>（1）尺寸：当观察距离L小于2.5m时，标志整体外形最小尺寸为30cm×30cm，贮存分区标志的最低文字高度为2cm，其他文字的最低文字高度为0.6cm；当观察距离L在2.5m和4m之间时，标志整体外形最小尺寸为45cm×45cm，贮存分区标志的最低文字高度为3cm，其他文字的最低文字高度为0.9cm；当观察距离L大于4m时，标志整体外形最小尺寸为60cm×60cm，贮存分区标志的最低文字高度为4cm，其他文字的最低文字高度为1.2cm。</w:t>
            </w:r>
          </w:p>
          <w:p w14:paraId="04438D5B">
            <w:pPr>
              <w:spacing w:line="240" w:lineRule="auto"/>
              <w:ind w:firstLine="0" w:firstLineChars="0"/>
              <w:rPr>
                <w:color w:val="auto"/>
                <w:sz w:val="21"/>
                <w:szCs w:val="21"/>
                <w:lang w:bidi="ar"/>
              </w:rPr>
            </w:pPr>
            <w:r>
              <w:rPr>
                <w:color w:val="auto"/>
                <w:sz w:val="21"/>
                <w:szCs w:val="21"/>
                <w:lang w:bidi="ar"/>
              </w:rPr>
              <w:t>（2）颜色与字体：危险废物分区标志背景色应采用黄色，RGB 颜色值为（255, 255, 0）。废物种类信息应采用醒目的橘黄色，RGB 颜色值为（255, 150, 0）。字体颜色为黑色，RGB 颜色值为（0, 0, 0）。字体宜采用黑体字，其中“危险废物贮存分区标志”字样应加粗放大并居中显示。</w:t>
            </w:r>
          </w:p>
          <w:p w14:paraId="2E929BE6">
            <w:pPr>
              <w:spacing w:line="240" w:lineRule="auto"/>
              <w:ind w:firstLine="0" w:firstLineChars="0"/>
              <w:rPr>
                <w:color w:val="auto"/>
                <w:sz w:val="21"/>
                <w:szCs w:val="21"/>
                <w:lang w:bidi="ar"/>
              </w:rPr>
            </w:pPr>
            <w:r>
              <w:rPr>
                <w:color w:val="auto"/>
                <w:sz w:val="21"/>
                <w:szCs w:val="21"/>
                <w:lang w:bidi="ar"/>
              </w:rPr>
              <w:t>（3）材料：危险废物贮存分区标志的衬底宜采用坚固耐用的材料，并具有耐用性和防水性。废物贮存种类信息等可采用印刷纸张、不粘胶材质或塑料卡片等，以便固定在衬底上。</w:t>
            </w:r>
          </w:p>
          <w:p w14:paraId="4973971A">
            <w:pPr>
              <w:spacing w:line="240" w:lineRule="auto"/>
              <w:ind w:firstLine="0" w:firstLineChars="0"/>
              <w:rPr>
                <w:color w:val="auto"/>
                <w:sz w:val="21"/>
                <w:szCs w:val="21"/>
                <w:lang w:bidi="ar"/>
              </w:rPr>
            </w:pPr>
            <w:r>
              <w:rPr>
                <w:color w:val="auto"/>
                <w:sz w:val="21"/>
                <w:szCs w:val="21"/>
                <w:lang w:bidi="ar"/>
              </w:rPr>
              <w:t>3.公开内容</w:t>
            </w:r>
          </w:p>
          <w:p w14:paraId="7278A466">
            <w:pPr>
              <w:spacing w:line="240" w:lineRule="auto"/>
              <w:ind w:firstLine="0" w:firstLineChars="0"/>
              <w:rPr>
                <w:color w:val="auto"/>
                <w:sz w:val="21"/>
                <w:szCs w:val="21"/>
                <w:lang w:bidi="ar"/>
              </w:rPr>
            </w:pPr>
            <w:r>
              <w:rPr>
                <w:color w:val="auto"/>
                <w:sz w:val="21"/>
                <w:szCs w:val="21"/>
                <w:lang w:bidi="ar"/>
              </w:rPr>
              <w:t>包括废物名称、废物代码、贮存分区、当前所处位置等信息。</w:t>
            </w:r>
          </w:p>
        </w:tc>
      </w:tr>
      <w:tr w14:paraId="19FE41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3" w:type="pct"/>
            <w:tcBorders>
              <w:tl2br w:val="nil"/>
              <w:tr2bl w:val="nil"/>
            </w:tcBorders>
            <w:shd w:val="clear" w:color="auto" w:fill="auto"/>
            <w:tcMar>
              <w:left w:w="108" w:type="dxa"/>
              <w:right w:w="108" w:type="dxa"/>
            </w:tcMar>
            <w:vAlign w:val="center"/>
          </w:tcPr>
          <w:p w14:paraId="71066C81">
            <w:pPr>
              <w:spacing w:line="240" w:lineRule="auto"/>
              <w:ind w:firstLine="0" w:firstLineChars="0"/>
              <w:jc w:val="center"/>
              <w:rPr>
                <w:color w:val="auto"/>
                <w:sz w:val="21"/>
                <w:szCs w:val="21"/>
                <w:lang w:bidi="ar"/>
              </w:rPr>
            </w:pPr>
            <w:r>
              <w:rPr>
                <w:color w:val="auto"/>
                <w:sz w:val="21"/>
                <w:szCs w:val="21"/>
                <w:lang w:bidi="ar"/>
              </w:rPr>
              <w:t>危险废物标签</w:t>
            </w:r>
          </w:p>
        </w:tc>
        <w:tc>
          <w:tcPr>
            <w:tcW w:w="4379" w:type="dxa"/>
            <w:tcBorders>
              <w:tl2br w:val="nil"/>
              <w:tr2bl w:val="nil"/>
            </w:tcBorders>
            <w:shd w:val="clear" w:color="auto" w:fill="auto"/>
            <w:tcMar>
              <w:left w:w="108" w:type="dxa"/>
              <w:right w:w="108" w:type="dxa"/>
            </w:tcMar>
            <w:vAlign w:val="center"/>
          </w:tcPr>
          <w:p w14:paraId="1E7D7246">
            <w:pPr>
              <w:spacing w:line="240" w:lineRule="auto"/>
              <w:ind w:firstLine="0" w:firstLineChars="0"/>
              <w:jc w:val="center"/>
              <w:rPr>
                <w:color w:val="auto"/>
              </w:rPr>
            </w:pPr>
            <w:r>
              <w:rPr>
                <w:color w:val="auto"/>
              </w:rPr>
              <w:drawing>
                <wp:inline distT="0" distB="0" distL="114300" distR="114300">
                  <wp:extent cx="2643505" cy="2637790"/>
                  <wp:effectExtent l="0" t="0" r="4445" b="1016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82"/>
                          <a:stretch>
                            <a:fillRect/>
                          </a:stretch>
                        </pic:blipFill>
                        <pic:spPr>
                          <a:xfrm>
                            <a:off x="0" y="0"/>
                            <a:ext cx="2643505" cy="2637790"/>
                          </a:xfrm>
                          <a:prstGeom prst="rect">
                            <a:avLst/>
                          </a:prstGeom>
                          <a:noFill/>
                          <a:ln>
                            <a:noFill/>
                          </a:ln>
                        </pic:spPr>
                      </pic:pic>
                    </a:graphicData>
                  </a:graphic>
                </wp:inline>
              </w:drawing>
            </w:r>
          </w:p>
        </w:tc>
        <w:tc>
          <w:tcPr>
            <w:tcW w:w="8915" w:type="dxa"/>
            <w:tcBorders>
              <w:tl2br w:val="nil"/>
              <w:tr2bl w:val="nil"/>
            </w:tcBorders>
            <w:shd w:val="clear" w:color="auto" w:fill="auto"/>
            <w:tcMar>
              <w:left w:w="108" w:type="dxa"/>
              <w:right w:w="108" w:type="dxa"/>
            </w:tcMar>
            <w:vAlign w:val="center"/>
          </w:tcPr>
          <w:p w14:paraId="4D95A000">
            <w:pPr>
              <w:spacing w:line="240" w:lineRule="auto"/>
              <w:ind w:firstLine="0" w:firstLineChars="0"/>
              <w:rPr>
                <w:color w:val="auto"/>
                <w:sz w:val="21"/>
                <w:szCs w:val="21"/>
                <w:lang w:bidi="ar"/>
              </w:rPr>
            </w:pPr>
            <w:r>
              <w:rPr>
                <w:color w:val="auto"/>
                <w:sz w:val="21"/>
                <w:szCs w:val="21"/>
                <w:lang w:bidi="ar"/>
              </w:rPr>
              <w:t>1.设置位置</w:t>
            </w:r>
          </w:p>
          <w:p w14:paraId="0027FF2A">
            <w:pPr>
              <w:spacing w:line="240" w:lineRule="auto"/>
              <w:ind w:firstLine="0" w:firstLineChars="0"/>
              <w:rPr>
                <w:color w:val="auto"/>
                <w:sz w:val="21"/>
                <w:szCs w:val="21"/>
                <w:lang w:bidi="ar"/>
              </w:rPr>
            </w:pPr>
            <w:r>
              <w:rPr>
                <w:color w:val="auto"/>
                <w:sz w:val="21"/>
                <w:szCs w:val="21"/>
                <w:lang w:bidi="ar"/>
              </w:rPr>
              <w:t xml:space="preserve">危险废物标签的设置位置应明显可见且易读，不应被容器、包装物自身的任何部分或其他标签 </w:t>
            </w:r>
          </w:p>
          <w:p w14:paraId="19749599">
            <w:pPr>
              <w:spacing w:line="240" w:lineRule="auto"/>
              <w:ind w:firstLine="0" w:firstLineChars="0"/>
              <w:rPr>
                <w:color w:val="auto"/>
                <w:sz w:val="21"/>
                <w:szCs w:val="21"/>
                <w:lang w:bidi="ar"/>
              </w:rPr>
            </w:pPr>
            <w:r>
              <w:rPr>
                <w:color w:val="auto"/>
                <w:sz w:val="21"/>
                <w:szCs w:val="21"/>
                <w:lang w:bidi="ar"/>
              </w:rPr>
              <w:t>遮挡。危险废物标签在各种包装上的粘贴位置分别为</w:t>
            </w:r>
            <w:r>
              <w:rPr>
                <w:rFonts w:hint="eastAsia"/>
                <w:color w:val="auto"/>
                <w:sz w:val="21"/>
                <w:szCs w:val="21"/>
                <w:lang w:bidi="ar"/>
              </w:rPr>
              <w:t>：</w:t>
            </w:r>
            <w:r>
              <w:rPr>
                <w:color w:val="auto"/>
                <w:sz w:val="21"/>
                <w:szCs w:val="21"/>
                <w:lang w:bidi="ar"/>
              </w:rPr>
              <w:t xml:space="preserve"> </w:t>
            </w:r>
          </w:p>
          <w:p w14:paraId="289BCFEC">
            <w:pPr>
              <w:spacing w:line="240" w:lineRule="auto"/>
              <w:ind w:firstLine="0" w:firstLineChars="0"/>
              <w:rPr>
                <w:color w:val="auto"/>
                <w:sz w:val="21"/>
                <w:szCs w:val="21"/>
                <w:lang w:bidi="ar"/>
              </w:rPr>
            </w:pPr>
            <w:r>
              <w:rPr>
                <w:color w:val="auto"/>
                <w:sz w:val="21"/>
                <w:szCs w:val="21"/>
                <w:lang w:bidi="ar"/>
              </w:rPr>
              <w:t xml:space="preserve">a） 箱类包装：位于包装端面或侧面； </w:t>
            </w:r>
          </w:p>
          <w:p w14:paraId="7C84618F">
            <w:pPr>
              <w:spacing w:line="240" w:lineRule="auto"/>
              <w:ind w:firstLine="0" w:firstLineChars="0"/>
              <w:rPr>
                <w:color w:val="auto"/>
                <w:sz w:val="21"/>
                <w:szCs w:val="21"/>
                <w:lang w:bidi="ar"/>
              </w:rPr>
            </w:pPr>
            <w:r>
              <w:rPr>
                <w:color w:val="auto"/>
                <w:sz w:val="21"/>
                <w:szCs w:val="21"/>
                <w:lang w:bidi="ar"/>
              </w:rPr>
              <w:t xml:space="preserve">b） 袋类包装：位于包装明显处； </w:t>
            </w:r>
          </w:p>
          <w:p w14:paraId="7D9FB2A4">
            <w:pPr>
              <w:spacing w:line="240" w:lineRule="auto"/>
              <w:ind w:firstLine="0" w:firstLineChars="0"/>
              <w:rPr>
                <w:color w:val="auto"/>
                <w:sz w:val="21"/>
                <w:szCs w:val="21"/>
                <w:lang w:bidi="ar"/>
              </w:rPr>
            </w:pPr>
            <w:r>
              <w:rPr>
                <w:color w:val="auto"/>
                <w:sz w:val="21"/>
                <w:szCs w:val="21"/>
                <w:lang w:bidi="ar"/>
              </w:rPr>
              <w:t xml:space="preserve">c） 桶类包装：位于桶身或桶盖； </w:t>
            </w:r>
          </w:p>
          <w:p w14:paraId="72953BFB">
            <w:pPr>
              <w:spacing w:line="240" w:lineRule="auto"/>
              <w:ind w:firstLine="0" w:firstLineChars="0"/>
              <w:rPr>
                <w:color w:val="auto"/>
                <w:sz w:val="21"/>
                <w:szCs w:val="21"/>
                <w:lang w:bidi="ar"/>
              </w:rPr>
            </w:pPr>
            <w:r>
              <w:rPr>
                <w:color w:val="auto"/>
                <w:sz w:val="21"/>
                <w:szCs w:val="21"/>
                <w:lang w:bidi="ar"/>
              </w:rPr>
              <w:t xml:space="preserve">d） 其他包装：位于明显处。 </w:t>
            </w:r>
          </w:p>
          <w:p w14:paraId="622AF681">
            <w:pPr>
              <w:spacing w:line="240" w:lineRule="auto"/>
              <w:ind w:firstLine="0" w:firstLineChars="0"/>
              <w:rPr>
                <w:color w:val="auto"/>
                <w:sz w:val="21"/>
                <w:szCs w:val="21"/>
                <w:lang w:bidi="ar"/>
              </w:rPr>
            </w:pPr>
            <w:r>
              <w:rPr>
                <w:color w:val="auto"/>
                <w:sz w:val="21"/>
                <w:szCs w:val="21"/>
                <w:lang w:bidi="ar"/>
              </w:rPr>
              <w:t>对于盛装同一类危险废物的组合包装容器，应在组合包装容器的外表面设置危险废物标签。容积超过 450 L 的容器或包装物，应在相对的两面都设置危险废物标签。危险废物标签的固定可采用印刷、粘贴、</w:t>
            </w:r>
            <w:r>
              <w:rPr>
                <w:rFonts w:hint="eastAsia"/>
                <w:color w:val="auto"/>
                <w:sz w:val="21"/>
                <w:szCs w:val="21"/>
                <w:lang w:bidi="ar"/>
              </w:rPr>
              <w:t>拴挂</w:t>
            </w:r>
            <w:r>
              <w:rPr>
                <w:color w:val="auto"/>
                <w:sz w:val="21"/>
                <w:szCs w:val="21"/>
                <w:lang w:bidi="ar"/>
              </w:rPr>
              <w:t>、钉附等方式，标签的固定应保证在贮存、转移期间不易脱落和损坏。当危险废物容器或包装物还需同时设置危险货物运输相关标志时，危险废物标签可与其分开设置在不同</w:t>
            </w:r>
            <w:r>
              <w:rPr>
                <w:rFonts w:hint="eastAsia"/>
                <w:color w:val="auto"/>
                <w:sz w:val="21"/>
                <w:szCs w:val="21"/>
                <w:lang w:bidi="ar"/>
              </w:rPr>
              <w:t>的地</w:t>
            </w:r>
            <w:r>
              <w:rPr>
                <w:color w:val="auto"/>
                <w:sz w:val="21"/>
                <w:szCs w:val="21"/>
                <w:lang w:bidi="ar"/>
              </w:rPr>
              <w:t>面上，也可设在相邻的位置。</w:t>
            </w:r>
          </w:p>
          <w:p w14:paraId="253FA97A">
            <w:pPr>
              <w:spacing w:line="240" w:lineRule="auto"/>
              <w:ind w:firstLine="0" w:firstLineChars="0"/>
              <w:rPr>
                <w:color w:val="auto"/>
                <w:sz w:val="21"/>
                <w:szCs w:val="21"/>
                <w:lang w:bidi="ar"/>
              </w:rPr>
            </w:pPr>
            <w:r>
              <w:rPr>
                <w:color w:val="auto"/>
                <w:sz w:val="21"/>
                <w:szCs w:val="21"/>
                <w:lang w:bidi="ar"/>
              </w:rPr>
              <w:t>2.规格参数</w:t>
            </w:r>
          </w:p>
          <w:p w14:paraId="16557567">
            <w:pPr>
              <w:spacing w:line="240" w:lineRule="auto"/>
              <w:ind w:firstLine="0" w:firstLineChars="0"/>
              <w:rPr>
                <w:color w:val="auto"/>
                <w:sz w:val="21"/>
                <w:szCs w:val="21"/>
                <w:lang w:bidi="ar"/>
              </w:rPr>
            </w:pPr>
            <w:r>
              <w:rPr>
                <w:color w:val="auto"/>
                <w:sz w:val="21"/>
                <w:szCs w:val="21"/>
                <w:lang w:bidi="ar"/>
              </w:rPr>
              <w:t>（1）尺寸：当容器或包装物容积小于50L时，标签最小尺寸为10cm×10cm，标志的最低文字高度为0.3cm；当容器或包装物容积在50L和450L之间时，标签最小尺寸为15cm×15cm，标志的最低文字高度为0.5cm；当容器或包装物容积大于450L时，标签最小尺寸为20cm×20cm，标志的最低文字高度为0.6cm。</w:t>
            </w:r>
          </w:p>
          <w:p w14:paraId="6785C037">
            <w:pPr>
              <w:spacing w:line="240" w:lineRule="auto"/>
              <w:ind w:firstLine="0" w:firstLineChars="0"/>
              <w:rPr>
                <w:color w:val="auto"/>
                <w:sz w:val="21"/>
                <w:szCs w:val="21"/>
                <w:lang w:bidi="ar"/>
              </w:rPr>
            </w:pPr>
            <w:r>
              <w:rPr>
                <w:color w:val="auto"/>
                <w:sz w:val="21"/>
                <w:szCs w:val="21"/>
                <w:lang w:bidi="ar"/>
              </w:rPr>
              <w:t>（2）颜色与字体：危险废物标签背景色应采用醒目的橘黄色，RGB 颜色值为（255, 150, 0）。标签字体颜色为黑色，RGB颜色值为（0, 0, 0）。字体宜采用黑体字，其中“危险废物”字样应加粗放大并居中显示。</w:t>
            </w:r>
          </w:p>
          <w:p w14:paraId="112BE8FB">
            <w:pPr>
              <w:spacing w:line="240" w:lineRule="auto"/>
              <w:ind w:firstLine="0" w:firstLineChars="0"/>
              <w:rPr>
                <w:color w:val="auto"/>
                <w:sz w:val="21"/>
                <w:szCs w:val="21"/>
                <w:lang w:bidi="ar"/>
              </w:rPr>
            </w:pPr>
            <w:r>
              <w:rPr>
                <w:color w:val="auto"/>
                <w:sz w:val="21"/>
                <w:szCs w:val="21"/>
                <w:lang w:bidi="ar"/>
              </w:rPr>
              <w:t>（3）材料：危险废物标签所选用的材质宜具有一定的耐用性和防水性。标签可采用不干胶印刷品，或印刷品外加防水塑料袋或塑封等。</w:t>
            </w:r>
          </w:p>
          <w:p w14:paraId="5C95A758">
            <w:pPr>
              <w:spacing w:line="240" w:lineRule="auto"/>
              <w:ind w:firstLine="0" w:firstLineChars="0"/>
              <w:rPr>
                <w:color w:val="auto"/>
                <w:sz w:val="21"/>
                <w:szCs w:val="21"/>
                <w:lang w:bidi="ar"/>
              </w:rPr>
            </w:pPr>
            <w:r>
              <w:rPr>
                <w:color w:val="auto"/>
                <w:sz w:val="21"/>
                <w:szCs w:val="21"/>
                <w:lang w:bidi="ar"/>
              </w:rPr>
              <w:t>3.公开内容</w:t>
            </w:r>
          </w:p>
          <w:p w14:paraId="7441C3B7">
            <w:pPr>
              <w:spacing w:line="240" w:lineRule="auto"/>
              <w:ind w:firstLine="0" w:firstLineChars="0"/>
              <w:rPr>
                <w:color w:val="auto"/>
                <w:sz w:val="21"/>
                <w:szCs w:val="21"/>
                <w:lang w:bidi="ar"/>
              </w:rPr>
            </w:pPr>
            <w:r>
              <w:rPr>
                <w:color w:val="auto"/>
                <w:sz w:val="21"/>
                <w:szCs w:val="21"/>
                <w:lang w:bidi="ar"/>
              </w:rPr>
              <w:t>包括废物名称、废物类别、废物代码、废物形态、主要成分、危险特性、注意事项、数字识别码、产生、收集单位、产生日期、废物重量、联系人和联系方式等信息。</w:t>
            </w:r>
          </w:p>
        </w:tc>
      </w:tr>
    </w:tbl>
    <w:p w14:paraId="4A15A6B8">
      <w:pPr>
        <w:ind w:firstLine="480"/>
        <w:rPr>
          <w:color w:val="auto"/>
        </w:rPr>
      </w:pPr>
    </w:p>
    <w:p w14:paraId="4B5DDB16">
      <w:pPr>
        <w:pStyle w:val="151"/>
        <w:rPr>
          <w:rFonts w:ascii="Times New Roman" w:hAnsi="Times New Roman" w:cs="Times New Roman"/>
          <w:color w:val="auto"/>
        </w:rPr>
        <w:sectPr>
          <w:pgSz w:w="16838" w:h="11906" w:orient="landscape"/>
          <w:pgMar w:top="1361" w:right="1361" w:bottom="1361" w:left="1361" w:header="851" w:footer="992" w:gutter="0"/>
          <w:cols w:space="0" w:num="1"/>
          <w:docGrid w:type="lines" w:linePitch="328" w:charSpace="0"/>
        </w:sectPr>
      </w:pPr>
    </w:p>
    <w:p w14:paraId="78660903">
      <w:pPr>
        <w:keepNext/>
        <w:keepLines/>
        <w:tabs>
          <w:tab w:val="left" w:pos="2340"/>
        </w:tabs>
        <w:spacing w:before="163" w:beforeLines="50"/>
        <w:ind w:firstLine="0" w:firstLineChars="0"/>
        <w:outlineLvl w:val="2"/>
        <w:rPr>
          <w:b/>
          <w:bCs/>
          <w:color w:val="auto"/>
          <w:sz w:val="28"/>
          <w:szCs w:val="32"/>
        </w:rPr>
      </w:pPr>
      <w:r>
        <w:rPr>
          <w:rFonts w:hint="eastAsia"/>
          <w:b/>
          <w:bCs/>
          <w:color w:val="auto"/>
          <w:sz w:val="28"/>
          <w:szCs w:val="32"/>
        </w:rPr>
        <w:t>9</w:t>
      </w:r>
      <w:r>
        <w:rPr>
          <w:b/>
          <w:bCs/>
          <w:color w:val="auto"/>
          <w:sz w:val="28"/>
          <w:szCs w:val="32"/>
        </w:rPr>
        <w:t>.</w:t>
      </w:r>
      <w:r>
        <w:rPr>
          <w:rFonts w:hint="eastAsia"/>
          <w:b/>
          <w:bCs/>
          <w:color w:val="auto"/>
          <w:sz w:val="28"/>
          <w:szCs w:val="32"/>
        </w:rPr>
        <w:t>3.3</w:t>
      </w:r>
      <w:r>
        <w:rPr>
          <w:b/>
          <w:bCs/>
          <w:color w:val="auto"/>
          <w:sz w:val="28"/>
          <w:szCs w:val="32"/>
        </w:rPr>
        <w:t xml:space="preserve"> 排污许可</w:t>
      </w:r>
      <w:r>
        <w:rPr>
          <w:rFonts w:hint="eastAsia"/>
          <w:b/>
          <w:bCs/>
          <w:color w:val="auto"/>
          <w:sz w:val="28"/>
          <w:szCs w:val="32"/>
        </w:rPr>
        <w:t>管理要求</w:t>
      </w:r>
    </w:p>
    <w:p w14:paraId="7D74AF39">
      <w:pPr>
        <w:ind w:firstLine="482"/>
        <w:rPr>
          <w:b/>
          <w:bCs/>
          <w:color w:val="auto"/>
        </w:rPr>
      </w:pPr>
      <w:r>
        <w:rPr>
          <w:rFonts w:hint="eastAsia"/>
          <w:b/>
          <w:bCs/>
          <w:color w:val="auto"/>
        </w:rPr>
        <w:t>（1）《关于做好环境影响评价制度与排污许可制衔接相关工作的通知》相符性分析</w:t>
      </w:r>
    </w:p>
    <w:p w14:paraId="007316B8">
      <w:pPr>
        <w:ind w:firstLine="480"/>
        <w:rPr>
          <w:color w:val="auto"/>
        </w:rPr>
      </w:pPr>
      <w:r>
        <w:rPr>
          <w:rFonts w:hint="eastAsia"/>
          <w:color w:val="auto"/>
        </w:rPr>
        <w:t>对照《关于做好环境影响评价制度与排污许可制衔接相关工作的通知》，本项目在实施后与排污许可证衔接的相关内容见表9.3-7。</w:t>
      </w:r>
    </w:p>
    <w:p w14:paraId="5A3B51CE">
      <w:pPr>
        <w:spacing w:line="240" w:lineRule="auto"/>
        <w:ind w:firstLine="0" w:firstLineChars="0"/>
        <w:jc w:val="center"/>
        <w:rPr>
          <w:b/>
          <w:bCs/>
          <w:color w:val="auto"/>
        </w:rPr>
      </w:pPr>
      <w:r>
        <w:rPr>
          <w:rFonts w:hint="eastAsia"/>
          <w:b/>
          <w:bCs/>
          <w:color w:val="auto"/>
        </w:rPr>
        <w:t>表9.3-7  《关于做好环境影响评价制度与排污许可制衔接相关工作的通知》管理要求</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4"/>
        <w:gridCol w:w="3366"/>
      </w:tblGrid>
      <w:tr w14:paraId="61ABD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tcPr>
          <w:p w14:paraId="30BE382F">
            <w:pPr>
              <w:spacing w:line="240" w:lineRule="auto"/>
              <w:ind w:firstLine="0" w:firstLineChars="0"/>
              <w:jc w:val="center"/>
              <w:rPr>
                <w:b/>
                <w:bCs/>
                <w:color w:val="auto"/>
                <w:sz w:val="21"/>
                <w:szCs w:val="21"/>
              </w:rPr>
            </w:pPr>
            <w:r>
              <w:rPr>
                <w:rFonts w:hint="eastAsia"/>
                <w:b/>
                <w:bCs/>
                <w:color w:val="auto"/>
                <w:sz w:val="21"/>
                <w:szCs w:val="21"/>
              </w:rPr>
              <w:t>文件要求</w:t>
            </w:r>
          </w:p>
        </w:tc>
        <w:tc>
          <w:tcPr>
            <w:tcW w:w="3366" w:type="dxa"/>
            <w:tcBorders>
              <w:tl2br w:val="nil"/>
              <w:tr2bl w:val="nil"/>
            </w:tcBorders>
          </w:tcPr>
          <w:p w14:paraId="0C7E3B0B">
            <w:pPr>
              <w:spacing w:line="240" w:lineRule="auto"/>
              <w:ind w:firstLine="0" w:firstLineChars="0"/>
              <w:jc w:val="center"/>
              <w:rPr>
                <w:b/>
                <w:bCs/>
                <w:color w:val="auto"/>
                <w:sz w:val="21"/>
                <w:szCs w:val="21"/>
              </w:rPr>
            </w:pPr>
            <w:r>
              <w:rPr>
                <w:rFonts w:hint="eastAsia"/>
                <w:b/>
                <w:bCs/>
                <w:color w:val="auto"/>
                <w:sz w:val="21"/>
                <w:szCs w:val="21"/>
              </w:rPr>
              <w:t>本项目要求</w:t>
            </w:r>
          </w:p>
        </w:tc>
      </w:tr>
      <w:tr w14:paraId="7A712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17A0CB56">
            <w:pPr>
              <w:spacing w:line="240" w:lineRule="auto"/>
              <w:ind w:firstLine="0" w:firstLineChars="0"/>
              <w:rPr>
                <w:color w:val="auto"/>
                <w:sz w:val="21"/>
                <w:szCs w:val="21"/>
              </w:rPr>
            </w:pPr>
            <w:r>
              <w:rPr>
                <w:rFonts w:ascii="宋体" w:hAnsi="宋体" w:cs="宋体"/>
                <w:color w:val="auto"/>
                <w:sz w:val="21"/>
                <w:szCs w:val="21"/>
              </w:rPr>
              <w:t>一、环境影响评价制度是建设项目的环境准入门槛，是申请排污许可证的前提和重要依据。排污许可制是企事业单位生产运营期排污的法律依据，是确保环境影响评价提出的污染防治设施和措施落实落地的重要保障。各级环保部门要切实做好两项制度的衔接，在环境影响评价管理中，不断完善管理内容，推动环境影响评价更加科学，严格污染物排放要求；在排污许可管理中，严格按照环境影响报告书（表）以及审批文件要求核发排污许可证，维护环境影响评价的有效性。</w:t>
            </w:r>
          </w:p>
        </w:tc>
        <w:tc>
          <w:tcPr>
            <w:tcW w:w="3366" w:type="dxa"/>
            <w:tcBorders>
              <w:tl2br w:val="nil"/>
              <w:tr2bl w:val="nil"/>
            </w:tcBorders>
            <w:vAlign w:val="center"/>
          </w:tcPr>
          <w:p w14:paraId="0EA5671B">
            <w:pPr>
              <w:spacing w:line="240" w:lineRule="auto"/>
              <w:ind w:firstLine="0" w:firstLineChars="0"/>
              <w:jc w:val="center"/>
              <w:rPr>
                <w:color w:val="auto"/>
                <w:sz w:val="21"/>
                <w:szCs w:val="21"/>
              </w:rPr>
            </w:pPr>
            <w:r>
              <w:rPr>
                <w:rFonts w:ascii="宋体" w:hAnsi="宋体" w:cs="宋体"/>
                <w:color w:val="auto"/>
                <w:sz w:val="21"/>
                <w:szCs w:val="21"/>
              </w:rPr>
              <w:t>一、环境影响评价制度是建设项目的环境准入门槛，是申请排污许可证的前提和重要依据。排污许可制是企事业单位生产运营期排污的法律依据，是确保环境影响评价提出的污染防治设施和措施落实落地的重要保障。各级环保部门要切实做好两项制度的衔接，在环境影响评价管理中，不断完善管理内容，推动环境影响评价更加科学，严格污染物排放要求；在排污许可管理中，严格按照环境影响报告书（表）以及审批文件要求核发排污许可证，维护环境影响评价的有效性。</w:t>
            </w:r>
          </w:p>
        </w:tc>
      </w:tr>
      <w:tr w14:paraId="6F925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6205A8FA">
            <w:pPr>
              <w:spacing w:line="240" w:lineRule="auto"/>
              <w:ind w:firstLine="0" w:firstLineChars="0"/>
              <w:rPr>
                <w:color w:val="auto"/>
                <w:sz w:val="21"/>
                <w:szCs w:val="21"/>
              </w:rPr>
            </w:pPr>
            <w:r>
              <w:rPr>
                <w:rFonts w:ascii="宋体" w:hAnsi="宋体" w:cs="宋体"/>
                <w:color w:val="auto"/>
                <w:sz w:val="21"/>
                <w:szCs w:val="21"/>
              </w:rPr>
              <w:t>二、做好《建设项目环境影响评价分类管理名录》和《固定污染源排污许可分类管理名录》的衔接，按照建设项目对环境的影响程度、污染物产生量和排放量，实行统一分类管理。纳入排污许可管理的建设项目，可能造成重大环境影响、应当编制环境影响报告书的，原则上实行排污许可重点管理；可能造成轻度环境影响、应当编制环境影响报告表的，原则上实行排污许可简化管理。</w:t>
            </w:r>
          </w:p>
        </w:tc>
        <w:tc>
          <w:tcPr>
            <w:tcW w:w="3366" w:type="dxa"/>
            <w:tcBorders>
              <w:tl2br w:val="nil"/>
              <w:tr2bl w:val="nil"/>
            </w:tcBorders>
            <w:vAlign w:val="center"/>
          </w:tcPr>
          <w:p w14:paraId="0E305750">
            <w:pPr>
              <w:spacing w:line="240" w:lineRule="auto"/>
              <w:ind w:firstLine="0" w:firstLineChars="0"/>
              <w:jc w:val="center"/>
              <w:rPr>
                <w:color w:val="auto"/>
                <w:sz w:val="21"/>
                <w:szCs w:val="21"/>
              </w:rPr>
            </w:pPr>
            <w:r>
              <w:rPr>
                <w:color w:val="auto"/>
                <w:sz w:val="21"/>
                <w:szCs w:val="21"/>
              </w:rPr>
              <w:t>根据《固定污染源排污许可分类管理名录（2019版）》，本项目属于“</w:t>
            </w:r>
            <w:r>
              <w:rPr>
                <w:rFonts w:hint="eastAsia"/>
                <w:color w:val="auto"/>
                <w:sz w:val="21"/>
                <w:szCs w:val="21"/>
              </w:rPr>
              <w:t>二十八、金属制品业33</w:t>
            </w:r>
            <w:r>
              <w:rPr>
                <w:color w:val="auto"/>
                <w:sz w:val="21"/>
                <w:szCs w:val="21"/>
              </w:rPr>
              <w:t>”中</w:t>
            </w:r>
            <w:r>
              <w:rPr>
                <w:rFonts w:hint="eastAsia"/>
                <w:color w:val="auto"/>
                <w:sz w:val="21"/>
                <w:szCs w:val="21"/>
              </w:rPr>
              <w:t>——80结构性金属制品制造331，本项目铝型材加工过程中涉及阳极氧化工序，</w:t>
            </w:r>
            <w:r>
              <w:rPr>
                <w:color w:val="auto"/>
                <w:sz w:val="21"/>
                <w:szCs w:val="21"/>
              </w:rPr>
              <w:t>属于“</w:t>
            </w:r>
            <w:r>
              <w:rPr>
                <w:b/>
                <w:bCs/>
                <w:color w:val="auto"/>
                <w:sz w:val="21"/>
                <w:szCs w:val="21"/>
              </w:rPr>
              <w:t>重点管理”</w:t>
            </w:r>
            <w:r>
              <w:rPr>
                <w:color w:val="auto"/>
                <w:sz w:val="21"/>
                <w:szCs w:val="21"/>
              </w:rPr>
              <w:t>。</w:t>
            </w:r>
          </w:p>
        </w:tc>
      </w:tr>
      <w:tr w14:paraId="73CC6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5D627C88">
            <w:pPr>
              <w:spacing w:line="240" w:lineRule="auto"/>
              <w:ind w:firstLine="0" w:firstLineChars="0"/>
              <w:rPr>
                <w:color w:val="auto"/>
                <w:sz w:val="21"/>
                <w:szCs w:val="21"/>
              </w:rPr>
            </w:pPr>
            <w:r>
              <w:rPr>
                <w:rFonts w:ascii="宋体" w:hAnsi="宋体" w:cs="宋体"/>
                <w:color w:val="auto"/>
                <w:sz w:val="21"/>
                <w:szCs w:val="21"/>
              </w:rPr>
              <w:t>三、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tc>
        <w:tc>
          <w:tcPr>
            <w:tcW w:w="3366" w:type="dxa"/>
            <w:tcBorders>
              <w:tl2br w:val="nil"/>
              <w:tr2bl w:val="nil"/>
            </w:tcBorders>
            <w:vAlign w:val="center"/>
          </w:tcPr>
          <w:p w14:paraId="26505B54">
            <w:pPr>
              <w:spacing w:line="240" w:lineRule="auto"/>
              <w:ind w:firstLine="0" w:firstLineChars="0"/>
              <w:jc w:val="center"/>
              <w:rPr>
                <w:color w:val="auto"/>
                <w:sz w:val="21"/>
                <w:szCs w:val="21"/>
              </w:rPr>
            </w:pPr>
            <w:r>
              <w:rPr>
                <w:rFonts w:ascii="宋体" w:hAnsi="宋体" w:cs="宋体"/>
                <w:color w:val="auto"/>
                <w:sz w:val="21"/>
                <w:szCs w:val="21"/>
              </w:rPr>
              <w:t>本项目环评依据排污核算指南进行计算，为排污许可证申报奠定基础项目建成后公司将在“全国排污许可证管理信息平台”完善排污许可证执行季报及年报。自觉公开公示排放口数量、位置以及每个排放口的污染物种类、允许排放浓度、排放方式、排放去向、自行监测计划等与污染物排放相关的主要内容。</w:t>
            </w:r>
          </w:p>
        </w:tc>
      </w:tr>
      <w:tr w14:paraId="144D2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042DDB0A">
            <w:pPr>
              <w:spacing w:line="240" w:lineRule="auto"/>
              <w:ind w:firstLine="0" w:firstLineChars="0"/>
              <w:rPr>
                <w:color w:val="auto"/>
                <w:sz w:val="21"/>
                <w:szCs w:val="21"/>
              </w:rPr>
            </w:pPr>
            <w:r>
              <w:rPr>
                <w:rFonts w:ascii="宋体" w:hAnsi="宋体" w:cs="宋体"/>
                <w:color w:val="auto"/>
                <w:sz w:val="21"/>
                <w:szCs w:val="21"/>
              </w:rPr>
              <w:t>四、分期建设的项目，环境影响报告书（表）以及审批文件应当列明分期建设内容，明确分期实施后排放口数量、位置以及每个排放口的污染物种类、允许排放浓度和允许排放量、排放方式、排放去向、自行监测计划等与污染物排放相关的主要内容，建设单位应据此分期申请排污许可证。分期实施的允许排放量之和不得高于建设项目的总允许排放量。</w:t>
            </w:r>
          </w:p>
        </w:tc>
        <w:tc>
          <w:tcPr>
            <w:tcW w:w="3366" w:type="dxa"/>
            <w:tcBorders>
              <w:tl2br w:val="nil"/>
              <w:tr2bl w:val="nil"/>
            </w:tcBorders>
            <w:vAlign w:val="center"/>
          </w:tcPr>
          <w:p w14:paraId="6E38CE3F">
            <w:pPr>
              <w:spacing w:line="240" w:lineRule="auto"/>
              <w:ind w:firstLine="0" w:firstLineChars="0"/>
              <w:jc w:val="center"/>
              <w:rPr>
                <w:color w:val="auto"/>
                <w:sz w:val="21"/>
                <w:szCs w:val="21"/>
              </w:rPr>
            </w:pPr>
            <w:r>
              <w:rPr>
                <w:rFonts w:hint="eastAsia"/>
                <w:color w:val="auto"/>
                <w:sz w:val="21"/>
                <w:szCs w:val="21"/>
              </w:rPr>
              <w:t>本项目不涉及</w:t>
            </w:r>
          </w:p>
        </w:tc>
      </w:tr>
      <w:tr w14:paraId="160C5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6F26A325">
            <w:pPr>
              <w:spacing w:line="240" w:lineRule="auto"/>
              <w:ind w:firstLine="0" w:firstLineChars="0"/>
              <w:rPr>
                <w:color w:val="auto"/>
                <w:sz w:val="21"/>
                <w:szCs w:val="21"/>
              </w:rPr>
            </w:pPr>
            <w:r>
              <w:rPr>
                <w:rFonts w:ascii="宋体" w:hAnsi="宋体" w:cs="宋体"/>
                <w:color w:val="auto"/>
                <w:sz w:val="21"/>
                <w:szCs w:val="21"/>
              </w:rPr>
              <w:t>五、改扩建项目的环境影响评价，应当将排污许可证执行情况作为现有工程回顾评价的主要依据。现有工程应按照相关法律、法规、规章关于排污许可实施范围和步骤的规定，按时申请并获取排污许可证，并在申请改扩建项目环境影响报告书（表）时，依法提交相关排污许可证执行</w:t>
            </w:r>
            <w:r>
              <w:rPr>
                <w:rFonts w:hint="eastAsia" w:ascii="宋体" w:hAnsi="宋体" w:cs="宋体"/>
                <w:color w:val="auto"/>
                <w:sz w:val="21"/>
                <w:szCs w:val="21"/>
              </w:rPr>
              <w:t>报告。</w:t>
            </w:r>
          </w:p>
        </w:tc>
        <w:tc>
          <w:tcPr>
            <w:tcW w:w="3366" w:type="dxa"/>
            <w:tcBorders>
              <w:tl2br w:val="nil"/>
              <w:tr2bl w:val="nil"/>
            </w:tcBorders>
            <w:vAlign w:val="center"/>
          </w:tcPr>
          <w:p w14:paraId="384DA6FF">
            <w:pPr>
              <w:spacing w:line="240" w:lineRule="auto"/>
              <w:ind w:firstLine="0" w:firstLineChars="0"/>
              <w:jc w:val="center"/>
              <w:rPr>
                <w:color w:val="auto"/>
                <w:sz w:val="21"/>
                <w:szCs w:val="21"/>
              </w:rPr>
            </w:pPr>
            <w:r>
              <w:rPr>
                <w:rFonts w:hint="eastAsia"/>
                <w:color w:val="auto"/>
                <w:sz w:val="21"/>
                <w:szCs w:val="21"/>
              </w:rPr>
              <w:t>本项目为搬迁扩建项目，公司已于2024年4月25日取得固定污染源排污登记回执。</w:t>
            </w:r>
          </w:p>
        </w:tc>
      </w:tr>
      <w:tr w14:paraId="7902C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72384F82">
            <w:pPr>
              <w:spacing w:line="240" w:lineRule="auto"/>
              <w:ind w:firstLine="0" w:firstLineChars="0"/>
              <w:rPr>
                <w:color w:val="auto"/>
                <w:sz w:val="21"/>
                <w:szCs w:val="21"/>
              </w:rPr>
            </w:pPr>
            <w:r>
              <w:rPr>
                <w:color w:val="auto"/>
                <w:sz w:val="21"/>
                <w:szCs w:val="21"/>
              </w:rPr>
              <w:t>七、国家将分行业制定建设项目重大变动清单。建设项目的环境影响报告书（表）经批准后，建设项目的性质、规模、地点、采用的生产工艺或者防治污染、防止生态破坏的措施发生重大变动的，建设单位应当依法重新报批环境影响评价文件，并在申请排污许可时提交重新报批的环评批复（文号）。发生变动但不属于重大变动情形的建设项目，环境影响报告书（表）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tc>
        <w:tc>
          <w:tcPr>
            <w:tcW w:w="3366" w:type="dxa"/>
            <w:tcBorders>
              <w:tl2br w:val="nil"/>
              <w:tr2bl w:val="nil"/>
            </w:tcBorders>
            <w:vAlign w:val="center"/>
          </w:tcPr>
          <w:p w14:paraId="754F29C8">
            <w:pPr>
              <w:spacing w:line="240" w:lineRule="auto"/>
              <w:ind w:firstLine="0" w:firstLineChars="0"/>
              <w:jc w:val="center"/>
              <w:rPr>
                <w:color w:val="auto"/>
                <w:sz w:val="21"/>
                <w:szCs w:val="21"/>
              </w:rPr>
            </w:pPr>
            <w:r>
              <w:rPr>
                <w:rFonts w:hint="eastAsia"/>
                <w:color w:val="auto"/>
                <w:sz w:val="21"/>
                <w:szCs w:val="21"/>
              </w:rPr>
              <w:t>本项目依法报批本次的项目环评，并在变更排污许可时提交报批项目的环评批复文号。</w:t>
            </w:r>
          </w:p>
        </w:tc>
      </w:tr>
      <w:tr w14:paraId="6D08E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7B4E71F6">
            <w:pPr>
              <w:spacing w:line="240" w:lineRule="auto"/>
              <w:ind w:firstLine="0" w:firstLineChars="0"/>
              <w:rPr>
                <w:color w:val="auto"/>
                <w:sz w:val="21"/>
                <w:szCs w:val="21"/>
              </w:rPr>
            </w:pPr>
            <w:r>
              <w:rPr>
                <w:color w:val="auto"/>
                <w:sz w:val="21"/>
                <w:szCs w:val="21"/>
              </w:rPr>
              <w:t>八、建设项目涉及“上大压小”“区域（总量）替代”等措施的，环境影响评价审批部门应当审查总量指标来源，依法依规应当取得排污许可证的被替代或关停企业，须明确其排污许可证编码及污染物替代量。排污许可证核发部门应按照环境影响报告书（表）审批文件要求，变更或注销被替代或关停企业的排污许可证。应当取得排污许可证但未取得的企业，不予计算其污染物替代量。</w:t>
            </w:r>
          </w:p>
        </w:tc>
        <w:tc>
          <w:tcPr>
            <w:tcW w:w="3366" w:type="dxa"/>
            <w:tcBorders>
              <w:tl2br w:val="nil"/>
              <w:tr2bl w:val="nil"/>
            </w:tcBorders>
            <w:vAlign w:val="center"/>
          </w:tcPr>
          <w:p w14:paraId="0B76F104">
            <w:pPr>
              <w:spacing w:line="240" w:lineRule="auto"/>
              <w:ind w:firstLine="0" w:firstLineChars="0"/>
              <w:jc w:val="center"/>
              <w:rPr>
                <w:color w:val="auto"/>
                <w:sz w:val="21"/>
                <w:szCs w:val="21"/>
              </w:rPr>
            </w:pPr>
            <w:r>
              <w:rPr>
                <w:rFonts w:hint="eastAsia"/>
                <w:color w:val="auto"/>
                <w:sz w:val="21"/>
                <w:szCs w:val="21"/>
              </w:rPr>
              <w:t>本项目不涉及。</w:t>
            </w:r>
          </w:p>
        </w:tc>
      </w:tr>
      <w:tr w14:paraId="5D5F3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4" w:type="dxa"/>
            <w:tcBorders>
              <w:tl2br w:val="nil"/>
              <w:tr2bl w:val="nil"/>
            </w:tcBorders>
            <w:vAlign w:val="center"/>
          </w:tcPr>
          <w:p w14:paraId="09F8F5FA">
            <w:pPr>
              <w:spacing w:line="240" w:lineRule="auto"/>
              <w:ind w:firstLine="0" w:firstLineChars="0"/>
              <w:rPr>
                <w:color w:val="auto"/>
                <w:sz w:val="21"/>
                <w:szCs w:val="21"/>
              </w:rPr>
            </w:pPr>
            <w:r>
              <w:rPr>
                <w:color w:val="auto"/>
                <w:sz w:val="21"/>
                <w:szCs w:val="21"/>
              </w:rPr>
              <w:t>九、环境保护部负责统一建设建设项目环评审批信息申报系统，并与全国排污许可证管理信息平台充分衔接。建设单位在报批建设项目环境影响报告书（表）时，应当</w:t>
            </w:r>
            <w:r>
              <w:rPr>
                <w:rFonts w:hint="eastAsia"/>
                <w:color w:val="auto"/>
                <w:sz w:val="21"/>
                <w:szCs w:val="21"/>
                <w:lang w:eastAsia="zh-CN"/>
              </w:rPr>
              <w:t>登录</w:t>
            </w:r>
            <w:r>
              <w:rPr>
                <w:color w:val="auto"/>
                <w:sz w:val="21"/>
                <w:szCs w:val="21"/>
              </w:rPr>
              <w:t>建设项目环评审批信息申报系统，在线填报相关信息并对信息的真实性、准确性和完整性负责。</w:t>
            </w:r>
          </w:p>
        </w:tc>
        <w:tc>
          <w:tcPr>
            <w:tcW w:w="3366" w:type="dxa"/>
            <w:tcBorders>
              <w:tl2br w:val="nil"/>
              <w:tr2bl w:val="nil"/>
            </w:tcBorders>
            <w:vAlign w:val="center"/>
          </w:tcPr>
          <w:p w14:paraId="2F013BC8">
            <w:pPr>
              <w:spacing w:line="240" w:lineRule="auto"/>
              <w:ind w:firstLine="0" w:firstLineChars="0"/>
              <w:jc w:val="center"/>
              <w:rPr>
                <w:color w:val="auto"/>
                <w:sz w:val="21"/>
                <w:szCs w:val="21"/>
              </w:rPr>
            </w:pPr>
            <w:r>
              <w:rPr>
                <w:rFonts w:ascii="宋体" w:hAnsi="宋体" w:cs="宋体"/>
                <w:color w:val="auto"/>
                <w:sz w:val="21"/>
                <w:szCs w:val="21"/>
              </w:rPr>
              <w:t>公司在报批建设项目环境影响报告书时，将依照规定，</w:t>
            </w:r>
            <w:r>
              <w:rPr>
                <w:rFonts w:hint="eastAsia" w:ascii="宋体" w:hAnsi="宋体" w:cs="宋体"/>
                <w:color w:val="auto"/>
                <w:sz w:val="21"/>
                <w:szCs w:val="21"/>
                <w:lang w:eastAsia="zh-CN"/>
              </w:rPr>
              <w:t>登录</w:t>
            </w:r>
            <w:r>
              <w:rPr>
                <w:rFonts w:ascii="宋体" w:hAnsi="宋体" w:cs="宋体"/>
                <w:color w:val="auto"/>
                <w:sz w:val="21"/>
                <w:szCs w:val="21"/>
              </w:rPr>
              <w:t>建设项目环评审批信息申报系统，在线填报相关信息并对信息的真实性、准确性和完整性负责。</w:t>
            </w:r>
          </w:p>
        </w:tc>
      </w:tr>
    </w:tbl>
    <w:p w14:paraId="28EDA77E">
      <w:pPr>
        <w:ind w:firstLine="480"/>
        <w:rPr>
          <w:color w:val="auto"/>
        </w:rPr>
      </w:pPr>
      <w:r>
        <w:rPr>
          <w:color w:val="auto"/>
        </w:rPr>
        <w:t>（2）排污许可制管理要求</w:t>
      </w:r>
    </w:p>
    <w:p w14:paraId="403F60B2">
      <w:pPr>
        <w:ind w:firstLine="480"/>
        <w:rPr>
          <w:color w:val="auto"/>
        </w:rPr>
      </w:pPr>
      <w:r>
        <w:rPr>
          <w:color w:val="auto"/>
        </w:rPr>
        <w:t>①建设单位必须持证排污、按证排污，不得无证排污，不按证排污。企业应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5A6D50EC">
      <w:pPr>
        <w:ind w:firstLine="480"/>
        <w:rPr>
          <w:color w:val="auto"/>
        </w:rPr>
      </w:pPr>
      <w:r>
        <w:rPr>
          <w:color w:val="auto"/>
        </w:rPr>
        <w:t>②按照排污许可要求，落实台账制度，实行自行监测和定期报告制度，依法开展自行监测，安装或使用监测设备应符合国家有关环境监测、计量认证规定和技术规范，保障数据合法有效，保证设备正常运行，妥善保存原始记录，建立准确完整的环境管理台账，安装在线监测设备的应与生态环境部门联网。如实向生态环境部门报告排污许可证执行情况，依法向社会公开污染物排放数据并对数据真实性负责。排放情况与排污许可证要求不符的，应及时向生态环境部门报告。</w:t>
      </w:r>
      <w:r>
        <w:rPr>
          <w:color w:val="auto"/>
        </w:rPr>
        <w:br w:type="page"/>
      </w:r>
    </w:p>
    <w:bookmarkEnd w:id="247"/>
    <w:p w14:paraId="2EC659C8">
      <w:pPr>
        <w:pStyle w:val="3"/>
        <w:spacing w:before="163" w:beforeLines="50"/>
        <w:ind w:firstLine="0" w:firstLineChars="0"/>
        <w:rPr>
          <w:color w:val="auto"/>
          <w:sz w:val="32"/>
          <w:szCs w:val="48"/>
        </w:rPr>
      </w:pPr>
      <w:bookmarkStart w:id="248" w:name="_Toc30573"/>
      <w:r>
        <w:rPr>
          <w:rFonts w:hint="eastAsia"/>
          <w:color w:val="auto"/>
          <w:sz w:val="32"/>
          <w:szCs w:val="48"/>
        </w:rPr>
        <w:t>10</w:t>
      </w:r>
      <w:r>
        <w:rPr>
          <w:color w:val="auto"/>
          <w:sz w:val="32"/>
          <w:szCs w:val="48"/>
        </w:rPr>
        <w:t xml:space="preserve"> 环境影响评价结论</w:t>
      </w:r>
      <w:bookmarkEnd w:id="248"/>
    </w:p>
    <w:p w14:paraId="0A6F24A7">
      <w:pPr>
        <w:pStyle w:val="4"/>
        <w:spacing w:before="163" w:beforeLines="50" w:after="0"/>
        <w:ind w:firstLine="0" w:firstLineChars="0"/>
        <w:rPr>
          <w:color w:val="auto"/>
          <w:sz w:val="30"/>
          <w:szCs w:val="30"/>
        </w:rPr>
      </w:pPr>
      <w:bookmarkStart w:id="249" w:name="_Toc5592"/>
      <w:r>
        <w:rPr>
          <w:rFonts w:hint="eastAsia"/>
          <w:color w:val="auto"/>
          <w:sz w:val="30"/>
          <w:szCs w:val="30"/>
        </w:rPr>
        <w:t>10</w:t>
      </w:r>
      <w:r>
        <w:rPr>
          <w:color w:val="auto"/>
          <w:sz w:val="30"/>
          <w:szCs w:val="30"/>
        </w:rPr>
        <w:t>.1 项目概况</w:t>
      </w:r>
      <w:bookmarkEnd w:id="249"/>
    </w:p>
    <w:p w14:paraId="64DDC9B9">
      <w:pPr>
        <w:ind w:firstLine="480"/>
        <w:rPr>
          <w:color w:val="auto"/>
        </w:rPr>
      </w:pPr>
      <w:r>
        <w:rPr>
          <w:color w:val="auto"/>
        </w:rPr>
        <w:t>一道新材科技（连云港）有限公司成立于202</w:t>
      </w:r>
      <w:r>
        <w:rPr>
          <w:rFonts w:hint="eastAsia"/>
          <w:color w:val="auto"/>
        </w:rPr>
        <w:t>2</w:t>
      </w:r>
      <w:r>
        <w:rPr>
          <w:color w:val="auto"/>
        </w:rPr>
        <w:t>年</w:t>
      </w:r>
      <w:r>
        <w:rPr>
          <w:rFonts w:hint="eastAsia"/>
          <w:color w:val="auto"/>
        </w:rPr>
        <w:t>12</w:t>
      </w:r>
      <w:r>
        <w:rPr>
          <w:color w:val="auto"/>
        </w:rPr>
        <w:t>月，主要从事</w:t>
      </w:r>
      <w:r>
        <w:rPr>
          <w:rFonts w:hint="eastAsia"/>
          <w:color w:val="auto"/>
        </w:rPr>
        <w:t>光伏设备及元器件制造、金属结构制造等</w:t>
      </w:r>
      <w:r>
        <w:rPr>
          <w:color w:val="auto"/>
        </w:rPr>
        <w:t>业务内容。从自身发展需要及市场需求出发，一道新材科技（连云港）有限公司拟投资建设光伏组件边框项目。企业拟投资1</w:t>
      </w:r>
      <w:r>
        <w:rPr>
          <w:rFonts w:hint="eastAsia"/>
          <w:color w:val="auto"/>
        </w:rPr>
        <w:t>04000</w:t>
      </w:r>
      <w:r>
        <w:rPr>
          <w:color w:val="auto"/>
        </w:rPr>
        <w:t>万元，于连云港经济技术开发区内建设“光伏新材料研发中心及光伏组件制造”</w:t>
      </w:r>
      <w:r>
        <w:rPr>
          <w:rFonts w:hint="eastAsia"/>
          <w:color w:val="auto"/>
        </w:rPr>
        <w:t>项目</w:t>
      </w:r>
      <w:r>
        <w:rPr>
          <w:color w:val="auto"/>
        </w:rPr>
        <w:t>。</w:t>
      </w:r>
      <w:r>
        <w:rPr>
          <w:rFonts w:hint="eastAsia"/>
          <w:color w:val="auto"/>
        </w:rPr>
        <w:t>总建筑面积约12.8万</w:t>
      </w:r>
      <w:r>
        <w:rPr>
          <w:color w:val="auto"/>
        </w:rPr>
        <w:t>平方米，新建镁铝合金智能制造基地。项目建成后，将形成年产光伏组件边框15GW（12万吨）的生产规模。</w:t>
      </w:r>
    </w:p>
    <w:p w14:paraId="2B909ABF">
      <w:pPr>
        <w:pStyle w:val="4"/>
        <w:spacing w:before="163" w:beforeLines="50" w:after="0"/>
        <w:ind w:firstLine="0" w:firstLineChars="0"/>
        <w:rPr>
          <w:color w:val="auto"/>
          <w:sz w:val="30"/>
          <w:szCs w:val="30"/>
        </w:rPr>
      </w:pPr>
      <w:bookmarkStart w:id="250" w:name="_Toc22801"/>
      <w:r>
        <w:rPr>
          <w:rFonts w:hint="eastAsia"/>
          <w:color w:val="auto"/>
          <w:sz w:val="30"/>
          <w:szCs w:val="30"/>
        </w:rPr>
        <w:t>10</w:t>
      </w:r>
      <w:r>
        <w:rPr>
          <w:color w:val="auto"/>
          <w:sz w:val="30"/>
          <w:szCs w:val="30"/>
        </w:rPr>
        <w:t>.</w:t>
      </w:r>
      <w:r>
        <w:rPr>
          <w:rFonts w:hint="eastAsia"/>
          <w:color w:val="auto"/>
          <w:sz w:val="30"/>
          <w:szCs w:val="30"/>
        </w:rPr>
        <w:t>2</w:t>
      </w:r>
      <w:r>
        <w:rPr>
          <w:color w:val="auto"/>
          <w:sz w:val="30"/>
          <w:szCs w:val="30"/>
        </w:rPr>
        <w:t xml:space="preserve"> 环境质量现状</w:t>
      </w:r>
      <w:bookmarkEnd w:id="250"/>
    </w:p>
    <w:p w14:paraId="658D5160">
      <w:pPr>
        <w:pStyle w:val="2241"/>
        <w:jc w:val="both"/>
        <w:rPr>
          <w:rFonts w:ascii="Times New Roman" w:hAnsi="Times New Roman" w:cs="Times New Roman"/>
          <w:bCs/>
          <w:color w:val="auto"/>
        </w:rPr>
      </w:pPr>
      <w:r>
        <w:rPr>
          <w:rFonts w:ascii="Times New Roman" w:hAnsi="Times New Roman" w:cs="Times New Roman"/>
          <w:bCs/>
          <w:color w:val="auto"/>
        </w:rPr>
        <w:t>本项目周围环境质量现状情况如下：</w:t>
      </w:r>
    </w:p>
    <w:p w14:paraId="7977AE5B">
      <w:pPr>
        <w:pStyle w:val="2241"/>
        <w:ind w:firstLine="482"/>
        <w:jc w:val="both"/>
        <w:rPr>
          <w:rFonts w:ascii="Times New Roman" w:hAnsi="Times New Roman" w:cs="Times New Roman"/>
          <w:bCs/>
          <w:color w:val="auto"/>
        </w:rPr>
      </w:pPr>
      <w:r>
        <w:rPr>
          <w:rFonts w:ascii="Times New Roman" w:hAnsi="Times New Roman" w:cs="Times New Roman"/>
          <w:b/>
          <w:color w:val="auto"/>
        </w:rPr>
        <w:t>大气：</w:t>
      </w:r>
      <w:r>
        <w:rPr>
          <w:rFonts w:ascii="Times New Roman" w:hAnsi="Times New Roman" w:cs="Times New Roman"/>
          <w:color w:val="auto"/>
          <w:kern w:val="0"/>
          <w:szCs w:val="20"/>
        </w:rPr>
        <w:t>根据《2023年度连云港市生态环境状况公报》，项目所在地区域环境质量除O3外其余因子均满足《环境空气质量标准》（GB3095-2012）二级标准及其修改清单要求。经判定，本项目所在区域为环境空气质量不达标区。</w:t>
      </w:r>
      <w:r>
        <w:rPr>
          <w:rFonts w:ascii="Times New Roman" w:hAnsi="Times New Roman" w:cs="Times New Roman"/>
          <w:bCs/>
          <w:color w:val="auto"/>
        </w:rPr>
        <w:t>另外，根据补充监测结果数据，项目评价范围内TSP满足《环境空气质量标准》（GB3095-2012）及其修改清单中标准限值；氨和硫酸雾满足《环境影响评价技术导则大气环境》（HJ2.2-2018）附录D中参考限值。</w:t>
      </w:r>
    </w:p>
    <w:p w14:paraId="7F68DB21">
      <w:pPr>
        <w:ind w:firstLine="482"/>
        <w:rPr>
          <w:bCs/>
          <w:color w:val="auto"/>
        </w:rPr>
      </w:pPr>
      <w:r>
        <w:rPr>
          <w:b/>
          <w:color w:val="auto"/>
        </w:rPr>
        <w:t>地表水：</w:t>
      </w:r>
      <w:r>
        <w:rPr>
          <w:rFonts w:hint="eastAsia"/>
          <w:bCs/>
          <w:color w:val="auto"/>
        </w:rPr>
        <w:t>大浦河排污通道和</w:t>
      </w:r>
      <w:r>
        <w:rPr>
          <w:bCs/>
          <w:color w:val="auto"/>
        </w:rPr>
        <w:t>开泰河</w:t>
      </w:r>
      <w:r>
        <w:rPr>
          <w:rFonts w:hint="eastAsia"/>
          <w:bCs/>
          <w:color w:val="auto"/>
        </w:rPr>
        <w:t>断面</w:t>
      </w:r>
      <w:r>
        <w:rPr>
          <w:bCs/>
          <w:color w:val="auto"/>
        </w:rPr>
        <w:t>各监测因子均能达到《地表水环境质量标准》（GB3838-2002）</w:t>
      </w:r>
      <w:r>
        <w:rPr>
          <w:rFonts w:hint="eastAsia"/>
          <w:bCs/>
          <w:color w:val="auto"/>
        </w:rPr>
        <w:t>Ⅳ类</w:t>
      </w:r>
      <w:r>
        <w:rPr>
          <w:bCs/>
          <w:color w:val="auto"/>
        </w:rPr>
        <w:t>标准要求</w:t>
      </w:r>
      <w:r>
        <w:rPr>
          <w:rFonts w:hint="eastAsia"/>
          <w:bCs/>
          <w:color w:val="auto"/>
        </w:rPr>
        <w:t>，临洪河断面</w:t>
      </w:r>
      <w:r>
        <w:rPr>
          <w:bCs/>
          <w:color w:val="auto"/>
        </w:rPr>
        <w:t>各监测因子均能达到《地表水环境质量标准》（GB3838-2002）</w:t>
      </w:r>
      <w:r>
        <w:rPr>
          <w:rFonts w:hint="eastAsia"/>
          <w:bCs/>
          <w:color w:val="auto"/>
          <w:lang w:eastAsia="zh-CN"/>
        </w:rPr>
        <w:t>Ⅲ</w:t>
      </w:r>
      <w:r>
        <w:rPr>
          <w:rFonts w:hint="eastAsia"/>
          <w:bCs/>
          <w:color w:val="auto"/>
        </w:rPr>
        <w:t>类</w:t>
      </w:r>
      <w:r>
        <w:rPr>
          <w:bCs/>
          <w:color w:val="auto"/>
        </w:rPr>
        <w:t>标准</w:t>
      </w:r>
      <w:r>
        <w:rPr>
          <w:rFonts w:hint="eastAsia"/>
          <w:bCs/>
          <w:color w:val="auto"/>
        </w:rPr>
        <w:t>要求。</w:t>
      </w:r>
    </w:p>
    <w:p w14:paraId="74AB8DC7">
      <w:pPr>
        <w:ind w:firstLine="482"/>
        <w:rPr>
          <w:color w:val="auto"/>
        </w:rPr>
      </w:pPr>
      <w:r>
        <w:rPr>
          <w:b/>
          <w:color w:val="auto"/>
        </w:rPr>
        <w:t>声环境：</w:t>
      </w:r>
      <w:r>
        <w:rPr>
          <w:color w:val="auto"/>
        </w:rPr>
        <w:t>N1~N4点位达到《声环境质量标准》（GB3096-2008）3类标准，项目所在地声环境质量现状良好。</w:t>
      </w:r>
    </w:p>
    <w:p w14:paraId="746AF0D1">
      <w:pPr>
        <w:ind w:firstLine="482"/>
        <w:rPr>
          <w:color w:val="auto"/>
        </w:rPr>
      </w:pPr>
      <w:r>
        <w:rPr>
          <w:b/>
          <w:bCs/>
          <w:color w:val="auto"/>
        </w:rPr>
        <w:t>地下水：</w:t>
      </w:r>
      <w:r>
        <w:rPr>
          <w:color w:val="auto"/>
        </w:rPr>
        <w:t>各监测点位（D1、D2、D3）地下水环境质量现状各监测因子中，各监测点位各项因子均能满足《地下水质量标准》（GB/T14848-2017）Ⅳ类地下水水质以上标准要求。</w:t>
      </w:r>
    </w:p>
    <w:p w14:paraId="45A586EC">
      <w:pPr>
        <w:ind w:firstLine="482"/>
        <w:rPr>
          <w:bCs/>
          <w:color w:val="auto"/>
        </w:rPr>
      </w:pPr>
      <w:r>
        <w:rPr>
          <w:b/>
          <w:color w:val="auto"/>
        </w:rPr>
        <w:t>土壤：</w:t>
      </w:r>
      <w:r>
        <w:rPr>
          <w:bCs/>
          <w:color w:val="auto"/>
        </w:rPr>
        <w:t>T1~T11监测点位的各监测因子均低于《土壤环境质量标准 建设用地土壤污染风险管控标准（试行）》（GB36600-2018）第二类用地筛选值。</w:t>
      </w:r>
    </w:p>
    <w:p w14:paraId="7A35F574">
      <w:pPr>
        <w:ind w:firstLine="480"/>
        <w:rPr>
          <w:bCs/>
          <w:color w:val="auto"/>
        </w:rPr>
      </w:pPr>
    </w:p>
    <w:p w14:paraId="03166EA9">
      <w:pPr>
        <w:pStyle w:val="4"/>
        <w:spacing w:before="163" w:beforeLines="50" w:after="0"/>
        <w:ind w:firstLine="0" w:firstLineChars="0"/>
        <w:rPr>
          <w:color w:val="auto"/>
          <w:sz w:val="30"/>
          <w:szCs w:val="30"/>
        </w:rPr>
      </w:pPr>
      <w:bookmarkStart w:id="251" w:name="_Toc7789"/>
      <w:r>
        <w:rPr>
          <w:rFonts w:hint="eastAsia"/>
          <w:color w:val="auto"/>
          <w:sz w:val="30"/>
          <w:szCs w:val="30"/>
        </w:rPr>
        <w:t>10.3</w:t>
      </w:r>
      <w:r>
        <w:rPr>
          <w:color w:val="auto"/>
          <w:sz w:val="30"/>
          <w:szCs w:val="30"/>
        </w:rPr>
        <w:t xml:space="preserve"> 污染物排放</w:t>
      </w:r>
      <w:r>
        <w:rPr>
          <w:rFonts w:hint="eastAsia"/>
          <w:color w:val="auto"/>
          <w:sz w:val="30"/>
          <w:szCs w:val="30"/>
        </w:rPr>
        <w:t>总量满足控制要求</w:t>
      </w:r>
      <w:bookmarkEnd w:id="251"/>
    </w:p>
    <w:p w14:paraId="0EA00544">
      <w:pPr>
        <w:ind w:firstLine="482"/>
        <w:rPr>
          <w:b/>
          <w:bCs/>
          <w:color w:val="auto"/>
        </w:rPr>
      </w:pPr>
      <w:r>
        <w:rPr>
          <w:rFonts w:hint="eastAsia"/>
          <w:b/>
          <w:bCs/>
          <w:color w:val="auto"/>
        </w:rPr>
        <w:t>1、</w:t>
      </w:r>
      <w:r>
        <w:rPr>
          <w:b/>
          <w:bCs/>
          <w:color w:val="auto"/>
        </w:rPr>
        <w:t>废水</w:t>
      </w:r>
    </w:p>
    <w:p w14:paraId="2BF6BA34">
      <w:pPr>
        <w:ind w:firstLine="480"/>
        <w:rPr>
          <w:color w:val="auto"/>
        </w:rPr>
      </w:pPr>
      <w:r>
        <w:rPr>
          <w:color w:val="auto"/>
        </w:rPr>
        <w:t>本项目废水接管排放，新增生产废水污染因子COD、</w:t>
      </w:r>
      <w:r>
        <w:rPr>
          <w:rFonts w:hint="eastAsia"/>
          <w:color w:val="auto"/>
        </w:rPr>
        <w:t>SS、氨氮、总磷、总氮、总锡、LAS、</w:t>
      </w:r>
      <w:r>
        <w:rPr>
          <w:color w:val="auto"/>
        </w:rPr>
        <w:t>石油类、总铝。</w:t>
      </w:r>
    </w:p>
    <w:p w14:paraId="335225B9">
      <w:pPr>
        <w:ind w:firstLine="480"/>
        <w:rPr>
          <w:color w:val="auto"/>
        </w:rPr>
      </w:pPr>
      <w:r>
        <w:rPr>
          <w:color w:val="auto"/>
        </w:rPr>
        <w:t>（2）废气</w:t>
      </w:r>
    </w:p>
    <w:p w14:paraId="717DF2F6">
      <w:pPr>
        <w:ind w:firstLine="480"/>
        <w:rPr>
          <w:color w:val="auto"/>
        </w:rPr>
      </w:pPr>
      <w:r>
        <w:rPr>
          <w:color w:val="auto"/>
        </w:rPr>
        <w:t>本项目新增废气污染物包括SO</w:t>
      </w:r>
      <w:r>
        <w:rPr>
          <w:color w:val="auto"/>
          <w:vertAlign w:val="subscript"/>
        </w:rPr>
        <w:t>2</w:t>
      </w:r>
      <w:r>
        <w:rPr>
          <w:color w:val="auto"/>
        </w:rPr>
        <w:t>、NOx、颗粒物、硫酸雾、氨、碱雾。</w:t>
      </w:r>
    </w:p>
    <w:p w14:paraId="07DEAF85">
      <w:pPr>
        <w:ind w:firstLine="480"/>
        <w:rPr>
          <w:color w:val="auto"/>
        </w:rPr>
      </w:pPr>
      <w:r>
        <w:rPr>
          <w:color w:val="auto"/>
        </w:rPr>
        <w:t>（3）固废</w:t>
      </w:r>
    </w:p>
    <w:p w14:paraId="05004761">
      <w:pPr>
        <w:ind w:firstLine="480"/>
        <w:rPr>
          <w:color w:val="auto"/>
        </w:rPr>
      </w:pPr>
      <w:r>
        <w:rPr>
          <w:color w:val="auto"/>
        </w:rPr>
        <w:t>所有固废均进行无害化处理，外排量为零。</w:t>
      </w:r>
    </w:p>
    <w:p w14:paraId="76BF0158">
      <w:pPr>
        <w:ind w:firstLine="480"/>
        <w:rPr>
          <w:color w:val="auto"/>
        </w:rPr>
      </w:pPr>
      <w:r>
        <w:rPr>
          <w:color w:val="auto"/>
        </w:rPr>
        <w:t>项目污染物排放总量见表</w:t>
      </w:r>
      <w:r>
        <w:rPr>
          <w:rFonts w:hint="eastAsia"/>
          <w:color w:val="auto"/>
        </w:rPr>
        <w:t>9.3-1和9.3-2</w:t>
      </w:r>
      <w:r>
        <w:rPr>
          <w:color w:val="auto"/>
        </w:rPr>
        <w:t>。</w:t>
      </w:r>
    </w:p>
    <w:p w14:paraId="18A37426">
      <w:pPr>
        <w:ind w:firstLine="480"/>
        <w:rPr>
          <w:color w:val="auto"/>
        </w:rPr>
      </w:pPr>
      <w:r>
        <w:rPr>
          <w:color w:val="auto"/>
        </w:rPr>
        <w:t>按照《江苏省排放污染物总量控制暂行规定》，建设单位的总量控制指标由建设单</w:t>
      </w:r>
      <w:r>
        <w:rPr>
          <w:rFonts w:hint="eastAsia"/>
          <w:color w:val="auto"/>
        </w:rPr>
        <w:t>位</w:t>
      </w:r>
      <w:r>
        <w:rPr>
          <w:color w:val="auto"/>
        </w:rPr>
        <w:t>申请，</w:t>
      </w:r>
      <w:r>
        <w:rPr>
          <w:rFonts w:hint="eastAsia"/>
          <w:color w:val="auto"/>
        </w:rPr>
        <w:t>连云港市</w:t>
      </w:r>
      <w:r>
        <w:rPr>
          <w:color w:val="auto"/>
        </w:rPr>
        <w:t>生态环境局</w:t>
      </w:r>
      <w:r>
        <w:rPr>
          <w:rFonts w:hint="eastAsia"/>
          <w:color w:val="auto"/>
        </w:rPr>
        <w:t>开发区分局</w:t>
      </w:r>
      <w:r>
        <w:rPr>
          <w:color w:val="auto"/>
        </w:rPr>
        <w:t>批准下达，并以排放污染物许可证的形式保证实施。</w:t>
      </w:r>
    </w:p>
    <w:p w14:paraId="51AB8DED">
      <w:pPr>
        <w:pStyle w:val="4"/>
        <w:spacing w:before="163" w:beforeLines="50" w:after="0"/>
        <w:ind w:firstLine="0" w:firstLineChars="0"/>
        <w:rPr>
          <w:color w:val="auto"/>
          <w:sz w:val="30"/>
          <w:szCs w:val="30"/>
        </w:rPr>
      </w:pPr>
      <w:bookmarkStart w:id="252" w:name="_Toc8688"/>
      <w:r>
        <w:rPr>
          <w:rFonts w:hint="eastAsia"/>
          <w:color w:val="auto"/>
          <w:sz w:val="30"/>
          <w:szCs w:val="30"/>
        </w:rPr>
        <w:t>10.4</w:t>
      </w:r>
      <w:r>
        <w:rPr>
          <w:color w:val="auto"/>
          <w:sz w:val="30"/>
          <w:szCs w:val="30"/>
        </w:rPr>
        <w:t xml:space="preserve"> 污染物排放</w:t>
      </w:r>
      <w:r>
        <w:rPr>
          <w:rFonts w:hint="eastAsia"/>
          <w:color w:val="auto"/>
          <w:sz w:val="30"/>
          <w:szCs w:val="30"/>
        </w:rPr>
        <w:t>环境影响可接受</w:t>
      </w:r>
      <w:bookmarkEnd w:id="252"/>
    </w:p>
    <w:p w14:paraId="3D7098CF">
      <w:pPr>
        <w:ind w:firstLine="480"/>
        <w:rPr>
          <w:color w:val="auto"/>
        </w:rPr>
      </w:pPr>
      <w:r>
        <w:rPr>
          <w:color w:val="auto"/>
        </w:rPr>
        <w:t>本项目的污染物采取以下相应治理措施后，各污染物排放能达到国家地方有关排放标准。</w:t>
      </w:r>
    </w:p>
    <w:p w14:paraId="23A323A1">
      <w:pPr>
        <w:ind w:firstLine="480"/>
        <w:rPr>
          <w:color w:val="auto"/>
        </w:rPr>
      </w:pPr>
      <w:r>
        <w:rPr>
          <w:color w:val="auto"/>
        </w:rPr>
        <w:t>（1）废气</w:t>
      </w:r>
    </w:p>
    <w:p w14:paraId="449A9694">
      <w:pPr>
        <w:ind w:firstLine="480"/>
        <w:rPr>
          <w:color w:val="auto"/>
        </w:rPr>
      </w:pPr>
      <w:r>
        <w:rPr>
          <w:color w:val="auto"/>
        </w:rPr>
        <w:t>本项目排放的废气主要有加热炉、时效炉天然气燃烧有组织废气、喷砂废气、阳极氧化工段产生的硫酸雾及碱雾、</w:t>
      </w:r>
      <w:r>
        <w:rPr>
          <w:rFonts w:hint="eastAsia"/>
          <w:color w:val="auto"/>
        </w:rPr>
        <w:t>深</w:t>
      </w:r>
      <w:r>
        <w:rPr>
          <w:color w:val="auto"/>
        </w:rPr>
        <w:t>加工产生的无组织颗粒物以及模具氮化工序产生的碱雾和氨。其中加热炉、时效炉、烘干炉废气经15</w:t>
      </w:r>
      <w:r>
        <w:rPr>
          <w:rFonts w:hint="eastAsia"/>
          <w:color w:val="auto"/>
        </w:rPr>
        <w:t>m</w:t>
      </w:r>
      <w:r>
        <w:rPr>
          <w:color w:val="auto"/>
        </w:rPr>
        <w:t>高的排气筒排放，喷砂粉尘经布袋除尘处理后经15</w:t>
      </w:r>
      <w:r>
        <w:rPr>
          <w:rFonts w:hint="eastAsia"/>
          <w:color w:val="auto"/>
        </w:rPr>
        <w:t>m</w:t>
      </w:r>
      <w:r>
        <w:rPr>
          <w:color w:val="auto"/>
        </w:rPr>
        <w:t>高的排气筒排放，碱雾经</w:t>
      </w:r>
      <w:r>
        <w:rPr>
          <w:rFonts w:hint="eastAsia"/>
          <w:color w:val="auto"/>
        </w:rPr>
        <w:t>二级水</w:t>
      </w:r>
      <w:r>
        <w:rPr>
          <w:color w:val="auto"/>
        </w:rPr>
        <w:t>喷淋塔中和后经</w:t>
      </w:r>
      <w:r>
        <w:rPr>
          <w:rFonts w:hint="eastAsia"/>
          <w:color w:val="auto"/>
        </w:rPr>
        <w:t>30m</w:t>
      </w:r>
      <w:r>
        <w:rPr>
          <w:color w:val="auto"/>
        </w:rPr>
        <w:t>高的排气筒排放，硫酸雾经碱喷淋塔中和后经</w:t>
      </w:r>
      <w:r>
        <w:rPr>
          <w:rFonts w:hint="eastAsia"/>
          <w:color w:val="auto"/>
        </w:rPr>
        <w:t>30m</w:t>
      </w:r>
      <w:r>
        <w:rPr>
          <w:color w:val="auto"/>
        </w:rPr>
        <w:t>高的排气筒排放，模具氮化产生的氨经催化分解后经15</w:t>
      </w:r>
      <w:r>
        <w:rPr>
          <w:rFonts w:hint="eastAsia"/>
          <w:color w:val="auto"/>
        </w:rPr>
        <w:t>m</w:t>
      </w:r>
      <w:r>
        <w:rPr>
          <w:color w:val="auto"/>
        </w:rPr>
        <w:t>高的排气筒排放。</w:t>
      </w:r>
    </w:p>
    <w:p w14:paraId="798F835B">
      <w:pPr>
        <w:ind w:firstLine="480"/>
        <w:rPr>
          <w:color w:val="auto"/>
        </w:rPr>
      </w:pPr>
      <w:r>
        <w:rPr>
          <w:color w:val="auto"/>
        </w:rPr>
        <w:t>预测结果显示，本项目排放的废气对周围大气环境影响较小。</w:t>
      </w:r>
    </w:p>
    <w:p w14:paraId="11AF20DD">
      <w:pPr>
        <w:ind w:firstLine="480"/>
        <w:rPr>
          <w:color w:val="auto"/>
        </w:rPr>
      </w:pPr>
      <w:r>
        <w:rPr>
          <w:color w:val="auto"/>
        </w:rPr>
        <w:t>（2）废水</w:t>
      </w:r>
    </w:p>
    <w:p w14:paraId="068C79DB">
      <w:pPr>
        <w:ind w:firstLine="480"/>
        <w:rPr>
          <w:color w:val="auto"/>
        </w:rPr>
      </w:pPr>
      <w:r>
        <w:rPr>
          <w:color w:val="auto"/>
        </w:rPr>
        <w:t>根据分析，建设项目综合废水经厂区新建污水处理设施处理满足《电镀污染物排放标准》（GB21900</w:t>
      </w:r>
      <w:r>
        <w:rPr>
          <w:rFonts w:hint="eastAsia"/>
          <w:color w:val="auto"/>
        </w:rPr>
        <w:t>-</w:t>
      </w:r>
      <w:r>
        <w:rPr>
          <w:color w:val="auto"/>
        </w:rPr>
        <w:t>2008）、《污水综合排放标准》（GB8978-1996）、《污水排入城镇下水道水质标准》（GB/T31962-2015）以及</w:t>
      </w:r>
      <w:r>
        <w:rPr>
          <w:rFonts w:hint="eastAsia"/>
          <w:color w:val="auto"/>
        </w:rPr>
        <w:t>开发区临港</w:t>
      </w:r>
      <w:r>
        <w:rPr>
          <w:color w:val="auto"/>
        </w:rPr>
        <w:t>污水处理厂根据实际运行能力设定的接管要求后，对</w:t>
      </w:r>
      <w:r>
        <w:rPr>
          <w:rFonts w:hint="eastAsia"/>
          <w:color w:val="auto"/>
        </w:rPr>
        <w:t>开发区临港</w:t>
      </w:r>
      <w:r>
        <w:rPr>
          <w:color w:val="auto"/>
        </w:rPr>
        <w:t>污水处理厂的影响较小，纳入污水处理厂进行达标处理后排放，不会因建设项目的废水排放影响纳污河流</w:t>
      </w:r>
      <w:r>
        <w:rPr>
          <w:rFonts w:hint="eastAsia"/>
          <w:color w:val="auto"/>
        </w:rPr>
        <w:t>大浦河排污通道、临洪河</w:t>
      </w:r>
      <w:r>
        <w:rPr>
          <w:color w:val="auto"/>
        </w:rPr>
        <w:t>的现状水质功能。</w:t>
      </w:r>
    </w:p>
    <w:p w14:paraId="562B898B">
      <w:pPr>
        <w:ind w:firstLine="480"/>
        <w:rPr>
          <w:color w:val="auto"/>
        </w:rPr>
      </w:pPr>
      <w:r>
        <w:rPr>
          <w:color w:val="auto"/>
        </w:rPr>
        <w:t>（3）噪声</w:t>
      </w:r>
    </w:p>
    <w:p w14:paraId="5F48822B">
      <w:pPr>
        <w:ind w:firstLine="480"/>
        <w:rPr>
          <w:color w:val="auto"/>
        </w:rPr>
      </w:pPr>
      <w:r>
        <w:rPr>
          <w:color w:val="auto"/>
        </w:rPr>
        <w:t>根据声环境影响预测，建设项目建成后，预测结果表明，本项目建成后，对厂界噪声影响较小，各厂界的噪声预测值均可达到《工业企业厂界环境噪声排放标准》（GB12348-2008）相应标准限值。</w:t>
      </w:r>
    </w:p>
    <w:p w14:paraId="7BB6A24E">
      <w:pPr>
        <w:ind w:firstLine="480"/>
        <w:rPr>
          <w:color w:val="auto"/>
        </w:rPr>
      </w:pPr>
      <w:r>
        <w:rPr>
          <w:color w:val="auto"/>
        </w:rPr>
        <w:t>（4）地下水</w:t>
      </w:r>
    </w:p>
    <w:p w14:paraId="287D7FC0">
      <w:pPr>
        <w:pStyle w:val="1356"/>
        <w:ind w:firstLine="480"/>
        <w:rPr>
          <w:color w:val="auto"/>
        </w:rPr>
      </w:pPr>
      <w:r>
        <w:rPr>
          <w:color w:val="auto"/>
        </w:rPr>
        <w:t>根据地下水环境影响预测，</w:t>
      </w:r>
      <w:r>
        <w:rPr>
          <w:rFonts w:hint="eastAsia"/>
          <w:color w:val="auto"/>
        </w:rPr>
        <w:t>污染物迁移沿着废水调节池向西侧方向扩散，在预测范围10000天内会影响到厂区边界外水质；在本次预测评价方案条件下，在污染防渗措施有效情况下</w:t>
      </w:r>
      <w:r>
        <w:rPr>
          <w:rFonts w:hint="eastAsia"/>
          <w:color w:val="auto"/>
          <w:lang w:eastAsia="zh-CN"/>
        </w:rPr>
        <w:t>（</w:t>
      </w:r>
      <w:r>
        <w:rPr>
          <w:rFonts w:hint="eastAsia"/>
          <w:color w:val="auto"/>
        </w:rPr>
        <w:t>正常</w:t>
      </w:r>
      <w:r>
        <w:rPr>
          <w:rFonts w:hint="eastAsia"/>
          <w:color w:val="auto"/>
          <w:lang w:val="en-US" w:eastAsia="zh-CN"/>
        </w:rPr>
        <w:t>状况</w:t>
      </w:r>
      <w:r>
        <w:rPr>
          <w:rFonts w:hint="eastAsia"/>
          <w:color w:val="auto"/>
        </w:rPr>
        <w:t>下</w:t>
      </w:r>
      <w:r>
        <w:rPr>
          <w:rFonts w:hint="eastAsia"/>
          <w:color w:val="auto"/>
          <w:lang w:eastAsia="zh-CN"/>
        </w:rPr>
        <w:t>）</w:t>
      </w:r>
      <w:r>
        <w:rPr>
          <w:rFonts w:hint="eastAsia"/>
          <w:color w:val="auto"/>
        </w:rPr>
        <w:t>，废水调节池对区域地下水水质影响较小；在污染防渗措施局部失效发生泄漏的情况下</w:t>
      </w:r>
      <w:r>
        <w:rPr>
          <w:rFonts w:hint="eastAsia"/>
          <w:color w:val="auto"/>
          <w:lang w:eastAsia="zh-CN"/>
        </w:rPr>
        <w:t>（</w:t>
      </w:r>
      <w:r>
        <w:rPr>
          <w:rFonts w:hint="eastAsia"/>
          <w:color w:val="auto"/>
        </w:rPr>
        <w:t>非正常</w:t>
      </w:r>
      <w:r>
        <w:rPr>
          <w:rFonts w:hint="eastAsia"/>
          <w:color w:val="auto"/>
          <w:lang w:val="en-US" w:eastAsia="zh-CN"/>
        </w:rPr>
        <w:t>状况下）</w:t>
      </w:r>
      <w:r>
        <w:rPr>
          <w:rFonts w:hint="eastAsia"/>
          <w:color w:val="auto"/>
        </w:rPr>
        <w:t>，会在厂区及周边一定范围内污染地下水；污染物浓度随时间变化过程显示：无论是正常</w:t>
      </w:r>
      <w:r>
        <w:rPr>
          <w:rFonts w:hint="eastAsia"/>
          <w:color w:val="auto"/>
          <w:lang w:val="en-US" w:eastAsia="zh-CN"/>
        </w:rPr>
        <w:t>状况</w:t>
      </w:r>
      <w:r>
        <w:rPr>
          <w:rFonts w:hint="eastAsia"/>
          <w:color w:val="auto"/>
        </w:rPr>
        <w:t>还是非正常</w:t>
      </w:r>
      <w:r>
        <w:rPr>
          <w:rFonts w:hint="eastAsia"/>
          <w:color w:val="auto"/>
          <w:lang w:val="en-US" w:eastAsia="zh-CN"/>
        </w:rPr>
        <w:t>状况</w:t>
      </w:r>
      <w:r>
        <w:rPr>
          <w:rFonts w:hint="eastAsia"/>
          <w:color w:val="auto"/>
        </w:rPr>
        <w:t>下，</w:t>
      </w:r>
      <w:r>
        <w:rPr>
          <w:rFonts w:hint="eastAsia"/>
          <w:color w:val="auto"/>
          <w:lang w:val="en-US" w:eastAsia="zh-CN"/>
        </w:rPr>
        <w:t>耗氧量</w:t>
      </w:r>
      <w:r>
        <w:rPr>
          <w:rFonts w:hint="eastAsia"/>
          <w:color w:val="auto"/>
        </w:rPr>
        <w:t>、总铝和总锡运移速度总体很慢，运移范围不大。10000天后，废水调节池污染物最大运移距离是</w:t>
      </w:r>
      <w:r>
        <w:rPr>
          <w:rFonts w:hint="eastAsia"/>
          <w:color w:val="auto"/>
          <w:lang w:val="en-US" w:eastAsia="zh-CN"/>
        </w:rPr>
        <w:t>耗氧量</w:t>
      </w:r>
      <w:r>
        <w:rPr>
          <w:rFonts w:hint="eastAsia"/>
          <w:color w:val="auto"/>
        </w:rPr>
        <w:t>污染物运移了34.5m；在采取防渗措施并开展跟踪监测，发现污染及时处理的情况下，项目运行对周边地下水影响可接受。</w:t>
      </w:r>
    </w:p>
    <w:p w14:paraId="719AB480">
      <w:pPr>
        <w:ind w:firstLine="480"/>
        <w:rPr>
          <w:color w:val="auto"/>
        </w:rPr>
      </w:pPr>
      <w:r>
        <w:rPr>
          <w:color w:val="auto"/>
        </w:rPr>
        <w:t>（5）土壤</w:t>
      </w:r>
    </w:p>
    <w:p w14:paraId="570B84D7">
      <w:pPr>
        <w:ind w:firstLine="480"/>
        <w:rPr>
          <w:color w:val="auto"/>
        </w:rPr>
      </w:pPr>
      <w:r>
        <w:rPr>
          <w:color w:val="auto"/>
        </w:rPr>
        <w:t>本项目评价范围内土壤环境质量可达到相应标准要求，土壤环境影响在可接受范围内，在采取充分的防控措施及具备完备的环境管理与监测计划的情况下，土壤环境的影响总体可控。</w:t>
      </w:r>
    </w:p>
    <w:p w14:paraId="6FF40D23">
      <w:pPr>
        <w:ind w:firstLine="480"/>
        <w:rPr>
          <w:color w:val="auto"/>
        </w:rPr>
      </w:pPr>
      <w:r>
        <w:rPr>
          <w:color w:val="auto"/>
        </w:rPr>
        <w:t>（6）固废</w:t>
      </w:r>
    </w:p>
    <w:p w14:paraId="00A8DA2D">
      <w:pPr>
        <w:ind w:firstLine="480"/>
        <w:rPr>
          <w:color w:val="auto"/>
        </w:rPr>
      </w:pPr>
      <w:r>
        <w:rPr>
          <w:rFonts w:hint="eastAsia"/>
          <w:color w:val="auto"/>
        </w:rPr>
        <w:t>各类</w:t>
      </w:r>
      <w:r>
        <w:rPr>
          <w:color w:val="auto"/>
        </w:rPr>
        <w:t>固体废物处理措施合理，可实现固体废物零排放，建设项目固体废物不会对环境产生明显影响。</w:t>
      </w:r>
    </w:p>
    <w:p w14:paraId="68C69788">
      <w:pPr>
        <w:ind w:firstLine="480"/>
        <w:rPr>
          <w:color w:val="auto"/>
        </w:rPr>
      </w:pPr>
      <w:r>
        <w:rPr>
          <w:color w:val="auto"/>
        </w:rPr>
        <w:t>因此，建设项目排放的污染物对周边环境影响可接受。</w:t>
      </w:r>
    </w:p>
    <w:p w14:paraId="25B03C89">
      <w:pPr>
        <w:pStyle w:val="4"/>
        <w:spacing w:before="163" w:beforeLines="50" w:after="0"/>
        <w:ind w:firstLine="0" w:firstLineChars="0"/>
        <w:rPr>
          <w:color w:val="auto"/>
          <w:sz w:val="30"/>
          <w:szCs w:val="30"/>
        </w:rPr>
      </w:pPr>
      <w:bookmarkStart w:id="253" w:name="_Toc23188"/>
      <w:r>
        <w:rPr>
          <w:rFonts w:hint="eastAsia"/>
          <w:color w:val="auto"/>
          <w:sz w:val="30"/>
          <w:szCs w:val="30"/>
        </w:rPr>
        <w:t>10.5</w:t>
      </w:r>
      <w:r>
        <w:rPr>
          <w:color w:val="auto"/>
          <w:sz w:val="30"/>
          <w:szCs w:val="30"/>
        </w:rPr>
        <w:t xml:space="preserve"> </w:t>
      </w:r>
      <w:r>
        <w:rPr>
          <w:rFonts w:hint="eastAsia"/>
          <w:color w:val="auto"/>
          <w:sz w:val="30"/>
          <w:szCs w:val="30"/>
        </w:rPr>
        <w:t>环境保护措施可行性</w:t>
      </w:r>
      <w:bookmarkEnd w:id="253"/>
    </w:p>
    <w:p w14:paraId="750F29EF">
      <w:pPr>
        <w:ind w:firstLine="480"/>
        <w:rPr>
          <w:color w:val="auto"/>
        </w:rPr>
      </w:pPr>
      <w:r>
        <w:rPr>
          <w:color w:val="auto"/>
        </w:rPr>
        <w:t>本项目废气处理后达标排放；综合废水经厂区污水处理设施处理预处理满足《电镀污染物排放标准》（GB21900</w:t>
      </w:r>
      <w:r>
        <w:rPr>
          <w:rFonts w:hint="eastAsia"/>
          <w:color w:val="auto"/>
        </w:rPr>
        <w:t>-</w:t>
      </w:r>
      <w:r>
        <w:rPr>
          <w:color w:val="auto"/>
        </w:rPr>
        <w:t>2008）、《污水综合排放标准》（GB8978-1996）、《污水排入城镇下水道水质标准》（GB/T31962-2015）以及</w:t>
      </w:r>
      <w:r>
        <w:rPr>
          <w:rFonts w:hint="eastAsia"/>
          <w:color w:val="auto"/>
        </w:rPr>
        <w:t>开发区临港</w:t>
      </w:r>
      <w:r>
        <w:rPr>
          <w:color w:val="auto"/>
        </w:rPr>
        <w:t>污水处理厂根据实际运行能力设定的接管要求后，接管排入</w:t>
      </w:r>
      <w:r>
        <w:rPr>
          <w:rFonts w:hint="eastAsia"/>
          <w:color w:val="auto"/>
        </w:rPr>
        <w:t>开发区临港</w:t>
      </w:r>
      <w:r>
        <w:rPr>
          <w:color w:val="auto"/>
        </w:rPr>
        <w:t>污水处理厂集中处理；主要噪声设备都安置在室内，并采取了减振、隔声等措施，厂界处噪声能够达标；固体废物均得到妥善处置实现了固废零排放。在采取相应的风险防范措施后，本项目风险值可控制在环境的可接受程度之内。因此，本项目采取的污染防治措施合理可靠，污染物可达标排放。</w:t>
      </w:r>
    </w:p>
    <w:p w14:paraId="61C8B1AE">
      <w:pPr>
        <w:pStyle w:val="4"/>
        <w:spacing w:before="163" w:beforeLines="50" w:after="0"/>
        <w:ind w:firstLine="0" w:firstLineChars="0"/>
        <w:rPr>
          <w:color w:val="auto"/>
          <w:sz w:val="30"/>
          <w:szCs w:val="30"/>
        </w:rPr>
      </w:pPr>
      <w:bookmarkStart w:id="254" w:name="_Toc27987"/>
      <w:r>
        <w:rPr>
          <w:rFonts w:hint="eastAsia"/>
          <w:color w:val="auto"/>
          <w:sz w:val="30"/>
          <w:szCs w:val="30"/>
        </w:rPr>
        <w:t>10.6</w:t>
      </w:r>
      <w:r>
        <w:rPr>
          <w:color w:val="auto"/>
          <w:sz w:val="30"/>
          <w:szCs w:val="30"/>
        </w:rPr>
        <w:t xml:space="preserve"> 环境影响经济损益分析</w:t>
      </w:r>
      <w:bookmarkEnd w:id="254"/>
    </w:p>
    <w:p w14:paraId="6B5543CA">
      <w:pPr>
        <w:ind w:firstLine="480"/>
        <w:rPr>
          <w:color w:val="auto"/>
        </w:rPr>
      </w:pPr>
      <w:r>
        <w:rPr>
          <w:color w:val="auto"/>
        </w:rPr>
        <w:t>根据前述分析，本项目的建设可带动地方经济的发展，且项目具有良好的经济效益，项目在实施过程中严格执行“三同时”制度和污染防治措施后，各项污染物可实现达标排放，项目具有较好的环境经济效益。</w:t>
      </w:r>
    </w:p>
    <w:p w14:paraId="41168595">
      <w:pPr>
        <w:pStyle w:val="4"/>
        <w:spacing w:before="163" w:beforeLines="50" w:after="0"/>
        <w:ind w:firstLine="0" w:firstLineChars="0"/>
        <w:rPr>
          <w:color w:val="auto"/>
          <w:sz w:val="30"/>
          <w:szCs w:val="30"/>
        </w:rPr>
      </w:pPr>
      <w:bookmarkStart w:id="255" w:name="_Toc11393"/>
      <w:r>
        <w:rPr>
          <w:rFonts w:hint="eastAsia"/>
          <w:color w:val="auto"/>
          <w:sz w:val="30"/>
          <w:szCs w:val="30"/>
        </w:rPr>
        <w:t>10.7</w:t>
      </w:r>
      <w:r>
        <w:rPr>
          <w:color w:val="auto"/>
          <w:sz w:val="30"/>
          <w:szCs w:val="30"/>
        </w:rPr>
        <w:t xml:space="preserve"> 环境管理与监测计划</w:t>
      </w:r>
      <w:bookmarkEnd w:id="255"/>
    </w:p>
    <w:p w14:paraId="180F7FDF">
      <w:pPr>
        <w:ind w:firstLine="480"/>
        <w:rPr>
          <w:color w:val="auto"/>
        </w:rPr>
      </w:pPr>
      <w:r>
        <w:rPr>
          <w:color w:val="auto"/>
        </w:rPr>
        <w:t>本次环评提出了环境管理及监测计划，建设单位应参照执行，必须制定全面的、长期的环境管理制度，落实环境影响报告书提出的主要环保措施、环境监测计划，及“三同时”验收内容。</w:t>
      </w:r>
    </w:p>
    <w:p w14:paraId="25A94037">
      <w:pPr>
        <w:pStyle w:val="4"/>
        <w:spacing w:before="163" w:beforeLines="50" w:after="0"/>
        <w:ind w:firstLine="0" w:firstLineChars="0"/>
        <w:rPr>
          <w:color w:val="auto"/>
          <w:sz w:val="30"/>
          <w:szCs w:val="30"/>
        </w:rPr>
      </w:pPr>
      <w:bookmarkStart w:id="256" w:name="_Toc16488"/>
      <w:r>
        <w:rPr>
          <w:rFonts w:hint="eastAsia"/>
          <w:color w:val="auto"/>
          <w:sz w:val="30"/>
          <w:szCs w:val="30"/>
        </w:rPr>
        <w:t>10.8</w:t>
      </w:r>
      <w:r>
        <w:rPr>
          <w:color w:val="auto"/>
          <w:sz w:val="30"/>
          <w:szCs w:val="30"/>
        </w:rPr>
        <w:t xml:space="preserve"> 公众参与采纳情况</w:t>
      </w:r>
      <w:bookmarkEnd w:id="256"/>
    </w:p>
    <w:p w14:paraId="69114C47">
      <w:pPr>
        <w:spacing w:line="500" w:lineRule="exact"/>
        <w:ind w:firstLine="480"/>
        <w:rPr>
          <w:color w:val="auto"/>
          <w:szCs w:val="21"/>
          <w:lang w:bidi="ar"/>
        </w:rPr>
      </w:pPr>
      <w:r>
        <w:rPr>
          <w:color w:val="auto"/>
          <w:szCs w:val="21"/>
          <w:lang w:bidi="ar"/>
        </w:rPr>
        <w:t>环评期间，建设单位通过现场公示、报纸公示和网络公示等形式开展了公众参与工作。在现场公示、报纸公示和网络公示期间，未接到反馈意见，本次环评无采纳意见。</w:t>
      </w:r>
    </w:p>
    <w:p w14:paraId="57A838E0">
      <w:pPr>
        <w:pStyle w:val="4"/>
        <w:spacing w:before="163" w:beforeLines="50" w:after="0"/>
        <w:ind w:firstLine="0" w:firstLineChars="0"/>
        <w:rPr>
          <w:color w:val="auto"/>
          <w:sz w:val="30"/>
          <w:szCs w:val="30"/>
        </w:rPr>
      </w:pPr>
      <w:bookmarkStart w:id="257" w:name="_Toc10576"/>
      <w:r>
        <w:rPr>
          <w:rFonts w:hint="eastAsia"/>
          <w:color w:val="auto"/>
          <w:sz w:val="30"/>
          <w:szCs w:val="30"/>
        </w:rPr>
        <w:t>10.9</w:t>
      </w:r>
      <w:r>
        <w:rPr>
          <w:color w:val="auto"/>
          <w:sz w:val="30"/>
          <w:szCs w:val="30"/>
        </w:rPr>
        <w:t xml:space="preserve"> 总结论</w:t>
      </w:r>
      <w:r>
        <w:rPr>
          <w:rFonts w:hint="eastAsia"/>
          <w:color w:val="auto"/>
          <w:sz w:val="30"/>
          <w:szCs w:val="30"/>
        </w:rPr>
        <w:t>与建议</w:t>
      </w:r>
      <w:bookmarkEnd w:id="257"/>
    </w:p>
    <w:p w14:paraId="6B9AD798">
      <w:pPr>
        <w:spacing w:before="163" w:beforeLines="50"/>
        <w:ind w:firstLine="0" w:firstLineChars="0"/>
        <w:outlineLvl w:val="2"/>
        <w:rPr>
          <w:b/>
          <w:color w:val="auto"/>
        </w:rPr>
      </w:pPr>
      <w:r>
        <w:rPr>
          <w:rFonts w:hint="eastAsia"/>
          <w:b/>
          <w:color w:val="auto"/>
        </w:rPr>
        <w:t>10.9.1 总结论</w:t>
      </w:r>
    </w:p>
    <w:p w14:paraId="2E4DC37A">
      <w:pPr>
        <w:ind w:firstLine="480"/>
        <w:rPr>
          <w:bCs/>
          <w:color w:val="auto"/>
        </w:rPr>
      </w:pPr>
      <w:r>
        <w:rPr>
          <w:rFonts w:hint="eastAsia"/>
          <w:bCs/>
          <w:color w:val="auto"/>
        </w:rPr>
        <w:t>本报告经分析论证和预测评价后认为，本项目符合国家产业政策的要求，与区域规划相容、选址合理，污染防治措施技术及经济可行，满足总量控制的要求。在落实本报告书提出的风险防范措施、环境污染治理和环境管理措施的情况下，污染物均能实现达标排放且对环境影响可接受。从环保角度来讲，建设项目在拟建地建设是可行的。</w:t>
      </w:r>
    </w:p>
    <w:p w14:paraId="7850F077">
      <w:pPr>
        <w:spacing w:before="163" w:beforeLines="50"/>
        <w:ind w:firstLine="0" w:firstLineChars="0"/>
        <w:outlineLvl w:val="2"/>
        <w:rPr>
          <w:b/>
          <w:color w:val="auto"/>
        </w:rPr>
      </w:pPr>
      <w:r>
        <w:rPr>
          <w:rFonts w:hint="eastAsia"/>
          <w:b/>
          <w:color w:val="auto"/>
        </w:rPr>
        <w:t>10.9.2 建议</w:t>
      </w:r>
    </w:p>
    <w:p w14:paraId="5425FA91">
      <w:pPr>
        <w:ind w:firstLine="480"/>
        <w:rPr>
          <w:bCs/>
          <w:color w:val="auto"/>
        </w:rPr>
      </w:pPr>
      <w:r>
        <w:rPr>
          <w:rFonts w:hint="eastAsia"/>
          <w:bCs/>
          <w:color w:val="auto"/>
        </w:rPr>
        <w:t>针对建设项目的建设特点，环评单位提出如下措施，请建设单位参照执行。</w:t>
      </w:r>
    </w:p>
    <w:p w14:paraId="500A77E6">
      <w:pPr>
        <w:ind w:firstLine="480"/>
        <w:rPr>
          <w:bCs/>
          <w:color w:val="auto"/>
        </w:rPr>
      </w:pPr>
      <w:r>
        <w:rPr>
          <w:rFonts w:hint="eastAsia"/>
          <w:bCs/>
          <w:color w:val="auto"/>
        </w:rPr>
        <w:t>（1）认真执行建设项目环境保护管理文件的精神，建立健全各项环保规章制度，严格执行“三同时”制度。</w:t>
      </w:r>
    </w:p>
    <w:p w14:paraId="3CA6899F">
      <w:pPr>
        <w:ind w:firstLine="480"/>
        <w:rPr>
          <w:bCs/>
          <w:color w:val="auto"/>
        </w:rPr>
      </w:pPr>
      <w:r>
        <w:rPr>
          <w:rFonts w:hint="eastAsia"/>
          <w:bCs/>
          <w:color w:val="auto"/>
        </w:rPr>
        <w:t>（2）加强原料及产品的储、运管理，防止事故的发生。</w:t>
      </w:r>
    </w:p>
    <w:p w14:paraId="5BFA7526">
      <w:pPr>
        <w:ind w:firstLine="480"/>
        <w:rPr>
          <w:bCs/>
          <w:color w:val="auto"/>
        </w:rPr>
      </w:pPr>
      <w:r>
        <w:rPr>
          <w:rFonts w:hint="eastAsia"/>
          <w:bCs/>
          <w:color w:val="auto"/>
        </w:rPr>
        <w:t>（3）加强固体废物尤其是危险废物在厂内堆存期间的环境管理，防止对地下水和土壤的污染。</w:t>
      </w:r>
    </w:p>
    <w:p w14:paraId="326D0B39">
      <w:pPr>
        <w:ind w:firstLine="480"/>
        <w:rPr>
          <w:bCs/>
          <w:color w:val="auto"/>
        </w:rPr>
      </w:pPr>
      <w:r>
        <w:rPr>
          <w:rFonts w:hint="eastAsia"/>
          <w:bCs/>
          <w:color w:val="auto"/>
        </w:rPr>
        <w:t>（4）采取有效措施防止发生各种事故，应强化风险意识，完善应急措施，对具有较大危险因素的生产岗位进行定期检修和检查，制定完善的事故防范措施和计划。</w:t>
      </w:r>
    </w:p>
    <w:p w14:paraId="1C544A13">
      <w:pPr>
        <w:ind w:firstLine="480"/>
        <w:rPr>
          <w:bCs/>
          <w:color w:val="auto"/>
        </w:rPr>
      </w:pPr>
      <w:r>
        <w:rPr>
          <w:rFonts w:hint="eastAsia"/>
          <w:bCs/>
          <w:color w:val="auto"/>
        </w:rPr>
        <w:t>（5）加强建设项目的环境管理和环境监测。设专职环境管理人员，按报告书的要求认真落实环境监测计划。</w:t>
      </w:r>
    </w:p>
    <w:p w14:paraId="68AA6F80">
      <w:pPr>
        <w:ind w:firstLine="480"/>
        <w:rPr>
          <w:bCs/>
          <w:color w:val="auto"/>
        </w:rPr>
      </w:pPr>
      <w:r>
        <w:rPr>
          <w:rFonts w:hint="eastAsia"/>
          <w:bCs/>
          <w:color w:val="auto"/>
        </w:rPr>
        <w:t>（6）确保污染治理设施长期、稳定、有效地运行，不得擅自拆除或者闲置废气处理设备和污水治理设施等，不得故意不正常使用污染治理设施。</w:t>
      </w:r>
    </w:p>
    <w:p w14:paraId="6D846EF8">
      <w:pPr>
        <w:ind w:firstLine="480"/>
        <w:rPr>
          <w:bCs/>
          <w:color w:val="auto"/>
        </w:rPr>
      </w:pPr>
    </w:p>
    <w:sectPr>
      <w:pgSz w:w="11906" w:h="16838"/>
      <w:pgMar w:top="1361" w:right="1361" w:bottom="1361" w:left="1361"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TimesNewRoman">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宋">
    <w:altName w:val="宋体"/>
    <w:panose1 w:val="00000000000000000000"/>
    <w:charset w:val="86"/>
    <w:family w:val="roman"/>
    <w:pitch w:val="default"/>
    <w:sig w:usb0="00000000" w:usb1="00000000" w:usb2="00000000" w:usb3="00000000" w:csb0="00000000" w:csb1="00000000"/>
  </w:font>
  <w:font w:name="MS Mincho">
    <w:altName w:val="MS UI Gothic"/>
    <w:panose1 w:val="02020609040205080304"/>
    <w:charset w:val="80"/>
    <w:family w:val="modern"/>
    <w:pitch w:val="default"/>
    <w:sig w:usb0="00000000" w:usb1="00000000" w:usb2="08000012" w:usb3="00000000" w:csb0="0002009F" w:csb1="00000000"/>
  </w:font>
  <w:font w:name="MS UI Gothic">
    <w:panose1 w:val="020B0600070205080204"/>
    <w:charset w:val="80"/>
    <w:family w:val="auto"/>
    <w:pitch w:val="default"/>
    <w:sig w:usb0="E00002FF" w:usb1="6AC7FDFB" w:usb2="08000012" w:usb3="00000000" w:csb0="4002009F" w:csb1="DFD70000"/>
  </w:font>
  <w:font w:name="華康中楷體">
    <w:altName w:val="Arial Unicode MS"/>
    <w:panose1 w:val="00000000000000000000"/>
    <w:charset w:val="88"/>
    <w:family w:val="roman"/>
    <w:pitch w:val="default"/>
    <w:sig w:usb0="00000000" w:usb1="00000000" w:usb2="00000010" w:usb3="00000000" w:csb0="00100000" w:csb1="00000000"/>
  </w:font>
  <w:font w:name="Arial Unicode MS">
    <w:panose1 w:val="020B0604020202020204"/>
    <w:charset w:val="86"/>
    <w:family w:val="swiss"/>
    <w:pitch w:val="default"/>
    <w:sig w:usb0="F7FFAEFF" w:usb1="F9DFFFFF" w:usb2="0000007F" w:usb3="00000000" w:csb0="203F01FF" w:csb1="DFFF0000"/>
  </w:font>
  <w:font w:name="幼圆">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仿宋体">
    <w:altName w:val="仿宋"/>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CommercialPi BT">
    <w:altName w:val="AMGDT"/>
    <w:panose1 w:val="00000000000000000000"/>
    <w:charset w:val="02"/>
    <w:family w:val="roman"/>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imes New Roman;Symbol;Arial;婼">
    <w:altName w:val="黑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roman"/>
    <w:pitch w:val="default"/>
    <w:sig w:usb0="00000000" w:usb1="00000000" w:usb2="00000000" w:usb3="00000000" w:csb0="00000001" w:csb1="00000000"/>
  </w:font>
  <w:font w:name="汉鼎简书宋">
    <w:altName w:val="宋体"/>
    <w:panose1 w:val="00000000000000000000"/>
    <w:charset w:val="00"/>
    <w:family w:val="roman"/>
    <w:pitch w:val="default"/>
    <w:sig w:usb0="00000000" w:usb1="00000000" w:usb2="00000000" w:usb3="00000000" w:csb0="00000000" w:csb1="00000000"/>
  </w:font>
  <w:font w:name="Bookman Old Style">
    <w:panose1 w:val="02050604050505020204"/>
    <w:charset w:val="00"/>
    <w:family w:val="roman"/>
    <w:pitch w:val="default"/>
    <w:sig w:usb0="00000287" w:usb1="00000000" w:usb2="00000000" w:usb3="00000000" w:csb0="2000009F" w:csb1="DFD70000"/>
  </w:font>
  <w:font w:name="PMingLiU">
    <w:altName w:val="PMingLiU-ExtB"/>
    <w:panose1 w:val="02010601000101010101"/>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宋三简体">
    <w:altName w:val="宋体"/>
    <w:panose1 w:val="00000000000000000000"/>
    <w:charset w:val="86"/>
    <w:family w:val="auto"/>
    <w:pitch w:val="default"/>
    <w:sig w:usb0="00000000" w:usb1="00000000" w:usb2="00000010" w:usb3="00000000" w:csb0="00040000" w:csb1="00000000"/>
  </w:font>
  <w:font w:name="á￥êé">
    <w:altName w:val="宋体"/>
    <w:panose1 w:val="00000000000000000000"/>
    <w:charset w:val="86"/>
    <w:family w:val="roman"/>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FKai-SB">
    <w:altName w:val="Arial Unicode MS"/>
    <w:panose1 w:val="00000000000000000000"/>
    <w:charset w:val="88"/>
    <w:family w:val="roman"/>
    <w:pitch w:val="default"/>
    <w:sig w:usb0="00000000" w:usb1="00000000" w:usb2="00000016" w:usb3="00000000" w:csb0="00100001" w:csb1="00000000"/>
  </w:font>
  <w:font w:name="MingLiU">
    <w:altName w:val="PMingLiU-ExtB"/>
    <w:panose1 w:val="02010609000101010101"/>
    <w:charset w:val="88"/>
    <w:family w:val="modern"/>
    <w:pitch w:val="default"/>
    <w:sig w:usb0="00000000" w:usb1="00000000" w:usb2="00000016" w:usb3="00000000" w:csb0="00100001" w:csb1="00000000"/>
  </w:font>
  <w:font w:name="Garamond">
    <w:panose1 w:val="02020404030301010803"/>
    <w:charset w:val="00"/>
    <w:family w:val="roman"/>
    <w:pitch w:val="default"/>
    <w:sig w:usb0="00000287" w:usb1="00000000" w:usb2="00000000" w:usb3="00000000" w:csb0="0000009F" w:csb1="DFD70000"/>
  </w:font>
  <w:font w:name="..">
    <w:altName w:val="宋体"/>
    <w:panose1 w:val="00000000000000000000"/>
    <w:charset w:val="86"/>
    <w:family w:val="auto"/>
    <w:pitch w:val="default"/>
    <w:sig w:usb0="00000000" w:usb1="00000000" w:usb2="00000010" w:usb3="00000000" w:csb0="00040000"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Sim Sun">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Century">
    <w:panose1 w:val="02040604050505020304"/>
    <w:charset w:val="00"/>
    <w:family w:val="roman"/>
    <w:pitch w:val="default"/>
    <w:sig w:usb0="00000287" w:usb1="00000000" w:usb2="00000000" w:usb3="00000000" w:csb0="2000009F" w:csb1="DFD70000"/>
  </w:font>
  <w:font w:name="华文新魏">
    <w:panose1 w:val="02010800040101010101"/>
    <w:charset w:val="86"/>
    <w:family w:val="auto"/>
    <w:pitch w:val="default"/>
    <w:sig w:usb0="00000001" w:usb1="080F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MHei-Medium">
    <w:altName w:val="Segoe Print"/>
    <w:panose1 w:val="00000000000000000000"/>
    <w:charset w:val="00"/>
    <w:family w:val="roman"/>
    <w:pitch w:val="default"/>
    <w:sig w:usb0="00000000" w:usb1="00000000" w:usb2="00000000" w:usb3="00000000" w:csb0="00000000" w:csb1="00000000"/>
  </w:font>
  <w:font w:name="華康中明體">
    <w:altName w:val="Arial Unicode MS"/>
    <w:panose1 w:val="00000000000000000000"/>
    <w:charset w:val="86"/>
    <w:family w:val="roman"/>
    <w:pitch w:val="default"/>
    <w:sig w:usb0="00000000" w:usb1="00000000" w:usb2="00000000" w:usb3="00000000" w:csb0="00000000" w:csb1="00000000"/>
  </w:font>
  <w:font w:name="華康粗黑體">
    <w:altName w:val="Arial Unicode MS"/>
    <w:panose1 w:val="00000000000000000000"/>
    <w:charset w:val="86"/>
    <w:family w:val="roman"/>
    <w:pitch w:val="default"/>
    <w:sig w:usb0="00000000" w:usb1="00000000" w:usb2="00000000" w:usb3="00000000" w:csb0="00000000" w:csb1="00000000"/>
  </w:font>
  <w:font w:name="五">
    <w:altName w:val="黑体"/>
    <w:panose1 w:val="00000000000000000000"/>
    <w:charset w:val="00"/>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Alaska">
    <w:altName w:val="Lucida Sans Unicode"/>
    <w:panose1 w:val="00000000000000000000"/>
    <w:charset w:val="00"/>
    <w:family w:val="swiss"/>
    <w:pitch w:val="default"/>
    <w:sig w:usb0="00000000" w:usb1="00000000" w:usb2="00000000" w:usb3="00000000" w:csb0="00000011" w:csb1="00000000"/>
  </w:font>
  <w:font w:name="Lucida Sans Unicode">
    <w:panose1 w:val="020B0602030504020204"/>
    <w:charset w:val="00"/>
    <w:family w:val="auto"/>
    <w:pitch w:val="default"/>
    <w:sig w:usb0="80001AFF" w:usb1="0000396B" w:usb2="00000000" w:usb3="00000000" w:csb0="200000BF" w:csb1="D7F70000"/>
  </w:font>
  <w:font w:name="CG Times (W1)">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DejaVu Math TeX Gyre">
    <w:panose1 w:val="02000503000000000000"/>
    <w:charset w:val="00"/>
    <w:family w:val="auto"/>
    <w:pitch w:val="default"/>
    <w:sig w:usb0="A10000EF" w:usb1="4201F9EE" w:usb2="02000000" w:usb3="00000000" w:csb0="60000193" w:csb1="0DD4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6B294">
    <w:pPr>
      <w:pStyle w:val="5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1EA11">
    <w:pPr>
      <w:pStyle w:val="55"/>
      <w:ind w:firstLine="360"/>
    </w:pPr>
    <w:r>
      <w:fldChar w:fldCharType="begin"/>
    </w:r>
    <w:r>
      <w:rPr>
        <w:rStyle w:val="136"/>
      </w:rPr>
      <w:instrText xml:space="preserve">PAGE  </w:instrText>
    </w:r>
    <w:r>
      <w:fldChar w:fldCharType="separate"/>
    </w:r>
    <w:r>
      <w:rPr>
        <w:rStyle w:val="136"/>
      </w:rPr>
      <w:t>166</w:t>
    </w:r>
    <w:r>
      <w:fldChar w:fldCharType="end"/>
    </w:r>
    <w:r>
      <w:rPr>
        <w:rStyle w:val="136"/>
        <w:rFonts w:hint="eastAsia"/>
      </w:rPr>
      <w:t xml:space="preserve">                                                                              </w:t>
    </w:r>
    <w:r>
      <w:rPr>
        <w:rFonts w:hint="eastAsia"/>
      </w:rPr>
      <w:t>江苏省环境科学研究院</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57335">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E7CE">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3602043"/>
    </w:sdtPr>
    <w:sdtContent>
      <w:p w14:paraId="6E45B913">
        <w:pPr>
          <w:pStyle w:val="55"/>
          <w:ind w:firstLine="360"/>
          <w:jc w:val="center"/>
        </w:pPr>
        <w:r>
          <w:fldChar w:fldCharType="begin"/>
        </w:r>
        <w:r>
          <w:instrText xml:space="preserve">PAGE   \* MERGEFORMAT</w:instrText>
        </w:r>
        <w:r>
          <w:fldChar w:fldCharType="separate"/>
        </w:r>
        <w:r>
          <w:rPr>
            <w:lang w:val="zh-CN"/>
          </w:rPr>
          <w:t>III</w:t>
        </w:r>
        <w:r>
          <w:fldChar w:fldCharType="end"/>
        </w:r>
      </w:p>
    </w:sdtContent>
  </w:sdt>
  <w:p w14:paraId="03D9F396">
    <w:pPr>
      <w:pStyle w:val="55"/>
      <w:ind w:right="360" w:firstLine="360"/>
      <w:rPr>
        <w:rFonts w:eastAsia="楷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3178544"/>
    </w:sdtPr>
    <w:sdtContent>
      <w:p w14:paraId="683D01A6">
        <w:pPr>
          <w:pStyle w:val="55"/>
          <w:ind w:firstLine="0" w:firstLineChars="0"/>
          <w:jc w:val="center"/>
        </w:pPr>
        <w:r>
          <w:fldChar w:fldCharType="begin"/>
        </w:r>
        <w:r>
          <w:instrText xml:space="preserve">PAGE   \* MERGEFORMAT</w:instrText>
        </w:r>
        <w:r>
          <w:fldChar w:fldCharType="separate"/>
        </w:r>
        <w:r>
          <w:rPr>
            <w:lang w:val="zh-CN"/>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6190"/>
    </w:sdtPr>
    <w:sdtContent>
      <w:p w14:paraId="32C92F52">
        <w:pPr>
          <w:pStyle w:val="55"/>
          <w:ind w:firstLine="0" w:firstLineChars="0"/>
          <w:jc w:val="center"/>
        </w:pPr>
        <w:r>
          <w:fldChar w:fldCharType="begin"/>
        </w:r>
        <w:r>
          <w:instrText xml:space="preserve">PAGE   \* MERGEFORMAT</w:instrText>
        </w:r>
        <w:r>
          <w:fldChar w:fldCharType="separate"/>
        </w:r>
        <w:r>
          <w:rPr>
            <w:lang w:val="zh-CN"/>
          </w:rPr>
          <w:t>9</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E51D">
    <w:pPr>
      <w:pStyle w:val="5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4120327"/>
    </w:sdtPr>
    <w:sdtContent>
      <w:p w14:paraId="1D1153E6">
        <w:pPr>
          <w:pStyle w:val="55"/>
          <w:ind w:firstLine="360"/>
          <w:jc w:val="center"/>
          <w:rPr>
            <w:sz w:val="20"/>
            <w:szCs w:val="20"/>
          </w:rPr>
        </w:pPr>
        <w:r>
          <w:fldChar w:fldCharType="begin"/>
        </w:r>
        <w:r>
          <w:instrText xml:space="preserve">PAGE   \* MERGEFORMAT</w:instrText>
        </w:r>
        <w:r>
          <w:fldChar w:fldCharType="separate"/>
        </w:r>
        <w:r>
          <w:rPr>
            <w:lang w:val="zh-CN"/>
          </w:rPr>
          <w:t>217</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3766296"/>
    </w:sdtPr>
    <w:sdtContent>
      <w:p w14:paraId="08596D37">
        <w:pPr>
          <w:pStyle w:val="55"/>
          <w:ind w:firstLine="0" w:firstLineChars="0"/>
          <w:jc w:val="center"/>
        </w:pPr>
        <w:r>
          <w:fldChar w:fldCharType="begin"/>
        </w:r>
        <w:r>
          <w:instrText xml:space="preserve">PAGE   \* MERGEFORMAT</w:instrText>
        </w:r>
        <w:r>
          <w:fldChar w:fldCharType="separate"/>
        </w:r>
        <w:r>
          <w:rPr>
            <w:lang w:val="zh-CN"/>
          </w:rPr>
          <w:t>376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9D3A">
    <w:pPr>
      <w:pStyle w:val="57"/>
      <w:pBdr>
        <w:bottom w:val="none" w:color="auto" w:sz="0" w:space="0"/>
      </w:pBdr>
      <w:tabs>
        <w:tab w:val="clear" w:pos="2054"/>
      </w:tabs>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8CE04">
    <w:pPr>
      <w:pStyle w:val="57"/>
      <w:pBdr>
        <w:bottom w:val="none" w:color="auto" w:sz="0" w:space="0"/>
      </w:pBdr>
      <w:tabs>
        <w:tab w:val="clear" w:pos="2054"/>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C38FC">
    <w:pPr>
      <w:pStyle w:val="57"/>
      <w:tabs>
        <w:tab w:val="clear" w:pos="2054"/>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DDAA">
    <w:pPr>
      <w:pStyle w:val="57"/>
      <w:tabs>
        <w:tab w:val="clear" w:pos="2054"/>
      </w:tabs>
      <w:ind w:firstLine="360"/>
      <w:rPr>
        <w:rFonts w:hint="eastAsia" w:ascii="楷体" w:hAnsi="楷体" w:eastAsia="楷体"/>
      </w:rPr>
    </w:pPr>
    <w:r>
      <w:rPr>
        <w:rFonts w:hint="eastAsia" w:ascii="楷体" w:hAnsi="楷体" w:eastAsia="楷体"/>
      </w:rPr>
      <w:t>一道新材科技（连云港）有限公司光伏新材料研发中心及光伏组件制造</w:t>
    </w:r>
    <w:r>
      <w:rPr>
        <w:rFonts w:ascii="楷体" w:hAnsi="楷体" w:eastAsia="楷体"/>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41296"/>
    <w:multiLevelType w:val="singleLevel"/>
    <w:tmpl w:val="9DC41296"/>
    <w:lvl w:ilvl="0" w:tentative="0">
      <w:start w:val="2"/>
      <w:numFmt w:val="decimal"/>
      <w:suff w:val="nothing"/>
      <w:lvlText w:val="（%1）"/>
      <w:lvlJc w:val="left"/>
    </w:lvl>
  </w:abstractNum>
  <w:abstractNum w:abstractNumId="1">
    <w:nsid w:val="A98AAE02"/>
    <w:multiLevelType w:val="singleLevel"/>
    <w:tmpl w:val="A98AAE02"/>
    <w:lvl w:ilvl="0" w:tentative="0">
      <w:start w:val="1"/>
      <w:numFmt w:val="decimal"/>
      <w:suff w:val="nothing"/>
      <w:lvlText w:val="（%1）"/>
      <w:lvlJc w:val="left"/>
    </w:lvl>
  </w:abstractNum>
  <w:abstractNum w:abstractNumId="2">
    <w:nsid w:val="B8C348BB"/>
    <w:multiLevelType w:val="singleLevel"/>
    <w:tmpl w:val="B8C348BB"/>
    <w:lvl w:ilvl="0" w:tentative="0">
      <w:start w:val="1"/>
      <w:numFmt w:val="lowerLetter"/>
      <w:lvlText w:val="%1."/>
      <w:lvlJc w:val="left"/>
      <w:pPr>
        <w:tabs>
          <w:tab w:val="left" w:pos="312"/>
        </w:tabs>
      </w:pPr>
    </w:lvl>
  </w:abstractNum>
  <w:abstractNum w:abstractNumId="3">
    <w:nsid w:val="BB479C93"/>
    <w:multiLevelType w:val="singleLevel"/>
    <w:tmpl w:val="BB479C93"/>
    <w:lvl w:ilvl="0" w:tentative="0">
      <w:start w:val="1"/>
      <w:numFmt w:val="decimal"/>
      <w:suff w:val="nothing"/>
      <w:lvlText w:val="%1、"/>
      <w:lvlJc w:val="left"/>
    </w:lvl>
  </w:abstractNum>
  <w:abstractNum w:abstractNumId="4">
    <w:nsid w:val="C82EC2FB"/>
    <w:multiLevelType w:val="singleLevel"/>
    <w:tmpl w:val="C82EC2FB"/>
    <w:lvl w:ilvl="0" w:tentative="0">
      <w:start w:val="1"/>
      <w:numFmt w:val="decimal"/>
      <w:suff w:val="nothing"/>
      <w:lvlText w:val="%1、"/>
      <w:lvlJc w:val="left"/>
    </w:lvl>
  </w:abstractNum>
  <w:abstractNum w:abstractNumId="5">
    <w:nsid w:val="C90E5E1A"/>
    <w:multiLevelType w:val="singleLevel"/>
    <w:tmpl w:val="C90E5E1A"/>
    <w:lvl w:ilvl="0" w:tentative="0">
      <w:start w:val="1"/>
      <w:numFmt w:val="decimal"/>
      <w:suff w:val="nothing"/>
      <w:lvlText w:val="（%1）"/>
      <w:lvlJc w:val="left"/>
    </w:lvl>
  </w:abstractNum>
  <w:abstractNum w:abstractNumId="6">
    <w:nsid w:val="E21E55BD"/>
    <w:multiLevelType w:val="singleLevel"/>
    <w:tmpl w:val="E21E55BD"/>
    <w:lvl w:ilvl="0" w:tentative="0">
      <w:start w:val="1"/>
      <w:numFmt w:val="chineseCounting"/>
      <w:suff w:val="nothing"/>
      <w:lvlText w:val="%1、"/>
      <w:lvlJc w:val="left"/>
      <w:rPr>
        <w:rFonts w:hint="eastAsia"/>
      </w:rPr>
    </w:lvl>
  </w:abstractNum>
  <w:abstractNum w:abstractNumId="7">
    <w:nsid w:val="E87F9325"/>
    <w:multiLevelType w:val="singleLevel"/>
    <w:tmpl w:val="E87F9325"/>
    <w:lvl w:ilvl="0" w:tentative="0">
      <w:start w:val="1"/>
      <w:numFmt w:val="decimal"/>
      <w:suff w:val="nothing"/>
      <w:lvlText w:val="%1、"/>
      <w:lvlJc w:val="left"/>
    </w:lvl>
  </w:abstractNum>
  <w:abstractNum w:abstractNumId="8">
    <w:nsid w:val="F029C265"/>
    <w:multiLevelType w:val="singleLevel"/>
    <w:tmpl w:val="F029C265"/>
    <w:lvl w:ilvl="0" w:tentative="0">
      <w:start w:val="2"/>
      <w:numFmt w:val="decimal"/>
      <w:suff w:val="nothing"/>
      <w:lvlText w:val="（%1）"/>
      <w:lvlJc w:val="left"/>
    </w:lvl>
  </w:abstractNum>
  <w:abstractNum w:abstractNumId="9">
    <w:nsid w:val="FEFA650E"/>
    <w:multiLevelType w:val="singleLevel"/>
    <w:tmpl w:val="FEFA650E"/>
    <w:lvl w:ilvl="0" w:tentative="0">
      <w:start w:val="1"/>
      <w:numFmt w:val="decimal"/>
      <w:suff w:val="nothing"/>
      <w:lvlText w:val="%1、"/>
      <w:lvlJc w:val="left"/>
    </w:lvl>
  </w:abstractNum>
  <w:abstractNum w:abstractNumId="10">
    <w:nsid w:val="0504194E"/>
    <w:multiLevelType w:val="singleLevel"/>
    <w:tmpl w:val="0504194E"/>
    <w:lvl w:ilvl="0" w:tentative="0">
      <w:start w:val="1"/>
      <w:numFmt w:val="decimal"/>
      <w:suff w:val="nothing"/>
      <w:lvlText w:val="%1、"/>
      <w:lvlJc w:val="left"/>
    </w:lvl>
  </w:abstractNum>
  <w:abstractNum w:abstractNumId="11">
    <w:nsid w:val="0D122406"/>
    <w:multiLevelType w:val="multilevel"/>
    <w:tmpl w:val="0D122406"/>
    <w:lvl w:ilvl="0" w:tentative="0">
      <w:start w:val="1"/>
      <w:numFmt w:val="decimal"/>
      <w:lvlText w:val="（%1）"/>
      <w:lvlJc w:val="left"/>
      <w:pPr>
        <w:ind w:left="846"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EAA3BE3"/>
    <w:multiLevelType w:val="singleLevel"/>
    <w:tmpl w:val="0EAA3BE3"/>
    <w:lvl w:ilvl="0" w:tentative="0">
      <w:start w:val="1"/>
      <w:numFmt w:val="decimal"/>
      <w:suff w:val="nothing"/>
      <w:lvlText w:val="%1、"/>
      <w:lvlJc w:val="left"/>
    </w:lvl>
  </w:abstractNum>
  <w:abstractNum w:abstractNumId="13">
    <w:nsid w:val="12FB26A6"/>
    <w:multiLevelType w:val="singleLevel"/>
    <w:tmpl w:val="12FB26A6"/>
    <w:lvl w:ilvl="0" w:tentative="0">
      <w:start w:val="1"/>
      <w:numFmt w:val="upperLetter"/>
      <w:suff w:val="nothing"/>
      <w:lvlText w:val="%1、"/>
      <w:lvlJc w:val="left"/>
    </w:lvl>
  </w:abstractNum>
  <w:abstractNum w:abstractNumId="14">
    <w:nsid w:val="24260D1F"/>
    <w:multiLevelType w:val="multilevel"/>
    <w:tmpl w:val="24260D1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FCEBE4A"/>
    <w:multiLevelType w:val="singleLevel"/>
    <w:tmpl w:val="2FCEBE4A"/>
    <w:lvl w:ilvl="0" w:tentative="0">
      <w:start w:val="1"/>
      <w:numFmt w:val="decimal"/>
      <w:suff w:val="nothing"/>
      <w:lvlText w:val="%1、"/>
      <w:lvlJc w:val="left"/>
    </w:lvl>
  </w:abstractNum>
  <w:abstractNum w:abstractNumId="16">
    <w:nsid w:val="31F57EBE"/>
    <w:multiLevelType w:val="singleLevel"/>
    <w:tmpl w:val="31F57EBE"/>
    <w:lvl w:ilvl="0" w:tentative="0">
      <w:start w:val="1"/>
      <w:numFmt w:val="upperLetter"/>
      <w:suff w:val="space"/>
      <w:lvlText w:val="%1."/>
      <w:lvlJc w:val="left"/>
    </w:lvl>
  </w:abstractNum>
  <w:abstractNum w:abstractNumId="17">
    <w:nsid w:val="3B020ACF"/>
    <w:multiLevelType w:val="multilevel"/>
    <w:tmpl w:val="3B020ACF"/>
    <w:lvl w:ilvl="0" w:tentative="0">
      <w:start w:val="1"/>
      <w:numFmt w:val="decimal"/>
      <w:lvlText w:val="(%1)"/>
      <w:lvlJc w:val="left"/>
      <w:pPr>
        <w:ind w:left="325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FC4D583"/>
    <w:multiLevelType w:val="singleLevel"/>
    <w:tmpl w:val="4FC4D583"/>
    <w:lvl w:ilvl="0" w:tentative="0">
      <w:start w:val="1"/>
      <w:numFmt w:val="decimal"/>
      <w:suff w:val="nothing"/>
      <w:lvlText w:val="%1、"/>
      <w:lvlJc w:val="left"/>
    </w:lvl>
  </w:abstractNum>
  <w:abstractNum w:abstractNumId="19">
    <w:nsid w:val="5A76640F"/>
    <w:multiLevelType w:val="singleLevel"/>
    <w:tmpl w:val="5A76640F"/>
    <w:lvl w:ilvl="0" w:tentative="0">
      <w:start w:val="8"/>
      <w:numFmt w:val="chineseCounting"/>
      <w:suff w:val="nothing"/>
      <w:lvlText w:val="（%1）"/>
      <w:lvlJc w:val="left"/>
      <w:rPr>
        <w:rFonts w:hint="eastAsia"/>
      </w:rPr>
    </w:lvl>
  </w:abstractNum>
  <w:abstractNum w:abstractNumId="20">
    <w:nsid w:val="61EC2041"/>
    <w:multiLevelType w:val="singleLevel"/>
    <w:tmpl w:val="61EC2041"/>
    <w:lvl w:ilvl="0" w:tentative="0">
      <w:start w:val="1"/>
      <w:numFmt w:val="decimal"/>
      <w:suff w:val="nothing"/>
      <w:lvlText w:val="%1、"/>
      <w:lvlJc w:val="left"/>
    </w:lvl>
  </w:abstractNum>
  <w:abstractNum w:abstractNumId="21">
    <w:nsid w:val="63D6FB51"/>
    <w:multiLevelType w:val="singleLevel"/>
    <w:tmpl w:val="63D6FB51"/>
    <w:lvl w:ilvl="0" w:tentative="0">
      <w:start w:val="1"/>
      <w:numFmt w:val="decimal"/>
      <w:lvlText w:val="(%1)"/>
      <w:lvlJc w:val="left"/>
      <w:pPr>
        <w:ind w:left="425" w:hanging="425"/>
      </w:pPr>
      <w:rPr>
        <w:rFonts w:hint="default"/>
      </w:rPr>
    </w:lvl>
  </w:abstractNum>
  <w:abstractNum w:abstractNumId="22">
    <w:nsid w:val="663A3F1C"/>
    <w:multiLevelType w:val="singleLevel"/>
    <w:tmpl w:val="663A3F1C"/>
    <w:lvl w:ilvl="0" w:tentative="0">
      <w:start w:val="1"/>
      <w:numFmt w:val="decimal"/>
      <w:suff w:val="nothing"/>
      <w:lvlText w:val="%1、"/>
      <w:lvlJc w:val="left"/>
    </w:lvl>
  </w:abstractNum>
  <w:abstractNum w:abstractNumId="23">
    <w:nsid w:val="6682E8A0"/>
    <w:multiLevelType w:val="singleLevel"/>
    <w:tmpl w:val="6682E8A0"/>
    <w:lvl w:ilvl="0" w:tentative="0">
      <w:start w:val="1"/>
      <w:numFmt w:val="decimal"/>
      <w:suff w:val="nothing"/>
      <w:lvlText w:val="%1、"/>
      <w:lvlJc w:val="left"/>
    </w:lvl>
  </w:abstractNum>
  <w:abstractNum w:abstractNumId="24">
    <w:nsid w:val="7ACBD2A9"/>
    <w:multiLevelType w:val="singleLevel"/>
    <w:tmpl w:val="7ACBD2A9"/>
    <w:lvl w:ilvl="0" w:tentative="0">
      <w:start w:val="1"/>
      <w:numFmt w:val="decimal"/>
      <w:suff w:val="nothing"/>
      <w:lvlText w:val="%1、"/>
      <w:lvlJc w:val="left"/>
    </w:lvl>
  </w:abstractNum>
  <w:abstractNum w:abstractNumId="25">
    <w:nsid w:val="7BEC00E6"/>
    <w:multiLevelType w:val="singleLevel"/>
    <w:tmpl w:val="7BEC00E6"/>
    <w:lvl w:ilvl="0" w:tentative="0">
      <w:start w:val="1"/>
      <w:numFmt w:val="decimal"/>
      <w:suff w:val="nothing"/>
      <w:lvlText w:val="%1、"/>
      <w:lvlJc w:val="left"/>
    </w:lvl>
  </w:abstractNum>
  <w:abstractNum w:abstractNumId="26">
    <w:nsid w:val="7F30A577"/>
    <w:multiLevelType w:val="singleLevel"/>
    <w:tmpl w:val="7F30A577"/>
    <w:lvl w:ilvl="0" w:tentative="0">
      <w:start w:val="1"/>
      <w:numFmt w:val="decimal"/>
      <w:suff w:val="nothing"/>
      <w:lvlText w:val="%1、"/>
      <w:lvlJc w:val="left"/>
    </w:lvl>
  </w:abstractNum>
  <w:num w:numId="1">
    <w:abstractNumId w:val="1"/>
  </w:num>
  <w:num w:numId="2">
    <w:abstractNumId w:val="26"/>
  </w:num>
  <w:num w:numId="3">
    <w:abstractNumId w:val="15"/>
  </w:num>
  <w:num w:numId="4">
    <w:abstractNumId w:val="25"/>
  </w:num>
  <w:num w:numId="5">
    <w:abstractNumId w:val="20"/>
  </w:num>
  <w:num w:numId="6">
    <w:abstractNumId w:val="9"/>
  </w:num>
  <w:num w:numId="7">
    <w:abstractNumId w:val="3"/>
  </w:num>
  <w:num w:numId="8">
    <w:abstractNumId w:val="18"/>
  </w:num>
  <w:num w:numId="9">
    <w:abstractNumId w:val="19"/>
  </w:num>
  <w:num w:numId="10">
    <w:abstractNumId w:val="24"/>
  </w:num>
  <w:num w:numId="11">
    <w:abstractNumId w:val="22"/>
  </w:num>
  <w:num w:numId="12">
    <w:abstractNumId w:val="23"/>
  </w:num>
  <w:num w:numId="13">
    <w:abstractNumId w:val="4"/>
  </w:num>
  <w:num w:numId="14">
    <w:abstractNumId w:val="6"/>
  </w:num>
  <w:num w:numId="15">
    <w:abstractNumId w:val="7"/>
  </w:num>
  <w:num w:numId="16">
    <w:abstractNumId w:val="10"/>
  </w:num>
  <w:num w:numId="17">
    <w:abstractNumId w:val="17"/>
  </w:num>
  <w:num w:numId="18">
    <w:abstractNumId w:val="11"/>
  </w:num>
  <w:num w:numId="19">
    <w:abstractNumId w:val="21"/>
  </w:num>
  <w:num w:numId="20">
    <w:abstractNumId w:val="14"/>
  </w:num>
  <w:num w:numId="21">
    <w:abstractNumId w:val="12"/>
  </w:num>
  <w:num w:numId="22">
    <w:abstractNumId w:val="0"/>
  </w:num>
  <w:num w:numId="23">
    <w:abstractNumId w:val="8"/>
  </w:num>
  <w:num w:numId="24">
    <w:abstractNumId w:val="16"/>
  </w:num>
  <w:num w:numId="25">
    <w:abstractNumId w:val="5"/>
  </w:num>
  <w:num w:numId="26">
    <w:abstractNumId w:val="1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displayBackgroundShape w:val="1"/>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65"/>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xMjBkNDljNzA2OWQ5Y2RlYTg5ZThhNjk2NmIwOWIifQ=="/>
  </w:docVars>
  <w:rsids>
    <w:rsidRoot w:val="00172A27"/>
    <w:rsid w:val="00000554"/>
    <w:rsid w:val="000007AD"/>
    <w:rsid w:val="00000E5B"/>
    <w:rsid w:val="0000129A"/>
    <w:rsid w:val="00001676"/>
    <w:rsid w:val="0000268F"/>
    <w:rsid w:val="00002F90"/>
    <w:rsid w:val="000036EB"/>
    <w:rsid w:val="00004368"/>
    <w:rsid w:val="0000491C"/>
    <w:rsid w:val="0000497D"/>
    <w:rsid w:val="0000522D"/>
    <w:rsid w:val="000057E3"/>
    <w:rsid w:val="00005ED1"/>
    <w:rsid w:val="000060F6"/>
    <w:rsid w:val="000062BE"/>
    <w:rsid w:val="00006512"/>
    <w:rsid w:val="00006534"/>
    <w:rsid w:val="00006801"/>
    <w:rsid w:val="00006F32"/>
    <w:rsid w:val="00007504"/>
    <w:rsid w:val="000079CC"/>
    <w:rsid w:val="00007A46"/>
    <w:rsid w:val="00007D13"/>
    <w:rsid w:val="00007D6E"/>
    <w:rsid w:val="000104B1"/>
    <w:rsid w:val="00011537"/>
    <w:rsid w:val="00011814"/>
    <w:rsid w:val="000127FF"/>
    <w:rsid w:val="000137AC"/>
    <w:rsid w:val="00013C43"/>
    <w:rsid w:val="00014627"/>
    <w:rsid w:val="00014D49"/>
    <w:rsid w:val="000152CA"/>
    <w:rsid w:val="000159AB"/>
    <w:rsid w:val="00015AF7"/>
    <w:rsid w:val="000162EB"/>
    <w:rsid w:val="000163A5"/>
    <w:rsid w:val="00016943"/>
    <w:rsid w:val="00016C9D"/>
    <w:rsid w:val="0001771E"/>
    <w:rsid w:val="00017894"/>
    <w:rsid w:val="00020215"/>
    <w:rsid w:val="000202F6"/>
    <w:rsid w:val="000204D1"/>
    <w:rsid w:val="000209F5"/>
    <w:rsid w:val="00020F01"/>
    <w:rsid w:val="00021880"/>
    <w:rsid w:val="00021CA1"/>
    <w:rsid w:val="00021E61"/>
    <w:rsid w:val="00021FA2"/>
    <w:rsid w:val="00022AB4"/>
    <w:rsid w:val="00022AE7"/>
    <w:rsid w:val="00022FA6"/>
    <w:rsid w:val="0002361A"/>
    <w:rsid w:val="000239E2"/>
    <w:rsid w:val="00023C67"/>
    <w:rsid w:val="00023DAF"/>
    <w:rsid w:val="00024CD3"/>
    <w:rsid w:val="00025715"/>
    <w:rsid w:val="00025718"/>
    <w:rsid w:val="00025B3D"/>
    <w:rsid w:val="00025E2E"/>
    <w:rsid w:val="00026469"/>
    <w:rsid w:val="000266FB"/>
    <w:rsid w:val="00026CDC"/>
    <w:rsid w:val="0002705B"/>
    <w:rsid w:val="00027383"/>
    <w:rsid w:val="00027617"/>
    <w:rsid w:val="000277CB"/>
    <w:rsid w:val="00027886"/>
    <w:rsid w:val="00027F63"/>
    <w:rsid w:val="00030105"/>
    <w:rsid w:val="0003020C"/>
    <w:rsid w:val="00030D69"/>
    <w:rsid w:val="00030FB8"/>
    <w:rsid w:val="00031B78"/>
    <w:rsid w:val="00032714"/>
    <w:rsid w:val="00032C4A"/>
    <w:rsid w:val="00032DC9"/>
    <w:rsid w:val="000334E5"/>
    <w:rsid w:val="00033721"/>
    <w:rsid w:val="000338F9"/>
    <w:rsid w:val="000341D9"/>
    <w:rsid w:val="000349DD"/>
    <w:rsid w:val="00034E5E"/>
    <w:rsid w:val="00035032"/>
    <w:rsid w:val="00035712"/>
    <w:rsid w:val="000357F1"/>
    <w:rsid w:val="0003580D"/>
    <w:rsid w:val="00035894"/>
    <w:rsid w:val="00035C4B"/>
    <w:rsid w:val="0003640B"/>
    <w:rsid w:val="0003671C"/>
    <w:rsid w:val="0003732B"/>
    <w:rsid w:val="00037A04"/>
    <w:rsid w:val="000402FB"/>
    <w:rsid w:val="00040577"/>
    <w:rsid w:val="0004070A"/>
    <w:rsid w:val="0004097D"/>
    <w:rsid w:val="00040CE2"/>
    <w:rsid w:val="00041268"/>
    <w:rsid w:val="0004152A"/>
    <w:rsid w:val="000416E6"/>
    <w:rsid w:val="00041950"/>
    <w:rsid w:val="00041BC6"/>
    <w:rsid w:val="00041F3F"/>
    <w:rsid w:val="0004211C"/>
    <w:rsid w:val="00042520"/>
    <w:rsid w:val="0004273D"/>
    <w:rsid w:val="000438A0"/>
    <w:rsid w:val="00043F45"/>
    <w:rsid w:val="00044249"/>
    <w:rsid w:val="000448D8"/>
    <w:rsid w:val="00044D24"/>
    <w:rsid w:val="00045AB2"/>
    <w:rsid w:val="00046A21"/>
    <w:rsid w:val="00046D87"/>
    <w:rsid w:val="00046E21"/>
    <w:rsid w:val="00047AA2"/>
    <w:rsid w:val="00047D7F"/>
    <w:rsid w:val="0005001D"/>
    <w:rsid w:val="0005014B"/>
    <w:rsid w:val="00050240"/>
    <w:rsid w:val="0005040E"/>
    <w:rsid w:val="00050543"/>
    <w:rsid w:val="0005097D"/>
    <w:rsid w:val="00050DAD"/>
    <w:rsid w:val="00050E97"/>
    <w:rsid w:val="00051527"/>
    <w:rsid w:val="0005175E"/>
    <w:rsid w:val="00051CF3"/>
    <w:rsid w:val="00051EF9"/>
    <w:rsid w:val="0005282B"/>
    <w:rsid w:val="00052885"/>
    <w:rsid w:val="00052E82"/>
    <w:rsid w:val="00053602"/>
    <w:rsid w:val="00053844"/>
    <w:rsid w:val="00053B07"/>
    <w:rsid w:val="00053B88"/>
    <w:rsid w:val="00053F86"/>
    <w:rsid w:val="00054045"/>
    <w:rsid w:val="00054097"/>
    <w:rsid w:val="00054421"/>
    <w:rsid w:val="00054506"/>
    <w:rsid w:val="000545B6"/>
    <w:rsid w:val="00054A94"/>
    <w:rsid w:val="00054FE3"/>
    <w:rsid w:val="0005541F"/>
    <w:rsid w:val="000554A9"/>
    <w:rsid w:val="00055944"/>
    <w:rsid w:val="0005606B"/>
    <w:rsid w:val="000560B8"/>
    <w:rsid w:val="000563A7"/>
    <w:rsid w:val="00056550"/>
    <w:rsid w:val="00056D02"/>
    <w:rsid w:val="00057220"/>
    <w:rsid w:val="00057ADC"/>
    <w:rsid w:val="000601FD"/>
    <w:rsid w:val="000603C6"/>
    <w:rsid w:val="000608A4"/>
    <w:rsid w:val="00062355"/>
    <w:rsid w:val="000626C8"/>
    <w:rsid w:val="00062C94"/>
    <w:rsid w:val="00062F87"/>
    <w:rsid w:val="00063224"/>
    <w:rsid w:val="00063465"/>
    <w:rsid w:val="00063FC2"/>
    <w:rsid w:val="000652ED"/>
    <w:rsid w:val="000658F3"/>
    <w:rsid w:val="0006642B"/>
    <w:rsid w:val="00067640"/>
    <w:rsid w:val="00067652"/>
    <w:rsid w:val="00067D4F"/>
    <w:rsid w:val="00071C94"/>
    <w:rsid w:val="000723DD"/>
    <w:rsid w:val="0007246F"/>
    <w:rsid w:val="0007250D"/>
    <w:rsid w:val="000726B6"/>
    <w:rsid w:val="00072C27"/>
    <w:rsid w:val="00073068"/>
    <w:rsid w:val="00073DF6"/>
    <w:rsid w:val="000742BC"/>
    <w:rsid w:val="00074924"/>
    <w:rsid w:val="00075352"/>
    <w:rsid w:val="00075826"/>
    <w:rsid w:val="000760AC"/>
    <w:rsid w:val="00076B15"/>
    <w:rsid w:val="0007704D"/>
    <w:rsid w:val="00077567"/>
    <w:rsid w:val="000801DB"/>
    <w:rsid w:val="000806B2"/>
    <w:rsid w:val="00080AC8"/>
    <w:rsid w:val="00080F59"/>
    <w:rsid w:val="00081737"/>
    <w:rsid w:val="00081BA3"/>
    <w:rsid w:val="00081C61"/>
    <w:rsid w:val="00083406"/>
    <w:rsid w:val="00083BA0"/>
    <w:rsid w:val="00083D6F"/>
    <w:rsid w:val="00084175"/>
    <w:rsid w:val="00084635"/>
    <w:rsid w:val="00084DA4"/>
    <w:rsid w:val="00084FC7"/>
    <w:rsid w:val="000851D2"/>
    <w:rsid w:val="000858EE"/>
    <w:rsid w:val="00085918"/>
    <w:rsid w:val="000862AF"/>
    <w:rsid w:val="00086482"/>
    <w:rsid w:val="00086891"/>
    <w:rsid w:val="0008733A"/>
    <w:rsid w:val="00087B72"/>
    <w:rsid w:val="00090359"/>
    <w:rsid w:val="000903A0"/>
    <w:rsid w:val="00090770"/>
    <w:rsid w:val="000911D2"/>
    <w:rsid w:val="00091935"/>
    <w:rsid w:val="00091E9A"/>
    <w:rsid w:val="00092069"/>
    <w:rsid w:val="00092A50"/>
    <w:rsid w:val="00092B7A"/>
    <w:rsid w:val="00093007"/>
    <w:rsid w:val="0009304A"/>
    <w:rsid w:val="00093189"/>
    <w:rsid w:val="000940C4"/>
    <w:rsid w:val="000942A1"/>
    <w:rsid w:val="00094524"/>
    <w:rsid w:val="0009470B"/>
    <w:rsid w:val="0009493D"/>
    <w:rsid w:val="00094C41"/>
    <w:rsid w:val="00094CC6"/>
    <w:rsid w:val="00094CD0"/>
    <w:rsid w:val="00094F84"/>
    <w:rsid w:val="00095275"/>
    <w:rsid w:val="000954F3"/>
    <w:rsid w:val="000955AE"/>
    <w:rsid w:val="00095F19"/>
    <w:rsid w:val="00096096"/>
    <w:rsid w:val="000960CE"/>
    <w:rsid w:val="00096646"/>
    <w:rsid w:val="00096875"/>
    <w:rsid w:val="00096A9E"/>
    <w:rsid w:val="00096D75"/>
    <w:rsid w:val="0009712A"/>
    <w:rsid w:val="00097AF5"/>
    <w:rsid w:val="000A061E"/>
    <w:rsid w:val="000A1C88"/>
    <w:rsid w:val="000A1F78"/>
    <w:rsid w:val="000A24C4"/>
    <w:rsid w:val="000A2A95"/>
    <w:rsid w:val="000A2DC7"/>
    <w:rsid w:val="000A2E3A"/>
    <w:rsid w:val="000A30BD"/>
    <w:rsid w:val="000A3F6D"/>
    <w:rsid w:val="000A42E4"/>
    <w:rsid w:val="000A45D8"/>
    <w:rsid w:val="000A49F7"/>
    <w:rsid w:val="000A4ACD"/>
    <w:rsid w:val="000A50BB"/>
    <w:rsid w:val="000A52BD"/>
    <w:rsid w:val="000A555B"/>
    <w:rsid w:val="000A5809"/>
    <w:rsid w:val="000A592E"/>
    <w:rsid w:val="000A5B72"/>
    <w:rsid w:val="000A6984"/>
    <w:rsid w:val="000A6A9B"/>
    <w:rsid w:val="000A70CB"/>
    <w:rsid w:val="000A725B"/>
    <w:rsid w:val="000A7318"/>
    <w:rsid w:val="000A741A"/>
    <w:rsid w:val="000A781A"/>
    <w:rsid w:val="000A7A6F"/>
    <w:rsid w:val="000B0364"/>
    <w:rsid w:val="000B0848"/>
    <w:rsid w:val="000B0919"/>
    <w:rsid w:val="000B0D3C"/>
    <w:rsid w:val="000B0E9B"/>
    <w:rsid w:val="000B1189"/>
    <w:rsid w:val="000B15AD"/>
    <w:rsid w:val="000B1A0B"/>
    <w:rsid w:val="000B1D90"/>
    <w:rsid w:val="000B216B"/>
    <w:rsid w:val="000B2F52"/>
    <w:rsid w:val="000B2FF5"/>
    <w:rsid w:val="000B31B9"/>
    <w:rsid w:val="000B458B"/>
    <w:rsid w:val="000B50A3"/>
    <w:rsid w:val="000B50BE"/>
    <w:rsid w:val="000B6454"/>
    <w:rsid w:val="000B6693"/>
    <w:rsid w:val="000B6983"/>
    <w:rsid w:val="000B6CA4"/>
    <w:rsid w:val="000B77FB"/>
    <w:rsid w:val="000B7EBE"/>
    <w:rsid w:val="000C0072"/>
    <w:rsid w:val="000C0246"/>
    <w:rsid w:val="000C0834"/>
    <w:rsid w:val="000C1A15"/>
    <w:rsid w:val="000C1C5F"/>
    <w:rsid w:val="000C1CBB"/>
    <w:rsid w:val="000C1CD4"/>
    <w:rsid w:val="000C2036"/>
    <w:rsid w:val="000C2330"/>
    <w:rsid w:val="000C2394"/>
    <w:rsid w:val="000C29A0"/>
    <w:rsid w:val="000C2D1E"/>
    <w:rsid w:val="000C2FB3"/>
    <w:rsid w:val="000C3301"/>
    <w:rsid w:val="000C3450"/>
    <w:rsid w:val="000C36C6"/>
    <w:rsid w:val="000C3BBB"/>
    <w:rsid w:val="000C3D0A"/>
    <w:rsid w:val="000C447B"/>
    <w:rsid w:val="000C466C"/>
    <w:rsid w:val="000C494D"/>
    <w:rsid w:val="000C521A"/>
    <w:rsid w:val="000C53D2"/>
    <w:rsid w:val="000C5AD8"/>
    <w:rsid w:val="000C630F"/>
    <w:rsid w:val="000C67A2"/>
    <w:rsid w:val="000C6BFE"/>
    <w:rsid w:val="000C6F81"/>
    <w:rsid w:val="000C7347"/>
    <w:rsid w:val="000C7567"/>
    <w:rsid w:val="000C77FB"/>
    <w:rsid w:val="000C7AB3"/>
    <w:rsid w:val="000C7FEA"/>
    <w:rsid w:val="000D01FB"/>
    <w:rsid w:val="000D02B6"/>
    <w:rsid w:val="000D079B"/>
    <w:rsid w:val="000D08AC"/>
    <w:rsid w:val="000D09EE"/>
    <w:rsid w:val="000D0A07"/>
    <w:rsid w:val="000D121A"/>
    <w:rsid w:val="000D1368"/>
    <w:rsid w:val="000D13DE"/>
    <w:rsid w:val="000D17EC"/>
    <w:rsid w:val="000D1A78"/>
    <w:rsid w:val="000D25DF"/>
    <w:rsid w:val="000D3049"/>
    <w:rsid w:val="000D34AD"/>
    <w:rsid w:val="000D3620"/>
    <w:rsid w:val="000D416E"/>
    <w:rsid w:val="000D4A99"/>
    <w:rsid w:val="000D4C1F"/>
    <w:rsid w:val="000D4C6B"/>
    <w:rsid w:val="000D4EA9"/>
    <w:rsid w:val="000D5B2F"/>
    <w:rsid w:val="000D5FBD"/>
    <w:rsid w:val="000D66D1"/>
    <w:rsid w:val="000D6C2B"/>
    <w:rsid w:val="000D7054"/>
    <w:rsid w:val="000D7189"/>
    <w:rsid w:val="000D76FB"/>
    <w:rsid w:val="000D7788"/>
    <w:rsid w:val="000D7F43"/>
    <w:rsid w:val="000D7F95"/>
    <w:rsid w:val="000E0796"/>
    <w:rsid w:val="000E0C9E"/>
    <w:rsid w:val="000E17A4"/>
    <w:rsid w:val="000E1840"/>
    <w:rsid w:val="000E19D7"/>
    <w:rsid w:val="000E1DDF"/>
    <w:rsid w:val="000E20DC"/>
    <w:rsid w:val="000E2359"/>
    <w:rsid w:val="000E2720"/>
    <w:rsid w:val="000E2B0E"/>
    <w:rsid w:val="000E2C98"/>
    <w:rsid w:val="000E2F5E"/>
    <w:rsid w:val="000E34A8"/>
    <w:rsid w:val="000E39C7"/>
    <w:rsid w:val="000E3FC3"/>
    <w:rsid w:val="000E42C1"/>
    <w:rsid w:val="000E4DD6"/>
    <w:rsid w:val="000E514B"/>
    <w:rsid w:val="000E5822"/>
    <w:rsid w:val="000E5FDB"/>
    <w:rsid w:val="000E6587"/>
    <w:rsid w:val="000E6669"/>
    <w:rsid w:val="000E6C5D"/>
    <w:rsid w:val="000E74FE"/>
    <w:rsid w:val="000E77BA"/>
    <w:rsid w:val="000F0248"/>
    <w:rsid w:val="000F030E"/>
    <w:rsid w:val="000F050C"/>
    <w:rsid w:val="000F0A60"/>
    <w:rsid w:val="000F17F9"/>
    <w:rsid w:val="000F2180"/>
    <w:rsid w:val="000F2186"/>
    <w:rsid w:val="000F22A1"/>
    <w:rsid w:val="000F289F"/>
    <w:rsid w:val="000F2A29"/>
    <w:rsid w:val="000F2ABB"/>
    <w:rsid w:val="000F2E7E"/>
    <w:rsid w:val="000F3206"/>
    <w:rsid w:val="000F514D"/>
    <w:rsid w:val="000F5465"/>
    <w:rsid w:val="000F55F5"/>
    <w:rsid w:val="000F5A87"/>
    <w:rsid w:val="000F5EC5"/>
    <w:rsid w:val="000F5F53"/>
    <w:rsid w:val="000F6311"/>
    <w:rsid w:val="000F6319"/>
    <w:rsid w:val="000F6AC8"/>
    <w:rsid w:val="000F6B2A"/>
    <w:rsid w:val="000F723D"/>
    <w:rsid w:val="000F7E3B"/>
    <w:rsid w:val="000F7EDC"/>
    <w:rsid w:val="00101529"/>
    <w:rsid w:val="00101B0D"/>
    <w:rsid w:val="00101D02"/>
    <w:rsid w:val="0010270F"/>
    <w:rsid w:val="001028DA"/>
    <w:rsid w:val="001036EB"/>
    <w:rsid w:val="00103854"/>
    <w:rsid w:val="00103D51"/>
    <w:rsid w:val="00104408"/>
    <w:rsid w:val="0010488D"/>
    <w:rsid w:val="001048FF"/>
    <w:rsid w:val="00105362"/>
    <w:rsid w:val="00105E69"/>
    <w:rsid w:val="0010665F"/>
    <w:rsid w:val="001066CE"/>
    <w:rsid w:val="0010695A"/>
    <w:rsid w:val="00106D2A"/>
    <w:rsid w:val="00106EEC"/>
    <w:rsid w:val="00106FF6"/>
    <w:rsid w:val="0010776D"/>
    <w:rsid w:val="0010794E"/>
    <w:rsid w:val="00107C80"/>
    <w:rsid w:val="00107FAC"/>
    <w:rsid w:val="00110000"/>
    <w:rsid w:val="001101D1"/>
    <w:rsid w:val="00110646"/>
    <w:rsid w:val="0011082B"/>
    <w:rsid w:val="00110C53"/>
    <w:rsid w:val="00110C62"/>
    <w:rsid w:val="001114EA"/>
    <w:rsid w:val="001123DF"/>
    <w:rsid w:val="00112AC5"/>
    <w:rsid w:val="00112EEB"/>
    <w:rsid w:val="00113004"/>
    <w:rsid w:val="00113518"/>
    <w:rsid w:val="00113CEA"/>
    <w:rsid w:val="00113D5A"/>
    <w:rsid w:val="00113E30"/>
    <w:rsid w:val="00114589"/>
    <w:rsid w:val="001147F1"/>
    <w:rsid w:val="00114D7A"/>
    <w:rsid w:val="00114FE3"/>
    <w:rsid w:val="00115184"/>
    <w:rsid w:val="0011536B"/>
    <w:rsid w:val="001157A6"/>
    <w:rsid w:val="00115A16"/>
    <w:rsid w:val="00115BE1"/>
    <w:rsid w:val="00115C7B"/>
    <w:rsid w:val="00116146"/>
    <w:rsid w:val="001170C7"/>
    <w:rsid w:val="001172C2"/>
    <w:rsid w:val="001202D9"/>
    <w:rsid w:val="001203F7"/>
    <w:rsid w:val="001207A2"/>
    <w:rsid w:val="00120A86"/>
    <w:rsid w:val="00120D8E"/>
    <w:rsid w:val="0012180A"/>
    <w:rsid w:val="001227F6"/>
    <w:rsid w:val="0012307D"/>
    <w:rsid w:val="00123192"/>
    <w:rsid w:val="00123350"/>
    <w:rsid w:val="0012362F"/>
    <w:rsid w:val="00123BE2"/>
    <w:rsid w:val="00124DEF"/>
    <w:rsid w:val="001251EC"/>
    <w:rsid w:val="0012562C"/>
    <w:rsid w:val="00125848"/>
    <w:rsid w:val="00125D5D"/>
    <w:rsid w:val="00125E1F"/>
    <w:rsid w:val="00126AFB"/>
    <w:rsid w:val="00126D39"/>
    <w:rsid w:val="00126E4E"/>
    <w:rsid w:val="0012760F"/>
    <w:rsid w:val="00127796"/>
    <w:rsid w:val="0012782F"/>
    <w:rsid w:val="00127A82"/>
    <w:rsid w:val="00127AC2"/>
    <w:rsid w:val="00127BDB"/>
    <w:rsid w:val="001300CF"/>
    <w:rsid w:val="00130970"/>
    <w:rsid w:val="00130D72"/>
    <w:rsid w:val="00131C96"/>
    <w:rsid w:val="00131E25"/>
    <w:rsid w:val="00132328"/>
    <w:rsid w:val="00132404"/>
    <w:rsid w:val="00132866"/>
    <w:rsid w:val="00132EFE"/>
    <w:rsid w:val="0013363D"/>
    <w:rsid w:val="00133D08"/>
    <w:rsid w:val="00133D6C"/>
    <w:rsid w:val="00133DE1"/>
    <w:rsid w:val="001349AF"/>
    <w:rsid w:val="00134CF6"/>
    <w:rsid w:val="00134DEF"/>
    <w:rsid w:val="00135310"/>
    <w:rsid w:val="0013547D"/>
    <w:rsid w:val="001356BD"/>
    <w:rsid w:val="00135CD7"/>
    <w:rsid w:val="00135D0D"/>
    <w:rsid w:val="0013615D"/>
    <w:rsid w:val="001369B1"/>
    <w:rsid w:val="001369BA"/>
    <w:rsid w:val="00136B32"/>
    <w:rsid w:val="00136DD8"/>
    <w:rsid w:val="00136E5C"/>
    <w:rsid w:val="00136F0C"/>
    <w:rsid w:val="00137373"/>
    <w:rsid w:val="00137935"/>
    <w:rsid w:val="001402B3"/>
    <w:rsid w:val="0014101A"/>
    <w:rsid w:val="00141413"/>
    <w:rsid w:val="00141834"/>
    <w:rsid w:val="00141EA0"/>
    <w:rsid w:val="0014251D"/>
    <w:rsid w:val="00142529"/>
    <w:rsid w:val="00142543"/>
    <w:rsid w:val="001428F8"/>
    <w:rsid w:val="0014329A"/>
    <w:rsid w:val="0014352C"/>
    <w:rsid w:val="00143866"/>
    <w:rsid w:val="00143A5E"/>
    <w:rsid w:val="00143F27"/>
    <w:rsid w:val="0014440A"/>
    <w:rsid w:val="00144607"/>
    <w:rsid w:val="001447A9"/>
    <w:rsid w:val="001449AD"/>
    <w:rsid w:val="00144B1C"/>
    <w:rsid w:val="00144B7A"/>
    <w:rsid w:val="00144FDE"/>
    <w:rsid w:val="0014518C"/>
    <w:rsid w:val="0014527F"/>
    <w:rsid w:val="001458A1"/>
    <w:rsid w:val="00145C4A"/>
    <w:rsid w:val="001460F4"/>
    <w:rsid w:val="00146715"/>
    <w:rsid w:val="00147FD7"/>
    <w:rsid w:val="00150370"/>
    <w:rsid w:val="001509EA"/>
    <w:rsid w:val="00150DEE"/>
    <w:rsid w:val="0015123B"/>
    <w:rsid w:val="0015153B"/>
    <w:rsid w:val="00151B70"/>
    <w:rsid w:val="00151DF2"/>
    <w:rsid w:val="00152105"/>
    <w:rsid w:val="00152505"/>
    <w:rsid w:val="00152551"/>
    <w:rsid w:val="00152655"/>
    <w:rsid w:val="001529F6"/>
    <w:rsid w:val="00153094"/>
    <w:rsid w:val="00153210"/>
    <w:rsid w:val="00153D2C"/>
    <w:rsid w:val="00153ECB"/>
    <w:rsid w:val="00154C48"/>
    <w:rsid w:val="00155053"/>
    <w:rsid w:val="00155116"/>
    <w:rsid w:val="001552AD"/>
    <w:rsid w:val="001552D4"/>
    <w:rsid w:val="00155B03"/>
    <w:rsid w:val="00155D1A"/>
    <w:rsid w:val="00155D98"/>
    <w:rsid w:val="00155DCE"/>
    <w:rsid w:val="001565CF"/>
    <w:rsid w:val="00156ADD"/>
    <w:rsid w:val="0015748C"/>
    <w:rsid w:val="00157AF7"/>
    <w:rsid w:val="00160310"/>
    <w:rsid w:val="00160A3E"/>
    <w:rsid w:val="00161218"/>
    <w:rsid w:val="00161C55"/>
    <w:rsid w:val="001634D8"/>
    <w:rsid w:val="001638C6"/>
    <w:rsid w:val="0016390D"/>
    <w:rsid w:val="00163B9A"/>
    <w:rsid w:val="00163C72"/>
    <w:rsid w:val="00163FD2"/>
    <w:rsid w:val="00164243"/>
    <w:rsid w:val="00164259"/>
    <w:rsid w:val="0016453D"/>
    <w:rsid w:val="0016469F"/>
    <w:rsid w:val="00164CCE"/>
    <w:rsid w:val="00165048"/>
    <w:rsid w:val="001650D1"/>
    <w:rsid w:val="00165367"/>
    <w:rsid w:val="0016570B"/>
    <w:rsid w:val="00165B28"/>
    <w:rsid w:val="00166058"/>
    <w:rsid w:val="00166479"/>
    <w:rsid w:val="001667F4"/>
    <w:rsid w:val="001668B6"/>
    <w:rsid w:val="00166CD4"/>
    <w:rsid w:val="00166D3D"/>
    <w:rsid w:val="00166E84"/>
    <w:rsid w:val="0016735A"/>
    <w:rsid w:val="00167AAB"/>
    <w:rsid w:val="001706EE"/>
    <w:rsid w:val="001714F3"/>
    <w:rsid w:val="001719E1"/>
    <w:rsid w:val="00171EF0"/>
    <w:rsid w:val="001720AA"/>
    <w:rsid w:val="00172823"/>
    <w:rsid w:val="00172A27"/>
    <w:rsid w:val="00172A94"/>
    <w:rsid w:val="00172D36"/>
    <w:rsid w:val="00173A6E"/>
    <w:rsid w:val="00173E5B"/>
    <w:rsid w:val="001741D4"/>
    <w:rsid w:val="00174CF6"/>
    <w:rsid w:val="00174EAE"/>
    <w:rsid w:val="00174EFC"/>
    <w:rsid w:val="00175309"/>
    <w:rsid w:val="001754B7"/>
    <w:rsid w:val="00175687"/>
    <w:rsid w:val="0017602A"/>
    <w:rsid w:val="0017602D"/>
    <w:rsid w:val="001761C7"/>
    <w:rsid w:val="0017747A"/>
    <w:rsid w:val="00177787"/>
    <w:rsid w:val="001777DD"/>
    <w:rsid w:val="00177822"/>
    <w:rsid w:val="00177B68"/>
    <w:rsid w:val="00177D5F"/>
    <w:rsid w:val="00180117"/>
    <w:rsid w:val="00180152"/>
    <w:rsid w:val="0018021A"/>
    <w:rsid w:val="00180B37"/>
    <w:rsid w:val="00181360"/>
    <w:rsid w:val="00181E02"/>
    <w:rsid w:val="00182279"/>
    <w:rsid w:val="001832A2"/>
    <w:rsid w:val="00183657"/>
    <w:rsid w:val="0018482B"/>
    <w:rsid w:val="00184BBF"/>
    <w:rsid w:val="001858EF"/>
    <w:rsid w:val="00185E0E"/>
    <w:rsid w:val="00185EEC"/>
    <w:rsid w:val="00185F1B"/>
    <w:rsid w:val="0018633B"/>
    <w:rsid w:val="001866CC"/>
    <w:rsid w:val="00186715"/>
    <w:rsid w:val="00186EAE"/>
    <w:rsid w:val="00190F47"/>
    <w:rsid w:val="00190F8B"/>
    <w:rsid w:val="0019202F"/>
    <w:rsid w:val="001924AD"/>
    <w:rsid w:val="001925D0"/>
    <w:rsid w:val="001930C0"/>
    <w:rsid w:val="001936AB"/>
    <w:rsid w:val="00193725"/>
    <w:rsid w:val="0019379F"/>
    <w:rsid w:val="00193957"/>
    <w:rsid w:val="00193BEC"/>
    <w:rsid w:val="00193E19"/>
    <w:rsid w:val="00194277"/>
    <w:rsid w:val="001943A5"/>
    <w:rsid w:val="00194538"/>
    <w:rsid w:val="0019589E"/>
    <w:rsid w:val="00195A8F"/>
    <w:rsid w:val="00195F61"/>
    <w:rsid w:val="00196AEA"/>
    <w:rsid w:val="001970D3"/>
    <w:rsid w:val="001973DD"/>
    <w:rsid w:val="001A015F"/>
    <w:rsid w:val="001A0706"/>
    <w:rsid w:val="001A09D9"/>
    <w:rsid w:val="001A16F2"/>
    <w:rsid w:val="001A1705"/>
    <w:rsid w:val="001A186A"/>
    <w:rsid w:val="001A1974"/>
    <w:rsid w:val="001A1BE0"/>
    <w:rsid w:val="001A1FC7"/>
    <w:rsid w:val="001A2271"/>
    <w:rsid w:val="001A2298"/>
    <w:rsid w:val="001A2420"/>
    <w:rsid w:val="001A2918"/>
    <w:rsid w:val="001A339D"/>
    <w:rsid w:val="001A360E"/>
    <w:rsid w:val="001A3721"/>
    <w:rsid w:val="001A385F"/>
    <w:rsid w:val="001A39E3"/>
    <w:rsid w:val="001A3A3E"/>
    <w:rsid w:val="001A3C28"/>
    <w:rsid w:val="001A3DD7"/>
    <w:rsid w:val="001A4267"/>
    <w:rsid w:val="001A43F0"/>
    <w:rsid w:val="001A46F1"/>
    <w:rsid w:val="001A487B"/>
    <w:rsid w:val="001A518A"/>
    <w:rsid w:val="001A5371"/>
    <w:rsid w:val="001A542D"/>
    <w:rsid w:val="001A5630"/>
    <w:rsid w:val="001A6024"/>
    <w:rsid w:val="001A6191"/>
    <w:rsid w:val="001A6417"/>
    <w:rsid w:val="001A6861"/>
    <w:rsid w:val="001A6C4E"/>
    <w:rsid w:val="001A7033"/>
    <w:rsid w:val="001A716E"/>
    <w:rsid w:val="001A7267"/>
    <w:rsid w:val="001A771B"/>
    <w:rsid w:val="001B0007"/>
    <w:rsid w:val="001B0705"/>
    <w:rsid w:val="001B0845"/>
    <w:rsid w:val="001B08A5"/>
    <w:rsid w:val="001B1BA9"/>
    <w:rsid w:val="001B1C74"/>
    <w:rsid w:val="001B1FFA"/>
    <w:rsid w:val="001B2639"/>
    <w:rsid w:val="001B2B3B"/>
    <w:rsid w:val="001B2F35"/>
    <w:rsid w:val="001B2F98"/>
    <w:rsid w:val="001B345A"/>
    <w:rsid w:val="001B35B3"/>
    <w:rsid w:val="001B3995"/>
    <w:rsid w:val="001B43A9"/>
    <w:rsid w:val="001B4468"/>
    <w:rsid w:val="001B4840"/>
    <w:rsid w:val="001B489F"/>
    <w:rsid w:val="001B4A99"/>
    <w:rsid w:val="001B6034"/>
    <w:rsid w:val="001B62DE"/>
    <w:rsid w:val="001B66A4"/>
    <w:rsid w:val="001B6891"/>
    <w:rsid w:val="001B6F01"/>
    <w:rsid w:val="001B7B79"/>
    <w:rsid w:val="001B7EA7"/>
    <w:rsid w:val="001C15C4"/>
    <w:rsid w:val="001C1C01"/>
    <w:rsid w:val="001C256B"/>
    <w:rsid w:val="001C2FFC"/>
    <w:rsid w:val="001C30BA"/>
    <w:rsid w:val="001C3147"/>
    <w:rsid w:val="001C3262"/>
    <w:rsid w:val="001C37F8"/>
    <w:rsid w:val="001C489C"/>
    <w:rsid w:val="001C48AD"/>
    <w:rsid w:val="001C4ADC"/>
    <w:rsid w:val="001C5702"/>
    <w:rsid w:val="001C63C3"/>
    <w:rsid w:val="001C6F5B"/>
    <w:rsid w:val="001C7355"/>
    <w:rsid w:val="001C745B"/>
    <w:rsid w:val="001C75D5"/>
    <w:rsid w:val="001C763E"/>
    <w:rsid w:val="001C7646"/>
    <w:rsid w:val="001C7AF4"/>
    <w:rsid w:val="001C7F43"/>
    <w:rsid w:val="001D0213"/>
    <w:rsid w:val="001D0BB3"/>
    <w:rsid w:val="001D0C62"/>
    <w:rsid w:val="001D3001"/>
    <w:rsid w:val="001D400D"/>
    <w:rsid w:val="001D4118"/>
    <w:rsid w:val="001D51DB"/>
    <w:rsid w:val="001D557E"/>
    <w:rsid w:val="001D572E"/>
    <w:rsid w:val="001D58B2"/>
    <w:rsid w:val="001D61CB"/>
    <w:rsid w:val="001D671D"/>
    <w:rsid w:val="001D7073"/>
    <w:rsid w:val="001D7ADC"/>
    <w:rsid w:val="001D7C1C"/>
    <w:rsid w:val="001E00C1"/>
    <w:rsid w:val="001E0556"/>
    <w:rsid w:val="001E0816"/>
    <w:rsid w:val="001E15EF"/>
    <w:rsid w:val="001E1A79"/>
    <w:rsid w:val="001E1E72"/>
    <w:rsid w:val="001E2BB6"/>
    <w:rsid w:val="001E2EF1"/>
    <w:rsid w:val="001E39A3"/>
    <w:rsid w:val="001E3D7B"/>
    <w:rsid w:val="001E466C"/>
    <w:rsid w:val="001E4CB2"/>
    <w:rsid w:val="001E5684"/>
    <w:rsid w:val="001E590F"/>
    <w:rsid w:val="001E5A0E"/>
    <w:rsid w:val="001E6D21"/>
    <w:rsid w:val="001E6F46"/>
    <w:rsid w:val="001E72A1"/>
    <w:rsid w:val="001E7792"/>
    <w:rsid w:val="001F0BB1"/>
    <w:rsid w:val="001F19DB"/>
    <w:rsid w:val="001F1C05"/>
    <w:rsid w:val="001F213F"/>
    <w:rsid w:val="001F28AD"/>
    <w:rsid w:val="001F28E7"/>
    <w:rsid w:val="001F2ABC"/>
    <w:rsid w:val="001F30F3"/>
    <w:rsid w:val="001F3176"/>
    <w:rsid w:val="001F34EF"/>
    <w:rsid w:val="001F36E1"/>
    <w:rsid w:val="001F3803"/>
    <w:rsid w:val="001F397D"/>
    <w:rsid w:val="001F3BFC"/>
    <w:rsid w:val="001F3DCF"/>
    <w:rsid w:val="001F4049"/>
    <w:rsid w:val="001F45A9"/>
    <w:rsid w:val="001F47A3"/>
    <w:rsid w:val="001F4AC2"/>
    <w:rsid w:val="001F4EB0"/>
    <w:rsid w:val="001F5213"/>
    <w:rsid w:val="001F5B8B"/>
    <w:rsid w:val="001F6356"/>
    <w:rsid w:val="001F63CD"/>
    <w:rsid w:val="001F696E"/>
    <w:rsid w:val="001F6BCA"/>
    <w:rsid w:val="001F7D5C"/>
    <w:rsid w:val="001F7DBB"/>
    <w:rsid w:val="002003C0"/>
    <w:rsid w:val="00200766"/>
    <w:rsid w:val="00200AC6"/>
    <w:rsid w:val="00200B9D"/>
    <w:rsid w:val="0020147A"/>
    <w:rsid w:val="00202D20"/>
    <w:rsid w:val="00203897"/>
    <w:rsid w:val="002049F1"/>
    <w:rsid w:val="00204B9B"/>
    <w:rsid w:val="00205055"/>
    <w:rsid w:val="002050B6"/>
    <w:rsid w:val="002054DE"/>
    <w:rsid w:val="00205D5A"/>
    <w:rsid w:val="00206325"/>
    <w:rsid w:val="0020634C"/>
    <w:rsid w:val="002066B9"/>
    <w:rsid w:val="0020708F"/>
    <w:rsid w:val="00207377"/>
    <w:rsid w:val="00207D47"/>
    <w:rsid w:val="00207F16"/>
    <w:rsid w:val="00210453"/>
    <w:rsid w:val="002105AB"/>
    <w:rsid w:val="002105D1"/>
    <w:rsid w:val="00210F4C"/>
    <w:rsid w:val="002114BE"/>
    <w:rsid w:val="00211F50"/>
    <w:rsid w:val="00212274"/>
    <w:rsid w:val="002122DC"/>
    <w:rsid w:val="00212445"/>
    <w:rsid w:val="00212887"/>
    <w:rsid w:val="00213145"/>
    <w:rsid w:val="0021315A"/>
    <w:rsid w:val="00213A82"/>
    <w:rsid w:val="00213EDA"/>
    <w:rsid w:val="002147A5"/>
    <w:rsid w:val="002150B9"/>
    <w:rsid w:val="002161A9"/>
    <w:rsid w:val="002162A8"/>
    <w:rsid w:val="00216739"/>
    <w:rsid w:val="00216FDB"/>
    <w:rsid w:val="00217521"/>
    <w:rsid w:val="00220174"/>
    <w:rsid w:val="0022040E"/>
    <w:rsid w:val="00221357"/>
    <w:rsid w:val="002218FB"/>
    <w:rsid w:val="002219D7"/>
    <w:rsid w:val="00222BBC"/>
    <w:rsid w:val="00222E56"/>
    <w:rsid w:val="002231EE"/>
    <w:rsid w:val="00223221"/>
    <w:rsid w:val="00224C0A"/>
    <w:rsid w:val="002250CD"/>
    <w:rsid w:val="00225B4D"/>
    <w:rsid w:val="00225E1C"/>
    <w:rsid w:val="00225F94"/>
    <w:rsid w:val="00226107"/>
    <w:rsid w:val="0022665B"/>
    <w:rsid w:val="00227296"/>
    <w:rsid w:val="002276A0"/>
    <w:rsid w:val="00227993"/>
    <w:rsid w:val="00227BED"/>
    <w:rsid w:val="00227D68"/>
    <w:rsid w:val="00230989"/>
    <w:rsid w:val="00231695"/>
    <w:rsid w:val="002318B6"/>
    <w:rsid w:val="00232B93"/>
    <w:rsid w:val="00233771"/>
    <w:rsid w:val="002339EA"/>
    <w:rsid w:val="002341D2"/>
    <w:rsid w:val="00234308"/>
    <w:rsid w:val="00234470"/>
    <w:rsid w:val="002345AE"/>
    <w:rsid w:val="0023466B"/>
    <w:rsid w:val="00234DB5"/>
    <w:rsid w:val="00234E07"/>
    <w:rsid w:val="00234ED6"/>
    <w:rsid w:val="00235366"/>
    <w:rsid w:val="00235E23"/>
    <w:rsid w:val="0023679F"/>
    <w:rsid w:val="00236A3E"/>
    <w:rsid w:val="002401DD"/>
    <w:rsid w:val="002405AB"/>
    <w:rsid w:val="00240830"/>
    <w:rsid w:val="00241B12"/>
    <w:rsid w:val="002423F9"/>
    <w:rsid w:val="0024254C"/>
    <w:rsid w:val="00242833"/>
    <w:rsid w:val="00242E46"/>
    <w:rsid w:val="00243647"/>
    <w:rsid w:val="00243D4D"/>
    <w:rsid w:val="0024421D"/>
    <w:rsid w:val="0024430A"/>
    <w:rsid w:val="002444A8"/>
    <w:rsid w:val="00244556"/>
    <w:rsid w:val="00244735"/>
    <w:rsid w:val="00244800"/>
    <w:rsid w:val="002448D2"/>
    <w:rsid w:val="0024493D"/>
    <w:rsid w:val="00244966"/>
    <w:rsid w:val="002449B4"/>
    <w:rsid w:val="00244BE7"/>
    <w:rsid w:val="00244C78"/>
    <w:rsid w:val="00245057"/>
    <w:rsid w:val="00245416"/>
    <w:rsid w:val="00245F3B"/>
    <w:rsid w:val="0024655E"/>
    <w:rsid w:val="00246AC7"/>
    <w:rsid w:val="00246B66"/>
    <w:rsid w:val="00247303"/>
    <w:rsid w:val="0024737A"/>
    <w:rsid w:val="00250438"/>
    <w:rsid w:val="00251043"/>
    <w:rsid w:val="00251346"/>
    <w:rsid w:val="00251F22"/>
    <w:rsid w:val="00252150"/>
    <w:rsid w:val="00253033"/>
    <w:rsid w:val="00253882"/>
    <w:rsid w:val="00253C4C"/>
    <w:rsid w:val="00254019"/>
    <w:rsid w:val="002541B1"/>
    <w:rsid w:val="00254AE2"/>
    <w:rsid w:val="00254B53"/>
    <w:rsid w:val="0025522D"/>
    <w:rsid w:val="002552AC"/>
    <w:rsid w:val="00255774"/>
    <w:rsid w:val="0025587D"/>
    <w:rsid w:val="00255920"/>
    <w:rsid w:val="00255EA5"/>
    <w:rsid w:val="00256255"/>
    <w:rsid w:val="00257ED5"/>
    <w:rsid w:val="002600F2"/>
    <w:rsid w:val="002606AB"/>
    <w:rsid w:val="002609F5"/>
    <w:rsid w:val="00261597"/>
    <w:rsid w:val="002615E1"/>
    <w:rsid w:val="002616A4"/>
    <w:rsid w:val="00261B55"/>
    <w:rsid w:val="00261C69"/>
    <w:rsid w:val="00261D0A"/>
    <w:rsid w:val="00262724"/>
    <w:rsid w:val="002637D7"/>
    <w:rsid w:val="002639C3"/>
    <w:rsid w:val="00263CFB"/>
    <w:rsid w:val="00263E12"/>
    <w:rsid w:val="002646E3"/>
    <w:rsid w:val="00264A1E"/>
    <w:rsid w:val="00265152"/>
    <w:rsid w:val="00265707"/>
    <w:rsid w:val="00265C49"/>
    <w:rsid w:val="002666E5"/>
    <w:rsid w:val="00266BDF"/>
    <w:rsid w:val="00267135"/>
    <w:rsid w:val="00267A4A"/>
    <w:rsid w:val="00271085"/>
    <w:rsid w:val="00271429"/>
    <w:rsid w:val="00271462"/>
    <w:rsid w:val="00271758"/>
    <w:rsid w:val="00271A0B"/>
    <w:rsid w:val="00271C01"/>
    <w:rsid w:val="002728E2"/>
    <w:rsid w:val="002733A6"/>
    <w:rsid w:val="00273B50"/>
    <w:rsid w:val="00273E95"/>
    <w:rsid w:val="002748D9"/>
    <w:rsid w:val="00274C6C"/>
    <w:rsid w:val="00274C95"/>
    <w:rsid w:val="00274D60"/>
    <w:rsid w:val="002752C6"/>
    <w:rsid w:val="00275500"/>
    <w:rsid w:val="00275AC6"/>
    <w:rsid w:val="00275C8F"/>
    <w:rsid w:val="00275D85"/>
    <w:rsid w:val="00275DEB"/>
    <w:rsid w:val="00275FA5"/>
    <w:rsid w:val="00276081"/>
    <w:rsid w:val="00276772"/>
    <w:rsid w:val="00276D8B"/>
    <w:rsid w:val="00277216"/>
    <w:rsid w:val="0027728B"/>
    <w:rsid w:val="0027729C"/>
    <w:rsid w:val="00277601"/>
    <w:rsid w:val="00277A2A"/>
    <w:rsid w:val="00277C1C"/>
    <w:rsid w:val="00280915"/>
    <w:rsid w:val="00280C0F"/>
    <w:rsid w:val="00280F75"/>
    <w:rsid w:val="00281577"/>
    <w:rsid w:val="00281880"/>
    <w:rsid w:val="002819F1"/>
    <w:rsid w:val="002833CD"/>
    <w:rsid w:val="0028360D"/>
    <w:rsid w:val="002839CF"/>
    <w:rsid w:val="00283CF1"/>
    <w:rsid w:val="00284B13"/>
    <w:rsid w:val="00284B47"/>
    <w:rsid w:val="002867A0"/>
    <w:rsid w:val="002867D7"/>
    <w:rsid w:val="00286F9B"/>
    <w:rsid w:val="00287239"/>
    <w:rsid w:val="002876F6"/>
    <w:rsid w:val="0028785D"/>
    <w:rsid w:val="00287C50"/>
    <w:rsid w:val="00287FE4"/>
    <w:rsid w:val="0029030A"/>
    <w:rsid w:val="0029097E"/>
    <w:rsid w:val="00290C46"/>
    <w:rsid w:val="00290E29"/>
    <w:rsid w:val="0029159D"/>
    <w:rsid w:val="0029191A"/>
    <w:rsid w:val="00291C03"/>
    <w:rsid w:val="00292089"/>
    <w:rsid w:val="00292824"/>
    <w:rsid w:val="00292B3A"/>
    <w:rsid w:val="00292ECC"/>
    <w:rsid w:val="0029322A"/>
    <w:rsid w:val="0029325D"/>
    <w:rsid w:val="002933BD"/>
    <w:rsid w:val="00293653"/>
    <w:rsid w:val="0029378E"/>
    <w:rsid w:val="00293B02"/>
    <w:rsid w:val="00293E08"/>
    <w:rsid w:val="002940EE"/>
    <w:rsid w:val="00294620"/>
    <w:rsid w:val="002946C2"/>
    <w:rsid w:val="00294734"/>
    <w:rsid w:val="00294D8A"/>
    <w:rsid w:val="002954D7"/>
    <w:rsid w:val="00295CF9"/>
    <w:rsid w:val="002961FB"/>
    <w:rsid w:val="002965A6"/>
    <w:rsid w:val="00296AF4"/>
    <w:rsid w:val="002975DA"/>
    <w:rsid w:val="002979B5"/>
    <w:rsid w:val="00297C68"/>
    <w:rsid w:val="002A037C"/>
    <w:rsid w:val="002A0EF2"/>
    <w:rsid w:val="002A114B"/>
    <w:rsid w:val="002A15E7"/>
    <w:rsid w:val="002A2846"/>
    <w:rsid w:val="002A2F30"/>
    <w:rsid w:val="002A3185"/>
    <w:rsid w:val="002A3257"/>
    <w:rsid w:val="002A38FB"/>
    <w:rsid w:val="002A4208"/>
    <w:rsid w:val="002A43B8"/>
    <w:rsid w:val="002A4736"/>
    <w:rsid w:val="002A47D5"/>
    <w:rsid w:val="002A48BF"/>
    <w:rsid w:val="002A50C8"/>
    <w:rsid w:val="002A50C9"/>
    <w:rsid w:val="002A54D2"/>
    <w:rsid w:val="002A646D"/>
    <w:rsid w:val="002A65FA"/>
    <w:rsid w:val="002A6CA5"/>
    <w:rsid w:val="002A787D"/>
    <w:rsid w:val="002A7F3D"/>
    <w:rsid w:val="002B0927"/>
    <w:rsid w:val="002B0C84"/>
    <w:rsid w:val="002B1897"/>
    <w:rsid w:val="002B18D0"/>
    <w:rsid w:val="002B24AB"/>
    <w:rsid w:val="002B2E50"/>
    <w:rsid w:val="002B353B"/>
    <w:rsid w:val="002B36D0"/>
    <w:rsid w:val="002B3C13"/>
    <w:rsid w:val="002B3CC5"/>
    <w:rsid w:val="002B47E5"/>
    <w:rsid w:val="002B5007"/>
    <w:rsid w:val="002B5284"/>
    <w:rsid w:val="002B6205"/>
    <w:rsid w:val="002B62A8"/>
    <w:rsid w:val="002B67E4"/>
    <w:rsid w:val="002B6897"/>
    <w:rsid w:val="002B6EE4"/>
    <w:rsid w:val="002B6FC4"/>
    <w:rsid w:val="002B754B"/>
    <w:rsid w:val="002B75EA"/>
    <w:rsid w:val="002B7A44"/>
    <w:rsid w:val="002B7C95"/>
    <w:rsid w:val="002C0443"/>
    <w:rsid w:val="002C0B53"/>
    <w:rsid w:val="002C1087"/>
    <w:rsid w:val="002C17A5"/>
    <w:rsid w:val="002C3522"/>
    <w:rsid w:val="002C389D"/>
    <w:rsid w:val="002C3E32"/>
    <w:rsid w:val="002C3FA2"/>
    <w:rsid w:val="002C466F"/>
    <w:rsid w:val="002C4C63"/>
    <w:rsid w:val="002C529B"/>
    <w:rsid w:val="002C560D"/>
    <w:rsid w:val="002C579E"/>
    <w:rsid w:val="002C5A99"/>
    <w:rsid w:val="002C5AC0"/>
    <w:rsid w:val="002C5AD4"/>
    <w:rsid w:val="002C62B0"/>
    <w:rsid w:val="002C649D"/>
    <w:rsid w:val="002C6768"/>
    <w:rsid w:val="002C6CE8"/>
    <w:rsid w:val="002C7210"/>
    <w:rsid w:val="002C72E5"/>
    <w:rsid w:val="002C749A"/>
    <w:rsid w:val="002C7AF2"/>
    <w:rsid w:val="002D0022"/>
    <w:rsid w:val="002D18AF"/>
    <w:rsid w:val="002D1FBA"/>
    <w:rsid w:val="002D219B"/>
    <w:rsid w:val="002D2F85"/>
    <w:rsid w:val="002D3115"/>
    <w:rsid w:val="002D31E4"/>
    <w:rsid w:val="002D3576"/>
    <w:rsid w:val="002D35EE"/>
    <w:rsid w:val="002D3AC1"/>
    <w:rsid w:val="002D3E84"/>
    <w:rsid w:val="002D4DF8"/>
    <w:rsid w:val="002D57C7"/>
    <w:rsid w:val="002D5A7B"/>
    <w:rsid w:val="002D61F5"/>
    <w:rsid w:val="002D65D7"/>
    <w:rsid w:val="002D6630"/>
    <w:rsid w:val="002D799B"/>
    <w:rsid w:val="002D7FD9"/>
    <w:rsid w:val="002E0129"/>
    <w:rsid w:val="002E0D12"/>
    <w:rsid w:val="002E10CA"/>
    <w:rsid w:val="002E1A6E"/>
    <w:rsid w:val="002E1C5F"/>
    <w:rsid w:val="002E1E17"/>
    <w:rsid w:val="002E2EDE"/>
    <w:rsid w:val="002E3830"/>
    <w:rsid w:val="002E3949"/>
    <w:rsid w:val="002E3FFA"/>
    <w:rsid w:val="002E437B"/>
    <w:rsid w:val="002E4BFF"/>
    <w:rsid w:val="002E53E5"/>
    <w:rsid w:val="002E5434"/>
    <w:rsid w:val="002E55EC"/>
    <w:rsid w:val="002E5F00"/>
    <w:rsid w:val="002E6005"/>
    <w:rsid w:val="002E6A76"/>
    <w:rsid w:val="002E6F78"/>
    <w:rsid w:val="002E784F"/>
    <w:rsid w:val="002E7945"/>
    <w:rsid w:val="002F0241"/>
    <w:rsid w:val="002F0DF5"/>
    <w:rsid w:val="002F11AC"/>
    <w:rsid w:val="002F127F"/>
    <w:rsid w:val="002F1518"/>
    <w:rsid w:val="002F1A45"/>
    <w:rsid w:val="002F1F29"/>
    <w:rsid w:val="002F1F8D"/>
    <w:rsid w:val="002F22F9"/>
    <w:rsid w:val="002F2A12"/>
    <w:rsid w:val="002F39A0"/>
    <w:rsid w:val="002F3F1D"/>
    <w:rsid w:val="002F4EBB"/>
    <w:rsid w:val="002F5889"/>
    <w:rsid w:val="002F58E2"/>
    <w:rsid w:val="002F628C"/>
    <w:rsid w:val="002F63AF"/>
    <w:rsid w:val="002F6930"/>
    <w:rsid w:val="002F6CC0"/>
    <w:rsid w:val="002F6D72"/>
    <w:rsid w:val="002F6E93"/>
    <w:rsid w:val="002F75D8"/>
    <w:rsid w:val="002F781E"/>
    <w:rsid w:val="002F7E9F"/>
    <w:rsid w:val="002F7EF6"/>
    <w:rsid w:val="003011FE"/>
    <w:rsid w:val="00301419"/>
    <w:rsid w:val="0030157A"/>
    <w:rsid w:val="0030282B"/>
    <w:rsid w:val="00302844"/>
    <w:rsid w:val="00303422"/>
    <w:rsid w:val="00303477"/>
    <w:rsid w:val="00303708"/>
    <w:rsid w:val="00303A3E"/>
    <w:rsid w:val="00303A5E"/>
    <w:rsid w:val="00303D11"/>
    <w:rsid w:val="00304540"/>
    <w:rsid w:val="003046DC"/>
    <w:rsid w:val="00304DC5"/>
    <w:rsid w:val="0030505B"/>
    <w:rsid w:val="00305441"/>
    <w:rsid w:val="0030573B"/>
    <w:rsid w:val="00305818"/>
    <w:rsid w:val="00305C44"/>
    <w:rsid w:val="00305EB7"/>
    <w:rsid w:val="0030614E"/>
    <w:rsid w:val="0030646B"/>
    <w:rsid w:val="00306595"/>
    <w:rsid w:val="003067B5"/>
    <w:rsid w:val="003068F5"/>
    <w:rsid w:val="00306A92"/>
    <w:rsid w:val="00307082"/>
    <w:rsid w:val="00307BC7"/>
    <w:rsid w:val="00307FE9"/>
    <w:rsid w:val="003102DB"/>
    <w:rsid w:val="00310CB8"/>
    <w:rsid w:val="00310FC9"/>
    <w:rsid w:val="003117C1"/>
    <w:rsid w:val="00311EF0"/>
    <w:rsid w:val="003126AC"/>
    <w:rsid w:val="00312DD9"/>
    <w:rsid w:val="003138C2"/>
    <w:rsid w:val="00313BE9"/>
    <w:rsid w:val="00313F6C"/>
    <w:rsid w:val="00313FE9"/>
    <w:rsid w:val="0031413E"/>
    <w:rsid w:val="00314307"/>
    <w:rsid w:val="00314647"/>
    <w:rsid w:val="0031580E"/>
    <w:rsid w:val="003159B0"/>
    <w:rsid w:val="0031606A"/>
    <w:rsid w:val="0031665D"/>
    <w:rsid w:val="00316879"/>
    <w:rsid w:val="003172F5"/>
    <w:rsid w:val="003176F5"/>
    <w:rsid w:val="00317914"/>
    <w:rsid w:val="00317C64"/>
    <w:rsid w:val="00317D95"/>
    <w:rsid w:val="0032054A"/>
    <w:rsid w:val="00320F22"/>
    <w:rsid w:val="00320F6E"/>
    <w:rsid w:val="00321054"/>
    <w:rsid w:val="00321A93"/>
    <w:rsid w:val="00322246"/>
    <w:rsid w:val="00323763"/>
    <w:rsid w:val="0032385B"/>
    <w:rsid w:val="0032385D"/>
    <w:rsid w:val="00323ECD"/>
    <w:rsid w:val="00323F66"/>
    <w:rsid w:val="0032413A"/>
    <w:rsid w:val="00324567"/>
    <w:rsid w:val="003248CA"/>
    <w:rsid w:val="00324B38"/>
    <w:rsid w:val="00324D40"/>
    <w:rsid w:val="00324DD3"/>
    <w:rsid w:val="00325036"/>
    <w:rsid w:val="00325341"/>
    <w:rsid w:val="0032573E"/>
    <w:rsid w:val="00326093"/>
    <w:rsid w:val="003261B7"/>
    <w:rsid w:val="003263C2"/>
    <w:rsid w:val="00326A39"/>
    <w:rsid w:val="003271B3"/>
    <w:rsid w:val="00327BA8"/>
    <w:rsid w:val="00330631"/>
    <w:rsid w:val="00330B32"/>
    <w:rsid w:val="00331B5D"/>
    <w:rsid w:val="00331B70"/>
    <w:rsid w:val="00331DA4"/>
    <w:rsid w:val="00332723"/>
    <w:rsid w:val="00332C3F"/>
    <w:rsid w:val="003333A3"/>
    <w:rsid w:val="0033352F"/>
    <w:rsid w:val="0033372C"/>
    <w:rsid w:val="00333D07"/>
    <w:rsid w:val="003351D4"/>
    <w:rsid w:val="00335A74"/>
    <w:rsid w:val="00335B6B"/>
    <w:rsid w:val="00336523"/>
    <w:rsid w:val="00336A42"/>
    <w:rsid w:val="00336DE5"/>
    <w:rsid w:val="00336EDD"/>
    <w:rsid w:val="0033708E"/>
    <w:rsid w:val="003371BA"/>
    <w:rsid w:val="0034019E"/>
    <w:rsid w:val="003409C9"/>
    <w:rsid w:val="003409CD"/>
    <w:rsid w:val="00340D1D"/>
    <w:rsid w:val="00341161"/>
    <w:rsid w:val="00341BFD"/>
    <w:rsid w:val="00341F78"/>
    <w:rsid w:val="0034260D"/>
    <w:rsid w:val="003430BA"/>
    <w:rsid w:val="003433EA"/>
    <w:rsid w:val="003438FB"/>
    <w:rsid w:val="00344791"/>
    <w:rsid w:val="00344822"/>
    <w:rsid w:val="00344971"/>
    <w:rsid w:val="00345F1A"/>
    <w:rsid w:val="00346A9C"/>
    <w:rsid w:val="00347199"/>
    <w:rsid w:val="0034723E"/>
    <w:rsid w:val="003479AF"/>
    <w:rsid w:val="00347EA9"/>
    <w:rsid w:val="003501DB"/>
    <w:rsid w:val="00350921"/>
    <w:rsid w:val="00350BDB"/>
    <w:rsid w:val="00350E3B"/>
    <w:rsid w:val="003511FF"/>
    <w:rsid w:val="00351A03"/>
    <w:rsid w:val="003524BE"/>
    <w:rsid w:val="00352715"/>
    <w:rsid w:val="0035360A"/>
    <w:rsid w:val="0035390A"/>
    <w:rsid w:val="00353CE4"/>
    <w:rsid w:val="0035474C"/>
    <w:rsid w:val="00355ABC"/>
    <w:rsid w:val="00355B4F"/>
    <w:rsid w:val="00355FB2"/>
    <w:rsid w:val="0035609A"/>
    <w:rsid w:val="00356D8D"/>
    <w:rsid w:val="003570C3"/>
    <w:rsid w:val="003600B5"/>
    <w:rsid w:val="003603FF"/>
    <w:rsid w:val="00360A6E"/>
    <w:rsid w:val="00360CD7"/>
    <w:rsid w:val="00360DEF"/>
    <w:rsid w:val="0036147A"/>
    <w:rsid w:val="00361C61"/>
    <w:rsid w:val="00362268"/>
    <w:rsid w:val="003627E2"/>
    <w:rsid w:val="00362A30"/>
    <w:rsid w:val="00362B23"/>
    <w:rsid w:val="00362DB5"/>
    <w:rsid w:val="00362F6E"/>
    <w:rsid w:val="00363049"/>
    <w:rsid w:val="003632E5"/>
    <w:rsid w:val="003635D2"/>
    <w:rsid w:val="0036363F"/>
    <w:rsid w:val="00363770"/>
    <w:rsid w:val="0036446F"/>
    <w:rsid w:val="00365438"/>
    <w:rsid w:val="00366109"/>
    <w:rsid w:val="003662EF"/>
    <w:rsid w:val="00366E99"/>
    <w:rsid w:val="00367281"/>
    <w:rsid w:val="00367804"/>
    <w:rsid w:val="00367E6E"/>
    <w:rsid w:val="00367ED8"/>
    <w:rsid w:val="00370041"/>
    <w:rsid w:val="00370780"/>
    <w:rsid w:val="00370960"/>
    <w:rsid w:val="00371EB9"/>
    <w:rsid w:val="00372440"/>
    <w:rsid w:val="00372619"/>
    <w:rsid w:val="00372935"/>
    <w:rsid w:val="00372CCD"/>
    <w:rsid w:val="00372D23"/>
    <w:rsid w:val="00373AB0"/>
    <w:rsid w:val="00373ABF"/>
    <w:rsid w:val="00374260"/>
    <w:rsid w:val="003751B5"/>
    <w:rsid w:val="003758D4"/>
    <w:rsid w:val="00376816"/>
    <w:rsid w:val="00376DCB"/>
    <w:rsid w:val="003776D4"/>
    <w:rsid w:val="00377744"/>
    <w:rsid w:val="00377964"/>
    <w:rsid w:val="00377A07"/>
    <w:rsid w:val="00377A70"/>
    <w:rsid w:val="00377E0E"/>
    <w:rsid w:val="00377FB8"/>
    <w:rsid w:val="003802D7"/>
    <w:rsid w:val="00380F2D"/>
    <w:rsid w:val="0038123C"/>
    <w:rsid w:val="003815CC"/>
    <w:rsid w:val="0038165A"/>
    <w:rsid w:val="00381E35"/>
    <w:rsid w:val="003828DF"/>
    <w:rsid w:val="00382C65"/>
    <w:rsid w:val="00382F79"/>
    <w:rsid w:val="0038398C"/>
    <w:rsid w:val="00383A16"/>
    <w:rsid w:val="00383B63"/>
    <w:rsid w:val="00383DEE"/>
    <w:rsid w:val="003841E6"/>
    <w:rsid w:val="003845E7"/>
    <w:rsid w:val="0038489D"/>
    <w:rsid w:val="00384AF5"/>
    <w:rsid w:val="00385372"/>
    <w:rsid w:val="0038598B"/>
    <w:rsid w:val="00386487"/>
    <w:rsid w:val="00386D9D"/>
    <w:rsid w:val="0038706B"/>
    <w:rsid w:val="0038775C"/>
    <w:rsid w:val="0039150D"/>
    <w:rsid w:val="00392768"/>
    <w:rsid w:val="00392AC6"/>
    <w:rsid w:val="00392F04"/>
    <w:rsid w:val="00393366"/>
    <w:rsid w:val="00393C69"/>
    <w:rsid w:val="0039437B"/>
    <w:rsid w:val="00394698"/>
    <w:rsid w:val="003946A5"/>
    <w:rsid w:val="00395197"/>
    <w:rsid w:val="0039603C"/>
    <w:rsid w:val="00396418"/>
    <w:rsid w:val="0039648C"/>
    <w:rsid w:val="00396D68"/>
    <w:rsid w:val="003971D8"/>
    <w:rsid w:val="0039735C"/>
    <w:rsid w:val="003A0897"/>
    <w:rsid w:val="003A0945"/>
    <w:rsid w:val="003A0D10"/>
    <w:rsid w:val="003A0F9F"/>
    <w:rsid w:val="003A17EB"/>
    <w:rsid w:val="003A18CF"/>
    <w:rsid w:val="003A19A5"/>
    <w:rsid w:val="003A207D"/>
    <w:rsid w:val="003A247B"/>
    <w:rsid w:val="003A28AA"/>
    <w:rsid w:val="003A39BC"/>
    <w:rsid w:val="003A41AE"/>
    <w:rsid w:val="003A4273"/>
    <w:rsid w:val="003A42AC"/>
    <w:rsid w:val="003A4362"/>
    <w:rsid w:val="003A4BB8"/>
    <w:rsid w:val="003A544C"/>
    <w:rsid w:val="003A57C2"/>
    <w:rsid w:val="003A591C"/>
    <w:rsid w:val="003A6008"/>
    <w:rsid w:val="003A68EE"/>
    <w:rsid w:val="003A6D5E"/>
    <w:rsid w:val="003A7259"/>
    <w:rsid w:val="003A730F"/>
    <w:rsid w:val="003A733E"/>
    <w:rsid w:val="003A76CF"/>
    <w:rsid w:val="003A7D76"/>
    <w:rsid w:val="003A7D86"/>
    <w:rsid w:val="003B0303"/>
    <w:rsid w:val="003B0890"/>
    <w:rsid w:val="003B0E77"/>
    <w:rsid w:val="003B14FA"/>
    <w:rsid w:val="003B210E"/>
    <w:rsid w:val="003B23C2"/>
    <w:rsid w:val="003B2F6E"/>
    <w:rsid w:val="003B3126"/>
    <w:rsid w:val="003B3168"/>
    <w:rsid w:val="003B3376"/>
    <w:rsid w:val="003B3532"/>
    <w:rsid w:val="003B38B2"/>
    <w:rsid w:val="003B3CA3"/>
    <w:rsid w:val="003B43B7"/>
    <w:rsid w:val="003B4603"/>
    <w:rsid w:val="003B55F3"/>
    <w:rsid w:val="003B5AE2"/>
    <w:rsid w:val="003B723A"/>
    <w:rsid w:val="003B7628"/>
    <w:rsid w:val="003B78D2"/>
    <w:rsid w:val="003B7A35"/>
    <w:rsid w:val="003C0346"/>
    <w:rsid w:val="003C05CE"/>
    <w:rsid w:val="003C0FDB"/>
    <w:rsid w:val="003C11DE"/>
    <w:rsid w:val="003C1EF4"/>
    <w:rsid w:val="003C278F"/>
    <w:rsid w:val="003C360E"/>
    <w:rsid w:val="003C36EF"/>
    <w:rsid w:val="003C3D12"/>
    <w:rsid w:val="003C5265"/>
    <w:rsid w:val="003C60B0"/>
    <w:rsid w:val="003C6257"/>
    <w:rsid w:val="003C6736"/>
    <w:rsid w:val="003C6D74"/>
    <w:rsid w:val="003C6F42"/>
    <w:rsid w:val="003C759D"/>
    <w:rsid w:val="003D0853"/>
    <w:rsid w:val="003D09D4"/>
    <w:rsid w:val="003D141C"/>
    <w:rsid w:val="003D1CA3"/>
    <w:rsid w:val="003D21AB"/>
    <w:rsid w:val="003D2BC3"/>
    <w:rsid w:val="003D3AC8"/>
    <w:rsid w:val="003D40CC"/>
    <w:rsid w:val="003D4A5A"/>
    <w:rsid w:val="003D54D2"/>
    <w:rsid w:val="003D5E89"/>
    <w:rsid w:val="003D601E"/>
    <w:rsid w:val="003D6058"/>
    <w:rsid w:val="003D645F"/>
    <w:rsid w:val="003D6E30"/>
    <w:rsid w:val="003D7716"/>
    <w:rsid w:val="003D7845"/>
    <w:rsid w:val="003E06FF"/>
    <w:rsid w:val="003E0EF6"/>
    <w:rsid w:val="003E149D"/>
    <w:rsid w:val="003E1E45"/>
    <w:rsid w:val="003E21D6"/>
    <w:rsid w:val="003E2320"/>
    <w:rsid w:val="003E2BF8"/>
    <w:rsid w:val="003E332B"/>
    <w:rsid w:val="003E3563"/>
    <w:rsid w:val="003E3786"/>
    <w:rsid w:val="003E3AAC"/>
    <w:rsid w:val="003E444A"/>
    <w:rsid w:val="003E4784"/>
    <w:rsid w:val="003E4C88"/>
    <w:rsid w:val="003E518E"/>
    <w:rsid w:val="003E536D"/>
    <w:rsid w:val="003E579D"/>
    <w:rsid w:val="003E597F"/>
    <w:rsid w:val="003E5BF2"/>
    <w:rsid w:val="003E67A5"/>
    <w:rsid w:val="003E6F79"/>
    <w:rsid w:val="003E7530"/>
    <w:rsid w:val="003F0562"/>
    <w:rsid w:val="003F05C1"/>
    <w:rsid w:val="003F0812"/>
    <w:rsid w:val="003F0FB5"/>
    <w:rsid w:val="003F22F9"/>
    <w:rsid w:val="003F30DF"/>
    <w:rsid w:val="003F31F5"/>
    <w:rsid w:val="003F3AE0"/>
    <w:rsid w:val="003F424B"/>
    <w:rsid w:val="003F442F"/>
    <w:rsid w:val="003F49E1"/>
    <w:rsid w:val="003F4EC7"/>
    <w:rsid w:val="003F54B2"/>
    <w:rsid w:val="003F56AC"/>
    <w:rsid w:val="003F5B1C"/>
    <w:rsid w:val="003F614C"/>
    <w:rsid w:val="003F6567"/>
    <w:rsid w:val="003F6606"/>
    <w:rsid w:val="003F6A77"/>
    <w:rsid w:val="003F6AA0"/>
    <w:rsid w:val="003F75BB"/>
    <w:rsid w:val="003F79E8"/>
    <w:rsid w:val="003F7A77"/>
    <w:rsid w:val="003F7C30"/>
    <w:rsid w:val="00400691"/>
    <w:rsid w:val="004006D1"/>
    <w:rsid w:val="004007BA"/>
    <w:rsid w:val="004015E9"/>
    <w:rsid w:val="0040197D"/>
    <w:rsid w:val="004023B8"/>
    <w:rsid w:val="00402EF9"/>
    <w:rsid w:val="00402FFF"/>
    <w:rsid w:val="0040312D"/>
    <w:rsid w:val="00403384"/>
    <w:rsid w:val="004036E8"/>
    <w:rsid w:val="00403EE9"/>
    <w:rsid w:val="00404009"/>
    <w:rsid w:val="0040400C"/>
    <w:rsid w:val="00404923"/>
    <w:rsid w:val="0040594E"/>
    <w:rsid w:val="00406336"/>
    <w:rsid w:val="004063C2"/>
    <w:rsid w:val="00406654"/>
    <w:rsid w:val="00406EF8"/>
    <w:rsid w:val="00407787"/>
    <w:rsid w:val="0040796D"/>
    <w:rsid w:val="00407D93"/>
    <w:rsid w:val="00407E6D"/>
    <w:rsid w:val="004101F4"/>
    <w:rsid w:val="00410336"/>
    <w:rsid w:val="00410B44"/>
    <w:rsid w:val="00411D82"/>
    <w:rsid w:val="004122F3"/>
    <w:rsid w:val="00412D8A"/>
    <w:rsid w:val="00413A56"/>
    <w:rsid w:val="004140DE"/>
    <w:rsid w:val="004140FA"/>
    <w:rsid w:val="00414161"/>
    <w:rsid w:val="004148A4"/>
    <w:rsid w:val="00414CFE"/>
    <w:rsid w:val="00415921"/>
    <w:rsid w:val="004165F7"/>
    <w:rsid w:val="0041665E"/>
    <w:rsid w:val="00416B74"/>
    <w:rsid w:val="00416C0C"/>
    <w:rsid w:val="00417AB3"/>
    <w:rsid w:val="00417C6B"/>
    <w:rsid w:val="00417F60"/>
    <w:rsid w:val="00420AD8"/>
    <w:rsid w:val="00420B09"/>
    <w:rsid w:val="00421489"/>
    <w:rsid w:val="004214B5"/>
    <w:rsid w:val="00421B52"/>
    <w:rsid w:val="00421FA7"/>
    <w:rsid w:val="00422174"/>
    <w:rsid w:val="004234C6"/>
    <w:rsid w:val="004236FA"/>
    <w:rsid w:val="00423776"/>
    <w:rsid w:val="00425513"/>
    <w:rsid w:val="00425A7B"/>
    <w:rsid w:val="00426044"/>
    <w:rsid w:val="00426218"/>
    <w:rsid w:val="0042645B"/>
    <w:rsid w:val="004265AE"/>
    <w:rsid w:val="00426637"/>
    <w:rsid w:val="00426D0B"/>
    <w:rsid w:val="0042726E"/>
    <w:rsid w:val="0042762D"/>
    <w:rsid w:val="00427855"/>
    <w:rsid w:val="004300CC"/>
    <w:rsid w:val="0043054C"/>
    <w:rsid w:val="00430BBB"/>
    <w:rsid w:val="004310EC"/>
    <w:rsid w:val="0043173C"/>
    <w:rsid w:val="0043211D"/>
    <w:rsid w:val="004323FA"/>
    <w:rsid w:val="00432A0B"/>
    <w:rsid w:val="004333D3"/>
    <w:rsid w:val="004338EC"/>
    <w:rsid w:val="00433AEE"/>
    <w:rsid w:val="00433BF6"/>
    <w:rsid w:val="00433CF1"/>
    <w:rsid w:val="004345A4"/>
    <w:rsid w:val="00434C37"/>
    <w:rsid w:val="00435416"/>
    <w:rsid w:val="00435508"/>
    <w:rsid w:val="00435CBF"/>
    <w:rsid w:val="00436251"/>
    <w:rsid w:val="0043629A"/>
    <w:rsid w:val="004369B5"/>
    <w:rsid w:val="00436A46"/>
    <w:rsid w:val="00436E6A"/>
    <w:rsid w:val="00436E6B"/>
    <w:rsid w:val="00436FE7"/>
    <w:rsid w:val="0043731B"/>
    <w:rsid w:val="0043738E"/>
    <w:rsid w:val="0043746E"/>
    <w:rsid w:val="00437627"/>
    <w:rsid w:val="00437979"/>
    <w:rsid w:val="0044035D"/>
    <w:rsid w:val="00440486"/>
    <w:rsid w:val="00440B5E"/>
    <w:rsid w:val="00440C18"/>
    <w:rsid w:val="00440DBD"/>
    <w:rsid w:val="00440EDE"/>
    <w:rsid w:val="00440FF7"/>
    <w:rsid w:val="0044208A"/>
    <w:rsid w:val="004423D8"/>
    <w:rsid w:val="004431D8"/>
    <w:rsid w:val="004436CB"/>
    <w:rsid w:val="00443984"/>
    <w:rsid w:val="00443DDD"/>
    <w:rsid w:val="00444852"/>
    <w:rsid w:val="00445263"/>
    <w:rsid w:val="0044575E"/>
    <w:rsid w:val="0044609E"/>
    <w:rsid w:val="004462A3"/>
    <w:rsid w:val="00446899"/>
    <w:rsid w:val="004468E4"/>
    <w:rsid w:val="00447359"/>
    <w:rsid w:val="00447899"/>
    <w:rsid w:val="004479C7"/>
    <w:rsid w:val="00447AB9"/>
    <w:rsid w:val="00450035"/>
    <w:rsid w:val="0045047F"/>
    <w:rsid w:val="004507DC"/>
    <w:rsid w:val="00450D3F"/>
    <w:rsid w:val="004522E5"/>
    <w:rsid w:val="00452635"/>
    <w:rsid w:val="004526DE"/>
    <w:rsid w:val="0045285E"/>
    <w:rsid w:val="004529AB"/>
    <w:rsid w:val="00452B6C"/>
    <w:rsid w:val="00452BD5"/>
    <w:rsid w:val="00452BFA"/>
    <w:rsid w:val="00452F45"/>
    <w:rsid w:val="00453070"/>
    <w:rsid w:val="004530DB"/>
    <w:rsid w:val="00453311"/>
    <w:rsid w:val="004540F4"/>
    <w:rsid w:val="00454555"/>
    <w:rsid w:val="0045473F"/>
    <w:rsid w:val="004548B6"/>
    <w:rsid w:val="00454B8F"/>
    <w:rsid w:val="00455488"/>
    <w:rsid w:val="00455A40"/>
    <w:rsid w:val="00455B89"/>
    <w:rsid w:val="00455F54"/>
    <w:rsid w:val="00456345"/>
    <w:rsid w:val="00456369"/>
    <w:rsid w:val="004570F7"/>
    <w:rsid w:val="0045749C"/>
    <w:rsid w:val="004576E4"/>
    <w:rsid w:val="0045779D"/>
    <w:rsid w:val="00457A22"/>
    <w:rsid w:val="004600D5"/>
    <w:rsid w:val="004600D8"/>
    <w:rsid w:val="00460394"/>
    <w:rsid w:val="004608B2"/>
    <w:rsid w:val="00460AA4"/>
    <w:rsid w:val="00460E78"/>
    <w:rsid w:val="004613BD"/>
    <w:rsid w:val="004616CF"/>
    <w:rsid w:val="004618AC"/>
    <w:rsid w:val="0046222D"/>
    <w:rsid w:val="0046279D"/>
    <w:rsid w:val="00462B94"/>
    <w:rsid w:val="00463707"/>
    <w:rsid w:val="004637A2"/>
    <w:rsid w:val="00463EE7"/>
    <w:rsid w:val="00463F38"/>
    <w:rsid w:val="00464124"/>
    <w:rsid w:val="0046412B"/>
    <w:rsid w:val="00464322"/>
    <w:rsid w:val="0046432C"/>
    <w:rsid w:val="00464473"/>
    <w:rsid w:val="004645EB"/>
    <w:rsid w:val="0046490D"/>
    <w:rsid w:val="00464A49"/>
    <w:rsid w:val="00465159"/>
    <w:rsid w:val="00466177"/>
    <w:rsid w:val="0046648D"/>
    <w:rsid w:val="00467051"/>
    <w:rsid w:val="00467268"/>
    <w:rsid w:val="004674B0"/>
    <w:rsid w:val="00470386"/>
    <w:rsid w:val="00470429"/>
    <w:rsid w:val="004706DA"/>
    <w:rsid w:val="00470714"/>
    <w:rsid w:val="004710DD"/>
    <w:rsid w:val="00471714"/>
    <w:rsid w:val="00471CB5"/>
    <w:rsid w:val="00472170"/>
    <w:rsid w:val="0047225D"/>
    <w:rsid w:val="004723D5"/>
    <w:rsid w:val="0047240E"/>
    <w:rsid w:val="004728EB"/>
    <w:rsid w:val="00472E00"/>
    <w:rsid w:val="00473794"/>
    <w:rsid w:val="00473852"/>
    <w:rsid w:val="00473E5C"/>
    <w:rsid w:val="00474E58"/>
    <w:rsid w:val="00474E9D"/>
    <w:rsid w:val="00474F21"/>
    <w:rsid w:val="0047512B"/>
    <w:rsid w:val="00475733"/>
    <w:rsid w:val="00475C50"/>
    <w:rsid w:val="00475D1A"/>
    <w:rsid w:val="004765E8"/>
    <w:rsid w:val="00476989"/>
    <w:rsid w:val="00476F03"/>
    <w:rsid w:val="00477DB4"/>
    <w:rsid w:val="00477FBC"/>
    <w:rsid w:val="00480078"/>
    <w:rsid w:val="004800A6"/>
    <w:rsid w:val="0048099E"/>
    <w:rsid w:val="00480DA1"/>
    <w:rsid w:val="00481084"/>
    <w:rsid w:val="00481655"/>
    <w:rsid w:val="00482D79"/>
    <w:rsid w:val="00483028"/>
    <w:rsid w:val="0048344A"/>
    <w:rsid w:val="0048351D"/>
    <w:rsid w:val="00484147"/>
    <w:rsid w:val="004842A4"/>
    <w:rsid w:val="00484CAD"/>
    <w:rsid w:val="00484E98"/>
    <w:rsid w:val="0048534C"/>
    <w:rsid w:val="0048560D"/>
    <w:rsid w:val="00485749"/>
    <w:rsid w:val="004863C7"/>
    <w:rsid w:val="0048676F"/>
    <w:rsid w:val="004873C9"/>
    <w:rsid w:val="004876E8"/>
    <w:rsid w:val="0048780D"/>
    <w:rsid w:val="0048795E"/>
    <w:rsid w:val="00487D07"/>
    <w:rsid w:val="00487D08"/>
    <w:rsid w:val="00490016"/>
    <w:rsid w:val="004901A7"/>
    <w:rsid w:val="004905E5"/>
    <w:rsid w:val="0049061E"/>
    <w:rsid w:val="00490DF4"/>
    <w:rsid w:val="00491606"/>
    <w:rsid w:val="00491D47"/>
    <w:rsid w:val="00491D5F"/>
    <w:rsid w:val="0049226E"/>
    <w:rsid w:val="0049233C"/>
    <w:rsid w:val="004923F6"/>
    <w:rsid w:val="0049262A"/>
    <w:rsid w:val="00492848"/>
    <w:rsid w:val="00492D5C"/>
    <w:rsid w:val="00492F46"/>
    <w:rsid w:val="00493A5F"/>
    <w:rsid w:val="00493F0B"/>
    <w:rsid w:val="00493FA2"/>
    <w:rsid w:val="00494320"/>
    <w:rsid w:val="00494386"/>
    <w:rsid w:val="00494A96"/>
    <w:rsid w:val="00495112"/>
    <w:rsid w:val="0049595F"/>
    <w:rsid w:val="00495976"/>
    <w:rsid w:val="00495AA5"/>
    <w:rsid w:val="00495C50"/>
    <w:rsid w:val="00496281"/>
    <w:rsid w:val="0049643D"/>
    <w:rsid w:val="00496697"/>
    <w:rsid w:val="004968F4"/>
    <w:rsid w:val="00496DCC"/>
    <w:rsid w:val="004976CB"/>
    <w:rsid w:val="00497BB0"/>
    <w:rsid w:val="00497FF0"/>
    <w:rsid w:val="004A04F9"/>
    <w:rsid w:val="004A052A"/>
    <w:rsid w:val="004A0CEB"/>
    <w:rsid w:val="004A11B3"/>
    <w:rsid w:val="004A141A"/>
    <w:rsid w:val="004A14C6"/>
    <w:rsid w:val="004A1514"/>
    <w:rsid w:val="004A18EB"/>
    <w:rsid w:val="004A1AFF"/>
    <w:rsid w:val="004A1FAE"/>
    <w:rsid w:val="004A22C8"/>
    <w:rsid w:val="004A2C2E"/>
    <w:rsid w:val="004A309A"/>
    <w:rsid w:val="004A372B"/>
    <w:rsid w:val="004A3B1B"/>
    <w:rsid w:val="004A4354"/>
    <w:rsid w:val="004A4369"/>
    <w:rsid w:val="004A51FB"/>
    <w:rsid w:val="004A5525"/>
    <w:rsid w:val="004A5763"/>
    <w:rsid w:val="004A5B29"/>
    <w:rsid w:val="004A5EC6"/>
    <w:rsid w:val="004A5EE0"/>
    <w:rsid w:val="004A5F49"/>
    <w:rsid w:val="004A5F77"/>
    <w:rsid w:val="004A6F66"/>
    <w:rsid w:val="004A7577"/>
    <w:rsid w:val="004A7647"/>
    <w:rsid w:val="004A7839"/>
    <w:rsid w:val="004A7A11"/>
    <w:rsid w:val="004A7CFC"/>
    <w:rsid w:val="004B0A68"/>
    <w:rsid w:val="004B0B25"/>
    <w:rsid w:val="004B0E33"/>
    <w:rsid w:val="004B12C8"/>
    <w:rsid w:val="004B1388"/>
    <w:rsid w:val="004B1BCE"/>
    <w:rsid w:val="004B1CE0"/>
    <w:rsid w:val="004B1E2D"/>
    <w:rsid w:val="004B208D"/>
    <w:rsid w:val="004B2510"/>
    <w:rsid w:val="004B2F7F"/>
    <w:rsid w:val="004B37A2"/>
    <w:rsid w:val="004B37BD"/>
    <w:rsid w:val="004B3FB8"/>
    <w:rsid w:val="004B415B"/>
    <w:rsid w:val="004B4719"/>
    <w:rsid w:val="004B5133"/>
    <w:rsid w:val="004B5CF0"/>
    <w:rsid w:val="004B6234"/>
    <w:rsid w:val="004B6501"/>
    <w:rsid w:val="004B6575"/>
    <w:rsid w:val="004B673D"/>
    <w:rsid w:val="004B6990"/>
    <w:rsid w:val="004B69B8"/>
    <w:rsid w:val="004B6EAE"/>
    <w:rsid w:val="004B7B47"/>
    <w:rsid w:val="004B7B7D"/>
    <w:rsid w:val="004B7BC8"/>
    <w:rsid w:val="004C0192"/>
    <w:rsid w:val="004C072E"/>
    <w:rsid w:val="004C0A49"/>
    <w:rsid w:val="004C15F1"/>
    <w:rsid w:val="004C1B1E"/>
    <w:rsid w:val="004C1D6F"/>
    <w:rsid w:val="004C202A"/>
    <w:rsid w:val="004C235F"/>
    <w:rsid w:val="004C241A"/>
    <w:rsid w:val="004C24E3"/>
    <w:rsid w:val="004C2602"/>
    <w:rsid w:val="004C2B69"/>
    <w:rsid w:val="004C31E9"/>
    <w:rsid w:val="004C33C4"/>
    <w:rsid w:val="004C4CEC"/>
    <w:rsid w:val="004C4D1D"/>
    <w:rsid w:val="004C4D43"/>
    <w:rsid w:val="004C511F"/>
    <w:rsid w:val="004C569A"/>
    <w:rsid w:val="004C56EC"/>
    <w:rsid w:val="004C6AF7"/>
    <w:rsid w:val="004C79F5"/>
    <w:rsid w:val="004C7C42"/>
    <w:rsid w:val="004D03AF"/>
    <w:rsid w:val="004D04D2"/>
    <w:rsid w:val="004D096E"/>
    <w:rsid w:val="004D0BB0"/>
    <w:rsid w:val="004D0EE4"/>
    <w:rsid w:val="004D16EA"/>
    <w:rsid w:val="004D18C0"/>
    <w:rsid w:val="004D1B49"/>
    <w:rsid w:val="004D1F5D"/>
    <w:rsid w:val="004D2044"/>
    <w:rsid w:val="004D2119"/>
    <w:rsid w:val="004D212E"/>
    <w:rsid w:val="004D2360"/>
    <w:rsid w:val="004D463D"/>
    <w:rsid w:val="004D49B1"/>
    <w:rsid w:val="004D4F62"/>
    <w:rsid w:val="004D5120"/>
    <w:rsid w:val="004D5379"/>
    <w:rsid w:val="004D5CBC"/>
    <w:rsid w:val="004D5E65"/>
    <w:rsid w:val="004D5EFC"/>
    <w:rsid w:val="004D748A"/>
    <w:rsid w:val="004D7E02"/>
    <w:rsid w:val="004E03EB"/>
    <w:rsid w:val="004E0510"/>
    <w:rsid w:val="004E06A1"/>
    <w:rsid w:val="004E0779"/>
    <w:rsid w:val="004E084B"/>
    <w:rsid w:val="004E0A82"/>
    <w:rsid w:val="004E0BE6"/>
    <w:rsid w:val="004E1033"/>
    <w:rsid w:val="004E129B"/>
    <w:rsid w:val="004E12AD"/>
    <w:rsid w:val="004E1706"/>
    <w:rsid w:val="004E1A8E"/>
    <w:rsid w:val="004E1AE2"/>
    <w:rsid w:val="004E1D94"/>
    <w:rsid w:val="004E2358"/>
    <w:rsid w:val="004E23BE"/>
    <w:rsid w:val="004E2981"/>
    <w:rsid w:val="004E3613"/>
    <w:rsid w:val="004E367D"/>
    <w:rsid w:val="004E3A62"/>
    <w:rsid w:val="004E3D78"/>
    <w:rsid w:val="004E40D4"/>
    <w:rsid w:val="004E45E0"/>
    <w:rsid w:val="004E47C4"/>
    <w:rsid w:val="004E49F4"/>
    <w:rsid w:val="004E4B1E"/>
    <w:rsid w:val="004E4C90"/>
    <w:rsid w:val="004E5047"/>
    <w:rsid w:val="004E514A"/>
    <w:rsid w:val="004E53BD"/>
    <w:rsid w:val="004E5D28"/>
    <w:rsid w:val="004E62B5"/>
    <w:rsid w:val="004E6B76"/>
    <w:rsid w:val="004E6D55"/>
    <w:rsid w:val="004E736B"/>
    <w:rsid w:val="004E7C8D"/>
    <w:rsid w:val="004E7F33"/>
    <w:rsid w:val="004F01D6"/>
    <w:rsid w:val="004F049B"/>
    <w:rsid w:val="004F0860"/>
    <w:rsid w:val="004F087E"/>
    <w:rsid w:val="004F0BAB"/>
    <w:rsid w:val="004F117E"/>
    <w:rsid w:val="004F1243"/>
    <w:rsid w:val="004F15DC"/>
    <w:rsid w:val="004F1770"/>
    <w:rsid w:val="004F191D"/>
    <w:rsid w:val="004F2058"/>
    <w:rsid w:val="004F23C6"/>
    <w:rsid w:val="004F2F9B"/>
    <w:rsid w:val="004F3139"/>
    <w:rsid w:val="004F3147"/>
    <w:rsid w:val="004F3365"/>
    <w:rsid w:val="004F33F6"/>
    <w:rsid w:val="004F359A"/>
    <w:rsid w:val="004F3C44"/>
    <w:rsid w:val="004F5E8B"/>
    <w:rsid w:val="004F7045"/>
    <w:rsid w:val="004F71AF"/>
    <w:rsid w:val="004F7D43"/>
    <w:rsid w:val="004F7F06"/>
    <w:rsid w:val="004F7FFD"/>
    <w:rsid w:val="005004EE"/>
    <w:rsid w:val="00500570"/>
    <w:rsid w:val="005014B4"/>
    <w:rsid w:val="00501675"/>
    <w:rsid w:val="00501A23"/>
    <w:rsid w:val="00501D47"/>
    <w:rsid w:val="00501F0F"/>
    <w:rsid w:val="0050201C"/>
    <w:rsid w:val="00502B60"/>
    <w:rsid w:val="0050331C"/>
    <w:rsid w:val="0050349B"/>
    <w:rsid w:val="00503826"/>
    <w:rsid w:val="00504201"/>
    <w:rsid w:val="005047D9"/>
    <w:rsid w:val="00504DAC"/>
    <w:rsid w:val="005054EB"/>
    <w:rsid w:val="00505D0E"/>
    <w:rsid w:val="00505DB3"/>
    <w:rsid w:val="00505E5B"/>
    <w:rsid w:val="00506235"/>
    <w:rsid w:val="00506580"/>
    <w:rsid w:val="005068FF"/>
    <w:rsid w:val="00506ACF"/>
    <w:rsid w:val="00506CBE"/>
    <w:rsid w:val="00506D42"/>
    <w:rsid w:val="00506ECA"/>
    <w:rsid w:val="00507CD9"/>
    <w:rsid w:val="00507F5E"/>
    <w:rsid w:val="0051033A"/>
    <w:rsid w:val="005106B1"/>
    <w:rsid w:val="00510F0D"/>
    <w:rsid w:val="00511031"/>
    <w:rsid w:val="005110B5"/>
    <w:rsid w:val="00511910"/>
    <w:rsid w:val="00511B97"/>
    <w:rsid w:val="005121BF"/>
    <w:rsid w:val="005138DB"/>
    <w:rsid w:val="00513D22"/>
    <w:rsid w:val="00513DED"/>
    <w:rsid w:val="00513ECB"/>
    <w:rsid w:val="0051437D"/>
    <w:rsid w:val="00514919"/>
    <w:rsid w:val="0051529C"/>
    <w:rsid w:val="005159D3"/>
    <w:rsid w:val="00515C0D"/>
    <w:rsid w:val="0051643D"/>
    <w:rsid w:val="00516915"/>
    <w:rsid w:val="005172FD"/>
    <w:rsid w:val="00517ABA"/>
    <w:rsid w:val="00520B9E"/>
    <w:rsid w:val="00520D31"/>
    <w:rsid w:val="0052118C"/>
    <w:rsid w:val="0052180B"/>
    <w:rsid w:val="00522012"/>
    <w:rsid w:val="005231D8"/>
    <w:rsid w:val="00523205"/>
    <w:rsid w:val="00523A33"/>
    <w:rsid w:val="005240DD"/>
    <w:rsid w:val="005241F9"/>
    <w:rsid w:val="00525603"/>
    <w:rsid w:val="005257E8"/>
    <w:rsid w:val="00525FB5"/>
    <w:rsid w:val="00526220"/>
    <w:rsid w:val="00526403"/>
    <w:rsid w:val="005265A7"/>
    <w:rsid w:val="00526E29"/>
    <w:rsid w:val="005279C0"/>
    <w:rsid w:val="00527E60"/>
    <w:rsid w:val="00530AFC"/>
    <w:rsid w:val="00530B75"/>
    <w:rsid w:val="00530D0A"/>
    <w:rsid w:val="005317F3"/>
    <w:rsid w:val="00531946"/>
    <w:rsid w:val="005325C9"/>
    <w:rsid w:val="005329B1"/>
    <w:rsid w:val="00533328"/>
    <w:rsid w:val="00533353"/>
    <w:rsid w:val="005341BC"/>
    <w:rsid w:val="00534904"/>
    <w:rsid w:val="00534A40"/>
    <w:rsid w:val="00534DB7"/>
    <w:rsid w:val="00534DFC"/>
    <w:rsid w:val="00535CFD"/>
    <w:rsid w:val="00535E83"/>
    <w:rsid w:val="00535E90"/>
    <w:rsid w:val="00536042"/>
    <w:rsid w:val="005363F4"/>
    <w:rsid w:val="005365D9"/>
    <w:rsid w:val="00536FD4"/>
    <w:rsid w:val="00536FF0"/>
    <w:rsid w:val="00536FF6"/>
    <w:rsid w:val="005371A6"/>
    <w:rsid w:val="00537FFE"/>
    <w:rsid w:val="005409A1"/>
    <w:rsid w:val="00540D85"/>
    <w:rsid w:val="005413D1"/>
    <w:rsid w:val="00541D9D"/>
    <w:rsid w:val="00542178"/>
    <w:rsid w:val="00542782"/>
    <w:rsid w:val="0054309D"/>
    <w:rsid w:val="0054343D"/>
    <w:rsid w:val="0054391F"/>
    <w:rsid w:val="00543E6A"/>
    <w:rsid w:val="00544375"/>
    <w:rsid w:val="00544613"/>
    <w:rsid w:val="00544B0E"/>
    <w:rsid w:val="00545201"/>
    <w:rsid w:val="00545D37"/>
    <w:rsid w:val="005461CE"/>
    <w:rsid w:val="00546AE7"/>
    <w:rsid w:val="00546C21"/>
    <w:rsid w:val="00547A3D"/>
    <w:rsid w:val="00547A49"/>
    <w:rsid w:val="005504A2"/>
    <w:rsid w:val="0055073F"/>
    <w:rsid w:val="00550A2A"/>
    <w:rsid w:val="005512A1"/>
    <w:rsid w:val="0055157A"/>
    <w:rsid w:val="00551876"/>
    <w:rsid w:val="00551FB7"/>
    <w:rsid w:val="00551FE0"/>
    <w:rsid w:val="0055228F"/>
    <w:rsid w:val="0055237A"/>
    <w:rsid w:val="005523D9"/>
    <w:rsid w:val="00552A46"/>
    <w:rsid w:val="00554A1C"/>
    <w:rsid w:val="00554F34"/>
    <w:rsid w:val="005550A3"/>
    <w:rsid w:val="0055626A"/>
    <w:rsid w:val="00556ECB"/>
    <w:rsid w:val="00556F04"/>
    <w:rsid w:val="00557BE3"/>
    <w:rsid w:val="005606BA"/>
    <w:rsid w:val="00560B78"/>
    <w:rsid w:val="00560E17"/>
    <w:rsid w:val="00560E31"/>
    <w:rsid w:val="00561201"/>
    <w:rsid w:val="005618B5"/>
    <w:rsid w:val="00561919"/>
    <w:rsid w:val="00561AEC"/>
    <w:rsid w:val="00561B5D"/>
    <w:rsid w:val="00561F8A"/>
    <w:rsid w:val="0056252F"/>
    <w:rsid w:val="0056262B"/>
    <w:rsid w:val="00562850"/>
    <w:rsid w:val="00562921"/>
    <w:rsid w:val="00562C63"/>
    <w:rsid w:val="00563E7A"/>
    <w:rsid w:val="00564368"/>
    <w:rsid w:val="00564679"/>
    <w:rsid w:val="005648AC"/>
    <w:rsid w:val="00565174"/>
    <w:rsid w:val="005651D3"/>
    <w:rsid w:val="005652CD"/>
    <w:rsid w:val="0056590B"/>
    <w:rsid w:val="00565DA8"/>
    <w:rsid w:val="005666CA"/>
    <w:rsid w:val="00566E42"/>
    <w:rsid w:val="0056757F"/>
    <w:rsid w:val="005675E4"/>
    <w:rsid w:val="005677BF"/>
    <w:rsid w:val="00567AD4"/>
    <w:rsid w:val="00567D47"/>
    <w:rsid w:val="00567E45"/>
    <w:rsid w:val="0057053D"/>
    <w:rsid w:val="005705C0"/>
    <w:rsid w:val="005709C1"/>
    <w:rsid w:val="00570F32"/>
    <w:rsid w:val="00571AE7"/>
    <w:rsid w:val="00571EA7"/>
    <w:rsid w:val="00572165"/>
    <w:rsid w:val="00572449"/>
    <w:rsid w:val="00572864"/>
    <w:rsid w:val="00573640"/>
    <w:rsid w:val="00573A40"/>
    <w:rsid w:val="00573A6A"/>
    <w:rsid w:val="00573D01"/>
    <w:rsid w:val="00573E01"/>
    <w:rsid w:val="0057435F"/>
    <w:rsid w:val="00574756"/>
    <w:rsid w:val="00574843"/>
    <w:rsid w:val="005752EB"/>
    <w:rsid w:val="00575F03"/>
    <w:rsid w:val="00575F36"/>
    <w:rsid w:val="00575F89"/>
    <w:rsid w:val="0057624E"/>
    <w:rsid w:val="005768BD"/>
    <w:rsid w:val="005768E4"/>
    <w:rsid w:val="0057695E"/>
    <w:rsid w:val="00576D83"/>
    <w:rsid w:val="0057755F"/>
    <w:rsid w:val="0057778F"/>
    <w:rsid w:val="00577887"/>
    <w:rsid w:val="0058060F"/>
    <w:rsid w:val="00580705"/>
    <w:rsid w:val="005808C3"/>
    <w:rsid w:val="00580C9C"/>
    <w:rsid w:val="0058151D"/>
    <w:rsid w:val="00581D17"/>
    <w:rsid w:val="00582060"/>
    <w:rsid w:val="005825DB"/>
    <w:rsid w:val="00582AF9"/>
    <w:rsid w:val="0058379A"/>
    <w:rsid w:val="00584E7E"/>
    <w:rsid w:val="00586606"/>
    <w:rsid w:val="00586872"/>
    <w:rsid w:val="00586D44"/>
    <w:rsid w:val="00587149"/>
    <w:rsid w:val="0058737E"/>
    <w:rsid w:val="0058756E"/>
    <w:rsid w:val="00587F8A"/>
    <w:rsid w:val="00590844"/>
    <w:rsid w:val="00590881"/>
    <w:rsid w:val="00590911"/>
    <w:rsid w:val="00591234"/>
    <w:rsid w:val="00591276"/>
    <w:rsid w:val="00591E36"/>
    <w:rsid w:val="00592E8D"/>
    <w:rsid w:val="005930CD"/>
    <w:rsid w:val="00593357"/>
    <w:rsid w:val="005937AF"/>
    <w:rsid w:val="00593A38"/>
    <w:rsid w:val="00593CE9"/>
    <w:rsid w:val="00593E0D"/>
    <w:rsid w:val="0059445D"/>
    <w:rsid w:val="00594865"/>
    <w:rsid w:val="005949E6"/>
    <w:rsid w:val="00594D0B"/>
    <w:rsid w:val="00595AD9"/>
    <w:rsid w:val="00596616"/>
    <w:rsid w:val="005967AA"/>
    <w:rsid w:val="005967D5"/>
    <w:rsid w:val="00596880"/>
    <w:rsid w:val="0059698F"/>
    <w:rsid w:val="00597A72"/>
    <w:rsid w:val="00597BF7"/>
    <w:rsid w:val="00597EB2"/>
    <w:rsid w:val="00597F37"/>
    <w:rsid w:val="005A0A18"/>
    <w:rsid w:val="005A1150"/>
    <w:rsid w:val="005A1929"/>
    <w:rsid w:val="005A1F35"/>
    <w:rsid w:val="005A227E"/>
    <w:rsid w:val="005A305A"/>
    <w:rsid w:val="005A3397"/>
    <w:rsid w:val="005A344C"/>
    <w:rsid w:val="005A3A25"/>
    <w:rsid w:val="005A3A7B"/>
    <w:rsid w:val="005A3D78"/>
    <w:rsid w:val="005A4232"/>
    <w:rsid w:val="005A4A42"/>
    <w:rsid w:val="005A4B54"/>
    <w:rsid w:val="005A4BC3"/>
    <w:rsid w:val="005A4EE0"/>
    <w:rsid w:val="005A5113"/>
    <w:rsid w:val="005A54FA"/>
    <w:rsid w:val="005A558C"/>
    <w:rsid w:val="005A5A00"/>
    <w:rsid w:val="005A5EFA"/>
    <w:rsid w:val="005A5FA3"/>
    <w:rsid w:val="005A6476"/>
    <w:rsid w:val="005A7386"/>
    <w:rsid w:val="005A74C7"/>
    <w:rsid w:val="005A796D"/>
    <w:rsid w:val="005A7983"/>
    <w:rsid w:val="005A7FB8"/>
    <w:rsid w:val="005B068A"/>
    <w:rsid w:val="005B0A05"/>
    <w:rsid w:val="005B0D80"/>
    <w:rsid w:val="005B282A"/>
    <w:rsid w:val="005B327D"/>
    <w:rsid w:val="005B436E"/>
    <w:rsid w:val="005B45D9"/>
    <w:rsid w:val="005B46F7"/>
    <w:rsid w:val="005B492D"/>
    <w:rsid w:val="005B4E92"/>
    <w:rsid w:val="005B5393"/>
    <w:rsid w:val="005B53FB"/>
    <w:rsid w:val="005B5691"/>
    <w:rsid w:val="005B5738"/>
    <w:rsid w:val="005B573B"/>
    <w:rsid w:val="005B5E0D"/>
    <w:rsid w:val="005B6245"/>
    <w:rsid w:val="005B6314"/>
    <w:rsid w:val="005B6861"/>
    <w:rsid w:val="005B72BC"/>
    <w:rsid w:val="005B7337"/>
    <w:rsid w:val="005B7898"/>
    <w:rsid w:val="005B79E3"/>
    <w:rsid w:val="005B7BA6"/>
    <w:rsid w:val="005B7DE7"/>
    <w:rsid w:val="005B7F34"/>
    <w:rsid w:val="005C00C8"/>
    <w:rsid w:val="005C0CFF"/>
    <w:rsid w:val="005C124F"/>
    <w:rsid w:val="005C1E7E"/>
    <w:rsid w:val="005C1FC1"/>
    <w:rsid w:val="005C2025"/>
    <w:rsid w:val="005C21B4"/>
    <w:rsid w:val="005C24B4"/>
    <w:rsid w:val="005C24CC"/>
    <w:rsid w:val="005C255D"/>
    <w:rsid w:val="005C2715"/>
    <w:rsid w:val="005C2EFF"/>
    <w:rsid w:val="005C3047"/>
    <w:rsid w:val="005C38B5"/>
    <w:rsid w:val="005C41AB"/>
    <w:rsid w:val="005C4758"/>
    <w:rsid w:val="005C4B6F"/>
    <w:rsid w:val="005C5448"/>
    <w:rsid w:val="005C57DB"/>
    <w:rsid w:val="005C587B"/>
    <w:rsid w:val="005C5E1A"/>
    <w:rsid w:val="005C62EF"/>
    <w:rsid w:val="005C6874"/>
    <w:rsid w:val="005C68EF"/>
    <w:rsid w:val="005C70D5"/>
    <w:rsid w:val="005C733E"/>
    <w:rsid w:val="005C7CF2"/>
    <w:rsid w:val="005D0240"/>
    <w:rsid w:val="005D04A4"/>
    <w:rsid w:val="005D0BF3"/>
    <w:rsid w:val="005D0BFA"/>
    <w:rsid w:val="005D109A"/>
    <w:rsid w:val="005D14B3"/>
    <w:rsid w:val="005D18E5"/>
    <w:rsid w:val="005D1E42"/>
    <w:rsid w:val="005D25FB"/>
    <w:rsid w:val="005D268E"/>
    <w:rsid w:val="005D2DDC"/>
    <w:rsid w:val="005D313A"/>
    <w:rsid w:val="005D39E7"/>
    <w:rsid w:val="005D4135"/>
    <w:rsid w:val="005D42E5"/>
    <w:rsid w:val="005D544B"/>
    <w:rsid w:val="005D61B5"/>
    <w:rsid w:val="005D639B"/>
    <w:rsid w:val="005D6781"/>
    <w:rsid w:val="005D67FA"/>
    <w:rsid w:val="005D6A1E"/>
    <w:rsid w:val="005D6C06"/>
    <w:rsid w:val="005D76CB"/>
    <w:rsid w:val="005D7BB8"/>
    <w:rsid w:val="005D7D0C"/>
    <w:rsid w:val="005E05A2"/>
    <w:rsid w:val="005E0A97"/>
    <w:rsid w:val="005E0FBF"/>
    <w:rsid w:val="005E12E8"/>
    <w:rsid w:val="005E198A"/>
    <w:rsid w:val="005E1BB4"/>
    <w:rsid w:val="005E20E6"/>
    <w:rsid w:val="005E2AD9"/>
    <w:rsid w:val="005E3471"/>
    <w:rsid w:val="005E3A9C"/>
    <w:rsid w:val="005E3AA8"/>
    <w:rsid w:val="005E3CD9"/>
    <w:rsid w:val="005E3D21"/>
    <w:rsid w:val="005E3E09"/>
    <w:rsid w:val="005E6686"/>
    <w:rsid w:val="005E6761"/>
    <w:rsid w:val="005E7666"/>
    <w:rsid w:val="005E7C32"/>
    <w:rsid w:val="005F03A9"/>
    <w:rsid w:val="005F0DEE"/>
    <w:rsid w:val="005F1019"/>
    <w:rsid w:val="005F19A1"/>
    <w:rsid w:val="005F20E4"/>
    <w:rsid w:val="005F232A"/>
    <w:rsid w:val="005F2E67"/>
    <w:rsid w:val="005F2F8B"/>
    <w:rsid w:val="005F2FB4"/>
    <w:rsid w:val="005F3DDE"/>
    <w:rsid w:val="005F46F3"/>
    <w:rsid w:val="005F4FDB"/>
    <w:rsid w:val="005F59FC"/>
    <w:rsid w:val="005F5D5A"/>
    <w:rsid w:val="005F60E0"/>
    <w:rsid w:val="005F6360"/>
    <w:rsid w:val="005F68FD"/>
    <w:rsid w:val="005F6B97"/>
    <w:rsid w:val="005F6F9D"/>
    <w:rsid w:val="005F79B8"/>
    <w:rsid w:val="005F7F1B"/>
    <w:rsid w:val="0060078B"/>
    <w:rsid w:val="00600FBC"/>
    <w:rsid w:val="00600FE3"/>
    <w:rsid w:val="00601944"/>
    <w:rsid w:val="00601D9B"/>
    <w:rsid w:val="00602C99"/>
    <w:rsid w:val="006033C1"/>
    <w:rsid w:val="006039C4"/>
    <w:rsid w:val="00603B04"/>
    <w:rsid w:val="00603B6F"/>
    <w:rsid w:val="00604767"/>
    <w:rsid w:val="00604955"/>
    <w:rsid w:val="00604AA0"/>
    <w:rsid w:val="00604FB8"/>
    <w:rsid w:val="0060507C"/>
    <w:rsid w:val="00605720"/>
    <w:rsid w:val="00605742"/>
    <w:rsid w:val="00605C07"/>
    <w:rsid w:val="00606933"/>
    <w:rsid w:val="00606F33"/>
    <w:rsid w:val="0060728C"/>
    <w:rsid w:val="00607483"/>
    <w:rsid w:val="0060752A"/>
    <w:rsid w:val="006104E5"/>
    <w:rsid w:val="006105B9"/>
    <w:rsid w:val="00610B57"/>
    <w:rsid w:val="00610D1E"/>
    <w:rsid w:val="00611851"/>
    <w:rsid w:val="00611866"/>
    <w:rsid w:val="006121AC"/>
    <w:rsid w:val="006132A9"/>
    <w:rsid w:val="006134B7"/>
    <w:rsid w:val="0061384B"/>
    <w:rsid w:val="00614489"/>
    <w:rsid w:val="00614651"/>
    <w:rsid w:val="006147FB"/>
    <w:rsid w:val="006158CD"/>
    <w:rsid w:val="00616BC6"/>
    <w:rsid w:val="00616C94"/>
    <w:rsid w:val="00616F75"/>
    <w:rsid w:val="006179C0"/>
    <w:rsid w:val="00617A6F"/>
    <w:rsid w:val="00617EE6"/>
    <w:rsid w:val="00620387"/>
    <w:rsid w:val="00620574"/>
    <w:rsid w:val="00620A65"/>
    <w:rsid w:val="00620B6C"/>
    <w:rsid w:val="00620D0E"/>
    <w:rsid w:val="006210D3"/>
    <w:rsid w:val="006211A3"/>
    <w:rsid w:val="006212C4"/>
    <w:rsid w:val="0062142C"/>
    <w:rsid w:val="00621D2E"/>
    <w:rsid w:val="00621DD4"/>
    <w:rsid w:val="00622361"/>
    <w:rsid w:val="00622930"/>
    <w:rsid w:val="00623832"/>
    <w:rsid w:val="006243BC"/>
    <w:rsid w:val="006246F1"/>
    <w:rsid w:val="0062493D"/>
    <w:rsid w:val="00624AAB"/>
    <w:rsid w:val="00624E62"/>
    <w:rsid w:val="006255C3"/>
    <w:rsid w:val="00625690"/>
    <w:rsid w:val="006265E6"/>
    <w:rsid w:val="006274DD"/>
    <w:rsid w:val="00627ECB"/>
    <w:rsid w:val="00630412"/>
    <w:rsid w:val="00630954"/>
    <w:rsid w:val="00631141"/>
    <w:rsid w:val="006314BA"/>
    <w:rsid w:val="006314DB"/>
    <w:rsid w:val="00631762"/>
    <w:rsid w:val="0063193B"/>
    <w:rsid w:val="006319C6"/>
    <w:rsid w:val="00632015"/>
    <w:rsid w:val="006328F6"/>
    <w:rsid w:val="0063360E"/>
    <w:rsid w:val="00634242"/>
    <w:rsid w:val="00634EB1"/>
    <w:rsid w:val="006350D6"/>
    <w:rsid w:val="00635F4C"/>
    <w:rsid w:val="00636BE7"/>
    <w:rsid w:val="00636F14"/>
    <w:rsid w:val="0063761C"/>
    <w:rsid w:val="00637CA3"/>
    <w:rsid w:val="00637E6B"/>
    <w:rsid w:val="00640C07"/>
    <w:rsid w:val="00640FCD"/>
    <w:rsid w:val="0064170D"/>
    <w:rsid w:val="00642AEB"/>
    <w:rsid w:val="006433A8"/>
    <w:rsid w:val="00643451"/>
    <w:rsid w:val="006435E3"/>
    <w:rsid w:val="00643D4D"/>
    <w:rsid w:val="00643FE0"/>
    <w:rsid w:val="00644115"/>
    <w:rsid w:val="006443CD"/>
    <w:rsid w:val="00644D9C"/>
    <w:rsid w:val="00644DB1"/>
    <w:rsid w:val="00645106"/>
    <w:rsid w:val="006453B8"/>
    <w:rsid w:val="00645CE2"/>
    <w:rsid w:val="00645F82"/>
    <w:rsid w:val="00646C40"/>
    <w:rsid w:val="00646DA7"/>
    <w:rsid w:val="00646E2C"/>
    <w:rsid w:val="00647D4B"/>
    <w:rsid w:val="006508E4"/>
    <w:rsid w:val="00651013"/>
    <w:rsid w:val="00651CCA"/>
    <w:rsid w:val="00651E82"/>
    <w:rsid w:val="00652266"/>
    <w:rsid w:val="0065241F"/>
    <w:rsid w:val="00652473"/>
    <w:rsid w:val="0065321F"/>
    <w:rsid w:val="00653378"/>
    <w:rsid w:val="006533F2"/>
    <w:rsid w:val="0065342D"/>
    <w:rsid w:val="006534B9"/>
    <w:rsid w:val="006538D1"/>
    <w:rsid w:val="00653AB2"/>
    <w:rsid w:val="00653E9B"/>
    <w:rsid w:val="00653EBA"/>
    <w:rsid w:val="00653F49"/>
    <w:rsid w:val="00654DB0"/>
    <w:rsid w:val="006554EA"/>
    <w:rsid w:val="00656EB0"/>
    <w:rsid w:val="006572DC"/>
    <w:rsid w:val="00657429"/>
    <w:rsid w:val="00657736"/>
    <w:rsid w:val="00657F0B"/>
    <w:rsid w:val="00660AEE"/>
    <w:rsid w:val="00661160"/>
    <w:rsid w:val="006612AD"/>
    <w:rsid w:val="00661C50"/>
    <w:rsid w:val="00662821"/>
    <w:rsid w:val="00662863"/>
    <w:rsid w:val="00663058"/>
    <w:rsid w:val="0066318E"/>
    <w:rsid w:val="00663945"/>
    <w:rsid w:val="00663BBE"/>
    <w:rsid w:val="006643AA"/>
    <w:rsid w:val="0066549A"/>
    <w:rsid w:val="00665900"/>
    <w:rsid w:val="00665C70"/>
    <w:rsid w:val="0066611B"/>
    <w:rsid w:val="00666376"/>
    <w:rsid w:val="00666481"/>
    <w:rsid w:val="006665DE"/>
    <w:rsid w:val="0066707F"/>
    <w:rsid w:val="00667382"/>
    <w:rsid w:val="0066758F"/>
    <w:rsid w:val="0066770F"/>
    <w:rsid w:val="006678F4"/>
    <w:rsid w:val="00667DCC"/>
    <w:rsid w:val="00667E6B"/>
    <w:rsid w:val="00667F9D"/>
    <w:rsid w:val="0067028B"/>
    <w:rsid w:val="00670390"/>
    <w:rsid w:val="0067083C"/>
    <w:rsid w:val="006708F5"/>
    <w:rsid w:val="00670DDE"/>
    <w:rsid w:val="00671100"/>
    <w:rsid w:val="006712CF"/>
    <w:rsid w:val="00671B78"/>
    <w:rsid w:val="00671E17"/>
    <w:rsid w:val="0067220A"/>
    <w:rsid w:val="00672432"/>
    <w:rsid w:val="006729EF"/>
    <w:rsid w:val="00672DEA"/>
    <w:rsid w:val="00673322"/>
    <w:rsid w:val="006733D1"/>
    <w:rsid w:val="00673A4C"/>
    <w:rsid w:val="0067422B"/>
    <w:rsid w:val="0067443B"/>
    <w:rsid w:val="00674F48"/>
    <w:rsid w:val="00675782"/>
    <w:rsid w:val="006757C5"/>
    <w:rsid w:val="0067595B"/>
    <w:rsid w:val="00676E25"/>
    <w:rsid w:val="006771D5"/>
    <w:rsid w:val="0067731D"/>
    <w:rsid w:val="006778F8"/>
    <w:rsid w:val="006807EF"/>
    <w:rsid w:val="00680985"/>
    <w:rsid w:val="00680E6A"/>
    <w:rsid w:val="00681B1A"/>
    <w:rsid w:val="00682A31"/>
    <w:rsid w:val="00682C83"/>
    <w:rsid w:val="00682F9D"/>
    <w:rsid w:val="00683128"/>
    <w:rsid w:val="00683171"/>
    <w:rsid w:val="006831C9"/>
    <w:rsid w:val="00683F03"/>
    <w:rsid w:val="0068484C"/>
    <w:rsid w:val="0068494C"/>
    <w:rsid w:val="006855EB"/>
    <w:rsid w:val="00685792"/>
    <w:rsid w:val="00685ABE"/>
    <w:rsid w:val="00685DD0"/>
    <w:rsid w:val="00686A0D"/>
    <w:rsid w:val="00686A2F"/>
    <w:rsid w:val="00686B1D"/>
    <w:rsid w:val="00686E80"/>
    <w:rsid w:val="00686EF7"/>
    <w:rsid w:val="00687888"/>
    <w:rsid w:val="006879BA"/>
    <w:rsid w:val="00687B4F"/>
    <w:rsid w:val="00687BB7"/>
    <w:rsid w:val="00687CE2"/>
    <w:rsid w:val="00687FA2"/>
    <w:rsid w:val="006902B7"/>
    <w:rsid w:val="0069061F"/>
    <w:rsid w:val="00690A40"/>
    <w:rsid w:val="00690C2B"/>
    <w:rsid w:val="00690C79"/>
    <w:rsid w:val="00691003"/>
    <w:rsid w:val="00691268"/>
    <w:rsid w:val="0069136D"/>
    <w:rsid w:val="006914F1"/>
    <w:rsid w:val="006925EE"/>
    <w:rsid w:val="0069261A"/>
    <w:rsid w:val="00692865"/>
    <w:rsid w:val="00692A0E"/>
    <w:rsid w:val="00692BAC"/>
    <w:rsid w:val="006932B0"/>
    <w:rsid w:val="0069348F"/>
    <w:rsid w:val="006942BF"/>
    <w:rsid w:val="00695161"/>
    <w:rsid w:val="00695215"/>
    <w:rsid w:val="00695322"/>
    <w:rsid w:val="00695CF6"/>
    <w:rsid w:val="00695DF7"/>
    <w:rsid w:val="006968E2"/>
    <w:rsid w:val="00696921"/>
    <w:rsid w:val="00696C73"/>
    <w:rsid w:val="00696E47"/>
    <w:rsid w:val="0069710D"/>
    <w:rsid w:val="00697276"/>
    <w:rsid w:val="00697503"/>
    <w:rsid w:val="00697AA0"/>
    <w:rsid w:val="006A0650"/>
    <w:rsid w:val="006A09E3"/>
    <w:rsid w:val="006A0D9F"/>
    <w:rsid w:val="006A0F87"/>
    <w:rsid w:val="006A1370"/>
    <w:rsid w:val="006A13A2"/>
    <w:rsid w:val="006A14F7"/>
    <w:rsid w:val="006A1783"/>
    <w:rsid w:val="006A27D9"/>
    <w:rsid w:val="006A287D"/>
    <w:rsid w:val="006A36D2"/>
    <w:rsid w:val="006A3B96"/>
    <w:rsid w:val="006A4628"/>
    <w:rsid w:val="006A48AF"/>
    <w:rsid w:val="006A4B95"/>
    <w:rsid w:val="006A53DF"/>
    <w:rsid w:val="006A5767"/>
    <w:rsid w:val="006A5961"/>
    <w:rsid w:val="006A5B5D"/>
    <w:rsid w:val="006A5B88"/>
    <w:rsid w:val="006A5D78"/>
    <w:rsid w:val="006A6090"/>
    <w:rsid w:val="006A6737"/>
    <w:rsid w:val="006A759C"/>
    <w:rsid w:val="006A7B74"/>
    <w:rsid w:val="006A7D04"/>
    <w:rsid w:val="006A7DDF"/>
    <w:rsid w:val="006A7ED9"/>
    <w:rsid w:val="006B0230"/>
    <w:rsid w:val="006B034B"/>
    <w:rsid w:val="006B11FD"/>
    <w:rsid w:val="006B1351"/>
    <w:rsid w:val="006B190B"/>
    <w:rsid w:val="006B1AF9"/>
    <w:rsid w:val="006B1E0B"/>
    <w:rsid w:val="006B1F56"/>
    <w:rsid w:val="006B22FA"/>
    <w:rsid w:val="006B2614"/>
    <w:rsid w:val="006B2EB7"/>
    <w:rsid w:val="006B31EC"/>
    <w:rsid w:val="006B3512"/>
    <w:rsid w:val="006B387F"/>
    <w:rsid w:val="006B4EC7"/>
    <w:rsid w:val="006B5389"/>
    <w:rsid w:val="006B541A"/>
    <w:rsid w:val="006B542B"/>
    <w:rsid w:val="006B578F"/>
    <w:rsid w:val="006B60D2"/>
    <w:rsid w:val="006B62E0"/>
    <w:rsid w:val="006B631E"/>
    <w:rsid w:val="006B6A89"/>
    <w:rsid w:val="006B6ED9"/>
    <w:rsid w:val="006B7F4C"/>
    <w:rsid w:val="006B7FE8"/>
    <w:rsid w:val="006C02F1"/>
    <w:rsid w:val="006C0543"/>
    <w:rsid w:val="006C09AB"/>
    <w:rsid w:val="006C254B"/>
    <w:rsid w:val="006C261A"/>
    <w:rsid w:val="006C2B24"/>
    <w:rsid w:val="006C2E8F"/>
    <w:rsid w:val="006C36DA"/>
    <w:rsid w:val="006C3C2C"/>
    <w:rsid w:val="006C46BB"/>
    <w:rsid w:val="006C59C9"/>
    <w:rsid w:val="006C5BF0"/>
    <w:rsid w:val="006C604B"/>
    <w:rsid w:val="006C6155"/>
    <w:rsid w:val="006C64AE"/>
    <w:rsid w:val="006C6D63"/>
    <w:rsid w:val="006C7CCA"/>
    <w:rsid w:val="006C7D6A"/>
    <w:rsid w:val="006D041F"/>
    <w:rsid w:val="006D0448"/>
    <w:rsid w:val="006D0628"/>
    <w:rsid w:val="006D0CEE"/>
    <w:rsid w:val="006D11D4"/>
    <w:rsid w:val="006D129A"/>
    <w:rsid w:val="006D1A2A"/>
    <w:rsid w:val="006D1B3E"/>
    <w:rsid w:val="006D1CA9"/>
    <w:rsid w:val="006D2C57"/>
    <w:rsid w:val="006D3024"/>
    <w:rsid w:val="006D36AE"/>
    <w:rsid w:val="006D4130"/>
    <w:rsid w:val="006D4349"/>
    <w:rsid w:val="006D4F35"/>
    <w:rsid w:val="006D51E9"/>
    <w:rsid w:val="006D531D"/>
    <w:rsid w:val="006D5ECB"/>
    <w:rsid w:val="006D6257"/>
    <w:rsid w:val="006D65B9"/>
    <w:rsid w:val="006D678F"/>
    <w:rsid w:val="006D7181"/>
    <w:rsid w:val="006D7795"/>
    <w:rsid w:val="006D7B60"/>
    <w:rsid w:val="006E01AA"/>
    <w:rsid w:val="006E05F1"/>
    <w:rsid w:val="006E0E7E"/>
    <w:rsid w:val="006E0E82"/>
    <w:rsid w:val="006E0EA2"/>
    <w:rsid w:val="006E15E3"/>
    <w:rsid w:val="006E1E76"/>
    <w:rsid w:val="006E1EC3"/>
    <w:rsid w:val="006E1EEA"/>
    <w:rsid w:val="006E211E"/>
    <w:rsid w:val="006E2AE3"/>
    <w:rsid w:val="006E2F0B"/>
    <w:rsid w:val="006E31D2"/>
    <w:rsid w:val="006E32A5"/>
    <w:rsid w:val="006E3841"/>
    <w:rsid w:val="006E3B3A"/>
    <w:rsid w:val="006E3C0D"/>
    <w:rsid w:val="006E49AA"/>
    <w:rsid w:val="006E49B2"/>
    <w:rsid w:val="006E5171"/>
    <w:rsid w:val="006E57DC"/>
    <w:rsid w:val="006E5A81"/>
    <w:rsid w:val="006E5E48"/>
    <w:rsid w:val="006E5EFF"/>
    <w:rsid w:val="006E5FA1"/>
    <w:rsid w:val="006E6217"/>
    <w:rsid w:val="006E66E2"/>
    <w:rsid w:val="006E6CC6"/>
    <w:rsid w:val="006E722A"/>
    <w:rsid w:val="006E77B5"/>
    <w:rsid w:val="006F011D"/>
    <w:rsid w:val="006F0A69"/>
    <w:rsid w:val="006F0E2C"/>
    <w:rsid w:val="006F11A2"/>
    <w:rsid w:val="006F1A47"/>
    <w:rsid w:val="006F1C9F"/>
    <w:rsid w:val="006F2064"/>
    <w:rsid w:val="006F2151"/>
    <w:rsid w:val="006F22D8"/>
    <w:rsid w:val="006F248B"/>
    <w:rsid w:val="006F38D1"/>
    <w:rsid w:val="006F39FA"/>
    <w:rsid w:val="006F3C42"/>
    <w:rsid w:val="006F3E91"/>
    <w:rsid w:val="006F3EC7"/>
    <w:rsid w:val="006F4048"/>
    <w:rsid w:val="006F455A"/>
    <w:rsid w:val="006F47DB"/>
    <w:rsid w:val="006F4844"/>
    <w:rsid w:val="006F4A01"/>
    <w:rsid w:val="006F4BEE"/>
    <w:rsid w:val="006F4CA2"/>
    <w:rsid w:val="006F4D31"/>
    <w:rsid w:val="006F4F29"/>
    <w:rsid w:val="006F5776"/>
    <w:rsid w:val="006F5B60"/>
    <w:rsid w:val="006F5C6D"/>
    <w:rsid w:val="006F5E77"/>
    <w:rsid w:val="006F653D"/>
    <w:rsid w:val="006F72D7"/>
    <w:rsid w:val="006F7D6D"/>
    <w:rsid w:val="006F7FD6"/>
    <w:rsid w:val="00700B8B"/>
    <w:rsid w:val="00700C35"/>
    <w:rsid w:val="00700F10"/>
    <w:rsid w:val="00701B29"/>
    <w:rsid w:val="00701E9F"/>
    <w:rsid w:val="00701F41"/>
    <w:rsid w:val="00702099"/>
    <w:rsid w:val="00702171"/>
    <w:rsid w:val="00702C7A"/>
    <w:rsid w:val="00702CEB"/>
    <w:rsid w:val="007032AE"/>
    <w:rsid w:val="007036BD"/>
    <w:rsid w:val="00703C2D"/>
    <w:rsid w:val="00703FF3"/>
    <w:rsid w:val="00704890"/>
    <w:rsid w:val="00705BBD"/>
    <w:rsid w:val="00705E47"/>
    <w:rsid w:val="00705FA6"/>
    <w:rsid w:val="00706365"/>
    <w:rsid w:val="0070650D"/>
    <w:rsid w:val="007065AA"/>
    <w:rsid w:val="00706EEC"/>
    <w:rsid w:val="0070706E"/>
    <w:rsid w:val="00707F7D"/>
    <w:rsid w:val="0071099F"/>
    <w:rsid w:val="00711381"/>
    <w:rsid w:val="007123C0"/>
    <w:rsid w:val="007126E9"/>
    <w:rsid w:val="00712D35"/>
    <w:rsid w:val="0071389E"/>
    <w:rsid w:val="00714274"/>
    <w:rsid w:val="00714E1E"/>
    <w:rsid w:val="00717C7B"/>
    <w:rsid w:val="00720307"/>
    <w:rsid w:val="0072047F"/>
    <w:rsid w:val="00720791"/>
    <w:rsid w:val="00720BBF"/>
    <w:rsid w:val="00720CE5"/>
    <w:rsid w:val="0072183C"/>
    <w:rsid w:val="007221E0"/>
    <w:rsid w:val="0072258D"/>
    <w:rsid w:val="0072351C"/>
    <w:rsid w:val="007242FF"/>
    <w:rsid w:val="00724540"/>
    <w:rsid w:val="00724AFE"/>
    <w:rsid w:val="00725634"/>
    <w:rsid w:val="00725E78"/>
    <w:rsid w:val="00725F8C"/>
    <w:rsid w:val="0072696F"/>
    <w:rsid w:val="00726E08"/>
    <w:rsid w:val="00726EA5"/>
    <w:rsid w:val="007279BB"/>
    <w:rsid w:val="00727C69"/>
    <w:rsid w:val="00727C9F"/>
    <w:rsid w:val="007306E7"/>
    <w:rsid w:val="00731B25"/>
    <w:rsid w:val="00731CD8"/>
    <w:rsid w:val="00731F44"/>
    <w:rsid w:val="00731F73"/>
    <w:rsid w:val="0073248D"/>
    <w:rsid w:val="00732683"/>
    <w:rsid w:val="0073296D"/>
    <w:rsid w:val="00732EF1"/>
    <w:rsid w:val="00732F3C"/>
    <w:rsid w:val="007336A8"/>
    <w:rsid w:val="007336ED"/>
    <w:rsid w:val="007337F2"/>
    <w:rsid w:val="00734660"/>
    <w:rsid w:val="007355AA"/>
    <w:rsid w:val="007357E6"/>
    <w:rsid w:val="007365B0"/>
    <w:rsid w:val="00736930"/>
    <w:rsid w:val="007369A8"/>
    <w:rsid w:val="0073743B"/>
    <w:rsid w:val="0073746D"/>
    <w:rsid w:val="00740968"/>
    <w:rsid w:val="00740A14"/>
    <w:rsid w:val="00740D24"/>
    <w:rsid w:val="00741070"/>
    <w:rsid w:val="007429CA"/>
    <w:rsid w:val="00743C89"/>
    <w:rsid w:val="00743D24"/>
    <w:rsid w:val="00743E21"/>
    <w:rsid w:val="007444F0"/>
    <w:rsid w:val="007445AD"/>
    <w:rsid w:val="007446AA"/>
    <w:rsid w:val="007448F7"/>
    <w:rsid w:val="00744CCE"/>
    <w:rsid w:val="007452DE"/>
    <w:rsid w:val="007468E3"/>
    <w:rsid w:val="00746B71"/>
    <w:rsid w:val="00746BA8"/>
    <w:rsid w:val="00747005"/>
    <w:rsid w:val="00747276"/>
    <w:rsid w:val="00747983"/>
    <w:rsid w:val="00750B08"/>
    <w:rsid w:val="00750F0C"/>
    <w:rsid w:val="007511C0"/>
    <w:rsid w:val="00751200"/>
    <w:rsid w:val="00751278"/>
    <w:rsid w:val="007522AE"/>
    <w:rsid w:val="00752E6C"/>
    <w:rsid w:val="00753074"/>
    <w:rsid w:val="007531A1"/>
    <w:rsid w:val="00753241"/>
    <w:rsid w:val="007536FB"/>
    <w:rsid w:val="00753706"/>
    <w:rsid w:val="007537E9"/>
    <w:rsid w:val="00754050"/>
    <w:rsid w:val="00755F04"/>
    <w:rsid w:val="007564A6"/>
    <w:rsid w:val="00756915"/>
    <w:rsid w:val="00756B55"/>
    <w:rsid w:val="00756FFB"/>
    <w:rsid w:val="0075779D"/>
    <w:rsid w:val="00760697"/>
    <w:rsid w:val="00760C87"/>
    <w:rsid w:val="0076127C"/>
    <w:rsid w:val="00762448"/>
    <w:rsid w:val="007628F2"/>
    <w:rsid w:val="007629D2"/>
    <w:rsid w:val="00762B4F"/>
    <w:rsid w:val="00762C22"/>
    <w:rsid w:val="00763598"/>
    <w:rsid w:val="00764688"/>
    <w:rsid w:val="00764953"/>
    <w:rsid w:val="00764D55"/>
    <w:rsid w:val="00764D6B"/>
    <w:rsid w:val="00764FD3"/>
    <w:rsid w:val="0076576D"/>
    <w:rsid w:val="007668FC"/>
    <w:rsid w:val="00767109"/>
    <w:rsid w:val="007676AC"/>
    <w:rsid w:val="00767824"/>
    <w:rsid w:val="007701AB"/>
    <w:rsid w:val="00770558"/>
    <w:rsid w:val="00771287"/>
    <w:rsid w:val="00771D82"/>
    <w:rsid w:val="0077212C"/>
    <w:rsid w:val="007721C4"/>
    <w:rsid w:val="00772514"/>
    <w:rsid w:val="00772C14"/>
    <w:rsid w:val="00773B03"/>
    <w:rsid w:val="00773DB9"/>
    <w:rsid w:val="00775156"/>
    <w:rsid w:val="007751FE"/>
    <w:rsid w:val="00775523"/>
    <w:rsid w:val="00775BEC"/>
    <w:rsid w:val="00776448"/>
    <w:rsid w:val="00776D8C"/>
    <w:rsid w:val="00777A91"/>
    <w:rsid w:val="00777AE2"/>
    <w:rsid w:val="00777DBA"/>
    <w:rsid w:val="00780DB4"/>
    <w:rsid w:val="0078176D"/>
    <w:rsid w:val="00781997"/>
    <w:rsid w:val="00781A28"/>
    <w:rsid w:val="007826E5"/>
    <w:rsid w:val="00782798"/>
    <w:rsid w:val="00782D29"/>
    <w:rsid w:val="007833E9"/>
    <w:rsid w:val="007839D9"/>
    <w:rsid w:val="00783C76"/>
    <w:rsid w:val="00783CA2"/>
    <w:rsid w:val="0078414B"/>
    <w:rsid w:val="00784234"/>
    <w:rsid w:val="00784E6A"/>
    <w:rsid w:val="00785EEC"/>
    <w:rsid w:val="0078649F"/>
    <w:rsid w:val="00787223"/>
    <w:rsid w:val="0078784E"/>
    <w:rsid w:val="00790266"/>
    <w:rsid w:val="0079057C"/>
    <w:rsid w:val="00790634"/>
    <w:rsid w:val="007910BC"/>
    <w:rsid w:val="007915DA"/>
    <w:rsid w:val="00791E5D"/>
    <w:rsid w:val="00791F81"/>
    <w:rsid w:val="007921DF"/>
    <w:rsid w:val="007921EA"/>
    <w:rsid w:val="00792451"/>
    <w:rsid w:val="00793882"/>
    <w:rsid w:val="00793987"/>
    <w:rsid w:val="00793D77"/>
    <w:rsid w:val="00794DA7"/>
    <w:rsid w:val="00794F98"/>
    <w:rsid w:val="00794FF1"/>
    <w:rsid w:val="00795C51"/>
    <w:rsid w:val="00795D42"/>
    <w:rsid w:val="00795E42"/>
    <w:rsid w:val="007964E7"/>
    <w:rsid w:val="007971B2"/>
    <w:rsid w:val="007975BC"/>
    <w:rsid w:val="00797711"/>
    <w:rsid w:val="00797859"/>
    <w:rsid w:val="007979E3"/>
    <w:rsid w:val="00797B87"/>
    <w:rsid w:val="00797B9F"/>
    <w:rsid w:val="00797F35"/>
    <w:rsid w:val="00797F95"/>
    <w:rsid w:val="007A01B9"/>
    <w:rsid w:val="007A02BB"/>
    <w:rsid w:val="007A09DB"/>
    <w:rsid w:val="007A188D"/>
    <w:rsid w:val="007A200A"/>
    <w:rsid w:val="007A2394"/>
    <w:rsid w:val="007A3192"/>
    <w:rsid w:val="007A3794"/>
    <w:rsid w:val="007A390A"/>
    <w:rsid w:val="007A3AFA"/>
    <w:rsid w:val="007A4835"/>
    <w:rsid w:val="007A4C0D"/>
    <w:rsid w:val="007A4EB8"/>
    <w:rsid w:val="007A51C8"/>
    <w:rsid w:val="007A51E4"/>
    <w:rsid w:val="007A5584"/>
    <w:rsid w:val="007A58AE"/>
    <w:rsid w:val="007A5D74"/>
    <w:rsid w:val="007A5F3D"/>
    <w:rsid w:val="007A629F"/>
    <w:rsid w:val="007A6764"/>
    <w:rsid w:val="007A7567"/>
    <w:rsid w:val="007A7CF6"/>
    <w:rsid w:val="007B07FD"/>
    <w:rsid w:val="007B0FA8"/>
    <w:rsid w:val="007B102C"/>
    <w:rsid w:val="007B1AF6"/>
    <w:rsid w:val="007B24B3"/>
    <w:rsid w:val="007B2D41"/>
    <w:rsid w:val="007B2E5F"/>
    <w:rsid w:val="007B3154"/>
    <w:rsid w:val="007B33B3"/>
    <w:rsid w:val="007B379C"/>
    <w:rsid w:val="007B4431"/>
    <w:rsid w:val="007B4CA1"/>
    <w:rsid w:val="007B4EEE"/>
    <w:rsid w:val="007B531A"/>
    <w:rsid w:val="007B70AF"/>
    <w:rsid w:val="007B7676"/>
    <w:rsid w:val="007B7C61"/>
    <w:rsid w:val="007B7D72"/>
    <w:rsid w:val="007B7EAB"/>
    <w:rsid w:val="007C0073"/>
    <w:rsid w:val="007C0463"/>
    <w:rsid w:val="007C0DCB"/>
    <w:rsid w:val="007C11A3"/>
    <w:rsid w:val="007C139D"/>
    <w:rsid w:val="007C1645"/>
    <w:rsid w:val="007C17A4"/>
    <w:rsid w:val="007C1B05"/>
    <w:rsid w:val="007C2071"/>
    <w:rsid w:val="007C208F"/>
    <w:rsid w:val="007C299B"/>
    <w:rsid w:val="007C29FE"/>
    <w:rsid w:val="007C3794"/>
    <w:rsid w:val="007C3975"/>
    <w:rsid w:val="007C3A59"/>
    <w:rsid w:val="007C3BBF"/>
    <w:rsid w:val="007C3FD5"/>
    <w:rsid w:val="007C44EA"/>
    <w:rsid w:val="007C4FE9"/>
    <w:rsid w:val="007C5805"/>
    <w:rsid w:val="007C58EC"/>
    <w:rsid w:val="007C72FC"/>
    <w:rsid w:val="007C7315"/>
    <w:rsid w:val="007C754A"/>
    <w:rsid w:val="007C7BFB"/>
    <w:rsid w:val="007C7F2A"/>
    <w:rsid w:val="007D036B"/>
    <w:rsid w:val="007D06BC"/>
    <w:rsid w:val="007D06DE"/>
    <w:rsid w:val="007D07B7"/>
    <w:rsid w:val="007D0E55"/>
    <w:rsid w:val="007D0F0B"/>
    <w:rsid w:val="007D1283"/>
    <w:rsid w:val="007D1354"/>
    <w:rsid w:val="007D1692"/>
    <w:rsid w:val="007D1795"/>
    <w:rsid w:val="007D18F1"/>
    <w:rsid w:val="007D29FD"/>
    <w:rsid w:val="007D2A3F"/>
    <w:rsid w:val="007D3246"/>
    <w:rsid w:val="007D37AE"/>
    <w:rsid w:val="007D3804"/>
    <w:rsid w:val="007D45CE"/>
    <w:rsid w:val="007D4973"/>
    <w:rsid w:val="007D519C"/>
    <w:rsid w:val="007D52B7"/>
    <w:rsid w:val="007D5D1C"/>
    <w:rsid w:val="007D61F7"/>
    <w:rsid w:val="007D6391"/>
    <w:rsid w:val="007D6E67"/>
    <w:rsid w:val="007D70A1"/>
    <w:rsid w:val="007D70F1"/>
    <w:rsid w:val="007D7D15"/>
    <w:rsid w:val="007E0916"/>
    <w:rsid w:val="007E0951"/>
    <w:rsid w:val="007E1532"/>
    <w:rsid w:val="007E188C"/>
    <w:rsid w:val="007E1DC5"/>
    <w:rsid w:val="007E1EA2"/>
    <w:rsid w:val="007E2038"/>
    <w:rsid w:val="007E20DA"/>
    <w:rsid w:val="007E2692"/>
    <w:rsid w:val="007E2B5A"/>
    <w:rsid w:val="007E2C1E"/>
    <w:rsid w:val="007E34BA"/>
    <w:rsid w:val="007E3713"/>
    <w:rsid w:val="007E3AD5"/>
    <w:rsid w:val="007E3DA8"/>
    <w:rsid w:val="007E44A2"/>
    <w:rsid w:val="007E45AD"/>
    <w:rsid w:val="007E45AE"/>
    <w:rsid w:val="007E5822"/>
    <w:rsid w:val="007E68F2"/>
    <w:rsid w:val="007E7347"/>
    <w:rsid w:val="007E742C"/>
    <w:rsid w:val="007E749A"/>
    <w:rsid w:val="007E7EEA"/>
    <w:rsid w:val="007F0416"/>
    <w:rsid w:val="007F0A1D"/>
    <w:rsid w:val="007F0D27"/>
    <w:rsid w:val="007F0D80"/>
    <w:rsid w:val="007F172F"/>
    <w:rsid w:val="007F175D"/>
    <w:rsid w:val="007F218F"/>
    <w:rsid w:val="007F2D2A"/>
    <w:rsid w:val="007F39B8"/>
    <w:rsid w:val="007F3B62"/>
    <w:rsid w:val="007F3EFF"/>
    <w:rsid w:val="007F3F71"/>
    <w:rsid w:val="007F49D2"/>
    <w:rsid w:val="007F503F"/>
    <w:rsid w:val="007F5405"/>
    <w:rsid w:val="007F55EF"/>
    <w:rsid w:val="007F5660"/>
    <w:rsid w:val="007F58CD"/>
    <w:rsid w:val="007F5AB4"/>
    <w:rsid w:val="007F614D"/>
    <w:rsid w:val="007F63A8"/>
    <w:rsid w:val="007F6B90"/>
    <w:rsid w:val="007F6C31"/>
    <w:rsid w:val="007F76EF"/>
    <w:rsid w:val="007F7853"/>
    <w:rsid w:val="007F7E3C"/>
    <w:rsid w:val="007F7EDA"/>
    <w:rsid w:val="007F7F34"/>
    <w:rsid w:val="00800203"/>
    <w:rsid w:val="00800CFF"/>
    <w:rsid w:val="00801BAC"/>
    <w:rsid w:val="00801EB6"/>
    <w:rsid w:val="0080227B"/>
    <w:rsid w:val="00802B16"/>
    <w:rsid w:val="0080397F"/>
    <w:rsid w:val="00803FA2"/>
    <w:rsid w:val="008044FB"/>
    <w:rsid w:val="0080476C"/>
    <w:rsid w:val="00805BE1"/>
    <w:rsid w:val="00805C87"/>
    <w:rsid w:val="008061DC"/>
    <w:rsid w:val="008070D8"/>
    <w:rsid w:val="008070EC"/>
    <w:rsid w:val="00807312"/>
    <w:rsid w:val="008077C0"/>
    <w:rsid w:val="00807EE8"/>
    <w:rsid w:val="008103E5"/>
    <w:rsid w:val="008106D8"/>
    <w:rsid w:val="00810998"/>
    <w:rsid w:val="00810B19"/>
    <w:rsid w:val="00810F19"/>
    <w:rsid w:val="008111E0"/>
    <w:rsid w:val="00811627"/>
    <w:rsid w:val="00811CE5"/>
    <w:rsid w:val="008125C4"/>
    <w:rsid w:val="008129CE"/>
    <w:rsid w:val="00812C59"/>
    <w:rsid w:val="008130C2"/>
    <w:rsid w:val="0081334E"/>
    <w:rsid w:val="00813ADF"/>
    <w:rsid w:val="00813D4F"/>
    <w:rsid w:val="00813DB1"/>
    <w:rsid w:val="00813F80"/>
    <w:rsid w:val="0081406E"/>
    <w:rsid w:val="00814578"/>
    <w:rsid w:val="008145D9"/>
    <w:rsid w:val="00814A47"/>
    <w:rsid w:val="00814ACD"/>
    <w:rsid w:val="00814F4D"/>
    <w:rsid w:val="00815547"/>
    <w:rsid w:val="00815B40"/>
    <w:rsid w:val="0081650B"/>
    <w:rsid w:val="0081677D"/>
    <w:rsid w:val="00816A77"/>
    <w:rsid w:val="00816E73"/>
    <w:rsid w:val="0081715B"/>
    <w:rsid w:val="0081742B"/>
    <w:rsid w:val="00817748"/>
    <w:rsid w:val="00817749"/>
    <w:rsid w:val="00817E72"/>
    <w:rsid w:val="00820649"/>
    <w:rsid w:val="00820BEC"/>
    <w:rsid w:val="00820BEE"/>
    <w:rsid w:val="00820C85"/>
    <w:rsid w:val="008212D2"/>
    <w:rsid w:val="00821745"/>
    <w:rsid w:val="00821A01"/>
    <w:rsid w:val="00821D37"/>
    <w:rsid w:val="00821E00"/>
    <w:rsid w:val="00822018"/>
    <w:rsid w:val="00822066"/>
    <w:rsid w:val="00822E9F"/>
    <w:rsid w:val="00823097"/>
    <w:rsid w:val="00823368"/>
    <w:rsid w:val="00823F22"/>
    <w:rsid w:val="00825307"/>
    <w:rsid w:val="008254E8"/>
    <w:rsid w:val="008254FD"/>
    <w:rsid w:val="008255AA"/>
    <w:rsid w:val="00825AD2"/>
    <w:rsid w:val="00825D06"/>
    <w:rsid w:val="00826103"/>
    <w:rsid w:val="00826504"/>
    <w:rsid w:val="008266B6"/>
    <w:rsid w:val="008266B7"/>
    <w:rsid w:val="00826D08"/>
    <w:rsid w:val="00826D0B"/>
    <w:rsid w:val="00826E17"/>
    <w:rsid w:val="00830825"/>
    <w:rsid w:val="00830E05"/>
    <w:rsid w:val="00831931"/>
    <w:rsid w:val="00831B69"/>
    <w:rsid w:val="00832E2C"/>
    <w:rsid w:val="008330F1"/>
    <w:rsid w:val="008332E7"/>
    <w:rsid w:val="0083388E"/>
    <w:rsid w:val="0083395F"/>
    <w:rsid w:val="00834624"/>
    <w:rsid w:val="00834A64"/>
    <w:rsid w:val="00834B84"/>
    <w:rsid w:val="00834E11"/>
    <w:rsid w:val="00834EBF"/>
    <w:rsid w:val="008350BF"/>
    <w:rsid w:val="008352CD"/>
    <w:rsid w:val="00835437"/>
    <w:rsid w:val="0083582B"/>
    <w:rsid w:val="008359CA"/>
    <w:rsid w:val="00835CC5"/>
    <w:rsid w:val="00835F4B"/>
    <w:rsid w:val="00836404"/>
    <w:rsid w:val="00836B5D"/>
    <w:rsid w:val="00836D90"/>
    <w:rsid w:val="0084000D"/>
    <w:rsid w:val="0084034A"/>
    <w:rsid w:val="00840513"/>
    <w:rsid w:val="008406B0"/>
    <w:rsid w:val="00840BB0"/>
    <w:rsid w:val="00840BEA"/>
    <w:rsid w:val="00840C1A"/>
    <w:rsid w:val="00840E2F"/>
    <w:rsid w:val="00841548"/>
    <w:rsid w:val="008420BC"/>
    <w:rsid w:val="00842454"/>
    <w:rsid w:val="008426D7"/>
    <w:rsid w:val="00842F64"/>
    <w:rsid w:val="00843617"/>
    <w:rsid w:val="008436B8"/>
    <w:rsid w:val="00843932"/>
    <w:rsid w:val="0084444D"/>
    <w:rsid w:val="00844B83"/>
    <w:rsid w:val="00844E2B"/>
    <w:rsid w:val="0084511B"/>
    <w:rsid w:val="008459FE"/>
    <w:rsid w:val="00846E90"/>
    <w:rsid w:val="008474DE"/>
    <w:rsid w:val="00847721"/>
    <w:rsid w:val="00847BD4"/>
    <w:rsid w:val="00847C23"/>
    <w:rsid w:val="008506D5"/>
    <w:rsid w:val="00850F2F"/>
    <w:rsid w:val="0085106E"/>
    <w:rsid w:val="008513FA"/>
    <w:rsid w:val="00851895"/>
    <w:rsid w:val="008523BF"/>
    <w:rsid w:val="008524BE"/>
    <w:rsid w:val="008528B4"/>
    <w:rsid w:val="008529FC"/>
    <w:rsid w:val="00852E94"/>
    <w:rsid w:val="0085303D"/>
    <w:rsid w:val="008530A4"/>
    <w:rsid w:val="00853DD5"/>
    <w:rsid w:val="00854272"/>
    <w:rsid w:val="00854372"/>
    <w:rsid w:val="00854571"/>
    <w:rsid w:val="0085469C"/>
    <w:rsid w:val="008547D6"/>
    <w:rsid w:val="00854CD3"/>
    <w:rsid w:val="00855425"/>
    <w:rsid w:val="00856271"/>
    <w:rsid w:val="0085656E"/>
    <w:rsid w:val="00856746"/>
    <w:rsid w:val="008569AE"/>
    <w:rsid w:val="00856C2F"/>
    <w:rsid w:val="00857255"/>
    <w:rsid w:val="0085746E"/>
    <w:rsid w:val="00857D5D"/>
    <w:rsid w:val="00857F0D"/>
    <w:rsid w:val="00860391"/>
    <w:rsid w:val="008603A5"/>
    <w:rsid w:val="00860E06"/>
    <w:rsid w:val="00861000"/>
    <w:rsid w:val="00862043"/>
    <w:rsid w:val="008625BE"/>
    <w:rsid w:val="008625F3"/>
    <w:rsid w:val="00863360"/>
    <w:rsid w:val="00863926"/>
    <w:rsid w:val="00863E16"/>
    <w:rsid w:val="008644DA"/>
    <w:rsid w:val="0086466F"/>
    <w:rsid w:val="00864DE6"/>
    <w:rsid w:val="008652EA"/>
    <w:rsid w:val="008652F4"/>
    <w:rsid w:val="00865375"/>
    <w:rsid w:val="008669B3"/>
    <w:rsid w:val="00866B39"/>
    <w:rsid w:val="00866B7A"/>
    <w:rsid w:val="00867575"/>
    <w:rsid w:val="00867AEC"/>
    <w:rsid w:val="00867C7A"/>
    <w:rsid w:val="00870E35"/>
    <w:rsid w:val="00870FAA"/>
    <w:rsid w:val="008713A2"/>
    <w:rsid w:val="0087143A"/>
    <w:rsid w:val="00871625"/>
    <w:rsid w:val="0087195E"/>
    <w:rsid w:val="0087241A"/>
    <w:rsid w:val="00872506"/>
    <w:rsid w:val="00872D1B"/>
    <w:rsid w:val="0087422D"/>
    <w:rsid w:val="0087424C"/>
    <w:rsid w:val="0087431A"/>
    <w:rsid w:val="00874936"/>
    <w:rsid w:val="00874C6D"/>
    <w:rsid w:val="00874DE1"/>
    <w:rsid w:val="008753F7"/>
    <w:rsid w:val="008754EA"/>
    <w:rsid w:val="00875A20"/>
    <w:rsid w:val="00875BB9"/>
    <w:rsid w:val="00875F38"/>
    <w:rsid w:val="00875F92"/>
    <w:rsid w:val="0087606F"/>
    <w:rsid w:val="00876327"/>
    <w:rsid w:val="008766A0"/>
    <w:rsid w:val="00876ED5"/>
    <w:rsid w:val="008777A9"/>
    <w:rsid w:val="00877913"/>
    <w:rsid w:val="00877F36"/>
    <w:rsid w:val="00880089"/>
    <w:rsid w:val="0088009F"/>
    <w:rsid w:val="00880326"/>
    <w:rsid w:val="00880732"/>
    <w:rsid w:val="00880A36"/>
    <w:rsid w:val="00880B4F"/>
    <w:rsid w:val="008816B4"/>
    <w:rsid w:val="00882138"/>
    <w:rsid w:val="008821F7"/>
    <w:rsid w:val="008822CF"/>
    <w:rsid w:val="008837F8"/>
    <w:rsid w:val="0088384F"/>
    <w:rsid w:val="00883DED"/>
    <w:rsid w:val="00883EAA"/>
    <w:rsid w:val="00885FA9"/>
    <w:rsid w:val="008860DB"/>
    <w:rsid w:val="00886979"/>
    <w:rsid w:val="00886A84"/>
    <w:rsid w:val="00886C59"/>
    <w:rsid w:val="00886EDC"/>
    <w:rsid w:val="00886F77"/>
    <w:rsid w:val="00887C33"/>
    <w:rsid w:val="008904D3"/>
    <w:rsid w:val="008905F1"/>
    <w:rsid w:val="0089063B"/>
    <w:rsid w:val="00890898"/>
    <w:rsid w:val="00890F03"/>
    <w:rsid w:val="00890FE1"/>
    <w:rsid w:val="0089157B"/>
    <w:rsid w:val="0089170A"/>
    <w:rsid w:val="00891AE5"/>
    <w:rsid w:val="0089217B"/>
    <w:rsid w:val="0089246D"/>
    <w:rsid w:val="00892A23"/>
    <w:rsid w:val="00892D70"/>
    <w:rsid w:val="0089303A"/>
    <w:rsid w:val="00893486"/>
    <w:rsid w:val="00894110"/>
    <w:rsid w:val="00894141"/>
    <w:rsid w:val="00894636"/>
    <w:rsid w:val="00894CF5"/>
    <w:rsid w:val="008960A4"/>
    <w:rsid w:val="00896473"/>
    <w:rsid w:val="00896FE0"/>
    <w:rsid w:val="008971A5"/>
    <w:rsid w:val="00897208"/>
    <w:rsid w:val="008973AF"/>
    <w:rsid w:val="008976AB"/>
    <w:rsid w:val="00897932"/>
    <w:rsid w:val="00897991"/>
    <w:rsid w:val="008A04B7"/>
    <w:rsid w:val="008A0BFC"/>
    <w:rsid w:val="008A0F04"/>
    <w:rsid w:val="008A176D"/>
    <w:rsid w:val="008A1AA0"/>
    <w:rsid w:val="008A1D8A"/>
    <w:rsid w:val="008A2812"/>
    <w:rsid w:val="008A29F1"/>
    <w:rsid w:val="008A2C97"/>
    <w:rsid w:val="008A30C8"/>
    <w:rsid w:val="008A31EB"/>
    <w:rsid w:val="008A43FC"/>
    <w:rsid w:val="008A58DC"/>
    <w:rsid w:val="008A67BC"/>
    <w:rsid w:val="008A680B"/>
    <w:rsid w:val="008A7202"/>
    <w:rsid w:val="008A76DA"/>
    <w:rsid w:val="008B00BA"/>
    <w:rsid w:val="008B0142"/>
    <w:rsid w:val="008B0F9F"/>
    <w:rsid w:val="008B13B0"/>
    <w:rsid w:val="008B1AAA"/>
    <w:rsid w:val="008B20AC"/>
    <w:rsid w:val="008B29C0"/>
    <w:rsid w:val="008B2C31"/>
    <w:rsid w:val="008B2D1A"/>
    <w:rsid w:val="008B3972"/>
    <w:rsid w:val="008B3A0D"/>
    <w:rsid w:val="008B3B46"/>
    <w:rsid w:val="008B41BA"/>
    <w:rsid w:val="008B4575"/>
    <w:rsid w:val="008B4C08"/>
    <w:rsid w:val="008B556F"/>
    <w:rsid w:val="008B5802"/>
    <w:rsid w:val="008B5A9E"/>
    <w:rsid w:val="008B64ED"/>
    <w:rsid w:val="008B6A71"/>
    <w:rsid w:val="008B6CA4"/>
    <w:rsid w:val="008B6CAA"/>
    <w:rsid w:val="008B77E1"/>
    <w:rsid w:val="008B79E1"/>
    <w:rsid w:val="008B7B5E"/>
    <w:rsid w:val="008B7D84"/>
    <w:rsid w:val="008B7E64"/>
    <w:rsid w:val="008B7F2F"/>
    <w:rsid w:val="008C0277"/>
    <w:rsid w:val="008C04CC"/>
    <w:rsid w:val="008C083D"/>
    <w:rsid w:val="008C18A0"/>
    <w:rsid w:val="008C1A31"/>
    <w:rsid w:val="008C1EA2"/>
    <w:rsid w:val="008C2620"/>
    <w:rsid w:val="008C2D62"/>
    <w:rsid w:val="008C3712"/>
    <w:rsid w:val="008C40F0"/>
    <w:rsid w:val="008C4A90"/>
    <w:rsid w:val="008C4E73"/>
    <w:rsid w:val="008C4ED8"/>
    <w:rsid w:val="008C5AF6"/>
    <w:rsid w:val="008C5D16"/>
    <w:rsid w:val="008C5F3A"/>
    <w:rsid w:val="008C5F51"/>
    <w:rsid w:val="008C68F4"/>
    <w:rsid w:val="008C69B0"/>
    <w:rsid w:val="008C74DA"/>
    <w:rsid w:val="008D000C"/>
    <w:rsid w:val="008D005D"/>
    <w:rsid w:val="008D0419"/>
    <w:rsid w:val="008D0A96"/>
    <w:rsid w:val="008D1202"/>
    <w:rsid w:val="008D12ED"/>
    <w:rsid w:val="008D1663"/>
    <w:rsid w:val="008D1F79"/>
    <w:rsid w:val="008D214C"/>
    <w:rsid w:val="008D21A6"/>
    <w:rsid w:val="008D249F"/>
    <w:rsid w:val="008D2573"/>
    <w:rsid w:val="008D3C25"/>
    <w:rsid w:val="008D3CB5"/>
    <w:rsid w:val="008D403F"/>
    <w:rsid w:val="008D4069"/>
    <w:rsid w:val="008D443B"/>
    <w:rsid w:val="008D4592"/>
    <w:rsid w:val="008D474D"/>
    <w:rsid w:val="008D4A25"/>
    <w:rsid w:val="008D51A2"/>
    <w:rsid w:val="008D52D3"/>
    <w:rsid w:val="008D58E2"/>
    <w:rsid w:val="008D600D"/>
    <w:rsid w:val="008D6954"/>
    <w:rsid w:val="008D6EA5"/>
    <w:rsid w:val="008D73E1"/>
    <w:rsid w:val="008D7885"/>
    <w:rsid w:val="008D7924"/>
    <w:rsid w:val="008E0619"/>
    <w:rsid w:val="008E062E"/>
    <w:rsid w:val="008E06C3"/>
    <w:rsid w:val="008E0CE0"/>
    <w:rsid w:val="008E0E51"/>
    <w:rsid w:val="008E1301"/>
    <w:rsid w:val="008E258B"/>
    <w:rsid w:val="008E2E92"/>
    <w:rsid w:val="008E3271"/>
    <w:rsid w:val="008E33D5"/>
    <w:rsid w:val="008E35AC"/>
    <w:rsid w:val="008E3B21"/>
    <w:rsid w:val="008E4622"/>
    <w:rsid w:val="008E46F9"/>
    <w:rsid w:val="008E476B"/>
    <w:rsid w:val="008E4847"/>
    <w:rsid w:val="008E4BB9"/>
    <w:rsid w:val="008E5261"/>
    <w:rsid w:val="008E55A2"/>
    <w:rsid w:val="008E6478"/>
    <w:rsid w:val="008E6CF1"/>
    <w:rsid w:val="008E6D04"/>
    <w:rsid w:val="008E766C"/>
    <w:rsid w:val="008E7731"/>
    <w:rsid w:val="008F0242"/>
    <w:rsid w:val="008F09B2"/>
    <w:rsid w:val="008F0EC4"/>
    <w:rsid w:val="008F1614"/>
    <w:rsid w:val="008F1934"/>
    <w:rsid w:val="008F1968"/>
    <w:rsid w:val="008F1B74"/>
    <w:rsid w:val="008F1C76"/>
    <w:rsid w:val="008F2044"/>
    <w:rsid w:val="008F2B2A"/>
    <w:rsid w:val="008F2FAE"/>
    <w:rsid w:val="008F3512"/>
    <w:rsid w:val="008F3B6B"/>
    <w:rsid w:val="008F3B7E"/>
    <w:rsid w:val="008F3D7D"/>
    <w:rsid w:val="008F3DF6"/>
    <w:rsid w:val="008F6630"/>
    <w:rsid w:val="008F6C7F"/>
    <w:rsid w:val="008F7274"/>
    <w:rsid w:val="008F78B7"/>
    <w:rsid w:val="008F7C3E"/>
    <w:rsid w:val="008F7DB0"/>
    <w:rsid w:val="0090008F"/>
    <w:rsid w:val="00900212"/>
    <w:rsid w:val="0090026F"/>
    <w:rsid w:val="00900405"/>
    <w:rsid w:val="009004D6"/>
    <w:rsid w:val="00900697"/>
    <w:rsid w:val="00900758"/>
    <w:rsid w:val="00901223"/>
    <w:rsid w:val="0090149B"/>
    <w:rsid w:val="00901B5E"/>
    <w:rsid w:val="00901D42"/>
    <w:rsid w:val="009020B0"/>
    <w:rsid w:val="00902A80"/>
    <w:rsid w:val="00902BBA"/>
    <w:rsid w:val="00902C46"/>
    <w:rsid w:val="009040F2"/>
    <w:rsid w:val="00904316"/>
    <w:rsid w:val="00904AC1"/>
    <w:rsid w:val="00904CED"/>
    <w:rsid w:val="00904E0D"/>
    <w:rsid w:val="00905324"/>
    <w:rsid w:val="00905AA7"/>
    <w:rsid w:val="00905B22"/>
    <w:rsid w:val="00906892"/>
    <w:rsid w:val="00906BFE"/>
    <w:rsid w:val="00906E42"/>
    <w:rsid w:val="00907425"/>
    <w:rsid w:val="00907454"/>
    <w:rsid w:val="00907E13"/>
    <w:rsid w:val="00907E35"/>
    <w:rsid w:val="0091040B"/>
    <w:rsid w:val="0091089B"/>
    <w:rsid w:val="009118AE"/>
    <w:rsid w:val="00911D0B"/>
    <w:rsid w:val="009121DB"/>
    <w:rsid w:val="00912595"/>
    <w:rsid w:val="0091283F"/>
    <w:rsid w:val="00913928"/>
    <w:rsid w:val="00913A22"/>
    <w:rsid w:val="00913A39"/>
    <w:rsid w:val="00913A3A"/>
    <w:rsid w:val="00913E41"/>
    <w:rsid w:val="0091430B"/>
    <w:rsid w:val="009144DA"/>
    <w:rsid w:val="009145E4"/>
    <w:rsid w:val="00914BAA"/>
    <w:rsid w:val="009150B3"/>
    <w:rsid w:val="00915497"/>
    <w:rsid w:val="00915590"/>
    <w:rsid w:val="009157CE"/>
    <w:rsid w:val="009159FD"/>
    <w:rsid w:val="00915DA9"/>
    <w:rsid w:val="00915DBA"/>
    <w:rsid w:val="00916973"/>
    <w:rsid w:val="00916B33"/>
    <w:rsid w:val="00916D22"/>
    <w:rsid w:val="00916E56"/>
    <w:rsid w:val="00916E94"/>
    <w:rsid w:val="00917056"/>
    <w:rsid w:val="00917CB3"/>
    <w:rsid w:val="00920054"/>
    <w:rsid w:val="00920234"/>
    <w:rsid w:val="00920BC1"/>
    <w:rsid w:val="00921957"/>
    <w:rsid w:val="00921FC0"/>
    <w:rsid w:val="00923066"/>
    <w:rsid w:val="009233B8"/>
    <w:rsid w:val="0092345F"/>
    <w:rsid w:val="00923CD2"/>
    <w:rsid w:val="009253C5"/>
    <w:rsid w:val="0092554E"/>
    <w:rsid w:val="00925DE2"/>
    <w:rsid w:val="00925E40"/>
    <w:rsid w:val="009263C1"/>
    <w:rsid w:val="009264A3"/>
    <w:rsid w:val="00926664"/>
    <w:rsid w:val="00926C7E"/>
    <w:rsid w:val="00927540"/>
    <w:rsid w:val="0093049B"/>
    <w:rsid w:val="00930CE7"/>
    <w:rsid w:val="00931372"/>
    <w:rsid w:val="009327C1"/>
    <w:rsid w:val="00932DFB"/>
    <w:rsid w:val="0093383F"/>
    <w:rsid w:val="00933A31"/>
    <w:rsid w:val="0093474D"/>
    <w:rsid w:val="009348F3"/>
    <w:rsid w:val="00936408"/>
    <w:rsid w:val="00936572"/>
    <w:rsid w:val="009367FF"/>
    <w:rsid w:val="00936981"/>
    <w:rsid w:val="00936B78"/>
    <w:rsid w:val="00936F76"/>
    <w:rsid w:val="00937B5C"/>
    <w:rsid w:val="00940A03"/>
    <w:rsid w:val="00940E11"/>
    <w:rsid w:val="00940F1E"/>
    <w:rsid w:val="00942F12"/>
    <w:rsid w:val="0094323F"/>
    <w:rsid w:val="00943FD8"/>
    <w:rsid w:val="00944082"/>
    <w:rsid w:val="009446A1"/>
    <w:rsid w:val="0094488B"/>
    <w:rsid w:val="00944D8B"/>
    <w:rsid w:val="00945844"/>
    <w:rsid w:val="009460CF"/>
    <w:rsid w:val="00947515"/>
    <w:rsid w:val="0094773F"/>
    <w:rsid w:val="00947B09"/>
    <w:rsid w:val="00947C38"/>
    <w:rsid w:val="00947DA9"/>
    <w:rsid w:val="0095007C"/>
    <w:rsid w:val="00950124"/>
    <w:rsid w:val="00950422"/>
    <w:rsid w:val="00950696"/>
    <w:rsid w:val="009506F1"/>
    <w:rsid w:val="0095089C"/>
    <w:rsid w:val="009509AC"/>
    <w:rsid w:val="00950A76"/>
    <w:rsid w:val="00950AD5"/>
    <w:rsid w:val="00951046"/>
    <w:rsid w:val="00951295"/>
    <w:rsid w:val="009514A9"/>
    <w:rsid w:val="00951E05"/>
    <w:rsid w:val="0095222B"/>
    <w:rsid w:val="00952609"/>
    <w:rsid w:val="00952740"/>
    <w:rsid w:val="009528D9"/>
    <w:rsid w:val="00952D23"/>
    <w:rsid w:val="009537BF"/>
    <w:rsid w:val="00953891"/>
    <w:rsid w:val="00953C3A"/>
    <w:rsid w:val="00954510"/>
    <w:rsid w:val="0095468B"/>
    <w:rsid w:val="00955090"/>
    <w:rsid w:val="009552A6"/>
    <w:rsid w:val="009553ED"/>
    <w:rsid w:val="009554AE"/>
    <w:rsid w:val="00955AFA"/>
    <w:rsid w:val="00955C51"/>
    <w:rsid w:val="0095641F"/>
    <w:rsid w:val="00956A4D"/>
    <w:rsid w:val="00956B2C"/>
    <w:rsid w:val="00956FF6"/>
    <w:rsid w:val="009572FD"/>
    <w:rsid w:val="00960205"/>
    <w:rsid w:val="00960C5C"/>
    <w:rsid w:val="00961631"/>
    <w:rsid w:val="00961E81"/>
    <w:rsid w:val="0096267F"/>
    <w:rsid w:val="009630A7"/>
    <w:rsid w:val="0096325F"/>
    <w:rsid w:val="00963B26"/>
    <w:rsid w:val="00965762"/>
    <w:rsid w:val="0096602A"/>
    <w:rsid w:val="00966A2C"/>
    <w:rsid w:val="00966AE3"/>
    <w:rsid w:val="00966BDA"/>
    <w:rsid w:val="00966CB1"/>
    <w:rsid w:val="00967D42"/>
    <w:rsid w:val="00967D9C"/>
    <w:rsid w:val="009700F5"/>
    <w:rsid w:val="00970D58"/>
    <w:rsid w:val="009711D1"/>
    <w:rsid w:val="0097148B"/>
    <w:rsid w:val="00971602"/>
    <w:rsid w:val="0097289C"/>
    <w:rsid w:val="00972B1E"/>
    <w:rsid w:val="00972B92"/>
    <w:rsid w:val="00973537"/>
    <w:rsid w:val="0097371E"/>
    <w:rsid w:val="009737C9"/>
    <w:rsid w:val="00973A20"/>
    <w:rsid w:val="00973AE1"/>
    <w:rsid w:val="0097438D"/>
    <w:rsid w:val="009745B2"/>
    <w:rsid w:val="00974A6F"/>
    <w:rsid w:val="0097511B"/>
    <w:rsid w:val="009756CA"/>
    <w:rsid w:val="009758F8"/>
    <w:rsid w:val="00975E51"/>
    <w:rsid w:val="009761EB"/>
    <w:rsid w:val="009765C9"/>
    <w:rsid w:val="00976B68"/>
    <w:rsid w:val="00976C55"/>
    <w:rsid w:val="00976EE0"/>
    <w:rsid w:val="009778D8"/>
    <w:rsid w:val="00977BBE"/>
    <w:rsid w:val="00977E91"/>
    <w:rsid w:val="00980880"/>
    <w:rsid w:val="00980A93"/>
    <w:rsid w:val="009810C2"/>
    <w:rsid w:val="00981D7A"/>
    <w:rsid w:val="00981E7A"/>
    <w:rsid w:val="0098206F"/>
    <w:rsid w:val="009821E8"/>
    <w:rsid w:val="00982A9B"/>
    <w:rsid w:val="00983310"/>
    <w:rsid w:val="00983601"/>
    <w:rsid w:val="00983863"/>
    <w:rsid w:val="009845C9"/>
    <w:rsid w:val="009846D4"/>
    <w:rsid w:val="0098489C"/>
    <w:rsid w:val="00984A40"/>
    <w:rsid w:val="00984BDD"/>
    <w:rsid w:val="00984C45"/>
    <w:rsid w:val="00984FF7"/>
    <w:rsid w:val="009852C1"/>
    <w:rsid w:val="0098587F"/>
    <w:rsid w:val="00985E24"/>
    <w:rsid w:val="00986219"/>
    <w:rsid w:val="009870C2"/>
    <w:rsid w:val="00987A17"/>
    <w:rsid w:val="00987A54"/>
    <w:rsid w:val="00987D09"/>
    <w:rsid w:val="00987D64"/>
    <w:rsid w:val="00987D94"/>
    <w:rsid w:val="00987F87"/>
    <w:rsid w:val="009907B6"/>
    <w:rsid w:val="00990A04"/>
    <w:rsid w:val="00990DDF"/>
    <w:rsid w:val="00991AA4"/>
    <w:rsid w:val="00991C56"/>
    <w:rsid w:val="00991D0A"/>
    <w:rsid w:val="00991E02"/>
    <w:rsid w:val="00991FDB"/>
    <w:rsid w:val="00992622"/>
    <w:rsid w:val="00992C05"/>
    <w:rsid w:val="00994263"/>
    <w:rsid w:val="00994349"/>
    <w:rsid w:val="009946F5"/>
    <w:rsid w:val="0099498C"/>
    <w:rsid w:val="0099521B"/>
    <w:rsid w:val="00995345"/>
    <w:rsid w:val="00995EF9"/>
    <w:rsid w:val="00996258"/>
    <w:rsid w:val="00996712"/>
    <w:rsid w:val="00997278"/>
    <w:rsid w:val="00997330"/>
    <w:rsid w:val="0099761E"/>
    <w:rsid w:val="009A01BC"/>
    <w:rsid w:val="009A0C5A"/>
    <w:rsid w:val="009A22BE"/>
    <w:rsid w:val="009A231B"/>
    <w:rsid w:val="009A28B2"/>
    <w:rsid w:val="009A2A1F"/>
    <w:rsid w:val="009A2A73"/>
    <w:rsid w:val="009A2F33"/>
    <w:rsid w:val="009A3871"/>
    <w:rsid w:val="009A3C3C"/>
    <w:rsid w:val="009A48F9"/>
    <w:rsid w:val="009A50BB"/>
    <w:rsid w:val="009A52C0"/>
    <w:rsid w:val="009A5427"/>
    <w:rsid w:val="009A5511"/>
    <w:rsid w:val="009A56F9"/>
    <w:rsid w:val="009A5A50"/>
    <w:rsid w:val="009A5C9B"/>
    <w:rsid w:val="009A66F7"/>
    <w:rsid w:val="009A6966"/>
    <w:rsid w:val="009A6BB4"/>
    <w:rsid w:val="009A6D68"/>
    <w:rsid w:val="009A7153"/>
    <w:rsid w:val="009A753D"/>
    <w:rsid w:val="009A7605"/>
    <w:rsid w:val="009A7E18"/>
    <w:rsid w:val="009B0591"/>
    <w:rsid w:val="009B0678"/>
    <w:rsid w:val="009B0A92"/>
    <w:rsid w:val="009B0BD9"/>
    <w:rsid w:val="009B0E81"/>
    <w:rsid w:val="009B10B5"/>
    <w:rsid w:val="009B18E2"/>
    <w:rsid w:val="009B2A0E"/>
    <w:rsid w:val="009B2AF4"/>
    <w:rsid w:val="009B2F44"/>
    <w:rsid w:val="009B30BE"/>
    <w:rsid w:val="009B3368"/>
    <w:rsid w:val="009B3AE2"/>
    <w:rsid w:val="009B41C1"/>
    <w:rsid w:val="009B4213"/>
    <w:rsid w:val="009B47F5"/>
    <w:rsid w:val="009B4DDB"/>
    <w:rsid w:val="009B5293"/>
    <w:rsid w:val="009B5D0F"/>
    <w:rsid w:val="009B5F2E"/>
    <w:rsid w:val="009B5FAD"/>
    <w:rsid w:val="009B624F"/>
    <w:rsid w:val="009B6438"/>
    <w:rsid w:val="009B6D12"/>
    <w:rsid w:val="009B771D"/>
    <w:rsid w:val="009B7D42"/>
    <w:rsid w:val="009C011F"/>
    <w:rsid w:val="009C0462"/>
    <w:rsid w:val="009C052E"/>
    <w:rsid w:val="009C064A"/>
    <w:rsid w:val="009C0E94"/>
    <w:rsid w:val="009C1CD5"/>
    <w:rsid w:val="009C1D08"/>
    <w:rsid w:val="009C1F4A"/>
    <w:rsid w:val="009C2746"/>
    <w:rsid w:val="009C289B"/>
    <w:rsid w:val="009C2A9B"/>
    <w:rsid w:val="009C2C74"/>
    <w:rsid w:val="009C2C7C"/>
    <w:rsid w:val="009C2ED0"/>
    <w:rsid w:val="009C38BD"/>
    <w:rsid w:val="009C38F5"/>
    <w:rsid w:val="009C3E4C"/>
    <w:rsid w:val="009C3FB9"/>
    <w:rsid w:val="009C4C39"/>
    <w:rsid w:val="009C51AD"/>
    <w:rsid w:val="009C53B0"/>
    <w:rsid w:val="009C5571"/>
    <w:rsid w:val="009C5574"/>
    <w:rsid w:val="009C5674"/>
    <w:rsid w:val="009C57B7"/>
    <w:rsid w:val="009C5BD8"/>
    <w:rsid w:val="009C5F43"/>
    <w:rsid w:val="009C6B87"/>
    <w:rsid w:val="009C7009"/>
    <w:rsid w:val="009C7486"/>
    <w:rsid w:val="009C77B3"/>
    <w:rsid w:val="009C77DE"/>
    <w:rsid w:val="009D105B"/>
    <w:rsid w:val="009D17F5"/>
    <w:rsid w:val="009D1A33"/>
    <w:rsid w:val="009D1CEE"/>
    <w:rsid w:val="009D1D75"/>
    <w:rsid w:val="009D2326"/>
    <w:rsid w:val="009D2573"/>
    <w:rsid w:val="009D2779"/>
    <w:rsid w:val="009D2AEB"/>
    <w:rsid w:val="009D30DF"/>
    <w:rsid w:val="009D324A"/>
    <w:rsid w:val="009D3323"/>
    <w:rsid w:val="009D3B59"/>
    <w:rsid w:val="009D40B6"/>
    <w:rsid w:val="009D4506"/>
    <w:rsid w:val="009D4604"/>
    <w:rsid w:val="009D4B31"/>
    <w:rsid w:val="009D4BD3"/>
    <w:rsid w:val="009D5E28"/>
    <w:rsid w:val="009D6114"/>
    <w:rsid w:val="009D6A10"/>
    <w:rsid w:val="009D6B51"/>
    <w:rsid w:val="009D7357"/>
    <w:rsid w:val="009E03C5"/>
    <w:rsid w:val="009E0CB7"/>
    <w:rsid w:val="009E0FC4"/>
    <w:rsid w:val="009E13E8"/>
    <w:rsid w:val="009E1554"/>
    <w:rsid w:val="009E17BA"/>
    <w:rsid w:val="009E1FB8"/>
    <w:rsid w:val="009E2221"/>
    <w:rsid w:val="009E22EB"/>
    <w:rsid w:val="009E25A2"/>
    <w:rsid w:val="009E5E10"/>
    <w:rsid w:val="009E5FBD"/>
    <w:rsid w:val="009E608D"/>
    <w:rsid w:val="009E66EF"/>
    <w:rsid w:val="009E6953"/>
    <w:rsid w:val="009E6FCF"/>
    <w:rsid w:val="009E7838"/>
    <w:rsid w:val="009E78F5"/>
    <w:rsid w:val="009F062E"/>
    <w:rsid w:val="009F0B96"/>
    <w:rsid w:val="009F0CEF"/>
    <w:rsid w:val="009F0EBD"/>
    <w:rsid w:val="009F1197"/>
    <w:rsid w:val="009F159B"/>
    <w:rsid w:val="009F183A"/>
    <w:rsid w:val="009F1A0F"/>
    <w:rsid w:val="009F1A4E"/>
    <w:rsid w:val="009F1DBB"/>
    <w:rsid w:val="009F1F10"/>
    <w:rsid w:val="009F2370"/>
    <w:rsid w:val="009F2FF2"/>
    <w:rsid w:val="009F327E"/>
    <w:rsid w:val="009F3703"/>
    <w:rsid w:val="009F384E"/>
    <w:rsid w:val="009F3967"/>
    <w:rsid w:val="009F3BB8"/>
    <w:rsid w:val="009F4AFB"/>
    <w:rsid w:val="009F5132"/>
    <w:rsid w:val="009F52A6"/>
    <w:rsid w:val="009F52CB"/>
    <w:rsid w:val="009F5C75"/>
    <w:rsid w:val="009F5EA6"/>
    <w:rsid w:val="009F5FCC"/>
    <w:rsid w:val="009F63B6"/>
    <w:rsid w:val="009F6C69"/>
    <w:rsid w:val="009F7230"/>
    <w:rsid w:val="009F7274"/>
    <w:rsid w:val="009F7336"/>
    <w:rsid w:val="00A002FE"/>
    <w:rsid w:val="00A007D5"/>
    <w:rsid w:val="00A00830"/>
    <w:rsid w:val="00A00B23"/>
    <w:rsid w:val="00A01E71"/>
    <w:rsid w:val="00A01E7C"/>
    <w:rsid w:val="00A01E9F"/>
    <w:rsid w:val="00A02242"/>
    <w:rsid w:val="00A02284"/>
    <w:rsid w:val="00A023B1"/>
    <w:rsid w:val="00A029EE"/>
    <w:rsid w:val="00A02D63"/>
    <w:rsid w:val="00A03DEC"/>
    <w:rsid w:val="00A04BC9"/>
    <w:rsid w:val="00A04C39"/>
    <w:rsid w:val="00A05196"/>
    <w:rsid w:val="00A051B2"/>
    <w:rsid w:val="00A05263"/>
    <w:rsid w:val="00A05418"/>
    <w:rsid w:val="00A05B58"/>
    <w:rsid w:val="00A0696B"/>
    <w:rsid w:val="00A06AA5"/>
    <w:rsid w:val="00A06D26"/>
    <w:rsid w:val="00A0733A"/>
    <w:rsid w:val="00A0745C"/>
    <w:rsid w:val="00A074D6"/>
    <w:rsid w:val="00A0751D"/>
    <w:rsid w:val="00A07BC9"/>
    <w:rsid w:val="00A07C97"/>
    <w:rsid w:val="00A10034"/>
    <w:rsid w:val="00A104D0"/>
    <w:rsid w:val="00A107CE"/>
    <w:rsid w:val="00A10877"/>
    <w:rsid w:val="00A10A78"/>
    <w:rsid w:val="00A116BD"/>
    <w:rsid w:val="00A122CA"/>
    <w:rsid w:val="00A12C22"/>
    <w:rsid w:val="00A12C58"/>
    <w:rsid w:val="00A12FA2"/>
    <w:rsid w:val="00A1313C"/>
    <w:rsid w:val="00A1345D"/>
    <w:rsid w:val="00A13632"/>
    <w:rsid w:val="00A14187"/>
    <w:rsid w:val="00A1482A"/>
    <w:rsid w:val="00A14A28"/>
    <w:rsid w:val="00A14C6D"/>
    <w:rsid w:val="00A14FFD"/>
    <w:rsid w:val="00A155D4"/>
    <w:rsid w:val="00A15CEE"/>
    <w:rsid w:val="00A168DC"/>
    <w:rsid w:val="00A1703A"/>
    <w:rsid w:val="00A17286"/>
    <w:rsid w:val="00A17428"/>
    <w:rsid w:val="00A1796C"/>
    <w:rsid w:val="00A17E49"/>
    <w:rsid w:val="00A20A05"/>
    <w:rsid w:val="00A218FF"/>
    <w:rsid w:val="00A22020"/>
    <w:rsid w:val="00A2261D"/>
    <w:rsid w:val="00A24662"/>
    <w:rsid w:val="00A246EC"/>
    <w:rsid w:val="00A24D4D"/>
    <w:rsid w:val="00A24DC9"/>
    <w:rsid w:val="00A24ECF"/>
    <w:rsid w:val="00A25019"/>
    <w:rsid w:val="00A255CD"/>
    <w:rsid w:val="00A25702"/>
    <w:rsid w:val="00A258F8"/>
    <w:rsid w:val="00A25A6A"/>
    <w:rsid w:val="00A25C50"/>
    <w:rsid w:val="00A25E0B"/>
    <w:rsid w:val="00A25FCC"/>
    <w:rsid w:val="00A261E8"/>
    <w:rsid w:val="00A2677D"/>
    <w:rsid w:val="00A26C20"/>
    <w:rsid w:val="00A26DA5"/>
    <w:rsid w:val="00A27B4C"/>
    <w:rsid w:val="00A3041A"/>
    <w:rsid w:val="00A3042E"/>
    <w:rsid w:val="00A30FB9"/>
    <w:rsid w:val="00A31C67"/>
    <w:rsid w:val="00A31D99"/>
    <w:rsid w:val="00A32760"/>
    <w:rsid w:val="00A33AC4"/>
    <w:rsid w:val="00A33AF4"/>
    <w:rsid w:val="00A33B0D"/>
    <w:rsid w:val="00A34331"/>
    <w:rsid w:val="00A34388"/>
    <w:rsid w:val="00A35792"/>
    <w:rsid w:val="00A357CE"/>
    <w:rsid w:val="00A35907"/>
    <w:rsid w:val="00A35F31"/>
    <w:rsid w:val="00A3648F"/>
    <w:rsid w:val="00A36A9A"/>
    <w:rsid w:val="00A3728A"/>
    <w:rsid w:val="00A373A4"/>
    <w:rsid w:val="00A3745F"/>
    <w:rsid w:val="00A374DC"/>
    <w:rsid w:val="00A375D9"/>
    <w:rsid w:val="00A37E1F"/>
    <w:rsid w:val="00A37E52"/>
    <w:rsid w:val="00A402F9"/>
    <w:rsid w:val="00A40C65"/>
    <w:rsid w:val="00A40C71"/>
    <w:rsid w:val="00A40F36"/>
    <w:rsid w:val="00A41A69"/>
    <w:rsid w:val="00A42370"/>
    <w:rsid w:val="00A431FE"/>
    <w:rsid w:val="00A43D83"/>
    <w:rsid w:val="00A445A5"/>
    <w:rsid w:val="00A4524B"/>
    <w:rsid w:val="00A45DBE"/>
    <w:rsid w:val="00A46694"/>
    <w:rsid w:val="00A47B30"/>
    <w:rsid w:val="00A5001F"/>
    <w:rsid w:val="00A50332"/>
    <w:rsid w:val="00A50B85"/>
    <w:rsid w:val="00A51110"/>
    <w:rsid w:val="00A511AE"/>
    <w:rsid w:val="00A51288"/>
    <w:rsid w:val="00A520E3"/>
    <w:rsid w:val="00A523A0"/>
    <w:rsid w:val="00A527CB"/>
    <w:rsid w:val="00A52907"/>
    <w:rsid w:val="00A52985"/>
    <w:rsid w:val="00A52A9A"/>
    <w:rsid w:val="00A534F1"/>
    <w:rsid w:val="00A5372B"/>
    <w:rsid w:val="00A537C3"/>
    <w:rsid w:val="00A53A70"/>
    <w:rsid w:val="00A53D0B"/>
    <w:rsid w:val="00A54135"/>
    <w:rsid w:val="00A54223"/>
    <w:rsid w:val="00A546DE"/>
    <w:rsid w:val="00A55537"/>
    <w:rsid w:val="00A559BB"/>
    <w:rsid w:val="00A55F5F"/>
    <w:rsid w:val="00A562AC"/>
    <w:rsid w:val="00A565F5"/>
    <w:rsid w:val="00A566A3"/>
    <w:rsid w:val="00A56F33"/>
    <w:rsid w:val="00A5773A"/>
    <w:rsid w:val="00A602B4"/>
    <w:rsid w:val="00A60E2C"/>
    <w:rsid w:val="00A60E2F"/>
    <w:rsid w:val="00A6110B"/>
    <w:rsid w:val="00A61FE2"/>
    <w:rsid w:val="00A62006"/>
    <w:rsid w:val="00A62198"/>
    <w:rsid w:val="00A622B2"/>
    <w:rsid w:val="00A62E44"/>
    <w:rsid w:val="00A62F30"/>
    <w:rsid w:val="00A62F66"/>
    <w:rsid w:val="00A631C4"/>
    <w:rsid w:val="00A6337C"/>
    <w:rsid w:val="00A6456F"/>
    <w:rsid w:val="00A65DCA"/>
    <w:rsid w:val="00A662F2"/>
    <w:rsid w:val="00A6653D"/>
    <w:rsid w:val="00A66556"/>
    <w:rsid w:val="00A667B9"/>
    <w:rsid w:val="00A66D6A"/>
    <w:rsid w:val="00A67323"/>
    <w:rsid w:val="00A674AB"/>
    <w:rsid w:val="00A6797E"/>
    <w:rsid w:val="00A700E9"/>
    <w:rsid w:val="00A70302"/>
    <w:rsid w:val="00A70AF9"/>
    <w:rsid w:val="00A70B76"/>
    <w:rsid w:val="00A70F68"/>
    <w:rsid w:val="00A71043"/>
    <w:rsid w:val="00A711AE"/>
    <w:rsid w:val="00A71317"/>
    <w:rsid w:val="00A71392"/>
    <w:rsid w:val="00A71442"/>
    <w:rsid w:val="00A719BC"/>
    <w:rsid w:val="00A71CAF"/>
    <w:rsid w:val="00A71EBF"/>
    <w:rsid w:val="00A721C8"/>
    <w:rsid w:val="00A73A16"/>
    <w:rsid w:val="00A73D1F"/>
    <w:rsid w:val="00A75F6D"/>
    <w:rsid w:val="00A76278"/>
    <w:rsid w:val="00A777D4"/>
    <w:rsid w:val="00A77B1B"/>
    <w:rsid w:val="00A80449"/>
    <w:rsid w:val="00A8079F"/>
    <w:rsid w:val="00A807EB"/>
    <w:rsid w:val="00A80B01"/>
    <w:rsid w:val="00A80B13"/>
    <w:rsid w:val="00A80B93"/>
    <w:rsid w:val="00A81A61"/>
    <w:rsid w:val="00A81B4E"/>
    <w:rsid w:val="00A81CE8"/>
    <w:rsid w:val="00A81E1F"/>
    <w:rsid w:val="00A8219C"/>
    <w:rsid w:val="00A822BD"/>
    <w:rsid w:val="00A826D8"/>
    <w:rsid w:val="00A82717"/>
    <w:rsid w:val="00A82AB5"/>
    <w:rsid w:val="00A82BFE"/>
    <w:rsid w:val="00A82CF1"/>
    <w:rsid w:val="00A830B1"/>
    <w:rsid w:val="00A84561"/>
    <w:rsid w:val="00A848E7"/>
    <w:rsid w:val="00A84C3E"/>
    <w:rsid w:val="00A85230"/>
    <w:rsid w:val="00A853DF"/>
    <w:rsid w:val="00A85ADE"/>
    <w:rsid w:val="00A85D17"/>
    <w:rsid w:val="00A85F17"/>
    <w:rsid w:val="00A8633A"/>
    <w:rsid w:val="00A86BD2"/>
    <w:rsid w:val="00A86C8A"/>
    <w:rsid w:val="00A86F1B"/>
    <w:rsid w:val="00A87104"/>
    <w:rsid w:val="00A8751C"/>
    <w:rsid w:val="00A87D4C"/>
    <w:rsid w:val="00A87DDD"/>
    <w:rsid w:val="00A87F33"/>
    <w:rsid w:val="00A90820"/>
    <w:rsid w:val="00A90AB4"/>
    <w:rsid w:val="00A90CB1"/>
    <w:rsid w:val="00A9110F"/>
    <w:rsid w:val="00A911D3"/>
    <w:rsid w:val="00A912F5"/>
    <w:rsid w:val="00A92416"/>
    <w:rsid w:val="00A92765"/>
    <w:rsid w:val="00A928F5"/>
    <w:rsid w:val="00A92A69"/>
    <w:rsid w:val="00A92C48"/>
    <w:rsid w:val="00A932FA"/>
    <w:rsid w:val="00A93494"/>
    <w:rsid w:val="00A93C41"/>
    <w:rsid w:val="00A941D5"/>
    <w:rsid w:val="00A948A7"/>
    <w:rsid w:val="00A94D4C"/>
    <w:rsid w:val="00A94DC6"/>
    <w:rsid w:val="00A952F2"/>
    <w:rsid w:val="00A95590"/>
    <w:rsid w:val="00A95909"/>
    <w:rsid w:val="00A96971"/>
    <w:rsid w:val="00A96E1E"/>
    <w:rsid w:val="00A96FBD"/>
    <w:rsid w:val="00A9723A"/>
    <w:rsid w:val="00A97AC0"/>
    <w:rsid w:val="00A97BF1"/>
    <w:rsid w:val="00A97E98"/>
    <w:rsid w:val="00AA056A"/>
    <w:rsid w:val="00AA1130"/>
    <w:rsid w:val="00AA13C4"/>
    <w:rsid w:val="00AA16E9"/>
    <w:rsid w:val="00AA1AF6"/>
    <w:rsid w:val="00AA2233"/>
    <w:rsid w:val="00AA22E3"/>
    <w:rsid w:val="00AA26E2"/>
    <w:rsid w:val="00AA3A6F"/>
    <w:rsid w:val="00AA417D"/>
    <w:rsid w:val="00AA46BA"/>
    <w:rsid w:val="00AA536D"/>
    <w:rsid w:val="00AA5375"/>
    <w:rsid w:val="00AA5A72"/>
    <w:rsid w:val="00AA5D0E"/>
    <w:rsid w:val="00AA63F5"/>
    <w:rsid w:val="00AA66D0"/>
    <w:rsid w:val="00AA6A0C"/>
    <w:rsid w:val="00AA76FC"/>
    <w:rsid w:val="00AB05FE"/>
    <w:rsid w:val="00AB082F"/>
    <w:rsid w:val="00AB0859"/>
    <w:rsid w:val="00AB0942"/>
    <w:rsid w:val="00AB127E"/>
    <w:rsid w:val="00AB1453"/>
    <w:rsid w:val="00AB16DA"/>
    <w:rsid w:val="00AB1749"/>
    <w:rsid w:val="00AB1A30"/>
    <w:rsid w:val="00AB23C7"/>
    <w:rsid w:val="00AB24D4"/>
    <w:rsid w:val="00AB251E"/>
    <w:rsid w:val="00AB293B"/>
    <w:rsid w:val="00AB3077"/>
    <w:rsid w:val="00AB30DA"/>
    <w:rsid w:val="00AB3179"/>
    <w:rsid w:val="00AB32B3"/>
    <w:rsid w:val="00AB3B2E"/>
    <w:rsid w:val="00AB3DA3"/>
    <w:rsid w:val="00AB45CC"/>
    <w:rsid w:val="00AB474F"/>
    <w:rsid w:val="00AB4972"/>
    <w:rsid w:val="00AB4B08"/>
    <w:rsid w:val="00AB4CC1"/>
    <w:rsid w:val="00AB52F6"/>
    <w:rsid w:val="00AB5C09"/>
    <w:rsid w:val="00AB5C5B"/>
    <w:rsid w:val="00AB5CA6"/>
    <w:rsid w:val="00AB5F43"/>
    <w:rsid w:val="00AB6243"/>
    <w:rsid w:val="00AB6E69"/>
    <w:rsid w:val="00AB70D5"/>
    <w:rsid w:val="00AB7D78"/>
    <w:rsid w:val="00AC0C67"/>
    <w:rsid w:val="00AC0DB9"/>
    <w:rsid w:val="00AC13B8"/>
    <w:rsid w:val="00AC14BD"/>
    <w:rsid w:val="00AC26EA"/>
    <w:rsid w:val="00AC2AB6"/>
    <w:rsid w:val="00AC3875"/>
    <w:rsid w:val="00AC3CD3"/>
    <w:rsid w:val="00AC3E98"/>
    <w:rsid w:val="00AC3F12"/>
    <w:rsid w:val="00AC4518"/>
    <w:rsid w:val="00AC46C0"/>
    <w:rsid w:val="00AC48D9"/>
    <w:rsid w:val="00AC49F3"/>
    <w:rsid w:val="00AC4DCE"/>
    <w:rsid w:val="00AC5C16"/>
    <w:rsid w:val="00AC6601"/>
    <w:rsid w:val="00AC69C9"/>
    <w:rsid w:val="00AC6FCC"/>
    <w:rsid w:val="00AC70DC"/>
    <w:rsid w:val="00AC7377"/>
    <w:rsid w:val="00AC7847"/>
    <w:rsid w:val="00AC7BC8"/>
    <w:rsid w:val="00AC7BF1"/>
    <w:rsid w:val="00AD04BA"/>
    <w:rsid w:val="00AD0976"/>
    <w:rsid w:val="00AD0A9B"/>
    <w:rsid w:val="00AD0C31"/>
    <w:rsid w:val="00AD190D"/>
    <w:rsid w:val="00AD1AB4"/>
    <w:rsid w:val="00AD1AD5"/>
    <w:rsid w:val="00AD2A63"/>
    <w:rsid w:val="00AD2CBC"/>
    <w:rsid w:val="00AD2EB8"/>
    <w:rsid w:val="00AD2F34"/>
    <w:rsid w:val="00AD3007"/>
    <w:rsid w:val="00AD38D5"/>
    <w:rsid w:val="00AD3C38"/>
    <w:rsid w:val="00AD47A5"/>
    <w:rsid w:val="00AD5006"/>
    <w:rsid w:val="00AD5115"/>
    <w:rsid w:val="00AD534B"/>
    <w:rsid w:val="00AD58E6"/>
    <w:rsid w:val="00AD5EB1"/>
    <w:rsid w:val="00AD6241"/>
    <w:rsid w:val="00AD64CA"/>
    <w:rsid w:val="00AD68BC"/>
    <w:rsid w:val="00AD6CD4"/>
    <w:rsid w:val="00AD6CE7"/>
    <w:rsid w:val="00AD77DC"/>
    <w:rsid w:val="00AE049B"/>
    <w:rsid w:val="00AE0AEB"/>
    <w:rsid w:val="00AE0C1B"/>
    <w:rsid w:val="00AE0E16"/>
    <w:rsid w:val="00AE1A32"/>
    <w:rsid w:val="00AE1D2A"/>
    <w:rsid w:val="00AE21AA"/>
    <w:rsid w:val="00AE2378"/>
    <w:rsid w:val="00AE2627"/>
    <w:rsid w:val="00AE26D1"/>
    <w:rsid w:val="00AE3318"/>
    <w:rsid w:val="00AE34D5"/>
    <w:rsid w:val="00AE354A"/>
    <w:rsid w:val="00AE4200"/>
    <w:rsid w:val="00AE4527"/>
    <w:rsid w:val="00AE4A14"/>
    <w:rsid w:val="00AE4CC6"/>
    <w:rsid w:val="00AE4D24"/>
    <w:rsid w:val="00AE502E"/>
    <w:rsid w:val="00AE51F4"/>
    <w:rsid w:val="00AE53E2"/>
    <w:rsid w:val="00AE56D2"/>
    <w:rsid w:val="00AE576A"/>
    <w:rsid w:val="00AE5C7F"/>
    <w:rsid w:val="00AE5C86"/>
    <w:rsid w:val="00AE6202"/>
    <w:rsid w:val="00AE62BA"/>
    <w:rsid w:val="00AE62D0"/>
    <w:rsid w:val="00AE6A72"/>
    <w:rsid w:val="00AE6B9C"/>
    <w:rsid w:val="00AE7190"/>
    <w:rsid w:val="00AE76F3"/>
    <w:rsid w:val="00AE7B0E"/>
    <w:rsid w:val="00AF00DA"/>
    <w:rsid w:val="00AF092B"/>
    <w:rsid w:val="00AF0BF2"/>
    <w:rsid w:val="00AF0DD3"/>
    <w:rsid w:val="00AF0DE7"/>
    <w:rsid w:val="00AF14D1"/>
    <w:rsid w:val="00AF1DD8"/>
    <w:rsid w:val="00AF1E44"/>
    <w:rsid w:val="00AF236C"/>
    <w:rsid w:val="00AF26D8"/>
    <w:rsid w:val="00AF2C14"/>
    <w:rsid w:val="00AF2E75"/>
    <w:rsid w:val="00AF323E"/>
    <w:rsid w:val="00AF3A76"/>
    <w:rsid w:val="00AF465F"/>
    <w:rsid w:val="00AF49A7"/>
    <w:rsid w:val="00AF4A5A"/>
    <w:rsid w:val="00AF4E64"/>
    <w:rsid w:val="00AF4F10"/>
    <w:rsid w:val="00AF541E"/>
    <w:rsid w:val="00AF6798"/>
    <w:rsid w:val="00AF70F9"/>
    <w:rsid w:val="00AF7733"/>
    <w:rsid w:val="00B000B7"/>
    <w:rsid w:val="00B00E0E"/>
    <w:rsid w:val="00B00F60"/>
    <w:rsid w:val="00B013B8"/>
    <w:rsid w:val="00B01989"/>
    <w:rsid w:val="00B01B47"/>
    <w:rsid w:val="00B01EC6"/>
    <w:rsid w:val="00B01FB4"/>
    <w:rsid w:val="00B027CA"/>
    <w:rsid w:val="00B02D07"/>
    <w:rsid w:val="00B02E98"/>
    <w:rsid w:val="00B02F7D"/>
    <w:rsid w:val="00B03185"/>
    <w:rsid w:val="00B03BDD"/>
    <w:rsid w:val="00B0432F"/>
    <w:rsid w:val="00B04AFB"/>
    <w:rsid w:val="00B04E67"/>
    <w:rsid w:val="00B050D3"/>
    <w:rsid w:val="00B058B7"/>
    <w:rsid w:val="00B06088"/>
    <w:rsid w:val="00B06819"/>
    <w:rsid w:val="00B069D2"/>
    <w:rsid w:val="00B07B90"/>
    <w:rsid w:val="00B07C86"/>
    <w:rsid w:val="00B1135D"/>
    <w:rsid w:val="00B11741"/>
    <w:rsid w:val="00B11863"/>
    <w:rsid w:val="00B118B1"/>
    <w:rsid w:val="00B11F76"/>
    <w:rsid w:val="00B122D5"/>
    <w:rsid w:val="00B12547"/>
    <w:rsid w:val="00B12DAE"/>
    <w:rsid w:val="00B12E4A"/>
    <w:rsid w:val="00B13035"/>
    <w:rsid w:val="00B13062"/>
    <w:rsid w:val="00B13756"/>
    <w:rsid w:val="00B137C8"/>
    <w:rsid w:val="00B138FA"/>
    <w:rsid w:val="00B13AFB"/>
    <w:rsid w:val="00B13E1C"/>
    <w:rsid w:val="00B1467E"/>
    <w:rsid w:val="00B14916"/>
    <w:rsid w:val="00B14AC4"/>
    <w:rsid w:val="00B15463"/>
    <w:rsid w:val="00B1613B"/>
    <w:rsid w:val="00B162EE"/>
    <w:rsid w:val="00B167B1"/>
    <w:rsid w:val="00B16E9B"/>
    <w:rsid w:val="00B17116"/>
    <w:rsid w:val="00B206C3"/>
    <w:rsid w:val="00B220DE"/>
    <w:rsid w:val="00B221B4"/>
    <w:rsid w:val="00B2236B"/>
    <w:rsid w:val="00B2272C"/>
    <w:rsid w:val="00B228E8"/>
    <w:rsid w:val="00B22989"/>
    <w:rsid w:val="00B22BF9"/>
    <w:rsid w:val="00B230B7"/>
    <w:rsid w:val="00B23455"/>
    <w:rsid w:val="00B23E73"/>
    <w:rsid w:val="00B23FA1"/>
    <w:rsid w:val="00B24078"/>
    <w:rsid w:val="00B2464C"/>
    <w:rsid w:val="00B24E95"/>
    <w:rsid w:val="00B25F7F"/>
    <w:rsid w:val="00B260F8"/>
    <w:rsid w:val="00B2684E"/>
    <w:rsid w:val="00B26932"/>
    <w:rsid w:val="00B26D45"/>
    <w:rsid w:val="00B275B2"/>
    <w:rsid w:val="00B27D34"/>
    <w:rsid w:val="00B3033F"/>
    <w:rsid w:val="00B30670"/>
    <w:rsid w:val="00B313DC"/>
    <w:rsid w:val="00B3161E"/>
    <w:rsid w:val="00B31A20"/>
    <w:rsid w:val="00B3214F"/>
    <w:rsid w:val="00B32A58"/>
    <w:rsid w:val="00B32AAC"/>
    <w:rsid w:val="00B32C4D"/>
    <w:rsid w:val="00B32FA0"/>
    <w:rsid w:val="00B33421"/>
    <w:rsid w:val="00B33AC9"/>
    <w:rsid w:val="00B33C39"/>
    <w:rsid w:val="00B347ED"/>
    <w:rsid w:val="00B359DB"/>
    <w:rsid w:val="00B35F69"/>
    <w:rsid w:val="00B3607B"/>
    <w:rsid w:val="00B363D0"/>
    <w:rsid w:val="00B36513"/>
    <w:rsid w:val="00B366FD"/>
    <w:rsid w:val="00B37036"/>
    <w:rsid w:val="00B372F8"/>
    <w:rsid w:val="00B3770B"/>
    <w:rsid w:val="00B377D3"/>
    <w:rsid w:val="00B40282"/>
    <w:rsid w:val="00B40C77"/>
    <w:rsid w:val="00B41329"/>
    <w:rsid w:val="00B41AF5"/>
    <w:rsid w:val="00B41C43"/>
    <w:rsid w:val="00B41D27"/>
    <w:rsid w:val="00B4235D"/>
    <w:rsid w:val="00B42C53"/>
    <w:rsid w:val="00B432B8"/>
    <w:rsid w:val="00B43E63"/>
    <w:rsid w:val="00B43FE4"/>
    <w:rsid w:val="00B44319"/>
    <w:rsid w:val="00B4494D"/>
    <w:rsid w:val="00B44CDD"/>
    <w:rsid w:val="00B46948"/>
    <w:rsid w:val="00B47158"/>
    <w:rsid w:val="00B47494"/>
    <w:rsid w:val="00B475F8"/>
    <w:rsid w:val="00B47943"/>
    <w:rsid w:val="00B47D0D"/>
    <w:rsid w:val="00B47F9E"/>
    <w:rsid w:val="00B50140"/>
    <w:rsid w:val="00B505C5"/>
    <w:rsid w:val="00B5110D"/>
    <w:rsid w:val="00B5113A"/>
    <w:rsid w:val="00B5120B"/>
    <w:rsid w:val="00B51432"/>
    <w:rsid w:val="00B51970"/>
    <w:rsid w:val="00B519D7"/>
    <w:rsid w:val="00B51B59"/>
    <w:rsid w:val="00B52146"/>
    <w:rsid w:val="00B523AD"/>
    <w:rsid w:val="00B52667"/>
    <w:rsid w:val="00B526BF"/>
    <w:rsid w:val="00B52B4A"/>
    <w:rsid w:val="00B52FF6"/>
    <w:rsid w:val="00B530E7"/>
    <w:rsid w:val="00B53111"/>
    <w:rsid w:val="00B53E15"/>
    <w:rsid w:val="00B548CB"/>
    <w:rsid w:val="00B558FA"/>
    <w:rsid w:val="00B55C12"/>
    <w:rsid w:val="00B56040"/>
    <w:rsid w:val="00B571A5"/>
    <w:rsid w:val="00B57AF5"/>
    <w:rsid w:val="00B6006B"/>
    <w:rsid w:val="00B6031A"/>
    <w:rsid w:val="00B60965"/>
    <w:rsid w:val="00B60FE2"/>
    <w:rsid w:val="00B6141A"/>
    <w:rsid w:val="00B62B21"/>
    <w:rsid w:val="00B62E28"/>
    <w:rsid w:val="00B63097"/>
    <w:rsid w:val="00B6352E"/>
    <w:rsid w:val="00B644C1"/>
    <w:rsid w:val="00B648E9"/>
    <w:rsid w:val="00B64E9B"/>
    <w:rsid w:val="00B654B2"/>
    <w:rsid w:val="00B66056"/>
    <w:rsid w:val="00B6668F"/>
    <w:rsid w:val="00B66886"/>
    <w:rsid w:val="00B66BDA"/>
    <w:rsid w:val="00B66E32"/>
    <w:rsid w:val="00B66FD4"/>
    <w:rsid w:val="00B67030"/>
    <w:rsid w:val="00B674DB"/>
    <w:rsid w:val="00B677DB"/>
    <w:rsid w:val="00B67BEC"/>
    <w:rsid w:val="00B70984"/>
    <w:rsid w:val="00B70C0F"/>
    <w:rsid w:val="00B70DBD"/>
    <w:rsid w:val="00B7118E"/>
    <w:rsid w:val="00B711DF"/>
    <w:rsid w:val="00B7146B"/>
    <w:rsid w:val="00B716E8"/>
    <w:rsid w:val="00B7327C"/>
    <w:rsid w:val="00B73840"/>
    <w:rsid w:val="00B73AD9"/>
    <w:rsid w:val="00B74693"/>
    <w:rsid w:val="00B74F05"/>
    <w:rsid w:val="00B74FCF"/>
    <w:rsid w:val="00B750B2"/>
    <w:rsid w:val="00B75212"/>
    <w:rsid w:val="00B765C3"/>
    <w:rsid w:val="00B76999"/>
    <w:rsid w:val="00B76A2E"/>
    <w:rsid w:val="00B76E02"/>
    <w:rsid w:val="00B77893"/>
    <w:rsid w:val="00B80346"/>
    <w:rsid w:val="00B80614"/>
    <w:rsid w:val="00B80626"/>
    <w:rsid w:val="00B823A7"/>
    <w:rsid w:val="00B82880"/>
    <w:rsid w:val="00B82951"/>
    <w:rsid w:val="00B83635"/>
    <w:rsid w:val="00B83A5D"/>
    <w:rsid w:val="00B83D22"/>
    <w:rsid w:val="00B83E3F"/>
    <w:rsid w:val="00B83E97"/>
    <w:rsid w:val="00B83EE3"/>
    <w:rsid w:val="00B8404B"/>
    <w:rsid w:val="00B846A9"/>
    <w:rsid w:val="00B84CB7"/>
    <w:rsid w:val="00B84CD4"/>
    <w:rsid w:val="00B85001"/>
    <w:rsid w:val="00B85066"/>
    <w:rsid w:val="00B850A4"/>
    <w:rsid w:val="00B8558D"/>
    <w:rsid w:val="00B864F8"/>
    <w:rsid w:val="00B86CDE"/>
    <w:rsid w:val="00B90315"/>
    <w:rsid w:val="00B90458"/>
    <w:rsid w:val="00B9092E"/>
    <w:rsid w:val="00B90E13"/>
    <w:rsid w:val="00B90FC9"/>
    <w:rsid w:val="00B90FEB"/>
    <w:rsid w:val="00B9125D"/>
    <w:rsid w:val="00B9140C"/>
    <w:rsid w:val="00B915F3"/>
    <w:rsid w:val="00B916A2"/>
    <w:rsid w:val="00B917B4"/>
    <w:rsid w:val="00B91C68"/>
    <w:rsid w:val="00B92F90"/>
    <w:rsid w:val="00B936DB"/>
    <w:rsid w:val="00B93BB0"/>
    <w:rsid w:val="00B93DAF"/>
    <w:rsid w:val="00B94C86"/>
    <w:rsid w:val="00B94F2C"/>
    <w:rsid w:val="00B9513F"/>
    <w:rsid w:val="00B953C7"/>
    <w:rsid w:val="00B95770"/>
    <w:rsid w:val="00B958A0"/>
    <w:rsid w:val="00B95C11"/>
    <w:rsid w:val="00B95CAC"/>
    <w:rsid w:val="00B96135"/>
    <w:rsid w:val="00B9627A"/>
    <w:rsid w:val="00B9669A"/>
    <w:rsid w:val="00B96958"/>
    <w:rsid w:val="00B96A70"/>
    <w:rsid w:val="00B96B3E"/>
    <w:rsid w:val="00B96CAD"/>
    <w:rsid w:val="00B96E3A"/>
    <w:rsid w:val="00B96EC3"/>
    <w:rsid w:val="00B9723A"/>
    <w:rsid w:val="00B9777D"/>
    <w:rsid w:val="00B97DCB"/>
    <w:rsid w:val="00BA00CD"/>
    <w:rsid w:val="00BA06FD"/>
    <w:rsid w:val="00BA076B"/>
    <w:rsid w:val="00BA08E0"/>
    <w:rsid w:val="00BA0AC4"/>
    <w:rsid w:val="00BA0C99"/>
    <w:rsid w:val="00BA188D"/>
    <w:rsid w:val="00BA1B04"/>
    <w:rsid w:val="00BA251C"/>
    <w:rsid w:val="00BA29C1"/>
    <w:rsid w:val="00BA2D09"/>
    <w:rsid w:val="00BA3121"/>
    <w:rsid w:val="00BA35C5"/>
    <w:rsid w:val="00BA3AEF"/>
    <w:rsid w:val="00BA40C2"/>
    <w:rsid w:val="00BA429C"/>
    <w:rsid w:val="00BA49E2"/>
    <w:rsid w:val="00BA4F5D"/>
    <w:rsid w:val="00BA4F9B"/>
    <w:rsid w:val="00BA5156"/>
    <w:rsid w:val="00BA5532"/>
    <w:rsid w:val="00BA59CB"/>
    <w:rsid w:val="00BA5BA8"/>
    <w:rsid w:val="00BA5F93"/>
    <w:rsid w:val="00BA67F7"/>
    <w:rsid w:val="00BA68D2"/>
    <w:rsid w:val="00BA6BC2"/>
    <w:rsid w:val="00BA6D90"/>
    <w:rsid w:val="00BA6E02"/>
    <w:rsid w:val="00BA7374"/>
    <w:rsid w:val="00BA7791"/>
    <w:rsid w:val="00BA7DF6"/>
    <w:rsid w:val="00BB01DC"/>
    <w:rsid w:val="00BB030B"/>
    <w:rsid w:val="00BB03F6"/>
    <w:rsid w:val="00BB0A31"/>
    <w:rsid w:val="00BB0F85"/>
    <w:rsid w:val="00BB195A"/>
    <w:rsid w:val="00BB231A"/>
    <w:rsid w:val="00BB36BB"/>
    <w:rsid w:val="00BB3AC8"/>
    <w:rsid w:val="00BB480F"/>
    <w:rsid w:val="00BB5296"/>
    <w:rsid w:val="00BB56C2"/>
    <w:rsid w:val="00BB5DA9"/>
    <w:rsid w:val="00BB681F"/>
    <w:rsid w:val="00BB68D3"/>
    <w:rsid w:val="00BB69F8"/>
    <w:rsid w:val="00BB6BAE"/>
    <w:rsid w:val="00BB74D9"/>
    <w:rsid w:val="00BB751E"/>
    <w:rsid w:val="00BB7968"/>
    <w:rsid w:val="00BB7A5A"/>
    <w:rsid w:val="00BB7E5B"/>
    <w:rsid w:val="00BC044F"/>
    <w:rsid w:val="00BC047F"/>
    <w:rsid w:val="00BC07D1"/>
    <w:rsid w:val="00BC0AFD"/>
    <w:rsid w:val="00BC0C22"/>
    <w:rsid w:val="00BC0CFF"/>
    <w:rsid w:val="00BC25CD"/>
    <w:rsid w:val="00BC2B73"/>
    <w:rsid w:val="00BC3485"/>
    <w:rsid w:val="00BC373C"/>
    <w:rsid w:val="00BC3974"/>
    <w:rsid w:val="00BC42DC"/>
    <w:rsid w:val="00BC4606"/>
    <w:rsid w:val="00BC4689"/>
    <w:rsid w:val="00BC4F25"/>
    <w:rsid w:val="00BC5BDC"/>
    <w:rsid w:val="00BC6121"/>
    <w:rsid w:val="00BC7204"/>
    <w:rsid w:val="00BC7605"/>
    <w:rsid w:val="00BC79BF"/>
    <w:rsid w:val="00BD0F2B"/>
    <w:rsid w:val="00BD1BF0"/>
    <w:rsid w:val="00BD201F"/>
    <w:rsid w:val="00BD2364"/>
    <w:rsid w:val="00BD2CC7"/>
    <w:rsid w:val="00BD3316"/>
    <w:rsid w:val="00BD4653"/>
    <w:rsid w:val="00BD4E4F"/>
    <w:rsid w:val="00BD5254"/>
    <w:rsid w:val="00BD5BCD"/>
    <w:rsid w:val="00BD5E34"/>
    <w:rsid w:val="00BD60EE"/>
    <w:rsid w:val="00BD7130"/>
    <w:rsid w:val="00BD75DE"/>
    <w:rsid w:val="00BD7747"/>
    <w:rsid w:val="00BD7C6C"/>
    <w:rsid w:val="00BE0318"/>
    <w:rsid w:val="00BE0897"/>
    <w:rsid w:val="00BE0D94"/>
    <w:rsid w:val="00BE16F4"/>
    <w:rsid w:val="00BE18A2"/>
    <w:rsid w:val="00BE29F9"/>
    <w:rsid w:val="00BE2CB9"/>
    <w:rsid w:val="00BE346A"/>
    <w:rsid w:val="00BE3D61"/>
    <w:rsid w:val="00BE49E3"/>
    <w:rsid w:val="00BE4B0C"/>
    <w:rsid w:val="00BE4B60"/>
    <w:rsid w:val="00BE4C51"/>
    <w:rsid w:val="00BE4FC8"/>
    <w:rsid w:val="00BE50E0"/>
    <w:rsid w:val="00BE5153"/>
    <w:rsid w:val="00BE58BC"/>
    <w:rsid w:val="00BE5AFF"/>
    <w:rsid w:val="00BE5E05"/>
    <w:rsid w:val="00BE60DD"/>
    <w:rsid w:val="00BE69B7"/>
    <w:rsid w:val="00BE6AAC"/>
    <w:rsid w:val="00BE700C"/>
    <w:rsid w:val="00BE750B"/>
    <w:rsid w:val="00BE783C"/>
    <w:rsid w:val="00BE7AAE"/>
    <w:rsid w:val="00BE7E86"/>
    <w:rsid w:val="00BE7EB3"/>
    <w:rsid w:val="00BE7F75"/>
    <w:rsid w:val="00BF033C"/>
    <w:rsid w:val="00BF0440"/>
    <w:rsid w:val="00BF0599"/>
    <w:rsid w:val="00BF0943"/>
    <w:rsid w:val="00BF0EFC"/>
    <w:rsid w:val="00BF220B"/>
    <w:rsid w:val="00BF234B"/>
    <w:rsid w:val="00BF27F3"/>
    <w:rsid w:val="00BF299D"/>
    <w:rsid w:val="00BF2AF6"/>
    <w:rsid w:val="00BF32F6"/>
    <w:rsid w:val="00BF3376"/>
    <w:rsid w:val="00BF3CF1"/>
    <w:rsid w:val="00BF4173"/>
    <w:rsid w:val="00BF4D26"/>
    <w:rsid w:val="00BF51B6"/>
    <w:rsid w:val="00BF5BE4"/>
    <w:rsid w:val="00BF5FE8"/>
    <w:rsid w:val="00BF659D"/>
    <w:rsid w:val="00BF6CFB"/>
    <w:rsid w:val="00BF7099"/>
    <w:rsid w:val="00BF74BE"/>
    <w:rsid w:val="00BF763D"/>
    <w:rsid w:val="00BF79A4"/>
    <w:rsid w:val="00BF7D11"/>
    <w:rsid w:val="00C00021"/>
    <w:rsid w:val="00C00133"/>
    <w:rsid w:val="00C00729"/>
    <w:rsid w:val="00C010FA"/>
    <w:rsid w:val="00C024AA"/>
    <w:rsid w:val="00C02A54"/>
    <w:rsid w:val="00C03366"/>
    <w:rsid w:val="00C0349D"/>
    <w:rsid w:val="00C03712"/>
    <w:rsid w:val="00C03F3F"/>
    <w:rsid w:val="00C04784"/>
    <w:rsid w:val="00C04C15"/>
    <w:rsid w:val="00C04D40"/>
    <w:rsid w:val="00C05176"/>
    <w:rsid w:val="00C053AA"/>
    <w:rsid w:val="00C058C9"/>
    <w:rsid w:val="00C0592A"/>
    <w:rsid w:val="00C0595D"/>
    <w:rsid w:val="00C062AC"/>
    <w:rsid w:val="00C06F80"/>
    <w:rsid w:val="00C0700E"/>
    <w:rsid w:val="00C07AC3"/>
    <w:rsid w:val="00C10091"/>
    <w:rsid w:val="00C100D7"/>
    <w:rsid w:val="00C10631"/>
    <w:rsid w:val="00C108BF"/>
    <w:rsid w:val="00C10D35"/>
    <w:rsid w:val="00C10EED"/>
    <w:rsid w:val="00C10F9D"/>
    <w:rsid w:val="00C11459"/>
    <w:rsid w:val="00C1177B"/>
    <w:rsid w:val="00C1203E"/>
    <w:rsid w:val="00C1288E"/>
    <w:rsid w:val="00C1377A"/>
    <w:rsid w:val="00C13A70"/>
    <w:rsid w:val="00C13A7D"/>
    <w:rsid w:val="00C13B82"/>
    <w:rsid w:val="00C13C41"/>
    <w:rsid w:val="00C142A4"/>
    <w:rsid w:val="00C14C1D"/>
    <w:rsid w:val="00C15072"/>
    <w:rsid w:val="00C15B83"/>
    <w:rsid w:val="00C15FDF"/>
    <w:rsid w:val="00C16B89"/>
    <w:rsid w:val="00C16C91"/>
    <w:rsid w:val="00C17455"/>
    <w:rsid w:val="00C175CE"/>
    <w:rsid w:val="00C2007A"/>
    <w:rsid w:val="00C20666"/>
    <w:rsid w:val="00C20681"/>
    <w:rsid w:val="00C20699"/>
    <w:rsid w:val="00C21167"/>
    <w:rsid w:val="00C2119C"/>
    <w:rsid w:val="00C21B57"/>
    <w:rsid w:val="00C21C2B"/>
    <w:rsid w:val="00C22467"/>
    <w:rsid w:val="00C228E7"/>
    <w:rsid w:val="00C22A79"/>
    <w:rsid w:val="00C22D74"/>
    <w:rsid w:val="00C239A9"/>
    <w:rsid w:val="00C23A89"/>
    <w:rsid w:val="00C243E1"/>
    <w:rsid w:val="00C24413"/>
    <w:rsid w:val="00C251FA"/>
    <w:rsid w:val="00C266D5"/>
    <w:rsid w:val="00C26D60"/>
    <w:rsid w:val="00C271FE"/>
    <w:rsid w:val="00C272B9"/>
    <w:rsid w:val="00C27452"/>
    <w:rsid w:val="00C2768B"/>
    <w:rsid w:val="00C276A5"/>
    <w:rsid w:val="00C27CBC"/>
    <w:rsid w:val="00C27CC2"/>
    <w:rsid w:val="00C27E5A"/>
    <w:rsid w:val="00C30304"/>
    <w:rsid w:val="00C30E78"/>
    <w:rsid w:val="00C31014"/>
    <w:rsid w:val="00C31067"/>
    <w:rsid w:val="00C31072"/>
    <w:rsid w:val="00C317AC"/>
    <w:rsid w:val="00C31C45"/>
    <w:rsid w:val="00C31F51"/>
    <w:rsid w:val="00C3287E"/>
    <w:rsid w:val="00C3297B"/>
    <w:rsid w:val="00C32E7E"/>
    <w:rsid w:val="00C32FEC"/>
    <w:rsid w:val="00C33EFD"/>
    <w:rsid w:val="00C34077"/>
    <w:rsid w:val="00C34322"/>
    <w:rsid w:val="00C34910"/>
    <w:rsid w:val="00C34D65"/>
    <w:rsid w:val="00C34FAA"/>
    <w:rsid w:val="00C35630"/>
    <w:rsid w:val="00C356D0"/>
    <w:rsid w:val="00C356E7"/>
    <w:rsid w:val="00C35E60"/>
    <w:rsid w:val="00C36709"/>
    <w:rsid w:val="00C36A3F"/>
    <w:rsid w:val="00C37AAF"/>
    <w:rsid w:val="00C37BB3"/>
    <w:rsid w:val="00C40BE4"/>
    <w:rsid w:val="00C411F1"/>
    <w:rsid w:val="00C41669"/>
    <w:rsid w:val="00C41C23"/>
    <w:rsid w:val="00C41FC7"/>
    <w:rsid w:val="00C444C2"/>
    <w:rsid w:val="00C44D3D"/>
    <w:rsid w:val="00C44F55"/>
    <w:rsid w:val="00C45081"/>
    <w:rsid w:val="00C45164"/>
    <w:rsid w:val="00C453DF"/>
    <w:rsid w:val="00C45CAA"/>
    <w:rsid w:val="00C46665"/>
    <w:rsid w:val="00C46891"/>
    <w:rsid w:val="00C46FBD"/>
    <w:rsid w:val="00C47403"/>
    <w:rsid w:val="00C50293"/>
    <w:rsid w:val="00C5127D"/>
    <w:rsid w:val="00C529AF"/>
    <w:rsid w:val="00C530E7"/>
    <w:rsid w:val="00C53132"/>
    <w:rsid w:val="00C53179"/>
    <w:rsid w:val="00C53210"/>
    <w:rsid w:val="00C53720"/>
    <w:rsid w:val="00C5375F"/>
    <w:rsid w:val="00C53B53"/>
    <w:rsid w:val="00C53B9B"/>
    <w:rsid w:val="00C53D5F"/>
    <w:rsid w:val="00C54848"/>
    <w:rsid w:val="00C5538E"/>
    <w:rsid w:val="00C558B5"/>
    <w:rsid w:val="00C5591F"/>
    <w:rsid w:val="00C55D7C"/>
    <w:rsid w:val="00C56CFA"/>
    <w:rsid w:val="00C570CF"/>
    <w:rsid w:val="00C576B9"/>
    <w:rsid w:val="00C57C40"/>
    <w:rsid w:val="00C6018E"/>
    <w:rsid w:val="00C6050E"/>
    <w:rsid w:val="00C60A55"/>
    <w:rsid w:val="00C60DC1"/>
    <w:rsid w:val="00C6107F"/>
    <w:rsid w:val="00C6119A"/>
    <w:rsid w:val="00C61305"/>
    <w:rsid w:val="00C619BA"/>
    <w:rsid w:val="00C6246E"/>
    <w:rsid w:val="00C62F24"/>
    <w:rsid w:val="00C63365"/>
    <w:rsid w:val="00C6372D"/>
    <w:rsid w:val="00C63E98"/>
    <w:rsid w:val="00C642CC"/>
    <w:rsid w:val="00C645D8"/>
    <w:rsid w:val="00C645F5"/>
    <w:rsid w:val="00C64EE3"/>
    <w:rsid w:val="00C651F4"/>
    <w:rsid w:val="00C65206"/>
    <w:rsid w:val="00C652B2"/>
    <w:rsid w:val="00C6573A"/>
    <w:rsid w:val="00C65975"/>
    <w:rsid w:val="00C65DAE"/>
    <w:rsid w:val="00C6601A"/>
    <w:rsid w:val="00C66098"/>
    <w:rsid w:val="00C66504"/>
    <w:rsid w:val="00C6659D"/>
    <w:rsid w:val="00C66D03"/>
    <w:rsid w:val="00C7022F"/>
    <w:rsid w:val="00C7049A"/>
    <w:rsid w:val="00C70967"/>
    <w:rsid w:val="00C709E8"/>
    <w:rsid w:val="00C70B1B"/>
    <w:rsid w:val="00C70C18"/>
    <w:rsid w:val="00C7111F"/>
    <w:rsid w:val="00C713F2"/>
    <w:rsid w:val="00C71516"/>
    <w:rsid w:val="00C715E1"/>
    <w:rsid w:val="00C72868"/>
    <w:rsid w:val="00C72E4A"/>
    <w:rsid w:val="00C737D9"/>
    <w:rsid w:val="00C739A8"/>
    <w:rsid w:val="00C739C1"/>
    <w:rsid w:val="00C73A6D"/>
    <w:rsid w:val="00C74042"/>
    <w:rsid w:val="00C74E33"/>
    <w:rsid w:val="00C75341"/>
    <w:rsid w:val="00C757CC"/>
    <w:rsid w:val="00C75AD3"/>
    <w:rsid w:val="00C75B08"/>
    <w:rsid w:val="00C75DE2"/>
    <w:rsid w:val="00C76269"/>
    <w:rsid w:val="00C76351"/>
    <w:rsid w:val="00C764F4"/>
    <w:rsid w:val="00C76933"/>
    <w:rsid w:val="00C76CD8"/>
    <w:rsid w:val="00C76F87"/>
    <w:rsid w:val="00C7727E"/>
    <w:rsid w:val="00C77C47"/>
    <w:rsid w:val="00C77DAA"/>
    <w:rsid w:val="00C8010D"/>
    <w:rsid w:val="00C8041F"/>
    <w:rsid w:val="00C80421"/>
    <w:rsid w:val="00C80C75"/>
    <w:rsid w:val="00C812E9"/>
    <w:rsid w:val="00C8148B"/>
    <w:rsid w:val="00C818C9"/>
    <w:rsid w:val="00C81B37"/>
    <w:rsid w:val="00C82558"/>
    <w:rsid w:val="00C82748"/>
    <w:rsid w:val="00C82A74"/>
    <w:rsid w:val="00C82BAC"/>
    <w:rsid w:val="00C82F5C"/>
    <w:rsid w:val="00C836AC"/>
    <w:rsid w:val="00C83932"/>
    <w:rsid w:val="00C83B6D"/>
    <w:rsid w:val="00C83FF0"/>
    <w:rsid w:val="00C8427B"/>
    <w:rsid w:val="00C84386"/>
    <w:rsid w:val="00C84474"/>
    <w:rsid w:val="00C844AF"/>
    <w:rsid w:val="00C84F23"/>
    <w:rsid w:val="00C8507C"/>
    <w:rsid w:val="00C8531C"/>
    <w:rsid w:val="00C85505"/>
    <w:rsid w:val="00C861EF"/>
    <w:rsid w:val="00C872DC"/>
    <w:rsid w:val="00C87886"/>
    <w:rsid w:val="00C87960"/>
    <w:rsid w:val="00C87D20"/>
    <w:rsid w:val="00C90416"/>
    <w:rsid w:val="00C90A41"/>
    <w:rsid w:val="00C90CAB"/>
    <w:rsid w:val="00C915C8"/>
    <w:rsid w:val="00C91601"/>
    <w:rsid w:val="00C91BA7"/>
    <w:rsid w:val="00C92895"/>
    <w:rsid w:val="00C929B5"/>
    <w:rsid w:val="00C92A9F"/>
    <w:rsid w:val="00C93022"/>
    <w:rsid w:val="00C94096"/>
    <w:rsid w:val="00C94B80"/>
    <w:rsid w:val="00C94DBE"/>
    <w:rsid w:val="00C9509D"/>
    <w:rsid w:val="00C9567A"/>
    <w:rsid w:val="00C95A7C"/>
    <w:rsid w:val="00C95EBB"/>
    <w:rsid w:val="00C96831"/>
    <w:rsid w:val="00C96BE4"/>
    <w:rsid w:val="00C96C4B"/>
    <w:rsid w:val="00C96D03"/>
    <w:rsid w:val="00C96FB3"/>
    <w:rsid w:val="00C97519"/>
    <w:rsid w:val="00C9777E"/>
    <w:rsid w:val="00C9784F"/>
    <w:rsid w:val="00C978A7"/>
    <w:rsid w:val="00C97DE7"/>
    <w:rsid w:val="00CA0521"/>
    <w:rsid w:val="00CA123D"/>
    <w:rsid w:val="00CA14EA"/>
    <w:rsid w:val="00CA32A7"/>
    <w:rsid w:val="00CA37C8"/>
    <w:rsid w:val="00CA3D9A"/>
    <w:rsid w:val="00CA3F7C"/>
    <w:rsid w:val="00CA41EF"/>
    <w:rsid w:val="00CA4268"/>
    <w:rsid w:val="00CA4284"/>
    <w:rsid w:val="00CA42CF"/>
    <w:rsid w:val="00CA4398"/>
    <w:rsid w:val="00CA43E2"/>
    <w:rsid w:val="00CA4502"/>
    <w:rsid w:val="00CA4903"/>
    <w:rsid w:val="00CA4ADE"/>
    <w:rsid w:val="00CA4B5F"/>
    <w:rsid w:val="00CA4D90"/>
    <w:rsid w:val="00CA5F5D"/>
    <w:rsid w:val="00CA5FED"/>
    <w:rsid w:val="00CA6384"/>
    <w:rsid w:val="00CA6962"/>
    <w:rsid w:val="00CA6AB4"/>
    <w:rsid w:val="00CA6D0C"/>
    <w:rsid w:val="00CA6F2E"/>
    <w:rsid w:val="00CB0106"/>
    <w:rsid w:val="00CB0670"/>
    <w:rsid w:val="00CB1499"/>
    <w:rsid w:val="00CB1EFB"/>
    <w:rsid w:val="00CB289E"/>
    <w:rsid w:val="00CB28B4"/>
    <w:rsid w:val="00CB28EF"/>
    <w:rsid w:val="00CB2DEB"/>
    <w:rsid w:val="00CB2E6E"/>
    <w:rsid w:val="00CB3966"/>
    <w:rsid w:val="00CB3C46"/>
    <w:rsid w:val="00CB5201"/>
    <w:rsid w:val="00CB5283"/>
    <w:rsid w:val="00CB5C62"/>
    <w:rsid w:val="00CB5CD1"/>
    <w:rsid w:val="00CB66D3"/>
    <w:rsid w:val="00CB6D00"/>
    <w:rsid w:val="00CB6FAA"/>
    <w:rsid w:val="00CC04F7"/>
    <w:rsid w:val="00CC06DB"/>
    <w:rsid w:val="00CC072B"/>
    <w:rsid w:val="00CC095E"/>
    <w:rsid w:val="00CC1460"/>
    <w:rsid w:val="00CC1647"/>
    <w:rsid w:val="00CC1DD2"/>
    <w:rsid w:val="00CC28F4"/>
    <w:rsid w:val="00CC2996"/>
    <w:rsid w:val="00CC2F03"/>
    <w:rsid w:val="00CC3093"/>
    <w:rsid w:val="00CC3D16"/>
    <w:rsid w:val="00CC3E50"/>
    <w:rsid w:val="00CC40E7"/>
    <w:rsid w:val="00CC420A"/>
    <w:rsid w:val="00CC45A8"/>
    <w:rsid w:val="00CC4788"/>
    <w:rsid w:val="00CC4805"/>
    <w:rsid w:val="00CC50A0"/>
    <w:rsid w:val="00CC5764"/>
    <w:rsid w:val="00CC59E1"/>
    <w:rsid w:val="00CC5B65"/>
    <w:rsid w:val="00CC60E4"/>
    <w:rsid w:val="00CC6244"/>
    <w:rsid w:val="00CC6F0C"/>
    <w:rsid w:val="00CC70F2"/>
    <w:rsid w:val="00CC78C8"/>
    <w:rsid w:val="00CD02D9"/>
    <w:rsid w:val="00CD0577"/>
    <w:rsid w:val="00CD0659"/>
    <w:rsid w:val="00CD076A"/>
    <w:rsid w:val="00CD0900"/>
    <w:rsid w:val="00CD1111"/>
    <w:rsid w:val="00CD114E"/>
    <w:rsid w:val="00CD13F2"/>
    <w:rsid w:val="00CD18B9"/>
    <w:rsid w:val="00CD1FBF"/>
    <w:rsid w:val="00CD2404"/>
    <w:rsid w:val="00CD2580"/>
    <w:rsid w:val="00CD2A5B"/>
    <w:rsid w:val="00CD2BC9"/>
    <w:rsid w:val="00CD350F"/>
    <w:rsid w:val="00CD359E"/>
    <w:rsid w:val="00CD37BC"/>
    <w:rsid w:val="00CD4AD6"/>
    <w:rsid w:val="00CD4CBB"/>
    <w:rsid w:val="00CD4F27"/>
    <w:rsid w:val="00CD5192"/>
    <w:rsid w:val="00CD51AD"/>
    <w:rsid w:val="00CD59A2"/>
    <w:rsid w:val="00CD65FE"/>
    <w:rsid w:val="00CD6DE0"/>
    <w:rsid w:val="00CD744E"/>
    <w:rsid w:val="00CD7B7A"/>
    <w:rsid w:val="00CD7BF2"/>
    <w:rsid w:val="00CE02A1"/>
    <w:rsid w:val="00CE0B4E"/>
    <w:rsid w:val="00CE1BE9"/>
    <w:rsid w:val="00CE2008"/>
    <w:rsid w:val="00CE2F01"/>
    <w:rsid w:val="00CE3282"/>
    <w:rsid w:val="00CE3904"/>
    <w:rsid w:val="00CE4413"/>
    <w:rsid w:val="00CE44B5"/>
    <w:rsid w:val="00CE455B"/>
    <w:rsid w:val="00CE4824"/>
    <w:rsid w:val="00CE4B22"/>
    <w:rsid w:val="00CE4E92"/>
    <w:rsid w:val="00CE519B"/>
    <w:rsid w:val="00CE5EA6"/>
    <w:rsid w:val="00CE661C"/>
    <w:rsid w:val="00CE7B28"/>
    <w:rsid w:val="00CE7F17"/>
    <w:rsid w:val="00CF0537"/>
    <w:rsid w:val="00CF0669"/>
    <w:rsid w:val="00CF091C"/>
    <w:rsid w:val="00CF0A83"/>
    <w:rsid w:val="00CF0CDC"/>
    <w:rsid w:val="00CF0FD9"/>
    <w:rsid w:val="00CF1255"/>
    <w:rsid w:val="00CF1758"/>
    <w:rsid w:val="00CF18C5"/>
    <w:rsid w:val="00CF1B79"/>
    <w:rsid w:val="00CF1E27"/>
    <w:rsid w:val="00CF1E45"/>
    <w:rsid w:val="00CF3A8A"/>
    <w:rsid w:val="00CF43D1"/>
    <w:rsid w:val="00CF4B09"/>
    <w:rsid w:val="00CF4F13"/>
    <w:rsid w:val="00CF4FFC"/>
    <w:rsid w:val="00CF5240"/>
    <w:rsid w:val="00CF58AE"/>
    <w:rsid w:val="00CF58CC"/>
    <w:rsid w:val="00CF6C2C"/>
    <w:rsid w:val="00CF7C10"/>
    <w:rsid w:val="00CF7C68"/>
    <w:rsid w:val="00D00192"/>
    <w:rsid w:val="00D00199"/>
    <w:rsid w:val="00D00B6F"/>
    <w:rsid w:val="00D016F1"/>
    <w:rsid w:val="00D01B21"/>
    <w:rsid w:val="00D0236E"/>
    <w:rsid w:val="00D02610"/>
    <w:rsid w:val="00D02E0E"/>
    <w:rsid w:val="00D02E96"/>
    <w:rsid w:val="00D039ED"/>
    <w:rsid w:val="00D03CAB"/>
    <w:rsid w:val="00D03F26"/>
    <w:rsid w:val="00D041D1"/>
    <w:rsid w:val="00D04475"/>
    <w:rsid w:val="00D04771"/>
    <w:rsid w:val="00D047E4"/>
    <w:rsid w:val="00D04E80"/>
    <w:rsid w:val="00D050D5"/>
    <w:rsid w:val="00D05443"/>
    <w:rsid w:val="00D05574"/>
    <w:rsid w:val="00D05C2D"/>
    <w:rsid w:val="00D067AD"/>
    <w:rsid w:val="00D06DC8"/>
    <w:rsid w:val="00D06E6B"/>
    <w:rsid w:val="00D06E7B"/>
    <w:rsid w:val="00D1023F"/>
    <w:rsid w:val="00D106CA"/>
    <w:rsid w:val="00D10770"/>
    <w:rsid w:val="00D11335"/>
    <w:rsid w:val="00D11408"/>
    <w:rsid w:val="00D114F6"/>
    <w:rsid w:val="00D12491"/>
    <w:rsid w:val="00D12D32"/>
    <w:rsid w:val="00D13381"/>
    <w:rsid w:val="00D13514"/>
    <w:rsid w:val="00D13C36"/>
    <w:rsid w:val="00D157A4"/>
    <w:rsid w:val="00D15A88"/>
    <w:rsid w:val="00D15B6C"/>
    <w:rsid w:val="00D15CB8"/>
    <w:rsid w:val="00D16137"/>
    <w:rsid w:val="00D161E9"/>
    <w:rsid w:val="00D1636A"/>
    <w:rsid w:val="00D166F0"/>
    <w:rsid w:val="00D1735C"/>
    <w:rsid w:val="00D176A5"/>
    <w:rsid w:val="00D2018C"/>
    <w:rsid w:val="00D20E5B"/>
    <w:rsid w:val="00D213F1"/>
    <w:rsid w:val="00D2162A"/>
    <w:rsid w:val="00D21BB4"/>
    <w:rsid w:val="00D22381"/>
    <w:rsid w:val="00D22BD6"/>
    <w:rsid w:val="00D2326E"/>
    <w:rsid w:val="00D235CE"/>
    <w:rsid w:val="00D24DA4"/>
    <w:rsid w:val="00D256BF"/>
    <w:rsid w:val="00D25EF4"/>
    <w:rsid w:val="00D263B3"/>
    <w:rsid w:val="00D26C92"/>
    <w:rsid w:val="00D26ED8"/>
    <w:rsid w:val="00D2716D"/>
    <w:rsid w:val="00D27353"/>
    <w:rsid w:val="00D27793"/>
    <w:rsid w:val="00D27DFE"/>
    <w:rsid w:val="00D27E41"/>
    <w:rsid w:val="00D3034D"/>
    <w:rsid w:val="00D30753"/>
    <w:rsid w:val="00D309FA"/>
    <w:rsid w:val="00D3136A"/>
    <w:rsid w:val="00D317D9"/>
    <w:rsid w:val="00D31929"/>
    <w:rsid w:val="00D31947"/>
    <w:rsid w:val="00D32592"/>
    <w:rsid w:val="00D325BC"/>
    <w:rsid w:val="00D3296C"/>
    <w:rsid w:val="00D32AB5"/>
    <w:rsid w:val="00D32E51"/>
    <w:rsid w:val="00D32EF3"/>
    <w:rsid w:val="00D3386B"/>
    <w:rsid w:val="00D33C10"/>
    <w:rsid w:val="00D34136"/>
    <w:rsid w:val="00D34E9A"/>
    <w:rsid w:val="00D35268"/>
    <w:rsid w:val="00D3535A"/>
    <w:rsid w:val="00D35543"/>
    <w:rsid w:val="00D359D9"/>
    <w:rsid w:val="00D362B3"/>
    <w:rsid w:val="00D36CD2"/>
    <w:rsid w:val="00D36EF0"/>
    <w:rsid w:val="00D3734E"/>
    <w:rsid w:val="00D373C8"/>
    <w:rsid w:val="00D37532"/>
    <w:rsid w:val="00D37B00"/>
    <w:rsid w:val="00D37BF9"/>
    <w:rsid w:val="00D4013A"/>
    <w:rsid w:val="00D40751"/>
    <w:rsid w:val="00D40B2C"/>
    <w:rsid w:val="00D40CCA"/>
    <w:rsid w:val="00D40F99"/>
    <w:rsid w:val="00D4123A"/>
    <w:rsid w:val="00D4166F"/>
    <w:rsid w:val="00D4194C"/>
    <w:rsid w:val="00D41FB1"/>
    <w:rsid w:val="00D421E3"/>
    <w:rsid w:val="00D42A43"/>
    <w:rsid w:val="00D43AF1"/>
    <w:rsid w:val="00D44009"/>
    <w:rsid w:val="00D449E8"/>
    <w:rsid w:val="00D44BD8"/>
    <w:rsid w:val="00D45070"/>
    <w:rsid w:val="00D45128"/>
    <w:rsid w:val="00D452B2"/>
    <w:rsid w:val="00D45523"/>
    <w:rsid w:val="00D45915"/>
    <w:rsid w:val="00D46664"/>
    <w:rsid w:val="00D46B99"/>
    <w:rsid w:val="00D47B37"/>
    <w:rsid w:val="00D507F6"/>
    <w:rsid w:val="00D50911"/>
    <w:rsid w:val="00D50CFB"/>
    <w:rsid w:val="00D50ED7"/>
    <w:rsid w:val="00D51702"/>
    <w:rsid w:val="00D51772"/>
    <w:rsid w:val="00D518EF"/>
    <w:rsid w:val="00D52C91"/>
    <w:rsid w:val="00D52EC2"/>
    <w:rsid w:val="00D535CA"/>
    <w:rsid w:val="00D53708"/>
    <w:rsid w:val="00D539DA"/>
    <w:rsid w:val="00D53A34"/>
    <w:rsid w:val="00D53A83"/>
    <w:rsid w:val="00D5402C"/>
    <w:rsid w:val="00D5473F"/>
    <w:rsid w:val="00D549C8"/>
    <w:rsid w:val="00D54B38"/>
    <w:rsid w:val="00D559E1"/>
    <w:rsid w:val="00D55E74"/>
    <w:rsid w:val="00D573DB"/>
    <w:rsid w:val="00D57924"/>
    <w:rsid w:val="00D57A8F"/>
    <w:rsid w:val="00D600F2"/>
    <w:rsid w:val="00D60A72"/>
    <w:rsid w:val="00D60BCC"/>
    <w:rsid w:val="00D61510"/>
    <w:rsid w:val="00D61AAC"/>
    <w:rsid w:val="00D61CAB"/>
    <w:rsid w:val="00D629B2"/>
    <w:rsid w:val="00D62C3F"/>
    <w:rsid w:val="00D63D3B"/>
    <w:rsid w:val="00D63DDD"/>
    <w:rsid w:val="00D64606"/>
    <w:rsid w:val="00D647DA"/>
    <w:rsid w:val="00D64808"/>
    <w:rsid w:val="00D652DF"/>
    <w:rsid w:val="00D65380"/>
    <w:rsid w:val="00D65563"/>
    <w:rsid w:val="00D659AC"/>
    <w:rsid w:val="00D65DEA"/>
    <w:rsid w:val="00D65E6E"/>
    <w:rsid w:val="00D6701C"/>
    <w:rsid w:val="00D67B21"/>
    <w:rsid w:val="00D67B2F"/>
    <w:rsid w:val="00D67C1E"/>
    <w:rsid w:val="00D67CA5"/>
    <w:rsid w:val="00D7025A"/>
    <w:rsid w:val="00D702CE"/>
    <w:rsid w:val="00D70366"/>
    <w:rsid w:val="00D70B3B"/>
    <w:rsid w:val="00D710D8"/>
    <w:rsid w:val="00D71442"/>
    <w:rsid w:val="00D715E4"/>
    <w:rsid w:val="00D7196C"/>
    <w:rsid w:val="00D71A94"/>
    <w:rsid w:val="00D724A4"/>
    <w:rsid w:val="00D72710"/>
    <w:rsid w:val="00D72C2B"/>
    <w:rsid w:val="00D72CDC"/>
    <w:rsid w:val="00D72F61"/>
    <w:rsid w:val="00D734B9"/>
    <w:rsid w:val="00D7375B"/>
    <w:rsid w:val="00D740FD"/>
    <w:rsid w:val="00D7495D"/>
    <w:rsid w:val="00D749C5"/>
    <w:rsid w:val="00D74BD3"/>
    <w:rsid w:val="00D755A3"/>
    <w:rsid w:val="00D76119"/>
    <w:rsid w:val="00D761EA"/>
    <w:rsid w:val="00D764D7"/>
    <w:rsid w:val="00D76D67"/>
    <w:rsid w:val="00D76F39"/>
    <w:rsid w:val="00D771BD"/>
    <w:rsid w:val="00D77804"/>
    <w:rsid w:val="00D8046B"/>
    <w:rsid w:val="00D80663"/>
    <w:rsid w:val="00D8067F"/>
    <w:rsid w:val="00D80A1D"/>
    <w:rsid w:val="00D80E3D"/>
    <w:rsid w:val="00D813EE"/>
    <w:rsid w:val="00D81C6F"/>
    <w:rsid w:val="00D82854"/>
    <w:rsid w:val="00D82A8F"/>
    <w:rsid w:val="00D82D52"/>
    <w:rsid w:val="00D834D1"/>
    <w:rsid w:val="00D845CD"/>
    <w:rsid w:val="00D84F41"/>
    <w:rsid w:val="00D86662"/>
    <w:rsid w:val="00D875F2"/>
    <w:rsid w:val="00D87B41"/>
    <w:rsid w:val="00D901D8"/>
    <w:rsid w:val="00D90410"/>
    <w:rsid w:val="00D90B11"/>
    <w:rsid w:val="00D90D04"/>
    <w:rsid w:val="00D90E74"/>
    <w:rsid w:val="00D9199C"/>
    <w:rsid w:val="00D91B0F"/>
    <w:rsid w:val="00D91C86"/>
    <w:rsid w:val="00D91E3A"/>
    <w:rsid w:val="00D922F3"/>
    <w:rsid w:val="00D93050"/>
    <w:rsid w:val="00D93204"/>
    <w:rsid w:val="00D93468"/>
    <w:rsid w:val="00D934BE"/>
    <w:rsid w:val="00D93543"/>
    <w:rsid w:val="00D93705"/>
    <w:rsid w:val="00D93D0F"/>
    <w:rsid w:val="00D94167"/>
    <w:rsid w:val="00D94AD4"/>
    <w:rsid w:val="00D94C58"/>
    <w:rsid w:val="00D94F15"/>
    <w:rsid w:val="00D9636F"/>
    <w:rsid w:val="00D97505"/>
    <w:rsid w:val="00DA07EE"/>
    <w:rsid w:val="00DA096B"/>
    <w:rsid w:val="00DA1247"/>
    <w:rsid w:val="00DA12B5"/>
    <w:rsid w:val="00DA1703"/>
    <w:rsid w:val="00DA179D"/>
    <w:rsid w:val="00DA1D18"/>
    <w:rsid w:val="00DA1F65"/>
    <w:rsid w:val="00DA2059"/>
    <w:rsid w:val="00DA245F"/>
    <w:rsid w:val="00DA3550"/>
    <w:rsid w:val="00DA367E"/>
    <w:rsid w:val="00DA3AD9"/>
    <w:rsid w:val="00DA4391"/>
    <w:rsid w:val="00DA488E"/>
    <w:rsid w:val="00DA4B7C"/>
    <w:rsid w:val="00DA4E2D"/>
    <w:rsid w:val="00DA4E56"/>
    <w:rsid w:val="00DA4E5E"/>
    <w:rsid w:val="00DA53AF"/>
    <w:rsid w:val="00DA53C3"/>
    <w:rsid w:val="00DA5606"/>
    <w:rsid w:val="00DA569B"/>
    <w:rsid w:val="00DA5ABE"/>
    <w:rsid w:val="00DA5B87"/>
    <w:rsid w:val="00DA61E4"/>
    <w:rsid w:val="00DA649A"/>
    <w:rsid w:val="00DA6627"/>
    <w:rsid w:val="00DA7056"/>
    <w:rsid w:val="00DA7064"/>
    <w:rsid w:val="00DA74F1"/>
    <w:rsid w:val="00DA7EAD"/>
    <w:rsid w:val="00DB0386"/>
    <w:rsid w:val="00DB0831"/>
    <w:rsid w:val="00DB0C47"/>
    <w:rsid w:val="00DB15E5"/>
    <w:rsid w:val="00DB1E4C"/>
    <w:rsid w:val="00DB1EA4"/>
    <w:rsid w:val="00DB3677"/>
    <w:rsid w:val="00DB3D95"/>
    <w:rsid w:val="00DB3EDD"/>
    <w:rsid w:val="00DB46DA"/>
    <w:rsid w:val="00DB540B"/>
    <w:rsid w:val="00DB567D"/>
    <w:rsid w:val="00DB5CA9"/>
    <w:rsid w:val="00DB5DCE"/>
    <w:rsid w:val="00DB69A3"/>
    <w:rsid w:val="00DB6C1A"/>
    <w:rsid w:val="00DB6D98"/>
    <w:rsid w:val="00DB6F5A"/>
    <w:rsid w:val="00DB71CC"/>
    <w:rsid w:val="00DB7379"/>
    <w:rsid w:val="00DB7985"/>
    <w:rsid w:val="00DB7E70"/>
    <w:rsid w:val="00DC00F7"/>
    <w:rsid w:val="00DC019F"/>
    <w:rsid w:val="00DC0208"/>
    <w:rsid w:val="00DC0377"/>
    <w:rsid w:val="00DC114E"/>
    <w:rsid w:val="00DC1587"/>
    <w:rsid w:val="00DC1672"/>
    <w:rsid w:val="00DC25B5"/>
    <w:rsid w:val="00DC2B54"/>
    <w:rsid w:val="00DC46D6"/>
    <w:rsid w:val="00DC5024"/>
    <w:rsid w:val="00DC50A2"/>
    <w:rsid w:val="00DC561E"/>
    <w:rsid w:val="00DC597C"/>
    <w:rsid w:val="00DC6599"/>
    <w:rsid w:val="00DC6D51"/>
    <w:rsid w:val="00DC6FB7"/>
    <w:rsid w:val="00DC7076"/>
    <w:rsid w:val="00DC7157"/>
    <w:rsid w:val="00DC7A7D"/>
    <w:rsid w:val="00DD03EB"/>
    <w:rsid w:val="00DD0C33"/>
    <w:rsid w:val="00DD11BC"/>
    <w:rsid w:val="00DD1817"/>
    <w:rsid w:val="00DD1967"/>
    <w:rsid w:val="00DD1C18"/>
    <w:rsid w:val="00DD2228"/>
    <w:rsid w:val="00DD27CD"/>
    <w:rsid w:val="00DD2B72"/>
    <w:rsid w:val="00DD2FEE"/>
    <w:rsid w:val="00DD34CB"/>
    <w:rsid w:val="00DD3616"/>
    <w:rsid w:val="00DD42D5"/>
    <w:rsid w:val="00DD43FE"/>
    <w:rsid w:val="00DD4930"/>
    <w:rsid w:val="00DD5097"/>
    <w:rsid w:val="00DD62C6"/>
    <w:rsid w:val="00DD65C4"/>
    <w:rsid w:val="00DD7DB0"/>
    <w:rsid w:val="00DE0319"/>
    <w:rsid w:val="00DE0549"/>
    <w:rsid w:val="00DE0B19"/>
    <w:rsid w:val="00DE0D83"/>
    <w:rsid w:val="00DE0DB1"/>
    <w:rsid w:val="00DE0F07"/>
    <w:rsid w:val="00DE1851"/>
    <w:rsid w:val="00DE1A77"/>
    <w:rsid w:val="00DE1FC7"/>
    <w:rsid w:val="00DE227B"/>
    <w:rsid w:val="00DE2B10"/>
    <w:rsid w:val="00DE2EF6"/>
    <w:rsid w:val="00DE3A0A"/>
    <w:rsid w:val="00DE3A82"/>
    <w:rsid w:val="00DE3E7E"/>
    <w:rsid w:val="00DE4816"/>
    <w:rsid w:val="00DE4B7B"/>
    <w:rsid w:val="00DE50DE"/>
    <w:rsid w:val="00DE52F0"/>
    <w:rsid w:val="00DE549F"/>
    <w:rsid w:val="00DE5653"/>
    <w:rsid w:val="00DE5A35"/>
    <w:rsid w:val="00DE5C73"/>
    <w:rsid w:val="00DE604A"/>
    <w:rsid w:val="00DE6249"/>
    <w:rsid w:val="00DE6624"/>
    <w:rsid w:val="00DE67F0"/>
    <w:rsid w:val="00DE7055"/>
    <w:rsid w:val="00DE714D"/>
    <w:rsid w:val="00DE7221"/>
    <w:rsid w:val="00DE756C"/>
    <w:rsid w:val="00DE7827"/>
    <w:rsid w:val="00DE7F28"/>
    <w:rsid w:val="00DF038B"/>
    <w:rsid w:val="00DF0E8C"/>
    <w:rsid w:val="00DF0FE8"/>
    <w:rsid w:val="00DF1524"/>
    <w:rsid w:val="00DF1CFB"/>
    <w:rsid w:val="00DF1EFC"/>
    <w:rsid w:val="00DF2C61"/>
    <w:rsid w:val="00DF2C83"/>
    <w:rsid w:val="00DF3447"/>
    <w:rsid w:val="00DF42CD"/>
    <w:rsid w:val="00DF4925"/>
    <w:rsid w:val="00DF4B10"/>
    <w:rsid w:val="00DF62D5"/>
    <w:rsid w:val="00DF712F"/>
    <w:rsid w:val="00DF7561"/>
    <w:rsid w:val="00E00936"/>
    <w:rsid w:val="00E00FE0"/>
    <w:rsid w:val="00E013A9"/>
    <w:rsid w:val="00E01625"/>
    <w:rsid w:val="00E02375"/>
    <w:rsid w:val="00E0289E"/>
    <w:rsid w:val="00E029C6"/>
    <w:rsid w:val="00E02E92"/>
    <w:rsid w:val="00E0359F"/>
    <w:rsid w:val="00E0373C"/>
    <w:rsid w:val="00E03F07"/>
    <w:rsid w:val="00E04BAD"/>
    <w:rsid w:val="00E04CA8"/>
    <w:rsid w:val="00E04D59"/>
    <w:rsid w:val="00E04D75"/>
    <w:rsid w:val="00E05CEC"/>
    <w:rsid w:val="00E060F4"/>
    <w:rsid w:val="00E06BA4"/>
    <w:rsid w:val="00E06EA8"/>
    <w:rsid w:val="00E07AEA"/>
    <w:rsid w:val="00E07D74"/>
    <w:rsid w:val="00E07E60"/>
    <w:rsid w:val="00E105DB"/>
    <w:rsid w:val="00E10B38"/>
    <w:rsid w:val="00E11170"/>
    <w:rsid w:val="00E11C60"/>
    <w:rsid w:val="00E12800"/>
    <w:rsid w:val="00E12884"/>
    <w:rsid w:val="00E128B2"/>
    <w:rsid w:val="00E12A09"/>
    <w:rsid w:val="00E12A5B"/>
    <w:rsid w:val="00E12C30"/>
    <w:rsid w:val="00E132C0"/>
    <w:rsid w:val="00E13388"/>
    <w:rsid w:val="00E1362F"/>
    <w:rsid w:val="00E13A33"/>
    <w:rsid w:val="00E13F78"/>
    <w:rsid w:val="00E143D3"/>
    <w:rsid w:val="00E1456D"/>
    <w:rsid w:val="00E147BA"/>
    <w:rsid w:val="00E151B9"/>
    <w:rsid w:val="00E1522F"/>
    <w:rsid w:val="00E15669"/>
    <w:rsid w:val="00E15A98"/>
    <w:rsid w:val="00E15DB1"/>
    <w:rsid w:val="00E16497"/>
    <w:rsid w:val="00E17062"/>
    <w:rsid w:val="00E17374"/>
    <w:rsid w:val="00E17C3C"/>
    <w:rsid w:val="00E200AE"/>
    <w:rsid w:val="00E2038E"/>
    <w:rsid w:val="00E20512"/>
    <w:rsid w:val="00E205CE"/>
    <w:rsid w:val="00E20AA9"/>
    <w:rsid w:val="00E20B95"/>
    <w:rsid w:val="00E20ECE"/>
    <w:rsid w:val="00E2103D"/>
    <w:rsid w:val="00E21699"/>
    <w:rsid w:val="00E2187A"/>
    <w:rsid w:val="00E21888"/>
    <w:rsid w:val="00E21909"/>
    <w:rsid w:val="00E22119"/>
    <w:rsid w:val="00E222B5"/>
    <w:rsid w:val="00E22DC3"/>
    <w:rsid w:val="00E23729"/>
    <w:rsid w:val="00E25046"/>
    <w:rsid w:val="00E2574C"/>
    <w:rsid w:val="00E2585E"/>
    <w:rsid w:val="00E26762"/>
    <w:rsid w:val="00E269CB"/>
    <w:rsid w:val="00E26C52"/>
    <w:rsid w:val="00E26CCD"/>
    <w:rsid w:val="00E26CDD"/>
    <w:rsid w:val="00E26F7A"/>
    <w:rsid w:val="00E27604"/>
    <w:rsid w:val="00E27BFA"/>
    <w:rsid w:val="00E300BB"/>
    <w:rsid w:val="00E30154"/>
    <w:rsid w:val="00E30CEC"/>
    <w:rsid w:val="00E30DEB"/>
    <w:rsid w:val="00E316FF"/>
    <w:rsid w:val="00E31A18"/>
    <w:rsid w:val="00E32194"/>
    <w:rsid w:val="00E32292"/>
    <w:rsid w:val="00E326E4"/>
    <w:rsid w:val="00E336EB"/>
    <w:rsid w:val="00E33B6D"/>
    <w:rsid w:val="00E34582"/>
    <w:rsid w:val="00E34F1F"/>
    <w:rsid w:val="00E358A2"/>
    <w:rsid w:val="00E36073"/>
    <w:rsid w:val="00E36A5B"/>
    <w:rsid w:val="00E36B48"/>
    <w:rsid w:val="00E36EA2"/>
    <w:rsid w:val="00E36F9A"/>
    <w:rsid w:val="00E371E2"/>
    <w:rsid w:val="00E376E0"/>
    <w:rsid w:val="00E37753"/>
    <w:rsid w:val="00E37B05"/>
    <w:rsid w:val="00E37FE3"/>
    <w:rsid w:val="00E4090F"/>
    <w:rsid w:val="00E40981"/>
    <w:rsid w:val="00E412F7"/>
    <w:rsid w:val="00E41634"/>
    <w:rsid w:val="00E417B4"/>
    <w:rsid w:val="00E41B94"/>
    <w:rsid w:val="00E41DD3"/>
    <w:rsid w:val="00E423C3"/>
    <w:rsid w:val="00E428DE"/>
    <w:rsid w:val="00E43D1D"/>
    <w:rsid w:val="00E4417D"/>
    <w:rsid w:val="00E445FD"/>
    <w:rsid w:val="00E4471D"/>
    <w:rsid w:val="00E44877"/>
    <w:rsid w:val="00E45003"/>
    <w:rsid w:val="00E45EA3"/>
    <w:rsid w:val="00E466AD"/>
    <w:rsid w:val="00E467B5"/>
    <w:rsid w:val="00E46A9E"/>
    <w:rsid w:val="00E46D6B"/>
    <w:rsid w:val="00E46D8A"/>
    <w:rsid w:val="00E46FE6"/>
    <w:rsid w:val="00E47159"/>
    <w:rsid w:val="00E47465"/>
    <w:rsid w:val="00E47A6E"/>
    <w:rsid w:val="00E47E3E"/>
    <w:rsid w:val="00E47F29"/>
    <w:rsid w:val="00E47FB0"/>
    <w:rsid w:val="00E50011"/>
    <w:rsid w:val="00E506E2"/>
    <w:rsid w:val="00E508E2"/>
    <w:rsid w:val="00E50C31"/>
    <w:rsid w:val="00E51A1A"/>
    <w:rsid w:val="00E51B12"/>
    <w:rsid w:val="00E51BBF"/>
    <w:rsid w:val="00E52180"/>
    <w:rsid w:val="00E53148"/>
    <w:rsid w:val="00E53C22"/>
    <w:rsid w:val="00E53D7E"/>
    <w:rsid w:val="00E540D2"/>
    <w:rsid w:val="00E54708"/>
    <w:rsid w:val="00E54DBB"/>
    <w:rsid w:val="00E55291"/>
    <w:rsid w:val="00E56C6C"/>
    <w:rsid w:val="00E56F63"/>
    <w:rsid w:val="00E6027F"/>
    <w:rsid w:val="00E61867"/>
    <w:rsid w:val="00E61C6C"/>
    <w:rsid w:val="00E62392"/>
    <w:rsid w:val="00E635A6"/>
    <w:rsid w:val="00E63A85"/>
    <w:rsid w:val="00E646B3"/>
    <w:rsid w:val="00E655C8"/>
    <w:rsid w:val="00E657C7"/>
    <w:rsid w:val="00E65C0F"/>
    <w:rsid w:val="00E66689"/>
    <w:rsid w:val="00E67003"/>
    <w:rsid w:val="00E7032D"/>
    <w:rsid w:val="00E70D7D"/>
    <w:rsid w:val="00E70E2B"/>
    <w:rsid w:val="00E71057"/>
    <w:rsid w:val="00E71131"/>
    <w:rsid w:val="00E71AD4"/>
    <w:rsid w:val="00E72ABA"/>
    <w:rsid w:val="00E72AC2"/>
    <w:rsid w:val="00E73027"/>
    <w:rsid w:val="00E730DD"/>
    <w:rsid w:val="00E733C0"/>
    <w:rsid w:val="00E73440"/>
    <w:rsid w:val="00E73855"/>
    <w:rsid w:val="00E747FD"/>
    <w:rsid w:val="00E74DBA"/>
    <w:rsid w:val="00E74FC9"/>
    <w:rsid w:val="00E75999"/>
    <w:rsid w:val="00E75B23"/>
    <w:rsid w:val="00E75D83"/>
    <w:rsid w:val="00E765A2"/>
    <w:rsid w:val="00E76BED"/>
    <w:rsid w:val="00E76F4C"/>
    <w:rsid w:val="00E77701"/>
    <w:rsid w:val="00E77CD6"/>
    <w:rsid w:val="00E77DB5"/>
    <w:rsid w:val="00E77F8F"/>
    <w:rsid w:val="00E80B5D"/>
    <w:rsid w:val="00E80D75"/>
    <w:rsid w:val="00E81092"/>
    <w:rsid w:val="00E81B56"/>
    <w:rsid w:val="00E81C67"/>
    <w:rsid w:val="00E81CFF"/>
    <w:rsid w:val="00E820DD"/>
    <w:rsid w:val="00E82522"/>
    <w:rsid w:val="00E82FD5"/>
    <w:rsid w:val="00E832D5"/>
    <w:rsid w:val="00E8364B"/>
    <w:rsid w:val="00E8387B"/>
    <w:rsid w:val="00E84CB6"/>
    <w:rsid w:val="00E8538B"/>
    <w:rsid w:val="00E85921"/>
    <w:rsid w:val="00E85BF0"/>
    <w:rsid w:val="00E862BB"/>
    <w:rsid w:val="00E86548"/>
    <w:rsid w:val="00E869AA"/>
    <w:rsid w:val="00E86EDE"/>
    <w:rsid w:val="00E872AB"/>
    <w:rsid w:val="00E909CE"/>
    <w:rsid w:val="00E90BFB"/>
    <w:rsid w:val="00E91070"/>
    <w:rsid w:val="00E9140D"/>
    <w:rsid w:val="00E92F26"/>
    <w:rsid w:val="00E930DE"/>
    <w:rsid w:val="00E93778"/>
    <w:rsid w:val="00E93A77"/>
    <w:rsid w:val="00E940CC"/>
    <w:rsid w:val="00E94AD6"/>
    <w:rsid w:val="00E94C30"/>
    <w:rsid w:val="00E9577F"/>
    <w:rsid w:val="00E95F59"/>
    <w:rsid w:val="00E967D8"/>
    <w:rsid w:val="00E967DA"/>
    <w:rsid w:val="00E96C35"/>
    <w:rsid w:val="00E96D83"/>
    <w:rsid w:val="00E97BE0"/>
    <w:rsid w:val="00E97DC2"/>
    <w:rsid w:val="00E97FF8"/>
    <w:rsid w:val="00EA00E5"/>
    <w:rsid w:val="00EA010F"/>
    <w:rsid w:val="00EA02E4"/>
    <w:rsid w:val="00EA0D52"/>
    <w:rsid w:val="00EA0EF7"/>
    <w:rsid w:val="00EA0FF1"/>
    <w:rsid w:val="00EA1217"/>
    <w:rsid w:val="00EA184C"/>
    <w:rsid w:val="00EA1A8C"/>
    <w:rsid w:val="00EA1C83"/>
    <w:rsid w:val="00EA1DFC"/>
    <w:rsid w:val="00EA2483"/>
    <w:rsid w:val="00EA2A0B"/>
    <w:rsid w:val="00EA3238"/>
    <w:rsid w:val="00EA336A"/>
    <w:rsid w:val="00EA3585"/>
    <w:rsid w:val="00EA35FF"/>
    <w:rsid w:val="00EA3792"/>
    <w:rsid w:val="00EA3B63"/>
    <w:rsid w:val="00EA3C0A"/>
    <w:rsid w:val="00EA4258"/>
    <w:rsid w:val="00EA425E"/>
    <w:rsid w:val="00EA4630"/>
    <w:rsid w:val="00EA488F"/>
    <w:rsid w:val="00EA4D91"/>
    <w:rsid w:val="00EA4F1C"/>
    <w:rsid w:val="00EA510A"/>
    <w:rsid w:val="00EA525D"/>
    <w:rsid w:val="00EA5456"/>
    <w:rsid w:val="00EA555E"/>
    <w:rsid w:val="00EA589D"/>
    <w:rsid w:val="00EA5CD1"/>
    <w:rsid w:val="00EA5CDB"/>
    <w:rsid w:val="00EA63ED"/>
    <w:rsid w:val="00EA6790"/>
    <w:rsid w:val="00EA6A18"/>
    <w:rsid w:val="00EA726E"/>
    <w:rsid w:val="00EA75E1"/>
    <w:rsid w:val="00EA7850"/>
    <w:rsid w:val="00EA7FDB"/>
    <w:rsid w:val="00EB0E1A"/>
    <w:rsid w:val="00EB0E33"/>
    <w:rsid w:val="00EB1184"/>
    <w:rsid w:val="00EB14EC"/>
    <w:rsid w:val="00EB1632"/>
    <w:rsid w:val="00EB16D3"/>
    <w:rsid w:val="00EB1EA2"/>
    <w:rsid w:val="00EB20E1"/>
    <w:rsid w:val="00EB2C5D"/>
    <w:rsid w:val="00EB3C9D"/>
    <w:rsid w:val="00EB41AA"/>
    <w:rsid w:val="00EB44D8"/>
    <w:rsid w:val="00EB4772"/>
    <w:rsid w:val="00EB4D38"/>
    <w:rsid w:val="00EB4FE3"/>
    <w:rsid w:val="00EB50EC"/>
    <w:rsid w:val="00EB5198"/>
    <w:rsid w:val="00EB5A9A"/>
    <w:rsid w:val="00EB69D8"/>
    <w:rsid w:val="00EB6E5B"/>
    <w:rsid w:val="00EB7055"/>
    <w:rsid w:val="00EB7655"/>
    <w:rsid w:val="00EC03A0"/>
    <w:rsid w:val="00EC04E5"/>
    <w:rsid w:val="00EC088D"/>
    <w:rsid w:val="00EC0929"/>
    <w:rsid w:val="00EC1102"/>
    <w:rsid w:val="00EC2019"/>
    <w:rsid w:val="00EC20C7"/>
    <w:rsid w:val="00EC2714"/>
    <w:rsid w:val="00EC27C5"/>
    <w:rsid w:val="00EC2A29"/>
    <w:rsid w:val="00EC2EAE"/>
    <w:rsid w:val="00EC304A"/>
    <w:rsid w:val="00EC31C7"/>
    <w:rsid w:val="00EC36FE"/>
    <w:rsid w:val="00EC39AF"/>
    <w:rsid w:val="00EC3C1F"/>
    <w:rsid w:val="00EC4418"/>
    <w:rsid w:val="00EC46F3"/>
    <w:rsid w:val="00EC5013"/>
    <w:rsid w:val="00EC516A"/>
    <w:rsid w:val="00EC52A1"/>
    <w:rsid w:val="00EC5ED9"/>
    <w:rsid w:val="00EC60D9"/>
    <w:rsid w:val="00EC63E7"/>
    <w:rsid w:val="00EC6DAB"/>
    <w:rsid w:val="00EC6EFD"/>
    <w:rsid w:val="00EC7522"/>
    <w:rsid w:val="00EC7555"/>
    <w:rsid w:val="00EC7986"/>
    <w:rsid w:val="00EC7D00"/>
    <w:rsid w:val="00EC7E71"/>
    <w:rsid w:val="00ED03DF"/>
    <w:rsid w:val="00ED04E7"/>
    <w:rsid w:val="00ED0A50"/>
    <w:rsid w:val="00ED0A63"/>
    <w:rsid w:val="00ED140E"/>
    <w:rsid w:val="00ED1540"/>
    <w:rsid w:val="00ED16DB"/>
    <w:rsid w:val="00ED1AB6"/>
    <w:rsid w:val="00ED1C33"/>
    <w:rsid w:val="00ED1DA5"/>
    <w:rsid w:val="00ED20BE"/>
    <w:rsid w:val="00ED2136"/>
    <w:rsid w:val="00ED40B6"/>
    <w:rsid w:val="00ED5FFD"/>
    <w:rsid w:val="00ED6000"/>
    <w:rsid w:val="00ED620A"/>
    <w:rsid w:val="00ED670E"/>
    <w:rsid w:val="00ED6837"/>
    <w:rsid w:val="00ED6D64"/>
    <w:rsid w:val="00ED782C"/>
    <w:rsid w:val="00ED7F81"/>
    <w:rsid w:val="00EE048C"/>
    <w:rsid w:val="00EE0C22"/>
    <w:rsid w:val="00EE15D0"/>
    <w:rsid w:val="00EE15F8"/>
    <w:rsid w:val="00EE1E99"/>
    <w:rsid w:val="00EE2529"/>
    <w:rsid w:val="00EE27FE"/>
    <w:rsid w:val="00EE32C6"/>
    <w:rsid w:val="00EE343D"/>
    <w:rsid w:val="00EE34A4"/>
    <w:rsid w:val="00EE3A02"/>
    <w:rsid w:val="00EE4533"/>
    <w:rsid w:val="00EE4B55"/>
    <w:rsid w:val="00EE4DEE"/>
    <w:rsid w:val="00EE66D8"/>
    <w:rsid w:val="00EE689C"/>
    <w:rsid w:val="00EE6A26"/>
    <w:rsid w:val="00EE733A"/>
    <w:rsid w:val="00EE734E"/>
    <w:rsid w:val="00EE75B1"/>
    <w:rsid w:val="00EF00F0"/>
    <w:rsid w:val="00EF0545"/>
    <w:rsid w:val="00EF0E9E"/>
    <w:rsid w:val="00EF1386"/>
    <w:rsid w:val="00EF152C"/>
    <w:rsid w:val="00EF177B"/>
    <w:rsid w:val="00EF189B"/>
    <w:rsid w:val="00EF1F9C"/>
    <w:rsid w:val="00EF2A43"/>
    <w:rsid w:val="00EF2D58"/>
    <w:rsid w:val="00EF3C3A"/>
    <w:rsid w:val="00EF3D33"/>
    <w:rsid w:val="00EF406C"/>
    <w:rsid w:val="00EF42B3"/>
    <w:rsid w:val="00EF43A6"/>
    <w:rsid w:val="00EF4B14"/>
    <w:rsid w:val="00EF5054"/>
    <w:rsid w:val="00EF562B"/>
    <w:rsid w:val="00EF5AD3"/>
    <w:rsid w:val="00EF5C2C"/>
    <w:rsid w:val="00EF615F"/>
    <w:rsid w:val="00EF6742"/>
    <w:rsid w:val="00EF7339"/>
    <w:rsid w:val="00EF785B"/>
    <w:rsid w:val="00EF7DED"/>
    <w:rsid w:val="00EF7EA4"/>
    <w:rsid w:val="00F00D7D"/>
    <w:rsid w:val="00F015BE"/>
    <w:rsid w:val="00F016B2"/>
    <w:rsid w:val="00F01943"/>
    <w:rsid w:val="00F02576"/>
    <w:rsid w:val="00F03019"/>
    <w:rsid w:val="00F031E4"/>
    <w:rsid w:val="00F03542"/>
    <w:rsid w:val="00F03A1F"/>
    <w:rsid w:val="00F04045"/>
    <w:rsid w:val="00F044C2"/>
    <w:rsid w:val="00F048F0"/>
    <w:rsid w:val="00F04D12"/>
    <w:rsid w:val="00F04D66"/>
    <w:rsid w:val="00F05735"/>
    <w:rsid w:val="00F05BA6"/>
    <w:rsid w:val="00F05FD6"/>
    <w:rsid w:val="00F07217"/>
    <w:rsid w:val="00F07800"/>
    <w:rsid w:val="00F102B2"/>
    <w:rsid w:val="00F10BC7"/>
    <w:rsid w:val="00F115D0"/>
    <w:rsid w:val="00F1279B"/>
    <w:rsid w:val="00F135EF"/>
    <w:rsid w:val="00F13E52"/>
    <w:rsid w:val="00F14038"/>
    <w:rsid w:val="00F144CB"/>
    <w:rsid w:val="00F146E4"/>
    <w:rsid w:val="00F1486B"/>
    <w:rsid w:val="00F148BE"/>
    <w:rsid w:val="00F15479"/>
    <w:rsid w:val="00F155DC"/>
    <w:rsid w:val="00F157D4"/>
    <w:rsid w:val="00F15AAD"/>
    <w:rsid w:val="00F16983"/>
    <w:rsid w:val="00F16EAB"/>
    <w:rsid w:val="00F170F3"/>
    <w:rsid w:val="00F171CE"/>
    <w:rsid w:val="00F17218"/>
    <w:rsid w:val="00F17923"/>
    <w:rsid w:val="00F179A2"/>
    <w:rsid w:val="00F20591"/>
    <w:rsid w:val="00F2106B"/>
    <w:rsid w:val="00F210FA"/>
    <w:rsid w:val="00F2120B"/>
    <w:rsid w:val="00F21B08"/>
    <w:rsid w:val="00F21E85"/>
    <w:rsid w:val="00F22558"/>
    <w:rsid w:val="00F22BE5"/>
    <w:rsid w:val="00F22D8C"/>
    <w:rsid w:val="00F22F3D"/>
    <w:rsid w:val="00F2388D"/>
    <w:rsid w:val="00F24284"/>
    <w:rsid w:val="00F245C0"/>
    <w:rsid w:val="00F2475B"/>
    <w:rsid w:val="00F24B2C"/>
    <w:rsid w:val="00F24B82"/>
    <w:rsid w:val="00F24E0C"/>
    <w:rsid w:val="00F2549E"/>
    <w:rsid w:val="00F2563C"/>
    <w:rsid w:val="00F25D6D"/>
    <w:rsid w:val="00F268E2"/>
    <w:rsid w:val="00F26AAF"/>
    <w:rsid w:val="00F26E87"/>
    <w:rsid w:val="00F2767A"/>
    <w:rsid w:val="00F27748"/>
    <w:rsid w:val="00F27CFD"/>
    <w:rsid w:val="00F27DB3"/>
    <w:rsid w:val="00F300CD"/>
    <w:rsid w:val="00F3112A"/>
    <w:rsid w:val="00F31171"/>
    <w:rsid w:val="00F31203"/>
    <w:rsid w:val="00F32119"/>
    <w:rsid w:val="00F322B0"/>
    <w:rsid w:val="00F32409"/>
    <w:rsid w:val="00F32619"/>
    <w:rsid w:val="00F329CA"/>
    <w:rsid w:val="00F32C6C"/>
    <w:rsid w:val="00F32FDE"/>
    <w:rsid w:val="00F3341E"/>
    <w:rsid w:val="00F33889"/>
    <w:rsid w:val="00F33CA6"/>
    <w:rsid w:val="00F35231"/>
    <w:rsid w:val="00F35558"/>
    <w:rsid w:val="00F358AC"/>
    <w:rsid w:val="00F359DE"/>
    <w:rsid w:val="00F35B80"/>
    <w:rsid w:val="00F363C7"/>
    <w:rsid w:val="00F36502"/>
    <w:rsid w:val="00F3681C"/>
    <w:rsid w:val="00F36F3C"/>
    <w:rsid w:val="00F375FD"/>
    <w:rsid w:val="00F40323"/>
    <w:rsid w:val="00F4049D"/>
    <w:rsid w:val="00F405E0"/>
    <w:rsid w:val="00F411C4"/>
    <w:rsid w:val="00F412B8"/>
    <w:rsid w:val="00F41C6A"/>
    <w:rsid w:val="00F42AC3"/>
    <w:rsid w:val="00F42B37"/>
    <w:rsid w:val="00F43492"/>
    <w:rsid w:val="00F436E9"/>
    <w:rsid w:val="00F437FA"/>
    <w:rsid w:val="00F43DDA"/>
    <w:rsid w:val="00F444FE"/>
    <w:rsid w:val="00F45447"/>
    <w:rsid w:val="00F456C5"/>
    <w:rsid w:val="00F45E1C"/>
    <w:rsid w:val="00F45FBA"/>
    <w:rsid w:val="00F464B2"/>
    <w:rsid w:val="00F46544"/>
    <w:rsid w:val="00F46B85"/>
    <w:rsid w:val="00F46FE3"/>
    <w:rsid w:val="00F47543"/>
    <w:rsid w:val="00F47743"/>
    <w:rsid w:val="00F47903"/>
    <w:rsid w:val="00F47A6F"/>
    <w:rsid w:val="00F503CA"/>
    <w:rsid w:val="00F504F9"/>
    <w:rsid w:val="00F506E3"/>
    <w:rsid w:val="00F50A03"/>
    <w:rsid w:val="00F514BF"/>
    <w:rsid w:val="00F516D0"/>
    <w:rsid w:val="00F5245C"/>
    <w:rsid w:val="00F5251F"/>
    <w:rsid w:val="00F5261B"/>
    <w:rsid w:val="00F52A83"/>
    <w:rsid w:val="00F53856"/>
    <w:rsid w:val="00F54EB8"/>
    <w:rsid w:val="00F55188"/>
    <w:rsid w:val="00F5628D"/>
    <w:rsid w:val="00F563D5"/>
    <w:rsid w:val="00F5656D"/>
    <w:rsid w:val="00F56619"/>
    <w:rsid w:val="00F56B81"/>
    <w:rsid w:val="00F57756"/>
    <w:rsid w:val="00F577BF"/>
    <w:rsid w:val="00F57B20"/>
    <w:rsid w:val="00F57CCC"/>
    <w:rsid w:val="00F57E3E"/>
    <w:rsid w:val="00F60245"/>
    <w:rsid w:val="00F60340"/>
    <w:rsid w:val="00F60683"/>
    <w:rsid w:val="00F6081C"/>
    <w:rsid w:val="00F609BD"/>
    <w:rsid w:val="00F61418"/>
    <w:rsid w:val="00F6195B"/>
    <w:rsid w:val="00F61B59"/>
    <w:rsid w:val="00F6212A"/>
    <w:rsid w:val="00F62400"/>
    <w:rsid w:val="00F62C95"/>
    <w:rsid w:val="00F62DE8"/>
    <w:rsid w:val="00F63178"/>
    <w:rsid w:val="00F6317D"/>
    <w:rsid w:val="00F63258"/>
    <w:rsid w:val="00F632E1"/>
    <w:rsid w:val="00F6384D"/>
    <w:rsid w:val="00F6387D"/>
    <w:rsid w:val="00F63922"/>
    <w:rsid w:val="00F639F5"/>
    <w:rsid w:val="00F64353"/>
    <w:rsid w:val="00F658B9"/>
    <w:rsid w:val="00F65C8B"/>
    <w:rsid w:val="00F6613A"/>
    <w:rsid w:val="00F664C1"/>
    <w:rsid w:val="00F66599"/>
    <w:rsid w:val="00F66827"/>
    <w:rsid w:val="00F66A32"/>
    <w:rsid w:val="00F66DE1"/>
    <w:rsid w:val="00F67015"/>
    <w:rsid w:val="00F67913"/>
    <w:rsid w:val="00F67F8C"/>
    <w:rsid w:val="00F70072"/>
    <w:rsid w:val="00F70399"/>
    <w:rsid w:val="00F70762"/>
    <w:rsid w:val="00F70A96"/>
    <w:rsid w:val="00F70B37"/>
    <w:rsid w:val="00F70F5F"/>
    <w:rsid w:val="00F72281"/>
    <w:rsid w:val="00F7325D"/>
    <w:rsid w:val="00F7325E"/>
    <w:rsid w:val="00F73650"/>
    <w:rsid w:val="00F74E02"/>
    <w:rsid w:val="00F75286"/>
    <w:rsid w:val="00F75419"/>
    <w:rsid w:val="00F75730"/>
    <w:rsid w:val="00F7582D"/>
    <w:rsid w:val="00F75FBF"/>
    <w:rsid w:val="00F7611A"/>
    <w:rsid w:val="00F76AC5"/>
    <w:rsid w:val="00F76B92"/>
    <w:rsid w:val="00F76CDD"/>
    <w:rsid w:val="00F776ED"/>
    <w:rsid w:val="00F77A22"/>
    <w:rsid w:val="00F77A93"/>
    <w:rsid w:val="00F77CC2"/>
    <w:rsid w:val="00F801C5"/>
    <w:rsid w:val="00F80277"/>
    <w:rsid w:val="00F80449"/>
    <w:rsid w:val="00F80B9D"/>
    <w:rsid w:val="00F80C2D"/>
    <w:rsid w:val="00F80D35"/>
    <w:rsid w:val="00F811C1"/>
    <w:rsid w:val="00F811F9"/>
    <w:rsid w:val="00F813EF"/>
    <w:rsid w:val="00F8148C"/>
    <w:rsid w:val="00F817BE"/>
    <w:rsid w:val="00F81B6D"/>
    <w:rsid w:val="00F82223"/>
    <w:rsid w:val="00F823A3"/>
    <w:rsid w:val="00F823F4"/>
    <w:rsid w:val="00F82744"/>
    <w:rsid w:val="00F827DB"/>
    <w:rsid w:val="00F82BB5"/>
    <w:rsid w:val="00F82D73"/>
    <w:rsid w:val="00F82E85"/>
    <w:rsid w:val="00F83129"/>
    <w:rsid w:val="00F8354B"/>
    <w:rsid w:val="00F8381B"/>
    <w:rsid w:val="00F83D9D"/>
    <w:rsid w:val="00F83ED9"/>
    <w:rsid w:val="00F83EFF"/>
    <w:rsid w:val="00F8448D"/>
    <w:rsid w:val="00F844F4"/>
    <w:rsid w:val="00F84543"/>
    <w:rsid w:val="00F84984"/>
    <w:rsid w:val="00F849E6"/>
    <w:rsid w:val="00F84B71"/>
    <w:rsid w:val="00F84C77"/>
    <w:rsid w:val="00F850F5"/>
    <w:rsid w:val="00F851F7"/>
    <w:rsid w:val="00F8564D"/>
    <w:rsid w:val="00F8590C"/>
    <w:rsid w:val="00F85F5C"/>
    <w:rsid w:val="00F864F4"/>
    <w:rsid w:val="00F86ECF"/>
    <w:rsid w:val="00F8734B"/>
    <w:rsid w:val="00F87FB7"/>
    <w:rsid w:val="00F90454"/>
    <w:rsid w:val="00F90A3A"/>
    <w:rsid w:val="00F90C47"/>
    <w:rsid w:val="00F91A0F"/>
    <w:rsid w:val="00F927CC"/>
    <w:rsid w:val="00F9287D"/>
    <w:rsid w:val="00F92E46"/>
    <w:rsid w:val="00F933BD"/>
    <w:rsid w:val="00F938CC"/>
    <w:rsid w:val="00F9421D"/>
    <w:rsid w:val="00F9424E"/>
    <w:rsid w:val="00F942B7"/>
    <w:rsid w:val="00F94520"/>
    <w:rsid w:val="00F94AC5"/>
    <w:rsid w:val="00F95381"/>
    <w:rsid w:val="00F957A6"/>
    <w:rsid w:val="00F95C2C"/>
    <w:rsid w:val="00F963F2"/>
    <w:rsid w:val="00F9692A"/>
    <w:rsid w:val="00F97A5D"/>
    <w:rsid w:val="00FA0020"/>
    <w:rsid w:val="00FA01C6"/>
    <w:rsid w:val="00FA033F"/>
    <w:rsid w:val="00FA07B6"/>
    <w:rsid w:val="00FA0F79"/>
    <w:rsid w:val="00FA1150"/>
    <w:rsid w:val="00FA13A6"/>
    <w:rsid w:val="00FA1EAD"/>
    <w:rsid w:val="00FA24F4"/>
    <w:rsid w:val="00FA300A"/>
    <w:rsid w:val="00FA3C01"/>
    <w:rsid w:val="00FA3E41"/>
    <w:rsid w:val="00FA4280"/>
    <w:rsid w:val="00FA461C"/>
    <w:rsid w:val="00FA46B1"/>
    <w:rsid w:val="00FA48B6"/>
    <w:rsid w:val="00FA4915"/>
    <w:rsid w:val="00FA49FD"/>
    <w:rsid w:val="00FA4D1F"/>
    <w:rsid w:val="00FA4FC2"/>
    <w:rsid w:val="00FA5056"/>
    <w:rsid w:val="00FA5096"/>
    <w:rsid w:val="00FA52A4"/>
    <w:rsid w:val="00FA53D6"/>
    <w:rsid w:val="00FA5666"/>
    <w:rsid w:val="00FA58E9"/>
    <w:rsid w:val="00FA6037"/>
    <w:rsid w:val="00FA6571"/>
    <w:rsid w:val="00FA6A5C"/>
    <w:rsid w:val="00FA6F76"/>
    <w:rsid w:val="00FA7127"/>
    <w:rsid w:val="00FA72ED"/>
    <w:rsid w:val="00FA7319"/>
    <w:rsid w:val="00FA7B00"/>
    <w:rsid w:val="00FB0032"/>
    <w:rsid w:val="00FB01C3"/>
    <w:rsid w:val="00FB07E3"/>
    <w:rsid w:val="00FB0D35"/>
    <w:rsid w:val="00FB11C1"/>
    <w:rsid w:val="00FB147F"/>
    <w:rsid w:val="00FB18B5"/>
    <w:rsid w:val="00FB1B4C"/>
    <w:rsid w:val="00FB1CEE"/>
    <w:rsid w:val="00FB1DBB"/>
    <w:rsid w:val="00FB280A"/>
    <w:rsid w:val="00FB45BB"/>
    <w:rsid w:val="00FB4D05"/>
    <w:rsid w:val="00FB56DE"/>
    <w:rsid w:val="00FB596E"/>
    <w:rsid w:val="00FB5AEE"/>
    <w:rsid w:val="00FB5FA4"/>
    <w:rsid w:val="00FB630D"/>
    <w:rsid w:val="00FB653C"/>
    <w:rsid w:val="00FB6779"/>
    <w:rsid w:val="00FB70A1"/>
    <w:rsid w:val="00FB7639"/>
    <w:rsid w:val="00FB7795"/>
    <w:rsid w:val="00FB7DBF"/>
    <w:rsid w:val="00FB7E53"/>
    <w:rsid w:val="00FC0357"/>
    <w:rsid w:val="00FC0393"/>
    <w:rsid w:val="00FC0486"/>
    <w:rsid w:val="00FC0E83"/>
    <w:rsid w:val="00FC0F71"/>
    <w:rsid w:val="00FC1157"/>
    <w:rsid w:val="00FC1630"/>
    <w:rsid w:val="00FC16F5"/>
    <w:rsid w:val="00FC1A59"/>
    <w:rsid w:val="00FC2892"/>
    <w:rsid w:val="00FC30A8"/>
    <w:rsid w:val="00FC3185"/>
    <w:rsid w:val="00FC351F"/>
    <w:rsid w:val="00FC3C84"/>
    <w:rsid w:val="00FC4005"/>
    <w:rsid w:val="00FC4102"/>
    <w:rsid w:val="00FC41F9"/>
    <w:rsid w:val="00FC4A03"/>
    <w:rsid w:val="00FC5138"/>
    <w:rsid w:val="00FC557A"/>
    <w:rsid w:val="00FC558A"/>
    <w:rsid w:val="00FC5BBD"/>
    <w:rsid w:val="00FC5C9F"/>
    <w:rsid w:val="00FC60CE"/>
    <w:rsid w:val="00FC6211"/>
    <w:rsid w:val="00FC63AB"/>
    <w:rsid w:val="00FC63D5"/>
    <w:rsid w:val="00FC6424"/>
    <w:rsid w:val="00FC6F77"/>
    <w:rsid w:val="00FD0559"/>
    <w:rsid w:val="00FD0582"/>
    <w:rsid w:val="00FD0749"/>
    <w:rsid w:val="00FD0BE4"/>
    <w:rsid w:val="00FD1B79"/>
    <w:rsid w:val="00FD1D2B"/>
    <w:rsid w:val="00FD1D6D"/>
    <w:rsid w:val="00FD27CD"/>
    <w:rsid w:val="00FD2F2C"/>
    <w:rsid w:val="00FD2F7E"/>
    <w:rsid w:val="00FD3112"/>
    <w:rsid w:val="00FD3717"/>
    <w:rsid w:val="00FD3C1C"/>
    <w:rsid w:val="00FD3D5B"/>
    <w:rsid w:val="00FD3FB1"/>
    <w:rsid w:val="00FD40FA"/>
    <w:rsid w:val="00FD4E86"/>
    <w:rsid w:val="00FD4F44"/>
    <w:rsid w:val="00FD5084"/>
    <w:rsid w:val="00FD58E7"/>
    <w:rsid w:val="00FD595D"/>
    <w:rsid w:val="00FD6A78"/>
    <w:rsid w:val="00FD6CC6"/>
    <w:rsid w:val="00FD762B"/>
    <w:rsid w:val="00FD7973"/>
    <w:rsid w:val="00FE0129"/>
    <w:rsid w:val="00FE023C"/>
    <w:rsid w:val="00FE030B"/>
    <w:rsid w:val="00FE08A1"/>
    <w:rsid w:val="00FE0F98"/>
    <w:rsid w:val="00FE13F3"/>
    <w:rsid w:val="00FE194F"/>
    <w:rsid w:val="00FE1977"/>
    <w:rsid w:val="00FE1A3C"/>
    <w:rsid w:val="00FE1D58"/>
    <w:rsid w:val="00FE25B3"/>
    <w:rsid w:val="00FE2794"/>
    <w:rsid w:val="00FE2B37"/>
    <w:rsid w:val="00FE3FD7"/>
    <w:rsid w:val="00FE4A7A"/>
    <w:rsid w:val="00FE4EFF"/>
    <w:rsid w:val="00FE5588"/>
    <w:rsid w:val="00FE6198"/>
    <w:rsid w:val="00FE6236"/>
    <w:rsid w:val="00FE691C"/>
    <w:rsid w:val="00FE70BD"/>
    <w:rsid w:val="00FF0073"/>
    <w:rsid w:val="00FF0229"/>
    <w:rsid w:val="00FF101D"/>
    <w:rsid w:val="00FF117D"/>
    <w:rsid w:val="00FF1F18"/>
    <w:rsid w:val="00FF1F97"/>
    <w:rsid w:val="00FF1FEF"/>
    <w:rsid w:val="00FF2730"/>
    <w:rsid w:val="00FF2E6B"/>
    <w:rsid w:val="00FF2F39"/>
    <w:rsid w:val="00FF31B8"/>
    <w:rsid w:val="00FF3256"/>
    <w:rsid w:val="00FF3856"/>
    <w:rsid w:val="00FF3BBD"/>
    <w:rsid w:val="00FF42B3"/>
    <w:rsid w:val="00FF44BC"/>
    <w:rsid w:val="00FF4690"/>
    <w:rsid w:val="00FF4793"/>
    <w:rsid w:val="00FF49A2"/>
    <w:rsid w:val="00FF4DE4"/>
    <w:rsid w:val="00FF501B"/>
    <w:rsid w:val="00FF5443"/>
    <w:rsid w:val="00FF5755"/>
    <w:rsid w:val="00FF5923"/>
    <w:rsid w:val="00FF5BAA"/>
    <w:rsid w:val="00FF6197"/>
    <w:rsid w:val="00FF6C73"/>
    <w:rsid w:val="00FF6ED9"/>
    <w:rsid w:val="00FF70CD"/>
    <w:rsid w:val="00FF7397"/>
    <w:rsid w:val="00FF771E"/>
    <w:rsid w:val="00FF7E5A"/>
    <w:rsid w:val="01507523"/>
    <w:rsid w:val="01652612"/>
    <w:rsid w:val="0179546C"/>
    <w:rsid w:val="01D765B7"/>
    <w:rsid w:val="01E16841"/>
    <w:rsid w:val="023364DE"/>
    <w:rsid w:val="02DA018C"/>
    <w:rsid w:val="02E45A44"/>
    <w:rsid w:val="02EE3C38"/>
    <w:rsid w:val="031F2043"/>
    <w:rsid w:val="032E4CAC"/>
    <w:rsid w:val="034536E0"/>
    <w:rsid w:val="03BB6210"/>
    <w:rsid w:val="03C36E72"/>
    <w:rsid w:val="0405748B"/>
    <w:rsid w:val="04130A9E"/>
    <w:rsid w:val="04240D29"/>
    <w:rsid w:val="057743B8"/>
    <w:rsid w:val="05C72A7A"/>
    <w:rsid w:val="06090101"/>
    <w:rsid w:val="060F15B2"/>
    <w:rsid w:val="066F6E3E"/>
    <w:rsid w:val="06F86A38"/>
    <w:rsid w:val="073D50ED"/>
    <w:rsid w:val="07762B7A"/>
    <w:rsid w:val="077948BA"/>
    <w:rsid w:val="077E518C"/>
    <w:rsid w:val="07B92732"/>
    <w:rsid w:val="08353982"/>
    <w:rsid w:val="08962DDD"/>
    <w:rsid w:val="08D61EA3"/>
    <w:rsid w:val="094C29BB"/>
    <w:rsid w:val="096819FF"/>
    <w:rsid w:val="09970B85"/>
    <w:rsid w:val="09C75A8B"/>
    <w:rsid w:val="09C86956"/>
    <w:rsid w:val="0A8822FF"/>
    <w:rsid w:val="0AA363E8"/>
    <w:rsid w:val="0AB223CA"/>
    <w:rsid w:val="0AFC0F8C"/>
    <w:rsid w:val="0B842725"/>
    <w:rsid w:val="0BC639A4"/>
    <w:rsid w:val="0BDF6813"/>
    <w:rsid w:val="0BE5207C"/>
    <w:rsid w:val="0C051F47"/>
    <w:rsid w:val="0C56100B"/>
    <w:rsid w:val="0C836B36"/>
    <w:rsid w:val="0C9B58C5"/>
    <w:rsid w:val="0D0A78C0"/>
    <w:rsid w:val="0D5618E0"/>
    <w:rsid w:val="0D660D68"/>
    <w:rsid w:val="0D9E6986"/>
    <w:rsid w:val="0DB22C55"/>
    <w:rsid w:val="0E365F26"/>
    <w:rsid w:val="0E4312DC"/>
    <w:rsid w:val="0EAC4035"/>
    <w:rsid w:val="0EC61628"/>
    <w:rsid w:val="0EE63EF6"/>
    <w:rsid w:val="0EF15F0C"/>
    <w:rsid w:val="0EFC7CC0"/>
    <w:rsid w:val="0FE64614"/>
    <w:rsid w:val="100B407B"/>
    <w:rsid w:val="101D790A"/>
    <w:rsid w:val="103C5FE2"/>
    <w:rsid w:val="104355C3"/>
    <w:rsid w:val="1080070D"/>
    <w:rsid w:val="10A20A01"/>
    <w:rsid w:val="10A75419"/>
    <w:rsid w:val="10D62EB9"/>
    <w:rsid w:val="113B742D"/>
    <w:rsid w:val="11C35C80"/>
    <w:rsid w:val="11DA4336"/>
    <w:rsid w:val="12274A70"/>
    <w:rsid w:val="12626F65"/>
    <w:rsid w:val="127E28E2"/>
    <w:rsid w:val="12856951"/>
    <w:rsid w:val="12B5207C"/>
    <w:rsid w:val="12E53817"/>
    <w:rsid w:val="13533D6F"/>
    <w:rsid w:val="135C2863"/>
    <w:rsid w:val="139776A5"/>
    <w:rsid w:val="145A4480"/>
    <w:rsid w:val="15686A8C"/>
    <w:rsid w:val="157946CD"/>
    <w:rsid w:val="16D276A1"/>
    <w:rsid w:val="17874CA3"/>
    <w:rsid w:val="17DF02C7"/>
    <w:rsid w:val="17FA3C23"/>
    <w:rsid w:val="18FD4265"/>
    <w:rsid w:val="19445F08"/>
    <w:rsid w:val="197639DB"/>
    <w:rsid w:val="198475B1"/>
    <w:rsid w:val="19BA5B6F"/>
    <w:rsid w:val="1AB8083A"/>
    <w:rsid w:val="1B5E7C00"/>
    <w:rsid w:val="1BC97D54"/>
    <w:rsid w:val="1C9C63C9"/>
    <w:rsid w:val="1CB17EBE"/>
    <w:rsid w:val="1D08211D"/>
    <w:rsid w:val="1D585C83"/>
    <w:rsid w:val="1D7A0163"/>
    <w:rsid w:val="1D970CFC"/>
    <w:rsid w:val="1DAB7740"/>
    <w:rsid w:val="1DC57B03"/>
    <w:rsid w:val="1DCE074C"/>
    <w:rsid w:val="1DDD6B97"/>
    <w:rsid w:val="1ECE208A"/>
    <w:rsid w:val="1ED02718"/>
    <w:rsid w:val="1EE75CB3"/>
    <w:rsid w:val="1EEC1551"/>
    <w:rsid w:val="1F0D55B7"/>
    <w:rsid w:val="1F830AA6"/>
    <w:rsid w:val="1FAD16F6"/>
    <w:rsid w:val="20521813"/>
    <w:rsid w:val="20661DB4"/>
    <w:rsid w:val="20AF4026"/>
    <w:rsid w:val="215948DB"/>
    <w:rsid w:val="21A37E40"/>
    <w:rsid w:val="220B4CD0"/>
    <w:rsid w:val="22370F4A"/>
    <w:rsid w:val="226D06AC"/>
    <w:rsid w:val="226D2BFA"/>
    <w:rsid w:val="233B1137"/>
    <w:rsid w:val="236267BD"/>
    <w:rsid w:val="23F30609"/>
    <w:rsid w:val="24C06D8A"/>
    <w:rsid w:val="254326FC"/>
    <w:rsid w:val="25501C64"/>
    <w:rsid w:val="25AB4758"/>
    <w:rsid w:val="25E8263E"/>
    <w:rsid w:val="25E93DF2"/>
    <w:rsid w:val="265D1D80"/>
    <w:rsid w:val="268C786C"/>
    <w:rsid w:val="26EF2F1C"/>
    <w:rsid w:val="270023DE"/>
    <w:rsid w:val="2754415F"/>
    <w:rsid w:val="280D0539"/>
    <w:rsid w:val="28DC5CDF"/>
    <w:rsid w:val="293B3BDD"/>
    <w:rsid w:val="296B6D27"/>
    <w:rsid w:val="29F42935"/>
    <w:rsid w:val="2A946CEF"/>
    <w:rsid w:val="2A95102B"/>
    <w:rsid w:val="2AF07D69"/>
    <w:rsid w:val="2B290322"/>
    <w:rsid w:val="2B3D3386"/>
    <w:rsid w:val="2BBE26C7"/>
    <w:rsid w:val="2BCF3D57"/>
    <w:rsid w:val="2BD30577"/>
    <w:rsid w:val="2C2E4F21"/>
    <w:rsid w:val="2C4368D7"/>
    <w:rsid w:val="2C884632"/>
    <w:rsid w:val="2D014DE9"/>
    <w:rsid w:val="2D2B0980"/>
    <w:rsid w:val="2D460049"/>
    <w:rsid w:val="2D8D0BF1"/>
    <w:rsid w:val="2DEC299E"/>
    <w:rsid w:val="2E5B660F"/>
    <w:rsid w:val="2E6E7857"/>
    <w:rsid w:val="2F350375"/>
    <w:rsid w:val="2F667E10"/>
    <w:rsid w:val="30450A8C"/>
    <w:rsid w:val="30E0717E"/>
    <w:rsid w:val="3145604B"/>
    <w:rsid w:val="316E3F10"/>
    <w:rsid w:val="3185460D"/>
    <w:rsid w:val="31941C6F"/>
    <w:rsid w:val="31B91ABD"/>
    <w:rsid w:val="31F14B4C"/>
    <w:rsid w:val="324846EA"/>
    <w:rsid w:val="325E7BE3"/>
    <w:rsid w:val="33A053F7"/>
    <w:rsid w:val="33C87063"/>
    <w:rsid w:val="33DF20C3"/>
    <w:rsid w:val="33FF5056"/>
    <w:rsid w:val="343E3727"/>
    <w:rsid w:val="34411C53"/>
    <w:rsid w:val="344D5BB4"/>
    <w:rsid w:val="34BD24AC"/>
    <w:rsid w:val="34CC52D7"/>
    <w:rsid w:val="34DE57F4"/>
    <w:rsid w:val="356117A6"/>
    <w:rsid w:val="35A05769"/>
    <w:rsid w:val="35D53E0D"/>
    <w:rsid w:val="36121410"/>
    <w:rsid w:val="362C3FE3"/>
    <w:rsid w:val="366753B9"/>
    <w:rsid w:val="36FE706D"/>
    <w:rsid w:val="373347FC"/>
    <w:rsid w:val="37405B09"/>
    <w:rsid w:val="37636C14"/>
    <w:rsid w:val="38324604"/>
    <w:rsid w:val="38893754"/>
    <w:rsid w:val="38CE1473"/>
    <w:rsid w:val="390A2872"/>
    <w:rsid w:val="3979612F"/>
    <w:rsid w:val="399E1A99"/>
    <w:rsid w:val="39B85D92"/>
    <w:rsid w:val="39EE4672"/>
    <w:rsid w:val="3A341FFB"/>
    <w:rsid w:val="3A795207"/>
    <w:rsid w:val="3AA12D62"/>
    <w:rsid w:val="3BEE12F6"/>
    <w:rsid w:val="3BEE7FFC"/>
    <w:rsid w:val="3C2B3112"/>
    <w:rsid w:val="3CAA4B85"/>
    <w:rsid w:val="3D0059ED"/>
    <w:rsid w:val="3D1849CE"/>
    <w:rsid w:val="3D4A754F"/>
    <w:rsid w:val="3DDD0270"/>
    <w:rsid w:val="3DE96EFA"/>
    <w:rsid w:val="3DF37D79"/>
    <w:rsid w:val="3EAB2402"/>
    <w:rsid w:val="3ED644C9"/>
    <w:rsid w:val="3F133585"/>
    <w:rsid w:val="3F3C12AC"/>
    <w:rsid w:val="3F47037C"/>
    <w:rsid w:val="3F6251B6"/>
    <w:rsid w:val="3FEB51AC"/>
    <w:rsid w:val="40370B47"/>
    <w:rsid w:val="40714C35"/>
    <w:rsid w:val="407614ED"/>
    <w:rsid w:val="409650FC"/>
    <w:rsid w:val="40B57568"/>
    <w:rsid w:val="40BE5954"/>
    <w:rsid w:val="40E23195"/>
    <w:rsid w:val="410339C1"/>
    <w:rsid w:val="41123AD5"/>
    <w:rsid w:val="41306AD4"/>
    <w:rsid w:val="41764697"/>
    <w:rsid w:val="418B6F45"/>
    <w:rsid w:val="41BF069E"/>
    <w:rsid w:val="41CA01CB"/>
    <w:rsid w:val="41F93484"/>
    <w:rsid w:val="42966171"/>
    <w:rsid w:val="42BE550D"/>
    <w:rsid w:val="42E0708F"/>
    <w:rsid w:val="43251253"/>
    <w:rsid w:val="434A21E9"/>
    <w:rsid w:val="437A749C"/>
    <w:rsid w:val="43820299"/>
    <w:rsid w:val="438F47B6"/>
    <w:rsid w:val="43AD5192"/>
    <w:rsid w:val="43F90C68"/>
    <w:rsid w:val="44004F9E"/>
    <w:rsid w:val="44BC521D"/>
    <w:rsid w:val="44FA2566"/>
    <w:rsid w:val="45533A0C"/>
    <w:rsid w:val="4574179F"/>
    <w:rsid w:val="45800144"/>
    <w:rsid w:val="45F87147"/>
    <w:rsid w:val="465B08D6"/>
    <w:rsid w:val="46702D55"/>
    <w:rsid w:val="46B61944"/>
    <w:rsid w:val="4747224F"/>
    <w:rsid w:val="47AD058F"/>
    <w:rsid w:val="47AD2AB5"/>
    <w:rsid w:val="47D5382D"/>
    <w:rsid w:val="483316D6"/>
    <w:rsid w:val="48585B79"/>
    <w:rsid w:val="486378A9"/>
    <w:rsid w:val="48685043"/>
    <w:rsid w:val="48F61B8E"/>
    <w:rsid w:val="492423DD"/>
    <w:rsid w:val="49311153"/>
    <w:rsid w:val="498867F3"/>
    <w:rsid w:val="49A247A8"/>
    <w:rsid w:val="4A123335"/>
    <w:rsid w:val="4A40172F"/>
    <w:rsid w:val="4A8835F7"/>
    <w:rsid w:val="4A8F738D"/>
    <w:rsid w:val="4B122567"/>
    <w:rsid w:val="4C016D28"/>
    <w:rsid w:val="4C8670D9"/>
    <w:rsid w:val="4D113D78"/>
    <w:rsid w:val="4D662E47"/>
    <w:rsid w:val="4DB766CD"/>
    <w:rsid w:val="4DF06083"/>
    <w:rsid w:val="4DF95DA3"/>
    <w:rsid w:val="4E3079AE"/>
    <w:rsid w:val="4E361CE8"/>
    <w:rsid w:val="4E87073A"/>
    <w:rsid w:val="4EE2777A"/>
    <w:rsid w:val="4F3C316A"/>
    <w:rsid w:val="5010139D"/>
    <w:rsid w:val="50693C5D"/>
    <w:rsid w:val="509B0528"/>
    <w:rsid w:val="50FE5454"/>
    <w:rsid w:val="51061718"/>
    <w:rsid w:val="51750D79"/>
    <w:rsid w:val="517A013D"/>
    <w:rsid w:val="51E74EB4"/>
    <w:rsid w:val="52634F5B"/>
    <w:rsid w:val="52CD0691"/>
    <w:rsid w:val="535F4B1A"/>
    <w:rsid w:val="53A117D6"/>
    <w:rsid w:val="54BD2562"/>
    <w:rsid w:val="54F71AA5"/>
    <w:rsid w:val="5537598E"/>
    <w:rsid w:val="556C71EF"/>
    <w:rsid w:val="55F95E24"/>
    <w:rsid w:val="560E70A6"/>
    <w:rsid w:val="56186177"/>
    <w:rsid w:val="566F1586"/>
    <w:rsid w:val="56706A5B"/>
    <w:rsid w:val="56957F7A"/>
    <w:rsid w:val="57634012"/>
    <w:rsid w:val="582B1E93"/>
    <w:rsid w:val="583974C5"/>
    <w:rsid w:val="584B2834"/>
    <w:rsid w:val="58862678"/>
    <w:rsid w:val="59701E26"/>
    <w:rsid w:val="59926240"/>
    <w:rsid w:val="5A420BA5"/>
    <w:rsid w:val="5B1F4D72"/>
    <w:rsid w:val="5B79314C"/>
    <w:rsid w:val="5B8C0600"/>
    <w:rsid w:val="5BD627C2"/>
    <w:rsid w:val="5BFF5A6F"/>
    <w:rsid w:val="5C0D1BAE"/>
    <w:rsid w:val="5C1C45D6"/>
    <w:rsid w:val="5C446212"/>
    <w:rsid w:val="5C654266"/>
    <w:rsid w:val="5C94798F"/>
    <w:rsid w:val="5C9C0C97"/>
    <w:rsid w:val="5CA805CA"/>
    <w:rsid w:val="5CAA2469"/>
    <w:rsid w:val="5CFD2E97"/>
    <w:rsid w:val="5DC7688B"/>
    <w:rsid w:val="5E0B5606"/>
    <w:rsid w:val="5E655CD1"/>
    <w:rsid w:val="5F2D7963"/>
    <w:rsid w:val="5F5F08FF"/>
    <w:rsid w:val="5FA675A0"/>
    <w:rsid w:val="60114363"/>
    <w:rsid w:val="603A6442"/>
    <w:rsid w:val="605173CF"/>
    <w:rsid w:val="6090433F"/>
    <w:rsid w:val="60F9091E"/>
    <w:rsid w:val="6109503A"/>
    <w:rsid w:val="616C5710"/>
    <w:rsid w:val="62225316"/>
    <w:rsid w:val="6273106E"/>
    <w:rsid w:val="62D417C9"/>
    <w:rsid w:val="62E21FE6"/>
    <w:rsid w:val="637C7D45"/>
    <w:rsid w:val="637F50F1"/>
    <w:rsid w:val="63B05C41"/>
    <w:rsid w:val="643A375C"/>
    <w:rsid w:val="643B2E62"/>
    <w:rsid w:val="64632CB3"/>
    <w:rsid w:val="647D46D9"/>
    <w:rsid w:val="64FF6F4D"/>
    <w:rsid w:val="65B86991"/>
    <w:rsid w:val="66065D38"/>
    <w:rsid w:val="666E2599"/>
    <w:rsid w:val="66D505DD"/>
    <w:rsid w:val="66F47025"/>
    <w:rsid w:val="67416AC1"/>
    <w:rsid w:val="67714745"/>
    <w:rsid w:val="677F3143"/>
    <w:rsid w:val="67A535E2"/>
    <w:rsid w:val="67C717AB"/>
    <w:rsid w:val="67F307F2"/>
    <w:rsid w:val="68120FE3"/>
    <w:rsid w:val="685D2769"/>
    <w:rsid w:val="68FA6492"/>
    <w:rsid w:val="69324B5A"/>
    <w:rsid w:val="694D0442"/>
    <w:rsid w:val="699B5D29"/>
    <w:rsid w:val="6A81039B"/>
    <w:rsid w:val="6AA15AAC"/>
    <w:rsid w:val="6B2B4CB3"/>
    <w:rsid w:val="6BB807F9"/>
    <w:rsid w:val="6BE50451"/>
    <w:rsid w:val="6BEA7926"/>
    <w:rsid w:val="6C2C6F52"/>
    <w:rsid w:val="6CAD71C1"/>
    <w:rsid w:val="6CF64F42"/>
    <w:rsid w:val="6D162FB8"/>
    <w:rsid w:val="6D1A3308"/>
    <w:rsid w:val="6D31109F"/>
    <w:rsid w:val="6D3C11BC"/>
    <w:rsid w:val="6D4F64CA"/>
    <w:rsid w:val="6D943526"/>
    <w:rsid w:val="6DA92C5D"/>
    <w:rsid w:val="6E594670"/>
    <w:rsid w:val="6F502086"/>
    <w:rsid w:val="6FC53D14"/>
    <w:rsid w:val="6FDF159B"/>
    <w:rsid w:val="6FFC4D49"/>
    <w:rsid w:val="70040B47"/>
    <w:rsid w:val="702335EA"/>
    <w:rsid w:val="703919A6"/>
    <w:rsid w:val="703A5210"/>
    <w:rsid w:val="7048428E"/>
    <w:rsid w:val="705D4A5A"/>
    <w:rsid w:val="7060279C"/>
    <w:rsid w:val="70D80585"/>
    <w:rsid w:val="713C5A6A"/>
    <w:rsid w:val="71E974D9"/>
    <w:rsid w:val="71EA0C35"/>
    <w:rsid w:val="71F65DB0"/>
    <w:rsid w:val="72473BE1"/>
    <w:rsid w:val="72781384"/>
    <w:rsid w:val="73AA445A"/>
    <w:rsid w:val="74137BE7"/>
    <w:rsid w:val="74542618"/>
    <w:rsid w:val="745E5366"/>
    <w:rsid w:val="748F391F"/>
    <w:rsid w:val="74C52200"/>
    <w:rsid w:val="74E801AB"/>
    <w:rsid w:val="76BF646F"/>
    <w:rsid w:val="76F56929"/>
    <w:rsid w:val="77C86B47"/>
    <w:rsid w:val="78075205"/>
    <w:rsid w:val="78895EDA"/>
    <w:rsid w:val="78915BE9"/>
    <w:rsid w:val="78A86E4D"/>
    <w:rsid w:val="78C63395"/>
    <w:rsid w:val="79294E1E"/>
    <w:rsid w:val="7993773F"/>
    <w:rsid w:val="79CB01C3"/>
    <w:rsid w:val="79D5391C"/>
    <w:rsid w:val="79ED0E82"/>
    <w:rsid w:val="79EE2A5F"/>
    <w:rsid w:val="7A5F5873"/>
    <w:rsid w:val="7A721A4A"/>
    <w:rsid w:val="7B2166DE"/>
    <w:rsid w:val="7B457447"/>
    <w:rsid w:val="7B494A37"/>
    <w:rsid w:val="7B5D0004"/>
    <w:rsid w:val="7B9154C5"/>
    <w:rsid w:val="7BBD0AA3"/>
    <w:rsid w:val="7CE34539"/>
    <w:rsid w:val="7D194DBF"/>
    <w:rsid w:val="7D7864E4"/>
    <w:rsid w:val="7DB36601"/>
    <w:rsid w:val="7E1F3FB4"/>
    <w:rsid w:val="7E2E484E"/>
    <w:rsid w:val="7E3239CA"/>
    <w:rsid w:val="7E6022CB"/>
    <w:rsid w:val="7E6D241B"/>
    <w:rsid w:val="7F211349"/>
    <w:rsid w:val="7FA65F75"/>
    <w:rsid w:val="7FCE4BA3"/>
    <w:rsid w:val="7FDD5B6B"/>
    <w:rsid w:val="7FE84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qFormat="1" w:unhideWhenUsed="0" w:uiPriority="99" w:semiHidden="0" w:name="Note Heading"/>
    <w:lsdException w:qFormat="1" w:unhideWhenUsed="0"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0" w:semiHidden="0" w:name="Normal (Web)"/>
    <w:lsdException w:qFormat="1" w:unhideWhenUsed="0" w:uiPriority="0" w:semiHidden="0" w:name="HTML Acronym"/>
    <w:lsdException w:qFormat="1" w:unhideWhenUsed="0" w:uiPriority="99"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qFormat="1" w:unhideWhenUsed="0" w:uiPriority="99" w:semiHidden="0" w:name="Table Simple 1"/>
    <w:lsdException w:qFormat="1" w:unhideWhenUsed="0" w:uiPriority="0" w:semiHidden="0" w:name="Table Simple 2"/>
    <w:lsdException w:qFormat="1" w:unhideWhenUsed="0" w:uiPriority="0" w:semiHidden="0" w:name="Table Simple 3"/>
    <w:lsdException w:qFormat="1" w:unhideWhenUsed="0" w:uiPriority="99"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semiHidden="0" w:name="Balloon Text"/>
    <w:lsdException w:qFormat="1" w:unhideWhenUsed="0" w:uiPriority="3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55"/>
    <w:qFormat/>
    <w:uiPriority w:val="99"/>
    <w:pPr>
      <w:keepNext/>
      <w:keepLines/>
      <w:outlineLvl w:val="0"/>
    </w:pPr>
    <w:rPr>
      <w:b/>
      <w:bCs/>
      <w:kern w:val="44"/>
      <w:sz w:val="30"/>
      <w:szCs w:val="44"/>
    </w:rPr>
  </w:style>
  <w:style w:type="paragraph" w:styleId="4">
    <w:name w:val="heading 2"/>
    <w:basedOn w:val="1"/>
    <w:next w:val="1"/>
    <w:link w:val="156"/>
    <w:qFormat/>
    <w:uiPriority w:val="0"/>
    <w:pPr>
      <w:keepNext/>
      <w:keepLines/>
      <w:spacing w:before="120" w:after="120"/>
      <w:outlineLvl w:val="1"/>
    </w:pPr>
    <w:rPr>
      <w:b/>
      <w:bCs/>
      <w:sz w:val="28"/>
      <w:szCs w:val="32"/>
    </w:rPr>
  </w:style>
  <w:style w:type="paragraph" w:styleId="5">
    <w:name w:val="heading 3"/>
    <w:basedOn w:val="1"/>
    <w:next w:val="1"/>
    <w:link w:val="157"/>
    <w:qFormat/>
    <w:uiPriority w:val="0"/>
    <w:pPr>
      <w:keepNext/>
      <w:keepLines/>
      <w:spacing w:before="120" w:after="120"/>
      <w:outlineLvl w:val="2"/>
    </w:pPr>
    <w:rPr>
      <w:b/>
      <w:bCs/>
      <w:szCs w:val="32"/>
    </w:rPr>
  </w:style>
  <w:style w:type="paragraph" w:styleId="6">
    <w:name w:val="heading 4"/>
    <w:basedOn w:val="1"/>
    <w:next w:val="1"/>
    <w:link w:val="158"/>
    <w:qFormat/>
    <w:uiPriority w:val="0"/>
    <w:pPr>
      <w:keepNext/>
      <w:keepLines/>
      <w:spacing w:before="120" w:after="120" w:line="500" w:lineRule="atLeast"/>
      <w:outlineLvl w:val="3"/>
    </w:pPr>
    <w:rPr>
      <w:b/>
      <w:bCs/>
      <w:szCs w:val="28"/>
    </w:rPr>
  </w:style>
  <w:style w:type="paragraph" w:styleId="7">
    <w:name w:val="heading 5"/>
    <w:basedOn w:val="1"/>
    <w:next w:val="1"/>
    <w:link w:val="159"/>
    <w:qFormat/>
    <w:uiPriority w:val="0"/>
    <w:pPr>
      <w:keepNext/>
      <w:keepLines/>
      <w:outlineLvl w:val="4"/>
    </w:pPr>
    <w:rPr>
      <w:b/>
      <w:bCs/>
      <w:szCs w:val="28"/>
    </w:rPr>
  </w:style>
  <w:style w:type="paragraph" w:styleId="8">
    <w:name w:val="heading 6"/>
    <w:basedOn w:val="1"/>
    <w:next w:val="1"/>
    <w:link w:val="160"/>
    <w:qFormat/>
    <w:uiPriority w:val="0"/>
    <w:pPr>
      <w:keepNext/>
      <w:keepLines/>
      <w:spacing w:before="240" w:after="64" w:line="320" w:lineRule="auto"/>
      <w:ind w:left="1152" w:hanging="432"/>
      <w:outlineLvl w:val="5"/>
    </w:pPr>
    <w:rPr>
      <w:rFonts w:ascii="Cambria" w:hAnsi="Cambria"/>
      <w:b/>
      <w:bCs/>
    </w:rPr>
  </w:style>
  <w:style w:type="paragraph" w:styleId="9">
    <w:name w:val="heading 7"/>
    <w:basedOn w:val="1"/>
    <w:next w:val="1"/>
    <w:link w:val="161"/>
    <w:qFormat/>
    <w:uiPriority w:val="99"/>
    <w:pPr>
      <w:keepNext/>
      <w:keepLines/>
      <w:spacing w:before="240" w:after="64" w:line="320" w:lineRule="auto"/>
      <w:ind w:left="1296" w:hanging="288"/>
      <w:outlineLvl w:val="6"/>
    </w:pPr>
    <w:rPr>
      <w:b/>
      <w:bCs/>
    </w:rPr>
  </w:style>
  <w:style w:type="paragraph" w:styleId="10">
    <w:name w:val="heading 8"/>
    <w:basedOn w:val="1"/>
    <w:next w:val="1"/>
    <w:link w:val="162"/>
    <w:qFormat/>
    <w:uiPriority w:val="0"/>
    <w:pPr>
      <w:keepNext/>
      <w:keepLines/>
      <w:spacing w:before="240" w:after="64" w:line="320" w:lineRule="auto"/>
      <w:ind w:left="1440" w:hanging="432"/>
      <w:outlineLvl w:val="7"/>
    </w:pPr>
    <w:rPr>
      <w:rFonts w:ascii="Cambria" w:hAnsi="Cambria"/>
    </w:rPr>
  </w:style>
  <w:style w:type="paragraph" w:styleId="11">
    <w:name w:val="heading 9"/>
    <w:basedOn w:val="1"/>
    <w:next w:val="1"/>
    <w:link w:val="163"/>
    <w:qFormat/>
    <w:uiPriority w:val="0"/>
    <w:pPr>
      <w:keepNext/>
      <w:keepLines/>
      <w:spacing w:before="240" w:after="64" w:line="320" w:lineRule="auto"/>
      <w:ind w:left="1584" w:hanging="144"/>
      <w:outlineLvl w:val="8"/>
    </w:pPr>
    <w:rPr>
      <w:rFonts w:ascii="Cambria" w:hAnsi="Cambria"/>
      <w:sz w:val="21"/>
      <w:szCs w:val="21"/>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64"/>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spacing w:line="240" w:lineRule="auto"/>
      <w:ind w:left="100" w:leftChars="400" w:hanging="200" w:hangingChars="200"/>
    </w:pPr>
    <w:rPr>
      <w:rFonts w:ascii="仿宋_GB2312" w:hAnsi="宋体" w:eastAsia="仿宋_GB2312"/>
      <w:sz w:val="28"/>
    </w:rPr>
  </w:style>
  <w:style w:type="paragraph" w:styleId="13">
    <w:name w:val="toc 7"/>
    <w:basedOn w:val="1"/>
    <w:next w:val="1"/>
    <w:unhideWhenUsed/>
    <w:qFormat/>
    <w:uiPriority w:val="39"/>
    <w:pPr>
      <w:spacing w:line="240" w:lineRule="auto"/>
      <w:ind w:left="2520" w:leftChars="1200"/>
    </w:pPr>
    <w:rPr>
      <w:rFonts w:ascii="Calibri" w:hAnsi="Calibri"/>
      <w:sz w:val="21"/>
    </w:rPr>
  </w:style>
  <w:style w:type="paragraph" w:styleId="14">
    <w:name w:val="List Number 2"/>
    <w:basedOn w:val="1"/>
    <w:qFormat/>
    <w:uiPriority w:val="0"/>
    <w:pPr>
      <w:tabs>
        <w:tab w:val="left" w:pos="780"/>
      </w:tabs>
      <w:ind w:left="780" w:leftChars="200" w:hanging="360" w:hangingChars="200"/>
    </w:pPr>
    <w:rPr>
      <w:rFonts w:ascii="仿宋_GB2312" w:eastAsia="仿宋_GB2312"/>
      <w:sz w:val="28"/>
      <w:szCs w:val="20"/>
    </w:rPr>
  </w:style>
  <w:style w:type="paragraph" w:styleId="15">
    <w:name w:val="table of authorities"/>
    <w:basedOn w:val="1"/>
    <w:next w:val="1"/>
    <w:qFormat/>
    <w:uiPriority w:val="0"/>
    <w:pPr>
      <w:spacing w:line="240" w:lineRule="auto"/>
      <w:ind w:left="420" w:leftChars="200"/>
    </w:pPr>
    <w:rPr>
      <w:sz w:val="21"/>
    </w:rPr>
  </w:style>
  <w:style w:type="paragraph" w:styleId="16">
    <w:name w:val="Note Heading"/>
    <w:basedOn w:val="1"/>
    <w:next w:val="1"/>
    <w:link w:val="255"/>
    <w:qFormat/>
    <w:uiPriority w:val="99"/>
    <w:pPr>
      <w:spacing w:line="240" w:lineRule="auto"/>
      <w:jc w:val="center"/>
    </w:pPr>
    <w:rPr>
      <w:sz w:val="21"/>
      <w:szCs w:val="20"/>
      <w:lang w:val="zh-CN"/>
    </w:rPr>
  </w:style>
  <w:style w:type="paragraph" w:styleId="17">
    <w:name w:val="List Bullet 4"/>
    <w:basedOn w:val="1"/>
    <w:qFormat/>
    <w:uiPriority w:val="0"/>
    <w:pPr>
      <w:tabs>
        <w:tab w:val="left" w:pos="1620"/>
      </w:tabs>
      <w:ind w:left="1620" w:leftChars="600" w:hanging="360" w:hangingChars="200"/>
    </w:pPr>
    <w:rPr>
      <w:rFonts w:ascii="仿宋_GB2312" w:eastAsia="仿宋_GB2312"/>
      <w:sz w:val="28"/>
      <w:szCs w:val="20"/>
    </w:rPr>
  </w:style>
  <w:style w:type="paragraph" w:styleId="18">
    <w:name w:val="index 8"/>
    <w:basedOn w:val="1"/>
    <w:next w:val="1"/>
    <w:qFormat/>
    <w:uiPriority w:val="0"/>
    <w:pPr>
      <w:spacing w:line="240" w:lineRule="auto"/>
      <w:ind w:left="1400" w:leftChars="1400"/>
    </w:pPr>
    <w:rPr>
      <w:sz w:val="21"/>
    </w:rPr>
  </w:style>
  <w:style w:type="paragraph" w:styleId="19">
    <w:name w:val="E-mail Signature"/>
    <w:basedOn w:val="1"/>
    <w:link w:val="570"/>
    <w:qFormat/>
    <w:uiPriority w:val="99"/>
    <w:rPr>
      <w:rFonts w:ascii="仿宋_GB2312" w:eastAsia="仿宋_GB2312"/>
      <w:sz w:val="28"/>
      <w:szCs w:val="20"/>
      <w:lang w:val="zh-CN"/>
    </w:rPr>
  </w:style>
  <w:style w:type="paragraph" w:styleId="20">
    <w:name w:val="List Number"/>
    <w:basedOn w:val="1"/>
    <w:qFormat/>
    <w:uiPriority w:val="0"/>
    <w:pPr>
      <w:tabs>
        <w:tab w:val="left" w:pos="360"/>
      </w:tabs>
      <w:spacing w:line="240" w:lineRule="auto"/>
      <w:ind w:left="360" w:hanging="360"/>
    </w:pPr>
    <w:rPr>
      <w:sz w:val="21"/>
    </w:rPr>
  </w:style>
  <w:style w:type="paragraph" w:styleId="21">
    <w:name w:val="Normal Indent"/>
    <w:basedOn w:val="1"/>
    <w:qFormat/>
    <w:uiPriority w:val="0"/>
    <w:pPr>
      <w:spacing w:line="240" w:lineRule="auto"/>
      <w:ind w:firstLine="420"/>
    </w:pPr>
    <w:rPr>
      <w:sz w:val="21"/>
    </w:rPr>
  </w:style>
  <w:style w:type="paragraph" w:styleId="22">
    <w:name w:val="caption"/>
    <w:basedOn w:val="1"/>
    <w:next w:val="1"/>
    <w:link w:val="328"/>
    <w:qFormat/>
    <w:uiPriority w:val="0"/>
    <w:pPr>
      <w:tabs>
        <w:tab w:val="center" w:pos="10467"/>
        <w:tab w:val="left" w:pos="13095"/>
      </w:tabs>
      <w:jc w:val="center"/>
    </w:pPr>
    <w:rPr>
      <w:rFonts w:ascii="Arial" w:hAnsi="Arial" w:cs="Arial"/>
      <w:b/>
    </w:rPr>
  </w:style>
  <w:style w:type="paragraph" w:styleId="23">
    <w:name w:val="index 5"/>
    <w:basedOn w:val="1"/>
    <w:next w:val="1"/>
    <w:qFormat/>
    <w:uiPriority w:val="0"/>
    <w:pPr>
      <w:spacing w:line="240" w:lineRule="auto"/>
      <w:ind w:left="800" w:leftChars="800"/>
    </w:pPr>
    <w:rPr>
      <w:sz w:val="21"/>
    </w:rPr>
  </w:style>
  <w:style w:type="paragraph" w:styleId="24">
    <w:name w:val="List Bullet"/>
    <w:basedOn w:val="1"/>
    <w:qFormat/>
    <w:uiPriority w:val="0"/>
    <w:pPr>
      <w:tabs>
        <w:tab w:val="left" w:pos="360"/>
      </w:tabs>
      <w:spacing w:line="240" w:lineRule="auto"/>
      <w:ind w:left="360" w:hanging="360"/>
    </w:pPr>
    <w:rPr>
      <w:sz w:val="21"/>
    </w:rPr>
  </w:style>
  <w:style w:type="paragraph" w:styleId="25">
    <w:name w:val="envelope address"/>
    <w:basedOn w:val="1"/>
    <w:qFormat/>
    <w:uiPriority w:val="0"/>
    <w:pPr>
      <w:framePr w:w="7920" w:h="1980" w:hRule="exact" w:hSpace="180" w:wrap="around" w:vAnchor="margin" w:hAnchor="page" w:xAlign="center" w:yAlign="bottom"/>
      <w:ind w:left="100" w:leftChars="1400"/>
    </w:pPr>
    <w:rPr>
      <w:rFonts w:ascii="Arial" w:hAnsi="Arial" w:eastAsia="仿宋_GB2312" w:cs="Arial"/>
    </w:rPr>
  </w:style>
  <w:style w:type="paragraph" w:styleId="26">
    <w:name w:val="Document Map"/>
    <w:basedOn w:val="1"/>
    <w:link w:val="417"/>
    <w:qFormat/>
    <w:uiPriority w:val="99"/>
    <w:pPr>
      <w:shd w:val="clear" w:color="auto" w:fill="000080"/>
    </w:pPr>
  </w:style>
  <w:style w:type="paragraph" w:styleId="27">
    <w:name w:val="toa heading"/>
    <w:basedOn w:val="1"/>
    <w:next w:val="1"/>
    <w:qFormat/>
    <w:uiPriority w:val="0"/>
    <w:pPr>
      <w:spacing w:after="120" w:line="320" w:lineRule="atLeast"/>
      <w:jc w:val="center"/>
    </w:pPr>
    <w:rPr>
      <w:sz w:val="28"/>
      <w:szCs w:val="20"/>
    </w:rPr>
  </w:style>
  <w:style w:type="paragraph" w:styleId="28">
    <w:name w:val="annotation text"/>
    <w:basedOn w:val="1"/>
    <w:link w:val="177"/>
    <w:unhideWhenUsed/>
    <w:qFormat/>
    <w:uiPriority w:val="0"/>
    <w:pPr>
      <w:jc w:val="left"/>
    </w:pPr>
    <w:rPr>
      <w:szCs w:val="22"/>
    </w:rPr>
  </w:style>
  <w:style w:type="paragraph" w:styleId="29">
    <w:name w:val="index 6"/>
    <w:basedOn w:val="1"/>
    <w:next w:val="1"/>
    <w:qFormat/>
    <w:uiPriority w:val="0"/>
    <w:pPr>
      <w:spacing w:line="240" w:lineRule="auto"/>
      <w:ind w:left="1000" w:leftChars="1000"/>
    </w:pPr>
    <w:rPr>
      <w:sz w:val="21"/>
    </w:rPr>
  </w:style>
  <w:style w:type="paragraph" w:styleId="30">
    <w:name w:val="Salutation"/>
    <w:basedOn w:val="1"/>
    <w:next w:val="1"/>
    <w:link w:val="569"/>
    <w:qFormat/>
    <w:uiPriority w:val="99"/>
    <w:rPr>
      <w:rFonts w:ascii="仿宋_GB2312" w:eastAsia="仿宋_GB2312"/>
      <w:sz w:val="28"/>
      <w:szCs w:val="20"/>
      <w:lang w:val="zh-CN"/>
    </w:rPr>
  </w:style>
  <w:style w:type="paragraph" w:styleId="31">
    <w:name w:val="Body Text 3"/>
    <w:basedOn w:val="1"/>
    <w:link w:val="432"/>
    <w:qFormat/>
    <w:uiPriority w:val="99"/>
    <w:pPr>
      <w:spacing w:after="120" w:line="240" w:lineRule="auto"/>
    </w:pPr>
    <w:rPr>
      <w:sz w:val="16"/>
      <w:szCs w:val="16"/>
      <w:lang w:val="zh-CN"/>
    </w:rPr>
  </w:style>
  <w:style w:type="paragraph" w:styleId="32">
    <w:name w:val="Closing"/>
    <w:basedOn w:val="1"/>
    <w:link w:val="571"/>
    <w:qFormat/>
    <w:uiPriority w:val="99"/>
    <w:pPr>
      <w:ind w:left="100" w:leftChars="2100"/>
    </w:pPr>
    <w:rPr>
      <w:rFonts w:ascii="仿宋_GB2312" w:eastAsia="仿宋_GB2312"/>
      <w:sz w:val="28"/>
      <w:szCs w:val="20"/>
      <w:lang w:val="zh-CN"/>
    </w:rPr>
  </w:style>
  <w:style w:type="paragraph" w:styleId="33">
    <w:name w:val="List Bullet 3"/>
    <w:basedOn w:val="1"/>
    <w:qFormat/>
    <w:uiPriority w:val="0"/>
    <w:pPr>
      <w:tabs>
        <w:tab w:val="left" w:pos="1200"/>
      </w:tabs>
      <w:ind w:left="1200" w:leftChars="400" w:hanging="360" w:hangingChars="200"/>
    </w:pPr>
    <w:rPr>
      <w:rFonts w:ascii="仿宋_GB2312" w:eastAsia="仿宋_GB2312"/>
      <w:sz w:val="28"/>
      <w:szCs w:val="20"/>
    </w:rPr>
  </w:style>
  <w:style w:type="paragraph" w:styleId="34">
    <w:name w:val="Body Text"/>
    <w:basedOn w:val="1"/>
    <w:next w:val="1"/>
    <w:link w:val="433"/>
    <w:unhideWhenUsed/>
    <w:qFormat/>
    <w:uiPriority w:val="0"/>
    <w:pPr>
      <w:spacing w:after="120"/>
    </w:pPr>
  </w:style>
  <w:style w:type="paragraph" w:styleId="35">
    <w:name w:val="Body Text Indent"/>
    <w:basedOn w:val="1"/>
    <w:link w:val="242"/>
    <w:qFormat/>
    <w:uiPriority w:val="0"/>
    <w:pPr>
      <w:spacing w:line="240" w:lineRule="auto"/>
      <w:ind w:left="202" w:hanging="202" w:hangingChars="96"/>
    </w:pPr>
    <w:rPr>
      <w:sz w:val="21"/>
    </w:rPr>
  </w:style>
  <w:style w:type="paragraph" w:styleId="36">
    <w:name w:val="List Number 3"/>
    <w:basedOn w:val="1"/>
    <w:qFormat/>
    <w:uiPriority w:val="0"/>
    <w:pPr>
      <w:tabs>
        <w:tab w:val="left" w:pos="1200"/>
      </w:tabs>
      <w:ind w:left="1200" w:leftChars="400" w:hanging="360" w:hangingChars="200"/>
    </w:pPr>
    <w:rPr>
      <w:rFonts w:ascii="仿宋_GB2312" w:eastAsia="仿宋_GB2312"/>
      <w:sz w:val="28"/>
      <w:szCs w:val="20"/>
    </w:rPr>
  </w:style>
  <w:style w:type="paragraph" w:styleId="37">
    <w:name w:val="List 2"/>
    <w:basedOn w:val="1"/>
    <w:qFormat/>
    <w:uiPriority w:val="0"/>
    <w:pPr>
      <w:spacing w:line="240" w:lineRule="auto"/>
      <w:ind w:left="100" w:leftChars="200" w:hanging="200" w:hangingChars="200"/>
    </w:pPr>
    <w:rPr>
      <w:sz w:val="21"/>
    </w:rPr>
  </w:style>
  <w:style w:type="paragraph" w:styleId="38">
    <w:name w:val="List Continue"/>
    <w:basedOn w:val="1"/>
    <w:qFormat/>
    <w:uiPriority w:val="0"/>
    <w:pPr>
      <w:spacing w:after="120"/>
      <w:ind w:left="420" w:leftChars="200"/>
    </w:pPr>
    <w:rPr>
      <w:rFonts w:ascii="仿宋_GB2312" w:eastAsia="仿宋_GB2312"/>
      <w:sz w:val="28"/>
      <w:szCs w:val="20"/>
    </w:rPr>
  </w:style>
  <w:style w:type="paragraph" w:styleId="39">
    <w:name w:val="Block Text"/>
    <w:basedOn w:val="1"/>
    <w:qFormat/>
    <w:uiPriority w:val="0"/>
    <w:pPr>
      <w:spacing w:line="320" w:lineRule="atLeast"/>
      <w:ind w:left="780" w:right="57" w:hanging="60"/>
      <w:jc w:val="center"/>
    </w:pPr>
    <w:rPr>
      <w:rFonts w:ascii="宋体"/>
      <w:sz w:val="21"/>
      <w:szCs w:val="20"/>
    </w:rPr>
  </w:style>
  <w:style w:type="paragraph" w:styleId="40">
    <w:name w:val="List Bullet 2"/>
    <w:basedOn w:val="1"/>
    <w:qFormat/>
    <w:uiPriority w:val="0"/>
    <w:pPr>
      <w:tabs>
        <w:tab w:val="left" w:pos="780"/>
      </w:tabs>
      <w:spacing w:line="240" w:lineRule="atLeast"/>
      <w:ind w:left="780" w:hanging="360"/>
      <w:jc w:val="left"/>
      <w:textAlignment w:val="baseline"/>
    </w:pPr>
    <w:rPr>
      <w:rFonts w:ascii="宋体"/>
      <w:kern w:val="0"/>
      <w:sz w:val="34"/>
      <w:szCs w:val="34"/>
    </w:rPr>
  </w:style>
  <w:style w:type="paragraph" w:styleId="41">
    <w:name w:val="HTML Address"/>
    <w:basedOn w:val="1"/>
    <w:link w:val="469"/>
    <w:qFormat/>
    <w:uiPriority w:val="99"/>
    <w:rPr>
      <w:rFonts w:ascii="仿宋_GB2312" w:eastAsia="仿宋_GB2312"/>
      <w:i/>
      <w:iCs/>
      <w:sz w:val="28"/>
      <w:szCs w:val="20"/>
      <w:lang w:val="zh-CN"/>
    </w:rPr>
  </w:style>
  <w:style w:type="paragraph" w:styleId="42">
    <w:name w:val="index 4"/>
    <w:basedOn w:val="1"/>
    <w:next w:val="1"/>
    <w:qFormat/>
    <w:uiPriority w:val="0"/>
    <w:pPr>
      <w:spacing w:line="240" w:lineRule="auto"/>
      <w:ind w:left="600" w:leftChars="600"/>
    </w:pPr>
    <w:rPr>
      <w:sz w:val="21"/>
    </w:rPr>
  </w:style>
  <w:style w:type="paragraph" w:styleId="43">
    <w:name w:val="toc 5"/>
    <w:basedOn w:val="1"/>
    <w:next w:val="1"/>
    <w:unhideWhenUsed/>
    <w:qFormat/>
    <w:uiPriority w:val="39"/>
    <w:pPr>
      <w:spacing w:line="240" w:lineRule="auto"/>
      <w:ind w:left="1680" w:leftChars="800"/>
    </w:pPr>
    <w:rPr>
      <w:rFonts w:ascii="Calibri" w:hAnsi="Calibri"/>
      <w:sz w:val="21"/>
    </w:rPr>
  </w:style>
  <w:style w:type="paragraph" w:styleId="44">
    <w:name w:val="toc 3"/>
    <w:basedOn w:val="1"/>
    <w:next w:val="1"/>
    <w:unhideWhenUsed/>
    <w:qFormat/>
    <w:uiPriority w:val="39"/>
    <w:pPr>
      <w:ind w:left="840" w:leftChars="400"/>
    </w:pPr>
  </w:style>
  <w:style w:type="paragraph" w:styleId="45">
    <w:name w:val="Plain Text"/>
    <w:basedOn w:val="3"/>
    <w:next w:val="1"/>
    <w:link w:val="204"/>
    <w:qFormat/>
    <w:uiPriority w:val="99"/>
    <w:pPr>
      <w:spacing w:line="320" w:lineRule="atLeast"/>
      <w:jc w:val="center"/>
    </w:pPr>
    <w:rPr>
      <w:rFonts w:ascii="宋体" w:hAnsi="Courier New"/>
      <w:spacing w:val="10"/>
      <w:sz w:val="21"/>
    </w:rPr>
  </w:style>
  <w:style w:type="paragraph" w:styleId="46">
    <w:name w:val="List Bullet 5"/>
    <w:basedOn w:val="1"/>
    <w:qFormat/>
    <w:uiPriority w:val="0"/>
    <w:pPr>
      <w:tabs>
        <w:tab w:val="left" w:pos="2040"/>
      </w:tabs>
      <w:ind w:left="2040" w:leftChars="800" w:hanging="360" w:hangingChars="200"/>
    </w:pPr>
    <w:rPr>
      <w:rFonts w:ascii="仿宋_GB2312" w:eastAsia="仿宋_GB2312"/>
      <w:sz w:val="28"/>
      <w:szCs w:val="20"/>
    </w:rPr>
  </w:style>
  <w:style w:type="paragraph" w:styleId="47">
    <w:name w:val="List Number 4"/>
    <w:basedOn w:val="1"/>
    <w:qFormat/>
    <w:uiPriority w:val="0"/>
    <w:pPr>
      <w:tabs>
        <w:tab w:val="left" w:pos="1620"/>
      </w:tabs>
      <w:ind w:left="1620" w:leftChars="600" w:hanging="360" w:hangingChars="200"/>
    </w:pPr>
    <w:rPr>
      <w:rFonts w:ascii="仿宋_GB2312" w:eastAsia="仿宋_GB2312"/>
      <w:sz w:val="28"/>
      <w:szCs w:val="20"/>
    </w:rPr>
  </w:style>
  <w:style w:type="paragraph" w:styleId="48">
    <w:name w:val="toc 8"/>
    <w:basedOn w:val="1"/>
    <w:next w:val="1"/>
    <w:unhideWhenUsed/>
    <w:qFormat/>
    <w:uiPriority w:val="39"/>
    <w:pPr>
      <w:spacing w:line="240" w:lineRule="auto"/>
      <w:ind w:left="2940" w:leftChars="1400"/>
    </w:pPr>
    <w:rPr>
      <w:rFonts w:ascii="Calibri" w:hAnsi="Calibri"/>
      <w:sz w:val="21"/>
    </w:rPr>
  </w:style>
  <w:style w:type="paragraph" w:styleId="49">
    <w:name w:val="index 3"/>
    <w:basedOn w:val="1"/>
    <w:next w:val="1"/>
    <w:qFormat/>
    <w:uiPriority w:val="0"/>
    <w:pPr>
      <w:spacing w:line="240" w:lineRule="auto"/>
      <w:ind w:left="400" w:leftChars="400"/>
    </w:pPr>
    <w:rPr>
      <w:sz w:val="21"/>
    </w:rPr>
  </w:style>
  <w:style w:type="paragraph" w:styleId="50">
    <w:name w:val="Date"/>
    <w:basedOn w:val="1"/>
    <w:next w:val="1"/>
    <w:link w:val="232"/>
    <w:unhideWhenUsed/>
    <w:qFormat/>
    <w:uiPriority w:val="99"/>
    <w:pPr>
      <w:ind w:left="100" w:leftChars="2500"/>
    </w:pPr>
  </w:style>
  <w:style w:type="paragraph" w:styleId="51">
    <w:name w:val="Body Text Indent 2"/>
    <w:basedOn w:val="1"/>
    <w:link w:val="198"/>
    <w:qFormat/>
    <w:uiPriority w:val="99"/>
    <w:pPr>
      <w:spacing w:after="120" w:line="480" w:lineRule="auto"/>
      <w:ind w:left="420" w:leftChars="200"/>
    </w:pPr>
    <w:rPr>
      <w:rFonts w:ascii="Calibri" w:hAnsi="Calibri"/>
      <w:sz w:val="21"/>
    </w:rPr>
  </w:style>
  <w:style w:type="paragraph" w:styleId="52">
    <w:name w:val="endnote text"/>
    <w:basedOn w:val="1"/>
    <w:link w:val="431"/>
    <w:qFormat/>
    <w:uiPriority w:val="0"/>
    <w:pPr>
      <w:spacing w:line="240" w:lineRule="auto"/>
      <w:jc w:val="left"/>
    </w:pPr>
    <w:rPr>
      <w:sz w:val="21"/>
      <w:lang w:val="zh-CN"/>
    </w:rPr>
  </w:style>
  <w:style w:type="paragraph" w:styleId="53">
    <w:name w:val="List Continue 5"/>
    <w:basedOn w:val="1"/>
    <w:qFormat/>
    <w:uiPriority w:val="0"/>
    <w:pPr>
      <w:spacing w:after="120"/>
      <w:ind w:left="2100" w:leftChars="1000"/>
    </w:pPr>
    <w:rPr>
      <w:rFonts w:ascii="仿宋_GB2312" w:eastAsia="仿宋_GB2312"/>
      <w:sz w:val="28"/>
      <w:szCs w:val="20"/>
    </w:rPr>
  </w:style>
  <w:style w:type="paragraph" w:styleId="54">
    <w:name w:val="Balloon Text"/>
    <w:basedOn w:val="1"/>
    <w:link w:val="221"/>
    <w:unhideWhenUsed/>
    <w:qFormat/>
    <w:uiPriority w:val="99"/>
    <w:rPr>
      <w:sz w:val="18"/>
      <w:szCs w:val="18"/>
    </w:rPr>
  </w:style>
  <w:style w:type="paragraph" w:styleId="55">
    <w:name w:val="footer"/>
    <w:basedOn w:val="1"/>
    <w:link w:val="233"/>
    <w:unhideWhenUsed/>
    <w:qFormat/>
    <w:uiPriority w:val="99"/>
    <w:pPr>
      <w:tabs>
        <w:tab w:val="center" w:pos="4153"/>
        <w:tab w:val="right" w:pos="8306"/>
      </w:tabs>
      <w:jc w:val="left"/>
    </w:pPr>
    <w:rPr>
      <w:sz w:val="18"/>
      <w:szCs w:val="18"/>
    </w:rPr>
  </w:style>
  <w:style w:type="paragraph" w:styleId="56">
    <w:name w:val="envelope return"/>
    <w:basedOn w:val="1"/>
    <w:qFormat/>
    <w:uiPriority w:val="0"/>
    <w:pPr>
      <w:autoSpaceDE w:val="0"/>
      <w:autoSpaceDN w:val="0"/>
      <w:spacing w:line="312" w:lineRule="atLeast"/>
    </w:pPr>
    <w:rPr>
      <w:sz w:val="28"/>
      <w:szCs w:val="20"/>
    </w:rPr>
  </w:style>
  <w:style w:type="paragraph" w:styleId="57">
    <w:name w:val="header"/>
    <w:basedOn w:val="1"/>
    <w:link w:val="231"/>
    <w:unhideWhenUsed/>
    <w:qFormat/>
    <w:uiPriority w:val="99"/>
    <w:pPr>
      <w:pBdr>
        <w:bottom w:val="single" w:color="auto" w:sz="6" w:space="1"/>
      </w:pBdr>
      <w:tabs>
        <w:tab w:val="center" w:pos="2054"/>
        <w:tab w:val="center" w:pos="4153"/>
        <w:tab w:val="right" w:pos="8306"/>
      </w:tabs>
      <w:spacing w:line="240" w:lineRule="auto"/>
      <w:ind w:firstLine="0" w:firstLineChars="0"/>
      <w:jc w:val="center"/>
    </w:pPr>
    <w:rPr>
      <w:sz w:val="18"/>
      <w:szCs w:val="18"/>
    </w:rPr>
  </w:style>
  <w:style w:type="paragraph" w:styleId="58">
    <w:name w:val="Signature"/>
    <w:basedOn w:val="1"/>
    <w:link w:val="572"/>
    <w:qFormat/>
    <w:uiPriority w:val="99"/>
    <w:pPr>
      <w:ind w:left="100" w:leftChars="2100"/>
    </w:pPr>
    <w:rPr>
      <w:rFonts w:ascii="仿宋_GB2312" w:eastAsia="仿宋_GB2312"/>
      <w:sz w:val="28"/>
      <w:szCs w:val="20"/>
      <w:lang w:val="zh-CN"/>
    </w:rPr>
  </w:style>
  <w:style w:type="paragraph" w:styleId="59">
    <w:name w:val="toc 1"/>
    <w:basedOn w:val="1"/>
    <w:next w:val="1"/>
    <w:unhideWhenUsed/>
    <w:qFormat/>
    <w:uiPriority w:val="39"/>
    <w:pPr>
      <w:tabs>
        <w:tab w:val="right" w:leader="dot" w:pos="9174"/>
      </w:tabs>
      <w:spacing w:line="440" w:lineRule="exact"/>
      <w:ind w:firstLine="0" w:firstLineChars="0"/>
    </w:pPr>
    <w:rPr>
      <w:b/>
    </w:rPr>
  </w:style>
  <w:style w:type="paragraph" w:styleId="60">
    <w:name w:val="List Continue 4"/>
    <w:basedOn w:val="1"/>
    <w:qFormat/>
    <w:uiPriority w:val="0"/>
    <w:pPr>
      <w:spacing w:after="120"/>
      <w:ind w:left="1680" w:leftChars="800"/>
    </w:pPr>
    <w:rPr>
      <w:rFonts w:ascii="仿宋_GB2312" w:eastAsia="仿宋_GB2312"/>
      <w:sz w:val="28"/>
      <w:szCs w:val="20"/>
    </w:rPr>
  </w:style>
  <w:style w:type="paragraph" w:styleId="61">
    <w:name w:val="toc 4"/>
    <w:basedOn w:val="1"/>
    <w:next w:val="1"/>
    <w:unhideWhenUsed/>
    <w:qFormat/>
    <w:uiPriority w:val="39"/>
    <w:pPr>
      <w:spacing w:line="240" w:lineRule="auto"/>
      <w:ind w:left="600" w:leftChars="600"/>
    </w:pPr>
  </w:style>
  <w:style w:type="paragraph" w:styleId="62">
    <w:name w:val="index heading"/>
    <w:basedOn w:val="1"/>
    <w:qFormat/>
    <w:uiPriority w:val="0"/>
    <w:pPr>
      <w:spacing w:line="240" w:lineRule="auto"/>
    </w:pPr>
    <w:rPr>
      <w:sz w:val="21"/>
    </w:rPr>
  </w:style>
  <w:style w:type="paragraph" w:styleId="63">
    <w:name w:val="Subtitle"/>
    <w:basedOn w:val="1"/>
    <w:next w:val="1"/>
    <w:link w:val="182"/>
    <w:qFormat/>
    <w:uiPriority w:val="99"/>
    <w:pPr>
      <w:spacing w:before="240" w:after="60" w:line="312" w:lineRule="auto"/>
      <w:jc w:val="left"/>
      <w:outlineLvl w:val="1"/>
    </w:pPr>
    <w:rPr>
      <w:rFonts w:ascii="Calibri" w:hAnsi="Calibri"/>
      <w:sz w:val="18"/>
      <w:szCs w:val="18"/>
    </w:rPr>
  </w:style>
  <w:style w:type="paragraph" w:styleId="64">
    <w:name w:val="List Number 5"/>
    <w:basedOn w:val="1"/>
    <w:qFormat/>
    <w:uiPriority w:val="0"/>
    <w:pPr>
      <w:tabs>
        <w:tab w:val="left" w:pos="2040"/>
      </w:tabs>
      <w:spacing w:line="240" w:lineRule="auto"/>
      <w:ind w:left="2040" w:hanging="360"/>
    </w:pPr>
    <w:rPr>
      <w:rFonts w:hint="eastAsia"/>
      <w:sz w:val="21"/>
      <w:szCs w:val="20"/>
    </w:rPr>
  </w:style>
  <w:style w:type="paragraph" w:styleId="65">
    <w:name w:val="List"/>
    <w:basedOn w:val="1"/>
    <w:link w:val="234"/>
    <w:qFormat/>
    <w:uiPriority w:val="0"/>
    <w:pPr>
      <w:spacing w:line="400" w:lineRule="exact"/>
      <w:jc w:val="center"/>
    </w:pPr>
    <w:rPr>
      <w:rFonts w:ascii="仿宋_GB2312" w:eastAsia="仿宋_GB2312"/>
      <w:szCs w:val="20"/>
    </w:rPr>
  </w:style>
  <w:style w:type="paragraph" w:styleId="66">
    <w:name w:val="footnote text"/>
    <w:basedOn w:val="1"/>
    <w:link w:val="370"/>
    <w:qFormat/>
    <w:uiPriority w:val="99"/>
    <w:pPr>
      <w:spacing w:line="240" w:lineRule="auto"/>
      <w:jc w:val="left"/>
    </w:pPr>
    <w:rPr>
      <w:sz w:val="18"/>
      <w:szCs w:val="18"/>
    </w:rPr>
  </w:style>
  <w:style w:type="paragraph" w:styleId="67">
    <w:name w:val="toc 6"/>
    <w:basedOn w:val="1"/>
    <w:next w:val="1"/>
    <w:unhideWhenUsed/>
    <w:qFormat/>
    <w:uiPriority w:val="39"/>
    <w:pPr>
      <w:spacing w:line="240" w:lineRule="auto"/>
      <w:ind w:left="2100" w:leftChars="1000"/>
    </w:pPr>
    <w:rPr>
      <w:rFonts w:ascii="Calibri" w:hAnsi="Calibri"/>
      <w:sz w:val="21"/>
    </w:rPr>
  </w:style>
  <w:style w:type="paragraph" w:styleId="68">
    <w:name w:val="List 5"/>
    <w:basedOn w:val="1"/>
    <w:qFormat/>
    <w:uiPriority w:val="0"/>
    <w:pPr>
      <w:tabs>
        <w:tab w:val="left" w:pos="780"/>
      </w:tabs>
      <w:spacing w:before="50"/>
      <w:ind w:left="780" w:hanging="360"/>
    </w:pPr>
    <w:rPr>
      <w:rFonts w:hint="eastAsia"/>
      <w:spacing w:val="6"/>
      <w:sz w:val="28"/>
      <w:szCs w:val="20"/>
    </w:rPr>
  </w:style>
  <w:style w:type="paragraph" w:styleId="69">
    <w:name w:val="Body Text Indent 3"/>
    <w:basedOn w:val="1"/>
    <w:link w:val="313"/>
    <w:qFormat/>
    <w:uiPriority w:val="99"/>
    <w:pPr>
      <w:spacing w:after="120" w:line="320" w:lineRule="atLeast"/>
      <w:ind w:left="420" w:leftChars="200"/>
      <w:jc w:val="center"/>
    </w:pPr>
    <w:rPr>
      <w:sz w:val="16"/>
      <w:szCs w:val="16"/>
    </w:rPr>
  </w:style>
  <w:style w:type="paragraph" w:styleId="70">
    <w:name w:val="index 7"/>
    <w:basedOn w:val="1"/>
    <w:next w:val="1"/>
    <w:qFormat/>
    <w:uiPriority w:val="0"/>
    <w:pPr>
      <w:spacing w:line="240" w:lineRule="auto"/>
      <w:ind w:left="1200" w:leftChars="1200"/>
    </w:pPr>
    <w:rPr>
      <w:sz w:val="21"/>
    </w:rPr>
  </w:style>
  <w:style w:type="paragraph" w:styleId="71">
    <w:name w:val="index 9"/>
    <w:basedOn w:val="1"/>
    <w:next w:val="1"/>
    <w:qFormat/>
    <w:uiPriority w:val="0"/>
    <w:pPr>
      <w:spacing w:line="240" w:lineRule="auto"/>
      <w:ind w:left="1600" w:leftChars="1600"/>
    </w:pPr>
    <w:rPr>
      <w:sz w:val="21"/>
    </w:rPr>
  </w:style>
  <w:style w:type="paragraph" w:styleId="72">
    <w:name w:val="table of figures"/>
    <w:basedOn w:val="1"/>
    <w:next w:val="1"/>
    <w:qFormat/>
    <w:uiPriority w:val="0"/>
    <w:pPr>
      <w:widowControl/>
      <w:tabs>
        <w:tab w:val="right" w:leader="dot" w:pos="8889"/>
      </w:tabs>
      <w:jc w:val="left"/>
    </w:pPr>
    <w:rPr>
      <w:kern w:val="0"/>
    </w:rPr>
  </w:style>
  <w:style w:type="paragraph" w:styleId="73">
    <w:name w:val="toc 2"/>
    <w:basedOn w:val="1"/>
    <w:next w:val="1"/>
    <w:unhideWhenUsed/>
    <w:qFormat/>
    <w:uiPriority w:val="39"/>
    <w:pPr>
      <w:tabs>
        <w:tab w:val="right" w:leader="dot" w:pos="9174"/>
      </w:tabs>
      <w:spacing w:line="440" w:lineRule="exact"/>
      <w:ind w:left="480" w:leftChars="200" w:firstLine="0" w:firstLineChars="0"/>
    </w:pPr>
  </w:style>
  <w:style w:type="paragraph" w:styleId="74">
    <w:name w:val="toc 9"/>
    <w:basedOn w:val="1"/>
    <w:next w:val="1"/>
    <w:unhideWhenUsed/>
    <w:qFormat/>
    <w:uiPriority w:val="39"/>
    <w:pPr>
      <w:spacing w:line="240" w:lineRule="auto"/>
      <w:ind w:left="3360" w:leftChars="1600"/>
    </w:pPr>
    <w:rPr>
      <w:rFonts w:ascii="Calibri" w:hAnsi="Calibri"/>
      <w:sz w:val="21"/>
    </w:rPr>
  </w:style>
  <w:style w:type="paragraph" w:styleId="75">
    <w:name w:val="Body Text 2"/>
    <w:basedOn w:val="1"/>
    <w:link w:val="274"/>
    <w:qFormat/>
    <w:uiPriority w:val="0"/>
    <w:pPr>
      <w:spacing w:after="120" w:line="480" w:lineRule="auto"/>
    </w:pPr>
    <w:rPr>
      <w:sz w:val="21"/>
      <w:szCs w:val="21"/>
    </w:rPr>
  </w:style>
  <w:style w:type="paragraph" w:styleId="76">
    <w:name w:val="List 4"/>
    <w:basedOn w:val="1"/>
    <w:qFormat/>
    <w:uiPriority w:val="0"/>
    <w:pPr>
      <w:ind w:left="100" w:leftChars="600" w:hanging="200" w:hangingChars="200"/>
    </w:pPr>
    <w:rPr>
      <w:rFonts w:ascii="仿宋_GB2312" w:eastAsia="仿宋_GB2312"/>
      <w:sz w:val="28"/>
      <w:szCs w:val="20"/>
    </w:rPr>
  </w:style>
  <w:style w:type="paragraph" w:styleId="77">
    <w:name w:val="List Continue 2"/>
    <w:basedOn w:val="1"/>
    <w:qFormat/>
    <w:uiPriority w:val="0"/>
    <w:pPr>
      <w:spacing w:after="120"/>
      <w:ind w:left="840" w:leftChars="400"/>
    </w:pPr>
    <w:rPr>
      <w:rFonts w:ascii="仿宋_GB2312" w:eastAsia="仿宋_GB2312"/>
      <w:sz w:val="28"/>
      <w:szCs w:val="20"/>
    </w:rPr>
  </w:style>
  <w:style w:type="paragraph" w:styleId="78">
    <w:name w:val="Message Header"/>
    <w:basedOn w:val="1"/>
    <w:link w:val="568"/>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仿宋_GB2312"/>
      <w:lang w:val="zh-CN"/>
    </w:rPr>
  </w:style>
  <w:style w:type="paragraph" w:styleId="79">
    <w:name w:val="HTML Preformatted"/>
    <w:basedOn w:val="1"/>
    <w:link w:val="393"/>
    <w:qFormat/>
    <w:uiPriority w:val="99"/>
    <w:pPr>
      <w:spacing w:line="240" w:lineRule="auto"/>
    </w:pPr>
    <w:rPr>
      <w:rFonts w:ascii="Courier New" w:hAnsi="Courier New" w:cs="Courier New"/>
      <w:sz w:val="20"/>
      <w:szCs w:val="20"/>
    </w:rPr>
  </w:style>
  <w:style w:type="paragraph" w:styleId="80">
    <w:name w:val="Normal (Web)"/>
    <w:basedOn w:val="1"/>
    <w:qFormat/>
    <w:uiPriority w:val="0"/>
    <w:pPr>
      <w:widowControl/>
      <w:spacing w:before="100" w:beforeAutospacing="1" w:after="100" w:afterAutospacing="1" w:line="240" w:lineRule="auto"/>
      <w:jc w:val="left"/>
    </w:pPr>
    <w:rPr>
      <w:rFonts w:ascii="宋体" w:hAnsi="宋体"/>
      <w:kern w:val="0"/>
      <w:sz w:val="21"/>
    </w:rPr>
  </w:style>
  <w:style w:type="paragraph" w:styleId="81">
    <w:name w:val="List Continue 3"/>
    <w:basedOn w:val="1"/>
    <w:qFormat/>
    <w:uiPriority w:val="0"/>
    <w:pPr>
      <w:spacing w:after="120"/>
      <w:ind w:left="1260" w:leftChars="600"/>
    </w:pPr>
    <w:rPr>
      <w:rFonts w:ascii="仿宋_GB2312" w:eastAsia="仿宋_GB2312"/>
      <w:sz w:val="28"/>
      <w:szCs w:val="20"/>
    </w:rPr>
  </w:style>
  <w:style w:type="paragraph" w:styleId="82">
    <w:name w:val="index 1"/>
    <w:basedOn w:val="1"/>
    <w:next w:val="1"/>
    <w:unhideWhenUsed/>
    <w:qFormat/>
    <w:uiPriority w:val="0"/>
  </w:style>
  <w:style w:type="paragraph" w:styleId="83">
    <w:name w:val="index 2"/>
    <w:basedOn w:val="1"/>
    <w:next w:val="1"/>
    <w:qFormat/>
    <w:uiPriority w:val="0"/>
    <w:pPr>
      <w:spacing w:line="240" w:lineRule="auto"/>
    </w:pPr>
    <w:rPr>
      <w:sz w:val="21"/>
    </w:rPr>
  </w:style>
  <w:style w:type="paragraph" w:styleId="84">
    <w:name w:val="Title"/>
    <w:basedOn w:val="1"/>
    <w:link w:val="299"/>
    <w:qFormat/>
    <w:uiPriority w:val="99"/>
    <w:pPr>
      <w:spacing w:before="240" w:after="60"/>
      <w:jc w:val="center"/>
      <w:outlineLvl w:val="0"/>
    </w:pPr>
    <w:rPr>
      <w:rFonts w:ascii="Calibri" w:hAnsi="Calibri"/>
      <w:sz w:val="21"/>
    </w:rPr>
  </w:style>
  <w:style w:type="paragraph" w:styleId="85">
    <w:name w:val="annotation subject"/>
    <w:basedOn w:val="28"/>
    <w:next w:val="28"/>
    <w:link w:val="176"/>
    <w:unhideWhenUsed/>
    <w:qFormat/>
    <w:uiPriority w:val="99"/>
    <w:rPr>
      <w:b/>
      <w:bCs/>
    </w:rPr>
  </w:style>
  <w:style w:type="paragraph" w:styleId="86">
    <w:name w:val="Body Text First Indent"/>
    <w:basedOn w:val="21"/>
    <w:link w:val="435"/>
    <w:qFormat/>
    <w:uiPriority w:val="0"/>
    <w:pPr>
      <w:tabs>
        <w:tab w:val="left" w:pos="0"/>
      </w:tabs>
      <w:autoSpaceDE w:val="0"/>
      <w:autoSpaceDN w:val="0"/>
      <w:spacing w:line="360" w:lineRule="auto"/>
      <w:ind w:firstLine="200"/>
      <w:textAlignment w:val="baseline"/>
    </w:pPr>
    <w:rPr>
      <w:sz w:val="24"/>
    </w:rPr>
  </w:style>
  <w:style w:type="paragraph" w:styleId="87">
    <w:name w:val="Body Text First Indent 2"/>
    <w:basedOn w:val="35"/>
    <w:link w:val="267"/>
    <w:qFormat/>
    <w:uiPriority w:val="99"/>
    <w:pPr>
      <w:spacing w:after="120"/>
      <w:ind w:left="420" w:leftChars="200" w:firstLine="420" w:firstLineChars="200"/>
    </w:pPr>
    <w:rPr>
      <w:rFonts w:ascii="Calibri" w:hAnsi="Calibri"/>
    </w:r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91">
    <w:name w:val="Table Colorful 1"/>
    <w:basedOn w:val="88"/>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widowControl w:val="0"/>
      <w:spacing w:line="500" w:lineRule="exact"/>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99"/>
    <w:pPr>
      <w:widowControl w:val="0"/>
      <w:jc w:val="both"/>
    </w:pPr>
    <w:tblPr>
      <w:tblBorders>
        <w:top w:val="single" w:color="000000" w:sz="12" w:space="0"/>
        <w:bottom w:val="single" w:color="000000" w:sz="12" w:space="0"/>
      </w:tblBorders>
    </w:tblPr>
    <w:tcPr>
      <w:tcBorders>
        <w:top w:val="single" w:color="000000" w:sz="12" w:space="0"/>
        <w:left w:val="nil"/>
        <w:bottom w:val="single" w:color="000000" w:sz="12" w:space="0"/>
        <w:right w:val="nil"/>
      </w:tcBorders>
    </w:tcPr>
    <w:tblStylePr w:type="firstRow">
      <w:rPr>
        <w:i/>
        <w:iCs/>
      </w:rPr>
      <w:tblPr/>
      <w:tcPr>
        <w:tcBorders>
          <w:top w:val="nil"/>
          <w:left w:val="single" w:color="000000" w:sz="6" w:space="0"/>
          <w:bottom w:val="nil"/>
          <w:right w:val="nil"/>
          <w:tl2br w:val="nil"/>
          <w:tr2bl w:val="nil"/>
        </w:tcBorders>
      </w:tcPr>
    </w:tblStylePr>
    <w:tblStylePr w:type="lastRow">
      <w:rPr>
        <w:color w:val="auto"/>
      </w:rPr>
      <w:tblPr/>
      <w:tcPr>
        <w:tcBorders>
          <w:top w:val="single" w:color="000000" w:sz="6" w:space="0"/>
          <w:left w:val="nil"/>
          <w:bottom w:val="nil"/>
          <w:right w:val="nil"/>
          <w:tl2br w:val="nil"/>
          <w:tr2bl w:val="nil"/>
        </w:tcBorders>
      </w:tcPr>
    </w:tblStylePr>
    <w:tblStylePr w:type="firstCol">
      <w:tblPr/>
      <w:tcPr>
        <w:tcBorders>
          <w:top w:val="nil"/>
          <w:left w:val="nil"/>
          <w:bottom w:val="nil"/>
          <w:right w:val="single" w:color="000000" w:sz="6" w:space="0"/>
          <w:tl2br w:val="nil"/>
          <w:tr2bl w:val="nil"/>
        </w:tcBorders>
      </w:tcPr>
    </w:tblStylePr>
    <w:tblStylePr w:type="neCell">
      <w:rPr>
        <w:b/>
        <w:bCs/>
        <w:i w:val="0"/>
        <w:iCs w:val="0"/>
      </w:rPr>
      <w:tblPr/>
      <w:tcPr>
        <w:tcBorders>
          <w:top w:val="nil"/>
          <w:left w:val="nil"/>
          <w:bottom w:val="nil"/>
          <w:right w:val="nil"/>
          <w:tl2br w:val="nil"/>
          <w:tr2bl w:val="nil"/>
        </w:tcBorders>
      </w:tcPr>
    </w:tblStylePr>
    <w:tblStylePr w:type="swCell">
      <w:rPr>
        <w:b/>
        <w:bCs/>
      </w:rPr>
      <w:tblPr/>
      <w:tcPr>
        <w:tcBorders>
          <w:top w:val="nil"/>
          <w:left w:val="nil"/>
          <w:bottom w:val="nil"/>
          <w:right w:val="nil"/>
          <w:tl2br w:val="nil"/>
          <w:tr2bl w:val="nil"/>
        </w:tcBorders>
      </w:tcPr>
    </w:tblStylePr>
  </w:style>
  <w:style w:type="table" w:styleId="96">
    <w:name w:val="Table Classic 2"/>
    <w:basedOn w:val="88"/>
    <w:qFormat/>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99"/>
    <w:pPr>
      <w:widowControl w:val="0"/>
      <w:spacing w:line="500" w:lineRule="exact"/>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widowControl w:val="0"/>
      <w:spacing w:line="500" w:lineRule="exact"/>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widowControl w:val="0"/>
      <w:spacing w:line="500" w:lineRule="exact"/>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widowControl w:val="0"/>
      <w:spacing w:line="500" w:lineRule="exact"/>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qFormat/>
    <w:uiPriority w:val="0"/>
    <w:pPr>
      <w:widowControl w:val="0"/>
      <w:spacing w:line="500" w:lineRule="exact"/>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qFormat/>
    <w:uiPriority w:val="0"/>
    <w:pPr>
      <w:widowControl w:val="0"/>
      <w:spacing w:line="500" w:lineRule="exact"/>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qFormat/>
    <w:uiPriority w:val="0"/>
    <w:pPr>
      <w:widowControl w:val="0"/>
      <w:spacing w:line="500" w:lineRule="exact"/>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qFormat/>
    <w:uiPriority w:val="0"/>
    <w:pPr>
      <w:widowControl w:val="0"/>
      <w:spacing w:line="500" w:lineRule="exact"/>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qFormat/>
    <w:uiPriority w:val="0"/>
    <w:pPr>
      <w:widowControl w:val="0"/>
      <w:spacing w:line="500" w:lineRule="exact"/>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1">
    <w:name w:val="Table List 5"/>
    <w:basedOn w:val="88"/>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qFormat/>
    <w:uiPriority w:val="0"/>
    <w:pPr>
      <w:widowControl w:val="0"/>
      <w:spacing w:line="500" w:lineRule="exact"/>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qFormat/>
    <w:uiPriority w:val="0"/>
    <w:pPr>
      <w:widowControl w:val="0"/>
      <w:spacing w:line="500" w:lineRule="exact"/>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qFormat/>
    <w:uiPriority w:val="0"/>
    <w:pPr>
      <w:widowControl w:val="0"/>
      <w:spacing w:line="500" w:lineRule="exact"/>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0"/>
    <w:pPr>
      <w:widowControl w:val="0"/>
      <w:spacing w:line="500" w:lineRule="exact"/>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Strong"/>
    <w:qFormat/>
    <w:uiPriority w:val="0"/>
    <w:rPr>
      <w:b/>
      <w:bCs/>
    </w:rPr>
  </w:style>
  <w:style w:type="character" w:styleId="135">
    <w:name w:val="endnote reference"/>
    <w:qFormat/>
    <w:uiPriority w:val="0"/>
    <w:rPr>
      <w:vertAlign w:val="superscript"/>
    </w:rPr>
  </w:style>
  <w:style w:type="character" w:styleId="136">
    <w:name w:val="page number"/>
    <w:qFormat/>
    <w:uiPriority w:val="0"/>
    <w:rPr>
      <w:rFonts w:ascii="Times New Roman" w:hAnsi="Times New Roman"/>
      <w:sz w:val="18"/>
      <w:szCs w:val="18"/>
    </w:rPr>
  </w:style>
  <w:style w:type="character" w:styleId="137">
    <w:name w:val="FollowedHyperlink"/>
    <w:basedOn w:val="133"/>
    <w:qFormat/>
    <w:uiPriority w:val="99"/>
    <w:rPr>
      <w:color w:val="338DE6"/>
      <w:u w:val="none"/>
    </w:rPr>
  </w:style>
  <w:style w:type="character" w:styleId="138">
    <w:name w:val="Emphasis"/>
    <w:qFormat/>
    <w:uiPriority w:val="20"/>
    <w:rPr>
      <w:i/>
      <w:iCs/>
    </w:rPr>
  </w:style>
  <w:style w:type="character" w:styleId="139">
    <w:name w:val="line number"/>
    <w:qFormat/>
    <w:uiPriority w:val="0"/>
    <w:rPr>
      <w:rFonts w:ascii="宋体" w:hAnsi="宋体" w:eastAsia="宋体"/>
      <w:b/>
      <w:spacing w:val="10"/>
      <w:kern w:val="2"/>
      <w:sz w:val="18"/>
      <w:szCs w:val="18"/>
      <w:lang w:val="en-US" w:eastAsia="zh-CN" w:bidi="ar-SA"/>
    </w:rPr>
  </w:style>
  <w:style w:type="character" w:styleId="140">
    <w:name w:val="HTML Definition"/>
    <w:qFormat/>
    <w:uiPriority w:val="0"/>
    <w:rPr>
      <w:rFonts w:ascii="宋体" w:hAnsi="宋体" w:eastAsia="宋体"/>
      <w:b/>
      <w:i/>
      <w:iCs/>
      <w:spacing w:val="10"/>
      <w:kern w:val="2"/>
      <w:sz w:val="18"/>
      <w:szCs w:val="18"/>
      <w:lang w:val="en-US" w:eastAsia="zh-CN" w:bidi="ar-SA"/>
    </w:rPr>
  </w:style>
  <w:style w:type="character" w:styleId="141">
    <w:name w:val="HTML Typewriter"/>
    <w:qFormat/>
    <w:uiPriority w:val="0"/>
    <w:rPr>
      <w:rFonts w:ascii="宋体" w:hAnsi="宋体" w:eastAsia="宋体" w:cs="宋体"/>
      <w:sz w:val="18"/>
      <w:szCs w:val="18"/>
    </w:rPr>
  </w:style>
  <w:style w:type="character" w:styleId="142">
    <w:name w:val="HTML Acronym"/>
    <w:basedOn w:val="133"/>
    <w:qFormat/>
    <w:uiPriority w:val="0"/>
    <w:rPr>
      <w:rFonts w:hint="eastAsia" w:ascii="宋体" w:hAnsi="宋体" w:eastAsia="宋体" w:cs="宋体"/>
      <w:b/>
      <w:spacing w:val="10"/>
      <w:kern w:val="2"/>
      <w:sz w:val="18"/>
      <w:szCs w:val="18"/>
      <w:lang w:val="en-US" w:eastAsia="zh-CN" w:bidi="ar"/>
    </w:rPr>
  </w:style>
  <w:style w:type="character" w:styleId="143">
    <w:name w:val="HTML Variable"/>
    <w:qFormat/>
    <w:uiPriority w:val="0"/>
    <w:rPr>
      <w:rFonts w:ascii="宋体" w:hAnsi="宋体" w:eastAsia="宋体"/>
      <w:b/>
      <w:i/>
      <w:iCs/>
      <w:spacing w:val="10"/>
      <w:kern w:val="2"/>
      <w:sz w:val="18"/>
      <w:szCs w:val="18"/>
      <w:lang w:val="en-US" w:eastAsia="zh-CN" w:bidi="ar-SA"/>
    </w:rPr>
  </w:style>
  <w:style w:type="character" w:styleId="144">
    <w:name w:val="Hyperlink"/>
    <w:basedOn w:val="133"/>
    <w:unhideWhenUsed/>
    <w:qFormat/>
    <w:uiPriority w:val="99"/>
    <w:rPr>
      <w:color w:val="338DE6"/>
      <w:u w:val="none"/>
    </w:rPr>
  </w:style>
  <w:style w:type="character" w:styleId="145">
    <w:name w:val="HTML Code"/>
    <w:qFormat/>
    <w:uiPriority w:val="0"/>
    <w:rPr>
      <w:rFonts w:ascii="黑体" w:hAnsi="Courier New" w:eastAsia="黑体" w:cs="Courier New"/>
      <w:sz w:val="24"/>
      <w:szCs w:val="24"/>
    </w:rPr>
  </w:style>
  <w:style w:type="character" w:styleId="146">
    <w:name w:val="annotation reference"/>
    <w:unhideWhenUsed/>
    <w:qFormat/>
    <w:uiPriority w:val="0"/>
    <w:rPr>
      <w:sz w:val="21"/>
      <w:szCs w:val="21"/>
    </w:rPr>
  </w:style>
  <w:style w:type="character" w:styleId="147">
    <w:name w:val="HTML Cite"/>
    <w:qFormat/>
    <w:uiPriority w:val="0"/>
    <w:rPr>
      <w:rFonts w:ascii="宋体" w:hAnsi="宋体" w:eastAsia="宋体"/>
      <w:b/>
      <w:i/>
      <w:iCs/>
      <w:spacing w:val="10"/>
      <w:kern w:val="2"/>
      <w:sz w:val="18"/>
      <w:szCs w:val="18"/>
      <w:lang w:val="en-US" w:eastAsia="zh-CN" w:bidi="ar-SA"/>
    </w:rPr>
  </w:style>
  <w:style w:type="character" w:styleId="148">
    <w:name w:val="footnote reference"/>
    <w:qFormat/>
    <w:uiPriority w:val="0"/>
    <w:rPr>
      <w:vertAlign w:val="superscript"/>
    </w:rPr>
  </w:style>
  <w:style w:type="character" w:styleId="149">
    <w:name w:val="HTML Keyboard"/>
    <w:qFormat/>
    <w:uiPriority w:val="0"/>
    <w:rPr>
      <w:rFonts w:ascii="Courier New" w:hAnsi="Courier New" w:eastAsia="宋体" w:cs="Courier New"/>
      <w:b/>
      <w:spacing w:val="10"/>
      <w:kern w:val="2"/>
      <w:sz w:val="20"/>
      <w:szCs w:val="20"/>
      <w:lang w:val="en-US" w:eastAsia="zh-CN" w:bidi="ar-SA"/>
    </w:rPr>
  </w:style>
  <w:style w:type="character" w:styleId="150">
    <w:name w:val="HTML Sample"/>
    <w:qFormat/>
    <w:uiPriority w:val="0"/>
    <w:rPr>
      <w:rFonts w:ascii="Courier New" w:hAnsi="Courier New" w:eastAsia="宋体" w:cs="Courier New"/>
      <w:b/>
      <w:spacing w:val="10"/>
      <w:kern w:val="2"/>
      <w:sz w:val="18"/>
      <w:szCs w:val="18"/>
      <w:lang w:val="en-US" w:eastAsia="zh-CN" w:bidi="ar-SA"/>
    </w:rPr>
  </w:style>
  <w:style w:type="paragraph" w:customStyle="1" w:styleId="1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2">
    <w:name w:val="标题 段落4级"/>
    <w:qFormat/>
    <w:uiPriority w:val="0"/>
    <w:pPr>
      <w:spacing w:line="500" w:lineRule="exact"/>
      <w:outlineLvl w:val="3"/>
    </w:pPr>
    <w:rPr>
      <w:rFonts w:ascii="Times New Roman" w:hAnsi="Times New Roman" w:eastAsia="仿宋_GB2312" w:cs="Calibri"/>
      <w:kern w:val="2"/>
      <w:sz w:val="28"/>
      <w:szCs w:val="24"/>
      <w:lang w:val="en-US" w:eastAsia="zh-CN" w:bidi="ar-SA"/>
    </w:rPr>
  </w:style>
  <w:style w:type="paragraph" w:customStyle="1" w:styleId="153">
    <w:name w:val="标题 段落5级"/>
    <w:qFormat/>
    <w:uiPriority w:val="0"/>
    <w:pPr>
      <w:spacing w:line="500" w:lineRule="exact"/>
      <w:ind w:firstLine="200" w:firstLineChars="200"/>
      <w:outlineLvl w:val="4"/>
    </w:pPr>
    <w:rPr>
      <w:rFonts w:ascii="Times New Roman" w:hAnsi="Times New Roman" w:eastAsia="仿宋_GB2312" w:cs="Times New Roman"/>
      <w:b/>
      <w:kern w:val="2"/>
      <w:sz w:val="28"/>
      <w:szCs w:val="24"/>
      <w:lang w:val="en-US" w:eastAsia="zh-CN" w:bidi="ar-SA"/>
    </w:rPr>
  </w:style>
  <w:style w:type="character" w:customStyle="1" w:styleId="154">
    <w:name w:val="表格内字体 Char1"/>
    <w:qFormat/>
    <w:uiPriority w:val="99"/>
    <w:rPr>
      <w:rFonts w:ascii="Times New Roman" w:hAnsi="Times New Roman" w:eastAsia="宋体"/>
      <w:kern w:val="2"/>
      <w:sz w:val="21"/>
      <w:szCs w:val="24"/>
      <w:lang w:val="en-US" w:eastAsia="zh-CN" w:bidi="ar-SA"/>
    </w:rPr>
  </w:style>
  <w:style w:type="character" w:customStyle="1" w:styleId="155">
    <w:name w:val="标题 1 字符"/>
    <w:link w:val="3"/>
    <w:qFormat/>
    <w:uiPriority w:val="99"/>
    <w:rPr>
      <w:rFonts w:ascii="Times New Roman" w:hAnsi="Times New Roman" w:eastAsia="宋体"/>
      <w:b/>
      <w:bCs/>
      <w:kern w:val="44"/>
      <w:sz w:val="30"/>
      <w:szCs w:val="44"/>
    </w:rPr>
  </w:style>
  <w:style w:type="character" w:customStyle="1" w:styleId="156">
    <w:name w:val="标题 2 字符"/>
    <w:link w:val="4"/>
    <w:qFormat/>
    <w:uiPriority w:val="0"/>
    <w:rPr>
      <w:rFonts w:ascii="Times New Roman" w:hAnsi="Times New Roman" w:eastAsia="宋体" w:cs="Times New Roman"/>
      <w:b/>
      <w:bCs/>
      <w:sz w:val="28"/>
      <w:szCs w:val="32"/>
    </w:rPr>
  </w:style>
  <w:style w:type="character" w:customStyle="1" w:styleId="157">
    <w:name w:val="标题 3 字符"/>
    <w:link w:val="5"/>
    <w:qFormat/>
    <w:uiPriority w:val="0"/>
    <w:rPr>
      <w:rFonts w:ascii="Times New Roman" w:hAnsi="Times New Roman"/>
      <w:b/>
      <w:bCs/>
      <w:sz w:val="24"/>
      <w:szCs w:val="32"/>
    </w:rPr>
  </w:style>
  <w:style w:type="character" w:customStyle="1" w:styleId="158">
    <w:name w:val="标题 4 字符"/>
    <w:link w:val="6"/>
    <w:qFormat/>
    <w:uiPriority w:val="0"/>
    <w:rPr>
      <w:rFonts w:ascii="Times New Roman" w:hAnsi="Times New Roman" w:eastAsia="宋体" w:cs="Times New Roman"/>
      <w:b/>
      <w:bCs/>
      <w:sz w:val="24"/>
      <w:szCs w:val="28"/>
    </w:rPr>
  </w:style>
  <w:style w:type="character" w:customStyle="1" w:styleId="159">
    <w:name w:val="标题 5 字符"/>
    <w:link w:val="7"/>
    <w:qFormat/>
    <w:uiPriority w:val="0"/>
    <w:rPr>
      <w:rFonts w:ascii="Times New Roman" w:hAnsi="Times New Roman"/>
      <w:b/>
      <w:bCs/>
      <w:sz w:val="24"/>
      <w:szCs w:val="28"/>
    </w:rPr>
  </w:style>
  <w:style w:type="character" w:customStyle="1" w:styleId="160">
    <w:name w:val="标题 6 字符"/>
    <w:link w:val="8"/>
    <w:qFormat/>
    <w:uiPriority w:val="0"/>
    <w:rPr>
      <w:rFonts w:ascii="Cambria" w:hAnsi="Cambria" w:eastAsia="宋体" w:cs="Times New Roman"/>
      <w:b/>
      <w:bCs/>
      <w:sz w:val="24"/>
      <w:szCs w:val="24"/>
    </w:rPr>
  </w:style>
  <w:style w:type="character" w:customStyle="1" w:styleId="161">
    <w:name w:val="标题 7 字符"/>
    <w:link w:val="9"/>
    <w:qFormat/>
    <w:uiPriority w:val="99"/>
    <w:rPr>
      <w:rFonts w:ascii="Times New Roman" w:hAnsi="Times New Roman" w:eastAsia="宋体" w:cs="Times New Roman"/>
      <w:b/>
      <w:bCs/>
      <w:sz w:val="24"/>
      <w:szCs w:val="24"/>
    </w:rPr>
  </w:style>
  <w:style w:type="character" w:customStyle="1" w:styleId="162">
    <w:name w:val="标题 8 字符"/>
    <w:link w:val="10"/>
    <w:qFormat/>
    <w:uiPriority w:val="0"/>
    <w:rPr>
      <w:rFonts w:ascii="Cambria" w:hAnsi="Cambria" w:eastAsia="宋体" w:cs="Times New Roman"/>
      <w:sz w:val="24"/>
      <w:szCs w:val="24"/>
    </w:rPr>
  </w:style>
  <w:style w:type="character" w:customStyle="1" w:styleId="163">
    <w:name w:val="标题 9 字符"/>
    <w:link w:val="11"/>
    <w:qFormat/>
    <w:uiPriority w:val="0"/>
    <w:rPr>
      <w:rFonts w:ascii="Cambria" w:hAnsi="Cambria" w:eastAsia="宋体" w:cs="Times New Roman"/>
      <w:szCs w:val="21"/>
    </w:rPr>
  </w:style>
  <w:style w:type="character" w:customStyle="1" w:styleId="164">
    <w:name w:val="三级标题 Char23"/>
    <w:qFormat/>
    <w:uiPriority w:val="99"/>
    <w:rPr>
      <w:rFonts w:ascii="黑体" w:hAnsi="宋体" w:eastAsia="黑体"/>
      <w:bCs/>
      <w:kern w:val="2"/>
      <w:sz w:val="28"/>
      <w:szCs w:val="28"/>
      <w:lang w:val="en-US" w:eastAsia="zh-CN" w:bidi="ar-SA"/>
    </w:rPr>
  </w:style>
  <w:style w:type="character" w:customStyle="1" w:styleId="165">
    <w:name w:val="表题2 Char"/>
    <w:qFormat/>
    <w:uiPriority w:val="99"/>
    <w:rPr>
      <w:rFonts w:ascii="Arial" w:hAnsi="Arial" w:eastAsia="黑体"/>
      <w:kern w:val="2"/>
      <w:szCs w:val="28"/>
      <w:lang w:val="en-US" w:eastAsia="zh-CN" w:bidi="ar-SA"/>
    </w:rPr>
  </w:style>
  <w:style w:type="character" w:customStyle="1" w:styleId="166">
    <w:name w:val="正文首行缩进 2 字符1"/>
    <w:semiHidden/>
    <w:qFormat/>
    <w:uiPriority w:val="99"/>
    <w:rPr>
      <w:rFonts w:ascii="Times New Roman" w:hAnsi="Times New Roman" w:eastAsia="宋体" w:cs="Times New Roman"/>
      <w:szCs w:val="24"/>
    </w:rPr>
  </w:style>
  <w:style w:type="character" w:customStyle="1" w:styleId="167">
    <w:name w:val="样式 表内小5 + 黑体 加粗 倾斜 下划线 Char5"/>
    <w:qFormat/>
    <w:uiPriority w:val="99"/>
    <w:rPr>
      <w:rFonts w:ascii="黑体" w:hAnsi="黑体" w:eastAsia="黑体"/>
      <w:b/>
      <w:bCs/>
      <w:i/>
      <w:iCs/>
      <w:kern w:val="2"/>
      <w:sz w:val="18"/>
      <w:szCs w:val="24"/>
      <w:u w:val="single"/>
      <w:lang w:val="en-US" w:eastAsia="zh-CN" w:bidi="ar-SA"/>
    </w:rPr>
  </w:style>
  <w:style w:type="character" w:customStyle="1" w:styleId="168">
    <w:name w:val="Char Char123"/>
    <w:qFormat/>
    <w:uiPriority w:val="99"/>
    <w:rPr>
      <w:rFonts w:ascii="黑体" w:hAnsi="Arial" w:eastAsia="黑体"/>
      <w:b/>
      <w:bCs/>
      <w:kern w:val="2"/>
      <w:sz w:val="30"/>
      <w:szCs w:val="30"/>
      <w:lang w:val="en-US" w:eastAsia="zh-CN" w:bidi="ar-SA"/>
    </w:rPr>
  </w:style>
  <w:style w:type="character" w:customStyle="1" w:styleId="169">
    <w:name w:val="chang正文 Char"/>
    <w:link w:val="170"/>
    <w:qFormat/>
    <w:uiPriority w:val="0"/>
    <w:rPr>
      <w:rFonts w:ascii="Calibri" w:hAnsi="Calibri" w:eastAsia="宋体" w:cs="Times New Roman"/>
      <w:sz w:val="24"/>
      <w:szCs w:val="24"/>
      <w:lang w:val="zh-CN" w:eastAsia="zh-CN"/>
    </w:rPr>
  </w:style>
  <w:style w:type="paragraph" w:customStyle="1" w:styleId="170">
    <w:name w:val="chang正文"/>
    <w:basedOn w:val="1"/>
    <w:link w:val="169"/>
    <w:qFormat/>
    <w:uiPriority w:val="0"/>
    <w:pPr>
      <w:ind w:firstLine="200"/>
    </w:pPr>
    <w:rPr>
      <w:rFonts w:ascii="Calibri" w:hAnsi="Calibri"/>
      <w:lang w:val="zh-CN"/>
    </w:rPr>
  </w:style>
  <w:style w:type="character" w:customStyle="1" w:styleId="171">
    <w:name w:val="正文格式 Char3"/>
    <w:qFormat/>
    <w:uiPriority w:val="99"/>
    <w:rPr>
      <w:rFonts w:ascii="宋体" w:hAnsi="宋体" w:eastAsia="宋体"/>
      <w:kern w:val="2"/>
      <w:sz w:val="24"/>
      <w:szCs w:val="24"/>
      <w:lang w:val="en-US" w:eastAsia="zh-CN" w:bidi="ar-SA"/>
    </w:rPr>
  </w:style>
  <w:style w:type="character" w:customStyle="1" w:styleId="172">
    <w:name w:val="Char Char16"/>
    <w:qFormat/>
    <w:uiPriority w:val="0"/>
    <w:rPr>
      <w:rFonts w:eastAsia="宋体"/>
      <w:kern w:val="2"/>
      <w:sz w:val="18"/>
      <w:szCs w:val="18"/>
      <w:lang w:val="en-US" w:eastAsia="zh-CN" w:bidi="ar-SA"/>
    </w:rPr>
  </w:style>
  <w:style w:type="character" w:customStyle="1" w:styleId="173">
    <w:name w:val="标题 7 Char1"/>
    <w:qFormat/>
    <w:uiPriority w:val="99"/>
    <w:rPr>
      <w:rFonts w:eastAsia="宋体"/>
      <w:b/>
      <w:bCs/>
      <w:kern w:val="2"/>
      <w:sz w:val="24"/>
      <w:szCs w:val="24"/>
      <w:lang w:val="en-US" w:eastAsia="zh-CN" w:bidi="ar-SA"/>
    </w:rPr>
  </w:style>
  <w:style w:type="character" w:customStyle="1" w:styleId="174">
    <w:name w:val="燕山正文 Char16"/>
    <w:qFormat/>
    <w:uiPriority w:val="99"/>
    <w:rPr>
      <w:rFonts w:ascii="宋体" w:eastAsia="宋体" w:cs="宋体"/>
      <w:kern w:val="2"/>
      <w:sz w:val="24"/>
      <w:szCs w:val="24"/>
      <w:lang w:val="en-US" w:eastAsia="zh-CN" w:bidi="ar-SA"/>
    </w:rPr>
  </w:style>
  <w:style w:type="character" w:customStyle="1" w:styleId="175">
    <w:name w:val="题注 Char51"/>
    <w:qFormat/>
    <w:uiPriority w:val="99"/>
    <w:rPr>
      <w:rFonts w:ascii="黑体" w:hAnsi="Arial" w:eastAsia="黑体" w:cs="Arial"/>
      <w:b/>
      <w:kern w:val="2"/>
      <w:sz w:val="24"/>
      <w:szCs w:val="24"/>
      <w:lang w:val="en-US" w:eastAsia="zh-CN" w:bidi="ar-SA"/>
    </w:rPr>
  </w:style>
  <w:style w:type="character" w:customStyle="1" w:styleId="176">
    <w:name w:val="批注主题 字符"/>
    <w:link w:val="85"/>
    <w:qFormat/>
    <w:uiPriority w:val="99"/>
    <w:rPr>
      <w:rFonts w:ascii="Times New Roman" w:hAnsi="Times New Roman"/>
      <w:b/>
      <w:bCs/>
      <w:sz w:val="24"/>
    </w:rPr>
  </w:style>
  <w:style w:type="character" w:customStyle="1" w:styleId="177">
    <w:name w:val="批注文字 字符"/>
    <w:link w:val="28"/>
    <w:qFormat/>
    <w:uiPriority w:val="0"/>
    <w:rPr>
      <w:rFonts w:ascii="Times New Roman" w:hAnsi="Times New Roman"/>
      <w:sz w:val="24"/>
    </w:rPr>
  </w:style>
  <w:style w:type="character" w:customStyle="1" w:styleId="178">
    <w:name w:val="表中文字 Char211"/>
    <w:qFormat/>
    <w:uiPriority w:val="99"/>
    <w:rPr>
      <w:rFonts w:ascii="宋体" w:eastAsia="宋体"/>
      <w:kern w:val="2"/>
      <w:sz w:val="21"/>
      <w:szCs w:val="21"/>
      <w:lang w:val="en-US" w:eastAsia="zh-CN" w:bidi="ar-SA"/>
    </w:rPr>
  </w:style>
  <w:style w:type="character" w:customStyle="1" w:styleId="179">
    <w:name w:val="正文缩进 Char21"/>
    <w:qFormat/>
    <w:uiPriority w:val="99"/>
    <w:rPr>
      <w:rFonts w:ascii="宋体" w:hAnsi="宋体" w:eastAsia="宋体" w:cs="宋体"/>
      <w:color w:val="000000"/>
      <w:kern w:val="2"/>
      <w:sz w:val="24"/>
      <w:szCs w:val="24"/>
      <w:lang w:val="en-US" w:eastAsia="zh-CN" w:bidi="ar-SA"/>
    </w:rPr>
  </w:style>
  <w:style w:type="character" w:customStyle="1" w:styleId="180">
    <w:name w:val="chen 正文字体 Char"/>
    <w:link w:val="181"/>
    <w:qFormat/>
    <w:uiPriority w:val="0"/>
    <w:rPr>
      <w:rFonts w:ascii="宋体" w:hAnsi="宋体" w:eastAsia="宋体" w:cs="宋体"/>
      <w:color w:val="000000"/>
      <w:sz w:val="24"/>
      <w:szCs w:val="24"/>
    </w:rPr>
  </w:style>
  <w:style w:type="paragraph" w:customStyle="1" w:styleId="181">
    <w:name w:val="chen 正文字体"/>
    <w:basedOn w:val="1"/>
    <w:link w:val="180"/>
    <w:qFormat/>
    <w:uiPriority w:val="0"/>
    <w:pPr>
      <w:ind w:firstLine="200"/>
    </w:pPr>
    <w:rPr>
      <w:rFonts w:ascii="宋体" w:hAnsi="宋体" w:cs="宋体"/>
      <w:color w:val="000000"/>
    </w:rPr>
  </w:style>
  <w:style w:type="character" w:customStyle="1" w:styleId="182">
    <w:name w:val="副标题 字符"/>
    <w:link w:val="63"/>
    <w:qFormat/>
    <w:uiPriority w:val="99"/>
    <w:rPr>
      <w:rFonts w:eastAsia="宋体"/>
      <w:sz w:val="18"/>
      <w:szCs w:val="18"/>
    </w:rPr>
  </w:style>
  <w:style w:type="character" w:customStyle="1" w:styleId="183">
    <w:name w:val="图表题 Char"/>
    <w:link w:val="184"/>
    <w:qFormat/>
    <w:uiPriority w:val="0"/>
    <w:rPr>
      <w:rFonts w:ascii="黑体" w:hAnsi="宋体" w:eastAsia="黑体" w:cs="Times New Roman"/>
      <w:b/>
      <w:bCs/>
      <w:sz w:val="24"/>
      <w:szCs w:val="24"/>
      <w:lang w:val="zh-CN" w:eastAsia="zh-CN"/>
    </w:rPr>
  </w:style>
  <w:style w:type="paragraph" w:customStyle="1" w:styleId="184">
    <w:name w:val="图表题"/>
    <w:link w:val="183"/>
    <w:qFormat/>
    <w:uiPriority w:val="0"/>
    <w:pPr>
      <w:jc w:val="center"/>
    </w:pPr>
    <w:rPr>
      <w:rFonts w:ascii="黑体" w:hAnsi="宋体" w:eastAsia="黑体" w:cs="Times New Roman"/>
      <w:b/>
      <w:bCs/>
      <w:lang w:val="zh-CN" w:eastAsia="zh-CN" w:bidi="ar-SA"/>
    </w:rPr>
  </w:style>
  <w:style w:type="paragraph" w:customStyle="1" w:styleId="185">
    <w:name w:val="正文格式"/>
    <w:basedOn w:val="1"/>
    <w:link w:val="186"/>
    <w:qFormat/>
    <w:uiPriority w:val="0"/>
    <w:pPr>
      <w:ind w:firstLine="482"/>
    </w:pPr>
    <w:rPr>
      <w:rFonts w:ascii="宋体" w:hAnsi="Calibri" w:cs="宋体"/>
    </w:rPr>
  </w:style>
  <w:style w:type="character" w:customStyle="1" w:styleId="186">
    <w:name w:val="正文格式 Char"/>
    <w:link w:val="185"/>
    <w:qFormat/>
    <w:uiPriority w:val="0"/>
    <w:rPr>
      <w:rFonts w:ascii="宋体" w:eastAsia="宋体" w:cs="宋体"/>
      <w:sz w:val="24"/>
      <w:szCs w:val="24"/>
    </w:rPr>
  </w:style>
  <w:style w:type="character" w:customStyle="1" w:styleId="187">
    <w:name w:val="表题1 Char10"/>
    <w:qFormat/>
    <w:uiPriority w:val="99"/>
    <w:rPr>
      <w:rFonts w:hAnsi="Arial" w:eastAsia="宋体" w:cs="Arial"/>
      <w:kern w:val="2"/>
      <w:sz w:val="24"/>
      <w:szCs w:val="24"/>
      <w:lang w:val="en-US" w:eastAsia="zh-CN" w:bidi="ar-SA"/>
    </w:rPr>
  </w:style>
  <w:style w:type="character" w:customStyle="1" w:styleId="188">
    <w:name w:val="正文2 Char Char2"/>
    <w:qFormat/>
    <w:uiPriority w:val="0"/>
    <w:rPr>
      <w:rFonts w:eastAsia="仿宋_GB2312"/>
      <w:kern w:val="2"/>
      <w:sz w:val="24"/>
      <w:szCs w:val="24"/>
      <w:lang w:val="en-US" w:eastAsia="zh-CN" w:bidi="ar-SA"/>
    </w:rPr>
  </w:style>
  <w:style w:type="character" w:customStyle="1" w:styleId="189">
    <w:name w:val="图题注 Char3"/>
    <w:qFormat/>
    <w:uiPriority w:val="99"/>
    <w:rPr>
      <w:rFonts w:ascii="黑体" w:hAnsi="Arial" w:eastAsia="黑体" w:cs="宋体"/>
      <w:b/>
      <w:bCs/>
      <w:kern w:val="2"/>
      <w:sz w:val="24"/>
      <w:szCs w:val="24"/>
      <w:lang w:val="en-US" w:eastAsia="zh-CN" w:bidi="ar-SA"/>
    </w:rPr>
  </w:style>
  <w:style w:type="character" w:customStyle="1" w:styleId="190">
    <w:name w:val="WW-普通文字 Char"/>
    <w:link w:val="191"/>
    <w:qFormat/>
    <w:uiPriority w:val="0"/>
    <w:rPr>
      <w:rFonts w:ascii="宋体" w:hAnsi="宋体" w:eastAsia="宋体" w:cs="Times New Roman"/>
      <w:kern w:val="1"/>
      <w:sz w:val="24"/>
      <w:szCs w:val="24"/>
      <w:lang w:val="zh-CN" w:eastAsia="zh-CN"/>
    </w:rPr>
  </w:style>
  <w:style w:type="paragraph" w:customStyle="1" w:styleId="191">
    <w:name w:val="WW-普通文字"/>
    <w:basedOn w:val="1"/>
    <w:link w:val="190"/>
    <w:qFormat/>
    <w:uiPriority w:val="0"/>
    <w:pPr>
      <w:suppressAutoHyphens/>
      <w:ind w:firstLine="200"/>
    </w:pPr>
    <w:rPr>
      <w:rFonts w:ascii="宋体" w:hAnsi="宋体"/>
      <w:kern w:val="1"/>
      <w:lang w:val="zh-CN"/>
    </w:rPr>
  </w:style>
  <w:style w:type="character" w:customStyle="1" w:styleId="192">
    <w:name w:val="图题注 Char2"/>
    <w:qFormat/>
    <w:uiPriority w:val="99"/>
    <w:rPr>
      <w:rFonts w:ascii="黑体" w:hAnsi="Arial" w:eastAsia="黑体" w:cs="宋体"/>
      <w:b/>
      <w:bCs/>
      <w:kern w:val="2"/>
      <w:sz w:val="24"/>
      <w:szCs w:val="24"/>
      <w:lang w:val="en-US" w:eastAsia="zh-CN" w:bidi="ar-SA"/>
    </w:rPr>
  </w:style>
  <w:style w:type="character" w:customStyle="1" w:styleId="193">
    <w:name w:val="正文首行缩进 2 + Times New Roman Char1"/>
    <w:link w:val="194"/>
    <w:qFormat/>
    <w:uiPriority w:val="0"/>
    <w:rPr>
      <w:rFonts w:eastAsia="宋体"/>
      <w:color w:val="000000"/>
      <w:sz w:val="24"/>
      <w:szCs w:val="24"/>
    </w:rPr>
  </w:style>
  <w:style w:type="paragraph" w:customStyle="1" w:styleId="194">
    <w:name w:val="正文首行缩进 2 + Times New Roman"/>
    <w:basedOn w:val="1"/>
    <w:link w:val="193"/>
    <w:qFormat/>
    <w:uiPriority w:val="0"/>
    <w:pPr>
      <w:tabs>
        <w:tab w:val="left" w:pos="0"/>
        <w:tab w:val="left" w:pos="870"/>
        <w:tab w:val="left" w:pos="3150"/>
      </w:tabs>
      <w:autoSpaceDE w:val="0"/>
      <w:autoSpaceDN w:val="0"/>
      <w:ind w:firstLine="480"/>
    </w:pPr>
    <w:rPr>
      <w:rFonts w:ascii="Calibri" w:hAnsi="Calibri"/>
      <w:color w:val="000000"/>
    </w:rPr>
  </w:style>
  <w:style w:type="character" w:customStyle="1" w:styleId="195">
    <w:name w:val="Char Char43"/>
    <w:qFormat/>
    <w:uiPriority w:val="99"/>
    <w:rPr>
      <w:rFonts w:ascii="黑体" w:hAnsi="Arial" w:eastAsia="黑体"/>
      <w:b/>
      <w:bCs/>
      <w:kern w:val="2"/>
      <w:sz w:val="30"/>
      <w:szCs w:val="30"/>
      <w:lang w:val="en-US" w:eastAsia="zh-CN" w:bidi="ar-SA"/>
    </w:rPr>
  </w:style>
  <w:style w:type="character" w:customStyle="1" w:styleId="196">
    <w:name w:val="p141"/>
    <w:qFormat/>
    <w:uiPriority w:val="0"/>
    <w:rPr>
      <w:sz w:val="23"/>
      <w:szCs w:val="23"/>
      <w:u w:val="none"/>
    </w:rPr>
  </w:style>
  <w:style w:type="character" w:customStyle="1" w:styleId="197">
    <w:name w:val="占位符文本1"/>
    <w:qFormat/>
    <w:uiPriority w:val="99"/>
    <w:rPr>
      <w:color w:val="808080"/>
    </w:rPr>
  </w:style>
  <w:style w:type="character" w:customStyle="1" w:styleId="198">
    <w:name w:val="正文文本缩进 2 字符"/>
    <w:link w:val="51"/>
    <w:qFormat/>
    <w:uiPriority w:val="99"/>
    <w:rPr>
      <w:rFonts w:eastAsia="宋体"/>
      <w:szCs w:val="24"/>
    </w:rPr>
  </w:style>
  <w:style w:type="character" w:customStyle="1" w:styleId="199">
    <w:name w:val="text_14px1"/>
    <w:qFormat/>
    <w:uiPriority w:val="0"/>
    <w:rPr>
      <w:color w:val="000000"/>
      <w:sz w:val="21"/>
      <w:szCs w:val="21"/>
    </w:rPr>
  </w:style>
  <w:style w:type="character" w:customStyle="1" w:styleId="200">
    <w:name w:val="样式 正文文本 + (中文) 黑体 红色 Char Char Char Char Char1"/>
    <w:qFormat/>
    <w:uiPriority w:val="0"/>
    <w:rPr>
      <w:rFonts w:eastAsia="黑体"/>
      <w:snapToGrid w:val="0"/>
      <w:color w:val="FF0000"/>
      <w:kern w:val="2"/>
      <w:sz w:val="24"/>
      <w:szCs w:val="24"/>
      <w:lang w:val="en-US" w:eastAsia="zh-CN" w:bidi="ar-SA"/>
    </w:rPr>
  </w:style>
  <w:style w:type="character" w:customStyle="1" w:styleId="201">
    <w:name w:val="题注 Char4"/>
    <w:qFormat/>
    <w:uiPriority w:val="0"/>
    <w:rPr>
      <w:rFonts w:ascii="Arial" w:hAnsi="Arial" w:eastAsia="黑体" w:cs="Arial"/>
      <w:sz w:val="20"/>
      <w:szCs w:val="20"/>
    </w:rPr>
  </w:style>
  <w:style w:type="character" w:customStyle="1" w:styleId="202">
    <w:name w:val="燕山正文 Char14"/>
    <w:qFormat/>
    <w:uiPriority w:val="99"/>
    <w:rPr>
      <w:rFonts w:ascii="宋体" w:eastAsia="宋体" w:cs="宋体"/>
      <w:kern w:val="2"/>
      <w:sz w:val="24"/>
      <w:szCs w:val="24"/>
      <w:lang w:val="en-US" w:eastAsia="zh-CN" w:bidi="ar-SA"/>
    </w:rPr>
  </w:style>
  <w:style w:type="character" w:customStyle="1" w:styleId="203">
    <w:name w:val="一级项 Char1"/>
    <w:qFormat/>
    <w:uiPriority w:val="99"/>
    <w:rPr>
      <w:rFonts w:eastAsia="宋体"/>
      <w:b/>
      <w:bCs/>
      <w:kern w:val="2"/>
      <w:sz w:val="28"/>
      <w:szCs w:val="28"/>
      <w:lang w:val="en-US" w:eastAsia="zh-CN" w:bidi="ar-SA"/>
    </w:rPr>
  </w:style>
  <w:style w:type="character" w:customStyle="1" w:styleId="204">
    <w:name w:val="纯文本 字符"/>
    <w:link w:val="45"/>
    <w:qFormat/>
    <w:uiPriority w:val="99"/>
    <w:rPr>
      <w:rFonts w:ascii="宋体" w:hAnsi="Courier New" w:eastAsia="宋体"/>
      <w:spacing w:val="10"/>
    </w:rPr>
  </w:style>
  <w:style w:type="character" w:customStyle="1" w:styleId="205">
    <w:name w:val="In Table Char"/>
    <w:link w:val="206"/>
    <w:qFormat/>
    <w:uiPriority w:val="0"/>
    <w:rPr>
      <w:rFonts w:ascii="Tahoma" w:hAnsi="Tahoma" w:eastAsia="华文中宋"/>
    </w:rPr>
  </w:style>
  <w:style w:type="paragraph" w:customStyle="1" w:styleId="206">
    <w:name w:val="In Table"/>
    <w:basedOn w:val="1"/>
    <w:link w:val="205"/>
    <w:qFormat/>
    <w:uiPriority w:val="0"/>
    <w:pPr>
      <w:tabs>
        <w:tab w:val="left" w:pos="3960"/>
        <w:tab w:val="left" w:pos="5280"/>
      </w:tabs>
      <w:spacing w:before="96" w:after="96" w:line="0" w:lineRule="atLeast"/>
      <w:jc w:val="center"/>
    </w:pPr>
    <w:rPr>
      <w:rFonts w:ascii="Tahoma" w:hAnsi="Tahoma" w:eastAsia="华文中宋"/>
      <w:sz w:val="21"/>
    </w:rPr>
  </w:style>
  <w:style w:type="character" w:customStyle="1" w:styleId="207">
    <w:name w:val="p21"/>
    <w:qFormat/>
    <w:uiPriority w:val="0"/>
    <w:rPr>
      <w:rFonts w:hint="default"/>
      <w:color w:val="0000A0"/>
    </w:rPr>
  </w:style>
  <w:style w:type="character" w:customStyle="1" w:styleId="208">
    <w:name w:val="第一层条 Char3"/>
    <w:qFormat/>
    <w:uiPriority w:val="0"/>
    <w:rPr>
      <w:rFonts w:ascii="仿宋_GB2312" w:eastAsia="仿宋_GB2312"/>
      <w:b/>
      <w:kern w:val="2"/>
      <w:sz w:val="28"/>
      <w:lang w:val="en-US" w:eastAsia="zh-CN" w:bidi="ar-SA"/>
    </w:rPr>
  </w:style>
  <w:style w:type="character" w:customStyle="1" w:styleId="209">
    <w:name w:val="正文(首行缩进) Char"/>
    <w:link w:val="210"/>
    <w:qFormat/>
    <w:uiPriority w:val="0"/>
    <w:rPr>
      <w:rFonts w:ascii="宋体" w:hAnsi="宋体" w:eastAsia="宋体"/>
      <w:snapToGrid w:val="0"/>
      <w:color w:val="000000"/>
      <w:sz w:val="24"/>
      <w:szCs w:val="32"/>
    </w:rPr>
  </w:style>
  <w:style w:type="paragraph" w:customStyle="1" w:styleId="210">
    <w:name w:val="正文(首行缩进)"/>
    <w:basedOn w:val="1"/>
    <w:link w:val="209"/>
    <w:qFormat/>
    <w:uiPriority w:val="0"/>
    <w:pPr>
      <w:ind w:firstLine="480"/>
    </w:pPr>
    <w:rPr>
      <w:rFonts w:ascii="宋体" w:hAnsi="宋体"/>
      <w:snapToGrid w:val="0"/>
      <w:color w:val="000000"/>
      <w:szCs w:val="32"/>
    </w:rPr>
  </w:style>
  <w:style w:type="character" w:customStyle="1" w:styleId="211">
    <w:name w:val="表格内字体 Char61"/>
    <w:qFormat/>
    <w:uiPriority w:val="99"/>
    <w:rPr>
      <w:rFonts w:ascii="宋体" w:hAnsi="宋体" w:eastAsia="宋体" w:cs="Times New Roman"/>
      <w:kern w:val="2"/>
      <w:sz w:val="24"/>
      <w:szCs w:val="24"/>
      <w:lang w:val="en-US" w:eastAsia="zh-CN" w:bidi="ar-SA"/>
    </w:rPr>
  </w:style>
  <w:style w:type="character" w:customStyle="1" w:styleId="212">
    <w:name w:val="正文首行缩进 Char Char Char"/>
    <w:qFormat/>
    <w:uiPriority w:val="0"/>
    <w:rPr>
      <w:rFonts w:eastAsia="宋体"/>
      <w:sz w:val="28"/>
      <w:lang w:val="en-US" w:eastAsia="zh-CN" w:bidi="ar-SA"/>
    </w:rPr>
  </w:style>
  <w:style w:type="character" w:customStyle="1" w:styleId="213">
    <w:name w:val="正文格式 Char8"/>
    <w:qFormat/>
    <w:uiPriority w:val="99"/>
    <w:rPr>
      <w:rFonts w:ascii="宋体" w:hAnsi="宋体" w:eastAsia="宋体"/>
      <w:kern w:val="2"/>
      <w:sz w:val="24"/>
      <w:szCs w:val="24"/>
      <w:lang w:val="en-US" w:eastAsia="zh-CN" w:bidi="ar-SA"/>
    </w:rPr>
  </w:style>
  <w:style w:type="character" w:customStyle="1" w:styleId="214">
    <w:name w:val="页脚 Char3"/>
    <w:qFormat/>
    <w:uiPriority w:val="99"/>
    <w:rPr>
      <w:rFonts w:eastAsia="宋体"/>
      <w:kern w:val="2"/>
      <w:sz w:val="18"/>
      <w:szCs w:val="18"/>
      <w:lang w:val="en-US" w:eastAsia="zh-CN" w:bidi="ar-SA"/>
    </w:rPr>
  </w:style>
  <w:style w:type="character" w:customStyle="1" w:styleId="215">
    <w:name w:val="题注 Char512"/>
    <w:qFormat/>
    <w:uiPriority w:val="99"/>
    <w:rPr>
      <w:rFonts w:ascii="黑体" w:hAnsi="Arial" w:eastAsia="黑体" w:cs="Arial"/>
      <w:b/>
      <w:kern w:val="2"/>
      <w:sz w:val="24"/>
      <w:szCs w:val="24"/>
      <w:lang w:val="en-US" w:eastAsia="zh-CN" w:bidi="ar-SA"/>
    </w:rPr>
  </w:style>
  <w:style w:type="character" w:customStyle="1" w:styleId="216">
    <w:name w:val="表格文字2 Char"/>
    <w:qFormat/>
    <w:uiPriority w:val="0"/>
    <w:rPr>
      <w:rFonts w:eastAsia="宋体"/>
      <w:sz w:val="21"/>
      <w:szCs w:val="21"/>
      <w:lang w:val="en-US" w:eastAsia="zh-CN" w:bidi="ar-SA"/>
    </w:rPr>
  </w:style>
  <w:style w:type="character" w:customStyle="1" w:styleId="217">
    <w:name w:val="H8 Char"/>
    <w:qFormat/>
    <w:uiPriority w:val="99"/>
    <w:rPr>
      <w:rFonts w:ascii="Arial" w:hAnsi="Arial" w:eastAsia="宋体"/>
      <w:spacing w:val="5"/>
      <w:kern w:val="2"/>
      <w:sz w:val="28"/>
      <w:lang w:val="en-US" w:eastAsia="zh-CN" w:bidi="ar-SA"/>
    </w:rPr>
  </w:style>
  <w:style w:type="character" w:customStyle="1" w:styleId="218">
    <w:name w:val="text251"/>
    <w:qFormat/>
    <w:uiPriority w:val="0"/>
    <w:rPr>
      <w:sz w:val="20"/>
      <w:szCs w:val="20"/>
    </w:rPr>
  </w:style>
  <w:style w:type="character" w:customStyle="1" w:styleId="219">
    <w:name w:val="H7 Char"/>
    <w:qFormat/>
    <w:uiPriority w:val="0"/>
    <w:rPr>
      <w:rFonts w:eastAsia="宋体"/>
      <w:spacing w:val="5"/>
      <w:kern w:val="2"/>
      <w:sz w:val="28"/>
      <w:lang w:val="en-US" w:eastAsia="zh-CN" w:bidi="ar-SA"/>
    </w:rPr>
  </w:style>
  <w:style w:type="character" w:customStyle="1" w:styleId="220">
    <w:name w:val="Char Char113"/>
    <w:qFormat/>
    <w:uiPriority w:val="99"/>
    <w:rPr>
      <w:rFonts w:ascii="黑体" w:hAnsi="Arial" w:eastAsia="黑体"/>
      <w:bCs/>
      <w:kern w:val="2"/>
      <w:sz w:val="30"/>
      <w:szCs w:val="30"/>
      <w:lang w:val="en-US" w:eastAsia="zh-CN" w:bidi="ar-SA"/>
    </w:rPr>
  </w:style>
  <w:style w:type="character" w:customStyle="1" w:styleId="221">
    <w:name w:val="批注框文本 字符"/>
    <w:link w:val="54"/>
    <w:qFormat/>
    <w:uiPriority w:val="99"/>
    <w:rPr>
      <w:sz w:val="18"/>
      <w:szCs w:val="18"/>
    </w:rPr>
  </w:style>
  <w:style w:type="character" w:customStyle="1" w:styleId="222">
    <w:name w:val="新正文 Char1"/>
    <w:link w:val="223"/>
    <w:qFormat/>
    <w:uiPriority w:val="0"/>
    <w:rPr>
      <w:rFonts w:ascii="仿宋_GB2312" w:hAnsi="Times New Roman" w:eastAsia="仿宋_GB2312" w:cs="Times New Roman"/>
      <w:bCs/>
      <w:kern w:val="0"/>
      <w:sz w:val="28"/>
      <w:szCs w:val="20"/>
    </w:rPr>
  </w:style>
  <w:style w:type="paragraph" w:customStyle="1" w:styleId="223">
    <w:name w:val="新正文"/>
    <w:basedOn w:val="1"/>
    <w:link w:val="222"/>
    <w:qFormat/>
    <w:uiPriority w:val="0"/>
    <w:pPr>
      <w:spacing w:line="480" w:lineRule="exact"/>
      <w:ind w:firstLine="567"/>
    </w:pPr>
    <w:rPr>
      <w:rFonts w:ascii="仿宋_GB2312" w:eastAsia="仿宋_GB2312"/>
      <w:bCs/>
      <w:kern w:val="0"/>
      <w:sz w:val="28"/>
      <w:szCs w:val="20"/>
    </w:rPr>
  </w:style>
  <w:style w:type="character" w:customStyle="1" w:styleId="224">
    <w:name w:val="标题 4，节"/>
    <w:qFormat/>
    <w:uiPriority w:val="0"/>
    <w:rPr>
      <w:rFonts w:ascii="黑体" w:hAnsi="Arial" w:eastAsia="黑体"/>
      <w:bCs/>
      <w:kern w:val="2"/>
      <w:sz w:val="24"/>
      <w:szCs w:val="24"/>
      <w:lang w:val="en-US" w:eastAsia="zh-CN" w:bidi="ar-SA"/>
    </w:rPr>
  </w:style>
  <w:style w:type="character" w:customStyle="1" w:styleId="225">
    <w:name w:val="MC SYSTEM"/>
    <w:qFormat/>
    <w:uiPriority w:val="0"/>
    <w:rPr>
      <w:rFonts w:ascii="Arial" w:hAnsi="Arial" w:eastAsia="宋体" w:cs="Arial"/>
      <w:color w:val="000080"/>
      <w:sz w:val="18"/>
      <w:szCs w:val="20"/>
    </w:rPr>
  </w:style>
  <w:style w:type="character" w:customStyle="1" w:styleId="226">
    <w:name w:val="chen正文字体11 Char"/>
    <w:link w:val="227"/>
    <w:qFormat/>
    <w:uiPriority w:val="0"/>
    <w:rPr>
      <w:rFonts w:eastAsia="宋体" w:cs="宋体"/>
      <w:color w:val="000000"/>
      <w:sz w:val="24"/>
    </w:rPr>
  </w:style>
  <w:style w:type="paragraph" w:customStyle="1" w:styleId="227">
    <w:name w:val="chen正文字体11"/>
    <w:basedOn w:val="1"/>
    <w:link w:val="226"/>
    <w:qFormat/>
    <w:uiPriority w:val="0"/>
    <w:pPr>
      <w:ind w:firstLine="480"/>
    </w:pPr>
    <w:rPr>
      <w:rFonts w:ascii="Calibri" w:hAnsi="Calibri" w:cs="宋体"/>
      <w:color w:val="000000"/>
    </w:rPr>
  </w:style>
  <w:style w:type="character" w:customStyle="1" w:styleId="228">
    <w:name w:val="标题 3 Char11"/>
    <w:qFormat/>
    <w:uiPriority w:val="99"/>
    <w:rPr>
      <w:rFonts w:ascii="黑体" w:hAnsi="宋体" w:eastAsia="黑体"/>
      <w:b/>
      <w:bCs/>
      <w:kern w:val="2"/>
      <w:sz w:val="28"/>
      <w:szCs w:val="28"/>
      <w:lang w:val="en-US" w:eastAsia="zh-CN" w:bidi="ar-SA"/>
    </w:rPr>
  </w:style>
  <w:style w:type="character" w:customStyle="1" w:styleId="229">
    <w:name w:val="表标题 Char"/>
    <w:link w:val="230"/>
    <w:qFormat/>
    <w:uiPriority w:val="0"/>
    <w:rPr>
      <w:rFonts w:ascii="黑体" w:eastAsia="黑体"/>
      <w:b/>
      <w:bCs/>
      <w:szCs w:val="24"/>
    </w:rPr>
  </w:style>
  <w:style w:type="paragraph" w:customStyle="1" w:styleId="230">
    <w:name w:val="表标题"/>
    <w:basedOn w:val="1"/>
    <w:link w:val="229"/>
    <w:qFormat/>
    <w:uiPriority w:val="0"/>
    <w:pPr>
      <w:spacing w:line="320" w:lineRule="atLeast"/>
      <w:jc w:val="center"/>
    </w:pPr>
    <w:rPr>
      <w:rFonts w:ascii="黑体" w:hAnsi="Calibri" w:eastAsia="黑体"/>
      <w:b/>
      <w:bCs/>
      <w:sz w:val="21"/>
    </w:rPr>
  </w:style>
  <w:style w:type="character" w:customStyle="1" w:styleId="231">
    <w:name w:val="页眉 字符"/>
    <w:link w:val="57"/>
    <w:qFormat/>
    <w:uiPriority w:val="99"/>
    <w:rPr>
      <w:rFonts w:ascii="Times New Roman" w:hAnsi="Times New Roman" w:eastAsia="宋体"/>
      <w:sz w:val="18"/>
      <w:szCs w:val="18"/>
    </w:rPr>
  </w:style>
  <w:style w:type="character" w:customStyle="1" w:styleId="232">
    <w:name w:val="日期 字符"/>
    <w:basedOn w:val="133"/>
    <w:link w:val="50"/>
    <w:qFormat/>
    <w:uiPriority w:val="99"/>
  </w:style>
  <w:style w:type="character" w:customStyle="1" w:styleId="233">
    <w:name w:val="页脚 字符"/>
    <w:link w:val="55"/>
    <w:qFormat/>
    <w:uiPriority w:val="99"/>
    <w:rPr>
      <w:sz w:val="18"/>
      <w:szCs w:val="18"/>
    </w:rPr>
  </w:style>
  <w:style w:type="character" w:customStyle="1" w:styleId="234">
    <w:name w:val="列表 字符"/>
    <w:link w:val="65"/>
    <w:qFormat/>
    <w:uiPriority w:val="0"/>
    <w:rPr>
      <w:rFonts w:ascii="仿宋_GB2312" w:hAnsi="Times New Roman" w:eastAsia="仿宋_GB2312" w:cs="Times New Roman"/>
      <w:sz w:val="24"/>
      <w:szCs w:val="20"/>
    </w:rPr>
  </w:style>
  <w:style w:type="character" w:customStyle="1" w:styleId="235">
    <w:name w:val="第二层条 Char1"/>
    <w:qFormat/>
    <w:uiPriority w:val="0"/>
    <w:rPr>
      <w:rFonts w:ascii="仿宋_GB2312" w:eastAsia="仿宋_GB2312"/>
      <w:kern w:val="2"/>
      <w:sz w:val="28"/>
      <w:szCs w:val="24"/>
      <w:lang w:val="en-US" w:eastAsia="zh-CN" w:bidi="ar-SA"/>
    </w:rPr>
  </w:style>
  <w:style w:type="character" w:customStyle="1" w:styleId="236">
    <w:name w:val="正文文本缩进 Char3"/>
    <w:qFormat/>
    <w:uiPriority w:val="99"/>
    <w:rPr>
      <w:rFonts w:ascii="宋体" w:hAnsi="宋体" w:eastAsia="宋体" w:cs="宋体"/>
      <w:color w:val="000000"/>
      <w:kern w:val="2"/>
      <w:sz w:val="24"/>
      <w:szCs w:val="24"/>
      <w:lang w:val="en-US" w:eastAsia="zh-CN" w:bidi="ar-SA"/>
    </w:rPr>
  </w:style>
  <w:style w:type="character" w:customStyle="1" w:styleId="237">
    <w:name w:val="Char Char122"/>
    <w:qFormat/>
    <w:uiPriority w:val="99"/>
    <w:rPr>
      <w:rFonts w:ascii="黑体" w:hAnsi="Arial" w:eastAsia="黑体"/>
      <w:b/>
      <w:bCs/>
      <w:kern w:val="2"/>
      <w:sz w:val="30"/>
      <w:szCs w:val="30"/>
      <w:lang w:val="en-US" w:eastAsia="zh-CN" w:bidi="ar-SA"/>
    </w:rPr>
  </w:style>
  <w:style w:type="character" w:customStyle="1" w:styleId="238">
    <w:name w:val="样式1 Char"/>
    <w:link w:val="239"/>
    <w:qFormat/>
    <w:uiPriority w:val="0"/>
    <w:rPr>
      <w:rFonts w:ascii="Times New Roman" w:hAnsi="Times New Roman" w:eastAsia="宋体" w:cs="Times New Roman"/>
      <w:sz w:val="28"/>
      <w:szCs w:val="20"/>
    </w:rPr>
  </w:style>
  <w:style w:type="paragraph" w:customStyle="1" w:styleId="239">
    <w:name w:val="样式1"/>
    <w:basedOn w:val="1"/>
    <w:link w:val="238"/>
    <w:qFormat/>
    <w:uiPriority w:val="0"/>
    <w:pPr>
      <w:spacing w:line="480" w:lineRule="exact"/>
      <w:ind w:firstLine="567"/>
    </w:pPr>
    <w:rPr>
      <w:sz w:val="28"/>
      <w:szCs w:val="20"/>
    </w:rPr>
  </w:style>
  <w:style w:type="character" w:customStyle="1" w:styleId="240">
    <w:name w:val="报告书表格 Char"/>
    <w:link w:val="241"/>
    <w:qFormat/>
    <w:uiPriority w:val="0"/>
    <w:rPr>
      <w:rFonts w:ascii="Times New Roman" w:hAnsi="Times New Roman" w:eastAsia="宋体" w:cs="Times New Roman"/>
      <w:kern w:val="0"/>
      <w:szCs w:val="20"/>
    </w:rPr>
  </w:style>
  <w:style w:type="paragraph" w:customStyle="1" w:styleId="241">
    <w:name w:val="报告书表格"/>
    <w:basedOn w:val="1"/>
    <w:link w:val="240"/>
    <w:qFormat/>
    <w:uiPriority w:val="0"/>
    <w:pPr>
      <w:spacing w:line="240" w:lineRule="auto"/>
      <w:jc w:val="center"/>
      <w:textAlignment w:val="baseline"/>
    </w:pPr>
    <w:rPr>
      <w:kern w:val="0"/>
      <w:sz w:val="21"/>
      <w:szCs w:val="20"/>
    </w:rPr>
  </w:style>
  <w:style w:type="character" w:customStyle="1" w:styleId="242">
    <w:name w:val="正文文本缩进 字符"/>
    <w:link w:val="35"/>
    <w:qFormat/>
    <w:uiPriority w:val="0"/>
    <w:rPr>
      <w:rFonts w:ascii="Times New Roman" w:hAnsi="Times New Roman" w:eastAsia="宋体" w:cs="Times New Roman"/>
      <w:szCs w:val="24"/>
    </w:rPr>
  </w:style>
  <w:style w:type="character" w:customStyle="1" w:styleId="243">
    <w:name w:val="rightsubhead1"/>
    <w:qFormat/>
    <w:uiPriority w:val="0"/>
    <w:rPr>
      <w:rFonts w:hint="default" w:ascii="Arial" w:hAnsi="Arial" w:cs="Arial"/>
      <w:color w:val="333333"/>
      <w:sz w:val="20"/>
      <w:szCs w:val="20"/>
    </w:rPr>
  </w:style>
  <w:style w:type="character" w:customStyle="1" w:styleId="244">
    <w:name w:val="报告书表格 Char 字元 字元"/>
    <w:link w:val="245"/>
    <w:qFormat/>
    <w:uiPriority w:val="0"/>
    <w:rPr>
      <w:rFonts w:ascii="Times New Roman" w:hAnsi="宋体" w:eastAsia="宋体" w:cs="Times New Roman"/>
      <w:kern w:val="0"/>
      <w:szCs w:val="21"/>
      <w:lang w:val="zh-CN" w:eastAsia="zh-CN"/>
    </w:rPr>
  </w:style>
  <w:style w:type="paragraph" w:customStyle="1" w:styleId="245">
    <w:name w:val="报告书表格 Char 字元"/>
    <w:basedOn w:val="1"/>
    <w:link w:val="244"/>
    <w:qFormat/>
    <w:uiPriority w:val="0"/>
    <w:pPr>
      <w:spacing w:line="0" w:lineRule="atLeast"/>
      <w:ind w:left="160" w:leftChars="57"/>
      <w:jc w:val="center"/>
      <w:textAlignment w:val="baseline"/>
    </w:pPr>
    <w:rPr>
      <w:rFonts w:hAnsi="宋体"/>
      <w:kern w:val="0"/>
      <w:sz w:val="21"/>
      <w:szCs w:val="21"/>
      <w:lang w:val="zh-CN"/>
    </w:rPr>
  </w:style>
  <w:style w:type="character" w:customStyle="1" w:styleId="246">
    <w:name w:val="正文文本缩进 2 Char1"/>
    <w:qFormat/>
    <w:uiPriority w:val="0"/>
    <w:rPr>
      <w:rFonts w:ascii="Times New Roman" w:hAnsi="Times New Roman"/>
      <w:sz w:val="24"/>
    </w:rPr>
  </w:style>
  <w:style w:type="character" w:customStyle="1" w:styleId="247">
    <w:name w:val="图表题 Char11"/>
    <w:qFormat/>
    <w:uiPriority w:val="99"/>
    <w:rPr>
      <w:rFonts w:ascii="黑体" w:hAnsi="宋体" w:eastAsia="黑体" w:cs="宋体"/>
      <w:b/>
      <w:bCs/>
      <w:kern w:val="2"/>
      <w:sz w:val="24"/>
      <w:szCs w:val="24"/>
      <w:lang w:val="en-US" w:eastAsia="zh-CN" w:bidi="ar-SA"/>
    </w:rPr>
  </w:style>
  <w:style w:type="character" w:customStyle="1" w:styleId="248">
    <w:name w:val="题注 Char11"/>
    <w:qFormat/>
    <w:uiPriority w:val="99"/>
    <w:rPr>
      <w:rFonts w:ascii="黑体" w:hAnsi="Arial" w:eastAsia="黑体" w:cs="Arial"/>
      <w:b/>
      <w:kern w:val="2"/>
      <w:sz w:val="24"/>
      <w:szCs w:val="24"/>
      <w:lang w:val="en-US" w:eastAsia="zh-CN" w:bidi="ar-SA"/>
    </w:rPr>
  </w:style>
  <w:style w:type="character" w:customStyle="1" w:styleId="249">
    <w:name w:val="样式 报告 + Times New Roman Char Char Char Char Char Char Char Char Char Char Char Char Char Char Char Char Char"/>
    <w:link w:val="250"/>
    <w:qFormat/>
    <w:uiPriority w:val="0"/>
    <w:rPr>
      <w:rFonts w:ascii="Calibri" w:hAnsi="Calibri" w:eastAsia="宋体" w:cs="Times New Roman"/>
      <w:sz w:val="28"/>
      <w:szCs w:val="28"/>
      <w:lang w:val="zh-CN" w:eastAsia="zh-CN"/>
    </w:rPr>
  </w:style>
  <w:style w:type="paragraph" w:customStyle="1" w:styleId="250">
    <w:name w:val="样式 报告 + Times New Roman Char Char Char Char Char Char Char Char Char Char Char Char Char Char Char Char"/>
    <w:link w:val="249"/>
    <w:qFormat/>
    <w:uiPriority w:val="0"/>
    <w:pPr>
      <w:spacing w:line="500" w:lineRule="exact"/>
    </w:pPr>
    <w:rPr>
      <w:rFonts w:ascii="Calibri" w:hAnsi="Calibri" w:eastAsia="宋体" w:cs="Times New Roman"/>
      <w:kern w:val="2"/>
      <w:sz w:val="28"/>
      <w:szCs w:val="28"/>
      <w:lang w:val="zh-CN" w:eastAsia="zh-CN" w:bidi="ar-SA"/>
    </w:rPr>
  </w:style>
  <w:style w:type="paragraph" w:customStyle="1" w:styleId="251">
    <w:name w:val="报告"/>
    <w:basedOn w:val="1"/>
    <w:qFormat/>
    <w:uiPriority w:val="0"/>
    <w:pPr>
      <w:ind w:firstLine="505"/>
      <w:textAlignment w:val="center"/>
    </w:pPr>
    <w:rPr>
      <w:rFonts w:ascii="TimesNewRoman" w:hAnsi="TimesNewRoman"/>
      <w:kern w:val="0"/>
      <w:szCs w:val="20"/>
    </w:rPr>
  </w:style>
  <w:style w:type="character" w:customStyle="1" w:styleId="252">
    <w:name w:val="标题 1 Char2"/>
    <w:qFormat/>
    <w:uiPriority w:val="99"/>
    <w:rPr>
      <w:rFonts w:ascii="Times New Roman" w:hAnsi="Times New Roman" w:eastAsia="宋体" w:cs="Times New Roman"/>
      <w:b/>
      <w:bCs/>
      <w:kern w:val="44"/>
      <w:sz w:val="44"/>
      <w:szCs w:val="44"/>
    </w:rPr>
  </w:style>
  <w:style w:type="character" w:customStyle="1" w:styleId="253">
    <w:name w:val="s11"/>
    <w:qFormat/>
    <w:uiPriority w:val="0"/>
    <w:rPr>
      <w:color w:val="000000"/>
      <w:sz w:val="20"/>
      <w:szCs w:val="20"/>
      <w:u w:val="none"/>
    </w:rPr>
  </w:style>
  <w:style w:type="character" w:customStyle="1" w:styleId="254">
    <w:name w:val="标题 3 Char1"/>
    <w:qFormat/>
    <w:uiPriority w:val="0"/>
    <w:rPr>
      <w:rFonts w:ascii="Times New Roman" w:hAnsi="Times New Roman" w:eastAsia="宋体" w:cs="Times New Roman"/>
      <w:b/>
      <w:bCs/>
      <w:sz w:val="32"/>
      <w:szCs w:val="32"/>
    </w:rPr>
  </w:style>
  <w:style w:type="character" w:customStyle="1" w:styleId="255">
    <w:name w:val="注释标题 字符"/>
    <w:link w:val="16"/>
    <w:qFormat/>
    <w:uiPriority w:val="99"/>
    <w:rPr>
      <w:rFonts w:ascii="Times New Roman" w:hAnsi="Times New Roman" w:eastAsia="宋体" w:cs="Times New Roman"/>
      <w:szCs w:val="20"/>
      <w:lang w:val="zh-CN" w:eastAsia="zh-CN"/>
    </w:rPr>
  </w:style>
  <w:style w:type="character" w:customStyle="1" w:styleId="256">
    <w:name w:val="HTS 1 Char"/>
    <w:qFormat/>
    <w:uiPriority w:val="0"/>
    <w:rPr>
      <w:rFonts w:ascii="楷体_GB2312" w:eastAsia="楷体_GB2312"/>
      <w:b/>
      <w:kern w:val="44"/>
      <w:sz w:val="30"/>
      <w:lang w:val="en-US" w:eastAsia="zh-CN" w:bidi="ar-SA"/>
    </w:rPr>
  </w:style>
  <w:style w:type="character" w:customStyle="1" w:styleId="257">
    <w:name w:val="表题1 Char611"/>
    <w:qFormat/>
    <w:uiPriority w:val="99"/>
    <w:rPr>
      <w:rFonts w:ascii="黑体" w:hAnsi="Arial" w:eastAsia="黑体" w:cs="Arial"/>
      <w:b/>
      <w:kern w:val="2"/>
      <w:sz w:val="24"/>
      <w:szCs w:val="24"/>
      <w:lang w:val="en-US" w:eastAsia="zh-CN" w:bidi="ar-SA"/>
    </w:rPr>
  </w:style>
  <w:style w:type="character" w:customStyle="1" w:styleId="258">
    <w:name w:val="章节 Char"/>
    <w:qFormat/>
    <w:uiPriority w:val="99"/>
    <w:rPr>
      <w:rFonts w:ascii="楷体_GB2312" w:eastAsia="楷体_GB2312"/>
      <w:b/>
      <w:kern w:val="44"/>
      <w:sz w:val="30"/>
      <w:lang w:val="en-US" w:eastAsia="zh-CN" w:bidi="ar-SA"/>
    </w:rPr>
  </w:style>
  <w:style w:type="character" w:customStyle="1" w:styleId="259">
    <w:name w:val="正文图 Char Char1"/>
    <w:qFormat/>
    <w:uiPriority w:val="0"/>
    <w:rPr>
      <w:rFonts w:ascii="宋体" w:eastAsia="宋体"/>
      <w:sz w:val="24"/>
      <w:lang w:val="en-US" w:eastAsia="zh-CN" w:bidi="ar-SA"/>
    </w:rPr>
  </w:style>
  <w:style w:type="character" w:customStyle="1" w:styleId="260">
    <w:name w:val="chen表头1 Char"/>
    <w:link w:val="261"/>
    <w:qFormat/>
    <w:uiPriority w:val="0"/>
    <w:rPr>
      <w:rFonts w:eastAsia="楷体_GB2312" w:cs="宋体"/>
      <w:b/>
      <w:sz w:val="24"/>
    </w:rPr>
  </w:style>
  <w:style w:type="paragraph" w:customStyle="1" w:styleId="261">
    <w:name w:val="chen表头1"/>
    <w:basedOn w:val="1"/>
    <w:link w:val="260"/>
    <w:qFormat/>
    <w:uiPriority w:val="0"/>
    <w:pPr>
      <w:spacing w:after="120"/>
      <w:jc w:val="center"/>
    </w:pPr>
    <w:rPr>
      <w:rFonts w:ascii="Calibri" w:hAnsi="Calibri" w:eastAsia="楷体_GB2312" w:cs="宋体"/>
      <w:b/>
    </w:rPr>
  </w:style>
  <w:style w:type="character" w:customStyle="1" w:styleId="262">
    <w:name w:val="p93"/>
    <w:qFormat/>
    <w:uiPriority w:val="0"/>
    <w:rPr>
      <w:color w:val="635401"/>
      <w:sz w:val="18"/>
      <w:szCs w:val="18"/>
    </w:rPr>
  </w:style>
  <w:style w:type="character" w:customStyle="1" w:styleId="263">
    <w:name w:val="表 Char"/>
    <w:qFormat/>
    <w:uiPriority w:val="0"/>
    <w:rPr>
      <w:rFonts w:ascii="Arial" w:hAnsi="Arial" w:eastAsia="宋体" w:cs="Arial"/>
      <w:b/>
      <w:kern w:val="2"/>
      <w:sz w:val="21"/>
      <w:szCs w:val="24"/>
      <w:lang w:val="en-US" w:eastAsia="zh-CN" w:bidi="ar-SA"/>
    </w:rPr>
  </w:style>
  <w:style w:type="character" w:customStyle="1" w:styleId="264">
    <w:name w:val="标题 21"/>
    <w:qFormat/>
    <w:uiPriority w:val="0"/>
    <w:rPr>
      <w:rFonts w:ascii="仿宋_GB2312" w:eastAsia="仿宋_GB2312"/>
      <w:b/>
      <w:kern w:val="2"/>
      <w:sz w:val="28"/>
      <w:lang w:val="en-US" w:eastAsia="zh-CN" w:bidi="ar-SA"/>
    </w:rPr>
  </w:style>
  <w:style w:type="character" w:customStyle="1" w:styleId="265">
    <w:name w:val="正文C1 Char"/>
    <w:link w:val="266"/>
    <w:qFormat/>
    <w:uiPriority w:val="0"/>
    <w:rPr>
      <w:rFonts w:ascii="宋体" w:eastAsia="宋体"/>
      <w:szCs w:val="28"/>
    </w:rPr>
  </w:style>
  <w:style w:type="paragraph" w:customStyle="1" w:styleId="266">
    <w:name w:val="正文C1"/>
    <w:basedOn w:val="87"/>
    <w:link w:val="265"/>
    <w:qFormat/>
    <w:uiPriority w:val="0"/>
    <w:pPr>
      <w:tabs>
        <w:tab w:val="left" w:pos="420"/>
        <w:tab w:val="left" w:pos="870"/>
        <w:tab w:val="left" w:pos="3150"/>
      </w:tabs>
      <w:autoSpaceDE w:val="0"/>
      <w:autoSpaceDN w:val="0"/>
      <w:spacing w:after="0" w:line="336" w:lineRule="auto"/>
      <w:ind w:left="0" w:leftChars="0" w:firstLine="200"/>
      <w:textAlignment w:val="baseline"/>
    </w:pPr>
    <w:rPr>
      <w:rFonts w:ascii="宋体"/>
      <w:szCs w:val="28"/>
    </w:rPr>
  </w:style>
  <w:style w:type="character" w:customStyle="1" w:styleId="267">
    <w:name w:val="正文文本首行缩进 2 字符"/>
    <w:link w:val="87"/>
    <w:qFormat/>
    <w:uiPriority w:val="99"/>
    <w:rPr>
      <w:rFonts w:eastAsia="宋体"/>
      <w:szCs w:val="24"/>
    </w:rPr>
  </w:style>
  <w:style w:type="character" w:customStyle="1" w:styleId="268">
    <w:name w:val="font_141"/>
    <w:qFormat/>
    <w:uiPriority w:val="0"/>
    <w:rPr>
      <w:rFonts w:hint="default" w:ascii="ˎ̥" w:hAnsi="ˎ̥"/>
      <w:sz w:val="21"/>
    </w:rPr>
  </w:style>
  <w:style w:type="character" w:customStyle="1" w:styleId="269">
    <w:name w:val="infodetail"/>
    <w:basedOn w:val="133"/>
    <w:qFormat/>
    <w:uiPriority w:val="0"/>
  </w:style>
  <w:style w:type="character" w:customStyle="1" w:styleId="270">
    <w:name w:val="表头 Char"/>
    <w:qFormat/>
    <w:uiPriority w:val="0"/>
    <w:rPr>
      <w:rFonts w:ascii="黑体" w:eastAsia="黑体"/>
      <w:b/>
      <w:bCs/>
      <w:color w:val="000000"/>
      <w:kern w:val="2"/>
      <w:sz w:val="24"/>
      <w:szCs w:val="24"/>
      <w:lang w:val="en-US" w:eastAsia="zh-CN" w:bidi="ar-SA"/>
    </w:rPr>
  </w:style>
  <w:style w:type="character" w:customStyle="1" w:styleId="271">
    <w:name w:val="css-text3"/>
    <w:basedOn w:val="133"/>
    <w:qFormat/>
    <w:uiPriority w:val="0"/>
  </w:style>
  <w:style w:type="character" w:customStyle="1" w:styleId="272">
    <w:name w:val="正文样式 Char2"/>
    <w:link w:val="273"/>
    <w:qFormat/>
    <w:uiPriority w:val="0"/>
    <w:rPr>
      <w:sz w:val="24"/>
      <w:szCs w:val="28"/>
    </w:rPr>
  </w:style>
  <w:style w:type="paragraph" w:customStyle="1" w:styleId="273">
    <w:name w:val="正文样式"/>
    <w:link w:val="272"/>
    <w:qFormat/>
    <w:uiPriority w:val="0"/>
    <w:pPr>
      <w:tabs>
        <w:tab w:val="left" w:pos="420"/>
        <w:tab w:val="left" w:pos="560"/>
      </w:tabs>
      <w:adjustRightInd w:val="0"/>
      <w:snapToGrid w:val="0"/>
      <w:spacing w:line="360" w:lineRule="auto"/>
      <w:ind w:firstLine="200" w:firstLineChars="200"/>
    </w:pPr>
    <w:rPr>
      <w:rFonts w:ascii="Calibri" w:hAnsi="Calibri" w:eastAsia="宋体" w:cs="Times New Roman"/>
      <w:kern w:val="2"/>
      <w:sz w:val="24"/>
      <w:szCs w:val="28"/>
      <w:lang w:val="en-US" w:eastAsia="zh-CN" w:bidi="ar-SA"/>
    </w:rPr>
  </w:style>
  <w:style w:type="character" w:customStyle="1" w:styleId="274">
    <w:name w:val="正文文本 2 字符"/>
    <w:link w:val="75"/>
    <w:qFormat/>
    <w:uiPriority w:val="0"/>
    <w:rPr>
      <w:rFonts w:ascii="Times New Roman" w:hAnsi="Times New Roman" w:eastAsia="宋体" w:cs="Times New Roman"/>
      <w:szCs w:val="21"/>
    </w:rPr>
  </w:style>
  <w:style w:type="character" w:customStyle="1" w:styleId="275">
    <w:name w:val="上标"/>
    <w:qFormat/>
    <w:uiPriority w:val="0"/>
    <w:rPr>
      <w:vertAlign w:val="superscript"/>
    </w:rPr>
  </w:style>
  <w:style w:type="character" w:customStyle="1" w:styleId="276">
    <w:name w:val="标题 2 Char Char"/>
    <w:qFormat/>
    <w:uiPriority w:val="0"/>
    <w:rPr>
      <w:rFonts w:ascii="仿宋_GB2312" w:hAnsi="宋体" w:eastAsia="仿宋_GB2312"/>
      <w:sz w:val="30"/>
    </w:rPr>
  </w:style>
  <w:style w:type="character" w:customStyle="1" w:styleId="277">
    <w:name w:val="正文缩进 Char6"/>
    <w:qFormat/>
    <w:uiPriority w:val="99"/>
    <w:rPr>
      <w:rFonts w:ascii="宋体" w:hAnsi="宋体" w:eastAsia="宋体"/>
      <w:kern w:val="2"/>
      <w:sz w:val="24"/>
      <w:szCs w:val="24"/>
      <w:lang w:val="en-US" w:eastAsia="zh-CN" w:bidi="ar-SA"/>
    </w:rPr>
  </w:style>
  <w:style w:type="character" w:customStyle="1" w:styleId="278">
    <w:name w:val="章节1"/>
    <w:qFormat/>
    <w:uiPriority w:val="0"/>
    <w:rPr>
      <w:rFonts w:ascii="楷体_GB2312" w:eastAsia="楷体_GB2312"/>
      <w:b/>
      <w:kern w:val="44"/>
      <w:sz w:val="30"/>
      <w:lang w:val="en-US" w:eastAsia="zh-CN" w:bidi="ar-SA"/>
    </w:rPr>
  </w:style>
  <w:style w:type="character" w:customStyle="1" w:styleId="279">
    <w:name w:val="图表标题wj Char"/>
    <w:link w:val="280"/>
    <w:qFormat/>
    <w:uiPriority w:val="0"/>
    <w:rPr>
      <w:rFonts w:ascii="黑体" w:eastAsia="黑体"/>
      <w:b/>
      <w:sz w:val="24"/>
      <w:szCs w:val="24"/>
    </w:rPr>
  </w:style>
  <w:style w:type="paragraph" w:customStyle="1" w:styleId="280">
    <w:name w:val="图表标题wj"/>
    <w:basedOn w:val="1"/>
    <w:link w:val="279"/>
    <w:qFormat/>
    <w:uiPriority w:val="0"/>
    <w:pPr>
      <w:jc w:val="center"/>
    </w:pPr>
    <w:rPr>
      <w:rFonts w:ascii="黑体" w:hAnsi="Calibri" w:eastAsia="黑体"/>
      <w:b/>
    </w:rPr>
  </w:style>
  <w:style w:type="character" w:customStyle="1" w:styleId="281">
    <w:name w:val="H23 Char1"/>
    <w:qFormat/>
    <w:uiPriority w:val="0"/>
    <w:rPr>
      <w:rFonts w:ascii="仿宋_GB2312" w:eastAsia="仿宋_GB2312"/>
      <w:b/>
      <w:kern w:val="2"/>
      <w:sz w:val="28"/>
      <w:lang w:val="en-US" w:eastAsia="zh-CN" w:bidi="ar-SA"/>
    </w:rPr>
  </w:style>
  <w:style w:type="character" w:customStyle="1" w:styleId="282">
    <w:name w:val="正文图 Char Char"/>
    <w:link w:val="283"/>
    <w:qFormat/>
    <w:uiPriority w:val="0"/>
    <w:rPr>
      <w:rFonts w:ascii="宋体" w:eastAsia="宋体"/>
      <w:sz w:val="24"/>
    </w:rPr>
  </w:style>
  <w:style w:type="paragraph" w:customStyle="1" w:styleId="283">
    <w:name w:val="正文图 Char"/>
    <w:basedOn w:val="1"/>
    <w:link w:val="282"/>
    <w:qFormat/>
    <w:uiPriority w:val="0"/>
    <w:pPr>
      <w:spacing w:line="240" w:lineRule="auto"/>
      <w:jc w:val="center"/>
      <w:textAlignment w:val="baseline"/>
    </w:pPr>
    <w:rPr>
      <w:rFonts w:ascii="宋体" w:hAnsi="Calibri"/>
    </w:rPr>
  </w:style>
  <w:style w:type="character" w:customStyle="1" w:styleId="284">
    <w:name w:val="小五 Char Char Char1"/>
    <w:qFormat/>
    <w:uiPriority w:val="0"/>
    <w:rPr>
      <w:rFonts w:ascii="宋体" w:hAnsi="宋体" w:eastAsia="宋体"/>
      <w:kern w:val="2"/>
      <w:sz w:val="21"/>
      <w:szCs w:val="21"/>
      <w:lang w:val="en-US" w:eastAsia="zh-CN" w:bidi="ar-SA"/>
    </w:rPr>
  </w:style>
  <w:style w:type="character" w:customStyle="1" w:styleId="285">
    <w:name w:val="text31"/>
    <w:qFormat/>
    <w:uiPriority w:val="0"/>
    <w:rPr>
      <w:rFonts w:hint="eastAsia" w:ascii="宋体" w:hAnsi="宋体" w:eastAsia="宋体"/>
      <w:color w:val="673434"/>
      <w:sz w:val="22"/>
      <w:szCs w:val="22"/>
      <w:u w:val="none"/>
    </w:rPr>
  </w:style>
  <w:style w:type="character" w:customStyle="1" w:styleId="286">
    <w:name w:val="p14"/>
    <w:basedOn w:val="133"/>
    <w:qFormat/>
    <w:uiPriority w:val="99"/>
  </w:style>
  <w:style w:type="character" w:customStyle="1" w:styleId="287">
    <w:name w:val="表中文字 Char24"/>
    <w:qFormat/>
    <w:uiPriority w:val="99"/>
    <w:rPr>
      <w:rFonts w:ascii="宋体" w:eastAsia="宋体"/>
      <w:kern w:val="2"/>
      <w:sz w:val="21"/>
      <w:szCs w:val="21"/>
      <w:lang w:val="en-US" w:eastAsia="zh-CN" w:bidi="ar-SA"/>
    </w:rPr>
  </w:style>
  <w:style w:type="character" w:customStyle="1" w:styleId="288">
    <w:name w:val="页眉zxl Char1"/>
    <w:qFormat/>
    <w:uiPriority w:val="99"/>
    <w:rPr>
      <w:rFonts w:eastAsia="宋体"/>
      <w:kern w:val="2"/>
      <w:sz w:val="18"/>
      <w:szCs w:val="18"/>
      <w:lang w:val="en-US" w:eastAsia="zh-CN" w:bidi="ar-SA"/>
    </w:rPr>
  </w:style>
  <w:style w:type="character" w:customStyle="1" w:styleId="289">
    <w:name w:val="标题 2 Char5"/>
    <w:qFormat/>
    <w:uiPriority w:val="99"/>
    <w:rPr>
      <w:rFonts w:ascii="黑体" w:hAnsi="Arial" w:eastAsia="黑体"/>
      <w:bCs/>
      <w:kern w:val="2"/>
      <w:sz w:val="30"/>
      <w:szCs w:val="30"/>
      <w:lang w:val="en-US" w:eastAsia="zh-CN" w:bidi="ar-SA"/>
    </w:rPr>
  </w:style>
  <w:style w:type="character" w:customStyle="1" w:styleId="290">
    <w:name w:val="标题 2 Char4"/>
    <w:qFormat/>
    <w:uiPriority w:val="99"/>
    <w:rPr>
      <w:rFonts w:ascii="黑体" w:hAnsi="Arial" w:eastAsia="黑体" w:cs="Times New Roman"/>
      <w:bCs/>
      <w:kern w:val="2"/>
      <w:sz w:val="30"/>
      <w:szCs w:val="30"/>
      <w:lang w:val="en-US" w:eastAsia="zh-CN" w:bidi="ar-SA"/>
    </w:rPr>
  </w:style>
  <w:style w:type="character" w:customStyle="1" w:styleId="291">
    <w:name w:val="ttk"/>
    <w:basedOn w:val="133"/>
    <w:qFormat/>
    <w:uiPriority w:val="0"/>
  </w:style>
  <w:style w:type="character" w:customStyle="1" w:styleId="292">
    <w:name w:val="标题 41"/>
    <w:qFormat/>
    <w:uiPriority w:val="99"/>
    <w:rPr>
      <w:rFonts w:eastAsia="宋体"/>
      <w:spacing w:val="5"/>
      <w:kern w:val="2"/>
      <w:sz w:val="28"/>
      <w:lang w:val="en-US" w:eastAsia="zh-CN" w:bidi="ar-SA"/>
    </w:rPr>
  </w:style>
  <w:style w:type="character" w:customStyle="1" w:styleId="293">
    <w:name w:val="标题 4wj"/>
    <w:qFormat/>
    <w:uiPriority w:val="0"/>
    <w:rPr>
      <w:rFonts w:ascii="黑体" w:hAnsi="Arial" w:eastAsia="黑体"/>
      <w:bCs/>
      <w:kern w:val="2"/>
      <w:sz w:val="24"/>
      <w:szCs w:val="24"/>
      <w:lang w:val="en-US" w:eastAsia="zh-CN" w:bidi="ar-SA"/>
    </w:rPr>
  </w:style>
  <w:style w:type="character" w:customStyle="1" w:styleId="294">
    <w:name w:val="章节 Char2"/>
    <w:qFormat/>
    <w:uiPriority w:val="0"/>
    <w:rPr>
      <w:rFonts w:ascii="楷体_GB2312" w:eastAsia="楷体_GB2312"/>
      <w:b/>
      <w:kern w:val="44"/>
      <w:sz w:val="30"/>
      <w:lang w:val="en-US" w:eastAsia="zh-CN" w:bidi="ar-SA"/>
    </w:rPr>
  </w:style>
  <w:style w:type="character" w:customStyle="1" w:styleId="295">
    <w:name w:val="表格文字 Char"/>
    <w:link w:val="296"/>
    <w:qFormat/>
    <w:uiPriority w:val="0"/>
    <w:rPr>
      <w:rFonts w:eastAsia="宋体"/>
      <w:szCs w:val="24"/>
    </w:rPr>
  </w:style>
  <w:style w:type="paragraph" w:customStyle="1" w:styleId="296">
    <w:name w:val="表格文字"/>
    <w:basedOn w:val="1"/>
    <w:link w:val="295"/>
    <w:qFormat/>
    <w:uiPriority w:val="0"/>
    <w:pPr>
      <w:spacing w:line="360" w:lineRule="atLeast"/>
      <w:jc w:val="center"/>
    </w:pPr>
    <w:rPr>
      <w:rFonts w:ascii="Calibri" w:hAnsi="Calibri"/>
      <w:sz w:val="21"/>
    </w:rPr>
  </w:style>
  <w:style w:type="character" w:customStyle="1" w:styleId="297">
    <w:name w:val="题1 Char"/>
    <w:link w:val="298"/>
    <w:qFormat/>
    <w:uiPriority w:val="0"/>
    <w:rPr>
      <w:rFonts w:cs="Arial"/>
      <w:b/>
      <w:bCs/>
      <w:sz w:val="32"/>
      <w:szCs w:val="32"/>
    </w:rPr>
  </w:style>
  <w:style w:type="paragraph" w:customStyle="1" w:styleId="298">
    <w:name w:val="题1"/>
    <w:basedOn w:val="84"/>
    <w:link w:val="297"/>
    <w:qFormat/>
    <w:uiPriority w:val="0"/>
    <w:pPr>
      <w:spacing w:before="120" w:after="120"/>
      <w:jc w:val="left"/>
    </w:pPr>
    <w:rPr>
      <w:rFonts w:cs="Arial"/>
      <w:b/>
      <w:bCs/>
      <w:sz w:val="32"/>
      <w:szCs w:val="32"/>
    </w:rPr>
  </w:style>
  <w:style w:type="character" w:customStyle="1" w:styleId="299">
    <w:name w:val="标题 字符"/>
    <w:link w:val="84"/>
    <w:qFormat/>
    <w:uiPriority w:val="99"/>
    <w:rPr>
      <w:rFonts w:eastAsia="宋体"/>
      <w:szCs w:val="24"/>
    </w:rPr>
  </w:style>
  <w:style w:type="character" w:customStyle="1" w:styleId="300">
    <w:name w:val="g Char Char"/>
    <w:qFormat/>
    <w:uiPriority w:val="0"/>
    <w:rPr>
      <w:rFonts w:eastAsia="宋体"/>
      <w:kern w:val="2"/>
      <w:sz w:val="18"/>
      <w:lang w:val="en-US" w:eastAsia="zh-CN" w:bidi="ar-SA"/>
    </w:rPr>
  </w:style>
  <w:style w:type="character" w:customStyle="1" w:styleId="301">
    <w:name w:val="小五 Char Char Char"/>
    <w:link w:val="302"/>
    <w:qFormat/>
    <w:uiPriority w:val="0"/>
    <w:rPr>
      <w:rFonts w:ascii="宋体" w:hAnsi="宋体"/>
      <w:szCs w:val="21"/>
    </w:rPr>
  </w:style>
  <w:style w:type="paragraph" w:customStyle="1" w:styleId="302">
    <w:name w:val="小五 Char Char"/>
    <w:link w:val="301"/>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character" w:customStyle="1" w:styleId="303">
    <w:name w:val="第一层条 Char4"/>
    <w:qFormat/>
    <w:uiPriority w:val="0"/>
    <w:rPr>
      <w:rFonts w:ascii="仿宋_GB2312" w:eastAsia="仿宋_GB2312"/>
      <w:b/>
      <w:kern w:val="2"/>
      <w:sz w:val="28"/>
      <w:lang w:val="en-US" w:eastAsia="zh-CN" w:bidi="ar-SA"/>
    </w:rPr>
  </w:style>
  <w:style w:type="character" w:customStyle="1" w:styleId="304">
    <w:name w:val="样式 标题 2节 + 宋体 左 Char Char1"/>
    <w:qFormat/>
    <w:uiPriority w:val="0"/>
    <w:rPr>
      <w:rFonts w:ascii="宋体" w:hAnsi="宋体" w:eastAsia="宋体" w:cs="宋体"/>
      <w:b/>
      <w:bCs/>
      <w:kern w:val="2"/>
      <w:sz w:val="28"/>
      <w:szCs w:val="24"/>
      <w:lang w:val="en-US" w:eastAsia="zh-CN" w:bidi="ar-SA"/>
    </w:rPr>
  </w:style>
  <w:style w:type="character" w:customStyle="1" w:styleId="305">
    <w:name w:val="H6 Char"/>
    <w:qFormat/>
    <w:uiPriority w:val="0"/>
    <w:rPr>
      <w:rFonts w:eastAsia="宋体"/>
      <w:spacing w:val="5"/>
      <w:kern w:val="2"/>
      <w:sz w:val="28"/>
      <w:lang w:val="en-US" w:eastAsia="zh-CN" w:bidi="ar-SA"/>
    </w:rPr>
  </w:style>
  <w:style w:type="character" w:customStyle="1" w:styleId="306">
    <w:name w:val="hhcwt正文 Char"/>
    <w:link w:val="307"/>
    <w:qFormat/>
    <w:uiPriority w:val="0"/>
    <w:rPr>
      <w:rFonts w:eastAsia="宋体" w:cs="宋体"/>
      <w:sz w:val="24"/>
    </w:rPr>
  </w:style>
  <w:style w:type="paragraph" w:customStyle="1" w:styleId="307">
    <w:name w:val="hhcwt正文"/>
    <w:basedOn w:val="1"/>
    <w:link w:val="306"/>
    <w:qFormat/>
    <w:uiPriority w:val="0"/>
    <w:pPr>
      <w:ind w:firstLine="480"/>
    </w:pPr>
    <w:rPr>
      <w:rFonts w:ascii="Calibri" w:hAnsi="Calibri" w:cs="宋体"/>
    </w:rPr>
  </w:style>
  <w:style w:type="character" w:customStyle="1" w:styleId="308">
    <w:name w:val="正文缩进3"/>
    <w:qFormat/>
    <w:uiPriority w:val="0"/>
    <w:rPr>
      <w:rFonts w:eastAsia="宋体"/>
      <w:kern w:val="2"/>
      <w:sz w:val="21"/>
      <w:szCs w:val="24"/>
      <w:lang w:val="en-US" w:eastAsia="zh-CN" w:bidi="ar-SA"/>
    </w:rPr>
  </w:style>
  <w:style w:type="character" w:customStyle="1" w:styleId="309">
    <w:name w:val="第一层条 Char5"/>
    <w:qFormat/>
    <w:uiPriority w:val="0"/>
    <w:rPr>
      <w:rFonts w:ascii="仿宋_GB2312" w:eastAsia="仿宋_GB2312"/>
      <w:b/>
      <w:kern w:val="2"/>
      <w:sz w:val="28"/>
      <w:lang w:val="en-US" w:eastAsia="zh-CN" w:bidi="ar-SA"/>
    </w:rPr>
  </w:style>
  <w:style w:type="character" w:customStyle="1" w:styleId="310">
    <w:name w:val="第一层条 Char1"/>
    <w:qFormat/>
    <w:uiPriority w:val="0"/>
    <w:rPr>
      <w:rFonts w:ascii="仿宋_GB2312" w:eastAsia="仿宋_GB2312"/>
      <w:b/>
      <w:kern w:val="2"/>
      <w:sz w:val="28"/>
      <w:lang w:val="en-US" w:eastAsia="zh-CN" w:bidi="ar-SA"/>
    </w:rPr>
  </w:style>
  <w:style w:type="character" w:customStyle="1" w:styleId="311">
    <w:name w:val="hhcwt标题3 Char Char"/>
    <w:link w:val="312"/>
    <w:qFormat/>
    <w:uiPriority w:val="0"/>
    <w:rPr>
      <w:rFonts w:eastAsia="楷体_GB2312" w:cs="宋体"/>
      <w:bCs/>
      <w:sz w:val="28"/>
    </w:rPr>
  </w:style>
  <w:style w:type="paragraph" w:customStyle="1" w:styleId="312">
    <w:name w:val="hhcwt标题3"/>
    <w:basedOn w:val="1"/>
    <w:link w:val="311"/>
    <w:qFormat/>
    <w:uiPriority w:val="0"/>
    <w:pPr>
      <w:keepNext/>
      <w:keepLines/>
      <w:spacing w:line="336" w:lineRule="auto"/>
      <w:outlineLvl w:val="2"/>
    </w:pPr>
    <w:rPr>
      <w:rFonts w:ascii="Calibri" w:hAnsi="Calibri" w:eastAsia="楷体_GB2312" w:cs="宋体"/>
      <w:bCs/>
      <w:sz w:val="28"/>
    </w:rPr>
  </w:style>
  <w:style w:type="character" w:customStyle="1" w:styleId="313">
    <w:name w:val="正文文本缩进 3 字符"/>
    <w:link w:val="69"/>
    <w:qFormat/>
    <w:uiPriority w:val="99"/>
    <w:rPr>
      <w:rFonts w:ascii="Times New Roman" w:hAnsi="Times New Roman" w:eastAsia="宋体" w:cs="Times New Roman"/>
      <w:sz w:val="16"/>
      <w:szCs w:val="16"/>
    </w:rPr>
  </w:style>
  <w:style w:type="character" w:customStyle="1" w:styleId="314">
    <w:name w:val="A正文 Char3"/>
    <w:qFormat/>
    <w:uiPriority w:val="99"/>
    <w:rPr>
      <w:rFonts w:ascii="Times New Roman" w:hAnsi="Times New Roman" w:eastAsia="仿宋_GB2312" w:cs="Times New Roman"/>
      <w:kern w:val="0"/>
      <w:sz w:val="24"/>
      <w:szCs w:val="24"/>
      <w:lang w:val="en-US" w:eastAsia="zh-CN" w:bidi="ar-SA"/>
    </w:rPr>
  </w:style>
  <w:style w:type="character" w:customStyle="1" w:styleId="315">
    <w:name w:val="contents"/>
    <w:basedOn w:val="133"/>
    <w:qFormat/>
    <w:uiPriority w:val="0"/>
  </w:style>
  <w:style w:type="character" w:customStyle="1" w:styleId="316">
    <w:name w:val="Char Char1"/>
    <w:qFormat/>
    <w:uiPriority w:val="0"/>
    <w:rPr>
      <w:rFonts w:eastAsia="宋体"/>
      <w:kern w:val="2"/>
      <w:sz w:val="18"/>
      <w:szCs w:val="18"/>
      <w:lang w:val="en-US" w:eastAsia="zh-CN" w:bidi="ar-SA"/>
    </w:rPr>
  </w:style>
  <w:style w:type="character" w:customStyle="1" w:styleId="317">
    <w:name w:val="正文文本 字符"/>
    <w:qFormat/>
    <w:uiPriority w:val="0"/>
    <w:rPr>
      <w:rFonts w:eastAsia="宋体"/>
      <w:kern w:val="2"/>
      <w:sz w:val="18"/>
      <w:szCs w:val="24"/>
      <w:lang w:val="en-US" w:eastAsia="zh-CN" w:bidi="ar-SA"/>
    </w:rPr>
  </w:style>
  <w:style w:type="character" w:customStyle="1" w:styleId="318">
    <w:name w:val="样式 样式 样式 宋体 小四 行距: 多倍行距 1.4 字行2 + 黑色 + Times New Roman1 Char"/>
    <w:link w:val="319"/>
    <w:qFormat/>
    <w:uiPriority w:val="0"/>
    <w:rPr>
      <w:rFonts w:eastAsia="宋体" w:cs="宋体"/>
      <w:color w:val="000000"/>
      <w:sz w:val="24"/>
    </w:rPr>
  </w:style>
  <w:style w:type="paragraph" w:customStyle="1" w:styleId="319">
    <w:name w:val="样式 样式 样式 宋体 小四 行距: 多倍行距 1.4 字行2 + 黑色 + Times New Roman1"/>
    <w:basedOn w:val="1"/>
    <w:link w:val="318"/>
    <w:qFormat/>
    <w:uiPriority w:val="0"/>
    <w:pPr>
      <w:ind w:firstLine="200"/>
    </w:pPr>
    <w:rPr>
      <w:rFonts w:ascii="Calibri" w:hAnsi="Calibri" w:cs="宋体"/>
      <w:color w:val="000000"/>
    </w:rPr>
  </w:style>
  <w:style w:type="character" w:customStyle="1" w:styleId="320">
    <w:name w:val="正文缩进2"/>
    <w:qFormat/>
    <w:uiPriority w:val="99"/>
    <w:rPr>
      <w:rFonts w:eastAsia="宋体"/>
      <w:kern w:val="2"/>
      <w:sz w:val="21"/>
      <w:szCs w:val="24"/>
      <w:lang w:val="en-US" w:eastAsia="zh-CN" w:bidi="ar-SA"/>
    </w:rPr>
  </w:style>
  <w:style w:type="character" w:customStyle="1" w:styleId="321">
    <w:name w:val="图表标题 Char"/>
    <w:qFormat/>
    <w:uiPriority w:val="0"/>
    <w:rPr>
      <w:rFonts w:ascii="黑体" w:eastAsia="黑体"/>
      <w:b/>
      <w:kern w:val="2"/>
      <w:sz w:val="24"/>
      <w:szCs w:val="24"/>
      <w:lang w:val="en-US" w:eastAsia="zh-CN" w:bidi="ar-SA"/>
    </w:rPr>
  </w:style>
  <w:style w:type="character" w:customStyle="1" w:styleId="322">
    <w:name w:val="表头1 Char"/>
    <w:link w:val="323"/>
    <w:qFormat/>
    <w:uiPriority w:val="0"/>
    <w:rPr>
      <w:rFonts w:eastAsia="黑体"/>
      <w:szCs w:val="28"/>
    </w:rPr>
  </w:style>
  <w:style w:type="paragraph" w:customStyle="1" w:styleId="323">
    <w:name w:val="表头1"/>
    <w:basedOn w:val="1"/>
    <w:next w:val="1"/>
    <w:link w:val="322"/>
    <w:qFormat/>
    <w:uiPriority w:val="0"/>
    <w:pPr>
      <w:tabs>
        <w:tab w:val="left" w:pos="605"/>
      </w:tabs>
      <w:spacing w:line="240" w:lineRule="auto"/>
      <w:jc w:val="center"/>
    </w:pPr>
    <w:rPr>
      <w:rFonts w:ascii="Calibri" w:hAnsi="Calibri" w:eastAsia="黑体"/>
      <w:sz w:val="21"/>
      <w:szCs w:val="28"/>
    </w:rPr>
  </w:style>
  <w:style w:type="character" w:customStyle="1" w:styleId="324">
    <w:name w:val="hhcwt标题1 Char Char"/>
    <w:link w:val="325"/>
    <w:qFormat/>
    <w:uiPriority w:val="0"/>
    <w:rPr>
      <w:rFonts w:eastAsia="黑体" w:cs="宋体"/>
      <w:kern w:val="44"/>
      <w:sz w:val="36"/>
      <w:lang w:val="zh-CN"/>
    </w:rPr>
  </w:style>
  <w:style w:type="paragraph" w:customStyle="1" w:styleId="325">
    <w:name w:val="hhcwt标题1"/>
    <w:basedOn w:val="1"/>
    <w:link w:val="324"/>
    <w:qFormat/>
    <w:uiPriority w:val="0"/>
    <w:pPr>
      <w:keepNext/>
      <w:keepLines/>
      <w:autoSpaceDE w:val="0"/>
      <w:autoSpaceDN w:val="0"/>
      <w:spacing w:before="120" w:after="120" w:line="336" w:lineRule="auto"/>
      <w:outlineLvl w:val="0"/>
    </w:pPr>
    <w:rPr>
      <w:rFonts w:ascii="Calibri" w:hAnsi="Calibri" w:eastAsia="黑体" w:cs="宋体"/>
      <w:kern w:val="44"/>
      <w:sz w:val="36"/>
      <w:lang w:val="zh-CN"/>
    </w:rPr>
  </w:style>
  <w:style w:type="character" w:customStyle="1" w:styleId="326">
    <w:name w:val="第二层条 Char3"/>
    <w:qFormat/>
    <w:uiPriority w:val="0"/>
    <w:rPr>
      <w:rFonts w:ascii="仿宋_GB2312" w:eastAsia="仿宋_GB2312"/>
      <w:kern w:val="2"/>
      <w:sz w:val="28"/>
      <w:szCs w:val="24"/>
      <w:lang w:val="en-US" w:eastAsia="zh-CN" w:bidi="ar-SA"/>
    </w:rPr>
  </w:style>
  <w:style w:type="character" w:customStyle="1" w:styleId="327">
    <w:name w:val="样式 题注 + 黑体 非加粗 Char"/>
    <w:qFormat/>
    <w:uiPriority w:val="0"/>
    <w:rPr>
      <w:rFonts w:ascii="宋体" w:hAnsi="黑体" w:eastAsia="宋体" w:cs="Arial"/>
      <w:kern w:val="2"/>
      <w:sz w:val="24"/>
      <w:szCs w:val="24"/>
      <w:lang w:val="en-US" w:eastAsia="zh-CN" w:bidi="ar-SA"/>
    </w:rPr>
  </w:style>
  <w:style w:type="character" w:customStyle="1" w:styleId="328">
    <w:name w:val="题注 字符"/>
    <w:link w:val="22"/>
    <w:qFormat/>
    <w:uiPriority w:val="0"/>
    <w:rPr>
      <w:rFonts w:ascii="Arial" w:hAnsi="Arial" w:eastAsia="宋体" w:cs="Arial"/>
      <w:b/>
      <w:sz w:val="24"/>
    </w:rPr>
  </w:style>
  <w:style w:type="character" w:customStyle="1" w:styleId="329">
    <w:name w:val="大纲正文 Char"/>
    <w:link w:val="330"/>
    <w:qFormat/>
    <w:uiPriority w:val="0"/>
    <w:rPr>
      <w:rFonts w:ascii="Calibri" w:hAnsi="Calibri" w:eastAsia="宋体" w:cs="Times New Roman"/>
      <w:sz w:val="24"/>
      <w:szCs w:val="24"/>
      <w:lang w:val="zh-CN" w:eastAsia="zh-CN"/>
    </w:rPr>
  </w:style>
  <w:style w:type="paragraph" w:customStyle="1" w:styleId="330">
    <w:name w:val="大纲正文"/>
    <w:basedOn w:val="1"/>
    <w:link w:val="329"/>
    <w:qFormat/>
    <w:uiPriority w:val="0"/>
    <w:pPr>
      <w:widowControl/>
      <w:spacing w:afterLines="50" w:line="300" w:lineRule="auto"/>
      <w:ind w:firstLine="480"/>
    </w:pPr>
    <w:rPr>
      <w:rFonts w:ascii="Calibri" w:hAnsi="Calibri"/>
      <w:lang w:val="zh-CN"/>
    </w:rPr>
  </w:style>
  <w:style w:type="character" w:customStyle="1" w:styleId="331">
    <w:name w:val="标题 4 Char3"/>
    <w:qFormat/>
    <w:uiPriority w:val="99"/>
    <w:rPr>
      <w:rFonts w:ascii="Arial" w:hAnsi="Arial" w:eastAsia="黑体"/>
      <w:b/>
      <w:bCs/>
      <w:kern w:val="2"/>
      <w:sz w:val="28"/>
      <w:szCs w:val="28"/>
      <w:lang w:val="en-US" w:eastAsia="zh-CN" w:bidi="ar-SA"/>
    </w:rPr>
  </w:style>
  <w:style w:type="character" w:customStyle="1" w:styleId="332">
    <w:name w:val="标题1"/>
    <w:qFormat/>
    <w:uiPriority w:val="0"/>
    <w:rPr>
      <w:rFonts w:hint="eastAsia" w:ascii="黑体" w:eastAsia="黑体"/>
      <w:b/>
      <w:kern w:val="44"/>
      <w:sz w:val="24"/>
      <w:szCs w:val="24"/>
      <w:u w:val="none"/>
      <w:vertAlign w:val="baseline"/>
      <w:lang w:val="en-US" w:eastAsia="zh-CN" w:bidi="ar-SA"/>
    </w:rPr>
  </w:style>
  <w:style w:type="character" w:customStyle="1" w:styleId="333">
    <w:name w:val="f3"/>
    <w:basedOn w:val="133"/>
    <w:qFormat/>
    <w:uiPriority w:val="0"/>
  </w:style>
  <w:style w:type="character" w:customStyle="1" w:styleId="334">
    <w:name w:val="谏壁正文chen Char"/>
    <w:link w:val="335"/>
    <w:qFormat/>
    <w:uiPriority w:val="0"/>
    <w:rPr>
      <w:rFonts w:eastAsia="宋体"/>
      <w:sz w:val="24"/>
      <w:szCs w:val="24"/>
    </w:rPr>
  </w:style>
  <w:style w:type="paragraph" w:customStyle="1" w:styleId="335">
    <w:name w:val="谏壁正文chen"/>
    <w:basedOn w:val="1"/>
    <w:link w:val="334"/>
    <w:qFormat/>
    <w:uiPriority w:val="0"/>
    <w:pPr>
      <w:ind w:firstLine="200"/>
    </w:pPr>
    <w:rPr>
      <w:rFonts w:ascii="Calibri" w:hAnsi="Calibri"/>
    </w:rPr>
  </w:style>
  <w:style w:type="character" w:customStyle="1" w:styleId="336">
    <w:name w:val="样式 样式 宋体 小四 行距: 多倍行距 1.4 字行2 + 黑色 Char"/>
    <w:link w:val="337"/>
    <w:qFormat/>
    <w:uiPriority w:val="0"/>
    <w:rPr>
      <w:rFonts w:ascii="宋体" w:hAnsi="宋体" w:eastAsia="宋体" w:cs="宋体"/>
      <w:color w:val="000000"/>
      <w:sz w:val="24"/>
      <w:szCs w:val="24"/>
    </w:rPr>
  </w:style>
  <w:style w:type="paragraph" w:customStyle="1" w:styleId="337">
    <w:name w:val="样式 样式 宋体 小四 行距: 多倍行距 1.4 字行2 + 黑色"/>
    <w:basedOn w:val="1"/>
    <w:link w:val="336"/>
    <w:qFormat/>
    <w:uiPriority w:val="0"/>
    <w:pPr>
      <w:spacing w:line="336" w:lineRule="auto"/>
      <w:ind w:firstLine="480"/>
    </w:pPr>
    <w:rPr>
      <w:rFonts w:ascii="宋体" w:hAnsi="宋体" w:cs="宋体"/>
      <w:color w:val="000000"/>
    </w:rPr>
  </w:style>
  <w:style w:type="character" w:customStyle="1" w:styleId="338">
    <w:name w:val="nr1"/>
    <w:qFormat/>
    <w:uiPriority w:val="0"/>
    <w:rPr>
      <w:rFonts w:hint="eastAsia" w:ascii="宋体" w:hAnsi="宋体" w:eastAsia="宋体"/>
      <w:color w:val="000000"/>
      <w:sz w:val="22"/>
      <w:szCs w:val="22"/>
    </w:rPr>
  </w:style>
  <w:style w:type="character" w:customStyle="1" w:styleId="339">
    <w:name w:val="新正文 Char"/>
    <w:qFormat/>
    <w:uiPriority w:val="0"/>
    <w:rPr>
      <w:rFonts w:ascii="仿宋_GB2312" w:eastAsia="仿宋_GB2312"/>
      <w:bCs/>
      <w:sz w:val="28"/>
      <w:lang w:val="en-US" w:eastAsia="zh-CN" w:bidi="ar-SA"/>
    </w:rPr>
  </w:style>
  <w:style w:type="character" w:customStyle="1" w:styleId="340">
    <w:name w:val="批注框文本 字符1"/>
    <w:qFormat/>
    <w:uiPriority w:val="99"/>
    <w:rPr>
      <w:rFonts w:ascii="Times New Roman" w:hAnsi="Times New Roman" w:eastAsia="宋体" w:cs="Times New Roman"/>
      <w:sz w:val="18"/>
      <w:szCs w:val="18"/>
    </w:rPr>
  </w:style>
  <w:style w:type="character" w:customStyle="1" w:styleId="341">
    <w:name w:val="sect 1.23 Char"/>
    <w:qFormat/>
    <w:uiPriority w:val="0"/>
    <w:rPr>
      <w:rFonts w:ascii="仿宋_GB2312" w:hAnsi="Times New Roman" w:eastAsia="仿宋_GB2312" w:cs="Times New Roman"/>
      <w:b/>
      <w:sz w:val="28"/>
      <w:szCs w:val="20"/>
    </w:rPr>
  </w:style>
  <w:style w:type="character" w:customStyle="1" w:styleId="342">
    <w:name w:val="Char Char66"/>
    <w:qFormat/>
    <w:uiPriority w:val="99"/>
    <w:rPr>
      <w:rFonts w:ascii="黑体" w:eastAsia="黑体"/>
      <w:b/>
      <w:bCs/>
      <w:kern w:val="2"/>
      <w:sz w:val="28"/>
      <w:szCs w:val="28"/>
      <w:lang w:val="en-US" w:eastAsia="zh-CN" w:bidi="ar-SA"/>
    </w:rPr>
  </w:style>
  <w:style w:type="character" w:customStyle="1" w:styleId="343">
    <w:name w:val="sjTS Char"/>
    <w:qFormat/>
    <w:uiPriority w:val="0"/>
    <w:rPr>
      <w:rFonts w:ascii="黑体" w:hAnsi="宋体" w:eastAsia="黑体"/>
      <w:b/>
      <w:bCs/>
      <w:kern w:val="2"/>
      <w:sz w:val="24"/>
      <w:szCs w:val="24"/>
      <w:lang w:val="en-US" w:eastAsia="zh-CN" w:bidi="ar-SA"/>
    </w:rPr>
  </w:style>
  <w:style w:type="character" w:customStyle="1" w:styleId="344">
    <w:name w:val="节 Char"/>
    <w:qFormat/>
    <w:uiPriority w:val="0"/>
    <w:rPr>
      <w:rFonts w:ascii="宋体" w:hAnsi="宋体" w:eastAsia="宋体"/>
      <w:b/>
      <w:kern w:val="2"/>
      <w:sz w:val="28"/>
      <w:lang w:val="en-US" w:eastAsia="zh-CN" w:bidi="ar-SA"/>
    </w:rPr>
  </w:style>
  <w:style w:type="character" w:customStyle="1" w:styleId="345">
    <w:name w:val="题注 Char13"/>
    <w:qFormat/>
    <w:uiPriority w:val="99"/>
    <w:rPr>
      <w:rFonts w:ascii="黑体" w:hAnsi="Arial" w:eastAsia="黑体" w:cs="Arial"/>
      <w:b/>
      <w:kern w:val="2"/>
      <w:sz w:val="24"/>
      <w:szCs w:val="24"/>
      <w:lang w:val="en-US" w:eastAsia="zh-CN" w:bidi="ar-SA"/>
    </w:rPr>
  </w:style>
  <w:style w:type="character" w:customStyle="1" w:styleId="346">
    <w:name w:val="章节 Char3"/>
    <w:qFormat/>
    <w:uiPriority w:val="0"/>
    <w:rPr>
      <w:rFonts w:ascii="楷体_GB2312" w:eastAsia="楷体_GB2312"/>
      <w:b/>
      <w:kern w:val="44"/>
      <w:sz w:val="30"/>
      <w:lang w:val="en-US" w:eastAsia="zh-CN" w:bidi="ar-SA"/>
    </w:rPr>
  </w:style>
  <w:style w:type="character" w:customStyle="1" w:styleId="347">
    <w:name w:val="Char1"/>
    <w:qFormat/>
    <w:uiPriority w:val="0"/>
    <w:rPr>
      <w:rFonts w:eastAsia="宋体"/>
      <w:kern w:val="2"/>
      <w:sz w:val="18"/>
      <w:szCs w:val="18"/>
      <w:lang w:val="en-US" w:eastAsia="zh-CN" w:bidi="ar-SA"/>
    </w:rPr>
  </w:style>
  <w:style w:type="character" w:customStyle="1" w:styleId="348">
    <w:name w:val="9 Char Char"/>
    <w:qFormat/>
    <w:uiPriority w:val="0"/>
    <w:rPr>
      <w:rFonts w:eastAsia="宋体"/>
      <w:kern w:val="2"/>
      <w:sz w:val="28"/>
      <w:szCs w:val="28"/>
      <w:lang w:val="en-US" w:eastAsia="zh-CN" w:bidi="ar-SA"/>
    </w:rPr>
  </w:style>
  <w:style w:type="character" w:customStyle="1" w:styleId="349">
    <w:name w:val="第三层条 Char3"/>
    <w:qFormat/>
    <w:uiPriority w:val="0"/>
    <w:rPr>
      <w:rFonts w:eastAsia="宋体"/>
      <w:spacing w:val="5"/>
      <w:kern w:val="2"/>
      <w:sz w:val="28"/>
      <w:lang w:val="en-US" w:eastAsia="zh-CN" w:bidi="ar-SA"/>
    </w:rPr>
  </w:style>
  <w:style w:type="character" w:customStyle="1" w:styleId="350">
    <w:name w:val="ourfont31"/>
    <w:qFormat/>
    <w:uiPriority w:val="0"/>
    <w:rPr>
      <w:spacing w:val="20"/>
      <w:sz w:val="21"/>
      <w:szCs w:val="21"/>
    </w:rPr>
  </w:style>
  <w:style w:type="character" w:customStyle="1" w:styleId="351">
    <w:name w:val="p9l1"/>
    <w:qFormat/>
    <w:uiPriority w:val="99"/>
    <w:rPr>
      <w:sz w:val="18"/>
      <w:szCs w:val="18"/>
      <w:u w:val="none"/>
    </w:rPr>
  </w:style>
  <w:style w:type="character" w:customStyle="1" w:styleId="352">
    <w:name w:val="报告 Char Char Char Char"/>
    <w:link w:val="353"/>
    <w:qFormat/>
    <w:uiPriority w:val="0"/>
    <w:rPr>
      <w:rFonts w:ascii="Times New Roman" w:hAnsi="Times New Roman" w:eastAsia="宋体" w:cs="Times New Roman"/>
      <w:sz w:val="24"/>
      <w:szCs w:val="24"/>
    </w:rPr>
  </w:style>
  <w:style w:type="paragraph" w:customStyle="1" w:styleId="353">
    <w:name w:val="报告 Char Char Char"/>
    <w:basedOn w:val="1"/>
    <w:link w:val="352"/>
    <w:qFormat/>
    <w:uiPriority w:val="0"/>
    <w:pPr>
      <w:ind w:firstLine="505"/>
      <w:textAlignment w:val="baseline"/>
    </w:pPr>
  </w:style>
  <w:style w:type="character" w:customStyle="1" w:styleId="354">
    <w:name w:val="Char Char42"/>
    <w:qFormat/>
    <w:uiPriority w:val="99"/>
    <w:rPr>
      <w:rFonts w:ascii="黑体" w:hAnsi="Arial" w:eastAsia="黑体"/>
      <w:b/>
      <w:bCs/>
      <w:kern w:val="2"/>
      <w:sz w:val="30"/>
      <w:szCs w:val="30"/>
      <w:lang w:val="en-US" w:eastAsia="zh-CN" w:bidi="ar-SA"/>
    </w:rPr>
  </w:style>
  <w:style w:type="character" w:customStyle="1" w:styleId="355">
    <w:name w:val="hhcwt表头 Char Char"/>
    <w:link w:val="356"/>
    <w:qFormat/>
    <w:uiPriority w:val="0"/>
    <w:rPr>
      <w:rFonts w:ascii="楷体_GB2312" w:eastAsia="楷体_GB2312" w:cs="宋体"/>
      <w:b/>
      <w:bCs/>
      <w:sz w:val="24"/>
    </w:rPr>
  </w:style>
  <w:style w:type="paragraph" w:customStyle="1" w:styleId="356">
    <w:name w:val="hhcwt表头"/>
    <w:basedOn w:val="1"/>
    <w:link w:val="355"/>
    <w:qFormat/>
    <w:uiPriority w:val="0"/>
    <w:pPr>
      <w:spacing w:after="120"/>
      <w:jc w:val="center"/>
    </w:pPr>
    <w:rPr>
      <w:rFonts w:ascii="楷体_GB2312" w:hAnsi="Calibri" w:eastAsia="楷体_GB2312" w:cs="宋体"/>
      <w:b/>
      <w:bCs/>
    </w:rPr>
  </w:style>
  <w:style w:type="character" w:customStyle="1" w:styleId="357">
    <w:name w:val="myfont"/>
    <w:basedOn w:val="133"/>
    <w:qFormat/>
    <w:uiPriority w:val="0"/>
  </w:style>
  <w:style w:type="character" w:customStyle="1" w:styleId="358">
    <w:name w:val="正文缩进 Char"/>
    <w:link w:val="359"/>
    <w:qFormat/>
    <w:uiPriority w:val="0"/>
    <w:rPr>
      <w:rFonts w:ascii="Arial" w:hAnsi="宋体" w:eastAsia="宋体" w:cs="Arial"/>
      <w:b/>
      <w:sz w:val="24"/>
      <w:szCs w:val="24"/>
    </w:rPr>
  </w:style>
  <w:style w:type="paragraph" w:customStyle="1" w:styleId="359">
    <w:name w:val="缩进"/>
    <w:basedOn w:val="1"/>
    <w:link w:val="358"/>
    <w:qFormat/>
    <w:uiPriority w:val="0"/>
    <w:pPr>
      <w:spacing w:line="480" w:lineRule="exact"/>
      <w:ind w:firstLine="480"/>
      <w:jc w:val="left"/>
    </w:pPr>
    <w:rPr>
      <w:rFonts w:ascii="Arial" w:hAnsi="宋体" w:cs="Arial"/>
      <w:b/>
    </w:rPr>
  </w:style>
  <w:style w:type="character" w:customStyle="1" w:styleId="360">
    <w:name w:val="样式10 Char"/>
    <w:link w:val="361"/>
    <w:qFormat/>
    <w:uiPriority w:val="0"/>
    <w:rPr>
      <w:rFonts w:eastAsia="黑体"/>
      <w:color w:val="000000"/>
    </w:rPr>
  </w:style>
  <w:style w:type="paragraph" w:customStyle="1" w:styleId="361">
    <w:name w:val="样式10"/>
    <w:basedOn w:val="296"/>
    <w:link w:val="360"/>
    <w:qFormat/>
    <w:uiPriority w:val="0"/>
    <w:pPr>
      <w:keepNext/>
      <w:keepLines/>
      <w:tabs>
        <w:tab w:val="left" w:pos="1727"/>
        <w:tab w:val="left" w:pos="1884"/>
      </w:tabs>
      <w:spacing w:before="120" w:after="120" w:line="313" w:lineRule="exact"/>
      <w:outlineLvl w:val="1"/>
    </w:pPr>
    <w:rPr>
      <w:rFonts w:eastAsia="黑体"/>
      <w:color w:val="000000"/>
      <w:szCs w:val="22"/>
    </w:rPr>
  </w:style>
  <w:style w:type="character" w:customStyle="1" w:styleId="362">
    <w:name w:val="表格内字体 Char6"/>
    <w:qFormat/>
    <w:uiPriority w:val="99"/>
    <w:rPr>
      <w:rFonts w:ascii="宋体" w:hAnsi="宋体" w:eastAsia="宋体" w:cs="Times New Roman"/>
      <w:kern w:val="2"/>
      <w:sz w:val="24"/>
      <w:szCs w:val="24"/>
      <w:lang w:val="en-US" w:eastAsia="zh-CN" w:bidi="ar-SA"/>
    </w:rPr>
  </w:style>
  <w:style w:type="character" w:customStyle="1" w:styleId="363">
    <w:name w:val="text11"/>
    <w:qFormat/>
    <w:uiPriority w:val="0"/>
    <w:rPr>
      <w:rFonts w:hint="eastAsia" w:ascii="宋" w:eastAsia="宋"/>
      <w:color w:val="000000"/>
      <w:sz w:val="18"/>
      <w:szCs w:val="18"/>
      <w:u w:val="none"/>
    </w:rPr>
  </w:style>
  <w:style w:type="character" w:customStyle="1" w:styleId="364">
    <w:name w:val="宏文本 字符"/>
    <w:link w:val="2"/>
    <w:qFormat/>
    <w:uiPriority w:val="99"/>
    <w:rPr>
      <w:rFonts w:ascii="Courier New" w:hAnsi="Courier New" w:eastAsia="宋体" w:cs="Courier New"/>
      <w:sz w:val="24"/>
      <w:szCs w:val="24"/>
    </w:rPr>
  </w:style>
  <w:style w:type="character" w:customStyle="1" w:styleId="365">
    <w:name w:val="表内文字 Char Char"/>
    <w:link w:val="366"/>
    <w:qFormat/>
    <w:uiPriority w:val="0"/>
    <w:rPr>
      <w:snapToGrid w:val="0"/>
    </w:rPr>
  </w:style>
  <w:style w:type="paragraph" w:customStyle="1" w:styleId="366">
    <w:name w:val="表内文字"/>
    <w:link w:val="365"/>
    <w:qFormat/>
    <w:uiPriority w:val="0"/>
    <w:pPr>
      <w:adjustRightInd w:val="0"/>
      <w:snapToGrid w:val="0"/>
      <w:jc w:val="center"/>
    </w:pPr>
    <w:rPr>
      <w:rFonts w:ascii="Calibri" w:hAnsi="Calibri" w:eastAsia="宋体" w:cs="Times New Roman"/>
      <w:snapToGrid w:val="0"/>
      <w:kern w:val="2"/>
      <w:sz w:val="21"/>
      <w:szCs w:val="22"/>
      <w:lang w:val="en-US" w:eastAsia="zh-CN" w:bidi="ar-SA"/>
    </w:rPr>
  </w:style>
  <w:style w:type="character" w:customStyle="1" w:styleId="367">
    <w:name w:val="章 Char"/>
    <w:qFormat/>
    <w:uiPriority w:val="0"/>
    <w:rPr>
      <w:rFonts w:ascii="楷体_GB2312" w:hAnsi="Times New Roman" w:eastAsia="楷体_GB2312" w:cs="Times New Roman"/>
      <w:b/>
      <w:kern w:val="44"/>
      <w:sz w:val="30"/>
      <w:szCs w:val="20"/>
    </w:rPr>
  </w:style>
  <w:style w:type="character" w:customStyle="1" w:styleId="368">
    <w:name w:val="第四层条 Char2"/>
    <w:qFormat/>
    <w:uiPriority w:val="99"/>
    <w:rPr>
      <w:rFonts w:eastAsia="宋体"/>
      <w:spacing w:val="5"/>
      <w:kern w:val="2"/>
      <w:sz w:val="28"/>
      <w:lang w:val="en-US" w:eastAsia="zh-CN" w:bidi="ar-SA"/>
    </w:rPr>
  </w:style>
  <w:style w:type="character" w:customStyle="1" w:styleId="369">
    <w:name w:val="章节 Char1"/>
    <w:qFormat/>
    <w:uiPriority w:val="0"/>
    <w:rPr>
      <w:rFonts w:ascii="楷体_GB2312" w:eastAsia="楷体_GB2312"/>
      <w:b/>
      <w:kern w:val="44"/>
      <w:sz w:val="30"/>
      <w:lang w:val="en-US" w:eastAsia="zh-CN" w:bidi="ar-SA"/>
    </w:rPr>
  </w:style>
  <w:style w:type="character" w:customStyle="1" w:styleId="370">
    <w:name w:val="脚注文本 字符"/>
    <w:link w:val="66"/>
    <w:qFormat/>
    <w:uiPriority w:val="99"/>
    <w:rPr>
      <w:rFonts w:ascii="Times New Roman" w:hAnsi="Times New Roman" w:eastAsia="宋体" w:cs="Times New Roman"/>
      <w:sz w:val="18"/>
      <w:szCs w:val="18"/>
    </w:rPr>
  </w:style>
  <w:style w:type="character" w:customStyle="1" w:styleId="371">
    <w:name w:val="标题 4 Char2 Char"/>
    <w:qFormat/>
    <w:uiPriority w:val="0"/>
    <w:rPr>
      <w:rFonts w:ascii="Arial" w:hAnsi="Arial" w:eastAsia="黑体"/>
      <w:b/>
      <w:bCs/>
      <w:kern w:val="2"/>
      <w:sz w:val="28"/>
      <w:szCs w:val="28"/>
      <w:lang w:val="en-US" w:eastAsia="zh-CN" w:bidi="ar-SA"/>
    </w:rPr>
  </w:style>
  <w:style w:type="character" w:customStyle="1" w:styleId="372">
    <w:name w:val="第一层条 Char2"/>
    <w:qFormat/>
    <w:uiPriority w:val="99"/>
    <w:rPr>
      <w:rFonts w:ascii="仿宋_GB2312" w:eastAsia="仿宋_GB2312"/>
      <w:b/>
      <w:kern w:val="2"/>
      <w:sz w:val="28"/>
      <w:lang w:val="en-US" w:eastAsia="zh-CN" w:bidi="ar-SA"/>
    </w:rPr>
  </w:style>
  <w:style w:type="character" w:customStyle="1" w:styleId="373">
    <w:name w:val="标题 4 Char2"/>
    <w:qFormat/>
    <w:uiPriority w:val="0"/>
    <w:rPr>
      <w:rFonts w:ascii="Arial" w:hAnsi="Arial" w:eastAsia="黑体"/>
      <w:b/>
      <w:bCs/>
      <w:kern w:val="2"/>
      <w:sz w:val="28"/>
      <w:szCs w:val="28"/>
      <w:lang w:val="en-US" w:eastAsia="zh-CN" w:bidi="ar-SA"/>
    </w:rPr>
  </w:style>
  <w:style w:type="character" w:customStyle="1" w:styleId="374">
    <w:name w:val="样式 标题 2节 + 宋体 左 Char Char"/>
    <w:link w:val="375"/>
    <w:qFormat/>
    <w:uiPriority w:val="0"/>
    <w:rPr>
      <w:rFonts w:ascii="宋体" w:hAnsi="宋体" w:eastAsia="宋体" w:cs="宋体"/>
      <w:b/>
      <w:bCs/>
      <w:sz w:val="28"/>
      <w:szCs w:val="24"/>
    </w:rPr>
  </w:style>
  <w:style w:type="paragraph" w:customStyle="1" w:styleId="375">
    <w:name w:val="样式 标题 2节 + 宋体 左 Char"/>
    <w:basedOn w:val="4"/>
    <w:link w:val="374"/>
    <w:qFormat/>
    <w:uiPriority w:val="0"/>
    <w:pPr>
      <w:tabs>
        <w:tab w:val="left" w:pos="567"/>
      </w:tabs>
      <w:spacing w:before="0" w:after="0"/>
      <w:ind w:left="567" w:hanging="567"/>
      <w:jc w:val="left"/>
    </w:pPr>
    <w:rPr>
      <w:rFonts w:ascii="宋体" w:hAnsi="宋体" w:cs="宋体"/>
      <w:szCs w:val="24"/>
    </w:rPr>
  </w:style>
  <w:style w:type="character" w:customStyle="1" w:styleId="376">
    <w:name w:val="H23 Char Char"/>
    <w:qFormat/>
    <w:uiPriority w:val="0"/>
    <w:rPr>
      <w:rFonts w:ascii="仿宋_GB2312" w:eastAsia="仿宋_GB2312"/>
      <w:b/>
      <w:kern w:val="2"/>
      <w:sz w:val="28"/>
      <w:lang w:val="en-US" w:eastAsia="zh-CN" w:bidi="ar-SA"/>
    </w:rPr>
  </w:style>
  <w:style w:type="character" w:customStyle="1" w:styleId="377">
    <w:name w:val="H9 Char"/>
    <w:qFormat/>
    <w:uiPriority w:val="0"/>
    <w:rPr>
      <w:rFonts w:ascii="Arial" w:hAnsi="Arial" w:eastAsia="宋体"/>
      <w:spacing w:val="5"/>
      <w:kern w:val="2"/>
      <w:sz w:val="28"/>
      <w:lang w:val="en-US" w:eastAsia="zh-CN" w:bidi="ar-SA"/>
    </w:rPr>
  </w:style>
  <w:style w:type="character" w:customStyle="1" w:styleId="378">
    <w:name w:val="word1"/>
    <w:qFormat/>
    <w:uiPriority w:val="0"/>
    <w:rPr>
      <w:sz w:val="20"/>
      <w:szCs w:val="20"/>
    </w:rPr>
  </w:style>
  <w:style w:type="character" w:customStyle="1" w:styleId="379">
    <w:name w:val="postbody1"/>
    <w:qFormat/>
    <w:uiPriority w:val="0"/>
    <w:rPr>
      <w:rFonts w:ascii="黑体" w:hAnsi="Arial" w:eastAsia="华文中宋" w:cs="宋体"/>
      <w:kern w:val="2"/>
      <w:sz w:val="18"/>
      <w:szCs w:val="18"/>
      <w:lang w:val="en-US" w:eastAsia="zh-CN" w:bidi="ar-SA"/>
    </w:rPr>
  </w:style>
  <w:style w:type="character" w:customStyle="1" w:styleId="380">
    <w:name w:val="hhcwt标题4 Char Char"/>
    <w:link w:val="381"/>
    <w:qFormat/>
    <w:uiPriority w:val="0"/>
    <w:rPr>
      <w:rFonts w:eastAsia="宋体" w:cs="宋体"/>
      <w:bCs/>
      <w:sz w:val="24"/>
    </w:rPr>
  </w:style>
  <w:style w:type="paragraph" w:customStyle="1" w:styleId="381">
    <w:name w:val="hhcwt标题4"/>
    <w:basedOn w:val="6"/>
    <w:link w:val="380"/>
    <w:qFormat/>
    <w:uiPriority w:val="0"/>
    <w:pPr>
      <w:spacing w:before="0" w:after="0" w:line="360" w:lineRule="auto"/>
    </w:pPr>
    <w:rPr>
      <w:rFonts w:ascii="Calibri" w:hAnsi="Calibri" w:cs="宋体"/>
      <w:b w:val="0"/>
      <w:szCs w:val="22"/>
    </w:rPr>
  </w:style>
  <w:style w:type="character" w:customStyle="1" w:styleId="382">
    <w:name w:val="text1"/>
    <w:qFormat/>
    <w:uiPriority w:val="0"/>
    <w:rPr>
      <w:rFonts w:hint="default" w:ascii="ˎ̥" w:hAnsi="ˎ̥"/>
      <w:color w:val="000000"/>
      <w:sz w:val="18"/>
      <w:szCs w:val="18"/>
      <w:u w:val="none"/>
    </w:rPr>
  </w:style>
  <w:style w:type="character" w:customStyle="1" w:styleId="383">
    <w:name w:val="报告 Char Char"/>
    <w:link w:val="384"/>
    <w:qFormat/>
    <w:uiPriority w:val="0"/>
    <w:rPr>
      <w:rFonts w:eastAsia="宋体"/>
      <w:sz w:val="24"/>
      <w:szCs w:val="24"/>
    </w:rPr>
  </w:style>
  <w:style w:type="paragraph" w:customStyle="1" w:styleId="384">
    <w:name w:val="报告 Char"/>
    <w:basedOn w:val="1"/>
    <w:link w:val="383"/>
    <w:qFormat/>
    <w:uiPriority w:val="0"/>
    <w:pPr>
      <w:ind w:firstLine="505"/>
      <w:textAlignment w:val="baseline"/>
    </w:pPr>
    <w:rPr>
      <w:rFonts w:ascii="Calibri" w:hAnsi="Calibri"/>
    </w:rPr>
  </w:style>
  <w:style w:type="character" w:customStyle="1" w:styleId="385">
    <w:name w:val="wz14"/>
    <w:basedOn w:val="133"/>
    <w:qFormat/>
    <w:uiPriority w:val="0"/>
  </w:style>
  <w:style w:type="character" w:customStyle="1" w:styleId="386">
    <w:name w:val="样式正文 Char"/>
    <w:link w:val="387"/>
    <w:qFormat/>
    <w:uiPriority w:val="0"/>
    <w:rPr>
      <w:rFonts w:eastAsia="宋体" w:cs="宋体"/>
      <w:sz w:val="24"/>
      <w:szCs w:val="24"/>
    </w:rPr>
  </w:style>
  <w:style w:type="paragraph" w:customStyle="1" w:styleId="387">
    <w:name w:val="样式正文"/>
    <w:basedOn w:val="1"/>
    <w:link w:val="386"/>
    <w:qFormat/>
    <w:uiPriority w:val="0"/>
    <w:pPr>
      <w:spacing w:line="400" w:lineRule="exact"/>
      <w:ind w:firstLine="200"/>
    </w:pPr>
    <w:rPr>
      <w:rFonts w:ascii="Calibri" w:hAnsi="Calibri" w:cs="宋体"/>
    </w:rPr>
  </w:style>
  <w:style w:type="character" w:customStyle="1" w:styleId="388">
    <w:name w:val="正文首行缩进 2 + Times New Roman Char"/>
    <w:qFormat/>
    <w:uiPriority w:val="0"/>
    <w:rPr>
      <w:rFonts w:eastAsia="宋体"/>
      <w:sz w:val="24"/>
      <w:szCs w:val="24"/>
      <w:lang w:val="en-US" w:eastAsia="zh-CN" w:bidi="ar-SA"/>
    </w:rPr>
  </w:style>
  <w:style w:type="character" w:customStyle="1" w:styleId="389">
    <w:name w:val="批注框文本 Char3"/>
    <w:qFormat/>
    <w:uiPriority w:val="99"/>
    <w:rPr>
      <w:rFonts w:ascii="Times New Roman" w:hAnsi="Times New Roman" w:eastAsia="宋体" w:cs="Times New Roman"/>
      <w:kern w:val="2"/>
      <w:sz w:val="18"/>
      <w:szCs w:val="18"/>
      <w:lang w:val="en-US" w:eastAsia="zh-CN" w:bidi="ar-SA"/>
    </w:rPr>
  </w:style>
  <w:style w:type="character" w:customStyle="1" w:styleId="390">
    <w:name w:val="infotitle"/>
    <w:basedOn w:val="133"/>
    <w:qFormat/>
    <w:uiPriority w:val="0"/>
  </w:style>
  <w:style w:type="character" w:customStyle="1" w:styleId="391">
    <w:name w:val="表格内 Char"/>
    <w:link w:val="392"/>
    <w:qFormat/>
    <w:uiPriority w:val="0"/>
    <w:rPr>
      <w:rFonts w:ascii="宋体" w:eastAsia="宋体"/>
    </w:rPr>
  </w:style>
  <w:style w:type="paragraph" w:customStyle="1" w:styleId="392">
    <w:name w:val="表格内"/>
    <w:basedOn w:val="1"/>
    <w:link w:val="391"/>
    <w:qFormat/>
    <w:uiPriority w:val="0"/>
    <w:pPr>
      <w:spacing w:line="240" w:lineRule="atLeast"/>
      <w:jc w:val="center"/>
      <w:textAlignment w:val="baseline"/>
    </w:pPr>
    <w:rPr>
      <w:rFonts w:ascii="宋体" w:hAnsi="Calibri"/>
      <w:sz w:val="21"/>
    </w:rPr>
  </w:style>
  <w:style w:type="character" w:customStyle="1" w:styleId="393">
    <w:name w:val="HTML 预设格式 字符"/>
    <w:link w:val="79"/>
    <w:qFormat/>
    <w:uiPriority w:val="99"/>
    <w:rPr>
      <w:rFonts w:ascii="Courier New" w:hAnsi="Courier New" w:eastAsia="宋体" w:cs="Courier New"/>
      <w:sz w:val="20"/>
      <w:szCs w:val="20"/>
    </w:rPr>
  </w:style>
  <w:style w:type="character" w:customStyle="1" w:styleId="394">
    <w:name w:val="样式 样式 样式 宋体 小四 行距: 多倍行距 1.4 字行2 + 黑色 + Times New Roman2 Char"/>
    <w:link w:val="395"/>
    <w:qFormat/>
    <w:uiPriority w:val="0"/>
    <w:rPr>
      <w:rFonts w:ascii="宋体" w:hAnsi="宋体" w:eastAsia="宋体" w:cs="宋体"/>
      <w:color w:val="000000"/>
      <w:sz w:val="24"/>
      <w:szCs w:val="24"/>
    </w:rPr>
  </w:style>
  <w:style w:type="paragraph" w:customStyle="1" w:styleId="395">
    <w:name w:val="样式 样式 样式 宋体 小四 行距: 多倍行距 1.4 字行2 + 黑色 + Times New Roman2"/>
    <w:basedOn w:val="337"/>
    <w:link w:val="394"/>
    <w:qFormat/>
    <w:uiPriority w:val="0"/>
    <w:pPr>
      <w:spacing w:line="360" w:lineRule="auto"/>
      <w:ind w:firstLine="200"/>
    </w:pPr>
  </w:style>
  <w:style w:type="character" w:customStyle="1" w:styleId="396">
    <w:name w:val="表格文字 Char Char"/>
    <w:qFormat/>
    <w:uiPriority w:val="0"/>
    <w:rPr>
      <w:rFonts w:eastAsia="宋体"/>
      <w:sz w:val="18"/>
      <w:szCs w:val="21"/>
      <w:lang w:val="en-US" w:eastAsia="zh-CN" w:bidi="ar-SA"/>
    </w:rPr>
  </w:style>
  <w:style w:type="character" w:customStyle="1" w:styleId="397">
    <w:name w:val="work4"/>
    <w:qFormat/>
    <w:uiPriority w:val="0"/>
    <w:rPr>
      <w:sz w:val="18"/>
      <w:szCs w:val="18"/>
      <w:u w:val="none"/>
    </w:rPr>
  </w:style>
  <w:style w:type="character" w:customStyle="1" w:styleId="398">
    <w:name w:val="Char Char Char Cha"/>
    <w:qFormat/>
    <w:uiPriority w:val="0"/>
    <w:rPr>
      <w:rFonts w:eastAsia="宋体"/>
      <w:kern w:val="2"/>
      <w:sz w:val="18"/>
      <w:szCs w:val="18"/>
      <w:lang w:val="en-US" w:eastAsia="zh-CN" w:bidi="ar-SA"/>
    </w:rPr>
  </w:style>
  <w:style w:type="character" w:customStyle="1" w:styleId="399">
    <w:name w:val="black1"/>
    <w:qFormat/>
    <w:uiPriority w:val="0"/>
    <w:rPr>
      <w:color w:val="000000"/>
      <w:sz w:val="18"/>
      <w:szCs w:val="18"/>
      <w:u w:val="none"/>
    </w:rPr>
  </w:style>
  <w:style w:type="character" w:customStyle="1" w:styleId="400">
    <w:name w:val="表格标题2 Char Char"/>
    <w:link w:val="401"/>
    <w:qFormat/>
    <w:uiPriority w:val="0"/>
    <w:rPr>
      <w:rFonts w:ascii="Arial" w:hAnsi="Arial" w:eastAsia="宋体"/>
      <w:sz w:val="28"/>
      <w:szCs w:val="24"/>
    </w:rPr>
  </w:style>
  <w:style w:type="paragraph" w:customStyle="1" w:styleId="401">
    <w:name w:val="表格标题2 Char"/>
    <w:basedOn w:val="1"/>
    <w:link w:val="400"/>
    <w:qFormat/>
    <w:uiPriority w:val="0"/>
    <w:pPr>
      <w:tabs>
        <w:tab w:val="center" w:pos="6832"/>
        <w:tab w:val="right" w:pos="13608"/>
      </w:tabs>
      <w:spacing w:after="60" w:line="312" w:lineRule="auto"/>
    </w:pPr>
    <w:rPr>
      <w:rFonts w:ascii="Arial" w:hAnsi="Arial"/>
      <w:sz w:val="28"/>
    </w:rPr>
  </w:style>
  <w:style w:type="character" w:customStyle="1" w:styleId="402">
    <w:name w:val="图表标题 Char1"/>
    <w:link w:val="403"/>
    <w:qFormat/>
    <w:uiPriority w:val="0"/>
    <w:rPr>
      <w:rFonts w:ascii="黑体" w:hAnsi="宋体" w:eastAsia="黑体"/>
      <w:b/>
      <w:snapToGrid w:val="0"/>
      <w:color w:val="000000"/>
      <w:szCs w:val="24"/>
    </w:rPr>
  </w:style>
  <w:style w:type="paragraph" w:customStyle="1" w:styleId="403">
    <w:name w:val="图表标题"/>
    <w:basedOn w:val="1"/>
    <w:link w:val="402"/>
    <w:qFormat/>
    <w:uiPriority w:val="0"/>
    <w:pPr>
      <w:autoSpaceDE w:val="0"/>
      <w:autoSpaceDN w:val="0"/>
      <w:spacing w:line="320" w:lineRule="atLeast"/>
      <w:jc w:val="center"/>
    </w:pPr>
    <w:rPr>
      <w:rFonts w:ascii="黑体" w:hAnsi="宋体" w:eastAsia="黑体"/>
      <w:b/>
      <w:snapToGrid w:val="0"/>
      <w:color w:val="000000"/>
      <w:sz w:val="21"/>
    </w:rPr>
  </w:style>
  <w:style w:type="character" w:customStyle="1" w:styleId="404">
    <w:name w:val="正文1200 Char"/>
    <w:link w:val="405"/>
    <w:qFormat/>
    <w:uiPriority w:val="0"/>
    <w:rPr>
      <w:rFonts w:eastAsia="宋体"/>
      <w:szCs w:val="24"/>
    </w:rPr>
  </w:style>
  <w:style w:type="paragraph" w:customStyle="1" w:styleId="405">
    <w:name w:val="正文1200"/>
    <w:basedOn w:val="1"/>
    <w:link w:val="404"/>
    <w:qFormat/>
    <w:uiPriority w:val="0"/>
    <w:pPr>
      <w:spacing w:line="320" w:lineRule="atLeast"/>
      <w:ind w:firstLine="200"/>
      <w:jc w:val="center"/>
    </w:pPr>
    <w:rPr>
      <w:rFonts w:ascii="Calibri" w:hAnsi="Calibri"/>
      <w:sz w:val="21"/>
    </w:rPr>
  </w:style>
  <w:style w:type="character" w:customStyle="1" w:styleId="406">
    <w:name w:val="标准 Char"/>
    <w:qFormat/>
    <w:uiPriority w:val="0"/>
    <w:rPr>
      <w:rFonts w:ascii="宋体" w:eastAsia="宋体"/>
      <w:sz w:val="28"/>
      <w:lang w:val="en-US" w:eastAsia="zh-CN" w:bidi="ar-SA"/>
    </w:rPr>
  </w:style>
  <w:style w:type="character" w:customStyle="1" w:styleId="407">
    <w:name w:val="章 Char Char Char Char"/>
    <w:qFormat/>
    <w:uiPriority w:val="0"/>
    <w:rPr>
      <w:rFonts w:eastAsia="宋体"/>
      <w:b/>
      <w:kern w:val="44"/>
      <w:sz w:val="28"/>
      <w:lang w:val="en-US" w:eastAsia="zh-CN"/>
    </w:rPr>
  </w:style>
  <w:style w:type="character" w:customStyle="1" w:styleId="408">
    <w:name w:val="Normal Char"/>
    <w:link w:val="409"/>
    <w:qFormat/>
    <w:uiPriority w:val="0"/>
    <w:rPr>
      <w:rFonts w:ascii="宋体"/>
      <w:sz w:val="34"/>
    </w:rPr>
  </w:style>
  <w:style w:type="paragraph" w:customStyle="1" w:styleId="409">
    <w:name w:val="Normal1"/>
    <w:link w:val="408"/>
    <w:qFormat/>
    <w:uiPriority w:val="0"/>
    <w:pPr>
      <w:widowControl w:val="0"/>
      <w:adjustRightInd w:val="0"/>
      <w:spacing w:line="360" w:lineRule="atLeast"/>
      <w:textAlignment w:val="baseline"/>
    </w:pPr>
    <w:rPr>
      <w:rFonts w:ascii="宋体" w:hAnsi="Calibri" w:eastAsia="宋体" w:cs="Times New Roman"/>
      <w:kern w:val="2"/>
      <w:sz w:val="34"/>
      <w:szCs w:val="22"/>
      <w:lang w:val="en-US" w:eastAsia="zh-CN" w:bidi="ar-SA"/>
    </w:rPr>
  </w:style>
  <w:style w:type="character" w:customStyle="1" w:styleId="410">
    <w:name w:val="表格文本 Char Char"/>
    <w:link w:val="411"/>
    <w:qFormat/>
    <w:uiPriority w:val="0"/>
    <w:rPr>
      <w:rFonts w:ascii="Arial" w:hAnsi="Arial" w:eastAsia="宋体"/>
      <w:szCs w:val="24"/>
    </w:rPr>
  </w:style>
  <w:style w:type="paragraph" w:customStyle="1" w:styleId="411">
    <w:name w:val="表格文本 Char"/>
    <w:basedOn w:val="1"/>
    <w:next w:val="1"/>
    <w:link w:val="410"/>
    <w:qFormat/>
    <w:uiPriority w:val="0"/>
    <w:pPr>
      <w:spacing w:before="60" w:after="60" w:line="312" w:lineRule="auto"/>
      <w:jc w:val="center"/>
    </w:pPr>
    <w:rPr>
      <w:rFonts w:ascii="Arial" w:hAnsi="Arial"/>
      <w:sz w:val="21"/>
    </w:rPr>
  </w:style>
  <w:style w:type="character" w:customStyle="1" w:styleId="412">
    <w:name w:val="TOm"/>
    <w:qFormat/>
    <w:uiPriority w:val="0"/>
    <w:rPr>
      <w:rFonts w:ascii="Arial" w:hAnsi="Arial" w:eastAsia="MS Mincho"/>
      <w:spacing w:val="0"/>
      <w:position w:val="0"/>
      <w:sz w:val="20"/>
    </w:rPr>
  </w:style>
  <w:style w:type="character" w:customStyle="1" w:styleId="413">
    <w:name w:val="正文文本缩进 2 字符1"/>
    <w:qFormat/>
    <w:uiPriority w:val="99"/>
    <w:rPr>
      <w:rFonts w:ascii="Times New Roman" w:hAnsi="Times New Roman" w:eastAsia="宋体" w:cs="Times New Roman"/>
      <w:sz w:val="24"/>
      <w:szCs w:val="24"/>
    </w:rPr>
  </w:style>
  <w:style w:type="character" w:customStyle="1" w:styleId="414">
    <w:name w:val="页脚 字符1"/>
    <w:semiHidden/>
    <w:qFormat/>
    <w:uiPriority w:val="99"/>
    <w:rPr>
      <w:rFonts w:ascii="Times New Roman" w:hAnsi="Times New Roman" w:eastAsia="宋体" w:cs="Times New Roman"/>
      <w:sz w:val="18"/>
      <w:szCs w:val="18"/>
    </w:rPr>
  </w:style>
  <w:style w:type="character" w:customStyle="1" w:styleId="415">
    <w:name w:val="正文文本缩进 Char"/>
    <w:qFormat/>
    <w:uiPriority w:val="99"/>
    <w:rPr>
      <w:rFonts w:ascii="Times New Roman" w:hAnsi="Times New Roman"/>
      <w:sz w:val="24"/>
    </w:rPr>
  </w:style>
  <w:style w:type="character" w:customStyle="1" w:styleId="416">
    <w:name w:val="样式 正文001 + Times New Roman Char Char Char Char"/>
    <w:qFormat/>
    <w:uiPriority w:val="0"/>
    <w:rPr>
      <w:rFonts w:eastAsia="宋体"/>
      <w:color w:val="000000"/>
      <w:kern w:val="2"/>
      <w:sz w:val="24"/>
      <w:szCs w:val="24"/>
      <w:lang w:val="en-US" w:eastAsia="zh-CN" w:bidi="ar-SA"/>
    </w:rPr>
  </w:style>
  <w:style w:type="character" w:customStyle="1" w:styleId="417">
    <w:name w:val="文档结构图 字符"/>
    <w:link w:val="26"/>
    <w:qFormat/>
    <w:uiPriority w:val="99"/>
    <w:rPr>
      <w:rFonts w:ascii="Times New Roman" w:hAnsi="Times New Roman" w:eastAsia="宋体" w:cs="Times New Roman"/>
      <w:sz w:val="24"/>
      <w:szCs w:val="24"/>
      <w:shd w:val="clear" w:color="auto" w:fill="000080"/>
    </w:rPr>
  </w:style>
  <w:style w:type="character" w:customStyle="1" w:styleId="418">
    <w:name w:val="表格内字体 Char7"/>
    <w:qFormat/>
    <w:uiPriority w:val="99"/>
    <w:rPr>
      <w:rFonts w:ascii="宋体" w:hAnsi="宋体" w:eastAsia="宋体"/>
      <w:kern w:val="2"/>
      <w:sz w:val="21"/>
      <w:szCs w:val="24"/>
      <w:lang w:val="en-US" w:eastAsia="zh-CN" w:bidi="ar-SA"/>
    </w:rPr>
  </w:style>
  <w:style w:type="character" w:customStyle="1" w:styleId="419">
    <w:name w:val="无级项 Char1"/>
    <w:qFormat/>
    <w:uiPriority w:val="99"/>
    <w:rPr>
      <w:rFonts w:eastAsia="宋体"/>
      <w:b/>
      <w:bCs/>
      <w:kern w:val="2"/>
      <w:sz w:val="24"/>
      <w:szCs w:val="24"/>
      <w:lang w:val="en-US" w:eastAsia="zh-CN" w:bidi="ar-SA"/>
    </w:rPr>
  </w:style>
  <w:style w:type="character" w:customStyle="1" w:styleId="420">
    <w:name w:val="Char3 Char Char Char Char3"/>
    <w:qFormat/>
    <w:uiPriority w:val="0"/>
    <w:rPr>
      <w:rFonts w:ascii="仿宋_GB2312" w:hAnsi="宋体" w:eastAsia="仿宋_GB2312"/>
      <w:kern w:val="2"/>
      <w:sz w:val="18"/>
      <w:szCs w:val="28"/>
      <w:lang w:val="en-US" w:eastAsia="zh-CN" w:bidi="ar-SA"/>
    </w:rPr>
  </w:style>
  <w:style w:type="character" w:customStyle="1" w:styleId="421">
    <w:name w:val="样式 标题 2节标题标题21.1H2h2第一层条4.1二级标题标题 lxb2二级标题 Char表标题单位... Char"/>
    <w:qFormat/>
    <w:uiPriority w:val="0"/>
    <w:rPr>
      <w:rFonts w:eastAsia="宋体" w:cs="Arial"/>
      <w:b/>
      <w:kern w:val="32"/>
      <w:sz w:val="28"/>
      <w:szCs w:val="28"/>
      <w:lang w:val="en-US" w:eastAsia="zh-CN" w:bidi="ar-SA"/>
    </w:rPr>
  </w:style>
  <w:style w:type="character" w:customStyle="1" w:styleId="422">
    <w:name w:val="表格小四 Char"/>
    <w:link w:val="423"/>
    <w:qFormat/>
    <w:uiPriority w:val="0"/>
    <w:rPr>
      <w:rFonts w:ascii="Times New Roman" w:hAnsi="Times New Roman" w:eastAsia="宋体" w:cs="Times New Roman"/>
      <w:sz w:val="24"/>
      <w:szCs w:val="24"/>
      <w:lang w:val="zh-CN" w:eastAsia="zh-CN"/>
    </w:rPr>
  </w:style>
  <w:style w:type="paragraph" w:customStyle="1" w:styleId="423">
    <w:name w:val="表格小四"/>
    <w:basedOn w:val="1"/>
    <w:link w:val="422"/>
    <w:qFormat/>
    <w:uiPriority w:val="0"/>
    <w:pPr>
      <w:spacing w:before="93" w:beforeLines="30" w:line="240" w:lineRule="auto"/>
    </w:pPr>
    <w:rPr>
      <w:lang w:val="zh-CN"/>
    </w:rPr>
  </w:style>
  <w:style w:type="character" w:customStyle="1" w:styleId="424">
    <w:name w:val="标题 1 Char Char Char Char Char"/>
    <w:qFormat/>
    <w:uiPriority w:val="0"/>
    <w:rPr>
      <w:rFonts w:ascii="黑体" w:eastAsia="黑体"/>
      <w:kern w:val="2"/>
      <w:sz w:val="30"/>
      <w:lang w:val="en-US" w:eastAsia="zh-CN" w:bidi="ar-SA"/>
    </w:rPr>
  </w:style>
  <w:style w:type="character" w:customStyle="1" w:styleId="425">
    <w:name w:val="题3 Char"/>
    <w:link w:val="426"/>
    <w:qFormat/>
    <w:uiPriority w:val="0"/>
    <w:rPr>
      <w:rFonts w:ascii="Arial" w:hAnsi="Arial" w:eastAsia="宋体"/>
      <w:b/>
      <w:bCs/>
      <w:sz w:val="28"/>
      <w:szCs w:val="28"/>
      <w:lang w:val="zh-CN" w:eastAsia="zh-CN"/>
    </w:rPr>
  </w:style>
  <w:style w:type="paragraph" w:customStyle="1" w:styleId="426">
    <w:name w:val="题3"/>
    <w:basedOn w:val="84"/>
    <w:link w:val="425"/>
    <w:qFormat/>
    <w:uiPriority w:val="0"/>
    <w:pPr>
      <w:spacing w:before="120" w:after="120"/>
      <w:jc w:val="left"/>
      <w:outlineLvl w:val="2"/>
    </w:pPr>
    <w:rPr>
      <w:rFonts w:ascii="Arial" w:hAnsi="Arial"/>
      <w:b/>
      <w:bCs/>
      <w:sz w:val="28"/>
      <w:szCs w:val="28"/>
      <w:lang w:val="zh-CN"/>
    </w:rPr>
  </w:style>
  <w:style w:type="character" w:customStyle="1" w:styleId="427">
    <w:name w:val="纯文本 Char"/>
    <w:qFormat/>
    <w:uiPriority w:val="0"/>
    <w:rPr>
      <w:rFonts w:ascii="宋体" w:hAnsi="Courier New" w:eastAsia="宋体" w:cs="Courier New"/>
      <w:szCs w:val="21"/>
    </w:rPr>
  </w:style>
  <w:style w:type="character" w:customStyle="1" w:styleId="428">
    <w:name w:val="纯文本 字符1"/>
    <w:qFormat/>
    <w:uiPriority w:val="99"/>
    <w:rPr>
      <w:rFonts w:ascii="宋体" w:hAnsi="Courier New" w:cs="Courier New"/>
      <w:sz w:val="24"/>
      <w:szCs w:val="24"/>
    </w:rPr>
  </w:style>
  <w:style w:type="character" w:customStyle="1" w:styleId="429">
    <w:name w:val="日期 字符1"/>
    <w:qFormat/>
    <w:uiPriority w:val="99"/>
    <w:rPr>
      <w:rFonts w:ascii="Times New Roman" w:hAnsi="Times New Roman" w:eastAsia="宋体" w:cs="Times New Roman"/>
      <w:sz w:val="24"/>
      <w:szCs w:val="24"/>
    </w:rPr>
  </w:style>
  <w:style w:type="character" w:customStyle="1" w:styleId="430">
    <w:name w:val="页眉 字符1"/>
    <w:qFormat/>
    <w:uiPriority w:val="99"/>
    <w:rPr>
      <w:rFonts w:ascii="Times New Roman" w:hAnsi="Times New Roman" w:eastAsia="宋体" w:cs="Times New Roman"/>
      <w:sz w:val="18"/>
      <w:szCs w:val="18"/>
    </w:rPr>
  </w:style>
  <w:style w:type="character" w:customStyle="1" w:styleId="431">
    <w:name w:val="尾注文本 字符"/>
    <w:link w:val="52"/>
    <w:qFormat/>
    <w:uiPriority w:val="0"/>
    <w:rPr>
      <w:rFonts w:ascii="Times New Roman" w:hAnsi="Times New Roman" w:eastAsia="宋体" w:cs="Times New Roman"/>
      <w:szCs w:val="24"/>
      <w:lang w:val="zh-CN" w:eastAsia="zh-CN"/>
    </w:rPr>
  </w:style>
  <w:style w:type="character" w:customStyle="1" w:styleId="432">
    <w:name w:val="正文文本 3 字符"/>
    <w:link w:val="31"/>
    <w:qFormat/>
    <w:uiPriority w:val="99"/>
    <w:rPr>
      <w:rFonts w:ascii="Times New Roman" w:hAnsi="Times New Roman" w:eastAsia="宋体" w:cs="Times New Roman"/>
      <w:sz w:val="16"/>
      <w:szCs w:val="16"/>
      <w:lang w:val="zh-CN" w:eastAsia="zh-CN"/>
    </w:rPr>
  </w:style>
  <w:style w:type="character" w:customStyle="1" w:styleId="433">
    <w:name w:val="正文文本 字符1"/>
    <w:link w:val="34"/>
    <w:qFormat/>
    <w:uiPriority w:val="0"/>
    <w:rPr>
      <w:rFonts w:ascii="Times New Roman" w:hAnsi="Times New Roman" w:eastAsia="宋体" w:cs="Times New Roman"/>
      <w:sz w:val="24"/>
      <w:szCs w:val="24"/>
    </w:rPr>
  </w:style>
  <w:style w:type="character" w:customStyle="1" w:styleId="434">
    <w:name w:val="正文首行缩进 Char"/>
    <w:qFormat/>
    <w:uiPriority w:val="99"/>
    <w:rPr>
      <w:rFonts w:ascii="Times New Roman" w:hAnsi="Times New Roman" w:eastAsia="宋体" w:cs="Times New Roman"/>
      <w:sz w:val="24"/>
      <w:szCs w:val="24"/>
    </w:rPr>
  </w:style>
  <w:style w:type="character" w:customStyle="1" w:styleId="435">
    <w:name w:val="正文文本首行缩进 字符"/>
    <w:link w:val="86"/>
    <w:qFormat/>
    <w:uiPriority w:val="0"/>
    <w:rPr>
      <w:rFonts w:ascii="Times New Roman" w:hAnsi="Times New Roman" w:eastAsia="宋体" w:cs="Times New Roman"/>
      <w:sz w:val="24"/>
      <w:szCs w:val="24"/>
    </w:rPr>
  </w:style>
  <w:style w:type="character" w:customStyle="1" w:styleId="436">
    <w:name w:val="标题 2 Char Char11"/>
    <w:qFormat/>
    <w:uiPriority w:val="99"/>
    <w:rPr>
      <w:rFonts w:ascii="黑体" w:hAnsi="Arial" w:eastAsia="黑体"/>
      <w:bCs/>
      <w:kern w:val="2"/>
      <w:sz w:val="30"/>
      <w:szCs w:val="30"/>
      <w:lang w:val="en-US" w:eastAsia="zh-CN" w:bidi="ar-SA"/>
    </w:rPr>
  </w:style>
  <w:style w:type="character" w:customStyle="1" w:styleId="437">
    <w:name w:val="样式 表格内字体 + Char12"/>
    <w:qFormat/>
    <w:uiPriority w:val="99"/>
    <w:rPr>
      <w:rFonts w:ascii="宋体" w:hAnsi="宋体" w:eastAsia="宋体" w:cs="Times New Roman"/>
      <w:kern w:val="2"/>
      <w:sz w:val="21"/>
      <w:szCs w:val="24"/>
      <w:lang w:val="en-US" w:eastAsia="zh-CN" w:bidi="ar-SA"/>
    </w:rPr>
  </w:style>
  <w:style w:type="character" w:customStyle="1" w:styleId="438">
    <w:name w:val="亚行正文 Char"/>
    <w:link w:val="439"/>
    <w:qFormat/>
    <w:uiPriority w:val="0"/>
    <w:rPr>
      <w:rFonts w:ascii="Calibri" w:hAnsi="Calibri" w:eastAsia="宋体" w:cs="Times New Roman"/>
      <w:sz w:val="24"/>
      <w:szCs w:val="24"/>
      <w:lang w:val="zh-CN" w:eastAsia="zh-CN"/>
    </w:rPr>
  </w:style>
  <w:style w:type="paragraph" w:customStyle="1" w:styleId="439">
    <w:name w:val="亚行正文"/>
    <w:basedOn w:val="1"/>
    <w:link w:val="438"/>
    <w:qFormat/>
    <w:uiPriority w:val="0"/>
    <w:pPr>
      <w:spacing w:line="480" w:lineRule="exact"/>
      <w:ind w:firstLine="480"/>
    </w:pPr>
    <w:rPr>
      <w:rFonts w:ascii="Calibri" w:hAnsi="Calibri"/>
      <w:lang w:val="zh-CN"/>
    </w:rPr>
  </w:style>
  <w:style w:type="character" w:customStyle="1" w:styleId="440">
    <w:name w:val="正文首行缩进 2 Char12"/>
    <w:qFormat/>
    <w:uiPriority w:val="99"/>
    <w:rPr>
      <w:rFonts w:eastAsia="宋体"/>
      <w:kern w:val="2"/>
      <w:sz w:val="21"/>
      <w:szCs w:val="18"/>
      <w:lang w:val="en-US" w:eastAsia="zh-CN" w:bidi="ar-SA"/>
    </w:rPr>
  </w:style>
  <w:style w:type="character" w:customStyle="1" w:styleId="441">
    <w:name w:val="表中文字 Char21"/>
    <w:qFormat/>
    <w:uiPriority w:val="99"/>
    <w:rPr>
      <w:rFonts w:ascii="宋体" w:eastAsia="宋体"/>
      <w:kern w:val="2"/>
      <w:sz w:val="21"/>
      <w:szCs w:val="21"/>
      <w:lang w:val="en-US" w:eastAsia="zh-CN" w:bidi="ar-SA"/>
    </w:rPr>
  </w:style>
  <w:style w:type="character" w:customStyle="1" w:styleId="442">
    <w:name w:val="正文首行缩进 2 Char1"/>
    <w:qFormat/>
    <w:uiPriority w:val="99"/>
    <w:rPr>
      <w:rFonts w:ascii="Times New Roman" w:hAnsi="Times New Roman"/>
      <w:sz w:val="24"/>
    </w:rPr>
  </w:style>
  <w:style w:type="character" w:customStyle="1" w:styleId="443">
    <w:name w:val="图表题 Char12"/>
    <w:qFormat/>
    <w:uiPriority w:val="99"/>
    <w:rPr>
      <w:rFonts w:ascii="黑体" w:hAnsi="宋体" w:eastAsia="黑体" w:cs="宋体"/>
      <w:b/>
      <w:bCs/>
      <w:kern w:val="2"/>
      <w:sz w:val="24"/>
      <w:szCs w:val="24"/>
      <w:lang w:val="en-US" w:eastAsia="zh-CN" w:bidi="ar-SA"/>
    </w:rPr>
  </w:style>
  <w:style w:type="character" w:customStyle="1" w:styleId="444">
    <w:name w:val="样式 黑色"/>
    <w:qFormat/>
    <w:uiPriority w:val="99"/>
    <w:rPr>
      <w:rFonts w:eastAsia="宋体"/>
      <w:color w:val="auto"/>
      <w:kern w:val="2"/>
      <w:sz w:val="24"/>
      <w:szCs w:val="24"/>
      <w:lang w:val="en-US" w:eastAsia="zh-CN" w:bidi="ar-SA"/>
    </w:rPr>
  </w:style>
  <w:style w:type="character" w:customStyle="1" w:styleId="445">
    <w:name w:val="题注 Char24"/>
    <w:qFormat/>
    <w:uiPriority w:val="99"/>
    <w:rPr>
      <w:rFonts w:ascii="黑体" w:hAnsi="Arial" w:eastAsia="黑体" w:cs="Arial"/>
      <w:b/>
      <w:kern w:val="2"/>
      <w:sz w:val="24"/>
      <w:szCs w:val="24"/>
      <w:lang w:val="en-US" w:eastAsia="zh-CN" w:bidi="ar-SA"/>
    </w:rPr>
  </w:style>
  <w:style w:type="character" w:customStyle="1" w:styleId="446">
    <w:name w:val="正文修改 Char1412"/>
    <w:qFormat/>
    <w:uiPriority w:val="99"/>
    <w:rPr>
      <w:rFonts w:ascii="宋体" w:hAnsi="Times New Roman" w:eastAsia="宋体"/>
      <w:color w:val="000000"/>
      <w:kern w:val="2"/>
      <w:sz w:val="28"/>
      <w:szCs w:val="28"/>
      <w:lang w:val="en-US" w:eastAsia="zh-CN" w:bidi="ar-SA"/>
    </w:rPr>
  </w:style>
  <w:style w:type="character" w:customStyle="1" w:styleId="447">
    <w:name w:val="正文修改 Char1312"/>
    <w:qFormat/>
    <w:uiPriority w:val="99"/>
    <w:rPr>
      <w:rFonts w:ascii="宋体" w:hAnsi="宋体"/>
      <w:color w:val="000000"/>
      <w:kern w:val="2"/>
      <w:sz w:val="28"/>
      <w:szCs w:val="28"/>
    </w:rPr>
  </w:style>
  <w:style w:type="character" w:customStyle="1" w:styleId="448">
    <w:name w:val="Char Char12"/>
    <w:qFormat/>
    <w:uiPriority w:val="0"/>
    <w:rPr>
      <w:sz w:val="18"/>
      <w:szCs w:val="18"/>
    </w:rPr>
  </w:style>
  <w:style w:type="character" w:customStyle="1" w:styleId="449">
    <w:name w:val="第二层条 Char2"/>
    <w:qFormat/>
    <w:uiPriority w:val="0"/>
    <w:rPr>
      <w:rFonts w:ascii="仿宋_GB2312" w:hAnsi="Times New Roman" w:eastAsia="仿宋_GB2312" w:cs="Times New Roman"/>
      <w:sz w:val="28"/>
      <w:szCs w:val="24"/>
    </w:rPr>
  </w:style>
  <w:style w:type="character" w:customStyle="1" w:styleId="450">
    <w:name w:val="Char Char10"/>
    <w:qFormat/>
    <w:uiPriority w:val="0"/>
    <w:rPr>
      <w:rFonts w:ascii="仿宋_GB2312" w:hAnsi="Times New Roman" w:eastAsia="仿宋_GB2312" w:cs="Times New Roman"/>
      <w:sz w:val="28"/>
      <w:szCs w:val="20"/>
    </w:rPr>
  </w:style>
  <w:style w:type="character" w:customStyle="1" w:styleId="451">
    <w:name w:val="正文斜体 Char12"/>
    <w:qFormat/>
    <w:uiPriority w:val="99"/>
    <w:rPr>
      <w:rFonts w:ascii="宋体" w:hAnsi="宋体" w:eastAsia="宋体" w:cs="Times New Roman"/>
      <w:i/>
      <w:iCs/>
      <w:kern w:val="2"/>
      <w:sz w:val="24"/>
      <w:szCs w:val="24"/>
      <w:lang w:val="en-US" w:eastAsia="zh-CN" w:bidi="ar-SA"/>
    </w:rPr>
  </w:style>
  <w:style w:type="character" w:customStyle="1" w:styleId="452">
    <w:name w:val="河石管道4 Char"/>
    <w:qFormat/>
    <w:uiPriority w:val="0"/>
    <w:rPr>
      <w:rFonts w:ascii="仿宋_GB2312" w:hAnsi="Arial" w:eastAsia="仿宋_GB2312"/>
      <w:bCs/>
      <w:kern w:val="2"/>
      <w:sz w:val="28"/>
      <w:szCs w:val="28"/>
      <w:lang w:val="en-US" w:eastAsia="zh-CN" w:bidi="ar-SA"/>
    </w:rPr>
  </w:style>
  <w:style w:type="character" w:customStyle="1" w:styleId="453">
    <w:name w:val="节 Char13"/>
    <w:qFormat/>
    <w:uiPriority w:val="99"/>
    <w:rPr>
      <w:rFonts w:ascii="黑体" w:hAnsi="Arial" w:eastAsia="黑体"/>
      <w:bCs/>
      <w:kern w:val="2"/>
      <w:sz w:val="30"/>
      <w:szCs w:val="30"/>
      <w:lang w:val="en-US" w:eastAsia="zh-CN" w:bidi="ar-SA"/>
    </w:rPr>
  </w:style>
  <w:style w:type="character" w:customStyle="1" w:styleId="454">
    <w:name w:val="Char Char Char4"/>
    <w:qFormat/>
    <w:uiPriority w:val="99"/>
    <w:rPr>
      <w:rFonts w:eastAsia="宋体"/>
      <w:kern w:val="2"/>
      <w:sz w:val="18"/>
      <w:szCs w:val="18"/>
      <w:lang w:val="en-US" w:eastAsia="zh-CN" w:bidi="ar-SA"/>
    </w:rPr>
  </w:style>
  <w:style w:type="character" w:customStyle="1" w:styleId="455">
    <w:name w:val="Char Char2"/>
    <w:qFormat/>
    <w:uiPriority w:val="99"/>
    <w:rPr>
      <w:rFonts w:eastAsia="宋体"/>
      <w:kern w:val="2"/>
      <w:sz w:val="18"/>
      <w:szCs w:val="18"/>
      <w:lang w:val="en-US" w:eastAsia="zh-CN" w:bidi="ar-SA"/>
    </w:rPr>
  </w:style>
  <w:style w:type="character" w:customStyle="1" w:styleId="456">
    <w:name w:val="Char Char44"/>
    <w:qFormat/>
    <w:uiPriority w:val="99"/>
    <w:rPr>
      <w:rFonts w:ascii="黑体" w:hAnsi="Arial" w:eastAsia="黑体"/>
      <w:b/>
      <w:bCs/>
      <w:kern w:val="2"/>
      <w:sz w:val="30"/>
      <w:szCs w:val="30"/>
      <w:lang w:val="en-US" w:eastAsia="zh-CN" w:bidi="ar-SA"/>
    </w:rPr>
  </w:style>
  <w:style w:type="character" w:customStyle="1" w:styleId="457">
    <w:name w:val="备注 Char Char"/>
    <w:qFormat/>
    <w:uiPriority w:val="0"/>
    <w:rPr>
      <w:rFonts w:eastAsia="宋体"/>
      <w:kern w:val="2"/>
      <w:sz w:val="21"/>
      <w:lang w:val="en-US" w:eastAsia="zh-CN" w:bidi="ar-SA"/>
    </w:rPr>
  </w:style>
  <w:style w:type="character" w:customStyle="1" w:styleId="458">
    <w:name w:val="正文格式 Char14"/>
    <w:qFormat/>
    <w:uiPriority w:val="99"/>
    <w:rPr>
      <w:rFonts w:ascii="宋体" w:hAnsi="宋体" w:eastAsia="宋体"/>
      <w:kern w:val="2"/>
      <w:sz w:val="24"/>
      <w:szCs w:val="24"/>
      <w:lang w:val="en-US" w:eastAsia="zh-CN" w:bidi="ar-SA"/>
    </w:rPr>
  </w:style>
  <w:style w:type="character" w:customStyle="1" w:styleId="459">
    <w:name w:val="标题 3 Char Char11"/>
    <w:qFormat/>
    <w:uiPriority w:val="99"/>
    <w:rPr>
      <w:rFonts w:ascii="黑体" w:hAnsi="宋体" w:eastAsia="黑体"/>
      <w:bCs/>
      <w:kern w:val="2"/>
      <w:sz w:val="28"/>
      <w:szCs w:val="28"/>
      <w:lang w:val="en-US" w:eastAsia="zh-CN" w:bidi="ar-SA"/>
    </w:rPr>
  </w:style>
  <w:style w:type="character" w:customStyle="1" w:styleId="460">
    <w:name w:val="正文首行缩进 Char5"/>
    <w:qFormat/>
    <w:uiPriority w:val="0"/>
    <w:rPr>
      <w:rFonts w:ascii="Calibri" w:hAnsi="Calibri" w:eastAsia="宋体" w:cs="Times New Roman"/>
      <w:szCs w:val="24"/>
    </w:rPr>
  </w:style>
  <w:style w:type="character" w:customStyle="1" w:styleId="461">
    <w:name w:val="正文格式 Char2"/>
    <w:qFormat/>
    <w:uiPriority w:val="99"/>
    <w:rPr>
      <w:rFonts w:ascii="宋体" w:hAnsi="宋体" w:eastAsia="宋体"/>
      <w:kern w:val="2"/>
      <w:sz w:val="24"/>
      <w:szCs w:val="24"/>
      <w:lang w:val="en-US" w:eastAsia="zh-CN" w:bidi="ar-SA"/>
    </w:rPr>
  </w:style>
  <w:style w:type="character" w:customStyle="1" w:styleId="462">
    <w:name w:val="表题1 Char12"/>
    <w:qFormat/>
    <w:uiPriority w:val="99"/>
    <w:rPr>
      <w:rFonts w:hAnsi="Arial" w:eastAsia="宋体" w:cs="Arial"/>
      <w:kern w:val="2"/>
      <w:sz w:val="24"/>
      <w:szCs w:val="24"/>
      <w:lang w:val="en-US" w:eastAsia="zh-CN" w:bidi="ar-SA"/>
    </w:rPr>
  </w:style>
  <w:style w:type="character" w:customStyle="1" w:styleId="463">
    <w:name w:val="表格内字体 Char12"/>
    <w:qFormat/>
    <w:uiPriority w:val="99"/>
    <w:rPr>
      <w:rFonts w:ascii="宋体" w:hAnsi="宋体" w:eastAsia="宋体"/>
      <w:kern w:val="2"/>
      <w:sz w:val="21"/>
      <w:szCs w:val="24"/>
      <w:lang w:val="en-US" w:eastAsia="zh-CN" w:bidi="ar-SA"/>
    </w:rPr>
  </w:style>
  <w:style w:type="character" w:customStyle="1" w:styleId="464">
    <w:name w:val="图题 Char"/>
    <w:link w:val="465"/>
    <w:qFormat/>
    <w:uiPriority w:val="99"/>
    <w:rPr>
      <w:rFonts w:ascii="黑体" w:hAnsi="宋体" w:eastAsia="黑体" w:cs="Times New Roman"/>
      <w:b/>
      <w:bCs/>
      <w:kern w:val="0"/>
      <w:sz w:val="24"/>
      <w:szCs w:val="24"/>
      <w:lang w:val="zh-CN" w:eastAsia="zh-CN"/>
    </w:rPr>
  </w:style>
  <w:style w:type="paragraph" w:customStyle="1" w:styleId="465">
    <w:name w:val="图题6"/>
    <w:basedOn w:val="185"/>
    <w:next w:val="185"/>
    <w:link w:val="464"/>
    <w:qFormat/>
    <w:uiPriority w:val="99"/>
    <w:pPr>
      <w:ind w:firstLine="0"/>
      <w:jc w:val="center"/>
    </w:pPr>
    <w:rPr>
      <w:rFonts w:ascii="黑体" w:hAnsi="宋体" w:eastAsia="黑体" w:cs="Times New Roman"/>
      <w:b/>
      <w:bCs/>
      <w:kern w:val="0"/>
      <w:lang w:val="zh-CN"/>
    </w:rPr>
  </w:style>
  <w:style w:type="character" w:customStyle="1" w:styleId="466">
    <w:name w:val="Plain Text Char1 Char2"/>
    <w:qFormat/>
    <w:uiPriority w:val="99"/>
    <w:rPr>
      <w:rFonts w:ascii="宋体" w:hAnsi="Courier New" w:eastAsia="仿宋_GB2312"/>
      <w:kern w:val="2"/>
      <w:sz w:val="28"/>
      <w:lang w:val="en-US" w:eastAsia="zh-CN" w:bidi="ar-SA"/>
    </w:rPr>
  </w:style>
  <w:style w:type="character" w:customStyle="1" w:styleId="467">
    <w:name w:val="报告表格 Char"/>
    <w:link w:val="468"/>
    <w:qFormat/>
    <w:uiPriority w:val="0"/>
    <w:rPr>
      <w:rFonts w:ascii="Times New Roman" w:hAnsi="Times New Roman" w:eastAsia="宋体" w:cs="Times New Roman"/>
      <w:kern w:val="0"/>
      <w:szCs w:val="21"/>
    </w:rPr>
  </w:style>
  <w:style w:type="paragraph" w:customStyle="1" w:styleId="468">
    <w:name w:val="报告表格"/>
    <w:basedOn w:val="1"/>
    <w:link w:val="467"/>
    <w:qFormat/>
    <w:uiPriority w:val="0"/>
    <w:pPr>
      <w:autoSpaceDE w:val="0"/>
      <w:autoSpaceDN w:val="0"/>
      <w:spacing w:line="400" w:lineRule="exact"/>
      <w:jc w:val="center"/>
      <w:textAlignment w:val="bottom"/>
    </w:pPr>
    <w:rPr>
      <w:kern w:val="0"/>
      <w:sz w:val="21"/>
      <w:szCs w:val="21"/>
    </w:rPr>
  </w:style>
  <w:style w:type="character" w:customStyle="1" w:styleId="469">
    <w:name w:val="HTML 地址 字符"/>
    <w:link w:val="41"/>
    <w:qFormat/>
    <w:uiPriority w:val="99"/>
    <w:rPr>
      <w:rFonts w:ascii="仿宋_GB2312" w:hAnsi="Times New Roman" w:eastAsia="仿宋_GB2312" w:cs="Times New Roman"/>
      <w:i/>
      <w:iCs/>
      <w:sz w:val="28"/>
      <w:szCs w:val="20"/>
      <w:lang w:val="zh-CN" w:eastAsia="zh-CN"/>
    </w:rPr>
  </w:style>
  <w:style w:type="character" w:customStyle="1" w:styleId="470">
    <w:name w:val="标题 2 Char11"/>
    <w:qFormat/>
    <w:uiPriority w:val="99"/>
    <w:rPr>
      <w:rFonts w:hAnsi="Arial" w:eastAsia="宋体"/>
      <w:bCs/>
      <w:kern w:val="2"/>
      <w:sz w:val="30"/>
      <w:szCs w:val="30"/>
      <w:lang w:val="en-US" w:eastAsia="zh-CN" w:bidi="ar-SA"/>
    </w:rPr>
  </w:style>
  <w:style w:type="character" w:customStyle="1" w:styleId="471">
    <w:name w:val="样式 表内小5 + 黑体 加粗 倾斜 下划线 Char51"/>
    <w:qFormat/>
    <w:uiPriority w:val="99"/>
    <w:rPr>
      <w:rFonts w:ascii="黑体" w:hAnsi="黑体" w:eastAsia="黑体"/>
      <w:b/>
      <w:bCs/>
      <w:i/>
      <w:iCs/>
      <w:kern w:val="2"/>
      <w:sz w:val="18"/>
      <w:szCs w:val="24"/>
      <w:u w:val="single"/>
      <w:lang w:val="en-US" w:eastAsia="zh-CN" w:bidi="ar-SA"/>
    </w:rPr>
  </w:style>
  <w:style w:type="character" w:customStyle="1" w:styleId="472">
    <w:name w:val="二级项 Char3"/>
    <w:qFormat/>
    <w:uiPriority w:val="99"/>
    <w:rPr>
      <w:rFonts w:ascii="Arial" w:hAnsi="Arial" w:eastAsia="黑体"/>
      <w:b/>
      <w:bCs/>
      <w:kern w:val="2"/>
      <w:sz w:val="24"/>
      <w:szCs w:val="24"/>
      <w:lang w:val="en-US" w:eastAsia="zh-CN" w:bidi="ar-SA"/>
    </w:rPr>
  </w:style>
  <w:style w:type="character" w:customStyle="1" w:styleId="473">
    <w:name w:val="Char Char37"/>
    <w:qFormat/>
    <w:uiPriority w:val="99"/>
    <w:rPr>
      <w:rFonts w:ascii="黑体" w:hAnsi="宋体" w:eastAsia="黑体"/>
      <w:b/>
      <w:bCs/>
      <w:kern w:val="2"/>
      <w:sz w:val="28"/>
      <w:szCs w:val="28"/>
      <w:lang w:val="en-US" w:eastAsia="zh-CN" w:bidi="ar-SA"/>
    </w:rPr>
  </w:style>
  <w:style w:type="character" w:customStyle="1" w:styleId="474">
    <w:name w:val="正文01 Char"/>
    <w:qFormat/>
    <w:locked/>
    <w:uiPriority w:val="0"/>
    <w:rPr>
      <w:rFonts w:eastAsia="宋体"/>
      <w:kern w:val="2"/>
      <w:sz w:val="24"/>
      <w:szCs w:val="24"/>
      <w:lang w:val="en-US" w:eastAsia="zh-CN" w:bidi="ar-SA"/>
    </w:rPr>
  </w:style>
  <w:style w:type="character" w:customStyle="1" w:styleId="475">
    <w:name w:val="style451"/>
    <w:qFormat/>
    <w:uiPriority w:val="0"/>
    <w:rPr>
      <w:b/>
      <w:bCs/>
      <w:color w:val="000000"/>
      <w:sz w:val="19"/>
      <w:szCs w:val="19"/>
    </w:rPr>
  </w:style>
  <w:style w:type="character" w:customStyle="1" w:styleId="476">
    <w:name w:val="标题 2 Char Char Char Char Char"/>
    <w:qFormat/>
    <w:uiPriority w:val="0"/>
    <w:rPr>
      <w:rFonts w:ascii="Arial" w:hAnsi="Arial" w:eastAsia="宋体"/>
      <w:bCs/>
      <w:kern w:val="2"/>
      <w:sz w:val="28"/>
      <w:szCs w:val="32"/>
      <w:lang w:val="en-US" w:eastAsia="zh-CN" w:bidi="ar-SA"/>
    </w:rPr>
  </w:style>
  <w:style w:type="character" w:customStyle="1" w:styleId="477">
    <w:name w:val="dl1"/>
    <w:qFormat/>
    <w:uiPriority w:val="0"/>
    <w:rPr>
      <w:color w:val="000000"/>
      <w:sz w:val="20"/>
      <w:szCs w:val="20"/>
    </w:rPr>
  </w:style>
  <w:style w:type="character" w:customStyle="1" w:styleId="478">
    <w:name w:val="正文修改 Char11"/>
    <w:qFormat/>
    <w:uiPriority w:val="99"/>
    <w:rPr>
      <w:rFonts w:ascii="宋体" w:hAnsi="宋体"/>
      <w:color w:val="000000"/>
      <w:kern w:val="2"/>
      <w:sz w:val="28"/>
      <w:szCs w:val="28"/>
    </w:rPr>
  </w:style>
  <w:style w:type="character" w:customStyle="1" w:styleId="479">
    <w:name w:val="题注 Char14"/>
    <w:qFormat/>
    <w:uiPriority w:val="99"/>
    <w:rPr>
      <w:rFonts w:ascii="黑体" w:hAnsi="Arial" w:eastAsia="黑体" w:cs="Arial"/>
      <w:b/>
      <w:kern w:val="2"/>
      <w:sz w:val="24"/>
      <w:szCs w:val="24"/>
      <w:lang w:val="en-US" w:eastAsia="zh-CN" w:bidi="ar-SA"/>
    </w:rPr>
  </w:style>
  <w:style w:type="character" w:customStyle="1" w:styleId="480">
    <w:name w:val="表格内字体 Char11"/>
    <w:qFormat/>
    <w:uiPriority w:val="99"/>
    <w:rPr>
      <w:rFonts w:ascii="宋体" w:hAnsi="宋体" w:eastAsia="宋体"/>
      <w:kern w:val="2"/>
      <w:sz w:val="21"/>
      <w:szCs w:val="24"/>
      <w:lang w:val="en-US" w:eastAsia="zh-CN" w:bidi="ar-SA"/>
    </w:rPr>
  </w:style>
  <w:style w:type="character" w:customStyle="1" w:styleId="481">
    <w:name w:val="样式 正文文本缩进 + 宋体 13 磅 Char"/>
    <w:qFormat/>
    <w:uiPriority w:val="0"/>
    <w:rPr>
      <w:rFonts w:ascii="宋体" w:hAnsi="宋体" w:eastAsia="宋体"/>
      <w:kern w:val="2"/>
      <w:sz w:val="28"/>
      <w:szCs w:val="28"/>
      <w:lang w:val="en-US" w:eastAsia="zh-CN" w:bidi="ar-SA"/>
    </w:rPr>
  </w:style>
  <w:style w:type="character" w:customStyle="1" w:styleId="482">
    <w:name w:val="燕山正文 Char"/>
    <w:qFormat/>
    <w:uiPriority w:val="0"/>
    <w:rPr>
      <w:rFonts w:ascii="宋体" w:hAnsi="宋体" w:eastAsia="宋体"/>
      <w:color w:val="000000"/>
      <w:kern w:val="2"/>
      <w:sz w:val="28"/>
      <w:szCs w:val="28"/>
      <w:lang w:val="en-US" w:eastAsia="zh-CN" w:bidi="ar-SA"/>
    </w:rPr>
  </w:style>
  <w:style w:type="character" w:customStyle="1" w:styleId="483">
    <w:name w:val="正文01 Char Char"/>
    <w:qFormat/>
    <w:locked/>
    <w:uiPriority w:val="99"/>
    <w:rPr>
      <w:rFonts w:eastAsia="宋体"/>
      <w:kern w:val="2"/>
      <w:sz w:val="24"/>
      <w:szCs w:val="24"/>
      <w:lang w:val="en-US" w:eastAsia="zh-CN" w:bidi="ar-SA"/>
    </w:rPr>
  </w:style>
  <w:style w:type="character" w:customStyle="1" w:styleId="484">
    <w:name w:val="infofont1"/>
    <w:qFormat/>
    <w:uiPriority w:val="0"/>
    <w:rPr>
      <w:rFonts w:hint="default" w:eastAsia="華康中楷體"/>
      <w:color w:val="000000"/>
      <w:sz w:val="22"/>
      <w:szCs w:val="22"/>
      <w:u w:val="none"/>
      <w:lang w:val="en-US" w:eastAsia="en-US" w:bidi="ar-SA"/>
    </w:rPr>
  </w:style>
  <w:style w:type="character" w:customStyle="1" w:styleId="485">
    <w:name w:val="文本条款 Char Char Char Char Char"/>
    <w:qFormat/>
    <w:uiPriority w:val="0"/>
    <w:rPr>
      <w:rFonts w:eastAsia="宋体"/>
      <w:color w:val="000000"/>
      <w:kern w:val="2"/>
      <w:sz w:val="24"/>
      <w:szCs w:val="24"/>
      <w:lang w:val="en-US" w:eastAsia="zh-CN" w:bidi="ar-SA"/>
    </w:rPr>
  </w:style>
  <w:style w:type="character" w:customStyle="1" w:styleId="486">
    <w:name w:val="正文001 Char Char Char Char"/>
    <w:qFormat/>
    <w:uiPriority w:val="0"/>
    <w:rPr>
      <w:rFonts w:eastAsia="宋体"/>
      <w:color w:val="000000"/>
      <w:kern w:val="2"/>
      <w:sz w:val="24"/>
      <w:szCs w:val="24"/>
      <w:lang w:val="en-US" w:eastAsia="zh-CN" w:bidi="ar-SA"/>
    </w:rPr>
  </w:style>
  <w:style w:type="character" w:customStyle="1" w:styleId="487">
    <w:name w:val="表题1 Char64"/>
    <w:qFormat/>
    <w:uiPriority w:val="99"/>
    <w:rPr>
      <w:rFonts w:ascii="黑体" w:hAnsi="Arial" w:eastAsia="黑体" w:cs="Arial"/>
      <w:b/>
      <w:kern w:val="2"/>
      <w:sz w:val="24"/>
      <w:szCs w:val="24"/>
      <w:lang w:val="en-US" w:eastAsia="zh-CN" w:bidi="ar-SA"/>
    </w:rPr>
  </w:style>
  <w:style w:type="character" w:customStyle="1" w:styleId="488">
    <w:name w:val="题注 Char112"/>
    <w:qFormat/>
    <w:uiPriority w:val="99"/>
    <w:rPr>
      <w:rFonts w:ascii="黑体" w:hAnsi="Arial" w:eastAsia="黑体" w:cs="Arial"/>
      <w:b/>
      <w:kern w:val="2"/>
      <w:sz w:val="24"/>
      <w:szCs w:val="24"/>
      <w:lang w:val="en-US" w:eastAsia="zh-CN" w:bidi="ar-SA"/>
    </w:rPr>
  </w:style>
  <w:style w:type="character" w:customStyle="1" w:styleId="489">
    <w:name w:val="Char Char34"/>
    <w:qFormat/>
    <w:uiPriority w:val="99"/>
    <w:rPr>
      <w:rFonts w:ascii="黑体" w:hAnsi="宋体" w:eastAsia="黑体"/>
      <w:b/>
      <w:bCs/>
      <w:kern w:val="2"/>
      <w:sz w:val="28"/>
      <w:szCs w:val="28"/>
      <w:lang w:val="en-US" w:eastAsia="zh-CN" w:bidi="ar-SA"/>
    </w:rPr>
  </w:style>
  <w:style w:type="character" w:customStyle="1" w:styleId="490">
    <w:name w:val="环评正文 Char4"/>
    <w:qFormat/>
    <w:uiPriority w:val="99"/>
    <w:rPr>
      <w:rFonts w:eastAsia="宋体"/>
      <w:bCs/>
      <w:kern w:val="2"/>
      <w:sz w:val="24"/>
      <w:szCs w:val="24"/>
      <w:lang w:val="en-US" w:eastAsia="zh-CN" w:bidi="ar-SA"/>
    </w:rPr>
  </w:style>
  <w:style w:type="character" w:customStyle="1" w:styleId="491">
    <w:name w:val="批注框文本 Char1"/>
    <w:qFormat/>
    <w:uiPriority w:val="99"/>
    <w:rPr>
      <w:rFonts w:eastAsia="宋体"/>
      <w:kern w:val="2"/>
      <w:sz w:val="18"/>
      <w:szCs w:val="18"/>
      <w:lang w:val="en-US" w:eastAsia="zh-CN" w:bidi="ar-SA"/>
    </w:rPr>
  </w:style>
  <w:style w:type="character" w:customStyle="1" w:styleId="492">
    <w:name w:val="正文文字缩进 2 Char1"/>
    <w:qFormat/>
    <w:uiPriority w:val="0"/>
    <w:rPr>
      <w:rFonts w:eastAsia="宋体"/>
      <w:kern w:val="2"/>
      <w:sz w:val="21"/>
      <w:szCs w:val="24"/>
      <w:lang w:val="en-US" w:eastAsia="zh-CN" w:bidi="ar-SA"/>
    </w:rPr>
  </w:style>
  <w:style w:type="character" w:customStyle="1" w:styleId="493">
    <w:name w:val="标题 Char1"/>
    <w:qFormat/>
    <w:uiPriority w:val="0"/>
    <w:rPr>
      <w:rFonts w:ascii="Cambria" w:hAnsi="Cambria" w:eastAsia="宋体" w:cs="Times New Roman"/>
      <w:b/>
      <w:bCs/>
      <w:sz w:val="32"/>
      <w:szCs w:val="32"/>
    </w:rPr>
  </w:style>
  <w:style w:type="character" w:customStyle="1" w:styleId="494">
    <w:name w:val="标题 字符1"/>
    <w:qFormat/>
    <w:uiPriority w:val="10"/>
    <w:rPr>
      <w:rFonts w:ascii="Cambria" w:hAnsi="Cambria" w:eastAsia="宋体" w:cs="Times New Roman"/>
      <w:b/>
      <w:bCs/>
      <w:sz w:val="32"/>
      <w:szCs w:val="32"/>
    </w:rPr>
  </w:style>
  <w:style w:type="character" w:customStyle="1" w:styleId="495">
    <w:name w:val="题注 Char34"/>
    <w:qFormat/>
    <w:uiPriority w:val="99"/>
    <w:rPr>
      <w:rFonts w:ascii="黑体" w:hAnsi="Arial" w:eastAsia="黑体" w:cs="Arial"/>
      <w:b/>
      <w:kern w:val="2"/>
      <w:sz w:val="24"/>
      <w:szCs w:val="24"/>
      <w:lang w:val="en-US" w:eastAsia="zh-CN" w:bidi="ar-SA"/>
    </w:rPr>
  </w:style>
  <w:style w:type="character" w:customStyle="1" w:styleId="496">
    <w:name w:val="Char Char610"/>
    <w:qFormat/>
    <w:uiPriority w:val="99"/>
    <w:rPr>
      <w:rFonts w:ascii="黑体" w:eastAsia="黑体"/>
      <w:b/>
      <w:bCs/>
      <w:kern w:val="2"/>
      <w:sz w:val="28"/>
      <w:szCs w:val="28"/>
      <w:lang w:val="en-US" w:eastAsia="zh-CN" w:bidi="ar-SA"/>
    </w:rPr>
  </w:style>
  <w:style w:type="character" w:customStyle="1" w:styleId="497">
    <w:name w:val="hottext1"/>
    <w:qFormat/>
    <w:uiPriority w:val="0"/>
    <w:rPr>
      <w:rFonts w:ascii="宋体" w:hAnsi="宋体" w:eastAsia="宋体"/>
      <w:strike/>
      <w:sz w:val="22"/>
      <w:u w:val="none"/>
    </w:rPr>
  </w:style>
  <w:style w:type="character" w:customStyle="1" w:styleId="498">
    <w:name w:val="标题 2 Char41"/>
    <w:qFormat/>
    <w:uiPriority w:val="99"/>
    <w:rPr>
      <w:rFonts w:ascii="黑体" w:hAnsi="Arial" w:eastAsia="黑体" w:cs="Times New Roman"/>
      <w:bCs/>
      <w:kern w:val="2"/>
      <w:sz w:val="30"/>
      <w:szCs w:val="30"/>
      <w:lang w:val="en-US" w:eastAsia="zh-CN" w:bidi="ar-SA"/>
    </w:rPr>
  </w:style>
  <w:style w:type="character" w:customStyle="1" w:styleId="499">
    <w:name w:val="样式 表格文字 + (中文) 宋体 Char"/>
    <w:link w:val="500"/>
    <w:qFormat/>
    <w:uiPriority w:val="0"/>
    <w:rPr>
      <w:rFonts w:eastAsia="宋体"/>
      <w:szCs w:val="21"/>
    </w:rPr>
  </w:style>
  <w:style w:type="paragraph" w:customStyle="1" w:styleId="500">
    <w:name w:val="样式 表格文字 + (中文) 宋体"/>
    <w:basedOn w:val="296"/>
    <w:link w:val="499"/>
    <w:qFormat/>
    <w:uiPriority w:val="0"/>
    <w:pPr>
      <w:adjustRightInd/>
      <w:snapToGrid/>
      <w:spacing w:before="60" w:line="460" w:lineRule="exact"/>
      <w:jc w:val="both"/>
    </w:pPr>
    <w:rPr>
      <w:szCs w:val="21"/>
    </w:rPr>
  </w:style>
  <w:style w:type="character" w:customStyle="1" w:styleId="501">
    <w:name w:val="Char Char612"/>
    <w:qFormat/>
    <w:uiPriority w:val="99"/>
    <w:rPr>
      <w:rFonts w:ascii="黑体" w:eastAsia="黑体"/>
      <w:b/>
      <w:bCs/>
      <w:kern w:val="2"/>
      <w:sz w:val="28"/>
      <w:szCs w:val="28"/>
      <w:lang w:val="en-US" w:eastAsia="zh-CN" w:bidi="ar-SA"/>
    </w:rPr>
  </w:style>
  <w:style w:type="character" w:customStyle="1" w:styleId="502">
    <w:name w:val="正文缩进 Char121"/>
    <w:qFormat/>
    <w:uiPriority w:val="99"/>
    <w:rPr>
      <w:rFonts w:ascii="宋体" w:hAnsi="宋体" w:eastAsia="宋体" w:cs="宋体"/>
      <w:color w:val="000000"/>
      <w:kern w:val="2"/>
      <w:sz w:val="24"/>
      <w:szCs w:val="24"/>
      <w:lang w:val="en-US" w:eastAsia="zh-CN" w:bidi="ar-SA"/>
    </w:rPr>
  </w:style>
  <w:style w:type="character" w:customStyle="1" w:styleId="503">
    <w:name w:val="文档结构图 Char11"/>
    <w:qFormat/>
    <w:uiPriority w:val="99"/>
    <w:rPr>
      <w:rFonts w:ascii="Times New Roman" w:hAnsi="Times New Roman" w:eastAsia="宋体" w:cs="Times New Roman"/>
      <w:kern w:val="2"/>
      <w:sz w:val="24"/>
      <w:szCs w:val="24"/>
      <w:shd w:val="clear" w:color="auto" w:fill="000080"/>
      <w:lang w:val="en-US" w:eastAsia="zh-CN" w:bidi="ar-SA"/>
    </w:rPr>
  </w:style>
  <w:style w:type="character" w:customStyle="1" w:styleId="504">
    <w:name w:val="标题 2 C"/>
    <w:qFormat/>
    <w:uiPriority w:val="0"/>
    <w:rPr>
      <w:rFonts w:ascii="宋体" w:hAnsi="Arial" w:eastAsia="宋体"/>
      <w:b/>
      <w:bCs/>
      <w:kern w:val="2"/>
      <w:sz w:val="32"/>
      <w:szCs w:val="32"/>
      <w:lang w:val="en-US" w:eastAsia="zh-CN"/>
    </w:rPr>
  </w:style>
  <w:style w:type="character" w:customStyle="1" w:styleId="505">
    <w:name w:val="正文修改 Char1112"/>
    <w:qFormat/>
    <w:uiPriority w:val="99"/>
    <w:rPr>
      <w:rFonts w:ascii="宋体" w:hAnsi="宋体"/>
      <w:color w:val="000000"/>
      <w:kern w:val="2"/>
      <w:sz w:val="28"/>
      <w:szCs w:val="28"/>
    </w:rPr>
  </w:style>
  <w:style w:type="character" w:customStyle="1" w:styleId="506">
    <w:name w:val="h31"/>
    <w:qFormat/>
    <w:uiPriority w:val="99"/>
    <w:rPr>
      <w:rFonts w:cs="Times New Roman"/>
      <w:sz w:val="21"/>
      <w:szCs w:val="21"/>
    </w:rPr>
  </w:style>
  <w:style w:type="character" w:customStyle="1" w:styleId="507">
    <w:name w:val="正文标准格式 Char"/>
    <w:qFormat/>
    <w:uiPriority w:val="0"/>
    <w:rPr>
      <w:rFonts w:eastAsia="仿宋_GB2312"/>
      <w:color w:val="000000"/>
      <w:kern w:val="2"/>
      <w:sz w:val="28"/>
      <w:szCs w:val="28"/>
      <w:lang w:val="en-US" w:eastAsia="zh-CN"/>
    </w:rPr>
  </w:style>
  <w:style w:type="character" w:customStyle="1" w:styleId="508">
    <w:name w:val="干标题(a) Char3"/>
    <w:qFormat/>
    <w:uiPriority w:val="99"/>
    <w:rPr>
      <w:rFonts w:ascii="Arial" w:hAnsi="Arial" w:eastAsia="黑体"/>
      <w:kern w:val="2"/>
      <w:sz w:val="21"/>
      <w:szCs w:val="21"/>
      <w:lang w:val="en-US" w:eastAsia="zh-CN" w:bidi="ar-SA"/>
    </w:rPr>
  </w:style>
  <w:style w:type="character" w:customStyle="1" w:styleId="509">
    <w:name w:val="infodetail1"/>
    <w:qFormat/>
    <w:uiPriority w:val="0"/>
    <w:rPr>
      <w:rFonts w:hint="default" w:ascii="ˎ̥" w:hAnsi="ˎ̥" w:eastAsia="黑体"/>
      <w:b/>
      <w:color w:val="000000"/>
      <w:spacing w:val="10"/>
      <w:kern w:val="44"/>
      <w:sz w:val="24"/>
      <w:u w:val="none"/>
      <w:lang w:val="en-US" w:eastAsia="zh-CN"/>
    </w:rPr>
  </w:style>
  <w:style w:type="character" w:customStyle="1" w:styleId="510">
    <w:name w:val="环评正文文字缩进（江东模板） Char"/>
    <w:qFormat/>
    <w:uiPriority w:val="99"/>
    <w:rPr>
      <w:rFonts w:eastAsia="宋体"/>
      <w:kern w:val="2"/>
      <w:sz w:val="16"/>
      <w:szCs w:val="16"/>
      <w:lang w:val="en-US" w:eastAsia="zh-CN" w:bidi="ar-SA"/>
    </w:rPr>
  </w:style>
  <w:style w:type="character" w:customStyle="1" w:styleId="511">
    <w:name w:val="Char Char48"/>
    <w:qFormat/>
    <w:uiPriority w:val="99"/>
    <w:rPr>
      <w:rFonts w:ascii="黑体" w:hAnsi="Arial" w:eastAsia="黑体"/>
      <w:b/>
      <w:bCs/>
      <w:kern w:val="2"/>
      <w:sz w:val="30"/>
      <w:szCs w:val="30"/>
      <w:lang w:val="en-US" w:eastAsia="zh-CN" w:bidi="ar-SA"/>
    </w:rPr>
  </w:style>
  <w:style w:type="character" w:customStyle="1" w:styleId="512">
    <w:name w:val="燕山正文 Char13"/>
    <w:qFormat/>
    <w:uiPriority w:val="99"/>
    <w:rPr>
      <w:rFonts w:ascii="宋体" w:eastAsia="宋体" w:cs="宋体"/>
      <w:kern w:val="2"/>
      <w:sz w:val="24"/>
      <w:szCs w:val="24"/>
      <w:lang w:val="en-US" w:eastAsia="zh-CN" w:bidi="ar-SA"/>
    </w:rPr>
  </w:style>
  <w:style w:type="character" w:customStyle="1" w:styleId="513">
    <w:name w:val="fsl1"/>
    <w:qFormat/>
    <w:uiPriority w:val="0"/>
    <w:rPr>
      <w:rFonts w:ascii="黑体" w:hAnsi="黑体" w:eastAsia="黑体"/>
      <w:b/>
      <w:color w:val="0082C6"/>
      <w:spacing w:val="10"/>
      <w:kern w:val="44"/>
      <w:sz w:val="21"/>
      <w:lang w:val="en-US" w:eastAsia="zh-CN"/>
    </w:rPr>
  </w:style>
  <w:style w:type="character" w:customStyle="1" w:styleId="514">
    <w:name w:val="图表题 Char4"/>
    <w:qFormat/>
    <w:uiPriority w:val="99"/>
    <w:rPr>
      <w:rFonts w:ascii="黑体" w:hAnsi="宋体" w:eastAsia="黑体" w:cs="宋体"/>
      <w:b/>
      <w:bCs/>
      <w:kern w:val="2"/>
      <w:sz w:val="24"/>
      <w:szCs w:val="24"/>
      <w:lang w:val="en-US" w:eastAsia="zh-CN" w:bidi="ar-SA"/>
    </w:rPr>
  </w:style>
  <w:style w:type="character" w:customStyle="1" w:styleId="515">
    <w:name w:val="标题6"/>
    <w:basedOn w:val="133"/>
    <w:qFormat/>
    <w:uiPriority w:val="0"/>
  </w:style>
  <w:style w:type="character" w:customStyle="1" w:styleId="516">
    <w:name w:val="标题 3 Char1 Char"/>
    <w:qFormat/>
    <w:uiPriority w:val="99"/>
    <w:rPr>
      <w:rFonts w:ascii="宋体" w:hAnsi="宋体" w:eastAsia="宋体" w:cs="Arial Unicode MS"/>
      <w:bCs/>
      <w:kern w:val="2"/>
      <w:sz w:val="28"/>
      <w:szCs w:val="32"/>
      <w:lang w:val="en-US" w:eastAsia="zh-CN" w:bidi="ar-SA"/>
    </w:rPr>
  </w:style>
  <w:style w:type="character" w:customStyle="1" w:styleId="517">
    <w:name w:val="无级项 Char3"/>
    <w:qFormat/>
    <w:uiPriority w:val="99"/>
    <w:rPr>
      <w:rFonts w:eastAsia="宋体"/>
      <w:b/>
      <w:bCs/>
      <w:kern w:val="2"/>
      <w:sz w:val="24"/>
      <w:szCs w:val="24"/>
      <w:lang w:val="en-US" w:eastAsia="zh-CN" w:bidi="ar-SA"/>
    </w:rPr>
  </w:style>
  <w:style w:type="character" w:customStyle="1" w:styleId="518">
    <w:name w:val="articlebody3"/>
    <w:qFormat/>
    <w:uiPriority w:val="0"/>
    <w:rPr>
      <w:sz w:val="21"/>
      <w:szCs w:val="21"/>
    </w:rPr>
  </w:style>
  <w:style w:type="character" w:customStyle="1" w:styleId="519">
    <w:name w:val="unnamed2"/>
    <w:basedOn w:val="133"/>
    <w:qFormat/>
    <w:uiPriority w:val="0"/>
  </w:style>
  <w:style w:type="character" w:customStyle="1" w:styleId="520">
    <w:name w:val="纯文本 Char Char2"/>
    <w:qFormat/>
    <w:uiPriority w:val="0"/>
    <w:rPr>
      <w:rFonts w:ascii="宋体" w:hAnsi="Courier New" w:eastAsia="宋体"/>
      <w:b/>
      <w:spacing w:val="10"/>
      <w:kern w:val="44"/>
      <w:sz w:val="21"/>
      <w:lang w:val="en-US" w:eastAsia="zh-CN"/>
    </w:rPr>
  </w:style>
  <w:style w:type="character" w:customStyle="1" w:styleId="521">
    <w:name w:val="表蕊 Char1"/>
    <w:link w:val="522"/>
    <w:qFormat/>
    <w:uiPriority w:val="99"/>
    <w:rPr>
      <w:rFonts w:ascii="Times New Roman" w:hAnsi="Times New Roman" w:eastAsia="楷体_GB2312" w:cs="Times New Roman"/>
      <w:spacing w:val="-10"/>
      <w:szCs w:val="24"/>
    </w:rPr>
  </w:style>
  <w:style w:type="paragraph" w:customStyle="1" w:styleId="522">
    <w:name w:val="表蕊"/>
    <w:basedOn w:val="1"/>
    <w:link w:val="521"/>
    <w:qFormat/>
    <w:uiPriority w:val="99"/>
    <w:pPr>
      <w:spacing w:line="320" w:lineRule="atLeast"/>
      <w:jc w:val="left"/>
      <w:textAlignment w:val="baseline"/>
    </w:pPr>
    <w:rPr>
      <w:rFonts w:eastAsia="楷体_GB2312"/>
      <w:spacing w:val="-10"/>
      <w:sz w:val="21"/>
    </w:rPr>
  </w:style>
  <w:style w:type="character" w:customStyle="1" w:styleId="523">
    <w:name w:val="样式_正文_01 Char"/>
    <w:link w:val="524"/>
    <w:qFormat/>
    <w:uiPriority w:val="0"/>
    <w:rPr>
      <w:rFonts w:ascii="宋体" w:hAnsi="宋体" w:eastAsia="宋体" w:cs="宋体"/>
      <w:color w:val="000000"/>
      <w:kern w:val="0"/>
      <w:sz w:val="24"/>
      <w:szCs w:val="24"/>
      <w:lang w:val="zh-CN"/>
    </w:rPr>
  </w:style>
  <w:style w:type="paragraph" w:customStyle="1" w:styleId="524">
    <w:name w:val="样式_正文_01"/>
    <w:basedOn w:val="1"/>
    <w:link w:val="523"/>
    <w:qFormat/>
    <w:uiPriority w:val="0"/>
    <w:pPr>
      <w:ind w:firstLine="468"/>
    </w:pPr>
    <w:rPr>
      <w:rFonts w:ascii="宋体" w:hAnsi="宋体" w:cs="宋体"/>
      <w:color w:val="000000"/>
      <w:kern w:val="0"/>
      <w:lang w:val="zh-CN"/>
    </w:rPr>
  </w:style>
  <w:style w:type="character" w:customStyle="1" w:styleId="525">
    <w:name w:val="正文首行缩进 Char Char Char1"/>
    <w:qFormat/>
    <w:uiPriority w:val="0"/>
    <w:rPr>
      <w:rFonts w:eastAsia="宋体"/>
      <w:kern w:val="2"/>
      <w:sz w:val="21"/>
      <w:szCs w:val="24"/>
      <w:lang w:val="en-US" w:eastAsia="zh-CN" w:bidi="ar-SA"/>
    </w:rPr>
  </w:style>
  <w:style w:type="character" w:customStyle="1" w:styleId="526">
    <w:name w:val="Char Char1112"/>
    <w:qFormat/>
    <w:uiPriority w:val="99"/>
    <w:rPr>
      <w:rFonts w:ascii="黑体" w:hAnsi="Arial" w:eastAsia="黑体"/>
      <w:bCs/>
      <w:kern w:val="2"/>
      <w:sz w:val="30"/>
      <w:szCs w:val="30"/>
      <w:lang w:val="en-US" w:eastAsia="zh-CN" w:bidi="ar-SA"/>
    </w:rPr>
  </w:style>
  <w:style w:type="character" w:customStyle="1" w:styleId="527">
    <w:name w:val="正文文字 21 Char"/>
    <w:qFormat/>
    <w:uiPriority w:val="0"/>
    <w:rPr>
      <w:rFonts w:eastAsia="宋体"/>
      <w:kern w:val="2"/>
      <w:sz w:val="21"/>
      <w:szCs w:val="24"/>
      <w:lang w:val="en-US" w:eastAsia="zh-CN" w:bidi="ar-SA"/>
    </w:rPr>
  </w:style>
  <w:style w:type="character" w:customStyle="1" w:styleId="528">
    <w:name w:val="标题 3 Char91"/>
    <w:qFormat/>
    <w:uiPriority w:val="99"/>
    <w:rPr>
      <w:rFonts w:ascii="黑体" w:hAnsi="宋体" w:eastAsia="黑体" w:cs="Times New Roman"/>
      <w:b/>
      <w:bCs/>
      <w:kern w:val="2"/>
      <w:sz w:val="28"/>
      <w:szCs w:val="28"/>
      <w:lang w:val="en-US" w:eastAsia="zh-CN" w:bidi="ar-SA"/>
    </w:rPr>
  </w:style>
  <w:style w:type="character" w:customStyle="1" w:styleId="529">
    <w:name w:val="Char Char118"/>
    <w:qFormat/>
    <w:uiPriority w:val="99"/>
    <w:rPr>
      <w:rFonts w:ascii="黑体" w:hAnsi="Arial" w:eastAsia="黑体"/>
      <w:b/>
      <w:bCs/>
      <w:kern w:val="2"/>
      <w:sz w:val="30"/>
      <w:szCs w:val="30"/>
      <w:lang w:val="en-US" w:eastAsia="zh-CN" w:bidi="ar-SA"/>
    </w:rPr>
  </w:style>
  <w:style w:type="character" w:customStyle="1" w:styleId="530">
    <w:name w:val="正文格式 Char41"/>
    <w:qFormat/>
    <w:uiPriority w:val="99"/>
    <w:rPr>
      <w:rFonts w:ascii="宋体" w:hAnsi="宋体" w:eastAsia="宋体"/>
      <w:kern w:val="2"/>
      <w:sz w:val="24"/>
      <w:szCs w:val="24"/>
      <w:lang w:val="en-US" w:eastAsia="zh-CN" w:bidi="ar-SA"/>
    </w:rPr>
  </w:style>
  <w:style w:type="character" w:customStyle="1" w:styleId="531">
    <w:name w:val="Char Char1113"/>
    <w:qFormat/>
    <w:uiPriority w:val="99"/>
    <w:rPr>
      <w:rFonts w:ascii="黑体" w:hAnsi="Arial" w:eastAsia="黑体"/>
      <w:bCs/>
      <w:kern w:val="2"/>
      <w:sz w:val="30"/>
      <w:szCs w:val="30"/>
      <w:lang w:val="en-US" w:eastAsia="zh-CN" w:bidi="ar-SA"/>
    </w:rPr>
  </w:style>
  <w:style w:type="character" w:customStyle="1" w:styleId="532">
    <w:name w:val="unnamed11"/>
    <w:qFormat/>
    <w:uiPriority w:val="0"/>
    <w:rPr>
      <w:rFonts w:ascii="黑体" w:hAnsi="黑体" w:eastAsia="宋体"/>
      <w:b/>
      <w:color w:val="000000"/>
      <w:spacing w:val="10"/>
      <w:kern w:val="2"/>
      <w:sz w:val="19"/>
      <w:szCs w:val="19"/>
      <w:u w:val="none"/>
      <w:lang w:val="en-US" w:eastAsia="zh-CN" w:bidi="ar-SA"/>
    </w:rPr>
  </w:style>
  <w:style w:type="character" w:customStyle="1" w:styleId="533">
    <w:name w:val="a51"/>
    <w:qFormat/>
    <w:uiPriority w:val="99"/>
    <w:rPr>
      <w:rFonts w:ascii="黑体" w:hAnsi="黑体" w:eastAsia="宋体"/>
      <w:b/>
      <w:color w:val="000000"/>
      <w:spacing w:val="10"/>
      <w:kern w:val="2"/>
      <w:sz w:val="21"/>
      <w:szCs w:val="21"/>
      <w:u w:val="none"/>
      <w:lang w:val="en-US" w:eastAsia="zh-CN" w:bidi="ar-SA"/>
    </w:rPr>
  </w:style>
  <w:style w:type="character" w:customStyle="1" w:styleId="534">
    <w:name w:val="默认段落字体 Char"/>
    <w:qFormat/>
    <w:uiPriority w:val="0"/>
    <w:rPr>
      <w:rFonts w:hint="eastAsia"/>
      <w:color w:val="000000"/>
      <w:sz w:val="21"/>
      <w:lang w:val="en-US" w:eastAsia="zh-CN"/>
    </w:rPr>
  </w:style>
  <w:style w:type="character" w:customStyle="1" w:styleId="535">
    <w:name w:val="批注引用 Char"/>
    <w:qFormat/>
    <w:uiPriority w:val="0"/>
    <w:rPr>
      <w:rFonts w:hint="eastAsia"/>
      <w:color w:val="000000"/>
      <w:sz w:val="21"/>
      <w:lang w:val="en-US" w:eastAsia="zh-CN"/>
    </w:rPr>
  </w:style>
  <w:style w:type="character" w:customStyle="1" w:styleId="536">
    <w:name w:val="链接"/>
    <w:qFormat/>
    <w:uiPriority w:val="0"/>
    <w:rPr>
      <w:rFonts w:hint="eastAsia" w:ascii="黑体" w:hAnsi="黑体" w:eastAsia="宋体"/>
      <w:b/>
      <w:color w:val="0000FF"/>
      <w:spacing w:val="10"/>
      <w:kern w:val="2"/>
      <w:sz w:val="21"/>
      <w:szCs w:val="28"/>
      <w:u w:val="single" w:color="0000FF"/>
      <w:lang w:val="en-US" w:eastAsia="zh-CN" w:bidi="ar-SA"/>
    </w:rPr>
  </w:style>
  <w:style w:type="character" w:customStyle="1" w:styleId="537">
    <w:name w:val="表格内字体 Char4"/>
    <w:qFormat/>
    <w:uiPriority w:val="99"/>
    <w:rPr>
      <w:rFonts w:ascii="宋体" w:hAnsi="宋体" w:eastAsia="宋体"/>
      <w:kern w:val="2"/>
      <w:sz w:val="21"/>
      <w:szCs w:val="24"/>
      <w:lang w:val="en-US" w:eastAsia="zh-CN" w:bidi="ar-SA"/>
    </w:rPr>
  </w:style>
  <w:style w:type="character" w:customStyle="1" w:styleId="538">
    <w:name w:val="页码 Char"/>
    <w:qFormat/>
    <w:uiPriority w:val="0"/>
    <w:rPr>
      <w:rFonts w:hint="eastAsia"/>
      <w:color w:val="000000"/>
      <w:sz w:val="21"/>
      <w:lang w:val="en-US" w:eastAsia="zh-CN"/>
    </w:rPr>
  </w:style>
  <w:style w:type="character" w:customStyle="1" w:styleId="539">
    <w:name w:val="日期 Char1"/>
    <w:qFormat/>
    <w:uiPriority w:val="99"/>
    <w:rPr>
      <w:rFonts w:ascii="Times New Roman" w:hAnsi="Times New Roman" w:eastAsia="仿宋_GB2312" w:cs="Times New Roman"/>
      <w:sz w:val="28"/>
      <w:szCs w:val="24"/>
      <w:lang w:val="zh-CN" w:eastAsia="zh-CN"/>
    </w:rPr>
  </w:style>
  <w:style w:type="character" w:customStyle="1" w:styleId="540">
    <w:name w:val="标题 3 Char21"/>
    <w:qFormat/>
    <w:uiPriority w:val="99"/>
    <w:rPr>
      <w:rFonts w:ascii="黑体" w:hAnsi="宋体" w:eastAsia="黑体"/>
      <w:b/>
      <w:bCs/>
      <w:kern w:val="2"/>
      <w:sz w:val="28"/>
      <w:szCs w:val="28"/>
      <w:lang w:val="en-US" w:eastAsia="zh-CN" w:bidi="ar-SA"/>
    </w:rPr>
  </w:style>
  <w:style w:type="character" w:customStyle="1" w:styleId="541">
    <w:name w:val="样式 报告书表格 + 字距调整二号 Char"/>
    <w:link w:val="542"/>
    <w:qFormat/>
    <w:uiPriority w:val="0"/>
    <w:rPr>
      <w:rFonts w:ascii="Times New Roman" w:hAnsi="Times New Roman" w:eastAsia="宋体" w:cs="Times New Roman"/>
      <w:color w:val="0000FF"/>
      <w:kern w:val="0"/>
      <w:szCs w:val="21"/>
    </w:rPr>
  </w:style>
  <w:style w:type="paragraph" w:customStyle="1" w:styleId="542">
    <w:name w:val="样式 报告书表格 + 字距调整二号"/>
    <w:basedOn w:val="241"/>
    <w:link w:val="541"/>
    <w:qFormat/>
    <w:uiPriority w:val="0"/>
    <w:pPr>
      <w:spacing w:line="400" w:lineRule="exact"/>
    </w:pPr>
    <w:rPr>
      <w:color w:val="0000FF"/>
      <w:szCs w:val="21"/>
    </w:rPr>
  </w:style>
  <w:style w:type="character" w:customStyle="1" w:styleId="543">
    <w:name w:val="javascript"/>
    <w:qFormat/>
    <w:uiPriority w:val="0"/>
    <w:rPr>
      <w:rFonts w:ascii="黑体" w:hAnsi="黑体" w:eastAsia="宋体"/>
      <w:b/>
      <w:spacing w:val="10"/>
      <w:kern w:val="2"/>
      <w:sz w:val="28"/>
      <w:szCs w:val="28"/>
      <w:lang w:val="en-US" w:eastAsia="zh-CN" w:bidi="ar-SA"/>
    </w:rPr>
  </w:style>
  <w:style w:type="character" w:customStyle="1" w:styleId="544">
    <w:name w:val="cucd-0 Char"/>
    <w:link w:val="545"/>
    <w:qFormat/>
    <w:uiPriority w:val="99"/>
    <w:rPr>
      <w:rFonts w:ascii="Times New Roman" w:hAnsi="Times New Roman" w:eastAsia="宋体" w:cs="Times New Roman"/>
      <w:sz w:val="24"/>
      <w:szCs w:val="24"/>
    </w:rPr>
  </w:style>
  <w:style w:type="paragraph" w:customStyle="1" w:styleId="545">
    <w:name w:val="cucd-0"/>
    <w:link w:val="544"/>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546">
    <w:name w:val="Char Char18"/>
    <w:qFormat/>
    <w:uiPriority w:val="0"/>
    <w:rPr>
      <w:rFonts w:ascii="黑体" w:hAnsi="黑体" w:eastAsia="仿宋_GB2312"/>
      <w:b/>
      <w:spacing w:val="10"/>
      <w:kern w:val="2"/>
      <w:sz w:val="18"/>
      <w:lang w:val="en-US" w:eastAsia="zh-CN" w:bidi="ar-SA"/>
    </w:rPr>
  </w:style>
  <w:style w:type="character" w:customStyle="1" w:styleId="547">
    <w:name w:val="Char Char20"/>
    <w:qFormat/>
    <w:uiPriority w:val="0"/>
    <w:rPr>
      <w:rFonts w:ascii="宋体" w:hAnsi="黑体" w:eastAsia="宋体"/>
      <w:b/>
      <w:spacing w:val="10"/>
      <w:kern w:val="44"/>
      <w:sz w:val="18"/>
      <w:szCs w:val="18"/>
      <w:lang w:val="en-US" w:eastAsia="zh-CN"/>
    </w:rPr>
  </w:style>
  <w:style w:type="character" w:customStyle="1" w:styleId="548">
    <w:name w:val="Char Char13"/>
    <w:qFormat/>
    <w:uiPriority w:val="0"/>
    <w:rPr>
      <w:rFonts w:eastAsia="宋体"/>
      <w:kern w:val="2"/>
      <w:sz w:val="21"/>
      <w:szCs w:val="24"/>
      <w:lang w:val="en-US" w:eastAsia="zh-CN" w:bidi="ar-SA"/>
    </w:rPr>
  </w:style>
  <w:style w:type="character" w:customStyle="1" w:styleId="549">
    <w:name w:val="题注 Char21"/>
    <w:qFormat/>
    <w:uiPriority w:val="99"/>
    <w:rPr>
      <w:rFonts w:ascii="黑体" w:hAnsi="Arial" w:eastAsia="黑体" w:cs="Arial"/>
      <w:b/>
      <w:kern w:val="2"/>
      <w:sz w:val="24"/>
      <w:szCs w:val="24"/>
      <w:lang w:val="en-US" w:eastAsia="zh-CN" w:bidi="ar-SA"/>
    </w:rPr>
  </w:style>
  <w:style w:type="character" w:customStyle="1" w:styleId="550">
    <w:name w:val="未命名11"/>
    <w:qFormat/>
    <w:uiPriority w:val="0"/>
    <w:rPr>
      <w:rFonts w:hint="eastAsia" w:ascii="宋体" w:hAnsi="宋体" w:eastAsia="宋体"/>
      <w:b/>
      <w:spacing w:val="10"/>
      <w:kern w:val="2"/>
      <w:sz w:val="18"/>
      <w:szCs w:val="18"/>
      <w:lang w:val="en-US" w:eastAsia="zh-CN" w:bidi="ar-SA"/>
    </w:rPr>
  </w:style>
  <w:style w:type="character" w:customStyle="1" w:styleId="551">
    <w:name w:val="px141"/>
    <w:qFormat/>
    <w:uiPriority w:val="0"/>
    <w:rPr>
      <w:rFonts w:ascii="宋体" w:hAnsi="宋体" w:eastAsia="宋体"/>
      <w:b/>
      <w:spacing w:val="10"/>
      <w:kern w:val="2"/>
      <w:sz w:val="25"/>
      <w:szCs w:val="25"/>
      <w:u w:val="none"/>
      <w:lang w:val="en-US" w:eastAsia="zh-CN" w:bidi="ar-SA"/>
    </w:rPr>
  </w:style>
  <w:style w:type="character" w:customStyle="1" w:styleId="552">
    <w:name w:val="副标题 Char1"/>
    <w:qFormat/>
    <w:uiPriority w:val="99"/>
    <w:rPr>
      <w:rFonts w:ascii="Cambria" w:hAnsi="Cambria" w:eastAsia="宋体" w:cs="Times New Roman"/>
      <w:b/>
      <w:bCs/>
      <w:kern w:val="28"/>
      <w:sz w:val="32"/>
      <w:szCs w:val="32"/>
    </w:rPr>
  </w:style>
  <w:style w:type="character" w:customStyle="1" w:styleId="553">
    <w:name w:val="副标题 字符1"/>
    <w:qFormat/>
    <w:uiPriority w:val="11"/>
    <w:rPr>
      <w:b/>
      <w:bCs/>
      <w:kern w:val="28"/>
      <w:sz w:val="32"/>
      <w:szCs w:val="32"/>
    </w:rPr>
  </w:style>
  <w:style w:type="character" w:customStyle="1" w:styleId="554">
    <w:name w:val="标题 32 Char"/>
    <w:qFormat/>
    <w:uiPriority w:val="0"/>
    <w:rPr>
      <w:rFonts w:eastAsia="黑体"/>
      <w:b/>
      <w:bCs/>
      <w:snapToGrid w:val="0"/>
      <w:color w:val="000000"/>
      <w:sz w:val="24"/>
      <w:szCs w:val="24"/>
      <w:lang w:val="en-US" w:eastAsia="zh-CN" w:bidi="ar-SA"/>
    </w:rPr>
  </w:style>
  <w:style w:type="character" w:customStyle="1" w:styleId="555">
    <w:name w:val="common1"/>
    <w:qFormat/>
    <w:uiPriority w:val="0"/>
    <w:rPr>
      <w:rFonts w:ascii="黑体" w:hAnsi="黑体" w:eastAsia="黑体"/>
      <w:b/>
      <w:spacing w:val="10"/>
      <w:kern w:val="44"/>
      <w:sz w:val="18"/>
      <w:szCs w:val="18"/>
      <w:lang w:val="en-US" w:eastAsia="zh-CN"/>
    </w:rPr>
  </w:style>
  <w:style w:type="character" w:customStyle="1" w:styleId="556">
    <w:name w:val="nine-11"/>
    <w:qFormat/>
    <w:uiPriority w:val="0"/>
    <w:rPr>
      <w:rFonts w:hint="default" w:eastAsia="黑体"/>
      <w:b/>
      <w:spacing w:val="10"/>
      <w:kern w:val="44"/>
      <w:sz w:val="18"/>
      <w:szCs w:val="18"/>
      <w:lang w:val="en-US" w:eastAsia="zh-CN"/>
    </w:rPr>
  </w:style>
  <w:style w:type="character" w:customStyle="1" w:styleId="557">
    <w:name w:val="style41"/>
    <w:qFormat/>
    <w:uiPriority w:val="0"/>
    <w:rPr>
      <w:rFonts w:ascii="黑体" w:hAnsi="黑体" w:eastAsia="黑体"/>
      <w:b/>
      <w:bCs/>
      <w:color w:val="000000"/>
      <w:spacing w:val="10"/>
      <w:kern w:val="44"/>
      <w:sz w:val="28"/>
      <w:lang w:val="en-US" w:eastAsia="zh-CN"/>
    </w:rPr>
  </w:style>
  <w:style w:type="character" w:customStyle="1" w:styleId="558">
    <w:name w:val="title-blue1"/>
    <w:qFormat/>
    <w:uiPriority w:val="0"/>
    <w:rPr>
      <w:rFonts w:hint="eastAsia" w:ascii="幼圆" w:hAnsi="黑体" w:eastAsia="幼圆"/>
      <w:b/>
      <w:bCs/>
      <w:color w:val="009FFF"/>
      <w:spacing w:val="75"/>
      <w:kern w:val="44"/>
      <w:sz w:val="24"/>
      <w:szCs w:val="24"/>
      <w:lang w:val="en-US" w:eastAsia="zh-CN"/>
    </w:rPr>
  </w:style>
  <w:style w:type="character" w:customStyle="1" w:styleId="559">
    <w:name w:val="样式 正文文本 + (中文) 黑体 红色 Char Char Char Char Char2"/>
    <w:qFormat/>
    <w:uiPriority w:val="0"/>
    <w:rPr>
      <w:rFonts w:eastAsia="黑体"/>
      <w:snapToGrid w:val="0"/>
      <w:color w:val="FF0000"/>
      <w:kern w:val="2"/>
      <w:sz w:val="24"/>
      <w:szCs w:val="24"/>
      <w:lang w:val="en-US" w:eastAsia="zh-CN" w:bidi="ar-SA"/>
    </w:rPr>
  </w:style>
  <w:style w:type="character" w:customStyle="1" w:styleId="560">
    <w:name w:val="正文B Char"/>
    <w:link w:val="561"/>
    <w:qFormat/>
    <w:uiPriority w:val="0"/>
    <w:rPr>
      <w:rFonts w:ascii="Times New Roman" w:hAnsi="Times New Roman" w:eastAsia="楷体_GB2312" w:cs="Times New Roman"/>
      <w:spacing w:val="8"/>
      <w:kern w:val="0"/>
      <w:sz w:val="28"/>
      <w:szCs w:val="20"/>
    </w:rPr>
  </w:style>
  <w:style w:type="paragraph" w:customStyle="1" w:styleId="561">
    <w:name w:val="正文B"/>
    <w:basedOn w:val="1"/>
    <w:link w:val="560"/>
    <w:qFormat/>
    <w:uiPriority w:val="0"/>
    <w:pPr>
      <w:spacing w:line="390" w:lineRule="exact"/>
      <w:ind w:firstLine="601"/>
      <w:textAlignment w:val="baseline"/>
    </w:pPr>
    <w:rPr>
      <w:rFonts w:eastAsia="楷体_GB2312"/>
      <w:spacing w:val="8"/>
      <w:kern w:val="0"/>
      <w:sz w:val="28"/>
      <w:szCs w:val="20"/>
    </w:rPr>
  </w:style>
  <w:style w:type="character" w:customStyle="1" w:styleId="562">
    <w:name w:val="unnamed91"/>
    <w:qFormat/>
    <w:uiPriority w:val="0"/>
    <w:rPr>
      <w:rFonts w:hint="eastAsia" w:ascii="宋体" w:hAnsi="宋体" w:eastAsia="宋体"/>
      <w:color w:val="000000"/>
      <w:spacing w:val="10"/>
      <w:kern w:val="44"/>
      <w:sz w:val="18"/>
      <w:szCs w:val="18"/>
      <w:u w:val="none"/>
      <w:lang w:val="en-US" w:eastAsia="zh-CN"/>
    </w:rPr>
  </w:style>
  <w:style w:type="character" w:customStyle="1" w:styleId="563">
    <w:name w:val="正文格式 Char Char Char2 Char"/>
    <w:link w:val="564"/>
    <w:qFormat/>
    <w:uiPriority w:val="0"/>
    <w:rPr>
      <w:rFonts w:ascii="宋体" w:hAnsi="Times New Roman" w:eastAsia="宋体" w:cs="宋体"/>
      <w:sz w:val="24"/>
      <w:szCs w:val="24"/>
    </w:rPr>
  </w:style>
  <w:style w:type="paragraph" w:customStyle="1" w:styleId="564">
    <w:name w:val="正文格式 Char Char Char2"/>
    <w:basedOn w:val="1"/>
    <w:link w:val="563"/>
    <w:qFormat/>
    <w:uiPriority w:val="0"/>
    <w:pPr>
      <w:ind w:firstLine="482"/>
    </w:pPr>
    <w:rPr>
      <w:rFonts w:ascii="宋体" w:cs="宋体"/>
    </w:rPr>
  </w:style>
  <w:style w:type="character" w:customStyle="1" w:styleId="565">
    <w:name w:val="Char Char39"/>
    <w:qFormat/>
    <w:uiPriority w:val="99"/>
    <w:rPr>
      <w:rFonts w:ascii="黑体" w:hAnsi="宋体" w:eastAsia="黑体"/>
      <w:b/>
      <w:bCs/>
      <w:kern w:val="2"/>
      <w:sz w:val="28"/>
      <w:szCs w:val="28"/>
      <w:lang w:val="en-US" w:eastAsia="zh-CN" w:bidi="ar-SA"/>
    </w:rPr>
  </w:style>
  <w:style w:type="character" w:customStyle="1" w:styleId="566">
    <w:name w:val="黑体标题 Char"/>
    <w:link w:val="567"/>
    <w:qFormat/>
    <w:uiPriority w:val="0"/>
    <w:rPr>
      <w:rFonts w:ascii="宋体" w:hAnsi="宋体" w:eastAsia="宋体" w:cs="Times New Roman"/>
      <w:sz w:val="28"/>
      <w:szCs w:val="20"/>
    </w:rPr>
  </w:style>
  <w:style w:type="paragraph" w:customStyle="1" w:styleId="567">
    <w:name w:val="黑体标题"/>
    <w:basedOn w:val="1"/>
    <w:link w:val="566"/>
    <w:qFormat/>
    <w:uiPriority w:val="0"/>
    <w:pPr>
      <w:ind w:firstLine="560"/>
    </w:pPr>
    <w:rPr>
      <w:rFonts w:ascii="宋体" w:hAnsi="宋体"/>
      <w:sz w:val="28"/>
      <w:szCs w:val="20"/>
    </w:rPr>
  </w:style>
  <w:style w:type="character" w:customStyle="1" w:styleId="568">
    <w:name w:val="信息标题 字符"/>
    <w:link w:val="78"/>
    <w:qFormat/>
    <w:uiPriority w:val="99"/>
    <w:rPr>
      <w:rFonts w:ascii="Arial" w:hAnsi="Arial" w:eastAsia="仿宋_GB2312" w:cs="Times New Roman"/>
      <w:sz w:val="24"/>
      <w:szCs w:val="24"/>
      <w:shd w:val="pct20" w:color="auto" w:fill="auto"/>
      <w:lang w:val="zh-CN" w:eastAsia="zh-CN"/>
    </w:rPr>
  </w:style>
  <w:style w:type="character" w:customStyle="1" w:styleId="569">
    <w:name w:val="称呼 字符"/>
    <w:link w:val="30"/>
    <w:qFormat/>
    <w:uiPriority w:val="99"/>
    <w:rPr>
      <w:rFonts w:ascii="仿宋_GB2312" w:hAnsi="Times New Roman" w:eastAsia="仿宋_GB2312" w:cs="Times New Roman"/>
      <w:sz w:val="28"/>
      <w:szCs w:val="20"/>
      <w:lang w:val="zh-CN" w:eastAsia="zh-CN"/>
    </w:rPr>
  </w:style>
  <w:style w:type="character" w:customStyle="1" w:styleId="570">
    <w:name w:val="电子邮件签名 字符"/>
    <w:link w:val="19"/>
    <w:qFormat/>
    <w:uiPriority w:val="99"/>
    <w:rPr>
      <w:rFonts w:ascii="仿宋_GB2312" w:hAnsi="Times New Roman" w:eastAsia="仿宋_GB2312" w:cs="Times New Roman"/>
      <w:sz w:val="28"/>
      <w:szCs w:val="20"/>
      <w:lang w:val="zh-CN" w:eastAsia="zh-CN"/>
    </w:rPr>
  </w:style>
  <w:style w:type="character" w:customStyle="1" w:styleId="571">
    <w:name w:val="结束语 字符"/>
    <w:link w:val="32"/>
    <w:qFormat/>
    <w:uiPriority w:val="99"/>
    <w:rPr>
      <w:rFonts w:ascii="仿宋_GB2312" w:hAnsi="Times New Roman" w:eastAsia="仿宋_GB2312" w:cs="Times New Roman"/>
      <w:sz w:val="28"/>
      <w:szCs w:val="20"/>
      <w:lang w:val="zh-CN" w:eastAsia="zh-CN"/>
    </w:rPr>
  </w:style>
  <w:style w:type="character" w:customStyle="1" w:styleId="572">
    <w:name w:val="签名 字符"/>
    <w:link w:val="58"/>
    <w:qFormat/>
    <w:uiPriority w:val="99"/>
    <w:rPr>
      <w:rFonts w:ascii="仿宋_GB2312" w:hAnsi="Times New Roman" w:eastAsia="仿宋_GB2312" w:cs="Times New Roman"/>
      <w:sz w:val="28"/>
      <w:szCs w:val="20"/>
      <w:lang w:val="zh-CN" w:eastAsia="zh-CN"/>
    </w:rPr>
  </w:style>
  <w:style w:type="character" w:customStyle="1" w:styleId="573">
    <w:name w:val="黑体标题 Char Char"/>
    <w:qFormat/>
    <w:uiPriority w:val="0"/>
    <w:rPr>
      <w:rFonts w:ascii="宋体" w:hAnsi="宋体" w:eastAsia="宋体"/>
      <w:b/>
      <w:spacing w:val="10"/>
      <w:kern w:val="2"/>
      <w:sz w:val="28"/>
      <w:szCs w:val="18"/>
      <w:lang w:val="en-US" w:eastAsia="zh-CN" w:bidi="ar-SA"/>
    </w:rPr>
  </w:style>
  <w:style w:type="character" w:customStyle="1" w:styleId="574">
    <w:name w:val="head121"/>
    <w:qFormat/>
    <w:uiPriority w:val="0"/>
    <w:rPr>
      <w:rFonts w:ascii="宋体" w:hAnsi="宋体" w:eastAsia="宋体"/>
      <w:b/>
      <w:spacing w:val="10"/>
      <w:kern w:val="2"/>
      <w:sz w:val="22"/>
      <w:szCs w:val="22"/>
      <w:lang w:val="en-US" w:eastAsia="zh-CN" w:bidi="ar-SA"/>
    </w:rPr>
  </w:style>
  <w:style w:type="character" w:customStyle="1" w:styleId="575">
    <w:name w:val="我的样式（正文） Char Char"/>
    <w:qFormat/>
    <w:uiPriority w:val="0"/>
    <w:rPr>
      <w:rFonts w:ascii="宋体" w:hAnsi="华文楷体" w:eastAsia="宋体" w:cs="宋体"/>
      <w:b/>
      <w:spacing w:val="10"/>
      <w:kern w:val="2"/>
      <w:sz w:val="24"/>
      <w:szCs w:val="24"/>
      <w:lang w:val="en-US" w:eastAsia="zh-CN" w:bidi="ar-SA"/>
    </w:rPr>
  </w:style>
  <w:style w:type="character" w:customStyle="1" w:styleId="576">
    <w:name w:val="正文首行缩进 2 Char3"/>
    <w:qFormat/>
    <w:uiPriority w:val="99"/>
    <w:rPr>
      <w:rFonts w:ascii="Times New Roman" w:hAnsi="Times New Roman" w:eastAsia="宋体" w:cs="Times New Roman"/>
      <w:kern w:val="2"/>
      <w:sz w:val="28"/>
      <w:szCs w:val="18"/>
      <w:lang w:val="en-US" w:eastAsia="zh-CN" w:bidi="ar-SA"/>
    </w:rPr>
  </w:style>
  <w:style w:type="character" w:customStyle="1" w:styleId="577">
    <w:name w:val="表注 Char"/>
    <w:link w:val="578"/>
    <w:qFormat/>
    <w:uiPriority w:val="0"/>
    <w:rPr>
      <w:rFonts w:ascii="宋体" w:hAnsi="宋体" w:eastAsia="宋体" w:cs="Courier New"/>
      <w:b/>
      <w:spacing w:val="10"/>
      <w:sz w:val="18"/>
      <w:szCs w:val="21"/>
    </w:rPr>
  </w:style>
  <w:style w:type="paragraph" w:customStyle="1" w:styleId="578">
    <w:name w:val="表注"/>
    <w:basedOn w:val="1"/>
    <w:next w:val="1"/>
    <w:link w:val="577"/>
    <w:qFormat/>
    <w:uiPriority w:val="0"/>
    <w:pPr>
      <w:keepLines/>
      <w:spacing w:line="240" w:lineRule="atLeast"/>
    </w:pPr>
    <w:rPr>
      <w:rFonts w:ascii="宋体" w:hAnsi="宋体" w:cs="Courier New"/>
      <w:b/>
      <w:spacing w:val="10"/>
      <w:sz w:val="18"/>
      <w:szCs w:val="21"/>
    </w:rPr>
  </w:style>
  <w:style w:type="character" w:customStyle="1" w:styleId="579">
    <w:name w:val="标题 3 Char2 Char Char"/>
    <w:qFormat/>
    <w:uiPriority w:val="0"/>
    <w:rPr>
      <w:rFonts w:eastAsia="黑体"/>
      <w:b/>
      <w:bCs/>
      <w:snapToGrid w:val="0"/>
      <w:sz w:val="24"/>
      <w:szCs w:val="32"/>
      <w:lang w:val="en-US" w:eastAsia="zh-CN" w:bidi="ar-SA"/>
    </w:rPr>
  </w:style>
  <w:style w:type="character" w:customStyle="1" w:styleId="580">
    <w:name w:val="正文(首行缩进)宋旭峰 Char Char"/>
    <w:link w:val="581"/>
    <w:qFormat/>
    <w:uiPriority w:val="0"/>
    <w:rPr>
      <w:rFonts w:ascii="楷体_GB2312" w:hAnsi="宋体" w:eastAsia="楷体_GB2312" w:cs="Arial"/>
      <w:snapToGrid w:val="0"/>
      <w:kern w:val="0"/>
      <w:sz w:val="28"/>
      <w:szCs w:val="28"/>
    </w:rPr>
  </w:style>
  <w:style w:type="paragraph" w:customStyle="1" w:styleId="581">
    <w:name w:val="正文(首行缩进)宋旭峰"/>
    <w:basedOn w:val="21"/>
    <w:link w:val="580"/>
    <w:qFormat/>
    <w:uiPriority w:val="0"/>
    <w:pPr>
      <w:spacing w:line="500" w:lineRule="exact"/>
      <w:ind w:firstLine="560"/>
      <w:contextualSpacing/>
    </w:pPr>
    <w:rPr>
      <w:rFonts w:ascii="楷体_GB2312" w:hAnsi="宋体" w:eastAsia="楷体_GB2312" w:cs="Arial"/>
      <w:snapToGrid w:val="0"/>
      <w:kern w:val="0"/>
      <w:sz w:val="28"/>
      <w:szCs w:val="28"/>
    </w:rPr>
  </w:style>
  <w:style w:type="character" w:customStyle="1" w:styleId="582">
    <w:name w:val="Char Char129"/>
    <w:qFormat/>
    <w:uiPriority w:val="99"/>
    <w:rPr>
      <w:rFonts w:ascii="黑体" w:hAnsi="Arial" w:eastAsia="黑体"/>
      <w:b/>
      <w:bCs/>
      <w:kern w:val="2"/>
      <w:sz w:val="30"/>
      <w:szCs w:val="30"/>
      <w:lang w:val="en-US" w:eastAsia="zh-CN" w:bidi="ar-SA"/>
    </w:rPr>
  </w:style>
  <w:style w:type="character" w:customStyle="1" w:styleId="583">
    <w:name w:val="表格 Char Char Char1"/>
    <w:qFormat/>
    <w:uiPriority w:val="0"/>
    <w:rPr>
      <w:rFonts w:ascii="Arial" w:hAnsi="Arial" w:eastAsia="华文细黑"/>
      <w:kern w:val="2"/>
      <w:sz w:val="21"/>
      <w:szCs w:val="30"/>
      <w:lang w:val="en-US" w:eastAsia="zh-CN" w:bidi="ar-SA"/>
    </w:rPr>
  </w:style>
  <w:style w:type="character" w:customStyle="1" w:styleId="584">
    <w:name w:val="Char Char17"/>
    <w:qFormat/>
    <w:uiPriority w:val="0"/>
    <w:rPr>
      <w:rFonts w:ascii="黑体" w:hAnsi="黑体" w:eastAsia="仿宋_GB2312"/>
      <w:b/>
      <w:spacing w:val="10"/>
      <w:kern w:val="2"/>
      <w:sz w:val="28"/>
      <w:szCs w:val="24"/>
      <w:lang w:val="en-US" w:eastAsia="zh-CN" w:bidi="ar-SA"/>
    </w:rPr>
  </w:style>
  <w:style w:type="character" w:customStyle="1" w:styleId="585">
    <w:name w:val="content"/>
    <w:qFormat/>
    <w:uiPriority w:val="0"/>
    <w:rPr>
      <w:rFonts w:ascii="宋体" w:hAnsi="宋体" w:eastAsia="宋体"/>
      <w:b/>
      <w:spacing w:val="10"/>
      <w:kern w:val="2"/>
      <w:sz w:val="24"/>
      <w:szCs w:val="24"/>
      <w:lang w:val="en-US" w:eastAsia="zh-CN" w:bidi="ar-SA"/>
    </w:rPr>
  </w:style>
  <w:style w:type="character" w:customStyle="1" w:styleId="586">
    <w:name w:val="Char Char1114"/>
    <w:qFormat/>
    <w:uiPriority w:val="99"/>
    <w:rPr>
      <w:rFonts w:ascii="黑体" w:hAnsi="Arial" w:eastAsia="黑体"/>
      <w:bCs/>
      <w:kern w:val="2"/>
      <w:sz w:val="30"/>
      <w:szCs w:val="30"/>
      <w:lang w:val="en-US" w:eastAsia="zh-CN" w:bidi="ar-SA"/>
    </w:rPr>
  </w:style>
  <w:style w:type="character" w:customStyle="1" w:styleId="587">
    <w:name w:val="Char Char19"/>
    <w:qFormat/>
    <w:uiPriority w:val="0"/>
    <w:rPr>
      <w:rFonts w:ascii="Times New Roman" w:hAnsi="Times New Roman" w:eastAsia="仿宋_GB2312" w:cs="Times New Roman"/>
      <w:b/>
      <w:spacing w:val="10"/>
      <w:kern w:val="44"/>
      <w:sz w:val="18"/>
      <w:szCs w:val="20"/>
      <w:lang w:val="en-US" w:eastAsia="zh-CN"/>
    </w:rPr>
  </w:style>
  <w:style w:type="character" w:customStyle="1" w:styleId="588">
    <w:name w:val="Char Char15"/>
    <w:qFormat/>
    <w:uiPriority w:val="0"/>
    <w:rPr>
      <w:rFonts w:ascii="黑体" w:hAnsi="黑体" w:eastAsia="仿宋_GB2312"/>
      <w:b/>
      <w:spacing w:val="10"/>
      <w:kern w:val="2"/>
      <w:sz w:val="28"/>
      <w:lang w:val="en-US" w:eastAsia="zh-CN" w:bidi="ar-SA"/>
    </w:rPr>
  </w:style>
  <w:style w:type="character" w:customStyle="1" w:styleId="589">
    <w:name w:val="Char Char14"/>
    <w:qFormat/>
    <w:uiPriority w:val="0"/>
    <w:rPr>
      <w:rFonts w:eastAsia="仿宋_GB2312"/>
      <w:kern w:val="2"/>
      <w:sz w:val="28"/>
      <w:szCs w:val="24"/>
      <w:lang w:val="en-US" w:eastAsia="zh-CN" w:bidi="ar-SA"/>
    </w:rPr>
  </w:style>
  <w:style w:type="character" w:customStyle="1" w:styleId="590">
    <w:name w:val="Char Char128"/>
    <w:qFormat/>
    <w:uiPriority w:val="99"/>
    <w:rPr>
      <w:rFonts w:ascii="黑体" w:hAnsi="Arial" w:eastAsia="黑体"/>
      <w:b/>
      <w:bCs/>
      <w:kern w:val="2"/>
      <w:sz w:val="30"/>
      <w:szCs w:val="30"/>
      <w:lang w:val="en-US" w:eastAsia="zh-CN" w:bidi="ar-SA"/>
    </w:rPr>
  </w:style>
  <w:style w:type="character" w:customStyle="1" w:styleId="591">
    <w:name w:val="3级标题 Char"/>
    <w:link w:val="592"/>
    <w:qFormat/>
    <w:uiPriority w:val="0"/>
    <w:rPr>
      <w:rFonts w:ascii="Times New Roman" w:hAnsi="Times New Roman" w:eastAsia="宋体" w:cs="Times New Roman"/>
      <w:b/>
      <w:sz w:val="24"/>
      <w:szCs w:val="24"/>
    </w:rPr>
  </w:style>
  <w:style w:type="paragraph" w:customStyle="1" w:styleId="592">
    <w:name w:val="3级标题"/>
    <w:link w:val="591"/>
    <w:qFormat/>
    <w:uiPriority w:val="0"/>
    <w:pPr>
      <w:spacing w:before="300"/>
      <w:outlineLvl w:val="2"/>
    </w:pPr>
    <w:rPr>
      <w:rFonts w:ascii="Times New Roman" w:hAnsi="Times New Roman" w:eastAsia="宋体" w:cs="Times New Roman"/>
      <w:sz w:val="24"/>
      <w:lang w:val="en-US" w:eastAsia="zh-CN" w:bidi="ar-SA"/>
    </w:rPr>
  </w:style>
  <w:style w:type="paragraph" w:customStyle="1" w:styleId="593">
    <w:name w:val="1级标题"/>
    <w:basedOn w:val="1"/>
    <w:qFormat/>
    <w:uiPriority w:val="0"/>
    <w:pPr>
      <w:spacing w:before="60" w:line="460" w:lineRule="exact"/>
      <w:outlineLvl w:val="0"/>
    </w:pPr>
    <w:rPr>
      <w:b/>
      <w:sz w:val="32"/>
    </w:rPr>
  </w:style>
  <w:style w:type="character" w:customStyle="1" w:styleId="594">
    <w:name w:val="样式 标题 2 + 黑体 小三 段前: 0 磅 段后: 0 磅 行距: 最小值 27 磅2 Char"/>
    <w:link w:val="595"/>
    <w:qFormat/>
    <w:uiPriority w:val="0"/>
    <w:rPr>
      <w:rFonts w:ascii="黑体" w:hAnsi="Arial" w:eastAsia="黑体" w:cs="宋体"/>
      <w:b/>
      <w:bCs/>
      <w:spacing w:val="8"/>
      <w:sz w:val="30"/>
      <w:szCs w:val="20"/>
    </w:rPr>
  </w:style>
  <w:style w:type="paragraph" w:customStyle="1" w:styleId="595">
    <w:name w:val="样式 标题 2 + 黑体 小三 段前: 0 磅 段后: 0 磅 行距: 最小值 27 磅2"/>
    <w:basedOn w:val="4"/>
    <w:link w:val="594"/>
    <w:qFormat/>
    <w:uiPriority w:val="0"/>
    <w:pPr>
      <w:spacing w:before="0" w:after="0" w:line="540" w:lineRule="atLeast"/>
    </w:pPr>
    <w:rPr>
      <w:rFonts w:ascii="黑体" w:hAnsi="Arial" w:eastAsia="黑体" w:cs="宋体"/>
      <w:spacing w:val="8"/>
      <w:sz w:val="30"/>
      <w:szCs w:val="20"/>
    </w:rPr>
  </w:style>
  <w:style w:type="character" w:customStyle="1" w:styleId="596">
    <w:name w:val="样式 报告 + Times New Roman Char Char1"/>
    <w:qFormat/>
    <w:uiPriority w:val="0"/>
    <w:rPr>
      <w:rFonts w:eastAsia="宋体"/>
      <w:kern w:val="2"/>
      <w:sz w:val="28"/>
      <w:szCs w:val="28"/>
      <w:lang w:val="en-US" w:eastAsia="zh-CN" w:bidi="ar-SA"/>
    </w:rPr>
  </w:style>
  <w:style w:type="character" w:customStyle="1" w:styleId="597">
    <w:name w:val="Char Char59"/>
    <w:qFormat/>
    <w:uiPriority w:val="99"/>
    <w:rPr>
      <w:rFonts w:ascii="黑体" w:hAnsi="宋体" w:eastAsia="黑体"/>
      <w:bCs/>
      <w:kern w:val="2"/>
      <w:sz w:val="28"/>
      <w:szCs w:val="28"/>
      <w:lang w:val="en-US" w:eastAsia="zh-CN" w:bidi="ar-SA"/>
    </w:rPr>
  </w:style>
  <w:style w:type="character" w:customStyle="1" w:styleId="598">
    <w:name w:val="ak1"/>
    <w:qFormat/>
    <w:uiPriority w:val="0"/>
    <w:rPr>
      <w:sz w:val="18"/>
      <w:szCs w:val="18"/>
      <w:u w:val="none"/>
    </w:rPr>
  </w:style>
  <w:style w:type="character" w:customStyle="1" w:styleId="599">
    <w:name w:val="文档结构图 Char2"/>
    <w:qFormat/>
    <w:uiPriority w:val="99"/>
    <w:rPr>
      <w:rFonts w:eastAsia="宋体"/>
      <w:kern w:val="2"/>
      <w:sz w:val="21"/>
      <w:szCs w:val="24"/>
      <w:shd w:val="clear" w:color="auto" w:fill="000080"/>
      <w:lang w:val="en-US" w:eastAsia="zh-CN" w:bidi="ar-SA"/>
    </w:rPr>
  </w:style>
  <w:style w:type="character" w:customStyle="1" w:styleId="600">
    <w:name w:val="谏壁chen表格内文字 Char Char Char1"/>
    <w:qFormat/>
    <w:uiPriority w:val="0"/>
    <w:rPr>
      <w:rFonts w:eastAsia="宋体"/>
      <w:kern w:val="2"/>
      <w:sz w:val="21"/>
      <w:szCs w:val="21"/>
      <w:lang w:val="en-US" w:eastAsia="zh-CN" w:bidi="ar-SA"/>
    </w:rPr>
  </w:style>
  <w:style w:type="character" w:customStyle="1" w:styleId="601">
    <w:name w:val="正文修改 Char131"/>
    <w:qFormat/>
    <w:uiPriority w:val="99"/>
    <w:rPr>
      <w:rFonts w:ascii="宋体" w:hAnsi="宋体"/>
      <w:color w:val="000000"/>
      <w:kern w:val="2"/>
      <w:sz w:val="28"/>
      <w:szCs w:val="28"/>
    </w:rPr>
  </w:style>
  <w:style w:type="character" w:customStyle="1" w:styleId="602">
    <w:name w:val="Char Char54"/>
    <w:qFormat/>
    <w:uiPriority w:val="99"/>
    <w:rPr>
      <w:rFonts w:ascii="黑体" w:hAnsi="宋体" w:eastAsia="黑体"/>
      <w:bCs/>
      <w:kern w:val="2"/>
      <w:sz w:val="28"/>
      <w:szCs w:val="28"/>
      <w:lang w:val="en-US" w:eastAsia="zh-CN" w:bidi="ar-SA"/>
    </w:rPr>
  </w:style>
  <w:style w:type="character" w:customStyle="1" w:styleId="603">
    <w:name w:val="Char Char1110"/>
    <w:qFormat/>
    <w:uiPriority w:val="99"/>
    <w:rPr>
      <w:rFonts w:ascii="黑体" w:hAnsi="Arial" w:eastAsia="黑体"/>
      <w:bCs/>
      <w:kern w:val="2"/>
      <w:sz w:val="30"/>
      <w:szCs w:val="30"/>
      <w:lang w:val="en-US" w:eastAsia="zh-CN" w:bidi="ar-SA"/>
    </w:rPr>
  </w:style>
  <w:style w:type="character" w:customStyle="1" w:styleId="604">
    <w:name w:val="信息计划书 标题样式 Char Char1"/>
    <w:qFormat/>
    <w:uiPriority w:val="99"/>
    <w:rPr>
      <w:rFonts w:ascii="仿宋_GB2312" w:eastAsia="仿宋_GB2312"/>
      <w:kern w:val="2"/>
      <w:sz w:val="24"/>
      <w:szCs w:val="24"/>
      <w:lang w:val="en-US" w:eastAsia="zh-CN" w:bidi="ar-SA"/>
    </w:rPr>
  </w:style>
  <w:style w:type="character" w:customStyle="1" w:styleId="605">
    <w:name w:val="正文格式 Char91"/>
    <w:qFormat/>
    <w:uiPriority w:val="99"/>
    <w:rPr>
      <w:rFonts w:ascii="宋体" w:hAnsi="宋体" w:eastAsia="宋体"/>
      <w:kern w:val="2"/>
      <w:sz w:val="24"/>
      <w:szCs w:val="24"/>
      <w:lang w:val="en-US" w:eastAsia="zh-CN" w:bidi="ar-SA"/>
    </w:rPr>
  </w:style>
  <w:style w:type="character" w:customStyle="1" w:styleId="606">
    <w:name w:val="Char Char7"/>
    <w:qFormat/>
    <w:uiPriority w:val="0"/>
    <w:rPr>
      <w:rFonts w:ascii="宋体" w:hAnsi="Courier New" w:eastAsia="宋体"/>
      <w:kern w:val="2"/>
      <w:sz w:val="21"/>
      <w:szCs w:val="24"/>
      <w:lang w:val="en-US" w:eastAsia="zh-CN" w:bidi="ar-SA"/>
    </w:rPr>
  </w:style>
  <w:style w:type="character" w:customStyle="1" w:styleId="607">
    <w:name w:val="正文首行缩进 Char Char Char Char Char1"/>
    <w:qFormat/>
    <w:uiPriority w:val="0"/>
    <w:rPr>
      <w:rFonts w:ascii="Calibri" w:hAnsi="Calibri" w:eastAsia="宋体" w:cs="Times New Roman"/>
    </w:rPr>
  </w:style>
  <w:style w:type="character" w:customStyle="1" w:styleId="608">
    <w:name w:val="Char Char91"/>
    <w:qFormat/>
    <w:uiPriority w:val="99"/>
    <w:rPr>
      <w:rFonts w:eastAsia="宋体"/>
      <w:kern w:val="2"/>
      <w:sz w:val="21"/>
      <w:szCs w:val="24"/>
      <w:shd w:val="clear" w:color="auto" w:fill="000080"/>
      <w:lang w:val="en-US" w:eastAsia="zh-CN" w:bidi="ar-SA"/>
    </w:rPr>
  </w:style>
  <w:style w:type="character" w:customStyle="1" w:styleId="609">
    <w:name w:val="标题4 Char4"/>
    <w:qFormat/>
    <w:uiPriority w:val="99"/>
    <w:rPr>
      <w:rFonts w:ascii="黑体" w:hAnsi="Arial" w:eastAsia="黑体" w:cs="Times New Roman"/>
      <w:b/>
      <w:bCs/>
      <w:kern w:val="2"/>
      <w:sz w:val="24"/>
      <w:szCs w:val="28"/>
      <w:lang w:val="en-US" w:eastAsia="zh-CN" w:bidi="ar-SA"/>
    </w:rPr>
  </w:style>
  <w:style w:type="character" w:customStyle="1" w:styleId="610">
    <w:name w:val="Char Char126"/>
    <w:qFormat/>
    <w:uiPriority w:val="99"/>
    <w:rPr>
      <w:rFonts w:ascii="黑体" w:hAnsi="Arial" w:eastAsia="黑体"/>
      <w:b/>
      <w:bCs/>
      <w:kern w:val="2"/>
      <w:sz w:val="30"/>
      <w:szCs w:val="30"/>
      <w:lang w:val="en-US" w:eastAsia="zh-CN" w:bidi="ar-SA"/>
    </w:rPr>
  </w:style>
  <w:style w:type="character" w:customStyle="1" w:styleId="611">
    <w:name w:val="正文修改 Char12"/>
    <w:qFormat/>
    <w:uiPriority w:val="99"/>
    <w:rPr>
      <w:rFonts w:ascii="宋体" w:hAnsi="宋体"/>
      <w:color w:val="000000"/>
      <w:kern w:val="2"/>
      <w:sz w:val="28"/>
      <w:szCs w:val="28"/>
    </w:rPr>
  </w:style>
  <w:style w:type="character" w:customStyle="1" w:styleId="612">
    <w:name w:val="表内5 Char5"/>
    <w:qFormat/>
    <w:uiPriority w:val="99"/>
    <w:rPr>
      <w:rFonts w:ascii="宋体" w:hAnsi="宋体" w:eastAsia="宋体" w:cs="Times New Roman"/>
      <w:kern w:val="2"/>
      <w:sz w:val="24"/>
      <w:szCs w:val="24"/>
      <w:lang w:val="en-US" w:eastAsia="zh-CN" w:bidi="ar-SA"/>
    </w:rPr>
  </w:style>
  <w:style w:type="character" w:customStyle="1" w:styleId="613">
    <w:name w:val="Char Char124"/>
    <w:qFormat/>
    <w:uiPriority w:val="99"/>
    <w:rPr>
      <w:rFonts w:ascii="黑体" w:hAnsi="Arial" w:eastAsia="黑体"/>
      <w:b/>
      <w:bCs/>
      <w:kern w:val="2"/>
      <w:sz w:val="30"/>
      <w:szCs w:val="30"/>
      <w:lang w:val="en-US" w:eastAsia="zh-CN" w:bidi="ar-SA"/>
    </w:rPr>
  </w:style>
  <w:style w:type="character" w:customStyle="1" w:styleId="614">
    <w:name w:val="标题 5 Char11"/>
    <w:qFormat/>
    <w:uiPriority w:val="99"/>
    <w:rPr>
      <w:rFonts w:ascii="宋体" w:hAnsi="宋体" w:eastAsia="宋体" w:cs="宋体"/>
      <w:b/>
      <w:bCs/>
      <w:kern w:val="2"/>
      <w:sz w:val="28"/>
      <w:szCs w:val="28"/>
      <w:lang w:val="en-US" w:eastAsia="zh-CN" w:bidi="ar-SA"/>
    </w:rPr>
  </w:style>
  <w:style w:type="character" w:customStyle="1" w:styleId="615">
    <w:name w:val="Char Char22"/>
    <w:qFormat/>
    <w:uiPriority w:val="99"/>
    <w:rPr>
      <w:rFonts w:ascii="黑体" w:eastAsia="黑体"/>
      <w:b/>
      <w:bCs/>
      <w:kern w:val="2"/>
      <w:sz w:val="28"/>
      <w:szCs w:val="28"/>
      <w:lang w:val="en-US" w:eastAsia="zh-CN" w:bidi="ar-SA"/>
    </w:rPr>
  </w:style>
  <w:style w:type="character" w:customStyle="1" w:styleId="616">
    <w:name w:val="表格内字体 Char51"/>
    <w:qFormat/>
    <w:uiPriority w:val="99"/>
    <w:rPr>
      <w:rFonts w:ascii="宋体" w:hAnsi="宋体" w:eastAsia="宋体"/>
      <w:kern w:val="2"/>
      <w:sz w:val="21"/>
      <w:szCs w:val="24"/>
      <w:lang w:val="en-US" w:eastAsia="zh-CN" w:bidi="ar-SA"/>
    </w:rPr>
  </w:style>
  <w:style w:type="character" w:customStyle="1" w:styleId="617">
    <w:name w:val="t_tag"/>
    <w:basedOn w:val="133"/>
    <w:qFormat/>
    <w:uiPriority w:val="0"/>
  </w:style>
  <w:style w:type="character" w:customStyle="1" w:styleId="618">
    <w:name w:val="Char Char35"/>
    <w:qFormat/>
    <w:uiPriority w:val="99"/>
    <w:rPr>
      <w:rFonts w:ascii="黑体" w:hAnsi="宋体" w:eastAsia="黑体"/>
      <w:b/>
      <w:bCs/>
      <w:kern w:val="2"/>
      <w:sz w:val="28"/>
      <w:szCs w:val="28"/>
      <w:lang w:val="en-US" w:eastAsia="zh-CN" w:bidi="ar-SA"/>
    </w:rPr>
  </w:style>
  <w:style w:type="character" w:customStyle="1" w:styleId="619">
    <w:name w:val="河石管道4 Char4"/>
    <w:qFormat/>
    <w:uiPriority w:val="99"/>
    <w:rPr>
      <w:rFonts w:ascii="黑体" w:hAnsi="Arial" w:eastAsia="黑体"/>
      <w:bCs/>
      <w:kern w:val="2"/>
      <w:sz w:val="24"/>
      <w:szCs w:val="24"/>
      <w:lang w:val="en-US" w:eastAsia="zh-CN" w:bidi="ar-SA"/>
    </w:rPr>
  </w:style>
  <w:style w:type="character" w:customStyle="1" w:styleId="620">
    <w:name w:val="正文缩进4"/>
    <w:qFormat/>
    <w:uiPriority w:val="99"/>
    <w:rPr>
      <w:rFonts w:eastAsia="宋体"/>
      <w:kern w:val="2"/>
      <w:sz w:val="21"/>
      <w:szCs w:val="24"/>
      <w:lang w:val="en-US" w:eastAsia="zh-CN" w:bidi="ar-SA"/>
    </w:rPr>
  </w:style>
  <w:style w:type="character" w:customStyle="1" w:styleId="621">
    <w:name w:val="样式 表内小5 + 黑体 加粗 倾斜 下划线 Char4"/>
    <w:qFormat/>
    <w:uiPriority w:val="99"/>
    <w:rPr>
      <w:rFonts w:ascii="黑体" w:hAnsi="黑体" w:eastAsia="黑体"/>
      <w:b/>
      <w:bCs/>
      <w:i/>
      <w:iCs/>
      <w:kern w:val="2"/>
      <w:sz w:val="18"/>
      <w:szCs w:val="24"/>
      <w:u w:val="single"/>
      <w:lang w:val="en-US" w:eastAsia="zh-CN" w:bidi="ar-SA"/>
    </w:rPr>
  </w:style>
  <w:style w:type="character" w:customStyle="1" w:styleId="622">
    <w:name w:val="表题1 Char111"/>
    <w:qFormat/>
    <w:uiPriority w:val="99"/>
    <w:rPr>
      <w:rFonts w:hAnsi="Arial" w:eastAsia="宋体" w:cs="Arial"/>
      <w:kern w:val="2"/>
      <w:sz w:val="24"/>
      <w:szCs w:val="24"/>
      <w:lang w:val="en-US" w:eastAsia="zh-CN" w:bidi="ar-SA"/>
    </w:rPr>
  </w:style>
  <w:style w:type="character" w:customStyle="1" w:styleId="623">
    <w:name w:val="Body Text 21 Char"/>
    <w:link w:val="624"/>
    <w:qFormat/>
    <w:uiPriority w:val="0"/>
    <w:rPr>
      <w:rFonts w:ascii="Times New Roman" w:hAnsi="Times New Roman" w:eastAsia="仿宋体" w:cs="Times New Roman"/>
      <w:sz w:val="24"/>
      <w:szCs w:val="20"/>
      <w:lang w:val="zh-CN" w:eastAsia="zh-CN"/>
    </w:rPr>
  </w:style>
  <w:style w:type="paragraph" w:customStyle="1" w:styleId="624">
    <w:name w:val="Body Text 21"/>
    <w:basedOn w:val="1"/>
    <w:link w:val="623"/>
    <w:qFormat/>
    <w:uiPriority w:val="0"/>
    <w:pPr>
      <w:spacing w:line="240" w:lineRule="auto"/>
      <w:textAlignment w:val="baseline"/>
    </w:pPr>
    <w:rPr>
      <w:rFonts w:eastAsia="仿宋体"/>
      <w:szCs w:val="20"/>
      <w:lang w:val="zh-CN"/>
    </w:rPr>
  </w:style>
  <w:style w:type="character" w:customStyle="1" w:styleId="625">
    <w:name w:val="pt91"/>
    <w:qFormat/>
    <w:uiPriority w:val="0"/>
    <w:rPr>
      <w:color w:val="000000"/>
      <w:sz w:val="18"/>
      <w:szCs w:val="18"/>
      <w:u w:val="none"/>
    </w:rPr>
  </w:style>
  <w:style w:type="character" w:customStyle="1" w:styleId="626">
    <w:name w:val="Char Char621"/>
    <w:qFormat/>
    <w:uiPriority w:val="99"/>
    <w:rPr>
      <w:rFonts w:ascii="黑体" w:eastAsia="黑体"/>
      <w:b/>
      <w:bCs/>
      <w:kern w:val="2"/>
      <w:sz w:val="28"/>
      <w:szCs w:val="28"/>
      <w:lang w:val="en-US" w:eastAsia="zh-CN" w:bidi="ar-SA"/>
    </w:rPr>
  </w:style>
  <w:style w:type="character" w:customStyle="1" w:styleId="627">
    <w:name w:val="河石1 Char21"/>
    <w:qFormat/>
    <w:uiPriority w:val="99"/>
    <w:rPr>
      <w:rFonts w:ascii="黑体" w:hAnsi="宋体" w:eastAsia="黑体" w:cs="Times New Roman"/>
      <w:bCs/>
      <w:kern w:val="44"/>
      <w:sz w:val="32"/>
      <w:szCs w:val="32"/>
      <w:lang w:val="en-US" w:eastAsia="zh-CN" w:bidi="ar-SA"/>
    </w:rPr>
  </w:style>
  <w:style w:type="character" w:customStyle="1" w:styleId="628">
    <w:name w:val="kait"/>
    <w:basedOn w:val="133"/>
    <w:qFormat/>
    <w:uiPriority w:val="0"/>
  </w:style>
  <w:style w:type="character" w:customStyle="1" w:styleId="629">
    <w:name w:val="样式 报告正文 + 首行缩进:  2 字符 Char"/>
    <w:link w:val="630"/>
    <w:qFormat/>
    <w:uiPriority w:val="0"/>
    <w:rPr>
      <w:rFonts w:ascii="Calibri" w:hAnsi="Calibri" w:eastAsia="宋体" w:cs="Times New Roman"/>
      <w:sz w:val="24"/>
      <w:szCs w:val="20"/>
      <w:lang w:val="zh-CN" w:eastAsia="zh-CN"/>
    </w:rPr>
  </w:style>
  <w:style w:type="paragraph" w:customStyle="1" w:styleId="630">
    <w:name w:val="样式 报告正文 + 首行缩进:  2 字符"/>
    <w:basedOn w:val="1"/>
    <w:link w:val="629"/>
    <w:qFormat/>
    <w:uiPriority w:val="0"/>
    <w:pPr>
      <w:autoSpaceDE w:val="0"/>
      <w:autoSpaceDN w:val="0"/>
      <w:ind w:firstLine="200"/>
    </w:pPr>
    <w:rPr>
      <w:rFonts w:ascii="Calibri" w:hAnsi="Calibri"/>
      <w:szCs w:val="20"/>
      <w:lang w:val="zh-CN"/>
    </w:rPr>
  </w:style>
  <w:style w:type="character" w:customStyle="1" w:styleId="631">
    <w:name w:val="style61"/>
    <w:qFormat/>
    <w:uiPriority w:val="0"/>
    <w:rPr>
      <w:color w:val="666666"/>
      <w:sz w:val="20"/>
      <w:szCs w:val="20"/>
    </w:rPr>
  </w:style>
  <w:style w:type="character" w:customStyle="1" w:styleId="632">
    <w:name w:val="11p1"/>
    <w:qFormat/>
    <w:uiPriority w:val="0"/>
    <w:rPr>
      <w:sz w:val="21"/>
      <w:szCs w:val="21"/>
    </w:rPr>
  </w:style>
  <w:style w:type="character" w:customStyle="1" w:styleId="633">
    <w:name w:val="正文修改 Char141"/>
    <w:qFormat/>
    <w:uiPriority w:val="99"/>
    <w:rPr>
      <w:rFonts w:ascii="宋体" w:hAnsi="宋体"/>
      <w:color w:val="000000"/>
      <w:kern w:val="2"/>
      <w:sz w:val="28"/>
      <w:szCs w:val="28"/>
    </w:rPr>
  </w:style>
  <w:style w:type="character" w:customStyle="1" w:styleId="634">
    <w:name w:val="正文1-1 Char"/>
    <w:link w:val="635"/>
    <w:qFormat/>
    <w:uiPriority w:val="99"/>
    <w:rPr>
      <w:rFonts w:ascii="宋体" w:hAnsi="宋体" w:eastAsia="仿宋_GB2312" w:cs="Times New Roman"/>
      <w:kern w:val="0"/>
      <w:sz w:val="28"/>
      <w:szCs w:val="24"/>
      <w:lang w:val="zh-CN" w:eastAsia="zh-CN"/>
    </w:rPr>
  </w:style>
  <w:style w:type="paragraph" w:customStyle="1" w:styleId="635">
    <w:name w:val="正文1-1"/>
    <w:basedOn w:val="1"/>
    <w:link w:val="634"/>
    <w:qFormat/>
    <w:uiPriority w:val="99"/>
    <w:pPr>
      <w:widowControl/>
      <w:ind w:firstLine="200"/>
      <w:jc w:val="left"/>
    </w:pPr>
    <w:rPr>
      <w:rFonts w:ascii="宋体" w:hAnsi="宋体" w:eastAsia="仿宋_GB2312"/>
      <w:kern w:val="0"/>
      <w:sz w:val="28"/>
      <w:lang w:val="zh-CN"/>
    </w:rPr>
  </w:style>
  <w:style w:type="character" w:customStyle="1" w:styleId="636">
    <w:name w:val="标题 6 Char1"/>
    <w:qFormat/>
    <w:uiPriority w:val="0"/>
    <w:rPr>
      <w:rFonts w:ascii="Arial" w:hAnsi="Arial" w:eastAsia="黑体"/>
      <w:b/>
      <w:bCs/>
      <w:kern w:val="2"/>
      <w:sz w:val="24"/>
      <w:szCs w:val="24"/>
      <w:lang w:val="en-US" w:eastAsia="zh-CN" w:bidi="ar-SA"/>
    </w:rPr>
  </w:style>
  <w:style w:type="character" w:customStyle="1" w:styleId="637">
    <w:name w:val="题注 Char22"/>
    <w:qFormat/>
    <w:uiPriority w:val="99"/>
    <w:rPr>
      <w:rFonts w:ascii="黑体" w:hAnsi="Arial" w:eastAsia="黑体" w:cs="Arial"/>
      <w:b/>
      <w:kern w:val="2"/>
      <w:sz w:val="24"/>
      <w:szCs w:val="24"/>
      <w:lang w:val="en-US" w:eastAsia="zh-CN" w:bidi="ar-SA"/>
    </w:rPr>
  </w:style>
  <w:style w:type="character" w:customStyle="1" w:styleId="638">
    <w:name w:val="font1"/>
    <w:qFormat/>
    <w:uiPriority w:val="0"/>
    <w:rPr>
      <w:rFonts w:hint="default" w:ascii="Verdana" w:hAnsi="Verdana" w:eastAsia="宋体"/>
      <w:kern w:val="2"/>
      <w:sz w:val="18"/>
      <w:szCs w:val="18"/>
      <w:lang w:val="en-US" w:eastAsia="zh-CN" w:bidi="ar-SA"/>
    </w:rPr>
  </w:style>
  <w:style w:type="character" w:customStyle="1" w:styleId="639">
    <w:name w:val="zjgblk1"/>
    <w:qFormat/>
    <w:uiPriority w:val="0"/>
    <w:rPr>
      <w:rFonts w:hint="default" w:eastAsia="宋体"/>
      <w:color w:val="000000"/>
      <w:kern w:val="2"/>
      <w:sz w:val="18"/>
      <w:szCs w:val="18"/>
      <w:u w:val="none"/>
      <w:lang w:val="en-US" w:eastAsia="zh-CN" w:bidi="ar-SA"/>
    </w:rPr>
  </w:style>
  <w:style w:type="character" w:customStyle="1" w:styleId="640">
    <w:name w:val="表题1 Char61"/>
    <w:qFormat/>
    <w:uiPriority w:val="99"/>
    <w:rPr>
      <w:rFonts w:ascii="黑体" w:hAnsi="Arial" w:eastAsia="黑体" w:cs="Arial"/>
      <w:b/>
      <w:kern w:val="2"/>
      <w:sz w:val="24"/>
      <w:szCs w:val="24"/>
      <w:lang w:val="en-US" w:eastAsia="zh-CN" w:bidi="ar-SA"/>
    </w:rPr>
  </w:style>
  <w:style w:type="character" w:customStyle="1" w:styleId="641">
    <w:name w:val="z1"/>
    <w:qFormat/>
    <w:uiPriority w:val="0"/>
    <w:rPr>
      <w:rFonts w:eastAsia="宋体"/>
      <w:kern w:val="2"/>
      <w:sz w:val="18"/>
      <w:szCs w:val="18"/>
      <w:lang w:val="en-US" w:eastAsia="zh-CN" w:bidi="ar-SA"/>
    </w:rPr>
  </w:style>
  <w:style w:type="character" w:customStyle="1" w:styleId="642">
    <w:name w:val="bz-content1"/>
    <w:basedOn w:val="133"/>
    <w:qFormat/>
    <w:uiPriority w:val="0"/>
  </w:style>
  <w:style w:type="character" w:customStyle="1" w:styleId="643">
    <w:name w:val="正文首行缩进 Char2"/>
    <w:qFormat/>
    <w:uiPriority w:val="0"/>
    <w:rPr>
      <w:rFonts w:eastAsia="宋体"/>
      <w:kern w:val="2"/>
      <w:sz w:val="24"/>
      <w:szCs w:val="24"/>
      <w:lang w:val="en-US" w:eastAsia="zh-CN" w:bidi="ar-SA"/>
    </w:rPr>
  </w:style>
  <w:style w:type="character" w:customStyle="1" w:styleId="644">
    <w:name w:val="Char Char11"/>
    <w:qFormat/>
    <w:uiPriority w:val="0"/>
    <w:rPr>
      <w:rFonts w:eastAsia="宋体"/>
      <w:sz w:val="28"/>
      <w:lang w:val="en-US" w:eastAsia="zh-CN" w:bidi="ar-SA"/>
    </w:rPr>
  </w:style>
  <w:style w:type="character" w:customStyle="1" w:styleId="645">
    <w:name w:val="正文首行缩进 2 Char4"/>
    <w:qFormat/>
    <w:uiPriority w:val="99"/>
    <w:rPr>
      <w:rFonts w:ascii="Calibri" w:hAnsi="Calibri" w:eastAsia="宋体" w:cs="Times New Roman"/>
      <w:szCs w:val="24"/>
    </w:rPr>
  </w:style>
  <w:style w:type="character" w:customStyle="1" w:styleId="646">
    <w:name w:val="章标题 Char"/>
    <w:qFormat/>
    <w:uiPriority w:val="0"/>
    <w:rPr>
      <w:rFonts w:eastAsia="黑体"/>
      <w:b/>
      <w:bCs/>
      <w:kern w:val="44"/>
      <w:sz w:val="44"/>
      <w:szCs w:val="44"/>
      <w:lang w:val="en-US" w:eastAsia="zh-CN"/>
    </w:rPr>
  </w:style>
  <w:style w:type="character" w:customStyle="1" w:styleId="647">
    <w:name w:val="Char Char181"/>
    <w:qFormat/>
    <w:uiPriority w:val="0"/>
    <w:rPr>
      <w:rFonts w:ascii="黑体" w:hAnsi="黑体" w:eastAsia="仿宋_GB2312"/>
      <w:b/>
      <w:spacing w:val="10"/>
      <w:kern w:val="2"/>
      <w:sz w:val="18"/>
      <w:lang w:val="en-US" w:eastAsia="zh-CN" w:bidi="ar-SA"/>
    </w:rPr>
  </w:style>
  <w:style w:type="character" w:customStyle="1" w:styleId="648">
    <w:name w:val="Char Char8"/>
    <w:qFormat/>
    <w:uiPriority w:val="0"/>
    <w:rPr>
      <w:rFonts w:eastAsia="宋体"/>
      <w:kern w:val="2"/>
      <w:sz w:val="21"/>
      <w:szCs w:val="24"/>
      <w:lang w:val="en-US" w:eastAsia="zh-CN" w:bidi="ar-SA"/>
    </w:rPr>
  </w:style>
  <w:style w:type="character" w:customStyle="1" w:styleId="649">
    <w:name w:val="节 Char1"/>
    <w:qFormat/>
    <w:uiPriority w:val="99"/>
    <w:rPr>
      <w:rFonts w:ascii="宋体" w:hAnsi="Arial" w:eastAsia="黑体"/>
      <w:b/>
      <w:spacing w:val="10"/>
      <w:kern w:val="2"/>
      <w:sz w:val="32"/>
      <w:szCs w:val="18"/>
      <w:lang w:val="en-US" w:eastAsia="zh-CN" w:bidi="ar-SA"/>
    </w:rPr>
  </w:style>
  <w:style w:type="character" w:customStyle="1" w:styleId="650">
    <w:name w:val="Char Char201"/>
    <w:qFormat/>
    <w:uiPriority w:val="0"/>
    <w:rPr>
      <w:rFonts w:ascii="宋体" w:hAnsi="黑体" w:eastAsia="宋体"/>
      <w:b/>
      <w:spacing w:val="10"/>
      <w:kern w:val="44"/>
      <w:sz w:val="18"/>
      <w:szCs w:val="18"/>
      <w:lang w:val="en-US" w:eastAsia="zh-CN"/>
    </w:rPr>
  </w:style>
  <w:style w:type="character" w:customStyle="1" w:styleId="651">
    <w:name w:val="Char Char191"/>
    <w:qFormat/>
    <w:uiPriority w:val="0"/>
    <w:rPr>
      <w:rFonts w:ascii="Times New Roman" w:hAnsi="Times New Roman" w:eastAsia="仿宋_GB2312" w:cs="Times New Roman"/>
      <w:b/>
      <w:spacing w:val="10"/>
      <w:kern w:val="44"/>
      <w:sz w:val="18"/>
      <w:szCs w:val="20"/>
      <w:lang w:val="en-US" w:eastAsia="zh-CN"/>
    </w:rPr>
  </w:style>
  <w:style w:type="character" w:customStyle="1" w:styleId="652">
    <w:name w:val="样式 标题 3小标题小节标题H3h33rd level第二层条标题4标题 3 Char标题 3 Char Ch... Char Char Char2"/>
    <w:qFormat/>
    <w:uiPriority w:val="0"/>
    <w:rPr>
      <w:rFonts w:ascii="Arial" w:hAnsi="Arial" w:eastAsia="宋体"/>
      <w:b/>
      <w:bCs/>
      <w:kern w:val="32"/>
      <w:sz w:val="32"/>
      <w:szCs w:val="32"/>
      <w:lang w:val="en-US" w:eastAsia="zh-CN" w:bidi="ar-SA"/>
    </w:rPr>
  </w:style>
  <w:style w:type="character" w:customStyle="1" w:styleId="653">
    <w:name w:val="Char Char171"/>
    <w:qFormat/>
    <w:uiPriority w:val="0"/>
    <w:rPr>
      <w:rFonts w:ascii="黑体" w:hAnsi="黑体" w:eastAsia="仿宋_GB2312"/>
      <w:b/>
      <w:spacing w:val="10"/>
      <w:kern w:val="2"/>
      <w:sz w:val="28"/>
      <w:szCs w:val="24"/>
      <w:lang w:val="en-US" w:eastAsia="zh-CN" w:bidi="ar-SA"/>
    </w:rPr>
  </w:style>
  <w:style w:type="character" w:customStyle="1" w:styleId="654">
    <w:name w:val="Char Char151"/>
    <w:qFormat/>
    <w:uiPriority w:val="0"/>
    <w:rPr>
      <w:rFonts w:ascii="黑体" w:hAnsi="黑体" w:eastAsia="仿宋_GB2312"/>
      <w:b/>
      <w:spacing w:val="10"/>
      <w:kern w:val="2"/>
      <w:sz w:val="28"/>
      <w:lang w:val="en-US" w:eastAsia="zh-CN" w:bidi="ar-SA"/>
    </w:rPr>
  </w:style>
  <w:style w:type="character" w:customStyle="1" w:styleId="655">
    <w:name w:val="Char Char141"/>
    <w:qFormat/>
    <w:uiPriority w:val="0"/>
    <w:rPr>
      <w:rFonts w:eastAsia="仿宋_GB2312"/>
      <w:kern w:val="2"/>
      <w:sz w:val="28"/>
      <w:szCs w:val="24"/>
      <w:lang w:val="en-US" w:eastAsia="zh-CN" w:bidi="ar-SA"/>
    </w:rPr>
  </w:style>
  <w:style w:type="character" w:customStyle="1" w:styleId="656">
    <w:name w:val="样式 标题 3小标题小节标题标题3H3h33rd level第二层条标题4 + Arial Char Char Char"/>
    <w:link w:val="657"/>
    <w:qFormat/>
    <w:uiPriority w:val="0"/>
    <w:rPr>
      <w:rFonts w:ascii="Calibri" w:hAnsi="Calibri" w:eastAsia="宋体" w:cs="Times New Roman"/>
      <w:b/>
      <w:bCs/>
      <w:kern w:val="32"/>
      <w:sz w:val="30"/>
      <w:szCs w:val="20"/>
      <w:lang w:val="zh-CN" w:eastAsia="zh-CN"/>
    </w:rPr>
  </w:style>
  <w:style w:type="paragraph" w:customStyle="1" w:styleId="657">
    <w:name w:val="样式 标题 3小标题小节标题标题3H3h33rd level第二层条标题4 + Arial Char Char"/>
    <w:basedOn w:val="5"/>
    <w:link w:val="656"/>
    <w:qFormat/>
    <w:uiPriority w:val="0"/>
    <w:pPr>
      <w:tabs>
        <w:tab w:val="left" w:pos="0"/>
        <w:tab w:val="left" w:pos="993"/>
      </w:tabs>
      <w:spacing w:before="0" w:after="0"/>
      <w:ind w:firstLine="561"/>
      <w:jc w:val="left"/>
      <w:textAlignment w:val="baseline"/>
    </w:pPr>
    <w:rPr>
      <w:rFonts w:ascii="Calibri" w:hAnsi="Calibri"/>
      <w:kern w:val="32"/>
      <w:sz w:val="30"/>
      <w:szCs w:val="20"/>
      <w:lang w:val="zh-CN"/>
    </w:rPr>
  </w:style>
  <w:style w:type="character" w:customStyle="1" w:styleId="658">
    <w:name w:val="三级标题 Char2"/>
    <w:qFormat/>
    <w:uiPriority w:val="99"/>
    <w:rPr>
      <w:rFonts w:ascii="黑体" w:hAnsi="宋体" w:eastAsia="黑体"/>
      <w:b/>
      <w:bCs/>
      <w:kern w:val="2"/>
      <w:sz w:val="28"/>
      <w:szCs w:val="28"/>
      <w:lang w:val="en-US" w:eastAsia="zh-CN" w:bidi="ar-SA"/>
    </w:rPr>
  </w:style>
  <w:style w:type="character" w:customStyle="1" w:styleId="659">
    <w:name w:val="样式 样式 样式 样式 样式 样式 首行缩进:  2 字符 + 首行缩进:  2 字符2 + 仿宋_GB2312 + 首行缩进:... Char"/>
    <w:link w:val="660"/>
    <w:qFormat/>
    <w:uiPriority w:val="0"/>
    <w:rPr>
      <w:rFonts w:eastAsia="楷体_GB2312"/>
      <w:spacing w:val="12"/>
      <w:sz w:val="28"/>
    </w:rPr>
  </w:style>
  <w:style w:type="paragraph" w:customStyle="1" w:styleId="660">
    <w:name w:val="样式 样式 样式 样式 样式 样式 首行缩进:  2 字符 + 首行缩进:  2 字符2 + 仿宋_GB2312 + 首行缩进:..."/>
    <w:basedOn w:val="1"/>
    <w:link w:val="659"/>
    <w:qFormat/>
    <w:uiPriority w:val="0"/>
    <w:pPr>
      <w:spacing w:line="560" w:lineRule="exact"/>
      <w:ind w:firstLine="624"/>
    </w:pPr>
    <w:rPr>
      <w:rFonts w:ascii="Calibri" w:hAnsi="Calibri" w:eastAsia="楷体_GB2312"/>
      <w:spacing w:val="12"/>
      <w:sz w:val="28"/>
    </w:rPr>
  </w:style>
  <w:style w:type="character" w:customStyle="1" w:styleId="661">
    <w:name w:val="图题 Char2"/>
    <w:qFormat/>
    <w:uiPriority w:val="99"/>
    <w:rPr>
      <w:rFonts w:ascii="黑体" w:hAnsi="宋体" w:eastAsia="黑体" w:cs="宋体"/>
      <w:b/>
      <w:bCs/>
      <w:kern w:val="2"/>
      <w:sz w:val="24"/>
      <w:szCs w:val="24"/>
      <w:lang w:val="en-US" w:eastAsia="zh-CN" w:bidi="ar-SA"/>
    </w:rPr>
  </w:style>
  <w:style w:type="character" w:customStyle="1" w:styleId="662">
    <w:name w:val="谏壁chen表格内文字 Char Char Char Char"/>
    <w:link w:val="663"/>
    <w:qFormat/>
    <w:uiPriority w:val="0"/>
    <w:rPr>
      <w:rFonts w:ascii="Calibri" w:hAnsi="Calibri" w:eastAsia="宋体" w:cs="Times New Roman"/>
      <w:szCs w:val="21"/>
      <w:lang w:val="zh-CN" w:eastAsia="zh-CN"/>
    </w:rPr>
  </w:style>
  <w:style w:type="paragraph" w:customStyle="1" w:styleId="663">
    <w:name w:val="谏壁chen表格内文字 Char Char Char"/>
    <w:basedOn w:val="1"/>
    <w:link w:val="662"/>
    <w:qFormat/>
    <w:uiPriority w:val="0"/>
    <w:pPr>
      <w:spacing w:line="0" w:lineRule="atLeast"/>
      <w:jc w:val="center"/>
    </w:pPr>
    <w:rPr>
      <w:rFonts w:ascii="Calibri" w:hAnsi="Calibri"/>
      <w:sz w:val="21"/>
      <w:szCs w:val="21"/>
      <w:lang w:val="zh-CN"/>
    </w:rPr>
  </w:style>
  <w:style w:type="character" w:customStyle="1" w:styleId="664">
    <w:name w:val="新正文 Char Char Char Char Char"/>
    <w:link w:val="665"/>
    <w:qFormat/>
    <w:uiPriority w:val="0"/>
    <w:rPr>
      <w:rFonts w:ascii="仿宋_GB2312" w:hAnsi="Calibri" w:eastAsia="仿宋_GB2312" w:cs="Times New Roman"/>
      <w:bCs/>
      <w:kern w:val="0"/>
      <w:sz w:val="28"/>
      <w:szCs w:val="20"/>
      <w:lang w:val="zh-CN" w:eastAsia="zh-CN"/>
    </w:rPr>
  </w:style>
  <w:style w:type="paragraph" w:customStyle="1" w:styleId="665">
    <w:name w:val="新正文 Char Char Char Char"/>
    <w:basedOn w:val="1"/>
    <w:link w:val="664"/>
    <w:qFormat/>
    <w:uiPriority w:val="0"/>
    <w:pPr>
      <w:spacing w:line="480" w:lineRule="exact"/>
      <w:ind w:firstLine="482"/>
    </w:pPr>
    <w:rPr>
      <w:rFonts w:ascii="仿宋_GB2312" w:hAnsi="Calibri" w:eastAsia="仿宋_GB2312"/>
      <w:bCs/>
      <w:kern w:val="0"/>
      <w:sz w:val="28"/>
      <w:szCs w:val="20"/>
      <w:lang w:val="zh-CN"/>
    </w:rPr>
  </w:style>
  <w:style w:type="character" w:customStyle="1" w:styleId="666">
    <w:name w:val="正文首行缩进 2 Char2"/>
    <w:qFormat/>
    <w:uiPriority w:val="99"/>
    <w:rPr>
      <w:rFonts w:eastAsia="宋体"/>
      <w:kern w:val="2"/>
      <w:sz w:val="21"/>
      <w:szCs w:val="18"/>
      <w:lang w:val="en-US" w:eastAsia="zh-CN" w:bidi="ar-SA"/>
    </w:rPr>
  </w:style>
  <w:style w:type="character" w:customStyle="1" w:styleId="667">
    <w:name w:val="样式 标题 3 + 黑体 小四 左侧:  0.86 厘米 首行缩进:  0 厘米 Char Char Char Char"/>
    <w:link w:val="668"/>
    <w:qFormat/>
    <w:uiPriority w:val="0"/>
    <w:rPr>
      <w:rFonts w:ascii="黑体" w:hAnsi="Calibri" w:eastAsia="黑体" w:cs="Times New Roman"/>
      <w:bCs/>
      <w:color w:val="000000"/>
      <w:sz w:val="24"/>
      <w:szCs w:val="24"/>
      <w:lang w:val="en-GB" w:eastAsia="zh-CN"/>
    </w:rPr>
  </w:style>
  <w:style w:type="paragraph" w:customStyle="1" w:styleId="668">
    <w:name w:val="样式 标题 3 + 黑体 小四 左侧:  0.86 厘米 首行缩进:  0 厘米 Char Char Char"/>
    <w:basedOn w:val="5"/>
    <w:link w:val="667"/>
    <w:qFormat/>
    <w:uiPriority w:val="0"/>
    <w:pPr>
      <w:keepLines w:val="0"/>
      <w:spacing w:before="0" w:after="0"/>
      <w:jc w:val="left"/>
    </w:pPr>
    <w:rPr>
      <w:rFonts w:ascii="黑体" w:hAnsi="Calibri" w:eastAsia="黑体"/>
      <w:b w:val="0"/>
      <w:color w:val="000000"/>
      <w:szCs w:val="24"/>
      <w:lang w:val="en-GB"/>
    </w:rPr>
  </w:style>
  <w:style w:type="character" w:customStyle="1" w:styleId="669">
    <w:name w:val="txt1"/>
    <w:qFormat/>
    <w:uiPriority w:val="0"/>
    <w:rPr>
      <w:spacing w:val="15"/>
      <w:sz w:val="18"/>
      <w:szCs w:val="18"/>
    </w:rPr>
  </w:style>
  <w:style w:type="character" w:customStyle="1" w:styleId="670">
    <w:name w:val="zi41"/>
    <w:qFormat/>
    <w:uiPriority w:val="0"/>
    <w:rPr>
      <w:color w:val="FFFFFF"/>
      <w:sz w:val="24"/>
      <w:szCs w:val="24"/>
    </w:rPr>
  </w:style>
  <w:style w:type="character" w:customStyle="1" w:styleId="671">
    <w:name w:val="Char2 Char1"/>
    <w:qFormat/>
    <w:uiPriority w:val="0"/>
    <w:rPr>
      <w:rFonts w:eastAsia="宋体"/>
      <w:kern w:val="2"/>
      <w:sz w:val="18"/>
      <w:szCs w:val="18"/>
      <w:lang w:val="en-US" w:eastAsia="zh-CN" w:bidi="ar-SA"/>
    </w:rPr>
  </w:style>
  <w:style w:type="character" w:customStyle="1" w:styleId="672">
    <w:name w:val="谏壁正文chen Char Char Char Char"/>
    <w:link w:val="673"/>
    <w:qFormat/>
    <w:uiPriority w:val="0"/>
    <w:rPr>
      <w:rFonts w:ascii="Calibri" w:hAnsi="Calibri" w:eastAsia="宋体" w:cs="Times New Roman"/>
      <w:sz w:val="24"/>
      <w:szCs w:val="24"/>
      <w:lang w:val="zh-CN" w:eastAsia="zh-CN"/>
    </w:rPr>
  </w:style>
  <w:style w:type="paragraph" w:customStyle="1" w:styleId="673">
    <w:name w:val="谏壁正文chen Char Char Char"/>
    <w:basedOn w:val="1"/>
    <w:link w:val="672"/>
    <w:qFormat/>
    <w:uiPriority w:val="0"/>
    <w:pPr>
      <w:ind w:firstLine="200"/>
    </w:pPr>
    <w:rPr>
      <w:rFonts w:ascii="Calibri" w:hAnsi="Calibri"/>
      <w:lang w:val="zh-CN"/>
    </w:rPr>
  </w:style>
  <w:style w:type="character" w:customStyle="1" w:styleId="674">
    <w:name w:val="hhcwt正文 Char Char Char Char"/>
    <w:link w:val="675"/>
    <w:qFormat/>
    <w:uiPriority w:val="0"/>
    <w:rPr>
      <w:rFonts w:ascii="Calibri" w:hAnsi="Calibri" w:eastAsia="宋体" w:cs="Times New Roman"/>
      <w:sz w:val="24"/>
      <w:szCs w:val="20"/>
      <w:lang w:val="zh-CN" w:eastAsia="zh-CN"/>
    </w:rPr>
  </w:style>
  <w:style w:type="paragraph" w:customStyle="1" w:styleId="675">
    <w:name w:val="hhcwt正文 Char Char Char"/>
    <w:basedOn w:val="1"/>
    <w:link w:val="674"/>
    <w:qFormat/>
    <w:uiPriority w:val="0"/>
    <w:pPr>
      <w:ind w:firstLine="480"/>
    </w:pPr>
    <w:rPr>
      <w:rFonts w:ascii="Calibri" w:hAnsi="Calibri"/>
      <w:szCs w:val="20"/>
      <w:lang w:val="zh-CN"/>
    </w:rPr>
  </w:style>
  <w:style w:type="character" w:customStyle="1" w:styleId="676">
    <w:name w:val="环评正文 Char2"/>
    <w:qFormat/>
    <w:uiPriority w:val="99"/>
    <w:rPr>
      <w:rFonts w:eastAsia="宋体"/>
      <w:bCs/>
      <w:kern w:val="2"/>
      <w:sz w:val="24"/>
      <w:szCs w:val="24"/>
      <w:lang w:val="en-US" w:eastAsia="zh-CN" w:bidi="ar-SA"/>
    </w:rPr>
  </w:style>
  <w:style w:type="character" w:customStyle="1" w:styleId="677">
    <w:name w:val="正文格式 Char Char Char Char Char"/>
    <w:link w:val="678"/>
    <w:qFormat/>
    <w:uiPriority w:val="0"/>
    <w:rPr>
      <w:rFonts w:ascii="宋体" w:cs="宋体"/>
      <w:sz w:val="24"/>
      <w:szCs w:val="24"/>
    </w:rPr>
  </w:style>
  <w:style w:type="paragraph" w:customStyle="1" w:styleId="678">
    <w:name w:val="正文格式 Char Char Char Char"/>
    <w:basedOn w:val="1"/>
    <w:link w:val="677"/>
    <w:qFormat/>
    <w:uiPriority w:val="0"/>
    <w:pPr>
      <w:ind w:firstLine="482"/>
    </w:pPr>
    <w:rPr>
      <w:rFonts w:ascii="宋体" w:hAnsi="Calibri" w:cs="宋体"/>
    </w:rPr>
  </w:style>
  <w:style w:type="character" w:customStyle="1" w:styleId="679">
    <w:name w:val="报告 Char Char Char2"/>
    <w:qFormat/>
    <w:uiPriority w:val="0"/>
    <w:rPr>
      <w:rFonts w:eastAsia="宋体"/>
      <w:kern w:val="2"/>
      <w:sz w:val="24"/>
      <w:szCs w:val="24"/>
      <w:lang w:val="en-US" w:eastAsia="zh-CN" w:bidi="ar-SA"/>
    </w:rPr>
  </w:style>
  <w:style w:type="character" w:customStyle="1" w:styleId="680">
    <w:name w:val="样式 标题 3小标题小节标题H3h33rd level第二层条标题4标题 3 Char标题 3 Char Ch... Char Char Char Char"/>
    <w:link w:val="681"/>
    <w:qFormat/>
    <w:uiPriority w:val="0"/>
    <w:rPr>
      <w:rFonts w:ascii="Arial" w:hAnsi="Arial" w:eastAsia="宋体" w:cs="Times New Roman"/>
      <w:b/>
      <w:bCs/>
      <w:kern w:val="32"/>
      <w:sz w:val="32"/>
      <w:szCs w:val="32"/>
      <w:lang w:val="zh-CN" w:eastAsia="zh-CN"/>
    </w:rPr>
  </w:style>
  <w:style w:type="paragraph" w:customStyle="1" w:styleId="681">
    <w:name w:val="样式 标题 3小标题小节标题H3h33rd level第二层条标题4标题 3 Char标题 3 Char Ch... Char Char Char"/>
    <w:basedOn w:val="5"/>
    <w:link w:val="680"/>
    <w:qFormat/>
    <w:uiPriority w:val="0"/>
    <w:pPr>
      <w:tabs>
        <w:tab w:val="left" w:pos="0"/>
        <w:tab w:val="left" w:pos="993"/>
      </w:tabs>
      <w:spacing w:line="240" w:lineRule="auto"/>
      <w:jc w:val="left"/>
      <w:textAlignment w:val="baseline"/>
    </w:pPr>
    <w:rPr>
      <w:rFonts w:ascii="Arial" w:hAnsi="Arial"/>
      <w:kern w:val="32"/>
      <w:sz w:val="32"/>
      <w:lang w:val="zh-CN"/>
    </w:rPr>
  </w:style>
  <w:style w:type="character" w:customStyle="1" w:styleId="682">
    <w:name w:val="Char Char64"/>
    <w:qFormat/>
    <w:uiPriority w:val="99"/>
    <w:rPr>
      <w:rFonts w:ascii="黑体" w:eastAsia="黑体"/>
      <w:b/>
      <w:bCs/>
      <w:kern w:val="2"/>
      <w:sz w:val="28"/>
      <w:szCs w:val="28"/>
      <w:lang w:val="en-US" w:eastAsia="zh-CN" w:bidi="ar-SA"/>
    </w:rPr>
  </w:style>
  <w:style w:type="character" w:customStyle="1" w:styleId="683">
    <w:name w:val="样式 标题 3 + 黑色 Char Char Char Char Char Char Char Char Char Char"/>
    <w:link w:val="684"/>
    <w:qFormat/>
    <w:uiPriority w:val="0"/>
    <w:rPr>
      <w:rFonts w:ascii="宋体" w:hAnsi="宋体" w:eastAsia="宋体" w:cs="Times New Roman"/>
      <w:sz w:val="28"/>
      <w:szCs w:val="28"/>
      <w:lang w:val="zh-CN" w:eastAsia="zh-CN"/>
    </w:rPr>
  </w:style>
  <w:style w:type="paragraph" w:customStyle="1" w:styleId="684">
    <w:name w:val="样式 标题 3 + 黑色 Char Char Char Char Char Char Char Char Char"/>
    <w:basedOn w:val="5"/>
    <w:link w:val="683"/>
    <w:qFormat/>
    <w:uiPriority w:val="0"/>
    <w:pPr>
      <w:keepNext w:val="0"/>
      <w:keepLines w:val="0"/>
      <w:tabs>
        <w:tab w:val="left" w:pos="0"/>
      </w:tabs>
      <w:spacing w:after="0"/>
      <w:ind w:firstLine="538" w:firstLineChars="192"/>
      <w:outlineLvl w:val="9"/>
    </w:pPr>
    <w:rPr>
      <w:rFonts w:ascii="宋体" w:hAnsi="宋体"/>
      <w:b w:val="0"/>
      <w:bCs w:val="0"/>
      <w:sz w:val="28"/>
      <w:szCs w:val="28"/>
      <w:lang w:val="zh-CN"/>
    </w:rPr>
  </w:style>
  <w:style w:type="character" w:customStyle="1" w:styleId="685">
    <w:name w:val="正文斜体 Char2"/>
    <w:qFormat/>
    <w:uiPriority w:val="99"/>
    <w:rPr>
      <w:rFonts w:ascii="宋体" w:hAnsi="宋体" w:eastAsia="宋体" w:cs="宋体"/>
      <w:i/>
      <w:iCs/>
      <w:kern w:val="2"/>
      <w:sz w:val="24"/>
      <w:szCs w:val="24"/>
      <w:lang w:val="en-US" w:eastAsia="zh-CN" w:bidi="ar-SA"/>
    </w:rPr>
  </w:style>
  <w:style w:type="character" w:customStyle="1" w:styleId="686">
    <w:name w:val="样式 标题 3 + 左侧:  0 厘米 首行缩进:  0 厘米 Char Char Char Char"/>
    <w:link w:val="687"/>
    <w:qFormat/>
    <w:uiPriority w:val="0"/>
    <w:rPr>
      <w:rFonts w:ascii="Calibri" w:hAnsi="Calibri" w:eastAsia="宋体" w:cs="Times New Roman"/>
      <w:b/>
      <w:bCs/>
      <w:kern w:val="32"/>
      <w:sz w:val="32"/>
      <w:szCs w:val="32"/>
      <w:lang w:val="zh-CN" w:eastAsia="zh-CN"/>
    </w:rPr>
  </w:style>
  <w:style w:type="paragraph" w:customStyle="1" w:styleId="687">
    <w:name w:val="样式 标题 3 + 左侧:  0 厘米 首行缩进:  0 厘米 Char Char Char"/>
    <w:basedOn w:val="5"/>
    <w:link w:val="686"/>
    <w:qFormat/>
    <w:uiPriority w:val="0"/>
    <w:pPr>
      <w:tabs>
        <w:tab w:val="left" w:pos="709"/>
        <w:tab w:val="left" w:pos="993"/>
      </w:tabs>
      <w:spacing w:after="60" w:line="240" w:lineRule="auto"/>
      <w:ind w:left="709" w:hanging="709"/>
      <w:jc w:val="left"/>
      <w:textAlignment w:val="baseline"/>
    </w:pPr>
    <w:rPr>
      <w:rFonts w:ascii="Calibri" w:hAnsi="Calibri"/>
      <w:kern w:val="32"/>
      <w:sz w:val="32"/>
      <w:lang w:val="zh-CN"/>
    </w:rPr>
  </w:style>
  <w:style w:type="character" w:customStyle="1" w:styleId="688">
    <w:name w:val="标题 2 Char1 Char Char1"/>
    <w:qFormat/>
    <w:uiPriority w:val="0"/>
    <w:rPr>
      <w:rFonts w:ascii="仿宋_GB2312" w:hAnsi="Arial" w:eastAsia="仿宋_GB2312"/>
      <w:b/>
      <w:bCs/>
      <w:kern w:val="2"/>
      <w:sz w:val="28"/>
      <w:szCs w:val="32"/>
      <w:lang w:val="en-US" w:eastAsia="zh-CN" w:bidi="ar-SA"/>
    </w:rPr>
  </w:style>
  <w:style w:type="character" w:customStyle="1" w:styleId="689">
    <w:name w:val="样式 仿宋_GB2312 四号"/>
    <w:qFormat/>
    <w:uiPriority w:val="0"/>
    <w:rPr>
      <w:rFonts w:ascii="仿宋_GB2312" w:hAnsi="仿宋_GB2312" w:eastAsia="仿宋_GB2312"/>
      <w:sz w:val="24"/>
    </w:rPr>
  </w:style>
  <w:style w:type="character" w:customStyle="1" w:styleId="690">
    <w:name w:val="正文2 Char Char Char"/>
    <w:link w:val="691"/>
    <w:qFormat/>
    <w:uiPriority w:val="0"/>
    <w:rPr>
      <w:rFonts w:ascii="Calibri" w:hAnsi="Calibri" w:eastAsia="仿宋_GB2312" w:cs="Times New Roman"/>
      <w:sz w:val="24"/>
      <w:szCs w:val="24"/>
      <w:lang w:val="zh-CN" w:eastAsia="zh-CN"/>
    </w:rPr>
  </w:style>
  <w:style w:type="paragraph" w:customStyle="1" w:styleId="691">
    <w:name w:val="正文2 Char Char"/>
    <w:basedOn w:val="1"/>
    <w:link w:val="690"/>
    <w:qFormat/>
    <w:uiPriority w:val="0"/>
    <w:pPr>
      <w:spacing w:beforeLines="50" w:afterLines="100" w:line="440" w:lineRule="exact"/>
      <w:ind w:firstLine="480"/>
    </w:pPr>
    <w:rPr>
      <w:rFonts w:ascii="Calibri" w:hAnsi="Calibri" w:eastAsia="仿宋_GB2312"/>
      <w:lang w:val="zh-CN"/>
    </w:rPr>
  </w:style>
  <w:style w:type="character" w:customStyle="1" w:styleId="692">
    <w:name w:val="表格 Char Char Char Char"/>
    <w:link w:val="693"/>
    <w:qFormat/>
    <w:uiPriority w:val="0"/>
    <w:rPr>
      <w:rFonts w:ascii="Arial" w:hAnsi="Arial" w:eastAsia="华文细黑" w:cs="Times New Roman"/>
      <w:szCs w:val="30"/>
      <w:lang w:val="zh-CN" w:eastAsia="zh-CN"/>
    </w:rPr>
  </w:style>
  <w:style w:type="paragraph" w:customStyle="1" w:styleId="693">
    <w:name w:val="表格 Char Char Char"/>
    <w:basedOn w:val="1"/>
    <w:link w:val="692"/>
    <w:qFormat/>
    <w:uiPriority w:val="0"/>
    <w:pPr>
      <w:spacing w:line="240" w:lineRule="auto"/>
      <w:jc w:val="center"/>
    </w:pPr>
    <w:rPr>
      <w:rFonts w:ascii="Arial" w:hAnsi="Arial" w:eastAsia="华文细黑"/>
      <w:sz w:val="21"/>
      <w:szCs w:val="30"/>
      <w:lang w:val="zh-CN"/>
    </w:rPr>
  </w:style>
  <w:style w:type="character" w:customStyle="1" w:styleId="694">
    <w:name w:val="表格文字 Char Char Char"/>
    <w:qFormat/>
    <w:uiPriority w:val="0"/>
    <w:rPr>
      <w:rFonts w:ascii="仿宋_GB2312" w:hAnsi="Arial Black" w:eastAsia="仿宋_GB2312" w:cs="Times New Roman"/>
      <w:kern w:val="44"/>
      <w:sz w:val="24"/>
      <w:szCs w:val="20"/>
    </w:rPr>
  </w:style>
  <w:style w:type="character" w:customStyle="1" w:styleId="695">
    <w:name w:val="表格文字 Char Char3"/>
    <w:qFormat/>
    <w:uiPriority w:val="0"/>
    <w:rPr>
      <w:rFonts w:ascii="宋体" w:hAnsi="宋体" w:eastAsia="仿宋_GB2312" w:cs="宋体"/>
      <w:sz w:val="21"/>
      <w:szCs w:val="21"/>
      <w:lang w:val="en-US" w:eastAsia="zh-CN" w:bidi="ar-SA"/>
    </w:rPr>
  </w:style>
  <w:style w:type="character" w:customStyle="1" w:styleId="696">
    <w:name w:val="表题1 Char42"/>
    <w:qFormat/>
    <w:uiPriority w:val="99"/>
    <w:rPr>
      <w:rFonts w:ascii="黑体" w:hAnsi="Arial" w:eastAsia="黑体" w:cs="Arial"/>
      <w:b/>
      <w:kern w:val="2"/>
      <w:sz w:val="24"/>
      <w:szCs w:val="24"/>
      <w:lang w:val="en-US" w:eastAsia="zh-CN" w:bidi="ar-SA"/>
    </w:rPr>
  </w:style>
  <w:style w:type="character" w:customStyle="1" w:styleId="697">
    <w:name w:val="标题 1 Char4"/>
    <w:qFormat/>
    <w:uiPriority w:val="99"/>
    <w:rPr>
      <w:rFonts w:ascii="黑体" w:hAnsi="宋体" w:eastAsia="黑体"/>
      <w:b/>
      <w:bCs/>
      <w:kern w:val="44"/>
      <w:sz w:val="32"/>
      <w:szCs w:val="32"/>
      <w:lang w:val="en-US" w:eastAsia="zh-CN" w:bidi="ar-SA"/>
    </w:rPr>
  </w:style>
  <w:style w:type="character" w:customStyle="1" w:styleId="698">
    <w:name w:val="样式 标题 3 + 左侧:  0 厘米 首行缩进:  0 厘米 Char Char Char2"/>
    <w:qFormat/>
    <w:uiPriority w:val="0"/>
    <w:rPr>
      <w:rFonts w:eastAsia="宋体"/>
      <w:b/>
      <w:bCs/>
      <w:kern w:val="32"/>
      <w:sz w:val="32"/>
      <w:szCs w:val="32"/>
      <w:lang w:val="en-US" w:eastAsia="zh-CN" w:bidi="ar-SA"/>
    </w:rPr>
  </w:style>
  <w:style w:type="character" w:customStyle="1" w:styleId="699">
    <w:name w:val="表内5 Char3"/>
    <w:qFormat/>
    <w:uiPriority w:val="99"/>
    <w:rPr>
      <w:rFonts w:ascii="宋体" w:hAnsi="宋体" w:eastAsia="宋体" w:cs="Times New Roman"/>
      <w:kern w:val="2"/>
      <w:sz w:val="24"/>
      <w:szCs w:val="24"/>
      <w:lang w:val="en-US" w:eastAsia="zh-CN" w:bidi="ar-SA"/>
    </w:rPr>
  </w:style>
  <w:style w:type="character" w:customStyle="1" w:styleId="700">
    <w:name w:val="样式 标题 3 + 黑色 Char Char Char Char Char Char2"/>
    <w:qFormat/>
    <w:uiPriority w:val="0"/>
    <w:rPr>
      <w:rFonts w:eastAsia="宋体"/>
      <w:b/>
      <w:bCs/>
      <w:color w:val="000000"/>
      <w:kern w:val="2"/>
      <w:sz w:val="28"/>
      <w:szCs w:val="32"/>
      <w:lang w:val="en-US" w:eastAsia="zh-CN" w:bidi="ar-SA"/>
    </w:rPr>
  </w:style>
  <w:style w:type="character" w:customStyle="1" w:styleId="701">
    <w:name w:val="f91"/>
    <w:qFormat/>
    <w:uiPriority w:val="0"/>
    <w:rPr>
      <w:sz w:val="18"/>
      <w:szCs w:val="18"/>
      <w:u w:val="none"/>
    </w:rPr>
  </w:style>
  <w:style w:type="character" w:customStyle="1" w:styleId="702">
    <w:name w:val="福建正文缩进 Char2"/>
    <w:qFormat/>
    <w:uiPriority w:val="99"/>
    <w:rPr>
      <w:rFonts w:ascii="宋体" w:hAnsi="宋体" w:eastAsia="宋体" w:cs="宋体"/>
      <w:color w:val="000000"/>
      <w:kern w:val="2"/>
      <w:sz w:val="24"/>
      <w:szCs w:val="24"/>
      <w:lang w:val="en-US" w:eastAsia="zh-CN" w:bidi="ar-SA"/>
    </w:rPr>
  </w:style>
  <w:style w:type="character" w:customStyle="1" w:styleId="703">
    <w:name w:val="Char Char65"/>
    <w:qFormat/>
    <w:uiPriority w:val="99"/>
    <w:rPr>
      <w:rFonts w:ascii="黑体" w:eastAsia="黑体"/>
      <w:b/>
      <w:bCs/>
      <w:kern w:val="2"/>
      <w:sz w:val="28"/>
      <w:szCs w:val="28"/>
      <w:lang w:val="en-US" w:eastAsia="zh-CN" w:bidi="ar-SA"/>
    </w:rPr>
  </w:style>
  <w:style w:type="character" w:customStyle="1" w:styleId="704">
    <w:name w:val="A正文 Char2"/>
    <w:qFormat/>
    <w:uiPriority w:val="99"/>
    <w:rPr>
      <w:rFonts w:eastAsia="仿宋_GB2312"/>
      <w:kern w:val="2"/>
      <w:sz w:val="24"/>
      <w:szCs w:val="24"/>
      <w:lang w:val="en-US" w:eastAsia="zh-CN" w:bidi="ar-SA"/>
    </w:rPr>
  </w:style>
  <w:style w:type="character" w:customStyle="1" w:styleId="705">
    <w:name w:val="richtextmngstyle1"/>
    <w:qFormat/>
    <w:uiPriority w:val="0"/>
    <w:rPr>
      <w:color w:val="000000"/>
      <w:spacing w:val="15"/>
      <w:sz w:val="21"/>
      <w:szCs w:val="21"/>
      <w:u w:val="none"/>
    </w:rPr>
  </w:style>
  <w:style w:type="character" w:customStyle="1" w:styleId="706">
    <w:name w:val="word16b1"/>
    <w:qFormat/>
    <w:uiPriority w:val="0"/>
    <w:rPr>
      <w:rFonts w:hint="default" w:ascii="Arial" w:hAnsi="Arial" w:cs="Arial"/>
      <w:b/>
      <w:bCs/>
      <w:spacing w:val="15"/>
      <w:sz w:val="24"/>
      <w:szCs w:val="24"/>
    </w:rPr>
  </w:style>
  <w:style w:type="character" w:customStyle="1" w:styleId="707">
    <w:name w:val="Char Char Char1 Char Char Char Char Char Char Char Char Char Char Char Char Char Char Char Char Char Char"/>
    <w:link w:val="708"/>
    <w:qFormat/>
    <w:uiPriority w:val="0"/>
    <w:rPr>
      <w:rFonts w:ascii="Calibri" w:hAnsi="Calibri" w:eastAsia="宋体" w:cs="Times New Roman"/>
      <w:szCs w:val="24"/>
      <w:lang w:val="zh-CN" w:eastAsia="zh-CN"/>
    </w:rPr>
  </w:style>
  <w:style w:type="paragraph" w:customStyle="1" w:styleId="708">
    <w:name w:val="Char Char Char1 Char Char Char Char Char Char Char Char Char Char Char Char Char Char Char Char Char4"/>
    <w:basedOn w:val="1"/>
    <w:link w:val="707"/>
    <w:qFormat/>
    <w:uiPriority w:val="0"/>
    <w:pPr>
      <w:spacing w:line="240" w:lineRule="auto"/>
    </w:pPr>
    <w:rPr>
      <w:rFonts w:ascii="Calibri" w:hAnsi="Calibri"/>
      <w:sz w:val="21"/>
      <w:lang w:val="zh-CN"/>
    </w:rPr>
  </w:style>
  <w:style w:type="character" w:customStyle="1" w:styleId="709">
    <w:name w:val="正文缩进 Ch Char1"/>
    <w:qFormat/>
    <w:uiPriority w:val="0"/>
    <w:rPr>
      <w:rFonts w:eastAsia="宋体"/>
      <w:kern w:val="2"/>
      <w:sz w:val="21"/>
      <w:lang w:val="en-US" w:eastAsia="zh-CN" w:bidi="ar-SA"/>
    </w:rPr>
  </w:style>
  <w:style w:type="character" w:customStyle="1" w:styleId="710">
    <w:name w:val="样式 报告 + Times New Roman Char Char Char Char Char Char Char Char Char Char Char"/>
    <w:link w:val="711"/>
    <w:qFormat/>
    <w:uiPriority w:val="0"/>
    <w:rPr>
      <w:rFonts w:ascii="Calibri" w:hAnsi="Calibri" w:eastAsia="宋体" w:cs="Times New Roman"/>
      <w:kern w:val="0"/>
      <w:sz w:val="28"/>
      <w:szCs w:val="28"/>
      <w:lang w:val="zh-CN" w:eastAsia="zh-CN"/>
    </w:rPr>
  </w:style>
  <w:style w:type="paragraph" w:customStyle="1" w:styleId="711">
    <w:name w:val="样式 报告 + Times New Roman Char Char Char Char Char Char Char Char Char Char"/>
    <w:basedOn w:val="251"/>
    <w:link w:val="710"/>
    <w:qFormat/>
    <w:uiPriority w:val="0"/>
    <w:pPr>
      <w:spacing w:line="500" w:lineRule="exact"/>
    </w:pPr>
    <w:rPr>
      <w:rFonts w:ascii="Calibri" w:hAnsi="Calibri"/>
      <w:sz w:val="28"/>
      <w:szCs w:val="28"/>
      <w:lang w:val="zh-CN"/>
    </w:rPr>
  </w:style>
  <w:style w:type="character" w:customStyle="1" w:styleId="712">
    <w:name w:val="列表 Char Char Char"/>
    <w:qFormat/>
    <w:uiPriority w:val="0"/>
    <w:rPr>
      <w:rFonts w:eastAsia="宋体"/>
      <w:sz w:val="21"/>
      <w:szCs w:val="21"/>
      <w:lang w:val="en-US" w:eastAsia="zh-CN" w:bidi="ar-SA"/>
    </w:rPr>
  </w:style>
  <w:style w:type="character" w:customStyle="1" w:styleId="713">
    <w:name w:val="grame"/>
    <w:basedOn w:val="133"/>
    <w:qFormat/>
    <w:uiPriority w:val="0"/>
  </w:style>
  <w:style w:type="character" w:customStyle="1" w:styleId="714">
    <w:name w:val="ln1"/>
    <w:qFormat/>
    <w:uiPriority w:val="0"/>
    <w:rPr>
      <w:rFonts w:hint="default"/>
      <w:color w:val="000000"/>
      <w:sz w:val="28"/>
      <w:szCs w:val="28"/>
      <w:u w:val="none"/>
    </w:rPr>
  </w:style>
  <w:style w:type="character" w:customStyle="1" w:styleId="715">
    <w:name w:val="edri-A title Char1 Char"/>
    <w:qFormat/>
    <w:uiPriority w:val="0"/>
    <w:rPr>
      <w:rFonts w:eastAsia="宋体" w:cs="CommercialPi BT"/>
      <w:bCs/>
      <w:sz w:val="24"/>
      <w:szCs w:val="24"/>
      <w:lang w:val="en-US" w:eastAsia="zh-CN" w:bidi="ar-SA"/>
    </w:rPr>
  </w:style>
  <w:style w:type="character" w:customStyle="1" w:styleId="716">
    <w:name w:val="样式 正文文本 + 红色 Char Char Char Char Char Char"/>
    <w:link w:val="717"/>
    <w:qFormat/>
    <w:uiPriority w:val="0"/>
    <w:rPr>
      <w:rFonts w:ascii="Calibri" w:hAnsi="Calibri" w:eastAsia="仿宋_GB2312" w:cs="Times New Roman"/>
      <w:snapToGrid w:val="0"/>
      <w:color w:val="FF0000"/>
      <w:kern w:val="0"/>
      <w:sz w:val="24"/>
      <w:szCs w:val="24"/>
      <w:lang w:val="zh-CN" w:eastAsia="zh-CN"/>
    </w:rPr>
  </w:style>
  <w:style w:type="paragraph" w:customStyle="1" w:styleId="717">
    <w:name w:val="样式 正文文本 + 红色 Char Char Char Char Char"/>
    <w:basedOn w:val="1"/>
    <w:link w:val="716"/>
    <w:qFormat/>
    <w:uiPriority w:val="0"/>
    <w:pPr>
      <w:spacing w:before="60" w:after="60" w:line="264" w:lineRule="auto"/>
      <w:ind w:firstLine="200"/>
      <w:textAlignment w:val="baseline"/>
    </w:pPr>
    <w:rPr>
      <w:rFonts w:ascii="Calibri" w:hAnsi="Calibri" w:eastAsia="仿宋_GB2312"/>
      <w:snapToGrid w:val="0"/>
      <w:color w:val="FF0000"/>
      <w:kern w:val="0"/>
      <w:lang w:val="zh-CN"/>
    </w:rPr>
  </w:style>
  <w:style w:type="character" w:customStyle="1" w:styleId="718">
    <w:name w:val="样式 正文文本 + (中文) 黑体 红色 Char Char Char Char Char Char"/>
    <w:link w:val="719"/>
    <w:qFormat/>
    <w:uiPriority w:val="0"/>
    <w:rPr>
      <w:rFonts w:ascii="Calibri" w:hAnsi="Calibri" w:eastAsia="黑体" w:cs="Times New Roman"/>
      <w:snapToGrid w:val="0"/>
      <w:color w:val="FF0000"/>
      <w:kern w:val="0"/>
      <w:sz w:val="24"/>
      <w:szCs w:val="24"/>
      <w:lang w:val="zh-CN" w:eastAsia="zh-CN"/>
    </w:rPr>
  </w:style>
  <w:style w:type="paragraph" w:customStyle="1" w:styleId="719">
    <w:name w:val="样式 正文文本 + (中文) 黑体 红色 Char Char Char Char Char"/>
    <w:basedOn w:val="1"/>
    <w:link w:val="718"/>
    <w:qFormat/>
    <w:uiPriority w:val="0"/>
    <w:pPr>
      <w:spacing w:before="60" w:after="60" w:line="264" w:lineRule="auto"/>
      <w:ind w:firstLine="200"/>
      <w:textAlignment w:val="baseline"/>
    </w:pPr>
    <w:rPr>
      <w:rFonts w:ascii="Calibri" w:hAnsi="Calibri" w:eastAsia="黑体"/>
      <w:snapToGrid w:val="0"/>
      <w:color w:val="FF0000"/>
      <w:kern w:val="0"/>
      <w:lang w:val="zh-CN"/>
    </w:rPr>
  </w:style>
  <w:style w:type="character" w:customStyle="1" w:styleId="720">
    <w:name w:val="标准文本 首行缩进: 2 字符 行距: 单倍 Char Char Char"/>
    <w:link w:val="721"/>
    <w:qFormat/>
    <w:uiPriority w:val="0"/>
    <w:rPr>
      <w:rFonts w:ascii="Calibri" w:hAnsi="Calibri" w:eastAsia="宋体" w:cs="Times New Roman"/>
      <w:sz w:val="24"/>
      <w:szCs w:val="24"/>
      <w:lang w:val="zh-CN" w:eastAsia="zh-CN"/>
    </w:rPr>
  </w:style>
  <w:style w:type="paragraph" w:customStyle="1" w:styleId="721">
    <w:name w:val="标准文本 首行缩进: 2 字符 行距: 单倍 Char Char"/>
    <w:basedOn w:val="1"/>
    <w:link w:val="720"/>
    <w:qFormat/>
    <w:uiPriority w:val="0"/>
    <w:pPr>
      <w:spacing w:line="240" w:lineRule="auto"/>
      <w:ind w:firstLine="480"/>
      <w:textAlignment w:val="baseline"/>
    </w:pPr>
    <w:rPr>
      <w:rFonts w:ascii="Calibri" w:hAnsi="Calibri"/>
      <w:lang w:val="zh-CN"/>
    </w:rPr>
  </w:style>
  <w:style w:type="character" w:customStyle="1" w:styleId="722">
    <w:name w:val="表格内容 Char2"/>
    <w:qFormat/>
    <w:uiPriority w:val="99"/>
    <w:rPr>
      <w:rFonts w:eastAsia="宋体"/>
      <w:kern w:val="2"/>
      <w:sz w:val="21"/>
      <w:szCs w:val="21"/>
      <w:lang w:val="en-US" w:eastAsia="zh-CN" w:bidi="ar-SA"/>
    </w:rPr>
  </w:style>
  <w:style w:type="character" w:customStyle="1" w:styleId="723">
    <w:name w:val="正文缩进2 Char"/>
    <w:qFormat/>
    <w:uiPriority w:val="0"/>
    <w:rPr>
      <w:rFonts w:eastAsia="宋体"/>
      <w:kern w:val="2"/>
      <w:sz w:val="21"/>
      <w:lang w:val="en-US" w:eastAsia="zh-CN" w:bidi="ar-SA"/>
    </w:rPr>
  </w:style>
  <w:style w:type="character" w:customStyle="1" w:styleId="724">
    <w:name w:val="bltxt1"/>
    <w:qFormat/>
    <w:uiPriority w:val="0"/>
    <w:rPr>
      <w:color w:val="000000"/>
      <w:sz w:val="18"/>
      <w:szCs w:val="18"/>
      <w:u w:val="none"/>
    </w:rPr>
  </w:style>
  <w:style w:type="character" w:customStyle="1" w:styleId="725">
    <w:name w:val="style11"/>
    <w:qFormat/>
    <w:uiPriority w:val="99"/>
    <w:rPr>
      <w:sz w:val="21"/>
      <w:szCs w:val="21"/>
    </w:rPr>
  </w:style>
  <w:style w:type="character" w:customStyle="1" w:styleId="726">
    <w:name w:val="新正文 Char Char Char2"/>
    <w:qFormat/>
    <w:uiPriority w:val="0"/>
    <w:rPr>
      <w:rFonts w:ascii="仿宋_GB2312" w:eastAsia="仿宋_GB2312"/>
      <w:bCs/>
      <w:kern w:val="2"/>
      <w:sz w:val="28"/>
      <w:szCs w:val="24"/>
      <w:lang w:val="en-US" w:eastAsia="zh-CN" w:bidi="ar-SA"/>
    </w:rPr>
  </w:style>
  <w:style w:type="character" w:customStyle="1" w:styleId="727">
    <w:name w:val="页脚1"/>
    <w:qFormat/>
    <w:uiPriority w:val="0"/>
    <w:rPr>
      <w:rFonts w:eastAsia="宋体"/>
      <w:kern w:val="2"/>
      <w:sz w:val="18"/>
      <w:lang w:val="en-US" w:eastAsia="zh-CN" w:bidi="ar-SA"/>
    </w:rPr>
  </w:style>
  <w:style w:type="character" w:customStyle="1" w:styleId="728">
    <w:name w:val="样式 标题 3 + 黑体 小四 左侧:  0.86 厘米 首行缩进:  0 厘米 Char Char Char2"/>
    <w:qFormat/>
    <w:uiPriority w:val="0"/>
    <w:rPr>
      <w:rFonts w:ascii="黑体" w:eastAsia="黑体"/>
      <w:b/>
      <w:bCs/>
      <w:color w:val="000000"/>
      <w:kern w:val="2"/>
      <w:sz w:val="24"/>
      <w:szCs w:val="24"/>
      <w:lang w:val="en-GB" w:eastAsia="zh-CN" w:bidi="ar-SA"/>
    </w:rPr>
  </w:style>
  <w:style w:type="character" w:customStyle="1" w:styleId="729">
    <w:name w:val="谏壁chen表格内文字 Char Char Char2"/>
    <w:qFormat/>
    <w:uiPriority w:val="0"/>
    <w:rPr>
      <w:rFonts w:eastAsia="宋体"/>
      <w:kern w:val="2"/>
      <w:sz w:val="21"/>
      <w:szCs w:val="21"/>
      <w:lang w:val="en-US" w:eastAsia="zh-CN" w:bidi="ar-SA"/>
    </w:rPr>
  </w:style>
  <w:style w:type="character" w:customStyle="1" w:styleId="730">
    <w:name w:val="批注框文本1"/>
    <w:qFormat/>
    <w:uiPriority w:val="0"/>
    <w:rPr>
      <w:rFonts w:eastAsia="宋体"/>
      <w:kern w:val="2"/>
      <w:sz w:val="18"/>
      <w:szCs w:val="18"/>
      <w:lang w:val="en-US" w:eastAsia="zh-CN" w:bidi="ar-SA"/>
    </w:rPr>
  </w:style>
  <w:style w:type="character" w:customStyle="1" w:styleId="731">
    <w:name w:val="谏壁正文chen Char Char Char2"/>
    <w:qFormat/>
    <w:uiPriority w:val="0"/>
    <w:rPr>
      <w:rFonts w:eastAsia="宋体"/>
      <w:kern w:val="2"/>
      <w:sz w:val="24"/>
      <w:szCs w:val="24"/>
      <w:lang w:val="en-US" w:eastAsia="zh-CN" w:bidi="ar-SA"/>
    </w:rPr>
  </w:style>
  <w:style w:type="character" w:customStyle="1" w:styleId="732">
    <w:name w:val="hhcwt正文 Char Char Char2"/>
    <w:qFormat/>
    <w:uiPriority w:val="0"/>
    <w:rPr>
      <w:rFonts w:eastAsia="宋体" w:cs="宋体"/>
      <w:kern w:val="2"/>
      <w:sz w:val="24"/>
      <w:szCs w:val="24"/>
      <w:lang w:val="en-US" w:eastAsia="zh-CN" w:bidi="ar-SA"/>
    </w:rPr>
  </w:style>
  <w:style w:type="character" w:customStyle="1" w:styleId="733">
    <w:name w:val="表格 Char Char Char2"/>
    <w:qFormat/>
    <w:uiPriority w:val="0"/>
    <w:rPr>
      <w:rFonts w:ascii="Arial" w:hAnsi="Arial" w:eastAsia="华文细黑"/>
      <w:kern w:val="2"/>
      <w:sz w:val="21"/>
      <w:szCs w:val="30"/>
      <w:lang w:val="en-US" w:eastAsia="zh-CN" w:bidi="ar-SA"/>
    </w:rPr>
  </w:style>
  <w:style w:type="character" w:customStyle="1" w:styleId="734">
    <w:name w:val="表格文字 Char Char1"/>
    <w:qFormat/>
    <w:uiPriority w:val="0"/>
    <w:rPr>
      <w:rFonts w:ascii="宋体" w:hAnsi="宋体" w:eastAsia="仿宋_GB2312" w:cs="宋体"/>
      <w:sz w:val="21"/>
      <w:szCs w:val="21"/>
      <w:lang w:val="en-US" w:eastAsia="zh-CN" w:bidi="ar-SA"/>
    </w:rPr>
  </w:style>
  <w:style w:type="character" w:customStyle="1" w:styleId="735">
    <w:name w:val="Char Char Char1 Char Char Char Char Char Char Char Char Char Char Char Char Char Char Char Char Char2"/>
    <w:qFormat/>
    <w:uiPriority w:val="0"/>
    <w:rPr>
      <w:rFonts w:eastAsia="宋体"/>
      <w:kern w:val="2"/>
      <w:sz w:val="28"/>
      <w:szCs w:val="28"/>
      <w:lang w:val="en-US" w:eastAsia="zh-CN" w:bidi="ar-SA"/>
    </w:rPr>
  </w:style>
  <w:style w:type="character" w:customStyle="1" w:styleId="736">
    <w:name w:val="样式 报告 + Times New Roman Char Char2"/>
    <w:qFormat/>
    <w:uiPriority w:val="0"/>
    <w:rPr>
      <w:rFonts w:eastAsia="宋体"/>
      <w:kern w:val="2"/>
      <w:sz w:val="28"/>
      <w:szCs w:val="28"/>
      <w:lang w:val="en-US" w:eastAsia="zh-CN" w:bidi="ar-SA"/>
    </w:rPr>
  </w:style>
  <w:style w:type="character" w:customStyle="1" w:styleId="737">
    <w:name w:val="样式 标题 3小标题小节标题标题3H3h33rd level第二层条标题4 + Arial Char Char2"/>
    <w:qFormat/>
    <w:uiPriority w:val="0"/>
    <w:rPr>
      <w:rFonts w:eastAsia="宋体"/>
      <w:b/>
      <w:bCs/>
      <w:kern w:val="32"/>
      <w:sz w:val="30"/>
      <w:szCs w:val="24"/>
      <w:lang w:val="en-US" w:eastAsia="zh-CN" w:bidi="ar-SA"/>
    </w:rPr>
  </w:style>
  <w:style w:type="character" w:customStyle="1" w:styleId="738">
    <w:name w:val="样式 正文文本 + 红色 Char Char Char Char Char2"/>
    <w:qFormat/>
    <w:uiPriority w:val="0"/>
    <w:rPr>
      <w:rFonts w:eastAsia="仿宋_GB2312"/>
      <w:snapToGrid w:val="0"/>
      <w:color w:val="FF0000"/>
      <w:kern w:val="2"/>
      <w:sz w:val="24"/>
      <w:szCs w:val="24"/>
      <w:lang w:val="en-US" w:eastAsia="zh-CN" w:bidi="ar-SA"/>
    </w:rPr>
  </w:style>
  <w:style w:type="character" w:customStyle="1" w:styleId="739">
    <w:name w:val="标准文本 首行缩进: 2 字符 行距: 单倍 Char Char2"/>
    <w:qFormat/>
    <w:uiPriority w:val="0"/>
    <w:rPr>
      <w:rFonts w:eastAsia="宋体"/>
      <w:kern w:val="2"/>
      <w:sz w:val="24"/>
      <w:szCs w:val="24"/>
      <w:lang w:val="en-US" w:eastAsia="zh-CN" w:bidi="ar-SA"/>
    </w:rPr>
  </w:style>
  <w:style w:type="character" w:customStyle="1" w:styleId="740">
    <w:name w:val="Char Char510"/>
    <w:qFormat/>
    <w:uiPriority w:val="99"/>
    <w:rPr>
      <w:rFonts w:ascii="黑体" w:hAnsi="宋体" w:eastAsia="黑体"/>
      <w:bCs/>
      <w:kern w:val="2"/>
      <w:sz w:val="28"/>
      <w:szCs w:val="28"/>
      <w:lang w:val="en-US" w:eastAsia="zh-CN" w:bidi="ar-SA"/>
    </w:rPr>
  </w:style>
  <w:style w:type="character" w:customStyle="1" w:styleId="741">
    <w:name w:val="小标 Char1"/>
    <w:qFormat/>
    <w:uiPriority w:val="0"/>
    <w:rPr>
      <w:rFonts w:eastAsia="Arial Unicode MS"/>
      <w:b/>
      <w:bCs/>
      <w:kern w:val="2"/>
      <w:sz w:val="32"/>
      <w:szCs w:val="32"/>
      <w:lang w:val="en-US" w:eastAsia="zh-CN" w:bidi="ar-SA"/>
    </w:rPr>
  </w:style>
  <w:style w:type="character" w:customStyle="1" w:styleId="742">
    <w:name w:val="标题 32"/>
    <w:qFormat/>
    <w:uiPriority w:val="0"/>
    <w:rPr>
      <w:rFonts w:eastAsia="Arial Unicode MS"/>
      <w:b/>
      <w:bCs/>
      <w:kern w:val="2"/>
      <w:sz w:val="32"/>
      <w:szCs w:val="32"/>
      <w:lang w:val="en-US" w:eastAsia="zh-CN" w:bidi="ar-SA"/>
    </w:rPr>
  </w:style>
  <w:style w:type="character" w:customStyle="1" w:styleId="743">
    <w:name w:val="表格文字 Char Char2"/>
    <w:qFormat/>
    <w:uiPriority w:val="0"/>
    <w:rPr>
      <w:rFonts w:ascii="宋体" w:hAnsi="宋体" w:eastAsia="仿宋_GB2312" w:cs="宋体"/>
      <w:sz w:val="21"/>
      <w:szCs w:val="21"/>
      <w:lang w:val="en-US" w:eastAsia="zh-CN" w:bidi="ar-SA"/>
    </w:rPr>
  </w:style>
  <w:style w:type="character" w:customStyle="1" w:styleId="744">
    <w:name w:val="新正文 Char Char Char1"/>
    <w:qFormat/>
    <w:uiPriority w:val="0"/>
    <w:rPr>
      <w:rFonts w:ascii="仿宋_GB2312" w:eastAsia="仿宋_GB2312"/>
      <w:bCs/>
      <w:kern w:val="2"/>
      <w:sz w:val="28"/>
      <w:szCs w:val="24"/>
      <w:lang w:val="en-US" w:eastAsia="zh-CN" w:bidi="ar-SA"/>
    </w:rPr>
  </w:style>
  <w:style w:type="character" w:customStyle="1" w:styleId="745">
    <w:name w:val="样式 标题 3 + 黑体 小四 左侧:  0.86 厘米 首行缩进:  0 厘米 Char Char Char1"/>
    <w:qFormat/>
    <w:uiPriority w:val="0"/>
    <w:rPr>
      <w:rFonts w:ascii="黑体" w:eastAsia="黑体"/>
      <w:b/>
      <w:bCs/>
      <w:color w:val="000000"/>
      <w:kern w:val="2"/>
      <w:sz w:val="24"/>
      <w:szCs w:val="24"/>
      <w:lang w:val="en-GB" w:eastAsia="zh-CN" w:bidi="ar-SA"/>
    </w:rPr>
  </w:style>
  <w:style w:type="character" w:customStyle="1" w:styleId="746">
    <w:name w:val="报告 Char Char Char1"/>
    <w:qFormat/>
    <w:uiPriority w:val="0"/>
    <w:rPr>
      <w:rFonts w:eastAsia="宋体"/>
      <w:kern w:val="2"/>
      <w:sz w:val="24"/>
      <w:szCs w:val="24"/>
      <w:lang w:val="en-US" w:eastAsia="zh-CN" w:bidi="ar-SA"/>
    </w:rPr>
  </w:style>
  <w:style w:type="character" w:customStyle="1" w:styleId="747">
    <w:name w:val="谏壁正文chen Char Char Char1"/>
    <w:qFormat/>
    <w:uiPriority w:val="0"/>
    <w:rPr>
      <w:rFonts w:eastAsia="宋体"/>
      <w:kern w:val="2"/>
      <w:sz w:val="24"/>
      <w:szCs w:val="24"/>
      <w:lang w:val="en-US" w:eastAsia="zh-CN" w:bidi="ar-SA"/>
    </w:rPr>
  </w:style>
  <w:style w:type="character" w:customStyle="1" w:styleId="748">
    <w:name w:val="hhcwt正文 Char Char Char1"/>
    <w:qFormat/>
    <w:uiPriority w:val="0"/>
    <w:rPr>
      <w:rFonts w:eastAsia="宋体" w:cs="宋体"/>
      <w:kern w:val="2"/>
      <w:sz w:val="24"/>
      <w:szCs w:val="24"/>
      <w:lang w:val="en-US" w:eastAsia="zh-CN" w:bidi="ar-SA"/>
    </w:rPr>
  </w:style>
  <w:style w:type="character" w:customStyle="1" w:styleId="749">
    <w:name w:val="样式 标题 3小标题小节标题H3h33rd level第二层条标题4标题 3 Char标题 3 Char Ch... Char Char Char1"/>
    <w:qFormat/>
    <w:uiPriority w:val="0"/>
    <w:rPr>
      <w:rFonts w:ascii="Arial" w:hAnsi="Arial" w:eastAsia="宋体"/>
      <w:b/>
      <w:bCs/>
      <w:kern w:val="32"/>
      <w:sz w:val="32"/>
      <w:szCs w:val="32"/>
      <w:lang w:val="en-US" w:eastAsia="zh-CN" w:bidi="ar-SA"/>
    </w:rPr>
  </w:style>
  <w:style w:type="character" w:customStyle="1" w:styleId="750">
    <w:name w:val="样式 标题 3 + 黑色 Char Char Char Char Char Char1"/>
    <w:qFormat/>
    <w:uiPriority w:val="0"/>
    <w:rPr>
      <w:rFonts w:eastAsia="宋体"/>
      <w:b/>
      <w:bCs/>
      <w:color w:val="000000"/>
      <w:kern w:val="2"/>
      <w:sz w:val="28"/>
      <w:szCs w:val="32"/>
      <w:lang w:val="en-US" w:eastAsia="zh-CN" w:bidi="ar-SA"/>
    </w:rPr>
  </w:style>
  <w:style w:type="character" w:customStyle="1" w:styleId="751">
    <w:name w:val="样式 标题 3 + 左侧:  0 厘米 首行缩进:  0 厘米 Char Char Char1"/>
    <w:qFormat/>
    <w:uiPriority w:val="0"/>
    <w:rPr>
      <w:rFonts w:eastAsia="宋体"/>
      <w:b/>
      <w:bCs/>
      <w:kern w:val="32"/>
      <w:sz w:val="32"/>
      <w:szCs w:val="32"/>
      <w:lang w:val="en-US" w:eastAsia="zh-CN" w:bidi="ar-SA"/>
    </w:rPr>
  </w:style>
  <w:style w:type="character" w:customStyle="1" w:styleId="752">
    <w:name w:val="正文2 Char Char1"/>
    <w:qFormat/>
    <w:uiPriority w:val="0"/>
    <w:rPr>
      <w:rFonts w:eastAsia="仿宋_GB2312"/>
      <w:kern w:val="2"/>
      <w:sz w:val="24"/>
      <w:szCs w:val="24"/>
      <w:lang w:val="en-US" w:eastAsia="zh-CN" w:bidi="ar-SA"/>
    </w:rPr>
  </w:style>
  <w:style w:type="character" w:customStyle="1" w:styleId="753">
    <w:name w:val="Char Char Char1 Char Char Char Char Char Char Char Char Char Char Char Char Char Char Char Char Char1"/>
    <w:qFormat/>
    <w:uiPriority w:val="0"/>
    <w:rPr>
      <w:rFonts w:eastAsia="宋体"/>
      <w:kern w:val="2"/>
      <w:sz w:val="28"/>
      <w:szCs w:val="28"/>
      <w:lang w:val="en-US" w:eastAsia="zh-CN" w:bidi="ar-SA"/>
    </w:rPr>
  </w:style>
  <w:style w:type="character" w:customStyle="1" w:styleId="754">
    <w:name w:val="样式 标题 3小标题小节标题标题3H3h33rd level第二层条标题4 + Arial Char Char1"/>
    <w:qFormat/>
    <w:uiPriority w:val="0"/>
    <w:rPr>
      <w:rFonts w:eastAsia="宋体"/>
      <w:b/>
      <w:bCs/>
      <w:kern w:val="32"/>
      <w:sz w:val="30"/>
      <w:szCs w:val="24"/>
      <w:lang w:val="en-US" w:eastAsia="zh-CN" w:bidi="ar-SA"/>
    </w:rPr>
  </w:style>
  <w:style w:type="character" w:customStyle="1" w:styleId="755">
    <w:name w:val="样式 正文文本 + 红色 Char Char Char Char Char1"/>
    <w:qFormat/>
    <w:uiPriority w:val="0"/>
    <w:rPr>
      <w:rFonts w:eastAsia="仿宋_GB2312"/>
      <w:snapToGrid w:val="0"/>
      <w:color w:val="FF0000"/>
      <w:kern w:val="2"/>
      <w:sz w:val="24"/>
      <w:szCs w:val="24"/>
      <w:lang w:val="en-US" w:eastAsia="zh-CN" w:bidi="ar-SA"/>
    </w:rPr>
  </w:style>
  <w:style w:type="character" w:customStyle="1" w:styleId="756">
    <w:name w:val="标准文本 首行缩进: 2 字符 行距: 单倍 Char Char1"/>
    <w:qFormat/>
    <w:uiPriority w:val="0"/>
    <w:rPr>
      <w:rFonts w:eastAsia="宋体"/>
      <w:kern w:val="2"/>
      <w:sz w:val="24"/>
      <w:szCs w:val="24"/>
      <w:lang w:val="en-US" w:eastAsia="zh-CN" w:bidi="ar-SA"/>
    </w:rPr>
  </w:style>
  <w:style w:type="character" w:customStyle="1" w:styleId="757">
    <w:name w:val="正文格式 Char Char1 Char"/>
    <w:link w:val="758"/>
    <w:qFormat/>
    <w:uiPriority w:val="0"/>
    <w:rPr>
      <w:rFonts w:ascii="宋体" w:hAnsi="Calibri" w:eastAsia="宋体" w:cs="Times New Roman"/>
      <w:sz w:val="24"/>
      <w:szCs w:val="24"/>
      <w:lang w:val="zh-CN" w:eastAsia="zh-CN"/>
    </w:rPr>
  </w:style>
  <w:style w:type="paragraph" w:customStyle="1" w:styleId="758">
    <w:name w:val="正文格式 Char Char1"/>
    <w:basedOn w:val="1"/>
    <w:link w:val="757"/>
    <w:qFormat/>
    <w:uiPriority w:val="0"/>
    <w:pPr>
      <w:ind w:firstLine="482"/>
    </w:pPr>
    <w:rPr>
      <w:rFonts w:ascii="宋体" w:hAnsi="Calibri"/>
      <w:lang w:val="zh-CN"/>
    </w:rPr>
  </w:style>
  <w:style w:type="character" w:customStyle="1" w:styleId="759">
    <w:name w:val="正文修改 Char17"/>
    <w:qFormat/>
    <w:uiPriority w:val="99"/>
    <w:rPr>
      <w:rFonts w:ascii="宋体" w:hAnsi="宋体"/>
      <w:color w:val="000000"/>
      <w:kern w:val="2"/>
      <w:sz w:val="28"/>
      <w:szCs w:val="28"/>
    </w:rPr>
  </w:style>
  <w:style w:type="character" w:customStyle="1" w:styleId="760">
    <w:name w:val="Char2 Char"/>
    <w:qFormat/>
    <w:uiPriority w:val="0"/>
    <w:rPr>
      <w:rFonts w:eastAsia="宋体"/>
      <w:kern w:val="2"/>
      <w:sz w:val="18"/>
      <w:szCs w:val="18"/>
      <w:lang w:val="en-US" w:eastAsia="zh-CN" w:bidi="ar-SA"/>
    </w:rPr>
  </w:style>
  <w:style w:type="character" w:customStyle="1" w:styleId="761">
    <w:name w:val="燕山正文 Char17"/>
    <w:qFormat/>
    <w:uiPriority w:val="99"/>
    <w:rPr>
      <w:rFonts w:ascii="宋体" w:hAnsi="Times New Roman" w:eastAsia="宋体" w:cs="宋体"/>
      <w:kern w:val="2"/>
      <w:sz w:val="24"/>
      <w:szCs w:val="24"/>
      <w:lang w:val="en-US" w:eastAsia="zh-CN" w:bidi="ar-SA"/>
    </w:rPr>
  </w:style>
  <w:style w:type="character" w:customStyle="1" w:styleId="762">
    <w:name w:val="正文文本缩进 3 Char5"/>
    <w:qFormat/>
    <w:uiPriority w:val="99"/>
    <w:rPr>
      <w:rFonts w:ascii="Times New Roman" w:hAnsi="Times New Roman" w:eastAsia="宋体" w:cs="Times New Roman"/>
      <w:kern w:val="2"/>
      <w:sz w:val="16"/>
      <w:szCs w:val="16"/>
      <w:lang w:val="en-US" w:eastAsia="zh-CN" w:bidi="ar-SA"/>
    </w:rPr>
  </w:style>
  <w:style w:type="character" w:customStyle="1" w:styleId="763">
    <w:name w:val="样式 报告 + Times New Roman Char Char"/>
    <w:link w:val="764"/>
    <w:qFormat/>
    <w:uiPriority w:val="0"/>
    <w:rPr>
      <w:rFonts w:ascii="Calibri" w:hAnsi="Calibri" w:eastAsia="宋体" w:cs="Times New Roman"/>
      <w:sz w:val="28"/>
      <w:szCs w:val="28"/>
      <w:lang w:val="zh-CN" w:eastAsia="zh-CN"/>
    </w:rPr>
  </w:style>
  <w:style w:type="paragraph" w:customStyle="1" w:styleId="764">
    <w:name w:val="样式 报告 + Times New Roman Char"/>
    <w:basedOn w:val="251"/>
    <w:link w:val="763"/>
    <w:qFormat/>
    <w:uiPriority w:val="0"/>
    <w:pPr>
      <w:spacing w:line="500" w:lineRule="exact"/>
    </w:pPr>
    <w:rPr>
      <w:rFonts w:ascii="Calibri" w:hAnsi="Calibri"/>
      <w:kern w:val="2"/>
      <w:sz w:val="28"/>
      <w:szCs w:val="28"/>
      <w:lang w:val="zh-CN"/>
    </w:rPr>
  </w:style>
  <w:style w:type="character" w:customStyle="1" w:styleId="765">
    <w:name w:val="正文格式 Char Char Char Char1"/>
    <w:qFormat/>
    <w:uiPriority w:val="0"/>
    <w:rPr>
      <w:rFonts w:ascii="宋体" w:eastAsia="宋体" w:cs="宋体"/>
      <w:kern w:val="2"/>
      <w:sz w:val="24"/>
      <w:szCs w:val="24"/>
      <w:lang w:val="en-US" w:eastAsia="zh-CN" w:bidi="ar-SA"/>
    </w:rPr>
  </w:style>
  <w:style w:type="character" w:customStyle="1" w:styleId="766">
    <w:name w:val="正文格式 Char Char Char1"/>
    <w:qFormat/>
    <w:uiPriority w:val="0"/>
    <w:rPr>
      <w:rFonts w:ascii="宋体" w:eastAsia="宋体" w:cs="宋体"/>
      <w:kern w:val="2"/>
      <w:sz w:val="24"/>
      <w:szCs w:val="24"/>
      <w:lang w:val="en-US" w:eastAsia="zh-CN" w:bidi="ar-SA"/>
    </w:rPr>
  </w:style>
  <w:style w:type="character" w:customStyle="1" w:styleId="767">
    <w:name w:val="题注 Char23"/>
    <w:qFormat/>
    <w:uiPriority w:val="99"/>
    <w:rPr>
      <w:rFonts w:ascii="黑体" w:hAnsi="Arial" w:eastAsia="黑体" w:cs="Arial"/>
      <w:b/>
      <w:kern w:val="2"/>
      <w:sz w:val="24"/>
      <w:szCs w:val="24"/>
      <w:lang w:val="en-US" w:eastAsia="zh-CN" w:bidi="ar-SA"/>
    </w:rPr>
  </w:style>
  <w:style w:type="character" w:customStyle="1" w:styleId="768">
    <w:name w:val="Char Char1111"/>
    <w:qFormat/>
    <w:uiPriority w:val="99"/>
    <w:rPr>
      <w:rFonts w:ascii="黑体" w:hAnsi="Arial" w:eastAsia="黑体"/>
      <w:bCs/>
      <w:kern w:val="2"/>
      <w:sz w:val="30"/>
      <w:szCs w:val="30"/>
      <w:lang w:val="en-US" w:eastAsia="zh-CN" w:bidi="ar-SA"/>
    </w:rPr>
  </w:style>
  <w:style w:type="character" w:customStyle="1" w:styleId="769">
    <w:name w:val="表格内字体 Char8"/>
    <w:qFormat/>
    <w:uiPriority w:val="99"/>
    <w:rPr>
      <w:rFonts w:ascii="宋体" w:hAnsi="宋体" w:eastAsia="宋体"/>
      <w:kern w:val="2"/>
      <w:sz w:val="21"/>
      <w:szCs w:val="24"/>
      <w:lang w:val="en-US" w:eastAsia="zh-CN" w:bidi="ar-SA"/>
    </w:rPr>
  </w:style>
  <w:style w:type="character" w:customStyle="1" w:styleId="770">
    <w:name w:val="正文文本缩进 2 Char3"/>
    <w:qFormat/>
    <w:uiPriority w:val="99"/>
    <w:rPr>
      <w:rFonts w:ascii="Times New Roman" w:hAnsi="Times New Roman" w:eastAsia="宋体" w:cs="Times New Roman"/>
      <w:kern w:val="2"/>
      <w:sz w:val="24"/>
      <w:szCs w:val="24"/>
      <w:lang w:val="en-US" w:eastAsia="zh-CN" w:bidi="ar-SA"/>
    </w:rPr>
  </w:style>
  <w:style w:type="character" w:customStyle="1" w:styleId="771">
    <w:name w:val="Char Char Char1 Char Char Char Char Char Char Char Char Char Char Char Char Char Char Char Char Char Char1"/>
    <w:link w:val="772"/>
    <w:qFormat/>
    <w:locked/>
    <w:uiPriority w:val="0"/>
    <w:rPr>
      <w:rFonts w:ascii="宋体" w:hAnsi="宋体"/>
      <w:sz w:val="28"/>
      <w:szCs w:val="28"/>
    </w:rPr>
  </w:style>
  <w:style w:type="paragraph" w:customStyle="1" w:styleId="772">
    <w:name w:val="Char Char Char1 Char Char Char Char Char Char Char Char Char Char Char Char Char Char Char Char Char3"/>
    <w:basedOn w:val="1"/>
    <w:link w:val="771"/>
    <w:qFormat/>
    <w:uiPriority w:val="0"/>
    <w:pPr>
      <w:spacing w:line="240" w:lineRule="exact"/>
      <w:ind w:firstLine="200"/>
    </w:pPr>
    <w:rPr>
      <w:rFonts w:ascii="宋体" w:hAnsi="宋体"/>
      <w:sz w:val="28"/>
      <w:szCs w:val="28"/>
    </w:rPr>
  </w:style>
  <w:style w:type="character" w:customStyle="1" w:styleId="773">
    <w:name w:val="Char Char Char1 Char Char Char Char Char Char Char Char Char Char Char Char Char Char Char Char Char21"/>
    <w:qFormat/>
    <w:uiPriority w:val="0"/>
    <w:rPr>
      <w:rFonts w:hint="eastAsia" w:ascii="宋体" w:hAnsi="宋体" w:eastAsia="宋体"/>
      <w:kern w:val="2"/>
      <w:sz w:val="28"/>
      <w:szCs w:val="28"/>
      <w:lang w:val="en-US" w:eastAsia="zh-CN" w:bidi="ar-SA"/>
    </w:rPr>
  </w:style>
  <w:style w:type="character" w:customStyle="1" w:styleId="774">
    <w:name w:val="题注 Char6"/>
    <w:qFormat/>
    <w:uiPriority w:val="99"/>
    <w:rPr>
      <w:rFonts w:ascii="黑体" w:hAnsi="Arial" w:eastAsia="黑体" w:cs="Arial"/>
      <w:b/>
      <w:kern w:val="2"/>
      <w:sz w:val="24"/>
      <w:szCs w:val="24"/>
      <w:lang w:val="en-US" w:eastAsia="zh-CN" w:bidi="ar-SA"/>
    </w:rPr>
  </w:style>
  <w:style w:type="character" w:customStyle="1" w:styleId="775">
    <w:name w:val="表题1 Char9"/>
    <w:qFormat/>
    <w:uiPriority w:val="99"/>
    <w:rPr>
      <w:rFonts w:ascii="黑体" w:hAnsi="Arial" w:eastAsia="黑体" w:cs="Arial"/>
      <w:b/>
      <w:kern w:val="2"/>
      <w:sz w:val="24"/>
      <w:szCs w:val="24"/>
      <w:lang w:val="en-US" w:eastAsia="zh-CN" w:bidi="ar-SA"/>
    </w:rPr>
  </w:style>
  <w:style w:type="character" w:customStyle="1" w:styleId="776">
    <w:name w:val="Char Char Char1 Char Char Char Char Char Char Char Char Char Char Char Char Char Char Char Char Char11"/>
    <w:qFormat/>
    <w:uiPriority w:val="0"/>
    <w:rPr>
      <w:rFonts w:hint="eastAsia" w:ascii="宋体" w:hAnsi="宋体" w:eastAsia="宋体"/>
      <w:kern w:val="2"/>
      <w:sz w:val="28"/>
      <w:szCs w:val="28"/>
      <w:lang w:val="en-US" w:eastAsia="zh-CN" w:bidi="ar-SA"/>
    </w:rPr>
  </w:style>
  <w:style w:type="character" w:customStyle="1" w:styleId="777">
    <w:name w:val="Char3 Char4"/>
    <w:semiHidden/>
    <w:qFormat/>
    <w:uiPriority w:val="0"/>
    <w:rPr>
      <w:rFonts w:hint="eastAsia" w:ascii="宋体" w:hAnsi="宋体" w:eastAsia="宋体"/>
      <w:kern w:val="2"/>
      <w:sz w:val="18"/>
      <w:szCs w:val="18"/>
      <w:lang w:val="en-US" w:eastAsia="zh-CN" w:bidi="ar-SA"/>
    </w:rPr>
  </w:style>
  <w:style w:type="character" w:customStyle="1" w:styleId="778">
    <w:name w:val="Char2 Char5"/>
    <w:qFormat/>
    <w:uiPriority w:val="0"/>
    <w:rPr>
      <w:rFonts w:hint="eastAsia" w:ascii="宋体" w:hAnsi="宋体" w:eastAsia="宋体"/>
      <w:kern w:val="2"/>
      <w:sz w:val="18"/>
      <w:szCs w:val="18"/>
      <w:lang w:val="en-US" w:eastAsia="zh-CN" w:bidi="ar-SA"/>
    </w:rPr>
  </w:style>
  <w:style w:type="character" w:customStyle="1" w:styleId="779">
    <w:name w:val="emailstyle544"/>
    <w:qFormat/>
    <w:uiPriority w:val="0"/>
    <w:rPr>
      <w:rFonts w:hint="default" w:ascii="Arial" w:hAnsi="Arial" w:eastAsia="宋体" w:cs="Arial"/>
      <w:color w:val="000080"/>
      <w:sz w:val="18"/>
      <w:szCs w:val="20"/>
    </w:rPr>
  </w:style>
  <w:style w:type="character" w:customStyle="1" w:styleId="780">
    <w:name w:val="样式 报告 + Times New Roman Char Char Char Char Char Char Char"/>
    <w:link w:val="781"/>
    <w:qFormat/>
    <w:uiPriority w:val="0"/>
    <w:rPr>
      <w:rFonts w:ascii="Calibri" w:hAnsi="Calibri" w:eastAsia="宋体" w:cs="Times New Roman"/>
      <w:kern w:val="0"/>
      <w:sz w:val="28"/>
      <w:szCs w:val="28"/>
      <w:lang w:val="zh-CN" w:eastAsia="zh-CN"/>
    </w:rPr>
  </w:style>
  <w:style w:type="paragraph" w:customStyle="1" w:styleId="781">
    <w:name w:val="样式 报告 + Times New Roman Char Char Char Char Char Char"/>
    <w:basedOn w:val="251"/>
    <w:link w:val="780"/>
    <w:qFormat/>
    <w:uiPriority w:val="0"/>
    <w:pPr>
      <w:spacing w:line="500" w:lineRule="exact"/>
    </w:pPr>
    <w:rPr>
      <w:rFonts w:ascii="Calibri" w:hAnsi="Calibri"/>
      <w:sz w:val="28"/>
      <w:szCs w:val="28"/>
      <w:lang w:val="zh-CN"/>
    </w:rPr>
  </w:style>
  <w:style w:type="character" w:customStyle="1" w:styleId="782">
    <w:name w:val="正文格式 Char10"/>
    <w:qFormat/>
    <w:uiPriority w:val="99"/>
    <w:rPr>
      <w:rFonts w:ascii="宋体" w:hAnsi="宋体" w:eastAsia="宋体"/>
      <w:kern w:val="2"/>
      <w:sz w:val="24"/>
      <w:szCs w:val="24"/>
      <w:lang w:val="en-US" w:eastAsia="zh-CN" w:bidi="ar-SA"/>
    </w:rPr>
  </w:style>
  <w:style w:type="character" w:customStyle="1" w:styleId="783">
    <w:name w:val="环正文 Char1"/>
    <w:link w:val="784"/>
    <w:qFormat/>
    <w:uiPriority w:val="0"/>
    <w:rPr>
      <w:rFonts w:ascii="Times New Roman" w:hAnsi="Times New Roman" w:eastAsia="仿宋_GB2312" w:cs="Times New Roman"/>
      <w:kern w:val="0"/>
      <w:sz w:val="24"/>
      <w:szCs w:val="24"/>
      <w:lang w:val="zh-CN" w:eastAsia="zh-CN"/>
    </w:rPr>
  </w:style>
  <w:style w:type="paragraph" w:customStyle="1" w:styleId="784">
    <w:name w:val="环正文"/>
    <w:basedOn w:val="1"/>
    <w:link w:val="783"/>
    <w:qFormat/>
    <w:uiPriority w:val="0"/>
    <w:pPr>
      <w:widowControl/>
      <w:suppressAutoHyphens/>
      <w:spacing w:line="460" w:lineRule="exact"/>
      <w:ind w:firstLine="480"/>
      <w:jc w:val="center"/>
      <w:textAlignment w:val="baseline"/>
    </w:pPr>
    <w:rPr>
      <w:rFonts w:eastAsia="仿宋_GB2312"/>
      <w:kern w:val="0"/>
      <w:lang w:val="zh-CN"/>
    </w:rPr>
  </w:style>
  <w:style w:type="character" w:customStyle="1" w:styleId="785">
    <w:name w:val="环表头 Char"/>
    <w:link w:val="786"/>
    <w:qFormat/>
    <w:uiPriority w:val="0"/>
    <w:rPr>
      <w:rFonts w:ascii="Times New Roman" w:hAnsi="Times New Roman" w:eastAsia="仿宋_GB2312" w:cs="Times New Roman"/>
      <w:kern w:val="0"/>
      <w:sz w:val="24"/>
      <w:szCs w:val="24"/>
    </w:rPr>
  </w:style>
  <w:style w:type="paragraph" w:customStyle="1" w:styleId="786">
    <w:name w:val="环表头"/>
    <w:basedOn w:val="1"/>
    <w:next w:val="1"/>
    <w:link w:val="785"/>
    <w:qFormat/>
    <w:uiPriority w:val="0"/>
    <w:pPr>
      <w:widowControl/>
      <w:suppressAutoHyphens/>
      <w:spacing w:line="240" w:lineRule="auto"/>
      <w:jc w:val="center"/>
      <w:textAlignment w:val="baseline"/>
    </w:pPr>
    <w:rPr>
      <w:rFonts w:eastAsia="仿宋_GB2312"/>
      <w:kern w:val="0"/>
    </w:rPr>
  </w:style>
  <w:style w:type="character" w:customStyle="1" w:styleId="787">
    <w:name w:val="环标3 Char"/>
    <w:link w:val="788"/>
    <w:qFormat/>
    <w:uiPriority w:val="0"/>
    <w:rPr>
      <w:rFonts w:ascii="宋体" w:hAnsi="宋体" w:eastAsia="宋体" w:cs="Times New Roman"/>
      <w:bCs/>
      <w:sz w:val="28"/>
      <w:szCs w:val="28"/>
      <w:lang w:val="zh-CN" w:eastAsia="zh-CN"/>
    </w:rPr>
  </w:style>
  <w:style w:type="paragraph" w:customStyle="1" w:styleId="788">
    <w:name w:val="环标3"/>
    <w:basedOn w:val="5"/>
    <w:link w:val="787"/>
    <w:qFormat/>
    <w:uiPriority w:val="0"/>
    <w:pPr>
      <w:keepNext w:val="0"/>
      <w:keepLines w:val="0"/>
      <w:spacing w:before="0" w:after="0" w:line="500" w:lineRule="atLeast"/>
      <w:jc w:val="left"/>
      <w:textAlignment w:val="baseline"/>
    </w:pPr>
    <w:rPr>
      <w:rFonts w:ascii="宋体" w:hAnsi="宋体"/>
      <w:b w:val="0"/>
      <w:sz w:val="28"/>
      <w:szCs w:val="28"/>
      <w:lang w:val="zh-CN"/>
    </w:rPr>
  </w:style>
  <w:style w:type="character" w:customStyle="1" w:styleId="789">
    <w:name w:val="正文首行缩进 Char3"/>
    <w:qFormat/>
    <w:uiPriority w:val="99"/>
    <w:rPr>
      <w:rFonts w:ascii="Times New Roman" w:hAnsi="Times New Roman" w:eastAsia="宋体" w:cs="Times New Roman"/>
      <w:kern w:val="2"/>
      <w:sz w:val="21"/>
      <w:szCs w:val="24"/>
      <w:lang w:val="en-US" w:eastAsia="zh-CN" w:bidi="ar-SA"/>
    </w:rPr>
  </w:style>
  <w:style w:type="character" w:customStyle="1" w:styleId="790">
    <w:name w:val="正文格式 Char9"/>
    <w:qFormat/>
    <w:uiPriority w:val="99"/>
    <w:rPr>
      <w:rFonts w:ascii="宋体" w:hAnsi="宋体" w:eastAsia="宋体"/>
      <w:kern w:val="2"/>
      <w:sz w:val="24"/>
      <w:szCs w:val="24"/>
      <w:lang w:val="en-US" w:eastAsia="zh-CN" w:bidi="ar-SA"/>
    </w:rPr>
  </w:style>
  <w:style w:type="character" w:customStyle="1" w:styleId="791">
    <w:name w:val="正文文本缩进 3 Char3"/>
    <w:qFormat/>
    <w:uiPriority w:val="99"/>
    <w:rPr>
      <w:rFonts w:eastAsia="宋体"/>
      <w:kern w:val="2"/>
      <w:sz w:val="16"/>
      <w:szCs w:val="16"/>
      <w:lang w:val="en-US" w:eastAsia="zh-CN" w:bidi="ar-SA"/>
    </w:rPr>
  </w:style>
  <w:style w:type="character" w:customStyle="1" w:styleId="792">
    <w:name w:val="小四正文 Char"/>
    <w:qFormat/>
    <w:uiPriority w:val="0"/>
    <w:rPr>
      <w:rFonts w:eastAsia="仿宋_GB2312"/>
      <w:kern w:val="2"/>
      <w:sz w:val="30"/>
      <w:szCs w:val="24"/>
      <w:lang w:val="en-US" w:eastAsia="zh-CN" w:bidi="ar-SA"/>
    </w:rPr>
  </w:style>
  <w:style w:type="character" w:customStyle="1" w:styleId="793">
    <w:name w:val="text-161"/>
    <w:qFormat/>
    <w:uiPriority w:val="0"/>
    <w:rPr>
      <w:b/>
      <w:bCs/>
      <w:color w:val="FE6B09"/>
      <w:sz w:val="38"/>
      <w:szCs w:val="38"/>
    </w:rPr>
  </w:style>
  <w:style w:type="character" w:customStyle="1" w:styleId="794">
    <w:name w:val="正文首行缩进 2 + Times New Roman Char Char"/>
    <w:qFormat/>
    <w:uiPriority w:val="0"/>
    <w:rPr>
      <w:rFonts w:eastAsia="宋体"/>
      <w:kern w:val="2"/>
      <w:sz w:val="24"/>
      <w:szCs w:val="24"/>
      <w:lang w:val="en-US" w:eastAsia="zh-CN" w:bidi="ar-SA"/>
    </w:rPr>
  </w:style>
  <w:style w:type="character" w:customStyle="1" w:styleId="795">
    <w:name w:val="表格正文 Char"/>
    <w:link w:val="796"/>
    <w:qFormat/>
    <w:uiPriority w:val="0"/>
    <w:rPr>
      <w:rFonts w:ascii="Times New Roman" w:hAnsi="Times New Roman" w:eastAsia="宋体" w:cs="Times New Roman"/>
      <w:bCs/>
      <w:szCs w:val="20"/>
      <w:lang w:val="zh-CN" w:eastAsia="zh-CN"/>
    </w:rPr>
  </w:style>
  <w:style w:type="paragraph" w:customStyle="1" w:styleId="796">
    <w:name w:val="表格正文"/>
    <w:basedOn w:val="1"/>
    <w:link w:val="795"/>
    <w:qFormat/>
    <w:uiPriority w:val="0"/>
    <w:pPr>
      <w:spacing w:line="340" w:lineRule="exact"/>
      <w:jc w:val="center"/>
    </w:pPr>
    <w:rPr>
      <w:bCs/>
      <w:sz w:val="21"/>
      <w:szCs w:val="20"/>
      <w:lang w:val="zh-CN"/>
    </w:rPr>
  </w:style>
  <w:style w:type="character" w:customStyle="1" w:styleId="797">
    <w:name w:val="正文粗 Char1"/>
    <w:link w:val="798"/>
    <w:qFormat/>
    <w:uiPriority w:val="0"/>
    <w:rPr>
      <w:rFonts w:ascii="Calibri" w:hAnsi="Calibri" w:eastAsia="宋体" w:cs="Times New Roman"/>
      <w:b/>
      <w:sz w:val="24"/>
      <w:szCs w:val="24"/>
      <w:lang w:val="zh-CN" w:eastAsia="zh-CN"/>
    </w:rPr>
  </w:style>
  <w:style w:type="paragraph" w:customStyle="1" w:styleId="798">
    <w:name w:val="正文粗"/>
    <w:basedOn w:val="1"/>
    <w:link w:val="797"/>
    <w:qFormat/>
    <w:uiPriority w:val="0"/>
    <w:pPr>
      <w:spacing w:line="336" w:lineRule="auto"/>
      <w:ind w:firstLine="480"/>
      <w:jc w:val="left"/>
      <w:textAlignment w:val="baseline"/>
    </w:pPr>
    <w:rPr>
      <w:rFonts w:ascii="Calibri" w:hAnsi="Calibri"/>
      <w:b/>
      <w:lang w:val="zh-CN"/>
    </w:rPr>
  </w:style>
  <w:style w:type="character" w:customStyle="1" w:styleId="799">
    <w:name w:val="我的正文 Char"/>
    <w:link w:val="800"/>
    <w:qFormat/>
    <w:uiPriority w:val="99"/>
    <w:rPr>
      <w:rFonts w:ascii="Calibri" w:hAnsi="Calibri" w:eastAsia="宋体" w:cs="Times New Roman"/>
      <w:color w:val="000000"/>
      <w:kern w:val="28"/>
      <w:sz w:val="24"/>
      <w:szCs w:val="24"/>
      <w:lang w:val="zh-CN" w:eastAsia="zh-CN"/>
    </w:rPr>
  </w:style>
  <w:style w:type="paragraph" w:customStyle="1" w:styleId="800">
    <w:name w:val="我的正文"/>
    <w:basedOn w:val="1"/>
    <w:link w:val="799"/>
    <w:qFormat/>
    <w:uiPriority w:val="99"/>
    <w:rPr>
      <w:rFonts w:ascii="Calibri" w:hAnsi="Calibri"/>
      <w:color w:val="000000"/>
      <w:kern w:val="28"/>
      <w:lang w:val="zh-CN"/>
    </w:rPr>
  </w:style>
  <w:style w:type="character" w:customStyle="1" w:styleId="801">
    <w:name w:val="俺的正文 Char"/>
    <w:link w:val="802"/>
    <w:qFormat/>
    <w:uiPriority w:val="0"/>
    <w:rPr>
      <w:rFonts w:ascii="Calibri" w:hAnsi="Calibri" w:eastAsia="宋体" w:cs="Times New Roman"/>
      <w:sz w:val="24"/>
      <w:szCs w:val="24"/>
      <w:lang w:val="zh-CN" w:eastAsia="zh-CN"/>
    </w:rPr>
  </w:style>
  <w:style w:type="paragraph" w:customStyle="1" w:styleId="802">
    <w:name w:val="俺的正文"/>
    <w:basedOn w:val="1"/>
    <w:link w:val="801"/>
    <w:qFormat/>
    <w:uiPriority w:val="0"/>
    <w:pPr>
      <w:pBdr>
        <w:top w:val="single" w:color="auto" w:sz="4" w:space="1"/>
      </w:pBdr>
      <w:spacing w:line="460" w:lineRule="exact"/>
      <w:ind w:firstLine="200"/>
    </w:pPr>
    <w:rPr>
      <w:rFonts w:ascii="Calibri" w:hAnsi="Calibri"/>
      <w:lang w:val="zh-CN"/>
    </w:rPr>
  </w:style>
  <w:style w:type="character" w:customStyle="1" w:styleId="803">
    <w:name w:val="样式 宋体 黑色 加宽量  1 磅"/>
    <w:qFormat/>
    <w:uiPriority w:val="0"/>
    <w:rPr>
      <w:rFonts w:ascii="宋体" w:hAnsi="宋体"/>
      <w:color w:val="000000"/>
      <w:spacing w:val="0"/>
    </w:rPr>
  </w:style>
  <w:style w:type="character" w:customStyle="1" w:styleId="804">
    <w:name w:val="正文粗 Char"/>
    <w:qFormat/>
    <w:uiPriority w:val="0"/>
    <w:rPr>
      <w:rFonts w:eastAsia="宋体"/>
      <w:b/>
      <w:sz w:val="24"/>
      <w:lang w:val="en-US" w:eastAsia="zh-CN" w:bidi="ar-SA"/>
    </w:rPr>
  </w:style>
  <w:style w:type="character" w:customStyle="1" w:styleId="805">
    <w:name w:val="标题 3 Char2 Char"/>
    <w:qFormat/>
    <w:uiPriority w:val="0"/>
    <w:rPr>
      <w:rFonts w:eastAsia="黑体"/>
      <w:b/>
      <w:bCs/>
      <w:snapToGrid w:val="0"/>
      <w:sz w:val="24"/>
      <w:szCs w:val="32"/>
      <w:lang w:val="en-US" w:eastAsia="zh-CN" w:bidi="ar-SA"/>
    </w:rPr>
  </w:style>
  <w:style w:type="character" w:customStyle="1" w:styleId="806">
    <w:name w:val="unnamed21"/>
    <w:qFormat/>
    <w:uiPriority w:val="0"/>
    <w:rPr>
      <w:color w:val="000000"/>
      <w:sz w:val="21"/>
      <w:szCs w:val="21"/>
    </w:rPr>
  </w:style>
  <w:style w:type="character" w:customStyle="1" w:styleId="807">
    <w:name w:val="引用文章 Char"/>
    <w:qFormat/>
    <w:uiPriority w:val="0"/>
    <w:rPr>
      <w:rFonts w:eastAsia="楷体_GB2312" w:cs="宋体"/>
      <w:kern w:val="2"/>
      <w:sz w:val="24"/>
      <w:lang w:val="en-US" w:eastAsia="zh-CN" w:bidi="ar-SA"/>
    </w:rPr>
  </w:style>
  <w:style w:type="character" w:customStyle="1" w:styleId="808">
    <w:name w:val="content1"/>
    <w:qFormat/>
    <w:uiPriority w:val="0"/>
    <w:rPr>
      <w:sz w:val="21"/>
      <w:szCs w:val="21"/>
    </w:rPr>
  </w:style>
  <w:style w:type="character" w:customStyle="1" w:styleId="809">
    <w:name w:val="正文修改 Char111"/>
    <w:qFormat/>
    <w:uiPriority w:val="99"/>
    <w:rPr>
      <w:rFonts w:ascii="宋体" w:hAnsi="宋体"/>
      <w:color w:val="000000"/>
      <w:kern w:val="2"/>
      <w:sz w:val="28"/>
      <w:szCs w:val="28"/>
    </w:rPr>
  </w:style>
  <w:style w:type="character" w:customStyle="1" w:styleId="810">
    <w:name w:val="正文修改 Char123"/>
    <w:qFormat/>
    <w:uiPriority w:val="99"/>
    <w:rPr>
      <w:rFonts w:ascii="宋体" w:hAnsi="宋体"/>
      <w:color w:val="000000"/>
      <w:kern w:val="2"/>
      <w:sz w:val="28"/>
      <w:szCs w:val="28"/>
    </w:rPr>
  </w:style>
  <w:style w:type="character" w:customStyle="1" w:styleId="811">
    <w:name w:val="WW8Num44z0"/>
    <w:qFormat/>
    <w:uiPriority w:val="0"/>
    <w:rPr>
      <w:rFonts w:ascii="Wingdings" w:hAnsi="Wingdings"/>
    </w:rPr>
  </w:style>
  <w:style w:type="character" w:customStyle="1" w:styleId="812">
    <w:name w:val="四号 正文 Char1"/>
    <w:link w:val="813"/>
    <w:qFormat/>
    <w:uiPriority w:val="0"/>
    <w:rPr>
      <w:rFonts w:ascii="Calibri" w:hAnsi="Calibri" w:eastAsia="宋体" w:cs="Times New Roman"/>
      <w:spacing w:val="6"/>
      <w:sz w:val="28"/>
      <w:szCs w:val="24"/>
      <w:lang w:val="zh-CN" w:eastAsia="zh-CN"/>
    </w:rPr>
  </w:style>
  <w:style w:type="paragraph" w:customStyle="1" w:styleId="813">
    <w:name w:val="四号 正文"/>
    <w:basedOn w:val="1"/>
    <w:link w:val="812"/>
    <w:qFormat/>
    <w:uiPriority w:val="0"/>
    <w:pPr>
      <w:spacing w:line="240" w:lineRule="auto"/>
      <w:ind w:firstLine="573"/>
    </w:pPr>
    <w:rPr>
      <w:rFonts w:ascii="Calibri" w:hAnsi="Calibri"/>
      <w:spacing w:val="6"/>
      <w:sz w:val="28"/>
      <w:lang w:val="zh-CN"/>
    </w:rPr>
  </w:style>
  <w:style w:type="character" w:customStyle="1" w:styleId="814">
    <w:name w:val="表格编号 Char"/>
    <w:link w:val="815"/>
    <w:qFormat/>
    <w:uiPriority w:val="0"/>
    <w:rPr>
      <w:rFonts w:ascii="Times New Roman" w:hAnsi="Times New Roman" w:eastAsia="宋体" w:cs="Times New Roman"/>
      <w:sz w:val="24"/>
      <w:szCs w:val="24"/>
      <w:lang w:val="zh-CN" w:eastAsia="zh-CN"/>
    </w:rPr>
  </w:style>
  <w:style w:type="paragraph" w:customStyle="1" w:styleId="815">
    <w:name w:val="表格编号"/>
    <w:basedOn w:val="1"/>
    <w:next w:val="1"/>
    <w:link w:val="814"/>
    <w:qFormat/>
    <w:uiPriority w:val="0"/>
    <w:pPr>
      <w:tabs>
        <w:tab w:val="left" w:pos="720"/>
      </w:tabs>
      <w:spacing w:before="300" w:after="200" w:line="240" w:lineRule="auto"/>
      <w:jc w:val="center"/>
    </w:pPr>
    <w:rPr>
      <w:lang w:val="zh-CN"/>
    </w:rPr>
  </w:style>
  <w:style w:type="character" w:customStyle="1" w:styleId="816">
    <w:name w:val="表头一 Char"/>
    <w:link w:val="817"/>
    <w:qFormat/>
    <w:uiPriority w:val="0"/>
    <w:rPr>
      <w:rFonts w:ascii="Calibri" w:hAnsi="Calibri" w:eastAsia="宋体" w:cs="Times New Roman"/>
      <w:b/>
      <w:sz w:val="28"/>
      <w:szCs w:val="24"/>
      <w:lang w:val="zh-CN" w:eastAsia="zh-CN"/>
    </w:rPr>
  </w:style>
  <w:style w:type="paragraph" w:customStyle="1" w:styleId="817">
    <w:name w:val="表头一"/>
    <w:basedOn w:val="1"/>
    <w:next w:val="20"/>
    <w:link w:val="816"/>
    <w:qFormat/>
    <w:uiPriority w:val="0"/>
    <w:pPr>
      <w:spacing w:line="240" w:lineRule="auto"/>
      <w:jc w:val="center"/>
    </w:pPr>
    <w:rPr>
      <w:rFonts w:ascii="Calibri" w:hAnsi="Calibri"/>
      <w:b/>
      <w:sz w:val="28"/>
      <w:lang w:val="zh-CN"/>
    </w:rPr>
  </w:style>
  <w:style w:type="character" w:customStyle="1" w:styleId="818">
    <w:name w:val="标题 3 Char Char3"/>
    <w:qFormat/>
    <w:uiPriority w:val="0"/>
    <w:rPr>
      <w:rFonts w:eastAsia="黑体"/>
      <w:b/>
      <w:bCs/>
      <w:snapToGrid w:val="0"/>
      <w:kern w:val="2"/>
      <w:sz w:val="24"/>
      <w:szCs w:val="32"/>
      <w:lang w:val="en-US" w:eastAsia="zh-CN" w:bidi="ar-SA"/>
    </w:rPr>
  </w:style>
  <w:style w:type="character" w:customStyle="1" w:styleId="819">
    <w:name w:val="条标题1.1.1 Char Char Char Char"/>
    <w:qFormat/>
    <w:uiPriority w:val="0"/>
    <w:rPr>
      <w:rFonts w:eastAsia="宋体"/>
      <w:b/>
      <w:bCs/>
      <w:kern w:val="2"/>
      <w:sz w:val="24"/>
      <w:szCs w:val="24"/>
      <w:lang w:val="en-US" w:eastAsia="zh-CN" w:bidi="ar-SA"/>
    </w:rPr>
  </w:style>
  <w:style w:type="character" w:customStyle="1" w:styleId="820">
    <w:name w:val="标题 2 Char Char2"/>
    <w:qFormat/>
    <w:uiPriority w:val="99"/>
    <w:rPr>
      <w:rFonts w:ascii="仿宋_GB2312" w:hAnsi="Arial" w:eastAsia="仿宋_GB2312"/>
      <w:b/>
      <w:bCs/>
      <w:kern w:val="2"/>
      <w:sz w:val="28"/>
      <w:szCs w:val="32"/>
      <w:lang w:val="en-US" w:eastAsia="zh-CN" w:bidi="ar-SA"/>
    </w:rPr>
  </w:style>
  <w:style w:type="character" w:customStyle="1" w:styleId="821">
    <w:name w:val="fs"/>
    <w:basedOn w:val="133"/>
    <w:qFormat/>
    <w:uiPriority w:val="0"/>
  </w:style>
  <w:style w:type="character" w:customStyle="1" w:styleId="822">
    <w:name w:val="pccs1"/>
    <w:qFormat/>
    <w:uiPriority w:val="0"/>
    <w:rPr>
      <w:sz w:val="18"/>
    </w:rPr>
  </w:style>
  <w:style w:type="character" w:customStyle="1" w:styleId="823">
    <w:name w:val="题注 Char5"/>
    <w:qFormat/>
    <w:uiPriority w:val="99"/>
    <w:rPr>
      <w:rFonts w:ascii="黑体" w:hAnsi="Arial" w:eastAsia="黑体" w:cs="Arial"/>
      <w:b/>
      <w:kern w:val="2"/>
      <w:sz w:val="24"/>
      <w:szCs w:val="24"/>
      <w:lang w:val="en-US" w:eastAsia="zh-CN" w:bidi="ar-SA"/>
    </w:rPr>
  </w:style>
  <w:style w:type="character" w:customStyle="1" w:styleId="824">
    <w:name w:val="表题 Char"/>
    <w:link w:val="825"/>
    <w:qFormat/>
    <w:uiPriority w:val="0"/>
    <w:rPr>
      <w:rFonts w:ascii="Times New Roman" w:hAnsi="Times New Roman" w:eastAsia="黑体" w:cs="Times New Roman"/>
      <w:sz w:val="28"/>
      <w:szCs w:val="24"/>
      <w:lang w:val="zh-CN" w:eastAsia="zh-CN"/>
    </w:rPr>
  </w:style>
  <w:style w:type="paragraph" w:customStyle="1" w:styleId="825">
    <w:name w:val="表题"/>
    <w:basedOn w:val="65"/>
    <w:link w:val="824"/>
    <w:qFormat/>
    <w:uiPriority w:val="0"/>
    <w:pPr>
      <w:spacing w:before="156" w:beforeLines="50" w:line="480" w:lineRule="exact"/>
    </w:pPr>
    <w:rPr>
      <w:rFonts w:ascii="Times New Roman" w:eastAsia="黑体"/>
      <w:sz w:val="28"/>
      <w:szCs w:val="24"/>
      <w:lang w:val="zh-CN"/>
    </w:rPr>
  </w:style>
  <w:style w:type="character" w:customStyle="1" w:styleId="826">
    <w:name w:val="def3"/>
    <w:qFormat/>
    <w:uiPriority w:val="0"/>
  </w:style>
  <w:style w:type="character" w:customStyle="1" w:styleId="827">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828">
    <w:name w:val="表格题注 Char"/>
    <w:qFormat/>
    <w:uiPriority w:val="0"/>
    <w:rPr>
      <w:rFonts w:ascii="宋体" w:hAnsi="宋体" w:eastAsia="宋体" w:cs="宋体"/>
      <w:snapToGrid w:val="0"/>
      <w:kern w:val="24"/>
      <w:sz w:val="24"/>
      <w:szCs w:val="24"/>
      <w:lang w:val="en-US" w:eastAsia="zh-CN" w:bidi="ar-SA"/>
    </w:rPr>
  </w:style>
  <w:style w:type="character" w:customStyle="1" w:styleId="829">
    <w:name w:val="环评正文 Char"/>
    <w:link w:val="830"/>
    <w:qFormat/>
    <w:uiPriority w:val="0"/>
    <w:rPr>
      <w:rFonts w:ascii="仿宋_GB2312" w:eastAsia="仿宋_GB2312"/>
      <w:sz w:val="28"/>
      <w:szCs w:val="20"/>
      <w:lang w:val="zh-CN" w:eastAsia="zh-CN"/>
    </w:rPr>
  </w:style>
  <w:style w:type="paragraph" w:customStyle="1" w:styleId="830">
    <w:name w:val="环评正文"/>
    <w:basedOn w:val="50"/>
    <w:link w:val="829"/>
    <w:qFormat/>
    <w:uiPriority w:val="0"/>
    <w:pPr>
      <w:ind w:left="0" w:leftChars="0" w:firstLine="560"/>
    </w:pPr>
    <w:rPr>
      <w:rFonts w:ascii="仿宋_GB2312" w:hAnsi="Calibri" w:eastAsia="仿宋_GB2312"/>
      <w:sz w:val="28"/>
      <w:szCs w:val="20"/>
      <w:lang w:val="zh-CN"/>
    </w:rPr>
  </w:style>
  <w:style w:type="character" w:customStyle="1" w:styleId="831">
    <w:name w:val="表格内字体 Char"/>
    <w:link w:val="832"/>
    <w:qFormat/>
    <w:uiPriority w:val="0"/>
    <w:rPr>
      <w:rFonts w:ascii="宋体" w:hAnsi="宋体" w:eastAsia="宋体" w:cs="Times New Roman"/>
      <w:szCs w:val="21"/>
      <w:lang w:val="zh-CN" w:eastAsia="zh-CN"/>
    </w:rPr>
  </w:style>
  <w:style w:type="paragraph" w:customStyle="1" w:styleId="832">
    <w:name w:val="表格内字体"/>
    <w:basedOn w:val="1"/>
    <w:next w:val="75"/>
    <w:link w:val="831"/>
    <w:qFormat/>
    <w:uiPriority w:val="0"/>
    <w:pPr>
      <w:spacing w:line="240" w:lineRule="auto"/>
      <w:jc w:val="center"/>
    </w:pPr>
    <w:rPr>
      <w:rFonts w:ascii="宋体" w:hAnsi="宋体"/>
      <w:sz w:val="21"/>
      <w:szCs w:val="21"/>
      <w:lang w:val="zh-CN"/>
    </w:rPr>
  </w:style>
  <w:style w:type="character" w:customStyle="1" w:styleId="833">
    <w:name w:val="重点引导"/>
    <w:qFormat/>
    <w:uiPriority w:val="0"/>
    <w:rPr>
      <w:b/>
      <w:i/>
    </w:rPr>
  </w:style>
  <w:style w:type="character" w:customStyle="1" w:styleId="834">
    <w:name w:val="重点"/>
    <w:qFormat/>
    <w:uiPriority w:val="0"/>
    <w:rPr>
      <w:i/>
    </w:rPr>
  </w:style>
  <w:style w:type="character" w:customStyle="1" w:styleId="835">
    <w:name w:val="标准正文 Char Char Char"/>
    <w:link w:val="836"/>
    <w:qFormat/>
    <w:uiPriority w:val="0"/>
    <w:rPr>
      <w:rFonts w:ascii="Calibri" w:hAnsi="Calibri" w:eastAsia="宋体" w:cs="Times New Roman"/>
      <w:sz w:val="28"/>
      <w:szCs w:val="28"/>
      <w:lang w:val="zh-CN" w:eastAsia="zh-CN"/>
    </w:rPr>
  </w:style>
  <w:style w:type="paragraph" w:customStyle="1" w:styleId="836">
    <w:name w:val="标准正文 Char Char"/>
    <w:basedOn w:val="1"/>
    <w:link w:val="835"/>
    <w:qFormat/>
    <w:uiPriority w:val="0"/>
    <w:pPr>
      <w:ind w:firstLine="200"/>
      <w:jc w:val="left"/>
    </w:pPr>
    <w:rPr>
      <w:rFonts w:ascii="Calibri" w:hAnsi="Calibri"/>
      <w:sz w:val="28"/>
      <w:szCs w:val="28"/>
      <w:lang w:val="zh-CN"/>
    </w:rPr>
  </w:style>
  <w:style w:type="character" w:customStyle="1" w:styleId="837">
    <w:name w:val="正文缩进 Ch Char"/>
    <w:qFormat/>
    <w:uiPriority w:val="0"/>
    <w:rPr>
      <w:rFonts w:eastAsia="宋体"/>
      <w:kern w:val="2"/>
      <w:sz w:val="21"/>
      <w:lang w:val="en-US" w:eastAsia="zh-CN" w:bidi="ar-SA"/>
    </w:rPr>
  </w:style>
  <w:style w:type="character" w:customStyle="1" w:styleId="838">
    <w:name w:val="样式 标题 3 + (西文) Times New Roman (中文) 宋体 Char"/>
    <w:link w:val="839"/>
    <w:qFormat/>
    <w:uiPriority w:val="0"/>
    <w:rPr>
      <w:rFonts w:ascii="宋体" w:hAnsi="Courier New" w:eastAsia="宋体" w:cs="Times New Roman"/>
      <w:b/>
      <w:bCs/>
      <w:sz w:val="28"/>
      <w:szCs w:val="24"/>
      <w:lang w:val="zh-CN" w:eastAsia="zh-CN"/>
    </w:rPr>
  </w:style>
  <w:style w:type="paragraph" w:customStyle="1" w:styleId="839">
    <w:name w:val="样式 标题 3 + (西文) Times New Roman (中文) 宋体"/>
    <w:basedOn w:val="5"/>
    <w:link w:val="838"/>
    <w:qFormat/>
    <w:uiPriority w:val="0"/>
    <w:pPr>
      <w:keepNext w:val="0"/>
      <w:keepLines w:val="0"/>
      <w:tabs>
        <w:tab w:val="left" w:pos="1560"/>
        <w:tab w:val="left" w:pos="1740"/>
      </w:tabs>
      <w:spacing w:before="260" w:beforeLines="20" w:after="260" w:afterLines="20" w:line="560" w:lineRule="atLeast"/>
    </w:pPr>
    <w:rPr>
      <w:rFonts w:ascii="宋体" w:hAnsi="Courier New"/>
      <w:sz w:val="28"/>
      <w:szCs w:val="24"/>
      <w:lang w:val="zh-CN"/>
    </w:rPr>
  </w:style>
  <w:style w:type="character" w:customStyle="1" w:styleId="840">
    <w:name w:val="报告表正文 Char"/>
    <w:link w:val="841"/>
    <w:qFormat/>
    <w:uiPriority w:val="0"/>
    <w:rPr>
      <w:rFonts w:ascii="Calibri" w:hAnsi="Calibri" w:eastAsia="宋体" w:cs="Times New Roman"/>
      <w:kern w:val="0"/>
      <w:sz w:val="24"/>
      <w:szCs w:val="20"/>
      <w:lang w:val="zh-CN" w:eastAsia="zh-CN"/>
    </w:rPr>
  </w:style>
  <w:style w:type="paragraph" w:customStyle="1" w:styleId="841">
    <w:name w:val="报告表正文"/>
    <w:basedOn w:val="1"/>
    <w:link w:val="840"/>
    <w:qFormat/>
    <w:uiPriority w:val="0"/>
    <w:pPr>
      <w:spacing w:line="312" w:lineRule="auto"/>
      <w:ind w:left="113" w:right="113" w:firstLine="482"/>
      <w:textAlignment w:val="baseline"/>
    </w:pPr>
    <w:rPr>
      <w:rFonts w:ascii="Calibri" w:hAnsi="Calibri"/>
      <w:kern w:val="0"/>
      <w:szCs w:val="20"/>
      <w:lang w:val="zh-CN"/>
    </w:rPr>
  </w:style>
  <w:style w:type="character" w:customStyle="1" w:styleId="842">
    <w:name w:val="正文首行缩进 Char Char Char Char Char Char Char"/>
    <w:qFormat/>
    <w:uiPriority w:val="0"/>
    <w:rPr>
      <w:rFonts w:eastAsia="宋体"/>
      <w:kern w:val="2"/>
      <w:sz w:val="21"/>
      <w:szCs w:val="24"/>
      <w:lang w:val="en-US" w:eastAsia="zh-CN" w:bidi="ar-SA"/>
    </w:rPr>
  </w:style>
  <w:style w:type="character" w:customStyle="1" w:styleId="843">
    <w:name w:val="p101"/>
    <w:qFormat/>
    <w:uiPriority w:val="0"/>
    <w:rPr>
      <w:rFonts w:hint="default" w:ascii="Verdana" w:hAnsi="Verdana"/>
      <w:sz w:val="21"/>
      <w:szCs w:val="21"/>
      <w:u w:val="none"/>
    </w:rPr>
  </w:style>
  <w:style w:type="character" w:customStyle="1" w:styleId="844">
    <w:name w:val="stit16_g1"/>
    <w:qFormat/>
    <w:uiPriority w:val="0"/>
    <w:rPr>
      <w:rFonts w:hint="eastAsia" w:ascii="Gulim" w:hAnsi="Gulim" w:eastAsia="Gulim"/>
      <w:color w:val="1425D0"/>
      <w:sz w:val="16"/>
      <w:szCs w:val="16"/>
    </w:rPr>
  </w:style>
  <w:style w:type="character" w:customStyle="1" w:styleId="845">
    <w:name w:val="样式 宋体 四号 加粗"/>
    <w:qFormat/>
    <w:uiPriority w:val="0"/>
    <w:rPr>
      <w:rFonts w:ascii="宋体" w:hAnsi="宋体"/>
      <w:b/>
      <w:bCs/>
      <w:sz w:val="28"/>
    </w:rPr>
  </w:style>
  <w:style w:type="character" w:customStyle="1" w:styleId="846">
    <w:name w:val="样式41"/>
    <w:qFormat/>
    <w:uiPriority w:val="0"/>
    <w:rPr>
      <w:color w:val="313D42"/>
    </w:rPr>
  </w:style>
  <w:style w:type="character" w:customStyle="1" w:styleId="847">
    <w:name w:val="style201"/>
    <w:qFormat/>
    <w:uiPriority w:val="0"/>
    <w:rPr>
      <w:color w:val="000000"/>
      <w:sz w:val="24"/>
      <w:szCs w:val="24"/>
    </w:rPr>
  </w:style>
  <w:style w:type="character" w:customStyle="1" w:styleId="848">
    <w:name w:val="t3"/>
    <w:basedOn w:val="133"/>
    <w:qFormat/>
    <w:uiPriority w:val="0"/>
  </w:style>
  <w:style w:type="character" w:customStyle="1" w:styleId="849">
    <w:name w:val="style21"/>
    <w:qFormat/>
    <w:uiPriority w:val="0"/>
    <w:rPr>
      <w:color w:val="000000"/>
    </w:rPr>
  </w:style>
  <w:style w:type="character" w:customStyle="1" w:styleId="850">
    <w:name w:val="copy2"/>
    <w:qFormat/>
    <w:uiPriority w:val="0"/>
    <w:rPr>
      <w:rFonts w:hint="eastAsia" w:ascii="宋体" w:hAnsi="宋体" w:eastAsia="宋体"/>
      <w:spacing w:val="24"/>
      <w:sz w:val="15"/>
      <w:szCs w:val="15"/>
    </w:rPr>
  </w:style>
  <w:style w:type="character" w:customStyle="1" w:styleId="851">
    <w:name w:val="p15"/>
    <w:basedOn w:val="133"/>
    <w:qFormat/>
    <w:uiPriority w:val="0"/>
  </w:style>
  <w:style w:type="character" w:customStyle="1" w:styleId="852">
    <w:name w:val="info"/>
    <w:basedOn w:val="133"/>
    <w:qFormat/>
    <w:uiPriority w:val="0"/>
  </w:style>
  <w:style w:type="character" w:customStyle="1" w:styleId="853">
    <w:name w:val="样式 报告表格 + 小四 Char"/>
    <w:link w:val="854"/>
    <w:qFormat/>
    <w:uiPriority w:val="0"/>
    <w:rPr>
      <w:rFonts w:ascii="Times New Roman" w:hAnsi="Times New Roman" w:eastAsia="宋体" w:cs="Times New Roman"/>
      <w:kern w:val="0"/>
      <w:szCs w:val="21"/>
      <w:lang w:val="zh-CN" w:eastAsia="zh-CN"/>
    </w:rPr>
  </w:style>
  <w:style w:type="paragraph" w:customStyle="1" w:styleId="854">
    <w:name w:val="样式 报告表格 + 小四"/>
    <w:basedOn w:val="1"/>
    <w:link w:val="853"/>
    <w:qFormat/>
    <w:uiPriority w:val="0"/>
    <w:pPr>
      <w:autoSpaceDE w:val="0"/>
      <w:autoSpaceDN w:val="0"/>
      <w:ind w:firstLine="480"/>
      <w:textAlignment w:val="bottom"/>
    </w:pPr>
    <w:rPr>
      <w:kern w:val="0"/>
      <w:sz w:val="21"/>
      <w:szCs w:val="21"/>
      <w:lang w:val="zh-CN"/>
    </w:rPr>
  </w:style>
  <w:style w:type="character" w:customStyle="1" w:styleId="855">
    <w:name w:val="批注框文本2 Char2"/>
    <w:qFormat/>
    <w:uiPriority w:val="0"/>
    <w:rPr>
      <w:rFonts w:eastAsia="宋体"/>
      <w:kern w:val="2"/>
      <w:sz w:val="18"/>
      <w:szCs w:val="18"/>
      <w:lang w:val="en-US" w:eastAsia="zh-CN" w:bidi="ar-SA"/>
    </w:rPr>
  </w:style>
  <w:style w:type="character" w:customStyle="1" w:styleId="856">
    <w:name w:val="题2 Char"/>
    <w:link w:val="857"/>
    <w:qFormat/>
    <w:uiPriority w:val="0"/>
    <w:rPr>
      <w:rFonts w:ascii="Arial" w:hAnsi="Arial" w:eastAsia="宋体"/>
      <w:b/>
      <w:bCs/>
      <w:sz w:val="30"/>
      <w:szCs w:val="30"/>
      <w:lang w:val="zh-CN" w:eastAsia="zh-CN"/>
    </w:rPr>
  </w:style>
  <w:style w:type="paragraph" w:customStyle="1" w:styleId="857">
    <w:name w:val="题2"/>
    <w:basedOn w:val="84"/>
    <w:link w:val="856"/>
    <w:qFormat/>
    <w:uiPriority w:val="0"/>
    <w:pPr>
      <w:spacing w:before="120" w:after="120"/>
      <w:jc w:val="left"/>
      <w:outlineLvl w:val="1"/>
    </w:pPr>
    <w:rPr>
      <w:rFonts w:ascii="Arial" w:hAnsi="Arial"/>
      <w:b/>
      <w:bCs/>
      <w:sz w:val="30"/>
      <w:szCs w:val="30"/>
      <w:lang w:val="zh-CN"/>
    </w:rPr>
  </w:style>
  <w:style w:type="character" w:customStyle="1" w:styleId="858">
    <w:name w:val="b14-1-no1"/>
    <w:qFormat/>
    <w:uiPriority w:val="0"/>
    <w:rPr>
      <w:rFonts w:hint="default"/>
      <w:color w:val="2E2E2E"/>
      <w:sz w:val="20"/>
      <w:szCs w:val="20"/>
      <w:u w:val="none"/>
    </w:rPr>
  </w:style>
  <w:style w:type="character" w:customStyle="1" w:styleId="859">
    <w:name w:val="title1"/>
    <w:qFormat/>
    <w:uiPriority w:val="0"/>
    <w:rPr>
      <w:b/>
      <w:bCs/>
      <w:color w:val="336699"/>
      <w:sz w:val="24"/>
      <w:szCs w:val="24"/>
    </w:rPr>
  </w:style>
  <w:style w:type="character" w:customStyle="1" w:styleId="860">
    <w:name w:val="m_b21"/>
    <w:qFormat/>
    <w:uiPriority w:val="0"/>
    <w:rPr>
      <w:b/>
      <w:bCs/>
      <w:sz w:val="26"/>
      <w:szCs w:val="26"/>
    </w:rPr>
  </w:style>
  <w:style w:type="character" w:customStyle="1" w:styleId="861">
    <w:name w:val="m_b11"/>
    <w:qFormat/>
    <w:uiPriority w:val="0"/>
    <w:rPr>
      <w:b/>
      <w:bCs/>
      <w:sz w:val="24"/>
      <w:szCs w:val="24"/>
    </w:rPr>
  </w:style>
  <w:style w:type="character" w:customStyle="1" w:styleId="862">
    <w:name w:val="m11"/>
    <w:qFormat/>
    <w:uiPriority w:val="0"/>
    <w:rPr>
      <w:sz w:val="24"/>
      <w:szCs w:val="24"/>
    </w:rPr>
  </w:style>
  <w:style w:type="character" w:customStyle="1" w:styleId="863">
    <w:name w:val="middle1"/>
    <w:qFormat/>
    <w:uiPriority w:val="0"/>
    <w:rPr>
      <w:sz w:val="22"/>
      <w:szCs w:val="22"/>
    </w:rPr>
  </w:style>
  <w:style w:type="character" w:customStyle="1" w:styleId="864">
    <w:name w:val="f241"/>
    <w:qFormat/>
    <w:uiPriority w:val="0"/>
    <w:rPr>
      <w:sz w:val="36"/>
      <w:szCs w:val="36"/>
    </w:rPr>
  </w:style>
  <w:style w:type="character" w:customStyle="1" w:styleId="865">
    <w:name w:val="style131"/>
    <w:qFormat/>
    <w:uiPriority w:val="0"/>
    <w:rPr>
      <w:rFonts w:ascii="宋体" w:hAnsi="宋体" w:eastAsia="楷体_GB2312" w:cs="宋体"/>
      <w:b/>
      <w:bCs/>
      <w:kern w:val="2"/>
      <w:sz w:val="18"/>
      <w:szCs w:val="18"/>
      <w:lang w:val="en-US" w:eastAsia="zh-CN" w:bidi="ar-SA"/>
    </w:rPr>
  </w:style>
  <w:style w:type="character" w:customStyle="1" w:styleId="866">
    <w:name w:val="普通 (Web) Char Char"/>
    <w:qFormat/>
    <w:uiPriority w:val="0"/>
    <w:rPr>
      <w:rFonts w:ascii="宋体" w:hAnsi="宋体" w:eastAsia="宋体"/>
      <w:sz w:val="24"/>
      <w:lang w:val="en-US" w:eastAsia="zh-CN"/>
    </w:rPr>
  </w:style>
  <w:style w:type="character" w:customStyle="1" w:styleId="867">
    <w:name w:val="章节 Char5"/>
    <w:qFormat/>
    <w:uiPriority w:val="0"/>
    <w:rPr>
      <w:rFonts w:ascii="楷体_GB2312" w:eastAsia="楷体_GB2312"/>
      <w:b/>
      <w:kern w:val="44"/>
      <w:sz w:val="30"/>
      <w:szCs w:val="24"/>
      <w:lang w:val="en-US" w:eastAsia="zh-CN" w:bidi="ar-SA"/>
    </w:rPr>
  </w:style>
  <w:style w:type="character" w:customStyle="1" w:styleId="868">
    <w:name w:val="标题1 Char"/>
    <w:qFormat/>
    <w:uiPriority w:val="0"/>
    <w:rPr>
      <w:rFonts w:eastAsia="宋体"/>
      <w:b/>
      <w:bCs/>
      <w:kern w:val="44"/>
      <w:sz w:val="28"/>
      <w:szCs w:val="44"/>
      <w:lang w:val="en-US" w:eastAsia="zh-CN" w:bidi="ar-SA"/>
    </w:rPr>
  </w:style>
  <w:style w:type="character" w:customStyle="1" w:styleId="869">
    <w:name w:val="孙普文字 Char Char"/>
    <w:qFormat/>
    <w:uiPriority w:val="0"/>
    <w:rPr>
      <w:rFonts w:ascii="宋体" w:hAnsi="Courier New" w:eastAsia="宋体"/>
      <w:kern w:val="2"/>
      <w:sz w:val="21"/>
      <w:lang w:val="en-US" w:eastAsia="zh-CN" w:bidi="ar-SA"/>
    </w:rPr>
  </w:style>
  <w:style w:type="character" w:customStyle="1" w:styleId="870">
    <w:name w:val="样式 标题 3 + 华文中宋 小三 段前: 6 磅 段后: 6 磅 行距: 多倍行距 1.4 字行 Char"/>
    <w:qFormat/>
    <w:uiPriority w:val="0"/>
    <w:rPr>
      <w:rFonts w:ascii="楷体_GB2312" w:hAnsi="华文中宋" w:eastAsia="楷体_GB2312" w:cs="宋体"/>
      <w:b/>
      <w:bCs/>
      <w:kern w:val="2"/>
      <w:sz w:val="30"/>
      <w:szCs w:val="32"/>
      <w:lang w:val="en-US" w:eastAsia="zh-CN" w:bidi="ar-SA"/>
    </w:rPr>
  </w:style>
  <w:style w:type="character" w:customStyle="1" w:styleId="871">
    <w:name w:val="表格内容 Char1"/>
    <w:qFormat/>
    <w:uiPriority w:val="99"/>
    <w:rPr>
      <w:rFonts w:eastAsia="宋体"/>
      <w:kern w:val="2"/>
      <w:sz w:val="21"/>
      <w:szCs w:val="21"/>
      <w:lang w:val="en-US" w:eastAsia="zh-CN" w:bidi="ar-SA"/>
    </w:rPr>
  </w:style>
  <w:style w:type="character" w:customStyle="1" w:styleId="872">
    <w:name w:val="正文文本缩进 Char2"/>
    <w:qFormat/>
    <w:uiPriority w:val="99"/>
    <w:rPr>
      <w:rFonts w:ascii="宋体" w:hAnsi="宋体" w:eastAsia="宋体" w:cs="宋体"/>
      <w:color w:val="000000"/>
      <w:kern w:val="2"/>
      <w:sz w:val="24"/>
      <w:szCs w:val="24"/>
      <w:lang w:val="en-US" w:eastAsia="zh-CN" w:bidi="ar-SA"/>
    </w:rPr>
  </w:style>
  <w:style w:type="character" w:customStyle="1" w:styleId="873">
    <w:name w:val="Char Char1121"/>
    <w:qFormat/>
    <w:uiPriority w:val="99"/>
    <w:rPr>
      <w:rFonts w:ascii="黑体" w:hAnsi="Arial" w:eastAsia="黑体"/>
      <w:bCs/>
      <w:kern w:val="2"/>
      <w:sz w:val="30"/>
      <w:szCs w:val="30"/>
      <w:lang w:val="en-US" w:eastAsia="zh-CN" w:bidi="ar-SA"/>
    </w:rPr>
  </w:style>
  <w:style w:type="character" w:customStyle="1" w:styleId="874">
    <w:name w:val="样式 正文缩进 + 宋体 黑色 Char1"/>
    <w:qFormat/>
    <w:uiPriority w:val="99"/>
    <w:rPr>
      <w:rFonts w:ascii="宋体" w:hAnsi="宋体" w:eastAsia="宋体"/>
      <w:color w:val="000000"/>
      <w:kern w:val="2"/>
      <w:sz w:val="24"/>
      <w:szCs w:val="24"/>
      <w:lang w:val="en-US" w:eastAsia="zh-CN" w:bidi="ar-SA"/>
    </w:rPr>
  </w:style>
  <w:style w:type="character" w:customStyle="1" w:styleId="875">
    <w:name w:val="正文格式 Char21"/>
    <w:qFormat/>
    <w:uiPriority w:val="99"/>
    <w:rPr>
      <w:rFonts w:ascii="宋体" w:hAnsi="宋体" w:eastAsia="宋体"/>
      <w:kern w:val="2"/>
      <w:sz w:val="24"/>
      <w:szCs w:val="24"/>
      <w:lang w:val="en-US" w:eastAsia="zh-CN" w:bidi="ar-SA"/>
    </w:rPr>
  </w:style>
  <w:style w:type="character" w:customStyle="1" w:styleId="876">
    <w:name w:val="Char Char53"/>
    <w:qFormat/>
    <w:uiPriority w:val="99"/>
    <w:rPr>
      <w:rFonts w:ascii="黑体" w:hAnsi="宋体" w:eastAsia="黑体"/>
      <w:bCs/>
      <w:kern w:val="2"/>
      <w:sz w:val="28"/>
      <w:szCs w:val="28"/>
      <w:lang w:val="en-US" w:eastAsia="zh-CN" w:bidi="ar-SA"/>
    </w:rPr>
  </w:style>
  <w:style w:type="character" w:customStyle="1" w:styleId="877">
    <w:name w:val="样式 表格内字体 + Char"/>
    <w:link w:val="878"/>
    <w:qFormat/>
    <w:uiPriority w:val="0"/>
    <w:rPr>
      <w:rFonts w:ascii="宋体" w:hAnsi="宋体" w:eastAsia="宋体" w:cs="Times New Roman"/>
      <w:szCs w:val="24"/>
      <w:lang w:val="zh-CN" w:eastAsia="zh-CN"/>
    </w:rPr>
  </w:style>
  <w:style w:type="paragraph" w:customStyle="1" w:styleId="878">
    <w:name w:val="样式 表格内字体 +"/>
    <w:basedOn w:val="832"/>
    <w:link w:val="877"/>
    <w:qFormat/>
    <w:uiPriority w:val="0"/>
    <w:pPr>
      <w:spacing w:line="280" w:lineRule="exact"/>
      <w:ind w:firstLine="36"/>
      <w:jc w:val="both"/>
    </w:pPr>
    <w:rPr>
      <w:szCs w:val="24"/>
    </w:rPr>
  </w:style>
  <w:style w:type="character" w:customStyle="1" w:styleId="879">
    <w:name w:val="Char Char68"/>
    <w:qFormat/>
    <w:uiPriority w:val="99"/>
    <w:rPr>
      <w:rFonts w:ascii="黑体" w:eastAsia="黑体"/>
      <w:b/>
      <w:bCs/>
      <w:kern w:val="2"/>
      <w:sz w:val="28"/>
      <w:szCs w:val="28"/>
      <w:lang w:val="en-US" w:eastAsia="zh-CN" w:bidi="ar-SA"/>
    </w:rPr>
  </w:style>
  <w:style w:type="character" w:customStyle="1" w:styleId="880">
    <w:name w:val="Char Char67"/>
    <w:qFormat/>
    <w:uiPriority w:val="99"/>
    <w:rPr>
      <w:rFonts w:eastAsia="宋体"/>
      <w:b/>
      <w:bCs/>
      <w:kern w:val="2"/>
      <w:sz w:val="28"/>
      <w:szCs w:val="28"/>
      <w:lang w:val="en-US" w:eastAsia="zh-CN" w:bidi="ar-SA"/>
    </w:rPr>
  </w:style>
  <w:style w:type="character" w:customStyle="1" w:styleId="881">
    <w:name w:val="样式 正文缩进 + 宋体 黑色 Char"/>
    <w:link w:val="882"/>
    <w:qFormat/>
    <w:uiPriority w:val="0"/>
    <w:rPr>
      <w:rFonts w:ascii="宋体" w:hAnsi="宋体" w:eastAsia="宋体" w:cs="Times New Roman"/>
      <w:color w:val="000000"/>
      <w:sz w:val="24"/>
      <w:szCs w:val="24"/>
      <w:lang w:val="zh-CN" w:eastAsia="zh-CN"/>
    </w:rPr>
  </w:style>
  <w:style w:type="paragraph" w:customStyle="1" w:styleId="882">
    <w:name w:val="样式 正文缩进 + 宋体 黑色"/>
    <w:basedOn w:val="21"/>
    <w:link w:val="881"/>
    <w:qFormat/>
    <w:uiPriority w:val="0"/>
    <w:pPr>
      <w:spacing w:line="360" w:lineRule="auto"/>
      <w:ind w:firstLine="200"/>
      <w:jc w:val="left"/>
    </w:pPr>
    <w:rPr>
      <w:rFonts w:ascii="宋体" w:hAnsi="宋体"/>
      <w:color w:val="000000"/>
      <w:sz w:val="24"/>
      <w:lang w:val="zh-CN"/>
    </w:rPr>
  </w:style>
  <w:style w:type="character" w:customStyle="1" w:styleId="883">
    <w:name w:val="正文格式 Char1"/>
    <w:qFormat/>
    <w:uiPriority w:val="99"/>
    <w:rPr>
      <w:rFonts w:ascii="宋体" w:hAnsi="宋体" w:eastAsia="宋体"/>
      <w:kern w:val="2"/>
      <w:sz w:val="24"/>
      <w:szCs w:val="24"/>
      <w:lang w:val="en-US" w:eastAsia="zh-CN" w:bidi="ar-SA"/>
    </w:rPr>
  </w:style>
  <w:style w:type="character" w:customStyle="1" w:styleId="884">
    <w:name w:val="Char Char1211"/>
    <w:qFormat/>
    <w:uiPriority w:val="99"/>
    <w:rPr>
      <w:rFonts w:ascii="黑体" w:hAnsi="Arial" w:eastAsia="黑体"/>
      <w:b/>
      <w:bCs/>
      <w:kern w:val="2"/>
      <w:sz w:val="30"/>
      <w:szCs w:val="30"/>
      <w:lang w:val="en-US" w:eastAsia="zh-CN" w:bidi="ar-SA"/>
    </w:rPr>
  </w:style>
  <w:style w:type="character" w:customStyle="1" w:styleId="885">
    <w:name w:val="环表头 Char2"/>
    <w:qFormat/>
    <w:uiPriority w:val="99"/>
    <w:rPr>
      <w:rFonts w:eastAsia="仿宋_GB2312"/>
      <w:color w:val="FF0000"/>
      <w:sz w:val="28"/>
      <w:szCs w:val="28"/>
      <w:lang w:val="en-US" w:eastAsia="zh-CN" w:bidi="ar-SA"/>
    </w:rPr>
  </w:style>
  <w:style w:type="character" w:customStyle="1" w:styleId="886">
    <w:name w:val="正文文本缩进 3 Char11"/>
    <w:qFormat/>
    <w:uiPriority w:val="99"/>
    <w:rPr>
      <w:rFonts w:eastAsia="宋体"/>
      <w:kern w:val="2"/>
      <w:sz w:val="16"/>
      <w:szCs w:val="16"/>
      <w:lang w:val="en-US" w:eastAsia="zh-CN" w:bidi="ar-SA"/>
    </w:rPr>
  </w:style>
  <w:style w:type="character" w:customStyle="1" w:styleId="887">
    <w:name w:val="大港正文 Char"/>
    <w:link w:val="888"/>
    <w:qFormat/>
    <w:uiPriority w:val="0"/>
    <w:rPr>
      <w:rFonts w:ascii="宋体" w:hAnsi="宋体" w:eastAsia="宋体" w:cs="Times New Roman"/>
      <w:kern w:val="0"/>
      <w:sz w:val="24"/>
      <w:szCs w:val="24"/>
      <w:lang w:val="zh-CN" w:eastAsia="zh-CN"/>
    </w:rPr>
  </w:style>
  <w:style w:type="paragraph" w:customStyle="1" w:styleId="888">
    <w:name w:val="大港正文"/>
    <w:basedOn w:val="1"/>
    <w:next w:val="1"/>
    <w:link w:val="887"/>
    <w:qFormat/>
    <w:uiPriority w:val="0"/>
    <w:pPr>
      <w:ind w:firstLine="540" w:firstLineChars="225"/>
    </w:pPr>
    <w:rPr>
      <w:rFonts w:ascii="宋体" w:hAnsi="宋体"/>
      <w:kern w:val="0"/>
      <w:lang w:val="zh-CN"/>
    </w:rPr>
  </w:style>
  <w:style w:type="character" w:customStyle="1" w:styleId="889">
    <w:name w:val="tpc_content1"/>
    <w:qFormat/>
    <w:uiPriority w:val="99"/>
    <w:rPr>
      <w:sz w:val="20"/>
      <w:szCs w:val="20"/>
    </w:rPr>
  </w:style>
  <w:style w:type="character" w:customStyle="1" w:styleId="890">
    <w:name w:val="attach-title1"/>
    <w:qFormat/>
    <w:uiPriority w:val="99"/>
    <w:rPr>
      <w:b/>
      <w:bCs/>
      <w:color w:val="008080"/>
      <w:sz w:val="27"/>
      <w:szCs w:val="27"/>
    </w:rPr>
  </w:style>
  <w:style w:type="character" w:customStyle="1" w:styleId="891">
    <w:name w:val="环正文 Char4"/>
    <w:qFormat/>
    <w:uiPriority w:val="99"/>
    <w:rPr>
      <w:rFonts w:eastAsia="仿宋_GB2312"/>
      <w:color w:val="FF0000"/>
      <w:sz w:val="28"/>
      <w:szCs w:val="28"/>
      <w:lang w:val="en-US" w:eastAsia="zh-CN" w:bidi="ar-SA"/>
    </w:rPr>
  </w:style>
  <w:style w:type="character" w:customStyle="1" w:styleId="892">
    <w:name w:val="燕山正文 Char111"/>
    <w:qFormat/>
    <w:uiPriority w:val="99"/>
    <w:rPr>
      <w:rFonts w:ascii="宋体" w:eastAsia="宋体" w:cs="宋体"/>
      <w:kern w:val="2"/>
      <w:sz w:val="24"/>
      <w:szCs w:val="24"/>
      <w:lang w:val="en-US" w:eastAsia="zh-CN" w:bidi="ar-SA"/>
    </w:rPr>
  </w:style>
  <w:style w:type="character" w:customStyle="1" w:styleId="893">
    <w:name w:val="二级项 Char"/>
    <w:qFormat/>
    <w:uiPriority w:val="0"/>
    <w:rPr>
      <w:rFonts w:ascii="Arial" w:hAnsi="Arial" w:eastAsia="黑体"/>
      <w:b/>
      <w:bCs/>
      <w:kern w:val="2"/>
      <w:sz w:val="28"/>
      <w:szCs w:val="24"/>
      <w:lang w:val="en-US" w:eastAsia="zh-CN" w:bidi="ar-SA"/>
    </w:rPr>
  </w:style>
  <w:style w:type="character" w:customStyle="1" w:styleId="894">
    <w:name w:val="Char Char101"/>
    <w:qFormat/>
    <w:uiPriority w:val="0"/>
    <w:rPr>
      <w:rFonts w:eastAsia="宋体"/>
      <w:kern w:val="2"/>
      <w:sz w:val="18"/>
      <w:szCs w:val="18"/>
      <w:lang w:val="en-US" w:eastAsia="zh-CN" w:bidi="ar-SA"/>
    </w:rPr>
  </w:style>
  <w:style w:type="character" w:customStyle="1" w:styleId="895">
    <w:name w:val="表中文字 Char"/>
    <w:link w:val="896"/>
    <w:qFormat/>
    <w:uiPriority w:val="0"/>
    <w:rPr>
      <w:rFonts w:ascii="Arial" w:hAnsi="Arial" w:eastAsia="宋体" w:cs="Times New Roman"/>
      <w:kern w:val="0"/>
      <w:sz w:val="20"/>
      <w:szCs w:val="24"/>
      <w:lang w:val="zh-CN" w:eastAsia="zh-TW"/>
    </w:rPr>
  </w:style>
  <w:style w:type="paragraph" w:customStyle="1" w:styleId="896">
    <w:name w:val="表中文字4"/>
    <w:basedOn w:val="1"/>
    <w:link w:val="895"/>
    <w:qFormat/>
    <w:uiPriority w:val="0"/>
    <w:pPr>
      <w:spacing w:line="340" w:lineRule="exact"/>
      <w:ind w:firstLine="480"/>
      <w:jc w:val="center"/>
    </w:pPr>
    <w:rPr>
      <w:rFonts w:ascii="Arial" w:hAnsi="Arial"/>
      <w:kern w:val="0"/>
      <w:sz w:val="20"/>
      <w:lang w:val="zh-CN" w:eastAsia="zh-TW"/>
    </w:rPr>
  </w:style>
  <w:style w:type="character" w:customStyle="1" w:styleId="897">
    <w:name w:val="表题1 Char"/>
    <w:link w:val="898"/>
    <w:qFormat/>
    <w:uiPriority w:val="0"/>
    <w:rPr>
      <w:rFonts w:ascii="黑体" w:hAnsi="Arial" w:eastAsia="黑体" w:cs="Times New Roman"/>
      <w:b/>
      <w:sz w:val="24"/>
      <w:szCs w:val="24"/>
      <w:lang w:val="zh-CN" w:eastAsia="zh-CN"/>
    </w:rPr>
  </w:style>
  <w:style w:type="paragraph" w:customStyle="1" w:styleId="898">
    <w:name w:val="表题1"/>
    <w:basedOn w:val="22"/>
    <w:link w:val="897"/>
    <w:qFormat/>
    <w:uiPriority w:val="0"/>
    <w:pPr>
      <w:tabs>
        <w:tab w:val="clear" w:pos="10467"/>
        <w:tab w:val="clear" w:pos="13095"/>
      </w:tabs>
      <w:adjustRightInd/>
      <w:snapToGrid/>
    </w:pPr>
    <w:rPr>
      <w:rFonts w:ascii="黑体" w:eastAsia="黑体" w:cs="Times New Roman"/>
      <w:lang w:val="zh-CN"/>
    </w:rPr>
  </w:style>
  <w:style w:type="character" w:customStyle="1" w:styleId="899">
    <w:name w:val="燕山正文 Char1"/>
    <w:link w:val="900"/>
    <w:qFormat/>
    <w:uiPriority w:val="99"/>
    <w:rPr>
      <w:rFonts w:ascii="宋体" w:hAnsi="宋体" w:eastAsia="宋体" w:cs="Times New Roman"/>
      <w:color w:val="000000"/>
      <w:sz w:val="28"/>
      <w:szCs w:val="28"/>
      <w:lang w:val="zh-CN" w:eastAsia="zh-CN"/>
    </w:rPr>
  </w:style>
  <w:style w:type="paragraph" w:customStyle="1" w:styleId="900">
    <w:name w:val="燕山正文"/>
    <w:basedOn w:val="1"/>
    <w:link w:val="899"/>
    <w:qFormat/>
    <w:uiPriority w:val="99"/>
    <w:pPr>
      <w:tabs>
        <w:tab w:val="left" w:pos="4680"/>
      </w:tabs>
      <w:ind w:firstLine="560"/>
    </w:pPr>
    <w:rPr>
      <w:rFonts w:ascii="宋体" w:hAnsi="宋体"/>
      <w:color w:val="000000"/>
      <w:sz w:val="28"/>
      <w:szCs w:val="28"/>
      <w:lang w:val="zh-CN"/>
    </w:rPr>
  </w:style>
  <w:style w:type="character" w:customStyle="1" w:styleId="901">
    <w:name w:val="标题 3 Char15"/>
    <w:qFormat/>
    <w:uiPriority w:val="99"/>
    <w:rPr>
      <w:rFonts w:hAnsi="宋体" w:eastAsia="宋体"/>
      <w:bCs/>
      <w:kern w:val="2"/>
      <w:sz w:val="28"/>
      <w:szCs w:val="28"/>
      <w:lang w:val="en-US" w:eastAsia="zh-CN" w:bidi="ar-SA"/>
    </w:rPr>
  </w:style>
  <w:style w:type="character" w:customStyle="1" w:styleId="902">
    <w:name w:val="正文修改 Char1"/>
    <w:link w:val="903"/>
    <w:qFormat/>
    <w:uiPriority w:val="99"/>
    <w:rPr>
      <w:rFonts w:ascii="宋体" w:hAnsi="宋体" w:eastAsia="宋体" w:cs="Times New Roman"/>
      <w:color w:val="000000"/>
      <w:sz w:val="24"/>
      <w:szCs w:val="24"/>
      <w:lang w:val="zh-CN" w:eastAsia="zh-CN"/>
    </w:rPr>
  </w:style>
  <w:style w:type="paragraph" w:customStyle="1" w:styleId="903">
    <w:name w:val="正文修改"/>
    <w:basedOn w:val="900"/>
    <w:link w:val="902"/>
    <w:qFormat/>
    <w:uiPriority w:val="99"/>
    <w:pPr>
      <w:spacing w:line="480" w:lineRule="exact"/>
      <w:ind w:firstLine="0" w:firstLineChars="0"/>
    </w:pPr>
    <w:rPr>
      <w:sz w:val="24"/>
      <w:szCs w:val="24"/>
    </w:rPr>
  </w:style>
  <w:style w:type="character" w:customStyle="1" w:styleId="904">
    <w:name w:val="表中文字 Char2"/>
    <w:link w:val="905"/>
    <w:qFormat/>
    <w:uiPriority w:val="99"/>
    <w:rPr>
      <w:rFonts w:ascii="Calibri" w:hAnsi="Calibri" w:eastAsia="宋体" w:cs="Times New Roman"/>
      <w:szCs w:val="20"/>
      <w:lang w:val="zh-CN" w:eastAsia="zh-CN"/>
    </w:rPr>
  </w:style>
  <w:style w:type="paragraph" w:customStyle="1" w:styleId="905">
    <w:name w:val="表中文字"/>
    <w:basedOn w:val="1"/>
    <w:link w:val="904"/>
    <w:qFormat/>
    <w:uiPriority w:val="99"/>
    <w:pPr>
      <w:spacing w:line="240" w:lineRule="auto"/>
    </w:pPr>
    <w:rPr>
      <w:rFonts w:ascii="Calibri" w:hAnsi="Calibri"/>
      <w:sz w:val="21"/>
      <w:szCs w:val="20"/>
      <w:lang w:val="zh-CN"/>
    </w:rPr>
  </w:style>
  <w:style w:type="character" w:customStyle="1" w:styleId="906">
    <w:name w:val="A正文 Char"/>
    <w:link w:val="907"/>
    <w:qFormat/>
    <w:uiPriority w:val="0"/>
    <w:rPr>
      <w:rFonts w:ascii="Calibri" w:hAnsi="Calibri" w:eastAsia="仿宋_GB2312" w:cs="Times New Roman"/>
      <w:kern w:val="0"/>
      <w:sz w:val="24"/>
      <w:szCs w:val="24"/>
      <w:lang w:val="zh-CN" w:eastAsia="zh-CN"/>
    </w:rPr>
  </w:style>
  <w:style w:type="paragraph" w:customStyle="1" w:styleId="907">
    <w:name w:val="A正文"/>
    <w:basedOn w:val="1"/>
    <w:link w:val="906"/>
    <w:qFormat/>
    <w:uiPriority w:val="0"/>
    <w:pPr>
      <w:widowControl/>
      <w:overflowPunct w:val="0"/>
      <w:autoSpaceDE w:val="0"/>
      <w:autoSpaceDN w:val="0"/>
      <w:ind w:firstLine="200"/>
      <w:jc w:val="left"/>
      <w:textAlignment w:val="baseline"/>
    </w:pPr>
    <w:rPr>
      <w:rFonts w:ascii="Calibri" w:hAnsi="Calibri" w:eastAsia="仿宋_GB2312"/>
      <w:kern w:val="0"/>
      <w:lang w:val="zh-CN"/>
    </w:rPr>
  </w:style>
  <w:style w:type="character" w:customStyle="1" w:styleId="908">
    <w:name w:val="图题注 Char"/>
    <w:link w:val="909"/>
    <w:qFormat/>
    <w:uiPriority w:val="0"/>
    <w:rPr>
      <w:rFonts w:ascii="黑体" w:hAnsi="Arial" w:eastAsia="黑体" w:cs="Times New Roman"/>
      <w:b/>
      <w:bCs/>
      <w:sz w:val="24"/>
      <w:szCs w:val="24"/>
      <w:lang w:val="zh-CN" w:eastAsia="zh-CN"/>
    </w:rPr>
  </w:style>
  <w:style w:type="paragraph" w:customStyle="1" w:styleId="909">
    <w:name w:val="图题注"/>
    <w:basedOn w:val="22"/>
    <w:link w:val="908"/>
    <w:qFormat/>
    <w:uiPriority w:val="0"/>
    <w:pPr>
      <w:tabs>
        <w:tab w:val="clear" w:pos="10467"/>
        <w:tab w:val="clear" w:pos="13095"/>
      </w:tabs>
      <w:adjustRightInd/>
      <w:snapToGrid/>
      <w:spacing w:line="240" w:lineRule="auto"/>
    </w:pPr>
    <w:rPr>
      <w:rFonts w:ascii="黑体" w:eastAsia="黑体" w:cs="Times New Roman"/>
      <w:bCs/>
      <w:lang w:val="zh-CN"/>
    </w:rPr>
  </w:style>
  <w:style w:type="character" w:customStyle="1" w:styleId="910">
    <w:name w:val="表内5 Char"/>
    <w:link w:val="911"/>
    <w:qFormat/>
    <w:uiPriority w:val="0"/>
    <w:rPr>
      <w:rFonts w:ascii="宋体" w:hAnsi="宋体" w:eastAsia="宋体" w:cs="Times New Roman"/>
      <w:kern w:val="0"/>
      <w:sz w:val="20"/>
      <w:szCs w:val="20"/>
      <w:lang w:val="zh-CN" w:eastAsia="zh-CN"/>
    </w:rPr>
  </w:style>
  <w:style w:type="paragraph" w:customStyle="1" w:styleId="911">
    <w:name w:val="表内51"/>
    <w:basedOn w:val="1"/>
    <w:link w:val="910"/>
    <w:qFormat/>
    <w:uiPriority w:val="0"/>
    <w:pPr>
      <w:spacing w:line="240" w:lineRule="auto"/>
      <w:jc w:val="center"/>
    </w:pPr>
    <w:rPr>
      <w:rFonts w:ascii="宋体" w:hAnsi="宋体"/>
      <w:kern w:val="0"/>
      <w:sz w:val="20"/>
      <w:szCs w:val="20"/>
      <w:lang w:val="zh-CN"/>
    </w:rPr>
  </w:style>
  <w:style w:type="character" w:customStyle="1" w:styleId="912">
    <w:name w:val="正文斜体 Char"/>
    <w:link w:val="913"/>
    <w:qFormat/>
    <w:uiPriority w:val="0"/>
    <w:rPr>
      <w:rFonts w:ascii="宋体" w:hAnsi="宋体" w:eastAsia="宋体" w:cs="Times New Roman"/>
      <w:i/>
      <w:iCs/>
      <w:sz w:val="24"/>
      <w:szCs w:val="24"/>
      <w:lang w:val="zh-CN" w:eastAsia="zh-CN"/>
    </w:rPr>
  </w:style>
  <w:style w:type="paragraph" w:customStyle="1" w:styleId="913">
    <w:name w:val="正文斜体"/>
    <w:basedOn w:val="185"/>
    <w:next w:val="185"/>
    <w:link w:val="912"/>
    <w:qFormat/>
    <w:uiPriority w:val="0"/>
    <w:rPr>
      <w:rFonts w:hAnsi="宋体" w:cs="Times New Roman"/>
      <w:i/>
      <w:iCs/>
      <w:lang w:val="zh-CN"/>
    </w:rPr>
  </w:style>
  <w:style w:type="character" w:customStyle="1" w:styleId="914">
    <w:name w:val="样式 表内小5 + 黑体 加粗 倾斜 下划线 Char"/>
    <w:link w:val="915"/>
    <w:qFormat/>
    <w:uiPriority w:val="0"/>
    <w:rPr>
      <w:rFonts w:ascii="黑体" w:hAnsi="黑体" w:eastAsia="黑体" w:cs="Times New Roman"/>
      <w:b/>
      <w:bCs/>
      <w:i/>
      <w:iCs/>
      <w:sz w:val="18"/>
      <w:szCs w:val="24"/>
      <w:u w:val="single"/>
      <w:lang w:val="zh-CN" w:eastAsia="zh-CN"/>
    </w:rPr>
  </w:style>
  <w:style w:type="paragraph" w:customStyle="1" w:styleId="915">
    <w:name w:val="样式 表内小5 + 黑体 加粗 倾斜 下划线"/>
    <w:basedOn w:val="1"/>
    <w:link w:val="914"/>
    <w:qFormat/>
    <w:uiPriority w:val="0"/>
    <w:pPr>
      <w:spacing w:line="300" w:lineRule="auto"/>
      <w:jc w:val="left"/>
    </w:pPr>
    <w:rPr>
      <w:rFonts w:ascii="黑体" w:hAnsi="黑体" w:eastAsia="黑体"/>
      <w:b/>
      <w:bCs/>
      <w:i/>
      <w:iCs/>
      <w:sz w:val="18"/>
      <w:u w:val="single"/>
      <w:lang w:val="zh-CN"/>
    </w:rPr>
  </w:style>
  <w:style w:type="character" w:customStyle="1" w:styleId="916">
    <w:name w:val="福建正文缩进 Char"/>
    <w:link w:val="917"/>
    <w:qFormat/>
    <w:uiPriority w:val="0"/>
    <w:rPr>
      <w:rFonts w:ascii="宋体" w:hAnsi="宋体" w:eastAsia="宋体" w:cs="Times New Roman"/>
      <w:color w:val="000000"/>
      <w:kern w:val="0"/>
      <w:sz w:val="24"/>
      <w:szCs w:val="24"/>
      <w:lang w:val="zh-CN" w:eastAsia="zh-CN"/>
    </w:rPr>
  </w:style>
  <w:style w:type="paragraph" w:customStyle="1" w:styleId="917">
    <w:name w:val="福建正文缩进"/>
    <w:basedOn w:val="21"/>
    <w:link w:val="916"/>
    <w:qFormat/>
    <w:uiPriority w:val="0"/>
    <w:pPr>
      <w:widowControl/>
      <w:tabs>
        <w:tab w:val="left" w:pos="5837"/>
      </w:tabs>
      <w:spacing w:line="480" w:lineRule="exact"/>
      <w:ind w:firstLine="0" w:firstLineChars="0"/>
    </w:pPr>
    <w:rPr>
      <w:rFonts w:ascii="宋体" w:hAnsi="宋体"/>
      <w:color w:val="000000"/>
      <w:kern w:val="0"/>
      <w:sz w:val="24"/>
      <w:lang w:val="zh-CN"/>
    </w:rPr>
  </w:style>
  <w:style w:type="character" w:customStyle="1" w:styleId="918">
    <w:name w:val="表格内容 Char"/>
    <w:link w:val="919"/>
    <w:qFormat/>
    <w:uiPriority w:val="0"/>
    <w:rPr>
      <w:rFonts w:ascii="Times New Roman" w:hAnsi="Times New Roman" w:eastAsia="宋体" w:cs="Times New Roman"/>
      <w:color w:val="000000"/>
      <w:sz w:val="18"/>
      <w:szCs w:val="18"/>
    </w:rPr>
  </w:style>
  <w:style w:type="paragraph" w:customStyle="1" w:styleId="919">
    <w:name w:val="表格内容"/>
    <w:link w:val="918"/>
    <w:qFormat/>
    <w:uiPriority w:val="0"/>
    <w:pPr>
      <w:widowControl w:val="0"/>
      <w:adjustRightInd w:val="0"/>
      <w:snapToGrid w:val="0"/>
      <w:spacing w:line="360" w:lineRule="auto"/>
      <w:ind w:firstLine="360" w:firstLineChars="200"/>
    </w:pPr>
    <w:rPr>
      <w:rFonts w:ascii="Times New Roman" w:hAnsi="Times New Roman" w:eastAsia="宋体" w:cs="Times New Roman"/>
      <w:color w:val="000000"/>
      <w:kern w:val="2"/>
      <w:sz w:val="18"/>
      <w:szCs w:val="18"/>
      <w:lang w:val="en-US" w:eastAsia="zh-CN" w:bidi="ar-SA"/>
    </w:rPr>
  </w:style>
  <w:style w:type="character" w:customStyle="1" w:styleId="920">
    <w:name w:val="样式 表内小5 + 黑体 加粗 倾斜 下划线 Char2"/>
    <w:qFormat/>
    <w:uiPriority w:val="99"/>
    <w:rPr>
      <w:rFonts w:ascii="黑体" w:hAnsi="黑体" w:eastAsia="黑体"/>
      <w:b/>
      <w:bCs/>
      <w:i/>
      <w:iCs/>
      <w:kern w:val="2"/>
      <w:sz w:val="18"/>
      <w:szCs w:val="24"/>
      <w:u w:val="single"/>
      <w:lang w:val="en-US" w:eastAsia="zh-CN" w:bidi="ar-SA"/>
    </w:rPr>
  </w:style>
  <w:style w:type="character" w:customStyle="1" w:styleId="921">
    <w:name w:val="正文修改 Char132"/>
    <w:qFormat/>
    <w:uiPriority w:val="99"/>
    <w:rPr>
      <w:rFonts w:ascii="宋体" w:hAnsi="宋体"/>
      <w:color w:val="000000"/>
      <w:kern w:val="2"/>
      <w:sz w:val="28"/>
      <w:szCs w:val="28"/>
    </w:rPr>
  </w:style>
  <w:style w:type="character" w:customStyle="1" w:styleId="922">
    <w:name w:val="标题 9 Char2"/>
    <w:qFormat/>
    <w:uiPriority w:val="99"/>
    <w:rPr>
      <w:rFonts w:ascii="Arial" w:hAnsi="Arial" w:eastAsia="黑体" w:cs="Times New Roman"/>
      <w:kern w:val="2"/>
      <w:sz w:val="24"/>
      <w:szCs w:val="21"/>
      <w:lang w:val="en-US" w:eastAsia="zh-CN" w:bidi="ar-SA"/>
    </w:rPr>
  </w:style>
  <w:style w:type="character" w:customStyle="1" w:styleId="923">
    <w:name w:val="Char Char33"/>
    <w:qFormat/>
    <w:uiPriority w:val="99"/>
    <w:rPr>
      <w:rFonts w:ascii="黑体" w:hAnsi="宋体" w:eastAsia="黑体"/>
      <w:b/>
      <w:bCs/>
      <w:kern w:val="2"/>
      <w:sz w:val="28"/>
      <w:szCs w:val="28"/>
      <w:lang w:val="en-US" w:eastAsia="zh-CN" w:bidi="ar-SA"/>
    </w:rPr>
  </w:style>
  <w:style w:type="character" w:customStyle="1" w:styleId="924">
    <w:name w:val="表内5 Char2"/>
    <w:qFormat/>
    <w:uiPriority w:val="99"/>
    <w:rPr>
      <w:rFonts w:ascii="宋体" w:hAnsi="宋体" w:eastAsia="宋体" w:cs="宋体"/>
      <w:kern w:val="2"/>
      <w:sz w:val="21"/>
      <w:szCs w:val="24"/>
      <w:lang w:val="en-US" w:eastAsia="zh-CN" w:bidi="ar-SA"/>
    </w:rPr>
  </w:style>
  <w:style w:type="character" w:customStyle="1" w:styleId="925">
    <w:name w:val="表题1 Char1"/>
    <w:qFormat/>
    <w:uiPriority w:val="99"/>
    <w:rPr>
      <w:rFonts w:ascii="黑体" w:hAnsi="Arial" w:eastAsia="黑体" w:cs="Arial"/>
      <w:kern w:val="2"/>
      <w:sz w:val="24"/>
      <w:szCs w:val="24"/>
      <w:lang w:val="en-US" w:eastAsia="zh-CN" w:bidi="ar-SA"/>
    </w:rPr>
  </w:style>
  <w:style w:type="character" w:customStyle="1" w:styleId="926">
    <w:name w:val="Char Char4"/>
    <w:qFormat/>
    <w:uiPriority w:val="0"/>
    <w:rPr>
      <w:rFonts w:ascii="黑体" w:hAnsi="Arial" w:eastAsia="黑体"/>
      <w:b/>
      <w:bCs/>
      <w:kern w:val="2"/>
      <w:sz w:val="30"/>
      <w:szCs w:val="30"/>
      <w:lang w:val="en-US" w:eastAsia="zh-CN" w:bidi="ar-SA"/>
    </w:rPr>
  </w:style>
  <w:style w:type="character" w:customStyle="1" w:styleId="927">
    <w:name w:val="标题 2 Char1 Char"/>
    <w:qFormat/>
    <w:uiPriority w:val="99"/>
    <w:rPr>
      <w:rFonts w:ascii="黑体" w:hAnsi="Arial" w:eastAsia="黑体"/>
      <w:b/>
      <w:bCs/>
      <w:kern w:val="2"/>
      <w:sz w:val="30"/>
      <w:szCs w:val="30"/>
      <w:lang w:val="en-US" w:eastAsia="zh-CN" w:bidi="ar-SA"/>
    </w:rPr>
  </w:style>
  <w:style w:type="character" w:customStyle="1" w:styleId="928">
    <w:name w:val="标题正文黑 Char"/>
    <w:qFormat/>
    <w:uiPriority w:val="99"/>
    <w:rPr>
      <w:rFonts w:ascii="黑体" w:eastAsia="黑体"/>
      <w:kern w:val="2"/>
      <w:sz w:val="28"/>
      <w:szCs w:val="28"/>
      <w:lang w:val="en-US" w:eastAsia="zh-CN" w:bidi="ar-SA"/>
    </w:rPr>
  </w:style>
  <w:style w:type="character" w:customStyle="1" w:styleId="929">
    <w:name w:val="正文修改 Char124"/>
    <w:qFormat/>
    <w:uiPriority w:val="99"/>
    <w:rPr>
      <w:rFonts w:ascii="宋体" w:hAnsi="宋体"/>
      <w:color w:val="000000"/>
      <w:kern w:val="2"/>
      <w:sz w:val="28"/>
      <w:szCs w:val="28"/>
    </w:rPr>
  </w:style>
  <w:style w:type="character" w:customStyle="1" w:styleId="930">
    <w:name w:val="Char Char213"/>
    <w:qFormat/>
    <w:uiPriority w:val="99"/>
    <w:rPr>
      <w:rFonts w:ascii="黑体" w:eastAsia="宋体"/>
      <w:kern w:val="2"/>
      <w:sz w:val="16"/>
      <w:szCs w:val="16"/>
      <w:lang w:val="en-US" w:eastAsia="zh-CN" w:bidi="ar-SA"/>
    </w:rPr>
  </w:style>
  <w:style w:type="character" w:customStyle="1" w:styleId="931">
    <w:name w:val="Char Char1126"/>
    <w:qFormat/>
    <w:uiPriority w:val="99"/>
    <w:rPr>
      <w:rFonts w:ascii="黑体" w:hAnsi="Arial" w:eastAsia="黑体"/>
      <w:bCs/>
      <w:kern w:val="2"/>
      <w:sz w:val="30"/>
      <w:szCs w:val="30"/>
      <w:lang w:val="en-US" w:eastAsia="zh-CN" w:bidi="ar-SA"/>
    </w:rPr>
  </w:style>
  <w:style w:type="character" w:customStyle="1" w:styleId="932">
    <w:name w:val="Char Char5"/>
    <w:qFormat/>
    <w:uiPriority w:val="0"/>
    <w:rPr>
      <w:rFonts w:ascii="黑体" w:hAnsi="宋体" w:eastAsia="黑体"/>
      <w:bCs/>
      <w:kern w:val="2"/>
      <w:sz w:val="28"/>
      <w:szCs w:val="28"/>
      <w:lang w:val="en-US" w:eastAsia="zh-CN" w:bidi="ar-SA"/>
    </w:rPr>
  </w:style>
  <w:style w:type="character" w:customStyle="1" w:styleId="933">
    <w:name w:val="题注 Char1"/>
    <w:qFormat/>
    <w:uiPriority w:val="0"/>
    <w:rPr>
      <w:rFonts w:ascii="黑体" w:hAnsi="Arial" w:eastAsia="黑体" w:cs="Arial"/>
      <w:b/>
      <w:kern w:val="2"/>
      <w:sz w:val="24"/>
      <w:szCs w:val="24"/>
      <w:lang w:val="en-US" w:eastAsia="zh-CN" w:bidi="ar-SA"/>
    </w:rPr>
  </w:style>
  <w:style w:type="character" w:customStyle="1" w:styleId="934">
    <w:name w:val="表格内字体 Char2"/>
    <w:qFormat/>
    <w:uiPriority w:val="99"/>
    <w:rPr>
      <w:rFonts w:ascii="宋体" w:hAnsi="宋体" w:eastAsia="宋体"/>
      <w:kern w:val="2"/>
      <w:sz w:val="21"/>
      <w:szCs w:val="24"/>
      <w:lang w:val="en-US" w:eastAsia="zh-CN" w:bidi="ar-SA"/>
    </w:rPr>
  </w:style>
  <w:style w:type="character" w:customStyle="1" w:styleId="935">
    <w:name w:val="Head 3 Char"/>
    <w:qFormat/>
    <w:uiPriority w:val="0"/>
    <w:rPr>
      <w:rFonts w:hAnsi="宋体" w:eastAsia="宋体"/>
      <w:bCs/>
      <w:kern w:val="2"/>
      <w:sz w:val="28"/>
      <w:szCs w:val="28"/>
      <w:lang w:val="en-US" w:eastAsia="zh-CN" w:bidi="ar-SA"/>
    </w:rPr>
  </w:style>
  <w:style w:type="character" w:customStyle="1" w:styleId="936">
    <w:name w:val="Char Char81"/>
    <w:qFormat/>
    <w:uiPriority w:val="99"/>
    <w:rPr>
      <w:rFonts w:eastAsia="宋体"/>
      <w:kern w:val="2"/>
      <w:sz w:val="16"/>
      <w:szCs w:val="16"/>
      <w:lang w:val="en-US" w:eastAsia="zh-CN" w:bidi="ar-SA"/>
    </w:rPr>
  </w:style>
  <w:style w:type="character" w:customStyle="1" w:styleId="937">
    <w:name w:val="标题2 Char11"/>
    <w:qFormat/>
    <w:uiPriority w:val="99"/>
    <w:rPr>
      <w:rFonts w:ascii="宋体" w:hAnsi="宋体" w:eastAsia="宋体" w:cs="宋体"/>
      <w:color w:val="000000"/>
      <w:kern w:val="2"/>
      <w:sz w:val="24"/>
      <w:szCs w:val="24"/>
      <w:lang w:val="en-US" w:eastAsia="zh-CN" w:bidi="ar-SA"/>
    </w:rPr>
  </w:style>
  <w:style w:type="character" w:customStyle="1" w:styleId="938">
    <w:name w:val="Char Char21"/>
    <w:qFormat/>
    <w:uiPriority w:val="99"/>
    <w:rPr>
      <w:rFonts w:ascii="黑体" w:eastAsia="宋体"/>
      <w:kern w:val="2"/>
      <w:sz w:val="16"/>
      <w:szCs w:val="16"/>
      <w:lang w:val="en-US" w:eastAsia="zh-CN" w:bidi="ar-SA"/>
    </w:rPr>
  </w:style>
  <w:style w:type="character" w:customStyle="1" w:styleId="939">
    <w:name w:val="Char Char6"/>
    <w:qFormat/>
    <w:uiPriority w:val="0"/>
    <w:rPr>
      <w:rFonts w:ascii="黑体" w:eastAsia="黑体"/>
      <w:b/>
      <w:bCs/>
      <w:kern w:val="2"/>
      <w:sz w:val="28"/>
      <w:szCs w:val="28"/>
      <w:lang w:val="en-US" w:eastAsia="zh-CN" w:bidi="ar-SA"/>
    </w:rPr>
  </w:style>
  <w:style w:type="character" w:customStyle="1" w:styleId="940">
    <w:name w:val="燕山正文 Char11"/>
    <w:qFormat/>
    <w:uiPriority w:val="99"/>
    <w:rPr>
      <w:rFonts w:ascii="宋体" w:eastAsia="宋体" w:cs="宋体"/>
      <w:kern w:val="2"/>
      <w:sz w:val="24"/>
      <w:szCs w:val="24"/>
      <w:lang w:val="en-US" w:eastAsia="zh-CN" w:bidi="ar-SA"/>
    </w:rPr>
  </w:style>
  <w:style w:type="character" w:customStyle="1" w:styleId="941">
    <w:name w:val="样式 黑色1"/>
    <w:qFormat/>
    <w:uiPriority w:val="99"/>
    <w:rPr>
      <w:rFonts w:eastAsia="宋体"/>
      <w:color w:val="auto"/>
      <w:kern w:val="2"/>
      <w:sz w:val="24"/>
      <w:szCs w:val="24"/>
      <w:lang w:val="en-US" w:eastAsia="zh-CN" w:bidi="ar-SA"/>
    </w:rPr>
  </w:style>
  <w:style w:type="character" w:customStyle="1" w:styleId="942">
    <w:name w:val="表题 Char2"/>
    <w:qFormat/>
    <w:uiPriority w:val="0"/>
    <w:rPr>
      <w:rFonts w:ascii="黑体" w:hAnsi="Arial" w:eastAsia="黑体" w:cs="Arial"/>
      <w:b/>
      <w:kern w:val="2"/>
      <w:sz w:val="24"/>
      <w:szCs w:val="24"/>
      <w:lang w:val="en-US" w:eastAsia="zh-CN" w:bidi="ar-SA"/>
    </w:rPr>
  </w:style>
  <w:style w:type="character" w:customStyle="1" w:styleId="943">
    <w:name w:val="表格内字体 Char3"/>
    <w:qFormat/>
    <w:uiPriority w:val="99"/>
    <w:rPr>
      <w:rFonts w:ascii="宋体" w:hAnsi="宋体" w:eastAsia="宋体"/>
      <w:kern w:val="2"/>
      <w:sz w:val="21"/>
      <w:szCs w:val="24"/>
      <w:lang w:val="en-US" w:eastAsia="zh-CN" w:bidi="ar-SA"/>
    </w:rPr>
  </w:style>
  <w:style w:type="character" w:customStyle="1" w:styleId="944">
    <w:name w:val="正文缩进 Char4"/>
    <w:qFormat/>
    <w:uiPriority w:val="99"/>
    <w:rPr>
      <w:rFonts w:ascii="宋体" w:hAnsi="宋体" w:eastAsia="宋体" w:cs="宋体"/>
      <w:color w:val="000000"/>
      <w:kern w:val="2"/>
      <w:sz w:val="24"/>
      <w:szCs w:val="24"/>
      <w:lang w:val="en-US" w:eastAsia="zh-CN" w:bidi="ar-SA"/>
    </w:rPr>
  </w:style>
  <w:style w:type="character" w:customStyle="1" w:styleId="945">
    <w:name w:val="Char Char102"/>
    <w:qFormat/>
    <w:uiPriority w:val="99"/>
    <w:rPr>
      <w:rFonts w:ascii="宋体" w:hAnsi="宋体" w:eastAsia="宋体" w:cs="宋体"/>
      <w:color w:val="000000"/>
      <w:kern w:val="2"/>
      <w:sz w:val="24"/>
      <w:szCs w:val="24"/>
      <w:lang w:val="en-US" w:eastAsia="zh-CN" w:bidi="ar-SA"/>
    </w:rPr>
  </w:style>
  <w:style w:type="character" w:customStyle="1" w:styleId="946">
    <w:name w:val="表题1 Char2"/>
    <w:qFormat/>
    <w:uiPriority w:val="99"/>
    <w:rPr>
      <w:rFonts w:hAnsi="Arial" w:eastAsia="宋体" w:cs="Arial"/>
      <w:kern w:val="2"/>
      <w:sz w:val="24"/>
      <w:szCs w:val="24"/>
      <w:lang w:val="en-US" w:eastAsia="zh-CN" w:bidi="ar-SA"/>
    </w:rPr>
  </w:style>
  <w:style w:type="character" w:customStyle="1" w:styleId="947">
    <w:name w:val="燕山正文 Char12"/>
    <w:qFormat/>
    <w:uiPriority w:val="99"/>
    <w:rPr>
      <w:rFonts w:ascii="宋体" w:eastAsia="宋体" w:cs="宋体"/>
      <w:kern w:val="2"/>
      <w:sz w:val="24"/>
      <w:szCs w:val="24"/>
      <w:lang w:val="en-US" w:eastAsia="zh-CN" w:bidi="ar-SA"/>
    </w:rPr>
  </w:style>
  <w:style w:type="character" w:customStyle="1" w:styleId="948">
    <w:name w:val="标题正文黑 Char1"/>
    <w:qFormat/>
    <w:uiPriority w:val="99"/>
    <w:rPr>
      <w:rFonts w:ascii="黑体" w:eastAsia="黑体"/>
      <w:kern w:val="2"/>
      <w:sz w:val="28"/>
      <w:szCs w:val="28"/>
      <w:lang w:val="en-US" w:eastAsia="zh-CN" w:bidi="ar-SA"/>
    </w:rPr>
  </w:style>
  <w:style w:type="character" w:customStyle="1" w:styleId="949">
    <w:name w:val="表中文字 Char22"/>
    <w:qFormat/>
    <w:uiPriority w:val="99"/>
    <w:rPr>
      <w:rFonts w:ascii="宋体" w:eastAsia="宋体"/>
      <w:kern w:val="2"/>
      <w:sz w:val="21"/>
      <w:szCs w:val="21"/>
      <w:lang w:val="en-US" w:eastAsia="zh-CN" w:bidi="ar-SA"/>
    </w:rPr>
  </w:style>
  <w:style w:type="character" w:customStyle="1" w:styleId="950">
    <w:name w:val="题注 Char54"/>
    <w:qFormat/>
    <w:uiPriority w:val="99"/>
    <w:rPr>
      <w:rFonts w:ascii="黑体" w:hAnsi="Arial" w:eastAsia="黑体" w:cs="Arial"/>
      <w:b/>
      <w:kern w:val="2"/>
      <w:sz w:val="24"/>
      <w:szCs w:val="24"/>
      <w:lang w:val="en-US" w:eastAsia="zh-CN" w:bidi="ar-SA"/>
    </w:rPr>
  </w:style>
  <w:style w:type="character" w:customStyle="1" w:styleId="951">
    <w:name w:val="Char Char61"/>
    <w:qFormat/>
    <w:uiPriority w:val="0"/>
    <w:rPr>
      <w:rFonts w:eastAsia="宋体"/>
      <w:b/>
      <w:bCs/>
      <w:kern w:val="2"/>
      <w:sz w:val="28"/>
      <w:szCs w:val="28"/>
      <w:lang w:val="en-US" w:eastAsia="zh-CN" w:bidi="ar-SA"/>
    </w:rPr>
  </w:style>
  <w:style w:type="character" w:customStyle="1" w:styleId="952">
    <w:name w:val="表题1 Char11"/>
    <w:qFormat/>
    <w:uiPriority w:val="99"/>
    <w:rPr>
      <w:rFonts w:hAnsi="Arial" w:eastAsia="宋体" w:cs="Arial"/>
      <w:kern w:val="2"/>
      <w:sz w:val="24"/>
      <w:szCs w:val="24"/>
      <w:lang w:val="en-US" w:eastAsia="zh-CN" w:bidi="ar-SA"/>
    </w:rPr>
  </w:style>
  <w:style w:type="character" w:customStyle="1" w:styleId="953">
    <w:name w:val="正文文本缩进 3 Char21"/>
    <w:qFormat/>
    <w:uiPriority w:val="99"/>
    <w:rPr>
      <w:rFonts w:eastAsia="宋体"/>
      <w:kern w:val="2"/>
      <w:sz w:val="16"/>
      <w:szCs w:val="16"/>
      <w:lang w:val="en-US" w:eastAsia="zh-CN" w:bidi="ar-SA"/>
    </w:rPr>
  </w:style>
  <w:style w:type="character" w:customStyle="1" w:styleId="954">
    <w:name w:val="正文格式 Char4"/>
    <w:qFormat/>
    <w:uiPriority w:val="99"/>
    <w:rPr>
      <w:rFonts w:ascii="宋体" w:hAnsi="宋体" w:eastAsia="宋体"/>
      <w:kern w:val="2"/>
      <w:sz w:val="24"/>
      <w:szCs w:val="24"/>
      <w:lang w:val="en-US" w:eastAsia="zh-CN" w:bidi="ar-SA"/>
    </w:rPr>
  </w:style>
  <w:style w:type="character" w:customStyle="1" w:styleId="955">
    <w:name w:val="Char Char111"/>
    <w:qFormat/>
    <w:uiPriority w:val="99"/>
    <w:rPr>
      <w:rFonts w:ascii="黑体" w:hAnsi="Arial" w:eastAsia="黑体"/>
      <w:b/>
      <w:bCs/>
      <w:kern w:val="2"/>
      <w:sz w:val="30"/>
      <w:szCs w:val="30"/>
      <w:lang w:val="en-US" w:eastAsia="zh-CN" w:bidi="ar-SA"/>
    </w:rPr>
  </w:style>
  <w:style w:type="character" w:customStyle="1" w:styleId="956">
    <w:name w:val="表题1 Char3"/>
    <w:qFormat/>
    <w:uiPriority w:val="99"/>
    <w:rPr>
      <w:rFonts w:ascii="黑体" w:hAnsi="Arial" w:eastAsia="黑体" w:cs="Arial"/>
      <w:b/>
      <w:kern w:val="2"/>
      <w:sz w:val="24"/>
      <w:szCs w:val="24"/>
      <w:lang w:val="en-US" w:eastAsia="zh-CN" w:bidi="ar-SA"/>
    </w:rPr>
  </w:style>
  <w:style w:type="character" w:customStyle="1" w:styleId="957">
    <w:name w:val="标题 3 Char101"/>
    <w:qFormat/>
    <w:uiPriority w:val="99"/>
    <w:rPr>
      <w:rFonts w:ascii="黑体" w:hAnsi="宋体" w:eastAsia="黑体"/>
      <w:b/>
      <w:bCs/>
      <w:kern w:val="2"/>
      <w:sz w:val="28"/>
      <w:szCs w:val="28"/>
      <w:lang w:val="en-US" w:eastAsia="zh-CN" w:bidi="ar-SA"/>
    </w:rPr>
  </w:style>
  <w:style w:type="character" w:customStyle="1" w:styleId="958">
    <w:name w:val="批注框文本 Char11"/>
    <w:qFormat/>
    <w:uiPriority w:val="99"/>
    <w:rPr>
      <w:rFonts w:eastAsia="宋体"/>
      <w:kern w:val="2"/>
      <w:sz w:val="18"/>
      <w:szCs w:val="18"/>
      <w:lang w:val="en-US" w:eastAsia="zh-CN" w:bidi="ar-SA"/>
    </w:rPr>
  </w:style>
  <w:style w:type="character" w:customStyle="1" w:styleId="959">
    <w:name w:val="批注框文本 Char2"/>
    <w:qFormat/>
    <w:uiPriority w:val="99"/>
    <w:rPr>
      <w:rFonts w:eastAsia="宋体"/>
      <w:kern w:val="2"/>
      <w:sz w:val="18"/>
      <w:szCs w:val="18"/>
      <w:lang w:val="en-US" w:eastAsia="zh-CN" w:bidi="ar-SA"/>
    </w:rPr>
  </w:style>
  <w:style w:type="character" w:customStyle="1" w:styleId="960">
    <w:name w:val="正文修改 Char144"/>
    <w:qFormat/>
    <w:uiPriority w:val="99"/>
    <w:rPr>
      <w:rFonts w:ascii="宋体" w:hAnsi="宋体"/>
      <w:color w:val="000000"/>
      <w:kern w:val="2"/>
      <w:sz w:val="28"/>
      <w:szCs w:val="28"/>
    </w:rPr>
  </w:style>
  <w:style w:type="character" w:customStyle="1" w:styleId="961">
    <w:name w:val="正文格式 Char5"/>
    <w:qFormat/>
    <w:uiPriority w:val="99"/>
    <w:rPr>
      <w:rFonts w:ascii="宋体" w:hAnsi="宋体" w:eastAsia="宋体"/>
      <w:kern w:val="2"/>
      <w:sz w:val="24"/>
      <w:szCs w:val="24"/>
      <w:lang w:val="en-US" w:eastAsia="zh-CN" w:bidi="ar-SA"/>
    </w:rPr>
  </w:style>
  <w:style w:type="character" w:customStyle="1" w:styleId="962">
    <w:name w:val="标题 2 Char3"/>
    <w:qFormat/>
    <w:uiPriority w:val="99"/>
    <w:rPr>
      <w:rFonts w:ascii="黑体" w:hAnsi="Arial" w:eastAsia="黑体"/>
      <w:bCs/>
      <w:kern w:val="2"/>
      <w:sz w:val="30"/>
      <w:szCs w:val="30"/>
      <w:lang w:val="en-US" w:eastAsia="zh-CN" w:bidi="ar-SA"/>
    </w:rPr>
  </w:style>
  <w:style w:type="character" w:customStyle="1" w:styleId="963">
    <w:name w:val="题注 Char3"/>
    <w:qFormat/>
    <w:uiPriority w:val="99"/>
    <w:rPr>
      <w:rFonts w:ascii="黑体" w:hAnsi="Arial" w:eastAsia="黑体" w:cs="Arial"/>
      <w:b/>
      <w:kern w:val="2"/>
      <w:sz w:val="24"/>
      <w:szCs w:val="24"/>
      <w:lang w:val="en-US" w:eastAsia="zh-CN" w:bidi="ar-SA"/>
    </w:rPr>
  </w:style>
  <w:style w:type="character" w:customStyle="1" w:styleId="964">
    <w:name w:val="表格内字体 Char5"/>
    <w:qFormat/>
    <w:uiPriority w:val="99"/>
    <w:rPr>
      <w:rFonts w:ascii="宋体" w:hAnsi="宋体" w:eastAsia="宋体"/>
      <w:kern w:val="2"/>
      <w:sz w:val="21"/>
      <w:szCs w:val="24"/>
      <w:lang w:val="en-US" w:eastAsia="zh-CN" w:bidi="ar-SA"/>
    </w:rPr>
  </w:style>
  <w:style w:type="character" w:customStyle="1" w:styleId="965">
    <w:name w:val="正文修改 Char13"/>
    <w:qFormat/>
    <w:uiPriority w:val="99"/>
    <w:rPr>
      <w:rFonts w:ascii="宋体" w:hAnsi="宋体"/>
      <w:color w:val="000000"/>
      <w:kern w:val="2"/>
      <w:sz w:val="28"/>
      <w:szCs w:val="28"/>
    </w:rPr>
  </w:style>
  <w:style w:type="character" w:customStyle="1" w:styleId="966">
    <w:name w:val="正文修改 Char152"/>
    <w:qFormat/>
    <w:uiPriority w:val="99"/>
    <w:rPr>
      <w:rFonts w:ascii="宋体" w:hAnsi="宋体"/>
      <w:color w:val="000000"/>
      <w:kern w:val="2"/>
      <w:sz w:val="28"/>
      <w:szCs w:val="28"/>
    </w:rPr>
  </w:style>
  <w:style w:type="character" w:customStyle="1" w:styleId="967">
    <w:name w:val="表题1 Char4"/>
    <w:qFormat/>
    <w:uiPriority w:val="99"/>
    <w:rPr>
      <w:rFonts w:ascii="黑体" w:hAnsi="Arial" w:eastAsia="黑体" w:cs="Arial"/>
      <w:b/>
      <w:kern w:val="2"/>
      <w:sz w:val="24"/>
      <w:szCs w:val="24"/>
      <w:lang w:val="en-US" w:eastAsia="zh-CN" w:bidi="ar-SA"/>
    </w:rPr>
  </w:style>
  <w:style w:type="character" w:customStyle="1" w:styleId="968">
    <w:name w:val="表中文字 Char23"/>
    <w:qFormat/>
    <w:uiPriority w:val="99"/>
    <w:rPr>
      <w:rFonts w:ascii="宋体" w:eastAsia="宋体"/>
      <w:kern w:val="2"/>
      <w:sz w:val="21"/>
      <w:szCs w:val="21"/>
      <w:lang w:val="en-US" w:eastAsia="zh-CN" w:bidi="ar-SA"/>
    </w:rPr>
  </w:style>
  <w:style w:type="character" w:customStyle="1" w:styleId="969">
    <w:name w:val="干标题(a) Char1"/>
    <w:qFormat/>
    <w:uiPriority w:val="99"/>
    <w:rPr>
      <w:rFonts w:ascii="Arial" w:hAnsi="Arial" w:eastAsia="黑体"/>
      <w:kern w:val="2"/>
      <w:sz w:val="21"/>
      <w:szCs w:val="21"/>
      <w:lang w:val="en-US" w:eastAsia="zh-CN" w:bidi="ar-SA"/>
    </w:rPr>
  </w:style>
  <w:style w:type="character" w:customStyle="1" w:styleId="970">
    <w:name w:val="正文格式 Char6"/>
    <w:qFormat/>
    <w:uiPriority w:val="99"/>
    <w:rPr>
      <w:rFonts w:ascii="宋体" w:hAnsi="宋体" w:eastAsia="宋体" w:cs="Times New Roman"/>
      <w:kern w:val="2"/>
      <w:sz w:val="24"/>
      <w:szCs w:val="24"/>
      <w:lang w:val="en-US" w:eastAsia="zh-CN" w:bidi="ar-SA"/>
    </w:rPr>
  </w:style>
  <w:style w:type="character" w:customStyle="1" w:styleId="971">
    <w:name w:val="文档结构图 Char1"/>
    <w:qFormat/>
    <w:uiPriority w:val="99"/>
    <w:rPr>
      <w:rFonts w:ascii="Times New Roman" w:hAnsi="Times New Roman" w:eastAsia="宋体" w:cs="Times New Roman"/>
      <w:kern w:val="2"/>
      <w:sz w:val="24"/>
      <w:szCs w:val="24"/>
      <w:shd w:val="clear" w:color="auto" w:fill="000080"/>
      <w:lang w:val="en-US" w:eastAsia="zh-CN" w:bidi="ar-SA"/>
    </w:rPr>
  </w:style>
  <w:style w:type="character" w:customStyle="1" w:styleId="972">
    <w:name w:val="表题 Char4"/>
    <w:qFormat/>
    <w:uiPriority w:val="99"/>
    <w:rPr>
      <w:rFonts w:ascii="黑体" w:hAnsi="Arial" w:eastAsia="黑体" w:cs="Arial"/>
      <w:b/>
      <w:kern w:val="2"/>
      <w:sz w:val="24"/>
      <w:szCs w:val="24"/>
      <w:lang w:val="en-US" w:eastAsia="zh-CN" w:bidi="ar-SA"/>
    </w:rPr>
  </w:style>
  <w:style w:type="character" w:customStyle="1" w:styleId="973">
    <w:name w:val="标题 5 Char1"/>
    <w:qFormat/>
    <w:uiPriority w:val="99"/>
    <w:rPr>
      <w:rFonts w:ascii="宋体" w:hAnsi="宋体" w:eastAsia="宋体" w:cs="宋体"/>
      <w:b/>
      <w:bCs/>
      <w:kern w:val="2"/>
      <w:sz w:val="28"/>
      <w:szCs w:val="28"/>
      <w:lang w:val="en-US" w:eastAsia="zh-CN" w:bidi="ar-SA"/>
    </w:rPr>
  </w:style>
  <w:style w:type="character" w:customStyle="1" w:styleId="974">
    <w:name w:val="正文格式 Char7"/>
    <w:qFormat/>
    <w:uiPriority w:val="99"/>
    <w:rPr>
      <w:rFonts w:ascii="宋体" w:hAnsi="宋体" w:eastAsia="宋体"/>
      <w:kern w:val="2"/>
      <w:sz w:val="24"/>
      <w:szCs w:val="24"/>
      <w:lang w:val="en-US" w:eastAsia="zh-CN" w:bidi="ar-SA"/>
    </w:rPr>
  </w:style>
  <w:style w:type="character" w:customStyle="1" w:styleId="975">
    <w:name w:val="Char Char41"/>
    <w:qFormat/>
    <w:uiPriority w:val="99"/>
    <w:rPr>
      <w:rFonts w:ascii="黑体" w:hAnsi="Arial" w:eastAsia="黑体"/>
      <w:b/>
      <w:bCs/>
      <w:kern w:val="2"/>
      <w:sz w:val="30"/>
      <w:szCs w:val="30"/>
      <w:lang w:val="en-US" w:eastAsia="zh-CN" w:bidi="ar-SA"/>
    </w:rPr>
  </w:style>
  <w:style w:type="character" w:customStyle="1" w:styleId="976">
    <w:name w:val="Char Char112"/>
    <w:qFormat/>
    <w:uiPriority w:val="99"/>
    <w:rPr>
      <w:rFonts w:ascii="黑体" w:hAnsi="Arial" w:eastAsia="黑体"/>
      <w:bCs/>
      <w:kern w:val="2"/>
      <w:sz w:val="30"/>
      <w:szCs w:val="30"/>
      <w:lang w:val="en-US" w:eastAsia="zh-CN" w:bidi="ar-SA"/>
    </w:rPr>
  </w:style>
  <w:style w:type="character" w:customStyle="1" w:styleId="977">
    <w:name w:val="正文文本缩进 3 Char2"/>
    <w:qFormat/>
    <w:uiPriority w:val="99"/>
    <w:rPr>
      <w:rFonts w:eastAsia="宋体"/>
      <w:kern w:val="2"/>
      <w:sz w:val="16"/>
      <w:szCs w:val="16"/>
      <w:lang w:val="en-US" w:eastAsia="zh-CN" w:bidi="ar-SA"/>
    </w:rPr>
  </w:style>
  <w:style w:type="character" w:customStyle="1" w:styleId="978">
    <w:name w:val="表题1 Char6"/>
    <w:qFormat/>
    <w:uiPriority w:val="99"/>
    <w:rPr>
      <w:rFonts w:ascii="黑体" w:hAnsi="Arial" w:eastAsia="黑体" w:cs="Arial"/>
      <w:b/>
      <w:kern w:val="2"/>
      <w:sz w:val="24"/>
      <w:szCs w:val="24"/>
      <w:lang w:val="en-US" w:eastAsia="zh-CN" w:bidi="ar-SA"/>
    </w:rPr>
  </w:style>
  <w:style w:type="character" w:customStyle="1" w:styleId="979">
    <w:name w:val="无效格式 Char"/>
    <w:qFormat/>
    <w:uiPriority w:val="0"/>
    <w:rPr>
      <w:rFonts w:ascii="黑体" w:hAnsi="Arial" w:eastAsia="黑体"/>
      <w:b/>
      <w:bCs/>
      <w:kern w:val="2"/>
      <w:sz w:val="24"/>
      <w:szCs w:val="24"/>
      <w:lang w:val="en-US" w:eastAsia="zh-CN" w:bidi="ar-SA"/>
    </w:rPr>
  </w:style>
  <w:style w:type="character" w:customStyle="1" w:styleId="980">
    <w:name w:val="批注框文本 Char4"/>
    <w:qFormat/>
    <w:uiPriority w:val="99"/>
    <w:rPr>
      <w:rFonts w:eastAsia="宋体"/>
      <w:kern w:val="2"/>
      <w:sz w:val="18"/>
      <w:szCs w:val="18"/>
      <w:lang w:val="en-US" w:eastAsia="zh-CN" w:bidi="ar-SA"/>
    </w:rPr>
  </w:style>
  <w:style w:type="character" w:customStyle="1" w:styleId="981">
    <w:name w:val="正文修改 Char1311"/>
    <w:qFormat/>
    <w:uiPriority w:val="99"/>
    <w:rPr>
      <w:rFonts w:ascii="宋体" w:hAnsi="宋体"/>
      <w:color w:val="000000"/>
      <w:kern w:val="2"/>
      <w:sz w:val="28"/>
      <w:szCs w:val="28"/>
    </w:rPr>
  </w:style>
  <w:style w:type="character" w:customStyle="1" w:styleId="982">
    <w:name w:val="Char Char31"/>
    <w:qFormat/>
    <w:uiPriority w:val="99"/>
    <w:rPr>
      <w:rFonts w:ascii="黑体" w:hAnsi="宋体" w:eastAsia="黑体"/>
      <w:b/>
      <w:bCs/>
      <w:kern w:val="2"/>
      <w:sz w:val="28"/>
      <w:szCs w:val="28"/>
      <w:lang w:val="en-US" w:eastAsia="zh-CN" w:bidi="ar-SA"/>
    </w:rPr>
  </w:style>
  <w:style w:type="character" w:customStyle="1" w:styleId="983">
    <w:name w:val="Char Char51"/>
    <w:qFormat/>
    <w:uiPriority w:val="0"/>
    <w:rPr>
      <w:rFonts w:ascii="黑体" w:hAnsi="宋体" w:eastAsia="黑体"/>
      <w:bCs/>
      <w:kern w:val="2"/>
      <w:sz w:val="28"/>
      <w:szCs w:val="28"/>
      <w:lang w:val="en-US" w:eastAsia="zh-CN" w:bidi="ar-SA"/>
    </w:rPr>
  </w:style>
  <w:style w:type="character" w:customStyle="1" w:styleId="984">
    <w:name w:val="Char Char211"/>
    <w:qFormat/>
    <w:uiPriority w:val="99"/>
    <w:rPr>
      <w:rFonts w:ascii="黑体" w:eastAsia="宋体"/>
      <w:kern w:val="2"/>
      <w:sz w:val="16"/>
      <w:szCs w:val="16"/>
      <w:lang w:val="en-US" w:eastAsia="zh-CN" w:bidi="ar-SA"/>
    </w:rPr>
  </w:style>
  <w:style w:type="character" w:customStyle="1" w:styleId="985">
    <w:name w:val="Char Char121"/>
    <w:qFormat/>
    <w:uiPriority w:val="99"/>
    <w:rPr>
      <w:rFonts w:ascii="黑体" w:hAnsi="Arial" w:eastAsia="黑体"/>
      <w:b/>
      <w:bCs/>
      <w:kern w:val="2"/>
      <w:sz w:val="30"/>
      <w:szCs w:val="30"/>
      <w:lang w:val="en-US" w:eastAsia="zh-CN" w:bidi="ar-SA"/>
    </w:rPr>
  </w:style>
  <w:style w:type="character" w:customStyle="1" w:styleId="986">
    <w:name w:val="Char Char62"/>
    <w:qFormat/>
    <w:uiPriority w:val="99"/>
    <w:rPr>
      <w:rFonts w:ascii="黑体" w:eastAsia="黑体"/>
      <w:b/>
      <w:bCs/>
      <w:kern w:val="2"/>
      <w:sz w:val="28"/>
      <w:szCs w:val="28"/>
      <w:lang w:val="en-US" w:eastAsia="zh-CN" w:bidi="ar-SA"/>
    </w:rPr>
  </w:style>
  <w:style w:type="character" w:customStyle="1" w:styleId="987">
    <w:name w:val="样式 表内小5 + 黑体 加粗 倾斜 下划线 Char3"/>
    <w:qFormat/>
    <w:uiPriority w:val="99"/>
    <w:rPr>
      <w:rFonts w:ascii="黑体" w:hAnsi="黑体" w:eastAsia="黑体" w:cs="Times New Roman"/>
      <w:b/>
      <w:bCs/>
      <w:i/>
      <w:iCs/>
      <w:kern w:val="2"/>
      <w:sz w:val="18"/>
      <w:szCs w:val="24"/>
      <w:u w:val="single"/>
      <w:lang w:val="en-US" w:eastAsia="zh-CN" w:bidi="ar-SA"/>
    </w:rPr>
  </w:style>
  <w:style w:type="character" w:customStyle="1" w:styleId="988">
    <w:name w:val="Char Char32"/>
    <w:qFormat/>
    <w:uiPriority w:val="99"/>
    <w:rPr>
      <w:rFonts w:ascii="黑体" w:hAnsi="宋体" w:eastAsia="黑体"/>
      <w:b/>
      <w:bCs/>
      <w:kern w:val="2"/>
      <w:sz w:val="28"/>
      <w:szCs w:val="28"/>
      <w:lang w:val="en-US" w:eastAsia="zh-CN" w:bidi="ar-SA"/>
    </w:rPr>
  </w:style>
  <w:style w:type="character" w:customStyle="1" w:styleId="989">
    <w:name w:val="Char Char52"/>
    <w:qFormat/>
    <w:uiPriority w:val="99"/>
    <w:rPr>
      <w:rFonts w:ascii="黑体" w:hAnsi="宋体" w:eastAsia="黑体"/>
      <w:bCs/>
      <w:kern w:val="2"/>
      <w:sz w:val="28"/>
      <w:szCs w:val="28"/>
      <w:lang w:val="en-US" w:eastAsia="zh-CN" w:bidi="ar-SA"/>
    </w:rPr>
  </w:style>
  <w:style w:type="character" w:customStyle="1" w:styleId="990">
    <w:name w:val="Char Char212"/>
    <w:qFormat/>
    <w:uiPriority w:val="99"/>
    <w:rPr>
      <w:rFonts w:ascii="黑体" w:eastAsia="宋体"/>
      <w:kern w:val="2"/>
      <w:sz w:val="16"/>
      <w:szCs w:val="16"/>
      <w:lang w:val="en-US" w:eastAsia="zh-CN" w:bidi="ar-SA"/>
    </w:rPr>
  </w:style>
  <w:style w:type="character" w:customStyle="1" w:styleId="991">
    <w:name w:val="Char Char63"/>
    <w:qFormat/>
    <w:uiPriority w:val="99"/>
    <w:rPr>
      <w:rFonts w:ascii="黑体" w:eastAsia="黑体"/>
      <w:b/>
      <w:bCs/>
      <w:kern w:val="2"/>
      <w:sz w:val="28"/>
      <w:szCs w:val="28"/>
      <w:lang w:val="en-US" w:eastAsia="zh-CN" w:bidi="ar-SA"/>
    </w:rPr>
  </w:style>
  <w:style w:type="character" w:customStyle="1" w:styleId="992">
    <w:name w:val="标题 3 Char12"/>
    <w:qFormat/>
    <w:uiPriority w:val="99"/>
    <w:rPr>
      <w:rFonts w:ascii="黑体" w:hAnsi="宋体" w:eastAsia="黑体"/>
      <w:b/>
      <w:bCs/>
      <w:kern w:val="2"/>
      <w:sz w:val="28"/>
      <w:szCs w:val="28"/>
      <w:lang w:val="en-US" w:eastAsia="zh-CN" w:bidi="ar-SA"/>
    </w:rPr>
  </w:style>
  <w:style w:type="character" w:customStyle="1" w:styleId="993">
    <w:name w:val="表题1 Char7"/>
    <w:qFormat/>
    <w:uiPriority w:val="99"/>
    <w:rPr>
      <w:rFonts w:ascii="黑体" w:hAnsi="Arial" w:eastAsia="黑体" w:cs="Arial"/>
      <w:b/>
      <w:kern w:val="2"/>
      <w:sz w:val="24"/>
      <w:szCs w:val="24"/>
      <w:lang w:val="en-US" w:eastAsia="zh-CN" w:bidi="ar-SA"/>
    </w:rPr>
  </w:style>
  <w:style w:type="character" w:customStyle="1" w:styleId="994">
    <w:name w:val="燕山正文 Char15"/>
    <w:qFormat/>
    <w:uiPriority w:val="99"/>
    <w:rPr>
      <w:rFonts w:ascii="宋体" w:eastAsia="宋体" w:cs="宋体"/>
      <w:kern w:val="2"/>
      <w:sz w:val="24"/>
      <w:szCs w:val="24"/>
      <w:lang w:val="en-US" w:eastAsia="zh-CN" w:bidi="ar-SA"/>
    </w:rPr>
  </w:style>
  <w:style w:type="character" w:customStyle="1" w:styleId="995">
    <w:name w:val="正文修改 Char15"/>
    <w:qFormat/>
    <w:uiPriority w:val="99"/>
    <w:rPr>
      <w:rFonts w:ascii="宋体" w:hAnsi="宋体"/>
      <w:color w:val="000000"/>
      <w:kern w:val="2"/>
      <w:sz w:val="28"/>
      <w:szCs w:val="28"/>
    </w:rPr>
  </w:style>
  <w:style w:type="character" w:customStyle="1" w:styleId="996">
    <w:name w:val="表中文字 Char25"/>
    <w:qFormat/>
    <w:uiPriority w:val="99"/>
    <w:rPr>
      <w:rFonts w:ascii="宋体" w:eastAsia="宋体"/>
      <w:kern w:val="2"/>
      <w:sz w:val="21"/>
      <w:szCs w:val="21"/>
      <w:lang w:val="en-US" w:eastAsia="zh-CN" w:bidi="ar-SA"/>
    </w:rPr>
  </w:style>
  <w:style w:type="character" w:customStyle="1" w:styleId="997">
    <w:name w:val="样式 表内小5 + 黑体 加粗 倾斜 下划线 Char1"/>
    <w:qFormat/>
    <w:uiPriority w:val="99"/>
    <w:rPr>
      <w:rFonts w:ascii="黑体" w:hAnsi="黑体" w:eastAsia="黑体"/>
      <w:b/>
      <w:bCs/>
      <w:i/>
      <w:iCs/>
      <w:kern w:val="2"/>
      <w:sz w:val="18"/>
      <w:szCs w:val="24"/>
      <w:u w:val="single"/>
      <w:lang w:val="en-US" w:eastAsia="zh-CN" w:bidi="ar-SA"/>
    </w:rPr>
  </w:style>
  <w:style w:type="character" w:customStyle="1" w:styleId="998">
    <w:name w:val="正文缩进 Char7"/>
    <w:qFormat/>
    <w:uiPriority w:val="99"/>
    <w:rPr>
      <w:rFonts w:ascii="宋体" w:hAnsi="宋体" w:eastAsia="宋体"/>
      <w:kern w:val="2"/>
      <w:sz w:val="24"/>
      <w:szCs w:val="24"/>
      <w:lang w:val="en-US" w:eastAsia="zh-CN" w:bidi="ar-SA"/>
    </w:rPr>
  </w:style>
  <w:style w:type="character" w:customStyle="1" w:styleId="999">
    <w:name w:val="福建正文缩进 Char1"/>
    <w:qFormat/>
    <w:uiPriority w:val="99"/>
    <w:rPr>
      <w:rFonts w:ascii="宋体" w:eastAsia="宋体"/>
      <w:kern w:val="2"/>
      <w:sz w:val="24"/>
      <w:szCs w:val="24"/>
      <w:lang w:val="en-US" w:eastAsia="zh-CN" w:bidi="ar-SA"/>
    </w:rPr>
  </w:style>
  <w:style w:type="character" w:customStyle="1" w:styleId="1000">
    <w:name w:val="批注框文本 Char5"/>
    <w:qFormat/>
    <w:uiPriority w:val="99"/>
    <w:rPr>
      <w:rFonts w:eastAsia="宋体"/>
      <w:kern w:val="2"/>
      <w:sz w:val="18"/>
      <w:szCs w:val="18"/>
      <w:lang w:val="en-US" w:eastAsia="zh-CN" w:bidi="ar-SA"/>
    </w:rPr>
  </w:style>
  <w:style w:type="character" w:customStyle="1" w:styleId="1001">
    <w:name w:val="纯文本 Char3"/>
    <w:qFormat/>
    <w:uiPriority w:val="99"/>
    <w:rPr>
      <w:rFonts w:ascii="宋体" w:hAnsi="Courier New" w:eastAsia="宋体" w:cs="Courier New"/>
      <w:kern w:val="2"/>
      <w:sz w:val="24"/>
      <w:szCs w:val="21"/>
      <w:lang w:val="en-US" w:eastAsia="zh-CN" w:bidi="ar-SA"/>
    </w:rPr>
  </w:style>
  <w:style w:type="character" w:customStyle="1" w:styleId="1002">
    <w:name w:val="正文文本 3 Char1"/>
    <w:qFormat/>
    <w:uiPriority w:val="99"/>
    <w:rPr>
      <w:rFonts w:eastAsia="宋体"/>
      <w:kern w:val="2"/>
      <w:sz w:val="16"/>
      <w:szCs w:val="16"/>
      <w:lang w:val="en-US" w:eastAsia="zh-CN" w:bidi="ar-SA"/>
    </w:rPr>
  </w:style>
  <w:style w:type="character" w:customStyle="1" w:styleId="1003">
    <w:name w:val="正文修改 Char1411"/>
    <w:qFormat/>
    <w:uiPriority w:val="99"/>
    <w:rPr>
      <w:rFonts w:ascii="宋体" w:hAnsi="宋体"/>
      <w:color w:val="000000"/>
      <w:kern w:val="2"/>
      <w:sz w:val="28"/>
      <w:szCs w:val="28"/>
    </w:rPr>
  </w:style>
  <w:style w:type="character" w:customStyle="1" w:styleId="1004">
    <w:name w:val="表题1 Char411"/>
    <w:qFormat/>
    <w:uiPriority w:val="99"/>
    <w:rPr>
      <w:rFonts w:ascii="黑体" w:hAnsi="Arial" w:eastAsia="黑体" w:cs="Arial"/>
      <w:b/>
      <w:kern w:val="2"/>
      <w:sz w:val="24"/>
      <w:szCs w:val="24"/>
      <w:lang w:val="en-US" w:eastAsia="zh-CN" w:bidi="ar-SA"/>
    </w:rPr>
  </w:style>
  <w:style w:type="character" w:customStyle="1" w:styleId="1005">
    <w:name w:val="Char Char611"/>
    <w:qFormat/>
    <w:uiPriority w:val="99"/>
    <w:rPr>
      <w:rFonts w:ascii="黑体" w:eastAsia="黑体"/>
      <w:b/>
      <w:bCs/>
      <w:kern w:val="2"/>
      <w:sz w:val="28"/>
      <w:szCs w:val="28"/>
      <w:lang w:val="en-US" w:eastAsia="zh-CN" w:bidi="ar-SA"/>
    </w:rPr>
  </w:style>
  <w:style w:type="character" w:customStyle="1" w:styleId="1006">
    <w:name w:val="Char Char310"/>
    <w:qFormat/>
    <w:uiPriority w:val="99"/>
    <w:rPr>
      <w:rFonts w:ascii="黑体" w:hAnsi="宋体" w:eastAsia="黑体"/>
      <w:b/>
      <w:bCs/>
      <w:kern w:val="2"/>
      <w:sz w:val="28"/>
      <w:szCs w:val="28"/>
      <w:lang w:val="en-US" w:eastAsia="zh-CN" w:bidi="ar-SA"/>
    </w:rPr>
  </w:style>
  <w:style w:type="character" w:customStyle="1" w:styleId="1007">
    <w:name w:val="正文修改 Char121"/>
    <w:qFormat/>
    <w:uiPriority w:val="99"/>
    <w:rPr>
      <w:rFonts w:ascii="宋体" w:hAnsi="宋体"/>
      <w:color w:val="000000"/>
      <w:kern w:val="2"/>
      <w:sz w:val="28"/>
      <w:szCs w:val="28"/>
    </w:rPr>
  </w:style>
  <w:style w:type="character" w:customStyle="1" w:styleId="1008">
    <w:name w:val="Char Char38"/>
    <w:qFormat/>
    <w:uiPriority w:val="99"/>
    <w:rPr>
      <w:rFonts w:ascii="黑体" w:hAnsi="宋体" w:eastAsia="黑体"/>
      <w:b/>
      <w:bCs/>
      <w:kern w:val="2"/>
      <w:sz w:val="28"/>
      <w:szCs w:val="28"/>
      <w:lang w:val="en-US" w:eastAsia="zh-CN" w:bidi="ar-SA"/>
    </w:rPr>
  </w:style>
  <w:style w:type="character" w:customStyle="1" w:styleId="1009">
    <w:name w:val="表中文字 Char4"/>
    <w:qFormat/>
    <w:uiPriority w:val="99"/>
    <w:rPr>
      <w:rFonts w:ascii="Arial" w:hAnsi="Arial" w:eastAsia="宋体" w:cs="Times New Roman"/>
      <w:kern w:val="0"/>
      <w:sz w:val="20"/>
      <w:szCs w:val="24"/>
      <w:lang w:val="en-US" w:eastAsia="zh-TW" w:bidi="ar-SA"/>
    </w:rPr>
  </w:style>
  <w:style w:type="character" w:customStyle="1" w:styleId="1010">
    <w:name w:val="题注 Char31"/>
    <w:qFormat/>
    <w:uiPriority w:val="99"/>
    <w:rPr>
      <w:rFonts w:ascii="黑体" w:hAnsi="Arial" w:eastAsia="黑体" w:cs="Arial"/>
      <w:b/>
      <w:kern w:val="2"/>
      <w:sz w:val="24"/>
      <w:szCs w:val="24"/>
      <w:lang w:val="en-US" w:eastAsia="zh-CN" w:bidi="ar-SA"/>
    </w:rPr>
  </w:style>
  <w:style w:type="character" w:customStyle="1" w:styleId="1011">
    <w:name w:val="表题1 Char41"/>
    <w:qFormat/>
    <w:uiPriority w:val="99"/>
    <w:rPr>
      <w:rFonts w:ascii="黑体" w:hAnsi="Arial" w:eastAsia="黑体" w:cs="Arial"/>
      <w:b/>
      <w:kern w:val="2"/>
      <w:sz w:val="24"/>
      <w:szCs w:val="24"/>
      <w:lang w:val="en-US" w:eastAsia="zh-CN" w:bidi="ar-SA"/>
    </w:rPr>
  </w:style>
  <w:style w:type="character" w:customStyle="1" w:styleId="1012">
    <w:name w:val="标题 8 Char1"/>
    <w:qFormat/>
    <w:uiPriority w:val="0"/>
    <w:rPr>
      <w:rFonts w:ascii="Arial" w:hAnsi="Arial" w:eastAsia="黑体"/>
      <w:kern w:val="2"/>
      <w:sz w:val="24"/>
      <w:szCs w:val="24"/>
      <w:lang w:val="en-US" w:eastAsia="zh-CN" w:bidi="ar-SA"/>
    </w:rPr>
  </w:style>
  <w:style w:type="character" w:customStyle="1" w:styleId="1013">
    <w:name w:val="标题 9 Char1"/>
    <w:qFormat/>
    <w:uiPriority w:val="99"/>
    <w:rPr>
      <w:rFonts w:ascii="Arial" w:hAnsi="Arial" w:eastAsia="黑体"/>
      <w:kern w:val="2"/>
      <w:sz w:val="21"/>
      <w:szCs w:val="21"/>
      <w:lang w:val="en-US" w:eastAsia="zh-CN" w:bidi="ar-SA"/>
    </w:rPr>
  </w:style>
  <w:style w:type="character" w:customStyle="1" w:styleId="1014">
    <w:name w:val="正文文字 Char Char Char Char Char11"/>
    <w:qFormat/>
    <w:uiPriority w:val="0"/>
    <w:rPr>
      <w:rFonts w:eastAsia="宋体"/>
      <w:kern w:val="2"/>
      <w:sz w:val="21"/>
      <w:szCs w:val="24"/>
      <w:lang w:val="en-US" w:eastAsia="zh-CN" w:bidi="ar-SA"/>
    </w:rPr>
  </w:style>
  <w:style w:type="character" w:customStyle="1" w:styleId="1015">
    <w:name w:val="正文修改 Char112"/>
    <w:qFormat/>
    <w:uiPriority w:val="99"/>
    <w:rPr>
      <w:rFonts w:ascii="宋体" w:hAnsi="宋体"/>
      <w:color w:val="000000"/>
      <w:kern w:val="2"/>
      <w:sz w:val="28"/>
      <w:szCs w:val="28"/>
    </w:rPr>
  </w:style>
  <w:style w:type="character" w:customStyle="1" w:styleId="1016">
    <w:name w:val="图题 Char1"/>
    <w:qFormat/>
    <w:uiPriority w:val="99"/>
    <w:rPr>
      <w:rFonts w:ascii="黑体" w:hAnsi="宋体" w:eastAsia="黑体" w:cs="宋体"/>
      <w:b/>
      <w:bCs/>
      <w:kern w:val="2"/>
      <w:sz w:val="24"/>
      <w:szCs w:val="24"/>
      <w:lang w:val="en-US" w:eastAsia="zh-CN" w:bidi="ar-SA"/>
    </w:rPr>
  </w:style>
  <w:style w:type="character" w:customStyle="1" w:styleId="1017">
    <w:name w:val="页脚 Char1"/>
    <w:qFormat/>
    <w:uiPriority w:val="0"/>
    <w:rPr>
      <w:rFonts w:eastAsia="宋体"/>
      <w:kern w:val="2"/>
      <w:sz w:val="18"/>
      <w:szCs w:val="18"/>
      <w:lang w:val="en-US" w:eastAsia="zh-CN" w:bidi="ar-SA"/>
    </w:rPr>
  </w:style>
  <w:style w:type="character" w:customStyle="1" w:styleId="1018">
    <w:name w:val="图表题 Char1"/>
    <w:qFormat/>
    <w:uiPriority w:val="99"/>
    <w:rPr>
      <w:rFonts w:ascii="黑体" w:hAnsi="宋体" w:eastAsia="黑体" w:cs="宋体"/>
      <w:b/>
      <w:bCs/>
      <w:kern w:val="2"/>
      <w:sz w:val="24"/>
      <w:szCs w:val="24"/>
      <w:lang w:val="en-US" w:eastAsia="zh-CN" w:bidi="ar-SA"/>
    </w:rPr>
  </w:style>
  <w:style w:type="character" w:customStyle="1" w:styleId="1019">
    <w:name w:val="样式 表格内字体 + Char1"/>
    <w:qFormat/>
    <w:uiPriority w:val="99"/>
    <w:rPr>
      <w:rFonts w:ascii="宋体" w:hAnsi="宋体" w:eastAsia="宋体"/>
      <w:kern w:val="2"/>
      <w:sz w:val="21"/>
      <w:szCs w:val="24"/>
      <w:lang w:val="en-US" w:eastAsia="zh-CN" w:bidi="ar-SA"/>
    </w:rPr>
  </w:style>
  <w:style w:type="character" w:customStyle="1" w:styleId="1020">
    <w:name w:val="A正文 Char1"/>
    <w:qFormat/>
    <w:uiPriority w:val="99"/>
    <w:rPr>
      <w:rFonts w:eastAsia="仿宋_GB2312"/>
      <w:kern w:val="2"/>
      <w:sz w:val="24"/>
      <w:szCs w:val="24"/>
      <w:lang w:val="en-US" w:eastAsia="zh-CN" w:bidi="ar-SA"/>
    </w:rPr>
  </w:style>
  <w:style w:type="character" w:customStyle="1" w:styleId="1021">
    <w:name w:val="图题注 Char1"/>
    <w:qFormat/>
    <w:uiPriority w:val="99"/>
    <w:rPr>
      <w:rFonts w:ascii="黑体" w:hAnsi="Arial" w:eastAsia="黑体" w:cs="宋体"/>
      <w:b/>
      <w:bCs/>
      <w:kern w:val="2"/>
      <w:sz w:val="24"/>
      <w:szCs w:val="24"/>
      <w:lang w:val="en-US" w:eastAsia="zh-CN" w:bidi="ar-SA"/>
    </w:rPr>
  </w:style>
  <w:style w:type="character" w:customStyle="1" w:styleId="1022">
    <w:name w:val="环评正文 Char1"/>
    <w:qFormat/>
    <w:uiPriority w:val="99"/>
    <w:rPr>
      <w:rFonts w:eastAsia="宋体"/>
      <w:bCs/>
      <w:kern w:val="2"/>
      <w:sz w:val="24"/>
      <w:szCs w:val="24"/>
      <w:lang w:val="en-US" w:eastAsia="zh-CN" w:bidi="ar-SA"/>
    </w:rPr>
  </w:style>
  <w:style w:type="character" w:customStyle="1" w:styleId="1023">
    <w:name w:val="表中文字 Char1"/>
    <w:qFormat/>
    <w:uiPriority w:val="99"/>
    <w:rPr>
      <w:rFonts w:ascii="Arial" w:hAnsi="Arial" w:eastAsia="宋体"/>
      <w:kern w:val="2"/>
      <w:sz w:val="24"/>
      <w:szCs w:val="24"/>
      <w:lang w:val="en-US" w:eastAsia="zh-TW" w:bidi="ar-SA"/>
    </w:rPr>
  </w:style>
  <w:style w:type="character" w:customStyle="1" w:styleId="1024">
    <w:name w:val="表内5 Char1"/>
    <w:qFormat/>
    <w:uiPriority w:val="99"/>
    <w:rPr>
      <w:rFonts w:ascii="宋体" w:hAnsi="宋体" w:eastAsia="宋体" w:cs="Times New Roman"/>
      <w:kern w:val="2"/>
      <w:sz w:val="24"/>
      <w:szCs w:val="24"/>
      <w:lang w:val="en-US" w:eastAsia="zh-CN" w:bidi="ar-SA"/>
    </w:rPr>
  </w:style>
  <w:style w:type="character" w:customStyle="1" w:styleId="1025">
    <w:name w:val="正文斜体 Char1"/>
    <w:qFormat/>
    <w:uiPriority w:val="99"/>
    <w:rPr>
      <w:rFonts w:ascii="宋体" w:hAnsi="宋体" w:eastAsia="宋体" w:cs="宋体"/>
      <w:i/>
      <w:iCs/>
      <w:kern w:val="2"/>
      <w:sz w:val="24"/>
      <w:szCs w:val="24"/>
      <w:lang w:val="en-US" w:eastAsia="zh-CN" w:bidi="ar-SA"/>
    </w:rPr>
  </w:style>
  <w:style w:type="character" w:customStyle="1" w:styleId="1026">
    <w:name w:val="题注 Char32"/>
    <w:qFormat/>
    <w:uiPriority w:val="99"/>
    <w:rPr>
      <w:rFonts w:ascii="黑体" w:hAnsi="Arial" w:eastAsia="黑体" w:cs="Arial"/>
      <w:b/>
      <w:kern w:val="2"/>
      <w:sz w:val="24"/>
      <w:szCs w:val="24"/>
      <w:lang w:val="en-US" w:eastAsia="zh-CN" w:bidi="ar-SA"/>
    </w:rPr>
  </w:style>
  <w:style w:type="character" w:customStyle="1" w:styleId="1027">
    <w:name w:val="表格内字体 Char9"/>
    <w:qFormat/>
    <w:uiPriority w:val="99"/>
    <w:rPr>
      <w:rFonts w:ascii="宋体" w:hAnsi="宋体" w:eastAsia="宋体"/>
      <w:kern w:val="2"/>
      <w:sz w:val="21"/>
      <w:szCs w:val="24"/>
      <w:lang w:val="en-US" w:eastAsia="zh-CN" w:bidi="ar-SA"/>
    </w:rPr>
  </w:style>
  <w:style w:type="character" w:customStyle="1" w:styleId="1028">
    <w:name w:val="正文格式 Char11"/>
    <w:qFormat/>
    <w:uiPriority w:val="99"/>
    <w:rPr>
      <w:rFonts w:ascii="宋体" w:hAnsi="宋体" w:eastAsia="宋体"/>
      <w:kern w:val="2"/>
      <w:sz w:val="24"/>
      <w:szCs w:val="24"/>
      <w:lang w:val="en-US" w:eastAsia="zh-CN" w:bidi="ar-SA"/>
    </w:rPr>
  </w:style>
  <w:style w:type="character" w:customStyle="1" w:styleId="1029">
    <w:name w:val="标题 2 Char6"/>
    <w:qFormat/>
    <w:uiPriority w:val="99"/>
    <w:rPr>
      <w:rFonts w:ascii="黑体" w:hAnsi="Arial" w:eastAsia="黑体"/>
      <w:b/>
      <w:bCs/>
      <w:kern w:val="2"/>
      <w:sz w:val="30"/>
      <w:szCs w:val="30"/>
      <w:lang w:val="en-US" w:eastAsia="zh-CN" w:bidi="ar-SA"/>
    </w:rPr>
  </w:style>
  <w:style w:type="character" w:customStyle="1" w:styleId="1030">
    <w:name w:val="标题 3 Char13"/>
    <w:qFormat/>
    <w:uiPriority w:val="99"/>
    <w:rPr>
      <w:rFonts w:ascii="黑体" w:hAnsi="宋体" w:eastAsia="黑体"/>
      <w:b/>
      <w:bCs/>
      <w:kern w:val="2"/>
      <w:sz w:val="28"/>
      <w:szCs w:val="28"/>
      <w:lang w:val="en-US" w:eastAsia="zh-CN" w:bidi="ar-SA"/>
    </w:rPr>
  </w:style>
  <w:style w:type="character" w:customStyle="1" w:styleId="1031">
    <w:name w:val="表题1 Char8"/>
    <w:qFormat/>
    <w:uiPriority w:val="99"/>
    <w:rPr>
      <w:rFonts w:ascii="黑体" w:hAnsi="Arial" w:eastAsia="黑体" w:cs="Arial"/>
      <w:b/>
      <w:kern w:val="2"/>
      <w:sz w:val="24"/>
      <w:szCs w:val="24"/>
      <w:lang w:val="en-US" w:eastAsia="zh-CN" w:bidi="ar-SA"/>
    </w:rPr>
  </w:style>
  <w:style w:type="character" w:customStyle="1" w:styleId="1032">
    <w:name w:val="批注框文本 Char6"/>
    <w:qFormat/>
    <w:uiPriority w:val="99"/>
    <w:rPr>
      <w:rFonts w:eastAsia="宋体"/>
      <w:kern w:val="2"/>
      <w:sz w:val="18"/>
      <w:szCs w:val="18"/>
      <w:lang w:val="en-US" w:eastAsia="zh-CN" w:bidi="ar-SA"/>
    </w:rPr>
  </w:style>
  <w:style w:type="character" w:customStyle="1" w:styleId="1033">
    <w:name w:val="正文文本缩进 2 Char2"/>
    <w:qFormat/>
    <w:uiPriority w:val="99"/>
    <w:rPr>
      <w:rFonts w:eastAsia="宋体"/>
      <w:kern w:val="2"/>
      <w:sz w:val="21"/>
      <w:szCs w:val="24"/>
      <w:lang w:val="en-US" w:eastAsia="zh-CN" w:bidi="ar-SA"/>
    </w:rPr>
  </w:style>
  <w:style w:type="character" w:customStyle="1" w:styleId="1034">
    <w:name w:val="正文文本缩进 3 Char4"/>
    <w:qFormat/>
    <w:uiPriority w:val="99"/>
    <w:rPr>
      <w:rFonts w:eastAsia="宋体"/>
      <w:kern w:val="2"/>
      <w:sz w:val="16"/>
      <w:szCs w:val="16"/>
      <w:lang w:val="en-US" w:eastAsia="zh-CN" w:bidi="ar-SA"/>
    </w:rPr>
  </w:style>
  <w:style w:type="character" w:customStyle="1" w:styleId="1035">
    <w:name w:val="正文修改 Char16"/>
    <w:qFormat/>
    <w:uiPriority w:val="99"/>
    <w:rPr>
      <w:rFonts w:ascii="宋体" w:hAnsi="宋体"/>
      <w:color w:val="000000"/>
      <w:kern w:val="2"/>
      <w:sz w:val="28"/>
      <w:szCs w:val="28"/>
    </w:rPr>
  </w:style>
  <w:style w:type="character" w:customStyle="1" w:styleId="1036">
    <w:name w:val="题注 Char7"/>
    <w:qFormat/>
    <w:uiPriority w:val="99"/>
    <w:rPr>
      <w:rFonts w:ascii="黑体" w:hAnsi="Arial" w:eastAsia="黑体" w:cs="Arial"/>
      <w:b/>
      <w:kern w:val="2"/>
      <w:sz w:val="24"/>
      <w:szCs w:val="24"/>
      <w:lang w:val="en-US" w:eastAsia="zh-CN" w:bidi="ar-SA"/>
    </w:rPr>
  </w:style>
  <w:style w:type="character" w:customStyle="1" w:styleId="1037">
    <w:name w:val="正文文本 3 Char2"/>
    <w:qFormat/>
    <w:uiPriority w:val="99"/>
    <w:rPr>
      <w:rFonts w:eastAsia="宋体"/>
      <w:kern w:val="2"/>
      <w:sz w:val="16"/>
      <w:szCs w:val="16"/>
      <w:lang w:val="en-US" w:eastAsia="zh-CN" w:bidi="ar-SA"/>
    </w:rPr>
  </w:style>
  <w:style w:type="character" w:customStyle="1" w:styleId="1038">
    <w:name w:val="表中文字 Char26"/>
    <w:qFormat/>
    <w:uiPriority w:val="99"/>
    <w:rPr>
      <w:rFonts w:ascii="宋体" w:eastAsia="宋体"/>
      <w:kern w:val="2"/>
      <w:sz w:val="21"/>
      <w:szCs w:val="21"/>
      <w:lang w:val="en-US" w:eastAsia="zh-CN" w:bidi="ar-SA"/>
    </w:rPr>
  </w:style>
  <w:style w:type="character" w:customStyle="1" w:styleId="1039">
    <w:name w:val="Char Char1131"/>
    <w:qFormat/>
    <w:uiPriority w:val="99"/>
    <w:rPr>
      <w:rFonts w:ascii="黑体" w:hAnsi="Arial" w:eastAsia="黑体"/>
      <w:bCs/>
      <w:kern w:val="2"/>
      <w:sz w:val="30"/>
      <w:szCs w:val="30"/>
      <w:lang w:val="en-US" w:eastAsia="zh-CN" w:bidi="ar-SA"/>
    </w:rPr>
  </w:style>
  <w:style w:type="character" w:customStyle="1" w:styleId="1040">
    <w:name w:val="题注 Char12"/>
    <w:qFormat/>
    <w:uiPriority w:val="99"/>
    <w:rPr>
      <w:rFonts w:ascii="黑体" w:hAnsi="Arial" w:eastAsia="黑体" w:cs="Arial"/>
      <w:b/>
      <w:kern w:val="2"/>
      <w:sz w:val="24"/>
      <w:szCs w:val="24"/>
      <w:lang w:val="en-US" w:eastAsia="zh-CN" w:bidi="ar-SA"/>
    </w:rPr>
  </w:style>
  <w:style w:type="character" w:customStyle="1" w:styleId="1041">
    <w:name w:val="Char Char631"/>
    <w:qFormat/>
    <w:uiPriority w:val="99"/>
    <w:rPr>
      <w:rFonts w:ascii="黑体" w:eastAsia="黑体"/>
      <w:b/>
      <w:bCs/>
      <w:kern w:val="2"/>
      <w:sz w:val="28"/>
      <w:szCs w:val="28"/>
      <w:lang w:val="en-US" w:eastAsia="zh-CN" w:bidi="ar-SA"/>
    </w:rPr>
  </w:style>
  <w:style w:type="character" w:customStyle="1" w:styleId="1042">
    <w:name w:val="正文修改 Char122"/>
    <w:qFormat/>
    <w:uiPriority w:val="99"/>
    <w:rPr>
      <w:rFonts w:ascii="宋体" w:hAnsi="宋体"/>
      <w:color w:val="000000"/>
      <w:kern w:val="2"/>
      <w:sz w:val="28"/>
      <w:szCs w:val="28"/>
    </w:rPr>
  </w:style>
  <w:style w:type="character" w:customStyle="1" w:styleId="1043">
    <w:name w:val="文档结构图 Char3"/>
    <w:qFormat/>
    <w:uiPriority w:val="99"/>
    <w:rPr>
      <w:rFonts w:eastAsia="宋体"/>
      <w:kern w:val="2"/>
      <w:sz w:val="21"/>
      <w:szCs w:val="24"/>
      <w:shd w:val="clear" w:color="auto" w:fill="000080"/>
      <w:lang w:val="en-US" w:eastAsia="zh-CN" w:bidi="ar-SA"/>
    </w:rPr>
  </w:style>
  <w:style w:type="character" w:customStyle="1" w:styleId="1044">
    <w:name w:val="图表题 Char2"/>
    <w:qFormat/>
    <w:uiPriority w:val="99"/>
    <w:rPr>
      <w:rFonts w:ascii="黑体" w:hAnsi="宋体" w:eastAsia="黑体" w:cs="宋体"/>
      <w:b/>
      <w:bCs/>
      <w:kern w:val="2"/>
      <w:sz w:val="24"/>
      <w:szCs w:val="24"/>
      <w:lang w:val="en-US" w:eastAsia="zh-CN" w:bidi="ar-SA"/>
    </w:rPr>
  </w:style>
  <w:style w:type="character" w:customStyle="1" w:styleId="1045">
    <w:name w:val="样式 表格内字体 + Char2"/>
    <w:qFormat/>
    <w:uiPriority w:val="99"/>
    <w:rPr>
      <w:rFonts w:ascii="宋体" w:hAnsi="宋体" w:eastAsia="宋体"/>
      <w:kern w:val="2"/>
      <w:sz w:val="21"/>
      <w:szCs w:val="24"/>
      <w:lang w:val="en-US" w:eastAsia="zh-CN" w:bidi="ar-SA"/>
    </w:rPr>
  </w:style>
  <w:style w:type="character" w:customStyle="1" w:styleId="1046">
    <w:name w:val="题注 Char111"/>
    <w:qFormat/>
    <w:uiPriority w:val="99"/>
    <w:rPr>
      <w:rFonts w:ascii="黑体" w:hAnsi="Arial" w:eastAsia="黑体" w:cs="Arial"/>
      <w:b/>
      <w:kern w:val="2"/>
      <w:sz w:val="24"/>
      <w:szCs w:val="24"/>
      <w:lang w:val="en-US" w:eastAsia="zh-CN" w:bidi="ar-SA"/>
    </w:rPr>
  </w:style>
  <w:style w:type="character" w:customStyle="1" w:styleId="1047">
    <w:name w:val="表中文字 Char3"/>
    <w:qFormat/>
    <w:uiPriority w:val="99"/>
    <w:rPr>
      <w:rFonts w:ascii="Arial" w:hAnsi="Arial" w:eastAsia="宋体"/>
      <w:kern w:val="2"/>
      <w:sz w:val="24"/>
      <w:szCs w:val="24"/>
      <w:lang w:val="en-US" w:eastAsia="zh-TW" w:bidi="ar-SA"/>
    </w:rPr>
  </w:style>
  <w:style w:type="character" w:customStyle="1" w:styleId="1048">
    <w:name w:val="样式 正文缩进 + 宋体 黑色 Char2"/>
    <w:qFormat/>
    <w:uiPriority w:val="99"/>
    <w:rPr>
      <w:rFonts w:ascii="宋体" w:hAnsi="宋体" w:eastAsia="宋体"/>
      <w:color w:val="000000"/>
      <w:kern w:val="2"/>
      <w:sz w:val="24"/>
      <w:szCs w:val="24"/>
      <w:lang w:val="en-US" w:eastAsia="zh-CN" w:bidi="ar-SA"/>
    </w:rPr>
  </w:style>
  <w:style w:type="character" w:customStyle="1" w:styleId="1049">
    <w:name w:val="题注 Char52"/>
    <w:qFormat/>
    <w:uiPriority w:val="99"/>
    <w:rPr>
      <w:rFonts w:ascii="黑体" w:hAnsi="Arial" w:eastAsia="黑体" w:cs="Arial"/>
      <w:b/>
      <w:kern w:val="2"/>
      <w:sz w:val="24"/>
      <w:szCs w:val="24"/>
      <w:lang w:val="en-US" w:eastAsia="zh-CN" w:bidi="ar-SA"/>
    </w:rPr>
  </w:style>
  <w:style w:type="character" w:customStyle="1" w:styleId="1050">
    <w:name w:val="表题1 Char62"/>
    <w:qFormat/>
    <w:uiPriority w:val="99"/>
    <w:rPr>
      <w:rFonts w:ascii="黑体" w:hAnsi="Arial" w:eastAsia="黑体" w:cs="Arial"/>
      <w:b/>
      <w:kern w:val="2"/>
      <w:sz w:val="24"/>
      <w:szCs w:val="24"/>
      <w:lang w:val="en-US" w:eastAsia="zh-CN" w:bidi="ar-SA"/>
    </w:rPr>
  </w:style>
  <w:style w:type="character" w:customStyle="1" w:styleId="1051">
    <w:name w:val="正文修改 Char142"/>
    <w:qFormat/>
    <w:uiPriority w:val="99"/>
    <w:rPr>
      <w:rFonts w:ascii="宋体" w:hAnsi="宋体"/>
      <w:color w:val="000000"/>
      <w:kern w:val="2"/>
      <w:sz w:val="28"/>
      <w:szCs w:val="28"/>
    </w:rPr>
  </w:style>
  <w:style w:type="character" w:customStyle="1" w:styleId="1052">
    <w:name w:val="Char Char114"/>
    <w:qFormat/>
    <w:uiPriority w:val="99"/>
    <w:rPr>
      <w:rFonts w:ascii="黑体" w:hAnsi="Arial" w:eastAsia="黑体"/>
      <w:bCs/>
      <w:kern w:val="2"/>
      <w:sz w:val="30"/>
      <w:szCs w:val="30"/>
      <w:lang w:val="en-US" w:eastAsia="zh-CN" w:bidi="ar-SA"/>
    </w:rPr>
  </w:style>
  <w:style w:type="character" w:customStyle="1" w:styleId="1053">
    <w:name w:val="Char Char115"/>
    <w:qFormat/>
    <w:uiPriority w:val="99"/>
    <w:rPr>
      <w:rFonts w:ascii="黑体" w:hAnsi="Arial" w:eastAsia="黑体"/>
      <w:bCs/>
      <w:kern w:val="2"/>
      <w:sz w:val="30"/>
      <w:szCs w:val="30"/>
      <w:lang w:val="en-US" w:eastAsia="zh-CN" w:bidi="ar-SA"/>
    </w:rPr>
  </w:style>
  <w:style w:type="character" w:customStyle="1" w:styleId="1054">
    <w:name w:val="题注 Char61"/>
    <w:qFormat/>
    <w:uiPriority w:val="99"/>
    <w:rPr>
      <w:rFonts w:ascii="黑体" w:hAnsi="Arial" w:eastAsia="黑体" w:cs="Arial"/>
      <w:b/>
      <w:kern w:val="2"/>
      <w:sz w:val="24"/>
      <w:szCs w:val="24"/>
      <w:lang w:val="en-US" w:eastAsia="zh-CN" w:bidi="ar-SA"/>
    </w:rPr>
  </w:style>
  <w:style w:type="character" w:customStyle="1" w:styleId="1055">
    <w:name w:val="表题1 Char71"/>
    <w:qFormat/>
    <w:uiPriority w:val="99"/>
    <w:rPr>
      <w:rFonts w:ascii="黑体" w:hAnsi="Arial" w:eastAsia="黑体" w:cs="Arial"/>
      <w:b/>
      <w:kern w:val="2"/>
      <w:sz w:val="24"/>
      <w:szCs w:val="24"/>
      <w:lang w:val="en-US" w:eastAsia="zh-CN" w:bidi="ar-SA"/>
    </w:rPr>
  </w:style>
  <w:style w:type="character" w:customStyle="1" w:styleId="1056">
    <w:name w:val="正文修改 Char151"/>
    <w:qFormat/>
    <w:uiPriority w:val="99"/>
    <w:rPr>
      <w:rFonts w:ascii="宋体" w:hAnsi="宋体"/>
      <w:color w:val="000000"/>
      <w:kern w:val="2"/>
      <w:sz w:val="28"/>
      <w:szCs w:val="28"/>
    </w:rPr>
  </w:style>
  <w:style w:type="character" w:customStyle="1" w:styleId="1057">
    <w:name w:val="正文格式 Char12"/>
    <w:qFormat/>
    <w:uiPriority w:val="99"/>
    <w:rPr>
      <w:rFonts w:ascii="宋体" w:hAnsi="宋体" w:eastAsia="宋体" w:cs="Times New Roman"/>
      <w:kern w:val="2"/>
      <w:sz w:val="24"/>
      <w:szCs w:val="24"/>
      <w:lang w:val="en-US" w:eastAsia="zh-CN" w:bidi="ar-SA"/>
    </w:rPr>
  </w:style>
  <w:style w:type="character" w:customStyle="1" w:styleId="1058">
    <w:name w:val="正文修改 Char1111"/>
    <w:qFormat/>
    <w:uiPriority w:val="99"/>
    <w:rPr>
      <w:rFonts w:ascii="宋体" w:hAnsi="宋体"/>
      <w:color w:val="000000"/>
      <w:kern w:val="2"/>
      <w:sz w:val="28"/>
      <w:szCs w:val="28"/>
    </w:rPr>
  </w:style>
  <w:style w:type="character" w:customStyle="1" w:styleId="1059">
    <w:name w:val="题注 Char211"/>
    <w:qFormat/>
    <w:uiPriority w:val="99"/>
    <w:rPr>
      <w:rFonts w:ascii="黑体" w:hAnsi="Arial" w:eastAsia="黑体" w:cs="Arial"/>
      <w:b/>
      <w:kern w:val="2"/>
      <w:sz w:val="24"/>
      <w:szCs w:val="24"/>
      <w:lang w:val="en-US" w:eastAsia="zh-CN" w:bidi="ar-SA"/>
    </w:rPr>
  </w:style>
  <w:style w:type="character" w:customStyle="1" w:styleId="1060">
    <w:name w:val="正文修改 Char1211"/>
    <w:qFormat/>
    <w:uiPriority w:val="99"/>
    <w:rPr>
      <w:rFonts w:ascii="宋体" w:hAnsi="宋体"/>
      <w:color w:val="000000"/>
      <w:kern w:val="2"/>
      <w:sz w:val="28"/>
      <w:szCs w:val="28"/>
    </w:rPr>
  </w:style>
  <w:style w:type="character" w:customStyle="1" w:styleId="1061">
    <w:name w:val="题注 Char311"/>
    <w:qFormat/>
    <w:uiPriority w:val="99"/>
    <w:rPr>
      <w:rFonts w:ascii="黑体" w:hAnsi="Arial" w:eastAsia="黑体" w:cs="Arial"/>
      <w:b/>
      <w:kern w:val="2"/>
      <w:sz w:val="24"/>
      <w:szCs w:val="24"/>
      <w:lang w:val="en-US" w:eastAsia="zh-CN" w:bidi="ar-SA"/>
    </w:rPr>
  </w:style>
  <w:style w:type="character" w:customStyle="1" w:styleId="1062">
    <w:name w:val="正文文本 Char4"/>
    <w:qFormat/>
    <w:uiPriority w:val="99"/>
    <w:rPr>
      <w:rFonts w:ascii="Times New Roman" w:hAnsi="Times New Roman" w:eastAsia="宋体" w:cs="Times New Roman"/>
      <w:kern w:val="2"/>
      <w:sz w:val="24"/>
      <w:szCs w:val="24"/>
      <w:lang w:val="en-US" w:eastAsia="zh-CN" w:bidi="ar-SA"/>
    </w:rPr>
  </w:style>
  <w:style w:type="character" w:customStyle="1" w:styleId="1063">
    <w:name w:val="样式 表格内字体 + Char11"/>
    <w:qFormat/>
    <w:uiPriority w:val="99"/>
    <w:rPr>
      <w:rFonts w:ascii="宋体" w:hAnsi="宋体" w:eastAsia="宋体"/>
      <w:kern w:val="2"/>
      <w:sz w:val="21"/>
      <w:szCs w:val="24"/>
      <w:lang w:val="en-US" w:eastAsia="zh-CN" w:bidi="ar-SA"/>
    </w:rPr>
  </w:style>
  <w:style w:type="character" w:customStyle="1" w:styleId="1064">
    <w:name w:val="正文斜体 Char11"/>
    <w:qFormat/>
    <w:uiPriority w:val="99"/>
    <w:rPr>
      <w:rFonts w:ascii="宋体" w:hAnsi="宋体" w:eastAsia="宋体" w:cs="宋体"/>
      <w:i/>
      <w:iCs/>
      <w:kern w:val="2"/>
      <w:sz w:val="24"/>
      <w:szCs w:val="24"/>
      <w:lang w:val="en-US" w:eastAsia="zh-CN" w:bidi="ar-SA"/>
    </w:rPr>
  </w:style>
  <w:style w:type="character" w:customStyle="1" w:styleId="1065">
    <w:name w:val="题注 Char511"/>
    <w:qFormat/>
    <w:uiPriority w:val="99"/>
    <w:rPr>
      <w:rFonts w:ascii="黑体" w:hAnsi="Arial" w:eastAsia="黑体" w:cs="Arial"/>
      <w:b/>
      <w:kern w:val="2"/>
      <w:sz w:val="24"/>
      <w:szCs w:val="24"/>
      <w:lang w:val="en-US" w:eastAsia="zh-CN" w:bidi="ar-SA"/>
    </w:rPr>
  </w:style>
  <w:style w:type="character" w:customStyle="1" w:styleId="1066">
    <w:name w:val="正文首行缩进 2 Char11"/>
    <w:qFormat/>
    <w:uiPriority w:val="99"/>
    <w:rPr>
      <w:rFonts w:eastAsia="宋体"/>
      <w:kern w:val="2"/>
      <w:sz w:val="21"/>
      <w:szCs w:val="18"/>
      <w:lang w:val="en-US" w:eastAsia="zh-CN" w:bidi="ar-SA"/>
    </w:rPr>
  </w:style>
  <w:style w:type="character" w:customStyle="1" w:styleId="1067">
    <w:name w:val="标题 1 Char5"/>
    <w:qFormat/>
    <w:uiPriority w:val="99"/>
    <w:rPr>
      <w:rFonts w:ascii="黑体" w:hAnsi="宋体" w:eastAsia="黑体" w:cs="Times New Roman"/>
      <w:bCs/>
      <w:kern w:val="44"/>
      <w:sz w:val="32"/>
      <w:szCs w:val="32"/>
      <w:lang w:val="en-US" w:eastAsia="zh-CN" w:bidi="ar-SA"/>
    </w:rPr>
  </w:style>
  <w:style w:type="character" w:customStyle="1" w:styleId="1068">
    <w:name w:val="标题 2 Char7"/>
    <w:qFormat/>
    <w:uiPriority w:val="99"/>
    <w:rPr>
      <w:rFonts w:ascii="黑体" w:hAnsi="Arial" w:eastAsia="黑体" w:cs="Times New Roman"/>
      <w:bCs/>
      <w:kern w:val="2"/>
      <w:sz w:val="30"/>
      <w:szCs w:val="30"/>
      <w:lang w:val="en-US" w:eastAsia="zh-CN" w:bidi="ar-SA"/>
    </w:rPr>
  </w:style>
  <w:style w:type="character" w:customStyle="1" w:styleId="1069">
    <w:name w:val="标题 3 Char14"/>
    <w:qFormat/>
    <w:uiPriority w:val="99"/>
    <w:rPr>
      <w:rFonts w:ascii="黑体" w:hAnsi="宋体" w:eastAsia="黑体" w:cs="Times New Roman"/>
      <w:b/>
      <w:bCs/>
      <w:kern w:val="2"/>
      <w:sz w:val="28"/>
      <w:szCs w:val="28"/>
      <w:lang w:val="en-US" w:eastAsia="zh-CN" w:bidi="ar-SA"/>
    </w:rPr>
  </w:style>
  <w:style w:type="character" w:customStyle="1" w:styleId="1070">
    <w:name w:val="标题 5 Char2"/>
    <w:qFormat/>
    <w:uiPriority w:val="99"/>
    <w:rPr>
      <w:rFonts w:ascii="Times New Roman" w:hAnsi="Times New Roman" w:eastAsia="宋体" w:cs="Times New Roman"/>
      <w:b/>
      <w:bCs/>
      <w:kern w:val="2"/>
      <w:sz w:val="28"/>
      <w:szCs w:val="28"/>
      <w:lang w:val="en-US" w:eastAsia="zh-CN" w:bidi="ar-SA"/>
    </w:rPr>
  </w:style>
  <w:style w:type="character" w:customStyle="1" w:styleId="1071">
    <w:name w:val="标题 6 Char2"/>
    <w:qFormat/>
    <w:uiPriority w:val="99"/>
    <w:rPr>
      <w:rFonts w:ascii="Arial" w:hAnsi="Arial" w:eastAsia="黑体" w:cs="Times New Roman"/>
      <w:b/>
      <w:bCs/>
      <w:kern w:val="2"/>
      <w:sz w:val="24"/>
      <w:szCs w:val="24"/>
      <w:lang w:val="en-US" w:eastAsia="zh-CN" w:bidi="ar-SA"/>
    </w:rPr>
  </w:style>
  <w:style w:type="character" w:customStyle="1" w:styleId="1072">
    <w:name w:val="标题 8 Char2"/>
    <w:qFormat/>
    <w:uiPriority w:val="99"/>
    <w:rPr>
      <w:rFonts w:ascii="Arial" w:hAnsi="Arial" w:eastAsia="黑体" w:cs="Times New Roman"/>
      <w:kern w:val="2"/>
      <w:sz w:val="24"/>
      <w:szCs w:val="24"/>
      <w:lang w:val="en-US" w:eastAsia="zh-CN" w:bidi="ar-SA"/>
    </w:rPr>
  </w:style>
  <w:style w:type="character" w:customStyle="1" w:styleId="1073">
    <w:name w:val="表格内字体 Char10"/>
    <w:qFormat/>
    <w:uiPriority w:val="99"/>
    <w:rPr>
      <w:rFonts w:ascii="宋体" w:hAnsi="宋体" w:eastAsia="宋体" w:cs="Times New Roman"/>
      <w:kern w:val="2"/>
      <w:sz w:val="24"/>
      <w:szCs w:val="21"/>
      <w:lang w:val="en-US" w:eastAsia="zh-CN" w:bidi="ar-SA"/>
    </w:rPr>
  </w:style>
  <w:style w:type="character" w:customStyle="1" w:styleId="1074">
    <w:name w:val="文档结构图 Char4"/>
    <w:qFormat/>
    <w:uiPriority w:val="99"/>
    <w:rPr>
      <w:rFonts w:ascii="Times New Roman" w:hAnsi="Times New Roman" w:eastAsia="宋体" w:cs="Times New Roman"/>
      <w:kern w:val="2"/>
      <w:sz w:val="24"/>
      <w:szCs w:val="24"/>
      <w:shd w:val="clear" w:color="auto" w:fill="000080"/>
      <w:lang w:val="en-US" w:eastAsia="zh-CN" w:bidi="ar-SA"/>
    </w:rPr>
  </w:style>
  <w:style w:type="character" w:customStyle="1" w:styleId="1075">
    <w:name w:val="页脚 Char4"/>
    <w:qFormat/>
    <w:uiPriority w:val="99"/>
    <w:rPr>
      <w:rFonts w:ascii="Times New Roman" w:hAnsi="Times New Roman" w:eastAsia="宋体" w:cs="Times New Roman"/>
      <w:kern w:val="2"/>
      <w:sz w:val="18"/>
      <w:szCs w:val="18"/>
      <w:lang w:val="en-US" w:eastAsia="zh-CN" w:bidi="ar-SA"/>
    </w:rPr>
  </w:style>
  <w:style w:type="character" w:customStyle="1" w:styleId="1076">
    <w:name w:val="正文缩进 Char32"/>
    <w:qFormat/>
    <w:uiPriority w:val="99"/>
    <w:rPr>
      <w:rFonts w:ascii="宋体" w:hAnsi="宋体" w:eastAsia="宋体" w:cs="宋体"/>
      <w:color w:val="000000"/>
      <w:kern w:val="0"/>
      <w:sz w:val="24"/>
      <w:szCs w:val="24"/>
      <w:lang w:val="en-US" w:eastAsia="zh-CN" w:bidi="ar-SA"/>
    </w:rPr>
  </w:style>
  <w:style w:type="character" w:customStyle="1" w:styleId="1077">
    <w:name w:val="题注 Char8"/>
    <w:qFormat/>
    <w:uiPriority w:val="99"/>
    <w:rPr>
      <w:rFonts w:ascii="黑体" w:hAnsi="Arial" w:eastAsia="黑体" w:cs="Arial"/>
      <w:b/>
      <w:kern w:val="2"/>
      <w:sz w:val="24"/>
      <w:szCs w:val="24"/>
      <w:lang w:val="en-US" w:eastAsia="zh-CN" w:bidi="ar-SA"/>
    </w:rPr>
  </w:style>
  <w:style w:type="character" w:customStyle="1" w:styleId="1078">
    <w:name w:val="正文文本 3 Char3"/>
    <w:qFormat/>
    <w:uiPriority w:val="99"/>
    <w:rPr>
      <w:rFonts w:ascii="Times New Roman" w:hAnsi="Times New Roman" w:eastAsia="宋体" w:cs="Times New Roman"/>
      <w:kern w:val="2"/>
      <w:sz w:val="16"/>
      <w:szCs w:val="16"/>
      <w:lang w:val="en-US" w:eastAsia="zh-CN" w:bidi="ar-SA"/>
    </w:rPr>
  </w:style>
  <w:style w:type="character" w:customStyle="1" w:styleId="1079">
    <w:name w:val="表中文字 Char27"/>
    <w:qFormat/>
    <w:uiPriority w:val="99"/>
    <w:rPr>
      <w:rFonts w:ascii="宋体" w:hAnsi="Times New Roman" w:eastAsia="宋体" w:cs="Times New Roman"/>
      <w:kern w:val="0"/>
      <w:sz w:val="24"/>
      <w:szCs w:val="21"/>
      <w:lang w:val="en-US" w:eastAsia="zh-CN" w:bidi="ar-SA"/>
    </w:rPr>
  </w:style>
  <w:style w:type="character" w:customStyle="1" w:styleId="1080">
    <w:name w:val="标题4 Char3"/>
    <w:qFormat/>
    <w:uiPriority w:val="99"/>
    <w:rPr>
      <w:rFonts w:ascii="黑体" w:hAnsi="Arial" w:eastAsia="黑体" w:cs="Times New Roman"/>
      <w:b/>
      <w:bCs/>
      <w:kern w:val="2"/>
      <w:sz w:val="24"/>
      <w:szCs w:val="28"/>
      <w:lang w:val="en-US" w:eastAsia="zh-CN" w:bidi="ar-SA"/>
    </w:rPr>
  </w:style>
  <w:style w:type="character" w:customStyle="1" w:styleId="1081">
    <w:name w:val="Char Char116"/>
    <w:qFormat/>
    <w:uiPriority w:val="99"/>
    <w:rPr>
      <w:rFonts w:ascii="黑体" w:hAnsi="Arial" w:eastAsia="黑体"/>
      <w:bCs/>
      <w:kern w:val="2"/>
      <w:sz w:val="30"/>
      <w:szCs w:val="30"/>
      <w:lang w:val="en-US" w:eastAsia="zh-CN" w:bidi="ar-SA"/>
    </w:rPr>
  </w:style>
  <w:style w:type="character" w:customStyle="1" w:styleId="1082">
    <w:name w:val="正文修改 Char113"/>
    <w:qFormat/>
    <w:uiPriority w:val="99"/>
    <w:rPr>
      <w:rFonts w:ascii="宋体" w:hAnsi="宋体"/>
      <w:color w:val="000000"/>
      <w:kern w:val="2"/>
      <w:sz w:val="28"/>
      <w:szCs w:val="28"/>
    </w:rPr>
  </w:style>
  <w:style w:type="character" w:customStyle="1" w:styleId="1083">
    <w:name w:val="题注 Char53"/>
    <w:qFormat/>
    <w:uiPriority w:val="99"/>
    <w:rPr>
      <w:rFonts w:ascii="黑体" w:hAnsi="Arial" w:eastAsia="黑体" w:cs="Arial"/>
      <w:b/>
      <w:kern w:val="2"/>
      <w:sz w:val="24"/>
      <w:szCs w:val="24"/>
      <w:lang w:val="en-US" w:eastAsia="zh-CN" w:bidi="ar-SA"/>
    </w:rPr>
  </w:style>
  <w:style w:type="character" w:customStyle="1" w:styleId="1084">
    <w:name w:val="批注框文本 Char7"/>
    <w:qFormat/>
    <w:uiPriority w:val="99"/>
    <w:rPr>
      <w:rFonts w:ascii="Times New Roman" w:hAnsi="Times New Roman" w:eastAsia="宋体" w:cs="Times New Roman"/>
      <w:kern w:val="2"/>
      <w:sz w:val="18"/>
      <w:szCs w:val="18"/>
      <w:lang w:val="en-US" w:eastAsia="zh-CN" w:bidi="ar-SA"/>
    </w:rPr>
  </w:style>
  <w:style w:type="character" w:customStyle="1" w:styleId="1085">
    <w:name w:val="题注 Char33"/>
    <w:qFormat/>
    <w:uiPriority w:val="99"/>
    <w:rPr>
      <w:rFonts w:ascii="黑体" w:hAnsi="Arial" w:eastAsia="黑体" w:cs="Arial"/>
      <w:b/>
      <w:kern w:val="2"/>
      <w:sz w:val="24"/>
      <w:szCs w:val="24"/>
      <w:lang w:val="en-US" w:eastAsia="zh-CN" w:bidi="ar-SA"/>
    </w:rPr>
  </w:style>
  <w:style w:type="character" w:customStyle="1" w:styleId="1086">
    <w:name w:val="Char Char45"/>
    <w:qFormat/>
    <w:uiPriority w:val="99"/>
    <w:rPr>
      <w:rFonts w:ascii="黑体" w:hAnsi="Arial" w:eastAsia="黑体"/>
      <w:b/>
      <w:bCs/>
      <w:kern w:val="2"/>
      <w:sz w:val="30"/>
      <w:szCs w:val="30"/>
      <w:lang w:val="en-US" w:eastAsia="zh-CN" w:bidi="ar-SA"/>
    </w:rPr>
  </w:style>
  <w:style w:type="character" w:customStyle="1" w:styleId="1087">
    <w:name w:val="正文修改 Char133"/>
    <w:qFormat/>
    <w:uiPriority w:val="99"/>
    <w:rPr>
      <w:rFonts w:ascii="宋体" w:hAnsi="宋体"/>
      <w:color w:val="000000"/>
      <w:kern w:val="2"/>
      <w:sz w:val="28"/>
      <w:szCs w:val="28"/>
    </w:rPr>
  </w:style>
  <w:style w:type="character" w:customStyle="1" w:styleId="1088">
    <w:name w:val="表题1 Char43"/>
    <w:qFormat/>
    <w:uiPriority w:val="99"/>
    <w:rPr>
      <w:rFonts w:ascii="黑体" w:hAnsi="Arial" w:eastAsia="黑体" w:cs="Arial"/>
      <w:b/>
      <w:kern w:val="2"/>
      <w:sz w:val="24"/>
      <w:szCs w:val="24"/>
      <w:lang w:val="en-US" w:eastAsia="zh-CN" w:bidi="ar-SA"/>
    </w:rPr>
  </w:style>
  <w:style w:type="character" w:customStyle="1" w:styleId="1089">
    <w:name w:val="批注框文本 Char31"/>
    <w:qFormat/>
    <w:uiPriority w:val="99"/>
    <w:rPr>
      <w:rFonts w:ascii="Times New Roman" w:hAnsi="Times New Roman" w:eastAsia="宋体" w:cs="Times New Roman"/>
      <w:kern w:val="2"/>
      <w:sz w:val="18"/>
      <w:szCs w:val="18"/>
      <w:lang w:val="en-US" w:eastAsia="zh-CN" w:bidi="ar-SA"/>
    </w:rPr>
  </w:style>
  <w:style w:type="character" w:customStyle="1" w:styleId="1090">
    <w:name w:val="正文斜体 Char4"/>
    <w:qFormat/>
    <w:uiPriority w:val="99"/>
    <w:rPr>
      <w:rFonts w:ascii="宋体" w:hAnsi="宋体" w:eastAsia="宋体" w:cs="宋体"/>
      <w:i/>
      <w:iCs/>
      <w:kern w:val="2"/>
      <w:sz w:val="24"/>
      <w:szCs w:val="24"/>
      <w:lang w:val="en-US" w:eastAsia="zh-CN" w:bidi="ar-SA"/>
    </w:rPr>
  </w:style>
  <w:style w:type="character" w:customStyle="1" w:styleId="1091">
    <w:name w:val="图题 Char3"/>
    <w:qFormat/>
    <w:uiPriority w:val="99"/>
    <w:rPr>
      <w:rFonts w:ascii="黑体" w:hAnsi="宋体" w:eastAsia="黑体" w:cs="宋体"/>
      <w:b/>
      <w:bCs/>
      <w:kern w:val="2"/>
      <w:sz w:val="24"/>
      <w:szCs w:val="24"/>
      <w:lang w:val="en-US" w:eastAsia="zh-CN" w:bidi="ar-SA"/>
    </w:rPr>
  </w:style>
  <w:style w:type="character" w:customStyle="1" w:styleId="1092">
    <w:name w:val="图表题 Char3"/>
    <w:qFormat/>
    <w:uiPriority w:val="99"/>
    <w:rPr>
      <w:rFonts w:ascii="黑体" w:hAnsi="宋体" w:eastAsia="黑体" w:cs="宋体"/>
      <w:b/>
      <w:bCs/>
      <w:kern w:val="2"/>
      <w:sz w:val="24"/>
      <w:szCs w:val="24"/>
      <w:lang w:val="en-US" w:eastAsia="zh-CN" w:bidi="ar-SA"/>
    </w:rPr>
  </w:style>
  <w:style w:type="character" w:customStyle="1" w:styleId="1093">
    <w:name w:val="样式 表格内字体 + Char3"/>
    <w:qFormat/>
    <w:uiPriority w:val="99"/>
    <w:rPr>
      <w:rFonts w:ascii="宋体" w:hAnsi="宋体" w:eastAsia="宋体" w:cs="Times New Roman"/>
      <w:kern w:val="0"/>
      <w:sz w:val="21"/>
      <w:szCs w:val="24"/>
      <w:lang w:val="en-US" w:eastAsia="zh-CN" w:bidi="ar-SA"/>
    </w:rPr>
  </w:style>
  <w:style w:type="character" w:customStyle="1" w:styleId="1094">
    <w:name w:val="环评正文 Char3"/>
    <w:qFormat/>
    <w:uiPriority w:val="99"/>
    <w:rPr>
      <w:rFonts w:ascii="Times New Roman" w:hAnsi="Times New Roman" w:eastAsia="宋体" w:cs="Times New Roman"/>
      <w:bCs/>
      <w:kern w:val="2"/>
      <w:sz w:val="24"/>
      <w:szCs w:val="24"/>
      <w:lang w:val="en-US" w:eastAsia="zh-CN" w:bidi="ar-SA"/>
    </w:rPr>
  </w:style>
  <w:style w:type="character" w:customStyle="1" w:styleId="1095">
    <w:name w:val="样式 正文缩进 + 宋体 黑色 Char3"/>
    <w:qFormat/>
    <w:uiPriority w:val="99"/>
    <w:rPr>
      <w:rFonts w:ascii="宋体" w:hAnsi="宋体" w:eastAsia="宋体" w:cs="Times New Roman"/>
      <w:color w:val="000000"/>
      <w:kern w:val="2"/>
      <w:sz w:val="24"/>
      <w:szCs w:val="24"/>
      <w:lang w:val="en-US" w:eastAsia="zh-CN" w:bidi="ar-SA"/>
    </w:rPr>
  </w:style>
  <w:style w:type="character" w:customStyle="1" w:styleId="1096">
    <w:name w:val="表内5 Char4"/>
    <w:qFormat/>
    <w:uiPriority w:val="99"/>
    <w:rPr>
      <w:rFonts w:ascii="宋体" w:hAnsi="宋体" w:eastAsia="宋体" w:cs="Times New Roman"/>
      <w:kern w:val="2"/>
      <w:sz w:val="24"/>
      <w:szCs w:val="21"/>
      <w:lang w:val="en-US" w:eastAsia="zh-CN" w:bidi="ar-SA"/>
    </w:rPr>
  </w:style>
  <w:style w:type="character" w:customStyle="1" w:styleId="1097">
    <w:name w:val="正文斜体 Char3"/>
    <w:qFormat/>
    <w:uiPriority w:val="99"/>
    <w:rPr>
      <w:rFonts w:ascii="宋体" w:hAnsi="宋体" w:eastAsia="宋体" w:cs="Times New Roman"/>
      <w:i/>
      <w:iCs/>
      <w:kern w:val="2"/>
      <w:sz w:val="24"/>
      <w:szCs w:val="24"/>
      <w:lang w:val="en-US" w:eastAsia="zh-CN" w:bidi="ar-SA"/>
    </w:rPr>
  </w:style>
  <w:style w:type="character" w:customStyle="1" w:styleId="1098">
    <w:name w:val="表题1 Char63"/>
    <w:qFormat/>
    <w:uiPriority w:val="99"/>
    <w:rPr>
      <w:rFonts w:ascii="黑体" w:hAnsi="Arial" w:eastAsia="黑体" w:cs="Arial"/>
      <w:b/>
      <w:kern w:val="2"/>
      <w:sz w:val="24"/>
      <w:szCs w:val="24"/>
      <w:lang w:val="en-US" w:eastAsia="zh-CN" w:bidi="ar-SA"/>
    </w:rPr>
  </w:style>
  <w:style w:type="character" w:customStyle="1" w:styleId="1099">
    <w:name w:val="正文修改 Char143"/>
    <w:qFormat/>
    <w:uiPriority w:val="99"/>
    <w:rPr>
      <w:rFonts w:ascii="宋体" w:hAnsi="Times New Roman" w:eastAsia="宋体"/>
      <w:color w:val="000000"/>
      <w:kern w:val="2"/>
      <w:sz w:val="28"/>
      <w:szCs w:val="28"/>
      <w:lang w:val="en-US" w:eastAsia="zh-CN" w:bidi="ar-SA"/>
    </w:rPr>
  </w:style>
  <w:style w:type="character" w:customStyle="1" w:styleId="1100">
    <w:name w:val="福建正文缩进 Char3"/>
    <w:qFormat/>
    <w:uiPriority w:val="99"/>
    <w:rPr>
      <w:rFonts w:ascii="宋体" w:hAnsi="宋体" w:eastAsia="宋体" w:cs="宋体"/>
      <w:color w:val="000000"/>
      <w:kern w:val="0"/>
      <w:sz w:val="24"/>
      <w:szCs w:val="24"/>
      <w:lang w:val="en-US" w:eastAsia="zh-CN" w:bidi="ar-SA"/>
    </w:rPr>
  </w:style>
  <w:style w:type="character" w:customStyle="1" w:styleId="1101">
    <w:name w:val="表格内容 Char3"/>
    <w:qFormat/>
    <w:uiPriority w:val="99"/>
    <w:rPr>
      <w:rFonts w:ascii="Times New Roman" w:hAnsi="Times New Roman" w:eastAsia="宋体" w:cs="Times New Roman"/>
      <w:kern w:val="2"/>
      <w:sz w:val="24"/>
      <w:szCs w:val="21"/>
      <w:lang w:val="en-US" w:eastAsia="zh-CN" w:bidi="ar-SA"/>
    </w:rPr>
  </w:style>
  <w:style w:type="character" w:customStyle="1" w:styleId="1102">
    <w:name w:val="Char Char219"/>
    <w:qFormat/>
    <w:uiPriority w:val="99"/>
    <w:rPr>
      <w:rFonts w:ascii="黑体" w:eastAsia="宋体"/>
      <w:kern w:val="2"/>
      <w:sz w:val="16"/>
      <w:szCs w:val="16"/>
      <w:lang w:val="en-US" w:eastAsia="zh-CN" w:bidi="ar-SA"/>
    </w:rPr>
  </w:style>
  <w:style w:type="character" w:customStyle="1" w:styleId="1103">
    <w:name w:val="题注 Char62"/>
    <w:qFormat/>
    <w:uiPriority w:val="99"/>
    <w:rPr>
      <w:rFonts w:ascii="黑体" w:hAnsi="Arial" w:eastAsia="黑体" w:cs="Arial"/>
      <w:b/>
      <w:kern w:val="2"/>
      <w:sz w:val="24"/>
      <w:szCs w:val="24"/>
      <w:lang w:val="en-US" w:eastAsia="zh-CN" w:bidi="ar-SA"/>
    </w:rPr>
  </w:style>
  <w:style w:type="character" w:customStyle="1" w:styleId="1104">
    <w:name w:val="表题1 Char72"/>
    <w:qFormat/>
    <w:uiPriority w:val="99"/>
    <w:rPr>
      <w:rFonts w:ascii="黑体" w:hAnsi="Arial" w:eastAsia="黑体" w:cs="Arial"/>
      <w:b/>
      <w:kern w:val="2"/>
      <w:sz w:val="24"/>
      <w:szCs w:val="24"/>
      <w:lang w:val="en-US" w:eastAsia="zh-CN" w:bidi="ar-SA"/>
    </w:rPr>
  </w:style>
  <w:style w:type="character" w:customStyle="1" w:styleId="1105">
    <w:name w:val="表内5 Char21"/>
    <w:qFormat/>
    <w:uiPriority w:val="99"/>
    <w:rPr>
      <w:rFonts w:ascii="宋体" w:hAnsi="宋体" w:eastAsia="宋体" w:cs="宋体"/>
      <w:kern w:val="2"/>
      <w:sz w:val="21"/>
      <w:szCs w:val="24"/>
      <w:lang w:val="en-US" w:eastAsia="zh-CN" w:bidi="ar-SA"/>
    </w:rPr>
  </w:style>
  <w:style w:type="character" w:customStyle="1" w:styleId="1106">
    <w:name w:val="标题2 Char9"/>
    <w:qFormat/>
    <w:uiPriority w:val="99"/>
    <w:rPr>
      <w:rFonts w:ascii="宋体" w:hAnsi="宋体" w:eastAsia="宋体" w:cs="宋体"/>
      <w:color w:val="000000"/>
      <w:kern w:val="2"/>
      <w:sz w:val="24"/>
      <w:szCs w:val="24"/>
      <w:lang w:val="en-US" w:eastAsia="zh-CN" w:bidi="ar-SA"/>
    </w:rPr>
  </w:style>
  <w:style w:type="character" w:customStyle="1" w:styleId="1107">
    <w:name w:val="正文修改 Char18"/>
    <w:qFormat/>
    <w:uiPriority w:val="99"/>
    <w:rPr>
      <w:rFonts w:ascii="宋体" w:hAnsi="宋体"/>
      <w:color w:val="000000"/>
      <w:kern w:val="2"/>
      <w:sz w:val="28"/>
      <w:szCs w:val="28"/>
    </w:rPr>
  </w:style>
  <w:style w:type="character" w:customStyle="1" w:styleId="1108">
    <w:name w:val="样式 表内小5 + 黑体 加粗 倾斜 下划线 Char52"/>
    <w:qFormat/>
    <w:uiPriority w:val="99"/>
    <w:rPr>
      <w:rFonts w:ascii="黑体" w:hAnsi="黑体" w:eastAsia="黑体"/>
      <w:b/>
      <w:bCs/>
      <w:i/>
      <w:iCs/>
      <w:kern w:val="2"/>
      <w:sz w:val="18"/>
      <w:szCs w:val="24"/>
      <w:u w:val="single"/>
      <w:lang w:val="en-US" w:eastAsia="zh-CN" w:bidi="ar-SA"/>
    </w:rPr>
  </w:style>
  <w:style w:type="character" w:customStyle="1" w:styleId="1109">
    <w:name w:val="Char Char46"/>
    <w:qFormat/>
    <w:uiPriority w:val="99"/>
    <w:rPr>
      <w:rFonts w:ascii="黑体" w:hAnsi="Arial" w:eastAsia="黑体"/>
      <w:b/>
      <w:bCs/>
      <w:kern w:val="2"/>
      <w:sz w:val="30"/>
      <w:szCs w:val="30"/>
      <w:lang w:val="en-US" w:eastAsia="zh-CN" w:bidi="ar-SA"/>
    </w:rPr>
  </w:style>
  <w:style w:type="character" w:customStyle="1" w:styleId="1110">
    <w:name w:val="正文修改 Char134"/>
    <w:qFormat/>
    <w:uiPriority w:val="99"/>
    <w:rPr>
      <w:rFonts w:ascii="宋体" w:hAnsi="宋体"/>
      <w:color w:val="000000"/>
      <w:kern w:val="2"/>
      <w:sz w:val="28"/>
      <w:szCs w:val="28"/>
    </w:rPr>
  </w:style>
  <w:style w:type="character" w:customStyle="1" w:styleId="1111">
    <w:name w:val="题注 Char41"/>
    <w:qFormat/>
    <w:uiPriority w:val="99"/>
    <w:rPr>
      <w:rFonts w:ascii="黑体" w:hAnsi="Arial" w:eastAsia="黑体" w:cs="Arial"/>
      <w:b/>
      <w:kern w:val="2"/>
      <w:sz w:val="24"/>
      <w:szCs w:val="24"/>
      <w:lang w:val="en-US" w:eastAsia="zh-CN" w:bidi="ar-SA"/>
    </w:rPr>
  </w:style>
  <w:style w:type="character" w:customStyle="1" w:styleId="1112">
    <w:name w:val="Char Char47"/>
    <w:qFormat/>
    <w:uiPriority w:val="99"/>
    <w:rPr>
      <w:rFonts w:ascii="黑体" w:hAnsi="Arial" w:eastAsia="黑体"/>
      <w:b/>
      <w:bCs/>
      <w:kern w:val="2"/>
      <w:sz w:val="30"/>
      <w:szCs w:val="30"/>
      <w:lang w:val="en-US" w:eastAsia="zh-CN" w:bidi="ar-SA"/>
    </w:rPr>
  </w:style>
  <w:style w:type="character" w:customStyle="1" w:styleId="1113">
    <w:name w:val="题注 Char212"/>
    <w:qFormat/>
    <w:uiPriority w:val="99"/>
    <w:rPr>
      <w:rFonts w:ascii="黑体" w:hAnsi="Arial" w:eastAsia="黑体" w:cs="Arial"/>
      <w:b/>
      <w:kern w:val="2"/>
      <w:sz w:val="24"/>
      <w:szCs w:val="24"/>
      <w:lang w:val="en-US" w:eastAsia="zh-CN" w:bidi="ar-SA"/>
    </w:rPr>
  </w:style>
  <w:style w:type="character" w:customStyle="1" w:styleId="1114">
    <w:name w:val="正文格式 Char51"/>
    <w:qFormat/>
    <w:uiPriority w:val="99"/>
    <w:rPr>
      <w:rFonts w:ascii="宋体" w:hAnsi="宋体" w:eastAsia="宋体"/>
      <w:kern w:val="2"/>
      <w:sz w:val="24"/>
      <w:szCs w:val="24"/>
      <w:lang w:val="en-US" w:eastAsia="zh-CN" w:bidi="ar-SA"/>
    </w:rPr>
  </w:style>
  <w:style w:type="character" w:customStyle="1" w:styleId="1115">
    <w:name w:val="Char Char214"/>
    <w:qFormat/>
    <w:uiPriority w:val="99"/>
    <w:rPr>
      <w:rFonts w:ascii="黑体" w:eastAsia="宋体"/>
      <w:kern w:val="2"/>
      <w:sz w:val="16"/>
      <w:szCs w:val="16"/>
      <w:lang w:val="en-US" w:eastAsia="zh-CN" w:bidi="ar-SA"/>
    </w:rPr>
  </w:style>
  <w:style w:type="character" w:customStyle="1" w:styleId="1116">
    <w:name w:val="Char Char217"/>
    <w:qFormat/>
    <w:uiPriority w:val="99"/>
    <w:rPr>
      <w:rFonts w:ascii="黑体" w:eastAsia="宋体"/>
      <w:kern w:val="2"/>
      <w:sz w:val="16"/>
      <w:szCs w:val="16"/>
      <w:lang w:val="en-US" w:eastAsia="zh-CN" w:bidi="ar-SA"/>
    </w:rPr>
  </w:style>
  <w:style w:type="character" w:customStyle="1" w:styleId="1117">
    <w:name w:val="正文修改 Char1212"/>
    <w:qFormat/>
    <w:uiPriority w:val="99"/>
    <w:rPr>
      <w:rFonts w:ascii="宋体" w:hAnsi="宋体"/>
      <w:color w:val="000000"/>
      <w:kern w:val="2"/>
      <w:sz w:val="28"/>
      <w:szCs w:val="28"/>
    </w:rPr>
  </w:style>
  <w:style w:type="character" w:customStyle="1" w:styleId="1118">
    <w:name w:val="题注 Char312"/>
    <w:qFormat/>
    <w:uiPriority w:val="99"/>
    <w:rPr>
      <w:rFonts w:ascii="黑体" w:hAnsi="Arial" w:eastAsia="黑体" w:cs="Arial"/>
      <w:b/>
      <w:kern w:val="2"/>
      <w:sz w:val="24"/>
      <w:szCs w:val="24"/>
      <w:lang w:val="en-US" w:eastAsia="zh-CN" w:bidi="ar-SA"/>
    </w:rPr>
  </w:style>
  <w:style w:type="character" w:customStyle="1" w:styleId="1119">
    <w:name w:val="Char Char117"/>
    <w:qFormat/>
    <w:uiPriority w:val="99"/>
    <w:rPr>
      <w:rFonts w:ascii="黑体" w:hAnsi="Arial" w:eastAsia="黑体"/>
      <w:bCs/>
      <w:kern w:val="2"/>
      <w:sz w:val="30"/>
      <w:szCs w:val="30"/>
      <w:lang w:val="en-US" w:eastAsia="zh-CN" w:bidi="ar-SA"/>
    </w:rPr>
  </w:style>
  <w:style w:type="character" w:customStyle="1" w:styleId="1120">
    <w:name w:val="燕山正文 Char18"/>
    <w:qFormat/>
    <w:uiPriority w:val="99"/>
    <w:rPr>
      <w:rFonts w:ascii="宋体" w:eastAsia="宋体" w:cs="宋体"/>
      <w:kern w:val="2"/>
      <w:sz w:val="24"/>
      <w:szCs w:val="24"/>
      <w:lang w:val="en-US" w:eastAsia="zh-CN" w:bidi="ar-SA"/>
    </w:rPr>
  </w:style>
  <w:style w:type="character" w:customStyle="1" w:styleId="1121">
    <w:name w:val="表题1 Char412"/>
    <w:qFormat/>
    <w:uiPriority w:val="99"/>
    <w:rPr>
      <w:rFonts w:ascii="黑体" w:hAnsi="Arial" w:eastAsia="黑体" w:cs="Arial"/>
      <w:b/>
      <w:kern w:val="2"/>
      <w:sz w:val="24"/>
      <w:szCs w:val="24"/>
      <w:lang w:val="en-US" w:eastAsia="zh-CN" w:bidi="ar-SA"/>
    </w:rPr>
  </w:style>
  <w:style w:type="character" w:customStyle="1" w:styleId="1122">
    <w:name w:val="标题 3 Char Char12"/>
    <w:qFormat/>
    <w:uiPriority w:val="99"/>
    <w:rPr>
      <w:rFonts w:ascii="黑体" w:hAnsi="宋体" w:eastAsia="黑体"/>
      <w:b/>
      <w:bCs/>
      <w:kern w:val="2"/>
      <w:sz w:val="28"/>
      <w:szCs w:val="28"/>
      <w:lang w:val="en-US" w:eastAsia="zh-CN" w:bidi="ar-SA"/>
    </w:rPr>
  </w:style>
  <w:style w:type="character" w:customStyle="1" w:styleId="1123">
    <w:name w:val="标题 3 Char Char111"/>
    <w:qFormat/>
    <w:uiPriority w:val="99"/>
    <w:rPr>
      <w:rFonts w:ascii="黑体" w:hAnsi="宋体" w:eastAsia="黑体"/>
      <w:bCs/>
      <w:kern w:val="2"/>
      <w:sz w:val="28"/>
      <w:szCs w:val="28"/>
      <w:lang w:val="en-US" w:eastAsia="zh-CN" w:bidi="ar-SA"/>
    </w:rPr>
  </w:style>
  <w:style w:type="character" w:customStyle="1" w:styleId="1124">
    <w:name w:val="表格内字体 Char21"/>
    <w:qFormat/>
    <w:uiPriority w:val="99"/>
    <w:rPr>
      <w:rFonts w:ascii="宋体" w:hAnsi="宋体" w:eastAsia="宋体"/>
      <w:kern w:val="2"/>
      <w:sz w:val="21"/>
      <w:szCs w:val="24"/>
      <w:lang w:val="en-US" w:eastAsia="zh-CN" w:bidi="ar-SA"/>
    </w:rPr>
  </w:style>
  <w:style w:type="character" w:customStyle="1" w:styleId="1125">
    <w:name w:val="表题1 Char612"/>
    <w:qFormat/>
    <w:uiPriority w:val="99"/>
    <w:rPr>
      <w:rFonts w:ascii="黑体" w:hAnsi="Arial" w:eastAsia="黑体" w:cs="Arial"/>
      <w:b/>
      <w:kern w:val="2"/>
      <w:sz w:val="24"/>
      <w:szCs w:val="24"/>
      <w:lang w:val="en-US" w:eastAsia="zh-CN" w:bidi="ar-SA"/>
    </w:rPr>
  </w:style>
  <w:style w:type="character" w:customStyle="1" w:styleId="1126">
    <w:name w:val="正文格式 Char13"/>
    <w:qFormat/>
    <w:uiPriority w:val="99"/>
    <w:rPr>
      <w:rFonts w:ascii="宋体" w:hAnsi="宋体" w:eastAsia="宋体"/>
      <w:kern w:val="2"/>
      <w:sz w:val="24"/>
      <w:szCs w:val="24"/>
      <w:lang w:val="en-US" w:eastAsia="zh-CN" w:bidi="ar-SA"/>
    </w:rPr>
  </w:style>
  <w:style w:type="character" w:customStyle="1" w:styleId="1127">
    <w:name w:val="表题 Char9"/>
    <w:qFormat/>
    <w:uiPriority w:val="99"/>
    <w:rPr>
      <w:rFonts w:ascii="黑体" w:hAnsi="Arial" w:eastAsia="黑体" w:cs="Arial"/>
      <w:b/>
      <w:kern w:val="2"/>
      <w:sz w:val="24"/>
      <w:szCs w:val="24"/>
      <w:lang w:val="en-US" w:eastAsia="zh-CN" w:bidi="ar-SA"/>
    </w:rPr>
  </w:style>
  <w:style w:type="character" w:customStyle="1" w:styleId="1128">
    <w:name w:val="标题2 Char12"/>
    <w:qFormat/>
    <w:uiPriority w:val="99"/>
    <w:rPr>
      <w:rFonts w:ascii="宋体" w:hAnsi="宋体" w:eastAsia="宋体" w:cs="宋体"/>
      <w:color w:val="000000"/>
      <w:kern w:val="2"/>
      <w:sz w:val="24"/>
      <w:szCs w:val="24"/>
      <w:lang w:val="en-US" w:eastAsia="zh-CN" w:bidi="ar-SA"/>
    </w:rPr>
  </w:style>
  <w:style w:type="character" w:customStyle="1" w:styleId="1129">
    <w:name w:val="Char Char131"/>
    <w:qFormat/>
    <w:uiPriority w:val="0"/>
    <w:rPr>
      <w:rFonts w:ascii="黑体" w:hAnsi="Arial" w:eastAsia="黑体"/>
      <w:b/>
      <w:bCs/>
      <w:kern w:val="2"/>
      <w:sz w:val="30"/>
      <w:szCs w:val="30"/>
      <w:lang w:val="en-US" w:eastAsia="zh-CN" w:bidi="ar-SA"/>
    </w:rPr>
  </w:style>
  <w:style w:type="character" w:customStyle="1" w:styleId="1130">
    <w:name w:val="Char Char72"/>
    <w:qFormat/>
    <w:uiPriority w:val="0"/>
    <w:rPr>
      <w:rFonts w:ascii="黑体" w:eastAsia="黑体"/>
      <w:b/>
      <w:bCs/>
      <w:kern w:val="2"/>
      <w:sz w:val="28"/>
      <w:szCs w:val="28"/>
      <w:lang w:val="en-US" w:eastAsia="zh-CN" w:bidi="ar-SA"/>
    </w:rPr>
  </w:style>
  <w:style w:type="character" w:customStyle="1" w:styleId="1131">
    <w:name w:val="标题正文黑 Char2"/>
    <w:qFormat/>
    <w:uiPriority w:val="99"/>
    <w:rPr>
      <w:rFonts w:ascii="黑体" w:eastAsia="黑体"/>
      <w:kern w:val="2"/>
      <w:sz w:val="28"/>
      <w:szCs w:val="28"/>
      <w:lang w:val="en-US" w:eastAsia="zh-CN" w:bidi="ar-SA"/>
    </w:rPr>
  </w:style>
  <w:style w:type="character" w:customStyle="1" w:styleId="1132">
    <w:name w:val="表格内字体 Char31"/>
    <w:qFormat/>
    <w:uiPriority w:val="99"/>
    <w:rPr>
      <w:rFonts w:ascii="宋体" w:hAnsi="宋体" w:eastAsia="宋体"/>
      <w:kern w:val="2"/>
      <w:sz w:val="21"/>
      <w:szCs w:val="24"/>
      <w:lang w:val="en-US" w:eastAsia="zh-CN" w:bidi="ar-SA"/>
    </w:rPr>
  </w:style>
  <w:style w:type="character" w:customStyle="1" w:styleId="1133">
    <w:name w:val="表中文字 Char28"/>
    <w:qFormat/>
    <w:uiPriority w:val="99"/>
    <w:rPr>
      <w:rFonts w:ascii="宋体" w:eastAsia="宋体"/>
      <w:kern w:val="2"/>
      <w:sz w:val="21"/>
      <w:szCs w:val="21"/>
      <w:lang w:val="en-US" w:eastAsia="zh-CN" w:bidi="ar-SA"/>
    </w:rPr>
  </w:style>
  <w:style w:type="character" w:customStyle="1" w:styleId="1134">
    <w:name w:val="占位符文本11"/>
    <w:qFormat/>
    <w:uiPriority w:val="0"/>
    <w:rPr>
      <w:rFonts w:eastAsia="宋体"/>
      <w:color w:val="808080"/>
      <w:kern w:val="2"/>
      <w:sz w:val="24"/>
      <w:szCs w:val="24"/>
      <w:lang w:val="en-US" w:eastAsia="zh-CN" w:bidi="ar-SA"/>
    </w:rPr>
  </w:style>
  <w:style w:type="character" w:customStyle="1" w:styleId="1135">
    <w:name w:val="正文缩进 Char14"/>
    <w:qFormat/>
    <w:uiPriority w:val="99"/>
    <w:rPr>
      <w:rFonts w:ascii="宋体" w:hAnsi="宋体" w:eastAsia="宋体" w:cs="宋体"/>
      <w:color w:val="000000"/>
      <w:kern w:val="2"/>
      <w:sz w:val="24"/>
      <w:szCs w:val="24"/>
      <w:lang w:val="en-US" w:eastAsia="zh-CN" w:bidi="ar-SA"/>
    </w:rPr>
  </w:style>
  <w:style w:type="character" w:customStyle="1" w:styleId="1136">
    <w:name w:val="正文修改 Char114"/>
    <w:qFormat/>
    <w:uiPriority w:val="99"/>
    <w:rPr>
      <w:rFonts w:ascii="宋体" w:hAnsi="宋体"/>
      <w:color w:val="000000"/>
      <w:kern w:val="2"/>
      <w:sz w:val="28"/>
      <w:szCs w:val="28"/>
    </w:rPr>
  </w:style>
  <w:style w:type="character" w:customStyle="1" w:styleId="1137">
    <w:name w:val="正文缩进 Char41"/>
    <w:qFormat/>
    <w:uiPriority w:val="99"/>
    <w:rPr>
      <w:rFonts w:ascii="宋体" w:hAnsi="宋体" w:eastAsia="宋体" w:cs="宋体"/>
      <w:color w:val="000000"/>
      <w:kern w:val="2"/>
      <w:sz w:val="24"/>
      <w:szCs w:val="24"/>
      <w:lang w:val="en-US" w:eastAsia="zh-CN" w:bidi="ar-SA"/>
    </w:rPr>
  </w:style>
  <w:style w:type="character" w:customStyle="1" w:styleId="1138">
    <w:name w:val="正文格式 Char31"/>
    <w:qFormat/>
    <w:uiPriority w:val="99"/>
    <w:rPr>
      <w:rFonts w:ascii="宋体" w:hAnsi="宋体" w:eastAsia="宋体"/>
      <w:kern w:val="2"/>
      <w:sz w:val="24"/>
      <w:szCs w:val="24"/>
      <w:lang w:val="en-US" w:eastAsia="zh-CN" w:bidi="ar-SA"/>
    </w:rPr>
  </w:style>
  <w:style w:type="character" w:customStyle="1" w:styleId="1139">
    <w:name w:val="表题1 Char21"/>
    <w:qFormat/>
    <w:uiPriority w:val="99"/>
    <w:rPr>
      <w:rFonts w:hAnsi="Arial" w:eastAsia="宋体" w:cs="Arial"/>
      <w:kern w:val="2"/>
      <w:sz w:val="24"/>
      <w:szCs w:val="24"/>
      <w:lang w:val="en-US" w:eastAsia="zh-CN" w:bidi="ar-SA"/>
    </w:rPr>
  </w:style>
  <w:style w:type="character" w:customStyle="1" w:styleId="1140">
    <w:name w:val="燕山正文 Char121"/>
    <w:qFormat/>
    <w:uiPriority w:val="99"/>
    <w:rPr>
      <w:rFonts w:ascii="宋体" w:eastAsia="宋体" w:cs="宋体"/>
      <w:kern w:val="2"/>
      <w:sz w:val="24"/>
      <w:szCs w:val="24"/>
      <w:lang w:val="en-US" w:eastAsia="zh-CN" w:bidi="ar-SA"/>
    </w:rPr>
  </w:style>
  <w:style w:type="character" w:customStyle="1" w:styleId="1141">
    <w:name w:val="标题正文黑 Char11"/>
    <w:qFormat/>
    <w:uiPriority w:val="99"/>
    <w:rPr>
      <w:rFonts w:ascii="黑体" w:eastAsia="黑体"/>
      <w:kern w:val="2"/>
      <w:sz w:val="28"/>
      <w:szCs w:val="28"/>
      <w:lang w:val="en-US" w:eastAsia="zh-CN" w:bidi="ar-SA"/>
    </w:rPr>
  </w:style>
  <w:style w:type="character" w:customStyle="1" w:styleId="1142">
    <w:name w:val="表中文字 Char221"/>
    <w:qFormat/>
    <w:uiPriority w:val="99"/>
    <w:rPr>
      <w:rFonts w:ascii="宋体" w:eastAsia="宋体"/>
      <w:kern w:val="2"/>
      <w:sz w:val="21"/>
      <w:szCs w:val="21"/>
      <w:lang w:val="en-US" w:eastAsia="zh-CN" w:bidi="ar-SA"/>
    </w:rPr>
  </w:style>
  <w:style w:type="character" w:customStyle="1" w:styleId="1143">
    <w:name w:val="样式 表内小5 + 黑体 加粗 倾斜 下划线 Char511"/>
    <w:qFormat/>
    <w:uiPriority w:val="99"/>
    <w:rPr>
      <w:rFonts w:ascii="黑体" w:hAnsi="黑体" w:eastAsia="黑体"/>
      <w:b/>
      <w:bCs/>
      <w:i/>
      <w:iCs/>
      <w:kern w:val="2"/>
      <w:sz w:val="18"/>
      <w:szCs w:val="24"/>
      <w:u w:val="single"/>
      <w:lang w:val="en-US" w:eastAsia="zh-CN" w:bidi="ar-SA"/>
    </w:rPr>
  </w:style>
  <w:style w:type="character" w:customStyle="1" w:styleId="1144">
    <w:name w:val="标题2 Char21"/>
    <w:qFormat/>
    <w:uiPriority w:val="99"/>
    <w:rPr>
      <w:rFonts w:ascii="宋体" w:hAnsi="宋体" w:eastAsia="宋体" w:cs="宋体"/>
      <w:color w:val="000000"/>
      <w:kern w:val="2"/>
      <w:sz w:val="24"/>
      <w:szCs w:val="24"/>
      <w:lang w:val="en-US" w:eastAsia="zh-CN" w:bidi="ar-SA"/>
    </w:rPr>
  </w:style>
  <w:style w:type="character" w:customStyle="1" w:styleId="1145">
    <w:name w:val="标题 3 Char111"/>
    <w:qFormat/>
    <w:uiPriority w:val="99"/>
    <w:rPr>
      <w:rFonts w:ascii="黑体" w:hAnsi="宋体" w:eastAsia="黑体"/>
      <w:b/>
      <w:bCs/>
      <w:kern w:val="2"/>
      <w:sz w:val="28"/>
      <w:szCs w:val="28"/>
      <w:lang w:val="en-US" w:eastAsia="zh-CN" w:bidi="ar-SA"/>
    </w:rPr>
  </w:style>
  <w:style w:type="character" w:customStyle="1" w:styleId="1146">
    <w:name w:val="图题 Char4"/>
    <w:qFormat/>
    <w:uiPriority w:val="99"/>
    <w:rPr>
      <w:rFonts w:ascii="黑体" w:hAnsi="宋体" w:eastAsia="黑体" w:cs="宋体"/>
      <w:b/>
      <w:bCs/>
      <w:kern w:val="2"/>
      <w:sz w:val="24"/>
      <w:szCs w:val="24"/>
      <w:lang w:val="en-US" w:eastAsia="zh-CN" w:bidi="ar-SA"/>
    </w:rPr>
  </w:style>
  <w:style w:type="character" w:customStyle="1" w:styleId="1147">
    <w:name w:val="表格内字体 Char41"/>
    <w:qFormat/>
    <w:uiPriority w:val="99"/>
    <w:rPr>
      <w:rFonts w:ascii="宋体" w:hAnsi="宋体" w:eastAsia="宋体"/>
      <w:kern w:val="2"/>
      <w:sz w:val="21"/>
      <w:szCs w:val="24"/>
      <w:lang w:val="en-US" w:eastAsia="zh-CN" w:bidi="ar-SA"/>
    </w:rPr>
  </w:style>
  <w:style w:type="character" w:customStyle="1" w:styleId="1148">
    <w:name w:val="标题 2 Char21"/>
    <w:qFormat/>
    <w:uiPriority w:val="99"/>
    <w:rPr>
      <w:rFonts w:ascii="黑体" w:hAnsi="Arial" w:eastAsia="黑体"/>
      <w:b/>
      <w:bCs/>
      <w:kern w:val="2"/>
      <w:sz w:val="30"/>
      <w:szCs w:val="30"/>
      <w:lang w:val="en-US" w:eastAsia="zh-CN" w:bidi="ar-SA"/>
    </w:rPr>
  </w:style>
  <w:style w:type="character" w:customStyle="1" w:styleId="1149">
    <w:name w:val="表题1 Char31"/>
    <w:qFormat/>
    <w:uiPriority w:val="99"/>
    <w:rPr>
      <w:rFonts w:ascii="黑体" w:hAnsi="Arial" w:eastAsia="黑体" w:cs="Arial"/>
      <w:b/>
      <w:kern w:val="2"/>
      <w:sz w:val="24"/>
      <w:szCs w:val="24"/>
      <w:lang w:val="en-US" w:eastAsia="zh-CN" w:bidi="ar-SA"/>
    </w:rPr>
  </w:style>
  <w:style w:type="character" w:customStyle="1" w:styleId="1150">
    <w:name w:val="普通文字 Char34"/>
    <w:qFormat/>
    <w:uiPriority w:val="99"/>
    <w:rPr>
      <w:rFonts w:ascii="宋体" w:hAnsi="Courier New" w:eastAsia="宋体" w:cs="Courier New"/>
      <w:kern w:val="2"/>
      <w:sz w:val="21"/>
      <w:szCs w:val="21"/>
      <w:lang w:val="en-US" w:eastAsia="zh-CN" w:bidi="ar-SA"/>
    </w:rPr>
  </w:style>
  <w:style w:type="character" w:customStyle="1" w:styleId="1151">
    <w:name w:val="批注框文本 Char21"/>
    <w:qFormat/>
    <w:uiPriority w:val="99"/>
    <w:rPr>
      <w:rFonts w:eastAsia="宋体"/>
      <w:kern w:val="2"/>
      <w:sz w:val="18"/>
      <w:szCs w:val="18"/>
      <w:lang w:val="en-US" w:eastAsia="zh-CN" w:bidi="ar-SA"/>
    </w:rPr>
  </w:style>
  <w:style w:type="character" w:customStyle="1" w:styleId="1152">
    <w:name w:val="标题 2 Char31"/>
    <w:qFormat/>
    <w:uiPriority w:val="99"/>
    <w:rPr>
      <w:rFonts w:ascii="黑体" w:hAnsi="Arial" w:eastAsia="黑体"/>
      <w:bCs/>
      <w:kern w:val="2"/>
      <w:sz w:val="30"/>
      <w:szCs w:val="30"/>
      <w:lang w:val="en-US" w:eastAsia="zh-CN" w:bidi="ar-SA"/>
    </w:rPr>
  </w:style>
  <w:style w:type="character" w:customStyle="1" w:styleId="1153">
    <w:name w:val="标题 3 Char31"/>
    <w:qFormat/>
    <w:uiPriority w:val="99"/>
    <w:rPr>
      <w:rFonts w:ascii="黑体" w:hAnsi="宋体" w:eastAsia="黑体"/>
      <w:b/>
      <w:bCs/>
      <w:kern w:val="2"/>
      <w:sz w:val="28"/>
      <w:szCs w:val="28"/>
      <w:lang w:val="en-US" w:eastAsia="zh-CN" w:bidi="ar-SA"/>
    </w:rPr>
  </w:style>
  <w:style w:type="character" w:customStyle="1" w:styleId="1154">
    <w:name w:val="燕山正文 Char131"/>
    <w:qFormat/>
    <w:uiPriority w:val="99"/>
    <w:rPr>
      <w:rFonts w:ascii="宋体" w:eastAsia="宋体" w:cs="宋体"/>
      <w:kern w:val="2"/>
      <w:sz w:val="24"/>
      <w:szCs w:val="24"/>
      <w:lang w:val="en-US" w:eastAsia="zh-CN" w:bidi="ar-SA"/>
    </w:rPr>
  </w:style>
  <w:style w:type="character" w:customStyle="1" w:styleId="1155">
    <w:name w:val="正文缩进 Char111"/>
    <w:qFormat/>
    <w:uiPriority w:val="99"/>
    <w:rPr>
      <w:rFonts w:ascii="宋体" w:hAnsi="宋体" w:eastAsia="宋体" w:cs="宋体"/>
      <w:color w:val="000000"/>
      <w:kern w:val="2"/>
      <w:sz w:val="24"/>
      <w:szCs w:val="24"/>
      <w:lang w:val="en-US" w:eastAsia="zh-CN" w:bidi="ar-SA"/>
    </w:rPr>
  </w:style>
  <w:style w:type="character" w:customStyle="1" w:styleId="1156">
    <w:name w:val="样式 正文缩进 + 宋体 黑色 Char4"/>
    <w:qFormat/>
    <w:uiPriority w:val="99"/>
    <w:rPr>
      <w:rFonts w:ascii="宋体" w:hAnsi="宋体" w:eastAsia="宋体"/>
      <w:color w:val="000000"/>
      <w:kern w:val="2"/>
      <w:sz w:val="24"/>
      <w:szCs w:val="24"/>
      <w:lang w:val="en-US" w:eastAsia="zh-CN" w:bidi="ar-SA"/>
    </w:rPr>
  </w:style>
  <w:style w:type="character" w:customStyle="1" w:styleId="1157">
    <w:name w:val="表题1 Char44"/>
    <w:qFormat/>
    <w:uiPriority w:val="99"/>
    <w:rPr>
      <w:rFonts w:ascii="黑体" w:hAnsi="Arial" w:eastAsia="黑体" w:cs="Arial"/>
      <w:b/>
      <w:kern w:val="2"/>
      <w:sz w:val="24"/>
      <w:szCs w:val="24"/>
      <w:lang w:val="en-US" w:eastAsia="zh-CN" w:bidi="ar-SA"/>
    </w:rPr>
  </w:style>
  <w:style w:type="character" w:customStyle="1" w:styleId="1158">
    <w:name w:val="表中文字 Char231"/>
    <w:qFormat/>
    <w:uiPriority w:val="99"/>
    <w:rPr>
      <w:rFonts w:ascii="宋体" w:eastAsia="宋体"/>
      <w:kern w:val="2"/>
      <w:sz w:val="21"/>
      <w:szCs w:val="21"/>
      <w:lang w:val="en-US" w:eastAsia="zh-CN" w:bidi="ar-SA"/>
    </w:rPr>
  </w:style>
  <w:style w:type="character" w:customStyle="1" w:styleId="1159">
    <w:name w:val="表中文字 Char241"/>
    <w:qFormat/>
    <w:uiPriority w:val="99"/>
    <w:rPr>
      <w:rFonts w:ascii="宋体" w:eastAsia="宋体"/>
      <w:kern w:val="2"/>
      <w:sz w:val="21"/>
      <w:szCs w:val="21"/>
      <w:lang w:val="en-US" w:eastAsia="zh-CN" w:bidi="ar-SA"/>
    </w:rPr>
  </w:style>
  <w:style w:type="character" w:customStyle="1" w:styleId="1160">
    <w:name w:val="河石1 Char14"/>
    <w:qFormat/>
    <w:uiPriority w:val="99"/>
    <w:rPr>
      <w:rFonts w:ascii="黑体" w:hAnsi="宋体" w:eastAsia="黑体"/>
      <w:bCs/>
      <w:kern w:val="44"/>
      <w:sz w:val="32"/>
      <w:szCs w:val="32"/>
      <w:lang w:val="en-US" w:eastAsia="zh-CN" w:bidi="ar-SA"/>
    </w:rPr>
  </w:style>
  <w:style w:type="character" w:customStyle="1" w:styleId="1161">
    <w:name w:val="Char Char119"/>
    <w:qFormat/>
    <w:uiPriority w:val="99"/>
    <w:rPr>
      <w:rFonts w:ascii="黑体" w:hAnsi="Arial" w:eastAsia="黑体"/>
      <w:bCs/>
      <w:kern w:val="2"/>
      <w:sz w:val="30"/>
      <w:szCs w:val="30"/>
      <w:lang w:val="en-US" w:eastAsia="zh-CN" w:bidi="ar-SA"/>
    </w:rPr>
  </w:style>
  <w:style w:type="character" w:customStyle="1" w:styleId="1162">
    <w:name w:val="注 Char3"/>
    <w:qFormat/>
    <w:uiPriority w:val="99"/>
    <w:rPr>
      <w:rFonts w:ascii="Arial" w:hAnsi="Arial" w:eastAsia="黑体"/>
      <w:kern w:val="2"/>
      <w:sz w:val="24"/>
      <w:szCs w:val="24"/>
      <w:lang w:val="en-US" w:eastAsia="zh-CN" w:bidi="ar-SA"/>
    </w:rPr>
  </w:style>
  <w:style w:type="character" w:customStyle="1" w:styleId="1163">
    <w:name w:val="正文格式 Char61"/>
    <w:qFormat/>
    <w:uiPriority w:val="99"/>
    <w:rPr>
      <w:rFonts w:ascii="宋体" w:hAnsi="宋体" w:eastAsia="宋体" w:cs="Times New Roman"/>
      <w:kern w:val="2"/>
      <w:sz w:val="24"/>
      <w:szCs w:val="24"/>
      <w:lang w:val="en-US" w:eastAsia="zh-CN" w:bidi="ar-SA"/>
    </w:rPr>
  </w:style>
  <w:style w:type="character" w:customStyle="1" w:styleId="1164">
    <w:name w:val="燕山正文 Char141"/>
    <w:qFormat/>
    <w:uiPriority w:val="99"/>
    <w:rPr>
      <w:rFonts w:ascii="宋体" w:eastAsia="宋体" w:cs="宋体"/>
      <w:kern w:val="2"/>
      <w:sz w:val="24"/>
      <w:szCs w:val="24"/>
      <w:lang w:val="en-US" w:eastAsia="zh-CN" w:bidi="ar-SA"/>
    </w:rPr>
  </w:style>
  <w:style w:type="character" w:customStyle="1" w:styleId="1165">
    <w:name w:val="表题 Char41"/>
    <w:qFormat/>
    <w:uiPriority w:val="99"/>
    <w:rPr>
      <w:rFonts w:ascii="黑体" w:hAnsi="Arial" w:eastAsia="黑体" w:cs="Arial"/>
      <w:b/>
      <w:kern w:val="2"/>
      <w:sz w:val="24"/>
      <w:szCs w:val="24"/>
      <w:lang w:val="en-US" w:eastAsia="zh-CN" w:bidi="ar-SA"/>
    </w:rPr>
  </w:style>
  <w:style w:type="character" w:customStyle="1" w:styleId="1166">
    <w:name w:val="样式 表格内字体 + Char4"/>
    <w:qFormat/>
    <w:uiPriority w:val="99"/>
    <w:rPr>
      <w:rFonts w:ascii="宋体" w:hAnsi="宋体" w:eastAsia="宋体"/>
      <w:kern w:val="2"/>
      <w:sz w:val="21"/>
      <w:szCs w:val="24"/>
      <w:lang w:val="en-US" w:eastAsia="zh-CN" w:bidi="ar-SA"/>
    </w:rPr>
  </w:style>
  <w:style w:type="character" w:customStyle="1" w:styleId="1167">
    <w:name w:val="A正文 Char4"/>
    <w:qFormat/>
    <w:uiPriority w:val="99"/>
    <w:rPr>
      <w:rFonts w:eastAsia="仿宋_GB2312"/>
      <w:kern w:val="2"/>
      <w:sz w:val="24"/>
      <w:szCs w:val="24"/>
      <w:lang w:val="en-US" w:eastAsia="zh-CN" w:bidi="ar-SA"/>
    </w:rPr>
  </w:style>
  <w:style w:type="character" w:customStyle="1" w:styleId="1168">
    <w:name w:val="图题注 Char4"/>
    <w:qFormat/>
    <w:uiPriority w:val="99"/>
    <w:rPr>
      <w:rFonts w:ascii="黑体" w:hAnsi="Arial" w:eastAsia="黑体" w:cs="宋体"/>
      <w:b/>
      <w:bCs/>
      <w:kern w:val="2"/>
      <w:sz w:val="24"/>
      <w:szCs w:val="24"/>
      <w:lang w:val="en-US" w:eastAsia="zh-CN" w:bidi="ar-SA"/>
    </w:rPr>
  </w:style>
  <w:style w:type="character" w:customStyle="1" w:styleId="1169">
    <w:name w:val="Char Char215"/>
    <w:qFormat/>
    <w:uiPriority w:val="99"/>
    <w:rPr>
      <w:rFonts w:ascii="黑体" w:eastAsia="宋体"/>
      <w:kern w:val="2"/>
      <w:sz w:val="16"/>
      <w:szCs w:val="16"/>
      <w:lang w:val="en-US" w:eastAsia="zh-CN" w:bidi="ar-SA"/>
    </w:rPr>
  </w:style>
  <w:style w:type="character" w:customStyle="1" w:styleId="1170">
    <w:name w:val="表中文字 Char5"/>
    <w:qFormat/>
    <w:uiPriority w:val="99"/>
    <w:rPr>
      <w:rFonts w:ascii="Arial" w:hAnsi="Arial" w:eastAsia="宋体"/>
      <w:kern w:val="2"/>
      <w:sz w:val="24"/>
      <w:szCs w:val="24"/>
      <w:lang w:val="en-US" w:eastAsia="zh-TW" w:bidi="ar-SA"/>
    </w:rPr>
  </w:style>
  <w:style w:type="character" w:customStyle="1" w:styleId="1171">
    <w:name w:val="Char Char69"/>
    <w:qFormat/>
    <w:uiPriority w:val="99"/>
    <w:rPr>
      <w:rFonts w:ascii="黑体" w:eastAsia="黑体"/>
      <w:b/>
      <w:bCs/>
      <w:kern w:val="2"/>
      <w:sz w:val="28"/>
      <w:szCs w:val="28"/>
      <w:lang w:val="en-US" w:eastAsia="zh-CN" w:bidi="ar-SA"/>
    </w:rPr>
  </w:style>
  <w:style w:type="character" w:customStyle="1" w:styleId="1172">
    <w:name w:val="正文格式 Char71"/>
    <w:qFormat/>
    <w:uiPriority w:val="99"/>
    <w:rPr>
      <w:rFonts w:ascii="宋体" w:hAnsi="宋体" w:eastAsia="宋体"/>
      <w:kern w:val="2"/>
      <w:sz w:val="24"/>
      <w:szCs w:val="24"/>
      <w:lang w:val="en-US" w:eastAsia="zh-CN" w:bidi="ar-SA"/>
    </w:rPr>
  </w:style>
  <w:style w:type="character" w:customStyle="1" w:styleId="1173">
    <w:name w:val="标题 2 Char51"/>
    <w:qFormat/>
    <w:uiPriority w:val="99"/>
    <w:rPr>
      <w:rFonts w:ascii="黑体" w:hAnsi="Arial" w:eastAsia="黑体"/>
      <w:bCs/>
      <w:kern w:val="2"/>
      <w:sz w:val="30"/>
      <w:szCs w:val="30"/>
      <w:lang w:val="en-US" w:eastAsia="zh-CN" w:bidi="ar-SA"/>
    </w:rPr>
  </w:style>
  <w:style w:type="character" w:customStyle="1" w:styleId="1174">
    <w:name w:val="表格内字体 Char71"/>
    <w:qFormat/>
    <w:uiPriority w:val="99"/>
    <w:rPr>
      <w:rFonts w:ascii="宋体" w:hAnsi="宋体" w:eastAsia="宋体"/>
      <w:kern w:val="2"/>
      <w:sz w:val="21"/>
      <w:szCs w:val="24"/>
      <w:lang w:val="en-US" w:eastAsia="zh-CN" w:bidi="ar-SA"/>
    </w:rPr>
  </w:style>
  <w:style w:type="character" w:customStyle="1" w:styleId="1175">
    <w:name w:val="福建正文缩进 Char4"/>
    <w:qFormat/>
    <w:uiPriority w:val="99"/>
    <w:rPr>
      <w:rFonts w:ascii="宋体" w:hAnsi="宋体" w:eastAsia="宋体" w:cs="宋体"/>
      <w:color w:val="000000"/>
      <w:kern w:val="2"/>
      <w:sz w:val="24"/>
      <w:szCs w:val="24"/>
      <w:lang w:val="en-US" w:eastAsia="zh-CN" w:bidi="ar-SA"/>
    </w:rPr>
  </w:style>
  <w:style w:type="character" w:customStyle="1" w:styleId="1176">
    <w:name w:val="正文缩进 Char61"/>
    <w:qFormat/>
    <w:uiPriority w:val="99"/>
    <w:rPr>
      <w:rFonts w:ascii="宋体" w:hAnsi="宋体" w:eastAsia="宋体"/>
      <w:kern w:val="2"/>
      <w:sz w:val="24"/>
      <w:szCs w:val="24"/>
      <w:lang w:val="en-US" w:eastAsia="zh-CN" w:bidi="ar-SA"/>
    </w:rPr>
  </w:style>
  <w:style w:type="character" w:customStyle="1" w:styleId="1177">
    <w:name w:val="Char Char127"/>
    <w:qFormat/>
    <w:uiPriority w:val="99"/>
    <w:rPr>
      <w:rFonts w:ascii="黑体" w:hAnsi="Arial" w:eastAsia="黑体"/>
      <w:b/>
      <w:bCs/>
      <w:kern w:val="2"/>
      <w:sz w:val="30"/>
      <w:szCs w:val="30"/>
      <w:lang w:val="en-US" w:eastAsia="zh-CN" w:bidi="ar-SA"/>
    </w:rPr>
  </w:style>
  <w:style w:type="character" w:customStyle="1" w:styleId="1178">
    <w:name w:val="批注框文本 Char41"/>
    <w:qFormat/>
    <w:uiPriority w:val="99"/>
    <w:rPr>
      <w:rFonts w:eastAsia="宋体"/>
      <w:kern w:val="2"/>
      <w:sz w:val="18"/>
      <w:szCs w:val="18"/>
      <w:lang w:val="en-US" w:eastAsia="zh-CN" w:bidi="ar-SA"/>
    </w:rPr>
  </w:style>
  <w:style w:type="character" w:customStyle="1" w:styleId="1179">
    <w:name w:val="正文格式 Char81"/>
    <w:qFormat/>
    <w:uiPriority w:val="99"/>
    <w:rPr>
      <w:rFonts w:ascii="宋体" w:hAnsi="宋体" w:eastAsia="宋体"/>
      <w:kern w:val="2"/>
      <w:sz w:val="24"/>
      <w:szCs w:val="24"/>
      <w:lang w:val="en-US" w:eastAsia="zh-CN" w:bidi="ar-SA"/>
    </w:rPr>
  </w:style>
  <w:style w:type="character" w:customStyle="1" w:styleId="1180">
    <w:name w:val="Char Char55"/>
    <w:qFormat/>
    <w:uiPriority w:val="99"/>
    <w:rPr>
      <w:rFonts w:ascii="黑体" w:hAnsi="宋体" w:eastAsia="黑体"/>
      <w:bCs/>
      <w:kern w:val="2"/>
      <w:sz w:val="28"/>
      <w:szCs w:val="28"/>
      <w:lang w:val="en-US" w:eastAsia="zh-CN" w:bidi="ar-SA"/>
    </w:rPr>
  </w:style>
  <w:style w:type="character" w:customStyle="1" w:styleId="1181">
    <w:name w:val="Char Char125"/>
    <w:qFormat/>
    <w:uiPriority w:val="99"/>
    <w:rPr>
      <w:rFonts w:ascii="黑体" w:hAnsi="Arial" w:eastAsia="黑体"/>
      <w:b/>
      <w:bCs/>
      <w:kern w:val="2"/>
      <w:sz w:val="30"/>
      <w:szCs w:val="30"/>
      <w:lang w:val="en-US" w:eastAsia="zh-CN" w:bidi="ar-SA"/>
    </w:rPr>
  </w:style>
  <w:style w:type="character" w:customStyle="1" w:styleId="1182">
    <w:name w:val="Char Char36"/>
    <w:qFormat/>
    <w:uiPriority w:val="99"/>
    <w:rPr>
      <w:rFonts w:ascii="黑体" w:hAnsi="宋体" w:eastAsia="黑体"/>
      <w:b/>
      <w:bCs/>
      <w:kern w:val="2"/>
      <w:sz w:val="28"/>
      <w:szCs w:val="28"/>
      <w:lang w:val="en-US" w:eastAsia="zh-CN" w:bidi="ar-SA"/>
    </w:rPr>
  </w:style>
  <w:style w:type="character" w:customStyle="1" w:styleId="1183">
    <w:name w:val="Char Char56"/>
    <w:qFormat/>
    <w:uiPriority w:val="99"/>
    <w:rPr>
      <w:rFonts w:ascii="黑体" w:hAnsi="宋体" w:eastAsia="黑体"/>
      <w:bCs/>
      <w:kern w:val="2"/>
      <w:sz w:val="28"/>
      <w:szCs w:val="28"/>
      <w:lang w:val="en-US" w:eastAsia="zh-CN" w:bidi="ar-SA"/>
    </w:rPr>
  </w:style>
  <w:style w:type="character" w:customStyle="1" w:styleId="1184">
    <w:name w:val="Char Char216"/>
    <w:qFormat/>
    <w:uiPriority w:val="99"/>
    <w:rPr>
      <w:rFonts w:ascii="黑体" w:eastAsia="宋体"/>
      <w:kern w:val="2"/>
      <w:sz w:val="16"/>
      <w:szCs w:val="16"/>
      <w:lang w:val="en-US" w:eastAsia="zh-CN" w:bidi="ar-SA"/>
    </w:rPr>
  </w:style>
  <w:style w:type="character" w:customStyle="1" w:styleId="1185">
    <w:name w:val="Char Char49"/>
    <w:qFormat/>
    <w:uiPriority w:val="99"/>
    <w:rPr>
      <w:rFonts w:ascii="黑体" w:hAnsi="Arial" w:eastAsia="黑体"/>
      <w:b/>
      <w:bCs/>
      <w:kern w:val="2"/>
      <w:sz w:val="30"/>
      <w:szCs w:val="30"/>
      <w:lang w:val="en-US" w:eastAsia="zh-CN" w:bidi="ar-SA"/>
    </w:rPr>
  </w:style>
  <w:style w:type="character" w:customStyle="1" w:styleId="1186">
    <w:name w:val="Char Char57"/>
    <w:qFormat/>
    <w:uiPriority w:val="99"/>
    <w:rPr>
      <w:rFonts w:ascii="黑体" w:hAnsi="宋体" w:eastAsia="黑体"/>
      <w:bCs/>
      <w:kern w:val="2"/>
      <w:sz w:val="28"/>
      <w:szCs w:val="28"/>
      <w:lang w:val="en-US" w:eastAsia="zh-CN" w:bidi="ar-SA"/>
    </w:rPr>
  </w:style>
  <w:style w:type="character" w:customStyle="1" w:styleId="1187">
    <w:name w:val="Char Char613"/>
    <w:qFormat/>
    <w:uiPriority w:val="99"/>
    <w:rPr>
      <w:rFonts w:ascii="黑体" w:eastAsia="黑体"/>
      <w:b/>
      <w:bCs/>
      <w:kern w:val="2"/>
      <w:sz w:val="28"/>
      <w:szCs w:val="28"/>
      <w:lang w:val="en-US" w:eastAsia="zh-CN" w:bidi="ar-SA"/>
    </w:rPr>
  </w:style>
  <w:style w:type="character" w:customStyle="1" w:styleId="1188">
    <w:name w:val="Char Char410"/>
    <w:qFormat/>
    <w:uiPriority w:val="99"/>
    <w:rPr>
      <w:rFonts w:ascii="黑体" w:hAnsi="Arial" w:eastAsia="黑体"/>
      <w:b/>
      <w:bCs/>
      <w:kern w:val="2"/>
      <w:sz w:val="30"/>
      <w:szCs w:val="30"/>
      <w:lang w:val="en-US" w:eastAsia="zh-CN" w:bidi="ar-SA"/>
    </w:rPr>
  </w:style>
  <w:style w:type="character" w:customStyle="1" w:styleId="1189">
    <w:name w:val="Char Char58"/>
    <w:qFormat/>
    <w:uiPriority w:val="99"/>
    <w:rPr>
      <w:rFonts w:ascii="黑体" w:hAnsi="宋体" w:eastAsia="黑体"/>
      <w:bCs/>
      <w:kern w:val="2"/>
      <w:sz w:val="28"/>
      <w:szCs w:val="28"/>
      <w:lang w:val="en-US" w:eastAsia="zh-CN" w:bidi="ar-SA"/>
    </w:rPr>
  </w:style>
  <w:style w:type="character" w:customStyle="1" w:styleId="1190">
    <w:name w:val="Char Char218"/>
    <w:qFormat/>
    <w:uiPriority w:val="99"/>
    <w:rPr>
      <w:rFonts w:ascii="黑体" w:eastAsia="宋体"/>
      <w:kern w:val="2"/>
      <w:sz w:val="16"/>
      <w:szCs w:val="16"/>
      <w:lang w:val="en-US" w:eastAsia="zh-CN" w:bidi="ar-SA"/>
    </w:rPr>
  </w:style>
  <w:style w:type="character" w:customStyle="1" w:styleId="1191">
    <w:name w:val="Char Char614"/>
    <w:qFormat/>
    <w:uiPriority w:val="99"/>
    <w:rPr>
      <w:rFonts w:ascii="黑体" w:eastAsia="黑体"/>
      <w:b/>
      <w:bCs/>
      <w:kern w:val="2"/>
      <w:sz w:val="28"/>
      <w:szCs w:val="28"/>
      <w:lang w:val="en-US" w:eastAsia="zh-CN" w:bidi="ar-SA"/>
    </w:rPr>
  </w:style>
  <w:style w:type="character" w:customStyle="1" w:styleId="1192">
    <w:name w:val="Char Char411"/>
    <w:qFormat/>
    <w:uiPriority w:val="99"/>
    <w:rPr>
      <w:rFonts w:ascii="黑体" w:hAnsi="Arial" w:eastAsia="黑体"/>
      <w:b/>
      <w:bCs/>
      <w:kern w:val="2"/>
      <w:sz w:val="30"/>
      <w:szCs w:val="30"/>
      <w:lang w:val="en-US" w:eastAsia="zh-CN" w:bidi="ar-SA"/>
    </w:rPr>
  </w:style>
  <w:style w:type="character" w:customStyle="1" w:styleId="1193">
    <w:name w:val="Char Char1115"/>
    <w:qFormat/>
    <w:uiPriority w:val="99"/>
    <w:rPr>
      <w:rFonts w:ascii="黑体" w:hAnsi="Arial" w:eastAsia="黑体"/>
      <w:bCs/>
      <w:kern w:val="2"/>
      <w:sz w:val="30"/>
      <w:szCs w:val="30"/>
      <w:lang w:val="en-US" w:eastAsia="zh-CN" w:bidi="ar-SA"/>
    </w:rPr>
  </w:style>
  <w:style w:type="character" w:customStyle="1" w:styleId="1194">
    <w:name w:val="Char Char615"/>
    <w:qFormat/>
    <w:uiPriority w:val="99"/>
    <w:rPr>
      <w:rFonts w:ascii="黑体" w:eastAsia="黑体"/>
      <w:b/>
      <w:bCs/>
      <w:kern w:val="2"/>
      <w:sz w:val="28"/>
      <w:szCs w:val="28"/>
      <w:lang w:val="en-US" w:eastAsia="zh-CN" w:bidi="ar-SA"/>
    </w:rPr>
  </w:style>
  <w:style w:type="character" w:customStyle="1" w:styleId="1195">
    <w:name w:val="Char Char412"/>
    <w:qFormat/>
    <w:uiPriority w:val="99"/>
    <w:rPr>
      <w:rFonts w:ascii="黑体" w:hAnsi="Arial" w:eastAsia="黑体"/>
      <w:b/>
      <w:bCs/>
      <w:kern w:val="2"/>
      <w:sz w:val="30"/>
      <w:szCs w:val="30"/>
      <w:lang w:val="en-US" w:eastAsia="zh-CN" w:bidi="ar-SA"/>
    </w:rPr>
  </w:style>
  <w:style w:type="character" w:customStyle="1" w:styleId="1196">
    <w:name w:val="Char Char1116"/>
    <w:qFormat/>
    <w:uiPriority w:val="99"/>
    <w:rPr>
      <w:rFonts w:ascii="黑体" w:hAnsi="Arial" w:eastAsia="黑体"/>
      <w:bCs/>
      <w:kern w:val="2"/>
      <w:sz w:val="30"/>
      <w:szCs w:val="30"/>
      <w:lang w:val="en-US" w:eastAsia="zh-CN" w:bidi="ar-SA"/>
    </w:rPr>
  </w:style>
  <w:style w:type="paragraph" w:customStyle="1" w:styleId="1197">
    <w:name w:val="表文字51"/>
    <w:basedOn w:val="1"/>
    <w:qFormat/>
    <w:uiPriority w:val="99"/>
    <w:pPr>
      <w:spacing w:line="240" w:lineRule="auto"/>
      <w:jc w:val="left"/>
      <w:textAlignment w:val="baseline"/>
    </w:pPr>
    <w:rPr>
      <w:rFonts w:ascii="宋体"/>
      <w:kern w:val="0"/>
      <w:sz w:val="21"/>
      <w:szCs w:val="20"/>
    </w:rPr>
  </w:style>
  <w:style w:type="paragraph" w:customStyle="1" w:styleId="1198">
    <w:name w:val="样式124"/>
    <w:qFormat/>
    <w:uiPriority w:val="99"/>
    <w:pPr>
      <w:tabs>
        <w:tab w:val="left" w:pos="4305"/>
      </w:tabs>
      <w:jc w:val="center"/>
    </w:pPr>
    <w:rPr>
      <w:rFonts w:ascii="Times New Roman" w:hAnsi="Times New Roman" w:eastAsia="宋体" w:cs="Times New Roman"/>
      <w:b/>
      <w:lang w:val="en-US" w:eastAsia="zh-CN" w:bidi="ar-SA"/>
    </w:rPr>
  </w:style>
  <w:style w:type="paragraph" w:customStyle="1" w:styleId="1199">
    <w:name w:val="表题31"/>
    <w:basedOn w:val="35"/>
    <w:qFormat/>
    <w:uiPriority w:val="99"/>
    <w:pPr>
      <w:tabs>
        <w:tab w:val="left" w:pos="4305"/>
      </w:tabs>
      <w:spacing w:line="360" w:lineRule="auto"/>
      <w:ind w:left="0" w:firstLine="561" w:firstLineChars="0"/>
    </w:pPr>
    <w:rPr>
      <w:rFonts w:ascii="宋体" w:hAnsi="宋体" w:cs="宋体"/>
      <w:color w:val="000000"/>
      <w:sz w:val="24"/>
      <w:lang w:val="zh-CN"/>
    </w:rPr>
  </w:style>
  <w:style w:type="paragraph" w:customStyle="1" w:styleId="1200">
    <w:name w:val="正文.112"/>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01">
    <w:name w:val="样式 样式 样式 标题 4 + 段前: 0.5 行 段后: 0.5 行 + 段前: 0.5 行 段后: 0.5 行 + 段前: ..."/>
    <w:qFormat/>
    <w:uiPriority w:val="0"/>
    <w:rPr>
      <w:rFonts w:ascii="Times New Roman" w:hAnsi="Times New Roman" w:eastAsia="宋体" w:cs="Times New Roman"/>
      <w:lang w:val="en-US" w:eastAsia="zh-CN" w:bidi="ar-SA"/>
    </w:rPr>
  </w:style>
  <w:style w:type="paragraph" w:customStyle="1" w:styleId="1202">
    <w:name w:val="样式 样式 标题 4 + 段前: 0.5 行 段后: 0.5 行 + 段前: 0.5 行 段后: 0.5 行"/>
    <w:qFormat/>
    <w:uiPriority w:val="0"/>
    <w:rPr>
      <w:rFonts w:ascii="Times New Roman" w:hAnsi="Times New Roman" w:eastAsia="宋体" w:cs="Times New Roman"/>
      <w:lang w:val="en-US" w:eastAsia="zh-CN" w:bidi="ar-SA"/>
    </w:rPr>
  </w:style>
  <w:style w:type="paragraph" w:customStyle="1" w:styleId="1203">
    <w:name w:val="样式 标题 4 + 段前: 0.5 行 段后: 0.5 行"/>
    <w:basedOn w:val="6"/>
    <w:qFormat/>
    <w:uiPriority w:val="0"/>
    <w:pPr>
      <w:spacing w:before="280" w:beforeLines="50" w:after="290" w:afterLines="50" w:line="480" w:lineRule="exact"/>
    </w:pPr>
    <w:rPr>
      <w:rFonts w:ascii="楷体_GB2312" w:eastAsia="楷体_GB2312" w:cs="宋体"/>
      <w:b w:val="0"/>
      <w:color w:val="000000"/>
      <w:spacing w:val="-6"/>
      <w:kern w:val="44"/>
      <w:szCs w:val="20"/>
      <w:lang w:val="zh-CN"/>
    </w:rPr>
  </w:style>
  <w:style w:type="paragraph" w:customStyle="1" w:styleId="1204">
    <w:name w:val="表文字57"/>
    <w:basedOn w:val="1"/>
    <w:qFormat/>
    <w:uiPriority w:val="99"/>
    <w:pPr>
      <w:spacing w:line="240" w:lineRule="auto"/>
      <w:jc w:val="left"/>
      <w:textAlignment w:val="baseline"/>
    </w:pPr>
    <w:rPr>
      <w:rFonts w:ascii="宋体"/>
      <w:kern w:val="0"/>
      <w:sz w:val="21"/>
      <w:szCs w:val="20"/>
    </w:rPr>
  </w:style>
  <w:style w:type="paragraph" w:customStyle="1" w:styleId="1205">
    <w:name w:val="Char4 Char Char Char Char1"/>
    <w:basedOn w:val="1"/>
    <w:qFormat/>
    <w:uiPriority w:val="0"/>
    <w:pPr>
      <w:spacing w:line="240" w:lineRule="auto"/>
    </w:pPr>
  </w:style>
  <w:style w:type="paragraph" w:customStyle="1" w:styleId="1206">
    <w:name w:val="字元 字元 字元3"/>
    <w:basedOn w:val="1"/>
    <w:qFormat/>
    <w:uiPriority w:val="0"/>
    <w:pPr>
      <w:spacing w:line="240" w:lineRule="auto"/>
    </w:pPr>
    <w:rPr>
      <w:sz w:val="21"/>
      <w:szCs w:val="21"/>
    </w:rPr>
  </w:style>
  <w:style w:type="paragraph" w:customStyle="1" w:styleId="1207">
    <w:name w:val="Char224"/>
    <w:basedOn w:val="1"/>
    <w:qFormat/>
    <w:uiPriority w:val="99"/>
    <w:pPr>
      <w:spacing w:line="240" w:lineRule="auto"/>
      <w:ind w:firstLine="200"/>
    </w:pPr>
    <w:rPr>
      <w:sz w:val="21"/>
    </w:rPr>
  </w:style>
  <w:style w:type="paragraph" w:customStyle="1" w:styleId="1208">
    <w:name w:val="燕山正文111"/>
    <w:basedOn w:val="1"/>
    <w:qFormat/>
    <w:uiPriority w:val="99"/>
    <w:pPr>
      <w:tabs>
        <w:tab w:val="left" w:pos="4680"/>
      </w:tabs>
      <w:spacing w:line="480" w:lineRule="exact"/>
    </w:pPr>
    <w:rPr>
      <w:rFonts w:ascii="宋体" w:hAnsi="宋体" w:cs="宋体"/>
      <w:bCs/>
      <w:color w:val="000000"/>
    </w:rPr>
  </w:style>
  <w:style w:type="paragraph" w:customStyle="1" w:styleId="1209">
    <w:name w:val="zhang正文"/>
    <w:basedOn w:val="35"/>
    <w:qFormat/>
    <w:uiPriority w:val="0"/>
    <w:pPr>
      <w:spacing w:before="60" w:line="460" w:lineRule="exact"/>
      <w:ind w:left="0" w:firstLine="480" w:firstLineChars="200"/>
    </w:pPr>
    <w:rPr>
      <w:sz w:val="24"/>
    </w:rPr>
  </w:style>
  <w:style w:type="paragraph" w:customStyle="1" w:styleId="1210">
    <w:name w:val="燕山正文8"/>
    <w:basedOn w:val="1"/>
    <w:qFormat/>
    <w:uiPriority w:val="99"/>
    <w:pPr>
      <w:tabs>
        <w:tab w:val="left" w:pos="4680"/>
      </w:tabs>
      <w:spacing w:line="480" w:lineRule="exact"/>
    </w:pPr>
    <w:rPr>
      <w:rFonts w:ascii="宋体" w:cs="宋体"/>
    </w:rPr>
  </w:style>
  <w:style w:type="paragraph" w:customStyle="1" w:styleId="1211">
    <w:name w:val="正文2112"/>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212">
    <w:name w:val="正文格式＝512"/>
    <w:basedOn w:val="185"/>
    <w:next w:val="185"/>
    <w:qFormat/>
    <w:uiPriority w:val="99"/>
    <w:rPr>
      <w:rFonts w:hAnsi="宋体" w:cs="Times New Roman"/>
    </w:rPr>
  </w:style>
  <w:style w:type="paragraph" w:customStyle="1" w:styleId="1213">
    <w:name w:val="font13"/>
    <w:basedOn w:val="1"/>
    <w:qFormat/>
    <w:uiPriority w:val="0"/>
    <w:pPr>
      <w:widowControl/>
      <w:spacing w:before="100" w:beforeAutospacing="1" w:after="100" w:afterAutospacing="1" w:line="240" w:lineRule="auto"/>
      <w:jc w:val="left"/>
    </w:pPr>
    <w:rPr>
      <w:kern w:val="0"/>
      <w:sz w:val="20"/>
      <w:szCs w:val="20"/>
    </w:rPr>
  </w:style>
  <w:style w:type="paragraph" w:customStyle="1" w:styleId="121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color w:val="000000"/>
      <w:kern w:val="0"/>
      <w:sz w:val="20"/>
      <w:szCs w:val="20"/>
    </w:rPr>
  </w:style>
  <w:style w:type="paragraph" w:customStyle="1" w:styleId="1215">
    <w:name w:val="Char3 Char Char Char Char Char2"/>
    <w:basedOn w:val="1"/>
    <w:qFormat/>
    <w:uiPriority w:val="0"/>
    <w:pPr>
      <w:spacing w:line="240" w:lineRule="auto"/>
    </w:pPr>
    <w:rPr>
      <w:sz w:val="21"/>
      <w:szCs w:val="21"/>
    </w:rPr>
  </w:style>
  <w:style w:type="paragraph" w:customStyle="1" w:styleId="1216">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217">
    <w:name w:val="表题格式"/>
    <w:basedOn w:val="1"/>
    <w:qFormat/>
    <w:uiPriority w:val="0"/>
    <w:pPr>
      <w:spacing w:line="440" w:lineRule="exact"/>
      <w:ind w:firstLine="377" w:firstLineChars="377"/>
    </w:pPr>
    <w:rPr>
      <w:rFonts w:eastAsia="黑体"/>
      <w:kern w:val="0"/>
      <w:szCs w:val="20"/>
    </w:rPr>
  </w:style>
  <w:style w:type="paragraph" w:customStyle="1" w:styleId="1218">
    <w:name w:val="Char Char Char1 Char Char Char Char Char Char Char Char Char Char Char Char Char Char Char Char Char Char Char Char Char Char1"/>
    <w:basedOn w:val="1"/>
    <w:qFormat/>
    <w:uiPriority w:val="0"/>
    <w:pPr>
      <w:spacing w:line="240" w:lineRule="auto"/>
    </w:pPr>
    <w:rPr>
      <w:sz w:val="21"/>
      <w:szCs w:val="20"/>
    </w:rPr>
  </w:style>
  <w:style w:type="paragraph" w:customStyle="1" w:styleId="1219">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1220">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221">
    <w:name w:val="xl24"/>
    <w:basedOn w:val="1"/>
    <w:qFormat/>
    <w:uiPriority w:val="0"/>
    <w:pPr>
      <w:widowControl/>
      <w:spacing w:before="100" w:beforeAutospacing="1" w:after="100" w:afterAutospacing="1" w:line="240" w:lineRule="auto"/>
      <w:jc w:val="center"/>
    </w:pPr>
    <w:rPr>
      <w:rFonts w:hint="eastAsia" w:ascii="仿宋_GB2312" w:hAnsi="Arial Unicode MS" w:eastAsia="仿宋_GB2312" w:cs="Arial Unicode MS"/>
      <w:kern w:val="0"/>
    </w:rPr>
  </w:style>
  <w:style w:type="paragraph" w:customStyle="1" w:styleId="1222">
    <w:name w:val="xl7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1223">
    <w:name w:val="样式 标题 3h33rd levelH33Head 3level_3PIM 3Level 3 Head二级节名..."/>
    <w:basedOn w:val="5"/>
    <w:qFormat/>
    <w:uiPriority w:val="0"/>
    <w:pPr>
      <w:tabs>
        <w:tab w:val="left" w:pos="754"/>
      </w:tabs>
      <w:spacing w:before="260" w:after="260" w:line="400" w:lineRule="exact"/>
      <w:jc w:val="left"/>
    </w:pPr>
    <w:rPr>
      <w:rFonts w:hAnsi="宋体" w:cs="宋体"/>
      <w:color w:val="000000"/>
      <w:sz w:val="30"/>
      <w:szCs w:val="20"/>
    </w:rPr>
  </w:style>
  <w:style w:type="paragraph" w:customStyle="1" w:styleId="1224">
    <w:name w:val="表内535"/>
    <w:basedOn w:val="1"/>
    <w:qFormat/>
    <w:uiPriority w:val="99"/>
    <w:pPr>
      <w:spacing w:line="300" w:lineRule="auto"/>
      <w:jc w:val="left"/>
    </w:pPr>
    <w:rPr>
      <w:rFonts w:ascii="宋体"/>
      <w:sz w:val="21"/>
      <w:szCs w:val="20"/>
    </w:rPr>
  </w:style>
  <w:style w:type="paragraph" w:customStyle="1" w:styleId="1225">
    <w:name w:val="Char432"/>
    <w:basedOn w:val="1"/>
    <w:qFormat/>
    <w:uiPriority w:val="99"/>
    <w:pPr>
      <w:spacing w:line="240" w:lineRule="auto"/>
      <w:ind w:left="-48"/>
    </w:pPr>
    <w:rPr>
      <w:sz w:val="21"/>
    </w:rPr>
  </w:style>
  <w:style w:type="paragraph" w:customStyle="1" w:styleId="1226">
    <w:name w:val="表题317"/>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1227">
    <w:name w:val="Char Char Char Char Char Char Char Char1 Char Char Char1 Char"/>
    <w:basedOn w:val="1"/>
    <w:qFormat/>
    <w:uiPriority w:val="0"/>
    <w:pPr>
      <w:spacing w:line="400" w:lineRule="exact"/>
      <w:ind w:firstLine="601"/>
      <w:textAlignment w:val="baseline"/>
    </w:pPr>
    <w:rPr>
      <w:rFonts w:eastAsia="楷体_GB2312"/>
      <w:spacing w:val="8"/>
      <w:kern w:val="0"/>
      <w:szCs w:val="20"/>
    </w:rPr>
  </w:style>
  <w:style w:type="paragraph" w:customStyle="1" w:styleId="1228">
    <w:name w:val="ISO标题4"/>
    <w:qFormat/>
    <w:uiPriority w:val="99"/>
    <w:pPr>
      <w:tabs>
        <w:tab w:val="left" w:pos="0"/>
        <w:tab w:val="left" w:pos="420"/>
        <w:tab w:val="left" w:pos="1440"/>
      </w:tabs>
      <w:outlineLvl w:val="3"/>
    </w:pPr>
    <w:rPr>
      <w:rFonts w:ascii="宋体" w:hAnsi="宋体" w:eastAsia="宋体" w:cs="Times New Roman"/>
      <w:color w:val="000000"/>
      <w:sz w:val="24"/>
      <w:lang w:val="en-US" w:eastAsia="zh-CN" w:bidi="ar-SA"/>
    </w:rPr>
  </w:style>
  <w:style w:type="paragraph" w:customStyle="1" w:styleId="1229">
    <w:name w:val="注释"/>
    <w:basedOn w:val="1"/>
    <w:qFormat/>
    <w:uiPriority w:val="0"/>
    <w:pPr>
      <w:spacing w:before="60" w:line="320" w:lineRule="exact"/>
      <w:ind w:firstLine="200"/>
    </w:pPr>
    <w:rPr>
      <w:bCs/>
      <w:sz w:val="21"/>
    </w:rPr>
  </w:style>
  <w:style w:type="paragraph" w:customStyle="1" w:styleId="1230">
    <w:name w:val="黑体三号14"/>
    <w:basedOn w:val="185"/>
    <w:qFormat/>
    <w:uiPriority w:val="99"/>
    <w:pPr>
      <w:jc w:val="center"/>
    </w:pPr>
    <w:rPr>
      <w:rFonts w:ascii="黑体" w:hAnsi="宋体" w:eastAsia="黑体"/>
      <w:b/>
      <w:bCs/>
      <w:sz w:val="32"/>
      <w:szCs w:val="20"/>
    </w:rPr>
  </w:style>
  <w:style w:type="paragraph" w:customStyle="1" w:styleId="1231">
    <w:name w:val="日期1"/>
    <w:basedOn w:val="1"/>
    <w:next w:val="1"/>
    <w:qFormat/>
    <w:uiPriority w:val="0"/>
    <w:pPr>
      <w:spacing w:line="240" w:lineRule="auto"/>
      <w:textAlignment w:val="baseline"/>
    </w:pPr>
    <w:rPr>
      <w:sz w:val="21"/>
      <w:szCs w:val="20"/>
    </w:rPr>
  </w:style>
  <w:style w:type="paragraph" w:customStyle="1" w:styleId="1232">
    <w:name w:val="Char182"/>
    <w:basedOn w:val="1"/>
    <w:qFormat/>
    <w:uiPriority w:val="0"/>
    <w:pPr>
      <w:spacing w:line="240" w:lineRule="auto"/>
    </w:pPr>
    <w:rPr>
      <w:sz w:val="21"/>
      <w:szCs w:val="21"/>
    </w:rPr>
  </w:style>
  <w:style w:type="paragraph" w:customStyle="1" w:styleId="1233">
    <w:name w:val="标题422"/>
    <w:basedOn w:val="1"/>
    <w:qFormat/>
    <w:uiPriority w:val="99"/>
    <w:pPr>
      <w:spacing w:line="300" w:lineRule="auto"/>
      <w:jc w:val="left"/>
    </w:pPr>
    <w:rPr>
      <w:rFonts w:ascii="黑体" w:eastAsia="黑体"/>
      <w:bCs/>
    </w:rPr>
  </w:style>
  <w:style w:type="paragraph" w:customStyle="1" w:styleId="1234">
    <w:name w:val="样式 小四 首行缩进:  24 磅 行距: 多倍行距 1.25 字行"/>
    <w:basedOn w:val="1"/>
    <w:qFormat/>
    <w:uiPriority w:val="0"/>
    <w:pPr>
      <w:spacing w:line="440" w:lineRule="exact"/>
      <w:ind w:firstLine="480"/>
      <w:textAlignment w:val="baseline"/>
    </w:pPr>
    <w:rPr>
      <w:rFonts w:cs="宋体"/>
      <w:kern w:val="0"/>
      <w:szCs w:val="20"/>
    </w:rPr>
  </w:style>
  <w:style w:type="paragraph" w:customStyle="1" w:styleId="1235">
    <w:name w:val="图题71"/>
    <w:basedOn w:val="185"/>
    <w:next w:val="185"/>
    <w:qFormat/>
    <w:uiPriority w:val="99"/>
    <w:pPr>
      <w:ind w:firstLine="0"/>
      <w:jc w:val="center"/>
    </w:pPr>
    <w:rPr>
      <w:rFonts w:ascii="黑体" w:hAnsi="宋体" w:eastAsia="黑体"/>
      <w:b/>
      <w:bCs/>
    </w:rPr>
  </w:style>
  <w:style w:type="paragraph" w:customStyle="1" w:styleId="1236">
    <w:name w:val="正文格式82"/>
    <w:basedOn w:val="1"/>
    <w:qFormat/>
    <w:uiPriority w:val="99"/>
    <w:pPr>
      <w:ind w:firstLine="482"/>
    </w:pPr>
    <w:rPr>
      <w:rFonts w:ascii="宋体" w:hAnsi="宋体"/>
    </w:rPr>
  </w:style>
  <w:style w:type="paragraph" w:customStyle="1" w:styleId="1237">
    <w:name w:val="燕山正文1122"/>
    <w:basedOn w:val="1"/>
    <w:qFormat/>
    <w:uiPriority w:val="99"/>
    <w:pPr>
      <w:tabs>
        <w:tab w:val="left" w:pos="4680"/>
      </w:tabs>
      <w:spacing w:line="480" w:lineRule="exact"/>
    </w:pPr>
    <w:rPr>
      <w:rFonts w:ascii="宋体" w:hAnsi="宋体" w:cs="宋体"/>
      <w:bCs/>
      <w:color w:val="000000"/>
    </w:rPr>
  </w:style>
  <w:style w:type="paragraph" w:customStyle="1" w:styleId="1238">
    <w:name w:val="图题注1"/>
    <w:basedOn w:val="22"/>
    <w:qFormat/>
    <w:uiPriority w:val="99"/>
    <w:pPr>
      <w:tabs>
        <w:tab w:val="clear" w:pos="10467"/>
        <w:tab w:val="clear" w:pos="13095"/>
      </w:tabs>
      <w:adjustRightInd/>
      <w:snapToGrid/>
      <w:spacing w:line="240" w:lineRule="auto"/>
    </w:pPr>
    <w:rPr>
      <w:rFonts w:ascii="黑体" w:eastAsia="黑体" w:cs="宋体"/>
      <w:bCs/>
    </w:rPr>
  </w:style>
  <w:style w:type="paragraph" w:customStyle="1" w:styleId="1239">
    <w:name w:val="款"/>
    <w:basedOn w:val="1"/>
    <w:qFormat/>
    <w:uiPriority w:val="0"/>
    <w:rPr>
      <w:sz w:val="21"/>
      <w:szCs w:val="20"/>
    </w:rPr>
  </w:style>
  <w:style w:type="paragraph" w:customStyle="1" w:styleId="1240">
    <w:name w:val="Char Char Char1 Char Char Char1 Char"/>
    <w:basedOn w:val="1"/>
    <w:qFormat/>
    <w:uiPriority w:val="0"/>
    <w:pPr>
      <w:spacing w:line="240" w:lineRule="exact"/>
      <w:ind w:firstLine="200"/>
    </w:pPr>
    <w:rPr>
      <w:sz w:val="28"/>
      <w:szCs w:val="28"/>
    </w:rPr>
  </w:style>
  <w:style w:type="paragraph" w:customStyle="1" w:styleId="1241">
    <w:name w:val="正文修改32"/>
    <w:basedOn w:val="900"/>
    <w:qFormat/>
    <w:uiPriority w:val="99"/>
    <w:pPr>
      <w:spacing w:line="480" w:lineRule="exact"/>
      <w:ind w:firstLine="0" w:firstLineChars="0"/>
    </w:pPr>
    <w:rPr>
      <w:rFonts w:cs="宋体"/>
      <w:sz w:val="24"/>
      <w:szCs w:val="24"/>
    </w:rPr>
  </w:style>
  <w:style w:type="paragraph" w:customStyle="1" w:styleId="1242">
    <w:name w:val="Char Char Char Char Char Char Char Char Char Char Char Char Char Char Char Char Char Char Char Char Char Char Char Char Char Char Char Char Char Char Char Char Char Char Char Char1"/>
    <w:basedOn w:val="1"/>
    <w:qFormat/>
    <w:uiPriority w:val="99"/>
    <w:pPr>
      <w:spacing w:line="240" w:lineRule="exact"/>
      <w:ind w:firstLine="200"/>
    </w:pPr>
    <w:rPr>
      <w:sz w:val="28"/>
      <w:szCs w:val="28"/>
    </w:rPr>
  </w:style>
  <w:style w:type="paragraph" w:customStyle="1" w:styleId="1243">
    <w:name w:val="样式 标题 4 + 四号 段前: 1 行"/>
    <w:basedOn w:val="6"/>
    <w:qFormat/>
    <w:uiPriority w:val="0"/>
    <w:pPr>
      <w:widowControl/>
      <w:tabs>
        <w:tab w:val="left" w:pos="1680"/>
      </w:tabs>
      <w:spacing w:before="312" w:beforeLines="100" w:after="0" w:line="420" w:lineRule="exact"/>
      <w:ind w:left="560"/>
    </w:pPr>
    <w:rPr>
      <w:rFonts w:ascii="Arial" w:hAnsi="Arial" w:eastAsia="黑体"/>
      <w:b w:val="0"/>
      <w:bCs w:val="0"/>
      <w:kern w:val="0"/>
      <w:sz w:val="28"/>
      <w:szCs w:val="20"/>
    </w:rPr>
  </w:style>
  <w:style w:type="paragraph" w:customStyle="1" w:styleId="1244">
    <w:name w:val="表格内字体15"/>
    <w:basedOn w:val="185"/>
    <w:next w:val="185"/>
    <w:qFormat/>
    <w:uiPriority w:val="99"/>
    <w:pPr>
      <w:spacing w:line="240" w:lineRule="auto"/>
      <w:ind w:firstLine="0"/>
      <w:jc w:val="center"/>
    </w:pPr>
    <w:rPr>
      <w:rFonts w:hAnsi="宋体" w:cs="Times New Roman"/>
      <w:sz w:val="21"/>
    </w:rPr>
  </w:style>
  <w:style w:type="paragraph" w:customStyle="1" w:styleId="1245">
    <w:name w:val="表格内字体43"/>
    <w:basedOn w:val="185"/>
    <w:next w:val="185"/>
    <w:qFormat/>
    <w:uiPriority w:val="99"/>
    <w:pPr>
      <w:spacing w:line="240" w:lineRule="auto"/>
      <w:ind w:firstLine="0"/>
      <w:jc w:val="center"/>
    </w:pPr>
    <w:rPr>
      <w:rFonts w:hAnsi="宋体" w:cs="Times New Roman"/>
      <w:sz w:val="21"/>
    </w:rPr>
  </w:style>
  <w:style w:type="paragraph" w:customStyle="1" w:styleId="1246">
    <w:name w:val="字元 字元 字元 字元1"/>
    <w:basedOn w:val="1"/>
    <w:qFormat/>
    <w:uiPriority w:val="0"/>
    <w:pPr>
      <w:spacing w:line="240" w:lineRule="auto"/>
    </w:pPr>
    <w:rPr>
      <w:sz w:val="21"/>
      <w:szCs w:val="21"/>
    </w:rPr>
  </w:style>
  <w:style w:type="paragraph" w:customStyle="1" w:styleId="1247">
    <w:name w:val="List1"/>
    <w:basedOn w:val="1"/>
    <w:qFormat/>
    <w:uiPriority w:val="0"/>
    <w:pPr>
      <w:spacing w:line="240" w:lineRule="exact"/>
      <w:jc w:val="center"/>
    </w:pPr>
    <w:rPr>
      <w:rFonts w:hint="eastAsia" w:ascii="仿宋_GB2312" w:hAnsi="宋体" w:eastAsia="仿宋_GB2312"/>
      <w:sz w:val="28"/>
      <w:szCs w:val="28"/>
    </w:rPr>
  </w:style>
  <w:style w:type="paragraph" w:customStyle="1" w:styleId="1248">
    <w:name w:val="表格2"/>
    <w:basedOn w:val="296"/>
    <w:qFormat/>
    <w:uiPriority w:val="0"/>
    <w:pPr>
      <w:widowControl/>
      <w:textAlignment w:val="baseline"/>
    </w:pPr>
    <w:rPr>
      <w:kern w:val="0"/>
      <w:szCs w:val="21"/>
    </w:rPr>
  </w:style>
  <w:style w:type="paragraph" w:customStyle="1" w:styleId="1249">
    <w:name w:val="新表"/>
    <w:basedOn w:val="1"/>
    <w:qFormat/>
    <w:uiPriority w:val="0"/>
    <w:pPr>
      <w:spacing w:line="360" w:lineRule="exact"/>
    </w:pPr>
    <w:rPr>
      <w:rFonts w:ascii="仿宋_GB2312" w:hAnsi="宋体" w:eastAsia="仿宋_GB2312"/>
      <w:kern w:val="0"/>
      <w:szCs w:val="28"/>
    </w:rPr>
  </w:style>
  <w:style w:type="paragraph" w:customStyle="1" w:styleId="1250">
    <w:name w:val="标题 42"/>
    <w:basedOn w:val="1"/>
    <w:next w:val="1"/>
    <w:qFormat/>
    <w:uiPriority w:val="0"/>
    <w:pPr>
      <w:keepNext/>
      <w:keepLines/>
      <w:spacing w:line="500" w:lineRule="atLeast"/>
    </w:pPr>
    <w:rPr>
      <w:rFonts w:hint="eastAsia" w:ascii="仿宋_GB2312" w:hAnsi="Arial" w:eastAsia="仿宋_GB2312"/>
      <w:sz w:val="28"/>
      <w:szCs w:val="28"/>
    </w:rPr>
  </w:style>
  <w:style w:type="paragraph" w:customStyle="1" w:styleId="1251">
    <w:name w:val="Char Char Char Char Char Char Char Char Char Char Char Char1 Char Char Char Char Char Char"/>
    <w:basedOn w:val="1"/>
    <w:qFormat/>
    <w:uiPriority w:val="0"/>
    <w:pPr>
      <w:spacing w:line="240" w:lineRule="exact"/>
      <w:ind w:firstLine="200"/>
    </w:pPr>
    <w:rPr>
      <w:sz w:val="28"/>
      <w:szCs w:val="28"/>
    </w:rPr>
  </w:style>
  <w:style w:type="paragraph" w:customStyle="1" w:styleId="1252">
    <w:name w:val="谏壁标题3（chen）"/>
    <w:basedOn w:val="1"/>
    <w:qFormat/>
    <w:uiPriority w:val="0"/>
    <w:pPr>
      <w:keepNext/>
      <w:keepLines/>
      <w:spacing w:before="100" w:after="120"/>
      <w:outlineLvl w:val="2"/>
    </w:pPr>
    <w:rPr>
      <w:rFonts w:eastAsia="黑体"/>
      <w:sz w:val="30"/>
      <w:szCs w:val="32"/>
    </w:rPr>
  </w:style>
  <w:style w:type="paragraph" w:customStyle="1" w:styleId="1253">
    <w:name w:val="6表(图)头(治)"/>
    <w:next w:val="1"/>
    <w:qFormat/>
    <w:uiPriority w:val="0"/>
    <w:pPr>
      <w:widowControl w:val="0"/>
      <w:spacing w:line="500" w:lineRule="exact"/>
      <w:ind w:firstLine="560" w:firstLineChars="200"/>
      <w:jc w:val="center"/>
    </w:pPr>
    <w:rPr>
      <w:rFonts w:ascii="宋体" w:hAnsi="宋体" w:eastAsia="宋体" w:cs="Times New Roman"/>
      <w:sz w:val="28"/>
      <w:lang w:val="en-US" w:eastAsia="zh-CN" w:bidi="ar-SA"/>
    </w:rPr>
  </w:style>
  <w:style w:type="paragraph" w:customStyle="1" w:styleId="1254">
    <w:name w:val="环评正文1"/>
    <w:basedOn w:val="830"/>
    <w:qFormat/>
    <w:uiPriority w:val="99"/>
    <w:pPr>
      <w:ind w:firstLine="0" w:firstLineChars="0"/>
    </w:pPr>
    <w:rPr>
      <w:rFonts w:hAnsi="宋体"/>
      <w:szCs w:val="28"/>
    </w:rPr>
  </w:style>
  <w:style w:type="paragraph" w:customStyle="1" w:styleId="1255">
    <w:name w:val="图标标题"/>
    <w:basedOn w:val="24"/>
    <w:qFormat/>
    <w:uiPriority w:val="0"/>
    <w:pPr>
      <w:pBdr>
        <w:top w:val="single" w:color="auto" w:sz="4" w:space="1"/>
      </w:pBdr>
      <w:tabs>
        <w:tab w:val="clear" w:pos="360"/>
      </w:tabs>
      <w:spacing w:line="360" w:lineRule="auto"/>
      <w:ind w:left="0" w:firstLine="0"/>
      <w:jc w:val="center"/>
      <w:textAlignment w:val="baseline"/>
    </w:pPr>
    <w:rPr>
      <w:b/>
      <w:kern w:val="0"/>
      <w:sz w:val="24"/>
      <w:szCs w:val="20"/>
    </w:rPr>
  </w:style>
  <w:style w:type="paragraph" w:customStyle="1" w:styleId="1256">
    <w:name w:val="ST20_32"/>
    <w:basedOn w:val="55"/>
    <w:qFormat/>
    <w:uiPriority w:val="0"/>
    <w:pPr>
      <w:keepLines/>
      <w:tabs>
        <w:tab w:val="center" w:pos="4320"/>
        <w:tab w:val="clear" w:pos="4153"/>
        <w:tab w:val="clear" w:pos="8306"/>
      </w:tabs>
      <w:autoSpaceDE w:val="0"/>
      <w:autoSpaceDN w:val="0"/>
      <w:snapToGrid/>
      <w:spacing w:line="360" w:lineRule="atLeast"/>
      <w:jc w:val="center"/>
      <w:textAlignment w:val="baseline"/>
    </w:pPr>
    <w:rPr>
      <w:rFonts w:ascii="宋体" w:hAnsi="Tms Rmn"/>
      <w:kern w:val="0"/>
      <w:sz w:val="28"/>
      <w:szCs w:val="20"/>
    </w:rPr>
  </w:style>
  <w:style w:type="paragraph" w:customStyle="1" w:styleId="1257">
    <w:name w:val="LNG－标题1"/>
    <w:basedOn w:val="1"/>
    <w:qFormat/>
    <w:uiPriority w:val="0"/>
    <w:pPr>
      <w:spacing w:beforeLines="50" w:afterLines="50"/>
      <w:textAlignment w:val="center"/>
    </w:pPr>
    <w:rPr>
      <w:b/>
      <w:kern w:val="0"/>
      <w:sz w:val="32"/>
      <w:szCs w:val="32"/>
    </w:rPr>
  </w:style>
  <w:style w:type="paragraph" w:customStyle="1" w:styleId="1258">
    <w:name w:val="Char1411"/>
    <w:basedOn w:val="1"/>
    <w:qFormat/>
    <w:uiPriority w:val="99"/>
    <w:pPr>
      <w:spacing w:line="240" w:lineRule="auto"/>
      <w:ind w:left="-48"/>
    </w:pPr>
    <w:rPr>
      <w:sz w:val="21"/>
    </w:rPr>
  </w:style>
  <w:style w:type="paragraph" w:customStyle="1" w:styleId="1259">
    <w:name w:val="表内文字小2132"/>
    <w:basedOn w:val="1"/>
    <w:qFormat/>
    <w:uiPriority w:val="99"/>
    <w:pPr>
      <w:spacing w:line="240" w:lineRule="auto"/>
      <w:jc w:val="center"/>
      <w:textAlignment w:val="baseline"/>
    </w:pPr>
    <w:rPr>
      <w:rFonts w:ascii="宋体" w:hAnsi="Times"/>
      <w:bCs/>
      <w:color w:val="000000"/>
      <w:sz w:val="21"/>
      <w:szCs w:val="20"/>
    </w:rPr>
  </w:style>
  <w:style w:type="paragraph" w:customStyle="1" w:styleId="1260">
    <w:name w:val="默认段落字体 Para Char5"/>
    <w:basedOn w:val="1"/>
    <w:next w:val="1"/>
    <w:qFormat/>
    <w:uiPriority w:val="99"/>
    <w:pPr>
      <w:spacing w:line="480" w:lineRule="exact"/>
      <w:ind w:firstLine="200"/>
      <w:jc w:val="left"/>
    </w:pPr>
    <w:rPr>
      <w:rFonts w:ascii="宋体" w:hAnsi="宋体" w:eastAsia="汉鼎简书宋" w:cs="宋体"/>
      <w:sz w:val="28"/>
    </w:rPr>
  </w:style>
  <w:style w:type="paragraph" w:customStyle="1" w:styleId="1261">
    <w:name w:val="表格内字体511"/>
    <w:basedOn w:val="185"/>
    <w:next w:val="185"/>
    <w:qFormat/>
    <w:uiPriority w:val="99"/>
    <w:pPr>
      <w:spacing w:line="240" w:lineRule="auto"/>
      <w:ind w:firstLine="0"/>
    </w:pPr>
    <w:rPr>
      <w:rFonts w:hAnsi="宋体" w:cs="Times New Roman"/>
      <w:sz w:val="21"/>
    </w:rPr>
  </w:style>
  <w:style w:type="paragraph" w:customStyle="1" w:styleId="1262">
    <w:name w:val="Char Char Char Char Char Char Char Char2"/>
    <w:basedOn w:val="1"/>
    <w:qFormat/>
    <w:uiPriority w:val="0"/>
    <w:pPr>
      <w:spacing w:line="240" w:lineRule="auto"/>
    </w:pPr>
    <w:rPr>
      <w:sz w:val="21"/>
      <w:szCs w:val="21"/>
    </w:rPr>
  </w:style>
  <w:style w:type="paragraph" w:customStyle="1" w:styleId="1263">
    <w:name w:val="表内文字小31111"/>
    <w:basedOn w:val="1"/>
    <w:qFormat/>
    <w:uiPriority w:val="99"/>
    <w:pPr>
      <w:spacing w:line="240" w:lineRule="auto"/>
      <w:jc w:val="center"/>
    </w:pPr>
    <w:rPr>
      <w:rFonts w:ascii="宋体" w:hAnsi="Times" w:cs="宋体"/>
      <w:bCs/>
      <w:color w:val="003366"/>
      <w:sz w:val="21"/>
      <w:szCs w:val="20"/>
    </w:rPr>
  </w:style>
  <w:style w:type="paragraph" w:customStyle="1" w:styleId="1264">
    <w:name w:val="样式 正文缩进 + 宋体 黑色 首行缩进:  2 字符12"/>
    <w:basedOn w:val="21"/>
    <w:qFormat/>
    <w:uiPriority w:val="99"/>
    <w:pPr>
      <w:spacing w:line="360" w:lineRule="auto"/>
      <w:ind w:firstLine="480"/>
      <w:jc w:val="left"/>
    </w:pPr>
    <w:rPr>
      <w:rFonts w:ascii="宋体" w:hAnsi="宋体" w:cs="宋体"/>
      <w:color w:val="FF00FF"/>
      <w:sz w:val="24"/>
      <w:szCs w:val="20"/>
    </w:rPr>
  </w:style>
  <w:style w:type="paragraph" w:customStyle="1" w:styleId="1265">
    <w:name w:val="首行缩进:  0.99 厘米 + 首行缩进:  2 字符"/>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1266">
    <w:name w:val="图题34"/>
    <w:basedOn w:val="185"/>
    <w:next w:val="185"/>
    <w:qFormat/>
    <w:uiPriority w:val="99"/>
    <w:pPr>
      <w:ind w:firstLine="0"/>
      <w:jc w:val="center"/>
    </w:pPr>
    <w:rPr>
      <w:rFonts w:ascii="黑体" w:hAnsi="宋体" w:eastAsia="黑体"/>
      <w:b/>
      <w:bCs/>
    </w:rPr>
  </w:style>
  <w:style w:type="paragraph" w:customStyle="1" w:styleId="1267">
    <w:name w:val="Fax Header12"/>
    <w:basedOn w:val="1"/>
    <w:qFormat/>
    <w:uiPriority w:val="99"/>
    <w:pPr>
      <w:widowControl/>
      <w:spacing w:before="240" w:after="60" w:line="240" w:lineRule="auto"/>
      <w:jc w:val="left"/>
    </w:pPr>
    <w:rPr>
      <w:kern w:val="0"/>
      <w:sz w:val="20"/>
      <w:szCs w:val="20"/>
    </w:rPr>
  </w:style>
  <w:style w:type="paragraph" w:customStyle="1" w:styleId="1268">
    <w:name w:val="图题"/>
    <w:basedOn w:val="1"/>
    <w:qFormat/>
    <w:uiPriority w:val="0"/>
    <w:pPr>
      <w:tabs>
        <w:tab w:val="left" w:pos="720"/>
      </w:tabs>
      <w:spacing w:line="320" w:lineRule="exact"/>
      <w:jc w:val="center"/>
    </w:pPr>
    <w:rPr>
      <w:rFonts w:ascii="楷体_GB2312" w:hAnsi="宋体" w:eastAsia="楷体_GB2312"/>
      <w:b/>
      <w:bCs/>
    </w:rPr>
  </w:style>
  <w:style w:type="paragraph" w:customStyle="1" w:styleId="1269">
    <w:name w:val="body 1"/>
    <w:basedOn w:val="1"/>
    <w:qFormat/>
    <w:uiPriority w:val="99"/>
    <w:pPr>
      <w:spacing w:line="360" w:lineRule="atLeast"/>
      <w:textAlignment w:val="baseline"/>
    </w:pPr>
    <w:rPr>
      <w:rFonts w:ascii="華康中楷體" w:eastAsia="華康中楷體"/>
      <w:spacing w:val="60"/>
      <w:kern w:val="0"/>
      <w:szCs w:val="20"/>
      <w:lang w:eastAsia="zh-TW"/>
    </w:rPr>
  </w:style>
  <w:style w:type="paragraph" w:customStyle="1" w:styleId="1270">
    <w:name w:val="样式 四号 左 行距: 固定值 24 磅"/>
    <w:basedOn w:val="1"/>
    <w:qFormat/>
    <w:uiPriority w:val="0"/>
    <w:pPr>
      <w:tabs>
        <w:tab w:val="left" w:pos="737"/>
      </w:tabs>
      <w:spacing w:line="480" w:lineRule="exact"/>
      <w:ind w:left="737" w:hanging="567"/>
      <w:jc w:val="left"/>
    </w:pPr>
    <w:rPr>
      <w:rFonts w:cs="宋体"/>
      <w:sz w:val="28"/>
      <w:szCs w:val="20"/>
    </w:rPr>
  </w:style>
  <w:style w:type="paragraph" w:customStyle="1" w:styleId="1271">
    <w:name w:val="黑体三号3"/>
    <w:basedOn w:val="185"/>
    <w:qFormat/>
    <w:uiPriority w:val="99"/>
    <w:pPr>
      <w:jc w:val="center"/>
    </w:pPr>
    <w:rPr>
      <w:rFonts w:ascii="黑体" w:hAnsi="宋体" w:eastAsia="黑体"/>
      <w:b/>
      <w:bCs/>
      <w:sz w:val="32"/>
      <w:szCs w:val="20"/>
    </w:rPr>
  </w:style>
  <w:style w:type="paragraph" w:customStyle="1" w:styleId="1272">
    <w:name w:val="标题4316"/>
    <w:basedOn w:val="1"/>
    <w:qFormat/>
    <w:uiPriority w:val="99"/>
    <w:pPr>
      <w:spacing w:line="480" w:lineRule="exact"/>
      <w:jc w:val="center"/>
    </w:pPr>
    <w:rPr>
      <w:rFonts w:ascii="宋体" w:hAnsi="宋体" w:cs="宋体"/>
    </w:rPr>
  </w:style>
  <w:style w:type="paragraph" w:customStyle="1" w:styleId="1273">
    <w:name w:val="表格内字体2"/>
    <w:basedOn w:val="185"/>
    <w:next w:val="185"/>
    <w:qFormat/>
    <w:uiPriority w:val="99"/>
    <w:pPr>
      <w:spacing w:line="240" w:lineRule="auto"/>
      <w:ind w:firstLine="0"/>
      <w:jc w:val="center"/>
    </w:pPr>
    <w:rPr>
      <w:rFonts w:hAnsi="宋体" w:cs="Times New Roman"/>
      <w:sz w:val="21"/>
    </w:rPr>
  </w:style>
  <w:style w:type="paragraph" w:customStyle="1" w:styleId="1274">
    <w:name w:val="标题43114"/>
    <w:basedOn w:val="1"/>
    <w:qFormat/>
    <w:uiPriority w:val="99"/>
    <w:pPr>
      <w:spacing w:line="480" w:lineRule="exact"/>
      <w:jc w:val="center"/>
    </w:pPr>
    <w:rPr>
      <w:rFonts w:ascii="宋体" w:hAnsi="宋体" w:cs="宋体"/>
    </w:rPr>
  </w:style>
  <w:style w:type="paragraph" w:customStyle="1" w:styleId="1275">
    <w:name w:val="标准正文"/>
    <w:basedOn w:val="1"/>
    <w:qFormat/>
    <w:uiPriority w:val="0"/>
    <w:pPr>
      <w:pBdr>
        <w:top w:val="single" w:color="auto" w:sz="4" w:space="1"/>
      </w:pBdr>
      <w:spacing w:line="540" w:lineRule="exact"/>
      <w:ind w:firstLine="480"/>
    </w:pPr>
    <w:rPr>
      <w:bCs/>
      <w:szCs w:val="20"/>
    </w:rPr>
  </w:style>
  <w:style w:type="paragraph" w:customStyle="1" w:styleId="1276">
    <w:name w:val="默认段落字体 Para Char Char Char Char24"/>
    <w:basedOn w:val="1"/>
    <w:qFormat/>
    <w:uiPriority w:val="99"/>
    <w:pPr>
      <w:spacing w:line="240" w:lineRule="auto"/>
    </w:pPr>
    <w:rPr>
      <w:sz w:val="21"/>
    </w:rPr>
  </w:style>
  <w:style w:type="paragraph" w:customStyle="1" w:styleId="1277">
    <w:name w:val="Char Char Char Char Char Char Char19"/>
    <w:basedOn w:val="1"/>
    <w:qFormat/>
    <w:uiPriority w:val="99"/>
    <w:pPr>
      <w:spacing w:line="240" w:lineRule="auto"/>
    </w:pPr>
    <w:rPr>
      <w:sz w:val="21"/>
    </w:rPr>
  </w:style>
  <w:style w:type="paragraph" w:customStyle="1" w:styleId="1278">
    <w:name w:val="样式 标题 3 + 段前: 12 磅"/>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1279">
    <w:name w:val="表文字542"/>
    <w:basedOn w:val="1"/>
    <w:qFormat/>
    <w:uiPriority w:val="99"/>
    <w:pPr>
      <w:spacing w:line="240" w:lineRule="auto"/>
      <w:jc w:val="left"/>
      <w:textAlignment w:val="baseline"/>
    </w:pPr>
    <w:rPr>
      <w:rFonts w:ascii="宋体"/>
      <w:kern w:val="0"/>
      <w:sz w:val="21"/>
      <w:szCs w:val="20"/>
    </w:rPr>
  </w:style>
  <w:style w:type="paragraph" w:customStyle="1" w:styleId="1280">
    <w:name w:val="Char48"/>
    <w:basedOn w:val="1"/>
    <w:qFormat/>
    <w:uiPriority w:val="99"/>
    <w:pPr>
      <w:spacing w:line="240" w:lineRule="auto"/>
      <w:ind w:left="-48"/>
    </w:pPr>
    <w:rPr>
      <w:sz w:val="21"/>
    </w:rPr>
  </w:style>
  <w:style w:type="paragraph" w:customStyle="1" w:styleId="1281">
    <w:name w:val="正方"/>
    <w:basedOn w:val="1"/>
    <w:qFormat/>
    <w:uiPriority w:val="99"/>
    <w:pPr>
      <w:tabs>
        <w:tab w:val="left" w:pos="240"/>
      </w:tabs>
      <w:autoSpaceDE w:val="0"/>
      <w:autoSpaceDN w:val="0"/>
    </w:pPr>
    <w:rPr>
      <w:rFonts w:ascii="Bookman Old Style" w:hAnsi="Bookman Old Style" w:cs="Arial"/>
      <w:kern w:val="0"/>
      <w:szCs w:val="20"/>
    </w:rPr>
  </w:style>
  <w:style w:type="paragraph" w:customStyle="1" w:styleId="1282">
    <w:name w:val="Char161"/>
    <w:basedOn w:val="1"/>
    <w:qFormat/>
    <w:uiPriority w:val="99"/>
    <w:pPr>
      <w:spacing w:line="240" w:lineRule="auto"/>
      <w:ind w:left="-48"/>
    </w:pPr>
    <w:rPr>
      <w:sz w:val="21"/>
    </w:rPr>
  </w:style>
  <w:style w:type="paragraph" w:customStyle="1" w:styleId="1283">
    <w:name w:val="燕山正文1112"/>
    <w:basedOn w:val="1"/>
    <w:qFormat/>
    <w:uiPriority w:val="99"/>
    <w:pPr>
      <w:tabs>
        <w:tab w:val="left" w:pos="4680"/>
      </w:tabs>
      <w:spacing w:line="480" w:lineRule="exact"/>
    </w:pPr>
    <w:rPr>
      <w:rFonts w:ascii="宋体" w:hAnsi="宋体" w:cs="宋体"/>
      <w:bCs/>
      <w:color w:val="000000"/>
    </w:rPr>
  </w:style>
  <w:style w:type="paragraph" w:customStyle="1" w:styleId="1284">
    <w:name w:val="表24"/>
    <w:basedOn w:val="1"/>
    <w:qFormat/>
    <w:uiPriority w:val="99"/>
    <w:pPr>
      <w:spacing w:line="240" w:lineRule="auto"/>
      <w:jc w:val="center"/>
    </w:pPr>
    <w:rPr>
      <w:rFonts w:eastAsia="仿宋_GB2312"/>
    </w:rPr>
  </w:style>
  <w:style w:type="paragraph" w:customStyle="1" w:styleId="1285">
    <w:name w:val="表内5413"/>
    <w:basedOn w:val="1"/>
    <w:qFormat/>
    <w:uiPriority w:val="99"/>
    <w:pPr>
      <w:spacing w:line="300" w:lineRule="auto"/>
      <w:jc w:val="center"/>
    </w:pPr>
    <w:rPr>
      <w:rFonts w:ascii="宋体" w:hAnsi="宋体" w:cs="宋体"/>
      <w:sz w:val="21"/>
      <w:szCs w:val="20"/>
    </w:rPr>
  </w:style>
  <w:style w:type="paragraph" w:customStyle="1" w:styleId="1286">
    <w:name w:val="Char Char Char1 Char Char Char Char Char Char1 Char Char Char Char Char Char Char1"/>
    <w:basedOn w:val="1"/>
    <w:qFormat/>
    <w:uiPriority w:val="0"/>
    <w:pPr>
      <w:ind w:firstLine="200"/>
    </w:pPr>
    <w:rPr>
      <w:rFonts w:ascii="宋体" w:hAnsi="宋体" w:cs="宋体"/>
    </w:rPr>
  </w:style>
  <w:style w:type="paragraph" w:customStyle="1" w:styleId="1287">
    <w:name w:val="Char1511"/>
    <w:basedOn w:val="1"/>
    <w:qFormat/>
    <w:uiPriority w:val="99"/>
    <w:pPr>
      <w:spacing w:beforeLines="50"/>
    </w:pPr>
    <w:rPr>
      <w:rFonts w:ascii="黑体" w:eastAsia="黑体"/>
      <w:sz w:val="32"/>
      <w:szCs w:val="32"/>
    </w:rPr>
  </w:style>
  <w:style w:type="paragraph" w:customStyle="1" w:styleId="1288">
    <w:name w:val="Char Char2 Char Char Char Char8"/>
    <w:basedOn w:val="1"/>
    <w:qFormat/>
    <w:uiPriority w:val="99"/>
    <w:pPr>
      <w:spacing w:line="240" w:lineRule="auto"/>
    </w:pPr>
    <w:rPr>
      <w:sz w:val="21"/>
    </w:rPr>
  </w:style>
  <w:style w:type="paragraph" w:customStyle="1" w:styleId="1289">
    <w:name w:val="表格内字体81"/>
    <w:basedOn w:val="185"/>
    <w:next w:val="185"/>
    <w:qFormat/>
    <w:uiPriority w:val="99"/>
    <w:pPr>
      <w:spacing w:line="240" w:lineRule="auto"/>
      <w:ind w:firstLine="0"/>
      <w:jc w:val="center"/>
    </w:pPr>
    <w:rPr>
      <w:rFonts w:hAnsi="宋体" w:cs="Times New Roman"/>
      <w:sz w:val="21"/>
    </w:rPr>
  </w:style>
  <w:style w:type="paragraph" w:customStyle="1" w:styleId="1290">
    <w:name w:val="表格内字体72"/>
    <w:basedOn w:val="185"/>
    <w:next w:val="185"/>
    <w:qFormat/>
    <w:uiPriority w:val="99"/>
    <w:pPr>
      <w:spacing w:line="240" w:lineRule="auto"/>
      <w:ind w:firstLine="0"/>
      <w:jc w:val="center"/>
    </w:pPr>
    <w:rPr>
      <w:rFonts w:hAnsi="宋体" w:cs="Times New Roman"/>
      <w:sz w:val="21"/>
    </w:rPr>
  </w:style>
  <w:style w:type="paragraph" w:customStyle="1" w:styleId="1291">
    <w:name w:val="样式 标题 4无效格式无效格式1河石管道4H4H41小小节河石管道41H42H411小小节1河石管道42...22"/>
    <w:basedOn w:val="6"/>
    <w:qFormat/>
    <w:uiPriority w:val="99"/>
    <w:pPr>
      <w:spacing w:before="0" w:after="0" w:line="360" w:lineRule="auto"/>
      <w:ind w:left="664" w:hanging="864"/>
    </w:pPr>
    <w:rPr>
      <w:rFonts w:ascii="黑体" w:hAnsi="Arial" w:eastAsia="黑体"/>
      <w:b w:val="0"/>
      <w:bCs w:val="0"/>
      <w:szCs w:val="24"/>
      <w:lang w:val="zh-CN"/>
    </w:rPr>
  </w:style>
  <w:style w:type="paragraph" w:customStyle="1" w:styleId="1292">
    <w:name w:val="正文格式＝71"/>
    <w:basedOn w:val="185"/>
    <w:next w:val="185"/>
    <w:qFormat/>
    <w:uiPriority w:val="99"/>
    <w:rPr>
      <w:rFonts w:hAnsi="宋体" w:cs="Times New Roman"/>
    </w:rPr>
  </w:style>
  <w:style w:type="paragraph" w:customStyle="1" w:styleId="1293">
    <w:name w:val="Char92"/>
    <w:basedOn w:val="1"/>
    <w:qFormat/>
    <w:uiPriority w:val="99"/>
    <w:pPr>
      <w:spacing w:line="240" w:lineRule="auto"/>
      <w:ind w:left="-48"/>
    </w:pPr>
    <w:rPr>
      <w:sz w:val="21"/>
    </w:rPr>
  </w:style>
  <w:style w:type="paragraph" w:customStyle="1" w:styleId="1294">
    <w:name w:val="样式 正文文本 + 红色"/>
    <w:basedOn w:val="34"/>
    <w:qFormat/>
    <w:uiPriority w:val="0"/>
    <w:pPr>
      <w:spacing w:before="60" w:after="60" w:line="264" w:lineRule="auto"/>
      <w:ind w:firstLine="200"/>
      <w:textAlignment w:val="baseline"/>
    </w:pPr>
    <w:rPr>
      <w:rFonts w:ascii="Calibri" w:hAnsi="Calibri" w:eastAsia="仿宋_GB2312"/>
      <w:snapToGrid w:val="0"/>
      <w:color w:val="FF0000"/>
      <w:kern w:val="0"/>
    </w:rPr>
  </w:style>
  <w:style w:type="paragraph" w:customStyle="1" w:styleId="1295">
    <w:name w:val="表题161"/>
    <w:basedOn w:val="22"/>
    <w:qFormat/>
    <w:uiPriority w:val="99"/>
    <w:pPr>
      <w:tabs>
        <w:tab w:val="clear" w:pos="10467"/>
        <w:tab w:val="clear" w:pos="13095"/>
      </w:tabs>
      <w:adjustRightInd/>
      <w:snapToGrid/>
    </w:pPr>
    <w:rPr>
      <w:rFonts w:ascii="黑体" w:eastAsia="黑体"/>
    </w:rPr>
  </w:style>
  <w:style w:type="paragraph" w:customStyle="1" w:styleId="1296">
    <w:name w:val="表格内字体2111"/>
    <w:basedOn w:val="185"/>
    <w:next w:val="185"/>
    <w:qFormat/>
    <w:uiPriority w:val="99"/>
    <w:pPr>
      <w:spacing w:line="240" w:lineRule="auto"/>
      <w:ind w:firstLine="0"/>
      <w:jc w:val="center"/>
    </w:pPr>
    <w:rPr>
      <w:rFonts w:hAnsi="宋体" w:cs="Times New Roman"/>
      <w:sz w:val="21"/>
    </w:rPr>
  </w:style>
  <w:style w:type="paragraph" w:customStyle="1" w:styleId="1297">
    <w:name w:val="Char24"/>
    <w:basedOn w:val="1"/>
    <w:qFormat/>
    <w:uiPriority w:val="99"/>
    <w:pPr>
      <w:spacing w:line="240" w:lineRule="auto"/>
      <w:ind w:left="-48"/>
    </w:pPr>
    <w:rPr>
      <w:sz w:val="21"/>
    </w:rPr>
  </w:style>
  <w:style w:type="paragraph" w:customStyle="1" w:styleId="1298">
    <w:name w:val="表文字51111"/>
    <w:basedOn w:val="1"/>
    <w:qFormat/>
    <w:uiPriority w:val="99"/>
    <w:pPr>
      <w:spacing w:line="240" w:lineRule="auto"/>
      <w:jc w:val="left"/>
      <w:textAlignment w:val="baseline"/>
    </w:pPr>
    <w:rPr>
      <w:rFonts w:ascii="宋体"/>
      <w:kern w:val="0"/>
      <w:sz w:val="21"/>
      <w:szCs w:val="20"/>
    </w:rPr>
  </w:style>
  <w:style w:type="paragraph" w:customStyle="1" w:styleId="1299">
    <w:name w:val="Char Char Char Char Char Char Char14"/>
    <w:basedOn w:val="1"/>
    <w:qFormat/>
    <w:uiPriority w:val="99"/>
    <w:pPr>
      <w:spacing w:line="240" w:lineRule="auto"/>
    </w:pPr>
    <w:rPr>
      <w:sz w:val="21"/>
    </w:rPr>
  </w:style>
  <w:style w:type="paragraph" w:customStyle="1" w:styleId="1300">
    <w:name w:val="Char Char Char Char Char Char Char51"/>
    <w:basedOn w:val="1"/>
    <w:qFormat/>
    <w:uiPriority w:val="99"/>
    <w:pPr>
      <w:spacing w:line="240" w:lineRule="auto"/>
    </w:pPr>
    <w:rPr>
      <w:sz w:val="21"/>
    </w:rPr>
  </w:style>
  <w:style w:type="paragraph" w:customStyle="1" w:styleId="1301">
    <w:name w:val="表格内字体10"/>
    <w:basedOn w:val="185"/>
    <w:next w:val="185"/>
    <w:qFormat/>
    <w:uiPriority w:val="99"/>
    <w:pPr>
      <w:spacing w:line="240" w:lineRule="auto"/>
      <w:ind w:firstLine="0"/>
      <w:jc w:val="center"/>
    </w:pPr>
    <w:rPr>
      <w:rFonts w:hAnsi="宋体" w:cs="Times New Roman"/>
      <w:sz w:val="21"/>
      <w:szCs w:val="21"/>
    </w:rPr>
  </w:style>
  <w:style w:type="paragraph" w:customStyle="1" w:styleId="1302">
    <w:name w:val="表文字5121"/>
    <w:basedOn w:val="1"/>
    <w:qFormat/>
    <w:uiPriority w:val="99"/>
    <w:pPr>
      <w:spacing w:line="240" w:lineRule="auto"/>
      <w:jc w:val="left"/>
      <w:textAlignment w:val="baseline"/>
    </w:pPr>
    <w:rPr>
      <w:rFonts w:ascii="宋体"/>
      <w:kern w:val="0"/>
      <w:sz w:val="21"/>
      <w:szCs w:val="20"/>
    </w:rPr>
  </w:style>
  <w:style w:type="paragraph" w:customStyle="1" w:styleId="1303">
    <w:name w:val="样式 标题 2节 + 宋体 加粗"/>
    <w:basedOn w:val="4"/>
    <w:qFormat/>
    <w:uiPriority w:val="0"/>
    <w:pPr>
      <w:tabs>
        <w:tab w:val="left" w:pos="1505"/>
      </w:tabs>
      <w:spacing w:before="0" w:after="0"/>
      <w:ind w:left="200" w:hanging="200"/>
    </w:pPr>
    <w:rPr>
      <w:rFonts w:ascii="宋体" w:hAnsi="宋体"/>
      <w:bCs w:val="0"/>
      <w:szCs w:val="20"/>
    </w:rPr>
  </w:style>
  <w:style w:type="paragraph" w:customStyle="1" w:styleId="1304">
    <w:name w:val="五级条标题"/>
    <w:next w:val="1"/>
    <w:qFormat/>
    <w:uiPriority w:val="0"/>
    <w:pPr>
      <w:tabs>
        <w:tab w:val="left" w:pos="980"/>
        <w:tab w:val="left" w:pos="1008"/>
        <w:tab w:val="left" w:pos="1080"/>
        <w:tab w:val="left" w:pos="1152"/>
        <w:tab w:val="left" w:pos="1260"/>
        <w:tab w:val="left" w:pos="1296"/>
        <w:tab w:val="left" w:pos="1680"/>
        <w:tab w:val="left" w:pos="2100"/>
        <w:tab w:val="left" w:pos="2240"/>
        <w:tab w:val="left" w:pos="2520"/>
        <w:tab w:val="left" w:pos="2660"/>
        <w:tab w:val="left" w:pos="2940"/>
        <w:tab w:val="left" w:pos="3080"/>
        <w:tab w:val="left" w:pos="3500"/>
      </w:tabs>
      <w:outlineLvl w:val="6"/>
    </w:pPr>
    <w:rPr>
      <w:rFonts w:ascii="Times New Roman" w:hAnsi="Times New Roman" w:eastAsia="宋体" w:cs="Times New Roman"/>
      <w:lang w:val="en-US" w:eastAsia="zh-CN" w:bidi="ar-SA"/>
    </w:rPr>
  </w:style>
  <w:style w:type="paragraph" w:customStyle="1" w:styleId="1305">
    <w:name w:val="四级条标题"/>
    <w:next w:val="1"/>
    <w:qFormat/>
    <w:uiPriority w:val="0"/>
    <w:pPr>
      <w:tabs>
        <w:tab w:val="left" w:pos="980"/>
        <w:tab w:val="left" w:pos="1008"/>
        <w:tab w:val="left" w:pos="1080"/>
        <w:tab w:val="left" w:pos="1152"/>
        <w:tab w:val="left" w:pos="1260"/>
        <w:tab w:val="left" w:pos="1680"/>
        <w:tab w:val="left" w:pos="2100"/>
        <w:tab w:val="left" w:pos="2240"/>
        <w:tab w:val="left" w:pos="2520"/>
        <w:tab w:val="left" w:pos="2660"/>
        <w:tab w:val="left" w:pos="3080"/>
      </w:tabs>
      <w:outlineLvl w:val="5"/>
    </w:pPr>
    <w:rPr>
      <w:rFonts w:ascii="Times New Roman" w:hAnsi="Times New Roman" w:eastAsia="宋体" w:cs="Times New Roman"/>
      <w:lang w:val="en-US" w:eastAsia="zh-CN" w:bidi="ar-SA"/>
    </w:rPr>
  </w:style>
  <w:style w:type="paragraph" w:customStyle="1" w:styleId="1306">
    <w:name w:val="三级条标题"/>
    <w:next w:val="1"/>
    <w:qFormat/>
    <w:uiPriority w:val="0"/>
    <w:pPr>
      <w:tabs>
        <w:tab w:val="left" w:pos="980"/>
        <w:tab w:val="left" w:pos="1008"/>
        <w:tab w:val="left" w:pos="1080"/>
        <w:tab w:val="left" w:pos="1260"/>
        <w:tab w:val="left" w:pos="1680"/>
        <w:tab w:val="left" w:pos="2100"/>
        <w:tab w:val="left" w:pos="2240"/>
        <w:tab w:val="left" w:pos="2660"/>
      </w:tabs>
      <w:outlineLvl w:val="4"/>
    </w:pPr>
    <w:rPr>
      <w:rFonts w:ascii="Times New Roman" w:hAnsi="Times New Roman" w:eastAsia="宋体" w:cs="Times New Roman"/>
      <w:lang w:val="en-US" w:eastAsia="zh-CN" w:bidi="ar-SA"/>
    </w:rPr>
  </w:style>
  <w:style w:type="paragraph" w:customStyle="1" w:styleId="1307">
    <w:name w:val="二级条标题"/>
    <w:next w:val="1"/>
    <w:qFormat/>
    <w:uiPriority w:val="0"/>
    <w:pPr>
      <w:tabs>
        <w:tab w:val="left" w:pos="980"/>
        <w:tab w:val="left" w:pos="1080"/>
        <w:tab w:val="left" w:pos="1260"/>
        <w:tab w:val="left" w:pos="1680"/>
        <w:tab w:val="left" w:pos="2240"/>
      </w:tabs>
      <w:outlineLvl w:val="3"/>
    </w:pPr>
    <w:rPr>
      <w:rFonts w:ascii="Times New Roman" w:hAnsi="Times New Roman" w:eastAsia="宋体" w:cs="Times New Roman"/>
      <w:lang w:val="en-US" w:eastAsia="zh-CN" w:bidi="ar-SA"/>
    </w:rPr>
  </w:style>
  <w:style w:type="paragraph" w:customStyle="1" w:styleId="1308">
    <w:name w:val="一级条标题"/>
    <w:basedOn w:val="4"/>
    <w:next w:val="1"/>
    <w:qFormat/>
    <w:uiPriority w:val="0"/>
    <w:pPr>
      <w:keepNext w:val="0"/>
      <w:keepLines w:val="0"/>
      <w:widowControl/>
      <w:tabs>
        <w:tab w:val="left" w:pos="1080"/>
        <w:tab w:val="left" w:pos="1260"/>
      </w:tabs>
      <w:spacing w:before="0" w:after="0" w:line="240" w:lineRule="auto"/>
      <w:outlineLvl w:val="2"/>
    </w:pPr>
    <w:rPr>
      <w:rFonts w:ascii="黑体" w:eastAsia="黑体"/>
      <w:b w:val="0"/>
      <w:bCs w:val="0"/>
      <w:kern w:val="0"/>
      <w:sz w:val="21"/>
      <w:szCs w:val="20"/>
    </w:rPr>
  </w:style>
  <w:style w:type="paragraph" w:customStyle="1" w:styleId="1309">
    <w:name w:val="表中文字1"/>
    <w:qFormat/>
    <w:uiPriority w:val="0"/>
    <w:pPr>
      <w:keepLines/>
      <w:jc w:val="center"/>
    </w:pPr>
    <w:rPr>
      <w:rFonts w:ascii="仿宋_GB2312" w:hAnsi="Times New Roman" w:eastAsia="仿宋_GB2312" w:cs="Times New Roman"/>
      <w:sz w:val="24"/>
      <w:lang w:val="en-US" w:eastAsia="zh-CN" w:bidi="ar-SA"/>
    </w:rPr>
  </w:style>
  <w:style w:type="paragraph" w:customStyle="1" w:styleId="1310">
    <w:name w:val="正文-标准"/>
    <w:basedOn w:val="1"/>
    <w:qFormat/>
    <w:uiPriority w:val="0"/>
    <w:pPr>
      <w:ind w:firstLine="200"/>
    </w:pPr>
  </w:style>
  <w:style w:type="paragraph" w:customStyle="1" w:styleId="1311">
    <w:name w:val="样式 宋体 首行缩进:  0.93 厘米 段前: 6 磅 段后: 6 磅 行距: 固定值 16 磅"/>
    <w:basedOn w:val="1"/>
    <w:qFormat/>
    <w:uiPriority w:val="0"/>
    <w:pPr>
      <w:spacing w:before="160" w:after="160" w:line="240" w:lineRule="auto"/>
      <w:jc w:val="center"/>
    </w:pPr>
    <w:rPr>
      <w:rFonts w:cs="宋体"/>
      <w:sz w:val="21"/>
      <w:szCs w:val="20"/>
    </w:rPr>
  </w:style>
  <w:style w:type="paragraph" w:customStyle="1" w:styleId="1312">
    <w:name w:val="表格文字五"/>
    <w:basedOn w:val="1"/>
    <w:qFormat/>
    <w:uiPriority w:val="0"/>
    <w:pPr>
      <w:spacing w:before="62" w:beforeLines="20" w:after="62" w:afterLines="20" w:line="240" w:lineRule="auto"/>
      <w:jc w:val="center"/>
    </w:pPr>
    <w:rPr>
      <w:rFonts w:eastAsia="仿宋_GB2312"/>
      <w:snapToGrid w:val="0"/>
      <w:sz w:val="21"/>
      <w:szCs w:val="21"/>
    </w:rPr>
  </w:style>
  <w:style w:type="paragraph" w:customStyle="1" w:styleId="1313">
    <w:name w:val="表格04"/>
    <w:basedOn w:val="1"/>
    <w:qFormat/>
    <w:uiPriority w:val="0"/>
    <w:pPr>
      <w:spacing w:line="360" w:lineRule="exact"/>
      <w:jc w:val="center"/>
    </w:pPr>
    <w:rPr>
      <w:snapToGrid w:val="0"/>
      <w:kern w:val="0"/>
      <w:sz w:val="18"/>
      <w:szCs w:val="18"/>
    </w:rPr>
  </w:style>
  <w:style w:type="paragraph" w:customStyle="1" w:styleId="1314">
    <w:name w:val="文本框文字"/>
    <w:basedOn w:val="1"/>
    <w:qFormat/>
    <w:uiPriority w:val="0"/>
    <w:pPr>
      <w:spacing w:line="240" w:lineRule="auto"/>
      <w:jc w:val="center"/>
      <w:textAlignment w:val="baseline"/>
    </w:pPr>
    <w:rPr>
      <w:kern w:val="0"/>
      <w:sz w:val="21"/>
      <w:szCs w:val="20"/>
    </w:rPr>
  </w:style>
  <w:style w:type="paragraph" w:customStyle="1" w:styleId="1315">
    <w:name w:val="正文图小五"/>
    <w:basedOn w:val="1"/>
    <w:qFormat/>
    <w:uiPriority w:val="0"/>
    <w:pPr>
      <w:spacing w:line="240" w:lineRule="auto"/>
      <w:jc w:val="center"/>
    </w:pPr>
    <w:rPr>
      <w:rFonts w:eastAsia="黑体"/>
      <w:spacing w:val="6"/>
      <w:sz w:val="21"/>
      <w:szCs w:val="20"/>
    </w:rPr>
  </w:style>
  <w:style w:type="paragraph" w:customStyle="1" w:styleId="1316">
    <w:name w:val="3级标题1200"/>
    <w:basedOn w:val="5"/>
    <w:qFormat/>
    <w:uiPriority w:val="0"/>
    <w:pPr>
      <w:widowControl/>
      <w:spacing w:before="0" w:after="0"/>
      <w:jc w:val="left"/>
    </w:pPr>
    <w:rPr>
      <w:rFonts w:ascii="黑体" w:eastAsia="黑体"/>
      <w:snapToGrid w:val="0"/>
      <w:kern w:val="0"/>
      <w:szCs w:val="24"/>
    </w:rPr>
  </w:style>
  <w:style w:type="paragraph" w:customStyle="1" w:styleId="1317">
    <w:name w:val="xl89"/>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黑体" w:hAnsi="Arial Unicode MS" w:eastAsia="黑体"/>
      <w:kern w:val="0"/>
      <w:sz w:val="20"/>
      <w:szCs w:val="20"/>
    </w:rPr>
  </w:style>
  <w:style w:type="paragraph" w:customStyle="1" w:styleId="1318">
    <w:name w:val="Heading Base"/>
    <w:basedOn w:val="34"/>
    <w:next w:val="34"/>
    <w:qFormat/>
    <w:uiPriority w:val="0"/>
    <w:pPr>
      <w:keepNext/>
      <w:keepLines/>
      <w:widowControl/>
      <w:adjustRightInd/>
      <w:snapToGrid/>
      <w:spacing w:after="0" w:line="220" w:lineRule="atLeast"/>
      <w:ind w:right="-360"/>
      <w:jc w:val="left"/>
    </w:pPr>
    <w:rPr>
      <w:rFonts w:ascii="Arial" w:hAnsi="Arial"/>
      <w:spacing w:val="-4"/>
      <w:kern w:val="0"/>
      <w:sz w:val="18"/>
      <w:szCs w:val="20"/>
    </w:rPr>
  </w:style>
  <w:style w:type="paragraph" w:customStyle="1" w:styleId="1319">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rPr>
  </w:style>
  <w:style w:type="paragraph" w:customStyle="1" w:styleId="1320">
    <w:name w:val="Char Char3"/>
    <w:basedOn w:val="1"/>
    <w:qFormat/>
    <w:uiPriority w:val="0"/>
    <w:pPr>
      <w:spacing w:line="240" w:lineRule="exact"/>
      <w:ind w:firstLine="200"/>
    </w:pPr>
    <w:rPr>
      <w:sz w:val="28"/>
      <w:szCs w:val="28"/>
    </w:rPr>
  </w:style>
  <w:style w:type="paragraph" w:customStyle="1" w:styleId="1321">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黑体" w:hAnsi="Arial Unicode MS" w:eastAsia="黑体"/>
      <w:kern w:val="0"/>
      <w:sz w:val="20"/>
      <w:szCs w:val="20"/>
    </w:rPr>
  </w:style>
  <w:style w:type="paragraph" w:customStyle="1" w:styleId="132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323">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Arial Unicode MS" w:hAnsi="Arial Unicode MS"/>
      <w:kern w:val="0"/>
      <w:sz w:val="18"/>
      <w:szCs w:val="18"/>
    </w:rPr>
  </w:style>
  <w:style w:type="paragraph" w:customStyle="1" w:styleId="1324">
    <w:name w:val="Char Char7 Char Char1 Char Char Char1 Char Char Char Char Char Char Char Char Char Char Char Char Char Char"/>
    <w:basedOn w:val="1"/>
    <w:qFormat/>
    <w:uiPriority w:val="0"/>
    <w:pPr>
      <w:spacing w:line="240" w:lineRule="exact"/>
      <w:ind w:firstLine="200"/>
    </w:pPr>
    <w:rPr>
      <w:sz w:val="28"/>
      <w:szCs w:val="28"/>
    </w:rPr>
  </w:style>
  <w:style w:type="paragraph" w:customStyle="1" w:styleId="13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b/>
      <w:bCs/>
      <w:kern w:val="0"/>
      <w:sz w:val="20"/>
      <w:szCs w:val="20"/>
    </w:rPr>
  </w:style>
  <w:style w:type="paragraph" w:customStyle="1" w:styleId="1326">
    <w:name w:val="Char Char Char Char Char Char Char"/>
    <w:basedOn w:val="1"/>
    <w:qFormat/>
    <w:uiPriority w:val="0"/>
    <w:pPr>
      <w:spacing w:line="240" w:lineRule="auto"/>
    </w:pPr>
    <w:rPr>
      <w:sz w:val="21"/>
    </w:rPr>
  </w:style>
  <w:style w:type="paragraph" w:customStyle="1" w:styleId="1327">
    <w:name w:val="正文格式24"/>
    <w:basedOn w:val="1"/>
    <w:qFormat/>
    <w:uiPriority w:val="99"/>
    <w:pPr>
      <w:ind w:firstLine="482"/>
    </w:pPr>
    <w:rPr>
      <w:rFonts w:ascii="宋体" w:hAnsi="宋体"/>
    </w:rPr>
  </w:style>
  <w:style w:type="paragraph" w:customStyle="1" w:styleId="1328">
    <w:name w:val="列表 2B"/>
    <w:basedOn w:val="37"/>
    <w:qFormat/>
    <w:uiPriority w:val="0"/>
    <w:pPr>
      <w:tabs>
        <w:tab w:val="left" w:pos="737"/>
      </w:tabs>
      <w:spacing w:line="288" w:lineRule="auto"/>
      <w:ind w:left="737" w:leftChars="0" w:hanging="567" w:firstLineChars="0"/>
    </w:pPr>
    <w:rPr>
      <w:rFonts w:ascii="Arial" w:hAnsi="Arial"/>
      <w:color w:val="FFFF99"/>
      <w:szCs w:val="20"/>
    </w:rPr>
  </w:style>
  <w:style w:type="paragraph" w:customStyle="1" w:styleId="132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33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b/>
      <w:bCs/>
      <w:color w:val="FF0000"/>
      <w:kern w:val="0"/>
      <w:sz w:val="20"/>
      <w:szCs w:val="20"/>
    </w:rPr>
  </w:style>
  <w:style w:type="paragraph" w:customStyle="1" w:styleId="1331">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1332">
    <w:name w:val="xl94"/>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Arial Unicode MS" w:hAnsi="Arial Unicode MS"/>
      <w:b/>
      <w:bCs/>
      <w:color w:val="FF0000"/>
      <w:kern w:val="0"/>
      <w:sz w:val="20"/>
      <w:szCs w:val="20"/>
    </w:rPr>
  </w:style>
  <w:style w:type="paragraph" w:customStyle="1" w:styleId="1333">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334">
    <w:name w:val="xl90"/>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335">
    <w:name w:val="编号引导"/>
    <w:basedOn w:val="20"/>
    <w:next w:val="20"/>
    <w:qFormat/>
    <w:uiPriority w:val="0"/>
    <w:pPr>
      <w:widowControl/>
      <w:tabs>
        <w:tab w:val="clear" w:pos="360"/>
      </w:tabs>
      <w:overflowPunct w:val="0"/>
      <w:autoSpaceDE w:val="0"/>
      <w:autoSpaceDN w:val="0"/>
      <w:spacing w:before="80" w:after="160"/>
      <w:ind w:left="720" w:firstLine="0"/>
      <w:jc w:val="left"/>
      <w:textAlignment w:val="baseline"/>
    </w:pPr>
    <w:rPr>
      <w:b/>
      <w:kern w:val="0"/>
      <w:sz w:val="20"/>
      <w:szCs w:val="20"/>
    </w:rPr>
  </w:style>
  <w:style w:type="paragraph" w:customStyle="1" w:styleId="1336">
    <w:name w:val="xl31"/>
    <w:basedOn w:val="1"/>
    <w:qFormat/>
    <w:uiPriority w:val="0"/>
    <w:pPr>
      <w:widowControl/>
      <w:spacing w:before="100" w:beforeAutospacing="1" w:after="100" w:afterAutospacing="1" w:line="240" w:lineRule="auto"/>
      <w:jc w:val="center"/>
    </w:pPr>
    <w:rPr>
      <w:rFonts w:ascii="Arial Unicode MS" w:hAnsi="Arial Unicode MS" w:eastAsia="Times New Roman" w:cs="Arial Unicode MS"/>
      <w:kern w:val="0"/>
    </w:rPr>
  </w:style>
  <w:style w:type="paragraph" w:customStyle="1" w:styleId="1337">
    <w:name w:val="xl86"/>
    <w:basedOn w:val="1"/>
    <w:qFormat/>
    <w:uiPriority w:val="0"/>
    <w:pPr>
      <w:widowControl/>
      <w:pBdr>
        <w:top w:val="single" w:color="auto" w:sz="4" w:space="0"/>
        <w:right w:val="single" w:color="auto" w:sz="4" w:space="0"/>
      </w:pBdr>
      <w:spacing w:before="100" w:beforeAutospacing="1" w:after="100" w:afterAutospacing="1" w:line="240" w:lineRule="auto"/>
      <w:jc w:val="center"/>
    </w:pPr>
    <w:rPr>
      <w:rFonts w:ascii="Arial Unicode MS" w:hAnsi="Arial Unicode MS"/>
      <w:b/>
      <w:bCs/>
      <w:kern w:val="0"/>
      <w:sz w:val="20"/>
      <w:szCs w:val="20"/>
    </w:rPr>
  </w:style>
  <w:style w:type="paragraph" w:customStyle="1" w:styleId="1338">
    <w:name w:val="默认段落字体 Para Char2"/>
    <w:basedOn w:val="1"/>
    <w:next w:val="1"/>
    <w:qFormat/>
    <w:uiPriority w:val="99"/>
    <w:pPr>
      <w:spacing w:line="480" w:lineRule="exact"/>
      <w:ind w:firstLine="200"/>
      <w:jc w:val="left"/>
    </w:pPr>
    <w:rPr>
      <w:rFonts w:ascii="宋体" w:hAnsi="宋体" w:eastAsia="汉鼎简书宋" w:cs="宋体"/>
      <w:sz w:val="28"/>
    </w:rPr>
  </w:style>
  <w:style w:type="paragraph" w:customStyle="1" w:styleId="1339">
    <w:name w:val="小五表文"/>
    <w:qFormat/>
    <w:uiPriority w:val="0"/>
    <w:pPr>
      <w:jc w:val="center"/>
    </w:pPr>
    <w:rPr>
      <w:rFonts w:ascii="宋体" w:hAnsi="宋体" w:eastAsia="宋体" w:cs="Times New Roman"/>
      <w:b/>
      <w:bCs/>
      <w:sz w:val="24"/>
      <w:lang w:val="en-US" w:eastAsia="zh-CN" w:bidi="ar-SA"/>
    </w:rPr>
  </w:style>
  <w:style w:type="paragraph" w:customStyle="1" w:styleId="1340">
    <w:name w:val="表字"/>
    <w:basedOn w:val="1"/>
    <w:qFormat/>
    <w:uiPriority w:val="0"/>
    <w:pPr>
      <w:spacing w:line="240" w:lineRule="auto"/>
      <w:jc w:val="center"/>
    </w:pPr>
    <w:rPr>
      <w:rFonts w:hint="eastAsia" w:ascii="宋体"/>
      <w:sz w:val="21"/>
      <w:szCs w:val="20"/>
    </w:rPr>
  </w:style>
  <w:style w:type="paragraph" w:customStyle="1" w:styleId="1341">
    <w:name w:val="xl82"/>
    <w:basedOn w:val="1"/>
    <w:qFormat/>
    <w:uiPriority w:val="0"/>
    <w:pPr>
      <w:widowControl/>
      <w:pBdr>
        <w:top w:val="single" w:color="auto" w:sz="4" w:space="0"/>
        <w:left w:val="single" w:color="auto" w:sz="4" w:space="0"/>
        <w:right w:val="single" w:color="auto" w:sz="4" w:space="0"/>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1342">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343">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34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18"/>
      <w:szCs w:val="18"/>
    </w:rPr>
  </w:style>
  <w:style w:type="paragraph" w:customStyle="1" w:styleId="13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黑体" w:hAnsi="Arial Unicode MS" w:eastAsia="黑体"/>
      <w:kern w:val="0"/>
      <w:sz w:val="20"/>
      <w:szCs w:val="20"/>
    </w:rPr>
  </w:style>
  <w:style w:type="paragraph" w:customStyle="1" w:styleId="1346">
    <w:name w:val="表格内字体6"/>
    <w:basedOn w:val="185"/>
    <w:next w:val="185"/>
    <w:qFormat/>
    <w:uiPriority w:val="99"/>
    <w:pPr>
      <w:spacing w:line="240" w:lineRule="auto"/>
      <w:ind w:firstLine="0"/>
      <w:jc w:val="center"/>
    </w:pPr>
    <w:rPr>
      <w:rFonts w:hAnsi="宋体" w:cs="Times New Roman"/>
      <w:sz w:val="21"/>
    </w:rPr>
  </w:style>
  <w:style w:type="paragraph" w:customStyle="1" w:styleId="1347">
    <w:name w:val="9"/>
    <w:basedOn w:val="1"/>
    <w:qFormat/>
    <w:uiPriority w:val="0"/>
    <w:pPr>
      <w:spacing w:line="240" w:lineRule="exact"/>
      <w:ind w:firstLine="200"/>
    </w:pPr>
    <w:rPr>
      <w:sz w:val="28"/>
      <w:szCs w:val="28"/>
    </w:rPr>
  </w:style>
  <w:style w:type="paragraph" w:customStyle="1" w:styleId="1348">
    <w:name w:val="谏壁表头（chen）"/>
    <w:basedOn w:val="1"/>
    <w:qFormat/>
    <w:uiPriority w:val="0"/>
    <w:pPr>
      <w:jc w:val="center"/>
    </w:pPr>
    <w:rPr>
      <w:b/>
      <w:bCs/>
    </w:rPr>
  </w:style>
  <w:style w:type="paragraph" w:customStyle="1" w:styleId="1349">
    <w:name w:val="默认段落字体 Para Char1"/>
    <w:basedOn w:val="1"/>
    <w:next w:val="1"/>
    <w:qFormat/>
    <w:uiPriority w:val="99"/>
    <w:pPr>
      <w:spacing w:line="480" w:lineRule="exact"/>
      <w:ind w:firstLine="200"/>
      <w:jc w:val="left"/>
    </w:pPr>
    <w:rPr>
      <w:rFonts w:ascii="宋体" w:hAnsi="宋体" w:eastAsia="汉鼎简书宋" w:cs="宋体"/>
      <w:sz w:val="28"/>
    </w:rPr>
  </w:style>
  <w:style w:type="paragraph" w:customStyle="1" w:styleId="1350">
    <w:name w:val="表内文字小3134"/>
    <w:basedOn w:val="1"/>
    <w:qFormat/>
    <w:uiPriority w:val="99"/>
    <w:pPr>
      <w:spacing w:line="240" w:lineRule="auto"/>
      <w:jc w:val="center"/>
    </w:pPr>
    <w:rPr>
      <w:rFonts w:ascii="宋体" w:hAnsi="Times" w:cs="宋体"/>
      <w:bCs/>
      <w:color w:val="003366"/>
      <w:sz w:val="21"/>
      <w:szCs w:val="20"/>
    </w:rPr>
  </w:style>
  <w:style w:type="paragraph" w:customStyle="1" w:styleId="1351">
    <w:name w:val="标题4114"/>
    <w:basedOn w:val="1"/>
    <w:qFormat/>
    <w:uiPriority w:val="99"/>
    <w:pPr>
      <w:spacing w:line="300" w:lineRule="auto"/>
      <w:jc w:val="left"/>
    </w:pPr>
    <w:rPr>
      <w:rFonts w:ascii="黑体" w:hAnsi="宋体" w:eastAsia="黑体" w:cs="宋体"/>
      <w:bCs/>
      <w:szCs w:val="20"/>
    </w:rPr>
  </w:style>
  <w:style w:type="paragraph" w:customStyle="1" w:styleId="1352">
    <w:name w:val="Print- From: To: Subject: Date:"/>
    <w:basedOn w:val="1"/>
    <w:qFormat/>
    <w:uiPriority w:val="0"/>
    <w:pPr>
      <w:pBdr>
        <w:left w:val="single" w:color="auto" w:sz="18" w:space="1"/>
      </w:pBdr>
      <w:spacing w:line="360" w:lineRule="atLeast"/>
      <w:jc w:val="left"/>
      <w:textAlignment w:val="baseline"/>
    </w:pPr>
    <w:rPr>
      <w:rFonts w:eastAsia="PMingLiU"/>
      <w:kern w:val="0"/>
      <w:lang w:eastAsia="zh-TW"/>
    </w:rPr>
  </w:style>
  <w:style w:type="paragraph" w:customStyle="1" w:styleId="1353">
    <w:name w:val="正文修改51"/>
    <w:basedOn w:val="900"/>
    <w:qFormat/>
    <w:uiPriority w:val="99"/>
    <w:pPr>
      <w:spacing w:line="480" w:lineRule="exact"/>
      <w:ind w:firstLine="0" w:firstLineChars="0"/>
    </w:pPr>
    <w:rPr>
      <w:rFonts w:cs="宋体"/>
      <w:sz w:val="24"/>
      <w:szCs w:val="24"/>
    </w:rPr>
  </w:style>
  <w:style w:type="paragraph" w:customStyle="1" w:styleId="1354">
    <w:name w:val="样式 标题 3小标题小节标题标题3H3h33rd level第二层条标题4 + Arial 两端对齐"/>
    <w:basedOn w:val="5"/>
    <w:qFormat/>
    <w:uiPriority w:val="0"/>
    <w:pPr>
      <w:tabs>
        <w:tab w:val="left" w:pos="0"/>
        <w:tab w:val="left" w:pos="993"/>
        <w:tab w:val="left" w:pos="1111"/>
      </w:tabs>
      <w:spacing w:after="60" w:line="240" w:lineRule="auto"/>
      <w:ind w:left="851"/>
      <w:textAlignment w:val="baseline"/>
    </w:pPr>
    <w:rPr>
      <w:rFonts w:ascii="Arial" w:hAnsi="Arial"/>
      <w:bCs w:val="0"/>
      <w:kern w:val="32"/>
      <w:sz w:val="30"/>
      <w:szCs w:val="20"/>
    </w:rPr>
  </w:style>
  <w:style w:type="paragraph" w:customStyle="1" w:styleId="1355">
    <w:name w:val="表题21111"/>
    <w:basedOn w:val="1"/>
    <w:qFormat/>
    <w:uiPriority w:val="99"/>
    <w:pPr>
      <w:widowControl/>
      <w:spacing w:line="240" w:lineRule="auto"/>
      <w:jc w:val="center"/>
    </w:pPr>
    <w:rPr>
      <w:rFonts w:ascii="黑体" w:hAnsi="宋体" w:eastAsia="黑体" w:cs="宋体"/>
      <w:kern w:val="0"/>
    </w:rPr>
  </w:style>
  <w:style w:type="paragraph" w:customStyle="1" w:styleId="1356">
    <w:name w:val="+正文"/>
    <w:basedOn w:val="1"/>
    <w:qFormat/>
    <w:uiPriority w:val="0"/>
    <w:pPr>
      <w:widowControl/>
      <w:ind w:firstLine="200"/>
    </w:pPr>
    <w:rPr>
      <w:szCs w:val="28"/>
    </w:rPr>
  </w:style>
  <w:style w:type="paragraph" w:customStyle="1" w:styleId="1357">
    <w:name w:val="燕山正文7"/>
    <w:basedOn w:val="1"/>
    <w:qFormat/>
    <w:uiPriority w:val="99"/>
    <w:pPr>
      <w:tabs>
        <w:tab w:val="left" w:pos="4680"/>
      </w:tabs>
      <w:spacing w:line="480" w:lineRule="exact"/>
    </w:pPr>
    <w:rPr>
      <w:rFonts w:ascii="宋体" w:cs="宋体"/>
    </w:rPr>
  </w:style>
  <w:style w:type="paragraph" w:customStyle="1" w:styleId="1358">
    <w:name w:val="样式 正文缩进 + 宋体 黑色11"/>
    <w:basedOn w:val="21"/>
    <w:qFormat/>
    <w:uiPriority w:val="99"/>
    <w:pPr>
      <w:spacing w:line="360" w:lineRule="auto"/>
      <w:ind w:firstLine="200"/>
      <w:jc w:val="left"/>
    </w:pPr>
    <w:rPr>
      <w:rFonts w:ascii="宋体" w:hAnsi="宋体"/>
      <w:color w:val="000000"/>
      <w:sz w:val="24"/>
    </w:rPr>
  </w:style>
  <w:style w:type="paragraph" w:customStyle="1" w:styleId="1359">
    <w:name w:val="列图"/>
    <w:basedOn w:val="65"/>
    <w:next w:val="1"/>
    <w:qFormat/>
    <w:uiPriority w:val="0"/>
    <w:pPr>
      <w:keepLines/>
      <w:spacing w:before="120" w:line="276" w:lineRule="auto"/>
      <w:textAlignment w:val="baseline"/>
    </w:pPr>
    <w:rPr>
      <w:rFonts w:ascii="Times New Roman" w:hAnsi="Calibri" w:eastAsia="宋体"/>
      <w:kern w:val="28"/>
      <w:lang w:val="zh-CN"/>
    </w:rPr>
  </w:style>
  <w:style w:type="paragraph" w:customStyle="1" w:styleId="1360">
    <w:name w:val="Char13"/>
    <w:basedOn w:val="1"/>
    <w:qFormat/>
    <w:uiPriority w:val="99"/>
    <w:pPr>
      <w:spacing w:line="240" w:lineRule="auto"/>
      <w:ind w:left="-48"/>
    </w:pPr>
    <w:rPr>
      <w:sz w:val="21"/>
    </w:rPr>
  </w:style>
  <w:style w:type="paragraph" w:customStyle="1" w:styleId="1361">
    <w:name w:val="Char Char Char Char Char Char Char Char Char Char Char Char Char Char Char Char1"/>
    <w:basedOn w:val="1"/>
    <w:qFormat/>
    <w:uiPriority w:val="0"/>
    <w:pPr>
      <w:spacing w:line="240" w:lineRule="auto"/>
    </w:pPr>
  </w:style>
  <w:style w:type="paragraph" w:customStyle="1" w:styleId="1362">
    <w:name w:val="Char19"/>
    <w:basedOn w:val="1"/>
    <w:qFormat/>
    <w:uiPriority w:val="99"/>
    <w:pPr>
      <w:spacing w:line="240" w:lineRule="auto"/>
      <w:ind w:left="-45"/>
    </w:pPr>
    <w:rPr>
      <w:sz w:val="21"/>
    </w:rPr>
  </w:style>
  <w:style w:type="paragraph" w:customStyle="1" w:styleId="1363">
    <w:name w:val="表内宋5中32"/>
    <w:basedOn w:val="1"/>
    <w:qFormat/>
    <w:uiPriority w:val="99"/>
    <w:pPr>
      <w:spacing w:line="240" w:lineRule="auto"/>
      <w:textAlignment w:val="baseline"/>
    </w:pPr>
    <w:rPr>
      <w:color w:val="000000"/>
      <w:kern w:val="0"/>
      <w:sz w:val="21"/>
      <w:szCs w:val="20"/>
    </w:rPr>
  </w:style>
  <w:style w:type="paragraph" w:customStyle="1" w:styleId="1364">
    <w:name w:val="样式 样式 标题 4 + 段前: 0.5 行 段后: 0.5 行 + 段前: 0.5 行 段后: 0.5 行6"/>
    <w:basedOn w:val="1203"/>
    <w:qFormat/>
    <w:uiPriority w:val="0"/>
  </w:style>
  <w:style w:type="paragraph" w:customStyle="1" w:styleId="1365">
    <w:name w:val="表内宋513"/>
    <w:qFormat/>
    <w:uiPriority w:val="99"/>
    <w:pPr>
      <w:autoSpaceDE w:val="0"/>
      <w:autoSpaceDN w:val="0"/>
    </w:pPr>
    <w:rPr>
      <w:rFonts w:ascii="Times New Roman" w:hAnsi="Times New Roman" w:eastAsia="宋体" w:cs="Times New Roman"/>
      <w:w w:val="90"/>
      <w:lang w:val="en-US" w:eastAsia="zh-CN" w:bidi="ar-SA"/>
    </w:rPr>
  </w:style>
  <w:style w:type="paragraph" w:customStyle="1" w:styleId="1366">
    <w:name w:val="表内宋5中"/>
    <w:basedOn w:val="1"/>
    <w:qFormat/>
    <w:uiPriority w:val="99"/>
    <w:pPr>
      <w:spacing w:line="240" w:lineRule="auto"/>
      <w:textAlignment w:val="baseline"/>
    </w:pPr>
    <w:rPr>
      <w:color w:val="000000"/>
      <w:kern w:val="0"/>
      <w:sz w:val="21"/>
      <w:szCs w:val="20"/>
    </w:rPr>
  </w:style>
  <w:style w:type="paragraph" w:customStyle="1" w:styleId="1367">
    <w:name w:val="表题912"/>
    <w:basedOn w:val="45"/>
    <w:qFormat/>
    <w:uiPriority w:val="99"/>
    <w:pPr>
      <w:spacing w:line="300" w:lineRule="auto"/>
    </w:pPr>
    <w:rPr>
      <w:rFonts w:ascii="黑体" w:eastAsia="黑体"/>
      <w:spacing w:val="0"/>
      <w:sz w:val="24"/>
    </w:rPr>
  </w:style>
  <w:style w:type="paragraph" w:customStyle="1" w:styleId="1368">
    <w:name w:val="正文 + 小四"/>
    <w:basedOn w:val="1"/>
    <w:qFormat/>
    <w:uiPriority w:val="0"/>
    <w:pPr>
      <w:pBdr>
        <w:top w:val="single" w:color="auto" w:sz="4" w:space="1"/>
      </w:pBdr>
      <w:ind w:firstLine="480"/>
    </w:pPr>
  </w:style>
  <w:style w:type="paragraph" w:customStyle="1" w:styleId="1369">
    <w:name w:val="表题115"/>
    <w:basedOn w:val="22"/>
    <w:qFormat/>
    <w:uiPriority w:val="99"/>
    <w:pPr>
      <w:tabs>
        <w:tab w:val="clear" w:pos="10467"/>
        <w:tab w:val="clear" w:pos="13095"/>
      </w:tabs>
      <w:adjustRightInd/>
      <w:snapToGrid/>
    </w:pPr>
    <w:rPr>
      <w:rFonts w:ascii="黑体" w:eastAsia="黑体"/>
      <w:b w:val="0"/>
    </w:rPr>
  </w:style>
  <w:style w:type="paragraph" w:customStyle="1" w:styleId="1370">
    <w:name w:val="表内522"/>
    <w:basedOn w:val="1"/>
    <w:qFormat/>
    <w:uiPriority w:val="99"/>
    <w:pPr>
      <w:spacing w:line="300" w:lineRule="auto"/>
      <w:jc w:val="left"/>
    </w:pPr>
    <w:rPr>
      <w:rFonts w:ascii="宋体"/>
      <w:sz w:val="18"/>
      <w:szCs w:val="20"/>
    </w:rPr>
  </w:style>
  <w:style w:type="paragraph" w:customStyle="1" w:styleId="1371">
    <w:name w:val="c12"/>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372">
    <w:name w:val="表题4112"/>
    <w:basedOn w:val="35"/>
    <w:qFormat/>
    <w:uiPriority w:val="99"/>
    <w:pPr>
      <w:tabs>
        <w:tab w:val="left" w:pos="4305"/>
      </w:tabs>
      <w:ind w:left="0" w:firstLine="0" w:firstLineChars="0"/>
      <w:jc w:val="center"/>
    </w:pPr>
    <w:rPr>
      <w:rFonts w:ascii="宋体" w:hAnsi="宋体" w:cs="宋体"/>
      <w:color w:val="000000"/>
      <w:sz w:val="24"/>
      <w:lang w:val="zh-CN"/>
    </w:rPr>
  </w:style>
  <w:style w:type="paragraph" w:customStyle="1" w:styleId="1373">
    <w:name w:val="表格112"/>
    <w:basedOn w:val="1"/>
    <w:qFormat/>
    <w:uiPriority w:val="99"/>
    <w:pPr>
      <w:spacing w:line="240" w:lineRule="auto"/>
      <w:jc w:val="center"/>
      <w:textAlignment w:val="baseline"/>
    </w:pPr>
    <w:rPr>
      <w:rFonts w:ascii="宋体"/>
      <w:kern w:val="0"/>
      <w:szCs w:val="20"/>
    </w:rPr>
  </w:style>
  <w:style w:type="paragraph" w:customStyle="1" w:styleId="1374">
    <w:name w:val="默认段落字体 Para Char Char Char Char Char"/>
    <w:basedOn w:val="1"/>
    <w:qFormat/>
    <w:uiPriority w:val="0"/>
    <w:pPr>
      <w:spacing w:line="240" w:lineRule="auto"/>
    </w:pPr>
    <w:rPr>
      <w:sz w:val="21"/>
    </w:rPr>
  </w:style>
  <w:style w:type="paragraph" w:customStyle="1" w:styleId="1375">
    <w:name w:val="样式 标题 2第一章 标题 2Heading 2 HiddenHeading 2 CCBSheading 2H2h2...3"/>
    <w:basedOn w:val="4"/>
    <w:qFormat/>
    <w:uiPriority w:val="0"/>
    <w:rPr>
      <w:rFonts w:eastAsia="仿宋_GB2312" w:cs="宋体"/>
      <w:szCs w:val="20"/>
    </w:rPr>
  </w:style>
  <w:style w:type="paragraph" w:customStyle="1" w:styleId="1376">
    <w:name w:val="Char1611"/>
    <w:basedOn w:val="1"/>
    <w:qFormat/>
    <w:uiPriority w:val="99"/>
    <w:pPr>
      <w:spacing w:line="240" w:lineRule="auto"/>
      <w:ind w:left="-48"/>
    </w:pPr>
    <w:rPr>
      <w:sz w:val="21"/>
    </w:rPr>
  </w:style>
  <w:style w:type="paragraph" w:customStyle="1" w:styleId="1377">
    <w:name w:val="燕山正文5"/>
    <w:basedOn w:val="1"/>
    <w:qFormat/>
    <w:uiPriority w:val="99"/>
    <w:pPr>
      <w:tabs>
        <w:tab w:val="left" w:pos="4680"/>
      </w:tabs>
      <w:spacing w:line="480" w:lineRule="exact"/>
    </w:pPr>
    <w:rPr>
      <w:rFonts w:ascii="宋体" w:cs="宋体"/>
    </w:rPr>
  </w:style>
  <w:style w:type="paragraph" w:customStyle="1" w:styleId="1378">
    <w:name w:val="正文格式911"/>
    <w:basedOn w:val="1"/>
    <w:qFormat/>
    <w:uiPriority w:val="99"/>
    <w:pPr>
      <w:ind w:firstLine="482"/>
    </w:pPr>
    <w:rPr>
      <w:rFonts w:ascii="宋体" w:hAnsi="宋体"/>
    </w:rPr>
  </w:style>
  <w:style w:type="paragraph" w:customStyle="1" w:styleId="1379">
    <w:name w:val="默认段落字体 Para Char Char Char Char411"/>
    <w:basedOn w:val="1"/>
    <w:qFormat/>
    <w:uiPriority w:val="99"/>
    <w:pPr>
      <w:spacing w:line="240" w:lineRule="auto"/>
    </w:pPr>
    <w:rPr>
      <w:sz w:val="21"/>
    </w:rPr>
  </w:style>
  <w:style w:type="paragraph" w:customStyle="1" w:styleId="1380">
    <w:name w:val="标题41111"/>
    <w:basedOn w:val="1"/>
    <w:qFormat/>
    <w:uiPriority w:val="99"/>
    <w:pPr>
      <w:spacing w:line="300" w:lineRule="auto"/>
      <w:jc w:val="left"/>
    </w:pPr>
    <w:rPr>
      <w:rFonts w:ascii="黑体" w:hAnsi="宋体" w:eastAsia="黑体" w:cs="宋体"/>
      <w:bCs/>
      <w:szCs w:val="20"/>
    </w:rPr>
  </w:style>
  <w:style w:type="paragraph" w:customStyle="1" w:styleId="1381">
    <w:name w:val="表格内字体411"/>
    <w:basedOn w:val="185"/>
    <w:next w:val="185"/>
    <w:qFormat/>
    <w:uiPriority w:val="99"/>
    <w:pPr>
      <w:spacing w:line="240" w:lineRule="auto"/>
      <w:ind w:firstLine="0"/>
      <w:jc w:val="center"/>
    </w:pPr>
    <w:rPr>
      <w:rFonts w:hAnsi="宋体" w:cs="Times New Roman"/>
      <w:sz w:val="21"/>
    </w:rPr>
  </w:style>
  <w:style w:type="paragraph" w:customStyle="1" w:styleId="1382">
    <w:name w:val="样式 样式 宋体 + 首行缩进:  2 字符111"/>
    <w:basedOn w:val="1"/>
    <w:qFormat/>
    <w:uiPriority w:val="99"/>
    <w:pPr>
      <w:ind w:firstLine="480"/>
      <w:jc w:val="left"/>
    </w:pPr>
    <w:rPr>
      <w:rFonts w:ascii="宋体" w:cs="宋体"/>
    </w:rPr>
  </w:style>
  <w:style w:type="paragraph" w:customStyle="1" w:styleId="1383">
    <w:name w:val="Char Char Char1 Char Char Char1 Char Char Char1 Char Char Char Char1"/>
    <w:basedOn w:val="1"/>
    <w:qFormat/>
    <w:uiPriority w:val="0"/>
    <w:pPr>
      <w:spacing w:line="240" w:lineRule="exact"/>
      <w:ind w:firstLine="200"/>
    </w:pPr>
    <w:rPr>
      <w:sz w:val="28"/>
      <w:szCs w:val="28"/>
    </w:rPr>
  </w:style>
  <w:style w:type="paragraph" w:customStyle="1" w:styleId="1384">
    <w:name w:val="表中文字8"/>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1385">
    <w:name w:val="图题22"/>
    <w:basedOn w:val="185"/>
    <w:next w:val="185"/>
    <w:qFormat/>
    <w:uiPriority w:val="99"/>
    <w:pPr>
      <w:ind w:firstLine="0"/>
      <w:jc w:val="center"/>
    </w:pPr>
    <w:rPr>
      <w:rFonts w:ascii="黑体" w:hAnsi="宋体" w:eastAsia="黑体"/>
      <w:b/>
      <w:bCs/>
    </w:rPr>
  </w:style>
  <w:style w:type="paragraph" w:customStyle="1" w:styleId="1386">
    <w:name w:val="表内文字小1111"/>
    <w:basedOn w:val="1"/>
    <w:qFormat/>
    <w:uiPriority w:val="99"/>
    <w:pPr>
      <w:spacing w:line="240" w:lineRule="auto"/>
    </w:pPr>
    <w:rPr>
      <w:rFonts w:ascii="宋体" w:hAnsi="Times" w:cs="宋体"/>
      <w:sz w:val="21"/>
      <w:szCs w:val="20"/>
    </w:rPr>
  </w:style>
  <w:style w:type="paragraph" w:customStyle="1" w:styleId="1387">
    <w:name w:val="表题14111"/>
    <w:basedOn w:val="1"/>
    <w:qFormat/>
    <w:uiPriority w:val="99"/>
    <w:pPr>
      <w:widowControl/>
      <w:spacing w:line="240" w:lineRule="auto"/>
      <w:jc w:val="center"/>
    </w:pPr>
    <w:rPr>
      <w:rFonts w:ascii="黑体" w:hAnsi="宋体" w:eastAsia="黑体" w:cs="宋体"/>
      <w:kern w:val="0"/>
    </w:rPr>
  </w:style>
  <w:style w:type="paragraph" w:customStyle="1" w:styleId="1388">
    <w:name w:val="Char4111"/>
    <w:basedOn w:val="1"/>
    <w:qFormat/>
    <w:uiPriority w:val="99"/>
    <w:pPr>
      <w:spacing w:line="240" w:lineRule="auto"/>
      <w:ind w:left="-48"/>
    </w:pPr>
    <w:rPr>
      <w:sz w:val="21"/>
    </w:rPr>
  </w:style>
  <w:style w:type="paragraph" w:customStyle="1" w:styleId="1389">
    <w:name w:val="黑体三号7"/>
    <w:basedOn w:val="185"/>
    <w:qFormat/>
    <w:uiPriority w:val="99"/>
    <w:pPr>
      <w:jc w:val="center"/>
    </w:pPr>
    <w:rPr>
      <w:rFonts w:ascii="黑体" w:hAnsi="宋体" w:eastAsia="黑体"/>
      <w:b/>
      <w:bCs/>
      <w:sz w:val="32"/>
      <w:szCs w:val="20"/>
    </w:rPr>
  </w:style>
  <w:style w:type="paragraph" w:customStyle="1" w:styleId="1390">
    <w:name w:val="注释11"/>
    <w:basedOn w:val="185"/>
    <w:next w:val="34"/>
    <w:qFormat/>
    <w:uiPriority w:val="99"/>
    <w:pPr>
      <w:spacing w:before="120" w:after="120" w:line="240" w:lineRule="auto"/>
      <w:ind w:firstLine="200"/>
    </w:pPr>
    <w:rPr>
      <w:sz w:val="21"/>
      <w:szCs w:val="20"/>
    </w:rPr>
  </w:style>
  <w:style w:type="paragraph" w:customStyle="1" w:styleId="1391">
    <w:name w:val="默认段落字体 Para Char Char Char Char211"/>
    <w:basedOn w:val="1"/>
    <w:qFormat/>
    <w:uiPriority w:val="99"/>
    <w:pPr>
      <w:spacing w:line="240" w:lineRule="auto"/>
    </w:pPr>
    <w:rPr>
      <w:sz w:val="21"/>
    </w:rPr>
  </w:style>
  <w:style w:type="paragraph" w:customStyle="1" w:styleId="1392">
    <w:name w:val="黑体三号211"/>
    <w:basedOn w:val="185"/>
    <w:qFormat/>
    <w:uiPriority w:val="99"/>
    <w:pPr>
      <w:jc w:val="center"/>
    </w:pPr>
    <w:rPr>
      <w:rFonts w:ascii="黑体" w:hAnsi="宋体" w:eastAsia="黑体"/>
      <w:b/>
      <w:bCs/>
      <w:sz w:val="32"/>
      <w:szCs w:val="20"/>
    </w:rPr>
  </w:style>
  <w:style w:type="paragraph" w:customStyle="1" w:styleId="1393">
    <w:name w:val="表内5415"/>
    <w:basedOn w:val="1"/>
    <w:qFormat/>
    <w:uiPriority w:val="99"/>
    <w:pPr>
      <w:spacing w:line="300" w:lineRule="auto"/>
      <w:jc w:val="center"/>
    </w:pPr>
    <w:rPr>
      <w:rFonts w:ascii="宋体" w:hAnsi="宋体" w:cs="宋体"/>
      <w:sz w:val="21"/>
      <w:szCs w:val="20"/>
    </w:rPr>
  </w:style>
  <w:style w:type="paragraph" w:customStyle="1" w:styleId="1394">
    <w:name w:val="燕山正文42"/>
    <w:basedOn w:val="1"/>
    <w:qFormat/>
    <w:uiPriority w:val="99"/>
    <w:pPr>
      <w:tabs>
        <w:tab w:val="left" w:pos="4680"/>
      </w:tabs>
      <w:spacing w:line="480" w:lineRule="exact"/>
    </w:pPr>
    <w:rPr>
      <w:rFonts w:ascii="宋体" w:cs="宋体"/>
    </w:rPr>
  </w:style>
  <w:style w:type="paragraph" w:customStyle="1" w:styleId="1395">
    <w:name w:val="样式 报告 + 行距: 固定值 25 磅"/>
    <w:basedOn w:val="251"/>
    <w:qFormat/>
    <w:uiPriority w:val="0"/>
    <w:pPr>
      <w:spacing w:beforeLines="50" w:afterLines="50" w:line="240" w:lineRule="auto"/>
      <w:ind w:firstLine="0"/>
    </w:pPr>
    <w:rPr>
      <w:rFonts w:ascii="Times New Roman" w:hAnsi="Times New Roman"/>
      <w:sz w:val="28"/>
      <w:szCs w:val="28"/>
    </w:rPr>
  </w:style>
  <w:style w:type="paragraph" w:customStyle="1" w:styleId="1396">
    <w:name w:val="Char Char Char Char Char Char Char Char Char Char Char Char11"/>
    <w:basedOn w:val="1"/>
    <w:qFormat/>
    <w:uiPriority w:val="0"/>
    <w:pPr>
      <w:spacing w:line="240" w:lineRule="exact"/>
      <w:ind w:firstLine="200"/>
    </w:pPr>
    <w:rPr>
      <w:sz w:val="28"/>
      <w:szCs w:val="28"/>
    </w:rPr>
  </w:style>
  <w:style w:type="paragraph" w:customStyle="1" w:styleId="1397">
    <w:name w:val="Char Char Char Char Char Char Char Char Char Char Char Char1 Char Char Char Char Char Char Char Char Char Char Char Char1"/>
    <w:basedOn w:val="1"/>
    <w:qFormat/>
    <w:uiPriority w:val="0"/>
    <w:pPr>
      <w:spacing w:line="240" w:lineRule="exact"/>
      <w:ind w:firstLine="200"/>
    </w:pPr>
    <w:rPr>
      <w:sz w:val="28"/>
      <w:szCs w:val="28"/>
    </w:rPr>
  </w:style>
  <w:style w:type="paragraph" w:customStyle="1" w:styleId="1398">
    <w:name w:val="表内宋5中1111"/>
    <w:basedOn w:val="1"/>
    <w:qFormat/>
    <w:uiPriority w:val="99"/>
    <w:pPr>
      <w:spacing w:line="240" w:lineRule="auto"/>
      <w:jc w:val="center"/>
      <w:textAlignment w:val="baseline"/>
    </w:pPr>
    <w:rPr>
      <w:rFonts w:ascii="宋体" w:hAnsi="宋体" w:cs="宋体"/>
      <w:kern w:val="0"/>
      <w:sz w:val="21"/>
      <w:szCs w:val="20"/>
    </w:rPr>
  </w:style>
  <w:style w:type="paragraph" w:customStyle="1" w:styleId="1399">
    <w:name w:val="Char1011"/>
    <w:basedOn w:val="1"/>
    <w:qFormat/>
    <w:uiPriority w:val="99"/>
    <w:rPr>
      <w:sz w:val="21"/>
    </w:rPr>
  </w:style>
  <w:style w:type="paragraph" w:customStyle="1" w:styleId="1400">
    <w:name w:val="表内文字小231"/>
    <w:basedOn w:val="1"/>
    <w:qFormat/>
    <w:uiPriority w:val="99"/>
    <w:pPr>
      <w:spacing w:line="240" w:lineRule="auto"/>
      <w:jc w:val="center"/>
    </w:pPr>
    <w:rPr>
      <w:rFonts w:ascii="宋体" w:hAnsi="Times"/>
      <w:bCs/>
      <w:color w:val="000000"/>
      <w:sz w:val="21"/>
      <w:szCs w:val="20"/>
    </w:rPr>
  </w:style>
  <w:style w:type="paragraph" w:customStyle="1" w:styleId="1401">
    <w:name w:val="正文修改111"/>
    <w:basedOn w:val="900"/>
    <w:qFormat/>
    <w:uiPriority w:val="99"/>
    <w:pPr>
      <w:spacing w:line="480" w:lineRule="exact"/>
      <w:ind w:firstLine="0" w:firstLineChars="0"/>
    </w:pPr>
    <w:rPr>
      <w:rFonts w:cs="宋体"/>
      <w:sz w:val="24"/>
      <w:szCs w:val="24"/>
    </w:rPr>
  </w:style>
  <w:style w:type="paragraph" w:customStyle="1" w:styleId="1402">
    <w:name w:val="表题316"/>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1403">
    <w:name w:val="正文格式811"/>
    <w:basedOn w:val="1"/>
    <w:qFormat/>
    <w:uiPriority w:val="99"/>
    <w:pPr>
      <w:ind w:firstLine="482"/>
    </w:pPr>
    <w:rPr>
      <w:rFonts w:ascii="宋体" w:hAnsi="宋体"/>
    </w:rPr>
  </w:style>
  <w:style w:type="paragraph" w:customStyle="1" w:styleId="1404">
    <w:name w:val="黑体三号411"/>
    <w:basedOn w:val="185"/>
    <w:qFormat/>
    <w:uiPriority w:val="99"/>
    <w:pPr>
      <w:jc w:val="center"/>
    </w:pPr>
    <w:rPr>
      <w:rFonts w:ascii="黑体" w:hAnsi="宋体" w:eastAsia="黑体"/>
      <w:b/>
      <w:bCs/>
      <w:sz w:val="32"/>
      <w:szCs w:val="20"/>
    </w:rPr>
  </w:style>
  <w:style w:type="paragraph" w:customStyle="1" w:styleId="1405">
    <w:name w:val="列出段落1"/>
    <w:basedOn w:val="1"/>
    <w:qFormat/>
    <w:uiPriority w:val="99"/>
    <w:pPr>
      <w:ind w:firstLine="420"/>
    </w:pPr>
  </w:style>
  <w:style w:type="paragraph" w:customStyle="1" w:styleId="1406">
    <w:name w:val="环评正文11"/>
    <w:qFormat/>
    <w:uiPriority w:val="99"/>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407">
    <w:name w:val="TOC 标题1"/>
    <w:basedOn w:val="3"/>
    <w:next w:val="1"/>
    <w:unhideWhenUsed/>
    <w:qFormat/>
    <w:uiPriority w:val="0"/>
    <w:pPr>
      <w:widowControl/>
      <w:spacing w:before="240" w:line="259" w:lineRule="auto"/>
      <w:jc w:val="left"/>
      <w:outlineLvl w:val="9"/>
    </w:pPr>
    <w:rPr>
      <w:rFonts w:ascii="Cambria" w:hAnsi="Cambria"/>
      <w:b w:val="0"/>
      <w:bCs w:val="0"/>
      <w:color w:val="366091"/>
      <w:kern w:val="0"/>
      <w:sz w:val="32"/>
      <w:szCs w:val="32"/>
    </w:rPr>
  </w:style>
  <w:style w:type="paragraph" w:customStyle="1" w:styleId="1408">
    <w:name w:val="Char911"/>
    <w:basedOn w:val="1"/>
    <w:qFormat/>
    <w:uiPriority w:val="99"/>
    <w:pPr>
      <w:spacing w:line="240" w:lineRule="auto"/>
      <w:ind w:left="-48"/>
    </w:pPr>
    <w:rPr>
      <w:sz w:val="21"/>
    </w:rPr>
  </w:style>
  <w:style w:type="paragraph" w:customStyle="1" w:styleId="1409">
    <w:name w:val="正文格式10"/>
    <w:basedOn w:val="1"/>
    <w:qFormat/>
    <w:uiPriority w:val="99"/>
    <w:pPr>
      <w:ind w:firstLine="482"/>
    </w:pPr>
    <w:rPr>
      <w:rFonts w:ascii="宋体" w:hAnsi="宋体"/>
    </w:rPr>
  </w:style>
  <w:style w:type="paragraph" w:customStyle="1" w:styleId="1410">
    <w:name w:val="样式 正文文本 + 红色 Char Char Char"/>
    <w:basedOn w:val="1"/>
    <w:qFormat/>
    <w:uiPriority w:val="0"/>
    <w:pPr>
      <w:spacing w:before="60" w:after="60" w:line="264" w:lineRule="auto"/>
      <w:ind w:firstLine="200"/>
      <w:textAlignment w:val="baseline"/>
    </w:pPr>
    <w:rPr>
      <w:rFonts w:eastAsia="仿宋_GB2312"/>
      <w:snapToGrid w:val="0"/>
      <w:color w:val="FF0000"/>
      <w:kern w:val="0"/>
    </w:rPr>
  </w:style>
  <w:style w:type="paragraph" w:customStyle="1" w:styleId="1411">
    <w:name w:val="正文格式511"/>
    <w:basedOn w:val="1"/>
    <w:qFormat/>
    <w:uiPriority w:val="99"/>
    <w:pPr>
      <w:ind w:firstLine="482"/>
    </w:pPr>
    <w:rPr>
      <w:rFonts w:ascii="宋体" w:hAnsi="宋体"/>
    </w:rPr>
  </w:style>
  <w:style w:type="paragraph" w:customStyle="1" w:styleId="141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413">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414">
    <w:name w:val="xl51"/>
    <w:basedOn w:val="1"/>
    <w:qFormat/>
    <w:uiPriority w:val="0"/>
    <w:pPr>
      <w:widowControl/>
      <w:pBdr>
        <w:left w:val="single" w:color="auto" w:sz="4" w:space="0"/>
        <w:bottom w:val="single" w:color="auto" w:sz="4" w:space="0"/>
      </w:pBdr>
      <w:spacing w:before="100" w:beforeAutospacing="1" w:after="100" w:afterAutospacing="1" w:line="240" w:lineRule="auto"/>
      <w:jc w:val="center"/>
    </w:pPr>
    <w:rPr>
      <w:kern w:val="0"/>
      <w:sz w:val="20"/>
      <w:szCs w:val="20"/>
    </w:rPr>
  </w:style>
  <w:style w:type="paragraph" w:customStyle="1" w:styleId="1415">
    <w:name w:val="font11"/>
    <w:basedOn w:val="1"/>
    <w:qFormat/>
    <w:uiPriority w:val="99"/>
    <w:pPr>
      <w:widowControl/>
      <w:spacing w:before="100" w:beforeAutospacing="1" w:after="100" w:afterAutospacing="1" w:line="240" w:lineRule="auto"/>
      <w:jc w:val="left"/>
    </w:pPr>
    <w:rPr>
      <w:kern w:val="0"/>
      <w:sz w:val="20"/>
      <w:szCs w:val="20"/>
    </w:rPr>
  </w:style>
  <w:style w:type="paragraph" w:customStyle="1" w:styleId="1416">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417">
    <w:name w:val="Char1211"/>
    <w:basedOn w:val="1"/>
    <w:qFormat/>
    <w:uiPriority w:val="99"/>
    <w:rPr>
      <w:sz w:val="21"/>
    </w:rPr>
  </w:style>
  <w:style w:type="paragraph" w:customStyle="1" w:styleId="1418">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rPr>
  </w:style>
  <w:style w:type="paragraph" w:customStyle="1" w:styleId="1419">
    <w:name w:val="样式 标题 3 + (西文) Times New Roman (中文) 宋体 行距: 固定值 24 磅"/>
    <w:basedOn w:val="5"/>
    <w:qFormat/>
    <w:uiPriority w:val="0"/>
    <w:pPr>
      <w:keepNext w:val="0"/>
      <w:keepLines w:val="0"/>
      <w:tabs>
        <w:tab w:val="left" w:pos="1560"/>
        <w:tab w:val="left" w:pos="1740"/>
      </w:tabs>
      <w:spacing w:before="260" w:beforeLines="20" w:after="260" w:afterLines="20" w:line="480" w:lineRule="exact"/>
    </w:pPr>
    <w:rPr>
      <w:rFonts w:cs="宋体"/>
      <w:sz w:val="28"/>
      <w:szCs w:val="20"/>
    </w:rPr>
  </w:style>
  <w:style w:type="paragraph" w:customStyle="1" w:styleId="142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rPr>
  </w:style>
  <w:style w:type="paragraph" w:customStyle="1" w:styleId="1421">
    <w:name w:val="表内5S"/>
    <w:basedOn w:val="1"/>
    <w:qFormat/>
    <w:uiPriority w:val="0"/>
    <w:pPr>
      <w:pBdr>
        <w:top w:val="single" w:color="auto" w:sz="4" w:space="1"/>
      </w:pBdr>
      <w:spacing w:line="300" w:lineRule="atLeast"/>
      <w:jc w:val="center"/>
    </w:pPr>
    <w:rPr>
      <w:rFonts w:eastAsia="方正宋三简体"/>
      <w:sz w:val="21"/>
      <w:szCs w:val="20"/>
    </w:rPr>
  </w:style>
  <w:style w:type="paragraph" w:customStyle="1" w:styleId="142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rPr>
  </w:style>
  <w:style w:type="paragraph" w:customStyle="1" w:styleId="1423">
    <w:name w:val="表格1"/>
    <w:basedOn w:val="1"/>
    <w:qFormat/>
    <w:uiPriority w:val="0"/>
    <w:pPr>
      <w:spacing w:line="240" w:lineRule="auto"/>
      <w:jc w:val="center"/>
      <w:textAlignment w:val="baseline"/>
    </w:pPr>
    <w:rPr>
      <w:rFonts w:ascii="宋体"/>
      <w:kern w:val="0"/>
      <w:sz w:val="21"/>
    </w:rPr>
  </w:style>
  <w:style w:type="paragraph" w:customStyle="1" w:styleId="1424">
    <w:name w:val="默认段落字体 Para Char311"/>
    <w:basedOn w:val="1"/>
    <w:qFormat/>
    <w:uiPriority w:val="99"/>
    <w:pPr>
      <w:ind w:firstLine="200"/>
    </w:pPr>
    <w:rPr>
      <w:rFonts w:ascii="宋体" w:hAnsi="宋体" w:cs="宋体"/>
    </w:rPr>
  </w:style>
  <w:style w:type="paragraph" w:customStyle="1" w:styleId="1425">
    <w:name w:val="正文缩1"/>
    <w:basedOn w:val="1"/>
    <w:qFormat/>
    <w:uiPriority w:val="99"/>
    <w:pPr>
      <w:spacing w:line="480" w:lineRule="atLeast"/>
      <w:ind w:firstLine="567"/>
      <w:textAlignment w:val="baseline"/>
    </w:pPr>
    <w:rPr>
      <w:rFonts w:ascii="宋体"/>
      <w:color w:val="000080"/>
      <w:spacing w:val="6"/>
      <w:kern w:val="0"/>
      <w:sz w:val="28"/>
      <w:szCs w:val="20"/>
    </w:rPr>
  </w:style>
  <w:style w:type="paragraph" w:customStyle="1" w:styleId="1426">
    <w:name w:val="Char33"/>
    <w:basedOn w:val="1"/>
    <w:qFormat/>
    <w:uiPriority w:val="99"/>
    <w:pPr>
      <w:spacing w:line="240" w:lineRule="auto"/>
      <w:ind w:left="-48"/>
    </w:pPr>
    <w:rPr>
      <w:sz w:val="21"/>
    </w:rPr>
  </w:style>
  <w:style w:type="paragraph" w:customStyle="1" w:styleId="1427">
    <w:name w:val="正文格式22"/>
    <w:basedOn w:val="1"/>
    <w:qFormat/>
    <w:uiPriority w:val="99"/>
    <w:pPr>
      <w:ind w:firstLine="482"/>
    </w:pPr>
    <w:rPr>
      <w:rFonts w:ascii="宋体" w:hAnsi="宋体"/>
    </w:rPr>
  </w:style>
  <w:style w:type="paragraph" w:customStyle="1" w:styleId="1428">
    <w:name w:val="表格内容格式"/>
    <w:basedOn w:val="1"/>
    <w:qFormat/>
    <w:uiPriority w:val="99"/>
    <w:pPr>
      <w:spacing w:line="240" w:lineRule="atLeast"/>
      <w:ind w:firstLine="422"/>
      <w:textAlignment w:val="baseline"/>
    </w:pPr>
    <w:rPr>
      <w:rFonts w:ascii="宋体" w:hAnsi="宋体"/>
      <w:b/>
      <w:snapToGrid w:val="0"/>
      <w:kern w:val="0"/>
      <w:sz w:val="21"/>
      <w:szCs w:val="21"/>
    </w:rPr>
  </w:style>
  <w:style w:type="paragraph" w:customStyle="1" w:styleId="1429">
    <w:name w:val="表文5中"/>
    <w:qFormat/>
    <w:uiPriority w:val="0"/>
    <w:pPr>
      <w:jc w:val="center"/>
    </w:pPr>
    <w:rPr>
      <w:rFonts w:ascii="Times New Roman" w:hAnsi="Times New Roman" w:eastAsia="宋体" w:cs="Times New Roman"/>
      <w:lang w:val="en-US" w:eastAsia="zh-CN" w:bidi="ar-SA"/>
    </w:rPr>
  </w:style>
  <w:style w:type="paragraph" w:customStyle="1" w:styleId="1430">
    <w:name w:val="表文5左"/>
    <w:qFormat/>
    <w:uiPriority w:val="0"/>
    <w:rPr>
      <w:rFonts w:ascii="Times New Roman" w:hAnsi="Times New Roman" w:eastAsia="宋体" w:cs="Times New Roman"/>
      <w:sz w:val="21"/>
      <w:lang w:val="en-US" w:eastAsia="zh-CN" w:bidi="ar-SA"/>
    </w:rPr>
  </w:style>
  <w:style w:type="paragraph" w:customStyle="1" w:styleId="1431">
    <w:name w:val="表文小四"/>
    <w:basedOn w:val="1"/>
    <w:qFormat/>
    <w:uiPriority w:val="0"/>
    <w:pPr>
      <w:spacing w:line="240" w:lineRule="auto"/>
      <w:jc w:val="center"/>
      <w:textAlignment w:val="baseline"/>
    </w:pPr>
    <w:rPr>
      <w:kern w:val="0"/>
      <w:szCs w:val="20"/>
    </w:rPr>
  </w:style>
  <w:style w:type="paragraph" w:customStyle="1" w:styleId="1432">
    <w:name w:val="正文缩3"/>
    <w:basedOn w:val="1"/>
    <w:qFormat/>
    <w:uiPriority w:val="99"/>
    <w:pPr>
      <w:spacing w:line="480" w:lineRule="atLeast"/>
      <w:ind w:firstLine="567"/>
      <w:textAlignment w:val="baseline"/>
    </w:pPr>
    <w:rPr>
      <w:rFonts w:ascii="宋体"/>
      <w:color w:val="000080"/>
      <w:spacing w:val="6"/>
      <w:kern w:val="0"/>
      <w:sz w:val="28"/>
      <w:szCs w:val="20"/>
    </w:rPr>
  </w:style>
  <w:style w:type="paragraph" w:customStyle="1" w:styleId="1433">
    <w:name w:val="字元2"/>
    <w:basedOn w:val="1"/>
    <w:qFormat/>
    <w:uiPriority w:val="0"/>
    <w:pPr>
      <w:spacing w:line="240" w:lineRule="auto"/>
    </w:pPr>
    <w:rPr>
      <w:sz w:val="21"/>
      <w:szCs w:val="21"/>
    </w:rPr>
  </w:style>
  <w:style w:type="paragraph" w:customStyle="1" w:styleId="1434">
    <w:name w:val="表题1121"/>
    <w:basedOn w:val="22"/>
    <w:qFormat/>
    <w:uiPriority w:val="99"/>
    <w:pPr>
      <w:tabs>
        <w:tab w:val="clear" w:pos="10467"/>
        <w:tab w:val="clear" w:pos="13095"/>
      </w:tabs>
      <w:adjustRightInd/>
      <w:snapToGrid/>
    </w:pPr>
    <w:rPr>
      <w:rFonts w:ascii="黑体" w:eastAsia="黑体"/>
      <w:b w:val="0"/>
    </w:rPr>
  </w:style>
  <w:style w:type="paragraph" w:customStyle="1" w:styleId="1435">
    <w:name w:val="Char Char Char Char Char2"/>
    <w:basedOn w:val="1"/>
    <w:qFormat/>
    <w:uiPriority w:val="0"/>
    <w:pPr>
      <w:spacing w:line="240" w:lineRule="auto"/>
    </w:pPr>
    <w:rPr>
      <w:sz w:val="21"/>
      <w:szCs w:val="21"/>
    </w:rPr>
  </w:style>
  <w:style w:type="paragraph" w:customStyle="1" w:styleId="1436">
    <w:name w:val="表格标题3"/>
    <w:basedOn w:val="36"/>
    <w:qFormat/>
    <w:uiPriority w:val="0"/>
    <w:pPr>
      <w:pBdr>
        <w:top w:val="single" w:color="auto" w:sz="4" w:space="1"/>
      </w:pBdr>
      <w:tabs>
        <w:tab w:val="clear" w:pos="1200"/>
      </w:tabs>
      <w:ind w:left="0" w:leftChars="0" w:firstLine="0" w:firstLineChars="0"/>
      <w:jc w:val="center"/>
      <w:textAlignment w:val="baseline"/>
    </w:pPr>
    <w:rPr>
      <w:rFonts w:ascii="Times New Roman" w:eastAsia="宋体"/>
      <w:kern w:val="0"/>
      <w:sz w:val="24"/>
    </w:rPr>
  </w:style>
  <w:style w:type="paragraph" w:customStyle="1" w:styleId="1437">
    <w:name w:val="正文.2"/>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438">
    <w:name w:val="默认段落字体 Para Char Char Char Char6"/>
    <w:basedOn w:val="1"/>
    <w:qFormat/>
    <w:uiPriority w:val="99"/>
    <w:pPr>
      <w:spacing w:line="240" w:lineRule="auto"/>
    </w:pPr>
    <w:rPr>
      <w:sz w:val="21"/>
    </w:rPr>
  </w:style>
  <w:style w:type="paragraph" w:customStyle="1" w:styleId="1439">
    <w:name w:val="Char2311"/>
    <w:basedOn w:val="1"/>
    <w:qFormat/>
    <w:uiPriority w:val="99"/>
    <w:pPr>
      <w:spacing w:line="240" w:lineRule="auto"/>
      <w:ind w:left="-48"/>
    </w:pPr>
    <w:rPr>
      <w:sz w:val="21"/>
    </w:rPr>
  </w:style>
  <w:style w:type="paragraph" w:customStyle="1" w:styleId="1440">
    <w:name w:val="样式1）"/>
    <w:basedOn w:val="7"/>
    <w:qFormat/>
    <w:uiPriority w:val="0"/>
    <w:pPr>
      <w:tabs>
        <w:tab w:val="left" w:pos="1226"/>
      </w:tabs>
      <w:adjustRightInd/>
      <w:snapToGrid/>
      <w:spacing w:before="280" w:beforeLines="50" w:after="290" w:afterLines="50" w:line="400" w:lineRule="exact"/>
      <w:ind w:left="821" w:leftChars="213" w:hanging="374" w:hangingChars="156"/>
    </w:pPr>
    <w:rPr>
      <w:rFonts w:ascii="Calibri" w:hAnsi="Calibri"/>
      <w:b w:val="0"/>
    </w:rPr>
  </w:style>
  <w:style w:type="paragraph" w:customStyle="1" w:styleId="1441">
    <w:name w:val="Char4 Char Char Char Char Char Char 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1442">
    <w:name w:val="谏壁chen表格内文字 Char Char"/>
    <w:basedOn w:val="1"/>
    <w:qFormat/>
    <w:uiPriority w:val="0"/>
    <w:pPr>
      <w:spacing w:line="0" w:lineRule="atLeast"/>
      <w:jc w:val="center"/>
    </w:pPr>
    <w:rPr>
      <w:sz w:val="21"/>
      <w:szCs w:val="21"/>
    </w:rPr>
  </w:style>
  <w:style w:type="paragraph" w:customStyle="1" w:styleId="1443">
    <w:name w:val="A正文11"/>
    <w:basedOn w:val="1"/>
    <w:qFormat/>
    <w:uiPriority w:val="99"/>
    <w:pPr>
      <w:widowControl/>
      <w:overflowPunct w:val="0"/>
      <w:autoSpaceDE w:val="0"/>
      <w:autoSpaceDN w:val="0"/>
      <w:ind w:firstLine="200"/>
      <w:jc w:val="left"/>
      <w:textAlignment w:val="baseline"/>
    </w:pPr>
    <w:rPr>
      <w:rFonts w:eastAsia="仿宋_GB2312"/>
      <w:kern w:val="0"/>
    </w:rPr>
  </w:style>
  <w:style w:type="paragraph" w:customStyle="1" w:styleId="1444">
    <w:name w:val="表格文本"/>
    <w:basedOn w:val="1"/>
    <w:next w:val="1"/>
    <w:qFormat/>
    <w:uiPriority w:val="0"/>
    <w:pPr>
      <w:spacing w:before="60" w:after="60" w:line="312" w:lineRule="auto"/>
      <w:jc w:val="center"/>
    </w:pPr>
    <w:rPr>
      <w:rFonts w:ascii="Arial" w:hAnsi="Arial"/>
      <w:kern w:val="0"/>
      <w:sz w:val="21"/>
    </w:rPr>
  </w:style>
  <w:style w:type="paragraph" w:customStyle="1" w:styleId="1445">
    <w:name w:val="正文格式＝13"/>
    <w:basedOn w:val="185"/>
    <w:next w:val="185"/>
    <w:qFormat/>
    <w:uiPriority w:val="99"/>
    <w:rPr>
      <w:rFonts w:hAnsi="宋体" w:cs="Times New Roman"/>
    </w:rPr>
  </w:style>
  <w:style w:type="paragraph" w:customStyle="1" w:styleId="1446">
    <w:name w:val="样式 题注 + 首行缩进:  2 字符"/>
    <w:basedOn w:val="22"/>
    <w:qFormat/>
    <w:uiPriority w:val="0"/>
    <w:pPr>
      <w:tabs>
        <w:tab w:val="clear" w:pos="10467"/>
        <w:tab w:val="clear" w:pos="13095"/>
      </w:tabs>
      <w:adjustRightInd/>
      <w:snapToGrid/>
      <w:spacing w:line="520" w:lineRule="exact"/>
    </w:pPr>
    <w:rPr>
      <w:rFonts w:eastAsia="黑体" w:cs="Times New Roman"/>
      <w:b w:val="0"/>
    </w:rPr>
  </w:style>
  <w:style w:type="paragraph" w:customStyle="1" w:styleId="1447">
    <w:name w:val="CYQ表格名称四号字体"/>
    <w:basedOn w:val="1"/>
    <w:qFormat/>
    <w:uiPriority w:val="0"/>
    <w:pPr>
      <w:spacing w:line="360" w:lineRule="atLeast"/>
      <w:ind w:firstLine="720" w:firstLineChars="300"/>
      <w:jc w:val="center"/>
    </w:pPr>
    <w:rPr>
      <w:sz w:val="21"/>
    </w:rPr>
  </w:style>
  <w:style w:type="paragraph" w:customStyle="1" w:styleId="1448">
    <w:name w:val="Objective"/>
    <w:basedOn w:val="1"/>
    <w:next w:val="34"/>
    <w:qFormat/>
    <w:uiPriority w:val="0"/>
    <w:pPr>
      <w:widowControl/>
      <w:spacing w:before="220" w:after="220" w:line="220" w:lineRule="atLeast"/>
      <w:jc w:val="left"/>
    </w:pPr>
    <w:rPr>
      <w:kern w:val="0"/>
      <w:sz w:val="20"/>
      <w:szCs w:val="20"/>
    </w:rPr>
  </w:style>
  <w:style w:type="paragraph" w:customStyle="1" w:styleId="1449">
    <w:name w:val="表文字"/>
    <w:basedOn w:val="1"/>
    <w:qFormat/>
    <w:uiPriority w:val="99"/>
    <w:pPr>
      <w:widowControl/>
      <w:spacing w:line="240" w:lineRule="auto"/>
      <w:jc w:val="center"/>
    </w:pPr>
    <w:rPr>
      <w:kern w:val="0"/>
      <w:sz w:val="21"/>
      <w:szCs w:val="21"/>
    </w:rPr>
  </w:style>
  <w:style w:type="paragraph" w:customStyle="1" w:styleId="1450">
    <w:name w:val="正文3"/>
    <w:basedOn w:val="1"/>
    <w:qFormat/>
    <w:uiPriority w:val="99"/>
    <w:pPr>
      <w:keepNext/>
      <w:tabs>
        <w:tab w:val="left" w:pos="1260"/>
      </w:tabs>
      <w:ind w:left="1260" w:right="-1111" w:rightChars="-463" w:hanging="420"/>
      <w:jc w:val="center"/>
    </w:pPr>
    <w:rPr>
      <w:rFonts w:ascii="宋体"/>
      <w:kern w:val="0"/>
      <w:szCs w:val="20"/>
    </w:rPr>
  </w:style>
  <w:style w:type="paragraph" w:customStyle="1" w:styleId="1451">
    <w:name w:val="9 Char Char Char3"/>
    <w:basedOn w:val="1"/>
    <w:qFormat/>
    <w:uiPriority w:val="0"/>
    <w:pPr>
      <w:spacing w:line="240" w:lineRule="exact"/>
      <w:ind w:firstLine="200"/>
    </w:pPr>
    <w:rPr>
      <w:sz w:val="28"/>
      <w:szCs w:val="28"/>
    </w:rPr>
  </w:style>
  <w:style w:type="paragraph" w:customStyle="1" w:styleId="1452">
    <w:name w:val="项目符号引导"/>
    <w:basedOn w:val="24"/>
    <w:next w:val="24"/>
    <w:qFormat/>
    <w:uiPriority w:val="0"/>
    <w:pPr>
      <w:widowControl/>
      <w:tabs>
        <w:tab w:val="clear" w:pos="360"/>
      </w:tabs>
      <w:overflowPunct w:val="0"/>
      <w:autoSpaceDE w:val="0"/>
      <w:autoSpaceDN w:val="0"/>
      <w:spacing w:before="80" w:after="160"/>
      <w:ind w:left="720"/>
      <w:jc w:val="left"/>
      <w:textAlignment w:val="baseline"/>
    </w:pPr>
    <w:rPr>
      <w:b/>
      <w:kern w:val="0"/>
      <w:sz w:val="20"/>
      <w:szCs w:val="20"/>
    </w:rPr>
  </w:style>
  <w:style w:type="paragraph" w:customStyle="1" w:styleId="1453">
    <w:name w:val="燕山正文15"/>
    <w:basedOn w:val="1"/>
    <w:qFormat/>
    <w:uiPriority w:val="99"/>
    <w:pPr>
      <w:tabs>
        <w:tab w:val="left" w:pos="4680"/>
      </w:tabs>
      <w:spacing w:line="480" w:lineRule="exact"/>
    </w:pPr>
    <w:rPr>
      <w:rFonts w:ascii="宋体" w:cs="宋体"/>
    </w:rPr>
  </w:style>
  <w:style w:type="paragraph" w:customStyle="1" w:styleId="1454">
    <w:name w:val="偶数页脚注"/>
    <w:basedOn w:val="55"/>
    <w:qFormat/>
    <w:uiPriority w:val="0"/>
    <w:pPr>
      <w:keepLines/>
      <w:widowControl/>
      <w:tabs>
        <w:tab w:val="right" w:pos="0"/>
        <w:tab w:val="center" w:pos="7200"/>
        <w:tab w:val="right" w:pos="14400"/>
        <w:tab w:val="clear" w:pos="4153"/>
        <w:tab w:val="clear" w:pos="8306"/>
      </w:tabs>
      <w:overflowPunct w:val="0"/>
      <w:autoSpaceDE w:val="0"/>
      <w:autoSpaceDN w:val="0"/>
      <w:snapToGrid/>
      <w:spacing w:line="240" w:lineRule="auto"/>
      <w:jc w:val="right"/>
      <w:textAlignment w:val="baseline"/>
    </w:pPr>
    <w:rPr>
      <w:rFonts w:ascii="Calibri" w:hAnsi="Calibri"/>
      <w:spacing w:val="80"/>
      <w:kern w:val="0"/>
      <w:sz w:val="20"/>
      <w:szCs w:val="20"/>
      <w:lang w:val="zh-CN"/>
    </w:rPr>
  </w:style>
  <w:style w:type="paragraph" w:customStyle="1" w:styleId="1455">
    <w:name w:val="5号表文"/>
    <w:qFormat/>
    <w:uiPriority w:val="0"/>
    <w:pPr>
      <w:ind w:left="720" w:hanging="720"/>
      <w:jc w:val="both"/>
    </w:pPr>
    <w:rPr>
      <w:rFonts w:ascii="宋体" w:hAnsi="Times New Roman" w:eastAsia="宋体" w:cs="Times New Roman"/>
      <w:snapToGrid w:val="0"/>
      <w:sz w:val="18"/>
      <w:lang w:val="en-US" w:eastAsia="zh-CN" w:bidi="ar-SA"/>
    </w:rPr>
  </w:style>
  <w:style w:type="paragraph" w:customStyle="1" w:styleId="1456">
    <w:name w:val="font7"/>
    <w:basedOn w:val="1"/>
    <w:qFormat/>
    <w:uiPriority w:val="0"/>
    <w:pPr>
      <w:widowControl/>
      <w:spacing w:before="100" w:beforeAutospacing="1" w:after="100" w:afterAutospacing="1" w:line="240" w:lineRule="auto"/>
      <w:jc w:val="left"/>
    </w:pPr>
    <w:rPr>
      <w:kern w:val="0"/>
      <w:sz w:val="20"/>
      <w:szCs w:val="20"/>
    </w:rPr>
  </w:style>
  <w:style w:type="paragraph" w:customStyle="1" w:styleId="1457">
    <w:name w:val="样式 标题 1 + 华文中宋 居中 段前: 12 磅 段后: 12 磅 行距: 多倍行距 1.4 字行"/>
    <w:basedOn w:val="3"/>
    <w:qFormat/>
    <w:uiPriority w:val="0"/>
    <w:pPr>
      <w:keepNext w:val="0"/>
      <w:pageBreakBefore/>
      <w:tabs>
        <w:tab w:val="left" w:pos="0"/>
      </w:tabs>
      <w:spacing w:before="240" w:after="240"/>
      <w:jc w:val="center"/>
    </w:pPr>
    <w:rPr>
      <w:rFonts w:ascii="华文中宋" w:hAnsi="华文中宋" w:eastAsia="楷体_GB2312"/>
      <w:bCs w:val="0"/>
      <w:sz w:val="36"/>
      <w:szCs w:val="20"/>
    </w:rPr>
  </w:style>
  <w:style w:type="paragraph" w:customStyle="1" w:styleId="1458">
    <w:name w:val="9 Char Char Char5"/>
    <w:basedOn w:val="1"/>
    <w:qFormat/>
    <w:uiPriority w:val="0"/>
    <w:pPr>
      <w:spacing w:line="240" w:lineRule="exact"/>
      <w:ind w:firstLine="200"/>
    </w:pPr>
    <w:rPr>
      <w:sz w:val="28"/>
      <w:szCs w:val="28"/>
    </w:rPr>
  </w:style>
  <w:style w:type="paragraph" w:customStyle="1" w:styleId="1459">
    <w:name w:val="小四表文左齐"/>
    <w:basedOn w:val="1"/>
    <w:qFormat/>
    <w:uiPriority w:val="0"/>
    <w:pPr>
      <w:spacing w:line="240" w:lineRule="auto"/>
      <w:jc w:val="center"/>
    </w:pPr>
    <w:rPr>
      <w:rFonts w:ascii="宋体" w:hAnsi="宋体"/>
      <w:color w:val="000000"/>
    </w:rPr>
  </w:style>
  <w:style w:type="paragraph" w:customStyle="1" w:styleId="1460">
    <w:name w:val="标题一"/>
    <w:qFormat/>
    <w:uiPriority w:val="0"/>
    <w:pPr>
      <w:tabs>
        <w:tab w:val="right" w:leader="dot" w:pos="9061"/>
      </w:tabs>
      <w:adjustRightInd w:val="0"/>
      <w:snapToGrid w:val="0"/>
      <w:spacing w:line="360" w:lineRule="auto"/>
      <w:outlineLvl w:val="0"/>
    </w:pPr>
    <w:rPr>
      <w:rFonts w:ascii="黑体" w:hAnsi="黑体" w:eastAsia="黑体" w:cs="Times New Roman"/>
      <w:b/>
      <w:iCs/>
      <w:kern w:val="2"/>
      <w:sz w:val="24"/>
      <w:lang w:val="en-US" w:eastAsia="zh-CN" w:bidi="ar-SA"/>
    </w:rPr>
  </w:style>
  <w:style w:type="paragraph" w:customStyle="1" w:styleId="1461">
    <w:name w:val="样式（大表格）"/>
    <w:qFormat/>
    <w:uiPriority w:val="0"/>
    <w:pPr>
      <w:widowControl w:val="0"/>
      <w:jc w:val="both"/>
    </w:pPr>
    <w:rPr>
      <w:rFonts w:ascii="Times New Roman" w:hAnsi="Times New Roman" w:eastAsia="宋体" w:cs="Times New Roman"/>
      <w:color w:val="FF0000"/>
      <w:sz w:val="24"/>
      <w:szCs w:val="24"/>
      <w:lang w:val="en-US" w:eastAsia="zh-CN" w:bidi="ar-SA"/>
    </w:rPr>
  </w:style>
  <w:style w:type="paragraph" w:customStyle="1" w:styleId="1462">
    <w:name w:val="表格"/>
    <w:basedOn w:val="1"/>
    <w:qFormat/>
    <w:uiPriority w:val="0"/>
    <w:pPr>
      <w:widowControl/>
      <w:spacing w:line="360" w:lineRule="exact"/>
      <w:jc w:val="center"/>
    </w:pPr>
    <w:rPr>
      <w:rFonts w:cs="宋体"/>
      <w:sz w:val="21"/>
      <w:szCs w:val="21"/>
    </w:rPr>
  </w:style>
  <w:style w:type="paragraph" w:customStyle="1" w:styleId="1463">
    <w:name w:val="Char14"/>
    <w:basedOn w:val="1"/>
    <w:qFormat/>
    <w:uiPriority w:val="99"/>
    <w:pPr>
      <w:spacing w:line="240" w:lineRule="auto"/>
      <w:ind w:left="-48"/>
    </w:pPr>
    <w:rPr>
      <w:sz w:val="21"/>
    </w:rPr>
  </w:style>
  <w:style w:type="paragraph" w:customStyle="1" w:styleId="1464">
    <w:name w:val="Char Char Char1 Char Char Char Char Char Char Char"/>
    <w:basedOn w:val="1"/>
    <w:qFormat/>
    <w:uiPriority w:val="0"/>
    <w:pPr>
      <w:spacing w:line="240" w:lineRule="auto"/>
    </w:pPr>
    <w:rPr>
      <w:rFonts w:ascii="Tahoma" w:hAnsi="Tahoma"/>
      <w:szCs w:val="20"/>
    </w:rPr>
  </w:style>
  <w:style w:type="paragraph" w:customStyle="1" w:styleId="1465">
    <w:name w:val="项目符号结尾"/>
    <w:basedOn w:val="24"/>
    <w:next w:val="34"/>
    <w:qFormat/>
    <w:uiPriority w:val="0"/>
    <w:pPr>
      <w:widowControl/>
      <w:tabs>
        <w:tab w:val="clear" w:pos="360"/>
      </w:tabs>
      <w:overflowPunct w:val="0"/>
      <w:autoSpaceDE w:val="0"/>
      <w:autoSpaceDN w:val="0"/>
      <w:spacing w:after="240"/>
      <w:ind w:left="720"/>
      <w:jc w:val="left"/>
      <w:textAlignment w:val="baseline"/>
    </w:pPr>
    <w:rPr>
      <w:b/>
      <w:kern w:val="0"/>
      <w:sz w:val="20"/>
      <w:szCs w:val="20"/>
    </w:rPr>
  </w:style>
  <w:style w:type="paragraph" w:customStyle="1" w:styleId="1466">
    <w:name w:val="Char Char Char Char Char Char Char39"/>
    <w:basedOn w:val="1"/>
    <w:qFormat/>
    <w:uiPriority w:val="99"/>
    <w:pPr>
      <w:spacing w:line="240" w:lineRule="exact"/>
      <w:ind w:firstLine="200"/>
    </w:pPr>
    <w:rPr>
      <w:sz w:val="28"/>
      <w:szCs w:val="28"/>
    </w:rPr>
  </w:style>
  <w:style w:type="paragraph" w:customStyle="1" w:styleId="1467">
    <w:name w:val="封面标准文稿编辑信息11"/>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468">
    <w:name w:val="表格下方正文"/>
    <w:basedOn w:val="1"/>
    <w:qFormat/>
    <w:uiPriority w:val="0"/>
    <w:pPr>
      <w:spacing w:before="300" w:line="420" w:lineRule="exact"/>
      <w:ind w:firstLine="200"/>
    </w:pPr>
    <w:rPr>
      <w:bCs/>
    </w:rPr>
  </w:style>
  <w:style w:type="paragraph" w:customStyle="1" w:styleId="1469">
    <w:name w:val="样式2"/>
    <w:basedOn w:val="5"/>
    <w:qFormat/>
    <w:uiPriority w:val="0"/>
    <w:pPr>
      <w:tabs>
        <w:tab w:val="left" w:pos="1260"/>
      </w:tabs>
      <w:spacing w:before="78" w:beforeLines="25" w:after="0"/>
      <w:ind w:left="1260" w:hanging="420"/>
      <w:jc w:val="left"/>
    </w:pPr>
    <w:rPr>
      <w:rFonts w:ascii="黑体" w:eastAsia="黑体"/>
      <w:bCs w:val="0"/>
      <w:snapToGrid w:val="0"/>
      <w:kern w:val="0"/>
      <w:szCs w:val="24"/>
      <w:lang w:val="de-DE"/>
    </w:rPr>
  </w:style>
  <w:style w:type="paragraph" w:customStyle="1" w:styleId="1470">
    <w:name w:val="谏壁标题2(chen）"/>
    <w:basedOn w:val="1"/>
    <w:qFormat/>
    <w:uiPriority w:val="0"/>
    <w:pPr>
      <w:keepNext/>
      <w:keepLines/>
      <w:spacing w:after="120"/>
      <w:outlineLvl w:val="1"/>
    </w:pPr>
    <w:rPr>
      <w:rFonts w:eastAsia="黑体"/>
      <w:sz w:val="32"/>
      <w:szCs w:val="32"/>
    </w:rPr>
  </w:style>
  <w:style w:type="paragraph" w:customStyle="1" w:styleId="1471">
    <w:name w:val="Char4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472">
    <w:name w:val="图框"/>
    <w:basedOn w:val="1"/>
    <w:qFormat/>
    <w:uiPriority w:val="0"/>
    <w:pPr>
      <w:spacing w:line="240" w:lineRule="auto"/>
      <w:jc w:val="center"/>
    </w:pPr>
    <w:rPr>
      <w:sz w:val="21"/>
      <w:szCs w:val="21"/>
    </w:rPr>
  </w:style>
  <w:style w:type="paragraph" w:customStyle="1" w:styleId="1473">
    <w:name w:val="正文1"/>
    <w:basedOn w:val="1"/>
    <w:qFormat/>
    <w:uiPriority w:val="0"/>
    <w:pPr>
      <w:spacing w:after="120" w:line="360" w:lineRule="atLeast"/>
      <w:jc w:val="center"/>
      <w:textAlignment w:val="baseline"/>
    </w:pPr>
    <w:rPr>
      <w:rFonts w:ascii="宋体"/>
      <w:kern w:val="0"/>
      <w:szCs w:val="20"/>
    </w:rPr>
  </w:style>
  <w:style w:type="paragraph" w:customStyle="1" w:styleId="1474">
    <w:name w:val="a1"/>
    <w:basedOn w:val="1"/>
    <w:qFormat/>
    <w:uiPriority w:val="0"/>
    <w:pPr>
      <w:widowControl/>
      <w:spacing w:before="100" w:beforeAutospacing="1" w:after="100" w:afterAutospacing="1" w:line="240" w:lineRule="auto"/>
      <w:jc w:val="left"/>
    </w:pPr>
    <w:rPr>
      <w:rFonts w:ascii="宋体" w:hAnsi="宋体"/>
      <w:kern w:val="0"/>
    </w:rPr>
  </w:style>
  <w:style w:type="paragraph" w:customStyle="1" w:styleId="1475">
    <w:name w:val="Char Char Char Char Char Char Char Char Char1 Char Char Char Char Char Char Char Char1 Char Char Char"/>
    <w:basedOn w:val="1"/>
    <w:qFormat/>
    <w:uiPriority w:val="99"/>
    <w:pPr>
      <w:ind w:firstLine="200"/>
    </w:pPr>
    <w:rPr>
      <w:rFonts w:eastAsia="仿宋_GB2312"/>
    </w:rPr>
  </w:style>
  <w:style w:type="paragraph" w:customStyle="1" w:styleId="1476">
    <w:name w:val="tian"/>
    <w:basedOn w:val="1"/>
    <w:qFormat/>
    <w:uiPriority w:val="0"/>
    <w:pPr>
      <w:spacing w:line="240" w:lineRule="auto"/>
    </w:pPr>
    <w:rPr>
      <w:szCs w:val="20"/>
    </w:rPr>
  </w:style>
  <w:style w:type="paragraph" w:customStyle="1" w:styleId="1477">
    <w:name w:val="Char Char Char Char Char Char Char Char Char Char Char Char1 Char Char Char Char Char Char Char Char Char Char Char Char Char"/>
    <w:basedOn w:val="1"/>
    <w:qFormat/>
    <w:uiPriority w:val="0"/>
    <w:pPr>
      <w:spacing w:line="240" w:lineRule="exact"/>
      <w:ind w:firstLine="200"/>
    </w:pPr>
    <w:rPr>
      <w:sz w:val="28"/>
      <w:szCs w:val="28"/>
    </w:rPr>
  </w:style>
  <w:style w:type="paragraph" w:customStyle="1" w:styleId="1478">
    <w:name w:val="Char8"/>
    <w:basedOn w:val="1"/>
    <w:qFormat/>
    <w:uiPriority w:val="99"/>
    <w:pPr>
      <w:spacing w:line="240" w:lineRule="auto"/>
      <w:ind w:left="-48"/>
    </w:pPr>
    <w:rPr>
      <w:sz w:val="21"/>
    </w:rPr>
  </w:style>
  <w:style w:type="paragraph" w:customStyle="1" w:styleId="1479">
    <w:name w:val="Char Char Char Char Char Char"/>
    <w:basedOn w:val="1"/>
    <w:qFormat/>
    <w:uiPriority w:val="99"/>
    <w:pPr>
      <w:spacing w:line="240" w:lineRule="auto"/>
    </w:pPr>
    <w:rPr>
      <w:sz w:val="21"/>
      <w:szCs w:val="21"/>
    </w:rPr>
  </w:style>
  <w:style w:type="paragraph" w:customStyle="1" w:styleId="1480">
    <w:name w:val="Char Char Char Char Char Char Char Char Char Char Char Char"/>
    <w:basedOn w:val="1"/>
    <w:qFormat/>
    <w:uiPriority w:val="0"/>
    <w:pPr>
      <w:spacing w:line="240" w:lineRule="exact"/>
      <w:ind w:firstLine="200"/>
    </w:pPr>
    <w:rPr>
      <w:sz w:val="28"/>
      <w:szCs w:val="28"/>
    </w:rPr>
  </w:style>
  <w:style w:type="paragraph" w:customStyle="1" w:styleId="1481">
    <w:name w:val="c"/>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482">
    <w:name w:val="表题9"/>
    <w:basedOn w:val="45"/>
    <w:qFormat/>
    <w:uiPriority w:val="99"/>
    <w:pPr>
      <w:spacing w:line="300" w:lineRule="auto"/>
    </w:pPr>
    <w:rPr>
      <w:rFonts w:ascii="黑体" w:eastAsia="黑体"/>
      <w:spacing w:val="0"/>
      <w:sz w:val="24"/>
    </w:rPr>
  </w:style>
  <w:style w:type="paragraph" w:customStyle="1" w:styleId="1483">
    <w:name w:val="xl28"/>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484">
    <w:name w:val="条目"/>
    <w:basedOn w:val="45"/>
    <w:next w:val="34"/>
    <w:qFormat/>
    <w:uiPriority w:val="0"/>
    <w:pPr>
      <w:spacing w:line="240" w:lineRule="auto"/>
      <w:ind w:firstLine="567"/>
      <w:jc w:val="both"/>
      <w:outlineLvl w:val="4"/>
    </w:pPr>
    <w:rPr>
      <w:spacing w:val="0"/>
      <w:sz w:val="24"/>
    </w:rPr>
  </w:style>
  <w:style w:type="paragraph" w:customStyle="1" w:styleId="1485">
    <w:name w:val="9 Char Char Char"/>
    <w:basedOn w:val="1"/>
    <w:qFormat/>
    <w:uiPriority w:val="0"/>
    <w:pPr>
      <w:spacing w:line="240" w:lineRule="exact"/>
      <w:ind w:firstLine="200"/>
    </w:pPr>
    <w:rPr>
      <w:sz w:val="28"/>
      <w:szCs w:val="28"/>
    </w:rPr>
  </w:style>
  <w:style w:type="paragraph" w:customStyle="1" w:styleId="148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487">
    <w:name w:val="Body Text Indent 21"/>
    <w:basedOn w:val="1"/>
    <w:qFormat/>
    <w:uiPriority w:val="0"/>
    <w:pPr>
      <w:spacing w:line="240" w:lineRule="auto"/>
      <w:ind w:firstLine="432"/>
      <w:textAlignment w:val="baseline"/>
    </w:pPr>
    <w:rPr>
      <w:szCs w:val="20"/>
    </w:rPr>
  </w:style>
  <w:style w:type="paragraph" w:customStyle="1" w:styleId="1488">
    <w:name w:val="图文框"/>
    <w:basedOn w:val="1"/>
    <w:qFormat/>
    <w:uiPriority w:val="0"/>
    <w:pPr>
      <w:autoSpaceDE w:val="0"/>
      <w:autoSpaceDN w:val="0"/>
      <w:spacing w:line="400" w:lineRule="atLeast"/>
      <w:jc w:val="center"/>
      <w:textAlignment w:val="baseline"/>
    </w:pPr>
    <w:rPr>
      <w:kern w:val="0"/>
      <w:sz w:val="21"/>
      <w:szCs w:val="20"/>
    </w:rPr>
  </w:style>
  <w:style w:type="paragraph" w:customStyle="1" w:styleId="1489">
    <w:name w:val="文1"/>
    <w:basedOn w:val="1"/>
    <w:qFormat/>
    <w:uiPriority w:val="0"/>
    <w:pPr>
      <w:ind w:firstLine="567"/>
    </w:pPr>
    <w:rPr>
      <w:rFonts w:ascii="Arial" w:hAnsi="Arial" w:eastAsia="幼圆"/>
      <w:szCs w:val="20"/>
    </w:rPr>
  </w:style>
  <w:style w:type="paragraph" w:customStyle="1" w:styleId="1490">
    <w:name w:val="样式3"/>
    <w:basedOn w:val="50"/>
    <w:qFormat/>
    <w:uiPriority w:val="0"/>
    <w:pPr>
      <w:spacing w:line="240" w:lineRule="auto"/>
      <w:ind w:left="0" w:leftChars="0"/>
    </w:pPr>
    <w:rPr>
      <w:rFonts w:ascii="Calibri" w:hAnsi="Calibri" w:eastAsia="黑体"/>
      <w:bCs/>
      <w:kern w:val="0"/>
      <w:sz w:val="30"/>
      <w:szCs w:val="20"/>
    </w:rPr>
  </w:style>
  <w:style w:type="paragraph" w:customStyle="1" w:styleId="149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1492">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Arial Unicode MS" w:hAnsi="Arial Unicode MS"/>
      <w:b/>
      <w:bCs/>
      <w:color w:val="FF0000"/>
      <w:kern w:val="0"/>
      <w:sz w:val="20"/>
      <w:szCs w:val="20"/>
    </w:rPr>
  </w:style>
  <w:style w:type="paragraph" w:customStyle="1" w:styleId="1493">
    <w:name w:val="表格内容1"/>
    <w:basedOn w:val="1"/>
    <w:qFormat/>
    <w:uiPriority w:val="99"/>
    <w:pPr>
      <w:spacing w:before="46" w:beforeLines="15" w:after="46" w:afterLines="15" w:line="240" w:lineRule="exact"/>
      <w:jc w:val="center"/>
    </w:pPr>
    <w:rPr>
      <w:rFonts w:ascii="宋体" w:hAnsi="宋体"/>
      <w:snapToGrid w:val="0"/>
      <w:kern w:val="0"/>
      <w:sz w:val="21"/>
    </w:rPr>
  </w:style>
  <w:style w:type="paragraph" w:customStyle="1" w:styleId="1494">
    <w:name w:val="font12"/>
    <w:basedOn w:val="1"/>
    <w:qFormat/>
    <w:uiPriority w:val="0"/>
    <w:pPr>
      <w:widowControl/>
      <w:spacing w:before="100" w:beforeAutospacing="1" w:after="100" w:afterAutospacing="1" w:line="240" w:lineRule="auto"/>
      <w:jc w:val="left"/>
    </w:pPr>
    <w:rPr>
      <w:rFonts w:ascii="宋体" w:hAnsi="宋体"/>
      <w:kern w:val="0"/>
      <w:sz w:val="20"/>
      <w:szCs w:val="20"/>
    </w:rPr>
  </w:style>
  <w:style w:type="paragraph" w:customStyle="1" w:styleId="1495">
    <w:name w:val="标题正4"/>
    <w:basedOn w:val="5"/>
    <w:qFormat/>
    <w:uiPriority w:val="0"/>
    <w:pPr>
      <w:keepNext w:val="0"/>
      <w:keepLines w:val="0"/>
      <w:spacing w:before="0" w:after="0" w:line="320" w:lineRule="exact"/>
      <w:jc w:val="center"/>
      <w:outlineLvl w:val="9"/>
    </w:pPr>
    <w:rPr>
      <w:b w:val="0"/>
      <w:bCs w:val="0"/>
      <w:sz w:val="18"/>
      <w:szCs w:val="24"/>
    </w:rPr>
  </w:style>
  <w:style w:type="paragraph" w:customStyle="1" w:styleId="1496">
    <w:name w:val="表格02"/>
    <w:basedOn w:val="1"/>
    <w:qFormat/>
    <w:uiPriority w:val="0"/>
    <w:pPr>
      <w:spacing w:line="360" w:lineRule="exact"/>
      <w:jc w:val="center"/>
    </w:pPr>
    <w:rPr>
      <w:snapToGrid w:val="0"/>
      <w:kern w:val="0"/>
      <w:lang w:val="en-GB"/>
    </w:rPr>
  </w:style>
  <w:style w:type="paragraph" w:customStyle="1" w:styleId="1497">
    <w:name w:val="－列表"/>
    <w:basedOn w:val="65"/>
    <w:qFormat/>
    <w:uiPriority w:val="0"/>
    <w:pPr>
      <w:spacing w:line="360" w:lineRule="atLeast"/>
      <w:jc w:val="both"/>
      <w:textAlignment w:val="baseline"/>
    </w:pPr>
    <w:rPr>
      <w:rFonts w:ascii="宋体" w:hAnsi="宋体" w:eastAsia="宋体"/>
      <w:snapToGrid w:val="0"/>
      <w:kern w:val="0"/>
      <w:sz w:val="22"/>
      <w:szCs w:val="22"/>
      <w:lang w:val="zh-CN"/>
    </w:rPr>
  </w:style>
  <w:style w:type="paragraph" w:customStyle="1" w:styleId="1498">
    <w:name w:val="保留正文"/>
    <w:basedOn w:val="34"/>
    <w:qFormat/>
    <w:uiPriority w:val="0"/>
    <w:pPr>
      <w:keepNext/>
      <w:widowControl/>
      <w:overflowPunct w:val="0"/>
      <w:autoSpaceDE w:val="0"/>
      <w:autoSpaceDN w:val="0"/>
      <w:snapToGrid/>
      <w:spacing w:after="160" w:line="240" w:lineRule="auto"/>
      <w:jc w:val="left"/>
      <w:textAlignment w:val="baseline"/>
    </w:pPr>
    <w:rPr>
      <w:rFonts w:ascii="Calibri" w:hAnsi="Calibri"/>
      <w:kern w:val="0"/>
      <w:sz w:val="20"/>
      <w:szCs w:val="20"/>
    </w:rPr>
  </w:style>
  <w:style w:type="paragraph" w:customStyle="1" w:styleId="1499">
    <w:name w:val="条文"/>
    <w:basedOn w:val="7"/>
    <w:next w:val="1"/>
    <w:qFormat/>
    <w:uiPriority w:val="99"/>
    <w:pPr>
      <w:keepNext w:val="0"/>
      <w:keepLines w:val="0"/>
      <w:adjustRightInd/>
      <w:snapToGrid/>
      <w:spacing w:line="240" w:lineRule="auto"/>
      <w:ind w:left="425" w:hanging="425"/>
      <w:jc w:val="left"/>
    </w:pPr>
    <w:rPr>
      <w:rFonts w:hint="eastAsia" w:ascii="宋体" w:hAnsi="宋体"/>
      <w:b w:val="0"/>
      <w:bCs w:val="0"/>
      <w:szCs w:val="20"/>
    </w:rPr>
  </w:style>
  <w:style w:type="paragraph" w:customStyle="1" w:styleId="1500">
    <w:name w:val="简单回函地址"/>
    <w:basedOn w:val="1"/>
    <w:qFormat/>
    <w:uiPriority w:val="0"/>
    <w:pPr>
      <w:spacing w:line="240" w:lineRule="auto"/>
    </w:pPr>
    <w:rPr>
      <w:sz w:val="21"/>
    </w:rPr>
  </w:style>
  <w:style w:type="paragraph" w:customStyle="1" w:styleId="1501">
    <w:name w:val="小四表格"/>
    <w:basedOn w:val="1"/>
    <w:qFormat/>
    <w:uiPriority w:val="99"/>
    <w:pPr>
      <w:keepNext/>
      <w:autoSpaceDE w:val="0"/>
      <w:autoSpaceDN w:val="0"/>
      <w:spacing w:line="480" w:lineRule="atLeast"/>
      <w:jc w:val="center"/>
    </w:pPr>
    <w:rPr>
      <w:color w:val="000000"/>
      <w:szCs w:val="20"/>
    </w:rPr>
  </w:style>
  <w:style w:type="paragraph" w:customStyle="1" w:styleId="1502">
    <w:name w:val="表题114"/>
    <w:basedOn w:val="22"/>
    <w:qFormat/>
    <w:uiPriority w:val="99"/>
    <w:pPr>
      <w:tabs>
        <w:tab w:val="clear" w:pos="10467"/>
        <w:tab w:val="clear" w:pos="13095"/>
      </w:tabs>
      <w:adjustRightInd/>
      <w:snapToGrid/>
    </w:pPr>
    <w:rPr>
      <w:rFonts w:ascii="黑体" w:eastAsia="黑体"/>
      <w:b w:val="0"/>
    </w:rPr>
  </w:style>
  <w:style w:type="paragraph" w:customStyle="1" w:styleId="1503">
    <w:name w:val="样式13"/>
    <w:basedOn w:val="1"/>
    <w:qFormat/>
    <w:uiPriority w:val="0"/>
    <w:pPr>
      <w:spacing w:line="320" w:lineRule="exact"/>
      <w:jc w:val="center"/>
    </w:pPr>
    <w:rPr>
      <w:rFonts w:ascii="宋体" w:hAnsi="宋体"/>
    </w:rPr>
  </w:style>
  <w:style w:type="paragraph" w:customStyle="1" w:styleId="15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color w:val="000000"/>
      <w:kern w:val="0"/>
      <w:sz w:val="20"/>
      <w:szCs w:val="20"/>
    </w:rPr>
  </w:style>
  <w:style w:type="paragraph" w:customStyle="1" w:styleId="1505">
    <w:name w:val="偶数页篇眉"/>
    <w:basedOn w:val="57"/>
    <w:qFormat/>
    <w:uiPriority w:val="0"/>
    <w:pPr>
      <w:keepLines/>
      <w:widowControl/>
      <w:pBdr>
        <w:bottom w:val="none" w:color="auto" w:sz="0" w:space="0"/>
      </w:pBdr>
      <w:tabs>
        <w:tab w:val="right" w:pos="0"/>
        <w:tab w:val="center" w:pos="7200"/>
        <w:tab w:val="right" w:pos="14400"/>
        <w:tab w:val="clear" w:pos="2054"/>
        <w:tab w:val="clear" w:pos="4153"/>
        <w:tab w:val="clear" w:pos="8306"/>
      </w:tabs>
      <w:overflowPunct w:val="0"/>
      <w:autoSpaceDE w:val="0"/>
      <w:autoSpaceDN w:val="0"/>
      <w:snapToGrid/>
      <w:jc w:val="right"/>
      <w:textAlignment w:val="baseline"/>
    </w:pPr>
    <w:rPr>
      <w:rFonts w:ascii="Calibri" w:hAnsi="Calibri"/>
      <w:spacing w:val="80"/>
      <w:kern w:val="0"/>
      <w:sz w:val="20"/>
      <w:szCs w:val="20"/>
      <w:lang w:val="zh-CN"/>
    </w:rPr>
  </w:style>
  <w:style w:type="paragraph" w:customStyle="1" w:styleId="1506">
    <w:name w:val="Char4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507">
    <w:name w:val="Char Char Char1 Char Char Char1 Char Char Char Char Char Char Char Char Char Char Char Char Char Char Char"/>
    <w:basedOn w:val="1"/>
    <w:qFormat/>
    <w:uiPriority w:val="0"/>
    <w:pPr>
      <w:spacing w:line="240" w:lineRule="exact"/>
      <w:ind w:firstLine="200"/>
    </w:pPr>
    <w:rPr>
      <w:sz w:val="28"/>
      <w:szCs w:val="28"/>
    </w:rPr>
  </w:style>
  <w:style w:type="paragraph" w:customStyle="1" w:styleId="150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color w:val="FF0000"/>
      <w:kern w:val="0"/>
      <w:sz w:val="20"/>
      <w:szCs w:val="20"/>
    </w:rPr>
  </w:style>
  <w:style w:type="paragraph" w:customStyle="1" w:styleId="1509">
    <w:name w:val="编号1."/>
    <w:basedOn w:val="1"/>
    <w:qFormat/>
    <w:uiPriority w:val="0"/>
    <w:pPr>
      <w:tabs>
        <w:tab w:val="left" w:pos="360"/>
        <w:tab w:val="left" w:pos="547"/>
        <w:tab w:val="left" w:pos="1080"/>
      </w:tabs>
      <w:spacing w:line="480" w:lineRule="atLeast"/>
    </w:pPr>
    <w:rPr>
      <w:sz w:val="28"/>
      <w:szCs w:val="20"/>
    </w:rPr>
  </w:style>
  <w:style w:type="paragraph" w:customStyle="1" w:styleId="151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51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512">
    <w:name w:val="段落1"/>
    <w:basedOn w:val="1"/>
    <w:qFormat/>
    <w:uiPriority w:val="0"/>
    <w:pPr>
      <w:spacing w:line="480" w:lineRule="exact"/>
      <w:ind w:firstLine="538" w:firstLineChars="210"/>
    </w:pPr>
    <w:rPr>
      <w:spacing w:val="8"/>
      <w:szCs w:val="20"/>
    </w:rPr>
  </w:style>
  <w:style w:type="paragraph" w:customStyle="1" w:styleId="1513">
    <w:name w:val="其他表格"/>
    <w:basedOn w:val="1"/>
    <w:qFormat/>
    <w:uiPriority w:val="0"/>
    <w:pPr>
      <w:widowControl/>
      <w:spacing w:line="360" w:lineRule="exact"/>
      <w:jc w:val="center"/>
    </w:pPr>
    <w:rPr>
      <w:rFonts w:ascii="宋体" w:hAnsi="宋体"/>
      <w:color w:val="000000"/>
      <w:kern w:val="0"/>
      <w:sz w:val="21"/>
      <w:szCs w:val="20"/>
    </w:rPr>
  </w:style>
  <w:style w:type="paragraph" w:customStyle="1" w:styleId="1514">
    <w:name w:val="正文段落"/>
    <w:basedOn w:val="1"/>
    <w:qFormat/>
    <w:uiPriority w:val="0"/>
    <w:pPr>
      <w:autoSpaceDE w:val="0"/>
      <w:autoSpaceDN w:val="0"/>
      <w:ind w:firstLine="499"/>
      <w:textAlignment w:val="baseline"/>
    </w:pPr>
    <w:rPr>
      <w:rFonts w:ascii="宋体" w:hAnsi="Tms Rmn"/>
      <w:kern w:val="0"/>
      <w:sz w:val="28"/>
      <w:szCs w:val="20"/>
    </w:rPr>
  </w:style>
  <w:style w:type="paragraph" w:customStyle="1" w:styleId="1515">
    <w:name w:val="Char Char1 Char Char Char Char1"/>
    <w:basedOn w:val="1"/>
    <w:qFormat/>
    <w:uiPriority w:val="0"/>
    <w:pPr>
      <w:spacing w:line="240" w:lineRule="auto"/>
      <w:jc w:val="center"/>
    </w:pPr>
    <w:rPr>
      <w:rFonts w:ascii="宋体" w:hAnsi="宋体"/>
      <w:sz w:val="18"/>
      <w:szCs w:val="20"/>
    </w:rPr>
  </w:style>
  <w:style w:type="paragraph" w:customStyle="1" w:styleId="1516">
    <w:name w:val="9 Char Char Char3 Char"/>
    <w:basedOn w:val="1"/>
    <w:qFormat/>
    <w:uiPriority w:val="0"/>
    <w:pPr>
      <w:spacing w:line="240" w:lineRule="exact"/>
      <w:ind w:firstLine="200"/>
    </w:pPr>
    <w:rPr>
      <w:sz w:val="28"/>
      <w:szCs w:val="28"/>
    </w:rPr>
  </w:style>
  <w:style w:type="paragraph" w:customStyle="1" w:styleId="1517">
    <w:name w:val="Char Char Char Char Char Char Char Char Char Char1 Char Char"/>
    <w:basedOn w:val="1"/>
    <w:qFormat/>
    <w:uiPriority w:val="0"/>
    <w:pPr>
      <w:spacing w:line="240" w:lineRule="exact"/>
      <w:ind w:firstLine="200"/>
    </w:pPr>
    <w:rPr>
      <w:sz w:val="28"/>
      <w:szCs w:val="28"/>
    </w:rPr>
  </w:style>
  <w:style w:type="paragraph" w:customStyle="1" w:styleId="1518">
    <w:name w:val="正文格式＝5"/>
    <w:basedOn w:val="185"/>
    <w:next w:val="185"/>
    <w:qFormat/>
    <w:uiPriority w:val="99"/>
    <w:rPr>
      <w:rFonts w:hAnsi="宋体" w:cs="Times New Roman"/>
    </w:rPr>
  </w:style>
  <w:style w:type="paragraph" w:customStyle="1" w:styleId="1519">
    <w:name w:val="表前文字"/>
    <w:basedOn w:val="1"/>
    <w:qFormat/>
    <w:uiPriority w:val="0"/>
    <w:pPr>
      <w:spacing w:line="400" w:lineRule="exact"/>
      <w:ind w:right="-84" w:rightChars="-40"/>
      <w:jc w:val="center"/>
    </w:pPr>
    <w:rPr>
      <w:rFonts w:ascii="宋体" w:hAnsi="宋体"/>
      <w:kern w:val="0"/>
      <w:sz w:val="21"/>
      <w:szCs w:val="21"/>
    </w:rPr>
  </w:style>
  <w:style w:type="paragraph" w:customStyle="1" w:styleId="1520">
    <w:name w:val="页脚偶wj"/>
    <w:basedOn w:val="55"/>
    <w:qFormat/>
    <w:uiPriority w:val="0"/>
    <w:pPr>
      <w:pBdr>
        <w:top w:val="single" w:color="auto" w:sz="4" w:space="1"/>
      </w:pBdr>
      <w:tabs>
        <w:tab w:val="clear" w:pos="4153"/>
        <w:tab w:val="clear" w:pos="8306"/>
      </w:tabs>
      <w:spacing w:line="240" w:lineRule="auto"/>
      <w:jc w:val="right"/>
    </w:pPr>
    <w:rPr>
      <w:rFonts w:ascii="Calibri" w:hAnsi="Calibri" w:eastAsia="楷体_GB2312"/>
    </w:rPr>
  </w:style>
  <w:style w:type="paragraph" w:customStyle="1" w:styleId="152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rPr>
  </w:style>
  <w:style w:type="paragraph" w:customStyle="1" w:styleId="1522">
    <w:name w:val="样式 题注 + 居中 Char1"/>
    <w:basedOn w:val="22"/>
    <w:qFormat/>
    <w:uiPriority w:val="0"/>
    <w:pPr>
      <w:tabs>
        <w:tab w:val="clear" w:pos="10467"/>
        <w:tab w:val="clear" w:pos="13095"/>
      </w:tabs>
      <w:adjustRightInd/>
      <w:snapToGrid/>
      <w:spacing w:before="152" w:after="160" w:line="240" w:lineRule="auto"/>
    </w:pPr>
    <w:rPr>
      <w:rFonts w:cs="Times New Roman"/>
      <w:b w:val="0"/>
    </w:rPr>
  </w:style>
  <w:style w:type="paragraph" w:customStyle="1" w:styleId="1523">
    <w:name w:val="xl48"/>
    <w:basedOn w:val="1"/>
    <w:qFormat/>
    <w:uiPriority w:val="0"/>
    <w:pPr>
      <w:widowControl/>
      <w:pBdr>
        <w:right w:val="single" w:color="auto" w:sz="4" w:space="0"/>
      </w:pBdr>
      <w:spacing w:before="100" w:beforeAutospacing="1" w:after="100" w:afterAutospacing="1" w:line="240" w:lineRule="auto"/>
      <w:jc w:val="center"/>
    </w:pPr>
    <w:rPr>
      <w:kern w:val="0"/>
      <w:sz w:val="20"/>
      <w:szCs w:val="20"/>
    </w:rPr>
  </w:style>
  <w:style w:type="paragraph" w:customStyle="1" w:styleId="1524">
    <w:name w:val="谏壁标题1(chen）"/>
    <w:basedOn w:val="1"/>
    <w:qFormat/>
    <w:uiPriority w:val="0"/>
    <w:pPr>
      <w:keepNext/>
      <w:keepLines/>
      <w:pageBreakBefore/>
      <w:spacing w:after="300"/>
      <w:outlineLvl w:val="0"/>
    </w:pPr>
    <w:rPr>
      <w:rFonts w:eastAsia="黑体"/>
      <w:bCs/>
      <w:kern w:val="44"/>
      <w:sz w:val="36"/>
      <w:szCs w:val="44"/>
    </w:rPr>
  </w:style>
  <w:style w:type="paragraph" w:customStyle="1" w:styleId="1525">
    <w:name w:val="标题 81"/>
    <w:basedOn w:val="409"/>
    <w:next w:val="409"/>
    <w:qFormat/>
    <w:uiPriority w:val="0"/>
    <w:pPr>
      <w:keepNext/>
      <w:keepLines/>
      <w:spacing w:before="240" w:after="64" w:line="320" w:lineRule="atLeast"/>
      <w:jc w:val="both"/>
    </w:pPr>
    <w:rPr>
      <w:sz w:val="24"/>
    </w:rPr>
  </w:style>
  <w:style w:type="paragraph" w:customStyle="1" w:styleId="1526">
    <w:name w:val="样式 题注 + (中文) 黑体 加粗"/>
    <w:basedOn w:val="22"/>
    <w:qFormat/>
    <w:uiPriority w:val="0"/>
    <w:pPr>
      <w:tabs>
        <w:tab w:val="clear" w:pos="10467"/>
        <w:tab w:val="clear" w:pos="13095"/>
      </w:tabs>
      <w:adjustRightInd/>
      <w:snapToGrid/>
      <w:spacing w:before="100" w:beforeAutospacing="1" w:line="348" w:lineRule="auto"/>
    </w:pPr>
    <w:rPr>
      <w:bCs/>
    </w:rPr>
  </w:style>
  <w:style w:type="paragraph" w:customStyle="1" w:styleId="1527">
    <w:name w:val="Char Char Char Char Char Char Char Char Char Char1 Char Char Char"/>
    <w:basedOn w:val="1"/>
    <w:qFormat/>
    <w:uiPriority w:val="0"/>
    <w:pPr>
      <w:spacing w:line="240" w:lineRule="exact"/>
      <w:ind w:firstLine="200"/>
    </w:pPr>
    <w:rPr>
      <w:sz w:val="28"/>
      <w:szCs w:val="28"/>
    </w:rPr>
  </w:style>
  <w:style w:type="paragraph" w:customStyle="1" w:styleId="1528">
    <w:name w:val="Char2 Char Char Char"/>
    <w:basedOn w:val="1"/>
    <w:qFormat/>
    <w:uiPriority w:val="0"/>
    <w:pPr>
      <w:spacing w:line="240" w:lineRule="auto"/>
    </w:pPr>
    <w:rPr>
      <w:sz w:val="21"/>
      <w:szCs w:val="21"/>
    </w:rPr>
  </w:style>
  <w:style w:type="paragraph" w:customStyle="1" w:styleId="1529">
    <w:name w:val="Char Char2 Char Char Char Char1"/>
    <w:basedOn w:val="1"/>
    <w:qFormat/>
    <w:uiPriority w:val="99"/>
    <w:pPr>
      <w:spacing w:line="240" w:lineRule="auto"/>
    </w:pPr>
    <w:rPr>
      <w:sz w:val="21"/>
    </w:rPr>
  </w:style>
  <w:style w:type="paragraph" w:customStyle="1" w:styleId="1530">
    <w:name w:val="图题24"/>
    <w:basedOn w:val="185"/>
    <w:next w:val="185"/>
    <w:qFormat/>
    <w:uiPriority w:val="99"/>
    <w:pPr>
      <w:ind w:firstLine="0"/>
      <w:jc w:val="center"/>
    </w:pPr>
    <w:rPr>
      <w:rFonts w:ascii="黑体" w:hAnsi="宋体" w:eastAsia="黑体"/>
      <w:b/>
      <w:bCs/>
    </w:rPr>
  </w:style>
  <w:style w:type="paragraph" w:customStyle="1" w:styleId="1531">
    <w:name w:val="lz正文"/>
    <w:basedOn w:val="1"/>
    <w:qFormat/>
    <w:uiPriority w:val="0"/>
    <w:pPr>
      <w:ind w:firstLine="480"/>
    </w:pPr>
    <w:rPr>
      <w:rFonts w:ascii="仿宋_GB2312" w:hAnsi="宋体" w:eastAsia="仿宋_GB2312"/>
      <w:sz w:val="28"/>
      <w:szCs w:val="28"/>
    </w:rPr>
  </w:style>
  <w:style w:type="paragraph" w:customStyle="1" w:styleId="1532">
    <w:name w:val="表序号"/>
    <w:basedOn w:val="3"/>
    <w:next w:val="1"/>
    <w:qFormat/>
    <w:uiPriority w:val="0"/>
    <w:pPr>
      <w:tabs>
        <w:tab w:val="left" w:pos="2160"/>
      </w:tabs>
      <w:ind w:left="2160" w:hanging="360" w:hangingChars="200"/>
      <w:jc w:val="center"/>
    </w:pPr>
    <w:rPr>
      <w:rFonts w:ascii="黑体" w:hAnsi="Arial Black" w:eastAsia="黑体"/>
      <w:bCs w:val="0"/>
      <w:sz w:val="32"/>
      <w:szCs w:val="20"/>
      <w:lang w:val="zh-CN"/>
    </w:rPr>
  </w:style>
  <w:style w:type="paragraph" w:customStyle="1" w:styleId="1533">
    <w:name w:val="Plain Text3"/>
    <w:basedOn w:val="1"/>
    <w:qFormat/>
    <w:uiPriority w:val="0"/>
    <w:pPr>
      <w:spacing w:line="240" w:lineRule="auto"/>
      <w:jc w:val="center"/>
      <w:textAlignment w:val="baseline"/>
    </w:pPr>
    <w:rPr>
      <w:rFonts w:ascii="宋体" w:hAnsi="Courier New"/>
      <w:sz w:val="21"/>
      <w:szCs w:val="20"/>
    </w:rPr>
  </w:style>
  <w:style w:type="paragraph" w:customStyle="1" w:styleId="1534">
    <w:name w:val="默认段落字体 Para Char Char Char Char"/>
    <w:basedOn w:val="1"/>
    <w:qFormat/>
    <w:uiPriority w:val="0"/>
    <w:pPr>
      <w:ind w:firstLine="200"/>
    </w:pPr>
    <w:rPr>
      <w:rFonts w:ascii="宋体" w:hAnsi="宋体"/>
    </w:rPr>
  </w:style>
  <w:style w:type="paragraph" w:customStyle="1" w:styleId="1535">
    <w:name w:val="Char Char1 Char Char Char Char"/>
    <w:basedOn w:val="1"/>
    <w:qFormat/>
    <w:uiPriority w:val="0"/>
    <w:pPr>
      <w:spacing w:line="240" w:lineRule="auto"/>
    </w:pPr>
  </w:style>
  <w:style w:type="paragraph" w:customStyle="1" w:styleId="1536">
    <w:name w:val="font6"/>
    <w:basedOn w:val="1"/>
    <w:qFormat/>
    <w:uiPriority w:val="0"/>
    <w:pPr>
      <w:widowControl/>
      <w:spacing w:before="100" w:beforeAutospacing="1" w:after="100" w:afterAutospacing="1" w:line="240" w:lineRule="auto"/>
      <w:jc w:val="left"/>
    </w:pPr>
    <w:rPr>
      <w:rFonts w:ascii="宋体" w:hAnsi="宋体"/>
      <w:kern w:val="0"/>
      <w:sz w:val="20"/>
      <w:szCs w:val="20"/>
    </w:rPr>
  </w:style>
  <w:style w:type="paragraph" w:customStyle="1" w:styleId="1537">
    <w:name w:val="Char Char Char Char Char Char Char Char Char Char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538">
    <w:name w:val="xl34"/>
    <w:basedOn w:val="1"/>
    <w:qFormat/>
    <w:uiPriority w:val="0"/>
    <w:pPr>
      <w:widowControl/>
      <w:pBdr>
        <w:bottom w:val="single" w:color="auto" w:sz="4" w:space="0"/>
        <w:right w:val="single" w:color="auto" w:sz="4" w:space="0"/>
      </w:pBdr>
      <w:spacing w:before="100" w:beforeAutospacing="1" w:after="100" w:afterAutospacing="1" w:line="240" w:lineRule="auto"/>
    </w:pPr>
    <w:rPr>
      <w:rFonts w:hint="eastAsia" w:ascii="仿宋_GB2312" w:hAnsi="Arial Unicode MS" w:eastAsia="仿宋_GB2312"/>
      <w:kern w:val="0"/>
      <w:sz w:val="21"/>
      <w:szCs w:val="21"/>
    </w:rPr>
  </w:style>
  <w:style w:type="paragraph" w:customStyle="1" w:styleId="1539">
    <w:name w:val="4"/>
    <w:basedOn w:val="1"/>
    <w:next w:val="21"/>
    <w:qFormat/>
    <w:uiPriority w:val="0"/>
    <w:pPr>
      <w:ind w:firstLine="200"/>
      <w:jc w:val="left"/>
    </w:pPr>
    <w:rPr>
      <w:rFonts w:ascii="仿宋_GB2312" w:eastAsia="仿宋_GB2312"/>
      <w:bCs/>
      <w:sz w:val="28"/>
      <w:szCs w:val="20"/>
    </w:rPr>
  </w:style>
  <w:style w:type="paragraph" w:customStyle="1" w:styleId="1540">
    <w:name w:val="7"/>
    <w:basedOn w:val="1"/>
    <w:next w:val="21"/>
    <w:qFormat/>
    <w:uiPriority w:val="0"/>
    <w:pPr>
      <w:ind w:firstLine="200"/>
      <w:jc w:val="left"/>
    </w:pPr>
    <w:rPr>
      <w:rFonts w:ascii="仿宋_GB2312" w:eastAsia="仿宋_GB2312"/>
      <w:bCs/>
      <w:sz w:val="28"/>
      <w:szCs w:val="20"/>
    </w:rPr>
  </w:style>
  <w:style w:type="paragraph" w:customStyle="1" w:styleId="1541">
    <w:name w:val="Char Char2 Char Char Char"/>
    <w:basedOn w:val="1"/>
    <w:qFormat/>
    <w:uiPriority w:val="0"/>
    <w:pPr>
      <w:ind w:firstLine="200"/>
    </w:pPr>
    <w:rPr>
      <w:rFonts w:eastAsia="仿宋_GB2312"/>
    </w:rPr>
  </w:style>
  <w:style w:type="paragraph" w:customStyle="1" w:styleId="1542">
    <w:name w:val="Char Char Char Char Char Char Char Char Char1 Char Char Char Char Char Char"/>
    <w:basedOn w:val="1"/>
    <w:qFormat/>
    <w:uiPriority w:val="0"/>
    <w:pPr>
      <w:spacing w:line="400" w:lineRule="exact"/>
    </w:pPr>
    <w:rPr>
      <w:sz w:val="21"/>
      <w:szCs w:val="21"/>
    </w:rPr>
  </w:style>
  <w:style w:type="paragraph" w:customStyle="1" w:styleId="1543">
    <w:name w:val="Char Char Char1 Char Char Char Char Char Char Char Char Char Char Char Char Char Char Char"/>
    <w:basedOn w:val="1"/>
    <w:qFormat/>
    <w:uiPriority w:val="0"/>
    <w:pPr>
      <w:spacing w:line="240" w:lineRule="exact"/>
      <w:ind w:firstLine="200"/>
    </w:pPr>
    <w:rPr>
      <w:sz w:val="28"/>
      <w:szCs w:val="28"/>
    </w:rPr>
  </w:style>
  <w:style w:type="paragraph" w:customStyle="1" w:styleId="1544">
    <w:name w:val="表格标题"/>
    <w:basedOn w:val="1"/>
    <w:next w:val="21"/>
    <w:qFormat/>
    <w:uiPriority w:val="0"/>
    <w:pPr>
      <w:ind w:firstLine="200"/>
      <w:jc w:val="left"/>
    </w:pPr>
    <w:rPr>
      <w:rFonts w:ascii="仿宋_GB2312" w:eastAsia="仿宋_GB2312"/>
      <w:bCs/>
      <w:sz w:val="28"/>
      <w:szCs w:val="20"/>
    </w:rPr>
  </w:style>
  <w:style w:type="paragraph" w:customStyle="1" w:styleId="1545">
    <w:name w:val="样式 表格文字 + (西文) 宋体 (中文) 华文仿宋 小四 黑色"/>
    <w:basedOn w:val="296"/>
    <w:qFormat/>
    <w:uiPriority w:val="0"/>
    <w:pPr>
      <w:adjustRightInd/>
      <w:snapToGrid/>
      <w:spacing w:line="400" w:lineRule="exact"/>
    </w:pPr>
    <w:rPr>
      <w:rFonts w:ascii="宋体" w:hAnsi="宋体" w:cs="宋体"/>
      <w:color w:val="000000"/>
      <w:kern w:val="0"/>
      <w:szCs w:val="20"/>
    </w:rPr>
  </w:style>
  <w:style w:type="paragraph" w:customStyle="1" w:styleId="1546">
    <w:name w:val="Char Char Char1 Char Char Char Char Char Char1 Char Char Char Char Char Char Char"/>
    <w:basedOn w:val="1"/>
    <w:qFormat/>
    <w:uiPriority w:val="0"/>
    <w:pPr>
      <w:ind w:firstLine="200"/>
    </w:pPr>
    <w:rPr>
      <w:rFonts w:ascii="宋体" w:hAnsi="宋体" w:cs="宋体"/>
    </w:rPr>
  </w:style>
  <w:style w:type="paragraph" w:customStyle="1" w:styleId="1547">
    <w:name w:val="Char115"/>
    <w:basedOn w:val="1"/>
    <w:qFormat/>
    <w:uiPriority w:val="99"/>
    <w:pPr>
      <w:spacing w:line="240" w:lineRule="auto"/>
      <w:ind w:left="-48"/>
    </w:pPr>
    <w:rPr>
      <w:sz w:val="21"/>
    </w:rPr>
  </w:style>
  <w:style w:type="paragraph" w:customStyle="1" w:styleId="1548">
    <w:name w:val="字元 字元 字元 字元"/>
    <w:basedOn w:val="1"/>
    <w:qFormat/>
    <w:uiPriority w:val="0"/>
    <w:pPr>
      <w:spacing w:line="240" w:lineRule="auto"/>
    </w:pPr>
    <w:rPr>
      <w:sz w:val="21"/>
      <w:szCs w:val="21"/>
    </w:rPr>
  </w:style>
  <w:style w:type="paragraph" w:customStyle="1" w:styleId="1549">
    <w:name w:val="字元"/>
    <w:basedOn w:val="1"/>
    <w:qFormat/>
    <w:uiPriority w:val="0"/>
    <w:pPr>
      <w:spacing w:line="240" w:lineRule="auto"/>
    </w:pPr>
    <w:rPr>
      <w:sz w:val="21"/>
      <w:szCs w:val="21"/>
    </w:rPr>
  </w:style>
  <w:style w:type="paragraph" w:customStyle="1" w:styleId="1550">
    <w:name w:val="燕山正文1113"/>
    <w:basedOn w:val="1"/>
    <w:qFormat/>
    <w:uiPriority w:val="99"/>
    <w:pPr>
      <w:tabs>
        <w:tab w:val="left" w:pos="4680"/>
      </w:tabs>
      <w:spacing w:line="480" w:lineRule="exact"/>
    </w:pPr>
    <w:rPr>
      <w:rFonts w:ascii="宋体" w:hAnsi="宋体" w:cs="宋体"/>
      <w:bCs/>
      <w:color w:val="000000"/>
    </w:rPr>
  </w:style>
  <w:style w:type="paragraph" w:customStyle="1" w:styleId="1551">
    <w:name w:val="xl41"/>
    <w:basedOn w:val="1"/>
    <w:qFormat/>
    <w:uiPriority w:val="0"/>
    <w:pPr>
      <w:widowControl/>
      <w:pBdr>
        <w:bottom w:val="single" w:color="auto" w:sz="4" w:space="0"/>
      </w:pBdr>
      <w:spacing w:before="100" w:beforeAutospacing="1" w:after="100" w:afterAutospacing="1" w:line="240" w:lineRule="auto"/>
      <w:jc w:val="center"/>
    </w:pPr>
    <w:rPr>
      <w:rFonts w:ascii="Arial Unicode MS" w:hAnsi="Arial Unicode MS"/>
      <w:b/>
      <w:bCs/>
      <w:kern w:val="0"/>
    </w:rPr>
  </w:style>
  <w:style w:type="paragraph" w:customStyle="1" w:styleId="1552">
    <w:name w:val="CM107"/>
    <w:basedOn w:val="151"/>
    <w:next w:val="151"/>
    <w:qFormat/>
    <w:uiPriority w:val="0"/>
    <w:pPr>
      <w:spacing w:line="626" w:lineRule="atLeast"/>
    </w:pPr>
    <w:rPr>
      <w:rFonts w:ascii="á￥êé" w:hAnsi="Times New Roman" w:eastAsia="á￥êé" w:cs="Times New Roman"/>
      <w:color w:val="auto"/>
      <w:sz w:val="20"/>
      <w:szCs w:val="20"/>
    </w:rPr>
  </w:style>
  <w:style w:type="paragraph" w:customStyle="1" w:styleId="1553">
    <w:name w:val="12"/>
    <w:basedOn w:val="1"/>
    <w:next w:val="51"/>
    <w:qFormat/>
    <w:uiPriority w:val="0"/>
    <w:pPr>
      <w:spacing w:line="240" w:lineRule="auto"/>
      <w:ind w:left="145" w:firstLine="280"/>
    </w:pPr>
    <w:rPr>
      <w:sz w:val="28"/>
      <w:szCs w:val="20"/>
    </w:rPr>
  </w:style>
  <w:style w:type="paragraph" w:customStyle="1" w:styleId="1554">
    <w:name w:val="列表结尾"/>
    <w:basedOn w:val="65"/>
    <w:next w:val="34"/>
    <w:qFormat/>
    <w:uiPriority w:val="0"/>
    <w:pPr>
      <w:widowControl/>
      <w:tabs>
        <w:tab w:val="left" w:pos="720"/>
      </w:tabs>
      <w:overflowPunct w:val="0"/>
      <w:autoSpaceDE w:val="0"/>
      <w:autoSpaceDN w:val="0"/>
      <w:spacing w:after="240" w:line="240" w:lineRule="auto"/>
      <w:ind w:left="720" w:hanging="360"/>
      <w:jc w:val="left"/>
      <w:textAlignment w:val="baseline"/>
    </w:pPr>
    <w:rPr>
      <w:rFonts w:ascii="Times New Roman" w:hAnsi="Calibri" w:eastAsia="宋体"/>
      <w:b/>
      <w:kern w:val="0"/>
      <w:sz w:val="20"/>
      <w:lang w:val="zh-CN"/>
    </w:rPr>
  </w:style>
  <w:style w:type="paragraph" w:customStyle="1" w:styleId="1555">
    <w:name w:val="Char Char7 Char Char1 Char"/>
    <w:basedOn w:val="1"/>
    <w:qFormat/>
    <w:uiPriority w:val="0"/>
    <w:pPr>
      <w:spacing w:line="240" w:lineRule="exact"/>
      <w:ind w:firstLine="200"/>
    </w:pPr>
    <w:rPr>
      <w:sz w:val="28"/>
      <w:szCs w:val="28"/>
    </w:rPr>
  </w:style>
  <w:style w:type="paragraph" w:customStyle="1" w:styleId="1556">
    <w:name w:val="样式 标题 3小标题小节标题标题3H3h33rd level第二层条标题4 + 非加粗 左 段前: 6 磅..."/>
    <w:basedOn w:val="5"/>
    <w:qFormat/>
    <w:uiPriority w:val="0"/>
    <w:pPr>
      <w:tabs>
        <w:tab w:val="left" w:pos="993"/>
        <w:tab w:val="left" w:pos="1080"/>
      </w:tabs>
      <w:spacing w:before="0" w:after="0"/>
      <w:ind w:left="851" w:hanging="851"/>
    </w:pPr>
    <w:rPr>
      <w:rFonts w:ascii="Arial" w:hAnsi="Arial" w:cs="Arial"/>
      <w:b w:val="0"/>
      <w:color w:val="000000"/>
      <w:sz w:val="30"/>
      <w:szCs w:val="30"/>
    </w:rPr>
  </w:style>
  <w:style w:type="paragraph" w:customStyle="1" w:styleId="1557">
    <w:name w:val="Fax Header"/>
    <w:basedOn w:val="1"/>
    <w:qFormat/>
    <w:uiPriority w:val="99"/>
    <w:pPr>
      <w:widowControl/>
      <w:spacing w:before="240" w:after="60" w:line="240" w:lineRule="auto"/>
      <w:jc w:val="left"/>
    </w:pPr>
    <w:rPr>
      <w:kern w:val="0"/>
      <w:sz w:val="20"/>
      <w:szCs w:val="20"/>
    </w:rPr>
  </w:style>
  <w:style w:type="paragraph" w:customStyle="1" w:styleId="1558">
    <w:name w:val="默认段落字体 Para Char Char Char Char Char Char Char"/>
    <w:basedOn w:val="1"/>
    <w:qFormat/>
    <w:uiPriority w:val="0"/>
    <w:pPr>
      <w:spacing w:line="320" w:lineRule="atLeast"/>
      <w:ind w:firstLine="200"/>
      <w:jc w:val="left"/>
    </w:pPr>
    <w:rPr>
      <w:sz w:val="21"/>
    </w:rPr>
  </w:style>
  <w:style w:type="paragraph" w:customStyle="1" w:styleId="1559">
    <w:name w:val="样式 标题 4无效格式无效格式1河石管道4H4H41小小节河石管道41H42H411小小节1河石管道42...21"/>
    <w:basedOn w:val="6"/>
    <w:qFormat/>
    <w:uiPriority w:val="99"/>
    <w:pPr>
      <w:spacing w:before="0" w:after="0" w:line="360" w:lineRule="auto"/>
      <w:ind w:left="664" w:hanging="864"/>
    </w:pPr>
    <w:rPr>
      <w:rFonts w:ascii="黑体" w:hAnsi="Arial" w:eastAsia="黑体"/>
      <w:b w:val="0"/>
      <w:bCs w:val="0"/>
      <w:szCs w:val="24"/>
      <w:lang w:val="zh-CN"/>
    </w:rPr>
  </w:style>
  <w:style w:type="paragraph" w:customStyle="1" w:styleId="1560">
    <w:name w:val="小表格"/>
    <w:basedOn w:val="1462"/>
    <w:qFormat/>
    <w:uiPriority w:val="0"/>
    <w:pPr>
      <w:widowControl w:val="0"/>
      <w:autoSpaceDE w:val="0"/>
      <w:autoSpaceDN w:val="0"/>
      <w:spacing w:line="360" w:lineRule="auto"/>
    </w:pPr>
    <w:rPr>
      <w:rFonts w:ascii="仿宋_GB2312" w:cs="Times New Roman"/>
      <w:kern w:val="0"/>
      <w:szCs w:val="20"/>
    </w:rPr>
  </w:style>
  <w:style w:type="paragraph" w:customStyle="1" w:styleId="1561">
    <w:name w:val="Char Char Char2 Char Char Char"/>
    <w:basedOn w:val="1"/>
    <w:qFormat/>
    <w:uiPriority w:val="0"/>
    <w:pPr>
      <w:spacing w:before="20" w:beforeLines="20" w:line="440" w:lineRule="atLeast"/>
      <w:ind w:firstLine="200"/>
    </w:pPr>
  </w:style>
  <w:style w:type="paragraph" w:customStyle="1" w:styleId="1562">
    <w:name w:val="Char4 Char Char Char Char"/>
    <w:basedOn w:val="1"/>
    <w:qFormat/>
    <w:uiPriority w:val="0"/>
    <w:pPr>
      <w:spacing w:line="240" w:lineRule="auto"/>
    </w:pPr>
  </w:style>
  <w:style w:type="paragraph" w:customStyle="1" w:styleId="1563">
    <w:name w:val="xl52"/>
    <w:basedOn w:val="1"/>
    <w:qFormat/>
    <w:uiPriority w:val="0"/>
    <w:pPr>
      <w:widowControl/>
      <w:pBdr>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1564">
    <w:name w:val="样式 图表目录"/>
    <w:basedOn w:val="72"/>
    <w:qFormat/>
    <w:uiPriority w:val="0"/>
    <w:pPr>
      <w:widowControl w:val="0"/>
      <w:tabs>
        <w:tab w:val="right" w:leader="dot" w:pos="8820"/>
        <w:tab w:val="clear" w:pos="8889"/>
      </w:tabs>
    </w:pPr>
    <w:rPr>
      <w:rFonts w:cs="宋体"/>
      <w:szCs w:val="20"/>
    </w:rPr>
  </w:style>
  <w:style w:type="paragraph" w:customStyle="1" w:styleId="1565">
    <w:name w:val="Char Char Char1 Char Char Char1 Char Char Char1 Char Char Char 字元 字元"/>
    <w:basedOn w:val="1"/>
    <w:qFormat/>
    <w:uiPriority w:val="0"/>
    <w:pPr>
      <w:spacing w:line="400" w:lineRule="exact"/>
      <w:ind w:firstLine="200"/>
    </w:pPr>
    <w:rPr>
      <w:sz w:val="28"/>
      <w:szCs w:val="28"/>
    </w:rPr>
  </w:style>
  <w:style w:type="paragraph" w:customStyle="1" w:styleId="1566">
    <w:name w:val="四级标题王"/>
    <w:basedOn w:val="1"/>
    <w:qFormat/>
    <w:uiPriority w:val="0"/>
    <w:pPr>
      <w:outlineLvl w:val="3"/>
    </w:pPr>
    <w:rPr>
      <w:rFonts w:ascii="黑体" w:eastAsia="黑体"/>
      <w:bCs/>
      <w:szCs w:val="28"/>
    </w:rPr>
  </w:style>
  <w:style w:type="paragraph" w:customStyle="1" w:styleId="1567">
    <w:name w:val="图表文字"/>
    <w:basedOn w:val="1"/>
    <w:qFormat/>
    <w:uiPriority w:val="0"/>
    <w:pPr>
      <w:spacing w:line="300" w:lineRule="exact"/>
      <w:jc w:val="center"/>
    </w:pPr>
    <w:rPr>
      <w:rFonts w:ascii="仿宋_GB2312" w:eastAsia="仿宋_GB2312"/>
      <w:bCs/>
      <w:sz w:val="21"/>
      <w:szCs w:val="20"/>
    </w:rPr>
  </w:style>
  <w:style w:type="paragraph" w:customStyle="1" w:styleId="1568">
    <w:name w:val="WXD"/>
    <w:basedOn w:val="1"/>
    <w:qFormat/>
    <w:uiPriority w:val="0"/>
    <w:pPr>
      <w:ind w:firstLine="200"/>
    </w:pPr>
    <w:rPr>
      <w:rFonts w:ascii="宋体" w:hAnsi="宋体"/>
      <w:kern w:val="0"/>
      <w:szCs w:val="20"/>
    </w:rPr>
  </w:style>
  <w:style w:type="paragraph" w:customStyle="1" w:styleId="1569">
    <w:name w:val="标题43113"/>
    <w:basedOn w:val="1"/>
    <w:qFormat/>
    <w:uiPriority w:val="99"/>
    <w:pPr>
      <w:spacing w:line="480" w:lineRule="exact"/>
      <w:jc w:val="center"/>
    </w:pPr>
    <w:rPr>
      <w:rFonts w:ascii="宋体" w:hAnsi="宋体" w:cs="宋体"/>
    </w:rPr>
  </w:style>
  <w:style w:type="paragraph" w:customStyle="1" w:styleId="1570">
    <w:name w:val="标题1200"/>
    <w:basedOn w:val="1"/>
    <w:qFormat/>
    <w:uiPriority w:val="0"/>
    <w:pPr>
      <w:spacing w:line="320" w:lineRule="atLeast"/>
      <w:jc w:val="center"/>
    </w:pPr>
    <w:rPr>
      <w:rFonts w:ascii="黑体" w:hAnsi="黑体" w:eastAsia="黑体"/>
      <w:b/>
      <w:sz w:val="21"/>
    </w:rPr>
  </w:style>
  <w:style w:type="paragraph" w:customStyle="1" w:styleId="1571">
    <w:name w:val="sss"/>
    <w:basedOn w:val="1"/>
    <w:qFormat/>
    <w:uiPriority w:val="0"/>
    <w:pPr>
      <w:tabs>
        <w:tab w:val="left" w:pos="480"/>
        <w:tab w:val="left" w:pos="648"/>
      </w:tabs>
      <w:autoSpaceDE w:val="0"/>
      <w:autoSpaceDN w:val="0"/>
      <w:spacing w:line="240" w:lineRule="auto"/>
      <w:ind w:left="432" w:hanging="144"/>
    </w:pPr>
    <w:rPr>
      <w:rFonts w:ascii="Bookman Old Style" w:hAnsi="Bookman Old Style" w:cs="Arial"/>
      <w:bCs/>
      <w:kern w:val="0"/>
      <w:sz w:val="22"/>
      <w:szCs w:val="20"/>
    </w:rPr>
  </w:style>
  <w:style w:type="paragraph" w:customStyle="1" w:styleId="1572">
    <w:name w:val="Char4 Char Char Char Char Char"/>
    <w:basedOn w:val="1"/>
    <w:qFormat/>
    <w:uiPriority w:val="0"/>
    <w:pPr>
      <w:spacing w:line="240" w:lineRule="auto"/>
    </w:pPr>
  </w:style>
  <w:style w:type="paragraph" w:customStyle="1" w:styleId="1573">
    <w:name w:val="xl23"/>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rPr>
  </w:style>
  <w:style w:type="paragraph" w:customStyle="1" w:styleId="1574">
    <w:name w:val="样式 标题 1 + 字距调整四号"/>
    <w:basedOn w:val="3"/>
    <w:qFormat/>
    <w:uiPriority w:val="99"/>
    <w:pPr>
      <w:tabs>
        <w:tab w:val="left" w:pos="432"/>
      </w:tabs>
      <w:spacing w:before="240"/>
      <w:ind w:left="432" w:hanging="432"/>
      <w:jc w:val="center"/>
    </w:pPr>
    <w:rPr>
      <w:rFonts w:ascii="黑体"/>
      <w:bCs w:val="0"/>
      <w:kern w:val="28"/>
      <w:sz w:val="28"/>
      <w:szCs w:val="28"/>
      <w:lang w:val="zh-CN"/>
    </w:rPr>
  </w:style>
  <w:style w:type="paragraph" w:customStyle="1" w:styleId="1575">
    <w:name w:val="表内5中4"/>
    <w:basedOn w:val="1"/>
    <w:qFormat/>
    <w:uiPriority w:val="0"/>
    <w:pPr>
      <w:spacing w:line="240" w:lineRule="auto"/>
      <w:jc w:val="center"/>
    </w:pPr>
    <w:rPr>
      <w:rFonts w:ascii="宋体"/>
      <w:bCs/>
      <w:sz w:val="21"/>
      <w:szCs w:val="20"/>
    </w:rPr>
  </w:style>
  <w:style w:type="paragraph" w:customStyle="1" w:styleId="1576">
    <w:name w:val="font0"/>
    <w:basedOn w:val="1"/>
    <w:qFormat/>
    <w:uiPriority w:val="0"/>
    <w:pPr>
      <w:widowControl/>
      <w:spacing w:before="100" w:after="100" w:line="240" w:lineRule="auto"/>
      <w:jc w:val="left"/>
    </w:pPr>
    <w:rPr>
      <w:rFonts w:hint="eastAsia" w:ascii="宋体" w:hAnsi="宋体"/>
      <w:kern w:val="0"/>
      <w:szCs w:val="20"/>
    </w:rPr>
  </w:style>
  <w:style w:type="paragraph" w:customStyle="1" w:styleId="1577">
    <w:name w:val="竣工3"/>
    <w:basedOn w:val="1"/>
    <w:qFormat/>
    <w:uiPriority w:val="0"/>
    <w:pPr>
      <w:spacing w:line="240" w:lineRule="auto"/>
      <w:ind w:firstLine="3530" w:firstLineChars="1102"/>
      <w:jc w:val="left"/>
    </w:pPr>
    <w:rPr>
      <w:rFonts w:ascii="宋体" w:hAnsi="宋体"/>
      <w:b/>
      <w:sz w:val="30"/>
      <w:szCs w:val="32"/>
    </w:rPr>
  </w:style>
  <w:style w:type="paragraph" w:customStyle="1" w:styleId="1578">
    <w:name w:val="表头"/>
    <w:basedOn w:val="1"/>
    <w:qFormat/>
    <w:uiPriority w:val="0"/>
    <w:pPr>
      <w:ind w:firstLine="482"/>
      <w:jc w:val="center"/>
    </w:pPr>
    <w:rPr>
      <w:rFonts w:ascii="黑体" w:eastAsia="黑体"/>
      <w:b/>
      <w:bCs/>
      <w:color w:val="000000"/>
    </w:rPr>
  </w:style>
  <w:style w:type="paragraph" w:customStyle="1" w:styleId="1579">
    <w:name w:val="Char128"/>
    <w:basedOn w:val="1"/>
    <w:qFormat/>
    <w:uiPriority w:val="99"/>
    <w:pPr>
      <w:ind w:firstLine="200"/>
    </w:pPr>
    <w:rPr>
      <w:rFonts w:eastAsia="仿宋_GB2312"/>
    </w:rPr>
  </w:style>
  <w:style w:type="paragraph" w:customStyle="1" w:styleId="1580">
    <w:name w:val="条题"/>
    <w:basedOn w:val="1"/>
    <w:qFormat/>
    <w:uiPriority w:val="0"/>
    <w:pPr>
      <w:tabs>
        <w:tab w:val="left" w:pos="980"/>
      </w:tabs>
      <w:spacing w:line="420" w:lineRule="exact"/>
      <w:ind w:firstLine="560"/>
    </w:pPr>
  </w:style>
  <w:style w:type="paragraph" w:customStyle="1" w:styleId="1581">
    <w:name w:val="表内宋5中2"/>
    <w:basedOn w:val="1"/>
    <w:qFormat/>
    <w:uiPriority w:val="99"/>
    <w:pPr>
      <w:spacing w:line="240" w:lineRule="auto"/>
      <w:jc w:val="center"/>
      <w:textAlignment w:val="baseline"/>
    </w:pPr>
    <w:rPr>
      <w:rFonts w:ascii="宋体" w:hAnsi="宋体"/>
      <w:kern w:val="0"/>
      <w:sz w:val="21"/>
      <w:szCs w:val="20"/>
    </w:rPr>
  </w:style>
  <w:style w:type="paragraph" w:customStyle="1" w:styleId="1582">
    <w:name w:val="附件3"/>
    <w:basedOn w:val="3"/>
    <w:next w:val="185"/>
    <w:qFormat/>
    <w:uiPriority w:val="99"/>
    <w:pPr>
      <w:tabs>
        <w:tab w:val="left" w:pos="1566"/>
      </w:tabs>
      <w:spacing w:after="120"/>
      <w:jc w:val="left"/>
    </w:pPr>
    <w:rPr>
      <w:rFonts w:ascii="黑体" w:hAnsi="宋体" w:eastAsia="黑体"/>
      <w:b w:val="0"/>
      <w:bCs w:val="0"/>
      <w:sz w:val="32"/>
      <w:szCs w:val="32"/>
    </w:rPr>
  </w:style>
  <w:style w:type="paragraph" w:customStyle="1" w:styleId="1583">
    <w:name w:val="样式4"/>
    <w:basedOn w:val="26"/>
    <w:next w:val="26"/>
    <w:qFormat/>
    <w:uiPriority w:val="0"/>
    <w:pPr>
      <w:shd w:val="clear" w:color="auto" w:fill="auto"/>
      <w:adjustRightInd/>
      <w:snapToGrid/>
      <w:spacing w:line="240" w:lineRule="auto"/>
    </w:pPr>
    <w:rPr>
      <w:rFonts w:ascii="仿宋_GB2312" w:hAnsi="宋体" w:eastAsia="仿宋_GB2312"/>
      <w:sz w:val="21"/>
      <w:szCs w:val="21"/>
    </w:rPr>
  </w:style>
  <w:style w:type="paragraph" w:customStyle="1" w:styleId="1584">
    <w:name w:val="我的样式（正文）"/>
    <w:basedOn w:val="1"/>
    <w:qFormat/>
    <w:uiPriority w:val="0"/>
    <w:pPr>
      <w:spacing w:line="440" w:lineRule="exact"/>
    </w:pPr>
    <w:rPr>
      <w:rFonts w:ascii="宋体"/>
      <w:sz w:val="28"/>
      <w:szCs w:val="20"/>
    </w:rPr>
  </w:style>
  <w:style w:type="paragraph" w:customStyle="1" w:styleId="1585">
    <w:name w:val="图题注3"/>
    <w:basedOn w:val="22"/>
    <w:qFormat/>
    <w:uiPriority w:val="99"/>
    <w:pPr>
      <w:tabs>
        <w:tab w:val="clear" w:pos="10467"/>
        <w:tab w:val="clear" w:pos="13095"/>
      </w:tabs>
      <w:adjustRightInd/>
      <w:snapToGrid/>
      <w:spacing w:line="240" w:lineRule="auto"/>
    </w:pPr>
    <w:rPr>
      <w:rFonts w:ascii="黑体" w:eastAsia="黑体" w:cs="宋体"/>
      <w:bCs/>
    </w:rPr>
  </w:style>
  <w:style w:type="paragraph" w:customStyle="1" w:styleId="1586">
    <w:name w:val="中表格"/>
    <w:basedOn w:val="1"/>
    <w:qFormat/>
    <w:uiPriority w:val="0"/>
    <w:pPr>
      <w:spacing w:line="420" w:lineRule="exact"/>
      <w:jc w:val="center"/>
    </w:pPr>
    <w:rPr>
      <w:rFonts w:ascii="宋体" w:hAnsi="Arial"/>
      <w:szCs w:val="20"/>
    </w:rPr>
  </w:style>
  <w:style w:type="paragraph" w:customStyle="1" w:styleId="1587">
    <w:name w:val="样式 样式 宋体 + 首行缩进:  2 字符1"/>
    <w:basedOn w:val="1"/>
    <w:qFormat/>
    <w:uiPriority w:val="99"/>
    <w:pPr>
      <w:ind w:firstLine="480"/>
      <w:jc w:val="left"/>
    </w:pPr>
    <w:rPr>
      <w:rFonts w:ascii="宋体" w:cs="宋体"/>
    </w:rPr>
  </w:style>
  <w:style w:type="paragraph" w:customStyle="1" w:styleId="1588">
    <w:name w:val="xl27"/>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kern w:val="0"/>
      <w:sz w:val="28"/>
      <w:szCs w:val="28"/>
    </w:rPr>
  </w:style>
  <w:style w:type="paragraph" w:customStyle="1" w:styleId="1589">
    <w:name w:val="Char Char2 Char Char Char Char11"/>
    <w:basedOn w:val="1"/>
    <w:qFormat/>
    <w:uiPriority w:val="99"/>
    <w:pPr>
      <w:spacing w:line="240" w:lineRule="auto"/>
    </w:pPr>
    <w:rPr>
      <w:sz w:val="21"/>
    </w:rPr>
  </w:style>
  <w:style w:type="paragraph" w:customStyle="1" w:styleId="1590">
    <w:name w:val="小四宋居中1.0"/>
    <w:basedOn w:val="1"/>
    <w:next w:val="1"/>
    <w:qFormat/>
    <w:uiPriority w:val="0"/>
    <w:pPr>
      <w:spacing w:line="240" w:lineRule="auto"/>
      <w:jc w:val="center"/>
    </w:pPr>
    <w:rPr>
      <w:rFonts w:ascii="宋体" w:hAnsi="宋体"/>
      <w:szCs w:val="28"/>
    </w:rPr>
  </w:style>
  <w:style w:type="paragraph" w:customStyle="1" w:styleId="1591">
    <w:name w:val="样式 正文首行缩进 2 + Times New Roman + 首行缩进:  2 字符1"/>
    <w:basedOn w:val="1"/>
    <w:qFormat/>
    <w:uiPriority w:val="0"/>
    <w:pPr>
      <w:tabs>
        <w:tab w:val="left" w:pos="0"/>
        <w:tab w:val="left" w:pos="3150"/>
      </w:tabs>
      <w:autoSpaceDE w:val="0"/>
      <w:autoSpaceDN w:val="0"/>
      <w:spacing w:line="320" w:lineRule="atLeast"/>
      <w:jc w:val="left"/>
    </w:pPr>
    <w:rPr>
      <w:rFonts w:ascii="黑体" w:eastAsia="黑体"/>
      <w:kern w:val="21"/>
      <w:sz w:val="21"/>
      <w:szCs w:val="20"/>
    </w:rPr>
  </w:style>
  <w:style w:type="paragraph" w:customStyle="1" w:styleId="1592">
    <w:name w:val="默认段落字体 Para Char Char Char Char43"/>
    <w:basedOn w:val="1"/>
    <w:qFormat/>
    <w:uiPriority w:val="99"/>
    <w:pPr>
      <w:spacing w:line="240" w:lineRule="auto"/>
    </w:pPr>
    <w:rPr>
      <w:sz w:val="21"/>
    </w:rPr>
  </w:style>
  <w:style w:type="paragraph" w:customStyle="1" w:styleId="1593">
    <w:name w:val="Char Char Char Char Char Char Char Char Char Char Char Char1"/>
    <w:basedOn w:val="1"/>
    <w:qFormat/>
    <w:uiPriority w:val="0"/>
    <w:pPr>
      <w:spacing w:line="240" w:lineRule="exact"/>
      <w:ind w:firstLine="200"/>
    </w:pPr>
    <w:rPr>
      <w:sz w:val="28"/>
      <w:szCs w:val="28"/>
    </w:rPr>
  </w:style>
  <w:style w:type="paragraph" w:customStyle="1" w:styleId="1594">
    <w:name w:val="Char Char2 Char Char Char Char Char Char"/>
    <w:basedOn w:val="1"/>
    <w:qFormat/>
    <w:uiPriority w:val="0"/>
    <w:pPr>
      <w:spacing w:line="320" w:lineRule="atLeast"/>
      <w:jc w:val="center"/>
    </w:pPr>
    <w:rPr>
      <w:rFonts w:ascii="宋体" w:hAnsi="宋体"/>
      <w:sz w:val="22"/>
    </w:rPr>
  </w:style>
  <w:style w:type="paragraph" w:customStyle="1" w:styleId="1595">
    <w:name w:val="表格文字2"/>
    <w:basedOn w:val="1"/>
    <w:qFormat/>
    <w:uiPriority w:val="0"/>
    <w:pPr>
      <w:tabs>
        <w:tab w:val="left" w:pos="277"/>
        <w:tab w:val="left" w:pos="600"/>
        <w:tab w:val="left" w:pos="780"/>
        <w:tab w:val="left" w:pos="2517"/>
      </w:tabs>
      <w:spacing w:line="360" w:lineRule="atLeast"/>
      <w:jc w:val="center"/>
      <w:textAlignment w:val="baseline"/>
    </w:pPr>
    <w:rPr>
      <w:kern w:val="0"/>
      <w:sz w:val="21"/>
      <w:szCs w:val="21"/>
    </w:rPr>
  </w:style>
  <w:style w:type="paragraph" w:customStyle="1" w:styleId="1596">
    <w:name w:val="字元 字元 字元1"/>
    <w:basedOn w:val="1"/>
    <w:qFormat/>
    <w:uiPriority w:val="0"/>
    <w:pPr>
      <w:spacing w:line="400" w:lineRule="exact"/>
      <w:ind w:firstLine="200"/>
    </w:pPr>
    <w:rPr>
      <w:sz w:val="28"/>
      <w:szCs w:val="28"/>
    </w:rPr>
  </w:style>
  <w:style w:type="paragraph" w:customStyle="1" w:styleId="1597">
    <w:name w:val="样式 标题 2节 + 宋体 左"/>
    <w:basedOn w:val="4"/>
    <w:qFormat/>
    <w:uiPriority w:val="0"/>
    <w:pPr>
      <w:tabs>
        <w:tab w:val="left" w:pos="567"/>
      </w:tabs>
      <w:spacing w:before="0" w:after="0"/>
      <w:ind w:left="567" w:hanging="567"/>
      <w:jc w:val="left"/>
    </w:pPr>
    <w:rPr>
      <w:rFonts w:ascii="宋体" w:hAnsi="宋体" w:cs="宋体"/>
      <w:szCs w:val="24"/>
    </w:rPr>
  </w:style>
  <w:style w:type="paragraph" w:customStyle="1" w:styleId="1598">
    <w:name w:val="Char32"/>
    <w:basedOn w:val="1"/>
    <w:qFormat/>
    <w:uiPriority w:val="99"/>
    <w:pPr>
      <w:spacing w:line="240" w:lineRule="auto"/>
      <w:ind w:left="-48"/>
    </w:pPr>
    <w:rPr>
      <w:sz w:val="21"/>
    </w:rPr>
  </w:style>
  <w:style w:type="paragraph" w:customStyle="1" w:styleId="1599">
    <w:name w:val="表13"/>
    <w:basedOn w:val="1"/>
    <w:qFormat/>
    <w:uiPriority w:val="99"/>
    <w:pPr>
      <w:spacing w:line="240" w:lineRule="auto"/>
      <w:jc w:val="center"/>
    </w:pPr>
    <w:rPr>
      <w:rFonts w:eastAsia="仿宋_GB2312"/>
    </w:rPr>
  </w:style>
  <w:style w:type="paragraph" w:customStyle="1" w:styleId="1600">
    <w:name w:val="Byline"/>
    <w:basedOn w:val="34"/>
    <w:qFormat/>
    <w:uiPriority w:val="0"/>
    <w:pPr>
      <w:widowControl/>
      <w:autoSpaceDE w:val="0"/>
      <w:autoSpaceDN w:val="0"/>
      <w:adjustRightInd/>
      <w:snapToGrid/>
      <w:spacing w:after="0" w:line="240" w:lineRule="auto"/>
      <w:ind w:right="-20" w:firstLine="480"/>
    </w:pPr>
    <w:rPr>
      <w:rFonts w:ascii="Arial" w:hAnsi="Arial" w:eastAsia="Arial Unicode MS" w:cs="Arial Unicode MS"/>
      <w:color w:val="000000"/>
      <w:spacing w:val="12"/>
      <w:kern w:val="0"/>
      <w:szCs w:val="20"/>
    </w:rPr>
  </w:style>
  <w:style w:type="paragraph" w:customStyle="1" w:styleId="1601">
    <w:name w:val="Char Char Char Char Char Char5"/>
    <w:basedOn w:val="1"/>
    <w:qFormat/>
    <w:uiPriority w:val="0"/>
    <w:pPr>
      <w:spacing w:line="240" w:lineRule="auto"/>
    </w:pPr>
    <w:rPr>
      <w:sz w:val="21"/>
      <w:szCs w:val="21"/>
    </w:rPr>
  </w:style>
  <w:style w:type="paragraph" w:customStyle="1" w:styleId="1602">
    <w:name w:val="正文格式512"/>
    <w:basedOn w:val="1"/>
    <w:qFormat/>
    <w:uiPriority w:val="99"/>
    <w:pPr>
      <w:ind w:firstLine="482"/>
    </w:pPr>
    <w:rPr>
      <w:rFonts w:ascii="宋体" w:hAnsi="宋体"/>
    </w:rPr>
  </w:style>
  <w:style w:type="paragraph" w:customStyle="1" w:styleId="1603">
    <w:name w:val="正文图小四"/>
    <w:basedOn w:val="1"/>
    <w:qFormat/>
    <w:uiPriority w:val="0"/>
    <w:pPr>
      <w:spacing w:line="240" w:lineRule="auto"/>
      <w:jc w:val="center"/>
      <w:textAlignment w:val="baseline"/>
    </w:pPr>
    <w:rPr>
      <w:rFonts w:ascii="宋体"/>
      <w:kern w:val="0"/>
    </w:rPr>
  </w:style>
  <w:style w:type="paragraph" w:customStyle="1" w:styleId="1604">
    <w:name w:val="表 头"/>
    <w:basedOn w:val="1"/>
    <w:qFormat/>
    <w:uiPriority w:val="0"/>
    <w:pPr>
      <w:spacing w:before="120" w:after="120" w:line="360" w:lineRule="atLeast"/>
      <w:jc w:val="center"/>
    </w:pPr>
    <w:rPr>
      <w:rFonts w:eastAsia="黑体"/>
      <w:spacing w:val="10"/>
      <w:kern w:val="0"/>
      <w:szCs w:val="20"/>
    </w:rPr>
  </w:style>
  <w:style w:type="paragraph" w:customStyle="1" w:styleId="1605">
    <w:name w:val="Char6 Char Char Char1"/>
    <w:basedOn w:val="1"/>
    <w:qFormat/>
    <w:uiPriority w:val="0"/>
    <w:pPr>
      <w:spacing w:line="240" w:lineRule="auto"/>
    </w:pPr>
    <w:rPr>
      <w:sz w:val="21"/>
      <w:szCs w:val="21"/>
    </w:rPr>
  </w:style>
  <w:style w:type="paragraph" w:customStyle="1" w:styleId="1606">
    <w:name w:val="框图-1"/>
    <w:basedOn w:val="1"/>
    <w:qFormat/>
    <w:uiPriority w:val="0"/>
    <w:pPr>
      <w:spacing w:line="240" w:lineRule="auto"/>
      <w:jc w:val="center"/>
    </w:pPr>
    <w:rPr>
      <w:rFonts w:eastAsia="仿宋_GB2312" w:cs="宋体"/>
      <w:snapToGrid w:val="0"/>
      <w:kern w:val="0"/>
      <w:sz w:val="21"/>
      <w:szCs w:val="20"/>
    </w:rPr>
  </w:style>
  <w:style w:type="paragraph" w:customStyle="1" w:styleId="1607">
    <w:name w:val="正文王"/>
    <w:basedOn w:val="45"/>
    <w:qFormat/>
    <w:uiPriority w:val="0"/>
    <w:pPr>
      <w:spacing w:line="440" w:lineRule="exact"/>
      <w:jc w:val="both"/>
    </w:pPr>
    <w:rPr>
      <w:rFonts w:ascii="Arial" w:hAnsi="Arial"/>
      <w:snapToGrid w:val="0"/>
      <w:spacing w:val="0"/>
      <w:kern w:val="0"/>
      <w:sz w:val="24"/>
    </w:rPr>
  </w:style>
  <w:style w:type="paragraph" w:customStyle="1" w:styleId="16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Arial Unicode MS" w:hAnsi="Arial Unicode MS" w:eastAsia="Arial Unicode MS" w:cs="Arial Unicode MS"/>
      <w:kern w:val="0"/>
      <w:sz w:val="20"/>
      <w:szCs w:val="20"/>
      <w:lang w:eastAsia="en-US"/>
    </w:rPr>
  </w:style>
  <w:style w:type="paragraph" w:customStyle="1" w:styleId="1609">
    <w:name w:val="样式 （一）标题 + 段前: 0.5 行"/>
    <w:basedOn w:val="1"/>
    <w:qFormat/>
    <w:uiPriority w:val="0"/>
    <w:pPr>
      <w:pBdr>
        <w:top w:val="single" w:color="auto" w:sz="4" w:space="1"/>
      </w:pBdr>
      <w:jc w:val="left"/>
      <w:textAlignment w:val="baseline"/>
    </w:pPr>
    <w:rPr>
      <w:rFonts w:cs="宋体"/>
      <w:b/>
      <w:bCs/>
      <w:kern w:val="0"/>
      <w:szCs w:val="20"/>
    </w:rPr>
  </w:style>
  <w:style w:type="paragraph" w:customStyle="1" w:styleId="1610">
    <w:name w:val="Char Char Char Char Char Char Char Char Char Char"/>
    <w:basedOn w:val="1"/>
    <w:qFormat/>
    <w:uiPriority w:val="0"/>
    <w:pPr>
      <w:spacing w:line="240" w:lineRule="exact"/>
      <w:ind w:firstLine="200"/>
    </w:pPr>
    <w:rPr>
      <w:sz w:val="28"/>
      <w:szCs w:val="28"/>
    </w:rPr>
  </w:style>
  <w:style w:type="paragraph" w:customStyle="1" w:styleId="1611">
    <w:name w:val="表格下文正文"/>
    <w:basedOn w:val="1"/>
    <w:qFormat/>
    <w:uiPriority w:val="0"/>
    <w:pPr>
      <w:spacing w:before="300" w:line="420" w:lineRule="exact"/>
      <w:ind w:firstLine="200"/>
    </w:pPr>
    <w:rPr>
      <w:bCs/>
      <w:color w:val="000000"/>
      <w:szCs w:val="20"/>
    </w:rPr>
  </w:style>
  <w:style w:type="paragraph" w:customStyle="1" w:styleId="1612">
    <w:name w:val="目录5"/>
    <w:basedOn w:val="1"/>
    <w:qFormat/>
    <w:uiPriority w:val="0"/>
    <w:pPr>
      <w:spacing w:line="240" w:lineRule="auto"/>
    </w:pPr>
    <w:rPr>
      <w:rFonts w:ascii="宋体" w:hAnsi="宋体"/>
      <w:sz w:val="21"/>
      <w:szCs w:val="21"/>
    </w:rPr>
  </w:style>
  <w:style w:type="paragraph" w:customStyle="1" w:styleId="1613">
    <w:name w:val="样式 标题 3 + 华文中宋 小三 段前: 6 磅 段后: 6 磅 行距: 多倍行距 1.4 字行"/>
    <w:basedOn w:val="5"/>
    <w:qFormat/>
    <w:uiPriority w:val="0"/>
    <w:pPr>
      <w:keepLines w:val="0"/>
      <w:tabs>
        <w:tab w:val="left" w:pos="861"/>
        <w:tab w:val="left" w:pos="916"/>
        <w:tab w:val="left" w:pos="1756"/>
      </w:tabs>
      <w:spacing w:before="0" w:after="0" w:line="480" w:lineRule="exact"/>
      <w:outlineLvl w:val="9"/>
    </w:pPr>
    <w:rPr>
      <w:rFonts w:hAnsi="宋体"/>
      <w:b w:val="0"/>
      <w:bCs w:val="0"/>
      <w:snapToGrid w:val="0"/>
      <w:color w:val="000000"/>
      <w:kern w:val="0"/>
      <w:szCs w:val="24"/>
    </w:rPr>
  </w:style>
  <w:style w:type="paragraph" w:customStyle="1" w:styleId="1614">
    <w:name w:val="重钢院"/>
    <w:basedOn w:val="1"/>
    <w:qFormat/>
    <w:uiPriority w:val="0"/>
    <w:pPr>
      <w:spacing w:line="372" w:lineRule="auto"/>
      <w:textAlignment w:val="baseline"/>
    </w:pPr>
    <w:rPr>
      <w:spacing w:val="10"/>
      <w:kern w:val="0"/>
      <w:sz w:val="28"/>
      <w:szCs w:val="20"/>
    </w:rPr>
  </w:style>
  <w:style w:type="paragraph" w:customStyle="1" w:styleId="1615">
    <w:name w:val="表内"/>
    <w:basedOn w:val="1"/>
    <w:next w:val="1"/>
    <w:qFormat/>
    <w:uiPriority w:val="0"/>
    <w:pPr>
      <w:spacing w:before="120" w:after="120" w:line="288" w:lineRule="auto"/>
      <w:jc w:val="center"/>
    </w:pPr>
    <w:rPr>
      <w:snapToGrid w:val="0"/>
      <w:sz w:val="21"/>
      <w:szCs w:val="20"/>
    </w:rPr>
  </w:style>
  <w:style w:type="paragraph" w:customStyle="1" w:styleId="1616">
    <w:name w:val="Date2"/>
    <w:basedOn w:val="1"/>
    <w:next w:val="1"/>
    <w:qFormat/>
    <w:uiPriority w:val="0"/>
    <w:pPr>
      <w:spacing w:line="240" w:lineRule="auto"/>
      <w:textAlignment w:val="baseline"/>
    </w:pPr>
    <w:rPr>
      <w:sz w:val="21"/>
      <w:szCs w:val="20"/>
    </w:rPr>
  </w:style>
  <w:style w:type="paragraph" w:customStyle="1" w:styleId="1617">
    <w:name w:val="小4仿宋居中行1"/>
    <w:qFormat/>
    <w:uiPriority w:val="99"/>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1618">
    <w:name w:val="样式 标题2 + 仿宋_GB2312 段前: 6 磅 段后: 6 磅"/>
    <w:basedOn w:val="4"/>
    <w:qFormat/>
    <w:uiPriority w:val="0"/>
    <w:pPr>
      <w:ind w:firstLine="200"/>
    </w:pPr>
    <w:rPr>
      <w:rFonts w:ascii="仿宋_GB2312" w:eastAsia="仿宋_GB2312" w:cs="宋体"/>
      <w:szCs w:val="20"/>
    </w:rPr>
  </w:style>
  <w:style w:type="paragraph" w:customStyle="1" w:styleId="1619">
    <w:name w:val="Plain Text1"/>
    <w:basedOn w:val="1"/>
    <w:qFormat/>
    <w:uiPriority w:val="0"/>
    <w:pPr>
      <w:autoSpaceDE w:val="0"/>
      <w:autoSpaceDN w:val="0"/>
      <w:spacing w:line="240" w:lineRule="auto"/>
      <w:textAlignment w:val="baseline"/>
    </w:pPr>
    <w:rPr>
      <w:rFonts w:ascii="宋体" w:hAnsi="Tms Rmn"/>
      <w:kern w:val="0"/>
      <w:sz w:val="21"/>
      <w:szCs w:val="20"/>
    </w:rPr>
  </w:style>
  <w:style w:type="paragraph" w:customStyle="1" w:styleId="1620">
    <w:name w:val="默认段落字体 Para Char51"/>
    <w:basedOn w:val="1"/>
    <w:next w:val="1"/>
    <w:qFormat/>
    <w:uiPriority w:val="99"/>
    <w:pPr>
      <w:spacing w:line="480" w:lineRule="exact"/>
      <w:ind w:firstLine="200"/>
      <w:jc w:val="left"/>
    </w:pPr>
    <w:rPr>
      <w:rFonts w:ascii="宋体" w:hAnsi="宋体" w:eastAsia="汉鼎简书宋" w:cs="宋体"/>
      <w:sz w:val="28"/>
    </w:rPr>
  </w:style>
  <w:style w:type="paragraph" w:customStyle="1" w:styleId="1621">
    <w:name w:val="Char2"/>
    <w:basedOn w:val="1"/>
    <w:qFormat/>
    <w:uiPriority w:val="0"/>
    <w:pPr>
      <w:spacing w:line="240" w:lineRule="auto"/>
      <w:ind w:firstLine="200"/>
    </w:pPr>
    <w:rPr>
      <w:sz w:val="21"/>
    </w:rPr>
  </w:style>
  <w:style w:type="paragraph" w:customStyle="1" w:styleId="1622">
    <w:name w:val="正文221"/>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623">
    <w:name w:val="Char Char Char1 Char Char Char Char Char Char Char Char Char Char Char Char Char Char Char1"/>
    <w:basedOn w:val="1"/>
    <w:qFormat/>
    <w:uiPriority w:val="0"/>
    <w:pPr>
      <w:spacing w:line="240" w:lineRule="auto"/>
    </w:pPr>
    <w:rPr>
      <w:sz w:val="21"/>
      <w:szCs w:val="21"/>
    </w:rPr>
  </w:style>
  <w:style w:type="paragraph" w:customStyle="1" w:styleId="1624">
    <w:name w:val="南京大化工表格"/>
    <w:basedOn w:val="1"/>
    <w:qFormat/>
    <w:uiPriority w:val="0"/>
    <w:pPr>
      <w:spacing w:line="360" w:lineRule="exact"/>
      <w:jc w:val="left"/>
    </w:pPr>
    <w:rPr>
      <w:szCs w:val="21"/>
    </w:rPr>
  </w:style>
  <w:style w:type="paragraph" w:customStyle="1" w:styleId="1625">
    <w:name w:val="字元 字元 字元"/>
    <w:basedOn w:val="1"/>
    <w:qFormat/>
    <w:uiPriority w:val="0"/>
    <w:pPr>
      <w:ind w:firstLine="200"/>
    </w:pPr>
    <w:rPr>
      <w:rFonts w:ascii="宋体" w:hAnsi="宋体"/>
    </w:rPr>
  </w:style>
  <w:style w:type="paragraph" w:customStyle="1" w:styleId="1626">
    <w:name w:val="Char Char Char Char Char"/>
    <w:basedOn w:val="1"/>
    <w:qFormat/>
    <w:uiPriority w:val="0"/>
    <w:pPr>
      <w:spacing w:line="240" w:lineRule="auto"/>
    </w:pPr>
    <w:rPr>
      <w:sz w:val="21"/>
      <w:szCs w:val="21"/>
    </w:rPr>
  </w:style>
  <w:style w:type="paragraph" w:customStyle="1" w:styleId="1627">
    <w:name w:val="xl105"/>
    <w:basedOn w:val="1"/>
    <w:qFormat/>
    <w:uiPriority w:val="0"/>
    <w:pPr>
      <w:widowControl/>
      <w:pBdr>
        <w:top w:val="single" w:color="auto" w:sz="8" w:space="0"/>
        <w:right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628">
    <w:name w:val="公式样式1"/>
    <w:basedOn w:val="1"/>
    <w:qFormat/>
    <w:uiPriority w:val="0"/>
    <w:rPr>
      <w:rFonts w:ascii="宋体" w:hAnsi="宋体" w:eastAsia="仿宋_GB2312"/>
      <w:smallCaps/>
      <w:sz w:val="28"/>
    </w:rPr>
  </w:style>
  <w:style w:type="paragraph" w:customStyle="1" w:styleId="162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黑体" w:hAnsi="Arial Unicode MS" w:eastAsia="黑体"/>
      <w:kern w:val="0"/>
      <w:sz w:val="20"/>
      <w:szCs w:val="20"/>
    </w:rPr>
  </w:style>
  <w:style w:type="paragraph" w:customStyle="1" w:styleId="1630">
    <w:name w:val="回信地址"/>
    <w:qFormat/>
    <w:uiPriority w:val="0"/>
    <w:rPr>
      <w:rFonts w:ascii="Times New Roman" w:hAnsi="Times New Roman" w:eastAsia="宋体" w:cs="Times New Roman"/>
      <w:lang w:val="en-US" w:eastAsia="zh-CN" w:bidi="ar-SA"/>
    </w:rPr>
  </w:style>
  <w:style w:type="paragraph" w:customStyle="1" w:styleId="1631">
    <w:name w:val="地址"/>
    <w:basedOn w:val="1"/>
    <w:qFormat/>
    <w:uiPriority w:val="0"/>
    <w:pPr>
      <w:keepLines/>
      <w:widowControl/>
      <w:overflowPunct w:val="0"/>
      <w:autoSpaceDE w:val="0"/>
      <w:autoSpaceDN w:val="0"/>
      <w:spacing w:line="240" w:lineRule="auto"/>
      <w:jc w:val="center"/>
      <w:textAlignment w:val="baseline"/>
    </w:pPr>
    <w:rPr>
      <w:kern w:val="0"/>
      <w:sz w:val="20"/>
      <w:szCs w:val="20"/>
    </w:rPr>
  </w:style>
  <w:style w:type="paragraph" w:customStyle="1" w:styleId="1632">
    <w:name w:val="标题5"/>
    <w:qFormat/>
    <w:uiPriority w:val="0"/>
    <w:pPr>
      <w:adjustRightInd w:val="0"/>
      <w:spacing w:line="360" w:lineRule="auto"/>
      <w:ind w:firstLine="560" w:firstLineChars="200"/>
      <w:jc w:val="both"/>
    </w:pPr>
    <w:rPr>
      <w:rFonts w:ascii="Times New Roman" w:hAnsi="Times New Roman" w:eastAsia="宋体" w:cs="Times New Roman"/>
      <w:sz w:val="28"/>
      <w:lang w:val="en-US" w:eastAsia="zh-CN" w:bidi="ar-SA"/>
    </w:rPr>
  </w:style>
  <w:style w:type="paragraph" w:customStyle="1" w:styleId="1633">
    <w:name w:val="表格111"/>
    <w:basedOn w:val="1"/>
    <w:qFormat/>
    <w:uiPriority w:val="99"/>
    <w:pPr>
      <w:spacing w:line="240" w:lineRule="auto"/>
      <w:jc w:val="center"/>
      <w:textAlignment w:val="baseline"/>
    </w:pPr>
    <w:rPr>
      <w:rFonts w:ascii="宋体"/>
      <w:kern w:val="0"/>
      <w:szCs w:val="20"/>
    </w:rPr>
  </w:style>
  <w:style w:type="paragraph" w:customStyle="1" w:styleId="1634">
    <w:name w:val="Char Char Char1 Char Char Char Char Char Char Char Char Char Char Char Char Char Char Char Char"/>
    <w:basedOn w:val="1"/>
    <w:qFormat/>
    <w:uiPriority w:val="0"/>
    <w:pPr>
      <w:spacing w:line="240" w:lineRule="exact"/>
      <w:ind w:firstLine="200"/>
    </w:pPr>
    <w:rPr>
      <w:sz w:val="28"/>
      <w:szCs w:val="28"/>
    </w:rPr>
  </w:style>
  <w:style w:type="paragraph" w:customStyle="1" w:styleId="1635">
    <w:name w:val="Char Char Char Char Char Char Char Char Char1 Char Char Char Char Char Char1 Char"/>
    <w:basedOn w:val="1"/>
    <w:qFormat/>
    <w:uiPriority w:val="0"/>
    <w:pPr>
      <w:ind w:firstLine="200"/>
    </w:pPr>
    <w:rPr>
      <w:rFonts w:ascii="宋体" w:hAnsi="宋体" w:cs="宋体"/>
    </w:rPr>
  </w:style>
  <w:style w:type="paragraph" w:customStyle="1" w:styleId="1636">
    <w:name w:val="表格文字小四"/>
    <w:basedOn w:val="1"/>
    <w:qFormat/>
    <w:uiPriority w:val="0"/>
    <w:pPr>
      <w:spacing w:before="31" w:beforeLines="10" w:after="31" w:afterLines="10" w:line="240" w:lineRule="auto"/>
      <w:jc w:val="center"/>
    </w:pPr>
    <w:rPr>
      <w:rFonts w:ascii="Arial" w:hAnsi="Arial" w:cs="Arial"/>
      <w:snapToGrid w:val="0"/>
      <w:kern w:val="0"/>
      <w:szCs w:val="20"/>
    </w:rPr>
  </w:style>
  <w:style w:type="paragraph" w:customStyle="1" w:styleId="1637">
    <w:name w:val="公式"/>
    <w:basedOn w:val="1"/>
    <w:qFormat/>
    <w:uiPriority w:val="0"/>
    <w:pPr>
      <w:ind w:right="-11" w:firstLine="573"/>
      <w:jc w:val="center"/>
    </w:pPr>
    <w:rPr>
      <w:rFonts w:ascii="仿宋_GB2312" w:eastAsia="仿宋_GB2312"/>
      <w:position w:val="-28"/>
      <w:sz w:val="28"/>
      <w:szCs w:val="20"/>
    </w:rPr>
  </w:style>
  <w:style w:type="paragraph" w:customStyle="1" w:styleId="1638">
    <w:name w:val="正文表格"/>
    <w:basedOn w:val="1"/>
    <w:qFormat/>
    <w:uiPriority w:val="0"/>
    <w:pPr>
      <w:keepNext/>
      <w:keepLines/>
      <w:overflowPunct w:val="0"/>
      <w:spacing w:before="80" w:line="240" w:lineRule="auto"/>
      <w:jc w:val="center"/>
      <w:textAlignment w:val="bottom"/>
    </w:pPr>
    <w:rPr>
      <w:kern w:val="0"/>
      <w:sz w:val="28"/>
      <w:szCs w:val="20"/>
    </w:rPr>
  </w:style>
  <w:style w:type="paragraph" w:customStyle="1" w:styleId="1639">
    <w:name w:val="正文表头"/>
    <w:basedOn w:val="1"/>
    <w:next w:val="1638"/>
    <w:qFormat/>
    <w:uiPriority w:val="0"/>
    <w:pPr>
      <w:keepNext/>
      <w:tabs>
        <w:tab w:val="center" w:pos="4253"/>
        <w:tab w:val="right" w:pos="8505"/>
      </w:tabs>
      <w:overflowPunct w:val="0"/>
      <w:spacing w:before="120"/>
      <w:jc w:val="center"/>
      <w:textAlignment w:val="baseline"/>
    </w:pPr>
    <w:rPr>
      <w:rFonts w:eastAsia="黑体"/>
      <w:kern w:val="0"/>
      <w:sz w:val="28"/>
      <w:szCs w:val="20"/>
    </w:rPr>
  </w:style>
  <w:style w:type="paragraph" w:customStyle="1" w:styleId="1640">
    <w:name w:val="CM17"/>
    <w:basedOn w:val="1"/>
    <w:next w:val="1"/>
    <w:qFormat/>
    <w:uiPriority w:val="0"/>
    <w:pPr>
      <w:autoSpaceDE w:val="0"/>
      <w:autoSpaceDN w:val="0"/>
      <w:spacing w:line="468" w:lineRule="atLeast"/>
      <w:jc w:val="left"/>
    </w:pPr>
    <w:rPr>
      <w:rFonts w:ascii="黑体" w:eastAsia="黑体"/>
      <w:kern w:val="0"/>
      <w:szCs w:val="28"/>
    </w:rPr>
  </w:style>
  <w:style w:type="paragraph" w:customStyle="1" w:styleId="1641">
    <w:name w:val="样式5"/>
    <w:basedOn w:val="26"/>
    <w:next w:val="26"/>
    <w:qFormat/>
    <w:uiPriority w:val="0"/>
    <w:pPr>
      <w:shd w:val="clear" w:color="auto" w:fill="auto"/>
      <w:adjustRightInd/>
      <w:snapToGrid/>
      <w:spacing w:line="240" w:lineRule="auto"/>
    </w:pPr>
    <w:rPr>
      <w:sz w:val="52"/>
    </w:rPr>
  </w:style>
  <w:style w:type="paragraph" w:customStyle="1" w:styleId="1642">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kern w:val="0"/>
      <w:sz w:val="20"/>
      <w:szCs w:val="20"/>
    </w:rPr>
  </w:style>
  <w:style w:type="paragraph" w:customStyle="1" w:styleId="1643">
    <w:name w:val="封面"/>
    <w:basedOn w:val="3"/>
    <w:next w:val="1"/>
    <w:qFormat/>
    <w:uiPriority w:val="0"/>
    <w:pPr>
      <w:keepNext w:val="0"/>
      <w:keepLines w:val="0"/>
      <w:tabs>
        <w:tab w:val="left" w:pos="0"/>
      </w:tabs>
      <w:spacing w:line="348" w:lineRule="auto"/>
      <w:jc w:val="center"/>
    </w:pPr>
    <w:rPr>
      <w:b w:val="0"/>
      <w:bCs w:val="0"/>
      <w:snapToGrid w:val="0"/>
      <w:kern w:val="2"/>
      <w:sz w:val="28"/>
      <w:szCs w:val="20"/>
      <w:lang w:val="zh-CN"/>
    </w:rPr>
  </w:style>
  <w:style w:type="paragraph" w:customStyle="1" w:styleId="1644">
    <w:name w:val="小五"/>
    <w:qFormat/>
    <w:uiPriority w:val="0"/>
    <w:pPr>
      <w:autoSpaceDE w:val="0"/>
      <w:autoSpaceDN w:val="0"/>
      <w:adjustRightInd w:val="0"/>
      <w:snapToGrid w:val="0"/>
      <w:spacing w:line="360" w:lineRule="auto"/>
      <w:jc w:val="both"/>
    </w:pPr>
    <w:rPr>
      <w:rFonts w:ascii="宋体" w:hAnsi="宋体" w:eastAsia="宋体" w:cs="Times New Roman"/>
      <w:sz w:val="21"/>
      <w:szCs w:val="21"/>
      <w:lang w:val="en-US" w:eastAsia="zh-CN" w:bidi="ar-SA"/>
    </w:rPr>
  </w:style>
  <w:style w:type="paragraph" w:customStyle="1" w:styleId="1645">
    <w:name w:val="8--"/>
    <w:basedOn w:val="1"/>
    <w:qFormat/>
    <w:uiPriority w:val="0"/>
    <w:pPr>
      <w:pBdr>
        <w:top w:val="single" w:color="auto" w:sz="4" w:space="1"/>
      </w:pBdr>
      <w:spacing w:line="360" w:lineRule="atLeast"/>
      <w:jc w:val="left"/>
      <w:textAlignment w:val="baseline"/>
    </w:pPr>
    <w:rPr>
      <w:kern w:val="0"/>
      <w:szCs w:val="20"/>
    </w:rPr>
  </w:style>
  <w:style w:type="paragraph" w:customStyle="1" w:styleId="1646">
    <w:name w:val="9 Char Char Char2"/>
    <w:basedOn w:val="1"/>
    <w:qFormat/>
    <w:uiPriority w:val="0"/>
    <w:pPr>
      <w:spacing w:line="240" w:lineRule="exact"/>
      <w:ind w:firstLine="200"/>
    </w:pPr>
    <w:rPr>
      <w:sz w:val="28"/>
      <w:szCs w:val="28"/>
    </w:rPr>
  </w:style>
  <w:style w:type="paragraph" w:customStyle="1" w:styleId="1647">
    <w:name w:val="9 Char Char Char6"/>
    <w:basedOn w:val="1"/>
    <w:qFormat/>
    <w:uiPriority w:val="0"/>
    <w:pPr>
      <w:spacing w:line="240" w:lineRule="exact"/>
      <w:ind w:firstLine="200"/>
    </w:pPr>
    <w:rPr>
      <w:sz w:val="28"/>
      <w:szCs w:val="28"/>
    </w:rPr>
  </w:style>
  <w:style w:type="paragraph" w:customStyle="1" w:styleId="1648">
    <w:name w:val="正文居中"/>
    <w:basedOn w:val="1"/>
    <w:qFormat/>
    <w:uiPriority w:val="0"/>
    <w:pPr>
      <w:overflowPunct w:val="0"/>
      <w:topLinePunct/>
      <w:spacing w:line="348" w:lineRule="auto"/>
      <w:jc w:val="center"/>
    </w:pPr>
    <w:rPr>
      <w:kern w:val="0"/>
      <w:sz w:val="28"/>
      <w:szCs w:val="20"/>
    </w:rPr>
  </w:style>
  <w:style w:type="paragraph" w:customStyle="1" w:styleId="1649">
    <w:name w:val="正文 + 宋体 小四"/>
    <w:basedOn w:val="1"/>
    <w:qFormat/>
    <w:uiPriority w:val="0"/>
    <w:pPr>
      <w:textAlignment w:val="baseline"/>
    </w:pPr>
    <w:rPr>
      <w:rFonts w:ascii="宋体" w:hAnsi="宋体" w:cs="华文行楷"/>
      <w:snapToGrid w:val="0"/>
      <w:kern w:val="0"/>
      <w:szCs w:val="20"/>
    </w:rPr>
  </w:style>
  <w:style w:type="paragraph" w:customStyle="1" w:styleId="1650">
    <w:name w:val="Char Char Char1 Char Char Char1 Char Char Char1 Char"/>
    <w:basedOn w:val="1"/>
    <w:qFormat/>
    <w:uiPriority w:val="0"/>
    <w:pPr>
      <w:spacing w:line="400" w:lineRule="exact"/>
      <w:ind w:firstLine="200"/>
    </w:pPr>
    <w:rPr>
      <w:sz w:val="28"/>
      <w:szCs w:val="28"/>
    </w:rPr>
  </w:style>
  <w:style w:type="paragraph" w:customStyle="1" w:styleId="1651">
    <w:name w:val="正文.21"/>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652">
    <w:name w:val="样式 宋体 四号 左 行距: 固定值 25 磅"/>
    <w:basedOn w:val="1"/>
    <w:qFormat/>
    <w:uiPriority w:val="0"/>
    <w:pPr>
      <w:ind w:firstLine="200"/>
      <w:jc w:val="left"/>
    </w:pPr>
    <w:rPr>
      <w:rFonts w:cs="宋体"/>
      <w:sz w:val="28"/>
      <w:szCs w:val="20"/>
    </w:rPr>
  </w:style>
  <w:style w:type="paragraph" w:customStyle="1" w:styleId="1653">
    <w:name w:val="样式 宋体 首行缩进:  0.93 厘米 段前: 6 磅 段后: 6 磅 行距: 固定值 18 磅"/>
    <w:basedOn w:val="1"/>
    <w:qFormat/>
    <w:uiPriority w:val="0"/>
    <w:pPr>
      <w:spacing w:before="160" w:after="160" w:line="320" w:lineRule="exact"/>
      <w:ind w:firstLine="482"/>
    </w:pPr>
    <w:rPr>
      <w:rFonts w:ascii="宋体" w:hAnsi="宋体" w:cs="宋体"/>
      <w:szCs w:val="20"/>
    </w:rPr>
  </w:style>
  <w:style w:type="paragraph" w:customStyle="1" w:styleId="1654">
    <w:name w:val="Char Char Char Char Char Char Char Char Char1 Char Char Char Char"/>
    <w:basedOn w:val="1"/>
    <w:qFormat/>
    <w:uiPriority w:val="0"/>
    <w:pPr>
      <w:spacing w:line="240" w:lineRule="auto"/>
    </w:pPr>
    <w:rPr>
      <w:sz w:val="21"/>
      <w:szCs w:val="21"/>
    </w:rPr>
  </w:style>
  <w:style w:type="paragraph" w:customStyle="1" w:styleId="1655">
    <w:name w:val="Char Char Char1 Char Char Char Char Char Char Char Char Char Char"/>
    <w:basedOn w:val="1"/>
    <w:qFormat/>
    <w:uiPriority w:val="0"/>
    <w:pPr>
      <w:spacing w:line="240" w:lineRule="auto"/>
    </w:pPr>
    <w:rPr>
      <w:sz w:val="21"/>
      <w:szCs w:val="21"/>
    </w:rPr>
  </w:style>
  <w:style w:type="paragraph" w:customStyle="1" w:styleId="1656">
    <w:name w:val="bgbt3条标题"/>
    <w:qFormat/>
    <w:uiPriority w:val="0"/>
    <w:pPr>
      <w:outlineLvl w:val="2"/>
    </w:pPr>
    <w:rPr>
      <w:rFonts w:ascii="Times New Roman" w:hAnsi="Times New Roman" w:eastAsia="宋体" w:cs="Times New Roman"/>
      <w:sz w:val="28"/>
      <w:lang w:val="en-US" w:eastAsia="zh-CN" w:bidi="ar-SA"/>
    </w:rPr>
  </w:style>
  <w:style w:type="paragraph" w:customStyle="1" w:styleId="1657">
    <w:name w:val="bgbt4款标题"/>
    <w:qFormat/>
    <w:uiPriority w:val="0"/>
    <w:pPr>
      <w:spacing w:before="120" w:after="60"/>
      <w:ind w:firstLine="510"/>
      <w:jc w:val="both"/>
      <w:outlineLvl w:val="3"/>
    </w:pPr>
    <w:rPr>
      <w:rFonts w:ascii="Times New Roman" w:hAnsi="Times New Roman" w:eastAsia="宋体" w:cs="Times New Roman"/>
      <w:sz w:val="24"/>
      <w:lang w:val="en-US" w:eastAsia="zh-CN" w:bidi="ar-SA"/>
    </w:rPr>
  </w:style>
  <w:style w:type="paragraph" w:customStyle="1" w:styleId="1658">
    <w:name w:val="bgbt副标题"/>
    <w:qFormat/>
    <w:uiPriority w:val="0"/>
    <w:pPr>
      <w:jc w:val="center"/>
    </w:pPr>
    <w:rPr>
      <w:rFonts w:ascii="Times New Roman" w:hAnsi="Times New Roman" w:eastAsia="黑体" w:cs="Times New Roman"/>
      <w:sz w:val="32"/>
      <w:lang w:val="en-US" w:eastAsia="zh-CN" w:bidi="ar-SA"/>
    </w:rPr>
  </w:style>
  <w:style w:type="paragraph" w:customStyle="1" w:styleId="1659">
    <w:name w:val="bg正文"/>
    <w:basedOn w:val="1"/>
    <w:qFormat/>
    <w:uiPriority w:val="0"/>
    <w:pPr>
      <w:pBdr>
        <w:top w:val="single" w:color="auto" w:sz="4" w:space="1"/>
      </w:pBdr>
      <w:spacing w:line="240" w:lineRule="auto"/>
    </w:pPr>
    <w:rPr>
      <w:szCs w:val="20"/>
    </w:rPr>
  </w:style>
  <w:style w:type="paragraph" w:customStyle="1" w:styleId="1660">
    <w:name w:val="bg正文首行缩进"/>
    <w:basedOn w:val="1"/>
    <w:qFormat/>
    <w:uiPriority w:val="0"/>
    <w:pPr>
      <w:pBdr>
        <w:top w:val="single" w:color="auto" w:sz="4" w:space="1"/>
      </w:pBdr>
      <w:spacing w:line="400" w:lineRule="exact"/>
      <w:ind w:firstLine="482"/>
    </w:pPr>
    <w:rPr>
      <w:szCs w:val="20"/>
    </w:rPr>
  </w:style>
  <w:style w:type="paragraph" w:customStyle="1" w:styleId="1661">
    <w:name w:val="font5"/>
    <w:basedOn w:val="1"/>
    <w:qFormat/>
    <w:uiPriority w:val="0"/>
    <w:pPr>
      <w:widowControl/>
      <w:spacing w:before="100" w:beforeAutospacing="1" w:after="100" w:afterAutospacing="1" w:line="240" w:lineRule="auto"/>
      <w:jc w:val="left"/>
    </w:pPr>
    <w:rPr>
      <w:rFonts w:hint="eastAsia" w:ascii="宋体" w:hAnsi="宋体"/>
      <w:kern w:val="0"/>
      <w:sz w:val="20"/>
      <w:szCs w:val="20"/>
    </w:rPr>
  </w:style>
  <w:style w:type="paragraph" w:customStyle="1" w:styleId="1662">
    <w:name w:val="标题正1"/>
    <w:basedOn w:val="1"/>
    <w:qFormat/>
    <w:uiPriority w:val="0"/>
    <w:pPr>
      <w:spacing w:before="120" w:after="120"/>
      <w:outlineLvl w:val="0"/>
    </w:pPr>
    <w:rPr>
      <w:rFonts w:ascii="黑体" w:eastAsia="黑体"/>
      <w:b/>
      <w:sz w:val="32"/>
      <w:szCs w:val="20"/>
    </w:rPr>
  </w:style>
  <w:style w:type="paragraph" w:customStyle="1" w:styleId="1663">
    <w:name w:val="Char Char2 Char Char Char Char211"/>
    <w:basedOn w:val="1"/>
    <w:qFormat/>
    <w:uiPriority w:val="99"/>
    <w:pPr>
      <w:spacing w:line="240" w:lineRule="auto"/>
    </w:pPr>
    <w:rPr>
      <w:sz w:val="21"/>
    </w:rPr>
  </w:style>
  <w:style w:type="paragraph" w:customStyle="1" w:styleId="1664">
    <w:name w:val="样式 标题 4条标题1.1.1.1款标题1.1.1.1H4Subsection1.1.1.1标题 4.1.1.1.1...1"/>
    <w:basedOn w:val="6"/>
    <w:qFormat/>
    <w:uiPriority w:val="0"/>
    <w:pPr>
      <w:keepNext w:val="0"/>
      <w:keepLines w:val="0"/>
      <w:spacing w:before="0" w:after="0" w:line="312" w:lineRule="auto"/>
      <w:ind w:firstLine="57"/>
      <w:jc w:val="left"/>
      <w:textAlignment w:val="baseline"/>
    </w:pPr>
    <w:rPr>
      <w:rFonts w:ascii="宋体" w:hAnsi="宋体" w:cs="宋体"/>
      <w:b w:val="0"/>
      <w:kern w:val="0"/>
      <w:szCs w:val="20"/>
      <w:lang w:val="sq-AL"/>
    </w:rPr>
  </w:style>
  <w:style w:type="paragraph" w:customStyle="1" w:styleId="1665">
    <w:name w:val="标题正2"/>
    <w:basedOn w:val="5"/>
    <w:qFormat/>
    <w:uiPriority w:val="0"/>
    <w:pPr>
      <w:keepNext w:val="0"/>
      <w:keepLines w:val="0"/>
      <w:spacing w:before="0" w:after="0" w:line="560" w:lineRule="exact"/>
      <w:jc w:val="center"/>
      <w:outlineLvl w:val="9"/>
    </w:pPr>
    <w:rPr>
      <w:rFonts w:ascii="宋体" w:hAnsi="宋体"/>
      <w:bCs w:val="0"/>
      <w:szCs w:val="20"/>
    </w:rPr>
  </w:style>
  <w:style w:type="paragraph" w:customStyle="1" w:styleId="1666">
    <w:name w:val="样式43"/>
    <w:basedOn w:val="34"/>
    <w:qFormat/>
    <w:uiPriority w:val="99"/>
    <w:pPr>
      <w:tabs>
        <w:tab w:val="left" w:pos="1820"/>
      </w:tabs>
      <w:adjustRightInd/>
      <w:spacing w:after="0" w:line="240" w:lineRule="atLeast"/>
      <w:jc w:val="center"/>
    </w:pPr>
    <w:rPr>
      <w:rFonts w:ascii="Calibri" w:hAnsi="Calibri" w:eastAsia="幼圆"/>
      <w:kern w:val="0"/>
      <w:sz w:val="21"/>
      <w:szCs w:val="20"/>
    </w:rPr>
  </w:style>
  <w:style w:type="paragraph" w:customStyle="1" w:styleId="1667">
    <w:name w:val="标题正3"/>
    <w:basedOn w:val="5"/>
    <w:qFormat/>
    <w:uiPriority w:val="0"/>
    <w:pPr>
      <w:keepNext w:val="0"/>
      <w:keepLines w:val="0"/>
      <w:spacing w:before="0" w:after="0"/>
      <w:outlineLvl w:val="9"/>
    </w:pPr>
    <w:rPr>
      <w:rFonts w:ascii="仿宋_GB2312" w:hAnsi="宋体" w:eastAsia="仿宋_GB2312"/>
      <w:bCs w:val="0"/>
      <w:snapToGrid w:val="0"/>
      <w:sz w:val="28"/>
      <w:szCs w:val="20"/>
    </w:rPr>
  </w:style>
  <w:style w:type="paragraph" w:customStyle="1" w:styleId="1668">
    <w:name w:val="正文修改4"/>
    <w:basedOn w:val="900"/>
    <w:qFormat/>
    <w:uiPriority w:val="99"/>
    <w:pPr>
      <w:spacing w:line="480" w:lineRule="exact"/>
      <w:ind w:firstLine="0" w:firstLineChars="0"/>
    </w:pPr>
    <w:rPr>
      <w:rFonts w:cs="宋体"/>
      <w:sz w:val="24"/>
      <w:szCs w:val="24"/>
    </w:rPr>
  </w:style>
  <w:style w:type="paragraph" w:customStyle="1" w:styleId="1669">
    <w:name w:val="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670">
    <w:name w:val="表中文字53"/>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1671">
    <w:name w:val="五级标题王"/>
    <w:basedOn w:val="5"/>
    <w:qFormat/>
    <w:uiPriority w:val="0"/>
    <w:pPr>
      <w:spacing w:before="0" w:after="0"/>
      <w:outlineLvl w:val="4"/>
    </w:pPr>
    <w:rPr>
      <w:rFonts w:ascii="黑体" w:eastAsia="黑体"/>
      <w:b w:val="0"/>
      <w:szCs w:val="28"/>
    </w:rPr>
  </w:style>
  <w:style w:type="paragraph" w:customStyle="1" w:styleId="1672">
    <w:name w:val="Char Char Char1 Char Char Char1 Char Char Char1 Char Char Char Char"/>
    <w:basedOn w:val="1"/>
    <w:qFormat/>
    <w:uiPriority w:val="0"/>
    <w:pPr>
      <w:spacing w:line="240" w:lineRule="exact"/>
      <w:ind w:firstLine="200"/>
    </w:pPr>
    <w:rPr>
      <w:sz w:val="28"/>
      <w:szCs w:val="28"/>
    </w:rPr>
  </w:style>
  <w:style w:type="paragraph" w:customStyle="1" w:styleId="1673">
    <w:name w:val="Char4"/>
    <w:basedOn w:val="1"/>
    <w:qFormat/>
    <w:uiPriority w:val="0"/>
    <w:pPr>
      <w:spacing w:line="340" w:lineRule="exact"/>
      <w:ind w:firstLine="10" w:firstLineChars="4"/>
    </w:pPr>
    <w:rPr>
      <w:sz w:val="28"/>
      <w:szCs w:val="28"/>
    </w:rPr>
  </w:style>
  <w:style w:type="paragraph" w:customStyle="1" w:styleId="1674">
    <w:name w:val="框图-1 Char"/>
    <w:basedOn w:val="1"/>
    <w:qFormat/>
    <w:uiPriority w:val="0"/>
    <w:pPr>
      <w:spacing w:line="240" w:lineRule="auto"/>
      <w:jc w:val="center"/>
    </w:pPr>
    <w:rPr>
      <w:rFonts w:eastAsia="仿宋_GB2312"/>
      <w:bCs/>
      <w:snapToGrid w:val="0"/>
      <w:color w:val="000000"/>
      <w:kern w:val="0"/>
      <w:sz w:val="21"/>
    </w:rPr>
  </w:style>
  <w:style w:type="paragraph" w:customStyle="1" w:styleId="1675">
    <w:name w:val="正文2"/>
    <w:basedOn w:val="1"/>
    <w:qFormat/>
    <w:uiPriority w:val="0"/>
    <w:pPr>
      <w:ind w:firstLine="200"/>
    </w:pPr>
  </w:style>
  <w:style w:type="paragraph" w:customStyle="1" w:styleId="1676">
    <w:name w:val="Char Char Char Char Char Char Char Char Char1 Char Char Char Char Char Char Char Char"/>
    <w:basedOn w:val="1"/>
    <w:qFormat/>
    <w:uiPriority w:val="0"/>
    <w:pPr>
      <w:ind w:firstLine="200"/>
    </w:pPr>
    <w:rPr>
      <w:rFonts w:eastAsia="仿宋_GB2312"/>
    </w:rPr>
  </w:style>
  <w:style w:type="paragraph" w:customStyle="1" w:styleId="1677">
    <w:name w:val="段"/>
    <w:basedOn w:val="1"/>
    <w:qFormat/>
    <w:uiPriority w:val="0"/>
    <w:pPr>
      <w:spacing w:line="460" w:lineRule="exact"/>
      <w:ind w:firstLine="482"/>
      <w:jc w:val="left"/>
      <w:textAlignment w:val="baseline"/>
    </w:pPr>
    <w:rPr>
      <w:rFonts w:ascii="宋体" w:hAnsi="Arial"/>
      <w:spacing w:val="3"/>
      <w:kern w:val="24"/>
      <w:szCs w:val="20"/>
    </w:rPr>
  </w:style>
  <w:style w:type="paragraph" w:customStyle="1" w:styleId="1678">
    <w:name w:val="std-0"/>
    <w:basedOn w:val="1"/>
    <w:qFormat/>
    <w:uiPriority w:val="0"/>
    <w:pPr>
      <w:widowControl/>
      <w:tabs>
        <w:tab w:val="left" w:pos="0"/>
        <w:tab w:val="left" w:pos="284"/>
      </w:tabs>
      <w:spacing w:line="360" w:lineRule="atLeast"/>
      <w:jc w:val="left"/>
    </w:pPr>
    <w:rPr>
      <w:rFonts w:ascii="Arial" w:hAnsi="Arial"/>
      <w:kern w:val="0"/>
      <w:sz w:val="21"/>
      <w:szCs w:val="20"/>
      <w:lang w:val="en-GB"/>
    </w:rPr>
  </w:style>
  <w:style w:type="paragraph" w:customStyle="1" w:styleId="1679">
    <w:name w:val="Achievement"/>
    <w:basedOn w:val="34"/>
    <w:qFormat/>
    <w:uiPriority w:val="0"/>
    <w:pPr>
      <w:widowControl/>
      <w:adjustRightInd/>
      <w:snapToGrid/>
      <w:spacing w:after="60" w:line="220" w:lineRule="atLeast"/>
      <w:ind w:left="245" w:right="-360" w:hanging="245"/>
      <w:jc w:val="left"/>
    </w:pPr>
    <w:rPr>
      <w:kern w:val="0"/>
      <w:sz w:val="20"/>
      <w:szCs w:val="20"/>
    </w:rPr>
  </w:style>
  <w:style w:type="paragraph" w:customStyle="1" w:styleId="1680">
    <w:name w:val="样式 正文首行缩进 2 + Times New Roman + 首行缩进:  2 字符"/>
    <w:basedOn w:val="1"/>
    <w:qFormat/>
    <w:uiPriority w:val="0"/>
    <w:pPr>
      <w:tabs>
        <w:tab w:val="left" w:pos="0"/>
        <w:tab w:val="left" w:pos="870"/>
        <w:tab w:val="left" w:pos="3150"/>
      </w:tabs>
      <w:autoSpaceDE w:val="0"/>
      <w:autoSpaceDN w:val="0"/>
      <w:spacing w:line="312" w:lineRule="auto"/>
      <w:ind w:firstLine="480"/>
      <w:jc w:val="left"/>
    </w:pPr>
    <w:rPr>
      <w:kern w:val="0"/>
      <w:szCs w:val="20"/>
    </w:rPr>
  </w:style>
  <w:style w:type="paragraph" w:customStyle="1" w:styleId="1681">
    <w:name w:val="样式 题注 + 左侧:  3 字符"/>
    <w:basedOn w:val="22"/>
    <w:qFormat/>
    <w:uiPriority w:val="0"/>
    <w:pPr>
      <w:widowControl/>
      <w:tabs>
        <w:tab w:val="left" w:pos="1200"/>
        <w:tab w:val="clear" w:pos="10467"/>
        <w:tab w:val="clear" w:pos="13095"/>
      </w:tabs>
      <w:ind w:left="720" w:leftChars="300" w:right="-1111" w:rightChars="-463"/>
    </w:pPr>
    <w:rPr>
      <w:rFonts w:ascii="Times New Roman" w:hAnsi="Times New Roman" w:cs="Times New Roman"/>
      <w:b w:val="0"/>
      <w:kern w:val="0"/>
    </w:rPr>
  </w:style>
  <w:style w:type="paragraph" w:customStyle="1" w:styleId="1682">
    <w:name w:val="表格内字体2112"/>
    <w:basedOn w:val="185"/>
    <w:next w:val="185"/>
    <w:qFormat/>
    <w:uiPriority w:val="99"/>
    <w:pPr>
      <w:spacing w:line="240" w:lineRule="auto"/>
      <w:ind w:firstLine="0"/>
      <w:jc w:val="center"/>
    </w:pPr>
    <w:rPr>
      <w:rFonts w:hAnsi="宋体" w:cs="Times New Roman"/>
      <w:sz w:val="21"/>
    </w:rPr>
  </w:style>
  <w:style w:type="paragraph" w:customStyle="1" w:styleId="1683">
    <w:name w:val="Char1 Char Char Char Char Char"/>
    <w:basedOn w:val="1"/>
    <w:qFormat/>
    <w:uiPriority w:val="99"/>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1684">
    <w:name w:val="xl22"/>
    <w:basedOn w:val="1"/>
    <w:qFormat/>
    <w:uiPriority w:val="0"/>
    <w:pPr>
      <w:widowControl/>
      <w:pBdr>
        <w:bottom w:val="single" w:color="auto" w:sz="8" w:space="0"/>
        <w:right w:val="single" w:color="auto" w:sz="8" w:space="0"/>
      </w:pBdr>
      <w:spacing w:before="100" w:beforeAutospacing="1" w:after="100" w:afterAutospacing="1" w:line="240" w:lineRule="auto"/>
      <w:jc w:val="center"/>
    </w:pPr>
    <w:rPr>
      <w:rFonts w:ascii="宋体" w:hAnsi="宋体"/>
      <w:kern w:val="0"/>
    </w:rPr>
  </w:style>
  <w:style w:type="paragraph" w:customStyle="1" w:styleId="1685">
    <w:name w:val="报告书"/>
    <w:basedOn w:val="1"/>
    <w:qFormat/>
    <w:uiPriority w:val="0"/>
    <w:pPr>
      <w:ind w:firstLine="505"/>
      <w:jc w:val="left"/>
    </w:pPr>
    <w:rPr>
      <w:kern w:val="24"/>
      <w:szCs w:val="20"/>
    </w:rPr>
  </w:style>
  <w:style w:type="paragraph" w:customStyle="1" w:styleId="1686">
    <w:name w:val="图内文字"/>
    <w:basedOn w:val="1"/>
    <w:qFormat/>
    <w:uiPriority w:val="0"/>
    <w:pPr>
      <w:autoSpaceDE w:val="0"/>
      <w:autoSpaceDN w:val="0"/>
      <w:spacing w:line="240" w:lineRule="atLeast"/>
      <w:ind w:right="-20"/>
      <w:jc w:val="center"/>
    </w:pPr>
    <w:rPr>
      <w:rFonts w:ascii="Arial Unicode MS" w:hAnsi="Arial" w:eastAsia="Arial Unicode MS" w:cs="Arial Unicode MS"/>
      <w:spacing w:val="12"/>
      <w:kern w:val="0"/>
      <w:sz w:val="18"/>
      <w:szCs w:val="21"/>
    </w:rPr>
  </w:style>
  <w:style w:type="paragraph" w:customStyle="1" w:styleId="1687">
    <w:name w:val="8"/>
    <w:basedOn w:val="1"/>
    <w:next w:val="80"/>
    <w:qFormat/>
    <w:uiPriority w:val="0"/>
    <w:pPr>
      <w:widowControl/>
      <w:spacing w:before="100" w:beforeAutospacing="1" w:after="100" w:afterAutospacing="1" w:line="240" w:lineRule="auto"/>
      <w:jc w:val="left"/>
    </w:pPr>
    <w:rPr>
      <w:rFonts w:ascii="Arial Unicode MS" w:hAnsi="Arial Unicode MS" w:eastAsia="Arial Unicode MS" w:cs="Arial Unicode MS"/>
      <w:kern w:val="0"/>
    </w:rPr>
  </w:style>
  <w:style w:type="paragraph" w:customStyle="1" w:styleId="1688">
    <w:name w:val="文本框"/>
    <w:basedOn w:val="1"/>
    <w:next w:val="1"/>
    <w:qFormat/>
    <w:uiPriority w:val="0"/>
    <w:pPr>
      <w:widowControl/>
      <w:spacing w:line="320" w:lineRule="exact"/>
      <w:ind w:firstLine="200"/>
      <w:jc w:val="center"/>
    </w:pPr>
    <w:rPr>
      <w:rFonts w:ascii="仿宋_GB2312" w:eastAsia="仿宋_GB2312"/>
      <w:kern w:val="0"/>
    </w:rPr>
  </w:style>
  <w:style w:type="paragraph" w:customStyle="1" w:styleId="1689">
    <w:name w:val="5"/>
    <w:basedOn w:val="1"/>
    <w:next w:val="35"/>
    <w:qFormat/>
    <w:uiPriority w:val="0"/>
    <w:pPr>
      <w:spacing w:line="480" w:lineRule="exact"/>
      <w:ind w:firstLine="600"/>
    </w:pPr>
    <w:rPr>
      <w:rFonts w:eastAsia="仿宋_GB2312"/>
      <w:sz w:val="28"/>
    </w:rPr>
  </w:style>
  <w:style w:type="paragraph" w:customStyle="1" w:styleId="1690">
    <w:name w:val="1.1.1縮"/>
    <w:basedOn w:val="1"/>
    <w:qFormat/>
    <w:uiPriority w:val="0"/>
    <w:pPr>
      <w:autoSpaceDE w:val="0"/>
      <w:autoSpaceDN w:val="0"/>
      <w:ind w:left="1610" w:firstLine="554"/>
      <w:jc w:val="left"/>
    </w:pPr>
    <w:rPr>
      <w:rFonts w:eastAsia="DFKai-SB"/>
      <w:sz w:val="28"/>
      <w:szCs w:val="20"/>
      <w:lang w:eastAsia="zh-TW"/>
    </w:rPr>
  </w:style>
  <w:style w:type="paragraph" w:customStyle="1" w:styleId="1691">
    <w:name w:val="xl54"/>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692">
    <w:name w:val="font14"/>
    <w:basedOn w:val="1"/>
    <w:qFormat/>
    <w:uiPriority w:val="0"/>
    <w:pPr>
      <w:widowControl/>
      <w:spacing w:before="100" w:beforeAutospacing="1" w:after="100" w:afterAutospacing="1" w:line="240" w:lineRule="auto"/>
      <w:jc w:val="left"/>
    </w:pPr>
    <w:rPr>
      <w:rFonts w:ascii="宋体" w:hAnsi="宋体"/>
      <w:color w:val="000000"/>
      <w:kern w:val="0"/>
      <w:sz w:val="20"/>
      <w:szCs w:val="20"/>
    </w:rPr>
  </w:style>
  <w:style w:type="paragraph" w:customStyle="1" w:styleId="1693">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kern w:val="0"/>
      <w:sz w:val="21"/>
      <w:szCs w:val="21"/>
    </w:rPr>
  </w:style>
  <w:style w:type="paragraph" w:customStyle="1" w:styleId="1694">
    <w:name w:val="font9"/>
    <w:basedOn w:val="1"/>
    <w:qFormat/>
    <w:uiPriority w:val="0"/>
    <w:pPr>
      <w:widowControl/>
      <w:spacing w:before="100" w:beforeAutospacing="1" w:after="100" w:afterAutospacing="1" w:line="240" w:lineRule="auto"/>
      <w:jc w:val="left"/>
    </w:pPr>
    <w:rPr>
      <w:rFonts w:ascii="宋体" w:hAnsi="宋体"/>
      <w:b/>
      <w:bCs/>
      <w:kern w:val="0"/>
      <w:sz w:val="20"/>
      <w:szCs w:val="20"/>
      <w:u w:val="single"/>
    </w:rPr>
  </w:style>
  <w:style w:type="paragraph" w:customStyle="1" w:styleId="1695">
    <w:name w:val="谏壁标题4(chen)"/>
    <w:basedOn w:val="1"/>
    <w:qFormat/>
    <w:uiPriority w:val="0"/>
    <w:pPr>
      <w:spacing w:before="156" w:beforeLines="50"/>
      <w:outlineLvl w:val="3"/>
    </w:pPr>
    <w:rPr>
      <w:rFonts w:eastAsia="楷体_GB2312"/>
      <w:sz w:val="28"/>
    </w:rPr>
  </w:style>
  <w:style w:type="paragraph" w:customStyle="1" w:styleId="169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rPr>
  </w:style>
  <w:style w:type="paragraph" w:customStyle="1" w:styleId="1697">
    <w:name w:val="表中文字111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1698">
    <w:name w:val="xl39"/>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Arial Unicode MS" w:hAnsi="Arial Unicode MS"/>
      <w:kern w:val="0"/>
    </w:rPr>
  </w:style>
  <w:style w:type="paragraph" w:customStyle="1" w:styleId="169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700">
    <w:name w:val="font10"/>
    <w:basedOn w:val="1"/>
    <w:qFormat/>
    <w:uiPriority w:val="0"/>
    <w:pPr>
      <w:widowControl/>
      <w:spacing w:before="100" w:beforeAutospacing="1" w:after="100" w:afterAutospacing="1" w:line="240" w:lineRule="auto"/>
      <w:jc w:val="left"/>
    </w:pPr>
    <w:rPr>
      <w:rFonts w:ascii="宋体" w:hAnsi="宋体"/>
      <w:kern w:val="0"/>
      <w:sz w:val="20"/>
      <w:szCs w:val="20"/>
    </w:rPr>
  </w:style>
  <w:style w:type="paragraph" w:customStyle="1" w:styleId="1701">
    <w:name w:val="xl50"/>
    <w:basedOn w:val="1"/>
    <w:qFormat/>
    <w:uiPriority w:val="0"/>
    <w:pPr>
      <w:widowControl/>
      <w:pBdr>
        <w:top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1702">
    <w:name w:val="CYQ 表格文字小四字体样式1"/>
    <w:basedOn w:val="1"/>
    <w:qFormat/>
    <w:uiPriority w:val="0"/>
    <w:pPr>
      <w:spacing w:line="360" w:lineRule="atLeast"/>
      <w:jc w:val="center"/>
    </w:pPr>
    <w:rPr>
      <w:sz w:val="21"/>
    </w:rPr>
  </w:style>
  <w:style w:type="paragraph" w:customStyle="1" w:styleId="1703">
    <w:name w:val="2级标题扫描"/>
    <w:basedOn w:val="1"/>
    <w:qFormat/>
    <w:uiPriority w:val="0"/>
    <w:pPr>
      <w:autoSpaceDE w:val="0"/>
      <w:autoSpaceDN w:val="0"/>
      <w:jc w:val="left"/>
      <w:outlineLvl w:val="1"/>
    </w:pPr>
    <w:rPr>
      <w:rFonts w:ascii="仿宋_GB2312" w:eastAsia="黑体" w:cs="仿宋_GB2312"/>
      <w:color w:val="000000"/>
      <w:kern w:val="0"/>
      <w:szCs w:val="23"/>
    </w:rPr>
  </w:style>
  <w:style w:type="paragraph" w:customStyle="1" w:styleId="1704">
    <w:name w:val="表式1"/>
    <w:basedOn w:val="1"/>
    <w:qFormat/>
    <w:uiPriority w:val="0"/>
    <w:pPr>
      <w:spacing w:line="0" w:lineRule="atLeast"/>
      <w:jc w:val="left"/>
      <w:textAlignment w:val="baseline"/>
    </w:pPr>
    <w:rPr>
      <w:rFonts w:ascii="Arial" w:hAnsi="Arial" w:eastAsia="MingLiU"/>
      <w:b/>
      <w:kern w:val="0"/>
      <w:szCs w:val="20"/>
      <w:lang w:eastAsia="zh-TW"/>
    </w:rPr>
  </w:style>
  <w:style w:type="paragraph" w:customStyle="1" w:styleId="1705">
    <w:name w:val="正文文字 2"/>
    <w:basedOn w:val="1"/>
    <w:qFormat/>
    <w:uiPriority w:val="0"/>
    <w:pPr>
      <w:spacing w:line="240" w:lineRule="auto"/>
    </w:pPr>
    <w:rPr>
      <w:rFonts w:ascii="仿宋_GB2312" w:hAnsi="宋体" w:eastAsia="仿宋_GB2312"/>
    </w:rPr>
  </w:style>
  <w:style w:type="paragraph" w:customStyle="1" w:styleId="1706">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黑体" w:hAnsi="Arial Unicode MS" w:eastAsia="黑体"/>
      <w:kern w:val="0"/>
      <w:sz w:val="20"/>
      <w:szCs w:val="20"/>
    </w:rPr>
  </w:style>
  <w:style w:type="paragraph" w:customStyle="1" w:styleId="1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kern w:val="0"/>
    </w:rPr>
  </w:style>
  <w:style w:type="paragraph" w:customStyle="1" w:styleId="1708">
    <w:name w:val="正文楷体"/>
    <w:basedOn w:val="1"/>
    <w:qFormat/>
    <w:uiPriority w:val="99"/>
    <w:pPr>
      <w:spacing w:line="240" w:lineRule="auto"/>
    </w:pPr>
    <w:rPr>
      <w:rFonts w:eastAsia="楷体_GB2312"/>
      <w:sz w:val="21"/>
    </w:rPr>
  </w:style>
  <w:style w:type="paragraph" w:customStyle="1" w:styleId="1709">
    <w:name w:val="xl88"/>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Arial Unicode MS" w:hAnsi="Arial Unicode MS"/>
      <w:b/>
      <w:bCs/>
      <w:kern w:val="0"/>
      <w:sz w:val="20"/>
      <w:szCs w:val="20"/>
    </w:rPr>
  </w:style>
  <w:style w:type="paragraph" w:customStyle="1" w:styleId="1710">
    <w:name w:val="数字编号列项（二级）"/>
    <w:basedOn w:val="1"/>
    <w:qFormat/>
    <w:uiPriority w:val="0"/>
    <w:pPr>
      <w:ind w:left="314" w:hanging="314" w:hangingChars="131"/>
      <w:jc w:val="left"/>
    </w:pPr>
    <w:rPr>
      <w:rFonts w:ascii="宋体" w:hAnsi="宋体"/>
      <w:snapToGrid w:val="0"/>
      <w:color w:val="000000"/>
      <w:kern w:val="0"/>
    </w:rPr>
  </w:style>
  <w:style w:type="paragraph" w:customStyle="1" w:styleId="1711">
    <w:name w:val="正文图"/>
    <w:basedOn w:val="1"/>
    <w:qFormat/>
    <w:uiPriority w:val="0"/>
    <w:pPr>
      <w:spacing w:line="240" w:lineRule="auto"/>
      <w:jc w:val="center"/>
      <w:textAlignment w:val="baseline"/>
    </w:pPr>
    <w:rPr>
      <w:rFonts w:ascii="宋体"/>
      <w:kern w:val="0"/>
      <w:szCs w:val="20"/>
    </w:rPr>
  </w:style>
  <w:style w:type="paragraph" w:customStyle="1" w:styleId="1712">
    <w:name w:val="xl92"/>
    <w:basedOn w:val="1"/>
    <w:qFormat/>
    <w:uiPriority w:val="0"/>
    <w:pPr>
      <w:widowControl/>
      <w:pBdr>
        <w:left w:val="single" w:color="auto" w:sz="4"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1713">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Arial Unicode MS" w:hAnsi="Arial Unicode MS"/>
      <w:color w:val="FF0000"/>
      <w:kern w:val="0"/>
      <w:sz w:val="20"/>
      <w:szCs w:val="20"/>
    </w:rPr>
  </w:style>
  <w:style w:type="paragraph" w:customStyle="1" w:styleId="1714">
    <w:name w:val="样式 标题 3 + 五号 加粗 段前: 0 磅 段后: 0 磅 行距: 单倍行距"/>
    <w:basedOn w:val="5"/>
    <w:qFormat/>
    <w:uiPriority w:val="0"/>
    <w:pPr>
      <w:spacing w:before="0" w:after="0" w:line="240" w:lineRule="auto"/>
    </w:pPr>
    <w:rPr>
      <w:rFonts w:cs="宋体"/>
      <w:b w:val="0"/>
      <w:sz w:val="28"/>
      <w:szCs w:val="21"/>
    </w:rPr>
  </w:style>
  <w:style w:type="paragraph" w:customStyle="1" w:styleId="1715">
    <w:name w:val="表格结尾"/>
    <w:basedOn w:val="1"/>
    <w:qFormat/>
    <w:uiPriority w:val="0"/>
    <w:pPr>
      <w:spacing w:line="0" w:lineRule="atLeast"/>
    </w:pPr>
    <w:rPr>
      <w:kern w:val="0"/>
      <w:sz w:val="10"/>
    </w:rPr>
  </w:style>
  <w:style w:type="paragraph" w:customStyle="1" w:styleId="171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71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color w:val="000000"/>
      <w:kern w:val="0"/>
      <w:sz w:val="20"/>
      <w:szCs w:val="20"/>
    </w:rPr>
  </w:style>
  <w:style w:type="paragraph" w:customStyle="1" w:styleId="1718">
    <w:name w:val="样式 报告书表格 + 小五 底端: (单实线 自动设置  0.75 磅 行宽)"/>
    <w:basedOn w:val="1"/>
    <w:qFormat/>
    <w:uiPriority w:val="0"/>
    <w:pPr>
      <w:spacing w:line="400" w:lineRule="exact"/>
      <w:jc w:val="center"/>
      <w:textAlignment w:val="baseline"/>
    </w:pPr>
    <w:rPr>
      <w:rFonts w:eastAsia="仿宋_GB2312" w:cs="宋体"/>
      <w:kern w:val="0"/>
      <w:sz w:val="18"/>
      <w:szCs w:val="18"/>
    </w:rPr>
  </w:style>
  <w:style w:type="paragraph" w:customStyle="1" w:styleId="1719">
    <w:name w:val="Body Text 23"/>
    <w:basedOn w:val="1"/>
    <w:qFormat/>
    <w:uiPriority w:val="0"/>
    <w:pPr>
      <w:spacing w:line="312" w:lineRule="atLeast"/>
      <w:ind w:firstLine="567"/>
      <w:textAlignment w:val="baseline"/>
    </w:pPr>
    <w:rPr>
      <w:kern w:val="0"/>
      <w:sz w:val="28"/>
      <w:szCs w:val="20"/>
    </w:rPr>
  </w:style>
  <w:style w:type="paragraph" w:customStyle="1" w:styleId="172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1721">
    <w:name w:val="标准"/>
    <w:basedOn w:val="1"/>
    <w:qFormat/>
    <w:uiPriority w:val="0"/>
    <w:pPr>
      <w:textAlignment w:val="baseline"/>
    </w:pPr>
    <w:rPr>
      <w:rFonts w:ascii="宋体"/>
      <w:kern w:val="0"/>
      <w:sz w:val="28"/>
      <w:szCs w:val="20"/>
    </w:rPr>
  </w:style>
  <w:style w:type="paragraph" w:customStyle="1" w:styleId="172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1723">
    <w:name w:val="Char Char Char Char Char Char Char Char Char1"/>
    <w:basedOn w:val="1"/>
    <w:qFormat/>
    <w:uiPriority w:val="99"/>
    <w:pPr>
      <w:spacing w:line="240" w:lineRule="auto"/>
    </w:pPr>
    <w:rPr>
      <w:sz w:val="21"/>
      <w:szCs w:val="21"/>
    </w:rPr>
  </w:style>
  <w:style w:type="paragraph" w:customStyle="1" w:styleId="1724">
    <w:name w:val="样式 标题 4 + 黑体 小四 非加粗"/>
    <w:basedOn w:val="6"/>
    <w:qFormat/>
    <w:uiPriority w:val="0"/>
    <w:pPr>
      <w:spacing w:before="0" w:after="0" w:line="500" w:lineRule="exact"/>
      <w:textAlignment w:val="baseline"/>
    </w:pPr>
    <w:rPr>
      <w:rFonts w:ascii="宋体" w:hAnsi="宋体"/>
      <w:b w:val="0"/>
      <w:snapToGrid w:val="0"/>
      <w:color w:val="0000FF"/>
      <w:spacing w:val="10"/>
      <w:kern w:val="0"/>
      <w:sz w:val="28"/>
    </w:rPr>
  </w:style>
  <w:style w:type="paragraph" w:customStyle="1" w:styleId="1725">
    <w:name w:val="淮安正文样式 小四 行距: 1.5 倍行距 首行缩进:  2 字符"/>
    <w:basedOn w:val="1"/>
    <w:qFormat/>
    <w:uiPriority w:val="0"/>
    <w:pPr>
      <w:spacing w:line="240" w:lineRule="auto"/>
      <w:ind w:firstLine="480"/>
    </w:pPr>
    <w:rPr>
      <w:snapToGrid w:val="0"/>
      <w:color w:val="0000FF"/>
      <w:kern w:val="0"/>
      <w:szCs w:val="28"/>
    </w:rPr>
  </w:style>
  <w:style w:type="paragraph" w:customStyle="1" w:styleId="1726">
    <w:name w:val="a3"/>
    <w:basedOn w:val="1"/>
    <w:qFormat/>
    <w:uiPriority w:val="99"/>
    <w:pPr>
      <w:widowControl/>
      <w:spacing w:before="100" w:beforeAutospacing="1" w:after="100" w:afterAutospacing="1" w:line="240" w:lineRule="auto"/>
      <w:jc w:val="left"/>
    </w:pPr>
    <w:rPr>
      <w:rFonts w:ascii="宋体" w:hAnsi="宋体"/>
      <w:color w:val="000000"/>
      <w:kern w:val="0"/>
    </w:rPr>
  </w:style>
  <w:style w:type="paragraph" w:customStyle="1" w:styleId="172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728">
    <w:name w:val="图文字"/>
    <w:basedOn w:val="1"/>
    <w:qFormat/>
    <w:uiPriority w:val="0"/>
    <w:pPr>
      <w:spacing w:line="280" w:lineRule="exact"/>
      <w:jc w:val="center"/>
    </w:pPr>
    <w:rPr>
      <w:rFonts w:ascii="宋体" w:hAnsi="宋体"/>
      <w:sz w:val="21"/>
    </w:rPr>
  </w:style>
  <w:style w:type="paragraph" w:customStyle="1" w:styleId="1729">
    <w:name w:val="表的格式（小四）"/>
    <w:basedOn w:val="1"/>
    <w:qFormat/>
    <w:uiPriority w:val="0"/>
    <w:pPr>
      <w:spacing w:line="360" w:lineRule="atLeast"/>
      <w:jc w:val="center"/>
    </w:pPr>
    <w:rPr>
      <w:kern w:val="0"/>
      <w:szCs w:val="20"/>
    </w:rPr>
  </w:style>
  <w:style w:type="paragraph" w:customStyle="1" w:styleId="1730">
    <w:name w:val="表题1312"/>
    <w:basedOn w:val="22"/>
    <w:qFormat/>
    <w:uiPriority w:val="99"/>
    <w:pPr>
      <w:tabs>
        <w:tab w:val="clear" w:pos="10467"/>
        <w:tab w:val="clear" w:pos="13095"/>
      </w:tabs>
      <w:adjustRightInd/>
      <w:snapToGrid/>
    </w:pPr>
    <w:rPr>
      <w:rFonts w:ascii="黑体" w:eastAsia="黑体"/>
    </w:rPr>
  </w:style>
  <w:style w:type="paragraph" w:customStyle="1" w:styleId="1731">
    <w:name w:val="样式 标题 3 + 黑色 Char Char Char Char"/>
    <w:basedOn w:val="5"/>
    <w:qFormat/>
    <w:uiPriority w:val="0"/>
    <w:pPr>
      <w:keepNext w:val="0"/>
      <w:keepLines w:val="0"/>
      <w:tabs>
        <w:tab w:val="left" w:pos="993"/>
        <w:tab w:val="left" w:pos="1260"/>
      </w:tabs>
      <w:spacing w:before="0" w:after="0"/>
      <w:outlineLvl w:val="9"/>
    </w:pPr>
    <w:rPr>
      <w:b w:val="0"/>
      <w:color w:val="000000"/>
      <w:sz w:val="28"/>
    </w:rPr>
  </w:style>
  <w:style w:type="paragraph" w:customStyle="1" w:styleId="1732">
    <w:name w:val="Char Char Char1 Char Char Char Char Char Char Char Char Char Char Char Char Char Char Char1 Char Char Char Char Char Char Char Char Char Char Char Char"/>
    <w:basedOn w:val="1"/>
    <w:qFormat/>
    <w:uiPriority w:val="0"/>
    <w:pPr>
      <w:spacing w:line="240" w:lineRule="auto"/>
    </w:pPr>
    <w:rPr>
      <w:sz w:val="21"/>
      <w:szCs w:val="21"/>
    </w:rPr>
  </w:style>
  <w:style w:type="paragraph" w:customStyle="1" w:styleId="1733">
    <w:name w:val="BG1"/>
    <w:basedOn w:val="1"/>
    <w:qFormat/>
    <w:uiPriority w:val="99"/>
    <w:pPr>
      <w:pBdr>
        <w:top w:val="single" w:color="auto" w:sz="4" w:space="1"/>
      </w:pBdr>
      <w:spacing w:line="240" w:lineRule="auto"/>
      <w:ind w:left="-17" w:hanging="126"/>
      <w:jc w:val="center"/>
    </w:pPr>
    <w:rPr>
      <w:sz w:val="21"/>
      <w:szCs w:val="21"/>
    </w:rPr>
  </w:style>
  <w:style w:type="paragraph" w:customStyle="1" w:styleId="1734">
    <w:name w:val="Char2 Char Char Char Char Char Char"/>
    <w:basedOn w:val="1"/>
    <w:qFormat/>
    <w:uiPriority w:val="0"/>
    <w:pPr>
      <w:spacing w:line="240" w:lineRule="auto"/>
    </w:pPr>
  </w:style>
  <w:style w:type="paragraph" w:customStyle="1" w:styleId="1735">
    <w:name w:val="Char4 Char Char Char Char Char Char Char Char Char Char Char Char"/>
    <w:basedOn w:val="1"/>
    <w:qFormat/>
    <w:uiPriority w:val="0"/>
    <w:pPr>
      <w:spacing w:line="240" w:lineRule="exact"/>
      <w:ind w:firstLine="200"/>
    </w:pPr>
    <w:rPr>
      <w:sz w:val="28"/>
      <w:szCs w:val="28"/>
    </w:rPr>
  </w:style>
  <w:style w:type="paragraph" w:customStyle="1" w:styleId="1736">
    <w:name w:val="字元 字元 字元 字元 字元"/>
    <w:basedOn w:val="1"/>
    <w:qFormat/>
    <w:uiPriority w:val="0"/>
    <w:pPr>
      <w:ind w:firstLine="200"/>
    </w:pPr>
    <w:rPr>
      <w:rFonts w:ascii="宋体" w:hAnsi="宋体"/>
    </w:rPr>
  </w:style>
  <w:style w:type="paragraph" w:customStyle="1" w:styleId="1737">
    <w:name w:val="表头文字"/>
    <w:basedOn w:val="1"/>
    <w:qFormat/>
    <w:uiPriority w:val="0"/>
    <w:pPr>
      <w:widowControl/>
      <w:jc w:val="center"/>
      <w:textAlignment w:val="baseline"/>
    </w:pPr>
    <w:rPr>
      <w:rFonts w:ascii="黑体" w:hAnsi="宋体" w:eastAsia="黑体"/>
      <w:b/>
      <w:kern w:val="0"/>
    </w:rPr>
  </w:style>
  <w:style w:type="paragraph" w:customStyle="1" w:styleId="1738">
    <w:name w:val="表格文字－小四"/>
    <w:basedOn w:val="1"/>
    <w:qFormat/>
    <w:uiPriority w:val="0"/>
    <w:pPr>
      <w:spacing w:line="240" w:lineRule="auto"/>
      <w:jc w:val="center"/>
    </w:pPr>
    <w:rPr>
      <w:rFonts w:ascii="Arial Unicode MS" w:hAnsi="Arial" w:eastAsia="Arial Unicode MS" w:cs="Arial Unicode MS"/>
      <w:spacing w:val="12"/>
      <w:kern w:val="0"/>
      <w:sz w:val="21"/>
    </w:rPr>
  </w:style>
  <w:style w:type="paragraph" w:customStyle="1" w:styleId="1739">
    <w:name w:val="Char Char Char Char Char Char Char Char"/>
    <w:basedOn w:val="1"/>
    <w:qFormat/>
    <w:uiPriority w:val="0"/>
    <w:pPr>
      <w:spacing w:line="240" w:lineRule="auto"/>
    </w:pPr>
    <w:rPr>
      <w:sz w:val="21"/>
      <w:szCs w:val="21"/>
    </w:rPr>
  </w:style>
  <w:style w:type="paragraph" w:customStyle="1" w:styleId="1740">
    <w:name w:val="表小四字"/>
    <w:basedOn w:val="1"/>
    <w:qFormat/>
    <w:uiPriority w:val="0"/>
    <w:pPr>
      <w:spacing w:line="240" w:lineRule="auto"/>
      <w:jc w:val="center"/>
    </w:pPr>
    <w:rPr>
      <w:kern w:val="0"/>
      <w:szCs w:val="21"/>
    </w:rPr>
  </w:style>
  <w:style w:type="paragraph" w:customStyle="1" w:styleId="1741">
    <w:name w:val="正文图五"/>
    <w:basedOn w:val="1"/>
    <w:qFormat/>
    <w:uiPriority w:val="0"/>
    <w:pPr>
      <w:spacing w:line="240" w:lineRule="auto"/>
      <w:jc w:val="center"/>
    </w:pPr>
    <w:rPr>
      <w:rFonts w:ascii="Arial" w:hAnsi="Arial" w:eastAsia="仿宋_GB2312"/>
      <w:snapToGrid w:val="0"/>
      <w:spacing w:val="6"/>
      <w:sz w:val="21"/>
      <w:szCs w:val="21"/>
    </w:rPr>
  </w:style>
  <w:style w:type="paragraph" w:customStyle="1" w:styleId="1742">
    <w:name w:val="Date1"/>
    <w:basedOn w:val="1"/>
    <w:next w:val="1"/>
    <w:qFormat/>
    <w:uiPriority w:val="0"/>
    <w:pPr>
      <w:spacing w:line="240" w:lineRule="auto"/>
      <w:textAlignment w:val="baseline"/>
    </w:pPr>
    <w:rPr>
      <w:sz w:val="21"/>
      <w:szCs w:val="20"/>
    </w:rPr>
  </w:style>
  <w:style w:type="paragraph" w:customStyle="1" w:styleId="1743">
    <w:name w:val="Char132"/>
    <w:basedOn w:val="1"/>
    <w:qFormat/>
    <w:uiPriority w:val="99"/>
    <w:pPr>
      <w:spacing w:line="240" w:lineRule="auto"/>
      <w:ind w:left="-48"/>
    </w:pPr>
    <w:rPr>
      <w:sz w:val="21"/>
    </w:rPr>
  </w:style>
  <w:style w:type="paragraph" w:customStyle="1" w:styleId="1744">
    <w:name w:val="Char Char Char Char1 Char Char Char27"/>
    <w:basedOn w:val="1"/>
    <w:qFormat/>
    <w:uiPriority w:val="99"/>
    <w:pPr>
      <w:widowControl/>
      <w:spacing w:after="160" w:line="240" w:lineRule="exact"/>
      <w:jc w:val="left"/>
    </w:pPr>
    <w:rPr>
      <w:rFonts w:ascii="Verdana" w:hAnsi="Verdana"/>
      <w:kern w:val="0"/>
      <w:sz w:val="20"/>
      <w:szCs w:val="20"/>
      <w:lang w:eastAsia="en-US"/>
    </w:rPr>
  </w:style>
  <w:style w:type="paragraph" w:customStyle="1" w:styleId="1745">
    <w:name w:val="Char Char Char1 Char Char Char1 Char Char Char1 Char Char Char Char2"/>
    <w:basedOn w:val="1"/>
    <w:qFormat/>
    <w:uiPriority w:val="0"/>
    <w:pPr>
      <w:spacing w:line="240" w:lineRule="exact"/>
      <w:ind w:firstLine="200"/>
    </w:pPr>
    <w:rPr>
      <w:sz w:val="28"/>
      <w:szCs w:val="28"/>
    </w:rPr>
  </w:style>
  <w:style w:type="paragraph" w:customStyle="1" w:styleId="1746">
    <w:name w:val="图框文"/>
    <w:basedOn w:val="1"/>
    <w:qFormat/>
    <w:uiPriority w:val="0"/>
    <w:pPr>
      <w:spacing w:line="240" w:lineRule="auto"/>
      <w:ind w:left="-57" w:right="-57"/>
      <w:jc w:val="center"/>
    </w:pPr>
    <w:rPr>
      <w:rFonts w:ascii="宋体" w:hAnsi="Arial Black"/>
      <w:szCs w:val="20"/>
    </w:rPr>
  </w:style>
  <w:style w:type="paragraph" w:customStyle="1" w:styleId="1747">
    <w:name w:val="表题124"/>
    <w:basedOn w:val="22"/>
    <w:qFormat/>
    <w:uiPriority w:val="99"/>
    <w:pPr>
      <w:tabs>
        <w:tab w:val="clear" w:pos="10467"/>
        <w:tab w:val="clear" w:pos="13095"/>
      </w:tabs>
      <w:adjustRightInd/>
      <w:snapToGrid/>
    </w:pPr>
    <w:rPr>
      <w:rFonts w:ascii="黑体" w:eastAsia="黑体"/>
      <w:b w:val="0"/>
    </w:rPr>
  </w:style>
  <w:style w:type="paragraph" w:customStyle="1" w:styleId="1748">
    <w:name w:val="Char812"/>
    <w:basedOn w:val="1"/>
    <w:qFormat/>
    <w:uiPriority w:val="99"/>
    <w:pPr>
      <w:spacing w:line="240" w:lineRule="auto"/>
      <w:ind w:left="-48"/>
    </w:pPr>
    <w:rPr>
      <w:sz w:val="21"/>
    </w:rPr>
  </w:style>
  <w:style w:type="paragraph" w:customStyle="1" w:styleId="1749">
    <w:name w:val="9 Char Char Char1"/>
    <w:basedOn w:val="1"/>
    <w:qFormat/>
    <w:uiPriority w:val="0"/>
    <w:pPr>
      <w:spacing w:line="240" w:lineRule="exact"/>
      <w:ind w:firstLine="200"/>
    </w:pPr>
    <w:rPr>
      <w:sz w:val="28"/>
      <w:szCs w:val="28"/>
    </w:rPr>
  </w:style>
  <w:style w:type="paragraph" w:customStyle="1" w:styleId="1750">
    <w:name w:val="ST20_1"/>
    <w:basedOn w:val="1"/>
    <w:qFormat/>
    <w:uiPriority w:val="0"/>
    <w:pPr>
      <w:autoSpaceDE w:val="0"/>
      <w:autoSpaceDN w:val="0"/>
      <w:spacing w:line="312" w:lineRule="atLeast"/>
      <w:jc w:val="center"/>
      <w:textAlignment w:val="baseline"/>
    </w:pPr>
    <w:rPr>
      <w:rFonts w:ascii="宋体" w:hAnsi="Tms Rmn"/>
      <w:kern w:val="0"/>
      <w:szCs w:val="20"/>
    </w:rPr>
  </w:style>
  <w:style w:type="paragraph" w:customStyle="1" w:styleId="1751">
    <w:name w:val="居中"/>
    <w:basedOn w:val="1"/>
    <w:qFormat/>
    <w:uiPriority w:val="0"/>
    <w:pPr>
      <w:spacing w:line="440" w:lineRule="exact"/>
      <w:jc w:val="center"/>
    </w:pPr>
    <w:rPr>
      <w:szCs w:val="20"/>
    </w:rPr>
  </w:style>
  <w:style w:type="paragraph" w:customStyle="1" w:styleId="1752">
    <w:name w:val="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753">
    <w:name w:val="9 Char Char Char4"/>
    <w:basedOn w:val="1"/>
    <w:qFormat/>
    <w:uiPriority w:val="0"/>
    <w:pPr>
      <w:spacing w:line="240" w:lineRule="exact"/>
      <w:ind w:firstLine="200"/>
    </w:pPr>
    <w:rPr>
      <w:sz w:val="28"/>
      <w:szCs w:val="28"/>
    </w:rPr>
  </w:style>
  <w:style w:type="paragraph" w:customStyle="1" w:styleId="1754">
    <w:name w:val="样式 报告书表格 + 居中1"/>
    <w:basedOn w:val="241"/>
    <w:qFormat/>
    <w:uiPriority w:val="0"/>
    <w:pPr>
      <w:spacing w:line="400" w:lineRule="exact"/>
    </w:pPr>
    <w:rPr>
      <w:rFonts w:cs="宋体"/>
      <w:color w:val="000000"/>
    </w:rPr>
  </w:style>
  <w:style w:type="paragraph" w:customStyle="1" w:styleId="1755">
    <w:name w:val="小五 Char"/>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paragraph" w:customStyle="1" w:styleId="1756">
    <w:name w:val="Char332"/>
    <w:basedOn w:val="1"/>
    <w:qFormat/>
    <w:uiPriority w:val="99"/>
    <w:pPr>
      <w:spacing w:line="240" w:lineRule="auto"/>
      <w:ind w:left="-48"/>
    </w:pPr>
    <w:rPr>
      <w:sz w:val="21"/>
    </w:rPr>
  </w:style>
  <w:style w:type="paragraph" w:customStyle="1" w:styleId="1757">
    <w:name w:val="样式 样式 首行缩进:  2 字符 + 首行缩进:  2 字符2"/>
    <w:basedOn w:val="1"/>
    <w:qFormat/>
    <w:uiPriority w:val="0"/>
    <w:pPr>
      <w:spacing w:line="440" w:lineRule="exact"/>
      <w:ind w:firstLine="584"/>
    </w:pPr>
    <w:rPr>
      <w:rFonts w:eastAsia="楷体_GB2312"/>
      <w:spacing w:val="6"/>
      <w:kern w:val="0"/>
      <w:sz w:val="28"/>
      <w:szCs w:val="28"/>
    </w:rPr>
  </w:style>
  <w:style w:type="paragraph" w:customStyle="1" w:styleId="1758">
    <w:name w:val="默认段落字体 Para Char412"/>
    <w:basedOn w:val="1"/>
    <w:next w:val="1"/>
    <w:qFormat/>
    <w:uiPriority w:val="99"/>
    <w:pPr>
      <w:spacing w:line="480" w:lineRule="exact"/>
      <w:ind w:firstLine="200"/>
      <w:jc w:val="left"/>
    </w:pPr>
    <w:rPr>
      <w:rFonts w:ascii="宋体" w:hAnsi="宋体" w:eastAsia="汉鼎简书宋" w:cs="宋体"/>
      <w:sz w:val="28"/>
    </w:rPr>
  </w:style>
  <w:style w:type="paragraph" w:customStyle="1" w:styleId="1759">
    <w:name w:val="Char Char Char Char Char Char Char48"/>
    <w:basedOn w:val="1"/>
    <w:qFormat/>
    <w:uiPriority w:val="99"/>
    <w:pPr>
      <w:tabs>
        <w:tab w:val="right" w:leader="middleDot" w:pos="600"/>
      </w:tabs>
      <w:spacing w:line="240" w:lineRule="auto"/>
    </w:pPr>
    <w:rPr>
      <w:rFonts w:ascii="仿宋_GB2312" w:eastAsia="仿宋_GB2312"/>
      <w:sz w:val="30"/>
      <w:szCs w:val="30"/>
    </w:rPr>
  </w:style>
  <w:style w:type="paragraph" w:customStyle="1" w:styleId="1760">
    <w:name w:val="9 Char Char Char6 Char"/>
    <w:basedOn w:val="1"/>
    <w:qFormat/>
    <w:uiPriority w:val="0"/>
    <w:pPr>
      <w:spacing w:line="240" w:lineRule="exact"/>
      <w:ind w:firstLine="200"/>
    </w:pPr>
    <w:rPr>
      <w:sz w:val="28"/>
      <w:szCs w:val="28"/>
    </w:rPr>
  </w:style>
  <w:style w:type="paragraph" w:customStyle="1" w:styleId="1761">
    <w:name w:val="b14-1-no"/>
    <w:basedOn w:val="1"/>
    <w:qFormat/>
    <w:uiPriority w:val="0"/>
    <w:pPr>
      <w:widowControl/>
      <w:spacing w:before="100" w:beforeAutospacing="1" w:after="100" w:afterAutospacing="1" w:line="270" w:lineRule="atLeast"/>
      <w:jc w:val="left"/>
    </w:pPr>
    <w:rPr>
      <w:rFonts w:ascii="Calibri" w:hAnsi="Calibri" w:eastAsia="Arial Unicode MS" w:cs="Arial Unicode MS"/>
      <w:color w:val="2E2E2E"/>
      <w:kern w:val="0"/>
      <w:sz w:val="20"/>
      <w:szCs w:val="20"/>
    </w:rPr>
  </w:style>
  <w:style w:type="paragraph" w:customStyle="1" w:styleId="1762">
    <w:name w:val="数据来源"/>
    <w:basedOn w:val="1"/>
    <w:qFormat/>
    <w:uiPriority w:val="0"/>
    <w:pPr>
      <w:spacing w:line="280" w:lineRule="exact"/>
    </w:pPr>
    <w:rPr>
      <w:rFonts w:hAnsi="宋体" w:eastAsia="楷体_GB2312" w:cs="宋体"/>
      <w:sz w:val="21"/>
      <w:szCs w:val="20"/>
    </w:rPr>
  </w:style>
  <w:style w:type="paragraph" w:customStyle="1" w:styleId="1763">
    <w:name w:val="表内5中411"/>
    <w:basedOn w:val="1"/>
    <w:qFormat/>
    <w:uiPriority w:val="99"/>
    <w:pPr>
      <w:spacing w:line="240" w:lineRule="auto"/>
      <w:jc w:val="center"/>
    </w:pPr>
    <w:rPr>
      <w:rFonts w:ascii="宋体"/>
      <w:bCs/>
      <w:sz w:val="21"/>
      <w:szCs w:val="20"/>
    </w:rPr>
  </w:style>
  <w:style w:type="paragraph" w:customStyle="1" w:styleId="1764">
    <w:name w:val="谏壁表头"/>
    <w:basedOn w:val="335"/>
    <w:qFormat/>
    <w:uiPriority w:val="0"/>
    <w:pPr>
      <w:ind w:firstLine="482"/>
      <w:jc w:val="center"/>
    </w:pPr>
    <w:rPr>
      <w:b/>
    </w:rPr>
  </w:style>
  <w:style w:type="paragraph" w:customStyle="1" w:styleId="1765">
    <w:name w:val="图题412"/>
    <w:basedOn w:val="185"/>
    <w:next w:val="185"/>
    <w:qFormat/>
    <w:uiPriority w:val="99"/>
    <w:pPr>
      <w:ind w:firstLine="0"/>
      <w:jc w:val="center"/>
    </w:pPr>
    <w:rPr>
      <w:rFonts w:ascii="黑体" w:hAnsi="宋体" w:eastAsia="黑体"/>
      <w:b/>
      <w:bCs/>
    </w:rPr>
  </w:style>
  <w:style w:type="paragraph" w:customStyle="1" w:styleId="1766">
    <w:name w:val="OIC1 Company Name"/>
    <w:basedOn w:val="1"/>
    <w:qFormat/>
    <w:uiPriority w:val="99"/>
    <w:pPr>
      <w:spacing w:line="240" w:lineRule="auto"/>
      <w:jc w:val="center"/>
    </w:pPr>
    <w:rPr>
      <w:rFonts w:ascii="Arial Black" w:hAnsi="Arial Black"/>
      <w:color w:val="000080"/>
      <w:spacing w:val="40"/>
      <w:kern w:val="0"/>
      <w:sz w:val="28"/>
      <w:szCs w:val="20"/>
    </w:rPr>
  </w:style>
  <w:style w:type="paragraph" w:customStyle="1" w:styleId="1767">
    <w:name w:val="Char3 Char Char Char1 Char Char1 Char"/>
    <w:basedOn w:val="1"/>
    <w:qFormat/>
    <w:uiPriority w:val="0"/>
    <w:pPr>
      <w:spacing w:line="240" w:lineRule="auto"/>
    </w:pPr>
    <w:rPr>
      <w:sz w:val="21"/>
      <w:szCs w:val="21"/>
    </w:rPr>
  </w:style>
  <w:style w:type="paragraph" w:customStyle="1" w:styleId="1768">
    <w:name w:val="Char4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769">
    <w:name w:val="表格03"/>
    <w:basedOn w:val="1"/>
    <w:qFormat/>
    <w:uiPriority w:val="0"/>
    <w:pPr>
      <w:spacing w:line="400" w:lineRule="exact"/>
      <w:jc w:val="center"/>
    </w:pPr>
    <w:rPr>
      <w:sz w:val="21"/>
      <w:szCs w:val="21"/>
    </w:rPr>
  </w:style>
  <w:style w:type="paragraph" w:customStyle="1" w:styleId="1770">
    <w:name w:val="燕山正文1311"/>
    <w:basedOn w:val="1"/>
    <w:qFormat/>
    <w:uiPriority w:val="99"/>
    <w:pPr>
      <w:tabs>
        <w:tab w:val="left" w:pos="4680"/>
      </w:tabs>
      <w:ind w:firstLine="480"/>
    </w:pPr>
    <w:rPr>
      <w:rFonts w:ascii="宋体" w:hAnsi="宋体" w:cs="宋体"/>
      <w:bCs/>
      <w:color w:val="000000"/>
    </w:rPr>
  </w:style>
  <w:style w:type="paragraph" w:customStyle="1" w:styleId="1771">
    <w:name w:val="表格标题11"/>
    <w:basedOn w:val="60"/>
    <w:qFormat/>
    <w:uiPriority w:val="0"/>
    <w:pPr>
      <w:pBdr>
        <w:top w:val="single" w:color="auto" w:sz="4" w:space="1"/>
      </w:pBdr>
      <w:tabs>
        <w:tab w:val="left" w:pos="0"/>
      </w:tabs>
      <w:spacing w:after="0" w:line="240" w:lineRule="atLeast"/>
      <w:ind w:left="0" w:leftChars="0" w:firstLine="0"/>
      <w:jc w:val="center"/>
      <w:textAlignment w:val="baseline"/>
    </w:pPr>
    <w:rPr>
      <w:rFonts w:ascii="Times New Roman" w:eastAsia="宋体"/>
      <w:b/>
      <w:kern w:val="0"/>
      <w:sz w:val="24"/>
    </w:rPr>
  </w:style>
  <w:style w:type="paragraph" w:customStyle="1" w:styleId="1772">
    <w:name w:val="仿宋体"/>
    <w:basedOn w:val="1"/>
    <w:qFormat/>
    <w:uiPriority w:val="0"/>
    <w:pPr>
      <w:widowControl/>
      <w:spacing w:line="844" w:lineRule="atLeast"/>
      <w:ind w:firstLine="419"/>
      <w:textAlignment w:val="baseline"/>
    </w:pPr>
    <w:rPr>
      <w:rFonts w:eastAsia="仿宋_GB2312"/>
      <w:color w:val="000000"/>
      <w:kern w:val="0"/>
      <w:sz w:val="31"/>
      <w:szCs w:val="20"/>
    </w:rPr>
  </w:style>
  <w:style w:type="paragraph" w:customStyle="1" w:styleId="1773">
    <w:name w:val="p9"/>
    <w:basedOn w:val="1"/>
    <w:qFormat/>
    <w:uiPriority w:val="0"/>
    <w:pPr>
      <w:widowControl/>
      <w:spacing w:before="100" w:beforeAutospacing="1" w:after="100" w:afterAutospacing="1"/>
      <w:jc w:val="left"/>
    </w:pPr>
    <w:rPr>
      <w:rFonts w:ascii="宋体" w:hAnsi="宋体"/>
      <w:color w:val="635401"/>
      <w:kern w:val="0"/>
      <w:sz w:val="18"/>
      <w:szCs w:val="18"/>
    </w:rPr>
  </w:style>
  <w:style w:type="paragraph" w:customStyle="1" w:styleId="1774">
    <w:name w:val="表题314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1775">
    <w:name w:val="Char Char Char Char Char Char Char Char Char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1776">
    <w:name w:val="Char Char Char1 Char Char Char Char Char Char Char Char Char Char Char Char Char Char Char Char Char Char1 Char Char Char1"/>
    <w:basedOn w:val="1"/>
    <w:qFormat/>
    <w:uiPriority w:val="0"/>
    <w:pPr>
      <w:spacing w:line="240" w:lineRule="exact"/>
      <w:ind w:firstLine="200"/>
    </w:pPr>
    <w:rPr>
      <w:sz w:val="28"/>
      <w:szCs w:val="28"/>
    </w:rPr>
  </w:style>
  <w:style w:type="paragraph" w:customStyle="1" w:styleId="1777">
    <w:name w:val="Char Char Char1 Char Char Char1 Char Char Char"/>
    <w:basedOn w:val="1"/>
    <w:qFormat/>
    <w:uiPriority w:val="0"/>
    <w:pPr>
      <w:spacing w:line="240" w:lineRule="exact"/>
      <w:ind w:firstLine="200"/>
    </w:pPr>
    <w:rPr>
      <w:sz w:val="28"/>
      <w:szCs w:val="28"/>
    </w:rPr>
  </w:style>
  <w:style w:type="paragraph" w:customStyle="1" w:styleId="1778">
    <w:name w:val="xl103"/>
    <w:basedOn w:val="1"/>
    <w:qFormat/>
    <w:uiPriority w:val="0"/>
    <w:pPr>
      <w:widowControl/>
      <w:pBdr>
        <w:bottom w:val="single" w:color="auto" w:sz="8" w:space="0"/>
        <w:right w:val="single" w:color="auto" w:sz="8"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779">
    <w:name w:val="表内序号"/>
    <w:basedOn w:val="1"/>
    <w:qFormat/>
    <w:uiPriority w:val="0"/>
    <w:pPr>
      <w:widowControl/>
      <w:tabs>
        <w:tab w:val="left" w:pos="425"/>
      </w:tabs>
      <w:ind w:left="425" w:hanging="425"/>
      <w:jc w:val="left"/>
    </w:pPr>
    <w:rPr>
      <w:kern w:val="0"/>
      <w:szCs w:val="20"/>
    </w:rPr>
  </w:style>
  <w:style w:type="paragraph" w:customStyle="1" w:styleId="1780">
    <w:name w:val="页号"/>
    <w:basedOn w:val="55"/>
    <w:qFormat/>
    <w:uiPriority w:val="99"/>
    <w:pPr>
      <w:tabs>
        <w:tab w:val="center" w:pos="4320"/>
        <w:tab w:val="right" w:pos="8640"/>
        <w:tab w:val="clear" w:pos="4153"/>
        <w:tab w:val="clear" w:pos="8306"/>
      </w:tabs>
      <w:snapToGrid/>
      <w:spacing w:line="240" w:lineRule="auto"/>
      <w:jc w:val="center"/>
      <w:textAlignment w:val="baseline"/>
    </w:pPr>
    <w:rPr>
      <w:rFonts w:ascii="宋体" w:hAnsi="Arial"/>
      <w:spacing w:val="3"/>
      <w:kern w:val="24"/>
      <w:sz w:val="24"/>
      <w:szCs w:val="20"/>
    </w:rPr>
  </w:style>
  <w:style w:type="paragraph" w:customStyle="1" w:styleId="1781">
    <w:name w:val="?(??)3"/>
    <w:basedOn w:val="4"/>
    <w:next w:val="1"/>
    <w:qFormat/>
    <w:uiPriority w:val="0"/>
    <w:pPr>
      <w:autoSpaceDE w:val="0"/>
      <w:autoSpaceDN w:val="0"/>
      <w:spacing w:before="0" w:after="0" w:line="460" w:lineRule="exact"/>
      <w:jc w:val="left"/>
      <w:outlineLvl w:val="9"/>
    </w:pPr>
    <w:rPr>
      <w:bCs w:val="0"/>
      <w:spacing w:val="3"/>
      <w:kern w:val="24"/>
      <w:sz w:val="24"/>
      <w:szCs w:val="20"/>
    </w:rPr>
  </w:style>
  <w:style w:type="paragraph" w:customStyle="1" w:styleId="1782">
    <w:name w:val="附件14"/>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1783">
    <w:name w:val="Char Char Char Char Char Char Char Char Char Char1"/>
    <w:basedOn w:val="1"/>
    <w:qFormat/>
    <w:uiPriority w:val="0"/>
    <w:pPr>
      <w:spacing w:line="240" w:lineRule="exact"/>
      <w:ind w:firstLine="200"/>
    </w:pPr>
    <w:rPr>
      <w:sz w:val="28"/>
      <w:szCs w:val="28"/>
    </w:rPr>
  </w:style>
  <w:style w:type="paragraph" w:customStyle="1" w:styleId="1784">
    <w:name w:val="报告正文"/>
    <w:basedOn w:val="1"/>
    <w:qFormat/>
    <w:uiPriority w:val="0"/>
    <w:pPr>
      <w:ind w:firstLine="482"/>
    </w:pPr>
    <w:rPr>
      <w:szCs w:val="21"/>
    </w:rPr>
  </w:style>
  <w:style w:type="paragraph" w:customStyle="1" w:styleId="1785">
    <w:name w:val="项目"/>
    <w:basedOn w:val="1"/>
    <w:qFormat/>
    <w:uiPriority w:val="0"/>
    <w:pPr>
      <w:tabs>
        <w:tab w:val="left" w:pos="2040"/>
      </w:tabs>
      <w:spacing w:line="240" w:lineRule="auto"/>
      <w:ind w:left="2040" w:leftChars="800" w:hanging="360" w:hangingChars="200"/>
    </w:pPr>
    <w:rPr>
      <w:szCs w:val="20"/>
    </w:rPr>
  </w:style>
  <w:style w:type="paragraph" w:customStyle="1" w:styleId="1786">
    <w:name w:val="样式 表格标题 + 段后: 0.5 行1"/>
    <w:basedOn w:val="1"/>
    <w:qFormat/>
    <w:uiPriority w:val="0"/>
    <w:pPr>
      <w:pBdr>
        <w:top w:val="single" w:color="auto" w:sz="4" w:space="1"/>
      </w:pBdr>
      <w:spacing w:afterLines="50" w:line="480" w:lineRule="exact"/>
      <w:jc w:val="center"/>
      <w:textAlignment w:val="baseline"/>
    </w:pPr>
    <w:rPr>
      <w:rFonts w:cs="宋体"/>
      <w:b/>
      <w:bCs/>
      <w:kern w:val="0"/>
      <w:szCs w:val="20"/>
    </w:rPr>
  </w:style>
  <w:style w:type="paragraph" w:customStyle="1" w:styleId="1787">
    <w:name w:val="表"/>
    <w:basedOn w:val="65"/>
    <w:qFormat/>
    <w:uiPriority w:val="0"/>
    <w:pPr>
      <w:widowControl/>
      <w:spacing w:line="300" w:lineRule="exact"/>
    </w:pPr>
    <w:rPr>
      <w:rFonts w:ascii="Arial" w:hAnsi="Arial" w:eastAsia="宋体" w:cs="Arial"/>
      <w:b/>
      <w:sz w:val="21"/>
      <w:szCs w:val="24"/>
      <w:lang w:val="zh-CN"/>
    </w:rPr>
  </w:style>
  <w:style w:type="paragraph" w:customStyle="1" w:styleId="1788">
    <w:name w:val="Char40"/>
    <w:basedOn w:val="1"/>
    <w:qFormat/>
    <w:uiPriority w:val="99"/>
    <w:pPr>
      <w:spacing w:line="240" w:lineRule="auto"/>
      <w:ind w:left="-48"/>
    </w:pPr>
    <w:rPr>
      <w:sz w:val="21"/>
    </w:rPr>
  </w:style>
  <w:style w:type="paragraph" w:customStyle="1" w:styleId="1789">
    <w:name w:val="样式 表头 + 段前: 0.5 行 段后: 0.5 行"/>
    <w:basedOn w:val="1"/>
    <w:qFormat/>
    <w:uiPriority w:val="99"/>
    <w:pPr>
      <w:autoSpaceDE w:val="0"/>
      <w:autoSpaceDN w:val="0"/>
      <w:spacing w:before="100" w:beforeAutospacing="1" w:after="100" w:afterAutospacing="1" w:line="480" w:lineRule="exact"/>
    </w:pPr>
    <w:rPr>
      <w:b/>
      <w:sz w:val="21"/>
      <w:szCs w:val="20"/>
      <w:lang w:val="zh-CN"/>
    </w:rPr>
  </w:style>
  <w:style w:type="paragraph" w:customStyle="1" w:styleId="1790">
    <w:name w:val="表格001"/>
    <w:basedOn w:val="1"/>
    <w:qFormat/>
    <w:uiPriority w:val="99"/>
    <w:pPr>
      <w:spacing w:line="360" w:lineRule="exact"/>
      <w:jc w:val="center"/>
    </w:pPr>
    <w:rPr>
      <w:rFonts w:ascii="Arial" w:hAnsi="Arial"/>
      <w:szCs w:val="20"/>
    </w:rPr>
  </w:style>
  <w:style w:type="paragraph" w:customStyle="1" w:styleId="1791">
    <w:name w:val="Char Char Char Char4"/>
    <w:basedOn w:val="1"/>
    <w:qFormat/>
    <w:uiPriority w:val="0"/>
    <w:pPr>
      <w:spacing w:line="240" w:lineRule="auto"/>
      <w:ind w:firstLine="600" w:firstLineChars="250"/>
      <w:jc w:val="left"/>
    </w:pPr>
    <w:rPr>
      <w:rFonts w:ascii="宋体" w:hAnsi="宋体"/>
      <w:sz w:val="21"/>
    </w:rPr>
  </w:style>
  <w:style w:type="paragraph" w:customStyle="1" w:styleId="1792">
    <w:name w:val="样式 样式 标题 4 + 段前: 0.5 行 段后: 0.5 行 + 段前: 0.5 行 段后: 0.5 行5"/>
    <w:basedOn w:val="1203"/>
    <w:qFormat/>
    <w:uiPriority w:val="0"/>
  </w:style>
  <w:style w:type="paragraph" w:customStyle="1" w:styleId="1793">
    <w:name w:val="默认段落字体 Para Char"/>
    <w:basedOn w:val="1"/>
    <w:next w:val="1"/>
    <w:qFormat/>
    <w:uiPriority w:val="0"/>
    <w:pPr>
      <w:spacing w:line="320" w:lineRule="atLeast"/>
      <w:ind w:left="150" w:leftChars="150" w:firstLine="200"/>
      <w:jc w:val="center"/>
    </w:pPr>
    <w:rPr>
      <w:rFonts w:ascii="宋体" w:hAnsi="宋体" w:cs="宋体"/>
      <w:sz w:val="21"/>
    </w:rPr>
  </w:style>
  <w:style w:type="paragraph" w:customStyle="1" w:styleId="179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i/>
      <w:iCs/>
      <w:color w:val="000000"/>
      <w:kern w:val="0"/>
      <w:sz w:val="20"/>
      <w:szCs w:val="20"/>
    </w:rPr>
  </w:style>
  <w:style w:type="paragraph" w:customStyle="1" w:styleId="1795">
    <w:name w:val="9 Char"/>
    <w:basedOn w:val="1"/>
    <w:qFormat/>
    <w:uiPriority w:val="0"/>
    <w:pPr>
      <w:spacing w:line="240" w:lineRule="exact"/>
      <w:ind w:firstLine="200"/>
    </w:pPr>
    <w:rPr>
      <w:sz w:val="28"/>
      <w:szCs w:val="28"/>
    </w:rPr>
  </w:style>
  <w:style w:type="paragraph" w:customStyle="1" w:styleId="1796">
    <w:name w:val="xl43"/>
    <w:basedOn w:val="1"/>
    <w:qFormat/>
    <w:uiPriority w:val="0"/>
    <w:pPr>
      <w:widowControl/>
      <w:pBdr>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1797">
    <w:name w:val="大表格"/>
    <w:basedOn w:val="1586"/>
    <w:qFormat/>
    <w:uiPriority w:val="99"/>
    <w:pPr>
      <w:spacing w:line="480" w:lineRule="exact"/>
    </w:pPr>
    <w:rPr>
      <w:sz w:val="28"/>
    </w:rPr>
  </w:style>
  <w:style w:type="paragraph" w:customStyle="1" w:styleId="1798">
    <w:name w:val="xl49"/>
    <w:basedOn w:val="1"/>
    <w:qFormat/>
    <w:uiPriority w:val="0"/>
    <w:pPr>
      <w:widowControl/>
      <w:pBdr>
        <w:top w:val="single" w:color="auto" w:sz="4" w:space="0"/>
        <w:left w:val="single" w:color="auto" w:sz="4" w:space="0"/>
      </w:pBdr>
      <w:spacing w:before="100" w:beforeAutospacing="1" w:after="100" w:afterAutospacing="1" w:line="240" w:lineRule="auto"/>
      <w:jc w:val="center"/>
    </w:pPr>
    <w:rPr>
      <w:kern w:val="0"/>
      <w:sz w:val="20"/>
      <w:szCs w:val="20"/>
    </w:rPr>
  </w:style>
  <w:style w:type="paragraph" w:customStyle="1" w:styleId="1799">
    <w:name w:val="6"/>
    <w:basedOn w:val="1"/>
    <w:next w:val="21"/>
    <w:qFormat/>
    <w:uiPriority w:val="0"/>
    <w:pPr>
      <w:ind w:firstLine="200"/>
      <w:jc w:val="left"/>
    </w:pPr>
    <w:rPr>
      <w:rFonts w:ascii="仿宋_GB2312" w:eastAsia="仿宋_GB2312"/>
      <w:bCs/>
      <w:sz w:val="28"/>
      <w:szCs w:val="20"/>
    </w:rPr>
  </w:style>
  <w:style w:type="paragraph" w:customStyle="1" w:styleId="1800">
    <w:name w:val="xl53"/>
    <w:basedOn w:val="1"/>
    <w:qFormat/>
    <w:uiPriority w:val="0"/>
    <w:pPr>
      <w:widowControl/>
      <w:pBdr>
        <w:left w:val="single" w:color="auto" w:sz="4" w:space="0"/>
      </w:pBdr>
      <w:spacing w:before="100" w:beforeAutospacing="1" w:after="100" w:afterAutospacing="1" w:line="240" w:lineRule="auto"/>
      <w:jc w:val="center"/>
    </w:pPr>
    <w:rPr>
      <w:kern w:val="0"/>
      <w:sz w:val="20"/>
      <w:szCs w:val="20"/>
    </w:rPr>
  </w:style>
  <w:style w:type="paragraph" w:customStyle="1" w:styleId="1801">
    <w:name w:val="特点标题"/>
    <w:basedOn w:val="1"/>
    <w:next w:val="21"/>
    <w:qFormat/>
    <w:uiPriority w:val="0"/>
    <w:pPr>
      <w:spacing w:line="312" w:lineRule="auto"/>
      <w:ind w:firstLine="567"/>
      <w:textAlignment w:val="baseline"/>
    </w:pPr>
    <w:rPr>
      <w:kern w:val="0"/>
      <w:sz w:val="28"/>
      <w:szCs w:val="20"/>
    </w:rPr>
  </w:style>
  <w:style w:type="paragraph" w:customStyle="1" w:styleId="1802">
    <w:name w:val="附件312"/>
    <w:basedOn w:val="3"/>
    <w:next w:val="185"/>
    <w:qFormat/>
    <w:uiPriority w:val="99"/>
    <w:pPr>
      <w:tabs>
        <w:tab w:val="left" w:pos="1566"/>
      </w:tabs>
      <w:spacing w:after="120"/>
      <w:jc w:val="left"/>
    </w:pPr>
    <w:rPr>
      <w:rFonts w:ascii="黑体" w:hAnsi="宋体" w:eastAsia="黑体"/>
      <w:b w:val="0"/>
      <w:bCs w:val="0"/>
      <w:sz w:val="32"/>
      <w:szCs w:val="32"/>
    </w:rPr>
  </w:style>
  <w:style w:type="paragraph" w:customStyle="1" w:styleId="1803">
    <w:name w:val="font8"/>
    <w:basedOn w:val="1"/>
    <w:qFormat/>
    <w:uiPriority w:val="0"/>
    <w:pPr>
      <w:widowControl/>
      <w:spacing w:before="100" w:beforeAutospacing="1" w:after="100" w:afterAutospacing="1" w:line="240" w:lineRule="auto"/>
      <w:jc w:val="left"/>
    </w:pPr>
    <w:rPr>
      <w:rFonts w:ascii="宋体" w:hAnsi="宋体"/>
      <w:kern w:val="0"/>
      <w:sz w:val="20"/>
      <w:szCs w:val="20"/>
    </w:rPr>
  </w:style>
  <w:style w:type="paragraph" w:customStyle="1" w:styleId="180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1805">
    <w:name w:val="CYQ 正文四号字体样式1"/>
    <w:basedOn w:val="1"/>
    <w:qFormat/>
    <w:uiPriority w:val="0"/>
    <w:pPr>
      <w:spacing w:line="320" w:lineRule="atLeast"/>
      <w:ind w:firstLine="630" w:firstLineChars="225"/>
      <w:jc w:val="center"/>
    </w:pPr>
    <w:rPr>
      <w:color w:val="000000"/>
      <w:kern w:val="0"/>
      <w:sz w:val="28"/>
    </w:rPr>
  </w:style>
  <w:style w:type="paragraph" w:customStyle="1" w:styleId="1806">
    <w:name w:val="样式 表格标题 + 段后: 0.5 行"/>
    <w:basedOn w:val="1"/>
    <w:qFormat/>
    <w:uiPriority w:val="0"/>
    <w:pPr>
      <w:pBdr>
        <w:top w:val="single" w:color="auto" w:sz="4" w:space="1"/>
      </w:pBdr>
      <w:spacing w:line="324" w:lineRule="auto"/>
      <w:jc w:val="center"/>
      <w:textAlignment w:val="baseline"/>
    </w:pPr>
    <w:rPr>
      <w:rFonts w:eastAsia="黑体" w:cs="宋体"/>
      <w:b/>
      <w:bCs/>
      <w:kern w:val="0"/>
      <w:szCs w:val="20"/>
    </w:rPr>
  </w:style>
  <w:style w:type="paragraph" w:customStyle="1" w:styleId="1807">
    <w:name w:val="CYQ标题4 样式1"/>
    <w:basedOn w:val="6"/>
    <w:qFormat/>
    <w:uiPriority w:val="0"/>
    <w:pPr>
      <w:keepLines w:val="0"/>
      <w:spacing w:before="0" w:after="0" w:line="320" w:lineRule="atLeast"/>
      <w:ind w:firstLine="560"/>
    </w:pPr>
    <w:rPr>
      <w:bCs w:val="0"/>
      <w:kern w:val="0"/>
      <w:sz w:val="28"/>
    </w:rPr>
  </w:style>
  <w:style w:type="paragraph" w:customStyle="1" w:styleId="1808">
    <w:name w:val="燕山正文24"/>
    <w:basedOn w:val="1"/>
    <w:qFormat/>
    <w:uiPriority w:val="99"/>
    <w:pPr>
      <w:tabs>
        <w:tab w:val="left" w:pos="4680"/>
      </w:tabs>
      <w:spacing w:line="480" w:lineRule="exact"/>
    </w:pPr>
    <w:rPr>
      <w:rFonts w:ascii="宋体" w:cs="宋体"/>
    </w:rPr>
  </w:style>
  <w:style w:type="paragraph" w:customStyle="1" w:styleId="1809">
    <w:name w:val="正文（首行缩进）"/>
    <w:basedOn w:val="1"/>
    <w:qFormat/>
    <w:uiPriority w:val="0"/>
    <w:pPr>
      <w:spacing w:line="320" w:lineRule="atLeast"/>
      <w:ind w:firstLine="200"/>
      <w:jc w:val="center"/>
    </w:pPr>
    <w:rPr>
      <w:snapToGrid w:val="0"/>
      <w:kern w:val="0"/>
      <w:sz w:val="21"/>
    </w:rPr>
  </w:style>
  <w:style w:type="paragraph" w:customStyle="1" w:styleId="1810">
    <w:name w:val="调研内容"/>
    <w:basedOn w:val="1"/>
    <w:qFormat/>
    <w:uiPriority w:val="0"/>
    <w:pPr>
      <w:spacing w:line="320" w:lineRule="atLeast"/>
      <w:jc w:val="center"/>
    </w:pPr>
    <w:rPr>
      <w:sz w:val="21"/>
      <w:szCs w:val="20"/>
    </w:rPr>
  </w:style>
  <w:style w:type="paragraph" w:customStyle="1" w:styleId="1811">
    <w:name w:val="样式 样式 样式 标题 4 + 段前: 0.5 行 段后: 0.5 行 + 段前: 0.5 行 段后: 0.5 行4 + 段前:..."/>
    <w:qFormat/>
    <w:uiPriority w:val="0"/>
    <w:pPr>
      <w:tabs>
        <w:tab w:val="left" w:pos="1680"/>
      </w:tabs>
      <w:spacing w:before="120" w:after="120"/>
      <w:ind w:left="1680"/>
    </w:pPr>
    <w:rPr>
      <w:rFonts w:ascii="Times New Roman" w:hAnsi="Times New Roman" w:eastAsia="宋体" w:cs="Times New Roman"/>
      <w:lang w:val="en-US" w:eastAsia="zh-CN" w:bidi="ar-SA"/>
    </w:rPr>
  </w:style>
  <w:style w:type="paragraph" w:customStyle="1" w:styleId="1812">
    <w:name w:val="样式 样式 标题 4 + 段前: 0.5 行 段后: 0.5 行 + 段前: 0.5 行 段后: 0.5 行4"/>
    <w:basedOn w:val="1203"/>
    <w:qFormat/>
    <w:uiPriority w:val="0"/>
  </w:style>
  <w:style w:type="paragraph" w:customStyle="1" w:styleId="1813">
    <w:name w:val="10"/>
    <w:basedOn w:val="1"/>
    <w:next w:val="21"/>
    <w:qFormat/>
    <w:uiPriority w:val="0"/>
    <w:pPr>
      <w:ind w:firstLine="420"/>
    </w:pPr>
    <w:rPr>
      <w:rFonts w:ascii="仿宋_GB2312" w:eastAsia="仿宋_GB2312"/>
      <w:sz w:val="28"/>
      <w:szCs w:val="20"/>
    </w:rPr>
  </w:style>
  <w:style w:type="paragraph" w:customStyle="1" w:styleId="1814">
    <w:name w:val="gb1"/>
    <w:basedOn w:val="1"/>
    <w:qFormat/>
    <w:uiPriority w:val="0"/>
    <w:pPr>
      <w:widowControl/>
      <w:tabs>
        <w:tab w:val="left" w:pos="227"/>
      </w:tabs>
      <w:overflowPunct w:val="0"/>
      <w:autoSpaceDE w:val="0"/>
      <w:autoSpaceDN w:val="0"/>
      <w:spacing w:before="120" w:after="120" w:line="240" w:lineRule="auto"/>
      <w:jc w:val="left"/>
      <w:textAlignment w:val="baseline"/>
    </w:pPr>
    <w:rPr>
      <w:rFonts w:ascii="Arial" w:hAnsi="Arial" w:eastAsia="仿宋体"/>
      <w:kern w:val="0"/>
      <w:sz w:val="21"/>
      <w:szCs w:val="20"/>
    </w:rPr>
  </w:style>
  <w:style w:type="paragraph" w:customStyle="1" w:styleId="1815">
    <w:name w:val="陶 标题1"/>
    <w:basedOn w:val="1"/>
    <w:qFormat/>
    <w:uiPriority w:val="0"/>
    <w:pPr>
      <w:jc w:val="left"/>
    </w:pPr>
    <w:rPr>
      <w:rFonts w:ascii="黑体" w:hAnsi="宋体" w:eastAsia="黑体"/>
      <w:b/>
    </w:rPr>
  </w:style>
  <w:style w:type="paragraph" w:customStyle="1" w:styleId="1816">
    <w:name w:val="样式 表格文字 + 小四"/>
    <w:basedOn w:val="296"/>
    <w:qFormat/>
    <w:uiPriority w:val="0"/>
    <w:pPr>
      <w:autoSpaceDE w:val="0"/>
      <w:autoSpaceDN w:val="0"/>
      <w:spacing w:line="240" w:lineRule="auto"/>
      <w:ind w:left="14" w:leftChars="-38" w:right="-80" w:rightChars="-38" w:hanging="94" w:hangingChars="45"/>
      <w:textAlignment w:val="baseline"/>
    </w:pPr>
    <w:rPr>
      <w:rFonts w:ascii="宋体" w:hAnsi="宋体"/>
      <w:color w:val="000000"/>
      <w:kern w:val="0"/>
      <w:sz w:val="24"/>
      <w:szCs w:val="21"/>
    </w:rPr>
  </w:style>
  <w:style w:type="paragraph" w:customStyle="1" w:styleId="1817">
    <w:name w:val="样式 表格文字 + (西文) 宋体 (中文) 华文仿宋 小四 黑色1"/>
    <w:basedOn w:val="296"/>
    <w:qFormat/>
    <w:uiPriority w:val="0"/>
    <w:pPr>
      <w:adjustRightInd/>
      <w:snapToGrid/>
      <w:spacing w:line="400" w:lineRule="exact"/>
    </w:pPr>
    <w:rPr>
      <w:rFonts w:ascii="宋体" w:hAnsi="宋体" w:cs="宋体"/>
      <w:color w:val="000000"/>
      <w:kern w:val="0"/>
    </w:rPr>
  </w:style>
  <w:style w:type="paragraph" w:customStyle="1" w:styleId="1818">
    <w:name w:val="xl87"/>
    <w:basedOn w:val="1"/>
    <w:qFormat/>
    <w:uiPriority w:val="0"/>
    <w:pPr>
      <w:widowControl/>
      <w:pBdr>
        <w:right w:val="single" w:color="auto" w:sz="4" w:space="0"/>
      </w:pBdr>
      <w:spacing w:before="100" w:beforeAutospacing="1" w:after="100" w:afterAutospacing="1" w:line="240" w:lineRule="auto"/>
      <w:jc w:val="center"/>
    </w:pPr>
    <w:rPr>
      <w:rFonts w:ascii="Arial Unicode MS" w:hAnsi="Arial Unicode MS"/>
      <w:b/>
      <w:bCs/>
      <w:kern w:val="0"/>
      <w:sz w:val="20"/>
      <w:szCs w:val="20"/>
    </w:rPr>
  </w:style>
  <w:style w:type="paragraph" w:customStyle="1" w:styleId="1819">
    <w:name w:val="段标"/>
    <w:basedOn w:val="1"/>
    <w:qFormat/>
    <w:uiPriority w:val="0"/>
    <w:pPr>
      <w:widowControl/>
      <w:ind w:firstLine="567"/>
      <w:jc w:val="left"/>
      <w:textAlignment w:val="baseline"/>
    </w:pPr>
    <w:rPr>
      <w:kern w:val="0"/>
      <w:sz w:val="28"/>
      <w:szCs w:val="20"/>
    </w:rPr>
  </w:style>
  <w:style w:type="paragraph" w:customStyle="1" w:styleId="1820">
    <w:name w:val="表内文字小812"/>
    <w:basedOn w:val="1"/>
    <w:qFormat/>
    <w:uiPriority w:val="99"/>
    <w:pPr>
      <w:spacing w:line="240" w:lineRule="auto"/>
      <w:jc w:val="center"/>
    </w:pPr>
    <w:rPr>
      <w:rFonts w:ascii="宋体" w:hAnsi="Times" w:cs="宋体"/>
      <w:sz w:val="21"/>
      <w:szCs w:val="20"/>
    </w:rPr>
  </w:style>
  <w:style w:type="paragraph" w:customStyle="1" w:styleId="1821">
    <w:name w:val="xl91"/>
    <w:basedOn w:val="1"/>
    <w:qFormat/>
    <w:uiPriority w:val="0"/>
    <w:pPr>
      <w:widowControl/>
      <w:pBdr>
        <w:left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2">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1823">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b/>
      <w:bCs/>
      <w:color w:val="FF0000"/>
      <w:kern w:val="0"/>
      <w:sz w:val="20"/>
      <w:szCs w:val="20"/>
    </w:rPr>
  </w:style>
  <w:style w:type="paragraph" w:customStyle="1" w:styleId="182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1825">
    <w:name w:val="font15"/>
    <w:basedOn w:val="1"/>
    <w:qFormat/>
    <w:uiPriority w:val="0"/>
    <w:pPr>
      <w:widowControl/>
      <w:spacing w:before="100" w:beforeAutospacing="1" w:after="100" w:afterAutospacing="1" w:line="240" w:lineRule="auto"/>
      <w:jc w:val="left"/>
    </w:pPr>
    <w:rPr>
      <w:rFonts w:ascii="宋体" w:hAnsi="宋体" w:cs="Arial Unicode MS"/>
      <w:kern w:val="0"/>
      <w:sz w:val="21"/>
      <w:szCs w:val="21"/>
    </w:rPr>
  </w:style>
  <w:style w:type="paragraph" w:customStyle="1" w:styleId="182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color w:val="000000"/>
      <w:kern w:val="0"/>
      <w:sz w:val="20"/>
      <w:szCs w:val="20"/>
    </w:rPr>
  </w:style>
  <w:style w:type="paragraph" w:customStyle="1" w:styleId="1827">
    <w:name w:val="样式 表中文字 + 两端对齐"/>
    <w:basedOn w:val="1"/>
    <w:qFormat/>
    <w:uiPriority w:val="0"/>
    <w:pPr>
      <w:tabs>
        <w:tab w:val="left" w:pos="3286"/>
        <w:tab w:val="left" w:pos="8362"/>
      </w:tabs>
      <w:spacing w:line="320" w:lineRule="exact"/>
    </w:pPr>
    <w:rPr>
      <w:rFonts w:ascii="Arial" w:hAnsi="Arial" w:eastAsia="楷体_GB2312" w:cs="宋体"/>
      <w:sz w:val="21"/>
      <w:szCs w:val="21"/>
      <w:shd w:val="clear" w:color="auto" w:fill="FFFFFF"/>
    </w:rPr>
  </w:style>
  <w:style w:type="paragraph" w:customStyle="1" w:styleId="1828">
    <w:name w:val="样式 (西文) 仿宋_GB2312 (中文) 仿宋_GB2312 四号 首行缩进:  0.98 厘米 行距: 固定值 2..."/>
    <w:basedOn w:val="26"/>
    <w:next w:val="26"/>
    <w:qFormat/>
    <w:uiPriority w:val="0"/>
    <w:pPr>
      <w:shd w:val="clear" w:color="auto" w:fill="auto"/>
      <w:adjustRightInd/>
      <w:snapToGrid/>
      <w:spacing w:line="480" w:lineRule="exact"/>
      <w:ind w:firstLine="555"/>
    </w:pPr>
    <w:rPr>
      <w:rFonts w:ascii="仿宋_GB2312" w:eastAsia="仿宋_GB2312" w:cs="宋体"/>
      <w:sz w:val="44"/>
      <w:szCs w:val="20"/>
    </w:rPr>
  </w:style>
  <w:style w:type="paragraph" w:customStyle="1" w:styleId="182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rPr>
  </w:style>
  <w:style w:type="paragraph" w:customStyle="1" w:styleId="1830">
    <w:name w:val="表居中（中文）"/>
    <w:basedOn w:val="1"/>
    <w:qFormat/>
    <w:uiPriority w:val="0"/>
    <w:pPr>
      <w:spacing w:line="380" w:lineRule="atLeast"/>
      <w:jc w:val="center"/>
      <w:textAlignment w:val="baseline"/>
    </w:pPr>
    <w:rPr>
      <w:rFonts w:eastAsia="楷体_GB2312"/>
      <w:kern w:val="0"/>
      <w:sz w:val="21"/>
      <w:szCs w:val="20"/>
    </w:rPr>
  </w:style>
  <w:style w:type="paragraph" w:customStyle="1" w:styleId="1831">
    <w:name w:val="xl83"/>
    <w:basedOn w:val="1"/>
    <w:qFormat/>
    <w:uiPriority w:val="0"/>
    <w:pPr>
      <w:widowControl/>
      <w:pBdr>
        <w:left w:val="single" w:color="auto" w:sz="4" w:space="0"/>
        <w:bottom w:val="single" w:color="auto" w:sz="4" w:space="0"/>
        <w:right w:val="single" w:color="auto" w:sz="4" w:space="0"/>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1832">
    <w:name w:val="Char Char Char Char Char Char Char Char Char1 Char Char Char Char2"/>
    <w:basedOn w:val="1"/>
    <w:qFormat/>
    <w:uiPriority w:val="0"/>
    <w:pPr>
      <w:spacing w:line="240" w:lineRule="auto"/>
    </w:pPr>
    <w:rPr>
      <w:sz w:val="21"/>
      <w:szCs w:val="21"/>
    </w:rPr>
  </w:style>
  <w:style w:type="paragraph" w:customStyle="1" w:styleId="1833">
    <w:name w:val="样式 标题 3条标题1.1.1条标题1.1.11条标题1.1.12条标题1.1.13条标题1.1.111条标题1.1..."/>
    <w:basedOn w:val="5"/>
    <w:qFormat/>
    <w:uiPriority w:val="99"/>
    <w:pPr>
      <w:spacing w:before="0" w:after="0" w:line="480" w:lineRule="exact"/>
    </w:pPr>
    <w:rPr>
      <w:rFonts w:cs="宋体"/>
      <w:szCs w:val="24"/>
    </w:rPr>
  </w:style>
  <w:style w:type="paragraph" w:customStyle="1" w:styleId="1834">
    <w:name w:val="表文字524"/>
    <w:basedOn w:val="1"/>
    <w:qFormat/>
    <w:uiPriority w:val="99"/>
    <w:pPr>
      <w:spacing w:line="240" w:lineRule="auto"/>
      <w:jc w:val="left"/>
      <w:textAlignment w:val="baseline"/>
    </w:pPr>
    <w:rPr>
      <w:rFonts w:ascii="宋体"/>
      <w:kern w:val="0"/>
      <w:sz w:val="21"/>
      <w:szCs w:val="20"/>
    </w:rPr>
  </w:style>
  <w:style w:type="paragraph" w:customStyle="1" w:styleId="1835">
    <w:name w:val="样式11"/>
    <w:basedOn w:val="1"/>
    <w:qFormat/>
    <w:uiPriority w:val="99"/>
    <w:pPr>
      <w:tabs>
        <w:tab w:val="left" w:pos="720"/>
      </w:tabs>
      <w:spacing w:line="312" w:lineRule="auto"/>
      <w:ind w:left="720" w:hanging="720"/>
    </w:pPr>
    <w:rPr>
      <w:rFonts w:ascii="仿宋_GB2312" w:eastAsia="仿宋_GB2312"/>
      <w:sz w:val="28"/>
    </w:rPr>
  </w:style>
  <w:style w:type="paragraph" w:customStyle="1" w:styleId="1836">
    <w:name w:val="h"/>
    <w:basedOn w:val="1"/>
    <w:next w:val="1"/>
    <w:qFormat/>
    <w:uiPriority w:val="0"/>
    <w:pPr>
      <w:autoSpaceDE w:val="0"/>
      <w:autoSpaceDN w:val="0"/>
      <w:spacing w:before="100" w:after="100" w:line="240" w:lineRule="auto"/>
      <w:jc w:val="left"/>
    </w:pPr>
    <w:rPr>
      <w:rFonts w:ascii="宋体"/>
      <w:kern w:val="0"/>
    </w:rPr>
  </w:style>
  <w:style w:type="paragraph" w:customStyle="1" w:styleId="1837">
    <w:name w:val="正文222"/>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838">
    <w:name w:val="谏壁chen表格内文字"/>
    <w:basedOn w:val="1"/>
    <w:qFormat/>
    <w:uiPriority w:val="0"/>
    <w:pPr>
      <w:spacing w:line="0" w:lineRule="atLeast"/>
      <w:jc w:val="center"/>
    </w:pPr>
    <w:rPr>
      <w:sz w:val="21"/>
      <w:szCs w:val="21"/>
    </w:rPr>
  </w:style>
  <w:style w:type="paragraph" w:customStyle="1" w:styleId="1839">
    <w:name w:val="样式 左侧:  1.1 厘米 首行缩进:  1.92 厘米"/>
    <w:basedOn w:val="1"/>
    <w:qFormat/>
    <w:uiPriority w:val="0"/>
    <w:pPr>
      <w:spacing w:line="420" w:lineRule="exact"/>
      <w:ind w:firstLine="360" w:firstLineChars="150"/>
    </w:pPr>
    <w:rPr>
      <w:szCs w:val="20"/>
    </w:rPr>
  </w:style>
  <w:style w:type="paragraph" w:customStyle="1" w:styleId="1840">
    <w:name w:val="标题4312"/>
    <w:basedOn w:val="1"/>
    <w:qFormat/>
    <w:uiPriority w:val="99"/>
    <w:pPr>
      <w:spacing w:line="480" w:lineRule="exact"/>
      <w:jc w:val="center"/>
    </w:pPr>
    <w:rPr>
      <w:rFonts w:ascii="宋体" w:hAnsi="宋体" w:cs="宋体"/>
    </w:rPr>
  </w:style>
  <w:style w:type="paragraph" w:customStyle="1" w:styleId="1841">
    <w:name w:val="正文01"/>
    <w:basedOn w:val="1"/>
    <w:qFormat/>
    <w:uiPriority w:val="0"/>
    <w:pPr>
      <w:spacing w:before="40" w:line="420" w:lineRule="exact"/>
      <w:ind w:firstLine="200"/>
    </w:pPr>
    <w:rPr>
      <w:bCs/>
    </w:rPr>
  </w:style>
  <w:style w:type="paragraph" w:customStyle="1" w:styleId="1842">
    <w:name w:val="表1"/>
    <w:basedOn w:val="1"/>
    <w:qFormat/>
    <w:uiPriority w:val="99"/>
    <w:pPr>
      <w:spacing w:before="120" w:after="120" w:line="440" w:lineRule="exact"/>
      <w:jc w:val="center"/>
      <w:textAlignment w:val="baseline"/>
    </w:pPr>
    <w:rPr>
      <w:rFonts w:eastAsia="黑体"/>
      <w:spacing w:val="10"/>
      <w:kern w:val="0"/>
      <w:szCs w:val="20"/>
    </w:rPr>
  </w:style>
  <w:style w:type="paragraph" w:customStyle="1" w:styleId="1843">
    <w:name w:val="表内文字小26"/>
    <w:basedOn w:val="1"/>
    <w:qFormat/>
    <w:uiPriority w:val="99"/>
    <w:pPr>
      <w:spacing w:line="240" w:lineRule="auto"/>
      <w:jc w:val="center"/>
    </w:pPr>
    <w:rPr>
      <w:rFonts w:ascii="宋体" w:hAnsi="Times"/>
      <w:bCs/>
      <w:color w:val="000000"/>
      <w:sz w:val="21"/>
      <w:szCs w:val="20"/>
    </w:rPr>
  </w:style>
  <w:style w:type="paragraph" w:customStyle="1" w:styleId="1844">
    <w:name w:val="图题3"/>
    <w:basedOn w:val="185"/>
    <w:next w:val="185"/>
    <w:qFormat/>
    <w:uiPriority w:val="99"/>
    <w:pPr>
      <w:ind w:firstLine="0"/>
      <w:jc w:val="center"/>
    </w:pPr>
    <w:rPr>
      <w:rFonts w:ascii="黑体" w:hAnsi="宋体" w:eastAsia="黑体"/>
      <w:b/>
      <w:bCs/>
    </w:rPr>
  </w:style>
  <w:style w:type="paragraph" w:customStyle="1" w:styleId="1845">
    <w:name w:val="表头王"/>
    <w:basedOn w:val="1"/>
    <w:qFormat/>
    <w:uiPriority w:val="0"/>
    <w:pPr>
      <w:jc w:val="center"/>
    </w:pPr>
    <w:rPr>
      <w:rFonts w:ascii="宋体" w:hAnsi="宋体"/>
      <w:bCs/>
      <w:sz w:val="28"/>
      <w:szCs w:val="28"/>
    </w:rPr>
  </w:style>
  <w:style w:type="paragraph" w:customStyle="1" w:styleId="1846">
    <w:name w:val="表中文字33"/>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1847">
    <w:name w:val="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1848">
    <w:name w:val="一级标题上"/>
    <w:basedOn w:val="1"/>
    <w:qFormat/>
    <w:uiPriority w:val="0"/>
    <w:pPr>
      <w:spacing w:before="156" w:beforeLines="50" w:after="156" w:afterLines="50" w:line="240" w:lineRule="auto"/>
    </w:pPr>
    <w:rPr>
      <w:rFonts w:ascii="Calibri" w:hAnsi="Calibri" w:eastAsia="黑体"/>
      <w:sz w:val="21"/>
    </w:rPr>
  </w:style>
  <w:style w:type="paragraph" w:customStyle="1" w:styleId="1849">
    <w:name w:val="xl6312"/>
    <w:basedOn w:val="1"/>
    <w:qFormat/>
    <w:uiPriority w:val="99"/>
    <w:pPr>
      <w:widowControl/>
      <w:spacing w:before="100" w:beforeAutospacing="1" w:after="100" w:afterAutospacing="1" w:line="240" w:lineRule="auto"/>
      <w:jc w:val="center"/>
      <w:textAlignment w:val="center"/>
    </w:pPr>
    <w:rPr>
      <w:rFonts w:hint="eastAsia" w:ascii="黑体" w:hAnsi="宋体" w:eastAsia="黑体"/>
      <w:kern w:val="0"/>
    </w:rPr>
  </w:style>
  <w:style w:type="paragraph" w:customStyle="1" w:styleId="1850">
    <w:name w:val="表格文字2wj"/>
    <w:basedOn w:val="1"/>
    <w:qFormat/>
    <w:uiPriority w:val="0"/>
    <w:pPr>
      <w:spacing w:line="360" w:lineRule="atLeast"/>
      <w:jc w:val="center"/>
    </w:pPr>
    <w:rPr>
      <w:snapToGrid w:val="0"/>
      <w:kern w:val="0"/>
      <w:sz w:val="21"/>
      <w:szCs w:val="21"/>
    </w:rPr>
  </w:style>
  <w:style w:type="paragraph" w:customStyle="1" w:styleId="1851">
    <w:name w:val="标题3"/>
    <w:qFormat/>
    <w:uiPriority w:val="0"/>
    <w:pPr>
      <w:adjustRightInd w:val="0"/>
      <w:snapToGrid w:val="0"/>
      <w:spacing w:line="360" w:lineRule="auto"/>
      <w:outlineLvl w:val="2"/>
    </w:pPr>
    <w:rPr>
      <w:rFonts w:ascii="黑体" w:hAnsi="Times New Roman" w:eastAsia="黑体" w:cs="Times New Roman"/>
      <w:b/>
      <w:bCs/>
      <w:kern w:val="2"/>
      <w:sz w:val="24"/>
      <w:szCs w:val="24"/>
      <w:lang w:val="en-US" w:eastAsia="zh-CN" w:bidi="ar-SA"/>
    </w:rPr>
  </w:style>
  <w:style w:type="paragraph" w:customStyle="1" w:styleId="1852">
    <w:name w:val="燕山正文117"/>
    <w:basedOn w:val="1"/>
    <w:qFormat/>
    <w:uiPriority w:val="99"/>
    <w:pPr>
      <w:tabs>
        <w:tab w:val="left" w:pos="4680"/>
      </w:tabs>
      <w:spacing w:line="480" w:lineRule="exact"/>
    </w:pPr>
    <w:rPr>
      <w:rFonts w:ascii="宋体" w:hAnsi="宋体" w:cs="宋体"/>
      <w:bCs/>
      <w:color w:val="000000"/>
    </w:rPr>
  </w:style>
  <w:style w:type="paragraph" w:customStyle="1" w:styleId="1853">
    <w:name w:val="白洋淀前言"/>
    <w:basedOn w:val="1"/>
    <w:qFormat/>
    <w:uiPriority w:val="0"/>
    <w:pPr>
      <w:pBdr>
        <w:top w:val="single" w:color="auto" w:sz="4" w:space="1"/>
      </w:pBdr>
      <w:ind w:firstLine="200"/>
    </w:pPr>
    <w:rPr>
      <w:rFonts w:cs="宋体"/>
    </w:rPr>
  </w:style>
  <w:style w:type="paragraph" w:customStyle="1" w:styleId="1854">
    <w:name w:val="前言"/>
    <w:basedOn w:val="84"/>
    <w:qFormat/>
    <w:uiPriority w:val="0"/>
    <w:pPr>
      <w:pBdr>
        <w:top w:val="single" w:color="auto" w:sz="4" w:space="1"/>
      </w:pBdr>
      <w:textAlignment w:val="baseline"/>
    </w:pPr>
    <w:rPr>
      <w:rFonts w:ascii="黑体" w:eastAsia="黑体"/>
      <w:kern w:val="0"/>
      <w:sz w:val="18"/>
      <w:szCs w:val="18"/>
    </w:rPr>
  </w:style>
  <w:style w:type="paragraph" w:customStyle="1" w:styleId="1855">
    <w:name w:val="1"/>
    <w:basedOn w:val="1"/>
    <w:next w:val="21"/>
    <w:qFormat/>
    <w:uiPriority w:val="0"/>
    <w:pPr>
      <w:spacing w:line="240" w:lineRule="auto"/>
      <w:ind w:firstLine="420"/>
    </w:pPr>
    <w:rPr>
      <w:sz w:val="21"/>
    </w:rPr>
  </w:style>
  <w:style w:type="paragraph" w:customStyle="1" w:styleId="1856">
    <w:name w:val="Char Char Char Char Char Char Char Char3"/>
    <w:basedOn w:val="1"/>
    <w:qFormat/>
    <w:uiPriority w:val="0"/>
    <w:pPr>
      <w:spacing w:line="240" w:lineRule="auto"/>
    </w:pPr>
    <w:rPr>
      <w:sz w:val="21"/>
      <w:szCs w:val="21"/>
    </w:rPr>
  </w:style>
  <w:style w:type="paragraph" w:customStyle="1" w:styleId="1857">
    <w:name w:val="正文文字1"/>
    <w:basedOn w:val="1"/>
    <w:next w:val="45"/>
    <w:qFormat/>
    <w:uiPriority w:val="99"/>
    <w:pPr>
      <w:spacing w:line="240" w:lineRule="auto"/>
    </w:pPr>
    <w:rPr>
      <w:rFonts w:ascii="宋体" w:hAnsi="Courier New" w:cs="Courier New"/>
      <w:sz w:val="21"/>
      <w:szCs w:val="21"/>
    </w:rPr>
  </w:style>
  <w:style w:type="paragraph" w:customStyle="1" w:styleId="1858">
    <w:name w:val="正文文本 21"/>
    <w:basedOn w:val="1"/>
    <w:qFormat/>
    <w:uiPriority w:val="0"/>
    <w:pPr>
      <w:spacing w:line="312" w:lineRule="atLeast"/>
      <w:ind w:firstLine="567"/>
      <w:textAlignment w:val="baseline"/>
    </w:pPr>
    <w:rPr>
      <w:kern w:val="0"/>
      <w:sz w:val="28"/>
      <w:szCs w:val="20"/>
    </w:rPr>
  </w:style>
  <w:style w:type="paragraph" w:customStyle="1" w:styleId="1859">
    <w:name w:val="文本框112"/>
    <w:basedOn w:val="1"/>
    <w:qFormat/>
    <w:uiPriority w:val="99"/>
    <w:pPr>
      <w:spacing w:after="6" w:line="240" w:lineRule="auto"/>
      <w:jc w:val="center"/>
    </w:pPr>
    <w:rPr>
      <w:rFonts w:eastAsia="仿宋_GB2312"/>
      <w:sz w:val="21"/>
    </w:rPr>
  </w:style>
  <w:style w:type="paragraph" w:customStyle="1" w:styleId="1860">
    <w:name w:val="默认段落字体 Para Char Char Char Char2"/>
    <w:basedOn w:val="1"/>
    <w:qFormat/>
    <w:uiPriority w:val="99"/>
    <w:pPr>
      <w:spacing w:line="240" w:lineRule="auto"/>
    </w:pPr>
    <w:rPr>
      <w:sz w:val="21"/>
    </w:rPr>
  </w:style>
  <w:style w:type="paragraph" w:customStyle="1" w:styleId="1861">
    <w:name w:val="Char Char Char Char Char Char Char Char Char Char2"/>
    <w:basedOn w:val="1"/>
    <w:qFormat/>
    <w:uiPriority w:val="0"/>
    <w:pPr>
      <w:spacing w:line="240" w:lineRule="exact"/>
      <w:ind w:firstLine="200"/>
    </w:pPr>
    <w:rPr>
      <w:sz w:val="28"/>
      <w:szCs w:val="28"/>
    </w:rPr>
  </w:style>
  <w:style w:type="paragraph" w:customStyle="1" w:styleId="1862">
    <w:name w:val="Char Char Char Char Char Char1"/>
    <w:basedOn w:val="1"/>
    <w:qFormat/>
    <w:uiPriority w:val="99"/>
    <w:pPr>
      <w:spacing w:line="240" w:lineRule="auto"/>
    </w:pPr>
    <w:rPr>
      <w:sz w:val="21"/>
      <w:szCs w:val="21"/>
    </w:rPr>
  </w:style>
  <w:style w:type="paragraph" w:customStyle="1" w:styleId="1863">
    <w:name w:val="正文样式1"/>
    <w:basedOn w:val="1"/>
    <w:qFormat/>
    <w:uiPriority w:val="99"/>
    <w:pPr>
      <w:spacing w:before="60" w:line="460" w:lineRule="exact"/>
      <w:ind w:firstLine="200"/>
    </w:pPr>
    <w:rPr>
      <w:kern w:val="0"/>
    </w:rPr>
  </w:style>
  <w:style w:type="paragraph" w:customStyle="1" w:styleId="1864">
    <w:name w:val="Char Char Char Char Char1"/>
    <w:basedOn w:val="1"/>
    <w:qFormat/>
    <w:uiPriority w:val="0"/>
    <w:pPr>
      <w:spacing w:line="240" w:lineRule="auto"/>
    </w:pPr>
    <w:rPr>
      <w:sz w:val="21"/>
      <w:szCs w:val="21"/>
    </w:rPr>
  </w:style>
  <w:style w:type="paragraph" w:customStyle="1" w:styleId="1865">
    <w:name w:val="正文文本缩进 21"/>
    <w:basedOn w:val="1"/>
    <w:qFormat/>
    <w:uiPriority w:val="99"/>
    <w:pPr>
      <w:spacing w:line="240" w:lineRule="auto"/>
      <w:ind w:firstLine="432"/>
      <w:textAlignment w:val="baseline"/>
    </w:pPr>
    <w:rPr>
      <w:szCs w:val="20"/>
    </w:rPr>
  </w:style>
  <w:style w:type="paragraph" w:customStyle="1" w:styleId="1866">
    <w:name w:val="标准12"/>
    <w:basedOn w:val="1"/>
    <w:qFormat/>
    <w:uiPriority w:val="99"/>
    <w:pPr>
      <w:spacing w:before="120" w:line="336" w:lineRule="auto"/>
      <w:jc w:val="center"/>
      <w:textAlignment w:val="baseline"/>
    </w:pPr>
    <w:rPr>
      <w:rFonts w:ascii="黑体" w:eastAsia="黑体"/>
      <w:sz w:val="21"/>
      <w:szCs w:val="20"/>
    </w:rPr>
  </w:style>
  <w:style w:type="paragraph" w:customStyle="1" w:styleId="1867">
    <w:name w:val="纯文本1"/>
    <w:basedOn w:val="1"/>
    <w:qFormat/>
    <w:uiPriority w:val="0"/>
    <w:pPr>
      <w:tabs>
        <w:tab w:val="left" w:pos="360"/>
      </w:tabs>
      <w:autoSpaceDE w:val="0"/>
      <w:autoSpaceDN w:val="0"/>
      <w:ind w:firstLine="360" w:firstLineChars="150"/>
      <w:jc w:val="center"/>
      <w:textAlignment w:val="baseline"/>
    </w:pPr>
    <w:rPr>
      <w:rFonts w:ascii="宋体" w:hAnsi="宋体"/>
      <w:color w:val="000000"/>
      <w:kern w:val="0"/>
    </w:rPr>
  </w:style>
  <w:style w:type="paragraph" w:customStyle="1" w:styleId="1868">
    <w:name w:val="Char Char Char Char Char Char Char Char Char Char1 Char Char1"/>
    <w:basedOn w:val="1"/>
    <w:qFormat/>
    <w:uiPriority w:val="0"/>
    <w:pPr>
      <w:spacing w:line="240" w:lineRule="exact"/>
      <w:ind w:firstLine="200"/>
    </w:pPr>
    <w:rPr>
      <w:sz w:val="28"/>
      <w:szCs w:val="28"/>
    </w:rPr>
  </w:style>
  <w:style w:type="paragraph" w:customStyle="1" w:styleId="1869">
    <w:name w:val="Char1012"/>
    <w:basedOn w:val="1"/>
    <w:qFormat/>
    <w:uiPriority w:val="99"/>
    <w:rPr>
      <w:sz w:val="21"/>
    </w:rPr>
  </w:style>
  <w:style w:type="paragraph" w:customStyle="1" w:styleId="1870">
    <w:name w:val="表内小5中12"/>
    <w:basedOn w:val="1"/>
    <w:qFormat/>
    <w:uiPriority w:val="99"/>
    <w:pPr>
      <w:spacing w:line="240" w:lineRule="auto"/>
      <w:jc w:val="center"/>
    </w:pPr>
    <w:rPr>
      <w:rFonts w:ascii="宋体" w:hAnsi="宋体"/>
      <w:sz w:val="18"/>
      <w:szCs w:val="20"/>
    </w:rPr>
  </w:style>
  <w:style w:type="paragraph" w:customStyle="1" w:styleId="1871">
    <w:name w:val="表内5中22"/>
    <w:basedOn w:val="1"/>
    <w:qFormat/>
    <w:uiPriority w:val="99"/>
    <w:pPr>
      <w:spacing w:line="240" w:lineRule="auto"/>
      <w:jc w:val="center"/>
    </w:pPr>
    <w:rPr>
      <w:rFonts w:ascii="宋体" w:hAnsi="宋体" w:cs="Arial"/>
      <w:snapToGrid w:val="0"/>
      <w:color w:val="000000"/>
      <w:sz w:val="21"/>
      <w:szCs w:val="21"/>
    </w:rPr>
  </w:style>
  <w:style w:type="paragraph" w:customStyle="1" w:styleId="1872">
    <w:name w:val="Char Char Char Char Char Char Char Char Char Char Char"/>
    <w:basedOn w:val="1"/>
    <w:qFormat/>
    <w:uiPriority w:val="99"/>
    <w:pPr>
      <w:spacing w:line="240" w:lineRule="auto"/>
    </w:pPr>
    <w:rPr>
      <w:sz w:val="21"/>
      <w:szCs w:val="21"/>
    </w:rPr>
  </w:style>
  <w:style w:type="paragraph" w:customStyle="1" w:styleId="1873">
    <w:name w:val="Char Char311"/>
    <w:basedOn w:val="1"/>
    <w:qFormat/>
    <w:uiPriority w:val="0"/>
    <w:pPr>
      <w:spacing w:line="240" w:lineRule="exact"/>
      <w:ind w:firstLine="200"/>
    </w:pPr>
    <w:rPr>
      <w:sz w:val="28"/>
      <w:szCs w:val="28"/>
    </w:rPr>
  </w:style>
  <w:style w:type="paragraph" w:customStyle="1" w:styleId="1874">
    <w:name w:val="默认段落字体 Para Char Char Char Char Char4"/>
    <w:basedOn w:val="1"/>
    <w:qFormat/>
    <w:uiPriority w:val="99"/>
    <w:pPr>
      <w:spacing w:line="240" w:lineRule="auto"/>
    </w:pPr>
    <w:rPr>
      <w:sz w:val="21"/>
    </w:rPr>
  </w:style>
  <w:style w:type="paragraph" w:customStyle="1" w:styleId="1875">
    <w:name w:val="默认段落字体 Para Char Char Char Char1"/>
    <w:basedOn w:val="1"/>
    <w:qFormat/>
    <w:uiPriority w:val="99"/>
    <w:pPr>
      <w:spacing w:line="240" w:lineRule="auto"/>
    </w:pPr>
    <w:rPr>
      <w:sz w:val="21"/>
    </w:rPr>
  </w:style>
  <w:style w:type="paragraph" w:customStyle="1" w:styleId="1876">
    <w:name w:val="Char Char Char Char Char Char Char Char Char"/>
    <w:basedOn w:val="1"/>
    <w:qFormat/>
    <w:uiPriority w:val="0"/>
    <w:pPr>
      <w:spacing w:line="240" w:lineRule="auto"/>
    </w:pPr>
    <w:rPr>
      <w:sz w:val="21"/>
      <w:szCs w:val="21"/>
    </w:rPr>
  </w:style>
  <w:style w:type="paragraph" w:customStyle="1" w:styleId="1877">
    <w:name w:val="表内宋5中14"/>
    <w:basedOn w:val="1"/>
    <w:qFormat/>
    <w:uiPriority w:val="99"/>
    <w:pPr>
      <w:spacing w:line="240" w:lineRule="auto"/>
      <w:jc w:val="center"/>
      <w:textAlignment w:val="baseline"/>
    </w:pPr>
    <w:rPr>
      <w:rFonts w:ascii="宋体" w:hAnsi="宋体" w:cs="宋体"/>
      <w:kern w:val="0"/>
      <w:sz w:val="21"/>
      <w:szCs w:val="20"/>
    </w:rPr>
  </w:style>
  <w:style w:type="paragraph" w:customStyle="1" w:styleId="1878">
    <w:name w:val="Char Char Char Char1"/>
    <w:basedOn w:val="1"/>
    <w:qFormat/>
    <w:uiPriority w:val="0"/>
    <w:pPr>
      <w:spacing w:line="240" w:lineRule="auto"/>
    </w:pPr>
    <w:rPr>
      <w:sz w:val="21"/>
      <w:szCs w:val="21"/>
    </w:rPr>
  </w:style>
  <w:style w:type="paragraph" w:customStyle="1" w:styleId="1879">
    <w:name w:val="Char Char Char Char Char Char Char Char Char1 Char Char Char Char Char Char2"/>
    <w:basedOn w:val="1"/>
    <w:qFormat/>
    <w:uiPriority w:val="0"/>
    <w:pPr>
      <w:spacing w:line="400" w:lineRule="exact"/>
    </w:pPr>
    <w:rPr>
      <w:sz w:val="21"/>
      <w:szCs w:val="21"/>
    </w:rPr>
  </w:style>
  <w:style w:type="paragraph" w:customStyle="1" w:styleId="1880">
    <w:name w:val="Char2 Char Char Char Char Char Char1"/>
    <w:basedOn w:val="1"/>
    <w:qFormat/>
    <w:uiPriority w:val="0"/>
    <w:pPr>
      <w:spacing w:line="240" w:lineRule="auto"/>
    </w:pPr>
  </w:style>
  <w:style w:type="paragraph" w:customStyle="1" w:styleId="1881">
    <w:name w:val="Char Char Char1 Char Char Char Char Char Char Char Char Char Char Char Char Char Char Char3"/>
    <w:basedOn w:val="1"/>
    <w:qFormat/>
    <w:uiPriority w:val="0"/>
    <w:pPr>
      <w:spacing w:line="240" w:lineRule="exact"/>
      <w:ind w:firstLine="200"/>
    </w:pPr>
    <w:rPr>
      <w:sz w:val="28"/>
      <w:szCs w:val="28"/>
    </w:rPr>
  </w:style>
  <w:style w:type="paragraph" w:customStyle="1" w:styleId="1882">
    <w:name w:val="Char11"/>
    <w:basedOn w:val="1"/>
    <w:qFormat/>
    <w:uiPriority w:val="0"/>
    <w:pPr>
      <w:ind w:firstLine="200"/>
    </w:pPr>
    <w:rPr>
      <w:rFonts w:eastAsia="仿宋_GB2312"/>
    </w:rPr>
  </w:style>
  <w:style w:type="paragraph" w:customStyle="1" w:styleId="1883">
    <w:name w:val="Char3 Char Char Char1 Char Char1 Char1"/>
    <w:basedOn w:val="1"/>
    <w:qFormat/>
    <w:uiPriority w:val="0"/>
    <w:pPr>
      <w:spacing w:line="240" w:lineRule="auto"/>
    </w:pPr>
    <w:rPr>
      <w:sz w:val="21"/>
      <w:szCs w:val="21"/>
    </w:rPr>
  </w:style>
  <w:style w:type="paragraph" w:customStyle="1" w:styleId="1884">
    <w:name w:val="Char Char Char1 Char Char Char Char Char Char Char Char Char Char1"/>
    <w:basedOn w:val="1"/>
    <w:qFormat/>
    <w:uiPriority w:val="0"/>
    <w:pPr>
      <w:spacing w:line="240" w:lineRule="auto"/>
    </w:pPr>
    <w:rPr>
      <w:sz w:val="21"/>
      <w:szCs w:val="21"/>
    </w:rPr>
  </w:style>
  <w:style w:type="paragraph" w:customStyle="1" w:styleId="1885">
    <w:name w:val="Char2 Char Char Char2"/>
    <w:basedOn w:val="1"/>
    <w:qFormat/>
    <w:uiPriority w:val="0"/>
    <w:pPr>
      <w:spacing w:line="240" w:lineRule="auto"/>
    </w:pPr>
    <w:rPr>
      <w:sz w:val="21"/>
      <w:szCs w:val="21"/>
    </w:rPr>
  </w:style>
  <w:style w:type="paragraph" w:customStyle="1" w:styleId="1886">
    <w:name w:val="Char6 Char Char Char11"/>
    <w:basedOn w:val="1"/>
    <w:qFormat/>
    <w:uiPriority w:val="0"/>
    <w:pPr>
      <w:spacing w:line="240" w:lineRule="auto"/>
    </w:pPr>
    <w:rPr>
      <w:sz w:val="21"/>
      <w:szCs w:val="21"/>
    </w:rPr>
  </w:style>
  <w:style w:type="paragraph" w:customStyle="1" w:styleId="1887">
    <w:name w:val="表内文字小2124"/>
    <w:basedOn w:val="1"/>
    <w:qFormat/>
    <w:uiPriority w:val="99"/>
    <w:pPr>
      <w:spacing w:line="240" w:lineRule="auto"/>
      <w:jc w:val="center"/>
    </w:pPr>
    <w:rPr>
      <w:rFonts w:ascii="宋体" w:hAnsi="Times"/>
      <w:bCs/>
      <w:color w:val="000000"/>
      <w:sz w:val="21"/>
      <w:szCs w:val="20"/>
    </w:rPr>
  </w:style>
  <w:style w:type="paragraph" w:customStyle="1" w:styleId="1888">
    <w:name w:val="Char Char Char Char Char Char Char Char Char Char Char Char1 Char Char Char Char Char Char Char Char Char Char Char Char Char1"/>
    <w:basedOn w:val="1"/>
    <w:qFormat/>
    <w:uiPriority w:val="0"/>
    <w:pPr>
      <w:spacing w:line="240" w:lineRule="exact"/>
      <w:ind w:firstLine="200"/>
    </w:pPr>
    <w:rPr>
      <w:sz w:val="28"/>
      <w:szCs w:val="28"/>
    </w:rPr>
  </w:style>
  <w:style w:type="paragraph" w:customStyle="1" w:styleId="1889">
    <w:name w:val="表题3124"/>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1890">
    <w:name w:val="Char Char Char Char Char Char Char Char Char Char Char Char2"/>
    <w:basedOn w:val="1"/>
    <w:qFormat/>
    <w:uiPriority w:val="99"/>
    <w:pPr>
      <w:spacing w:line="240" w:lineRule="exact"/>
      <w:ind w:firstLine="200"/>
    </w:pPr>
    <w:rPr>
      <w:sz w:val="28"/>
      <w:szCs w:val="28"/>
    </w:rPr>
  </w:style>
  <w:style w:type="paragraph" w:customStyle="1" w:styleId="1891">
    <w:name w:val="Char Char Char Char Char Char Char Char Char Char3"/>
    <w:basedOn w:val="1"/>
    <w:qFormat/>
    <w:uiPriority w:val="0"/>
    <w:pPr>
      <w:spacing w:line="240" w:lineRule="exact"/>
      <w:ind w:firstLine="200"/>
    </w:pPr>
    <w:rPr>
      <w:sz w:val="28"/>
      <w:szCs w:val="28"/>
    </w:rPr>
  </w:style>
  <w:style w:type="paragraph" w:customStyle="1" w:styleId="1892">
    <w:name w:val="Char Char Char Char Char Char 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1893">
    <w:name w:val="Char Char Char Char Char Char Char Char Char Char Char Char Char Char Char Char Char Char Char Char Char Char Char Char Char Char Char Char Char Char Char Char Char Char Char Char Char2"/>
    <w:basedOn w:val="1"/>
    <w:qFormat/>
    <w:uiPriority w:val="0"/>
    <w:pPr>
      <w:spacing w:line="240" w:lineRule="exact"/>
      <w:ind w:firstLine="200"/>
    </w:pPr>
    <w:rPr>
      <w:sz w:val="28"/>
      <w:szCs w:val="28"/>
    </w:rPr>
  </w:style>
  <w:style w:type="paragraph" w:customStyle="1" w:styleId="1894">
    <w:name w:val="Char Char Char1 Char Char Char Char Char Char Char Char Char Char Char Char Char Char Char Char Char Char1 Char Char Char11"/>
    <w:basedOn w:val="1"/>
    <w:qFormat/>
    <w:uiPriority w:val="0"/>
    <w:pPr>
      <w:spacing w:line="240" w:lineRule="exact"/>
      <w:ind w:firstLine="200"/>
    </w:pPr>
    <w:rPr>
      <w:sz w:val="28"/>
      <w:szCs w:val="28"/>
    </w:rPr>
  </w:style>
  <w:style w:type="paragraph" w:customStyle="1" w:styleId="1895">
    <w:name w:val="样式 样式 正文缩进正文（首行缩进两字） Char Char Char Char Char Char Char表格标题标题4文...."/>
    <w:basedOn w:val="1"/>
    <w:qFormat/>
    <w:uiPriority w:val="0"/>
    <w:pPr>
      <w:overflowPunct w:val="0"/>
      <w:ind w:firstLine="200"/>
      <w:textAlignment w:val="baseline"/>
    </w:pPr>
    <w:rPr>
      <w:rFonts w:eastAsia="仿宋_GB2312" w:cs="宋体"/>
      <w:kern w:val="0"/>
      <w:sz w:val="28"/>
      <w:szCs w:val="20"/>
    </w:rPr>
  </w:style>
  <w:style w:type="paragraph" w:customStyle="1" w:styleId="1896">
    <w:name w:val="Char Char Char1 Char Char Char Char Char Char Char Char Char Char Char Char Char Char Char11"/>
    <w:basedOn w:val="1"/>
    <w:qFormat/>
    <w:uiPriority w:val="0"/>
    <w:pPr>
      <w:spacing w:line="240" w:lineRule="auto"/>
    </w:pPr>
    <w:rPr>
      <w:sz w:val="21"/>
      <w:szCs w:val="21"/>
    </w:rPr>
  </w:style>
  <w:style w:type="paragraph" w:customStyle="1" w:styleId="1897">
    <w:name w:val="Char Char Char Char Char Char Char Char Char Char Char Char1 Char Char Char Char Char Char1"/>
    <w:basedOn w:val="1"/>
    <w:qFormat/>
    <w:uiPriority w:val="0"/>
    <w:pPr>
      <w:spacing w:line="240" w:lineRule="exact"/>
      <w:ind w:firstLine="200"/>
    </w:pPr>
    <w:rPr>
      <w:sz w:val="28"/>
      <w:szCs w:val="28"/>
    </w:rPr>
  </w:style>
  <w:style w:type="paragraph" w:customStyle="1" w:styleId="1898">
    <w:name w:val="Char Char Char Char Char Char Char Char Char Char Char Char12"/>
    <w:basedOn w:val="1"/>
    <w:qFormat/>
    <w:uiPriority w:val="0"/>
    <w:pPr>
      <w:spacing w:line="240" w:lineRule="exact"/>
      <w:ind w:firstLine="200"/>
    </w:pPr>
    <w:rPr>
      <w:sz w:val="28"/>
      <w:szCs w:val="28"/>
    </w:rPr>
  </w:style>
  <w:style w:type="paragraph" w:customStyle="1" w:styleId="1899">
    <w:name w:val="黑体三号412"/>
    <w:basedOn w:val="185"/>
    <w:qFormat/>
    <w:uiPriority w:val="99"/>
    <w:pPr>
      <w:jc w:val="center"/>
    </w:pPr>
    <w:rPr>
      <w:rFonts w:ascii="黑体" w:hAnsi="宋体" w:eastAsia="黑体"/>
      <w:b/>
      <w:bCs/>
      <w:sz w:val="32"/>
      <w:szCs w:val="20"/>
    </w:rPr>
  </w:style>
  <w:style w:type="paragraph" w:customStyle="1" w:styleId="1900">
    <w:name w:val="正文格式11"/>
    <w:basedOn w:val="1"/>
    <w:qFormat/>
    <w:uiPriority w:val="99"/>
    <w:pPr>
      <w:ind w:firstLine="482"/>
    </w:pPr>
    <w:rPr>
      <w:rFonts w:ascii="宋体" w:hAnsi="宋体"/>
    </w:rPr>
  </w:style>
  <w:style w:type="paragraph" w:customStyle="1" w:styleId="1901">
    <w:name w:val="默认段落字体 Para Char52"/>
    <w:basedOn w:val="1"/>
    <w:next w:val="1"/>
    <w:qFormat/>
    <w:uiPriority w:val="99"/>
    <w:pPr>
      <w:spacing w:line="480" w:lineRule="exact"/>
      <w:ind w:firstLine="200"/>
      <w:jc w:val="left"/>
    </w:pPr>
    <w:rPr>
      <w:rFonts w:ascii="宋体" w:hAnsi="宋体" w:eastAsia="汉鼎简书宋" w:cs="宋体"/>
      <w:sz w:val="28"/>
    </w:rPr>
  </w:style>
  <w:style w:type="paragraph" w:customStyle="1" w:styleId="1902">
    <w:name w:val="Char Char Char1 Char Char Char Char Char Char Char Char Char Char Char Char Char Char Char1 Char Char Char Char Char Char Char Char Char Char Char Char1"/>
    <w:basedOn w:val="1"/>
    <w:qFormat/>
    <w:uiPriority w:val="0"/>
    <w:pPr>
      <w:spacing w:line="240" w:lineRule="auto"/>
    </w:pPr>
    <w:rPr>
      <w:sz w:val="21"/>
      <w:szCs w:val="21"/>
    </w:rPr>
  </w:style>
  <w:style w:type="paragraph" w:customStyle="1" w:styleId="1903">
    <w:name w:val="Char Char Char1 Char Char Char Char Char Char Char Char Char Char Char Char Char Char Char Char2"/>
    <w:basedOn w:val="1"/>
    <w:qFormat/>
    <w:uiPriority w:val="0"/>
    <w:pPr>
      <w:spacing w:line="240" w:lineRule="exact"/>
      <w:ind w:firstLine="200"/>
    </w:pPr>
    <w:rPr>
      <w:sz w:val="28"/>
      <w:szCs w:val="28"/>
    </w:rPr>
  </w:style>
  <w:style w:type="paragraph" w:customStyle="1" w:styleId="1904">
    <w:name w:val="字元3"/>
    <w:basedOn w:val="1"/>
    <w:qFormat/>
    <w:uiPriority w:val="0"/>
    <w:pPr>
      <w:spacing w:line="240" w:lineRule="auto"/>
    </w:pPr>
    <w:rPr>
      <w:sz w:val="21"/>
      <w:szCs w:val="21"/>
    </w:rPr>
  </w:style>
  <w:style w:type="paragraph" w:customStyle="1" w:styleId="1905">
    <w:name w:val="Char4 Char Char Char Char Char Char Char Char Char Char Char Char Char Char Char Char Char Char Char Char Char Char Char Char Char Char Char2"/>
    <w:basedOn w:val="1"/>
    <w:qFormat/>
    <w:uiPriority w:val="0"/>
    <w:pPr>
      <w:spacing w:line="240" w:lineRule="exact"/>
      <w:ind w:firstLine="200"/>
    </w:pPr>
    <w:rPr>
      <w:sz w:val="28"/>
      <w:szCs w:val="28"/>
    </w:rPr>
  </w:style>
  <w:style w:type="paragraph" w:customStyle="1" w:styleId="1906">
    <w:name w:val="正文格式34"/>
    <w:basedOn w:val="1"/>
    <w:qFormat/>
    <w:uiPriority w:val="99"/>
    <w:pPr>
      <w:ind w:firstLine="482"/>
    </w:pPr>
    <w:rPr>
      <w:rFonts w:ascii="宋体" w:hAnsi="宋体"/>
    </w:rPr>
  </w:style>
  <w:style w:type="paragraph" w:customStyle="1" w:styleId="1907">
    <w:name w:val="Char Char Char1 Char Char Char1 Char Char Char3"/>
    <w:basedOn w:val="1"/>
    <w:qFormat/>
    <w:uiPriority w:val="0"/>
    <w:pPr>
      <w:spacing w:line="240" w:lineRule="exact"/>
      <w:ind w:firstLine="200"/>
    </w:pPr>
    <w:rPr>
      <w:sz w:val="28"/>
      <w:szCs w:val="28"/>
    </w:rPr>
  </w:style>
  <w:style w:type="paragraph" w:customStyle="1" w:styleId="1908">
    <w:name w:val="Char Char Char Char1 Char Char Char7"/>
    <w:basedOn w:val="1"/>
    <w:qFormat/>
    <w:uiPriority w:val="99"/>
    <w:pPr>
      <w:widowControl/>
      <w:spacing w:after="160" w:line="240" w:lineRule="exact"/>
      <w:jc w:val="left"/>
    </w:pPr>
    <w:rPr>
      <w:rFonts w:ascii="Verdana" w:hAnsi="Verdana"/>
      <w:kern w:val="0"/>
      <w:sz w:val="20"/>
      <w:szCs w:val="20"/>
      <w:lang w:eastAsia="en-US"/>
    </w:rPr>
  </w:style>
  <w:style w:type="paragraph" w:customStyle="1" w:styleId="1909">
    <w:name w:val="字元 字元 字元11"/>
    <w:basedOn w:val="1"/>
    <w:qFormat/>
    <w:uiPriority w:val="0"/>
    <w:pPr>
      <w:spacing w:line="400" w:lineRule="exact"/>
      <w:ind w:firstLine="200"/>
    </w:pPr>
    <w:rPr>
      <w:sz w:val="28"/>
      <w:szCs w:val="28"/>
    </w:rPr>
  </w:style>
  <w:style w:type="paragraph" w:customStyle="1" w:styleId="1910">
    <w:name w:val="字元11"/>
    <w:basedOn w:val="1"/>
    <w:qFormat/>
    <w:uiPriority w:val="0"/>
    <w:pPr>
      <w:spacing w:line="240" w:lineRule="auto"/>
    </w:pPr>
    <w:rPr>
      <w:sz w:val="21"/>
      <w:szCs w:val="21"/>
    </w:rPr>
  </w:style>
  <w:style w:type="paragraph" w:customStyle="1" w:styleId="1911">
    <w:name w:val="样式 表格内字体 +12"/>
    <w:basedOn w:val="832"/>
    <w:qFormat/>
    <w:uiPriority w:val="99"/>
    <w:pPr>
      <w:spacing w:line="280" w:lineRule="exact"/>
      <w:ind w:firstLine="36"/>
      <w:jc w:val="both"/>
    </w:pPr>
    <w:rPr>
      <w:kern w:val="0"/>
      <w:szCs w:val="24"/>
    </w:rPr>
  </w:style>
  <w:style w:type="paragraph" w:customStyle="1" w:styleId="1912">
    <w:name w:val="表格内字体3"/>
    <w:basedOn w:val="185"/>
    <w:next w:val="185"/>
    <w:qFormat/>
    <w:uiPriority w:val="99"/>
    <w:pPr>
      <w:spacing w:line="240" w:lineRule="auto"/>
      <w:ind w:firstLine="0"/>
      <w:jc w:val="center"/>
    </w:pPr>
    <w:rPr>
      <w:rFonts w:hAnsi="宋体" w:cs="Times New Roman"/>
      <w:sz w:val="21"/>
    </w:rPr>
  </w:style>
  <w:style w:type="paragraph" w:customStyle="1" w:styleId="1913">
    <w:name w:val="Char423"/>
    <w:basedOn w:val="1"/>
    <w:qFormat/>
    <w:uiPriority w:val="99"/>
    <w:pPr>
      <w:spacing w:line="340" w:lineRule="exact"/>
      <w:ind w:firstLine="10" w:firstLineChars="4"/>
    </w:pPr>
    <w:rPr>
      <w:sz w:val="28"/>
      <w:szCs w:val="28"/>
    </w:rPr>
  </w:style>
  <w:style w:type="paragraph" w:customStyle="1" w:styleId="1914">
    <w:name w:val="Char Char7 Char Char1 Char1"/>
    <w:basedOn w:val="1"/>
    <w:qFormat/>
    <w:uiPriority w:val="0"/>
    <w:pPr>
      <w:spacing w:line="240" w:lineRule="exact"/>
      <w:ind w:firstLine="200"/>
    </w:pPr>
    <w:rPr>
      <w:sz w:val="28"/>
      <w:szCs w:val="28"/>
    </w:rPr>
  </w:style>
  <w:style w:type="paragraph" w:customStyle="1" w:styleId="1915">
    <w:name w:val="Char Char Char Char Char Char Char Char Char2"/>
    <w:basedOn w:val="1"/>
    <w:qFormat/>
    <w:uiPriority w:val="99"/>
    <w:pPr>
      <w:spacing w:line="240" w:lineRule="auto"/>
    </w:pPr>
    <w:rPr>
      <w:sz w:val="21"/>
      <w:szCs w:val="21"/>
    </w:rPr>
  </w:style>
  <w:style w:type="paragraph" w:customStyle="1" w:styleId="1916">
    <w:name w:val="样式 宋体 小四 两端对齐 首行缩进:  0.85 厘米 行距: 1.5 倍行距"/>
    <w:basedOn w:val="1"/>
    <w:qFormat/>
    <w:uiPriority w:val="0"/>
    <w:pPr>
      <w:widowControl/>
      <w:ind w:firstLine="482"/>
    </w:pPr>
    <w:rPr>
      <w:kern w:val="0"/>
    </w:rPr>
  </w:style>
  <w:style w:type="paragraph" w:customStyle="1" w:styleId="1917">
    <w:name w:val="黑体三号"/>
    <w:basedOn w:val="185"/>
    <w:qFormat/>
    <w:uiPriority w:val="99"/>
    <w:pPr>
      <w:jc w:val="center"/>
    </w:pPr>
    <w:rPr>
      <w:rFonts w:ascii="黑体" w:hAnsi="宋体" w:eastAsia="黑体"/>
      <w:b/>
      <w:bCs/>
      <w:sz w:val="32"/>
      <w:szCs w:val="20"/>
    </w:rPr>
  </w:style>
  <w:style w:type="paragraph" w:customStyle="1" w:styleId="1918">
    <w:name w:val="样式 标题 3条标题1.1.1条标题1.1.11条标题1.1.12条标题1.1.13条标题1.1.111条标题1.1...2"/>
    <w:basedOn w:val="5"/>
    <w:qFormat/>
    <w:uiPriority w:val="0"/>
    <w:rPr>
      <w:rFonts w:ascii="宋体" w:hAnsi="宋体" w:cs="宋体"/>
      <w:szCs w:val="20"/>
    </w:rPr>
  </w:style>
  <w:style w:type="paragraph" w:customStyle="1" w:styleId="1919">
    <w:name w:val="Char Char1 Char Char Char Char Char Char Char Char Char Char Char Char Char Char Char Char Char Char Char Char1 Char"/>
    <w:basedOn w:val="1"/>
    <w:qFormat/>
    <w:uiPriority w:val="0"/>
    <w:pPr>
      <w:ind w:firstLine="200"/>
    </w:pPr>
    <w:rPr>
      <w:rFonts w:ascii="宋体" w:hAnsi="宋体" w:cs="宋体"/>
    </w:rPr>
  </w:style>
  <w:style w:type="paragraph" w:customStyle="1" w:styleId="1920">
    <w:name w:val="图题612"/>
    <w:basedOn w:val="185"/>
    <w:next w:val="185"/>
    <w:qFormat/>
    <w:uiPriority w:val="99"/>
    <w:pPr>
      <w:ind w:firstLine="0"/>
      <w:jc w:val="center"/>
    </w:pPr>
    <w:rPr>
      <w:rFonts w:ascii="黑体" w:hAnsi="宋体" w:eastAsia="黑体"/>
      <w:b/>
      <w:bCs/>
      <w:kern w:val="0"/>
    </w:rPr>
  </w:style>
  <w:style w:type="paragraph" w:customStyle="1" w:styleId="1921">
    <w:name w:val="chen正文111"/>
    <w:basedOn w:val="1"/>
    <w:qFormat/>
    <w:uiPriority w:val="0"/>
    <w:pPr>
      <w:ind w:firstLine="560"/>
    </w:pPr>
    <w:rPr>
      <w:rFonts w:eastAsia="仿宋_GB2312"/>
      <w:bCs/>
      <w:color w:val="000000"/>
      <w:sz w:val="28"/>
      <w:szCs w:val="28"/>
    </w:rPr>
  </w:style>
  <w:style w:type="paragraph" w:customStyle="1" w:styleId="1922">
    <w:name w:val="Char214"/>
    <w:basedOn w:val="1"/>
    <w:qFormat/>
    <w:uiPriority w:val="99"/>
    <w:pPr>
      <w:spacing w:beforeLines="50"/>
    </w:pPr>
    <w:rPr>
      <w:rFonts w:ascii="黑体" w:eastAsia="黑体"/>
      <w:sz w:val="32"/>
      <w:szCs w:val="32"/>
    </w:rPr>
  </w:style>
  <w:style w:type="paragraph" w:customStyle="1" w:styleId="1923">
    <w:name w:val="表格内文字"/>
    <w:basedOn w:val="1"/>
    <w:qFormat/>
    <w:uiPriority w:val="0"/>
    <w:pPr>
      <w:spacing w:line="400" w:lineRule="exact"/>
      <w:jc w:val="center"/>
    </w:pPr>
    <w:rPr>
      <w:spacing w:val="10"/>
      <w:sz w:val="21"/>
      <w:szCs w:val="20"/>
    </w:rPr>
  </w:style>
  <w:style w:type="paragraph" w:customStyle="1" w:styleId="1924">
    <w:name w:val="样式 样式 标题 4 + 段前: 0.5 行 段后: 0.5 行1 + 段前: 0.5 行 段后: 0.5 行"/>
    <w:qFormat/>
    <w:uiPriority w:val="0"/>
    <w:rPr>
      <w:rFonts w:ascii="Times New Roman" w:hAnsi="Times New Roman" w:eastAsia="宋体" w:cs="Times New Roman"/>
      <w:lang w:val="en-US" w:eastAsia="zh-CN" w:bidi="ar-SA"/>
    </w:rPr>
  </w:style>
  <w:style w:type="paragraph" w:customStyle="1" w:styleId="1925">
    <w:name w:val="样式 标题 4 + 段前: 0.5 行 段后: 0.5 行1"/>
    <w:basedOn w:val="6"/>
    <w:qFormat/>
    <w:uiPriority w:val="0"/>
    <w:pPr>
      <w:spacing w:before="280" w:beforeLines="50" w:after="290" w:afterLines="50" w:line="480" w:lineRule="exact"/>
    </w:pPr>
    <w:rPr>
      <w:rFonts w:ascii="楷体_GB2312" w:eastAsia="楷体_GB2312" w:cs="宋体"/>
      <w:b w:val="0"/>
      <w:color w:val="000000"/>
      <w:spacing w:val="-6"/>
      <w:kern w:val="0"/>
      <w:szCs w:val="20"/>
      <w:lang w:val="zh-CN"/>
    </w:rPr>
  </w:style>
  <w:style w:type="paragraph" w:customStyle="1" w:styleId="1926">
    <w:name w:val="样式 表格文字 + 居中"/>
    <w:basedOn w:val="296"/>
    <w:qFormat/>
    <w:uiPriority w:val="0"/>
    <w:pPr>
      <w:adjustRightInd/>
      <w:snapToGrid/>
      <w:spacing w:before="60" w:line="460" w:lineRule="exact"/>
    </w:pPr>
    <w:rPr>
      <w:rFonts w:cs="宋体"/>
      <w:szCs w:val="20"/>
    </w:rPr>
  </w:style>
  <w:style w:type="paragraph" w:customStyle="1" w:styleId="1927">
    <w:name w:val="Char117"/>
    <w:basedOn w:val="1"/>
    <w:qFormat/>
    <w:uiPriority w:val="99"/>
    <w:pPr>
      <w:spacing w:line="240" w:lineRule="auto"/>
      <w:ind w:left="-48"/>
    </w:pPr>
    <w:rPr>
      <w:sz w:val="21"/>
    </w:rPr>
  </w:style>
  <w:style w:type="paragraph" w:customStyle="1" w:styleId="1928">
    <w:name w:val="样式 报告书表格 + 居中"/>
    <w:basedOn w:val="241"/>
    <w:qFormat/>
    <w:uiPriority w:val="0"/>
    <w:pPr>
      <w:spacing w:line="400" w:lineRule="exact"/>
    </w:pPr>
    <w:rPr>
      <w:rFonts w:cs="宋体"/>
      <w:color w:val="000000"/>
    </w:rPr>
  </w:style>
  <w:style w:type="paragraph" w:customStyle="1" w:styleId="1929">
    <w:name w:val="样式 报告书表格 + 居中2"/>
    <w:basedOn w:val="241"/>
    <w:qFormat/>
    <w:uiPriority w:val="0"/>
    <w:pPr>
      <w:spacing w:line="400" w:lineRule="exact"/>
    </w:pPr>
    <w:rPr>
      <w:rFonts w:cs="宋体"/>
      <w:color w:val="000000"/>
    </w:rPr>
  </w:style>
  <w:style w:type="paragraph" w:customStyle="1" w:styleId="1930">
    <w:name w:val="正文格式822"/>
    <w:basedOn w:val="1"/>
    <w:qFormat/>
    <w:uiPriority w:val="99"/>
    <w:pPr>
      <w:ind w:firstLine="482"/>
    </w:pPr>
    <w:rPr>
      <w:rFonts w:ascii="宋体" w:hAnsi="宋体"/>
    </w:rPr>
  </w:style>
  <w:style w:type="paragraph" w:customStyle="1" w:styleId="1931">
    <w:name w:val="Char Char Char2 Char Char Char Char Char Char Char Char Char Char Char"/>
    <w:basedOn w:val="1"/>
    <w:qFormat/>
    <w:uiPriority w:val="0"/>
    <w:pPr>
      <w:spacing w:line="240" w:lineRule="auto"/>
    </w:pPr>
    <w:rPr>
      <w:sz w:val="21"/>
    </w:rPr>
  </w:style>
  <w:style w:type="paragraph" w:customStyle="1" w:styleId="1932">
    <w:name w:val="Char Char Char Char12"/>
    <w:basedOn w:val="1"/>
    <w:qFormat/>
    <w:uiPriority w:val="0"/>
    <w:pPr>
      <w:spacing w:line="240" w:lineRule="auto"/>
    </w:pPr>
  </w:style>
  <w:style w:type="paragraph" w:customStyle="1" w:styleId="1933">
    <w:name w:val="三级标题"/>
    <w:basedOn w:val="1"/>
    <w:qFormat/>
    <w:uiPriority w:val="99"/>
    <w:pPr>
      <w:spacing w:before="300" w:line="440" w:lineRule="exact"/>
      <w:outlineLvl w:val="2"/>
    </w:pPr>
    <w:rPr>
      <w:b/>
      <w:bCs/>
      <w:szCs w:val="20"/>
    </w:rPr>
  </w:style>
  <w:style w:type="paragraph" w:customStyle="1" w:styleId="1934">
    <w:name w:val="Char4 Char Char Char Char Char Char Char Char Char Char Char Char Char Char Char Char Char1 Char Char Char Char Char Char1 Char Char Char Char Char Char Char Char Char Char Char Char Char"/>
    <w:basedOn w:val="1"/>
    <w:qFormat/>
    <w:uiPriority w:val="0"/>
    <w:pPr>
      <w:spacing w:line="240" w:lineRule="exact"/>
      <w:ind w:firstLine="200"/>
    </w:pPr>
    <w:rPr>
      <w:sz w:val="28"/>
      <w:szCs w:val="28"/>
    </w:rPr>
  </w:style>
  <w:style w:type="paragraph" w:customStyle="1" w:styleId="1935">
    <w:name w:val="二级标题"/>
    <w:basedOn w:val="1"/>
    <w:qFormat/>
    <w:uiPriority w:val="0"/>
    <w:pPr>
      <w:spacing w:before="60" w:line="460" w:lineRule="exact"/>
      <w:outlineLvl w:val="1"/>
    </w:pPr>
    <w:rPr>
      <w:b/>
      <w:bCs/>
      <w:sz w:val="28"/>
      <w:szCs w:val="20"/>
    </w:rPr>
  </w:style>
  <w:style w:type="paragraph" w:customStyle="1" w:styleId="1936">
    <w:name w:val="2级标题"/>
    <w:basedOn w:val="593"/>
    <w:qFormat/>
    <w:uiPriority w:val="0"/>
    <w:pPr>
      <w:outlineLvl w:val="1"/>
    </w:pPr>
    <w:rPr>
      <w:sz w:val="28"/>
    </w:rPr>
  </w:style>
  <w:style w:type="paragraph" w:customStyle="1" w:styleId="1937">
    <w:name w:val="表内小5中3"/>
    <w:basedOn w:val="1"/>
    <w:qFormat/>
    <w:uiPriority w:val="99"/>
    <w:pPr>
      <w:spacing w:line="240" w:lineRule="auto"/>
      <w:jc w:val="center"/>
    </w:pPr>
    <w:rPr>
      <w:rFonts w:ascii="宋体" w:hAnsi="宋体"/>
      <w:sz w:val="18"/>
      <w:szCs w:val="20"/>
    </w:rPr>
  </w:style>
  <w:style w:type="paragraph" w:customStyle="1" w:styleId="1938">
    <w:name w:val="目录 3 Char Char"/>
    <w:basedOn w:val="1"/>
    <w:next w:val="1"/>
    <w:qFormat/>
    <w:uiPriority w:val="0"/>
    <w:pPr>
      <w:spacing w:line="351" w:lineRule="atLeast"/>
      <w:ind w:left="419" w:firstLine="419"/>
      <w:jc w:val="left"/>
    </w:pPr>
    <w:rPr>
      <w:rFonts w:hint="eastAsia"/>
      <w:i/>
      <w:sz w:val="21"/>
      <w:szCs w:val="20"/>
    </w:rPr>
  </w:style>
  <w:style w:type="paragraph" w:customStyle="1" w:styleId="1939">
    <w:name w:val="样式 标题 2 + 首行缩进:  2 字符"/>
    <w:basedOn w:val="4"/>
    <w:qFormat/>
    <w:uiPriority w:val="0"/>
    <w:pPr>
      <w:spacing w:before="0"/>
    </w:pPr>
    <w:rPr>
      <w:rFonts w:eastAsia="黑体" w:cs="宋体"/>
      <w:sz w:val="30"/>
      <w:szCs w:val="20"/>
    </w:rPr>
  </w:style>
  <w:style w:type="paragraph" w:customStyle="1" w:styleId="1940">
    <w:name w:val="封面标准文稿编辑信息12"/>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941">
    <w:name w:val="样式 正文1 + 段前: 0.1 行1"/>
    <w:basedOn w:val="1473"/>
    <w:qFormat/>
    <w:uiPriority w:val="0"/>
    <w:pPr>
      <w:adjustRightInd/>
      <w:spacing w:before="10" w:beforeLines="10" w:after="0" w:line="440" w:lineRule="atLeast"/>
      <w:ind w:firstLine="510"/>
      <w:jc w:val="both"/>
      <w:textAlignment w:val="auto"/>
    </w:pPr>
    <w:rPr>
      <w:rFonts w:ascii="Times New Roman"/>
      <w:kern w:val="2"/>
    </w:rPr>
  </w:style>
  <w:style w:type="paragraph" w:customStyle="1" w:styleId="1942">
    <w:name w:val="样式 表内小5 + 黑体 加粗 倾斜 下划线12"/>
    <w:basedOn w:val="1"/>
    <w:qFormat/>
    <w:uiPriority w:val="99"/>
    <w:pPr>
      <w:spacing w:line="300" w:lineRule="auto"/>
      <w:jc w:val="left"/>
    </w:pPr>
    <w:rPr>
      <w:rFonts w:ascii="黑体" w:hAnsi="黑体" w:eastAsia="黑体"/>
      <w:b/>
      <w:bCs/>
      <w:i/>
      <w:iCs/>
      <w:sz w:val="18"/>
      <w:u w:val="single"/>
    </w:rPr>
  </w:style>
  <w:style w:type="paragraph" w:customStyle="1" w:styleId="1943">
    <w:name w:val="注解"/>
    <w:basedOn w:val="1"/>
    <w:qFormat/>
    <w:uiPriority w:val="0"/>
    <w:pPr>
      <w:spacing w:before="40" w:line="360" w:lineRule="exact"/>
      <w:ind w:firstLine="200"/>
    </w:pPr>
    <w:rPr>
      <w:bCs/>
      <w:sz w:val="21"/>
      <w:szCs w:val="20"/>
    </w:rPr>
  </w:style>
  <w:style w:type="paragraph" w:customStyle="1" w:styleId="1944">
    <w:name w:val="正文02"/>
    <w:basedOn w:val="1"/>
    <w:qFormat/>
    <w:uiPriority w:val="0"/>
    <w:pPr>
      <w:spacing w:before="400" w:line="420" w:lineRule="exact"/>
      <w:ind w:firstLine="200"/>
    </w:pPr>
    <w:rPr>
      <w:bCs/>
      <w:szCs w:val="20"/>
    </w:rPr>
  </w:style>
  <w:style w:type="paragraph" w:customStyle="1" w:styleId="1945">
    <w:name w:val="表格后文"/>
    <w:basedOn w:val="1841"/>
    <w:qFormat/>
    <w:uiPriority w:val="0"/>
    <w:pPr>
      <w:spacing w:before="300"/>
    </w:pPr>
  </w:style>
  <w:style w:type="paragraph" w:customStyle="1" w:styleId="1946">
    <w:name w:val="正文001"/>
    <w:basedOn w:val="1"/>
    <w:qFormat/>
    <w:uiPriority w:val="0"/>
    <w:pPr>
      <w:spacing w:before="60" w:line="460" w:lineRule="exact"/>
      <w:ind w:firstLine="200"/>
    </w:pPr>
    <w:rPr>
      <w:rFonts w:ascii="Arial" w:hAnsi="Arial"/>
      <w:szCs w:val="20"/>
    </w:rPr>
  </w:style>
  <w:style w:type="paragraph" w:customStyle="1" w:styleId="1947">
    <w:name w:val="表内文字小217"/>
    <w:basedOn w:val="1"/>
    <w:qFormat/>
    <w:uiPriority w:val="99"/>
    <w:pPr>
      <w:spacing w:line="240" w:lineRule="auto"/>
      <w:jc w:val="center"/>
    </w:pPr>
    <w:rPr>
      <w:rFonts w:ascii="宋体" w:hAnsi="Times"/>
      <w:bCs/>
      <w:color w:val="000000"/>
      <w:sz w:val="21"/>
      <w:szCs w:val="20"/>
    </w:rPr>
  </w:style>
  <w:style w:type="paragraph" w:customStyle="1" w:styleId="1948">
    <w:name w:val="正文格式3"/>
    <w:basedOn w:val="1"/>
    <w:qFormat/>
    <w:uiPriority w:val="99"/>
    <w:pPr>
      <w:ind w:firstLine="482"/>
    </w:pPr>
    <w:rPr>
      <w:rFonts w:ascii="宋体" w:hAnsi="宋体"/>
    </w:rPr>
  </w:style>
  <w:style w:type="paragraph" w:customStyle="1" w:styleId="1949">
    <w:name w:val="图题2"/>
    <w:basedOn w:val="185"/>
    <w:next w:val="185"/>
    <w:qFormat/>
    <w:uiPriority w:val="99"/>
    <w:pPr>
      <w:ind w:firstLine="0"/>
      <w:jc w:val="center"/>
    </w:pPr>
    <w:rPr>
      <w:rFonts w:ascii="黑体" w:hAnsi="宋体" w:eastAsia="黑体"/>
      <w:b/>
      <w:bCs/>
    </w:rPr>
  </w:style>
  <w:style w:type="paragraph" w:customStyle="1" w:styleId="1950">
    <w:name w:val="样式 样式 正文1 + 段前: 0.1 行 + 段前: 0.1 行"/>
    <w:basedOn w:val="1"/>
    <w:qFormat/>
    <w:uiPriority w:val="0"/>
    <w:pPr>
      <w:spacing w:before="24" w:beforeLines="10" w:line="440" w:lineRule="atLeast"/>
      <w:ind w:firstLine="567"/>
    </w:pPr>
    <w:rPr>
      <w:szCs w:val="20"/>
    </w:rPr>
  </w:style>
  <w:style w:type="paragraph" w:customStyle="1" w:styleId="1951">
    <w:name w:val="表内文字边"/>
    <w:basedOn w:val="1"/>
    <w:qFormat/>
    <w:uiPriority w:val="99"/>
    <w:pPr>
      <w:widowControl/>
      <w:spacing w:line="240" w:lineRule="atLeast"/>
      <w:ind w:left="-21" w:leftChars="-10" w:right="-42" w:rightChars="-20"/>
    </w:pPr>
    <w:rPr>
      <w:rFonts w:ascii="宋体"/>
      <w:kern w:val="0"/>
      <w:sz w:val="21"/>
      <w:szCs w:val="21"/>
    </w:rPr>
  </w:style>
  <w:style w:type="paragraph" w:customStyle="1" w:styleId="1952">
    <w:name w:val="一级标题"/>
    <w:basedOn w:val="1"/>
    <w:qFormat/>
    <w:uiPriority w:val="0"/>
    <w:pPr>
      <w:spacing w:before="60" w:line="460" w:lineRule="exact"/>
      <w:outlineLvl w:val="0"/>
    </w:pPr>
    <w:rPr>
      <w:b/>
      <w:bCs/>
      <w:sz w:val="32"/>
      <w:szCs w:val="20"/>
    </w:rPr>
  </w:style>
  <w:style w:type="paragraph" w:customStyle="1" w:styleId="1953">
    <w:name w:val="表内宋5中1112"/>
    <w:basedOn w:val="1"/>
    <w:qFormat/>
    <w:uiPriority w:val="99"/>
    <w:pPr>
      <w:spacing w:line="240" w:lineRule="auto"/>
      <w:jc w:val="center"/>
      <w:textAlignment w:val="baseline"/>
    </w:pPr>
    <w:rPr>
      <w:rFonts w:ascii="宋体" w:hAnsi="宋体" w:cs="宋体"/>
      <w:kern w:val="0"/>
      <w:sz w:val="21"/>
      <w:szCs w:val="20"/>
    </w:rPr>
  </w:style>
  <w:style w:type="paragraph" w:customStyle="1" w:styleId="1954">
    <w:name w:val="表格下方文字"/>
    <w:basedOn w:val="1"/>
    <w:qFormat/>
    <w:uiPriority w:val="0"/>
    <w:pPr>
      <w:spacing w:before="400" w:line="460" w:lineRule="exact"/>
      <w:ind w:firstLine="200"/>
    </w:pPr>
  </w:style>
  <w:style w:type="paragraph" w:customStyle="1" w:styleId="1955">
    <w:name w:val="表题19"/>
    <w:basedOn w:val="22"/>
    <w:qFormat/>
    <w:uiPriority w:val="99"/>
    <w:pPr>
      <w:tabs>
        <w:tab w:val="clear" w:pos="10467"/>
        <w:tab w:val="clear" w:pos="13095"/>
      </w:tabs>
      <w:adjustRightInd/>
      <w:snapToGrid/>
    </w:pPr>
    <w:rPr>
      <w:rFonts w:ascii="黑体" w:eastAsia="黑体"/>
      <w:b w:val="0"/>
    </w:rPr>
  </w:style>
  <w:style w:type="paragraph" w:customStyle="1" w:styleId="1956">
    <w:name w:val="表文_M5"/>
    <w:qFormat/>
    <w:uiPriority w:val="0"/>
    <w:pPr>
      <w:widowControl w:val="0"/>
      <w:spacing w:line="360" w:lineRule="exact"/>
      <w:jc w:val="center"/>
    </w:pPr>
    <w:rPr>
      <w:rFonts w:ascii="Garamond" w:hAnsi="Garamond" w:eastAsia="楷体_GB2312" w:cs="Times New Roman"/>
      <w:bCs/>
      <w:color w:val="000000"/>
      <w:sz w:val="21"/>
      <w:szCs w:val="21"/>
      <w:lang w:val="en-US" w:eastAsia="zh-CN" w:bidi="ar-SA"/>
    </w:rPr>
  </w:style>
  <w:style w:type="paragraph" w:customStyle="1" w:styleId="1957">
    <w:name w:val="Char Char Char2"/>
    <w:basedOn w:val="1"/>
    <w:qFormat/>
    <w:uiPriority w:val="0"/>
    <w:pPr>
      <w:spacing w:before="20" w:beforeLines="20" w:line="440" w:lineRule="atLeast"/>
      <w:ind w:firstLine="200"/>
    </w:pPr>
  </w:style>
  <w:style w:type="paragraph" w:customStyle="1" w:styleId="1958">
    <w:name w:val="题4"/>
    <w:basedOn w:val="84"/>
    <w:qFormat/>
    <w:uiPriority w:val="0"/>
    <w:pPr>
      <w:spacing w:before="120" w:after="120"/>
      <w:jc w:val="left"/>
      <w:outlineLvl w:val="3"/>
    </w:pPr>
    <w:rPr>
      <w:rFonts w:cs="Arial"/>
      <w:b/>
      <w:bCs/>
      <w:sz w:val="24"/>
    </w:rPr>
  </w:style>
  <w:style w:type="paragraph" w:customStyle="1" w:styleId="1959">
    <w:name w:val="图题2112"/>
    <w:basedOn w:val="185"/>
    <w:next w:val="185"/>
    <w:qFormat/>
    <w:uiPriority w:val="99"/>
    <w:pPr>
      <w:ind w:firstLine="0"/>
      <w:jc w:val="center"/>
    </w:pPr>
    <w:rPr>
      <w:rFonts w:ascii="黑体" w:hAnsi="宋体" w:eastAsia="黑体"/>
      <w:b/>
      <w:bCs/>
    </w:rPr>
  </w:style>
  <w:style w:type="paragraph" w:customStyle="1" w:styleId="1960">
    <w:name w:val="表文_L5"/>
    <w:qFormat/>
    <w:uiPriority w:val="0"/>
    <w:rPr>
      <w:rFonts w:ascii="Garamond" w:hAnsi="Garamond" w:eastAsia="楷体_GB2312" w:cs="Times New Roman"/>
      <w:bCs/>
      <w:kern w:val="2"/>
      <w:sz w:val="21"/>
      <w:szCs w:val="21"/>
      <w:lang w:val="en-US" w:eastAsia="zh-CN" w:bidi="ar-SA"/>
    </w:rPr>
  </w:style>
  <w:style w:type="paragraph" w:customStyle="1" w:styleId="1961">
    <w:name w:val="Char Char Char1 Char Char Char"/>
    <w:basedOn w:val="1"/>
    <w:qFormat/>
    <w:uiPriority w:val="0"/>
    <w:pPr>
      <w:spacing w:before="20" w:beforeLines="20" w:line="440" w:lineRule="atLeast"/>
      <w:ind w:firstLine="200"/>
    </w:pPr>
  </w:style>
  <w:style w:type="paragraph" w:customStyle="1" w:styleId="1962">
    <w:name w:val="四级标题"/>
    <w:basedOn w:val="1935"/>
    <w:qFormat/>
    <w:uiPriority w:val="0"/>
    <w:pPr>
      <w:outlineLvl w:val="9"/>
    </w:pPr>
    <w:rPr>
      <w:b w:val="0"/>
      <w:bCs w:val="0"/>
      <w:color w:val="000000"/>
      <w:sz w:val="24"/>
    </w:rPr>
  </w:style>
  <w:style w:type="paragraph" w:customStyle="1" w:styleId="1963">
    <w:name w:val="正文001 Char Char Char"/>
    <w:basedOn w:val="1"/>
    <w:qFormat/>
    <w:uiPriority w:val="0"/>
    <w:pPr>
      <w:spacing w:line="500" w:lineRule="atLeast"/>
      <w:ind w:firstLine="200"/>
    </w:pPr>
    <w:rPr>
      <w:color w:val="000000"/>
    </w:rPr>
  </w:style>
  <w:style w:type="paragraph" w:customStyle="1" w:styleId="1964">
    <w:name w:val="样式 正文001 + Times New Roman Char Char Char"/>
    <w:basedOn w:val="1963"/>
    <w:qFormat/>
    <w:uiPriority w:val="0"/>
    <w:pPr>
      <w:spacing w:before="60" w:line="460" w:lineRule="exact"/>
      <w:ind w:firstLine="482" w:firstLineChars="0"/>
    </w:pPr>
  </w:style>
  <w:style w:type="paragraph" w:customStyle="1" w:styleId="1965">
    <w:name w:val="Char Char Char Char Char Char Char Char Char Char Char Char Char1 Char Char Char Char Char Char Char Char"/>
    <w:basedOn w:val="1"/>
    <w:qFormat/>
    <w:uiPriority w:val="0"/>
    <w:pPr>
      <w:ind w:firstLine="200"/>
    </w:pPr>
    <w:rPr>
      <w:rFonts w:ascii="宋体" w:hAnsi="宋体" w:cs="宋体"/>
    </w:rPr>
  </w:style>
  <w:style w:type="paragraph" w:customStyle="1" w:styleId="1966">
    <w:name w:val="Char Char Char Char Char Char Char Char Char Char Char Char Char1 Char Char Char Char Char Char Char Char Char Char Char"/>
    <w:basedOn w:val="1"/>
    <w:qFormat/>
    <w:uiPriority w:val="0"/>
    <w:pPr>
      <w:ind w:firstLine="200"/>
    </w:pPr>
    <w:rPr>
      <w:rFonts w:ascii="宋体" w:hAnsi="宋体" w:cs="宋体"/>
    </w:rPr>
  </w:style>
  <w:style w:type="paragraph" w:customStyle="1" w:styleId="1967">
    <w:name w:val="图题74"/>
    <w:basedOn w:val="185"/>
    <w:next w:val="185"/>
    <w:qFormat/>
    <w:uiPriority w:val="99"/>
    <w:pPr>
      <w:ind w:firstLine="0"/>
      <w:jc w:val="center"/>
    </w:pPr>
    <w:rPr>
      <w:rFonts w:ascii="黑体" w:hAnsi="宋体" w:eastAsia="黑体"/>
      <w:b/>
      <w:bCs/>
    </w:rPr>
  </w:style>
  <w:style w:type="paragraph" w:customStyle="1" w:styleId="1968">
    <w:name w:val="样式 正文001 + Times New Roman"/>
    <w:basedOn w:val="1"/>
    <w:qFormat/>
    <w:uiPriority w:val="0"/>
    <w:pPr>
      <w:spacing w:before="60" w:line="460" w:lineRule="exact"/>
      <w:ind w:firstLine="482"/>
    </w:pPr>
    <w:rPr>
      <w:szCs w:val="20"/>
    </w:rPr>
  </w:style>
  <w:style w:type="paragraph" w:customStyle="1" w:styleId="1969">
    <w:name w:val="表内5中5"/>
    <w:basedOn w:val="1"/>
    <w:qFormat/>
    <w:uiPriority w:val="99"/>
    <w:pPr>
      <w:spacing w:line="240" w:lineRule="auto"/>
      <w:jc w:val="center"/>
    </w:pPr>
    <w:rPr>
      <w:rFonts w:ascii="宋体" w:hAnsi="宋体" w:cs="Arial"/>
      <w:snapToGrid w:val="0"/>
      <w:color w:val="000000"/>
      <w:sz w:val="21"/>
      <w:szCs w:val="21"/>
    </w:rPr>
  </w:style>
  <w:style w:type="paragraph" w:customStyle="1" w:styleId="1970">
    <w:name w:val="表题14"/>
    <w:basedOn w:val="22"/>
    <w:qFormat/>
    <w:uiPriority w:val="99"/>
    <w:pPr>
      <w:tabs>
        <w:tab w:val="clear" w:pos="10467"/>
        <w:tab w:val="clear" w:pos="13095"/>
      </w:tabs>
      <w:adjustRightInd/>
      <w:snapToGrid/>
    </w:pPr>
    <w:rPr>
      <w:rFonts w:ascii="黑体" w:eastAsia="黑体"/>
    </w:rPr>
  </w:style>
  <w:style w:type="paragraph" w:customStyle="1" w:styleId="1971">
    <w:name w:val="Char Char Char Char Char Char Char Char Char Char Char Char Char1 Char Char Char Char Char Char Char Char Char"/>
    <w:basedOn w:val="1"/>
    <w:qFormat/>
    <w:uiPriority w:val="0"/>
    <w:pPr>
      <w:ind w:firstLine="200"/>
    </w:pPr>
    <w:rPr>
      <w:rFonts w:ascii="宋体" w:hAnsi="宋体" w:cs="宋体"/>
    </w:rPr>
  </w:style>
  <w:style w:type="paragraph" w:customStyle="1" w:styleId="1972">
    <w:name w:val="样式 标题 4 + 段前: 7.8 磅"/>
    <w:basedOn w:val="6"/>
    <w:qFormat/>
    <w:uiPriority w:val="99"/>
    <w:pPr>
      <w:spacing w:before="0" w:after="0" w:line="500" w:lineRule="exact"/>
      <w:outlineLvl w:val="0"/>
    </w:pPr>
    <w:rPr>
      <w:rFonts w:ascii="Arial" w:hAnsi="Arial" w:eastAsia="仿宋_GB2312" w:cs="Arial"/>
      <w:bCs w:val="0"/>
      <w:szCs w:val="21"/>
    </w:rPr>
  </w:style>
  <w:style w:type="paragraph" w:customStyle="1" w:styleId="1973">
    <w:name w:val="Char Char Char Char Char Char Char Char Char Char Char Char Char1 Char Char Char Char Char Char Char Char Char Char Char Char Char Char"/>
    <w:basedOn w:val="1"/>
    <w:qFormat/>
    <w:uiPriority w:val="0"/>
    <w:pPr>
      <w:ind w:firstLine="200"/>
    </w:pPr>
    <w:rPr>
      <w:rFonts w:ascii="宋体" w:hAnsi="宋体" w:cs="宋体"/>
    </w:rPr>
  </w:style>
  <w:style w:type="paragraph" w:customStyle="1" w:styleId="1974">
    <w:name w:val="表文字511"/>
    <w:basedOn w:val="1"/>
    <w:qFormat/>
    <w:uiPriority w:val="99"/>
    <w:pPr>
      <w:spacing w:line="240" w:lineRule="auto"/>
      <w:jc w:val="left"/>
      <w:textAlignment w:val="baseline"/>
    </w:pPr>
    <w:rPr>
      <w:rFonts w:ascii="宋体"/>
      <w:kern w:val="0"/>
      <w:sz w:val="21"/>
      <w:szCs w:val="20"/>
    </w:rPr>
  </w:style>
  <w:style w:type="paragraph" w:customStyle="1" w:styleId="1975">
    <w:name w:val="my"/>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paragraph" w:customStyle="1" w:styleId="1976">
    <w:name w:val="表文字52"/>
    <w:basedOn w:val="1"/>
    <w:qFormat/>
    <w:uiPriority w:val="99"/>
    <w:pPr>
      <w:spacing w:line="240" w:lineRule="auto"/>
      <w:jc w:val="left"/>
      <w:textAlignment w:val="baseline"/>
    </w:pPr>
    <w:rPr>
      <w:rFonts w:ascii="宋体"/>
      <w:kern w:val="0"/>
      <w:sz w:val="21"/>
      <w:szCs w:val="20"/>
    </w:rPr>
  </w:style>
  <w:style w:type="paragraph" w:customStyle="1" w:styleId="1977">
    <w:name w:val="Char Char Char Char Char Char Char Char Char Char Char Char Char1 Char Char Char Char Char Char Char Char Char Char Char Char Char Char Char Char Char"/>
    <w:basedOn w:val="1"/>
    <w:qFormat/>
    <w:uiPriority w:val="0"/>
    <w:pPr>
      <w:ind w:firstLine="200"/>
    </w:pPr>
    <w:rPr>
      <w:rFonts w:ascii="宋体" w:hAnsi="宋体" w:cs="宋体"/>
    </w:rPr>
  </w:style>
  <w:style w:type="paragraph" w:customStyle="1" w:styleId="1978">
    <w:name w:val=".."/>
    <w:basedOn w:val="151"/>
    <w:next w:val="151"/>
    <w:qFormat/>
    <w:uiPriority w:val="0"/>
    <w:rPr>
      <w:rFonts w:ascii=".." w:hAnsi="Times New Roman" w:eastAsia=".." w:cs="Times New Roman"/>
      <w:color w:val="auto"/>
    </w:rPr>
  </w:style>
  <w:style w:type="paragraph" w:customStyle="1" w:styleId="1979">
    <w:name w:val="Char Char Char Char Char Char Char Char Char Char Char Char Char1"/>
    <w:basedOn w:val="1"/>
    <w:qFormat/>
    <w:uiPriority w:val="0"/>
    <w:pPr>
      <w:ind w:firstLine="200"/>
    </w:pPr>
    <w:rPr>
      <w:rFonts w:ascii="宋体" w:hAnsi="宋体" w:cs="宋体"/>
    </w:rPr>
  </w:style>
  <w:style w:type="paragraph" w:customStyle="1" w:styleId="1980">
    <w:name w:val="文本条款 Char Char"/>
    <w:basedOn w:val="1841"/>
    <w:qFormat/>
    <w:uiPriority w:val="0"/>
    <w:pPr>
      <w:spacing w:after="60"/>
      <w:ind w:firstLine="0" w:firstLineChars="0"/>
      <w:jc w:val="center"/>
    </w:pPr>
    <w:rPr>
      <w:bCs w:val="0"/>
      <w:color w:val="000000"/>
    </w:rPr>
  </w:style>
  <w:style w:type="paragraph" w:customStyle="1" w:styleId="1981">
    <w:name w:val="Char Char Char2 Char Char Char Char Char"/>
    <w:basedOn w:val="1"/>
    <w:qFormat/>
    <w:uiPriority w:val="0"/>
    <w:pPr>
      <w:spacing w:before="20" w:beforeLines="20" w:line="440" w:lineRule="atLeast"/>
      <w:ind w:firstLine="200"/>
    </w:pPr>
  </w:style>
  <w:style w:type="paragraph" w:customStyle="1" w:styleId="1982">
    <w:name w:val="Char Char Char2 Char Char Char Char"/>
    <w:basedOn w:val="1"/>
    <w:qFormat/>
    <w:uiPriority w:val="0"/>
    <w:pPr>
      <w:spacing w:before="20" w:beforeLines="20" w:line="440" w:lineRule="atLeast"/>
      <w:ind w:firstLine="200"/>
    </w:pPr>
  </w:style>
  <w:style w:type="paragraph" w:customStyle="1" w:styleId="1983">
    <w:name w:val="Char Char Char2 Char Char Char Char Char Char Char Char Char Char"/>
    <w:basedOn w:val="1"/>
    <w:qFormat/>
    <w:uiPriority w:val="99"/>
    <w:pPr>
      <w:spacing w:before="20" w:beforeLines="20" w:line="440" w:lineRule="atLeast"/>
      <w:ind w:firstLine="200"/>
    </w:pPr>
  </w:style>
  <w:style w:type="paragraph" w:customStyle="1" w:styleId="1984">
    <w:name w:val="表中文字114"/>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1985">
    <w:name w:val="正文首行缩进 Char Char"/>
    <w:basedOn w:val="1"/>
    <w:qFormat/>
    <w:uiPriority w:val="0"/>
    <w:pPr>
      <w:spacing w:line="606" w:lineRule="atLeast"/>
      <w:ind w:firstLine="538"/>
    </w:pPr>
    <w:rPr>
      <w:rFonts w:hint="eastAsia"/>
      <w:szCs w:val="20"/>
    </w:rPr>
  </w:style>
  <w:style w:type="paragraph" w:customStyle="1" w:styleId="1986">
    <w:name w:val="Char104"/>
    <w:basedOn w:val="1"/>
    <w:qFormat/>
    <w:uiPriority w:val="99"/>
    <w:rPr>
      <w:sz w:val="21"/>
    </w:rPr>
  </w:style>
  <w:style w:type="paragraph" w:customStyle="1" w:styleId="1987">
    <w:name w:val="图表题4"/>
    <w:basedOn w:val="185"/>
    <w:next w:val="185"/>
    <w:qFormat/>
    <w:uiPriority w:val="99"/>
    <w:pPr>
      <w:ind w:firstLine="0"/>
      <w:jc w:val="center"/>
    </w:pPr>
    <w:rPr>
      <w:rFonts w:ascii="黑体" w:hAnsi="宋体" w:eastAsia="黑体"/>
      <w:b/>
      <w:bCs/>
    </w:rPr>
  </w:style>
  <w:style w:type="paragraph" w:customStyle="1" w:styleId="1988">
    <w:name w:val="样式 标题 2节 + Times New Roman 四号 行距: 1.5 倍行距1"/>
    <w:basedOn w:val="4"/>
    <w:qFormat/>
    <w:uiPriority w:val="0"/>
    <w:pPr>
      <w:tabs>
        <w:tab w:val="left" w:pos="576"/>
      </w:tabs>
      <w:spacing w:before="0" w:after="0"/>
      <w:ind w:left="576" w:hanging="576"/>
    </w:pPr>
    <w:rPr>
      <w:rFonts w:ascii="仿宋_GB2312" w:eastAsia="仿宋_GB2312"/>
      <w:sz w:val="36"/>
      <w:szCs w:val="36"/>
    </w:rPr>
  </w:style>
  <w:style w:type="paragraph" w:customStyle="1" w:styleId="1989">
    <w:name w:val="黑点"/>
    <w:basedOn w:val="1"/>
    <w:qFormat/>
    <w:uiPriority w:val="99"/>
    <w:pPr>
      <w:tabs>
        <w:tab w:val="left" w:pos="600"/>
        <w:tab w:val="left" w:pos="2100"/>
      </w:tabs>
      <w:ind w:left="2100" w:hanging="420"/>
      <w:jc w:val="left"/>
      <w:textAlignment w:val="baseline"/>
    </w:pPr>
    <w:rPr>
      <w:rFonts w:ascii="宋体" w:hAnsi="宋体"/>
      <w:color w:val="000000"/>
      <w:kern w:val="0"/>
      <w:szCs w:val="20"/>
    </w:rPr>
  </w:style>
  <w:style w:type="paragraph" w:customStyle="1" w:styleId="1990">
    <w:name w:val="图题112"/>
    <w:basedOn w:val="185"/>
    <w:next w:val="185"/>
    <w:qFormat/>
    <w:uiPriority w:val="99"/>
    <w:pPr>
      <w:ind w:firstLine="0"/>
      <w:jc w:val="center"/>
    </w:pPr>
    <w:rPr>
      <w:rFonts w:ascii="黑体" w:hAnsi="宋体" w:eastAsia="黑体"/>
      <w:b/>
      <w:bCs/>
    </w:rPr>
  </w:style>
  <w:style w:type="paragraph" w:customStyle="1" w:styleId="1991">
    <w:name w:val="默认段落字体 Para Char Char Char Char34"/>
    <w:basedOn w:val="1"/>
    <w:qFormat/>
    <w:uiPriority w:val="99"/>
    <w:pPr>
      <w:spacing w:line="240" w:lineRule="auto"/>
    </w:pPr>
    <w:rPr>
      <w:sz w:val="21"/>
    </w:rPr>
  </w:style>
  <w:style w:type="paragraph" w:customStyle="1" w:styleId="1992">
    <w:name w:val="批注文字 Char Char"/>
    <w:basedOn w:val="1"/>
    <w:qFormat/>
    <w:uiPriority w:val="0"/>
    <w:pPr>
      <w:spacing w:line="351" w:lineRule="atLeast"/>
      <w:ind w:firstLine="419"/>
      <w:jc w:val="left"/>
    </w:pPr>
    <w:rPr>
      <w:rFonts w:hint="eastAsia"/>
      <w:sz w:val="21"/>
      <w:szCs w:val="20"/>
    </w:rPr>
  </w:style>
  <w:style w:type="paragraph" w:customStyle="1" w:styleId="1993">
    <w:name w:val="Char1 Char Char Char Char Char Char Char Char Char1 Char Char Char Char Char Char"/>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1994">
    <w:name w:val="样式"/>
    <w:basedOn w:val="1"/>
    <w:next w:val="80"/>
    <w:qFormat/>
    <w:uiPriority w:val="0"/>
    <w:pPr>
      <w:widowControl/>
      <w:spacing w:before="100" w:beforeAutospacing="1" w:after="100" w:afterAutospacing="1" w:line="240" w:lineRule="auto"/>
      <w:jc w:val="left"/>
    </w:pPr>
    <w:rPr>
      <w:rFonts w:ascii="Arial Unicode MS" w:hAnsi="Arial Unicode MS" w:cs="Arial Unicode MS"/>
      <w:color w:val="000000"/>
      <w:kern w:val="0"/>
    </w:rPr>
  </w:style>
  <w:style w:type="paragraph" w:customStyle="1" w:styleId="1995">
    <w:name w:val="Char317"/>
    <w:basedOn w:val="1"/>
    <w:qFormat/>
    <w:uiPriority w:val="99"/>
    <w:pPr>
      <w:spacing w:line="240" w:lineRule="auto"/>
      <w:ind w:left="-48"/>
    </w:pPr>
    <w:rPr>
      <w:sz w:val="21"/>
    </w:rPr>
  </w:style>
  <w:style w:type="paragraph" w:customStyle="1" w:styleId="1996">
    <w:name w:val="默认段落字体 Para Char24"/>
    <w:basedOn w:val="1"/>
    <w:next w:val="1"/>
    <w:qFormat/>
    <w:uiPriority w:val="99"/>
    <w:pPr>
      <w:spacing w:line="480" w:lineRule="exact"/>
      <w:ind w:firstLine="200"/>
      <w:jc w:val="left"/>
    </w:pPr>
    <w:rPr>
      <w:rFonts w:ascii="宋体" w:hAnsi="宋体" w:eastAsia="汉鼎简书宋" w:cs="宋体"/>
      <w:sz w:val="28"/>
    </w:rPr>
  </w:style>
  <w:style w:type="paragraph" w:customStyle="1" w:styleId="1997">
    <w:name w:val="样式 标题 2第一章 标题 2Heading 2 HiddenHeading 2 CCBSheading 2H2h2...2"/>
    <w:basedOn w:val="4"/>
    <w:qFormat/>
    <w:uiPriority w:val="0"/>
    <w:rPr>
      <w:rFonts w:eastAsia="仿宋_GB2312"/>
      <w:color w:val="000000"/>
    </w:rPr>
  </w:style>
  <w:style w:type="paragraph" w:customStyle="1" w:styleId="1998">
    <w:name w:val="样式 标题 2标题 2 Char标2h2H2标题21.1标题 2 + Times New Roman"/>
    <w:basedOn w:val="4"/>
    <w:qFormat/>
    <w:uiPriority w:val="99"/>
    <w:pPr>
      <w:autoSpaceDE w:val="0"/>
      <w:autoSpaceDN w:val="0"/>
      <w:spacing w:before="200" w:after="163"/>
      <w:jc w:val="center"/>
    </w:pPr>
    <w:rPr>
      <w:rFonts w:eastAsia="仿宋_GB2312"/>
      <w:b w:val="0"/>
      <w:bCs w:val="0"/>
      <w:kern w:val="0"/>
      <w:sz w:val="24"/>
      <w:szCs w:val="20"/>
    </w:rPr>
  </w:style>
  <w:style w:type="paragraph" w:customStyle="1" w:styleId="1999">
    <w:name w:val="T.."/>
    <w:basedOn w:val="151"/>
    <w:next w:val="151"/>
    <w:qFormat/>
    <w:uiPriority w:val="0"/>
    <w:rPr>
      <w:rFonts w:ascii=".." w:hAnsi="Times New Roman" w:eastAsia=".." w:cs="Times New Roman"/>
      <w:color w:val="auto"/>
    </w:rPr>
  </w:style>
  <w:style w:type="paragraph" w:customStyle="1" w:styleId="2000">
    <w:name w:val="样式 谏壁统稿表格内文字 + 左  0 字符"/>
    <w:basedOn w:val="1"/>
    <w:qFormat/>
    <w:uiPriority w:val="0"/>
    <w:pPr>
      <w:spacing w:line="0" w:lineRule="atLeast"/>
      <w:jc w:val="center"/>
    </w:pPr>
    <w:rPr>
      <w:rFonts w:cs="宋体"/>
      <w:sz w:val="21"/>
      <w:szCs w:val="21"/>
    </w:rPr>
  </w:style>
  <w:style w:type="paragraph" w:customStyle="1" w:styleId="2001">
    <w:name w:val="项目2"/>
    <w:basedOn w:val="1"/>
    <w:qFormat/>
    <w:uiPriority w:val="99"/>
    <w:pPr>
      <w:tabs>
        <w:tab w:val="left" w:pos="360"/>
      </w:tabs>
      <w:spacing w:line="240" w:lineRule="atLeast"/>
      <w:ind w:left="340" w:hanging="340"/>
    </w:pPr>
    <w:rPr>
      <w:sz w:val="28"/>
      <w:szCs w:val="28"/>
    </w:rPr>
  </w:style>
  <w:style w:type="paragraph" w:customStyle="1" w:styleId="2002">
    <w:name w:val="Char Char Char1 Char Char Char Char"/>
    <w:basedOn w:val="1"/>
    <w:qFormat/>
    <w:uiPriority w:val="99"/>
    <w:pPr>
      <w:spacing w:line="240" w:lineRule="auto"/>
    </w:pPr>
    <w:rPr>
      <w:sz w:val="21"/>
      <w:szCs w:val="20"/>
    </w:rPr>
  </w:style>
  <w:style w:type="paragraph" w:customStyle="1" w:styleId="2003">
    <w:name w:val="项目1"/>
    <w:basedOn w:val="1"/>
    <w:qFormat/>
    <w:uiPriority w:val="99"/>
    <w:pPr>
      <w:tabs>
        <w:tab w:val="left" w:pos="425"/>
      </w:tabs>
      <w:spacing w:line="240" w:lineRule="atLeast"/>
      <w:ind w:left="425" w:hanging="425"/>
    </w:pPr>
    <w:rPr>
      <w:sz w:val="28"/>
      <w:szCs w:val="28"/>
    </w:rPr>
  </w:style>
  <w:style w:type="paragraph" w:customStyle="1" w:styleId="2004">
    <w:name w:val="样式 标题 2 + (中文) 宋体"/>
    <w:basedOn w:val="4"/>
    <w:qFormat/>
    <w:uiPriority w:val="0"/>
    <w:pPr>
      <w:keepNext w:val="0"/>
      <w:keepLines w:val="0"/>
      <w:tabs>
        <w:tab w:val="left" w:pos="576"/>
      </w:tabs>
      <w:spacing w:before="0" w:beforeLines="50" w:after="0" w:afterLines="50"/>
      <w:ind w:left="567" w:hanging="567"/>
    </w:pPr>
    <w:rPr>
      <w:b w:val="0"/>
      <w:bCs w:val="0"/>
      <w:szCs w:val="28"/>
    </w:rPr>
  </w:style>
  <w:style w:type="paragraph" w:customStyle="1" w:styleId="2005">
    <w:name w:val="表内宋5111"/>
    <w:basedOn w:val="80"/>
    <w:qFormat/>
    <w:uiPriority w:val="99"/>
    <w:pPr>
      <w:spacing w:before="0" w:beforeAutospacing="0" w:after="0" w:afterAutospacing="0"/>
      <w:jc w:val="both"/>
    </w:pPr>
    <w:rPr>
      <w:rFonts w:cs="宋体"/>
      <w:color w:val="000000"/>
    </w:rPr>
  </w:style>
  <w:style w:type="paragraph" w:customStyle="1" w:styleId="2006">
    <w:name w:val="Char234"/>
    <w:basedOn w:val="1"/>
    <w:qFormat/>
    <w:uiPriority w:val="99"/>
    <w:pPr>
      <w:spacing w:line="240" w:lineRule="auto"/>
    </w:pPr>
    <w:rPr>
      <w:sz w:val="21"/>
      <w:szCs w:val="21"/>
    </w:rPr>
  </w:style>
  <w:style w:type="paragraph" w:customStyle="1" w:styleId="2007">
    <w:name w:val="wangjunbo.bullet"/>
    <w:basedOn w:val="1"/>
    <w:qFormat/>
    <w:uiPriority w:val="99"/>
    <w:pPr>
      <w:spacing w:line="240" w:lineRule="auto"/>
      <w:jc w:val="center"/>
    </w:pPr>
    <w:rPr>
      <w:rFonts w:ascii="宋体" w:hAnsi="宋体"/>
      <w:sz w:val="21"/>
      <w:szCs w:val="20"/>
    </w:rPr>
  </w:style>
  <w:style w:type="paragraph" w:customStyle="1" w:styleId="2008">
    <w:name w:val="Char3 Char Char Char Char Char"/>
    <w:basedOn w:val="1"/>
    <w:qFormat/>
    <w:uiPriority w:val="0"/>
    <w:pPr>
      <w:spacing w:line="240" w:lineRule="auto"/>
    </w:pPr>
    <w:rPr>
      <w:sz w:val="21"/>
      <w:szCs w:val="21"/>
    </w:rPr>
  </w:style>
  <w:style w:type="paragraph" w:customStyle="1" w:styleId="2009">
    <w:name w:val="样式 标题 3 + 段前: 0 磅 段后: 8 磅 行距: 固定值 22 磅1"/>
    <w:basedOn w:val="5"/>
    <w:qFormat/>
    <w:uiPriority w:val="0"/>
    <w:pPr>
      <w:tabs>
        <w:tab w:val="left" w:pos="720"/>
      </w:tabs>
      <w:spacing w:before="0" w:after="0"/>
      <w:ind w:left="720" w:hanging="720"/>
    </w:pPr>
    <w:rPr>
      <w:sz w:val="28"/>
      <w:szCs w:val="28"/>
    </w:rPr>
  </w:style>
  <w:style w:type="paragraph" w:customStyle="1" w:styleId="2010">
    <w:name w:val="样式7"/>
    <w:basedOn w:val="1"/>
    <w:next w:val="1"/>
    <w:qFormat/>
    <w:uiPriority w:val="0"/>
    <w:pPr>
      <w:spacing w:line="440" w:lineRule="exact"/>
    </w:pPr>
  </w:style>
  <w:style w:type="paragraph" w:customStyle="1" w:styleId="2011">
    <w:name w:val="Char313"/>
    <w:basedOn w:val="1"/>
    <w:qFormat/>
    <w:uiPriority w:val="99"/>
    <w:pPr>
      <w:spacing w:line="240" w:lineRule="auto"/>
      <w:ind w:left="-48"/>
    </w:pPr>
    <w:rPr>
      <w:sz w:val="21"/>
    </w:rPr>
  </w:style>
  <w:style w:type="paragraph" w:customStyle="1" w:styleId="2012">
    <w:name w:val="样式 标题 31.1.1标题 3 + Times New Roman 自动设置 段前: 0.2 行 段后: 0.2 行"/>
    <w:basedOn w:val="5"/>
    <w:qFormat/>
    <w:uiPriority w:val="0"/>
    <w:pPr>
      <w:autoSpaceDE w:val="0"/>
      <w:autoSpaceDN w:val="0"/>
      <w:spacing w:before="62" w:beforeLines="20" w:after="62" w:afterLines="20"/>
      <w:jc w:val="left"/>
    </w:pPr>
    <w:rPr>
      <w:bCs w:val="0"/>
      <w:kern w:val="0"/>
      <w:szCs w:val="20"/>
    </w:rPr>
  </w:style>
  <w:style w:type="paragraph" w:customStyle="1" w:styleId="2013">
    <w:name w:val="表内文字小312"/>
    <w:basedOn w:val="1"/>
    <w:qFormat/>
    <w:uiPriority w:val="99"/>
    <w:pPr>
      <w:spacing w:line="240" w:lineRule="auto"/>
      <w:jc w:val="center"/>
    </w:pPr>
    <w:rPr>
      <w:rFonts w:ascii="宋体" w:hAnsi="Times" w:cs="宋体"/>
      <w:bCs/>
      <w:color w:val="003366"/>
      <w:sz w:val="21"/>
      <w:szCs w:val="20"/>
    </w:rPr>
  </w:style>
  <w:style w:type="paragraph" w:customStyle="1" w:styleId="2014">
    <w:name w:val="Char Char1 Char Char Char Char Char Char Char"/>
    <w:basedOn w:val="1"/>
    <w:qFormat/>
    <w:uiPriority w:val="0"/>
    <w:pPr>
      <w:spacing w:line="240" w:lineRule="auto"/>
    </w:pPr>
  </w:style>
  <w:style w:type="paragraph" w:customStyle="1" w:styleId="2015">
    <w:name w:val="正文(1)"/>
    <w:basedOn w:val="1"/>
    <w:qFormat/>
    <w:uiPriority w:val="0"/>
    <w:pPr>
      <w:spacing w:before="120" w:line="300" w:lineRule="auto"/>
      <w:ind w:firstLine="480"/>
    </w:pPr>
    <w:rPr>
      <w:rFonts w:ascii="黑体" w:hAnsi="宋体" w:eastAsia="黑体"/>
      <w:b/>
      <w:snapToGrid w:val="0"/>
      <w:color w:val="339966"/>
      <w:kern w:val="0"/>
    </w:rPr>
  </w:style>
  <w:style w:type="paragraph" w:customStyle="1" w:styleId="2016">
    <w:name w:val="OmniPage #7"/>
    <w:basedOn w:val="1"/>
    <w:qFormat/>
    <w:uiPriority w:val="0"/>
    <w:pPr>
      <w:widowControl/>
      <w:spacing w:line="320" w:lineRule="exact"/>
      <w:jc w:val="left"/>
    </w:pPr>
    <w:rPr>
      <w:kern w:val="0"/>
      <w:sz w:val="20"/>
      <w:szCs w:val="20"/>
      <w:lang w:val="en-GB" w:eastAsia="en-US"/>
    </w:rPr>
  </w:style>
  <w:style w:type="paragraph" w:customStyle="1" w:styleId="2017">
    <w:name w:val="正文标准格式"/>
    <w:basedOn w:val="1"/>
    <w:qFormat/>
    <w:uiPriority w:val="0"/>
    <w:pPr>
      <w:ind w:left="200" w:leftChars="200"/>
      <w:jc w:val="left"/>
    </w:pPr>
    <w:rPr>
      <w:rFonts w:eastAsia="仿宋_GB2312"/>
      <w:color w:val="000000"/>
      <w:sz w:val="28"/>
      <w:szCs w:val="28"/>
    </w:rPr>
  </w:style>
  <w:style w:type="paragraph" w:customStyle="1" w:styleId="2018">
    <w:name w:val="普通表格1"/>
    <w:basedOn w:val="45"/>
    <w:qFormat/>
    <w:uiPriority w:val="99"/>
    <w:pPr>
      <w:spacing w:line="380" w:lineRule="exact"/>
      <w:jc w:val="both"/>
    </w:pPr>
    <w:rPr>
      <w:rFonts w:ascii="Times New Roman" w:hAnsi="Times New Roman"/>
      <w:spacing w:val="0"/>
      <w:sz w:val="24"/>
    </w:rPr>
  </w:style>
  <w:style w:type="paragraph" w:customStyle="1" w:styleId="2019">
    <w:name w:val="样式 正文标准格式 + 左侧:  2 字符"/>
    <w:basedOn w:val="2017"/>
    <w:qFormat/>
    <w:uiPriority w:val="0"/>
  </w:style>
  <w:style w:type="paragraph" w:customStyle="1" w:styleId="2020">
    <w:name w:val="样式 正文标准格式 + 左侧:  2 字符1"/>
    <w:basedOn w:val="2017"/>
    <w:qFormat/>
    <w:uiPriority w:val="0"/>
    <w:pPr>
      <w:ind w:left="0" w:leftChars="0"/>
    </w:pPr>
  </w:style>
  <w:style w:type="paragraph" w:customStyle="1" w:styleId="2021">
    <w:name w:val="文本框1"/>
    <w:basedOn w:val="1"/>
    <w:qFormat/>
    <w:uiPriority w:val="99"/>
    <w:pPr>
      <w:spacing w:after="6" w:line="240" w:lineRule="auto"/>
      <w:jc w:val="center"/>
    </w:pPr>
    <w:rPr>
      <w:rFonts w:eastAsia="仿宋_GB2312"/>
      <w:sz w:val="21"/>
    </w:rPr>
  </w:style>
  <w:style w:type="paragraph" w:customStyle="1" w:styleId="2022">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023">
    <w:name w:val="样式 111"/>
    <w:basedOn w:val="1"/>
    <w:qFormat/>
    <w:uiPriority w:val="0"/>
    <w:pPr>
      <w:spacing w:line="240" w:lineRule="auto"/>
      <w:jc w:val="center"/>
    </w:pPr>
    <w:rPr>
      <w:rFonts w:eastAsia="仿宋_GB2312"/>
      <w:color w:val="000000"/>
    </w:rPr>
  </w:style>
  <w:style w:type="paragraph" w:customStyle="1" w:styleId="2024">
    <w:name w:val="Chapter"/>
    <w:basedOn w:val="1"/>
    <w:qFormat/>
    <w:uiPriority w:val="0"/>
    <w:pPr>
      <w:widowControl/>
      <w:tabs>
        <w:tab w:val="left" w:pos="426"/>
        <w:tab w:val="left" w:pos="1620"/>
      </w:tabs>
      <w:spacing w:line="240" w:lineRule="auto"/>
    </w:pPr>
    <w:rPr>
      <w:b/>
      <w:bCs/>
      <w:kern w:val="0"/>
      <w:sz w:val="28"/>
      <w:szCs w:val="28"/>
      <w:lang w:eastAsia="en-US"/>
    </w:rPr>
  </w:style>
  <w:style w:type="paragraph" w:customStyle="1" w:styleId="2025">
    <w:name w:val="Char5"/>
    <w:basedOn w:val="1"/>
    <w:qFormat/>
    <w:uiPriority w:val="99"/>
    <w:pPr>
      <w:spacing w:line="240" w:lineRule="auto"/>
    </w:pPr>
    <w:rPr>
      <w:sz w:val="21"/>
      <w:szCs w:val="21"/>
    </w:rPr>
  </w:style>
  <w:style w:type="paragraph" w:customStyle="1" w:styleId="2026">
    <w:name w:val="ChapterNum"/>
    <w:basedOn w:val="2024"/>
    <w:qFormat/>
    <w:uiPriority w:val="0"/>
    <w:pPr>
      <w:keepNext/>
      <w:tabs>
        <w:tab w:val="left" w:pos="570"/>
      </w:tabs>
      <w:ind w:left="570" w:hanging="570"/>
    </w:pPr>
    <w:rPr>
      <w:rFonts w:ascii="Arial" w:hAnsi="Arial"/>
    </w:rPr>
  </w:style>
  <w:style w:type="paragraph" w:customStyle="1" w:styleId="2027">
    <w:name w:val="SectionNum"/>
    <w:basedOn w:val="1"/>
    <w:qFormat/>
    <w:uiPriority w:val="0"/>
    <w:pPr>
      <w:keepNext/>
      <w:widowControl/>
      <w:tabs>
        <w:tab w:val="left" w:pos="570"/>
      </w:tabs>
      <w:spacing w:line="240" w:lineRule="auto"/>
      <w:ind w:left="570" w:hanging="570"/>
    </w:pPr>
    <w:rPr>
      <w:rFonts w:ascii="Arial" w:hAnsi="Arial"/>
      <w:b/>
      <w:bCs/>
      <w:kern w:val="0"/>
      <w:lang w:eastAsia="en-US"/>
    </w:rPr>
  </w:style>
  <w:style w:type="paragraph" w:customStyle="1" w:styleId="2028">
    <w:name w:val="SubSectionNum"/>
    <w:basedOn w:val="1"/>
    <w:qFormat/>
    <w:uiPriority w:val="0"/>
    <w:pPr>
      <w:widowControl/>
      <w:tabs>
        <w:tab w:val="left" w:pos="720"/>
      </w:tabs>
      <w:spacing w:line="240" w:lineRule="auto"/>
      <w:ind w:left="720" w:hanging="720"/>
    </w:pPr>
    <w:rPr>
      <w:rFonts w:ascii="Arial" w:hAnsi="Arial"/>
      <w:b/>
      <w:bCs/>
      <w:kern w:val="0"/>
      <w:lang w:eastAsia="en-US"/>
    </w:rPr>
  </w:style>
  <w:style w:type="paragraph" w:customStyle="1" w:styleId="2029">
    <w:name w:val="正文-1"/>
    <w:basedOn w:val="1"/>
    <w:qFormat/>
    <w:uiPriority w:val="99"/>
    <w:pPr>
      <w:spacing w:line="440" w:lineRule="exact"/>
      <w:ind w:firstLine="200"/>
    </w:pPr>
  </w:style>
  <w:style w:type="paragraph" w:customStyle="1" w:styleId="2030">
    <w:name w:val="条款"/>
    <w:basedOn w:val="1"/>
    <w:qFormat/>
    <w:uiPriority w:val="0"/>
    <w:pPr>
      <w:spacing w:line="240" w:lineRule="auto"/>
    </w:pPr>
    <w:rPr>
      <w:sz w:val="21"/>
      <w:szCs w:val="21"/>
    </w:rPr>
  </w:style>
  <w:style w:type="paragraph" w:customStyle="1" w:styleId="2031">
    <w:name w:val="表格名称"/>
    <w:basedOn w:val="1"/>
    <w:qFormat/>
    <w:uiPriority w:val="0"/>
    <w:pPr>
      <w:keepNext/>
      <w:spacing w:before="78" w:beforeLines="25" w:after="78" w:afterLines="25" w:line="440" w:lineRule="exact"/>
    </w:pPr>
    <w:rPr>
      <w:rFonts w:ascii="宋体"/>
    </w:rPr>
  </w:style>
  <w:style w:type="paragraph" w:customStyle="1" w:styleId="2032">
    <w:name w:val="图题注4"/>
    <w:basedOn w:val="22"/>
    <w:qFormat/>
    <w:uiPriority w:val="99"/>
    <w:pPr>
      <w:tabs>
        <w:tab w:val="clear" w:pos="10467"/>
        <w:tab w:val="clear" w:pos="13095"/>
      </w:tabs>
      <w:adjustRightInd/>
      <w:snapToGrid/>
      <w:spacing w:line="240" w:lineRule="auto"/>
    </w:pPr>
    <w:rPr>
      <w:rFonts w:ascii="黑体" w:eastAsia="黑体" w:cs="宋体"/>
      <w:bCs/>
    </w:rPr>
  </w:style>
  <w:style w:type="paragraph" w:customStyle="1" w:styleId="2033">
    <w:name w:val="样式 标题 3条标题1.1.1 + 段前: 0.5 行 段后: 0.5 行"/>
    <w:basedOn w:val="5"/>
    <w:qFormat/>
    <w:uiPriority w:val="0"/>
    <w:pPr>
      <w:widowControl/>
      <w:tabs>
        <w:tab w:val="left" w:pos="720"/>
      </w:tabs>
      <w:spacing w:before="156" w:after="156"/>
      <w:jc w:val="left"/>
    </w:pPr>
    <w:rPr>
      <w:rFonts w:ascii="仿宋_GB2312" w:eastAsia="仿宋_GB2312"/>
      <w:sz w:val="28"/>
      <w:szCs w:val="28"/>
    </w:rPr>
  </w:style>
  <w:style w:type="paragraph" w:customStyle="1" w:styleId="2034">
    <w:name w:val="小四表文居中"/>
    <w:qFormat/>
    <w:uiPriority w:val="99"/>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2035">
    <w:name w:val="宏福4"/>
    <w:basedOn w:val="1"/>
    <w:qFormat/>
    <w:uiPriority w:val="0"/>
    <w:pPr>
      <w:spacing w:line="400" w:lineRule="atLeast"/>
      <w:ind w:firstLine="567"/>
      <w:jc w:val="left"/>
      <w:textAlignment w:val="baseline"/>
    </w:pPr>
    <w:rPr>
      <w:sz w:val="28"/>
      <w:szCs w:val="28"/>
    </w:rPr>
  </w:style>
  <w:style w:type="paragraph" w:customStyle="1" w:styleId="2036">
    <w:name w:val="样式 列表 2 + 宋体 小四 行距: 固定值 19 磅"/>
    <w:basedOn w:val="37"/>
    <w:qFormat/>
    <w:uiPriority w:val="0"/>
    <w:pPr>
      <w:spacing w:line="400" w:lineRule="exact"/>
      <w:ind w:left="0" w:leftChars="0" w:firstLine="0" w:firstLineChars="0"/>
      <w:jc w:val="center"/>
    </w:pPr>
    <w:rPr>
      <w:rFonts w:ascii="宋体" w:hAnsi="宋体"/>
      <w:sz w:val="24"/>
    </w:rPr>
  </w:style>
  <w:style w:type="paragraph" w:customStyle="1" w:styleId="2037">
    <w:name w:val="表文字534"/>
    <w:basedOn w:val="1"/>
    <w:qFormat/>
    <w:uiPriority w:val="99"/>
    <w:pPr>
      <w:spacing w:line="240" w:lineRule="auto"/>
      <w:jc w:val="left"/>
      <w:textAlignment w:val="baseline"/>
    </w:pPr>
    <w:rPr>
      <w:rFonts w:ascii="宋体"/>
      <w:kern w:val="0"/>
      <w:sz w:val="21"/>
      <w:szCs w:val="20"/>
    </w:rPr>
  </w:style>
  <w:style w:type="paragraph" w:customStyle="1" w:styleId="2038">
    <w:name w:val="默认段落字体 Para Char Char Char1 Char Char Char Char"/>
    <w:basedOn w:val="1"/>
    <w:qFormat/>
    <w:uiPriority w:val="0"/>
    <w:pPr>
      <w:spacing w:line="240" w:lineRule="auto"/>
    </w:pPr>
  </w:style>
  <w:style w:type="paragraph" w:customStyle="1" w:styleId="2039">
    <w:name w:val="正文格式94"/>
    <w:basedOn w:val="1"/>
    <w:qFormat/>
    <w:uiPriority w:val="99"/>
    <w:pPr>
      <w:ind w:firstLine="482"/>
    </w:pPr>
    <w:rPr>
      <w:rFonts w:ascii="宋体" w:hAnsi="宋体"/>
    </w:rPr>
  </w:style>
  <w:style w:type="paragraph" w:customStyle="1" w:styleId="2040">
    <w:name w:val="c1"/>
    <w:qFormat/>
    <w:uiPriority w:val="99"/>
    <w:pPr>
      <w:widowControl w:val="0"/>
      <w:autoSpaceDE w:val="0"/>
      <w:autoSpaceDN w:val="0"/>
      <w:adjustRightInd w:val="0"/>
      <w:jc w:val="both"/>
    </w:pPr>
    <w:rPr>
      <w:rFonts w:ascii="Arial" w:hAnsi="Arial" w:eastAsia="宋体" w:cs="Times New Roman"/>
      <w:sz w:val="24"/>
      <w:szCs w:val="24"/>
      <w:lang w:val="en-US" w:eastAsia="zh-CN" w:bidi="ar-SA"/>
    </w:rPr>
  </w:style>
  <w:style w:type="paragraph" w:customStyle="1" w:styleId="2041">
    <w:name w:val="表112"/>
    <w:basedOn w:val="1"/>
    <w:qFormat/>
    <w:uiPriority w:val="99"/>
    <w:pPr>
      <w:spacing w:line="240" w:lineRule="auto"/>
      <w:jc w:val="center"/>
    </w:pPr>
    <w:rPr>
      <w:rFonts w:eastAsia="仿宋_GB2312"/>
    </w:rPr>
  </w:style>
  <w:style w:type="paragraph" w:customStyle="1" w:styleId="2042">
    <w:name w:val="标题一二"/>
    <w:basedOn w:val="296"/>
    <w:qFormat/>
    <w:uiPriority w:val="0"/>
    <w:pPr>
      <w:widowControl/>
      <w:spacing w:line="240" w:lineRule="auto"/>
    </w:pPr>
    <w:rPr>
      <w:snapToGrid w:val="0"/>
      <w:kern w:val="0"/>
      <w:szCs w:val="21"/>
    </w:rPr>
  </w:style>
  <w:style w:type="paragraph" w:customStyle="1" w:styleId="2043">
    <w:name w:val="样式 标题 3 + 11 磅 蓝色"/>
    <w:basedOn w:val="5"/>
    <w:qFormat/>
    <w:uiPriority w:val="99"/>
    <w:pPr>
      <w:autoSpaceDE w:val="0"/>
      <w:autoSpaceDN w:val="0"/>
      <w:spacing w:before="0" w:after="0"/>
      <w:jc w:val="left"/>
      <w:textAlignment w:val="baseline"/>
    </w:pPr>
    <w:rPr>
      <w:rFonts w:ascii="宋体" w:hAnsi="宋体"/>
      <w:b w:val="0"/>
      <w:bCs w:val="0"/>
      <w:snapToGrid w:val="0"/>
      <w:color w:val="0000FF"/>
      <w:kern w:val="0"/>
      <w:sz w:val="28"/>
      <w:szCs w:val="20"/>
    </w:rPr>
  </w:style>
  <w:style w:type="paragraph" w:customStyle="1" w:styleId="2044">
    <w:name w:val="样式 首行缩进:  2 字符"/>
    <w:basedOn w:val="1"/>
    <w:qFormat/>
    <w:uiPriority w:val="0"/>
    <w:pPr>
      <w:ind w:firstLine="200"/>
    </w:pPr>
    <w:rPr>
      <w:rFonts w:cs="宋体"/>
      <w:sz w:val="28"/>
      <w:szCs w:val="20"/>
    </w:rPr>
  </w:style>
  <w:style w:type="paragraph" w:customStyle="1" w:styleId="2045">
    <w:name w:val="样式 标题 2第一章 标题 2Heading 2 HiddenHeading 2 CCBSheading 2H2h2...1"/>
    <w:basedOn w:val="4"/>
    <w:qFormat/>
    <w:uiPriority w:val="0"/>
    <w:rPr>
      <w:rFonts w:eastAsia="仿宋_GB2312" w:cs="宋体"/>
      <w:szCs w:val="20"/>
    </w:rPr>
  </w:style>
  <w:style w:type="paragraph" w:customStyle="1" w:styleId="2046">
    <w:name w:val="表内文字小21212"/>
    <w:basedOn w:val="1"/>
    <w:qFormat/>
    <w:uiPriority w:val="99"/>
    <w:pPr>
      <w:spacing w:line="240" w:lineRule="auto"/>
      <w:jc w:val="center"/>
    </w:pPr>
    <w:rPr>
      <w:rFonts w:ascii="宋体" w:hAnsi="Times"/>
      <w:bCs/>
      <w:color w:val="000000"/>
      <w:sz w:val="21"/>
      <w:szCs w:val="20"/>
    </w:rPr>
  </w:style>
  <w:style w:type="paragraph" w:customStyle="1" w:styleId="2047">
    <w:name w:val="表题3133"/>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2048">
    <w:name w:val="目录 8 Char Char"/>
    <w:basedOn w:val="1"/>
    <w:next w:val="1"/>
    <w:qFormat/>
    <w:uiPriority w:val="0"/>
    <w:pPr>
      <w:spacing w:line="351" w:lineRule="atLeast"/>
      <w:ind w:left="1468" w:firstLine="419"/>
      <w:jc w:val="left"/>
    </w:pPr>
    <w:rPr>
      <w:rFonts w:hint="eastAsia"/>
      <w:sz w:val="21"/>
      <w:szCs w:val="20"/>
    </w:rPr>
  </w:style>
  <w:style w:type="paragraph" w:customStyle="1" w:styleId="2049">
    <w:name w:val="Char1 Char Char1 Char"/>
    <w:basedOn w:val="1"/>
    <w:qFormat/>
    <w:uiPriority w:val="0"/>
    <w:pPr>
      <w:spacing w:line="240" w:lineRule="auto"/>
    </w:pPr>
    <w:rPr>
      <w:sz w:val="21"/>
      <w:szCs w:val="21"/>
    </w:rPr>
  </w:style>
  <w:style w:type="paragraph" w:customStyle="1" w:styleId="2050">
    <w:name w:val="表内宋5中15"/>
    <w:basedOn w:val="1"/>
    <w:qFormat/>
    <w:uiPriority w:val="99"/>
    <w:pPr>
      <w:spacing w:line="240" w:lineRule="auto"/>
      <w:jc w:val="center"/>
      <w:textAlignment w:val="baseline"/>
    </w:pPr>
    <w:rPr>
      <w:rFonts w:ascii="宋体" w:hAnsi="宋体" w:cs="宋体"/>
      <w:kern w:val="0"/>
      <w:sz w:val="21"/>
      <w:szCs w:val="20"/>
    </w:rPr>
  </w:style>
  <w:style w:type="paragraph" w:customStyle="1" w:styleId="2051">
    <w:name w:val="Char Char Char1 Char"/>
    <w:basedOn w:val="1"/>
    <w:qFormat/>
    <w:uiPriority w:val="0"/>
    <w:pPr>
      <w:spacing w:line="240" w:lineRule="auto"/>
    </w:pPr>
    <w:rPr>
      <w:sz w:val="21"/>
    </w:rPr>
  </w:style>
  <w:style w:type="paragraph" w:customStyle="1" w:styleId="2052">
    <w:name w:val="Char Char Char Char1 Char Char"/>
    <w:basedOn w:val="1"/>
    <w:qFormat/>
    <w:uiPriority w:val="0"/>
    <w:pPr>
      <w:spacing w:line="240" w:lineRule="auto"/>
    </w:pPr>
  </w:style>
  <w:style w:type="paragraph" w:customStyle="1" w:styleId="2053">
    <w:name w:val="正文修改2"/>
    <w:basedOn w:val="900"/>
    <w:qFormat/>
    <w:uiPriority w:val="99"/>
    <w:pPr>
      <w:spacing w:line="480" w:lineRule="exact"/>
      <w:ind w:firstLine="0" w:firstLineChars="0"/>
    </w:pPr>
    <w:rPr>
      <w:rFonts w:cs="宋体"/>
      <w:sz w:val="24"/>
      <w:szCs w:val="24"/>
    </w:rPr>
  </w:style>
  <w:style w:type="paragraph" w:customStyle="1" w:styleId="2054">
    <w:name w:val="表中文字54"/>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055">
    <w:name w:val="样式 正文文本 + 首行缩进:  2 字符4"/>
    <w:basedOn w:val="34"/>
    <w:qFormat/>
    <w:uiPriority w:val="99"/>
    <w:pPr>
      <w:snapToGrid/>
      <w:spacing w:after="0" w:line="240" w:lineRule="auto"/>
      <w:textAlignment w:val="baseline"/>
    </w:pPr>
    <w:rPr>
      <w:rFonts w:eastAsia="仿宋_GB2312" w:cs="宋体"/>
      <w:color w:val="000000"/>
      <w:sz w:val="21"/>
      <w:szCs w:val="21"/>
    </w:rPr>
  </w:style>
  <w:style w:type="paragraph" w:customStyle="1" w:styleId="2056">
    <w:name w:val="Char Char1 Char"/>
    <w:basedOn w:val="1"/>
    <w:qFormat/>
    <w:uiPriority w:val="0"/>
    <w:pPr>
      <w:spacing w:line="240" w:lineRule="auto"/>
    </w:pPr>
    <w:rPr>
      <w:sz w:val="21"/>
    </w:rPr>
  </w:style>
  <w:style w:type="paragraph" w:customStyle="1" w:styleId="2057">
    <w:name w:val="表内小5中4"/>
    <w:basedOn w:val="1"/>
    <w:qFormat/>
    <w:uiPriority w:val="99"/>
    <w:pPr>
      <w:spacing w:line="240" w:lineRule="auto"/>
      <w:jc w:val="center"/>
    </w:pPr>
    <w:rPr>
      <w:rFonts w:ascii="宋体" w:hAnsi="宋体"/>
      <w:sz w:val="18"/>
      <w:szCs w:val="20"/>
    </w:rPr>
  </w:style>
  <w:style w:type="paragraph" w:customStyle="1" w:styleId="2058">
    <w:name w:val="Char18"/>
    <w:basedOn w:val="1"/>
    <w:qFormat/>
    <w:uiPriority w:val="99"/>
    <w:pPr>
      <w:spacing w:line="240" w:lineRule="auto"/>
    </w:pPr>
    <w:rPr>
      <w:sz w:val="21"/>
      <w:szCs w:val="21"/>
    </w:rPr>
  </w:style>
  <w:style w:type="paragraph" w:customStyle="1" w:styleId="2059">
    <w:name w:val="+标题3"/>
    <w:basedOn w:val="5"/>
    <w:qFormat/>
    <w:uiPriority w:val="0"/>
    <w:pPr>
      <w:spacing w:before="156" w:beforeLines="50" w:after="0" w:line="600" w:lineRule="exact"/>
    </w:pPr>
    <w:rPr>
      <w:szCs w:val="24"/>
    </w:rPr>
  </w:style>
  <w:style w:type="paragraph" w:customStyle="1" w:styleId="2060">
    <w:name w:val="Char Char Char Char Char Char Char Char Char Char Char Char Char Char Char Char"/>
    <w:basedOn w:val="1"/>
    <w:qFormat/>
    <w:uiPriority w:val="0"/>
    <w:pPr>
      <w:spacing w:line="240" w:lineRule="auto"/>
    </w:pPr>
    <w:rPr>
      <w:sz w:val="21"/>
      <w:szCs w:val="20"/>
    </w:rPr>
  </w:style>
  <w:style w:type="paragraph" w:customStyle="1" w:styleId="2061">
    <w:name w:val="广西炼油"/>
    <w:basedOn w:val="1"/>
    <w:qFormat/>
    <w:uiPriority w:val="99"/>
    <w:pPr>
      <w:spacing w:before="15" w:beforeLines="5"/>
      <w:ind w:firstLine="480"/>
    </w:pPr>
    <w:rPr>
      <w:rFonts w:ascii="宋体" w:hAnsi="宋体"/>
      <w:szCs w:val="20"/>
    </w:rPr>
  </w:style>
  <w:style w:type="paragraph" w:customStyle="1" w:styleId="2062">
    <w:name w:val="表格内字体312"/>
    <w:basedOn w:val="185"/>
    <w:next w:val="185"/>
    <w:qFormat/>
    <w:uiPriority w:val="99"/>
    <w:pPr>
      <w:spacing w:line="240" w:lineRule="auto"/>
      <w:ind w:firstLine="0"/>
      <w:jc w:val="center"/>
    </w:pPr>
    <w:rPr>
      <w:rFonts w:hAnsi="宋体" w:cs="Times New Roman"/>
      <w:sz w:val="21"/>
    </w:rPr>
  </w:style>
  <w:style w:type="paragraph" w:customStyle="1" w:styleId="2063">
    <w:name w:val="样式 标题 3条标题1.1.1条标题1.1.11条标题1.1.12条标题1.1.13条标题1.1.111条标题1.1...1"/>
    <w:basedOn w:val="5"/>
    <w:qFormat/>
    <w:uiPriority w:val="99"/>
    <w:pPr>
      <w:spacing w:before="0" w:after="0"/>
    </w:pPr>
    <w:rPr>
      <w:rFonts w:ascii="宋体" w:hAnsi="宋体"/>
      <w:bCs w:val="0"/>
      <w:sz w:val="28"/>
      <w:szCs w:val="20"/>
    </w:rPr>
  </w:style>
  <w:style w:type="paragraph" w:customStyle="1" w:styleId="2064">
    <w:name w:val="Char Char Char7"/>
    <w:basedOn w:val="1"/>
    <w:qFormat/>
    <w:uiPriority w:val="0"/>
    <w:pPr>
      <w:spacing w:line="240" w:lineRule="exact"/>
      <w:ind w:firstLine="200"/>
    </w:pPr>
    <w:rPr>
      <w:sz w:val="28"/>
      <w:szCs w:val="28"/>
    </w:rPr>
  </w:style>
  <w:style w:type="paragraph" w:customStyle="1" w:styleId="2065">
    <w:name w:val="表头样式1"/>
    <w:basedOn w:val="1"/>
    <w:qFormat/>
    <w:uiPriority w:val="99"/>
    <w:pPr>
      <w:autoSpaceDE w:val="0"/>
      <w:autoSpaceDN w:val="0"/>
      <w:spacing w:before="62" w:beforeLines="20" w:after="62" w:afterLines="20"/>
      <w:ind w:firstLine="480"/>
      <w:jc w:val="center"/>
    </w:pPr>
    <w:rPr>
      <w:rFonts w:ascii="黑体" w:hAnsi="宋体" w:eastAsia="黑体"/>
      <w:kern w:val="0"/>
      <w:szCs w:val="20"/>
    </w:rPr>
  </w:style>
  <w:style w:type="paragraph" w:customStyle="1" w:styleId="2066">
    <w:name w:val="表中文字12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067">
    <w:name w:val="标题003"/>
    <w:basedOn w:val="1"/>
    <w:qFormat/>
    <w:uiPriority w:val="99"/>
    <w:pPr>
      <w:spacing w:before="120" w:line="440" w:lineRule="exact"/>
      <w:outlineLvl w:val="2"/>
    </w:pPr>
    <w:rPr>
      <w:b/>
      <w:sz w:val="27"/>
      <w:szCs w:val="20"/>
    </w:rPr>
  </w:style>
  <w:style w:type="paragraph" w:customStyle="1" w:styleId="2068">
    <w:name w:val="表题3111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2069">
    <w:name w:val="样式 正文文本缩进 + 左侧:  0.95 厘米 首行缩进:  0.63 厘米"/>
    <w:basedOn w:val="35"/>
    <w:qFormat/>
    <w:uiPriority w:val="99"/>
    <w:pPr>
      <w:spacing w:line="480" w:lineRule="exact"/>
      <w:ind w:left="0" w:firstLine="480" w:firstLineChars="200"/>
    </w:pPr>
    <w:rPr>
      <w:rFonts w:ascii="宋体" w:hAnsi="宋体"/>
      <w:color w:val="000000"/>
      <w:sz w:val="24"/>
      <w:szCs w:val="20"/>
    </w:rPr>
  </w:style>
  <w:style w:type="paragraph" w:customStyle="1" w:styleId="2070">
    <w:name w:val="表内文字小2212"/>
    <w:basedOn w:val="1"/>
    <w:qFormat/>
    <w:uiPriority w:val="99"/>
    <w:pPr>
      <w:spacing w:line="240" w:lineRule="auto"/>
      <w:jc w:val="center"/>
    </w:pPr>
    <w:rPr>
      <w:rFonts w:ascii="宋体" w:hAnsi="Times"/>
      <w:bCs/>
      <w:color w:val="000000"/>
      <w:sz w:val="21"/>
      <w:szCs w:val="20"/>
    </w:rPr>
  </w:style>
  <w:style w:type="paragraph" w:customStyle="1" w:styleId="2071">
    <w:name w:val="正文修改212"/>
    <w:basedOn w:val="900"/>
    <w:qFormat/>
    <w:uiPriority w:val="99"/>
    <w:pPr>
      <w:spacing w:line="480" w:lineRule="exact"/>
      <w:ind w:firstLine="0" w:firstLineChars="0"/>
    </w:pPr>
    <w:rPr>
      <w:rFonts w:cs="宋体"/>
      <w:sz w:val="24"/>
      <w:szCs w:val="24"/>
    </w:rPr>
  </w:style>
  <w:style w:type="paragraph" w:customStyle="1" w:styleId="2072">
    <w:name w:val="表样式1.1"/>
    <w:basedOn w:val="1"/>
    <w:qFormat/>
    <w:uiPriority w:val="0"/>
    <w:pPr>
      <w:autoSpaceDE w:val="0"/>
      <w:autoSpaceDN w:val="0"/>
      <w:spacing w:line="374" w:lineRule="exact"/>
      <w:jc w:val="center"/>
    </w:pPr>
    <w:rPr>
      <w:rFonts w:ascii="宋体" w:hAnsi="宋体"/>
      <w:color w:val="000000"/>
      <w:kern w:val="0"/>
      <w:sz w:val="21"/>
      <w:szCs w:val="20"/>
    </w:rPr>
  </w:style>
  <w:style w:type="paragraph" w:customStyle="1" w:styleId="2073">
    <w:name w:val="Char Char Char Char Char Char Char114"/>
    <w:basedOn w:val="1"/>
    <w:qFormat/>
    <w:uiPriority w:val="99"/>
    <w:pPr>
      <w:spacing w:line="240" w:lineRule="auto"/>
    </w:pPr>
    <w:rPr>
      <w:sz w:val="21"/>
    </w:rPr>
  </w:style>
  <w:style w:type="paragraph" w:customStyle="1" w:styleId="2074">
    <w:name w:val="表内53112"/>
    <w:basedOn w:val="1"/>
    <w:qFormat/>
    <w:uiPriority w:val="99"/>
    <w:pPr>
      <w:spacing w:line="300" w:lineRule="auto"/>
      <w:jc w:val="left"/>
    </w:pPr>
    <w:rPr>
      <w:rFonts w:ascii="宋体"/>
      <w:sz w:val="21"/>
      <w:szCs w:val="20"/>
    </w:rPr>
  </w:style>
  <w:style w:type="paragraph" w:customStyle="1" w:styleId="2075">
    <w:name w:val="正文（行首缩进2字）"/>
    <w:basedOn w:val="1"/>
    <w:qFormat/>
    <w:uiPriority w:val="99"/>
    <w:pPr>
      <w:ind w:firstLine="200"/>
    </w:pPr>
    <w:rPr>
      <w:sz w:val="28"/>
      <w:szCs w:val="20"/>
    </w:rPr>
  </w:style>
  <w:style w:type="paragraph" w:customStyle="1" w:styleId="2076">
    <w:name w:val="表内5中6"/>
    <w:basedOn w:val="1"/>
    <w:qFormat/>
    <w:uiPriority w:val="99"/>
    <w:pPr>
      <w:spacing w:line="240" w:lineRule="auto"/>
      <w:jc w:val="center"/>
    </w:pPr>
    <w:rPr>
      <w:rFonts w:ascii="宋体" w:hAnsi="宋体" w:cs="Arial"/>
      <w:snapToGrid w:val="0"/>
      <w:color w:val="000000"/>
      <w:sz w:val="21"/>
      <w:szCs w:val="21"/>
    </w:rPr>
  </w:style>
  <w:style w:type="paragraph" w:customStyle="1" w:styleId="2077">
    <w:name w:val="表内宋51114"/>
    <w:basedOn w:val="80"/>
    <w:qFormat/>
    <w:uiPriority w:val="99"/>
    <w:pPr>
      <w:spacing w:before="0" w:beforeAutospacing="0" w:after="0" w:afterAutospacing="0"/>
      <w:jc w:val="both"/>
    </w:pPr>
    <w:rPr>
      <w:rFonts w:cs="宋体"/>
      <w:color w:val="000000"/>
    </w:rPr>
  </w:style>
  <w:style w:type="paragraph" w:customStyle="1" w:styleId="2078">
    <w:name w:val="标题002"/>
    <w:basedOn w:val="1"/>
    <w:qFormat/>
    <w:uiPriority w:val="99"/>
    <w:pPr>
      <w:spacing w:before="160" w:line="480" w:lineRule="exact"/>
      <w:outlineLvl w:val="1"/>
    </w:pPr>
    <w:rPr>
      <w:b/>
      <w:sz w:val="28"/>
      <w:szCs w:val="20"/>
    </w:rPr>
  </w:style>
  <w:style w:type="paragraph" w:customStyle="1" w:styleId="2079">
    <w:name w:val="纯文本2"/>
    <w:basedOn w:val="1"/>
    <w:qFormat/>
    <w:uiPriority w:val="0"/>
    <w:pPr>
      <w:spacing w:line="240" w:lineRule="auto"/>
      <w:textAlignment w:val="baseline"/>
    </w:pPr>
    <w:rPr>
      <w:rFonts w:ascii="宋体" w:hAnsi="Courier New"/>
      <w:sz w:val="21"/>
      <w:szCs w:val="20"/>
    </w:rPr>
  </w:style>
  <w:style w:type="paragraph" w:customStyle="1" w:styleId="2080">
    <w:name w:val="样式 标题 3 + 首行缩进:  2 字符1"/>
    <w:basedOn w:val="5"/>
    <w:qFormat/>
    <w:uiPriority w:val="0"/>
    <w:pPr>
      <w:spacing w:before="240" w:after="240" w:line="413" w:lineRule="auto"/>
    </w:pPr>
    <w:rPr>
      <w:bCs w:val="0"/>
      <w:sz w:val="28"/>
      <w:szCs w:val="20"/>
    </w:rPr>
  </w:style>
  <w:style w:type="paragraph" w:customStyle="1" w:styleId="2081">
    <w:name w:val="表212"/>
    <w:basedOn w:val="1"/>
    <w:qFormat/>
    <w:uiPriority w:val="99"/>
    <w:pPr>
      <w:spacing w:line="240" w:lineRule="auto"/>
      <w:jc w:val="center"/>
    </w:pPr>
    <w:rPr>
      <w:rFonts w:eastAsia="仿宋_GB2312"/>
    </w:rPr>
  </w:style>
  <w:style w:type="paragraph" w:customStyle="1" w:styleId="2082">
    <w:name w:val="正文修改33"/>
    <w:basedOn w:val="900"/>
    <w:qFormat/>
    <w:uiPriority w:val="99"/>
    <w:pPr>
      <w:spacing w:line="480" w:lineRule="exact"/>
      <w:ind w:firstLine="0" w:firstLineChars="0"/>
    </w:pPr>
    <w:rPr>
      <w:rFonts w:cs="宋体"/>
      <w:sz w:val="24"/>
      <w:szCs w:val="24"/>
    </w:rPr>
  </w:style>
  <w:style w:type="paragraph" w:customStyle="1" w:styleId="2083">
    <w:name w:val="目录 9 Char Char"/>
    <w:basedOn w:val="1"/>
    <w:next w:val="1"/>
    <w:qFormat/>
    <w:uiPriority w:val="0"/>
    <w:pPr>
      <w:spacing w:line="351" w:lineRule="atLeast"/>
      <w:ind w:left="1678" w:firstLine="419"/>
      <w:jc w:val="left"/>
    </w:pPr>
    <w:rPr>
      <w:rFonts w:hint="eastAsia"/>
      <w:sz w:val="21"/>
      <w:szCs w:val="20"/>
    </w:rPr>
  </w:style>
  <w:style w:type="paragraph" w:customStyle="1" w:styleId="2084">
    <w:name w:val="Char Char Char1 Char Char Char Char Char Char Char Char Char Char Char Char Char Char Char Char Char Char Char Char Char Char"/>
    <w:basedOn w:val="1"/>
    <w:qFormat/>
    <w:uiPriority w:val="0"/>
    <w:pPr>
      <w:spacing w:line="240" w:lineRule="auto"/>
    </w:pPr>
    <w:rPr>
      <w:sz w:val="21"/>
      <w:szCs w:val="20"/>
    </w:rPr>
  </w:style>
  <w:style w:type="paragraph" w:customStyle="1" w:styleId="2085">
    <w:name w:val="表中文字3"/>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086">
    <w:name w:val="二级无标题条"/>
    <w:basedOn w:val="1"/>
    <w:qFormat/>
    <w:uiPriority w:val="0"/>
    <w:pPr>
      <w:spacing w:line="240" w:lineRule="auto"/>
    </w:pPr>
    <w:rPr>
      <w:sz w:val="21"/>
      <w:szCs w:val="20"/>
    </w:rPr>
  </w:style>
  <w:style w:type="paragraph" w:customStyle="1" w:styleId="2087">
    <w:name w:val="标题001"/>
    <w:basedOn w:val="1"/>
    <w:qFormat/>
    <w:uiPriority w:val="99"/>
    <w:pPr>
      <w:spacing w:before="60" w:line="480" w:lineRule="exact"/>
      <w:outlineLvl w:val="0"/>
    </w:pPr>
    <w:rPr>
      <w:b/>
      <w:sz w:val="32"/>
      <w:szCs w:val="20"/>
    </w:rPr>
  </w:style>
  <w:style w:type="paragraph" w:customStyle="1" w:styleId="2088">
    <w:name w:val="Char Char Char Char Char Char Char30"/>
    <w:basedOn w:val="1"/>
    <w:qFormat/>
    <w:uiPriority w:val="99"/>
    <w:pPr>
      <w:spacing w:line="240" w:lineRule="auto"/>
    </w:pPr>
    <w:rPr>
      <w:sz w:val="21"/>
    </w:rPr>
  </w:style>
  <w:style w:type="paragraph" w:customStyle="1" w:styleId="2089">
    <w:name w:val="目录 5 Char Char"/>
    <w:basedOn w:val="1"/>
    <w:next w:val="1"/>
    <w:qFormat/>
    <w:uiPriority w:val="0"/>
    <w:pPr>
      <w:spacing w:line="351" w:lineRule="atLeast"/>
      <w:ind w:left="839" w:firstLine="419"/>
      <w:jc w:val="left"/>
    </w:pPr>
    <w:rPr>
      <w:rFonts w:hint="eastAsia"/>
      <w:sz w:val="21"/>
      <w:szCs w:val="20"/>
    </w:rPr>
  </w:style>
  <w:style w:type="paragraph" w:customStyle="1" w:styleId="2090">
    <w:name w:val="样式 标题 2节第一章 标题 2Heading 2 HiddenHeading 2 CCBSheading 2H2...1"/>
    <w:basedOn w:val="4"/>
    <w:qFormat/>
    <w:uiPriority w:val="0"/>
    <w:rPr>
      <w:rFonts w:ascii="宋体" w:hAnsi="宋体"/>
      <w:bCs w:val="0"/>
      <w:sz w:val="24"/>
      <w:szCs w:val="20"/>
    </w:rPr>
  </w:style>
  <w:style w:type="paragraph" w:customStyle="1" w:styleId="2091">
    <w:name w:val="正文修改112"/>
    <w:basedOn w:val="900"/>
    <w:qFormat/>
    <w:uiPriority w:val="99"/>
    <w:pPr>
      <w:spacing w:line="480" w:lineRule="exact"/>
      <w:ind w:firstLine="0" w:firstLineChars="0"/>
    </w:pPr>
    <w:rPr>
      <w:rFonts w:cs="宋体"/>
      <w:sz w:val="24"/>
      <w:szCs w:val="24"/>
    </w:rPr>
  </w:style>
  <w:style w:type="paragraph" w:customStyle="1" w:styleId="2092">
    <w:name w:val="样式6"/>
    <w:basedOn w:val="1"/>
    <w:qFormat/>
    <w:uiPriority w:val="99"/>
    <w:pPr>
      <w:tabs>
        <w:tab w:val="left" w:leader="dot" w:pos="1092"/>
        <w:tab w:val="left" w:pos="1260"/>
      </w:tabs>
      <w:spacing w:before="156" w:beforeLines="50" w:after="156" w:afterLines="50"/>
      <w:ind w:left="1260" w:hanging="720"/>
      <w:jc w:val="left"/>
      <w:outlineLvl w:val="2"/>
    </w:pPr>
    <w:rPr>
      <w:szCs w:val="20"/>
    </w:rPr>
  </w:style>
  <w:style w:type="paragraph" w:customStyle="1" w:styleId="2093">
    <w:name w:val="Char215"/>
    <w:basedOn w:val="1"/>
    <w:qFormat/>
    <w:uiPriority w:val="99"/>
    <w:pPr>
      <w:spacing w:line="240" w:lineRule="auto"/>
      <w:ind w:left="-48"/>
    </w:pPr>
    <w:rPr>
      <w:sz w:val="21"/>
    </w:rPr>
  </w:style>
  <w:style w:type="paragraph" w:customStyle="1" w:styleId="2094">
    <w:name w:val="标题004"/>
    <w:basedOn w:val="1946"/>
    <w:qFormat/>
    <w:uiPriority w:val="99"/>
    <w:pPr>
      <w:spacing w:line="420" w:lineRule="exact"/>
      <w:ind w:firstLine="0" w:firstLineChars="0"/>
      <w:outlineLvl w:val="3"/>
    </w:pPr>
    <w:rPr>
      <w:rFonts w:ascii="Times New Roman" w:hAnsi="Times New Roman"/>
      <w:b/>
    </w:rPr>
  </w:style>
  <w:style w:type="paragraph" w:customStyle="1" w:styleId="2095">
    <w:name w:val="正文格式44"/>
    <w:basedOn w:val="1"/>
    <w:qFormat/>
    <w:uiPriority w:val="99"/>
    <w:pPr>
      <w:ind w:firstLine="482"/>
    </w:pPr>
    <w:rPr>
      <w:rFonts w:ascii="宋体" w:hAnsi="宋体"/>
    </w:rPr>
  </w:style>
  <w:style w:type="paragraph" w:customStyle="1" w:styleId="2096">
    <w:name w:val="样式 图表"/>
    <w:basedOn w:val="1"/>
    <w:qFormat/>
    <w:uiPriority w:val="99"/>
    <w:pPr>
      <w:jc w:val="center"/>
      <w:textAlignment w:val="baseline"/>
    </w:pPr>
    <w:rPr>
      <w:b/>
      <w:kern w:val="0"/>
      <w:szCs w:val="20"/>
    </w:rPr>
  </w:style>
  <w:style w:type="paragraph" w:customStyle="1" w:styleId="2097">
    <w:name w:val="表样式1"/>
    <w:basedOn w:val="1"/>
    <w:qFormat/>
    <w:uiPriority w:val="99"/>
    <w:pPr>
      <w:jc w:val="center"/>
    </w:pPr>
    <w:rPr>
      <w:rFonts w:ascii="宋体" w:hAnsi="宋体"/>
      <w:color w:val="000000"/>
      <w:sz w:val="21"/>
      <w:szCs w:val="20"/>
    </w:rPr>
  </w:style>
  <w:style w:type="paragraph" w:customStyle="1" w:styleId="2098">
    <w:name w:val="样式 正文缩进正文缩进 Char正文缩进1 Char正文缩进1正文（首行缩进两字） Char正文缩进 Char Cha..."/>
    <w:basedOn w:val="21"/>
    <w:qFormat/>
    <w:uiPriority w:val="99"/>
    <w:pPr>
      <w:spacing w:before="156" w:beforeLines="50" w:line="360" w:lineRule="auto"/>
      <w:ind w:firstLine="567" w:firstLineChars="0"/>
      <w:jc w:val="left"/>
    </w:pPr>
    <w:rPr>
      <w:sz w:val="24"/>
      <w:szCs w:val="20"/>
    </w:rPr>
  </w:style>
  <w:style w:type="paragraph" w:customStyle="1" w:styleId="2099">
    <w:name w:val="正文格式222"/>
    <w:basedOn w:val="1"/>
    <w:qFormat/>
    <w:uiPriority w:val="99"/>
    <w:pPr>
      <w:ind w:firstLine="482"/>
    </w:pPr>
    <w:rPr>
      <w:rFonts w:ascii="宋体" w:hAnsi="宋体"/>
    </w:rPr>
  </w:style>
  <w:style w:type="paragraph" w:customStyle="1" w:styleId="2100">
    <w:name w:val="首行缩进两字"/>
    <w:basedOn w:val="1"/>
    <w:qFormat/>
    <w:uiPriority w:val="0"/>
    <w:pPr>
      <w:spacing w:line="240" w:lineRule="auto"/>
      <w:ind w:firstLine="549" w:firstLineChars="196"/>
      <w:jc w:val="left"/>
    </w:pPr>
    <w:rPr>
      <w:rFonts w:ascii="宋体" w:hAnsi="宋体"/>
      <w:sz w:val="28"/>
      <w:szCs w:val="20"/>
    </w:rPr>
  </w:style>
  <w:style w:type="paragraph" w:customStyle="1" w:styleId="2101">
    <w:name w:val="Normal Indent1"/>
    <w:basedOn w:val="1"/>
    <w:qFormat/>
    <w:uiPriority w:val="0"/>
    <w:pPr>
      <w:spacing w:line="240" w:lineRule="auto"/>
      <w:ind w:firstLine="420"/>
    </w:pPr>
    <w:rPr>
      <w:rFonts w:hint="eastAsia"/>
      <w:sz w:val="21"/>
      <w:szCs w:val="20"/>
    </w:rPr>
  </w:style>
  <w:style w:type="paragraph" w:customStyle="1" w:styleId="2102">
    <w:name w:val="首行缩进"/>
    <w:basedOn w:val="1"/>
    <w:qFormat/>
    <w:uiPriority w:val="0"/>
    <w:pPr>
      <w:ind w:firstLine="480"/>
    </w:pPr>
  </w:style>
  <w:style w:type="paragraph" w:customStyle="1" w:styleId="2103">
    <w:name w:val="正文斜体4"/>
    <w:basedOn w:val="185"/>
    <w:next w:val="185"/>
    <w:qFormat/>
    <w:uiPriority w:val="99"/>
    <w:rPr>
      <w:rFonts w:hAnsi="宋体" w:cs="Times New Roman"/>
      <w:i/>
      <w:iCs/>
    </w:rPr>
  </w:style>
  <w:style w:type="paragraph" w:customStyle="1" w:styleId="2104">
    <w:name w:val="正文格式312"/>
    <w:basedOn w:val="1"/>
    <w:qFormat/>
    <w:uiPriority w:val="99"/>
    <w:pPr>
      <w:ind w:firstLine="482"/>
    </w:pPr>
    <w:rPr>
      <w:rFonts w:ascii="宋体" w:hAnsi="宋体"/>
    </w:rPr>
  </w:style>
  <w:style w:type="paragraph" w:customStyle="1" w:styleId="2105">
    <w:name w:val="默认段落字体 Para Char Char Char Char112"/>
    <w:basedOn w:val="1"/>
    <w:qFormat/>
    <w:uiPriority w:val="99"/>
    <w:pPr>
      <w:spacing w:line="240" w:lineRule="auto"/>
    </w:pPr>
    <w:rPr>
      <w:sz w:val="21"/>
    </w:rPr>
  </w:style>
  <w:style w:type="paragraph" w:customStyle="1" w:styleId="2106">
    <w:name w:val="样式 表头样式1 + 首行缩进:  2 字符 段前: 0.5 行"/>
    <w:basedOn w:val="2065"/>
    <w:qFormat/>
    <w:uiPriority w:val="99"/>
    <w:pPr>
      <w:snapToGrid/>
      <w:spacing w:after="100" w:afterLines="0" w:afterAutospacing="1"/>
    </w:pPr>
    <w:rPr>
      <w:rFonts w:ascii="Times New Roman" w:hAnsi="Times New Roman" w:cs="宋体"/>
      <w:bCs/>
      <w:color w:val="000000"/>
      <w:lang w:eastAsia="zh-TW"/>
    </w:rPr>
  </w:style>
  <w:style w:type="paragraph" w:customStyle="1" w:styleId="2107">
    <w:name w:val="Char413"/>
    <w:basedOn w:val="1"/>
    <w:qFormat/>
    <w:uiPriority w:val="99"/>
    <w:pPr>
      <w:spacing w:line="240" w:lineRule="auto"/>
      <w:ind w:left="-48"/>
    </w:pPr>
    <w:rPr>
      <w:sz w:val="21"/>
    </w:rPr>
  </w:style>
  <w:style w:type="paragraph" w:customStyle="1" w:styleId="2108">
    <w:name w:val="正文格式74"/>
    <w:basedOn w:val="1"/>
    <w:qFormat/>
    <w:uiPriority w:val="99"/>
    <w:pPr>
      <w:ind w:firstLine="482"/>
    </w:pPr>
    <w:rPr>
      <w:rFonts w:ascii="宋体" w:hAnsi="宋体"/>
    </w:rPr>
  </w:style>
  <w:style w:type="paragraph" w:customStyle="1" w:styleId="2109">
    <w:name w:val="样式 标题 3 + (西文)粗体"/>
    <w:basedOn w:val="5"/>
    <w:qFormat/>
    <w:uiPriority w:val="99"/>
    <w:pPr>
      <w:spacing w:before="260" w:after="260" w:line="416" w:lineRule="auto"/>
    </w:pPr>
    <w:rPr>
      <w:rFonts w:ascii="Arial" w:hAnsi="Arial" w:eastAsia="仿宋_GB2312" w:cs="Angsana New"/>
      <w:lang w:bidi="th-TH"/>
    </w:rPr>
  </w:style>
  <w:style w:type="paragraph" w:customStyle="1" w:styleId="2110">
    <w:name w:val="样式12"/>
    <w:basedOn w:val="1199"/>
    <w:qFormat/>
    <w:uiPriority w:val="99"/>
    <w:pPr>
      <w:spacing w:line="240" w:lineRule="auto"/>
      <w:ind w:firstLine="0"/>
      <w:jc w:val="center"/>
    </w:pPr>
    <w:rPr>
      <w:rFonts w:cs="Times New Roman"/>
      <w:b/>
      <w:color w:val="auto"/>
      <w:szCs w:val="20"/>
    </w:rPr>
  </w:style>
  <w:style w:type="paragraph" w:customStyle="1" w:styleId="2111">
    <w:name w:val="日期 Char Char"/>
    <w:basedOn w:val="1"/>
    <w:next w:val="1"/>
    <w:qFormat/>
    <w:uiPriority w:val="0"/>
    <w:pPr>
      <w:spacing w:line="351" w:lineRule="atLeast"/>
      <w:ind w:firstLine="419"/>
    </w:pPr>
    <w:rPr>
      <w:rFonts w:hint="eastAsia" w:eastAsia="仿宋_GB2312"/>
      <w:sz w:val="31"/>
      <w:szCs w:val="20"/>
    </w:rPr>
  </w:style>
  <w:style w:type="paragraph" w:customStyle="1" w:styleId="2112">
    <w:name w:val="目录 7 Char Char"/>
    <w:basedOn w:val="1"/>
    <w:next w:val="1"/>
    <w:qFormat/>
    <w:uiPriority w:val="0"/>
    <w:pPr>
      <w:spacing w:line="351" w:lineRule="atLeast"/>
      <w:ind w:left="1258" w:firstLine="419"/>
      <w:jc w:val="left"/>
    </w:pPr>
    <w:rPr>
      <w:rFonts w:hint="eastAsia"/>
      <w:sz w:val="21"/>
      <w:szCs w:val="20"/>
    </w:rPr>
  </w:style>
  <w:style w:type="paragraph" w:customStyle="1" w:styleId="2113">
    <w:name w:val="表题145"/>
    <w:basedOn w:val="22"/>
    <w:qFormat/>
    <w:uiPriority w:val="99"/>
    <w:pPr>
      <w:tabs>
        <w:tab w:val="clear" w:pos="10467"/>
        <w:tab w:val="clear" w:pos="13095"/>
      </w:tabs>
      <w:adjustRightInd/>
      <w:snapToGrid/>
    </w:pPr>
    <w:rPr>
      <w:rFonts w:ascii="黑体" w:eastAsia="黑体"/>
    </w:rPr>
  </w:style>
  <w:style w:type="paragraph" w:customStyle="1" w:styleId="2114">
    <w:name w:val="页脚 Char Char"/>
    <w:basedOn w:val="1"/>
    <w:qFormat/>
    <w:uiPriority w:val="0"/>
    <w:pPr>
      <w:tabs>
        <w:tab w:val="left" w:pos="4149"/>
        <w:tab w:val="left" w:pos="8016"/>
      </w:tabs>
      <w:spacing w:line="351" w:lineRule="atLeast"/>
      <w:ind w:firstLine="419"/>
      <w:jc w:val="left"/>
    </w:pPr>
    <w:rPr>
      <w:rFonts w:hint="eastAsia"/>
      <w:sz w:val="18"/>
      <w:szCs w:val="20"/>
    </w:rPr>
  </w:style>
  <w:style w:type="paragraph" w:customStyle="1" w:styleId="2115">
    <w:name w:val="目录 4 Char Char"/>
    <w:basedOn w:val="1"/>
    <w:next w:val="1"/>
    <w:qFormat/>
    <w:uiPriority w:val="0"/>
    <w:pPr>
      <w:spacing w:line="351" w:lineRule="atLeast"/>
      <w:ind w:left="629" w:firstLine="419"/>
      <w:jc w:val="left"/>
    </w:pPr>
    <w:rPr>
      <w:rFonts w:hint="eastAsia"/>
      <w:sz w:val="21"/>
      <w:szCs w:val="20"/>
    </w:rPr>
  </w:style>
  <w:style w:type="paragraph" w:customStyle="1" w:styleId="2116">
    <w:name w:val="燕山正文44"/>
    <w:basedOn w:val="1"/>
    <w:qFormat/>
    <w:uiPriority w:val="99"/>
    <w:pPr>
      <w:tabs>
        <w:tab w:val="left" w:pos="4680"/>
      </w:tabs>
      <w:spacing w:line="480" w:lineRule="exact"/>
    </w:pPr>
    <w:rPr>
      <w:rFonts w:ascii="宋体" w:cs="宋体"/>
    </w:rPr>
  </w:style>
  <w:style w:type="paragraph" w:customStyle="1" w:styleId="2117">
    <w:name w:val="目录4"/>
    <w:basedOn w:val="1"/>
    <w:next w:val="1"/>
    <w:qFormat/>
    <w:uiPriority w:val="0"/>
    <w:pPr>
      <w:tabs>
        <w:tab w:val="left" w:leader="dot" w:pos="8503"/>
      </w:tabs>
      <w:spacing w:line="317" w:lineRule="atLeast"/>
      <w:ind w:left="419" w:firstLine="629"/>
    </w:pPr>
    <w:rPr>
      <w:rFonts w:hint="eastAsia"/>
      <w:sz w:val="21"/>
      <w:szCs w:val="20"/>
    </w:rPr>
  </w:style>
  <w:style w:type="paragraph" w:customStyle="1" w:styleId="2118">
    <w:name w:val="目录标题1"/>
    <w:basedOn w:val="1"/>
    <w:next w:val="1"/>
    <w:qFormat/>
    <w:uiPriority w:val="0"/>
    <w:pPr>
      <w:spacing w:before="215" w:after="419" w:line="436" w:lineRule="atLeast"/>
      <w:ind w:firstLine="419"/>
      <w:jc w:val="center"/>
    </w:pPr>
    <w:rPr>
      <w:rFonts w:hint="eastAsia" w:ascii="Arial" w:eastAsia="黑体"/>
      <w:spacing w:val="283"/>
      <w:sz w:val="42"/>
      <w:szCs w:val="20"/>
    </w:rPr>
  </w:style>
  <w:style w:type="paragraph" w:customStyle="1" w:styleId="2119">
    <w:name w:val="燕山正文212"/>
    <w:basedOn w:val="1"/>
    <w:qFormat/>
    <w:uiPriority w:val="99"/>
    <w:pPr>
      <w:tabs>
        <w:tab w:val="left" w:pos="4680"/>
      </w:tabs>
      <w:spacing w:line="480" w:lineRule="exact"/>
    </w:pPr>
    <w:rPr>
      <w:rFonts w:ascii="宋体" w:cs="宋体"/>
    </w:rPr>
  </w:style>
  <w:style w:type="paragraph" w:customStyle="1" w:styleId="2120">
    <w:name w:val="黑体三号33"/>
    <w:basedOn w:val="185"/>
    <w:qFormat/>
    <w:uiPriority w:val="99"/>
    <w:pPr>
      <w:jc w:val="center"/>
    </w:pPr>
    <w:rPr>
      <w:rFonts w:ascii="黑体" w:hAnsi="宋体" w:eastAsia="黑体"/>
      <w:b/>
      <w:bCs/>
      <w:sz w:val="32"/>
      <w:szCs w:val="20"/>
    </w:rPr>
  </w:style>
  <w:style w:type="paragraph" w:customStyle="1" w:styleId="2121">
    <w:name w:val="批注框文本 Char Char"/>
    <w:basedOn w:val="1"/>
    <w:qFormat/>
    <w:uiPriority w:val="0"/>
    <w:pPr>
      <w:spacing w:line="240" w:lineRule="auto"/>
    </w:pPr>
    <w:rPr>
      <w:sz w:val="18"/>
      <w:szCs w:val="20"/>
    </w:rPr>
  </w:style>
  <w:style w:type="paragraph" w:customStyle="1" w:styleId="2122">
    <w:name w:val="Char6 Char Char Char1 Char Char Char"/>
    <w:basedOn w:val="1"/>
    <w:qFormat/>
    <w:uiPriority w:val="0"/>
    <w:pPr>
      <w:spacing w:line="240" w:lineRule="auto"/>
    </w:pPr>
    <w:rPr>
      <w:sz w:val="21"/>
      <w:szCs w:val="21"/>
    </w:rPr>
  </w:style>
  <w:style w:type="paragraph" w:customStyle="1" w:styleId="2123">
    <w:name w:val="样式 标题 3 + (西文) Times New Roman (中文) 宋体 行距: 固定值 24 磅1"/>
    <w:basedOn w:val="5"/>
    <w:qFormat/>
    <w:uiPriority w:val="0"/>
    <w:pPr>
      <w:keepNext w:val="0"/>
      <w:keepLines w:val="0"/>
      <w:tabs>
        <w:tab w:val="left" w:pos="1560"/>
      </w:tabs>
      <w:spacing w:before="0" w:after="0"/>
      <w:ind w:firstLine="615"/>
      <w:outlineLvl w:val="9"/>
    </w:pPr>
    <w:rPr>
      <w:rFonts w:ascii="宋体" w:hAnsi="宋体" w:cs="宋体"/>
      <w:b w:val="0"/>
      <w:sz w:val="28"/>
      <w:szCs w:val="28"/>
    </w:rPr>
  </w:style>
  <w:style w:type="paragraph" w:customStyle="1" w:styleId="2124">
    <w:name w:val="目录3"/>
    <w:basedOn w:val="1"/>
    <w:next w:val="1"/>
    <w:qFormat/>
    <w:uiPriority w:val="0"/>
    <w:pPr>
      <w:tabs>
        <w:tab w:val="left" w:leader="dot" w:pos="8503"/>
      </w:tabs>
      <w:spacing w:line="317" w:lineRule="atLeast"/>
      <w:ind w:left="419" w:firstLine="419"/>
    </w:pPr>
    <w:rPr>
      <w:rFonts w:hint="eastAsia"/>
      <w:sz w:val="21"/>
      <w:szCs w:val="20"/>
    </w:rPr>
  </w:style>
  <w:style w:type="paragraph" w:customStyle="1" w:styleId="2125">
    <w:name w:val="表格样式1"/>
    <w:basedOn w:val="1"/>
    <w:next w:val="1"/>
    <w:qFormat/>
    <w:uiPriority w:val="0"/>
    <w:pPr>
      <w:spacing w:line="40" w:lineRule="atLeast"/>
      <w:jc w:val="center"/>
    </w:pPr>
    <w:rPr>
      <w:rFonts w:hint="eastAsia"/>
      <w:szCs w:val="20"/>
    </w:rPr>
  </w:style>
  <w:style w:type="paragraph" w:customStyle="1" w:styleId="2126">
    <w:name w:val="Char Char Char Char Char Char Char117"/>
    <w:basedOn w:val="1"/>
    <w:qFormat/>
    <w:uiPriority w:val="99"/>
    <w:pPr>
      <w:spacing w:line="240" w:lineRule="auto"/>
    </w:pPr>
    <w:rPr>
      <w:sz w:val="21"/>
    </w:rPr>
  </w:style>
  <w:style w:type="paragraph" w:customStyle="1" w:styleId="2127">
    <w:name w:val="gy"/>
    <w:basedOn w:val="1"/>
    <w:qFormat/>
    <w:uiPriority w:val="0"/>
    <w:pPr>
      <w:widowControl/>
      <w:spacing w:before="100" w:beforeAutospacing="1" w:after="100" w:afterAutospacing="1"/>
      <w:ind w:left="150" w:right="150" w:firstLine="520"/>
      <w:jc w:val="left"/>
    </w:pPr>
    <w:rPr>
      <w:rFonts w:ascii="Arial Unicode MS" w:hAnsi="Arial Unicode MS" w:eastAsia="Arial Unicode MS"/>
      <w:kern w:val="0"/>
      <w:sz w:val="18"/>
      <w:szCs w:val="20"/>
    </w:rPr>
  </w:style>
  <w:style w:type="paragraph" w:customStyle="1" w:styleId="2128">
    <w:name w:val="目录 2 Char Char"/>
    <w:basedOn w:val="1"/>
    <w:next w:val="1"/>
    <w:qFormat/>
    <w:uiPriority w:val="0"/>
    <w:pPr>
      <w:spacing w:line="351" w:lineRule="atLeast"/>
      <w:ind w:left="209" w:firstLine="419"/>
      <w:jc w:val="left"/>
    </w:pPr>
    <w:rPr>
      <w:rFonts w:hint="eastAsia"/>
      <w:sz w:val="21"/>
      <w:szCs w:val="20"/>
    </w:rPr>
  </w:style>
  <w:style w:type="paragraph" w:customStyle="1" w:styleId="2129">
    <w:name w:val="目录1"/>
    <w:basedOn w:val="1"/>
    <w:next w:val="1"/>
    <w:qFormat/>
    <w:uiPriority w:val="0"/>
    <w:pPr>
      <w:tabs>
        <w:tab w:val="left" w:leader="dot" w:pos="8503"/>
      </w:tabs>
      <w:spacing w:after="102" w:line="215" w:lineRule="atLeast"/>
      <w:ind w:firstLine="419"/>
      <w:jc w:val="left"/>
    </w:pPr>
    <w:rPr>
      <w:rFonts w:hint="eastAsia"/>
      <w:sz w:val="21"/>
      <w:szCs w:val="20"/>
    </w:rPr>
  </w:style>
  <w:style w:type="paragraph" w:customStyle="1" w:styleId="2130">
    <w:name w:val="目录 6 Char Char"/>
    <w:basedOn w:val="1"/>
    <w:next w:val="1"/>
    <w:qFormat/>
    <w:uiPriority w:val="0"/>
    <w:pPr>
      <w:spacing w:line="351" w:lineRule="atLeast"/>
      <w:ind w:left="1048" w:firstLine="419"/>
      <w:jc w:val="left"/>
    </w:pPr>
    <w:rPr>
      <w:rFonts w:hint="eastAsia"/>
      <w:sz w:val="21"/>
      <w:szCs w:val="20"/>
    </w:rPr>
  </w:style>
  <w:style w:type="paragraph" w:customStyle="1" w:styleId="2131">
    <w:name w:val="环表"/>
    <w:basedOn w:val="1"/>
    <w:qFormat/>
    <w:uiPriority w:val="0"/>
    <w:pPr>
      <w:widowControl/>
      <w:tabs>
        <w:tab w:val="left" w:pos="5094"/>
      </w:tabs>
      <w:spacing w:before="120" w:after="120" w:line="312" w:lineRule="atLeast"/>
      <w:ind w:right="29"/>
      <w:jc w:val="center"/>
      <w:textAlignment w:val="baseline"/>
    </w:pPr>
    <w:rPr>
      <w:rFonts w:ascii="仿宋_GB2312" w:hAnsi="Courier New" w:eastAsia="仿宋_GB2312"/>
      <w:kern w:val="0"/>
      <w:sz w:val="28"/>
    </w:rPr>
  </w:style>
  <w:style w:type="paragraph" w:customStyle="1" w:styleId="2132">
    <w:name w:val="目录 1 Char Char"/>
    <w:basedOn w:val="1"/>
    <w:next w:val="1"/>
    <w:qFormat/>
    <w:uiPriority w:val="0"/>
    <w:pPr>
      <w:tabs>
        <w:tab w:val="left" w:leader="dot" w:pos="8010"/>
      </w:tabs>
      <w:spacing w:line="300" w:lineRule="auto"/>
      <w:jc w:val="left"/>
    </w:pPr>
    <w:rPr>
      <w:rFonts w:hint="eastAsia" w:eastAsia="黑体"/>
      <w:sz w:val="28"/>
      <w:szCs w:val="20"/>
    </w:rPr>
  </w:style>
  <w:style w:type="paragraph" w:customStyle="1" w:styleId="2133">
    <w:name w:val="目录fuxi"/>
    <w:basedOn w:val="1"/>
    <w:qFormat/>
    <w:uiPriority w:val="0"/>
    <w:pPr>
      <w:spacing w:before="60" w:after="60" w:line="240" w:lineRule="auto"/>
      <w:jc w:val="center"/>
    </w:pPr>
    <w:rPr>
      <w:rFonts w:hint="eastAsia" w:ascii="宋体"/>
      <w:outline/>
      <w:color w:val="000000"/>
      <w:sz w:val="21"/>
      <w:szCs w:val="20"/>
      <w14:textOutline w14:w="9525" w14:cap="flat" w14:cmpd="sng" w14:algn="ctr">
        <w14:solidFill>
          <w14:srgbClr w14:val="000000"/>
        </w14:solidFill>
        <w14:prstDash w14:val="solid"/>
        <w14:round/>
      </w14:textOutline>
      <w14:textFill>
        <w14:noFill/>
      </w14:textFill>
    </w:rPr>
  </w:style>
  <w:style w:type="paragraph" w:customStyle="1" w:styleId="2134">
    <w:name w:val="正文新 Char"/>
    <w:basedOn w:val="1"/>
    <w:qFormat/>
    <w:uiPriority w:val="0"/>
    <w:pPr>
      <w:ind w:firstLine="480"/>
    </w:pPr>
    <w:rPr>
      <w:szCs w:val="20"/>
    </w:rPr>
  </w:style>
  <w:style w:type="paragraph" w:customStyle="1" w:styleId="2135">
    <w:name w:val="正文新"/>
    <w:basedOn w:val="1"/>
    <w:qFormat/>
    <w:uiPriority w:val="0"/>
    <w:pPr>
      <w:spacing w:before="80" w:after="60" w:line="300" w:lineRule="auto"/>
      <w:ind w:firstLine="510"/>
    </w:pPr>
    <w:rPr>
      <w:snapToGrid w:val="0"/>
      <w:kern w:val="0"/>
    </w:rPr>
  </w:style>
  <w:style w:type="paragraph" w:customStyle="1" w:styleId="2136">
    <w:name w:val="表格内字体82"/>
    <w:basedOn w:val="185"/>
    <w:next w:val="185"/>
    <w:qFormat/>
    <w:uiPriority w:val="99"/>
    <w:pPr>
      <w:spacing w:line="240" w:lineRule="auto"/>
      <w:ind w:firstLine="0"/>
      <w:jc w:val="center"/>
    </w:pPr>
    <w:rPr>
      <w:rFonts w:hAnsi="宋体" w:cs="Times New Roman"/>
      <w:sz w:val="21"/>
    </w:rPr>
  </w:style>
  <w:style w:type="paragraph" w:customStyle="1" w:styleId="2137">
    <w:name w:val="Style1"/>
    <w:basedOn w:val="1"/>
    <w:qFormat/>
    <w:uiPriority w:val="0"/>
    <w:pPr>
      <w:spacing w:after="120" w:line="240" w:lineRule="auto"/>
      <w:ind w:left="851"/>
    </w:pPr>
    <w:rPr>
      <w:sz w:val="21"/>
      <w:szCs w:val="20"/>
    </w:rPr>
  </w:style>
  <w:style w:type="paragraph" w:customStyle="1" w:styleId="2138">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pPr>
    <w:rPr>
      <w:sz w:val="28"/>
      <w:szCs w:val="28"/>
    </w:rPr>
  </w:style>
  <w:style w:type="paragraph" w:customStyle="1" w:styleId="2139">
    <w:name w:val="表格内字体41"/>
    <w:basedOn w:val="185"/>
    <w:next w:val="185"/>
    <w:qFormat/>
    <w:uiPriority w:val="99"/>
    <w:pPr>
      <w:spacing w:line="240" w:lineRule="auto"/>
      <w:ind w:firstLine="0"/>
      <w:jc w:val="center"/>
    </w:pPr>
    <w:rPr>
      <w:rFonts w:hAnsi="宋体" w:cs="Times New Roman"/>
      <w:sz w:val="21"/>
    </w:rPr>
  </w:style>
  <w:style w:type="paragraph" w:customStyle="1" w:styleId="2140">
    <w:name w:val="样式 标题 3ReHead 3 WSAh3标题 3 Char Char Char标题 3 Char Char Char...1"/>
    <w:basedOn w:val="1"/>
    <w:qFormat/>
    <w:uiPriority w:val="0"/>
    <w:pPr>
      <w:tabs>
        <w:tab w:val="left" w:pos="1680"/>
      </w:tabs>
      <w:spacing w:line="240" w:lineRule="auto"/>
      <w:ind w:left="1680" w:hanging="420"/>
    </w:pPr>
    <w:rPr>
      <w:sz w:val="21"/>
    </w:rPr>
  </w:style>
  <w:style w:type="paragraph" w:customStyle="1" w:styleId="2141">
    <w:name w:val="样式 样式 报告书表格 + 字距调整二号 +"/>
    <w:basedOn w:val="542"/>
    <w:qFormat/>
    <w:uiPriority w:val="0"/>
  </w:style>
  <w:style w:type="paragraph" w:customStyle="1" w:styleId="2142">
    <w:name w:val="样式111"/>
    <w:basedOn w:val="1199"/>
    <w:qFormat/>
    <w:uiPriority w:val="99"/>
    <w:pPr>
      <w:spacing w:line="240" w:lineRule="auto"/>
      <w:ind w:firstLine="0"/>
      <w:jc w:val="center"/>
    </w:pPr>
    <w:rPr>
      <w:rFonts w:cs="Times New Roman"/>
      <w:b/>
      <w:color w:val="auto"/>
      <w:szCs w:val="20"/>
    </w:rPr>
  </w:style>
  <w:style w:type="paragraph" w:customStyle="1" w:styleId="2143">
    <w:name w:val="封面正文"/>
    <w:basedOn w:val="151"/>
    <w:next w:val="151"/>
    <w:qFormat/>
    <w:uiPriority w:val="0"/>
    <w:rPr>
      <w:rFonts w:ascii="Times New Roman" w:hAnsi="Times New Roman" w:cs="Times New Roman"/>
      <w:color w:val="auto"/>
    </w:rPr>
  </w:style>
  <w:style w:type="paragraph" w:customStyle="1" w:styleId="2144">
    <w:name w:val="表中文字3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145">
    <w:name w:val="表、图名宋旭峰"/>
    <w:basedOn w:val="1"/>
    <w:qFormat/>
    <w:uiPriority w:val="0"/>
    <w:pPr>
      <w:spacing w:before="120" w:beforeLines="50"/>
      <w:jc w:val="center"/>
    </w:pPr>
    <w:rPr>
      <w:rFonts w:ascii="黑体" w:hAnsi="宋体" w:eastAsia="黑体"/>
      <w:snapToGrid w:val="0"/>
      <w:kern w:val="0"/>
      <w:sz w:val="21"/>
      <w:szCs w:val="21"/>
    </w:rPr>
  </w:style>
  <w:style w:type="paragraph" w:customStyle="1" w:styleId="2146">
    <w:name w:val="样式 标题 1 + (中文) 宋体 小三 行距: 多倍行距 1.35 字行"/>
    <w:basedOn w:val="3"/>
    <w:qFormat/>
    <w:uiPriority w:val="0"/>
    <w:pPr>
      <w:tabs>
        <w:tab w:val="left" w:pos="432"/>
      </w:tabs>
      <w:spacing w:before="468" w:beforeLines="150" w:after="468" w:afterLines="150" w:line="300" w:lineRule="auto"/>
      <w:ind w:left="432" w:hanging="432"/>
    </w:pPr>
    <w:rPr>
      <w:rFonts w:ascii="幼圆" w:eastAsia="幼圆"/>
      <w:color w:val="0000FF"/>
      <w:sz w:val="32"/>
      <w:szCs w:val="32"/>
      <w:lang w:val="zh-CN"/>
    </w:rPr>
  </w:style>
  <w:style w:type="paragraph" w:customStyle="1" w:styleId="2147">
    <w:name w:val="样式 样式 标题 2节 + (西文) Times New Roman (中文) 宋体 四号 段前: 0.5 行 段后: 0......"/>
    <w:basedOn w:val="1"/>
    <w:qFormat/>
    <w:uiPriority w:val="0"/>
    <w:pPr>
      <w:keepNext/>
      <w:keepLines/>
      <w:tabs>
        <w:tab w:val="left" w:pos="720"/>
      </w:tabs>
      <w:spacing w:before="280" w:beforeLines="90" w:after="280" w:afterLines="90" w:line="300" w:lineRule="auto"/>
      <w:ind w:left="397" w:hanging="397"/>
      <w:outlineLvl w:val="1"/>
    </w:pPr>
    <w:rPr>
      <w:rFonts w:ascii="幼圆" w:eastAsia="幼圆"/>
      <w:b/>
      <w:bCs/>
      <w:sz w:val="28"/>
      <w:szCs w:val="28"/>
    </w:rPr>
  </w:style>
  <w:style w:type="paragraph" w:customStyle="1" w:styleId="2148">
    <w:name w:val="样式 标题 3 + (西文) Times New Roman (中文) 宋体 小四 加粗"/>
    <w:basedOn w:val="5"/>
    <w:qFormat/>
    <w:uiPriority w:val="0"/>
    <w:pPr>
      <w:tabs>
        <w:tab w:val="left" w:pos="1021"/>
      </w:tabs>
      <w:spacing w:before="0" w:after="0"/>
      <w:ind w:left="1021" w:hanging="1021"/>
      <w:jc w:val="left"/>
    </w:pPr>
    <w:rPr>
      <w:rFonts w:ascii="幼圆" w:eastAsia="幼圆"/>
      <w:snapToGrid w:val="0"/>
      <w:color w:val="0000FF"/>
      <w:kern w:val="0"/>
      <w:szCs w:val="24"/>
    </w:rPr>
  </w:style>
  <w:style w:type="paragraph" w:customStyle="1" w:styleId="2149">
    <w:name w:val="正文格式＝21"/>
    <w:basedOn w:val="185"/>
    <w:next w:val="185"/>
    <w:qFormat/>
    <w:uiPriority w:val="99"/>
    <w:rPr>
      <w:rFonts w:hAnsi="宋体" w:cs="Times New Roman"/>
    </w:rPr>
  </w:style>
  <w:style w:type="paragraph" w:customStyle="1" w:styleId="2150">
    <w:name w:val="正式节"/>
    <w:basedOn w:val="45"/>
    <w:qFormat/>
    <w:uiPriority w:val="0"/>
    <w:pPr>
      <w:spacing w:before="120" w:after="120" w:line="312" w:lineRule="auto"/>
      <w:ind w:firstLine="567"/>
      <w:jc w:val="both"/>
      <w:textAlignment w:val="baseline"/>
    </w:pPr>
    <w:rPr>
      <w:rFonts w:cs="仿宋_GB2312"/>
      <w:spacing w:val="6"/>
      <w:kern w:val="0"/>
      <w:sz w:val="32"/>
      <w:szCs w:val="21"/>
    </w:rPr>
  </w:style>
  <w:style w:type="paragraph" w:customStyle="1" w:styleId="2151">
    <w:name w:val="大纲封面"/>
    <w:basedOn w:val="1"/>
    <w:qFormat/>
    <w:uiPriority w:val="0"/>
    <w:pPr>
      <w:jc w:val="center"/>
    </w:pPr>
    <w:rPr>
      <w:rFonts w:ascii="宋体" w:eastAsia="楷体_GB2312"/>
      <w:b/>
      <w:spacing w:val="100"/>
      <w:sz w:val="72"/>
    </w:rPr>
  </w:style>
  <w:style w:type="paragraph" w:customStyle="1" w:styleId="2152">
    <w:name w:val="封面单位"/>
    <w:basedOn w:val="1"/>
    <w:qFormat/>
    <w:uiPriority w:val="0"/>
    <w:pPr>
      <w:tabs>
        <w:tab w:val="right" w:leader="middleDot" w:pos="8222"/>
      </w:tabs>
      <w:jc w:val="center"/>
    </w:pPr>
    <w:rPr>
      <w:rFonts w:ascii="楷体_GB2312" w:eastAsia="楷体_GB2312"/>
      <w:b/>
      <w:sz w:val="36"/>
    </w:rPr>
  </w:style>
  <w:style w:type="paragraph" w:customStyle="1" w:styleId="2153">
    <w:name w:val="我的样式（正文） Char"/>
    <w:basedOn w:val="1"/>
    <w:qFormat/>
    <w:uiPriority w:val="0"/>
    <w:pPr>
      <w:spacing w:line="440" w:lineRule="exact"/>
    </w:pPr>
    <w:rPr>
      <w:rFonts w:ascii="宋体" w:hAnsi="华文楷体"/>
      <w:sz w:val="28"/>
    </w:rPr>
  </w:style>
  <w:style w:type="paragraph" w:customStyle="1" w:styleId="2154">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hAnsi="Courier New" w:eastAsia="黑体"/>
      <w:kern w:val="0"/>
      <w:sz w:val="20"/>
    </w:rPr>
  </w:style>
  <w:style w:type="paragraph" w:customStyle="1" w:styleId="2155">
    <w:name w:val="默认段落字体 Para Char33"/>
    <w:basedOn w:val="1"/>
    <w:qFormat/>
    <w:uiPriority w:val="99"/>
    <w:pPr>
      <w:ind w:firstLine="200"/>
    </w:pPr>
    <w:rPr>
      <w:rFonts w:ascii="宋体" w:hAnsi="宋体" w:cs="宋体"/>
    </w:rPr>
  </w:style>
  <w:style w:type="paragraph" w:customStyle="1" w:styleId="2156">
    <w:name w:val="文档正文"/>
    <w:basedOn w:val="1"/>
    <w:qFormat/>
    <w:uiPriority w:val="0"/>
    <w:pPr>
      <w:spacing w:line="480" w:lineRule="atLeast"/>
      <w:ind w:firstLine="567"/>
      <w:textAlignment w:val="baseline"/>
    </w:pPr>
    <w:rPr>
      <w:rFonts w:ascii="宋体"/>
      <w:kern w:val="0"/>
      <w:szCs w:val="20"/>
    </w:rPr>
  </w:style>
  <w:style w:type="paragraph" w:customStyle="1" w:styleId="2157">
    <w:name w:val="表内宋5中23"/>
    <w:basedOn w:val="1"/>
    <w:qFormat/>
    <w:uiPriority w:val="99"/>
    <w:pPr>
      <w:spacing w:line="240" w:lineRule="auto"/>
      <w:jc w:val="center"/>
      <w:textAlignment w:val="baseline"/>
    </w:pPr>
    <w:rPr>
      <w:rFonts w:ascii="宋体" w:hAnsi="宋体"/>
      <w:kern w:val="0"/>
      <w:sz w:val="21"/>
      <w:szCs w:val="20"/>
    </w:rPr>
  </w:style>
  <w:style w:type="paragraph" w:customStyle="1" w:styleId="2158">
    <w:name w:val="Char Char Char Char Char Char Char Char Char1 Char Char Char Char Char Char Char"/>
    <w:basedOn w:val="1"/>
    <w:qFormat/>
    <w:uiPriority w:val="0"/>
    <w:pPr>
      <w:spacing w:line="240" w:lineRule="auto"/>
    </w:pPr>
    <w:rPr>
      <w:sz w:val="21"/>
      <w:szCs w:val="21"/>
    </w:rPr>
  </w:style>
  <w:style w:type="paragraph" w:customStyle="1" w:styleId="2159">
    <w:name w:val="正文211"/>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160">
    <w:name w:val="中文报告书"/>
    <w:basedOn w:val="1"/>
    <w:qFormat/>
    <w:uiPriority w:val="0"/>
    <w:pPr>
      <w:spacing w:after="80" w:line="420" w:lineRule="atLeast"/>
      <w:jc w:val="left"/>
      <w:textAlignment w:val="baseline"/>
    </w:pPr>
    <w:rPr>
      <w:kern w:val="0"/>
      <w:szCs w:val="20"/>
    </w:rPr>
  </w:style>
  <w:style w:type="paragraph" w:customStyle="1" w:styleId="2161">
    <w:name w:val="样式 左侧:  -0.16 厘米1"/>
    <w:basedOn w:val="1"/>
    <w:qFormat/>
    <w:uiPriority w:val="0"/>
    <w:pPr>
      <w:spacing w:line="240" w:lineRule="auto"/>
      <w:ind w:left="-90"/>
    </w:pPr>
    <w:rPr>
      <w:rFonts w:ascii="宋体" w:hAnsi="宋体" w:cs="宋体"/>
      <w:snapToGrid w:val="0"/>
      <w:kern w:val="0"/>
    </w:rPr>
  </w:style>
  <w:style w:type="paragraph" w:customStyle="1" w:styleId="216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63">
    <w:name w:val="样式 标题 2 + 段前: 0.5 行 段后: 0.5 行"/>
    <w:basedOn w:val="4"/>
    <w:qFormat/>
    <w:uiPriority w:val="0"/>
    <w:pPr>
      <w:tabs>
        <w:tab w:val="left" w:pos="576"/>
      </w:tabs>
      <w:spacing w:before="156" w:beforeLines="50" w:after="156" w:afterLines="50" w:line="300" w:lineRule="auto"/>
      <w:ind w:left="576" w:hanging="576"/>
    </w:pPr>
    <w:rPr>
      <w:rFonts w:cs="宋体"/>
      <w:sz w:val="24"/>
      <w:szCs w:val="28"/>
    </w:rPr>
  </w:style>
  <w:style w:type="paragraph" w:customStyle="1" w:styleId="2164">
    <w:name w:val="样式 标题 4 + (西文) Times New Roman (中文) 宋体 小四"/>
    <w:basedOn w:val="6"/>
    <w:qFormat/>
    <w:uiPriority w:val="0"/>
    <w:pPr>
      <w:tabs>
        <w:tab w:val="left" w:pos="1247"/>
      </w:tabs>
      <w:spacing w:before="78" w:beforeLines="25" w:after="78" w:afterLines="25" w:line="360" w:lineRule="auto"/>
      <w:ind w:left="964" w:hanging="964"/>
    </w:pPr>
    <w:rPr>
      <w:rFonts w:ascii="幼圆" w:eastAsia="幼圆"/>
      <w:b w:val="0"/>
      <w:bCs w:val="0"/>
      <w:color w:val="0000FF"/>
      <w:szCs w:val="24"/>
    </w:rPr>
  </w:style>
  <w:style w:type="paragraph" w:customStyle="1" w:styleId="2165">
    <w:name w:val="Char4 Char Char Char Char Char Char Char Char Char Char Char Char Char Char Char Char Char1 Char Char Char Char"/>
    <w:basedOn w:val="1"/>
    <w:qFormat/>
    <w:uiPriority w:val="0"/>
    <w:pPr>
      <w:spacing w:line="240" w:lineRule="exact"/>
      <w:ind w:firstLine="200"/>
    </w:pPr>
    <w:rPr>
      <w:sz w:val="28"/>
      <w:szCs w:val="28"/>
    </w:rPr>
  </w:style>
  <w:style w:type="paragraph" w:customStyle="1" w:styleId="2166">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2167">
    <w:name w:val="Char Char Char1 Char Char Char Char Char Char"/>
    <w:basedOn w:val="1"/>
    <w:qFormat/>
    <w:uiPriority w:val="0"/>
    <w:pPr>
      <w:spacing w:line="240" w:lineRule="auto"/>
    </w:pPr>
    <w:rPr>
      <w:sz w:val="21"/>
      <w:szCs w:val="21"/>
    </w:rPr>
  </w:style>
  <w:style w:type="paragraph" w:customStyle="1" w:styleId="2168">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2169">
    <w:name w:val="+列表1"/>
    <w:basedOn w:val="1"/>
    <w:qFormat/>
    <w:uiPriority w:val="0"/>
    <w:pPr>
      <w:spacing w:line="240" w:lineRule="auto"/>
      <w:jc w:val="center"/>
    </w:pPr>
  </w:style>
  <w:style w:type="paragraph" w:customStyle="1" w:styleId="2170">
    <w:name w:val="表前文"/>
    <w:basedOn w:val="1"/>
    <w:qFormat/>
    <w:uiPriority w:val="0"/>
    <w:pPr>
      <w:spacing w:after="120" w:line="400" w:lineRule="exact"/>
      <w:ind w:firstLine="601"/>
      <w:textAlignment w:val="baseline"/>
    </w:pPr>
    <w:rPr>
      <w:rFonts w:eastAsia="楷体_GB2312"/>
      <w:spacing w:val="8"/>
      <w:kern w:val="0"/>
      <w:sz w:val="28"/>
      <w:szCs w:val="20"/>
    </w:rPr>
  </w:style>
  <w:style w:type="paragraph" w:customStyle="1" w:styleId="2171">
    <w:name w:val="Char Char Char Char1 Char Char Char Char Char Char Char"/>
    <w:basedOn w:val="1"/>
    <w:qFormat/>
    <w:uiPriority w:val="0"/>
    <w:pPr>
      <w:tabs>
        <w:tab w:val="left" w:pos="360"/>
      </w:tabs>
    </w:pPr>
    <w:rPr>
      <w:rFonts w:eastAsia="仿宋_GB2312" w:cs="宋体"/>
    </w:rPr>
  </w:style>
  <w:style w:type="paragraph" w:customStyle="1" w:styleId="2172">
    <w:name w:val="Char323"/>
    <w:basedOn w:val="1"/>
    <w:qFormat/>
    <w:uiPriority w:val="99"/>
    <w:pPr>
      <w:spacing w:line="240" w:lineRule="auto"/>
    </w:pPr>
    <w:rPr>
      <w:sz w:val="21"/>
      <w:szCs w:val="21"/>
    </w:rPr>
  </w:style>
  <w:style w:type="paragraph" w:customStyle="1" w:styleId="2173">
    <w:name w:val="Char Char Char1 Char Char Char Char Char Char Char Char Char"/>
    <w:basedOn w:val="1"/>
    <w:qFormat/>
    <w:uiPriority w:val="99"/>
    <w:pPr>
      <w:spacing w:line="240" w:lineRule="auto"/>
    </w:pPr>
    <w:rPr>
      <w:sz w:val="21"/>
      <w:szCs w:val="21"/>
    </w:rPr>
  </w:style>
  <w:style w:type="paragraph" w:customStyle="1" w:styleId="2174">
    <w:name w:val="Char126"/>
    <w:basedOn w:val="1"/>
    <w:qFormat/>
    <w:uiPriority w:val="99"/>
    <w:pPr>
      <w:spacing w:line="240" w:lineRule="auto"/>
      <w:ind w:left="-48"/>
    </w:pPr>
    <w:rPr>
      <w:sz w:val="21"/>
    </w:rPr>
  </w:style>
  <w:style w:type="paragraph" w:customStyle="1" w:styleId="2175">
    <w:name w:val="正文格式51"/>
    <w:basedOn w:val="1"/>
    <w:qFormat/>
    <w:uiPriority w:val="99"/>
    <w:pPr>
      <w:ind w:firstLine="482"/>
    </w:pPr>
    <w:rPr>
      <w:rFonts w:ascii="宋体" w:hAnsi="宋体"/>
    </w:rPr>
  </w:style>
  <w:style w:type="paragraph" w:customStyle="1" w:styleId="2176">
    <w:name w:val="表题153"/>
    <w:basedOn w:val="22"/>
    <w:qFormat/>
    <w:uiPriority w:val="99"/>
    <w:pPr>
      <w:tabs>
        <w:tab w:val="clear" w:pos="10467"/>
        <w:tab w:val="clear" w:pos="13095"/>
      </w:tabs>
      <w:adjustRightInd/>
      <w:snapToGrid/>
    </w:pPr>
    <w:rPr>
      <w:rFonts w:ascii="黑体" w:eastAsia="黑体"/>
    </w:rPr>
  </w:style>
  <w:style w:type="paragraph" w:customStyle="1" w:styleId="2177">
    <w:name w:val="Char Char5 Char Char Char Char Char Char"/>
    <w:basedOn w:val="1"/>
    <w:qFormat/>
    <w:uiPriority w:val="0"/>
    <w:pPr>
      <w:spacing w:line="240" w:lineRule="auto"/>
    </w:pPr>
  </w:style>
  <w:style w:type="paragraph" w:customStyle="1" w:styleId="2178">
    <w:name w:val="Bullet"/>
    <w:basedOn w:val="1"/>
    <w:qFormat/>
    <w:uiPriority w:val="0"/>
    <w:pPr>
      <w:widowControl/>
      <w:tabs>
        <w:tab w:val="left" w:pos="2040"/>
      </w:tabs>
      <w:spacing w:after="60" w:line="300" w:lineRule="atLeast"/>
      <w:ind w:left="2040" w:hanging="360"/>
    </w:pPr>
    <w:rPr>
      <w:kern w:val="0"/>
      <w:sz w:val="22"/>
    </w:rPr>
  </w:style>
  <w:style w:type="paragraph" w:customStyle="1" w:styleId="2179">
    <w:name w:val="正文格式33"/>
    <w:basedOn w:val="1"/>
    <w:qFormat/>
    <w:uiPriority w:val="99"/>
    <w:pPr>
      <w:ind w:firstLine="482"/>
    </w:pPr>
    <w:rPr>
      <w:rFonts w:ascii="宋体" w:hAnsi="宋体"/>
    </w:rPr>
  </w:style>
  <w:style w:type="paragraph" w:customStyle="1" w:styleId="2180">
    <w:name w:val="文本"/>
    <w:basedOn w:val="1"/>
    <w:qFormat/>
    <w:uiPriority w:val="99"/>
    <w:pPr>
      <w:tabs>
        <w:tab w:val="right" w:leader="dot" w:pos="8296"/>
      </w:tabs>
      <w:spacing w:before="20" w:beforeLines="20" w:line="240" w:lineRule="auto"/>
      <w:jc w:val="center"/>
    </w:pPr>
    <w:rPr>
      <w:rFonts w:ascii="宋体" w:hAnsi="宋体"/>
      <w:snapToGrid w:val="0"/>
      <w:kern w:val="21"/>
      <w:sz w:val="21"/>
    </w:rPr>
  </w:style>
  <w:style w:type="paragraph" w:customStyle="1" w:styleId="2181">
    <w:name w:val="Plain Text2"/>
    <w:basedOn w:val="1"/>
    <w:qFormat/>
    <w:uiPriority w:val="0"/>
    <w:pPr>
      <w:autoSpaceDE w:val="0"/>
      <w:autoSpaceDN w:val="0"/>
      <w:spacing w:line="240" w:lineRule="auto"/>
      <w:textAlignment w:val="baseline"/>
    </w:pPr>
    <w:rPr>
      <w:rFonts w:ascii="宋体" w:hAnsi="Tms Rmn"/>
      <w:kern w:val="0"/>
      <w:sz w:val="21"/>
      <w:szCs w:val="20"/>
    </w:rPr>
  </w:style>
  <w:style w:type="paragraph" w:customStyle="1" w:styleId="2182">
    <w:name w:val="图标题"/>
    <w:basedOn w:val="1"/>
    <w:qFormat/>
    <w:uiPriority w:val="0"/>
    <w:pPr>
      <w:framePr w:hSpace="181" w:vSpace="181" w:wrap="around" w:vAnchor="text" w:hAnchor="text" w:y="1"/>
      <w:spacing w:line="260" w:lineRule="exact"/>
      <w:jc w:val="center"/>
    </w:pPr>
    <w:rPr>
      <w:b/>
      <w:bCs/>
      <w:szCs w:val="20"/>
    </w:rPr>
  </w:style>
  <w:style w:type="paragraph" w:customStyle="1" w:styleId="2183">
    <w:name w:val="表内54143"/>
    <w:basedOn w:val="1"/>
    <w:qFormat/>
    <w:uiPriority w:val="99"/>
    <w:pPr>
      <w:spacing w:line="300" w:lineRule="auto"/>
      <w:jc w:val="center"/>
    </w:pPr>
    <w:rPr>
      <w:rFonts w:ascii="宋体" w:hAnsi="宋体" w:cs="宋体"/>
      <w:sz w:val="21"/>
      <w:szCs w:val="20"/>
    </w:rPr>
  </w:style>
  <w:style w:type="paragraph" w:customStyle="1" w:styleId="2184">
    <w:name w:val="CM63"/>
    <w:basedOn w:val="151"/>
    <w:next w:val="151"/>
    <w:qFormat/>
    <w:uiPriority w:val="0"/>
    <w:pPr>
      <w:spacing w:line="468" w:lineRule="atLeast"/>
    </w:pPr>
    <w:rPr>
      <w:rFonts w:ascii="Sim Sun" w:hAnsi="Times New Roman" w:eastAsia="Sim Sun" w:cs="Times New Roman"/>
      <w:color w:val="auto"/>
    </w:rPr>
  </w:style>
  <w:style w:type="paragraph" w:customStyle="1" w:styleId="2185">
    <w:name w:val="xl"/>
    <w:basedOn w:val="1"/>
    <w:qFormat/>
    <w:uiPriority w:val="0"/>
    <w:pPr>
      <w:widowControl/>
      <w:spacing w:before="100" w:beforeAutospacing="1" w:after="100" w:afterAutospacing="1" w:line="240" w:lineRule="auto"/>
      <w:jc w:val="left"/>
    </w:pPr>
    <w:rPr>
      <w:rFonts w:hint="eastAsia" w:ascii="隶书" w:hAnsi="Arial Unicode MS" w:eastAsia="隶书"/>
      <w:color w:val="008000"/>
      <w:kern w:val="0"/>
      <w:sz w:val="36"/>
      <w:szCs w:val="36"/>
    </w:rPr>
  </w:style>
  <w:style w:type="paragraph" w:customStyle="1" w:styleId="2186">
    <w:name w:val="Char Char7 Char Char1 Char Char Char"/>
    <w:basedOn w:val="1"/>
    <w:qFormat/>
    <w:uiPriority w:val="0"/>
    <w:pPr>
      <w:spacing w:line="240" w:lineRule="exact"/>
      <w:ind w:firstLine="200"/>
    </w:pPr>
    <w:rPr>
      <w:sz w:val="28"/>
      <w:szCs w:val="28"/>
    </w:rPr>
  </w:style>
  <w:style w:type="paragraph" w:customStyle="1" w:styleId="2187">
    <w:name w:val="11 Char Char Char Char Char Char Char Char Char Char Char Char Char Char Char1 Char"/>
    <w:basedOn w:val="1"/>
    <w:qFormat/>
    <w:uiPriority w:val="0"/>
    <w:pPr>
      <w:ind w:firstLine="200"/>
    </w:pPr>
    <w:rPr>
      <w:rFonts w:eastAsia="仿宋_GB2312"/>
    </w:rPr>
  </w:style>
  <w:style w:type="paragraph" w:customStyle="1" w:styleId="2188">
    <w:name w:val="表内5911"/>
    <w:basedOn w:val="1"/>
    <w:qFormat/>
    <w:uiPriority w:val="99"/>
    <w:pPr>
      <w:spacing w:line="300" w:lineRule="auto"/>
      <w:jc w:val="center"/>
    </w:pPr>
    <w:rPr>
      <w:rFonts w:ascii="宋体"/>
      <w:snapToGrid w:val="0"/>
      <w:sz w:val="21"/>
      <w:szCs w:val="21"/>
    </w:rPr>
  </w:style>
  <w:style w:type="paragraph" w:customStyle="1" w:styleId="2189">
    <w:name w:val="Char Char Char Char Char Char Char121"/>
    <w:basedOn w:val="1"/>
    <w:qFormat/>
    <w:uiPriority w:val="99"/>
    <w:pPr>
      <w:spacing w:line="240" w:lineRule="auto"/>
    </w:pPr>
    <w:rPr>
      <w:sz w:val="21"/>
      <w:szCs w:val="20"/>
    </w:rPr>
  </w:style>
  <w:style w:type="paragraph" w:customStyle="1" w:styleId="2190">
    <w:name w:val="1 Char Char Char Char Char Char Char Char Char Char Char Char Char Char Char Char Char Char Char"/>
    <w:basedOn w:val="1"/>
    <w:qFormat/>
    <w:uiPriority w:val="0"/>
    <w:rPr>
      <w:kern w:val="0"/>
      <w:szCs w:val="20"/>
    </w:rPr>
  </w:style>
  <w:style w:type="paragraph" w:customStyle="1" w:styleId="2191">
    <w:name w:val="标题 4PIM 4h4第三层条标题 4 Char Char Char Char CharH4bulletbl...1"/>
    <w:basedOn w:val="6"/>
    <w:qFormat/>
    <w:uiPriority w:val="0"/>
    <w:pPr>
      <w:keepNext w:val="0"/>
      <w:keepLines w:val="0"/>
      <w:spacing w:before="0" w:after="0" w:line="360" w:lineRule="auto"/>
      <w:ind w:firstLine="567"/>
    </w:pPr>
    <w:rPr>
      <w:rFonts w:ascii="仿宋_GB2312" w:hAnsi="仿宋_GB2312" w:eastAsia="仿宋_GB2312"/>
      <w:b w:val="0"/>
      <w:sz w:val="28"/>
      <w:lang w:val="zh-CN"/>
    </w:rPr>
  </w:style>
  <w:style w:type="paragraph" w:customStyle="1" w:styleId="2192">
    <w:name w:val="图题512"/>
    <w:basedOn w:val="185"/>
    <w:next w:val="185"/>
    <w:qFormat/>
    <w:uiPriority w:val="99"/>
    <w:pPr>
      <w:ind w:firstLine="0"/>
      <w:jc w:val="center"/>
    </w:pPr>
    <w:rPr>
      <w:rFonts w:ascii="黑体" w:hAnsi="宋体" w:eastAsia="黑体"/>
      <w:b/>
      <w:bCs/>
    </w:rPr>
  </w:style>
  <w:style w:type="paragraph" w:customStyle="1" w:styleId="2193">
    <w:name w:val="5 Char"/>
    <w:basedOn w:val="1"/>
    <w:qFormat/>
    <w:uiPriority w:val="0"/>
    <w:pPr>
      <w:spacing w:line="240" w:lineRule="auto"/>
    </w:pPr>
    <w:rPr>
      <w:sz w:val="21"/>
    </w:rPr>
  </w:style>
  <w:style w:type="paragraph" w:customStyle="1" w:styleId="2194">
    <w:name w:val="Char4 Char Char Char Char Char Char Char Char Char Char Char Char Char Char Char Char Char1 Char"/>
    <w:basedOn w:val="1"/>
    <w:qFormat/>
    <w:uiPriority w:val="0"/>
    <w:pPr>
      <w:spacing w:line="240" w:lineRule="exact"/>
      <w:ind w:firstLine="200"/>
    </w:pPr>
    <w:rPr>
      <w:sz w:val="28"/>
      <w:szCs w:val="28"/>
    </w:rPr>
  </w:style>
  <w:style w:type="paragraph" w:customStyle="1" w:styleId="2195">
    <w:name w:val="Char1 Char Char Char"/>
    <w:basedOn w:val="1"/>
    <w:qFormat/>
    <w:uiPriority w:val="0"/>
    <w:pPr>
      <w:spacing w:line="400" w:lineRule="exact"/>
      <w:ind w:firstLine="200"/>
    </w:pPr>
    <w:rPr>
      <w:sz w:val="28"/>
      <w:szCs w:val="28"/>
    </w:rPr>
  </w:style>
  <w:style w:type="paragraph" w:customStyle="1" w:styleId="2196">
    <w:name w:val="样式 标题 3 + 黑色 段前: 0行 段后: 0 行"/>
    <w:basedOn w:val="5"/>
    <w:qFormat/>
    <w:uiPriority w:val="0"/>
    <w:pPr>
      <w:tabs>
        <w:tab w:val="left" w:pos="1080"/>
      </w:tabs>
      <w:spacing w:before="156" w:beforeLines="50" w:after="156" w:afterLines="50" w:line="312" w:lineRule="auto"/>
    </w:pPr>
    <w:rPr>
      <w:rFonts w:ascii="仿宋_GB2312" w:eastAsia="仿宋_GB2312"/>
      <w:b w:val="0"/>
      <w:bCs w:val="0"/>
      <w:color w:val="000000"/>
      <w:sz w:val="28"/>
      <w:szCs w:val="20"/>
    </w:rPr>
  </w:style>
  <w:style w:type="paragraph" w:customStyle="1" w:styleId="2197">
    <w:name w:val="文本123"/>
    <w:basedOn w:val="21"/>
    <w:qFormat/>
    <w:uiPriority w:val="99"/>
    <w:pPr>
      <w:tabs>
        <w:tab w:val="left" w:pos="958"/>
      </w:tabs>
      <w:spacing w:line="460" w:lineRule="exact"/>
      <w:ind w:left="958" w:hanging="420" w:firstLineChars="0"/>
      <w:outlineLvl w:val="7"/>
    </w:pPr>
    <w:rPr>
      <w:sz w:val="24"/>
      <w:szCs w:val="20"/>
    </w:rPr>
  </w:style>
  <w:style w:type="paragraph" w:customStyle="1" w:styleId="2198">
    <w:name w:val="CM186"/>
    <w:basedOn w:val="151"/>
    <w:next w:val="151"/>
    <w:qFormat/>
    <w:uiPriority w:val="0"/>
    <w:pPr>
      <w:spacing w:after="193"/>
    </w:pPr>
    <w:rPr>
      <w:rFonts w:ascii="Sim Sun" w:hAnsi="Times New Roman" w:eastAsia="Sim Sun" w:cs="Times New Roman"/>
      <w:color w:val="auto"/>
    </w:rPr>
  </w:style>
  <w:style w:type="paragraph" w:customStyle="1" w:styleId="2199">
    <w:name w:val="表33"/>
    <w:basedOn w:val="1"/>
    <w:qFormat/>
    <w:uiPriority w:val="99"/>
    <w:pPr>
      <w:spacing w:line="240" w:lineRule="auto"/>
      <w:jc w:val="center"/>
    </w:pPr>
    <w:rPr>
      <w:rFonts w:eastAsia="仿宋_GB2312"/>
    </w:rPr>
  </w:style>
  <w:style w:type="paragraph" w:customStyle="1" w:styleId="2200">
    <w:name w:val="正文修改23"/>
    <w:basedOn w:val="900"/>
    <w:qFormat/>
    <w:uiPriority w:val="99"/>
    <w:pPr>
      <w:spacing w:line="480" w:lineRule="exact"/>
      <w:ind w:firstLine="0" w:firstLineChars="0"/>
    </w:pPr>
    <w:rPr>
      <w:rFonts w:cs="宋体"/>
      <w:sz w:val="24"/>
      <w:szCs w:val="24"/>
    </w:rPr>
  </w:style>
  <w:style w:type="paragraph" w:customStyle="1" w:styleId="2201">
    <w:name w:val="表格内字体31"/>
    <w:basedOn w:val="185"/>
    <w:next w:val="185"/>
    <w:qFormat/>
    <w:uiPriority w:val="99"/>
    <w:pPr>
      <w:spacing w:line="240" w:lineRule="auto"/>
      <w:ind w:firstLine="0"/>
      <w:jc w:val="center"/>
    </w:pPr>
    <w:rPr>
      <w:rFonts w:hAnsi="宋体" w:cs="Times New Roman"/>
      <w:sz w:val="21"/>
    </w:rPr>
  </w:style>
  <w:style w:type="paragraph" w:customStyle="1" w:styleId="2202">
    <w:name w:val="默认段落字体 Para Char Char Char Char Char Char Char Char Char Char Char Char Char Char Char"/>
    <w:basedOn w:val="26"/>
    <w:qFormat/>
    <w:uiPriority w:val="0"/>
    <w:pPr>
      <w:adjustRightInd/>
      <w:snapToGrid/>
      <w:spacing w:line="240" w:lineRule="auto"/>
    </w:pPr>
    <w:rPr>
      <w:rFonts w:ascii="Tahoma" w:hAnsi="Tahoma"/>
    </w:rPr>
  </w:style>
  <w:style w:type="paragraph" w:customStyle="1" w:styleId="2203">
    <w:name w:val="正文修改11"/>
    <w:basedOn w:val="900"/>
    <w:qFormat/>
    <w:uiPriority w:val="99"/>
    <w:pPr>
      <w:spacing w:line="480" w:lineRule="exact"/>
      <w:ind w:firstLine="0" w:firstLineChars="0"/>
    </w:pPr>
    <w:rPr>
      <w:rFonts w:cs="宋体"/>
      <w:sz w:val="24"/>
      <w:szCs w:val="24"/>
    </w:rPr>
  </w:style>
  <w:style w:type="paragraph" w:customStyle="1" w:styleId="2204">
    <w:name w:val="mp"/>
    <w:basedOn w:val="1"/>
    <w:qFormat/>
    <w:uiPriority w:val="99"/>
    <w:pPr>
      <w:widowControl/>
      <w:spacing w:before="100" w:beforeAutospacing="1" w:after="100" w:afterAutospacing="1" w:line="400" w:lineRule="atLeast"/>
      <w:ind w:firstLine="360"/>
    </w:pPr>
    <w:rPr>
      <w:rFonts w:ascii="ˎ̥" w:hAnsi="ˎ̥" w:cs="宋体"/>
      <w:color w:val="454D63"/>
      <w:kern w:val="0"/>
    </w:rPr>
  </w:style>
  <w:style w:type="paragraph" w:customStyle="1" w:styleId="2205">
    <w:name w:val="Char51"/>
    <w:basedOn w:val="1"/>
    <w:qFormat/>
    <w:uiPriority w:val="99"/>
    <w:pPr>
      <w:spacing w:line="240" w:lineRule="auto"/>
      <w:ind w:left="-45"/>
    </w:pPr>
    <w:rPr>
      <w:sz w:val="21"/>
    </w:rPr>
  </w:style>
  <w:style w:type="paragraph" w:customStyle="1" w:styleId="2206">
    <w:name w:val="福建正文缩进3"/>
    <w:basedOn w:val="21"/>
    <w:qFormat/>
    <w:uiPriority w:val="99"/>
    <w:pPr>
      <w:widowControl/>
      <w:tabs>
        <w:tab w:val="left" w:pos="5837"/>
      </w:tabs>
      <w:spacing w:line="480" w:lineRule="exact"/>
      <w:ind w:firstLine="0" w:firstLineChars="0"/>
    </w:pPr>
    <w:rPr>
      <w:rFonts w:ascii="宋体" w:hAnsi="宋体" w:cs="宋体"/>
      <w:color w:val="000000"/>
      <w:kern w:val="0"/>
      <w:sz w:val="24"/>
    </w:rPr>
  </w:style>
  <w:style w:type="paragraph" w:customStyle="1" w:styleId="2207">
    <w:name w:val="Char2 Char Char Char Char Char"/>
    <w:basedOn w:val="1"/>
    <w:qFormat/>
    <w:uiPriority w:val="99"/>
    <w:pPr>
      <w:spacing w:line="240" w:lineRule="auto"/>
    </w:pPr>
  </w:style>
  <w:style w:type="paragraph" w:customStyle="1" w:styleId="2208">
    <w:name w:val="附件21"/>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2209">
    <w:name w:val="Char Char Char1 Char Char"/>
    <w:basedOn w:val="1"/>
    <w:qFormat/>
    <w:uiPriority w:val="99"/>
    <w:pPr>
      <w:spacing w:line="240" w:lineRule="auto"/>
    </w:pPr>
    <w:rPr>
      <w:rFonts w:ascii="黑体" w:hAnsi="黑体" w:eastAsia="黑体"/>
      <w:b/>
      <w:spacing w:val="10"/>
      <w:sz w:val="28"/>
      <w:szCs w:val="20"/>
    </w:rPr>
  </w:style>
  <w:style w:type="paragraph" w:customStyle="1" w:styleId="2210">
    <w:name w:val="little"/>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11">
    <w:name w:val="表内54123"/>
    <w:basedOn w:val="1"/>
    <w:qFormat/>
    <w:uiPriority w:val="99"/>
    <w:pPr>
      <w:spacing w:line="300" w:lineRule="auto"/>
      <w:jc w:val="center"/>
    </w:pPr>
    <w:rPr>
      <w:rFonts w:ascii="宋体" w:hAnsi="宋体" w:cs="宋体"/>
      <w:sz w:val="21"/>
      <w:szCs w:val="20"/>
    </w:rPr>
  </w:style>
  <w:style w:type="paragraph" w:customStyle="1" w:styleId="2212">
    <w:name w:val="表题131"/>
    <w:basedOn w:val="22"/>
    <w:qFormat/>
    <w:uiPriority w:val="99"/>
    <w:pPr>
      <w:tabs>
        <w:tab w:val="clear" w:pos="10467"/>
        <w:tab w:val="clear" w:pos="13095"/>
      </w:tabs>
      <w:adjustRightInd/>
      <w:snapToGrid/>
    </w:pPr>
    <w:rPr>
      <w:rFonts w:ascii="黑体" w:eastAsia="黑体"/>
    </w:rPr>
  </w:style>
  <w:style w:type="paragraph" w:customStyle="1" w:styleId="2213">
    <w:name w:val="项目编号"/>
    <w:basedOn w:val="1"/>
    <w:qFormat/>
    <w:uiPriority w:val="0"/>
    <w:pPr>
      <w:spacing w:before="120" w:after="120"/>
    </w:pPr>
  </w:style>
  <w:style w:type="paragraph" w:customStyle="1" w:styleId="2214">
    <w:name w:val="项目编号文字"/>
    <w:basedOn w:val="1"/>
    <w:next w:val="21"/>
    <w:qFormat/>
    <w:uiPriority w:val="0"/>
    <w:pPr>
      <w:spacing w:before="120" w:after="120"/>
      <w:ind w:left="1077"/>
    </w:pPr>
  </w:style>
  <w:style w:type="paragraph" w:customStyle="1" w:styleId="2215">
    <w:name w:val="表内5中13"/>
    <w:basedOn w:val="1"/>
    <w:qFormat/>
    <w:uiPriority w:val="99"/>
    <w:pPr>
      <w:spacing w:line="240" w:lineRule="auto"/>
      <w:jc w:val="center"/>
    </w:pPr>
    <w:rPr>
      <w:rFonts w:ascii="宋体" w:hAnsi="宋体" w:cs="Arial"/>
      <w:snapToGrid w:val="0"/>
      <w:color w:val="000000"/>
      <w:sz w:val="21"/>
      <w:szCs w:val="21"/>
    </w:rPr>
  </w:style>
  <w:style w:type="paragraph" w:customStyle="1" w:styleId="2216">
    <w:name w:val="流程图"/>
    <w:basedOn w:val="1"/>
    <w:qFormat/>
    <w:uiPriority w:val="0"/>
    <w:pPr>
      <w:tabs>
        <w:tab w:val="left" w:pos="0"/>
      </w:tabs>
      <w:autoSpaceDE w:val="0"/>
      <w:autoSpaceDN w:val="0"/>
      <w:spacing w:line="240" w:lineRule="atLeast"/>
      <w:jc w:val="center"/>
      <w:textAlignment w:val="bottom"/>
    </w:pPr>
    <w:rPr>
      <w:rFonts w:ascii="宋体" w:cs="宋体"/>
      <w:sz w:val="21"/>
      <w:szCs w:val="21"/>
    </w:rPr>
  </w:style>
  <w:style w:type="paragraph" w:customStyle="1" w:styleId="2217">
    <w:name w:val="表21"/>
    <w:basedOn w:val="1"/>
    <w:qFormat/>
    <w:uiPriority w:val="99"/>
    <w:pPr>
      <w:spacing w:line="240" w:lineRule="auto"/>
      <w:jc w:val="center"/>
    </w:pPr>
    <w:rPr>
      <w:rFonts w:eastAsia="仿宋_GB2312"/>
    </w:rPr>
  </w:style>
  <w:style w:type="paragraph" w:customStyle="1" w:styleId="2218">
    <w:name w:val="表文字512"/>
    <w:basedOn w:val="1"/>
    <w:qFormat/>
    <w:uiPriority w:val="99"/>
    <w:pPr>
      <w:spacing w:line="240" w:lineRule="auto"/>
      <w:jc w:val="left"/>
      <w:textAlignment w:val="baseline"/>
    </w:pPr>
    <w:rPr>
      <w:rFonts w:ascii="宋体"/>
      <w:kern w:val="0"/>
      <w:sz w:val="21"/>
      <w:szCs w:val="20"/>
    </w:rPr>
  </w:style>
  <w:style w:type="paragraph" w:customStyle="1" w:styleId="2219">
    <w:name w:val="Char Char Char Char Char Char Char Char Char Char Char Char Char Char Char Char Char Char Char Char Char Char Char Char Char Char Char Char"/>
    <w:basedOn w:val="1"/>
    <w:qFormat/>
    <w:uiPriority w:val="0"/>
    <w:pPr>
      <w:spacing w:line="240" w:lineRule="auto"/>
    </w:pPr>
  </w:style>
  <w:style w:type="paragraph" w:customStyle="1" w:styleId="2220">
    <w:name w:val="图编号"/>
    <w:basedOn w:val="1"/>
    <w:qFormat/>
    <w:uiPriority w:val="0"/>
    <w:pPr>
      <w:tabs>
        <w:tab w:val="left" w:pos="720"/>
        <w:tab w:val="left" w:pos="780"/>
        <w:tab w:val="left" w:pos="980"/>
      </w:tabs>
      <w:spacing w:before="300" w:after="300"/>
      <w:ind w:left="425" w:hanging="425"/>
      <w:jc w:val="center"/>
    </w:pPr>
  </w:style>
  <w:style w:type="paragraph" w:customStyle="1" w:styleId="2221">
    <w:name w:val="框图"/>
    <w:basedOn w:val="1"/>
    <w:qFormat/>
    <w:uiPriority w:val="0"/>
    <w:pPr>
      <w:spacing w:line="240" w:lineRule="auto"/>
      <w:ind w:left="2" w:leftChars="-38" w:right="-106" w:rightChars="-38" w:hanging="108" w:hangingChars="54"/>
      <w:jc w:val="center"/>
    </w:pPr>
    <w:rPr>
      <w:rFonts w:ascii="宋体" w:cs="宋体"/>
      <w:sz w:val="20"/>
      <w:szCs w:val="20"/>
    </w:rPr>
  </w:style>
  <w:style w:type="paragraph" w:customStyle="1" w:styleId="2222">
    <w:name w:val="Char Char Char Char Char Char Char Char Char Char Char Char Char Char Char Char Char Char Char Char Char Char Char Char Char Char Char Char Char Char Char Char Char Char Char Char Char Char Char Char"/>
    <w:basedOn w:val="1"/>
    <w:qFormat/>
    <w:uiPriority w:val="0"/>
    <w:pPr>
      <w:spacing w:line="240" w:lineRule="auto"/>
    </w:pPr>
  </w:style>
  <w:style w:type="paragraph" w:customStyle="1" w:styleId="2223">
    <w:name w:val="样式 左侧:  -0.16 厘米"/>
    <w:basedOn w:val="1"/>
    <w:qFormat/>
    <w:uiPriority w:val="0"/>
    <w:pPr>
      <w:spacing w:line="240" w:lineRule="auto"/>
      <w:ind w:left="-90"/>
    </w:pPr>
    <w:rPr>
      <w:rFonts w:ascii="宋体" w:hAnsi="宋体" w:cs="宋体"/>
      <w:snapToGrid w:val="0"/>
      <w:kern w:val="0"/>
    </w:rPr>
  </w:style>
  <w:style w:type="paragraph" w:customStyle="1" w:styleId="2224">
    <w:name w:val="样式 五号 居中"/>
    <w:basedOn w:val="1"/>
    <w:qFormat/>
    <w:uiPriority w:val="0"/>
    <w:pPr>
      <w:spacing w:line="240" w:lineRule="auto"/>
      <w:jc w:val="center"/>
    </w:pPr>
    <w:rPr>
      <w:rFonts w:ascii="宋体" w:hAnsi="宋体" w:cs="宋体"/>
      <w:snapToGrid w:val="0"/>
      <w:kern w:val="0"/>
      <w:sz w:val="21"/>
      <w:szCs w:val="21"/>
    </w:rPr>
  </w:style>
  <w:style w:type="paragraph" w:customStyle="1" w:styleId="2225">
    <w:name w:val="样式 首行缩进:  0.77 厘米 行距: 1.5 倍行距"/>
    <w:basedOn w:val="1"/>
    <w:qFormat/>
    <w:uiPriority w:val="0"/>
    <w:pPr>
      <w:ind w:firstLine="435"/>
    </w:pPr>
    <w:rPr>
      <w:rFonts w:ascii="宋体" w:hAnsi="宋体" w:cs="宋体"/>
      <w:snapToGrid w:val="0"/>
      <w:kern w:val="0"/>
    </w:rPr>
  </w:style>
  <w:style w:type="paragraph" w:customStyle="1" w:styleId="2226">
    <w:name w:val="图注"/>
    <w:basedOn w:val="1"/>
    <w:next w:val="1"/>
    <w:qFormat/>
    <w:uiPriority w:val="0"/>
    <w:pPr>
      <w:spacing w:line="240" w:lineRule="auto"/>
      <w:jc w:val="center"/>
    </w:pPr>
    <w:rPr>
      <w:rFonts w:ascii="宋体" w:hAnsi="宋体"/>
      <w:color w:val="0000FF"/>
      <w:sz w:val="21"/>
      <w:szCs w:val="20"/>
    </w:rPr>
  </w:style>
  <w:style w:type="paragraph" w:customStyle="1" w:styleId="2227">
    <w:name w:val="样式 标题 3标题 3 Char CharH3h33rd level标题3 + 段前: 0.5 行"/>
    <w:basedOn w:val="5"/>
    <w:qFormat/>
    <w:uiPriority w:val="0"/>
    <w:pPr>
      <w:keepNext w:val="0"/>
      <w:keepLines w:val="0"/>
      <w:widowControl/>
      <w:spacing w:before="0" w:after="0" w:line="480" w:lineRule="exact"/>
      <w:ind w:firstLine="560"/>
      <w:outlineLvl w:val="9"/>
    </w:pPr>
    <w:rPr>
      <w:rFonts w:ascii="楷体_GB2312" w:hAnsi="宋体" w:eastAsia="楷体_GB2312"/>
      <w:b w:val="0"/>
      <w:color w:val="FF0000"/>
      <w:sz w:val="28"/>
      <w:szCs w:val="28"/>
    </w:rPr>
  </w:style>
  <w:style w:type="paragraph" w:customStyle="1" w:styleId="2228">
    <w:name w:val="初设正文"/>
    <w:basedOn w:val="1"/>
    <w:qFormat/>
    <w:uiPriority w:val="0"/>
    <w:pPr>
      <w:spacing w:after="120" w:line="440" w:lineRule="exact"/>
      <w:ind w:left="425" w:firstLine="425"/>
    </w:pPr>
    <w:rPr>
      <w:rFonts w:ascii="Arial" w:hAnsi="Arial" w:cs="宋体"/>
      <w:kern w:val="0"/>
      <w:szCs w:val="20"/>
    </w:rPr>
  </w:style>
  <w:style w:type="paragraph" w:customStyle="1" w:styleId="2229">
    <w:name w:val="WW-正文文字缩进 2"/>
    <w:basedOn w:val="1"/>
    <w:qFormat/>
    <w:uiPriority w:val="0"/>
    <w:pPr>
      <w:suppressAutoHyphens/>
      <w:ind w:left="570" w:firstLine="200"/>
    </w:pPr>
    <w:rPr>
      <w:rFonts w:ascii="宋体" w:hAnsi="宋体"/>
      <w:kern w:val="1"/>
      <w:sz w:val="28"/>
      <w:szCs w:val="20"/>
    </w:rPr>
  </w:style>
  <w:style w:type="paragraph" w:customStyle="1" w:styleId="2230">
    <w:name w:val="CM5"/>
    <w:basedOn w:val="151"/>
    <w:next w:val="151"/>
    <w:qFormat/>
    <w:uiPriority w:val="0"/>
    <w:pPr>
      <w:spacing w:line="468" w:lineRule="atLeast"/>
    </w:pPr>
    <w:rPr>
      <w:rFonts w:ascii="Sim Sun" w:hAnsi="Times New Roman" w:eastAsia="Sim Sun" w:cs="Times New Roman"/>
      <w:color w:val="auto"/>
    </w:rPr>
  </w:style>
  <w:style w:type="paragraph" w:customStyle="1" w:styleId="2231">
    <w:name w:val="引言"/>
    <w:basedOn w:val="1"/>
    <w:next w:val="1"/>
    <w:qFormat/>
    <w:uiPriority w:val="0"/>
    <w:pPr>
      <w:spacing w:line="240" w:lineRule="auto"/>
      <w:jc w:val="center"/>
    </w:pPr>
    <w:rPr>
      <w:rFonts w:ascii="仿宋_GB2312" w:eastAsia="仿宋_GB2312"/>
      <w:color w:val="000000"/>
    </w:rPr>
  </w:style>
  <w:style w:type="paragraph" w:customStyle="1" w:styleId="2232">
    <w:name w:val="Char Char Char Char Char Char Char Char Char Char Char Char Char Char Char Char Char Char Char Char Char Char"/>
    <w:basedOn w:val="1"/>
    <w:qFormat/>
    <w:uiPriority w:val="0"/>
    <w:pPr>
      <w:spacing w:line="240" w:lineRule="auto"/>
    </w:pPr>
  </w:style>
  <w:style w:type="paragraph" w:customStyle="1" w:styleId="2233">
    <w:name w:val="Char Char Char Char Char Char Char Char Char Char Char Char Char"/>
    <w:basedOn w:val="1"/>
    <w:qFormat/>
    <w:uiPriority w:val="0"/>
    <w:pPr>
      <w:spacing w:line="240" w:lineRule="auto"/>
    </w:pPr>
  </w:style>
  <w:style w:type="paragraph" w:customStyle="1" w:styleId="2234">
    <w:name w:val="表体宋旭峰"/>
    <w:basedOn w:val="1"/>
    <w:qFormat/>
    <w:uiPriority w:val="0"/>
    <w:pPr>
      <w:overflowPunct w:val="0"/>
      <w:spacing w:line="320" w:lineRule="exact"/>
      <w:jc w:val="center"/>
      <w:textAlignment w:val="baseline"/>
    </w:pPr>
    <w:rPr>
      <w:rFonts w:ascii="楷体_GB2312" w:eastAsia="楷体_GB2312" w:cs="Courier New"/>
      <w:snapToGrid w:val="0"/>
      <w:spacing w:val="-20"/>
      <w:kern w:val="0"/>
      <w:sz w:val="21"/>
      <w:szCs w:val="21"/>
    </w:rPr>
  </w:style>
  <w:style w:type="paragraph" w:customStyle="1" w:styleId="2235">
    <w:name w:val="Char Char1 Char Char Char1 Char Char Char Char Char Char Char Char Char Char Char Char Char"/>
    <w:basedOn w:val="1"/>
    <w:qFormat/>
    <w:uiPriority w:val="0"/>
    <w:pPr>
      <w:spacing w:line="240" w:lineRule="auto"/>
    </w:pPr>
  </w:style>
  <w:style w:type="paragraph" w:customStyle="1" w:styleId="2236">
    <w:name w:val="Char Char Char Char Char Char Char Char Char Char Char Char Char Char Char Char Char Char Char Char Char Char Char Char Char Char Char Char Char Char Char Char Char Char"/>
    <w:basedOn w:val="1"/>
    <w:qFormat/>
    <w:uiPriority w:val="0"/>
    <w:pPr>
      <w:spacing w:line="240" w:lineRule="auto"/>
    </w:pPr>
  </w:style>
  <w:style w:type="paragraph" w:customStyle="1" w:styleId="2237">
    <w:name w:val="默认段落字体 Para Char Char Char Char53"/>
    <w:basedOn w:val="1"/>
    <w:qFormat/>
    <w:uiPriority w:val="99"/>
    <w:pPr>
      <w:spacing w:line="240" w:lineRule="auto"/>
    </w:pPr>
    <w:rPr>
      <w:sz w:val="21"/>
    </w:rPr>
  </w:style>
  <w:style w:type="paragraph" w:customStyle="1" w:styleId="2238">
    <w:name w:val="样式 首行缩进:  1.71 字符"/>
    <w:basedOn w:val="1"/>
    <w:qFormat/>
    <w:uiPriority w:val="99"/>
    <w:pPr>
      <w:jc w:val="center"/>
    </w:pPr>
    <w:rPr>
      <w:rFonts w:ascii="宋体" w:hAnsi="宋体"/>
      <w:color w:val="000000"/>
      <w:kern w:val="0"/>
      <w:sz w:val="21"/>
      <w:szCs w:val="21"/>
    </w:rPr>
  </w:style>
  <w:style w:type="paragraph" w:customStyle="1" w:styleId="2239">
    <w:name w:val="book1_1"/>
    <w:basedOn w:val="4"/>
    <w:qFormat/>
    <w:uiPriority w:val="0"/>
    <w:pPr>
      <w:keepNext w:val="0"/>
      <w:tabs>
        <w:tab w:val="left" w:pos="622"/>
        <w:tab w:val="left" w:pos="720"/>
      </w:tabs>
      <w:spacing w:before="156" w:beforeLines="50" w:after="156" w:afterLines="50" w:line="240" w:lineRule="auto"/>
    </w:pPr>
    <w:rPr>
      <w:rFonts w:ascii="Arial" w:hAnsi="Arial" w:eastAsia="黑体"/>
      <w:b w:val="0"/>
      <w:sz w:val="24"/>
      <w:shd w:val="pct10" w:color="auto" w:fill="FFFFFF"/>
    </w:rPr>
  </w:style>
  <w:style w:type="paragraph" w:customStyle="1" w:styleId="2240">
    <w:name w:val="表体"/>
    <w:basedOn w:val="1"/>
    <w:qFormat/>
    <w:uiPriority w:val="99"/>
    <w:pPr>
      <w:tabs>
        <w:tab w:val="left" w:pos="6440"/>
      </w:tabs>
      <w:spacing w:line="240" w:lineRule="auto"/>
      <w:jc w:val="center"/>
    </w:pPr>
    <w:rPr>
      <w:rFonts w:ascii="楷体_GB2312" w:eastAsia="楷体_GB2312"/>
      <w:w w:val="80"/>
      <w:sz w:val="21"/>
      <w:szCs w:val="20"/>
    </w:rPr>
  </w:style>
  <w:style w:type="paragraph" w:customStyle="1" w:styleId="2241">
    <w:name w:val="1-正文"/>
    <w:basedOn w:val="1"/>
    <w:qFormat/>
    <w:uiPriority w:val="0"/>
    <w:pPr>
      <w:ind w:firstLine="480"/>
      <w:jc w:val="left"/>
    </w:pPr>
    <w:rPr>
      <w:rFonts w:ascii="宋体" w:hAnsi="宋体" w:cs="宋体"/>
    </w:rPr>
  </w:style>
  <w:style w:type="paragraph" w:customStyle="1" w:styleId="2242">
    <w:name w:val="编号标题"/>
    <w:basedOn w:val="5"/>
    <w:qFormat/>
    <w:uiPriority w:val="0"/>
    <w:pPr>
      <w:spacing w:before="160" w:after="0" w:line="460" w:lineRule="exact"/>
      <w:ind w:firstLine="420"/>
      <w:outlineLvl w:val="9"/>
    </w:pPr>
    <w:rPr>
      <w:rFonts w:ascii="宋体" w:hAnsi="宋体"/>
      <w:b w:val="0"/>
      <w:bCs w:val="0"/>
      <w:color w:val="000000"/>
      <w:sz w:val="21"/>
      <w:szCs w:val="24"/>
    </w:rPr>
  </w:style>
  <w:style w:type="paragraph" w:customStyle="1" w:styleId="2243">
    <w:name w:val="style3"/>
    <w:basedOn w:val="1"/>
    <w:qFormat/>
    <w:uiPriority w:val="0"/>
    <w:pPr>
      <w:widowControl/>
      <w:spacing w:before="100" w:beforeAutospacing="1" w:after="100" w:afterAutospacing="1" w:line="240" w:lineRule="auto"/>
      <w:jc w:val="left"/>
    </w:pPr>
    <w:rPr>
      <w:rFonts w:ascii="宋体" w:hAnsi="宋体" w:cs="宋体"/>
      <w:color w:val="000000"/>
      <w:kern w:val="0"/>
    </w:rPr>
  </w:style>
  <w:style w:type="paragraph" w:customStyle="1" w:styleId="2244">
    <w:name w:val="A正文3"/>
    <w:basedOn w:val="1"/>
    <w:qFormat/>
    <w:uiPriority w:val="99"/>
    <w:pPr>
      <w:widowControl/>
      <w:overflowPunct w:val="0"/>
      <w:autoSpaceDE w:val="0"/>
      <w:autoSpaceDN w:val="0"/>
      <w:ind w:firstLine="200"/>
      <w:jc w:val="left"/>
      <w:textAlignment w:val="baseline"/>
    </w:pPr>
    <w:rPr>
      <w:rFonts w:eastAsia="仿宋_GB2312"/>
      <w:kern w:val="0"/>
    </w:rPr>
  </w:style>
  <w:style w:type="paragraph" w:customStyle="1" w:styleId="2245">
    <w:name w:val="Char Char Char2 Char Char Char Char Char Char Char Char Char Char Char Char Char Char Char Char Char Char Char Char Char Char Char Char"/>
    <w:basedOn w:val="1"/>
    <w:qFormat/>
    <w:uiPriority w:val="0"/>
    <w:pPr>
      <w:spacing w:line="240" w:lineRule="auto"/>
    </w:pPr>
    <w:rPr>
      <w:rFonts w:ascii="黑体" w:hAnsi="黑体" w:eastAsia="黑体"/>
      <w:b/>
      <w:spacing w:val="10"/>
      <w:kern w:val="44"/>
      <w:sz w:val="28"/>
      <w:szCs w:val="20"/>
    </w:rPr>
  </w:style>
  <w:style w:type="paragraph" w:customStyle="1" w:styleId="2246">
    <w:name w:val="Char Char21 Char Char Char Char"/>
    <w:basedOn w:val="1"/>
    <w:qFormat/>
    <w:uiPriority w:val="0"/>
    <w:pPr>
      <w:spacing w:line="240" w:lineRule="auto"/>
    </w:pPr>
    <w:rPr>
      <w:rFonts w:ascii="黑体" w:hAnsi="黑体" w:eastAsia="黑体"/>
      <w:b/>
      <w:spacing w:val="10"/>
      <w:kern w:val="44"/>
      <w:sz w:val="28"/>
      <w:szCs w:val="20"/>
    </w:rPr>
  </w:style>
  <w:style w:type="paragraph" w:customStyle="1" w:styleId="2247">
    <w:name w:val="Char Char Char Char1 Char Char Char16"/>
    <w:basedOn w:val="1"/>
    <w:qFormat/>
    <w:uiPriority w:val="99"/>
    <w:pPr>
      <w:widowControl/>
      <w:spacing w:after="160" w:line="240" w:lineRule="exact"/>
      <w:jc w:val="left"/>
    </w:pPr>
    <w:rPr>
      <w:rFonts w:ascii="Verdana" w:hAnsi="Verdana"/>
      <w:kern w:val="0"/>
      <w:sz w:val="20"/>
      <w:szCs w:val="20"/>
      <w:lang w:eastAsia="en-US"/>
    </w:rPr>
  </w:style>
  <w:style w:type="paragraph" w:customStyle="1" w:styleId="2248">
    <w:name w:val="Char Char7 Char Char1 Char Char Char1 Char Char Char Char Char1 Char Char Char"/>
    <w:basedOn w:val="1"/>
    <w:qFormat/>
    <w:uiPriority w:val="0"/>
    <w:pPr>
      <w:spacing w:line="240" w:lineRule="auto"/>
    </w:pPr>
    <w:rPr>
      <w:sz w:val="21"/>
      <w:szCs w:val="21"/>
    </w:rPr>
  </w:style>
  <w:style w:type="paragraph" w:customStyle="1" w:styleId="2249">
    <w:name w:val="表内文字小2121"/>
    <w:basedOn w:val="1"/>
    <w:qFormat/>
    <w:uiPriority w:val="99"/>
    <w:pPr>
      <w:spacing w:line="240" w:lineRule="auto"/>
      <w:jc w:val="center"/>
    </w:pPr>
    <w:rPr>
      <w:rFonts w:ascii="宋体" w:hAnsi="Times"/>
      <w:bCs/>
      <w:color w:val="000000"/>
      <w:sz w:val="21"/>
      <w:szCs w:val="20"/>
    </w:rPr>
  </w:style>
  <w:style w:type="paragraph" w:customStyle="1" w:styleId="2250">
    <w:name w:val="正文首行缩进  2字符"/>
    <w:basedOn w:val="1"/>
    <w:qFormat/>
    <w:uiPriority w:val="0"/>
    <w:pPr>
      <w:ind w:firstLine="480"/>
    </w:pPr>
    <w:rPr>
      <w:szCs w:val="20"/>
    </w:rPr>
  </w:style>
  <w:style w:type="paragraph" w:customStyle="1" w:styleId="2251">
    <w:name w:val="4级标题"/>
    <w:basedOn w:val="84"/>
    <w:qFormat/>
    <w:uiPriority w:val="0"/>
    <w:pPr>
      <w:spacing w:before="0" w:after="0" w:line="480" w:lineRule="exact"/>
      <w:jc w:val="left"/>
      <w:outlineLvl w:val="3"/>
    </w:pPr>
    <w:rPr>
      <w:rFonts w:ascii="宋体" w:hAnsi="宋体"/>
      <w:sz w:val="24"/>
    </w:rPr>
  </w:style>
  <w:style w:type="paragraph" w:customStyle="1" w:styleId="2252">
    <w:name w:val="Char Char Char1 Char Char Char Char Char Char Char Char Char Char Char Char Char Char Char Char Char"/>
    <w:basedOn w:val="1"/>
    <w:qFormat/>
    <w:uiPriority w:val="0"/>
    <w:pPr>
      <w:spacing w:line="240" w:lineRule="auto"/>
    </w:pPr>
    <w:rPr>
      <w:sz w:val="21"/>
    </w:rPr>
  </w:style>
  <w:style w:type="paragraph" w:customStyle="1" w:styleId="2253">
    <w:name w:val="标题414"/>
    <w:basedOn w:val="6"/>
    <w:next w:val="1"/>
    <w:qFormat/>
    <w:uiPriority w:val="99"/>
    <w:pPr>
      <w:spacing w:before="160" w:after="170" w:line="360" w:lineRule="auto"/>
    </w:pPr>
    <w:rPr>
      <w:rFonts w:ascii="黑体" w:hAnsi="Arial" w:eastAsia="黑体"/>
      <w:lang w:val="zh-CN"/>
    </w:rPr>
  </w:style>
  <w:style w:type="paragraph" w:customStyle="1" w:styleId="2254">
    <w:name w:val="Char4 Char Char Char Char Char Char Char Char Char Char Char Char Char Char Char Char Char1 Char2"/>
    <w:basedOn w:val="1"/>
    <w:qFormat/>
    <w:uiPriority w:val="0"/>
    <w:pPr>
      <w:spacing w:line="240" w:lineRule="exact"/>
      <w:ind w:firstLine="200"/>
    </w:pPr>
    <w:rPr>
      <w:sz w:val="28"/>
      <w:szCs w:val="28"/>
    </w:rPr>
  </w:style>
  <w:style w:type="paragraph" w:customStyle="1" w:styleId="2255">
    <w:name w:val="Char4 Char Char"/>
    <w:basedOn w:val="1"/>
    <w:qFormat/>
    <w:uiPriority w:val="0"/>
    <w:pPr>
      <w:spacing w:line="240" w:lineRule="auto"/>
    </w:pPr>
  </w:style>
  <w:style w:type="paragraph" w:customStyle="1" w:styleId="2256">
    <w:name w:val="正文＋2缩进"/>
    <w:basedOn w:val="34"/>
    <w:qFormat/>
    <w:uiPriority w:val="0"/>
    <w:pPr>
      <w:adjustRightInd/>
      <w:snapToGrid/>
      <w:spacing w:after="0" w:line="240" w:lineRule="auto"/>
      <w:ind w:firstLine="200"/>
      <w:jc w:val="left"/>
    </w:pPr>
    <w:rPr>
      <w:rFonts w:ascii="宋体" w:hAnsi="宋体" w:cs="宋体"/>
      <w:sz w:val="28"/>
      <w:lang w:val="en-GB"/>
    </w:rPr>
  </w:style>
  <w:style w:type="paragraph" w:customStyle="1" w:styleId="2257">
    <w:name w:val="其 它 文 件"/>
    <w:basedOn w:val="1"/>
    <w:qFormat/>
    <w:uiPriority w:val="0"/>
    <w:pPr>
      <w:spacing w:after="80" w:line="440" w:lineRule="atLeast"/>
      <w:jc w:val="left"/>
      <w:textAlignment w:val="baseline"/>
    </w:pPr>
    <w:rPr>
      <w:rFonts w:eastAsia="楷体"/>
      <w:kern w:val="0"/>
      <w:sz w:val="28"/>
      <w:szCs w:val="20"/>
    </w:rPr>
  </w:style>
  <w:style w:type="paragraph" w:customStyle="1" w:styleId="2258">
    <w:name w:val="表内字体"/>
    <w:basedOn w:val="1"/>
    <w:qFormat/>
    <w:uiPriority w:val="0"/>
    <w:pPr>
      <w:spacing w:line="240" w:lineRule="auto"/>
      <w:jc w:val="center"/>
    </w:pPr>
    <w:rPr>
      <w:rFonts w:hAnsi="宋体"/>
      <w:sz w:val="21"/>
      <w:szCs w:val="20"/>
    </w:rPr>
  </w:style>
  <w:style w:type="paragraph" w:customStyle="1" w:styleId="2259">
    <w:name w:val="CM185"/>
    <w:basedOn w:val="151"/>
    <w:next w:val="151"/>
    <w:qFormat/>
    <w:uiPriority w:val="0"/>
    <w:pPr>
      <w:spacing w:after="118"/>
    </w:pPr>
    <w:rPr>
      <w:rFonts w:ascii="Sim Sun" w:hAnsi="Times New Roman" w:eastAsia="Sim Sun" w:cs="Times New Roman"/>
      <w:color w:val="auto"/>
    </w:rPr>
  </w:style>
  <w:style w:type="paragraph" w:customStyle="1" w:styleId="2260">
    <w:name w:val="CM6"/>
    <w:basedOn w:val="151"/>
    <w:next w:val="151"/>
    <w:qFormat/>
    <w:uiPriority w:val="0"/>
    <w:pPr>
      <w:spacing w:line="468" w:lineRule="atLeast"/>
    </w:pPr>
    <w:rPr>
      <w:rFonts w:ascii="Sim Sun" w:hAnsi="Times New Roman" w:eastAsia="Sim Sun" w:cs="Times New Roman"/>
      <w:color w:val="auto"/>
    </w:rPr>
  </w:style>
  <w:style w:type="paragraph" w:customStyle="1" w:styleId="2261">
    <w:name w:val="样式 表格内字体 +3"/>
    <w:basedOn w:val="832"/>
    <w:qFormat/>
    <w:uiPriority w:val="99"/>
    <w:pPr>
      <w:spacing w:line="280" w:lineRule="exact"/>
      <w:ind w:firstLine="36"/>
      <w:jc w:val="both"/>
    </w:pPr>
    <w:rPr>
      <w:kern w:val="0"/>
      <w:szCs w:val="24"/>
    </w:rPr>
  </w:style>
  <w:style w:type="paragraph" w:customStyle="1" w:styleId="2262">
    <w:name w:val="CM7"/>
    <w:basedOn w:val="151"/>
    <w:next w:val="151"/>
    <w:qFormat/>
    <w:uiPriority w:val="0"/>
    <w:pPr>
      <w:spacing w:line="468" w:lineRule="atLeast"/>
    </w:pPr>
    <w:rPr>
      <w:rFonts w:ascii="Sim Sun" w:hAnsi="Times New Roman" w:eastAsia="Sim Sun" w:cs="Times New Roman"/>
      <w:color w:val="auto"/>
    </w:rPr>
  </w:style>
  <w:style w:type="paragraph" w:customStyle="1" w:styleId="2263">
    <w:name w:val="CM8"/>
    <w:basedOn w:val="151"/>
    <w:next w:val="151"/>
    <w:qFormat/>
    <w:uiPriority w:val="0"/>
    <w:pPr>
      <w:spacing w:line="468" w:lineRule="atLeast"/>
    </w:pPr>
    <w:rPr>
      <w:rFonts w:ascii="Sim Sun" w:hAnsi="Times New Roman" w:eastAsia="Sim Sun" w:cs="Times New Roman"/>
      <w:color w:val="auto"/>
    </w:rPr>
  </w:style>
  <w:style w:type="paragraph" w:customStyle="1" w:styleId="2264">
    <w:name w:val="表内文字小14"/>
    <w:basedOn w:val="1"/>
    <w:qFormat/>
    <w:uiPriority w:val="99"/>
    <w:pPr>
      <w:spacing w:line="240" w:lineRule="auto"/>
      <w:jc w:val="center"/>
    </w:pPr>
    <w:rPr>
      <w:rFonts w:ascii="宋体" w:hAnsi="Times"/>
      <w:sz w:val="21"/>
      <w:szCs w:val="20"/>
    </w:rPr>
  </w:style>
  <w:style w:type="paragraph" w:customStyle="1" w:styleId="2265">
    <w:name w:val="图题53"/>
    <w:basedOn w:val="185"/>
    <w:next w:val="185"/>
    <w:qFormat/>
    <w:uiPriority w:val="99"/>
    <w:pPr>
      <w:ind w:firstLine="0"/>
      <w:jc w:val="center"/>
    </w:pPr>
    <w:rPr>
      <w:rFonts w:ascii="黑体" w:hAnsi="宋体" w:eastAsia="黑体"/>
      <w:b/>
      <w:bCs/>
    </w:rPr>
  </w:style>
  <w:style w:type="paragraph" w:customStyle="1" w:styleId="2266">
    <w:name w:val="CM191"/>
    <w:basedOn w:val="151"/>
    <w:next w:val="151"/>
    <w:qFormat/>
    <w:uiPriority w:val="0"/>
    <w:pPr>
      <w:spacing w:after="67"/>
    </w:pPr>
    <w:rPr>
      <w:rFonts w:ascii="Sim Sun" w:hAnsi="Times New Roman" w:eastAsia="Sim Sun" w:cs="Times New Roman"/>
      <w:color w:val="auto"/>
    </w:rPr>
  </w:style>
  <w:style w:type="paragraph" w:customStyle="1" w:styleId="2267">
    <w:name w:val="CM14"/>
    <w:basedOn w:val="151"/>
    <w:next w:val="151"/>
    <w:qFormat/>
    <w:uiPriority w:val="0"/>
    <w:pPr>
      <w:spacing w:line="468" w:lineRule="atLeast"/>
    </w:pPr>
    <w:rPr>
      <w:rFonts w:ascii="Sim Sun" w:hAnsi="Times New Roman" w:eastAsia="Sim Sun" w:cs="Times New Roman"/>
      <w:color w:val="auto"/>
    </w:rPr>
  </w:style>
  <w:style w:type="paragraph" w:customStyle="1" w:styleId="2268">
    <w:name w:val="样式 小四 首行缩进:  0.74 厘米 行距: 固定值 20 磅"/>
    <w:basedOn w:val="1"/>
    <w:qFormat/>
    <w:uiPriority w:val="0"/>
    <w:pPr>
      <w:spacing w:line="440" w:lineRule="exact"/>
      <w:ind w:firstLine="454"/>
    </w:pPr>
    <w:rPr>
      <w:szCs w:val="20"/>
    </w:rPr>
  </w:style>
  <w:style w:type="paragraph" w:customStyle="1" w:styleId="2269">
    <w:name w:val="CM195"/>
    <w:basedOn w:val="151"/>
    <w:next w:val="151"/>
    <w:qFormat/>
    <w:uiPriority w:val="0"/>
    <w:pPr>
      <w:spacing w:after="453"/>
    </w:pPr>
    <w:rPr>
      <w:rFonts w:ascii="Sim Sun" w:hAnsi="Times New Roman" w:eastAsia="Sim Sun" w:cs="Times New Roman"/>
      <w:color w:val="auto"/>
    </w:rPr>
  </w:style>
  <w:style w:type="paragraph" w:customStyle="1" w:styleId="2270">
    <w:name w:val="CM16"/>
    <w:basedOn w:val="151"/>
    <w:next w:val="151"/>
    <w:qFormat/>
    <w:uiPriority w:val="0"/>
    <w:rPr>
      <w:rFonts w:ascii="Sim Sun" w:hAnsi="Times New Roman" w:eastAsia="Sim Sun" w:cs="Times New Roman"/>
      <w:color w:val="auto"/>
    </w:rPr>
  </w:style>
  <w:style w:type="paragraph" w:customStyle="1" w:styleId="2271">
    <w:name w:val="CM196"/>
    <w:basedOn w:val="151"/>
    <w:next w:val="151"/>
    <w:qFormat/>
    <w:uiPriority w:val="0"/>
    <w:pPr>
      <w:spacing w:after="247"/>
    </w:pPr>
    <w:rPr>
      <w:rFonts w:ascii="Sim Sun" w:hAnsi="Times New Roman" w:eastAsia="Sim Sun" w:cs="Times New Roman"/>
      <w:color w:val="auto"/>
    </w:rPr>
  </w:style>
  <w:style w:type="paragraph" w:customStyle="1" w:styleId="2272">
    <w:name w:val="标题43111"/>
    <w:basedOn w:val="1"/>
    <w:qFormat/>
    <w:uiPriority w:val="99"/>
    <w:pPr>
      <w:spacing w:line="480" w:lineRule="exact"/>
      <w:jc w:val="center"/>
    </w:pPr>
    <w:rPr>
      <w:rFonts w:ascii="宋体" w:hAnsi="宋体" w:cs="宋体"/>
    </w:rPr>
  </w:style>
  <w:style w:type="paragraph" w:customStyle="1" w:styleId="2273">
    <w:name w:val="CM197"/>
    <w:basedOn w:val="151"/>
    <w:next w:val="151"/>
    <w:qFormat/>
    <w:uiPriority w:val="0"/>
    <w:pPr>
      <w:spacing w:after="408"/>
    </w:pPr>
    <w:rPr>
      <w:rFonts w:ascii="Sim Sun" w:hAnsi="Times New Roman" w:eastAsia="Sim Sun" w:cs="Times New Roman"/>
      <w:color w:val="auto"/>
    </w:rPr>
  </w:style>
  <w:style w:type="paragraph" w:customStyle="1" w:styleId="2274">
    <w:name w:val="燕山正文1111"/>
    <w:basedOn w:val="1"/>
    <w:qFormat/>
    <w:uiPriority w:val="99"/>
    <w:pPr>
      <w:tabs>
        <w:tab w:val="left" w:pos="4680"/>
      </w:tabs>
      <w:spacing w:line="480" w:lineRule="exact"/>
    </w:pPr>
    <w:rPr>
      <w:rFonts w:ascii="宋体" w:hAnsi="宋体" w:cs="宋体"/>
      <w:bCs/>
      <w:color w:val="000000"/>
    </w:rPr>
  </w:style>
  <w:style w:type="paragraph" w:customStyle="1" w:styleId="2275">
    <w:name w:val="CM61"/>
    <w:basedOn w:val="151"/>
    <w:next w:val="151"/>
    <w:qFormat/>
    <w:uiPriority w:val="0"/>
    <w:pPr>
      <w:spacing w:line="468" w:lineRule="atLeast"/>
    </w:pPr>
    <w:rPr>
      <w:rFonts w:ascii="Sim Sun" w:hAnsi="Times New Roman" w:eastAsia="Sim Sun" w:cs="Times New Roman"/>
      <w:color w:val="auto"/>
    </w:rPr>
  </w:style>
  <w:style w:type="paragraph" w:customStyle="1" w:styleId="2276">
    <w:name w:val="表标题2"/>
    <w:basedOn w:val="1"/>
    <w:next w:val="1"/>
    <w:qFormat/>
    <w:uiPriority w:val="0"/>
    <w:pPr>
      <w:spacing w:beforeLines="50" w:after="120" w:line="312" w:lineRule="auto"/>
      <w:jc w:val="center"/>
    </w:pPr>
    <w:rPr>
      <w:sz w:val="21"/>
    </w:rPr>
  </w:style>
  <w:style w:type="paragraph" w:customStyle="1" w:styleId="2277">
    <w:name w:val="CM199"/>
    <w:basedOn w:val="151"/>
    <w:next w:val="151"/>
    <w:qFormat/>
    <w:uiPriority w:val="0"/>
    <w:pPr>
      <w:spacing w:after="1055"/>
    </w:pPr>
    <w:rPr>
      <w:rFonts w:ascii="Sim Sun" w:hAnsi="Times New Roman" w:eastAsia="Sim Sun" w:cs="Times New Roman"/>
      <w:color w:val="auto"/>
    </w:rPr>
  </w:style>
  <w:style w:type="paragraph" w:customStyle="1" w:styleId="2278">
    <w:name w:val="Char411"/>
    <w:basedOn w:val="1"/>
    <w:qFormat/>
    <w:uiPriority w:val="99"/>
    <w:pPr>
      <w:spacing w:line="240" w:lineRule="auto"/>
      <w:ind w:left="-48"/>
    </w:pPr>
    <w:rPr>
      <w:sz w:val="21"/>
    </w:rPr>
  </w:style>
  <w:style w:type="paragraph" w:customStyle="1" w:styleId="2279">
    <w:name w:val="CM200"/>
    <w:basedOn w:val="151"/>
    <w:next w:val="151"/>
    <w:qFormat/>
    <w:uiPriority w:val="0"/>
    <w:pPr>
      <w:spacing w:after="278"/>
    </w:pPr>
    <w:rPr>
      <w:rFonts w:ascii="Sim Sun" w:hAnsi="Times New Roman" w:eastAsia="Sim Sun" w:cs="Times New Roman"/>
      <w:color w:val="auto"/>
    </w:rPr>
  </w:style>
  <w:style w:type="paragraph" w:customStyle="1" w:styleId="2280">
    <w:name w:val="bgbt2节标题"/>
    <w:basedOn w:val="1656"/>
    <w:next w:val="1656"/>
    <w:qFormat/>
    <w:uiPriority w:val="0"/>
    <w:pPr>
      <w:spacing w:before="300"/>
      <w:jc w:val="center"/>
      <w:outlineLvl w:val="1"/>
    </w:pPr>
    <w:rPr>
      <w:sz w:val="30"/>
    </w:rPr>
  </w:style>
  <w:style w:type="paragraph" w:customStyle="1" w:styleId="2281">
    <w:name w:val="CM202"/>
    <w:basedOn w:val="151"/>
    <w:next w:val="151"/>
    <w:qFormat/>
    <w:uiPriority w:val="0"/>
    <w:pPr>
      <w:spacing w:after="528"/>
    </w:pPr>
    <w:rPr>
      <w:rFonts w:ascii="Sim Sun" w:hAnsi="Times New Roman" w:eastAsia="Sim Sun" w:cs="Times New Roman"/>
      <w:color w:val="auto"/>
    </w:rPr>
  </w:style>
  <w:style w:type="paragraph" w:customStyle="1" w:styleId="2282">
    <w:name w:val="CM66"/>
    <w:basedOn w:val="151"/>
    <w:next w:val="151"/>
    <w:qFormat/>
    <w:uiPriority w:val="0"/>
    <w:rPr>
      <w:rFonts w:ascii="Sim Sun" w:hAnsi="Times New Roman" w:eastAsia="Sim Sun" w:cs="Times New Roman"/>
      <w:color w:val="auto"/>
    </w:rPr>
  </w:style>
  <w:style w:type="paragraph" w:customStyle="1" w:styleId="2283">
    <w:name w:val="默认段落字体 Para Char Char Char Char212"/>
    <w:basedOn w:val="1"/>
    <w:qFormat/>
    <w:uiPriority w:val="99"/>
    <w:pPr>
      <w:spacing w:line="240" w:lineRule="auto"/>
    </w:pPr>
    <w:rPr>
      <w:sz w:val="21"/>
    </w:rPr>
  </w:style>
  <w:style w:type="paragraph" w:customStyle="1" w:styleId="2284">
    <w:name w:val="表中文字2"/>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2285">
    <w:name w:val="CM67"/>
    <w:basedOn w:val="151"/>
    <w:next w:val="151"/>
    <w:qFormat/>
    <w:uiPriority w:val="0"/>
    <w:pPr>
      <w:spacing w:line="403" w:lineRule="atLeast"/>
    </w:pPr>
    <w:rPr>
      <w:rFonts w:ascii="Sim Sun" w:hAnsi="Times New Roman" w:eastAsia="Sim Sun" w:cs="Times New Roman"/>
      <w:color w:val="auto"/>
    </w:rPr>
  </w:style>
  <w:style w:type="paragraph" w:customStyle="1" w:styleId="2286">
    <w:name w:val="样式 标题 4无效格式无效格式1河石管道4H4H41小小节河石管道41H42H411小小节1河石管道42...14"/>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2287">
    <w:name w:val="HLZW + (中文)"/>
    <w:basedOn w:val="1"/>
    <w:qFormat/>
    <w:uiPriority w:val="0"/>
    <w:pPr>
      <w:ind w:firstLine="480"/>
    </w:pPr>
    <w:rPr>
      <w:rFonts w:eastAsia="仿宋_GB2312" w:cs="宋体"/>
      <w:color w:val="000000"/>
      <w:sz w:val="28"/>
      <w:szCs w:val="20"/>
    </w:rPr>
  </w:style>
  <w:style w:type="paragraph" w:customStyle="1" w:styleId="2288">
    <w:name w:val="CM68"/>
    <w:basedOn w:val="151"/>
    <w:next w:val="151"/>
    <w:qFormat/>
    <w:uiPriority w:val="0"/>
    <w:rPr>
      <w:rFonts w:ascii="Sim Sun" w:hAnsi="Times New Roman" w:eastAsia="Sim Sun" w:cs="Times New Roman"/>
      <w:color w:val="auto"/>
    </w:rPr>
  </w:style>
  <w:style w:type="paragraph" w:customStyle="1" w:styleId="2289">
    <w:name w:val="CM12"/>
    <w:basedOn w:val="151"/>
    <w:next w:val="151"/>
    <w:qFormat/>
    <w:uiPriority w:val="99"/>
    <w:pPr>
      <w:spacing w:line="468" w:lineRule="atLeast"/>
    </w:pPr>
    <w:rPr>
      <w:rFonts w:ascii="Sim Sun" w:hAnsi="Times New Roman" w:eastAsia="Sim Sun" w:cs="Times New Roman"/>
      <w:color w:val="auto"/>
    </w:rPr>
  </w:style>
  <w:style w:type="paragraph" w:customStyle="1" w:styleId="2290">
    <w:name w:val="CM194"/>
    <w:basedOn w:val="151"/>
    <w:next w:val="151"/>
    <w:qFormat/>
    <w:uiPriority w:val="0"/>
    <w:pPr>
      <w:spacing w:after="60"/>
    </w:pPr>
    <w:rPr>
      <w:rFonts w:ascii="Sim Sun" w:hAnsi="Times New Roman" w:eastAsia="Sim Sun" w:cs="Times New Roman"/>
      <w:color w:val="auto"/>
    </w:rPr>
  </w:style>
  <w:style w:type="paragraph" w:customStyle="1" w:styleId="2291">
    <w:name w:val="样式1212"/>
    <w:basedOn w:val="1199"/>
    <w:qFormat/>
    <w:uiPriority w:val="99"/>
    <w:pPr>
      <w:spacing w:line="240" w:lineRule="auto"/>
      <w:ind w:firstLine="0"/>
      <w:jc w:val="center"/>
    </w:pPr>
    <w:rPr>
      <w:rFonts w:cs="Times New Roman"/>
      <w:b/>
      <w:color w:val="auto"/>
      <w:szCs w:val="20"/>
    </w:rPr>
  </w:style>
  <w:style w:type="paragraph" w:customStyle="1" w:styleId="2292">
    <w:name w:val="标题45"/>
    <w:basedOn w:val="1"/>
    <w:qFormat/>
    <w:uiPriority w:val="99"/>
    <w:pPr>
      <w:spacing w:line="300" w:lineRule="auto"/>
      <w:jc w:val="left"/>
    </w:pPr>
    <w:rPr>
      <w:rFonts w:ascii="黑体" w:eastAsia="黑体"/>
      <w:bCs/>
    </w:rPr>
  </w:style>
  <w:style w:type="paragraph" w:customStyle="1" w:styleId="2293">
    <w:name w:val="Char312"/>
    <w:basedOn w:val="1"/>
    <w:qFormat/>
    <w:uiPriority w:val="99"/>
    <w:pPr>
      <w:spacing w:line="240" w:lineRule="auto"/>
      <w:ind w:left="-48"/>
    </w:pPr>
    <w:rPr>
      <w:sz w:val="21"/>
    </w:rPr>
  </w:style>
  <w:style w:type="paragraph" w:customStyle="1" w:styleId="2294">
    <w:name w:val="表内文字小2133"/>
    <w:basedOn w:val="1"/>
    <w:qFormat/>
    <w:uiPriority w:val="99"/>
    <w:pPr>
      <w:spacing w:line="240" w:lineRule="auto"/>
      <w:jc w:val="center"/>
      <w:textAlignment w:val="baseline"/>
    </w:pPr>
    <w:rPr>
      <w:rFonts w:ascii="宋体" w:hAnsi="Times"/>
      <w:bCs/>
      <w:color w:val="000000"/>
      <w:sz w:val="21"/>
      <w:szCs w:val="20"/>
    </w:rPr>
  </w:style>
  <w:style w:type="paragraph" w:customStyle="1" w:styleId="2295">
    <w:name w:val="样式 标题 3h3H3level_3PIM 3Level 3 HeadHeading 3 - oldsect1.2..."/>
    <w:basedOn w:val="5"/>
    <w:qFormat/>
    <w:uiPriority w:val="0"/>
    <w:pPr>
      <w:autoSpaceDE w:val="0"/>
      <w:autoSpaceDN w:val="0"/>
      <w:spacing w:before="0" w:after="0"/>
      <w:jc w:val="left"/>
      <w:textAlignment w:val="baseline"/>
    </w:pPr>
    <w:rPr>
      <w:rFonts w:eastAsia="仿宋_GB2312"/>
      <w:b w:val="0"/>
      <w:bCs w:val="0"/>
      <w:szCs w:val="24"/>
    </w:rPr>
  </w:style>
  <w:style w:type="paragraph" w:customStyle="1" w:styleId="2296">
    <w:name w:val="1 Char"/>
    <w:basedOn w:val="1"/>
    <w:qFormat/>
    <w:uiPriority w:val="0"/>
    <w:pPr>
      <w:spacing w:line="240" w:lineRule="auto"/>
    </w:pPr>
    <w:rPr>
      <w:sz w:val="21"/>
      <w:szCs w:val="21"/>
    </w:rPr>
  </w:style>
  <w:style w:type="paragraph" w:customStyle="1" w:styleId="2297">
    <w:name w:val="HL22"/>
    <w:basedOn w:val="1"/>
    <w:qFormat/>
    <w:uiPriority w:val="0"/>
    <w:pPr>
      <w:keepNext/>
      <w:keepLines/>
      <w:spacing w:before="120" w:after="120"/>
      <w:outlineLvl w:val="1"/>
    </w:pPr>
    <w:rPr>
      <w:rFonts w:eastAsia="仿宋_GB2312"/>
      <w:b/>
      <w:bCs/>
      <w:color w:val="000000"/>
      <w:sz w:val="28"/>
      <w:szCs w:val="32"/>
    </w:rPr>
  </w:style>
  <w:style w:type="paragraph" w:customStyle="1" w:styleId="2298">
    <w:name w:val="样式 chen + 首行缩进:  2 字符"/>
    <w:basedOn w:val="1"/>
    <w:qFormat/>
    <w:uiPriority w:val="99"/>
    <w:pPr>
      <w:ind w:firstLine="560"/>
    </w:pPr>
    <w:rPr>
      <w:rFonts w:cs="宋体"/>
      <w:color w:val="000000"/>
      <w:sz w:val="28"/>
      <w:szCs w:val="20"/>
    </w:rPr>
  </w:style>
  <w:style w:type="paragraph" w:customStyle="1" w:styleId="2299">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300">
    <w:name w:val="样式一"/>
    <w:basedOn w:val="3"/>
    <w:qFormat/>
    <w:uiPriority w:val="0"/>
    <w:pPr>
      <w:tabs>
        <w:tab w:val="left" w:pos="0"/>
      </w:tabs>
      <w:spacing w:after="120" w:afterLines="50"/>
      <w:jc w:val="left"/>
    </w:pPr>
    <w:rPr>
      <w:rFonts w:ascii="黑体" w:eastAsia="黑体"/>
      <w:bCs w:val="0"/>
      <w:szCs w:val="30"/>
      <w:lang w:val="zh-CN"/>
    </w:rPr>
  </w:style>
  <w:style w:type="paragraph" w:customStyle="1" w:styleId="2301">
    <w:name w:val="表14"/>
    <w:basedOn w:val="1"/>
    <w:qFormat/>
    <w:uiPriority w:val="99"/>
    <w:pPr>
      <w:spacing w:line="240" w:lineRule="auto"/>
      <w:jc w:val="center"/>
    </w:pPr>
    <w:rPr>
      <w:rFonts w:eastAsia="仿宋_GB2312"/>
    </w:rPr>
  </w:style>
  <w:style w:type="paragraph" w:customStyle="1" w:styleId="2302">
    <w:name w:val="样式二"/>
    <w:basedOn w:val="4"/>
    <w:qFormat/>
    <w:uiPriority w:val="0"/>
    <w:pPr>
      <w:spacing w:before="0" w:afterLines="50"/>
      <w:jc w:val="left"/>
    </w:pPr>
    <w:rPr>
      <w:smallCaps/>
      <w:sz w:val="24"/>
      <w:szCs w:val="24"/>
    </w:rPr>
  </w:style>
  <w:style w:type="paragraph" w:customStyle="1" w:styleId="2303">
    <w:name w:val="表内文字小313"/>
    <w:basedOn w:val="1"/>
    <w:qFormat/>
    <w:uiPriority w:val="99"/>
    <w:pPr>
      <w:spacing w:line="240" w:lineRule="auto"/>
      <w:jc w:val="center"/>
    </w:pPr>
    <w:rPr>
      <w:rFonts w:ascii="宋体" w:hAnsi="Times" w:cs="宋体"/>
      <w:bCs/>
      <w:color w:val="003366"/>
      <w:sz w:val="21"/>
      <w:szCs w:val="20"/>
    </w:rPr>
  </w:style>
  <w:style w:type="paragraph" w:customStyle="1" w:styleId="2304">
    <w:name w:val="样式二二"/>
    <w:basedOn w:val="2302"/>
    <w:qFormat/>
    <w:uiPriority w:val="0"/>
    <w:rPr>
      <w:sz w:val="28"/>
      <w:szCs w:val="28"/>
    </w:rPr>
  </w:style>
  <w:style w:type="paragraph" w:customStyle="1" w:styleId="2305">
    <w:name w:val="样式三"/>
    <w:basedOn w:val="5"/>
    <w:qFormat/>
    <w:uiPriority w:val="0"/>
    <w:pPr>
      <w:spacing w:before="0" w:after="50" w:afterLines="50"/>
      <w:jc w:val="left"/>
    </w:pPr>
    <w:rPr>
      <w:b w:val="0"/>
      <w:szCs w:val="24"/>
    </w:rPr>
  </w:style>
  <w:style w:type="paragraph" w:customStyle="1" w:styleId="2306">
    <w:name w:val="黑体三号212"/>
    <w:basedOn w:val="185"/>
    <w:qFormat/>
    <w:uiPriority w:val="99"/>
    <w:pPr>
      <w:jc w:val="center"/>
    </w:pPr>
    <w:rPr>
      <w:rFonts w:ascii="黑体" w:hAnsi="宋体" w:eastAsia="黑体"/>
      <w:b/>
      <w:bCs/>
      <w:sz w:val="32"/>
      <w:szCs w:val="20"/>
    </w:rPr>
  </w:style>
  <w:style w:type="paragraph" w:customStyle="1" w:styleId="2307">
    <w:name w:val="Char77"/>
    <w:basedOn w:val="1"/>
    <w:qFormat/>
    <w:uiPriority w:val="0"/>
    <w:pPr>
      <w:spacing w:line="400" w:lineRule="exact"/>
      <w:ind w:firstLine="200"/>
    </w:pPr>
    <w:rPr>
      <w:sz w:val="28"/>
      <w:szCs w:val="28"/>
    </w:rPr>
  </w:style>
  <w:style w:type="paragraph" w:customStyle="1" w:styleId="2308">
    <w:name w:val="默认段落字体 Para Char3"/>
    <w:basedOn w:val="1"/>
    <w:qFormat/>
    <w:uiPriority w:val="99"/>
    <w:pPr>
      <w:ind w:firstLine="200"/>
    </w:pPr>
    <w:rPr>
      <w:rFonts w:ascii="宋体" w:hAnsi="宋体" w:cs="宋体"/>
    </w:rPr>
  </w:style>
  <w:style w:type="paragraph" w:customStyle="1" w:styleId="2309">
    <w:name w:val="Char54"/>
    <w:basedOn w:val="1"/>
    <w:qFormat/>
    <w:uiPriority w:val="99"/>
    <w:pPr>
      <w:spacing w:line="240" w:lineRule="auto"/>
      <w:ind w:left="-45"/>
    </w:pPr>
    <w:rPr>
      <w:sz w:val="21"/>
    </w:rPr>
  </w:style>
  <w:style w:type="paragraph" w:customStyle="1" w:styleId="2310">
    <w:name w:val="表格chenbb"/>
    <w:basedOn w:val="1"/>
    <w:qFormat/>
    <w:uiPriority w:val="0"/>
    <w:pPr>
      <w:spacing w:line="320" w:lineRule="exact"/>
      <w:jc w:val="center"/>
    </w:pPr>
    <w:rPr>
      <w:rFonts w:eastAsia="仿宋_GB2312"/>
      <w:b/>
      <w:kern w:val="0"/>
      <w:sz w:val="21"/>
      <w:szCs w:val="21"/>
    </w:rPr>
  </w:style>
  <w:style w:type="paragraph" w:customStyle="1" w:styleId="2311">
    <w:name w:val="表格内字体4"/>
    <w:basedOn w:val="185"/>
    <w:next w:val="185"/>
    <w:qFormat/>
    <w:uiPriority w:val="99"/>
    <w:pPr>
      <w:spacing w:line="240" w:lineRule="auto"/>
      <w:ind w:firstLine="0"/>
      <w:jc w:val="center"/>
    </w:pPr>
    <w:rPr>
      <w:rFonts w:hAnsi="宋体" w:cs="Times New Roman"/>
      <w:sz w:val="21"/>
    </w:rPr>
  </w:style>
  <w:style w:type="paragraph" w:customStyle="1" w:styleId="2312">
    <w:name w:val="Char78"/>
    <w:basedOn w:val="1"/>
    <w:qFormat/>
    <w:uiPriority w:val="0"/>
    <w:pPr>
      <w:spacing w:line="240" w:lineRule="auto"/>
    </w:pPr>
    <w:rPr>
      <w:sz w:val="21"/>
      <w:szCs w:val="21"/>
    </w:rPr>
  </w:style>
  <w:style w:type="paragraph" w:customStyle="1" w:styleId="2313">
    <w:name w:val="表格内字体63"/>
    <w:basedOn w:val="185"/>
    <w:next w:val="185"/>
    <w:qFormat/>
    <w:uiPriority w:val="99"/>
    <w:pPr>
      <w:spacing w:line="240" w:lineRule="auto"/>
      <w:ind w:firstLine="0"/>
      <w:jc w:val="center"/>
    </w:pPr>
    <w:rPr>
      <w:rFonts w:hAnsi="宋体" w:cs="Times New Roman"/>
      <w:sz w:val="21"/>
    </w:rPr>
  </w:style>
  <w:style w:type="paragraph" w:customStyle="1" w:styleId="2314">
    <w:name w:val="样式 样式 宋体 小四 行距: 1.5 倍行距 + 首行缩进:  2 字符 段前: 7.8 磅 段后: 7.8 磅"/>
    <w:basedOn w:val="1"/>
    <w:qFormat/>
    <w:uiPriority w:val="0"/>
    <w:pPr>
      <w:spacing w:beforeLines="50" w:afterLines="50"/>
      <w:ind w:firstLine="200"/>
      <w:jc w:val="left"/>
    </w:pPr>
    <w:rPr>
      <w:rFonts w:ascii="宋体" w:hAnsi="宋体"/>
      <w:szCs w:val="20"/>
    </w:rPr>
  </w:style>
  <w:style w:type="paragraph" w:customStyle="1" w:styleId="2315">
    <w:name w:val="表格内字体222"/>
    <w:basedOn w:val="185"/>
    <w:next w:val="185"/>
    <w:qFormat/>
    <w:uiPriority w:val="99"/>
    <w:pPr>
      <w:spacing w:line="240" w:lineRule="auto"/>
      <w:ind w:firstLine="0"/>
      <w:jc w:val="center"/>
    </w:pPr>
    <w:rPr>
      <w:rFonts w:hAnsi="宋体" w:cs="Times New Roman"/>
      <w:sz w:val="21"/>
    </w:rPr>
  </w:style>
  <w:style w:type="paragraph" w:customStyle="1" w:styleId="2316">
    <w:name w:val="默认段落字体 Para Char23"/>
    <w:basedOn w:val="1"/>
    <w:next w:val="1"/>
    <w:qFormat/>
    <w:uiPriority w:val="99"/>
    <w:pPr>
      <w:spacing w:line="480" w:lineRule="exact"/>
      <w:ind w:firstLine="200"/>
      <w:jc w:val="left"/>
    </w:pPr>
    <w:rPr>
      <w:rFonts w:ascii="宋体" w:hAnsi="宋体" w:eastAsia="汉鼎简书宋" w:cs="宋体"/>
      <w:sz w:val="28"/>
    </w:rPr>
  </w:style>
  <w:style w:type="paragraph" w:customStyle="1" w:styleId="2317">
    <w:name w:val="Char138"/>
    <w:basedOn w:val="1"/>
    <w:qFormat/>
    <w:uiPriority w:val="99"/>
    <w:pPr>
      <w:ind w:firstLine="200"/>
    </w:pPr>
    <w:rPr>
      <w:rFonts w:eastAsia="仿宋_GB2312"/>
    </w:rPr>
  </w:style>
  <w:style w:type="paragraph" w:customStyle="1" w:styleId="2318">
    <w:name w:val="Char314"/>
    <w:basedOn w:val="1"/>
    <w:qFormat/>
    <w:uiPriority w:val="99"/>
    <w:pPr>
      <w:spacing w:line="240" w:lineRule="auto"/>
      <w:ind w:left="-48"/>
    </w:pPr>
    <w:rPr>
      <w:sz w:val="21"/>
    </w:rPr>
  </w:style>
  <w:style w:type="paragraph" w:customStyle="1" w:styleId="2319">
    <w:name w:val="正文格式214"/>
    <w:basedOn w:val="1"/>
    <w:qFormat/>
    <w:uiPriority w:val="99"/>
    <w:pPr>
      <w:ind w:firstLine="482"/>
    </w:pPr>
    <w:rPr>
      <w:rFonts w:ascii="宋体" w:hAnsi="宋体"/>
    </w:rPr>
  </w:style>
  <w:style w:type="paragraph" w:customStyle="1" w:styleId="2320">
    <w:name w:val="表内541112"/>
    <w:basedOn w:val="1"/>
    <w:qFormat/>
    <w:uiPriority w:val="99"/>
    <w:pPr>
      <w:spacing w:line="300" w:lineRule="auto"/>
      <w:jc w:val="center"/>
    </w:pPr>
    <w:rPr>
      <w:rFonts w:ascii="宋体" w:hAnsi="宋体" w:cs="宋体"/>
      <w:sz w:val="21"/>
      <w:szCs w:val="20"/>
    </w:rPr>
  </w:style>
  <w:style w:type="paragraph" w:customStyle="1" w:styleId="2321">
    <w:name w:val="燕山正文2"/>
    <w:basedOn w:val="1"/>
    <w:qFormat/>
    <w:uiPriority w:val="99"/>
    <w:pPr>
      <w:tabs>
        <w:tab w:val="left" w:pos="4680"/>
      </w:tabs>
      <w:spacing w:line="480" w:lineRule="exact"/>
    </w:pPr>
    <w:rPr>
      <w:rFonts w:ascii="宋体" w:cs="宋体"/>
    </w:rPr>
  </w:style>
  <w:style w:type="paragraph" w:customStyle="1" w:styleId="2322">
    <w:name w:val="正文编号"/>
    <w:basedOn w:val="1"/>
    <w:qFormat/>
    <w:uiPriority w:val="99"/>
    <w:pPr>
      <w:tabs>
        <w:tab w:val="left" w:pos="720"/>
      </w:tabs>
      <w:spacing w:line="440" w:lineRule="exact"/>
      <w:ind w:left="720" w:hanging="720"/>
    </w:pPr>
    <w:rPr>
      <w:snapToGrid w:val="0"/>
      <w:kern w:val="0"/>
      <w:sz w:val="25"/>
      <w:szCs w:val="20"/>
    </w:rPr>
  </w:style>
  <w:style w:type="paragraph" w:customStyle="1" w:styleId="2323">
    <w:name w:val="表格内字体64"/>
    <w:basedOn w:val="185"/>
    <w:next w:val="185"/>
    <w:qFormat/>
    <w:uiPriority w:val="99"/>
    <w:pPr>
      <w:spacing w:line="240" w:lineRule="auto"/>
      <w:ind w:firstLine="0"/>
      <w:jc w:val="center"/>
    </w:pPr>
    <w:rPr>
      <w:rFonts w:hAnsi="宋体" w:cs="Times New Roman"/>
      <w:sz w:val="21"/>
    </w:rPr>
  </w:style>
  <w:style w:type="paragraph" w:customStyle="1" w:styleId="2324">
    <w:name w:val="样式 首行缩进:  2 字符 Char"/>
    <w:basedOn w:val="1"/>
    <w:qFormat/>
    <w:uiPriority w:val="0"/>
    <w:pPr>
      <w:spacing w:line="480" w:lineRule="exact"/>
      <w:ind w:firstLine="560"/>
    </w:pPr>
    <w:rPr>
      <w:kern w:val="28"/>
      <w:sz w:val="28"/>
    </w:rPr>
  </w:style>
  <w:style w:type="paragraph" w:customStyle="1" w:styleId="2325">
    <w:name w:val="Char31"/>
    <w:basedOn w:val="1"/>
    <w:qFormat/>
    <w:uiPriority w:val="99"/>
    <w:pPr>
      <w:spacing w:line="240" w:lineRule="auto"/>
    </w:pPr>
    <w:rPr>
      <w:sz w:val="21"/>
      <w:szCs w:val="21"/>
    </w:rPr>
  </w:style>
  <w:style w:type="paragraph" w:customStyle="1" w:styleId="2326">
    <w:name w:val="+标题1"/>
    <w:basedOn w:val="3"/>
    <w:qFormat/>
    <w:uiPriority w:val="0"/>
    <w:pPr>
      <w:pageBreakBefore/>
      <w:tabs>
        <w:tab w:val="left" w:pos="432"/>
      </w:tabs>
      <w:spacing w:before="240" w:beforeLines="100" w:after="120" w:afterLines="100"/>
      <w:ind w:left="432" w:hanging="632"/>
      <w:jc w:val="center"/>
    </w:pPr>
    <w:rPr>
      <w:sz w:val="32"/>
      <w:szCs w:val="32"/>
    </w:rPr>
  </w:style>
  <w:style w:type="paragraph" w:customStyle="1" w:styleId="2327">
    <w:name w:val="Char152"/>
    <w:basedOn w:val="1"/>
    <w:qFormat/>
    <w:uiPriority w:val="99"/>
    <w:pPr>
      <w:spacing w:beforeLines="50"/>
    </w:pPr>
    <w:rPr>
      <w:rFonts w:ascii="黑体" w:eastAsia="黑体"/>
      <w:sz w:val="32"/>
      <w:szCs w:val="32"/>
    </w:rPr>
  </w:style>
  <w:style w:type="paragraph" w:customStyle="1" w:styleId="2328">
    <w:name w:val="样式 标题 1 + (中文) 黑体 四号 居中 段前: 0 磅 段后: 0 磅 行距: 2 倍行距1"/>
    <w:basedOn w:val="3"/>
    <w:qFormat/>
    <w:uiPriority w:val="0"/>
    <w:pPr>
      <w:tabs>
        <w:tab w:val="left" w:pos="432"/>
      </w:tabs>
      <w:spacing w:before="240" w:beforeLines="50" w:after="120" w:afterLines="50" w:line="480" w:lineRule="auto"/>
      <w:ind w:left="432" w:hanging="432"/>
      <w:jc w:val="center"/>
    </w:pPr>
    <w:rPr>
      <w:rFonts w:ascii="仿宋_GB2312" w:eastAsia="仿宋_GB2312"/>
      <w:sz w:val="36"/>
      <w:szCs w:val="36"/>
    </w:rPr>
  </w:style>
  <w:style w:type="paragraph" w:customStyle="1" w:styleId="2329">
    <w:name w:val="样式 标题 3头 + (中文) 黑体 四号 段前: 0 磅 段后: 0 磅 行距: 1.5 倍行距3"/>
    <w:basedOn w:val="5"/>
    <w:qFormat/>
    <w:uiPriority w:val="0"/>
    <w:pPr>
      <w:tabs>
        <w:tab w:val="left" w:pos="720"/>
      </w:tabs>
      <w:spacing w:before="0" w:after="0"/>
      <w:ind w:left="720" w:hanging="720"/>
    </w:pPr>
    <w:rPr>
      <w:rFonts w:ascii="仿宋_GB2312" w:hAnsi="Courier New" w:eastAsia="仿宋_GB2312"/>
      <w:sz w:val="32"/>
    </w:rPr>
  </w:style>
  <w:style w:type="paragraph" w:customStyle="1" w:styleId="2330">
    <w:name w:val="表题1414"/>
    <w:basedOn w:val="1"/>
    <w:qFormat/>
    <w:uiPriority w:val="99"/>
    <w:pPr>
      <w:widowControl/>
      <w:spacing w:line="240" w:lineRule="auto"/>
      <w:jc w:val="center"/>
    </w:pPr>
    <w:rPr>
      <w:rFonts w:ascii="黑体" w:hAnsi="宋体" w:eastAsia="黑体" w:cs="宋体"/>
      <w:kern w:val="0"/>
    </w:rPr>
  </w:style>
  <w:style w:type="paragraph" w:customStyle="1" w:styleId="2331">
    <w:name w:val="样式 标题 4四 + Times New Roman 段前: 0 磅 段后: 0 磅 行距: 1.5 倍行距2"/>
    <w:basedOn w:val="6"/>
    <w:qFormat/>
    <w:uiPriority w:val="0"/>
    <w:pPr>
      <w:tabs>
        <w:tab w:val="left" w:pos="360"/>
        <w:tab w:val="left" w:pos="864"/>
      </w:tabs>
      <w:spacing w:before="0" w:after="0" w:line="360" w:lineRule="auto"/>
      <w:ind w:left="864" w:hanging="864"/>
    </w:pPr>
    <w:rPr>
      <w:rFonts w:ascii="仿宋_GB2312" w:eastAsia="仿宋_GB2312"/>
      <w:sz w:val="30"/>
      <w:szCs w:val="36"/>
      <w:lang w:val="zh-CN"/>
    </w:rPr>
  </w:style>
  <w:style w:type="paragraph" w:customStyle="1" w:styleId="2332">
    <w:name w:val="－列表2"/>
    <w:basedOn w:val="1"/>
    <w:qFormat/>
    <w:uiPriority w:val="0"/>
    <w:pPr>
      <w:spacing w:line="240" w:lineRule="auto"/>
      <w:jc w:val="center"/>
    </w:pPr>
    <w:rPr>
      <w:sz w:val="21"/>
      <w:szCs w:val="21"/>
    </w:rPr>
  </w:style>
  <w:style w:type="paragraph" w:customStyle="1" w:styleId="2333">
    <w:name w:val="Char316"/>
    <w:basedOn w:val="1"/>
    <w:qFormat/>
    <w:uiPriority w:val="99"/>
    <w:pPr>
      <w:spacing w:line="240" w:lineRule="auto"/>
      <w:ind w:left="-48"/>
    </w:pPr>
    <w:rPr>
      <w:sz w:val="21"/>
    </w:rPr>
  </w:style>
  <w:style w:type="paragraph" w:customStyle="1" w:styleId="2334">
    <w:name w:val="默认段落字体 Para Char Char Char Char Char Char Char Char Char Char"/>
    <w:basedOn w:val="1"/>
    <w:qFormat/>
    <w:uiPriority w:val="0"/>
    <w:pPr>
      <w:spacing w:line="240" w:lineRule="auto"/>
    </w:pPr>
    <w:rPr>
      <w:sz w:val="21"/>
    </w:rPr>
  </w:style>
  <w:style w:type="paragraph" w:customStyle="1" w:styleId="2335">
    <w:name w:val="样式 样式4 + 首行缩进:  0.75 字符"/>
    <w:basedOn w:val="1"/>
    <w:qFormat/>
    <w:uiPriority w:val="0"/>
    <w:pPr>
      <w:spacing w:beforeLines="100" w:line="240" w:lineRule="atLeast"/>
      <w:jc w:val="left"/>
    </w:pPr>
  </w:style>
  <w:style w:type="paragraph" w:customStyle="1" w:styleId="2336">
    <w:name w:val="样式 样式 样式 标题 3条标题1.1.1Section标题 3 Char Char + 首行缩进:  2 字符 + 段前: 0..."/>
    <w:basedOn w:val="1"/>
    <w:qFormat/>
    <w:uiPriority w:val="0"/>
    <w:pPr>
      <w:keepNext/>
      <w:keepLines/>
      <w:spacing w:beforeLines="30" w:afterLines="20" w:line="240" w:lineRule="auto"/>
      <w:jc w:val="left"/>
      <w:outlineLvl w:val="2"/>
    </w:pPr>
    <w:rPr>
      <w:b/>
      <w:bCs/>
      <w:sz w:val="28"/>
      <w:szCs w:val="28"/>
    </w:rPr>
  </w:style>
  <w:style w:type="paragraph" w:customStyle="1" w:styleId="2337">
    <w:name w:val="正文修改52"/>
    <w:basedOn w:val="900"/>
    <w:qFormat/>
    <w:uiPriority w:val="99"/>
    <w:pPr>
      <w:spacing w:line="480" w:lineRule="exact"/>
      <w:ind w:firstLine="0" w:firstLineChars="0"/>
    </w:pPr>
    <w:rPr>
      <w:rFonts w:cs="宋体"/>
      <w:sz w:val="24"/>
      <w:szCs w:val="24"/>
    </w:rPr>
  </w:style>
  <w:style w:type="paragraph" w:customStyle="1" w:styleId="2338">
    <w:name w:val="正文+首行缩进"/>
    <w:basedOn w:val="1"/>
    <w:qFormat/>
    <w:uiPriority w:val="0"/>
    <w:pPr>
      <w:overflowPunct w:val="0"/>
      <w:topLinePunct/>
      <w:spacing w:line="460" w:lineRule="atLeast"/>
      <w:ind w:firstLine="200"/>
      <w:jc w:val="left"/>
      <w:textAlignment w:val="baseline"/>
    </w:pPr>
    <w:rPr>
      <w:kern w:val="0"/>
      <w:sz w:val="28"/>
      <w:szCs w:val="20"/>
    </w:rPr>
  </w:style>
  <w:style w:type="paragraph" w:customStyle="1" w:styleId="2339">
    <w:name w:val="样式 样式 样式 样式 样式4 + 首行缩进:  0.75 字符 + 首行缩进:  2 字符 + 首行缩进:  2 字符 + 首..."/>
    <w:basedOn w:val="1"/>
    <w:qFormat/>
    <w:uiPriority w:val="99"/>
    <w:pPr>
      <w:spacing w:line="240" w:lineRule="atLeast"/>
      <w:ind w:firstLine="480"/>
      <w:jc w:val="left"/>
    </w:pPr>
    <w:rPr>
      <w:sz w:val="28"/>
      <w:szCs w:val="28"/>
    </w:rPr>
  </w:style>
  <w:style w:type="paragraph" w:customStyle="1" w:styleId="2340">
    <w:name w:val="Char2 Char Char3"/>
    <w:basedOn w:val="1"/>
    <w:qFormat/>
    <w:uiPriority w:val="0"/>
    <w:pPr>
      <w:spacing w:line="240" w:lineRule="auto"/>
    </w:pPr>
    <w:rPr>
      <w:sz w:val="21"/>
      <w:szCs w:val="21"/>
    </w:rPr>
  </w:style>
  <w:style w:type="paragraph" w:customStyle="1" w:styleId="2341">
    <w:name w:val="正文213"/>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342">
    <w:name w:val="Char6 Char Char Char"/>
    <w:basedOn w:val="1"/>
    <w:qFormat/>
    <w:uiPriority w:val="0"/>
    <w:pPr>
      <w:spacing w:line="240" w:lineRule="auto"/>
    </w:pPr>
    <w:rPr>
      <w:sz w:val="21"/>
      <w:szCs w:val="21"/>
    </w:rPr>
  </w:style>
  <w:style w:type="paragraph" w:customStyle="1" w:styleId="2343">
    <w:name w:val="Char6"/>
    <w:basedOn w:val="1"/>
    <w:qFormat/>
    <w:uiPriority w:val="99"/>
    <w:pPr>
      <w:spacing w:line="240" w:lineRule="auto"/>
    </w:pPr>
    <w:rPr>
      <w:sz w:val="21"/>
      <w:szCs w:val="21"/>
    </w:rPr>
  </w:style>
  <w:style w:type="paragraph" w:customStyle="1" w:styleId="2344">
    <w:name w:val="Char Char Char Char1 Char Char Char9"/>
    <w:basedOn w:val="1"/>
    <w:qFormat/>
    <w:uiPriority w:val="99"/>
    <w:pPr>
      <w:widowControl/>
      <w:spacing w:after="160" w:line="240" w:lineRule="exact"/>
      <w:jc w:val="left"/>
    </w:pPr>
    <w:rPr>
      <w:rFonts w:ascii="Verdana" w:hAnsi="Verdana"/>
      <w:kern w:val="0"/>
      <w:sz w:val="20"/>
      <w:szCs w:val="20"/>
      <w:lang w:eastAsia="en-US"/>
    </w:rPr>
  </w:style>
  <w:style w:type="paragraph" w:customStyle="1" w:styleId="2345">
    <w:name w:val="Char Char1 Char Char Char"/>
    <w:basedOn w:val="1"/>
    <w:qFormat/>
    <w:uiPriority w:val="0"/>
    <w:pPr>
      <w:spacing w:line="240" w:lineRule="auto"/>
    </w:pPr>
    <w:rPr>
      <w:sz w:val="21"/>
      <w:szCs w:val="21"/>
    </w:rPr>
  </w:style>
  <w:style w:type="paragraph" w:customStyle="1" w:styleId="2346">
    <w:name w:val="Char6 Char Char Char1 Char Char"/>
    <w:basedOn w:val="1"/>
    <w:qFormat/>
    <w:uiPriority w:val="0"/>
    <w:pPr>
      <w:spacing w:line="240" w:lineRule="auto"/>
    </w:pPr>
    <w:rPr>
      <w:sz w:val="21"/>
      <w:szCs w:val="21"/>
    </w:rPr>
  </w:style>
  <w:style w:type="paragraph" w:customStyle="1" w:styleId="2347">
    <w:name w:val="Char6 Char Char Char1 Char Char Char2"/>
    <w:basedOn w:val="1"/>
    <w:qFormat/>
    <w:uiPriority w:val="0"/>
    <w:pPr>
      <w:spacing w:line="240" w:lineRule="auto"/>
    </w:pPr>
    <w:rPr>
      <w:sz w:val="21"/>
      <w:szCs w:val="21"/>
    </w:rPr>
  </w:style>
  <w:style w:type="paragraph" w:customStyle="1" w:styleId="2348">
    <w:name w:val="Char Char Char Char Char Char4"/>
    <w:basedOn w:val="1"/>
    <w:qFormat/>
    <w:uiPriority w:val="0"/>
    <w:pPr>
      <w:spacing w:line="240" w:lineRule="auto"/>
    </w:pPr>
    <w:rPr>
      <w:sz w:val="21"/>
      <w:szCs w:val="21"/>
    </w:rPr>
  </w:style>
  <w:style w:type="paragraph" w:customStyle="1" w:styleId="2349">
    <w:name w:val="样式 标题 1 + 非加粗"/>
    <w:basedOn w:val="3"/>
    <w:qFormat/>
    <w:uiPriority w:val="0"/>
    <w:pPr>
      <w:keepLines w:val="0"/>
      <w:tabs>
        <w:tab w:val="left" w:pos="425"/>
        <w:tab w:val="left" w:pos="545"/>
      </w:tabs>
      <w:spacing w:before="240" w:beforeLines="50" w:after="120" w:afterLines="50"/>
      <w:ind w:left="425" w:hanging="425"/>
      <w:textAlignment w:val="baseline"/>
    </w:pPr>
    <w:rPr>
      <w:kern w:val="0"/>
      <w:sz w:val="32"/>
      <w:szCs w:val="32"/>
    </w:rPr>
  </w:style>
  <w:style w:type="paragraph" w:customStyle="1" w:styleId="2350">
    <w:name w:val="Char Char Char Char Char Char Char Char Char Char Char Char Char Char Char Char Char Char Char Char Char Char Char Char Char Char Char Char Char Char Char Char Char Char Char Char Char Char Char Char1"/>
    <w:basedOn w:val="1"/>
    <w:qFormat/>
    <w:uiPriority w:val="0"/>
    <w:pPr>
      <w:spacing w:line="240" w:lineRule="auto"/>
    </w:pPr>
  </w:style>
  <w:style w:type="paragraph" w:customStyle="1" w:styleId="2351">
    <w:name w:val="样式 标题 3 + 黑色"/>
    <w:basedOn w:val="5"/>
    <w:qFormat/>
    <w:uiPriority w:val="0"/>
    <w:pPr>
      <w:tabs>
        <w:tab w:val="left" w:pos="720"/>
      </w:tabs>
      <w:spacing w:before="0" w:after="0"/>
      <w:ind w:left="567" w:hanging="567"/>
      <w:textAlignment w:val="baseline"/>
    </w:pPr>
    <w:rPr>
      <w:color w:val="000000"/>
      <w:kern w:val="0"/>
      <w:sz w:val="28"/>
      <w:szCs w:val="28"/>
    </w:rPr>
  </w:style>
  <w:style w:type="paragraph" w:customStyle="1" w:styleId="2352">
    <w:name w:val="样式 标题 3标题 3 Char标题 3 Char Char Char Char Char Char Char Char C...2"/>
    <w:basedOn w:val="5"/>
    <w:qFormat/>
    <w:uiPriority w:val="0"/>
    <w:pPr>
      <w:tabs>
        <w:tab w:val="left" w:pos="720"/>
      </w:tabs>
      <w:spacing w:before="0" w:after="0"/>
      <w:ind w:left="720" w:hanging="720"/>
    </w:pPr>
    <w:rPr>
      <w:rFonts w:ascii="宋体" w:hAnsi="宋体" w:cs="宋体"/>
      <w:bCs w:val="0"/>
      <w:sz w:val="28"/>
      <w:szCs w:val="20"/>
    </w:rPr>
  </w:style>
  <w:style w:type="paragraph" w:customStyle="1" w:styleId="2353">
    <w:name w:val="样式 +正文 + 宋体 小四 首行缩进:  2 字符 行距: 固定值 25 磅"/>
    <w:basedOn w:val="1356"/>
    <w:qFormat/>
    <w:uiPriority w:val="0"/>
    <w:pPr>
      <w:widowControl w:val="0"/>
      <w:ind w:firstLine="480"/>
    </w:pPr>
    <w:rPr>
      <w:rFonts w:ascii="宋体" w:hAnsi="宋体" w:cs="宋体"/>
      <w:szCs w:val="20"/>
    </w:rPr>
  </w:style>
  <w:style w:type="paragraph" w:customStyle="1" w:styleId="2354">
    <w:name w:val="样式 标题 2mystyle2style2 + 四号 非加粗 居中 行距: 多倍行距 1.73 字行"/>
    <w:basedOn w:val="4"/>
    <w:qFormat/>
    <w:uiPriority w:val="0"/>
    <w:pPr>
      <w:spacing w:before="260" w:after="260" w:line="415" w:lineRule="auto"/>
      <w:jc w:val="center"/>
    </w:pPr>
    <w:rPr>
      <w:rFonts w:ascii="Arial" w:hAnsi="Arial" w:eastAsia="黑体" w:cs="Century"/>
      <w:b w:val="0"/>
      <w:bCs w:val="0"/>
      <w:szCs w:val="20"/>
    </w:rPr>
  </w:style>
  <w:style w:type="paragraph" w:customStyle="1" w:styleId="2355">
    <w:name w:val="样式 行距: 固定值 25 磅"/>
    <w:basedOn w:val="1"/>
    <w:qFormat/>
    <w:uiPriority w:val="0"/>
    <w:pPr>
      <w:ind w:firstLine="420"/>
    </w:pPr>
    <w:rPr>
      <w:rFonts w:cs="宋体"/>
      <w:szCs w:val="20"/>
    </w:rPr>
  </w:style>
  <w:style w:type="paragraph" w:customStyle="1" w:styleId="2356">
    <w:name w:val="样式 (符号) 宋体 行距: 固定值 25 磅"/>
    <w:basedOn w:val="1"/>
    <w:qFormat/>
    <w:uiPriority w:val="0"/>
    <w:pPr>
      <w:ind w:firstLine="473" w:firstLineChars="225"/>
    </w:pPr>
    <w:rPr>
      <w:rFonts w:hAnsi="宋体" w:cs="宋体"/>
      <w:szCs w:val="20"/>
    </w:rPr>
  </w:style>
  <w:style w:type="paragraph" w:customStyle="1" w:styleId="2357">
    <w:name w:val="样式 (符号) 宋体 首行缩进:  0.99 厘米 行距: 固定值 25 磅"/>
    <w:basedOn w:val="1"/>
    <w:qFormat/>
    <w:uiPriority w:val="0"/>
    <w:pPr>
      <w:ind w:firstLine="561"/>
    </w:pPr>
    <w:rPr>
      <w:rFonts w:hAnsi="宋体" w:cs="宋体"/>
      <w:szCs w:val="20"/>
    </w:rPr>
  </w:style>
  <w:style w:type="paragraph" w:customStyle="1" w:styleId="2358">
    <w:name w:val="样式 (符号) 宋体 首行缩进:  0.99 厘米 行距: 固定值 25 磅1"/>
    <w:basedOn w:val="1"/>
    <w:qFormat/>
    <w:uiPriority w:val="0"/>
    <w:pPr>
      <w:ind w:firstLine="561"/>
    </w:pPr>
    <w:rPr>
      <w:rFonts w:hAnsi="宋体" w:cs="宋体"/>
      <w:spacing w:val="-2"/>
      <w:szCs w:val="20"/>
    </w:rPr>
  </w:style>
  <w:style w:type="paragraph" w:customStyle="1" w:styleId="2359">
    <w:name w:val="样式 (符号) 宋体 首行缩进:  0.85 厘米 行距: 固定值 25 磅"/>
    <w:basedOn w:val="1"/>
    <w:qFormat/>
    <w:uiPriority w:val="0"/>
    <w:pPr>
      <w:ind w:firstLine="480"/>
    </w:pPr>
    <w:rPr>
      <w:rFonts w:hAnsi="宋体" w:cs="宋体"/>
      <w:szCs w:val="20"/>
    </w:rPr>
  </w:style>
  <w:style w:type="paragraph" w:customStyle="1" w:styleId="2360">
    <w:name w:val="Char Char Char Char Char Char Char7"/>
    <w:basedOn w:val="1"/>
    <w:qFormat/>
    <w:uiPriority w:val="99"/>
    <w:pPr>
      <w:spacing w:line="240" w:lineRule="auto"/>
    </w:pPr>
    <w:rPr>
      <w:sz w:val="21"/>
    </w:rPr>
  </w:style>
  <w:style w:type="paragraph" w:customStyle="1" w:styleId="2361">
    <w:name w:val="Char1 Char Char Char Char Char Char"/>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2362">
    <w:name w:val="chen"/>
    <w:basedOn w:val="1356"/>
    <w:qFormat/>
    <w:uiPriority w:val="0"/>
    <w:pPr>
      <w:widowControl w:val="0"/>
    </w:pPr>
    <w:rPr>
      <w:color w:val="000000"/>
      <w:sz w:val="28"/>
      <w:szCs w:val="24"/>
    </w:rPr>
  </w:style>
  <w:style w:type="paragraph" w:customStyle="1" w:styleId="2363">
    <w:name w:val="表格小4居中"/>
    <w:basedOn w:val="1"/>
    <w:qFormat/>
    <w:uiPriority w:val="0"/>
    <w:pPr>
      <w:spacing w:before="60" w:after="60" w:line="320" w:lineRule="atLeast"/>
      <w:jc w:val="center"/>
    </w:pPr>
    <w:rPr>
      <w:rFonts w:cs="宋体"/>
      <w:szCs w:val="20"/>
    </w:rPr>
  </w:style>
  <w:style w:type="paragraph" w:customStyle="1" w:styleId="2364">
    <w:name w:val="表格小4"/>
    <w:basedOn w:val="1"/>
    <w:next w:val="34"/>
    <w:qFormat/>
    <w:uiPriority w:val="0"/>
    <w:pPr>
      <w:spacing w:before="60" w:after="60" w:line="320" w:lineRule="atLeast"/>
    </w:pPr>
    <w:rPr>
      <w:rFonts w:cs="宋体"/>
      <w:szCs w:val="20"/>
    </w:rPr>
  </w:style>
  <w:style w:type="paragraph" w:customStyle="1" w:styleId="2365">
    <w:name w:val="Char1 Char Char Char2"/>
    <w:basedOn w:val="1"/>
    <w:qFormat/>
    <w:uiPriority w:val="0"/>
    <w:pPr>
      <w:spacing w:line="240" w:lineRule="auto"/>
    </w:pPr>
    <w:rPr>
      <w:sz w:val="21"/>
      <w:szCs w:val="21"/>
    </w:rPr>
  </w:style>
  <w:style w:type="paragraph" w:customStyle="1" w:styleId="2366">
    <w:name w:val="样式 样式 样式 正文首行缩进 + 首行缩进:  2 字符 + 首行缩进:  2 字符2 + 首行缩进:  2 字符"/>
    <w:basedOn w:val="1"/>
    <w:qFormat/>
    <w:uiPriority w:val="0"/>
    <w:pPr>
      <w:spacing w:line="520" w:lineRule="atLeast"/>
      <w:ind w:firstLine="553"/>
    </w:pPr>
    <w:rPr>
      <w:rFonts w:cs="宋体"/>
      <w:sz w:val="28"/>
      <w:szCs w:val="20"/>
    </w:rPr>
  </w:style>
  <w:style w:type="paragraph" w:customStyle="1" w:styleId="2367">
    <w:name w:val="访问过的超链接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8">
    <w:name w:val="附件31"/>
    <w:basedOn w:val="3"/>
    <w:next w:val="185"/>
    <w:qFormat/>
    <w:uiPriority w:val="99"/>
    <w:pPr>
      <w:tabs>
        <w:tab w:val="left" w:pos="1566"/>
      </w:tabs>
      <w:spacing w:after="120"/>
      <w:jc w:val="left"/>
    </w:pPr>
    <w:rPr>
      <w:rFonts w:ascii="黑体" w:hAnsi="宋体" w:eastAsia="黑体"/>
      <w:b w:val="0"/>
      <w:bCs w:val="0"/>
      <w:sz w:val="32"/>
      <w:szCs w:val="32"/>
    </w:rPr>
  </w:style>
  <w:style w:type="paragraph" w:customStyle="1" w:styleId="2369">
    <w:name w:val="表内容"/>
    <w:basedOn w:val="1"/>
    <w:qFormat/>
    <w:uiPriority w:val="99"/>
    <w:pPr>
      <w:spacing w:line="240" w:lineRule="auto"/>
      <w:ind w:firstLine="200"/>
    </w:pPr>
    <w:rPr>
      <w:rFonts w:ascii="宋体" w:hAnsi="宋体"/>
      <w:sz w:val="21"/>
    </w:rPr>
  </w:style>
  <w:style w:type="paragraph" w:customStyle="1" w:styleId="2370">
    <w:name w:val="表文字522"/>
    <w:basedOn w:val="1"/>
    <w:qFormat/>
    <w:uiPriority w:val="99"/>
    <w:pPr>
      <w:spacing w:line="240" w:lineRule="auto"/>
      <w:jc w:val="left"/>
      <w:textAlignment w:val="baseline"/>
    </w:pPr>
    <w:rPr>
      <w:rFonts w:ascii="宋体"/>
      <w:kern w:val="0"/>
      <w:sz w:val="21"/>
      <w:szCs w:val="20"/>
    </w:rPr>
  </w:style>
  <w:style w:type="paragraph" w:customStyle="1" w:styleId="2371">
    <w:name w:val="表内54112"/>
    <w:basedOn w:val="1"/>
    <w:qFormat/>
    <w:uiPriority w:val="99"/>
    <w:pPr>
      <w:spacing w:line="300" w:lineRule="auto"/>
      <w:jc w:val="center"/>
    </w:pPr>
    <w:rPr>
      <w:rFonts w:ascii="宋体" w:hAnsi="宋体" w:cs="宋体"/>
      <w:sz w:val="21"/>
      <w:szCs w:val="20"/>
    </w:rPr>
  </w:style>
  <w:style w:type="paragraph" w:customStyle="1" w:styleId="2372">
    <w:name w:val="样式 表格内字体1 +1"/>
    <w:next w:val="832"/>
    <w:qFormat/>
    <w:uiPriority w:val="99"/>
    <w:rPr>
      <w:rFonts w:ascii="Times New Roman" w:hAnsi="Times New Roman" w:eastAsia="宋体" w:cs="宋体"/>
      <w:lang w:val="en-US" w:eastAsia="zh-CN" w:bidi="ar-SA"/>
    </w:rPr>
  </w:style>
  <w:style w:type="paragraph" w:customStyle="1" w:styleId="2373">
    <w:name w:val="表格内字体1"/>
    <w:basedOn w:val="185"/>
    <w:next w:val="185"/>
    <w:qFormat/>
    <w:uiPriority w:val="99"/>
    <w:pPr>
      <w:spacing w:line="240" w:lineRule="auto"/>
      <w:ind w:firstLine="0"/>
      <w:jc w:val="center"/>
    </w:pPr>
    <w:rPr>
      <w:rFonts w:hAnsi="宋体" w:cs="Times New Roman"/>
      <w:sz w:val="21"/>
    </w:rPr>
  </w:style>
  <w:style w:type="paragraph" w:customStyle="1" w:styleId="2374">
    <w:name w:val="正文改动"/>
    <w:basedOn w:val="1"/>
    <w:qFormat/>
    <w:uiPriority w:val="99"/>
    <w:pPr>
      <w:spacing w:line="240" w:lineRule="auto"/>
    </w:pPr>
    <w:rPr>
      <w:color w:val="0000FF"/>
      <w:sz w:val="21"/>
    </w:rPr>
  </w:style>
  <w:style w:type="paragraph" w:customStyle="1" w:styleId="2375">
    <w:name w:val="默认段落字体 Para Char31"/>
    <w:basedOn w:val="1"/>
    <w:qFormat/>
    <w:uiPriority w:val="99"/>
    <w:pPr>
      <w:ind w:firstLine="200"/>
    </w:pPr>
    <w:rPr>
      <w:rFonts w:ascii="宋体" w:hAnsi="宋体" w:cs="宋体"/>
    </w:rPr>
  </w:style>
  <w:style w:type="paragraph" w:customStyle="1" w:styleId="2376">
    <w:name w:val="小四居中行1"/>
    <w:basedOn w:val="1"/>
    <w:qFormat/>
    <w:uiPriority w:val="99"/>
    <w:pPr>
      <w:spacing w:line="240" w:lineRule="auto"/>
      <w:ind w:left="140"/>
      <w:jc w:val="center"/>
    </w:pPr>
    <w:rPr>
      <w:rFonts w:ascii="宋体" w:eastAsia="仿宋_GB2312"/>
      <w:szCs w:val="20"/>
    </w:rPr>
  </w:style>
  <w:style w:type="paragraph" w:customStyle="1" w:styleId="2377">
    <w:name w:val="样式 标题 1 + 两端对齐"/>
    <w:basedOn w:val="3"/>
    <w:qFormat/>
    <w:uiPriority w:val="0"/>
    <w:pPr>
      <w:spacing w:before="240" w:beforeLines="50" w:after="120" w:afterLines="50" w:line="400" w:lineRule="exact"/>
    </w:pPr>
    <w:rPr>
      <w:rFonts w:ascii="宋体" w:hAnsi="宋体"/>
      <w:b w:val="0"/>
      <w:bCs w:val="0"/>
      <w:sz w:val="28"/>
      <w:szCs w:val="20"/>
    </w:rPr>
  </w:style>
  <w:style w:type="paragraph" w:customStyle="1" w:styleId="2378">
    <w:name w:val="Char4 Char Char Char Char Char Char Char Char Char Char Char Char Char Char Char Char Char1 Char Char Char Char Char Char1 Char Char Char Char Char Char Char Char Char Char Char Char Char Char Char Char Char Char Char"/>
    <w:basedOn w:val="1"/>
    <w:qFormat/>
    <w:uiPriority w:val="99"/>
    <w:pPr>
      <w:spacing w:line="240" w:lineRule="exact"/>
      <w:ind w:firstLine="200"/>
    </w:pPr>
    <w:rPr>
      <w:sz w:val="28"/>
      <w:szCs w:val="28"/>
    </w:rPr>
  </w:style>
  <w:style w:type="paragraph" w:customStyle="1" w:styleId="2379">
    <w:name w:val="Char1 Char Char Char Char Char Char Char Char"/>
    <w:basedOn w:val="1"/>
    <w:qFormat/>
    <w:uiPriority w:val="99"/>
    <w:pPr>
      <w:spacing w:line="240" w:lineRule="auto"/>
    </w:pPr>
  </w:style>
  <w:style w:type="paragraph" w:customStyle="1" w:styleId="2380">
    <w:name w:val="表题312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2381">
    <w:name w:val="Char4 Char Char Char Char Char Char Char Char Char Char Char Char Char Char Char Char Char1 Char1"/>
    <w:basedOn w:val="1"/>
    <w:qFormat/>
    <w:uiPriority w:val="0"/>
    <w:pPr>
      <w:spacing w:line="240" w:lineRule="exact"/>
      <w:ind w:firstLine="200"/>
    </w:pPr>
    <w:rPr>
      <w:sz w:val="28"/>
      <w:szCs w:val="28"/>
    </w:rPr>
  </w:style>
  <w:style w:type="paragraph" w:customStyle="1" w:styleId="2382">
    <w:name w:val="Char3 Char Char Char Char Char Char"/>
    <w:basedOn w:val="1"/>
    <w:qFormat/>
    <w:uiPriority w:val="99"/>
    <w:pPr>
      <w:spacing w:line="240" w:lineRule="auto"/>
    </w:pPr>
    <w:rPr>
      <w:sz w:val="21"/>
      <w:szCs w:val="21"/>
    </w:rPr>
  </w:style>
  <w:style w:type="paragraph" w:customStyle="1" w:styleId="2383">
    <w:name w:val="表格内字体61"/>
    <w:basedOn w:val="185"/>
    <w:next w:val="185"/>
    <w:qFormat/>
    <w:uiPriority w:val="99"/>
    <w:pPr>
      <w:spacing w:line="240" w:lineRule="auto"/>
      <w:ind w:firstLine="0"/>
      <w:jc w:val="center"/>
    </w:pPr>
    <w:rPr>
      <w:rFonts w:hAnsi="宋体" w:cs="Times New Roman"/>
      <w:sz w:val="21"/>
    </w:rPr>
  </w:style>
  <w:style w:type="paragraph" w:customStyle="1" w:styleId="2384">
    <w:name w:val="Char Char Char2 Char Char Char Char Char Char Char Char Char Char1"/>
    <w:basedOn w:val="1"/>
    <w:qFormat/>
    <w:uiPriority w:val="0"/>
    <w:pPr>
      <w:spacing w:line="240" w:lineRule="auto"/>
    </w:pPr>
    <w:rPr>
      <w:sz w:val="21"/>
      <w:szCs w:val="21"/>
    </w:rPr>
  </w:style>
  <w:style w:type="paragraph" w:customStyle="1" w:styleId="2385">
    <w:name w:val="23-47表名2"/>
    <w:basedOn w:val="1"/>
    <w:qFormat/>
    <w:uiPriority w:val="99"/>
    <w:pPr>
      <w:spacing w:afterLines="50" w:line="440" w:lineRule="exact"/>
      <w:jc w:val="center"/>
    </w:pPr>
    <w:rPr>
      <w:rFonts w:ascii="宋体" w:hAnsi="宋体"/>
      <w:b/>
    </w:rPr>
  </w:style>
  <w:style w:type="paragraph" w:customStyle="1" w:styleId="2386">
    <w:name w:val="南通表格"/>
    <w:basedOn w:val="1"/>
    <w:next w:val="1"/>
    <w:qFormat/>
    <w:uiPriority w:val="99"/>
    <w:pPr>
      <w:framePr w:wrap="around" w:vAnchor="text" w:hAnchor="text" w:y="1"/>
      <w:spacing w:line="240" w:lineRule="auto"/>
      <w:jc w:val="center"/>
    </w:pPr>
    <w:rPr>
      <w:kern w:val="0"/>
      <w:sz w:val="21"/>
    </w:rPr>
  </w:style>
  <w:style w:type="paragraph" w:customStyle="1" w:styleId="2387">
    <w:name w:val="Char Char Char Char Char Char Char Char Char Char Char Char Char Char Char Char Char Char Char Char Char Char Char Char Char Char Char Char Char Char Char Char Char Char Char Char Char Char Char Char Char Char Char"/>
    <w:basedOn w:val="1"/>
    <w:qFormat/>
    <w:uiPriority w:val="0"/>
    <w:pPr>
      <w:spacing w:line="240" w:lineRule="auto"/>
    </w:pPr>
  </w:style>
  <w:style w:type="paragraph" w:customStyle="1" w:styleId="2388">
    <w:name w:val="Char Char Char Char Char Char Char Char Char Char Char Char Char Char Char Char Char Char Char Char Char Char1"/>
    <w:basedOn w:val="1"/>
    <w:qFormat/>
    <w:uiPriority w:val="0"/>
    <w:pPr>
      <w:spacing w:line="240" w:lineRule="auto"/>
    </w:pPr>
  </w:style>
  <w:style w:type="paragraph" w:customStyle="1" w:styleId="2389">
    <w:name w:val="Char Char Char Char Char Char Char Char Char Char Char Char Char2"/>
    <w:basedOn w:val="1"/>
    <w:qFormat/>
    <w:uiPriority w:val="99"/>
    <w:pPr>
      <w:spacing w:line="240" w:lineRule="auto"/>
    </w:pPr>
  </w:style>
  <w:style w:type="paragraph" w:customStyle="1" w:styleId="2390">
    <w:name w:val="Char Char Char Char Char Char Char Char Char Char Char Char2 Char"/>
    <w:basedOn w:val="1"/>
    <w:qFormat/>
    <w:uiPriority w:val="0"/>
    <w:pPr>
      <w:spacing w:line="240" w:lineRule="auto"/>
    </w:pPr>
    <w:rPr>
      <w:sz w:val="21"/>
    </w:rPr>
  </w:style>
  <w:style w:type="paragraph" w:customStyle="1" w:styleId="2391">
    <w:name w:val="Char Char Char Char Char Char Char Char Char Char Char Char Char Char Char Char Char Char Char Char Char Char Char Char Char Char Char Char1"/>
    <w:basedOn w:val="1"/>
    <w:qFormat/>
    <w:uiPriority w:val="0"/>
    <w:pPr>
      <w:spacing w:line="240" w:lineRule="auto"/>
    </w:pPr>
  </w:style>
  <w:style w:type="paragraph" w:customStyle="1" w:styleId="2392">
    <w:name w:val="Char Char Char Char Char Char Char Char Char Char Char Char Char Char Char Char Char Char Char Char Char Char Char Char Char Char Char Char Char Char Char Char Char Char1"/>
    <w:basedOn w:val="1"/>
    <w:qFormat/>
    <w:uiPriority w:val="0"/>
    <w:pPr>
      <w:spacing w:line="240" w:lineRule="auto"/>
    </w:pPr>
  </w:style>
  <w:style w:type="paragraph" w:customStyle="1" w:styleId="2393">
    <w:name w:val="Char Char Char1 Char Char Char Char Char Char2"/>
    <w:basedOn w:val="1"/>
    <w:qFormat/>
    <w:uiPriority w:val="0"/>
    <w:pPr>
      <w:spacing w:line="240" w:lineRule="auto"/>
    </w:pPr>
    <w:rPr>
      <w:rFonts w:ascii="黑体" w:hAnsi="黑体" w:eastAsia="黑体"/>
      <w:b/>
      <w:spacing w:val="10"/>
      <w:sz w:val="28"/>
      <w:szCs w:val="20"/>
    </w:rPr>
  </w:style>
  <w:style w:type="paragraph" w:customStyle="1" w:styleId="2394">
    <w:name w:val="Char Char1 Char3"/>
    <w:basedOn w:val="1"/>
    <w:qFormat/>
    <w:uiPriority w:val="0"/>
    <w:pPr>
      <w:spacing w:line="240" w:lineRule="auto"/>
    </w:pPr>
  </w:style>
  <w:style w:type="paragraph" w:customStyle="1" w:styleId="2395">
    <w:name w:val="Char Char Char Char Char Char Char Char Char Char Char Char Char Char Char Char Char Char Char"/>
    <w:basedOn w:val="1"/>
    <w:qFormat/>
    <w:uiPriority w:val="0"/>
    <w:pPr>
      <w:spacing w:line="240" w:lineRule="auto"/>
    </w:pPr>
  </w:style>
  <w:style w:type="paragraph" w:customStyle="1" w:styleId="2396">
    <w:name w:val="正文格式42"/>
    <w:basedOn w:val="1"/>
    <w:qFormat/>
    <w:uiPriority w:val="0"/>
    <w:pPr>
      <w:ind w:firstLine="482"/>
    </w:pPr>
    <w:rPr>
      <w:rFonts w:ascii="宋体" w:hAnsi="宋体"/>
    </w:rPr>
  </w:style>
  <w:style w:type="paragraph" w:customStyle="1" w:styleId="2397">
    <w:name w:val="Char1 Char Char Char Char Char Char Char Char Char1 Char Char Char Char Char Char1"/>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2398">
    <w:name w:val="主要条文"/>
    <w:basedOn w:val="1"/>
    <w:qFormat/>
    <w:uiPriority w:val="0"/>
    <w:pPr>
      <w:tabs>
        <w:tab w:val="left" w:pos="1260"/>
      </w:tabs>
      <w:spacing w:line="240" w:lineRule="auto"/>
      <w:ind w:left="1260" w:hanging="420"/>
    </w:pPr>
  </w:style>
  <w:style w:type="paragraph" w:customStyle="1" w:styleId="2399">
    <w:name w:val="标题四"/>
    <w:basedOn w:val="6"/>
    <w:qFormat/>
    <w:uiPriority w:val="0"/>
    <w:pPr>
      <w:spacing w:before="100" w:beforeAutospacing="1" w:after="100" w:afterAutospacing="1" w:line="480" w:lineRule="exact"/>
    </w:pPr>
    <w:rPr>
      <w:rFonts w:eastAsia="楷体_GB2312" w:cs="宋体"/>
      <w:b w:val="0"/>
      <w:color w:val="000000"/>
      <w:spacing w:val="6"/>
      <w:kern w:val="44"/>
      <w:szCs w:val="24"/>
      <w:lang w:val="zh-CN"/>
    </w:rPr>
  </w:style>
  <w:style w:type="paragraph" w:customStyle="1" w:styleId="2400">
    <w:name w:val="表格内字体71"/>
    <w:basedOn w:val="185"/>
    <w:next w:val="185"/>
    <w:qFormat/>
    <w:uiPriority w:val="99"/>
    <w:pPr>
      <w:spacing w:line="240" w:lineRule="auto"/>
      <w:ind w:firstLine="0"/>
      <w:jc w:val="center"/>
    </w:pPr>
    <w:rPr>
      <w:rFonts w:hAnsi="宋体" w:cs="Times New Roman"/>
      <w:sz w:val="21"/>
    </w:rPr>
  </w:style>
  <w:style w:type="paragraph" w:customStyle="1" w:styleId="2401">
    <w:name w:val="条"/>
    <w:basedOn w:val="1"/>
    <w:qFormat/>
    <w:uiPriority w:val="0"/>
    <w:rPr>
      <w:sz w:val="21"/>
      <w:szCs w:val="20"/>
    </w:rPr>
  </w:style>
  <w:style w:type="paragraph" w:customStyle="1" w:styleId="2402">
    <w:name w:val="Char Char Char Char Char Char Char Char Char1 Char Char Char Char Char Char1"/>
    <w:basedOn w:val="1"/>
    <w:qFormat/>
    <w:uiPriority w:val="0"/>
    <w:pPr>
      <w:spacing w:line="240" w:lineRule="auto"/>
    </w:pPr>
    <w:rPr>
      <w:sz w:val="21"/>
      <w:szCs w:val="21"/>
    </w:rPr>
  </w:style>
  <w:style w:type="paragraph" w:customStyle="1" w:styleId="2403">
    <w:name w:val="标3"/>
    <w:basedOn w:val="5"/>
    <w:qFormat/>
    <w:uiPriority w:val="0"/>
    <w:pPr>
      <w:tabs>
        <w:tab w:val="left" w:pos="900"/>
      </w:tabs>
      <w:spacing w:line="480" w:lineRule="exact"/>
    </w:pPr>
    <w:rPr>
      <w:rFonts w:hAnsi="宋体"/>
      <w:b w:val="0"/>
      <w:color w:val="000000"/>
      <w:sz w:val="28"/>
      <w:szCs w:val="28"/>
    </w:rPr>
  </w:style>
  <w:style w:type="paragraph" w:customStyle="1" w:styleId="2404">
    <w:name w:val="表题2113"/>
    <w:basedOn w:val="1"/>
    <w:qFormat/>
    <w:uiPriority w:val="0"/>
    <w:pPr>
      <w:widowControl/>
      <w:spacing w:line="240" w:lineRule="auto"/>
      <w:jc w:val="center"/>
    </w:pPr>
    <w:rPr>
      <w:rFonts w:ascii="黑体" w:hAnsi="宋体" w:eastAsia="黑体" w:cs="宋体"/>
      <w:kern w:val="0"/>
    </w:rPr>
  </w:style>
  <w:style w:type="paragraph" w:customStyle="1" w:styleId="2405">
    <w:name w:val="xl242"/>
    <w:basedOn w:val="1"/>
    <w:qFormat/>
    <w:uiPriority w:val="99"/>
    <w:pPr>
      <w:widowControl/>
      <w:pBdr>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2406">
    <w:name w:val="正文条目a"/>
    <w:basedOn w:val="1"/>
    <w:qFormat/>
    <w:uiPriority w:val="0"/>
    <w:pPr>
      <w:spacing w:line="240" w:lineRule="auto"/>
      <w:ind w:left="400" w:leftChars="300" w:hanging="100" w:hangingChars="100"/>
    </w:pPr>
    <w:rPr>
      <w:rFonts w:ascii="宋体"/>
    </w:rPr>
  </w:style>
  <w:style w:type="paragraph" w:customStyle="1" w:styleId="2407">
    <w:name w:val="Char Char Char Char Char Char Char Char Char1 Char Char Char Char Char Char Char1"/>
    <w:basedOn w:val="1"/>
    <w:qFormat/>
    <w:uiPriority w:val="0"/>
    <w:pPr>
      <w:spacing w:line="240" w:lineRule="auto"/>
    </w:pPr>
  </w:style>
  <w:style w:type="paragraph" w:customStyle="1" w:styleId="2408">
    <w:name w:val="表内文字小215"/>
    <w:basedOn w:val="1"/>
    <w:qFormat/>
    <w:uiPriority w:val="99"/>
    <w:pPr>
      <w:spacing w:line="240" w:lineRule="auto"/>
      <w:jc w:val="center"/>
    </w:pPr>
    <w:rPr>
      <w:rFonts w:ascii="宋体" w:hAnsi="Times"/>
      <w:bCs/>
      <w:color w:val="000000"/>
      <w:sz w:val="21"/>
      <w:szCs w:val="20"/>
    </w:rPr>
  </w:style>
  <w:style w:type="paragraph" w:customStyle="1" w:styleId="2409">
    <w:name w:val="Char Char Char1 Char Char Char Char Char Char1"/>
    <w:basedOn w:val="1"/>
    <w:qFormat/>
    <w:uiPriority w:val="0"/>
    <w:pPr>
      <w:spacing w:line="240" w:lineRule="auto"/>
    </w:pPr>
    <w:rPr>
      <w:rFonts w:ascii="黑体" w:hAnsi="黑体" w:eastAsia="黑体"/>
      <w:b/>
      <w:spacing w:val="10"/>
      <w:sz w:val="28"/>
      <w:szCs w:val="20"/>
    </w:rPr>
  </w:style>
  <w:style w:type="paragraph" w:customStyle="1" w:styleId="2410">
    <w:name w:val="表题315"/>
    <w:basedOn w:val="35"/>
    <w:qFormat/>
    <w:uiPriority w:val="99"/>
    <w:pPr>
      <w:tabs>
        <w:tab w:val="left" w:pos="4305"/>
      </w:tabs>
      <w:spacing w:line="360" w:lineRule="auto"/>
      <w:ind w:left="0" w:firstLine="561" w:firstLineChars="0"/>
    </w:pPr>
    <w:rPr>
      <w:rFonts w:ascii="宋体" w:hAnsi="宋体" w:cs="宋体"/>
      <w:color w:val="000000"/>
      <w:sz w:val="24"/>
      <w:lang w:val="zh-CN"/>
    </w:rPr>
  </w:style>
  <w:style w:type="paragraph" w:customStyle="1" w:styleId="2411">
    <w:name w:val="Char Char Char Char3"/>
    <w:basedOn w:val="26"/>
    <w:qFormat/>
    <w:uiPriority w:val="99"/>
    <w:pPr>
      <w:widowControl/>
      <w:jc w:val="left"/>
    </w:pPr>
    <w:rPr>
      <w:lang w:val="zh-CN"/>
    </w:rPr>
  </w:style>
  <w:style w:type="paragraph" w:customStyle="1" w:styleId="2412">
    <w:name w:val="样式 正文缩进文本条款表格标题正文（首行缩进两字） Char Char Char Char Char Char Char...2"/>
    <w:basedOn w:val="21"/>
    <w:qFormat/>
    <w:uiPriority w:val="0"/>
    <w:pPr>
      <w:spacing w:line="520" w:lineRule="atLeast"/>
      <w:ind w:firstLine="200"/>
    </w:pPr>
    <w:rPr>
      <w:rFonts w:cs="宋体"/>
      <w:color w:val="000000"/>
      <w:sz w:val="28"/>
      <w:szCs w:val="20"/>
    </w:rPr>
  </w:style>
  <w:style w:type="paragraph" w:customStyle="1" w:styleId="2413">
    <w:name w:val="Char6 Char Char Char1 Char Char Char1"/>
    <w:basedOn w:val="1"/>
    <w:qFormat/>
    <w:uiPriority w:val="0"/>
    <w:pPr>
      <w:spacing w:line="240" w:lineRule="auto"/>
    </w:pPr>
    <w:rPr>
      <w:sz w:val="21"/>
      <w:szCs w:val="21"/>
    </w:rPr>
  </w:style>
  <w:style w:type="paragraph" w:customStyle="1" w:styleId="2414">
    <w:name w:val="样式122"/>
    <w:basedOn w:val="1199"/>
    <w:qFormat/>
    <w:uiPriority w:val="99"/>
    <w:pPr>
      <w:spacing w:line="240" w:lineRule="auto"/>
      <w:ind w:firstLine="0"/>
      <w:jc w:val="center"/>
    </w:pPr>
    <w:rPr>
      <w:rFonts w:cs="Times New Roman"/>
      <w:b/>
      <w:color w:val="auto"/>
      <w:szCs w:val="20"/>
    </w:rPr>
  </w:style>
  <w:style w:type="paragraph" w:customStyle="1" w:styleId="2415">
    <w:name w:val="正文格式91"/>
    <w:basedOn w:val="1"/>
    <w:qFormat/>
    <w:uiPriority w:val="99"/>
    <w:pPr>
      <w:ind w:firstLine="482"/>
    </w:pPr>
    <w:rPr>
      <w:rFonts w:ascii="宋体" w:hAnsi="宋体"/>
    </w:rPr>
  </w:style>
  <w:style w:type="paragraph" w:customStyle="1" w:styleId="2416">
    <w:name w:val="Char4 Char Char Char Char Char Char Char Char Char Char Char Char Char Char Char Char Char1 Char Char Char Char Char Char1 Char Char Char Char Char Char Char Char Char Char Char Char Char1"/>
    <w:basedOn w:val="1"/>
    <w:qFormat/>
    <w:uiPriority w:val="0"/>
    <w:pPr>
      <w:spacing w:line="240" w:lineRule="exact"/>
      <w:ind w:firstLine="200"/>
    </w:pPr>
    <w:rPr>
      <w:sz w:val="28"/>
      <w:szCs w:val="28"/>
    </w:rPr>
  </w:style>
  <w:style w:type="paragraph" w:customStyle="1" w:styleId="2417">
    <w:name w:val="Char4 Char Char Char Char Char Char Char Char Char Char Char Char Char Char Char Char Char1 Char Char Char Char1"/>
    <w:basedOn w:val="1"/>
    <w:qFormat/>
    <w:uiPriority w:val="0"/>
    <w:pPr>
      <w:spacing w:line="240" w:lineRule="exact"/>
      <w:ind w:firstLine="200"/>
    </w:pPr>
    <w:rPr>
      <w:sz w:val="28"/>
      <w:szCs w:val="28"/>
    </w:rPr>
  </w:style>
  <w:style w:type="paragraph" w:customStyle="1" w:styleId="2418">
    <w:name w:val="Char Char Char Char1 Char Char Char Char Char Char Char1"/>
    <w:basedOn w:val="1"/>
    <w:qFormat/>
    <w:uiPriority w:val="0"/>
    <w:pPr>
      <w:tabs>
        <w:tab w:val="left" w:pos="360"/>
      </w:tabs>
    </w:pPr>
    <w:rPr>
      <w:rFonts w:eastAsia="仿宋_GB2312" w:cs="宋体"/>
    </w:rPr>
  </w:style>
  <w:style w:type="paragraph" w:customStyle="1" w:styleId="2419">
    <w:name w:val="Char Char Char Char Char Char Char Char1 Char Char Char1 Char1"/>
    <w:basedOn w:val="1"/>
    <w:qFormat/>
    <w:uiPriority w:val="0"/>
    <w:pPr>
      <w:spacing w:line="400" w:lineRule="exact"/>
      <w:ind w:firstLine="601"/>
      <w:textAlignment w:val="baseline"/>
    </w:pPr>
    <w:rPr>
      <w:rFonts w:eastAsia="楷体_GB2312"/>
      <w:spacing w:val="8"/>
      <w:kern w:val="0"/>
      <w:szCs w:val="20"/>
    </w:rPr>
  </w:style>
  <w:style w:type="paragraph" w:customStyle="1" w:styleId="2420">
    <w:name w:val="Char Char Char2 Char Char Char Char Char Char Char Char Char Char Char1"/>
    <w:basedOn w:val="1"/>
    <w:qFormat/>
    <w:uiPriority w:val="0"/>
    <w:pPr>
      <w:spacing w:line="240" w:lineRule="auto"/>
    </w:pPr>
    <w:rPr>
      <w:sz w:val="21"/>
    </w:rPr>
  </w:style>
  <w:style w:type="paragraph" w:customStyle="1" w:styleId="2421">
    <w:name w:val="Char Char1 Char Char Char Char Char Char Char Char Char Char Char Char Char Char Char Char Char Char Char Char1 Char1"/>
    <w:basedOn w:val="1"/>
    <w:qFormat/>
    <w:uiPriority w:val="0"/>
    <w:pPr>
      <w:ind w:firstLine="200"/>
    </w:pPr>
    <w:rPr>
      <w:rFonts w:ascii="宋体" w:hAnsi="宋体" w:cs="宋体"/>
    </w:rPr>
  </w:style>
  <w:style w:type="paragraph" w:customStyle="1" w:styleId="2422">
    <w:name w:val="Char Char Char22"/>
    <w:basedOn w:val="1"/>
    <w:qFormat/>
    <w:uiPriority w:val="0"/>
    <w:pPr>
      <w:spacing w:beforeLines="20" w:line="440" w:lineRule="atLeast"/>
      <w:ind w:firstLine="200"/>
    </w:pPr>
  </w:style>
  <w:style w:type="paragraph" w:customStyle="1" w:styleId="2423">
    <w:name w:val="Char Char Char2 Char Char Char1"/>
    <w:basedOn w:val="1"/>
    <w:qFormat/>
    <w:uiPriority w:val="0"/>
    <w:pPr>
      <w:spacing w:beforeLines="20" w:line="440" w:lineRule="atLeast"/>
      <w:ind w:firstLine="200"/>
    </w:pPr>
  </w:style>
  <w:style w:type="paragraph" w:customStyle="1" w:styleId="2424">
    <w:name w:val="样式 标题 3 + 字距调整四号"/>
    <w:basedOn w:val="5"/>
    <w:qFormat/>
    <w:uiPriority w:val="99"/>
    <w:pPr>
      <w:keepNext w:val="0"/>
      <w:tabs>
        <w:tab w:val="left" w:pos="720"/>
      </w:tabs>
      <w:spacing w:before="0" w:after="0"/>
      <w:ind w:left="720" w:hanging="720"/>
    </w:pPr>
    <w:rPr>
      <w:b w:val="0"/>
      <w:kern w:val="28"/>
    </w:rPr>
  </w:style>
  <w:style w:type="paragraph" w:customStyle="1" w:styleId="2425">
    <w:name w:val="Char Char Char1 Char Char Char2"/>
    <w:basedOn w:val="1"/>
    <w:qFormat/>
    <w:uiPriority w:val="0"/>
    <w:pPr>
      <w:spacing w:beforeLines="20" w:line="440" w:lineRule="atLeast"/>
      <w:ind w:firstLine="200"/>
    </w:pPr>
  </w:style>
  <w:style w:type="paragraph" w:customStyle="1" w:styleId="2426">
    <w:name w:val="Char Char Char Char Char Char Char Char Char Char Char Char Char1 Char Char Char Char Char Char Char Char1"/>
    <w:basedOn w:val="1"/>
    <w:qFormat/>
    <w:uiPriority w:val="0"/>
    <w:pPr>
      <w:ind w:firstLine="200"/>
    </w:pPr>
    <w:rPr>
      <w:rFonts w:ascii="宋体" w:hAnsi="宋体" w:cs="宋体"/>
    </w:rPr>
  </w:style>
  <w:style w:type="paragraph" w:customStyle="1" w:styleId="2427">
    <w:name w:val="Char Char Char Char Char Char Char Char Char Char Char Char Char1 Char Char Char Char Char Char Char Char Char Char Char1"/>
    <w:basedOn w:val="1"/>
    <w:qFormat/>
    <w:uiPriority w:val="0"/>
    <w:pPr>
      <w:ind w:firstLine="200"/>
    </w:pPr>
    <w:rPr>
      <w:rFonts w:ascii="宋体" w:hAnsi="宋体" w:cs="宋体"/>
    </w:rPr>
  </w:style>
  <w:style w:type="paragraph" w:customStyle="1" w:styleId="2428">
    <w:name w:val="Char Char Char Char Char Char Char Char Char Char Char Char Char1 Char Char Char Char Char Char Char Char Char1"/>
    <w:basedOn w:val="1"/>
    <w:qFormat/>
    <w:uiPriority w:val="0"/>
    <w:pPr>
      <w:ind w:firstLine="200"/>
    </w:pPr>
    <w:rPr>
      <w:rFonts w:ascii="宋体" w:hAnsi="宋体" w:cs="宋体"/>
    </w:rPr>
  </w:style>
  <w:style w:type="paragraph" w:customStyle="1" w:styleId="2429">
    <w:name w:val="Char Char Char Char Char Char Char Char Char Char Char Char Char1 Char Char Char Char Char Char Char Char Char Char Char Char Char Char1"/>
    <w:basedOn w:val="1"/>
    <w:qFormat/>
    <w:uiPriority w:val="0"/>
    <w:pPr>
      <w:ind w:firstLine="200"/>
    </w:pPr>
    <w:rPr>
      <w:rFonts w:ascii="宋体" w:hAnsi="宋体" w:cs="宋体"/>
    </w:rPr>
  </w:style>
  <w:style w:type="paragraph" w:customStyle="1" w:styleId="2430">
    <w:name w:val="Char Char Char Char Char Char Char Char Char Char Char Char Char1 Char Char Char Char Char Char Char Char Char Char Char Char Char Char Char Char Char1"/>
    <w:basedOn w:val="1"/>
    <w:qFormat/>
    <w:uiPriority w:val="0"/>
    <w:pPr>
      <w:ind w:firstLine="200"/>
    </w:pPr>
    <w:rPr>
      <w:rFonts w:ascii="宋体" w:hAnsi="宋体" w:cs="宋体"/>
    </w:rPr>
  </w:style>
  <w:style w:type="paragraph" w:customStyle="1" w:styleId="2431">
    <w:name w:val="样式 标题 3 + 段前: 12 磅2"/>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2432">
    <w:name w:val="Char Char Char Char Char Char Char Char Char Char Char Char Char11"/>
    <w:basedOn w:val="1"/>
    <w:qFormat/>
    <w:uiPriority w:val="0"/>
    <w:pPr>
      <w:ind w:firstLine="200"/>
    </w:pPr>
    <w:rPr>
      <w:rFonts w:ascii="宋体" w:hAnsi="宋体" w:cs="宋体"/>
    </w:rPr>
  </w:style>
  <w:style w:type="paragraph" w:customStyle="1" w:styleId="2433">
    <w:name w:val="Char Char Char2 Char Char Char Char Char1"/>
    <w:basedOn w:val="1"/>
    <w:qFormat/>
    <w:uiPriority w:val="0"/>
    <w:pPr>
      <w:spacing w:beforeLines="20" w:line="440" w:lineRule="atLeast"/>
      <w:ind w:firstLine="200"/>
    </w:pPr>
  </w:style>
  <w:style w:type="paragraph" w:customStyle="1" w:styleId="2434">
    <w:name w:val="Char Char Char1 Char Char1"/>
    <w:basedOn w:val="1"/>
    <w:qFormat/>
    <w:uiPriority w:val="0"/>
    <w:pPr>
      <w:spacing w:line="240" w:lineRule="auto"/>
    </w:pPr>
    <w:rPr>
      <w:rFonts w:ascii="黑体" w:hAnsi="黑体" w:eastAsia="黑体"/>
      <w:b/>
      <w:spacing w:val="10"/>
      <w:sz w:val="28"/>
      <w:szCs w:val="20"/>
    </w:rPr>
  </w:style>
  <w:style w:type="paragraph" w:customStyle="1" w:styleId="2435">
    <w:name w:val="Char Char Char2 Char Char Char Char1"/>
    <w:basedOn w:val="1"/>
    <w:qFormat/>
    <w:uiPriority w:val="0"/>
    <w:pPr>
      <w:spacing w:beforeLines="20" w:line="440" w:lineRule="atLeast"/>
      <w:ind w:firstLine="200"/>
    </w:pPr>
  </w:style>
  <w:style w:type="paragraph" w:customStyle="1" w:styleId="2436">
    <w:name w:val="默认段落字体 Para Char Char Char Char512"/>
    <w:basedOn w:val="1"/>
    <w:qFormat/>
    <w:uiPriority w:val="99"/>
    <w:pPr>
      <w:spacing w:line="240" w:lineRule="auto"/>
    </w:pPr>
    <w:rPr>
      <w:sz w:val="21"/>
    </w:rPr>
  </w:style>
  <w:style w:type="paragraph" w:customStyle="1" w:styleId="2437">
    <w:name w:val="表中文字113"/>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438">
    <w:name w:val="样式 样式 宋体 + 首行缩进:  2 字符112"/>
    <w:basedOn w:val="1"/>
    <w:qFormat/>
    <w:uiPriority w:val="99"/>
    <w:pPr>
      <w:ind w:firstLine="480"/>
      <w:jc w:val="left"/>
    </w:pPr>
    <w:rPr>
      <w:rFonts w:ascii="宋体" w:cs="宋体"/>
    </w:rPr>
  </w:style>
  <w:style w:type="paragraph" w:customStyle="1" w:styleId="2439">
    <w:name w:val="表内文字小113"/>
    <w:basedOn w:val="1"/>
    <w:qFormat/>
    <w:uiPriority w:val="99"/>
    <w:pPr>
      <w:spacing w:line="240" w:lineRule="auto"/>
    </w:pPr>
    <w:rPr>
      <w:rFonts w:ascii="宋体" w:hAnsi="Times" w:cs="宋体"/>
      <w:sz w:val="21"/>
      <w:szCs w:val="20"/>
    </w:rPr>
  </w:style>
  <w:style w:type="paragraph" w:customStyle="1" w:styleId="2440">
    <w:name w:val="Char2 Char Char Char3"/>
    <w:basedOn w:val="1"/>
    <w:qFormat/>
    <w:uiPriority w:val="0"/>
    <w:pPr>
      <w:spacing w:line="240" w:lineRule="auto"/>
    </w:pPr>
    <w:rPr>
      <w:sz w:val="21"/>
      <w:szCs w:val="21"/>
    </w:rPr>
  </w:style>
  <w:style w:type="paragraph" w:customStyle="1" w:styleId="2441">
    <w:name w:val="表内文字小2114"/>
    <w:basedOn w:val="1"/>
    <w:qFormat/>
    <w:uiPriority w:val="99"/>
    <w:pPr>
      <w:spacing w:line="240" w:lineRule="auto"/>
      <w:jc w:val="center"/>
    </w:pPr>
    <w:rPr>
      <w:rFonts w:ascii="宋体" w:hAnsi="Times"/>
      <w:bCs/>
      <w:color w:val="000000"/>
      <w:sz w:val="21"/>
      <w:szCs w:val="20"/>
    </w:rPr>
  </w:style>
  <w:style w:type="paragraph" w:customStyle="1" w:styleId="2442">
    <w:name w:val="正文修改8"/>
    <w:basedOn w:val="900"/>
    <w:qFormat/>
    <w:uiPriority w:val="99"/>
    <w:pPr>
      <w:spacing w:line="480" w:lineRule="exact"/>
      <w:ind w:firstLine="0" w:firstLineChars="0"/>
    </w:pPr>
    <w:rPr>
      <w:rFonts w:cs="宋体"/>
      <w:sz w:val="24"/>
      <w:szCs w:val="24"/>
    </w:rPr>
  </w:style>
  <w:style w:type="paragraph" w:customStyle="1" w:styleId="2443">
    <w:name w:val="表中文字31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444">
    <w:name w:val="Char1 Char Char1 Char1"/>
    <w:basedOn w:val="1"/>
    <w:qFormat/>
    <w:uiPriority w:val="0"/>
    <w:pPr>
      <w:spacing w:line="240" w:lineRule="auto"/>
    </w:pPr>
    <w:rPr>
      <w:sz w:val="21"/>
      <w:szCs w:val="21"/>
    </w:rPr>
  </w:style>
  <w:style w:type="paragraph" w:customStyle="1" w:styleId="2445">
    <w:name w:val="表文字5"/>
    <w:basedOn w:val="1"/>
    <w:qFormat/>
    <w:uiPriority w:val="99"/>
    <w:pPr>
      <w:spacing w:line="240" w:lineRule="auto"/>
      <w:jc w:val="left"/>
      <w:textAlignment w:val="baseline"/>
    </w:pPr>
    <w:rPr>
      <w:rFonts w:ascii="宋体"/>
      <w:kern w:val="0"/>
      <w:sz w:val="21"/>
      <w:szCs w:val="20"/>
    </w:rPr>
  </w:style>
  <w:style w:type="paragraph" w:customStyle="1" w:styleId="2446">
    <w:name w:val="Char Char Char1 Char1"/>
    <w:basedOn w:val="1"/>
    <w:qFormat/>
    <w:uiPriority w:val="0"/>
    <w:pPr>
      <w:spacing w:line="240" w:lineRule="auto"/>
    </w:pPr>
    <w:rPr>
      <w:sz w:val="21"/>
    </w:rPr>
  </w:style>
  <w:style w:type="paragraph" w:customStyle="1" w:styleId="2447">
    <w:name w:val="Char Char Char Char1 Char Char1"/>
    <w:basedOn w:val="1"/>
    <w:qFormat/>
    <w:uiPriority w:val="0"/>
    <w:pPr>
      <w:spacing w:line="240" w:lineRule="auto"/>
    </w:pPr>
  </w:style>
  <w:style w:type="paragraph" w:customStyle="1" w:styleId="2448">
    <w:name w:val="Char Char Char1 Char Char Char Char1"/>
    <w:basedOn w:val="1"/>
    <w:qFormat/>
    <w:uiPriority w:val="0"/>
    <w:pPr>
      <w:spacing w:line="240" w:lineRule="auto"/>
    </w:pPr>
    <w:rPr>
      <w:sz w:val="21"/>
      <w:szCs w:val="20"/>
    </w:rPr>
  </w:style>
  <w:style w:type="paragraph" w:customStyle="1" w:styleId="2449">
    <w:name w:val="表内54124"/>
    <w:basedOn w:val="1"/>
    <w:qFormat/>
    <w:uiPriority w:val="99"/>
    <w:pPr>
      <w:spacing w:line="300" w:lineRule="auto"/>
      <w:jc w:val="center"/>
    </w:pPr>
    <w:rPr>
      <w:rFonts w:ascii="宋体" w:hAnsi="宋体" w:cs="宋体"/>
      <w:sz w:val="21"/>
      <w:szCs w:val="20"/>
    </w:rPr>
  </w:style>
  <w:style w:type="paragraph" w:customStyle="1" w:styleId="2450">
    <w:name w:val="Char4 Char Char Char Char Char Char Char Char Char Char Char Char Char Char Char Char Char1 Char Char Char Char Char Char1 Char Char Char Char Char Char Char Char Char Char Char Char Char Char Char Char1"/>
    <w:basedOn w:val="1"/>
    <w:qFormat/>
    <w:uiPriority w:val="0"/>
    <w:pPr>
      <w:spacing w:line="240" w:lineRule="exact"/>
      <w:ind w:firstLine="200"/>
    </w:pPr>
    <w:rPr>
      <w:sz w:val="28"/>
      <w:szCs w:val="28"/>
    </w:rPr>
  </w:style>
  <w:style w:type="paragraph" w:customStyle="1" w:styleId="2451">
    <w:name w:val="Char Char Char1 Char Char Char Char Char Char Char Char Char Char Char Char Char Char Char1 Char Char Char Char Char Char 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2452">
    <w:name w:val="Char Char Char1 Char Char Char Char Char Char Char Char Char Char Char Char Char Char Char1 Char Char Char Char Char Char Char Char Char 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2453">
    <w:name w:val="Char Char Char1 Char Char Char Char Char Char Char Char Char1"/>
    <w:basedOn w:val="1"/>
    <w:qFormat/>
    <w:uiPriority w:val="0"/>
    <w:pPr>
      <w:spacing w:line="240" w:lineRule="auto"/>
    </w:pPr>
    <w:rPr>
      <w:sz w:val="21"/>
      <w:szCs w:val="21"/>
    </w:rPr>
  </w:style>
  <w:style w:type="paragraph" w:customStyle="1" w:styleId="2454">
    <w:name w:val="Char2 Char Char Char Char Char1"/>
    <w:basedOn w:val="1"/>
    <w:qFormat/>
    <w:uiPriority w:val="0"/>
    <w:pPr>
      <w:spacing w:line="240" w:lineRule="auto"/>
    </w:pPr>
  </w:style>
  <w:style w:type="paragraph" w:customStyle="1" w:styleId="2455">
    <w:name w:val="edri-A title Char1"/>
    <w:qFormat/>
    <w:uiPriority w:val="0"/>
    <w:pPr>
      <w:tabs>
        <w:tab w:val="left" w:pos="0"/>
        <w:tab w:val="left" w:pos="945"/>
      </w:tabs>
      <w:ind w:left="627" w:hanging="510"/>
      <w:outlineLvl w:val="3"/>
    </w:pPr>
    <w:rPr>
      <w:rFonts w:ascii="Times New Roman" w:hAnsi="Times New Roman" w:eastAsia="宋体" w:cs="Times New Roman"/>
      <w:lang w:val="en-US" w:eastAsia="zh-CN" w:bidi="ar-SA"/>
    </w:rPr>
  </w:style>
  <w:style w:type="paragraph" w:customStyle="1" w:styleId="2456">
    <w:name w:val="edri-title third Char1"/>
    <w:basedOn w:val="1"/>
    <w:qFormat/>
    <w:uiPriority w:val="0"/>
    <w:pPr>
      <w:tabs>
        <w:tab w:val="left" w:pos="0"/>
        <w:tab w:val="left" w:pos="945"/>
      </w:tabs>
      <w:spacing w:beforeLines="50" w:line="300" w:lineRule="auto"/>
      <w:ind w:left="964" w:hanging="964"/>
      <w:outlineLvl w:val="2"/>
    </w:pPr>
    <w:rPr>
      <w:bCs/>
      <w:kern w:val="0"/>
    </w:rPr>
  </w:style>
  <w:style w:type="paragraph" w:customStyle="1" w:styleId="2457">
    <w:name w:val="CM69"/>
    <w:basedOn w:val="151"/>
    <w:next w:val="151"/>
    <w:qFormat/>
    <w:uiPriority w:val="0"/>
    <w:pPr>
      <w:spacing w:after="148"/>
    </w:pPr>
    <w:rPr>
      <w:rFonts w:ascii=".." w:hAnsi="Times New Roman" w:eastAsia=".." w:cs="Times New Roman"/>
      <w:color w:val="auto"/>
    </w:rPr>
  </w:style>
  <w:style w:type="paragraph" w:customStyle="1" w:styleId="2458">
    <w:name w:val="Char Char Char Char Char Char Char24"/>
    <w:basedOn w:val="1"/>
    <w:qFormat/>
    <w:uiPriority w:val="99"/>
    <w:pPr>
      <w:spacing w:line="240" w:lineRule="auto"/>
    </w:pPr>
    <w:rPr>
      <w:sz w:val="21"/>
    </w:rPr>
  </w:style>
  <w:style w:type="paragraph" w:customStyle="1" w:styleId="2459">
    <w:name w:val="黑体三号32"/>
    <w:basedOn w:val="185"/>
    <w:qFormat/>
    <w:uiPriority w:val="99"/>
    <w:pPr>
      <w:jc w:val="center"/>
    </w:pPr>
    <w:rPr>
      <w:rFonts w:ascii="黑体" w:hAnsi="宋体" w:eastAsia="黑体"/>
      <w:b/>
      <w:bCs/>
      <w:sz w:val="32"/>
      <w:szCs w:val="20"/>
    </w:rPr>
  </w:style>
  <w:style w:type="paragraph" w:customStyle="1" w:styleId="2460">
    <w:name w:val="样式 样式 标题 2 + 段前: 0.5 行4 + 段前: 0.5 行"/>
    <w:basedOn w:val="1"/>
    <w:qFormat/>
    <w:uiPriority w:val="0"/>
    <w:pPr>
      <w:tabs>
        <w:tab w:val="left" w:pos="540"/>
      </w:tabs>
      <w:spacing w:before="163"/>
      <w:ind w:left="567" w:hanging="540"/>
      <w:outlineLvl w:val="1"/>
    </w:pPr>
    <w:rPr>
      <w:rFonts w:eastAsia="黑体"/>
      <w:szCs w:val="20"/>
    </w:rPr>
  </w:style>
  <w:style w:type="paragraph" w:customStyle="1" w:styleId="2461">
    <w:name w:val="样式 样式 宋体 + 首行缩进:  2 字符12"/>
    <w:basedOn w:val="1"/>
    <w:qFormat/>
    <w:uiPriority w:val="99"/>
    <w:pPr>
      <w:ind w:firstLine="480"/>
      <w:jc w:val="left"/>
    </w:pPr>
    <w:rPr>
      <w:rFonts w:ascii="宋体" w:cs="宋体"/>
    </w:rPr>
  </w:style>
  <w:style w:type="paragraph" w:customStyle="1" w:styleId="2462">
    <w:name w:val="Char Char Char2 Char Char Char Char Char Char Char Char Char Char Char Char Char Char Char Char Char Char Char Char Char Char Char Char1"/>
    <w:basedOn w:val="1"/>
    <w:qFormat/>
    <w:uiPriority w:val="0"/>
    <w:pPr>
      <w:spacing w:line="240" w:lineRule="auto"/>
    </w:pPr>
    <w:rPr>
      <w:rFonts w:ascii="黑体" w:hAnsi="黑体" w:eastAsia="黑体"/>
      <w:b/>
      <w:spacing w:val="10"/>
      <w:kern w:val="44"/>
      <w:sz w:val="28"/>
      <w:szCs w:val="20"/>
    </w:rPr>
  </w:style>
  <w:style w:type="paragraph" w:customStyle="1" w:styleId="2463">
    <w:name w:val="Char Char21 Char Char Char Char1"/>
    <w:basedOn w:val="1"/>
    <w:qFormat/>
    <w:uiPriority w:val="0"/>
    <w:pPr>
      <w:spacing w:line="240" w:lineRule="auto"/>
    </w:pPr>
    <w:rPr>
      <w:rFonts w:ascii="黑体" w:hAnsi="黑体" w:eastAsia="黑体"/>
      <w:b/>
      <w:spacing w:val="10"/>
      <w:kern w:val="44"/>
      <w:sz w:val="28"/>
      <w:szCs w:val="20"/>
    </w:rPr>
  </w:style>
  <w:style w:type="paragraph" w:customStyle="1" w:styleId="2464">
    <w:name w:val="样式211"/>
    <w:basedOn w:val="1"/>
    <w:qFormat/>
    <w:uiPriority w:val="99"/>
    <w:pPr>
      <w:jc w:val="center"/>
      <w:textAlignment w:val="baseline"/>
      <w:outlineLvl w:val="0"/>
    </w:pPr>
    <w:rPr>
      <w:kern w:val="0"/>
      <w:sz w:val="21"/>
      <w:szCs w:val="20"/>
    </w:rPr>
  </w:style>
  <w:style w:type="paragraph" w:customStyle="1" w:styleId="2465">
    <w:name w:val="Char Char7 Char Char1 Char Char Char1 Char Char Char Char Char1 Char Char Char1"/>
    <w:basedOn w:val="1"/>
    <w:qFormat/>
    <w:uiPriority w:val="0"/>
    <w:pPr>
      <w:spacing w:line="240" w:lineRule="auto"/>
    </w:pPr>
    <w:rPr>
      <w:sz w:val="21"/>
      <w:szCs w:val="21"/>
    </w:rPr>
  </w:style>
  <w:style w:type="paragraph" w:customStyle="1" w:styleId="2466">
    <w:name w:val="Char Char5 Char Char Char Char Char Char1"/>
    <w:basedOn w:val="1"/>
    <w:qFormat/>
    <w:uiPriority w:val="0"/>
    <w:pPr>
      <w:spacing w:line="240" w:lineRule="auto"/>
    </w:pPr>
  </w:style>
  <w:style w:type="paragraph" w:customStyle="1" w:styleId="2467">
    <w:name w:val="內(1)"/>
    <w:basedOn w:val="1"/>
    <w:qFormat/>
    <w:uiPriority w:val="0"/>
    <w:pPr>
      <w:spacing w:line="420" w:lineRule="atLeast"/>
      <w:ind w:left="1531" w:firstLine="520"/>
    </w:pPr>
    <w:rPr>
      <w:rFonts w:eastAsia="DFKai-SB"/>
      <w:sz w:val="26"/>
      <w:szCs w:val="20"/>
      <w:lang w:eastAsia="zh-TW"/>
    </w:rPr>
  </w:style>
  <w:style w:type="paragraph" w:customStyle="1" w:styleId="2468">
    <w:name w:val="Char4 Char Char2"/>
    <w:basedOn w:val="1"/>
    <w:qFormat/>
    <w:uiPriority w:val="0"/>
    <w:pPr>
      <w:spacing w:line="240" w:lineRule="auto"/>
    </w:pPr>
  </w:style>
  <w:style w:type="paragraph" w:customStyle="1" w:styleId="2469">
    <w:name w:val="Char Char1 Char Char Char Char Char Char Char1"/>
    <w:basedOn w:val="1"/>
    <w:qFormat/>
    <w:uiPriority w:val="0"/>
    <w:pPr>
      <w:spacing w:line="240" w:lineRule="auto"/>
    </w:pPr>
  </w:style>
  <w:style w:type="paragraph" w:customStyle="1" w:styleId="2470">
    <w:name w:val="样式 列表 + 左侧:  0 厘米 悬挂缩进: 2 字符"/>
    <w:basedOn w:val="65"/>
    <w:qFormat/>
    <w:uiPriority w:val="99"/>
    <w:pPr>
      <w:tabs>
        <w:tab w:val="center" w:pos="4153"/>
        <w:tab w:val="right" w:pos="8306"/>
      </w:tabs>
      <w:spacing w:line="0" w:lineRule="atLeast"/>
    </w:pPr>
    <w:rPr>
      <w:rFonts w:ascii="Times New Roman" w:hAnsi="Calibri" w:eastAsia="宋体" w:cs="宋体"/>
      <w:color w:val="0000FF"/>
      <w:sz w:val="21"/>
      <w:szCs w:val="21"/>
      <w:lang w:val="zh-CN"/>
    </w:rPr>
  </w:style>
  <w:style w:type="paragraph" w:customStyle="1" w:styleId="2471">
    <w:name w:val="黑体三号42"/>
    <w:basedOn w:val="185"/>
    <w:qFormat/>
    <w:uiPriority w:val="99"/>
    <w:pPr>
      <w:jc w:val="center"/>
    </w:pPr>
    <w:rPr>
      <w:rFonts w:ascii="黑体" w:hAnsi="宋体" w:eastAsia="黑体"/>
      <w:b/>
      <w:bCs/>
      <w:sz w:val="32"/>
      <w:szCs w:val="20"/>
    </w:rPr>
  </w:style>
  <w:style w:type="paragraph" w:customStyle="1" w:styleId="2472">
    <w:name w:val="样式 标题 4 + 行距: 多倍行距 1.3 字行"/>
    <w:basedOn w:val="6"/>
    <w:qFormat/>
    <w:uiPriority w:val="0"/>
    <w:pPr>
      <w:tabs>
        <w:tab w:val="left" w:pos="964"/>
      </w:tabs>
      <w:spacing w:before="280" w:beforeLines="20" w:after="290" w:afterLines="20" w:line="300" w:lineRule="auto"/>
      <w:ind w:left="964" w:hanging="964"/>
    </w:pPr>
    <w:rPr>
      <w:rFonts w:ascii="仿宋_GB2312" w:hAnsi="Arial" w:eastAsia="仿宋_GB2312" w:cs="宋体"/>
      <w:b w:val="0"/>
      <w:sz w:val="28"/>
      <w:lang w:val="zh-CN"/>
    </w:rPr>
  </w:style>
  <w:style w:type="paragraph" w:customStyle="1" w:styleId="2473">
    <w:name w:val="Table Title Char1 Char1"/>
    <w:basedOn w:val="1"/>
    <w:qFormat/>
    <w:uiPriority w:val="0"/>
    <w:pPr>
      <w:widowControl/>
      <w:spacing w:beforeLines="50" w:afterLines="50" w:line="400" w:lineRule="exact"/>
      <w:jc w:val="center"/>
    </w:pPr>
    <w:rPr>
      <w:lang w:eastAsia="en-US"/>
    </w:rPr>
  </w:style>
  <w:style w:type="paragraph" w:customStyle="1" w:styleId="2474">
    <w:name w:val="样式 正文缩进文本条款表格标题正文（首行缩进两字） Char Char Char Char Char Char Char ..."/>
    <w:basedOn w:val="21"/>
    <w:qFormat/>
    <w:uiPriority w:val="0"/>
    <w:pPr>
      <w:spacing w:line="460" w:lineRule="exact"/>
      <w:ind w:firstLine="200"/>
    </w:pPr>
    <w:rPr>
      <w:rFonts w:ascii="宋体" w:cs="宋体"/>
      <w:sz w:val="28"/>
      <w:szCs w:val="20"/>
    </w:rPr>
  </w:style>
  <w:style w:type="paragraph" w:customStyle="1" w:styleId="2475">
    <w:name w:val="表题15"/>
    <w:basedOn w:val="22"/>
    <w:qFormat/>
    <w:uiPriority w:val="99"/>
    <w:pPr>
      <w:tabs>
        <w:tab w:val="clear" w:pos="10467"/>
        <w:tab w:val="clear" w:pos="13095"/>
      </w:tabs>
      <w:adjustRightInd/>
      <w:snapToGrid/>
    </w:pPr>
    <w:rPr>
      <w:rFonts w:ascii="黑体" w:eastAsia="黑体"/>
    </w:rPr>
  </w:style>
  <w:style w:type="paragraph" w:customStyle="1" w:styleId="2476">
    <w:name w:val="样式 样式7 + 左侧:  4 字符"/>
    <w:basedOn w:val="2010"/>
    <w:qFormat/>
    <w:uiPriority w:val="0"/>
    <w:pPr>
      <w:tabs>
        <w:tab w:val="right" w:leader="dot" w:pos="8296"/>
      </w:tabs>
      <w:spacing w:before="240" w:after="120" w:line="240" w:lineRule="auto"/>
      <w:ind w:left="200" w:leftChars="200"/>
      <w:jc w:val="center"/>
    </w:pPr>
    <w:rPr>
      <w:rFonts w:ascii="宋体" w:hAnsi="宋体" w:cs="宋体"/>
      <w:bCs/>
      <w:smallCaps/>
      <w:sz w:val="20"/>
      <w:szCs w:val="20"/>
    </w:rPr>
  </w:style>
  <w:style w:type="paragraph" w:customStyle="1" w:styleId="2477">
    <w:name w:val="样式 目录 2 + 左侧:  2 字符"/>
    <w:basedOn w:val="73"/>
    <w:qFormat/>
    <w:uiPriority w:val="0"/>
    <w:pPr>
      <w:tabs>
        <w:tab w:val="right" w:leader="dot" w:pos="8296"/>
        <w:tab w:val="right" w:leader="dot" w:pos="9070"/>
      </w:tabs>
      <w:spacing w:line="240" w:lineRule="auto"/>
      <w:ind w:left="142" w:leftChars="0"/>
      <w:jc w:val="center"/>
    </w:pPr>
    <w:rPr>
      <w:rFonts w:ascii="宋体" w:hAnsi="宋体" w:cs="宋体"/>
      <w:b/>
      <w:bCs/>
      <w:sz w:val="20"/>
      <w:szCs w:val="21"/>
    </w:rPr>
  </w:style>
  <w:style w:type="paragraph" w:customStyle="1" w:styleId="2478">
    <w:name w:val="表头四号 + 段前: 0.5 行 + 段前: 0.5 行"/>
    <w:basedOn w:val="1"/>
    <w:qFormat/>
    <w:uiPriority w:val="0"/>
    <w:pPr>
      <w:spacing w:beforeLines="25" w:line="500" w:lineRule="atLeast"/>
    </w:pPr>
    <w:rPr>
      <w:rFonts w:ascii="宋体" w:hAnsi="宋体" w:cs="宋体"/>
      <w:b/>
      <w:bCs/>
      <w:sz w:val="28"/>
      <w:szCs w:val="20"/>
    </w:rPr>
  </w:style>
  <w:style w:type="paragraph" w:customStyle="1" w:styleId="2479">
    <w:name w:val="表格内字体11"/>
    <w:basedOn w:val="185"/>
    <w:qFormat/>
    <w:uiPriority w:val="99"/>
    <w:pPr>
      <w:spacing w:line="240" w:lineRule="auto"/>
      <w:ind w:firstLine="0"/>
      <w:jc w:val="center"/>
    </w:pPr>
    <w:rPr>
      <w:sz w:val="21"/>
      <w:szCs w:val="20"/>
    </w:rPr>
  </w:style>
  <w:style w:type="paragraph" w:customStyle="1" w:styleId="2480">
    <w:name w:val="样式8"/>
    <w:basedOn w:val="57"/>
    <w:qFormat/>
    <w:uiPriority w:val="0"/>
    <w:pPr>
      <w:pBdr>
        <w:bottom w:val="single" w:color="auto" w:sz="4" w:space="1"/>
      </w:pBdr>
      <w:tabs>
        <w:tab w:val="clear" w:pos="2054"/>
      </w:tabs>
      <w:spacing w:line="240" w:lineRule="atLeast"/>
    </w:pPr>
    <w:rPr>
      <w:rFonts w:ascii="华文新魏" w:hAnsi="Calibri" w:eastAsia="华文新魏"/>
      <w:kern w:val="0"/>
      <w:lang w:val="zh-CN"/>
    </w:rPr>
  </w:style>
  <w:style w:type="paragraph" w:customStyle="1" w:styleId="2481">
    <w:name w:val="样式9"/>
    <w:basedOn w:val="73"/>
    <w:qFormat/>
    <w:uiPriority w:val="0"/>
    <w:pPr>
      <w:tabs>
        <w:tab w:val="right" w:leader="dot" w:pos="8100"/>
        <w:tab w:val="right" w:leader="dot" w:pos="8400"/>
        <w:tab w:val="right" w:leader="dot" w:pos="9061"/>
      </w:tabs>
      <w:ind w:left="600" w:leftChars="600" w:right="100" w:rightChars="100"/>
      <w:jc w:val="center"/>
    </w:pPr>
    <w:rPr>
      <w:rFonts w:ascii="宋体" w:hAnsi="宋体"/>
      <w:b/>
      <w:bCs/>
      <w:sz w:val="20"/>
      <w:szCs w:val="28"/>
    </w:rPr>
  </w:style>
  <w:style w:type="paragraph" w:customStyle="1" w:styleId="2482">
    <w:name w:val="Default2"/>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483">
    <w:name w:val="表内宋5中13"/>
    <w:basedOn w:val="1"/>
    <w:qFormat/>
    <w:uiPriority w:val="99"/>
    <w:pPr>
      <w:spacing w:line="240" w:lineRule="auto"/>
      <w:jc w:val="center"/>
      <w:textAlignment w:val="baseline"/>
    </w:pPr>
    <w:rPr>
      <w:rFonts w:ascii="宋体" w:hAnsi="宋体" w:cs="宋体"/>
      <w:kern w:val="0"/>
      <w:sz w:val="21"/>
      <w:szCs w:val="20"/>
    </w:rPr>
  </w:style>
  <w:style w:type="paragraph" w:customStyle="1" w:styleId="2484">
    <w:name w:val="字元 字元"/>
    <w:basedOn w:val="1"/>
    <w:qFormat/>
    <w:uiPriority w:val="99"/>
    <w:pPr>
      <w:spacing w:line="240" w:lineRule="auto"/>
    </w:pPr>
    <w:rPr>
      <w:sz w:val="21"/>
      <w:szCs w:val="21"/>
    </w:rPr>
  </w:style>
  <w:style w:type="paragraph" w:customStyle="1" w:styleId="2485">
    <w:name w:val="Char113"/>
    <w:basedOn w:val="1"/>
    <w:qFormat/>
    <w:uiPriority w:val="99"/>
    <w:pPr>
      <w:spacing w:line="240" w:lineRule="auto"/>
      <w:ind w:left="-48"/>
    </w:pPr>
    <w:rPr>
      <w:sz w:val="21"/>
    </w:rPr>
  </w:style>
  <w:style w:type="paragraph" w:customStyle="1" w:styleId="2486">
    <w:name w:val="默认段落字体 Para Char Char Char Char42"/>
    <w:basedOn w:val="1"/>
    <w:qFormat/>
    <w:uiPriority w:val="99"/>
    <w:pPr>
      <w:spacing w:line="240" w:lineRule="auto"/>
    </w:pPr>
    <w:rPr>
      <w:sz w:val="21"/>
    </w:rPr>
  </w:style>
  <w:style w:type="paragraph" w:customStyle="1" w:styleId="2487">
    <w:name w:val="表内5313"/>
    <w:basedOn w:val="1"/>
    <w:qFormat/>
    <w:uiPriority w:val="99"/>
    <w:pPr>
      <w:spacing w:line="300" w:lineRule="auto"/>
      <w:jc w:val="left"/>
    </w:pPr>
    <w:rPr>
      <w:rFonts w:ascii="宋体"/>
      <w:sz w:val="21"/>
      <w:szCs w:val="20"/>
    </w:rPr>
  </w:style>
  <w:style w:type="paragraph" w:customStyle="1" w:styleId="2488">
    <w:name w:val="正文212"/>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489">
    <w:name w:val="样式 标题 2 + 段前: 6 磅"/>
    <w:basedOn w:val="4"/>
    <w:qFormat/>
    <w:uiPriority w:val="0"/>
    <w:pPr>
      <w:keepNext w:val="0"/>
      <w:keepLines w:val="0"/>
      <w:tabs>
        <w:tab w:val="left" w:pos="450"/>
        <w:tab w:val="left" w:pos="567"/>
      </w:tabs>
      <w:spacing w:before="0" w:after="0"/>
      <w:ind w:left="567" w:hanging="567"/>
    </w:pPr>
    <w:rPr>
      <w:rFonts w:eastAsia="黑体"/>
      <w:b w:val="0"/>
      <w:bCs w:val="0"/>
      <w:sz w:val="24"/>
      <w:szCs w:val="20"/>
    </w:rPr>
  </w:style>
  <w:style w:type="paragraph" w:customStyle="1" w:styleId="2490">
    <w:name w:val="样式 标题 4无效格式无效格式1河石管道4H4H41小小节河石管道41H42H411小小节1河石管道42...3"/>
    <w:basedOn w:val="6"/>
    <w:qFormat/>
    <w:uiPriority w:val="99"/>
    <w:pPr>
      <w:spacing w:before="0" w:after="0" w:line="360" w:lineRule="auto"/>
      <w:ind w:left="664" w:hanging="864"/>
    </w:pPr>
    <w:rPr>
      <w:rFonts w:ascii="黑体" w:hAnsi="Arial" w:eastAsia="黑体"/>
      <w:b w:val="0"/>
      <w:bCs w:val="0"/>
      <w:szCs w:val="24"/>
      <w:lang w:val="zh-CN"/>
    </w:rPr>
  </w:style>
  <w:style w:type="paragraph" w:customStyle="1" w:styleId="2491">
    <w:name w:val="表内文字小112"/>
    <w:basedOn w:val="1"/>
    <w:qFormat/>
    <w:uiPriority w:val="99"/>
    <w:pPr>
      <w:spacing w:line="240" w:lineRule="auto"/>
    </w:pPr>
    <w:rPr>
      <w:rFonts w:ascii="宋体" w:hAnsi="Times" w:cs="宋体"/>
      <w:sz w:val="21"/>
      <w:szCs w:val="20"/>
    </w:rPr>
  </w:style>
  <w:style w:type="paragraph" w:customStyle="1" w:styleId="2492">
    <w:name w:val="样式113"/>
    <w:basedOn w:val="1199"/>
    <w:qFormat/>
    <w:uiPriority w:val="99"/>
    <w:pPr>
      <w:spacing w:line="240" w:lineRule="auto"/>
      <w:ind w:firstLine="0"/>
      <w:jc w:val="center"/>
    </w:pPr>
    <w:rPr>
      <w:rFonts w:cs="Times New Roman"/>
      <w:b/>
      <w:color w:val="auto"/>
      <w:szCs w:val="20"/>
    </w:rPr>
  </w:style>
  <w:style w:type="paragraph" w:customStyle="1" w:styleId="2493">
    <w:name w:val="黄桥正文"/>
    <w:basedOn w:val="1"/>
    <w:qFormat/>
    <w:uiPriority w:val="0"/>
    <w:pPr>
      <w:widowControl/>
      <w:ind w:firstLine="200"/>
    </w:pPr>
    <w:rPr>
      <w:rFonts w:cs="宋体"/>
      <w:kern w:val="0"/>
    </w:rPr>
  </w:style>
  <w:style w:type="paragraph" w:customStyle="1" w:styleId="2494">
    <w:name w:val="谏壁标题4(chen) Char Char"/>
    <w:basedOn w:val="1"/>
    <w:qFormat/>
    <w:uiPriority w:val="0"/>
    <w:pPr>
      <w:spacing w:beforeLines="50"/>
      <w:outlineLvl w:val="3"/>
    </w:pPr>
    <w:rPr>
      <w:rFonts w:eastAsia="楷体_GB2312"/>
      <w:sz w:val="28"/>
    </w:rPr>
  </w:style>
  <w:style w:type="paragraph" w:customStyle="1" w:styleId="2495">
    <w:name w:val="表题2112"/>
    <w:basedOn w:val="1"/>
    <w:qFormat/>
    <w:uiPriority w:val="99"/>
    <w:pPr>
      <w:widowControl/>
      <w:spacing w:line="240" w:lineRule="auto"/>
      <w:jc w:val="center"/>
    </w:pPr>
    <w:rPr>
      <w:rFonts w:ascii="黑体" w:hAnsi="宋体" w:eastAsia="黑体" w:cs="宋体"/>
      <w:kern w:val="0"/>
    </w:rPr>
  </w:style>
  <w:style w:type="paragraph" w:customStyle="1" w:styleId="2496">
    <w:name w:val="Char Char Char Char Char Char Char Char Char Char Char Char1 Char Char Char Char Char Char Char Char Char Char Char Char"/>
    <w:basedOn w:val="1"/>
    <w:qFormat/>
    <w:uiPriority w:val="0"/>
    <w:pPr>
      <w:spacing w:line="240" w:lineRule="exact"/>
      <w:ind w:firstLine="200"/>
    </w:pPr>
    <w:rPr>
      <w:sz w:val="28"/>
      <w:szCs w:val="28"/>
    </w:rPr>
  </w:style>
  <w:style w:type="paragraph" w:customStyle="1" w:styleId="2497">
    <w:name w:val="Char28"/>
    <w:basedOn w:val="1"/>
    <w:qFormat/>
    <w:uiPriority w:val="99"/>
    <w:pPr>
      <w:spacing w:line="240" w:lineRule="auto"/>
      <w:ind w:left="-48"/>
    </w:pPr>
    <w:rPr>
      <w:sz w:val="21"/>
    </w:rPr>
  </w:style>
  <w:style w:type="paragraph" w:customStyle="1" w:styleId="2498">
    <w:name w:val="report1"/>
    <w:basedOn w:val="1"/>
    <w:qFormat/>
    <w:uiPriority w:val="0"/>
    <w:pPr>
      <w:tabs>
        <w:tab w:val="left" w:pos="1009"/>
      </w:tabs>
      <w:spacing w:before="60" w:after="60" w:line="300" w:lineRule="exact"/>
      <w:ind w:left="1009" w:hanging="504"/>
      <w:textAlignment w:val="baseline"/>
    </w:pPr>
    <w:rPr>
      <w:kern w:val="0"/>
      <w:sz w:val="22"/>
      <w:szCs w:val="20"/>
    </w:rPr>
  </w:style>
  <w:style w:type="paragraph" w:customStyle="1" w:styleId="2499">
    <w:name w:val="inhalt1"/>
    <w:basedOn w:val="1"/>
    <w:qFormat/>
    <w:uiPriority w:val="0"/>
    <w:pPr>
      <w:widowControl/>
      <w:spacing w:before="100" w:beforeAutospacing="1" w:after="100" w:afterAutospacing="1" w:line="240" w:lineRule="auto"/>
      <w:jc w:val="left"/>
    </w:pPr>
    <w:rPr>
      <w:rFonts w:ascii="宋体" w:hAnsi="宋体"/>
      <w:color w:val="000000"/>
      <w:kern w:val="0"/>
    </w:rPr>
  </w:style>
  <w:style w:type="paragraph" w:customStyle="1" w:styleId="2500">
    <w:name w:val="Char45"/>
    <w:basedOn w:val="1"/>
    <w:qFormat/>
    <w:uiPriority w:val="99"/>
    <w:pPr>
      <w:spacing w:line="240" w:lineRule="auto"/>
      <w:ind w:left="-48"/>
    </w:pPr>
    <w:rPr>
      <w:sz w:val="21"/>
    </w:rPr>
  </w:style>
  <w:style w:type="paragraph" w:customStyle="1" w:styleId="2501">
    <w:name w:val="AnnexTitle"/>
    <w:basedOn w:val="1"/>
    <w:next w:val="1"/>
    <w:qFormat/>
    <w:uiPriority w:val="0"/>
    <w:pPr>
      <w:widowControl/>
      <w:overflowPunct w:val="0"/>
      <w:autoSpaceDE w:val="0"/>
      <w:autoSpaceDN w:val="0"/>
      <w:spacing w:before="720" w:after="16000" w:line="264" w:lineRule="auto"/>
      <w:ind w:left="1418" w:right="1418"/>
      <w:jc w:val="left"/>
      <w:textAlignment w:val="baseline"/>
    </w:pPr>
    <w:rPr>
      <w:rFonts w:ascii="Book Antiqua" w:hAnsi="Book Antiqua"/>
      <w:kern w:val="0"/>
      <w:sz w:val="36"/>
      <w:szCs w:val="20"/>
      <w:lang w:val="en-GB"/>
    </w:rPr>
  </w:style>
  <w:style w:type="paragraph" w:customStyle="1" w:styleId="2502">
    <w:name w:val="th1"/>
    <w:basedOn w:val="1"/>
    <w:qFormat/>
    <w:uiPriority w:val="0"/>
    <w:pPr>
      <w:widowControl/>
      <w:spacing w:before="100" w:beforeAutospacing="1" w:after="100" w:afterAutospacing="1" w:line="240" w:lineRule="auto"/>
      <w:jc w:val="left"/>
    </w:pPr>
    <w:rPr>
      <w:rFonts w:ascii="宋体" w:hAnsi="宋体"/>
      <w:kern w:val="0"/>
    </w:rPr>
  </w:style>
  <w:style w:type="paragraph" w:customStyle="1" w:styleId="2503">
    <w:name w:val="edri-1).title"/>
    <w:basedOn w:val="2455"/>
    <w:qFormat/>
    <w:uiPriority w:val="0"/>
    <w:pPr>
      <w:tabs>
        <w:tab w:val="left" w:pos="1008"/>
        <w:tab w:val="left" w:pos="1785"/>
        <w:tab w:val="left" w:pos="2250"/>
      </w:tabs>
      <w:ind w:left="2250" w:hanging="420"/>
      <w:outlineLvl w:val="4"/>
    </w:pPr>
  </w:style>
  <w:style w:type="paragraph" w:customStyle="1" w:styleId="2504">
    <w:name w:val="正文格式62"/>
    <w:basedOn w:val="1"/>
    <w:qFormat/>
    <w:uiPriority w:val="99"/>
    <w:pPr>
      <w:ind w:firstLine="482"/>
    </w:pPr>
    <w:rPr>
      <w:rFonts w:ascii="宋体" w:hAnsi="宋体"/>
    </w:rPr>
  </w:style>
  <w:style w:type="paragraph" w:customStyle="1" w:styleId="2505">
    <w:name w:val="表内宋5中22"/>
    <w:basedOn w:val="1"/>
    <w:qFormat/>
    <w:uiPriority w:val="99"/>
    <w:pPr>
      <w:spacing w:line="240" w:lineRule="auto"/>
      <w:jc w:val="center"/>
      <w:textAlignment w:val="baseline"/>
    </w:pPr>
    <w:rPr>
      <w:rFonts w:ascii="宋体" w:hAnsi="宋体"/>
      <w:kern w:val="0"/>
      <w:sz w:val="21"/>
      <w:szCs w:val="20"/>
    </w:rPr>
  </w:style>
  <w:style w:type="paragraph" w:customStyle="1" w:styleId="2506">
    <w:name w:val="Char Char Char Char1 Char Char Char111"/>
    <w:basedOn w:val="1"/>
    <w:qFormat/>
    <w:uiPriority w:val="99"/>
    <w:pPr>
      <w:widowControl/>
      <w:spacing w:after="160" w:line="240" w:lineRule="exact"/>
      <w:jc w:val="left"/>
    </w:pPr>
    <w:rPr>
      <w:rFonts w:ascii="Verdana" w:hAnsi="Verdana"/>
      <w:kern w:val="0"/>
      <w:sz w:val="20"/>
      <w:szCs w:val="20"/>
      <w:lang w:eastAsia="en-US"/>
    </w:rPr>
  </w:style>
  <w:style w:type="paragraph" w:customStyle="1" w:styleId="2507">
    <w:name w:val="CM1"/>
    <w:basedOn w:val="151"/>
    <w:next w:val="151"/>
    <w:qFormat/>
    <w:uiPriority w:val="0"/>
    <w:pPr>
      <w:spacing w:line="780" w:lineRule="atLeast"/>
    </w:pPr>
    <w:rPr>
      <w:rFonts w:ascii=".." w:hAnsi="Times New Roman" w:eastAsia=".." w:cs="Times New Roman"/>
      <w:color w:val="auto"/>
    </w:rPr>
  </w:style>
  <w:style w:type="paragraph" w:customStyle="1" w:styleId="2508">
    <w:name w:val="CM23"/>
    <w:basedOn w:val="151"/>
    <w:next w:val="151"/>
    <w:qFormat/>
    <w:uiPriority w:val="0"/>
    <w:pPr>
      <w:spacing w:line="546" w:lineRule="atLeast"/>
    </w:pPr>
    <w:rPr>
      <w:rFonts w:ascii=".." w:hAnsi="Times New Roman" w:eastAsia=".." w:cs="Times New Roman"/>
      <w:color w:val="auto"/>
    </w:rPr>
  </w:style>
  <w:style w:type="paragraph" w:customStyle="1" w:styleId="2509">
    <w:name w:val="CM15"/>
    <w:basedOn w:val="151"/>
    <w:next w:val="151"/>
    <w:qFormat/>
    <w:uiPriority w:val="0"/>
    <w:pPr>
      <w:spacing w:line="548" w:lineRule="atLeast"/>
    </w:pPr>
    <w:rPr>
      <w:rFonts w:ascii=".." w:hAnsi="Times New Roman" w:eastAsia=".." w:cs="Times New Roman"/>
      <w:color w:val="auto"/>
    </w:rPr>
  </w:style>
  <w:style w:type="paragraph" w:customStyle="1" w:styleId="2510">
    <w:name w:val="CM18"/>
    <w:basedOn w:val="151"/>
    <w:next w:val="151"/>
    <w:qFormat/>
    <w:uiPriority w:val="0"/>
    <w:pPr>
      <w:spacing w:line="546" w:lineRule="atLeast"/>
    </w:pPr>
    <w:rPr>
      <w:rFonts w:ascii=".." w:hAnsi="Times New Roman" w:eastAsia=".." w:cs="Times New Roman"/>
      <w:color w:val="auto"/>
    </w:rPr>
  </w:style>
  <w:style w:type="paragraph" w:customStyle="1" w:styleId="2511">
    <w:name w:val="正文格式221"/>
    <w:basedOn w:val="1"/>
    <w:qFormat/>
    <w:uiPriority w:val="99"/>
    <w:pPr>
      <w:ind w:firstLine="482"/>
    </w:pPr>
    <w:rPr>
      <w:rFonts w:ascii="宋体" w:hAnsi="宋体"/>
    </w:rPr>
  </w:style>
  <w:style w:type="paragraph" w:customStyle="1" w:styleId="2512">
    <w:name w:val="Char62"/>
    <w:basedOn w:val="1"/>
    <w:qFormat/>
    <w:uiPriority w:val="99"/>
    <w:pPr>
      <w:spacing w:beforeLines="50"/>
    </w:pPr>
    <w:rPr>
      <w:rFonts w:ascii="黑体" w:eastAsia="黑体"/>
      <w:sz w:val="32"/>
      <w:szCs w:val="32"/>
    </w:rPr>
  </w:style>
  <w:style w:type="paragraph" w:customStyle="1" w:styleId="2513">
    <w:name w:val="my样式"/>
    <w:basedOn w:val="1"/>
    <w:qFormat/>
    <w:uiPriority w:val="0"/>
    <w:pPr>
      <w:spacing w:beforeLines="50" w:afterLines="50"/>
      <w:ind w:firstLine="440"/>
    </w:pPr>
    <w:rPr>
      <w:sz w:val="22"/>
    </w:rPr>
  </w:style>
  <w:style w:type="paragraph" w:customStyle="1" w:styleId="2514">
    <w:name w:val="A正文2"/>
    <w:basedOn w:val="1"/>
    <w:qFormat/>
    <w:uiPriority w:val="99"/>
    <w:pPr>
      <w:widowControl/>
      <w:overflowPunct w:val="0"/>
      <w:autoSpaceDE w:val="0"/>
      <w:autoSpaceDN w:val="0"/>
      <w:ind w:firstLine="200"/>
      <w:jc w:val="left"/>
      <w:textAlignment w:val="baseline"/>
    </w:pPr>
    <w:rPr>
      <w:rFonts w:eastAsia="仿宋_GB2312"/>
      <w:kern w:val="0"/>
    </w:rPr>
  </w:style>
  <w:style w:type="paragraph" w:customStyle="1" w:styleId="2515">
    <w:name w:val="默认段落字体 Para Char Char Char Char Char11"/>
    <w:basedOn w:val="1"/>
    <w:qFormat/>
    <w:uiPriority w:val="99"/>
    <w:pPr>
      <w:spacing w:line="240" w:lineRule="auto"/>
    </w:pPr>
    <w:rPr>
      <w:sz w:val="21"/>
    </w:rPr>
  </w:style>
  <w:style w:type="paragraph" w:customStyle="1" w:styleId="2516">
    <w:name w:val="表内宋5中31"/>
    <w:basedOn w:val="1"/>
    <w:qFormat/>
    <w:uiPriority w:val="99"/>
    <w:pPr>
      <w:spacing w:line="240" w:lineRule="auto"/>
      <w:textAlignment w:val="baseline"/>
    </w:pPr>
    <w:rPr>
      <w:color w:val="000000"/>
      <w:kern w:val="0"/>
      <w:sz w:val="21"/>
      <w:szCs w:val="20"/>
    </w:rPr>
  </w:style>
  <w:style w:type="paragraph" w:customStyle="1" w:styleId="2517">
    <w:name w:val="注释2"/>
    <w:basedOn w:val="185"/>
    <w:next w:val="34"/>
    <w:qFormat/>
    <w:uiPriority w:val="99"/>
    <w:pPr>
      <w:spacing w:before="120" w:after="120" w:line="240" w:lineRule="auto"/>
      <w:ind w:firstLine="200"/>
    </w:pPr>
    <w:rPr>
      <w:sz w:val="21"/>
      <w:szCs w:val="20"/>
    </w:rPr>
  </w:style>
  <w:style w:type="paragraph" w:customStyle="1" w:styleId="2518">
    <w:name w:val="大标题"/>
    <w:qFormat/>
    <w:uiPriority w:val="0"/>
    <w:rPr>
      <w:rFonts w:ascii="Times New Roman" w:hAnsi="Times New Roman" w:eastAsia="楷体_GB2312" w:cs="Times New Roman"/>
      <w:b/>
      <w:bCs/>
      <w:kern w:val="44"/>
      <w:sz w:val="32"/>
      <w:szCs w:val="44"/>
      <w:lang w:val="en-US" w:eastAsia="zh-CN" w:bidi="ar-SA"/>
    </w:rPr>
  </w:style>
  <w:style w:type="paragraph" w:customStyle="1" w:styleId="2519">
    <w:name w:val="表内521"/>
    <w:basedOn w:val="1"/>
    <w:qFormat/>
    <w:uiPriority w:val="99"/>
    <w:pPr>
      <w:spacing w:line="300" w:lineRule="auto"/>
      <w:jc w:val="left"/>
    </w:pPr>
    <w:rPr>
      <w:rFonts w:ascii="宋体"/>
      <w:sz w:val="18"/>
      <w:szCs w:val="20"/>
    </w:rPr>
  </w:style>
  <w:style w:type="paragraph" w:customStyle="1" w:styleId="2520">
    <w:name w:val="edri-正文"/>
    <w:basedOn w:val="1"/>
    <w:qFormat/>
    <w:uiPriority w:val="0"/>
    <w:pPr>
      <w:spacing w:beforeLines="50" w:line="300" w:lineRule="auto"/>
      <w:ind w:left="899" w:leftChars="428"/>
    </w:pPr>
    <w:rPr>
      <w:snapToGrid w:val="0"/>
    </w:rPr>
  </w:style>
  <w:style w:type="paragraph" w:customStyle="1" w:styleId="2521">
    <w:name w:val="Char4 Char Char Char Char Char Char Char Char Char Char Char Char Char Char Char Char Char"/>
    <w:basedOn w:val="1"/>
    <w:qFormat/>
    <w:uiPriority w:val="0"/>
    <w:pPr>
      <w:spacing w:line="240" w:lineRule="exact"/>
      <w:ind w:firstLine="200"/>
    </w:pPr>
    <w:rPr>
      <w:sz w:val="28"/>
      <w:szCs w:val="28"/>
    </w:rPr>
  </w:style>
  <w:style w:type="paragraph" w:customStyle="1" w:styleId="2522">
    <w:name w:val="报告1"/>
    <w:basedOn w:val="251"/>
    <w:qFormat/>
    <w:uiPriority w:val="99"/>
    <w:pPr>
      <w:textAlignment w:val="baseline"/>
    </w:pPr>
    <w:rPr>
      <w:rFonts w:ascii="Times New Roman" w:hAnsi="Times New Roman"/>
      <w:kern w:val="24"/>
    </w:rPr>
  </w:style>
  <w:style w:type="paragraph" w:customStyle="1" w:styleId="2523">
    <w:name w:val="IDC A-Head (2nd Line)"/>
    <w:basedOn w:val="1"/>
    <w:next w:val="1"/>
    <w:qFormat/>
    <w:uiPriority w:val="99"/>
    <w:pPr>
      <w:widowControl/>
      <w:spacing w:line="240" w:lineRule="auto"/>
      <w:jc w:val="center"/>
    </w:pPr>
    <w:rPr>
      <w:caps/>
      <w:kern w:val="0"/>
      <w:szCs w:val="20"/>
    </w:rPr>
  </w:style>
  <w:style w:type="paragraph" w:customStyle="1" w:styleId="2524">
    <w:name w:val="Char27"/>
    <w:basedOn w:val="1"/>
    <w:qFormat/>
    <w:uiPriority w:val="99"/>
    <w:pPr>
      <w:spacing w:line="240" w:lineRule="auto"/>
      <w:ind w:left="-48"/>
    </w:pPr>
    <w:rPr>
      <w:sz w:val="21"/>
    </w:rPr>
  </w:style>
  <w:style w:type="paragraph" w:customStyle="1" w:styleId="2525">
    <w:name w:val="Bullet_Indent"/>
    <w:basedOn w:val="1"/>
    <w:qFormat/>
    <w:uiPriority w:val="0"/>
    <w:pPr>
      <w:widowControl/>
      <w:spacing w:after="240" w:line="240" w:lineRule="auto"/>
      <w:ind w:left="1440" w:hanging="720"/>
      <w:jc w:val="left"/>
    </w:pPr>
    <w:rPr>
      <w:kern w:val="0"/>
      <w:szCs w:val="20"/>
    </w:rPr>
  </w:style>
  <w:style w:type="paragraph" w:customStyle="1" w:styleId="2526">
    <w:name w:val="表内592"/>
    <w:basedOn w:val="1"/>
    <w:qFormat/>
    <w:uiPriority w:val="99"/>
    <w:pPr>
      <w:spacing w:line="300" w:lineRule="auto"/>
      <w:jc w:val="center"/>
    </w:pPr>
    <w:rPr>
      <w:rFonts w:ascii="宋体"/>
      <w:snapToGrid w:val="0"/>
      <w:sz w:val="21"/>
      <w:szCs w:val="21"/>
    </w:rPr>
  </w:style>
  <w:style w:type="paragraph" w:customStyle="1" w:styleId="2527">
    <w:name w:val="Indent1"/>
    <w:basedOn w:val="1"/>
    <w:qFormat/>
    <w:uiPriority w:val="99"/>
    <w:pPr>
      <w:overflowPunct w:val="0"/>
      <w:autoSpaceDE w:val="0"/>
      <w:autoSpaceDN w:val="0"/>
      <w:spacing w:line="240" w:lineRule="auto"/>
      <w:ind w:left="1440" w:hanging="720"/>
      <w:jc w:val="left"/>
      <w:textAlignment w:val="baseline"/>
    </w:pPr>
    <w:rPr>
      <w:rFonts w:ascii="Arial" w:hAnsi="Arial"/>
      <w:kern w:val="0"/>
      <w:sz w:val="22"/>
      <w:szCs w:val="20"/>
    </w:rPr>
  </w:style>
  <w:style w:type="paragraph" w:customStyle="1" w:styleId="2528">
    <w:name w:val="Char Char2 Char Char Char Char35"/>
    <w:basedOn w:val="1"/>
    <w:qFormat/>
    <w:uiPriority w:val="99"/>
    <w:pPr>
      <w:spacing w:line="240" w:lineRule="auto"/>
    </w:pPr>
    <w:rPr>
      <w:sz w:val="21"/>
    </w:rPr>
  </w:style>
  <w:style w:type="paragraph" w:customStyle="1" w:styleId="2529">
    <w:name w:val="report"/>
    <w:basedOn w:val="1"/>
    <w:qFormat/>
    <w:uiPriority w:val="0"/>
    <w:pPr>
      <w:spacing w:before="60" w:after="60" w:line="300" w:lineRule="atLeast"/>
      <w:ind w:left="505"/>
      <w:textAlignment w:val="baseline"/>
    </w:pPr>
    <w:rPr>
      <w:kern w:val="0"/>
      <w:sz w:val="22"/>
      <w:szCs w:val="20"/>
    </w:rPr>
  </w:style>
  <w:style w:type="paragraph" w:customStyle="1" w:styleId="2530">
    <w:name w:val="正文缩进 2字符"/>
    <w:basedOn w:val="1"/>
    <w:qFormat/>
    <w:uiPriority w:val="0"/>
    <w:pPr>
      <w:tabs>
        <w:tab w:val="left" w:pos="2160"/>
      </w:tabs>
      <w:spacing w:before="120" w:after="120" w:line="240" w:lineRule="auto"/>
      <w:ind w:firstLine="480"/>
    </w:pPr>
    <w:rPr>
      <w:rFonts w:eastAsia="仿宋_GB2312"/>
      <w:color w:val="000000"/>
      <w:sz w:val="21"/>
      <w:szCs w:val="21"/>
    </w:rPr>
  </w:style>
  <w:style w:type="paragraph" w:customStyle="1" w:styleId="2531">
    <w:name w:val="样式 报告表正文 + 首行缩进:  2 字符 行距: 1.5 倍行距"/>
    <w:basedOn w:val="1"/>
    <w:qFormat/>
    <w:uiPriority w:val="0"/>
    <w:pPr>
      <w:ind w:left="113" w:right="113" w:firstLine="480"/>
    </w:pPr>
    <w:rPr>
      <w:rFonts w:cs="宋体"/>
      <w:kern w:val="0"/>
    </w:rPr>
  </w:style>
  <w:style w:type="paragraph" w:customStyle="1" w:styleId="2532">
    <w:name w:val="edri-title first"/>
    <w:basedOn w:val="1"/>
    <w:qFormat/>
    <w:uiPriority w:val="0"/>
    <w:pPr>
      <w:tabs>
        <w:tab w:val="left" w:pos="2"/>
        <w:tab w:val="left" w:pos="945"/>
      </w:tabs>
      <w:spacing w:beforeLines="50" w:line="300" w:lineRule="auto"/>
      <w:ind w:left="966" w:hanging="964"/>
      <w:outlineLvl w:val="0"/>
    </w:pPr>
    <w:rPr>
      <w:rFonts w:ascii="Arial Narrow" w:hAnsi="Arial Narrow"/>
      <w:b/>
      <w:bCs/>
      <w:kern w:val="0"/>
      <w:sz w:val="30"/>
      <w:szCs w:val="20"/>
    </w:rPr>
  </w:style>
  <w:style w:type="paragraph" w:customStyle="1" w:styleId="2533">
    <w:name w:val="样式 样式 题注 + 两端对齐 + 宋体"/>
    <w:basedOn w:val="1"/>
    <w:qFormat/>
    <w:uiPriority w:val="0"/>
    <w:pPr>
      <w:keepNext/>
      <w:jc w:val="center"/>
    </w:pPr>
    <w:rPr>
      <w:rFonts w:ascii="宋体" w:hAnsi="宋体"/>
      <w:snapToGrid w:val="0"/>
      <w:kern w:val="0"/>
      <w:sz w:val="28"/>
      <w:szCs w:val="20"/>
    </w:rPr>
  </w:style>
  <w:style w:type="paragraph" w:customStyle="1" w:styleId="2534">
    <w:name w:val="表文"/>
    <w:basedOn w:val="1"/>
    <w:qFormat/>
    <w:uiPriority w:val="0"/>
    <w:pPr>
      <w:spacing w:line="160" w:lineRule="atLeast"/>
      <w:jc w:val="center"/>
    </w:pPr>
    <w:rPr>
      <w:sz w:val="28"/>
      <w:szCs w:val="20"/>
    </w:rPr>
  </w:style>
  <w:style w:type="paragraph" w:customStyle="1" w:styleId="2535">
    <w:name w:val="edri-title secong"/>
    <w:basedOn w:val="1"/>
    <w:qFormat/>
    <w:uiPriority w:val="0"/>
    <w:pPr>
      <w:tabs>
        <w:tab w:val="left" w:pos="2"/>
        <w:tab w:val="left" w:pos="945"/>
      </w:tabs>
      <w:spacing w:beforeLines="50" w:line="300" w:lineRule="auto"/>
      <w:ind w:left="966" w:hanging="964"/>
      <w:outlineLvl w:val="1"/>
    </w:pPr>
    <w:rPr>
      <w:rFonts w:ascii="Arial Narrow" w:hAnsi="Arial Narrow"/>
      <w:b/>
      <w:bCs/>
      <w:kern w:val="0"/>
      <w:sz w:val="28"/>
      <w:szCs w:val="20"/>
    </w:rPr>
  </w:style>
  <w:style w:type="paragraph" w:customStyle="1" w:styleId="2536">
    <w:name w:val="edri-正文3"/>
    <w:basedOn w:val="1"/>
    <w:qFormat/>
    <w:uiPriority w:val="0"/>
    <w:pPr>
      <w:spacing w:beforeLines="50" w:line="300" w:lineRule="auto"/>
      <w:ind w:left="2205" w:leftChars="1050"/>
    </w:pPr>
    <w:rPr>
      <w:snapToGrid w:val="0"/>
    </w:rPr>
  </w:style>
  <w:style w:type="paragraph" w:customStyle="1" w:styleId="2537">
    <w:name w:val="图题111"/>
    <w:basedOn w:val="185"/>
    <w:next w:val="185"/>
    <w:qFormat/>
    <w:uiPriority w:val="99"/>
    <w:pPr>
      <w:ind w:firstLine="0"/>
      <w:jc w:val="center"/>
    </w:pPr>
    <w:rPr>
      <w:rFonts w:ascii="黑体" w:hAnsi="宋体" w:eastAsia="黑体"/>
      <w:b/>
      <w:bCs/>
    </w:rPr>
  </w:style>
  <w:style w:type="paragraph" w:customStyle="1" w:styleId="2538">
    <w:name w:val="样式 标题 1 + Times New Roman 二号 段后: 6 磅 行距: 单倍行距"/>
    <w:basedOn w:val="3"/>
    <w:qFormat/>
    <w:uiPriority w:val="0"/>
    <w:pPr>
      <w:tabs>
        <w:tab w:val="left" w:pos="425"/>
      </w:tabs>
      <w:spacing w:before="340" w:after="120" w:line="240" w:lineRule="auto"/>
      <w:ind w:left="425" w:hanging="425"/>
      <w:jc w:val="left"/>
      <w:textAlignment w:val="baseline"/>
    </w:pPr>
    <w:rPr>
      <w:bCs w:val="0"/>
      <w:sz w:val="44"/>
      <w:szCs w:val="20"/>
    </w:rPr>
  </w:style>
  <w:style w:type="paragraph" w:customStyle="1" w:styleId="2539">
    <w:name w:val="正文格式83"/>
    <w:basedOn w:val="1"/>
    <w:qFormat/>
    <w:uiPriority w:val="99"/>
    <w:pPr>
      <w:ind w:firstLine="482"/>
    </w:pPr>
    <w:rPr>
      <w:rFonts w:ascii="宋体" w:hAnsi="宋体"/>
    </w:rPr>
  </w:style>
  <w:style w:type="paragraph" w:customStyle="1" w:styleId="2540">
    <w:name w:val="图目"/>
    <w:basedOn w:val="1"/>
    <w:qFormat/>
    <w:uiPriority w:val="0"/>
    <w:pPr>
      <w:spacing w:line="360" w:lineRule="atLeast"/>
      <w:jc w:val="center"/>
      <w:textAlignment w:val="baseline"/>
    </w:pPr>
    <w:rPr>
      <w:kern w:val="0"/>
      <w:szCs w:val="20"/>
    </w:rPr>
  </w:style>
  <w:style w:type="paragraph" w:customStyle="1" w:styleId="2541">
    <w:name w:val="1.1.1-"/>
    <w:basedOn w:val="1"/>
    <w:qFormat/>
    <w:uiPriority w:val="99"/>
    <w:pPr>
      <w:tabs>
        <w:tab w:val="left" w:pos="397"/>
      </w:tabs>
      <w:wordWrap w:val="0"/>
      <w:spacing w:line="360" w:lineRule="atLeast"/>
      <w:ind w:left="397" w:firstLine="1021"/>
      <w:textAlignment w:val="baseline"/>
    </w:pPr>
    <w:rPr>
      <w:rFonts w:ascii="Arial" w:hAnsi="Arial" w:eastAsia="Gulim"/>
      <w:kern w:val="0"/>
      <w:sz w:val="20"/>
      <w:szCs w:val="20"/>
    </w:rPr>
  </w:style>
  <w:style w:type="paragraph" w:customStyle="1" w:styleId="2542">
    <w:name w:val="正文格式＝62"/>
    <w:basedOn w:val="185"/>
    <w:next w:val="185"/>
    <w:qFormat/>
    <w:uiPriority w:val="99"/>
    <w:rPr>
      <w:rFonts w:hAnsi="宋体" w:cs="Times New Roman"/>
    </w:rPr>
  </w:style>
  <w:style w:type="paragraph" w:customStyle="1" w:styleId="2543">
    <w:name w:val="1.1.1.1-"/>
    <w:basedOn w:val="1"/>
    <w:qFormat/>
    <w:uiPriority w:val="99"/>
    <w:pPr>
      <w:tabs>
        <w:tab w:val="left" w:pos="398"/>
        <w:tab w:val="left" w:pos="2268"/>
      </w:tabs>
      <w:wordWrap w:val="0"/>
      <w:spacing w:line="360" w:lineRule="atLeast"/>
      <w:ind w:left="398" w:firstLine="1587"/>
      <w:textAlignment w:val="baseline"/>
    </w:pPr>
    <w:rPr>
      <w:rFonts w:ascii="Arial" w:hAnsi="Arial" w:eastAsia="Gulim"/>
      <w:kern w:val="0"/>
      <w:sz w:val="20"/>
      <w:szCs w:val="20"/>
    </w:rPr>
  </w:style>
  <w:style w:type="paragraph" w:customStyle="1" w:styleId="2544">
    <w:name w:val="报告2"/>
    <w:basedOn w:val="251"/>
    <w:qFormat/>
    <w:uiPriority w:val="0"/>
    <w:pPr>
      <w:tabs>
        <w:tab w:val="left" w:pos="895"/>
      </w:tabs>
      <w:ind w:left="895" w:hanging="390"/>
    </w:pPr>
  </w:style>
  <w:style w:type="paragraph" w:customStyle="1" w:styleId="2545">
    <w:name w:val="已有表格"/>
    <w:basedOn w:val="1"/>
    <w:qFormat/>
    <w:uiPriority w:val="0"/>
    <w:pPr>
      <w:spacing w:before="40" w:after="40" w:line="240" w:lineRule="auto"/>
      <w:jc w:val="center"/>
      <w:textAlignment w:val="baseline"/>
    </w:pPr>
    <w:rPr>
      <w:b/>
      <w:kern w:val="0"/>
      <w:szCs w:val="20"/>
    </w:rPr>
  </w:style>
  <w:style w:type="paragraph" w:customStyle="1" w:styleId="2546">
    <w:name w:val="Normal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547">
    <w:name w:val="項目:(一)[a]1.[a](1)[a]"/>
    <w:basedOn w:val="1"/>
    <w:qFormat/>
    <w:uiPriority w:val="0"/>
    <w:pPr>
      <w:spacing w:line="320" w:lineRule="atLeast"/>
      <w:ind w:left="1038" w:firstLine="448"/>
    </w:pPr>
    <w:rPr>
      <w:rFonts w:eastAsia="MingLiU"/>
      <w:sz w:val="22"/>
      <w:szCs w:val="20"/>
      <w:lang w:eastAsia="zh-TW"/>
    </w:rPr>
  </w:style>
  <w:style w:type="paragraph" w:customStyle="1" w:styleId="2548">
    <w:name w:val="LNG－标题2"/>
    <w:basedOn w:val="1"/>
    <w:qFormat/>
    <w:uiPriority w:val="0"/>
    <w:pPr>
      <w:tabs>
        <w:tab w:val="left" w:pos="747"/>
      </w:tabs>
      <w:ind w:left="747" w:hanging="567"/>
    </w:pPr>
    <w:rPr>
      <w:b/>
      <w:kern w:val="0"/>
      <w:sz w:val="28"/>
      <w:szCs w:val="28"/>
    </w:rPr>
  </w:style>
  <w:style w:type="paragraph" w:customStyle="1" w:styleId="2549">
    <w:name w:val="項目:(一)[a]1.[a](1)[a]圈[a]A"/>
    <w:basedOn w:val="1"/>
    <w:qFormat/>
    <w:uiPriority w:val="0"/>
    <w:pPr>
      <w:spacing w:line="320" w:lineRule="atLeast"/>
      <w:ind w:left="1548" w:hanging="289"/>
    </w:pPr>
    <w:rPr>
      <w:rFonts w:eastAsia="MingLiU"/>
      <w:sz w:val="22"/>
      <w:szCs w:val="20"/>
      <w:lang w:eastAsia="zh-TW"/>
    </w:rPr>
  </w:style>
  <w:style w:type="paragraph" w:customStyle="1" w:styleId="2550">
    <w:name w:val="表、图名"/>
    <w:basedOn w:val="1"/>
    <w:qFormat/>
    <w:uiPriority w:val="99"/>
    <w:pPr>
      <w:ind w:left="-6"/>
      <w:jc w:val="center"/>
    </w:pPr>
    <w:rPr>
      <w:rFonts w:ascii="黑体" w:hAnsi="宋体" w:eastAsia="黑体"/>
      <w:kern w:val="0"/>
      <w:sz w:val="21"/>
      <w:szCs w:val="18"/>
    </w:rPr>
  </w:style>
  <w:style w:type="paragraph" w:customStyle="1" w:styleId="2551">
    <w:name w:val="表格内字体221"/>
    <w:basedOn w:val="185"/>
    <w:next w:val="185"/>
    <w:qFormat/>
    <w:uiPriority w:val="99"/>
    <w:pPr>
      <w:spacing w:line="240" w:lineRule="auto"/>
      <w:ind w:firstLine="0"/>
      <w:jc w:val="center"/>
    </w:pPr>
    <w:rPr>
      <w:rFonts w:hAnsi="宋体" w:cs="Times New Roman"/>
      <w:sz w:val="21"/>
    </w:rPr>
  </w:style>
  <w:style w:type="paragraph" w:customStyle="1" w:styleId="2552">
    <w:name w:val="表格12"/>
    <w:basedOn w:val="1"/>
    <w:qFormat/>
    <w:uiPriority w:val="99"/>
    <w:pPr>
      <w:spacing w:line="240" w:lineRule="auto"/>
      <w:jc w:val="center"/>
      <w:textAlignment w:val="baseline"/>
    </w:pPr>
    <w:rPr>
      <w:rFonts w:ascii="宋体"/>
      <w:kern w:val="0"/>
      <w:szCs w:val="20"/>
    </w:rPr>
  </w:style>
  <w:style w:type="paragraph" w:customStyle="1" w:styleId="2553">
    <w:name w:val="Char Char Char1 Char Char Char1 Char Char Char Char Char Char Char Char Char Char Char Char Char Char Char Char1"/>
    <w:basedOn w:val="1"/>
    <w:qFormat/>
    <w:uiPriority w:val="0"/>
    <w:pPr>
      <w:spacing w:line="240" w:lineRule="exact"/>
      <w:ind w:firstLine="200"/>
    </w:pPr>
    <w:rPr>
      <w:sz w:val="28"/>
      <w:szCs w:val="28"/>
    </w:rPr>
  </w:style>
  <w:style w:type="paragraph" w:customStyle="1" w:styleId="2554">
    <w:name w:val="横线"/>
    <w:basedOn w:val="21"/>
    <w:qFormat/>
    <w:uiPriority w:val="0"/>
    <w:pPr>
      <w:tabs>
        <w:tab w:val="left" w:pos="504"/>
      </w:tabs>
      <w:spacing w:line="260" w:lineRule="exact"/>
      <w:jc w:val="center"/>
    </w:pPr>
    <w:rPr>
      <w:rFonts w:ascii="宋体" w:hAnsi="宋体" w:cs="宋体"/>
      <w:snapToGrid w:val="0"/>
      <w:szCs w:val="21"/>
    </w:rPr>
  </w:style>
  <w:style w:type="paragraph" w:customStyle="1" w:styleId="2555">
    <w:name w:val="表样"/>
    <w:basedOn w:val="1"/>
    <w:qFormat/>
    <w:uiPriority w:val="0"/>
    <w:pPr>
      <w:spacing w:line="240" w:lineRule="auto"/>
      <w:jc w:val="center"/>
    </w:pPr>
    <w:rPr>
      <w:rFonts w:ascii="宋体" w:hAnsi="宋体" w:cs="Arial"/>
      <w:bCs/>
      <w:sz w:val="21"/>
      <w:szCs w:val="21"/>
    </w:rPr>
  </w:style>
  <w:style w:type="paragraph" w:customStyle="1" w:styleId="2556">
    <w:name w:val="ttxtl"/>
    <w:basedOn w:val="1"/>
    <w:qFormat/>
    <w:uiPriority w:val="0"/>
    <w:pPr>
      <w:widowControl/>
      <w:spacing w:before="100" w:beforeAutospacing="1" w:after="100" w:afterAutospacing="1" w:line="240" w:lineRule="auto"/>
      <w:jc w:val="left"/>
    </w:pPr>
    <w:rPr>
      <w:rFonts w:ascii="宋体" w:hAnsi="宋体"/>
      <w:kern w:val="0"/>
    </w:rPr>
  </w:style>
  <w:style w:type="paragraph" w:customStyle="1" w:styleId="2557">
    <w:name w:val="表文字532"/>
    <w:basedOn w:val="1"/>
    <w:qFormat/>
    <w:uiPriority w:val="99"/>
    <w:pPr>
      <w:spacing w:line="240" w:lineRule="auto"/>
      <w:jc w:val="left"/>
      <w:textAlignment w:val="baseline"/>
    </w:pPr>
    <w:rPr>
      <w:rFonts w:ascii="宋体"/>
      <w:kern w:val="0"/>
      <w:sz w:val="21"/>
      <w:szCs w:val="20"/>
    </w:rPr>
  </w:style>
  <w:style w:type="paragraph" w:customStyle="1" w:styleId="2558">
    <w:name w:val="表格内容 zhang"/>
    <w:basedOn w:val="1"/>
    <w:qFormat/>
    <w:uiPriority w:val="0"/>
    <w:pPr>
      <w:spacing w:line="480" w:lineRule="atLeast"/>
      <w:ind w:left="1202" w:firstLine="601"/>
    </w:pPr>
    <w:rPr>
      <w:rFonts w:eastAsia="DFKai-SB"/>
      <w:sz w:val="28"/>
      <w:szCs w:val="20"/>
      <w:lang w:eastAsia="zh-TW"/>
    </w:rPr>
  </w:style>
  <w:style w:type="paragraph" w:customStyle="1" w:styleId="2559">
    <w:name w:val="样式 正文缩进 + 宋体 黑色 首行缩进:  2 字符"/>
    <w:basedOn w:val="21"/>
    <w:qFormat/>
    <w:uiPriority w:val="99"/>
    <w:pPr>
      <w:spacing w:line="360" w:lineRule="auto"/>
      <w:ind w:firstLine="480"/>
      <w:jc w:val="left"/>
    </w:pPr>
    <w:rPr>
      <w:rFonts w:ascii="宋体" w:hAnsi="宋体" w:cs="宋体"/>
      <w:color w:val="FF00FF"/>
      <w:sz w:val="24"/>
      <w:szCs w:val="20"/>
    </w:rPr>
  </w:style>
  <w:style w:type="paragraph" w:customStyle="1" w:styleId="2560">
    <w:name w:val="样式 标题 2 + 段前: 0.5 行"/>
    <w:basedOn w:val="4"/>
    <w:qFormat/>
    <w:uiPriority w:val="0"/>
    <w:pPr>
      <w:keepNext w:val="0"/>
      <w:keepLines w:val="0"/>
      <w:tabs>
        <w:tab w:val="left" w:pos="540"/>
      </w:tabs>
      <w:spacing w:before="50" w:after="0"/>
      <w:ind w:left="540" w:hanging="540"/>
    </w:pPr>
    <w:rPr>
      <w:rFonts w:eastAsia="黑体"/>
      <w:b w:val="0"/>
      <w:bCs w:val="0"/>
      <w:sz w:val="24"/>
      <w:szCs w:val="20"/>
    </w:rPr>
  </w:style>
  <w:style w:type="paragraph" w:customStyle="1" w:styleId="2561">
    <w:name w:val="c2"/>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562">
    <w:name w:val="样式 标题 2 + 段前: 0.5 行3"/>
    <w:basedOn w:val="4"/>
    <w:qFormat/>
    <w:uiPriority w:val="0"/>
    <w:pPr>
      <w:keepNext w:val="0"/>
      <w:keepLines w:val="0"/>
      <w:tabs>
        <w:tab w:val="left" w:pos="540"/>
      </w:tabs>
      <w:spacing w:before="50" w:after="0"/>
      <w:ind w:left="567" w:hanging="540"/>
    </w:pPr>
    <w:rPr>
      <w:rFonts w:eastAsia="黑体"/>
      <w:b w:val="0"/>
      <w:bCs w:val="0"/>
      <w:sz w:val="24"/>
      <w:szCs w:val="20"/>
    </w:rPr>
  </w:style>
  <w:style w:type="paragraph" w:customStyle="1" w:styleId="2563">
    <w:name w:val="表格文字1"/>
    <w:basedOn w:val="1"/>
    <w:qFormat/>
    <w:uiPriority w:val="0"/>
    <w:pPr>
      <w:tabs>
        <w:tab w:val="left" w:pos="0"/>
      </w:tabs>
      <w:autoSpaceDE w:val="0"/>
      <w:autoSpaceDN w:val="0"/>
      <w:spacing w:before="60" w:line="240" w:lineRule="auto"/>
      <w:ind w:left="57" w:right="57"/>
      <w:jc w:val="center"/>
      <w:textAlignment w:val="baseline"/>
    </w:pPr>
    <w:rPr>
      <w:sz w:val="21"/>
    </w:rPr>
  </w:style>
  <w:style w:type="paragraph" w:customStyle="1" w:styleId="2564">
    <w:name w:val="样式 标题 1章标题标题1章节H1NMP Heading 1 + Arial 左 段前: 12 磅 段后: 6 ..."/>
    <w:basedOn w:val="3"/>
    <w:qFormat/>
    <w:uiPriority w:val="0"/>
    <w:pPr>
      <w:spacing w:before="240" w:after="240" w:line="240" w:lineRule="auto"/>
      <w:ind w:left="170" w:hanging="170"/>
      <w:jc w:val="left"/>
    </w:pPr>
    <w:rPr>
      <w:rFonts w:ascii="Arial" w:hAnsi="Arial"/>
      <w:bCs w:val="0"/>
      <w:spacing w:val="-12"/>
      <w:sz w:val="44"/>
      <w:szCs w:val="20"/>
    </w:rPr>
  </w:style>
  <w:style w:type="paragraph" w:customStyle="1" w:styleId="2565">
    <w:name w:val="列表标题"/>
    <w:basedOn w:val="1"/>
    <w:next w:val="1"/>
    <w:qFormat/>
    <w:uiPriority w:val="0"/>
    <w:pPr>
      <w:jc w:val="center"/>
    </w:pPr>
    <w:rPr>
      <w:szCs w:val="20"/>
    </w:rPr>
  </w:style>
  <w:style w:type="paragraph" w:customStyle="1" w:styleId="2566">
    <w:name w:val="正文4"/>
    <w:basedOn w:val="1"/>
    <w:qFormat/>
    <w:uiPriority w:val="0"/>
    <w:pPr>
      <w:autoSpaceDE w:val="0"/>
      <w:autoSpaceDN w:val="0"/>
      <w:spacing w:after="160" w:line="440" w:lineRule="exact"/>
      <w:ind w:left="567" w:hanging="567"/>
      <w:textAlignment w:val="bottom"/>
    </w:pPr>
    <w:rPr>
      <w:sz w:val="28"/>
      <w:szCs w:val="20"/>
    </w:rPr>
  </w:style>
  <w:style w:type="paragraph" w:customStyle="1" w:styleId="2567">
    <w:name w:val="正文31"/>
    <w:basedOn w:val="1473"/>
    <w:qFormat/>
    <w:uiPriority w:val="0"/>
    <w:pPr>
      <w:autoSpaceDE w:val="0"/>
      <w:autoSpaceDN w:val="0"/>
      <w:adjustRightInd/>
      <w:spacing w:after="160" w:line="440" w:lineRule="exact"/>
      <w:ind w:left="567" w:hanging="340"/>
      <w:jc w:val="both"/>
      <w:textAlignment w:val="bottom"/>
    </w:pPr>
    <w:rPr>
      <w:rFonts w:ascii="Times New Roman"/>
      <w:color w:val="000000"/>
      <w:kern w:val="2"/>
      <w:sz w:val="28"/>
    </w:rPr>
  </w:style>
  <w:style w:type="paragraph" w:customStyle="1" w:styleId="2568">
    <w:name w:val="Pa3"/>
    <w:basedOn w:val="151"/>
    <w:next w:val="151"/>
    <w:qFormat/>
    <w:uiPriority w:val="0"/>
    <w:rPr>
      <w:rFonts w:ascii="MHei-Medium" w:hAnsi="Times New Roman" w:eastAsia="MHei-Medium" w:cs="Times New Roman"/>
      <w:color w:val="auto"/>
      <w:sz w:val="20"/>
    </w:rPr>
  </w:style>
  <w:style w:type="paragraph" w:customStyle="1" w:styleId="2569">
    <w:name w:val="資料來源"/>
    <w:basedOn w:val="1"/>
    <w:qFormat/>
    <w:uiPriority w:val="0"/>
    <w:pPr>
      <w:spacing w:before="60" w:line="240" w:lineRule="auto"/>
      <w:textAlignment w:val="baseline"/>
    </w:pPr>
    <w:rPr>
      <w:rFonts w:eastAsia="華康中明體"/>
      <w:sz w:val="18"/>
      <w:szCs w:val="20"/>
      <w:lang w:eastAsia="zh-TW"/>
    </w:rPr>
  </w:style>
  <w:style w:type="paragraph" w:customStyle="1" w:styleId="2570">
    <w:name w:val="11 Char"/>
    <w:basedOn w:val="1"/>
    <w:qFormat/>
    <w:uiPriority w:val="0"/>
    <w:pPr>
      <w:spacing w:line="240" w:lineRule="auto"/>
    </w:pPr>
  </w:style>
  <w:style w:type="paragraph" w:customStyle="1" w:styleId="2571">
    <w:name w:val="ttopl"/>
    <w:basedOn w:val="1"/>
    <w:qFormat/>
    <w:uiPriority w:val="0"/>
    <w:pPr>
      <w:widowControl/>
      <w:spacing w:before="100" w:beforeAutospacing="1" w:after="100" w:afterAutospacing="1" w:line="240" w:lineRule="auto"/>
      <w:jc w:val="left"/>
    </w:pPr>
    <w:rPr>
      <w:rFonts w:ascii="宋体" w:hAnsi="宋体"/>
      <w:kern w:val="0"/>
    </w:rPr>
  </w:style>
  <w:style w:type="paragraph" w:customStyle="1" w:styleId="2572">
    <w:name w:val="表题313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2573">
    <w:name w:val="ttop"/>
    <w:basedOn w:val="1"/>
    <w:qFormat/>
    <w:uiPriority w:val="0"/>
    <w:pPr>
      <w:widowControl/>
      <w:spacing w:before="100" w:beforeAutospacing="1" w:after="100" w:afterAutospacing="1" w:line="240" w:lineRule="auto"/>
      <w:jc w:val="left"/>
    </w:pPr>
    <w:rPr>
      <w:rFonts w:ascii="宋体" w:hAnsi="宋体"/>
      <w:kern w:val="0"/>
    </w:rPr>
  </w:style>
  <w:style w:type="paragraph" w:customStyle="1" w:styleId="2574">
    <w:name w:val="ttxt"/>
    <w:basedOn w:val="1"/>
    <w:qFormat/>
    <w:uiPriority w:val="0"/>
    <w:pPr>
      <w:widowControl/>
      <w:spacing w:before="100" w:beforeAutospacing="1" w:after="100" w:afterAutospacing="1" w:line="240" w:lineRule="auto"/>
      <w:jc w:val="left"/>
    </w:pPr>
    <w:rPr>
      <w:rFonts w:ascii="宋体" w:hAnsi="宋体"/>
      <w:kern w:val="0"/>
    </w:rPr>
  </w:style>
  <w:style w:type="paragraph" w:customStyle="1" w:styleId="2575">
    <w:name w:val="表内宋512"/>
    <w:basedOn w:val="1366"/>
    <w:qFormat/>
    <w:uiPriority w:val="99"/>
    <w:pPr>
      <w:widowControl/>
      <w:autoSpaceDE w:val="0"/>
      <w:autoSpaceDN w:val="0"/>
      <w:jc w:val="left"/>
      <w:textAlignment w:val="auto"/>
    </w:pPr>
    <w:rPr>
      <w:color w:val="auto"/>
      <w:w w:val="90"/>
    </w:rPr>
  </w:style>
  <w:style w:type="paragraph" w:customStyle="1" w:styleId="2576">
    <w:name w:val="edri-制表位1"/>
    <w:basedOn w:val="2520"/>
    <w:qFormat/>
    <w:uiPriority w:val="0"/>
    <w:pPr>
      <w:tabs>
        <w:tab w:val="left" w:pos="4620"/>
      </w:tabs>
      <w:spacing w:line="240" w:lineRule="auto"/>
    </w:pPr>
  </w:style>
  <w:style w:type="paragraph" w:customStyle="1" w:styleId="2577">
    <w:name w:val="圖標題"/>
    <w:basedOn w:val="1"/>
    <w:qFormat/>
    <w:uiPriority w:val="0"/>
    <w:pPr>
      <w:topLinePunct/>
      <w:spacing w:line="384" w:lineRule="exact"/>
      <w:jc w:val="center"/>
      <w:textAlignment w:val="baseline"/>
    </w:pPr>
    <w:rPr>
      <w:rFonts w:ascii="Arial" w:hAnsi="Arial" w:eastAsia="華康粗黑體" w:cs="Arial"/>
      <w:kern w:val="20"/>
      <w:szCs w:val="20"/>
      <w:lang w:eastAsia="zh-TW"/>
    </w:rPr>
  </w:style>
  <w:style w:type="paragraph" w:customStyle="1" w:styleId="2578">
    <w:name w:val="內文-1"/>
    <w:basedOn w:val="1"/>
    <w:qFormat/>
    <w:uiPriority w:val="0"/>
    <w:pPr>
      <w:topLinePunct/>
      <w:spacing w:line="384" w:lineRule="exact"/>
      <w:ind w:firstLine="482"/>
      <w:textAlignment w:val="baseline"/>
    </w:pPr>
    <w:rPr>
      <w:rFonts w:eastAsia="華康中明體"/>
      <w:kern w:val="20"/>
      <w:szCs w:val="20"/>
      <w:lang w:eastAsia="zh-TW"/>
    </w:rPr>
  </w:style>
  <w:style w:type="paragraph" w:customStyle="1" w:styleId="2579">
    <w:name w:val="edri-7 title"/>
    <w:basedOn w:val="2536"/>
    <w:qFormat/>
    <w:uiPriority w:val="0"/>
    <w:pPr>
      <w:tabs>
        <w:tab w:val="left" w:pos="425"/>
      </w:tabs>
      <w:ind w:left="425" w:leftChars="0" w:hanging="425"/>
    </w:pPr>
  </w:style>
  <w:style w:type="paragraph" w:customStyle="1" w:styleId="2580">
    <w:name w:val="默认段落字体 Para Char Char Char Char52"/>
    <w:basedOn w:val="1"/>
    <w:qFormat/>
    <w:uiPriority w:val="99"/>
    <w:pPr>
      <w:spacing w:line="240" w:lineRule="auto"/>
    </w:pPr>
    <w:rPr>
      <w:sz w:val="21"/>
    </w:rPr>
  </w:style>
  <w:style w:type="paragraph" w:customStyle="1" w:styleId="2581">
    <w:name w:val="样式 标题 1 + 段后: 6 磅"/>
    <w:basedOn w:val="3"/>
    <w:qFormat/>
    <w:uiPriority w:val="0"/>
    <w:pPr>
      <w:tabs>
        <w:tab w:val="left" w:pos="360"/>
      </w:tabs>
      <w:spacing w:before="340" w:after="120" w:line="240" w:lineRule="auto"/>
      <w:ind w:left="170" w:hanging="170"/>
      <w:jc w:val="left"/>
    </w:pPr>
    <w:rPr>
      <w:bCs w:val="0"/>
      <w:sz w:val="84"/>
      <w:szCs w:val="20"/>
    </w:rPr>
  </w:style>
  <w:style w:type="paragraph" w:customStyle="1" w:styleId="2582">
    <w:name w:val="表题3111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2583">
    <w:name w:val="Char102"/>
    <w:basedOn w:val="1"/>
    <w:qFormat/>
    <w:uiPriority w:val="99"/>
    <w:rPr>
      <w:sz w:val="21"/>
    </w:rPr>
  </w:style>
  <w:style w:type="paragraph" w:customStyle="1" w:styleId="2584">
    <w:name w:val="样式 标题 2第一层条H2h2 + 左侧:  0 厘米 首行缩进:  0 厘米"/>
    <w:basedOn w:val="4"/>
    <w:qFormat/>
    <w:uiPriority w:val="0"/>
    <w:pPr>
      <w:tabs>
        <w:tab w:val="left" w:pos="737"/>
      </w:tabs>
      <w:spacing w:line="240" w:lineRule="auto"/>
      <w:ind w:left="737" w:hanging="737"/>
      <w:jc w:val="left"/>
      <w:textAlignment w:val="baseline"/>
    </w:pPr>
    <w:rPr>
      <w:rFonts w:ascii="Arial" w:hAnsi="Arial" w:eastAsia="黑体"/>
      <w:kern w:val="32"/>
      <w:sz w:val="32"/>
      <w:szCs w:val="20"/>
    </w:rPr>
  </w:style>
  <w:style w:type="paragraph" w:customStyle="1" w:styleId="2585">
    <w:name w:val="CoverClientName"/>
    <w:basedOn w:val="1"/>
    <w:next w:val="1"/>
    <w:qFormat/>
    <w:uiPriority w:val="0"/>
    <w:pPr>
      <w:widowControl/>
      <w:overflowPunct w:val="0"/>
      <w:autoSpaceDE w:val="0"/>
      <w:autoSpaceDN w:val="0"/>
      <w:spacing w:after="480" w:line="264" w:lineRule="auto"/>
      <w:jc w:val="left"/>
      <w:textAlignment w:val="baseline"/>
    </w:pPr>
    <w:rPr>
      <w:rFonts w:ascii="Book Antiqua" w:hAnsi="Book Antiqua"/>
      <w:kern w:val="0"/>
      <w:sz w:val="22"/>
      <w:szCs w:val="20"/>
      <w:lang w:val="en-GB"/>
    </w:rPr>
  </w:style>
  <w:style w:type="paragraph" w:customStyle="1" w:styleId="2586">
    <w:name w:val="样式 样式 标题 4第三层条PIM 4h4标题 4 Char + 右侧:  1 字符 + 左侧:  1.87 厘米"/>
    <w:basedOn w:val="1"/>
    <w:qFormat/>
    <w:uiPriority w:val="0"/>
    <w:pPr>
      <w:tabs>
        <w:tab w:val="left" w:pos="851"/>
      </w:tabs>
      <w:spacing w:line="240" w:lineRule="auto"/>
      <w:ind w:left="851" w:hanging="851"/>
    </w:pPr>
    <w:rPr>
      <w:sz w:val="21"/>
    </w:rPr>
  </w:style>
  <w:style w:type="paragraph" w:customStyle="1" w:styleId="2587">
    <w:name w:val="正文修改42"/>
    <w:basedOn w:val="900"/>
    <w:qFormat/>
    <w:uiPriority w:val="99"/>
    <w:pPr>
      <w:spacing w:line="480" w:lineRule="exact"/>
      <w:ind w:firstLine="0" w:firstLineChars="0"/>
    </w:pPr>
    <w:rPr>
      <w:rFonts w:cs="宋体"/>
      <w:sz w:val="24"/>
      <w:szCs w:val="24"/>
    </w:rPr>
  </w:style>
  <w:style w:type="paragraph" w:customStyle="1" w:styleId="2588">
    <w:name w:val="样式 标题 2节标题标题21.1H2h2第一层条4.1二级标题标题 lxb2二级标题 Char表标题单位..."/>
    <w:basedOn w:val="1"/>
    <w:qFormat/>
    <w:uiPriority w:val="0"/>
    <w:pPr>
      <w:tabs>
        <w:tab w:val="left" w:pos="737"/>
      </w:tabs>
      <w:spacing w:line="240" w:lineRule="auto"/>
      <w:ind w:left="737" w:hanging="737"/>
    </w:pPr>
    <w:rPr>
      <w:sz w:val="21"/>
    </w:rPr>
  </w:style>
  <w:style w:type="paragraph" w:customStyle="1" w:styleId="2589">
    <w:name w:val="小标题(1)"/>
    <w:basedOn w:val="34"/>
    <w:qFormat/>
    <w:uiPriority w:val="0"/>
    <w:pPr>
      <w:spacing w:before="60" w:after="60" w:line="264" w:lineRule="auto"/>
      <w:ind w:firstLine="240" w:firstLineChars="100"/>
      <w:textAlignment w:val="baseline"/>
    </w:pPr>
    <w:rPr>
      <w:rFonts w:ascii="Calibri" w:hAnsi="Calibri" w:eastAsia="仿宋_GB2312"/>
      <w:snapToGrid w:val="0"/>
      <w:kern w:val="0"/>
    </w:rPr>
  </w:style>
  <w:style w:type="paragraph" w:customStyle="1" w:styleId="2590">
    <w:name w:val="标题413"/>
    <w:basedOn w:val="6"/>
    <w:next w:val="1"/>
    <w:qFormat/>
    <w:uiPriority w:val="99"/>
    <w:pPr>
      <w:spacing w:before="160" w:after="170" w:line="360" w:lineRule="auto"/>
    </w:pPr>
    <w:rPr>
      <w:rFonts w:ascii="黑体" w:hAnsi="Arial" w:eastAsia="黑体"/>
      <w:kern w:val="0"/>
      <w:lang w:val="zh-CN"/>
    </w:rPr>
  </w:style>
  <w:style w:type="paragraph" w:customStyle="1" w:styleId="2591">
    <w:name w:val="小标题@"/>
    <w:basedOn w:val="1"/>
    <w:qFormat/>
    <w:uiPriority w:val="0"/>
    <w:pPr>
      <w:spacing w:before="60" w:after="60" w:line="240" w:lineRule="auto"/>
      <w:textAlignment w:val="baseline"/>
    </w:pPr>
    <w:rPr>
      <w:szCs w:val="20"/>
    </w:rPr>
  </w:style>
  <w:style w:type="paragraph" w:customStyle="1" w:styleId="2592">
    <w:name w:val="样式 正文文字 +"/>
    <w:basedOn w:val="1"/>
    <w:qFormat/>
    <w:uiPriority w:val="0"/>
    <w:pPr>
      <w:spacing w:before="60" w:after="60" w:line="264" w:lineRule="auto"/>
      <w:ind w:firstLine="110" w:firstLineChars="110"/>
      <w:textAlignment w:val="baseline"/>
    </w:pPr>
    <w:rPr>
      <w:rFonts w:eastAsia="仿宋_GB2312"/>
      <w:snapToGrid w:val="0"/>
      <w:kern w:val="0"/>
    </w:rPr>
  </w:style>
  <w:style w:type="paragraph" w:customStyle="1" w:styleId="2593">
    <w:name w:val="图表"/>
    <w:basedOn w:val="34"/>
    <w:next w:val="34"/>
    <w:qFormat/>
    <w:uiPriority w:val="0"/>
    <w:pPr>
      <w:tabs>
        <w:tab w:val="left" w:pos="360"/>
      </w:tabs>
      <w:spacing w:before="60" w:after="60" w:line="264" w:lineRule="auto"/>
      <w:textAlignment w:val="baseline"/>
    </w:pPr>
    <w:rPr>
      <w:rFonts w:ascii="Calibri" w:hAnsi="Calibri" w:eastAsia="仿宋_GB2312"/>
      <w:snapToGrid w:val="0"/>
      <w:kern w:val="0"/>
    </w:rPr>
  </w:style>
  <w:style w:type="paragraph" w:customStyle="1" w:styleId="2594">
    <w:name w:val="样式 正文文本 + 红色 Char"/>
    <w:basedOn w:val="34"/>
    <w:qFormat/>
    <w:uiPriority w:val="0"/>
    <w:pPr>
      <w:spacing w:before="60" w:after="60" w:line="264" w:lineRule="auto"/>
      <w:ind w:firstLine="200"/>
      <w:textAlignment w:val="baseline"/>
    </w:pPr>
    <w:rPr>
      <w:rFonts w:ascii="Calibri" w:hAnsi="Calibri" w:eastAsia="仿宋_GB2312"/>
      <w:snapToGrid w:val="0"/>
      <w:color w:val="FF0000"/>
      <w:kern w:val="0"/>
    </w:rPr>
  </w:style>
  <w:style w:type="paragraph" w:customStyle="1" w:styleId="2595">
    <w:name w:val="Char37"/>
    <w:basedOn w:val="1"/>
    <w:qFormat/>
    <w:uiPriority w:val="99"/>
    <w:pPr>
      <w:spacing w:line="240" w:lineRule="auto"/>
      <w:ind w:left="-48"/>
    </w:pPr>
    <w:rPr>
      <w:sz w:val="21"/>
    </w:rPr>
  </w:style>
  <w:style w:type="paragraph" w:customStyle="1" w:styleId="2596">
    <w:name w:val="Char Char2 Char Char Char Char7"/>
    <w:basedOn w:val="1"/>
    <w:qFormat/>
    <w:uiPriority w:val="99"/>
    <w:pPr>
      <w:spacing w:line="240" w:lineRule="auto"/>
    </w:pPr>
    <w:rPr>
      <w:sz w:val="21"/>
    </w:rPr>
  </w:style>
  <w:style w:type="paragraph" w:customStyle="1" w:styleId="2597">
    <w:name w:val="Char4 Char Char Char Char Char Char Char Char Char Char Char Char Char Char Char"/>
    <w:basedOn w:val="1"/>
    <w:qFormat/>
    <w:uiPriority w:val="0"/>
    <w:pPr>
      <w:spacing w:line="240" w:lineRule="exact"/>
      <w:ind w:firstLine="200"/>
    </w:pPr>
    <w:rPr>
      <w:sz w:val="28"/>
      <w:szCs w:val="28"/>
    </w:rPr>
  </w:style>
  <w:style w:type="paragraph" w:customStyle="1" w:styleId="2598">
    <w:name w:val="编号"/>
    <w:basedOn w:val="1"/>
    <w:qFormat/>
    <w:uiPriority w:val="0"/>
    <w:pPr>
      <w:tabs>
        <w:tab w:val="left" w:pos="360"/>
      </w:tabs>
      <w:spacing w:line="240" w:lineRule="auto"/>
      <w:ind w:left="170" w:hanging="170"/>
      <w:textAlignment w:val="baseline"/>
    </w:pPr>
    <w:rPr>
      <w:rFonts w:ascii="Courier New" w:hAnsi="Courier New"/>
      <w:kern w:val="0"/>
      <w:szCs w:val="20"/>
    </w:rPr>
  </w:style>
  <w:style w:type="paragraph" w:customStyle="1" w:styleId="2599">
    <w:name w:val="Char114"/>
    <w:basedOn w:val="1"/>
    <w:qFormat/>
    <w:uiPriority w:val="99"/>
    <w:pPr>
      <w:spacing w:line="240" w:lineRule="auto"/>
      <w:ind w:left="-48"/>
    </w:pPr>
    <w:rPr>
      <w:sz w:val="21"/>
    </w:rPr>
  </w:style>
  <w:style w:type="paragraph" w:customStyle="1" w:styleId="2600">
    <w:name w:val="Char46"/>
    <w:basedOn w:val="1"/>
    <w:qFormat/>
    <w:uiPriority w:val="99"/>
    <w:pPr>
      <w:spacing w:line="240" w:lineRule="auto"/>
      <w:ind w:left="-48"/>
    </w:pPr>
    <w:rPr>
      <w:sz w:val="21"/>
    </w:rPr>
  </w:style>
  <w:style w:type="paragraph" w:customStyle="1" w:styleId="2601">
    <w:name w:val="Char72"/>
    <w:basedOn w:val="1"/>
    <w:qFormat/>
    <w:uiPriority w:val="99"/>
    <w:pPr>
      <w:spacing w:line="240" w:lineRule="auto"/>
      <w:ind w:left="-48"/>
    </w:pPr>
    <w:rPr>
      <w:sz w:val="21"/>
    </w:rPr>
  </w:style>
  <w:style w:type="paragraph" w:customStyle="1" w:styleId="2602">
    <w:name w:val="附件"/>
    <w:basedOn w:val="3"/>
    <w:next w:val="185"/>
    <w:qFormat/>
    <w:uiPriority w:val="99"/>
    <w:pPr>
      <w:tabs>
        <w:tab w:val="left" w:pos="1566"/>
      </w:tabs>
      <w:spacing w:after="210"/>
      <w:jc w:val="left"/>
    </w:pPr>
    <w:rPr>
      <w:rFonts w:ascii="黑体" w:hAnsi="宋体" w:eastAsia="黑体"/>
      <w:bCs w:val="0"/>
      <w:sz w:val="32"/>
      <w:szCs w:val="32"/>
    </w:rPr>
  </w:style>
  <w:style w:type="paragraph" w:customStyle="1" w:styleId="2603">
    <w:name w:val="Graphics Text"/>
    <w:basedOn w:val="1"/>
    <w:qFormat/>
    <w:uiPriority w:val="0"/>
    <w:pPr>
      <w:widowControl/>
      <w:overflowPunct w:val="0"/>
      <w:autoSpaceDE w:val="0"/>
      <w:autoSpaceDN w:val="0"/>
      <w:spacing w:line="264" w:lineRule="auto"/>
      <w:jc w:val="left"/>
      <w:textAlignment w:val="baseline"/>
    </w:pPr>
    <w:rPr>
      <w:rFonts w:ascii="Arial Narrow" w:hAnsi="Arial Narrow"/>
      <w:kern w:val="0"/>
      <w:sz w:val="18"/>
      <w:szCs w:val="20"/>
      <w:lang w:val="en-GB"/>
    </w:rPr>
  </w:style>
  <w:style w:type="paragraph" w:customStyle="1" w:styleId="2604">
    <w:name w:val="CDM B/TEXT"/>
    <w:basedOn w:val="1"/>
    <w:qFormat/>
    <w:uiPriority w:val="0"/>
    <w:pPr>
      <w:widowControl/>
      <w:spacing w:after="240" w:line="280" w:lineRule="exact"/>
      <w:jc w:val="left"/>
    </w:pPr>
    <w:rPr>
      <w:rFonts w:ascii="Book Antiqua" w:hAnsi="Book Antiqua" w:eastAsia="Times New Roman"/>
      <w:kern w:val="0"/>
      <w:sz w:val="22"/>
      <w:szCs w:val="20"/>
      <w:lang w:eastAsia="en-US"/>
    </w:rPr>
  </w:style>
  <w:style w:type="paragraph" w:customStyle="1" w:styleId="2605">
    <w:name w:val="內文 (Web)1"/>
    <w:basedOn w:val="151"/>
    <w:next w:val="151"/>
    <w:qFormat/>
    <w:uiPriority w:val="0"/>
    <w:pPr>
      <w:spacing w:before="100" w:after="100"/>
    </w:pPr>
    <w:rPr>
      <w:rFonts w:ascii="PMingLiU" w:hAnsi="Times New Roman" w:eastAsia="PMingLiU" w:cs="Times New Roman"/>
      <w:color w:val="auto"/>
    </w:rPr>
  </w:style>
  <w:style w:type="paragraph" w:customStyle="1" w:styleId="2606">
    <w:name w:val="样式 标题 3小标题小节标题H3h33rd level第二层条标题4标题 3 Char标题 3 Char Ch..."/>
    <w:basedOn w:val="5"/>
    <w:qFormat/>
    <w:uiPriority w:val="0"/>
    <w:pPr>
      <w:tabs>
        <w:tab w:val="left" w:pos="851"/>
      </w:tabs>
      <w:spacing w:after="60"/>
      <w:ind w:left="851" w:hanging="851"/>
      <w:jc w:val="left"/>
      <w:textAlignment w:val="baseline"/>
    </w:pPr>
    <w:rPr>
      <w:rFonts w:ascii="Arial" w:hAnsi="Arial"/>
      <w:color w:val="000000"/>
      <w:kern w:val="32"/>
      <w:sz w:val="32"/>
      <w:szCs w:val="28"/>
    </w:rPr>
  </w:style>
  <w:style w:type="paragraph" w:customStyle="1" w:styleId="2607">
    <w:name w:val="Char Char Char Char Char Char Char1111"/>
    <w:basedOn w:val="1"/>
    <w:qFormat/>
    <w:uiPriority w:val="99"/>
    <w:pPr>
      <w:spacing w:line="240" w:lineRule="auto"/>
    </w:pPr>
    <w:rPr>
      <w:sz w:val="21"/>
    </w:rPr>
  </w:style>
  <w:style w:type="paragraph" w:customStyle="1" w:styleId="2608">
    <w:name w:val="默认段落字体 Para Char42"/>
    <w:basedOn w:val="1"/>
    <w:next w:val="1"/>
    <w:qFormat/>
    <w:uiPriority w:val="99"/>
    <w:pPr>
      <w:spacing w:line="480" w:lineRule="exact"/>
      <w:ind w:firstLine="200"/>
      <w:jc w:val="left"/>
    </w:pPr>
    <w:rPr>
      <w:rFonts w:ascii="宋体" w:hAnsi="宋体" w:eastAsia="汉鼎简书宋" w:cs="宋体"/>
      <w:sz w:val="28"/>
    </w:rPr>
  </w:style>
  <w:style w:type="paragraph" w:customStyle="1" w:styleId="2609">
    <w:name w:val="Char82"/>
    <w:basedOn w:val="1"/>
    <w:qFormat/>
    <w:uiPriority w:val="99"/>
    <w:pPr>
      <w:spacing w:line="240" w:lineRule="auto"/>
      <w:ind w:left="-48"/>
    </w:pPr>
    <w:rPr>
      <w:sz w:val="21"/>
    </w:rPr>
  </w:style>
  <w:style w:type="paragraph" w:customStyle="1" w:styleId="2610">
    <w:name w:val="样式 标题 3 + 黑色 Char Char Char"/>
    <w:basedOn w:val="5"/>
    <w:qFormat/>
    <w:uiPriority w:val="0"/>
    <w:pPr>
      <w:keepNext w:val="0"/>
      <w:keepLines w:val="0"/>
      <w:tabs>
        <w:tab w:val="left" w:pos="1260"/>
      </w:tabs>
      <w:spacing w:before="0" w:after="0"/>
      <w:ind w:left="567" w:hanging="420"/>
    </w:pPr>
    <w:rPr>
      <w:b w:val="0"/>
      <w:bCs w:val="0"/>
      <w:color w:val="000000"/>
      <w:szCs w:val="28"/>
    </w:rPr>
  </w:style>
  <w:style w:type="paragraph" w:customStyle="1" w:styleId="2611">
    <w:name w:val="样式 标题 3 + 左侧:  0 厘米 首行缩进:  0 厘米"/>
    <w:basedOn w:val="5"/>
    <w:qFormat/>
    <w:uiPriority w:val="99"/>
    <w:pPr>
      <w:tabs>
        <w:tab w:val="left" w:pos="709"/>
        <w:tab w:val="left" w:pos="851"/>
      </w:tabs>
      <w:spacing w:after="60"/>
      <w:ind w:left="709" w:hanging="709"/>
      <w:jc w:val="left"/>
      <w:textAlignment w:val="baseline"/>
    </w:pPr>
    <w:rPr>
      <w:rFonts w:cs="宋体"/>
      <w:color w:val="000000"/>
      <w:kern w:val="32"/>
      <w:sz w:val="32"/>
      <w:szCs w:val="28"/>
    </w:rPr>
  </w:style>
  <w:style w:type="paragraph" w:customStyle="1" w:styleId="2612">
    <w:name w:val="表内文字边11"/>
    <w:basedOn w:val="1"/>
    <w:qFormat/>
    <w:uiPriority w:val="99"/>
    <w:pPr>
      <w:widowControl/>
      <w:spacing w:line="240" w:lineRule="atLeast"/>
      <w:ind w:left="-21" w:leftChars="-10" w:right="-42" w:rightChars="-20"/>
    </w:pPr>
    <w:rPr>
      <w:rFonts w:ascii="宋体"/>
      <w:kern w:val="0"/>
      <w:sz w:val="21"/>
      <w:szCs w:val="21"/>
    </w:rPr>
  </w:style>
  <w:style w:type="paragraph" w:customStyle="1" w:styleId="2613">
    <w:name w:val="xl632"/>
    <w:basedOn w:val="1"/>
    <w:qFormat/>
    <w:uiPriority w:val="99"/>
    <w:pPr>
      <w:widowControl/>
      <w:spacing w:before="100" w:beforeAutospacing="1" w:after="100" w:afterAutospacing="1" w:line="240" w:lineRule="auto"/>
      <w:jc w:val="center"/>
      <w:textAlignment w:val="center"/>
    </w:pPr>
    <w:rPr>
      <w:rFonts w:hint="eastAsia" w:ascii="黑体" w:hAnsi="宋体" w:eastAsia="黑体"/>
      <w:kern w:val="0"/>
    </w:rPr>
  </w:style>
  <w:style w:type="paragraph" w:customStyle="1" w:styleId="2614">
    <w:name w:val="Char Char Char Char Char Char Char Char Char1 Char Char Char Char1"/>
    <w:basedOn w:val="1"/>
    <w:qFormat/>
    <w:uiPriority w:val="0"/>
    <w:pPr>
      <w:spacing w:line="400" w:lineRule="exact"/>
    </w:pPr>
    <w:rPr>
      <w:sz w:val="21"/>
      <w:szCs w:val="21"/>
    </w:rPr>
  </w:style>
  <w:style w:type="paragraph" w:customStyle="1" w:styleId="2615">
    <w:name w:val="acee正文"/>
    <w:basedOn w:val="1"/>
    <w:qFormat/>
    <w:uiPriority w:val="0"/>
    <w:pPr>
      <w:spacing w:line="480" w:lineRule="exact"/>
      <w:ind w:firstLine="640"/>
    </w:pPr>
    <w:rPr>
      <w:rFonts w:ascii="仿宋_GB2312" w:hAnsi="宋体" w:eastAsia="仿宋_GB2312"/>
      <w:sz w:val="32"/>
    </w:rPr>
  </w:style>
  <w:style w:type="paragraph" w:customStyle="1" w:styleId="2616">
    <w:name w:val="Char Char1 Char Char Char1 Char Char Char Char Char Char Char Char Char Char Char Char"/>
    <w:basedOn w:val="1"/>
    <w:qFormat/>
    <w:uiPriority w:val="0"/>
    <w:pPr>
      <w:spacing w:line="240" w:lineRule="auto"/>
    </w:pPr>
  </w:style>
  <w:style w:type="paragraph" w:customStyle="1" w:styleId="2617">
    <w:name w:val="proposal"/>
    <w:basedOn w:val="1"/>
    <w:qFormat/>
    <w:uiPriority w:val="0"/>
    <w:pPr>
      <w:widowControl/>
      <w:autoSpaceDE w:val="0"/>
      <w:autoSpaceDN w:val="0"/>
      <w:spacing w:line="300" w:lineRule="auto"/>
      <w:ind w:left="1440" w:hanging="1440"/>
    </w:pPr>
    <w:rPr>
      <w:kern w:val="0"/>
      <w:lang w:val="en-GB" w:eastAsia="en-GB"/>
    </w:rPr>
  </w:style>
  <w:style w:type="paragraph" w:customStyle="1" w:styleId="2618">
    <w:name w:val="表内文字小13"/>
    <w:basedOn w:val="1"/>
    <w:qFormat/>
    <w:uiPriority w:val="99"/>
    <w:pPr>
      <w:spacing w:line="240" w:lineRule="auto"/>
      <w:jc w:val="center"/>
    </w:pPr>
    <w:rPr>
      <w:rFonts w:ascii="宋体" w:hAnsi="Times"/>
      <w:sz w:val="21"/>
      <w:szCs w:val="20"/>
    </w:rPr>
  </w:style>
  <w:style w:type="paragraph" w:customStyle="1" w:styleId="2619">
    <w:name w:val="Char Char Char1 Char Char Char1 Char Char Char Char Char Char Char Char Char Char Char Char Char Char Char Char"/>
    <w:basedOn w:val="1"/>
    <w:qFormat/>
    <w:uiPriority w:val="0"/>
    <w:pPr>
      <w:spacing w:line="240" w:lineRule="exact"/>
      <w:ind w:firstLine="200"/>
    </w:pPr>
    <w:rPr>
      <w:sz w:val="28"/>
      <w:szCs w:val="28"/>
    </w:rPr>
  </w:style>
  <w:style w:type="paragraph" w:customStyle="1" w:styleId="2620">
    <w:name w:val="图题62"/>
    <w:basedOn w:val="185"/>
    <w:next w:val="185"/>
    <w:qFormat/>
    <w:uiPriority w:val="99"/>
    <w:pPr>
      <w:ind w:firstLine="0"/>
      <w:jc w:val="center"/>
    </w:pPr>
    <w:rPr>
      <w:rFonts w:ascii="黑体" w:hAnsi="宋体" w:eastAsia="黑体"/>
      <w:b/>
      <w:bCs/>
      <w:kern w:val="0"/>
    </w:rPr>
  </w:style>
  <w:style w:type="paragraph" w:customStyle="1" w:styleId="2621">
    <w:name w:val="表格内字体112"/>
    <w:basedOn w:val="185"/>
    <w:qFormat/>
    <w:uiPriority w:val="99"/>
    <w:pPr>
      <w:spacing w:line="240" w:lineRule="auto"/>
      <w:ind w:firstLine="0"/>
      <w:jc w:val="center"/>
    </w:pPr>
    <w:rPr>
      <w:sz w:val="21"/>
      <w:szCs w:val="20"/>
    </w:rPr>
  </w:style>
  <w:style w:type="paragraph" w:customStyle="1" w:styleId="2622">
    <w:name w:val="图表题2"/>
    <w:basedOn w:val="185"/>
    <w:next w:val="185"/>
    <w:qFormat/>
    <w:uiPriority w:val="99"/>
    <w:pPr>
      <w:ind w:firstLine="0"/>
      <w:jc w:val="center"/>
    </w:pPr>
    <w:rPr>
      <w:rFonts w:ascii="黑体" w:hAnsi="宋体" w:eastAsia="黑体"/>
      <w:b/>
      <w:bCs/>
    </w:rPr>
  </w:style>
  <w:style w:type="paragraph" w:customStyle="1" w:styleId="2623">
    <w:name w:val="表格内容3"/>
    <w:qFormat/>
    <w:uiPriority w:val="99"/>
    <w:pPr>
      <w:jc w:val="center"/>
    </w:pPr>
    <w:rPr>
      <w:rFonts w:ascii="Times New Roman" w:hAnsi="Times New Roman" w:eastAsia="宋体" w:cs="Times New Roman"/>
      <w:kern w:val="2"/>
      <w:sz w:val="21"/>
      <w:szCs w:val="21"/>
      <w:lang w:val="en-US" w:eastAsia="zh-CN" w:bidi="ar-SA"/>
    </w:rPr>
  </w:style>
  <w:style w:type="paragraph" w:customStyle="1" w:styleId="2624">
    <w:name w:val="文字"/>
    <w:basedOn w:val="1"/>
    <w:qFormat/>
    <w:uiPriority w:val="0"/>
    <w:pPr>
      <w:widowControl/>
      <w:spacing w:afterLines="50"/>
      <w:ind w:firstLine="420"/>
    </w:pPr>
    <w:rPr>
      <w:kern w:val="0"/>
    </w:rPr>
  </w:style>
  <w:style w:type="paragraph" w:customStyle="1" w:styleId="2625">
    <w:name w:val="Char4 Char Char Char Char Char Char Char Char Char Char Char Char Char Char Char Char Char1 Char Char Char Char Char Char"/>
    <w:basedOn w:val="1"/>
    <w:qFormat/>
    <w:uiPriority w:val="0"/>
    <w:pPr>
      <w:spacing w:line="240" w:lineRule="exact"/>
      <w:ind w:firstLine="200"/>
    </w:pPr>
    <w:rPr>
      <w:sz w:val="28"/>
      <w:szCs w:val="28"/>
    </w:rPr>
  </w:style>
  <w:style w:type="paragraph" w:customStyle="1" w:styleId="2626">
    <w:name w:val="燕山正文23"/>
    <w:basedOn w:val="1"/>
    <w:qFormat/>
    <w:uiPriority w:val="99"/>
    <w:pPr>
      <w:tabs>
        <w:tab w:val="left" w:pos="4680"/>
      </w:tabs>
      <w:spacing w:line="480" w:lineRule="exact"/>
    </w:pPr>
    <w:rPr>
      <w:rFonts w:ascii="宋体" w:cs="宋体"/>
    </w:rPr>
  </w:style>
  <w:style w:type="paragraph" w:customStyle="1" w:styleId="2627">
    <w:name w:val="Char61"/>
    <w:basedOn w:val="1"/>
    <w:qFormat/>
    <w:uiPriority w:val="99"/>
    <w:pPr>
      <w:spacing w:beforeLines="50"/>
    </w:pPr>
    <w:rPr>
      <w:rFonts w:ascii="黑体" w:eastAsia="黑体"/>
      <w:sz w:val="32"/>
      <w:szCs w:val="32"/>
    </w:rPr>
  </w:style>
  <w:style w:type="paragraph" w:customStyle="1" w:styleId="2628">
    <w:name w:val="正文格式 Char Char"/>
    <w:basedOn w:val="1"/>
    <w:qFormat/>
    <w:uiPriority w:val="0"/>
    <w:pPr>
      <w:ind w:firstLine="482"/>
    </w:pPr>
    <w:rPr>
      <w:rFonts w:ascii="宋体" w:cs="宋体"/>
    </w:rPr>
  </w:style>
  <w:style w:type="paragraph" w:customStyle="1" w:styleId="2629">
    <w:name w:val="表内54121"/>
    <w:basedOn w:val="1"/>
    <w:qFormat/>
    <w:uiPriority w:val="99"/>
    <w:pPr>
      <w:spacing w:line="300" w:lineRule="auto"/>
      <w:jc w:val="center"/>
    </w:pPr>
    <w:rPr>
      <w:rFonts w:ascii="宋体" w:hAnsi="宋体" w:cs="宋体"/>
      <w:sz w:val="21"/>
      <w:szCs w:val="20"/>
    </w:rPr>
  </w:style>
  <w:style w:type="paragraph" w:customStyle="1" w:styleId="2630">
    <w:name w:val="Char Char2 Char Char Char Char24"/>
    <w:basedOn w:val="1"/>
    <w:qFormat/>
    <w:uiPriority w:val="99"/>
    <w:pPr>
      <w:spacing w:line="240" w:lineRule="auto"/>
    </w:pPr>
    <w:rPr>
      <w:sz w:val="21"/>
    </w:rPr>
  </w:style>
  <w:style w:type="paragraph" w:customStyle="1" w:styleId="2631">
    <w:name w:val="附件211"/>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2632">
    <w:name w:val="正文-第几条"/>
    <w:basedOn w:val="1"/>
    <w:qFormat/>
    <w:uiPriority w:val="0"/>
    <w:pPr>
      <w:tabs>
        <w:tab w:val="left" w:pos="1441"/>
      </w:tabs>
      <w:spacing w:before="100" w:after="100" w:line="312" w:lineRule="auto"/>
      <w:ind w:left="1441" w:hanging="1021"/>
    </w:pPr>
    <w:rPr>
      <w:b/>
      <w:bCs/>
    </w:rPr>
  </w:style>
  <w:style w:type="paragraph" w:customStyle="1" w:styleId="2633">
    <w:name w:val="样式 报告 + Times New Roman"/>
    <w:basedOn w:val="1"/>
    <w:qFormat/>
    <w:uiPriority w:val="0"/>
    <w:pPr>
      <w:ind w:firstLine="505"/>
    </w:pPr>
    <w:rPr>
      <w:sz w:val="28"/>
      <w:szCs w:val="28"/>
    </w:rPr>
  </w:style>
  <w:style w:type="paragraph" w:customStyle="1" w:styleId="2634">
    <w:name w:val="样式 标题 3 + 黑体 小四 左侧:  0.86 厘米 首行缩进:  0 厘米 Char"/>
    <w:basedOn w:val="5"/>
    <w:qFormat/>
    <w:uiPriority w:val="0"/>
    <w:pPr>
      <w:keepLines w:val="0"/>
      <w:spacing w:before="0" w:after="0"/>
      <w:jc w:val="left"/>
    </w:pPr>
    <w:rPr>
      <w:rFonts w:ascii="黑体" w:eastAsia="黑体"/>
      <w:b w:val="0"/>
      <w:color w:val="000000"/>
      <w:szCs w:val="24"/>
      <w:lang w:val="en-GB"/>
    </w:rPr>
  </w:style>
  <w:style w:type="paragraph" w:customStyle="1" w:styleId="2635">
    <w:name w:val="首行缩进:  0.99 厘米 + 首行缩进:  2 字符3"/>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2636">
    <w:name w:val="谏壁chen表格内文字 Char"/>
    <w:basedOn w:val="1"/>
    <w:qFormat/>
    <w:uiPriority w:val="0"/>
    <w:pPr>
      <w:spacing w:line="0" w:lineRule="atLeast"/>
      <w:jc w:val="center"/>
    </w:pPr>
    <w:rPr>
      <w:sz w:val="21"/>
      <w:szCs w:val="21"/>
    </w:rPr>
  </w:style>
  <w:style w:type="paragraph" w:customStyle="1" w:styleId="2637">
    <w:name w:val="样式 标题 3小标题小节标题H3h33rd level第二层条标题4标题 3 Char标题 3 Char Ch... Char"/>
    <w:basedOn w:val="5"/>
    <w:qFormat/>
    <w:uiPriority w:val="0"/>
    <w:pPr>
      <w:tabs>
        <w:tab w:val="left" w:pos="0"/>
        <w:tab w:val="left" w:pos="993"/>
      </w:tabs>
      <w:spacing w:line="240" w:lineRule="auto"/>
      <w:jc w:val="left"/>
      <w:textAlignment w:val="baseline"/>
    </w:pPr>
    <w:rPr>
      <w:rFonts w:ascii="Arial" w:hAnsi="Arial"/>
      <w:kern w:val="32"/>
      <w:sz w:val="32"/>
    </w:rPr>
  </w:style>
  <w:style w:type="paragraph" w:customStyle="1" w:styleId="2638">
    <w:name w:val="样式 标题 3 + 左侧:  0 厘米 首行缩进:  0 厘米 Char"/>
    <w:basedOn w:val="5"/>
    <w:qFormat/>
    <w:uiPriority w:val="0"/>
    <w:pPr>
      <w:tabs>
        <w:tab w:val="left" w:pos="709"/>
        <w:tab w:val="left" w:pos="993"/>
      </w:tabs>
      <w:spacing w:after="60" w:line="240" w:lineRule="auto"/>
      <w:ind w:left="709" w:hanging="709"/>
      <w:jc w:val="left"/>
      <w:textAlignment w:val="baseline"/>
    </w:pPr>
    <w:rPr>
      <w:kern w:val="32"/>
      <w:sz w:val="32"/>
    </w:rPr>
  </w:style>
  <w:style w:type="paragraph" w:customStyle="1" w:styleId="2639">
    <w:name w:val="样式 标题 3小标题小节标题标题3H3h33rd level第二层条标题4 + Arial"/>
    <w:basedOn w:val="5"/>
    <w:qFormat/>
    <w:uiPriority w:val="0"/>
    <w:pPr>
      <w:tabs>
        <w:tab w:val="left" w:pos="0"/>
        <w:tab w:val="left" w:pos="993"/>
      </w:tabs>
      <w:spacing w:after="60" w:line="240" w:lineRule="auto"/>
      <w:ind w:left="851"/>
      <w:jc w:val="left"/>
      <w:textAlignment w:val="baseline"/>
    </w:pPr>
    <w:rPr>
      <w:kern w:val="32"/>
      <w:sz w:val="30"/>
      <w:szCs w:val="20"/>
    </w:rPr>
  </w:style>
  <w:style w:type="paragraph" w:customStyle="1" w:styleId="2640">
    <w:name w:val="Char2111"/>
    <w:basedOn w:val="1"/>
    <w:qFormat/>
    <w:uiPriority w:val="99"/>
    <w:pPr>
      <w:spacing w:line="240" w:lineRule="auto"/>
      <w:ind w:left="-48"/>
    </w:pPr>
    <w:rPr>
      <w:sz w:val="21"/>
    </w:rPr>
  </w:style>
  <w:style w:type="paragraph" w:customStyle="1" w:styleId="2641">
    <w:name w:val="样式 正文文本 + (中文) 黑体 红色 Char Char Char"/>
    <w:basedOn w:val="1"/>
    <w:qFormat/>
    <w:uiPriority w:val="0"/>
    <w:pPr>
      <w:spacing w:before="60" w:after="60" w:line="264" w:lineRule="auto"/>
      <w:ind w:firstLine="200"/>
      <w:textAlignment w:val="baseline"/>
    </w:pPr>
    <w:rPr>
      <w:rFonts w:eastAsia="黑体"/>
      <w:snapToGrid w:val="0"/>
      <w:color w:val="FF0000"/>
      <w:kern w:val="0"/>
    </w:rPr>
  </w:style>
  <w:style w:type="paragraph" w:customStyle="1" w:styleId="2642">
    <w:name w:val="表内宋5中121"/>
    <w:basedOn w:val="1"/>
    <w:qFormat/>
    <w:uiPriority w:val="99"/>
    <w:pPr>
      <w:spacing w:line="240" w:lineRule="auto"/>
      <w:jc w:val="center"/>
      <w:textAlignment w:val="baseline"/>
    </w:pPr>
    <w:rPr>
      <w:rFonts w:ascii="宋体" w:hAnsi="宋体" w:cs="宋体"/>
      <w:kern w:val="0"/>
      <w:sz w:val="21"/>
      <w:szCs w:val="20"/>
    </w:rPr>
  </w:style>
  <w:style w:type="paragraph" w:customStyle="1" w:styleId="2643">
    <w:name w:val="标准文本 首行缩进: 2 字符 行距: 单倍"/>
    <w:basedOn w:val="1"/>
    <w:qFormat/>
    <w:uiPriority w:val="0"/>
    <w:pPr>
      <w:spacing w:line="240" w:lineRule="auto"/>
      <w:ind w:firstLine="480"/>
      <w:textAlignment w:val="baseline"/>
    </w:pPr>
  </w:style>
  <w:style w:type="paragraph" w:customStyle="1" w:styleId="2644">
    <w:name w:val="表中文字411"/>
    <w:basedOn w:val="1"/>
    <w:qFormat/>
    <w:uiPriority w:val="99"/>
    <w:pPr>
      <w:spacing w:line="340" w:lineRule="exact"/>
      <w:ind w:firstLine="480"/>
      <w:jc w:val="center"/>
    </w:pPr>
    <w:rPr>
      <w:rFonts w:ascii="Arial" w:hAnsi="Arial"/>
      <w:kern w:val="0"/>
      <w:sz w:val="20"/>
      <w:lang w:eastAsia="zh-TW"/>
    </w:rPr>
  </w:style>
  <w:style w:type="paragraph" w:customStyle="1" w:styleId="2645">
    <w:name w:val="Char Char Char Char Char Char Char Char1"/>
    <w:basedOn w:val="1"/>
    <w:qFormat/>
    <w:uiPriority w:val="99"/>
    <w:pPr>
      <w:spacing w:line="400" w:lineRule="exact"/>
      <w:ind w:firstLine="601"/>
      <w:textAlignment w:val="baseline"/>
    </w:pPr>
    <w:rPr>
      <w:rFonts w:eastAsia="楷体_GB2312"/>
      <w:spacing w:val="8"/>
      <w:kern w:val="0"/>
      <w:szCs w:val="20"/>
    </w:rPr>
  </w:style>
  <w:style w:type="paragraph" w:customStyle="1" w:styleId="2646">
    <w:name w:val="wtext"/>
    <w:basedOn w:val="1"/>
    <w:qFormat/>
    <w:uiPriority w:val="99"/>
    <w:pPr>
      <w:widowControl/>
      <w:spacing w:before="100" w:beforeAutospacing="1" w:after="100" w:afterAutospacing="1" w:line="240" w:lineRule="auto"/>
      <w:ind w:firstLine="480"/>
      <w:jc w:val="left"/>
    </w:pPr>
    <w:rPr>
      <w:rFonts w:ascii="Calibri" w:hAnsi="Calibri" w:eastAsia="Arial Unicode MS" w:cs="Arial Unicode MS"/>
      <w:color w:val="000000"/>
      <w:kern w:val="0"/>
      <w:sz w:val="22"/>
    </w:rPr>
  </w:style>
  <w:style w:type="paragraph" w:customStyle="1" w:styleId="2647">
    <w:name w:val="正文修改7"/>
    <w:basedOn w:val="900"/>
    <w:qFormat/>
    <w:uiPriority w:val="99"/>
    <w:pPr>
      <w:spacing w:line="480" w:lineRule="exact"/>
      <w:ind w:firstLine="0" w:firstLineChars="0"/>
    </w:pPr>
    <w:rPr>
      <w:rFonts w:cs="宋体"/>
      <w:sz w:val="24"/>
      <w:szCs w:val="24"/>
    </w:rPr>
  </w:style>
  <w:style w:type="paragraph" w:customStyle="1" w:styleId="2648">
    <w:name w:val="表311"/>
    <w:basedOn w:val="1"/>
    <w:qFormat/>
    <w:uiPriority w:val="99"/>
    <w:pPr>
      <w:spacing w:line="240" w:lineRule="auto"/>
      <w:jc w:val="center"/>
    </w:pPr>
    <w:rPr>
      <w:rFonts w:eastAsia="仿宋_GB2312"/>
    </w:rPr>
  </w:style>
  <w:style w:type="paragraph" w:customStyle="1" w:styleId="2649">
    <w:name w:val="表名"/>
    <w:basedOn w:val="1"/>
    <w:qFormat/>
    <w:uiPriority w:val="0"/>
    <w:pPr>
      <w:overflowPunct w:val="0"/>
      <w:spacing w:before="120" w:line="240" w:lineRule="auto"/>
      <w:textAlignment w:val="baseline"/>
    </w:pPr>
    <w:rPr>
      <w:rFonts w:ascii="黑体" w:hAnsi="Arial" w:eastAsia="黑体"/>
      <w:szCs w:val="20"/>
    </w:rPr>
  </w:style>
  <w:style w:type="paragraph" w:customStyle="1" w:styleId="2650">
    <w:name w:val="text14 style1"/>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rPr>
  </w:style>
  <w:style w:type="paragraph" w:customStyle="1" w:styleId="2651">
    <w:name w:val="正文格式 Char Char Char"/>
    <w:basedOn w:val="1"/>
    <w:qFormat/>
    <w:uiPriority w:val="0"/>
    <w:pPr>
      <w:ind w:firstLine="482"/>
    </w:pPr>
    <w:rPr>
      <w:rFonts w:ascii="宋体" w:cs="宋体"/>
    </w:rPr>
  </w:style>
  <w:style w:type="paragraph" w:customStyle="1" w:styleId="2652">
    <w:name w:val="正文修改5"/>
    <w:basedOn w:val="900"/>
    <w:qFormat/>
    <w:uiPriority w:val="99"/>
    <w:pPr>
      <w:spacing w:line="480" w:lineRule="exact"/>
      <w:ind w:firstLine="0" w:firstLineChars="0"/>
    </w:pPr>
    <w:rPr>
      <w:rFonts w:cs="宋体"/>
      <w:sz w:val="24"/>
      <w:szCs w:val="24"/>
    </w:rPr>
  </w:style>
  <w:style w:type="paragraph" w:customStyle="1" w:styleId="2653">
    <w:name w:val="正文格式2111"/>
    <w:basedOn w:val="1"/>
    <w:qFormat/>
    <w:uiPriority w:val="99"/>
    <w:pPr>
      <w:ind w:firstLine="482"/>
    </w:pPr>
    <w:rPr>
      <w:rFonts w:ascii="宋体" w:hAnsi="宋体"/>
    </w:rPr>
  </w:style>
  <w:style w:type="paragraph" w:customStyle="1" w:styleId="2654">
    <w:name w:val="Fax Header11"/>
    <w:basedOn w:val="1"/>
    <w:qFormat/>
    <w:uiPriority w:val="99"/>
    <w:pPr>
      <w:widowControl/>
      <w:spacing w:before="240" w:after="60" w:line="240" w:lineRule="auto"/>
      <w:jc w:val="left"/>
    </w:pPr>
    <w:rPr>
      <w:kern w:val="0"/>
      <w:sz w:val="20"/>
      <w:szCs w:val="20"/>
    </w:rPr>
  </w:style>
  <w:style w:type="paragraph" w:customStyle="1" w:styleId="2655">
    <w:name w:val="图题511"/>
    <w:basedOn w:val="185"/>
    <w:next w:val="185"/>
    <w:qFormat/>
    <w:uiPriority w:val="99"/>
    <w:pPr>
      <w:ind w:firstLine="0"/>
      <w:jc w:val="center"/>
    </w:pPr>
    <w:rPr>
      <w:rFonts w:ascii="黑体" w:hAnsi="宋体" w:eastAsia="黑体"/>
      <w:b/>
      <w:bCs/>
    </w:rPr>
  </w:style>
  <w:style w:type="paragraph" w:customStyle="1" w:styleId="2656">
    <w:name w:val="表内文字小214"/>
    <w:basedOn w:val="1"/>
    <w:qFormat/>
    <w:uiPriority w:val="99"/>
    <w:pPr>
      <w:spacing w:line="240" w:lineRule="auto"/>
      <w:jc w:val="center"/>
    </w:pPr>
    <w:rPr>
      <w:rFonts w:ascii="宋体" w:hAnsi="Times"/>
      <w:bCs/>
      <w:color w:val="000000"/>
      <w:sz w:val="21"/>
      <w:szCs w:val="20"/>
    </w:rPr>
  </w:style>
  <w:style w:type="paragraph" w:customStyle="1" w:styleId="2657">
    <w:name w:val="表题91"/>
    <w:basedOn w:val="45"/>
    <w:qFormat/>
    <w:uiPriority w:val="99"/>
    <w:pPr>
      <w:spacing w:line="300" w:lineRule="auto"/>
    </w:pPr>
    <w:rPr>
      <w:rFonts w:ascii="黑体" w:eastAsia="黑体"/>
      <w:spacing w:val="0"/>
      <w:sz w:val="24"/>
    </w:rPr>
  </w:style>
  <w:style w:type="paragraph" w:customStyle="1" w:styleId="2658">
    <w:name w:val="样式 标题 3 + 黑色 Char Char Char Char Char"/>
    <w:basedOn w:val="5"/>
    <w:qFormat/>
    <w:uiPriority w:val="0"/>
    <w:pPr>
      <w:keepNext w:val="0"/>
      <w:keepLines w:val="0"/>
      <w:tabs>
        <w:tab w:val="left" w:pos="993"/>
        <w:tab w:val="left" w:pos="1260"/>
      </w:tabs>
      <w:spacing w:before="0" w:after="0"/>
      <w:ind w:left="567" w:hanging="420"/>
      <w:outlineLvl w:val="9"/>
    </w:pPr>
    <w:rPr>
      <w:rFonts w:ascii="宋体" w:hAnsi="宋体"/>
      <w:b w:val="0"/>
      <w:bCs w:val="0"/>
      <w:sz w:val="28"/>
      <w:szCs w:val="28"/>
    </w:rPr>
  </w:style>
  <w:style w:type="paragraph" w:customStyle="1" w:styleId="2659">
    <w:name w:val="xl138"/>
    <w:basedOn w:val="1"/>
    <w:qFormat/>
    <w:uiPriority w:val="0"/>
    <w:pPr>
      <w:widowControl/>
      <w:pBdr>
        <w:left w:val="single" w:color="auto" w:sz="4" w:space="0"/>
        <w:bottom w:val="single" w:color="auto" w:sz="4" w:space="0"/>
      </w:pBdr>
      <w:spacing w:before="100" w:beforeAutospacing="1" w:after="100" w:afterAutospacing="1" w:line="240" w:lineRule="auto"/>
      <w:jc w:val="left"/>
      <w:textAlignment w:val="center"/>
    </w:pPr>
    <w:rPr>
      <w:rFonts w:ascii="Arial Narrow" w:hAnsi="Arial Narrow"/>
      <w:kern w:val="0"/>
      <w:sz w:val="16"/>
      <w:szCs w:val="16"/>
    </w:rPr>
  </w:style>
  <w:style w:type="paragraph" w:customStyle="1" w:styleId="2660">
    <w:name w:val="xl6311"/>
    <w:basedOn w:val="1"/>
    <w:qFormat/>
    <w:uiPriority w:val="99"/>
    <w:pPr>
      <w:widowControl/>
      <w:spacing w:before="100" w:beforeAutospacing="1" w:after="100" w:afterAutospacing="1" w:line="240" w:lineRule="auto"/>
      <w:jc w:val="center"/>
      <w:textAlignment w:val="center"/>
    </w:pPr>
    <w:rPr>
      <w:rFonts w:hint="eastAsia" w:ascii="黑体" w:hAnsi="宋体" w:eastAsia="黑体"/>
      <w:kern w:val="0"/>
    </w:rPr>
  </w:style>
  <w:style w:type="paragraph" w:customStyle="1" w:styleId="2661">
    <w:name w:val="Char4 Char Char Char Char Char Char Char Char Char Char Char Char Char Char Char Char Char1 Char Char Char Char Char Char1 Char"/>
    <w:basedOn w:val="1"/>
    <w:qFormat/>
    <w:uiPriority w:val="0"/>
    <w:pPr>
      <w:spacing w:line="240" w:lineRule="exact"/>
      <w:ind w:firstLine="200"/>
    </w:pPr>
    <w:rPr>
      <w:sz w:val="28"/>
      <w:szCs w:val="28"/>
    </w:rPr>
  </w:style>
  <w:style w:type="paragraph" w:customStyle="1" w:styleId="2662">
    <w:name w:val="23-47表名11"/>
    <w:basedOn w:val="1"/>
    <w:qFormat/>
    <w:uiPriority w:val="99"/>
    <w:pPr>
      <w:spacing w:afterLines="50" w:line="440" w:lineRule="exact"/>
      <w:jc w:val="center"/>
    </w:pPr>
    <w:rPr>
      <w:rFonts w:ascii="宋体" w:hAnsi="宋体"/>
      <w:b/>
    </w:rPr>
  </w:style>
  <w:style w:type="paragraph" w:customStyle="1" w:styleId="2663">
    <w:name w:val="新正文 Char Char"/>
    <w:basedOn w:val="1"/>
    <w:qFormat/>
    <w:uiPriority w:val="0"/>
    <w:pPr>
      <w:spacing w:line="480" w:lineRule="exact"/>
      <w:ind w:firstLine="482"/>
    </w:pPr>
    <w:rPr>
      <w:rFonts w:hint="eastAsia" w:ascii="仿宋_GB2312" w:eastAsia="仿宋_GB2312"/>
      <w:bCs/>
      <w:kern w:val="0"/>
      <w:sz w:val="28"/>
      <w:szCs w:val="20"/>
    </w:rPr>
  </w:style>
  <w:style w:type="paragraph" w:customStyle="1" w:styleId="2664">
    <w:name w:val="Char Char Char Char Char Char Char1311"/>
    <w:basedOn w:val="1"/>
    <w:qFormat/>
    <w:uiPriority w:val="99"/>
    <w:pPr>
      <w:spacing w:line="240" w:lineRule="auto"/>
    </w:pPr>
    <w:rPr>
      <w:sz w:val="21"/>
    </w:rPr>
  </w:style>
  <w:style w:type="paragraph" w:customStyle="1" w:styleId="2665">
    <w:name w:val="图题2111"/>
    <w:basedOn w:val="185"/>
    <w:next w:val="185"/>
    <w:qFormat/>
    <w:uiPriority w:val="99"/>
    <w:pPr>
      <w:ind w:firstLine="0"/>
      <w:jc w:val="center"/>
    </w:pPr>
    <w:rPr>
      <w:rFonts w:ascii="黑体" w:hAnsi="宋体" w:eastAsia="黑体"/>
      <w:b/>
      <w:bCs/>
    </w:rPr>
  </w:style>
  <w:style w:type="paragraph" w:customStyle="1" w:styleId="2666">
    <w:name w:val="Char111"/>
    <w:basedOn w:val="1"/>
    <w:qFormat/>
    <w:uiPriority w:val="99"/>
    <w:pPr>
      <w:spacing w:line="240" w:lineRule="auto"/>
      <w:ind w:left="-48"/>
    </w:pPr>
    <w:rPr>
      <w:sz w:val="21"/>
    </w:rPr>
  </w:style>
  <w:style w:type="paragraph" w:customStyle="1" w:styleId="2667">
    <w:name w:val="样式 标题 3 + 黑体 小四 左侧:  0.86 厘米 首行缩进:  0 厘米 Char Char"/>
    <w:basedOn w:val="5"/>
    <w:qFormat/>
    <w:uiPriority w:val="0"/>
    <w:pPr>
      <w:keepLines w:val="0"/>
      <w:spacing w:before="0" w:after="0"/>
      <w:jc w:val="left"/>
    </w:pPr>
    <w:rPr>
      <w:rFonts w:ascii="黑体" w:eastAsia="黑体"/>
      <w:b w:val="0"/>
      <w:color w:val="000000"/>
      <w:szCs w:val="24"/>
      <w:lang w:val="en-GB"/>
    </w:rPr>
  </w:style>
  <w:style w:type="paragraph" w:customStyle="1" w:styleId="2668">
    <w:name w:val="谏壁正文chen Char Char"/>
    <w:basedOn w:val="1"/>
    <w:qFormat/>
    <w:uiPriority w:val="0"/>
    <w:pPr>
      <w:ind w:firstLine="200"/>
    </w:pPr>
  </w:style>
  <w:style w:type="paragraph" w:customStyle="1" w:styleId="2669">
    <w:name w:val="Char4 Char Char Char Char Char Char Char Char Char Char Char Char Char Char Char1"/>
    <w:basedOn w:val="1"/>
    <w:qFormat/>
    <w:uiPriority w:val="0"/>
    <w:pPr>
      <w:spacing w:line="240" w:lineRule="exact"/>
      <w:ind w:firstLine="200"/>
    </w:pPr>
    <w:rPr>
      <w:sz w:val="28"/>
      <w:szCs w:val="28"/>
    </w:rPr>
  </w:style>
  <w:style w:type="paragraph" w:customStyle="1" w:styleId="2670">
    <w:name w:val="hhcwt正文 Char Char"/>
    <w:basedOn w:val="1"/>
    <w:qFormat/>
    <w:uiPriority w:val="0"/>
    <w:pPr>
      <w:ind w:firstLine="480"/>
    </w:pPr>
    <w:rPr>
      <w:rFonts w:cs="宋体"/>
      <w:szCs w:val="20"/>
    </w:rPr>
  </w:style>
  <w:style w:type="paragraph" w:customStyle="1" w:styleId="2671">
    <w:name w:val="Default11"/>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672">
    <w:name w:val="默认段落字体 Para Char Char Char Char311"/>
    <w:basedOn w:val="1"/>
    <w:qFormat/>
    <w:uiPriority w:val="99"/>
    <w:pPr>
      <w:spacing w:line="240" w:lineRule="auto"/>
    </w:pPr>
    <w:rPr>
      <w:sz w:val="21"/>
    </w:rPr>
  </w:style>
  <w:style w:type="paragraph" w:customStyle="1" w:styleId="2673">
    <w:name w:val="样式 标题 3小标题小节标题H3h33rd level第二层条标题4标题 3 Char标题 3 Char Ch... Char Char"/>
    <w:basedOn w:val="5"/>
    <w:qFormat/>
    <w:uiPriority w:val="0"/>
    <w:pPr>
      <w:tabs>
        <w:tab w:val="left" w:pos="0"/>
        <w:tab w:val="left" w:pos="993"/>
      </w:tabs>
      <w:spacing w:line="240" w:lineRule="auto"/>
      <w:jc w:val="left"/>
      <w:textAlignment w:val="baseline"/>
    </w:pPr>
    <w:rPr>
      <w:rFonts w:ascii="Arial" w:hAnsi="Arial"/>
      <w:kern w:val="32"/>
      <w:sz w:val="32"/>
    </w:rPr>
  </w:style>
  <w:style w:type="paragraph" w:customStyle="1" w:styleId="2674">
    <w:name w:val="样式 标题 3 + 左侧:  0 厘米 首行缩进:  0 厘米 Char Char"/>
    <w:basedOn w:val="5"/>
    <w:qFormat/>
    <w:uiPriority w:val="0"/>
    <w:pPr>
      <w:tabs>
        <w:tab w:val="left" w:pos="709"/>
        <w:tab w:val="left" w:pos="993"/>
      </w:tabs>
      <w:spacing w:after="60" w:line="240" w:lineRule="auto"/>
      <w:ind w:left="709" w:hanging="709"/>
      <w:jc w:val="left"/>
      <w:textAlignment w:val="baseline"/>
    </w:pPr>
    <w:rPr>
      <w:kern w:val="32"/>
      <w:sz w:val="32"/>
    </w:rPr>
  </w:style>
  <w:style w:type="paragraph" w:customStyle="1" w:styleId="2675">
    <w:name w:val="默认段落字体 Para Char Char Char Char3"/>
    <w:basedOn w:val="1"/>
    <w:qFormat/>
    <w:uiPriority w:val="99"/>
    <w:pPr>
      <w:spacing w:line="240" w:lineRule="auto"/>
    </w:pPr>
    <w:rPr>
      <w:sz w:val="21"/>
    </w:rPr>
  </w:style>
  <w:style w:type="paragraph" w:customStyle="1" w:styleId="2676">
    <w:name w:val="正文2 Char"/>
    <w:basedOn w:val="1"/>
    <w:qFormat/>
    <w:uiPriority w:val="0"/>
    <w:pPr>
      <w:spacing w:beforeLines="50" w:afterLines="100" w:line="440" w:lineRule="exact"/>
      <w:ind w:firstLine="480"/>
    </w:pPr>
    <w:rPr>
      <w:rFonts w:eastAsia="仿宋_GB2312"/>
    </w:rPr>
  </w:style>
  <w:style w:type="paragraph" w:customStyle="1" w:styleId="2677">
    <w:name w:val="图题11"/>
    <w:basedOn w:val="185"/>
    <w:next w:val="185"/>
    <w:qFormat/>
    <w:uiPriority w:val="99"/>
    <w:pPr>
      <w:ind w:firstLine="0"/>
      <w:jc w:val="center"/>
    </w:pPr>
    <w:rPr>
      <w:rFonts w:ascii="黑体" w:hAnsi="宋体" w:eastAsia="黑体"/>
      <w:b/>
      <w:bCs/>
    </w:rPr>
  </w:style>
  <w:style w:type="paragraph" w:customStyle="1" w:styleId="2678">
    <w:name w:val="表格 Char Char"/>
    <w:basedOn w:val="1"/>
    <w:qFormat/>
    <w:uiPriority w:val="99"/>
    <w:pPr>
      <w:spacing w:line="240" w:lineRule="auto"/>
      <w:jc w:val="center"/>
    </w:pPr>
    <w:rPr>
      <w:rFonts w:ascii="Arial" w:hAnsi="Arial" w:eastAsia="华文细黑"/>
      <w:sz w:val="21"/>
      <w:szCs w:val="30"/>
    </w:rPr>
  </w:style>
  <w:style w:type="paragraph" w:customStyle="1" w:styleId="2679">
    <w:name w:val="样式 标题 3小标题小节标题标题3H3h33rd level第二层条标题4 + Arial Char"/>
    <w:basedOn w:val="5"/>
    <w:qFormat/>
    <w:uiPriority w:val="0"/>
    <w:pPr>
      <w:tabs>
        <w:tab w:val="left" w:pos="0"/>
        <w:tab w:val="left" w:pos="993"/>
      </w:tabs>
      <w:spacing w:after="60" w:line="240" w:lineRule="auto"/>
      <w:ind w:left="851"/>
      <w:jc w:val="left"/>
      <w:textAlignment w:val="baseline"/>
    </w:pPr>
    <w:rPr>
      <w:kern w:val="32"/>
      <w:sz w:val="30"/>
      <w:szCs w:val="20"/>
    </w:rPr>
  </w:style>
  <w:style w:type="paragraph" w:customStyle="1" w:styleId="2680">
    <w:name w:val="样式 正文文本 + 红色 Char Char Char Char"/>
    <w:basedOn w:val="1"/>
    <w:qFormat/>
    <w:uiPriority w:val="0"/>
    <w:pPr>
      <w:spacing w:before="60" w:after="60" w:line="264" w:lineRule="auto"/>
      <w:ind w:firstLine="200"/>
      <w:textAlignment w:val="baseline"/>
    </w:pPr>
    <w:rPr>
      <w:rFonts w:eastAsia="仿宋_GB2312"/>
      <w:snapToGrid w:val="0"/>
      <w:color w:val="FF0000"/>
      <w:kern w:val="0"/>
    </w:rPr>
  </w:style>
  <w:style w:type="paragraph" w:customStyle="1" w:styleId="2681">
    <w:name w:val="正文格式711"/>
    <w:basedOn w:val="1"/>
    <w:qFormat/>
    <w:uiPriority w:val="99"/>
    <w:pPr>
      <w:ind w:firstLine="482"/>
    </w:pPr>
    <w:rPr>
      <w:rFonts w:ascii="宋体" w:hAnsi="宋体"/>
    </w:rPr>
  </w:style>
  <w:style w:type="paragraph" w:customStyle="1" w:styleId="2682">
    <w:name w:val="样式 正文文本 + (中文) 黑体 红色 Char Char Char Char"/>
    <w:basedOn w:val="1"/>
    <w:qFormat/>
    <w:uiPriority w:val="0"/>
    <w:pPr>
      <w:spacing w:before="60" w:after="60" w:line="264" w:lineRule="auto"/>
      <w:ind w:firstLine="200"/>
      <w:textAlignment w:val="baseline"/>
    </w:pPr>
    <w:rPr>
      <w:rFonts w:eastAsia="黑体"/>
      <w:snapToGrid w:val="0"/>
      <w:color w:val="FF0000"/>
      <w:kern w:val="0"/>
    </w:rPr>
  </w:style>
  <w:style w:type="paragraph" w:customStyle="1" w:styleId="2683">
    <w:name w:val="样式 正文缩进 + 宋体 黑色 首行缩进:  2 字符11"/>
    <w:basedOn w:val="21"/>
    <w:qFormat/>
    <w:uiPriority w:val="99"/>
    <w:pPr>
      <w:spacing w:line="360" w:lineRule="auto"/>
      <w:ind w:firstLine="480"/>
      <w:jc w:val="left"/>
    </w:pPr>
    <w:rPr>
      <w:rFonts w:ascii="宋体" w:hAnsi="宋体" w:cs="宋体"/>
      <w:color w:val="FF00FF"/>
      <w:sz w:val="24"/>
      <w:szCs w:val="20"/>
    </w:rPr>
  </w:style>
  <w:style w:type="paragraph" w:customStyle="1" w:styleId="2684">
    <w:name w:val="标准文本 首行缩进: 2 字符 行距: 单倍 Char"/>
    <w:basedOn w:val="1"/>
    <w:qFormat/>
    <w:uiPriority w:val="0"/>
    <w:pPr>
      <w:spacing w:line="240" w:lineRule="auto"/>
      <w:ind w:firstLine="480"/>
      <w:textAlignment w:val="baseline"/>
    </w:pPr>
  </w:style>
  <w:style w:type="paragraph" w:customStyle="1" w:styleId="2685">
    <w:name w:val="Char3311"/>
    <w:basedOn w:val="1"/>
    <w:qFormat/>
    <w:uiPriority w:val="99"/>
    <w:pPr>
      <w:spacing w:line="240" w:lineRule="auto"/>
      <w:ind w:left="-48"/>
    </w:pPr>
    <w:rPr>
      <w:sz w:val="21"/>
    </w:rPr>
  </w:style>
  <w:style w:type="paragraph" w:customStyle="1" w:styleId="2686">
    <w:name w:val="表内文字小811"/>
    <w:basedOn w:val="1"/>
    <w:qFormat/>
    <w:uiPriority w:val="99"/>
    <w:pPr>
      <w:spacing w:line="240" w:lineRule="auto"/>
      <w:jc w:val="center"/>
    </w:pPr>
    <w:rPr>
      <w:rFonts w:ascii="宋体" w:hAnsi="Times" w:cs="宋体"/>
      <w:sz w:val="21"/>
      <w:szCs w:val="20"/>
    </w:rPr>
  </w:style>
  <w:style w:type="paragraph" w:customStyle="1" w:styleId="2687">
    <w:name w:val="Char43"/>
    <w:basedOn w:val="1"/>
    <w:qFormat/>
    <w:uiPriority w:val="99"/>
    <w:pPr>
      <w:spacing w:line="240" w:lineRule="auto"/>
      <w:ind w:left="-48"/>
    </w:pPr>
    <w:rPr>
      <w:sz w:val="21"/>
    </w:rPr>
  </w:style>
  <w:style w:type="paragraph" w:customStyle="1" w:styleId="2688">
    <w:name w:val="Char4 Char Char Char Char Char Char Char Char Char Char Char Char Char Char Char Char Char1 Char Char Char Char Char Char1 Char Char Char Char"/>
    <w:basedOn w:val="1"/>
    <w:qFormat/>
    <w:uiPriority w:val="0"/>
    <w:pPr>
      <w:spacing w:line="240" w:lineRule="exact"/>
      <w:ind w:firstLine="200"/>
    </w:pPr>
    <w:rPr>
      <w:sz w:val="28"/>
      <w:szCs w:val="28"/>
    </w:rPr>
  </w:style>
  <w:style w:type="paragraph" w:customStyle="1" w:styleId="2689">
    <w:name w:val="正文格式411"/>
    <w:basedOn w:val="1"/>
    <w:qFormat/>
    <w:uiPriority w:val="99"/>
    <w:pPr>
      <w:ind w:firstLine="482"/>
    </w:pPr>
    <w:rPr>
      <w:rFonts w:ascii="宋体" w:hAnsi="宋体"/>
    </w:rPr>
  </w:style>
  <w:style w:type="paragraph" w:customStyle="1" w:styleId="2690">
    <w:name w:val="Char4 Char Char Char Char Char Char Char Char Char Char Char Char Char Char Char Char Char1 Char Char Char Char Char Char1 Char Char Char Char1"/>
    <w:basedOn w:val="1"/>
    <w:qFormat/>
    <w:uiPriority w:val="0"/>
    <w:pPr>
      <w:spacing w:line="240" w:lineRule="exact"/>
      <w:ind w:firstLine="200"/>
    </w:pPr>
    <w:rPr>
      <w:sz w:val="28"/>
      <w:szCs w:val="28"/>
    </w:rPr>
  </w:style>
  <w:style w:type="paragraph" w:customStyle="1" w:styleId="2691">
    <w:name w:val="表格内字体22"/>
    <w:basedOn w:val="185"/>
    <w:next w:val="185"/>
    <w:qFormat/>
    <w:uiPriority w:val="99"/>
    <w:pPr>
      <w:spacing w:line="240" w:lineRule="auto"/>
      <w:ind w:firstLine="0"/>
      <w:jc w:val="center"/>
    </w:pPr>
    <w:rPr>
      <w:rFonts w:hAnsi="宋体" w:cs="Times New Roman"/>
      <w:sz w:val="21"/>
    </w:rPr>
  </w:style>
  <w:style w:type="paragraph" w:customStyle="1" w:styleId="2692">
    <w:name w:val="样式 标题 4无效格式无效格式1河石管道4H4H41小小节河石管道41H42H411小小节1河石管道42...11"/>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2693">
    <w:name w:val="Char Char Char Char1 Char Char Char2"/>
    <w:basedOn w:val="1"/>
    <w:qFormat/>
    <w:uiPriority w:val="99"/>
    <w:pPr>
      <w:widowControl/>
      <w:spacing w:after="160" w:line="240" w:lineRule="exact"/>
      <w:jc w:val="left"/>
    </w:pPr>
    <w:rPr>
      <w:rFonts w:ascii="Verdana" w:hAnsi="Verdana"/>
      <w:kern w:val="0"/>
      <w:sz w:val="20"/>
      <w:szCs w:val="20"/>
      <w:lang w:eastAsia="en-US"/>
    </w:rPr>
  </w:style>
  <w:style w:type="paragraph" w:customStyle="1" w:styleId="2694">
    <w:name w:val="字元 字元1"/>
    <w:basedOn w:val="1"/>
    <w:qFormat/>
    <w:uiPriority w:val="99"/>
    <w:pPr>
      <w:spacing w:line="240" w:lineRule="auto"/>
    </w:pPr>
    <w:rPr>
      <w:sz w:val="21"/>
      <w:szCs w:val="21"/>
    </w:rPr>
  </w:style>
  <w:style w:type="paragraph" w:customStyle="1" w:styleId="2695">
    <w:name w:val="Char Char Char1 Char Char Char1 Char1"/>
    <w:basedOn w:val="1"/>
    <w:qFormat/>
    <w:uiPriority w:val="0"/>
    <w:pPr>
      <w:spacing w:line="240" w:lineRule="exact"/>
      <w:ind w:firstLine="200"/>
    </w:pPr>
    <w:rPr>
      <w:sz w:val="28"/>
      <w:szCs w:val="28"/>
    </w:rPr>
  </w:style>
  <w:style w:type="paragraph" w:customStyle="1" w:styleId="2696">
    <w:name w:val="表内文字小3123"/>
    <w:basedOn w:val="1"/>
    <w:qFormat/>
    <w:uiPriority w:val="99"/>
    <w:pPr>
      <w:spacing w:line="240" w:lineRule="auto"/>
      <w:jc w:val="center"/>
    </w:pPr>
    <w:rPr>
      <w:rFonts w:ascii="宋体" w:hAnsi="Times" w:cs="宋体"/>
      <w:bCs/>
      <w:color w:val="003366"/>
      <w:sz w:val="21"/>
      <w:szCs w:val="20"/>
    </w:rPr>
  </w:style>
  <w:style w:type="paragraph" w:customStyle="1" w:styleId="2697">
    <w:name w:val="标题4313"/>
    <w:basedOn w:val="1"/>
    <w:qFormat/>
    <w:uiPriority w:val="99"/>
    <w:pPr>
      <w:spacing w:line="480" w:lineRule="exact"/>
      <w:jc w:val="center"/>
    </w:pPr>
    <w:rPr>
      <w:rFonts w:ascii="宋体" w:hAnsi="宋体" w:cs="宋体"/>
    </w:rPr>
  </w:style>
  <w:style w:type="paragraph" w:customStyle="1" w:styleId="2698">
    <w:name w:val="字元 字元 字元2"/>
    <w:basedOn w:val="1"/>
    <w:qFormat/>
    <w:uiPriority w:val="0"/>
    <w:pPr>
      <w:spacing w:line="240" w:lineRule="auto"/>
    </w:pPr>
    <w:rPr>
      <w:sz w:val="21"/>
      <w:szCs w:val="21"/>
    </w:rPr>
  </w:style>
  <w:style w:type="paragraph" w:customStyle="1" w:styleId="2699">
    <w:name w:val="Char4311"/>
    <w:basedOn w:val="1"/>
    <w:qFormat/>
    <w:uiPriority w:val="99"/>
    <w:pPr>
      <w:spacing w:line="240" w:lineRule="auto"/>
      <w:ind w:left="-48"/>
    </w:pPr>
    <w:rPr>
      <w:sz w:val="21"/>
    </w:rPr>
  </w:style>
  <w:style w:type="paragraph" w:customStyle="1" w:styleId="2700">
    <w:name w:val="表格11"/>
    <w:basedOn w:val="1"/>
    <w:qFormat/>
    <w:uiPriority w:val="99"/>
    <w:pPr>
      <w:spacing w:line="240" w:lineRule="auto"/>
      <w:jc w:val="center"/>
      <w:textAlignment w:val="baseline"/>
    </w:pPr>
    <w:rPr>
      <w:rFonts w:ascii="宋体"/>
      <w:kern w:val="0"/>
      <w:szCs w:val="20"/>
    </w:rPr>
  </w:style>
  <w:style w:type="paragraph" w:customStyle="1" w:styleId="2701">
    <w:name w:val="附件111"/>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2702">
    <w:name w:val="Char4 Char Char1"/>
    <w:basedOn w:val="1"/>
    <w:qFormat/>
    <w:uiPriority w:val="0"/>
    <w:pPr>
      <w:spacing w:line="240" w:lineRule="exact"/>
      <w:ind w:firstLine="200"/>
    </w:pPr>
    <w:rPr>
      <w:sz w:val="28"/>
      <w:szCs w:val="28"/>
    </w:rPr>
  </w:style>
  <w:style w:type="paragraph" w:customStyle="1" w:styleId="2703">
    <w:name w:val="正文缩进 2字符1"/>
    <w:basedOn w:val="1"/>
    <w:qFormat/>
    <w:uiPriority w:val="0"/>
    <w:pPr>
      <w:tabs>
        <w:tab w:val="left" w:pos="2160"/>
      </w:tabs>
      <w:spacing w:before="120" w:after="120" w:line="240" w:lineRule="auto"/>
      <w:ind w:firstLine="480"/>
    </w:pPr>
    <w:rPr>
      <w:rFonts w:eastAsia="仿宋_GB2312"/>
      <w:color w:val="000000"/>
      <w:sz w:val="21"/>
      <w:szCs w:val="21"/>
    </w:rPr>
  </w:style>
  <w:style w:type="paragraph" w:customStyle="1" w:styleId="2704">
    <w:name w:val="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pPr>
    <w:rPr>
      <w:sz w:val="28"/>
      <w:szCs w:val="28"/>
    </w:rPr>
  </w:style>
  <w:style w:type="paragraph" w:customStyle="1" w:styleId="2705">
    <w:name w:val="Char433"/>
    <w:basedOn w:val="1"/>
    <w:qFormat/>
    <w:uiPriority w:val="99"/>
    <w:pPr>
      <w:spacing w:line="240" w:lineRule="exact"/>
      <w:ind w:firstLine="200"/>
    </w:pPr>
    <w:rPr>
      <w:sz w:val="28"/>
      <w:szCs w:val="28"/>
    </w:rPr>
  </w:style>
  <w:style w:type="paragraph" w:customStyle="1" w:styleId="2706">
    <w:name w:val="样式1211"/>
    <w:basedOn w:val="1199"/>
    <w:qFormat/>
    <w:uiPriority w:val="99"/>
    <w:pPr>
      <w:spacing w:line="240" w:lineRule="auto"/>
      <w:ind w:firstLine="0"/>
      <w:jc w:val="center"/>
    </w:pPr>
    <w:rPr>
      <w:rFonts w:cs="Times New Roman"/>
      <w:b/>
      <w:color w:val="auto"/>
      <w:szCs w:val="20"/>
    </w:rPr>
  </w:style>
  <w:style w:type="paragraph" w:customStyle="1" w:styleId="2707">
    <w:name w:val="Char4 Char Char Char Char Char Char Char Char Char Char Char Char Char Char Char Char Char1"/>
    <w:basedOn w:val="1"/>
    <w:qFormat/>
    <w:uiPriority w:val="0"/>
    <w:pPr>
      <w:spacing w:line="240" w:lineRule="exact"/>
      <w:ind w:firstLine="200"/>
    </w:pPr>
    <w:rPr>
      <w:sz w:val="28"/>
      <w:szCs w:val="28"/>
    </w:rPr>
  </w:style>
  <w:style w:type="paragraph" w:customStyle="1" w:styleId="2708">
    <w:name w:val="Char Char1 Char Char Char1 Char Char Char Char Char Char Char Char Char Char Char Char1"/>
    <w:basedOn w:val="1"/>
    <w:qFormat/>
    <w:uiPriority w:val="0"/>
    <w:pPr>
      <w:spacing w:line="240" w:lineRule="auto"/>
    </w:pPr>
  </w:style>
  <w:style w:type="paragraph" w:customStyle="1" w:styleId="2709">
    <w:name w:val="Char Char Char1 Char Char Char1 Char Char Char2"/>
    <w:basedOn w:val="1"/>
    <w:qFormat/>
    <w:uiPriority w:val="0"/>
    <w:pPr>
      <w:spacing w:line="240" w:lineRule="exact"/>
      <w:ind w:firstLine="200"/>
    </w:pPr>
    <w:rPr>
      <w:sz w:val="28"/>
      <w:szCs w:val="28"/>
    </w:rPr>
  </w:style>
  <w:style w:type="paragraph" w:customStyle="1" w:styleId="2710">
    <w:name w:val="Char Char Char1 Char Char Char1"/>
    <w:basedOn w:val="1"/>
    <w:qFormat/>
    <w:uiPriority w:val="0"/>
    <w:pPr>
      <w:spacing w:line="240" w:lineRule="exact"/>
      <w:ind w:firstLine="200"/>
    </w:pPr>
    <w:rPr>
      <w:sz w:val="28"/>
      <w:szCs w:val="28"/>
    </w:rPr>
  </w:style>
  <w:style w:type="paragraph" w:customStyle="1" w:styleId="2711">
    <w:name w:val="正文.111"/>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12">
    <w:name w:val="表格内字体12"/>
    <w:basedOn w:val="185"/>
    <w:next w:val="185"/>
    <w:qFormat/>
    <w:uiPriority w:val="99"/>
    <w:pPr>
      <w:spacing w:line="240" w:lineRule="auto"/>
      <w:ind w:firstLine="0"/>
      <w:jc w:val="center"/>
    </w:pPr>
    <w:rPr>
      <w:rFonts w:hAnsi="宋体" w:cs="Times New Roman"/>
      <w:sz w:val="21"/>
    </w:rPr>
  </w:style>
  <w:style w:type="paragraph" w:customStyle="1" w:styleId="2713">
    <w:name w:val="Char Char1 Char Char Char1 Char Char Char Char Char Char Char Char Char Char Char Char Char1"/>
    <w:basedOn w:val="1"/>
    <w:qFormat/>
    <w:uiPriority w:val="0"/>
    <w:pPr>
      <w:spacing w:line="240" w:lineRule="auto"/>
    </w:pPr>
  </w:style>
  <w:style w:type="paragraph" w:customStyle="1" w:styleId="2714">
    <w:name w:val="Char4 Char Char Char Char Char Char Char Char Char Char Char Char Char Char Char Char Char1 Char Char Char Char Char Char1"/>
    <w:basedOn w:val="1"/>
    <w:qFormat/>
    <w:uiPriority w:val="0"/>
    <w:pPr>
      <w:spacing w:line="240" w:lineRule="exact"/>
      <w:ind w:firstLine="200"/>
    </w:pPr>
    <w:rPr>
      <w:sz w:val="28"/>
      <w:szCs w:val="28"/>
    </w:rPr>
  </w:style>
  <w:style w:type="paragraph" w:customStyle="1" w:styleId="2715">
    <w:name w:val="表中文字6"/>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716">
    <w:name w:val="Char Char Char1 Char Char Char Char Char Char Char Char Char Char Char Char Char Char Char2"/>
    <w:basedOn w:val="1"/>
    <w:qFormat/>
    <w:uiPriority w:val="0"/>
    <w:pPr>
      <w:spacing w:line="240" w:lineRule="exact"/>
      <w:ind w:firstLine="200"/>
    </w:pPr>
    <w:rPr>
      <w:sz w:val="28"/>
      <w:szCs w:val="28"/>
    </w:rPr>
  </w:style>
  <w:style w:type="paragraph" w:customStyle="1" w:styleId="2717">
    <w:name w:val="表内文字小31211"/>
    <w:basedOn w:val="1"/>
    <w:qFormat/>
    <w:uiPriority w:val="99"/>
    <w:pPr>
      <w:spacing w:line="240" w:lineRule="auto"/>
      <w:jc w:val="center"/>
    </w:pPr>
    <w:rPr>
      <w:rFonts w:ascii="宋体" w:hAnsi="Times" w:cs="宋体"/>
      <w:bCs/>
      <w:color w:val="003366"/>
      <w:sz w:val="21"/>
      <w:szCs w:val="20"/>
    </w:rPr>
  </w:style>
  <w:style w:type="paragraph" w:customStyle="1" w:styleId="2718">
    <w:name w:val="Char Char Char Char Char Char Char Char11"/>
    <w:basedOn w:val="1"/>
    <w:qFormat/>
    <w:uiPriority w:val="0"/>
    <w:pPr>
      <w:spacing w:line="400" w:lineRule="exact"/>
      <w:ind w:firstLine="601"/>
    </w:pPr>
    <w:rPr>
      <w:rFonts w:eastAsia="楷体_GB2312"/>
      <w:spacing w:val="8"/>
      <w:kern w:val="0"/>
      <w:szCs w:val="20"/>
    </w:rPr>
  </w:style>
  <w:style w:type="paragraph" w:customStyle="1" w:styleId="2719">
    <w:name w:val="Char4 Char Char Char Char Char Char Char Char Char Char Char Char Char Char Char Char Char1 Char Char Char Char Char Char1 Char1"/>
    <w:basedOn w:val="1"/>
    <w:qFormat/>
    <w:uiPriority w:val="0"/>
    <w:pPr>
      <w:spacing w:line="240" w:lineRule="exact"/>
      <w:ind w:firstLine="200"/>
    </w:pPr>
    <w:rPr>
      <w:sz w:val="28"/>
      <w:szCs w:val="28"/>
    </w:rPr>
  </w:style>
  <w:style w:type="paragraph" w:customStyle="1" w:styleId="2720">
    <w:name w:val="Char Char Char1 Char Char Char Char Char Char Char Char Char Char Char Char Char Char Char Char1"/>
    <w:basedOn w:val="1"/>
    <w:qFormat/>
    <w:uiPriority w:val="0"/>
    <w:pPr>
      <w:spacing w:line="240" w:lineRule="exact"/>
      <w:ind w:firstLine="200"/>
    </w:pPr>
    <w:rPr>
      <w:sz w:val="28"/>
      <w:szCs w:val="28"/>
    </w:rPr>
  </w:style>
  <w:style w:type="paragraph" w:customStyle="1" w:styleId="2721">
    <w:name w:val="表内文字小21311"/>
    <w:basedOn w:val="1"/>
    <w:qFormat/>
    <w:uiPriority w:val="99"/>
    <w:pPr>
      <w:spacing w:line="240" w:lineRule="auto"/>
      <w:jc w:val="center"/>
      <w:textAlignment w:val="baseline"/>
    </w:pPr>
    <w:rPr>
      <w:rFonts w:ascii="宋体" w:hAnsi="Times"/>
      <w:bCs/>
      <w:color w:val="000000"/>
      <w:sz w:val="21"/>
      <w:szCs w:val="20"/>
    </w:rPr>
  </w:style>
  <w:style w:type="paragraph" w:customStyle="1" w:styleId="2722">
    <w:name w:val="燕山正文114"/>
    <w:basedOn w:val="1"/>
    <w:qFormat/>
    <w:uiPriority w:val="99"/>
    <w:pPr>
      <w:tabs>
        <w:tab w:val="left" w:pos="4680"/>
      </w:tabs>
      <w:spacing w:line="480" w:lineRule="exact"/>
    </w:pPr>
    <w:rPr>
      <w:rFonts w:ascii="宋体" w:hAnsi="宋体" w:cs="宋体"/>
      <w:bCs/>
      <w:color w:val="000000"/>
    </w:rPr>
  </w:style>
  <w:style w:type="paragraph" w:customStyle="1" w:styleId="2723">
    <w:name w:val="表内宋511111"/>
    <w:basedOn w:val="80"/>
    <w:qFormat/>
    <w:uiPriority w:val="99"/>
    <w:pPr>
      <w:spacing w:before="0" w:beforeAutospacing="0" w:after="0" w:afterAutospacing="0"/>
      <w:jc w:val="both"/>
    </w:pPr>
    <w:rPr>
      <w:rFonts w:cs="宋体"/>
      <w:color w:val="000000"/>
    </w:rPr>
  </w:style>
  <w:style w:type="paragraph" w:customStyle="1" w:styleId="2724">
    <w:name w:val="Char4 Char Char Char Char Char Char Char Char Char Char Char Char Char Char Char Char Char1 Char Char Char"/>
    <w:basedOn w:val="1"/>
    <w:qFormat/>
    <w:uiPriority w:val="0"/>
    <w:pPr>
      <w:spacing w:line="240" w:lineRule="exact"/>
      <w:ind w:firstLine="200"/>
    </w:pPr>
    <w:rPr>
      <w:sz w:val="28"/>
      <w:szCs w:val="28"/>
    </w:rPr>
  </w:style>
  <w:style w:type="paragraph" w:customStyle="1" w:styleId="2725">
    <w:name w:val="表内文字小121"/>
    <w:basedOn w:val="1"/>
    <w:qFormat/>
    <w:uiPriority w:val="99"/>
    <w:pPr>
      <w:spacing w:line="240" w:lineRule="auto"/>
      <w:jc w:val="center"/>
    </w:pPr>
    <w:rPr>
      <w:rFonts w:ascii="宋体" w:hAnsi="Times"/>
      <w:sz w:val="21"/>
      <w:szCs w:val="20"/>
    </w:rPr>
  </w:style>
  <w:style w:type="paragraph" w:customStyle="1" w:styleId="2726">
    <w:name w:val="正文修改411"/>
    <w:basedOn w:val="900"/>
    <w:qFormat/>
    <w:uiPriority w:val="99"/>
    <w:pPr>
      <w:spacing w:line="480" w:lineRule="exact"/>
      <w:ind w:firstLine="0" w:firstLineChars="0"/>
    </w:pPr>
    <w:rPr>
      <w:rFonts w:cs="宋体"/>
      <w:sz w:val="24"/>
      <w:szCs w:val="24"/>
    </w:rPr>
  </w:style>
  <w:style w:type="paragraph" w:customStyle="1" w:styleId="2727">
    <w:name w:val="Char Char Char Char Char Char Char411"/>
    <w:basedOn w:val="1"/>
    <w:qFormat/>
    <w:uiPriority w:val="99"/>
    <w:pPr>
      <w:spacing w:line="240" w:lineRule="auto"/>
    </w:pPr>
    <w:rPr>
      <w:sz w:val="21"/>
    </w:rPr>
  </w:style>
  <w:style w:type="paragraph" w:customStyle="1" w:styleId="2728">
    <w:name w:val="表内文字边3"/>
    <w:basedOn w:val="1"/>
    <w:qFormat/>
    <w:uiPriority w:val="99"/>
    <w:pPr>
      <w:widowControl/>
      <w:spacing w:line="240" w:lineRule="atLeast"/>
      <w:ind w:left="-21" w:leftChars="-10" w:right="-42" w:rightChars="-20"/>
    </w:pPr>
    <w:rPr>
      <w:rFonts w:ascii="宋体"/>
      <w:kern w:val="0"/>
      <w:sz w:val="21"/>
      <w:szCs w:val="21"/>
    </w:rPr>
  </w:style>
  <w:style w:type="paragraph" w:customStyle="1" w:styleId="2729">
    <w:name w:val="表文字5311"/>
    <w:basedOn w:val="1"/>
    <w:qFormat/>
    <w:uiPriority w:val="99"/>
    <w:pPr>
      <w:spacing w:line="240" w:lineRule="auto"/>
      <w:jc w:val="left"/>
      <w:textAlignment w:val="baseline"/>
    </w:pPr>
    <w:rPr>
      <w:rFonts w:ascii="宋体"/>
      <w:kern w:val="0"/>
      <w:sz w:val="21"/>
      <w:szCs w:val="20"/>
    </w:rPr>
  </w:style>
  <w:style w:type="paragraph" w:customStyle="1" w:styleId="2730">
    <w:name w:val="样式 (中文) 楷体_GB2312 居中 行距: 固定值 12 磅"/>
    <w:basedOn w:val="1"/>
    <w:qFormat/>
    <w:uiPriority w:val="0"/>
    <w:pPr>
      <w:spacing w:line="240" w:lineRule="exact"/>
      <w:jc w:val="center"/>
    </w:pPr>
    <w:rPr>
      <w:rFonts w:eastAsia="楷体_GB2312"/>
      <w:sz w:val="21"/>
      <w:szCs w:val="20"/>
    </w:rPr>
  </w:style>
  <w:style w:type="paragraph" w:customStyle="1" w:styleId="2731">
    <w:name w:val="表中文字51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732">
    <w:name w:val="book1_1_1"/>
    <w:basedOn w:val="5"/>
    <w:qFormat/>
    <w:uiPriority w:val="0"/>
    <w:pPr>
      <w:keepNext w:val="0"/>
      <w:tabs>
        <w:tab w:val="left" w:pos="1050"/>
      </w:tabs>
      <w:spacing w:before="260" w:beforeLines="50" w:after="260" w:afterLines="50" w:line="400" w:lineRule="exact"/>
    </w:pPr>
    <w:rPr>
      <w:b w:val="0"/>
    </w:rPr>
  </w:style>
  <w:style w:type="paragraph" w:customStyle="1" w:styleId="2733">
    <w:name w:val="表题1311"/>
    <w:basedOn w:val="22"/>
    <w:qFormat/>
    <w:uiPriority w:val="99"/>
    <w:pPr>
      <w:tabs>
        <w:tab w:val="clear" w:pos="10467"/>
        <w:tab w:val="clear" w:pos="13095"/>
      </w:tabs>
      <w:adjustRightInd/>
      <w:snapToGrid/>
    </w:pPr>
    <w:rPr>
      <w:rFonts w:ascii="黑体" w:eastAsia="黑体"/>
    </w:rPr>
  </w:style>
  <w:style w:type="paragraph" w:customStyle="1" w:styleId="2734">
    <w:name w:val="book1_1_1_1"/>
    <w:basedOn w:val="6"/>
    <w:qFormat/>
    <w:uiPriority w:val="0"/>
    <w:pPr>
      <w:keepNext w:val="0"/>
      <w:spacing w:before="280" w:beforeLines="50" w:after="290" w:afterLines="50" w:line="400" w:lineRule="exact"/>
      <w:ind w:left="536"/>
    </w:pPr>
    <w:rPr>
      <w:rFonts w:ascii="宋体" w:hAnsi="宋体" w:cs="Arial"/>
      <w:b w:val="0"/>
      <w:lang w:val="zh-CN"/>
    </w:rPr>
  </w:style>
  <w:style w:type="paragraph" w:customStyle="1" w:styleId="2735">
    <w:name w:val="puce"/>
    <w:basedOn w:val="1"/>
    <w:qFormat/>
    <w:uiPriority w:val="0"/>
    <w:pPr>
      <w:widowControl/>
      <w:tabs>
        <w:tab w:val="left" w:pos="1319"/>
      </w:tabs>
      <w:spacing w:before="120" w:line="300" w:lineRule="auto"/>
      <w:ind w:left="1319" w:hanging="360"/>
    </w:pPr>
    <w:rPr>
      <w:rFonts w:ascii="Arial" w:hAnsi="Arial"/>
      <w:kern w:val="0"/>
      <w:szCs w:val="20"/>
    </w:rPr>
  </w:style>
  <w:style w:type="paragraph" w:customStyle="1" w:styleId="2736">
    <w:name w:val="表文字56"/>
    <w:basedOn w:val="1"/>
    <w:qFormat/>
    <w:uiPriority w:val="99"/>
    <w:pPr>
      <w:spacing w:line="240" w:lineRule="auto"/>
      <w:jc w:val="left"/>
      <w:textAlignment w:val="baseline"/>
    </w:pPr>
    <w:rPr>
      <w:rFonts w:ascii="宋体"/>
      <w:kern w:val="0"/>
      <w:sz w:val="21"/>
      <w:szCs w:val="20"/>
    </w:rPr>
  </w:style>
  <w:style w:type="paragraph" w:customStyle="1" w:styleId="2737">
    <w:name w:val="Char151"/>
    <w:basedOn w:val="1"/>
    <w:qFormat/>
    <w:uiPriority w:val="99"/>
    <w:pPr>
      <w:spacing w:beforeLines="50"/>
    </w:pPr>
    <w:rPr>
      <w:rFonts w:ascii="黑体" w:eastAsia="黑体"/>
      <w:sz w:val="32"/>
      <w:szCs w:val="32"/>
    </w:rPr>
  </w:style>
  <w:style w:type="paragraph" w:customStyle="1" w:styleId="2738">
    <w:name w:val="Char2 Char Char Char Char Char Char Char Char Char"/>
    <w:basedOn w:val="1"/>
    <w:qFormat/>
    <w:uiPriority w:val="0"/>
    <w:pPr>
      <w:spacing w:line="240" w:lineRule="auto"/>
    </w:pPr>
  </w:style>
  <w:style w:type="paragraph" w:customStyle="1" w:styleId="2739">
    <w:name w:val="黑体三号111"/>
    <w:basedOn w:val="185"/>
    <w:qFormat/>
    <w:uiPriority w:val="99"/>
    <w:pPr>
      <w:jc w:val="center"/>
    </w:pPr>
    <w:rPr>
      <w:rFonts w:ascii="黑体" w:hAnsi="宋体" w:eastAsia="黑体"/>
      <w:b/>
      <w:bCs/>
      <w:sz w:val="32"/>
      <w:szCs w:val="20"/>
    </w:rPr>
  </w:style>
  <w:style w:type="paragraph" w:customStyle="1" w:styleId="2740">
    <w:name w:val="表格题目"/>
    <w:basedOn w:val="1"/>
    <w:qFormat/>
    <w:uiPriority w:val="0"/>
    <w:pPr>
      <w:shd w:val="clear" w:color="auto" w:fill="FFFFFF"/>
      <w:jc w:val="center"/>
    </w:pPr>
    <w:rPr>
      <w:rFonts w:ascii="黑体" w:eastAsia="黑体"/>
      <w:b/>
      <w:color w:val="0000FF"/>
    </w:rPr>
  </w:style>
  <w:style w:type="paragraph" w:customStyle="1" w:styleId="2741">
    <w:name w:val="PSPSPSPS"/>
    <w:basedOn w:val="1"/>
    <w:qFormat/>
    <w:uiPriority w:val="0"/>
    <w:pPr>
      <w:spacing w:line="600" w:lineRule="atLeast"/>
      <w:textAlignment w:val="baseline"/>
    </w:pPr>
    <w:rPr>
      <w:kern w:val="0"/>
      <w:sz w:val="28"/>
      <w:szCs w:val="20"/>
    </w:rPr>
  </w:style>
  <w:style w:type="paragraph" w:customStyle="1" w:styleId="2742">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743">
    <w:name w:val="附录2级"/>
    <w:basedOn w:val="1"/>
    <w:qFormat/>
    <w:uiPriority w:val="0"/>
    <w:pPr>
      <w:shd w:val="clear" w:color="auto" w:fill="FFFFFF"/>
      <w:ind w:firstLine="480"/>
    </w:pPr>
  </w:style>
  <w:style w:type="paragraph" w:customStyle="1" w:styleId="2744">
    <w:name w:val="样式 标题 4 + 五号 非加粗 段后: 0 磅 行距: 最小值 0 磅"/>
    <w:basedOn w:val="6"/>
    <w:qFormat/>
    <w:uiPriority w:val="0"/>
    <w:pPr>
      <w:keepNext w:val="0"/>
      <w:tabs>
        <w:tab w:val="left" w:pos="1080"/>
      </w:tabs>
      <w:spacing w:before="0" w:after="0" w:line="0" w:lineRule="atLeast"/>
      <w:ind w:left="1080" w:hanging="1080"/>
      <w:jc w:val="left"/>
    </w:pPr>
    <w:rPr>
      <w:rFonts w:eastAsia="黑体"/>
      <w:b w:val="0"/>
      <w:bCs w:val="0"/>
      <w:sz w:val="21"/>
      <w:szCs w:val="20"/>
      <w:lang w:val="zh-CN"/>
    </w:rPr>
  </w:style>
  <w:style w:type="paragraph" w:customStyle="1" w:styleId="2745">
    <w:name w:val="表题3121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2746">
    <w:name w:val="环标1"/>
    <w:basedOn w:val="3"/>
    <w:qFormat/>
    <w:uiPriority w:val="0"/>
    <w:pPr>
      <w:keepNext w:val="0"/>
      <w:keepLines w:val="0"/>
      <w:spacing w:line="312" w:lineRule="atLeast"/>
      <w:jc w:val="left"/>
      <w:textAlignment w:val="baseline"/>
    </w:pPr>
    <w:rPr>
      <w:rFonts w:ascii="宋体" w:hAnsi="Courier New"/>
      <w:szCs w:val="20"/>
    </w:rPr>
  </w:style>
  <w:style w:type="paragraph" w:customStyle="1" w:styleId="2747">
    <w:name w:val="正文格式＝7"/>
    <w:basedOn w:val="185"/>
    <w:next w:val="185"/>
    <w:qFormat/>
    <w:uiPriority w:val="99"/>
    <w:rPr>
      <w:rFonts w:hAnsi="宋体" w:cs="Times New Roman"/>
    </w:rPr>
  </w:style>
  <w:style w:type="paragraph" w:customStyle="1" w:styleId="2748">
    <w:name w:val="小四正文"/>
    <w:qFormat/>
    <w:uiPriority w:val="0"/>
    <w:pPr>
      <w:adjustRightInd w:val="0"/>
      <w:snapToGrid w:val="0"/>
      <w:spacing w:before="16" w:line="300" w:lineRule="auto"/>
      <w:ind w:firstLine="200" w:firstLineChars="200"/>
      <w:jc w:val="both"/>
    </w:pPr>
    <w:rPr>
      <w:rFonts w:ascii="Times New Roman" w:hAnsi="Times New Roman" w:eastAsia="仿宋_GB2312" w:cs="Times New Roman"/>
      <w:kern w:val="2"/>
      <w:sz w:val="30"/>
      <w:szCs w:val="24"/>
      <w:lang w:val="en-US" w:eastAsia="zh-CN" w:bidi="ar-SA"/>
    </w:rPr>
  </w:style>
  <w:style w:type="paragraph" w:customStyle="1" w:styleId="2749">
    <w:name w:val="Char511"/>
    <w:basedOn w:val="1"/>
    <w:qFormat/>
    <w:uiPriority w:val="99"/>
    <w:pPr>
      <w:spacing w:line="240" w:lineRule="auto"/>
      <w:ind w:left="-45"/>
    </w:pPr>
    <w:rPr>
      <w:sz w:val="21"/>
    </w:rPr>
  </w:style>
  <w:style w:type="paragraph" w:customStyle="1" w:styleId="2750">
    <w:name w:val="表题16"/>
    <w:basedOn w:val="22"/>
    <w:qFormat/>
    <w:uiPriority w:val="99"/>
    <w:pPr>
      <w:tabs>
        <w:tab w:val="clear" w:pos="10467"/>
        <w:tab w:val="clear" w:pos="13095"/>
      </w:tabs>
      <w:adjustRightInd/>
      <w:snapToGrid/>
    </w:pPr>
    <w:rPr>
      <w:rFonts w:ascii="黑体" w:eastAsia="黑体"/>
    </w:rPr>
  </w:style>
  <w:style w:type="paragraph" w:customStyle="1" w:styleId="2751">
    <w:name w:val="Char Char2 Char Char Char Char41"/>
    <w:basedOn w:val="1"/>
    <w:qFormat/>
    <w:uiPriority w:val="99"/>
    <w:pPr>
      <w:spacing w:line="240" w:lineRule="auto"/>
    </w:pPr>
    <w:rPr>
      <w:sz w:val="21"/>
    </w:rPr>
  </w:style>
  <w:style w:type="paragraph" w:customStyle="1" w:styleId="2752">
    <w:name w:val="大妹正文 Char"/>
    <w:basedOn w:val="3"/>
    <w:qFormat/>
    <w:uiPriority w:val="0"/>
    <w:pPr>
      <w:keepNext w:val="0"/>
      <w:keepLines w:val="0"/>
      <w:ind w:right="-36" w:rightChars="-15" w:firstLine="1440"/>
      <w:outlineLvl w:val="9"/>
    </w:pPr>
    <w:rPr>
      <w:rFonts w:ascii="黑体" w:eastAsia="黑体"/>
      <w:color w:val="000000"/>
      <w:sz w:val="24"/>
      <w:szCs w:val="24"/>
    </w:rPr>
  </w:style>
  <w:style w:type="paragraph" w:customStyle="1" w:styleId="2753">
    <w:name w:val="表格内字体8"/>
    <w:basedOn w:val="185"/>
    <w:next w:val="185"/>
    <w:qFormat/>
    <w:uiPriority w:val="99"/>
    <w:pPr>
      <w:spacing w:line="240" w:lineRule="auto"/>
      <w:ind w:firstLine="0"/>
      <w:jc w:val="center"/>
    </w:pPr>
    <w:rPr>
      <w:rFonts w:hAnsi="宋体" w:cs="Times New Roman"/>
      <w:sz w:val="21"/>
    </w:rPr>
  </w:style>
  <w:style w:type="paragraph" w:customStyle="1" w:styleId="2754">
    <w:name w:val="表号"/>
    <w:basedOn w:val="1431"/>
    <w:qFormat/>
    <w:uiPriority w:val="0"/>
    <w:pPr>
      <w:jc w:val="left"/>
    </w:pPr>
    <w:rPr>
      <w:sz w:val="21"/>
    </w:rPr>
  </w:style>
  <w:style w:type="paragraph" w:customStyle="1" w:styleId="2755">
    <w:name w:val="正文.4"/>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56">
    <w:name w:val="样式 小四 首行缩进:  2 字符"/>
    <w:basedOn w:val="1"/>
    <w:qFormat/>
    <w:uiPriority w:val="0"/>
    <w:pPr>
      <w:spacing w:line="400" w:lineRule="exact"/>
      <w:ind w:firstLine="200"/>
    </w:pPr>
    <w:rPr>
      <w:rFonts w:cs="宋体"/>
      <w:szCs w:val="20"/>
    </w:rPr>
  </w:style>
  <w:style w:type="paragraph" w:customStyle="1" w:styleId="2757">
    <w:name w:val="表名称"/>
    <w:qFormat/>
    <w:uiPriority w:val="0"/>
    <w:pPr>
      <w:widowControl w:val="0"/>
      <w:adjustRightInd w:val="0"/>
      <w:snapToGrid w:val="0"/>
      <w:jc w:val="center"/>
    </w:pPr>
    <w:rPr>
      <w:rFonts w:ascii="Times New Roman" w:hAnsi="Times New Roman" w:eastAsia="宋体" w:cs="Times New Roman"/>
      <w:snapToGrid w:val="0"/>
      <w:sz w:val="24"/>
      <w:szCs w:val="24"/>
      <w:lang w:val="en-US" w:eastAsia="zh-CN" w:bidi="ar-SA"/>
    </w:rPr>
  </w:style>
  <w:style w:type="paragraph" w:customStyle="1" w:styleId="2758">
    <w:name w:val="表内文字小21111"/>
    <w:basedOn w:val="1"/>
    <w:qFormat/>
    <w:uiPriority w:val="99"/>
    <w:pPr>
      <w:spacing w:line="240" w:lineRule="auto"/>
      <w:jc w:val="center"/>
    </w:pPr>
    <w:rPr>
      <w:rFonts w:ascii="宋体" w:hAnsi="Times"/>
      <w:bCs/>
      <w:color w:val="000000"/>
      <w:sz w:val="21"/>
      <w:szCs w:val="20"/>
    </w:rPr>
  </w:style>
  <w:style w:type="paragraph" w:customStyle="1" w:styleId="2759">
    <w:name w:val="我的表头"/>
    <w:basedOn w:val="1"/>
    <w:qFormat/>
    <w:uiPriority w:val="0"/>
    <w:pPr>
      <w:spacing w:line="240" w:lineRule="auto"/>
      <w:jc w:val="center"/>
    </w:pPr>
    <w:rPr>
      <w:b/>
      <w:kern w:val="28"/>
    </w:rPr>
  </w:style>
  <w:style w:type="paragraph" w:customStyle="1" w:styleId="2760">
    <w:name w:val="我的表格"/>
    <w:basedOn w:val="1462"/>
    <w:qFormat/>
    <w:uiPriority w:val="99"/>
    <w:pPr>
      <w:widowControl w:val="0"/>
      <w:spacing w:before="20" w:after="20" w:line="240" w:lineRule="auto"/>
      <w:ind w:left="-136" w:leftChars="-62" w:right="-158" w:rightChars="-66" w:hanging="13"/>
      <w:textAlignment w:val="baseline"/>
    </w:pPr>
    <w:rPr>
      <w:rFonts w:cs="Times New Roman"/>
    </w:rPr>
  </w:style>
  <w:style w:type="paragraph" w:customStyle="1" w:styleId="2761">
    <w:name w:val="表题143"/>
    <w:basedOn w:val="22"/>
    <w:qFormat/>
    <w:uiPriority w:val="99"/>
    <w:pPr>
      <w:tabs>
        <w:tab w:val="clear" w:pos="10467"/>
        <w:tab w:val="clear" w:pos="13095"/>
      </w:tabs>
      <w:adjustRightInd/>
      <w:snapToGrid/>
    </w:pPr>
    <w:rPr>
      <w:rFonts w:ascii="黑体" w:eastAsia="黑体"/>
    </w:rPr>
  </w:style>
  <w:style w:type="paragraph" w:customStyle="1" w:styleId="2762">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763">
    <w:name w:val="三级无标题条"/>
    <w:basedOn w:val="1"/>
    <w:qFormat/>
    <w:uiPriority w:val="0"/>
    <w:pPr>
      <w:spacing w:line="240" w:lineRule="auto"/>
    </w:pPr>
    <w:rPr>
      <w:sz w:val="21"/>
    </w:rPr>
  </w:style>
  <w:style w:type="paragraph" w:customStyle="1" w:styleId="2764">
    <w:name w:val="Char172"/>
    <w:basedOn w:val="1"/>
    <w:qFormat/>
    <w:uiPriority w:val="99"/>
    <w:pPr>
      <w:spacing w:line="240" w:lineRule="auto"/>
      <w:ind w:left="-48"/>
    </w:pPr>
    <w:rPr>
      <w:sz w:val="21"/>
    </w:rPr>
  </w:style>
  <w:style w:type="paragraph" w:customStyle="1" w:styleId="2765">
    <w:name w:val="样式 LNG－标题1 + 居中 段前: 0.5 行 段后: 0.5 行"/>
    <w:basedOn w:val="1257"/>
    <w:qFormat/>
    <w:uiPriority w:val="0"/>
    <w:pPr>
      <w:tabs>
        <w:tab w:val="left" w:pos="425"/>
      </w:tabs>
      <w:spacing w:before="156" w:after="156"/>
      <w:ind w:left="425" w:hanging="425"/>
      <w:jc w:val="center"/>
    </w:pPr>
    <w:rPr>
      <w:rFonts w:cs="宋体"/>
      <w:bCs/>
      <w:szCs w:val="20"/>
    </w:rPr>
  </w:style>
  <w:style w:type="paragraph" w:customStyle="1" w:styleId="2766">
    <w:name w:val="LNG-标题3"/>
    <w:basedOn w:val="1"/>
    <w:qFormat/>
    <w:uiPriority w:val="0"/>
    <w:pPr>
      <w:outlineLvl w:val="2"/>
    </w:pPr>
    <w:rPr>
      <w:b/>
    </w:rPr>
  </w:style>
  <w:style w:type="paragraph" w:customStyle="1" w:styleId="2767">
    <w:name w:val="标1"/>
    <w:basedOn w:val="3"/>
    <w:qFormat/>
    <w:uiPriority w:val="0"/>
    <w:pPr>
      <w:keepNext w:val="0"/>
      <w:spacing w:before="360" w:after="320" w:line="324" w:lineRule="auto"/>
      <w:jc w:val="center"/>
    </w:pPr>
    <w:rPr>
      <w:sz w:val="44"/>
      <w:szCs w:val="20"/>
    </w:rPr>
  </w:style>
  <w:style w:type="paragraph" w:customStyle="1" w:styleId="2768">
    <w:name w:val="样式 LNG－标题1 + 居中 段前: 0.5 行 段后: 0.5 行1"/>
    <w:qFormat/>
    <w:uiPriority w:val="0"/>
    <w:pPr>
      <w:tabs>
        <w:tab w:val="left" w:pos="425"/>
      </w:tabs>
      <w:spacing w:before="156" w:after="156"/>
      <w:ind w:left="425" w:hanging="425"/>
      <w:jc w:val="center"/>
    </w:pPr>
    <w:rPr>
      <w:rFonts w:ascii="Times New Roman" w:hAnsi="Times New Roman" w:eastAsia="宋体" w:cs="宋体"/>
      <w:b/>
      <w:bCs/>
      <w:sz w:val="32"/>
      <w:lang w:val="en-US" w:eastAsia="zh-CN" w:bidi="ar-SA"/>
    </w:rPr>
  </w:style>
  <w:style w:type="paragraph" w:customStyle="1" w:styleId="2769">
    <w:name w:val="样式 宋体 加宽量  1 磅 首行缩进:  6 字符"/>
    <w:basedOn w:val="1"/>
    <w:qFormat/>
    <w:uiPriority w:val="0"/>
    <w:pPr>
      <w:ind w:firstLine="1680" w:firstLineChars="600"/>
    </w:pPr>
    <w:rPr>
      <w:rFonts w:ascii="宋体" w:hAnsi="宋体" w:cs="宋体"/>
      <w:kern w:val="0"/>
    </w:rPr>
  </w:style>
  <w:style w:type="paragraph" w:customStyle="1" w:styleId="2770">
    <w:name w:val="公文正文"/>
    <w:qFormat/>
    <w:uiPriority w:val="0"/>
    <w:pPr>
      <w:ind w:firstLine="632" w:firstLineChars="200"/>
    </w:pPr>
    <w:rPr>
      <w:rFonts w:ascii="Times New Roman" w:hAnsi="Times New Roman" w:eastAsia="仿宋_GB2312" w:cs="Times New Roman"/>
      <w:kern w:val="2"/>
      <w:sz w:val="32"/>
      <w:szCs w:val="24"/>
      <w:lang w:val="en-US" w:eastAsia="zh-CN" w:bidi="ar-SA"/>
    </w:rPr>
  </w:style>
  <w:style w:type="paragraph" w:customStyle="1" w:styleId="2771">
    <w:name w:val="1.1.1"/>
    <w:basedOn w:val="1"/>
    <w:qFormat/>
    <w:uiPriority w:val="0"/>
    <w:pPr>
      <w:spacing w:line="240" w:lineRule="auto"/>
    </w:pPr>
    <w:rPr>
      <w:rFonts w:ascii="黑体"/>
    </w:rPr>
  </w:style>
  <w:style w:type="paragraph" w:customStyle="1" w:styleId="2772">
    <w:name w:val="中文报告书样式"/>
    <w:basedOn w:val="1"/>
    <w:qFormat/>
    <w:uiPriority w:val="99"/>
    <w:pPr>
      <w:spacing w:line="520" w:lineRule="exact"/>
      <w:ind w:firstLine="578"/>
      <w:textAlignment w:val="baseline"/>
    </w:pPr>
    <w:rPr>
      <w:kern w:val="24"/>
      <w:sz w:val="28"/>
      <w:szCs w:val="20"/>
    </w:rPr>
  </w:style>
  <w:style w:type="paragraph" w:customStyle="1" w:styleId="2773">
    <w:name w:val="引用文章"/>
    <w:basedOn w:val="1"/>
    <w:qFormat/>
    <w:uiPriority w:val="0"/>
    <w:pPr>
      <w:ind w:firstLine="420"/>
    </w:pPr>
    <w:rPr>
      <w:rFonts w:eastAsia="楷体_GB2312"/>
      <w:szCs w:val="20"/>
    </w:rPr>
  </w:style>
  <w:style w:type="paragraph" w:customStyle="1" w:styleId="2774">
    <w:name w:val="表格居中"/>
    <w:basedOn w:val="1462"/>
    <w:qFormat/>
    <w:uiPriority w:val="0"/>
    <w:pPr>
      <w:widowControl w:val="0"/>
      <w:adjustRightInd/>
      <w:snapToGrid/>
      <w:spacing w:line="240" w:lineRule="auto"/>
    </w:pPr>
    <w:rPr>
      <w:rFonts w:cs="Times New Roman"/>
      <w:szCs w:val="24"/>
    </w:rPr>
  </w:style>
  <w:style w:type="paragraph" w:customStyle="1" w:styleId="2775">
    <w:name w:val="正文格式＝61"/>
    <w:basedOn w:val="185"/>
    <w:next w:val="185"/>
    <w:qFormat/>
    <w:uiPriority w:val="99"/>
    <w:rPr>
      <w:rFonts w:hAnsi="宋体" w:cs="Times New Roman"/>
    </w:rPr>
  </w:style>
  <w:style w:type="paragraph" w:customStyle="1" w:styleId="2776">
    <w:name w:val="表头右"/>
    <w:basedOn w:val="1"/>
    <w:qFormat/>
    <w:uiPriority w:val="0"/>
    <w:pPr>
      <w:ind w:firstLine="448"/>
      <w:jc w:val="right"/>
    </w:pPr>
    <w:rPr>
      <w:sz w:val="21"/>
    </w:rPr>
  </w:style>
  <w:style w:type="paragraph" w:customStyle="1" w:styleId="2777">
    <w:name w:val="表头居右"/>
    <w:basedOn w:val="1578"/>
    <w:qFormat/>
    <w:uiPriority w:val="0"/>
    <w:pPr>
      <w:widowControl/>
      <w:spacing w:line="240" w:lineRule="auto"/>
      <w:ind w:right="144" w:rightChars="60" w:firstLine="240" w:firstLineChars="100"/>
    </w:pPr>
    <w:rPr>
      <w:rFonts w:ascii="Calibri" w:hAnsi="Calibri" w:eastAsia="宋体"/>
      <w:bCs w:val="0"/>
      <w:color w:val="auto"/>
      <w:kern w:val="0"/>
      <w:szCs w:val="20"/>
    </w:rPr>
  </w:style>
  <w:style w:type="paragraph" w:customStyle="1" w:styleId="2778">
    <w:name w:val="标记文字"/>
    <w:basedOn w:val="22"/>
    <w:qFormat/>
    <w:uiPriority w:val="0"/>
    <w:pPr>
      <w:tabs>
        <w:tab w:val="clear" w:pos="10467"/>
        <w:tab w:val="clear" w:pos="13095"/>
      </w:tabs>
      <w:adjustRightInd/>
      <w:snapToGrid/>
      <w:spacing w:afterLines="50" w:line="500" w:lineRule="exact"/>
      <w:ind w:left="200" w:hanging="200" w:hangingChars="200"/>
      <w:jc w:val="both"/>
    </w:pPr>
    <w:rPr>
      <w:rFonts w:eastAsia="黑体" w:cs="Times New Roman"/>
      <w:sz w:val="21"/>
    </w:rPr>
  </w:style>
  <w:style w:type="paragraph" w:customStyle="1" w:styleId="2779">
    <w:name w:val="表文字513"/>
    <w:basedOn w:val="1"/>
    <w:qFormat/>
    <w:uiPriority w:val="99"/>
    <w:pPr>
      <w:spacing w:line="240" w:lineRule="auto"/>
      <w:jc w:val="left"/>
      <w:textAlignment w:val="baseline"/>
    </w:pPr>
    <w:rPr>
      <w:rFonts w:ascii="宋体"/>
      <w:kern w:val="0"/>
      <w:sz w:val="21"/>
      <w:szCs w:val="20"/>
    </w:rPr>
  </w:style>
  <w:style w:type="paragraph" w:customStyle="1" w:styleId="2780">
    <w:name w:val="黑体三号12"/>
    <w:basedOn w:val="185"/>
    <w:qFormat/>
    <w:uiPriority w:val="99"/>
    <w:pPr>
      <w:jc w:val="center"/>
    </w:pPr>
    <w:rPr>
      <w:rFonts w:ascii="黑体" w:hAnsi="宋体" w:eastAsia="黑体"/>
      <w:b/>
      <w:bCs/>
      <w:sz w:val="32"/>
      <w:szCs w:val="20"/>
    </w:rPr>
  </w:style>
  <w:style w:type="paragraph" w:customStyle="1" w:styleId="2781">
    <w:name w:val="块项目"/>
    <w:next w:val="1"/>
    <w:qFormat/>
    <w:uiPriority w:val="99"/>
    <w:pPr>
      <w:tabs>
        <w:tab w:val="left" w:pos="840"/>
      </w:tabs>
      <w:spacing w:before="120" w:after="120"/>
      <w:ind w:firstLine="420"/>
    </w:pPr>
    <w:rPr>
      <w:rFonts w:ascii="黑体" w:hAnsi="Times New Roman" w:eastAsia="黑体" w:cs="Times New Roman"/>
      <w:b/>
      <w:spacing w:val="20"/>
      <w:sz w:val="24"/>
      <w:lang w:val="en-US" w:eastAsia="zh-CN" w:bidi="ar-SA"/>
    </w:rPr>
  </w:style>
  <w:style w:type="paragraph" w:customStyle="1" w:styleId="2782">
    <w:name w:val="样式 题注 + 首行缩进:  2 字符1"/>
    <w:basedOn w:val="22"/>
    <w:qFormat/>
    <w:uiPriority w:val="0"/>
    <w:pPr>
      <w:keepNext/>
      <w:tabs>
        <w:tab w:val="clear" w:pos="10467"/>
        <w:tab w:val="clear" w:pos="13095"/>
      </w:tabs>
      <w:adjustRightInd/>
      <w:snapToGrid/>
      <w:spacing w:before="152" w:afterLines="50"/>
      <w:ind w:firstLine="200"/>
      <w:jc w:val="both"/>
    </w:pPr>
    <w:rPr>
      <w:rFonts w:eastAsia="黑体" w:cs="Times New Roman"/>
      <w:sz w:val="21"/>
    </w:rPr>
  </w:style>
  <w:style w:type="paragraph" w:customStyle="1" w:styleId="2783">
    <w:name w:val="表头居左"/>
    <w:basedOn w:val="2777"/>
    <w:qFormat/>
    <w:uiPriority w:val="0"/>
    <w:pPr>
      <w:spacing w:before="326" w:line="260" w:lineRule="exact"/>
      <w:ind w:firstLine="254"/>
      <w:jc w:val="both"/>
    </w:pPr>
  </w:style>
  <w:style w:type="paragraph" w:customStyle="1" w:styleId="2784">
    <w:name w:val="题目"/>
    <w:basedOn w:val="3"/>
    <w:next w:val="1"/>
    <w:qFormat/>
    <w:uiPriority w:val="0"/>
    <w:pPr>
      <w:spacing w:before="100" w:beforeAutospacing="1" w:after="100" w:afterAutospacing="1" w:line="240" w:lineRule="auto"/>
      <w:ind w:left="100" w:leftChars="100" w:right="100" w:rightChars="100"/>
      <w:jc w:val="center"/>
    </w:pPr>
    <w:rPr>
      <w:rFonts w:eastAsia="黑体"/>
      <w:bCs w:val="0"/>
      <w:szCs w:val="30"/>
    </w:rPr>
  </w:style>
  <w:style w:type="paragraph" w:customStyle="1" w:styleId="2785">
    <w:name w:val="默认段落字体 Para Char Char Char Char41"/>
    <w:basedOn w:val="1"/>
    <w:qFormat/>
    <w:uiPriority w:val="99"/>
    <w:pPr>
      <w:spacing w:line="240" w:lineRule="auto"/>
    </w:pPr>
    <w:rPr>
      <w:sz w:val="21"/>
    </w:rPr>
  </w:style>
  <w:style w:type="paragraph" w:customStyle="1" w:styleId="2786">
    <w:name w:val="表头5"/>
    <w:basedOn w:val="1"/>
    <w:qFormat/>
    <w:uiPriority w:val="99"/>
    <w:pPr>
      <w:tabs>
        <w:tab w:val="left" w:pos="625"/>
      </w:tabs>
      <w:spacing w:beforeLines="100" w:afterLines="50" w:line="240" w:lineRule="atLeast"/>
      <w:ind w:left="950" w:leftChars="250" w:hanging="425"/>
    </w:pPr>
    <w:rPr>
      <w:b/>
    </w:rPr>
  </w:style>
  <w:style w:type="paragraph" w:customStyle="1" w:styleId="2787">
    <w:name w:val="生物拉丁文"/>
    <w:basedOn w:val="1"/>
    <w:qFormat/>
    <w:uiPriority w:val="0"/>
    <w:pPr>
      <w:tabs>
        <w:tab w:val="left" w:pos="-120"/>
        <w:tab w:val="left" w:pos="625"/>
      </w:tabs>
      <w:overflowPunct w:val="0"/>
      <w:topLinePunct/>
      <w:autoSpaceDE w:val="0"/>
      <w:spacing w:before="60" w:afterLines="50" w:line="0" w:lineRule="atLeast"/>
      <w:ind w:firstLine="454"/>
    </w:pPr>
    <w:rPr>
      <w:i/>
      <w:spacing w:val="20"/>
      <w:szCs w:val="20"/>
    </w:rPr>
  </w:style>
  <w:style w:type="paragraph" w:customStyle="1" w:styleId="2788">
    <w:name w:val="表头6"/>
    <w:basedOn w:val="2786"/>
    <w:qFormat/>
    <w:uiPriority w:val="0"/>
    <w:pPr>
      <w:tabs>
        <w:tab w:val="left" w:pos="843"/>
        <w:tab w:val="left" w:pos="1774"/>
        <w:tab w:val="clear" w:pos="625"/>
      </w:tabs>
      <w:ind w:left="992" w:leftChars="0" w:hanging="363"/>
    </w:pPr>
  </w:style>
  <w:style w:type="paragraph" w:customStyle="1" w:styleId="2789">
    <w:name w:val="样式 生物附录 + 小四 段前: 6 磅 段后: 6 磅 非加宽量 / 紧缩量  行距: 1.5 倍行距"/>
    <w:basedOn w:val="1"/>
    <w:qFormat/>
    <w:uiPriority w:val="0"/>
    <w:pPr>
      <w:widowControl/>
      <w:spacing w:before="100" w:beforeAutospacing="1" w:after="100" w:afterAutospacing="1"/>
    </w:pPr>
    <w:rPr>
      <w:b/>
      <w:bCs/>
      <w:szCs w:val="20"/>
    </w:rPr>
  </w:style>
  <w:style w:type="paragraph" w:customStyle="1" w:styleId="2790">
    <w:name w:val="样式 生物附录 + 小四 段前: 6 磅 段后: 6 磅 非加宽量 / 紧缩量  行距: 1.5 倍行距1"/>
    <w:basedOn w:val="1"/>
    <w:qFormat/>
    <w:uiPriority w:val="0"/>
    <w:pPr>
      <w:widowControl/>
      <w:spacing w:before="120" w:after="120"/>
    </w:pPr>
    <w:rPr>
      <w:b/>
      <w:bCs/>
      <w:szCs w:val="20"/>
    </w:rPr>
  </w:style>
  <w:style w:type="paragraph" w:customStyle="1" w:styleId="2791">
    <w:name w:val="表中文字7"/>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2792">
    <w:name w:val="生物中文名"/>
    <w:basedOn w:val="1"/>
    <w:qFormat/>
    <w:uiPriority w:val="0"/>
    <w:pPr>
      <w:tabs>
        <w:tab w:val="left" w:pos="-120"/>
      </w:tabs>
      <w:overflowPunct w:val="0"/>
      <w:topLinePunct/>
      <w:autoSpaceDE w:val="0"/>
      <w:spacing w:before="60" w:afterLines="50" w:line="0" w:lineRule="atLeast"/>
      <w:ind w:firstLine="454"/>
    </w:pPr>
    <w:rPr>
      <w:spacing w:val="20"/>
      <w:szCs w:val="20"/>
    </w:rPr>
  </w:style>
  <w:style w:type="paragraph" w:customStyle="1" w:styleId="2793">
    <w:name w:val="Char Char Char Char1 Char Char Char3"/>
    <w:basedOn w:val="1"/>
    <w:qFormat/>
    <w:uiPriority w:val="99"/>
    <w:pPr>
      <w:widowControl/>
      <w:spacing w:after="160" w:line="240" w:lineRule="exact"/>
      <w:jc w:val="left"/>
    </w:pPr>
    <w:rPr>
      <w:rFonts w:ascii="Verdana" w:hAnsi="Verdana"/>
      <w:kern w:val="0"/>
      <w:sz w:val="20"/>
      <w:szCs w:val="20"/>
      <w:lang w:eastAsia="en-US"/>
    </w:rPr>
  </w:style>
  <w:style w:type="paragraph" w:customStyle="1" w:styleId="2794">
    <w:name w:val="生物中文类名"/>
    <w:basedOn w:val="1"/>
    <w:qFormat/>
    <w:uiPriority w:val="0"/>
    <w:pPr>
      <w:tabs>
        <w:tab w:val="left" w:pos="-120"/>
      </w:tabs>
      <w:overflowPunct w:val="0"/>
      <w:topLinePunct/>
      <w:autoSpaceDE w:val="0"/>
      <w:spacing w:before="60" w:afterLines="50" w:line="310" w:lineRule="atLeast"/>
      <w:ind w:firstLine="454"/>
    </w:pPr>
    <w:rPr>
      <w:b/>
      <w:spacing w:val="20"/>
      <w:szCs w:val="20"/>
    </w:rPr>
  </w:style>
  <w:style w:type="paragraph" w:customStyle="1" w:styleId="2795">
    <w:name w:val="生物拉丁文名"/>
    <w:basedOn w:val="1"/>
    <w:qFormat/>
    <w:uiPriority w:val="0"/>
    <w:pPr>
      <w:tabs>
        <w:tab w:val="left" w:pos="-120"/>
      </w:tabs>
      <w:overflowPunct w:val="0"/>
      <w:topLinePunct/>
      <w:autoSpaceDE w:val="0"/>
      <w:spacing w:before="60" w:afterLines="50" w:line="0" w:lineRule="atLeast"/>
      <w:ind w:firstLine="454"/>
    </w:pPr>
    <w:rPr>
      <w:i/>
      <w:spacing w:val="20"/>
      <w:szCs w:val="20"/>
    </w:rPr>
  </w:style>
  <w:style w:type="paragraph" w:customStyle="1" w:styleId="2796">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2797">
    <w:name w:val="bgbt6插图标题"/>
    <w:next w:val="1660"/>
    <w:qFormat/>
    <w:uiPriority w:val="0"/>
    <w:pPr>
      <w:spacing w:after="60"/>
      <w:outlineLvl w:val="5"/>
    </w:pPr>
    <w:rPr>
      <w:rFonts w:ascii="Times New Roman" w:hAnsi="Times New Roman" w:eastAsia="宋体" w:cs="Times New Roman"/>
      <w:lang w:val="en-US" w:eastAsia="zh-CN" w:bidi="ar-SA"/>
    </w:rPr>
  </w:style>
  <w:style w:type="paragraph" w:customStyle="1" w:styleId="2798">
    <w:name w:val="bgbt5附表标题"/>
    <w:basedOn w:val="1657"/>
    <w:next w:val="1660"/>
    <w:qFormat/>
    <w:uiPriority w:val="0"/>
    <w:pPr>
      <w:spacing w:before="60" w:after="0"/>
      <w:ind w:firstLine="0"/>
      <w:jc w:val="center"/>
      <w:outlineLvl w:val="4"/>
    </w:pPr>
    <w:rPr>
      <w:sz w:val="21"/>
    </w:rPr>
  </w:style>
  <w:style w:type="paragraph" w:customStyle="1" w:styleId="2799">
    <w:name w:val="A标题"/>
    <w:basedOn w:val="6"/>
    <w:qFormat/>
    <w:uiPriority w:val="0"/>
    <w:pPr>
      <w:tabs>
        <w:tab w:val="left" w:pos="-120"/>
        <w:tab w:val="left" w:pos="198"/>
        <w:tab w:val="left" w:pos="625"/>
      </w:tabs>
      <w:spacing w:before="60" w:after="60" w:line="264" w:lineRule="auto"/>
      <w:ind w:left="625" w:hanging="425"/>
      <w:jc w:val="left"/>
    </w:pPr>
    <w:rPr>
      <w:rFonts w:eastAsia="黑体"/>
      <w:b w:val="0"/>
      <w:spacing w:val="20"/>
      <w:szCs w:val="20"/>
      <w:lang w:val="zh-CN"/>
    </w:rPr>
  </w:style>
  <w:style w:type="paragraph" w:customStyle="1" w:styleId="2800">
    <w:name w:val="默认段落字体 Para Char Char Char Char12"/>
    <w:basedOn w:val="1"/>
    <w:qFormat/>
    <w:uiPriority w:val="99"/>
    <w:pPr>
      <w:spacing w:line="240" w:lineRule="auto"/>
    </w:pPr>
    <w:rPr>
      <w:sz w:val="21"/>
    </w:rPr>
  </w:style>
  <w:style w:type="paragraph" w:customStyle="1" w:styleId="2801">
    <w:name w:val="表头4"/>
    <w:basedOn w:val="2786"/>
    <w:qFormat/>
    <w:uiPriority w:val="0"/>
    <w:pPr>
      <w:tabs>
        <w:tab w:val="left" w:pos="360"/>
        <w:tab w:val="clear" w:pos="625"/>
      </w:tabs>
      <w:ind w:left="0" w:firstLine="0"/>
    </w:pPr>
  </w:style>
  <w:style w:type="paragraph" w:customStyle="1" w:styleId="2802">
    <w:name w:val="表头8"/>
    <w:basedOn w:val="2788"/>
    <w:qFormat/>
    <w:uiPriority w:val="0"/>
    <w:pPr>
      <w:tabs>
        <w:tab w:val="left" w:pos="903"/>
        <w:tab w:val="left" w:pos="1728"/>
        <w:tab w:val="clear" w:pos="843"/>
      </w:tabs>
      <w:ind w:left="845"/>
    </w:pPr>
  </w:style>
  <w:style w:type="paragraph" w:customStyle="1" w:styleId="2803">
    <w:name w:val="样式 题目 + 左侧:  1 字符 右侧:  1 字符"/>
    <w:basedOn w:val="3"/>
    <w:qFormat/>
    <w:uiPriority w:val="0"/>
    <w:pPr>
      <w:spacing w:before="100" w:beforeAutospacing="1" w:after="100" w:afterAutospacing="1"/>
      <w:ind w:right="238"/>
      <w:jc w:val="center"/>
    </w:pPr>
    <w:rPr>
      <w:rFonts w:eastAsia="黑体"/>
      <w:bCs w:val="0"/>
      <w:snapToGrid w:val="0"/>
      <w:kern w:val="2"/>
      <w:sz w:val="24"/>
      <w:szCs w:val="20"/>
    </w:rPr>
  </w:style>
  <w:style w:type="paragraph" w:customStyle="1" w:styleId="2804">
    <w:name w:val="附录标识"/>
    <w:basedOn w:val="1"/>
    <w:qFormat/>
    <w:uiPriority w:val="0"/>
    <w:pPr>
      <w:widowControl/>
      <w:shd w:val="clear" w:color="FFFFFF" w:fill="FFFFFF"/>
      <w:tabs>
        <w:tab w:val="left" w:pos="632"/>
        <w:tab w:val="left" w:pos="6405"/>
      </w:tabs>
      <w:spacing w:before="640" w:after="200" w:line="240" w:lineRule="auto"/>
      <w:ind w:left="632" w:hanging="432"/>
      <w:jc w:val="center"/>
      <w:outlineLvl w:val="0"/>
    </w:pPr>
    <w:rPr>
      <w:rFonts w:ascii="黑体" w:eastAsia="黑体"/>
      <w:kern w:val="0"/>
      <w:sz w:val="21"/>
      <w:szCs w:val="20"/>
    </w:rPr>
  </w:style>
  <w:style w:type="paragraph" w:customStyle="1" w:styleId="2805">
    <w:name w:val="表内文字小81"/>
    <w:basedOn w:val="1"/>
    <w:qFormat/>
    <w:uiPriority w:val="99"/>
    <w:pPr>
      <w:spacing w:line="240" w:lineRule="auto"/>
      <w:jc w:val="center"/>
    </w:pPr>
    <w:rPr>
      <w:rFonts w:ascii="宋体" w:hAnsi="Times" w:cs="宋体"/>
      <w:sz w:val="21"/>
      <w:szCs w:val="20"/>
    </w:rPr>
  </w:style>
  <w:style w:type="paragraph" w:customStyle="1" w:styleId="2806">
    <w:name w:val="Number List"/>
    <w:qFormat/>
    <w:uiPriority w:val="0"/>
    <w:pPr>
      <w:widowControl w:val="0"/>
      <w:autoSpaceDE w:val="0"/>
      <w:autoSpaceDN w:val="0"/>
      <w:adjustRightInd w:val="0"/>
      <w:ind w:left="720"/>
      <w:textAlignment w:val="baseline"/>
    </w:pPr>
    <w:rPr>
      <w:rFonts w:ascii="宋体" w:hAnsi="Times New Roman" w:eastAsia="宋体" w:cs="Times New Roman"/>
      <w:color w:val="000000"/>
      <w:sz w:val="24"/>
      <w:lang w:val="en-US" w:eastAsia="zh-CN" w:bidi="ar-SA"/>
    </w:rPr>
  </w:style>
  <w:style w:type="paragraph" w:customStyle="1" w:styleId="2807">
    <w:name w:val="附录章标题"/>
    <w:next w:val="1"/>
    <w:qFormat/>
    <w:uiPriority w:val="0"/>
    <w:pPr>
      <w:tabs>
        <w:tab w:val="left" w:pos="776"/>
      </w:tabs>
      <w:wordWrap w:val="0"/>
      <w:overflowPunct w:val="0"/>
      <w:autoSpaceDE w:val="0"/>
      <w:spacing w:beforeLines="50" w:afterLines="50"/>
      <w:ind w:left="776" w:hanging="576"/>
      <w:jc w:val="both"/>
      <w:textAlignment w:val="baseline"/>
      <w:outlineLvl w:val="1"/>
    </w:pPr>
    <w:rPr>
      <w:rFonts w:ascii="黑体" w:hAnsi="Times New Roman" w:eastAsia="黑体" w:cs="Times New Roman"/>
      <w:kern w:val="21"/>
      <w:sz w:val="21"/>
      <w:lang w:val="en-US" w:eastAsia="zh-CN" w:bidi="ar-SA"/>
    </w:rPr>
  </w:style>
  <w:style w:type="paragraph" w:customStyle="1" w:styleId="2808">
    <w:name w:val="Char219"/>
    <w:basedOn w:val="1"/>
    <w:qFormat/>
    <w:uiPriority w:val="99"/>
    <w:pPr>
      <w:spacing w:line="240" w:lineRule="auto"/>
      <w:ind w:left="-48"/>
    </w:pPr>
    <w:rPr>
      <w:sz w:val="21"/>
    </w:rPr>
  </w:style>
  <w:style w:type="paragraph" w:customStyle="1" w:styleId="2809">
    <w:name w:val="附录一级条标题"/>
    <w:basedOn w:val="2807"/>
    <w:next w:val="1"/>
    <w:qFormat/>
    <w:uiPriority w:val="0"/>
    <w:pPr>
      <w:tabs>
        <w:tab w:val="left" w:pos="920"/>
        <w:tab w:val="clear" w:pos="776"/>
      </w:tabs>
      <w:autoSpaceDN w:val="0"/>
      <w:spacing w:beforeLines="0" w:afterLines="0"/>
      <w:ind w:left="920" w:hanging="720"/>
      <w:outlineLvl w:val="2"/>
    </w:pPr>
  </w:style>
  <w:style w:type="paragraph" w:customStyle="1" w:styleId="2810">
    <w:name w:val="附录二级条标题"/>
    <w:basedOn w:val="2809"/>
    <w:next w:val="1"/>
    <w:qFormat/>
    <w:uiPriority w:val="0"/>
    <w:pPr>
      <w:tabs>
        <w:tab w:val="left" w:pos="198"/>
        <w:tab w:val="clear" w:pos="920"/>
      </w:tabs>
      <w:ind w:left="0" w:firstLine="198"/>
      <w:outlineLvl w:val="3"/>
    </w:pPr>
  </w:style>
  <w:style w:type="paragraph" w:customStyle="1" w:styleId="2811">
    <w:name w:val="表内文字小3111"/>
    <w:basedOn w:val="1"/>
    <w:qFormat/>
    <w:uiPriority w:val="99"/>
    <w:pPr>
      <w:spacing w:line="240" w:lineRule="auto"/>
      <w:jc w:val="center"/>
    </w:pPr>
    <w:rPr>
      <w:rFonts w:ascii="宋体" w:hAnsi="Times" w:cs="宋体"/>
      <w:bCs/>
      <w:color w:val="003366"/>
      <w:sz w:val="21"/>
      <w:szCs w:val="20"/>
    </w:rPr>
  </w:style>
  <w:style w:type="paragraph" w:customStyle="1" w:styleId="2812">
    <w:name w:val="附录三级条标题"/>
    <w:basedOn w:val="2810"/>
    <w:next w:val="1"/>
    <w:qFormat/>
    <w:uiPriority w:val="0"/>
    <w:pPr>
      <w:tabs>
        <w:tab w:val="left" w:pos="1208"/>
        <w:tab w:val="clear" w:pos="198"/>
      </w:tabs>
      <w:ind w:left="1208" w:hanging="1008"/>
      <w:outlineLvl w:val="4"/>
    </w:pPr>
  </w:style>
  <w:style w:type="paragraph" w:customStyle="1" w:styleId="2813">
    <w:name w:val="ETI-Absatz"/>
    <w:basedOn w:val="1"/>
    <w:qFormat/>
    <w:uiPriority w:val="0"/>
    <w:pPr>
      <w:widowControl/>
      <w:tabs>
        <w:tab w:val="center" w:pos="-2127"/>
      </w:tabs>
      <w:spacing w:before="120" w:line="380" w:lineRule="atLeast"/>
    </w:pPr>
    <w:rPr>
      <w:rFonts w:ascii="Arial" w:hAnsi="Arial"/>
      <w:kern w:val="0"/>
      <w:szCs w:val="20"/>
      <w:lang w:val="de-DE" w:eastAsia="de-DE"/>
    </w:rPr>
  </w:style>
  <w:style w:type="paragraph" w:customStyle="1" w:styleId="2814">
    <w:name w:val="附录四级条标题"/>
    <w:basedOn w:val="2812"/>
    <w:next w:val="1"/>
    <w:qFormat/>
    <w:uiPriority w:val="0"/>
    <w:pPr>
      <w:tabs>
        <w:tab w:val="left" w:pos="1352"/>
        <w:tab w:val="clear" w:pos="1208"/>
      </w:tabs>
      <w:ind w:left="1352" w:hanging="1152"/>
      <w:outlineLvl w:val="5"/>
    </w:pPr>
  </w:style>
  <w:style w:type="paragraph" w:customStyle="1" w:styleId="2815">
    <w:name w:val="附录五级条标题"/>
    <w:basedOn w:val="2814"/>
    <w:next w:val="1"/>
    <w:qFormat/>
    <w:uiPriority w:val="0"/>
    <w:pPr>
      <w:tabs>
        <w:tab w:val="left" w:pos="1496"/>
        <w:tab w:val="clear" w:pos="1352"/>
      </w:tabs>
      <w:ind w:left="1496" w:hanging="1296"/>
      <w:outlineLvl w:val="6"/>
    </w:pPr>
  </w:style>
  <w:style w:type="paragraph" w:customStyle="1" w:styleId="2816">
    <w:name w:val="目次、标准名称标题"/>
    <w:basedOn w:val="1"/>
    <w:next w:val="1677"/>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817">
    <w:name w:val="style7 style9"/>
    <w:basedOn w:val="1"/>
    <w:qFormat/>
    <w:uiPriority w:val="0"/>
    <w:pPr>
      <w:widowControl/>
      <w:spacing w:before="100" w:beforeAutospacing="1" w:after="100" w:afterAutospacing="1" w:line="240" w:lineRule="auto"/>
      <w:jc w:val="left"/>
    </w:pPr>
    <w:rPr>
      <w:rFonts w:ascii="Arial Unicode MS" w:hAnsi="Arial Unicode MS"/>
      <w:kern w:val="0"/>
    </w:rPr>
  </w:style>
  <w:style w:type="paragraph" w:customStyle="1" w:styleId="2818">
    <w:name w:val="热电厂正文"/>
    <w:basedOn w:val="1"/>
    <w:qFormat/>
    <w:uiPriority w:val="0"/>
    <w:pPr>
      <w:spacing w:line="440" w:lineRule="exact"/>
      <w:ind w:firstLine="480"/>
    </w:pPr>
  </w:style>
  <w:style w:type="paragraph" w:customStyle="1" w:styleId="2819">
    <w:name w:val="表头名称"/>
    <w:basedOn w:val="21"/>
    <w:qFormat/>
    <w:uiPriority w:val="0"/>
    <w:pPr>
      <w:autoSpaceDE w:val="0"/>
      <w:autoSpaceDN w:val="0"/>
      <w:spacing w:line="360" w:lineRule="auto"/>
      <w:ind w:firstLine="0" w:firstLineChars="0"/>
      <w:jc w:val="center"/>
    </w:pPr>
    <w:rPr>
      <w:rFonts w:hAnsi="宋体"/>
      <w:kern w:val="0"/>
      <w:sz w:val="24"/>
      <w:szCs w:val="20"/>
    </w:rPr>
  </w:style>
  <w:style w:type="paragraph" w:customStyle="1" w:styleId="2820">
    <w:name w:val="编号圆圈数字"/>
    <w:basedOn w:val="1"/>
    <w:qFormat/>
    <w:uiPriority w:val="0"/>
    <w:pPr>
      <w:tabs>
        <w:tab w:val="left" w:pos="567"/>
      </w:tabs>
      <w:ind w:left="567" w:hanging="567"/>
    </w:pPr>
  </w:style>
  <w:style w:type="paragraph" w:customStyle="1" w:styleId="2821">
    <w:name w:val="编号括号数字"/>
    <w:basedOn w:val="1"/>
    <w:qFormat/>
    <w:uiPriority w:val="0"/>
    <w:pPr>
      <w:tabs>
        <w:tab w:val="left" w:pos="625"/>
      </w:tabs>
      <w:ind w:left="625" w:hanging="425"/>
      <w:outlineLvl w:val="4"/>
    </w:pPr>
  </w:style>
  <w:style w:type="paragraph" w:customStyle="1" w:styleId="2822">
    <w:name w:val="注释3"/>
    <w:basedOn w:val="185"/>
    <w:next w:val="34"/>
    <w:qFormat/>
    <w:uiPriority w:val="99"/>
    <w:pPr>
      <w:spacing w:before="120" w:after="120" w:line="240" w:lineRule="auto"/>
      <w:ind w:firstLine="200"/>
    </w:pPr>
    <w:rPr>
      <w:sz w:val="21"/>
      <w:szCs w:val="20"/>
    </w:rPr>
  </w:style>
  <w:style w:type="paragraph" w:customStyle="1" w:styleId="2823">
    <w:name w:val="中 文 论 文"/>
    <w:basedOn w:val="1"/>
    <w:qFormat/>
    <w:uiPriority w:val="0"/>
    <w:pPr>
      <w:spacing w:line="480" w:lineRule="atLeast"/>
      <w:ind w:firstLine="510"/>
      <w:jc w:val="left"/>
      <w:textAlignment w:val="baseline"/>
    </w:pPr>
    <w:rPr>
      <w:rFonts w:eastAsia="仿宋_GB2312"/>
      <w:kern w:val="0"/>
      <w:sz w:val="28"/>
      <w:szCs w:val="20"/>
    </w:rPr>
  </w:style>
  <w:style w:type="paragraph" w:customStyle="1" w:styleId="2824">
    <w:name w:val="中心文件"/>
    <w:basedOn w:val="2160"/>
    <w:qFormat/>
    <w:uiPriority w:val="0"/>
    <w:pPr>
      <w:spacing w:after="0" w:line="480" w:lineRule="atLeast"/>
    </w:pPr>
    <w:rPr>
      <w:rFonts w:eastAsia="仿宋_GB2312"/>
      <w:sz w:val="28"/>
    </w:rPr>
  </w:style>
  <w:style w:type="paragraph" w:customStyle="1" w:styleId="2825">
    <w:name w:val="正方居中"/>
    <w:basedOn w:val="1"/>
    <w:qFormat/>
    <w:uiPriority w:val="0"/>
    <w:pPr>
      <w:ind w:firstLine="510"/>
      <w:jc w:val="center"/>
    </w:pPr>
    <w:rPr>
      <w:szCs w:val="20"/>
    </w:rPr>
  </w:style>
  <w:style w:type="paragraph" w:customStyle="1" w:styleId="2826">
    <w:name w:val="项目符号2"/>
    <w:basedOn w:val="1"/>
    <w:qFormat/>
    <w:uiPriority w:val="0"/>
    <w:pPr>
      <w:tabs>
        <w:tab w:val="left" w:pos="625"/>
      </w:tabs>
      <w:overflowPunct w:val="0"/>
      <w:spacing w:line="480" w:lineRule="exact"/>
      <w:ind w:left="625" w:hanging="425"/>
    </w:pPr>
    <w:rPr>
      <w:rFonts w:ascii="Arial" w:hAnsi="Arial" w:eastAsia="仿宋_GB2312"/>
      <w:sz w:val="28"/>
      <w:szCs w:val="20"/>
    </w:rPr>
  </w:style>
  <w:style w:type="paragraph" w:customStyle="1" w:styleId="2827">
    <w:name w:val="正文正"/>
    <w:basedOn w:val="1"/>
    <w:qFormat/>
    <w:uiPriority w:val="0"/>
    <w:pPr>
      <w:spacing w:line="240" w:lineRule="auto"/>
      <w:ind w:firstLine="560"/>
    </w:pPr>
  </w:style>
  <w:style w:type="paragraph" w:customStyle="1" w:styleId="2828">
    <w:name w:val="样式 正文首行缩进 2 + 首行缩进:  2 字符"/>
    <w:basedOn w:val="87"/>
    <w:qFormat/>
    <w:uiPriority w:val="0"/>
    <w:pPr>
      <w:widowControl/>
      <w:spacing w:after="0" w:line="360" w:lineRule="auto"/>
      <w:ind w:left="0" w:leftChars="0" w:firstLine="480" w:firstLineChars="0"/>
    </w:pPr>
    <w:rPr>
      <w:rFonts w:ascii="黑体" w:eastAsia="黑体" w:cs="宋体"/>
      <w:color w:val="000000"/>
      <w:sz w:val="24"/>
    </w:rPr>
  </w:style>
  <w:style w:type="paragraph" w:customStyle="1" w:styleId="2829">
    <w:name w:val="燕山正文21"/>
    <w:basedOn w:val="1"/>
    <w:qFormat/>
    <w:uiPriority w:val="99"/>
    <w:pPr>
      <w:tabs>
        <w:tab w:val="left" w:pos="4680"/>
      </w:tabs>
      <w:spacing w:line="480" w:lineRule="exact"/>
    </w:pPr>
    <w:rPr>
      <w:rFonts w:ascii="宋体" w:cs="宋体"/>
    </w:rPr>
  </w:style>
  <w:style w:type="paragraph" w:customStyle="1" w:styleId="2830">
    <w:name w:val="港口总体布局规划"/>
    <w:basedOn w:val="1"/>
    <w:qFormat/>
    <w:uiPriority w:val="0"/>
    <w:pPr>
      <w:spacing w:line="312" w:lineRule="auto"/>
      <w:ind w:firstLine="567"/>
    </w:pPr>
    <w:rPr>
      <w:spacing w:val="8"/>
      <w:szCs w:val="20"/>
    </w:rPr>
  </w:style>
  <w:style w:type="paragraph" w:customStyle="1" w:styleId="2831">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283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833">
    <w:name w:val="编号汉字数字"/>
    <w:basedOn w:val="2821"/>
    <w:next w:val="1"/>
    <w:qFormat/>
    <w:uiPriority w:val="0"/>
    <w:pPr>
      <w:tabs>
        <w:tab w:val="left" w:pos="0"/>
        <w:tab w:val="clear" w:pos="625"/>
      </w:tabs>
      <w:ind w:left="0" w:firstLine="822"/>
      <w:outlineLvl w:val="9"/>
    </w:pPr>
  </w:style>
  <w:style w:type="paragraph" w:customStyle="1" w:styleId="2834">
    <w:name w:val="正式文字"/>
    <w:basedOn w:val="45"/>
    <w:qFormat/>
    <w:uiPriority w:val="0"/>
    <w:pPr>
      <w:spacing w:line="312" w:lineRule="auto"/>
      <w:ind w:firstLine="567"/>
      <w:jc w:val="both"/>
      <w:textAlignment w:val="baseline"/>
    </w:pPr>
    <w:rPr>
      <w:rFonts w:cs="仿宋_GB2312"/>
      <w:spacing w:val="6"/>
      <w:kern w:val="0"/>
      <w:sz w:val="28"/>
      <w:szCs w:val="21"/>
    </w:rPr>
  </w:style>
  <w:style w:type="paragraph" w:customStyle="1" w:styleId="2835">
    <w:name w:val="样式表头"/>
    <w:basedOn w:val="1"/>
    <w:qFormat/>
    <w:uiPriority w:val="0"/>
    <w:pPr>
      <w:spacing w:line="312" w:lineRule="auto"/>
      <w:jc w:val="center"/>
    </w:pPr>
    <w:rPr>
      <w:rFonts w:ascii="黑体" w:hAnsi="宋体" w:eastAsia="黑体"/>
      <w:b/>
      <w:bCs/>
      <w:spacing w:val="6"/>
      <w:sz w:val="32"/>
      <w:szCs w:val="32"/>
    </w:rPr>
  </w:style>
  <w:style w:type="paragraph" w:customStyle="1" w:styleId="2836">
    <w:name w:val="表格新"/>
    <w:basedOn w:val="1"/>
    <w:qFormat/>
    <w:uiPriority w:val="0"/>
    <w:pPr>
      <w:spacing w:before="60" w:after="60" w:line="240" w:lineRule="auto"/>
      <w:jc w:val="center"/>
      <w:textAlignment w:val="baseline"/>
    </w:pPr>
    <w:rPr>
      <w:rFonts w:ascii="宋体" w:hAnsi="宋体"/>
      <w:kern w:val="0"/>
      <w:szCs w:val="20"/>
    </w:rPr>
  </w:style>
  <w:style w:type="paragraph" w:customStyle="1" w:styleId="2837">
    <w:name w:val="WW-表格"/>
    <w:basedOn w:val="1"/>
    <w:qFormat/>
    <w:uiPriority w:val="0"/>
    <w:pPr>
      <w:suppressAutoHyphens/>
      <w:spacing w:before="20" w:after="20" w:line="240" w:lineRule="auto"/>
      <w:jc w:val="center"/>
    </w:pPr>
    <w:rPr>
      <w:kern w:val="1"/>
      <w:sz w:val="21"/>
      <w:szCs w:val="20"/>
      <w:lang w:eastAsia="ar-SA"/>
    </w:rPr>
  </w:style>
  <w:style w:type="paragraph" w:customStyle="1" w:styleId="2838">
    <w:name w:val="表格下五号"/>
    <w:basedOn w:val="1"/>
    <w:qFormat/>
    <w:uiPriority w:val="0"/>
    <w:pPr>
      <w:spacing w:line="240" w:lineRule="auto"/>
      <w:ind w:firstLine="444"/>
    </w:pPr>
    <w:rPr>
      <w:rFonts w:ascii="Arial" w:hAnsi="Arial" w:cs="Arial"/>
      <w:spacing w:val="6"/>
      <w:kern w:val="0"/>
      <w:sz w:val="21"/>
      <w:szCs w:val="20"/>
    </w:rPr>
  </w:style>
  <w:style w:type="paragraph" w:customStyle="1" w:styleId="2839">
    <w:name w:val="表内式样"/>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paragraph" w:customStyle="1" w:styleId="2840">
    <w:name w:val="Char431"/>
    <w:basedOn w:val="1"/>
    <w:qFormat/>
    <w:uiPriority w:val="99"/>
    <w:pPr>
      <w:spacing w:line="240" w:lineRule="auto"/>
      <w:ind w:left="-48"/>
    </w:pPr>
    <w:rPr>
      <w:sz w:val="21"/>
    </w:rPr>
  </w:style>
  <w:style w:type="paragraph" w:customStyle="1" w:styleId="2841">
    <w:name w:val="Default1"/>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842">
    <w:name w:val="样式 样式 普通文字 + 首行缩进:  0.85 厘米 + 首行缩进:  2 字符"/>
    <w:basedOn w:val="1"/>
    <w:qFormat/>
    <w:uiPriority w:val="0"/>
    <w:pPr>
      <w:spacing w:line="400" w:lineRule="exact"/>
      <w:ind w:firstLine="200"/>
    </w:pPr>
    <w:rPr>
      <w:rFonts w:ascii="宋体" w:hAnsi="Courier New"/>
    </w:rPr>
  </w:style>
  <w:style w:type="paragraph" w:customStyle="1" w:styleId="2843">
    <w:name w:val="Char81"/>
    <w:basedOn w:val="1"/>
    <w:qFormat/>
    <w:uiPriority w:val="99"/>
    <w:pPr>
      <w:spacing w:line="240" w:lineRule="auto"/>
      <w:ind w:left="-48"/>
    </w:pPr>
    <w:rPr>
      <w:sz w:val="21"/>
    </w:rPr>
  </w:style>
  <w:style w:type="paragraph" w:customStyle="1" w:styleId="2844">
    <w:name w:val="Body Text1"/>
    <w:basedOn w:val="1"/>
    <w:qFormat/>
    <w:uiPriority w:val="99"/>
    <w:pPr>
      <w:spacing w:after="120" w:line="240" w:lineRule="auto"/>
    </w:pPr>
    <w:rPr>
      <w:rFonts w:hint="eastAsia"/>
      <w:sz w:val="21"/>
      <w:szCs w:val="20"/>
    </w:rPr>
  </w:style>
  <w:style w:type="paragraph" w:customStyle="1" w:styleId="2845">
    <w:name w:val="nr"/>
    <w:basedOn w:val="1"/>
    <w:qFormat/>
    <w:uiPriority w:val="0"/>
    <w:pPr>
      <w:widowControl/>
      <w:spacing w:before="100" w:beforeAutospacing="1" w:after="100" w:afterAutospacing="1" w:line="320" w:lineRule="atLeast"/>
      <w:jc w:val="left"/>
    </w:pPr>
    <w:rPr>
      <w:rFonts w:hint="eastAsia" w:ascii="宋体" w:hAnsi="宋体"/>
      <w:color w:val="000000"/>
      <w:kern w:val="0"/>
      <w:sz w:val="22"/>
    </w:rPr>
  </w:style>
  <w:style w:type="paragraph" w:customStyle="1" w:styleId="2846">
    <w:name w:val="11"/>
    <w:basedOn w:val="1"/>
    <w:next w:val="21"/>
    <w:qFormat/>
    <w:uiPriority w:val="0"/>
    <w:pPr>
      <w:spacing w:line="240" w:lineRule="auto"/>
      <w:ind w:firstLine="420"/>
    </w:pPr>
    <w:rPr>
      <w:sz w:val="21"/>
    </w:rPr>
  </w:style>
  <w:style w:type="paragraph" w:customStyle="1" w:styleId="2847">
    <w:name w:val="样式 样式 仿宋_GB2312 四号 行距: 1.5 倍行距 + 首行缩进:  1.92 字符"/>
    <w:basedOn w:val="1"/>
    <w:qFormat/>
    <w:uiPriority w:val="0"/>
    <w:pPr>
      <w:ind w:firstLine="560"/>
    </w:pPr>
    <w:rPr>
      <w:rFonts w:ascii="宋体" w:hAnsi="宋体"/>
      <w:color w:val="0000FF"/>
      <w:kern w:val="0"/>
      <w:sz w:val="28"/>
      <w:szCs w:val="20"/>
    </w:rPr>
  </w:style>
  <w:style w:type="paragraph" w:customStyle="1" w:styleId="2848">
    <w:name w:val="默认段落字体 Para Char Char Char Char4"/>
    <w:basedOn w:val="1"/>
    <w:qFormat/>
    <w:uiPriority w:val="99"/>
    <w:pPr>
      <w:spacing w:line="240" w:lineRule="auto"/>
    </w:pPr>
    <w:rPr>
      <w:sz w:val="21"/>
    </w:rPr>
  </w:style>
  <w:style w:type="paragraph" w:customStyle="1" w:styleId="2849">
    <w:name w:val="Char Char Char Char Char Char Char Char Char Char Char Char Char Char Char Char Char"/>
    <w:basedOn w:val="1"/>
    <w:qFormat/>
    <w:uiPriority w:val="99"/>
    <w:pPr>
      <w:spacing w:line="240" w:lineRule="auto"/>
    </w:pPr>
    <w:rPr>
      <w:sz w:val="21"/>
      <w:szCs w:val="21"/>
    </w:rPr>
  </w:style>
  <w:style w:type="paragraph" w:customStyle="1" w:styleId="2850">
    <w:name w:val="Char Char2 Char"/>
    <w:basedOn w:val="1"/>
    <w:qFormat/>
    <w:uiPriority w:val="0"/>
    <w:pPr>
      <w:spacing w:line="240" w:lineRule="auto"/>
    </w:pPr>
    <w:rPr>
      <w:sz w:val="21"/>
      <w:szCs w:val="21"/>
    </w:rPr>
  </w:style>
  <w:style w:type="paragraph" w:customStyle="1" w:styleId="2851">
    <w:name w:val="正文 居中"/>
    <w:basedOn w:val="1"/>
    <w:qFormat/>
    <w:uiPriority w:val="0"/>
    <w:pPr>
      <w:spacing w:before="48" w:after="48"/>
      <w:jc w:val="center"/>
    </w:pPr>
    <w:rPr>
      <w:rFonts w:ascii="宋体" w:hAnsi="宋体" w:eastAsia="仿宋_GB2312"/>
      <w:snapToGrid w:val="0"/>
      <w:kern w:val="0"/>
      <w:szCs w:val="28"/>
    </w:rPr>
  </w:style>
  <w:style w:type="paragraph" w:customStyle="1" w:styleId="2852">
    <w:name w:val="我的表格标题"/>
    <w:basedOn w:val="1"/>
    <w:qFormat/>
    <w:uiPriority w:val="0"/>
    <w:pPr>
      <w:jc w:val="center"/>
    </w:pPr>
    <w:rPr>
      <w:rFonts w:ascii="宋体" w:hAnsi="宋体"/>
      <w:b/>
      <w:szCs w:val="20"/>
    </w:rPr>
  </w:style>
  <w:style w:type="paragraph" w:customStyle="1" w:styleId="2853">
    <w:name w:val="标题B"/>
    <w:qFormat/>
    <w:uiPriority w:val="0"/>
    <w:pPr>
      <w:adjustRightInd w:val="0"/>
      <w:spacing w:line="720" w:lineRule="auto"/>
      <w:outlineLvl w:val="1"/>
    </w:pPr>
    <w:rPr>
      <w:rFonts w:ascii="Times New Roman" w:hAnsi="Times New Roman" w:eastAsia="宋体" w:cs="Times New Roman"/>
      <w:b/>
      <w:sz w:val="30"/>
      <w:lang w:val="en-US" w:eastAsia="zh-CN" w:bidi="ar-SA"/>
    </w:rPr>
  </w:style>
  <w:style w:type="paragraph" w:customStyle="1" w:styleId="2854">
    <w:name w:val="样式 仿宋_GB2312 黑色 左侧:  2 字符 首行缩进:  0.99 厘米 段前: 6 磅"/>
    <w:basedOn w:val="1"/>
    <w:qFormat/>
    <w:uiPriority w:val="0"/>
    <w:pPr>
      <w:spacing w:before="120"/>
    </w:pPr>
    <w:rPr>
      <w:rFonts w:eastAsia="仿宋_GB2312" w:cs="宋体"/>
      <w:color w:val="000000"/>
      <w:sz w:val="28"/>
      <w:szCs w:val="28"/>
    </w:rPr>
  </w:style>
  <w:style w:type="paragraph" w:customStyle="1" w:styleId="2855">
    <w:name w:val="默认段落字体 Para Char Char Char Char Char Char Char Char Char Char Char Char Char"/>
    <w:basedOn w:val="1"/>
    <w:qFormat/>
    <w:uiPriority w:val="0"/>
    <w:pPr>
      <w:spacing w:line="240" w:lineRule="auto"/>
    </w:pPr>
  </w:style>
  <w:style w:type="paragraph" w:customStyle="1" w:styleId="2856">
    <w:name w:val="Char73"/>
    <w:basedOn w:val="1"/>
    <w:qFormat/>
    <w:uiPriority w:val="99"/>
    <w:pPr>
      <w:spacing w:line="240" w:lineRule="auto"/>
      <w:ind w:left="-48"/>
    </w:pPr>
    <w:rPr>
      <w:sz w:val="21"/>
    </w:rPr>
  </w:style>
  <w:style w:type="paragraph" w:customStyle="1" w:styleId="2857">
    <w:name w:val="样式 标题 3 + 黑体 小四 左侧:  0.86 厘米 首行缩进:  0 厘米"/>
    <w:basedOn w:val="5"/>
    <w:qFormat/>
    <w:uiPriority w:val="0"/>
    <w:pPr>
      <w:keepLines w:val="0"/>
      <w:spacing w:before="0" w:after="0"/>
      <w:jc w:val="left"/>
    </w:pPr>
    <w:rPr>
      <w:rFonts w:ascii="黑体" w:eastAsia="黑体"/>
      <w:b w:val="0"/>
      <w:color w:val="000000"/>
      <w:szCs w:val="24"/>
      <w:lang w:val="en-GB"/>
    </w:rPr>
  </w:style>
  <w:style w:type="paragraph" w:customStyle="1" w:styleId="2858">
    <w:name w:val="Fax Header3"/>
    <w:basedOn w:val="1"/>
    <w:qFormat/>
    <w:uiPriority w:val="99"/>
    <w:pPr>
      <w:widowControl/>
      <w:spacing w:before="240" w:after="60" w:line="240" w:lineRule="auto"/>
      <w:jc w:val="left"/>
    </w:pPr>
    <w:rPr>
      <w:kern w:val="0"/>
      <w:sz w:val="20"/>
      <w:szCs w:val="20"/>
    </w:rPr>
  </w:style>
  <w:style w:type="paragraph" w:customStyle="1" w:styleId="2859">
    <w:name w:val="块引用"/>
    <w:basedOn w:val="1"/>
    <w:qFormat/>
    <w:uiPriority w:val="0"/>
    <w:pPr>
      <w:keepLines/>
      <w:widowControl/>
      <w:overflowPunct w:val="0"/>
      <w:autoSpaceDE w:val="0"/>
      <w:autoSpaceDN w:val="0"/>
      <w:spacing w:line="240" w:lineRule="auto"/>
      <w:ind w:left="360" w:right="360"/>
      <w:jc w:val="center"/>
      <w:textAlignment w:val="baseline"/>
    </w:pPr>
    <w:rPr>
      <w:i/>
      <w:kern w:val="0"/>
      <w:sz w:val="20"/>
      <w:szCs w:val="20"/>
    </w:rPr>
  </w:style>
  <w:style w:type="paragraph" w:customStyle="1" w:styleId="2860">
    <w:name w:val="编号A."/>
    <w:basedOn w:val="1"/>
    <w:qFormat/>
    <w:uiPriority w:val="0"/>
    <w:pPr>
      <w:tabs>
        <w:tab w:val="left" w:pos="360"/>
        <w:tab w:val="left" w:pos="547"/>
        <w:tab w:val="left" w:pos="1080"/>
      </w:tabs>
      <w:spacing w:line="480" w:lineRule="atLeast"/>
    </w:pPr>
    <w:rPr>
      <w:sz w:val="28"/>
      <w:szCs w:val="20"/>
    </w:rPr>
  </w:style>
  <w:style w:type="paragraph" w:customStyle="1" w:styleId="2861">
    <w:name w:val="编号(1)"/>
    <w:basedOn w:val="1"/>
    <w:qFormat/>
    <w:uiPriority w:val="0"/>
    <w:pPr>
      <w:tabs>
        <w:tab w:val="left" w:pos="360"/>
        <w:tab w:val="left" w:pos="547"/>
        <w:tab w:val="left" w:pos="1080"/>
      </w:tabs>
      <w:spacing w:line="480" w:lineRule="atLeast"/>
    </w:pPr>
    <w:rPr>
      <w:sz w:val="28"/>
      <w:szCs w:val="20"/>
    </w:rPr>
  </w:style>
  <w:style w:type="paragraph" w:customStyle="1" w:styleId="2862">
    <w:name w:val="表内小5中"/>
    <w:basedOn w:val="1"/>
    <w:qFormat/>
    <w:uiPriority w:val="99"/>
    <w:pPr>
      <w:spacing w:line="240" w:lineRule="auto"/>
      <w:jc w:val="center"/>
    </w:pPr>
    <w:rPr>
      <w:rFonts w:ascii="宋体" w:hAnsi="宋体"/>
      <w:sz w:val="18"/>
      <w:szCs w:val="20"/>
    </w:rPr>
  </w:style>
  <w:style w:type="paragraph" w:customStyle="1" w:styleId="2863">
    <w:name w:val="列表引导"/>
    <w:basedOn w:val="65"/>
    <w:next w:val="65"/>
    <w:qFormat/>
    <w:uiPriority w:val="0"/>
    <w:pPr>
      <w:widowControl/>
      <w:tabs>
        <w:tab w:val="left" w:pos="720"/>
      </w:tabs>
      <w:overflowPunct w:val="0"/>
      <w:autoSpaceDE w:val="0"/>
      <w:autoSpaceDN w:val="0"/>
      <w:spacing w:before="80" w:after="80" w:line="240" w:lineRule="auto"/>
      <w:ind w:left="720" w:hanging="360"/>
      <w:jc w:val="left"/>
      <w:textAlignment w:val="baseline"/>
    </w:pPr>
    <w:rPr>
      <w:rFonts w:ascii="Times New Roman" w:hAnsi="Calibri" w:eastAsia="宋体"/>
      <w:b/>
      <w:kern w:val="0"/>
      <w:sz w:val="20"/>
      <w:lang w:val="zh-CN"/>
    </w:rPr>
  </w:style>
  <w:style w:type="paragraph" w:customStyle="1" w:styleId="2864">
    <w:name w:val="Char9"/>
    <w:basedOn w:val="1"/>
    <w:qFormat/>
    <w:uiPriority w:val="99"/>
    <w:pPr>
      <w:spacing w:line="240" w:lineRule="auto"/>
      <w:ind w:left="-48"/>
    </w:pPr>
    <w:rPr>
      <w:sz w:val="21"/>
    </w:rPr>
  </w:style>
  <w:style w:type="paragraph" w:customStyle="1" w:styleId="2865">
    <w:name w:val="Char Char2 Char Char Char Char"/>
    <w:basedOn w:val="1"/>
    <w:qFormat/>
    <w:uiPriority w:val="0"/>
    <w:pPr>
      <w:spacing w:line="240" w:lineRule="auto"/>
    </w:pPr>
    <w:rPr>
      <w:sz w:val="30"/>
      <w:szCs w:val="30"/>
    </w:rPr>
  </w:style>
  <w:style w:type="paragraph" w:customStyle="1" w:styleId="2866">
    <w:name w:val="1 Char Char Char Char"/>
    <w:basedOn w:val="1"/>
    <w:qFormat/>
    <w:uiPriority w:val="0"/>
    <w:pPr>
      <w:ind w:firstLine="200"/>
    </w:pPr>
    <w:rPr>
      <w:rFonts w:ascii="宋体" w:hAnsi="宋体" w:cs="宋体"/>
    </w:rPr>
  </w:style>
  <w:style w:type="paragraph" w:customStyle="1" w:styleId="2867">
    <w:name w:val="7表格(治)"/>
    <w:qFormat/>
    <w:uiPriority w:val="99"/>
    <w:pPr>
      <w:spacing w:line="400" w:lineRule="exact"/>
      <w:jc w:val="center"/>
    </w:pPr>
    <w:rPr>
      <w:rFonts w:ascii="宋体" w:hAnsi="宋体" w:eastAsia="宋体" w:cs="Times New Roman"/>
      <w:sz w:val="21"/>
      <w:lang w:val="en-US" w:eastAsia="zh-CN" w:bidi="ar-SA"/>
    </w:rPr>
  </w:style>
  <w:style w:type="paragraph" w:customStyle="1" w:styleId="2868">
    <w:name w:val="页眉3"/>
    <w:basedOn w:val="1"/>
    <w:qFormat/>
    <w:uiPriority w:val="0"/>
    <w:pPr>
      <w:pBdr>
        <w:bottom w:val="single" w:color="auto" w:sz="6" w:space="1"/>
      </w:pBdr>
      <w:tabs>
        <w:tab w:val="center" w:pos="4153"/>
        <w:tab w:val="right" w:pos="8306"/>
      </w:tabs>
      <w:spacing w:line="240" w:lineRule="auto"/>
      <w:jc w:val="center"/>
    </w:pPr>
    <w:rPr>
      <w:rFonts w:hint="eastAsia" w:ascii="仿宋_GB2312" w:hAnsi="宋体" w:eastAsia="仿宋_GB2312"/>
      <w:sz w:val="18"/>
      <w:szCs w:val="28"/>
    </w:rPr>
  </w:style>
  <w:style w:type="paragraph" w:customStyle="1" w:styleId="2869">
    <w:name w:val="标题 13"/>
    <w:basedOn w:val="1"/>
    <w:next w:val="1"/>
    <w:qFormat/>
    <w:uiPriority w:val="0"/>
    <w:pPr>
      <w:keepNext/>
      <w:keepLines/>
      <w:spacing w:before="240" w:after="120" w:line="500" w:lineRule="atLeast"/>
      <w:ind w:right="100" w:rightChars="100"/>
    </w:pPr>
    <w:rPr>
      <w:rFonts w:hint="eastAsia" w:ascii="仿宋_GB2312" w:hAnsi="宋体" w:eastAsia="楷体_GB2312"/>
      <w:b/>
      <w:color w:val="FF0000"/>
      <w:kern w:val="44"/>
      <w:sz w:val="28"/>
      <w:szCs w:val="28"/>
    </w:rPr>
  </w:style>
  <w:style w:type="paragraph" w:customStyle="1" w:styleId="2870">
    <w:name w:val="批注主题 Char Char"/>
    <w:basedOn w:val="28"/>
    <w:next w:val="28"/>
    <w:qFormat/>
    <w:uiPriority w:val="0"/>
    <w:pPr>
      <w:spacing w:line="240" w:lineRule="auto"/>
    </w:pPr>
    <w:rPr>
      <w:rFonts w:ascii="仿宋_GB2312" w:hAnsi="宋体" w:eastAsia="仿宋_GB2312"/>
      <w:b/>
      <w:sz w:val="28"/>
      <w:szCs w:val="28"/>
      <w:lang w:val="zh-CN"/>
    </w:rPr>
  </w:style>
  <w:style w:type="paragraph" w:customStyle="1" w:styleId="2871">
    <w:name w:val="5文章(治)"/>
    <w:basedOn w:val="1"/>
    <w:qFormat/>
    <w:uiPriority w:val="0"/>
    <w:rPr>
      <w:rFonts w:hint="eastAsia" w:ascii="仿宋_GB2312" w:hAnsi="宋体" w:eastAsia="仿宋_GB2312"/>
      <w:sz w:val="28"/>
      <w:szCs w:val="28"/>
    </w:rPr>
  </w:style>
  <w:style w:type="paragraph" w:customStyle="1" w:styleId="2872">
    <w:name w:val="表格两端对齐"/>
    <w:basedOn w:val="2774"/>
    <w:qFormat/>
    <w:uiPriority w:val="0"/>
    <w:pPr>
      <w:spacing w:line="360" w:lineRule="auto"/>
    </w:pPr>
    <w:rPr>
      <w:rFonts w:ascii="宋体" w:hAnsi="宋体" w:eastAsia="仿宋_GB2312"/>
      <w:snapToGrid w:val="0"/>
      <w:kern w:val="18"/>
      <w:sz w:val="28"/>
      <w:szCs w:val="28"/>
    </w:rPr>
  </w:style>
  <w:style w:type="paragraph" w:customStyle="1" w:styleId="2873">
    <w:name w:val="8说明(治)"/>
    <w:basedOn w:val="1"/>
    <w:next w:val="2871"/>
    <w:qFormat/>
    <w:uiPriority w:val="0"/>
    <w:pPr>
      <w:spacing w:line="240" w:lineRule="auto"/>
      <w:ind w:firstLine="480"/>
    </w:pPr>
    <w:rPr>
      <w:rFonts w:ascii="仿宋_GB2312" w:hAnsi="宋体" w:eastAsia="楷体_GB2312"/>
      <w:szCs w:val="28"/>
    </w:rPr>
  </w:style>
  <w:style w:type="paragraph" w:customStyle="1" w:styleId="2874">
    <w:name w:val="Normal (Web)1"/>
    <w:basedOn w:val="1"/>
    <w:qFormat/>
    <w:uiPriority w:val="0"/>
    <w:pPr>
      <w:spacing w:line="240" w:lineRule="auto"/>
    </w:pPr>
    <w:rPr>
      <w:rFonts w:hint="eastAsia"/>
      <w:szCs w:val="20"/>
    </w:rPr>
  </w:style>
  <w:style w:type="paragraph" w:customStyle="1" w:styleId="2875">
    <w:name w:val="正文A"/>
    <w:qFormat/>
    <w:uiPriority w:val="0"/>
    <w:pPr>
      <w:tabs>
        <w:tab w:val="left" w:pos="0"/>
      </w:tabs>
      <w:adjustRightInd w:val="0"/>
      <w:spacing w:line="360" w:lineRule="auto"/>
      <w:ind w:firstLine="482"/>
      <w:jc w:val="both"/>
    </w:pPr>
    <w:rPr>
      <w:rFonts w:ascii="Times New Roman" w:hAnsi="Times New Roman" w:eastAsia="宋体" w:cs="Times New Roman"/>
      <w:snapToGrid w:val="0"/>
      <w:sz w:val="24"/>
      <w:lang w:val="en-US" w:eastAsia="zh-CN" w:bidi="ar-SA"/>
    </w:rPr>
  </w:style>
  <w:style w:type="paragraph" w:customStyle="1" w:styleId="2876">
    <w:name w:val="Char Char Char1 Char Char Char1 Char Char Char1"/>
    <w:basedOn w:val="1"/>
    <w:qFormat/>
    <w:uiPriority w:val="0"/>
    <w:pPr>
      <w:spacing w:line="240" w:lineRule="exact"/>
      <w:ind w:firstLine="200"/>
    </w:pPr>
    <w:rPr>
      <w:sz w:val="28"/>
      <w:szCs w:val="28"/>
    </w:rPr>
  </w:style>
  <w:style w:type="paragraph" w:customStyle="1" w:styleId="2877">
    <w:name w:val="hhcwt标题2"/>
    <w:basedOn w:val="1"/>
    <w:qFormat/>
    <w:uiPriority w:val="0"/>
    <w:pPr>
      <w:keepNext/>
      <w:keepLines/>
      <w:spacing w:before="120" w:after="120" w:line="336" w:lineRule="auto"/>
      <w:outlineLvl w:val="1"/>
    </w:pPr>
    <w:rPr>
      <w:rFonts w:eastAsia="黑体" w:cs="宋体"/>
      <w:sz w:val="32"/>
      <w:szCs w:val="20"/>
    </w:rPr>
  </w:style>
  <w:style w:type="paragraph" w:customStyle="1" w:styleId="2878">
    <w:name w:val="样式 仿宋_GB2312 小四 居中 行距: 固定值 20 磅"/>
    <w:basedOn w:val="1"/>
    <w:qFormat/>
    <w:uiPriority w:val="99"/>
    <w:pPr>
      <w:spacing w:line="400" w:lineRule="exact"/>
      <w:jc w:val="center"/>
    </w:pPr>
    <w:rPr>
      <w:rFonts w:ascii="仿宋_GB2312" w:hAnsi="宋体" w:eastAsia="仿宋_GB2312" w:cs="宋体"/>
      <w:szCs w:val="20"/>
    </w:rPr>
  </w:style>
  <w:style w:type="paragraph" w:customStyle="1" w:styleId="2879">
    <w:name w:val="燕山正文13"/>
    <w:basedOn w:val="1"/>
    <w:qFormat/>
    <w:uiPriority w:val="99"/>
    <w:pPr>
      <w:tabs>
        <w:tab w:val="left" w:pos="4680"/>
      </w:tabs>
      <w:ind w:firstLine="480"/>
    </w:pPr>
    <w:rPr>
      <w:rFonts w:ascii="宋体" w:hAnsi="宋体" w:cs="宋体"/>
      <w:bCs/>
      <w:color w:val="000000"/>
    </w:rPr>
  </w:style>
  <w:style w:type="paragraph" w:customStyle="1" w:styleId="2880">
    <w:name w:val="Char1 Char Char Char Char Char Char Char Char 字元 字元 Char Char Char Char Char"/>
    <w:basedOn w:val="1"/>
    <w:qFormat/>
    <w:uiPriority w:val="0"/>
    <w:pPr>
      <w:spacing w:line="240" w:lineRule="auto"/>
    </w:pPr>
  </w:style>
  <w:style w:type="paragraph" w:customStyle="1" w:styleId="2881">
    <w:name w:val="Char1 Char Char Char Char Char Char Char Char Char Char Char Char Char Char Char Char Char Char Char Char Char"/>
    <w:basedOn w:val="1"/>
    <w:qFormat/>
    <w:uiPriority w:val="0"/>
    <w:pPr>
      <w:spacing w:line="240" w:lineRule="auto"/>
      <w:jc w:val="center"/>
    </w:pPr>
    <w:rPr>
      <w:rFonts w:ascii="仿宋_GB2312" w:hAnsi="宋体" w:eastAsia="仿宋_GB2312" w:cs="宋体"/>
      <w:b/>
      <w:kern w:val="0"/>
      <w:sz w:val="21"/>
    </w:rPr>
  </w:style>
  <w:style w:type="paragraph" w:customStyle="1" w:styleId="2882">
    <w:name w:val="Char Char Char Char Char Char Char Char Char Char Char Char Char Char Char Char Char1"/>
    <w:basedOn w:val="1"/>
    <w:qFormat/>
    <w:uiPriority w:val="99"/>
    <w:pPr>
      <w:spacing w:line="240" w:lineRule="auto"/>
    </w:pPr>
    <w:rPr>
      <w:sz w:val="21"/>
      <w:szCs w:val="21"/>
    </w:rPr>
  </w:style>
  <w:style w:type="paragraph" w:customStyle="1" w:styleId="2883">
    <w:name w:val="基准脚注"/>
    <w:basedOn w:val="1"/>
    <w:qFormat/>
    <w:uiPriority w:val="0"/>
    <w:pPr>
      <w:widowControl/>
      <w:tabs>
        <w:tab w:val="left" w:pos="187"/>
      </w:tabs>
      <w:overflowPunct w:val="0"/>
      <w:autoSpaceDE w:val="0"/>
      <w:autoSpaceDN w:val="0"/>
      <w:spacing w:line="220" w:lineRule="exact"/>
      <w:ind w:left="187" w:hanging="187"/>
      <w:jc w:val="left"/>
      <w:textAlignment w:val="baseline"/>
    </w:pPr>
    <w:rPr>
      <w:kern w:val="0"/>
      <w:sz w:val="18"/>
      <w:szCs w:val="20"/>
    </w:rPr>
  </w:style>
  <w:style w:type="paragraph" w:customStyle="1" w:styleId="2884">
    <w:name w:val="样式 表格内字体1 +"/>
    <w:basedOn w:val="2373"/>
    <w:next w:val="832"/>
    <w:qFormat/>
    <w:uiPriority w:val="99"/>
    <w:rPr>
      <w:rFonts w:hAnsi="Times New Roman" w:cs="宋体"/>
      <w:szCs w:val="20"/>
    </w:rPr>
  </w:style>
  <w:style w:type="paragraph" w:customStyle="1" w:styleId="2885">
    <w:name w:val="图片"/>
    <w:basedOn w:val="1"/>
    <w:next w:val="22"/>
    <w:qFormat/>
    <w:uiPriority w:val="0"/>
    <w:pPr>
      <w:keepNext/>
      <w:widowControl/>
      <w:overflowPunct w:val="0"/>
      <w:autoSpaceDE w:val="0"/>
      <w:autoSpaceDN w:val="0"/>
      <w:spacing w:before="120" w:after="240" w:line="240" w:lineRule="auto"/>
      <w:jc w:val="center"/>
      <w:textAlignment w:val="baseline"/>
    </w:pPr>
    <w:rPr>
      <w:kern w:val="0"/>
      <w:sz w:val="20"/>
      <w:szCs w:val="20"/>
    </w:rPr>
  </w:style>
  <w:style w:type="paragraph" w:customStyle="1" w:styleId="2886">
    <w:name w:val="基准篇眉"/>
    <w:basedOn w:val="1"/>
    <w:qFormat/>
    <w:uiPriority w:val="0"/>
    <w:pPr>
      <w:keepLines/>
      <w:widowControl/>
      <w:tabs>
        <w:tab w:val="center" w:pos="7200"/>
        <w:tab w:val="right" w:pos="14400"/>
      </w:tabs>
      <w:overflowPunct w:val="0"/>
      <w:autoSpaceDE w:val="0"/>
      <w:autoSpaceDN w:val="0"/>
      <w:spacing w:line="240" w:lineRule="auto"/>
      <w:jc w:val="center"/>
      <w:textAlignment w:val="baseline"/>
    </w:pPr>
    <w:rPr>
      <w:spacing w:val="80"/>
      <w:kern w:val="0"/>
      <w:sz w:val="20"/>
      <w:szCs w:val="20"/>
    </w:rPr>
  </w:style>
  <w:style w:type="paragraph" w:customStyle="1" w:styleId="2887">
    <w:name w:val="样式 正文缩进 + 宋体 黑色 首行缩进:  2 字符3"/>
    <w:basedOn w:val="21"/>
    <w:qFormat/>
    <w:uiPriority w:val="99"/>
    <w:pPr>
      <w:spacing w:line="360" w:lineRule="auto"/>
      <w:ind w:firstLine="480"/>
      <w:jc w:val="left"/>
    </w:pPr>
    <w:rPr>
      <w:rFonts w:ascii="宋体" w:hAnsi="宋体" w:cs="宋体"/>
      <w:color w:val="FF00FF"/>
      <w:sz w:val="24"/>
      <w:szCs w:val="20"/>
    </w:rPr>
  </w:style>
  <w:style w:type="paragraph" w:customStyle="1" w:styleId="2888">
    <w:name w:val="表内54113"/>
    <w:basedOn w:val="1"/>
    <w:qFormat/>
    <w:uiPriority w:val="99"/>
    <w:pPr>
      <w:spacing w:line="300" w:lineRule="auto"/>
      <w:jc w:val="center"/>
    </w:pPr>
    <w:rPr>
      <w:rFonts w:ascii="宋体" w:hAnsi="宋体" w:cs="宋体"/>
      <w:sz w:val="21"/>
      <w:szCs w:val="20"/>
    </w:rPr>
  </w:style>
  <w:style w:type="paragraph" w:customStyle="1" w:styleId="2889">
    <w:name w:val="副题封页"/>
    <w:next w:val="34"/>
    <w:qFormat/>
    <w:uiPriority w:val="0"/>
    <w:pPr>
      <w:spacing w:before="240" w:after="480"/>
    </w:pPr>
    <w:rPr>
      <w:rFonts w:ascii="Times New Roman" w:hAnsi="Times New Roman" w:eastAsia="宋体" w:cs="Times New Roman"/>
      <w:i/>
      <w:sz w:val="32"/>
      <w:lang w:val="en-US" w:eastAsia="zh-CN" w:bidi="ar-SA"/>
    </w:rPr>
  </w:style>
  <w:style w:type="paragraph" w:customStyle="1" w:styleId="2890">
    <w:name w:val="主题封页"/>
    <w:next w:val="2889"/>
    <w:qFormat/>
    <w:uiPriority w:val="0"/>
    <w:pPr>
      <w:spacing w:before="720" w:after="160"/>
      <w:jc w:val="center"/>
    </w:pPr>
    <w:rPr>
      <w:rFonts w:ascii="Times New Roman" w:hAnsi="Times New Roman" w:eastAsia="宋体" w:cs="Times New Roman"/>
      <w:sz w:val="40"/>
      <w:lang w:val="en-US" w:eastAsia="zh-CN" w:bidi="ar-SA"/>
    </w:rPr>
  </w:style>
  <w:style w:type="paragraph" w:customStyle="1" w:styleId="2891">
    <w:name w:val="基准篇头"/>
    <w:basedOn w:val="1"/>
    <w:next w:val="34"/>
    <w:qFormat/>
    <w:uiPriority w:val="0"/>
    <w:pPr>
      <w:keepNext/>
      <w:widowControl/>
      <w:overflowPunct w:val="0"/>
      <w:autoSpaceDE w:val="0"/>
      <w:autoSpaceDN w:val="0"/>
      <w:spacing w:before="240" w:after="120" w:line="240" w:lineRule="auto"/>
      <w:jc w:val="left"/>
      <w:textAlignment w:val="baseline"/>
    </w:pPr>
    <w:rPr>
      <w:rFonts w:ascii="Arial" w:hAnsi="Arial"/>
      <w:b/>
      <w:kern w:val="28"/>
      <w:sz w:val="36"/>
      <w:szCs w:val="20"/>
    </w:rPr>
  </w:style>
  <w:style w:type="paragraph" w:customStyle="1" w:styleId="2892">
    <w:name w:val="表内5中1"/>
    <w:basedOn w:val="1"/>
    <w:qFormat/>
    <w:uiPriority w:val="99"/>
    <w:pPr>
      <w:spacing w:line="240" w:lineRule="auto"/>
      <w:jc w:val="center"/>
    </w:pPr>
    <w:rPr>
      <w:rFonts w:ascii="宋体" w:hAnsi="宋体" w:cs="Arial"/>
      <w:snapToGrid w:val="0"/>
      <w:color w:val="000000"/>
      <w:sz w:val="21"/>
      <w:szCs w:val="21"/>
    </w:rPr>
  </w:style>
  <w:style w:type="paragraph" w:customStyle="1" w:styleId="2893">
    <w:name w:val="单位名称"/>
    <w:basedOn w:val="1"/>
    <w:qFormat/>
    <w:uiPriority w:val="0"/>
    <w:pPr>
      <w:widowControl/>
      <w:overflowPunct w:val="0"/>
      <w:autoSpaceDE w:val="0"/>
      <w:autoSpaceDN w:val="0"/>
      <w:spacing w:before="120" w:after="80" w:line="240" w:lineRule="auto"/>
      <w:jc w:val="center"/>
      <w:textAlignment w:val="baseline"/>
    </w:pPr>
    <w:rPr>
      <w:b/>
      <w:kern w:val="0"/>
      <w:sz w:val="28"/>
      <w:szCs w:val="20"/>
    </w:rPr>
  </w:style>
  <w:style w:type="paragraph" w:customStyle="1" w:styleId="2894">
    <w:name w:val="主题线"/>
    <w:basedOn w:val="1"/>
    <w:next w:val="34"/>
    <w:qFormat/>
    <w:uiPriority w:val="0"/>
    <w:pPr>
      <w:widowControl/>
      <w:overflowPunct w:val="0"/>
      <w:autoSpaceDE w:val="0"/>
      <w:autoSpaceDN w:val="0"/>
      <w:spacing w:line="240" w:lineRule="auto"/>
      <w:jc w:val="left"/>
      <w:textAlignment w:val="baseline"/>
    </w:pPr>
    <w:rPr>
      <w:i/>
      <w:kern w:val="0"/>
      <w:sz w:val="20"/>
      <w:szCs w:val="20"/>
      <w:u w:val="single"/>
    </w:rPr>
  </w:style>
  <w:style w:type="paragraph" w:customStyle="1" w:styleId="2895">
    <w:name w:val="首页脚注"/>
    <w:basedOn w:val="55"/>
    <w:qFormat/>
    <w:uiPriority w:val="0"/>
    <w:pPr>
      <w:keepLines/>
      <w:widowControl/>
      <w:tabs>
        <w:tab w:val="center" w:pos="7200"/>
        <w:tab w:val="clear" w:pos="4153"/>
        <w:tab w:val="clear" w:pos="8306"/>
      </w:tabs>
      <w:overflowPunct w:val="0"/>
      <w:autoSpaceDE w:val="0"/>
      <w:autoSpaceDN w:val="0"/>
      <w:snapToGrid/>
      <w:spacing w:line="240" w:lineRule="auto"/>
      <w:jc w:val="center"/>
      <w:textAlignment w:val="baseline"/>
    </w:pPr>
    <w:rPr>
      <w:rFonts w:ascii="Calibri" w:hAnsi="Calibri"/>
      <w:spacing w:val="80"/>
      <w:kern w:val="0"/>
      <w:sz w:val="20"/>
      <w:szCs w:val="20"/>
      <w:lang w:val="zh-CN"/>
    </w:rPr>
  </w:style>
  <w:style w:type="paragraph" w:customStyle="1" w:styleId="2896">
    <w:name w:val="奇数页脚注"/>
    <w:basedOn w:val="55"/>
    <w:qFormat/>
    <w:uiPriority w:val="0"/>
    <w:pPr>
      <w:keepLines/>
      <w:widowControl/>
      <w:tabs>
        <w:tab w:val="center" w:pos="7200"/>
        <w:tab w:val="right" w:pos="14400"/>
        <w:tab w:val="clear" w:pos="4153"/>
        <w:tab w:val="clear" w:pos="8306"/>
      </w:tabs>
      <w:overflowPunct w:val="0"/>
      <w:autoSpaceDE w:val="0"/>
      <w:autoSpaceDN w:val="0"/>
      <w:snapToGrid/>
      <w:spacing w:line="240" w:lineRule="auto"/>
      <w:jc w:val="center"/>
      <w:textAlignment w:val="baseline"/>
    </w:pPr>
    <w:rPr>
      <w:rFonts w:ascii="Calibri" w:hAnsi="Calibri"/>
      <w:spacing w:val="80"/>
      <w:kern w:val="0"/>
      <w:sz w:val="20"/>
      <w:szCs w:val="20"/>
      <w:lang w:val="zh-CN"/>
    </w:rPr>
  </w:style>
  <w:style w:type="paragraph" w:customStyle="1" w:styleId="2897">
    <w:name w:val="首页篇眉"/>
    <w:basedOn w:val="57"/>
    <w:qFormat/>
    <w:uiPriority w:val="0"/>
    <w:pPr>
      <w:keepLines/>
      <w:widowControl/>
      <w:pBdr>
        <w:bottom w:val="none" w:color="auto" w:sz="0" w:space="0"/>
      </w:pBdr>
      <w:tabs>
        <w:tab w:val="center" w:pos="7200"/>
        <w:tab w:val="clear" w:pos="2054"/>
        <w:tab w:val="clear" w:pos="4153"/>
        <w:tab w:val="clear" w:pos="8306"/>
      </w:tabs>
      <w:overflowPunct w:val="0"/>
      <w:autoSpaceDE w:val="0"/>
      <w:autoSpaceDN w:val="0"/>
      <w:snapToGrid/>
      <w:textAlignment w:val="baseline"/>
    </w:pPr>
    <w:rPr>
      <w:rFonts w:ascii="Calibri" w:hAnsi="Calibri"/>
      <w:spacing w:val="80"/>
      <w:kern w:val="0"/>
      <w:sz w:val="20"/>
      <w:szCs w:val="20"/>
      <w:lang w:val="zh-CN"/>
    </w:rPr>
  </w:style>
  <w:style w:type="paragraph" w:customStyle="1" w:styleId="2898">
    <w:name w:val="奇数页篇眉"/>
    <w:basedOn w:val="57"/>
    <w:qFormat/>
    <w:uiPriority w:val="0"/>
    <w:pPr>
      <w:keepLines/>
      <w:widowControl/>
      <w:pBdr>
        <w:bottom w:val="none" w:color="auto" w:sz="0" w:space="0"/>
      </w:pBdr>
      <w:tabs>
        <w:tab w:val="center" w:pos="7200"/>
        <w:tab w:val="right" w:pos="14400"/>
        <w:tab w:val="clear" w:pos="2054"/>
        <w:tab w:val="clear" w:pos="4153"/>
        <w:tab w:val="clear" w:pos="8306"/>
      </w:tabs>
      <w:overflowPunct w:val="0"/>
      <w:autoSpaceDE w:val="0"/>
      <w:autoSpaceDN w:val="0"/>
      <w:snapToGrid/>
      <w:textAlignment w:val="baseline"/>
    </w:pPr>
    <w:rPr>
      <w:rFonts w:ascii="Calibri" w:hAnsi="Calibri"/>
      <w:spacing w:val="80"/>
      <w:kern w:val="0"/>
      <w:sz w:val="20"/>
      <w:szCs w:val="20"/>
      <w:lang w:val="zh-CN"/>
    </w:rPr>
  </w:style>
  <w:style w:type="paragraph" w:customStyle="1" w:styleId="2899">
    <w:name w:val="编号结尾"/>
    <w:basedOn w:val="20"/>
    <w:next w:val="34"/>
    <w:qFormat/>
    <w:uiPriority w:val="0"/>
    <w:pPr>
      <w:widowControl/>
      <w:tabs>
        <w:tab w:val="clear" w:pos="360"/>
      </w:tabs>
      <w:overflowPunct w:val="0"/>
      <w:autoSpaceDE w:val="0"/>
      <w:autoSpaceDN w:val="0"/>
      <w:spacing w:after="240"/>
      <w:ind w:left="720" w:firstLine="0"/>
      <w:jc w:val="left"/>
      <w:textAlignment w:val="baseline"/>
    </w:pPr>
    <w:rPr>
      <w:b/>
      <w:kern w:val="0"/>
      <w:sz w:val="20"/>
      <w:szCs w:val="20"/>
    </w:rPr>
  </w:style>
  <w:style w:type="paragraph" w:customStyle="1" w:styleId="2900">
    <w:name w:val="文档卷标"/>
    <w:basedOn w:val="2891"/>
    <w:qFormat/>
    <w:uiPriority w:val="0"/>
    <w:pPr>
      <w:spacing w:after="360"/>
    </w:pPr>
    <w:rPr>
      <w:rFonts w:ascii="Times New Roman" w:hAnsi="Times New Roman"/>
    </w:rPr>
  </w:style>
  <w:style w:type="paragraph" w:customStyle="1" w:styleId="2901">
    <w:name w:val="表41"/>
    <w:basedOn w:val="1"/>
    <w:qFormat/>
    <w:uiPriority w:val="99"/>
    <w:pPr>
      <w:spacing w:line="240" w:lineRule="auto"/>
      <w:jc w:val="center"/>
    </w:pPr>
    <w:rPr>
      <w:rFonts w:eastAsia="仿宋_GB2312"/>
    </w:rPr>
  </w:style>
  <w:style w:type="paragraph" w:customStyle="1" w:styleId="2902">
    <w:name w:val="样式 标题 1 + 黑体 段前: 15 磅 段后: 15 磅 行距: 单倍行距"/>
    <w:basedOn w:val="3"/>
    <w:qFormat/>
    <w:uiPriority w:val="0"/>
    <w:pPr>
      <w:tabs>
        <w:tab w:val="left" w:pos="1794"/>
      </w:tabs>
      <w:spacing w:before="240" w:beforeLines="100" w:after="120" w:afterLines="100" w:line="240" w:lineRule="auto"/>
      <w:jc w:val="center"/>
    </w:pPr>
    <w:rPr>
      <w:rFonts w:hAnsi="黑体" w:eastAsia="黑体" w:cs="宋体"/>
      <w:bCs w:val="0"/>
      <w:sz w:val="44"/>
      <w:szCs w:val="20"/>
    </w:rPr>
  </w:style>
  <w:style w:type="paragraph" w:customStyle="1" w:styleId="2903">
    <w:name w:val="样式 标题 2 + (西文) Times New Roman (中文) 宋体 加粗 段后: 2 磅 行距: 单倍行距"/>
    <w:basedOn w:val="4"/>
    <w:qFormat/>
    <w:uiPriority w:val="0"/>
    <w:pPr>
      <w:keepNext w:val="0"/>
      <w:keepLines w:val="0"/>
      <w:tabs>
        <w:tab w:val="left" w:pos="1320"/>
      </w:tabs>
      <w:spacing w:before="260" w:beforeLines="50" w:after="260" w:afterLines="50" w:line="240" w:lineRule="auto"/>
      <w:ind w:left="1320" w:hanging="420"/>
    </w:pPr>
    <w:rPr>
      <w:rFonts w:cs="宋体"/>
      <w:szCs w:val="20"/>
    </w:rPr>
  </w:style>
  <w:style w:type="paragraph" w:customStyle="1" w:styleId="2904">
    <w:name w:val="样式 标题 3 + (西文) Times New Roman (中文) 宋体 段前: 12.5 磅 行距: 固定值 24 磅"/>
    <w:basedOn w:val="5"/>
    <w:qFormat/>
    <w:uiPriority w:val="0"/>
    <w:pPr>
      <w:keepNext w:val="0"/>
      <w:keepLines w:val="0"/>
      <w:tabs>
        <w:tab w:val="left" w:pos="1560"/>
        <w:tab w:val="left" w:pos="1740"/>
      </w:tabs>
      <w:spacing w:before="260" w:beforeLines="20" w:after="260" w:afterLines="20" w:line="480" w:lineRule="exact"/>
    </w:pPr>
    <w:rPr>
      <w:rFonts w:cs="宋体"/>
      <w:sz w:val="28"/>
      <w:szCs w:val="20"/>
    </w:rPr>
  </w:style>
  <w:style w:type="paragraph" w:customStyle="1" w:styleId="2905">
    <w:name w:val="样式 正文缩进文本条款表格标题正文（首行缩进两字） Char Char Char Char Char Char Char..."/>
    <w:basedOn w:val="21"/>
    <w:qFormat/>
    <w:uiPriority w:val="0"/>
    <w:pPr>
      <w:spacing w:line="480" w:lineRule="exact"/>
      <w:ind w:firstLine="560"/>
    </w:pPr>
    <w:rPr>
      <w:sz w:val="28"/>
    </w:rPr>
  </w:style>
  <w:style w:type="paragraph" w:customStyle="1" w:styleId="2906">
    <w:name w:val="表文字541"/>
    <w:basedOn w:val="1"/>
    <w:qFormat/>
    <w:uiPriority w:val="99"/>
    <w:pPr>
      <w:spacing w:line="240" w:lineRule="auto"/>
      <w:jc w:val="left"/>
      <w:textAlignment w:val="baseline"/>
    </w:pPr>
    <w:rPr>
      <w:rFonts w:ascii="宋体"/>
      <w:kern w:val="0"/>
      <w:sz w:val="21"/>
      <w:szCs w:val="20"/>
    </w:rPr>
  </w:style>
  <w:style w:type="paragraph" w:customStyle="1" w:styleId="2907">
    <w:name w:val="样式 标题 3 + (西文) Times New Roman (中文) 宋体 行距: 固定值 24 磅2"/>
    <w:basedOn w:val="5"/>
    <w:qFormat/>
    <w:uiPriority w:val="0"/>
    <w:pPr>
      <w:keepNext w:val="0"/>
      <w:keepLines w:val="0"/>
      <w:tabs>
        <w:tab w:val="left" w:pos="1560"/>
        <w:tab w:val="left" w:pos="1740"/>
      </w:tabs>
      <w:spacing w:before="260" w:beforeLines="20" w:after="260" w:afterLines="20" w:line="480" w:lineRule="exact"/>
    </w:pPr>
    <w:rPr>
      <w:rFonts w:cs="宋体"/>
      <w:sz w:val="28"/>
      <w:szCs w:val="20"/>
    </w:rPr>
  </w:style>
  <w:style w:type="paragraph" w:customStyle="1" w:styleId="2908">
    <w:name w:val="table"/>
    <w:basedOn w:val="65"/>
    <w:next w:val="86"/>
    <w:qFormat/>
    <w:uiPriority w:val="0"/>
    <w:pPr>
      <w:spacing w:line="360" w:lineRule="auto"/>
      <w:ind w:hanging="149"/>
    </w:pPr>
    <w:rPr>
      <w:rFonts w:ascii="Times New Roman" w:hAnsi="Calibri" w:eastAsia="宋体"/>
      <w:sz w:val="21"/>
      <w:szCs w:val="21"/>
      <w:lang w:val="zh-CN"/>
    </w:rPr>
  </w:style>
  <w:style w:type="paragraph" w:customStyle="1" w:styleId="2909">
    <w:name w:val="Char Char Char Char1 Char Char Char"/>
    <w:basedOn w:val="1"/>
    <w:qFormat/>
    <w:uiPriority w:val="99"/>
    <w:pPr>
      <w:spacing w:line="400" w:lineRule="exact"/>
      <w:ind w:firstLine="200"/>
    </w:pPr>
    <w:rPr>
      <w:sz w:val="28"/>
      <w:szCs w:val="28"/>
    </w:rPr>
  </w:style>
  <w:style w:type="paragraph" w:customStyle="1" w:styleId="2910">
    <w:name w:val="1主报告正文格式"/>
    <w:basedOn w:val="1"/>
    <w:next w:val="1"/>
    <w:qFormat/>
    <w:uiPriority w:val="0"/>
    <w:pPr>
      <w:spacing w:line="480" w:lineRule="exact"/>
      <w:ind w:firstLine="200"/>
      <w:jc w:val="left"/>
    </w:pPr>
    <w:rPr>
      <w:rFonts w:ascii="宋体" w:hAnsi="宋体"/>
      <w:kern w:val="0"/>
    </w:rPr>
  </w:style>
  <w:style w:type="paragraph" w:customStyle="1" w:styleId="2911">
    <w:name w:val="q2"/>
    <w:basedOn w:val="1"/>
    <w:qFormat/>
    <w:uiPriority w:val="0"/>
    <w:pPr>
      <w:widowControl/>
      <w:spacing w:before="100" w:beforeAutospacing="1" w:after="100" w:afterAutospacing="1" w:line="270" w:lineRule="atLeast"/>
      <w:jc w:val="left"/>
    </w:pPr>
    <w:rPr>
      <w:rFonts w:ascii="Arial" w:hAnsi="Arial" w:cs="Arial"/>
      <w:color w:val="000000"/>
      <w:kern w:val="0"/>
      <w:sz w:val="18"/>
      <w:szCs w:val="18"/>
    </w:rPr>
  </w:style>
  <w:style w:type="paragraph" w:customStyle="1" w:styleId="2912">
    <w:name w:val="一二三四五六"/>
    <w:basedOn w:val="1"/>
    <w:next w:val="1"/>
    <w:qFormat/>
    <w:uiPriority w:val="0"/>
    <w:pPr>
      <w:spacing w:before="100" w:after="100" w:line="480" w:lineRule="exact"/>
      <w:ind w:firstLine="200"/>
      <w:jc w:val="left"/>
    </w:pPr>
    <w:rPr>
      <w:rFonts w:eastAsia="黑体"/>
      <w:kern w:val="0"/>
      <w:sz w:val="28"/>
      <w:szCs w:val="28"/>
    </w:rPr>
  </w:style>
  <w:style w:type="paragraph" w:customStyle="1" w:styleId="2913">
    <w:name w:val="样式 标题 1 + 行距: 最小值 12 磅"/>
    <w:basedOn w:val="3"/>
    <w:qFormat/>
    <w:uiPriority w:val="0"/>
    <w:pPr>
      <w:keepNext w:val="0"/>
      <w:spacing w:before="360" w:after="240" w:line="240" w:lineRule="atLeast"/>
      <w:jc w:val="center"/>
    </w:pPr>
    <w:rPr>
      <w:rFonts w:cs="宋体"/>
      <w:bCs w:val="0"/>
      <w:sz w:val="32"/>
      <w:szCs w:val="32"/>
    </w:rPr>
  </w:style>
  <w:style w:type="paragraph" w:customStyle="1" w:styleId="2914">
    <w:name w:val="表头文字格式"/>
    <w:basedOn w:val="1"/>
    <w:next w:val="1"/>
    <w:qFormat/>
    <w:uiPriority w:val="0"/>
    <w:pPr>
      <w:widowControl/>
      <w:spacing w:beforeLines="50" w:afterLines="50" w:line="480" w:lineRule="exact"/>
      <w:jc w:val="center"/>
    </w:pPr>
    <w:rPr>
      <w:rFonts w:eastAsia="黑体"/>
      <w:kern w:val="0"/>
      <w:sz w:val="21"/>
      <w:szCs w:val="28"/>
    </w:rPr>
  </w:style>
  <w:style w:type="paragraph" w:customStyle="1" w:styleId="2915">
    <w:name w:val="样式 样式 样式 样式 样式 标题 1章标题 1b1 + 非加粗 黑色 居中 段前: 15.6 磅 段后: 15.6 磅 + 段..."/>
    <w:basedOn w:val="1"/>
    <w:qFormat/>
    <w:uiPriority w:val="0"/>
    <w:pPr>
      <w:keepNext/>
      <w:keepLines/>
      <w:spacing w:beforeLines="100" w:afterLines="100" w:line="240" w:lineRule="auto"/>
      <w:jc w:val="center"/>
      <w:outlineLvl w:val="0"/>
    </w:pPr>
    <w:rPr>
      <w:rFonts w:eastAsia="黑体"/>
      <w:b/>
      <w:kern w:val="44"/>
      <w:sz w:val="44"/>
      <w:szCs w:val="20"/>
    </w:rPr>
  </w:style>
  <w:style w:type="paragraph" w:customStyle="1" w:styleId="2916">
    <w:name w:val="样式 标题 2节标题 1.11.1标题2b200000000000000000000000000000000000000..."/>
    <w:basedOn w:val="4"/>
    <w:qFormat/>
    <w:uiPriority w:val="0"/>
    <w:pPr>
      <w:tabs>
        <w:tab w:val="left" w:pos="1320"/>
      </w:tabs>
      <w:spacing w:before="260" w:beforeLines="50" w:after="260" w:afterLines="30" w:line="240" w:lineRule="auto"/>
      <w:ind w:left="1320" w:hanging="420"/>
      <w:jc w:val="left"/>
    </w:pPr>
    <w:rPr>
      <w:rFonts w:cs="宋体"/>
      <w:szCs w:val="20"/>
    </w:rPr>
  </w:style>
  <w:style w:type="paragraph" w:customStyle="1" w:styleId="2917">
    <w:name w:val="封面项目名称"/>
    <w:basedOn w:val="1"/>
    <w:next w:val="1"/>
    <w:qFormat/>
    <w:uiPriority w:val="0"/>
    <w:pPr>
      <w:spacing w:line="480" w:lineRule="exact"/>
      <w:ind w:firstLine="567"/>
      <w:jc w:val="center"/>
    </w:pPr>
    <w:rPr>
      <w:rFonts w:ascii="黑体" w:eastAsia="黑体"/>
      <w:sz w:val="44"/>
      <w:szCs w:val="20"/>
    </w:rPr>
  </w:style>
  <w:style w:type="paragraph" w:customStyle="1" w:styleId="2918">
    <w:name w:val="CM29"/>
    <w:basedOn w:val="1"/>
    <w:next w:val="1"/>
    <w:qFormat/>
    <w:uiPriority w:val="0"/>
    <w:pPr>
      <w:autoSpaceDE w:val="0"/>
      <w:autoSpaceDN w:val="0"/>
      <w:spacing w:line="468" w:lineRule="atLeast"/>
      <w:jc w:val="left"/>
    </w:pPr>
    <w:rPr>
      <w:rFonts w:ascii="黑体" w:eastAsia="黑体"/>
      <w:kern w:val="0"/>
      <w:szCs w:val="28"/>
    </w:rPr>
  </w:style>
  <w:style w:type="paragraph" w:customStyle="1" w:styleId="2919">
    <w:name w:val="?1"/>
    <w:qFormat/>
    <w:uiPriority w:val="0"/>
    <w:pPr>
      <w:jc w:val="center"/>
    </w:pPr>
    <w:rPr>
      <w:rFonts w:ascii="Times New Roman" w:hAnsi="Times New Roman" w:eastAsia="宋体" w:cs="Times New Roman"/>
      <w:b/>
      <w:lang w:val="en-US" w:eastAsia="zh-CN" w:bidi="ar-SA"/>
    </w:rPr>
  </w:style>
  <w:style w:type="paragraph" w:customStyle="1" w:styleId="2920">
    <w:name w:val="c_"/>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2921">
    <w:name w:val="1."/>
    <w:basedOn w:val="1"/>
    <w:qFormat/>
    <w:uiPriority w:val="0"/>
    <w:pPr>
      <w:ind w:left="1820" w:hanging="323"/>
    </w:pPr>
    <w:rPr>
      <w:rFonts w:ascii="DFKai-SB" w:hAnsi="Wingdings" w:eastAsia="DFKai-SB"/>
      <w:sz w:val="28"/>
      <w:szCs w:val="20"/>
      <w:lang w:eastAsia="zh-TW"/>
    </w:rPr>
  </w:style>
  <w:style w:type="paragraph" w:customStyle="1" w:styleId="2922">
    <w:name w:val="样式 标题 3小标题小节标题H3h33rd level第二层条标题4标题 3 Char标题 3 Char Ch...2"/>
    <w:basedOn w:val="5"/>
    <w:qFormat/>
    <w:uiPriority w:val="0"/>
    <w:pPr>
      <w:tabs>
        <w:tab w:val="left" w:pos="0"/>
        <w:tab w:val="left" w:pos="709"/>
        <w:tab w:val="left" w:pos="993"/>
        <w:tab w:val="left" w:pos="1364"/>
      </w:tabs>
      <w:spacing w:before="0" w:after="0"/>
      <w:ind w:left="709" w:hanging="709"/>
      <w:textAlignment w:val="baseline"/>
    </w:pPr>
    <w:rPr>
      <w:rFonts w:ascii="Arial" w:hAnsi="Arial" w:cs="Arial"/>
      <w:bCs w:val="0"/>
      <w:color w:val="0000FF"/>
      <w:kern w:val="0"/>
      <w:sz w:val="30"/>
      <w:szCs w:val="30"/>
    </w:rPr>
  </w:style>
  <w:style w:type="paragraph" w:customStyle="1" w:styleId="2923">
    <w:name w:val="OIC1 Address"/>
    <w:basedOn w:val="1"/>
    <w:qFormat/>
    <w:uiPriority w:val="99"/>
    <w:pPr>
      <w:tabs>
        <w:tab w:val="left" w:pos="1440"/>
      </w:tabs>
      <w:spacing w:line="240" w:lineRule="auto"/>
      <w:jc w:val="center"/>
    </w:pPr>
    <w:rPr>
      <w:rFonts w:ascii="Arial" w:hAnsi="Arial"/>
      <w:color w:val="000080"/>
      <w:kern w:val="0"/>
      <w:sz w:val="20"/>
      <w:szCs w:val="20"/>
    </w:rPr>
  </w:style>
  <w:style w:type="paragraph" w:customStyle="1" w:styleId="2924">
    <w:name w:val="c11"/>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925">
    <w:name w:val="1pt line"/>
    <w:qFormat/>
    <w:uiPriority w:val="0"/>
    <w:pPr>
      <w:pBdr>
        <w:bottom w:val="single" w:color="auto" w:sz="8" w:space="1"/>
      </w:pBdr>
      <w:spacing w:line="20" w:lineRule="exact"/>
    </w:pPr>
    <w:rPr>
      <w:rFonts w:ascii="Times New Roman" w:hAnsi="Times New Roman" w:eastAsia="PMingLiU" w:cs="Times New Roman"/>
      <w:lang w:val="en-US" w:eastAsia="zh-TW" w:bidi="ar-SA"/>
    </w:rPr>
  </w:style>
  <w:style w:type="paragraph" w:customStyle="1" w:styleId="2926">
    <w:name w:val="樣式6"/>
    <w:basedOn w:val="1"/>
    <w:qFormat/>
    <w:uiPriority w:val="0"/>
    <w:pPr>
      <w:spacing w:line="0" w:lineRule="atLeast"/>
      <w:ind w:left="57"/>
      <w:jc w:val="left"/>
      <w:textAlignment w:val="baseline"/>
    </w:pPr>
    <w:rPr>
      <w:rFonts w:ascii="Arial" w:hAnsi="Arial" w:eastAsia="MingLiU"/>
      <w:b/>
      <w:kern w:val="0"/>
      <w:szCs w:val="20"/>
      <w:lang w:eastAsia="zh-TW"/>
    </w:rPr>
  </w:style>
  <w:style w:type="paragraph" w:customStyle="1" w:styleId="2927">
    <w:name w:val="內文縮排 2"/>
    <w:basedOn w:val="21"/>
    <w:qFormat/>
    <w:uiPriority w:val="0"/>
    <w:pPr>
      <w:spacing w:before="120" w:line="300" w:lineRule="auto"/>
      <w:ind w:left="794" w:firstLine="0" w:firstLineChars="0"/>
    </w:pPr>
    <w:rPr>
      <w:rFonts w:ascii="Arial" w:hAnsi="Arial"/>
      <w:bCs/>
      <w:spacing w:val="20"/>
      <w:sz w:val="24"/>
      <w:szCs w:val="20"/>
      <w:lang w:eastAsia="zh-TW"/>
    </w:rPr>
  </w:style>
  <w:style w:type="paragraph" w:customStyle="1" w:styleId="2928">
    <w:name w:val="樣式2"/>
    <w:basedOn w:val="5"/>
    <w:qFormat/>
    <w:uiPriority w:val="0"/>
    <w:pPr>
      <w:keepLines w:val="0"/>
      <w:tabs>
        <w:tab w:val="left" w:pos="993"/>
        <w:tab w:val="left" w:pos="1050"/>
        <w:tab w:val="left" w:pos="3640"/>
      </w:tabs>
      <w:spacing w:before="240" w:after="240"/>
      <w:ind w:left="284"/>
    </w:pPr>
    <w:rPr>
      <w:rFonts w:ascii="Arial" w:hAnsi="Arial" w:eastAsia="PMingLiU" w:cs="Arial"/>
      <w:bCs w:val="0"/>
      <w:color w:val="000000"/>
      <w:spacing w:val="20"/>
      <w:szCs w:val="36"/>
      <w:lang w:eastAsia="zh-TW"/>
    </w:rPr>
  </w:style>
  <w:style w:type="paragraph" w:customStyle="1" w:styleId="2929">
    <w:name w:val="23-47表名12"/>
    <w:basedOn w:val="1"/>
    <w:qFormat/>
    <w:uiPriority w:val="99"/>
    <w:pPr>
      <w:spacing w:afterLines="50" w:line="440" w:lineRule="exact"/>
      <w:jc w:val="center"/>
    </w:pPr>
    <w:rPr>
      <w:rFonts w:ascii="宋体" w:hAnsi="宋体"/>
      <w:b/>
    </w:rPr>
  </w:style>
  <w:style w:type="paragraph" w:customStyle="1" w:styleId="2930">
    <w:name w:val="正文文字首航缩2字"/>
    <w:basedOn w:val="1"/>
    <w:qFormat/>
    <w:uiPriority w:val="0"/>
    <w:pPr>
      <w:ind w:firstLine="200"/>
    </w:pPr>
  </w:style>
  <w:style w:type="paragraph" w:customStyle="1" w:styleId="2931">
    <w:name w:val="样式 标题 3小标题小节标题标题3H3h33rd level第二层条标题4标题 3 Char标题 3 Cha..."/>
    <w:basedOn w:val="5"/>
    <w:qFormat/>
    <w:uiPriority w:val="0"/>
    <w:pPr>
      <w:tabs>
        <w:tab w:val="left" w:pos="0"/>
        <w:tab w:val="left" w:pos="709"/>
        <w:tab w:val="left" w:pos="993"/>
        <w:tab w:val="left" w:pos="1364"/>
      </w:tabs>
      <w:spacing w:before="0" w:after="0"/>
      <w:ind w:left="1135"/>
      <w:textAlignment w:val="baseline"/>
    </w:pPr>
    <w:rPr>
      <w:rFonts w:cs="宋体"/>
      <w:color w:val="000000"/>
      <w:kern w:val="32"/>
      <w:sz w:val="28"/>
      <w:szCs w:val="28"/>
    </w:rPr>
  </w:style>
  <w:style w:type="paragraph" w:customStyle="1" w:styleId="2932">
    <w:name w:val="图标"/>
    <w:basedOn w:val="35"/>
    <w:qFormat/>
    <w:uiPriority w:val="0"/>
    <w:pPr>
      <w:pBdr>
        <w:top w:val="single" w:color="auto" w:sz="4" w:space="1"/>
      </w:pBdr>
      <w:spacing w:line="360" w:lineRule="auto"/>
      <w:ind w:left="0" w:firstLine="561" w:firstLineChars="200"/>
      <w:jc w:val="center"/>
    </w:pPr>
    <w:rPr>
      <w:b/>
      <w:sz w:val="24"/>
      <w:lang w:val="zh-CN"/>
    </w:rPr>
  </w:style>
  <w:style w:type="paragraph" w:customStyle="1" w:styleId="2933">
    <w:name w:val="ｲﾝﾃﾞﾝﾄ-2"/>
    <w:basedOn w:val="1"/>
    <w:qFormat/>
    <w:uiPriority w:val="0"/>
    <w:pPr>
      <w:spacing w:line="360" w:lineRule="atLeast"/>
      <w:ind w:left="737"/>
    </w:pPr>
    <w:rPr>
      <w:rFonts w:ascii="MS Gothic" w:hAnsi="Century" w:eastAsia="MS Gothic"/>
      <w:sz w:val="21"/>
      <w:szCs w:val="20"/>
      <w:lang w:eastAsia="ja-JP"/>
    </w:rPr>
  </w:style>
  <w:style w:type="paragraph" w:customStyle="1" w:styleId="2934">
    <w:name w:val="图文"/>
    <w:basedOn w:val="1"/>
    <w:qFormat/>
    <w:uiPriority w:val="0"/>
    <w:pPr>
      <w:autoSpaceDE w:val="0"/>
      <w:autoSpaceDN w:val="0"/>
      <w:spacing w:afterLines="50" w:line="280" w:lineRule="exact"/>
      <w:ind w:firstLine="200"/>
      <w:jc w:val="center"/>
      <w:outlineLvl w:val="1"/>
    </w:pPr>
    <w:rPr>
      <w:rFonts w:eastAsia="仿宋_GB2312"/>
      <w:sz w:val="21"/>
      <w:szCs w:val="20"/>
    </w:rPr>
  </w:style>
  <w:style w:type="paragraph" w:customStyle="1" w:styleId="2935">
    <w:name w:val="统一正文"/>
    <w:basedOn w:val="1"/>
    <w:qFormat/>
    <w:uiPriority w:val="0"/>
    <w:pPr>
      <w:pBdr>
        <w:top w:val="single" w:color="auto" w:sz="4" w:space="1"/>
      </w:pBdr>
      <w:ind w:firstLine="480"/>
      <w:jc w:val="left"/>
      <w:textAlignment w:val="baseline"/>
    </w:pPr>
    <w:rPr>
      <w:kern w:val="0"/>
      <w:szCs w:val="20"/>
    </w:rPr>
  </w:style>
  <w:style w:type="paragraph" w:customStyle="1" w:styleId="2936">
    <w:name w:val="Char Char1 Char Char1 Char"/>
    <w:basedOn w:val="1"/>
    <w:qFormat/>
    <w:uiPriority w:val="0"/>
    <w:pPr>
      <w:spacing w:line="240" w:lineRule="auto"/>
    </w:pPr>
    <w:rPr>
      <w:sz w:val="21"/>
      <w:szCs w:val="21"/>
    </w:rPr>
  </w:style>
  <w:style w:type="paragraph" w:customStyle="1" w:styleId="2937">
    <w:name w:val="表格文字新"/>
    <w:basedOn w:val="239"/>
    <w:qFormat/>
    <w:uiPriority w:val="0"/>
    <w:pPr>
      <w:tabs>
        <w:tab w:val="left" w:pos="5580"/>
        <w:tab w:val="left" w:pos="5760"/>
      </w:tabs>
      <w:spacing w:after="120" w:line="400" w:lineRule="exact"/>
      <w:ind w:firstLine="560"/>
      <w:jc w:val="center"/>
      <w:textAlignment w:val="baseline"/>
    </w:pPr>
    <w:rPr>
      <w:kern w:val="0"/>
      <w:sz w:val="21"/>
      <w:szCs w:val="21"/>
      <w:lang w:val="zh-CN"/>
    </w:rPr>
  </w:style>
  <w:style w:type="paragraph" w:customStyle="1" w:styleId="2938">
    <w:name w:val="Char4 Char Char Char Char Char Char Char Char Char Char Char Char Char Char Char Char Char Char Char Char Char Char Char Char Char Char Char Char Char"/>
    <w:basedOn w:val="1"/>
    <w:qFormat/>
    <w:uiPriority w:val="0"/>
    <w:pPr>
      <w:spacing w:line="240" w:lineRule="exact"/>
      <w:ind w:firstLine="200"/>
    </w:pPr>
    <w:rPr>
      <w:sz w:val="28"/>
      <w:szCs w:val="28"/>
    </w:rPr>
  </w:style>
  <w:style w:type="paragraph" w:customStyle="1" w:styleId="2939">
    <w:name w:val="Char Char1 Char Char1"/>
    <w:basedOn w:val="1"/>
    <w:qFormat/>
    <w:uiPriority w:val="0"/>
    <w:pPr>
      <w:spacing w:line="240" w:lineRule="auto"/>
    </w:pPr>
    <w:rPr>
      <w:sz w:val="21"/>
      <w:szCs w:val="21"/>
    </w:rPr>
  </w:style>
  <w:style w:type="paragraph" w:customStyle="1" w:styleId="2940">
    <w:name w:val="B"/>
    <w:basedOn w:val="65"/>
    <w:qFormat/>
    <w:uiPriority w:val="0"/>
    <w:pPr>
      <w:spacing w:beforeLines="20" w:afterLines="20" w:line="240" w:lineRule="auto"/>
    </w:pPr>
    <w:rPr>
      <w:rFonts w:ascii="Times New Roman" w:hAnsi="Calibri" w:eastAsia="宋体"/>
      <w:b/>
      <w:sz w:val="21"/>
      <w:szCs w:val="21"/>
      <w:lang w:val="zh-CN"/>
    </w:rPr>
  </w:style>
  <w:style w:type="paragraph" w:customStyle="1" w:styleId="2941">
    <w:name w:val="Char3 Char Char Char Char Char Char Char Char Char"/>
    <w:basedOn w:val="1"/>
    <w:qFormat/>
    <w:uiPriority w:val="0"/>
    <w:pPr>
      <w:spacing w:line="240" w:lineRule="auto"/>
    </w:pPr>
    <w:rPr>
      <w:sz w:val="21"/>
      <w:szCs w:val="21"/>
    </w:rPr>
  </w:style>
  <w:style w:type="paragraph" w:customStyle="1" w:styleId="2942">
    <w:name w:val="燕正文"/>
    <w:basedOn w:val="35"/>
    <w:qFormat/>
    <w:uiPriority w:val="0"/>
    <w:pPr>
      <w:pBdr>
        <w:top w:val="single" w:color="auto" w:sz="4" w:space="1"/>
      </w:pBdr>
      <w:spacing w:line="480" w:lineRule="atLeast"/>
      <w:ind w:left="0" w:firstLine="480" w:firstLineChars="200"/>
    </w:pPr>
    <w:rPr>
      <w:rFonts w:cs="宋体"/>
      <w:sz w:val="24"/>
      <w:lang w:val="zh-CN"/>
    </w:rPr>
  </w:style>
  <w:style w:type="paragraph" w:customStyle="1" w:styleId="2943">
    <w:name w:val="Char Char Char Char Char Char Char Char Char1 Char Char Char"/>
    <w:basedOn w:val="1"/>
    <w:qFormat/>
    <w:uiPriority w:val="0"/>
    <w:pPr>
      <w:spacing w:line="240" w:lineRule="auto"/>
    </w:pPr>
    <w:rPr>
      <w:sz w:val="21"/>
      <w:szCs w:val="21"/>
    </w:rPr>
  </w:style>
  <w:style w:type="paragraph" w:customStyle="1" w:styleId="2944">
    <w:name w:val="表内文字小3141"/>
    <w:basedOn w:val="1"/>
    <w:qFormat/>
    <w:uiPriority w:val="99"/>
    <w:pPr>
      <w:spacing w:line="240" w:lineRule="auto"/>
      <w:jc w:val="center"/>
    </w:pPr>
    <w:rPr>
      <w:rFonts w:ascii="宋体" w:hAnsi="Times" w:cs="宋体"/>
      <w:bCs/>
      <w:color w:val="003366"/>
      <w:sz w:val="21"/>
      <w:szCs w:val="20"/>
    </w:rPr>
  </w:style>
  <w:style w:type="paragraph" w:customStyle="1" w:styleId="2945">
    <w:name w:val="表格的文字"/>
    <w:basedOn w:val="1"/>
    <w:qFormat/>
    <w:uiPriority w:val="99"/>
    <w:pPr>
      <w:spacing w:line="300" w:lineRule="exact"/>
      <w:jc w:val="center"/>
    </w:pPr>
    <w:rPr>
      <w:rFonts w:ascii="仿宋_GB2312" w:eastAsia="仿宋_GB2312"/>
      <w:bCs/>
      <w:sz w:val="21"/>
      <w:szCs w:val="20"/>
    </w:rPr>
  </w:style>
  <w:style w:type="paragraph" w:customStyle="1" w:styleId="2946">
    <w:name w:val="1标2"/>
    <w:basedOn w:val="1"/>
    <w:qFormat/>
    <w:uiPriority w:val="0"/>
    <w:pPr>
      <w:keepNext/>
      <w:keepLines/>
      <w:pBdr>
        <w:top w:val="single" w:color="auto" w:sz="4" w:space="1"/>
      </w:pBdr>
      <w:spacing w:before="240" w:after="120" w:line="480" w:lineRule="exact"/>
      <w:jc w:val="left"/>
      <w:textAlignment w:val="baseline"/>
      <w:outlineLvl w:val="1"/>
    </w:pPr>
    <w:rPr>
      <w:rFonts w:eastAsia="黑体"/>
      <w:b/>
      <w:kern w:val="0"/>
      <w:sz w:val="32"/>
      <w:szCs w:val="32"/>
    </w:rPr>
  </w:style>
  <w:style w:type="paragraph" w:customStyle="1" w:styleId="2947">
    <w:name w:val="Char1 Char Char Char Char Char Char Char Char Char"/>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2948">
    <w:name w:val="样式 标题 2 + 行距: 最小值 12 磅"/>
    <w:basedOn w:val="4"/>
    <w:qFormat/>
    <w:uiPriority w:val="0"/>
    <w:pPr>
      <w:tabs>
        <w:tab w:val="left" w:pos="315"/>
        <w:tab w:val="left" w:pos="768"/>
      </w:tabs>
      <w:spacing w:before="260" w:beforeLines="100" w:after="260" w:afterLines="100" w:line="240" w:lineRule="atLeast"/>
      <w:jc w:val="left"/>
      <w:textAlignment w:val="baseline"/>
    </w:pPr>
    <w:rPr>
      <w:rFonts w:ascii="黑体" w:eastAsia="黑体" w:cs="宋体"/>
      <w:bCs w:val="0"/>
      <w:kern w:val="0"/>
      <w:szCs w:val="28"/>
    </w:rPr>
  </w:style>
  <w:style w:type="paragraph" w:customStyle="1" w:styleId="2949">
    <w:name w:val="CM52"/>
    <w:basedOn w:val="1"/>
    <w:next w:val="1"/>
    <w:qFormat/>
    <w:uiPriority w:val="0"/>
    <w:pPr>
      <w:autoSpaceDE w:val="0"/>
      <w:autoSpaceDN w:val="0"/>
      <w:spacing w:after="173"/>
      <w:jc w:val="left"/>
    </w:pPr>
    <w:rPr>
      <w:rFonts w:ascii="黑体" w:eastAsia="黑体"/>
      <w:kern w:val="0"/>
      <w:szCs w:val="28"/>
    </w:rPr>
  </w:style>
  <w:style w:type="paragraph" w:customStyle="1" w:styleId="2950">
    <w:name w:val="CM54"/>
    <w:basedOn w:val="151"/>
    <w:next w:val="151"/>
    <w:qFormat/>
    <w:uiPriority w:val="0"/>
    <w:pPr>
      <w:spacing w:after="248"/>
    </w:pPr>
    <w:rPr>
      <w:rFonts w:ascii="黑体" w:hAnsi="Times New Roman" w:eastAsia="黑体" w:cs="Times New Roman"/>
      <w:color w:val="auto"/>
    </w:rPr>
  </w:style>
  <w:style w:type="paragraph" w:customStyle="1" w:styleId="2951">
    <w:name w:val="表内宋5中1"/>
    <w:basedOn w:val="1"/>
    <w:qFormat/>
    <w:uiPriority w:val="99"/>
    <w:pPr>
      <w:spacing w:line="240" w:lineRule="auto"/>
      <w:jc w:val="center"/>
      <w:textAlignment w:val="baseline"/>
    </w:pPr>
    <w:rPr>
      <w:rFonts w:ascii="宋体" w:hAnsi="宋体" w:cs="宋体"/>
      <w:kern w:val="0"/>
      <w:sz w:val="21"/>
      <w:szCs w:val="20"/>
    </w:rPr>
  </w:style>
  <w:style w:type="paragraph" w:customStyle="1" w:styleId="2952">
    <w:name w:val="CM4"/>
    <w:basedOn w:val="151"/>
    <w:next w:val="151"/>
    <w:qFormat/>
    <w:uiPriority w:val="0"/>
    <w:pPr>
      <w:spacing w:line="468" w:lineRule="atLeast"/>
    </w:pPr>
    <w:rPr>
      <w:rFonts w:ascii="黑体" w:hAnsi="Times New Roman" w:eastAsia="黑体" w:cs="Times New Roman"/>
      <w:color w:val="auto"/>
    </w:rPr>
  </w:style>
  <w:style w:type="paragraph" w:customStyle="1" w:styleId="2953">
    <w:name w:val="样式 报告书表格 + 黑色"/>
    <w:basedOn w:val="241"/>
    <w:qFormat/>
    <w:uiPriority w:val="0"/>
    <w:pPr>
      <w:spacing w:line="400" w:lineRule="exact"/>
    </w:pPr>
    <w:rPr>
      <w:rFonts w:ascii="宋体" w:hAnsi="宋体" w:eastAsia="仿宋_GB2312"/>
      <w:color w:val="000000"/>
      <w:kern w:val="2"/>
      <w:szCs w:val="21"/>
      <w:lang w:val="fr-FR"/>
    </w:rPr>
  </w:style>
  <w:style w:type="paragraph" w:customStyle="1" w:styleId="2954">
    <w:name w:val="正文编号1"/>
    <w:basedOn w:val="1"/>
    <w:qFormat/>
    <w:uiPriority w:val="0"/>
    <w:pPr>
      <w:ind w:firstLine="567"/>
    </w:pPr>
    <w:rPr>
      <w:rFonts w:ascii="Arial" w:hAnsi="Arial" w:eastAsia="仿宋_GB2312"/>
      <w:sz w:val="28"/>
      <w:szCs w:val="28"/>
    </w:rPr>
  </w:style>
  <w:style w:type="paragraph" w:customStyle="1" w:styleId="2955">
    <w:name w:val="表题注"/>
    <w:basedOn w:val="11"/>
    <w:qFormat/>
    <w:uiPriority w:val="0"/>
    <w:pPr>
      <w:keepNext w:val="0"/>
      <w:keepLines w:val="0"/>
      <w:tabs>
        <w:tab w:val="left" w:pos="720"/>
        <w:tab w:val="left" w:pos="840"/>
        <w:tab w:val="left" w:pos="945"/>
      </w:tabs>
      <w:adjustRightInd/>
      <w:snapToGrid/>
      <w:spacing w:beforeLines="50" w:afterLines="50" w:line="400" w:lineRule="atLeast"/>
      <w:ind w:left="289" w:hanging="289"/>
      <w:jc w:val="left"/>
    </w:pPr>
    <w:rPr>
      <w:rFonts w:ascii="Arial" w:hAnsi="Arial"/>
      <w:b/>
      <w:bCs/>
      <w:sz w:val="24"/>
      <w:szCs w:val="24"/>
      <w:lang w:val="zh-CN"/>
    </w:rPr>
  </w:style>
  <w:style w:type="paragraph" w:customStyle="1" w:styleId="2956">
    <w:name w:val="样式 标题 4PIM 4h4第三层条标题 4 Char Char Char Char CharH4bulletbl..."/>
    <w:basedOn w:val="6"/>
    <w:qFormat/>
    <w:uiPriority w:val="0"/>
    <w:pPr>
      <w:keepNext w:val="0"/>
      <w:keepLines w:val="0"/>
      <w:spacing w:before="0" w:after="0" w:line="360" w:lineRule="auto"/>
      <w:ind w:left="-57" w:firstLine="567"/>
    </w:pPr>
    <w:rPr>
      <w:rFonts w:ascii="仿宋_GB2312" w:hAnsi="仿宋_GB2312" w:eastAsia="仿宋_GB2312"/>
      <w:sz w:val="28"/>
      <w:lang w:val="zh-CN"/>
    </w:rPr>
  </w:style>
  <w:style w:type="paragraph" w:customStyle="1" w:styleId="2957">
    <w:name w:val="标题4n"/>
    <w:basedOn w:val="5"/>
    <w:qFormat/>
    <w:uiPriority w:val="0"/>
    <w:pPr>
      <w:keepNext w:val="0"/>
      <w:keepLines w:val="0"/>
      <w:tabs>
        <w:tab w:val="left" w:pos="0"/>
      </w:tabs>
      <w:spacing w:before="0" w:after="0"/>
      <w:ind w:firstLine="567"/>
    </w:pPr>
    <w:rPr>
      <w:rFonts w:ascii="仿宋_GB2312" w:hAnsi="Arial" w:eastAsia="仿宋_GB2312"/>
      <w:b w:val="0"/>
      <w:sz w:val="28"/>
      <w:szCs w:val="28"/>
    </w:rPr>
  </w:style>
  <w:style w:type="paragraph" w:customStyle="1" w:styleId="2958">
    <w:name w:val="表内54151"/>
    <w:basedOn w:val="1"/>
    <w:qFormat/>
    <w:uiPriority w:val="99"/>
    <w:pPr>
      <w:spacing w:line="300" w:lineRule="auto"/>
      <w:jc w:val="center"/>
    </w:pPr>
    <w:rPr>
      <w:rFonts w:ascii="宋体" w:hAnsi="宋体" w:cs="宋体"/>
      <w:sz w:val="21"/>
      <w:szCs w:val="20"/>
    </w:rPr>
  </w:style>
  <w:style w:type="paragraph" w:customStyle="1" w:styleId="2959">
    <w:name w:val="Char1 Char Char Char Char Char Char Char Char Char1 Char Char Char Char Char"/>
    <w:basedOn w:val="1"/>
    <w:qFormat/>
    <w:uiPriority w:val="0"/>
    <w:pPr>
      <w:widowControl/>
      <w:spacing w:before="100" w:beforeAutospacing="1" w:after="100" w:afterAutospacing="1" w:line="240" w:lineRule="auto"/>
      <w:ind w:firstLine="200"/>
      <w:jc w:val="left"/>
    </w:pPr>
    <w:rPr>
      <w:rFonts w:ascii="Verdana" w:hAnsi="Verdana" w:eastAsia="仿宋_GB2312"/>
      <w:kern w:val="0"/>
      <w:sz w:val="20"/>
      <w:szCs w:val="21"/>
      <w:lang w:eastAsia="en-US"/>
    </w:rPr>
  </w:style>
  <w:style w:type="paragraph" w:customStyle="1" w:styleId="2960">
    <w:name w:val="表格标题6"/>
    <w:basedOn w:val="38"/>
    <w:qFormat/>
    <w:uiPriority w:val="0"/>
    <w:pPr>
      <w:pBdr>
        <w:top w:val="single" w:color="auto" w:sz="4" w:space="1"/>
      </w:pBdr>
      <w:tabs>
        <w:tab w:val="left" w:pos="0"/>
      </w:tabs>
      <w:wordWrap w:val="0"/>
      <w:spacing w:after="0"/>
      <w:ind w:left="0" w:leftChars="0" w:firstLine="0"/>
      <w:jc w:val="center"/>
      <w:textAlignment w:val="baseline"/>
    </w:pPr>
    <w:rPr>
      <w:rFonts w:ascii="Times New Roman" w:eastAsia="宋体"/>
      <w:b/>
      <w:kern w:val="0"/>
      <w:sz w:val="24"/>
    </w:rPr>
  </w:style>
  <w:style w:type="paragraph" w:customStyle="1" w:styleId="2961">
    <w:name w:val="Char1 Char Char Char Char Char Char Char Char Char Char Char"/>
    <w:basedOn w:val="1"/>
    <w:qFormat/>
    <w:uiPriority w:val="0"/>
    <w:pPr>
      <w:spacing w:line="480" w:lineRule="exact"/>
    </w:pPr>
    <w:rPr>
      <w:sz w:val="21"/>
    </w:rPr>
  </w:style>
  <w:style w:type="paragraph" w:customStyle="1" w:styleId="2962">
    <w:name w:val="Char1 Char Char Char Char Char1 Char"/>
    <w:basedOn w:val="1"/>
    <w:qFormat/>
    <w:uiPriority w:val="99"/>
    <w:pPr>
      <w:spacing w:line="240" w:lineRule="auto"/>
    </w:pPr>
    <w:rPr>
      <w:sz w:val="21"/>
      <w:szCs w:val="21"/>
    </w:rPr>
  </w:style>
  <w:style w:type="paragraph" w:customStyle="1" w:styleId="2963">
    <w:name w:val="图文文字"/>
    <w:qFormat/>
    <w:uiPriority w:val="0"/>
    <w:pPr>
      <w:jc w:val="center"/>
    </w:pPr>
    <w:rPr>
      <w:rFonts w:ascii="Times New Roman" w:hAnsi="Times New Roman" w:eastAsia="宋体" w:cs="Times New Roman"/>
      <w:sz w:val="21"/>
      <w:lang w:val="en-US" w:eastAsia="zh-CN" w:bidi="ar-SA"/>
    </w:rPr>
  </w:style>
  <w:style w:type="paragraph" w:customStyle="1" w:styleId="2964">
    <w:name w:val="环评样式"/>
    <w:basedOn w:val="1"/>
    <w:qFormat/>
    <w:uiPriority w:val="0"/>
    <w:pPr>
      <w:overflowPunct w:val="0"/>
      <w:textAlignment w:val="baseline"/>
      <w:outlineLvl w:val="0"/>
    </w:pPr>
    <w:rPr>
      <w:rFonts w:ascii="仿宋_GB2312" w:hAnsi="Alaska" w:eastAsia="仿宋_GB2312"/>
      <w:snapToGrid w:val="0"/>
      <w:kern w:val="0"/>
      <w:sz w:val="30"/>
      <w:szCs w:val="20"/>
    </w:rPr>
  </w:style>
  <w:style w:type="paragraph" w:customStyle="1" w:styleId="2965">
    <w:name w:val="13"/>
    <w:basedOn w:val="1"/>
    <w:next w:val="21"/>
    <w:qFormat/>
    <w:uiPriority w:val="0"/>
    <w:pPr>
      <w:ind w:firstLine="420"/>
      <w:textAlignment w:val="baseline"/>
    </w:pPr>
    <w:rPr>
      <w:rFonts w:ascii="宋体" w:hAnsi="Alaska"/>
      <w:kern w:val="0"/>
      <w:szCs w:val="20"/>
    </w:rPr>
  </w:style>
  <w:style w:type="paragraph" w:customStyle="1" w:styleId="2966">
    <w:name w:val="首页页眉样式"/>
    <w:basedOn w:val="57"/>
    <w:qFormat/>
    <w:uiPriority w:val="0"/>
    <w:pPr>
      <w:pBdr>
        <w:bottom w:val="none" w:color="auto" w:sz="0" w:space="0"/>
      </w:pBdr>
      <w:tabs>
        <w:tab w:val="clear" w:pos="2054"/>
        <w:tab w:val="clear" w:pos="4153"/>
        <w:tab w:val="clear" w:pos="8306"/>
      </w:tabs>
      <w:textAlignment w:val="baseline"/>
    </w:pPr>
    <w:rPr>
      <w:rFonts w:ascii="楷体_GB2312" w:hAnsi="Alaska" w:eastAsia="楷体_GB2312"/>
      <w:spacing w:val="-20"/>
      <w:kern w:val="0"/>
      <w:szCs w:val="20"/>
      <w:lang w:val="zh-CN"/>
    </w:rPr>
  </w:style>
  <w:style w:type="paragraph" w:customStyle="1" w:styleId="2967">
    <w:name w:val="样式 表内小5 + 黑体 加粗 倾斜 下划线11"/>
    <w:basedOn w:val="1"/>
    <w:qFormat/>
    <w:uiPriority w:val="99"/>
    <w:pPr>
      <w:spacing w:line="300" w:lineRule="auto"/>
      <w:jc w:val="left"/>
    </w:pPr>
    <w:rPr>
      <w:rFonts w:ascii="黑体" w:hAnsi="黑体" w:eastAsia="黑体"/>
      <w:b/>
      <w:bCs/>
      <w:i/>
      <w:iCs/>
      <w:sz w:val="18"/>
      <w:u w:val="single"/>
    </w:rPr>
  </w:style>
  <w:style w:type="paragraph" w:customStyle="1" w:styleId="2968">
    <w:name w:val="样式 样式1 + 五号 黑色 段前: 4 磅 段后: 4 磅 行距: 单倍行距"/>
    <w:basedOn w:val="1"/>
    <w:qFormat/>
    <w:uiPriority w:val="0"/>
    <w:pPr>
      <w:pBdr>
        <w:top w:val="single" w:color="auto" w:sz="4" w:space="1"/>
      </w:pBdr>
      <w:spacing w:before="80" w:after="80" w:line="240" w:lineRule="auto"/>
    </w:pPr>
    <w:rPr>
      <w:sz w:val="21"/>
      <w:szCs w:val="21"/>
    </w:rPr>
  </w:style>
  <w:style w:type="paragraph" w:customStyle="1" w:styleId="2969">
    <w:name w:val="样式 仿宋_GB2312 小四 居中 行距: 最小值 12 磅"/>
    <w:basedOn w:val="1"/>
    <w:qFormat/>
    <w:uiPriority w:val="0"/>
    <w:pPr>
      <w:spacing w:line="400" w:lineRule="exact"/>
      <w:jc w:val="center"/>
    </w:pPr>
    <w:rPr>
      <w:rFonts w:ascii="仿宋_GB2312" w:cs="宋体"/>
      <w:sz w:val="21"/>
      <w:szCs w:val="20"/>
    </w:rPr>
  </w:style>
  <w:style w:type="paragraph" w:customStyle="1" w:styleId="2970">
    <w:name w:val="样式 标题 1h1H1PIM 1标书11.标题 1Section HeadHeader11st levell1..."/>
    <w:basedOn w:val="3"/>
    <w:qFormat/>
    <w:uiPriority w:val="0"/>
    <w:pPr>
      <w:spacing w:before="240" w:after="240"/>
      <w:ind w:right="210"/>
    </w:pPr>
    <w:rPr>
      <w:rFonts w:eastAsia="黑体" w:cs="宋体"/>
      <w:bCs w:val="0"/>
      <w:color w:val="000000"/>
      <w:szCs w:val="20"/>
    </w:rPr>
  </w:style>
  <w:style w:type="paragraph" w:customStyle="1" w:styleId="2971">
    <w:name w:val="TITLE-2"/>
    <w:basedOn w:val="1"/>
    <w:qFormat/>
    <w:uiPriority w:val="0"/>
    <w:pPr>
      <w:spacing w:line="480" w:lineRule="atLeast"/>
      <w:ind w:left="284" w:hanging="284"/>
      <w:textAlignment w:val="baseline"/>
    </w:pPr>
    <w:rPr>
      <w:rFonts w:ascii="華康中楷體" w:eastAsia="華康中楷體"/>
      <w:kern w:val="0"/>
      <w:sz w:val="28"/>
      <w:szCs w:val="20"/>
      <w:lang w:eastAsia="zh-TW"/>
    </w:rPr>
  </w:style>
  <w:style w:type="paragraph" w:customStyle="1" w:styleId="2972">
    <w:name w:val="样式 表格1 + 首行缩进:  2 字符"/>
    <w:basedOn w:val="1423"/>
    <w:qFormat/>
    <w:uiPriority w:val="0"/>
    <w:pPr>
      <w:spacing w:line="400" w:lineRule="exact"/>
    </w:pPr>
    <w:rPr>
      <w:rFonts w:ascii="CG Times (W1)" w:hAnsi="CG Times (W1)" w:cs="宋体"/>
      <w:sz w:val="24"/>
      <w:szCs w:val="20"/>
    </w:rPr>
  </w:style>
  <w:style w:type="paragraph" w:customStyle="1" w:styleId="2973">
    <w:name w:val="默认段落字体 Para Char112"/>
    <w:basedOn w:val="1"/>
    <w:next w:val="1"/>
    <w:qFormat/>
    <w:uiPriority w:val="99"/>
    <w:pPr>
      <w:spacing w:line="480" w:lineRule="exact"/>
      <w:ind w:firstLine="200"/>
      <w:jc w:val="left"/>
    </w:pPr>
    <w:rPr>
      <w:rFonts w:ascii="宋体" w:hAnsi="宋体" w:eastAsia="汉鼎简书宋" w:cs="宋体"/>
      <w:sz w:val="28"/>
    </w:rPr>
  </w:style>
  <w:style w:type="paragraph" w:customStyle="1" w:styleId="2974">
    <w:name w:val="表文字51112"/>
    <w:basedOn w:val="1"/>
    <w:qFormat/>
    <w:uiPriority w:val="99"/>
    <w:pPr>
      <w:spacing w:line="240" w:lineRule="auto"/>
      <w:jc w:val="left"/>
      <w:textAlignment w:val="baseline"/>
    </w:pPr>
    <w:rPr>
      <w:rFonts w:ascii="宋体"/>
      <w:kern w:val="0"/>
      <w:sz w:val="21"/>
      <w:szCs w:val="20"/>
    </w:rPr>
  </w:style>
  <w:style w:type="paragraph" w:customStyle="1" w:styleId="2975">
    <w:name w:val="我的正文 Char Char"/>
    <w:basedOn w:val="1"/>
    <w:qFormat/>
    <w:uiPriority w:val="0"/>
    <w:pPr>
      <w:pBdr>
        <w:top w:val="single" w:color="auto" w:sz="4" w:space="1"/>
      </w:pBdr>
      <w:ind w:firstLine="200"/>
    </w:pPr>
  </w:style>
  <w:style w:type="paragraph" w:customStyle="1" w:styleId="2976">
    <w:name w:val="正文小四"/>
    <w:basedOn w:val="1"/>
    <w:qFormat/>
    <w:uiPriority w:val="0"/>
    <w:pPr>
      <w:spacing w:line="240" w:lineRule="auto"/>
    </w:pPr>
    <w:rPr>
      <w:rFonts w:ascii="宋体" w:hAnsi="宋体"/>
      <w:szCs w:val="20"/>
    </w:rPr>
  </w:style>
  <w:style w:type="paragraph" w:customStyle="1" w:styleId="2977">
    <w:name w:val="Char Char Char Char Char Char Char Char Char Char Char1 Char Char Char Char Char Char1 Char"/>
    <w:basedOn w:val="1"/>
    <w:qFormat/>
    <w:uiPriority w:val="0"/>
    <w:pPr>
      <w:spacing w:line="240" w:lineRule="auto"/>
    </w:pPr>
  </w:style>
  <w:style w:type="paragraph" w:customStyle="1" w:styleId="2978">
    <w:name w:val="表题911"/>
    <w:basedOn w:val="45"/>
    <w:qFormat/>
    <w:uiPriority w:val="99"/>
    <w:pPr>
      <w:spacing w:line="300" w:lineRule="auto"/>
    </w:pPr>
    <w:rPr>
      <w:rFonts w:ascii="黑体" w:eastAsia="黑体"/>
      <w:spacing w:val="0"/>
      <w:sz w:val="24"/>
    </w:rPr>
  </w:style>
  <w:style w:type="paragraph" w:customStyle="1" w:styleId="2979">
    <w:name w:val="Char Char Char Char Char Char Char Char Char Char Char Char Char Char Char Char Char1 Char Char Char Char Char Char Char Char"/>
    <w:basedOn w:val="1"/>
    <w:qFormat/>
    <w:uiPriority w:val="0"/>
    <w:pPr>
      <w:spacing w:line="240" w:lineRule="auto"/>
    </w:pPr>
    <w:rPr>
      <w:sz w:val="21"/>
      <w:szCs w:val="21"/>
    </w:rPr>
  </w:style>
  <w:style w:type="paragraph" w:customStyle="1" w:styleId="2980">
    <w:name w:val="燕山正文11312"/>
    <w:basedOn w:val="1"/>
    <w:qFormat/>
    <w:uiPriority w:val="99"/>
    <w:pPr>
      <w:tabs>
        <w:tab w:val="left" w:pos="4680"/>
      </w:tabs>
      <w:ind w:firstLine="480"/>
    </w:pPr>
    <w:rPr>
      <w:rFonts w:ascii="宋体" w:hAnsi="宋体" w:cs="宋体"/>
      <w:bCs/>
      <w:snapToGrid w:val="0"/>
      <w:color w:val="000000"/>
      <w:kern w:val="0"/>
    </w:rPr>
  </w:style>
  <w:style w:type="paragraph" w:customStyle="1" w:styleId="2981">
    <w:name w:val="样式 宋体 小四 加粗"/>
    <w:basedOn w:val="1"/>
    <w:qFormat/>
    <w:uiPriority w:val="0"/>
    <w:pPr>
      <w:pBdr>
        <w:top w:val="single" w:color="auto" w:sz="4" w:space="1"/>
      </w:pBdr>
      <w:spacing w:line="440" w:lineRule="exact"/>
      <w:jc w:val="left"/>
    </w:pPr>
    <w:rPr>
      <w:rFonts w:ascii="宋体" w:hAnsi="宋体"/>
    </w:rPr>
  </w:style>
  <w:style w:type="paragraph" w:customStyle="1" w:styleId="2982">
    <w:name w:val="Char Char1 Char Char Char Char Char Char"/>
    <w:basedOn w:val="1"/>
    <w:qFormat/>
    <w:uiPriority w:val="0"/>
    <w:pPr>
      <w:spacing w:line="240" w:lineRule="auto"/>
    </w:pPr>
  </w:style>
  <w:style w:type="paragraph" w:customStyle="1" w:styleId="2983">
    <w:name w:val="9 Char Char Char7"/>
    <w:basedOn w:val="1"/>
    <w:qFormat/>
    <w:uiPriority w:val="0"/>
    <w:pPr>
      <w:spacing w:line="240" w:lineRule="exact"/>
      <w:ind w:firstLine="200"/>
    </w:pPr>
    <w:rPr>
      <w:sz w:val="28"/>
      <w:szCs w:val="28"/>
    </w:rPr>
  </w:style>
  <w:style w:type="paragraph" w:customStyle="1" w:styleId="2984">
    <w:name w:val="Char Char7 Char Char"/>
    <w:basedOn w:val="1"/>
    <w:qFormat/>
    <w:uiPriority w:val="0"/>
    <w:pPr>
      <w:spacing w:line="240" w:lineRule="exact"/>
      <w:ind w:firstLine="200"/>
    </w:pPr>
    <w:rPr>
      <w:sz w:val="28"/>
      <w:szCs w:val="28"/>
    </w:rPr>
  </w:style>
  <w:style w:type="paragraph" w:customStyle="1" w:styleId="2985">
    <w:name w:val="样式 标题 2 + 段前: 6 磅 段后: 6 磅 行距: 多倍行距 1.4 字行"/>
    <w:basedOn w:val="4"/>
    <w:qFormat/>
    <w:uiPriority w:val="0"/>
    <w:pPr>
      <w:tabs>
        <w:tab w:val="left" w:pos="315"/>
      </w:tabs>
      <w:spacing w:before="260" w:after="260" w:line="336" w:lineRule="auto"/>
    </w:pPr>
    <w:rPr>
      <w:rFonts w:eastAsia="黑体" w:cs="宋体"/>
      <w:sz w:val="30"/>
      <w:szCs w:val="20"/>
    </w:rPr>
  </w:style>
  <w:style w:type="paragraph" w:customStyle="1" w:styleId="2986">
    <w:name w:val="样式 标题 1 + 段前: 0 磅 段后: 0 磅 行距: 1.5 倍行距"/>
    <w:basedOn w:val="3"/>
    <w:qFormat/>
    <w:uiPriority w:val="0"/>
    <w:pPr>
      <w:keepNext w:val="0"/>
      <w:spacing w:line="324" w:lineRule="auto"/>
      <w:jc w:val="center"/>
    </w:pPr>
    <w:rPr>
      <w:rFonts w:cs="宋体"/>
      <w:b w:val="0"/>
      <w:bCs w:val="0"/>
      <w:sz w:val="24"/>
      <w:szCs w:val="24"/>
    </w:rPr>
  </w:style>
  <w:style w:type="paragraph" w:customStyle="1" w:styleId="2987">
    <w:name w:val="pvc1.1"/>
    <w:basedOn w:val="4"/>
    <w:next w:val="4"/>
    <w:qFormat/>
    <w:uiPriority w:val="0"/>
    <w:pPr>
      <w:tabs>
        <w:tab w:val="left" w:pos="315"/>
        <w:tab w:val="left" w:pos="576"/>
        <w:tab w:val="left" w:pos="768"/>
      </w:tabs>
      <w:spacing w:before="260" w:beforeLines="100" w:after="260" w:afterLines="100" w:line="324" w:lineRule="auto"/>
      <w:ind w:left="576" w:hanging="576"/>
    </w:pPr>
    <w:rPr>
      <w:rFonts w:ascii="黑体" w:eastAsia="华文中宋" w:cs="宋体"/>
      <w:b w:val="0"/>
      <w:bCs w:val="0"/>
      <w:sz w:val="44"/>
      <w:szCs w:val="44"/>
    </w:rPr>
  </w:style>
  <w:style w:type="paragraph" w:customStyle="1" w:styleId="2988">
    <w:name w:val="表内5中21"/>
    <w:basedOn w:val="1"/>
    <w:qFormat/>
    <w:uiPriority w:val="99"/>
    <w:pPr>
      <w:spacing w:line="240" w:lineRule="auto"/>
      <w:jc w:val="center"/>
    </w:pPr>
    <w:rPr>
      <w:rFonts w:ascii="宋体" w:hAnsi="宋体" w:cs="Arial"/>
      <w:snapToGrid w:val="0"/>
      <w:color w:val="000000"/>
      <w:sz w:val="21"/>
      <w:szCs w:val="21"/>
    </w:rPr>
  </w:style>
  <w:style w:type="paragraph" w:customStyle="1" w:styleId="2989">
    <w:name w:val="样式 样式 Times New Roman 小四 行距: 1.5 倍行距 + 左侧:  0 厘米 首行缩进:  0 厘米"/>
    <w:basedOn w:val="1"/>
    <w:qFormat/>
    <w:uiPriority w:val="0"/>
    <w:pPr>
      <w:pBdr>
        <w:top w:val="single" w:color="auto" w:sz="4" w:space="1"/>
      </w:pBdr>
      <w:spacing w:line="324" w:lineRule="auto"/>
      <w:ind w:firstLine="480"/>
    </w:pPr>
  </w:style>
  <w:style w:type="paragraph" w:customStyle="1" w:styleId="2990">
    <w:name w:val="样式 样式 标题 1 + 华文中宋 居中 段前: 12 磅 段后: 12 磅 行距: 多倍行距 1.4 字行 + 首行缩进:  ..."/>
    <w:basedOn w:val="1457"/>
    <w:qFormat/>
    <w:uiPriority w:val="0"/>
    <w:pPr>
      <w:tabs>
        <w:tab w:val="left" w:pos="1155"/>
        <w:tab w:val="clear" w:pos="0"/>
      </w:tabs>
      <w:ind w:left="1155" w:hanging="432"/>
    </w:pPr>
  </w:style>
  <w:style w:type="paragraph" w:customStyle="1" w:styleId="2991">
    <w:name w:val="样式2－王鹏"/>
    <w:basedOn w:val="1"/>
    <w:qFormat/>
    <w:uiPriority w:val="0"/>
    <w:pPr>
      <w:pBdr>
        <w:top w:val="single" w:color="auto" w:sz="4" w:space="1"/>
      </w:pBdr>
      <w:autoSpaceDE w:val="0"/>
      <w:autoSpaceDN w:val="0"/>
      <w:spacing w:line="300" w:lineRule="auto"/>
      <w:jc w:val="center"/>
      <w:textAlignment w:val="baseline"/>
    </w:pPr>
    <w:rPr>
      <w:kern w:val="0"/>
      <w:sz w:val="21"/>
      <w:szCs w:val="21"/>
    </w:rPr>
  </w:style>
  <w:style w:type="paragraph" w:customStyle="1" w:styleId="2992">
    <w:name w:val="样式 俺的正文 + 首行缩进:  2 字符"/>
    <w:basedOn w:val="1"/>
    <w:qFormat/>
    <w:uiPriority w:val="0"/>
    <w:pPr>
      <w:pBdr>
        <w:top w:val="single" w:color="auto" w:sz="4" w:space="1"/>
      </w:pBdr>
      <w:tabs>
        <w:tab w:val="left" w:pos="480"/>
      </w:tabs>
      <w:ind w:left="480" w:firstLine="0"/>
    </w:pPr>
  </w:style>
  <w:style w:type="paragraph" w:customStyle="1" w:styleId="2993">
    <w:name w:val="bgbt1章标题"/>
    <w:basedOn w:val="2280"/>
    <w:next w:val="2280"/>
    <w:qFormat/>
    <w:uiPriority w:val="0"/>
    <w:pPr>
      <w:spacing w:before="120" w:after="120"/>
      <w:outlineLvl w:val="0"/>
    </w:pPr>
    <w:rPr>
      <w:sz w:val="32"/>
    </w:rPr>
  </w:style>
  <w:style w:type="paragraph" w:customStyle="1" w:styleId="2994">
    <w:name w:val="附件12"/>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2995">
    <w:name w:val="bg编号和名称"/>
    <w:basedOn w:val="1660"/>
    <w:qFormat/>
    <w:uiPriority w:val="0"/>
    <w:pPr>
      <w:spacing w:line="240" w:lineRule="auto"/>
      <w:ind w:firstLine="0"/>
      <w:jc w:val="center"/>
    </w:pPr>
    <w:rPr>
      <w:rFonts w:eastAsia="黑体"/>
      <w:sz w:val="21"/>
    </w:rPr>
  </w:style>
  <w:style w:type="paragraph" w:customStyle="1" w:styleId="2996">
    <w:name w:val="bg表内容"/>
    <w:basedOn w:val="1659"/>
    <w:next w:val="1660"/>
    <w:qFormat/>
    <w:uiPriority w:val="0"/>
    <w:pPr>
      <w:ind w:left="-113" w:right="-113"/>
      <w:jc w:val="center"/>
    </w:pPr>
    <w:rPr>
      <w:sz w:val="18"/>
    </w:rPr>
  </w:style>
  <w:style w:type="paragraph" w:customStyle="1" w:styleId="2997">
    <w:name w:val="bg表头"/>
    <w:basedOn w:val="2996"/>
    <w:next w:val="1660"/>
    <w:qFormat/>
    <w:uiPriority w:val="0"/>
    <w:rPr>
      <w:rFonts w:eastAsia="黑体"/>
    </w:rPr>
  </w:style>
  <w:style w:type="paragraph" w:customStyle="1" w:styleId="2998">
    <w:name w:val="bg附录1标题"/>
    <w:basedOn w:val="1"/>
    <w:next w:val="1660"/>
    <w:qFormat/>
    <w:uiPriority w:val="0"/>
    <w:pPr>
      <w:pBdr>
        <w:top w:val="single" w:color="auto" w:sz="4" w:space="1"/>
      </w:pBdr>
      <w:spacing w:before="120" w:line="240" w:lineRule="auto"/>
      <w:ind w:firstLine="482"/>
      <w:outlineLvl w:val="2"/>
    </w:pPr>
    <w:rPr>
      <w:rFonts w:eastAsia="黑体"/>
      <w:sz w:val="28"/>
      <w:szCs w:val="20"/>
    </w:rPr>
  </w:style>
  <w:style w:type="paragraph" w:customStyle="1" w:styleId="2999">
    <w:name w:val="Char Char2 Char Char Char Char5"/>
    <w:basedOn w:val="1"/>
    <w:qFormat/>
    <w:uiPriority w:val="99"/>
    <w:pPr>
      <w:spacing w:line="240" w:lineRule="auto"/>
    </w:pPr>
    <w:rPr>
      <w:sz w:val="21"/>
    </w:rPr>
  </w:style>
  <w:style w:type="paragraph" w:customStyle="1" w:styleId="3000">
    <w:name w:val="表内宋5中12"/>
    <w:basedOn w:val="1"/>
    <w:qFormat/>
    <w:uiPriority w:val="99"/>
    <w:pPr>
      <w:spacing w:line="240" w:lineRule="auto"/>
      <w:jc w:val="center"/>
      <w:textAlignment w:val="baseline"/>
    </w:pPr>
    <w:rPr>
      <w:rFonts w:ascii="宋体" w:hAnsi="宋体" w:cs="宋体"/>
      <w:kern w:val="0"/>
      <w:sz w:val="21"/>
      <w:szCs w:val="20"/>
    </w:rPr>
  </w:style>
  <w:style w:type="paragraph" w:customStyle="1" w:styleId="3001">
    <w:name w:val="Body Single"/>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3002">
    <w:name w:val="Bullet 1"/>
    <w:qFormat/>
    <w:uiPriority w:val="0"/>
    <w:pPr>
      <w:widowControl w:val="0"/>
      <w:autoSpaceDE w:val="0"/>
      <w:autoSpaceDN w:val="0"/>
      <w:adjustRightInd w:val="0"/>
      <w:ind w:left="576"/>
      <w:textAlignment w:val="baseline"/>
    </w:pPr>
    <w:rPr>
      <w:rFonts w:ascii="宋体" w:hAnsi="Times New Roman" w:eastAsia="宋体" w:cs="Times New Roman"/>
      <w:color w:val="000000"/>
      <w:sz w:val="24"/>
      <w:lang w:val="en-US" w:eastAsia="zh-CN" w:bidi="ar-SA"/>
    </w:rPr>
  </w:style>
  <w:style w:type="paragraph" w:customStyle="1" w:styleId="3003">
    <w:name w:val="表格内字体32"/>
    <w:basedOn w:val="185"/>
    <w:next w:val="185"/>
    <w:qFormat/>
    <w:uiPriority w:val="99"/>
    <w:pPr>
      <w:spacing w:line="240" w:lineRule="auto"/>
      <w:ind w:firstLine="0"/>
      <w:jc w:val="center"/>
    </w:pPr>
    <w:rPr>
      <w:rFonts w:hAnsi="宋体" w:cs="Times New Roman"/>
      <w:sz w:val="21"/>
    </w:rPr>
  </w:style>
  <w:style w:type="paragraph" w:customStyle="1" w:styleId="3004">
    <w:name w:val="m3"/>
    <w:basedOn w:val="1"/>
    <w:qFormat/>
    <w:uiPriority w:val="0"/>
    <w:pPr>
      <w:pBdr>
        <w:top w:val="single" w:color="auto" w:sz="4" w:space="1"/>
      </w:pBdr>
      <w:spacing w:line="400" w:lineRule="atLeast"/>
      <w:jc w:val="center"/>
      <w:textAlignment w:val="bottom"/>
    </w:pPr>
    <w:rPr>
      <w:rFonts w:eastAsia="楷体"/>
      <w:kern w:val="0"/>
      <w:sz w:val="28"/>
      <w:szCs w:val="20"/>
    </w:rPr>
  </w:style>
  <w:style w:type="paragraph" w:customStyle="1" w:styleId="3005">
    <w:name w:val="表内文字小2122"/>
    <w:basedOn w:val="1"/>
    <w:qFormat/>
    <w:uiPriority w:val="99"/>
    <w:pPr>
      <w:spacing w:line="240" w:lineRule="auto"/>
      <w:jc w:val="center"/>
    </w:pPr>
    <w:rPr>
      <w:rFonts w:ascii="宋体" w:hAnsi="Times"/>
      <w:bCs/>
      <w:color w:val="000000"/>
      <w:sz w:val="21"/>
      <w:szCs w:val="20"/>
    </w:rPr>
  </w:style>
  <w:style w:type="paragraph" w:customStyle="1" w:styleId="3006">
    <w:name w:val="Subhead"/>
    <w:qFormat/>
    <w:uiPriority w:val="0"/>
    <w:pPr>
      <w:widowControl w:val="0"/>
      <w:autoSpaceDE w:val="0"/>
      <w:autoSpaceDN w:val="0"/>
      <w:adjustRightInd w:val="0"/>
      <w:spacing w:before="72" w:after="72"/>
      <w:textAlignment w:val="baseline"/>
    </w:pPr>
    <w:rPr>
      <w:rFonts w:ascii="宋体" w:hAnsi="Times New Roman" w:eastAsia="宋体" w:cs="Times New Roman"/>
      <w:b/>
      <w:i/>
      <w:color w:val="000000"/>
      <w:sz w:val="24"/>
      <w:lang w:val="en-US" w:eastAsia="zh-CN" w:bidi="ar-SA"/>
    </w:rPr>
  </w:style>
  <w:style w:type="paragraph" w:customStyle="1" w:styleId="3007">
    <w:name w:val="俺的题目三"/>
    <w:basedOn w:val="802"/>
    <w:next w:val="802"/>
    <w:qFormat/>
    <w:uiPriority w:val="0"/>
    <w:pPr>
      <w:outlineLvl w:val="2"/>
    </w:pPr>
    <w:rPr>
      <w:rFonts w:eastAsia="黑体"/>
      <w:b/>
      <w:bCs/>
    </w:rPr>
  </w:style>
  <w:style w:type="paragraph" w:customStyle="1" w:styleId="3008">
    <w:name w:val="白洋淀"/>
    <w:basedOn w:val="802"/>
    <w:qFormat/>
    <w:uiPriority w:val="0"/>
    <w:pPr>
      <w:spacing w:line="360" w:lineRule="auto"/>
      <w:ind w:firstLine="480"/>
      <w:jc w:val="left"/>
    </w:pPr>
    <w:rPr>
      <w:rFonts w:cs="宋体"/>
    </w:rPr>
  </w:style>
  <w:style w:type="paragraph" w:customStyle="1" w:styleId="3009">
    <w:name w:val="图题32"/>
    <w:basedOn w:val="185"/>
    <w:next w:val="185"/>
    <w:qFormat/>
    <w:uiPriority w:val="99"/>
    <w:pPr>
      <w:ind w:firstLine="0"/>
      <w:jc w:val="center"/>
    </w:pPr>
    <w:rPr>
      <w:rFonts w:ascii="黑体" w:hAnsi="宋体" w:eastAsia="黑体"/>
      <w:b/>
      <w:bCs/>
    </w:rPr>
  </w:style>
  <w:style w:type="paragraph" w:customStyle="1" w:styleId="3010">
    <w:name w:val="备注文字"/>
    <w:basedOn w:val="1"/>
    <w:qFormat/>
    <w:uiPriority w:val="0"/>
    <w:pPr>
      <w:pBdr>
        <w:top w:val="single" w:color="auto" w:sz="4" w:space="1"/>
      </w:pBdr>
      <w:spacing w:line="240" w:lineRule="atLeast"/>
      <w:textAlignment w:val="baseline"/>
    </w:pPr>
    <w:rPr>
      <w:rFonts w:eastAsia="楷体_GB2312" w:cs="宋体"/>
      <w:kern w:val="0"/>
      <w:sz w:val="21"/>
      <w:szCs w:val="21"/>
    </w:rPr>
  </w:style>
  <w:style w:type="paragraph" w:customStyle="1" w:styleId="3011">
    <w:name w:val="标题 2新"/>
    <w:basedOn w:val="4"/>
    <w:qFormat/>
    <w:uiPriority w:val="0"/>
    <w:pPr>
      <w:tabs>
        <w:tab w:val="left" w:pos="315"/>
        <w:tab w:val="left" w:pos="576"/>
      </w:tabs>
      <w:spacing w:before="240" w:after="260" w:line="324" w:lineRule="auto"/>
      <w:ind w:left="576" w:hanging="576"/>
    </w:pPr>
    <w:rPr>
      <w:rFonts w:eastAsia="黑体" w:cs="宋体"/>
      <w:kern w:val="0"/>
      <w:szCs w:val="28"/>
    </w:rPr>
  </w:style>
  <w:style w:type="paragraph" w:customStyle="1" w:styleId="3012">
    <w:name w:val="表格 32"/>
    <w:basedOn w:val="1"/>
    <w:qFormat/>
    <w:uiPriority w:val="99"/>
    <w:pPr>
      <w:pBdr>
        <w:top w:val="single" w:color="auto" w:sz="4" w:space="1"/>
      </w:pBdr>
      <w:autoSpaceDE w:val="0"/>
      <w:autoSpaceDN w:val="0"/>
      <w:spacing w:line="240" w:lineRule="auto"/>
      <w:jc w:val="center"/>
      <w:textAlignment w:val="baseline"/>
    </w:pPr>
    <w:rPr>
      <w:rFonts w:ascii="宋体" w:hAnsi="宋体"/>
      <w:bCs/>
      <w:kern w:val="0"/>
      <w:sz w:val="21"/>
      <w:szCs w:val="20"/>
      <w:lang w:val="en-GB"/>
    </w:rPr>
  </w:style>
  <w:style w:type="paragraph" w:customStyle="1" w:styleId="3013">
    <w:name w:val="表格标题10"/>
    <w:basedOn w:val="77"/>
    <w:qFormat/>
    <w:uiPriority w:val="0"/>
    <w:pPr>
      <w:pBdr>
        <w:top w:val="single" w:color="auto" w:sz="4" w:space="1"/>
      </w:pBdr>
      <w:tabs>
        <w:tab w:val="left" w:pos="0"/>
      </w:tabs>
      <w:spacing w:after="0"/>
      <w:ind w:left="0" w:leftChars="0" w:firstLine="0"/>
      <w:jc w:val="center"/>
      <w:textAlignment w:val="baseline"/>
    </w:pPr>
    <w:rPr>
      <w:rFonts w:ascii="Times New Roman" w:eastAsia="宋体"/>
      <w:b/>
      <w:kern w:val="0"/>
      <w:sz w:val="24"/>
    </w:rPr>
  </w:style>
  <w:style w:type="paragraph" w:customStyle="1" w:styleId="3014">
    <w:name w:val="表格标题12"/>
    <w:basedOn w:val="53"/>
    <w:qFormat/>
    <w:uiPriority w:val="0"/>
    <w:pPr>
      <w:pBdr>
        <w:top w:val="single" w:color="auto" w:sz="4" w:space="1"/>
      </w:pBdr>
      <w:tabs>
        <w:tab w:val="left" w:pos="0"/>
      </w:tabs>
      <w:spacing w:after="0"/>
      <w:ind w:left="0" w:leftChars="0"/>
      <w:jc w:val="center"/>
      <w:textAlignment w:val="baseline"/>
    </w:pPr>
    <w:rPr>
      <w:rFonts w:ascii="Times New Roman" w:eastAsia="宋体"/>
      <w:b/>
      <w:kern w:val="0"/>
      <w:sz w:val="24"/>
    </w:rPr>
  </w:style>
  <w:style w:type="paragraph" w:customStyle="1" w:styleId="3015">
    <w:name w:val="表格标题4"/>
    <w:basedOn w:val="47"/>
    <w:qFormat/>
    <w:uiPriority w:val="0"/>
    <w:pPr>
      <w:pBdr>
        <w:top w:val="single" w:color="auto" w:sz="4" w:space="1"/>
      </w:pBdr>
      <w:tabs>
        <w:tab w:val="clear" w:pos="1620"/>
      </w:tabs>
      <w:ind w:left="0" w:leftChars="0" w:firstLine="0" w:firstLineChars="0"/>
      <w:jc w:val="center"/>
      <w:textAlignment w:val="baseline"/>
    </w:pPr>
    <w:rPr>
      <w:rFonts w:ascii="Times New Roman" w:eastAsia="宋体"/>
      <w:b/>
      <w:kern w:val="0"/>
      <w:sz w:val="24"/>
    </w:rPr>
  </w:style>
  <w:style w:type="paragraph" w:customStyle="1" w:styleId="3016">
    <w:name w:val="前沿"/>
    <w:basedOn w:val="84"/>
    <w:qFormat/>
    <w:uiPriority w:val="0"/>
    <w:pPr>
      <w:pBdr>
        <w:top w:val="single" w:color="auto" w:sz="4" w:space="1"/>
      </w:pBdr>
      <w:spacing w:before="360" w:after="240" w:line="360" w:lineRule="atLeast"/>
      <w:textAlignment w:val="baseline"/>
    </w:pPr>
    <w:rPr>
      <w:rFonts w:ascii="Arial" w:cs="宋体"/>
      <w:kern w:val="0"/>
      <w:sz w:val="30"/>
      <w:szCs w:val="30"/>
    </w:rPr>
  </w:style>
  <w:style w:type="paragraph" w:customStyle="1" w:styleId="3017">
    <w:name w:val="表格标题5"/>
    <w:basedOn w:val="64"/>
    <w:qFormat/>
    <w:uiPriority w:val="0"/>
    <w:pPr>
      <w:pBdr>
        <w:top w:val="single" w:color="auto" w:sz="4" w:space="1"/>
      </w:pBdr>
      <w:tabs>
        <w:tab w:val="clear" w:pos="2040"/>
      </w:tabs>
      <w:spacing w:line="360" w:lineRule="auto"/>
      <w:ind w:left="0" w:firstLine="0"/>
      <w:jc w:val="center"/>
      <w:textAlignment w:val="baseline"/>
    </w:pPr>
    <w:rPr>
      <w:rFonts w:hint="default"/>
      <w:b/>
      <w:kern w:val="0"/>
      <w:sz w:val="24"/>
    </w:rPr>
  </w:style>
  <w:style w:type="paragraph" w:customStyle="1" w:styleId="3018">
    <w:name w:val="表内文字小11"/>
    <w:basedOn w:val="1"/>
    <w:qFormat/>
    <w:uiPriority w:val="99"/>
    <w:pPr>
      <w:spacing w:line="240" w:lineRule="auto"/>
    </w:pPr>
    <w:rPr>
      <w:rFonts w:ascii="宋体" w:hAnsi="Times" w:cs="宋体"/>
      <w:sz w:val="21"/>
      <w:szCs w:val="20"/>
    </w:rPr>
  </w:style>
  <w:style w:type="paragraph" w:customStyle="1" w:styleId="3019">
    <w:name w:val="表格标题7"/>
    <w:basedOn w:val="77"/>
    <w:qFormat/>
    <w:uiPriority w:val="0"/>
    <w:pPr>
      <w:pBdr>
        <w:top w:val="single" w:color="auto" w:sz="4" w:space="1"/>
      </w:pBdr>
      <w:tabs>
        <w:tab w:val="left" w:pos="0"/>
      </w:tabs>
      <w:spacing w:after="0"/>
      <w:ind w:left="0" w:leftChars="0" w:firstLine="0"/>
      <w:jc w:val="center"/>
      <w:textAlignment w:val="baseline"/>
    </w:pPr>
    <w:rPr>
      <w:rFonts w:ascii="Times New Roman" w:eastAsia="宋体"/>
      <w:b/>
      <w:kern w:val="0"/>
      <w:sz w:val="24"/>
    </w:rPr>
  </w:style>
  <w:style w:type="paragraph" w:customStyle="1" w:styleId="3020">
    <w:name w:val="表格标题8"/>
    <w:basedOn w:val="81"/>
    <w:qFormat/>
    <w:uiPriority w:val="0"/>
    <w:pPr>
      <w:pBdr>
        <w:top w:val="single" w:color="auto" w:sz="4" w:space="1"/>
      </w:pBdr>
      <w:tabs>
        <w:tab w:val="left" w:pos="0"/>
      </w:tabs>
      <w:spacing w:after="0"/>
      <w:ind w:left="0" w:leftChars="0" w:firstLine="0"/>
      <w:jc w:val="center"/>
      <w:textAlignment w:val="baseline"/>
    </w:pPr>
    <w:rPr>
      <w:rFonts w:ascii="Times New Roman" w:eastAsia="宋体"/>
      <w:b/>
      <w:kern w:val="0"/>
      <w:sz w:val="24"/>
    </w:rPr>
  </w:style>
  <w:style w:type="paragraph" w:customStyle="1" w:styleId="3021">
    <w:name w:val="表格标题9"/>
    <w:basedOn w:val="81"/>
    <w:qFormat/>
    <w:uiPriority w:val="0"/>
    <w:pPr>
      <w:pBdr>
        <w:top w:val="single" w:color="auto" w:sz="4" w:space="1"/>
      </w:pBdr>
      <w:tabs>
        <w:tab w:val="left" w:pos="0"/>
      </w:tabs>
      <w:wordWrap w:val="0"/>
      <w:spacing w:after="0" w:line="240" w:lineRule="atLeast"/>
      <w:ind w:left="0" w:leftChars="0" w:firstLine="0"/>
      <w:jc w:val="center"/>
      <w:textAlignment w:val="baseline"/>
    </w:pPr>
    <w:rPr>
      <w:rFonts w:ascii="Times New Roman" w:eastAsia="宋体"/>
      <w:b/>
      <w:kern w:val="0"/>
      <w:sz w:val="24"/>
    </w:rPr>
  </w:style>
  <w:style w:type="paragraph" w:customStyle="1" w:styleId="3022">
    <w:name w:val="表格单位"/>
    <w:basedOn w:val="21"/>
    <w:qFormat/>
    <w:uiPriority w:val="0"/>
    <w:pPr>
      <w:pBdr>
        <w:top w:val="single" w:color="auto" w:sz="4" w:space="1"/>
      </w:pBdr>
      <w:ind w:firstLine="0" w:firstLineChars="0"/>
      <w:jc w:val="right"/>
    </w:pPr>
  </w:style>
  <w:style w:type="paragraph" w:customStyle="1" w:styleId="3023">
    <w:name w:val="目录"/>
    <w:basedOn w:val="27"/>
    <w:qFormat/>
    <w:uiPriority w:val="0"/>
    <w:pPr>
      <w:pBdr>
        <w:top w:val="single" w:color="auto" w:sz="4" w:space="1"/>
      </w:pBdr>
      <w:spacing w:after="0" w:line="360" w:lineRule="auto"/>
      <w:textAlignment w:val="baseline"/>
    </w:pPr>
    <w:rPr>
      <w:rFonts w:cs="Arial"/>
      <w:b/>
      <w:kern w:val="0"/>
      <w:sz w:val="30"/>
      <w:szCs w:val="30"/>
    </w:rPr>
  </w:style>
  <w:style w:type="paragraph" w:customStyle="1" w:styleId="3024">
    <w:name w:val="燕儿正文"/>
    <w:basedOn w:val="1"/>
    <w:qFormat/>
    <w:uiPriority w:val="0"/>
    <w:pPr>
      <w:pBdr>
        <w:top w:val="single" w:color="auto" w:sz="4" w:space="1"/>
      </w:pBdr>
      <w:spacing w:line="480" w:lineRule="exact"/>
      <w:ind w:firstLine="480"/>
      <w:jc w:val="left"/>
      <w:textAlignment w:val="baseline"/>
    </w:pPr>
    <w:rPr>
      <w:kern w:val="0"/>
      <w:szCs w:val="20"/>
    </w:rPr>
  </w:style>
  <w:style w:type="paragraph" w:customStyle="1" w:styleId="3025">
    <w:name w:val="样式 俺的题目三 + 首行缩进:  2 字符"/>
    <w:basedOn w:val="3007"/>
    <w:qFormat/>
    <w:uiPriority w:val="0"/>
    <w:pPr>
      <w:spacing w:line="520" w:lineRule="exact"/>
      <w:ind w:firstLine="0" w:firstLineChars="0"/>
      <w:jc w:val="center"/>
    </w:pPr>
    <w:rPr>
      <w:rFonts w:cs="宋体"/>
      <w:sz w:val="30"/>
      <w:szCs w:val="30"/>
    </w:rPr>
  </w:style>
  <w:style w:type="paragraph" w:customStyle="1" w:styleId="3026">
    <w:name w:val="样式 标题 + 非加粗 黑色"/>
    <w:basedOn w:val="84"/>
    <w:qFormat/>
    <w:uiPriority w:val="0"/>
    <w:pPr>
      <w:pBdr>
        <w:top w:val="single" w:color="auto" w:sz="4" w:space="1"/>
      </w:pBdr>
      <w:spacing w:line="360" w:lineRule="atLeast"/>
      <w:textAlignment w:val="baseline"/>
    </w:pPr>
    <w:rPr>
      <w:rFonts w:ascii="Arial"/>
      <w:bCs/>
      <w:kern w:val="0"/>
      <w:sz w:val="18"/>
      <w:szCs w:val="18"/>
    </w:rPr>
  </w:style>
  <w:style w:type="paragraph" w:customStyle="1" w:styleId="3027">
    <w:name w:val="样式 标题 2标题 2 Char + 段前: 1 行 段后: 1 行"/>
    <w:basedOn w:val="4"/>
    <w:qFormat/>
    <w:uiPriority w:val="0"/>
    <w:pPr>
      <w:tabs>
        <w:tab w:val="left" w:pos="315"/>
        <w:tab w:val="left" w:pos="768"/>
      </w:tabs>
      <w:spacing w:before="260" w:beforeLines="80" w:after="260" w:afterLines="80" w:line="520" w:lineRule="exact"/>
      <w:jc w:val="left"/>
      <w:textAlignment w:val="baseline"/>
    </w:pPr>
    <w:rPr>
      <w:rFonts w:ascii="黑体" w:eastAsia="黑体" w:cs="宋体"/>
      <w:kern w:val="0"/>
      <w:szCs w:val="20"/>
    </w:rPr>
  </w:style>
  <w:style w:type="paragraph" w:customStyle="1" w:styleId="3028">
    <w:name w:val="样式 标题 3 + 段前: 1 行 段后: 1 行"/>
    <w:basedOn w:val="5"/>
    <w:qFormat/>
    <w:uiPriority w:val="0"/>
    <w:pPr>
      <w:tabs>
        <w:tab w:val="left" w:pos="900"/>
      </w:tabs>
      <w:spacing w:before="260" w:beforeLines="80" w:after="260" w:afterLines="80" w:line="324" w:lineRule="auto"/>
    </w:pPr>
    <w:rPr>
      <w:rFonts w:hAnsi="宋体" w:cs="宋体"/>
      <w:bCs w:val="0"/>
      <w:color w:val="000000"/>
      <w:sz w:val="28"/>
      <w:szCs w:val="20"/>
    </w:rPr>
  </w:style>
  <w:style w:type="paragraph" w:customStyle="1" w:styleId="3029">
    <w:name w:val="表中文字51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030">
    <w:name w:val="黑体三号1"/>
    <w:basedOn w:val="185"/>
    <w:qFormat/>
    <w:uiPriority w:val="99"/>
    <w:pPr>
      <w:jc w:val="center"/>
    </w:pPr>
    <w:rPr>
      <w:rFonts w:ascii="黑体" w:hAnsi="宋体" w:eastAsia="黑体"/>
      <w:b/>
      <w:bCs/>
      <w:sz w:val="32"/>
      <w:szCs w:val="20"/>
    </w:rPr>
  </w:style>
  <w:style w:type="paragraph" w:customStyle="1" w:styleId="3031">
    <w:name w:val="样式 标题 3 + 段前: 6 磅 段后: 3 磅 行距: 固定值 24 磅"/>
    <w:basedOn w:val="5"/>
    <w:qFormat/>
    <w:uiPriority w:val="0"/>
    <w:pPr>
      <w:tabs>
        <w:tab w:val="left" w:pos="900"/>
      </w:tabs>
      <w:spacing w:line="324" w:lineRule="auto"/>
    </w:pPr>
    <w:rPr>
      <w:rFonts w:hAnsi="宋体" w:cs="宋体"/>
      <w:bCs w:val="0"/>
      <w:color w:val="000000"/>
      <w:sz w:val="28"/>
      <w:szCs w:val="30"/>
    </w:rPr>
  </w:style>
  <w:style w:type="paragraph" w:customStyle="1" w:styleId="3032">
    <w:name w:val="正文斜体12"/>
    <w:basedOn w:val="185"/>
    <w:next w:val="185"/>
    <w:qFormat/>
    <w:uiPriority w:val="99"/>
    <w:rPr>
      <w:rFonts w:hAnsi="宋体" w:cs="Times New Roman"/>
      <w:i/>
      <w:iCs/>
    </w:rPr>
  </w:style>
  <w:style w:type="paragraph" w:customStyle="1" w:styleId="3033">
    <w:name w:val="正文格式612"/>
    <w:basedOn w:val="1"/>
    <w:qFormat/>
    <w:uiPriority w:val="99"/>
    <w:pPr>
      <w:ind w:firstLine="482"/>
    </w:pPr>
    <w:rPr>
      <w:rFonts w:ascii="宋体" w:hAnsi="宋体"/>
    </w:rPr>
  </w:style>
  <w:style w:type="paragraph" w:customStyle="1" w:styleId="3034">
    <w:name w:val="样式 表格标题 + 段后: 0.5 行2"/>
    <w:basedOn w:val="1"/>
    <w:qFormat/>
    <w:uiPriority w:val="0"/>
    <w:pPr>
      <w:pBdr>
        <w:top w:val="single" w:color="auto" w:sz="4" w:space="1"/>
      </w:pBdr>
      <w:spacing w:line="324" w:lineRule="auto"/>
      <w:jc w:val="center"/>
      <w:textAlignment w:val="baseline"/>
    </w:pPr>
    <w:rPr>
      <w:rFonts w:eastAsia="黑体" w:cs="宋体"/>
      <w:b/>
      <w:bCs/>
      <w:kern w:val="0"/>
      <w:szCs w:val="20"/>
    </w:rPr>
  </w:style>
  <w:style w:type="paragraph" w:customStyle="1" w:styleId="3035">
    <w:name w:val="图题14"/>
    <w:basedOn w:val="185"/>
    <w:next w:val="185"/>
    <w:qFormat/>
    <w:uiPriority w:val="99"/>
    <w:pPr>
      <w:ind w:firstLine="0"/>
      <w:jc w:val="center"/>
    </w:pPr>
    <w:rPr>
      <w:rFonts w:ascii="黑体" w:hAnsi="宋体" w:eastAsia="黑体"/>
      <w:b/>
      <w:bCs/>
    </w:rPr>
  </w:style>
  <w:style w:type="paragraph" w:customStyle="1" w:styleId="3036">
    <w:name w:val="样式 表格内文字 + 左侧:  -0.05 字符 首行缩进:  0.05 字符"/>
    <w:basedOn w:val="1923"/>
    <w:qFormat/>
    <w:uiPriority w:val="0"/>
    <w:pPr>
      <w:pBdr>
        <w:top w:val="single" w:color="auto" w:sz="4" w:space="1"/>
      </w:pBdr>
      <w:spacing w:line="240" w:lineRule="atLeast"/>
      <w:textAlignment w:val="baseline"/>
    </w:pPr>
    <w:rPr>
      <w:rFonts w:cs="宋体"/>
      <w:spacing w:val="6"/>
      <w:kern w:val="0"/>
      <w:szCs w:val="21"/>
    </w:rPr>
  </w:style>
  <w:style w:type="paragraph" w:customStyle="1" w:styleId="3037">
    <w:name w:val="样式 公式 + 段前: 0.5 行 段后: 0.5 行"/>
    <w:basedOn w:val="1637"/>
    <w:qFormat/>
    <w:uiPriority w:val="0"/>
    <w:pPr>
      <w:pBdr>
        <w:top w:val="single" w:color="auto" w:sz="4" w:space="1"/>
      </w:pBdr>
      <w:snapToGrid/>
      <w:ind w:right="0" w:firstLine="360" w:firstLineChars="150"/>
      <w:jc w:val="left"/>
      <w:textAlignment w:val="baseline"/>
    </w:pPr>
    <w:rPr>
      <w:rFonts w:ascii="Times New Roman" w:eastAsia="宋体" w:cs="宋体"/>
      <w:iCs/>
      <w:kern w:val="0"/>
      <w:position w:val="0"/>
      <w:sz w:val="24"/>
      <w:szCs w:val="24"/>
    </w:rPr>
  </w:style>
  <w:style w:type="paragraph" w:customStyle="1" w:styleId="3038">
    <w:name w:val="样式 公式 + 段前: 0.5 行 段后: 0.5 行1"/>
    <w:basedOn w:val="1637"/>
    <w:qFormat/>
    <w:uiPriority w:val="0"/>
    <w:pPr>
      <w:pBdr>
        <w:top w:val="single" w:color="auto" w:sz="4" w:space="1"/>
      </w:pBdr>
      <w:snapToGrid/>
      <w:ind w:right="0" w:firstLine="360" w:firstLineChars="150"/>
      <w:jc w:val="left"/>
      <w:textAlignment w:val="baseline"/>
    </w:pPr>
    <w:rPr>
      <w:rFonts w:ascii="Times New Roman" w:eastAsia="宋体" w:cs="宋体"/>
      <w:iCs/>
      <w:kern w:val="0"/>
      <w:position w:val="0"/>
      <w:sz w:val="24"/>
      <w:szCs w:val="24"/>
    </w:rPr>
  </w:style>
  <w:style w:type="paragraph" w:customStyle="1" w:styleId="3039">
    <w:name w:val="样式 公式 + 左 段前: 0.5 行 段后: 0.5 行"/>
    <w:basedOn w:val="1637"/>
    <w:qFormat/>
    <w:uiPriority w:val="0"/>
    <w:pPr>
      <w:pBdr>
        <w:top w:val="single" w:color="auto" w:sz="4" w:space="1"/>
      </w:pBdr>
      <w:snapToGrid/>
      <w:ind w:right="0" w:firstLine="360" w:firstLineChars="150"/>
      <w:jc w:val="left"/>
      <w:textAlignment w:val="baseline"/>
    </w:pPr>
    <w:rPr>
      <w:rFonts w:ascii="Times New Roman" w:eastAsia="宋体" w:cs="宋体"/>
      <w:iCs/>
      <w:kern w:val="0"/>
      <w:position w:val="0"/>
      <w:sz w:val="24"/>
      <w:szCs w:val="24"/>
    </w:rPr>
  </w:style>
  <w:style w:type="paragraph" w:customStyle="1" w:styleId="3040">
    <w:name w:val="样式 黑色 首行缩进:  2 字符"/>
    <w:basedOn w:val="1"/>
    <w:qFormat/>
    <w:uiPriority w:val="0"/>
    <w:pPr>
      <w:pBdr>
        <w:top w:val="single" w:color="auto" w:sz="4" w:space="1"/>
      </w:pBdr>
      <w:spacing w:line="500" w:lineRule="atLeast"/>
      <w:ind w:firstLine="200"/>
    </w:pPr>
    <w:rPr>
      <w:rFonts w:cs="宋体"/>
      <w:color w:val="000000"/>
      <w:sz w:val="28"/>
      <w:szCs w:val="20"/>
    </w:rPr>
  </w:style>
  <w:style w:type="paragraph" w:customStyle="1" w:styleId="3041">
    <w:name w:val="样式 加粗 行距: 1.5 倍行距"/>
    <w:basedOn w:val="1"/>
    <w:qFormat/>
    <w:uiPriority w:val="0"/>
    <w:pPr>
      <w:pBdr>
        <w:top w:val="single" w:color="auto" w:sz="4" w:space="1"/>
        <w:bottom w:val="threeDEngrave" w:color="auto" w:sz="12" w:space="1"/>
      </w:pBdr>
      <w:ind w:firstLine="480"/>
      <w:jc w:val="left"/>
      <w:textAlignment w:val="baseline"/>
    </w:pPr>
    <w:rPr>
      <w:rFonts w:cs="宋体"/>
      <w:b/>
      <w:bCs/>
      <w:kern w:val="0"/>
      <w:szCs w:val="20"/>
    </w:rPr>
  </w:style>
  <w:style w:type="paragraph" w:customStyle="1" w:styleId="3042">
    <w:name w:val="图表名称4"/>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043">
    <w:name w:val="环评正文12"/>
    <w:qFormat/>
    <w:uiPriority w:val="99"/>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044">
    <w:name w:val="样式 前沿 + 段前: 2 行 段后: 2 行"/>
    <w:basedOn w:val="3016"/>
    <w:qFormat/>
    <w:uiPriority w:val="0"/>
    <w:pPr>
      <w:spacing w:beforeLines="400" w:afterLines="200"/>
    </w:pPr>
    <w:rPr>
      <w:szCs w:val="20"/>
    </w:rPr>
  </w:style>
  <w:style w:type="paragraph" w:customStyle="1" w:styleId="3045">
    <w:name w:val="样式 图表标题 + 段后: 0.5 行"/>
    <w:basedOn w:val="403"/>
    <w:qFormat/>
    <w:uiPriority w:val="0"/>
    <w:pPr>
      <w:pBdr>
        <w:top w:val="single" w:color="auto" w:sz="4" w:space="1"/>
      </w:pBdr>
      <w:autoSpaceDE/>
      <w:autoSpaceDN/>
      <w:adjustRightInd/>
      <w:snapToGrid/>
      <w:spacing w:afterLines="50" w:line="480" w:lineRule="exact"/>
    </w:pPr>
    <w:rPr>
      <w:rFonts w:hAnsi="Times New Roman" w:cs="宋体"/>
      <w:bCs/>
      <w:snapToGrid/>
      <w:color w:val="auto"/>
      <w:sz w:val="24"/>
    </w:rPr>
  </w:style>
  <w:style w:type="paragraph" w:customStyle="1" w:styleId="3046">
    <w:name w:val="样式 样式 样式 标题 4 + 段前: 0.5 行 段后: 0.5 行 + 段前: 0.5 行 段后: 0.5 行6 + 段前:..."/>
    <w:basedOn w:val="1364"/>
    <w:qFormat/>
    <w:uiPriority w:val="0"/>
  </w:style>
  <w:style w:type="paragraph" w:customStyle="1" w:styleId="3047">
    <w:name w:val="样式 样式 标题 4 + 段前: 0.5 行 段后: 0.5 行 + 段前: 0.5 行 段后: 0.5 行1"/>
    <w:basedOn w:val="1203"/>
    <w:qFormat/>
    <w:uiPriority w:val="0"/>
    <w:pPr>
      <w:spacing w:before="120" w:after="120"/>
    </w:pPr>
  </w:style>
  <w:style w:type="paragraph" w:customStyle="1" w:styleId="3048">
    <w:name w:val="表格内字体1112"/>
    <w:basedOn w:val="185"/>
    <w:qFormat/>
    <w:uiPriority w:val="99"/>
    <w:pPr>
      <w:spacing w:line="240" w:lineRule="auto"/>
      <w:ind w:firstLine="0"/>
      <w:jc w:val="center"/>
    </w:pPr>
    <w:rPr>
      <w:sz w:val="21"/>
      <w:szCs w:val="20"/>
    </w:rPr>
  </w:style>
  <w:style w:type="paragraph" w:customStyle="1" w:styleId="3049">
    <w:name w:val="样式 样式 标题 4 + 段前: 0.5 行 段后: 0.5 行 + 段前: 0.5 行 段后: 0.5 行2"/>
    <w:basedOn w:val="1203"/>
    <w:qFormat/>
    <w:uiPriority w:val="0"/>
    <w:pPr>
      <w:spacing w:before="120" w:after="120"/>
    </w:pPr>
  </w:style>
  <w:style w:type="paragraph" w:customStyle="1" w:styleId="3050">
    <w:name w:val="样式 样式 标题 4 + 段前: 0.5 行 段后: 0.5 行 + 段前: 0.5 行 段后: 0.5 行3"/>
    <w:basedOn w:val="1203"/>
    <w:qFormat/>
    <w:uiPriority w:val="0"/>
  </w:style>
  <w:style w:type="paragraph" w:customStyle="1" w:styleId="3051">
    <w:name w:val="样式 样式 样式 标题 4 + 段前: 0.5 行 段后: 0.5 行 + 段前: 0.5 行 段后: 0.5 行5 + 段前:..."/>
    <w:basedOn w:val="1792"/>
    <w:qFormat/>
    <w:uiPriority w:val="0"/>
  </w:style>
  <w:style w:type="paragraph" w:customStyle="1" w:styleId="3052">
    <w:name w:val="Char422"/>
    <w:basedOn w:val="1"/>
    <w:qFormat/>
    <w:uiPriority w:val="99"/>
    <w:pPr>
      <w:spacing w:line="240" w:lineRule="auto"/>
      <w:ind w:left="-48"/>
    </w:pPr>
    <w:rPr>
      <w:sz w:val="21"/>
    </w:rPr>
  </w:style>
  <w:style w:type="paragraph" w:customStyle="1" w:styleId="3053">
    <w:name w:val="样式 样式 样式 标题 4 + 段前: 0.5 行 段后: 0.5 行 + 段前: 0.5 行 段后: 0.5 行5 + 段前:...1"/>
    <w:basedOn w:val="1792"/>
    <w:qFormat/>
    <w:uiPriority w:val="0"/>
    <w:pPr>
      <w:spacing w:before="120" w:after="120"/>
    </w:pPr>
  </w:style>
  <w:style w:type="paragraph" w:customStyle="1" w:styleId="3054">
    <w:name w:val="样式 样式 样式 样式 标题 4 + 段前: 0.5 行 段后: 0.5 行 + 段前: 0.5 行 段后: 0.5 行 + 段..."/>
    <w:basedOn w:val="1201"/>
    <w:qFormat/>
    <w:uiPriority w:val="0"/>
    <w:pPr>
      <w:spacing w:before="120" w:after="120"/>
    </w:pPr>
  </w:style>
  <w:style w:type="paragraph" w:customStyle="1" w:styleId="3055">
    <w:name w:val="标题41112"/>
    <w:basedOn w:val="1"/>
    <w:qFormat/>
    <w:uiPriority w:val="99"/>
    <w:pPr>
      <w:spacing w:line="300" w:lineRule="auto"/>
      <w:jc w:val="left"/>
    </w:pPr>
    <w:rPr>
      <w:rFonts w:ascii="黑体" w:hAnsi="宋体" w:eastAsia="黑体" w:cs="宋体"/>
      <w:bCs/>
      <w:szCs w:val="20"/>
    </w:rPr>
  </w:style>
  <w:style w:type="paragraph" w:customStyle="1" w:styleId="3056">
    <w:name w:val="样式 样式 样式 样式 标题 4 + 段前: 0.5 行 段后: 0.5 行 + 段前: 0.5 行 段后: 0.5 行5 + ..."/>
    <w:basedOn w:val="3053"/>
    <w:qFormat/>
    <w:uiPriority w:val="0"/>
    <w:pPr>
      <w:spacing w:before="50" w:after="50"/>
    </w:pPr>
  </w:style>
  <w:style w:type="paragraph" w:customStyle="1" w:styleId="3057">
    <w:name w:val="正文格式25"/>
    <w:basedOn w:val="1"/>
    <w:qFormat/>
    <w:uiPriority w:val="99"/>
    <w:pPr>
      <w:ind w:firstLine="482"/>
    </w:pPr>
    <w:rPr>
      <w:rFonts w:ascii="宋体" w:hAnsi="宋体"/>
    </w:rPr>
  </w:style>
  <w:style w:type="paragraph" w:customStyle="1" w:styleId="3058">
    <w:name w:val="图题43"/>
    <w:basedOn w:val="185"/>
    <w:next w:val="185"/>
    <w:qFormat/>
    <w:uiPriority w:val="99"/>
    <w:pPr>
      <w:ind w:firstLine="0"/>
      <w:jc w:val="center"/>
    </w:pPr>
    <w:rPr>
      <w:rFonts w:ascii="黑体" w:hAnsi="宋体" w:eastAsia="黑体"/>
      <w:b/>
      <w:bCs/>
    </w:rPr>
  </w:style>
  <w:style w:type="paragraph" w:customStyle="1" w:styleId="3059">
    <w:name w:val="T表格"/>
    <w:qFormat/>
    <w:uiPriority w:val="0"/>
    <w:pPr>
      <w:jc w:val="center"/>
    </w:pPr>
    <w:rPr>
      <w:rFonts w:ascii="Times New Roman" w:hAnsi="Times New Roman" w:eastAsia="宋体" w:cs="Times New Roman"/>
      <w:sz w:val="21"/>
      <w:lang w:val="en-US" w:eastAsia="zh-CN" w:bidi="ar-SA"/>
    </w:rPr>
  </w:style>
  <w:style w:type="paragraph" w:customStyle="1" w:styleId="3060">
    <w:name w:val="样式 样式 样式 样式 标题 4 + 段前: 0.5 行 段后: 0.5 行 + 段前: 0.5 行 段后: 0.5 行6 + ..."/>
    <w:basedOn w:val="3046"/>
    <w:qFormat/>
    <w:uiPriority w:val="0"/>
  </w:style>
  <w:style w:type="paragraph" w:customStyle="1" w:styleId="3061">
    <w:name w:val="标题4311"/>
    <w:basedOn w:val="1"/>
    <w:qFormat/>
    <w:uiPriority w:val="99"/>
    <w:pPr>
      <w:spacing w:line="480" w:lineRule="exact"/>
      <w:jc w:val="center"/>
    </w:pPr>
    <w:rPr>
      <w:rFonts w:ascii="宋体" w:hAnsi="宋体" w:cs="宋体"/>
    </w:rPr>
  </w:style>
  <w:style w:type="paragraph" w:customStyle="1" w:styleId="3062">
    <w:name w:val="表内文字小83"/>
    <w:basedOn w:val="1"/>
    <w:qFormat/>
    <w:uiPriority w:val="99"/>
    <w:pPr>
      <w:spacing w:line="240" w:lineRule="auto"/>
      <w:jc w:val="center"/>
    </w:pPr>
    <w:rPr>
      <w:rFonts w:ascii="宋体" w:hAnsi="Times" w:cs="宋体"/>
      <w:sz w:val="21"/>
      <w:szCs w:val="20"/>
    </w:rPr>
  </w:style>
  <w:style w:type="paragraph" w:customStyle="1" w:styleId="3063">
    <w:name w:val="正文格式1"/>
    <w:basedOn w:val="1"/>
    <w:qFormat/>
    <w:uiPriority w:val="99"/>
    <w:pPr>
      <w:ind w:firstLine="482"/>
    </w:pPr>
    <w:rPr>
      <w:rFonts w:ascii="宋体" w:hAnsi="宋体"/>
    </w:rPr>
  </w:style>
  <w:style w:type="paragraph" w:customStyle="1" w:styleId="3064">
    <w:name w:val="样式 样式 样式 样式 样式 标题 4 + 段前: 0.5 行 段后: 0.5 行 + 段前: 0.5 行 段后: 0.5 行5..."/>
    <w:basedOn w:val="3056"/>
    <w:qFormat/>
    <w:uiPriority w:val="0"/>
    <w:pPr>
      <w:adjustRightInd/>
    </w:pPr>
  </w:style>
  <w:style w:type="paragraph" w:customStyle="1" w:styleId="3065">
    <w:name w:val="样式 样式 正文文本缩进正文文字缩进 + 首行缩进:  2 字符 + 首行缩进:  2 字符"/>
    <w:basedOn w:val="1"/>
    <w:qFormat/>
    <w:uiPriority w:val="0"/>
    <w:pPr>
      <w:pBdr>
        <w:top w:val="single" w:color="auto" w:sz="4" w:space="1"/>
      </w:pBdr>
      <w:ind w:firstLine="480"/>
      <w:textAlignment w:val="baseline"/>
    </w:pPr>
    <w:rPr>
      <w:kern w:val="0"/>
      <w:sz w:val="28"/>
      <w:szCs w:val="20"/>
    </w:rPr>
  </w:style>
  <w:style w:type="paragraph" w:customStyle="1" w:styleId="3066">
    <w:name w:val="正文格式＝24"/>
    <w:basedOn w:val="185"/>
    <w:next w:val="185"/>
    <w:qFormat/>
    <w:uiPriority w:val="99"/>
    <w:rPr>
      <w:rFonts w:hAnsi="宋体" w:cs="Times New Roman"/>
    </w:rPr>
  </w:style>
  <w:style w:type="paragraph" w:customStyle="1" w:styleId="3067">
    <w:name w:val="前言正文"/>
    <w:basedOn w:val="3008"/>
    <w:qFormat/>
    <w:uiPriority w:val="0"/>
    <w:pPr>
      <w:spacing w:before="156"/>
      <w:jc w:val="both"/>
      <w:textAlignment w:val="baseline"/>
    </w:pPr>
    <w:rPr>
      <w:rFonts w:eastAsia="楷体_GB2312"/>
      <w:kern w:val="0"/>
      <w:szCs w:val="20"/>
    </w:rPr>
  </w:style>
  <w:style w:type="paragraph" w:customStyle="1" w:styleId="3068">
    <w:name w:val="表文字515"/>
    <w:basedOn w:val="1"/>
    <w:qFormat/>
    <w:uiPriority w:val="99"/>
    <w:pPr>
      <w:spacing w:line="240" w:lineRule="auto"/>
      <w:jc w:val="left"/>
      <w:textAlignment w:val="baseline"/>
    </w:pPr>
    <w:rPr>
      <w:rFonts w:ascii="宋体"/>
      <w:kern w:val="0"/>
      <w:sz w:val="21"/>
      <w:szCs w:val="20"/>
    </w:rPr>
  </w:style>
  <w:style w:type="paragraph" w:customStyle="1" w:styleId="3069">
    <w:name w:val="白洋淀目录"/>
    <w:basedOn w:val="1"/>
    <w:next w:val="3023"/>
    <w:qFormat/>
    <w:uiPriority w:val="0"/>
    <w:pPr>
      <w:pBdr>
        <w:top w:val="single" w:color="auto" w:sz="4" w:space="1"/>
      </w:pBdr>
      <w:ind w:firstLine="200"/>
    </w:pPr>
    <w:rPr>
      <w:rFonts w:cs="宋体"/>
    </w:rPr>
  </w:style>
  <w:style w:type="paragraph" w:customStyle="1" w:styleId="3070">
    <w:name w:val="标题三"/>
    <w:basedOn w:val="5"/>
    <w:qFormat/>
    <w:uiPriority w:val="0"/>
    <w:pPr>
      <w:tabs>
        <w:tab w:val="left" w:pos="900"/>
      </w:tabs>
      <w:spacing w:after="60" w:line="480" w:lineRule="exact"/>
    </w:pPr>
    <w:rPr>
      <w:rFonts w:hAnsi="宋体" w:eastAsia="华文中宋"/>
      <w:color w:val="000000"/>
      <w:sz w:val="28"/>
      <w:szCs w:val="30"/>
    </w:rPr>
  </w:style>
  <w:style w:type="paragraph" w:customStyle="1" w:styleId="3071">
    <w:name w:val="正文格式73"/>
    <w:basedOn w:val="1"/>
    <w:qFormat/>
    <w:uiPriority w:val="99"/>
    <w:pPr>
      <w:ind w:firstLine="482"/>
    </w:pPr>
    <w:rPr>
      <w:rFonts w:ascii="宋体" w:hAnsi="宋体"/>
    </w:rPr>
  </w:style>
  <w:style w:type="paragraph" w:customStyle="1" w:styleId="3072">
    <w:name w:val="样式 标题 1 + 居中"/>
    <w:basedOn w:val="3"/>
    <w:qFormat/>
    <w:uiPriority w:val="0"/>
    <w:pPr>
      <w:keepNext w:val="0"/>
      <w:tabs>
        <w:tab w:val="left" w:pos="92"/>
        <w:tab w:val="left" w:pos="432"/>
      </w:tabs>
      <w:spacing w:before="360" w:after="240"/>
      <w:ind w:left="432" w:hanging="432"/>
      <w:jc w:val="center"/>
    </w:pPr>
    <w:rPr>
      <w:rFonts w:cs="宋体"/>
      <w:bCs w:val="0"/>
      <w:sz w:val="44"/>
      <w:szCs w:val="20"/>
    </w:rPr>
  </w:style>
  <w:style w:type="paragraph" w:customStyle="1" w:styleId="3073">
    <w:name w:val="表内文字小1112"/>
    <w:basedOn w:val="1"/>
    <w:qFormat/>
    <w:uiPriority w:val="99"/>
    <w:pPr>
      <w:spacing w:line="240" w:lineRule="auto"/>
    </w:pPr>
    <w:rPr>
      <w:rFonts w:ascii="宋体" w:hAnsi="Times" w:cs="宋体"/>
      <w:sz w:val="21"/>
      <w:szCs w:val="20"/>
    </w:rPr>
  </w:style>
  <w:style w:type="paragraph" w:customStyle="1" w:styleId="3074">
    <w:name w:val="标题 二"/>
    <w:basedOn w:val="4"/>
    <w:qFormat/>
    <w:uiPriority w:val="0"/>
    <w:pPr>
      <w:tabs>
        <w:tab w:val="left" w:pos="315"/>
      </w:tabs>
      <w:spacing w:before="240" w:after="260" w:line="520" w:lineRule="exact"/>
      <w:ind w:firstLine="0"/>
    </w:pPr>
    <w:rPr>
      <w:rFonts w:hAnsi="华文中宋" w:eastAsia="华文中宋" w:cs="宋体"/>
      <w:szCs w:val="28"/>
    </w:rPr>
  </w:style>
  <w:style w:type="paragraph" w:customStyle="1" w:styleId="3075">
    <w:name w:val="正文修改24"/>
    <w:basedOn w:val="900"/>
    <w:qFormat/>
    <w:uiPriority w:val="99"/>
    <w:pPr>
      <w:spacing w:line="480" w:lineRule="exact"/>
      <w:ind w:firstLine="0" w:firstLineChars="0"/>
    </w:pPr>
    <w:rPr>
      <w:rFonts w:cs="宋体"/>
      <w:sz w:val="24"/>
      <w:szCs w:val="24"/>
    </w:rPr>
  </w:style>
  <w:style w:type="paragraph" w:customStyle="1" w:styleId="3076">
    <w:name w:val="标题（一）"/>
    <w:basedOn w:val="3"/>
    <w:qFormat/>
    <w:uiPriority w:val="0"/>
    <w:pPr>
      <w:keepNext w:val="0"/>
      <w:tabs>
        <w:tab w:val="left" w:pos="480"/>
      </w:tabs>
      <w:spacing w:before="360" w:after="240"/>
      <w:jc w:val="center"/>
      <w:textAlignment w:val="baseline"/>
    </w:pPr>
    <w:rPr>
      <w:rFonts w:ascii="黑体" w:eastAsia="黑体" w:cs="宋体"/>
      <w:bCs w:val="0"/>
      <w:szCs w:val="30"/>
    </w:rPr>
  </w:style>
  <w:style w:type="paragraph" w:customStyle="1" w:styleId="3077">
    <w:name w:val="xl749"/>
    <w:basedOn w:val="1"/>
    <w:qFormat/>
    <w:uiPriority w:val="99"/>
    <w:pPr>
      <w:widowControl/>
      <w:spacing w:before="100" w:beforeAutospacing="1" w:after="100" w:afterAutospacing="1" w:line="240" w:lineRule="auto"/>
      <w:jc w:val="center"/>
    </w:pPr>
    <w:rPr>
      <w:rFonts w:ascii="Courier New" w:hAnsi="Courier New" w:eastAsia="Arial Unicode MS"/>
      <w:b/>
      <w:bCs/>
      <w:kern w:val="0"/>
      <w:sz w:val="44"/>
      <w:szCs w:val="44"/>
    </w:rPr>
  </w:style>
  <w:style w:type="paragraph" w:customStyle="1" w:styleId="3078">
    <w:name w:val="图题1"/>
    <w:basedOn w:val="185"/>
    <w:next w:val="185"/>
    <w:qFormat/>
    <w:uiPriority w:val="99"/>
    <w:pPr>
      <w:ind w:firstLine="0"/>
      <w:jc w:val="center"/>
    </w:pPr>
    <w:rPr>
      <w:rFonts w:ascii="黑体" w:hAnsi="宋体" w:eastAsia="黑体"/>
      <w:b/>
      <w:bCs/>
    </w:rPr>
  </w:style>
  <w:style w:type="paragraph" w:customStyle="1" w:styleId="3079">
    <w:name w:val="参加人员"/>
    <w:basedOn w:val="1"/>
    <w:qFormat/>
    <w:uiPriority w:val="0"/>
    <w:pPr>
      <w:spacing w:line="500" w:lineRule="atLeast"/>
    </w:pPr>
  </w:style>
  <w:style w:type="paragraph" w:customStyle="1" w:styleId="3080">
    <w:name w:val="Char1 Char Char Char Char Char1 Char1"/>
    <w:basedOn w:val="1"/>
    <w:qFormat/>
    <w:uiPriority w:val="99"/>
    <w:pPr>
      <w:spacing w:line="240" w:lineRule="auto"/>
    </w:pPr>
    <w:rPr>
      <w:sz w:val="21"/>
      <w:szCs w:val="21"/>
    </w:rPr>
  </w:style>
  <w:style w:type="paragraph" w:customStyle="1" w:styleId="3081">
    <w:name w:val="环标2"/>
    <w:basedOn w:val="4"/>
    <w:qFormat/>
    <w:uiPriority w:val="0"/>
    <w:pPr>
      <w:spacing w:before="60" w:after="60" w:line="312" w:lineRule="atLeast"/>
      <w:jc w:val="left"/>
      <w:textAlignment w:val="baseline"/>
    </w:pPr>
    <w:rPr>
      <w:rFonts w:ascii="黑体" w:hAnsi="Arial" w:eastAsia="黑体"/>
      <w:b w:val="0"/>
      <w:bCs w:val="0"/>
      <w:color w:val="000000"/>
      <w:kern w:val="0"/>
      <w:szCs w:val="20"/>
    </w:rPr>
  </w:style>
  <w:style w:type="paragraph" w:customStyle="1" w:styleId="3082">
    <w:name w:val="标题43124"/>
    <w:basedOn w:val="1"/>
    <w:qFormat/>
    <w:uiPriority w:val="99"/>
    <w:pPr>
      <w:spacing w:line="480" w:lineRule="exact"/>
      <w:jc w:val="center"/>
    </w:pPr>
    <w:rPr>
      <w:rFonts w:ascii="宋体" w:hAnsi="宋体" w:cs="宋体"/>
    </w:rPr>
  </w:style>
  <w:style w:type="paragraph" w:customStyle="1" w:styleId="3083">
    <w:name w:val="表题123"/>
    <w:basedOn w:val="22"/>
    <w:qFormat/>
    <w:uiPriority w:val="99"/>
    <w:pPr>
      <w:tabs>
        <w:tab w:val="clear" w:pos="10467"/>
        <w:tab w:val="clear" w:pos="13095"/>
      </w:tabs>
      <w:adjustRightInd/>
      <w:snapToGrid/>
    </w:pPr>
    <w:rPr>
      <w:rFonts w:ascii="黑体" w:eastAsia="黑体"/>
      <w:b w:val="0"/>
    </w:rPr>
  </w:style>
  <w:style w:type="paragraph" w:customStyle="1" w:styleId="3084">
    <w:name w:val="正文格式53"/>
    <w:basedOn w:val="1"/>
    <w:qFormat/>
    <w:uiPriority w:val="99"/>
    <w:pPr>
      <w:ind w:firstLine="482"/>
    </w:pPr>
    <w:rPr>
      <w:rFonts w:ascii="宋体" w:hAnsi="宋体"/>
    </w:rPr>
  </w:style>
  <w:style w:type="paragraph" w:customStyle="1" w:styleId="3085">
    <w:name w:val="表题1413"/>
    <w:basedOn w:val="1"/>
    <w:qFormat/>
    <w:uiPriority w:val="99"/>
    <w:pPr>
      <w:widowControl/>
      <w:spacing w:line="240" w:lineRule="auto"/>
      <w:jc w:val="center"/>
    </w:pPr>
    <w:rPr>
      <w:rFonts w:ascii="黑体" w:hAnsi="宋体" w:eastAsia="黑体" w:cs="宋体"/>
      <w:kern w:val="0"/>
    </w:rPr>
  </w:style>
  <w:style w:type="paragraph" w:customStyle="1" w:styleId="3086">
    <w:name w:val="Default3"/>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087">
    <w:name w:val="表题144"/>
    <w:basedOn w:val="22"/>
    <w:qFormat/>
    <w:uiPriority w:val="99"/>
    <w:pPr>
      <w:tabs>
        <w:tab w:val="clear" w:pos="10467"/>
        <w:tab w:val="clear" w:pos="13095"/>
      </w:tabs>
      <w:adjustRightInd/>
      <w:snapToGrid/>
    </w:pPr>
    <w:rPr>
      <w:rFonts w:ascii="黑体" w:eastAsia="黑体"/>
    </w:rPr>
  </w:style>
  <w:style w:type="paragraph" w:customStyle="1" w:styleId="3088">
    <w:name w:val="燕山正文16"/>
    <w:basedOn w:val="1"/>
    <w:qFormat/>
    <w:uiPriority w:val="99"/>
    <w:pPr>
      <w:tabs>
        <w:tab w:val="left" w:pos="4680"/>
      </w:tabs>
      <w:spacing w:line="480" w:lineRule="exact"/>
    </w:pPr>
    <w:rPr>
      <w:rFonts w:ascii="宋体" w:cs="宋体"/>
    </w:rPr>
  </w:style>
  <w:style w:type="paragraph" w:customStyle="1" w:styleId="3089">
    <w:name w:val="Char22"/>
    <w:basedOn w:val="1"/>
    <w:qFormat/>
    <w:uiPriority w:val="99"/>
    <w:pPr>
      <w:spacing w:beforeLines="50"/>
    </w:pPr>
    <w:rPr>
      <w:rFonts w:ascii="黑体" w:eastAsia="黑体"/>
      <w:sz w:val="32"/>
      <w:szCs w:val="32"/>
    </w:rPr>
  </w:style>
  <w:style w:type="paragraph" w:customStyle="1" w:styleId="3090">
    <w:name w:val="表内宋5中122"/>
    <w:basedOn w:val="1"/>
    <w:qFormat/>
    <w:uiPriority w:val="99"/>
    <w:pPr>
      <w:spacing w:line="240" w:lineRule="auto"/>
      <w:jc w:val="center"/>
      <w:textAlignment w:val="baseline"/>
    </w:pPr>
    <w:rPr>
      <w:rFonts w:ascii="宋体" w:hAnsi="宋体" w:cs="宋体"/>
      <w:kern w:val="0"/>
      <w:sz w:val="21"/>
      <w:szCs w:val="20"/>
    </w:rPr>
  </w:style>
  <w:style w:type="paragraph" w:customStyle="1" w:styleId="3091">
    <w:name w:val="表题3131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092">
    <w:name w:val="文本框111"/>
    <w:basedOn w:val="1"/>
    <w:qFormat/>
    <w:uiPriority w:val="99"/>
    <w:pPr>
      <w:spacing w:after="6" w:line="240" w:lineRule="auto"/>
      <w:jc w:val="center"/>
    </w:pPr>
    <w:rPr>
      <w:rFonts w:eastAsia="仿宋_GB2312"/>
      <w:sz w:val="21"/>
    </w:rPr>
  </w:style>
  <w:style w:type="paragraph" w:customStyle="1" w:styleId="3093">
    <w:name w:val="表中文字3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094">
    <w:name w:val="正文.13"/>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095">
    <w:name w:val="Char Char Char Char Char Char Char151"/>
    <w:basedOn w:val="1"/>
    <w:qFormat/>
    <w:uiPriority w:val="99"/>
    <w:pPr>
      <w:spacing w:line="240" w:lineRule="auto"/>
    </w:pPr>
    <w:rPr>
      <w:sz w:val="21"/>
      <w:szCs w:val="20"/>
    </w:rPr>
  </w:style>
  <w:style w:type="paragraph" w:customStyle="1" w:styleId="3096">
    <w:name w:val="燕山正文1142"/>
    <w:basedOn w:val="1"/>
    <w:qFormat/>
    <w:uiPriority w:val="99"/>
    <w:pPr>
      <w:tabs>
        <w:tab w:val="left" w:pos="4680"/>
      </w:tabs>
      <w:spacing w:line="480" w:lineRule="exact"/>
    </w:pPr>
    <w:rPr>
      <w:rFonts w:ascii="宋体" w:hAnsi="宋体" w:cs="宋体"/>
      <w:bCs/>
      <w:color w:val="000000"/>
    </w:rPr>
  </w:style>
  <w:style w:type="paragraph" w:customStyle="1" w:styleId="3097">
    <w:name w:val="正文格式＝111"/>
    <w:basedOn w:val="185"/>
    <w:next w:val="185"/>
    <w:qFormat/>
    <w:uiPriority w:val="99"/>
    <w:rPr>
      <w:rFonts w:hAnsi="宋体" w:cs="Times New Roman"/>
    </w:rPr>
  </w:style>
  <w:style w:type="paragraph" w:customStyle="1" w:styleId="3098">
    <w:name w:val="表题151"/>
    <w:basedOn w:val="22"/>
    <w:qFormat/>
    <w:uiPriority w:val="99"/>
    <w:pPr>
      <w:tabs>
        <w:tab w:val="clear" w:pos="10467"/>
        <w:tab w:val="clear" w:pos="13095"/>
      </w:tabs>
      <w:adjustRightInd/>
      <w:snapToGrid/>
    </w:pPr>
    <w:rPr>
      <w:rFonts w:ascii="黑体" w:eastAsia="黑体"/>
    </w:rPr>
  </w:style>
  <w:style w:type="paragraph" w:customStyle="1" w:styleId="3099">
    <w:name w:val="正文格式＝"/>
    <w:basedOn w:val="185"/>
    <w:next w:val="185"/>
    <w:qFormat/>
    <w:uiPriority w:val="99"/>
    <w:rPr>
      <w:rFonts w:hAnsi="宋体" w:cs="Times New Roman"/>
    </w:rPr>
  </w:style>
  <w:style w:type="paragraph" w:customStyle="1" w:styleId="3100">
    <w:name w:val="23-47表名"/>
    <w:basedOn w:val="1"/>
    <w:qFormat/>
    <w:uiPriority w:val="99"/>
    <w:pPr>
      <w:spacing w:afterLines="50" w:line="440" w:lineRule="exact"/>
      <w:jc w:val="center"/>
    </w:pPr>
    <w:rPr>
      <w:rFonts w:ascii="宋体" w:hAnsi="宋体"/>
      <w:b/>
    </w:rPr>
  </w:style>
  <w:style w:type="paragraph" w:customStyle="1" w:styleId="3101">
    <w:name w:val="Char Char Char Char Char Char Char23"/>
    <w:basedOn w:val="1"/>
    <w:qFormat/>
    <w:uiPriority w:val="99"/>
    <w:pPr>
      <w:spacing w:line="240" w:lineRule="auto"/>
    </w:pPr>
    <w:rPr>
      <w:sz w:val="21"/>
    </w:rPr>
  </w:style>
  <w:style w:type="paragraph" w:customStyle="1" w:styleId="3102">
    <w:name w:val="表题1113"/>
    <w:basedOn w:val="22"/>
    <w:qFormat/>
    <w:uiPriority w:val="99"/>
    <w:pPr>
      <w:tabs>
        <w:tab w:val="clear" w:pos="10467"/>
        <w:tab w:val="clear" w:pos="13095"/>
      </w:tabs>
      <w:adjustRightInd/>
      <w:snapToGrid/>
    </w:pPr>
    <w:rPr>
      <w:rFonts w:ascii="黑体" w:eastAsia="黑体"/>
      <w:b w:val="0"/>
    </w:rPr>
  </w:style>
  <w:style w:type="paragraph" w:customStyle="1" w:styleId="3103">
    <w:name w:val="图题注2"/>
    <w:basedOn w:val="22"/>
    <w:qFormat/>
    <w:uiPriority w:val="99"/>
    <w:pPr>
      <w:tabs>
        <w:tab w:val="clear" w:pos="10467"/>
        <w:tab w:val="clear" w:pos="13095"/>
      </w:tabs>
      <w:adjustRightInd/>
      <w:snapToGrid/>
      <w:spacing w:line="240" w:lineRule="auto"/>
    </w:pPr>
    <w:rPr>
      <w:rFonts w:ascii="黑体" w:eastAsia="黑体" w:cs="宋体"/>
      <w:bCs/>
    </w:rPr>
  </w:style>
  <w:style w:type="paragraph" w:customStyle="1" w:styleId="3104">
    <w:name w:val="标题43132"/>
    <w:basedOn w:val="1"/>
    <w:qFormat/>
    <w:uiPriority w:val="99"/>
    <w:pPr>
      <w:spacing w:line="480" w:lineRule="exact"/>
      <w:jc w:val="center"/>
    </w:pPr>
    <w:rPr>
      <w:rFonts w:ascii="宋体" w:hAnsi="宋体" w:cs="宋体"/>
    </w:rPr>
  </w:style>
  <w:style w:type="paragraph" w:customStyle="1" w:styleId="3105">
    <w:name w:val="图题213"/>
    <w:basedOn w:val="185"/>
    <w:next w:val="185"/>
    <w:qFormat/>
    <w:uiPriority w:val="99"/>
    <w:pPr>
      <w:ind w:firstLine="0"/>
      <w:jc w:val="center"/>
    </w:pPr>
    <w:rPr>
      <w:rFonts w:ascii="黑体" w:hAnsi="宋体" w:eastAsia="黑体"/>
      <w:b/>
      <w:bCs/>
    </w:rPr>
  </w:style>
  <w:style w:type="paragraph" w:customStyle="1" w:styleId="3106">
    <w:name w:val="附件42"/>
    <w:basedOn w:val="3"/>
    <w:next w:val="185"/>
    <w:qFormat/>
    <w:uiPriority w:val="99"/>
    <w:pPr>
      <w:tabs>
        <w:tab w:val="left" w:pos="1566"/>
      </w:tabs>
      <w:spacing w:after="210"/>
      <w:jc w:val="left"/>
    </w:pPr>
    <w:rPr>
      <w:rFonts w:ascii="黑体" w:hAnsi="宋体" w:eastAsia="黑体"/>
      <w:bCs w:val="0"/>
      <w:sz w:val="32"/>
      <w:szCs w:val="32"/>
    </w:rPr>
  </w:style>
  <w:style w:type="paragraph" w:customStyle="1" w:styleId="3107">
    <w:name w:val="表内文字小82"/>
    <w:basedOn w:val="1"/>
    <w:qFormat/>
    <w:uiPriority w:val="99"/>
    <w:pPr>
      <w:spacing w:line="240" w:lineRule="auto"/>
      <w:jc w:val="center"/>
    </w:pPr>
    <w:rPr>
      <w:rFonts w:ascii="宋体" w:hAnsi="Times" w:cs="宋体"/>
      <w:sz w:val="21"/>
      <w:szCs w:val="20"/>
    </w:rPr>
  </w:style>
  <w:style w:type="paragraph" w:customStyle="1" w:styleId="3108">
    <w:name w:val="燕山正文11"/>
    <w:basedOn w:val="1"/>
    <w:qFormat/>
    <w:uiPriority w:val="99"/>
    <w:pPr>
      <w:tabs>
        <w:tab w:val="left" w:pos="4680"/>
      </w:tabs>
      <w:ind w:firstLine="480"/>
    </w:pPr>
    <w:rPr>
      <w:rFonts w:ascii="宋体" w:hAnsi="宋体" w:cs="宋体"/>
      <w:bCs/>
      <w:snapToGrid w:val="0"/>
      <w:color w:val="000000"/>
      <w:kern w:val="0"/>
    </w:rPr>
  </w:style>
  <w:style w:type="paragraph" w:customStyle="1" w:styleId="3109">
    <w:name w:val="样式 标题 4无效格式无效格式1河石管道4H4H41小小节河石管道41H42H411小小节1河石管道42...112"/>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3110">
    <w:name w:val="Char Char Char Char Char Char Char25"/>
    <w:basedOn w:val="1"/>
    <w:qFormat/>
    <w:uiPriority w:val="99"/>
    <w:pPr>
      <w:spacing w:line="240" w:lineRule="auto"/>
    </w:pPr>
    <w:rPr>
      <w:sz w:val="21"/>
    </w:rPr>
  </w:style>
  <w:style w:type="paragraph" w:customStyle="1" w:styleId="3111">
    <w:name w:val="Char38"/>
    <w:basedOn w:val="1"/>
    <w:qFormat/>
    <w:uiPriority w:val="99"/>
    <w:pPr>
      <w:spacing w:line="240" w:lineRule="auto"/>
      <w:ind w:left="-48"/>
    </w:pPr>
    <w:rPr>
      <w:sz w:val="21"/>
    </w:rPr>
  </w:style>
  <w:style w:type="paragraph" w:customStyle="1" w:styleId="3112">
    <w:name w:val="样式123"/>
    <w:basedOn w:val="1199"/>
    <w:qFormat/>
    <w:uiPriority w:val="99"/>
    <w:pPr>
      <w:spacing w:line="240" w:lineRule="auto"/>
      <w:ind w:firstLine="0"/>
      <w:jc w:val="center"/>
    </w:pPr>
    <w:rPr>
      <w:rFonts w:cs="Times New Roman"/>
      <w:b/>
      <w:color w:val="auto"/>
      <w:szCs w:val="20"/>
    </w:rPr>
  </w:style>
  <w:style w:type="paragraph" w:customStyle="1" w:styleId="3113">
    <w:name w:val="燕山正文1312"/>
    <w:basedOn w:val="1"/>
    <w:qFormat/>
    <w:uiPriority w:val="99"/>
    <w:pPr>
      <w:tabs>
        <w:tab w:val="left" w:pos="4680"/>
      </w:tabs>
      <w:ind w:firstLine="480"/>
    </w:pPr>
    <w:rPr>
      <w:rFonts w:ascii="宋体" w:hAnsi="宋体" w:cs="宋体"/>
      <w:bCs/>
      <w:color w:val="000000"/>
    </w:rPr>
  </w:style>
  <w:style w:type="paragraph" w:customStyle="1" w:styleId="3114">
    <w:name w:val="标题431"/>
    <w:basedOn w:val="1"/>
    <w:qFormat/>
    <w:uiPriority w:val="99"/>
    <w:pPr>
      <w:spacing w:line="480" w:lineRule="exact"/>
      <w:jc w:val="center"/>
    </w:pPr>
    <w:rPr>
      <w:rFonts w:ascii="宋体" w:hAnsi="宋体" w:cs="宋体"/>
    </w:rPr>
  </w:style>
  <w:style w:type="paragraph" w:customStyle="1" w:styleId="3115">
    <w:name w:val="表文字523"/>
    <w:basedOn w:val="1"/>
    <w:qFormat/>
    <w:uiPriority w:val="99"/>
    <w:pPr>
      <w:spacing w:line="240" w:lineRule="auto"/>
      <w:jc w:val="left"/>
      <w:textAlignment w:val="baseline"/>
    </w:pPr>
    <w:rPr>
      <w:rFonts w:ascii="宋体"/>
      <w:kern w:val="0"/>
      <w:sz w:val="21"/>
      <w:szCs w:val="20"/>
    </w:rPr>
  </w:style>
  <w:style w:type="paragraph" w:customStyle="1" w:styleId="3116">
    <w:name w:val="表题41"/>
    <w:basedOn w:val="35"/>
    <w:qFormat/>
    <w:uiPriority w:val="99"/>
    <w:pPr>
      <w:tabs>
        <w:tab w:val="left" w:pos="4305"/>
      </w:tabs>
      <w:spacing w:line="360" w:lineRule="auto"/>
      <w:ind w:left="0" w:firstLine="561" w:firstLineChars="0"/>
    </w:pPr>
    <w:rPr>
      <w:rFonts w:ascii="宋体" w:hAnsi="宋体" w:cs="宋体"/>
      <w:color w:val="000000"/>
      <w:sz w:val="24"/>
      <w:lang w:val="zh-CN"/>
    </w:rPr>
  </w:style>
  <w:style w:type="paragraph" w:customStyle="1" w:styleId="3117">
    <w:name w:val="表内541"/>
    <w:basedOn w:val="1"/>
    <w:qFormat/>
    <w:uiPriority w:val="99"/>
    <w:pPr>
      <w:spacing w:line="300" w:lineRule="auto"/>
      <w:jc w:val="center"/>
    </w:pPr>
    <w:rPr>
      <w:rFonts w:ascii="宋体" w:hAnsi="宋体" w:cs="宋体"/>
      <w:sz w:val="21"/>
      <w:szCs w:val="20"/>
    </w:rPr>
  </w:style>
  <w:style w:type="paragraph" w:customStyle="1" w:styleId="3118">
    <w:name w:val="燕山正文412"/>
    <w:basedOn w:val="1"/>
    <w:qFormat/>
    <w:uiPriority w:val="99"/>
    <w:pPr>
      <w:tabs>
        <w:tab w:val="left" w:pos="4680"/>
      </w:tabs>
      <w:spacing w:line="480" w:lineRule="exact"/>
    </w:pPr>
    <w:rPr>
      <w:rFonts w:ascii="宋体" w:cs="宋体"/>
    </w:rPr>
  </w:style>
  <w:style w:type="paragraph" w:customStyle="1" w:styleId="3119">
    <w:name w:val="表内文字小21"/>
    <w:basedOn w:val="1"/>
    <w:qFormat/>
    <w:uiPriority w:val="99"/>
    <w:pPr>
      <w:spacing w:line="240" w:lineRule="auto"/>
      <w:jc w:val="center"/>
    </w:pPr>
    <w:rPr>
      <w:rFonts w:ascii="宋体" w:hAnsi="Times"/>
      <w:bCs/>
      <w:color w:val="000000"/>
      <w:sz w:val="21"/>
      <w:szCs w:val="20"/>
    </w:rPr>
  </w:style>
  <w:style w:type="paragraph" w:customStyle="1" w:styleId="3120">
    <w:name w:val="Char Char Char Char Char Char Char1"/>
    <w:basedOn w:val="1"/>
    <w:qFormat/>
    <w:uiPriority w:val="99"/>
    <w:pPr>
      <w:spacing w:line="240" w:lineRule="auto"/>
    </w:pPr>
    <w:rPr>
      <w:sz w:val="21"/>
    </w:rPr>
  </w:style>
  <w:style w:type="paragraph" w:customStyle="1" w:styleId="3121">
    <w:name w:val="表内宋5115"/>
    <w:basedOn w:val="80"/>
    <w:qFormat/>
    <w:uiPriority w:val="99"/>
    <w:pPr>
      <w:widowControl w:val="0"/>
      <w:spacing w:before="0" w:beforeAutospacing="0" w:after="0" w:afterAutospacing="0"/>
      <w:jc w:val="both"/>
    </w:pPr>
    <w:rPr>
      <w:rFonts w:ascii="Times New Roman" w:hAnsi="Times New Roman"/>
      <w:kern w:val="2"/>
      <w:sz w:val="24"/>
    </w:rPr>
  </w:style>
  <w:style w:type="paragraph" w:customStyle="1" w:styleId="3122">
    <w:name w:val="正文格式6"/>
    <w:basedOn w:val="1"/>
    <w:qFormat/>
    <w:uiPriority w:val="99"/>
    <w:pPr>
      <w:ind w:firstLine="482"/>
    </w:pPr>
    <w:rPr>
      <w:rFonts w:ascii="宋体" w:hAnsi="宋体"/>
    </w:rPr>
  </w:style>
  <w:style w:type="paragraph" w:customStyle="1" w:styleId="3123">
    <w:name w:val="注释12"/>
    <w:basedOn w:val="185"/>
    <w:next w:val="34"/>
    <w:qFormat/>
    <w:uiPriority w:val="99"/>
    <w:pPr>
      <w:spacing w:before="120" w:after="120" w:line="240" w:lineRule="auto"/>
      <w:ind w:firstLine="200"/>
    </w:pPr>
    <w:rPr>
      <w:sz w:val="21"/>
      <w:szCs w:val="20"/>
    </w:rPr>
  </w:style>
  <w:style w:type="paragraph" w:customStyle="1" w:styleId="3124">
    <w:name w:val="Char Char2 Char Char Char Char22"/>
    <w:basedOn w:val="1"/>
    <w:qFormat/>
    <w:uiPriority w:val="99"/>
    <w:pPr>
      <w:spacing w:line="240" w:lineRule="auto"/>
    </w:pPr>
    <w:rPr>
      <w:sz w:val="21"/>
    </w:rPr>
  </w:style>
  <w:style w:type="paragraph" w:customStyle="1" w:styleId="3125">
    <w:name w:val="表内5412"/>
    <w:basedOn w:val="1"/>
    <w:qFormat/>
    <w:uiPriority w:val="99"/>
    <w:pPr>
      <w:spacing w:line="300" w:lineRule="auto"/>
      <w:jc w:val="center"/>
    </w:pPr>
    <w:rPr>
      <w:rFonts w:ascii="宋体" w:hAnsi="宋体" w:cs="宋体"/>
      <w:sz w:val="21"/>
      <w:szCs w:val="20"/>
    </w:rPr>
  </w:style>
  <w:style w:type="paragraph" w:customStyle="1" w:styleId="3126">
    <w:name w:val="表内宋5"/>
    <w:basedOn w:val="1366"/>
    <w:qFormat/>
    <w:uiPriority w:val="99"/>
    <w:pPr>
      <w:widowControl/>
      <w:autoSpaceDE w:val="0"/>
      <w:autoSpaceDN w:val="0"/>
      <w:jc w:val="left"/>
      <w:textAlignment w:val="auto"/>
    </w:pPr>
    <w:rPr>
      <w:color w:val="auto"/>
      <w:w w:val="90"/>
    </w:rPr>
  </w:style>
  <w:style w:type="paragraph" w:customStyle="1" w:styleId="3127">
    <w:name w:val="表内文字小31"/>
    <w:basedOn w:val="1"/>
    <w:qFormat/>
    <w:uiPriority w:val="99"/>
    <w:pPr>
      <w:spacing w:line="240" w:lineRule="auto"/>
      <w:jc w:val="center"/>
    </w:pPr>
    <w:rPr>
      <w:rFonts w:ascii="宋体" w:hAnsi="Times" w:cs="宋体"/>
      <w:bCs/>
      <w:color w:val="003366"/>
      <w:sz w:val="21"/>
      <w:szCs w:val="20"/>
    </w:rPr>
  </w:style>
  <w:style w:type="paragraph" w:customStyle="1" w:styleId="3128">
    <w:name w:val="表内文字小212"/>
    <w:basedOn w:val="1"/>
    <w:qFormat/>
    <w:uiPriority w:val="99"/>
    <w:pPr>
      <w:spacing w:line="240" w:lineRule="auto"/>
      <w:jc w:val="center"/>
    </w:pPr>
    <w:rPr>
      <w:rFonts w:ascii="宋体" w:hAnsi="Times"/>
      <w:bCs/>
      <w:color w:val="000000"/>
      <w:sz w:val="21"/>
      <w:szCs w:val="20"/>
    </w:rPr>
  </w:style>
  <w:style w:type="paragraph" w:customStyle="1" w:styleId="3129">
    <w:name w:val="表内宋511"/>
    <w:basedOn w:val="80"/>
    <w:qFormat/>
    <w:uiPriority w:val="99"/>
    <w:pPr>
      <w:spacing w:before="0" w:beforeAutospacing="0" w:after="0" w:afterAutospacing="0"/>
      <w:jc w:val="both"/>
    </w:pPr>
    <w:rPr>
      <w:rFonts w:cs="宋体"/>
      <w:color w:val="000000"/>
    </w:rPr>
  </w:style>
  <w:style w:type="paragraph" w:customStyle="1" w:styleId="3130">
    <w:name w:val="表题31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131">
    <w:name w:val="正文."/>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132">
    <w:name w:val="Char Char Char Char Char Char Char222"/>
    <w:basedOn w:val="1"/>
    <w:qFormat/>
    <w:uiPriority w:val="99"/>
    <w:pPr>
      <w:spacing w:line="240" w:lineRule="auto"/>
    </w:pPr>
    <w:rPr>
      <w:sz w:val="21"/>
    </w:rPr>
  </w:style>
  <w:style w:type="paragraph" w:customStyle="1" w:styleId="3133">
    <w:name w:val="首行缩进:  0.99 厘米 + 首行缩进:  2 字符4"/>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3134">
    <w:name w:val="表内文字边12"/>
    <w:basedOn w:val="1"/>
    <w:qFormat/>
    <w:uiPriority w:val="99"/>
    <w:pPr>
      <w:widowControl/>
      <w:spacing w:line="240" w:lineRule="atLeast"/>
      <w:ind w:left="-21" w:leftChars="-10" w:right="-42" w:rightChars="-20"/>
    </w:pPr>
    <w:rPr>
      <w:rFonts w:ascii="宋体"/>
      <w:kern w:val="0"/>
      <w:sz w:val="21"/>
      <w:szCs w:val="21"/>
    </w:rPr>
  </w:style>
  <w:style w:type="paragraph" w:customStyle="1" w:styleId="3135">
    <w:name w:val="图表名称"/>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136">
    <w:name w:val="表内5418"/>
    <w:basedOn w:val="1"/>
    <w:qFormat/>
    <w:uiPriority w:val="99"/>
    <w:pPr>
      <w:spacing w:line="300" w:lineRule="auto"/>
      <w:jc w:val="center"/>
    </w:pPr>
    <w:rPr>
      <w:rFonts w:ascii="宋体" w:hAnsi="宋体" w:cs="宋体"/>
      <w:sz w:val="21"/>
      <w:szCs w:val="20"/>
    </w:rPr>
  </w:style>
  <w:style w:type="paragraph" w:customStyle="1" w:styleId="3137">
    <w:name w:val="正文缩"/>
    <w:basedOn w:val="1"/>
    <w:qFormat/>
    <w:uiPriority w:val="0"/>
    <w:pPr>
      <w:spacing w:line="480" w:lineRule="atLeast"/>
      <w:ind w:firstLine="567"/>
      <w:textAlignment w:val="baseline"/>
    </w:pPr>
    <w:rPr>
      <w:rFonts w:ascii="宋体"/>
      <w:color w:val="000080"/>
      <w:spacing w:val="6"/>
      <w:kern w:val="0"/>
      <w:sz w:val="28"/>
      <w:szCs w:val="20"/>
    </w:rPr>
  </w:style>
  <w:style w:type="paragraph" w:customStyle="1" w:styleId="3138">
    <w:name w:val="表42"/>
    <w:basedOn w:val="1"/>
    <w:qFormat/>
    <w:uiPriority w:val="99"/>
    <w:pPr>
      <w:spacing w:line="240" w:lineRule="auto"/>
      <w:jc w:val="center"/>
    </w:pPr>
    <w:rPr>
      <w:rFonts w:eastAsia="仿宋_GB2312"/>
    </w:rPr>
  </w:style>
  <w:style w:type="paragraph" w:customStyle="1" w:styleId="3139">
    <w:name w:val="表内文字小"/>
    <w:basedOn w:val="1"/>
    <w:qFormat/>
    <w:uiPriority w:val="99"/>
    <w:pPr>
      <w:spacing w:line="240" w:lineRule="auto"/>
      <w:jc w:val="center"/>
    </w:pPr>
    <w:rPr>
      <w:rFonts w:ascii="宋体" w:hAnsi="Times"/>
      <w:sz w:val="21"/>
      <w:szCs w:val="20"/>
    </w:rPr>
  </w:style>
  <w:style w:type="paragraph" w:customStyle="1" w:styleId="3140">
    <w:name w:val="黑体三号52"/>
    <w:basedOn w:val="185"/>
    <w:qFormat/>
    <w:uiPriority w:val="99"/>
    <w:pPr>
      <w:jc w:val="center"/>
    </w:pPr>
    <w:rPr>
      <w:rFonts w:ascii="黑体" w:hAnsi="宋体" w:eastAsia="黑体"/>
      <w:b/>
      <w:bCs/>
      <w:sz w:val="32"/>
      <w:szCs w:val="20"/>
    </w:rPr>
  </w:style>
  <w:style w:type="paragraph" w:customStyle="1" w:styleId="3141">
    <w:name w:val="表内5"/>
    <w:basedOn w:val="1"/>
    <w:qFormat/>
    <w:uiPriority w:val="99"/>
    <w:pPr>
      <w:spacing w:line="300" w:lineRule="auto"/>
      <w:jc w:val="left"/>
    </w:pPr>
    <w:rPr>
      <w:rFonts w:ascii="宋体"/>
      <w:sz w:val="18"/>
      <w:szCs w:val="20"/>
    </w:rPr>
  </w:style>
  <w:style w:type="paragraph" w:customStyle="1" w:styleId="3142">
    <w:name w:val="正文格式＝1"/>
    <w:basedOn w:val="185"/>
    <w:next w:val="185"/>
    <w:qFormat/>
    <w:uiPriority w:val="99"/>
    <w:rPr>
      <w:rFonts w:hAnsi="宋体" w:cs="Times New Roman"/>
    </w:rPr>
  </w:style>
  <w:style w:type="paragraph" w:customStyle="1" w:styleId="3143">
    <w:name w:val="表格内容12"/>
    <w:qFormat/>
    <w:uiPriority w:val="99"/>
    <w:pPr>
      <w:jc w:val="center"/>
    </w:pPr>
    <w:rPr>
      <w:rFonts w:ascii="Times New Roman" w:hAnsi="Times New Roman" w:eastAsia="宋体" w:cs="Times New Roman"/>
      <w:kern w:val="2"/>
      <w:sz w:val="21"/>
      <w:szCs w:val="21"/>
      <w:lang w:val="en-US" w:eastAsia="zh-CN" w:bidi="ar-SA"/>
    </w:rPr>
  </w:style>
  <w:style w:type="paragraph" w:customStyle="1" w:styleId="3144">
    <w:name w:val="正文格式2"/>
    <w:basedOn w:val="1"/>
    <w:qFormat/>
    <w:uiPriority w:val="99"/>
    <w:pPr>
      <w:ind w:firstLine="482"/>
    </w:pPr>
    <w:rPr>
      <w:rFonts w:ascii="宋体" w:hAnsi="宋体"/>
    </w:rPr>
  </w:style>
  <w:style w:type="paragraph" w:customStyle="1" w:styleId="3145">
    <w:name w:val="样式16"/>
    <w:basedOn w:val="1199"/>
    <w:qFormat/>
    <w:uiPriority w:val="99"/>
    <w:pPr>
      <w:spacing w:line="240" w:lineRule="auto"/>
      <w:ind w:firstLine="0"/>
      <w:jc w:val="center"/>
    </w:pPr>
    <w:rPr>
      <w:rFonts w:cs="Times New Roman"/>
      <w:b/>
      <w:color w:val="auto"/>
      <w:szCs w:val="20"/>
    </w:rPr>
  </w:style>
  <w:style w:type="paragraph" w:customStyle="1" w:styleId="3146">
    <w:name w:val="Char12"/>
    <w:basedOn w:val="1"/>
    <w:qFormat/>
    <w:uiPriority w:val="99"/>
    <w:pPr>
      <w:spacing w:beforeLines="50"/>
    </w:pPr>
    <w:rPr>
      <w:rFonts w:ascii="黑体" w:eastAsia="黑体"/>
      <w:sz w:val="32"/>
      <w:szCs w:val="32"/>
    </w:rPr>
  </w:style>
  <w:style w:type="paragraph" w:customStyle="1" w:styleId="3147">
    <w:name w:val="默认段落字体 Para Char212"/>
    <w:basedOn w:val="1"/>
    <w:next w:val="1"/>
    <w:qFormat/>
    <w:uiPriority w:val="99"/>
    <w:pPr>
      <w:spacing w:line="480" w:lineRule="exact"/>
      <w:ind w:firstLine="200"/>
      <w:jc w:val="left"/>
    </w:pPr>
    <w:rPr>
      <w:rFonts w:ascii="宋体" w:hAnsi="宋体" w:eastAsia="汉鼎简书宋" w:cs="宋体"/>
      <w:sz w:val="28"/>
    </w:rPr>
  </w:style>
  <w:style w:type="paragraph" w:customStyle="1" w:styleId="3148">
    <w:name w:val="样式 标题 3 + 段前: 12 磅12"/>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3149">
    <w:name w:val="表题314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150">
    <w:name w:val="图表题12"/>
    <w:basedOn w:val="185"/>
    <w:next w:val="185"/>
    <w:qFormat/>
    <w:uiPriority w:val="99"/>
    <w:pPr>
      <w:ind w:firstLine="0"/>
      <w:jc w:val="center"/>
    </w:pPr>
    <w:rPr>
      <w:rFonts w:ascii="黑体" w:hAnsi="宋体" w:eastAsia="黑体"/>
      <w:b/>
      <w:bCs/>
    </w:rPr>
  </w:style>
  <w:style w:type="paragraph" w:customStyle="1" w:styleId="3151">
    <w:name w:val="表内5411"/>
    <w:basedOn w:val="1"/>
    <w:qFormat/>
    <w:uiPriority w:val="99"/>
    <w:pPr>
      <w:spacing w:line="300" w:lineRule="auto"/>
      <w:jc w:val="center"/>
    </w:pPr>
    <w:rPr>
      <w:rFonts w:ascii="宋体" w:hAnsi="宋体" w:cs="宋体"/>
      <w:sz w:val="21"/>
      <w:szCs w:val="20"/>
    </w:rPr>
  </w:style>
  <w:style w:type="paragraph" w:customStyle="1" w:styleId="3152">
    <w:name w:val="表内文字小211"/>
    <w:basedOn w:val="1"/>
    <w:qFormat/>
    <w:uiPriority w:val="99"/>
    <w:pPr>
      <w:spacing w:line="240" w:lineRule="auto"/>
      <w:jc w:val="center"/>
    </w:pPr>
    <w:rPr>
      <w:rFonts w:ascii="宋体" w:hAnsi="Times"/>
      <w:bCs/>
      <w:color w:val="000000"/>
      <w:sz w:val="21"/>
      <w:szCs w:val="20"/>
    </w:rPr>
  </w:style>
  <w:style w:type="paragraph" w:customStyle="1" w:styleId="3153">
    <w:name w:val="表题31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154">
    <w:name w:val="默认段落字体 Para Char Char Char Char Char12"/>
    <w:basedOn w:val="1"/>
    <w:qFormat/>
    <w:uiPriority w:val="99"/>
    <w:pPr>
      <w:spacing w:line="240" w:lineRule="auto"/>
    </w:pPr>
    <w:rPr>
      <w:sz w:val="21"/>
    </w:rPr>
  </w:style>
  <w:style w:type="paragraph" w:customStyle="1" w:styleId="3155">
    <w:name w:val="Char Char Char Char Char Char Char11"/>
    <w:basedOn w:val="1"/>
    <w:qFormat/>
    <w:uiPriority w:val="99"/>
    <w:pPr>
      <w:spacing w:line="240" w:lineRule="auto"/>
    </w:pPr>
    <w:rPr>
      <w:sz w:val="21"/>
    </w:rPr>
  </w:style>
  <w:style w:type="paragraph" w:customStyle="1" w:styleId="3156">
    <w:name w:val="附件1"/>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157">
    <w:name w:val="图题15"/>
    <w:basedOn w:val="185"/>
    <w:next w:val="185"/>
    <w:qFormat/>
    <w:uiPriority w:val="99"/>
    <w:pPr>
      <w:ind w:firstLine="0"/>
      <w:jc w:val="center"/>
    </w:pPr>
    <w:rPr>
      <w:rFonts w:ascii="黑体" w:hAnsi="宋体" w:eastAsia="黑体"/>
      <w:b/>
      <w:bCs/>
    </w:rPr>
  </w:style>
  <w:style w:type="paragraph" w:customStyle="1" w:styleId="3158">
    <w:name w:val="样式212"/>
    <w:basedOn w:val="1"/>
    <w:qFormat/>
    <w:uiPriority w:val="99"/>
    <w:pPr>
      <w:jc w:val="center"/>
      <w:textAlignment w:val="baseline"/>
      <w:outlineLvl w:val="0"/>
    </w:pPr>
    <w:rPr>
      <w:kern w:val="0"/>
      <w:sz w:val="21"/>
      <w:szCs w:val="20"/>
    </w:rPr>
  </w:style>
  <w:style w:type="paragraph" w:customStyle="1" w:styleId="3159">
    <w:name w:val="正文格式＝2"/>
    <w:basedOn w:val="185"/>
    <w:next w:val="185"/>
    <w:qFormat/>
    <w:uiPriority w:val="99"/>
    <w:rPr>
      <w:rFonts w:hAnsi="宋体" w:cs="Times New Roman"/>
    </w:rPr>
  </w:style>
  <w:style w:type="paragraph" w:customStyle="1" w:styleId="3160">
    <w:name w:val="表题11"/>
    <w:basedOn w:val="22"/>
    <w:qFormat/>
    <w:uiPriority w:val="99"/>
    <w:pPr>
      <w:tabs>
        <w:tab w:val="clear" w:pos="10467"/>
        <w:tab w:val="clear" w:pos="13095"/>
      </w:tabs>
      <w:adjustRightInd/>
      <w:snapToGrid/>
    </w:pPr>
    <w:rPr>
      <w:rFonts w:ascii="黑体" w:eastAsia="黑体"/>
      <w:b w:val="0"/>
    </w:rPr>
  </w:style>
  <w:style w:type="paragraph" w:customStyle="1" w:styleId="3161">
    <w:name w:val="燕山正文1"/>
    <w:basedOn w:val="1"/>
    <w:qFormat/>
    <w:uiPriority w:val="99"/>
    <w:pPr>
      <w:tabs>
        <w:tab w:val="left" w:pos="4680"/>
      </w:tabs>
      <w:spacing w:line="480" w:lineRule="exact"/>
    </w:pPr>
    <w:rPr>
      <w:rFonts w:ascii="宋体" w:cs="宋体"/>
    </w:rPr>
  </w:style>
  <w:style w:type="paragraph" w:customStyle="1" w:styleId="3162">
    <w:name w:val="表中文字412"/>
    <w:basedOn w:val="1"/>
    <w:qFormat/>
    <w:uiPriority w:val="99"/>
    <w:pPr>
      <w:spacing w:line="340" w:lineRule="exact"/>
      <w:ind w:firstLine="480"/>
      <w:jc w:val="center"/>
    </w:pPr>
    <w:rPr>
      <w:rFonts w:ascii="Arial" w:hAnsi="Arial"/>
      <w:kern w:val="0"/>
      <w:sz w:val="20"/>
      <w:lang w:eastAsia="zh-TW"/>
    </w:rPr>
  </w:style>
  <w:style w:type="paragraph" w:customStyle="1" w:styleId="3163">
    <w:name w:val="正文修改1"/>
    <w:basedOn w:val="900"/>
    <w:qFormat/>
    <w:uiPriority w:val="99"/>
    <w:pPr>
      <w:spacing w:line="480" w:lineRule="exact"/>
      <w:ind w:firstLine="0" w:firstLineChars="0"/>
    </w:pPr>
    <w:rPr>
      <w:rFonts w:cs="宋体"/>
      <w:sz w:val="24"/>
      <w:szCs w:val="24"/>
    </w:rPr>
  </w:style>
  <w:style w:type="paragraph" w:customStyle="1" w:styleId="3164">
    <w:name w:val="正文缩12"/>
    <w:basedOn w:val="1"/>
    <w:qFormat/>
    <w:uiPriority w:val="99"/>
    <w:pPr>
      <w:spacing w:line="480" w:lineRule="atLeast"/>
      <w:ind w:firstLine="567"/>
      <w:textAlignment w:val="baseline"/>
    </w:pPr>
    <w:rPr>
      <w:rFonts w:ascii="宋体"/>
      <w:color w:val="000080"/>
      <w:spacing w:val="6"/>
      <w:kern w:val="0"/>
      <w:sz w:val="28"/>
      <w:szCs w:val="20"/>
    </w:rPr>
  </w:style>
  <w:style w:type="paragraph" w:customStyle="1" w:styleId="3165">
    <w:name w:val="表内文字小311"/>
    <w:basedOn w:val="1"/>
    <w:qFormat/>
    <w:uiPriority w:val="99"/>
    <w:pPr>
      <w:spacing w:line="240" w:lineRule="auto"/>
      <w:jc w:val="center"/>
    </w:pPr>
    <w:rPr>
      <w:rFonts w:ascii="宋体" w:hAnsi="Times" w:cs="宋体"/>
      <w:bCs/>
      <w:color w:val="003366"/>
      <w:sz w:val="21"/>
      <w:szCs w:val="20"/>
    </w:rPr>
  </w:style>
  <w:style w:type="paragraph" w:customStyle="1" w:styleId="3166">
    <w:name w:val="表内宋5中212"/>
    <w:basedOn w:val="1"/>
    <w:qFormat/>
    <w:uiPriority w:val="99"/>
    <w:pPr>
      <w:spacing w:line="240" w:lineRule="auto"/>
      <w:jc w:val="center"/>
      <w:textAlignment w:val="baseline"/>
    </w:pPr>
    <w:rPr>
      <w:rFonts w:ascii="宋体" w:hAnsi="宋体"/>
      <w:kern w:val="0"/>
      <w:sz w:val="21"/>
      <w:szCs w:val="20"/>
    </w:rPr>
  </w:style>
  <w:style w:type="paragraph" w:customStyle="1" w:styleId="3167">
    <w:name w:val="表内文字小2"/>
    <w:basedOn w:val="1"/>
    <w:qFormat/>
    <w:uiPriority w:val="99"/>
    <w:pPr>
      <w:spacing w:line="240" w:lineRule="auto"/>
      <w:jc w:val="center"/>
    </w:pPr>
    <w:rPr>
      <w:rFonts w:ascii="宋体" w:hAnsi="Times"/>
      <w:bCs/>
      <w:color w:val="000000"/>
      <w:sz w:val="21"/>
      <w:szCs w:val="20"/>
    </w:rPr>
  </w:style>
  <w:style w:type="paragraph" w:customStyle="1" w:styleId="3168">
    <w:name w:val="表内53"/>
    <w:basedOn w:val="1"/>
    <w:qFormat/>
    <w:uiPriority w:val="99"/>
    <w:pPr>
      <w:spacing w:line="300" w:lineRule="auto"/>
      <w:jc w:val="left"/>
    </w:pPr>
    <w:rPr>
      <w:rFonts w:ascii="宋体"/>
      <w:sz w:val="21"/>
      <w:szCs w:val="20"/>
    </w:rPr>
  </w:style>
  <w:style w:type="paragraph" w:customStyle="1" w:styleId="3169">
    <w:name w:val="样式 标题 3 + 段前: 12 磅4"/>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3170">
    <w:name w:val="正文25"/>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171">
    <w:name w:val="燕山正文112"/>
    <w:basedOn w:val="1"/>
    <w:qFormat/>
    <w:uiPriority w:val="99"/>
    <w:pPr>
      <w:tabs>
        <w:tab w:val="left" w:pos="4680"/>
      </w:tabs>
      <w:spacing w:line="480" w:lineRule="exact"/>
    </w:pPr>
    <w:rPr>
      <w:rFonts w:ascii="宋体" w:hAnsi="宋体" w:cs="宋体"/>
      <w:bCs/>
      <w:color w:val="000000"/>
    </w:rPr>
  </w:style>
  <w:style w:type="paragraph" w:customStyle="1" w:styleId="3172">
    <w:name w:val="附件2"/>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173">
    <w:name w:val="xl244"/>
    <w:basedOn w:val="1"/>
    <w:qFormat/>
    <w:uiPriority w:val="99"/>
    <w:pPr>
      <w:widowControl/>
      <w:pBdr>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3174">
    <w:name w:val="正文格式＝53"/>
    <w:basedOn w:val="185"/>
    <w:next w:val="185"/>
    <w:qFormat/>
    <w:uiPriority w:val="99"/>
    <w:rPr>
      <w:rFonts w:hAnsi="宋体" w:cs="Times New Roman"/>
    </w:rPr>
  </w:style>
  <w:style w:type="paragraph" w:customStyle="1" w:styleId="3175">
    <w:name w:val="黑体三号2"/>
    <w:basedOn w:val="185"/>
    <w:qFormat/>
    <w:uiPriority w:val="99"/>
    <w:pPr>
      <w:jc w:val="center"/>
    </w:pPr>
    <w:rPr>
      <w:rFonts w:ascii="黑体" w:hAnsi="宋体" w:eastAsia="黑体"/>
      <w:b/>
      <w:bCs/>
      <w:sz w:val="32"/>
      <w:szCs w:val="20"/>
    </w:rPr>
  </w:style>
  <w:style w:type="paragraph" w:customStyle="1" w:styleId="3176">
    <w:name w:val="Char Char Char Char Char Char Char214"/>
    <w:basedOn w:val="1"/>
    <w:qFormat/>
    <w:uiPriority w:val="99"/>
    <w:pPr>
      <w:spacing w:line="240" w:lineRule="auto"/>
    </w:pPr>
    <w:rPr>
      <w:sz w:val="21"/>
    </w:rPr>
  </w:style>
  <w:style w:type="paragraph" w:customStyle="1" w:styleId="3177">
    <w:name w:val="Char Char Char Char Char Char Char33"/>
    <w:basedOn w:val="1"/>
    <w:qFormat/>
    <w:uiPriority w:val="99"/>
    <w:pPr>
      <w:spacing w:line="240" w:lineRule="auto"/>
    </w:pPr>
    <w:rPr>
      <w:sz w:val="21"/>
    </w:rPr>
  </w:style>
  <w:style w:type="paragraph" w:customStyle="1" w:styleId="3178">
    <w:name w:val="表2"/>
    <w:basedOn w:val="1"/>
    <w:qFormat/>
    <w:uiPriority w:val="99"/>
    <w:pPr>
      <w:spacing w:line="240" w:lineRule="auto"/>
      <w:jc w:val="center"/>
    </w:pPr>
    <w:rPr>
      <w:rFonts w:eastAsia="仿宋_GB2312"/>
    </w:rPr>
  </w:style>
  <w:style w:type="paragraph" w:customStyle="1" w:styleId="3179">
    <w:name w:val="表题12"/>
    <w:basedOn w:val="22"/>
    <w:qFormat/>
    <w:uiPriority w:val="99"/>
    <w:pPr>
      <w:tabs>
        <w:tab w:val="clear" w:pos="10467"/>
        <w:tab w:val="clear" w:pos="13095"/>
      </w:tabs>
      <w:adjustRightInd/>
      <w:snapToGrid/>
    </w:pPr>
    <w:rPr>
      <w:rFonts w:ascii="黑体" w:eastAsia="黑体"/>
      <w:b w:val="0"/>
    </w:rPr>
  </w:style>
  <w:style w:type="paragraph" w:customStyle="1" w:styleId="3180">
    <w:name w:val="默认段落字体 Para Char14"/>
    <w:basedOn w:val="1"/>
    <w:next w:val="1"/>
    <w:qFormat/>
    <w:uiPriority w:val="99"/>
    <w:pPr>
      <w:spacing w:line="480" w:lineRule="exact"/>
      <w:ind w:firstLine="200"/>
      <w:jc w:val="left"/>
    </w:pPr>
    <w:rPr>
      <w:rFonts w:ascii="宋体" w:hAnsi="宋体" w:eastAsia="汉鼎简书宋" w:cs="宋体"/>
      <w:sz w:val="28"/>
    </w:rPr>
  </w:style>
  <w:style w:type="paragraph" w:customStyle="1" w:styleId="3181">
    <w:name w:val="正文格式＝3"/>
    <w:basedOn w:val="185"/>
    <w:next w:val="185"/>
    <w:qFormat/>
    <w:uiPriority w:val="99"/>
    <w:rPr>
      <w:rFonts w:hAnsi="宋体" w:cs="Times New Roman"/>
    </w:rPr>
  </w:style>
  <w:style w:type="paragraph" w:customStyle="1" w:styleId="3182">
    <w:name w:val="样式 表内小5 + 黑体 加粗 倾斜 下划线4"/>
    <w:basedOn w:val="1"/>
    <w:qFormat/>
    <w:uiPriority w:val="99"/>
    <w:pPr>
      <w:spacing w:line="300" w:lineRule="auto"/>
      <w:jc w:val="left"/>
    </w:pPr>
    <w:rPr>
      <w:rFonts w:ascii="黑体" w:hAnsi="黑体" w:eastAsia="黑体"/>
      <w:b/>
      <w:bCs/>
      <w:i/>
      <w:iCs/>
      <w:sz w:val="18"/>
      <w:u w:val="single"/>
    </w:rPr>
  </w:style>
  <w:style w:type="paragraph" w:customStyle="1" w:styleId="3183">
    <w:name w:val="表内文字小22"/>
    <w:basedOn w:val="1"/>
    <w:qFormat/>
    <w:uiPriority w:val="99"/>
    <w:pPr>
      <w:spacing w:line="240" w:lineRule="auto"/>
      <w:jc w:val="center"/>
    </w:pPr>
    <w:rPr>
      <w:rFonts w:ascii="宋体" w:hAnsi="Times"/>
      <w:bCs/>
      <w:color w:val="000000"/>
      <w:sz w:val="21"/>
      <w:szCs w:val="20"/>
    </w:rPr>
  </w:style>
  <w:style w:type="paragraph" w:customStyle="1" w:styleId="3184">
    <w:name w:val="表内531"/>
    <w:basedOn w:val="1"/>
    <w:qFormat/>
    <w:uiPriority w:val="99"/>
    <w:pPr>
      <w:spacing w:line="300" w:lineRule="auto"/>
      <w:jc w:val="left"/>
    </w:pPr>
    <w:rPr>
      <w:rFonts w:ascii="宋体"/>
      <w:sz w:val="21"/>
      <w:szCs w:val="20"/>
    </w:rPr>
  </w:style>
  <w:style w:type="paragraph" w:customStyle="1" w:styleId="3185">
    <w:name w:val="正文格式21"/>
    <w:basedOn w:val="1"/>
    <w:qFormat/>
    <w:uiPriority w:val="99"/>
    <w:pPr>
      <w:ind w:firstLine="482"/>
    </w:pPr>
    <w:rPr>
      <w:rFonts w:ascii="宋体" w:hAnsi="宋体"/>
    </w:rPr>
  </w:style>
  <w:style w:type="paragraph" w:customStyle="1" w:styleId="3186">
    <w:name w:val="图题21"/>
    <w:basedOn w:val="185"/>
    <w:next w:val="185"/>
    <w:qFormat/>
    <w:uiPriority w:val="99"/>
    <w:pPr>
      <w:ind w:firstLine="0"/>
      <w:jc w:val="center"/>
    </w:pPr>
    <w:rPr>
      <w:rFonts w:ascii="黑体" w:hAnsi="宋体" w:eastAsia="黑体"/>
      <w:b/>
      <w:bCs/>
    </w:rPr>
  </w:style>
  <w:style w:type="paragraph" w:customStyle="1" w:styleId="3187">
    <w:name w:val="正文修改3"/>
    <w:basedOn w:val="900"/>
    <w:qFormat/>
    <w:uiPriority w:val="99"/>
    <w:pPr>
      <w:spacing w:line="480" w:lineRule="exact"/>
      <w:ind w:firstLine="0" w:firstLineChars="0"/>
    </w:pPr>
    <w:rPr>
      <w:rFonts w:cs="宋体"/>
      <w:sz w:val="24"/>
      <w:szCs w:val="24"/>
    </w:rPr>
  </w:style>
  <w:style w:type="paragraph" w:customStyle="1" w:styleId="3188">
    <w:name w:val="表格内字体21"/>
    <w:basedOn w:val="185"/>
    <w:next w:val="185"/>
    <w:qFormat/>
    <w:uiPriority w:val="99"/>
    <w:pPr>
      <w:spacing w:line="240" w:lineRule="auto"/>
      <w:ind w:firstLine="0"/>
      <w:jc w:val="center"/>
    </w:pPr>
    <w:rPr>
      <w:rFonts w:hAnsi="宋体" w:cs="Times New Roman"/>
      <w:sz w:val="21"/>
    </w:rPr>
  </w:style>
  <w:style w:type="paragraph" w:customStyle="1" w:styleId="3189">
    <w:name w:val="Default4"/>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190">
    <w:name w:val="表题111"/>
    <w:basedOn w:val="22"/>
    <w:qFormat/>
    <w:uiPriority w:val="99"/>
    <w:pPr>
      <w:tabs>
        <w:tab w:val="clear" w:pos="10467"/>
        <w:tab w:val="clear" w:pos="13095"/>
      </w:tabs>
      <w:adjustRightInd/>
      <w:snapToGrid/>
    </w:pPr>
    <w:rPr>
      <w:rFonts w:ascii="黑体" w:eastAsia="黑体"/>
    </w:rPr>
  </w:style>
  <w:style w:type="paragraph" w:customStyle="1" w:styleId="3191">
    <w:name w:val="Char Char2 Char Char Char Char19"/>
    <w:basedOn w:val="1"/>
    <w:qFormat/>
    <w:uiPriority w:val="99"/>
    <w:pPr>
      <w:spacing w:line="240" w:lineRule="auto"/>
    </w:pPr>
    <w:rPr>
      <w:sz w:val="21"/>
    </w:rPr>
  </w:style>
  <w:style w:type="paragraph" w:customStyle="1" w:styleId="3192">
    <w:name w:val="表中文字1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193">
    <w:name w:val="燕山正文3"/>
    <w:basedOn w:val="1"/>
    <w:qFormat/>
    <w:uiPriority w:val="99"/>
    <w:pPr>
      <w:tabs>
        <w:tab w:val="left" w:pos="4680"/>
      </w:tabs>
      <w:spacing w:line="480" w:lineRule="exact"/>
    </w:pPr>
    <w:rPr>
      <w:rFonts w:ascii="宋体" w:cs="宋体"/>
    </w:rPr>
  </w:style>
  <w:style w:type="paragraph" w:customStyle="1" w:styleId="3194">
    <w:name w:val="正文格式4"/>
    <w:basedOn w:val="1"/>
    <w:qFormat/>
    <w:uiPriority w:val="99"/>
    <w:pPr>
      <w:ind w:firstLine="482"/>
    </w:pPr>
    <w:rPr>
      <w:rFonts w:ascii="宋体" w:hAnsi="宋体"/>
    </w:rPr>
  </w:style>
  <w:style w:type="paragraph" w:customStyle="1" w:styleId="3195">
    <w:name w:val="Char310"/>
    <w:basedOn w:val="1"/>
    <w:qFormat/>
    <w:uiPriority w:val="99"/>
    <w:pPr>
      <w:spacing w:line="240" w:lineRule="auto"/>
      <w:ind w:left="-48"/>
    </w:pPr>
    <w:rPr>
      <w:sz w:val="21"/>
    </w:rPr>
  </w:style>
  <w:style w:type="paragraph" w:customStyle="1" w:styleId="3196">
    <w:name w:val="图题4"/>
    <w:basedOn w:val="185"/>
    <w:next w:val="185"/>
    <w:qFormat/>
    <w:uiPriority w:val="99"/>
    <w:pPr>
      <w:ind w:firstLine="0"/>
      <w:jc w:val="center"/>
    </w:pPr>
    <w:rPr>
      <w:rFonts w:ascii="黑体" w:hAnsi="宋体" w:eastAsia="黑体"/>
      <w:b/>
      <w:bCs/>
    </w:rPr>
  </w:style>
  <w:style w:type="paragraph" w:customStyle="1" w:styleId="3197">
    <w:name w:val="正文格式＝4"/>
    <w:basedOn w:val="185"/>
    <w:next w:val="185"/>
    <w:qFormat/>
    <w:uiPriority w:val="99"/>
    <w:rPr>
      <w:rFonts w:hAnsi="宋体" w:cs="Times New Roman"/>
    </w:rPr>
  </w:style>
  <w:style w:type="paragraph" w:customStyle="1" w:styleId="3198">
    <w:name w:val="图题312"/>
    <w:basedOn w:val="185"/>
    <w:next w:val="185"/>
    <w:qFormat/>
    <w:uiPriority w:val="99"/>
    <w:pPr>
      <w:ind w:firstLine="0"/>
      <w:jc w:val="center"/>
    </w:pPr>
    <w:rPr>
      <w:rFonts w:ascii="黑体" w:hAnsi="宋体" w:eastAsia="黑体"/>
      <w:b/>
      <w:bCs/>
    </w:rPr>
  </w:style>
  <w:style w:type="paragraph" w:customStyle="1" w:styleId="3199">
    <w:name w:val="Char84"/>
    <w:basedOn w:val="1"/>
    <w:qFormat/>
    <w:uiPriority w:val="99"/>
    <w:pPr>
      <w:spacing w:line="240" w:lineRule="auto"/>
      <w:ind w:left="-48"/>
    </w:pPr>
    <w:rPr>
      <w:sz w:val="21"/>
    </w:rPr>
  </w:style>
  <w:style w:type="paragraph" w:customStyle="1" w:styleId="3200">
    <w:name w:val="样式1112"/>
    <w:basedOn w:val="1199"/>
    <w:qFormat/>
    <w:uiPriority w:val="99"/>
    <w:pPr>
      <w:spacing w:line="240" w:lineRule="auto"/>
      <w:ind w:firstLine="0"/>
      <w:jc w:val="center"/>
    </w:pPr>
    <w:rPr>
      <w:rFonts w:cs="Times New Roman"/>
      <w:b/>
      <w:color w:val="auto"/>
      <w:szCs w:val="20"/>
    </w:rPr>
  </w:style>
  <w:style w:type="paragraph" w:customStyle="1" w:styleId="3201">
    <w:name w:val="表题13"/>
    <w:basedOn w:val="22"/>
    <w:qFormat/>
    <w:uiPriority w:val="99"/>
    <w:pPr>
      <w:tabs>
        <w:tab w:val="clear" w:pos="10467"/>
        <w:tab w:val="clear" w:pos="13095"/>
      </w:tabs>
      <w:adjustRightInd/>
      <w:snapToGrid/>
    </w:pPr>
    <w:rPr>
      <w:rFonts w:ascii="黑体" w:eastAsia="黑体"/>
    </w:rPr>
  </w:style>
  <w:style w:type="paragraph" w:customStyle="1" w:styleId="3202">
    <w:name w:val="Char Char Char Char Char Char Char12"/>
    <w:basedOn w:val="1"/>
    <w:qFormat/>
    <w:uiPriority w:val="99"/>
    <w:pPr>
      <w:spacing w:line="240" w:lineRule="auto"/>
    </w:pPr>
    <w:rPr>
      <w:sz w:val="21"/>
      <w:szCs w:val="20"/>
    </w:rPr>
  </w:style>
  <w:style w:type="paragraph" w:customStyle="1" w:styleId="3203">
    <w:name w:val="Char510"/>
    <w:basedOn w:val="1"/>
    <w:qFormat/>
    <w:uiPriority w:val="0"/>
    <w:pPr>
      <w:spacing w:line="240" w:lineRule="auto"/>
      <w:ind w:left="-45"/>
    </w:pPr>
    <w:rPr>
      <w:sz w:val="21"/>
    </w:rPr>
  </w:style>
  <w:style w:type="paragraph" w:customStyle="1" w:styleId="3204">
    <w:name w:val="燕山正文113"/>
    <w:basedOn w:val="1"/>
    <w:qFormat/>
    <w:uiPriority w:val="99"/>
    <w:pPr>
      <w:tabs>
        <w:tab w:val="left" w:pos="4680"/>
      </w:tabs>
      <w:ind w:firstLine="480"/>
    </w:pPr>
    <w:rPr>
      <w:rFonts w:ascii="宋体" w:hAnsi="宋体" w:cs="宋体"/>
      <w:bCs/>
      <w:snapToGrid w:val="0"/>
      <w:color w:val="000000"/>
      <w:kern w:val="0"/>
    </w:rPr>
  </w:style>
  <w:style w:type="paragraph" w:customStyle="1" w:styleId="3205">
    <w:name w:val="正文格式5"/>
    <w:basedOn w:val="1"/>
    <w:qFormat/>
    <w:uiPriority w:val="99"/>
    <w:pPr>
      <w:ind w:firstLine="482"/>
    </w:pPr>
    <w:rPr>
      <w:rFonts w:ascii="宋体" w:hAnsi="宋体"/>
    </w:rPr>
  </w:style>
  <w:style w:type="paragraph" w:customStyle="1" w:styleId="3206">
    <w:name w:val="正文格式64"/>
    <w:basedOn w:val="1"/>
    <w:qFormat/>
    <w:uiPriority w:val="99"/>
    <w:pPr>
      <w:ind w:firstLine="482"/>
    </w:pPr>
    <w:rPr>
      <w:rFonts w:ascii="宋体" w:hAnsi="宋体"/>
    </w:rPr>
  </w:style>
  <w:style w:type="paragraph" w:customStyle="1" w:styleId="3207">
    <w:name w:val="图题5"/>
    <w:basedOn w:val="185"/>
    <w:next w:val="185"/>
    <w:qFormat/>
    <w:uiPriority w:val="99"/>
    <w:pPr>
      <w:ind w:firstLine="0"/>
      <w:jc w:val="center"/>
    </w:pPr>
    <w:rPr>
      <w:rFonts w:ascii="黑体" w:hAnsi="宋体" w:eastAsia="黑体"/>
      <w:b/>
      <w:bCs/>
    </w:rPr>
  </w:style>
  <w:style w:type="paragraph" w:customStyle="1" w:styleId="3208">
    <w:name w:val="表格内字体5"/>
    <w:basedOn w:val="185"/>
    <w:next w:val="185"/>
    <w:qFormat/>
    <w:uiPriority w:val="99"/>
    <w:pPr>
      <w:spacing w:line="240" w:lineRule="auto"/>
      <w:ind w:firstLine="0"/>
    </w:pPr>
    <w:rPr>
      <w:rFonts w:hAnsi="宋体" w:cs="Times New Roman"/>
      <w:sz w:val="21"/>
    </w:rPr>
  </w:style>
  <w:style w:type="paragraph" w:customStyle="1" w:styleId="3209">
    <w:name w:val="燕山正文34"/>
    <w:basedOn w:val="1"/>
    <w:qFormat/>
    <w:uiPriority w:val="99"/>
    <w:pPr>
      <w:tabs>
        <w:tab w:val="left" w:pos="4680"/>
      </w:tabs>
      <w:spacing w:line="480" w:lineRule="exact"/>
    </w:pPr>
    <w:rPr>
      <w:rFonts w:ascii="宋体" w:cs="宋体"/>
    </w:rPr>
  </w:style>
  <w:style w:type="paragraph" w:customStyle="1" w:styleId="3210">
    <w:name w:val="表3"/>
    <w:basedOn w:val="1"/>
    <w:qFormat/>
    <w:uiPriority w:val="99"/>
    <w:pPr>
      <w:spacing w:line="240" w:lineRule="auto"/>
      <w:jc w:val="center"/>
    </w:pPr>
    <w:rPr>
      <w:rFonts w:eastAsia="仿宋_GB2312"/>
    </w:rPr>
  </w:style>
  <w:style w:type="paragraph" w:customStyle="1" w:styleId="3211">
    <w:name w:val="Char Char Char Char1 Char Char Char8"/>
    <w:basedOn w:val="1"/>
    <w:qFormat/>
    <w:uiPriority w:val="99"/>
    <w:pPr>
      <w:widowControl/>
      <w:spacing w:after="160" w:line="240" w:lineRule="exact"/>
      <w:jc w:val="left"/>
    </w:pPr>
    <w:rPr>
      <w:rFonts w:ascii="Verdana" w:hAnsi="Verdana"/>
      <w:kern w:val="0"/>
      <w:sz w:val="20"/>
      <w:szCs w:val="20"/>
      <w:lang w:eastAsia="en-US"/>
    </w:rPr>
  </w:style>
  <w:style w:type="paragraph" w:customStyle="1" w:styleId="3212">
    <w:name w:val="正文.1"/>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13">
    <w:name w:val="表文字53"/>
    <w:basedOn w:val="1"/>
    <w:qFormat/>
    <w:uiPriority w:val="99"/>
    <w:pPr>
      <w:spacing w:line="240" w:lineRule="auto"/>
      <w:jc w:val="left"/>
      <w:textAlignment w:val="baseline"/>
    </w:pPr>
    <w:rPr>
      <w:rFonts w:ascii="宋体"/>
      <w:kern w:val="0"/>
      <w:sz w:val="21"/>
      <w:szCs w:val="20"/>
    </w:rPr>
  </w:style>
  <w:style w:type="paragraph" w:customStyle="1" w:styleId="3214">
    <w:name w:val="正文21"/>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15">
    <w:name w:val="Char Char Char Char Char Char Char2"/>
    <w:basedOn w:val="1"/>
    <w:qFormat/>
    <w:uiPriority w:val="99"/>
    <w:pPr>
      <w:spacing w:line="240" w:lineRule="auto"/>
    </w:pPr>
    <w:rPr>
      <w:sz w:val="21"/>
    </w:rPr>
  </w:style>
  <w:style w:type="paragraph" w:customStyle="1" w:styleId="3216">
    <w:name w:val="图题214"/>
    <w:basedOn w:val="185"/>
    <w:next w:val="185"/>
    <w:qFormat/>
    <w:uiPriority w:val="99"/>
    <w:pPr>
      <w:ind w:firstLine="0"/>
      <w:jc w:val="center"/>
    </w:pPr>
    <w:rPr>
      <w:rFonts w:ascii="黑体" w:hAnsi="宋体" w:eastAsia="黑体"/>
      <w:b/>
      <w:bCs/>
    </w:rPr>
  </w:style>
  <w:style w:type="paragraph" w:customStyle="1" w:styleId="3217">
    <w:name w:val="表题313"/>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218">
    <w:name w:val="表内文字小213"/>
    <w:basedOn w:val="1"/>
    <w:qFormat/>
    <w:uiPriority w:val="99"/>
    <w:pPr>
      <w:spacing w:line="240" w:lineRule="auto"/>
      <w:jc w:val="center"/>
      <w:textAlignment w:val="baseline"/>
    </w:pPr>
    <w:rPr>
      <w:rFonts w:ascii="宋体" w:hAnsi="Times"/>
      <w:bCs/>
      <w:color w:val="000000"/>
      <w:sz w:val="21"/>
      <w:szCs w:val="20"/>
    </w:rPr>
  </w:style>
  <w:style w:type="paragraph" w:customStyle="1" w:styleId="3219">
    <w:name w:val="Char610"/>
    <w:basedOn w:val="1"/>
    <w:qFormat/>
    <w:uiPriority w:val="0"/>
    <w:pPr>
      <w:spacing w:beforeLines="50"/>
    </w:pPr>
    <w:rPr>
      <w:rFonts w:ascii="黑体" w:eastAsia="黑体"/>
      <w:sz w:val="32"/>
      <w:szCs w:val="32"/>
    </w:rPr>
  </w:style>
  <w:style w:type="paragraph" w:customStyle="1" w:styleId="3220">
    <w:name w:val="表题211"/>
    <w:basedOn w:val="1"/>
    <w:qFormat/>
    <w:uiPriority w:val="99"/>
    <w:pPr>
      <w:widowControl/>
      <w:spacing w:line="240" w:lineRule="auto"/>
      <w:jc w:val="center"/>
    </w:pPr>
    <w:rPr>
      <w:rFonts w:ascii="黑体" w:hAnsi="宋体" w:eastAsia="黑体" w:cs="宋体"/>
      <w:kern w:val="0"/>
    </w:rPr>
  </w:style>
  <w:style w:type="paragraph" w:customStyle="1" w:styleId="3221">
    <w:name w:val="表内宋5中11"/>
    <w:basedOn w:val="1"/>
    <w:qFormat/>
    <w:uiPriority w:val="99"/>
    <w:pPr>
      <w:spacing w:line="240" w:lineRule="auto"/>
      <w:jc w:val="center"/>
      <w:textAlignment w:val="baseline"/>
    </w:pPr>
    <w:rPr>
      <w:rFonts w:ascii="宋体" w:hAnsi="宋体" w:cs="宋体"/>
      <w:kern w:val="0"/>
      <w:sz w:val="21"/>
      <w:szCs w:val="20"/>
    </w:rPr>
  </w:style>
  <w:style w:type="paragraph" w:customStyle="1" w:styleId="3222">
    <w:name w:val="标题411"/>
    <w:basedOn w:val="1"/>
    <w:qFormat/>
    <w:uiPriority w:val="99"/>
    <w:pPr>
      <w:spacing w:line="300" w:lineRule="auto"/>
      <w:jc w:val="left"/>
    </w:pPr>
    <w:rPr>
      <w:rFonts w:ascii="黑体" w:hAnsi="宋体" w:eastAsia="黑体" w:cs="宋体"/>
      <w:bCs/>
      <w:szCs w:val="20"/>
    </w:rPr>
  </w:style>
  <w:style w:type="paragraph" w:customStyle="1" w:styleId="3223">
    <w:name w:val="表题141"/>
    <w:basedOn w:val="1"/>
    <w:qFormat/>
    <w:uiPriority w:val="99"/>
    <w:pPr>
      <w:widowControl/>
      <w:spacing w:line="240" w:lineRule="auto"/>
      <w:jc w:val="center"/>
    </w:pPr>
    <w:rPr>
      <w:rFonts w:ascii="黑体" w:hAnsi="宋体" w:eastAsia="黑体" w:cs="宋体"/>
      <w:kern w:val="0"/>
    </w:rPr>
  </w:style>
  <w:style w:type="paragraph" w:customStyle="1" w:styleId="3224">
    <w:name w:val="表内文字小8"/>
    <w:basedOn w:val="1"/>
    <w:qFormat/>
    <w:uiPriority w:val="99"/>
    <w:pPr>
      <w:spacing w:line="240" w:lineRule="auto"/>
      <w:jc w:val="center"/>
    </w:pPr>
    <w:rPr>
      <w:rFonts w:ascii="宋体" w:hAnsi="Times" w:cs="宋体"/>
      <w:sz w:val="21"/>
      <w:szCs w:val="20"/>
    </w:rPr>
  </w:style>
  <w:style w:type="paragraph" w:customStyle="1" w:styleId="3225">
    <w:name w:val="表内5中"/>
    <w:basedOn w:val="1"/>
    <w:qFormat/>
    <w:uiPriority w:val="99"/>
    <w:pPr>
      <w:spacing w:line="240" w:lineRule="auto"/>
      <w:jc w:val="center"/>
    </w:pPr>
    <w:rPr>
      <w:rFonts w:ascii="宋体" w:hAnsi="宋体" w:cs="Arial"/>
      <w:snapToGrid w:val="0"/>
      <w:color w:val="000000"/>
      <w:sz w:val="21"/>
      <w:szCs w:val="21"/>
    </w:rPr>
  </w:style>
  <w:style w:type="paragraph" w:customStyle="1" w:styleId="3226">
    <w:name w:val="表中文字5"/>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227">
    <w:name w:val="Char23"/>
    <w:basedOn w:val="1"/>
    <w:qFormat/>
    <w:uiPriority w:val="99"/>
    <w:pPr>
      <w:spacing w:line="240" w:lineRule="auto"/>
      <w:ind w:left="-48"/>
    </w:pPr>
    <w:rPr>
      <w:sz w:val="21"/>
    </w:rPr>
  </w:style>
  <w:style w:type="paragraph" w:customStyle="1" w:styleId="3228">
    <w:name w:val="黑体三号4"/>
    <w:basedOn w:val="185"/>
    <w:qFormat/>
    <w:uiPriority w:val="99"/>
    <w:pPr>
      <w:jc w:val="center"/>
    </w:pPr>
    <w:rPr>
      <w:rFonts w:ascii="黑体" w:hAnsi="宋体" w:eastAsia="黑体"/>
      <w:b/>
      <w:bCs/>
      <w:sz w:val="32"/>
      <w:szCs w:val="20"/>
    </w:rPr>
  </w:style>
  <w:style w:type="paragraph" w:customStyle="1" w:styleId="3229">
    <w:name w:val="Char7"/>
    <w:basedOn w:val="1"/>
    <w:qFormat/>
    <w:uiPriority w:val="99"/>
    <w:pPr>
      <w:spacing w:line="240" w:lineRule="auto"/>
      <w:ind w:left="-48"/>
    </w:pPr>
    <w:rPr>
      <w:sz w:val="21"/>
    </w:rPr>
  </w:style>
  <w:style w:type="paragraph" w:customStyle="1" w:styleId="3230">
    <w:name w:val="正文格式7"/>
    <w:basedOn w:val="1"/>
    <w:qFormat/>
    <w:uiPriority w:val="99"/>
    <w:pPr>
      <w:ind w:firstLine="482"/>
    </w:pPr>
    <w:rPr>
      <w:rFonts w:ascii="宋体" w:hAnsi="宋体"/>
    </w:rPr>
  </w:style>
  <w:style w:type="paragraph" w:customStyle="1" w:styleId="3231">
    <w:name w:val="图题7"/>
    <w:basedOn w:val="185"/>
    <w:next w:val="185"/>
    <w:qFormat/>
    <w:uiPriority w:val="99"/>
    <w:pPr>
      <w:ind w:firstLine="0"/>
      <w:jc w:val="center"/>
    </w:pPr>
    <w:rPr>
      <w:rFonts w:ascii="黑体" w:hAnsi="宋体" w:eastAsia="黑体"/>
      <w:b/>
      <w:bCs/>
    </w:rPr>
  </w:style>
  <w:style w:type="paragraph" w:customStyle="1" w:styleId="3232">
    <w:name w:val="表格内字体7"/>
    <w:basedOn w:val="185"/>
    <w:next w:val="185"/>
    <w:qFormat/>
    <w:uiPriority w:val="99"/>
    <w:pPr>
      <w:spacing w:line="240" w:lineRule="auto"/>
      <w:ind w:firstLine="0"/>
      <w:jc w:val="center"/>
    </w:pPr>
    <w:rPr>
      <w:rFonts w:hAnsi="宋体" w:cs="Times New Roman"/>
      <w:sz w:val="21"/>
    </w:rPr>
  </w:style>
  <w:style w:type="paragraph" w:customStyle="1" w:styleId="3233">
    <w:name w:val="正文格式＝6"/>
    <w:basedOn w:val="185"/>
    <w:next w:val="185"/>
    <w:qFormat/>
    <w:uiPriority w:val="99"/>
    <w:rPr>
      <w:rFonts w:hAnsi="宋体" w:cs="Times New Roman"/>
    </w:rPr>
  </w:style>
  <w:style w:type="paragraph" w:customStyle="1" w:styleId="3234">
    <w:name w:val="样式 标题 3 + 段前: 12 磅3"/>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3235">
    <w:name w:val="燕山正文4"/>
    <w:basedOn w:val="1"/>
    <w:qFormat/>
    <w:uiPriority w:val="99"/>
    <w:pPr>
      <w:tabs>
        <w:tab w:val="left" w:pos="4680"/>
      </w:tabs>
      <w:spacing w:line="480" w:lineRule="exact"/>
    </w:pPr>
    <w:rPr>
      <w:rFonts w:ascii="宋体" w:cs="宋体"/>
    </w:rPr>
  </w:style>
  <w:style w:type="paragraph" w:customStyle="1" w:styleId="3236">
    <w:name w:val="默认段落字体 Para Char Char Char Char5"/>
    <w:basedOn w:val="1"/>
    <w:qFormat/>
    <w:uiPriority w:val="99"/>
    <w:pPr>
      <w:spacing w:line="240" w:lineRule="auto"/>
    </w:pPr>
    <w:rPr>
      <w:sz w:val="21"/>
    </w:rPr>
  </w:style>
  <w:style w:type="paragraph" w:customStyle="1" w:styleId="3237">
    <w:name w:val="图题33"/>
    <w:basedOn w:val="185"/>
    <w:next w:val="185"/>
    <w:qFormat/>
    <w:uiPriority w:val="99"/>
    <w:pPr>
      <w:ind w:firstLine="0"/>
      <w:jc w:val="center"/>
    </w:pPr>
    <w:rPr>
      <w:rFonts w:ascii="黑体" w:hAnsi="宋体" w:eastAsia="黑体"/>
      <w:b/>
      <w:bCs/>
    </w:rPr>
  </w:style>
  <w:style w:type="paragraph" w:customStyle="1" w:styleId="3238">
    <w:name w:val="Char10"/>
    <w:basedOn w:val="1"/>
    <w:qFormat/>
    <w:uiPriority w:val="99"/>
    <w:rPr>
      <w:sz w:val="21"/>
    </w:rPr>
  </w:style>
  <w:style w:type="paragraph" w:customStyle="1" w:styleId="3239">
    <w:name w:val="表内5414"/>
    <w:basedOn w:val="1"/>
    <w:qFormat/>
    <w:uiPriority w:val="99"/>
    <w:pPr>
      <w:spacing w:line="300" w:lineRule="auto"/>
      <w:jc w:val="center"/>
    </w:pPr>
    <w:rPr>
      <w:rFonts w:ascii="宋体" w:hAnsi="宋体" w:cs="宋体"/>
      <w:sz w:val="21"/>
      <w:szCs w:val="20"/>
    </w:rPr>
  </w:style>
  <w:style w:type="paragraph" w:customStyle="1" w:styleId="3240">
    <w:name w:val="表内文字小1"/>
    <w:basedOn w:val="1"/>
    <w:qFormat/>
    <w:uiPriority w:val="99"/>
    <w:pPr>
      <w:spacing w:line="240" w:lineRule="auto"/>
      <w:jc w:val="center"/>
    </w:pPr>
    <w:rPr>
      <w:rFonts w:ascii="宋体" w:hAnsi="Times"/>
      <w:sz w:val="21"/>
      <w:szCs w:val="20"/>
    </w:rPr>
  </w:style>
  <w:style w:type="paragraph" w:customStyle="1" w:styleId="3241">
    <w:name w:val="表内59"/>
    <w:basedOn w:val="1"/>
    <w:qFormat/>
    <w:uiPriority w:val="99"/>
    <w:pPr>
      <w:spacing w:line="300" w:lineRule="auto"/>
      <w:jc w:val="center"/>
    </w:pPr>
    <w:rPr>
      <w:rFonts w:ascii="宋体"/>
      <w:snapToGrid w:val="0"/>
      <w:sz w:val="21"/>
      <w:szCs w:val="21"/>
    </w:rPr>
  </w:style>
  <w:style w:type="paragraph" w:customStyle="1" w:styleId="3242">
    <w:name w:val="表内宋53"/>
    <w:basedOn w:val="1366"/>
    <w:qFormat/>
    <w:uiPriority w:val="99"/>
    <w:pPr>
      <w:widowControl/>
      <w:autoSpaceDE w:val="0"/>
      <w:autoSpaceDN w:val="0"/>
      <w:jc w:val="left"/>
      <w:textAlignment w:val="auto"/>
    </w:pPr>
    <w:rPr>
      <w:color w:val="auto"/>
      <w:w w:val="90"/>
    </w:rPr>
  </w:style>
  <w:style w:type="paragraph" w:customStyle="1" w:styleId="3243">
    <w:name w:val="默认段落字体 Para Char4"/>
    <w:basedOn w:val="1"/>
    <w:next w:val="1"/>
    <w:qFormat/>
    <w:uiPriority w:val="99"/>
    <w:pPr>
      <w:spacing w:line="480" w:lineRule="exact"/>
      <w:ind w:firstLine="200"/>
      <w:jc w:val="left"/>
    </w:pPr>
    <w:rPr>
      <w:rFonts w:ascii="宋体" w:hAnsi="宋体" w:eastAsia="汉鼎简书宋" w:cs="宋体"/>
      <w:sz w:val="28"/>
    </w:rPr>
  </w:style>
  <w:style w:type="paragraph" w:customStyle="1" w:styleId="3244">
    <w:name w:val="正文格式＝411"/>
    <w:basedOn w:val="185"/>
    <w:next w:val="185"/>
    <w:qFormat/>
    <w:uiPriority w:val="99"/>
    <w:rPr>
      <w:rFonts w:hAnsi="宋体" w:cs="Times New Roman"/>
    </w:rPr>
  </w:style>
  <w:style w:type="paragraph" w:customStyle="1" w:styleId="3245">
    <w:name w:val="样式 标题 4无效格式无效格式1河石管道4H4H41小小节河石管道41H42H411小小节1河石管道42..."/>
    <w:basedOn w:val="6"/>
    <w:qFormat/>
    <w:uiPriority w:val="99"/>
    <w:pPr>
      <w:spacing w:before="0" w:after="0" w:line="360" w:lineRule="auto"/>
      <w:ind w:left="664" w:hanging="864"/>
    </w:pPr>
    <w:rPr>
      <w:rFonts w:ascii="黑体" w:hAnsi="Arial" w:eastAsia="黑体"/>
      <w:b w:val="0"/>
      <w:bCs w:val="0"/>
      <w:szCs w:val="24"/>
      <w:lang w:val="zh-CN"/>
    </w:rPr>
  </w:style>
  <w:style w:type="paragraph" w:customStyle="1" w:styleId="3246">
    <w:name w:val="样式 标题 4无效格式无效格式1河石管道4H4H41小小节河石管道41H42H411小小节1河石管道42...1"/>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3247">
    <w:name w:val="表内52"/>
    <w:basedOn w:val="1"/>
    <w:qFormat/>
    <w:uiPriority w:val="99"/>
    <w:pPr>
      <w:spacing w:line="300" w:lineRule="auto"/>
      <w:jc w:val="left"/>
    </w:pPr>
    <w:rPr>
      <w:rFonts w:ascii="宋体"/>
      <w:sz w:val="18"/>
      <w:szCs w:val="20"/>
    </w:rPr>
  </w:style>
  <w:style w:type="paragraph" w:customStyle="1" w:styleId="3248">
    <w:name w:val="正文格式8"/>
    <w:basedOn w:val="1"/>
    <w:qFormat/>
    <w:uiPriority w:val="99"/>
    <w:pPr>
      <w:ind w:firstLine="482"/>
    </w:pPr>
    <w:rPr>
      <w:rFonts w:ascii="宋体" w:hAnsi="宋体"/>
    </w:rPr>
  </w:style>
  <w:style w:type="paragraph" w:customStyle="1" w:styleId="3249">
    <w:name w:val="正文格式9"/>
    <w:basedOn w:val="1"/>
    <w:qFormat/>
    <w:uiPriority w:val="99"/>
    <w:pPr>
      <w:ind w:firstLine="482"/>
    </w:pPr>
    <w:rPr>
      <w:rFonts w:ascii="宋体" w:hAnsi="宋体"/>
    </w:rPr>
  </w:style>
  <w:style w:type="paragraph" w:customStyle="1" w:styleId="3250">
    <w:name w:val="Char41"/>
    <w:basedOn w:val="1"/>
    <w:qFormat/>
    <w:uiPriority w:val="99"/>
    <w:pPr>
      <w:spacing w:line="240" w:lineRule="auto"/>
      <w:ind w:left="-48"/>
    </w:pPr>
    <w:rPr>
      <w:sz w:val="21"/>
    </w:rPr>
  </w:style>
  <w:style w:type="paragraph" w:customStyle="1" w:styleId="3251">
    <w:name w:val="Char Char Char Char Char Char Char3"/>
    <w:basedOn w:val="1"/>
    <w:qFormat/>
    <w:uiPriority w:val="99"/>
    <w:pPr>
      <w:spacing w:line="240" w:lineRule="auto"/>
    </w:pPr>
    <w:rPr>
      <w:sz w:val="21"/>
    </w:rPr>
  </w:style>
  <w:style w:type="paragraph" w:customStyle="1" w:styleId="3252">
    <w:name w:val="Char Char2 Char Char Char Char2"/>
    <w:basedOn w:val="1"/>
    <w:qFormat/>
    <w:uiPriority w:val="99"/>
    <w:pPr>
      <w:spacing w:line="240" w:lineRule="auto"/>
    </w:pPr>
    <w:rPr>
      <w:sz w:val="21"/>
    </w:rPr>
  </w:style>
  <w:style w:type="paragraph" w:customStyle="1" w:styleId="3253">
    <w:name w:val="Char Char Char Char1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3254">
    <w:name w:val="Char Char Char Char Char Char Char13"/>
    <w:basedOn w:val="1"/>
    <w:qFormat/>
    <w:uiPriority w:val="99"/>
    <w:pPr>
      <w:spacing w:line="240" w:lineRule="auto"/>
    </w:pPr>
    <w:rPr>
      <w:sz w:val="21"/>
    </w:rPr>
  </w:style>
  <w:style w:type="paragraph" w:customStyle="1" w:styleId="3255">
    <w:name w:val="xl633"/>
    <w:basedOn w:val="1"/>
    <w:qFormat/>
    <w:uiPriority w:val="99"/>
    <w:pPr>
      <w:widowControl/>
      <w:spacing w:before="100" w:beforeAutospacing="1" w:after="100" w:afterAutospacing="1" w:line="240" w:lineRule="auto"/>
      <w:jc w:val="center"/>
      <w:textAlignment w:val="center"/>
    </w:pPr>
    <w:rPr>
      <w:rFonts w:hint="eastAsia" w:ascii="黑体" w:hAnsi="宋体" w:eastAsia="黑体"/>
      <w:kern w:val="0"/>
    </w:rPr>
  </w:style>
  <w:style w:type="paragraph" w:customStyle="1" w:styleId="3256">
    <w:name w:val="Char Char Char Char Char Char Char21"/>
    <w:basedOn w:val="1"/>
    <w:qFormat/>
    <w:uiPriority w:val="99"/>
    <w:pPr>
      <w:spacing w:line="240" w:lineRule="auto"/>
    </w:pPr>
    <w:rPr>
      <w:sz w:val="21"/>
    </w:rPr>
  </w:style>
  <w:style w:type="paragraph" w:customStyle="1" w:styleId="3257">
    <w:name w:val="Char42"/>
    <w:basedOn w:val="1"/>
    <w:qFormat/>
    <w:uiPriority w:val="99"/>
    <w:pPr>
      <w:spacing w:line="240" w:lineRule="auto"/>
      <w:ind w:left="-48"/>
    </w:pPr>
    <w:rPr>
      <w:sz w:val="21"/>
    </w:rPr>
  </w:style>
  <w:style w:type="paragraph" w:customStyle="1" w:styleId="3258">
    <w:name w:val="Char Char Char Char Char Char Char4"/>
    <w:basedOn w:val="1"/>
    <w:qFormat/>
    <w:uiPriority w:val="99"/>
    <w:pPr>
      <w:spacing w:line="240" w:lineRule="auto"/>
    </w:pPr>
    <w:rPr>
      <w:sz w:val="21"/>
    </w:rPr>
  </w:style>
  <w:style w:type="paragraph" w:customStyle="1" w:styleId="3259">
    <w:name w:val="Char Char2 Char Char Char Char3"/>
    <w:basedOn w:val="1"/>
    <w:qFormat/>
    <w:uiPriority w:val="99"/>
    <w:pPr>
      <w:spacing w:line="240" w:lineRule="auto"/>
    </w:pPr>
    <w:rPr>
      <w:sz w:val="21"/>
    </w:rPr>
  </w:style>
  <w:style w:type="paragraph" w:customStyle="1" w:styleId="3260">
    <w:name w:val="表内541411"/>
    <w:basedOn w:val="1"/>
    <w:qFormat/>
    <w:uiPriority w:val="99"/>
    <w:pPr>
      <w:spacing w:line="300" w:lineRule="auto"/>
      <w:jc w:val="center"/>
    </w:pPr>
    <w:rPr>
      <w:rFonts w:ascii="宋体" w:hAnsi="宋体" w:cs="宋体"/>
      <w:sz w:val="21"/>
      <w:szCs w:val="20"/>
    </w:rPr>
  </w:style>
  <w:style w:type="paragraph" w:customStyle="1" w:styleId="3261">
    <w:name w:val="Char15"/>
    <w:basedOn w:val="1"/>
    <w:qFormat/>
    <w:uiPriority w:val="99"/>
    <w:pPr>
      <w:spacing w:line="240" w:lineRule="auto"/>
      <w:ind w:left="-48"/>
    </w:pPr>
    <w:rPr>
      <w:sz w:val="21"/>
    </w:rPr>
  </w:style>
  <w:style w:type="paragraph" w:customStyle="1" w:styleId="3262">
    <w:name w:val="样式21"/>
    <w:basedOn w:val="1"/>
    <w:qFormat/>
    <w:uiPriority w:val="99"/>
    <w:pPr>
      <w:jc w:val="center"/>
      <w:textAlignment w:val="baseline"/>
      <w:outlineLvl w:val="0"/>
    </w:pPr>
    <w:rPr>
      <w:kern w:val="0"/>
      <w:sz w:val="21"/>
      <w:szCs w:val="20"/>
    </w:rPr>
  </w:style>
  <w:style w:type="paragraph" w:customStyle="1" w:styleId="3263">
    <w:name w:val="表格内字体311"/>
    <w:basedOn w:val="185"/>
    <w:next w:val="185"/>
    <w:qFormat/>
    <w:uiPriority w:val="99"/>
    <w:pPr>
      <w:spacing w:line="240" w:lineRule="auto"/>
      <w:ind w:firstLine="0"/>
      <w:jc w:val="center"/>
    </w:pPr>
    <w:rPr>
      <w:rFonts w:hAnsi="宋体" w:cs="Times New Roman"/>
      <w:sz w:val="21"/>
    </w:rPr>
  </w:style>
  <w:style w:type="paragraph" w:customStyle="1" w:styleId="3264">
    <w:name w:val="Char16"/>
    <w:basedOn w:val="1"/>
    <w:qFormat/>
    <w:uiPriority w:val="99"/>
    <w:pPr>
      <w:spacing w:line="240" w:lineRule="auto"/>
      <w:ind w:left="-48"/>
    </w:pPr>
    <w:rPr>
      <w:sz w:val="21"/>
    </w:rPr>
  </w:style>
  <w:style w:type="paragraph" w:customStyle="1" w:styleId="3265">
    <w:name w:val="图表名称3"/>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266">
    <w:name w:val="图题711"/>
    <w:basedOn w:val="185"/>
    <w:next w:val="185"/>
    <w:qFormat/>
    <w:uiPriority w:val="99"/>
    <w:pPr>
      <w:ind w:firstLine="0"/>
      <w:jc w:val="center"/>
    </w:pPr>
    <w:rPr>
      <w:rFonts w:ascii="黑体" w:hAnsi="宋体" w:eastAsia="黑体"/>
      <w:b/>
      <w:bCs/>
    </w:rPr>
  </w:style>
  <w:style w:type="paragraph" w:customStyle="1" w:styleId="3267">
    <w:name w:val="Char611"/>
    <w:basedOn w:val="1"/>
    <w:qFormat/>
    <w:uiPriority w:val="99"/>
    <w:pPr>
      <w:spacing w:beforeLines="50"/>
    </w:pPr>
    <w:rPr>
      <w:rFonts w:ascii="黑体" w:eastAsia="黑体"/>
      <w:sz w:val="32"/>
      <w:szCs w:val="32"/>
    </w:rPr>
  </w:style>
  <w:style w:type="paragraph" w:customStyle="1" w:styleId="3268">
    <w:name w:val="Char Char Char Char Char Char Char22"/>
    <w:basedOn w:val="1"/>
    <w:qFormat/>
    <w:uiPriority w:val="99"/>
    <w:pPr>
      <w:spacing w:line="240" w:lineRule="auto"/>
    </w:pPr>
    <w:rPr>
      <w:sz w:val="21"/>
    </w:rPr>
  </w:style>
  <w:style w:type="paragraph" w:customStyle="1" w:styleId="3269">
    <w:name w:val="正文格式＝611"/>
    <w:basedOn w:val="185"/>
    <w:next w:val="185"/>
    <w:qFormat/>
    <w:uiPriority w:val="99"/>
    <w:rPr>
      <w:rFonts w:hAnsi="宋体" w:cs="Times New Roman"/>
    </w:rPr>
  </w:style>
  <w:style w:type="paragraph" w:customStyle="1" w:styleId="3270">
    <w:name w:val="图题8"/>
    <w:basedOn w:val="185"/>
    <w:next w:val="185"/>
    <w:qFormat/>
    <w:uiPriority w:val="99"/>
    <w:pPr>
      <w:ind w:firstLine="0"/>
      <w:jc w:val="center"/>
    </w:pPr>
    <w:rPr>
      <w:rFonts w:ascii="黑体" w:hAnsi="宋体" w:eastAsia="黑体"/>
      <w:b/>
      <w:bCs/>
    </w:rPr>
  </w:style>
  <w:style w:type="paragraph" w:customStyle="1" w:styleId="3271">
    <w:name w:val="表中文字111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272">
    <w:name w:val="表211"/>
    <w:basedOn w:val="1"/>
    <w:qFormat/>
    <w:uiPriority w:val="99"/>
    <w:pPr>
      <w:spacing w:line="240" w:lineRule="auto"/>
      <w:jc w:val="center"/>
    </w:pPr>
    <w:rPr>
      <w:rFonts w:eastAsia="仿宋_GB2312"/>
    </w:rPr>
  </w:style>
  <w:style w:type="paragraph" w:customStyle="1" w:styleId="3273">
    <w:name w:val="Char121"/>
    <w:basedOn w:val="1"/>
    <w:qFormat/>
    <w:uiPriority w:val="99"/>
    <w:rPr>
      <w:sz w:val="21"/>
    </w:rPr>
  </w:style>
  <w:style w:type="paragraph" w:customStyle="1" w:styleId="3274">
    <w:name w:val="样式23"/>
    <w:basedOn w:val="1"/>
    <w:qFormat/>
    <w:uiPriority w:val="99"/>
    <w:pPr>
      <w:jc w:val="center"/>
      <w:textAlignment w:val="baseline"/>
      <w:outlineLvl w:val="0"/>
    </w:pPr>
    <w:rPr>
      <w:kern w:val="0"/>
      <w:sz w:val="21"/>
      <w:szCs w:val="20"/>
    </w:rPr>
  </w:style>
  <w:style w:type="paragraph" w:customStyle="1" w:styleId="3275">
    <w:name w:val="封面标准文稿编辑信息1"/>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3276">
    <w:name w:val="样式 表内小5 + 黑体 加粗 倾斜 下划线1"/>
    <w:basedOn w:val="1"/>
    <w:qFormat/>
    <w:uiPriority w:val="99"/>
    <w:pPr>
      <w:spacing w:line="300" w:lineRule="auto"/>
      <w:jc w:val="left"/>
    </w:pPr>
    <w:rPr>
      <w:rFonts w:ascii="黑体" w:hAnsi="黑体" w:eastAsia="黑体"/>
      <w:b/>
      <w:bCs/>
      <w:i/>
      <w:iCs/>
      <w:sz w:val="18"/>
      <w:u w:val="single"/>
    </w:rPr>
  </w:style>
  <w:style w:type="paragraph" w:customStyle="1" w:styleId="3277">
    <w:name w:val="表内5中2"/>
    <w:basedOn w:val="1"/>
    <w:qFormat/>
    <w:uiPriority w:val="99"/>
    <w:pPr>
      <w:spacing w:line="240" w:lineRule="auto"/>
      <w:jc w:val="center"/>
    </w:pPr>
    <w:rPr>
      <w:rFonts w:ascii="宋体" w:hAnsi="宋体" w:cs="Arial"/>
      <w:snapToGrid w:val="0"/>
      <w:color w:val="000000"/>
      <w:sz w:val="21"/>
      <w:szCs w:val="21"/>
    </w:rPr>
  </w:style>
  <w:style w:type="paragraph" w:customStyle="1" w:styleId="3278">
    <w:name w:val="福建正文缩进1"/>
    <w:basedOn w:val="21"/>
    <w:qFormat/>
    <w:uiPriority w:val="99"/>
    <w:pPr>
      <w:spacing w:line="360" w:lineRule="auto"/>
      <w:ind w:firstLine="567" w:firstLineChars="0"/>
    </w:pPr>
    <w:rPr>
      <w:rFonts w:ascii="宋体"/>
      <w:kern w:val="0"/>
      <w:sz w:val="24"/>
    </w:rPr>
  </w:style>
  <w:style w:type="paragraph" w:customStyle="1" w:styleId="3279">
    <w:name w:val="Char Char Char Char Char Char Char2111"/>
    <w:basedOn w:val="1"/>
    <w:qFormat/>
    <w:uiPriority w:val="99"/>
    <w:pPr>
      <w:spacing w:line="240" w:lineRule="auto"/>
    </w:pPr>
    <w:rPr>
      <w:sz w:val="21"/>
    </w:rPr>
  </w:style>
  <w:style w:type="paragraph" w:customStyle="1" w:styleId="3280">
    <w:name w:val="表内文字小3"/>
    <w:basedOn w:val="1"/>
    <w:qFormat/>
    <w:uiPriority w:val="99"/>
    <w:pPr>
      <w:spacing w:line="240" w:lineRule="auto"/>
      <w:jc w:val="center"/>
    </w:pPr>
    <w:rPr>
      <w:rFonts w:ascii="宋体" w:hAnsi="Times"/>
      <w:sz w:val="21"/>
      <w:szCs w:val="20"/>
    </w:rPr>
  </w:style>
  <w:style w:type="paragraph" w:customStyle="1" w:styleId="3281">
    <w:name w:val="表内591"/>
    <w:basedOn w:val="1"/>
    <w:qFormat/>
    <w:uiPriority w:val="99"/>
    <w:pPr>
      <w:spacing w:line="300" w:lineRule="auto"/>
      <w:jc w:val="center"/>
    </w:pPr>
    <w:rPr>
      <w:rFonts w:ascii="宋体"/>
      <w:snapToGrid w:val="0"/>
      <w:sz w:val="21"/>
      <w:szCs w:val="21"/>
    </w:rPr>
  </w:style>
  <w:style w:type="paragraph" w:customStyle="1" w:styleId="3282">
    <w:name w:val="表内小5中1"/>
    <w:basedOn w:val="1"/>
    <w:qFormat/>
    <w:uiPriority w:val="99"/>
    <w:pPr>
      <w:spacing w:line="240" w:lineRule="auto"/>
      <w:jc w:val="center"/>
    </w:pPr>
    <w:rPr>
      <w:rFonts w:ascii="宋体" w:hAnsi="宋体"/>
      <w:sz w:val="18"/>
      <w:szCs w:val="20"/>
    </w:rPr>
  </w:style>
  <w:style w:type="paragraph" w:customStyle="1" w:styleId="3283">
    <w:name w:val="表内5中41"/>
    <w:basedOn w:val="1"/>
    <w:qFormat/>
    <w:uiPriority w:val="99"/>
    <w:pPr>
      <w:spacing w:line="240" w:lineRule="auto"/>
      <w:jc w:val="center"/>
    </w:pPr>
    <w:rPr>
      <w:rFonts w:ascii="宋体"/>
      <w:bCs/>
      <w:sz w:val="21"/>
      <w:szCs w:val="20"/>
    </w:rPr>
  </w:style>
  <w:style w:type="paragraph" w:customStyle="1" w:styleId="3284">
    <w:name w:val="燕山正文131"/>
    <w:basedOn w:val="1"/>
    <w:qFormat/>
    <w:uiPriority w:val="99"/>
    <w:pPr>
      <w:tabs>
        <w:tab w:val="left" w:pos="4680"/>
      </w:tabs>
      <w:ind w:firstLine="480"/>
    </w:pPr>
    <w:rPr>
      <w:rFonts w:ascii="宋体" w:hAnsi="宋体" w:cs="宋体"/>
      <w:bCs/>
      <w:color w:val="000000"/>
    </w:rPr>
  </w:style>
  <w:style w:type="paragraph" w:customStyle="1" w:styleId="3285">
    <w:name w:val="样式 标题 4无效格式无效格式1河石管道4H4H41小小节河石管道41H42H411小小节1河石管道42...2"/>
    <w:basedOn w:val="6"/>
    <w:qFormat/>
    <w:uiPriority w:val="99"/>
    <w:pPr>
      <w:spacing w:before="0" w:after="0" w:line="360" w:lineRule="auto"/>
      <w:ind w:left="1404" w:hanging="864"/>
    </w:pPr>
    <w:rPr>
      <w:rFonts w:ascii="黑体" w:hAnsi="Arial" w:eastAsia="黑体"/>
      <w:b w:val="0"/>
      <w:bCs w:val="0"/>
      <w:szCs w:val="24"/>
      <w:lang w:val="zh-CN"/>
    </w:rPr>
  </w:style>
  <w:style w:type="paragraph" w:customStyle="1" w:styleId="3286">
    <w:name w:val="默认段落字体 Para Char Char Char Char Char3"/>
    <w:basedOn w:val="1"/>
    <w:qFormat/>
    <w:uiPriority w:val="99"/>
    <w:pPr>
      <w:spacing w:line="240" w:lineRule="auto"/>
    </w:pPr>
    <w:rPr>
      <w:sz w:val="21"/>
    </w:rPr>
  </w:style>
  <w:style w:type="paragraph" w:customStyle="1" w:styleId="3287">
    <w:name w:val="附件4"/>
    <w:basedOn w:val="3"/>
    <w:next w:val="185"/>
    <w:qFormat/>
    <w:uiPriority w:val="99"/>
    <w:pPr>
      <w:tabs>
        <w:tab w:val="left" w:pos="1566"/>
      </w:tabs>
      <w:spacing w:after="210"/>
      <w:jc w:val="left"/>
    </w:pPr>
    <w:rPr>
      <w:rFonts w:ascii="黑体" w:hAnsi="宋体" w:eastAsia="黑体"/>
      <w:bCs w:val="0"/>
      <w:sz w:val="32"/>
      <w:szCs w:val="32"/>
    </w:rPr>
  </w:style>
  <w:style w:type="paragraph" w:customStyle="1" w:styleId="3288">
    <w:name w:val="标准11"/>
    <w:basedOn w:val="1"/>
    <w:qFormat/>
    <w:uiPriority w:val="99"/>
    <w:pPr>
      <w:spacing w:before="120" w:line="336" w:lineRule="auto"/>
      <w:jc w:val="center"/>
      <w:textAlignment w:val="baseline"/>
    </w:pPr>
    <w:rPr>
      <w:rFonts w:ascii="黑体" w:eastAsia="黑体"/>
      <w:sz w:val="21"/>
      <w:szCs w:val="20"/>
    </w:rPr>
  </w:style>
  <w:style w:type="paragraph" w:customStyle="1" w:styleId="3289">
    <w:name w:val="表题411"/>
    <w:basedOn w:val="35"/>
    <w:qFormat/>
    <w:uiPriority w:val="99"/>
    <w:pPr>
      <w:tabs>
        <w:tab w:val="left" w:pos="4305"/>
      </w:tabs>
      <w:ind w:left="0" w:firstLine="0" w:firstLineChars="0"/>
      <w:jc w:val="center"/>
    </w:pPr>
    <w:rPr>
      <w:rFonts w:ascii="宋体" w:hAnsi="宋体" w:cs="宋体"/>
      <w:color w:val="000000"/>
      <w:sz w:val="24"/>
      <w:lang w:val="zh-CN"/>
    </w:rPr>
  </w:style>
  <w:style w:type="paragraph" w:customStyle="1" w:styleId="3290">
    <w:name w:val="表题314"/>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291">
    <w:name w:val="Char Char Char Char Char Char Char31"/>
    <w:basedOn w:val="1"/>
    <w:qFormat/>
    <w:uiPriority w:val="99"/>
    <w:pPr>
      <w:spacing w:line="240" w:lineRule="auto"/>
    </w:pPr>
    <w:rPr>
      <w:sz w:val="21"/>
    </w:rPr>
  </w:style>
  <w:style w:type="paragraph" w:customStyle="1" w:styleId="3292">
    <w:name w:val="Char Char2 Char Char Char Char21"/>
    <w:basedOn w:val="1"/>
    <w:qFormat/>
    <w:uiPriority w:val="99"/>
    <w:pPr>
      <w:spacing w:line="240" w:lineRule="auto"/>
    </w:pPr>
    <w:rPr>
      <w:sz w:val="21"/>
    </w:rPr>
  </w:style>
  <w:style w:type="paragraph" w:customStyle="1" w:styleId="3293">
    <w:name w:val="正文22"/>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94">
    <w:name w:val="Char131"/>
    <w:basedOn w:val="1"/>
    <w:qFormat/>
    <w:uiPriority w:val="99"/>
    <w:pPr>
      <w:spacing w:line="240" w:lineRule="auto"/>
      <w:ind w:left="-48"/>
    </w:pPr>
    <w:rPr>
      <w:sz w:val="21"/>
    </w:rPr>
  </w:style>
  <w:style w:type="paragraph" w:customStyle="1" w:styleId="3295">
    <w:name w:val="表文字54"/>
    <w:basedOn w:val="1"/>
    <w:qFormat/>
    <w:uiPriority w:val="99"/>
    <w:pPr>
      <w:spacing w:line="240" w:lineRule="auto"/>
      <w:jc w:val="left"/>
      <w:textAlignment w:val="baseline"/>
    </w:pPr>
    <w:rPr>
      <w:rFonts w:ascii="宋体"/>
      <w:kern w:val="0"/>
      <w:sz w:val="21"/>
      <w:szCs w:val="20"/>
    </w:rPr>
  </w:style>
  <w:style w:type="paragraph" w:customStyle="1" w:styleId="3296">
    <w:name w:val="表内文字小314"/>
    <w:basedOn w:val="1"/>
    <w:qFormat/>
    <w:uiPriority w:val="99"/>
    <w:pPr>
      <w:spacing w:line="240" w:lineRule="auto"/>
      <w:jc w:val="center"/>
    </w:pPr>
    <w:rPr>
      <w:rFonts w:ascii="宋体" w:hAnsi="Times" w:cs="宋体"/>
      <w:bCs/>
      <w:color w:val="003366"/>
      <w:sz w:val="21"/>
      <w:szCs w:val="20"/>
    </w:rPr>
  </w:style>
  <w:style w:type="paragraph" w:customStyle="1" w:styleId="3297">
    <w:name w:val="表内宋5112"/>
    <w:basedOn w:val="80"/>
    <w:qFormat/>
    <w:uiPriority w:val="99"/>
    <w:pPr>
      <w:spacing w:before="0" w:beforeAutospacing="0" w:after="0" w:afterAutospacing="0"/>
      <w:jc w:val="both"/>
    </w:pPr>
    <w:rPr>
      <w:rFonts w:cs="宋体"/>
      <w:color w:val="000000"/>
    </w:rPr>
  </w:style>
  <w:style w:type="paragraph" w:customStyle="1" w:styleId="3298">
    <w:name w:val="文本框2"/>
    <w:basedOn w:val="1"/>
    <w:qFormat/>
    <w:uiPriority w:val="99"/>
    <w:pPr>
      <w:spacing w:after="6" w:line="240" w:lineRule="auto"/>
      <w:jc w:val="center"/>
    </w:pPr>
    <w:rPr>
      <w:rFonts w:eastAsia="仿宋_GB2312"/>
      <w:sz w:val="21"/>
    </w:rPr>
  </w:style>
  <w:style w:type="paragraph" w:customStyle="1" w:styleId="3299">
    <w:name w:val="样式 表格内字体 +11"/>
    <w:basedOn w:val="832"/>
    <w:qFormat/>
    <w:uiPriority w:val="99"/>
    <w:pPr>
      <w:spacing w:line="280" w:lineRule="exact"/>
      <w:ind w:firstLine="36"/>
      <w:jc w:val="both"/>
    </w:pPr>
    <w:rPr>
      <w:kern w:val="0"/>
      <w:szCs w:val="24"/>
    </w:rPr>
  </w:style>
  <w:style w:type="paragraph" w:customStyle="1" w:styleId="3300">
    <w:name w:val="表4"/>
    <w:basedOn w:val="1"/>
    <w:qFormat/>
    <w:uiPriority w:val="99"/>
    <w:pPr>
      <w:spacing w:line="240" w:lineRule="auto"/>
      <w:jc w:val="center"/>
    </w:pPr>
    <w:rPr>
      <w:rFonts w:eastAsia="仿宋_GB2312"/>
    </w:rPr>
  </w:style>
  <w:style w:type="paragraph" w:customStyle="1" w:styleId="3301">
    <w:name w:val="黑体三号5"/>
    <w:basedOn w:val="185"/>
    <w:qFormat/>
    <w:uiPriority w:val="99"/>
    <w:pPr>
      <w:jc w:val="center"/>
    </w:pPr>
    <w:rPr>
      <w:rFonts w:ascii="黑体" w:hAnsi="宋体" w:eastAsia="黑体"/>
      <w:b/>
      <w:bCs/>
      <w:sz w:val="32"/>
      <w:szCs w:val="20"/>
    </w:rPr>
  </w:style>
  <w:style w:type="paragraph" w:customStyle="1" w:styleId="3302">
    <w:name w:val="表题311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303">
    <w:name w:val="首行缩进:  0.99 厘米 + 首行缩进:  2 字符1"/>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3304">
    <w:name w:val="图表名称1"/>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305">
    <w:name w:val="正文格式821"/>
    <w:basedOn w:val="1"/>
    <w:qFormat/>
    <w:uiPriority w:val="99"/>
    <w:pPr>
      <w:ind w:firstLine="482"/>
    </w:pPr>
    <w:rPr>
      <w:rFonts w:ascii="宋体" w:hAnsi="宋体"/>
    </w:rPr>
  </w:style>
  <w:style w:type="paragraph" w:customStyle="1" w:styleId="3306">
    <w:name w:val="正文格式＝511"/>
    <w:basedOn w:val="185"/>
    <w:next w:val="185"/>
    <w:qFormat/>
    <w:uiPriority w:val="99"/>
    <w:rPr>
      <w:rFonts w:hAnsi="宋体" w:cs="Times New Roman"/>
    </w:rPr>
  </w:style>
  <w:style w:type="paragraph" w:customStyle="1" w:styleId="3307">
    <w:name w:val="xl2411"/>
    <w:basedOn w:val="1"/>
    <w:qFormat/>
    <w:uiPriority w:val="99"/>
    <w:pPr>
      <w:widowControl/>
      <w:pBdr>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3308">
    <w:name w:val="表内文字边1"/>
    <w:basedOn w:val="1"/>
    <w:qFormat/>
    <w:uiPriority w:val="99"/>
    <w:pPr>
      <w:widowControl/>
      <w:spacing w:line="240" w:lineRule="atLeast"/>
      <w:ind w:left="-21" w:leftChars="-10" w:right="-42" w:rightChars="-20"/>
    </w:pPr>
    <w:rPr>
      <w:rFonts w:ascii="宋体"/>
      <w:kern w:val="0"/>
      <w:sz w:val="21"/>
      <w:szCs w:val="21"/>
    </w:rPr>
  </w:style>
  <w:style w:type="paragraph" w:customStyle="1" w:styleId="3309">
    <w:name w:val="默认段落字体 Para Char Char Char Char Char1"/>
    <w:basedOn w:val="1"/>
    <w:qFormat/>
    <w:uiPriority w:val="99"/>
    <w:pPr>
      <w:spacing w:line="240" w:lineRule="auto"/>
    </w:pPr>
    <w:rPr>
      <w:sz w:val="21"/>
    </w:rPr>
  </w:style>
  <w:style w:type="paragraph" w:customStyle="1" w:styleId="3310">
    <w:name w:val="表题3131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311">
    <w:name w:val="表内宋5中3"/>
    <w:basedOn w:val="1"/>
    <w:qFormat/>
    <w:uiPriority w:val="99"/>
    <w:pPr>
      <w:spacing w:line="240" w:lineRule="auto"/>
      <w:textAlignment w:val="baseline"/>
    </w:pPr>
    <w:rPr>
      <w:color w:val="000000"/>
      <w:kern w:val="0"/>
      <w:sz w:val="21"/>
      <w:szCs w:val="20"/>
    </w:rPr>
  </w:style>
  <w:style w:type="paragraph" w:customStyle="1" w:styleId="3312">
    <w:name w:val="样式 标题 3 + 段前: 12 磅1"/>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3313">
    <w:name w:val="表内宋51"/>
    <w:basedOn w:val="1366"/>
    <w:qFormat/>
    <w:uiPriority w:val="99"/>
    <w:pPr>
      <w:widowControl/>
      <w:autoSpaceDE w:val="0"/>
      <w:autoSpaceDN w:val="0"/>
      <w:jc w:val="left"/>
      <w:textAlignment w:val="auto"/>
    </w:pPr>
    <w:rPr>
      <w:color w:val="auto"/>
      <w:w w:val="90"/>
    </w:rPr>
  </w:style>
  <w:style w:type="paragraph" w:customStyle="1" w:styleId="3314">
    <w:name w:val="Char Char Char Char1 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3315">
    <w:name w:val="Char2211"/>
    <w:basedOn w:val="1"/>
    <w:qFormat/>
    <w:uiPriority w:val="99"/>
    <w:pPr>
      <w:spacing w:beforeLines="50"/>
    </w:pPr>
    <w:rPr>
      <w:rFonts w:ascii="黑体" w:eastAsia="黑体"/>
      <w:sz w:val="32"/>
      <w:szCs w:val="32"/>
    </w:rPr>
  </w:style>
  <w:style w:type="paragraph" w:customStyle="1" w:styleId="3316">
    <w:name w:val="正文格式111"/>
    <w:basedOn w:val="1"/>
    <w:qFormat/>
    <w:uiPriority w:val="99"/>
    <w:pPr>
      <w:ind w:firstLine="482"/>
    </w:pPr>
    <w:rPr>
      <w:rFonts w:ascii="宋体" w:hAnsi="宋体"/>
    </w:rPr>
  </w:style>
  <w:style w:type="paragraph" w:customStyle="1" w:styleId="3317">
    <w:name w:val="Char141"/>
    <w:basedOn w:val="1"/>
    <w:qFormat/>
    <w:uiPriority w:val="99"/>
    <w:pPr>
      <w:spacing w:line="240" w:lineRule="auto"/>
      <w:ind w:left="-48"/>
    </w:pPr>
    <w:rPr>
      <w:sz w:val="21"/>
    </w:rPr>
  </w:style>
  <w:style w:type="paragraph" w:customStyle="1" w:styleId="3318">
    <w:name w:val="默认段落字体 Para Char111"/>
    <w:basedOn w:val="1"/>
    <w:next w:val="1"/>
    <w:qFormat/>
    <w:uiPriority w:val="99"/>
    <w:pPr>
      <w:spacing w:line="480" w:lineRule="exact"/>
      <w:ind w:firstLine="200"/>
      <w:jc w:val="left"/>
    </w:pPr>
    <w:rPr>
      <w:rFonts w:ascii="宋体" w:hAnsi="宋体" w:eastAsia="汉鼎简书宋" w:cs="宋体"/>
      <w:sz w:val="28"/>
    </w:rPr>
  </w:style>
  <w:style w:type="paragraph" w:customStyle="1" w:styleId="3319">
    <w:name w:val="正文格式＝11"/>
    <w:basedOn w:val="185"/>
    <w:next w:val="185"/>
    <w:qFormat/>
    <w:uiPriority w:val="99"/>
    <w:rPr>
      <w:rFonts w:hAnsi="宋体" w:cs="Times New Roman"/>
    </w:rPr>
  </w:style>
  <w:style w:type="paragraph" w:customStyle="1" w:styleId="3320">
    <w:name w:val="表内54111"/>
    <w:basedOn w:val="1"/>
    <w:qFormat/>
    <w:uiPriority w:val="99"/>
    <w:pPr>
      <w:spacing w:line="300" w:lineRule="auto"/>
      <w:jc w:val="center"/>
    </w:pPr>
    <w:rPr>
      <w:rFonts w:ascii="宋体" w:hAnsi="宋体" w:cs="宋体"/>
      <w:sz w:val="21"/>
      <w:szCs w:val="20"/>
    </w:rPr>
  </w:style>
  <w:style w:type="paragraph" w:customStyle="1" w:styleId="3321">
    <w:name w:val="表内文字小2111"/>
    <w:basedOn w:val="1"/>
    <w:qFormat/>
    <w:uiPriority w:val="99"/>
    <w:pPr>
      <w:spacing w:line="240" w:lineRule="auto"/>
      <w:jc w:val="center"/>
    </w:pPr>
    <w:rPr>
      <w:rFonts w:ascii="宋体" w:hAnsi="Times"/>
      <w:bCs/>
      <w:color w:val="000000"/>
      <w:sz w:val="21"/>
      <w:szCs w:val="20"/>
    </w:rPr>
  </w:style>
  <w:style w:type="paragraph" w:customStyle="1" w:styleId="3322">
    <w:name w:val="Char Char Char Char Char Char Char111"/>
    <w:basedOn w:val="1"/>
    <w:qFormat/>
    <w:uiPriority w:val="99"/>
    <w:pPr>
      <w:spacing w:line="240" w:lineRule="auto"/>
    </w:pPr>
    <w:rPr>
      <w:sz w:val="21"/>
    </w:rPr>
  </w:style>
  <w:style w:type="paragraph" w:customStyle="1" w:styleId="3323">
    <w:name w:val="默认段落字体 Para Char Char Char Char11"/>
    <w:basedOn w:val="1"/>
    <w:qFormat/>
    <w:uiPriority w:val="99"/>
    <w:pPr>
      <w:spacing w:line="240" w:lineRule="auto"/>
    </w:pPr>
    <w:rPr>
      <w:sz w:val="21"/>
    </w:rPr>
  </w:style>
  <w:style w:type="paragraph" w:customStyle="1" w:styleId="3324">
    <w:name w:val="附件11"/>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325">
    <w:name w:val="黑体三号11"/>
    <w:basedOn w:val="185"/>
    <w:qFormat/>
    <w:uiPriority w:val="99"/>
    <w:pPr>
      <w:jc w:val="center"/>
    </w:pPr>
    <w:rPr>
      <w:rFonts w:ascii="黑体" w:hAnsi="宋体" w:eastAsia="黑体"/>
      <w:b/>
      <w:bCs/>
      <w:sz w:val="32"/>
      <w:szCs w:val="20"/>
    </w:rPr>
  </w:style>
  <w:style w:type="paragraph" w:customStyle="1" w:styleId="3326">
    <w:name w:val="表11"/>
    <w:basedOn w:val="1"/>
    <w:qFormat/>
    <w:uiPriority w:val="99"/>
    <w:pPr>
      <w:spacing w:line="240" w:lineRule="auto"/>
      <w:jc w:val="center"/>
    </w:pPr>
    <w:rPr>
      <w:rFonts w:eastAsia="仿宋_GB2312"/>
    </w:rPr>
  </w:style>
  <w:style w:type="paragraph" w:customStyle="1" w:styleId="3327">
    <w:name w:val="表题112"/>
    <w:basedOn w:val="22"/>
    <w:qFormat/>
    <w:uiPriority w:val="99"/>
    <w:pPr>
      <w:tabs>
        <w:tab w:val="clear" w:pos="10467"/>
        <w:tab w:val="clear" w:pos="13095"/>
      </w:tabs>
      <w:adjustRightInd/>
      <w:snapToGrid/>
    </w:pPr>
    <w:rPr>
      <w:rFonts w:ascii="黑体" w:eastAsia="黑体"/>
      <w:b w:val="0"/>
    </w:rPr>
  </w:style>
  <w:style w:type="paragraph" w:customStyle="1" w:styleId="3328">
    <w:name w:val="Char103"/>
    <w:basedOn w:val="1"/>
    <w:qFormat/>
    <w:uiPriority w:val="99"/>
    <w:rPr>
      <w:sz w:val="21"/>
    </w:rPr>
  </w:style>
  <w:style w:type="paragraph" w:customStyle="1" w:styleId="3329">
    <w:name w:val="燕山正文12"/>
    <w:basedOn w:val="1"/>
    <w:qFormat/>
    <w:uiPriority w:val="99"/>
    <w:pPr>
      <w:tabs>
        <w:tab w:val="left" w:pos="4680"/>
      </w:tabs>
      <w:spacing w:line="480" w:lineRule="exact"/>
    </w:pPr>
    <w:rPr>
      <w:rFonts w:ascii="宋体" w:cs="宋体"/>
    </w:rPr>
  </w:style>
  <w:style w:type="paragraph" w:customStyle="1" w:styleId="3330">
    <w:name w:val="样式 标题 4无效格式无效格式1河石管道4H4H41小小节河石管道41H42H411小小节1河石管道42...4"/>
    <w:basedOn w:val="6"/>
    <w:qFormat/>
    <w:uiPriority w:val="99"/>
    <w:pPr>
      <w:spacing w:before="0" w:after="0" w:line="360" w:lineRule="auto"/>
      <w:ind w:left="664" w:hanging="864"/>
    </w:pPr>
    <w:rPr>
      <w:rFonts w:ascii="黑体" w:hAnsi="Arial" w:eastAsia="黑体"/>
      <w:b w:val="0"/>
      <w:bCs w:val="0"/>
      <w:szCs w:val="24"/>
      <w:lang w:val="zh-CN"/>
    </w:rPr>
  </w:style>
  <w:style w:type="paragraph" w:customStyle="1" w:styleId="3331">
    <w:name w:val="表中文字1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332">
    <w:name w:val="Char211"/>
    <w:basedOn w:val="1"/>
    <w:qFormat/>
    <w:uiPriority w:val="99"/>
    <w:pPr>
      <w:spacing w:line="240" w:lineRule="auto"/>
      <w:ind w:left="-48"/>
    </w:pPr>
    <w:rPr>
      <w:sz w:val="21"/>
    </w:rPr>
  </w:style>
  <w:style w:type="paragraph" w:customStyle="1" w:styleId="3333">
    <w:name w:val="表题3123"/>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334">
    <w:name w:val="表内文字小23"/>
    <w:basedOn w:val="1"/>
    <w:qFormat/>
    <w:uiPriority w:val="99"/>
    <w:pPr>
      <w:spacing w:line="240" w:lineRule="auto"/>
      <w:jc w:val="center"/>
    </w:pPr>
    <w:rPr>
      <w:rFonts w:ascii="宋体" w:hAnsi="Times"/>
      <w:bCs/>
      <w:color w:val="000000"/>
      <w:sz w:val="21"/>
      <w:szCs w:val="20"/>
    </w:rPr>
  </w:style>
  <w:style w:type="paragraph" w:customStyle="1" w:styleId="3335">
    <w:name w:val="Char59"/>
    <w:basedOn w:val="1"/>
    <w:qFormat/>
    <w:uiPriority w:val="99"/>
    <w:pPr>
      <w:spacing w:line="240" w:lineRule="auto"/>
      <w:ind w:left="-48"/>
    </w:pPr>
    <w:rPr>
      <w:sz w:val="21"/>
    </w:rPr>
  </w:style>
  <w:style w:type="paragraph" w:customStyle="1" w:styleId="3336">
    <w:name w:val="正文格式＝72"/>
    <w:basedOn w:val="185"/>
    <w:next w:val="185"/>
    <w:qFormat/>
    <w:uiPriority w:val="99"/>
    <w:rPr>
      <w:rFonts w:hAnsi="宋体" w:cs="Times New Roman"/>
    </w:rPr>
  </w:style>
  <w:style w:type="paragraph" w:customStyle="1" w:styleId="3337">
    <w:name w:val="表内532"/>
    <w:basedOn w:val="1"/>
    <w:qFormat/>
    <w:uiPriority w:val="99"/>
    <w:pPr>
      <w:spacing w:line="300" w:lineRule="auto"/>
      <w:jc w:val="left"/>
    </w:pPr>
    <w:rPr>
      <w:rFonts w:ascii="宋体"/>
      <w:sz w:val="21"/>
      <w:szCs w:val="20"/>
    </w:rPr>
  </w:style>
  <w:style w:type="paragraph" w:customStyle="1" w:styleId="3338">
    <w:name w:val="表内文字小3121"/>
    <w:basedOn w:val="1"/>
    <w:qFormat/>
    <w:uiPriority w:val="99"/>
    <w:pPr>
      <w:spacing w:line="240" w:lineRule="auto"/>
      <w:jc w:val="center"/>
    </w:pPr>
    <w:rPr>
      <w:rFonts w:ascii="宋体" w:hAnsi="Times" w:cs="宋体"/>
      <w:bCs/>
      <w:color w:val="003366"/>
      <w:sz w:val="21"/>
      <w:szCs w:val="20"/>
    </w:rPr>
  </w:style>
  <w:style w:type="paragraph" w:customStyle="1" w:styleId="3339">
    <w:name w:val="正文格式31"/>
    <w:basedOn w:val="1"/>
    <w:qFormat/>
    <w:uiPriority w:val="99"/>
    <w:pPr>
      <w:ind w:firstLine="482"/>
    </w:pPr>
    <w:rPr>
      <w:rFonts w:ascii="宋体" w:hAnsi="宋体"/>
    </w:rPr>
  </w:style>
  <w:style w:type="paragraph" w:customStyle="1" w:styleId="3340">
    <w:name w:val="Char221"/>
    <w:basedOn w:val="1"/>
    <w:qFormat/>
    <w:uiPriority w:val="99"/>
    <w:pPr>
      <w:spacing w:beforeLines="50"/>
    </w:pPr>
    <w:rPr>
      <w:rFonts w:ascii="黑体" w:eastAsia="黑体"/>
      <w:sz w:val="32"/>
      <w:szCs w:val="32"/>
    </w:rPr>
  </w:style>
  <w:style w:type="paragraph" w:customStyle="1" w:styleId="3341">
    <w:name w:val="图题31"/>
    <w:basedOn w:val="185"/>
    <w:next w:val="185"/>
    <w:qFormat/>
    <w:uiPriority w:val="99"/>
    <w:pPr>
      <w:ind w:firstLine="0"/>
      <w:jc w:val="center"/>
    </w:pPr>
    <w:rPr>
      <w:rFonts w:ascii="黑体" w:hAnsi="宋体" w:eastAsia="黑体"/>
      <w:b/>
      <w:bCs/>
    </w:rPr>
  </w:style>
  <w:style w:type="paragraph" w:customStyle="1" w:styleId="3342">
    <w:name w:val="表题312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343">
    <w:name w:val="Char Char Char Char Char Char Char41"/>
    <w:basedOn w:val="1"/>
    <w:qFormat/>
    <w:uiPriority w:val="99"/>
    <w:pPr>
      <w:spacing w:line="240" w:lineRule="auto"/>
    </w:pPr>
    <w:rPr>
      <w:sz w:val="21"/>
    </w:rPr>
  </w:style>
  <w:style w:type="paragraph" w:customStyle="1" w:styleId="3344">
    <w:name w:val="标题43121"/>
    <w:basedOn w:val="1"/>
    <w:qFormat/>
    <w:uiPriority w:val="99"/>
    <w:pPr>
      <w:spacing w:line="480" w:lineRule="exact"/>
      <w:jc w:val="center"/>
    </w:pPr>
    <w:rPr>
      <w:rFonts w:ascii="宋体" w:hAnsi="宋体" w:cs="宋体"/>
    </w:rPr>
  </w:style>
  <w:style w:type="paragraph" w:customStyle="1" w:styleId="3345">
    <w:name w:val="燕山正文1121"/>
    <w:basedOn w:val="1"/>
    <w:qFormat/>
    <w:uiPriority w:val="99"/>
    <w:pPr>
      <w:tabs>
        <w:tab w:val="left" w:pos="4680"/>
      </w:tabs>
      <w:spacing w:line="480" w:lineRule="exact"/>
    </w:pPr>
    <w:rPr>
      <w:rFonts w:ascii="宋体" w:hAnsi="宋体" w:cs="宋体"/>
      <w:bCs/>
      <w:color w:val="000000"/>
    </w:rPr>
  </w:style>
  <w:style w:type="paragraph" w:customStyle="1" w:styleId="3346">
    <w:name w:val="默认段落字体 Para Char Char Char Char21"/>
    <w:basedOn w:val="1"/>
    <w:qFormat/>
    <w:uiPriority w:val="99"/>
    <w:pPr>
      <w:spacing w:line="240" w:lineRule="auto"/>
    </w:pPr>
    <w:rPr>
      <w:sz w:val="21"/>
    </w:rPr>
  </w:style>
  <w:style w:type="paragraph" w:customStyle="1" w:styleId="3347">
    <w:name w:val="黑体三号21"/>
    <w:basedOn w:val="185"/>
    <w:qFormat/>
    <w:uiPriority w:val="99"/>
    <w:pPr>
      <w:jc w:val="center"/>
    </w:pPr>
    <w:rPr>
      <w:rFonts w:ascii="黑体" w:hAnsi="宋体" w:eastAsia="黑体"/>
      <w:b/>
      <w:bCs/>
      <w:sz w:val="32"/>
      <w:szCs w:val="20"/>
    </w:rPr>
  </w:style>
  <w:style w:type="paragraph" w:customStyle="1" w:styleId="3348">
    <w:name w:val="表格13"/>
    <w:basedOn w:val="1"/>
    <w:qFormat/>
    <w:uiPriority w:val="99"/>
    <w:pPr>
      <w:spacing w:line="240" w:lineRule="auto"/>
      <w:jc w:val="center"/>
      <w:textAlignment w:val="baseline"/>
    </w:pPr>
    <w:rPr>
      <w:rFonts w:ascii="宋体"/>
      <w:kern w:val="0"/>
      <w:szCs w:val="20"/>
    </w:rPr>
  </w:style>
  <w:style w:type="paragraph" w:customStyle="1" w:styleId="3349">
    <w:name w:val="表题121"/>
    <w:basedOn w:val="22"/>
    <w:qFormat/>
    <w:uiPriority w:val="99"/>
    <w:pPr>
      <w:tabs>
        <w:tab w:val="clear" w:pos="10467"/>
        <w:tab w:val="clear" w:pos="13095"/>
      </w:tabs>
      <w:adjustRightInd/>
      <w:snapToGrid/>
    </w:pPr>
    <w:rPr>
      <w:rFonts w:ascii="黑体" w:eastAsia="黑体"/>
      <w:b w:val="0"/>
    </w:rPr>
  </w:style>
  <w:style w:type="paragraph" w:customStyle="1" w:styleId="3350">
    <w:name w:val="正文修改21"/>
    <w:basedOn w:val="900"/>
    <w:qFormat/>
    <w:uiPriority w:val="99"/>
    <w:pPr>
      <w:spacing w:line="480" w:lineRule="exact"/>
      <w:ind w:firstLine="0" w:firstLineChars="0"/>
    </w:pPr>
    <w:rPr>
      <w:rFonts w:cs="宋体"/>
      <w:sz w:val="24"/>
      <w:szCs w:val="24"/>
    </w:rPr>
  </w:style>
  <w:style w:type="paragraph" w:customStyle="1" w:styleId="3351">
    <w:name w:val="燕山正文43"/>
    <w:basedOn w:val="1"/>
    <w:qFormat/>
    <w:uiPriority w:val="99"/>
    <w:pPr>
      <w:tabs>
        <w:tab w:val="left" w:pos="4680"/>
      </w:tabs>
      <w:spacing w:line="480" w:lineRule="exact"/>
    </w:pPr>
    <w:rPr>
      <w:rFonts w:ascii="宋体" w:cs="宋体"/>
    </w:rPr>
  </w:style>
  <w:style w:type="paragraph" w:customStyle="1" w:styleId="3352">
    <w:name w:val="表中文字21"/>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353">
    <w:name w:val="表文字521"/>
    <w:basedOn w:val="1"/>
    <w:qFormat/>
    <w:uiPriority w:val="99"/>
    <w:pPr>
      <w:spacing w:line="240" w:lineRule="auto"/>
      <w:jc w:val="left"/>
      <w:textAlignment w:val="baseline"/>
    </w:pPr>
    <w:rPr>
      <w:rFonts w:ascii="宋体"/>
      <w:kern w:val="0"/>
      <w:sz w:val="21"/>
      <w:szCs w:val="20"/>
    </w:rPr>
  </w:style>
  <w:style w:type="paragraph" w:customStyle="1" w:styleId="3354">
    <w:name w:val="样式121"/>
    <w:basedOn w:val="1199"/>
    <w:qFormat/>
    <w:uiPriority w:val="99"/>
    <w:pPr>
      <w:spacing w:line="240" w:lineRule="auto"/>
      <w:ind w:firstLine="0"/>
      <w:jc w:val="center"/>
    </w:pPr>
    <w:rPr>
      <w:rFonts w:cs="Times New Roman"/>
      <w:b/>
      <w:color w:val="auto"/>
      <w:szCs w:val="20"/>
    </w:rPr>
  </w:style>
  <w:style w:type="paragraph" w:customStyle="1" w:styleId="3355">
    <w:name w:val="正文格式＝31"/>
    <w:basedOn w:val="185"/>
    <w:next w:val="185"/>
    <w:qFormat/>
    <w:uiPriority w:val="99"/>
    <w:rPr>
      <w:rFonts w:hAnsi="宋体" w:cs="Times New Roman"/>
    </w:rPr>
  </w:style>
  <w:style w:type="paragraph" w:customStyle="1" w:styleId="3356">
    <w:name w:val="Char311"/>
    <w:basedOn w:val="1"/>
    <w:qFormat/>
    <w:uiPriority w:val="99"/>
    <w:pPr>
      <w:spacing w:line="240" w:lineRule="auto"/>
      <w:ind w:left="-48"/>
    </w:pPr>
    <w:rPr>
      <w:sz w:val="21"/>
    </w:rPr>
  </w:style>
  <w:style w:type="paragraph" w:customStyle="1" w:styleId="3357">
    <w:name w:val="表内文字小2131"/>
    <w:basedOn w:val="1"/>
    <w:qFormat/>
    <w:uiPriority w:val="99"/>
    <w:pPr>
      <w:spacing w:line="240" w:lineRule="auto"/>
      <w:jc w:val="center"/>
      <w:textAlignment w:val="baseline"/>
    </w:pPr>
    <w:rPr>
      <w:rFonts w:ascii="宋体" w:hAnsi="Times"/>
      <w:bCs/>
      <w:color w:val="000000"/>
      <w:sz w:val="21"/>
      <w:szCs w:val="20"/>
    </w:rPr>
  </w:style>
  <w:style w:type="paragraph" w:customStyle="1" w:styleId="3358">
    <w:name w:val="表内文字小221"/>
    <w:basedOn w:val="1"/>
    <w:qFormat/>
    <w:uiPriority w:val="99"/>
    <w:pPr>
      <w:spacing w:line="240" w:lineRule="auto"/>
      <w:jc w:val="center"/>
    </w:pPr>
    <w:rPr>
      <w:rFonts w:ascii="宋体" w:hAnsi="Times"/>
      <w:bCs/>
      <w:color w:val="000000"/>
      <w:sz w:val="21"/>
      <w:szCs w:val="20"/>
    </w:rPr>
  </w:style>
  <w:style w:type="paragraph" w:customStyle="1" w:styleId="3359">
    <w:name w:val="表内5311"/>
    <w:basedOn w:val="1"/>
    <w:qFormat/>
    <w:uiPriority w:val="99"/>
    <w:pPr>
      <w:spacing w:line="300" w:lineRule="auto"/>
      <w:jc w:val="left"/>
    </w:pPr>
    <w:rPr>
      <w:rFonts w:ascii="宋体"/>
      <w:sz w:val="21"/>
      <w:szCs w:val="20"/>
    </w:rPr>
  </w:style>
  <w:style w:type="paragraph" w:customStyle="1" w:styleId="3360">
    <w:name w:val="xl241"/>
    <w:basedOn w:val="1"/>
    <w:qFormat/>
    <w:uiPriority w:val="99"/>
    <w:pPr>
      <w:widowControl/>
      <w:pBdr>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3361">
    <w:name w:val="正文格式211"/>
    <w:basedOn w:val="1"/>
    <w:qFormat/>
    <w:uiPriority w:val="99"/>
    <w:pPr>
      <w:ind w:firstLine="482"/>
    </w:pPr>
    <w:rPr>
      <w:rFonts w:ascii="宋体" w:hAnsi="宋体"/>
    </w:rPr>
  </w:style>
  <w:style w:type="paragraph" w:customStyle="1" w:styleId="3362">
    <w:name w:val="图题211"/>
    <w:basedOn w:val="185"/>
    <w:next w:val="185"/>
    <w:qFormat/>
    <w:uiPriority w:val="99"/>
    <w:pPr>
      <w:ind w:firstLine="0"/>
      <w:jc w:val="center"/>
    </w:pPr>
    <w:rPr>
      <w:rFonts w:ascii="黑体" w:hAnsi="宋体" w:eastAsia="黑体"/>
      <w:b/>
      <w:bCs/>
    </w:rPr>
  </w:style>
  <w:style w:type="paragraph" w:customStyle="1" w:styleId="3363">
    <w:name w:val="表格内字体211"/>
    <w:basedOn w:val="185"/>
    <w:next w:val="185"/>
    <w:qFormat/>
    <w:uiPriority w:val="99"/>
    <w:pPr>
      <w:spacing w:line="240" w:lineRule="auto"/>
      <w:ind w:firstLine="0"/>
      <w:jc w:val="center"/>
    </w:pPr>
    <w:rPr>
      <w:rFonts w:hAnsi="宋体" w:cs="Times New Roman"/>
      <w:sz w:val="21"/>
    </w:rPr>
  </w:style>
  <w:style w:type="paragraph" w:customStyle="1" w:styleId="3364">
    <w:name w:val="表题1111"/>
    <w:basedOn w:val="22"/>
    <w:qFormat/>
    <w:uiPriority w:val="99"/>
    <w:pPr>
      <w:tabs>
        <w:tab w:val="clear" w:pos="10467"/>
        <w:tab w:val="clear" w:pos="13095"/>
      </w:tabs>
      <w:adjustRightInd/>
      <w:snapToGrid/>
    </w:pPr>
    <w:rPr>
      <w:rFonts w:ascii="黑体" w:eastAsia="黑体"/>
      <w:b w:val="0"/>
    </w:rPr>
  </w:style>
  <w:style w:type="paragraph" w:customStyle="1" w:styleId="3365">
    <w:name w:val="表中文字11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366">
    <w:name w:val="表文字5111"/>
    <w:basedOn w:val="1"/>
    <w:qFormat/>
    <w:uiPriority w:val="99"/>
    <w:pPr>
      <w:spacing w:line="240" w:lineRule="auto"/>
      <w:jc w:val="left"/>
      <w:textAlignment w:val="baseline"/>
    </w:pPr>
    <w:rPr>
      <w:rFonts w:ascii="宋体"/>
      <w:kern w:val="0"/>
      <w:sz w:val="21"/>
      <w:szCs w:val="20"/>
    </w:rPr>
  </w:style>
  <w:style w:type="paragraph" w:customStyle="1" w:styleId="3367">
    <w:name w:val="Char Char2 Char Char Char Char23"/>
    <w:basedOn w:val="1"/>
    <w:qFormat/>
    <w:uiPriority w:val="99"/>
    <w:pPr>
      <w:spacing w:line="240" w:lineRule="auto"/>
    </w:pPr>
    <w:rPr>
      <w:sz w:val="21"/>
    </w:rPr>
  </w:style>
  <w:style w:type="paragraph" w:customStyle="1" w:styleId="3368">
    <w:name w:val="正文格式41"/>
    <w:basedOn w:val="1"/>
    <w:qFormat/>
    <w:uiPriority w:val="99"/>
    <w:pPr>
      <w:ind w:firstLine="482"/>
    </w:pPr>
    <w:rPr>
      <w:rFonts w:ascii="宋体" w:hAnsi="宋体"/>
    </w:rPr>
  </w:style>
  <w:style w:type="paragraph" w:customStyle="1" w:styleId="3369">
    <w:name w:val="图题41"/>
    <w:basedOn w:val="185"/>
    <w:next w:val="185"/>
    <w:qFormat/>
    <w:uiPriority w:val="99"/>
    <w:pPr>
      <w:ind w:firstLine="0"/>
      <w:jc w:val="center"/>
    </w:pPr>
    <w:rPr>
      <w:rFonts w:ascii="黑体" w:hAnsi="宋体" w:eastAsia="黑体"/>
      <w:b/>
      <w:bCs/>
    </w:rPr>
  </w:style>
  <w:style w:type="paragraph" w:customStyle="1" w:styleId="3370">
    <w:name w:val="表中文字43"/>
    <w:basedOn w:val="1"/>
    <w:qFormat/>
    <w:uiPriority w:val="99"/>
    <w:pPr>
      <w:spacing w:line="340" w:lineRule="exact"/>
      <w:ind w:firstLine="480"/>
      <w:jc w:val="center"/>
    </w:pPr>
    <w:rPr>
      <w:rFonts w:ascii="Arial" w:hAnsi="Arial"/>
      <w:kern w:val="0"/>
      <w:sz w:val="20"/>
      <w:lang w:eastAsia="zh-TW"/>
    </w:rPr>
  </w:style>
  <w:style w:type="paragraph" w:customStyle="1" w:styleId="3371">
    <w:name w:val="正文格式＝41"/>
    <w:basedOn w:val="185"/>
    <w:next w:val="185"/>
    <w:qFormat/>
    <w:uiPriority w:val="99"/>
    <w:rPr>
      <w:rFonts w:hAnsi="宋体" w:cs="Times New Roman"/>
    </w:rPr>
  </w:style>
  <w:style w:type="paragraph" w:customStyle="1" w:styleId="3372">
    <w:name w:val="标题43123"/>
    <w:basedOn w:val="1"/>
    <w:qFormat/>
    <w:uiPriority w:val="99"/>
    <w:pPr>
      <w:spacing w:line="480" w:lineRule="exact"/>
      <w:jc w:val="center"/>
    </w:pPr>
    <w:rPr>
      <w:rFonts w:ascii="宋体" w:hAnsi="宋体" w:cs="宋体"/>
    </w:rPr>
  </w:style>
  <w:style w:type="paragraph" w:customStyle="1" w:styleId="3373">
    <w:name w:val="默认段落字体 Para Char11"/>
    <w:basedOn w:val="1"/>
    <w:next w:val="1"/>
    <w:qFormat/>
    <w:uiPriority w:val="99"/>
    <w:pPr>
      <w:spacing w:line="480" w:lineRule="exact"/>
      <w:ind w:firstLine="200"/>
      <w:jc w:val="left"/>
    </w:pPr>
    <w:rPr>
      <w:rFonts w:ascii="宋体" w:hAnsi="宋体" w:eastAsia="汉鼎简书宋" w:cs="宋体"/>
      <w:sz w:val="28"/>
    </w:rPr>
  </w:style>
  <w:style w:type="paragraph" w:customStyle="1" w:styleId="3374">
    <w:name w:val="23-47表名1"/>
    <w:basedOn w:val="1"/>
    <w:qFormat/>
    <w:uiPriority w:val="99"/>
    <w:pPr>
      <w:spacing w:afterLines="50" w:line="440" w:lineRule="exact"/>
      <w:jc w:val="center"/>
    </w:pPr>
    <w:rPr>
      <w:rFonts w:ascii="宋体" w:hAnsi="宋体"/>
      <w:b/>
    </w:rPr>
  </w:style>
  <w:style w:type="paragraph" w:customStyle="1" w:styleId="3375">
    <w:name w:val="燕山正文1131"/>
    <w:basedOn w:val="1"/>
    <w:qFormat/>
    <w:uiPriority w:val="99"/>
    <w:pPr>
      <w:tabs>
        <w:tab w:val="left" w:pos="4680"/>
      </w:tabs>
      <w:ind w:firstLine="480"/>
    </w:pPr>
    <w:rPr>
      <w:rFonts w:ascii="宋体" w:hAnsi="宋体" w:cs="宋体"/>
      <w:bCs/>
      <w:snapToGrid w:val="0"/>
      <w:color w:val="000000"/>
      <w:kern w:val="0"/>
    </w:rPr>
  </w:style>
  <w:style w:type="paragraph" w:customStyle="1" w:styleId="3376">
    <w:name w:val="Char321"/>
    <w:basedOn w:val="1"/>
    <w:qFormat/>
    <w:uiPriority w:val="99"/>
    <w:pPr>
      <w:spacing w:line="240" w:lineRule="auto"/>
      <w:ind w:left="-48"/>
    </w:pPr>
    <w:rPr>
      <w:sz w:val="21"/>
    </w:rPr>
  </w:style>
  <w:style w:type="paragraph" w:customStyle="1" w:styleId="3377">
    <w:name w:val="图题51"/>
    <w:basedOn w:val="185"/>
    <w:next w:val="185"/>
    <w:qFormat/>
    <w:uiPriority w:val="99"/>
    <w:pPr>
      <w:ind w:firstLine="0"/>
      <w:jc w:val="center"/>
    </w:pPr>
    <w:rPr>
      <w:rFonts w:ascii="黑体" w:hAnsi="宋体" w:eastAsia="黑体"/>
      <w:b/>
      <w:bCs/>
    </w:rPr>
  </w:style>
  <w:style w:type="paragraph" w:customStyle="1" w:styleId="3378">
    <w:name w:val="表格内字体51"/>
    <w:basedOn w:val="185"/>
    <w:next w:val="185"/>
    <w:qFormat/>
    <w:uiPriority w:val="99"/>
    <w:pPr>
      <w:spacing w:line="240" w:lineRule="auto"/>
      <w:ind w:firstLine="0"/>
    </w:pPr>
    <w:rPr>
      <w:rFonts w:hAnsi="宋体" w:cs="Times New Roman"/>
      <w:sz w:val="21"/>
    </w:rPr>
  </w:style>
  <w:style w:type="paragraph" w:customStyle="1" w:styleId="3379">
    <w:name w:val="表题2111"/>
    <w:basedOn w:val="1"/>
    <w:qFormat/>
    <w:uiPriority w:val="99"/>
    <w:pPr>
      <w:widowControl/>
      <w:spacing w:line="240" w:lineRule="auto"/>
      <w:jc w:val="center"/>
    </w:pPr>
    <w:rPr>
      <w:rFonts w:ascii="黑体" w:hAnsi="宋体" w:eastAsia="黑体" w:cs="宋体"/>
      <w:kern w:val="0"/>
    </w:rPr>
  </w:style>
  <w:style w:type="paragraph" w:customStyle="1" w:styleId="3380">
    <w:name w:val="表31"/>
    <w:basedOn w:val="1"/>
    <w:qFormat/>
    <w:uiPriority w:val="99"/>
    <w:pPr>
      <w:spacing w:line="240" w:lineRule="auto"/>
      <w:jc w:val="center"/>
    </w:pPr>
    <w:rPr>
      <w:rFonts w:eastAsia="仿宋_GB2312"/>
    </w:rPr>
  </w:style>
  <w:style w:type="paragraph" w:customStyle="1" w:styleId="3381">
    <w:name w:val="正文.11"/>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382">
    <w:name w:val="文本框11"/>
    <w:basedOn w:val="1"/>
    <w:qFormat/>
    <w:uiPriority w:val="99"/>
    <w:pPr>
      <w:spacing w:after="6" w:line="240" w:lineRule="auto"/>
      <w:jc w:val="center"/>
    </w:pPr>
    <w:rPr>
      <w:rFonts w:eastAsia="仿宋_GB2312"/>
      <w:sz w:val="21"/>
    </w:rPr>
  </w:style>
  <w:style w:type="paragraph" w:customStyle="1" w:styleId="3383">
    <w:name w:val="表内宋51111"/>
    <w:basedOn w:val="80"/>
    <w:qFormat/>
    <w:uiPriority w:val="99"/>
    <w:pPr>
      <w:spacing w:before="0" w:beforeAutospacing="0" w:after="0" w:afterAutospacing="0"/>
      <w:jc w:val="both"/>
    </w:pPr>
    <w:rPr>
      <w:rFonts w:cs="宋体"/>
      <w:color w:val="000000"/>
    </w:rPr>
  </w:style>
  <w:style w:type="paragraph" w:customStyle="1" w:styleId="3384">
    <w:name w:val="正文格式102"/>
    <w:basedOn w:val="1"/>
    <w:qFormat/>
    <w:uiPriority w:val="99"/>
    <w:pPr>
      <w:ind w:firstLine="482"/>
    </w:pPr>
    <w:rPr>
      <w:rFonts w:ascii="宋体" w:hAnsi="宋体"/>
    </w:rPr>
  </w:style>
  <w:style w:type="paragraph" w:customStyle="1" w:styleId="3385">
    <w:name w:val="表内文字小3131"/>
    <w:basedOn w:val="1"/>
    <w:qFormat/>
    <w:uiPriority w:val="99"/>
    <w:pPr>
      <w:spacing w:line="240" w:lineRule="auto"/>
      <w:jc w:val="center"/>
    </w:pPr>
    <w:rPr>
      <w:rFonts w:ascii="宋体" w:hAnsi="Times" w:cs="宋体"/>
      <w:bCs/>
      <w:color w:val="003366"/>
      <w:sz w:val="21"/>
      <w:szCs w:val="20"/>
    </w:rPr>
  </w:style>
  <w:style w:type="paragraph" w:customStyle="1" w:styleId="3386">
    <w:name w:val="表文字531"/>
    <w:basedOn w:val="1"/>
    <w:qFormat/>
    <w:uiPriority w:val="99"/>
    <w:pPr>
      <w:spacing w:line="240" w:lineRule="auto"/>
      <w:jc w:val="left"/>
      <w:textAlignment w:val="baseline"/>
    </w:pPr>
    <w:rPr>
      <w:rFonts w:ascii="宋体"/>
      <w:kern w:val="0"/>
      <w:sz w:val="21"/>
      <w:szCs w:val="20"/>
    </w:rPr>
  </w:style>
  <w:style w:type="paragraph" w:customStyle="1" w:styleId="3387">
    <w:name w:val="Char Char Char Char Char Char Char211"/>
    <w:basedOn w:val="1"/>
    <w:qFormat/>
    <w:uiPriority w:val="99"/>
    <w:pPr>
      <w:spacing w:line="240" w:lineRule="auto"/>
    </w:pPr>
    <w:rPr>
      <w:sz w:val="21"/>
    </w:rPr>
  </w:style>
  <w:style w:type="paragraph" w:customStyle="1" w:styleId="3388">
    <w:name w:val="表题3131"/>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389">
    <w:name w:val="燕山正文31"/>
    <w:basedOn w:val="1"/>
    <w:qFormat/>
    <w:uiPriority w:val="99"/>
    <w:pPr>
      <w:tabs>
        <w:tab w:val="left" w:pos="4680"/>
      </w:tabs>
      <w:spacing w:line="480" w:lineRule="exact"/>
    </w:pPr>
    <w:rPr>
      <w:rFonts w:ascii="宋体" w:cs="宋体"/>
    </w:rPr>
  </w:style>
  <w:style w:type="paragraph" w:customStyle="1" w:styleId="3390">
    <w:name w:val="正文修改31"/>
    <w:basedOn w:val="900"/>
    <w:qFormat/>
    <w:uiPriority w:val="99"/>
    <w:pPr>
      <w:spacing w:line="480" w:lineRule="exact"/>
      <w:ind w:firstLine="0" w:firstLineChars="0"/>
    </w:pPr>
    <w:rPr>
      <w:rFonts w:cs="宋体"/>
      <w:sz w:val="24"/>
      <w:szCs w:val="24"/>
    </w:rPr>
  </w:style>
  <w:style w:type="paragraph" w:customStyle="1" w:styleId="3391">
    <w:name w:val="表题142"/>
    <w:basedOn w:val="22"/>
    <w:qFormat/>
    <w:uiPriority w:val="99"/>
    <w:pPr>
      <w:tabs>
        <w:tab w:val="clear" w:pos="10467"/>
        <w:tab w:val="clear" w:pos="13095"/>
      </w:tabs>
      <w:adjustRightInd/>
      <w:snapToGrid/>
    </w:pPr>
    <w:rPr>
      <w:rFonts w:ascii="黑体" w:eastAsia="黑体"/>
    </w:rPr>
  </w:style>
  <w:style w:type="paragraph" w:customStyle="1" w:styleId="3392">
    <w:name w:val="样式 正文缩进 + 宋体 黑色3"/>
    <w:basedOn w:val="21"/>
    <w:qFormat/>
    <w:uiPriority w:val="99"/>
    <w:pPr>
      <w:spacing w:line="360" w:lineRule="auto"/>
      <w:ind w:firstLine="200"/>
      <w:jc w:val="left"/>
    </w:pPr>
    <w:rPr>
      <w:rFonts w:ascii="宋体" w:hAnsi="宋体"/>
      <w:color w:val="000000"/>
      <w:sz w:val="24"/>
    </w:rPr>
  </w:style>
  <w:style w:type="paragraph" w:customStyle="1" w:styleId="3393">
    <w:name w:val="表格内字体33"/>
    <w:basedOn w:val="185"/>
    <w:next w:val="185"/>
    <w:qFormat/>
    <w:uiPriority w:val="99"/>
    <w:pPr>
      <w:spacing w:line="240" w:lineRule="auto"/>
      <w:ind w:firstLine="0"/>
      <w:jc w:val="center"/>
    </w:pPr>
    <w:rPr>
      <w:rFonts w:hAnsi="宋体" w:cs="Times New Roman"/>
      <w:sz w:val="21"/>
    </w:rPr>
  </w:style>
  <w:style w:type="paragraph" w:customStyle="1" w:styleId="3394">
    <w:name w:val="黑体三号31"/>
    <w:basedOn w:val="185"/>
    <w:qFormat/>
    <w:uiPriority w:val="99"/>
    <w:pPr>
      <w:jc w:val="center"/>
    </w:pPr>
    <w:rPr>
      <w:rFonts w:ascii="黑体" w:hAnsi="宋体" w:eastAsia="黑体"/>
      <w:b/>
      <w:bCs/>
      <w:sz w:val="32"/>
      <w:szCs w:val="20"/>
    </w:rPr>
  </w:style>
  <w:style w:type="paragraph" w:customStyle="1" w:styleId="3395">
    <w:name w:val="默认段落字体 Para Char Char Char Char31"/>
    <w:basedOn w:val="1"/>
    <w:qFormat/>
    <w:uiPriority w:val="99"/>
    <w:pPr>
      <w:spacing w:line="240" w:lineRule="auto"/>
    </w:pPr>
    <w:rPr>
      <w:sz w:val="21"/>
    </w:rPr>
  </w:style>
  <w:style w:type="paragraph" w:customStyle="1" w:styleId="3396">
    <w:name w:val="表内54131"/>
    <w:basedOn w:val="1"/>
    <w:qFormat/>
    <w:uiPriority w:val="99"/>
    <w:pPr>
      <w:spacing w:line="300" w:lineRule="auto"/>
      <w:jc w:val="center"/>
    </w:pPr>
    <w:rPr>
      <w:rFonts w:ascii="宋体" w:hAnsi="宋体" w:cs="宋体"/>
      <w:sz w:val="21"/>
      <w:szCs w:val="20"/>
    </w:rPr>
  </w:style>
  <w:style w:type="paragraph" w:customStyle="1" w:styleId="3397">
    <w:name w:val="表23"/>
    <w:basedOn w:val="1"/>
    <w:qFormat/>
    <w:uiPriority w:val="99"/>
    <w:pPr>
      <w:spacing w:line="240" w:lineRule="auto"/>
      <w:jc w:val="center"/>
    </w:pPr>
    <w:rPr>
      <w:rFonts w:eastAsia="仿宋_GB2312"/>
    </w:rPr>
  </w:style>
  <w:style w:type="paragraph" w:customStyle="1" w:styleId="3398">
    <w:name w:val="表内宋5中111"/>
    <w:basedOn w:val="1"/>
    <w:qFormat/>
    <w:uiPriority w:val="99"/>
    <w:pPr>
      <w:spacing w:line="240" w:lineRule="auto"/>
      <w:jc w:val="center"/>
      <w:textAlignment w:val="baseline"/>
    </w:pPr>
    <w:rPr>
      <w:rFonts w:ascii="宋体" w:hAnsi="宋体" w:cs="宋体"/>
      <w:kern w:val="0"/>
      <w:sz w:val="21"/>
      <w:szCs w:val="20"/>
    </w:rPr>
  </w:style>
  <w:style w:type="paragraph" w:customStyle="1" w:styleId="3399">
    <w:name w:val="表内文字小111"/>
    <w:basedOn w:val="1"/>
    <w:qFormat/>
    <w:uiPriority w:val="99"/>
    <w:pPr>
      <w:spacing w:line="240" w:lineRule="auto"/>
    </w:pPr>
    <w:rPr>
      <w:rFonts w:ascii="宋体" w:hAnsi="Times" w:cs="宋体"/>
      <w:sz w:val="21"/>
      <w:szCs w:val="20"/>
    </w:rPr>
  </w:style>
  <w:style w:type="paragraph" w:customStyle="1" w:styleId="3400">
    <w:name w:val="默认段落字体 Para Char Char Char Char22"/>
    <w:basedOn w:val="1"/>
    <w:qFormat/>
    <w:uiPriority w:val="99"/>
    <w:pPr>
      <w:spacing w:line="240" w:lineRule="auto"/>
    </w:pPr>
    <w:rPr>
      <w:sz w:val="21"/>
    </w:rPr>
  </w:style>
  <w:style w:type="paragraph" w:customStyle="1" w:styleId="3401">
    <w:name w:val="标题4111"/>
    <w:basedOn w:val="1"/>
    <w:qFormat/>
    <w:uiPriority w:val="99"/>
    <w:pPr>
      <w:spacing w:line="300" w:lineRule="auto"/>
      <w:jc w:val="left"/>
    </w:pPr>
    <w:rPr>
      <w:rFonts w:ascii="黑体" w:hAnsi="宋体" w:eastAsia="黑体" w:cs="宋体"/>
      <w:bCs/>
      <w:szCs w:val="20"/>
    </w:rPr>
  </w:style>
  <w:style w:type="paragraph" w:customStyle="1" w:styleId="3402">
    <w:name w:val="表题1411"/>
    <w:basedOn w:val="1"/>
    <w:qFormat/>
    <w:uiPriority w:val="99"/>
    <w:pPr>
      <w:widowControl/>
      <w:spacing w:line="240" w:lineRule="auto"/>
      <w:jc w:val="center"/>
    </w:pPr>
    <w:rPr>
      <w:rFonts w:ascii="黑体" w:hAnsi="宋体" w:eastAsia="黑体" w:cs="宋体"/>
      <w:kern w:val="0"/>
    </w:rPr>
  </w:style>
  <w:style w:type="paragraph" w:customStyle="1" w:styleId="3403">
    <w:name w:val="正文缩2"/>
    <w:basedOn w:val="1"/>
    <w:qFormat/>
    <w:uiPriority w:val="99"/>
    <w:pPr>
      <w:spacing w:line="480" w:lineRule="atLeast"/>
      <w:ind w:firstLine="567"/>
      <w:textAlignment w:val="baseline"/>
    </w:pPr>
    <w:rPr>
      <w:rFonts w:ascii="宋体"/>
      <w:color w:val="000080"/>
      <w:spacing w:val="6"/>
      <w:kern w:val="0"/>
      <w:sz w:val="28"/>
      <w:szCs w:val="20"/>
    </w:rPr>
  </w:style>
  <w:style w:type="paragraph" w:customStyle="1" w:styleId="3404">
    <w:name w:val="默认段落字体 Para Char21"/>
    <w:basedOn w:val="1"/>
    <w:next w:val="1"/>
    <w:qFormat/>
    <w:uiPriority w:val="99"/>
    <w:pPr>
      <w:spacing w:line="480" w:lineRule="exact"/>
      <w:ind w:firstLine="200"/>
      <w:jc w:val="left"/>
    </w:pPr>
    <w:rPr>
      <w:rFonts w:ascii="宋体" w:hAnsi="宋体" w:eastAsia="汉鼎简书宋" w:cs="宋体"/>
      <w:sz w:val="28"/>
    </w:rPr>
  </w:style>
  <w:style w:type="paragraph" w:customStyle="1" w:styleId="3405">
    <w:name w:val="正文格式＝32"/>
    <w:basedOn w:val="185"/>
    <w:next w:val="185"/>
    <w:qFormat/>
    <w:uiPriority w:val="99"/>
    <w:rPr>
      <w:rFonts w:hAnsi="宋体" w:cs="Times New Roman"/>
    </w:rPr>
  </w:style>
  <w:style w:type="paragraph" w:customStyle="1" w:styleId="3406">
    <w:name w:val="Char421"/>
    <w:basedOn w:val="1"/>
    <w:qFormat/>
    <w:uiPriority w:val="99"/>
    <w:pPr>
      <w:spacing w:line="240" w:lineRule="auto"/>
      <w:ind w:left="-48"/>
    </w:pPr>
    <w:rPr>
      <w:sz w:val="21"/>
    </w:rPr>
  </w:style>
  <w:style w:type="paragraph" w:customStyle="1" w:styleId="3407">
    <w:name w:val="Char1111"/>
    <w:basedOn w:val="1"/>
    <w:qFormat/>
    <w:uiPriority w:val="99"/>
    <w:pPr>
      <w:spacing w:beforeLines="50"/>
    </w:pPr>
    <w:rPr>
      <w:rFonts w:ascii="黑体" w:eastAsia="黑体"/>
      <w:sz w:val="32"/>
      <w:szCs w:val="32"/>
    </w:rPr>
  </w:style>
  <w:style w:type="paragraph" w:customStyle="1" w:styleId="3408">
    <w:name w:val="正文格式61"/>
    <w:basedOn w:val="1"/>
    <w:qFormat/>
    <w:uiPriority w:val="99"/>
    <w:pPr>
      <w:ind w:firstLine="482"/>
    </w:pPr>
    <w:rPr>
      <w:rFonts w:ascii="宋体" w:hAnsi="宋体"/>
    </w:rPr>
  </w:style>
  <w:style w:type="paragraph" w:customStyle="1" w:styleId="3409">
    <w:name w:val="正文格式＝51"/>
    <w:basedOn w:val="185"/>
    <w:next w:val="185"/>
    <w:qFormat/>
    <w:uiPriority w:val="99"/>
    <w:rPr>
      <w:rFonts w:hAnsi="宋体" w:cs="Times New Roman"/>
    </w:rPr>
  </w:style>
  <w:style w:type="paragraph" w:customStyle="1" w:styleId="3410">
    <w:name w:val="燕山正文1132"/>
    <w:basedOn w:val="1"/>
    <w:qFormat/>
    <w:uiPriority w:val="99"/>
    <w:pPr>
      <w:tabs>
        <w:tab w:val="left" w:pos="4680"/>
      </w:tabs>
      <w:ind w:firstLine="480"/>
    </w:pPr>
    <w:rPr>
      <w:rFonts w:ascii="宋体" w:hAnsi="宋体" w:cs="宋体"/>
      <w:bCs/>
      <w:snapToGrid w:val="0"/>
      <w:color w:val="000000"/>
      <w:kern w:val="0"/>
    </w:rPr>
  </w:style>
  <w:style w:type="paragraph" w:customStyle="1" w:styleId="3411">
    <w:name w:val="图题61"/>
    <w:basedOn w:val="185"/>
    <w:next w:val="185"/>
    <w:qFormat/>
    <w:uiPriority w:val="99"/>
    <w:pPr>
      <w:ind w:firstLine="0"/>
      <w:jc w:val="center"/>
    </w:pPr>
    <w:rPr>
      <w:rFonts w:ascii="黑体" w:hAnsi="宋体" w:eastAsia="黑体"/>
      <w:b/>
      <w:bCs/>
      <w:kern w:val="0"/>
    </w:rPr>
  </w:style>
  <w:style w:type="paragraph" w:customStyle="1" w:styleId="3412">
    <w:name w:val="黑体三号41"/>
    <w:basedOn w:val="185"/>
    <w:qFormat/>
    <w:uiPriority w:val="99"/>
    <w:pPr>
      <w:jc w:val="center"/>
    </w:pPr>
    <w:rPr>
      <w:rFonts w:ascii="黑体" w:hAnsi="宋体" w:eastAsia="黑体"/>
      <w:b/>
      <w:bCs/>
      <w:sz w:val="32"/>
      <w:szCs w:val="20"/>
    </w:rPr>
  </w:style>
  <w:style w:type="paragraph" w:customStyle="1" w:styleId="3413">
    <w:name w:val="图表题1"/>
    <w:basedOn w:val="185"/>
    <w:next w:val="185"/>
    <w:qFormat/>
    <w:uiPriority w:val="99"/>
    <w:pPr>
      <w:ind w:firstLine="0"/>
      <w:jc w:val="center"/>
    </w:pPr>
    <w:rPr>
      <w:rFonts w:ascii="黑体" w:hAnsi="宋体" w:eastAsia="黑体"/>
      <w:b/>
      <w:bCs/>
    </w:rPr>
  </w:style>
  <w:style w:type="paragraph" w:customStyle="1" w:styleId="3414">
    <w:name w:val="表题412"/>
    <w:basedOn w:val="35"/>
    <w:qFormat/>
    <w:uiPriority w:val="99"/>
    <w:pPr>
      <w:tabs>
        <w:tab w:val="left" w:pos="4305"/>
      </w:tabs>
      <w:spacing w:line="360" w:lineRule="auto"/>
      <w:ind w:left="0" w:firstLine="561" w:firstLineChars="0"/>
    </w:pPr>
    <w:rPr>
      <w:rFonts w:ascii="宋体" w:hAnsi="宋体" w:cs="宋体"/>
      <w:color w:val="000000"/>
      <w:sz w:val="24"/>
      <w:lang w:val="zh-CN"/>
    </w:rPr>
  </w:style>
  <w:style w:type="paragraph" w:customStyle="1" w:styleId="3415">
    <w:name w:val="样式 表格内字体 +1"/>
    <w:basedOn w:val="832"/>
    <w:qFormat/>
    <w:uiPriority w:val="99"/>
    <w:pPr>
      <w:spacing w:line="280" w:lineRule="exact"/>
      <w:ind w:firstLine="36"/>
      <w:jc w:val="both"/>
    </w:pPr>
    <w:rPr>
      <w:kern w:val="0"/>
      <w:szCs w:val="24"/>
    </w:rPr>
  </w:style>
  <w:style w:type="paragraph" w:customStyle="1" w:styleId="3416">
    <w:name w:val="表22"/>
    <w:basedOn w:val="1"/>
    <w:qFormat/>
    <w:uiPriority w:val="99"/>
    <w:pPr>
      <w:spacing w:line="240" w:lineRule="auto"/>
      <w:jc w:val="center"/>
    </w:pPr>
    <w:rPr>
      <w:rFonts w:eastAsia="仿宋_GB2312"/>
    </w:rPr>
  </w:style>
  <w:style w:type="paragraph" w:customStyle="1" w:styleId="3417">
    <w:name w:val="A正文1"/>
    <w:basedOn w:val="1"/>
    <w:qFormat/>
    <w:uiPriority w:val="99"/>
    <w:pPr>
      <w:widowControl/>
      <w:overflowPunct w:val="0"/>
      <w:autoSpaceDE w:val="0"/>
      <w:autoSpaceDN w:val="0"/>
      <w:ind w:firstLine="200"/>
      <w:jc w:val="left"/>
      <w:textAlignment w:val="baseline"/>
    </w:pPr>
    <w:rPr>
      <w:rFonts w:eastAsia="仿宋_GB2312"/>
      <w:kern w:val="0"/>
    </w:rPr>
  </w:style>
  <w:style w:type="paragraph" w:customStyle="1" w:styleId="3418">
    <w:name w:val="注释1"/>
    <w:basedOn w:val="185"/>
    <w:next w:val="34"/>
    <w:qFormat/>
    <w:uiPriority w:val="99"/>
    <w:pPr>
      <w:spacing w:before="120" w:after="120" w:line="240" w:lineRule="auto"/>
      <w:ind w:firstLine="200"/>
    </w:pPr>
    <w:rPr>
      <w:sz w:val="21"/>
      <w:szCs w:val="20"/>
    </w:rPr>
  </w:style>
  <w:style w:type="paragraph" w:customStyle="1" w:styleId="3419">
    <w:name w:val="Char71"/>
    <w:basedOn w:val="1"/>
    <w:qFormat/>
    <w:uiPriority w:val="99"/>
    <w:pPr>
      <w:spacing w:line="240" w:lineRule="auto"/>
      <w:ind w:left="-48"/>
    </w:pPr>
    <w:rPr>
      <w:sz w:val="21"/>
    </w:rPr>
  </w:style>
  <w:style w:type="paragraph" w:customStyle="1" w:styleId="3420">
    <w:name w:val="表格内字体111"/>
    <w:basedOn w:val="185"/>
    <w:qFormat/>
    <w:uiPriority w:val="99"/>
    <w:pPr>
      <w:spacing w:line="240" w:lineRule="auto"/>
      <w:ind w:firstLine="0"/>
      <w:jc w:val="center"/>
    </w:pPr>
    <w:rPr>
      <w:sz w:val="21"/>
      <w:szCs w:val="20"/>
    </w:rPr>
  </w:style>
  <w:style w:type="paragraph" w:customStyle="1" w:styleId="3421">
    <w:name w:val="Char Char2 Char Char Char Char31"/>
    <w:basedOn w:val="1"/>
    <w:qFormat/>
    <w:uiPriority w:val="99"/>
    <w:pPr>
      <w:spacing w:line="240" w:lineRule="auto"/>
    </w:pPr>
    <w:rPr>
      <w:sz w:val="21"/>
    </w:rPr>
  </w:style>
  <w:style w:type="paragraph" w:customStyle="1" w:styleId="3422">
    <w:name w:val="样式 正文缩进 + 宋体 黑色 首行缩进:  2 字符1"/>
    <w:basedOn w:val="21"/>
    <w:qFormat/>
    <w:uiPriority w:val="99"/>
    <w:pPr>
      <w:spacing w:line="360" w:lineRule="auto"/>
      <w:ind w:firstLine="480"/>
      <w:jc w:val="left"/>
    </w:pPr>
    <w:rPr>
      <w:rFonts w:ascii="宋体" w:hAnsi="宋体" w:cs="宋体"/>
      <w:color w:val="FF00FF"/>
      <w:sz w:val="24"/>
      <w:szCs w:val="20"/>
    </w:rPr>
  </w:style>
  <w:style w:type="paragraph" w:customStyle="1" w:styleId="3423">
    <w:name w:val="表内宋5113"/>
    <w:basedOn w:val="80"/>
    <w:qFormat/>
    <w:uiPriority w:val="99"/>
    <w:pPr>
      <w:spacing w:before="0" w:beforeAutospacing="0" w:after="0" w:afterAutospacing="0"/>
      <w:jc w:val="both"/>
    </w:pPr>
    <w:rPr>
      <w:rFonts w:cs="宋体"/>
      <w:color w:val="000000"/>
    </w:rPr>
  </w:style>
  <w:style w:type="paragraph" w:customStyle="1" w:styleId="3424">
    <w:name w:val="标题412"/>
    <w:basedOn w:val="6"/>
    <w:next w:val="1"/>
    <w:qFormat/>
    <w:uiPriority w:val="99"/>
    <w:pPr>
      <w:spacing w:before="160" w:after="170" w:line="360" w:lineRule="auto"/>
    </w:pPr>
    <w:rPr>
      <w:rFonts w:ascii="黑体" w:hAnsi="Arial" w:eastAsia="黑体"/>
      <w:kern w:val="0"/>
      <w:lang w:val="zh-CN"/>
    </w:rPr>
  </w:style>
  <w:style w:type="paragraph" w:customStyle="1" w:styleId="3425">
    <w:name w:val="正文.3"/>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426">
    <w:name w:val="表中文字41"/>
    <w:basedOn w:val="1"/>
    <w:qFormat/>
    <w:uiPriority w:val="99"/>
    <w:pPr>
      <w:spacing w:line="340" w:lineRule="exact"/>
      <w:ind w:firstLine="480"/>
      <w:jc w:val="center"/>
    </w:pPr>
    <w:rPr>
      <w:rFonts w:ascii="Arial" w:hAnsi="Arial"/>
      <w:kern w:val="0"/>
      <w:sz w:val="20"/>
      <w:lang w:eastAsia="zh-TW"/>
    </w:rPr>
  </w:style>
  <w:style w:type="paragraph" w:customStyle="1" w:styleId="3427">
    <w:name w:val="表内5312"/>
    <w:basedOn w:val="1"/>
    <w:qFormat/>
    <w:uiPriority w:val="99"/>
    <w:pPr>
      <w:spacing w:line="300" w:lineRule="auto"/>
      <w:jc w:val="left"/>
    </w:pPr>
    <w:rPr>
      <w:rFonts w:ascii="宋体"/>
      <w:sz w:val="21"/>
      <w:szCs w:val="20"/>
    </w:rPr>
  </w:style>
  <w:style w:type="paragraph" w:customStyle="1" w:styleId="3428">
    <w:name w:val="附件22"/>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429">
    <w:name w:val="样式 正文缩进 + 宋体 黑色1"/>
    <w:basedOn w:val="21"/>
    <w:qFormat/>
    <w:uiPriority w:val="99"/>
    <w:pPr>
      <w:spacing w:line="360" w:lineRule="auto"/>
      <w:ind w:firstLine="200"/>
      <w:jc w:val="left"/>
    </w:pPr>
    <w:rPr>
      <w:rFonts w:ascii="宋体" w:hAnsi="宋体"/>
      <w:color w:val="000000"/>
      <w:sz w:val="24"/>
    </w:rPr>
  </w:style>
  <w:style w:type="paragraph" w:customStyle="1" w:styleId="3430">
    <w:name w:val="表文字55"/>
    <w:basedOn w:val="1"/>
    <w:qFormat/>
    <w:uiPriority w:val="99"/>
    <w:pPr>
      <w:spacing w:line="240" w:lineRule="auto"/>
      <w:jc w:val="left"/>
      <w:textAlignment w:val="baseline"/>
    </w:pPr>
    <w:rPr>
      <w:rFonts w:ascii="宋体"/>
      <w:kern w:val="0"/>
      <w:sz w:val="21"/>
      <w:szCs w:val="20"/>
    </w:rPr>
  </w:style>
  <w:style w:type="paragraph" w:customStyle="1" w:styleId="3431">
    <w:name w:val="表内511"/>
    <w:basedOn w:val="1"/>
    <w:qFormat/>
    <w:uiPriority w:val="99"/>
    <w:pPr>
      <w:spacing w:line="240" w:lineRule="auto"/>
      <w:jc w:val="center"/>
    </w:pPr>
    <w:rPr>
      <w:rFonts w:ascii="宋体" w:hAnsi="宋体"/>
      <w:kern w:val="0"/>
      <w:sz w:val="20"/>
      <w:szCs w:val="20"/>
    </w:rPr>
  </w:style>
  <w:style w:type="paragraph" w:customStyle="1" w:styleId="3432">
    <w:name w:val="正文格式＝12"/>
    <w:basedOn w:val="185"/>
    <w:next w:val="185"/>
    <w:qFormat/>
    <w:uiPriority w:val="99"/>
    <w:rPr>
      <w:rFonts w:hAnsi="宋体" w:cs="Times New Roman"/>
    </w:rPr>
  </w:style>
  <w:style w:type="paragraph" w:customStyle="1" w:styleId="3433">
    <w:name w:val="默认段落字体 Para Char Char Char Char51"/>
    <w:basedOn w:val="1"/>
    <w:qFormat/>
    <w:uiPriority w:val="99"/>
    <w:pPr>
      <w:spacing w:line="240" w:lineRule="auto"/>
    </w:pPr>
    <w:rPr>
      <w:sz w:val="21"/>
    </w:rPr>
  </w:style>
  <w:style w:type="paragraph" w:customStyle="1" w:styleId="3434">
    <w:name w:val="样式 样式 宋体 + 首行缩进:  2 字符11"/>
    <w:basedOn w:val="1"/>
    <w:qFormat/>
    <w:uiPriority w:val="99"/>
    <w:pPr>
      <w:ind w:firstLine="480"/>
      <w:jc w:val="left"/>
    </w:pPr>
    <w:rPr>
      <w:rFonts w:ascii="宋体" w:cs="宋体"/>
    </w:rPr>
  </w:style>
  <w:style w:type="paragraph" w:customStyle="1" w:styleId="3435">
    <w:name w:val="表内宋5中21"/>
    <w:basedOn w:val="1"/>
    <w:qFormat/>
    <w:uiPriority w:val="99"/>
    <w:pPr>
      <w:spacing w:line="240" w:lineRule="auto"/>
      <w:jc w:val="center"/>
      <w:textAlignment w:val="baseline"/>
    </w:pPr>
    <w:rPr>
      <w:rFonts w:ascii="宋体" w:hAnsi="宋体"/>
      <w:kern w:val="0"/>
      <w:sz w:val="21"/>
      <w:szCs w:val="20"/>
    </w:rPr>
  </w:style>
  <w:style w:type="paragraph" w:customStyle="1" w:styleId="3436">
    <w:name w:val="xl631"/>
    <w:basedOn w:val="1"/>
    <w:qFormat/>
    <w:uiPriority w:val="99"/>
    <w:pPr>
      <w:widowControl/>
      <w:spacing w:before="100" w:beforeAutospacing="1" w:after="100" w:afterAutospacing="1" w:line="240" w:lineRule="auto"/>
      <w:jc w:val="center"/>
      <w:textAlignment w:val="center"/>
    </w:pPr>
    <w:rPr>
      <w:rFonts w:hint="eastAsia" w:ascii="黑体" w:hAnsi="宋体" w:eastAsia="黑体"/>
      <w:kern w:val="0"/>
    </w:rPr>
  </w:style>
  <w:style w:type="paragraph" w:customStyle="1" w:styleId="3437">
    <w:name w:val="表格内字体52"/>
    <w:basedOn w:val="185"/>
    <w:next w:val="185"/>
    <w:qFormat/>
    <w:uiPriority w:val="99"/>
    <w:pPr>
      <w:spacing w:line="240" w:lineRule="auto"/>
      <w:ind w:firstLine="0"/>
    </w:pPr>
    <w:rPr>
      <w:rFonts w:hAnsi="宋体" w:cs="Times New Roman"/>
      <w:sz w:val="21"/>
    </w:rPr>
  </w:style>
  <w:style w:type="paragraph" w:customStyle="1" w:styleId="3438">
    <w:name w:val="标准1"/>
    <w:basedOn w:val="1"/>
    <w:qFormat/>
    <w:uiPriority w:val="99"/>
    <w:pPr>
      <w:spacing w:before="120" w:line="336" w:lineRule="auto"/>
      <w:jc w:val="center"/>
      <w:textAlignment w:val="baseline"/>
    </w:pPr>
    <w:rPr>
      <w:rFonts w:ascii="黑体" w:eastAsia="黑体"/>
      <w:sz w:val="21"/>
      <w:szCs w:val="20"/>
    </w:rPr>
  </w:style>
  <w:style w:type="paragraph" w:customStyle="1" w:styleId="3439">
    <w:name w:val="表格内字体23"/>
    <w:basedOn w:val="185"/>
    <w:next w:val="185"/>
    <w:qFormat/>
    <w:uiPriority w:val="99"/>
    <w:pPr>
      <w:spacing w:line="240" w:lineRule="auto"/>
      <w:ind w:firstLine="0"/>
      <w:jc w:val="center"/>
    </w:pPr>
    <w:rPr>
      <w:rFonts w:hAnsi="宋体" w:cs="Times New Roman"/>
      <w:sz w:val="21"/>
    </w:rPr>
  </w:style>
  <w:style w:type="paragraph" w:customStyle="1" w:styleId="3440">
    <w:name w:val="Fax Header1"/>
    <w:basedOn w:val="1"/>
    <w:qFormat/>
    <w:uiPriority w:val="99"/>
    <w:pPr>
      <w:widowControl/>
      <w:spacing w:before="240" w:after="60" w:line="240" w:lineRule="auto"/>
      <w:jc w:val="left"/>
    </w:pPr>
    <w:rPr>
      <w:kern w:val="0"/>
      <w:sz w:val="20"/>
      <w:szCs w:val="20"/>
    </w:rPr>
  </w:style>
  <w:style w:type="paragraph" w:customStyle="1" w:styleId="3441">
    <w:name w:val="正文斜体1"/>
    <w:basedOn w:val="185"/>
    <w:next w:val="185"/>
    <w:qFormat/>
    <w:uiPriority w:val="99"/>
    <w:rPr>
      <w:rFonts w:hAnsi="宋体" w:cs="Times New Roman"/>
      <w:i/>
      <w:iCs/>
    </w:rPr>
  </w:style>
  <w:style w:type="paragraph" w:customStyle="1" w:styleId="3442">
    <w:name w:val="Char Char2 Char Char Char Char111"/>
    <w:basedOn w:val="1"/>
    <w:qFormat/>
    <w:uiPriority w:val="99"/>
    <w:pPr>
      <w:spacing w:line="240" w:lineRule="auto"/>
    </w:pPr>
    <w:rPr>
      <w:sz w:val="21"/>
    </w:rPr>
  </w:style>
  <w:style w:type="paragraph" w:customStyle="1" w:styleId="3443">
    <w:name w:val="正文格式71"/>
    <w:basedOn w:val="1"/>
    <w:qFormat/>
    <w:uiPriority w:val="99"/>
    <w:pPr>
      <w:ind w:firstLine="482"/>
    </w:pPr>
    <w:rPr>
      <w:rFonts w:ascii="宋体" w:hAnsi="宋体"/>
    </w:rPr>
  </w:style>
  <w:style w:type="paragraph" w:customStyle="1" w:styleId="3444">
    <w:name w:val="Char91"/>
    <w:basedOn w:val="1"/>
    <w:qFormat/>
    <w:uiPriority w:val="99"/>
    <w:pPr>
      <w:spacing w:line="240" w:lineRule="auto"/>
      <w:ind w:left="-48"/>
    </w:pPr>
    <w:rPr>
      <w:sz w:val="21"/>
    </w:rPr>
  </w:style>
  <w:style w:type="paragraph" w:customStyle="1" w:styleId="3445">
    <w:name w:val="燕山正文41"/>
    <w:basedOn w:val="1"/>
    <w:qFormat/>
    <w:uiPriority w:val="99"/>
    <w:pPr>
      <w:tabs>
        <w:tab w:val="left" w:pos="4680"/>
      </w:tabs>
      <w:spacing w:line="480" w:lineRule="exact"/>
    </w:pPr>
    <w:rPr>
      <w:rFonts w:ascii="宋体" w:cs="宋体"/>
    </w:rPr>
  </w:style>
  <w:style w:type="paragraph" w:customStyle="1" w:styleId="3446">
    <w:name w:val="正文修改41"/>
    <w:basedOn w:val="900"/>
    <w:qFormat/>
    <w:uiPriority w:val="99"/>
    <w:pPr>
      <w:spacing w:line="480" w:lineRule="exact"/>
      <w:ind w:firstLine="0" w:firstLineChars="0"/>
    </w:pPr>
    <w:rPr>
      <w:rFonts w:cs="宋体"/>
      <w:sz w:val="24"/>
      <w:szCs w:val="24"/>
    </w:rPr>
  </w:style>
  <w:style w:type="paragraph" w:customStyle="1" w:styleId="3447">
    <w:name w:val="表中文字5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448">
    <w:name w:val="Char101"/>
    <w:basedOn w:val="1"/>
    <w:qFormat/>
    <w:uiPriority w:val="99"/>
    <w:rPr>
      <w:sz w:val="21"/>
    </w:rPr>
  </w:style>
  <w:style w:type="paragraph" w:customStyle="1" w:styleId="3449">
    <w:name w:val="表内5中11"/>
    <w:basedOn w:val="1"/>
    <w:qFormat/>
    <w:uiPriority w:val="99"/>
    <w:pPr>
      <w:spacing w:line="240" w:lineRule="auto"/>
      <w:jc w:val="center"/>
    </w:pPr>
    <w:rPr>
      <w:rFonts w:ascii="宋体" w:hAnsi="宋体" w:cs="Arial"/>
      <w:snapToGrid w:val="0"/>
      <w:color w:val="000000"/>
      <w:sz w:val="21"/>
      <w:szCs w:val="21"/>
    </w:rPr>
  </w:style>
  <w:style w:type="paragraph" w:customStyle="1" w:styleId="3450">
    <w:name w:val="表内文字小222"/>
    <w:basedOn w:val="1"/>
    <w:qFormat/>
    <w:uiPriority w:val="99"/>
    <w:pPr>
      <w:spacing w:line="240" w:lineRule="auto"/>
      <w:jc w:val="center"/>
    </w:pPr>
    <w:rPr>
      <w:rFonts w:ascii="宋体" w:hAnsi="Times"/>
      <w:bCs/>
      <w:color w:val="000000"/>
      <w:sz w:val="21"/>
      <w:szCs w:val="20"/>
    </w:rPr>
  </w:style>
  <w:style w:type="paragraph" w:customStyle="1" w:styleId="3451">
    <w:name w:val="正文修改22"/>
    <w:basedOn w:val="900"/>
    <w:qFormat/>
    <w:uiPriority w:val="99"/>
    <w:pPr>
      <w:spacing w:line="480" w:lineRule="exact"/>
      <w:ind w:firstLine="0" w:firstLineChars="0"/>
    </w:pPr>
    <w:rPr>
      <w:rFonts w:cs="宋体"/>
      <w:sz w:val="24"/>
      <w:szCs w:val="24"/>
    </w:rPr>
  </w:style>
  <w:style w:type="paragraph" w:customStyle="1" w:styleId="3452">
    <w:name w:val="图题23"/>
    <w:basedOn w:val="185"/>
    <w:next w:val="185"/>
    <w:qFormat/>
    <w:uiPriority w:val="99"/>
    <w:pPr>
      <w:ind w:firstLine="0"/>
      <w:jc w:val="center"/>
    </w:pPr>
    <w:rPr>
      <w:rFonts w:ascii="黑体" w:hAnsi="宋体" w:eastAsia="黑体"/>
      <w:b/>
      <w:bCs/>
    </w:rPr>
  </w:style>
  <w:style w:type="paragraph" w:customStyle="1" w:styleId="3453">
    <w:name w:val="表内54141"/>
    <w:basedOn w:val="1"/>
    <w:qFormat/>
    <w:uiPriority w:val="99"/>
    <w:pPr>
      <w:spacing w:line="300" w:lineRule="auto"/>
      <w:jc w:val="center"/>
    </w:pPr>
    <w:rPr>
      <w:rFonts w:ascii="宋体" w:hAnsi="宋体" w:cs="宋体"/>
      <w:sz w:val="21"/>
      <w:szCs w:val="20"/>
    </w:rPr>
  </w:style>
  <w:style w:type="paragraph" w:customStyle="1" w:styleId="3454">
    <w:name w:val="表内文字小12"/>
    <w:basedOn w:val="1"/>
    <w:qFormat/>
    <w:uiPriority w:val="99"/>
    <w:pPr>
      <w:spacing w:line="240" w:lineRule="auto"/>
      <w:jc w:val="center"/>
    </w:pPr>
    <w:rPr>
      <w:rFonts w:ascii="宋体" w:hAnsi="Times"/>
      <w:sz w:val="21"/>
      <w:szCs w:val="20"/>
    </w:rPr>
  </w:style>
  <w:style w:type="paragraph" w:customStyle="1" w:styleId="3455">
    <w:name w:val="正文格式212"/>
    <w:basedOn w:val="1"/>
    <w:qFormat/>
    <w:uiPriority w:val="99"/>
    <w:pPr>
      <w:ind w:firstLine="482"/>
    </w:pPr>
    <w:rPr>
      <w:rFonts w:ascii="宋体" w:hAnsi="宋体"/>
    </w:rPr>
  </w:style>
  <w:style w:type="paragraph" w:customStyle="1" w:styleId="3456">
    <w:name w:val="表内文字小4"/>
    <w:basedOn w:val="1"/>
    <w:qFormat/>
    <w:uiPriority w:val="99"/>
    <w:pPr>
      <w:spacing w:line="240" w:lineRule="auto"/>
      <w:jc w:val="center"/>
    </w:pPr>
    <w:rPr>
      <w:rFonts w:ascii="宋体" w:hAnsi="Times"/>
      <w:sz w:val="21"/>
      <w:szCs w:val="20"/>
    </w:rPr>
  </w:style>
  <w:style w:type="paragraph" w:customStyle="1" w:styleId="3457">
    <w:name w:val="燕山正文6"/>
    <w:basedOn w:val="1"/>
    <w:qFormat/>
    <w:uiPriority w:val="99"/>
    <w:pPr>
      <w:tabs>
        <w:tab w:val="left" w:pos="4680"/>
      </w:tabs>
      <w:spacing w:line="480" w:lineRule="exact"/>
    </w:pPr>
    <w:rPr>
      <w:rFonts w:ascii="宋体" w:cs="宋体"/>
    </w:rPr>
  </w:style>
  <w:style w:type="paragraph" w:customStyle="1" w:styleId="3458">
    <w:name w:val="默认段落字体 Para Char41"/>
    <w:basedOn w:val="1"/>
    <w:next w:val="1"/>
    <w:qFormat/>
    <w:uiPriority w:val="99"/>
    <w:pPr>
      <w:spacing w:line="480" w:lineRule="exact"/>
      <w:ind w:firstLine="200"/>
      <w:jc w:val="left"/>
    </w:pPr>
    <w:rPr>
      <w:rFonts w:ascii="宋体" w:hAnsi="宋体" w:eastAsia="汉鼎简书宋" w:cs="宋体"/>
      <w:sz w:val="28"/>
    </w:rPr>
  </w:style>
  <w:style w:type="paragraph" w:customStyle="1" w:styleId="3459">
    <w:name w:val="文本框12"/>
    <w:basedOn w:val="1"/>
    <w:qFormat/>
    <w:uiPriority w:val="99"/>
    <w:pPr>
      <w:spacing w:after="6" w:line="240" w:lineRule="auto"/>
      <w:jc w:val="center"/>
    </w:pPr>
    <w:rPr>
      <w:rFonts w:eastAsia="仿宋_GB2312"/>
      <w:sz w:val="21"/>
    </w:rPr>
  </w:style>
  <w:style w:type="paragraph" w:customStyle="1" w:styleId="3460">
    <w:name w:val="正文格式81"/>
    <w:basedOn w:val="1"/>
    <w:qFormat/>
    <w:uiPriority w:val="99"/>
    <w:pPr>
      <w:ind w:firstLine="482"/>
    </w:pPr>
    <w:rPr>
      <w:rFonts w:ascii="宋体" w:hAnsi="宋体"/>
    </w:rPr>
  </w:style>
  <w:style w:type="paragraph" w:customStyle="1" w:styleId="3461">
    <w:name w:val="图题52"/>
    <w:basedOn w:val="185"/>
    <w:next w:val="185"/>
    <w:qFormat/>
    <w:uiPriority w:val="99"/>
    <w:pPr>
      <w:ind w:firstLine="0"/>
      <w:jc w:val="center"/>
    </w:pPr>
    <w:rPr>
      <w:rFonts w:ascii="黑体" w:hAnsi="宋体" w:eastAsia="黑体"/>
      <w:b/>
      <w:bCs/>
    </w:rPr>
  </w:style>
  <w:style w:type="paragraph" w:customStyle="1" w:styleId="3462">
    <w:name w:val="Char34"/>
    <w:basedOn w:val="1"/>
    <w:qFormat/>
    <w:uiPriority w:val="99"/>
    <w:pPr>
      <w:spacing w:line="240" w:lineRule="auto"/>
      <w:ind w:left="-48"/>
    </w:pPr>
    <w:rPr>
      <w:sz w:val="21"/>
    </w:rPr>
  </w:style>
  <w:style w:type="paragraph" w:customStyle="1" w:styleId="3463">
    <w:name w:val="Char Char Char Char Char Char Char5"/>
    <w:basedOn w:val="1"/>
    <w:qFormat/>
    <w:uiPriority w:val="99"/>
    <w:pPr>
      <w:spacing w:line="240" w:lineRule="auto"/>
    </w:pPr>
    <w:rPr>
      <w:sz w:val="21"/>
    </w:rPr>
  </w:style>
  <w:style w:type="paragraph" w:customStyle="1" w:styleId="3464">
    <w:name w:val="Char Char2 Char Char Char Char4"/>
    <w:basedOn w:val="1"/>
    <w:qFormat/>
    <w:uiPriority w:val="99"/>
    <w:pPr>
      <w:spacing w:line="240" w:lineRule="auto"/>
    </w:pPr>
    <w:rPr>
      <w:sz w:val="21"/>
    </w:rPr>
  </w:style>
  <w:style w:type="paragraph" w:customStyle="1" w:styleId="3465">
    <w:name w:val="Char44"/>
    <w:basedOn w:val="1"/>
    <w:qFormat/>
    <w:uiPriority w:val="99"/>
    <w:pPr>
      <w:spacing w:line="240" w:lineRule="auto"/>
      <w:ind w:left="-48"/>
    </w:pPr>
    <w:rPr>
      <w:sz w:val="21"/>
    </w:rPr>
  </w:style>
  <w:style w:type="paragraph" w:customStyle="1" w:styleId="3466">
    <w:name w:val="Char Char Char Char1 Char Char Char21"/>
    <w:basedOn w:val="1"/>
    <w:qFormat/>
    <w:uiPriority w:val="99"/>
    <w:pPr>
      <w:widowControl/>
      <w:spacing w:after="160" w:line="240" w:lineRule="exact"/>
      <w:jc w:val="left"/>
    </w:pPr>
    <w:rPr>
      <w:rFonts w:ascii="Verdana" w:hAnsi="Verdana"/>
      <w:kern w:val="0"/>
      <w:sz w:val="20"/>
      <w:szCs w:val="20"/>
      <w:lang w:eastAsia="en-US"/>
    </w:rPr>
  </w:style>
  <w:style w:type="paragraph" w:customStyle="1" w:styleId="3467">
    <w:name w:val="表题122"/>
    <w:basedOn w:val="22"/>
    <w:qFormat/>
    <w:uiPriority w:val="99"/>
    <w:pPr>
      <w:tabs>
        <w:tab w:val="clear" w:pos="10467"/>
        <w:tab w:val="clear" w:pos="13095"/>
      </w:tabs>
      <w:adjustRightInd/>
      <w:snapToGrid/>
    </w:pPr>
    <w:rPr>
      <w:rFonts w:ascii="黑体" w:eastAsia="黑体"/>
    </w:rPr>
  </w:style>
  <w:style w:type="paragraph" w:customStyle="1" w:styleId="3468">
    <w:name w:val="正文格式＝8"/>
    <w:basedOn w:val="185"/>
    <w:next w:val="185"/>
    <w:qFormat/>
    <w:uiPriority w:val="99"/>
    <w:rPr>
      <w:rFonts w:hAnsi="宋体" w:cs="Times New Roman"/>
    </w:rPr>
  </w:style>
  <w:style w:type="paragraph" w:customStyle="1" w:styleId="3469">
    <w:name w:val="Char17"/>
    <w:basedOn w:val="1"/>
    <w:qFormat/>
    <w:uiPriority w:val="99"/>
    <w:pPr>
      <w:spacing w:line="240" w:lineRule="auto"/>
      <w:ind w:left="-48"/>
    </w:pPr>
    <w:rPr>
      <w:sz w:val="21"/>
    </w:rPr>
  </w:style>
  <w:style w:type="paragraph" w:customStyle="1" w:styleId="3470">
    <w:name w:val="Char Char Char Char Char Char Char131"/>
    <w:basedOn w:val="1"/>
    <w:qFormat/>
    <w:uiPriority w:val="99"/>
    <w:pPr>
      <w:spacing w:line="240" w:lineRule="auto"/>
    </w:pPr>
    <w:rPr>
      <w:sz w:val="21"/>
    </w:rPr>
  </w:style>
  <w:style w:type="paragraph" w:customStyle="1" w:styleId="3471">
    <w:name w:val="Char231"/>
    <w:basedOn w:val="1"/>
    <w:qFormat/>
    <w:uiPriority w:val="99"/>
    <w:pPr>
      <w:spacing w:line="240" w:lineRule="auto"/>
      <w:ind w:left="-48"/>
    </w:pPr>
    <w:rPr>
      <w:sz w:val="21"/>
    </w:rPr>
  </w:style>
  <w:style w:type="paragraph" w:customStyle="1" w:styleId="3472">
    <w:name w:val="Char331"/>
    <w:basedOn w:val="1"/>
    <w:qFormat/>
    <w:uiPriority w:val="99"/>
    <w:pPr>
      <w:spacing w:line="240" w:lineRule="auto"/>
      <w:ind w:left="-48"/>
    </w:pPr>
    <w:rPr>
      <w:sz w:val="21"/>
    </w:rPr>
  </w:style>
  <w:style w:type="paragraph" w:customStyle="1" w:styleId="3473">
    <w:name w:val="Char Char Char Char Char Char Char221"/>
    <w:basedOn w:val="1"/>
    <w:qFormat/>
    <w:uiPriority w:val="99"/>
    <w:pPr>
      <w:spacing w:line="240" w:lineRule="auto"/>
    </w:pPr>
    <w:rPr>
      <w:sz w:val="21"/>
    </w:rPr>
  </w:style>
  <w:style w:type="paragraph" w:customStyle="1" w:styleId="3474">
    <w:name w:val="正文格式12"/>
    <w:basedOn w:val="1"/>
    <w:qFormat/>
    <w:uiPriority w:val="99"/>
    <w:pPr>
      <w:ind w:firstLine="482"/>
    </w:pPr>
    <w:rPr>
      <w:rFonts w:ascii="宋体" w:hAnsi="宋体"/>
    </w:rPr>
  </w:style>
  <w:style w:type="paragraph" w:customStyle="1" w:styleId="3475">
    <w:name w:val="图题9"/>
    <w:basedOn w:val="185"/>
    <w:next w:val="185"/>
    <w:qFormat/>
    <w:uiPriority w:val="99"/>
    <w:pPr>
      <w:ind w:firstLine="0"/>
      <w:jc w:val="center"/>
    </w:pPr>
    <w:rPr>
      <w:rFonts w:ascii="黑体" w:hAnsi="宋体" w:eastAsia="黑体"/>
      <w:b/>
      <w:bCs/>
    </w:rPr>
  </w:style>
  <w:style w:type="paragraph" w:customStyle="1" w:styleId="3476">
    <w:name w:val="表格内字体9"/>
    <w:basedOn w:val="185"/>
    <w:next w:val="185"/>
    <w:qFormat/>
    <w:uiPriority w:val="99"/>
    <w:pPr>
      <w:spacing w:line="240" w:lineRule="auto"/>
      <w:ind w:firstLine="0"/>
      <w:jc w:val="center"/>
    </w:pPr>
    <w:rPr>
      <w:rFonts w:hAnsi="宋体" w:cs="Times New Roman"/>
      <w:sz w:val="21"/>
    </w:rPr>
  </w:style>
  <w:style w:type="paragraph" w:customStyle="1" w:styleId="3477">
    <w:name w:val="表内文字小2112"/>
    <w:basedOn w:val="1"/>
    <w:qFormat/>
    <w:uiPriority w:val="99"/>
    <w:pPr>
      <w:spacing w:line="240" w:lineRule="auto"/>
      <w:jc w:val="center"/>
    </w:pPr>
    <w:rPr>
      <w:rFonts w:ascii="宋体" w:hAnsi="Times"/>
      <w:bCs/>
      <w:color w:val="000000"/>
      <w:sz w:val="21"/>
      <w:szCs w:val="20"/>
    </w:rPr>
  </w:style>
  <w:style w:type="paragraph" w:customStyle="1" w:styleId="3478">
    <w:name w:val="Char181"/>
    <w:basedOn w:val="1"/>
    <w:qFormat/>
    <w:uiPriority w:val="99"/>
    <w:pPr>
      <w:spacing w:line="240" w:lineRule="auto"/>
      <w:ind w:left="-48"/>
    </w:pPr>
    <w:rPr>
      <w:sz w:val="21"/>
    </w:rPr>
  </w:style>
  <w:style w:type="paragraph" w:customStyle="1" w:styleId="3479">
    <w:name w:val="表题17"/>
    <w:basedOn w:val="22"/>
    <w:qFormat/>
    <w:uiPriority w:val="99"/>
    <w:pPr>
      <w:tabs>
        <w:tab w:val="clear" w:pos="10467"/>
        <w:tab w:val="clear" w:pos="13095"/>
      </w:tabs>
      <w:adjustRightInd/>
      <w:snapToGrid/>
    </w:pPr>
    <w:rPr>
      <w:rFonts w:ascii="黑体" w:eastAsia="黑体"/>
    </w:rPr>
  </w:style>
  <w:style w:type="paragraph" w:customStyle="1" w:styleId="3480">
    <w:name w:val="Char Char Char Char Char Char Char15"/>
    <w:basedOn w:val="1"/>
    <w:qFormat/>
    <w:uiPriority w:val="99"/>
    <w:pPr>
      <w:spacing w:line="240" w:lineRule="auto"/>
    </w:pPr>
    <w:rPr>
      <w:sz w:val="21"/>
      <w:szCs w:val="20"/>
    </w:rPr>
  </w:style>
  <w:style w:type="paragraph" w:customStyle="1" w:styleId="3481">
    <w:name w:val="默认段落字体 Para Char6"/>
    <w:basedOn w:val="1"/>
    <w:next w:val="1"/>
    <w:qFormat/>
    <w:uiPriority w:val="99"/>
    <w:pPr>
      <w:spacing w:line="480" w:lineRule="exact"/>
      <w:ind w:firstLine="200"/>
      <w:jc w:val="left"/>
    </w:pPr>
    <w:rPr>
      <w:rFonts w:ascii="宋体" w:hAnsi="宋体" w:eastAsia="汉鼎简书宋" w:cs="宋体"/>
      <w:sz w:val="28"/>
    </w:rPr>
  </w:style>
  <w:style w:type="paragraph" w:customStyle="1" w:styleId="3482">
    <w:name w:val="Char Char Char Char Char Char Char6"/>
    <w:basedOn w:val="1"/>
    <w:qFormat/>
    <w:uiPriority w:val="99"/>
    <w:pPr>
      <w:spacing w:line="240" w:lineRule="auto"/>
    </w:pPr>
    <w:rPr>
      <w:sz w:val="21"/>
      <w:szCs w:val="20"/>
    </w:rPr>
  </w:style>
  <w:style w:type="paragraph" w:customStyle="1" w:styleId="3483">
    <w:name w:val="燕山正文115"/>
    <w:basedOn w:val="1"/>
    <w:qFormat/>
    <w:uiPriority w:val="99"/>
    <w:pPr>
      <w:tabs>
        <w:tab w:val="left" w:pos="4680"/>
      </w:tabs>
      <w:ind w:firstLine="480"/>
    </w:pPr>
    <w:rPr>
      <w:rFonts w:ascii="宋体" w:hAnsi="宋体" w:cs="宋体"/>
      <w:bCs/>
      <w:snapToGrid w:val="0"/>
      <w:color w:val="000000"/>
      <w:kern w:val="0"/>
    </w:rPr>
  </w:style>
  <w:style w:type="paragraph" w:customStyle="1" w:styleId="3484">
    <w:name w:val="附件5"/>
    <w:basedOn w:val="3"/>
    <w:next w:val="185"/>
    <w:qFormat/>
    <w:uiPriority w:val="99"/>
    <w:pPr>
      <w:tabs>
        <w:tab w:val="left" w:pos="1566"/>
      </w:tabs>
      <w:spacing w:after="210"/>
      <w:jc w:val="left"/>
    </w:pPr>
    <w:rPr>
      <w:rFonts w:ascii="黑体" w:hAnsi="宋体" w:eastAsia="黑体"/>
      <w:bCs w:val="0"/>
      <w:sz w:val="32"/>
      <w:szCs w:val="32"/>
    </w:rPr>
  </w:style>
  <w:style w:type="paragraph" w:customStyle="1" w:styleId="3485">
    <w:name w:val="标题4314"/>
    <w:basedOn w:val="1"/>
    <w:qFormat/>
    <w:uiPriority w:val="99"/>
    <w:pPr>
      <w:spacing w:line="480" w:lineRule="exact"/>
      <w:jc w:val="center"/>
    </w:pPr>
    <w:rPr>
      <w:rFonts w:ascii="宋体" w:hAnsi="宋体" w:cs="宋体"/>
    </w:rPr>
  </w:style>
  <w:style w:type="paragraph" w:customStyle="1" w:styleId="3486">
    <w:name w:val="表内5416"/>
    <w:basedOn w:val="1"/>
    <w:qFormat/>
    <w:uiPriority w:val="99"/>
    <w:pPr>
      <w:spacing w:line="300" w:lineRule="auto"/>
      <w:jc w:val="center"/>
    </w:pPr>
    <w:rPr>
      <w:rFonts w:ascii="宋体" w:hAnsi="宋体" w:cs="宋体"/>
      <w:sz w:val="21"/>
      <w:szCs w:val="20"/>
    </w:rPr>
  </w:style>
  <w:style w:type="paragraph" w:customStyle="1" w:styleId="3487">
    <w:name w:val="表内534"/>
    <w:basedOn w:val="1"/>
    <w:qFormat/>
    <w:uiPriority w:val="99"/>
    <w:pPr>
      <w:spacing w:line="300" w:lineRule="auto"/>
      <w:jc w:val="left"/>
    </w:pPr>
    <w:rPr>
      <w:rFonts w:ascii="宋体"/>
      <w:sz w:val="21"/>
      <w:szCs w:val="20"/>
    </w:rPr>
  </w:style>
  <w:style w:type="paragraph" w:customStyle="1" w:styleId="3488">
    <w:name w:val="表内文字小24"/>
    <w:basedOn w:val="1"/>
    <w:qFormat/>
    <w:uiPriority w:val="99"/>
    <w:pPr>
      <w:spacing w:line="240" w:lineRule="auto"/>
      <w:jc w:val="center"/>
    </w:pPr>
    <w:rPr>
      <w:rFonts w:ascii="宋体" w:hAnsi="Times"/>
      <w:bCs/>
      <w:color w:val="000000"/>
      <w:sz w:val="21"/>
      <w:szCs w:val="20"/>
    </w:rPr>
  </w:style>
  <w:style w:type="paragraph" w:customStyle="1" w:styleId="3489">
    <w:name w:val="正文23"/>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490">
    <w:name w:val="表内文字小315"/>
    <w:basedOn w:val="1"/>
    <w:qFormat/>
    <w:uiPriority w:val="99"/>
    <w:pPr>
      <w:spacing w:line="240" w:lineRule="auto"/>
      <w:jc w:val="center"/>
    </w:pPr>
    <w:rPr>
      <w:rFonts w:ascii="宋体" w:hAnsi="Times" w:cs="宋体"/>
      <w:bCs/>
      <w:color w:val="003366"/>
      <w:sz w:val="21"/>
      <w:szCs w:val="20"/>
    </w:rPr>
  </w:style>
  <w:style w:type="paragraph" w:customStyle="1" w:styleId="3491">
    <w:name w:val="文本框3"/>
    <w:basedOn w:val="1"/>
    <w:qFormat/>
    <w:uiPriority w:val="99"/>
    <w:pPr>
      <w:spacing w:after="6" w:line="240" w:lineRule="auto"/>
      <w:jc w:val="center"/>
    </w:pPr>
    <w:rPr>
      <w:rFonts w:eastAsia="仿宋_GB2312"/>
      <w:sz w:val="21"/>
    </w:rPr>
  </w:style>
  <w:style w:type="paragraph" w:customStyle="1" w:styleId="3492">
    <w:name w:val="表5"/>
    <w:basedOn w:val="1"/>
    <w:qFormat/>
    <w:uiPriority w:val="99"/>
    <w:pPr>
      <w:spacing w:line="240" w:lineRule="auto"/>
      <w:jc w:val="center"/>
    </w:pPr>
    <w:rPr>
      <w:rFonts w:eastAsia="仿宋_GB2312"/>
    </w:rPr>
  </w:style>
  <w:style w:type="paragraph" w:customStyle="1" w:styleId="3493">
    <w:name w:val="默认段落字体 Para Char Char Char Char7"/>
    <w:basedOn w:val="1"/>
    <w:qFormat/>
    <w:uiPriority w:val="99"/>
    <w:pPr>
      <w:spacing w:line="240" w:lineRule="auto"/>
    </w:pPr>
    <w:rPr>
      <w:sz w:val="21"/>
    </w:rPr>
  </w:style>
  <w:style w:type="paragraph" w:customStyle="1" w:styleId="3494">
    <w:name w:val="样式22"/>
    <w:basedOn w:val="1"/>
    <w:qFormat/>
    <w:uiPriority w:val="99"/>
    <w:pPr>
      <w:jc w:val="center"/>
      <w:textAlignment w:val="baseline"/>
      <w:outlineLvl w:val="0"/>
    </w:pPr>
    <w:rPr>
      <w:kern w:val="0"/>
      <w:sz w:val="21"/>
      <w:szCs w:val="20"/>
    </w:rPr>
  </w:style>
  <w:style w:type="paragraph" w:customStyle="1" w:styleId="3495">
    <w:name w:val="黑体三号6"/>
    <w:basedOn w:val="185"/>
    <w:qFormat/>
    <w:uiPriority w:val="99"/>
    <w:pPr>
      <w:jc w:val="center"/>
    </w:pPr>
    <w:rPr>
      <w:rFonts w:ascii="黑体" w:hAnsi="宋体" w:eastAsia="黑体"/>
      <w:b/>
      <w:bCs/>
      <w:sz w:val="32"/>
      <w:szCs w:val="20"/>
    </w:rPr>
  </w:style>
  <w:style w:type="paragraph" w:customStyle="1" w:styleId="3496">
    <w:name w:val="Char20"/>
    <w:basedOn w:val="1"/>
    <w:qFormat/>
    <w:uiPriority w:val="99"/>
    <w:pPr>
      <w:spacing w:line="240" w:lineRule="auto"/>
      <w:ind w:left="-48"/>
    </w:pPr>
    <w:rPr>
      <w:sz w:val="21"/>
    </w:rPr>
  </w:style>
  <w:style w:type="paragraph" w:customStyle="1" w:styleId="3497">
    <w:name w:val="样式14"/>
    <w:basedOn w:val="1199"/>
    <w:qFormat/>
    <w:uiPriority w:val="99"/>
    <w:pPr>
      <w:spacing w:line="240" w:lineRule="auto"/>
      <w:ind w:firstLine="0"/>
      <w:jc w:val="center"/>
    </w:pPr>
    <w:rPr>
      <w:rFonts w:cs="Times New Roman"/>
      <w:b/>
      <w:color w:val="auto"/>
      <w:szCs w:val="20"/>
    </w:rPr>
  </w:style>
  <w:style w:type="paragraph" w:customStyle="1" w:styleId="3498">
    <w:name w:val="正文修改6"/>
    <w:basedOn w:val="900"/>
    <w:qFormat/>
    <w:uiPriority w:val="99"/>
    <w:pPr>
      <w:spacing w:line="480" w:lineRule="exact"/>
      <w:ind w:firstLine="0" w:firstLineChars="0"/>
    </w:pPr>
    <w:rPr>
      <w:rFonts w:cs="宋体"/>
      <w:sz w:val="24"/>
      <w:szCs w:val="24"/>
    </w:rPr>
  </w:style>
  <w:style w:type="paragraph" w:customStyle="1" w:styleId="3499">
    <w:name w:val="Char35"/>
    <w:basedOn w:val="1"/>
    <w:qFormat/>
    <w:uiPriority w:val="99"/>
    <w:pPr>
      <w:spacing w:line="240" w:lineRule="auto"/>
      <w:ind w:left="-48"/>
    </w:pPr>
    <w:rPr>
      <w:sz w:val="21"/>
    </w:rPr>
  </w:style>
  <w:style w:type="paragraph" w:customStyle="1" w:styleId="3500">
    <w:name w:val="首行缩进:  0.99 厘米 + 首行缩进:  2 字符2"/>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3501">
    <w:name w:val="图表名称2"/>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502">
    <w:name w:val="Char210"/>
    <w:basedOn w:val="1"/>
    <w:qFormat/>
    <w:uiPriority w:val="99"/>
    <w:pPr>
      <w:spacing w:line="240" w:lineRule="auto"/>
      <w:ind w:left="-48"/>
    </w:pPr>
    <w:rPr>
      <w:sz w:val="21"/>
    </w:rPr>
  </w:style>
  <w:style w:type="paragraph" w:customStyle="1" w:styleId="3503">
    <w:name w:val="表内文字边2"/>
    <w:basedOn w:val="1"/>
    <w:qFormat/>
    <w:uiPriority w:val="99"/>
    <w:pPr>
      <w:widowControl/>
      <w:spacing w:line="240" w:lineRule="atLeast"/>
      <w:ind w:left="-21" w:leftChars="-10" w:right="-42" w:rightChars="-20"/>
    </w:pPr>
    <w:rPr>
      <w:rFonts w:ascii="宋体"/>
      <w:kern w:val="0"/>
      <w:sz w:val="21"/>
      <w:szCs w:val="21"/>
    </w:rPr>
  </w:style>
  <w:style w:type="paragraph" w:customStyle="1" w:styleId="3504">
    <w:name w:val="默认段落字体 Para Char Char Char Char Char2"/>
    <w:basedOn w:val="1"/>
    <w:qFormat/>
    <w:uiPriority w:val="99"/>
    <w:pPr>
      <w:spacing w:line="240" w:lineRule="auto"/>
    </w:pPr>
    <w:rPr>
      <w:sz w:val="21"/>
    </w:rPr>
  </w:style>
  <w:style w:type="paragraph" w:customStyle="1" w:styleId="3505">
    <w:name w:val="表内宋5中4"/>
    <w:basedOn w:val="1"/>
    <w:qFormat/>
    <w:uiPriority w:val="99"/>
    <w:pPr>
      <w:spacing w:line="240" w:lineRule="auto"/>
      <w:textAlignment w:val="baseline"/>
    </w:pPr>
    <w:rPr>
      <w:color w:val="000000"/>
      <w:kern w:val="0"/>
      <w:sz w:val="21"/>
      <w:szCs w:val="20"/>
    </w:rPr>
  </w:style>
  <w:style w:type="paragraph" w:customStyle="1" w:styleId="3506">
    <w:name w:val="表内54"/>
    <w:basedOn w:val="1"/>
    <w:qFormat/>
    <w:uiPriority w:val="99"/>
    <w:pPr>
      <w:spacing w:line="300" w:lineRule="auto"/>
      <w:jc w:val="left"/>
    </w:pPr>
    <w:rPr>
      <w:rFonts w:ascii="宋体"/>
      <w:sz w:val="18"/>
      <w:szCs w:val="20"/>
    </w:rPr>
  </w:style>
  <w:style w:type="paragraph" w:customStyle="1" w:styleId="3507">
    <w:name w:val="表格内字体212"/>
    <w:basedOn w:val="185"/>
    <w:next w:val="185"/>
    <w:qFormat/>
    <w:uiPriority w:val="99"/>
    <w:pPr>
      <w:spacing w:line="240" w:lineRule="auto"/>
      <w:ind w:firstLine="0"/>
      <w:jc w:val="center"/>
    </w:pPr>
    <w:rPr>
      <w:rFonts w:hAnsi="宋体" w:cs="Times New Roman"/>
      <w:sz w:val="21"/>
    </w:rPr>
  </w:style>
  <w:style w:type="paragraph" w:customStyle="1" w:styleId="3508">
    <w:name w:val="表内宋52"/>
    <w:basedOn w:val="1366"/>
    <w:qFormat/>
    <w:uiPriority w:val="99"/>
    <w:pPr>
      <w:widowControl/>
      <w:autoSpaceDE w:val="0"/>
      <w:autoSpaceDN w:val="0"/>
      <w:jc w:val="left"/>
      <w:textAlignment w:val="auto"/>
    </w:pPr>
    <w:rPr>
      <w:color w:val="auto"/>
      <w:w w:val="90"/>
    </w:rPr>
  </w:style>
  <w:style w:type="paragraph" w:customStyle="1" w:styleId="3509">
    <w:name w:val="正文格式13"/>
    <w:basedOn w:val="1"/>
    <w:qFormat/>
    <w:uiPriority w:val="99"/>
    <w:pPr>
      <w:ind w:firstLine="482"/>
    </w:pPr>
    <w:rPr>
      <w:rFonts w:ascii="宋体" w:hAnsi="宋体"/>
    </w:rPr>
  </w:style>
  <w:style w:type="paragraph" w:customStyle="1" w:styleId="3510">
    <w:name w:val="图题12"/>
    <w:basedOn w:val="185"/>
    <w:next w:val="185"/>
    <w:qFormat/>
    <w:uiPriority w:val="99"/>
    <w:pPr>
      <w:ind w:firstLine="0"/>
      <w:jc w:val="center"/>
    </w:pPr>
    <w:rPr>
      <w:rFonts w:ascii="黑体" w:hAnsi="宋体" w:eastAsia="黑体"/>
      <w:b/>
      <w:bCs/>
    </w:rPr>
  </w:style>
  <w:style w:type="paragraph" w:customStyle="1" w:styleId="3511">
    <w:name w:val="表格内字体13"/>
    <w:basedOn w:val="185"/>
    <w:next w:val="185"/>
    <w:qFormat/>
    <w:uiPriority w:val="99"/>
    <w:pPr>
      <w:spacing w:line="240" w:lineRule="auto"/>
      <w:ind w:firstLine="0"/>
      <w:jc w:val="center"/>
    </w:pPr>
    <w:rPr>
      <w:rFonts w:hAnsi="宋体" w:cs="Times New Roman"/>
      <w:sz w:val="21"/>
    </w:rPr>
  </w:style>
  <w:style w:type="paragraph" w:customStyle="1" w:styleId="3512">
    <w:name w:val="黑体三号22"/>
    <w:basedOn w:val="185"/>
    <w:qFormat/>
    <w:uiPriority w:val="99"/>
    <w:pPr>
      <w:jc w:val="center"/>
    </w:pPr>
    <w:rPr>
      <w:rFonts w:ascii="黑体" w:hAnsi="宋体" w:eastAsia="黑体"/>
      <w:b/>
      <w:bCs/>
      <w:sz w:val="32"/>
      <w:szCs w:val="20"/>
    </w:rPr>
  </w:style>
  <w:style w:type="paragraph" w:customStyle="1" w:styleId="3513">
    <w:name w:val="Char110"/>
    <w:basedOn w:val="1"/>
    <w:qFormat/>
    <w:uiPriority w:val="99"/>
    <w:pPr>
      <w:spacing w:line="240" w:lineRule="auto"/>
      <w:ind w:left="-48"/>
    </w:pPr>
    <w:rPr>
      <w:sz w:val="21"/>
    </w:rPr>
  </w:style>
  <w:style w:type="paragraph" w:customStyle="1" w:styleId="3514">
    <w:name w:val="正文格式23"/>
    <w:basedOn w:val="1"/>
    <w:qFormat/>
    <w:uiPriority w:val="99"/>
    <w:pPr>
      <w:ind w:firstLine="482"/>
    </w:pPr>
    <w:rPr>
      <w:rFonts w:ascii="宋体" w:hAnsi="宋体"/>
    </w:rPr>
  </w:style>
  <w:style w:type="paragraph" w:customStyle="1" w:styleId="3515">
    <w:name w:val="表题311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516">
    <w:name w:val="Char Char Char Char Char Char Char141"/>
    <w:basedOn w:val="1"/>
    <w:qFormat/>
    <w:uiPriority w:val="99"/>
    <w:pPr>
      <w:spacing w:line="240" w:lineRule="auto"/>
    </w:pPr>
    <w:rPr>
      <w:sz w:val="21"/>
    </w:rPr>
  </w:style>
  <w:style w:type="paragraph" w:customStyle="1" w:styleId="3517">
    <w:name w:val="默认段落字体 Para Char12"/>
    <w:basedOn w:val="1"/>
    <w:next w:val="1"/>
    <w:qFormat/>
    <w:uiPriority w:val="99"/>
    <w:pPr>
      <w:spacing w:line="480" w:lineRule="exact"/>
      <w:ind w:firstLine="200"/>
      <w:jc w:val="left"/>
    </w:pPr>
    <w:rPr>
      <w:rFonts w:ascii="宋体" w:hAnsi="宋体" w:eastAsia="汉鼎简书宋" w:cs="宋体"/>
      <w:sz w:val="28"/>
    </w:rPr>
  </w:style>
  <w:style w:type="paragraph" w:customStyle="1" w:styleId="3518">
    <w:name w:val="标题43112"/>
    <w:basedOn w:val="1"/>
    <w:qFormat/>
    <w:uiPriority w:val="99"/>
    <w:pPr>
      <w:spacing w:line="480" w:lineRule="exact"/>
      <w:jc w:val="center"/>
    </w:pPr>
    <w:rPr>
      <w:rFonts w:ascii="宋体" w:hAnsi="宋体" w:cs="宋体"/>
    </w:rPr>
  </w:style>
  <w:style w:type="paragraph" w:customStyle="1" w:styleId="3519">
    <w:name w:val="表12"/>
    <w:basedOn w:val="1"/>
    <w:qFormat/>
    <w:uiPriority w:val="0"/>
    <w:pPr>
      <w:spacing w:line="240" w:lineRule="auto"/>
      <w:jc w:val="center"/>
    </w:pPr>
    <w:rPr>
      <w:rFonts w:eastAsia="仿宋_GB2312"/>
    </w:rPr>
  </w:style>
  <w:style w:type="paragraph" w:customStyle="1" w:styleId="3520">
    <w:name w:val="表题113"/>
    <w:basedOn w:val="22"/>
    <w:qFormat/>
    <w:uiPriority w:val="99"/>
    <w:pPr>
      <w:tabs>
        <w:tab w:val="clear" w:pos="10467"/>
        <w:tab w:val="clear" w:pos="13095"/>
      </w:tabs>
      <w:adjustRightInd/>
      <w:snapToGrid/>
    </w:pPr>
    <w:rPr>
      <w:rFonts w:ascii="黑体" w:eastAsia="黑体"/>
      <w:b w:val="0"/>
    </w:rPr>
  </w:style>
  <w:style w:type="paragraph" w:customStyle="1" w:styleId="3521">
    <w:name w:val="燕山正文14"/>
    <w:basedOn w:val="1"/>
    <w:qFormat/>
    <w:uiPriority w:val="99"/>
    <w:pPr>
      <w:tabs>
        <w:tab w:val="left" w:pos="4680"/>
      </w:tabs>
      <w:spacing w:line="480" w:lineRule="exact"/>
    </w:pPr>
    <w:rPr>
      <w:rFonts w:ascii="宋体" w:cs="宋体"/>
    </w:rPr>
  </w:style>
  <w:style w:type="paragraph" w:customStyle="1" w:styleId="3522">
    <w:name w:val="正文修改12"/>
    <w:basedOn w:val="900"/>
    <w:qFormat/>
    <w:uiPriority w:val="99"/>
    <w:pPr>
      <w:spacing w:line="480" w:lineRule="exact"/>
      <w:ind w:firstLine="0" w:firstLineChars="0"/>
    </w:pPr>
    <w:rPr>
      <w:rFonts w:cs="宋体"/>
      <w:sz w:val="24"/>
      <w:szCs w:val="24"/>
    </w:rPr>
  </w:style>
  <w:style w:type="paragraph" w:customStyle="1" w:styleId="3523">
    <w:name w:val="表中文字13"/>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524">
    <w:name w:val="表内文字小3112"/>
    <w:basedOn w:val="1"/>
    <w:qFormat/>
    <w:uiPriority w:val="99"/>
    <w:pPr>
      <w:spacing w:line="240" w:lineRule="auto"/>
      <w:jc w:val="center"/>
    </w:pPr>
    <w:rPr>
      <w:rFonts w:ascii="宋体" w:hAnsi="Times" w:cs="宋体"/>
      <w:bCs/>
      <w:color w:val="003366"/>
      <w:sz w:val="21"/>
      <w:szCs w:val="20"/>
    </w:rPr>
  </w:style>
  <w:style w:type="paragraph" w:customStyle="1" w:styleId="3525">
    <w:name w:val="样式112"/>
    <w:basedOn w:val="1199"/>
    <w:qFormat/>
    <w:uiPriority w:val="99"/>
    <w:pPr>
      <w:spacing w:line="240" w:lineRule="auto"/>
      <w:ind w:firstLine="0"/>
      <w:jc w:val="center"/>
    </w:pPr>
    <w:rPr>
      <w:rFonts w:cs="Times New Roman"/>
      <w:b/>
      <w:color w:val="auto"/>
      <w:szCs w:val="20"/>
    </w:rPr>
  </w:style>
  <w:style w:type="paragraph" w:customStyle="1" w:styleId="3526">
    <w:name w:val="正文格式＝22"/>
    <w:basedOn w:val="185"/>
    <w:next w:val="185"/>
    <w:qFormat/>
    <w:uiPriority w:val="99"/>
    <w:rPr>
      <w:rFonts w:hAnsi="宋体" w:cs="Times New Roman"/>
    </w:rPr>
  </w:style>
  <w:style w:type="paragraph" w:customStyle="1" w:styleId="3527">
    <w:name w:val="Char241"/>
    <w:basedOn w:val="1"/>
    <w:qFormat/>
    <w:uiPriority w:val="99"/>
    <w:pPr>
      <w:spacing w:line="240" w:lineRule="auto"/>
      <w:ind w:left="-48"/>
    </w:pPr>
    <w:rPr>
      <w:sz w:val="21"/>
    </w:rPr>
  </w:style>
  <w:style w:type="paragraph" w:customStyle="1" w:styleId="3528">
    <w:name w:val="表内533"/>
    <w:basedOn w:val="1"/>
    <w:qFormat/>
    <w:uiPriority w:val="99"/>
    <w:pPr>
      <w:spacing w:line="300" w:lineRule="auto"/>
      <w:jc w:val="left"/>
    </w:pPr>
    <w:rPr>
      <w:rFonts w:ascii="宋体"/>
      <w:sz w:val="21"/>
      <w:szCs w:val="20"/>
    </w:rPr>
  </w:style>
  <w:style w:type="paragraph" w:customStyle="1" w:styleId="3529">
    <w:name w:val="正文格式32"/>
    <w:basedOn w:val="1"/>
    <w:qFormat/>
    <w:uiPriority w:val="99"/>
    <w:pPr>
      <w:ind w:firstLine="482"/>
    </w:pPr>
    <w:rPr>
      <w:rFonts w:ascii="宋体" w:hAnsi="宋体"/>
    </w:rPr>
  </w:style>
  <w:style w:type="paragraph" w:customStyle="1" w:styleId="3530">
    <w:name w:val="Char25"/>
    <w:basedOn w:val="1"/>
    <w:qFormat/>
    <w:uiPriority w:val="99"/>
    <w:pPr>
      <w:spacing w:beforeLines="50"/>
    </w:pPr>
    <w:rPr>
      <w:rFonts w:ascii="黑体" w:eastAsia="黑体"/>
      <w:sz w:val="32"/>
      <w:szCs w:val="32"/>
    </w:rPr>
  </w:style>
  <w:style w:type="paragraph" w:customStyle="1" w:styleId="3531">
    <w:name w:val="表内54122"/>
    <w:basedOn w:val="1"/>
    <w:qFormat/>
    <w:uiPriority w:val="99"/>
    <w:pPr>
      <w:spacing w:line="300" w:lineRule="auto"/>
      <w:jc w:val="center"/>
    </w:pPr>
    <w:rPr>
      <w:rFonts w:ascii="宋体" w:hAnsi="宋体" w:cs="宋体"/>
      <w:sz w:val="21"/>
      <w:szCs w:val="20"/>
    </w:rPr>
  </w:style>
  <w:style w:type="paragraph" w:customStyle="1" w:styleId="3532">
    <w:name w:val="标题43122"/>
    <w:basedOn w:val="1"/>
    <w:qFormat/>
    <w:uiPriority w:val="99"/>
    <w:pPr>
      <w:spacing w:line="480" w:lineRule="exact"/>
      <w:jc w:val="center"/>
    </w:pPr>
    <w:rPr>
      <w:rFonts w:ascii="宋体" w:hAnsi="宋体" w:cs="宋体"/>
    </w:rPr>
  </w:style>
  <w:style w:type="paragraph" w:customStyle="1" w:styleId="3533">
    <w:name w:val="燕山正文22"/>
    <w:basedOn w:val="1"/>
    <w:qFormat/>
    <w:uiPriority w:val="99"/>
    <w:pPr>
      <w:tabs>
        <w:tab w:val="left" w:pos="4680"/>
      </w:tabs>
      <w:spacing w:line="480" w:lineRule="exact"/>
    </w:pPr>
    <w:rPr>
      <w:rFonts w:ascii="宋体" w:cs="宋体"/>
    </w:rPr>
  </w:style>
  <w:style w:type="paragraph" w:customStyle="1" w:styleId="3534">
    <w:name w:val="表中文字22"/>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535">
    <w:name w:val="表内文字小3122"/>
    <w:basedOn w:val="1"/>
    <w:qFormat/>
    <w:uiPriority w:val="99"/>
    <w:pPr>
      <w:spacing w:line="240" w:lineRule="auto"/>
      <w:jc w:val="center"/>
    </w:pPr>
    <w:rPr>
      <w:rFonts w:ascii="宋体" w:hAnsi="Times" w:cs="宋体"/>
      <w:bCs/>
      <w:color w:val="003366"/>
      <w:sz w:val="21"/>
      <w:szCs w:val="20"/>
    </w:rPr>
  </w:style>
  <w:style w:type="paragraph" w:customStyle="1" w:styleId="3536">
    <w:name w:val="图题212"/>
    <w:basedOn w:val="185"/>
    <w:next w:val="185"/>
    <w:qFormat/>
    <w:uiPriority w:val="99"/>
    <w:pPr>
      <w:ind w:firstLine="0"/>
      <w:jc w:val="center"/>
    </w:pPr>
    <w:rPr>
      <w:rFonts w:ascii="黑体" w:hAnsi="宋体" w:eastAsia="黑体"/>
      <w:b/>
      <w:bCs/>
    </w:rPr>
  </w:style>
  <w:style w:type="paragraph" w:customStyle="1" w:styleId="3537">
    <w:name w:val="表题1112"/>
    <w:basedOn w:val="22"/>
    <w:qFormat/>
    <w:uiPriority w:val="99"/>
    <w:pPr>
      <w:tabs>
        <w:tab w:val="clear" w:pos="10467"/>
        <w:tab w:val="clear" w:pos="13095"/>
      </w:tabs>
      <w:adjustRightInd/>
      <w:snapToGrid/>
    </w:pPr>
    <w:rPr>
      <w:rFonts w:ascii="黑体" w:eastAsia="黑体"/>
      <w:b w:val="0"/>
    </w:rPr>
  </w:style>
  <w:style w:type="paragraph" w:customStyle="1" w:styleId="3538">
    <w:name w:val="表中文字11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539">
    <w:name w:val="表文字5112"/>
    <w:basedOn w:val="1"/>
    <w:qFormat/>
    <w:uiPriority w:val="99"/>
    <w:pPr>
      <w:spacing w:line="240" w:lineRule="auto"/>
      <w:jc w:val="left"/>
      <w:textAlignment w:val="baseline"/>
    </w:pPr>
    <w:rPr>
      <w:rFonts w:ascii="宋体"/>
      <w:kern w:val="0"/>
      <w:sz w:val="21"/>
      <w:szCs w:val="20"/>
    </w:rPr>
  </w:style>
  <w:style w:type="paragraph" w:customStyle="1" w:styleId="3540">
    <w:name w:val="图题42"/>
    <w:basedOn w:val="185"/>
    <w:next w:val="185"/>
    <w:qFormat/>
    <w:uiPriority w:val="99"/>
    <w:pPr>
      <w:ind w:firstLine="0"/>
      <w:jc w:val="center"/>
    </w:pPr>
    <w:rPr>
      <w:rFonts w:ascii="黑体" w:hAnsi="宋体" w:eastAsia="黑体"/>
      <w:b/>
      <w:bCs/>
    </w:rPr>
  </w:style>
  <w:style w:type="paragraph" w:customStyle="1" w:styleId="3541">
    <w:name w:val="表格内字体42"/>
    <w:basedOn w:val="185"/>
    <w:next w:val="185"/>
    <w:qFormat/>
    <w:uiPriority w:val="99"/>
    <w:pPr>
      <w:spacing w:line="240" w:lineRule="auto"/>
      <w:ind w:firstLine="0"/>
      <w:jc w:val="center"/>
    </w:pPr>
    <w:rPr>
      <w:rFonts w:hAnsi="宋体" w:cs="Times New Roman"/>
      <w:sz w:val="21"/>
    </w:rPr>
  </w:style>
  <w:style w:type="paragraph" w:customStyle="1" w:styleId="3542">
    <w:name w:val="正文格式＝42"/>
    <w:basedOn w:val="185"/>
    <w:next w:val="185"/>
    <w:qFormat/>
    <w:uiPriority w:val="99"/>
    <w:rPr>
      <w:rFonts w:hAnsi="宋体" w:cs="Times New Roman"/>
    </w:rPr>
  </w:style>
  <w:style w:type="paragraph" w:customStyle="1" w:styleId="3543">
    <w:name w:val="表题132"/>
    <w:basedOn w:val="22"/>
    <w:qFormat/>
    <w:uiPriority w:val="99"/>
    <w:pPr>
      <w:tabs>
        <w:tab w:val="clear" w:pos="10467"/>
        <w:tab w:val="clear" w:pos="13095"/>
      </w:tabs>
      <w:adjustRightInd/>
      <w:snapToGrid/>
    </w:pPr>
    <w:rPr>
      <w:rFonts w:ascii="黑体" w:eastAsia="黑体"/>
    </w:rPr>
  </w:style>
  <w:style w:type="paragraph" w:customStyle="1" w:styleId="3544">
    <w:name w:val="Char52"/>
    <w:basedOn w:val="1"/>
    <w:qFormat/>
    <w:uiPriority w:val="99"/>
    <w:pPr>
      <w:spacing w:line="240" w:lineRule="auto"/>
      <w:ind w:left="-45"/>
    </w:pPr>
    <w:rPr>
      <w:sz w:val="21"/>
    </w:rPr>
  </w:style>
  <w:style w:type="paragraph" w:customStyle="1" w:styleId="3545">
    <w:name w:val="正文格式52"/>
    <w:basedOn w:val="1"/>
    <w:qFormat/>
    <w:uiPriority w:val="99"/>
    <w:pPr>
      <w:ind w:firstLine="482"/>
    </w:pPr>
    <w:rPr>
      <w:rFonts w:ascii="宋体" w:hAnsi="宋体"/>
    </w:rPr>
  </w:style>
  <w:style w:type="paragraph" w:customStyle="1" w:styleId="3546">
    <w:name w:val="表32"/>
    <w:basedOn w:val="1"/>
    <w:qFormat/>
    <w:uiPriority w:val="99"/>
    <w:pPr>
      <w:spacing w:line="240" w:lineRule="auto"/>
      <w:jc w:val="center"/>
    </w:pPr>
    <w:rPr>
      <w:rFonts w:eastAsia="仿宋_GB2312"/>
    </w:rPr>
  </w:style>
  <w:style w:type="paragraph" w:customStyle="1" w:styleId="3547">
    <w:name w:val="正文.12"/>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48">
    <w:name w:val="表内宋51112"/>
    <w:basedOn w:val="80"/>
    <w:qFormat/>
    <w:uiPriority w:val="99"/>
    <w:pPr>
      <w:spacing w:before="0" w:beforeAutospacing="0" w:after="0" w:afterAutospacing="0"/>
      <w:jc w:val="both"/>
    </w:pPr>
    <w:rPr>
      <w:rFonts w:cs="宋体"/>
      <w:color w:val="000000"/>
    </w:rPr>
  </w:style>
  <w:style w:type="paragraph" w:customStyle="1" w:styleId="3549">
    <w:name w:val="表内文字小3132"/>
    <w:basedOn w:val="1"/>
    <w:qFormat/>
    <w:uiPriority w:val="99"/>
    <w:pPr>
      <w:spacing w:line="240" w:lineRule="auto"/>
      <w:jc w:val="center"/>
    </w:pPr>
    <w:rPr>
      <w:rFonts w:ascii="宋体" w:hAnsi="Times" w:cs="宋体"/>
      <w:bCs/>
      <w:color w:val="003366"/>
      <w:sz w:val="21"/>
      <w:szCs w:val="20"/>
    </w:rPr>
  </w:style>
  <w:style w:type="paragraph" w:customStyle="1" w:styleId="3550">
    <w:name w:val="燕山正文32"/>
    <w:basedOn w:val="1"/>
    <w:qFormat/>
    <w:uiPriority w:val="99"/>
    <w:pPr>
      <w:tabs>
        <w:tab w:val="left" w:pos="4680"/>
      </w:tabs>
      <w:spacing w:line="480" w:lineRule="exact"/>
    </w:pPr>
    <w:rPr>
      <w:rFonts w:ascii="宋体" w:cs="宋体"/>
    </w:rPr>
  </w:style>
  <w:style w:type="paragraph" w:customStyle="1" w:styleId="3551">
    <w:name w:val="默认段落字体 Para Char Char Char Char32"/>
    <w:basedOn w:val="1"/>
    <w:qFormat/>
    <w:uiPriority w:val="99"/>
    <w:pPr>
      <w:spacing w:line="240" w:lineRule="auto"/>
    </w:pPr>
    <w:rPr>
      <w:sz w:val="21"/>
    </w:rPr>
  </w:style>
  <w:style w:type="paragraph" w:customStyle="1" w:styleId="3552">
    <w:name w:val="表内54132"/>
    <w:basedOn w:val="1"/>
    <w:qFormat/>
    <w:uiPriority w:val="99"/>
    <w:pPr>
      <w:spacing w:line="300" w:lineRule="auto"/>
      <w:jc w:val="center"/>
    </w:pPr>
    <w:rPr>
      <w:rFonts w:ascii="宋体" w:hAnsi="宋体" w:cs="宋体"/>
      <w:sz w:val="21"/>
      <w:szCs w:val="20"/>
    </w:rPr>
  </w:style>
  <w:style w:type="paragraph" w:customStyle="1" w:styleId="3553">
    <w:name w:val="图题221"/>
    <w:basedOn w:val="185"/>
    <w:next w:val="185"/>
    <w:qFormat/>
    <w:uiPriority w:val="99"/>
    <w:pPr>
      <w:ind w:firstLine="0"/>
      <w:jc w:val="center"/>
    </w:pPr>
    <w:rPr>
      <w:rFonts w:ascii="黑体" w:hAnsi="宋体" w:eastAsia="黑体"/>
      <w:b/>
      <w:bCs/>
    </w:rPr>
  </w:style>
  <w:style w:type="paragraph" w:customStyle="1" w:styleId="3554">
    <w:name w:val="表内宋5中112"/>
    <w:basedOn w:val="1"/>
    <w:qFormat/>
    <w:uiPriority w:val="99"/>
    <w:pPr>
      <w:spacing w:line="240" w:lineRule="auto"/>
      <w:jc w:val="center"/>
      <w:textAlignment w:val="baseline"/>
    </w:pPr>
    <w:rPr>
      <w:rFonts w:ascii="宋体" w:hAnsi="宋体" w:cs="宋体"/>
      <w:kern w:val="0"/>
      <w:sz w:val="21"/>
      <w:szCs w:val="20"/>
    </w:rPr>
  </w:style>
  <w:style w:type="paragraph" w:customStyle="1" w:styleId="3555">
    <w:name w:val="标题4112"/>
    <w:basedOn w:val="1"/>
    <w:qFormat/>
    <w:uiPriority w:val="99"/>
    <w:pPr>
      <w:spacing w:line="300" w:lineRule="auto"/>
      <w:jc w:val="left"/>
    </w:pPr>
    <w:rPr>
      <w:rFonts w:ascii="黑体" w:hAnsi="宋体" w:eastAsia="黑体" w:cs="宋体"/>
      <w:bCs/>
      <w:szCs w:val="20"/>
    </w:rPr>
  </w:style>
  <w:style w:type="paragraph" w:customStyle="1" w:styleId="3556">
    <w:name w:val="Char Char2 Char Char Char Char12"/>
    <w:basedOn w:val="1"/>
    <w:qFormat/>
    <w:uiPriority w:val="99"/>
    <w:pPr>
      <w:spacing w:line="240" w:lineRule="auto"/>
    </w:pPr>
    <w:rPr>
      <w:sz w:val="21"/>
    </w:rPr>
  </w:style>
  <w:style w:type="paragraph" w:customStyle="1" w:styleId="3557">
    <w:name w:val="表题1412"/>
    <w:basedOn w:val="1"/>
    <w:qFormat/>
    <w:uiPriority w:val="99"/>
    <w:pPr>
      <w:widowControl/>
      <w:spacing w:line="240" w:lineRule="auto"/>
      <w:jc w:val="center"/>
    </w:pPr>
    <w:rPr>
      <w:rFonts w:ascii="黑体" w:hAnsi="宋体" w:eastAsia="黑体" w:cs="宋体"/>
      <w:kern w:val="0"/>
    </w:rPr>
  </w:style>
  <w:style w:type="paragraph" w:customStyle="1" w:styleId="3558">
    <w:name w:val="默认段落字体 Para Char22"/>
    <w:basedOn w:val="1"/>
    <w:next w:val="1"/>
    <w:qFormat/>
    <w:uiPriority w:val="99"/>
    <w:pPr>
      <w:spacing w:line="480" w:lineRule="exact"/>
      <w:ind w:firstLine="200"/>
      <w:jc w:val="left"/>
    </w:pPr>
    <w:rPr>
      <w:rFonts w:ascii="宋体" w:hAnsi="宋体" w:eastAsia="汉鼎简书宋" w:cs="宋体"/>
      <w:sz w:val="28"/>
    </w:rPr>
  </w:style>
  <w:style w:type="paragraph" w:customStyle="1" w:styleId="3559">
    <w:name w:val="表内5中3"/>
    <w:basedOn w:val="1"/>
    <w:qFormat/>
    <w:uiPriority w:val="99"/>
    <w:pPr>
      <w:spacing w:line="240" w:lineRule="auto"/>
      <w:jc w:val="center"/>
    </w:pPr>
    <w:rPr>
      <w:rFonts w:ascii="宋体" w:hAnsi="宋体" w:cs="Arial"/>
      <w:snapToGrid w:val="0"/>
      <w:color w:val="000000"/>
      <w:sz w:val="21"/>
      <w:szCs w:val="21"/>
    </w:rPr>
  </w:style>
  <w:style w:type="paragraph" w:customStyle="1" w:styleId="3560">
    <w:name w:val="正文格式＝52"/>
    <w:basedOn w:val="185"/>
    <w:next w:val="185"/>
    <w:qFormat/>
    <w:uiPriority w:val="99"/>
    <w:rPr>
      <w:rFonts w:hAnsi="宋体" w:cs="Times New Roman"/>
    </w:rPr>
  </w:style>
  <w:style w:type="paragraph" w:customStyle="1" w:styleId="3561">
    <w:name w:val="附件32"/>
    <w:basedOn w:val="3"/>
    <w:next w:val="185"/>
    <w:qFormat/>
    <w:uiPriority w:val="99"/>
    <w:pPr>
      <w:tabs>
        <w:tab w:val="left" w:pos="1566"/>
      </w:tabs>
      <w:spacing w:after="120"/>
      <w:jc w:val="left"/>
    </w:pPr>
    <w:rPr>
      <w:rFonts w:ascii="黑体" w:hAnsi="宋体" w:eastAsia="黑体"/>
      <w:b w:val="0"/>
      <w:bCs w:val="0"/>
      <w:sz w:val="32"/>
      <w:szCs w:val="32"/>
    </w:rPr>
  </w:style>
  <w:style w:type="paragraph" w:customStyle="1" w:styleId="3562">
    <w:name w:val="表格内字体62"/>
    <w:basedOn w:val="185"/>
    <w:next w:val="185"/>
    <w:qFormat/>
    <w:uiPriority w:val="99"/>
    <w:pPr>
      <w:spacing w:line="240" w:lineRule="auto"/>
      <w:ind w:firstLine="0"/>
      <w:jc w:val="center"/>
    </w:pPr>
    <w:rPr>
      <w:rFonts w:hAnsi="宋体" w:cs="Times New Roman"/>
      <w:sz w:val="21"/>
    </w:rPr>
  </w:style>
  <w:style w:type="paragraph" w:customStyle="1" w:styleId="3563">
    <w:name w:val="样式 表格内字体 +2"/>
    <w:basedOn w:val="832"/>
    <w:qFormat/>
    <w:uiPriority w:val="99"/>
    <w:pPr>
      <w:spacing w:line="280" w:lineRule="exact"/>
      <w:ind w:firstLine="36"/>
      <w:jc w:val="both"/>
    </w:pPr>
    <w:rPr>
      <w:kern w:val="0"/>
      <w:szCs w:val="24"/>
    </w:rPr>
  </w:style>
  <w:style w:type="paragraph" w:customStyle="1" w:styleId="3564">
    <w:name w:val="样式 正文缩进 + 宋体 黑色2"/>
    <w:basedOn w:val="21"/>
    <w:qFormat/>
    <w:uiPriority w:val="99"/>
    <w:pPr>
      <w:spacing w:line="360" w:lineRule="auto"/>
      <w:ind w:firstLine="200"/>
      <w:jc w:val="left"/>
    </w:pPr>
    <w:rPr>
      <w:rFonts w:ascii="宋体" w:hAnsi="宋体"/>
      <w:color w:val="000000"/>
      <w:sz w:val="24"/>
    </w:rPr>
  </w:style>
  <w:style w:type="paragraph" w:customStyle="1" w:styleId="3565">
    <w:name w:val="Char Char2 Char Char Char Char6"/>
    <w:basedOn w:val="1"/>
    <w:qFormat/>
    <w:uiPriority w:val="99"/>
    <w:pPr>
      <w:spacing w:line="240" w:lineRule="auto"/>
    </w:pPr>
    <w:rPr>
      <w:sz w:val="21"/>
    </w:rPr>
  </w:style>
  <w:style w:type="paragraph" w:customStyle="1" w:styleId="3566">
    <w:name w:val="样式 正文缩进 + 宋体 黑色 首行缩进:  2 字符2"/>
    <w:basedOn w:val="21"/>
    <w:qFormat/>
    <w:uiPriority w:val="99"/>
    <w:pPr>
      <w:spacing w:line="360" w:lineRule="auto"/>
      <w:ind w:firstLine="480"/>
      <w:jc w:val="left"/>
    </w:pPr>
    <w:rPr>
      <w:rFonts w:ascii="宋体" w:hAnsi="宋体" w:cs="宋体"/>
      <w:color w:val="FF00FF"/>
      <w:sz w:val="24"/>
      <w:szCs w:val="20"/>
    </w:rPr>
  </w:style>
  <w:style w:type="paragraph" w:customStyle="1" w:styleId="3567">
    <w:name w:val="环评正文2"/>
    <w:qFormat/>
    <w:uiPriority w:val="99"/>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568">
    <w:name w:val="样式42"/>
    <w:basedOn w:val="34"/>
    <w:qFormat/>
    <w:uiPriority w:val="99"/>
    <w:pPr>
      <w:tabs>
        <w:tab w:val="left" w:pos="1820"/>
      </w:tabs>
      <w:adjustRightInd/>
      <w:spacing w:after="0" w:line="240" w:lineRule="atLeast"/>
      <w:jc w:val="center"/>
    </w:pPr>
    <w:rPr>
      <w:rFonts w:ascii="Calibri" w:hAnsi="Calibri" w:eastAsia="幼圆"/>
      <w:kern w:val="0"/>
      <w:sz w:val="21"/>
      <w:szCs w:val="20"/>
    </w:rPr>
  </w:style>
  <w:style w:type="paragraph" w:customStyle="1" w:styleId="3569">
    <w:name w:val="Char Char Char Char Char Char Char8"/>
    <w:basedOn w:val="1"/>
    <w:qFormat/>
    <w:uiPriority w:val="99"/>
    <w:pPr>
      <w:spacing w:line="240" w:lineRule="auto"/>
    </w:pPr>
    <w:rPr>
      <w:sz w:val="21"/>
    </w:rPr>
  </w:style>
  <w:style w:type="paragraph" w:customStyle="1" w:styleId="3570">
    <w:name w:val="表中文字42"/>
    <w:basedOn w:val="1"/>
    <w:qFormat/>
    <w:uiPriority w:val="99"/>
    <w:pPr>
      <w:spacing w:line="340" w:lineRule="exact"/>
      <w:ind w:firstLine="480"/>
      <w:jc w:val="center"/>
    </w:pPr>
    <w:rPr>
      <w:rFonts w:ascii="Arial" w:hAnsi="Arial"/>
      <w:kern w:val="0"/>
      <w:sz w:val="20"/>
      <w:lang w:eastAsia="zh-TW"/>
    </w:rPr>
  </w:style>
  <w:style w:type="paragraph" w:customStyle="1" w:styleId="3571">
    <w:name w:val="表内512"/>
    <w:basedOn w:val="1"/>
    <w:qFormat/>
    <w:uiPriority w:val="99"/>
    <w:pPr>
      <w:spacing w:line="240" w:lineRule="auto"/>
      <w:jc w:val="center"/>
    </w:pPr>
    <w:rPr>
      <w:rFonts w:ascii="宋体" w:hAnsi="宋体"/>
      <w:kern w:val="0"/>
      <w:sz w:val="20"/>
      <w:szCs w:val="20"/>
    </w:rPr>
  </w:style>
  <w:style w:type="paragraph" w:customStyle="1" w:styleId="3572">
    <w:name w:val="标准2"/>
    <w:basedOn w:val="1"/>
    <w:qFormat/>
    <w:uiPriority w:val="99"/>
    <w:pPr>
      <w:spacing w:before="120" w:line="336" w:lineRule="auto"/>
      <w:jc w:val="center"/>
      <w:textAlignment w:val="baseline"/>
    </w:pPr>
    <w:rPr>
      <w:rFonts w:ascii="黑体" w:eastAsia="黑体"/>
      <w:sz w:val="21"/>
      <w:szCs w:val="20"/>
    </w:rPr>
  </w:style>
  <w:style w:type="paragraph" w:customStyle="1" w:styleId="3573">
    <w:name w:val="Fax Header2"/>
    <w:basedOn w:val="1"/>
    <w:qFormat/>
    <w:uiPriority w:val="99"/>
    <w:pPr>
      <w:widowControl/>
      <w:spacing w:before="240" w:after="60" w:line="240" w:lineRule="auto"/>
      <w:jc w:val="left"/>
    </w:pPr>
    <w:rPr>
      <w:kern w:val="0"/>
      <w:sz w:val="20"/>
      <w:szCs w:val="20"/>
    </w:rPr>
  </w:style>
  <w:style w:type="paragraph" w:customStyle="1" w:styleId="3574">
    <w:name w:val="默认段落字体 Para Char Char Char Char61"/>
    <w:basedOn w:val="1"/>
    <w:qFormat/>
    <w:uiPriority w:val="99"/>
    <w:pPr>
      <w:spacing w:line="240" w:lineRule="auto"/>
    </w:pPr>
    <w:rPr>
      <w:sz w:val="21"/>
    </w:rPr>
  </w:style>
  <w:style w:type="paragraph" w:customStyle="1" w:styleId="3575">
    <w:name w:val="样式 表格内字体1 +2"/>
    <w:basedOn w:val="2373"/>
    <w:next w:val="832"/>
    <w:qFormat/>
    <w:uiPriority w:val="99"/>
    <w:rPr>
      <w:rFonts w:hAnsi="Times New Roman" w:cs="宋体"/>
      <w:szCs w:val="20"/>
    </w:rPr>
  </w:style>
  <w:style w:type="paragraph" w:customStyle="1" w:styleId="3576">
    <w:name w:val="默认段落字体 Para Char32"/>
    <w:basedOn w:val="1"/>
    <w:qFormat/>
    <w:uiPriority w:val="99"/>
    <w:pPr>
      <w:ind w:firstLine="200"/>
    </w:pPr>
    <w:rPr>
      <w:rFonts w:ascii="宋体" w:hAnsi="宋体" w:cs="宋体"/>
    </w:rPr>
  </w:style>
  <w:style w:type="paragraph" w:customStyle="1" w:styleId="3577">
    <w:name w:val="正文斜体2"/>
    <w:basedOn w:val="185"/>
    <w:next w:val="185"/>
    <w:qFormat/>
    <w:uiPriority w:val="99"/>
    <w:rPr>
      <w:rFonts w:hAnsi="宋体" w:cs="Times New Roman"/>
      <w:i/>
      <w:iCs/>
    </w:rPr>
  </w:style>
  <w:style w:type="paragraph" w:customStyle="1" w:styleId="3578">
    <w:name w:val="正文格式72"/>
    <w:basedOn w:val="1"/>
    <w:qFormat/>
    <w:uiPriority w:val="99"/>
    <w:pPr>
      <w:ind w:firstLine="482"/>
    </w:pPr>
    <w:rPr>
      <w:rFonts w:ascii="宋体" w:hAnsi="宋体"/>
    </w:rPr>
  </w:style>
  <w:style w:type="paragraph" w:customStyle="1" w:styleId="3579">
    <w:name w:val="图题72"/>
    <w:basedOn w:val="185"/>
    <w:next w:val="185"/>
    <w:qFormat/>
    <w:uiPriority w:val="99"/>
    <w:pPr>
      <w:ind w:firstLine="0"/>
      <w:jc w:val="center"/>
    </w:pPr>
    <w:rPr>
      <w:rFonts w:ascii="黑体" w:hAnsi="宋体" w:eastAsia="黑体"/>
      <w:b/>
      <w:bCs/>
    </w:rPr>
  </w:style>
  <w:style w:type="paragraph" w:customStyle="1" w:styleId="3580">
    <w:name w:val="表题152"/>
    <w:basedOn w:val="22"/>
    <w:qFormat/>
    <w:uiPriority w:val="99"/>
    <w:pPr>
      <w:tabs>
        <w:tab w:val="clear" w:pos="10467"/>
        <w:tab w:val="clear" w:pos="13095"/>
      </w:tabs>
      <w:adjustRightInd/>
      <w:snapToGrid/>
    </w:pPr>
    <w:rPr>
      <w:rFonts w:ascii="黑体" w:eastAsia="黑体"/>
    </w:rPr>
  </w:style>
  <w:style w:type="paragraph" w:customStyle="1" w:styleId="3581">
    <w:name w:val="表中文字5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582">
    <w:name w:val="封面标准文稿编辑信息2"/>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3583">
    <w:name w:val="样式 表内小5 + 黑体 加粗 倾斜 下划线2"/>
    <w:basedOn w:val="1"/>
    <w:qFormat/>
    <w:uiPriority w:val="99"/>
    <w:pPr>
      <w:spacing w:line="300" w:lineRule="auto"/>
      <w:jc w:val="left"/>
    </w:pPr>
    <w:rPr>
      <w:rFonts w:ascii="黑体" w:hAnsi="黑体" w:eastAsia="黑体"/>
      <w:b/>
      <w:bCs/>
      <w:i/>
      <w:iCs/>
      <w:sz w:val="18"/>
      <w:u w:val="single"/>
    </w:rPr>
  </w:style>
  <w:style w:type="paragraph" w:customStyle="1" w:styleId="3584">
    <w:name w:val="表内5中12"/>
    <w:basedOn w:val="1"/>
    <w:qFormat/>
    <w:uiPriority w:val="99"/>
    <w:pPr>
      <w:spacing w:line="240" w:lineRule="auto"/>
      <w:jc w:val="center"/>
    </w:pPr>
    <w:rPr>
      <w:rFonts w:ascii="宋体" w:hAnsi="宋体" w:cs="Arial"/>
      <w:snapToGrid w:val="0"/>
      <w:color w:val="000000"/>
      <w:sz w:val="21"/>
      <w:szCs w:val="21"/>
    </w:rPr>
  </w:style>
  <w:style w:type="paragraph" w:customStyle="1" w:styleId="3585">
    <w:name w:val="表内54142"/>
    <w:basedOn w:val="1"/>
    <w:qFormat/>
    <w:uiPriority w:val="99"/>
    <w:pPr>
      <w:spacing w:line="300" w:lineRule="auto"/>
      <w:jc w:val="center"/>
    </w:pPr>
    <w:rPr>
      <w:rFonts w:ascii="宋体" w:hAnsi="宋体" w:cs="宋体"/>
      <w:sz w:val="21"/>
      <w:szCs w:val="20"/>
    </w:rPr>
  </w:style>
  <w:style w:type="paragraph" w:customStyle="1" w:styleId="3586">
    <w:name w:val="表题92"/>
    <w:basedOn w:val="45"/>
    <w:qFormat/>
    <w:uiPriority w:val="99"/>
    <w:pPr>
      <w:spacing w:line="300" w:lineRule="auto"/>
    </w:pPr>
    <w:rPr>
      <w:rFonts w:ascii="黑体" w:eastAsia="黑体"/>
      <w:spacing w:val="0"/>
      <w:sz w:val="24"/>
    </w:rPr>
  </w:style>
  <w:style w:type="paragraph" w:customStyle="1" w:styleId="3587">
    <w:name w:val="福建正文缩进2"/>
    <w:basedOn w:val="21"/>
    <w:qFormat/>
    <w:uiPriority w:val="99"/>
    <w:pPr>
      <w:widowControl/>
      <w:tabs>
        <w:tab w:val="left" w:pos="5837"/>
      </w:tabs>
      <w:spacing w:line="480" w:lineRule="exact"/>
      <w:ind w:firstLine="0" w:firstLineChars="0"/>
    </w:pPr>
    <w:rPr>
      <w:rFonts w:ascii="宋体" w:hAnsi="宋体" w:cs="宋体"/>
      <w:color w:val="000000"/>
      <w:kern w:val="0"/>
      <w:sz w:val="24"/>
    </w:rPr>
  </w:style>
  <w:style w:type="paragraph" w:customStyle="1" w:styleId="3588">
    <w:name w:val="首行缩进:  0.99 厘米 + 首行缩进:  2 字符11"/>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3589">
    <w:name w:val="表内小5中2"/>
    <w:basedOn w:val="1"/>
    <w:qFormat/>
    <w:uiPriority w:val="99"/>
    <w:pPr>
      <w:spacing w:line="240" w:lineRule="auto"/>
      <w:jc w:val="center"/>
    </w:pPr>
    <w:rPr>
      <w:rFonts w:ascii="宋体" w:hAnsi="宋体"/>
      <w:sz w:val="18"/>
      <w:szCs w:val="20"/>
    </w:rPr>
  </w:style>
  <w:style w:type="paragraph" w:customStyle="1" w:styleId="3590">
    <w:name w:val="表内5中42"/>
    <w:basedOn w:val="1"/>
    <w:qFormat/>
    <w:uiPriority w:val="99"/>
    <w:pPr>
      <w:spacing w:line="240" w:lineRule="auto"/>
      <w:jc w:val="center"/>
    </w:pPr>
    <w:rPr>
      <w:rFonts w:ascii="宋体"/>
      <w:bCs/>
      <w:sz w:val="21"/>
      <w:szCs w:val="20"/>
    </w:rPr>
  </w:style>
  <w:style w:type="paragraph" w:customStyle="1" w:styleId="3591">
    <w:name w:val="燕山正文132"/>
    <w:basedOn w:val="1"/>
    <w:qFormat/>
    <w:uiPriority w:val="99"/>
    <w:pPr>
      <w:tabs>
        <w:tab w:val="left" w:pos="4680"/>
      </w:tabs>
      <w:ind w:firstLine="480"/>
    </w:pPr>
    <w:rPr>
      <w:rFonts w:ascii="宋体" w:hAnsi="宋体" w:cs="宋体"/>
      <w:bCs/>
      <w:color w:val="000000"/>
    </w:rPr>
  </w:style>
  <w:style w:type="paragraph" w:customStyle="1" w:styleId="3592">
    <w:name w:val="样式 标题 4无效格式无效格式1河石管道4H4H41小小节河石管道41H42H411小小节1河石管道42...12"/>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3593">
    <w:name w:val="正文格式92"/>
    <w:basedOn w:val="1"/>
    <w:qFormat/>
    <w:uiPriority w:val="99"/>
    <w:pPr>
      <w:ind w:firstLine="482"/>
    </w:pPr>
    <w:rPr>
      <w:rFonts w:ascii="宋体" w:hAnsi="宋体"/>
    </w:rPr>
  </w:style>
  <w:style w:type="paragraph" w:customStyle="1" w:styleId="3594">
    <w:name w:val="Char26"/>
    <w:basedOn w:val="1"/>
    <w:qFormat/>
    <w:uiPriority w:val="99"/>
    <w:pPr>
      <w:spacing w:line="240" w:lineRule="auto"/>
      <w:ind w:left="-48"/>
    </w:pPr>
    <w:rPr>
      <w:sz w:val="21"/>
    </w:rPr>
  </w:style>
  <w:style w:type="paragraph" w:customStyle="1" w:styleId="3595">
    <w:name w:val="Char Char Char Char1 Char Char Char4"/>
    <w:basedOn w:val="1"/>
    <w:qFormat/>
    <w:uiPriority w:val="99"/>
    <w:pPr>
      <w:widowControl/>
      <w:spacing w:after="160" w:line="240" w:lineRule="exact"/>
      <w:jc w:val="left"/>
    </w:pPr>
    <w:rPr>
      <w:rFonts w:ascii="Verdana" w:hAnsi="Verdana"/>
      <w:kern w:val="0"/>
      <w:sz w:val="20"/>
      <w:szCs w:val="20"/>
      <w:lang w:eastAsia="en-US"/>
    </w:rPr>
  </w:style>
  <w:style w:type="paragraph" w:customStyle="1" w:styleId="3596">
    <w:name w:val="Char112"/>
    <w:basedOn w:val="1"/>
    <w:qFormat/>
    <w:uiPriority w:val="99"/>
    <w:pPr>
      <w:spacing w:line="240" w:lineRule="auto"/>
      <w:ind w:left="-48"/>
    </w:pPr>
    <w:rPr>
      <w:sz w:val="21"/>
    </w:rPr>
  </w:style>
  <w:style w:type="paragraph" w:customStyle="1" w:styleId="3597">
    <w:name w:val="Char Char Char Char Char Char Char16"/>
    <w:basedOn w:val="1"/>
    <w:qFormat/>
    <w:uiPriority w:val="99"/>
    <w:pPr>
      <w:spacing w:line="240" w:lineRule="auto"/>
    </w:pPr>
    <w:rPr>
      <w:sz w:val="21"/>
    </w:rPr>
  </w:style>
  <w:style w:type="paragraph" w:customStyle="1" w:styleId="3598">
    <w:name w:val="Char36"/>
    <w:basedOn w:val="1"/>
    <w:qFormat/>
    <w:uiPriority w:val="99"/>
    <w:pPr>
      <w:spacing w:line="240" w:lineRule="auto"/>
      <w:ind w:left="-48"/>
    </w:pPr>
    <w:rPr>
      <w:sz w:val="21"/>
    </w:rPr>
  </w:style>
  <w:style w:type="paragraph" w:customStyle="1" w:styleId="3599">
    <w:name w:val="Char Char Char Char Char Char Char9"/>
    <w:basedOn w:val="1"/>
    <w:qFormat/>
    <w:uiPriority w:val="99"/>
    <w:pPr>
      <w:spacing w:line="240" w:lineRule="auto"/>
    </w:pPr>
    <w:rPr>
      <w:sz w:val="21"/>
    </w:rPr>
  </w:style>
  <w:style w:type="paragraph" w:customStyle="1" w:styleId="3600">
    <w:name w:val="Char Char Char Char1 Char Char Char5"/>
    <w:basedOn w:val="1"/>
    <w:qFormat/>
    <w:uiPriority w:val="99"/>
    <w:pPr>
      <w:widowControl/>
      <w:spacing w:after="160" w:line="240" w:lineRule="exact"/>
      <w:jc w:val="left"/>
    </w:pPr>
    <w:rPr>
      <w:rFonts w:ascii="Verdana" w:hAnsi="Verdana"/>
      <w:kern w:val="0"/>
      <w:sz w:val="20"/>
      <w:szCs w:val="20"/>
      <w:lang w:eastAsia="en-US"/>
    </w:rPr>
  </w:style>
  <w:style w:type="paragraph" w:customStyle="1" w:styleId="3601">
    <w:name w:val="Char Char Char Char Char Char Char17"/>
    <w:basedOn w:val="1"/>
    <w:qFormat/>
    <w:uiPriority w:val="99"/>
    <w:pPr>
      <w:spacing w:line="240" w:lineRule="auto"/>
    </w:pPr>
    <w:rPr>
      <w:sz w:val="21"/>
    </w:rPr>
  </w:style>
  <w:style w:type="paragraph" w:customStyle="1" w:styleId="3602">
    <w:name w:val="Char29"/>
    <w:basedOn w:val="1"/>
    <w:qFormat/>
    <w:uiPriority w:val="99"/>
    <w:pPr>
      <w:spacing w:line="240" w:lineRule="auto"/>
      <w:ind w:left="-48"/>
    </w:pPr>
    <w:rPr>
      <w:sz w:val="21"/>
    </w:rPr>
  </w:style>
  <w:style w:type="paragraph" w:customStyle="1" w:styleId="3603">
    <w:name w:val="Char47"/>
    <w:basedOn w:val="1"/>
    <w:qFormat/>
    <w:uiPriority w:val="99"/>
    <w:pPr>
      <w:spacing w:line="240" w:lineRule="auto"/>
      <w:ind w:left="-48"/>
    </w:pPr>
    <w:rPr>
      <w:sz w:val="21"/>
    </w:rPr>
  </w:style>
  <w:style w:type="paragraph" w:customStyle="1" w:styleId="3604">
    <w:name w:val="表格内容2"/>
    <w:qFormat/>
    <w:uiPriority w:val="99"/>
    <w:pPr>
      <w:jc w:val="center"/>
    </w:pPr>
    <w:rPr>
      <w:rFonts w:ascii="Times New Roman" w:hAnsi="Times New Roman" w:eastAsia="宋体" w:cs="Times New Roman"/>
      <w:kern w:val="2"/>
      <w:sz w:val="21"/>
      <w:szCs w:val="21"/>
      <w:lang w:val="en-US" w:eastAsia="zh-CN" w:bidi="ar-SA"/>
    </w:rPr>
  </w:style>
  <w:style w:type="paragraph" w:customStyle="1" w:styleId="3605">
    <w:name w:val="正文格式101"/>
    <w:basedOn w:val="1"/>
    <w:qFormat/>
    <w:uiPriority w:val="99"/>
    <w:pPr>
      <w:ind w:firstLine="482"/>
    </w:pPr>
    <w:rPr>
      <w:rFonts w:ascii="宋体" w:hAnsi="宋体"/>
    </w:rPr>
  </w:style>
  <w:style w:type="paragraph" w:customStyle="1" w:styleId="3606">
    <w:name w:val="图题81"/>
    <w:basedOn w:val="185"/>
    <w:next w:val="185"/>
    <w:qFormat/>
    <w:uiPriority w:val="99"/>
    <w:pPr>
      <w:ind w:firstLine="0"/>
      <w:jc w:val="center"/>
    </w:pPr>
    <w:rPr>
      <w:rFonts w:ascii="黑体" w:hAnsi="宋体" w:eastAsia="黑体"/>
      <w:b/>
      <w:bCs/>
    </w:rPr>
  </w:style>
  <w:style w:type="paragraph" w:customStyle="1" w:styleId="3607">
    <w:name w:val="燕山正文51"/>
    <w:basedOn w:val="1"/>
    <w:qFormat/>
    <w:uiPriority w:val="99"/>
    <w:pPr>
      <w:tabs>
        <w:tab w:val="left" w:pos="4680"/>
      </w:tabs>
      <w:spacing w:line="480" w:lineRule="exact"/>
    </w:pPr>
    <w:rPr>
      <w:rFonts w:ascii="宋体" w:cs="宋体"/>
    </w:rPr>
  </w:style>
  <w:style w:type="paragraph" w:customStyle="1" w:styleId="3608">
    <w:name w:val="表中文字6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609">
    <w:name w:val="表题11112"/>
    <w:basedOn w:val="22"/>
    <w:qFormat/>
    <w:uiPriority w:val="99"/>
    <w:pPr>
      <w:tabs>
        <w:tab w:val="clear" w:pos="10467"/>
        <w:tab w:val="clear" w:pos="13095"/>
      </w:tabs>
      <w:adjustRightInd/>
      <w:snapToGrid/>
    </w:pPr>
    <w:rPr>
      <w:rFonts w:ascii="黑体" w:eastAsia="黑体"/>
      <w:b w:val="0"/>
    </w:rPr>
  </w:style>
  <w:style w:type="paragraph" w:customStyle="1" w:styleId="3610">
    <w:name w:val="福建正文缩进11"/>
    <w:basedOn w:val="21"/>
    <w:qFormat/>
    <w:uiPriority w:val="99"/>
    <w:pPr>
      <w:spacing w:line="360" w:lineRule="auto"/>
      <w:ind w:firstLine="567" w:firstLineChars="0"/>
    </w:pPr>
    <w:rPr>
      <w:rFonts w:ascii="宋体"/>
      <w:kern w:val="0"/>
      <w:sz w:val="24"/>
    </w:rPr>
  </w:style>
  <w:style w:type="paragraph" w:customStyle="1" w:styleId="3611">
    <w:name w:val="表内文字小32"/>
    <w:basedOn w:val="1"/>
    <w:qFormat/>
    <w:uiPriority w:val="99"/>
    <w:pPr>
      <w:spacing w:line="240" w:lineRule="auto"/>
      <w:jc w:val="center"/>
    </w:pPr>
    <w:rPr>
      <w:rFonts w:ascii="宋体" w:hAnsi="Times"/>
      <w:sz w:val="21"/>
      <w:szCs w:val="20"/>
    </w:rPr>
  </w:style>
  <w:style w:type="paragraph" w:customStyle="1" w:styleId="3612">
    <w:name w:val="表内小5中11"/>
    <w:basedOn w:val="1"/>
    <w:qFormat/>
    <w:uiPriority w:val="99"/>
    <w:pPr>
      <w:spacing w:line="240" w:lineRule="auto"/>
      <w:jc w:val="center"/>
    </w:pPr>
    <w:rPr>
      <w:rFonts w:ascii="宋体" w:hAnsi="宋体"/>
      <w:sz w:val="18"/>
      <w:szCs w:val="20"/>
    </w:rPr>
  </w:style>
  <w:style w:type="paragraph" w:customStyle="1" w:styleId="3613">
    <w:name w:val="样式 标题 4无效格式无效格式1河石管道4H4H41小小节河石管道41H42H411小小节1河石管道42...111"/>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3614">
    <w:name w:val="附件41"/>
    <w:basedOn w:val="3"/>
    <w:next w:val="185"/>
    <w:qFormat/>
    <w:uiPriority w:val="99"/>
    <w:pPr>
      <w:tabs>
        <w:tab w:val="left" w:pos="1566"/>
      </w:tabs>
      <w:spacing w:after="210"/>
      <w:jc w:val="left"/>
    </w:pPr>
    <w:rPr>
      <w:rFonts w:ascii="黑体" w:hAnsi="宋体" w:eastAsia="黑体"/>
      <w:bCs w:val="0"/>
      <w:sz w:val="32"/>
      <w:szCs w:val="32"/>
    </w:rPr>
  </w:style>
  <w:style w:type="paragraph" w:customStyle="1" w:styleId="3615">
    <w:name w:val="标题43131"/>
    <w:basedOn w:val="1"/>
    <w:qFormat/>
    <w:uiPriority w:val="99"/>
    <w:pPr>
      <w:spacing w:line="480" w:lineRule="exact"/>
      <w:jc w:val="center"/>
    </w:pPr>
    <w:rPr>
      <w:rFonts w:ascii="宋体" w:hAnsi="宋体" w:cs="宋体"/>
    </w:rPr>
  </w:style>
  <w:style w:type="paragraph" w:customStyle="1" w:styleId="3616">
    <w:name w:val="表格内字体512"/>
    <w:basedOn w:val="185"/>
    <w:next w:val="185"/>
    <w:qFormat/>
    <w:uiPriority w:val="99"/>
    <w:pPr>
      <w:spacing w:line="240" w:lineRule="auto"/>
      <w:ind w:firstLine="0"/>
    </w:pPr>
    <w:rPr>
      <w:rFonts w:hAnsi="宋体" w:cs="Times New Roman"/>
      <w:sz w:val="21"/>
    </w:rPr>
  </w:style>
  <w:style w:type="paragraph" w:customStyle="1" w:styleId="3617">
    <w:name w:val="燕山正文1141"/>
    <w:basedOn w:val="1"/>
    <w:qFormat/>
    <w:uiPriority w:val="99"/>
    <w:pPr>
      <w:tabs>
        <w:tab w:val="left" w:pos="4680"/>
      </w:tabs>
      <w:spacing w:line="480" w:lineRule="exact"/>
    </w:pPr>
    <w:rPr>
      <w:rFonts w:ascii="宋体" w:hAnsi="宋体" w:cs="宋体"/>
      <w:bCs/>
      <w:color w:val="000000"/>
    </w:rPr>
  </w:style>
  <w:style w:type="paragraph" w:customStyle="1" w:styleId="3618">
    <w:name w:val="表题4111"/>
    <w:basedOn w:val="35"/>
    <w:qFormat/>
    <w:uiPriority w:val="99"/>
    <w:pPr>
      <w:tabs>
        <w:tab w:val="left" w:pos="4305"/>
      </w:tabs>
      <w:ind w:left="0" w:firstLine="0" w:firstLineChars="0"/>
      <w:jc w:val="center"/>
    </w:pPr>
    <w:rPr>
      <w:rFonts w:ascii="宋体" w:hAnsi="宋体" w:cs="宋体"/>
      <w:color w:val="000000"/>
      <w:sz w:val="24"/>
      <w:lang w:val="zh-CN"/>
    </w:rPr>
  </w:style>
  <w:style w:type="paragraph" w:customStyle="1" w:styleId="3619">
    <w:name w:val="表内文字小2141"/>
    <w:basedOn w:val="1"/>
    <w:qFormat/>
    <w:uiPriority w:val="99"/>
    <w:pPr>
      <w:spacing w:line="240" w:lineRule="auto"/>
      <w:jc w:val="center"/>
    </w:pPr>
    <w:rPr>
      <w:rFonts w:ascii="宋体" w:hAnsi="Times"/>
      <w:bCs/>
      <w:color w:val="000000"/>
      <w:sz w:val="21"/>
      <w:szCs w:val="20"/>
    </w:rPr>
  </w:style>
  <w:style w:type="paragraph" w:customStyle="1" w:styleId="3620">
    <w:name w:val="Char Char Char Char Char Char Char311"/>
    <w:basedOn w:val="1"/>
    <w:qFormat/>
    <w:uiPriority w:val="99"/>
    <w:pPr>
      <w:spacing w:line="240" w:lineRule="auto"/>
    </w:pPr>
    <w:rPr>
      <w:sz w:val="21"/>
    </w:rPr>
  </w:style>
  <w:style w:type="paragraph" w:customStyle="1" w:styleId="3621">
    <w:name w:val="表内宋51121"/>
    <w:basedOn w:val="80"/>
    <w:qFormat/>
    <w:uiPriority w:val="99"/>
    <w:pPr>
      <w:spacing w:before="0" w:beforeAutospacing="0" w:after="0" w:afterAutospacing="0"/>
      <w:jc w:val="both"/>
    </w:pPr>
    <w:rPr>
      <w:rFonts w:cs="宋体"/>
      <w:color w:val="000000"/>
    </w:rPr>
  </w:style>
  <w:style w:type="paragraph" w:customStyle="1" w:styleId="3622">
    <w:name w:val="文本框21"/>
    <w:basedOn w:val="1"/>
    <w:qFormat/>
    <w:uiPriority w:val="99"/>
    <w:pPr>
      <w:spacing w:after="6" w:line="240" w:lineRule="auto"/>
      <w:jc w:val="center"/>
    </w:pPr>
    <w:rPr>
      <w:rFonts w:eastAsia="仿宋_GB2312"/>
      <w:sz w:val="21"/>
    </w:rPr>
  </w:style>
  <w:style w:type="paragraph" w:customStyle="1" w:styleId="3623">
    <w:name w:val="黑体三号51"/>
    <w:basedOn w:val="185"/>
    <w:qFormat/>
    <w:uiPriority w:val="99"/>
    <w:pPr>
      <w:jc w:val="center"/>
    </w:pPr>
    <w:rPr>
      <w:rFonts w:ascii="黑体" w:hAnsi="宋体" w:eastAsia="黑体"/>
      <w:b/>
      <w:bCs/>
      <w:sz w:val="32"/>
      <w:szCs w:val="20"/>
    </w:rPr>
  </w:style>
  <w:style w:type="paragraph" w:customStyle="1" w:styleId="3624">
    <w:name w:val="Char1311"/>
    <w:basedOn w:val="1"/>
    <w:qFormat/>
    <w:uiPriority w:val="99"/>
    <w:pPr>
      <w:spacing w:line="240" w:lineRule="auto"/>
      <w:ind w:left="-48"/>
    </w:pPr>
    <w:rPr>
      <w:sz w:val="21"/>
    </w:rPr>
  </w:style>
  <w:style w:type="paragraph" w:customStyle="1" w:styleId="3625">
    <w:name w:val="样式131"/>
    <w:basedOn w:val="1199"/>
    <w:qFormat/>
    <w:uiPriority w:val="99"/>
    <w:pPr>
      <w:spacing w:line="240" w:lineRule="auto"/>
      <w:ind w:firstLine="0"/>
      <w:jc w:val="center"/>
    </w:pPr>
    <w:rPr>
      <w:rFonts w:cs="Times New Roman"/>
      <w:b/>
      <w:color w:val="auto"/>
      <w:szCs w:val="20"/>
    </w:rPr>
  </w:style>
  <w:style w:type="paragraph" w:customStyle="1" w:styleId="3626">
    <w:name w:val="图表名称11"/>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627">
    <w:name w:val="正文缩11"/>
    <w:basedOn w:val="1"/>
    <w:qFormat/>
    <w:uiPriority w:val="99"/>
    <w:pPr>
      <w:spacing w:line="480" w:lineRule="atLeast"/>
      <w:ind w:firstLine="567"/>
      <w:textAlignment w:val="baseline"/>
    </w:pPr>
    <w:rPr>
      <w:rFonts w:ascii="宋体"/>
      <w:color w:val="000080"/>
      <w:spacing w:val="6"/>
      <w:kern w:val="0"/>
      <w:sz w:val="28"/>
      <w:szCs w:val="20"/>
    </w:rPr>
  </w:style>
  <w:style w:type="paragraph" w:customStyle="1" w:styleId="3628">
    <w:name w:val="样式 标题 3 + 段前: 12 磅11"/>
    <w:basedOn w:val="5"/>
    <w:qFormat/>
    <w:uiPriority w:val="99"/>
    <w:pPr>
      <w:keepNext w:val="0"/>
      <w:keepLines w:val="0"/>
      <w:widowControl/>
      <w:autoSpaceDE w:val="0"/>
      <w:autoSpaceDN w:val="0"/>
      <w:spacing w:before="0" w:after="0"/>
    </w:pPr>
    <w:rPr>
      <w:rFonts w:ascii="黑体" w:hAnsi="宋体" w:eastAsia="黑体" w:cs="宋体"/>
      <w:b w:val="0"/>
      <w:bCs w:val="0"/>
      <w:color w:val="000000"/>
      <w:kern w:val="21"/>
      <w:szCs w:val="20"/>
    </w:rPr>
  </w:style>
  <w:style w:type="paragraph" w:customStyle="1" w:styleId="3629">
    <w:name w:val="正文格式1111"/>
    <w:basedOn w:val="1"/>
    <w:qFormat/>
    <w:uiPriority w:val="99"/>
    <w:pPr>
      <w:ind w:firstLine="482"/>
    </w:pPr>
    <w:rPr>
      <w:rFonts w:ascii="宋体" w:hAnsi="宋体"/>
    </w:rPr>
  </w:style>
  <w:style w:type="paragraph" w:customStyle="1" w:styleId="3630">
    <w:name w:val="表格内字体121"/>
    <w:basedOn w:val="185"/>
    <w:next w:val="185"/>
    <w:qFormat/>
    <w:uiPriority w:val="99"/>
    <w:pPr>
      <w:spacing w:line="240" w:lineRule="auto"/>
      <w:ind w:firstLine="0"/>
      <w:jc w:val="center"/>
    </w:pPr>
    <w:rPr>
      <w:rFonts w:hAnsi="宋体" w:cs="Times New Roman"/>
      <w:sz w:val="21"/>
    </w:rPr>
  </w:style>
  <w:style w:type="paragraph" w:customStyle="1" w:styleId="3631">
    <w:name w:val="表内541111"/>
    <w:basedOn w:val="1"/>
    <w:qFormat/>
    <w:uiPriority w:val="99"/>
    <w:pPr>
      <w:spacing w:line="300" w:lineRule="auto"/>
      <w:jc w:val="center"/>
    </w:pPr>
    <w:rPr>
      <w:rFonts w:ascii="宋体" w:hAnsi="宋体" w:cs="宋体"/>
      <w:sz w:val="21"/>
      <w:szCs w:val="20"/>
    </w:rPr>
  </w:style>
  <w:style w:type="paragraph" w:customStyle="1" w:styleId="3632">
    <w:name w:val="标题431111"/>
    <w:basedOn w:val="1"/>
    <w:qFormat/>
    <w:uiPriority w:val="99"/>
    <w:pPr>
      <w:spacing w:line="480" w:lineRule="exact"/>
      <w:jc w:val="center"/>
    </w:pPr>
    <w:rPr>
      <w:rFonts w:ascii="宋体" w:hAnsi="宋体" w:cs="宋体"/>
    </w:rPr>
  </w:style>
  <w:style w:type="paragraph" w:customStyle="1" w:styleId="3633">
    <w:name w:val="燕山正文11111"/>
    <w:basedOn w:val="1"/>
    <w:qFormat/>
    <w:uiPriority w:val="99"/>
    <w:pPr>
      <w:tabs>
        <w:tab w:val="left" w:pos="4680"/>
      </w:tabs>
      <w:spacing w:line="480" w:lineRule="exact"/>
    </w:pPr>
    <w:rPr>
      <w:rFonts w:ascii="宋体" w:hAnsi="宋体" w:cs="宋体"/>
      <w:bCs/>
      <w:color w:val="000000"/>
    </w:rPr>
  </w:style>
  <w:style w:type="paragraph" w:customStyle="1" w:styleId="3634">
    <w:name w:val="默认段落字体 Para Char Char Char Char111"/>
    <w:basedOn w:val="1"/>
    <w:qFormat/>
    <w:uiPriority w:val="99"/>
    <w:pPr>
      <w:spacing w:line="240" w:lineRule="auto"/>
    </w:pPr>
    <w:rPr>
      <w:sz w:val="21"/>
    </w:rPr>
  </w:style>
  <w:style w:type="paragraph" w:customStyle="1" w:styleId="3635">
    <w:name w:val="表111"/>
    <w:basedOn w:val="1"/>
    <w:qFormat/>
    <w:uiPriority w:val="99"/>
    <w:pPr>
      <w:spacing w:line="240" w:lineRule="auto"/>
      <w:jc w:val="center"/>
    </w:pPr>
    <w:rPr>
      <w:rFonts w:eastAsia="仿宋_GB2312"/>
    </w:rPr>
  </w:style>
  <w:style w:type="paragraph" w:customStyle="1" w:styleId="3636">
    <w:name w:val="燕山正文121"/>
    <w:basedOn w:val="1"/>
    <w:qFormat/>
    <w:uiPriority w:val="99"/>
    <w:pPr>
      <w:tabs>
        <w:tab w:val="left" w:pos="4680"/>
      </w:tabs>
      <w:spacing w:line="480" w:lineRule="exact"/>
    </w:pPr>
    <w:rPr>
      <w:rFonts w:ascii="宋体" w:cs="宋体"/>
    </w:rPr>
  </w:style>
  <w:style w:type="paragraph" w:customStyle="1" w:styleId="3637">
    <w:name w:val="表中文字12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638">
    <w:name w:val="样式1111"/>
    <w:basedOn w:val="1199"/>
    <w:qFormat/>
    <w:uiPriority w:val="99"/>
    <w:pPr>
      <w:spacing w:line="240" w:lineRule="auto"/>
      <w:ind w:firstLine="0"/>
      <w:jc w:val="center"/>
    </w:pPr>
    <w:rPr>
      <w:rFonts w:cs="Times New Roman"/>
      <w:b/>
      <w:color w:val="auto"/>
      <w:szCs w:val="20"/>
    </w:rPr>
  </w:style>
  <w:style w:type="paragraph" w:customStyle="1" w:styleId="3639">
    <w:name w:val="正文格式＝211"/>
    <w:basedOn w:val="185"/>
    <w:next w:val="185"/>
    <w:qFormat/>
    <w:uiPriority w:val="99"/>
    <w:rPr>
      <w:rFonts w:hAnsi="宋体" w:cs="Times New Roman"/>
    </w:rPr>
  </w:style>
  <w:style w:type="paragraph" w:customStyle="1" w:styleId="3640">
    <w:name w:val="表内5321"/>
    <w:basedOn w:val="1"/>
    <w:qFormat/>
    <w:uiPriority w:val="99"/>
    <w:pPr>
      <w:spacing w:line="300" w:lineRule="auto"/>
      <w:jc w:val="left"/>
    </w:pPr>
    <w:rPr>
      <w:rFonts w:ascii="宋体"/>
      <w:sz w:val="21"/>
      <w:szCs w:val="20"/>
    </w:rPr>
  </w:style>
  <w:style w:type="paragraph" w:customStyle="1" w:styleId="3641">
    <w:name w:val="正文格式311"/>
    <w:basedOn w:val="1"/>
    <w:qFormat/>
    <w:uiPriority w:val="99"/>
    <w:pPr>
      <w:ind w:firstLine="482"/>
    </w:pPr>
    <w:rPr>
      <w:rFonts w:ascii="宋体" w:hAnsi="宋体"/>
    </w:rPr>
  </w:style>
  <w:style w:type="paragraph" w:customStyle="1" w:styleId="3642">
    <w:name w:val="图题311"/>
    <w:basedOn w:val="185"/>
    <w:next w:val="185"/>
    <w:qFormat/>
    <w:uiPriority w:val="99"/>
    <w:pPr>
      <w:ind w:firstLine="0"/>
      <w:jc w:val="center"/>
    </w:pPr>
    <w:rPr>
      <w:rFonts w:ascii="黑体" w:hAnsi="宋体" w:eastAsia="黑体"/>
      <w:b/>
      <w:bCs/>
    </w:rPr>
  </w:style>
  <w:style w:type="paragraph" w:customStyle="1" w:styleId="3643">
    <w:name w:val="表内541211"/>
    <w:basedOn w:val="1"/>
    <w:qFormat/>
    <w:uiPriority w:val="99"/>
    <w:pPr>
      <w:spacing w:line="300" w:lineRule="auto"/>
      <w:jc w:val="center"/>
    </w:pPr>
    <w:rPr>
      <w:rFonts w:ascii="宋体" w:hAnsi="宋体" w:cs="宋体"/>
      <w:sz w:val="21"/>
      <w:szCs w:val="20"/>
    </w:rPr>
  </w:style>
  <w:style w:type="paragraph" w:customStyle="1" w:styleId="3644">
    <w:name w:val="表内文字小21211"/>
    <w:basedOn w:val="1"/>
    <w:qFormat/>
    <w:uiPriority w:val="99"/>
    <w:pPr>
      <w:spacing w:line="240" w:lineRule="auto"/>
      <w:jc w:val="center"/>
    </w:pPr>
    <w:rPr>
      <w:rFonts w:ascii="宋体" w:hAnsi="Times"/>
      <w:bCs/>
      <w:color w:val="000000"/>
      <w:sz w:val="21"/>
      <w:szCs w:val="20"/>
    </w:rPr>
  </w:style>
  <w:style w:type="paragraph" w:customStyle="1" w:styleId="3645">
    <w:name w:val="标题431211"/>
    <w:basedOn w:val="1"/>
    <w:qFormat/>
    <w:uiPriority w:val="99"/>
    <w:pPr>
      <w:spacing w:line="480" w:lineRule="exact"/>
      <w:jc w:val="center"/>
    </w:pPr>
    <w:rPr>
      <w:rFonts w:ascii="宋体" w:hAnsi="宋体" w:cs="宋体"/>
    </w:rPr>
  </w:style>
  <w:style w:type="paragraph" w:customStyle="1" w:styleId="3646">
    <w:name w:val="标题4315"/>
    <w:basedOn w:val="1"/>
    <w:qFormat/>
    <w:uiPriority w:val="99"/>
    <w:pPr>
      <w:spacing w:line="480" w:lineRule="exact"/>
      <w:jc w:val="center"/>
    </w:pPr>
    <w:rPr>
      <w:rFonts w:ascii="宋体" w:hAnsi="宋体" w:cs="宋体"/>
    </w:rPr>
  </w:style>
  <w:style w:type="paragraph" w:customStyle="1" w:styleId="3647">
    <w:name w:val="Char Char Char Char Char Char Char2211"/>
    <w:basedOn w:val="1"/>
    <w:qFormat/>
    <w:uiPriority w:val="99"/>
    <w:pPr>
      <w:spacing w:line="240" w:lineRule="auto"/>
    </w:pPr>
    <w:rPr>
      <w:sz w:val="21"/>
    </w:rPr>
  </w:style>
  <w:style w:type="paragraph" w:customStyle="1" w:styleId="3648">
    <w:name w:val="默认段落字体 Para Char211"/>
    <w:basedOn w:val="1"/>
    <w:next w:val="1"/>
    <w:qFormat/>
    <w:uiPriority w:val="99"/>
    <w:pPr>
      <w:spacing w:line="480" w:lineRule="exact"/>
      <w:ind w:firstLine="200"/>
      <w:jc w:val="left"/>
    </w:pPr>
    <w:rPr>
      <w:rFonts w:ascii="宋体" w:hAnsi="宋体" w:eastAsia="汉鼎简书宋" w:cs="宋体"/>
      <w:sz w:val="28"/>
    </w:rPr>
  </w:style>
  <w:style w:type="paragraph" w:customStyle="1" w:styleId="3649">
    <w:name w:val="燕山正文211"/>
    <w:basedOn w:val="1"/>
    <w:qFormat/>
    <w:uiPriority w:val="99"/>
    <w:pPr>
      <w:tabs>
        <w:tab w:val="left" w:pos="4680"/>
      </w:tabs>
      <w:spacing w:line="480" w:lineRule="exact"/>
    </w:pPr>
    <w:rPr>
      <w:rFonts w:ascii="宋体" w:cs="宋体"/>
    </w:rPr>
  </w:style>
  <w:style w:type="paragraph" w:customStyle="1" w:styleId="3650">
    <w:name w:val="燕山正文11211"/>
    <w:basedOn w:val="1"/>
    <w:qFormat/>
    <w:uiPriority w:val="99"/>
    <w:pPr>
      <w:tabs>
        <w:tab w:val="left" w:pos="4680"/>
      </w:tabs>
      <w:spacing w:line="480" w:lineRule="exact"/>
    </w:pPr>
    <w:rPr>
      <w:rFonts w:ascii="宋体" w:hAnsi="宋体" w:cs="宋体"/>
      <w:bCs/>
      <w:color w:val="000000"/>
    </w:rPr>
  </w:style>
  <w:style w:type="paragraph" w:customStyle="1" w:styleId="3651">
    <w:name w:val="表题1211"/>
    <w:basedOn w:val="22"/>
    <w:qFormat/>
    <w:uiPriority w:val="99"/>
    <w:pPr>
      <w:tabs>
        <w:tab w:val="clear" w:pos="10467"/>
        <w:tab w:val="clear" w:pos="13095"/>
      </w:tabs>
      <w:adjustRightInd/>
      <w:snapToGrid/>
    </w:pPr>
    <w:rPr>
      <w:rFonts w:ascii="黑体" w:eastAsia="黑体"/>
      <w:b w:val="0"/>
    </w:rPr>
  </w:style>
  <w:style w:type="paragraph" w:customStyle="1" w:styleId="3652">
    <w:name w:val="表内文字小2211"/>
    <w:basedOn w:val="1"/>
    <w:qFormat/>
    <w:uiPriority w:val="99"/>
    <w:pPr>
      <w:spacing w:line="240" w:lineRule="auto"/>
      <w:jc w:val="center"/>
    </w:pPr>
    <w:rPr>
      <w:rFonts w:ascii="宋体" w:hAnsi="Times"/>
      <w:bCs/>
      <w:color w:val="000000"/>
      <w:sz w:val="21"/>
      <w:szCs w:val="20"/>
    </w:rPr>
  </w:style>
  <w:style w:type="paragraph" w:customStyle="1" w:styleId="3653">
    <w:name w:val="正文修改211"/>
    <w:basedOn w:val="900"/>
    <w:qFormat/>
    <w:uiPriority w:val="99"/>
    <w:pPr>
      <w:spacing w:line="480" w:lineRule="exact"/>
      <w:ind w:firstLine="0" w:firstLineChars="0"/>
    </w:pPr>
    <w:rPr>
      <w:rFonts w:cs="宋体"/>
      <w:sz w:val="24"/>
      <w:szCs w:val="24"/>
    </w:rPr>
  </w:style>
  <w:style w:type="paragraph" w:customStyle="1" w:styleId="3654">
    <w:name w:val="表文字514"/>
    <w:basedOn w:val="1"/>
    <w:qFormat/>
    <w:uiPriority w:val="99"/>
    <w:pPr>
      <w:spacing w:line="240" w:lineRule="auto"/>
      <w:jc w:val="left"/>
      <w:textAlignment w:val="baseline"/>
    </w:pPr>
    <w:rPr>
      <w:rFonts w:ascii="宋体"/>
      <w:kern w:val="0"/>
      <w:sz w:val="21"/>
      <w:szCs w:val="20"/>
    </w:rPr>
  </w:style>
  <w:style w:type="paragraph" w:customStyle="1" w:styleId="3655">
    <w:name w:val="燕山正文311"/>
    <w:basedOn w:val="1"/>
    <w:qFormat/>
    <w:uiPriority w:val="99"/>
    <w:pPr>
      <w:tabs>
        <w:tab w:val="left" w:pos="4680"/>
      </w:tabs>
      <w:spacing w:line="480" w:lineRule="exact"/>
    </w:pPr>
    <w:rPr>
      <w:rFonts w:ascii="宋体" w:cs="宋体"/>
    </w:rPr>
  </w:style>
  <w:style w:type="paragraph" w:customStyle="1" w:styleId="3656">
    <w:name w:val="表中文字211"/>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657">
    <w:name w:val="表文字5211"/>
    <w:basedOn w:val="1"/>
    <w:qFormat/>
    <w:uiPriority w:val="99"/>
    <w:pPr>
      <w:spacing w:line="240" w:lineRule="auto"/>
      <w:jc w:val="left"/>
      <w:textAlignment w:val="baseline"/>
    </w:pPr>
    <w:rPr>
      <w:rFonts w:ascii="宋体"/>
      <w:kern w:val="0"/>
      <w:sz w:val="21"/>
      <w:szCs w:val="20"/>
    </w:rPr>
  </w:style>
  <w:style w:type="paragraph" w:customStyle="1" w:styleId="3658">
    <w:name w:val="正文格式＝311"/>
    <w:basedOn w:val="185"/>
    <w:next w:val="185"/>
    <w:qFormat/>
    <w:uiPriority w:val="99"/>
    <w:rPr>
      <w:rFonts w:hAnsi="宋体" w:cs="Times New Roman"/>
    </w:rPr>
  </w:style>
  <w:style w:type="paragraph" w:customStyle="1" w:styleId="3659">
    <w:name w:val="图题注11"/>
    <w:basedOn w:val="22"/>
    <w:qFormat/>
    <w:uiPriority w:val="99"/>
    <w:pPr>
      <w:tabs>
        <w:tab w:val="clear" w:pos="10467"/>
        <w:tab w:val="clear" w:pos="13095"/>
      </w:tabs>
      <w:adjustRightInd/>
      <w:snapToGrid/>
      <w:spacing w:line="240" w:lineRule="auto"/>
    </w:pPr>
    <w:rPr>
      <w:rFonts w:ascii="黑体" w:eastAsia="黑体" w:cs="宋体"/>
      <w:bCs/>
    </w:rPr>
  </w:style>
  <w:style w:type="paragraph" w:customStyle="1" w:styleId="3660">
    <w:name w:val="Char3111"/>
    <w:basedOn w:val="1"/>
    <w:qFormat/>
    <w:uiPriority w:val="99"/>
    <w:pPr>
      <w:spacing w:line="240" w:lineRule="auto"/>
      <w:ind w:left="-48"/>
    </w:pPr>
    <w:rPr>
      <w:sz w:val="21"/>
    </w:rPr>
  </w:style>
  <w:style w:type="paragraph" w:customStyle="1" w:styleId="3661">
    <w:name w:val="表内53111"/>
    <w:basedOn w:val="1"/>
    <w:qFormat/>
    <w:uiPriority w:val="99"/>
    <w:pPr>
      <w:spacing w:line="300" w:lineRule="auto"/>
      <w:jc w:val="left"/>
    </w:pPr>
    <w:rPr>
      <w:rFonts w:ascii="宋体"/>
      <w:sz w:val="21"/>
      <w:szCs w:val="20"/>
    </w:rPr>
  </w:style>
  <w:style w:type="paragraph" w:customStyle="1" w:styleId="3662">
    <w:name w:val="图题611"/>
    <w:basedOn w:val="185"/>
    <w:next w:val="185"/>
    <w:qFormat/>
    <w:uiPriority w:val="99"/>
    <w:pPr>
      <w:ind w:firstLine="0"/>
      <w:jc w:val="center"/>
    </w:pPr>
    <w:rPr>
      <w:rFonts w:ascii="黑体" w:hAnsi="宋体" w:eastAsia="黑体"/>
      <w:b/>
      <w:bCs/>
      <w:kern w:val="0"/>
    </w:rPr>
  </w:style>
  <w:style w:type="paragraph" w:customStyle="1" w:styleId="3663">
    <w:name w:val="表题11111"/>
    <w:basedOn w:val="22"/>
    <w:qFormat/>
    <w:uiPriority w:val="99"/>
    <w:pPr>
      <w:tabs>
        <w:tab w:val="clear" w:pos="10467"/>
        <w:tab w:val="clear" w:pos="13095"/>
      </w:tabs>
      <w:adjustRightInd/>
      <w:snapToGrid/>
    </w:pPr>
    <w:rPr>
      <w:rFonts w:ascii="黑体" w:eastAsia="黑体"/>
      <w:b w:val="0"/>
    </w:rPr>
  </w:style>
  <w:style w:type="paragraph" w:customStyle="1" w:styleId="3664">
    <w:name w:val="图题411"/>
    <w:basedOn w:val="185"/>
    <w:next w:val="185"/>
    <w:qFormat/>
    <w:uiPriority w:val="99"/>
    <w:pPr>
      <w:ind w:firstLine="0"/>
      <w:jc w:val="center"/>
    </w:pPr>
    <w:rPr>
      <w:rFonts w:ascii="黑体" w:hAnsi="宋体" w:eastAsia="黑体"/>
      <w:b/>
      <w:bCs/>
    </w:rPr>
  </w:style>
  <w:style w:type="paragraph" w:customStyle="1" w:styleId="3665">
    <w:name w:val="Char Char Char Char Char Char Char1211"/>
    <w:basedOn w:val="1"/>
    <w:qFormat/>
    <w:uiPriority w:val="99"/>
    <w:pPr>
      <w:spacing w:line="240" w:lineRule="auto"/>
    </w:pPr>
    <w:rPr>
      <w:sz w:val="21"/>
      <w:szCs w:val="20"/>
    </w:rPr>
  </w:style>
  <w:style w:type="paragraph" w:customStyle="1" w:styleId="3666">
    <w:name w:val="燕山正文11311"/>
    <w:basedOn w:val="1"/>
    <w:qFormat/>
    <w:uiPriority w:val="99"/>
    <w:pPr>
      <w:tabs>
        <w:tab w:val="left" w:pos="4680"/>
      </w:tabs>
      <w:ind w:firstLine="480"/>
    </w:pPr>
    <w:rPr>
      <w:rFonts w:ascii="宋体" w:hAnsi="宋体" w:cs="宋体"/>
      <w:bCs/>
      <w:snapToGrid w:val="0"/>
      <w:color w:val="000000"/>
      <w:kern w:val="0"/>
    </w:rPr>
  </w:style>
  <w:style w:type="paragraph" w:customStyle="1" w:styleId="3667">
    <w:name w:val="Char3211"/>
    <w:basedOn w:val="1"/>
    <w:qFormat/>
    <w:uiPriority w:val="99"/>
    <w:pPr>
      <w:spacing w:line="240" w:lineRule="auto"/>
      <w:ind w:left="-48"/>
    </w:pPr>
    <w:rPr>
      <w:sz w:val="21"/>
    </w:rPr>
  </w:style>
  <w:style w:type="paragraph" w:customStyle="1" w:styleId="3668">
    <w:name w:val="图表题11"/>
    <w:basedOn w:val="185"/>
    <w:next w:val="185"/>
    <w:qFormat/>
    <w:uiPriority w:val="99"/>
    <w:pPr>
      <w:ind w:firstLine="0"/>
      <w:jc w:val="center"/>
    </w:pPr>
    <w:rPr>
      <w:rFonts w:ascii="黑体" w:hAnsi="宋体" w:eastAsia="黑体"/>
      <w:b/>
      <w:bCs/>
    </w:rPr>
  </w:style>
  <w:style w:type="paragraph" w:customStyle="1" w:styleId="3669">
    <w:name w:val="表内文字小31311"/>
    <w:basedOn w:val="1"/>
    <w:qFormat/>
    <w:uiPriority w:val="99"/>
    <w:pPr>
      <w:spacing w:line="240" w:lineRule="auto"/>
      <w:jc w:val="center"/>
    </w:pPr>
    <w:rPr>
      <w:rFonts w:ascii="宋体" w:hAnsi="Times" w:cs="宋体"/>
      <w:bCs/>
      <w:color w:val="003366"/>
      <w:sz w:val="21"/>
      <w:szCs w:val="20"/>
    </w:rPr>
  </w:style>
  <w:style w:type="paragraph" w:customStyle="1" w:styleId="3670">
    <w:name w:val="表题1421"/>
    <w:basedOn w:val="22"/>
    <w:qFormat/>
    <w:uiPriority w:val="99"/>
    <w:pPr>
      <w:tabs>
        <w:tab w:val="clear" w:pos="10467"/>
        <w:tab w:val="clear" w:pos="13095"/>
      </w:tabs>
      <w:adjustRightInd/>
      <w:snapToGrid/>
    </w:pPr>
    <w:rPr>
      <w:rFonts w:ascii="黑体" w:eastAsia="黑体"/>
    </w:rPr>
  </w:style>
  <w:style w:type="paragraph" w:customStyle="1" w:styleId="3671">
    <w:name w:val="正文2111"/>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672">
    <w:name w:val="正文修改311"/>
    <w:basedOn w:val="900"/>
    <w:qFormat/>
    <w:uiPriority w:val="99"/>
    <w:pPr>
      <w:spacing w:line="480" w:lineRule="exact"/>
      <w:ind w:firstLine="0" w:firstLineChars="0"/>
    </w:pPr>
    <w:rPr>
      <w:rFonts w:cs="宋体"/>
      <w:sz w:val="24"/>
      <w:szCs w:val="24"/>
    </w:rPr>
  </w:style>
  <w:style w:type="paragraph" w:customStyle="1" w:styleId="3673">
    <w:name w:val="表中文字311"/>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674">
    <w:name w:val="黑体三号311"/>
    <w:basedOn w:val="185"/>
    <w:qFormat/>
    <w:uiPriority w:val="99"/>
    <w:pPr>
      <w:jc w:val="center"/>
    </w:pPr>
    <w:rPr>
      <w:rFonts w:ascii="黑体" w:hAnsi="宋体" w:eastAsia="黑体"/>
      <w:b/>
      <w:bCs/>
      <w:sz w:val="32"/>
      <w:szCs w:val="20"/>
    </w:rPr>
  </w:style>
  <w:style w:type="paragraph" w:customStyle="1" w:styleId="3675">
    <w:name w:val="表内541311"/>
    <w:basedOn w:val="1"/>
    <w:qFormat/>
    <w:uiPriority w:val="99"/>
    <w:pPr>
      <w:spacing w:line="300" w:lineRule="auto"/>
      <w:jc w:val="center"/>
    </w:pPr>
    <w:rPr>
      <w:rFonts w:ascii="宋体" w:hAnsi="宋体" w:cs="宋体"/>
      <w:sz w:val="21"/>
      <w:szCs w:val="20"/>
    </w:rPr>
  </w:style>
  <w:style w:type="paragraph" w:customStyle="1" w:styleId="3676">
    <w:name w:val="标题421"/>
    <w:basedOn w:val="1"/>
    <w:qFormat/>
    <w:uiPriority w:val="99"/>
    <w:pPr>
      <w:spacing w:line="300" w:lineRule="auto"/>
      <w:jc w:val="left"/>
    </w:pPr>
    <w:rPr>
      <w:rFonts w:ascii="黑体" w:eastAsia="黑体"/>
      <w:bCs/>
    </w:rPr>
  </w:style>
  <w:style w:type="paragraph" w:customStyle="1" w:styleId="3677">
    <w:name w:val="正文格式611"/>
    <w:basedOn w:val="1"/>
    <w:qFormat/>
    <w:uiPriority w:val="99"/>
    <w:pPr>
      <w:ind w:firstLine="482"/>
    </w:pPr>
    <w:rPr>
      <w:rFonts w:ascii="宋体" w:hAnsi="宋体"/>
    </w:rPr>
  </w:style>
  <w:style w:type="paragraph" w:customStyle="1" w:styleId="3678">
    <w:name w:val="附件311"/>
    <w:basedOn w:val="3"/>
    <w:next w:val="185"/>
    <w:qFormat/>
    <w:uiPriority w:val="99"/>
    <w:pPr>
      <w:tabs>
        <w:tab w:val="left" w:pos="1566"/>
      </w:tabs>
      <w:spacing w:after="120"/>
      <w:jc w:val="left"/>
    </w:pPr>
    <w:rPr>
      <w:rFonts w:ascii="黑体" w:hAnsi="宋体" w:eastAsia="黑体"/>
      <w:b w:val="0"/>
      <w:bCs w:val="0"/>
      <w:sz w:val="32"/>
      <w:szCs w:val="32"/>
    </w:rPr>
  </w:style>
  <w:style w:type="paragraph" w:customStyle="1" w:styleId="3679">
    <w:name w:val="表格内字体611"/>
    <w:basedOn w:val="185"/>
    <w:next w:val="185"/>
    <w:qFormat/>
    <w:uiPriority w:val="99"/>
    <w:pPr>
      <w:spacing w:line="240" w:lineRule="auto"/>
      <w:ind w:firstLine="0"/>
      <w:jc w:val="center"/>
    </w:pPr>
    <w:rPr>
      <w:rFonts w:hAnsi="宋体" w:cs="Times New Roman"/>
      <w:sz w:val="21"/>
    </w:rPr>
  </w:style>
  <w:style w:type="paragraph" w:customStyle="1" w:styleId="3680">
    <w:name w:val="Char711"/>
    <w:basedOn w:val="1"/>
    <w:qFormat/>
    <w:uiPriority w:val="99"/>
    <w:pPr>
      <w:spacing w:line="240" w:lineRule="auto"/>
      <w:ind w:left="-48"/>
    </w:pPr>
    <w:rPr>
      <w:sz w:val="21"/>
    </w:rPr>
  </w:style>
  <w:style w:type="paragraph" w:customStyle="1" w:styleId="3681">
    <w:name w:val="表格内字体1111"/>
    <w:basedOn w:val="185"/>
    <w:qFormat/>
    <w:uiPriority w:val="99"/>
    <w:pPr>
      <w:spacing w:line="240" w:lineRule="auto"/>
      <w:ind w:firstLine="0"/>
      <w:jc w:val="center"/>
    </w:pPr>
    <w:rPr>
      <w:sz w:val="21"/>
      <w:szCs w:val="20"/>
    </w:rPr>
  </w:style>
  <w:style w:type="paragraph" w:customStyle="1" w:styleId="3682">
    <w:name w:val="Char Char2 Char Char Char Char311"/>
    <w:basedOn w:val="1"/>
    <w:qFormat/>
    <w:uiPriority w:val="99"/>
    <w:pPr>
      <w:spacing w:line="240" w:lineRule="auto"/>
    </w:pPr>
    <w:rPr>
      <w:sz w:val="21"/>
    </w:rPr>
  </w:style>
  <w:style w:type="paragraph" w:customStyle="1" w:styleId="3683">
    <w:name w:val="样式411"/>
    <w:basedOn w:val="34"/>
    <w:qFormat/>
    <w:uiPriority w:val="99"/>
    <w:pPr>
      <w:tabs>
        <w:tab w:val="left" w:pos="1820"/>
      </w:tabs>
      <w:adjustRightInd/>
      <w:spacing w:after="0" w:line="240" w:lineRule="atLeast"/>
      <w:jc w:val="center"/>
    </w:pPr>
    <w:rPr>
      <w:rFonts w:ascii="Calibri" w:hAnsi="Calibri" w:eastAsia="幼圆"/>
      <w:kern w:val="0"/>
      <w:sz w:val="21"/>
      <w:szCs w:val="20"/>
    </w:rPr>
  </w:style>
  <w:style w:type="paragraph" w:customStyle="1" w:styleId="3684">
    <w:name w:val="标题4121"/>
    <w:basedOn w:val="6"/>
    <w:next w:val="1"/>
    <w:qFormat/>
    <w:uiPriority w:val="99"/>
    <w:pPr>
      <w:spacing w:before="160" w:after="170" w:line="360" w:lineRule="auto"/>
    </w:pPr>
    <w:rPr>
      <w:rFonts w:ascii="黑体" w:hAnsi="Arial" w:eastAsia="黑体"/>
      <w:kern w:val="0"/>
      <w:lang w:val="zh-CN"/>
    </w:rPr>
  </w:style>
  <w:style w:type="paragraph" w:customStyle="1" w:styleId="3685">
    <w:name w:val="表内5111"/>
    <w:basedOn w:val="1"/>
    <w:qFormat/>
    <w:uiPriority w:val="99"/>
    <w:pPr>
      <w:spacing w:line="240" w:lineRule="auto"/>
      <w:jc w:val="center"/>
    </w:pPr>
    <w:rPr>
      <w:rFonts w:ascii="宋体" w:hAnsi="宋体"/>
      <w:kern w:val="0"/>
      <w:sz w:val="20"/>
      <w:szCs w:val="20"/>
    </w:rPr>
  </w:style>
  <w:style w:type="paragraph" w:customStyle="1" w:styleId="3686">
    <w:name w:val="表内宋5中211"/>
    <w:basedOn w:val="1"/>
    <w:qFormat/>
    <w:uiPriority w:val="99"/>
    <w:pPr>
      <w:spacing w:line="240" w:lineRule="auto"/>
      <w:jc w:val="center"/>
      <w:textAlignment w:val="baseline"/>
    </w:pPr>
    <w:rPr>
      <w:rFonts w:ascii="宋体" w:hAnsi="宋体"/>
      <w:kern w:val="0"/>
      <w:sz w:val="21"/>
      <w:szCs w:val="20"/>
    </w:rPr>
  </w:style>
  <w:style w:type="paragraph" w:customStyle="1" w:styleId="3687">
    <w:name w:val="样式 表格内字体1 +11"/>
    <w:basedOn w:val="2373"/>
    <w:next w:val="832"/>
    <w:qFormat/>
    <w:uiPriority w:val="99"/>
    <w:rPr>
      <w:rFonts w:hAnsi="Times New Roman" w:cs="宋体"/>
      <w:szCs w:val="20"/>
    </w:rPr>
  </w:style>
  <w:style w:type="paragraph" w:customStyle="1" w:styleId="3688">
    <w:name w:val="正文斜体11"/>
    <w:basedOn w:val="185"/>
    <w:next w:val="185"/>
    <w:qFormat/>
    <w:uiPriority w:val="99"/>
    <w:rPr>
      <w:rFonts w:hAnsi="宋体" w:cs="Times New Roman"/>
      <w:i/>
      <w:iCs/>
    </w:rPr>
  </w:style>
  <w:style w:type="paragraph" w:customStyle="1" w:styleId="3689">
    <w:name w:val="Char Char2 Char Char Char Char1111"/>
    <w:basedOn w:val="1"/>
    <w:qFormat/>
    <w:uiPriority w:val="99"/>
    <w:pPr>
      <w:spacing w:line="240" w:lineRule="auto"/>
    </w:pPr>
    <w:rPr>
      <w:sz w:val="21"/>
    </w:rPr>
  </w:style>
  <w:style w:type="paragraph" w:customStyle="1" w:styleId="3690">
    <w:name w:val="Char811"/>
    <w:basedOn w:val="1"/>
    <w:qFormat/>
    <w:uiPriority w:val="99"/>
    <w:pPr>
      <w:spacing w:line="240" w:lineRule="auto"/>
      <w:ind w:left="-48"/>
    </w:pPr>
    <w:rPr>
      <w:sz w:val="21"/>
    </w:rPr>
  </w:style>
  <w:style w:type="paragraph" w:customStyle="1" w:styleId="3691">
    <w:name w:val="表格内字体711"/>
    <w:basedOn w:val="185"/>
    <w:next w:val="185"/>
    <w:qFormat/>
    <w:uiPriority w:val="99"/>
    <w:pPr>
      <w:spacing w:line="240" w:lineRule="auto"/>
      <w:ind w:firstLine="0"/>
      <w:jc w:val="center"/>
    </w:pPr>
    <w:rPr>
      <w:rFonts w:hAnsi="宋体" w:cs="Times New Roman"/>
      <w:sz w:val="21"/>
    </w:rPr>
  </w:style>
  <w:style w:type="paragraph" w:customStyle="1" w:styleId="3692">
    <w:name w:val="表题1511"/>
    <w:basedOn w:val="22"/>
    <w:qFormat/>
    <w:uiPriority w:val="99"/>
    <w:pPr>
      <w:tabs>
        <w:tab w:val="clear" w:pos="10467"/>
        <w:tab w:val="clear" w:pos="13095"/>
      </w:tabs>
      <w:adjustRightInd/>
      <w:snapToGrid/>
    </w:pPr>
    <w:rPr>
      <w:rFonts w:ascii="黑体" w:eastAsia="黑体"/>
    </w:rPr>
  </w:style>
  <w:style w:type="paragraph" w:customStyle="1" w:styleId="3693">
    <w:name w:val="燕山正文411"/>
    <w:basedOn w:val="1"/>
    <w:qFormat/>
    <w:uiPriority w:val="99"/>
    <w:pPr>
      <w:tabs>
        <w:tab w:val="left" w:pos="4680"/>
      </w:tabs>
      <w:spacing w:line="480" w:lineRule="exact"/>
    </w:pPr>
    <w:rPr>
      <w:rFonts w:ascii="宋体" w:cs="宋体"/>
    </w:rPr>
  </w:style>
  <w:style w:type="paragraph" w:customStyle="1" w:styleId="3694">
    <w:name w:val="默认段落字体 Para Char Char Char Char511"/>
    <w:basedOn w:val="1"/>
    <w:qFormat/>
    <w:uiPriority w:val="99"/>
    <w:pPr>
      <w:spacing w:line="240" w:lineRule="auto"/>
    </w:pPr>
    <w:rPr>
      <w:sz w:val="21"/>
    </w:rPr>
  </w:style>
  <w:style w:type="paragraph" w:customStyle="1" w:styleId="3695">
    <w:name w:val="表题413"/>
    <w:basedOn w:val="35"/>
    <w:qFormat/>
    <w:uiPriority w:val="99"/>
    <w:pPr>
      <w:tabs>
        <w:tab w:val="left" w:pos="4305"/>
      </w:tabs>
      <w:ind w:left="0" w:firstLine="0" w:firstLineChars="0"/>
      <w:jc w:val="center"/>
    </w:pPr>
    <w:rPr>
      <w:rFonts w:ascii="宋体" w:hAnsi="宋体" w:cs="宋体"/>
      <w:color w:val="000000"/>
      <w:sz w:val="24"/>
      <w:lang w:val="zh-CN"/>
    </w:rPr>
  </w:style>
  <w:style w:type="paragraph" w:customStyle="1" w:styleId="3696">
    <w:name w:val="表内5中111"/>
    <w:basedOn w:val="1"/>
    <w:qFormat/>
    <w:uiPriority w:val="99"/>
    <w:pPr>
      <w:spacing w:line="240" w:lineRule="auto"/>
      <w:jc w:val="center"/>
    </w:pPr>
    <w:rPr>
      <w:rFonts w:ascii="宋体" w:hAnsi="宋体" w:cs="Arial"/>
      <w:snapToGrid w:val="0"/>
      <w:color w:val="000000"/>
      <w:sz w:val="21"/>
      <w:szCs w:val="21"/>
    </w:rPr>
  </w:style>
  <w:style w:type="paragraph" w:customStyle="1" w:styleId="3697">
    <w:name w:val="默认段落字体 Para Char411"/>
    <w:basedOn w:val="1"/>
    <w:next w:val="1"/>
    <w:qFormat/>
    <w:uiPriority w:val="99"/>
    <w:pPr>
      <w:spacing w:line="480" w:lineRule="exact"/>
      <w:ind w:firstLine="200"/>
      <w:jc w:val="left"/>
    </w:pPr>
    <w:rPr>
      <w:rFonts w:ascii="宋体" w:hAnsi="宋体" w:eastAsia="汉鼎简书宋" w:cs="宋体"/>
      <w:sz w:val="28"/>
    </w:rPr>
  </w:style>
  <w:style w:type="paragraph" w:customStyle="1" w:styleId="3698">
    <w:name w:val="Char4211"/>
    <w:basedOn w:val="1"/>
    <w:qFormat/>
    <w:uiPriority w:val="99"/>
    <w:pPr>
      <w:spacing w:line="240" w:lineRule="auto"/>
      <w:ind w:left="-48"/>
    </w:pPr>
    <w:rPr>
      <w:sz w:val="21"/>
    </w:rPr>
  </w:style>
  <w:style w:type="paragraph" w:customStyle="1" w:styleId="3699">
    <w:name w:val="Char Char Char Char1 Char Char Char211"/>
    <w:basedOn w:val="1"/>
    <w:qFormat/>
    <w:uiPriority w:val="99"/>
    <w:pPr>
      <w:widowControl/>
      <w:spacing w:after="160" w:line="240" w:lineRule="exact"/>
      <w:jc w:val="left"/>
    </w:pPr>
    <w:rPr>
      <w:rFonts w:ascii="Verdana" w:hAnsi="Verdana"/>
      <w:kern w:val="0"/>
      <w:sz w:val="20"/>
      <w:szCs w:val="20"/>
      <w:lang w:eastAsia="en-US"/>
    </w:rPr>
  </w:style>
  <w:style w:type="paragraph" w:customStyle="1" w:styleId="3700">
    <w:name w:val="表题18"/>
    <w:basedOn w:val="22"/>
    <w:qFormat/>
    <w:uiPriority w:val="99"/>
    <w:pPr>
      <w:tabs>
        <w:tab w:val="clear" w:pos="10467"/>
        <w:tab w:val="clear" w:pos="13095"/>
      </w:tabs>
      <w:adjustRightInd/>
      <w:snapToGrid/>
    </w:pPr>
    <w:rPr>
      <w:rFonts w:ascii="黑体" w:eastAsia="黑体"/>
    </w:rPr>
  </w:style>
  <w:style w:type="paragraph" w:customStyle="1" w:styleId="3701">
    <w:name w:val="Char171"/>
    <w:basedOn w:val="1"/>
    <w:qFormat/>
    <w:uiPriority w:val="99"/>
    <w:pPr>
      <w:spacing w:line="240" w:lineRule="auto"/>
      <w:ind w:left="-48"/>
    </w:pPr>
    <w:rPr>
      <w:sz w:val="21"/>
    </w:rPr>
  </w:style>
  <w:style w:type="paragraph" w:customStyle="1" w:styleId="3702">
    <w:name w:val="环评正文3"/>
    <w:qFormat/>
    <w:uiPriority w:val="99"/>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703">
    <w:name w:val="表格内容11"/>
    <w:qFormat/>
    <w:uiPriority w:val="99"/>
    <w:pPr>
      <w:jc w:val="center"/>
    </w:pPr>
    <w:rPr>
      <w:rFonts w:ascii="Times New Roman" w:hAnsi="Times New Roman" w:eastAsia="宋体" w:cs="Times New Roman"/>
      <w:kern w:val="2"/>
      <w:sz w:val="21"/>
      <w:szCs w:val="21"/>
      <w:lang w:val="en-US" w:eastAsia="zh-CN" w:bidi="ar-SA"/>
    </w:rPr>
  </w:style>
  <w:style w:type="paragraph" w:customStyle="1" w:styleId="3704">
    <w:name w:val="附件6"/>
    <w:basedOn w:val="3"/>
    <w:next w:val="185"/>
    <w:qFormat/>
    <w:uiPriority w:val="99"/>
    <w:pPr>
      <w:tabs>
        <w:tab w:val="left" w:pos="1566"/>
      </w:tabs>
      <w:spacing w:before="240" w:beforeLines="100"/>
    </w:pPr>
    <w:rPr>
      <w:rFonts w:ascii="黑体" w:hAnsi="宋体" w:eastAsia="黑体"/>
      <w:b w:val="0"/>
      <w:bCs w:val="0"/>
      <w:sz w:val="32"/>
      <w:szCs w:val="32"/>
    </w:rPr>
  </w:style>
  <w:style w:type="paragraph" w:customStyle="1" w:styleId="3705">
    <w:name w:val="正文格式14"/>
    <w:basedOn w:val="1"/>
    <w:qFormat/>
    <w:uiPriority w:val="99"/>
    <w:pPr>
      <w:ind w:firstLine="482"/>
    </w:pPr>
    <w:rPr>
      <w:rFonts w:ascii="宋体" w:hAnsi="宋体"/>
    </w:rPr>
  </w:style>
  <w:style w:type="paragraph" w:customStyle="1" w:styleId="3706">
    <w:name w:val="图题10"/>
    <w:basedOn w:val="185"/>
    <w:next w:val="185"/>
    <w:qFormat/>
    <w:uiPriority w:val="99"/>
    <w:pPr>
      <w:ind w:firstLine="0"/>
      <w:jc w:val="center"/>
    </w:pPr>
    <w:rPr>
      <w:rFonts w:ascii="黑体" w:hAnsi="宋体" w:eastAsia="黑体"/>
      <w:b/>
      <w:bCs/>
    </w:rPr>
  </w:style>
  <w:style w:type="paragraph" w:customStyle="1" w:styleId="3707">
    <w:name w:val="文本框4"/>
    <w:basedOn w:val="1"/>
    <w:qFormat/>
    <w:uiPriority w:val="99"/>
    <w:pPr>
      <w:spacing w:after="6" w:line="240" w:lineRule="auto"/>
      <w:jc w:val="center"/>
    </w:pPr>
    <w:rPr>
      <w:rFonts w:eastAsia="仿宋_GB2312"/>
      <w:sz w:val="21"/>
    </w:rPr>
  </w:style>
  <w:style w:type="paragraph" w:customStyle="1" w:styleId="3708">
    <w:name w:val="燕山正文116"/>
    <w:basedOn w:val="1"/>
    <w:qFormat/>
    <w:uiPriority w:val="99"/>
    <w:pPr>
      <w:tabs>
        <w:tab w:val="left" w:pos="4680"/>
      </w:tabs>
      <w:spacing w:line="480" w:lineRule="exact"/>
    </w:pPr>
    <w:rPr>
      <w:rFonts w:ascii="宋体" w:hAnsi="宋体" w:cs="宋体"/>
      <w:bCs/>
      <w:color w:val="000000"/>
    </w:rPr>
  </w:style>
  <w:style w:type="paragraph" w:customStyle="1" w:styleId="3709">
    <w:name w:val="表内5417"/>
    <w:basedOn w:val="1"/>
    <w:qFormat/>
    <w:uiPriority w:val="99"/>
    <w:pPr>
      <w:spacing w:line="300" w:lineRule="auto"/>
      <w:jc w:val="center"/>
    </w:pPr>
    <w:rPr>
      <w:rFonts w:ascii="宋体" w:hAnsi="宋体" w:cs="宋体"/>
      <w:sz w:val="21"/>
      <w:szCs w:val="20"/>
    </w:rPr>
  </w:style>
  <w:style w:type="paragraph" w:customStyle="1" w:styleId="3710">
    <w:name w:val="表内文字小216"/>
    <w:basedOn w:val="1"/>
    <w:qFormat/>
    <w:uiPriority w:val="99"/>
    <w:pPr>
      <w:spacing w:line="240" w:lineRule="auto"/>
      <w:jc w:val="center"/>
    </w:pPr>
    <w:rPr>
      <w:rFonts w:ascii="宋体" w:hAnsi="Times"/>
      <w:bCs/>
      <w:color w:val="000000"/>
      <w:sz w:val="21"/>
      <w:szCs w:val="20"/>
    </w:rPr>
  </w:style>
  <w:style w:type="paragraph" w:customStyle="1" w:styleId="3711">
    <w:name w:val="Char Char Char Char Char Char Char10"/>
    <w:basedOn w:val="1"/>
    <w:qFormat/>
    <w:uiPriority w:val="99"/>
    <w:pPr>
      <w:spacing w:line="240" w:lineRule="auto"/>
    </w:pPr>
    <w:rPr>
      <w:sz w:val="21"/>
    </w:rPr>
  </w:style>
  <w:style w:type="paragraph" w:customStyle="1" w:styleId="3712">
    <w:name w:val="正文24"/>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713">
    <w:name w:val="表内文字小316"/>
    <w:basedOn w:val="1"/>
    <w:qFormat/>
    <w:uiPriority w:val="99"/>
    <w:pPr>
      <w:spacing w:line="240" w:lineRule="auto"/>
      <w:jc w:val="center"/>
    </w:pPr>
    <w:rPr>
      <w:rFonts w:ascii="宋体" w:hAnsi="Times" w:cs="宋体"/>
      <w:bCs/>
      <w:color w:val="003366"/>
      <w:sz w:val="21"/>
      <w:szCs w:val="20"/>
    </w:rPr>
  </w:style>
  <w:style w:type="paragraph" w:customStyle="1" w:styleId="3714">
    <w:name w:val="表内宋5114"/>
    <w:basedOn w:val="80"/>
    <w:qFormat/>
    <w:uiPriority w:val="99"/>
    <w:pPr>
      <w:spacing w:before="0" w:beforeAutospacing="0" w:after="0" w:afterAutospacing="0"/>
      <w:jc w:val="both"/>
    </w:pPr>
    <w:rPr>
      <w:rFonts w:cs="宋体"/>
      <w:color w:val="000000"/>
    </w:rPr>
  </w:style>
  <w:style w:type="paragraph" w:customStyle="1" w:styleId="3715">
    <w:name w:val="表6"/>
    <w:basedOn w:val="1"/>
    <w:qFormat/>
    <w:uiPriority w:val="99"/>
    <w:pPr>
      <w:spacing w:line="240" w:lineRule="auto"/>
      <w:jc w:val="center"/>
    </w:pPr>
    <w:rPr>
      <w:rFonts w:eastAsia="仿宋_GB2312"/>
    </w:rPr>
  </w:style>
  <w:style w:type="paragraph" w:customStyle="1" w:styleId="3716">
    <w:name w:val="默认段落字体 Para Char Char Char Char8"/>
    <w:basedOn w:val="1"/>
    <w:qFormat/>
    <w:uiPriority w:val="99"/>
    <w:pPr>
      <w:spacing w:line="240" w:lineRule="auto"/>
    </w:pPr>
    <w:rPr>
      <w:sz w:val="21"/>
    </w:rPr>
  </w:style>
  <w:style w:type="paragraph" w:customStyle="1" w:styleId="3717">
    <w:name w:val="Char Char2 Char Char Char Char9"/>
    <w:basedOn w:val="1"/>
    <w:qFormat/>
    <w:uiPriority w:val="99"/>
    <w:pPr>
      <w:spacing w:line="240" w:lineRule="auto"/>
    </w:pPr>
    <w:rPr>
      <w:sz w:val="21"/>
    </w:rPr>
  </w:style>
  <w:style w:type="paragraph" w:customStyle="1" w:styleId="3718">
    <w:name w:val="正文格式＝9"/>
    <w:basedOn w:val="185"/>
    <w:next w:val="185"/>
    <w:qFormat/>
    <w:uiPriority w:val="99"/>
    <w:rPr>
      <w:rFonts w:hAnsi="宋体" w:cs="Times New Roman"/>
    </w:rPr>
  </w:style>
  <w:style w:type="paragraph" w:customStyle="1" w:styleId="3719">
    <w:name w:val="Char30"/>
    <w:basedOn w:val="1"/>
    <w:qFormat/>
    <w:uiPriority w:val="99"/>
    <w:pPr>
      <w:spacing w:line="240" w:lineRule="auto"/>
      <w:ind w:left="-48"/>
    </w:pPr>
    <w:rPr>
      <w:sz w:val="21"/>
    </w:rPr>
  </w:style>
  <w:style w:type="paragraph" w:customStyle="1" w:styleId="3720">
    <w:name w:val="样式15"/>
    <w:basedOn w:val="1199"/>
    <w:qFormat/>
    <w:uiPriority w:val="99"/>
    <w:pPr>
      <w:spacing w:line="240" w:lineRule="auto"/>
      <w:ind w:firstLine="0"/>
      <w:jc w:val="center"/>
    </w:pPr>
    <w:rPr>
      <w:rFonts w:cs="Times New Roman"/>
      <w:b/>
      <w:color w:val="auto"/>
      <w:szCs w:val="20"/>
    </w:rPr>
  </w:style>
  <w:style w:type="paragraph" w:customStyle="1" w:styleId="3721">
    <w:name w:val="表内宋5中5"/>
    <w:basedOn w:val="1"/>
    <w:qFormat/>
    <w:uiPriority w:val="99"/>
    <w:pPr>
      <w:spacing w:line="240" w:lineRule="auto"/>
      <w:textAlignment w:val="baseline"/>
    </w:pPr>
    <w:rPr>
      <w:color w:val="000000"/>
      <w:kern w:val="0"/>
      <w:sz w:val="21"/>
      <w:szCs w:val="20"/>
    </w:rPr>
  </w:style>
  <w:style w:type="paragraph" w:customStyle="1" w:styleId="3722">
    <w:name w:val="表内文字小5"/>
    <w:basedOn w:val="1"/>
    <w:qFormat/>
    <w:uiPriority w:val="99"/>
    <w:pPr>
      <w:spacing w:line="240" w:lineRule="auto"/>
      <w:jc w:val="center"/>
    </w:pPr>
    <w:rPr>
      <w:rFonts w:ascii="宋体" w:hAnsi="Times"/>
      <w:sz w:val="21"/>
      <w:szCs w:val="20"/>
    </w:rPr>
  </w:style>
  <w:style w:type="paragraph" w:customStyle="1" w:styleId="3723">
    <w:name w:val="表内55"/>
    <w:basedOn w:val="1"/>
    <w:qFormat/>
    <w:uiPriority w:val="99"/>
    <w:pPr>
      <w:spacing w:line="300" w:lineRule="auto"/>
      <w:jc w:val="left"/>
    </w:pPr>
    <w:rPr>
      <w:rFonts w:ascii="宋体"/>
      <w:sz w:val="18"/>
      <w:szCs w:val="20"/>
    </w:rPr>
  </w:style>
  <w:style w:type="paragraph" w:customStyle="1" w:styleId="3724">
    <w:name w:val="Char Char Char Char1 Char Char Char6"/>
    <w:basedOn w:val="1"/>
    <w:qFormat/>
    <w:uiPriority w:val="99"/>
    <w:pPr>
      <w:widowControl/>
      <w:spacing w:after="160" w:line="240" w:lineRule="exact"/>
      <w:jc w:val="left"/>
    </w:pPr>
    <w:rPr>
      <w:rFonts w:ascii="Verdana" w:hAnsi="Verdana"/>
      <w:kern w:val="0"/>
      <w:sz w:val="20"/>
      <w:szCs w:val="20"/>
      <w:lang w:eastAsia="en-US"/>
    </w:rPr>
  </w:style>
  <w:style w:type="paragraph" w:customStyle="1" w:styleId="3725">
    <w:name w:val="正文格式15"/>
    <w:basedOn w:val="1"/>
    <w:qFormat/>
    <w:uiPriority w:val="99"/>
    <w:pPr>
      <w:ind w:firstLine="482"/>
    </w:pPr>
    <w:rPr>
      <w:rFonts w:ascii="宋体" w:hAnsi="宋体"/>
    </w:rPr>
  </w:style>
  <w:style w:type="paragraph" w:customStyle="1" w:styleId="3726">
    <w:name w:val="表格内字体24"/>
    <w:basedOn w:val="185"/>
    <w:next w:val="185"/>
    <w:qFormat/>
    <w:uiPriority w:val="99"/>
    <w:pPr>
      <w:spacing w:line="240" w:lineRule="auto"/>
      <w:ind w:firstLine="0"/>
      <w:jc w:val="center"/>
    </w:pPr>
    <w:rPr>
      <w:rFonts w:hAnsi="宋体" w:cs="Times New Roman"/>
      <w:sz w:val="21"/>
    </w:rPr>
  </w:style>
  <w:style w:type="paragraph" w:customStyle="1" w:styleId="3727">
    <w:name w:val="图题13"/>
    <w:basedOn w:val="185"/>
    <w:next w:val="185"/>
    <w:qFormat/>
    <w:uiPriority w:val="99"/>
    <w:pPr>
      <w:ind w:firstLine="0"/>
      <w:jc w:val="center"/>
    </w:pPr>
    <w:rPr>
      <w:rFonts w:ascii="黑体" w:hAnsi="宋体" w:eastAsia="黑体"/>
      <w:b/>
      <w:bCs/>
    </w:rPr>
  </w:style>
  <w:style w:type="paragraph" w:customStyle="1" w:styleId="3728">
    <w:name w:val="默认段落字体 Para Char Char Char Char13"/>
    <w:basedOn w:val="1"/>
    <w:qFormat/>
    <w:uiPriority w:val="99"/>
    <w:pPr>
      <w:spacing w:line="240" w:lineRule="auto"/>
    </w:pPr>
    <w:rPr>
      <w:sz w:val="21"/>
    </w:rPr>
  </w:style>
  <w:style w:type="paragraph" w:customStyle="1" w:styleId="3729">
    <w:name w:val="表格内字体14"/>
    <w:basedOn w:val="185"/>
    <w:next w:val="185"/>
    <w:qFormat/>
    <w:uiPriority w:val="99"/>
    <w:pPr>
      <w:spacing w:line="240" w:lineRule="auto"/>
      <w:ind w:firstLine="0"/>
      <w:jc w:val="center"/>
    </w:pPr>
    <w:rPr>
      <w:rFonts w:hAnsi="宋体" w:cs="Times New Roman"/>
      <w:sz w:val="21"/>
    </w:rPr>
  </w:style>
  <w:style w:type="paragraph" w:customStyle="1" w:styleId="3730">
    <w:name w:val="表内文字小2113"/>
    <w:basedOn w:val="1"/>
    <w:qFormat/>
    <w:uiPriority w:val="99"/>
    <w:pPr>
      <w:spacing w:line="240" w:lineRule="auto"/>
      <w:jc w:val="center"/>
    </w:pPr>
    <w:rPr>
      <w:rFonts w:ascii="宋体" w:hAnsi="Times"/>
      <w:bCs/>
      <w:color w:val="000000"/>
      <w:sz w:val="21"/>
      <w:szCs w:val="20"/>
    </w:rPr>
  </w:style>
  <w:style w:type="paragraph" w:customStyle="1" w:styleId="3731">
    <w:name w:val="表题3113"/>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732">
    <w:name w:val="Char Char Char Char Char Char Char18"/>
    <w:basedOn w:val="1"/>
    <w:qFormat/>
    <w:uiPriority w:val="99"/>
    <w:pPr>
      <w:spacing w:line="240" w:lineRule="auto"/>
    </w:pPr>
    <w:rPr>
      <w:sz w:val="21"/>
    </w:rPr>
  </w:style>
  <w:style w:type="paragraph" w:customStyle="1" w:styleId="3733">
    <w:name w:val="附件13"/>
    <w:basedOn w:val="3"/>
    <w:next w:val="185"/>
    <w:qFormat/>
    <w:uiPriority w:val="99"/>
    <w:pPr>
      <w:tabs>
        <w:tab w:val="left" w:pos="1566"/>
      </w:tabs>
      <w:spacing w:before="240" w:beforeLines="100"/>
    </w:pPr>
    <w:rPr>
      <w:rFonts w:ascii="黑体" w:hAnsi="宋体" w:eastAsia="黑体"/>
      <w:bCs w:val="0"/>
      <w:sz w:val="32"/>
      <w:szCs w:val="32"/>
    </w:rPr>
  </w:style>
  <w:style w:type="paragraph" w:customStyle="1" w:styleId="3734">
    <w:name w:val="黑体三号13"/>
    <w:basedOn w:val="185"/>
    <w:qFormat/>
    <w:uiPriority w:val="99"/>
    <w:pPr>
      <w:jc w:val="center"/>
    </w:pPr>
    <w:rPr>
      <w:rFonts w:ascii="黑体" w:hAnsi="宋体" w:eastAsia="黑体"/>
      <w:b/>
      <w:bCs/>
      <w:sz w:val="32"/>
      <w:szCs w:val="20"/>
    </w:rPr>
  </w:style>
  <w:style w:type="paragraph" w:customStyle="1" w:styleId="3735">
    <w:name w:val="正文修改13"/>
    <w:basedOn w:val="900"/>
    <w:qFormat/>
    <w:uiPriority w:val="99"/>
    <w:pPr>
      <w:spacing w:line="480" w:lineRule="exact"/>
      <w:ind w:firstLine="0" w:firstLineChars="0"/>
    </w:pPr>
    <w:rPr>
      <w:rFonts w:cs="宋体"/>
      <w:sz w:val="24"/>
      <w:szCs w:val="24"/>
    </w:rPr>
  </w:style>
  <w:style w:type="paragraph" w:customStyle="1" w:styleId="3736">
    <w:name w:val="表中文字14"/>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737">
    <w:name w:val="表内文字小3113"/>
    <w:basedOn w:val="1"/>
    <w:qFormat/>
    <w:uiPriority w:val="99"/>
    <w:pPr>
      <w:spacing w:line="240" w:lineRule="auto"/>
      <w:jc w:val="center"/>
    </w:pPr>
    <w:rPr>
      <w:rFonts w:ascii="宋体" w:hAnsi="Times" w:cs="宋体"/>
      <w:bCs/>
      <w:color w:val="003366"/>
      <w:sz w:val="21"/>
      <w:szCs w:val="20"/>
    </w:rPr>
  </w:style>
  <w:style w:type="paragraph" w:customStyle="1" w:styleId="3738">
    <w:name w:val="正文格式＝23"/>
    <w:basedOn w:val="185"/>
    <w:next w:val="185"/>
    <w:qFormat/>
    <w:uiPriority w:val="99"/>
    <w:rPr>
      <w:rFonts w:hAnsi="宋体" w:cs="Times New Roman"/>
    </w:rPr>
  </w:style>
  <w:style w:type="paragraph" w:customStyle="1" w:styleId="3739">
    <w:name w:val="表内文字小25"/>
    <w:basedOn w:val="1"/>
    <w:qFormat/>
    <w:uiPriority w:val="99"/>
    <w:pPr>
      <w:spacing w:line="240" w:lineRule="auto"/>
      <w:jc w:val="center"/>
    </w:pPr>
    <w:rPr>
      <w:rFonts w:ascii="宋体" w:hAnsi="Times"/>
      <w:bCs/>
      <w:color w:val="000000"/>
      <w:sz w:val="21"/>
      <w:szCs w:val="20"/>
    </w:rPr>
  </w:style>
  <w:style w:type="paragraph" w:customStyle="1" w:styleId="3740">
    <w:name w:val="表内文字小2123"/>
    <w:basedOn w:val="1"/>
    <w:qFormat/>
    <w:uiPriority w:val="99"/>
    <w:pPr>
      <w:spacing w:line="240" w:lineRule="auto"/>
      <w:jc w:val="center"/>
    </w:pPr>
    <w:rPr>
      <w:rFonts w:ascii="宋体" w:hAnsi="Times"/>
      <w:bCs/>
      <w:color w:val="000000"/>
      <w:sz w:val="21"/>
      <w:szCs w:val="20"/>
    </w:rPr>
  </w:style>
  <w:style w:type="paragraph" w:customStyle="1" w:styleId="3741">
    <w:name w:val="燕山正文1123"/>
    <w:basedOn w:val="1"/>
    <w:qFormat/>
    <w:uiPriority w:val="99"/>
    <w:pPr>
      <w:tabs>
        <w:tab w:val="left" w:pos="4680"/>
      </w:tabs>
      <w:spacing w:line="480" w:lineRule="exact"/>
    </w:pPr>
    <w:rPr>
      <w:rFonts w:ascii="宋体" w:hAnsi="宋体" w:cs="宋体"/>
      <w:bCs/>
      <w:color w:val="000000"/>
    </w:rPr>
  </w:style>
  <w:style w:type="paragraph" w:customStyle="1" w:styleId="3742">
    <w:name w:val="默认段落字体 Para Char Char Char Char23"/>
    <w:basedOn w:val="1"/>
    <w:qFormat/>
    <w:uiPriority w:val="99"/>
    <w:pPr>
      <w:spacing w:line="240" w:lineRule="auto"/>
    </w:pPr>
    <w:rPr>
      <w:sz w:val="21"/>
    </w:rPr>
  </w:style>
  <w:style w:type="paragraph" w:customStyle="1" w:styleId="3743">
    <w:name w:val="正文斜体3"/>
    <w:basedOn w:val="185"/>
    <w:next w:val="185"/>
    <w:qFormat/>
    <w:uiPriority w:val="99"/>
    <w:rPr>
      <w:rFonts w:hAnsi="宋体" w:cs="Times New Roman"/>
      <w:i/>
      <w:iCs/>
    </w:rPr>
  </w:style>
  <w:style w:type="paragraph" w:customStyle="1" w:styleId="3744">
    <w:name w:val="附件23"/>
    <w:basedOn w:val="3"/>
    <w:next w:val="185"/>
    <w:qFormat/>
    <w:uiPriority w:val="99"/>
    <w:pPr>
      <w:tabs>
        <w:tab w:val="left" w:pos="1566"/>
      </w:tabs>
      <w:spacing w:before="240" w:beforeLines="100"/>
    </w:pPr>
    <w:rPr>
      <w:rFonts w:ascii="黑体" w:hAnsi="宋体" w:eastAsia="黑体"/>
      <w:bCs w:val="0"/>
      <w:sz w:val="32"/>
      <w:szCs w:val="32"/>
    </w:rPr>
  </w:style>
  <w:style w:type="paragraph" w:customStyle="1" w:styleId="3745">
    <w:name w:val="黑体三号23"/>
    <w:basedOn w:val="185"/>
    <w:qFormat/>
    <w:uiPriority w:val="99"/>
    <w:pPr>
      <w:jc w:val="center"/>
    </w:pPr>
    <w:rPr>
      <w:rFonts w:ascii="黑体" w:hAnsi="宋体" w:eastAsia="黑体"/>
      <w:b/>
      <w:bCs/>
      <w:sz w:val="32"/>
      <w:szCs w:val="20"/>
    </w:rPr>
  </w:style>
  <w:style w:type="paragraph" w:customStyle="1" w:styleId="3746">
    <w:name w:val="表中文字23"/>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747">
    <w:name w:val="正文格式＝14"/>
    <w:basedOn w:val="185"/>
    <w:next w:val="185"/>
    <w:qFormat/>
    <w:uiPriority w:val="99"/>
    <w:rPr>
      <w:rFonts w:hAnsi="宋体" w:cs="Times New Roman"/>
    </w:rPr>
  </w:style>
  <w:style w:type="paragraph" w:customStyle="1" w:styleId="3748">
    <w:name w:val="正文格式＝33"/>
    <w:basedOn w:val="185"/>
    <w:next w:val="185"/>
    <w:qFormat/>
    <w:uiPriority w:val="99"/>
    <w:rPr>
      <w:rFonts w:hAnsi="宋体" w:cs="Times New Roman"/>
    </w:rPr>
  </w:style>
  <w:style w:type="paragraph" w:customStyle="1" w:styleId="3749">
    <w:name w:val="默认段落字体 Para Char8"/>
    <w:basedOn w:val="1"/>
    <w:qFormat/>
    <w:uiPriority w:val="99"/>
    <w:pPr>
      <w:ind w:firstLine="200"/>
    </w:pPr>
    <w:rPr>
      <w:rFonts w:ascii="宋体" w:hAnsi="宋体" w:cs="宋体"/>
    </w:rPr>
  </w:style>
  <w:style w:type="paragraph" w:customStyle="1" w:styleId="3750">
    <w:name w:val="表内文字小223"/>
    <w:basedOn w:val="1"/>
    <w:qFormat/>
    <w:uiPriority w:val="99"/>
    <w:pPr>
      <w:spacing w:line="240" w:lineRule="auto"/>
      <w:jc w:val="center"/>
    </w:pPr>
    <w:rPr>
      <w:rFonts w:ascii="宋体" w:hAnsi="Times"/>
      <w:bCs/>
      <w:color w:val="000000"/>
      <w:sz w:val="21"/>
      <w:szCs w:val="20"/>
    </w:rPr>
  </w:style>
  <w:style w:type="paragraph" w:customStyle="1" w:styleId="3751">
    <w:name w:val="正文.22"/>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752">
    <w:name w:val="正文格式213"/>
    <w:basedOn w:val="1"/>
    <w:qFormat/>
    <w:uiPriority w:val="99"/>
    <w:pPr>
      <w:ind w:firstLine="482"/>
    </w:pPr>
    <w:rPr>
      <w:rFonts w:ascii="宋体" w:hAnsi="宋体"/>
    </w:rPr>
  </w:style>
  <w:style w:type="paragraph" w:customStyle="1" w:styleId="3753">
    <w:name w:val="表格内字体213"/>
    <w:basedOn w:val="185"/>
    <w:next w:val="185"/>
    <w:qFormat/>
    <w:uiPriority w:val="99"/>
    <w:pPr>
      <w:spacing w:line="240" w:lineRule="auto"/>
      <w:ind w:firstLine="0"/>
      <w:jc w:val="center"/>
    </w:pPr>
    <w:rPr>
      <w:rFonts w:hAnsi="宋体" w:cs="Times New Roman"/>
      <w:sz w:val="21"/>
    </w:rPr>
  </w:style>
  <w:style w:type="paragraph" w:customStyle="1" w:styleId="3754">
    <w:name w:val="表文字5113"/>
    <w:basedOn w:val="1"/>
    <w:qFormat/>
    <w:uiPriority w:val="99"/>
    <w:pPr>
      <w:spacing w:line="240" w:lineRule="auto"/>
      <w:jc w:val="left"/>
      <w:textAlignment w:val="baseline"/>
    </w:pPr>
    <w:rPr>
      <w:rFonts w:ascii="宋体"/>
      <w:kern w:val="0"/>
      <w:sz w:val="21"/>
      <w:szCs w:val="20"/>
    </w:rPr>
  </w:style>
  <w:style w:type="paragraph" w:customStyle="1" w:styleId="3755">
    <w:name w:val="默认段落字体 Para Char7"/>
    <w:basedOn w:val="1"/>
    <w:qFormat/>
    <w:uiPriority w:val="99"/>
    <w:pPr>
      <w:ind w:firstLine="200"/>
    </w:pPr>
    <w:rPr>
      <w:rFonts w:ascii="宋体" w:hAnsi="宋体" w:cs="宋体"/>
    </w:rPr>
  </w:style>
  <w:style w:type="paragraph" w:customStyle="1" w:styleId="3756">
    <w:name w:val="Char232"/>
    <w:basedOn w:val="1"/>
    <w:qFormat/>
    <w:uiPriority w:val="99"/>
    <w:pPr>
      <w:spacing w:line="240" w:lineRule="auto"/>
      <w:ind w:left="-48"/>
    </w:pPr>
    <w:rPr>
      <w:sz w:val="21"/>
    </w:rPr>
  </w:style>
  <w:style w:type="paragraph" w:customStyle="1" w:styleId="3757">
    <w:name w:val="正文格式43"/>
    <w:basedOn w:val="1"/>
    <w:qFormat/>
    <w:uiPriority w:val="99"/>
    <w:pPr>
      <w:ind w:firstLine="482"/>
    </w:pPr>
    <w:rPr>
      <w:rFonts w:ascii="宋体" w:hAnsi="宋体"/>
    </w:rPr>
  </w:style>
  <w:style w:type="paragraph" w:customStyle="1" w:styleId="3758">
    <w:name w:val="正文格式＝43"/>
    <w:basedOn w:val="185"/>
    <w:next w:val="185"/>
    <w:qFormat/>
    <w:uiPriority w:val="99"/>
    <w:rPr>
      <w:rFonts w:hAnsi="宋体" w:cs="Times New Roman"/>
    </w:rPr>
  </w:style>
  <w:style w:type="paragraph" w:customStyle="1" w:styleId="3759">
    <w:name w:val="表题133"/>
    <w:basedOn w:val="22"/>
    <w:qFormat/>
    <w:uiPriority w:val="99"/>
    <w:pPr>
      <w:tabs>
        <w:tab w:val="clear" w:pos="10467"/>
        <w:tab w:val="clear" w:pos="13095"/>
      </w:tabs>
      <w:adjustRightInd/>
      <w:snapToGrid/>
    </w:pPr>
    <w:rPr>
      <w:rFonts w:ascii="黑体" w:eastAsia="黑体"/>
    </w:rPr>
  </w:style>
  <w:style w:type="paragraph" w:customStyle="1" w:styleId="3760">
    <w:name w:val="默认段落字体 Para Char13"/>
    <w:basedOn w:val="1"/>
    <w:next w:val="1"/>
    <w:qFormat/>
    <w:uiPriority w:val="99"/>
    <w:pPr>
      <w:spacing w:line="480" w:lineRule="exact"/>
      <w:ind w:firstLine="200"/>
      <w:jc w:val="left"/>
    </w:pPr>
    <w:rPr>
      <w:rFonts w:ascii="宋体" w:hAnsi="宋体" w:eastAsia="汉鼎简书宋" w:cs="宋体"/>
      <w:sz w:val="28"/>
    </w:rPr>
  </w:style>
  <w:style w:type="paragraph" w:customStyle="1" w:styleId="3761">
    <w:name w:val="23-47表名3"/>
    <w:basedOn w:val="1"/>
    <w:qFormat/>
    <w:uiPriority w:val="99"/>
    <w:pPr>
      <w:spacing w:afterLines="50" w:line="440" w:lineRule="exact"/>
      <w:jc w:val="center"/>
    </w:pPr>
    <w:rPr>
      <w:rFonts w:ascii="宋体" w:hAnsi="宋体"/>
      <w:b/>
    </w:rPr>
  </w:style>
  <w:style w:type="paragraph" w:customStyle="1" w:styleId="3762">
    <w:name w:val="xl243"/>
    <w:basedOn w:val="1"/>
    <w:qFormat/>
    <w:uiPriority w:val="99"/>
    <w:pPr>
      <w:widowControl/>
      <w:pBdr>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3763">
    <w:name w:val="Char53"/>
    <w:basedOn w:val="1"/>
    <w:qFormat/>
    <w:uiPriority w:val="99"/>
    <w:pPr>
      <w:spacing w:line="240" w:lineRule="auto"/>
      <w:ind w:left="-45"/>
    </w:pPr>
    <w:rPr>
      <w:sz w:val="21"/>
    </w:rPr>
  </w:style>
  <w:style w:type="paragraph" w:customStyle="1" w:styleId="3764">
    <w:name w:val="燕山正文1133"/>
    <w:basedOn w:val="1"/>
    <w:qFormat/>
    <w:uiPriority w:val="99"/>
    <w:pPr>
      <w:tabs>
        <w:tab w:val="left" w:pos="4680"/>
      </w:tabs>
      <w:ind w:firstLine="480"/>
    </w:pPr>
    <w:rPr>
      <w:rFonts w:ascii="宋体" w:hAnsi="宋体" w:cs="宋体"/>
      <w:bCs/>
      <w:snapToGrid w:val="0"/>
      <w:color w:val="000000"/>
      <w:kern w:val="0"/>
    </w:rPr>
  </w:style>
  <w:style w:type="paragraph" w:customStyle="1" w:styleId="3765">
    <w:name w:val="表格内字体53"/>
    <w:basedOn w:val="185"/>
    <w:next w:val="185"/>
    <w:qFormat/>
    <w:uiPriority w:val="99"/>
    <w:pPr>
      <w:spacing w:line="240" w:lineRule="auto"/>
      <w:ind w:firstLine="0"/>
    </w:pPr>
    <w:rPr>
      <w:rFonts w:hAnsi="宋体" w:cs="Times New Roman"/>
      <w:sz w:val="21"/>
    </w:rPr>
  </w:style>
  <w:style w:type="paragraph" w:customStyle="1" w:styleId="3766">
    <w:name w:val="文本框13"/>
    <w:basedOn w:val="1"/>
    <w:qFormat/>
    <w:uiPriority w:val="99"/>
    <w:pPr>
      <w:spacing w:after="6" w:line="240" w:lineRule="auto"/>
      <w:jc w:val="center"/>
    </w:pPr>
    <w:rPr>
      <w:rFonts w:eastAsia="仿宋_GB2312"/>
      <w:sz w:val="21"/>
    </w:rPr>
  </w:style>
  <w:style w:type="paragraph" w:customStyle="1" w:styleId="3767">
    <w:name w:val="表内宋51113"/>
    <w:basedOn w:val="80"/>
    <w:qFormat/>
    <w:uiPriority w:val="99"/>
    <w:pPr>
      <w:spacing w:before="0" w:beforeAutospacing="0" w:after="0" w:afterAutospacing="0"/>
      <w:jc w:val="both"/>
    </w:pPr>
    <w:rPr>
      <w:rFonts w:cs="宋体"/>
      <w:color w:val="000000"/>
    </w:rPr>
  </w:style>
  <w:style w:type="paragraph" w:customStyle="1" w:styleId="3768">
    <w:name w:val="表内文字小3133"/>
    <w:basedOn w:val="1"/>
    <w:qFormat/>
    <w:uiPriority w:val="99"/>
    <w:pPr>
      <w:spacing w:line="240" w:lineRule="auto"/>
      <w:jc w:val="center"/>
    </w:pPr>
    <w:rPr>
      <w:rFonts w:ascii="宋体" w:hAnsi="Times" w:cs="宋体"/>
      <w:bCs/>
      <w:color w:val="003366"/>
      <w:sz w:val="21"/>
      <w:szCs w:val="20"/>
    </w:rPr>
  </w:style>
  <w:style w:type="paragraph" w:customStyle="1" w:styleId="3769">
    <w:name w:val="表格内字体74"/>
    <w:basedOn w:val="185"/>
    <w:next w:val="185"/>
    <w:qFormat/>
    <w:uiPriority w:val="99"/>
    <w:pPr>
      <w:spacing w:line="240" w:lineRule="auto"/>
      <w:ind w:firstLine="0"/>
      <w:jc w:val="center"/>
    </w:pPr>
    <w:rPr>
      <w:rFonts w:hAnsi="宋体" w:cs="Times New Roman"/>
      <w:sz w:val="21"/>
    </w:rPr>
  </w:style>
  <w:style w:type="paragraph" w:customStyle="1" w:styleId="3770">
    <w:name w:val="表文字533"/>
    <w:basedOn w:val="1"/>
    <w:qFormat/>
    <w:uiPriority w:val="99"/>
    <w:pPr>
      <w:spacing w:line="240" w:lineRule="auto"/>
      <w:jc w:val="left"/>
      <w:textAlignment w:val="baseline"/>
    </w:pPr>
    <w:rPr>
      <w:rFonts w:ascii="宋体"/>
      <w:kern w:val="0"/>
      <w:sz w:val="21"/>
      <w:szCs w:val="20"/>
    </w:rPr>
  </w:style>
  <w:style w:type="paragraph" w:customStyle="1" w:styleId="3771">
    <w:name w:val="图题222"/>
    <w:basedOn w:val="185"/>
    <w:next w:val="185"/>
    <w:qFormat/>
    <w:uiPriority w:val="99"/>
    <w:pPr>
      <w:ind w:firstLine="0"/>
      <w:jc w:val="center"/>
    </w:pPr>
    <w:rPr>
      <w:rFonts w:ascii="黑体" w:hAnsi="宋体" w:eastAsia="黑体"/>
      <w:b/>
      <w:bCs/>
    </w:rPr>
  </w:style>
  <w:style w:type="paragraph" w:customStyle="1" w:styleId="3772">
    <w:name w:val="Char Char Char Char Char Char Char26"/>
    <w:basedOn w:val="1"/>
    <w:qFormat/>
    <w:uiPriority w:val="99"/>
    <w:pPr>
      <w:spacing w:line="240" w:lineRule="auto"/>
    </w:pPr>
    <w:rPr>
      <w:sz w:val="21"/>
    </w:rPr>
  </w:style>
  <w:style w:type="paragraph" w:customStyle="1" w:styleId="3773">
    <w:name w:val="Char Char2 Char Char Char Char20"/>
    <w:basedOn w:val="1"/>
    <w:qFormat/>
    <w:uiPriority w:val="99"/>
    <w:pPr>
      <w:spacing w:line="240" w:lineRule="auto"/>
    </w:pPr>
    <w:rPr>
      <w:sz w:val="21"/>
    </w:rPr>
  </w:style>
  <w:style w:type="paragraph" w:customStyle="1" w:styleId="3774">
    <w:name w:val="燕山正文33"/>
    <w:basedOn w:val="1"/>
    <w:qFormat/>
    <w:uiPriority w:val="99"/>
    <w:pPr>
      <w:tabs>
        <w:tab w:val="left" w:pos="4680"/>
      </w:tabs>
      <w:spacing w:line="480" w:lineRule="exact"/>
    </w:pPr>
    <w:rPr>
      <w:rFonts w:ascii="宋体" w:cs="宋体"/>
    </w:rPr>
  </w:style>
  <w:style w:type="paragraph" w:customStyle="1" w:styleId="3775">
    <w:name w:val="表题134"/>
    <w:basedOn w:val="22"/>
    <w:qFormat/>
    <w:uiPriority w:val="99"/>
    <w:pPr>
      <w:tabs>
        <w:tab w:val="clear" w:pos="10467"/>
        <w:tab w:val="clear" w:pos="13095"/>
      </w:tabs>
      <w:adjustRightInd/>
      <w:snapToGrid/>
    </w:pPr>
    <w:rPr>
      <w:rFonts w:ascii="黑体" w:eastAsia="黑体"/>
    </w:rPr>
  </w:style>
  <w:style w:type="paragraph" w:customStyle="1" w:styleId="3776">
    <w:name w:val="默认段落字体 Para Char Char Char Char33"/>
    <w:basedOn w:val="1"/>
    <w:qFormat/>
    <w:uiPriority w:val="99"/>
    <w:pPr>
      <w:spacing w:line="240" w:lineRule="auto"/>
    </w:pPr>
    <w:rPr>
      <w:sz w:val="21"/>
    </w:rPr>
  </w:style>
  <w:style w:type="paragraph" w:customStyle="1" w:styleId="3777">
    <w:name w:val="23-47表名4"/>
    <w:basedOn w:val="1"/>
    <w:qFormat/>
    <w:uiPriority w:val="99"/>
    <w:pPr>
      <w:spacing w:afterLines="50" w:line="440" w:lineRule="exact"/>
      <w:jc w:val="center"/>
    </w:pPr>
    <w:rPr>
      <w:rFonts w:ascii="宋体" w:hAnsi="宋体"/>
      <w:b/>
    </w:rPr>
  </w:style>
  <w:style w:type="paragraph" w:customStyle="1" w:styleId="3778">
    <w:name w:val="表内54133"/>
    <w:basedOn w:val="1"/>
    <w:qFormat/>
    <w:uiPriority w:val="99"/>
    <w:pPr>
      <w:spacing w:line="300" w:lineRule="auto"/>
      <w:jc w:val="center"/>
    </w:pPr>
    <w:rPr>
      <w:rFonts w:ascii="宋体" w:hAnsi="宋体" w:cs="宋体"/>
      <w:sz w:val="21"/>
      <w:szCs w:val="20"/>
    </w:rPr>
  </w:style>
  <w:style w:type="paragraph" w:customStyle="1" w:styleId="3779">
    <w:name w:val="标题44"/>
    <w:basedOn w:val="1"/>
    <w:qFormat/>
    <w:uiPriority w:val="99"/>
    <w:pPr>
      <w:spacing w:line="300" w:lineRule="auto"/>
      <w:jc w:val="left"/>
    </w:pPr>
    <w:rPr>
      <w:rFonts w:ascii="黑体" w:eastAsia="黑体"/>
      <w:bCs/>
    </w:rPr>
  </w:style>
  <w:style w:type="paragraph" w:customStyle="1" w:styleId="3780">
    <w:name w:val="Char63"/>
    <w:basedOn w:val="1"/>
    <w:qFormat/>
    <w:uiPriority w:val="99"/>
    <w:pPr>
      <w:spacing w:beforeLines="50"/>
    </w:pPr>
    <w:rPr>
      <w:rFonts w:ascii="黑体" w:eastAsia="黑体"/>
      <w:sz w:val="32"/>
      <w:szCs w:val="32"/>
    </w:rPr>
  </w:style>
  <w:style w:type="paragraph" w:customStyle="1" w:styleId="3781">
    <w:name w:val="附件33"/>
    <w:basedOn w:val="3"/>
    <w:next w:val="185"/>
    <w:qFormat/>
    <w:uiPriority w:val="99"/>
    <w:pPr>
      <w:tabs>
        <w:tab w:val="left" w:pos="1566"/>
      </w:tabs>
      <w:spacing w:before="240" w:beforeLines="100" w:after="120"/>
    </w:pPr>
    <w:rPr>
      <w:rFonts w:ascii="黑体" w:hAnsi="宋体" w:eastAsia="黑体"/>
      <w:bCs w:val="0"/>
      <w:sz w:val="32"/>
      <w:szCs w:val="32"/>
    </w:rPr>
  </w:style>
  <w:style w:type="paragraph" w:customStyle="1" w:styleId="3782">
    <w:name w:val="表内宋5中113"/>
    <w:basedOn w:val="1"/>
    <w:qFormat/>
    <w:uiPriority w:val="99"/>
    <w:pPr>
      <w:spacing w:line="240" w:lineRule="auto"/>
      <w:jc w:val="center"/>
      <w:textAlignment w:val="baseline"/>
    </w:pPr>
    <w:rPr>
      <w:rFonts w:ascii="宋体" w:hAnsi="宋体" w:cs="宋体"/>
      <w:kern w:val="0"/>
      <w:sz w:val="21"/>
      <w:szCs w:val="20"/>
    </w:rPr>
  </w:style>
  <w:style w:type="paragraph" w:customStyle="1" w:styleId="3783">
    <w:name w:val="标题4113"/>
    <w:basedOn w:val="1"/>
    <w:qFormat/>
    <w:uiPriority w:val="99"/>
    <w:pPr>
      <w:spacing w:line="300" w:lineRule="auto"/>
      <w:jc w:val="left"/>
    </w:pPr>
    <w:rPr>
      <w:rFonts w:ascii="黑体" w:hAnsi="宋体" w:eastAsia="黑体" w:cs="宋体"/>
      <w:bCs/>
      <w:szCs w:val="20"/>
    </w:rPr>
  </w:style>
  <w:style w:type="paragraph" w:customStyle="1" w:styleId="3784">
    <w:name w:val="正文格式63"/>
    <w:basedOn w:val="1"/>
    <w:qFormat/>
    <w:uiPriority w:val="99"/>
    <w:pPr>
      <w:ind w:firstLine="482"/>
    </w:pPr>
    <w:rPr>
      <w:rFonts w:ascii="宋体" w:hAnsi="宋体"/>
    </w:rPr>
  </w:style>
  <w:style w:type="paragraph" w:customStyle="1" w:styleId="3785">
    <w:name w:val="图题63"/>
    <w:basedOn w:val="185"/>
    <w:next w:val="185"/>
    <w:qFormat/>
    <w:uiPriority w:val="99"/>
    <w:pPr>
      <w:ind w:firstLine="0"/>
      <w:jc w:val="center"/>
    </w:pPr>
    <w:rPr>
      <w:rFonts w:ascii="黑体" w:hAnsi="宋体" w:eastAsia="黑体"/>
      <w:b/>
      <w:bCs/>
    </w:rPr>
  </w:style>
  <w:style w:type="paragraph" w:customStyle="1" w:styleId="3786">
    <w:name w:val="黑体三号43"/>
    <w:basedOn w:val="185"/>
    <w:qFormat/>
    <w:uiPriority w:val="99"/>
    <w:pPr>
      <w:jc w:val="center"/>
    </w:pPr>
    <w:rPr>
      <w:rFonts w:ascii="黑体" w:hAnsi="宋体" w:eastAsia="黑体"/>
      <w:b/>
      <w:bCs/>
      <w:sz w:val="32"/>
      <w:szCs w:val="20"/>
    </w:rPr>
  </w:style>
  <w:style w:type="paragraph" w:customStyle="1" w:styleId="3787">
    <w:name w:val="图表题3"/>
    <w:basedOn w:val="185"/>
    <w:next w:val="185"/>
    <w:qFormat/>
    <w:uiPriority w:val="99"/>
    <w:pPr>
      <w:ind w:firstLine="0"/>
      <w:jc w:val="center"/>
    </w:pPr>
    <w:rPr>
      <w:rFonts w:ascii="黑体" w:hAnsi="宋体" w:eastAsia="黑体"/>
      <w:b/>
      <w:bCs/>
    </w:rPr>
  </w:style>
  <w:style w:type="paragraph" w:customStyle="1" w:styleId="3788">
    <w:name w:val="表格内字体113"/>
    <w:basedOn w:val="185"/>
    <w:qFormat/>
    <w:uiPriority w:val="99"/>
    <w:pPr>
      <w:spacing w:line="240" w:lineRule="auto"/>
      <w:ind w:firstLine="0"/>
      <w:jc w:val="center"/>
    </w:pPr>
    <w:rPr>
      <w:sz w:val="21"/>
      <w:szCs w:val="20"/>
    </w:rPr>
  </w:style>
  <w:style w:type="paragraph" w:customStyle="1" w:styleId="3789">
    <w:name w:val="Char124"/>
    <w:basedOn w:val="1"/>
    <w:qFormat/>
    <w:uiPriority w:val="99"/>
    <w:pPr>
      <w:spacing w:line="240" w:lineRule="auto"/>
      <w:ind w:left="-48"/>
    </w:pPr>
    <w:rPr>
      <w:sz w:val="21"/>
    </w:rPr>
  </w:style>
  <w:style w:type="paragraph" w:customStyle="1" w:styleId="3790">
    <w:name w:val="默认段落字体 Para Char Char Char Char62"/>
    <w:basedOn w:val="1"/>
    <w:qFormat/>
    <w:uiPriority w:val="99"/>
    <w:pPr>
      <w:spacing w:line="240" w:lineRule="auto"/>
    </w:pPr>
    <w:rPr>
      <w:sz w:val="21"/>
    </w:rPr>
  </w:style>
  <w:style w:type="paragraph" w:customStyle="1" w:styleId="3791">
    <w:name w:val="表内513"/>
    <w:basedOn w:val="1"/>
    <w:qFormat/>
    <w:uiPriority w:val="99"/>
    <w:pPr>
      <w:spacing w:line="240" w:lineRule="auto"/>
      <w:jc w:val="center"/>
    </w:pPr>
    <w:rPr>
      <w:rFonts w:ascii="宋体" w:hAnsi="宋体"/>
      <w:sz w:val="21"/>
      <w:szCs w:val="21"/>
    </w:rPr>
  </w:style>
  <w:style w:type="paragraph" w:customStyle="1" w:styleId="3792">
    <w:name w:val="样式 样式 宋体 + 首行缩进:  2 字符13"/>
    <w:basedOn w:val="1"/>
    <w:qFormat/>
    <w:uiPriority w:val="99"/>
    <w:pPr>
      <w:ind w:firstLine="480"/>
      <w:jc w:val="left"/>
    </w:pPr>
    <w:rPr>
      <w:rFonts w:ascii="宋体" w:cs="宋体"/>
    </w:rPr>
  </w:style>
  <w:style w:type="paragraph" w:customStyle="1" w:styleId="3793">
    <w:name w:val="标准3"/>
    <w:basedOn w:val="1"/>
    <w:qFormat/>
    <w:uiPriority w:val="99"/>
    <w:pPr>
      <w:spacing w:before="120" w:line="336" w:lineRule="auto"/>
      <w:jc w:val="center"/>
      <w:textAlignment w:val="baseline"/>
    </w:pPr>
    <w:rPr>
      <w:rFonts w:ascii="黑体" w:eastAsia="黑体"/>
      <w:sz w:val="21"/>
      <w:szCs w:val="20"/>
    </w:rPr>
  </w:style>
  <w:style w:type="paragraph" w:customStyle="1" w:styleId="3794">
    <w:name w:val="样式 表格内字体1 +3"/>
    <w:basedOn w:val="2373"/>
    <w:next w:val="832"/>
    <w:qFormat/>
    <w:uiPriority w:val="99"/>
    <w:rPr>
      <w:rFonts w:hAnsi="Times New Roman" w:cs="宋体"/>
      <w:szCs w:val="20"/>
    </w:rPr>
  </w:style>
  <w:style w:type="paragraph" w:customStyle="1" w:styleId="3795">
    <w:name w:val="Char Char2 Char Char Char Char13"/>
    <w:basedOn w:val="1"/>
    <w:qFormat/>
    <w:uiPriority w:val="99"/>
    <w:pPr>
      <w:spacing w:line="240" w:lineRule="auto"/>
    </w:pPr>
    <w:rPr>
      <w:sz w:val="21"/>
    </w:rPr>
  </w:style>
  <w:style w:type="paragraph" w:customStyle="1" w:styleId="3796">
    <w:name w:val="Char83"/>
    <w:basedOn w:val="1"/>
    <w:qFormat/>
    <w:uiPriority w:val="99"/>
    <w:pPr>
      <w:spacing w:line="240" w:lineRule="auto"/>
      <w:ind w:left="-48"/>
    </w:pPr>
    <w:rPr>
      <w:sz w:val="21"/>
    </w:rPr>
  </w:style>
  <w:style w:type="paragraph" w:customStyle="1" w:styleId="3797">
    <w:name w:val="图题73"/>
    <w:basedOn w:val="185"/>
    <w:next w:val="185"/>
    <w:qFormat/>
    <w:uiPriority w:val="99"/>
    <w:pPr>
      <w:ind w:firstLine="0"/>
      <w:jc w:val="center"/>
    </w:pPr>
    <w:rPr>
      <w:rFonts w:ascii="黑体" w:hAnsi="宋体" w:eastAsia="黑体"/>
      <w:b/>
      <w:bCs/>
    </w:rPr>
  </w:style>
  <w:style w:type="paragraph" w:customStyle="1" w:styleId="3798">
    <w:name w:val="表格内字体73"/>
    <w:basedOn w:val="185"/>
    <w:next w:val="185"/>
    <w:qFormat/>
    <w:uiPriority w:val="99"/>
    <w:pPr>
      <w:spacing w:line="240" w:lineRule="auto"/>
      <w:ind w:firstLine="0"/>
      <w:jc w:val="center"/>
    </w:pPr>
    <w:rPr>
      <w:rFonts w:hAnsi="宋体" w:cs="Times New Roman"/>
      <w:sz w:val="21"/>
    </w:rPr>
  </w:style>
  <w:style w:type="paragraph" w:customStyle="1" w:styleId="3799">
    <w:name w:val="Char93"/>
    <w:basedOn w:val="1"/>
    <w:qFormat/>
    <w:uiPriority w:val="99"/>
    <w:pPr>
      <w:spacing w:line="240" w:lineRule="auto"/>
      <w:ind w:left="-48"/>
    </w:pPr>
    <w:rPr>
      <w:sz w:val="21"/>
    </w:rPr>
  </w:style>
  <w:style w:type="paragraph" w:customStyle="1" w:styleId="3800">
    <w:name w:val="正文格式＝63"/>
    <w:basedOn w:val="185"/>
    <w:next w:val="185"/>
    <w:qFormat/>
    <w:uiPriority w:val="99"/>
    <w:rPr>
      <w:rFonts w:hAnsi="宋体" w:cs="Times New Roman"/>
    </w:rPr>
  </w:style>
  <w:style w:type="paragraph" w:customStyle="1" w:styleId="3801">
    <w:name w:val="正文修改43"/>
    <w:basedOn w:val="900"/>
    <w:qFormat/>
    <w:uiPriority w:val="99"/>
    <w:pPr>
      <w:spacing w:line="480" w:lineRule="exact"/>
      <w:ind w:firstLine="0" w:firstLineChars="0"/>
    </w:pPr>
    <w:rPr>
      <w:rFonts w:cs="宋体"/>
      <w:sz w:val="24"/>
      <w:szCs w:val="24"/>
    </w:rPr>
  </w:style>
  <w:style w:type="paragraph" w:customStyle="1" w:styleId="3802">
    <w:name w:val="封面标准文稿编辑信息3"/>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3803">
    <w:name w:val="样式 表内小5 + 黑体 加粗 倾斜 下划线3"/>
    <w:basedOn w:val="1"/>
    <w:qFormat/>
    <w:uiPriority w:val="99"/>
    <w:pPr>
      <w:spacing w:line="300" w:lineRule="auto"/>
      <w:jc w:val="left"/>
    </w:pPr>
    <w:rPr>
      <w:rFonts w:ascii="黑体" w:hAnsi="黑体" w:eastAsia="黑体"/>
      <w:b/>
      <w:bCs/>
      <w:i/>
      <w:iCs/>
      <w:sz w:val="18"/>
      <w:u w:val="single"/>
    </w:rPr>
  </w:style>
  <w:style w:type="paragraph" w:customStyle="1" w:styleId="3804">
    <w:name w:val="c3"/>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805">
    <w:name w:val="表题93"/>
    <w:basedOn w:val="45"/>
    <w:qFormat/>
    <w:uiPriority w:val="99"/>
    <w:pPr>
      <w:spacing w:line="300" w:lineRule="auto"/>
    </w:pPr>
    <w:rPr>
      <w:rFonts w:ascii="黑体" w:eastAsia="黑体"/>
      <w:spacing w:val="0"/>
      <w:sz w:val="24"/>
    </w:rPr>
  </w:style>
  <w:style w:type="paragraph" w:customStyle="1" w:styleId="3806">
    <w:name w:val="表内593"/>
    <w:basedOn w:val="1"/>
    <w:qFormat/>
    <w:uiPriority w:val="99"/>
    <w:pPr>
      <w:spacing w:line="300" w:lineRule="auto"/>
      <w:jc w:val="center"/>
    </w:pPr>
    <w:rPr>
      <w:rFonts w:ascii="宋体"/>
      <w:snapToGrid w:val="0"/>
      <w:sz w:val="21"/>
      <w:szCs w:val="21"/>
    </w:rPr>
  </w:style>
  <w:style w:type="paragraph" w:customStyle="1" w:styleId="3807">
    <w:name w:val="表内5中43"/>
    <w:basedOn w:val="1"/>
    <w:qFormat/>
    <w:uiPriority w:val="99"/>
    <w:pPr>
      <w:spacing w:line="240" w:lineRule="auto"/>
      <w:jc w:val="center"/>
    </w:pPr>
    <w:rPr>
      <w:rFonts w:ascii="宋体"/>
      <w:bCs/>
      <w:sz w:val="21"/>
      <w:szCs w:val="20"/>
    </w:rPr>
  </w:style>
  <w:style w:type="paragraph" w:customStyle="1" w:styleId="3808">
    <w:name w:val="默认段落字体 Para Char43"/>
    <w:basedOn w:val="1"/>
    <w:next w:val="1"/>
    <w:qFormat/>
    <w:uiPriority w:val="99"/>
    <w:pPr>
      <w:spacing w:line="480" w:lineRule="exact"/>
      <w:ind w:firstLine="200"/>
      <w:jc w:val="left"/>
    </w:pPr>
    <w:rPr>
      <w:rFonts w:ascii="宋体" w:hAnsi="宋体" w:eastAsia="汉鼎简书宋" w:cs="宋体"/>
      <w:sz w:val="28"/>
    </w:rPr>
  </w:style>
  <w:style w:type="paragraph" w:customStyle="1" w:styleId="3809">
    <w:name w:val="燕山正文133"/>
    <w:basedOn w:val="1"/>
    <w:qFormat/>
    <w:uiPriority w:val="99"/>
    <w:pPr>
      <w:tabs>
        <w:tab w:val="left" w:pos="4680"/>
      </w:tabs>
      <w:ind w:firstLine="480"/>
    </w:pPr>
    <w:rPr>
      <w:rFonts w:ascii="宋体" w:hAnsi="宋体" w:cs="宋体"/>
      <w:bCs/>
      <w:color w:val="000000"/>
    </w:rPr>
  </w:style>
  <w:style w:type="paragraph" w:customStyle="1" w:styleId="3810">
    <w:name w:val="样式 标题 4无效格式无效格式1河石管道4H4H41小小节河石管道41H42H411小小节1河石管道42...13"/>
    <w:basedOn w:val="6"/>
    <w:qFormat/>
    <w:uiPriority w:val="99"/>
    <w:pPr>
      <w:spacing w:before="0" w:after="0" w:line="360" w:lineRule="auto"/>
      <w:ind w:left="664" w:hanging="864"/>
      <w:jc w:val="left"/>
    </w:pPr>
    <w:rPr>
      <w:rFonts w:ascii="黑体" w:hAnsi="Arial" w:eastAsia="黑体" w:cs="宋体"/>
      <w:b w:val="0"/>
      <w:bCs w:val="0"/>
      <w:szCs w:val="20"/>
      <w:lang w:val="zh-CN"/>
    </w:rPr>
  </w:style>
  <w:style w:type="paragraph" w:customStyle="1" w:styleId="3811">
    <w:name w:val="正文格式84"/>
    <w:basedOn w:val="1"/>
    <w:qFormat/>
    <w:uiPriority w:val="99"/>
    <w:pPr>
      <w:ind w:firstLine="482"/>
    </w:pPr>
    <w:rPr>
      <w:rFonts w:ascii="宋体" w:hAnsi="宋体"/>
    </w:rPr>
  </w:style>
  <w:style w:type="paragraph" w:customStyle="1" w:styleId="3812">
    <w:name w:val="正文格式93"/>
    <w:basedOn w:val="1"/>
    <w:qFormat/>
    <w:uiPriority w:val="99"/>
    <w:pPr>
      <w:ind w:firstLine="482"/>
    </w:pPr>
    <w:rPr>
      <w:rFonts w:ascii="宋体" w:hAnsi="宋体"/>
    </w:rPr>
  </w:style>
  <w:style w:type="paragraph" w:customStyle="1" w:styleId="3813">
    <w:name w:val="图题82"/>
    <w:basedOn w:val="185"/>
    <w:next w:val="185"/>
    <w:qFormat/>
    <w:uiPriority w:val="99"/>
    <w:pPr>
      <w:ind w:firstLine="0"/>
      <w:jc w:val="center"/>
    </w:pPr>
    <w:rPr>
      <w:rFonts w:ascii="黑体" w:hAnsi="宋体" w:eastAsia="黑体"/>
      <w:b/>
      <w:bCs/>
    </w:rPr>
  </w:style>
  <w:style w:type="paragraph" w:customStyle="1" w:styleId="3814">
    <w:name w:val="Char116"/>
    <w:basedOn w:val="1"/>
    <w:qFormat/>
    <w:uiPriority w:val="99"/>
    <w:pPr>
      <w:spacing w:line="240" w:lineRule="auto"/>
      <w:ind w:left="-48"/>
    </w:pPr>
    <w:rPr>
      <w:sz w:val="21"/>
    </w:rPr>
  </w:style>
  <w:style w:type="paragraph" w:customStyle="1" w:styleId="3815">
    <w:name w:val="表题162"/>
    <w:basedOn w:val="22"/>
    <w:qFormat/>
    <w:uiPriority w:val="99"/>
    <w:pPr>
      <w:tabs>
        <w:tab w:val="clear" w:pos="10467"/>
        <w:tab w:val="clear" w:pos="13095"/>
      </w:tabs>
      <w:adjustRightInd/>
      <w:snapToGrid/>
    </w:pPr>
    <w:rPr>
      <w:rFonts w:ascii="黑体" w:eastAsia="黑体"/>
    </w:rPr>
  </w:style>
  <w:style w:type="paragraph" w:customStyle="1" w:styleId="3816">
    <w:name w:val="燕山正文52"/>
    <w:basedOn w:val="1"/>
    <w:qFormat/>
    <w:uiPriority w:val="99"/>
    <w:pPr>
      <w:tabs>
        <w:tab w:val="left" w:pos="4680"/>
      </w:tabs>
      <w:spacing w:line="480" w:lineRule="exact"/>
    </w:pPr>
    <w:rPr>
      <w:rFonts w:ascii="宋体" w:cs="宋体"/>
    </w:rPr>
  </w:style>
  <w:style w:type="paragraph" w:customStyle="1" w:styleId="3817">
    <w:name w:val="表中文字62"/>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818">
    <w:name w:val="表内594"/>
    <w:basedOn w:val="1"/>
    <w:qFormat/>
    <w:uiPriority w:val="99"/>
    <w:pPr>
      <w:spacing w:line="300" w:lineRule="auto"/>
      <w:jc w:val="center"/>
    </w:pPr>
    <w:rPr>
      <w:rFonts w:ascii="宋体"/>
      <w:snapToGrid w:val="0"/>
      <w:sz w:val="21"/>
      <w:szCs w:val="21"/>
    </w:rPr>
  </w:style>
  <w:style w:type="paragraph" w:customStyle="1" w:styleId="3819">
    <w:name w:val="Char122"/>
    <w:basedOn w:val="1"/>
    <w:qFormat/>
    <w:uiPriority w:val="99"/>
    <w:rPr>
      <w:sz w:val="21"/>
    </w:rPr>
  </w:style>
  <w:style w:type="paragraph" w:customStyle="1" w:styleId="3820">
    <w:name w:val="表内5中112"/>
    <w:basedOn w:val="1"/>
    <w:qFormat/>
    <w:uiPriority w:val="99"/>
    <w:pPr>
      <w:spacing w:line="240" w:lineRule="auto"/>
      <w:jc w:val="center"/>
    </w:pPr>
    <w:rPr>
      <w:rFonts w:ascii="宋体" w:hAnsi="宋体" w:cs="Arial"/>
      <w:snapToGrid w:val="0"/>
      <w:color w:val="000000"/>
      <w:sz w:val="21"/>
      <w:szCs w:val="21"/>
    </w:rPr>
  </w:style>
  <w:style w:type="paragraph" w:customStyle="1" w:styleId="3821">
    <w:name w:val="表内5中412"/>
    <w:basedOn w:val="1"/>
    <w:qFormat/>
    <w:uiPriority w:val="99"/>
    <w:pPr>
      <w:spacing w:line="240" w:lineRule="auto"/>
      <w:jc w:val="center"/>
    </w:pPr>
    <w:rPr>
      <w:rFonts w:ascii="宋体"/>
      <w:bCs/>
      <w:sz w:val="21"/>
      <w:szCs w:val="20"/>
    </w:rPr>
  </w:style>
  <w:style w:type="paragraph" w:customStyle="1" w:styleId="3822">
    <w:name w:val="表内54152"/>
    <w:basedOn w:val="1"/>
    <w:qFormat/>
    <w:uiPriority w:val="99"/>
    <w:pPr>
      <w:spacing w:line="300" w:lineRule="auto"/>
      <w:jc w:val="center"/>
    </w:pPr>
    <w:rPr>
      <w:rFonts w:ascii="宋体" w:hAnsi="宋体" w:cs="宋体"/>
      <w:sz w:val="21"/>
      <w:szCs w:val="20"/>
    </w:rPr>
  </w:style>
  <w:style w:type="paragraph" w:customStyle="1" w:styleId="3823">
    <w:name w:val="Char Char Char Char1 Char Char Char12"/>
    <w:basedOn w:val="1"/>
    <w:qFormat/>
    <w:uiPriority w:val="99"/>
    <w:pPr>
      <w:widowControl/>
      <w:spacing w:after="160" w:line="240" w:lineRule="exact"/>
      <w:jc w:val="left"/>
    </w:pPr>
    <w:rPr>
      <w:rFonts w:ascii="Verdana" w:hAnsi="Verdana"/>
      <w:kern w:val="0"/>
      <w:sz w:val="20"/>
      <w:szCs w:val="20"/>
      <w:lang w:eastAsia="en-US"/>
    </w:rPr>
  </w:style>
  <w:style w:type="paragraph" w:customStyle="1" w:styleId="3824">
    <w:name w:val="福建正文缩进12"/>
    <w:basedOn w:val="21"/>
    <w:qFormat/>
    <w:uiPriority w:val="99"/>
    <w:pPr>
      <w:spacing w:line="360" w:lineRule="auto"/>
      <w:ind w:firstLine="567" w:firstLineChars="0"/>
    </w:pPr>
    <w:rPr>
      <w:rFonts w:ascii="宋体"/>
      <w:kern w:val="0"/>
      <w:sz w:val="24"/>
    </w:rPr>
  </w:style>
  <w:style w:type="paragraph" w:customStyle="1" w:styleId="3825">
    <w:name w:val="表内文字小33"/>
    <w:basedOn w:val="1"/>
    <w:qFormat/>
    <w:uiPriority w:val="99"/>
    <w:pPr>
      <w:spacing w:line="240" w:lineRule="auto"/>
      <w:jc w:val="center"/>
    </w:pPr>
    <w:rPr>
      <w:rFonts w:ascii="宋体" w:hAnsi="Times"/>
      <w:sz w:val="21"/>
      <w:szCs w:val="20"/>
    </w:rPr>
  </w:style>
  <w:style w:type="paragraph" w:customStyle="1" w:styleId="3826">
    <w:name w:val="表内5912"/>
    <w:basedOn w:val="1"/>
    <w:qFormat/>
    <w:uiPriority w:val="99"/>
    <w:pPr>
      <w:spacing w:line="300" w:lineRule="auto"/>
      <w:jc w:val="center"/>
    </w:pPr>
    <w:rPr>
      <w:rFonts w:ascii="宋体"/>
      <w:snapToGrid w:val="0"/>
      <w:sz w:val="21"/>
      <w:szCs w:val="21"/>
    </w:rPr>
  </w:style>
  <w:style w:type="paragraph" w:customStyle="1" w:styleId="3827">
    <w:name w:val="表内文字小2142"/>
    <w:basedOn w:val="1"/>
    <w:qFormat/>
    <w:uiPriority w:val="99"/>
    <w:pPr>
      <w:spacing w:line="240" w:lineRule="auto"/>
      <w:jc w:val="center"/>
    </w:pPr>
    <w:rPr>
      <w:rFonts w:ascii="宋体" w:hAnsi="Times"/>
      <w:bCs/>
      <w:color w:val="000000"/>
      <w:sz w:val="21"/>
      <w:szCs w:val="20"/>
    </w:rPr>
  </w:style>
  <w:style w:type="paragraph" w:customStyle="1" w:styleId="3828">
    <w:name w:val="Char Char Char Char1 Char Char Char22"/>
    <w:basedOn w:val="1"/>
    <w:qFormat/>
    <w:uiPriority w:val="99"/>
    <w:pPr>
      <w:widowControl/>
      <w:spacing w:after="160" w:line="240" w:lineRule="exact"/>
      <w:jc w:val="left"/>
    </w:pPr>
    <w:rPr>
      <w:rFonts w:ascii="Verdana" w:hAnsi="Verdana"/>
      <w:kern w:val="0"/>
      <w:sz w:val="20"/>
      <w:szCs w:val="20"/>
      <w:lang w:eastAsia="en-US"/>
    </w:rPr>
  </w:style>
  <w:style w:type="paragraph" w:customStyle="1" w:styleId="3829">
    <w:name w:val="Char Char Char Char Char Char Char32"/>
    <w:basedOn w:val="1"/>
    <w:qFormat/>
    <w:uiPriority w:val="99"/>
    <w:pPr>
      <w:spacing w:line="240" w:lineRule="auto"/>
    </w:pPr>
    <w:rPr>
      <w:sz w:val="21"/>
    </w:rPr>
  </w:style>
  <w:style w:type="paragraph" w:customStyle="1" w:styleId="3830">
    <w:name w:val="样式132"/>
    <w:basedOn w:val="1199"/>
    <w:qFormat/>
    <w:uiPriority w:val="99"/>
    <w:pPr>
      <w:spacing w:line="240" w:lineRule="auto"/>
      <w:ind w:firstLine="0"/>
      <w:jc w:val="center"/>
    </w:pPr>
    <w:rPr>
      <w:rFonts w:cs="Times New Roman"/>
      <w:b/>
      <w:color w:val="auto"/>
      <w:szCs w:val="20"/>
    </w:rPr>
  </w:style>
  <w:style w:type="paragraph" w:customStyle="1" w:styleId="3831">
    <w:name w:val="表内文字小3142"/>
    <w:basedOn w:val="1"/>
    <w:qFormat/>
    <w:uiPriority w:val="99"/>
    <w:pPr>
      <w:spacing w:line="240" w:lineRule="auto"/>
      <w:jc w:val="center"/>
    </w:pPr>
    <w:rPr>
      <w:rFonts w:ascii="宋体" w:hAnsi="Times" w:cs="宋体"/>
      <w:bCs/>
      <w:color w:val="003366"/>
      <w:sz w:val="21"/>
      <w:szCs w:val="20"/>
    </w:rPr>
  </w:style>
  <w:style w:type="paragraph" w:customStyle="1" w:styleId="3832">
    <w:name w:val="表内宋51122"/>
    <w:basedOn w:val="80"/>
    <w:qFormat/>
    <w:uiPriority w:val="99"/>
    <w:pPr>
      <w:spacing w:before="0" w:beforeAutospacing="0" w:after="0" w:afterAutospacing="0"/>
      <w:jc w:val="both"/>
    </w:pPr>
    <w:rPr>
      <w:rFonts w:cs="宋体"/>
      <w:color w:val="000000"/>
    </w:rPr>
  </w:style>
  <w:style w:type="paragraph" w:customStyle="1" w:styleId="3833">
    <w:name w:val="图表名称12"/>
    <w:basedOn w:val="86"/>
    <w:qFormat/>
    <w:uiPriority w:val="99"/>
    <w:pPr>
      <w:widowControl/>
      <w:tabs>
        <w:tab w:val="clear" w:pos="0"/>
      </w:tabs>
      <w:autoSpaceDE/>
      <w:autoSpaceDN/>
      <w:spacing w:line="480" w:lineRule="exact"/>
      <w:ind w:firstLine="0" w:firstLineChars="0"/>
      <w:jc w:val="center"/>
      <w:textAlignment w:val="auto"/>
    </w:pPr>
    <w:rPr>
      <w:rFonts w:ascii="宋体" w:hAnsi="宋体"/>
      <w:bCs/>
    </w:rPr>
  </w:style>
  <w:style w:type="paragraph" w:customStyle="1" w:styleId="3834">
    <w:name w:val="文本框22"/>
    <w:basedOn w:val="1"/>
    <w:qFormat/>
    <w:uiPriority w:val="99"/>
    <w:pPr>
      <w:spacing w:after="6" w:line="240" w:lineRule="auto"/>
      <w:jc w:val="center"/>
    </w:pPr>
    <w:rPr>
      <w:rFonts w:eastAsia="仿宋_GB2312"/>
      <w:sz w:val="21"/>
    </w:rPr>
  </w:style>
  <w:style w:type="paragraph" w:customStyle="1" w:styleId="3835">
    <w:name w:val="首行缩进:  0.99 厘米 + 首行缩进:  2 字符12"/>
    <w:basedOn w:val="1"/>
    <w:qFormat/>
    <w:uiPriority w:val="99"/>
    <w:pPr>
      <w:widowControl/>
      <w:topLinePunct/>
      <w:spacing w:line="480" w:lineRule="exact"/>
      <w:ind w:firstLine="420"/>
      <w:jc w:val="center"/>
    </w:pPr>
    <w:rPr>
      <w:rFonts w:ascii="宋体" w:cs="宋体"/>
      <w:snapToGrid w:val="0"/>
      <w:color w:val="FF0000"/>
      <w:kern w:val="0"/>
      <w:sz w:val="21"/>
      <w:szCs w:val="21"/>
    </w:rPr>
  </w:style>
  <w:style w:type="paragraph" w:customStyle="1" w:styleId="3836">
    <w:name w:val="正文格式112"/>
    <w:basedOn w:val="1"/>
    <w:qFormat/>
    <w:uiPriority w:val="99"/>
    <w:pPr>
      <w:ind w:firstLine="482"/>
    </w:pPr>
    <w:rPr>
      <w:rFonts w:ascii="宋体" w:hAnsi="宋体"/>
    </w:rPr>
  </w:style>
  <w:style w:type="paragraph" w:customStyle="1" w:styleId="3837">
    <w:name w:val="表格内字体122"/>
    <w:basedOn w:val="185"/>
    <w:next w:val="185"/>
    <w:qFormat/>
    <w:uiPriority w:val="99"/>
    <w:pPr>
      <w:spacing w:line="240" w:lineRule="auto"/>
      <w:ind w:firstLine="0"/>
      <w:jc w:val="center"/>
    </w:pPr>
    <w:rPr>
      <w:rFonts w:hAnsi="宋体" w:cs="Times New Roman"/>
      <w:sz w:val="21"/>
    </w:rPr>
  </w:style>
  <w:style w:type="paragraph" w:customStyle="1" w:styleId="3838">
    <w:name w:val="Char142"/>
    <w:basedOn w:val="1"/>
    <w:qFormat/>
    <w:uiPriority w:val="99"/>
    <w:pPr>
      <w:spacing w:line="240" w:lineRule="auto"/>
      <w:ind w:left="-48"/>
    </w:pPr>
    <w:rPr>
      <w:sz w:val="21"/>
    </w:rPr>
  </w:style>
  <w:style w:type="paragraph" w:customStyle="1" w:styleId="3839">
    <w:name w:val="正文格式＝112"/>
    <w:basedOn w:val="185"/>
    <w:next w:val="185"/>
    <w:qFormat/>
    <w:uiPriority w:val="99"/>
    <w:rPr>
      <w:rFonts w:hAnsi="宋体" w:cs="Times New Roman"/>
    </w:rPr>
  </w:style>
  <w:style w:type="paragraph" w:customStyle="1" w:styleId="3840">
    <w:name w:val="表内文字小21112"/>
    <w:basedOn w:val="1"/>
    <w:qFormat/>
    <w:uiPriority w:val="99"/>
    <w:pPr>
      <w:spacing w:line="240" w:lineRule="auto"/>
      <w:jc w:val="center"/>
    </w:pPr>
    <w:rPr>
      <w:rFonts w:ascii="宋体" w:hAnsi="Times"/>
      <w:bCs/>
      <w:color w:val="000000"/>
      <w:sz w:val="21"/>
      <w:szCs w:val="20"/>
    </w:rPr>
  </w:style>
  <w:style w:type="paragraph" w:customStyle="1" w:styleId="3841">
    <w:name w:val="表题3134"/>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842">
    <w:name w:val="Char Char Char Char Char Char Char112"/>
    <w:basedOn w:val="1"/>
    <w:qFormat/>
    <w:uiPriority w:val="99"/>
    <w:pPr>
      <w:spacing w:line="240" w:lineRule="auto"/>
    </w:pPr>
    <w:rPr>
      <w:sz w:val="21"/>
    </w:rPr>
  </w:style>
  <w:style w:type="paragraph" w:customStyle="1" w:styleId="3843">
    <w:name w:val="标题431112"/>
    <w:basedOn w:val="1"/>
    <w:qFormat/>
    <w:uiPriority w:val="99"/>
    <w:pPr>
      <w:spacing w:line="480" w:lineRule="exact"/>
      <w:jc w:val="center"/>
    </w:pPr>
    <w:rPr>
      <w:rFonts w:ascii="宋体" w:hAnsi="宋体" w:cs="宋体"/>
    </w:rPr>
  </w:style>
  <w:style w:type="paragraph" w:customStyle="1" w:styleId="3844">
    <w:name w:val="默认段落字体 Para Char34"/>
    <w:basedOn w:val="1"/>
    <w:qFormat/>
    <w:uiPriority w:val="99"/>
    <w:pPr>
      <w:ind w:firstLine="200"/>
    </w:pPr>
    <w:rPr>
      <w:rFonts w:ascii="宋体" w:hAnsi="宋体" w:cs="宋体"/>
    </w:rPr>
  </w:style>
  <w:style w:type="paragraph" w:customStyle="1" w:styleId="3845">
    <w:name w:val="燕山正文11112"/>
    <w:basedOn w:val="1"/>
    <w:qFormat/>
    <w:uiPriority w:val="99"/>
    <w:pPr>
      <w:tabs>
        <w:tab w:val="left" w:pos="4680"/>
      </w:tabs>
      <w:spacing w:line="480" w:lineRule="exact"/>
    </w:pPr>
    <w:rPr>
      <w:rFonts w:ascii="宋体" w:hAnsi="宋体" w:cs="宋体"/>
      <w:bCs/>
      <w:color w:val="000000"/>
    </w:rPr>
  </w:style>
  <w:style w:type="paragraph" w:customStyle="1" w:styleId="3846">
    <w:name w:val="附件112"/>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847">
    <w:name w:val="表内54134"/>
    <w:basedOn w:val="1"/>
    <w:qFormat/>
    <w:uiPriority w:val="99"/>
    <w:pPr>
      <w:spacing w:line="300" w:lineRule="auto"/>
      <w:jc w:val="center"/>
    </w:pPr>
    <w:rPr>
      <w:rFonts w:ascii="宋体" w:hAnsi="宋体" w:cs="宋体"/>
      <w:sz w:val="21"/>
      <w:szCs w:val="20"/>
    </w:rPr>
  </w:style>
  <w:style w:type="paragraph" w:customStyle="1" w:styleId="3848">
    <w:name w:val="黑体三号112"/>
    <w:basedOn w:val="185"/>
    <w:qFormat/>
    <w:uiPriority w:val="99"/>
    <w:pPr>
      <w:jc w:val="center"/>
    </w:pPr>
    <w:rPr>
      <w:rFonts w:ascii="黑体" w:hAnsi="宋体" w:eastAsia="黑体"/>
      <w:b/>
      <w:bCs/>
      <w:sz w:val="32"/>
      <w:szCs w:val="20"/>
    </w:rPr>
  </w:style>
  <w:style w:type="paragraph" w:customStyle="1" w:styleId="3849">
    <w:name w:val="Char414"/>
    <w:basedOn w:val="1"/>
    <w:qFormat/>
    <w:uiPriority w:val="99"/>
    <w:pPr>
      <w:spacing w:line="240" w:lineRule="auto"/>
      <w:ind w:left="-48"/>
    </w:pPr>
    <w:rPr>
      <w:sz w:val="21"/>
    </w:rPr>
  </w:style>
  <w:style w:type="paragraph" w:customStyle="1" w:styleId="3850">
    <w:name w:val="表题1122"/>
    <w:basedOn w:val="22"/>
    <w:qFormat/>
    <w:uiPriority w:val="99"/>
    <w:pPr>
      <w:tabs>
        <w:tab w:val="clear" w:pos="10467"/>
        <w:tab w:val="clear" w:pos="13095"/>
      </w:tabs>
      <w:adjustRightInd/>
      <w:snapToGrid/>
    </w:pPr>
    <w:rPr>
      <w:rFonts w:ascii="黑体" w:eastAsia="黑体"/>
      <w:b w:val="0"/>
    </w:rPr>
  </w:style>
  <w:style w:type="paragraph" w:customStyle="1" w:styleId="3851">
    <w:name w:val="燕山正文122"/>
    <w:basedOn w:val="1"/>
    <w:qFormat/>
    <w:uiPriority w:val="99"/>
    <w:pPr>
      <w:tabs>
        <w:tab w:val="left" w:pos="4680"/>
      </w:tabs>
      <w:spacing w:line="480" w:lineRule="exact"/>
    </w:pPr>
    <w:rPr>
      <w:rFonts w:ascii="宋体" w:cs="宋体"/>
    </w:rPr>
  </w:style>
  <w:style w:type="paragraph" w:customStyle="1" w:styleId="3852">
    <w:name w:val="表文字5122"/>
    <w:basedOn w:val="1"/>
    <w:qFormat/>
    <w:uiPriority w:val="99"/>
    <w:pPr>
      <w:spacing w:line="240" w:lineRule="auto"/>
      <w:jc w:val="left"/>
      <w:textAlignment w:val="baseline"/>
    </w:pPr>
    <w:rPr>
      <w:rFonts w:ascii="宋体"/>
      <w:kern w:val="0"/>
      <w:sz w:val="21"/>
      <w:szCs w:val="20"/>
    </w:rPr>
  </w:style>
  <w:style w:type="paragraph" w:customStyle="1" w:styleId="3853">
    <w:name w:val="表内文字小31112"/>
    <w:basedOn w:val="1"/>
    <w:qFormat/>
    <w:uiPriority w:val="99"/>
    <w:pPr>
      <w:spacing w:line="240" w:lineRule="auto"/>
      <w:jc w:val="center"/>
    </w:pPr>
    <w:rPr>
      <w:rFonts w:ascii="宋体" w:hAnsi="Times" w:cs="宋体"/>
      <w:bCs/>
      <w:color w:val="003366"/>
      <w:sz w:val="21"/>
      <w:szCs w:val="20"/>
    </w:rPr>
  </w:style>
  <w:style w:type="paragraph" w:customStyle="1" w:styleId="3854">
    <w:name w:val="正文格式＝212"/>
    <w:basedOn w:val="185"/>
    <w:next w:val="185"/>
    <w:qFormat/>
    <w:uiPriority w:val="99"/>
    <w:rPr>
      <w:rFonts w:hAnsi="宋体" w:cs="Times New Roman"/>
    </w:rPr>
  </w:style>
  <w:style w:type="paragraph" w:customStyle="1" w:styleId="3855">
    <w:name w:val="Char212"/>
    <w:basedOn w:val="1"/>
    <w:qFormat/>
    <w:uiPriority w:val="99"/>
    <w:pPr>
      <w:spacing w:line="240" w:lineRule="auto"/>
      <w:ind w:left="-48"/>
    </w:pPr>
    <w:rPr>
      <w:sz w:val="21"/>
    </w:rPr>
  </w:style>
  <w:style w:type="paragraph" w:customStyle="1" w:styleId="3856">
    <w:name w:val="表内文字小232"/>
    <w:basedOn w:val="1"/>
    <w:qFormat/>
    <w:uiPriority w:val="99"/>
    <w:pPr>
      <w:spacing w:line="240" w:lineRule="auto"/>
      <w:jc w:val="center"/>
    </w:pPr>
    <w:rPr>
      <w:rFonts w:ascii="宋体" w:hAnsi="Times"/>
      <w:bCs/>
      <w:color w:val="000000"/>
      <w:sz w:val="21"/>
      <w:szCs w:val="20"/>
    </w:rPr>
  </w:style>
  <w:style w:type="paragraph" w:customStyle="1" w:styleId="3857">
    <w:name w:val="表内5322"/>
    <w:basedOn w:val="1"/>
    <w:qFormat/>
    <w:uiPriority w:val="99"/>
    <w:pPr>
      <w:spacing w:line="300" w:lineRule="auto"/>
      <w:jc w:val="left"/>
    </w:pPr>
    <w:rPr>
      <w:rFonts w:ascii="宋体"/>
      <w:sz w:val="21"/>
      <w:szCs w:val="20"/>
    </w:rPr>
  </w:style>
  <w:style w:type="paragraph" w:customStyle="1" w:styleId="3858">
    <w:name w:val="Char222"/>
    <w:basedOn w:val="1"/>
    <w:qFormat/>
    <w:uiPriority w:val="99"/>
    <w:pPr>
      <w:spacing w:beforeLines="50"/>
    </w:pPr>
    <w:rPr>
      <w:rFonts w:ascii="黑体" w:eastAsia="黑体"/>
      <w:sz w:val="32"/>
      <w:szCs w:val="32"/>
    </w:rPr>
  </w:style>
  <w:style w:type="paragraph" w:customStyle="1" w:styleId="3859">
    <w:name w:val="表内541212"/>
    <w:basedOn w:val="1"/>
    <w:qFormat/>
    <w:uiPriority w:val="99"/>
    <w:pPr>
      <w:spacing w:line="300" w:lineRule="auto"/>
      <w:jc w:val="center"/>
    </w:pPr>
    <w:rPr>
      <w:rFonts w:ascii="宋体" w:hAnsi="宋体" w:cs="宋体"/>
      <w:sz w:val="21"/>
      <w:szCs w:val="20"/>
    </w:rPr>
  </w:style>
  <w:style w:type="paragraph" w:customStyle="1" w:styleId="3860">
    <w:name w:val="样式44"/>
    <w:basedOn w:val="34"/>
    <w:qFormat/>
    <w:uiPriority w:val="99"/>
    <w:pPr>
      <w:adjustRightInd/>
      <w:snapToGrid/>
      <w:spacing w:line="240" w:lineRule="auto"/>
    </w:pPr>
    <w:rPr>
      <w:rFonts w:ascii="Calibri" w:hAnsi="Calibri"/>
      <w:sz w:val="21"/>
    </w:rPr>
  </w:style>
  <w:style w:type="paragraph" w:customStyle="1" w:styleId="3861">
    <w:name w:val="表题31212"/>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862">
    <w:name w:val="Char Char Char Char Char Char Char42"/>
    <w:basedOn w:val="1"/>
    <w:qFormat/>
    <w:uiPriority w:val="99"/>
    <w:pPr>
      <w:spacing w:line="240" w:lineRule="auto"/>
    </w:pPr>
    <w:rPr>
      <w:sz w:val="21"/>
    </w:rPr>
  </w:style>
  <w:style w:type="paragraph" w:customStyle="1" w:styleId="3863">
    <w:name w:val="Char56"/>
    <w:basedOn w:val="1"/>
    <w:qFormat/>
    <w:uiPriority w:val="99"/>
    <w:pPr>
      <w:spacing w:line="240" w:lineRule="auto"/>
      <w:ind w:left="-48"/>
    </w:pPr>
    <w:rPr>
      <w:sz w:val="21"/>
    </w:rPr>
  </w:style>
  <w:style w:type="paragraph" w:customStyle="1" w:styleId="3864">
    <w:name w:val="表中文字44"/>
    <w:basedOn w:val="1"/>
    <w:qFormat/>
    <w:uiPriority w:val="99"/>
    <w:pPr>
      <w:spacing w:line="340" w:lineRule="exact"/>
      <w:ind w:firstLine="480"/>
      <w:jc w:val="center"/>
    </w:pPr>
    <w:rPr>
      <w:rFonts w:ascii="Arial" w:hAnsi="Arial"/>
      <w:kern w:val="0"/>
      <w:sz w:val="20"/>
      <w:lang w:eastAsia="zh-TW"/>
    </w:rPr>
  </w:style>
  <w:style w:type="paragraph" w:customStyle="1" w:styleId="3865">
    <w:name w:val="标题431212"/>
    <w:basedOn w:val="1"/>
    <w:qFormat/>
    <w:uiPriority w:val="99"/>
    <w:pPr>
      <w:spacing w:line="480" w:lineRule="exact"/>
      <w:jc w:val="center"/>
    </w:pPr>
    <w:rPr>
      <w:rFonts w:ascii="宋体" w:hAnsi="宋体" w:cs="宋体"/>
    </w:rPr>
  </w:style>
  <w:style w:type="paragraph" w:customStyle="1" w:styleId="3866">
    <w:name w:val="燕山正文11212"/>
    <w:basedOn w:val="1"/>
    <w:qFormat/>
    <w:uiPriority w:val="99"/>
    <w:pPr>
      <w:tabs>
        <w:tab w:val="left" w:pos="4680"/>
      </w:tabs>
      <w:spacing w:line="480" w:lineRule="exact"/>
    </w:pPr>
    <w:rPr>
      <w:rFonts w:ascii="宋体" w:hAnsi="宋体" w:cs="宋体"/>
      <w:bCs/>
      <w:color w:val="000000"/>
    </w:rPr>
  </w:style>
  <w:style w:type="paragraph" w:customStyle="1" w:styleId="3867">
    <w:name w:val="附件212"/>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868">
    <w:name w:val="Char94"/>
    <w:basedOn w:val="1"/>
    <w:qFormat/>
    <w:uiPriority w:val="99"/>
    <w:pPr>
      <w:spacing w:line="240" w:lineRule="auto"/>
      <w:ind w:left="-48"/>
    </w:pPr>
    <w:rPr>
      <w:sz w:val="21"/>
    </w:rPr>
  </w:style>
  <w:style w:type="paragraph" w:customStyle="1" w:styleId="3869">
    <w:name w:val="表题1212"/>
    <w:basedOn w:val="22"/>
    <w:qFormat/>
    <w:uiPriority w:val="99"/>
    <w:pPr>
      <w:tabs>
        <w:tab w:val="clear" w:pos="10467"/>
        <w:tab w:val="clear" w:pos="13095"/>
      </w:tabs>
      <w:adjustRightInd/>
      <w:snapToGrid/>
    </w:pPr>
    <w:rPr>
      <w:rFonts w:ascii="黑体" w:eastAsia="黑体"/>
      <w:b w:val="0"/>
    </w:rPr>
  </w:style>
  <w:style w:type="paragraph" w:customStyle="1" w:styleId="3870">
    <w:name w:val="表中文字212"/>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871">
    <w:name w:val="Char74"/>
    <w:basedOn w:val="1"/>
    <w:qFormat/>
    <w:uiPriority w:val="99"/>
    <w:pPr>
      <w:spacing w:line="240" w:lineRule="auto"/>
      <w:ind w:left="-48"/>
    </w:pPr>
    <w:rPr>
      <w:sz w:val="21"/>
    </w:rPr>
  </w:style>
  <w:style w:type="paragraph" w:customStyle="1" w:styleId="3872">
    <w:name w:val="表文字5212"/>
    <w:basedOn w:val="1"/>
    <w:qFormat/>
    <w:uiPriority w:val="99"/>
    <w:pPr>
      <w:spacing w:line="240" w:lineRule="auto"/>
      <w:jc w:val="left"/>
      <w:textAlignment w:val="baseline"/>
    </w:pPr>
    <w:rPr>
      <w:rFonts w:ascii="宋体"/>
      <w:kern w:val="0"/>
      <w:sz w:val="21"/>
      <w:szCs w:val="20"/>
    </w:rPr>
  </w:style>
  <w:style w:type="paragraph" w:customStyle="1" w:styleId="3873">
    <w:name w:val="表内文字小31212"/>
    <w:basedOn w:val="1"/>
    <w:qFormat/>
    <w:uiPriority w:val="99"/>
    <w:pPr>
      <w:spacing w:line="240" w:lineRule="auto"/>
      <w:jc w:val="center"/>
    </w:pPr>
    <w:rPr>
      <w:rFonts w:ascii="宋体" w:hAnsi="Times" w:cs="宋体"/>
      <w:bCs/>
      <w:color w:val="003366"/>
      <w:sz w:val="21"/>
      <w:szCs w:val="20"/>
    </w:rPr>
  </w:style>
  <w:style w:type="paragraph" w:customStyle="1" w:styleId="3874">
    <w:name w:val="正文格式＝312"/>
    <w:basedOn w:val="185"/>
    <w:next w:val="185"/>
    <w:qFormat/>
    <w:uiPriority w:val="99"/>
    <w:rPr>
      <w:rFonts w:hAnsi="宋体" w:cs="Times New Roman"/>
    </w:rPr>
  </w:style>
  <w:style w:type="paragraph" w:customStyle="1" w:styleId="3875">
    <w:name w:val="正文格式2112"/>
    <w:basedOn w:val="1"/>
    <w:qFormat/>
    <w:uiPriority w:val="99"/>
    <w:pPr>
      <w:ind w:firstLine="482"/>
    </w:pPr>
    <w:rPr>
      <w:rFonts w:ascii="宋体" w:hAnsi="宋体"/>
    </w:rPr>
  </w:style>
  <w:style w:type="paragraph" w:customStyle="1" w:styleId="3876">
    <w:name w:val="正文格式412"/>
    <w:basedOn w:val="1"/>
    <w:qFormat/>
    <w:uiPriority w:val="99"/>
    <w:pPr>
      <w:ind w:firstLine="482"/>
    </w:pPr>
    <w:rPr>
      <w:rFonts w:ascii="宋体" w:hAnsi="宋体"/>
    </w:rPr>
  </w:style>
  <w:style w:type="paragraph" w:customStyle="1" w:styleId="3877">
    <w:name w:val="表格内字体412"/>
    <w:basedOn w:val="185"/>
    <w:next w:val="185"/>
    <w:qFormat/>
    <w:uiPriority w:val="99"/>
    <w:pPr>
      <w:spacing w:line="240" w:lineRule="auto"/>
      <w:ind w:firstLine="0"/>
      <w:jc w:val="center"/>
    </w:pPr>
    <w:rPr>
      <w:rFonts w:hAnsi="宋体" w:cs="Times New Roman"/>
      <w:sz w:val="21"/>
    </w:rPr>
  </w:style>
  <w:style w:type="paragraph" w:customStyle="1" w:styleId="3878">
    <w:name w:val="Char412"/>
    <w:basedOn w:val="1"/>
    <w:qFormat/>
    <w:uiPriority w:val="99"/>
    <w:pPr>
      <w:spacing w:line="240" w:lineRule="auto"/>
      <w:ind w:left="-48"/>
    </w:pPr>
    <w:rPr>
      <w:sz w:val="21"/>
    </w:rPr>
  </w:style>
  <w:style w:type="paragraph" w:customStyle="1" w:styleId="3879">
    <w:name w:val="正文格式＝412"/>
    <w:basedOn w:val="185"/>
    <w:next w:val="185"/>
    <w:qFormat/>
    <w:uiPriority w:val="99"/>
    <w:rPr>
      <w:rFonts w:hAnsi="宋体" w:cs="Times New Roman"/>
    </w:rPr>
  </w:style>
  <w:style w:type="paragraph" w:customStyle="1" w:styleId="3880">
    <w:name w:val="xl2412"/>
    <w:basedOn w:val="1"/>
    <w:qFormat/>
    <w:uiPriority w:val="99"/>
    <w:pPr>
      <w:widowControl/>
      <w:pBdr>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3881">
    <w:name w:val="Char Char Char Char Char Char Char122"/>
    <w:basedOn w:val="1"/>
    <w:qFormat/>
    <w:uiPriority w:val="99"/>
    <w:pPr>
      <w:spacing w:line="240" w:lineRule="auto"/>
    </w:pPr>
    <w:rPr>
      <w:sz w:val="21"/>
      <w:szCs w:val="20"/>
    </w:rPr>
  </w:style>
  <w:style w:type="paragraph" w:customStyle="1" w:styleId="3882">
    <w:name w:val="Char512"/>
    <w:basedOn w:val="1"/>
    <w:qFormat/>
    <w:uiPriority w:val="99"/>
    <w:pPr>
      <w:spacing w:line="240" w:lineRule="auto"/>
      <w:ind w:left="-45"/>
    </w:pPr>
    <w:rPr>
      <w:sz w:val="21"/>
    </w:rPr>
  </w:style>
  <w:style w:type="paragraph" w:customStyle="1" w:styleId="3883">
    <w:name w:val="Char322"/>
    <w:basedOn w:val="1"/>
    <w:qFormat/>
    <w:uiPriority w:val="99"/>
    <w:pPr>
      <w:spacing w:line="240" w:lineRule="auto"/>
      <w:ind w:left="-48"/>
    </w:pPr>
    <w:rPr>
      <w:sz w:val="21"/>
    </w:rPr>
  </w:style>
  <w:style w:type="paragraph" w:customStyle="1" w:styleId="3884">
    <w:name w:val="表312"/>
    <w:basedOn w:val="1"/>
    <w:qFormat/>
    <w:uiPriority w:val="99"/>
    <w:pPr>
      <w:spacing w:line="240" w:lineRule="auto"/>
      <w:jc w:val="center"/>
    </w:pPr>
    <w:rPr>
      <w:rFonts w:eastAsia="仿宋_GB2312"/>
    </w:rPr>
  </w:style>
  <w:style w:type="paragraph" w:customStyle="1" w:styleId="3885">
    <w:name w:val="附件24"/>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886">
    <w:name w:val="表内宋511112"/>
    <w:basedOn w:val="80"/>
    <w:qFormat/>
    <w:uiPriority w:val="99"/>
    <w:pPr>
      <w:spacing w:before="0" w:beforeAutospacing="0" w:after="0" w:afterAutospacing="0"/>
      <w:jc w:val="both"/>
    </w:pPr>
    <w:rPr>
      <w:rFonts w:cs="宋体"/>
      <w:color w:val="000000"/>
    </w:rPr>
  </w:style>
  <w:style w:type="paragraph" w:customStyle="1" w:styleId="3887">
    <w:name w:val="表内文字小31312"/>
    <w:basedOn w:val="1"/>
    <w:qFormat/>
    <w:uiPriority w:val="99"/>
    <w:pPr>
      <w:spacing w:line="240" w:lineRule="auto"/>
      <w:jc w:val="center"/>
    </w:pPr>
    <w:rPr>
      <w:rFonts w:ascii="宋体" w:hAnsi="Times" w:cs="宋体"/>
      <w:bCs/>
      <w:color w:val="003366"/>
      <w:sz w:val="21"/>
      <w:szCs w:val="20"/>
    </w:rPr>
  </w:style>
  <w:style w:type="paragraph" w:customStyle="1" w:styleId="3888">
    <w:name w:val="表格内字体16"/>
    <w:basedOn w:val="185"/>
    <w:next w:val="185"/>
    <w:qFormat/>
    <w:uiPriority w:val="99"/>
    <w:pPr>
      <w:spacing w:line="240" w:lineRule="auto"/>
      <w:ind w:firstLine="0"/>
      <w:jc w:val="center"/>
    </w:pPr>
    <w:rPr>
      <w:rFonts w:hAnsi="宋体" w:cs="Times New Roman"/>
      <w:sz w:val="21"/>
    </w:rPr>
  </w:style>
  <w:style w:type="paragraph" w:customStyle="1" w:styleId="3889">
    <w:name w:val="表文字5312"/>
    <w:basedOn w:val="1"/>
    <w:qFormat/>
    <w:uiPriority w:val="99"/>
    <w:pPr>
      <w:spacing w:line="240" w:lineRule="auto"/>
      <w:jc w:val="left"/>
      <w:textAlignment w:val="baseline"/>
    </w:pPr>
    <w:rPr>
      <w:rFonts w:ascii="宋体"/>
      <w:kern w:val="0"/>
      <w:sz w:val="21"/>
      <w:szCs w:val="20"/>
    </w:rPr>
  </w:style>
  <w:style w:type="paragraph" w:customStyle="1" w:styleId="3890">
    <w:name w:val="Char Char Char Char Char Char Char212"/>
    <w:basedOn w:val="1"/>
    <w:qFormat/>
    <w:uiPriority w:val="99"/>
    <w:pPr>
      <w:spacing w:line="240" w:lineRule="auto"/>
    </w:pPr>
    <w:rPr>
      <w:sz w:val="21"/>
    </w:rPr>
  </w:style>
  <w:style w:type="paragraph" w:customStyle="1" w:styleId="3891">
    <w:name w:val="表内文字小21312"/>
    <w:basedOn w:val="1"/>
    <w:qFormat/>
    <w:uiPriority w:val="99"/>
    <w:pPr>
      <w:spacing w:line="240" w:lineRule="auto"/>
      <w:jc w:val="center"/>
      <w:textAlignment w:val="baseline"/>
    </w:pPr>
    <w:rPr>
      <w:rFonts w:ascii="宋体" w:hAnsi="Times"/>
      <w:bCs/>
      <w:color w:val="000000"/>
      <w:sz w:val="21"/>
      <w:szCs w:val="20"/>
    </w:rPr>
  </w:style>
  <w:style w:type="paragraph" w:customStyle="1" w:styleId="3892">
    <w:name w:val="燕山正文312"/>
    <w:basedOn w:val="1"/>
    <w:qFormat/>
    <w:uiPriority w:val="99"/>
    <w:pPr>
      <w:tabs>
        <w:tab w:val="left" w:pos="4680"/>
      </w:tabs>
      <w:spacing w:line="480" w:lineRule="exact"/>
    </w:pPr>
    <w:rPr>
      <w:rFonts w:ascii="宋体" w:cs="宋体"/>
    </w:rPr>
  </w:style>
  <w:style w:type="paragraph" w:customStyle="1" w:styleId="3893">
    <w:name w:val="正文修改312"/>
    <w:basedOn w:val="900"/>
    <w:qFormat/>
    <w:uiPriority w:val="99"/>
    <w:pPr>
      <w:spacing w:line="480" w:lineRule="exact"/>
      <w:ind w:firstLine="0" w:firstLineChars="0"/>
    </w:pPr>
    <w:rPr>
      <w:rFonts w:cs="宋体"/>
      <w:sz w:val="24"/>
      <w:szCs w:val="24"/>
    </w:rPr>
  </w:style>
  <w:style w:type="paragraph" w:customStyle="1" w:styleId="3894">
    <w:name w:val="表题1422"/>
    <w:basedOn w:val="22"/>
    <w:qFormat/>
    <w:uiPriority w:val="99"/>
    <w:pPr>
      <w:tabs>
        <w:tab w:val="clear" w:pos="10467"/>
        <w:tab w:val="clear" w:pos="13095"/>
      </w:tabs>
      <w:adjustRightInd/>
      <w:snapToGrid/>
    </w:pPr>
    <w:rPr>
      <w:rFonts w:ascii="黑体" w:eastAsia="黑体"/>
    </w:rPr>
  </w:style>
  <w:style w:type="paragraph" w:customStyle="1" w:styleId="3895">
    <w:name w:val="表内541412"/>
    <w:basedOn w:val="1"/>
    <w:qFormat/>
    <w:uiPriority w:val="99"/>
    <w:pPr>
      <w:spacing w:line="300" w:lineRule="auto"/>
      <w:jc w:val="center"/>
    </w:pPr>
    <w:rPr>
      <w:rFonts w:ascii="宋体" w:hAnsi="宋体" w:cs="宋体"/>
      <w:sz w:val="21"/>
      <w:szCs w:val="20"/>
    </w:rPr>
  </w:style>
  <w:style w:type="paragraph" w:customStyle="1" w:styleId="3896">
    <w:name w:val="黑体三号312"/>
    <w:basedOn w:val="185"/>
    <w:qFormat/>
    <w:uiPriority w:val="99"/>
    <w:pPr>
      <w:jc w:val="center"/>
    </w:pPr>
    <w:rPr>
      <w:rFonts w:ascii="黑体" w:hAnsi="宋体" w:eastAsia="黑体"/>
      <w:b/>
      <w:bCs/>
      <w:sz w:val="32"/>
      <w:szCs w:val="20"/>
    </w:rPr>
  </w:style>
  <w:style w:type="paragraph" w:customStyle="1" w:styleId="3897">
    <w:name w:val="表7"/>
    <w:basedOn w:val="1"/>
    <w:qFormat/>
    <w:uiPriority w:val="99"/>
    <w:pPr>
      <w:spacing w:line="240" w:lineRule="auto"/>
      <w:jc w:val="center"/>
    </w:pPr>
    <w:rPr>
      <w:rFonts w:eastAsia="仿宋_GB2312"/>
    </w:rPr>
  </w:style>
  <w:style w:type="paragraph" w:customStyle="1" w:styleId="3898">
    <w:name w:val="图题712"/>
    <w:basedOn w:val="185"/>
    <w:next w:val="185"/>
    <w:qFormat/>
    <w:uiPriority w:val="99"/>
    <w:pPr>
      <w:ind w:firstLine="0"/>
      <w:jc w:val="center"/>
    </w:pPr>
    <w:rPr>
      <w:rFonts w:ascii="黑体" w:hAnsi="宋体" w:eastAsia="黑体"/>
      <w:b/>
      <w:bCs/>
    </w:rPr>
  </w:style>
  <w:style w:type="paragraph" w:customStyle="1" w:styleId="3899">
    <w:name w:val="默认段落字体 Para Char Char Char Char312"/>
    <w:basedOn w:val="1"/>
    <w:qFormat/>
    <w:uiPriority w:val="99"/>
    <w:pPr>
      <w:spacing w:line="240" w:lineRule="auto"/>
    </w:pPr>
    <w:rPr>
      <w:sz w:val="21"/>
    </w:rPr>
  </w:style>
  <w:style w:type="paragraph" w:customStyle="1" w:styleId="3900">
    <w:name w:val="表内541312"/>
    <w:basedOn w:val="1"/>
    <w:qFormat/>
    <w:uiPriority w:val="99"/>
    <w:pPr>
      <w:spacing w:line="300" w:lineRule="auto"/>
      <w:jc w:val="center"/>
    </w:pPr>
    <w:rPr>
      <w:rFonts w:ascii="宋体" w:hAnsi="宋体" w:cs="宋体"/>
      <w:sz w:val="21"/>
      <w:szCs w:val="20"/>
    </w:rPr>
  </w:style>
  <w:style w:type="paragraph" w:customStyle="1" w:styleId="3901">
    <w:name w:val="Char612"/>
    <w:basedOn w:val="1"/>
    <w:qFormat/>
    <w:uiPriority w:val="99"/>
    <w:pPr>
      <w:spacing w:beforeLines="50"/>
    </w:pPr>
    <w:rPr>
      <w:rFonts w:ascii="黑体" w:eastAsia="黑体"/>
      <w:sz w:val="32"/>
      <w:szCs w:val="32"/>
    </w:rPr>
  </w:style>
  <w:style w:type="paragraph" w:customStyle="1" w:styleId="3902">
    <w:name w:val="表题21112"/>
    <w:basedOn w:val="1"/>
    <w:qFormat/>
    <w:uiPriority w:val="99"/>
    <w:pPr>
      <w:widowControl/>
      <w:spacing w:line="240" w:lineRule="auto"/>
      <w:jc w:val="center"/>
    </w:pPr>
    <w:rPr>
      <w:rFonts w:ascii="黑体" w:hAnsi="宋体" w:eastAsia="黑体" w:cs="宋体"/>
      <w:kern w:val="0"/>
    </w:rPr>
  </w:style>
  <w:style w:type="paragraph" w:customStyle="1" w:styleId="3903">
    <w:name w:val="表题14112"/>
    <w:basedOn w:val="1"/>
    <w:qFormat/>
    <w:uiPriority w:val="99"/>
    <w:pPr>
      <w:widowControl/>
      <w:spacing w:line="240" w:lineRule="auto"/>
      <w:jc w:val="center"/>
    </w:pPr>
    <w:rPr>
      <w:rFonts w:ascii="黑体" w:hAnsi="宋体" w:eastAsia="黑体" w:cs="宋体"/>
      <w:kern w:val="0"/>
    </w:rPr>
  </w:style>
  <w:style w:type="paragraph" w:customStyle="1" w:styleId="3904">
    <w:name w:val="Default12"/>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05">
    <w:name w:val="Char Char2 Char Char Char Char10"/>
    <w:basedOn w:val="1"/>
    <w:qFormat/>
    <w:uiPriority w:val="99"/>
    <w:pPr>
      <w:spacing w:line="240" w:lineRule="auto"/>
    </w:pPr>
    <w:rPr>
      <w:sz w:val="21"/>
    </w:rPr>
  </w:style>
  <w:style w:type="paragraph" w:customStyle="1" w:styleId="3906">
    <w:name w:val="表题1512"/>
    <w:basedOn w:val="22"/>
    <w:qFormat/>
    <w:uiPriority w:val="99"/>
    <w:pPr>
      <w:tabs>
        <w:tab w:val="clear" w:pos="10467"/>
        <w:tab w:val="clear" w:pos="13095"/>
      </w:tabs>
      <w:adjustRightInd/>
      <w:snapToGrid/>
    </w:pPr>
    <w:rPr>
      <w:rFonts w:ascii="黑体" w:eastAsia="黑体"/>
    </w:rPr>
  </w:style>
  <w:style w:type="paragraph" w:customStyle="1" w:styleId="3907">
    <w:name w:val="表格内字体612"/>
    <w:basedOn w:val="185"/>
    <w:next w:val="185"/>
    <w:qFormat/>
    <w:uiPriority w:val="99"/>
    <w:pPr>
      <w:spacing w:line="240" w:lineRule="auto"/>
      <w:ind w:firstLine="0"/>
      <w:jc w:val="center"/>
    </w:pPr>
    <w:rPr>
      <w:rFonts w:hAnsi="宋体" w:cs="Times New Roman"/>
      <w:sz w:val="21"/>
    </w:rPr>
  </w:style>
  <w:style w:type="paragraph" w:customStyle="1" w:styleId="3908">
    <w:name w:val="默认段落字体 Para Char Char Char Char412"/>
    <w:basedOn w:val="1"/>
    <w:qFormat/>
    <w:uiPriority w:val="99"/>
    <w:pPr>
      <w:spacing w:line="240" w:lineRule="auto"/>
    </w:pPr>
    <w:rPr>
      <w:sz w:val="21"/>
    </w:rPr>
  </w:style>
  <w:style w:type="paragraph" w:customStyle="1" w:styleId="3909">
    <w:name w:val="A正文12"/>
    <w:basedOn w:val="1"/>
    <w:qFormat/>
    <w:uiPriority w:val="99"/>
    <w:pPr>
      <w:widowControl/>
      <w:overflowPunct w:val="0"/>
      <w:autoSpaceDE w:val="0"/>
      <w:autoSpaceDN w:val="0"/>
      <w:ind w:firstLine="200"/>
      <w:jc w:val="left"/>
      <w:textAlignment w:val="baseline"/>
    </w:pPr>
    <w:rPr>
      <w:rFonts w:eastAsia="仿宋_GB2312"/>
      <w:kern w:val="0"/>
    </w:rPr>
  </w:style>
  <w:style w:type="paragraph" w:customStyle="1" w:styleId="3910">
    <w:name w:val="图题注12"/>
    <w:basedOn w:val="22"/>
    <w:qFormat/>
    <w:uiPriority w:val="99"/>
    <w:pPr>
      <w:tabs>
        <w:tab w:val="clear" w:pos="10467"/>
        <w:tab w:val="clear" w:pos="13095"/>
      </w:tabs>
      <w:adjustRightInd/>
      <w:snapToGrid/>
      <w:spacing w:line="240" w:lineRule="auto"/>
    </w:pPr>
    <w:rPr>
      <w:rFonts w:ascii="黑体" w:eastAsia="黑体" w:cs="宋体"/>
      <w:bCs/>
    </w:rPr>
  </w:style>
  <w:style w:type="paragraph" w:customStyle="1" w:styleId="3911">
    <w:name w:val="Char712"/>
    <w:basedOn w:val="1"/>
    <w:qFormat/>
    <w:uiPriority w:val="99"/>
    <w:pPr>
      <w:spacing w:line="240" w:lineRule="auto"/>
      <w:ind w:left="-48"/>
    </w:pPr>
    <w:rPr>
      <w:sz w:val="21"/>
    </w:rPr>
  </w:style>
  <w:style w:type="paragraph" w:customStyle="1" w:styleId="3912">
    <w:name w:val="Char Char2 Char Char Char Char32"/>
    <w:basedOn w:val="1"/>
    <w:qFormat/>
    <w:uiPriority w:val="99"/>
    <w:pPr>
      <w:spacing w:line="240" w:lineRule="auto"/>
    </w:pPr>
    <w:rPr>
      <w:sz w:val="21"/>
    </w:rPr>
  </w:style>
  <w:style w:type="paragraph" w:customStyle="1" w:styleId="3913">
    <w:name w:val="表题414"/>
    <w:basedOn w:val="35"/>
    <w:qFormat/>
    <w:uiPriority w:val="99"/>
    <w:pPr>
      <w:tabs>
        <w:tab w:val="left" w:pos="4305"/>
      </w:tabs>
      <w:ind w:left="0" w:firstLine="0" w:firstLineChars="0"/>
      <w:jc w:val="center"/>
    </w:pPr>
    <w:rPr>
      <w:rFonts w:ascii="宋体" w:hAnsi="宋体" w:cs="宋体"/>
      <w:color w:val="000000"/>
      <w:sz w:val="24"/>
      <w:lang w:val="zh-CN"/>
    </w:rPr>
  </w:style>
  <w:style w:type="paragraph" w:customStyle="1" w:styleId="3914">
    <w:name w:val="样式412"/>
    <w:basedOn w:val="34"/>
    <w:qFormat/>
    <w:uiPriority w:val="99"/>
    <w:pPr>
      <w:tabs>
        <w:tab w:val="left" w:pos="1820"/>
      </w:tabs>
      <w:adjustRightInd/>
      <w:spacing w:after="0" w:line="240" w:lineRule="atLeast"/>
      <w:jc w:val="center"/>
    </w:pPr>
    <w:rPr>
      <w:rFonts w:ascii="Calibri" w:hAnsi="Calibri" w:eastAsia="幼圆"/>
      <w:kern w:val="0"/>
      <w:sz w:val="21"/>
      <w:szCs w:val="20"/>
    </w:rPr>
  </w:style>
  <w:style w:type="paragraph" w:customStyle="1" w:styleId="3915">
    <w:name w:val="标题4122"/>
    <w:basedOn w:val="6"/>
    <w:next w:val="1"/>
    <w:qFormat/>
    <w:uiPriority w:val="99"/>
    <w:pPr>
      <w:spacing w:before="160" w:after="170" w:line="360" w:lineRule="auto"/>
    </w:pPr>
    <w:rPr>
      <w:rFonts w:ascii="黑体" w:hAnsi="Arial" w:eastAsia="黑体"/>
      <w:kern w:val="0"/>
      <w:lang w:val="zh-CN"/>
    </w:rPr>
  </w:style>
  <w:style w:type="paragraph" w:customStyle="1" w:styleId="3916">
    <w:name w:val="样式 正文缩进 + 宋体 黑色12"/>
    <w:basedOn w:val="21"/>
    <w:qFormat/>
    <w:uiPriority w:val="99"/>
    <w:pPr>
      <w:spacing w:line="360" w:lineRule="auto"/>
      <w:ind w:firstLine="200"/>
      <w:jc w:val="left"/>
    </w:pPr>
    <w:rPr>
      <w:rFonts w:ascii="宋体" w:hAnsi="宋体"/>
      <w:color w:val="000000"/>
      <w:sz w:val="24"/>
    </w:rPr>
  </w:style>
  <w:style w:type="paragraph" w:customStyle="1" w:styleId="3917">
    <w:name w:val="表内5112"/>
    <w:basedOn w:val="1"/>
    <w:qFormat/>
    <w:uiPriority w:val="99"/>
    <w:pPr>
      <w:spacing w:line="240" w:lineRule="auto"/>
      <w:jc w:val="center"/>
    </w:pPr>
    <w:rPr>
      <w:rFonts w:ascii="宋体" w:hAnsi="宋体"/>
      <w:kern w:val="0"/>
      <w:sz w:val="20"/>
      <w:szCs w:val="20"/>
    </w:rPr>
  </w:style>
  <w:style w:type="paragraph" w:customStyle="1" w:styleId="3918">
    <w:name w:val="表中文字9"/>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919">
    <w:name w:val="样式 表格内字体1 +12"/>
    <w:basedOn w:val="2373"/>
    <w:next w:val="832"/>
    <w:qFormat/>
    <w:uiPriority w:val="99"/>
    <w:rPr>
      <w:rFonts w:hAnsi="Times New Roman" w:cs="宋体"/>
      <w:szCs w:val="20"/>
    </w:rPr>
  </w:style>
  <w:style w:type="paragraph" w:customStyle="1" w:styleId="3920">
    <w:name w:val="默认段落字体 Para Char312"/>
    <w:basedOn w:val="1"/>
    <w:qFormat/>
    <w:uiPriority w:val="99"/>
    <w:pPr>
      <w:ind w:firstLine="200"/>
    </w:pPr>
    <w:rPr>
      <w:rFonts w:ascii="宋体" w:hAnsi="宋体" w:cs="宋体"/>
    </w:rPr>
  </w:style>
  <w:style w:type="paragraph" w:customStyle="1" w:styleId="3921">
    <w:name w:val="表内文字小6"/>
    <w:basedOn w:val="1"/>
    <w:qFormat/>
    <w:uiPriority w:val="99"/>
    <w:pPr>
      <w:spacing w:line="240" w:lineRule="auto"/>
      <w:jc w:val="center"/>
    </w:pPr>
    <w:rPr>
      <w:rFonts w:ascii="宋体" w:hAnsi="Times"/>
      <w:sz w:val="21"/>
      <w:szCs w:val="20"/>
    </w:rPr>
  </w:style>
  <w:style w:type="paragraph" w:customStyle="1" w:styleId="3922">
    <w:name w:val="Char Char2 Char Char Char Char112"/>
    <w:basedOn w:val="1"/>
    <w:qFormat/>
    <w:uiPriority w:val="99"/>
    <w:pPr>
      <w:spacing w:line="240" w:lineRule="auto"/>
    </w:pPr>
    <w:rPr>
      <w:sz w:val="21"/>
    </w:rPr>
  </w:style>
  <w:style w:type="paragraph" w:customStyle="1" w:styleId="3923">
    <w:name w:val="正文格式712"/>
    <w:basedOn w:val="1"/>
    <w:qFormat/>
    <w:uiPriority w:val="99"/>
    <w:pPr>
      <w:ind w:firstLine="482"/>
    </w:pPr>
    <w:rPr>
      <w:rFonts w:ascii="宋体" w:hAnsi="宋体"/>
    </w:rPr>
  </w:style>
  <w:style w:type="paragraph" w:customStyle="1" w:styleId="3924">
    <w:name w:val="表格内字体712"/>
    <w:basedOn w:val="185"/>
    <w:next w:val="185"/>
    <w:qFormat/>
    <w:uiPriority w:val="99"/>
    <w:pPr>
      <w:spacing w:line="240" w:lineRule="auto"/>
      <w:ind w:firstLine="0"/>
      <w:jc w:val="center"/>
    </w:pPr>
    <w:rPr>
      <w:rFonts w:hAnsi="宋体" w:cs="Times New Roman"/>
      <w:sz w:val="21"/>
    </w:rPr>
  </w:style>
  <w:style w:type="paragraph" w:customStyle="1" w:styleId="3925">
    <w:name w:val="Char912"/>
    <w:basedOn w:val="1"/>
    <w:qFormat/>
    <w:uiPriority w:val="99"/>
    <w:pPr>
      <w:spacing w:line="240" w:lineRule="auto"/>
      <w:ind w:left="-48"/>
    </w:pPr>
    <w:rPr>
      <w:sz w:val="21"/>
    </w:rPr>
  </w:style>
  <w:style w:type="paragraph" w:customStyle="1" w:styleId="3926">
    <w:name w:val="正文格式＝612"/>
    <w:basedOn w:val="185"/>
    <w:next w:val="185"/>
    <w:qFormat/>
    <w:uiPriority w:val="99"/>
    <w:rPr>
      <w:rFonts w:hAnsi="宋体" w:cs="Times New Roman"/>
    </w:rPr>
  </w:style>
  <w:style w:type="paragraph" w:customStyle="1" w:styleId="3927">
    <w:name w:val="正文修改412"/>
    <w:basedOn w:val="900"/>
    <w:qFormat/>
    <w:uiPriority w:val="99"/>
    <w:pPr>
      <w:spacing w:line="480" w:lineRule="exact"/>
      <w:ind w:firstLine="0" w:firstLineChars="0"/>
    </w:pPr>
    <w:rPr>
      <w:rFonts w:cs="宋体"/>
      <w:sz w:val="24"/>
      <w:szCs w:val="24"/>
    </w:rPr>
  </w:style>
  <w:style w:type="paragraph" w:customStyle="1" w:styleId="3928">
    <w:name w:val="表内文字小122"/>
    <w:basedOn w:val="1"/>
    <w:qFormat/>
    <w:uiPriority w:val="99"/>
    <w:pPr>
      <w:spacing w:line="240" w:lineRule="auto"/>
      <w:jc w:val="center"/>
    </w:pPr>
    <w:rPr>
      <w:rFonts w:ascii="宋体" w:hAnsi="Times"/>
      <w:sz w:val="21"/>
      <w:szCs w:val="20"/>
    </w:rPr>
  </w:style>
  <w:style w:type="paragraph" w:customStyle="1" w:styleId="3929">
    <w:name w:val="正文格式812"/>
    <w:basedOn w:val="1"/>
    <w:qFormat/>
    <w:uiPriority w:val="99"/>
    <w:pPr>
      <w:ind w:firstLine="482"/>
    </w:pPr>
    <w:rPr>
      <w:rFonts w:ascii="宋体" w:hAnsi="宋体"/>
    </w:rPr>
  </w:style>
  <w:style w:type="paragraph" w:customStyle="1" w:styleId="3930">
    <w:name w:val="正文格式912"/>
    <w:basedOn w:val="1"/>
    <w:qFormat/>
    <w:uiPriority w:val="99"/>
    <w:pPr>
      <w:ind w:firstLine="482"/>
    </w:pPr>
    <w:rPr>
      <w:rFonts w:ascii="宋体" w:hAnsi="宋体"/>
    </w:rPr>
  </w:style>
  <w:style w:type="paragraph" w:customStyle="1" w:styleId="3931">
    <w:name w:val="Char Char Char Char Char Char Char52"/>
    <w:basedOn w:val="1"/>
    <w:qFormat/>
    <w:uiPriority w:val="99"/>
    <w:pPr>
      <w:spacing w:line="240" w:lineRule="auto"/>
    </w:pPr>
    <w:rPr>
      <w:sz w:val="21"/>
    </w:rPr>
  </w:style>
  <w:style w:type="paragraph" w:customStyle="1" w:styleId="3932">
    <w:name w:val="Char Char2 Char Char Char Char42"/>
    <w:basedOn w:val="1"/>
    <w:qFormat/>
    <w:uiPriority w:val="99"/>
    <w:pPr>
      <w:spacing w:line="240" w:lineRule="auto"/>
    </w:pPr>
    <w:rPr>
      <w:sz w:val="21"/>
    </w:rPr>
  </w:style>
  <w:style w:type="paragraph" w:customStyle="1" w:styleId="3933">
    <w:name w:val="Char162"/>
    <w:basedOn w:val="1"/>
    <w:qFormat/>
    <w:uiPriority w:val="99"/>
    <w:pPr>
      <w:spacing w:line="240" w:lineRule="auto"/>
      <w:ind w:left="-48"/>
    </w:pPr>
    <w:rPr>
      <w:sz w:val="21"/>
    </w:rPr>
  </w:style>
  <w:style w:type="paragraph" w:customStyle="1" w:styleId="3934">
    <w:name w:val="Char Char Char Char Char Char Char132"/>
    <w:basedOn w:val="1"/>
    <w:qFormat/>
    <w:uiPriority w:val="99"/>
    <w:pPr>
      <w:spacing w:line="240" w:lineRule="auto"/>
    </w:pPr>
    <w:rPr>
      <w:sz w:val="21"/>
    </w:rPr>
  </w:style>
  <w:style w:type="paragraph" w:customStyle="1" w:styleId="3935">
    <w:name w:val="正文格式16"/>
    <w:basedOn w:val="1"/>
    <w:qFormat/>
    <w:uiPriority w:val="99"/>
    <w:pPr>
      <w:ind w:firstLine="482"/>
    </w:pPr>
    <w:rPr>
      <w:rFonts w:ascii="宋体" w:hAnsi="宋体"/>
    </w:rPr>
  </w:style>
  <w:style w:type="paragraph" w:customStyle="1" w:styleId="3936">
    <w:name w:val="Char39"/>
    <w:basedOn w:val="1"/>
    <w:qFormat/>
    <w:uiPriority w:val="99"/>
    <w:pPr>
      <w:spacing w:beforeLines="50"/>
    </w:pPr>
    <w:rPr>
      <w:rFonts w:ascii="黑体" w:eastAsia="黑体"/>
      <w:sz w:val="32"/>
      <w:szCs w:val="32"/>
    </w:rPr>
  </w:style>
  <w:style w:type="paragraph" w:customStyle="1" w:styleId="3937">
    <w:name w:val="默认段落字体 Para Char Char Char Char9"/>
    <w:basedOn w:val="1"/>
    <w:qFormat/>
    <w:uiPriority w:val="99"/>
    <w:pPr>
      <w:spacing w:line="240" w:lineRule="auto"/>
    </w:pPr>
    <w:rPr>
      <w:sz w:val="21"/>
    </w:rPr>
  </w:style>
  <w:style w:type="paragraph" w:customStyle="1" w:styleId="3938">
    <w:name w:val="附件7"/>
    <w:basedOn w:val="3"/>
    <w:next w:val="185"/>
    <w:qFormat/>
    <w:uiPriority w:val="99"/>
    <w:pPr>
      <w:tabs>
        <w:tab w:val="left" w:pos="1566"/>
      </w:tabs>
      <w:spacing w:after="210"/>
      <w:jc w:val="left"/>
    </w:pPr>
    <w:rPr>
      <w:rFonts w:ascii="黑体" w:hAnsi="宋体" w:eastAsia="黑体"/>
      <w:b w:val="0"/>
      <w:bCs w:val="0"/>
      <w:sz w:val="32"/>
      <w:szCs w:val="32"/>
    </w:rPr>
  </w:style>
  <w:style w:type="paragraph" w:customStyle="1" w:styleId="3939">
    <w:name w:val="黑体三号8"/>
    <w:basedOn w:val="185"/>
    <w:qFormat/>
    <w:uiPriority w:val="99"/>
    <w:pPr>
      <w:jc w:val="center"/>
    </w:pPr>
    <w:rPr>
      <w:rFonts w:ascii="黑体" w:hAnsi="宋体" w:eastAsia="黑体"/>
      <w:b/>
      <w:bCs/>
      <w:sz w:val="32"/>
      <w:szCs w:val="20"/>
    </w:rPr>
  </w:style>
  <w:style w:type="paragraph" w:customStyle="1" w:styleId="3940">
    <w:name w:val="燕山正文1114"/>
    <w:basedOn w:val="1"/>
    <w:qFormat/>
    <w:uiPriority w:val="99"/>
    <w:pPr>
      <w:tabs>
        <w:tab w:val="left" w:pos="4680"/>
      </w:tabs>
      <w:spacing w:line="480" w:lineRule="exact"/>
    </w:pPr>
    <w:rPr>
      <w:rFonts w:ascii="宋体" w:hAnsi="宋体" w:cs="宋体"/>
      <w:bCs/>
      <w:color w:val="000000"/>
    </w:rPr>
  </w:style>
  <w:style w:type="paragraph" w:customStyle="1" w:styleId="3941">
    <w:name w:val="表内文字小317"/>
    <w:basedOn w:val="1"/>
    <w:qFormat/>
    <w:uiPriority w:val="99"/>
    <w:pPr>
      <w:spacing w:line="240" w:lineRule="auto"/>
      <w:jc w:val="center"/>
    </w:pPr>
    <w:rPr>
      <w:rFonts w:ascii="宋体" w:hAnsi="Times" w:cs="宋体"/>
      <w:bCs/>
      <w:color w:val="003366"/>
      <w:sz w:val="21"/>
      <w:szCs w:val="20"/>
    </w:rPr>
  </w:style>
  <w:style w:type="paragraph" w:customStyle="1" w:styleId="3942">
    <w:name w:val="正文格式＝10"/>
    <w:basedOn w:val="185"/>
    <w:next w:val="185"/>
    <w:qFormat/>
    <w:uiPriority w:val="0"/>
    <w:rPr>
      <w:rFonts w:hAnsi="宋体" w:cs="Times New Roman"/>
    </w:rPr>
  </w:style>
  <w:style w:type="paragraph" w:customStyle="1" w:styleId="3943">
    <w:name w:val="图题25"/>
    <w:basedOn w:val="185"/>
    <w:next w:val="185"/>
    <w:qFormat/>
    <w:uiPriority w:val="99"/>
    <w:pPr>
      <w:ind w:firstLine="0"/>
      <w:jc w:val="center"/>
    </w:pPr>
    <w:rPr>
      <w:rFonts w:ascii="黑体" w:hAnsi="宋体" w:eastAsia="黑体"/>
      <w:b/>
      <w:bCs/>
    </w:rPr>
  </w:style>
  <w:style w:type="paragraph" w:customStyle="1" w:styleId="3944">
    <w:name w:val="表格内字体25"/>
    <w:basedOn w:val="185"/>
    <w:next w:val="185"/>
    <w:qFormat/>
    <w:uiPriority w:val="99"/>
    <w:pPr>
      <w:spacing w:line="240" w:lineRule="auto"/>
      <w:ind w:firstLine="0"/>
      <w:jc w:val="center"/>
    </w:pPr>
    <w:rPr>
      <w:rFonts w:hAnsi="宋体" w:cs="Times New Roman"/>
      <w:sz w:val="21"/>
    </w:rPr>
  </w:style>
  <w:style w:type="paragraph" w:customStyle="1" w:styleId="3945">
    <w:name w:val="表中文字15"/>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946">
    <w:name w:val="Char Char Char Char Char Char Char20"/>
    <w:basedOn w:val="1"/>
    <w:qFormat/>
    <w:uiPriority w:val="99"/>
    <w:pPr>
      <w:spacing w:line="240" w:lineRule="auto"/>
    </w:pPr>
    <w:rPr>
      <w:sz w:val="21"/>
    </w:rPr>
  </w:style>
  <w:style w:type="paragraph" w:customStyle="1" w:styleId="3947">
    <w:name w:val="文本框5"/>
    <w:basedOn w:val="1"/>
    <w:qFormat/>
    <w:uiPriority w:val="99"/>
    <w:pPr>
      <w:spacing w:after="6" w:line="240" w:lineRule="auto"/>
      <w:jc w:val="center"/>
    </w:pPr>
    <w:rPr>
      <w:rFonts w:eastAsia="仿宋_GB2312"/>
      <w:sz w:val="21"/>
    </w:rPr>
  </w:style>
  <w:style w:type="paragraph" w:customStyle="1" w:styleId="3948">
    <w:name w:val="正文.5"/>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949">
    <w:name w:val="Char49"/>
    <w:basedOn w:val="1"/>
    <w:qFormat/>
    <w:uiPriority w:val="99"/>
    <w:pPr>
      <w:spacing w:line="240" w:lineRule="auto"/>
      <w:ind w:left="-48"/>
    </w:pPr>
    <w:rPr>
      <w:sz w:val="21"/>
    </w:rPr>
  </w:style>
  <w:style w:type="paragraph" w:customStyle="1" w:styleId="3950">
    <w:name w:val="表内文字边4"/>
    <w:basedOn w:val="1"/>
    <w:qFormat/>
    <w:uiPriority w:val="99"/>
    <w:pPr>
      <w:widowControl/>
      <w:spacing w:line="240" w:lineRule="atLeast"/>
      <w:ind w:left="-21" w:leftChars="-10" w:right="-42" w:rightChars="-20"/>
    </w:pPr>
    <w:rPr>
      <w:rFonts w:ascii="宋体"/>
      <w:kern w:val="0"/>
      <w:sz w:val="21"/>
      <w:szCs w:val="21"/>
    </w:rPr>
  </w:style>
  <w:style w:type="paragraph" w:customStyle="1" w:styleId="3951">
    <w:name w:val="正文缩4"/>
    <w:basedOn w:val="1"/>
    <w:qFormat/>
    <w:uiPriority w:val="99"/>
    <w:pPr>
      <w:spacing w:line="480" w:lineRule="atLeast"/>
      <w:ind w:firstLine="567"/>
      <w:textAlignment w:val="baseline"/>
    </w:pPr>
    <w:rPr>
      <w:rFonts w:ascii="宋体"/>
      <w:color w:val="000080"/>
      <w:spacing w:val="6"/>
      <w:kern w:val="0"/>
      <w:sz w:val="28"/>
      <w:szCs w:val="20"/>
    </w:rPr>
  </w:style>
  <w:style w:type="paragraph" w:customStyle="1" w:styleId="3952">
    <w:name w:val="样式24"/>
    <w:basedOn w:val="1"/>
    <w:qFormat/>
    <w:uiPriority w:val="99"/>
    <w:pPr>
      <w:jc w:val="center"/>
      <w:textAlignment w:val="baseline"/>
      <w:outlineLvl w:val="0"/>
    </w:pPr>
    <w:rPr>
      <w:kern w:val="0"/>
      <w:sz w:val="21"/>
      <w:szCs w:val="20"/>
    </w:rPr>
  </w:style>
  <w:style w:type="paragraph" w:customStyle="1" w:styleId="3953">
    <w:name w:val="表内宋5中6"/>
    <w:basedOn w:val="1"/>
    <w:qFormat/>
    <w:uiPriority w:val="99"/>
    <w:pPr>
      <w:spacing w:line="240" w:lineRule="auto"/>
      <w:textAlignment w:val="baseline"/>
    </w:pPr>
    <w:rPr>
      <w:color w:val="000000"/>
      <w:kern w:val="0"/>
      <w:sz w:val="21"/>
      <w:szCs w:val="20"/>
    </w:rPr>
  </w:style>
  <w:style w:type="paragraph" w:customStyle="1" w:styleId="3954">
    <w:name w:val="表内56"/>
    <w:basedOn w:val="1"/>
    <w:qFormat/>
    <w:uiPriority w:val="99"/>
    <w:pPr>
      <w:spacing w:line="300" w:lineRule="auto"/>
      <w:jc w:val="left"/>
    </w:pPr>
    <w:rPr>
      <w:rFonts w:ascii="宋体"/>
      <w:sz w:val="18"/>
      <w:szCs w:val="20"/>
    </w:rPr>
  </w:style>
  <w:style w:type="paragraph" w:customStyle="1" w:styleId="3955">
    <w:name w:val="表内宋54"/>
    <w:basedOn w:val="1366"/>
    <w:qFormat/>
    <w:uiPriority w:val="99"/>
    <w:pPr>
      <w:widowControl/>
      <w:autoSpaceDE w:val="0"/>
      <w:autoSpaceDN w:val="0"/>
      <w:jc w:val="left"/>
      <w:textAlignment w:val="auto"/>
    </w:pPr>
    <w:rPr>
      <w:color w:val="auto"/>
      <w:w w:val="90"/>
    </w:rPr>
  </w:style>
  <w:style w:type="paragraph" w:customStyle="1" w:styleId="3956">
    <w:name w:val="正文格式17"/>
    <w:basedOn w:val="1"/>
    <w:qFormat/>
    <w:uiPriority w:val="99"/>
    <w:pPr>
      <w:ind w:firstLine="482"/>
    </w:pPr>
    <w:rPr>
      <w:rFonts w:ascii="宋体" w:hAnsi="宋体"/>
    </w:rPr>
  </w:style>
  <w:style w:type="paragraph" w:customStyle="1" w:styleId="3957">
    <w:name w:val="Char118"/>
    <w:basedOn w:val="1"/>
    <w:qFormat/>
    <w:uiPriority w:val="99"/>
    <w:pPr>
      <w:spacing w:beforeLines="50"/>
    </w:pPr>
    <w:rPr>
      <w:rFonts w:ascii="黑体" w:eastAsia="黑体"/>
      <w:sz w:val="32"/>
      <w:szCs w:val="32"/>
    </w:rPr>
  </w:style>
  <w:style w:type="paragraph" w:customStyle="1" w:styleId="3958">
    <w:name w:val="表内54114"/>
    <w:basedOn w:val="1"/>
    <w:qFormat/>
    <w:uiPriority w:val="99"/>
    <w:pPr>
      <w:spacing w:line="300" w:lineRule="auto"/>
      <w:jc w:val="center"/>
    </w:pPr>
    <w:rPr>
      <w:rFonts w:ascii="宋体" w:hAnsi="宋体" w:cs="宋体"/>
      <w:sz w:val="21"/>
      <w:szCs w:val="20"/>
    </w:rPr>
  </w:style>
  <w:style w:type="paragraph" w:customStyle="1" w:styleId="3959">
    <w:name w:val="表题3114"/>
    <w:basedOn w:val="35"/>
    <w:qFormat/>
    <w:uiPriority w:val="99"/>
    <w:pPr>
      <w:tabs>
        <w:tab w:val="left" w:pos="4305"/>
      </w:tabs>
      <w:ind w:left="0" w:firstLine="0" w:firstLineChars="0"/>
      <w:jc w:val="center"/>
    </w:pPr>
    <w:rPr>
      <w:rFonts w:ascii="宋体" w:hAnsi="宋体"/>
      <w:sz w:val="24"/>
      <w:szCs w:val="20"/>
      <w:lang w:val="zh-CN"/>
    </w:rPr>
  </w:style>
  <w:style w:type="paragraph" w:customStyle="1" w:styleId="3960">
    <w:name w:val="Char Char Char Char Char Char Char110"/>
    <w:basedOn w:val="1"/>
    <w:qFormat/>
    <w:uiPriority w:val="99"/>
    <w:pPr>
      <w:spacing w:line="240" w:lineRule="auto"/>
    </w:pPr>
    <w:rPr>
      <w:sz w:val="21"/>
    </w:rPr>
  </w:style>
  <w:style w:type="paragraph" w:customStyle="1" w:styleId="3961">
    <w:name w:val="默认段落字体 Para Char Char Char Char14"/>
    <w:basedOn w:val="1"/>
    <w:qFormat/>
    <w:uiPriority w:val="99"/>
    <w:pPr>
      <w:spacing w:line="240" w:lineRule="auto"/>
    </w:pPr>
    <w:rPr>
      <w:sz w:val="21"/>
    </w:rPr>
  </w:style>
  <w:style w:type="paragraph" w:customStyle="1" w:styleId="3962">
    <w:name w:val="正文修改14"/>
    <w:basedOn w:val="900"/>
    <w:qFormat/>
    <w:uiPriority w:val="99"/>
    <w:pPr>
      <w:spacing w:line="480" w:lineRule="exact"/>
      <w:ind w:firstLine="0" w:firstLineChars="0"/>
    </w:pPr>
    <w:rPr>
      <w:rFonts w:cs="宋体"/>
      <w:sz w:val="24"/>
      <w:szCs w:val="24"/>
    </w:rPr>
  </w:style>
  <w:style w:type="paragraph" w:customStyle="1" w:styleId="3963">
    <w:name w:val="表内文字小3114"/>
    <w:basedOn w:val="1"/>
    <w:qFormat/>
    <w:uiPriority w:val="99"/>
    <w:pPr>
      <w:spacing w:line="240" w:lineRule="auto"/>
      <w:jc w:val="center"/>
    </w:pPr>
    <w:rPr>
      <w:rFonts w:ascii="宋体" w:hAnsi="Times" w:cs="宋体"/>
      <w:bCs/>
      <w:color w:val="003366"/>
      <w:sz w:val="21"/>
      <w:szCs w:val="20"/>
    </w:rPr>
  </w:style>
  <w:style w:type="paragraph" w:customStyle="1" w:styleId="3964">
    <w:name w:val="样式114"/>
    <w:basedOn w:val="1199"/>
    <w:qFormat/>
    <w:uiPriority w:val="99"/>
    <w:pPr>
      <w:spacing w:line="240" w:lineRule="auto"/>
      <w:ind w:firstLine="0"/>
      <w:jc w:val="center"/>
    </w:pPr>
    <w:rPr>
      <w:rFonts w:cs="Times New Roman"/>
      <w:b/>
      <w:color w:val="auto"/>
      <w:szCs w:val="20"/>
    </w:rPr>
  </w:style>
  <w:style w:type="paragraph" w:customStyle="1" w:styleId="3965">
    <w:name w:val="Char213"/>
    <w:basedOn w:val="1"/>
    <w:qFormat/>
    <w:uiPriority w:val="99"/>
    <w:pPr>
      <w:spacing w:line="240" w:lineRule="auto"/>
      <w:ind w:left="-48"/>
    </w:pPr>
    <w:rPr>
      <w:sz w:val="21"/>
    </w:rPr>
  </w:style>
  <w:style w:type="paragraph" w:customStyle="1" w:styleId="3966">
    <w:name w:val="表格内字体34"/>
    <w:basedOn w:val="185"/>
    <w:next w:val="185"/>
    <w:qFormat/>
    <w:uiPriority w:val="99"/>
    <w:pPr>
      <w:spacing w:line="240" w:lineRule="auto"/>
      <w:ind w:firstLine="0"/>
      <w:jc w:val="center"/>
    </w:pPr>
    <w:rPr>
      <w:rFonts w:hAnsi="宋体" w:cs="Times New Roman"/>
      <w:sz w:val="21"/>
    </w:rPr>
  </w:style>
  <w:style w:type="paragraph" w:customStyle="1" w:styleId="3967">
    <w:name w:val="燕山正文1124"/>
    <w:basedOn w:val="1"/>
    <w:qFormat/>
    <w:uiPriority w:val="99"/>
    <w:pPr>
      <w:tabs>
        <w:tab w:val="left" w:pos="4680"/>
      </w:tabs>
      <w:spacing w:line="480" w:lineRule="exact"/>
    </w:pPr>
    <w:rPr>
      <w:rFonts w:ascii="宋体" w:hAnsi="宋体" w:cs="宋体"/>
      <w:bCs/>
      <w:color w:val="000000"/>
    </w:rPr>
  </w:style>
  <w:style w:type="paragraph" w:customStyle="1" w:styleId="3968">
    <w:name w:val="黑体三号24"/>
    <w:basedOn w:val="185"/>
    <w:qFormat/>
    <w:uiPriority w:val="99"/>
    <w:pPr>
      <w:jc w:val="center"/>
    </w:pPr>
    <w:rPr>
      <w:rFonts w:ascii="黑体" w:hAnsi="宋体" w:eastAsia="黑体"/>
      <w:b/>
      <w:bCs/>
      <w:sz w:val="32"/>
      <w:szCs w:val="20"/>
    </w:rPr>
  </w:style>
  <w:style w:type="paragraph" w:customStyle="1" w:styleId="3969">
    <w:name w:val="表中文字24"/>
    <w:basedOn w:val="1"/>
    <w:qFormat/>
    <w:uiPriority w:val="99"/>
    <w:pPr>
      <w:widowControl/>
      <w:spacing w:line="240" w:lineRule="atLeast"/>
      <w:ind w:right="-42" w:rightChars="-20"/>
      <w:jc w:val="center"/>
      <w:textAlignment w:val="baseline"/>
    </w:pPr>
    <w:rPr>
      <w:rFonts w:ascii="宋体"/>
      <w:kern w:val="0"/>
      <w:sz w:val="21"/>
      <w:szCs w:val="21"/>
    </w:rPr>
  </w:style>
  <w:style w:type="paragraph" w:customStyle="1" w:styleId="3970">
    <w:name w:val="表内文字小3124"/>
    <w:basedOn w:val="1"/>
    <w:qFormat/>
    <w:uiPriority w:val="99"/>
    <w:pPr>
      <w:spacing w:line="240" w:lineRule="auto"/>
      <w:jc w:val="center"/>
    </w:pPr>
    <w:rPr>
      <w:rFonts w:ascii="宋体" w:hAnsi="Times" w:cs="宋体"/>
      <w:bCs/>
      <w:color w:val="003366"/>
      <w:sz w:val="21"/>
      <w:szCs w:val="20"/>
    </w:rPr>
  </w:style>
  <w:style w:type="paragraph" w:customStyle="1" w:styleId="3971">
    <w:name w:val="正文格式＝34"/>
    <w:basedOn w:val="185"/>
    <w:next w:val="185"/>
    <w:qFormat/>
    <w:uiPriority w:val="99"/>
    <w:rPr>
      <w:rFonts w:hAnsi="宋体" w:cs="Times New Roman"/>
    </w:rPr>
  </w:style>
  <w:style w:type="paragraph" w:customStyle="1" w:styleId="3972">
    <w:name w:val="表内文字小224"/>
    <w:basedOn w:val="1"/>
    <w:qFormat/>
    <w:uiPriority w:val="99"/>
    <w:pPr>
      <w:spacing w:line="240" w:lineRule="auto"/>
      <w:jc w:val="center"/>
    </w:pPr>
    <w:rPr>
      <w:rFonts w:ascii="宋体" w:hAnsi="Times"/>
      <w:bCs/>
      <w:color w:val="000000"/>
      <w:sz w:val="21"/>
      <w:szCs w:val="20"/>
    </w:rPr>
  </w:style>
  <w:style w:type="paragraph" w:customStyle="1" w:styleId="3973">
    <w:name w:val="表题94"/>
    <w:basedOn w:val="45"/>
    <w:qFormat/>
    <w:uiPriority w:val="99"/>
    <w:pPr>
      <w:spacing w:line="300" w:lineRule="auto"/>
    </w:pPr>
    <w:rPr>
      <w:rFonts w:ascii="黑体" w:eastAsia="黑体"/>
      <w:spacing w:val="0"/>
      <w:sz w:val="24"/>
    </w:rPr>
  </w:style>
  <w:style w:type="paragraph" w:customStyle="1" w:styleId="3974">
    <w:name w:val="表内5314"/>
    <w:basedOn w:val="1"/>
    <w:qFormat/>
    <w:uiPriority w:val="99"/>
    <w:pPr>
      <w:spacing w:line="300" w:lineRule="auto"/>
      <w:jc w:val="left"/>
    </w:pPr>
    <w:rPr>
      <w:rFonts w:ascii="宋体"/>
      <w:sz w:val="21"/>
      <w:szCs w:val="20"/>
    </w:rPr>
  </w:style>
  <w:style w:type="paragraph" w:customStyle="1" w:styleId="3975">
    <w:name w:val="表格内字体214"/>
    <w:basedOn w:val="185"/>
    <w:next w:val="185"/>
    <w:qFormat/>
    <w:uiPriority w:val="99"/>
    <w:pPr>
      <w:spacing w:line="240" w:lineRule="auto"/>
      <w:ind w:firstLine="0"/>
      <w:jc w:val="center"/>
    </w:pPr>
    <w:rPr>
      <w:rFonts w:hAnsi="宋体" w:cs="Times New Roman"/>
      <w:sz w:val="21"/>
    </w:rPr>
  </w:style>
  <w:style w:type="paragraph" w:customStyle="1" w:styleId="3976">
    <w:name w:val="表题1114"/>
    <w:basedOn w:val="22"/>
    <w:qFormat/>
    <w:uiPriority w:val="99"/>
    <w:pPr>
      <w:tabs>
        <w:tab w:val="clear" w:pos="10467"/>
        <w:tab w:val="clear" w:pos="13095"/>
      </w:tabs>
      <w:adjustRightInd/>
      <w:snapToGrid/>
    </w:pPr>
    <w:rPr>
      <w:rFonts w:ascii="黑体" w:eastAsia="黑体"/>
      <w:b w:val="0"/>
    </w:rPr>
  </w:style>
  <w:style w:type="paragraph" w:customStyle="1" w:styleId="3977">
    <w:name w:val="表文字5114"/>
    <w:basedOn w:val="1"/>
    <w:qFormat/>
    <w:uiPriority w:val="99"/>
    <w:pPr>
      <w:spacing w:line="240" w:lineRule="auto"/>
      <w:jc w:val="left"/>
      <w:textAlignment w:val="baseline"/>
    </w:pPr>
    <w:rPr>
      <w:rFonts w:ascii="宋体"/>
      <w:kern w:val="0"/>
      <w:sz w:val="21"/>
      <w:szCs w:val="20"/>
    </w:rPr>
  </w:style>
  <w:style w:type="paragraph" w:customStyle="1" w:styleId="3978">
    <w:name w:val="图题44"/>
    <w:basedOn w:val="185"/>
    <w:next w:val="185"/>
    <w:qFormat/>
    <w:uiPriority w:val="99"/>
    <w:pPr>
      <w:ind w:firstLine="0"/>
      <w:jc w:val="center"/>
    </w:pPr>
    <w:rPr>
      <w:rFonts w:ascii="黑体" w:hAnsi="宋体" w:eastAsia="黑体"/>
      <w:b/>
      <w:bCs/>
    </w:rPr>
  </w:style>
  <w:style w:type="paragraph" w:customStyle="1" w:styleId="3979">
    <w:name w:val="表格内字体44"/>
    <w:basedOn w:val="185"/>
    <w:next w:val="185"/>
    <w:qFormat/>
    <w:uiPriority w:val="99"/>
    <w:pPr>
      <w:spacing w:line="240" w:lineRule="auto"/>
      <w:ind w:firstLine="0"/>
      <w:jc w:val="center"/>
    </w:pPr>
    <w:rPr>
      <w:rFonts w:hAnsi="宋体" w:cs="Times New Roman"/>
      <w:sz w:val="21"/>
    </w:rPr>
  </w:style>
  <w:style w:type="paragraph" w:customStyle="1" w:styleId="3980">
    <w:name w:val="默认段落字体 Para Char Char Char Char54"/>
    <w:basedOn w:val="1"/>
    <w:qFormat/>
    <w:uiPriority w:val="99"/>
    <w:pPr>
      <w:spacing w:line="240" w:lineRule="auto"/>
    </w:pPr>
    <w:rPr>
      <w:sz w:val="21"/>
    </w:rPr>
  </w:style>
  <w:style w:type="paragraph" w:customStyle="1" w:styleId="3981">
    <w:name w:val="Char410"/>
    <w:basedOn w:val="1"/>
    <w:qFormat/>
    <w:uiPriority w:val="99"/>
    <w:pPr>
      <w:spacing w:line="240" w:lineRule="auto"/>
      <w:ind w:left="-48"/>
    </w:pPr>
    <w:rPr>
      <w:sz w:val="21"/>
    </w:rPr>
  </w:style>
  <w:style w:type="paragraph" w:customStyle="1" w:styleId="3982">
    <w:name w:val="正文格式＝44"/>
    <w:basedOn w:val="185"/>
    <w:next w:val="185"/>
    <w:qFormat/>
    <w:uiPriority w:val="99"/>
    <w:rPr>
      <w:rFonts w:hAnsi="宋体" w:cs="Times New Roman"/>
    </w:rPr>
  </w:style>
  <w:style w:type="paragraph" w:customStyle="1" w:styleId="3983">
    <w:name w:val="Char Char Char Char Char Char Char113"/>
    <w:basedOn w:val="1"/>
    <w:qFormat/>
    <w:uiPriority w:val="99"/>
    <w:pPr>
      <w:spacing w:line="240" w:lineRule="auto"/>
    </w:pPr>
    <w:rPr>
      <w:sz w:val="21"/>
      <w:szCs w:val="20"/>
    </w:rPr>
  </w:style>
  <w:style w:type="paragraph" w:customStyle="1" w:styleId="3984">
    <w:name w:val="燕山正文1134"/>
    <w:basedOn w:val="1"/>
    <w:qFormat/>
    <w:uiPriority w:val="99"/>
    <w:pPr>
      <w:tabs>
        <w:tab w:val="left" w:pos="4680"/>
      </w:tabs>
      <w:ind w:firstLine="480"/>
    </w:pPr>
    <w:rPr>
      <w:rFonts w:ascii="宋体" w:hAnsi="宋体" w:cs="宋体"/>
      <w:bCs/>
      <w:snapToGrid w:val="0"/>
      <w:color w:val="000000"/>
      <w:kern w:val="0"/>
    </w:rPr>
  </w:style>
  <w:style w:type="paragraph" w:customStyle="1" w:styleId="3985">
    <w:name w:val="表内文字小15"/>
    <w:basedOn w:val="1"/>
    <w:qFormat/>
    <w:uiPriority w:val="99"/>
    <w:pPr>
      <w:spacing w:line="240" w:lineRule="auto"/>
      <w:jc w:val="center"/>
    </w:pPr>
    <w:rPr>
      <w:rFonts w:ascii="宋体" w:hAnsi="Times"/>
      <w:sz w:val="21"/>
      <w:szCs w:val="20"/>
    </w:rPr>
  </w:style>
  <w:style w:type="paragraph" w:customStyle="1" w:styleId="3986">
    <w:name w:val="正文格式54"/>
    <w:basedOn w:val="1"/>
    <w:qFormat/>
    <w:uiPriority w:val="99"/>
    <w:pPr>
      <w:ind w:firstLine="482"/>
    </w:pPr>
    <w:rPr>
      <w:rFonts w:ascii="宋体" w:hAnsi="宋体"/>
    </w:rPr>
  </w:style>
  <w:style w:type="paragraph" w:customStyle="1" w:styleId="3987">
    <w:name w:val="图题54"/>
    <w:basedOn w:val="185"/>
    <w:next w:val="185"/>
    <w:qFormat/>
    <w:uiPriority w:val="99"/>
    <w:pPr>
      <w:ind w:firstLine="0"/>
      <w:jc w:val="center"/>
    </w:pPr>
    <w:rPr>
      <w:rFonts w:ascii="黑体" w:hAnsi="宋体" w:eastAsia="黑体"/>
      <w:b/>
      <w:bCs/>
    </w:rPr>
  </w:style>
  <w:style w:type="paragraph" w:customStyle="1" w:styleId="3988">
    <w:name w:val="表格内字体54"/>
    <w:basedOn w:val="185"/>
    <w:next w:val="185"/>
    <w:qFormat/>
    <w:uiPriority w:val="99"/>
    <w:pPr>
      <w:spacing w:line="240" w:lineRule="auto"/>
      <w:ind w:firstLine="0"/>
    </w:pPr>
    <w:rPr>
      <w:rFonts w:hAnsi="宋体" w:cs="Times New Roman"/>
      <w:sz w:val="21"/>
    </w:rPr>
  </w:style>
  <w:style w:type="paragraph" w:customStyle="1" w:styleId="3989">
    <w:name w:val="Char Char Char Char Char Char Char29"/>
    <w:basedOn w:val="1"/>
    <w:qFormat/>
    <w:uiPriority w:val="99"/>
    <w:pPr>
      <w:spacing w:line="240" w:lineRule="auto"/>
    </w:pPr>
    <w:rPr>
      <w:sz w:val="21"/>
    </w:rPr>
  </w:style>
  <w:style w:type="paragraph" w:customStyle="1" w:styleId="3990">
    <w:name w:val="Char Char Char Char Char Char Char27"/>
    <w:basedOn w:val="1"/>
    <w:qFormat/>
    <w:uiPriority w:val="99"/>
    <w:pPr>
      <w:spacing w:line="240" w:lineRule="auto"/>
    </w:pPr>
    <w:rPr>
      <w:sz w:val="21"/>
    </w:rPr>
  </w:style>
  <w:style w:type="paragraph" w:customStyle="1" w:styleId="3991">
    <w:name w:val="表34"/>
    <w:basedOn w:val="1"/>
    <w:qFormat/>
    <w:uiPriority w:val="99"/>
    <w:pPr>
      <w:spacing w:line="240" w:lineRule="auto"/>
      <w:jc w:val="center"/>
    </w:pPr>
    <w:rPr>
      <w:rFonts w:eastAsia="仿宋_GB2312"/>
    </w:rPr>
  </w:style>
  <w:style w:type="paragraph" w:customStyle="1" w:styleId="3992">
    <w:name w:val="正文.14"/>
    <w:qFormat/>
    <w:uiPriority w:val="99"/>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993">
    <w:name w:val="Char120"/>
    <w:basedOn w:val="1"/>
    <w:qFormat/>
    <w:uiPriority w:val="99"/>
    <w:pPr>
      <w:spacing w:line="240" w:lineRule="auto"/>
      <w:ind w:left="-48"/>
    </w:pPr>
    <w:rPr>
      <w:sz w:val="21"/>
    </w:rPr>
  </w:style>
  <w:style w:type="paragraph" w:customStyle="1" w:styleId="3994">
    <w:name w:val="文本框14"/>
    <w:basedOn w:val="1"/>
    <w:qFormat/>
    <w:uiPriority w:val="99"/>
    <w:pPr>
      <w:spacing w:after="6" w:line="240" w:lineRule="auto"/>
      <w:jc w:val="center"/>
    </w:pPr>
    <w:rPr>
      <w:rFonts w:eastAsia="仿宋_GB2312"/>
      <w:sz w:val="21"/>
    </w:rPr>
  </w:style>
  <w:style w:type="paragraph" w:customStyle="1" w:styleId="3995">
    <w:name w:val="正文214"/>
    <w:qFormat/>
    <w:uiPriority w:val="99"/>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996">
    <w:name w:val="表内文字小2134"/>
    <w:basedOn w:val="1"/>
    <w:qFormat/>
    <w:uiPriority w:val="99"/>
    <w:pPr>
      <w:spacing w:line="240" w:lineRule="auto"/>
      <w:jc w:val="center"/>
      <w:textAlignment w:val="baseline"/>
    </w:pPr>
    <w:rPr>
      <w:rFonts w:ascii="宋体" w:hAnsi="Times"/>
      <w:bCs/>
      <w:color w:val="000000"/>
      <w:sz w:val="21"/>
      <w:szCs w:val="20"/>
    </w:rPr>
  </w:style>
  <w:style w:type="paragraph" w:customStyle="1" w:styleId="3997">
    <w:name w:val="正文修改34"/>
    <w:basedOn w:val="900"/>
    <w:qFormat/>
    <w:uiPriority w:val="99"/>
    <w:pPr>
      <w:spacing w:line="480" w:lineRule="exact"/>
      <w:ind w:firstLine="0" w:firstLineChars="0"/>
    </w:pPr>
    <w:rPr>
      <w:rFonts w:cs="宋体"/>
      <w:sz w:val="24"/>
      <w:szCs w:val="24"/>
    </w:rPr>
  </w:style>
  <w:style w:type="paragraph" w:customStyle="1" w:styleId="3998">
    <w:name w:val="表中文字34"/>
    <w:basedOn w:val="1"/>
    <w:qFormat/>
    <w:uiPriority w:val="99"/>
    <w:pPr>
      <w:widowControl/>
      <w:spacing w:line="240" w:lineRule="atLeast"/>
      <w:ind w:left="-24" w:leftChars="-10" w:right="-48" w:rightChars="-20"/>
      <w:jc w:val="center"/>
    </w:pPr>
    <w:rPr>
      <w:rFonts w:ascii="宋体"/>
      <w:kern w:val="0"/>
      <w:sz w:val="21"/>
      <w:szCs w:val="21"/>
    </w:rPr>
  </w:style>
  <w:style w:type="paragraph" w:customStyle="1" w:styleId="3999">
    <w:name w:val="黑体三号34"/>
    <w:basedOn w:val="185"/>
    <w:qFormat/>
    <w:uiPriority w:val="99"/>
    <w:pPr>
      <w:jc w:val="center"/>
    </w:pPr>
    <w:rPr>
      <w:rFonts w:ascii="黑体" w:hAnsi="宋体" w:eastAsia="黑体"/>
      <w:b/>
      <w:bCs/>
      <w:sz w:val="32"/>
      <w:szCs w:val="20"/>
    </w:rPr>
  </w:style>
  <w:style w:type="paragraph" w:customStyle="1" w:styleId="4000">
    <w:name w:val="Char64"/>
    <w:basedOn w:val="1"/>
    <w:qFormat/>
    <w:uiPriority w:val="99"/>
    <w:pPr>
      <w:spacing w:beforeLines="50"/>
    </w:pPr>
    <w:rPr>
      <w:rFonts w:ascii="黑体" w:eastAsia="黑体"/>
      <w:sz w:val="32"/>
      <w:szCs w:val="32"/>
    </w:rPr>
  </w:style>
  <w:style w:type="paragraph" w:customStyle="1" w:styleId="4001">
    <w:name w:val="表题154"/>
    <w:basedOn w:val="22"/>
    <w:qFormat/>
    <w:uiPriority w:val="99"/>
    <w:pPr>
      <w:tabs>
        <w:tab w:val="clear" w:pos="10467"/>
        <w:tab w:val="clear" w:pos="13095"/>
      </w:tabs>
      <w:adjustRightInd/>
      <w:snapToGrid/>
    </w:pPr>
    <w:rPr>
      <w:rFonts w:ascii="黑体" w:eastAsia="黑体"/>
    </w:rPr>
  </w:style>
  <w:style w:type="paragraph" w:customStyle="1" w:styleId="4002">
    <w:name w:val="表题2114"/>
    <w:basedOn w:val="1"/>
    <w:qFormat/>
    <w:uiPriority w:val="99"/>
    <w:pPr>
      <w:widowControl/>
      <w:spacing w:line="240" w:lineRule="auto"/>
      <w:jc w:val="center"/>
    </w:pPr>
    <w:rPr>
      <w:rFonts w:ascii="黑体" w:hAnsi="宋体" w:eastAsia="黑体" w:cs="宋体"/>
      <w:kern w:val="0"/>
    </w:rPr>
  </w:style>
  <w:style w:type="paragraph" w:customStyle="1" w:styleId="4003">
    <w:name w:val="表内宋5中114"/>
    <w:basedOn w:val="1"/>
    <w:qFormat/>
    <w:uiPriority w:val="99"/>
    <w:pPr>
      <w:spacing w:line="240" w:lineRule="auto"/>
      <w:jc w:val="center"/>
      <w:textAlignment w:val="baseline"/>
    </w:pPr>
    <w:rPr>
      <w:rFonts w:ascii="宋体" w:hAnsi="宋体" w:cs="宋体"/>
      <w:kern w:val="0"/>
      <w:sz w:val="21"/>
      <w:szCs w:val="20"/>
    </w:rPr>
  </w:style>
  <w:style w:type="paragraph" w:customStyle="1" w:styleId="4004">
    <w:name w:val="表内文字小114"/>
    <w:basedOn w:val="1"/>
    <w:qFormat/>
    <w:uiPriority w:val="99"/>
    <w:pPr>
      <w:spacing w:line="240" w:lineRule="auto"/>
    </w:pPr>
    <w:rPr>
      <w:rFonts w:ascii="宋体" w:hAnsi="Times" w:cs="宋体"/>
      <w:sz w:val="21"/>
      <w:szCs w:val="20"/>
    </w:rPr>
  </w:style>
  <w:style w:type="paragraph" w:customStyle="1" w:styleId="4005">
    <w:name w:val="表内文字小84"/>
    <w:basedOn w:val="1"/>
    <w:qFormat/>
    <w:uiPriority w:val="99"/>
    <w:pPr>
      <w:spacing w:line="240" w:lineRule="auto"/>
      <w:jc w:val="center"/>
    </w:pPr>
    <w:rPr>
      <w:rFonts w:ascii="宋体" w:hAnsi="Times" w:cs="宋体"/>
      <w:sz w:val="21"/>
      <w:szCs w:val="20"/>
    </w:rPr>
  </w:style>
  <w:style w:type="paragraph" w:customStyle="1" w:styleId="4006">
    <w:name w:val="正文格式＝54"/>
    <w:basedOn w:val="185"/>
    <w:next w:val="185"/>
    <w:qFormat/>
    <w:uiPriority w:val="99"/>
    <w:rPr>
      <w:rFonts w:hAnsi="宋体" w:cs="Times New Roman"/>
    </w:rPr>
  </w:style>
  <w:style w:type="paragraph" w:customStyle="1" w:styleId="4007">
    <w:name w:val="附件34"/>
    <w:basedOn w:val="3"/>
    <w:next w:val="185"/>
    <w:qFormat/>
    <w:uiPriority w:val="99"/>
    <w:pPr>
      <w:tabs>
        <w:tab w:val="left" w:pos="1566"/>
      </w:tabs>
      <w:spacing w:after="120"/>
      <w:jc w:val="left"/>
    </w:pPr>
    <w:rPr>
      <w:rFonts w:ascii="黑体" w:hAnsi="宋体" w:eastAsia="黑体"/>
      <w:b w:val="0"/>
      <w:bCs w:val="0"/>
      <w:sz w:val="32"/>
      <w:szCs w:val="32"/>
    </w:rPr>
  </w:style>
  <w:style w:type="paragraph" w:customStyle="1" w:styleId="4008">
    <w:name w:val="Char Char Char Char Char Char Char35"/>
    <w:basedOn w:val="1"/>
    <w:qFormat/>
    <w:uiPriority w:val="99"/>
    <w:pPr>
      <w:spacing w:line="240" w:lineRule="auto"/>
    </w:pPr>
    <w:rPr>
      <w:sz w:val="21"/>
    </w:rPr>
  </w:style>
  <w:style w:type="paragraph" w:customStyle="1" w:styleId="4009">
    <w:name w:val="图题64"/>
    <w:basedOn w:val="185"/>
    <w:next w:val="185"/>
    <w:qFormat/>
    <w:uiPriority w:val="99"/>
    <w:pPr>
      <w:ind w:firstLine="0"/>
      <w:jc w:val="center"/>
    </w:pPr>
    <w:rPr>
      <w:rFonts w:ascii="黑体" w:hAnsi="宋体" w:eastAsia="黑体"/>
      <w:b/>
      <w:bCs/>
      <w:kern w:val="0"/>
    </w:rPr>
  </w:style>
  <w:style w:type="paragraph" w:customStyle="1" w:styleId="4010">
    <w:name w:val="黑体三号44"/>
    <w:basedOn w:val="185"/>
    <w:qFormat/>
    <w:uiPriority w:val="99"/>
    <w:pPr>
      <w:jc w:val="center"/>
    </w:pPr>
    <w:rPr>
      <w:rFonts w:ascii="黑体" w:hAnsi="宋体" w:eastAsia="黑体"/>
      <w:b/>
      <w:bCs/>
      <w:sz w:val="32"/>
      <w:szCs w:val="20"/>
    </w:rPr>
  </w:style>
  <w:style w:type="paragraph" w:customStyle="1" w:styleId="4011">
    <w:name w:val="默认段落字体 Para Char Char Char Char44"/>
    <w:basedOn w:val="1"/>
    <w:qFormat/>
    <w:uiPriority w:val="99"/>
    <w:pPr>
      <w:spacing w:line="240" w:lineRule="auto"/>
    </w:pPr>
    <w:rPr>
      <w:sz w:val="21"/>
    </w:rPr>
  </w:style>
  <w:style w:type="paragraph" w:customStyle="1" w:styleId="4012">
    <w:name w:val="样式 表格内字体 +4"/>
    <w:basedOn w:val="832"/>
    <w:qFormat/>
    <w:uiPriority w:val="99"/>
    <w:pPr>
      <w:spacing w:line="280" w:lineRule="exact"/>
      <w:ind w:firstLine="36"/>
      <w:jc w:val="both"/>
    </w:pPr>
    <w:rPr>
      <w:kern w:val="0"/>
      <w:szCs w:val="24"/>
    </w:rPr>
  </w:style>
  <w:style w:type="paragraph" w:customStyle="1" w:styleId="4013">
    <w:name w:val="A正文4"/>
    <w:basedOn w:val="1"/>
    <w:qFormat/>
    <w:uiPriority w:val="99"/>
    <w:pPr>
      <w:widowControl/>
      <w:overflowPunct w:val="0"/>
      <w:autoSpaceDE w:val="0"/>
      <w:autoSpaceDN w:val="0"/>
      <w:ind w:firstLine="200"/>
      <w:jc w:val="left"/>
      <w:textAlignment w:val="baseline"/>
    </w:pPr>
    <w:rPr>
      <w:rFonts w:eastAsia="仿宋_GB2312"/>
      <w:kern w:val="0"/>
    </w:rPr>
  </w:style>
  <w:style w:type="paragraph" w:customStyle="1" w:styleId="4014">
    <w:name w:val="Char119"/>
    <w:basedOn w:val="1"/>
    <w:qFormat/>
    <w:uiPriority w:val="99"/>
    <w:pPr>
      <w:spacing w:line="240" w:lineRule="auto"/>
      <w:ind w:left="-48"/>
    </w:pPr>
    <w:rPr>
      <w:sz w:val="21"/>
    </w:rPr>
  </w:style>
  <w:style w:type="paragraph" w:customStyle="1" w:styleId="4015">
    <w:name w:val="标题415"/>
    <w:basedOn w:val="6"/>
    <w:next w:val="1"/>
    <w:qFormat/>
    <w:uiPriority w:val="99"/>
    <w:pPr>
      <w:spacing w:before="160" w:after="170" w:line="360" w:lineRule="auto"/>
    </w:pPr>
    <w:rPr>
      <w:rFonts w:ascii="黑体" w:hAnsi="Arial" w:eastAsia="黑体"/>
      <w:kern w:val="0"/>
      <w:lang w:val="zh-CN"/>
    </w:rPr>
  </w:style>
  <w:style w:type="paragraph" w:customStyle="1" w:styleId="4016">
    <w:name w:val="表格内字体114"/>
    <w:basedOn w:val="185"/>
    <w:qFormat/>
    <w:uiPriority w:val="99"/>
    <w:pPr>
      <w:spacing w:line="240" w:lineRule="auto"/>
      <w:ind w:firstLine="0"/>
      <w:jc w:val="center"/>
    </w:pPr>
    <w:rPr>
      <w:sz w:val="21"/>
      <w:szCs w:val="20"/>
    </w:rPr>
  </w:style>
  <w:style w:type="paragraph" w:customStyle="1" w:styleId="4017">
    <w:name w:val="Char Char2 Char Char Char Char14"/>
    <w:basedOn w:val="1"/>
    <w:qFormat/>
    <w:uiPriority w:val="99"/>
    <w:pPr>
      <w:spacing w:line="240" w:lineRule="auto"/>
    </w:pPr>
    <w:rPr>
      <w:sz w:val="21"/>
    </w:rPr>
  </w:style>
  <w:style w:type="paragraph" w:customStyle="1" w:styleId="4018">
    <w:name w:val="样式 正文缩进 + 宋体 黑色 首行缩进:  2 字符4"/>
    <w:basedOn w:val="21"/>
    <w:qFormat/>
    <w:uiPriority w:val="99"/>
    <w:pPr>
      <w:spacing w:line="360" w:lineRule="auto"/>
      <w:ind w:firstLine="480"/>
      <w:jc w:val="left"/>
    </w:pPr>
    <w:rPr>
      <w:rFonts w:ascii="宋体" w:hAnsi="宋体" w:cs="宋体"/>
      <w:color w:val="FF00FF"/>
      <w:sz w:val="24"/>
      <w:szCs w:val="20"/>
    </w:rPr>
  </w:style>
  <w:style w:type="paragraph" w:customStyle="1" w:styleId="4019">
    <w:name w:val="环评正文4"/>
    <w:qFormat/>
    <w:uiPriority w:val="99"/>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4020">
    <w:name w:val="注释4"/>
    <w:basedOn w:val="185"/>
    <w:next w:val="34"/>
    <w:qFormat/>
    <w:uiPriority w:val="99"/>
    <w:pPr>
      <w:spacing w:before="120" w:after="120" w:line="240" w:lineRule="auto"/>
      <w:ind w:firstLine="200"/>
    </w:pPr>
    <w:rPr>
      <w:sz w:val="21"/>
      <w:szCs w:val="20"/>
    </w:rPr>
  </w:style>
  <w:style w:type="paragraph" w:customStyle="1" w:styleId="4021">
    <w:name w:val="样式 正文缩进 + 宋体 黑色4"/>
    <w:basedOn w:val="21"/>
    <w:qFormat/>
    <w:uiPriority w:val="99"/>
    <w:pPr>
      <w:spacing w:line="360" w:lineRule="auto"/>
      <w:ind w:firstLine="200"/>
      <w:jc w:val="left"/>
    </w:pPr>
    <w:rPr>
      <w:rFonts w:ascii="宋体" w:hAnsi="宋体"/>
      <w:color w:val="000000"/>
      <w:sz w:val="24"/>
    </w:rPr>
  </w:style>
  <w:style w:type="paragraph" w:customStyle="1" w:styleId="4022">
    <w:name w:val="表内514"/>
    <w:basedOn w:val="1"/>
    <w:qFormat/>
    <w:uiPriority w:val="99"/>
    <w:pPr>
      <w:spacing w:line="240" w:lineRule="auto"/>
      <w:jc w:val="center"/>
    </w:pPr>
    <w:rPr>
      <w:rFonts w:ascii="宋体" w:hAnsi="宋体"/>
      <w:kern w:val="0"/>
      <w:sz w:val="20"/>
      <w:szCs w:val="20"/>
    </w:rPr>
  </w:style>
  <w:style w:type="paragraph" w:customStyle="1" w:styleId="4023">
    <w:name w:val="样式 样式 宋体 + 首行缩进:  2 字符14"/>
    <w:basedOn w:val="1"/>
    <w:qFormat/>
    <w:uiPriority w:val="99"/>
    <w:pPr>
      <w:ind w:firstLine="480"/>
      <w:jc w:val="left"/>
    </w:pPr>
    <w:rPr>
      <w:rFonts w:ascii="宋体" w:cs="宋体"/>
    </w:rPr>
  </w:style>
  <w:style w:type="paragraph" w:customStyle="1" w:styleId="4024">
    <w:name w:val="表内宋5中24"/>
    <w:basedOn w:val="1"/>
    <w:qFormat/>
    <w:uiPriority w:val="99"/>
    <w:pPr>
      <w:spacing w:line="240" w:lineRule="auto"/>
      <w:jc w:val="center"/>
      <w:textAlignment w:val="baseline"/>
    </w:pPr>
    <w:rPr>
      <w:rFonts w:ascii="宋体" w:hAnsi="宋体"/>
      <w:kern w:val="0"/>
      <w:sz w:val="21"/>
      <w:szCs w:val="20"/>
    </w:rPr>
  </w:style>
  <w:style w:type="paragraph" w:customStyle="1" w:styleId="4025">
    <w:name w:val="xl634"/>
    <w:basedOn w:val="1"/>
    <w:qFormat/>
    <w:uiPriority w:val="99"/>
    <w:pPr>
      <w:widowControl/>
      <w:spacing w:before="100" w:beforeAutospacing="1" w:after="100" w:afterAutospacing="1" w:line="240" w:lineRule="auto"/>
      <w:jc w:val="center"/>
      <w:textAlignment w:val="center"/>
    </w:pPr>
    <w:rPr>
      <w:rFonts w:hint="eastAsia" w:ascii="黑体" w:hAnsi="宋体" w:eastAsia="黑体"/>
      <w:kern w:val="0"/>
    </w:rPr>
  </w:style>
  <w:style w:type="paragraph" w:customStyle="1" w:styleId="4026">
    <w:name w:val="Char315"/>
    <w:basedOn w:val="1"/>
    <w:qFormat/>
    <w:uiPriority w:val="99"/>
    <w:pPr>
      <w:spacing w:line="240" w:lineRule="auto"/>
      <w:ind w:left="-48"/>
    </w:pPr>
    <w:rPr>
      <w:sz w:val="21"/>
    </w:rPr>
  </w:style>
  <w:style w:type="paragraph" w:customStyle="1" w:styleId="4027">
    <w:name w:val="标准4"/>
    <w:basedOn w:val="1"/>
    <w:qFormat/>
    <w:uiPriority w:val="99"/>
    <w:pPr>
      <w:spacing w:before="120" w:line="336" w:lineRule="auto"/>
      <w:jc w:val="center"/>
      <w:textAlignment w:val="baseline"/>
    </w:pPr>
    <w:rPr>
      <w:rFonts w:ascii="黑体" w:eastAsia="黑体"/>
      <w:sz w:val="21"/>
      <w:szCs w:val="20"/>
    </w:rPr>
  </w:style>
  <w:style w:type="paragraph" w:customStyle="1" w:styleId="4028">
    <w:name w:val="Fax Header4"/>
    <w:basedOn w:val="1"/>
    <w:qFormat/>
    <w:uiPriority w:val="99"/>
    <w:pPr>
      <w:widowControl/>
      <w:spacing w:before="240" w:after="60" w:line="240" w:lineRule="auto"/>
      <w:jc w:val="left"/>
    </w:pPr>
    <w:rPr>
      <w:kern w:val="0"/>
      <w:sz w:val="20"/>
      <w:szCs w:val="20"/>
    </w:rPr>
  </w:style>
  <w:style w:type="paragraph" w:customStyle="1" w:styleId="4029">
    <w:name w:val="样式 表格内字体1 +4"/>
    <w:basedOn w:val="2373"/>
    <w:next w:val="832"/>
    <w:qFormat/>
    <w:uiPriority w:val="99"/>
    <w:rPr>
      <w:rFonts w:hAnsi="Times New Roman" w:cs="宋体"/>
      <w:szCs w:val="20"/>
    </w:rPr>
  </w:style>
  <w:style w:type="paragraph" w:customStyle="1" w:styleId="4030">
    <w:name w:val="Char Char2 Char Char Char Char15"/>
    <w:basedOn w:val="1"/>
    <w:qFormat/>
    <w:uiPriority w:val="99"/>
    <w:pPr>
      <w:spacing w:line="240" w:lineRule="auto"/>
    </w:pPr>
    <w:rPr>
      <w:sz w:val="21"/>
    </w:rPr>
  </w:style>
  <w:style w:type="paragraph" w:customStyle="1" w:styleId="4031">
    <w:name w:val="正文格式＝64"/>
    <w:basedOn w:val="185"/>
    <w:next w:val="185"/>
    <w:qFormat/>
    <w:uiPriority w:val="99"/>
    <w:rPr>
      <w:rFonts w:hAnsi="宋体" w:cs="Times New Roman"/>
    </w:rPr>
  </w:style>
  <w:style w:type="paragraph" w:customStyle="1" w:styleId="4032">
    <w:name w:val="正文修改44"/>
    <w:basedOn w:val="900"/>
    <w:qFormat/>
    <w:uiPriority w:val="99"/>
    <w:pPr>
      <w:spacing w:line="480" w:lineRule="exact"/>
      <w:ind w:firstLine="0" w:firstLineChars="0"/>
    </w:pPr>
    <w:rPr>
      <w:rFonts w:cs="宋体"/>
      <w:sz w:val="24"/>
      <w:szCs w:val="24"/>
    </w:rPr>
  </w:style>
  <w:style w:type="paragraph" w:customStyle="1" w:styleId="4033">
    <w:name w:val="封面标准文稿编辑信息4"/>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4034">
    <w:name w:val="表内5中14"/>
    <w:basedOn w:val="1"/>
    <w:qFormat/>
    <w:uiPriority w:val="99"/>
    <w:pPr>
      <w:spacing w:line="240" w:lineRule="auto"/>
      <w:jc w:val="center"/>
    </w:pPr>
    <w:rPr>
      <w:rFonts w:ascii="宋体" w:hAnsi="宋体" w:cs="Arial"/>
      <w:snapToGrid w:val="0"/>
      <w:color w:val="000000"/>
      <w:sz w:val="21"/>
      <w:szCs w:val="21"/>
    </w:rPr>
  </w:style>
  <w:style w:type="paragraph" w:customStyle="1" w:styleId="4035">
    <w:name w:val="表内54144"/>
    <w:basedOn w:val="1"/>
    <w:qFormat/>
    <w:uiPriority w:val="99"/>
    <w:pPr>
      <w:spacing w:line="300" w:lineRule="auto"/>
      <w:jc w:val="center"/>
    </w:pPr>
    <w:rPr>
      <w:rFonts w:ascii="宋体" w:hAnsi="宋体" w:cs="宋体"/>
      <w:sz w:val="21"/>
      <w:szCs w:val="20"/>
    </w:rPr>
  </w:style>
  <w:style w:type="paragraph" w:customStyle="1" w:styleId="4036">
    <w:name w:val="表格14"/>
    <w:basedOn w:val="1"/>
    <w:qFormat/>
    <w:uiPriority w:val="99"/>
    <w:pPr>
      <w:spacing w:line="240" w:lineRule="auto"/>
      <w:jc w:val="center"/>
      <w:textAlignment w:val="baseline"/>
    </w:pPr>
    <w:rPr>
      <w:rFonts w:ascii="宋体"/>
      <w:kern w:val="0"/>
      <w:szCs w:val="20"/>
    </w:rPr>
  </w:style>
  <w:style w:type="paragraph" w:customStyle="1" w:styleId="4037">
    <w:name w:val="Char Char2 Char Char Char Char16"/>
    <w:basedOn w:val="1"/>
    <w:qFormat/>
    <w:uiPriority w:val="99"/>
    <w:pPr>
      <w:spacing w:line="240" w:lineRule="auto"/>
    </w:pPr>
    <w:rPr>
      <w:sz w:val="21"/>
    </w:rPr>
  </w:style>
  <w:style w:type="paragraph" w:customStyle="1" w:styleId="4038">
    <w:name w:val="c4"/>
    <w:qFormat/>
    <w:uiPriority w:val="99"/>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4039">
    <w:name w:val="福建正文缩进4"/>
    <w:basedOn w:val="21"/>
    <w:qFormat/>
    <w:uiPriority w:val="99"/>
    <w:pPr>
      <w:widowControl/>
      <w:tabs>
        <w:tab w:val="left" w:pos="5837"/>
      </w:tabs>
      <w:spacing w:line="480" w:lineRule="exact"/>
      <w:ind w:firstLine="0" w:firstLineChars="0"/>
    </w:pPr>
    <w:rPr>
      <w:rFonts w:ascii="宋体" w:hAnsi="宋体" w:cs="宋体"/>
      <w:color w:val="000000"/>
      <w:kern w:val="0"/>
      <w:sz w:val="24"/>
    </w:rPr>
  </w:style>
  <w:style w:type="paragraph" w:customStyle="1" w:styleId="4040">
    <w:name w:val="表内5中44"/>
    <w:basedOn w:val="1"/>
    <w:qFormat/>
    <w:uiPriority w:val="99"/>
    <w:pPr>
      <w:spacing w:line="240" w:lineRule="auto"/>
      <w:jc w:val="center"/>
    </w:pPr>
    <w:rPr>
      <w:rFonts w:ascii="宋体"/>
      <w:bCs/>
      <w:sz w:val="21"/>
      <w:szCs w:val="20"/>
    </w:rPr>
  </w:style>
  <w:style w:type="paragraph" w:customStyle="1" w:styleId="4041">
    <w:name w:val="默认段落字体 Para Char44"/>
    <w:basedOn w:val="1"/>
    <w:next w:val="1"/>
    <w:qFormat/>
    <w:uiPriority w:val="99"/>
    <w:pPr>
      <w:spacing w:line="480" w:lineRule="exact"/>
      <w:ind w:firstLine="200"/>
      <w:jc w:val="left"/>
    </w:pPr>
    <w:rPr>
      <w:rFonts w:ascii="宋体" w:hAnsi="宋体" w:eastAsia="汉鼎简书宋" w:cs="宋体"/>
      <w:sz w:val="28"/>
    </w:rPr>
  </w:style>
  <w:style w:type="paragraph" w:customStyle="1" w:styleId="4042">
    <w:name w:val="燕山正文134"/>
    <w:basedOn w:val="1"/>
    <w:qFormat/>
    <w:uiPriority w:val="99"/>
    <w:pPr>
      <w:tabs>
        <w:tab w:val="left" w:pos="4680"/>
      </w:tabs>
      <w:ind w:firstLine="480"/>
    </w:pPr>
    <w:rPr>
      <w:rFonts w:ascii="宋体" w:hAnsi="宋体" w:cs="宋体"/>
      <w:bCs/>
      <w:color w:val="000000"/>
    </w:rPr>
  </w:style>
  <w:style w:type="paragraph" w:customStyle="1" w:styleId="4043">
    <w:name w:val="样式 标题 4无效格式无效格式1河石管道4H4H41小小节河石管道41H42H411小小节1河石管道42...5"/>
    <w:basedOn w:val="6"/>
    <w:qFormat/>
    <w:uiPriority w:val="99"/>
    <w:pPr>
      <w:spacing w:before="0" w:after="0" w:line="360" w:lineRule="auto"/>
      <w:ind w:left="664" w:hanging="864"/>
    </w:pPr>
    <w:rPr>
      <w:rFonts w:ascii="黑体" w:hAnsi="Arial" w:eastAsia="黑体"/>
      <w:b w:val="0"/>
      <w:bCs w:val="0"/>
      <w:szCs w:val="24"/>
      <w:lang w:val="zh-CN"/>
    </w:rPr>
  </w:style>
  <w:style w:type="paragraph" w:customStyle="1" w:styleId="4044">
    <w:name w:val="正文格式85"/>
    <w:basedOn w:val="1"/>
    <w:qFormat/>
    <w:uiPriority w:val="99"/>
    <w:pPr>
      <w:ind w:firstLine="482"/>
    </w:pPr>
    <w:rPr>
      <w:rFonts w:ascii="宋体" w:hAnsi="宋体"/>
    </w:rPr>
  </w:style>
  <w:style w:type="paragraph" w:customStyle="1" w:styleId="4045">
    <w:name w:val="Char Char Char Char Char Char Char28"/>
    <w:basedOn w:val="1"/>
    <w:qFormat/>
    <w:uiPriority w:val="99"/>
    <w:pPr>
      <w:spacing w:line="240" w:lineRule="auto"/>
    </w:pPr>
    <w:rPr>
      <w:sz w:val="21"/>
    </w:rPr>
  </w:style>
  <w:style w:type="paragraph" w:customStyle="1" w:styleId="4046">
    <w:name w:val="Char50"/>
    <w:basedOn w:val="1"/>
    <w:qFormat/>
    <w:uiPriority w:val="99"/>
    <w:pPr>
      <w:spacing w:line="240" w:lineRule="auto"/>
      <w:ind w:left="-48"/>
    </w:pPr>
    <w:rPr>
      <w:sz w:val="21"/>
    </w:rPr>
  </w:style>
  <w:style w:type="paragraph" w:customStyle="1" w:styleId="4047">
    <w:name w:val="Char Char2 Char Char Char Char17"/>
    <w:basedOn w:val="1"/>
    <w:qFormat/>
    <w:uiPriority w:val="99"/>
    <w:pPr>
      <w:spacing w:line="240" w:lineRule="auto"/>
    </w:pPr>
    <w:rPr>
      <w:sz w:val="21"/>
    </w:rPr>
  </w:style>
  <w:style w:type="paragraph" w:customStyle="1" w:styleId="4048">
    <w:name w:val="Char55"/>
    <w:basedOn w:val="1"/>
    <w:qFormat/>
    <w:uiPriority w:val="99"/>
    <w:pPr>
      <w:spacing w:line="240" w:lineRule="auto"/>
      <w:ind w:left="-48"/>
    </w:pPr>
    <w:rPr>
      <w:sz w:val="21"/>
    </w:rPr>
  </w:style>
  <w:style w:type="paragraph" w:customStyle="1" w:styleId="4049">
    <w:name w:val="Char Char Char Char Char Char Char115"/>
    <w:basedOn w:val="1"/>
    <w:qFormat/>
    <w:uiPriority w:val="99"/>
    <w:pPr>
      <w:spacing w:line="240" w:lineRule="auto"/>
    </w:pPr>
    <w:rPr>
      <w:sz w:val="21"/>
    </w:rPr>
  </w:style>
  <w:style w:type="paragraph" w:customStyle="1" w:styleId="4050">
    <w:name w:val="Char216"/>
    <w:basedOn w:val="1"/>
    <w:qFormat/>
    <w:uiPriority w:val="99"/>
    <w:pPr>
      <w:spacing w:line="240" w:lineRule="auto"/>
      <w:ind w:left="-48"/>
    </w:pPr>
    <w:rPr>
      <w:sz w:val="21"/>
    </w:rPr>
  </w:style>
  <w:style w:type="paragraph" w:customStyle="1" w:styleId="4051">
    <w:name w:val="Char Char Char Char Char Char Char210"/>
    <w:basedOn w:val="1"/>
    <w:qFormat/>
    <w:uiPriority w:val="99"/>
    <w:pPr>
      <w:spacing w:line="240" w:lineRule="auto"/>
    </w:pPr>
    <w:rPr>
      <w:sz w:val="21"/>
    </w:rPr>
  </w:style>
  <w:style w:type="paragraph" w:customStyle="1" w:styleId="4052">
    <w:name w:val="Char415"/>
    <w:basedOn w:val="1"/>
    <w:qFormat/>
    <w:uiPriority w:val="99"/>
    <w:pPr>
      <w:spacing w:line="240" w:lineRule="auto"/>
      <w:ind w:left="-48"/>
    </w:pPr>
    <w:rPr>
      <w:sz w:val="21"/>
    </w:rPr>
  </w:style>
  <w:style w:type="paragraph" w:customStyle="1" w:styleId="4053">
    <w:name w:val="Char Char2 Char Char Char Char18"/>
    <w:basedOn w:val="1"/>
    <w:qFormat/>
    <w:uiPriority w:val="99"/>
    <w:pPr>
      <w:spacing w:line="240" w:lineRule="auto"/>
    </w:pPr>
    <w:rPr>
      <w:sz w:val="21"/>
    </w:rPr>
  </w:style>
  <w:style w:type="paragraph" w:customStyle="1" w:styleId="4054">
    <w:name w:val="Char Char Char Char1 Char Char Char13"/>
    <w:basedOn w:val="1"/>
    <w:qFormat/>
    <w:uiPriority w:val="99"/>
    <w:pPr>
      <w:widowControl/>
      <w:spacing w:after="160" w:line="240" w:lineRule="exact"/>
      <w:jc w:val="left"/>
    </w:pPr>
    <w:rPr>
      <w:rFonts w:ascii="Verdana" w:hAnsi="Verdana"/>
      <w:kern w:val="0"/>
      <w:sz w:val="20"/>
      <w:szCs w:val="20"/>
      <w:lang w:eastAsia="en-US"/>
    </w:rPr>
  </w:style>
  <w:style w:type="paragraph" w:customStyle="1" w:styleId="4055">
    <w:name w:val="Char Char Char Char1 Char Char Char10"/>
    <w:basedOn w:val="1"/>
    <w:qFormat/>
    <w:uiPriority w:val="99"/>
    <w:pPr>
      <w:widowControl/>
      <w:spacing w:after="160" w:line="240" w:lineRule="exact"/>
      <w:jc w:val="left"/>
    </w:pPr>
    <w:rPr>
      <w:rFonts w:ascii="Verdana" w:hAnsi="Verdana"/>
      <w:kern w:val="0"/>
      <w:sz w:val="20"/>
      <w:szCs w:val="20"/>
      <w:lang w:eastAsia="en-US"/>
    </w:rPr>
  </w:style>
  <w:style w:type="paragraph" w:customStyle="1" w:styleId="4056">
    <w:name w:val="Char123"/>
    <w:basedOn w:val="1"/>
    <w:qFormat/>
    <w:uiPriority w:val="99"/>
    <w:pPr>
      <w:spacing w:line="240" w:lineRule="auto"/>
      <w:ind w:left="-48"/>
    </w:pPr>
    <w:rPr>
      <w:sz w:val="21"/>
    </w:rPr>
  </w:style>
  <w:style w:type="paragraph" w:customStyle="1" w:styleId="4057">
    <w:name w:val="Char Char Char Char Char Char Char116"/>
    <w:basedOn w:val="1"/>
    <w:qFormat/>
    <w:uiPriority w:val="99"/>
    <w:pPr>
      <w:spacing w:line="240" w:lineRule="auto"/>
    </w:pPr>
    <w:rPr>
      <w:sz w:val="21"/>
    </w:rPr>
  </w:style>
  <w:style w:type="paragraph" w:customStyle="1" w:styleId="4058">
    <w:name w:val="Char217"/>
    <w:basedOn w:val="1"/>
    <w:qFormat/>
    <w:uiPriority w:val="99"/>
    <w:pPr>
      <w:spacing w:line="240" w:lineRule="auto"/>
      <w:ind w:left="-48"/>
    </w:pPr>
    <w:rPr>
      <w:sz w:val="21"/>
    </w:rPr>
  </w:style>
  <w:style w:type="paragraph" w:customStyle="1" w:styleId="4059">
    <w:name w:val="Char Char Char Char Char Char Char213"/>
    <w:basedOn w:val="1"/>
    <w:qFormat/>
    <w:uiPriority w:val="99"/>
    <w:pPr>
      <w:spacing w:line="240" w:lineRule="auto"/>
    </w:pPr>
    <w:rPr>
      <w:sz w:val="21"/>
    </w:rPr>
  </w:style>
  <w:style w:type="paragraph" w:customStyle="1" w:styleId="4060">
    <w:name w:val="Char416"/>
    <w:basedOn w:val="1"/>
    <w:qFormat/>
    <w:uiPriority w:val="99"/>
    <w:pPr>
      <w:spacing w:line="240" w:lineRule="auto"/>
      <w:ind w:left="-48"/>
    </w:pPr>
    <w:rPr>
      <w:sz w:val="21"/>
    </w:rPr>
  </w:style>
  <w:style w:type="paragraph" w:customStyle="1" w:styleId="4061">
    <w:name w:val="Char Char Char Char Char Char Char34"/>
    <w:basedOn w:val="1"/>
    <w:qFormat/>
    <w:uiPriority w:val="99"/>
    <w:pPr>
      <w:spacing w:line="240" w:lineRule="auto"/>
    </w:pPr>
    <w:rPr>
      <w:sz w:val="21"/>
    </w:rPr>
  </w:style>
  <w:style w:type="paragraph" w:customStyle="1" w:styleId="4062">
    <w:name w:val="Char57"/>
    <w:basedOn w:val="1"/>
    <w:qFormat/>
    <w:uiPriority w:val="99"/>
    <w:pPr>
      <w:spacing w:line="240" w:lineRule="auto"/>
      <w:ind w:left="-48"/>
    </w:pPr>
    <w:rPr>
      <w:sz w:val="21"/>
    </w:rPr>
  </w:style>
  <w:style w:type="paragraph" w:customStyle="1" w:styleId="4063">
    <w:name w:val="Char218"/>
    <w:basedOn w:val="1"/>
    <w:qFormat/>
    <w:uiPriority w:val="99"/>
    <w:pPr>
      <w:spacing w:line="240" w:lineRule="auto"/>
      <w:ind w:left="-48"/>
    </w:pPr>
    <w:rPr>
      <w:sz w:val="21"/>
    </w:rPr>
  </w:style>
  <w:style w:type="paragraph" w:customStyle="1" w:styleId="4064">
    <w:name w:val="Char417"/>
    <w:basedOn w:val="1"/>
    <w:qFormat/>
    <w:uiPriority w:val="99"/>
    <w:pPr>
      <w:spacing w:line="240" w:lineRule="auto"/>
      <w:ind w:left="-48"/>
    </w:pPr>
    <w:rPr>
      <w:sz w:val="21"/>
    </w:rPr>
  </w:style>
  <w:style w:type="paragraph" w:customStyle="1" w:styleId="4065">
    <w:name w:val="Char58"/>
    <w:basedOn w:val="1"/>
    <w:qFormat/>
    <w:uiPriority w:val="99"/>
    <w:pPr>
      <w:spacing w:line="240" w:lineRule="auto"/>
      <w:ind w:left="-48"/>
    </w:pPr>
    <w:rPr>
      <w:sz w:val="21"/>
    </w:rPr>
  </w:style>
  <w:style w:type="paragraph" w:customStyle="1" w:styleId="4066">
    <w:name w:val="Char Char Char Char1 Char Char Char14"/>
    <w:basedOn w:val="1"/>
    <w:qFormat/>
    <w:uiPriority w:val="99"/>
    <w:pPr>
      <w:widowControl/>
      <w:spacing w:after="160" w:line="240" w:lineRule="exact"/>
      <w:jc w:val="left"/>
    </w:pPr>
    <w:rPr>
      <w:rFonts w:ascii="Verdana" w:hAnsi="Verdana"/>
      <w:kern w:val="0"/>
      <w:sz w:val="20"/>
      <w:szCs w:val="20"/>
      <w:lang w:eastAsia="en-US"/>
    </w:rPr>
  </w:style>
  <w:style w:type="paragraph" w:customStyle="1" w:styleId="4067">
    <w:name w:val="Char125"/>
    <w:basedOn w:val="1"/>
    <w:qFormat/>
    <w:uiPriority w:val="99"/>
    <w:pPr>
      <w:spacing w:line="240" w:lineRule="auto"/>
      <w:ind w:left="-48"/>
    </w:pPr>
    <w:rPr>
      <w:sz w:val="21"/>
    </w:rPr>
  </w:style>
  <w:style w:type="paragraph" w:customStyle="1" w:styleId="4068">
    <w:name w:val="Char Char Char Char Char Char Char118"/>
    <w:basedOn w:val="1"/>
    <w:qFormat/>
    <w:uiPriority w:val="99"/>
    <w:pPr>
      <w:spacing w:line="240" w:lineRule="auto"/>
    </w:pPr>
    <w:rPr>
      <w:sz w:val="21"/>
    </w:rPr>
  </w:style>
  <w:style w:type="paragraph" w:customStyle="1" w:styleId="4069">
    <w:name w:val="Char318"/>
    <w:basedOn w:val="1"/>
    <w:qFormat/>
    <w:uiPriority w:val="99"/>
    <w:pPr>
      <w:spacing w:line="240" w:lineRule="auto"/>
      <w:ind w:left="-48"/>
    </w:pPr>
    <w:rPr>
      <w:sz w:val="21"/>
    </w:rPr>
  </w:style>
  <w:style w:type="paragraph" w:customStyle="1" w:styleId="4070">
    <w:name w:val="Char Char Char Char Char Char Char215"/>
    <w:basedOn w:val="1"/>
    <w:qFormat/>
    <w:uiPriority w:val="99"/>
    <w:pPr>
      <w:spacing w:line="240" w:lineRule="auto"/>
    </w:pPr>
    <w:rPr>
      <w:sz w:val="21"/>
    </w:rPr>
  </w:style>
  <w:style w:type="paragraph" w:customStyle="1" w:styleId="4071">
    <w:name w:val="Char418"/>
    <w:basedOn w:val="1"/>
    <w:qFormat/>
    <w:uiPriority w:val="99"/>
    <w:pPr>
      <w:spacing w:line="240" w:lineRule="auto"/>
      <w:ind w:left="-48"/>
    </w:pPr>
    <w:rPr>
      <w:sz w:val="21"/>
    </w:rPr>
  </w:style>
  <w:style w:type="paragraph" w:customStyle="1" w:styleId="4072">
    <w:name w:val="Char Char Char Char Char Char Char36"/>
    <w:basedOn w:val="1"/>
    <w:qFormat/>
    <w:uiPriority w:val="99"/>
    <w:pPr>
      <w:spacing w:line="240" w:lineRule="auto"/>
    </w:pPr>
    <w:rPr>
      <w:sz w:val="21"/>
    </w:rPr>
  </w:style>
  <w:style w:type="paragraph" w:customStyle="1" w:styleId="4073">
    <w:name w:val="Char Char Char Char1 Char Char Char15"/>
    <w:basedOn w:val="1"/>
    <w:qFormat/>
    <w:uiPriority w:val="99"/>
    <w:pPr>
      <w:widowControl/>
      <w:spacing w:after="160" w:line="240" w:lineRule="exact"/>
      <w:jc w:val="left"/>
    </w:pPr>
    <w:rPr>
      <w:rFonts w:ascii="Verdana" w:hAnsi="Verdana"/>
      <w:kern w:val="0"/>
      <w:sz w:val="20"/>
      <w:szCs w:val="20"/>
      <w:lang w:eastAsia="en-US"/>
    </w:rPr>
  </w:style>
  <w:style w:type="paragraph" w:customStyle="1" w:styleId="4074">
    <w:name w:val="Char Char Char Char Char Char Char119"/>
    <w:basedOn w:val="1"/>
    <w:qFormat/>
    <w:uiPriority w:val="99"/>
    <w:pPr>
      <w:spacing w:line="240" w:lineRule="auto"/>
    </w:pPr>
    <w:rPr>
      <w:sz w:val="21"/>
    </w:rPr>
  </w:style>
  <w:style w:type="paragraph" w:customStyle="1" w:styleId="4075">
    <w:name w:val="Char220"/>
    <w:basedOn w:val="1"/>
    <w:qFormat/>
    <w:uiPriority w:val="99"/>
    <w:pPr>
      <w:spacing w:line="240" w:lineRule="auto"/>
      <w:ind w:left="-48"/>
    </w:pPr>
    <w:rPr>
      <w:sz w:val="21"/>
    </w:rPr>
  </w:style>
  <w:style w:type="paragraph" w:customStyle="1" w:styleId="4076">
    <w:name w:val="Char319"/>
    <w:basedOn w:val="1"/>
    <w:qFormat/>
    <w:uiPriority w:val="99"/>
    <w:pPr>
      <w:spacing w:line="240" w:lineRule="auto"/>
      <w:ind w:left="-48"/>
    </w:pPr>
    <w:rPr>
      <w:sz w:val="21"/>
    </w:rPr>
  </w:style>
  <w:style w:type="paragraph" w:customStyle="1" w:styleId="4077">
    <w:name w:val="Char Char Char Char Char Char Char216"/>
    <w:basedOn w:val="1"/>
    <w:qFormat/>
    <w:uiPriority w:val="99"/>
    <w:pPr>
      <w:spacing w:line="240" w:lineRule="auto"/>
    </w:pPr>
    <w:rPr>
      <w:sz w:val="21"/>
    </w:rPr>
  </w:style>
  <w:style w:type="paragraph" w:customStyle="1" w:styleId="4078">
    <w:name w:val="Char419"/>
    <w:basedOn w:val="1"/>
    <w:qFormat/>
    <w:uiPriority w:val="99"/>
    <w:pPr>
      <w:spacing w:line="240" w:lineRule="auto"/>
      <w:ind w:left="-48"/>
    </w:pPr>
    <w:rPr>
      <w:sz w:val="21"/>
    </w:rPr>
  </w:style>
  <w:style w:type="paragraph" w:customStyle="1" w:styleId="4079">
    <w:name w:val="Char Char Char Char Char Char Char37"/>
    <w:basedOn w:val="1"/>
    <w:qFormat/>
    <w:uiPriority w:val="99"/>
    <w:pPr>
      <w:spacing w:line="240" w:lineRule="auto"/>
    </w:pPr>
    <w:rPr>
      <w:sz w:val="21"/>
    </w:rPr>
  </w:style>
  <w:style w:type="paragraph" w:customStyle="1" w:styleId="4080">
    <w:name w:val="Char60"/>
    <w:basedOn w:val="1"/>
    <w:qFormat/>
    <w:uiPriority w:val="99"/>
    <w:pPr>
      <w:spacing w:line="240" w:lineRule="auto"/>
      <w:ind w:left="-48"/>
    </w:pPr>
    <w:rPr>
      <w:sz w:val="21"/>
    </w:rPr>
  </w:style>
  <w:style w:type="table" w:customStyle="1" w:styleId="4081">
    <w:name w:val="lily 表格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2">
    <w:name w:val="lily 表格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3">
    <w:name w:val="毛的表格"/>
    <w:basedOn w:val="88"/>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4084">
    <w:name w:val="赵英杰"/>
    <w:basedOn w:val="89"/>
    <w:qFormat/>
    <w:uiPriority w:val="0"/>
    <w:pPr>
      <w:widowControl w:val="0"/>
      <w:spacing w:line="320" w:lineRule="exact"/>
      <w:ind w:firstLine="200" w:firstLineChars="200"/>
      <w:jc w:val="both"/>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jpeg"/><Relationship Id="rId76" Type="http://schemas.openxmlformats.org/officeDocument/2006/relationships/image" Target="media/image49.jpeg"/><Relationship Id="rId75" Type="http://schemas.openxmlformats.org/officeDocument/2006/relationships/image" Target="media/image48.jpeg"/><Relationship Id="rId74" Type="http://schemas.openxmlformats.org/officeDocument/2006/relationships/image" Target="media/image47.jpeg"/><Relationship Id="rId73" Type="http://schemas.openxmlformats.org/officeDocument/2006/relationships/image" Target="media/image46.jpeg"/><Relationship Id="rId72" Type="http://schemas.openxmlformats.org/officeDocument/2006/relationships/image" Target="media/image45.png"/><Relationship Id="rId71" Type="http://schemas.openxmlformats.org/officeDocument/2006/relationships/image" Target="media/image44.emf"/><Relationship Id="rId70" Type="http://schemas.openxmlformats.org/officeDocument/2006/relationships/oleObject" Target="embeddings/oleObject8.bin"/><Relationship Id="rId7" Type="http://schemas.openxmlformats.org/officeDocument/2006/relationships/header" Target="header3.xml"/><Relationship Id="rId69" Type="http://schemas.openxmlformats.org/officeDocument/2006/relationships/image" Target="media/image43.jpe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emf"/><Relationship Id="rId64" Type="http://schemas.openxmlformats.org/officeDocument/2006/relationships/oleObject" Target="embeddings/oleObject7.bin"/><Relationship Id="rId63" Type="http://schemas.openxmlformats.org/officeDocument/2006/relationships/image" Target="media/image38.jpeg"/><Relationship Id="rId62" Type="http://schemas.openxmlformats.org/officeDocument/2006/relationships/image" Target="media/image37.png"/><Relationship Id="rId61" Type="http://schemas.openxmlformats.org/officeDocument/2006/relationships/image" Target="media/image36.jpeg"/><Relationship Id="rId60" Type="http://schemas.openxmlformats.org/officeDocument/2006/relationships/image" Target="media/image35.emf"/><Relationship Id="rId6" Type="http://schemas.openxmlformats.org/officeDocument/2006/relationships/header" Target="header2.xml"/><Relationship Id="rId59" Type="http://schemas.openxmlformats.org/officeDocument/2006/relationships/oleObject" Target="embeddings/oleObject6.bin"/><Relationship Id="rId58" Type="http://schemas.openxmlformats.org/officeDocument/2006/relationships/image" Target="media/image34.emf"/><Relationship Id="rId57" Type="http://schemas.openxmlformats.org/officeDocument/2006/relationships/oleObject" Target="embeddings/oleObject5.bin"/><Relationship Id="rId56" Type="http://schemas.openxmlformats.org/officeDocument/2006/relationships/image" Target="media/image33.png"/><Relationship Id="rId55" Type="http://schemas.openxmlformats.org/officeDocument/2006/relationships/image" Target="media/image32.wmf"/><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wmf"/><Relationship Id="rId51" Type="http://schemas.openxmlformats.org/officeDocument/2006/relationships/oleObject" Target="embeddings/oleObject4.bin"/><Relationship Id="rId50" Type="http://schemas.openxmlformats.org/officeDocument/2006/relationships/image" Target="media/image28.jpe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emf"/><Relationship Id="rId41" Type="http://schemas.openxmlformats.org/officeDocument/2006/relationships/image" Target="media/image19.emf"/><Relationship Id="rId40" Type="http://schemas.openxmlformats.org/officeDocument/2006/relationships/image" Target="media/image18.emf"/><Relationship Id="rId4" Type="http://schemas.openxmlformats.org/officeDocument/2006/relationships/endnotes" Target="endnotes.xml"/><Relationship Id="rId39" Type="http://schemas.openxmlformats.org/officeDocument/2006/relationships/image" Target="media/image17.emf"/><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wmf"/><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emf"/><Relationship Id="rId24" Type="http://schemas.openxmlformats.org/officeDocument/2006/relationships/oleObject" Target="embeddings/oleObject3.bin"/><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295</Pages>
  <Words>5500</Words>
  <Characters>6118</Characters>
  <Lines>2372</Lines>
  <Paragraphs>667</Paragraphs>
  <TotalTime>0</TotalTime>
  <ScaleCrop>false</ScaleCrop>
  <LinksUpToDate>false</LinksUpToDate>
  <CharactersWithSpaces>6258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2023-04-11T08:58:00Z</dcterms:created>
  <dc:creator>win8.1</dc:creator>
  <cp:lastModifiedBy>浅落桢叶</cp:lastModifiedBy>
  <cp:lastPrinted>2023-06-26T08:35:00Z</cp:lastPrinted>
  <dcterms:modified xsi:type="dcterms:W3CDTF">2025-01-14T02:37:29Z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4CBCCD4B706C4E399A0DF38EA4C77343_13</vt:lpwstr>
  </property>
  <property fmtid="{D5CDD505-2E9C-101B-9397-08002B2CF9AE}" pid="4" name="KSOTemplateDocerSaveRecord">
    <vt:lpwstr>eyJoZGlkIjoiZGRmMDA3MDY2ODdhOWRmOGZkZTBiNGZiNTQzMTgxNDQiLCJ1c2VySWQiOiIxMTEwNzIyMCJ9</vt:lpwstr>
  </property>
</Properties>
</file>